
<file path=[Content_Types].xml><?xml version="1.0" encoding="utf-8"?>
<Types xmlns="http://schemas.openxmlformats.org/package/2006/content-types">
  <Default Extension="xml" ContentType="application/xml"/>
  <Default Extension="xlsx" ContentType="application/vnd.openxmlformats-officedocument.spreadsheetml.sheet"/>
  <Default Extension="bin" ContentType="application/vnd.openxmlformats-officedocument.oleObject"/>
  <Default Extension="png" ContentType="image/png"/>
  <Default Extension="wmf" ContentType="image/x-wmf"/>
  <Default Extension="jpeg" ContentType="image/jpeg"/>
  <Default Extension="JPG" ContentType="image/.jpg"/>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C88085">
      <w:pPr>
        <w:ind w:firstLine="8168" w:firstLineChars="1700"/>
        <w:rPr>
          <w:rFonts w:hint="eastAsia"/>
          <w:b/>
          <w:sz w:val="48"/>
          <w:szCs w:val="48"/>
          <w:lang w:val="en-US" w:eastAsia="zh-CN"/>
        </w:rPr>
      </w:pPr>
    </w:p>
    <w:p w14:paraId="243CD914">
      <w:pPr>
        <w:ind w:left="0" w:leftChars="0" w:firstLine="0" w:firstLineChars="0"/>
        <w:rPr>
          <w:rFonts w:hint="default" w:eastAsia="宋体"/>
          <w:b/>
          <w:sz w:val="48"/>
          <w:szCs w:val="48"/>
          <w:lang w:val="en-US" w:eastAsia="zh-CN"/>
        </w:rPr>
      </w:pPr>
      <w:r>
        <w:rPr>
          <w:rFonts w:hint="eastAsia"/>
          <w:b/>
          <w:sz w:val="48"/>
          <w:szCs w:val="48"/>
          <w:lang w:val="en-US" w:eastAsia="zh-CN"/>
        </w:rPr>
        <w:t>中国社会科学院学部委员</w:t>
      </w:r>
    </w:p>
    <w:p w14:paraId="7F9C64BE">
      <w:pPr>
        <w:rPr>
          <w:rFonts w:hint="eastAsia"/>
          <w:b/>
          <w:sz w:val="36"/>
          <w:szCs w:val="36"/>
        </w:rPr>
      </w:pPr>
    </w:p>
    <w:p w14:paraId="4C67FDF6">
      <w:pPr>
        <w:rPr>
          <w:rFonts w:hint="eastAsia"/>
          <w:b/>
          <w:sz w:val="36"/>
          <w:szCs w:val="36"/>
        </w:rPr>
      </w:pPr>
    </w:p>
    <w:p w14:paraId="595F02D3">
      <w:pPr>
        <w:ind w:left="0" w:leftChars="0" w:firstLine="0" w:firstLineChars="0"/>
        <w:jc w:val="center"/>
        <w:rPr>
          <w:rFonts w:hint="default" w:eastAsia="宋体"/>
          <w:b/>
          <w:sz w:val="21"/>
          <w:szCs w:val="21"/>
          <w:lang w:val="en-US" w:eastAsia="zh-CN"/>
        </w:rPr>
      </w:pPr>
      <w:r>
        <w:rPr>
          <w:rFonts w:hint="eastAsia"/>
          <w:b/>
          <w:sz w:val="84"/>
          <w:szCs w:val="84"/>
          <w:lang w:val="en-US" w:eastAsia="zh-CN"/>
        </w:rPr>
        <w:t xml:space="preserve">  </w:t>
      </w:r>
      <w:r>
        <w:rPr>
          <w:rFonts w:hint="eastAsia"/>
          <w:b/>
          <w:sz w:val="84"/>
          <w:szCs w:val="84"/>
        </w:rPr>
        <w:t>程恩富</w:t>
      </w:r>
      <w:r>
        <w:rPr>
          <w:rFonts w:hint="eastAsia"/>
          <w:b/>
          <w:sz w:val="84"/>
          <w:szCs w:val="84"/>
          <w:lang w:val="en-US" w:eastAsia="zh-CN"/>
        </w:rPr>
        <w:t>文</w:t>
      </w:r>
      <w:r>
        <w:rPr>
          <w:rFonts w:hint="eastAsia"/>
          <w:b/>
          <w:sz w:val="84"/>
          <w:szCs w:val="84"/>
        </w:rPr>
        <w:t>集</w:t>
      </w:r>
      <w:bookmarkStart w:id="1608" w:name="_GoBack"/>
      <w:bookmarkEnd w:id="1608"/>
      <w:r>
        <w:rPr>
          <w:rFonts w:hint="eastAsia"/>
          <w:b/>
          <w:sz w:val="21"/>
          <w:szCs w:val="21"/>
          <w:lang w:eastAsia="zh-CN"/>
        </w:rPr>
        <w:t>（</w:t>
      </w:r>
      <w:r>
        <w:rPr>
          <w:rFonts w:hint="eastAsia"/>
          <w:b/>
          <w:sz w:val="21"/>
          <w:szCs w:val="21"/>
          <w:lang w:val="en-US" w:eastAsia="zh-CN"/>
        </w:rPr>
        <w:t>按时间排序）</w:t>
      </w:r>
    </w:p>
    <w:p w14:paraId="29F90E4C">
      <w:pPr>
        <w:ind w:left="0" w:leftChars="0" w:firstLine="0" w:firstLineChars="0"/>
        <w:jc w:val="center"/>
        <w:rPr>
          <w:rFonts w:hint="eastAsia"/>
          <w:b/>
          <w:sz w:val="84"/>
          <w:szCs w:val="84"/>
        </w:rPr>
      </w:pPr>
      <w:r>
        <w:rPr>
          <w:rFonts w:hint="eastAsia"/>
          <w:b/>
          <w:sz w:val="52"/>
          <w:szCs w:val="52"/>
        </w:rPr>
        <w:t>（</w:t>
      </w:r>
      <w:r>
        <w:rPr>
          <w:rFonts w:hint="eastAsia"/>
          <w:b/>
          <w:sz w:val="52"/>
          <w:szCs w:val="52"/>
          <w:lang w:val="en-US" w:eastAsia="zh-CN"/>
        </w:rPr>
        <w:t>2000-2011</w:t>
      </w:r>
      <w:r>
        <w:rPr>
          <w:rFonts w:hint="eastAsia"/>
          <w:b/>
          <w:sz w:val="52"/>
          <w:szCs w:val="52"/>
        </w:rPr>
        <w:t>）</w:t>
      </w:r>
    </w:p>
    <w:p w14:paraId="0DADF1B5">
      <w:pPr>
        <w:pStyle w:val="10"/>
        <w:tabs>
          <w:tab w:val="right" w:leader="dot" w:pos="6610"/>
        </w:tabs>
        <w:jc w:val="center"/>
        <w:rPr>
          <w:rFonts w:hint="default"/>
          <w:lang w:val="en-US" w:eastAsia="zh-CN"/>
        </w:rPr>
        <w:sectPr>
          <w:footerReference r:id="rId5" w:type="default"/>
          <w:footnotePr>
            <w:numFmt w:val="decimalEnclosedCircleChinese"/>
            <w:numRestart w:val="eachPage"/>
          </w:footnotePr>
          <w:pgSz w:w="11906" w:h="16838"/>
          <w:pgMar w:top="1440" w:right="1440" w:bottom="1440" w:left="1440" w:header="278" w:footer="0" w:gutter="0"/>
          <w:pgNumType w:fmt="decimal" w:start="1"/>
          <w:cols w:space="425" w:num="1"/>
        </w:sectPr>
      </w:pPr>
    </w:p>
    <w:p w14:paraId="3C4EF87D">
      <w:pPr>
        <w:pStyle w:val="25"/>
      </w:pPr>
      <w:r>
        <w:rPr>
          <w:lang w:val="zh-CN"/>
        </w:rPr>
        <w:t>目录</w:t>
      </w:r>
    </w:p>
    <w:p w14:paraId="786DD279">
      <w:pPr>
        <w:pStyle w:val="10"/>
        <w:tabs>
          <w:tab w:val="right" w:leader="dot" w:pos="9026"/>
        </w:tabs>
      </w:pPr>
      <w:r>
        <w:rPr>
          <w:rFonts w:hint="default"/>
          <w:lang w:val="en-US" w:eastAsia="zh-CN"/>
        </w:rPr>
        <w:fldChar w:fldCharType="begin"/>
      </w:r>
      <w:r>
        <w:rPr>
          <w:rFonts w:hint="default"/>
          <w:lang w:val="en-US" w:eastAsia="zh-CN"/>
        </w:rPr>
        <w:instrText xml:space="preserve">TOC \o "1-2" \u </w:instrText>
      </w:r>
      <w:r>
        <w:rPr>
          <w:rFonts w:hint="default"/>
          <w:lang w:val="en-US" w:eastAsia="zh-CN"/>
        </w:rPr>
        <w:fldChar w:fldCharType="separate"/>
      </w:r>
      <w:r>
        <w:rPr>
          <w:rFonts w:hint="default" w:ascii="Times New Roman" w:hAnsi="Times New Roman" w:cs="Times New Roman"/>
        </w:rPr>
        <w:t>2000年</w:t>
      </w:r>
      <w:r>
        <w:tab/>
      </w:r>
      <w:r>
        <w:fldChar w:fldCharType="begin"/>
      </w:r>
      <w:r>
        <w:instrText xml:space="preserve"> PAGEREF _Toc1751157601 \h </w:instrText>
      </w:r>
      <w:r>
        <w:fldChar w:fldCharType="separate"/>
      </w:r>
      <w:r>
        <w:t>1</w:t>
      </w:r>
      <w:r>
        <w:fldChar w:fldCharType="end"/>
      </w:r>
    </w:p>
    <w:p w14:paraId="3F120EF1">
      <w:pPr>
        <w:pStyle w:val="14"/>
        <w:tabs>
          <w:tab w:val="right" w:leader="dot" w:pos="9026"/>
        </w:tabs>
      </w:pPr>
      <w:r>
        <w:rPr>
          <w:rFonts w:hint="eastAsia" w:ascii="Times New Roman" w:hAnsi="Times New Roman" w:eastAsia="黑体" w:cs="Times New Roman"/>
          <w:bCs/>
          <w:iCs/>
          <w:kern w:val="2"/>
          <w:szCs w:val="28"/>
          <w:lang w:val="zh-TW" w:eastAsia="zh-TW" w:bidi="ar-SA"/>
        </w:rPr>
        <w:t>经济全球化：若干问题的马克思主义解析</w:t>
      </w:r>
      <w:r>
        <w:tab/>
      </w:r>
      <w:r>
        <w:fldChar w:fldCharType="begin"/>
      </w:r>
      <w:r>
        <w:instrText xml:space="preserve"> PAGEREF _Toc442417872 \h </w:instrText>
      </w:r>
      <w:r>
        <w:fldChar w:fldCharType="separate"/>
      </w:r>
      <w:r>
        <w:t>1</w:t>
      </w:r>
      <w:r>
        <w:fldChar w:fldCharType="end"/>
      </w:r>
    </w:p>
    <w:p w14:paraId="59CA00F4">
      <w:pPr>
        <w:pStyle w:val="14"/>
        <w:tabs>
          <w:tab w:val="right" w:leader="dot" w:pos="9026"/>
        </w:tabs>
      </w:pPr>
      <w:r>
        <w:rPr>
          <w:rFonts w:hint="eastAsia" w:ascii="宋体" w:hAnsi="宋体" w:eastAsia="宋体" w:cs="AdobeSongStd-Light"/>
          <w:color w:val="000000"/>
          <w:kern w:val="0"/>
          <w:szCs w:val="32"/>
        </w:rPr>
        <w:t>重建中国经济学  超越马克思与西方经济学</w:t>
      </w:r>
      <w:r>
        <w:tab/>
      </w:r>
      <w:r>
        <w:fldChar w:fldCharType="begin"/>
      </w:r>
      <w:r>
        <w:instrText xml:space="preserve"> PAGEREF _Toc1128788790 \h </w:instrText>
      </w:r>
      <w:r>
        <w:fldChar w:fldCharType="separate"/>
      </w:r>
      <w:r>
        <w:t>9</w:t>
      </w:r>
      <w:r>
        <w:fldChar w:fldCharType="end"/>
      </w:r>
    </w:p>
    <w:p w14:paraId="6855294D">
      <w:pPr>
        <w:pStyle w:val="14"/>
        <w:tabs>
          <w:tab w:val="right" w:leader="dot" w:pos="9026"/>
        </w:tabs>
      </w:pPr>
      <w:r>
        <w:rPr>
          <w:rFonts w:hint="default" w:ascii="Times New Roman" w:hAnsi="Times New Roman" w:cs="Times New Roman"/>
          <w:lang w:val="zh-TW" w:eastAsia="zh-TW"/>
        </w:rPr>
        <w:t>论消费需求与经济增长</w:t>
      </w:r>
      <w:r>
        <w:tab/>
      </w:r>
      <w:r>
        <w:fldChar w:fldCharType="begin"/>
      </w:r>
      <w:r>
        <w:instrText xml:space="preserve"> PAGEREF _Toc682655932 \h </w:instrText>
      </w:r>
      <w:r>
        <w:fldChar w:fldCharType="separate"/>
      </w:r>
      <w:r>
        <w:t>18</w:t>
      </w:r>
      <w:r>
        <w:fldChar w:fldCharType="end"/>
      </w:r>
    </w:p>
    <w:p w14:paraId="7D6EBC52">
      <w:pPr>
        <w:pStyle w:val="14"/>
        <w:tabs>
          <w:tab w:val="right" w:leader="dot" w:pos="9026"/>
        </w:tabs>
      </w:pPr>
      <w:r>
        <w:rPr>
          <w:rFonts w:hint="default" w:ascii="Times New Roman" w:hAnsi="Times New Roman" w:cs="Times New Roman"/>
          <w:lang w:val="zh-TW" w:eastAsia="zh-TW"/>
        </w:rPr>
        <w:t>社会进步与工会的作用</w:t>
      </w:r>
      <w:r>
        <w:tab/>
      </w:r>
      <w:r>
        <w:fldChar w:fldCharType="begin"/>
      </w:r>
      <w:r>
        <w:instrText xml:space="preserve"> PAGEREF _Toc1540606850 \h </w:instrText>
      </w:r>
      <w:r>
        <w:fldChar w:fldCharType="separate"/>
      </w:r>
      <w:r>
        <w:t>25</w:t>
      </w:r>
      <w:r>
        <w:fldChar w:fldCharType="end"/>
      </w:r>
    </w:p>
    <w:p w14:paraId="71D54369">
      <w:pPr>
        <w:pStyle w:val="14"/>
        <w:tabs>
          <w:tab w:val="right" w:leader="dot" w:pos="9026"/>
        </w:tabs>
      </w:pPr>
      <w:r>
        <w:rPr>
          <w:rFonts w:hint="default" w:ascii="Times New Roman" w:hAnsi="Times New Roman" w:cs="Times New Roman"/>
          <w:highlight w:val="none"/>
          <w:lang w:val="zh-TW" w:eastAsia="zh-TW"/>
        </w:rPr>
        <w:t>中国经济的高绩效与制度优势</w:t>
      </w:r>
      <w:r>
        <w:tab/>
      </w:r>
      <w:r>
        <w:fldChar w:fldCharType="begin"/>
      </w:r>
      <w:r>
        <w:instrText xml:space="preserve"> PAGEREF _Toc768996071 \h </w:instrText>
      </w:r>
      <w:r>
        <w:fldChar w:fldCharType="separate"/>
      </w:r>
      <w:r>
        <w:t>27</w:t>
      </w:r>
      <w:r>
        <w:fldChar w:fldCharType="end"/>
      </w:r>
    </w:p>
    <w:p w14:paraId="3D785A7C">
      <w:pPr>
        <w:pStyle w:val="14"/>
        <w:tabs>
          <w:tab w:val="right" w:leader="dot" w:pos="9026"/>
        </w:tabs>
      </w:pPr>
      <w:r>
        <w:rPr>
          <w:rFonts w:hint="default" w:ascii="Times New Roman" w:hAnsi="Times New Roman" w:cs="Times New Roman"/>
          <w:lang w:val="zh-TW" w:eastAsia="zh-TW"/>
        </w:rPr>
        <w:t>论康有为的空想社会主义思想</w:t>
      </w:r>
      <w:r>
        <w:tab/>
      </w:r>
      <w:r>
        <w:fldChar w:fldCharType="begin"/>
      </w:r>
      <w:r>
        <w:instrText xml:space="preserve"> PAGEREF _Toc960377651 \h </w:instrText>
      </w:r>
      <w:r>
        <w:fldChar w:fldCharType="separate"/>
      </w:r>
      <w:r>
        <w:t>30</w:t>
      </w:r>
      <w:r>
        <w:fldChar w:fldCharType="end"/>
      </w:r>
    </w:p>
    <w:p w14:paraId="70B7C885">
      <w:pPr>
        <w:pStyle w:val="14"/>
        <w:tabs>
          <w:tab w:val="right" w:leader="dot" w:pos="9026"/>
        </w:tabs>
      </w:pPr>
      <w:r>
        <w:rPr>
          <w:rFonts w:hint="default" w:ascii="Times New Roman" w:hAnsi="Times New Roman" w:cs="Times New Roman"/>
          <w:lang w:val="zh-TW" w:eastAsia="zh-TW"/>
        </w:rPr>
        <w:t>经济全球化与中国的对策思路——兼论“三控型民族经济”与对半式双赢</w:t>
      </w:r>
      <w:r>
        <w:tab/>
      </w:r>
      <w:r>
        <w:fldChar w:fldCharType="begin"/>
      </w:r>
      <w:r>
        <w:instrText xml:space="preserve"> PAGEREF _Toc580089505 \h </w:instrText>
      </w:r>
      <w:r>
        <w:fldChar w:fldCharType="separate"/>
      </w:r>
      <w:r>
        <w:t>36</w:t>
      </w:r>
      <w:r>
        <w:fldChar w:fldCharType="end"/>
      </w:r>
    </w:p>
    <w:p w14:paraId="0E6128A7">
      <w:pPr>
        <w:pStyle w:val="14"/>
        <w:tabs>
          <w:tab w:val="right" w:leader="dot" w:pos="9026"/>
        </w:tabs>
      </w:pPr>
      <w:r>
        <w:rPr>
          <w:rFonts w:hint="default" w:ascii="Times New Roman" w:hAnsi="Times New Roman" w:cs="Times New Roman"/>
          <w:lang w:val="zh-TW" w:eastAsia="zh-TW"/>
        </w:rPr>
        <w:t>经济全球化及中国的对策</w:t>
      </w:r>
      <w:r>
        <w:tab/>
      </w:r>
      <w:r>
        <w:fldChar w:fldCharType="begin"/>
      </w:r>
      <w:r>
        <w:instrText xml:space="preserve"> PAGEREF _Toc2136036802 \h </w:instrText>
      </w:r>
      <w:r>
        <w:fldChar w:fldCharType="separate"/>
      </w:r>
      <w:r>
        <w:t>41</w:t>
      </w:r>
      <w:r>
        <w:fldChar w:fldCharType="end"/>
      </w:r>
    </w:p>
    <w:p w14:paraId="4AB6D0C0">
      <w:pPr>
        <w:pStyle w:val="14"/>
        <w:tabs>
          <w:tab w:val="right" w:leader="dot" w:pos="9026"/>
        </w:tabs>
      </w:pPr>
      <w:r>
        <w:rPr>
          <w:rFonts w:hint="eastAsia" w:eastAsia="宋体" w:cs="Times New Roman"/>
          <w:color w:val="000000"/>
          <w:szCs w:val="28"/>
        </w:rPr>
        <w:t>经济全球化：若干问题的马克思主义解析</w:t>
      </w:r>
      <w:r>
        <w:tab/>
      </w:r>
      <w:r>
        <w:fldChar w:fldCharType="begin"/>
      </w:r>
      <w:r>
        <w:instrText xml:space="preserve"> PAGEREF _Toc886404315 \h </w:instrText>
      </w:r>
      <w:r>
        <w:fldChar w:fldCharType="separate"/>
      </w:r>
      <w:r>
        <w:t>44</w:t>
      </w:r>
      <w:r>
        <w:fldChar w:fldCharType="end"/>
      </w:r>
    </w:p>
    <w:p w14:paraId="4BEB45CF">
      <w:pPr>
        <w:pStyle w:val="10"/>
        <w:tabs>
          <w:tab w:val="right" w:leader="dot" w:pos="9026"/>
        </w:tabs>
      </w:pPr>
      <w:r>
        <w:rPr>
          <w:rFonts w:hint="default" w:ascii="Times New Roman" w:hAnsi="Times New Roman" w:cs="Times New Roman"/>
          <w:bCs w:val="0"/>
        </w:rPr>
        <w:t>2001年</w:t>
      </w:r>
      <w:r>
        <w:tab/>
      </w:r>
      <w:r>
        <w:fldChar w:fldCharType="begin"/>
      </w:r>
      <w:r>
        <w:instrText xml:space="preserve"> PAGEREF _Toc703262966 \h </w:instrText>
      </w:r>
      <w:r>
        <w:fldChar w:fldCharType="separate"/>
      </w:r>
      <w:r>
        <w:t>54</w:t>
      </w:r>
      <w:r>
        <w:fldChar w:fldCharType="end"/>
      </w:r>
    </w:p>
    <w:p w14:paraId="0C51A7BA">
      <w:pPr>
        <w:pStyle w:val="14"/>
        <w:tabs>
          <w:tab w:val="right" w:leader="dot" w:pos="9026"/>
        </w:tabs>
      </w:pPr>
      <w:r>
        <w:rPr>
          <w:rFonts w:hint="eastAsia" w:ascii="宋体" w:hAnsi="宋体" w:eastAsia="宋体" w:cs="Times New Roman"/>
          <w:bCs/>
          <w:color w:val="000000"/>
          <w:szCs w:val="21"/>
        </w:rPr>
        <w:t>西方学者关于计划社会主义绩效的分析</w:t>
      </w:r>
      <w:r>
        <w:tab/>
      </w:r>
      <w:r>
        <w:fldChar w:fldCharType="begin"/>
      </w:r>
      <w:r>
        <w:instrText xml:space="preserve"> PAGEREF _Toc2138160121 \h </w:instrText>
      </w:r>
      <w:r>
        <w:fldChar w:fldCharType="separate"/>
      </w:r>
      <w:r>
        <w:t>54</w:t>
      </w:r>
      <w:r>
        <w:fldChar w:fldCharType="end"/>
      </w:r>
    </w:p>
    <w:p w14:paraId="7BDA4CD2">
      <w:pPr>
        <w:pStyle w:val="14"/>
        <w:tabs>
          <w:tab w:val="right" w:leader="dot" w:pos="9026"/>
        </w:tabs>
      </w:pPr>
      <w:r>
        <w:rPr>
          <w:rFonts w:hint="eastAsia" w:eastAsia="宋体" w:cs="Times New Roman"/>
          <w:color w:val="000000"/>
          <w:szCs w:val="24"/>
        </w:rPr>
        <w:t>党的性质与“三个代表”的科学内涵</w:t>
      </w:r>
      <w:r>
        <w:tab/>
      </w:r>
      <w:r>
        <w:fldChar w:fldCharType="begin"/>
      </w:r>
      <w:r>
        <w:instrText xml:space="preserve"> PAGEREF _Toc65804749 \h </w:instrText>
      </w:r>
      <w:r>
        <w:fldChar w:fldCharType="separate"/>
      </w:r>
      <w:r>
        <w:t>64</w:t>
      </w:r>
      <w:r>
        <w:fldChar w:fldCharType="end"/>
      </w:r>
    </w:p>
    <w:p w14:paraId="41E98D23">
      <w:pPr>
        <w:pStyle w:val="14"/>
        <w:tabs>
          <w:tab w:val="right" w:leader="dot" w:pos="9026"/>
        </w:tabs>
      </w:pPr>
      <w:r>
        <w:rPr>
          <w:rFonts w:hint="default" w:ascii="Times New Roman" w:hAnsi="Times New Roman" w:eastAsia="黑体" w:cs="Times New Roman"/>
          <w:szCs w:val="24"/>
        </w:rPr>
        <w:t>经营者收入的博弈分析</w:t>
      </w:r>
      <w:r>
        <w:tab/>
      </w:r>
      <w:r>
        <w:fldChar w:fldCharType="begin"/>
      </w:r>
      <w:r>
        <w:instrText xml:space="preserve"> PAGEREF _Toc26338238 \h </w:instrText>
      </w:r>
      <w:r>
        <w:fldChar w:fldCharType="separate"/>
      </w:r>
      <w:r>
        <w:t>70</w:t>
      </w:r>
      <w:r>
        <w:fldChar w:fldCharType="end"/>
      </w:r>
    </w:p>
    <w:p w14:paraId="77DFFC32">
      <w:pPr>
        <w:pStyle w:val="14"/>
        <w:tabs>
          <w:tab w:val="right" w:leader="dot" w:pos="9026"/>
        </w:tabs>
      </w:pPr>
      <w:r>
        <w:rPr>
          <w:rFonts w:hint="default" w:ascii="Times New Roman" w:hAnsi="Times New Roman" w:eastAsia="黑体" w:cs="Times New Roman"/>
          <w:szCs w:val="32"/>
        </w:rPr>
        <w:t>西方学者关于计划社会主义绩效的分析</w:t>
      </w:r>
      <w:r>
        <w:tab/>
      </w:r>
      <w:r>
        <w:fldChar w:fldCharType="begin"/>
      </w:r>
      <w:r>
        <w:instrText xml:space="preserve"> PAGEREF _Toc285134784 \h </w:instrText>
      </w:r>
      <w:r>
        <w:fldChar w:fldCharType="separate"/>
      </w:r>
      <w:r>
        <w:t>80</w:t>
      </w:r>
      <w:r>
        <w:fldChar w:fldCharType="end"/>
      </w:r>
    </w:p>
    <w:p w14:paraId="289E4FAC">
      <w:pPr>
        <w:pStyle w:val="14"/>
        <w:tabs>
          <w:tab w:val="right" w:leader="dot" w:pos="9026"/>
        </w:tabs>
      </w:pPr>
      <w:r>
        <w:rPr>
          <w:rFonts w:hint="default" w:ascii="Times New Roman" w:hAnsi="Times New Roman" w:eastAsia="黑体" w:cs="Times New Roman"/>
          <w:bCs w:val="0"/>
          <w:szCs w:val="32"/>
        </w:rPr>
        <w:t>经济发展与先进文化</w:t>
      </w:r>
      <w:r>
        <w:tab/>
      </w:r>
      <w:r>
        <w:fldChar w:fldCharType="begin"/>
      </w:r>
      <w:r>
        <w:instrText xml:space="preserve"> PAGEREF _Toc1224298231 \h </w:instrText>
      </w:r>
      <w:r>
        <w:fldChar w:fldCharType="separate"/>
      </w:r>
      <w:r>
        <w:t>90</w:t>
      </w:r>
      <w:r>
        <w:fldChar w:fldCharType="end"/>
      </w:r>
    </w:p>
    <w:p w14:paraId="0780837C">
      <w:pPr>
        <w:pStyle w:val="14"/>
        <w:tabs>
          <w:tab w:val="right" w:leader="dot" w:pos="9026"/>
        </w:tabs>
      </w:pPr>
      <w:r>
        <w:rPr>
          <w:rFonts w:hint="default" w:ascii="Times New Roman" w:hAnsi="Times New Roman" w:cs="Times New Roman"/>
          <w:bCs/>
          <w:spacing w:val="13"/>
          <w:szCs w:val="32"/>
          <w:highlight w:val="none"/>
        </w:rPr>
        <w:t>科</w:t>
      </w:r>
      <w:r>
        <w:rPr>
          <w:rFonts w:hint="default" w:ascii="Times New Roman" w:hAnsi="Times New Roman" w:cs="Times New Roman"/>
          <w:bCs/>
          <w:szCs w:val="32"/>
          <w:highlight w:val="none"/>
        </w:rPr>
        <w:t>学地认识和发展劳动价值论</w:t>
      </w:r>
      <w:r>
        <w:rPr>
          <w:rFonts w:hint="default" w:ascii="Times New Roman" w:hAnsi="Times New Roman" w:cs="Times New Roman"/>
          <w:bCs/>
          <w:spacing w:val="-14"/>
          <w:szCs w:val="32"/>
          <w:highlight w:val="none"/>
        </w:rPr>
        <w:t>—</w:t>
      </w:r>
      <w:r>
        <w:rPr>
          <w:rFonts w:hint="default" w:ascii="Times New Roman" w:hAnsi="Times New Roman" w:cs="Times New Roman"/>
          <w:bCs/>
          <w:spacing w:val="-10"/>
          <w:szCs w:val="32"/>
          <w:highlight w:val="none"/>
        </w:rPr>
        <w:t>兼立“新的活劳动价值一元论”</w:t>
      </w:r>
      <w:r>
        <w:tab/>
      </w:r>
      <w:r>
        <w:fldChar w:fldCharType="begin"/>
      </w:r>
      <w:r>
        <w:instrText xml:space="preserve"> PAGEREF _Toc1739546510 \h </w:instrText>
      </w:r>
      <w:r>
        <w:fldChar w:fldCharType="separate"/>
      </w:r>
      <w:r>
        <w:t>93</w:t>
      </w:r>
      <w:r>
        <w:fldChar w:fldCharType="end"/>
      </w:r>
    </w:p>
    <w:p w14:paraId="617E765C">
      <w:pPr>
        <w:pStyle w:val="14"/>
        <w:tabs>
          <w:tab w:val="right" w:leader="dot" w:pos="9026"/>
        </w:tabs>
      </w:pPr>
      <w:r>
        <w:rPr>
          <w:rFonts w:hint="default" w:ascii="Times New Roman" w:hAnsi="Times New Roman" w:cs="Times New Roman"/>
        </w:rPr>
        <w:t>新的活劳动价值一元论</w:t>
      </w:r>
      <w:r>
        <w:tab/>
      </w:r>
      <w:r>
        <w:fldChar w:fldCharType="begin"/>
      </w:r>
      <w:r>
        <w:instrText xml:space="preserve"> PAGEREF _Toc715823312 \h </w:instrText>
      </w:r>
      <w:r>
        <w:fldChar w:fldCharType="separate"/>
      </w:r>
      <w:r>
        <w:t>101</w:t>
      </w:r>
      <w:r>
        <w:fldChar w:fldCharType="end"/>
      </w:r>
    </w:p>
    <w:p w14:paraId="0FBE2B2F">
      <w:pPr>
        <w:pStyle w:val="14"/>
        <w:tabs>
          <w:tab w:val="right" w:leader="dot" w:pos="9026"/>
        </w:tabs>
      </w:pPr>
      <w:r>
        <w:rPr>
          <w:rFonts w:hint="default" w:ascii="Times New Roman" w:hAnsi="Times New Roman" w:eastAsia="黑体" w:cs="Times New Roman"/>
          <w:bCs/>
          <w:szCs w:val="44"/>
        </w:rPr>
        <w:t>党的性质与“三个代表”科学内涵</w:t>
      </w:r>
      <w:r>
        <w:tab/>
      </w:r>
      <w:r>
        <w:fldChar w:fldCharType="begin"/>
      </w:r>
      <w:r>
        <w:instrText xml:space="preserve"> PAGEREF _Toc639014290 \h </w:instrText>
      </w:r>
      <w:r>
        <w:fldChar w:fldCharType="separate"/>
      </w:r>
      <w:r>
        <w:t>110</w:t>
      </w:r>
      <w:r>
        <w:fldChar w:fldCharType="end"/>
      </w:r>
    </w:p>
    <w:p w14:paraId="19ECBBF5">
      <w:pPr>
        <w:pStyle w:val="14"/>
        <w:tabs>
          <w:tab w:val="right" w:leader="dot" w:pos="9026"/>
        </w:tabs>
      </w:pPr>
      <w:r>
        <w:rPr>
          <w:rFonts w:hint="default" w:ascii="Times New Roman" w:hAnsi="Times New Roman" w:eastAsia="黑体" w:cs="Times New Roman"/>
          <w:szCs w:val="32"/>
        </w:rPr>
        <w:t>教育大发展与经济全球化</w:t>
      </w:r>
      <w:r>
        <w:tab/>
      </w:r>
      <w:r>
        <w:fldChar w:fldCharType="begin"/>
      </w:r>
      <w:r>
        <w:instrText xml:space="preserve"> PAGEREF _Toc347453383 \h </w:instrText>
      </w:r>
      <w:r>
        <w:fldChar w:fldCharType="separate"/>
      </w:r>
      <w:r>
        <w:t>118</w:t>
      </w:r>
      <w:r>
        <w:fldChar w:fldCharType="end"/>
      </w:r>
    </w:p>
    <w:p w14:paraId="4BAECE7D">
      <w:pPr>
        <w:pStyle w:val="10"/>
        <w:tabs>
          <w:tab w:val="right" w:leader="dot" w:pos="9026"/>
        </w:tabs>
      </w:pPr>
      <w:r>
        <w:rPr>
          <w:rFonts w:hint="default" w:ascii="Times New Roman" w:hAnsi="Times New Roman" w:cs="Times New Roman"/>
          <w:bCs w:val="0"/>
        </w:rPr>
        <w:t>2002年</w:t>
      </w:r>
      <w:r>
        <w:tab/>
      </w:r>
      <w:r>
        <w:fldChar w:fldCharType="begin"/>
      </w:r>
      <w:r>
        <w:instrText xml:space="preserve"> PAGEREF _Toc640971888 \h </w:instrText>
      </w:r>
      <w:r>
        <w:fldChar w:fldCharType="separate"/>
      </w:r>
      <w:r>
        <w:t>124</w:t>
      </w:r>
      <w:r>
        <w:fldChar w:fldCharType="end"/>
      </w:r>
    </w:p>
    <w:p w14:paraId="7F8E577D">
      <w:pPr>
        <w:pStyle w:val="14"/>
        <w:tabs>
          <w:tab w:val="right" w:leader="dot" w:pos="9026"/>
        </w:tabs>
      </w:pPr>
      <w:r>
        <w:rPr>
          <w:rFonts w:hint="default" w:ascii="Times New Roman" w:hAnsi="Times New Roman" w:eastAsia="黑体" w:cs="Times New Roman"/>
          <w:szCs w:val="32"/>
        </w:rPr>
        <w:t>新经济与美国经济增长的两类原因</w:t>
      </w:r>
      <w:r>
        <w:tab/>
      </w:r>
      <w:r>
        <w:fldChar w:fldCharType="begin"/>
      </w:r>
      <w:r>
        <w:instrText xml:space="preserve"> PAGEREF _Toc1036548264 \h </w:instrText>
      </w:r>
      <w:r>
        <w:fldChar w:fldCharType="separate"/>
      </w:r>
      <w:r>
        <w:t>124</w:t>
      </w:r>
      <w:r>
        <w:fldChar w:fldCharType="end"/>
      </w:r>
    </w:p>
    <w:p w14:paraId="3ECA4509">
      <w:pPr>
        <w:pStyle w:val="14"/>
        <w:tabs>
          <w:tab w:val="right" w:leader="dot" w:pos="9026"/>
        </w:tabs>
      </w:pPr>
      <w:r>
        <w:rPr>
          <w:rFonts w:hint="default" w:ascii="Times New Roman" w:hAnsi="Times New Roman" w:eastAsia="黑体" w:cs="Times New Roman"/>
          <w:szCs w:val="32"/>
        </w:rPr>
        <w:t>股份制国有企</w:t>
      </w:r>
      <w:r>
        <w:rPr>
          <w:rFonts w:hint="default" w:ascii="Times New Roman" w:hAnsi="Times New Roman" w:eastAsia="黑体" w:cs="Times New Roman"/>
          <w:szCs w:val="24"/>
        </w:rPr>
        <w:t>业改革效应分析</w:t>
      </w:r>
      <w:r>
        <w:tab/>
      </w:r>
      <w:r>
        <w:fldChar w:fldCharType="begin"/>
      </w:r>
      <w:r>
        <w:instrText xml:space="preserve"> PAGEREF _Toc879328584 \h </w:instrText>
      </w:r>
      <w:r>
        <w:fldChar w:fldCharType="separate"/>
      </w:r>
      <w:r>
        <w:t>132</w:t>
      </w:r>
      <w:r>
        <w:fldChar w:fldCharType="end"/>
      </w:r>
    </w:p>
    <w:p w14:paraId="7218777D">
      <w:pPr>
        <w:pStyle w:val="14"/>
        <w:tabs>
          <w:tab w:val="right" w:leader="dot" w:pos="9026"/>
        </w:tabs>
      </w:pPr>
      <w:r>
        <w:rPr>
          <w:rFonts w:hint="default" w:ascii="Times New Roman" w:hAnsi="Times New Roman" w:eastAsia="黑体" w:cs="Times New Roman"/>
          <w:bCs/>
        </w:rPr>
        <w:t>社会关系网络企业新的资源配置形式</w:t>
      </w:r>
      <w:r>
        <w:tab/>
      </w:r>
      <w:r>
        <w:fldChar w:fldCharType="begin"/>
      </w:r>
      <w:r>
        <w:instrText xml:space="preserve"> PAGEREF _Toc2040536281 \h </w:instrText>
      </w:r>
      <w:r>
        <w:fldChar w:fldCharType="separate"/>
      </w:r>
      <w:r>
        <w:t>138</w:t>
      </w:r>
      <w:r>
        <w:fldChar w:fldCharType="end"/>
      </w:r>
    </w:p>
    <w:p w14:paraId="4CAAF27A">
      <w:pPr>
        <w:pStyle w:val="14"/>
        <w:tabs>
          <w:tab w:val="right" w:leader="dot" w:pos="9026"/>
        </w:tabs>
      </w:pPr>
      <w:r>
        <w:rPr>
          <w:rFonts w:hint="eastAsia" w:ascii="黑体" w:hAnsi="黑体" w:eastAsia="黑体" w:cs="黑体"/>
          <w:bCs w:val="0"/>
          <w:szCs w:val="32"/>
        </w:rPr>
        <w:t>企业研究：一个新经济社会学的视角</w:t>
      </w:r>
      <w:r>
        <w:tab/>
      </w:r>
      <w:r>
        <w:fldChar w:fldCharType="begin"/>
      </w:r>
      <w:r>
        <w:instrText xml:space="preserve"> PAGEREF _Toc2126915824 \h </w:instrText>
      </w:r>
      <w:r>
        <w:fldChar w:fldCharType="separate"/>
      </w:r>
      <w:r>
        <w:t>149</w:t>
      </w:r>
      <w:r>
        <w:fldChar w:fldCharType="end"/>
      </w:r>
    </w:p>
    <w:p w14:paraId="44372087">
      <w:pPr>
        <w:pStyle w:val="14"/>
        <w:tabs>
          <w:tab w:val="right" w:leader="dot" w:pos="9026"/>
        </w:tabs>
      </w:pPr>
      <w:r>
        <w:rPr>
          <w:rFonts w:hint="default" w:ascii="Times New Roman" w:hAnsi="Times New Roman" w:eastAsia="黑体" w:cs="Times New Roman"/>
          <w:szCs w:val="24"/>
        </w:rPr>
        <w:t>西方企业理论的意义、误点及与马克思企业理论的比较</w:t>
      </w:r>
      <w:r>
        <w:tab/>
      </w:r>
      <w:r>
        <w:fldChar w:fldCharType="begin"/>
      </w:r>
      <w:r>
        <w:instrText xml:space="preserve"> PAGEREF _Toc61466006 \h </w:instrText>
      </w:r>
      <w:r>
        <w:fldChar w:fldCharType="separate"/>
      </w:r>
      <w:r>
        <w:t>164</w:t>
      </w:r>
      <w:r>
        <w:fldChar w:fldCharType="end"/>
      </w:r>
    </w:p>
    <w:p w14:paraId="61B617EE">
      <w:pPr>
        <w:pStyle w:val="14"/>
        <w:tabs>
          <w:tab w:val="right" w:leader="dot" w:pos="9026"/>
        </w:tabs>
      </w:pPr>
      <w:r>
        <w:rPr>
          <w:rFonts w:hint="default" w:ascii="Times New Roman" w:hAnsi="Times New Roman" w:eastAsia="黑体" w:cs="Times New Roman"/>
          <w:szCs w:val="24"/>
        </w:rPr>
        <w:t>西方企业理论的意义、误点及与马克思企业理论的比较</w:t>
      </w:r>
      <w:r>
        <w:tab/>
      </w:r>
      <w:r>
        <w:fldChar w:fldCharType="begin"/>
      </w:r>
      <w:r>
        <w:instrText xml:space="preserve"> PAGEREF _Toc119528635 \h </w:instrText>
      </w:r>
      <w:r>
        <w:fldChar w:fldCharType="separate"/>
      </w:r>
      <w:r>
        <w:t>171</w:t>
      </w:r>
      <w:r>
        <w:fldChar w:fldCharType="end"/>
      </w:r>
    </w:p>
    <w:p w14:paraId="388BED14">
      <w:pPr>
        <w:pStyle w:val="14"/>
        <w:tabs>
          <w:tab w:val="right" w:leader="dot" w:pos="9026"/>
        </w:tabs>
      </w:pPr>
      <w:r>
        <w:rPr>
          <w:rFonts w:hint="default" w:ascii="Times New Roman" w:hAnsi="Times New Roman" w:eastAsia="黑体" w:cs="Times New Roman"/>
          <w:szCs w:val="32"/>
        </w:rPr>
        <w:t>西</w:t>
      </w:r>
      <w:r>
        <w:rPr>
          <w:rFonts w:hint="default" w:ascii="Times New Roman" w:hAnsi="Times New Roman" w:eastAsia="黑体" w:cs="Times New Roman"/>
          <w:szCs w:val="24"/>
        </w:rPr>
        <w:t>方经济学范式的缺陷与海派经济学的构建</w:t>
      </w:r>
      <w:r>
        <w:tab/>
      </w:r>
      <w:r>
        <w:fldChar w:fldCharType="begin"/>
      </w:r>
      <w:r>
        <w:instrText xml:space="preserve"> PAGEREF _Toc1020558500 \h </w:instrText>
      </w:r>
      <w:r>
        <w:fldChar w:fldCharType="separate"/>
      </w:r>
      <w:r>
        <w:t>178</w:t>
      </w:r>
      <w:r>
        <w:fldChar w:fldCharType="end"/>
      </w:r>
    </w:p>
    <w:p w14:paraId="17BEA6D6">
      <w:pPr>
        <w:pStyle w:val="14"/>
        <w:tabs>
          <w:tab w:val="right" w:leader="dot" w:pos="9026"/>
        </w:tabs>
      </w:pPr>
      <w:r>
        <w:rPr>
          <w:rFonts w:hint="default" w:ascii="Times New Roman" w:hAnsi="Times New Roman" w:eastAsia="黑体" w:cs="Times New Roman"/>
          <w:szCs w:val="24"/>
        </w:rPr>
        <w:t>入世后  我国文化产业怎样做大做强</w:t>
      </w:r>
      <w:r>
        <w:tab/>
      </w:r>
      <w:r>
        <w:fldChar w:fldCharType="begin"/>
      </w:r>
      <w:r>
        <w:instrText xml:space="preserve"> PAGEREF _Toc574820911 \h </w:instrText>
      </w:r>
      <w:r>
        <w:fldChar w:fldCharType="separate"/>
      </w:r>
      <w:r>
        <w:t>185</w:t>
      </w:r>
      <w:r>
        <w:fldChar w:fldCharType="end"/>
      </w:r>
    </w:p>
    <w:p w14:paraId="14D0FC70">
      <w:pPr>
        <w:pStyle w:val="14"/>
        <w:tabs>
          <w:tab w:val="right" w:leader="dot" w:pos="9026"/>
        </w:tabs>
      </w:pPr>
      <w:r>
        <w:rPr>
          <w:rFonts w:hint="default" w:ascii="Times New Roman" w:hAnsi="Times New Roman" w:eastAsia="黑体" w:cs="Times New Roman"/>
          <w:szCs w:val="24"/>
        </w:rPr>
        <w:t>马克思“商品价值量与劳动生产率变动规律”新探</w:t>
      </w:r>
      <w:r>
        <w:tab/>
      </w:r>
      <w:r>
        <w:fldChar w:fldCharType="begin"/>
      </w:r>
      <w:r>
        <w:instrText xml:space="preserve"> PAGEREF _Toc1633606971 \h </w:instrText>
      </w:r>
      <w:r>
        <w:fldChar w:fldCharType="separate"/>
      </w:r>
      <w:r>
        <w:t>189</w:t>
      </w:r>
      <w:r>
        <w:fldChar w:fldCharType="end"/>
      </w:r>
    </w:p>
    <w:p w14:paraId="75553E1C">
      <w:pPr>
        <w:pStyle w:val="14"/>
        <w:tabs>
          <w:tab w:val="right" w:leader="dot" w:pos="9026"/>
        </w:tabs>
      </w:pPr>
      <w:r>
        <w:rPr>
          <w:rFonts w:hint="default" w:ascii="Times New Roman" w:hAnsi="Times New Roman" w:eastAsia="黑体" w:cs="Times New Roman"/>
          <w:bCs w:val="0"/>
          <w:color w:val="231F20"/>
          <w:spacing w:val="17"/>
          <w:szCs w:val="32"/>
        </w:rPr>
        <w:t>关于人民币区域化和国际化可能性探析</w:t>
      </w:r>
      <w:r>
        <w:tab/>
      </w:r>
      <w:r>
        <w:fldChar w:fldCharType="begin"/>
      </w:r>
      <w:r>
        <w:instrText xml:space="preserve"> PAGEREF _Toc453934702 \h </w:instrText>
      </w:r>
      <w:r>
        <w:fldChar w:fldCharType="separate"/>
      </w:r>
      <w:r>
        <w:t>197</w:t>
      </w:r>
      <w:r>
        <w:fldChar w:fldCharType="end"/>
      </w:r>
    </w:p>
    <w:p w14:paraId="6A564374">
      <w:pPr>
        <w:pStyle w:val="14"/>
        <w:tabs>
          <w:tab w:val="right" w:leader="dot" w:pos="9026"/>
        </w:tabs>
      </w:pPr>
      <w:r>
        <w:rPr>
          <w:rFonts w:hint="eastAsia" w:ascii="黑体" w:hAnsi="黑体" w:eastAsia="黑体" w:cs="黑体"/>
          <w:bCs w:val="0"/>
          <w:spacing w:val="23"/>
          <w:szCs w:val="48"/>
        </w:rPr>
        <w:t>“入世”对国内消费的影响与对策</w:t>
      </w:r>
      <w:r>
        <w:tab/>
      </w:r>
      <w:r>
        <w:fldChar w:fldCharType="begin"/>
      </w:r>
      <w:r>
        <w:instrText xml:space="preserve"> PAGEREF _Toc1418622370 \h </w:instrText>
      </w:r>
      <w:r>
        <w:fldChar w:fldCharType="separate"/>
      </w:r>
      <w:r>
        <w:t>204</w:t>
      </w:r>
      <w:r>
        <w:fldChar w:fldCharType="end"/>
      </w:r>
    </w:p>
    <w:p w14:paraId="5FB5C535">
      <w:pPr>
        <w:pStyle w:val="14"/>
        <w:tabs>
          <w:tab w:val="right" w:leader="dot" w:pos="9026"/>
        </w:tabs>
      </w:pPr>
      <w:r>
        <w:rPr>
          <w:rFonts w:hint="eastAsia" w:ascii="黑体" w:hAnsi="黑体" w:eastAsia="黑体" w:cs="黑体"/>
          <w:bCs w:val="0"/>
          <w:spacing w:val="23"/>
          <w:szCs w:val="48"/>
        </w:rPr>
        <w:t>控股、控牌、控技——文化产业如何提升竞争素质</w:t>
      </w:r>
      <w:r>
        <w:tab/>
      </w:r>
      <w:r>
        <w:fldChar w:fldCharType="begin"/>
      </w:r>
      <w:r>
        <w:instrText xml:space="preserve"> PAGEREF _Toc1422723596 \h </w:instrText>
      </w:r>
      <w:r>
        <w:fldChar w:fldCharType="separate"/>
      </w:r>
      <w:r>
        <w:t>208</w:t>
      </w:r>
      <w:r>
        <w:fldChar w:fldCharType="end"/>
      </w:r>
    </w:p>
    <w:p w14:paraId="6325C82E">
      <w:pPr>
        <w:pStyle w:val="14"/>
        <w:tabs>
          <w:tab w:val="right" w:leader="dot" w:pos="9026"/>
        </w:tabs>
      </w:pPr>
      <w:r>
        <w:rPr>
          <w:rFonts w:hint="default" w:ascii="Times New Roman" w:hAnsi="Times New Roman" w:eastAsia="黑体" w:cs="Times New Roman"/>
          <w:bCs/>
          <w:spacing w:val="23"/>
          <w:szCs w:val="48"/>
        </w:rPr>
        <w:t>企业制度与收入性质</w:t>
      </w:r>
      <w:r>
        <w:tab/>
      </w:r>
      <w:r>
        <w:fldChar w:fldCharType="begin"/>
      </w:r>
      <w:r>
        <w:instrText xml:space="preserve"> PAGEREF _Toc1632552274 \h </w:instrText>
      </w:r>
      <w:r>
        <w:fldChar w:fldCharType="separate"/>
      </w:r>
      <w:r>
        <w:t>210</w:t>
      </w:r>
      <w:r>
        <w:fldChar w:fldCharType="end"/>
      </w:r>
    </w:p>
    <w:p w14:paraId="2AAD59E7">
      <w:pPr>
        <w:pStyle w:val="14"/>
        <w:tabs>
          <w:tab w:val="right" w:leader="dot" w:pos="9026"/>
        </w:tabs>
      </w:pPr>
      <w:r>
        <w:rPr>
          <w:rFonts w:hint="default" w:ascii="Times New Roman" w:hAnsi="Times New Roman" w:eastAsia="黑体" w:cs="Times New Roman"/>
          <w:bCs w:val="0"/>
          <w:spacing w:val="23"/>
          <w:szCs w:val="48"/>
        </w:rPr>
        <w:t>劳动价值论的认识创新</w:t>
      </w:r>
      <w:r>
        <w:tab/>
      </w:r>
      <w:r>
        <w:fldChar w:fldCharType="begin"/>
      </w:r>
      <w:r>
        <w:instrText xml:space="preserve"> PAGEREF _Toc2054995046 \h </w:instrText>
      </w:r>
      <w:r>
        <w:fldChar w:fldCharType="separate"/>
      </w:r>
      <w:r>
        <w:t>215</w:t>
      </w:r>
      <w:r>
        <w:fldChar w:fldCharType="end"/>
      </w:r>
    </w:p>
    <w:p w14:paraId="5E622408">
      <w:pPr>
        <w:pStyle w:val="14"/>
        <w:tabs>
          <w:tab w:val="right" w:leader="dot" w:pos="9026"/>
        </w:tabs>
      </w:pPr>
      <w:r>
        <w:rPr>
          <w:rFonts w:hint="default" w:ascii="Times New Roman" w:hAnsi="Times New Roman" w:eastAsia="黑体" w:cs="Times New Roman"/>
          <w:bCs w:val="0"/>
          <w:spacing w:val="23"/>
          <w:szCs w:val="48"/>
        </w:rPr>
        <w:t>如何运用马克思主义理论指导我国市场经济实践</w:t>
      </w:r>
      <w:r>
        <w:tab/>
      </w:r>
      <w:r>
        <w:fldChar w:fldCharType="begin"/>
      </w:r>
      <w:r>
        <w:instrText xml:space="preserve"> PAGEREF _Toc322243421 \h </w:instrText>
      </w:r>
      <w:r>
        <w:fldChar w:fldCharType="separate"/>
      </w:r>
      <w:r>
        <w:t>217</w:t>
      </w:r>
      <w:r>
        <w:fldChar w:fldCharType="end"/>
      </w:r>
    </w:p>
    <w:p w14:paraId="3502F889">
      <w:pPr>
        <w:pStyle w:val="14"/>
        <w:tabs>
          <w:tab w:val="right" w:leader="dot" w:pos="9026"/>
        </w:tabs>
      </w:pPr>
      <w:r>
        <w:rPr>
          <w:rFonts w:hint="default" w:ascii="Times New Roman" w:hAnsi="Times New Roman" w:eastAsia="黑体" w:cs="Times New Roman"/>
          <w:bCs/>
          <w:color w:val="000000"/>
          <w:spacing w:val="23"/>
          <w:kern w:val="0"/>
          <w:szCs w:val="48"/>
          <w:lang w:bidi="ar"/>
        </w:rPr>
        <w:t>关于人民币区域化和国际化可能性探析</w:t>
      </w:r>
      <w:r>
        <w:tab/>
      </w:r>
      <w:r>
        <w:fldChar w:fldCharType="begin"/>
      </w:r>
      <w:r>
        <w:instrText xml:space="preserve"> PAGEREF _Toc2138902660 \h </w:instrText>
      </w:r>
      <w:r>
        <w:fldChar w:fldCharType="separate"/>
      </w:r>
      <w:r>
        <w:t>220</w:t>
      </w:r>
      <w:r>
        <w:fldChar w:fldCharType="end"/>
      </w:r>
    </w:p>
    <w:p w14:paraId="5B368D7D">
      <w:pPr>
        <w:pStyle w:val="10"/>
        <w:tabs>
          <w:tab w:val="right" w:leader="dot" w:pos="9026"/>
        </w:tabs>
      </w:pPr>
      <w:r>
        <w:rPr>
          <w:rFonts w:ascii="宋体" w:hAnsi="宋体" w:eastAsia="宋体" w:cs="Times New Roman"/>
          <w:bCs w:val="0"/>
        </w:rPr>
        <w:t>2003年</w:t>
      </w:r>
      <w:r>
        <w:tab/>
      </w:r>
      <w:r>
        <w:fldChar w:fldCharType="begin"/>
      </w:r>
      <w:r>
        <w:instrText xml:space="preserve"> PAGEREF _Toc1808239487 \h </w:instrText>
      </w:r>
      <w:r>
        <w:fldChar w:fldCharType="separate"/>
      </w:r>
      <w:r>
        <w:t>227</w:t>
      </w:r>
      <w:r>
        <w:fldChar w:fldCharType="end"/>
      </w:r>
    </w:p>
    <w:p w14:paraId="35B40A99">
      <w:pPr>
        <w:pStyle w:val="14"/>
        <w:tabs>
          <w:tab w:val="right" w:leader="dot" w:pos="9026"/>
        </w:tabs>
      </w:pPr>
      <w:r>
        <w:rPr>
          <w:rFonts w:hint="eastAsia" w:eastAsia="宋体" w:cs="Times New Roman"/>
          <w:color w:val="000000"/>
          <w:szCs w:val="21"/>
        </w:rPr>
        <w:t>邓小平社会主义本质论新探</w:t>
      </w:r>
      <w:r>
        <w:tab/>
      </w:r>
      <w:r>
        <w:fldChar w:fldCharType="begin"/>
      </w:r>
      <w:r>
        <w:instrText xml:space="preserve"> PAGEREF _Toc2039969312 \h </w:instrText>
      </w:r>
      <w:r>
        <w:fldChar w:fldCharType="separate"/>
      </w:r>
      <w:r>
        <w:t>227</w:t>
      </w:r>
      <w:r>
        <w:fldChar w:fldCharType="end"/>
      </w:r>
    </w:p>
    <w:p w14:paraId="079C4C0E">
      <w:pPr>
        <w:pStyle w:val="14"/>
        <w:tabs>
          <w:tab w:val="right" w:leader="dot" w:pos="9026"/>
        </w:tabs>
      </w:pPr>
      <w:r>
        <w:rPr>
          <w:rFonts w:ascii="宋体" w:hAnsi="宋体" w:eastAsia="宋体" w:cs="Times New Roman"/>
          <w:color w:val="000000"/>
          <w:szCs w:val="21"/>
        </w:rPr>
        <w:t>价值、财富与分配“新四说”</w:t>
      </w:r>
      <w:r>
        <w:tab/>
      </w:r>
      <w:r>
        <w:fldChar w:fldCharType="begin"/>
      </w:r>
      <w:r>
        <w:instrText xml:space="preserve"> PAGEREF _Toc1187802429 \h </w:instrText>
      </w:r>
      <w:r>
        <w:fldChar w:fldCharType="separate"/>
      </w:r>
      <w:r>
        <w:t>235</w:t>
      </w:r>
      <w:r>
        <w:fldChar w:fldCharType="end"/>
      </w:r>
    </w:p>
    <w:p w14:paraId="54304DE1">
      <w:pPr>
        <w:pStyle w:val="14"/>
        <w:tabs>
          <w:tab w:val="right" w:leader="dot" w:pos="9026"/>
        </w:tabs>
      </w:pPr>
      <w:r>
        <w:rPr>
          <w:rFonts w:hint="eastAsia" w:ascii="宋体" w:hAnsi="宋体" w:eastAsia="宋体" w:cs="宋体"/>
          <w:color w:val="000000"/>
          <w:szCs w:val="32"/>
        </w:rPr>
        <w:t>构建知识产权优势理论与战略</w:t>
      </w:r>
      <w:r>
        <w:rPr>
          <w:rFonts w:hint="eastAsia" w:ascii="宋体" w:hAnsi="宋体" w:eastAsia="宋体" w:cs="宋体"/>
          <w:color w:val="000000"/>
          <w:szCs w:val="32"/>
        </w:rPr>
        <w:t xml:space="preserve"> </w:t>
      </w:r>
      <w:r>
        <w:rPr>
          <w:rFonts w:hint="eastAsia" w:ascii="宋体" w:hAnsi="宋体" w:eastAsia="宋体" w:cs="宋体"/>
          <w:color w:val="000000"/>
          <w:szCs w:val="32"/>
        </w:rPr>
        <w:t>——兼论比较优势和竞争优势理论</w:t>
      </w:r>
      <w:r>
        <w:tab/>
      </w:r>
      <w:r>
        <w:fldChar w:fldCharType="begin"/>
      </w:r>
      <w:r>
        <w:instrText xml:space="preserve"> PAGEREF _Toc387441691 \h </w:instrText>
      </w:r>
      <w:r>
        <w:fldChar w:fldCharType="separate"/>
      </w:r>
      <w:r>
        <w:t>245</w:t>
      </w:r>
      <w:r>
        <w:fldChar w:fldCharType="end"/>
      </w:r>
    </w:p>
    <w:p w14:paraId="0173774A">
      <w:pPr>
        <w:pStyle w:val="14"/>
        <w:tabs>
          <w:tab w:val="right" w:leader="dot" w:pos="9026"/>
        </w:tabs>
      </w:pPr>
      <w:r>
        <w:rPr>
          <w:rFonts w:ascii="黑体" w:hAnsi="黑体" w:eastAsia="黑体" w:cs="Times New Roman"/>
          <w:color w:val="000000"/>
          <w:szCs w:val="32"/>
          <w:lang w:bidi="ar"/>
        </w:rPr>
        <w:t>中国经济体制转型的四个方面</w:t>
      </w:r>
      <w:r>
        <w:tab/>
      </w:r>
      <w:r>
        <w:fldChar w:fldCharType="begin"/>
      </w:r>
      <w:r>
        <w:instrText xml:space="preserve"> PAGEREF _Toc562082933 \h </w:instrText>
      </w:r>
      <w:r>
        <w:fldChar w:fldCharType="separate"/>
      </w:r>
      <w:r>
        <w:t>256</w:t>
      </w:r>
      <w:r>
        <w:fldChar w:fldCharType="end"/>
      </w:r>
    </w:p>
    <w:p w14:paraId="7D3022C5">
      <w:pPr>
        <w:pStyle w:val="14"/>
        <w:tabs>
          <w:tab w:val="right" w:leader="dot" w:pos="9026"/>
        </w:tabs>
      </w:pPr>
      <w:r>
        <w:rPr>
          <w:rFonts w:ascii="黑体" w:hAnsi="黑体" w:eastAsia="黑体" w:cs="Times New Roman"/>
          <w:color w:val="000000"/>
          <w:kern w:val="0"/>
          <w:szCs w:val="32"/>
          <w:lang w:bidi="ar"/>
        </w:rPr>
        <w:t>20世纪不同类型国家的经济体制研究</w:t>
      </w:r>
      <w:r>
        <w:tab/>
      </w:r>
      <w:r>
        <w:fldChar w:fldCharType="begin"/>
      </w:r>
      <w:r>
        <w:instrText xml:space="preserve"> PAGEREF _Toc147291778 \h </w:instrText>
      </w:r>
      <w:r>
        <w:fldChar w:fldCharType="separate"/>
      </w:r>
      <w:r>
        <w:t>258</w:t>
      </w:r>
      <w:r>
        <w:fldChar w:fldCharType="end"/>
      </w:r>
    </w:p>
    <w:p w14:paraId="1E13510B">
      <w:pPr>
        <w:pStyle w:val="14"/>
        <w:tabs>
          <w:tab w:val="right" w:leader="dot" w:pos="9026"/>
        </w:tabs>
      </w:pPr>
      <w:r>
        <w:rPr>
          <w:rFonts w:ascii="黑体" w:hAnsi="黑体" w:eastAsia="黑体" w:cs="Times New Roman"/>
          <w:color w:val="000000"/>
          <w:kern w:val="0"/>
          <w:szCs w:val="32"/>
          <w:lang w:bidi="ar"/>
        </w:rPr>
        <w:t>建立</w:t>
      </w:r>
      <w:r>
        <w:rPr>
          <w:rFonts w:hint="eastAsia" w:ascii="黑体" w:hAnsi="黑体" w:eastAsia="黑体" w:cs="Times New Roman"/>
          <w:color w:val="000000"/>
          <w:kern w:val="0"/>
          <w:szCs w:val="32"/>
          <w:lang w:bidi="ar"/>
        </w:rPr>
        <w:t>“</w:t>
      </w:r>
      <w:r>
        <w:rPr>
          <w:rFonts w:ascii="黑体" w:hAnsi="黑体" w:eastAsia="黑体" w:cs="Times New Roman"/>
          <w:color w:val="000000"/>
          <w:kern w:val="0"/>
          <w:szCs w:val="32"/>
          <w:lang w:bidi="ar"/>
        </w:rPr>
        <w:t>一府两系、三层分立、分类管理”的国有资产管理新体制</w:t>
      </w:r>
      <w:r>
        <w:tab/>
      </w:r>
      <w:r>
        <w:fldChar w:fldCharType="begin"/>
      </w:r>
      <w:r>
        <w:instrText xml:space="preserve"> PAGEREF _Toc1631751502 \h </w:instrText>
      </w:r>
      <w:r>
        <w:fldChar w:fldCharType="separate"/>
      </w:r>
      <w:r>
        <w:t>264</w:t>
      </w:r>
      <w:r>
        <w:fldChar w:fldCharType="end"/>
      </w:r>
    </w:p>
    <w:p w14:paraId="402BBB5E">
      <w:pPr>
        <w:pStyle w:val="14"/>
        <w:tabs>
          <w:tab w:val="right" w:leader="dot" w:pos="9026"/>
        </w:tabs>
      </w:pPr>
      <w:r>
        <w:rPr>
          <w:rFonts w:ascii="黑体" w:hAnsi="黑体" w:eastAsia="黑体" w:cs="Times New Roman"/>
          <w:color w:val="000000"/>
          <w:kern w:val="0"/>
          <w:szCs w:val="32"/>
          <w:lang w:bidi="ar"/>
        </w:rPr>
        <w:t>中韩经济增长特征比较分析</w:t>
      </w:r>
      <w:r>
        <w:tab/>
      </w:r>
      <w:r>
        <w:fldChar w:fldCharType="begin"/>
      </w:r>
      <w:r>
        <w:instrText xml:space="preserve"> PAGEREF _Toc1481321924 \h </w:instrText>
      </w:r>
      <w:r>
        <w:fldChar w:fldCharType="separate"/>
      </w:r>
      <w:r>
        <w:t>271</w:t>
      </w:r>
      <w:r>
        <w:fldChar w:fldCharType="end"/>
      </w:r>
    </w:p>
    <w:p w14:paraId="4CB3BE27">
      <w:pPr>
        <w:pStyle w:val="14"/>
        <w:tabs>
          <w:tab w:val="right" w:leader="dot" w:pos="9026"/>
        </w:tabs>
      </w:pPr>
      <w:r>
        <w:rPr>
          <w:rFonts w:ascii="黑体" w:hAnsi="黑体" w:eastAsia="黑体" w:cs="Times New Roman"/>
          <w:color w:val="000000"/>
          <w:kern w:val="0"/>
          <w:szCs w:val="32"/>
          <w:lang w:bidi="ar"/>
        </w:rPr>
        <w:t>新凯恩斯主义效率工资与失业理论解构</w:t>
      </w:r>
      <w:r>
        <w:tab/>
      </w:r>
      <w:r>
        <w:fldChar w:fldCharType="begin"/>
      </w:r>
      <w:r>
        <w:instrText xml:space="preserve"> PAGEREF _Toc799656997 \h </w:instrText>
      </w:r>
      <w:r>
        <w:fldChar w:fldCharType="separate"/>
      </w:r>
      <w:r>
        <w:t>286</w:t>
      </w:r>
      <w:r>
        <w:fldChar w:fldCharType="end"/>
      </w:r>
    </w:p>
    <w:p w14:paraId="0931A387">
      <w:pPr>
        <w:pStyle w:val="14"/>
        <w:tabs>
          <w:tab w:val="right" w:leader="dot" w:pos="9026"/>
        </w:tabs>
      </w:pPr>
      <w:r>
        <w:rPr>
          <w:rFonts w:ascii="黑体" w:hAnsi="黑体" w:eastAsia="黑体" w:cs="Times New Roman"/>
          <w:color w:val="000000"/>
          <w:kern w:val="0"/>
          <w:szCs w:val="32"/>
          <w:lang w:bidi="ar"/>
        </w:rPr>
        <w:t>当前剥削理论与现实评析</w:t>
      </w:r>
      <w:r>
        <w:tab/>
      </w:r>
      <w:r>
        <w:fldChar w:fldCharType="begin"/>
      </w:r>
      <w:r>
        <w:instrText xml:space="preserve"> PAGEREF _Toc882485653 \h </w:instrText>
      </w:r>
      <w:r>
        <w:fldChar w:fldCharType="separate"/>
      </w:r>
      <w:r>
        <w:t>291</w:t>
      </w:r>
      <w:r>
        <w:fldChar w:fldCharType="end"/>
      </w:r>
    </w:p>
    <w:p w14:paraId="6CC38E47">
      <w:pPr>
        <w:pStyle w:val="14"/>
        <w:tabs>
          <w:tab w:val="right" w:leader="dot" w:pos="9026"/>
        </w:tabs>
      </w:pPr>
      <w:r>
        <w:rPr>
          <w:rFonts w:ascii="黑体" w:hAnsi="黑体" w:eastAsia="黑体" w:cs="Times New Roman"/>
          <w:color w:val="000000"/>
          <w:kern w:val="0"/>
          <w:szCs w:val="32"/>
          <w:lang w:bidi="ar"/>
        </w:rPr>
        <w:t>东亚经济的调整与合作</w:t>
      </w:r>
      <w:r>
        <w:tab/>
      </w:r>
      <w:r>
        <w:fldChar w:fldCharType="begin"/>
      </w:r>
      <w:r>
        <w:instrText xml:space="preserve"> PAGEREF _Toc1414303789 \h </w:instrText>
      </w:r>
      <w:r>
        <w:fldChar w:fldCharType="separate"/>
      </w:r>
      <w:r>
        <w:t>297</w:t>
      </w:r>
      <w:r>
        <w:fldChar w:fldCharType="end"/>
      </w:r>
    </w:p>
    <w:p w14:paraId="5B1CD787">
      <w:pPr>
        <w:pStyle w:val="14"/>
        <w:tabs>
          <w:tab w:val="right" w:leader="dot" w:pos="9026"/>
        </w:tabs>
      </w:pPr>
      <w:r>
        <w:rPr>
          <w:rFonts w:cs="Times New Roman"/>
          <w:bCs/>
          <w:color w:val="000000"/>
          <w:szCs w:val="32"/>
          <w:lang w:bidi="ar"/>
        </w:rPr>
        <w:t>西方新政治经济学的发展与我国政治经济学革新</w:t>
      </w:r>
      <w:r>
        <w:tab/>
      </w:r>
      <w:r>
        <w:fldChar w:fldCharType="begin"/>
      </w:r>
      <w:r>
        <w:instrText xml:space="preserve"> PAGEREF _Toc1854776727 \h </w:instrText>
      </w:r>
      <w:r>
        <w:fldChar w:fldCharType="separate"/>
      </w:r>
      <w:r>
        <w:t>303</w:t>
      </w:r>
      <w:r>
        <w:fldChar w:fldCharType="end"/>
      </w:r>
    </w:p>
    <w:p w14:paraId="2E27F2D4">
      <w:pPr>
        <w:pStyle w:val="14"/>
        <w:tabs>
          <w:tab w:val="right" w:leader="dot" w:pos="9026"/>
        </w:tabs>
      </w:pPr>
      <w:r>
        <w:rPr>
          <w:rFonts w:ascii="黑体" w:hAnsi="黑体" w:eastAsia="黑体" w:cs="Times New Roman"/>
          <w:color w:val="000000"/>
          <w:kern w:val="0"/>
          <w:szCs w:val="32"/>
          <w:lang w:bidi="ar"/>
        </w:rPr>
        <w:t>新</w:t>
      </w:r>
      <w:r>
        <w:rPr>
          <w:rFonts w:hint="eastAsia" w:ascii="黑体" w:hAnsi="黑体" w:eastAsia="黑体" w:cs="Times New Roman"/>
          <w:color w:val="000000"/>
          <w:kern w:val="0"/>
          <w:szCs w:val="32"/>
          <w:lang w:bidi="ar"/>
        </w:rPr>
        <w:t>“</w:t>
      </w:r>
      <w:r>
        <w:rPr>
          <w:rFonts w:ascii="黑体" w:hAnsi="黑体" w:eastAsia="黑体" w:cs="Times New Roman"/>
          <w:color w:val="000000"/>
          <w:kern w:val="0"/>
          <w:szCs w:val="32"/>
          <w:lang w:bidi="ar"/>
        </w:rPr>
        <w:t>经济人”论：海派经济学的一个基本假设</w:t>
      </w:r>
      <w:r>
        <w:tab/>
      </w:r>
      <w:r>
        <w:fldChar w:fldCharType="begin"/>
      </w:r>
      <w:r>
        <w:instrText xml:space="preserve"> PAGEREF _Toc359830837 \h </w:instrText>
      </w:r>
      <w:r>
        <w:fldChar w:fldCharType="separate"/>
      </w:r>
      <w:r>
        <w:t>315</w:t>
      </w:r>
      <w:r>
        <w:fldChar w:fldCharType="end"/>
      </w:r>
    </w:p>
    <w:p w14:paraId="0F15C825">
      <w:pPr>
        <w:pStyle w:val="10"/>
        <w:tabs>
          <w:tab w:val="right" w:leader="dot" w:pos="9026"/>
        </w:tabs>
      </w:pPr>
      <w:r>
        <w:rPr>
          <w:rFonts w:ascii="宋体" w:hAnsi="宋体" w:eastAsia="宋体" w:cs="Times New Roman"/>
          <w:bCs w:val="0"/>
        </w:rPr>
        <w:t>2004年</w:t>
      </w:r>
      <w:r>
        <w:tab/>
      </w:r>
      <w:r>
        <w:fldChar w:fldCharType="begin"/>
      </w:r>
      <w:r>
        <w:instrText xml:space="preserve"> PAGEREF _Toc362927507 \h </w:instrText>
      </w:r>
      <w:r>
        <w:fldChar w:fldCharType="separate"/>
      </w:r>
      <w:r>
        <w:t>322</w:t>
      </w:r>
      <w:r>
        <w:fldChar w:fldCharType="end"/>
      </w:r>
    </w:p>
    <w:p w14:paraId="50FF9431">
      <w:pPr>
        <w:pStyle w:val="14"/>
        <w:tabs>
          <w:tab w:val="right" w:leader="dot" w:pos="9026"/>
        </w:tabs>
      </w:pPr>
      <w:r>
        <w:rPr>
          <w:rFonts w:ascii="黑体" w:hAnsi="黑体" w:eastAsia="黑体" w:cs="Times New Roman"/>
          <w:color w:val="000000"/>
          <w:kern w:val="0"/>
          <w:szCs w:val="32"/>
          <w:lang w:bidi="ar"/>
        </w:rPr>
        <w:t>律师保密义务和追诉时效制度的经济分析——挑战中外法学界主流理论</w:t>
      </w:r>
      <w:r>
        <w:tab/>
      </w:r>
      <w:r>
        <w:fldChar w:fldCharType="begin"/>
      </w:r>
      <w:r>
        <w:instrText xml:space="preserve"> PAGEREF _Toc869052669 \h </w:instrText>
      </w:r>
      <w:r>
        <w:fldChar w:fldCharType="separate"/>
      </w:r>
      <w:r>
        <w:t>322</w:t>
      </w:r>
      <w:r>
        <w:fldChar w:fldCharType="end"/>
      </w:r>
    </w:p>
    <w:p w14:paraId="70AB5D31">
      <w:pPr>
        <w:pStyle w:val="14"/>
        <w:tabs>
          <w:tab w:val="right" w:leader="dot" w:pos="9026"/>
        </w:tabs>
      </w:pPr>
      <w:r>
        <w:rPr>
          <w:rFonts w:ascii="黑体" w:hAnsi="黑体" w:eastAsia="黑体" w:cs="Times New Roman"/>
          <w:color w:val="000000"/>
          <w:kern w:val="0"/>
          <w:szCs w:val="32"/>
          <w:lang w:bidi="ar"/>
        </w:rPr>
        <w:t>当代外国学者对新保守主义经济思潮的研究</w:t>
      </w:r>
      <w:r>
        <w:tab/>
      </w:r>
      <w:r>
        <w:fldChar w:fldCharType="begin"/>
      </w:r>
      <w:r>
        <w:instrText xml:space="preserve"> PAGEREF _Toc1131924636 \h </w:instrText>
      </w:r>
      <w:r>
        <w:fldChar w:fldCharType="separate"/>
      </w:r>
      <w:r>
        <w:t>355</w:t>
      </w:r>
      <w:r>
        <w:fldChar w:fldCharType="end"/>
      </w:r>
    </w:p>
    <w:p w14:paraId="234924F3">
      <w:pPr>
        <w:pStyle w:val="14"/>
        <w:tabs>
          <w:tab w:val="right" w:leader="dot" w:pos="9026"/>
        </w:tabs>
      </w:pPr>
      <w:r>
        <w:rPr>
          <w:rFonts w:ascii="黑体" w:hAnsi="黑体" w:eastAsia="黑体" w:cs="Times New Roman"/>
          <w:color w:val="000000"/>
          <w:kern w:val="0"/>
          <w:szCs w:val="32"/>
          <w:lang w:bidi="ar"/>
        </w:rPr>
        <w:t>经济学的综合创新与构建海派经济学</w:t>
      </w:r>
      <w:r>
        <w:tab/>
      </w:r>
      <w:r>
        <w:fldChar w:fldCharType="begin"/>
      </w:r>
      <w:r>
        <w:instrText xml:space="preserve"> PAGEREF _Toc1847212126 \h </w:instrText>
      </w:r>
      <w:r>
        <w:fldChar w:fldCharType="separate"/>
      </w:r>
      <w:r>
        <w:t>364</w:t>
      </w:r>
      <w:r>
        <w:fldChar w:fldCharType="end"/>
      </w:r>
    </w:p>
    <w:p w14:paraId="7DC50248">
      <w:pPr>
        <w:pStyle w:val="14"/>
        <w:tabs>
          <w:tab w:val="right" w:leader="dot" w:pos="9026"/>
        </w:tabs>
      </w:pPr>
      <w:r>
        <w:rPr>
          <w:rFonts w:ascii="黑体" w:hAnsi="黑体" w:eastAsia="黑体" w:cs="Times New Roman"/>
          <w:color w:val="000000"/>
          <w:kern w:val="0"/>
          <w:szCs w:val="32"/>
          <w:lang w:bidi="ar"/>
        </w:rPr>
        <w:t>逐步推行人民币的区域化和国际化</w:t>
      </w:r>
      <w:r>
        <w:tab/>
      </w:r>
      <w:r>
        <w:fldChar w:fldCharType="begin"/>
      </w:r>
      <w:r>
        <w:instrText xml:space="preserve"> PAGEREF _Toc2070600650 \h </w:instrText>
      </w:r>
      <w:r>
        <w:fldChar w:fldCharType="separate"/>
      </w:r>
      <w:r>
        <w:t>368</w:t>
      </w:r>
      <w:r>
        <w:fldChar w:fldCharType="end"/>
      </w:r>
    </w:p>
    <w:p w14:paraId="4CDD1BB1">
      <w:pPr>
        <w:pStyle w:val="14"/>
        <w:tabs>
          <w:tab w:val="right" w:leader="dot" w:pos="9026"/>
        </w:tabs>
      </w:pPr>
      <w:r>
        <w:rPr>
          <w:rFonts w:ascii="黑体" w:hAnsi="黑体" w:eastAsia="黑体" w:cs="Times New Roman"/>
          <w:color w:val="000000"/>
          <w:kern w:val="0"/>
          <w:szCs w:val="32"/>
          <w:lang w:bidi="ar"/>
        </w:rPr>
        <w:t>不确定性:经济学的研究及社会管理</w:t>
      </w:r>
      <w:r>
        <w:tab/>
      </w:r>
      <w:r>
        <w:fldChar w:fldCharType="begin"/>
      </w:r>
      <w:r>
        <w:instrText xml:space="preserve"> PAGEREF _Toc612624915 \h </w:instrText>
      </w:r>
      <w:r>
        <w:fldChar w:fldCharType="separate"/>
      </w:r>
      <w:r>
        <w:t>373</w:t>
      </w:r>
      <w:r>
        <w:fldChar w:fldCharType="end"/>
      </w:r>
    </w:p>
    <w:p w14:paraId="1EE4DB76">
      <w:pPr>
        <w:pStyle w:val="14"/>
        <w:tabs>
          <w:tab w:val="right" w:leader="dot" w:pos="9026"/>
        </w:tabs>
      </w:pPr>
      <w:r>
        <w:rPr>
          <w:rFonts w:ascii="黑体" w:hAnsi="黑体" w:eastAsia="黑体" w:cs="Times New Roman"/>
          <w:color w:val="000000"/>
          <w:kern w:val="0"/>
          <w:szCs w:val="32"/>
          <w:lang w:bidi="ar"/>
        </w:rPr>
        <w:t>日本马克思主义经济学与现实问题研究态势</w:t>
      </w:r>
      <w:r>
        <w:tab/>
      </w:r>
      <w:r>
        <w:fldChar w:fldCharType="begin"/>
      </w:r>
      <w:r>
        <w:instrText xml:space="preserve"> PAGEREF _Toc1350342687 \h </w:instrText>
      </w:r>
      <w:r>
        <w:fldChar w:fldCharType="separate"/>
      </w:r>
      <w:r>
        <w:t>378</w:t>
      </w:r>
      <w:r>
        <w:fldChar w:fldCharType="end"/>
      </w:r>
    </w:p>
    <w:p w14:paraId="5F0C3347">
      <w:pPr>
        <w:pStyle w:val="14"/>
        <w:tabs>
          <w:tab w:val="right" w:leader="dot" w:pos="9026"/>
        </w:tabs>
      </w:pPr>
      <w:r>
        <w:rPr>
          <w:rFonts w:ascii="黑体" w:hAnsi="黑体" w:eastAsia="黑体" w:cs="Times New Roman"/>
          <w:color w:val="000000" w:themeColor="text1"/>
          <w:kern w:val="0"/>
          <w:szCs w:val="32"/>
          <w:lang w:bidi="ar"/>
          <w14:textFill>
            <w14:solidFill>
              <w14:schemeClr w14:val="tx1"/>
            </w14:solidFill>
          </w14:textFill>
        </w:rPr>
        <w:t>当前社会信用危机的深层原因</w:t>
      </w:r>
      <w:r>
        <w:tab/>
      </w:r>
      <w:r>
        <w:fldChar w:fldCharType="begin"/>
      </w:r>
      <w:r>
        <w:instrText xml:space="preserve"> PAGEREF _Toc602358913 \h </w:instrText>
      </w:r>
      <w:r>
        <w:fldChar w:fldCharType="separate"/>
      </w:r>
      <w:r>
        <w:t>390</w:t>
      </w:r>
      <w:r>
        <w:fldChar w:fldCharType="end"/>
      </w:r>
    </w:p>
    <w:p w14:paraId="40F3047F">
      <w:pPr>
        <w:pStyle w:val="14"/>
        <w:tabs>
          <w:tab w:val="right" w:leader="dot" w:pos="9026"/>
        </w:tabs>
      </w:pPr>
      <w:r>
        <w:rPr>
          <w:rFonts w:ascii="黑体" w:hAnsi="黑体" w:eastAsia="黑体" w:cs="Times New Roman"/>
          <w:color w:val="000000" w:themeColor="text1"/>
          <w:kern w:val="0"/>
          <w:szCs w:val="32"/>
          <w:lang w:bidi="ar"/>
          <w14:textFill>
            <w14:solidFill>
              <w14:schemeClr w14:val="tx1"/>
            </w14:solidFill>
          </w14:textFill>
        </w:rPr>
        <w:t>用什么经济理</w:t>
      </w:r>
      <w:r>
        <w:rPr>
          <w:rFonts w:ascii="黑体" w:hAnsi="黑体" w:eastAsia="黑体" w:cs="Times New Roman"/>
          <w:color w:val="000000"/>
          <w:kern w:val="0"/>
          <w:szCs w:val="32"/>
          <w:lang w:bidi="ar"/>
        </w:rPr>
        <w:t>论驾驭中国特色社会主义经济建设——与王东京教授商榷</w:t>
      </w:r>
      <w:r>
        <w:tab/>
      </w:r>
      <w:r>
        <w:fldChar w:fldCharType="begin"/>
      </w:r>
      <w:r>
        <w:instrText xml:space="preserve"> PAGEREF _Toc608338833 \h </w:instrText>
      </w:r>
      <w:r>
        <w:fldChar w:fldCharType="separate"/>
      </w:r>
      <w:r>
        <w:t>392</w:t>
      </w:r>
      <w:r>
        <w:fldChar w:fldCharType="end"/>
      </w:r>
    </w:p>
    <w:p w14:paraId="03F4D0A0">
      <w:pPr>
        <w:pStyle w:val="14"/>
        <w:tabs>
          <w:tab w:val="right" w:leader="dot" w:pos="9026"/>
        </w:tabs>
      </w:pPr>
      <w:r>
        <w:rPr>
          <w:rFonts w:ascii="黑体" w:hAnsi="黑体" w:eastAsia="黑体" w:cs="Times New Roman"/>
          <w:color w:val="000000"/>
          <w:kern w:val="0"/>
          <w:szCs w:val="32"/>
          <w:lang w:bidi="ar"/>
        </w:rPr>
        <w:t>新制度经济学派的成因、特点与总体评价</w:t>
      </w:r>
      <w:r>
        <w:tab/>
      </w:r>
      <w:r>
        <w:fldChar w:fldCharType="begin"/>
      </w:r>
      <w:r>
        <w:instrText xml:space="preserve"> PAGEREF _Toc181122864 \h </w:instrText>
      </w:r>
      <w:r>
        <w:fldChar w:fldCharType="separate"/>
      </w:r>
      <w:r>
        <w:t>405</w:t>
      </w:r>
      <w:r>
        <w:fldChar w:fldCharType="end"/>
      </w:r>
    </w:p>
    <w:p w14:paraId="5CA40A64">
      <w:pPr>
        <w:pStyle w:val="14"/>
        <w:tabs>
          <w:tab w:val="right" w:leader="dot" w:pos="9026"/>
        </w:tabs>
      </w:pPr>
      <w:r>
        <w:rPr>
          <w:rFonts w:ascii="黑体" w:hAnsi="黑体" w:eastAsia="黑体" w:cs="Times New Roman"/>
          <w:color w:val="000000"/>
          <w:kern w:val="0"/>
          <w:szCs w:val="32"/>
          <w:lang w:bidi="ar"/>
        </w:rPr>
        <w:t>MBO绩效不比管理有序的国有模式强</w:t>
      </w:r>
      <w:r>
        <w:tab/>
      </w:r>
      <w:r>
        <w:fldChar w:fldCharType="begin"/>
      </w:r>
      <w:r>
        <w:instrText xml:space="preserve"> PAGEREF _Toc1147647449 \h </w:instrText>
      </w:r>
      <w:r>
        <w:fldChar w:fldCharType="separate"/>
      </w:r>
      <w:r>
        <w:t>414</w:t>
      </w:r>
      <w:r>
        <w:fldChar w:fldCharType="end"/>
      </w:r>
    </w:p>
    <w:p w14:paraId="7BAFD59F">
      <w:pPr>
        <w:pStyle w:val="14"/>
        <w:tabs>
          <w:tab w:val="right" w:leader="dot" w:pos="9026"/>
        </w:tabs>
      </w:pPr>
      <w:r>
        <w:rPr>
          <w:rFonts w:ascii="黑体" w:hAnsi="黑体" w:eastAsia="黑体" w:cs="Times New Roman"/>
          <w:color w:val="000000"/>
          <w:kern w:val="0"/>
          <w:szCs w:val="32"/>
          <w:lang w:bidi="ar"/>
        </w:rPr>
        <w:t>邓小平的辩证经济思维及其现实意义</w:t>
      </w:r>
      <w:r>
        <w:tab/>
      </w:r>
      <w:r>
        <w:fldChar w:fldCharType="begin"/>
      </w:r>
      <w:r>
        <w:instrText xml:space="preserve"> PAGEREF _Toc1960041636 \h </w:instrText>
      </w:r>
      <w:r>
        <w:fldChar w:fldCharType="separate"/>
      </w:r>
      <w:r>
        <w:t>418</w:t>
      </w:r>
      <w:r>
        <w:fldChar w:fldCharType="end"/>
      </w:r>
    </w:p>
    <w:p w14:paraId="023A1D10">
      <w:pPr>
        <w:pStyle w:val="14"/>
        <w:tabs>
          <w:tab w:val="right" w:leader="dot" w:pos="9026"/>
        </w:tabs>
      </w:pPr>
      <w:r>
        <w:rPr>
          <w:rFonts w:ascii="黑体" w:hAnsi="黑体" w:eastAsia="黑体" w:cs="Times New Roman"/>
          <w:color w:val="000000"/>
          <w:kern w:val="0"/>
          <w:szCs w:val="32"/>
          <w:lang w:bidi="ar"/>
        </w:rPr>
        <w:t>新马克思经济学综合学派的两个主要假设</w:t>
      </w:r>
      <w:r>
        <w:tab/>
      </w:r>
      <w:r>
        <w:fldChar w:fldCharType="begin"/>
      </w:r>
      <w:r>
        <w:instrText xml:space="preserve"> PAGEREF _Toc20631272 \h </w:instrText>
      </w:r>
      <w:r>
        <w:fldChar w:fldCharType="separate"/>
      </w:r>
      <w:r>
        <w:t>425</w:t>
      </w:r>
      <w:r>
        <w:fldChar w:fldCharType="end"/>
      </w:r>
    </w:p>
    <w:p w14:paraId="614D0917">
      <w:pPr>
        <w:pStyle w:val="14"/>
        <w:tabs>
          <w:tab w:val="right" w:leader="dot" w:pos="9026"/>
        </w:tabs>
      </w:pPr>
      <w:r>
        <w:rPr>
          <w:rFonts w:ascii="黑体" w:hAnsi="黑体" w:eastAsia="黑体" w:cs="Times New Roman"/>
          <w:color w:val="000000"/>
          <w:kern w:val="0"/>
          <w:szCs w:val="32"/>
          <w:lang w:bidi="ar"/>
        </w:rPr>
        <w:t>比较优势、竞争优势与知识产权优势理论新探——海派经济学的一个基本原理</w:t>
      </w:r>
      <w:r>
        <w:tab/>
      </w:r>
      <w:r>
        <w:fldChar w:fldCharType="begin"/>
      </w:r>
      <w:r>
        <w:instrText xml:space="preserve"> PAGEREF _Toc1004921337 \h </w:instrText>
      </w:r>
      <w:r>
        <w:fldChar w:fldCharType="separate"/>
      </w:r>
      <w:r>
        <w:t>437</w:t>
      </w:r>
      <w:r>
        <w:fldChar w:fldCharType="end"/>
      </w:r>
    </w:p>
    <w:p w14:paraId="6149FA88">
      <w:pPr>
        <w:pStyle w:val="14"/>
        <w:tabs>
          <w:tab w:val="right" w:leader="dot" w:pos="9026"/>
        </w:tabs>
      </w:pPr>
      <w:r>
        <w:rPr>
          <w:rFonts w:ascii="黑体" w:hAnsi="黑体" w:eastAsia="黑体" w:cs="Times New Roman"/>
          <w:color w:val="000000"/>
          <w:kern w:val="0"/>
          <w:szCs w:val="32"/>
          <w:lang w:bidi="ar"/>
        </w:rPr>
        <w:t>中外哲学社会科学发展的历史脉络</w:t>
      </w:r>
      <w:r>
        <w:tab/>
      </w:r>
      <w:r>
        <w:fldChar w:fldCharType="begin"/>
      </w:r>
      <w:r>
        <w:instrText xml:space="preserve"> PAGEREF _Toc1901510951 \h </w:instrText>
      </w:r>
      <w:r>
        <w:fldChar w:fldCharType="separate"/>
      </w:r>
      <w:r>
        <w:t>444</w:t>
      </w:r>
      <w:r>
        <w:fldChar w:fldCharType="end"/>
      </w:r>
    </w:p>
    <w:p w14:paraId="7A25A1E7">
      <w:pPr>
        <w:pStyle w:val="14"/>
        <w:tabs>
          <w:tab w:val="right" w:leader="dot" w:pos="9026"/>
        </w:tabs>
      </w:pPr>
      <w:r>
        <w:rPr>
          <w:rFonts w:ascii="黑体" w:hAnsi="黑体" w:eastAsia="黑体" w:cs="Times New Roman"/>
          <w:color w:val="000000"/>
          <w:kern w:val="0"/>
          <w:szCs w:val="32"/>
          <w:lang w:bidi="ar"/>
        </w:rPr>
        <w:t>注重原创繁荣学派推动中国学术发展</w:t>
      </w:r>
      <w:r>
        <w:tab/>
      </w:r>
      <w:r>
        <w:fldChar w:fldCharType="begin"/>
      </w:r>
      <w:r>
        <w:instrText xml:space="preserve"> PAGEREF _Toc1990402450 \h </w:instrText>
      </w:r>
      <w:r>
        <w:fldChar w:fldCharType="separate"/>
      </w:r>
      <w:r>
        <w:t>449</w:t>
      </w:r>
      <w:r>
        <w:fldChar w:fldCharType="end"/>
      </w:r>
    </w:p>
    <w:p w14:paraId="317076F7">
      <w:pPr>
        <w:pStyle w:val="14"/>
        <w:tabs>
          <w:tab w:val="right" w:leader="dot" w:pos="9026"/>
        </w:tabs>
      </w:pPr>
      <w:r>
        <w:rPr>
          <w:rFonts w:ascii="黑体" w:hAnsi="黑体" w:eastAsia="黑体" w:cs="Times New Roman"/>
          <w:color w:val="000000"/>
          <w:kern w:val="0"/>
          <w:szCs w:val="32"/>
          <w:lang w:bidi="ar"/>
        </w:rPr>
        <w:t>繁荣发展哲学社会科学推动政治经济学的全面创新</w:t>
      </w:r>
      <w:r>
        <w:tab/>
      </w:r>
      <w:r>
        <w:fldChar w:fldCharType="begin"/>
      </w:r>
      <w:r>
        <w:instrText xml:space="preserve"> PAGEREF _Toc1341207831 \h </w:instrText>
      </w:r>
      <w:r>
        <w:fldChar w:fldCharType="separate"/>
      </w:r>
      <w:r>
        <w:t>455</w:t>
      </w:r>
      <w:r>
        <w:fldChar w:fldCharType="end"/>
      </w:r>
    </w:p>
    <w:p w14:paraId="05B4D7AC">
      <w:pPr>
        <w:pStyle w:val="14"/>
        <w:tabs>
          <w:tab w:val="right" w:leader="dot" w:pos="9026"/>
        </w:tabs>
      </w:pPr>
      <w:r>
        <w:rPr>
          <w:rFonts w:ascii="黑体" w:hAnsi="黑体" w:eastAsia="黑体" w:cs="Times New Roman"/>
          <w:color w:val="000000"/>
          <w:kern w:val="0"/>
          <w:szCs w:val="32"/>
          <w:lang w:bidi="ar"/>
        </w:rPr>
        <w:t>国企改革不要神化</w:t>
      </w:r>
      <w:r>
        <w:rPr>
          <w:rFonts w:hint="eastAsia" w:ascii="黑体" w:hAnsi="黑体" w:eastAsia="黑体" w:cs="Times New Roman"/>
          <w:color w:val="000000"/>
          <w:kern w:val="0"/>
          <w:szCs w:val="32"/>
          <w:lang w:bidi="ar"/>
        </w:rPr>
        <w:t>“</w:t>
      </w:r>
      <w:r>
        <w:rPr>
          <w:rFonts w:ascii="黑体" w:hAnsi="黑体" w:eastAsia="黑体" w:cs="Times New Roman"/>
          <w:color w:val="000000"/>
          <w:kern w:val="0"/>
          <w:szCs w:val="32"/>
          <w:lang w:bidi="ar"/>
        </w:rPr>
        <w:t>私有产权作用”</w:t>
      </w:r>
      <w:r>
        <w:tab/>
      </w:r>
      <w:r>
        <w:fldChar w:fldCharType="begin"/>
      </w:r>
      <w:r>
        <w:instrText xml:space="preserve"> PAGEREF _Toc1691656705 \h </w:instrText>
      </w:r>
      <w:r>
        <w:fldChar w:fldCharType="separate"/>
      </w:r>
      <w:r>
        <w:t>459</w:t>
      </w:r>
      <w:r>
        <w:fldChar w:fldCharType="end"/>
      </w:r>
    </w:p>
    <w:p w14:paraId="45012E71">
      <w:pPr>
        <w:pStyle w:val="14"/>
        <w:tabs>
          <w:tab w:val="right" w:leader="dot" w:pos="9026"/>
        </w:tabs>
      </w:pPr>
      <w:r>
        <w:rPr>
          <w:rFonts w:ascii="黑体" w:hAnsi="黑体" w:eastAsia="黑体" w:cs="Times New Roman"/>
          <w:color w:val="000000"/>
          <w:kern w:val="0"/>
          <w:szCs w:val="32"/>
          <w:lang w:bidi="ar"/>
        </w:rPr>
        <w:t>第六次产业革命”预见”的内核、意义与不足</w:t>
      </w:r>
      <w:r>
        <w:tab/>
      </w:r>
      <w:r>
        <w:fldChar w:fldCharType="begin"/>
      </w:r>
      <w:r>
        <w:instrText xml:space="preserve"> PAGEREF _Toc1138238302 \h </w:instrText>
      </w:r>
      <w:r>
        <w:fldChar w:fldCharType="separate"/>
      </w:r>
      <w:r>
        <w:t>462</w:t>
      </w:r>
      <w:r>
        <w:fldChar w:fldCharType="end"/>
      </w:r>
    </w:p>
    <w:p w14:paraId="098738D6">
      <w:pPr>
        <w:pStyle w:val="14"/>
        <w:tabs>
          <w:tab w:val="right" w:leader="dot" w:pos="9026"/>
        </w:tabs>
      </w:pPr>
      <w:r>
        <w:rPr>
          <w:rFonts w:hint="eastAsia" w:ascii="宋体" w:hAnsi="宋体" w:eastAsia="宋体" w:cs="宋体"/>
          <w:color w:val="000000"/>
          <w:szCs w:val="32"/>
        </w:rPr>
        <w:t>资本主义和社会主义如何利用股制——兼论国有经济的六项基本功能</w:t>
      </w:r>
      <w:r>
        <w:tab/>
      </w:r>
      <w:r>
        <w:fldChar w:fldCharType="begin"/>
      </w:r>
      <w:r>
        <w:instrText xml:space="preserve"> PAGEREF _Toc586814238 \h </w:instrText>
      </w:r>
      <w:r>
        <w:fldChar w:fldCharType="separate"/>
      </w:r>
      <w:r>
        <w:t>472</w:t>
      </w:r>
      <w:r>
        <w:fldChar w:fldCharType="end"/>
      </w:r>
    </w:p>
    <w:p w14:paraId="5E8A7A1C">
      <w:pPr>
        <w:pStyle w:val="10"/>
        <w:tabs>
          <w:tab w:val="right" w:leader="dot" w:pos="9026"/>
        </w:tabs>
      </w:pPr>
      <w:r>
        <w:t>2005</w:t>
      </w:r>
      <w:r>
        <w:rPr>
          <w:rFonts w:cs="黑体"/>
        </w:rPr>
        <w:t>年</w:t>
      </w:r>
      <w:r>
        <w:tab/>
      </w:r>
      <w:r>
        <w:fldChar w:fldCharType="begin"/>
      </w:r>
      <w:r>
        <w:instrText xml:space="preserve"> PAGEREF _Toc1341991042 \h </w:instrText>
      </w:r>
      <w:r>
        <w:fldChar w:fldCharType="separate"/>
      </w:r>
      <w:r>
        <w:t>480</w:t>
      </w:r>
      <w:r>
        <w:fldChar w:fldCharType="end"/>
      </w:r>
    </w:p>
    <w:p w14:paraId="296F12D9">
      <w:pPr>
        <w:pStyle w:val="14"/>
        <w:tabs>
          <w:tab w:val="right" w:leader="dot" w:pos="9026"/>
        </w:tabs>
      </w:pPr>
      <w:r>
        <w:rPr>
          <w:rFonts w:ascii="黑体" w:hAnsi="黑体" w:eastAsia="黑体"/>
          <w:bCs w:val="0"/>
        </w:rPr>
        <w:t>1比较优势、竞争优势与知识产权优势理论新探</w:t>
      </w:r>
      <w:r>
        <w:tab/>
      </w:r>
      <w:r>
        <w:fldChar w:fldCharType="begin"/>
      </w:r>
      <w:r>
        <w:instrText xml:space="preserve"> PAGEREF _Toc1970182100 \h </w:instrText>
      </w:r>
      <w:r>
        <w:fldChar w:fldCharType="separate"/>
      </w:r>
      <w:r>
        <w:t>480</w:t>
      </w:r>
      <w:r>
        <w:fldChar w:fldCharType="end"/>
      </w:r>
    </w:p>
    <w:p w14:paraId="53301F6D">
      <w:pPr>
        <w:pStyle w:val="14"/>
        <w:tabs>
          <w:tab w:val="right" w:leader="dot" w:pos="9026"/>
        </w:tabs>
      </w:pPr>
      <w:r>
        <w:rPr>
          <w:rFonts w:ascii="黑体" w:hAnsi="黑体" w:eastAsia="黑体"/>
          <w:bCs w:val="0"/>
        </w:rPr>
        <w:t>2日本马克思主义经济学研究的特点与近况</w:t>
      </w:r>
      <w:r>
        <w:tab/>
      </w:r>
      <w:r>
        <w:fldChar w:fldCharType="begin"/>
      </w:r>
      <w:r>
        <w:instrText xml:space="preserve"> PAGEREF _Toc800201607 \h </w:instrText>
      </w:r>
      <w:r>
        <w:fldChar w:fldCharType="separate"/>
      </w:r>
      <w:r>
        <w:t>488</w:t>
      </w:r>
      <w:r>
        <w:fldChar w:fldCharType="end"/>
      </w:r>
    </w:p>
    <w:p w14:paraId="4C05AF28">
      <w:pPr>
        <w:pStyle w:val="14"/>
        <w:tabs>
          <w:tab w:val="right" w:leader="dot" w:pos="9026"/>
        </w:tabs>
      </w:pPr>
      <w:r>
        <w:rPr>
          <w:rFonts w:ascii="黑体" w:hAnsi="黑体" w:eastAsia="黑体"/>
          <w:bCs w:val="0"/>
        </w:rPr>
        <w:t>3新自由主义的起源、发展及其影响</w:t>
      </w:r>
      <w:r>
        <w:tab/>
      </w:r>
      <w:r>
        <w:fldChar w:fldCharType="begin"/>
      </w:r>
      <w:r>
        <w:instrText xml:space="preserve"> PAGEREF _Toc1445811335 \h </w:instrText>
      </w:r>
      <w:r>
        <w:fldChar w:fldCharType="separate"/>
      </w:r>
      <w:r>
        <w:t>497</w:t>
      </w:r>
      <w:r>
        <w:fldChar w:fldCharType="end"/>
      </w:r>
    </w:p>
    <w:p w14:paraId="73858D29">
      <w:pPr>
        <w:pStyle w:val="14"/>
        <w:tabs>
          <w:tab w:val="right" w:leader="dot" w:pos="9026"/>
        </w:tabs>
      </w:pPr>
      <w:r>
        <w:rPr>
          <w:rFonts w:ascii="黑体" w:hAnsi="宋体" w:eastAsia="黑体"/>
          <w:bCs w:val="0"/>
          <w:spacing w:val="-2"/>
          <w:lang w:bidi="ar"/>
        </w:rPr>
        <w:t>4海</w:t>
      </w:r>
      <w:r>
        <w:rPr>
          <w:rFonts w:ascii="黑体" w:hAnsi="宋体" w:eastAsia="黑体"/>
          <w:bCs w:val="0"/>
          <w:lang w:bidi="ar"/>
        </w:rPr>
        <w:t>派经</w:t>
      </w:r>
      <w:r>
        <w:rPr>
          <w:rFonts w:ascii="黑体" w:hAnsi="宋体" w:eastAsia="黑体"/>
          <w:bCs w:val="0"/>
          <w:spacing w:val="-2"/>
          <w:lang w:bidi="ar"/>
        </w:rPr>
        <w:t>济</w:t>
      </w:r>
      <w:r>
        <w:rPr>
          <w:rFonts w:ascii="黑体" w:hAnsi="宋体" w:eastAsia="黑体"/>
          <w:bCs w:val="0"/>
          <w:lang w:bidi="ar"/>
        </w:rPr>
        <w:t>学</w:t>
      </w:r>
      <w:r>
        <w:rPr>
          <w:rFonts w:ascii="黑体" w:hAnsi="宋体" w:eastAsia="黑体"/>
          <w:bCs w:val="0"/>
          <w:spacing w:val="-2"/>
          <w:lang w:bidi="ar"/>
        </w:rPr>
        <w:t>方</w:t>
      </w:r>
      <w:r>
        <w:rPr>
          <w:rFonts w:ascii="黑体" w:hAnsi="宋体" w:eastAsia="黑体"/>
          <w:bCs w:val="0"/>
          <w:lang w:bidi="ar"/>
        </w:rPr>
        <w:t>法论</w:t>
      </w:r>
      <w:r>
        <w:rPr>
          <w:rFonts w:ascii="黑体" w:hAnsi="宋体" w:eastAsia="黑体"/>
          <w:bCs w:val="0"/>
          <w:spacing w:val="17"/>
          <w:w w:val="102"/>
          <w:lang w:bidi="ar"/>
        </w:rPr>
        <w:t>：</w:t>
      </w:r>
      <w:r>
        <w:rPr>
          <w:rFonts w:ascii="黑体" w:hAnsi="宋体" w:eastAsia="黑体"/>
          <w:bCs w:val="0"/>
          <w:lang w:bidi="ar"/>
        </w:rPr>
        <w:t>综合</w:t>
      </w:r>
      <w:r>
        <w:rPr>
          <w:rFonts w:ascii="黑体" w:hAnsi="宋体" w:eastAsia="黑体"/>
          <w:bCs w:val="0"/>
          <w:spacing w:val="-2"/>
          <w:lang w:bidi="ar"/>
        </w:rPr>
        <w:t>创</w:t>
      </w:r>
      <w:r>
        <w:rPr>
          <w:rFonts w:ascii="黑体" w:hAnsi="宋体" w:eastAsia="黑体"/>
          <w:bCs w:val="0"/>
          <w:lang w:bidi="ar"/>
        </w:rPr>
        <w:t>新</w:t>
      </w:r>
      <w:r>
        <w:rPr>
          <w:rFonts w:ascii="黑体" w:hAnsi="宋体" w:eastAsia="黑体"/>
          <w:bCs w:val="0"/>
          <w:spacing w:val="-2"/>
          <w:lang w:bidi="ar"/>
        </w:rPr>
        <w:t>的</w:t>
      </w:r>
      <w:r>
        <w:rPr>
          <w:rFonts w:ascii="黑体" w:hAnsi="宋体" w:eastAsia="黑体"/>
          <w:bCs w:val="0"/>
          <w:lang w:bidi="ar"/>
        </w:rPr>
        <w:t>若干</w:t>
      </w:r>
      <w:r>
        <w:rPr>
          <w:rFonts w:ascii="黑体" w:hAnsi="黑体" w:eastAsia="黑体"/>
          <w:bCs w:val="0"/>
        </w:rPr>
        <w:t>思考</w:t>
      </w:r>
      <w:r>
        <w:tab/>
      </w:r>
      <w:r>
        <w:fldChar w:fldCharType="begin"/>
      </w:r>
      <w:r>
        <w:instrText xml:space="preserve"> PAGEREF _Toc973641540 \h </w:instrText>
      </w:r>
      <w:r>
        <w:fldChar w:fldCharType="separate"/>
      </w:r>
      <w:r>
        <w:t>503</w:t>
      </w:r>
      <w:r>
        <w:fldChar w:fldCharType="end"/>
      </w:r>
    </w:p>
    <w:p w14:paraId="18524335">
      <w:pPr>
        <w:pStyle w:val="14"/>
        <w:tabs>
          <w:tab w:val="right" w:leader="dot" w:pos="9026"/>
        </w:tabs>
      </w:pPr>
      <w:r>
        <w:rPr>
          <w:rFonts w:hint="eastAsia" w:ascii="黑体" w:hAnsi="宋体" w:eastAsia="黑体" w:cs="Times New Roman"/>
          <w:lang w:bidi="ar"/>
        </w:rPr>
        <w:t>5外国学者对新保守主义经济思潮的批判</w:t>
      </w:r>
      <w:r>
        <w:tab/>
      </w:r>
      <w:r>
        <w:fldChar w:fldCharType="begin"/>
      </w:r>
      <w:r>
        <w:instrText xml:space="preserve"> PAGEREF _Toc167972640 \h </w:instrText>
      </w:r>
      <w:r>
        <w:fldChar w:fldCharType="separate"/>
      </w:r>
      <w:r>
        <w:t>511</w:t>
      </w:r>
      <w:r>
        <w:fldChar w:fldCharType="end"/>
      </w:r>
    </w:p>
    <w:p w14:paraId="2FA90241">
      <w:pPr>
        <w:pStyle w:val="14"/>
        <w:tabs>
          <w:tab w:val="right" w:leader="dot" w:pos="9026"/>
        </w:tabs>
      </w:pPr>
      <w:r>
        <w:rPr>
          <w:rFonts w:ascii="黑体" w:hAnsi="宋体" w:eastAsia="黑体"/>
          <w:bCs w:val="0"/>
          <w:spacing w:val="-2"/>
          <w:lang w:bidi="ar"/>
        </w:rPr>
        <w:t>6国有企业实行MBO将带来重重隐患</w:t>
      </w:r>
      <w:r>
        <w:tab/>
      </w:r>
      <w:r>
        <w:fldChar w:fldCharType="begin"/>
      </w:r>
      <w:r>
        <w:instrText xml:space="preserve"> PAGEREF _Toc1322648322 \h </w:instrText>
      </w:r>
      <w:r>
        <w:fldChar w:fldCharType="separate"/>
      </w:r>
      <w:r>
        <w:t>521</w:t>
      </w:r>
      <w:r>
        <w:fldChar w:fldCharType="end"/>
      </w:r>
    </w:p>
    <w:p w14:paraId="73D909C7">
      <w:pPr>
        <w:pStyle w:val="14"/>
        <w:tabs>
          <w:tab w:val="right" w:leader="dot" w:pos="9026"/>
        </w:tabs>
      </w:pPr>
      <w:r>
        <w:rPr>
          <w:rFonts w:hint="eastAsia" w:ascii="黑体" w:hAnsi="宋体" w:eastAsia="黑体" w:cs="Times New Roman"/>
          <w:lang w:bidi="ar"/>
        </w:rPr>
        <w:t>7经济全球化与新自由主义的范式危机</w:t>
      </w:r>
      <w:r>
        <w:tab/>
      </w:r>
      <w:r>
        <w:fldChar w:fldCharType="begin"/>
      </w:r>
      <w:r>
        <w:instrText xml:space="preserve"> PAGEREF _Toc1147117757 \h </w:instrText>
      </w:r>
      <w:r>
        <w:fldChar w:fldCharType="separate"/>
      </w:r>
      <w:r>
        <w:t>522</w:t>
      </w:r>
      <w:r>
        <w:fldChar w:fldCharType="end"/>
      </w:r>
    </w:p>
    <w:p w14:paraId="52859E4C">
      <w:pPr>
        <w:pStyle w:val="14"/>
        <w:tabs>
          <w:tab w:val="right" w:leader="dot" w:pos="9026"/>
        </w:tabs>
      </w:pPr>
      <w:r>
        <w:rPr>
          <w:rFonts w:ascii="黑体" w:hAnsi="宋体" w:eastAsia="黑体"/>
          <w:bCs w:val="0"/>
          <w:spacing w:val="-2"/>
          <w:lang w:bidi="ar"/>
        </w:rPr>
        <w:t>8国企改革绝非大卖大送</w:t>
      </w:r>
      <w:r>
        <w:tab/>
      </w:r>
      <w:r>
        <w:fldChar w:fldCharType="begin"/>
      </w:r>
      <w:r>
        <w:instrText xml:space="preserve"> PAGEREF _Toc1647442780 \h </w:instrText>
      </w:r>
      <w:r>
        <w:fldChar w:fldCharType="separate"/>
      </w:r>
      <w:r>
        <w:t>529</w:t>
      </w:r>
      <w:r>
        <w:fldChar w:fldCharType="end"/>
      </w:r>
    </w:p>
    <w:p w14:paraId="07BC1B50">
      <w:pPr>
        <w:pStyle w:val="14"/>
        <w:tabs>
          <w:tab w:val="right" w:leader="dot" w:pos="9026"/>
        </w:tabs>
      </w:pPr>
      <w:r>
        <w:rPr>
          <w:rFonts w:hint="eastAsia" w:ascii="黑体" w:hAnsi="宋体" w:eastAsia="黑体" w:cs="Times New Roman"/>
          <w:lang w:bidi="ar"/>
        </w:rPr>
        <w:t>9市场经济中若干经济心理与行为探究</w:t>
      </w:r>
      <w:r>
        <w:tab/>
      </w:r>
      <w:r>
        <w:fldChar w:fldCharType="begin"/>
      </w:r>
      <w:r>
        <w:instrText xml:space="preserve"> PAGEREF _Toc1064142689 \h </w:instrText>
      </w:r>
      <w:r>
        <w:fldChar w:fldCharType="separate"/>
      </w:r>
      <w:r>
        <w:t>531</w:t>
      </w:r>
      <w:r>
        <w:fldChar w:fldCharType="end"/>
      </w:r>
    </w:p>
    <w:p w14:paraId="5AFAD789">
      <w:pPr>
        <w:pStyle w:val="14"/>
        <w:tabs>
          <w:tab w:val="right" w:leader="dot" w:pos="9026"/>
        </w:tabs>
      </w:pPr>
      <w:r>
        <w:rPr>
          <w:rFonts w:ascii="黑体" w:hAnsi="宋体" w:eastAsia="黑体"/>
          <w:bCs w:val="0"/>
          <w:spacing w:val="-2"/>
          <w:lang w:bidi="ar"/>
        </w:rPr>
        <w:t>1</w:t>
      </w:r>
      <w:r>
        <w:rPr>
          <w:rFonts w:hint="default" w:ascii="黑体" w:hAnsi="宋体" w:eastAsia="黑体"/>
          <w:bCs w:val="0"/>
          <w:spacing w:val="-2"/>
          <w:lang w:bidi="ar"/>
        </w:rPr>
        <w:t>0</w:t>
      </w:r>
      <w:r>
        <w:rPr>
          <w:rFonts w:ascii="黑体" w:hAnsi="宋体" w:eastAsia="黑体"/>
          <w:bCs w:val="0"/>
          <w:spacing w:val="-2"/>
          <w:lang w:bidi="ar"/>
        </w:rPr>
        <w:t>用什么经济理论驾驭社会主义市场经济——与吴敬琏、王东京教授商榷</w:t>
      </w:r>
      <w:r>
        <w:tab/>
      </w:r>
      <w:r>
        <w:fldChar w:fldCharType="begin"/>
      </w:r>
      <w:r>
        <w:instrText xml:space="preserve"> PAGEREF _Toc802361807 \h </w:instrText>
      </w:r>
      <w:r>
        <w:fldChar w:fldCharType="separate"/>
      </w:r>
      <w:r>
        <w:t>538</w:t>
      </w:r>
      <w:r>
        <w:fldChar w:fldCharType="end"/>
      </w:r>
    </w:p>
    <w:p w14:paraId="0277C481">
      <w:pPr>
        <w:pStyle w:val="14"/>
        <w:tabs>
          <w:tab w:val="right" w:leader="dot" w:pos="9026"/>
        </w:tabs>
      </w:pPr>
      <w:r>
        <w:rPr>
          <w:rFonts w:hint="eastAsia" w:ascii="黑体" w:hAnsi="宋体" w:eastAsia="黑体" w:cs="Times New Roman"/>
          <w:lang w:bidi="ar"/>
        </w:rPr>
        <w:t>1</w:t>
      </w:r>
      <w:r>
        <w:rPr>
          <w:rFonts w:ascii="黑体" w:hAnsi="宋体" w:eastAsia="黑体" w:cs="Times New Roman"/>
          <w:lang w:bidi="ar"/>
        </w:rPr>
        <w:t>1</w:t>
      </w:r>
      <w:r>
        <w:rPr>
          <w:rFonts w:hint="eastAsia" w:ascii="黑体" w:hAnsi="宋体" w:eastAsia="黑体" w:cs="Times New Roman"/>
          <w:lang w:bidi="ar"/>
        </w:rPr>
        <w:t>加快海峡经济区的合作和发展</w:t>
      </w:r>
      <w:r>
        <w:tab/>
      </w:r>
      <w:r>
        <w:fldChar w:fldCharType="begin"/>
      </w:r>
      <w:r>
        <w:instrText xml:space="preserve"> PAGEREF _Toc1245070736 \h </w:instrText>
      </w:r>
      <w:r>
        <w:fldChar w:fldCharType="separate"/>
      </w:r>
      <w:r>
        <w:t>544</w:t>
      </w:r>
      <w:r>
        <w:fldChar w:fldCharType="end"/>
      </w:r>
    </w:p>
    <w:p w14:paraId="0D4FAC39">
      <w:pPr>
        <w:pStyle w:val="14"/>
        <w:tabs>
          <w:tab w:val="right" w:leader="dot" w:pos="9026"/>
        </w:tabs>
      </w:pPr>
      <w:r>
        <w:rPr>
          <w:rFonts w:ascii="黑体" w:hAnsi="宋体" w:eastAsia="黑体"/>
          <w:bCs w:val="0"/>
          <w:spacing w:val="-2"/>
          <w:lang w:bidi="ar"/>
        </w:rPr>
        <w:t>1</w:t>
      </w:r>
      <w:r>
        <w:rPr>
          <w:rFonts w:hint="default" w:ascii="黑体" w:hAnsi="宋体" w:eastAsia="黑体"/>
          <w:bCs w:val="0"/>
          <w:spacing w:val="-2"/>
          <w:lang w:bidi="ar"/>
        </w:rPr>
        <w:t>2</w:t>
      </w:r>
      <w:r>
        <w:rPr>
          <w:rFonts w:ascii="黑体" w:hAnsi="宋体" w:eastAsia="黑体"/>
          <w:bCs w:val="0"/>
          <w:spacing w:val="-2"/>
          <w:lang w:bidi="ar"/>
        </w:rPr>
        <w:t>“马学”为体，“西学”为用:重建中国主流经济学范式</w:t>
      </w:r>
      <w:r>
        <w:tab/>
      </w:r>
      <w:r>
        <w:fldChar w:fldCharType="begin"/>
      </w:r>
      <w:r>
        <w:instrText xml:space="preserve"> PAGEREF _Toc823203584 \h </w:instrText>
      </w:r>
      <w:r>
        <w:fldChar w:fldCharType="separate"/>
      </w:r>
      <w:r>
        <w:t>554</w:t>
      </w:r>
      <w:r>
        <w:fldChar w:fldCharType="end"/>
      </w:r>
    </w:p>
    <w:p w14:paraId="3773D4FD">
      <w:pPr>
        <w:pStyle w:val="14"/>
        <w:tabs>
          <w:tab w:val="right" w:leader="dot" w:pos="9026"/>
        </w:tabs>
      </w:pPr>
      <w:r>
        <w:rPr>
          <w:rFonts w:ascii="黑体" w:hAnsi="宋体" w:eastAsia="黑体"/>
          <w:bCs w:val="0"/>
          <w:spacing w:val="-2"/>
          <w:lang w:bidi="ar"/>
        </w:rPr>
        <w:t>1</w:t>
      </w:r>
      <w:r>
        <w:rPr>
          <w:rFonts w:hint="default" w:ascii="黑体" w:hAnsi="宋体" w:eastAsia="黑体"/>
          <w:bCs w:val="0"/>
          <w:spacing w:val="-2"/>
          <w:lang w:bidi="ar"/>
        </w:rPr>
        <w:t>3</w:t>
      </w:r>
      <w:r>
        <w:rPr>
          <w:rFonts w:ascii="黑体" w:hAnsi="宋体" w:eastAsia="黑体"/>
          <w:bCs w:val="0"/>
          <w:spacing w:val="-2"/>
          <w:lang w:bidi="ar"/>
        </w:rPr>
        <w:t>国企改革:不同思路的碰撞</w:t>
      </w:r>
      <w:r>
        <w:tab/>
      </w:r>
      <w:r>
        <w:fldChar w:fldCharType="begin"/>
      </w:r>
      <w:r>
        <w:instrText xml:space="preserve"> PAGEREF _Toc1492982314 \h </w:instrText>
      </w:r>
      <w:r>
        <w:fldChar w:fldCharType="separate"/>
      </w:r>
      <w:r>
        <w:t>560</w:t>
      </w:r>
      <w:r>
        <w:fldChar w:fldCharType="end"/>
      </w:r>
    </w:p>
    <w:p w14:paraId="1C409481">
      <w:pPr>
        <w:pStyle w:val="14"/>
        <w:tabs>
          <w:tab w:val="right" w:leader="dot" w:pos="9026"/>
        </w:tabs>
      </w:pPr>
      <w:r>
        <w:rPr>
          <w:rFonts w:ascii="黑体" w:hAnsi="宋体" w:eastAsia="黑体"/>
          <w:bCs w:val="0"/>
          <w:spacing w:val="-2"/>
          <w:lang w:bidi="ar"/>
        </w:rPr>
        <w:t>14当前理论经济学研究和教学的若干问题</w:t>
      </w:r>
      <w:r>
        <w:tab/>
      </w:r>
      <w:r>
        <w:fldChar w:fldCharType="begin"/>
      </w:r>
      <w:r>
        <w:instrText xml:space="preserve"> PAGEREF _Toc1354819850 \h </w:instrText>
      </w:r>
      <w:r>
        <w:fldChar w:fldCharType="separate"/>
      </w:r>
      <w:r>
        <w:t>563</w:t>
      </w:r>
      <w:r>
        <w:fldChar w:fldCharType="end"/>
      </w:r>
    </w:p>
    <w:p w14:paraId="68907881">
      <w:pPr>
        <w:pStyle w:val="14"/>
        <w:tabs>
          <w:tab w:val="right" w:leader="dot" w:pos="9026"/>
        </w:tabs>
      </w:pPr>
      <w:r>
        <w:rPr>
          <w:rFonts w:hint="eastAsia" w:ascii="黑体" w:hAnsi="宋体" w:eastAsia="黑体" w:cs="Times New Roman"/>
          <w:lang w:bidi="ar"/>
        </w:rPr>
        <w:t>1</w:t>
      </w:r>
      <w:r>
        <w:rPr>
          <w:rFonts w:ascii="黑体" w:hAnsi="宋体" w:eastAsia="黑体" w:cs="Times New Roman"/>
          <w:lang w:bidi="ar"/>
        </w:rPr>
        <w:t>5</w:t>
      </w:r>
      <w:r>
        <w:rPr>
          <w:rFonts w:hint="eastAsia" w:ascii="黑体" w:hAnsi="宋体" w:eastAsia="黑体" w:cs="Times New Roman"/>
          <w:lang w:bidi="ar"/>
        </w:rPr>
        <w:t>论党的先进性及其建设</w:t>
      </w:r>
      <w:r>
        <w:tab/>
      </w:r>
      <w:r>
        <w:fldChar w:fldCharType="begin"/>
      </w:r>
      <w:r>
        <w:instrText xml:space="preserve"> PAGEREF _Toc688109809 \h </w:instrText>
      </w:r>
      <w:r>
        <w:fldChar w:fldCharType="separate"/>
      </w:r>
      <w:r>
        <w:t>567</w:t>
      </w:r>
      <w:r>
        <w:fldChar w:fldCharType="end"/>
      </w:r>
    </w:p>
    <w:p w14:paraId="58AD7823">
      <w:pPr>
        <w:pStyle w:val="14"/>
        <w:tabs>
          <w:tab w:val="right" w:leader="dot" w:pos="9026"/>
        </w:tabs>
      </w:pPr>
      <w:r>
        <w:rPr>
          <w:rFonts w:hint="eastAsia" w:ascii="宋体" w:hAnsi="宋体" w:eastAsia="宋体" w:cs="宋体"/>
          <w:szCs w:val="22"/>
          <w:lang w:bidi="ar"/>
        </w:rPr>
        <w:t>1</w:t>
      </w:r>
      <w:r>
        <w:rPr>
          <w:rFonts w:ascii="宋体" w:hAnsi="宋体" w:eastAsia="宋体" w:cs="宋体"/>
          <w:szCs w:val="22"/>
          <w:lang w:bidi="ar"/>
        </w:rPr>
        <w:t>6</w:t>
      </w:r>
      <w:r>
        <w:rPr>
          <w:rFonts w:hint="eastAsia" w:ascii="宋体" w:hAnsi="宋体" w:eastAsia="宋体" w:cs="宋体"/>
          <w:szCs w:val="22"/>
          <w:lang w:bidi="ar"/>
        </w:rPr>
        <w:t>法律追诉时效制度的经济分析</w:t>
      </w:r>
      <w:r>
        <w:tab/>
      </w:r>
      <w:r>
        <w:fldChar w:fldCharType="begin"/>
      </w:r>
      <w:r>
        <w:instrText xml:space="preserve"> PAGEREF _Toc862120768 \h </w:instrText>
      </w:r>
      <w:r>
        <w:fldChar w:fldCharType="separate"/>
      </w:r>
      <w:r>
        <w:t>575</w:t>
      </w:r>
      <w:r>
        <w:fldChar w:fldCharType="end"/>
      </w:r>
    </w:p>
    <w:p w14:paraId="5D47E14B">
      <w:pPr>
        <w:pStyle w:val="14"/>
        <w:tabs>
          <w:tab w:val="right" w:leader="dot" w:pos="9026"/>
        </w:tabs>
      </w:pPr>
      <w:r>
        <w:rPr>
          <w:rFonts w:hint="eastAsia" w:ascii="黑体" w:hAnsi="宋体" w:eastAsia="黑体" w:cs="黑体"/>
          <w:szCs w:val="36"/>
          <w:lang w:bidi="ar"/>
        </w:rPr>
        <w:t>1</w:t>
      </w:r>
      <w:r>
        <w:rPr>
          <w:rFonts w:ascii="黑体" w:hAnsi="宋体" w:eastAsia="黑体" w:cs="黑体"/>
          <w:szCs w:val="36"/>
          <w:lang w:bidi="ar"/>
        </w:rPr>
        <w:t>7</w:t>
      </w:r>
      <w:r>
        <w:rPr>
          <w:rFonts w:hint="eastAsia" w:ascii="黑体" w:hAnsi="宋体" w:eastAsia="黑体" w:cs="黑体"/>
          <w:szCs w:val="36"/>
          <w:lang w:bidi="ar"/>
        </w:rPr>
        <w:t>论中国主流经济学的现代转型</w:t>
      </w:r>
      <w:r>
        <w:tab/>
      </w:r>
      <w:r>
        <w:fldChar w:fldCharType="begin"/>
      </w:r>
      <w:r>
        <w:instrText xml:space="preserve"> PAGEREF _Toc591581467 \h </w:instrText>
      </w:r>
      <w:r>
        <w:fldChar w:fldCharType="separate"/>
      </w:r>
      <w:r>
        <w:t>591</w:t>
      </w:r>
      <w:r>
        <w:fldChar w:fldCharType="end"/>
      </w:r>
    </w:p>
    <w:p w14:paraId="329A89A3">
      <w:pPr>
        <w:pStyle w:val="14"/>
        <w:tabs>
          <w:tab w:val="right" w:leader="dot" w:pos="9026"/>
        </w:tabs>
      </w:pPr>
      <w:r>
        <w:rPr>
          <w:rFonts w:hint="eastAsia" w:ascii="宋体" w:hAnsi="宋体" w:eastAsia="宋体" w:cs="宋体"/>
          <w:szCs w:val="22"/>
          <w:lang w:bidi="ar"/>
        </w:rPr>
        <w:t>1</w:t>
      </w:r>
      <w:r>
        <w:rPr>
          <w:rFonts w:ascii="宋体" w:hAnsi="宋体" w:eastAsia="宋体" w:cs="宋体"/>
          <w:szCs w:val="22"/>
          <w:lang w:bidi="ar"/>
        </w:rPr>
        <w:t>8</w:t>
      </w:r>
      <w:r>
        <w:rPr>
          <w:rFonts w:hint="eastAsia" w:ascii="宋体" w:hAnsi="宋体" w:eastAsia="宋体" w:cs="宋体"/>
          <w:szCs w:val="22"/>
          <w:lang w:bidi="ar"/>
        </w:rPr>
        <w:t>律师保密义务的经济学探析</w:t>
      </w:r>
      <w:r>
        <w:tab/>
      </w:r>
      <w:r>
        <w:fldChar w:fldCharType="begin"/>
      </w:r>
      <w:r>
        <w:instrText xml:space="preserve"> PAGEREF _Toc2007913906 \h </w:instrText>
      </w:r>
      <w:r>
        <w:fldChar w:fldCharType="separate"/>
      </w:r>
      <w:r>
        <w:t>599</w:t>
      </w:r>
      <w:r>
        <w:fldChar w:fldCharType="end"/>
      </w:r>
    </w:p>
    <w:p w14:paraId="000F801F">
      <w:pPr>
        <w:pStyle w:val="14"/>
        <w:tabs>
          <w:tab w:val="right" w:leader="dot" w:pos="9026"/>
        </w:tabs>
      </w:pPr>
      <w:r>
        <w:rPr>
          <w:rFonts w:ascii="黑体" w:hAnsi="宋体" w:eastAsia="黑体" w:cs="黑体"/>
          <w:szCs w:val="36"/>
          <w:lang w:bidi="ar"/>
        </w:rPr>
        <w:t>19</w:t>
      </w:r>
      <w:r>
        <w:rPr>
          <w:rFonts w:hint="eastAsia" w:ascii="黑体" w:hAnsi="宋体" w:eastAsia="黑体" w:cs="黑体"/>
          <w:szCs w:val="36"/>
          <w:lang w:bidi="ar"/>
        </w:rPr>
        <w:t>公平与效率交互同向论</w:t>
      </w:r>
      <w:r>
        <w:tab/>
      </w:r>
      <w:r>
        <w:fldChar w:fldCharType="begin"/>
      </w:r>
      <w:r>
        <w:instrText xml:space="preserve"> PAGEREF _Toc1450989184 \h </w:instrText>
      </w:r>
      <w:r>
        <w:fldChar w:fldCharType="separate"/>
      </w:r>
      <w:r>
        <w:t>607</w:t>
      </w:r>
      <w:r>
        <w:fldChar w:fldCharType="end"/>
      </w:r>
    </w:p>
    <w:p w14:paraId="6A6969E0">
      <w:pPr>
        <w:pStyle w:val="14"/>
        <w:tabs>
          <w:tab w:val="right" w:leader="dot" w:pos="9026"/>
        </w:tabs>
      </w:pPr>
      <w:r>
        <w:rPr>
          <w:rFonts w:ascii="黑体" w:hAnsi="宋体" w:eastAsia="黑体" w:cs="Times New Roman"/>
          <w:szCs w:val="32"/>
          <w:lang w:bidi="ar"/>
        </w:rPr>
        <w:t>20</w:t>
      </w:r>
      <w:r>
        <w:rPr>
          <w:rFonts w:hint="eastAsia" w:ascii="黑体" w:hAnsi="宋体" w:eastAsia="黑体" w:cs="Times New Roman"/>
          <w:szCs w:val="32"/>
          <w:lang w:bidi="ar"/>
        </w:rPr>
        <w:t>保护私有财产与维护公共利益</w:t>
      </w:r>
      <w:r>
        <w:tab/>
      </w:r>
      <w:r>
        <w:fldChar w:fldCharType="begin"/>
      </w:r>
      <w:r>
        <w:instrText xml:space="preserve"> PAGEREF _Toc2098403803 \h </w:instrText>
      </w:r>
      <w:r>
        <w:fldChar w:fldCharType="separate"/>
      </w:r>
      <w:r>
        <w:t>613</w:t>
      </w:r>
      <w:r>
        <w:fldChar w:fldCharType="end"/>
      </w:r>
    </w:p>
    <w:p w14:paraId="258875FC">
      <w:pPr>
        <w:pStyle w:val="14"/>
        <w:tabs>
          <w:tab w:val="right" w:leader="dot" w:pos="9026"/>
        </w:tabs>
      </w:pPr>
      <w:r>
        <w:rPr>
          <w:rFonts w:hint="eastAsia" w:eastAsia="宋体" w:cs="Times New Roman"/>
          <w:szCs w:val="30"/>
          <w:lang w:val="en-US" w:eastAsia="zh-CN"/>
        </w:rPr>
        <w:t>21</w:t>
      </w:r>
      <w:r>
        <w:rPr>
          <w:rFonts w:hint="eastAsia" w:eastAsia="宋体" w:cs="Times New Roman"/>
          <w:szCs w:val="30"/>
        </w:rPr>
        <w:t>新自由资本主义、全球化和社会主义</w:t>
      </w:r>
      <w:r>
        <w:rPr>
          <w:rFonts w:hint="eastAsia" w:eastAsia="宋体" w:cs="Times New Roman"/>
          <w:szCs w:val="30"/>
        </w:rPr>
        <w:t xml:space="preserve"> </w:t>
      </w:r>
      <w:r>
        <w:rPr>
          <w:rFonts w:hint="eastAsia" w:eastAsia="宋体" w:cs="Times New Roman"/>
          <w:szCs w:val="30"/>
        </w:rPr>
        <w:t>——中美马克思主义经济学家对话</w:t>
      </w:r>
      <w:r>
        <w:tab/>
      </w:r>
      <w:r>
        <w:fldChar w:fldCharType="begin"/>
      </w:r>
      <w:r>
        <w:instrText xml:space="preserve"> PAGEREF _Toc1896265987 \h </w:instrText>
      </w:r>
      <w:r>
        <w:fldChar w:fldCharType="separate"/>
      </w:r>
      <w:r>
        <w:t>615</w:t>
      </w:r>
      <w:r>
        <w:fldChar w:fldCharType="end"/>
      </w:r>
    </w:p>
    <w:p w14:paraId="27BF62A2">
      <w:pPr>
        <w:pStyle w:val="10"/>
        <w:tabs>
          <w:tab w:val="right" w:leader="dot" w:pos="9026"/>
        </w:tabs>
      </w:pPr>
      <w:r>
        <w:t>2006年</w:t>
      </w:r>
      <w:r>
        <w:tab/>
      </w:r>
      <w:r>
        <w:fldChar w:fldCharType="begin"/>
      </w:r>
      <w:r>
        <w:instrText xml:space="preserve"> PAGEREF _Toc1885122029 \h </w:instrText>
      </w:r>
      <w:r>
        <w:fldChar w:fldCharType="separate"/>
      </w:r>
      <w:r>
        <w:t>627</w:t>
      </w:r>
      <w:r>
        <w:fldChar w:fldCharType="end"/>
      </w:r>
    </w:p>
    <w:p w14:paraId="3888E70D">
      <w:pPr>
        <w:pStyle w:val="14"/>
        <w:tabs>
          <w:tab w:val="right" w:leader="dot" w:pos="9026"/>
        </w:tabs>
      </w:pPr>
      <w:r>
        <w:rPr>
          <w:rFonts w:hint="eastAsia" w:ascii="黑体" w:hAnsi="黑体" w:eastAsia="黑体" w:cstheme="majorBidi"/>
          <w:szCs w:val="32"/>
        </w:rPr>
        <w:t>1传承、创新与弘扬  建设马克思主义的坚强阵地</w:t>
      </w:r>
      <w:r>
        <w:tab/>
      </w:r>
      <w:r>
        <w:fldChar w:fldCharType="begin"/>
      </w:r>
      <w:r>
        <w:instrText xml:space="preserve"> PAGEREF _Toc1419697212 \h </w:instrText>
      </w:r>
      <w:r>
        <w:fldChar w:fldCharType="separate"/>
      </w:r>
      <w:r>
        <w:t>627</w:t>
      </w:r>
      <w:r>
        <w:fldChar w:fldCharType="end"/>
      </w:r>
    </w:p>
    <w:p w14:paraId="21AD7C19">
      <w:pPr>
        <w:pStyle w:val="14"/>
        <w:tabs>
          <w:tab w:val="right" w:leader="dot" w:pos="9026"/>
        </w:tabs>
      </w:pPr>
      <w:r>
        <w:rPr>
          <w:rFonts w:hint="eastAsia" w:ascii="黑体" w:hAnsi="黑体" w:eastAsia="黑体" w:cs="Times New Roman"/>
          <w:kern w:val="0"/>
          <w:szCs w:val="32"/>
        </w:rPr>
        <w:t>2马克思主义经济学家是改革的倡导者和支持者</w:t>
      </w:r>
      <w:r>
        <w:tab/>
      </w:r>
      <w:r>
        <w:fldChar w:fldCharType="begin"/>
      </w:r>
      <w:r>
        <w:instrText xml:space="preserve"> PAGEREF _Toc160240267 \h </w:instrText>
      </w:r>
      <w:r>
        <w:fldChar w:fldCharType="separate"/>
      </w:r>
      <w:r>
        <w:t>635</w:t>
      </w:r>
      <w:r>
        <w:fldChar w:fldCharType="end"/>
      </w:r>
    </w:p>
    <w:p w14:paraId="2AEEBDF2">
      <w:pPr>
        <w:pStyle w:val="14"/>
        <w:tabs>
          <w:tab w:val="right" w:leader="dot" w:pos="9026"/>
        </w:tabs>
      </w:pPr>
      <w:r>
        <w:rPr>
          <w:rFonts w:hint="eastAsia" w:ascii="黑体" w:hAnsi="黑体" w:eastAsia="黑体" w:cs="Times New Roman"/>
          <w:kern w:val="0"/>
          <w:szCs w:val="32"/>
        </w:rPr>
        <w:t>3完善所有制结构构建和谐社会</w:t>
      </w:r>
      <w:r>
        <w:tab/>
      </w:r>
      <w:r>
        <w:fldChar w:fldCharType="begin"/>
      </w:r>
      <w:r>
        <w:instrText xml:space="preserve"> PAGEREF _Toc213674131 \h </w:instrText>
      </w:r>
      <w:r>
        <w:fldChar w:fldCharType="separate"/>
      </w:r>
      <w:r>
        <w:t>639</w:t>
      </w:r>
      <w:r>
        <w:fldChar w:fldCharType="end"/>
      </w:r>
    </w:p>
    <w:p w14:paraId="53890F1C">
      <w:pPr>
        <w:pStyle w:val="14"/>
        <w:tabs>
          <w:tab w:val="right" w:leader="dot" w:pos="9026"/>
        </w:tabs>
      </w:pPr>
      <w:r>
        <w:rPr>
          <w:rFonts w:hint="eastAsia" w:ascii="黑体" w:hAnsi="黑体" w:eastAsia="黑体" w:cs="Times New Roman"/>
          <w:kern w:val="0"/>
          <w:szCs w:val="32"/>
        </w:rPr>
        <w:t>4加强马克思主义理论研究与建设</w:t>
      </w:r>
      <w:r>
        <w:tab/>
      </w:r>
      <w:r>
        <w:fldChar w:fldCharType="begin"/>
      </w:r>
      <w:r>
        <w:instrText xml:space="preserve"> PAGEREF _Toc628461933 \h </w:instrText>
      </w:r>
      <w:r>
        <w:fldChar w:fldCharType="separate"/>
      </w:r>
      <w:r>
        <w:t>647</w:t>
      </w:r>
      <w:r>
        <w:fldChar w:fldCharType="end"/>
      </w:r>
    </w:p>
    <w:p w14:paraId="1BB6661B">
      <w:pPr>
        <w:pStyle w:val="14"/>
        <w:tabs>
          <w:tab w:val="right" w:leader="dot" w:pos="9026"/>
        </w:tabs>
      </w:pPr>
      <w:r>
        <w:rPr>
          <w:rFonts w:hint="eastAsia" w:ascii="黑体" w:hAnsi="黑体" w:eastAsia="黑体"/>
          <w:szCs w:val="32"/>
        </w:rPr>
        <w:t>5欧美马克思主义经济思想的渊源与发展</w:t>
      </w:r>
      <w:r>
        <w:tab/>
      </w:r>
      <w:r>
        <w:fldChar w:fldCharType="begin"/>
      </w:r>
      <w:r>
        <w:instrText xml:space="preserve"> PAGEREF _Toc1235131985 \h </w:instrText>
      </w:r>
      <w:r>
        <w:fldChar w:fldCharType="separate"/>
      </w:r>
      <w:r>
        <w:t>651</w:t>
      </w:r>
      <w:r>
        <w:fldChar w:fldCharType="end"/>
      </w:r>
    </w:p>
    <w:p w14:paraId="68AF5269">
      <w:pPr>
        <w:pStyle w:val="14"/>
        <w:tabs>
          <w:tab w:val="right" w:leader="dot" w:pos="9026"/>
        </w:tabs>
      </w:pPr>
      <w:r>
        <w:rPr>
          <w:rFonts w:hint="eastAsia" w:ascii="黑体" w:hAnsi="黑体" w:eastAsia="黑体" w:cs="Times New Roman"/>
          <w:kern w:val="0"/>
          <w:szCs w:val="32"/>
        </w:rPr>
        <w:t>6马学为体，西学为用:中国主流经济学的现代转型</w:t>
      </w:r>
      <w:r>
        <w:tab/>
      </w:r>
      <w:r>
        <w:fldChar w:fldCharType="begin"/>
      </w:r>
      <w:r>
        <w:instrText xml:space="preserve"> PAGEREF _Toc1286339993 \h </w:instrText>
      </w:r>
      <w:r>
        <w:fldChar w:fldCharType="separate"/>
      </w:r>
      <w:r>
        <w:t>657</w:t>
      </w:r>
      <w:r>
        <w:fldChar w:fldCharType="end"/>
      </w:r>
    </w:p>
    <w:p w14:paraId="582922CE">
      <w:pPr>
        <w:pStyle w:val="14"/>
        <w:tabs>
          <w:tab w:val="right" w:leader="dot" w:pos="9026"/>
        </w:tabs>
      </w:pPr>
      <w:r>
        <w:rPr>
          <w:rFonts w:ascii="黑体" w:hAnsi="黑体" w:eastAsia="黑体"/>
          <w:szCs w:val="32"/>
        </w:rPr>
        <w:t>7</w:t>
      </w:r>
      <w:r>
        <w:rPr>
          <w:rFonts w:hint="eastAsia" w:ascii="黑体" w:hAnsi="黑体" w:eastAsia="黑体"/>
          <w:szCs w:val="32"/>
        </w:rPr>
        <w:t>民族产业被外资并购整合并非宿命</w:t>
      </w:r>
      <w:r>
        <w:tab/>
      </w:r>
      <w:r>
        <w:fldChar w:fldCharType="begin"/>
      </w:r>
      <w:r>
        <w:instrText xml:space="preserve"> PAGEREF _Toc798388002 \h </w:instrText>
      </w:r>
      <w:r>
        <w:fldChar w:fldCharType="separate"/>
      </w:r>
      <w:r>
        <w:t>663</w:t>
      </w:r>
      <w:r>
        <w:fldChar w:fldCharType="end"/>
      </w:r>
    </w:p>
    <w:p w14:paraId="3D027454">
      <w:pPr>
        <w:pStyle w:val="14"/>
        <w:tabs>
          <w:tab w:val="right" w:leader="dot" w:pos="9026"/>
        </w:tabs>
      </w:pPr>
      <w:r>
        <w:rPr>
          <w:rFonts w:ascii="黑体" w:hAnsi="黑体" w:eastAsia="黑体"/>
        </w:rPr>
        <w:t>8在改革中巩固和加强社会主义经济基础</w:t>
      </w:r>
      <w:r>
        <w:tab/>
      </w:r>
      <w:r>
        <w:fldChar w:fldCharType="begin"/>
      </w:r>
      <w:r>
        <w:instrText xml:space="preserve"> PAGEREF _Toc1029323158 \h </w:instrText>
      </w:r>
      <w:r>
        <w:fldChar w:fldCharType="separate"/>
      </w:r>
      <w:r>
        <w:t>667</w:t>
      </w:r>
      <w:r>
        <w:fldChar w:fldCharType="end"/>
      </w:r>
    </w:p>
    <w:p w14:paraId="75350CE4">
      <w:pPr>
        <w:pStyle w:val="14"/>
        <w:tabs>
          <w:tab w:val="right" w:leader="dot" w:pos="9026"/>
        </w:tabs>
      </w:pPr>
      <w:r>
        <w:rPr>
          <w:rFonts w:ascii="黑体" w:hAnsi="黑体" w:eastAsia="黑体" w:cs="Times New Roman"/>
        </w:rPr>
        <w:t>9</w:t>
      </w:r>
      <w:r>
        <w:rPr>
          <w:rFonts w:hint="eastAsia" w:ascii="黑体" w:hAnsi="黑体" w:eastAsia="黑体" w:cs="Times New Roman"/>
        </w:rPr>
        <w:t>既要“中国制造”，更要“中国标准”</w:t>
      </w:r>
      <w:r>
        <w:tab/>
      </w:r>
      <w:r>
        <w:fldChar w:fldCharType="begin"/>
      </w:r>
      <w:r>
        <w:instrText xml:space="preserve"> PAGEREF _Toc1853539921 \h </w:instrText>
      </w:r>
      <w:r>
        <w:fldChar w:fldCharType="separate"/>
      </w:r>
      <w:r>
        <w:t>672</w:t>
      </w:r>
      <w:r>
        <w:fldChar w:fldCharType="end"/>
      </w:r>
    </w:p>
    <w:p w14:paraId="37397C57">
      <w:pPr>
        <w:pStyle w:val="14"/>
        <w:tabs>
          <w:tab w:val="right" w:leader="dot" w:pos="9026"/>
        </w:tabs>
      </w:pPr>
      <w:r>
        <w:rPr>
          <w:rFonts w:hint="eastAsia" w:eastAsia="宋体" w:cs="Times New Roman"/>
          <w:color w:val="000000"/>
          <w:szCs w:val="21"/>
          <w:lang w:val="en-US" w:eastAsia="zh-CN"/>
        </w:rPr>
        <w:t>10</w:t>
      </w:r>
      <w:r>
        <w:rPr>
          <w:rFonts w:hint="eastAsia" w:eastAsia="宋体" w:cs="Times New Roman"/>
          <w:color w:val="000000"/>
          <w:szCs w:val="21"/>
        </w:rPr>
        <w:t>科学发展观和新自由主义发展观的论争</w:t>
      </w:r>
      <w:r>
        <w:tab/>
      </w:r>
      <w:r>
        <w:fldChar w:fldCharType="begin"/>
      </w:r>
      <w:r>
        <w:instrText xml:space="preserve"> PAGEREF _Toc1047668865 \h </w:instrText>
      </w:r>
      <w:r>
        <w:fldChar w:fldCharType="separate"/>
      </w:r>
      <w:r>
        <w:t>674</w:t>
      </w:r>
      <w:r>
        <w:fldChar w:fldCharType="end"/>
      </w:r>
    </w:p>
    <w:p w14:paraId="228D36A8">
      <w:pPr>
        <w:pStyle w:val="14"/>
        <w:tabs>
          <w:tab w:val="right" w:leader="dot" w:pos="9026"/>
        </w:tabs>
      </w:pPr>
      <w:r>
        <w:rPr>
          <w:rFonts w:hint="eastAsia" w:eastAsia="宋体" w:cs="Times New Roman"/>
          <w:color w:val="000000"/>
          <w:szCs w:val="21"/>
          <w:lang w:val="en-US" w:eastAsia="zh-CN"/>
        </w:rPr>
        <w:t>11</w:t>
      </w:r>
      <w:r>
        <w:rPr>
          <w:rFonts w:hint="eastAsia" w:eastAsia="宋体" w:cs="Times New Roman"/>
          <w:color w:val="000000"/>
          <w:szCs w:val="21"/>
        </w:rPr>
        <w:t>建设社会主义新农村要倡导集体经济和合作经济模式多样化</w:t>
      </w:r>
      <w:r>
        <w:tab/>
      </w:r>
      <w:r>
        <w:fldChar w:fldCharType="begin"/>
      </w:r>
      <w:r>
        <w:instrText xml:space="preserve"> PAGEREF _Toc952192302 \h </w:instrText>
      </w:r>
      <w:r>
        <w:fldChar w:fldCharType="separate"/>
      </w:r>
      <w:r>
        <w:t>682</w:t>
      </w:r>
      <w:r>
        <w:fldChar w:fldCharType="end"/>
      </w:r>
    </w:p>
    <w:p w14:paraId="68FAA94E">
      <w:pPr>
        <w:pStyle w:val="14"/>
        <w:tabs>
          <w:tab w:val="right" w:leader="dot" w:pos="9026"/>
        </w:tabs>
      </w:pPr>
      <w:r>
        <w:rPr>
          <w:rFonts w:hint="eastAsia" w:ascii="宋体" w:hAnsi="宋体" w:eastAsia="宋体" w:cs="Times New Roman"/>
          <w:bCs/>
          <w:lang w:val="en-US" w:eastAsia="zh-CN"/>
        </w:rPr>
        <w:t>12</w:t>
      </w:r>
      <w:r>
        <w:rPr>
          <w:rFonts w:hint="eastAsia" w:ascii="宋体" w:hAnsi="宋体" w:eastAsia="宋体" w:cs="Times New Roman"/>
          <w:bCs/>
        </w:rPr>
        <w:t>经济改革与和谐社会的经济体制基础——在美国哈佛大学和麻省理工学院等的讲演</w:t>
      </w:r>
      <w:r>
        <w:tab/>
      </w:r>
      <w:r>
        <w:fldChar w:fldCharType="begin"/>
      </w:r>
      <w:r>
        <w:instrText xml:space="preserve"> PAGEREF _Toc447882270 \h </w:instrText>
      </w:r>
      <w:r>
        <w:fldChar w:fldCharType="separate"/>
      </w:r>
      <w:r>
        <w:t>689</w:t>
      </w:r>
      <w:r>
        <w:fldChar w:fldCharType="end"/>
      </w:r>
    </w:p>
    <w:p w14:paraId="78EC9313">
      <w:pPr>
        <w:pStyle w:val="10"/>
        <w:tabs>
          <w:tab w:val="right" w:leader="dot" w:pos="9026"/>
        </w:tabs>
      </w:pPr>
      <w:r>
        <w:rPr>
          <w:rFonts w:hint="eastAsia" w:ascii="宋体" w:hAnsi="宋体" w:eastAsia="宋体" w:cs="宋体"/>
          <w:szCs w:val="32"/>
        </w:rPr>
        <w:t>2</w:t>
      </w:r>
      <w:r>
        <w:rPr>
          <w:rFonts w:ascii="宋体" w:hAnsi="宋体" w:eastAsia="宋体" w:cs="宋体"/>
          <w:szCs w:val="32"/>
        </w:rPr>
        <w:t>007</w:t>
      </w:r>
      <w:r>
        <w:tab/>
      </w:r>
      <w:r>
        <w:fldChar w:fldCharType="begin"/>
      </w:r>
      <w:r>
        <w:instrText xml:space="preserve"> PAGEREF _Toc627129155 \h </w:instrText>
      </w:r>
      <w:r>
        <w:fldChar w:fldCharType="separate"/>
      </w:r>
      <w:r>
        <w:t>700</w:t>
      </w:r>
      <w:r>
        <w:fldChar w:fldCharType="end"/>
      </w:r>
    </w:p>
    <w:p w14:paraId="45B12FE8">
      <w:pPr>
        <w:pStyle w:val="14"/>
        <w:tabs>
          <w:tab w:val="right" w:leader="dot" w:pos="9026"/>
        </w:tabs>
      </w:pPr>
      <w:r>
        <w:rPr>
          <w:rFonts w:ascii="黑体" w:hAnsi="黑体" w:eastAsia="黑体"/>
          <w:bCs w:val="0"/>
        </w:rPr>
        <w:t>1</w:t>
      </w:r>
      <w:r>
        <w:rPr>
          <w:rFonts w:hint="default" w:ascii="黑体" w:hAnsi="黑体" w:eastAsia="黑体"/>
          <w:bCs w:val="0"/>
        </w:rPr>
        <w:t>.</w:t>
      </w:r>
      <w:r>
        <w:rPr>
          <w:rFonts w:ascii="黑体" w:hAnsi="黑体" w:eastAsia="黑体"/>
          <w:bCs w:val="0"/>
        </w:rPr>
        <w:t>要切实发展统分结合的集体层经营</w:t>
      </w:r>
      <w:r>
        <w:tab/>
      </w:r>
      <w:r>
        <w:fldChar w:fldCharType="begin"/>
      </w:r>
      <w:r>
        <w:instrText xml:space="preserve"> PAGEREF _Toc309968609 \h </w:instrText>
      </w:r>
      <w:r>
        <w:fldChar w:fldCharType="separate"/>
      </w:r>
      <w:r>
        <w:t>700</w:t>
      </w:r>
      <w:r>
        <w:fldChar w:fldCharType="end"/>
      </w:r>
    </w:p>
    <w:p w14:paraId="0DAFB0D8">
      <w:pPr>
        <w:pStyle w:val="14"/>
        <w:tabs>
          <w:tab w:val="right" w:leader="dot" w:pos="9026"/>
        </w:tabs>
      </w:pPr>
      <w:r>
        <w:rPr>
          <w:rFonts w:hint="eastAsia" w:ascii="黑体" w:hAnsi="黑体" w:eastAsia="黑体" w:cs="Times New Roman"/>
          <w:kern w:val="0"/>
          <w:szCs w:val="32"/>
        </w:rPr>
        <w:t>2</w:t>
      </w:r>
      <w:r>
        <w:rPr>
          <w:rFonts w:ascii="黑体" w:hAnsi="黑体" w:eastAsia="黑体" w:cs="Times New Roman"/>
          <w:kern w:val="0"/>
          <w:szCs w:val="32"/>
        </w:rPr>
        <w:t>.</w:t>
      </w:r>
      <w:r>
        <w:rPr>
          <w:rFonts w:hint="eastAsia" w:ascii="黑体" w:hAnsi="黑体" w:eastAsia="黑体" w:cs="Times New Roman"/>
          <w:kern w:val="0"/>
          <w:szCs w:val="32"/>
        </w:rPr>
        <w:t>从技术标准看技术性贸易壁垒中的知识产权问题</w:t>
      </w:r>
      <w:r>
        <w:tab/>
      </w:r>
      <w:r>
        <w:fldChar w:fldCharType="begin"/>
      </w:r>
      <w:r>
        <w:instrText xml:space="preserve"> PAGEREF _Toc1994567488 \h </w:instrText>
      </w:r>
      <w:r>
        <w:fldChar w:fldCharType="separate"/>
      </w:r>
      <w:r>
        <w:t>702</w:t>
      </w:r>
      <w:r>
        <w:fldChar w:fldCharType="end"/>
      </w:r>
    </w:p>
    <w:p w14:paraId="1437BE07">
      <w:pPr>
        <w:pStyle w:val="14"/>
        <w:tabs>
          <w:tab w:val="right" w:leader="dot" w:pos="9026"/>
        </w:tabs>
      </w:pPr>
      <w:r>
        <w:rPr>
          <w:rFonts w:hint="eastAsia" w:ascii="黑体" w:hAnsi="黑体" w:eastAsia="黑体" w:cs="Times New Roman"/>
          <w:kern w:val="0"/>
          <w:szCs w:val="32"/>
        </w:rPr>
        <w:t>3</w:t>
      </w:r>
      <w:r>
        <w:rPr>
          <w:rFonts w:ascii="黑体" w:hAnsi="黑体" w:eastAsia="黑体" w:cs="Times New Roman"/>
          <w:kern w:val="0"/>
          <w:szCs w:val="32"/>
        </w:rPr>
        <w:t>.</w:t>
      </w:r>
      <w:r>
        <w:rPr>
          <w:rFonts w:hint="eastAsia" w:ascii="黑体" w:hAnsi="黑体" w:eastAsia="黑体" w:cs="Times New Roman"/>
          <w:kern w:val="0"/>
          <w:szCs w:val="32"/>
        </w:rPr>
        <w:t>警惕外资并购龙头企业</w:t>
      </w:r>
      <w:r>
        <w:rPr>
          <w:rFonts w:ascii="黑体" w:hAnsi="黑体" w:eastAsia="黑体" w:cs="Times New Roman"/>
          <w:kern w:val="0"/>
          <w:szCs w:val="32"/>
        </w:rPr>
        <w:t xml:space="preserve"> </w:t>
      </w:r>
      <w:r>
        <w:rPr>
          <w:rFonts w:hint="eastAsia" w:ascii="黑体" w:hAnsi="黑体" w:eastAsia="黑体" w:cs="Times New Roman"/>
          <w:kern w:val="0"/>
          <w:szCs w:val="32"/>
        </w:rPr>
        <w:t>维护民族产业安全和自主创新</w:t>
      </w:r>
      <w:r>
        <w:tab/>
      </w:r>
      <w:r>
        <w:fldChar w:fldCharType="begin"/>
      </w:r>
      <w:r>
        <w:instrText xml:space="preserve"> PAGEREF _Toc476041146 \h </w:instrText>
      </w:r>
      <w:r>
        <w:fldChar w:fldCharType="separate"/>
      </w:r>
      <w:r>
        <w:t>708</w:t>
      </w:r>
      <w:r>
        <w:fldChar w:fldCharType="end"/>
      </w:r>
    </w:p>
    <w:p w14:paraId="2768CECA">
      <w:pPr>
        <w:pStyle w:val="14"/>
        <w:tabs>
          <w:tab w:val="right" w:leader="dot" w:pos="9026"/>
        </w:tabs>
      </w:pPr>
      <w:r>
        <w:rPr>
          <w:rFonts w:hint="eastAsia" w:ascii="黑体" w:hAnsi="黑体" w:eastAsia="黑体" w:cs="Times New Roman"/>
          <w:szCs w:val="32"/>
        </w:rPr>
        <w:t>4</w:t>
      </w:r>
      <w:r>
        <w:rPr>
          <w:rFonts w:ascii="黑体" w:hAnsi="黑体" w:eastAsia="黑体" w:cs="Times New Roman"/>
          <w:szCs w:val="32"/>
        </w:rPr>
        <w:t>.</w:t>
      </w:r>
      <w:r>
        <w:rPr>
          <w:rFonts w:hint="eastAsia" w:ascii="黑体" w:hAnsi="黑体" w:eastAsia="黑体" w:cs="Times New Roman"/>
          <w:szCs w:val="32"/>
        </w:rPr>
        <w:t>改革、开放和</w:t>
      </w:r>
      <w:r>
        <w:rPr>
          <w:rFonts w:hint="eastAsia" w:ascii="黑体" w:hAnsi="黑体" w:eastAsia="黑体" w:cs="Times New Roman"/>
        </w:rPr>
        <w:t>发展的不同思路与流派</w:t>
      </w:r>
      <w:r>
        <w:tab/>
      </w:r>
      <w:r>
        <w:fldChar w:fldCharType="begin"/>
      </w:r>
      <w:r>
        <w:instrText xml:space="preserve"> PAGEREF _Toc1446955747 \h </w:instrText>
      </w:r>
      <w:r>
        <w:fldChar w:fldCharType="separate"/>
      </w:r>
      <w:r>
        <w:t>711</w:t>
      </w:r>
      <w:r>
        <w:fldChar w:fldCharType="end"/>
      </w:r>
    </w:p>
    <w:p w14:paraId="08219041">
      <w:pPr>
        <w:pStyle w:val="14"/>
        <w:tabs>
          <w:tab w:val="right" w:leader="dot" w:pos="9026"/>
        </w:tabs>
      </w:pPr>
      <w:r>
        <w:rPr>
          <w:rFonts w:hint="eastAsia" w:ascii="黑体" w:hAnsi="黑体" w:eastAsia="黑体" w:cs="Times New Roman"/>
          <w:kern w:val="0"/>
          <w:szCs w:val="32"/>
        </w:rPr>
        <w:t>5</w:t>
      </w:r>
      <w:r>
        <w:rPr>
          <w:rFonts w:ascii="黑体" w:hAnsi="黑体" w:eastAsia="黑体" w:cs="Times New Roman"/>
          <w:kern w:val="0"/>
          <w:szCs w:val="32"/>
        </w:rPr>
        <w:t>.</w:t>
      </w:r>
      <w:r>
        <w:rPr>
          <w:rFonts w:hint="eastAsia" w:ascii="黑体" w:hAnsi="黑体" w:eastAsia="黑体" w:cs="Times New Roman"/>
          <w:kern w:val="0"/>
          <w:szCs w:val="32"/>
        </w:rPr>
        <w:t>警惕外贸招降战</w:t>
      </w:r>
      <w:r>
        <w:tab/>
      </w:r>
      <w:r>
        <w:fldChar w:fldCharType="begin"/>
      </w:r>
      <w:r>
        <w:instrText xml:space="preserve"> PAGEREF _Toc880421201 \h </w:instrText>
      </w:r>
      <w:r>
        <w:fldChar w:fldCharType="separate"/>
      </w:r>
      <w:r>
        <w:t>719</w:t>
      </w:r>
      <w:r>
        <w:fldChar w:fldCharType="end"/>
      </w:r>
    </w:p>
    <w:p w14:paraId="3CA67A55">
      <w:pPr>
        <w:pStyle w:val="14"/>
        <w:tabs>
          <w:tab w:val="right" w:leader="dot" w:pos="9026"/>
        </w:tabs>
      </w:pPr>
      <w:r>
        <w:rPr>
          <w:rFonts w:hint="eastAsia" w:ascii="黑体" w:hAnsi="黑体" w:eastAsia="黑体" w:cs="Times New Roman"/>
          <w:kern w:val="0"/>
          <w:szCs w:val="32"/>
        </w:rPr>
        <w:t>6.由《大国崛起》引发的一点思考</w:t>
      </w:r>
      <w:r>
        <w:tab/>
      </w:r>
      <w:r>
        <w:fldChar w:fldCharType="begin"/>
      </w:r>
      <w:r>
        <w:instrText xml:space="preserve"> PAGEREF _Toc1076797377 \h </w:instrText>
      </w:r>
      <w:r>
        <w:fldChar w:fldCharType="separate"/>
      </w:r>
      <w:r>
        <w:t>722</w:t>
      </w:r>
      <w:r>
        <w:fldChar w:fldCharType="end"/>
      </w:r>
    </w:p>
    <w:p w14:paraId="6BD4C32E">
      <w:pPr>
        <w:pStyle w:val="14"/>
        <w:tabs>
          <w:tab w:val="right" w:leader="dot" w:pos="9026"/>
        </w:tabs>
      </w:pPr>
      <w:r>
        <w:rPr>
          <w:rFonts w:ascii="黑体" w:hAnsi="黑体" w:eastAsia="黑体"/>
          <w:bCs w:val="0"/>
        </w:rPr>
        <w:t>7</w:t>
      </w:r>
      <w:r>
        <w:rPr>
          <w:rFonts w:hint="default" w:ascii="黑体" w:hAnsi="黑体" w:eastAsia="黑体"/>
          <w:bCs w:val="0"/>
        </w:rPr>
        <w:t>.</w:t>
      </w:r>
      <w:r>
        <w:rPr>
          <w:rFonts w:ascii="黑体" w:hAnsi="黑体" w:eastAsia="黑体"/>
          <w:bCs w:val="0"/>
        </w:rPr>
        <w:t>西方新制度经济理论与马克思主义制度经济理论比较</w:t>
      </w:r>
      <w:r>
        <w:tab/>
      </w:r>
      <w:r>
        <w:fldChar w:fldCharType="begin"/>
      </w:r>
      <w:r>
        <w:instrText xml:space="preserve"> PAGEREF _Toc888821970 \h </w:instrText>
      </w:r>
      <w:r>
        <w:fldChar w:fldCharType="separate"/>
      </w:r>
      <w:r>
        <w:t>724</w:t>
      </w:r>
      <w:r>
        <w:fldChar w:fldCharType="end"/>
      </w:r>
    </w:p>
    <w:p w14:paraId="7C534FE1">
      <w:pPr>
        <w:pStyle w:val="14"/>
        <w:tabs>
          <w:tab w:val="right" w:leader="dot" w:pos="9026"/>
        </w:tabs>
      </w:pPr>
      <w:r>
        <w:rPr>
          <w:rFonts w:hint="eastAsia" w:ascii="黑体" w:hAnsi="黑体" w:eastAsia="黑体" w:cs="Times New Roman"/>
          <w:bCs/>
          <w:szCs w:val="28"/>
        </w:rPr>
        <w:t>8</w:t>
      </w:r>
      <w:r>
        <w:rPr>
          <w:rFonts w:ascii="黑体" w:hAnsi="黑体" w:eastAsia="黑体" w:cs="Times New Roman"/>
          <w:bCs/>
          <w:szCs w:val="28"/>
        </w:rPr>
        <w:t>.</w:t>
      </w:r>
      <w:r>
        <w:rPr>
          <w:rFonts w:hint="eastAsia" w:ascii="黑体" w:hAnsi="黑体" w:eastAsia="黑体" w:cs="Times New Roman"/>
          <w:bCs/>
          <w:szCs w:val="28"/>
        </w:rPr>
        <w:t>近年现代马克思主义经济学若干重大理论创新评述</w:t>
      </w:r>
      <w:r>
        <w:tab/>
      </w:r>
      <w:r>
        <w:fldChar w:fldCharType="begin"/>
      </w:r>
      <w:r>
        <w:instrText xml:space="preserve"> PAGEREF _Toc534601258 \h </w:instrText>
      </w:r>
      <w:r>
        <w:fldChar w:fldCharType="separate"/>
      </w:r>
      <w:r>
        <w:t>739</w:t>
      </w:r>
      <w:r>
        <w:fldChar w:fldCharType="end"/>
      </w:r>
    </w:p>
    <w:p w14:paraId="1FD703B4">
      <w:pPr>
        <w:pStyle w:val="14"/>
        <w:tabs>
          <w:tab w:val="right" w:leader="dot" w:pos="9026"/>
        </w:tabs>
      </w:pPr>
      <w:r>
        <w:rPr>
          <w:rFonts w:ascii="等线" w:hAnsi="等线" w:eastAsia="等线"/>
        </w:rPr>
        <w:t>9</w:t>
      </w:r>
      <w:r>
        <w:rPr>
          <w:rFonts w:hint="default" w:ascii="等线" w:hAnsi="等线" w:eastAsia="等线"/>
        </w:rPr>
        <w:t>.</w:t>
      </w:r>
      <w:r>
        <w:rPr>
          <w:rFonts w:ascii="等线" w:hAnsi="等线" w:eastAsia="等线"/>
        </w:rPr>
        <w:t>论我国经济学界的“二”、“三”、“四”、“五”、“六”</w:t>
      </w:r>
      <w:r>
        <w:tab/>
      </w:r>
      <w:r>
        <w:fldChar w:fldCharType="begin"/>
      </w:r>
      <w:r>
        <w:instrText xml:space="preserve"> PAGEREF _Toc2119247805 \h </w:instrText>
      </w:r>
      <w:r>
        <w:fldChar w:fldCharType="separate"/>
      </w:r>
      <w:r>
        <w:t>753</w:t>
      </w:r>
      <w:r>
        <w:fldChar w:fldCharType="end"/>
      </w:r>
    </w:p>
    <w:p w14:paraId="6EBCBFB9">
      <w:pPr>
        <w:pStyle w:val="14"/>
        <w:tabs>
          <w:tab w:val="right" w:leader="dot" w:pos="9026"/>
        </w:tabs>
      </w:pPr>
      <w:r>
        <w:rPr>
          <w:rFonts w:ascii="黑体" w:hAnsi="黑体" w:eastAsia="黑体"/>
          <w:bCs w:val="0"/>
        </w:rPr>
        <w:t>1</w:t>
      </w:r>
      <w:r>
        <w:rPr>
          <w:rFonts w:hint="default" w:ascii="黑体" w:hAnsi="黑体" w:eastAsia="黑体"/>
          <w:bCs w:val="0"/>
        </w:rPr>
        <w:t>0.</w:t>
      </w:r>
      <w:r>
        <w:rPr>
          <w:rFonts w:ascii="黑体" w:hAnsi="黑体" w:eastAsia="黑体"/>
          <w:bCs w:val="0"/>
        </w:rPr>
        <w:t>五个方面的本质区别</w:t>
      </w:r>
      <w:r>
        <w:tab/>
      </w:r>
      <w:r>
        <w:fldChar w:fldCharType="begin"/>
      </w:r>
      <w:r>
        <w:instrText xml:space="preserve"> PAGEREF _Toc34089493 \h </w:instrText>
      </w:r>
      <w:r>
        <w:fldChar w:fldCharType="separate"/>
      </w:r>
      <w:r>
        <w:t>753</w:t>
      </w:r>
      <w:r>
        <w:fldChar w:fldCharType="end"/>
      </w:r>
    </w:p>
    <w:p w14:paraId="542F7D8B">
      <w:pPr>
        <w:pStyle w:val="14"/>
        <w:tabs>
          <w:tab w:val="right" w:leader="dot" w:pos="9026"/>
        </w:tabs>
      </w:pPr>
      <w:r>
        <w:rPr>
          <w:rFonts w:ascii="黑体" w:hAnsi="黑体" w:eastAsia="黑体"/>
          <w:bCs w:val="0"/>
        </w:rPr>
        <w:t>1</w:t>
      </w:r>
      <w:r>
        <w:rPr>
          <w:rFonts w:hint="default" w:ascii="黑体" w:hAnsi="黑体" w:eastAsia="黑体"/>
          <w:bCs w:val="0"/>
        </w:rPr>
        <w:t>1.</w:t>
      </w:r>
      <w:r>
        <w:rPr>
          <w:rFonts w:ascii="黑体" w:hAnsi="黑体" w:eastAsia="黑体"/>
          <w:bCs w:val="0"/>
        </w:rPr>
        <w:t>要继续深化对中国特色社会主义的研究和探索</w:t>
      </w:r>
      <w:r>
        <w:tab/>
      </w:r>
      <w:r>
        <w:fldChar w:fldCharType="begin"/>
      </w:r>
      <w:r>
        <w:instrText xml:space="preserve"> PAGEREF _Toc1711458749 \h </w:instrText>
      </w:r>
      <w:r>
        <w:fldChar w:fldCharType="separate"/>
      </w:r>
      <w:r>
        <w:t>755</w:t>
      </w:r>
      <w:r>
        <w:fldChar w:fldCharType="end"/>
      </w:r>
    </w:p>
    <w:p w14:paraId="67E57EB2">
      <w:pPr>
        <w:pStyle w:val="14"/>
        <w:tabs>
          <w:tab w:val="right" w:leader="dot" w:pos="9026"/>
        </w:tabs>
      </w:pPr>
      <w:r>
        <w:rPr>
          <w:rFonts w:ascii="黑体" w:hAnsi="黑体" w:eastAsia="黑体"/>
          <w:bCs w:val="0"/>
        </w:rPr>
        <w:t>1</w:t>
      </w:r>
      <w:r>
        <w:rPr>
          <w:rFonts w:hint="default" w:ascii="黑体" w:hAnsi="黑体" w:eastAsia="黑体"/>
          <w:bCs w:val="0"/>
        </w:rPr>
        <w:t>2</w:t>
      </w:r>
      <w:r>
        <w:rPr>
          <w:rFonts w:ascii="黑体" w:hAnsi="黑体" w:eastAsia="黑体"/>
          <w:bCs w:val="0"/>
        </w:rPr>
        <w:t>中国特色社会主义的内涵</w:t>
      </w:r>
      <w:r>
        <w:tab/>
      </w:r>
      <w:r>
        <w:fldChar w:fldCharType="begin"/>
      </w:r>
      <w:r>
        <w:instrText xml:space="preserve"> PAGEREF _Toc1091226525 \h </w:instrText>
      </w:r>
      <w:r>
        <w:fldChar w:fldCharType="separate"/>
      </w:r>
      <w:r>
        <w:t>758</w:t>
      </w:r>
      <w:r>
        <w:fldChar w:fldCharType="end"/>
      </w:r>
    </w:p>
    <w:p w14:paraId="33E64CB5">
      <w:pPr>
        <w:pStyle w:val="14"/>
        <w:tabs>
          <w:tab w:val="right" w:leader="dot" w:pos="9026"/>
        </w:tabs>
      </w:pPr>
      <w:r>
        <w:rPr>
          <w:rFonts w:hint="eastAsia" w:ascii="黑体" w:hAnsi="黑体" w:eastAsia="黑体" w:cs="Times New Roman"/>
          <w:kern w:val="0"/>
          <w:szCs w:val="32"/>
        </w:rPr>
        <w:t>1</w:t>
      </w:r>
      <w:r>
        <w:rPr>
          <w:rFonts w:ascii="黑体" w:hAnsi="黑体" w:eastAsia="黑体" w:cs="Times New Roman"/>
          <w:kern w:val="0"/>
          <w:szCs w:val="32"/>
        </w:rPr>
        <w:t>3</w:t>
      </w:r>
      <w:r>
        <w:rPr>
          <w:rFonts w:hint="eastAsia" w:ascii="黑体" w:hAnsi="黑体" w:eastAsia="黑体" w:cs="Times New Roman"/>
          <w:kern w:val="0"/>
          <w:szCs w:val="32"/>
        </w:rPr>
        <w:t>科学发展与构建和谐的政治经济学观察</w:t>
      </w:r>
      <w:r>
        <w:tab/>
      </w:r>
      <w:r>
        <w:fldChar w:fldCharType="begin"/>
      </w:r>
      <w:r>
        <w:instrText xml:space="preserve"> PAGEREF _Toc733860295 \h </w:instrText>
      </w:r>
      <w:r>
        <w:fldChar w:fldCharType="separate"/>
      </w:r>
      <w:r>
        <w:t>760</w:t>
      </w:r>
      <w:r>
        <w:fldChar w:fldCharType="end"/>
      </w:r>
    </w:p>
    <w:p w14:paraId="66389DEB">
      <w:pPr>
        <w:pStyle w:val="14"/>
        <w:tabs>
          <w:tab w:val="right" w:leader="dot" w:pos="9026"/>
        </w:tabs>
      </w:pPr>
      <w:r>
        <w:rPr>
          <w:rFonts w:ascii="黑体" w:hAnsi="黑体" w:eastAsia="黑体"/>
          <w:bCs w:val="0"/>
        </w:rPr>
        <w:t>1</w:t>
      </w:r>
      <w:r>
        <w:rPr>
          <w:rFonts w:hint="default" w:ascii="黑体" w:hAnsi="黑体" w:eastAsia="黑体"/>
          <w:bCs w:val="0"/>
        </w:rPr>
        <w:t>4</w:t>
      </w:r>
      <w:r>
        <w:rPr>
          <w:rFonts w:ascii="黑体" w:hAnsi="黑体" w:eastAsia="黑体"/>
          <w:bCs w:val="0"/>
        </w:rPr>
        <w:t>经济全球化与反全球化的若干分析</w:t>
      </w:r>
      <w:r>
        <w:tab/>
      </w:r>
      <w:r>
        <w:fldChar w:fldCharType="begin"/>
      </w:r>
      <w:r>
        <w:instrText xml:space="preserve"> PAGEREF _Toc991393344 \h </w:instrText>
      </w:r>
      <w:r>
        <w:fldChar w:fldCharType="separate"/>
      </w:r>
      <w:r>
        <w:t>763</w:t>
      </w:r>
      <w:r>
        <w:fldChar w:fldCharType="end"/>
      </w:r>
    </w:p>
    <w:p w14:paraId="5B6136D5">
      <w:pPr>
        <w:pStyle w:val="14"/>
        <w:tabs>
          <w:tab w:val="right" w:leader="dot" w:pos="9026"/>
        </w:tabs>
      </w:pPr>
      <w:r>
        <w:rPr>
          <w:rFonts w:ascii="黑体" w:hAnsi="黑体" w:eastAsia="黑体"/>
          <w:bCs w:val="0"/>
        </w:rPr>
        <w:t>1</w:t>
      </w:r>
      <w:r>
        <w:rPr>
          <w:rFonts w:hint="default" w:ascii="黑体" w:hAnsi="黑体" w:eastAsia="黑体"/>
          <w:bCs w:val="0"/>
        </w:rPr>
        <w:t>5</w:t>
      </w:r>
      <w:r>
        <w:rPr>
          <w:rFonts w:ascii="黑体" w:hAnsi="黑体" w:eastAsia="黑体"/>
          <w:bCs w:val="0"/>
        </w:rPr>
        <w:t>用西柏坡精神落实十七大的战略部署</w:t>
      </w:r>
      <w:r>
        <w:tab/>
      </w:r>
      <w:r>
        <w:fldChar w:fldCharType="begin"/>
      </w:r>
      <w:r>
        <w:instrText xml:space="preserve"> PAGEREF _Toc22315535 \h </w:instrText>
      </w:r>
      <w:r>
        <w:fldChar w:fldCharType="separate"/>
      </w:r>
      <w:r>
        <w:t>770</w:t>
      </w:r>
      <w:r>
        <w:fldChar w:fldCharType="end"/>
      </w:r>
    </w:p>
    <w:p w14:paraId="6E6AAA71">
      <w:pPr>
        <w:pStyle w:val="14"/>
        <w:tabs>
          <w:tab w:val="right" w:leader="dot" w:pos="9026"/>
        </w:tabs>
      </w:pPr>
      <w:r>
        <w:rPr>
          <w:rFonts w:hint="eastAsia" w:ascii="黑体" w:hAnsi="黑体" w:eastAsia="黑体" w:cs="Times New Roman"/>
          <w:kern w:val="0"/>
          <w:szCs w:val="32"/>
        </w:rPr>
        <w:t>1</w:t>
      </w:r>
      <w:r>
        <w:rPr>
          <w:rFonts w:ascii="黑体" w:hAnsi="黑体" w:eastAsia="黑体" w:cs="Times New Roman"/>
          <w:kern w:val="0"/>
          <w:szCs w:val="32"/>
        </w:rPr>
        <w:t>6</w:t>
      </w:r>
      <w:r>
        <w:rPr>
          <w:rFonts w:hint="eastAsia" w:ascii="黑体" w:hAnsi="黑体" w:eastAsia="黑体" w:cs="Times New Roman"/>
          <w:kern w:val="0"/>
          <w:szCs w:val="32"/>
        </w:rPr>
        <w:t>中国特色社会主义的内涵及其经济制度</w:t>
      </w:r>
      <w:r>
        <w:tab/>
      </w:r>
      <w:r>
        <w:fldChar w:fldCharType="begin"/>
      </w:r>
      <w:r>
        <w:instrText xml:space="preserve"> PAGEREF _Toc1395042167 \h </w:instrText>
      </w:r>
      <w:r>
        <w:fldChar w:fldCharType="separate"/>
      </w:r>
      <w:r>
        <w:t>775</w:t>
      </w:r>
      <w:r>
        <w:fldChar w:fldCharType="end"/>
      </w:r>
    </w:p>
    <w:p w14:paraId="1E590341">
      <w:pPr>
        <w:pStyle w:val="14"/>
        <w:tabs>
          <w:tab w:val="right" w:leader="dot" w:pos="9026"/>
        </w:tabs>
      </w:pPr>
      <w:r>
        <w:rPr>
          <w:rFonts w:ascii="黑体" w:hAnsi="黑体" w:eastAsia="黑体"/>
          <w:bCs w:val="0"/>
        </w:rPr>
        <w:t>1</w:t>
      </w:r>
      <w:r>
        <w:rPr>
          <w:rFonts w:hint="default" w:ascii="黑体" w:hAnsi="黑体" w:eastAsia="黑体"/>
          <w:bCs w:val="0"/>
        </w:rPr>
        <w:t>7</w:t>
      </w:r>
      <w:r>
        <w:rPr>
          <w:rFonts w:ascii="黑体" w:hAnsi="黑体" w:eastAsia="黑体"/>
          <w:bCs w:val="0"/>
        </w:rPr>
        <w:t>坚定不移地科学推进国有经济调整和改革</w:t>
      </w:r>
      <w:r>
        <w:tab/>
      </w:r>
      <w:r>
        <w:fldChar w:fldCharType="begin"/>
      </w:r>
      <w:r>
        <w:instrText xml:space="preserve"> PAGEREF _Toc247242823 \h </w:instrText>
      </w:r>
      <w:r>
        <w:fldChar w:fldCharType="separate"/>
      </w:r>
      <w:r>
        <w:t>780</w:t>
      </w:r>
      <w:r>
        <w:fldChar w:fldCharType="end"/>
      </w:r>
    </w:p>
    <w:p w14:paraId="106D22D9">
      <w:pPr>
        <w:pStyle w:val="14"/>
        <w:tabs>
          <w:tab w:val="right" w:leader="dot" w:pos="9026"/>
        </w:tabs>
      </w:pPr>
      <w:r>
        <w:rPr>
          <w:rFonts w:hint="eastAsia" w:ascii="黑体" w:hAnsi="黑体" w:eastAsia="黑体" w:cs="Times New Roman"/>
          <w:kern w:val="0"/>
          <w:szCs w:val="32"/>
        </w:rPr>
        <w:t>1</w:t>
      </w:r>
      <w:r>
        <w:rPr>
          <w:rFonts w:ascii="黑体" w:hAnsi="黑体" w:eastAsia="黑体" w:cs="Times New Roman"/>
          <w:kern w:val="0"/>
          <w:szCs w:val="32"/>
        </w:rPr>
        <w:t>8</w:t>
      </w:r>
      <w:r>
        <w:rPr>
          <w:rFonts w:hint="eastAsia" w:ascii="黑体" w:hAnsi="黑体" w:eastAsia="黑体" w:cs="Times New Roman"/>
          <w:kern w:val="0"/>
          <w:szCs w:val="32"/>
        </w:rPr>
        <w:t>高举中国特色社会主义伟大旗帜</w:t>
      </w:r>
      <w:r>
        <w:tab/>
      </w:r>
      <w:r>
        <w:fldChar w:fldCharType="begin"/>
      </w:r>
      <w:r>
        <w:instrText xml:space="preserve"> PAGEREF _Toc29269216 \h </w:instrText>
      </w:r>
      <w:r>
        <w:fldChar w:fldCharType="separate"/>
      </w:r>
      <w:r>
        <w:t>787</w:t>
      </w:r>
      <w:r>
        <w:fldChar w:fldCharType="end"/>
      </w:r>
    </w:p>
    <w:p w14:paraId="4D8C4FBD">
      <w:pPr>
        <w:pStyle w:val="14"/>
        <w:tabs>
          <w:tab w:val="right" w:leader="dot" w:pos="9026"/>
        </w:tabs>
      </w:pPr>
      <w:r>
        <w:rPr>
          <w:rFonts w:ascii="黑体" w:hAnsi="黑体" w:eastAsia="黑体"/>
          <w:bCs w:val="0"/>
        </w:rPr>
        <w:t>1</w:t>
      </w:r>
      <w:r>
        <w:rPr>
          <w:rFonts w:hint="default" w:ascii="黑体" w:hAnsi="黑体" w:eastAsia="黑体"/>
          <w:bCs w:val="0"/>
        </w:rPr>
        <w:t>9</w:t>
      </w:r>
      <w:r>
        <w:rPr>
          <w:rFonts w:ascii="黑体" w:hAnsi="黑体" w:eastAsia="黑体"/>
          <w:bCs w:val="0"/>
        </w:rPr>
        <w:t>欧美马克思主义经济思想的发展总貌</w:t>
      </w:r>
      <w:r>
        <w:tab/>
      </w:r>
      <w:r>
        <w:fldChar w:fldCharType="begin"/>
      </w:r>
      <w:r>
        <w:instrText xml:space="preserve"> PAGEREF _Toc153958149 \h </w:instrText>
      </w:r>
      <w:r>
        <w:fldChar w:fldCharType="separate"/>
      </w:r>
      <w:r>
        <w:t>795</w:t>
      </w:r>
      <w:r>
        <w:fldChar w:fldCharType="end"/>
      </w:r>
    </w:p>
    <w:p w14:paraId="24EC73E6">
      <w:pPr>
        <w:pStyle w:val="14"/>
        <w:tabs>
          <w:tab w:val="right" w:leader="dot" w:pos="9026"/>
        </w:tabs>
      </w:pPr>
      <w:r>
        <w:rPr>
          <w:rFonts w:ascii="黑体" w:hAnsi="黑体" w:eastAsia="黑体"/>
          <w:bCs w:val="0"/>
        </w:rPr>
        <w:t>2</w:t>
      </w:r>
      <w:r>
        <w:rPr>
          <w:rFonts w:hint="default" w:ascii="黑体" w:hAnsi="黑体" w:eastAsia="黑体"/>
          <w:bCs w:val="0"/>
        </w:rPr>
        <w:t>0</w:t>
      </w:r>
      <w:r>
        <w:rPr>
          <w:rFonts w:ascii="黑体" w:hAnsi="黑体" w:eastAsia="黑体"/>
          <w:bCs w:val="0"/>
        </w:rPr>
        <w:t>中国特色社会主义为何能够成为旗帜</w:t>
      </w:r>
      <w:r>
        <w:tab/>
      </w:r>
      <w:r>
        <w:fldChar w:fldCharType="begin"/>
      </w:r>
      <w:r>
        <w:instrText xml:space="preserve"> PAGEREF _Toc2004299255 \h </w:instrText>
      </w:r>
      <w:r>
        <w:fldChar w:fldCharType="separate"/>
      </w:r>
      <w:r>
        <w:t>804</w:t>
      </w:r>
      <w:r>
        <w:fldChar w:fldCharType="end"/>
      </w:r>
    </w:p>
    <w:p w14:paraId="64FF313E">
      <w:pPr>
        <w:pStyle w:val="14"/>
        <w:tabs>
          <w:tab w:val="right" w:leader="dot" w:pos="9026"/>
        </w:tabs>
      </w:pPr>
      <w:r>
        <w:rPr>
          <w:rFonts w:hint="eastAsia" w:ascii="黑体" w:hAnsi="黑体" w:eastAsia="黑体" w:cs="Times New Roman"/>
          <w:kern w:val="0"/>
          <w:szCs w:val="32"/>
        </w:rPr>
        <w:t>2</w:t>
      </w:r>
      <w:r>
        <w:rPr>
          <w:rFonts w:ascii="黑体" w:hAnsi="黑体" w:eastAsia="黑体" w:cs="Times New Roman"/>
          <w:kern w:val="0"/>
          <w:szCs w:val="32"/>
        </w:rPr>
        <w:t>1</w:t>
      </w:r>
      <w:r>
        <w:rPr>
          <w:rFonts w:hint="eastAsia" w:ascii="黑体" w:hAnsi="黑体" w:eastAsia="黑体" w:cs="Times New Roman"/>
          <w:kern w:val="0"/>
          <w:szCs w:val="32"/>
        </w:rPr>
        <w:t>我们的旗帜就是中国特色社会主义</w:t>
      </w:r>
      <w:r>
        <w:tab/>
      </w:r>
      <w:r>
        <w:fldChar w:fldCharType="begin"/>
      </w:r>
      <w:r>
        <w:instrText xml:space="preserve"> PAGEREF _Toc829091943 \h </w:instrText>
      </w:r>
      <w:r>
        <w:fldChar w:fldCharType="separate"/>
      </w:r>
      <w:r>
        <w:t>806</w:t>
      </w:r>
      <w:r>
        <w:fldChar w:fldCharType="end"/>
      </w:r>
    </w:p>
    <w:p w14:paraId="256C43D8">
      <w:pPr>
        <w:pStyle w:val="14"/>
        <w:tabs>
          <w:tab w:val="right" w:leader="dot" w:pos="9026"/>
        </w:tabs>
      </w:pPr>
      <w:r>
        <w:rPr>
          <w:rFonts w:ascii="黑体" w:hAnsi="黑体" w:eastAsia="黑体"/>
          <w:bCs w:val="0"/>
        </w:rPr>
        <w:t>2</w:t>
      </w:r>
      <w:r>
        <w:rPr>
          <w:rFonts w:hint="default" w:ascii="黑体" w:hAnsi="黑体" w:eastAsia="黑体"/>
          <w:bCs w:val="0"/>
        </w:rPr>
        <w:t>2</w:t>
      </w:r>
      <w:r>
        <w:rPr>
          <w:rFonts w:ascii="黑体" w:hAnsi="黑体" w:eastAsia="黑体"/>
          <w:bCs w:val="0"/>
        </w:rPr>
        <w:t>要深入研究中国特色社会主义的特征和内涵</w:t>
      </w:r>
      <w:r>
        <w:tab/>
      </w:r>
      <w:r>
        <w:fldChar w:fldCharType="begin"/>
      </w:r>
      <w:r>
        <w:instrText xml:space="preserve"> PAGEREF _Toc1674384265 \h </w:instrText>
      </w:r>
      <w:r>
        <w:fldChar w:fldCharType="separate"/>
      </w:r>
      <w:r>
        <w:t>808</w:t>
      </w:r>
      <w:r>
        <w:fldChar w:fldCharType="end"/>
      </w:r>
    </w:p>
    <w:p w14:paraId="1F0750B0">
      <w:pPr>
        <w:pStyle w:val="14"/>
        <w:tabs>
          <w:tab w:val="right" w:leader="dot" w:pos="9026"/>
        </w:tabs>
      </w:pPr>
      <w:r>
        <w:rPr>
          <w:rFonts w:hint="eastAsia" w:ascii="黑体" w:hAnsi="黑体" w:eastAsia="黑体" w:cs="Times New Roman"/>
          <w:kern w:val="0"/>
          <w:szCs w:val="30"/>
        </w:rPr>
        <w:t>2</w:t>
      </w:r>
      <w:r>
        <w:rPr>
          <w:rFonts w:ascii="黑体" w:hAnsi="黑体" w:eastAsia="黑体" w:cs="Times New Roman"/>
          <w:kern w:val="0"/>
          <w:szCs w:val="30"/>
        </w:rPr>
        <w:t>3</w:t>
      </w:r>
      <w:r>
        <w:rPr>
          <w:rFonts w:hint="eastAsia" w:ascii="黑体" w:hAnsi="黑体" w:eastAsia="黑体" w:cs="Times New Roman"/>
          <w:kern w:val="0"/>
          <w:szCs w:val="30"/>
        </w:rPr>
        <w:t>在科学发展和改革中巩固和加强社会主义的经济基础</w:t>
      </w:r>
      <w:r>
        <w:tab/>
      </w:r>
      <w:r>
        <w:fldChar w:fldCharType="begin"/>
      </w:r>
      <w:r>
        <w:instrText xml:space="preserve"> PAGEREF _Toc750631567 \h </w:instrText>
      </w:r>
      <w:r>
        <w:fldChar w:fldCharType="separate"/>
      </w:r>
      <w:r>
        <w:t>813</w:t>
      </w:r>
      <w:r>
        <w:fldChar w:fldCharType="end"/>
      </w:r>
    </w:p>
    <w:p w14:paraId="54E4B66D">
      <w:pPr>
        <w:pStyle w:val="14"/>
        <w:tabs>
          <w:tab w:val="right" w:leader="dot" w:pos="9026"/>
        </w:tabs>
      </w:pPr>
      <w:r>
        <w:rPr>
          <w:rFonts w:hint="eastAsia" w:ascii="黑体" w:hAnsi="黑体" w:eastAsia="黑体" w:cs="Times New Roman"/>
          <w:kern w:val="0"/>
          <w:szCs w:val="32"/>
        </w:rPr>
        <w:t>2</w:t>
      </w:r>
      <w:r>
        <w:rPr>
          <w:rFonts w:ascii="黑体" w:hAnsi="黑体" w:eastAsia="黑体" w:cs="Times New Roman"/>
          <w:kern w:val="0"/>
          <w:szCs w:val="32"/>
        </w:rPr>
        <w:t>4</w:t>
      </w:r>
      <w:r>
        <w:rPr>
          <w:rFonts w:hint="eastAsia" w:ascii="黑体" w:hAnsi="黑体" w:eastAsia="黑体" w:cs="Times New Roman"/>
          <w:kern w:val="0"/>
          <w:szCs w:val="32"/>
        </w:rPr>
        <w:t>要深入研究中国特色社会主义的特征和内涵</w:t>
      </w:r>
      <w:r>
        <w:tab/>
      </w:r>
      <w:r>
        <w:fldChar w:fldCharType="begin"/>
      </w:r>
      <w:r>
        <w:instrText xml:space="preserve"> PAGEREF _Toc1545804091 \h </w:instrText>
      </w:r>
      <w:r>
        <w:fldChar w:fldCharType="separate"/>
      </w:r>
      <w:r>
        <w:t>818</w:t>
      </w:r>
      <w:r>
        <w:fldChar w:fldCharType="end"/>
      </w:r>
    </w:p>
    <w:p w14:paraId="0F47B390">
      <w:pPr>
        <w:pStyle w:val="14"/>
        <w:tabs>
          <w:tab w:val="right" w:leader="dot" w:pos="9026"/>
        </w:tabs>
      </w:pPr>
      <w:r>
        <w:rPr>
          <w:rFonts w:hint="eastAsia" w:ascii="黑体" w:hAnsi="黑体" w:eastAsia="黑体" w:cs="Times New Roman"/>
          <w:kern w:val="0"/>
          <w:szCs w:val="32"/>
        </w:rPr>
        <w:t>2</w:t>
      </w:r>
      <w:r>
        <w:rPr>
          <w:rFonts w:ascii="黑体" w:hAnsi="黑体" w:eastAsia="黑体" w:cs="Times New Roman"/>
          <w:kern w:val="0"/>
          <w:szCs w:val="32"/>
        </w:rPr>
        <w:t>5</w:t>
      </w:r>
      <w:r>
        <w:rPr>
          <w:rFonts w:hint="eastAsia" w:ascii="黑体" w:hAnsi="黑体" w:eastAsia="黑体" w:cs="Times New Roman"/>
          <w:kern w:val="0"/>
          <w:szCs w:val="32"/>
        </w:rPr>
        <w:t>自主创新维护国家产业安全</w:t>
      </w:r>
      <w:r>
        <w:tab/>
      </w:r>
      <w:r>
        <w:fldChar w:fldCharType="begin"/>
      </w:r>
      <w:r>
        <w:instrText xml:space="preserve"> PAGEREF _Toc72196031 \h </w:instrText>
      </w:r>
      <w:r>
        <w:fldChar w:fldCharType="separate"/>
      </w:r>
      <w:r>
        <w:t>823</w:t>
      </w:r>
      <w:r>
        <w:fldChar w:fldCharType="end"/>
      </w:r>
    </w:p>
    <w:p w14:paraId="156268A5">
      <w:pPr>
        <w:pStyle w:val="14"/>
        <w:tabs>
          <w:tab w:val="right" w:leader="dot" w:pos="9026"/>
        </w:tabs>
      </w:pPr>
      <w:r>
        <w:rPr>
          <w:rFonts w:hint="eastAsia" w:ascii="黑体" w:hAnsi="黑体" w:eastAsia="黑体" w:cs="Times New Roman"/>
          <w:kern w:val="0"/>
          <w:szCs w:val="32"/>
        </w:rPr>
        <w:t>2</w:t>
      </w:r>
      <w:r>
        <w:rPr>
          <w:rFonts w:ascii="黑体" w:hAnsi="黑体" w:eastAsia="黑体" w:cs="Times New Roman"/>
          <w:kern w:val="0"/>
          <w:szCs w:val="32"/>
        </w:rPr>
        <w:t>6</w:t>
      </w:r>
      <w:r>
        <w:rPr>
          <w:rFonts w:hint="eastAsia" w:ascii="黑体" w:hAnsi="黑体" w:eastAsia="黑体" w:cs="Times New Roman"/>
          <w:kern w:val="0"/>
          <w:szCs w:val="32"/>
        </w:rPr>
        <w:t>谈实现科学发展的几个现实问题</w:t>
      </w:r>
      <w:r>
        <w:tab/>
      </w:r>
      <w:r>
        <w:fldChar w:fldCharType="begin"/>
      </w:r>
      <w:r>
        <w:instrText xml:space="preserve"> PAGEREF _Toc70432462 \h </w:instrText>
      </w:r>
      <w:r>
        <w:fldChar w:fldCharType="separate"/>
      </w:r>
      <w:r>
        <w:t>826</w:t>
      </w:r>
      <w:r>
        <w:fldChar w:fldCharType="end"/>
      </w:r>
    </w:p>
    <w:p w14:paraId="69E82E6A">
      <w:pPr>
        <w:pStyle w:val="14"/>
        <w:tabs>
          <w:tab w:val="right" w:leader="dot" w:pos="9026"/>
        </w:tabs>
      </w:pPr>
      <w:r>
        <w:rPr>
          <w:rFonts w:hint="eastAsia" w:ascii="黑体" w:hAnsi="黑体" w:eastAsia="黑体" w:cs="Times New Roman"/>
          <w:kern w:val="0"/>
          <w:szCs w:val="32"/>
        </w:rPr>
        <w:t>2</w:t>
      </w:r>
      <w:r>
        <w:rPr>
          <w:rFonts w:ascii="黑体" w:hAnsi="黑体" w:eastAsia="黑体" w:cs="Times New Roman"/>
          <w:kern w:val="0"/>
          <w:szCs w:val="32"/>
        </w:rPr>
        <w:t>7</w:t>
      </w:r>
      <w:r>
        <w:rPr>
          <w:rFonts w:hint="eastAsia" w:ascii="黑体" w:hAnsi="黑体" w:eastAsia="黑体" w:cs="Times New Roman"/>
          <w:kern w:val="0"/>
          <w:szCs w:val="32"/>
        </w:rPr>
        <w:t>新经济与美国经济增长的两类原因</w:t>
      </w:r>
      <w:r>
        <w:tab/>
      </w:r>
      <w:r>
        <w:fldChar w:fldCharType="begin"/>
      </w:r>
      <w:r>
        <w:instrText xml:space="preserve"> PAGEREF _Toc494899337 \h </w:instrText>
      </w:r>
      <w:r>
        <w:fldChar w:fldCharType="separate"/>
      </w:r>
      <w:r>
        <w:t>829</w:t>
      </w:r>
      <w:r>
        <w:fldChar w:fldCharType="end"/>
      </w:r>
    </w:p>
    <w:p w14:paraId="2C73AA7D">
      <w:pPr>
        <w:pStyle w:val="14"/>
        <w:tabs>
          <w:tab w:val="right" w:leader="dot" w:pos="9026"/>
        </w:tabs>
      </w:pPr>
      <w:r>
        <w:rPr>
          <w:rFonts w:hint="eastAsia" w:ascii="黑体" w:hAnsi="黑体" w:eastAsia="黑体" w:cs="Times New Roman"/>
          <w:kern w:val="0"/>
          <w:szCs w:val="32"/>
        </w:rPr>
        <w:t>2</w:t>
      </w:r>
      <w:r>
        <w:rPr>
          <w:rFonts w:ascii="黑体" w:hAnsi="黑体" w:eastAsia="黑体" w:cs="Times New Roman"/>
          <w:kern w:val="0"/>
          <w:szCs w:val="32"/>
        </w:rPr>
        <w:t>8</w:t>
      </w:r>
      <w:r>
        <w:rPr>
          <w:rFonts w:hint="eastAsia" w:ascii="黑体" w:hAnsi="黑体" w:eastAsia="黑体" w:cs="Times New Roman"/>
          <w:kern w:val="0"/>
          <w:szCs w:val="32"/>
        </w:rPr>
        <w:t>理论假设的分类与马克思主义经济学的创新</w:t>
      </w:r>
      <w:r>
        <w:tab/>
      </w:r>
      <w:r>
        <w:fldChar w:fldCharType="begin"/>
      </w:r>
      <w:r>
        <w:instrText xml:space="preserve"> PAGEREF _Toc568992128 \h </w:instrText>
      </w:r>
      <w:r>
        <w:fldChar w:fldCharType="separate"/>
      </w:r>
      <w:r>
        <w:t>837</w:t>
      </w:r>
      <w:r>
        <w:fldChar w:fldCharType="end"/>
      </w:r>
    </w:p>
    <w:p w14:paraId="1AD0A742">
      <w:pPr>
        <w:pStyle w:val="14"/>
        <w:tabs>
          <w:tab w:val="right" w:leader="dot" w:pos="9026"/>
        </w:tabs>
      </w:pPr>
      <w:r>
        <w:rPr>
          <w:rFonts w:hint="eastAsia" w:eastAsia="宋体" w:cs="Times New Roman"/>
          <w:color w:val="000000"/>
          <w:szCs w:val="21"/>
          <w:lang w:val="en-US" w:eastAsia="zh-CN"/>
        </w:rPr>
        <w:t>29</w:t>
      </w:r>
      <w:r>
        <w:rPr>
          <w:rFonts w:hint="eastAsia" w:eastAsia="宋体" w:cs="Times New Roman"/>
          <w:color w:val="000000"/>
          <w:szCs w:val="21"/>
        </w:rPr>
        <w:t>和谐社会需要“四主型经济制度”</w:t>
      </w:r>
      <w:r>
        <w:tab/>
      </w:r>
      <w:r>
        <w:fldChar w:fldCharType="begin"/>
      </w:r>
      <w:r>
        <w:instrText xml:space="preserve"> PAGEREF _Toc306015205 \h </w:instrText>
      </w:r>
      <w:r>
        <w:fldChar w:fldCharType="separate"/>
      </w:r>
      <w:r>
        <w:t>841</w:t>
      </w:r>
      <w:r>
        <w:fldChar w:fldCharType="end"/>
      </w:r>
    </w:p>
    <w:p w14:paraId="1E61B540">
      <w:pPr>
        <w:pStyle w:val="14"/>
        <w:tabs>
          <w:tab w:val="right" w:leader="dot" w:pos="9026"/>
        </w:tabs>
      </w:pPr>
      <w:r>
        <w:rPr>
          <w:rFonts w:hint="eastAsia" w:eastAsia="宋体" w:cs="Times New Roman"/>
          <w:color w:val="000000"/>
          <w:szCs w:val="21"/>
          <w:lang w:val="en-US" w:eastAsia="zh-CN"/>
        </w:rPr>
        <w:t>30</w:t>
      </w:r>
      <w:r>
        <w:rPr>
          <w:rFonts w:hint="eastAsia" w:eastAsia="宋体" w:cs="Times New Roman"/>
          <w:color w:val="000000"/>
          <w:szCs w:val="21"/>
        </w:rPr>
        <w:t>民主社会主义及其与中国特色社会主义的区别</w:t>
      </w:r>
      <w:r>
        <w:tab/>
      </w:r>
      <w:r>
        <w:fldChar w:fldCharType="begin"/>
      </w:r>
      <w:r>
        <w:instrText xml:space="preserve"> PAGEREF _Toc2121699517 \h </w:instrText>
      </w:r>
      <w:r>
        <w:fldChar w:fldCharType="separate"/>
      </w:r>
      <w:r>
        <w:t>844</w:t>
      </w:r>
      <w:r>
        <w:fldChar w:fldCharType="end"/>
      </w:r>
    </w:p>
    <w:p w14:paraId="7DACA659">
      <w:pPr>
        <w:pStyle w:val="14"/>
        <w:tabs>
          <w:tab w:val="right" w:leader="dot" w:pos="9026"/>
        </w:tabs>
      </w:pPr>
      <w:r>
        <w:rPr>
          <w:rFonts w:hint="eastAsia" w:eastAsia="宋体" w:cs="Times New Roman"/>
          <w:color w:val="000000"/>
          <w:szCs w:val="21"/>
          <w:lang w:val="en-US" w:eastAsia="zh-CN"/>
        </w:rPr>
        <w:t>31</w:t>
      </w:r>
      <w:r>
        <w:rPr>
          <w:rFonts w:hint="eastAsia" w:eastAsia="宋体" w:cs="Times New Roman"/>
          <w:color w:val="000000"/>
          <w:szCs w:val="21"/>
        </w:rPr>
        <w:t>在科学发展和改革中巩固和加强社会主义的经济基础——《江泽民文选》研读有感</w:t>
      </w:r>
      <w:r>
        <w:tab/>
      </w:r>
      <w:r>
        <w:fldChar w:fldCharType="begin"/>
      </w:r>
      <w:r>
        <w:instrText xml:space="preserve"> PAGEREF _Toc437823784 \h </w:instrText>
      </w:r>
      <w:r>
        <w:fldChar w:fldCharType="separate"/>
      </w:r>
      <w:r>
        <w:t>850</w:t>
      </w:r>
      <w:r>
        <w:fldChar w:fldCharType="end"/>
      </w:r>
    </w:p>
    <w:p w14:paraId="06EB26CC">
      <w:pPr>
        <w:pStyle w:val="14"/>
        <w:tabs>
          <w:tab w:val="right" w:leader="dot" w:pos="9026"/>
        </w:tabs>
      </w:pPr>
      <w:r>
        <w:rPr>
          <w:rFonts w:hint="eastAsia" w:eastAsia="宋体" w:cs="Times New Roman"/>
          <w:color w:val="000000"/>
          <w:szCs w:val="24"/>
          <w:lang w:val="en-US" w:eastAsia="zh-CN"/>
        </w:rPr>
        <w:t>32</w:t>
      </w:r>
      <w:r>
        <w:rPr>
          <w:rFonts w:hint="eastAsia" w:eastAsia="宋体" w:cs="Times New Roman"/>
          <w:color w:val="000000"/>
          <w:szCs w:val="24"/>
        </w:rPr>
        <w:t>理论假设的分类与马克思主义经济学的创新</w:t>
      </w:r>
      <w:r>
        <w:tab/>
      </w:r>
      <w:r>
        <w:fldChar w:fldCharType="begin"/>
      </w:r>
      <w:r>
        <w:instrText xml:space="preserve"> PAGEREF _Toc1225363066 \h </w:instrText>
      </w:r>
      <w:r>
        <w:fldChar w:fldCharType="separate"/>
      </w:r>
      <w:r>
        <w:t>855</w:t>
      </w:r>
      <w:r>
        <w:fldChar w:fldCharType="end"/>
      </w:r>
    </w:p>
    <w:p w14:paraId="69296C17">
      <w:pPr>
        <w:pStyle w:val="14"/>
        <w:tabs>
          <w:tab w:val="right" w:leader="dot" w:pos="9026"/>
        </w:tabs>
      </w:pPr>
      <w:r>
        <w:rPr>
          <w:rFonts w:hint="eastAsia" w:eastAsia="宋体" w:cs="Times New Roman"/>
          <w:color w:val="000000"/>
          <w:szCs w:val="21"/>
          <w:lang w:val="en-US" w:eastAsia="zh-CN"/>
        </w:rPr>
        <w:t>33</w:t>
      </w:r>
      <w:r>
        <w:rPr>
          <w:rFonts w:hint="eastAsia" w:eastAsia="宋体" w:cs="Times New Roman"/>
          <w:color w:val="000000"/>
          <w:szCs w:val="21"/>
        </w:rPr>
        <w:t>美元霸权：美国掠夺他国财富的重要手段</w:t>
      </w:r>
      <w:r>
        <w:tab/>
      </w:r>
      <w:r>
        <w:fldChar w:fldCharType="begin"/>
      </w:r>
      <w:r>
        <w:instrText xml:space="preserve"> PAGEREF _Toc308875532 \h </w:instrText>
      </w:r>
      <w:r>
        <w:fldChar w:fldCharType="separate"/>
      </w:r>
      <w:r>
        <w:t>860</w:t>
      </w:r>
      <w:r>
        <w:fldChar w:fldCharType="end"/>
      </w:r>
    </w:p>
    <w:p w14:paraId="794F8426">
      <w:pPr>
        <w:pStyle w:val="14"/>
        <w:tabs>
          <w:tab w:val="right" w:leader="dot" w:pos="9026"/>
        </w:tabs>
      </w:pPr>
      <w:r>
        <w:rPr>
          <w:rFonts w:hint="eastAsia" w:eastAsia="宋体" w:cs="Times New Roman"/>
          <w:color w:val="000000"/>
          <w:szCs w:val="21"/>
          <w:lang w:val="en-US" w:eastAsia="zh-CN"/>
        </w:rPr>
        <w:t>34</w:t>
      </w:r>
      <w:r>
        <w:rPr>
          <w:rFonts w:hint="eastAsia" w:eastAsia="宋体" w:cs="Times New Roman"/>
          <w:color w:val="000000"/>
          <w:szCs w:val="21"/>
        </w:rPr>
        <w:t>现代马克思主义政治经济学的四大理论假设</w:t>
      </w:r>
      <w:r>
        <w:tab/>
      </w:r>
      <w:r>
        <w:fldChar w:fldCharType="begin"/>
      </w:r>
      <w:r>
        <w:instrText xml:space="preserve"> PAGEREF _Toc803091525 \h </w:instrText>
      </w:r>
      <w:r>
        <w:fldChar w:fldCharType="separate"/>
      </w:r>
      <w:r>
        <w:t>871</w:t>
      </w:r>
      <w:r>
        <w:fldChar w:fldCharType="end"/>
      </w:r>
    </w:p>
    <w:p w14:paraId="20664087">
      <w:pPr>
        <w:pStyle w:val="10"/>
        <w:tabs>
          <w:tab w:val="right" w:leader="dot" w:pos="9026"/>
        </w:tabs>
      </w:pPr>
      <w:r>
        <w:t>2008年</w:t>
      </w:r>
      <w:r>
        <w:tab/>
      </w:r>
      <w:r>
        <w:fldChar w:fldCharType="begin"/>
      </w:r>
      <w:r>
        <w:instrText xml:space="preserve"> PAGEREF _Toc624539280 \h </w:instrText>
      </w:r>
      <w:r>
        <w:fldChar w:fldCharType="separate"/>
      </w:r>
      <w:r>
        <w:t>890</w:t>
      </w:r>
      <w:r>
        <w:fldChar w:fldCharType="end"/>
      </w:r>
    </w:p>
    <w:p w14:paraId="4C6B9978">
      <w:pPr>
        <w:pStyle w:val="14"/>
        <w:tabs>
          <w:tab w:val="right" w:leader="dot" w:pos="9026"/>
        </w:tabs>
      </w:pPr>
      <w:r>
        <w:rPr>
          <w:rFonts w:ascii="Times New Roman" w:hAnsi="Times New Roman" w:eastAsia="黑体" w:cs="Times New Roman"/>
          <w:szCs w:val="32"/>
        </w:rPr>
        <w:t>1</w:t>
      </w:r>
      <w:r>
        <w:rPr>
          <w:rFonts w:hint="eastAsia" w:ascii="Times New Roman" w:hAnsi="Times New Roman" w:eastAsia="黑体" w:cs="Times New Roman"/>
          <w:szCs w:val="32"/>
        </w:rPr>
        <w:t>反思</w:t>
      </w:r>
      <w:r>
        <w:rPr>
          <w:rFonts w:hint="eastAsia" w:ascii="黑体" w:hAnsi="黑体" w:eastAsia="黑体" w:cs="Times New Roman"/>
        </w:rPr>
        <w:t>和超越新自由主义主导的经济全球化</w:t>
      </w:r>
      <w:r>
        <w:tab/>
      </w:r>
      <w:r>
        <w:fldChar w:fldCharType="begin"/>
      </w:r>
      <w:r>
        <w:instrText xml:space="preserve"> PAGEREF _Toc1879096071 \h </w:instrText>
      </w:r>
      <w:r>
        <w:fldChar w:fldCharType="separate"/>
      </w:r>
      <w:r>
        <w:t>890</w:t>
      </w:r>
      <w:r>
        <w:fldChar w:fldCharType="end"/>
      </w:r>
    </w:p>
    <w:p w14:paraId="29CAF37D">
      <w:pPr>
        <w:pStyle w:val="14"/>
        <w:tabs>
          <w:tab w:val="right" w:leader="dot" w:pos="9026"/>
        </w:tabs>
      </w:pPr>
      <w:r>
        <w:rPr>
          <w:rFonts w:hint="eastAsia" w:ascii="黑体" w:hAnsi="黑体" w:eastAsia="黑体"/>
          <w:szCs w:val="32"/>
          <w:lang w:val="zh-CN" w:bidi="zh-CN"/>
        </w:rPr>
        <w:t>2文化经济学：推动文化大发展大繁荣的新兴学科</w:t>
      </w:r>
      <w:r>
        <w:tab/>
      </w:r>
      <w:r>
        <w:fldChar w:fldCharType="begin"/>
      </w:r>
      <w:r>
        <w:instrText xml:space="preserve"> PAGEREF _Toc1073152515 \h </w:instrText>
      </w:r>
      <w:r>
        <w:fldChar w:fldCharType="separate"/>
      </w:r>
      <w:r>
        <w:t>897</w:t>
      </w:r>
      <w:r>
        <w:fldChar w:fldCharType="end"/>
      </w:r>
    </w:p>
    <w:p w14:paraId="344D1026">
      <w:pPr>
        <w:pStyle w:val="14"/>
        <w:tabs>
          <w:tab w:val="right" w:leader="dot" w:pos="9026"/>
        </w:tabs>
      </w:pPr>
      <w:r>
        <w:rPr>
          <w:rFonts w:hint="eastAsia" w:ascii="黑体" w:hAnsi="黑体" w:eastAsia="黑体"/>
          <w:szCs w:val="32"/>
          <w:lang w:val="zh-CN" w:bidi="zh-CN"/>
        </w:rPr>
        <w:t>3</w:t>
      </w:r>
      <w:r>
        <w:rPr>
          <w:rFonts w:ascii="黑体" w:hAnsi="黑体" w:eastAsia="黑体"/>
          <w:szCs w:val="32"/>
          <w:lang w:val="zh-CN" w:bidi="zh-CN"/>
        </w:rPr>
        <w:t>经济学现代化及其五大态势</w:t>
      </w:r>
      <w:r>
        <w:tab/>
      </w:r>
      <w:r>
        <w:fldChar w:fldCharType="begin"/>
      </w:r>
      <w:r>
        <w:instrText xml:space="preserve"> PAGEREF _Toc1906652099 \h </w:instrText>
      </w:r>
      <w:r>
        <w:fldChar w:fldCharType="separate"/>
      </w:r>
      <w:r>
        <w:t>898</w:t>
      </w:r>
      <w:r>
        <w:fldChar w:fldCharType="end"/>
      </w:r>
    </w:p>
    <w:p w14:paraId="2404DABD">
      <w:pPr>
        <w:pStyle w:val="14"/>
        <w:tabs>
          <w:tab w:val="right" w:leader="dot" w:pos="9026"/>
        </w:tabs>
      </w:pPr>
      <w:r>
        <w:rPr>
          <w:rFonts w:hint="eastAsia" w:ascii="Times New Roman" w:hAnsi="Times New Roman" w:eastAsia="黑体" w:cs="Times New Roman"/>
          <w:szCs w:val="32"/>
        </w:rPr>
        <w:t>4“五个提升”促对外经济发展方式转变</w:t>
      </w:r>
      <w:r>
        <w:tab/>
      </w:r>
      <w:r>
        <w:fldChar w:fldCharType="begin"/>
      </w:r>
      <w:r>
        <w:instrText xml:space="preserve"> PAGEREF _Toc350847359 \h </w:instrText>
      </w:r>
      <w:r>
        <w:fldChar w:fldCharType="separate"/>
      </w:r>
      <w:r>
        <w:t>901</w:t>
      </w:r>
      <w:r>
        <w:fldChar w:fldCharType="end"/>
      </w:r>
    </w:p>
    <w:p w14:paraId="2273E322">
      <w:pPr>
        <w:pStyle w:val="14"/>
        <w:tabs>
          <w:tab w:val="right" w:leader="dot" w:pos="9026"/>
        </w:tabs>
      </w:pPr>
      <w:r>
        <w:rPr>
          <w:rFonts w:hint="eastAsia" w:ascii="Times New Roman" w:hAnsi="Times New Roman" w:eastAsia="黑体" w:cs="Times New Roman"/>
          <w:szCs w:val="32"/>
        </w:rPr>
        <w:t>5关于加强马克思主义理论研究和建设问题的调研报告</w:t>
      </w:r>
      <w:r>
        <w:tab/>
      </w:r>
      <w:r>
        <w:fldChar w:fldCharType="begin"/>
      </w:r>
      <w:r>
        <w:instrText xml:space="preserve"> PAGEREF _Toc1848951698 \h </w:instrText>
      </w:r>
      <w:r>
        <w:fldChar w:fldCharType="separate"/>
      </w:r>
      <w:r>
        <w:t>904</w:t>
      </w:r>
      <w:r>
        <w:fldChar w:fldCharType="end"/>
      </w:r>
    </w:p>
    <w:p w14:paraId="7331181D">
      <w:pPr>
        <w:pStyle w:val="14"/>
        <w:tabs>
          <w:tab w:val="right" w:leader="dot" w:pos="9026"/>
        </w:tabs>
      </w:pPr>
      <w:r>
        <w:rPr>
          <w:rFonts w:ascii="Times New Roman" w:hAnsi="Times New Roman" w:eastAsia="黑体" w:cs="Times New Roman"/>
          <w:szCs w:val="32"/>
        </w:rPr>
        <w:t>6</w:t>
      </w:r>
      <w:r>
        <w:rPr>
          <w:rFonts w:hint="eastAsia" w:ascii="Times New Roman" w:hAnsi="Times New Roman" w:eastAsia="黑体" w:cs="Times New Roman"/>
          <w:szCs w:val="32"/>
        </w:rPr>
        <w:t>落实科学发展观要深刻认识社会主义初级阶段的理论</w:t>
      </w:r>
      <w:r>
        <w:tab/>
      </w:r>
      <w:r>
        <w:fldChar w:fldCharType="begin"/>
      </w:r>
      <w:r>
        <w:instrText xml:space="preserve"> PAGEREF _Toc1242816196 \h </w:instrText>
      </w:r>
      <w:r>
        <w:fldChar w:fldCharType="separate"/>
      </w:r>
      <w:r>
        <w:t>915</w:t>
      </w:r>
      <w:r>
        <w:fldChar w:fldCharType="end"/>
      </w:r>
    </w:p>
    <w:p w14:paraId="59E2199F">
      <w:pPr>
        <w:pStyle w:val="14"/>
        <w:tabs>
          <w:tab w:val="right" w:leader="dot" w:pos="9026"/>
        </w:tabs>
      </w:pPr>
      <w:r>
        <w:rPr>
          <w:rFonts w:hint="eastAsia" w:ascii="黑体" w:hAnsi="黑体" w:eastAsia="黑体" w:cs="Times New Roman"/>
          <w:szCs w:val="32"/>
        </w:rPr>
        <w:t>7解放思想不是无原则的</w:t>
      </w:r>
      <w:r>
        <w:tab/>
      </w:r>
      <w:r>
        <w:fldChar w:fldCharType="begin"/>
      </w:r>
      <w:r>
        <w:instrText xml:space="preserve"> PAGEREF _Toc1585855450 \h </w:instrText>
      </w:r>
      <w:r>
        <w:fldChar w:fldCharType="separate"/>
      </w:r>
      <w:r>
        <w:t>922</w:t>
      </w:r>
      <w:r>
        <w:fldChar w:fldCharType="end"/>
      </w:r>
    </w:p>
    <w:p w14:paraId="25AB849A">
      <w:pPr>
        <w:pStyle w:val="14"/>
        <w:tabs>
          <w:tab w:val="right" w:leader="dot" w:pos="9026"/>
        </w:tabs>
      </w:pPr>
      <w:r>
        <w:rPr>
          <w:rFonts w:hint="eastAsia" w:ascii="Times New Roman" w:hAnsi="Times New Roman" w:eastAsia="黑体" w:cs="Times New Roman"/>
          <w:szCs w:val="32"/>
        </w:rPr>
        <w:t>8围绕推进中国特色社会主义继续解放思</w:t>
      </w:r>
      <w:r>
        <w:rPr>
          <w:rFonts w:hint="eastAsia" w:ascii="黑体" w:hAnsi="黑体" w:eastAsia="黑体" w:cstheme="majorBidi"/>
          <w:szCs w:val="32"/>
        </w:rPr>
        <w:t>想</w:t>
      </w:r>
      <w:r>
        <w:tab/>
      </w:r>
      <w:r>
        <w:fldChar w:fldCharType="begin"/>
      </w:r>
      <w:r>
        <w:instrText xml:space="preserve"> PAGEREF _Toc1053005233 \h </w:instrText>
      </w:r>
      <w:r>
        <w:fldChar w:fldCharType="separate"/>
      </w:r>
      <w:r>
        <w:t>922</w:t>
      </w:r>
      <w:r>
        <w:fldChar w:fldCharType="end"/>
      </w:r>
    </w:p>
    <w:p w14:paraId="512593F2">
      <w:pPr>
        <w:pStyle w:val="14"/>
        <w:tabs>
          <w:tab w:val="right" w:leader="dot" w:pos="9026"/>
        </w:tabs>
      </w:pPr>
      <w:r>
        <w:rPr>
          <w:rFonts w:hint="eastAsia" w:ascii="Times New Roman" w:hAnsi="Times New Roman" w:eastAsia="黑体" w:cs="Times New Roman"/>
          <w:szCs w:val="32"/>
        </w:rPr>
        <w:t>9我国“一胎化”生育政策的成本—效益测度</w:t>
      </w:r>
      <w:r>
        <w:tab/>
      </w:r>
      <w:r>
        <w:fldChar w:fldCharType="begin"/>
      </w:r>
      <w:r>
        <w:instrText xml:space="preserve"> PAGEREF _Toc446216104 \h </w:instrText>
      </w:r>
      <w:r>
        <w:fldChar w:fldCharType="separate"/>
      </w:r>
      <w:r>
        <w:t>927</w:t>
      </w:r>
      <w:r>
        <w:fldChar w:fldCharType="end"/>
      </w:r>
    </w:p>
    <w:p w14:paraId="50830015">
      <w:pPr>
        <w:pStyle w:val="14"/>
        <w:tabs>
          <w:tab w:val="right" w:leader="dot" w:pos="9026"/>
        </w:tabs>
      </w:pPr>
      <w:r>
        <w:rPr>
          <w:rFonts w:hint="eastAsia" w:ascii="黑体" w:hAnsi="黑体" w:eastAsia="黑体" w:cs="Times New Roman"/>
          <w:szCs w:val="32"/>
        </w:rPr>
        <w:t>1</w:t>
      </w:r>
      <w:r>
        <w:rPr>
          <w:rFonts w:ascii="黑体" w:hAnsi="黑体" w:eastAsia="黑体" w:cs="Times New Roman"/>
          <w:szCs w:val="32"/>
        </w:rPr>
        <w:t>0</w:t>
      </w:r>
      <w:r>
        <w:rPr>
          <w:rFonts w:hint="eastAsia" w:ascii="黑体" w:hAnsi="黑体" w:eastAsia="黑体" w:cs="Times New Roman"/>
          <w:szCs w:val="32"/>
        </w:rPr>
        <w:t>经济学现代化须适应社会发展形势</w:t>
      </w:r>
      <w:r>
        <w:tab/>
      </w:r>
      <w:r>
        <w:fldChar w:fldCharType="begin"/>
      </w:r>
      <w:r>
        <w:instrText xml:space="preserve"> PAGEREF _Toc541164604 \h </w:instrText>
      </w:r>
      <w:r>
        <w:fldChar w:fldCharType="separate"/>
      </w:r>
      <w:r>
        <w:t>941</w:t>
      </w:r>
      <w:r>
        <w:fldChar w:fldCharType="end"/>
      </w:r>
    </w:p>
    <w:p w14:paraId="26D0079A">
      <w:pPr>
        <w:pStyle w:val="14"/>
        <w:tabs>
          <w:tab w:val="right" w:leader="dot" w:pos="9026"/>
        </w:tabs>
      </w:pPr>
      <w:r>
        <w:rPr>
          <w:rFonts w:hint="eastAsia" w:ascii="Times New Roman" w:hAnsi="Times New Roman" w:eastAsia="黑体" w:cs="Times New Roman"/>
          <w:szCs w:val="32"/>
        </w:rPr>
        <w:t>1</w:t>
      </w:r>
      <w:r>
        <w:rPr>
          <w:rFonts w:ascii="Times New Roman" w:hAnsi="Times New Roman" w:eastAsia="黑体" w:cs="Times New Roman"/>
          <w:szCs w:val="32"/>
        </w:rPr>
        <w:t>1</w:t>
      </w:r>
      <w:r>
        <w:rPr>
          <w:rFonts w:hint="eastAsia" w:ascii="Times New Roman" w:hAnsi="Times New Roman" w:eastAsia="黑体" w:cs="Times New Roman"/>
          <w:szCs w:val="32"/>
        </w:rPr>
        <w:t>解放思想必须摆脱各种教条主义</w:t>
      </w:r>
      <w:r>
        <w:tab/>
      </w:r>
      <w:r>
        <w:fldChar w:fldCharType="begin"/>
      </w:r>
      <w:r>
        <w:instrText xml:space="preserve"> PAGEREF _Toc760254383 \h </w:instrText>
      </w:r>
      <w:r>
        <w:fldChar w:fldCharType="separate"/>
      </w:r>
      <w:r>
        <w:t>941</w:t>
      </w:r>
      <w:r>
        <w:fldChar w:fldCharType="end"/>
      </w:r>
    </w:p>
    <w:p w14:paraId="6F17BD6D">
      <w:pPr>
        <w:pStyle w:val="14"/>
        <w:tabs>
          <w:tab w:val="right" w:leader="dot" w:pos="9026"/>
        </w:tabs>
      </w:pPr>
      <w:r>
        <w:rPr>
          <w:rFonts w:hint="eastAsia" w:ascii="黑体" w:hAnsi="黑体" w:eastAsia="黑体" w:cs="Times New Roman"/>
        </w:rPr>
        <w:t>1</w:t>
      </w:r>
      <w:r>
        <w:rPr>
          <w:rFonts w:ascii="黑体" w:hAnsi="黑体" w:eastAsia="黑体" w:cs="Times New Roman"/>
        </w:rPr>
        <w:t>2</w:t>
      </w:r>
      <w:r>
        <w:rPr>
          <w:rFonts w:hint="eastAsia" w:ascii="黑体" w:hAnsi="黑体" w:eastAsia="黑体" w:cs="Times New Roman"/>
        </w:rPr>
        <w:t>用西柏坡精神落实十七大的宏伟蓝图</w:t>
      </w:r>
      <w:r>
        <w:tab/>
      </w:r>
      <w:r>
        <w:fldChar w:fldCharType="begin"/>
      </w:r>
      <w:r>
        <w:instrText xml:space="preserve"> PAGEREF _Toc67715431 \h </w:instrText>
      </w:r>
      <w:r>
        <w:fldChar w:fldCharType="separate"/>
      </w:r>
      <w:r>
        <w:t>945</w:t>
      </w:r>
      <w:r>
        <w:fldChar w:fldCharType="end"/>
      </w:r>
    </w:p>
    <w:p w14:paraId="33E91320">
      <w:pPr>
        <w:pStyle w:val="14"/>
        <w:tabs>
          <w:tab w:val="right" w:leader="dot" w:pos="9026"/>
        </w:tabs>
      </w:pPr>
      <w:r>
        <w:rPr>
          <w:rFonts w:hint="eastAsia" w:ascii="Times New Roman" w:hAnsi="Times New Roman" w:eastAsia="黑体" w:cs="Times New Roman"/>
          <w:szCs w:val="32"/>
        </w:rPr>
        <w:t>1</w:t>
      </w:r>
      <w:r>
        <w:rPr>
          <w:rFonts w:ascii="Times New Roman" w:hAnsi="Times New Roman" w:eastAsia="黑体" w:cs="Times New Roman"/>
          <w:szCs w:val="32"/>
        </w:rPr>
        <w:t>3</w:t>
      </w:r>
      <w:r>
        <w:rPr>
          <w:rFonts w:hint="eastAsia" w:ascii="Times New Roman" w:hAnsi="Times New Roman" w:eastAsia="黑体" w:cs="Times New Roman"/>
          <w:szCs w:val="32"/>
        </w:rPr>
        <w:t>中国经济学理论模式的缺陷与全面重建</w:t>
      </w:r>
      <w:r>
        <w:tab/>
      </w:r>
      <w:r>
        <w:fldChar w:fldCharType="begin"/>
      </w:r>
      <w:r>
        <w:instrText xml:space="preserve"> PAGEREF _Toc2074399554 \h </w:instrText>
      </w:r>
      <w:r>
        <w:fldChar w:fldCharType="separate"/>
      </w:r>
      <w:r>
        <w:t>948</w:t>
      </w:r>
      <w:r>
        <w:fldChar w:fldCharType="end"/>
      </w:r>
    </w:p>
    <w:p w14:paraId="54C29E68">
      <w:pPr>
        <w:pStyle w:val="14"/>
        <w:tabs>
          <w:tab w:val="right" w:leader="dot" w:pos="9026"/>
        </w:tabs>
      </w:pPr>
      <w:r>
        <w:rPr>
          <w:rFonts w:hint="eastAsia" w:ascii="黑体" w:hAnsi="黑体" w:eastAsia="黑体" w:cs="宋体"/>
          <w:kern w:val="0"/>
          <w:szCs w:val="32"/>
          <w:lang w:val="zh-TW" w:bidi="zh-TW"/>
        </w:rPr>
        <w:t>1</w:t>
      </w:r>
      <w:r>
        <w:rPr>
          <w:rFonts w:ascii="黑体" w:hAnsi="黑体" w:eastAsia="PMingLiU" w:cs="宋体"/>
          <w:kern w:val="0"/>
          <w:szCs w:val="32"/>
          <w:lang w:val="zh-TW" w:eastAsia="zh-TW" w:bidi="zh-TW"/>
        </w:rPr>
        <w:t>4</w:t>
      </w:r>
      <w:r>
        <w:rPr>
          <w:rFonts w:ascii="黑体" w:hAnsi="黑体" w:eastAsia="黑体" w:cs="宋体"/>
          <w:kern w:val="0"/>
          <w:szCs w:val="32"/>
          <w:lang w:val="zh-TW" w:eastAsia="zh-TW" w:bidi="zh-TW"/>
        </w:rPr>
        <w:t>西方旧</w:t>
      </w:r>
      <w:r>
        <w:rPr>
          <w:rFonts w:ascii="黑体" w:hAnsi="黑体" w:eastAsia="黑体" w:cs="宋体"/>
          <w:kern w:val="0"/>
          <w:szCs w:val="32"/>
          <w:lang w:val="zh-CN" w:bidi="zh-CN"/>
        </w:rPr>
        <w:t>“经</w:t>
      </w:r>
      <w:r>
        <w:rPr>
          <w:rFonts w:ascii="黑体" w:hAnsi="黑体" w:eastAsia="黑体" w:cs="宋体"/>
          <w:kern w:val="0"/>
          <w:szCs w:val="32"/>
          <w:lang w:val="zh-TW" w:eastAsia="zh-TW" w:bidi="zh-TW"/>
        </w:rPr>
        <w:t>济人</w:t>
      </w:r>
      <w:r>
        <w:rPr>
          <w:rFonts w:hint="eastAsia" w:ascii="黑体" w:hAnsi="黑体" w:eastAsia="黑体" w:cs="宋体"/>
          <w:kern w:val="0"/>
          <w:szCs w:val="32"/>
          <w:lang w:val="zh-TW" w:eastAsia="zh-TW" w:bidi="zh-TW"/>
        </w:rPr>
        <w:t>”</w:t>
      </w:r>
      <w:r>
        <w:rPr>
          <w:rFonts w:ascii="黑体" w:hAnsi="黑体" w:eastAsia="黑体" w:cs="宋体"/>
          <w:kern w:val="0"/>
          <w:szCs w:val="32"/>
          <w:lang w:val="zh-TW" w:eastAsia="zh-TW" w:bidi="zh-TW"/>
        </w:rPr>
        <w:t>假设的批判与新“经济人</w:t>
      </w:r>
      <w:r>
        <w:rPr>
          <w:rFonts w:hint="eastAsia" w:ascii="黑体" w:hAnsi="黑体" w:eastAsia="黑体" w:cs="宋体"/>
          <w:kern w:val="0"/>
          <w:szCs w:val="32"/>
          <w:lang w:val="zh-TW" w:eastAsia="zh-TW" w:bidi="zh-TW"/>
        </w:rPr>
        <w:t>”</w:t>
      </w:r>
      <w:r>
        <w:rPr>
          <w:rFonts w:ascii="黑体" w:hAnsi="黑体" w:eastAsia="黑体" w:cs="宋体"/>
          <w:kern w:val="0"/>
          <w:szCs w:val="32"/>
          <w:lang w:val="zh-TW" w:eastAsia="zh-TW" w:bidi="zh-TW"/>
        </w:rPr>
        <w:t>理论的构建</w:t>
      </w:r>
      <w:r>
        <w:tab/>
      </w:r>
      <w:r>
        <w:fldChar w:fldCharType="begin"/>
      </w:r>
      <w:r>
        <w:instrText xml:space="preserve"> PAGEREF _Toc36295033 \h </w:instrText>
      </w:r>
      <w:r>
        <w:fldChar w:fldCharType="separate"/>
      </w:r>
      <w:r>
        <w:t>954</w:t>
      </w:r>
      <w:r>
        <w:fldChar w:fldCharType="end"/>
      </w:r>
    </w:p>
    <w:p w14:paraId="7477E60D">
      <w:pPr>
        <w:pStyle w:val="14"/>
        <w:tabs>
          <w:tab w:val="right" w:leader="dot" w:pos="9026"/>
        </w:tabs>
      </w:pPr>
      <w:r>
        <w:rPr>
          <w:rFonts w:hint="eastAsia" w:ascii="Times New Roman" w:hAnsi="Times New Roman" w:eastAsia="黑体" w:cs="Times New Roman"/>
          <w:szCs w:val="32"/>
        </w:rPr>
        <w:t>1</w:t>
      </w:r>
      <w:r>
        <w:rPr>
          <w:rFonts w:ascii="Times New Roman" w:hAnsi="Times New Roman" w:eastAsia="黑体" w:cs="Times New Roman"/>
          <w:szCs w:val="32"/>
        </w:rPr>
        <w:t>5</w:t>
      </w:r>
      <w:r>
        <w:rPr>
          <w:rFonts w:hint="eastAsia" w:ascii="Times New Roman" w:hAnsi="Times New Roman" w:eastAsia="黑体" w:cs="Times New Roman"/>
          <w:szCs w:val="32"/>
        </w:rPr>
        <w:t>改革以来六次思想解放与经济学现代化五大态势</w:t>
      </w:r>
      <w:r>
        <w:tab/>
      </w:r>
      <w:r>
        <w:fldChar w:fldCharType="begin"/>
      </w:r>
      <w:r>
        <w:instrText xml:space="preserve"> PAGEREF _Toc125263883 \h </w:instrText>
      </w:r>
      <w:r>
        <w:fldChar w:fldCharType="separate"/>
      </w:r>
      <w:r>
        <w:t>970</w:t>
      </w:r>
      <w:r>
        <w:fldChar w:fldCharType="end"/>
      </w:r>
    </w:p>
    <w:p w14:paraId="18D7ABDF">
      <w:pPr>
        <w:pStyle w:val="14"/>
        <w:tabs>
          <w:tab w:val="right" w:leader="dot" w:pos="9026"/>
        </w:tabs>
      </w:pPr>
      <w:r>
        <w:rPr>
          <w:rFonts w:hint="eastAsia" w:ascii="Times New Roman" w:hAnsi="Times New Roman" w:eastAsia="黑体" w:cs="Times New Roman"/>
          <w:szCs w:val="32"/>
        </w:rPr>
        <w:t>1</w:t>
      </w:r>
      <w:r>
        <w:rPr>
          <w:rFonts w:ascii="Times New Roman" w:hAnsi="Times New Roman" w:eastAsia="黑体" w:cs="Times New Roman"/>
          <w:szCs w:val="32"/>
        </w:rPr>
        <w:t>6</w:t>
      </w:r>
      <w:r>
        <w:rPr>
          <w:rFonts w:hint="eastAsia" w:ascii="Times New Roman" w:hAnsi="Times New Roman" w:eastAsia="黑体" w:cs="Times New Roman"/>
          <w:szCs w:val="32"/>
        </w:rPr>
        <w:t>坚持和发展中国特色社会主义理论和实践</w:t>
      </w:r>
      <w:r>
        <w:tab/>
      </w:r>
      <w:r>
        <w:fldChar w:fldCharType="begin"/>
      </w:r>
      <w:r>
        <w:instrText xml:space="preserve"> PAGEREF _Toc776107521 \h </w:instrText>
      </w:r>
      <w:r>
        <w:fldChar w:fldCharType="separate"/>
      </w:r>
      <w:r>
        <w:t>973</w:t>
      </w:r>
      <w:r>
        <w:fldChar w:fldCharType="end"/>
      </w:r>
    </w:p>
    <w:p w14:paraId="70C82A77">
      <w:pPr>
        <w:pStyle w:val="14"/>
        <w:tabs>
          <w:tab w:val="right" w:leader="dot" w:pos="9026"/>
        </w:tabs>
      </w:pPr>
      <w:r>
        <w:rPr>
          <w:rFonts w:hint="eastAsia" w:ascii="Times New Roman" w:hAnsi="Times New Roman" w:eastAsia="黑体" w:cs="Times New Roman"/>
          <w:szCs w:val="32"/>
        </w:rPr>
        <w:t>1</w:t>
      </w:r>
      <w:r>
        <w:rPr>
          <w:rFonts w:ascii="Times New Roman" w:hAnsi="Times New Roman" w:eastAsia="黑体" w:cs="Times New Roman"/>
          <w:szCs w:val="32"/>
        </w:rPr>
        <w:t>7</w:t>
      </w:r>
      <w:r>
        <w:rPr>
          <w:rFonts w:hint="eastAsia" w:ascii="Times New Roman" w:hAnsi="Times New Roman" w:eastAsia="黑体" w:cs="Times New Roman"/>
          <w:szCs w:val="32"/>
        </w:rPr>
        <w:t>不断加深关于社会主义初级阶段的认识</w:t>
      </w:r>
      <w:r>
        <w:tab/>
      </w:r>
      <w:r>
        <w:fldChar w:fldCharType="begin"/>
      </w:r>
      <w:r>
        <w:instrText xml:space="preserve"> PAGEREF _Toc223433569 \h </w:instrText>
      </w:r>
      <w:r>
        <w:fldChar w:fldCharType="separate"/>
      </w:r>
      <w:r>
        <w:t>977</w:t>
      </w:r>
      <w:r>
        <w:fldChar w:fldCharType="end"/>
      </w:r>
    </w:p>
    <w:p w14:paraId="0FCA144E">
      <w:pPr>
        <w:pStyle w:val="14"/>
        <w:tabs>
          <w:tab w:val="right" w:leader="dot" w:pos="9026"/>
        </w:tabs>
      </w:pPr>
      <w:r>
        <w:rPr>
          <w:rFonts w:hint="eastAsia"/>
          <w:lang w:val="en-US" w:eastAsia="zh-CN"/>
        </w:rPr>
        <w:t>18</w:t>
      </w:r>
      <w:r>
        <w:rPr>
          <w:rFonts w:hint="eastAsia" w:eastAsia="宋体" w:cs="Times New Roman"/>
          <w:color w:val="000000"/>
          <w:szCs w:val="21"/>
        </w:rPr>
        <w:t>论马克思主义与可持续发展</w:t>
      </w:r>
      <w:r>
        <w:tab/>
      </w:r>
      <w:r>
        <w:fldChar w:fldCharType="begin"/>
      </w:r>
      <w:r>
        <w:instrText xml:space="preserve"> PAGEREF _Toc1446579227 \h </w:instrText>
      </w:r>
      <w:r>
        <w:fldChar w:fldCharType="separate"/>
      </w:r>
      <w:r>
        <w:t>985</w:t>
      </w:r>
      <w:r>
        <w:fldChar w:fldCharType="end"/>
      </w:r>
    </w:p>
    <w:p w14:paraId="5435510E">
      <w:pPr>
        <w:pStyle w:val="10"/>
        <w:tabs>
          <w:tab w:val="right" w:leader="dot" w:pos="9026"/>
        </w:tabs>
      </w:pPr>
      <w:r>
        <w:t>2009年</w:t>
      </w:r>
      <w:r>
        <w:tab/>
      </w:r>
      <w:r>
        <w:fldChar w:fldCharType="begin"/>
      </w:r>
      <w:r>
        <w:instrText xml:space="preserve"> PAGEREF _Toc994700502 \h </w:instrText>
      </w:r>
      <w:r>
        <w:fldChar w:fldCharType="separate"/>
      </w:r>
      <w:r>
        <w:t>996</w:t>
      </w:r>
      <w:r>
        <w:fldChar w:fldCharType="end"/>
      </w:r>
    </w:p>
    <w:p w14:paraId="37FC1FF0">
      <w:pPr>
        <w:pStyle w:val="14"/>
        <w:tabs>
          <w:tab w:val="right" w:leader="dot" w:pos="9026"/>
        </w:tabs>
      </w:pPr>
      <w:r>
        <w:rPr>
          <w:rFonts w:hint="eastAsia" w:ascii="黑体" w:hAnsi="黑体" w:eastAsia="黑体" w:cs="Times New Roman"/>
          <w:kern w:val="0"/>
          <w:szCs w:val="32"/>
        </w:rPr>
        <w:t>1“猛虎”是怎样放出笼的</w:t>
      </w:r>
      <w:r>
        <w:rPr>
          <w:rFonts w:hint="eastAsia" w:ascii="黑体" w:hAnsi="黑体" w:eastAsia="黑体" w:cs="Times New Roman"/>
          <w:kern w:val="0"/>
          <w:szCs w:val="24"/>
        </w:rPr>
        <w:t>——</w:t>
      </w:r>
      <w:r>
        <w:rPr>
          <w:rFonts w:hint="eastAsia" w:ascii="黑体" w:hAnsi="黑体" w:eastAsia="黑体" w:cs="Times New Roman"/>
          <w:kern w:val="0"/>
          <w:szCs w:val="32"/>
        </w:rPr>
        <w:t>论金融自由化与美国金融危机</w:t>
      </w:r>
      <w:r>
        <w:tab/>
      </w:r>
      <w:r>
        <w:fldChar w:fldCharType="begin"/>
      </w:r>
      <w:r>
        <w:instrText xml:space="preserve"> PAGEREF _Toc1918628866 \h </w:instrText>
      </w:r>
      <w:r>
        <w:fldChar w:fldCharType="separate"/>
      </w:r>
      <w:r>
        <w:t>996</w:t>
      </w:r>
      <w:r>
        <w:fldChar w:fldCharType="end"/>
      </w:r>
    </w:p>
    <w:p w14:paraId="1CECE0B7">
      <w:pPr>
        <w:pStyle w:val="14"/>
        <w:tabs>
          <w:tab w:val="right" w:leader="dot" w:pos="9026"/>
        </w:tabs>
      </w:pPr>
      <w:r>
        <w:rPr>
          <w:rFonts w:hint="eastAsia" w:ascii="黑体" w:hAnsi="黑体" w:eastAsia="黑体" w:cs="Times New Roman"/>
          <w:kern w:val="0"/>
          <w:szCs w:val="32"/>
        </w:rPr>
        <w:t>2关于我国企业职工权益保护状况的调研报告</w:t>
      </w:r>
      <w:r>
        <w:tab/>
      </w:r>
      <w:r>
        <w:fldChar w:fldCharType="begin"/>
      </w:r>
      <w:r>
        <w:instrText xml:space="preserve"> PAGEREF _Toc1928391157 \h </w:instrText>
      </w:r>
      <w:r>
        <w:fldChar w:fldCharType="separate"/>
      </w:r>
      <w:r>
        <w:t>1000</w:t>
      </w:r>
      <w:r>
        <w:fldChar w:fldCharType="end"/>
      </w:r>
    </w:p>
    <w:p w14:paraId="22D53244">
      <w:pPr>
        <w:pStyle w:val="14"/>
        <w:tabs>
          <w:tab w:val="right" w:leader="dot" w:pos="9026"/>
        </w:tabs>
      </w:pPr>
      <w:r>
        <w:rPr>
          <w:rFonts w:hint="eastAsia" w:ascii="黑体" w:hAnsi="黑体" w:eastAsia="黑体" w:cs="Times New Roman"/>
          <w:kern w:val="0"/>
          <w:szCs w:val="32"/>
        </w:rPr>
        <w:t>3蕴含丰富科学发展观的陈云经济思想研究</w:t>
      </w:r>
      <w:r>
        <w:tab/>
      </w:r>
      <w:r>
        <w:fldChar w:fldCharType="begin"/>
      </w:r>
      <w:r>
        <w:instrText xml:space="preserve"> PAGEREF _Toc646975175 \h </w:instrText>
      </w:r>
      <w:r>
        <w:fldChar w:fldCharType="separate"/>
      </w:r>
      <w:r>
        <w:t>1015</w:t>
      </w:r>
      <w:r>
        <w:fldChar w:fldCharType="end"/>
      </w:r>
    </w:p>
    <w:p w14:paraId="3D8A14AE">
      <w:pPr>
        <w:pStyle w:val="14"/>
        <w:tabs>
          <w:tab w:val="right" w:leader="dot" w:pos="9026"/>
        </w:tabs>
      </w:pPr>
      <w:r>
        <w:rPr>
          <w:rFonts w:hint="eastAsia" w:ascii="黑体" w:hAnsi="黑体" w:eastAsia="黑体" w:cs="宋体"/>
          <w:kern w:val="0"/>
          <w:szCs w:val="32"/>
        </w:rPr>
        <w:t>4建立体现科学发展观要求的经济社会综合评价体系：科学发展观由理论到实践的纽带</w:t>
      </w:r>
      <w:r>
        <w:tab/>
      </w:r>
      <w:r>
        <w:fldChar w:fldCharType="begin"/>
      </w:r>
      <w:r>
        <w:instrText xml:space="preserve"> PAGEREF _Toc1002061464 \h </w:instrText>
      </w:r>
      <w:r>
        <w:fldChar w:fldCharType="separate"/>
      </w:r>
      <w:r>
        <w:t>1023</w:t>
      </w:r>
      <w:r>
        <w:fldChar w:fldCharType="end"/>
      </w:r>
    </w:p>
    <w:p w14:paraId="6D5305A5">
      <w:pPr>
        <w:pStyle w:val="14"/>
        <w:tabs>
          <w:tab w:val="right" w:leader="dot" w:pos="9026"/>
        </w:tabs>
      </w:pPr>
      <w:r>
        <w:rPr>
          <w:rFonts w:hint="eastAsia" w:ascii="黑体" w:hAnsi="黑体" w:eastAsia="黑体" w:cs="Times New Roman"/>
          <w:kern w:val="0"/>
          <w:szCs w:val="32"/>
        </w:rPr>
        <w:t>5坚持公有制为主体、多种所有制经济共同发展的基本经济制度</w:t>
      </w:r>
      <w:r>
        <w:tab/>
      </w:r>
      <w:r>
        <w:fldChar w:fldCharType="begin"/>
      </w:r>
      <w:r>
        <w:instrText xml:space="preserve"> PAGEREF _Toc1080265674 \h </w:instrText>
      </w:r>
      <w:r>
        <w:fldChar w:fldCharType="separate"/>
      </w:r>
      <w:r>
        <w:t>1032</w:t>
      </w:r>
      <w:r>
        <w:fldChar w:fldCharType="end"/>
      </w:r>
    </w:p>
    <w:p w14:paraId="58A7A454">
      <w:pPr>
        <w:pStyle w:val="14"/>
        <w:tabs>
          <w:tab w:val="right" w:leader="dot" w:pos="9026"/>
        </w:tabs>
      </w:pPr>
      <w:r>
        <w:rPr>
          <w:rFonts w:ascii="黑体" w:hAnsi="黑体" w:eastAsia="黑体" w:cs="Times New Roman"/>
          <w:bCs w:val="0"/>
          <w:szCs w:val="24"/>
        </w:rPr>
        <w:t>6</w:t>
      </w:r>
      <w:r>
        <w:rPr>
          <w:rFonts w:hint="eastAsia" w:ascii="黑体" w:hAnsi="黑体" w:eastAsia="黑体" w:cs="Times New Roman"/>
          <w:bCs w:val="0"/>
          <w:szCs w:val="24"/>
        </w:rPr>
        <w:t>如何建立国内生产福利总值核算体系</w:t>
      </w:r>
      <w:r>
        <w:tab/>
      </w:r>
      <w:r>
        <w:fldChar w:fldCharType="begin"/>
      </w:r>
      <w:r>
        <w:instrText xml:space="preserve"> PAGEREF _Toc1198431180 \h </w:instrText>
      </w:r>
      <w:r>
        <w:fldChar w:fldCharType="separate"/>
      </w:r>
      <w:r>
        <w:t>1040</w:t>
      </w:r>
      <w:r>
        <w:fldChar w:fldCharType="end"/>
      </w:r>
    </w:p>
    <w:p w14:paraId="370294CA">
      <w:pPr>
        <w:pStyle w:val="14"/>
        <w:tabs>
          <w:tab w:val="right" w:leader="dot" w:pos="9026"/>
        </w:tabs>
      </w:pPr>
      <w:r>
        <w:rPr>
          <w:rFonts w:ascii="黑体" w:hAnsi="黑体" w:eastAsia="黑体" w:cs="Times New Roman"/>
          <w:kern w:val="0"/>
          <w:szCs w:val="32"/>
        </w:rPr>
        <w:t>7</w:t>
      </w:r>
      <w:r>
        <w:rPr>
          <w:rFonts w:hint="eastAsia" w:ascii="黑体" w:hAnsi="黑体" w:eastAsia="黑体" w:cs="Times New Roman"/>
          <w:kern w:val="0"/>
          <w:szCs w:val="32"/>
        </w:rPr>
        <w:t>加快转变对外经济发展方式须实现“五个控制和提升”</w:t>
      </w:r>
      <w:r>
        <w:tab/>
      </w:r>
      <w:r>
        <w:fldChar w:fldCharType="begin"/>
      </w:r>
      <w:r>
        <w:instrText xml:space="preserve"> PAGEREF _Toc783717047 \h </w:instrText>
      </w:r>
      <w:r>
        <w:fldChar w:fldCharType="separate"/>
      </w:r>
      <w:r>
        <w:t>1051</w:t>
      </w:r>
      <w:r>
        <w:fldChar w:fldCharType="end"/>
      </w:r>
    </w:p>
    <w:p w14:paraId="50B49800">
      <w:pPr>
        <w:pStyle w:val="14"/>
        <w:tabs>
          <w:tab w:val="right" w:leader="dot" w:pos="9026"/>
        </w:tabs>
      </w:pPr>
      <w:r>
        <w:rPr>
          <w:rFonts w:hint="eastAsia" w:ascii="黑体" w:hAnsi="黑体" w:eastAsia="黑体" w:cs="Times New Roman"/>
          <w:kern w:val="0"/>
          <w:szCs w:val="32"/>
        </w:rPr>
        <w:t>8关于“马克思基本定理”近期在日本的争论</w:t>
      </w:r>
      <w:r>
        <w:tab/>
      </w:r>
      <w:r>
        <w:fldChar w:fldCharType="begin"/>
      </w:r>
      <w:r>
        <w:instrText xml:space="preserve"> PAGEREF _Toc1415201878 \h </w:instrText>
      </w:r>
      <w:r>
        <w:fldChar w:fldCharType="separate"/>
      </w:r>
      <w:r>
        <w:t>1057</w:t>
      </w:r>
      <w:r>
        <w:fldChar w:fldCharType="end"/>
      </w:r>
    </w:p>
    <w:p w14:paraId="16DBA83F">
      <w:pPr>
        <w:pStyle w:val="14"/>
        <w:tabs>
          <w:tab w:val="right" w:leader="dot" w:pos="9026"/>
        </w:tabs>
      </w:pPr>
      <w:r>
        <w:rPr>
          <w:rFonts w:ascii="黑体" w:hAnsi="黑体" w:eastAsia="黑体" w:cs="Times New Roman"/>
          <w:kern w:val="0"/>
          <w:szCs w:val="32"/>
        </w:rPr>
        <w:t>9</w:t>
      </w:r>
      <w:r>
        <w:rPr>
          <w:rFonts w:hint="eastAsia" w:ascii="黑体" w:hAnsi="黑体" w:eastAsia="黑体" w:cs="Times New Roman"/>
          <w:kern w:val="0"/>
          <w:szCs w:val="32"/>
        </w:rPr>
        <w:t>马克思主义制度经济理论探讨</w:t>
      </w:r>
      <w:r>
        <w:tab/>
      </w:r>
      <w:r>
        <w:fldChar w:fldCharType="begin"/>
      </w:r>
      <w:r>
        <w:instrText xml:space="preserve"> PAGEREF _Toc1916573021 \h </w:instrText>
      </w:r>
      <w:r>
        <w:fldChar w:fldCharType="separate"/>
      </w:r>
      <w:r>
        <w:t>1062</w:t>
      </w:r>
      <w:r>
        <w:fldChar w:fldCharType="end"/>
      </w:r>
    </w:p>
    <w:p w14:paraId="3BDA2386">
      <w:pPr>
        <w:pStyle w:val="14"/>
        <w:tabs>
          <w:tab w:val="right" w:leader="dot" w:pos="9026"/>
        </w:tabs>
      </w:pPr>
      <w:r>
        <w:rPr>
          <w:rFonts w:ascii="黑体" w:hAnsi="黑体" w:eastAsia="黑体" w:cs="Times New Roman"/>
          <w:kern w:val="0"/>
          <w:szCs w:val="32"/>
        </w:rPr>
        <w:t>10</w:t>
      </w:r>
      <w:r>
        <w:rPr>
          <w:rFonts w:hint="eastAsia" w:ascii="黑体" w:hAnsi="黑体" w:eastAsia="黑体" w:cs="Times New Roman"/>
          <w:kern w:val="0"/>
          <w:szCs w:val="32"/>
        </w:rPr>
        <w:t>新中国60年经济发展是一个辉煌整体</w:t>
      </w:r>
      <w:r>
        <w:tab/>
      </w:r>
      <w:r>
        <w:fldChar w:fldCharType="begin"/>
      </w:r>
      <w:r>
        <w:instrText xml:space="preserve"> PAGEREF _Toc1735542594 \h </w:instrText>
      </w:r>
      <w:r>
        <w:fldChar w:fldCharType="separate"/>
      </w:r>
      <w:r>
        <w:t>1070</w:t>
      </w:r>
      <w:r>
        <w:fldChar w:fldCharType="end"/>
      </w:r>
    </w:p>
    <w:p w14:paraId="3B5389A6">
      <w:pPr>
        <w:pStyle w:val="14"/>
        <w:tabs>
          <w:tab w:val="right" w:leader="dot" w:pos="9026"/>
        </w:tabs>
      </w:pPr>
      <w:r>
        <w:rPr>
          <w:rFonts w:ascii="黑体" w:hAnsi="黑体" w:eastAsia="黑体" w:cs="Times New Roman"/>
          <w:kern w:val="0"/>
          <w:szCs w:val="32"/>
        </w:rPr>
        <w:t>1</w:t>
      </w:r>
      <w:r>
        <w:rPr>
          <w:rFonts w:hint="eastAsia" w:ascii="黑体" w:hAnsi="黑体" w:eastAsia="黑体" w:cs="Times New Roman"/>
          <w:kern w:val="0"/>
          <w:szCs w:val="32"/>
        </w:rPr>
        <w:t>1当前三大经济理论问题的争论</w:t>
      </w:r>
      <w:r>
        <w:tab/>
      </w:r>
      <w:r>
        <w:fldChar w:fldCharType="begin"/>
      </w:r>
      <w:r>
        <w:instrText xml:space="preserve"> PAGEREF _Toc2141483804 \h </w:instrText>
      </w:r>
      <w:r>
        <w:fldChar w:fldCharType="separate"/>
      </w:r>
      <w:r>
        <w:t>1078</w:t>
      </w:r>
      <w:r>
        <w:fldChar w:fldCharType="end"/>
      </w:r>
    </w:p>
    <w:p w14:paraId="58FE0FF7">
      <w:pPr>
        <w:pStyle w:val="14"/>
        <w:tabs>
          <w:tab w:val="right" w:leader="dot" w:pos="9026"/>
        </w:tabs>
      </w:pPr>
      <w:r>
        <w:rPr>
          <w:rFonts w:hint="eastAsia" w:ascii="黑体" w:hAnsi="黑体" w:eastAsia="黑体" w:cs="Times New Roman"/>
          <w:kern w:val="0"/>
          <w:szCs w:val="32"/>
        </w:rPr>
        <w:t>1</w:t>
      </w:r>
      <w:r>
        <w:rPr>
          <w:rFonts w:ascii="黑体" w:hAnsi="黑体" w:eastAsia="黑体" w:cs="Times New Roman"/>
          <w:kern w:val="0"/>
          <w:szCs w:val="32"/>
        </w:rPr>
        <w:t>2</w:t>
      </w:r>
      <w:r>
        <w:rPr>
          <w:rFonts w:hint="eastAsia" w:ascii="黑体" w:hAnsi="黑体" w:eastAsia="黑体" w:cs="Times New Roman"/>
          <w:kern w:val="0"/>
          <w:szCs w:val="32"/>
        </w:rPr>
        <w:t>中国可持续发展</w:t>
      </w:r>
      <w:r>
        <w:rPr>
          <w:rFonts w:ascii="黑体" w:hAnsi="黑体" w:eastAsia="黑体" w:cs="Times New Roman"/>
          <w:kern w:val="0"/>
          <w:szCs w:val="32"/>
        </w:rPr>
        <w:t>:</w:t>
      </w:r>
      <w:r>
        <w:rPr>
          <w:rFonts w:hint="eastAsia" w:ascii="黑体" w:hAnsi="黑体" w:eastAsia="黑体" w:cs="Times New Roman"/>
          <w:kern w:val="0"/>
          <w:szCs w:val="32"/>
        </w:rPr>
        <w:t>回顾与展望</w:t>
      </w:r>
      <w:r>
        <w:tab/>
      </w:r>
      <w:r>
        <w:fldChar w:fldCharType="begin"/>
      </w:r>
      <w:r>
        <w:instrText xml:space="preserve"> PAGEREF _Toc92370108 \h </w:instrText>
      </w:r>
      <w:r>
        <w:fldChar w:fldCharType="separate"/>
      </w:r>
      <w:r>
        <w:t>1087</w:t>
      </w:r>
      <w:r>
        <w:fldChar w:fldCharType="end"/>
      </w:r>
    </w:p>
    <w:p w14:paraId="48404504">
      <w:pPr>
        <w:pStyle w:val="14"/>
        <w:tabs>
          <w:tab w:val="right" w:leader="dot" w:pos="9026"/>
        </w:tabs>
      </w:pPr>
      <w:r>
        <w:rPr>
          <w:rFonts w:hint="eastAsia" w:ascii="黑体" w:hAnsi="黑体" w:eastAsia="黑体" w:cs="Times New Roman"/>
          <w:kern w:val="0"/>
          <w:szCs w:val="32"/>
        </w:rPr>
        <w:t>1</w:t>
      </w:r>
      <w:r>
        <w:rPr>
          <w:rFonts w:ascii="黑体" w:hAnsi="黑体" w:eastAsia="黑体" w:cs="Times New Roman"/>
          <w:kern w:val="0"/>
          <w:szCs w:val="32"/>
        </w:rPr>
        <w:t>3</w:t>
      </w:r>
      <w:r>
        <w:rPr>
          <w:rFonts w:hint="eastAsia" w:ascii="黑体" w:hAnsi="黑体" w:eastAsia="黑体" w:cs="Times New Roman"/>
          <w:kern w:val="0"/>
          <w:szCs w:val="32"/>
        </w:rPr>
        <w:t>如何看待中国经济发展模式</w:t>
      </w:r>
      <w:r>
        <w:tab/>
      </w:r>
      <w:r>
        <w:fldChar w:fldCharType="begin"/>
      </w:r>
      <w:r>
        <w:instrText xml:space="preserve"> PAGEREF _Toc1981212022 \h </w:instrText>
      </w:r>
      <w:r>
        <w:fldChar w:fldCharType="separate"/>
      </w:r>
      <w:r>
        <w:t>1097</w:t>
      </w:r>
      <w:r>
        <w:fldChar w:fldCharType="end"/>
      </w:r>
    </w:p>
    <w:p w14:paraId="059A7E81">
      <w:pPr>
        <w:pStyle w:val="14"/>
        <w:tabs>
          <w:tab w:val="right" w:leader="dot" w:pos="9026"/>
        </w:tabs>
      </w:pPr>
      <w:r>
        <w:rPr>
          <w:rFonts w:hint="eastAsia" w:ascii="黑体" w:hAnsi="黑体" w:eastAsia="黑体" w:cs="Times New Roman"/>
          <w:kern w:val="0"/>
          <w:szCs w:val="32"/>
        </w:rPr>
        <w:t>1</w:t>
      </w:r>
      <w:r>
        <w:rPr>
          <w:rFonts w:ascii="黑体" w:hAnsi="黑体" w:eastAsia="黑体" w:cs="Times New Roman"/>
          <w:kern w:val="0"/>
          <w:szCs w:val="32"/>
        </w:rPr>
        <w:t>4</w:t>
      </w:r>
      <w:r>
        <w:rPr>
          <w:rFonts w:hint="eastAsia" w:ascii="黑体" w:hAnsi="黑体" w:eastAsia="黑体" w:cs="Times New Roman"/>
          <w:kern w:val="0"/>
          <w:szCs w:val="32"/>
        </w:rPr>
        <w:t>中国经济发展模式辨析</w:t>
      </w:r>
      <w:r>
        <w:tab/>
      </w:r>
      <w:r>
        <w:fldChar w:fldCharType="begin"/>
      </w:r>
      <w:r>
        <w:instrText xml:space="preserve"> PAGEREF _Toc1496507019 \h </w:instrText>
      </w:r>
      <w:r>
        <w:fldChar w:fldCharType="separate"/>
      </w:r>
      <w:r>
        <w:t>1103</w:t>
      </w:r>
      <w:r>
        <w:fldChar w:fldCharType="end"/>
      </w:r>
    </w:p>
    <w:p w14:paraId="792C802D">
      <w:pPr>
        <w:pStyle w:val="14"/>
        <w:tabs>
          <w:tab w:val="right" w:leader="dot" w:pos="9026"/>
        </w:tabs>
      </w:pPr>
      <w:r>
        <w:rPr>
          <w:rFonts w:hint="eastAsia" w:ascii="黑体" w:hAnsi="黑体" w:eastAsia="黑体" w:cs="Times New Roman"/>
          <w:kern w:val="0"/>
          <w:szCs w:val="32"/>
        </w:rPr>
        <w:t>1</w:t>
      </w:r>
      <w:r>
        <w:rPr>
          <w:rFonts w:ascii="黑体" w:hAnsi="黑体" w:eastAsia="黑体" w:cs="Times New Roman"/>
          <w:kern w:val="0"/>
          <w:szCs w:val="32"/>
        </w:rPr>
        <w:t>5</w:t>
      </w:r>
      <w:r>
        <w:rPr>
          <w:rFonts w:hint="eastAsia" w:ascii="黑体" w:hAnsi="黑体" w:eastAsia="黑体" w:cs="Times New Roman"/>
          <w:kern w:val="0"/>
          <w:szCs w:val="32"/>
        </w:rPr>
        <w:t>略论新中国经济发展绩效</w:t>
      </w:r>
      <w:r>
        <w:tab/>
      </w:r>
      <w:r>
        <w:fldChar w:fldCharType="begin"/>
      </w:r>
      <w:r>
        <w:instrText xml:space="preserve"> PAGEREF _Toc464994669 \h </w:instrText>
      </w:r>
      <w:r>
        <w:fldChar w:fldCharType="separate"/>
      </w:r>
      <w:r>
        <w:t>1109</w:t>
      </w:r>
      <w:r>
        <w:fldChar w:fldCharType="end"/>
      </w:r>
    </w:p>
    <w:p w14:paraId="309AF5DC">
      <w:pPr>
        <w:pStyle w:val="14"/>
        <w:tabs>
          <w:tab w:val="right" w:leader="dot" w:pos="9026"/>
        </w:tabs>
      </w:pPr>
      <w:r>
        <w:rPr>
          <w:rFonts w:hint="eastAsia" w:eastAsia="宋体" w:cs="Times New Roman"/>
          <w:color w:val="000000"/>
          <w:szCs w:val="28"/>
          <w:lang w:val="en-US" w:eastAsia="zh-CN"/>
        </w:rPr>
        <w:t>16</w:t>
      </w:r>
      <w:r>
        <w:rPr>
          <w:rFonts w:hint="eastAsia" w:eastAsia="宋体" w:cs="Times New Roman"/>
          <w:color w:val="000000"/>
          <w:szCs w:val="28"/>
        </w:rPr>
        <w:t>论推进中国经济学现代化的学术原则  ——主析“马学”、“西学”与“国学”之关系</w:t>
      </w:r>
      <w:r>
        <w:tab/>
      </w:r>
      <w:r>
        <w:fldChar w:fldCharType="begin"/>
      </w:r>
      <w:r>
        <w:instrText xml:space="preserve"> PAGEREF _Toc472410450 \h </w:instrText>
      </w:r>
      <w:r>
        <w:fldChar w:fldCharType="separate"/>
      </w:r>
      <w:r>
        <w:t>1114</w:t>
      </w:r>
      <w:r>
        <w:fldChar w:fldCharType="end"/>
      </w:r>
    </w:p>
    <w:p w14:paraId="4B4A4076">
      <w:pPr>
        <w:pStyle w:val="14"/>
        <w:tabs>
          <w:tab w:val="right" w:leader="dot" w:pos="9026"/>
        </w:tabs>
      </w:pPr>
      <w:r>
        <w:rPr>
          <w:rFonts w:hint="eastAsia" w:ascii="宋体" w:hAnsi="宋体" w:eastAsia="宋体" w:cs="Times New Roman"/>
          <w:color w:val="000000"/>
          <w:szCs w:val="28"/>
          <w:lang w:val="en-US" w:eastAsia="zh-CN"/>
        </w:rPr>
        <w:t>17</w:t>
      </w:r>
      <w:r>
        <w:rPr>
          <w:rFonts w:hint="eastAsia" w:ascii="宋体" w:hAnsi="宋体" w:eastAsia="宋体" w:cs="Times New Roman"/>
          <w:color w:val="000000"/>
          <w:szCs w:val="28"/>
        </w:rPr>
        <w:t>当前西方金融和经济危机与全球治理</w:t>
      </w:r>
      <w:r>
        <w:tab/>
      </w:r>
      <w:r>
        <w:fldChar w:fldCharType="begin"/>
      </w:r>
      <w:r>
        <w:instrText xml:space="preserve"> PAGEREF _Toc555390191 \h </w:instrText>
      </w:r>
      <w:r>
        <w:fldChar w:fldCharType="separate"/>
      </w:r>
      <w:r>
        <w:t>1131</w:t>
      </w:r>
      <w:r>
        <w:fldChar w:fldCharType="end"/>
      </w:r>
    </w:p>
    <w:p w14:paraId="612B98B4">
      <w:pPr>
        <w:pStyle w:val="14"/>
        <w:tabs>
          <w:tab w:val="right" w:leader="dot" w:pos="9026"/>
        </w:tabs>
      </w:pPr>
      <w:r>
        <w:rPr>
          <w:rFonts w:hint="eastAsia" w:eastAsia="宋体" w:cs="Times New Roman"/>
          <w:color w:val="000000"/>
          <w:szCs w:val="21"/>
          <w:lang w:val="en-US" w:eastAsia="zh-CN"/>
        </w:rPr>
        <w:t>18</w:t>
      </w:r>
      <w:r>
        <w:rPr>
          <w:rFonts w:hint="eastAsia" w:eastAsia="宋体" w:cs="Times New Roman"/>
          <w:color w:val="000000"/>
          <w:szCs w:val="21"/>
        </w:rPr>
        <w:t>改革开放与马克思主义经济学创新</w:t>
      </w:r>
      <w:r>
        <w:tab/>
      </w:r>
      <w:r>
        <w:fldChar w:fldCharType="begin"/>
      </w:r>
      <w:r>
        <w:instrText xml:space="preserve"> PAGEREF _Toc1479010275 \h </w:instrText>
      </w:r>
      <w:r>
        <w:fldChar w:fldCharType="separate"/>
      </w:r>
      <w:r>
        <w:t>1138</w:t>
      </w:r>
      <w:r>
        <w:fldChar w:fldCharType="end"/>
      </w:r>
    </w:p>
    <w:p w14:paraId="5B062DB9">
      <w:pPr>
        <w:pStyle w:val="14"/>
        <w:tabs>
          <w:tab w:val="right" w:leader="dot" w:pos="9026"/>
        </w:tabs>
      </w:pPr>
      <w:r>
        <w:rPr>
          <w:rFonts w:hint="eastAsia" w:eastAsia="宋体" w:cs="Times New Roman"/>
          <w:color w:val="000000"/>
          <w:szCs w:val="28"/>
          <w:lang w:val="en-US" w:eastAsia="zh-CN"/>
        </w:rPr>
        <w:t>19</w:t>
      </w:r>
      <w:r>
        <w:rPr>
          <w:rFonts w:hint="eastAsia" w:eastAsia="宋体" w:cs="Times New Roman"/>
          <w:color w:val="000000"/>
          <w:szCs w:val="28"/>
        </w:rPr>
        <w:t>中国模式的经济体制特征和内涵</w:t>
      </w:r>
      <w:r>
        <w:tab/>
      </w:r>
      <w:r>
        <w:fldChar w:fldCharType="begin"/>
      </w:r>
      <w:r>
        <w:instrText xml:space="preserve"> PAGEREF _Toc602477900 \h </w:instrText>
      </w:r>
      <w:r>
        <w:fldChar w:fldCharType="separate"/>
      </w:r>
      <w:r>
        <w:t>1155</w:t>
      </w:r>
      <w:r>
        <w:fldChar w:fldCharType="end"/>
      </w:r>
    </w:p>
    <w:p w14:paraId="04CC69A0">
      <w:pPr>
        <w:pStyle w:val="10"/>
        <w:tabs>
          <w:tab w:val="right" w:leader="dot" w:pos="9026"/>
        </w:tabs>
      </w:pPr>
      <w:r>
        <w:rPr>
          <w:rFonts w:hint="eastAsia"/>
        </w:rPr>
        <w:t>2</w:t>
      </w:r>
      <w:r>
        <w:t>010年</w:t>
      </w:r>
      <w:r>
        <w:tab/>
      </w:r>
      <w:r>
        <w:fldChar w:fldCharType="begin"/>
      </w:r>
      <w:r>
        <w:instrText xml:space="preserve"> PAGEREF _Toc460669695 \h </w:instrText>
      </w:r>
      <w:r>
        <w:fldChar w:fldCharType="separate"/>
      </w:r>
      <w:r>
        <w:t>1163</w:t>
      </w:r>
      <w:r>
        <w:fldChar w:fldCharType="end"/>
      </w:r>
    </w:p>
    <w:p w14:paraId="129D35C3">
      <w:pPr>
        <w:pStyle w:val="14"/>
        <w:tabs>
          <w:tab w:val="right" w:leader="dot" w:pos="9026"/>
        </w:tabs>
      </w:pPr>
      <w:r>
        <w:rPr>
          <w:rFonts w:hint="eastAsia" w:ascii="黑体" w:hAnsi="黑体" w:eastAsia="黑体" w:cs="Times New Roman"/>
          <w:kern w:val="0"/>
          <w:szCs w:val="32"/>
        </w:rPr>
        <w:t>1中国经济学现代化的创新原则与发展态势</w:t>
      </w:r>
      <w:r>
        <w:tab/>
      </w:r>
      <w:r>
        <w:fldChar w:fldCharType="begin"/>
      </w:r>
      <w:r>
        <w:instrText xml:space="preserve"> PAGEREF _Toc797016430 \h </w:instrText>
      </w:r>
      <w:r>
        <w:fldChar w:fldCharType="separate"/>
      </w:r>
      <w:r>
        <w:t>1163</w:t>
      </w:r>
      <w:r>
        <w:fldChar w:fldCharType="end"/>
      </w:r>
    </w:p>
    <w:p w14:paraId="4AEEF9AF">
      <w:pPr>
        <w:pStyle w:val="14"/>
        <w:tabs>
          <w:tab w:val="right" w:leader="dot" w:pos="9026"/>
        </w:tabs>
      </w:pPr>
      <w:r>
        <w:rPr>
          <w:rFonts w:hint="eastAsia" w:ascii="黑体" w:hAnsi="黑体" w:eastAsia="黑体" w:cs="Times New Roman"/>
          <w:kern w:val="0"/>
          <w:szCs w:val="32"/>
        </w:rPr>
        <w:t>2中国马克思主义理论研究60年</w:t>
      </w:r>
      <w:r>
        <w:tab/>
      </w:r>
      <w:r>
        <w:fldChar w:fldCharType="begin"/>
      </w:r>
      <w:r>
        <w:instrText xml:space="preserve"> PAGEREF _Toc1599632671 \h </w:instrText>
      </w:r>
      <w:r>
        <w:fldChar w:fldCharType="separate"/>
      </w:r>
      <w:r>
        <w:t>1170</w:t>
      </w:r>
      <w:r>
        <w:fldChar w:fldCharType="end"/>
      </w:r>
    </w:p>
    <w:p w14:paraId="414575F4">
      <w:pPr>
        <w:pStyle w:val="14"/>
        <w:tabs>
          <w:tab w:val="right" w:leader="dot" w:pos="9026"/>
        </w:tabs>
      </w:pPr>
      <w:r>
        <w:rPr>
          <w:rFonts w:hint="eastAsia" w:ascii="黑体" w:hAnsi="黑体" w:eastAsia="黑体" w:cs="Times New Roman"/>
          <w:kern w:val="0"/>
          <w:szCs w:val="32"/>
        </w:rPr>
        <w:t>3超越霸权，建立全球经济政治文化新秩序</w:t>
      </w:r>
      <w:r>
        <w:tab/>
      </w:r>
      <w:r>
        <w:fldChar w:fldCharType="begin"/>
      </w:r>
      <w:r>
        <w:instrText xml:space="preserve"> PAGEREF _Toc678524704 \h </w:instrText>
      </w:r>
      <w:r>
        <w:fldChar w:fldCharType="separate"/>
      </w:r>
      <w:r>
        <w:t>1186</w:t>
      </w:r>
      <w:r>
        <w:fldChar w:fldCharType="end"/>
      </w:r>
    </w:p>
    <w:p w14:paraId="5B32926E">
      <w:pPr>
        <w:pStyle w:val="14"/>
        <w:tabs>
          <w:tab w:val="right" w:leader="dot" w:pos="9026"/>
        </w:tabs>
      </w:pPr>
      <w:r>
        <w:rPr>
          <w:rFonts w:hint="eastAsia" w:ascii="黑体" w:hAnsi="黑体" w:eastAsia="黑体" w:cs="Times New Roman"/>
          <w:kern w:val="0"/>
          <w:szCs w:val="32"/>
        </w:rPr>
        <w:t>4</w:t>
      </w:r>
      <w:r>
        <w:rPr>
          <w:rFonts w:ascii="黑体" w:hAnsi="黑体" w:eastAsia="黑体" w:cs="Times New Roman"/>
          <w:kern w:val="0"/>
          <w:szCs w:val="32"/>
        </w:rPr>
        <w:t>新人口策论：先控后减</w:t>
      </w:r>
      <w:r>
        <w:tab/>
      </w:r>
      <w:r>
        <w:fldChar w:fldCharType="begin"/>
      </w:r>
      <w:r>
        <w:instrText xml:space="preserve"> PAGEREF _Toc826534558 \h </w:instrText>
      </w:r>
      <w:r>
        <w:fldChar w:fldCharType="separate"/>
      </w:r>
      <w:r>
        <w:t>1192</w:t>
      </w:r>
      <w:r>
        <w:fldChar w:fldCharType="end"/>
      </w:r>
    </w:p>
    <w:p w14:paraId="7A40E422">
      <w:pPr>
        <w:pStyle w:val="14"/>
        <w:tabs>
          <w:tab w:val="right" w:leader="dot" w:pos="9026"/>
        </w:tabs>
      </w:pPr>
      <w:r>
        <w:rPr>
          <w:rFonts w:ascii="黑体" w:hAnsi="黑体" w:eastAsia="黑体" w:cs="Times New Roman"/>
          <w:kern w:val="0"/>
          <w:szCs w:val="32"/>
        </w:rPr>
        <w:t>5</w:t>
      </w:r>
      <w:r>
        <w:rPr>
          <w:rFonts w:hint="eastAsia" w:ascii="黑体" w:hAnsi="黑体" w:eastAsia="黑体" w:cs="Times New Roman"/>
          <w:kern w:val="0"/>
          <w:szCs w:val="32"/>
        </w:rPr>
        <w:t>用发展的马克思主义政治经济学引领应用经济学创新</w:t>
      </w:r>
      <w:r>
        <w:tab/>
      </w:r>
      <w:r>
        <w:fldChar w:fldCharType="begin"/>
      </w:r>
      <w:r>
        <w:instrText xml:space="preserve"> PAGEREF _Toc1642087510 \h </w:instrText>
      </w:r>
      <w:r>
        <w:fldChar w:fldCharType="separate"/>
      </w:r>
      <w:r>
        <w:t>1194</w:t>
      </w:r>
      <w:r>
        <w:fldChar w:fldCharType="end"/>
      </w:r>
    </w:p>
    <w:p w14:paraId="78225733">
      <w:pPr>
        <w:pStyle w:val="14"/>
        <w:tabs>
          <w:tab w:val="right" w:leader="dot" w:pos="9026"/>
        </w:tabs>
      </w:pPr>
      <w:r>
        <w:rPr>
          <w:rFonts w:ascii="黑体" w:hAnsi="黑体" w:eastAsia="黑体" w:cs="Times New Roman"/>
          <w:kern w:val="0"/>
          <w:szCs w:val="32"/>
        </w:rPr>
        <w:t>6</w:t>
      </w:r>
      <w:r>
        <w:rPr>
          <w:rFonts w:hint="eastAsia" w:ascii="黑体" w:hAnsi="黑体" w:eastAsia="黑体" w:cs="Times New Roman"/>
          <w:kern w:val="0"/>
          <w:szCs w:val="32"/>
        </w:rPr>
        <w:t>科学发展观的经济理论探讨</w:t>
      </w:r>
      <w:r>
        <w:tab/>
      </w:r>
      <w:r>
        <w:fldChar w:fldCharType="begin"/>
      </w:r>
      <w:r>
        <w:instrText xml:space="preserve"> PAGEREF _Toc1252432973 \h </w:instrText>
      </w:r>
      <w:r>
        <w:fldChar w:fldCharType="separate"/>
      </w:r>
      <w:r>
        <w:t>1200</w:t>
      </w:r>
      <w:r>
        <w:fldChar w:fldCharType="end"/>
      </w:r>
    </w:p>
    <w:p w14:paraId="76690E2A">
      <w:pPr>
        <w:pStyle w:val="14"/>
        <w:tabs>
          <w:tab w:val="right" w:leader="dot" w:pos="9026"/>
        </w:tabs>
      </w:pPr>
      <w:r>
        <w:rPr>
          <w:rFonts w:ascii="黑体" w:hAnsi="黑体" w:eastAsia="黑体" w:cs="Times New Roman"/>
          <w:kern w:val="0"/>
          <w:szCs w:val="32"/>
        </w:rPr>
        <w:t>7</w:t>
      </w:r>
      <w:r>
        <w:rPr>
          <w:rFonts w:hint="eastAsia" w:ascii="黑体" w:hAnsi="黑体" w:eastAsia="黑体" w:cs="Times New Roman"/>
          <w:kern w:val="0"/>
          <w:szCs w:val="32"/>
        </w:rPr>
        <w:t>关于社会主义核心价值体系研究和践行情况的调查报告</w:t>
      </w:r>
      <w:r>
        <w:tab/>
      </w:r>
      <w:r>
        <w:fldChar w:fldCharType="begin"/>
      </w:r>
      <w:r>
        <w:instrText xml:space="preserve"> PAGEREF _Toc6269317 \h </w:instrText>
      </w:r>
      <w:r>
        <w:fldChar w:fldCharType="separate"/>
      </w:r>
      <w:r>
        <w:t>1205</w:t>
      </w:r>
      <w:r>
        <w:fldChar w:fldCharType="end"/>
      </w:r>
    </w:p>
    <w:p w14:paraId="1B1313E5">
      <w:pPr>
        <w:pStyle w:val="14"/>
        <w:tabs>
          <w:tab w:val="right" w:leader="dot" w:pos="9026"/>
        </w:tabs>
      </w:pPr>
      <w:r>
        <w:rPr>
          <w:rFonts w:ascii="黑体" w:hAnsi="黑体" w:eastAsia="黑体" w:cs="Times New Roman"/>
          <w:kern w:val="0"/>
          <w:szCs w:val="32"/>
        </w:rPr>
        <w:t>8“先控后减”的新人口政策</w:t>
      </w:r>
      <w:r>
        <w:tab/>
      </w:r>
      <w:r>
        <w:fldChar w:fldCharType="begin"/>
      </w:r>
      <w:r>
        <w:instrText xml:space="preserve"> PAGEREF _Toc141712116 \h </w:instrText>
      </w:r>
      <w:r>
        <w:fldChar w:fldCharType="separate"/>
      </w:r>
      <w:r>
        <w:t>1220</w:t>
      </w:r>
      <w:r>
        <w:fldChar w:fldCharType="end"/>
      </w:r>
    </w:p>
    <w:p w14:paraId="7528355E">
      <w:pPr>
        <w:pStyle w:val="14"/>
        <w:tabs>
          <w:tab w:val="right" w:leader="dot" w:pos="9026"/>
        </w:tabs>
      </w:pPr>
      <w:r>
        <w:rPr>
          <w:rFonts w:hint="eastAsia" w:ascii="黑体" w:hAnsi="黑体" w:eastAsia="黑体" w:cs="Times New Roman"/>
          <w:kern w:val="28"/>
          <w:szCs w:val="24"/>
        </w:rPr>
        <w:t>9国际金融危机对资本主义生存与发展的影响</w:t>
      </w:r>
      <w:r>
        <w:tab/>
      </w:r>
      <w:r>
        <w:fldChar w:fldCharType="begin"/>
      </w:r>
      <w:r>
        <w:instrText xml:space="preserve"> PAGEREF _Toc196169089 \h </w:instrText>
      </w:r>
      <w:r>
        <w:fldChar w:fldCharType="separate"/>
      </w:r>
      <w:r>
        <w:t>1225</w:t>
      </w:r>
      <w:r>
        <w:fldChar w:fldCharType="end"/>
      </w:r>
    </w:p>
    <w:p w14:paraId="046CD6ED">
      <w:pPr>
        <w:pStyle w:val="14"/>
        <w:tabs>
          <w:tab w:val="right" w:leader="dot" w:pos="9026"/>
        </w:tabs>
      </w:pPr>
      <w:r>
        <w:rPr>
          <w:rFonts w:ascii="黑体" w:hAnsi="黑体" w:eastAsia="黑体" w:cs="Times New Roman"/>
          <w:kern w:val="28"/>
          <w:szCs w:val="24"/>
        </w:rPr>
        <w:t>10转变对外经济发展方式的“新开放策论”</w:t>
      </w:r>
      <w:r>
        <w:tab/>
      </w:r>
      <w:r>
        <w:fldChar w:fldCharType="begin"/>
      </w:r>
      <w:r>
        <w:instrText xml:space="preserve"> PAGEREF _Toc626480678 \h </w:instrText>
      </w:r>
      <w:r>
        <w:fldChar w:fldCharType="separate"/>
      </w:r>
      <w:r>
        <w:t>1231</w:t>
      </w:r>
      <w:r>
        <w:fldChar w:fldCharType="end"/>
      </w:r>
    </w:p>
    <w:p w14:paraId="425AE764">
      <w:pPr>
        <w:pStyle w:val="14"/>
        <w:tabs>
          <w:tab w:val="right" w:leader="dot" w:pos="9026"/>
        </w:tabs>
      </w:pPr>
      <w:r>
        <w:rPr>
          <w:rFonts w:hint="eastAsia" w:ascii="黑体" w:hAnsi="黑体" w:eastAsia="黑体" w:cs="Times New Roman"/>
          <w:kern w:val="28"/>
          <w:szCs w:val="24"/>
        </w:rPr>
        <w:t>1</w:t>
      </w:r>
      <w:r>
        <w:rPr>
          <w:rFonts w:ascii="黑体" w:hAnsi="黑体" w:eastAsia="黑体" w:cs="Times New Roman"/>
          <w:kern w:val="28"/>
          <w:szCs w:val="24"/>
        </w:rPr>
        <w:t>1</w:t>
      </w:r>
      <w:r>
        <w:rPr>
          <w:rFonts w:hint="eastAsia" w:ascii="黑体" w:hAnsi="黑体" w:eastAsia="黑体" w:cs="Times New Roman"/>
          <w:kern w:val="28"/>
          <w:szCs w:val="24"/>
        </w:rPr>
        <w:t>西方国家金融和经济危机与中国对策研究</w:t>
      </w:r>
      <w:r>
        <w:rPr>
          <w:rFonts w:ascii="黑体" w:hAnsi="黑体" w:eastAsia="黑体" w:cs="Times New Roman"/>
          <w:kern w:val="28"/>
          <w:szCs w:val="24"/>
        </w:rPr>
        <w:t>（上）</w:t>
      </w:r>
      <w:r>
        <w:tab/>
      </w:r>
      <w:r>
        <w:fldChar w:fldCharType="begin"/>
      </w:r>
      <w:r>
        <w:instrText xml:space="preserve"> PAGEREF _Toc148433905 \h </w:instrText>
      </w:r>
      <w:r>
        <w:fldChar w:fldCharType="separate"/>
      </w:r>
      <w:r>
        <w:t>1248</w:t>
      </w:r>
      <w:r>
        <w:fldChar w:fldCharType="end"/>
      </w:r>
    </w:p>
    <w:p w14:paraId="5DDEEBDF">
      <w:pPr>
        <w:pStyle w:val="14"/>
        <w:tabs>
          <w:tab w:val="right" w:leader="dot" w:pos="9026"/>
        </w:tabs>
      </w:pPr>
      <w:r>
        <w:rPr>
          <w:rFonts w:ascii="黑体" w:hAnsi="黑体" w:eastAsia="黑体" w:cs="Times New Roman"/>
          <w:kern w:val="28"/>
          <w:szCs w:val="24"/>
        </w:rPr>
        <w:t>12</w:t>
      </w:r>
      <w:r>
        <w:rPr>
          <w:rFonts w:hint="eastAsia" w:ascii="黑体" w:hAnsi="黑体" w:eastAsia="黑体" w:cs="Times New Roman"/>
          <w:kern w:val="28"/>
          <w:szCs w:val="24"/>
        </w:rPr>
        <w:t>低碳经济的政治经济学逻辑分析</w:t>
      </w:r>
      <w:r>
        <w:tab/>
      </w:r>
      <w:r>
        <w:fldChar w:fldCharType="begin"/>
      </w:r>
      <w:r>
        <w:instrText xml:space="preserve"> PAGEREF _Toc1500127168 \h </w:instrText>
      </w:r>
      <w:r>
        <w:fldChar w:fldCharType="separate"/>
      </w:r>
      <w:r>
        <w:t>1266</w:t>
      </w:r>
      <w:r>
        <w:fldChar w:fldCharType="end"/>
      </w:r>
    </w:p>
    <w:p w14:paraId="30F39D69">
      <w:pPr>
        <w:pStyle w:val="14"/>
        <w:tabs>
          <w:tab w:val="right" w:leader="dot" w:pos="9026"/>
        </w:tabs>
      </w:pPr>
      <w:r>
        <w:rPr>
          <w:rFonts w:hint="eastAsia" w:ascii="黑体" w:hAnsi="黑体" w:eastAsia="黑体" w:cs="Times New Roman"/>
          <w:kern w:val="28"/>
          <w:szCs w:val="24"/>
        </w:rPr>
        <w:t>1</w:t>
      </w:r>
      <w:r>
        <w:rPr>
          <w:rFonts w:ascii="黑体" w:hAnsi="黑体" w:eastAsia="黑体" w:cs="Times New Roman"/>
          <w:kern w:val="28"/>
          <w:szCs w:val="24"/>
        </w:rPr>
        <w:t>3</w:t>
      </w:r>
      <w:r>
        <w:rPr>
          <w:rFonts w:hint="eastAsia" w:ascii="黑体" w:hAnsi="黑体" w:eastAsia="黑体" w:cs="Times New Roman"/>
          <w:kern w:val="28"/>
          <w:szCs w:val="24"/>
        </w:rPr>
        <w:t>西方国家金融和经济危机与中国对策研究</w:t>
      </w:r>
      <w:r>
        <w:rPr>
          <w:rFonts w:ascii="黑体" w:hAnsi="黑体" w:eastAsia="黑体" w:cs="Times New Roman"/>
          <w:kern w:val="28"/>
          <w:szCs w:val="24"/>
        </w:rPr>
        <w:t>（下）</w:t>
      </w:r>
      <w:r>
        <w:tab/>
      </w:r>
      <w:r>
        <w:fldChar w:fldCharType="begin"/>
      </w:r>
      <w:r>
        <w:instrText xml:space="preserve"> PAGEREF _Toc1179296796 \h </w:instrText>
      </w:r>
      <w:r>
        <w:fldChar w:fldCharType="separate"/>
      </w:r>
      <w:r>
        <w:t>1271</w:t>
      </w:r>
      <w:r>
        <w:fldChar w:fldCharType="end"/>
      </w:r>
    </w:p>
    <w:p w14:paraId="237B6902">
      <w:pPr>
        <w:pStyle w:val="14"/>
        <w:tabs>
          <w:tab w:val="right" w:leader="dot" w:pos="9026"/>
        </w:tabs>
      </w:pPr>
      <w:r>
        <w:rPr>
          <w:rFonts w:hint="eastAsia" w:ascii="黑体" w:hAnsi="黑体" w:eastAsia="黑体" w:cs="Times New Roman"/>
          <w:kern w:val="28"/>
          <w:szCs w:val="24"/>
        </w:rPr>
        <w:t>1</w:t>
      </w:r>
      <w:r>
        <w:rPr>
          <w:rFonts w:ascii="黑体" w:hAnsi="黑体" w:eastAsia="黑体" w:cs="Times New Roman"/>
          <w:kern w:val="28"/>
          <w:szCs w:val="24"/>
        </w:rPr>
        <w:t>4</w:t>
      </w:r>
      <w:r>
        <w:rPr>
          <w:rFonts w:hint="eastAsia" w:ascii="黑体" w:hAnsi="黑体" w:eastAsia="黑体" w:cs="Times New Roman"/>
          <w:kern w:val="28"/>
          <w:szCs w:val="24"/>
        </w:rPr>
        <w:t>西方国家金融和经济危机原因的政治经济学分析</w:t>
      </w:r>
      <w:r>
        <w:tab/>
      </w:r>
      <w:r>
        <w:fldChar w:fldCharType="begin"/>
      </w:r>
      <w:r>
        <w:instrText xml:space="preserve"> PAGEREF _Toc1314672209 \h </w:instrText>
      </w:r>
      <w:r>
        <w:fldChar w:fldCharType="separate"/>
      </w:r>
      <w:r>
        <w:t>1282</w:t>
      </w:r>
      <w:r>
        <w:fldChar w:fldCharType="end"/>
      </w:r>
    </w:p>
    <w:p w14:paraId="19281308">
      <w:pPr>
        <w:pStyle w:val="14"/>
        <w:tabs>
          <w:tab w:val="right" w:leader="dot" w:pos="9026"/>
        </w:tabs>
      </w:pPr>
      <w:r>
        <w:rPr>
          <w:rFonts w:hint="eastAsia" w:ascii="黑体" w:hAnsi="黑体" w:eastAsia="黑体" w:cs="Times New Roman"/>
          <w:kern w:val="28"/>
          <w:szCs w:val="24"/>
        </w:rPr>
        <w:t>1</w:t>
      </w:r>
      <w:r>
        <w:rPr>
          <w:rFonts w:ascii="黑体" w:hAnsi="黑体" w:eastAsia="黑体" w:cs="Times New Roman"/>
          <w:kern w:val="28"/>
          <w:szCs w:val="24"/>
        </w:rPr>
        <w:t>5中国模式若干基本问题初探</w:t>
      </w:r>
      <w:r>
        <w:tab/>
      </w:r>
      <w:r>
        <w:fldChar w:fldCharType="begin"/>
      </w:r>
      <w:r>
        <w:instrText xml:space="preserve"> PAGEREF _Toc236572680 \h </w:instrText>
      </w:r>
      <w:r>
        <w:fldChar w:fldCharType="separate"/>
      </w:r>
      <w:r>
        <w:t>1289</w:t>
      </w:r>
      <w:r>
        <w:fldChar w:fldCharType="end"/>
      </w:r>
    </w:p>
    <w:p w14:paraId="276A50AA">
      <w:pPr>
        <w:pStyle w:val="14"/>
        <w:tabs>
          <w:tab w:val="right" w:leader="dot" w:pos="9026"/>
        </w:tabs>
      </w:pPr>
      <w:r>
        <w:rPr>
          <w:rFonts w:ascii="黑体" w:hAnsi="黑体" w:eastAsia="黑体" w:cs="Times New Roman"/>
          <w:kern w:val="28"/>
          <w:szCs w:val="24"/>
        </w:rPr>
        <w:t>16</w:t>
      </w:r>
      <w:r>
        <w:rPr>
          <w:rFonts w:hint="eastAsia" w:ascii="黑体" w:hAnsi="黑体" w:eastAsia="黑体" w:cs="Times New Roman"/>
          <w:kern w:val="28"/>
          <w:szCs w:val="24"/>
        </w:rPr>
        <w:t>机关、事业和企业联动的“新养老策论”</w:t>
      </w:r>
      <w:r>
        <w:tab/>
      </w:r>
      <w:r>
        <w:fldChar w:fldCharType="begin"/>
      </w:r>
      <w:r>
        <w:instrText xml:space="preserve"> PAGEREF _Toc1084802163 \h </w:instrText>
      </w:r>
      <w:r>
        <w:fldChar w:fldCharType="separate"/>
      </w:r>
      <w:r>
        <w:t>1295</w:t>
      </w:r>
      <w:r>
        <w:fldChar w:fldCharType="end"/>
      </w:r>
    </w:p>
    <w:p w14:paraId="23421106">
      <w:pPr>
        <w:pStyle w:val="14"/>
        <w:tabs>
          <w:tab w:val="right" w:leader="dot" w:pos="9026"/>
        </w:tabs>
      </w:pPr>
      <w:r>
        <w:rPr>
          <w:rFonts w:ascii="黑体" w:hAnsi="黑体" w:eastAsia="黑体" w:cs="Times New Roman"/>
          <w:kern w:val="28"/>
          <w:szCs w:val="24"/>
        </w:rPr>
        <w:t>17</w:t>
      </w:r>
      <w:r>
        <w:rPr>
          <w:rFonts w:hint="eastAsia" w:ascii="黑体" w:hAnsi="黑体" w:eastAsia="黑体" w:cs="Times New Roman"/>
          <w:kern w:val="28"/>
          <w:szCs w:val="24"/>
        </w:rPr>
        <w:t>我国劳动收入份额提升的可能性、迫切性与途径</w:t>
      </w:r>
      <w:r>
        <w:tab/>
      </w:r>
      <w:r>
        <w:fldChar w:fldCharType="begin"/>
      </w:r>
      <w:r>
        <w:instrText xml:space="preserve"> PAGEREF _Toc133790511 \h </w:instrText>
      </w:r>
      <w:r>
        <w:fldChar w:fldCharType="separate"/>
      </w:r>
      <w:r>
        <w:t>1304</w:t>
      </w:r>
      <w:r>
        <w:fldChar w:fldCharType="end"/>
      </w:r>
    </w:p>
    <w:p w14:paraId="67EBA6BD">
      <w:pPr>
        <w:pStyle w:val="14"/>
        <w:tabs>
          <w:tab w:val="right" w:leader="dot" w:pos="9026"/>
        </w:tabs>
      </w:pPr>
      <w:r>
        <w:rPr>
          <w:rFonts w:hint="eastAsia" w:ascii="黑体" w:hAnsi="黑体" w:eastAsia="黑体" w:cs="Times New Roman"/>
          <w:kern w:val="28"/>
          <w:szCs w:val="24"/>
        </w:rPr>
        <w:t>1</w:t>
      </w:r>
      <w:r>
        <w:rPr>
          <w:rFonts w:ascii="黑体" w:hAnsi="黑体" w:eastAsia="黑体" w:cs="Times New Roman"/>
          <w:kern w:val="28"/>
          <w:szCs w:val="24"/>
        </w:rPr>
        <w:t>8</w:t>
      </w:r>
      <w:r>
        <w:rPr>
          <w:rFonts w:hint="eastAsia" w:ascii="黑体" w:hAnsi="黑体" w:eastAsia="黑体" w:cs="Times New Roman"/>
          <w:kern w:val="28"/>
          <w:szCs w:val="24"/>
        </w:rPr>
        <w:t>关于劳动收入分配若干问题的思考</w:t>
      </w:r>
      <w:r>
        <w:tab/>
      </w:r>
      <w:r>
        <w:fldChar w:fldCharType="begin"/>
      </w:r>
      <w:r>
        <w:instrText xml:space="preserve"> PAGEREF _Toc201739968 \h </w:instrText>
      </w:r>
      <w:r>
        <w:fldChar w:fldCharType="separate"/>
      </w:r>
      <w:r>
        <w:t>1313</w:t>
      </w:r>
      <w:r>
        <w:fldChar w:fldCharType="end"/>
      </w:r>
    </w:p>
    <w:p w14:paraId="234F02E0">
      <w:pPr>
        <w:pStyle w:val="14"/>
        <w:tabs>
          <w:tab w:val="right" w:leader="dot" w:pos="9026"/>
        </w:tabs>
      </w:pPr>
      <w:r>
        <w:rPr>
          <w:rFonts w:hint="eastAsia" w:ascii="黑体" w:hAnsi="黑体" w:eastAsia="黑体" w:cs="Times New Roman"/>
          <w:kern w:val="28"/>
          <w:szCs w:val="24"/>
        </w:rPr>
        <w:t>1</w:t>
      </w:r>
      <w:r>
        <w:rPr>
          <w:rFonts w:ascii="黑体" w:hAnsi="黑体" w:eastAsia="黑体" w:cs="Times New Roman"/>
          <w:kern w:val="28"/>
          <w:szCs w:val="24"/>
        </w:rPr>
        <w:t>9先控后减的</w:t>
      </w:r>
      <w:r>
        <w:rPr>
          <w:rFonts w:hint="eastAsia" w:ascii="黑体" w:hAnsi="黑体" w:eastAsia="黑体" w:cs="Times New Roman"/>
          <w:kern w:val="28"/>
          <w:szCs w:val="24"/>
        </w:rPr>
        <w:t>“</w:t>
      </w:r>
      <w:r>
        <w:rPr>
          <w:rFonts w:ascii="黑体" w:hAnsi="黑体" w:eastAsia="黑体" w:cs="Times New Roman"/>
          <w:kern w:val="28"/>
          <w:szCs w:val="24"/>
        </w:rPr>
        <w:t>新人口策论</w:t>
      </w:r>
      <w:r>
        <w:rPr>
          <w:rFonts w:hint="eastAsia" w:ascii="黑体" w:hAnsi="黑体" w:eastAsia="黑体" w:cs="Times New Roman"/>
          <w:kern w:val="28"/>
          <w:szCs w:val="24"/>
        </w:rPr>
        <w:t>”</w:t>
      </w:r>
      <w:r>
        <w:rPr>
          <w:rFonts w:ascii="黑体" w:hAnsi="黑体" w:eastAsia="黑体" w:cs="Times New Roman"/>
          <w:kern w:val="28"/>
          <w:szCs w:val="24"/>
        </w:rPr>
        <w:t>——回应十个不同观点</w:t>
      </w:r>
      <w:r>
        <w:tab/>
      </w:r>
      <w:r>
        <w:fldChar w:fldCharType="begin"/>
      </w:r>
      <w:r>
        <w:instrText xml:space="preserve"> PAGEREF _Toc1914447210 \h </w:instrText>
      </w:r>
      <w:r>
        <w:fldChar w:fldCharType="separate"/>
      </w:r>
      <w:r>
        <w:t>1320</w:t>
      </w:r>
      <w:r>
        <w:fldChar w:fldCharType="end"/>
      </w:r>
    </w:p>
    <w:p w14:paraId="21D4460F">
      <w:pPr>
        <w:pStyle w:val="14"/>
        <w:tabs>
          <w:tab w:val="right" w:leader="dot" w:pos="9026"/>
        </w:tabs>
      </w:pPr>
      <w:r>
        <w:rPr>
          <w:rFonts w:hint="eastAsia" w:ascii="Times New Roman" w:hAnsi="Times New Roman" w:eastAsia="宋体" w:cs="Times New Roman"/>
          <w:szCs w:val="24"/>
          <w:lang w:val="en-US" w:eastAsia="zh-CN"/>
        </w:rPr>
        <w:t>20</w:t>
      </w:r>
      <w:r>
        <w:rPr>
          <w:rFonts w:hint="eastAsia" w:ascii="宋体" w:hAnsi="宋体" w:eastAsia="宋体" w:cs="宋体"/>
          <w:color w:val="231F20"/>
          <w:kern w:val="0"/>
          <w:szCs w:val="24"/>
        </w:rPr>
        <w:t>构建国家主导的企业职工权益保护体系</w:t>
      </w:r>
      <w:r>
        <w:tab/>
      </w:r>
      <w:r>
        <w:fldChar w:fldCharType="begin"/>
      </w:r>
      <w:r>
        <w:instrText xml:space="preserve"> PAGEREF _Toc366775469 \h </w:instrText>
      </w:r>
      <w:r>
        <w:fldChar w:fldCharType="separate"/>
      </w:r>
      <w:r>
        <w:t>1340</w:t>
      </w:r>
      <w:r>
        <w:fldChar w:fldCharType="end"/>
      </w:r>
    </w:p>
    <w:p w14:paraId="1515E8A8">
      <w:pPr>
        <w:pStyle w:val="14"/>
        <w:tabs>
          <w:tab w:val="right" w:leader="dot" w:pos="9026"/>
        </w:tabs>
      </w:pPr>
      <w:r>
        <w:rPr>
          <w:rFonts w:hint="eastAsia" w:ascii="宋体" w:hAnsi="宋体" w:eastAsia="宋体" w:cs="Times New Roman"/>
          <w:color w:val="000000"/>
          <w:szCs w:val="21"/>
          <w:lang w:val="en-US" w:eastAsia="zh-CN"/>
        </w:rPr>
        <w:t>21</w:t>
      </w:r>
      <w:r>
        <w:rPr>
          <w:rFonts w:hint="eastAsia" w:ascii="宋体" w:hAnsi="宋体" w:eastAsia="宋体" w:cs="Times New Roman"/>
          <w:color w:val="000000"/>
          <w:szCs w:val="21"/>
        </w:rPr>
        <w:t>世界财富分配失衡与未来全球民主治理</w:t>
      </w:r>
      <w:r>
        <w:tab/>
      </w:r>
      <w:r>
        <w:fldChar w:fldCharType="begin"/>
      </w:r>
      <w:r>
        <w:instrText xml:space="preserve"> PAGEREF _Toc1117240593 \h </w:instrText>
      </w:r>
      <w:r>
        <w:fldChar w:fldCharType="separate"/>
      </w:r>
      <w:r>
        <w:t>1346</w:t>
      </w:r>
      <w:r>
        <w:fldChar w:fldCharType="end"/>
      </w:r>
    </w:p>
    <w:p w14:paraId="0F75E862">
      <w:pPr>
        <w:pStyle w:val="10"/>
        <w:tabs>
          <w:tab w:val="right" w:leader="dot" w:pos="9026"/>
        </w:tabs>
      </w:pPr>
      <w:r>
        <w:rPr>
          <w:rFonts w:hint="eastAsia" w:ascii="宋体" w:hAnsi="宋体" w:eastAsia="宋体"/>
          <w:color w:val="000000" w:themeColor="text1"/>
          <w:szCs w:val="40"/>
          <w14:textFill>
            <w14:solidFill>
              <w14:schemeClr w14:val="tx1"/>
            </w14:solidFill>
          </w14:textFill>
        </w:rPr>
        <w:t>2011年</w:t>
      </w:r>
      <w:r>
        <w:tab/>
      </w:r>
      <w:r>
        <w:fldChar w:fldCharType="begin"/>
      </w:r>
      <w:r>
        <w:instrText xml:space="preserve"> PAGEREF _Toc2013120830 \h </w:instrText>
      </w:r>
      <w:r>
        <w:fldChar w:fldCharType="separate"/>
      </w:r>
      <w:r>
        <w:t>1354</w:t>
      </w:r>
      <w:r>
        <w:fldChar w:fldCharType="end"/>
      </w:r>
    </w:p>
    <w:p w14:paraId="3FDD615E">
      <w:pPr>
        <w:pStyle w:val="14"/>
        <w:tabs>
          <w:tab w:val="right" w:leader="dot" w:pos="9026"/>
        </w:tabs>
      </w:pPr>
      <w:r>
        <w:rPr>
          <w:rFonts w:hint="eastAsia" w:ascii="黑体" w:hAnsi="黑体"/>
          <w:color w:val="000000" w:themeColor="text1"/>
          <w14:textFill>
            <w14:solidFill>
              <w14:schemeClr w14:val="tx1"/>
            </w14:solidFill>
          </w14:textFill>
        </w:rPr>
        <w:t>1</w:t>
      </w:r>
      <w:r>
        <w:rPr>
          <w:rFonts w:ascii="黑体" w:hAnsi="黑体"/>
          <w:color w:val="000000" w:themeColor="text1"/>
          <w14:textFill>
            <w14:solidFill>
              <w14:schemeClr w14:val="tx1"/>
            </w14:solidFill>
          </w14:textFill>
        </w:rPr>
        <w:t>马列主义是认识和改造世界的科学方法与指南</w:t>
      </w:r>
      <w:r>
        <w:tab/>
      </w:r>
      <w:r>
        <w:fldChar w:fldCharType="begin"/>
      </w:r>
      <w:r>
        <w:instrText xml:space="preserve"> PAGEREF _Toc916931325 \h </w:instrText>
      </w:r>
      <w:r>
        <w:fldChar w:fldCharType="separate"/>
      </w:r>
      <w:r>
        <w:t>1354</w:t>
      </w:r>
      <w:r>
        <w:fldChar w:fldCharType="end"/>
      </w:r>
    </w:p>
    <w:p w14:paraId="5382CFA4">
      <w:pPr>
        <w:pStyle w:val="14"/>
        <w:tabs>
          <w:tab w:val="right" w:leader="dot" w:pos="9026"/>
        </w:tabs>
      </w:pPr>
      <w:r>
        <w:rPr>
          <w:rFonts w:hint="eastAsia" w:ascii="黑体" w:hAnsi="黑体"/>
          <w:color w:val="000000" w:themeColor="text1"/>
          <w14:textFill>
            <w14:solidFill>
              <w14:schemeClr w14:val="tx1"/>
            </w14:solidFill>
          </w14:textFill>
        </w:rPr>
        <w:t>2</w:t>
      </w:r>
      <w:r>
        <w:rPr>
          <w:rFonts w:ascii="黑体" w:hAnsi="黑体"/>
          <w:color w:val="000000" w:themeColor="text1"/>
          <w14:textFill>
            <w14:solidFill>
              <w14:schemeClr w14:val="tx1"/>
            </w14:solidFill>
          </w14:textFill>
        </w:rPr>
        <w:t>关于中国模式研究的若干难点问题探析</w:t>
      </w:r>
      <w:r>
        <w:tab/>
      </w:r>
      <w:r>
        <w:fldChar w:fldCharType="begin"/>
      </w:r>
      <w:r>
        <w:instrText xml:space="preserve"> PAGEREF _Toc522128403 \h </w:instrText>
      </w:r>
      <w:r>
        <w:fldChar w:fldCharType="separate"/>
      </w:r>
      <w:r>
        <w:t>1372</w:t>
      </w:r>
      <w:r>
        <w:fldChar w:fldCharType="end"/>
      </w:r>
    </w:p>
    <w:p w14:paraId="15149B29">
      <w:pPr>
        <w:pStyle w:val="14"/>
        <w:tabs>
          <w:tab w:val="right" w:leader="dot" w:pos="9026"/>
        </w:tabs>
      </w:pPr>
      <w:r>
        <w:rPr>
          <w:rFonts w:hint="eastAsia" w:ascii="黑体" w:hAnsi="黑体"/>
          <w:color w:val="000000" w:themeColor="text1"/>
          <w14:textFill>
            <w14:solidFill>
              <w14:schemeClr w14:val="tx1"/>
            </w14:solidFill>
          </w14:textFill>
        </w:rPr>
        <w:t>3</w:t>
      </w:r>
      <w:r>
        <w:rPr>
          <w:rFonts w:ascii="黑体" w:hAnsi="黑体"/>
          <w:color w:val="000000" w:themeColor="text1"/>
          <w14:textFill>
            <w14:solidFill>
              <w14:schemeClr w14:val="tx1"/>
            </w14:solidFill>
          </w14:textFill>
        </w:rPr>
        <w:t>近年社会主义核心价值体系建设情况的调查研究报告</w:t>
      </w:r>
      <w:r>
        <w:tab/>
      </w:r>
      <w:r>
        <w:fldChar w:fldCharType="begin"/>
      </w:r>
      <w:r>
        <w:instrText xml:space="preserve"> PAGEREF _Toc793887579 \h </w:instrText>
      </w:r>
      <w:r>
        <w:fldChar w:fldCharType="separate"/>
      </w:r>
      <w:r>
        <w:t>1379</w:t>
      </w:r>
      <w:r>
        <w:fldChar w:fldCharType="end"/>
      </w:r>
    </w:p>
    <w:p w14:paraId="6C90B445">
      <w:pPr>
        <w:pStyle w:val="14"/>
        <w:tabs>
          <w:tab w:val="right" w:leader="dot" w:pos="9026"/>
        </w:tabs>
      </w:pPr>
      <w:r>
        <w:rPr>
          <w:rFonts w:hint="eastAsia" w:ascii="黑体" w:hAnsi="黑体"/>
          <w:color w:val="000000" w:themeColor="text1"/>
          <w14:textFill>
            <w14:solidFill>
              <w14:schemeClr w14:val="tx1"/>
            </w14:solidFill>
          </w14:textFill>
        </w:rPr>
        <w:t>4公众“幸福感”的政府责任</w:t>
      </w:r>
      <w:r>
        <w:tab/>
      </w:r>
      <w:r>
        <w:fldChar w:fldCharType="begin"/>
      </w:r>
      <w:r>
        <w:instrText xml:space="preserve"> PAGEREF _Toc552641442 \h </w:instrText>
      </w:r>
      <w:r>
        <w:fldChar w:fldCharType="separate"/>
      </w:r>
      <w:r>
        <w:t>1392</w:t>
      </w:r>
      <w:r>
        <w:fldChar w:fldCharType="end"/>
      </w:r>
    </w:p>
    <w:p w14:paraId="792EBAF4">
      <w:pPr>
        <w:pStyle w:val="14"/>
        <w:tabs>
          <w:tab w:val="right" w:leader="dot" w:pos="9026"/>
        </w:tabs>
      </w:pPr>
      <w:r>
        <w:rPr>
          <w:rFonts w:ascii="黑体" w:hAnsi="黑体"/>
          <w:color w:val="000000" w:themeColor="text1"/>
          <w14:textFill>
            <w14:solidFill>
              <w14:schemeClr w14:val="tx1"/>
            </w14:solidFill>
          </w14:textFill>
        </w:rPr>
        <w:t>5中国模式是社会主义本质的中国实现形式</w:t>
      </w:r>
      <w:r>
        <w:tab/>
      </w:r>
      <w:r>
        <w:fldChar w:fldCharType="begin"/>
      </w:r>
      <w:r>
        <w:instrText xml:space="preserve"> PAGEREF _Toc377942419 \h </w:instrText>
      </w:r>
      <w:r>
        <w:fldChar w:fldCharType="separate"/>
      </w:r>
      <w:r>
        <w:t>1395</w:t>
      </w:r>
      <w:r>
        <w:fldChar w:fldCharType="end"/>
      </w:r>
    </w:p>
    <w:p w14:paraId="384DC080">
      <w:pPr>
        <w:pStyle w:val="14"/>
        <w:tabs>
          <w:tab w:val="right" w:leader="dot" w:pos="9026"/>
        </w:tabs>
      </w:pPr>
      <w:r>
        <w:rPr>
          <w:rFonts w:ascii="黑体" w:hAnsi="黑体"/>
          <w:color w:val="000000" w:themeColor="text1"/>
          <w14:textFill>
            <w14:solidFill>
              <w14:schemeClr w14:val="tx1"/>
            </w14:solidFill>
          </w14:textFill>
        </w:rPr>
        <w:t>6</w:t>
      </w:r>
      <w:r>
        <w:rPr>
          <w:rFonts w:hint="eastAsia" w:ascii="黑体" w:hAnsi="黑体"/>
          <w:color w:val="000000" w:themeColor="text1"/>
          <w14:textFill>
            <w14:solidFill>
              <w14:schemeClr w14:val="tx1"/>
            </w14:solidFill>
          </w14:textFill>
        </w:rPr>
        <w:t>新“房改”的未来方向</w:t>
      </w:r>
      <w:r>
        <w:tab/>
      </w:r>
      <w:r>
        <w:fldChar w:fldCharType="begin"/>
      </w:r>
      <w:r>
        <w:instrText xml:space="preserve"> PAGEREF _Toc1969091954 \h </w:instrText>
      </w:r>
      <w:r>
        <w:fldChar w:fldCharType="separate"/>
      </w:r>
      <w:r>
        <w:t>1395</w:t>
      </w:r>
      <w:r>
        <w:fldChar w:fldCharType="end"/>
      </w:r>
    </w:p>
    <w:p w14:paraId="1B155523">
      <w:pPr>
        <w:pStyle w:val="14"/>
        <w:tabs>
          <w:tab w:val="right" w:leader="dot" w:pos="9026"/>
        </w:tabs>
      </w:pPr>
      <w:r>
        <w:rPr>
          <w:rFonts w:hint="eastAsia" w:ascii="黑体" w:hAnsi="黑体"/>
          <w:color w:val="000000" w:themeColor="text1"/>
          <w14:textFill>
            <w14:solidFill>
              <w14:schemeClr w14:val="tx1"/>
            </w14:solidFill>
          </w14:textFill>
        </w:rPr>
        <w:t>7当前西方金融和经济危机对世界资本主义生存和发展的影响</w:t>
      </w:r>
      <w:r>
        <w:tab/>
      </w:r>
      <w:r>
        <w:fldChar w:fldCharType="begin"/>
      </w:r>
      <w:r>
        <w:instrText xml:space="preserve"> PAGEREF _Toc1805470608 \h </w:instrText>
      </w:r>
      <w:r>
        <w:fldChar w:fldCharType="separate"/>
      </w:r>
      <w:r>
        <w:t>1398</w:t>
      </w:r>
      <w:r>
        <w:fldChar w:fldCharType="end"/>
      </w:r>
    </w:p>
    <w:p w14:paraId="7AAA51AA">
      <w:pPr>
        <w:pStyle w:val="14"/>
        <w:tabs>
          <w:tab w:val="right" w:leader="dot" w:pos="9026"/>
        </w:tabs>
      </w:pPr>
      <w:r>
        <w:rPr>
          <w:rFonts w:hint="eastAsia" w:ascii="黑体" w:hAnsi="黑体"/>
          <w:color w:val="000000" w:themeColor="text1"/>
          <w14:textFill>
            <w14:solidFill>
              <w14:schemeClr w14:val="tx1"/>
            </w14:solidFill>
          </w14:textFill>
        </w:rPr>
        <w:t>8转变对外经济发展方式的新开放策论</w:t>
      </w:r>
      <w:r>
        <w:tab/>
      </w:r>
      <w:r>
        <w:fldChar w:fldCharType="begin"/>
      </w:r>
      <w:r>
        <w:instrText xml:space="preserve"> PAGEREF _Toc600576546 \h </w:instrText>
      </w:r>
      <w:r>
        <w:fldChar w:fldCharType="separate"/>
      </w:r>
      <w:r>
        <w:t>1407</w:t>
      </w:r>
      <w:r>
        <w:fldChar w:fldCharType="end"/>
      </w:r>
    </w:p>
    <w:p w14:paraId="1BC2EF40">
      <w:pPr>
        <w:pStyle w:val="14"/>
        <w:tabs>
          <w:tab w:val="right" w:leader="dot" w:pos="9026"/>
        </w:tabs>
      </w:pPr>
      <w:r>
        <w:rPr>
          <w:rFonts w:hint="eastAsia" w:ascii="黑体" w:hAnsi="黑体"/>
          <w:color w:val="000000" w:themeColor="text1"/>
          <w:lang w:val="en-US" w:eastAsia="zh-CN"/>
          <w14:textFill>
            <w14:solidFill>
              <w14:schemeClr w14:val="tx1"/>
            </w14:solidFill>
          </w14:textFill>
        </w:rPr>
        <w:t>9</w:t>
      </w:r>
      <w:r>
        <w:rPr>
          <w:rFonts w:hint="eastAsia" w:ascii="黑体" w:hAnsi="黑体"/>
          <w:color w:val="000000" w:themeColor="text1"/>
          <w14:textFill>
            <w14:solidFill>
              <w14:schemeClr w14:val="tx1"/>
            </w14:solidFill>
          </w14:textFill>
        </w:rPr>
        <w:t>论政府在功能收入分配和规模收入分配中的作用</w:t>
      </w:r>
      <w:r>
        <w:tab/>
      </w:r>
      <w:r>
        <w:fldChar w:fldCharType="begin"/>
      </w:r>
      <w:r>
        <w:instrText xml:space="preserve"> PAGEREF _Toc716867722 \h </w:instrText>
      </w:r>
      <w:r>
        <w:fldChar w:fldCharType="separate"/>
      </w:r>
      <w:r>
        <w:t>1424</w:t>
      </w:r>
      <w:r>
        <w:fldChar w:fldCharType="end"/>
      </w:r>
    </w:p>
    <w:p w14:paraId="6161F1B9">
      <w:pPr>
        <w:pStyle w:val="14"/>
        <w:tabs>
          <w:tab w:val="right" w:leader="dot" w:pos="9026"/>
        </w:tabs>
      </w:pPr>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0</w:t>
      </w:r>
      <w:r>
        <w:rPr>
          <w:rFonts w:ascii="黑体" w:hAnsi="黑体"/>
          <w:color w:val="000000" w:themeColor="text1"/>
          <w14:textFill>
            <w14:solidFill>
              <w14:schemeClr w14:val="tx1"/>
            </w14:solidFill>
          </w14:textFill>
        </w:rPr>
        <w:t>直面中国七大社会理论思潮</w:t>
      </w:r>
      <w:r>
        <w:tab/>
      </w:r>
      <w:r>
        <w:fldChar w:fldCharType="begin"/>
      </w:r>
      <w:r>
        <w:instrText xml:space="preserve"> PAGEREF _Toc1012543984 \h </w:instrText>
      </w:r>
      <w:r>
        <w:fldChar w:fldCharType="separate"/>
      </w:r>
      <w:r>
        <w:t>1435</w:t>
      </w:r>
      <w:r>
        <w:fldChar w:fldCharType="end"/>
      </w:r>
    </w:p>
    <w:p w14:paraId="153DEBC5">
      <w:pPr>
        <w:pStyle w:val="14"/>
        <w:tabs>
          <w:tab w:val="right" w:leader="dot" w:pos="9026"/>
        </w:tabs>
      </w:pPr>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1</w:t>
      </w:r>
      <w:r>
        <w:rPr>
          <w:rFonts w:hint="eastAsia" w:ascii="黑体" w:hAnsi="黑体"/>
          <w:color w:val="000000" w:themeColor="text1"/>
          <w14:textFill>
            <w14:solidFill>
              <w14:schemeClr w14:val="tx1"/>
            </w14:solidFill>
          </w14:textFill>
        </w:rPr>
        <w:t>政治经济学现代化的四个学术方向</w:t>
      </w:r>
      <w:r>
        <w:tab/>
      </w:r>
      <w:r>
        <w:fldChar w:fldCharType="begin"/>
      </w:r>
      <w:r>
        <w:instrText xml:space="preserve"> PAGEREF _Toc1166320260 \h </w:instrText>
      </w:r>
      <w:r>
        <w:fldChar w:fldCharType="separate"/>
      </w:r>
      <w:r>
        <w:t>1438</w:t>
      </w:r>
      <w:r>
        <w:fldChar w:fldCharType="end"/>
      </w:r>
    </w:p>
    <w:p w14:paraId="046FB56B">
      <w:pPr>
        <w:pStyle w:val="14"/>
        <w:tabs>
          <w:tab w:val="right" w:leader="dot" w:pos="9026"/>
        </w:tabs>
      </w:pPr>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2</w:t>
      </w:r>
      <w:r>
        <w:rPr>
          <w:rFonts w:ascii="黑体" w:hAnsi="黑体"/>
          <w:color w:val="000000" w:themeColor="text1"/>
          <w14:textFill>
            <w14:solidFill>
              <w14:schemeClr w14:val="tx1"/>
            </w14:solidFill>
          </w14:textFill>
        </w:rPr>
        <w:t>马克思主义区域化的典型</w:t>
      </w:r>
      <w:r>
        <w:tab/>
      </w:r>
      <w:r>
        <w:fldChar w:fldCharType="begin"/>
      </w:r>
      <w:r>
        <w:instrText xml:space="preserve"> PAGEREF _Toc113880004 \h </w:instrText>
      </w:r>
      <w:r>
        <w:fldChar w:fldCharType="separate"/>
      </w:r>
      <w:r>
        <w:t>1444</w:t>
      </w:r>
      <w:r>
        <w:fldChar w:fldCharType="end"/>
      </w:r>
    </w:p>
    <w:p w14:paraId="777CF710">
      <w:pPr>
        <w:pStyle w:val="14"/>
        <w:tabs>
          <w:tab w:val="right" w:leader="dot" w:pos="9026"/>
        </w:tabs>
      </w:pPr>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3</w:t>
      </w:r>
      <w:r>
        <w:rPr>
          <w:rFonts w:ascii="黑体" w:hAnsi="黑体"/>
          <w:color w:val="000000" w:themeColor="text1"/>
          <w14:textFill>
            <w14:solidFill>
              <w14:schemeClr w14:val="tx1"/>
            </w14:solidFill>
          </w14:textFill>
        </w:rPr>
        <w:t>中国模式若干基本问题初探</w:t>
      </w:r>
      <w:r>
        <w:tab/>
      </w:r>
      <w:r>
        <w:fldChar w:fldCharType="begin"/>
      </w:r>
      <w:r>
        <w:instrText xml:space="preserve"> PAGEREF _Toc573297751 \h </w:instrText>
      </w:r>
      <w:r>
        <w:fldChar w:fldCharType="separate"/>
      </w:r>
      <w:r>
        <w:t>1444</w:t>
      </w:r>
      <w:r>
        <w:fldChar w:fldCharType="end"/>
      </w:r>
    </w:p>
    <w:p w14:paraId="775C8850">
      <w:pPr>
        <w:pStyle w:val="14"/>
        <w:tabs>
          <w:tab w:val="right" w:leader="dot" w:pos="9026"/>
        </w:tabs>
      </w:pPr>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4</w:t>
      </w:r>
      <w:r>
        <w:rPr>
          <w:rFonts w:hint="eastAsia" w:ascii="黑体" w:hAnsi="黑体"/>
          <w:color w:val="000000" w:themeColor="text1"/>
          <w14:textFill>
            <w14:solidFill>
              <w14:schemeClr w14:val="tx1"/>
            </w14:solidFill>
          </w14:textFill>
        </w:rPr>
        <w:t>应对资本主义危机要超越新自由主义和凯恩斯主义</w:t>
      </w:r>
      <w:r>
        <w:tab/>
      </w:r>
      <w:r>
        <w:fldChar w:fldCharType="begin"/>
      </w:r>
      <w:r>
        <w:instrText xml:space="preserve"> PAGEREF _Toc1803660615 \h </w:instrText>
      </w:r>
      <w:r>
        <w:fldChar w:fldCharType="separate"/>
      </w:r>
      <w:r>
        <w:t>1451</w:t>
      </w:r>
      <w:r>
        <w:fldChar w:fldCharType="end"/>
      </w:r>
    </w:p>
    <w:p w14:paraId="04D84781">
      <w:pPr>
        <w:pStyle w:val="14"/>
        <w:tabs>
          <w:tab w:val="right" w:leader="dot" w:pos="9026"/>
        </w:tabs>
      </w:pPr>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5</w:t>
      </w:r>
      <w:r>
        <w:rPr>
          <w:rFonts w:ascii="黑体" w:hAnsi="黑体"/>
          <w:color w:val="000000" w:themeColor="text1"/>
          <w14:textFill>
            <w14:solidFill>
              <w14:schemeClr w14:val="tx1"/>
            </w14:solidFill>
          </w14:textFill>
        </w:rPr>
        <w:t>做强做优的新国企策论</w:t>
      </w:r>
      <w:r>
        <w:rPr>
          <w:rFonts w:hint="eastAsia" w:ascii="黑体" w:hAnsi="黑体"/>
          <w:color w:val="000000" w:themeColor="text1"/>
          <w14:textFill>
            <w14:solidFill>
              <w14:schemeClr w14:val="tx1"/>
            </w14:solidFill>
          </w14:textFill>
        </w:rPr>
        <w:t>——</w:t>
      </w:r>
      <w:r>
        <w:rPr>
          <w:rFonts w:cs="Calibri"/>
          <w:color w:val="000000" w:themeColor="text1"/>
          <w14:textFill>
            <w14:solidFill>
              <w14:schemeClr w14:val="tx1"/>
            </w14:solidFill>
          </w14:textFill>
        </w:rPr>
        <w:t>“2011</w:t>
      </w:r>
      <w:r>
        <w:rPr>
          <w:rFonts w:ascii="黑体" w:hAnsi="黑体"/>
          <w:color w:val="000000" w:themeColor="text1"/>
          <w14:textFill>
            <w14:solidFill>
              <w14:schemeClr w14:val="tx1"/>
            </w14:solidFill>
          </w14:textFill>
        </w:rPr>
        <w:t>中国国有经济发展论坛</w:t>
      </w:r>
      <w:r>
        <w:rPr>
          <w:rFonts w:cs="Calibri"/>
          <w:color w:val="000000" w:themeColor="text1"/>
          <w14:textFill>
            <w14:solidFill>
              <w14:schemeClr w14:val="tx1"/>
            </w14:solidFill>
          </w14:textFill>
        </w:rPr>
        <w:t>”</w:t>
      </w:r>
      <w:r>
        <w:tab/>
      </w:r>
      <w:r>
        <w:fldChar w:fldCharType="begin"/>
      </w:r>
      <w:r>
        <w:instrText xml:space="preserve"> PAGEREF _Toc244795253 \h </w:instrText>
      </w:r>
      <w:r>
        <w:fldChar w:fldCharType="separate"/>
      </w:r>
      <w:r>
        <w:t>1454</w:t>
      </w:r>
      <w:r>
        <w:fldChar w:fldCharType="end"/>
      </w:r>
    </w:p>
    <w:p w14:paraId="3A4A9011">
      <w:pPr>
        <w:pStyle w:val="14"/>
        <w:tabs>
          <w:tab w:val="right" w:leader="dot" w:pos="9026"/>
        </w:tabs>
      </w:pPr>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6</w:t>
      </w:r>
      <w:r>
        <w:rPr>
          <w:rFonts w:ascii="黑体" w:hAnsi="黑体"/>
          <w:color w:val="000000" w:themeColor="text1"/>
          <w14:textFill>
            <w14:solidFill>
              <w14:schemeClr w14:val="tx1"/>
            </w14:solidFill>
          </w14:textFill>
        </w:rPr>
        <w:t>西方马克思主义经济学家关于资本主义制度及其命运的研究</w:t>
      </w:r>
      <w:r>
        <w:tab/>
      </w:r>
      <w:r>
        <w:fldChar w:fldCharType="begin"/>
      </w:r>
      <w:r>
        <w:instrText xml:space="preserve"> PAGEREF _Toc1842633166 \h </w:instrText>
      </w:r>
      <w:r>
        <w:fldChar w:fldCharType="separate"/>
      </w:r>
      <w:r>
        <w:t>1458</w:t>
      </w:r>
      <w:r>
        <w:fldChar w:fldCharType="end"/>
      </w:r>
    </w:p>
    <w:p w14:paraId="73AEAF76">
      <w:pPr>
        <w:pStyle w:val="14"/>
        <w:tabs>
          <w:tab w:val="right" w:leader="dot" w:pos="9026"/>
        </w:tabs>
      </w:pPr>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7</w:t>
      </w:r>
      <w:r>
        <w:rPr>
          <w:rFonts w:hint="eastAsia" w:ascii="黑体" w:hAnsi="黑体"/>
          <w:color w:val="000000" w:themeColor="text1"/>
          <w14:textFill>
            <w14:solidFill>
              <w14:schemeClr w14:val="tx1"/>
            </w14:solidFill>
          </w14:textFill>
        </w:rPr>
        <w:t>苏联剧变主要原因的系统分析</w:t>
      </w:r>
      <w:r>
        <w:tab/>
      </w:r>
      <w:r>
        <w:fldChar w:fldCharType="begin"/>
      </w:r>
      <w:r>
        <w:instrText xml:space="preserve"> PAGEREF _Toc273947575 \h </w:instrText>
      </w:r>
      <w:r>
        <w:fldChar w:fldCharType="separate"/>
      </w:r>
      <w:r>
        <w:t>1465</w:t>
      </w:r>
      <w:r>
        <w:fldChar w:fldCharType="end"/>
      </w:r>
    </w:p>
    <w:p w14:paraId="59F75E89">
      <w:pPr>
        <w:pStyle w:val="14"/>
        <w:tabs>
          <w:tab w:val="right" w:leader="dot" w:pos="9026"/>
        </w:tabs>
      </w:pPr>
      <w:r>
        <w:rPr>
          <w:rFonts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8</w:t>
      </w:r>
      <w:r>
        <w:rPr>
          <w:rFonts w:hint="eastAsia" w:ascii="黑体" w:hAnsi="黑体"/>
          <w:color w:val="000000" w:themeColor="text1"/>
          <w14:textFill>
            <w14:solidFill>
              <w14:schemeClr w14:val="tx1"/>
            </w14:solidFill>
          </w14:textFill>
        </w:rPr>
        <w:t>面对各种挑战，继续坚持和完善社会主义经济体制和机制</w:t>
      </w:r>
      <w:r>
        <w:tab/>
      </w:r>
      <w:r>
        <w:fldChar w:fldCharType="begin"/>
      </w:r>
      <w:r>
        <w:instrText xml:space="preserve"> PAGEREF _Toc31953857 \h </w:instrText>
      </w:r>
      <w:r>
        <w:fldChar w:fldCharType="separate"/>
      </w:r>
      <w:r>
        <w:t>1480</w:t>
      </w:r>
      <w:r>
        <w:fldChar w:fldCharType="end"/>
      </w:r>
    </w:p>
    <w:p w14:paraId="706653A5">
      <w:pPr>
        <w:pStyle w:val="14"/>
        <w:tabs>
          <w:tab w:val="right" w:leader="dot" w:pos="9026"/>
        </w:tabs>
      </w:pPr>
      <w:r>
        <w:rPr>
          <w:rFonts w:hint="eastAsia"/>
          <w:color w:val="000000" w:themeColor="text1"/>
          <w:lang w:val="en-US" w:eastAsia="zh-CN"/>
          <w14:textFill>
            <w14:solidFill>
              <w14:schemeClr w14:val="tx1"/>
            </w14:solidFill>
          </w14:textFill>
        </w:rPr>
        <w:t>19</w:t>
      </w:r>
      <w:r>
        <w:rPr>
          <w:rFonts w:hint="eastAsia" w:ascii="黑体" w:hAnsi="黑体"/>
          <w:color w:val="000000" w:themeColor="text1"/>
          <w:u w:val="none"/>
          <w14:textFill>
            <w14:solidFill>
              <w14:schemeClr w14:val="tx1"/>
            </w14:solidFill>
          </w14:textFill>
        </w:rPr>
        <w:t>城市以公租房为主的“新住房策论”</w:t>
      </w:r>
      <w:r>
        <w:tab/>
      </w:r>
      <w:r>
        <w:fldChar w:fldCharType="begin"/>
      </w:r>
      <w:r>
        <w:instrText xml:space="preserve"> PAGEREF _Toc177562849 \h </w:instrText>
      </w:r>
      <w:r>
        <w:fldChar w:fldCharType="separate"/>
      </w:r>
      <w:r>
        <w:t>1487</w:t>
      </w:r>
      <w:r>
        <w:fldChar w:fldCharType="end"/>
      </w:r>
    </w:p>
    <w:p w14:paraId="21342C4A">
      <w:pPr>
        <w:pStyle w:val="14"/>
        <w:tabs>
          <w:tab w:val="right" w:leader="dot" w:pos="9026"/>
        </w:tabs>
      </w:pPr>
      <w:r>
        <w:rPr>
          <w:rFonts w:ascii="黑体" w:hAnsi="黑体"/>
          <w:color w:val="000000" w:themeColor="text1"/>
          <w14:textFill>
            <w14:solidFill>
              <w14:schemeClr w14:val="tx1"/>
            </w14:solidFill>
          </w14:textFill>
        </w:rPr>
        <w:t>2</w:t>
      </w:r>
      <w:r>
        <w:rPr>
          <w:rFonts w:hint="eastAsia" w:ascii="黑体" w:hAnsi="黑体"/>
          <w:color w:val="000000" w:themeColor="text1"/>
          <w:lang w:val="en-US" w:eastAsia="zh-CN"/>
          <w14:textFill>
            <w14:solidFill>
              <w14:schemeClr w14:val="tx1"/>
            </w14:solidFill>
          </w14:textFill>
        </w:rPr>
        <w:t>0</w:t>
      </w:r>
      <w:r>
        <w:rPr>
          <w:rFonts w:ascii="黑体" w:hAnsi="黑体"/>
          <w:color w:val="000000" w:themeColor="text1"/>
          <w14:textFill>
            <w14:solidFill>
              <w14:schemeClr w14:val="tx1"/>
            </w14:solidFill>
          </w14:textFill>
        </w:rPr>
        <w:t>马列主义及其中国化理论的科学实践——谈重庆经验与模式</w:t>
      </w:r>
      <w:r>
        <w:tab/>
      </w:r>
      <w:r>
        <w:fldChar w:fldCharType="begin"/>
      </w:r>
      <w:r>
        <w:instrText xml:space="preserve"> PAGEREF _Toc1444017460 \h </w:instrText>
      </w:r>
      <w:r>
        <w:fldChar w:fldCharType="separate"/>
      </w:r>
      <w:r>
        <w:t>1497</w:t>
      </w:r>
      <w:r>
        <w:fldChar w:fldCharType="end"/>
      </w:r>
    </w:p>
    <w:p w14:paraId="0FC36997">
      <w:pPr>
        <w:pStyle w:val="14"/>
        <w:tabs>
          <w:tab w:val="right" w:leader="dot" w:pos="9026"/>
        </w:tabs>
      </w:pPr>
      <w:r>
        <w:rPr>
          <w:rFonts w:hint="eastAsia" w:ascii="Arial" w:hAnsi="Arial" w:eastAsia="黑体" w:cs="Times New Roman"/>
          <w:bCs/>
          <w:kern w:val="0"/>
          <w:szCs w:val="20"/>
          <w:lang w:val="en-US" w:eastAsia="zh-CN"/>
        </w:rPr>
        <w:t>21</w:t>
      </w:r>
      <w:r>
        <w:rPr>
          <w:rFonts w:hint="eastAsia" w:ascii="Arial" w:hAnsi="Arial" w:eastAsia="黑体" w:cs="Times New Roman"/>
          <w:bCs/>
          <w:kern w:val="0"/>
          <w:szCs w:val="20"/>
        </w:rPr>
        <w:t>从“占领华尔街”反思资本主义制度</w:t>
      </w:r>
      <w:r>
        <w:tab/>
      </w:r>
      <w:r>
        <w:fldChar w:fldCharType="begin"/>
      </w:r>
      <w:r>
        <w:instrText xml:space="preserve"> PAGEREF _Toc888755473 \h </w:instrText>
      </w:r>
      <w:r>
        <w:fldChar w:fldCharType="separate"/>
      </w:r>
      <w:r>
        <w:t>1506</w:t>
      </w:r>
      <w:r>
        <w:fldChar w:fldCharType="end"/>
      </w:r>
    </w:p>
    <w:p w14:paraId="1D6687FC">
      <w:pPr>
        <w:rPr>
          <w:rFonts w:hint="default"/>
          <w:lang w:val="en-US" w:eastAsia="zh-CN"/>
        </w:rPr>
        <w:sectPr>
          <w:footnotePr>
            <w:numFmt w:val="decimalEnclosedCircleChinese"/>
            <w:numRestart w:val="eachPage"/>
          </w:footnotePr>
          <w:pgSz w:w="11906" w:h="16838"/>
          <w:pgMar w:top="1440" w:right="1440" w:bottom="1440" w:left="1440" w:header="278" w:footer="0" w:gutter="0"/>
          <w:pgNumType w:fmt="decimal" w:start="1"/>
          <w:cols w:space="425" w:num="1"/>
        </w:sectPr>
      </w:pPr>
      <w:r>
        <w:rPr>
          <w:rFonts w:hint="default"/>
          <w:lang w:val="en-US" w:eastAsia="zh-CN"/>
        </w:rPr>
        <w:fldChar w:fldCharType="end"/>
      </w:r>
    </w:p>
    <w:p w14:paraId="0D3277A9">
      <w:pPr>
        <w:pStyle w:val="2"/>
        <w:rPr>
          <w:rFonts w:hint="default" w:ascii="Times New Roman" w:hAnsi="Times New Roman" w:cs="Times New Roman"/>
        </w:rPr>
      </w:pPr>
      <w:bookmarkStart w:id="0" w:name="_Toc93074517"/>
      <w:bookmarkStart w:id="1" w:name="_Toc7167"/>
      <w:bookmarkStart w:id="2" w:name="_Toc26114"/>
      <w:bookmarkStart w:id="3" w:name="_Toc23793"/>
      <w:bookmarkStart w:id="4" w:name="_Toc883047036"/>
      <w:bookmarkStart w:id="5" w:name="_Toc1751157601"/>
      <w:r>
        <w:rPr>
          <w:rFonts w:hint="default" w:ascii="Times New Roman" w:hAnsi="Times New Roman" w:cs="Times New Roman"/>
        </w:rPr>
        <w:t>2000年</w:t>
      </w:r>
      <w:bookmarkEnd w:id="0"/>
      <w:bookmarkEnd w:id="1"/>
      <w:bookmarkEnd w:id="2"/>
      <w:bookmarkEnd w:id="3"/>
      <w:bookmarkEnd w:id="4"/>
      <w:bookmarkEnd w:id="5"/>
    </w:p>
    <w:p w14:paraId="775092DD">
      <w:pPr>
        <w:ind w:firstLine="360"/>
        <w:jc w:val="center"/>
        <w:outlineLvl w:val="1"/>
        <w:rPr>
          <w:rFonts w:eastAsia="宋体" w:cs="Times New Roman"/>
          <w:b/>
          <w:color w:val="000000"/>
          <w:sz w:val="28"/>
          <w:szCs w:val="28"/>
        </w:rPr>
      </w:pPr>
      <w:bookmarkStart w:id="6" w:name="_Toc6012"/>
      <w:bookmarkStart w:id="7" w:name="_Toc112049635"/>
      <w:bookmarkStart w:id="8" w:name="_Toc442417872"/>
      <w:bookmarkStart w:id="9" w:name="_Toc78713268"/>
      <w:bookmarkStart w:id="10" w:name="_Toc257922023"/>
      <w:bookmarkStart w:id="11" w:name="_Toc329173722"/>
      <w:bookmarkStart w:id="12" w:name="_Toc93074518"/>
      <w:bookmarkStart w:id="13" w:name="_Toc17163"/>
      <w:bookmarkStart w:id="14" w:name="_Toc17879"/>
      <w:r>
        <w:rPr>
          <w:rFonts w:hint="eastAsia" w:ascii="Times New Roman" w:hAnsi="Times New Roman" w:eastAsia="黑体" w:cs="Times New Roman"/>
          <w:bCs/>
          <w:iCs/>
          <w:kern w:val="2"/>
          <w:sz w:val="30"/>
          <w:szCs w:val="28"/>
          <w:lang w:val="zh-TW" w:eastAsia="zh-TW" w:bidi="ar-SA"/>
        </w:rPr>
        <w:t>经济全球化：若干问题的马克思主义解析</w:t>
      </w:r>
      <w:bookmarkEnd w:id="6"/>
      <w:bookmarkEnd w:id="7"/>
      <w:bookmarkEnd w:id="8"/>
    </w:p>
    <w:p w14:paraId="6B104B9D">
      <w:pPr>
        <w:ind w:firstLine="360"/>
        <w:rPr>
          <w:rFonts w:eastAsia="宋体" w:cs="Times New Roman"/>
          <w:color w:val="000000"/>
          <w:sz w:val="21"/>
          <w:szCs w:val="24"/>
        </w:rPr>
      </w:pPr>
    </w:p>
    <w:p w14:paraId="743E0DC6">
      <w:pPr>
        <w:ind w:firstLine="360"/>
        <w:rPr>
          <w:rFonts w:eastAsia="宋体" w:cs="Times New Roman"/>
          <w:color w:val="000000"/>
          <w:sz w:val="21"/>
          <w:szCs w:val="24"/>
        </w:rPr>
      </w:pPr>
      <w:r>
        <w:rPr>
          <w:rFonts w:hint="eastAsia" w:eastAsia="宋体" w:cs="Times New Roman"/>
          <w:color w:val="000000"/>
          <w:sz w:val="21"/>
          <w:szCs w:val="24"/>
        </w:rPr>
        <w:t>随着苏联的解体和东欧的剧变，一度被认为是为社会主义提供理论依据的马克思列宁主义也受到种种质难。许多人想当然地以为，马克思主义也随之一去不复还了。法国的社会学家福柯在《事物的秩序》一书中就公开宣称，马克思主义存在于19世纪的思想中，就像鱼生存在水中一样。这就是说，在任何别的地方它都要窒息。</w:t>
      </w:r>
    </w:p>
    <w:p w14:paraId="6E6B2D44">
      <w:pPr>
        <w:ind w:firstLine="360"/>
        <w:rPr>
          <w:rFonts w:eastAsia="宋体" w:cs="Times New Roman"/>
          <w:color w:val="000000"/>
          <w:sz w:val="21"/>
          <w:szCs w:val="24"/>
        </w:rPr>
      </w:pPr>
      <w:r>
        <w:rPr>
          <w:rFonts w:hint="eastAsia" w:eastAsia="宋体" w:cs="Times New Roman"/>
          <w:color w:val="000000"/>
          <w:sz w:val="21"/>
          <w:szCs w:val="24"/>
        </w:rPr>
        <w:t>果真如此吗？事实上，马克思主义诞生于资本主义社会，它是对资本主义社会本质的深入分析。因此，只要资本主义存在，马克思主义就有它的生存意义。正如詹姆逊所指明的，“在我看来，最令人发笑的没有条理的表述就是，同时声称资本主义取得胜利和马克思主义已经终结。马克思主义最早对资本主义及其特性与矛盾进行了研究，如果说资本主义现在已经遍布世界，那么，毫无疑问，马克思主义比以往的意义更大”。[1]</w:t>
      </w:r>
    </w:p>
    <w:p w14:paraId="71DE7807">
      <w:pPr>
        <w:ind w:firstLine="360"/>
        <w:rPr>
          <w:rFonts w:eastAsia="宋体" w:cs="Times New Roman"/>
          <w:color w:val="000000"/>
          <w:sz w:val="21"/>
          <w:szCs w:val="24"/>
        </w:rPr>
      </w:pPr>
      <w:r>
        <w:rPr>
          <w:rFonts w:hint="eastAsia" w:eastAsia="宋体" w:cs="Times New Roman"/>
          <w:color w:val="000000"/>
          <w:sz w:val="21"/>
          <w:szCs w:val="24"/>
        </w:rPr>
        <w:t>从历史的角度看，马克思主义的主要意义在于一针见血地指出了资本主义社会固有的各种矛盾，就在于对资本主义的批判精神，“马克思主义论争的创造性就在于它提出新的问题的能力” [2]。由于马克思主义是对于资本主义的科学分析，“它具有描述资本主义历史起源的无限能力”[3]。</w:t>
      </w:r>
    </w:p>
    <w:p w14:paraId="0429D124">
      <w:pPr>
        <w:ind w:firstLine="360"/>
        <w:rPr>
          <w:rFonts w:eastAsia="宋体" w:cs="Times New Roman"/>
          <w:color w:val="000000"/>
          <w:sz w:val="21"/>
          <w:szCs w:val="24"/>
        </w:rPr>
      </w:pPr>
      <w:r>
        <w:rPr>
          <w:rFonts w:hint="eastAsia" w:eastAsia="宋体" w:cs="Times New Roman"/>
          <w:color w:val="000000"/>
          <w:sz w:val="21"/>
          <w:szCs w:val="24"/>
        </w:rPr>
        <w:t>同时，马克思主义在批评当时的资本主义的同时，还对资本主义的发展作了相当准确的预见。英国的政治学教授格雷说，“长期以来《共产党宣言》中似乎与时代最不合拍的东西，现在看起来显示了其预见性” [4]。特别是，“他写下了关于全球化、不平等、政治腐败、垄断化、技术进步、高雅化的衰落、现代生存的萎靡不振的性质等动人的段落，现代经济学家们又碰到了这些问题，他们有时并没有意识到自己在步马克思的后尘”。[5]</w:t>
      </w:r>
    </w:p>
    <w:p w14:paraId="054E5B1D">
      <w:pPr>
        <w:ind w:firstLine="360"/>
        <w:rPr>
          <w:rFonts w:eastAsia="宋体" w:cs="Times New Roman"/>
          <w:b/>
          <w:color w:val="000000"/>
          <w:sz w:val="21"/>
          <w:szCs w:val="24"/>
        </w:rPr>
      </w:pPr>
      <w:r>
        <w:rPr>
          <w:rFonts w:hint="eastAsia" w:eastAsia="宋体" w:cs="Times New Roman"/>
          <w:color w:val="000000"/>
          <w:sz w:val="21"/>
          <w:szCs w:val="24"/>
        </w:rPr>
        <w:t>当然由于马克思本人生活在资本主义发展的早期，经典的马克思主义也基本上成型于自由竞争的资本主义阶段，因而资本主义的某些问题还没有得到充分地展开。随着现代资本主义在全球的渗透和扩张，它事实上已经或者说正在达到一个新的阶段。马克思主义的强大的生命力就在于它的开放性，能随时吸收时代的新内容。因此，本文试图从马克思主义理论出发来解读经济全球化的若干问题和现象，并揭示当今全球化的某些新特点。</w:t>
      </w:r>
    </w:p>
    <w:p w14:paraId="322C3B61">
      <w:pPr>
        <w:ind w:firstLine="360"/>
        <w:rPr>
          <w:rFonts w:eastAsia="宋体" w:cs="Times New Roman"/>
          <w:color w:val="000000"/>
          <w:sz w:val="21"/>
          <w:szCs w:val="24"/>
        </w:rPr>
      </w:pPr>
      <w:r>
        <w:rPr>
          <w:rFonts w:hint="eastAsia" w:eastAsia="宋体" w:cs="Times New Roman"/>
          <w:b/>
          <w:color w:val="000000"/>
          <w:sz w:val="21"/>
          <w:szCs w:val="24"/>
        </w:rPr>
        <w:t>一、马克思对全球化发展的认识</w:t>
      </w:r>
    </w:p>
    <w:p w14:paraId="4D208FD2">
      <w:pPr>
        <w:ind w:firstLine="360"/>
        <w:rPr>
          <w:rFonts w:eastAsia="宋体" w:cs="Times New Roman"/>
          <w:color w:val="000000"/>
          <w:sz w:val="21"/>
          <w:szCs w:val="24"/>
        </w:rPr>
      </w:pPr>
      <w:r>
        <w:rPr>
          <w:rFonts w:hint="eastAsia" w:eastAsia="宋体" w:cs="Times New Roman"/>
          <w:color w:val="000000"/>
          <w:sz w:val="21"/>
          <w:szCs w:val="24"/>
        </w:rPr>
        <w:t>虽然关于全球化的讨论是近年特别是20世纪80年代才突然增多的，但全球化的趋势不是现在才有的现象。全球化是一个历史的范畴，不是从来就有的，而是随着工业革命和世界市场的出现而出现的。一般认为全球化从巧世纪的地理大发现起，已经历了若干发展阶段，而作为伟大的历史学家和现实分析家，马克思当然不会不关注全球化这一问题。</w:t>
      </w:r>
    </w:p>
    <w:p w14:paraId="04A3BBBD">
      <w:pPr>
        <w:ind w:firstLine="360"/>
        <w:rPr>
          <w:rFonts w:eastAsia="宋体" w:cs="Times New Roman"/>
          <w:color w:val="000000"/>
          <w:sz w:val="21"/>
          <w:szCs w:val="24"/>
        </w:rPr>
      </w:pPr>
      <w:r>
        <w:rPr>
          <w:rFonts w:hint="eastAsia" w:eastAsia="宋体" w:cs="Times New Roman"/>
          <w:color w:val="000000"/>
          <w:sz w:val="21"/>
          <w:szCs w:val="24"/>
        </w:rPr>
        <w:t>首先，马克思清晰地把握了当时全球化的特点并对它的发展趋势作了前瞻性的预测。他看到发生在其周围的现象不同于以往任何时期，指出“资产阶级在它不到一百年的统治中所创造的生产力，比过去一切时代创造的全部生产力还要多、还要大”[6]。“它创造了完全不同于埃及金字塔、罗马水道和十字军征讨的远征”[7]。长期以来，其结果就将是“各民族的精神产品成了公用财产”，“民族的片面性和局限性日益成为不可能，于是由许多民族和地方的文学形成了一种世界的文学”[8]。</w:t>
      </w:r>
    </w:p>
    <w:p w14:paraId="7F918149">
      <w:pPr>
        <w:ind w:firstLine="360"/>
        <w:rPr>
          <w:rFonts w:eastAsia="宋体" w:cs="Times New Roman"/>
          <w:color w:val="000000"/>
          <w:sz w:val="21"/>
          <w:szCs w:val="24"/>
        </w:rPr>
      </w:pPr>
      <w:r>
        <w:rPr>
          <w:rFonts w:hint="eastAsia" w:eastAsia="宋体" w:cs="Times New Roman"/>
          <w:color w:val="000000"/>
          <w:sz w:val="21"/>
          <w:szCs w:val="24"/>
        </w:rPr>
        <w:t>其次，马克思认识到当时的全球化发展的结果将是资本主义制度统治整个世界。他写到“资产阶级</w:t>
      </w:r>
      <w:r>
        <w:rPr>
          <w:rFonts w:eastAsia="宋体" w:cs="Times New Roman"/>
          <w:color w:val="000000"/>
          <w:sz w:val="21"/>
          <w:szCs w:val="24"/>
        </w:rPr>
        <w:t>，</w:t>
      </w:r>
      <w:r>
        <w:rPr>
          <w:rFonts w:hint="eastAsia" w:eastAsia="宋体" w:cs="Times New Roman"/>
          <w:color w:val="000000"/>
          <w:sz w:val="21"/>
          <w:szCs w:val="24"/>
        </w:rPr>
        <w:t>由于一切生产工具的迅速改进</w:t>
      </w:r>
      <w:r>
        <w:rPr>
          <w:rFonts w:eastAsia="宋体" w:cs="Times New Roman"/>
          <w:color w:val="000000"/>
          <w:sz w:val="21"/>
          <w:szCs w:val="24"/>
        </w:rPr>
        <w:t>，</w:t>
      </w:r>
      <w:r>
        <w:rPr>
          <w:rFonts w:hint="eastAsia" w:eastAsia="宋体" w:cs="Times New Roman"/>
          <w:color w:val="000000"/>
          <w:sz w:val="21"/>
          <w:szCs w:val="24"/>
        </w:rPr>
        <w:t>由于交通的极其便利</w:t>
      </w:r>
      <w:r>
        <w:rPr>
          <w:rFonts w:eastAsia="宋体" w:cs="Times New Roman"/>
          <w:color w:val="000000"/>
          <w:sz w:val="21"/>
          <w:szCs w:val="24"/>
        </w:rPr>
        <w:t>，</w:t>
      </w:r>
      <w:r>
        <w:rPr>
          <w:rFonts w:ascii="Cambria Math" w:hAnsi="Cambria Math" w:eastAsia="宋体" w:cs="Cambria Math"/>
          <w:color w:val="000000"/>
          <w:sz w:val="21"/>
          <w:szCs w:val="24"/>
        </w:rPr>
        <w:t>⋯⋯</w:t>
      </w:r>
      <w:r>
        <w:rPr>
          <w:rFonts w:hint="eastAsia" w:eastAsia="宋体" w:cs="Times New Roman"/>
          <w:color w:val="000000"/>
          <w:sz w:val="21"/>
          <w:szCs w:val="24"/>
        </w:rPr>
        <w:t>它的商品的低廉价格</w:t>
      </w:r>
      <w:r>
        <w:rPr>
          <w:rFonts w:eastAsia="宋体" w:cs="Times New Roman"/>
          <w:color w:val="000000"/>
          <w:sz w:val="21"/>
          <w:szCs w:val="24"/>
        </w:rPr>
        <w:t>，</w:t>
      </w:r>
      <w:r>
        <w:rPr>
          <w:rFonts w:hint="eastAsia" w:eastAsia="宋体" w:cs="Times New Roman"/>
          <w:color w:val="000000"/>
          <w:sz w:val="21"/>
          <w:szCs w:val="24"/>
        </w:rPr>
        <w:t>是它用来摧毁一切万里长城</w:t>
      </w:r>
      <w:r>
        <w:rPr>
          <w:rFonts w:ascii="Cambria Math" w:hAnsi="Cambria Math" w:eastAsia="宋体" w:cs="Cambria Math"/>
          <w:color w:val="000000"/>
          <w:sz w:val="21"/>
          <w:szCs w:val="24"/>
        </w:rPr>
        <w:t>⋯⋯</w:t>
      </w:r>
      <w:r>
        <w:rPr>
          <w:rFonts w:hint="eastAsia" w:eastAsia="宋体" w:cs="Times New Roman"/>
          <w:color w:val="000000"/>
          <w:sz w:val="21"/>
          <w:szCs w:val="24"/>
        </w:rPr>
        <w:t>它迫使一切民族—如果它们不想灭亡的话—采用资产阶级的生活方式</w:t>
      </w:r>
      <w:r>
        <w:rPr>
          <w:rFonts w:eastAsia="宋体" w:cs="Times New Roman"/>
          <w:color w:val="000000"/>
          <w:sz w:val="21"/>
          <w:szCs w:val="24"/>
        </w:rPr>
        <w:t>，</w:t>
      </w:r>
      <w:r>
        <w:rPr>
          <w:rFonts w:ascii="Cambria Math" w:hAnsi="Cambria Math" w:eastAsia="宋体" w:cs="Cambria Math"/>
          <w:color w:val="000000"/>
          <w:sz w:val="21"/>
          <w:szCs w:val="24"/>
        </w:rPr>
        <w:t>⋯⋯</w:t>
      </w:r>
      <w:r>
        <w:rPr>
          <w:rFonts w:hint="eastAsia" w:eastAsia="宋体" w:cs="Times New Roman"/>
          <w:color w:val="000000"/>
          <w:sz w:val="21"/>
          <w:szCs w:val="24"/>
        </w:rPr>
        <w:t>它按照自己的面貌为自己创造出一个世界”[9]。日本的著名马克思主义经济学家伊藤诚认为，这一论述可以原封不动地适用于现代资本主义的全球化经营的作用[10]。事实上，当前的全球化与《共产党宣言》的时代相比，只是在内容上加进一些新的进展。这是因为，企业的世界活动性不仅在产品市场、原料和资源的购买活动方面，而且进一步扩展到投资、金融和合作关系等方面，尤其使在信息技术的冲击下得到飞速的发展。</w:t>
      </w:r>
    </w:p>
    <w:p w14:paraId="05A18C26">
      <w:pPr>
        <w:ind w:firstLine="360"/>
        <w:rPr>
          <w:rFonts w:eastAsia="宋体" w:cs="Times New Roman"/>
          <w:color w:val="000000"/>
          <w:sz w:val="21"/>
          <w:szCs w:val="24"/>
        </w:rPr>
      </w:pPr>
      <w:r>
        <w:rPr>
          <w:rFonts w:hint="eastAsia" w:eastAsia="宋体" w:cs="Times New Roman"/>
          <w:color w:val="000000"/>
          <w:sz w:val="21"/>
          <w:szCs w:val="24"/>
        </w:rPr>
        <w:t>马克思进一步认识到，“对外贸易的扩大，在资本主义生产方式的进展中，由于这种生产方式的内在的必然性，由于这种生产方式对不断扩大的市场的需要，它已经变成这种生产方式本身的产物”[11]。由此我们来理解目前全球化，它就是最有竞争力的某些强国在国际事务上的垄断，它们力图将它们自身的生产方式逐渐扩展到所有的国家。美国的历史学家德鲁克也承认，对全球化最热情的宣传是来自旧的权力中心，尤其是美国[12]。英国著名的社会学大师吉登斯更明白无误地指出，“美国企图把它的宪法条款推及全球”[13]。</w:t>
      </w:r>
    </w:p>
    <w:p w14:paraId="69A89666">
      <w:pPr>
        <w:ind w:firstLine="360"/>
        <w:rPr>
          <w:rFonts w:eastAsia="宋体" w:cs="Times New Roman"/>
          <w:color w:val="000000"/>
          <w:sz w:val="21"/>
          <w:szCs w:val="24"/>
        </w:rPr>
      </w:pPr>
      <w:r>
        <w:rPr>
          <w:rFonts w:hint="eastAsia" w:eastAsia="宋体" w:cs="Times New Roman"/>
          <w:color w:val="000000"/>
          <w:sz w:val="21"/>
          <w:szCs w:val="24"/>
        </w:rPr>
        <w:t>再次，马克思主义认为全球化趋势首先源于经济上的必然性，从本质上说，它是资本的无限增殖和扩张本性的外在表现。如他写道，“资本主义生产过程的动机和目的，是资本尽可能多地自行增殖，也就是尽可能多地生产剩余价值[14]”。“利润是资本主义生产的推动力只有那种在生产上有利润可得并且实际会提供利润的东西才会被生产出来”[15]。因此，当前全球化的根本驱动力是资本积累的内在冲动。</w:t>
      </w:r>
    </w:p>
    <w:p w14:paraId="4CCC606D">
      <w:pPr>
        <w:ind w:firstLine="360"/>
        <w:rPr>
          <w:rFonts w:eastAsia="宋体" w:cs="Times New Roman"/>
          <w:color w:val="000000"/>
          <w:sz w:val="21"/>
          <w:szCs w:val="24"/>
        </w:rPr>
      </w:pPr>
      <w:r>
        <w:rPr>
          <w:rFonts w:hint="eastAsia" w:eastAsia="宋体" w:cs="Times New Roman"/>
          <w:color w:val="000000"/>
          <w:sz w:val="21"/>
          <w:szCs w:val="24"/>
        </w:rPr>
        <w:t>在资本主义社会，是经济上处于支配地位的大资产阶级主导了国内外的事务。因此，自然地就是“跨国公司的头面人物操纵了全球化的进程，并使之为他们的利益服务他们还成功地传达了一种谬误全球化不仅是不可避免的，而且已取得了巨大的成就”[16]。这正如美国的财政部长萨默斯一语道明的，“美国公司在每一个领域都确定了世界的标准”[17]，如软件方面的微软公司，快餐方面的麦当劳公司等。</w:t>
      </w:r>
    </w:p>
    <w:p w14:paraId="59A06C84">
      <w:pPr>
        <w:ind w:firstLine="360"/>
        <w:rPr>
          <w:rFonts w:eastAsia="宋体" w:cs="Times New Roman"/>
          <w:color w:val="000000"/>
          <w:sz w:val="21"/>
          <w:szCs w:val="24"/>
        </w:rPr>
      </w:pPr>
      <w:r>
        <w:rPr>
          <w:rFonts w:hint="eastAsia" w:eastAsia="宋体" w:cs="Times New Roman"/>
          <w:color w:val="000000"/>
          <w:sz w:val="21"/>
          <w:szCs w:val="24"/>
        </w:rPr>
        <w:t>其四，马克思不但分析了全球化趋势的实质，而且指出了将资本主义制度推行到全球所运用的手段。他在分析当时资本主义对外殖民的手段时写道“卫克斐尔德的殖民学说，那种在英国有个时候企图用立法手段来实行的殖民学说，力求在殖民地制造出工资雇佣劳动者来，他把这个叫做‘系统的殖民’”[18]。在殖民地“有一种激烈的要求，要求比较低廉和比较顺从的劳动，要求有一个不是向资本家提出而是从资本家手时接受条件的阶级。</w:t>
      </w:r>
      <w:r>
        <w:rPr>
          <w:rFonts w:ascii="Cambria Math" w:hAnsi="Cambria Math" w:eastAsia="宋体" w:cs="Cambria Math"/>
          <w:color w:val="000000"/>
          <w:sz w:val="21"/>
          <w:szCs w:val="24"/>
        </w:rPr>
        <w:t>⋯⋯</w:t>
      </w:r>
      <w:r>
        <w:rPr>
          <w:rFonts w:hint="eastAsia" w:eastAsia="宋体" w:cs="Times New Roman"/>
          <w:color w:val="000000"/>
          <w:sz w:val="21"/>
          <w:szCs w:val="24"/>
        </w:rPr>
        <w:t>在旧文明国中</w:t>
      </w:r>
      <w:r>
        <w:rPr>
          <w:rFonts w:eastAsia="宋体" w:cs="Times New Roman"/>
          <w:color w:val="000000"/>
          <w:sz w:val="21"/>
          <w:szCs w:val="24"/>
        </w:rPr>
        <w:t>，</w:t>
      </w:r>
      <w:r>
        <w:rPr>
          <w:rFonts w:hint="eastAsia" w:eastAsia="宋体" w:cs="Times New Roman"/>
          <w:color w:val="000000"/>
          <w:sz w:val="21"/>
          <w:szCs w:val="24"/>
        </w:rPr>
        <w:t>劳动者虽然是自由的，但按照自然规律，就是从属于资本家的在殖民地，这种从属必须用人为的手段去创造出来”。[19]在当前，发达国家则通过经济、政治和文化等各种软硬手段推行它的全球扩张，甚至不惜动用武力。事实上，当前世界上的大多数热点都是发达资本主义国家制造或推波助澜的。</w:t>
      </w:r>
    </w:p>
    <w:p w14:paraId="5B3681DB">
      <w:pPr>
        <w:ind w:firstLine="360"/>
        <w:rPr>
          <w:rFonts w:eastAsia="宋体" w:cs="Times New Roman"/>
          <w:b/>
          <w:color w:val="000000"/>
          <w:sz w:val="21"/>
          <w:szCs w:val="24"/>
        </w:rPr>
      </w:pPr>
      <w:r>
        <w:rPr>
          <w:rFonts w:hint="eastAsia" w:eastAsia="宋体" w:cs="Times New Roman"/>
          <w:color w:val="000000"/>
          <w:sz w:val="21"/>
          <w:szCs w:val="24"/>
        </w:rPr>
        <w:t>最后，须要指出的是，马克思所期望的最终全球化并不是资本主义的全球化，而是全球共产主义这种新的社会形态的出现。他认为，只有狭义地域性的个人被世界历史性的、真正普遍的个人所代替，“无产阶级只有作为世界历史性的存在，就像它的事业一共产主义一般只有在世界历史意义上才能存在”[20]。</w:t>
      </w:r>
    </w:p>
    <w:p w14:paraId="75041986">
      <w:pPr>
        <w:ind w:firstLine="360"/>
        <w:rPr>
          <w:rFonts w:eastAsia="宋体" w:cs="Times New Roman"/>
          <w:color w:val="000000"/>
          <w:sz w:val="21"/>
          <w:szCs w:val="24"/>
        </w:rPr>
      </w:pPr>
      <w:r>
        <w:rPr>
          <w:rFonts w:hint="eastAsia" w:eastAsia="宋体" w:cs="Times New Roman"/>
          <w:b/>
          <w:color w:val="000000"/>
          <w:sz w:val="21"/>
          <w:szCs w:val="24"/>
        </w:rPr>
        <w:t>二、失业、贫困和利润率的新变化</w:t>
      </w:r>
    </w:p>
    <w:p w14:paraId="49F382AC">
      <w:pPr>
        <w:ind w:firstLine="360"/>
        <w:rPr>
          <w:rFonts w:eastAsia="宋体" w:cs="Times New Roman"/>
          <w:color w:val="000000"/>
          <w:sz w:val="21"/>
          <w:szCs w:val="24"/>
        </w:rPr>
      </w:pPr>
      <w:r>
        <w:rPr>
          <w:rFonts w:hint="eastAsia" w:eastAsia="宋体" w:cs="Times New Roman"/>
          <w:color w:val="000000"/>
          <w:sz w:val="21"/>
          <w:szCs w:val="24"/>
        </w:rPr>
        <w:t>第一，关于全球化进程中失业的发展趋势。马克思认为，随着资本有机构成的提高，“一方面，在积累进行中形成的追加资本，和它的量相比而言，会吸引越来越少的劳动者。另一方面，那种周期按新的构成再生产出来的旧的资本，也会愈益把它以前使用的劳动者排挤出去”[21]。其结果就是失业的增加。</w:t>
      </w:r>
    </w:p>
    <w:p w14:paraId="17B7637B">
      <w:pPr>
        <w:ind w:firstLine="360"/>
        <w:rPr>
          <w:rFonts w:eastAsia="宋体" w:cs="Times New Roman"/>
          <w:color w:val="000000"/>
          <w:sz w:val="21"/>
          <w:szCs w:val="24"/>
        </w:rPr>
      </w:pPr>
      <w:r>
        <w:rPr>
          <w:rFonts w:hint="eastAsia" w:eastAsia="宋体" w:cs="Times New Roman"/>
          <w:color w:val="000000"/>
          <w:sz w:val="21"/>
          <w:szCs w:val="24"/>
        </w:rPr>
        <w:t>全球化趋势一开始就是资本力量自发作用的结果，而且反映了资本积累加速的趋势即资本有机构成提高的的必然产物。显然，全球化的发展已经或正在继续证实马克思这一论断。在1975年，美国制造业占国民生产总值的22%，而年则为23%，但在20年里，国民生产总值增长了2.5倍，而制造业中就业人数根本没有增长，相反，从1960年占劳动力总人数的25%下降到1990年的16%或17%。</w:t>
      </w:r>
    </w:p>
    <w:p w14:paraId="2D19ABAA">
      <w:pPr>
        <w:ind w:firstLine="360"/>
        <w:rPr>
          <w:rFonts w:eastAsia="宋体" w:cs="Times New Roman"/>
          <w:color w:val="000000"/>
          <w:sz w:val="21"/>
          <w:szCs w:val="24"/>
        </w:rPr>
      </w:pPr>
      <w:r>
        <w:rPr>
          <w:rFonts w:hint="eastAsia" w:eastAsia="宋体" w:cs="Times New Roman"/>
          <w:color w:val="000000"/>
          <w:sz w:val="21"/>
          <w:szCs w:val="24"/>
        </w:rPr>
        <w:t>马克思还认为，“劳动的生产力越是大，劳动者对他们的就业手段所加的压力就越大，他们的生活条件就越不安定，他们就越是没有把握可以为增加别人的财富，增殖资本的价值，而出卖本人的力量”[22]。不争的事实是，全球化的加速发展是劳动生产率进一步提高的结果。其结果，在德国，1996年有600万以上希望工作的人找不到工作。该国高级企业顾问罗兰德贝格尔预言，在未来十年内仅在工业中至少将有150万劳动岗位被继续消灭。根据奥地利官方机构消息，平均每年有万个工业劳动岗位被消灭，1997年的失业率为8%，是1994年的2倍[23]。其他发达国家也大致如此。</w:t>
      </w:r>
    </w:p>
    <w:p w14:paraId="3307BBE6">
      <w:pPr>
        <w:ind w:firstLine="360"/>
        <w:rPr>
          <w:rFonts w:eastAsia="宋体" w:cs="Times New Roman"/>
          <w:color w:val="000000"/>
          <w:sz w:val="21"/>
          <w:szCs w:val="24"/>
        </w:rPr>
      </w:pPr>
      <w:r>
        <w:rPr>
          <w:rFonts w:hint="eastAsia" w:eastAsia="宋体" w:cs="Times New Roman"/>
          <w:color w:val="000000"/>
          <w:sz w:val="21"/>
          <w:szCs w:val="24"/>
        </w:rPr>
        <w:t>第二，关于全球化进程中贫困化的趋势。马克思阐明的资本主义积累规律，包含着一方面是资本积累，是资本家财富的积累，另一方面是无产阶级贫困的积累。马克思借孟德维尔的话问，“在所有权有充分保障的地方，没有货币还可以，没有贫民可就不容易活下去，因为还有谁去劳动呢[24]”。目前全球化的发展则印证了马克思有关两极分化的论断。如1978年，一个典型的在大公司工作的总经理获得的收入约为一个典型工人的60倍；在1995年，他的收入是后者的170倍。股东的收入也是如此，在1979年，公司部门收入的16%是利润和利息，今天这一数字是21%。可见，“在过去20年里最大的赢家显然是那些控制了生产资料的人—总经理和大股东”[25]。</w:t>
      </w:r>
    </w:p>
    <w:p w14:paraId="042F8A8A">
      <w:pPr>
        <w:ind w:firstLine="360"/>
        <w:rPr>
          <w:rFonts w:eastAsia="宋体" w:cs="Times New Roman"/>
          <w:color w:val="000000"/>
          <w:sz w:val="21"/>
          <w:szCs w:val="24"/>
        </w:rPr>
      </w:pPr>
      <w:r>
        <w:rPr>
          <w:rFonts w:hint="eastAsia" w:eastAsia="宋体" w:cs="Times New Roman"/>
          <w:color w:val="000000"/>
          <w:sz w:val="21"/>
          <w:szCs w:val="24"/>
        </w:rPr>
        <w:t>这是为什么呢一方面，经济全球化日益造成了强资本和弱劳工的局面。随着经济全球化的深入，资本跨国流动能力愈来愈强，在与国家的谈判关系中具有更强的讨价还价的能力。资本要挟能力的提高，迫使国家为了留住资本而降低关税，取消管制，改革福利制度，出台优惠政策，这在很大程度上是以牺牲劳工利益为代价的。据调查，德国股份公司的税收在全国税收收入中所占的份额由1960年的9.5%降到1998年的3.8%，而工资收入税所占的比例则由125上升到28%[26]。</w:t>
      </w:r>
    </w:p>
    <w:p w14:paraId="0525CCE1">
      <w:pPr>
        <w:ind w:firstLine="360"/>
        <w:rPr>
          <w:rFonts w:eastAsia="宋体" w:cs="Times New Roman"/>
          <w:color w:val="000000"/>
          <w:sz w:val="21"/>
          <w:szCs w:val="24"/>
        </w:rPr>
      </w:pPr>
      <w:r>
        <w:rPr>
          <w:rFonts w:hint="eastAsia" w:eastAsia="宋体" w:cs="Times New Roman"/>
          <w:color w:val="000000"/>
          <w:sz w:val="21"/>
          <w:szCs w:val="24"/>
        </w:rPr>
        <w:t>同时，相对于资本实力的增强，劳工作为一种集体力量出现了分散化的迹象，难以组织起来与强大的资本抗衡。同时，劳工抗衡资本的能力在某种程度上也受到移民和发展中国家成本低廉的劳动力的影响。其结果导致发达国家内部贫富差距的拉大。如1980-1996年间，美国最富裕的5%的家庭在家庭总收入中所占的比例从15.3%上升到20.3%而最贫困的60%的家庭在家庭总收入中所占的比例则从34.2%下降到30%[27]。</w:t>
      </w:r>
    </w:p>
    <w:p w14:paraId="5E67C141">
      <w:pPr>
        <w:ind w:firstLine="360"/>
        <w:rPr>
          <w:rFonts w:eastAsia="宋体" w:cs="Times New Roman"/>
          <w:color w:val="000000"/>
          <w:sz w:val="21"/>
          <w:szCs w:val="24"/>
        </w:rPr>
      </w:pPr>
      <w:r>
        <w:rPr>
          <w:rFonts w:hint="eastAsia" w:eastAsia="宋体" w:cs="Times New Roman"/>
          <w:color w:val="000000"/>
          <w:sz w:val="21"/>
          <w:szCs w:val="24"/>
        </w:rPr>
        <w:t>马克思在《资本论》中引用当时的调查资料揭示到，“生产效率较大的民族的劳动，就会在世界上算作强度较大的劳动”[28]，但在当今全球化时代，雇佣工人的收入并没有随劳动强度的提高而相应增加，资本主义社会国内的剥削正日趋加重。例如，“尽管1973-1995年美国的生产率增长了，但社会中层人们的实际平均工资率在最近几年还是很低，收入的不平衡上升到70年前的水平”[29]，反库茨涅兹“倒U型分配曲线”规律的现象已经初现端倪了。“缩减的中产阶级’旧渐成为学术界讨论的热门话题”[30]。其他发达国家也有类似的状况，“甚至在整个工业国家，出现了新的阶级_‘有工作的贫民’，即有工作、但工资几乎与第三世界相差无”[31]。</w:t>
      </w:r>
    </w:p>
    <w:p w14:paraId="69620E37">
      <w:pPr>
        <w:ind w:firstLine="360"/>
        <w:rPr>
          <w:rFonts w:eastAsia="宋体" w:cs="Times New Roman"/>
          <w:color w:val="000000"/>
          <w:sz w:val="21"/>
          <w:szCs w:val="24"/>
        </w:rPr>
      </w:pPr>
      <w:r>
        <w:rPr>
          <w:rFonts w:hint="eastAsia" w:eastAsia="宋体" w:cs="Times New Roman"/>
          <w:color w:val="000000"/>
          <w:sz w:val="21"/>
          <w:szCs w:val="24"/>
        </w:rPr>
        <w:t>第三，关于全球化中利润率的变化。当前，发达国家的一个主要目标就是将全世界纳入自由贸易体系之中，以便在交换中获取超额利润近日，美国主动要求俄罗斯加入世贸组织。同时，西方强国采取种种手段来迫使发展中国家全面开放其投资领域，进而大力扩大对外直接投资，因为在殖民地那里，“劳动的剥削本来也较高”，“那些投在殖民地等处的资本，它们能提供较高的利润率”[32]。</w:t>
      </w:r>
    </w:p>
    <w:p w14:paraId="1B5A797A">
      <w:pPr>
        <w:ind w:firstLine="360"/>
        <w:rPr>
          <w:rFonts w:eastAsia="宋体" w:cs="Times New Roman"/>
          <w:b/>
          <w:color w:val="000000"/>
          <w:sz w:val="21"/>
          <w:szCs w:val="24"/>
        </w:rPr>
      </w:pPr>
      <w:r>
        <w:rPr>
          <w:rFonts w:hint="eastAsia" w:eastAsia="宋体" w:cs="Times New Roman"/>
          <w:color w:val="000000"/>
          <w:sz w:val="21"/>
          <w:szCs w:val="24"/>
        </w:rPr>
        <w:t>美国的公司在90年代以来势力大增。美国公司之所以能如此显赫，显然是与它从全球化中的得利分不开的，其在海外的收益要远高于国内的收益。据美国商务部的报告，1989-1991年间，美国工业在亚洲投资的平均收益率为23%，高于它们在24个发达工业国家平均收益率12%的一倍[33]。可以说，“经济全球化”是支撑自90年代以来美国历史上少有的经济持续稳定增长的最重要的因素之一[34]。联合国秘书长安南甚至感概道，“全球化这个词不是被看成是客观实际的描述，而是一种掠夺性的资本主义意识形态”[35]。</w:t>
      </w:r>
    </w:p>
    <w:p w14:paraId="53CA85FC">
      <w:pPr>
        <w:ind w:firstLine="360"/>
        <w:rPr>
          <w:rFonts w:eastAsia="宋体" w:cs="Times New Roman"/>
          <w:color w:val="000000"/>
          <w:sz w:val="21"/>
          <w:szCs w:val="24"/>
        </w:rPr>
      </w:pPr>
      <w:r>
        <w:rPr>
          <w:rFonts w:hint="eastAsia" w:eastAsia="宋体" w:cs="Times New Roman"/>
          <w:b/>
          <w:color w:val="000000"/>
          <w:sz w:val="21"/>
          <w:szCs w:val="24"/>
        </w:rPr>
        <w:t>三、全球范围内的阶级关系变动特点</w:t>
      </w:r>
    </w:p>
    <w:p w14:paraId="0DC7DE73">
      <w:pPr>
        <w:ind w:firstLine="360"/>
        <w:rPr>
          <w:rFonts w:eastAsia="宋体" w:cs="Times New Roman"/>
          <w:color w:val="000000"/>
          <w:sz w:val="21"/>
          <w:szCs w:val="24"/>
        </w:rPr>
      </w:pPr>
      <w:r>
        <w:rPr>
          <w:rFonts w:hint="eastAsia" w:eastAsia="宋体" w:cs="Times New Roman"/>
          <w:color w:val="000000"/>
          <w:sz w:val="21"/>
          <w:szCs w:val="24"/>
        </w:rPr>
        <w:t>马克思对资本主义经济最基本的分析就是阶级分析，认为在资本主义社会，由于经济地位的不同，阶级分化是必然的。我们把马克思的阶级分析方法引入到蔓延全球的资本主义制度中，分析当今的全球化，可以看到这样三个新的特点和趋势。</w:t>
      </w:r>
    </w:p>
    <w:p w14:paraId="0DEB0A75">
      <w:pPr>
        <w:ind w:firstLine="360"/>
        <w:rPr>
          <w:rFonts w:eastAsia="宋体" w:cs="Times New Roman"/>
          <w:color w:val="000000"/>
          <w:sz w:val="21"/>
          <w:szCs w:val="24"/>
        </w:rPr>
      </w:pPr>
      <w:r>
        <w:rPr>
          <w:rFonts w:hint="eastAsia" w:eastAsia="宋体" w:cs="Times New Roman"/>
          <w:color w:val="000000"/>
          <w:sz w:val="21"/>
          <w:szCs w:val="24"/>
        </w:rPr>
        <w:t>其一，当代全球化形成了“跨国资产阶级”。随着国际资本优势地位的逐步确立，资本的大规模跨国流动，使“跨国资产阶级”成为普遍现象。这一阶级服务于国际资本，为资本的全球化运作提供便利，并且使资本主义的文化和意识形态普遍化。可见，资产阶级日益突破了一国的局限，作为一个全球范围的概念而不断得到加强。</w:t>
      </w:r>
    </w:p>
    <w:p w14:paraId="003DDEA0">
      <w:pPr>
        <w:ind w:firstLine="360"/>
        <w:rPr>
          <w:rFonts w:eastAsia="宋体" w:cs="Times New Roman"/>
          <w:color w:val="000000"/>
          <w:sz w:val="21"/>
          <w:szCs w:val="24"/>
        </w:rPr>
      </w:pPr>
      <w:r>
        <w:rPr>
          <w:rFonts w:hint="eastAsia" w:eastAsia="宋体" w:cs="Times New Roman"/>
          <w:color w:val="000000"/>
          <w:sz w:val="21"/>
          <w:szCs w:val="24"/>
        </w:rPr>
        <w:t>其二，当代全球化拉大了世界两极分化。一方面，发达国家在全球化中绝对地获大利。正如马丁和舒曼说的，“由于全球化所释放的力量，它不久就会有全新的解释世界上五分之一的最富有国家决定着全世界84.7%的社会总生产，他们的公民所从事的贸易额占世界贸易总额的84.2%，占有世界各国国内储蓄额的85.5%。</w:t>
      </w:r>
    </w:p>
    <w:p w14:paraId="6426F638">
      <w:pPr>
        <w:ind w:firstLine="360"/>
        <w:rPr>
          <w:rFonts w:eastAsia="宋体" w:cs="Times New Roman"/>
          <w:color w:val="000000"/>
          <w:sz w:val="21"/>
          <w:szCs w:val="24"/>
        </w:rPr>
      </w:pPr>
      <w:r>
        <w:rPr>
          <w:rFonts w:hint="eastAsia" w:eastAsia="宋体" w:cs="Times New Roman"/>
          <w:color w:val="000000"/>
          <w:sz w:val="21"/>
          <w:szCs w:val="24"/>
        </w:rPr>
        <w:t>另一方面，则是发展中国家相对地甚至绝对地变差。一是，与发达国家的人均收入差距加速扩大。据统计，1960年全世界20%的最富有国家人均国民生产总值是占人口同样比例的最贫穷国家的30倍，30年之后即1990年，这一差距已经扩大到60倍，而1996年则进一步扩大为78倍。[37]二是，大量的发展中国家的绝对收入在下降。如在过去15年，100多个发展中国家人均收入减少了[38]，60多个国家的人均消费以每年约1%的速度递减；1998年世界贫困人口又增加了4亿，共达17亿。</w:t>
      </w:r>
    </w:p>
    <w:p w14:paraId="36837214">
      <w:pPr>
        <w:ind w:firstLine="360"/>
        <w:rPr>
          <w:rFonts w:eastAsia="宋体" w:cs="Times New Roman"/>
          <w:color w:val="000000"/>
          <w:sz w:val="21"/>
          <w:szCs w:val="24"/>
        </w:rPr>
      </w:pPr>
      <w:r>
        <w:rPr>
          <w:rFonts w:hint="eastAsia" w:eastAsia="宋体" w:cs="Times New Roman"/>
          <w:color w:val="000000"/>
          <w:sz w:val="21"/>
          <w:szCs w:val="24"/>
        </w:rPr>
        <w:t>其结果，就是在全球范围内重新形成“中心一边缘”的世界格局，世界财富向中心转移，发达国家的居民越来越富，而发展中国家相对越来越穷。作为全球化的经济体制，以发达国家大企业为中心的财富的积累和第三世界各国庞大的贫困积累，作为世界规模上的两极分化和无产阶级贫困化的理论，再现了马克思主义两极分化论的正确性。</w:t>
      </w:r>
    </w:p>
    <w:p w14:paraId="5C81841B">
      <w:pPr>
        <w:ind w:firstLine="360"/>
        <w:rPr>
          <w:rFonts w:eastAsia="宋体" w:cs="Times New Roman"/>
          <w:color w:val="000000"/>
          <w:sz w:val="21"/>
          <w:szCs w:val="24"/>
        </w:rPr>
      </w:pPr>
      <w:r>
        <w:rPr>
          <w:rFonts w:hint="eastAsia" w:eastAsia="宋体" w:cs="Times New Roman"/>
          <w:color w:val="000000"/>
          <w:sz w:val="21"/>
          <w:szCs w:val="24"/>
        </w:rPr>
        <w:t>其三，当代全球化强化了阶级或阶层之间的差距。现阶段，创造财富的资源已经发生了很大的变化，知识成为最主要的生产资源。经济的全球化可以改变劳动的国际分工状况。美国的劳动部长罗伯特里奇认为，全球化时代劳动分为三种“符号分析者”、常规产业工人和普通服务工人。他认为，不论对国家经济来说，还是对劳动的国际分工来说，权力都是建立在运用“符号分析”功能的基础上，而这种功能对现今资本主义来说至关重要。那些运用自己头脑进行工作的人即“符号分析者”构成本国和全球经济的支配阶级或阶层，而那些运用自己的体力从事劳动的人就成为社会的下层阶级。</w:t>
      </w:r>
    </w:p>
    <w:p w14:paraId="05B8A1B2">
      <w:pPr>
        <w:ind w:firstLine="360"/>
        <w:rPr>
          <w:rFonts w:eastAsia="宋体" w:cs="Times New Roman"/>
          <w:color w:val="000000"/>
          <w:sz w:val="21"/>
          <w:szCs w:val="24"/>
        </w:rPr>
      </w:pPr>
      <w:r>
        <w:rPr>
          <w:rFonts w:hint="eastAsia" w:eastAsia="宋体" w:cs="Times New Roman"/>
          <w:color w:val="000000"/>
          <w:sz w:val="21"/>
          <w:szCs w:val="24"/>
        </w:rPr>
        <w:t>目前的趋势是，发达国家在“马太效应”的激励下越来越重视教育投资，从而日渐成为新的全球分工的优势占据者。如日本政府强调，一个国家拥有设计和销售产品的知识工作者，就能轻易地实现产品的低成本和高质量把发达国家花在创造蓝领工作岗位的钱用于推进该国的教育，从而确保年轻人学到足够的知识，以胜任知识工作或至少胜任高级服务工作，将会创造更多的经济价值。</w:t>
      </w:r>
    </w:p>
    <w:p w14:paraId="3B1D098F">
      <w:pPr>
        <w:ind w:firstLine="360"/>
        <w:rPr>
          <w:rFonts w:eastAsia="宋体" w:cs="Times New Roman"/>
          <w:color w:val="000000"/>
          <w:sz w:val="21"/>
          <w:szCs w:val="24"/>
        </w:rPr>
      </w:pPr>
      <w:r>
        <w:rPr>
          <w:rFonts w:hint="eastAsia" w:eastAsia="宋体" w:cs="Times New Roman"/>
          <w:color w:val="000000"/>
          <w:sz w:val="21"/>
          <w:szCs w:val="24"/>
        </w:rPr>
        <w:t>显然，发达国家意欲在世界范围内推行一种固定的分工发达国家主要是大资产阶级是世界的管理者和支配者，而发展中国家特别是边缘化国家的劳动阶级将成为最底层的被支配者和被剥削者。而这“脑国”与“躯国”的相对划分都依赖于脑力劳动和体力劳动之间的国际分工。</w:t>
      </w:r>
    </w:p>
    <w:p w14:paraId="227B85B3">
      <w:pPr>
        <w:ind w:firstLine="360"/>
        <w:rPr>
          <w:rFonts w:eastAsia="宋体" w:cs="Times New Roman"/>
          <w:color w:val="000000"/>
          <w:sz w:val="21"/>
          <w:szCs w:val="24"/>
        </w:rPr>
      </w:pPr>
      <w:r>
        <w:rPr>
          <w:rFonts w:hint="eastAsia" w:eastAsia="宋体" w:cs="Times New Roman"/>
          <w:color w:val="000000"/>
          <w:sz w:val="21"/>
          <w:szCs w:val="24"/>
        </w:rPr>
        <w:t>因此，如果发展中国家不清醒地认识到这一点，并采取积极有效的战略和策略，在未来的全球化世界，就很有可能强化这样的结果发达国家占据全球资产阶级的主导，而发展中国家成为全球劳动阶级的中下层。</w:t>
      </w:r>
    </w:p>
    <w:p w14:paraId="388712D6">
      <w:pPr>
        <w:ind w:firstLine="360"/>
        <w:rPr>
          <w:rFonts w:eastAsia="宋体" w:cs="Times New Roman"/>
          <w:color w:val="000000"/>
          <w:sz w:val="21"/>
          <w:szCs w:val="24"/>
        </w:rPr>
      </w:pPr>
      <w:r>
        <w:rPr>
          <w:rFonts w:hint="eastAsia" w:eastAsia="宋体" w:cs="Times New Roman"/>
          <w:b/>
          <w:color w:val="000000"/>
          <w:sz w:val="21"/>
          <w:szCs w:val="24"/>
        </w:rPr>
        <w:t>四、知识分工导致的新异化</w:t>
      </w:r>
    </w:p>
    <w:p w14:paraId="6F7780EE">
      <w:pPr>
        <w:ind w:firstLine="360"/>
        <w:rPr>
          <w:rFonts w:eastAsia="宋体" w:cs="Times New Roman"/>
          <w:color w:val="000000"/>
          <w:sz w:val="21"/>
          <w:szCs w:val="24"/>
        </w:rPr>
      </w:pPr>
      <w:r>
        <w:rPr>
          <w:rFonts w:hint="eastAsia" w:eastAsia="宋体" w:cs="Times New Roman"/>
          <w:color w:val="000000"/>
          <w:sz w:val="21"/>
          <w:szCs w:val="24"/>
        </w:rPr>
        <w:t>马克思对资本主义社会的另一前瞻性分析是提出了异化问题，并将异化视为资本主义文明弊端的化身。异化主要是通过其主要的化身—财产一破坏人性完整的社会弊端。马克思的异化是和剥削联系在一起的，剥削是指工人丧失他们所创造的部分财富，而异化是指工人在被剥削过程中丧失他们的自我[49]。</w:t>
      </w:r>
    </w:p>
    <w:p w14:paraId="74F7AEB0">
      <w:pPr>
        <w:ind w:firstLine="360"/>
        <w:rPr>
          <w:rFonts w:eastAsia="宋体" w:cs="Times New Roman"/>
          <w:color w:val="000000"/>
          <w:sz w:val="21"/>
          <w:szCs w:val="24"/>
        </w:rPr>
      </w:pPr>
      <w:r>
        <w:rPr>
          <w:rFonts w:hint="eastAsia" w:eastAsia="宋体" w:cs="Times New Roman"/>
          <w:color w:val="000000"/>
          <w:sz w:val="21"/>
          <w:szCs w:val="24"/>
        </w:rPr>
        <w:t>一方面，马克思把资本主义条件下工人的异化和非人道化归因于社会分化，更确切地说是资本主义生产方式下不断加剧的那种可怕的极端分工。马克思认为，资本主义制度下的现代工业以前所未有的“邪恶方式”，不断制造出现存的分工，把人变成机器的附属物。在资本主义的生产方式下，“工人降低为商品，而且降低为最贱的商品工人的贫困与它的产品的力量和数量成反比</w:t>
      </w:r>
      <w:r>
        <w:rPr>
          <w:rFonts w:ascii="Cambria Math" w:hAnsi="Cambria Math" w:eastAsia="宋体" w:cs="Cambria Math"/>
          <w:color w:val="000000"/>
          <w:sz w:val="21"/>
          <w:szCs w:val="24"/>
        </w:rPr>
        <w:t>⋯⋯</w:t>
      </w:r>
      <w:r>
        <w:rPr>
          <w:rFonts w:hint="eastAsia" w:eastAsia="宋体" w:cs="Times New Roman"/>
          <w:color w:val="000000"/>
          <w:sz w:val="21"/>
          <w:szCs w:val="24"/>
        </w:rPr>
        <w:t>工人创造的商品越多</w:t>
      </w:r>
      <w:r>
        <w:rPr>
          <w:rFonts w:eastAsia="宋体" w:cs="Times New Roman"/>
          <w:color w:val="000000"/>
          <w:sz w:val="21"/>
          <w:szCs w:val="24"/>
        </w:rPr>
        <w:t>，</w:t>
      </w:r>
      <w:r>
        <w:rPr>
          <w:rFonts w:hint="eastAsia" w:eastAsia="宋体" w:cs="Times New Roman"/>
          <w:color w:val="000000"/>
          <w:sz w:val="21"/>
          <w:szCs w:val="24"/>
        </w:rPr>
        <w:t>他就越变成廉价的商品。物的增值与人的世界贬值成正比</w:t>
      </w:r>
      <w:r>
        <w:rPr>
          <w:rFonts w:ascii="Cambria Math" w:hAnsi="Cambria Math" w:eastAsia="宋体" w:cs="Cambria Math"/>
          <w:color w:val="000000"/>
          <w:sz w:val="21"/>
          <w:szCs w:val="24"/>
        </w:rPr>
        <w:t>⋯⋯</w:t>
      </w:r>
      <w:r>
        <w:rPr>
          <w:rFonts w:hint="eastAsia" w:eastAsia="宋体" w:cs="Times New Roman"/>
          <w:color w:val="000000"/>
          <w:sz w:val="21"/>
          <w:szCs w:val="24"/>
        </w:rPr>
        <w:t>工人在他的产品中的外化</w:t>
      </w:r>
      <w:r>
        <w:rPr>
          <w:rFonts w:eastAsia="宋体" w:cs="Times New Roman"/>
          <w:color w:val="000000"/>
          <w:sz w:val="21"/>
          <w:szCs w:val="24"/>
        </w:rPr>
        <w:t>，</w:t>
      </w:r>
      <w:r>
        <w:rPr>
          <w:rFonts w:hint="eastAsia" w:eastAsia="宋体" w:cs="Times New Roman"/>
          <w:color w:val="000000"/>
          <w:sz w:val="21"/>
          <w:szCs w:val="24"/>
        </w:rPr>
        <w:t>不仅意味着他的劳动成为对象</w:t>
      </w:r>
      <w:r>
        <w:rPr>
          <w:rFonts w:eastAsia="宋体" w:cs="Times New Roman"/>
          <w:color w:val="000000"/>
          <w:sz w:val="21"/>
          <w:szCs w:val="24"/>
        </w:rPr>
        <w:t>，</w:t>
      </w:r>
      <w:r>
        <w:rPr>
          <w:rFonts w:hint="eastAsia" w:eastAsia="宋体" w:cs="Times New Roman"/>
          <w:color w:val="000000"/>
          <w:sz w:val="21"/>
          <w:szCs w:val="24"/>
        </w:rPr>
        <w:t>成为外部的存在</w:t>
      </w:r>
      <w:r>
        <w:rPr>
          <w:rFonts w:eastAsia="宋体" w:cs="Times New Roman"/>
          <w:color w:val="000000"/>
          <w:sz w:val="21"/>
          <w:szCs w:val="24"/>
        </w:rPr>
        <w:t>，</w:t>
      </w:r>
      <w:r>
        <w:rPr>
          <w:rFonts w:hint="eastAsia" w:eastAsia="宋体" w:cs="Times New Roman"/>
          <w:color w:val="000000"/>
          <w:sz w:val="21"/>
          <w:szCs w:val="24"/>
        </w:rPr>
        <w:t>而且意味着他的劳动作为一种与他相异的东西不依赖于他而在他之外存在，并成为同他对立的独立力量”[41]。</w:t>
      </w:r>
    </w:p>
    <w:p w14:paraId="3966164A">
      <w:pPr>
        <w:ind w:firstLine="360"/>
        <w:rPr>
          <w:rFonts w:eastAsia="宋体" w:cs="Times New Roman"/>
          <w:color w:val="000000"/>
          <w:sz w:val="21"/>
          <w:szCs w:val="24"/>
        </w:rPr>
      </w:pPr>
      <w:r>
        <w:rPr>
          <w:rFonts w:hint="eastAsia" w:eastAsia="宋体" w:cs="Times New Roman"/>
          <w:color w:val="000000"/>
          <w:sz w:val="21"/>
          <w:szCs w:val="24"/>
        </w:rPr>
        <w:t>另一方面，马克思认为全球化在一定意义上有助于异化问题的解决。这是因为，全球化在某种意义上说是一种巨大的历史进步，各个相互影响的活动范围在这个发展进程中越是扩大，各民族的原始封闭状态由于日益完善的生产方式、交往，以及因交往而自然形成的不同民族之间的分工消灭得越是彻底，历史也就越是成为世界历史。在马克思看来，全球化趋势的发展有助于实现人的全面发展和解放，每一个单个人的解放程度是与历史完全转变为世界历史的程度相一致的。</w:t>
      </w:r>
    </w:p>
    <w:p w14:paraId="02B7AB2E">
      <w:pPr>
        <w:ind w:firstLine="360"/>
        <w:rPr>
          <w:rFonts w:eastAsia="宋体" w:cs="Times New Roman"/>
          <w:color w:val="000000"/>
          <w:sz w:val="21"/>
          <w:szCs w:val="24"/>
        </w:rPr>
      </w:pPr>
      <w:r>
        <w:rPr>
          <w:rFonts w:hint="eastAsia" w:eastAsia="宋体" w:cs="Times New Roman"/>
          <w:color w:val="000000"/>
          <w:sz w:val="21"/>
          <w:szCs w:val="24"/>
        </w:rPr>
        <w:t>诚然，马克思所讲的全球化有助于实现人的全面发展和解放，是指普遍交往的扩大和全球化趋势的发展能为共产主义的实现创造前提条件否则，“单个人随着自己的活动扩大为世界历史性的活动，越来越受到对他们来说是异己的力量的支配，受到日益扩大的、归根到底表现为世界市场的力量的支配[42]。其结果只能是，全球化趋势作为一种盲目的、自发的和异化的力量而与作为主体的人相对立。</w:t>
      </w:r>
    </w:p>
    <w:p w14:paraId="79796088">
      <w:pPr>
        <w:ind w:firstLine="360"/>
        <w:rPr>
          <w:rFonts w:eastAsia="宋体" w:cs="Times New Roman"/>
          <w:color w:val="000000"/>
          <w:sz w:val="21"/>
          <w:szCs w:val="24"/>
        </w:rPr>
      </w:pPr>
      <w:r>
        <w:rPr>
          <w:rFonts w:hint="eastAsia" w:eastAsia="宋体" w:cs="Times New Roman"/>
          <w:color w:val="000000"/>
          <w:sz w:val="21"/>
          <w:szCs w:val="24"/>
        </w:rPr>
        <w:t>当前，在经济全球化进程中对人类异化程度产生重大影响的是知识分工。哈耶克说，如果斯密的劳动分工理论已经成为经济学的基石，那么，由劳动分工所引起的知识分工，实际上应作为经济学的中心问题。我们必须领悟到，知识分工的日益深化对异化也带来双重效应。</w:t>
      </w:r>
    </w:p>
    <w:p w14:paraId="0846E43D">
      <w:pPr>
        <w:ind w:firstLine="360"/>
        <w:rPr>
          <w:rFonts w:eastAsia="宋体" w:cs="Times New Roman"/>
          <w:color w:val="000000"/>
          <w:sz w:val="21"/>
          <w:szCs w:val="24"/>
        </w:rPr>
      </w:pPr>
      <w:r>
        <w:rPr>
          <w:rFonts w:hint="eastAsia" w:eastAsia="宋体" w:cs="Times New Roman"/>
          <w:color w:val="000000"/>
          <w:sz w:val="21"/>
          <w:szCs w:val="24"/>
        </w:rPr>
        <w:t>首先，知识分工加深了异化的程度。随着全球化引发的知识数量的大幅度增加，逐步形成了新的分工——知识的分工。它具有不同于以往的新的特点一方面分工能够加快知识积累的速度另一方面分工使得没有人能够知道全部的知识。即在人类的整体能力得到加强的同时，个人的相对能力却越来越弱，个人越来越离不开他人的帮助，因为个人知道的越来越多的同时也知道的越来越少。同时，人的追求越来越高，人的欲望也越来越多。在资本主义市场经济占支配地位的知识经济时代，社会和世界存在大量的风险和不确定性，人因此而产生焦虑和烦的感受。而过度忙、焦虑、烦在日本等国经常出现“劳累死”或自杀正是不自由的表征，是异化加深的表现。</w:t>
      </w:r>
    </w:p>
    <w:p w14:paraId="56A02B8A">
      <w:pPr>
        <w:ind w:firstLine="360"/>
        <w:rPr>
          <w:rFonts w:eastAsia="宋体" w:cs="Times New Roman"/>
          <w:color w:val="000000"/>
          <w:sz w:val="21"/>
          <w:szCs w:val="24"/>
        </w:rPr>
      </w:pPr>
      <w:r>
        <w:rPr>
          <w:rFonts w:hint="eastAsia" w:eastAsia="宋体" w:cs="Times New Roman"/>
          <w:color w:val="000000"/>
          <w:sz w:val="21"/>
          <w:szCs w:val="24"/>
        </w:rPr>
        <w:t>马克思明确指出了分工对自由的关系。他认为如果分工是自愿的，则是自由的，相反，如果是被迫的，则是不自由的。在当今经济、政治和文化的全球化浪潮猛烈冲击下，绝大多数发展中国家的居民是被迫卷入并服从于少数强国制定的国际规则的，因而它们的异化程度越来越深。其中一个重要表现就是，美国等强国利用知识和军事的优势，积极推行“后殖民主义”新政策，一些发展中国家却流行着“被殖民心态”和甘当强国孙子的“孙子战略”。著名哲学家雅塞也认为最好的选择与次好的选择之间的差距最好不要过大，否则是不自由的。可见，在全球化时代，享受较高教育和拥有大量财产的“资产阶级”在某种程度上可以减弱异化的趋势，因为可以有更多的选择机会，而相对地位越来越低下的“雇佣阶级”则加剧了异化的程度少数资本主义强国凭借不合理的知识分工的国际秩序，具有更多的选择自由，而大多数发展中国家则被迫接受旧秩序的分工，从而自由选择性较小，异化现象十分严重。</w:t>
      </w:r>
    </w:p>
    <w:p w14:paraId="79FD3B62">
      <w:pPr>
        <w:ind w:firstLine="360"/>
        <w:rPr>
          <w:rFonts w:eastAsia="宋体" w:cs="Times New Roman"/>
          <w:color w:val="000000"/>
          <w:sz w:val="21"/>
          <w:szCs w:val="24"/>
        </w:rPr>
      </w:pPr>
      <w:r>
        <w:rPr>
          <w:rFonts w:hint="eastAsia" w:eastAsia="宋体" w:cs="Times New Roman"/>
          <w:color w:val="000000"/>
          <w:sz w:val="21"/>
          <w:szCs w:val="24"/>
        </w:rPr>
        <w:t>其次，从另一方面看，知识分工也有弱化异化的可能。著名的哲学家伯林将自由分为消极的自由和积极的自由。消极的自由是指在什么样的限度以内，某一主体可以或应当被容许做他所能做的事，或成为他所能成为的角色，而不受到别人的干涉。积极的自由是指什么人有权控制或干涉，从而决定某人应该去做这件事、成为这种人，而不应该去做另一件事、成为另一种人。在知识越来越重要的全球化时代，信息可能越来越分散，这样，个人自由创新的权利可能愈益受到重视。而积极的自由本就是少数特权人士所独享的，是建立在其他人自由损失的基础之上的。消极的自由是基于道德秩序的遵守，这是社会合理道德发展的基础。在社会和国际秩序较为合理的知识经济时代，一方面，原本不合理的积极的自由可能相对减少，另一方面，消极的自由可能大量增加。如果我们应用“卡尔多补偿原则”，就会发现整个社会的自由程度可能增加。个人因拥有日渐增多的知识和信息而更有能力摆脱外来压力，去自由地行事，这就是自由度增加的表现。</w:t>
      </w:r>
    </w:p>
    <w:p w14:paraId="45EEA1E2">
      <w:pPr>
        <w:ind w:firstLine="360"/>
        <w:rPr>
          <w:rFonts w:eastAsia="宋体" w:cs="Times New Roman"/>
          <w:color w:val="000000"/>
          <w:sz w:val="21"/>
          <w:szCs w:val="24"/>
        </w:rPr>
      </w:pPr>
      <w:r>
        <w:rPr>
          <w:rFonts w:hint="eastAsia" w:eastAsia="宋体" w:cs="Times New Roman"/>
          <w:color w:val="000000"/>
          <w:sz w:val="21"/>
          <w:szCs w:val="24"/>
        </w:rPr>
        <w:t>其实，人的自由不仅是基于个体的能力，更重要的在于集体的能力。别尔嘉也夫说，人是社会的人，人要获得自由，就得与人合作，为他人着想，摆脱自我中心主义意识。在全球化时代，劳动分工的协调性更高，社会的合作性更强，整个人类保护、征服和改造自然的能力更大，人类的自由度更高，则个人的自由相对也就高。</w:t>
      </w:r>
    </w:p>
    <w:p w14:paraId="021420EC">
      <w:pPr>
        <w:ind w:firstLine="360"/>
        <w:rPr>
          <w:rFonts w:eastAsia="宋体" w:cs="Times New Roman"/>
          <w:color w:val="000000"/>
          <w:sz w:val="21"/>
          <w:szCs w:val="24"/>
        </w:rPr>
      </w:pPr>
      <w:r>
        <w:rPr>
          <w:rFonts w:hint="eastAsia" w:eastAsia="宋体" w:cs="Times New Roman"/>
          <w:color w:val="000000"/>
          <w:sz w:val="21"/>
          <w:szCs w:val="24"/>
        </w:rPr>
        <w:t>可见，全球化时代的知识分工将给异化问题带来新的内涵，并为我们的研究提出新的课题。</w:t>
      </w:r>
    </w:p>
    <w:p w14:paraId="5A83312F">
      <w:pPr>
        <w:ind w:firstLine="360"/>
        <w:rPr>
          <w:rFonts w:eastAsia="宋体" w:cs="Times New Roman"/>
          <w:color w:val="000000"/>
          <w:sz w:val="21"/>
          <w:szCs w:val="24"/>
        </w:rPr>
      </w:pPr>
      <w:r>
        <w:rPr>
          <w:rFonts w:hint="eastAsia" w:eastAsia="宋体" w:cs="Times New Roman"/>
          <w:color w:val="000000"/>
          <w:sz w:val="21"/>
          <w:szCs w:val="24"/>
        </w:rPr>
        <w:t>注释</w:t>
      </w:r>
    </w:p>
    <w:p w14:paraId="56E60E79">
      <w:pPr>
        <w:ind w:firstLine="360"/>
        <w:rPr>
          <w:rFonts w:eastAsia="宋体" w:cs="Times New Roman"/>
          <w:color w:val="000000"/>
          <w:sz w:val="21"/>
          <w:szCs w:val="24"/>
        </w:rPr>
      </w:pPr>
      <w:r>
        <w:rPr>
          <w:rFonts w:hint="eastAsia" w:eastAsia="宋体" w:cs="Times New Roman"/>
          <w:color w:val="000000"/>
          <w:sz w:val="21"/>
          <w:szCs w:val="24"/>
        </w:rPr>
        <w:t>1.阿里夫·德里克，《弹性时代的马克思主义》，载于俞可平、黄卫平主编，《全球化的悖论》，中央编译出版社，1998。</w:t>
      </w:r>
    </w:p>
    <w:p w14:paraId="24E47314">
      <w:pPr>
        <w:ind w:firstLine="360"/>
        <w:rPr>
          <w:rFonts w:eastAsia="宋体" w:cs="Times New Roman"/>
          <w:color w:val="000000"/>
          <w:sz w:val="21"/>
          <w:szCs w:val="24"/>
        </w:rPr>
      </w:pPr>
      <w:r>
        <w:rPr>
          <w:rFonts w:hint="eastAsia" w:eastAsia="宋体" w:cs="Times New Roman"/>
          <w:color w:val="000000"/>
          <w:sz w:val="21"/>
          <w:szCs w:val="24"/>
        </w:rPr>
        <w:t>2.3.弗里德里克·詹姆逊，《论现实存在的马克思主义》，载俞可平主编《全球化时代的“马克思主义”》，中央编译出版社1998。</w:t>
      </w:r>
    </w:p>
    <w:p w14:paraId="13EE8EEF">
      <w:pPr>
        <w:ind w:firstLine="360"/>
        <w:rPr>
          <w:rFonts w:eastAsia="宋体" w:cs="Times New Roman"/>
          <w:color w:val="000000"/>
          <w:sz w:val="21"/>
          <w:szCs w:val="24"/>
        </w:rPr>
      </w:pPr>
      <w:r>
        <w:rPr>
          <w:rFonts w:hint="eastAsia" w:eastAsia="宋体" w:cs="Times New Roman"/>
          <w:color w:val="000000"/>
          <w:sz w:val="21"/>
          <w:szCs w:val="24"/>
        </w:rPr>
        <w:t>4.5.约瀚·格雷，《徒有其名的胜利》，约翰·卡西迪《马克思的回归》，载俞可平主编《全球化时代的“马克思主义”》，中央编译出版社1998。</w:t>
      </w:r>
    </w:p>
    <w:p w14:paraId="54BAD0F8">
      <w:pPr>
        <w:ind w:firstLine="360"/>
        <w:rPr>
          <w:rFonts w:eastAsia="宋体" w:cs="Times New Roman"/>
          <w:color w:val="000000"/>
          <w:sz w:val="21"/>
          <w:szCs w:val="24"/>
        </w:rPr>
      </w:pPr>
      <w:r>
        <w:rPr>
          <w:rFonts w:hint="eastAsia" w:eastAsia="宋体" w:cs="Times New Roman"/>
          <w:color w:val="000000"/>
          <w:sz w:val="21"/>
          <w:szCs w:val="24"/>
        </w:rPr>
        <w:t>6.《马克思恩格斯选集》第2版第2卷，第227页。</w:t>
      </w:r>
    </w:p>
    <w:p w14:paraId="475BA68A">
      <w:pPr>
        <w:ind w:firstLine="360"/>
        <w:rPr>
          <w:rFonts w:eastAsia="宋体" w:cs="Times New Roman"/>
          <w:color w:val="000000"/>
          <w:sz w:val="21"/>
          <w:szCs w:val="24"/>
        </w:rPr>
      </w:pPr>
      <w:r>
        <w:rPr>
          <w:rFonts w:hint="eastAsia" w:eastAsia="宋体" w:cs="Times New Roman"/>
          <w:color w:val="000000"/>
          <w:sz w:val="21"/>
          <w:szCs w:val="24"/>
        </w:rPr>
        <w:t>7.8.9.《马克思恩格斯选集》第2版第1卷，第275页、276页、276页。</w:t>
      </w:r>
    </w:p>
    <w:p w14:paraId="615EF4B9">
      <w:pPr>
        <w:ind w:firstLine="360"/>
        <w:rPr>
          <w:rFonts w:eastAsia="宋体" w:cs="Times New Roman"/>
          <w:color w:val="000000"/>
          <w:sz w:val="21"/>
          <w:szCs w:val="24"/>
        </w:rPr>
      </w:pPr>
      <w:r>
        <w:rPr>
          <w:rFonts w:hint="eastAsia" w:eastAsia="宋体" w:cs="Times New Roman"/>
          <w:color w:val="000000"/>
          <w:sz w:val="21"/>
          <w:szCs w:val="24"/>
        </w:rPr>
        <w:t>10.伊腾诚，《现代世界和&lt;共产党宣言&gt;》，载俞可平主编，《全球化时代的“马克思主义”》，中央编译出版社，1998。</w:t>
      </w:r>
    </w:p>
    <w:p w14:paraId="0AB42FE3">
      <w:pPr>
        <w:ind w:firstLine="360"/>
        <w:rPr>
          <w:rFonts w:eastAsia="宋体" w:cs="Times New Roman"/>
          <w:color w:val="000000"/>
          <w:sz w:val="21"/>
          <w:szCs w:val="24"/>
        </w:rPr>
      </w:pPr>
      <w:r>
        <w:rPr>
          <w:rFonts w:hint="eastAsia" w:eastAsia="宋体" w:cs="Times New Roman"/>
          <w:color w:val="000000"/>
          <w:sz w:val="21"/>
          <w:szCs w:val="24"/>
        </w:rPr>
        <w:t>11.马克思，《资本论》第3卷，人民出版社，第277页。</w:t>
      </w:r>
    </w:p>
    <w:p w14:paraId="22602AE9">
      <w:pPr>
        <w:ind w:firstLine="360"/>
        <w:rPr>
          <w:rFonts w:eastAsia="宋体" w:cs="Times New Roman"/>
          <w:color w:val="000000"/>
          <w:sz w:val="21"/>
          <w:szCs w:val="24"/>
        </w:rPr>
      </w:pPr>
      <w:r>
        <w:rPr>
          <w:rFonts w:hint="eastAsia" w:eastAsia="宋体" w:cs="Times New Roman"/>
          <w:color w:val="000000"/>
          <w:sz w:val="21"/>
          <w:szCs w:val="24"/>
        </w:rPr>
        <w:t>12.阿里夫·德里克，《全球性的形成与激进政见》，载王宁、薛晓源主编《全球化与后殖民批评》，中央编译出版社1998。</w:t>
      </w:r>
    </w:p>
    <w:p w14:paraId="6FC46F67">
      <w:pPr>
        <w:ind w:firstLine="360"/>
        <w:rPr>
          <w:rFonts w:eastAsia="宋体" w:cs="Times New Roman"/>
          <w:color w:val="000000"/>
          <w:sz w:val="21"/>
          <w:szCs w:val="24"/>
        </w:rPr>
      </w:pPr>
      <w:r>
        <w:rPr>
          <w:rFonts w:hint="eastAsia" w:eastAsia="宋体" w:cs="Times New Roman"/>
          <w:color w:val="000000"/>
          <w:sz w:val="21"/>
          <w:szCs w:val="24"/>
        </w:rPr>
        <w:t>13.安东尼·吉登斯，《民族一国家与暴力》，生活、读书、新知三联书店，1998第308页。</w:t>
      </w:r>
    </w:p>
    <w:p w14:paraId="514DB7AD">
      <w:pPr>
        <w:ind w:firstLine="360"/>
        <w:rPr>
          <w:rFonts w:eastAsia="宋体" w:cs="Times New Roman"/>
          <w:color w:val="000000"/>
          <w:sz w:val="21"/>
          <w:szCs w:val="24"/>
        </w:rPr>
      </w:pPr>
      <w:r>
        <w:rPr>
          <w:rFonts w:hint="eastAsia" w:eastAsia="宋体" w:cs="Times New Roman"/>
          <w:color w:val="000000"/>
          <w:sz w:val="21"/>
          <w:szCs w:val="24"/>
        </w:rPr>
        <w:t>14.《马克思恩格斯全集》，人民出版社1972年版，第23卷，第768页。</w:t>
      </w:r>
    </w:p>
    <w:p w14:paraId="0587FCC4">
      <w:pPr>
        <w:ind w:firstLine="360"/>
        <w:rPr>
          <w:rFonts w:eastAsia="宋体" w:cs="Times New Roman"/>
          <w:color w:val="000000"/>
          <w:sz w:val="21"/>
          <w:szCs w:val="24"/>
        </w:rPr>
      </w:pPr>
      <w:r>
        <w:rPr>
          <w:rFonts w:hint="eastAsia" w:eastAsia="宋体" w:cs="Times New Roman"/>
          <w:color w:val="000000"/>
          <w:sz w:val="21"/>
          <w:szCs w:val="24"/>
        </w:rPr>
        <w:t>15.马克思《资本论》第1卷，人民出版社，1973，第368页。</w:t>
      </w:r>
    </w:p>
    <w:p w14:paraId="0D08E66B">
      <w:pPr>
        <w:ind w:firstLine="360"/>
        <w:rPr>
          <w:rFonts w:eastAsia="宋体" w:cs="Times New Roman"/>
          <w:color w:val="000000"/>
          <w:sz w:val="21"/>
          <w:szCs w:val="24"/>
        </w:rPr>
      </w:pPr>
      <w:r>
        <w:rPr>
          <w:rFonts w:hint="eastAsia" w:eastAsia="宋体" w:cs="Times New Roman"/>
          <w:color w:val="000000"/>
          <w:sz w:val="21"/>
          <w:szCs w:val="24"/>
        </w:rPr>
        <w:t>16、29、33，爱德华·S·赫尔受《全球化的威胁》，载《马克思主义与现实》，1999年3期。</w:t>
      </w:r>
    </w:p>
    <w:p w14:paraId="393DEE80">
      <w:pPr>
        <w:ind w:firstLine="360"/>
        <w:rPr>
          <w:rFonts w:eastAsia="宋体" w:cs="Times New Roman"/>
          <w:color w:val="000000"/>
          <w:sz w:val="21"/>
          <w:szCs w:val="24"/>
        </w:rPr>
      </w:pPr>
      <w:r>
        <w:rPr>
          <w:rFonts w:hint="eastAsia" w:eastAsia="宋体" w:cs="Times New Roman"/>
          <w:color w:val="000000"/>
          <w:sz w:val="21"/>
          <w:szCs w:val="24"/>
        </w:rPr>
        <w:t>17.袁冬梅、廖进中《经济全球化与美国经济增长》，载《湖南大学学报》（社会科学版），1999年3期。</w:t>
      </w:r>
    </w:p>
    <w:p w14:paraId="291BEBC7">
      <w:pPr>
        <w:ind w:firstLine="360"/>
        <w:rPr>
          <w:rFonts w:eastAsia="宋体" w:cs="Times New Roman"/>
          <w:color w:val="000000"/>
          <w:sz w:val="21"/>
          <w:szCs w:val="24"/>
        </w:rPr>
      </w:pPr>
      <w:r>
        <w:rPr>
          <w:rFonts w:hint="eastAsia" w:eastAsia="宋体" w:cs="Times New Roman"/>
          <w:color w:val="000000"/>
          <w:sz w:val="21"/>
          <w:szCs w:val="24"/>
        </w:rPr>
        <w:t>18、22马克思《资本论》第1卷，人民出版社，1973，第844页、709页。</w:t>
      </w:r>
    </w:p>
    <w:p w14:paraId="0908C53E">
      <w:pPr>
        <w:ind w:firstLine="360"/>
        <w:rPr>
          <w:rFonts w:eastAsia="宋体" w:cs="Times New Roman"/>
          <w:color w:val="000000"/>
          <w:sz w:val="21"/>
          <w:szCs w:val="24"/>
        </w:rPr>
      </w:pPr>
      <w:r>
        <w:rPr>
          <w:rFonts w:hint="eastAsia" w:eastAsia="宋体" w:cs="Times New Roman"/>
          <w:color w:val="000000"/>
          <w:sz w:val="21"/>
          <w:szCs w:val="24"/>
        </w:rPr>
        <w:t>19.卫克斐尔德，《英国和美国》，转引自马克思《资本论》第1卷，人民出版社，1973，第849-850页。</w:t>
      </w:r>
    </w:p>
    <w:p w14:paraId="005291DC">
      <w:pPr>
        <w:ind w:firstLine="360"/>
        <w:rPr>
          <w:rFonts w:eastAsia="宋体" w:cs="Times New Roman"/>
          <w:color w:val="000000"/>
          <w:sz w:val="21"/>
          <w:szCs w:val="24"/>
        </w:rPr>
      </w:pPr>
      <w:r>
        <w:rPr>
          <w:rFonts w:hint="eastAsia" w:eastAsia="宋体" w:cs="Times New Roman"/>
          <w:color w:val="000000"/>
          <w:sz w:val="21"/>
          <w:szCs w:val="24"/>
        </w:rPr>
        <w:t>20.《马克思恩格斯选集》，人民出版社版，1960，第3卷，第40页。</w:t>
      </w:r>
    </w:p>
    <w:p w14:paraId="47FFD287">
      <w:pPr>
        <w:ind w:firstLine="360"/>
        <w:rPr>
          <w:rFonts w:eastAsia="宋体" w:cs="Times New Roman"/>
          <w:color w:val="000000"/>
          <w:sz w:val="21"/>
          <w:szCs w:val="24"/>
        </w:rPr>
      </w:pPr>
      <w:r>
        <w:rPr>
          <w:rFonts w:hint="eastAsia" w:eastAsia="宋体" w:cs="Times New Roman"/>
          <w:color w:val="000000"/>
          <w:sz w:val="21"/>
          <w:szCs w:val="24"/>
        </w:rPr>
        <w:t>21.马克思《资本论》第1卷，人民出版社，1973，第691页。</w:t>
      </w:r>
    </w:p>
    <w:p w14:paraId="3C798931">
      <w:pPr>
        <w:ind w:firstLine="360"/>
        <w:rPr>
          <w:rFonts w:eastAsia="宋体" w:cs="Times New Roman"/>
          <w:color w:val="000000"/>
          <w:sz w:val="21"/>
          <w:szCs w:val="24"/>
        </w:rPr>
      </w:pPr>
      <w:r>
        <w:rPr>
          <w:rFonts w:hint="eastAsia" w:eastAsia="宋体" w:cs="Times New Roman"/>
          <w:color w:val="000000"/>
          <w:sz w:val="21"/>
          <w:szCs w:val="24"/>
        </w:rPr>
        <w:t>23、36.马丁·舒受，《全球化陷阱》，中央编译出版社，1998第7页、42页。</w:t>
      </w:r>
    </w:p>
    <w:p w14:paraId="42ABFFF6">
      <w:pPr>
        <w:ind w:firstLine="360"/>
        <w:rPr>
          <w:rFonts w:eastAsia="宋体" w:cs="Times New Roman"/>
          <w:color w:val="000000"/>
          <w:sz w:val="21"/>
          <w:szCs w:val="24"/>
        </w:rPr>
      </w:pPr>
      <w:r>
        <w:rPr>
          <w:rFonts w:hint="eastAsia" w:eastAsia="宋体" w:cs="Times New Roman"/>
          <w:color w:val="000000"/>
          <w:sz w:val="21"/>
          <w:szCs w:val="24"/>
        </w:rPr>
        <w:t>24.孟德维尔《蜜蜂寓言》，转引自马克思《资本论》第1卷，人民出版社1973年版，第675-676页。</w:t>
      </w:r>
    </w:p>
    <w:p w14:paraId="16657426">
      <w:pPr>
        <w:ind w:firstLine="360"/>
        <w:rPr>
          <w:rFonts w:eastAsia="宋体" w:cs="Times New Roman"/>
          <w:color w:val="000000"/>
          <w:sz w:val="21"/>
          <w:szCs w:val="24"/>
        </w:rPr>
      </w:pPr>
      <w:r>
        <w:rPr>
          <w:rFonts w:hint="eastAsia" w:eastAsia="宋体" w:cs="Times New Roman"/>
          <w:color w:val="000000"/>
          <w:sz w:val="21"/>
          <w:szCs w:val="24"/>
        </w:rPr>
        <w:t>25.约翰·卡西迪，前引书。再如，从1980年到1995年，独立经营者可支配的实际收入在平均收入比较中增长了54.3%，同期间雇员的可支配的实际收入下降了10%。</w:t>
      </w:r>
    </w:p>
    <w:p w14:paraId="043CE794">
      <w:pPr>
        <w:ind w:firstLine="360"/>
        <w:rPr>
          <w:rFonts w:eastAsia="宋体" w:cs="Times New Roman"/>
          <w:color w:val="000000"/>
          <w:sz w:val="21"/>
          <w:szCs w:val="24"/>
        </w:rPr>
      </w:pPr>
      <w:r>
        <w:rPr>
          <w:rFonts w:hint="eastAsia" w:eastAsia="宋体" w:cs="Times New Roman"/>
          <w:color w:val="000000"/>
          <w:sz w:val="21"/>
          <w:szCs w:val="24"/>
        </w:rPr>
        <w:t>26.杨雪冬、王列，《关于全球化与中国研究的对话》，载胡元梓、薛晓源《全球化与中国》，中国编译出版社1998。</w:t>
      </w:r>
    </w:p>
    <w:p w14:paraId="5F449820">
      <w:pPr>
        <w:ind w:firstLine="360"/>
        <w:rPr>
          <w:rFonts w:eastAsia="宋体" w:cs="Times New Roman"/>
          <w:color w:val="000000"/>
          <w:sz w:val="21"/>
          <w:szCs w:val="24"/>
        </w:rPr>
      </w:pPr>
      <w:r>
        <w:rPr>
          <w:rFonts w:hint="eastAsia" w:eastAsia="宋体" w:cs="Times New Roman"/>
          <w:color w:val="000000"/>
          <w:sz w:val="21"/>
          <w:szCs w:val="24"/>
        </w:rPr>
        <w:t>27约翰·卡西迪，前引书。</w:t>
      </w:r>
    </w:p>
    <w:p w14:paraId="47BA1626">
      <w:pPr>
        <w:ind w:firstLine="360"/>
        <w:rPr>
          <w:rFonts w:eastAsia="宋体" w:cs="Times New Roman"/>
          <w:color w:val="000000"/>
          <w:sz w:val="21"/>
          <w:szCs w:val="24"/>
        </w:rPr>
      </w:pPr>
      <w:r>
        <w:rPr>
          <w:rFonts w:hint="eastAsia" w:eastAsia="宋体" w:cs="Times New Roman"/>
          <w:color w:val="000000"/>
          <w:sz w:val="21"/>
          <w:szCs w:val="24"/>
        </w:rPr>
        <w:t>28.马克思《资本论》第1卷，人民出版社1973年版，第610页。</w:t>
      </w:r>
    </w:p>
    <w:p w14:paraId="421F00B5">
      <w:pPr>
        <w:ind w:firstLine="360"/>
        <w:rPr>
          <w:rFonts w:eastAsia="宋体" w:cs="Times New Roman"/>
          <w:color w:val="000000"/>
          <w:sz w:val="21"/>
          <w:szCs w:val="24"/>
        </w:rPr>
      </w:pPr>
      <w:r>
        <w:rPr>
          <w:rFonts w:hint="eastAsia" w:eastAsia="宋体" w:cs="Times New Roman"/>
          <w:color w:val="000000"/>
          <w:sz w:val="21"/>
          <w:szCs w:val="24"/>
        </w:rPr>
        <w:t>30.卡尔·海因茨·巴奎，《世界经济结构变化与后果》，载张世鹏、殷叙弈编译《全球化时代的资本主义》，中央编译出版社1998。</w:t>
      </w:r>
    </w:p>
    <w:p w14:paraId="1B6CFA42">
      <w:pPr>
        <w:ind w:firstLine="360"/>
        <w:rPr>
          <w:rFonts w:eastAsia="宋体" w:cs="Times New Roman"/>
          <w:color w:val="000000"/>
          <w:sz w:val="21"/>
          <w:szCs w:val="24"/>
        </w:rPr>
      </w:pPr>
      <w:r>
        <w:rPr>
          <w:rFonts w:hint="eastAsia" w:eastAsia="宋体" w:cs="Times New Roman"/>
          <w:color w:val="000000"/>
          <w:sz w:val="21"/>
          <w:szCs w:val="24"/>
        </w:rPr>
        <w:t>31.《明镜》杂志记者，《涡轮资本主义改变着世界一—全球化，世界范围内围绕劳动岗位与工资的竞争》，载张世鹤、殷叙弈编译《全球化时代的资本主义》，中央编译出版社1998。</w:t>
      </w:r>
    </w:p>
    <w:p w14:paraId="108F8597">
      <w:pPr>
        <w:ind w:firstLine="360"/>
        <w:rPr>
          <w:rFonts w:eastAsia="宋体" w:cs="Times New Roman"/>
          <w:color w:val="000000"/>
          <w:sz w:val="21"/>
          <w:szCs w:val="24"/>
        </w:rPr>
      </w:pPr>
      <w:r>
        <w:rPr>
          <w:rFonts w:hint="eastAsia" w:eastAsia="宋体" w:cs="Times New Roman"/>
          <w:color w:val="000000"/>
          <w:sz w:val="21"/>
          <w:szCs w:val="24"/>
        </w:rPr>
        <w:t>32.马克思，《资本论》第1卷，人民出版社1973年版，第258页。</w:t>
      </w:r>
    </w:p>
    <w:p w14:paraId="252D7580">
      <w:pPr>
        <w:ind w:firstLine="360"/>
        <w:rPr>
          <w:rFonts w:eastAsia="宋体" w:cs="Times New Roman"/>
          <w:color w:val="000000"/>
          <w:sz w:val="21"/>
          <w:szCs w:val="24"/>
        </w:rPr>
      </w:pPr>
      <w:r>
        <w:rPr>
          <w:rFonts w:hint="eastAsia" w:eastAsia="宋体" w:cs="Times New Roman"/>
          <w:color w:val="000000"/>
          <w:sz w:val="21"/>
          <w:szCs w:val="24"/>
        </w:rPr>
        <w:t>34.陈宝森，《论美国“新经济”》，载《世界经济》1998年6期。</w:t>
      </w:r>
    </w:p>
    <w:p w14:paraId="334710C1">
      <w:pPr>
        <w:ind w:firstLine="360"/>
        <w:rPr>
          <w:rFonts w:eastAsia="宋体" w:cs="Times New Roman"/>
          <w:color w:val="000000"/>
          <w:sz w:val="21"/>
          <w:szCs w:val="24"/>
        </w:rPr>
      </w:pPr>
      <w:r>
        <w:rPr>
          <w:rFonts w:hint="eastAsia" w:eastAsia="宋体" w:cs="Times New Roman"/>
          <w:color w:val="000000"/>
          <w:sz w:val="21"/>
          <w:szCs w:val="24"/>
        </w:rPr>
        <w:t>35.陈普直，《金融危机与全球化》，载《世界经济》1999年8期。</w:t>
      </w:r>
    </w:p>
    <w:p w14:paraId="3BFCFCD2">
      <w:pPr>
        <w:ind w:firstLine="360"/>
        <w:rPr>
          <w:rFonts w:eastAsia="宋体" w:cs="Times New Roman"/>
          <w:color w:val="000000"/>
          <w:sz w:val="21"/>
          <w:szCs w:val="24"/>
        </w:rPr>
      </w:pPr>
      <w:r>
        <w:rPr>
          <w:rFonts w:hint="eastAsia" w:eastAsia="宋体" w:cs="Times New Roman"/>
          <w:color w:val="000000"/>
          <w:sz w:val="21"/>
          <w:szCs w:val="24"/>
        </w:rPr>
        <w:t>37.有的资料显示，1995年时差距已扩大到82倍，甚至是86倍同时，在1965年，世界上最富的7个国家和最穷的7个国家人均收入相差20倍，而现在却扩大到了39倍又有的资料表明，1983年低收入发展中国家的人均国内生产总值为高收入发达工业化国家的2.4%，1996年这一比例则降到了1.6%。</w:t>
      </w:r>
    </w:p>
    <w:p w14:paraId="373CDC26">
      <w:pPr>
        <w:ind w:firstLine="360"/>
        <w:rPr>
          <w:rFonts w:eastAsia="宋体" w:cs="Times New Roman"/>
          <w:color w:val="000000"/>
          <w:sz w:val="21"/>
          <w:szCs w:val="24"/>
        </w:rPr>
      </w:pPr>
      <w:r>
        <w:rPr>
          <w:rFonts w:hint="eastAsia" w:eastAsia="宋体" w:cs="Times New Roman"/>
          <w:color w:val="000000"/>
          <w:sz w:val="21"/>
          <w:szCs w:val="24"/>
        </w:rPr>
        <w:t>38.有的数据是，在过去的38年，70多个国家的人均收入降低了。</w:t>
      </w:r>
    </w:p>
    <w:p w14:paraId="3E2AF348">
      <w:pPr>
        <w:ind w:firstLine="360"/>
        <w:rPr>
          <w:rFonts w:eastAsia="宋体" w:cs="Times New Roman"/>
          <w:color w:val="000000"/>
          <w:sz w:val="21"/>
          <w:szCs w:val="24"/>
        </w:rPr>
      </w:pPr>
      <w:r>
        <w:rPr>
          <w:rFonts w:hint="eastAsia" w:eastAsia="宋体" w:cs="Times New Roman"/>
          <w:color w:val="000000"/>
          <w:sz w:val="21"/>
          <w:szCs w:val="24"/>
        </w:rPr>
        <w:t>39.伊里纽尔·沃勒斯坦，《苏联东欧剧变之后的马克思主义》，载俞可平主编《全球化时代的“马克思主义”》，中央编译出版社1998。</w:t>
      </w:r>
    </w:p>
    <w:p w14:paraId="4E66E9ED">
      <w:pPr>
        <w:ind w:firstLine="360"/>
        <w:rPr>
          <w:rFonts w:eastAsia="宋体" w:cs="Times New Roman"/>
          <w:color w:val="000000"/>
          <w:sz w:val="21"/>
          <w:szCs w:val="24"/>
        </w:rPr>
      </w:pPr>
      <w:r>
        <w:rPr>
          <w:rFonts w:hint="eastAsia" w:eastAsia="宋体" w:cs="Times New Roman"/>
          <w:color w:val="000000"/>
          <w:sz w:val="21"/>
          <w:szCs w:val="24"/>
        </w:rPr>
        <w:t>40.贝特尔·奥尔曼，《资本主义社会的市场神话一种马克思主义的解释》，载俞可平’主编《全球化时代的“马克思主义”》，中央编译出版社，1998。</w:t>
      </w:r>
    </w:p>
    <w:p w14:paraId="53565602">
      <w:pPr>
        <w:ind w:firstLine="360"/>
        <w:rPr>
          <w:rFonts w:eastAsia="宋体" w:cs="Times New Roman"/>
          <w:color w:val="000000"/>
          <w:sz w:val="21"/>
          <w:szCs w:val="24"/>
        </w:rPr>
      </w:pPr>
      <w:r>
        <w:rPr>
          <w:rFonts w:hint="eastAsia" w:eastAsia="宋体" w:cs="Times New Roman"/>
          <w:color w:val="000000"/>
          <w:sz w:val="21"/>
          <w:szCs w:val="24"/>
        </w:rPr>
        <w:t>41.《马克思恩格斯选集》第2版，第1卷，第40一42页。</w:t>
      </w:r>
    </w:p>
    <w:p w14:paraId="2E8DE562">
      <w:pPr>
        <w:ind w:firstLine="360"/>
        <w:rPr>
          <w:rFonts w:eastAsia="宋体" w:cs="Times New Roman"/>
          <w:color w:val="000000"/>
          <w:sz w:val="21"/>
          <w:szCs w:val="24"/>
        </w:rPr>
      </w:pPr>
      <w:r>
        <w:rPr>
          <w:rFonts w:hint="eastAsia" w:eastAsia="宋体" w:cs="Times New Roman"/>
          <w:color w:val="000000"/>
          <w:sz w:val="21"/>
          <w:szCs w:val="24"/>
        </w:rPr>
        <w:t>42.《马克思恩格斯全集》，人民出版社1995年版，第1卷，第89页。</w:t>
      </w:r>
    </w:p>
    <w:p w14:paraId="36897DF3">
      <w:pPr>
        <w:ind w:firstLine="360"/>
        <w:rPr>
          <w:rFonts w:eastAsia="宋体" w:cs="Times New Roman"/>
          <w:color w:val="000000"/>
          <w:sz w:val="21"/>
          <w:szCs w:val="24"/>
        </w:rPr>
      </w:pPr>
    </w:p>
    <w:p w14:paraId="44947999">
      <w:pPr>
        <w:rPr>
          <w:rFonts w:eastAsia="宋体" w:cs="Times New Roman"/>
          <w:sz w:val="21"/>
          <w:szCs w:val="24"/>
        </w:rPr>
      </w:pPr>
      <w:r>
        <w:rPr>
          <w:rFonts w:hint="eastAsia" w:eastAsia="宋体" w:cs="Times New Roman"/>
          <w:color w:val="000000"/>
          <w:sz w:val="21"/>
          <w:szCs w:val="24"/>
        </w:rPr>
        <w:t>（原载《上海经济研究》2000年第7期，第二作者为朱富强）</w:t>
      </w:r>
    </w:p>
    <w:p w14:paraId="0FCE5E26">
      <w:pPr>
        <w:ind w:left="0" w:leftChars="0" w:firstLine="0" w:firstLineChars="0"/>
        <w:rPr>
          <w:rFonts w:ascii="Calibri" w:hAnsi="Calibri" w:eastAsia="宋体" w:cs="Times New Roman"/>
          <w:sz w:val="21"/>
        </w:rPr>
      </w:pPr>
    </w:p>
    <w:p w14:paraId="456DBA11">
      <w:pPr>
        <w:rPr>
          <w:rFonts w:ascii="Calibri" w:hAnsi="Calibri" w:eastAsia="宋体" w:cs="Times New Roman"/>
          <w:sz w:val="21"/>
        </w:rPr>
      </w:pPr>
    </w:p>
    <w:p w14:paraId="78D968FF">
      <w:pPr>
        <w:rPr>
          <w:rFonts w:ascii="Calibri" w:hAnsi="Calibri" w:eastAsia="宋体" w:cs="Times New Roman"/>
          <w:sz w:val="21"/>
        </w:rPr>
      </w:pPr>
    </w:p>
    <w:p w14:paraId="2A4E3EB7">
      <w:pPr>
        <w:rPr>
          <w:rFonts w:ascii="Calibri" w:hAnsi="Calibri" w:eastAsia="宋体" w:cs="Times New Roman"/>
          <w:sz w:val="21"/>
        </w:rPr>
      </w:pPr>
    </w:p>
    <w:p w14:paraId="287DCD59">
      <w:pPr>
        <w:rPr>
          <w:rFonts w:ascii="Calibri" w:hAnsi="Calibri" w:eastAsia="宋体" w:cs="Times New Roman"/>
          <w:sz w:val="21"/>
        </w:rPr>
      </w:pPr>
    </w:p>
    <w:p w14:paraId="535658E4">
      <w:pPr>
        <w:autoSpaceDE w:val="0"/>
        <w:autoSpaceDN w:val="0"/>
        <w:adjustRightInd w:val="0"/>
        <w:ind w:firstLine="641" w:firstLineChars="200"/>
        <w:jc w:val="center"/>
        <w:outlineLvl w:val="1"/>
        <w:rPr>
          <w:rFonts w:ascii="宋体" w:hAnsi="宋体" w:eastAsia="宋体" w:cs="AdobeSongStd-Light"/>
          <w:b/>
          <w:color w:val="000000"/>
          <w:kern w:val="0"/>
          <w:sz w:val="21"/>
          <w:szCs w:val="21"/>
        </w:rPr>
      </w:pPr>
      <w:bookmarkStart w:id="15" w:name="_Toc18807"/>
      <w:bookmarkStart w:id="16" w:name="_Toc2022540673"/>
      <w:bookmarkStart w:id="17" w:name="_Toc1128788790"/>
      <w:r>
        <w:rPr>
          <w:rFonts w:hint="eastAsia" w:ascii="宋体" w:hAnsi="宋体" w:eastAsia="宋体" w:cs="AdobeSongStd-Light"/>
          <w:b/>
          <w:color w:val="000000"/>
          <w:kern w:val="0"/>
          <w:sz w:val="32"/>
          <w:szCs w:val="32"/>
        </w:rPr>
        <w:t>重建中国经济学  超越马克思与西方经济学</w:t>
      </w:r>
      <w:bookmarkEnd w:id="9"/>
      <w:bookmarkEnd w:id="10"/>
      <w:bookmarkEnd w:id="15"/>
      <w:bookmarkEnd w:id="16"/>
      <w:bookmarkEnd w:id="17"/>
    </w:p>
    <w:p w14:paraId="610CD782">
      <w:pPr>
        <w:autoSpaceDE w:val="0"/>
        <w:autoSpaceDN w:val="0"/>
        <w:adjustRightInd w:val="0"/>
        <w:ind w:firstLine="420" w:firstLineChars="200"/>
        <w:jc w:val="center"/>
        <w:rPr>
          <w:rFonts w:ascii="宋体" w:hAnsi="宋体" w:eastAsia="宋体" w:cs="AdobeSongStd-Light"/>
          <w:b/>
          <w:color w:val="000000"/>
          <w:kern w:val="0"/>
          <w:sz w:val="21"/>
          <w:szCs w:val="21"/>
        </w:rPr>
      </w:pPr>
    </w:p>
    <w:p w14:paraId="05F32C0D">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1994年</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笔者曾发表《21世纪：重建中国经济学》一文</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指出随着社会主义市场经济的日益发育成熟</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系统地科学反映这一经济实践变化的中国理论经济学</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在20世纪末的反思与论争及方法论的变革后</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必将以全新的面貌出现于21世纪初。</w:t>
      </w:r>
      <w:r>
        <w:rPr>
          <w:rFonts w:ascii="宋体" w:hAnsi="宋体" w:eastAsia="宋体" w:cs="AdobeSongStd-Light"/>
          <w:color w:val="000000"/>
          <w:kern w:val="0"/>
          <w:sz w:val="21"/>
          <w:szCs w:val="21"/>
          <w:vertAlign w:val="superscript"/>
        </w:rPr>
        <w:footnoteReference w:id="0"/>
      </w:r>
      <w:r>
        <w:rPr>
          <w:rFonts w:ascii="宋体" w:hAnsi="宋体" w:eastAsia="宋体" w:cs="AdobeSongStd-Light"/>
          <w:color w:val="000000"/>
          <w:kern w:val="0"/>
          <w:sz w:val="21"/>
          <w:szCs w:val="21"/>
        </w:rPr>
        <w:t xml:space="preserve"> </w:t>
      </w:r>
      <w:r>
        <w:rPr>
          <w:rFonts w:hint="eastAsia" w:ascii="宋体" w:hAnsi="宋体" w:eastAsia="宋体" w:cs="AdobeSongStd-Light"/>
          <w:color w:val="000000"/>
          <w:kern w:val="0"/>
          <w:sz w:val="21"/>
          <w:szCs w:val="21"/>
        </w:rPr>
        <w:t>近几年</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关于“中国经济学”的讨论热烈而又深刻</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表明中国社会主义理论经济学经过50年的多阶段的曲折发展</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现在确实到了全面重建的新时期。本文拟在分析我国社会主义理论经济学演进状态及其缺陷的基础上</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对在重建中国经济学进程中如何超越马克思经济学与西方经济学这一问题作些分析。</w:t>
      </w:r>
    </w:p>
    <w:p w14:paraId="77AE0C4E">
      <w:pPr>
        <w:autoSpaceDE w:val="0"/>
        <w:autoSpaceDN w:val="0"/>
        <w:adjustRightInd w:val="0"/>
        <w:ind w:firstLine="420" w:firstLineChars="200"/>
        <w:jc w:val="center"/>
        <w:rPr>
          <w:rFonts w:ascii="宋体" w:hAnsi="宋体" w:eastAsia="宋体" w:cs="AdobeSongStd-Light"/>
          <w:b/>
          <w:color w:val="000000"/>
          <w:kern w:val="0"/>
          <w:sz w:val="21"/>
          <w:szCs w:val="21"/>
        </w:rPr>
      </w:pPr>
      <w:r>
        <w:rPr>
          <w:rFonts w:hint="eastAsia" w:ascii="宋体" w:hAnsi="宋体" w:eastAsia="宋体" w:cs="AdobeSongStd-Light"/>
          <w:b/>
          <w:color w:val="000000"/>
          <w:kern w:val="0"/>
          <w:sz w:val="21"/>
          <w:szCs w:val="21"/>
        </w:rPr>
        <w:t>中国社会主义经济学的演进阶段与若干倾向</w:t>
      </w:r>
    </w:p>
    <w:p w14:paraId="392932D9">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新中国50年，中国社会主义理论经济学总体上以马克思主义为思想指导</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以中国社会主义经济实践为实践源泉</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取得了人类经济学说发展史上的重大成果</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并对高绩效的中国经济发展作出了巨大的贡献</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体现出中华民族伟大的经济智慧</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为全世界的经济学发展提供了具有“中国学派”色彩的系统经济理论。然而</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中国社会主义理论经济学在具体演进中创新、改良与若干不良倾向是并存的</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现作详略不同的评述。</w:t>
      </w:r>
    </w:p>
    <w:p w14:paraId="4A5021C0">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一、新建阶段与“仿苏”</w:t>
      </w:r>
      <w:r>
        <w:rPr>
          <w:rFonts w:ascii="宋体" w:hAnsi="宋体" w:eastAsia="宋体" w:cs="AdobeSongStd-Light"/>
          <w:color w:val="000000"/>
          <w:kern w:val="0"/>
          <w:sz w:val="21"/>
          <w:szCs w:val="21"/>
        </w:rPr>
        <w:t xml:space="preserve"> </w:t>
      </w:r>
      <w:r>
        <w:rPr>
          <w:rFonts w:hint="eastAsia" w:ascii="宋体" w:hAnsi="宋体" w:eastAsia="宋体" w:cs="AdobeSongStd-Light"/>
          <w:color w:val="000000"/>
          <w:kern w:val="0"/>
          <w:sz w:val="21"/>
          <w:szCs w:val="21"/>
        </w:rPr>
        <w:t>倾向</w:t>
      </w:r>
    </w:p>
    <w:p w14:paraId="392AC3C1">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这一阶段的历史跨度是从中华人民共和国成立到“文革”前。</w:t>
      </w:r>
    </w:p>
    <w:p w14:paraId="5871313C">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1949年10月</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中国人民取得了新民主主义革命的伟大胜利</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建立了新中国。然而由于马克思的《资本论》是以资本主义的生产关系为研究对象</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并没有系统的社会主义经济理论</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因而中国的社会主义建设缺乏必要的理论指导。但此时苏联已经进行了几十年的社会主义建设的伟大实践</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初步勾勒出了社会主义经济的基本框架并且取得了伟大的成就。于是</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苏联的社会主义经济模式便成为新中国领导人模仿的对象。在自己缺乏建设实践的经验时</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苏联的社会主义经济实践便被当成了我国建设的“真知”。</w:t>
      </w:r>
    </w:p>
    <w:p w14:paraId="5EDB448A">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与实践相一致</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在经济学上也开始模仿苏联。1952年</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斯大林的《苏联社会主义经济问题》中文版出版发行。1959年</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苏联科学院组织编写的《政治经济学教科书》中文版出版发行。这两本书的发行对中国理论经济学的发展产生了深远的影响。由于当时的苏联是国际共产主义运动的领袖</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且中国的社会主义建设缺乏自己的理论</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因而这两本书便被当作中国社会主义理论经济学的“教科书”而被“顶礼膜拜”。当时</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党中央、毛主席号召全党学习苏联的政治经济学理论。高等院校的政治经济学教材也是以《政治经济学教科书》为基本体系向学生讲授社会主义理论经济学。中国的社会主义理论经济学完全将西方经济学的合理成分拒之门外</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而照搬苏联的社会主义经济学理论。“苏联范式”的经济学是马克思、列宁、斯大林经济思想与苏联经济实践的一种综合</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有其相当的科学性</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在经济学说史具有划时代的重大意义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但也有不少误点和局限性。</w:t>
      </w:r>
    </w:p>
    <w:p w14:paraId="15ABE686">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在这一阶段</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由于中国的理论经济学主要是照搬苏联的政治经济学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因此</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苏联政治经济学的历史局限也就成为中国社会主义理论经济学的局限。这些局限性主要表现在：相对忽视生产力的研究；否认价值规律对生产的调节作用；忽视定量分析等。尽管当时的中国理论经济学具有以上局限性</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然而它毕竟指导中国经济顺利实现了由新民主主义革命向社会主义革命的过渡</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而且在理论上初步构建了社会主义理论经济学的基本框架和研究方法及基本概念和范畴。所以</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从这一层面来讲</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在新建阶段中尽管有仿苏倾向</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但中国社会主义理论经济学仍然具有积极意义。而且</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毛泽东同志的《论十大关系》、《毛泽东读苏联&lt;政治经济学教科书&gt;第三版的谈话要点》及有关价值规律等论述</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陈云同志在1956年9月提出“计划调节为主</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市场调节为辅”等观点</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以及马寅初的人口理论和孙冶方的价值规律思想等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均标志着我国的社会主义理论经济学开始试图用自己的理论来指导我国经济实践。60年代上半期</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我国陆续编写和出版的《政治经济学》（社会主义部分）教科书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充分体现了“苏联范式”与当时中国特色的混合。其中包括1958年及以后萌生的某些极左思想和政策。</w:t>
      </w:r>
    </w:p>
    <w:p w14:paraId="50E7A9A3">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（二）“革命”阶段与极左倾向</w:t>
      </w:r>
    </w:p>
    <w:p w14:paraId="4AC087F6">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这一阶段主要是10年“文化大革命”时期。</w:t>
      </w:r>
    </w:p>
    <w:p w14:paraId="2145195B">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在“文革”时期</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我国的经济建设和社会主义经济理论的发展都出现了不少失误。在“四人帮”的干扰下</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经济工作受到政治运动的严重冲击，经济理论服务于政治运动的需要。尤其是在“四人帮”授意下搞的《社会主义政治经济学》一书</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完全是以“大批判经济学”的极左面貌出现</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将许多有利于发展生产力的做法当作资本主义的“尾巴”而大加批驳</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将按劳分配说成是资产阶级产生的土壤</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将当时并不存在的经济上的阶级斗争和党内资产阶级作为经济学研究的主题等等。</w:t>
      </w:r>
    </w:p>
    <w:p w14:paraId="2110B0E1">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尽管受到“左”的思想的千扰</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但不少经济学家并未停止思索与研究。如许涤新在被关押期间</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就依据马克思《资本论》体系</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构思社会主义生产、流通与分配的总体框架和主线</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并形成系统思维（“文革”后不久立即将成熟的思想变成文字</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出版了《社会主义生产、流通与分配》力作）。</w:t>
      </w:r>
    </w:p>
    <w:p w14:paraId="35B2A80E">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（三）改革阶段与“仿美”倾向</w:t>
      </w:r>
    </w:p>
    <w:p w14:paraId="7BB6A649">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这一阶段是从1979年至今。</w:t>
      </w:r>
    </w:p>
    <w:p w14:paraId="7F89B2C0">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在这一阶段</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开始全面清理社会主义经济理论中“左”的思想</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重新用科学的马克思主义理论指导中国社会主义理论经济学的研究</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提出我国社会的主要矛盾是人民日益增长的物质文化需要同落后的社会生产之间的矛盾</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因而党和国家的重点必须转移到以经济建设为中心的社会主义现代化建设上来。1982年召开的党的十二大提出必须贯彻计划经济为主、市场调节为辅的原则。1984年召开的十二届三中全会上提出了社会主义经济是有计划的商品经济</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而商品经济的充分发展是社会主义经济发展不可逾越的阶段。1992年党的十四大则明确提出建立社会主义市场经济体制。至此</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社会主义市场经济体制作为我国经济体制改革的目标而确立下来。丰富的改革实践为我国社会主义理论经济学的发展提供了肥沃的土壤和充足的养份。伴随我国经济改革和建设的巨大成就</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社会主义理论经济学的理论变得丰富和完善。如社会主义市场经济理论和社会主义初级阶段理论的确立</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生产力理论和所有制结构理论的调整</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现代企业制度理论和市场体系理论的提出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市场型按劳分配及其他分配理论的发展</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经济公平与经济效率理论的拓展</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宏观调控理论和对外开放理论的阐发等等。社会主义理论经济学出现了一个新的发展高潮。</w:t>
      </w:r>
    </w:p>
    <w:p w14:paraId="722DD053">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尽管社会主义理论经济学的发展取得了建国以来最为辉煌的成就</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发展过程中却也暴露了不少问题：首先是对现实经济问题缺乏系统的解释力和预见力。经济理论的生命力在于其对现实经济问题的预见和解释的能力，而社会主义理论经济学的研究却在某种程度上变成了政治领导人讲话、中央文件和政策的注解</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理论的研究反倒落在经济实践的后面</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这在相当程度上影响了人们对社会主义理论经济学的信任度。其次是经济理论研究的近视性。这表现在缺乏对基础理论的系统研究</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往往只是对流行思潮的妙作。如对“一包就灵”、“一股就灵”等观点的宣传和对计划与市场关系极端对立的认识。最后是研究上缺乏方法论的整合和系统创新。偏好于搬马恩原著或当代西方经济学经典的原话来对现实经济问题作出理论的分析</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而非应用中外马克思主义的基本观点来研究和指导现实的经济实践。</w:t>
      </w:r>
    </w:p>
    <w:p w14:paraId="63F1981C">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随着改革开放的深入和西方经济学理论的引进</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西方经济学在中国的影响日趋增大。由于传统的社会主义理论经济学对现实经济问题解释力和预见力的不够</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“苏联范式”的某种僵化及西方经济学研究方法和工具的使用</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使得西方经济学不断动摇中国社会主义理论经济学的支配地位。一些理论研究工作者也由以前对“苏联范式”的崇拜而简单地倒向“美国范式”，但又对以美国为代表的当代西方经济学的“范式危机”并无感觉。</w:t>
      </w:r>
    </w:p>
    <w:p w14:paraId="07AD7A09">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中国社会主义的理论经济学研究存在“仿美”或“仿西”的倾向至少表现在：</w:t>
      </w:r>
    </w:p>
    <w:p w14:paraId="592E8CC2">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1.缺乏应有的人文性</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数学在某种程度上被滥用。与国外专业经济学杂志上连篇累犊的数学公式相似</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我国的经济学杂志上也开始充满了数学公式。虽然说还没有到数学的使用被作为炫耀作者数学功底的程度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却也被当作作者理论上的创新</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认为只有使用数学工具的文章才是具有理论创新的文章</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否则</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就属于“垃圾”。工具被当作了目标</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简单明了的经济思想披上了烦琐的数学外衣</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增大了认知成本，理论经济学有被数学主宰的倾向。与此相反</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经济学应有的人文性、阶层性和终极关怀等分析较为匮乏。</w:t>
      </w:r>
    </w:p>
    <w:p w14:paraId="7EAF1077">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2.私有化“产权神话”和“自私人”（“经济人”）理论的流行。虽然说西方产权理论的制度分析、交易费用分析和契约分析对中国经济转型具有一定的理论解释力</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但是其理论上的一些误区却也在理论界大行其道。其中最为典型的便是私有化“产权神话”和“自私人”</w:t>
      </w:r>
      <w:r>
        <w:rPr>
          <w:rFonts w:ascii="宋体" w:hAnsi="宋体" w:eastAsia="宋体" w:cs="AdobeSongStd-Light"/>
          <w:color w:val="000000"/>
          <w:kern w:val="0"/>
          <w:sz w:val="21"/>
          <w:szCs w:val="21"/>
        </w:rPr>
        <w:t xml:space="preserve"> </w:t>
      </w:r>
      <w:r>
        <w:rPr>
          <w:rFonts w:hint="eastAsia" w:ascii="宋体" w:hAnsi="宋体" w:eastAsia="宋体" w:cs="AdobeSongStd-Light"/>
          <w:color w:val="000000"/>
          <w:kern w:val="0"/>
          <w:sz w:val="21"/>
          <w:szCs w:val="21"/>
        </w:rPr>
        <w:t>理论的流行。产权的明晰仅仅被简单地理解成只有私有的产权才是清晰的产权</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私有化被当作经济发展的“灵丹妙药”，而全然不顾东欧国家和俄罗斯私有化悲剧的上演。“自私人公理”被作为现实经济的逻辑起点和理论研究的逻辑起点在理论经济学中被广为渲染</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却没有看到此理论是对人类经济行为的片面认识</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全然否定了利他主义和群体主义</w:t>
      </w:r>
      <w:r>
        <w:rPr>
          <w:rFonts w:ascii="宋体" w:hAnsi="宋体" w:eastAsia="宋体" w:cs="AdobeSongStd-Light"/>
          <w:color w:val="000000"/>
          <w:kern w:val="0"/>
          <w:sz w:val="21"/>
          <w:szCs w:val="21"/>
          <w:vertAlign w:val="superscript"/>
        </w:rPr>
        <w:footnoteReference w:id="1"/>
      </w:r>
      <w:r>
        <w:rPr>
          <w:rFonts w:hint="eastAsia" w:ascii="宋体" w:hAnsi="宋体" w:eastAsia="宋体" w:cs="AdobeSongStd-Light"/>
          <w:color w:val="000000"/>
          <w:kern w:val="0"/>
          <w:sz w:val="21"/>
          <w:szCs w:val="21"/>
        </w:rPr>
        <w:t>。</w:t>
      </w:r>
    </w:p>
    <w:p w14:paraId="58FDE81F">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诚然</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西方经济学的确给中国输送了市场观念和实证分析、数量分析、边际分析等经济科学的研究方法</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开拓了理论研究的视野。但另一方而</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它的过度形式主义和理论与中国经济的脱节</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也会使中国经济学误入歧途。数学只是经济学者工具箱中的重要工具，但工具本身并不能创造理论。对于私有化“产权神话”，美国著名经济学家斯蒂格利茨也认为：“这个神话十分危险</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因为它误导许多转轨国家仅仅关注产权问题过分信赖私有化</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而忽略了一系列更广泛的问题。”</w:t>
      </w:r>
      <w:r>
        <w:rPr>
          <w:rFonts w:ascii="宋体" w:hAnsi="宋体" w:eastAsia="宋体" w:cs="AdobeSongStd-Light"/>
          <w:color w:val="000000"/>
          <w:kern w:val="0"/>
          <w:sz w:val="21"/>
          <w:szCs w:val="21"/>
          <w:vertAlign w:val="superscript"/>
        </w:rPr>
        <w:footnoteReference w:id="2"/>
      </w:r>
      <w:r>
        <w:rPr>
          <w:rFonts w:ascii="宋体" w:hAnsi="宋体" w:eastAsia="宋体" w:cs="AdobeSongStd-Light"/>
          <w:color w:val="000000"/>
          <w:kern w:val="0"/>
          <w:sz w:val="21"/>
          <w:szCs w:val="21"/>
        </w:rPr>
        <w:t xml:space="preserve"> </w:t>
      </w:r>
      <w:r>
        <w:rPr>
          <w:rFonts w:hint="eastAsia" w:ascii="宋体" w:hAnsi="宋体" w:eastAsia="宋体" w:cs="AdobeSongStd-Light"/>
          <w:color w:val="000000"/>
          <w:kern w:val="0"/>
          <w:sz w:val="21"/>
          <w:szCs w:val="21"/>
        </w:rPr>
        <w:t>而对于在我国广为流行的“自私人”理论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布热津斯基先生曾恍然大悟道“以相对主义的享乐至上作为生活的基本指南是构不成任何坚实的社会支柱的；一个社会没有共同遵守的绝对确定的原则</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相反却助长个人的自我满足</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那么</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这个社会就有解体的危险。”</w:t>
      </w:r>
      <w:r>
        <w:rPr>
          <w:rFonts w:ascii="宋体" w:hAnsi="宋体" w:eastAsia="宋体" w:cs="AdobeSongStd-Light"/>
          <w:color w:val="000000"/>
          <w:kern w:val="0"/>
          <w:sz w:val="21"/>
          <w:szCs w:val="21"/>
          <w:vertAlign w:val="superscript"/>
        </w:rPr>
        <w:footnoteReference w:id="3"/>
      </w:r>
      <w:r>
        <w:rPr>
          <w:rFonts w:hint="eastAsia" w:ascii="宋体" w:hAnsi="宋体" w:eastAsia="宋体" w:cs="AdobeSongStd-Light"/>
          <w:color w:val="000000"/>
          <w:kern w:val="0"/>
          <w:sz w:val="21"/>
          <w:szCs w:val="21"/>
        </w:rPr>
        <w:t>可见</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西方经济学本身的逻辑缺陷及苏东社会主义国家改革的悲剧说明</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随意照搬西方经济学并不能解决中国社会主义理论经济学和中国经济的现实难题</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唯一的出路在于进行合乎马克思主义基本精神和中国国情的理论创新。</w:t>
      </w:r>
    </w:p>
    <w:p w14:paraId="00BFF4A3">
      <w:pPr>
        <w:autoSpaceDE w:val="0"/>
        <w:autoSpaceDN w:val="0"/>
        <w:adjustRightInd w:val="0"/>
        <w:ind w:firstLine="420" w:firstLineChars="200"/>
        <w:jc w:val="center"/>
        <w:rPr>
          <w:rFonts w:ascii="宋体" w:hAnsi="宋体" w:eastAsia="宋体" w:cs="AdobeSongStd-Light"/>
          <w:b/>
          <w:color w:val="000000"/>
          <w:kern w:val="0"/>
          <w:sz w:val="21"/>
          <w:szCs w:val="21"/>
        </w:rPr>
      </w:pPr>
      <w:r>
        <w:rPr>
          <w:rFonts w:hint="eastAsia" w:ascii="宋体" w:hAnsi="宋体" w:eastAsia="宋体" w:cs="AdobeSongStd-Light"/>
          <w:b/>
          <w:color w:val="000000"/>
          <w:kern w:val="0"/>
          <w:sz w:val="21"/>
          <w:szCs w:val="21"/>
        </w:rPr>
        <w:t>传统和现有社会主义经济学理论模式的基本缺陷</w:t>
      </w:r>
    </w:p>
    <w:p w14:paraId="48586DB9">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在上述评析的基础上</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我们可对传统和现有的社会主义经济学理论模式的主要缺陷作一总结或概括。</w:t>
      </w:r>
    </w:p>
    <w:p w14:paraId="1CD100E3">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第一</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在规范分析层面</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单纯进行社会主义与资本主义的范畴和规律对比</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缺乏研究深度。中国传统的社会主义理论经济学受“苏联范式”的影响</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在描述社会主义生产关系的现象和本质时</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往往运用不同社会经济形态的简单对比来替代对其实证性的研究。实证性分析比重较少</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规范性分析掩饰经济活动中的某些内在矛盾。有关社会主义经济体制和经济行为的一些价值性判断立意不高</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理论视野不宽</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甚至过于武断。尽管在社会主义政治经济学的初创阶段和发展过程中难以避免</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但这毕竟是弊端之处。</w:t>
      </w:r>
    </w:p>
    <w:p w14:paraId="5A5DE911">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第二</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在实证描述层面</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没有继承马克思经济学高度重视数学方法的优良传统</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缺乏定量分析。</w:t>
      </w:r>
    </w:p>
    <w:p w14:paraId="5E8A59D4">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凡是了解外国经济学说史的人都确认</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与英国的斯密、李嘉图</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法国的魁奈、西斯蒙第以及德国的李斯特等人相比</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马克思是同时代经济学大师中运用定量分析最多和最好的典范。那种以为马克思经济学不重视定量研究的看法是一个误点</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那种以现代西方经济学大量采用数学方法来抨击马克思经济学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则属于一种无规则和反认识论的苛求。然而</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十分遗憾的是</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在过去社会主义理论经济学的理论研究中</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的确没有继承和发扬马克思经济学的这一学术特色</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没有借鉴当代西方经济学的一些分析工具</w:t>
      </w:r>
      <w:r>
        <w:rPr>
          <w:rFonts w:ascii="宋体" w:hAnsi="宋体" w:eastAsia="宋体" w:cs="Times New Roman"/>
          <w:color w:val="000000"/>
          <w:kern w:val="0"/>
          <w:sz w:val="21"/>
          <w:szCs w:val="21"/>
        </w:rPr>
        <w:t>，</w:t>
      </w:r>
      <w:r>
        <w:rPr>
          <w:rFonts w:hint="eastAsia" w:ascii="宋体" w:hAnsi="宋体" w:eastAsia="宋体" w:cs="Times New Roman"/>
          <w:color w:val="000000"/>
          <w:kern w:val="0"/>
          <w:sz w:val="21"/>
          <w:szCs w:val="21"/>
        </w:rPr>
        <w:t>对</w:t>
      </w:r>
      <w:r>
        <w:rPr>
          <w:rFonts w:hint="eastAsia" w:ascii="宋体" w:hAnsi="宋体" w:eastAsia="宋体" w:cs="AdobeSongStd-Light"/>
          <w:color w:val="000000"/>
          <w:kern w:val="0"/>
          <w:sz w:val="21"/>
          <w:szCs w:val="21"/>
        </w:rPr>
        <w:t>不少经济范畴、经济规律、经济运行和经济行为的阐述缺乏量的规定性。</w:t>
      </w:r>
    </w:p>
    <w:p w14:paraId="62BDE42A">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第三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在政策研究层面</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一味地“唯上”和“跟风”</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并作辩护性的解释</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缺乏反思意识。</w:t>
      </w:r>
    </w:p>
    <w:p w14:paraId="1FCBA5D7">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一国的经济政策同经济实态和价值判断是紧密相连的</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理论经济学的研究往往从不同的规范角度或实证角度推出相应的政策主张。问题在于</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基于科学理论规范和实证描述之上的具体政策推导</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同官僚主义的“唯意志论”的政策推行</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有天壤之别。倘若社会主义理论经济学时时刻刻围绕主观多变的经济政策转</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并以此来推导出实证性的结论和理论模型</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那就会葬送这门学科。传统政治经济学演变的历史教训值得记取。</w:t>
      </w:r>
    </w:p>
    <w:p w14:paraId="6610B342">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第四</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在学科重构层面</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以社会主义市场经济学取代社会主义理论经济学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缺乏本质揭示。</w:t>
      </w:r>
    </w:p>
    <w:p w14:paraId="1D6BB3C0">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西方国家搞了数百年的商品经济和市场经济并未出现市场经济学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尽管其政治经济学或经济学一直是以资本主义市场经济为分析背景</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以资本主义市场经济的资源配置为研究对象的。传统社会主义理论经济学是研究计划经济的</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改革后的社会主义理论经济学自然是研究社会主义市场经济的。不过</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这属于政治经济学研究的现实经济体制及相关内涵发生了变化</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并不意味着可以取消理论经济学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而用主要研究社会主义经济运行的市场经济学这门具体学科</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来替代作为各门具体经济学科理论基础和指导的社会主义政治经济学。笼统地以经济运行或资源配置的一般分析排斥特定经济关系的揭示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以经济关系的具体实现形式的一般分析排斥特定经济关系本质和根本经济制度的揭示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是不足取的。</w:t>
      </w:r>
    </w:p>
    <w:p w14:paraId="2A671911">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第五</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在方法变革层面</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简单照搬西方经济学的范畴和理论</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缺乏创新精神。</w:t>
      </w:r>
    </w:p>
    <w:p w14:paraId="3AA810BE">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改革陈旧的社会主义理论经济学需要进行方法论的拓展</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其中包括科学地借鉴国外经济学的分析方法和理论模型。但现有的某些社会主义理论经济学作品“食洋不化”</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以为西方经济学讲的观点都是真理</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用的方法都是科学的</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以致在分析方法、范畴体系和理论框架上作单纯的模仿</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甚至认为只要在现代西方经济学的教科书中添加一些中国经济案例或实证资料</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即为改革成功的现代社会主义理论经济学。这种“短平快式改革”的思潮比较时髦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操作起来也省力</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迎合了出书快和出名快的市场价值观。可是</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这终究不是严谨的思想和学术创新。</w:t>
      </w:r>
    </w:p>
    <w:p w14:paraId="4D272E9D">
      <w:pPr>
        <w:autoSpaceDE w:val="0"/>
        <w:autoSpaceDN w:val="0"/>
        <w:adjustRightInd w:val="0"/>
        <w:ind w:firstLine="420" w:firstLineChars="200"/>
        <w:jc w:val="center"/>
        <w:rPr>
          <w:rFonts w:ascii="宋体" w:hAnsi="宋体" w:eastAsia="宋体" w:cs="AdobeSongStd-Light"/>
          <w:color w:val="000000"/>
          <w:kern w:val="0"/>
          <w:sz w:val="21"/>
          <w:szCs w:val="21"/>
        </w:rPr>
      </w:pPr>
      <w:r>
        <w:rPr>
          <w:rFonts w:hint="eastAsia" w:ascii="宋体" w:hAnsi="宋体" w:eastAsia="宋体" w:cs="AdobeSongStd-Light"/>
          <w:b/>
          <w:color w:val="000000"/>
          <w:kern w:val="0"/>
          <w:sz w:val="21"/>
          <w:szCs w:val="21"/>
        </w:rPr>
        <w:t>重建中国社会主义经济学范式的原则与思路</w:t>
      </w:r>
    </w:p>
    <w:p w14:paraId="30B706EA">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当我们批评了传统和现有社会主义理论经济学的种种弊病以后</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就要回答究竟应当怎样科学地重建中国社会主义理论经济学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也就是说</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依据什么思想方法和理论原则来创新呢？笔者主张</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以中外社会主义经济实践为思想源泉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以马克思主义经济学的主要假设为基点</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积极吸纳古今中外各种经济思想的合理成分</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广泛借鉴相关社会科学和自然科学的可用方法</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构造既超越马克思经济学范式和苏联经济学范式</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又超越西方经济学范式的新范式</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即新建在世界经济大环境中主要反映中国初级社会主义市场经济独特性的经济学范式。</w:t>
      </w:r>
    </w:p>
    <w:p w14:paraId="01A67455">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（一）思想源泉：中外社会主义经济多种实践</w:t>
      </w:r>
    </w:p>
    <w:p w14:paraId="26E03470">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经济实践是经济认识的基础和检验经济学真理的唯一标准</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科学的经济学理论永远是在经济实践的基础上产生并随着经济实践的发展而发展。经济实践的内涵丰富多彩</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并非单指一国一时一地的具体经济活动或实践。然而</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人们在辨别某一经济理论的正确与否时</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往往固执地引用某一时空范围内具体经济实践的案例来确立检验其真理性。局部的或短期的经济实践并不能全面检验某一经济学原理的正确性。从这个角度说</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当代西方哲学中关于理论只能被“证伪”而不能被“证实”的认知方法有一定道理。即使是科学的经济学理论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也只能不断地被部分证实下去</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而不可能通过一次或若干次具体实践就得到全面和永远地证实</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但证伪只需一次</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也许这一证伪只具有个别或局部意义。</w:t>
      </w:r>
    </w:p>
    <w:p w14:paraId="4D850B46">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以社会主义与市场经济能否有效结合的重要命题为例，国内外许多学者对此都持否定意见</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并援引西方资本主义市场经济制度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苏东国家改革后的蜕变和我国公有经济比重下降来佐证。其实</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与西方产权学派的代言人张五常在此问题上混乱的逻辑相比</w:t>
      </w:r>
      <w:r>
        <w:rPr>
          <w:rFonts w:ascii="宋体" w:hAnsi="宋体" w:eastAsia="宋体" w:cs="AdobeSongStd-Light"/>
          <w:color w:val="000000"/>
          <w:kern w:val="0"/>
          <w:sz w:val="21"/>
          <w:szCs w:val="21"/>
          <w:vertAlign w:val="superscript"/>
        </w:rPr>
        <w:footnoteReference w:id="4"/>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该学派的创始人科斯讲得比较客观</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指出过去已有私有制与市场经济相结合的经验</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至于社会主义与市场经济能否相结合</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这一点目前不能证伪。观察中外现有市场经济实践的表象和本质</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可以部分地得到实证的说明</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即社会主义或公有制与市场经济能有效结合</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而苏东国家的经济大倒退和西方国家的金融危机等恰恰表明资本主义或私有制与市场经济的冲突和某种不相容。</w:t>
      </w:r>
    </w:p>
    <w:p w14:paraId="7DB76399">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重建社会主义理论经济学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必须以世界经济和人类经济的发展历史为大背景</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与资本主义市场经济的多类模式相对照</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重点从中外社会主义经济的多种实践中实证地描述出经济事物变动的基本现象</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科学地提炼和抽象出合乎经济事物本质的规律性范畴和原理。尽管恩格斯揭示过不成熟的经济关系与不成熟的经济理论之问的内在联系</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但这并不妨碍社会主义经济理论的某种前瞻研究。事实上</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社会主义市场经济的良性运转及其体制的不断完善</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正有赖于社会主义理论经济学的变革与创新。即使是作为中国经济史的计划经济实践</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也需要继续进行客观的实证分析和辩证的规范定性</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以便成为新经济学的经济史基础。</w:t>
      </w:r>
    </w:p>
    <w:p w14:paraId="21AC6902">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（二）理论基点：马克思主义经济学的主要假设</w:t>
      </w:r>
    </w:p>
    <w:p w14:paraId="679728CB">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在19和20世纪</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社会主义的定义有100多种。其中有资产阶级右翼和左翼的社会主义、小资产阶级的激进社会主义、空想或批判的社会主义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也有马克思主义的科学社会主义。中国社会主义理论经济学既然要从根本上反映作为先进生产力和生产关系代表的工人阶级利益</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那就必定要以马克思主义经济学为理论指南。如果对以往“左”的教条主义采取矫枉过正的学术态度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便容易形成一种善意的折中主义或保守的右倾思潮</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以为社会主义理论经济学只应进行“问题”的实证分析</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而无须进行含有“主义”的价值判断</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或者以为当代西方经济学教科书都是普遍真理</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只要加点中国经济实例即为创新的社会主义理论经济学。其实</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每个经济学流派均或多或少地确立了特定“主义”的价值判断。斯密主义与李斯特主义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凯恩斯主义与货币主义等等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难道没有价值判断的“主义”之争？所以</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症结不在于要不要“主义”一类的价值判断和思辨</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而在于其客观性和科学性如何。</w:t>
      </w:r>
    </w:p>
    <w:p w14:paraId="54C74A43">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过去</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由于人们强调马克思主义经济学的真理性和现实性</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因而一律偏好使用“普遍原理”或“基本原理”之类的词汇</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不愿或不敢退一步</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把其某些经济思想同时也视为一种“理论假设”</w:t>
      </w:r>
      <w:r>
        <w:rPr>
          <w:rFonts w:ascii="宋体" w:hAnsi="宋体" w:eastAsia="宋体" w:cs="AdobeSongStd-Light"/>
          <w:color w:val="000000"/>
          <w:kern w:val="0"/>
          <w:sz w:val="21"/>
          <w:szCs w:val="21"/>
        </w:rPr>
        <w:t xml:space="preserve"> </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似乎假设都是脱离实际的或无意义的空想和幻想</w:t>
      </w:r>
      <w:r>
        <w:rPr>
          <w:rFonts w:ascii="宋体" w:hAnsi="宋体" w:eastAsia="宋体" w:cs="AdobeSongStd-Light"/>
          <w:color w:val="000000"/>
          <w:kern w:val="0"/>
          <w:sz w:val="21"/>
          <w:szCs w:val="21"/>
          <w:vertAlign w:val="superscript"/>
        </w:rPr>
        <w:footnoteReference w:id="5"/>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进而贬低了马克思主义经济学原理的重要性。出于同当代西方经济学对话或论战的需要</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应当改变近代西方经济学和马克思经济学的用语习惯</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经常采用“理论假设”</w:t>
      </w:r>
      <w:r>
        <w:rPr>
          <w:rFonts w:ascii="宋体" w:hAnsi="宋体" w:eastAsia="宋体" w:cs="AdobeSongStd-Light"/>
          <w:color w:val="000000"/>
          <w:kern w:val="0"/>
          <w:sz w:val="21"/>
          <w:szCs w:val="21"/>
        </w:rPr>
        <w:t xml:space="preserve"> </w:t>
      </w:r>
      <w:r>
        <w:rPr>
          <w:rFonts w:hint="eastAsia" w:ascii="宋体" w:hAnsi="宋体" w:eastAsia="宋体" w:cs="AdobeSongStd-Light"/>
          <w:color w:val="000000"/>
          <w:kern w:val="0"/>
          <w:sz w:val="21"/>
          <w:szCs w:val="21"/>
        </w:rPr>
        <w:t>一词及其逻辑叙述方法。如同西方经济学同时把“生产三要素”、“私有高绩效”、“经济人”等说成是原理、公理和假设一样</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我们也可以把“劳动二重性”、“公有高绩效”</w:t>
      </w:r>
      <w:r>
        <w:rPr>
          <w:rFonts w:ascii="宋体" w:hAnsi="宋体" w:eastAsia="宋体" w:cs="AdobeSongStd-Light"/>
          <w:color w:val="000000"/>
          <w:kern w:val="0"/>
          <w:sz w:val="21"/>
          <w:szCs w:val="21"/>
        </w:rPr>
        <w:t xml:space="preserve"> </w:t>
      </w:r>
      <w:r>
        <w:rPr>
          <w:rFonts w:hint="eastAsia" w:ascii="宋体" w:hAnsi="宋体" w:eastAsia="宋体" w:cs="AdobeSongStd-Light"/>
          <w:color w:val="000000"/>
          <w:kern w:val="0"/>
          <w:sz w:val="21"/>
          <w:szCs w:val="21"/>
        </w:rPr>
        <w:t>、“</w:t>
      </w:r>
      <w:r>
        <w:rPr>
          <w:rFonts w:ascii="宋体" w:hAnsi="宋体" w:eastAsia="宋体" w:cs="AdobeSongStd-Light"/>
          <w:color w:val="000000"/>
          <w:kern w:val="0"/>
          <w:sz w:val="21"/>
          <w:szCs w:val="21"/>
        </w:rPr>
        <w:t xml:space="preserve"> </w:t>
      </w:r>
      <w:r>
        <w:rPr>
          <w:rFonts w:hint="eastAsia" w:ascii="宋体" w:hAnsi="宋体" w:eastAsia="宋体" w:cs="AdobeSongStd-Light"/>
          <w:color w:val="000000"/>
          <w:kern w:val="0"/>
          <w:sz w:val="21"/>
          <w:szCs w:val="21"/>
        </w:rPr>
        <w:t>利益人”等说成是原理、公理和假设。在某一经济学理论假设算不算作公理的间题上</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渗透着研究者主体的不同价值判断。基于不同的方法和立场</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即使马克思主义者拿出再硬的实证史料和逻辑证据</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资产阶级经济学家也不一定承认马克思主义经济学的一些基本理论是正确的</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但会确认其为理论假设</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这有益于讨论的简化和深化。</w:t>
      </w:r>
    </w:p>
    <w:p w14:paraId="1347E881">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此外</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马克思经济学、列宁经济学上某些被资本主义或前资本主义经济实践证明是正确的理论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以及属于对向社会主义过渡或社会主义的理论分析</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均必须在中外社会主义经济实践中进行检验及展开逻辑体系的完善。从这个意义上说</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那些原理、公理或理论预见</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不妨都可称之为理论假设。</w:t>
      </w:r>
    </w:p>
    <w:p w14:paraId="5FAC47C9">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简言之</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采用马列主义经济学的“劳动二重性”、“公有高绩效”和“利益人”（与西方经济学的“经济人”或“自私人”不同</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“利益人”是利己与利他相结合的）等主要假设为理论基点</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积极包容古今中外合理的经济思想</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并由此构筑社会主义理论经济学的新假设和新范式</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便能实现超越马克思经济学、苏联经济学和西方经济学的创新目标。</w:t>
      </w:r>
    </w:p>
    <w:p w14:paraId="25311E54">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例如</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从马克思经济学中概括出来的“公有高绩效”假设</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是指生产资料归全社会成员共同所有的公有制体系能达到社会绩效最大化。从邓小平经济理论中概括出来的“公有高绩效”假设</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是指生产资料全民所有制和集体所有制能达到社会绩效最大化。但其中均存在多种复杂的假设前提，如不存在严重的社会腐败</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委托代理双方权责是合理的</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国企承担额外社会义务需另行核算</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政府政策和操作没出现大失误，选聘的经营者有较高素质</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等等。只有大体同时具备这些前提条件</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社会主义公有制与市场经济的结合才能呈现高绩效。倘若过去或现实生活中搞好社会主义公有制的假设条件不存在而导致低绩效</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这并不能证明计划经济或市场经济的条件下公有制经济不可行。可见</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重建中的社会主义理论经济学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必须借鉴西方经济学表述“科斯定理”、“帕累托最优”或“市场效率假设”等方式</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精心研究马克思主义经济学经典和社会主义新经济理论所必然涉及到的这类假设及其前提条件</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大幅度提高理论的科学解释力和预见力。</w:t>
      </w:r>
    </w:p>
    <w:p w14:paraId="22B6EF58">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（三）学术渊源：古今中外经济学说的合理成分</w:t>
      </w:r>
    </w:p>
    <w:p w14:paraId="1827725E">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广义地说</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沿用式的继承、批判式的发展和否定式的摈弃等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均呈现出某种学术渊源联系。狭义地理解</w:t>
      </w:r>
      <w:r>
        <w:rPr>
          <w:rFonts w:hint="eastAsia"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也可将学术渊源界定为一种学术与另一种学术相互继承和发展的来源关系。重建中的中国社会主义理论经济学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不能采取传统的做法</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只强调马克思主义经济学经典作家的学术地位和渊源关系</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而盲目排斥其他；或者反过来</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只强调西方资产阶级经济学经典作品的学术作用。经典是必须拥有和重视的</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但仅仅拥有经典是远远不够的。</w:t>
      </w:r>
    </w:p>
    <w:p w14:paraId="580A4650">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综观人类经济理论变迁的历史</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任何一种新的经济学术体系均难以彻底抛弃前人的思想</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而往往是将超越和创新同继承有机地结合起来</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在不同程度上有扬有弃。不仅穆勒、马歇尔、萨缪尔森等近现代经济学说的综合经济学家</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李嘉图、弗里德曼、诺思等创立了新学派的西方经济学家，而且马克思、恩格斯、列宁、斯大林、毛泽东和邓小平创立和发展的科学社会主义经济理论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都一概如此。中国社会主义理论经济学的重建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应在保持与马克思主义经济学的主要学术渊源关系之外放眼世界</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综观历史</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积极汲取古今中外一切经济学说的合理成分</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并实现某些理论原创。其重点有两个：</w:t>
      </w:r>
    </w:p>
    <w:p w14:paraId="4DAAAC5B">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首先</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创新的中国社会主义理论经济学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必须科学地汲取当代外国经济思想。现代主流西方经济学的理论和西方诺贝尔经济学奖得主的理论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自然要高度重视</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但也不能轻视发达国家非主流经济学和发展中国家的经济学说。譬如</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美国的激进政治经济学和加尔布雷思的制度主义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英国的凯恩斯左派经济学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发展中国家的“中心——外围”、“</w:t>
      </w:r>
      <w:r>
        <w:rPr>
          <w:rFonts w:ascii="宋体" w:hAnsi="宋体" w:eastAsia="宋体" w:cs="AdobeSongStd-Light"/>
          <w:color w:val="000000"/>
          <w:kern w:val="0"/>
          <w:sz w:val="21"/>
          <w:szCs w:val="21"/>
        </w:rPr>
        <w:t xml:space="preserve"> </w:t>
      </w:r>
      <w:r>
        <w:rPr>
          <w:rFonts w:hint="eastAsia" w:ascii="宋体" w:hAnsi="宋体" w:eastAsia="宋体" w:cs="AdobeSongStd-Light"/>
          <w:color w:val="000000"/>
          <w:kern w:val="0"/>
          <w:sz w:val="21"/>
          <w:szCs w:val="21"/>
        </w:rPr>
        <w:t>依附”和“不平等交换”等国际贸易理论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日本的非正统马克思主义经济学说</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以及关于经济全球化悖论的经济思想</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等等。其中</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西方激进政治经济学关于“市场社会主义”的各种经济理论和政策主张</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对我国完善社会主义市场经济理论与实践具有较直接的借鉴意义。</w:t>
      </w:r>
    </w:p>
    <w:p w14:paraId="00030B63">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其次</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创新的中国社会主义理论经济学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必须科学地汲取中国古近代经济思想。我国古代的消费思想、人口思想、财政思想、生态经济思想</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康有为的社会主义“大同”经济学说</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孙中山的“三民主义”经济理论等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均有一定的合理成份。台湾学者构建的“新儒学经济与管理”思想体系</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加拿大华人学者倡导的“中庸经济学”理论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也值得高度关注</w:t>
      </w:r>
      <w:r>
        <w:rPr>
          <w:rFonts w:ascii="宋体" w:hAnsi="宋体" w:eastAsia="宋体" w:cs="AdobeSongStd-Light"/>
          <w:color w:val="000000"/>
          <w:kern w:val="0"/>
          <w:sz w:val="21"/>
          <w:szCs w:val="21"/>
          <w:vertAlign w:val="superscript"/>
        </w:rPr>
        <w:footnoteReference w:id="6"/>
      </w:r>
      <w:r>
        <w:rPr>
          <w:rFonts w:hint="eastAsia" w:ascii="宋体" w:hAnsi="宋体" w:eastAsia="宋体" w:cs="AdobeSongStd-Light"/>
          <w:color w:val="000000"/>
          <w:kern w:val="0"/>
          <w:sz w:val="21"/>
          <w:szCs w:val="21"/>
        </w:rPr>
        <w:t>。</w:t>
      </w:r>
    </w:p>
    <w:p w14:paraId="740703C6">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（四）方法泛化：相关社会科学和自然科学的可用知识</w:t>
      </w:r>
    </w:p>
    <w:p w14:paraId="729C8416">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马克思精通资产阶级政治经济学</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但在最后构建《资本论》3卷本政治经济学新体系时</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并未主要沿用当时西方经济学的一套方法</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尽管这些经济学方法也曾被视为学术前沿和最新工具。这是因为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马克思要实现对传统政治经济学的充分革命和全新超越</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决不能囿于资产阶级或小资产阶级政治经济学那套新方法。事实上，马克思在重视以往经济学方法论的同时</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重点是批判地借鉴了黑格尔的辩证法和费尔巴哈的唯物论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采用原创的唯物辩证法和历史唯物主义来改造政治经济学旧程式的。</w:t>
      </w:r>
    </w:p>
    <w:p w14:paraId="7C9FD84B">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要真正实现同时超越马克思经济学和西方经济学，必须学习马克思的这一独创精神</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突破中外政治经济学说史上的某些方法局限</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在重建中国社会主义理论经济学的过程中广泛借鉴和采用相关社会科学和自然科学的可用知识</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做到经济学方法论体系的有机整合。其中</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有以下个关节点:</w:t>
      </w:r>
    </w:p>
    <w:p w14:paraId="077F526C">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——借鉴现代哲学的方法和知识。在整个社会科学领域</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包括科学哲学在内的哲学方法对理论经济学的功用将逐渐凸现为最大和全面性的</w:t>
      </w:r>
      <w:r>
        <w:rPr>
          <w:rFonts w:ascii="宋体" w:hAnsi="宋体" w:eastAsia="宋体" w:cs="AdobeSongStd-Light"/>
          <w:color w:val="000000"/>
          <w:kern w:val="0"/>
          <w:sz w:val="21"/>
          <w:szCs w:val="21"/>
          <w:vertAlign w:val="superscript"/>
        </w:rPr>
        <w:footnoteReference w:id="7"/>
      </w:r>
      <w:r>
        <w:rPr>
          <w:rFonts w:hint="eastAsia" w:ascii="宋体" w:hAnsi="宋体" w:eastAsia="宋体" w:cs="AdobeSongStd-Light"/>
          <w:color w:val="000000"/>
          <w:kern w:val="0"/>
          <w:sz w:val="21"/>
          <w:szCs w:val="21"/>
        </w:rPr>
        <w:t>。人本主义、解释学、总体异化论和范式说等</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具有不可忽视的影响。</w:t>
      </w:r>
    </w:p>
    <w:p w14:paraId="3C973011">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——借鉴现代政治学的方法和知识。尽管政治经济学名称中的“政治”原意并非指现代意义的政治（目前西方建立的新政治经济学又属于另一种含义）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然而</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理论经济学不是不要汲取政治学的营养。关于市场与国家或政府的关系</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关于经济周期与行政推动或政治选举的关系</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关于经济全球化与政治霸权主义的关系</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无不需要结合一定的政治学方法和观点去透彻地解释之。</w:t>
      </w:r>
    </w:p>
    <w:p w14:paraId="60E68D6C">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——借鉴现代法学的方法和知识。理论经济学在研究经济制度和经济权利时必定要涉及到中外法学的分析方法和理论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尤其是有关现代企业制度、市场制度和国家决策制度的问题。</w:t>
      </w:r>
    </w:p>
    <w:p w14:paraId="44584557">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——借鉴现代社会学的方法和知识。社会学中关于社会阶层及其分化理论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人的交往理论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社会发展的综合动力理论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财富和收入分配及贫富分化理论等</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对理论经济学深入阐发阶级、交换和交易、经济制度变迁以及国民财富</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不无学术意义。</w:t>
      </w:r>
    </w:p>
    <w:p w14:paraId="25FBFBD4">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——借鉴现代伦理学的方法和知识。倘若说市场是第一只“看不见的手”和第一种调节经济的机制或力量</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政府是一只“看得见的手”和第二种调节经济的机制或力量</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那么</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伦理便是第二只“看得见的手”和第三种调节经济的机制或力量。在个人、企业、市场、政府乃至全球经济活动中</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伦理紧紧地与经济行为掺揉在一起</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表现为对公平与效率、义与利、诚与信等不同理解。理论经济学理应纳进“道德”和“至善”等伦理学的概念西方新制度经济学已接受“败德”和“机会主义”的术语。</w:t>
      </w:r>
    </w:p>
    <w:p w14:paraId="44491B47">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——借鉴现代美学的方法和知识。美是事物具有的某种形式、结构、属性和法则</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是一种能产生某种美感的客观性质。经济活动中存在美与丑的现象</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也有股市这类“野兽之美”</w:t>
      </w:r>
      <w:r>
        <w:rPr>
          <w:rFonts w:ascii="宋体" w:hAnsi="宋体" w:eastAsia="宋体" w:cs="AdobeSongStd-Light"/>
          <w:color w:val="000000"/>
          <w:kern w:val="0"/>
          <w:sz w:val="21"/>
          <w:szCs w:val="21"/>
        </w:rPr>
        <w:t xml:space="preserve"> </w:t>
      </w:r>
      <w:r>
        <w:rPr>
          <w:rFonts w:hint="eastAsia" w:ascii="宋体" w:hAnsi="宋体" w:eastAsia="宋体" w:cs="AdobeSongStd-Light"/>
          <w:color w:val="000000"/>
          <w:kern w:val="0"/>
          <w:sz w:val="21"/>
          <w:szCs w:val="21"/>
        </w:rPr>
        <w:t>的状态。“经济美”可归属为与自然美相并列的社会美范畴</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是指人类经济活动中具有制度公正、运行有序和发展和谐等属性。“经济学美”是指经济学理论体系形式上的完整和谐与该理论所揭示的内容上的完整和谐。应当用中外美学的某些思想来提高理论经济学的科学抽象度和学术品位。</w:t>
      </w:r>
    </w:p>
    <w:p w14:paraId="7ED47DAF">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——借鉴现代心理学的方法和知识。要改造西方经济学使用的“心理预期”、“心理偏好”和“主观效用”等范畴</w:t>
      </w:r>
      <w:r>
        <w:rPr>
          <w:rFonts w:ascii="宋体" w:hAnsi="宋体" w:eastAsia="宋体" w:cs="Times New Roman"/>
          <w:color w:val="000000"/>
          <w:kern w:val="0"/>
          <w:sz w:val="21"/>
          <w:szCs w:val="21"/>
        </w:rPr>
        <w:t xml:space="preserve">， </w:t>
      </w:r>
      <w:r>
        <w:rPr>
          <w:rFonts w:hint="eastAsia" w:ascii="宋体" w:hAnsi="宋体" w:eastAsia="宋体" w:cs="AdobeSongStd-Light"/>
          <w:color w:val="000000"/>
          <w:kern w:val="0"/>
          <w:sz w:val="21"/>
          <w:szCs w:val="21"/>
        </w:rPr>
        <w:t>吸收消费心理学、管理心理学和商业心理学基本理论层面的东西</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并以现代心理学和社会心理学的知识去拓展理论经济学。</w:t>
      </w:r>
    </w:p>
    <w:p w14:paraId="0D88E709">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——借鉴现代数学的方法和知识。不仅作为理论经济学重要内容的实证经济研究需要借助于各种数学方法</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而且规范经济研究也需要采用数学工具。博弈论可以论证微观经济、宏观经济和宇观经济（全球经济</w:t>
      </w:r>
      <w:r>
        <w:rPr>
          <w:rFonts w:ascii="宋体" w:hAnsi="宋体" w:eastAsia="宋体" w:cs="AdobeSongStd-Light"/>
          <w:color w:val="000000"/>
          <w:kern w:val="0"/>
          <w:sz w:val="21"/>
          <w:szCs w:val="21"/>
        </w:rPr>
        <w:t>）</w:t>
      </w:r>
      <w:r>
        <w:rPr>
          <w:rFonts w:hint="eastAsia" w:ascii="宋体" w:hAnsi="宋体" w:eastAsia="宋体" w:cs="AdobeSongStd-Light"/>
          <w:color w:val="000000"/>
          <w:kern w:val="0"/>
          <w:sz w:val="21"/>
          <w:szCs w:val="21"/>
        </w:rPr>
        <w:t>的许多理论问题</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包括用以阐释作为社会主义市场经济一种微观组织模式的“豫南一枝花”(亦有人贬之为经济怪物)</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即南街村</w:t>
      </w:r>
      <w:r>
        <w:rPr>
          <w:rFonts w:ascii="宋体" w:hAnsi="宋体" w:eastAsia="宋体" w:cs="AdobeSongStd-Light"/>
          <w:color w:val="000000"/>
          <w:kern w:val="0"/>
          <w:sz w:val="21"/>
          <w:szCs w:val="21"/>
          <w:vertAlign w:val="superscript"/>
        </w:rPr>
        <w:footnoteReference w:id="8"/>
      </w:r>
      <w:r>
        <w:rPr>
          <w:rFonts w:hint="eastAsia" w:ascii="宋体" w:hAnsi="宋体" w:eastAsia="宋体" w:cs="AdobeSongStd-Light"/>
          <w:color w:val="000000"/>
          <w:kern w:val="0"/>
          <w:sz w:val="21"/>
          <w:szCs w:val="21"/>
        </w:rPr>
        <w:t>。</w:t>
      </w:r>
    </w:p>
    <w:p w14:paraId="1A0D203A">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——借鉴现代生物学的方法和知识。人类是生物进化的产物</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其经济活动和演化过程仍有与生物相似的一面</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呈现为一定的仿生性。按照恩格斯的提示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在废除私有制和市场竟争制度之前</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人类没有最终脱离动物界。凭借现代生物学和社会生物学的方法和理论</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理论经济学可以充分发掘“利己人”、“利他人”、“利益人”、“自由人”、“市场人”和“计划人”</w:t>
      </w:r>
      <w:r>
        <w:rPr>
          <w:rFonts w:ascii="宋体" w:hAnsi="宋体" w:eastAsia="宋体" w:cs="AdobeSongStd-Light"/>
          <w:color w:val="000000"/>
          <w:kern w:val="0"/>
          <w:sz w:val="21"/>
          <w:szCs w:val="21"/>
        </w:rPr>
        <w:t xml:space="preserve"> </w:t>
      </w:r>
      <w:r>
        <w:rPr>
          <w:rFonts w:hint="eastAsia" w:ascii="宋体" w:hAnsi="宋体" w:eastAsia="宋体" w:cs="AdobeSongStd-Light"/>
          <w:color w:val="000000"/>
          <w:kern w:val="0"/>
          <w:sz w:val="21"/>
          <w:szCs w:val="21"/>
        </w:rPr>
        <w:t>等经济行为特征</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从而更深刻地揭示社会主义市场经济的运行机制和演进规律。</w:t>
      </w:r>
    </w:p>
    <w:p w14:paraId="2AF8D301">
      <w:pPr>
        <w:autoSpaceDE w:val="0"/>
        <w:autoSpaceDN w:val="0"/>
        <w:adjustRightInd w:val="0"/>
        <w:ind w:firstLine="420" w:firstLineChars="200"/>
        <w:rPr>
          <w:rFonts w:ascii="宋体" w:hAnsi="宋体" w:eastAsia="宋体" w:cs="AdobeSongStd-Light"/>
          <w:color w:val="000000"/>
          <w:kern w:val="0"/>
          <w:sz w:val="21"/>
          <w:szCs w:val="21"/>
        </w:rPr>
      </w:pPr>
      <w:r>
        <w:rPr>
          <w:rFonts w:hint="eastAsia" w:ascii="宋体" w:hAnsi="宋体" w:eastAsia="宋体" w:cs="AdobeSongStd-Light"/>
          <w:color w:val="000000"/>
          <w:kern w:val="0"/>
          <w:sz w:val="21"/>
          <w:szCs w:val="21"/>
        </w:rPr>
        <w:t>——借鉴系统论、信息论和场态论之类的方法和知识。依据系统优于非系统的特性</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将经济对象和经济行为作系统化分析；依据层次系统优于非层次系统的特性</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将经济系统作层次化分析；依据开放系统优于封闭系统的特性</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将经济系统作开放状态分析。不确定性、风险、信息的对称与不对称等信息学观点</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w:t>
      </w:r>
      <w:r>
        <w:rPr>
          <w:rFonts w:ascii="宋体" w:hAnsi="宋体" w:eastAsia="宋体" w:cs="AdobeSongStd-Light"/>
          <w:color w:val="000000"/>
          <w:kern w:val="0"/>
          <w:sz w:val="21"/>
          <w:szCs w:val="21"/>
        </w:rPr>
        <w:t xml:space="preserve"> </w:t>
      </w:r>
      <w:r>
        <w:rPr>
          <w:rFonts w:hint="eastAsia" w:ascii="宋体" w:hAnsi="宋体" w:eastAsia="宋体" w:cs="AdobeSongStd-Light"/>
          <w:color w:val="000000"/>
          <w:kern w:val="0"/>
          <w:sz w:val="21"/>
          <w:szCs w:val="21"/>
        </w:rPr>
        <w:t>场”等物理学观点和“社会场”的观点</w:t>
      </w:r>
      <w:r>
        <w:rPr>
          <w:rFonts w:ascii="宋体" w:hAnsi="宋体" w:eastAsia="宋体" w:cs="Times New Roman"/>
          <w:color w:val="000000"/>
          <w:kern w:val="0"/>
          <w:sz w:val="21"/>
          <w:szCs w:val="21"/>
        </w:rPr>
        <w:t>，</w:t>
      </w:r>
      <w:r>
        <w:rPr>
          <w:rFonts w:hint="eastAsia" w:ascii="宋体" w:hAnsi="宋体" w:eastAsia="宋体" w:cs="AdobeSongStd-Light"/>
          <w:color w:val="000000"/>
          <w:kern w:val="0"/>
          <w:sz w:val="21"/>
          <w:szCs w:val="21"/>
        </w:rPr>
        <w:t>均对经济改革与经济发展的理论层面考察具有方法论的价值。</w:t>
      </w:r>
    </w:p>
    <w:p w14:paraId="5EBA3342">
      <w:pPr>
        <w:ind w:firstLine="420" w:firstLineChars="200"/>
        <w:rPr>
          <w:rFonts w:eastAsia="宋体" w:cs="Times New Roman"/>
          <w:color w:val="000000"/>
          <w:sz w:val="21"/>
          <w:szCs w:val="21"/>
        </w:rPr>
      </w:pPr>
    </w:p>
    <w:p w14:paraId="3B9E4670">
      <w:pPr>
        <w:ind w:firstLine="420" w:firstLineChars="200"/>
        <w:rPr>
          <w:rFonts w:eastAsia="宋体" w:cs="Times New Roman"/>
          <w:color w:val="000000"/>
          <w:sz w:val="21"/>
          <w:szCs w:val="21"/>
        </w:rPr>
      </w:pPr>
      <w:r>
        <w:rPr>
          <w:rFonts w:hint="eastAsia" w:eastAsia="宋体" w:cs="Times New Roman"/>
          <w:color w:val="000000"/>
          <w:sz w:val="21"/>
          <w:szCs w:val="21"/>
        </w:rPr>
        <w:t>（原载《学术月刊》2000年第2期）</w:t>
      </w:r>
    </w:p>
    <w:p w14:paraId="77FA8FD8">
      <w:pPr>
        <w:pStyle w:val="3"/>
        <w:rPr>
          <w:rFonts w:hint="default" w:ascii="Times New Roman" w:hAnsi="Times New Roman" w:cs="Times New Roman"/>
          <w:lang w:val="zh-TW" w:eastAsia="zh-TW"/>
        </w:rPr>
      </w:pPr>
      <w:bookmarkStart w:id="18" w:name="_Toc8991"/>
      <w:bookmarkStart w:id="19" w:name="_Toc322442748"/>
      <w:bookmarkStart w:id="20" w:name="_Toc682655932"/>
      <w:r>
        <w:rPr>
          <w:rFonts w:hint="default" w:ascii="Times New Roman" w:hAnsi="Times New Roman" w:cs="Times New Roman"/>
          <w:lang w:val="zh-TW" w:eastAsia="zh-TW"/>
        </w:rPr>
        <w:t>论消费需求与经济增长</w:t>
      </w:r>
      <w:bookmarkEnd w:id="11"/>
      <w:bookmarkEnd w:id="12"/>
      <w:bookmarkEnd w:id="13"/>
      <w:bookmarkEnd w:id="14"/>
      <w:bookmarkEnd w:id="18"/>
      <w:bookmarkEnd w:id="19"/>
      <w:bookmarkEnd w:id="20"/>
    </w:p>
    <w:p w14:paraId="44E44CB6">
      <w:pPr>
        <w:autoSpaceDE w:val="0"/>
        <w:autoSpaceDN w:val="0"/>
        <w:adjustRightInd w:val="0"/>
        <w:spacing w:before="120" w:beforeLines="50"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自1997年10月以来，我国的一般物价水平持续走低，国民经济出现了轻微的通货紧缩的局面。中央政府为了克服经济增长乏力，保持经济较快增长的势头，近年来采取了大幅降息、发行债券、扩大政府投资等宏观政策措施。在出口难以快速增长的条件下，扩大内需仍是我国保持经济持续发展的主要方针。在扩大总需求的种种措施中，提高消费需求是一项有战略意义的经济政策。1999年11月中央经济工作会议也指出:“不断改善人民生活，是扩大有效需求、拉动经济增长的内在要求。”本文就消费需求与经济增长的有关问题作一粗浅论述。</w:t>
      </w:r>
    </w:p>
    <w:p w14:paraId="4CF54702">
      <w:pPr>
        <w:autoSpaceDE w:val="0"/>
        <w:autoSpaceDN w:val="0"/>
        <w:adjustRightInd w:val="0"/>
        <w:spacing w:before="120" w:beforeLines="50" w:after="120" w:afterLines="50" w:line="400" w:lineRule="exact"/>
        <w:ind w:firstLine="480" w:firstLineChars="200"/>
        <w:jc w:val="center"/>
        <w:rPr>
          <w:rFonts w:hint="default" w:ascii="Times New Roman" w:hAnsi="Times New Roman" w:eastAsia="黑体" w:cs="Times New Roman"/>
          <w:b w:val="0"/>
          <w:bCs/>
          <w:sz w:val="24"/>
          <w:szCs w:val="24"/>
        </w:rPr>
      </w:pPr>
      <w:r>
        <w:rPr>
          <w:rFonts w:hint="default" w:ascii="Times New Roman" w:hAnsi="Times New Roman" w:eastAsia="黑体" w:cs="Times New Roman"/>
          <w:b w:val="0"/>
          <w:bCs/>
          <w:sz w:val="24"/>
          <w:szCs w:val="24"/>
        </w:rPr>
        <w:t>一</w:t>
      </w:r>
    </w:p>
    <w:p w14:paraId="69122FE0">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我国目前的人均GNP只有700美元左右就出现了有效需求相对不足，形成这种有效需求不足的原因是复杂的。从诸多措施的实施结果看，启动现时的消费需求是一项系统工程，不是一二条政策措施就能解决所有问题的。因此，必须认真分析造成消费需求不旺的实质原因，以便找到有效对策，启动消费需求。根据前段时间出台政策的作用效果和当前的宏观经济现状考察，居民消费不振的主要原因大体有下面四个方面:</w:t>
      </w:r>
    </w:p>
    <w:p w14:paraId="5F4491EF">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（一）未来经济形势和收支预期因素</w:t>
      </w:r>
    </w:p>
    <w:p w14:paraId="5A7FC1BE">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在计划经济时期，企业不会倒闭，工人不会失业，实际收入不高但都有增长。特别是消费品的不完全市场化，居民的日常消费需求基本得到保障，居民对未来收入的不确定性预期几乎为零。加之耐用消费品的短缺，居民的消费需求非常强烈，以至于人们对银行的储蓄存款极为关注，担心“老虎要出笼”，引起剧烈的通货膨胀。现在情况已发生了变化，原来由政府和国有企业向城镇居民提供的就业、住房、医疗、养老、子女教育等保障，逐步转变为由居民自己承担全部或部分风险与费用，影响居民未来生活的不确定性因素明显增加。特别是，近几年国家加快了国企改革、下岗分流、减员增效等步伐；政府机构新一轮的改革已拉开帷幕，正在全面推开；取消福利分房，代之以住宅分配的货币化、市场化；医疗体制和教育体制的市场化和收费制改革不断出台。这些改革措施力度之大，涉及面之广，超过以往任一时期，对居民即期收入和预期支出产生了较大的影响，居民对未来收入增长的预期下降。更重要的是，人们无法作出稳定的支出预期，防范风险的储蓄倾向随之上升，即期消费相应减少。据有关部门对居民储蓄用途的调查结果显示，居民储蓄用于子女教育的占21%，用于就医的占16.3%，用于养老的占15%，用于购买住房的占14.2%，这几项用途共占66.5%。由于居民对未来收入和支出的不确定性预期，居民的即期消费大大减少，储蓄高速增长，高达40%左右。预计1999年底城乡居民储蓄存款余额将突破6万亿元。</w:t>
      </w:r>
    </w:p>
    <w:p w14:paraId="7FB5D4F9">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（二）居民收入差距扩大，居民平均消费倾向降低</w:t>
      </w:r>
    </w:p>
    <w:p w14:paraId="38A86827">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随着改革的不断深入，近年来，我国居民收入差距不断扩大。从抽样调查的结果来看，高收入家庭在城镇居民收入总份额中所占比例逐渐提高。最高收入户、高收入户在全部城镇居民生活费收入中的份额，分别从1991年的14.41%和12.11%提高到1997年的16.95%和13.33%。而最低收入户、低收入户所占比例由6.69%和7.86%下降到5.32%和6.74%。衡量城镇居民高、低收入差异大小的基尼系数1981年为0.16，1990年为0.23，1997年为0.29。加上农村因素，近年全国基尼系数约为0.38。1998年城镇居民最高收入相当于最低收入的4.41倍，比1997年高出0.22倍，当年最高收入户年人均为10962元，比上年增长6.9%，最低收入户年人均为2477元，仅比上年增长1.9%，前者比后者增幅高出5个百分点。</w:t>
      </w:r>
    </w:p>
    <w:p w14:paraId="40790BED">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从城镇居民的收入与消费看，收入越高，消费倾向越低。1997年城镇居民20%的低收入户的消费倾向为0.92，20%的中等收入户的消费倾向为0.83，20%的高收入户的消费倾向为0.73。1998年城乡居民平均消费倾向分别为0.80和0.74。收入差距的扩大，形成了不同的消费心理和消费群体，高收入家庭已大体完成家庭的“基本建设”，再购置大量商品的势头已下降，而广大低收入家庭尚在进入“基本建设”时期，欲大量购买却无力为之。</w:t>
      </w:r>
    </w:p>
    <w:p w14:paraId="5B9CAB60">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（三）供给结构不合理制约了消费需求扩大</w:t>
      </w:r>
    </w:p>
    <w:p w14:paraId="342FB1A9">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进入90年代以来，我国的经济体制改革不断深化，人们的生活水平逐步提高，居民的消费结构发生了明显的变化。但市场供给却没有完全适应这一变化，使我国现阶段的买方市场带有明显的结构性特征，主要表现为商品的供给未能适应具有不同收入水平和富裕程度以及特殊需求的消费者的需要。由于在经济转型时期，各地争项目、争投资，导致重复建设，各地的产业结构和产品结构有雷同化的特点，形成大量的无效供给，加剧了市场供给的矛盾。1997年全国工业库存积压商品13276亿元，加上已有商品库存，总值逾3万亿元。商品房积压6000万平方米，彩电、冰箱、洗衣机等家用电器生产能力利用率都在50%以下。加之一些企业不重视市场调查和科技开发，产品不对路，人民群众生活需要的却未能提供现实供给。尤其值得注意的是，农村市场拥有8亿消费者，这是一个巨大的市场。但相对于城镇而言，农村家电产品的普及率仍较低，且现在的产品许多功能不适应农村消费者的需要，因此，农村的消费需求能力还远未开发出来。</w:t>
      </w:r>
    </w:p>
    <w:p w14:paraId="0A0F06DA">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（四）各种限制性消费政策的影响</w:t>
      </w:r>
    </w:p>
    <w:p w14:paraId="1E9AED21">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某些沿袭短缺经济和卖方市场条件下的消费政策和消费体制，已经很不适应买方市场条件下鼓励消费的现实需要。例如，汽车不仅价格高出美国一倍，而且价外税费又多又滥，占车价的1/3，而发达国家只占4%；用电还在收取增容费和超计划用电加价；在住房消费上，各种名目繁多的收费占房价的1/3左右；进行中高等教育的消费限制很严，不如国外进入教育的成绩门槛设定较低。如果不消除限制性消费政策的影响，扩大内需就存在严重障碍，消费市场就难以充分活跃起来。</w:t>
      </w:r>
    </w:p>
    <w:p w14:paraId="4BF40A39">
      <w:pPr>
        <w:autoSpaceDE w:val="0"/>
        <w:autoSpaceDN w:val="0"/>
        <w:adjustRightInd w:val="0"/>
        <w:spacing w:before="120" w:beforeLines="50" w:after="120" w:afterLines="50" w:line="400" w:lineRule="exact"/>
        <w:ind w:firstLine="480" w:firstLineChars="200"/>
        <w:jc w:val="center"/>
        <w:rPr>
          <w:rFonts w:hint="default" w:ascii="Times New Roman" w:hAnsi="Times New Roman" w:eastAsia="黑体" w:cs="Times New Roman"/>
          <w:b w:val="0"/>
          <w:bCs/>
          <w:sz w:val="24"/>
          <w:szCs w:val="24"/>
        </w:rPr>
      </w:pPr>
      <w:r>
        <w:rPr>
          <w:rFonts w:hint="default" w:ascii="Times New Roman" w:hAnsi="Times New Roman" w:eastAsia="黑体" w:cs="Times New Roman"/>
          <w:b w:val="0"/>
          <w:bCs/>
          <w:sz w:val="24"/>
          <w:szCs w:val="24"/>
        </w:rPr>
        <w:t>二</w:t>
      </w:r>
    </w:p>
    <w:p w14:paraId="4FA0C9FD">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在启动消费的各种办法中，我们要找到消费不振的实质原因，才能有针对性地采取有效措施以提高消费需求，改变所谓“消费无热点”的状况。对教育市场、房地产市场和农村市场三个领域须予以特别关注。要提高消费，就必须考虑到参与市场交易的供需双方的意愿，既有潜在的需求，也有可能的供给。要采取措施消除在供需矛盾平衡中的各种不适应性，以便满足潜在需求，增加消费，拉动经济增长。</w:t>
      </w:r>
    </w:p>
    <w:p w14:paraId="2C09532E">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（一）教育市场</w:t>
      </w:r>
    </w:p>
    <w:p w14:paraId="0C52D763">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在市场经济条件下，教育不仅有传播知识和提高技能的作用，而且应当把它看成是一种产业，也存在投入和产出的问题。国内外经济发展的实践告诉我们，教育在国民经济增长中的贡献越来越大。如美国在1900～1957年的经济增长中，源于物质资本投入的回报率只有3.5倍，而人力资本的投入回报率高达17.5倍。不少调查研究表明，接受教育程度的高低与未来收入有较高的相关关系。接受教育程度越高，未来收入的不确定程度也就越小。根据詹尼克斯（Jencks，1972）的研究结果，父母的富有并不能保证子女的富有，父母的贫穷也不意味着子女注定贫穷，事实上两代人永久收入之间的相关系数只有0.3。再从上海下岗职工的抽样调查中可以发现，初中和初中以下文化程度的职工人数占停工待岗职工总数的93.6%，具有大专以上文化程度的职工总数比例只有0.6%。前面已谈到，在居民储蓄的目的中，子女教育居第一位。这说明，居民储蓄的一个重要目的是帮助子女接受更好的教育，以期减少子女未来收入的风险。1999年高等学校扩招33万人，按人均1万元消费，可以直接增加30多亿元的消费需求，并且还可以带动相关产业的发展。但是，现在教育扩张速度还较慢，设置了较高的考分障碍，影响了城乡居民大幅度提高中高等教育消费的积极性。同时，教育信贷普遍存在的问题是规模小、额度低、利息高、期限短，与广大教育消费者的需要极不相称。因此，国家要进一步采取措施，制定相应政策，大力发展教育及教育信贷。这不仅对刺激消费有利，而且从长远看，还有利于提高劳动者的素质，促进国民经济增长。</w:t>
      </w:r>
    </w:p>
    <w:p w14:paraId="79E68AAB">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（二）房地产市场</w:t>
      </w:r>
    </w:p>
    <w:p w14:paraId="759621EA">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改革开放以后，我国城乡居民住房水平有了较大改善，但从总体上讲，居住面积小，居住环境水平仍然较低。目前城镇人均住房面积仅为9平方米，其中有5000万城镇人口平均居住面积不足4平方米，同发达国家人均20～30平方米相比还有相当差距。而与此形成鲜明对比的是，1997年商品房闲置面积达6000万平方米。造成这种状况的根本原因是房价过高，现在全国平均房价仍高达2000元/平方米左右。即使是在改革开放较早，经济发展水平较高的广东省，个人购房的只占职工总数的7%。再如北京地区，买一套中等价格50万元的住房，普通的双职工家庭要不吃不喝20年。商品房价格居高不下的原因是房价结构有问题。据北京地区调查，土地成本占房价的1/3（国标水平一般为1/10至1/5），各种税费占1/3，建安成本占1/3左右。这么高的房价，即使居民想贷款购房，也难以承受。由于商品房大量闲置，开发商的投资难以收回，银行的信贷资金不能再发挥作用，形成了经济的恶性循环。现在要下决心采取有力措施处置数量庞大的闲置商品房，让房地产市场真正活跃起来，带动国民经济的发展。首先，要清理各种收费，坚决改掉一些收费项目；其次，银行也要对已投入的信贷资金进行清理，适当降低开发商的财务费用；第三，开发商也要根据社会平均利润水平，确定一个合理的利润率，适当降低开发利润，要按照“国家让点税，银行让点息，企业让点利”的原则，共同把房价切实降下来，以满足广大居民的住房消费需求。当前，有两个政策思路和操作方式是急需采用的：第一，采取银行追债、公开拍卖方式，即银行作为主要债权人，对开发商进行债权追诉，开发商委托拍卖公司进行公开拍卖，以拍卖所得归还债务或继续开发。其二，政府下决心拨款改善专业知识分子的住房状况。在近年各级党政系统住房问题解决之后，不应以住房货币化为理由，让教授的住房标准和实际水平停留在处级甚至科级上（上海只相当科级，甚至不如科级）。必须立即以当地公务员的实际住房的货币标准（如上海大约每平方米的建筑面积市价为4000元），来推行事业单位知识分子住房货币化政策。若不能如公务员那样在一二年内解决，可通过财政在三五年内合理解决，但不能长期歧视知识分子。这两种方法能够解开房地产市场目前存在的死结，让闲置的资产得到充分利用，刺激住宅消费，带动其他产业的发展。</w:t>
      </w:r>
    </w:p>
    <w:p w14:paraId="37BD4E37">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（三）农村市场</w:t>
      </w:r>
    </w:p>
    <w:p w14:paraId="2F3394F4">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我国有12亿多人口，8亿在农村。十一届三中全会以后，农业有了较快的增长，农民的收入水平有了较大的提高，购买力也相应增长。据统计，1997年我国已有2134亿农户，平均每百户拥有彩电27.3台、电冰箱8.8台、洗衣机21.9台，这就是说按相应的消费水平全国仍有1.7亿多农户没有彩电，2亿多农户没有冰箱，1.8亿多农户没有洗衣机。农村的商品市场是巨大的，但由于厂商在对农村市场的调研、产品的开发、商品销售渠道等方面存在问题，未能提供适销的商品供给农村市场，这部分需求得不到满足，一方面产品在积压，另一方面又满足不了现实需求。供求结构性矛盾是农村市场消费不振的主要原因，政府和厂家要共同采取切实可行的措施，减轻农民负担，增加农民收入，开发新产品，满足农民需要，扩大内需。</w:t>
      </w:r>
    </w:p>
    <w:p w14:paraId="0BE7BA6E">
      <w:pPr>
        <w:autoSpaceDE w:val="0"/>
        <w:autoSpaceDN w:val="0"/>
        <w:adjustRightInd w:val="0"/>
        <w:spacing w:before="120" w:beforeLines="50" w:after="120" w:afterLines="50" w:line="400" w:lineRule="exact"/>
        <w:ind w:firstLine="480" w:firstLineChars="200"/>
        <w:jc w:val="center"/>
        <w:rPr>
          <w:rFonts w:hint="default" w:ascii="Times New Roman" w:hAnsi="Times New Roman" w:eastAsia="黑体" w:cs="Times New Roman"/>
          <w:b w:val="0"/>
          <w:bCs/>
          <w:sz w:val="24"/>
          <w:szCs w:val="24"/>
        </w:rPr>
      </w:pPr>
      <w:r>
        <w:rPr>
          <w:rFonts w:hint="default" w:ascii="Times New Roman" w:hAnsi="Times New Roman" w:eastAsia="黑体" w:cs="Times New Roman"/>
          <w:b w:val="0"/>
          <w:bCs/>
          <w:sz w:val="24"/>
          <w:szCs w:val="24"/>
        </w:rPr>
        <w:t>三</w:t>
      </w:r>
    </w:p>
    <w:p w14:paraId="576B5523">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为了扩大内需，国家采取了各种政策措施以刺激消费，取得了一些成效。同时，为了正确地认识刺激消费的各种办法，少走弯路或为了避免失误，需要注意以下四个问题:</w:t>
      </w:r>
    </w:p>
    <w:p w14:paraId="1DC838BC">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（一）现时不宜把私有轿车作为启动消费的首要之点和中心</w:t>
      </w:r>
    </w:p>
    <w:p w14:paraId="6E107F0C">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如前所述，目前的居民收入差距有扩大趋势，低收入者还无力考虑购车消费，而高收入者则由于交通条件、停车泊位以及各种不合理税费的条件限制，降低了购车的热情。据报道，1998年中国的轿车产量为70万辆，而需求为50万辆，供过于求。另据中国社会事务调查所进行的一项调查表明，目前我国城市居民对贷款消费的积极性不高，针对购车贷款的调查表明:35%的居民无贷款意思，31%持观望态度，29%因手续繁杂而放弃，只有5%的人成功办理过贷款。可以看出，城市居民对轿车的购买行为在短期内变化不会很大，因此，不宜把轿车作为现在启动消费的主要热点。况且，大中城市必须以公共交通为主，企图用大规模推行“轿车进入家庭”来缓解城市交通，其政策思想本身就是错误的，世界各国已提供了现代城市交通发展正反两方面的经验。</w:t>
      </w:r>
    </w:p>
    <w:p w14:paraId="4D03AAA8">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（二）正确看待启动股市对启动消费的作用</w:t>
      </w:r>
    </w:p>
    <w:p w14:paraId="5C066066">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目前，有人提出“启动股市带动启动内需”的观点。其理论根据是:启动股市→股价上涨→收入增加→消费增加→内需扩大，即存在所谓“财富效应”。我们认为，持有这种观点的人把经济发展和股市升温的因果关系颠倒了。股市升温，“财富效应”本身应当是宏观经济形势向好的方向发展的结果，是经济发展自身带动了股市之后，再反过来发生某种反作用。经济发展是因，股市升温是果，因果不能倒置。再者，从西方发达国家的发展实践看，也没有哪一个国家的政府人为制定“刺激股市”的办法来启动内需。从长远来看，这种人为营造股市出现的“牛市”，靠的是过度的投机资金支撑，是一头饮鸩止渴的“病牛”。这对投资者，对完善和发展中国股票市场，对宏观经济的运行都是极为不利的。</w:t>
      </w:r>
    </w:p>
    <w:p w14:paraId="0D9B461F">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（三）尽快改变收入结构，提高居民消费倾向</w:t>
      </w:r>
    </w:p>
    <w:p w14:paraId="75252830">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这几年，由于居民收入的差距扩大，低收入者的增长幅度小于高收入者的增长幅度，使总体平均消费倾向降低。实践证明，低收入者的消费倾向要大于高收入者的消费倾向，中低收入者的消费是消费的重要组成部分，因而要尽快提高低收入者的收入，改善收入结构。具体办法可以是:加大政府的转移支付力度，直接增加低收入者的收入；政府要制订出可行的政策，大力发展第三产业，扩大就业量，增加居民收入；国家要运用价格杠杆调整农业产业结构，减轻农民负担，理顺粮食、棉花等流通体制，优质优价，切实增加农民收入；实行级差较大的累进个人所得税，抬高征税的起点，如上海市可以2000元作为征收个人所得税的起点。</w:t>
      </w:r>
    </w:p>
    <w:p w14:paraId="046F44A7">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（四）促进国内消费是长期的战略性措施</w:t>
      </w:r>
    </w:p>
    <w:p w14:paraId="0F60812C">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我们知道，需求是由投资、消费和净出口三大部分所组成。消费是生产的一般目的，又是生产的动力，在市场经济条件下，更应重视消费需求对经济的拉动作用。据测算，1978～1996年，我国GNP每年平均增长1360亿元，其中，消费需求的贡献率为61.7%，投资的贡献率为34.7%。1997年我国经济增长8.8%，其中投资需求拉动约为2.2%，消费需求拉动为4.9%，出口拉动为1.7%。这种结构同西方发达国家还有一段距离，其消费支出占GNP的比重在70%以上。因此，需求拉动不是权宜之计，而是长远的战略性措施。世界经济的发展史表明，在走向市场经济的过程中，必须十分重视需求拉动的作用。我国是一个发展中国家，也是一个社会主义大国，经济发展的立足点必须放在国内。扩大内需以拉动经济的政策是一个战略性的措施，必须坚定不移地执行下去。</w:t>
      </w:r>
    </w:p>
    <w:p w14:paraId="75126401">
      <w:pPr>
        <w:autoSpaceDE w:val="0"/>
        <w:autoSpaceDN w:val="0"/>
        <w:adjustRightInd w:val="0"/>
        <w:spacing w:line="400" w:lineRule="exact"/>
        <w:ind w:firstLine="420" w:firstLineChars="200"/>
        <w:rPr>
          <w:rFonts w:hint="default" w:ascii="Times New Roman" w:hAnsi="Times New Roman" w:eastAsia="宋体" w:cs="Times New Roman"/>
          <w:b/>
          <w:bCs/>
          <w:kern w:val="0"/>
          <w:szCs w:val="21"/>
        </w:rPr>
      </w:pPr>
    </w:p>
    <w:p w14:paraId="63D769FA">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b/>
          <w:bCs/>
          <w:kern w:val="0"/>
          <w:szCs w:val="21"/>
        </w:rPr>
        <w:t>参考文献</w:t>
      </w:r>
      <w:r>
        <w:rPr>
          <w:rFonts w:hint="default" w:ascii="Times New Roman" w:hAnsi="Times New Roman" w:eastAsia="宋体" w:cs="Times New Roman"/>
          <w:kern w:val="0"/>
          <w:szCs w:val="21"/>
        </w:rPr>
        <w:t>:</w:t>
      </w:r>
    </w:p>
    <w:p w14:paraId="194CC747">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（1）程恩富：《国家主导型市场经济论》，上海远东出版社1995年版。</w:t>
      </w:r>
    </w:p>
    <w:p w14:paraId="5ED2CD1C">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（2）刁永作：《需求拉动与经济增长》，《财经研究》1999年第5期。</w:t>
      </w:r>
    </w:p>
    <w:p w14:paraId="2D798012">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（3）张国华：《论收入差距对消费需求的影响及对策》，《财经研究》1999年第5期。</w:t>
      </w:r>
    </w:p>
    <w:p w14:paraId="11A3073C">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（4）宋铮：《中国居民储蓄行为研究》，《金融研究》1999年第6期。</w:t>
      </w:r>
    </w:p>
    <w:p w14:paraId="22E0F22C">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（5）言商：《如何看待储蓄猛增与消费低迷的反差》，《证券研究通讯》1999年第7期。</w:t>
      </w:r>
    </w:p>
    <w:p w14:paraId="20AE6D9F">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（6）宋养琰，宋颖：《关注居民有效消费不足》，《企业改革与管理》1999年第7期。</w:t>
      </w:r>
    </w:p>
    <w:p w14:paraId="78F1678A">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（7）胡舒云：《缘木焉能求鱼》，《南方周末》1999年6月23日。</w:t>
      </w:r>
    </w:p>
    <w:p w14:paraId="13BA9181">
      <w:pPr>
        <w:autoSpaceDE w:val="0"/>
        <w:autoSpaceDN w:val="0"/>
        <w:adjustRightInd w:val="0"/>
        <w:spacing w:line="400" w:lineRule="exact"/>
        <w:ind w:firstLine="420" w:firstLineChars="200"/>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（8）肖永英：《市民对贷款消费认同程度偏低》，《解放日报》1999年7月9日。</w:t>
      </w:r>
    </w:p>
    <w:p w14:paraId="1C90E267">
      <w:pPr>
        <w:autoSpaceDE w:val="0"/>
        <w:autoSpaceDN w:val="0"/>
        <w:adjustRightInd w:val="0"/>
        <w:spacing w:line="400" w:lineRule="exact"/>
        <w:ind w:firstLine="420" w:firstLineChars="200"/>
        <w:rPr>
          <w:rFonts w:hint="default" w:ascii="Times New Roman" w:hAnsi="Times New Roman" w:eastAsia="宋体" w:cs="Times New Roman"/>
          <w:kern w:val="0"/>
          <w:szCs w:val="21"/>
        </w:rPr>
      </w:pPr>
    </w:p>
    <w:p w14:paraId="4D47F0B9">
      <w:pPr>
        <w:spacing w:before="120" w:beforeLines="50" w:after="120" w:afterLines="50" w:line="400" w:lineRule="exact"/>
        <w:ind w:firstLine="420" w:firstLineChars="200"/>
        <w:jc w:val="left"/>
        <w:rPr>
          <w:rFonts w:hint="default" w:ascii="Times New Roman" w:hAnsi="Times New Roman" w:eastAsia="宋体" w:cs="Times New Roman"/>
          <w:szCs w:val="21"/>
        </w:rPr>
      </w:pPr>
      <w:r>
        <w:rPr>
          <w:rFonts w:hint="default" w:ascii="Times New Roman" w:hAnsi="Times New Roman" w:eastAsia="宋体" w:cs="Times New Roman"/>
          <w:szCs w:val="21"/>
        </w:rPr>
        <w:t>（原载《消费经济》2000年第1期，第二作者为汪桂进）</w:t>
      </w:r>
      <w:r>
        <w:rPr>
          <w:rFonts w:hint="default" w:ascii="Times New Roman" w:hAnsi="Times New Roman" w:eastAsia="宋体" w:cs="Times New Roman"/>
          <w:szCs w:val="21"/>
        </w:rPr>
        <w:br w:type="page"/>
      </w:r>
    </w:p>
    <w:p w14:paraId="5CCC8CC3">
      <w:pPr>
        <w:spacing w:line="400" w:lineRule="exact"/>
        <w:ind w:firstLine="502" w:firstLineChars="200"/>
        <w:rPr>
          <w:rFonts w:hint="default" w:ascii="Times New Roman" w:hAnsi="Times New Roman" w:eastAsia="宋体" w:cs="Times New Roman"/>
          <w:spacing w:val="8"/>
          <w:w w:val="112"/>
          <w:szCs w:val="21"/>
        </w:rPr>
      </w:pPr>
      <w:bookmarkStart w:id="21" w:name="_Toc93074521"/>
      <w:bookmarkStart w:id="22" w:name="_Toc257922084"/>
      <w:bookmarkStart w:id="23" w:name="_Toc18599"/>
      <w:r>
        <w:rPr>
          <w:rFonts w:hint="default" w:ascii="Times New Roman" w:hAnsi="Times New Roman" w:eastAsia="宋体" w:cs="Times New Roman"/>
          <w:spacing w:val="8"/>
          <w:w w:val="112"/>
          <w:szCs w:val="21"/>
        </w:rPr>
        <w:br w:type="page"/>
      </w:r>
    </w:p>
    <w:p w14:paraId="280A3AB0">
      <w:pPr>
        <w:pStyle w:val="3"/>
        <w:rPr>
          <w:rFonts w:hint="default" w:ascii="Times New Roman" w:hAnsi="Times New Roman" w:cs="Times New Roman"/>
          <w:lang w:val="zh-TW" w:eastAsia="zh-TW"/>
        </w:rPr>
      </w:pPr>
      <w:bookmarkStart w:id="24" w:name="_Toc30373"/>
      <w:bookmarkStart w:id="25" w:name="_Toc13559"/>
      <w:bookmarkStart w:id="26" w:name="_Toc28815"/>
      <w:bookmarkStart w:id="27" w:name="_Toc1194024255"/>
      <w:bookmarkStart w:id="28" w:name="_Toc1540606850"/>
      <w:r>
        <w:rPr>
          <w:rFonts w:hint="default" w:ascii="Times New Roman" w:hAnsi="Times New Roman" w:cs="Times New Roman"/>
          <w:lang w:val="zh-TW" w:eastAsia="zh-TW"/>
        </w:rPr>
        <w:t>社会进步与工会的作用</w:t>
      </w:r>
      <w:bookmarkEnd w:id="24"/>
      <w:bookmarkEnd w:id="25"/>
      <w:bookmarkEnd w:id="26"/>
      <w:bookmarkEnd w:id="27"/>
      <w:bookmarkEnd w:id="28"/>
    </w:p>
    <w:p w14:paraId="450B89B4">
      <w:pPr>
        <w:pStyle w:val="21"/>
        <w:spacing w:line="400" w:lineRule="exact"/>
        <w:ind w:firstLine="420" w:firstLineChars="200"/>
        <w:jc w:val="both"/>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内容摘要：西方工会对企业经济发展和经济绩效的推动力表现为</w:t>
      </w:r>
      <w:r>
        <w:rPr>
          <w:rFonts w:hint="default" w:ascii="Times New Roman" w:hAnsi="Times New Roman" w:cs="Times New Roman"/>
          <w:color w:val="000000"/>
          <w:sz w:val="21"/>
          <w:szCs w:val="21"/>
          <w:lang w:eastAsia="zh-CN"/>
        </w:rPr>
        <w:t>：</w:t>
      </w:r>
      <w:r>
        <w:rPr>
          <w:rFonts w:hint="default" w:ascii="Times New Roman" w:hAnsi="Times New Roman" w:cs="Times New Roman"/>
          <w:color w:val="000000"/>
          <w:sz w:val="21"/>
          <w:szCs w:val="21"/>
        </w:rPr>
        <w:t>促进投资和技术进步，促进管理水平的提升，促进团队精神和企业文化的发展，但其一般仅局限于一定范围的经济斗争，而不是从根本上为消除资本主义私有制去努力。若与资本主义市场经济中的工会相比，传统社会主义计划经济体制下的工会的作用是不大的。而在社会主义市场经济体制下，工会必然和必须发挥较大的作用。</w:t>
      </w:r>
    </w:p>
    <w:p w14:paraId="49E65682">
      <w:pPr>
        <w:pStyle w:val="21"/>
        <w:spacing w:line="400" w:lineRule="exact"/>
        <w:ind w:firstLine="420" w:firstLineChars="200"/>
        <w:jc w:val="both"/>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关键词：工会作用西方国情</w:t>
      </w:r>
    </w:p>
    <w:p w14:paraId="6A72B797">
      <w:pPr>
        <w:pStyle w:val="21"/>
        <w:spacing w:line="400" w:lineRule="exact"/>
        <w:ind w:firstLine="420" w:firstLineChars="200"/>
        <w:jc w:val="both"/>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中图分类</w:t>
      </w:r>
      <w:r>
        <w:rPr>
          <w:rFonts w:hint="default" w:ascii="Times New Roman" w:hAnsi="Times New Roman" w:cs="Times New Roman"/>
          <w:color w:val="000000"/>
          <w:sz w:val="21"/>
          <w:szCs w:val="21"/>
          <w:lang w:val="en-US" w:eastAsia="zh-CN"/>
        </w:rPr>
        <w:t>号：D411</w:t>
      </w:r>
    </w:p>
    <w:p w14:paraId="381D43E5">
      <w:pPr>
        <w:pStyle w:val="21"/>
        <w:spacing w:line="400" w:lineRule="exact"/>
        <w:ind w:firstLine="420" w:firstLineChars="200"/>
        <w:jc w:val="both"/>
        <w:rPr>
          <w:rFonts w:hint="default" w:ascii="Times New Roman" w:hAnsi="Times New Roman" w:cs="Times New Roman"/>
          <w:color w:val="000000"/>
          <w:sz w:val="21"/>
          <w:szCs w:val="21"/>
        </w:rPr>
      </w:pPr>
    </w:p>
    <w:p w14:paraId="36A60750">
      <w:pPr>
        <w:pStyle w:val="21"/>
        <w:spacing w:line="400" w:lineRule="exact"/>
        <w:ind w:firstLine="420" w:firstLineChars="200"/>
        <w:jc w:val="both"/>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在西方国家,工会的经济和社会作用是强大的。其对企业经济发展和经济绩效的推动力表现为下列几个主要层面。</w:t>
      </w:r>
    </w:p>
    <w:p w14:paraId="4F2AF832">
      <w:pPr>
        <w:pStyle w:val="21"/>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firstLine="480" w:firstLineChars="200"/>
        <w:jc w:val="center"/>
        <w:textAlignment w:val="auto"/>
        <w:rPr>
          <w:rFonts w:hint="default" w:ascii="Times New Roman" w:hAnsi="Times New Roman" w:eastAsia="黑体" w:cs="Times New Roman"/>
          <w:color w:val="000000"/>
          <w:sz w:val="24"/>
          <w:szCs w:val="24"/>
        </w:rPr>
      </w:pPr>
      <w:r>
        <w:rPr>
          <w:rFonts w:hint="default" w:ascii="Times New Roman" w:hAnsi="Times New Roman" w:eastAsia="黑体" w:cs="Times New Roman"/>
          <w:color w:val="000000"/>
          <w:sz w:val="24"/>
          <w:szCs w:val="24"/>
        </w:rPr>
        <w:t>一、促进投资和技术进步</w:t>
      </w:r>
    </w:p>
    <w:p w14:paraId="4BFD0E73">
      <w:pPr>
        <w:pStyle w:val="21"/>
        <w:spacing w:line="400" w:lineRule="exact"/>
        <w:ind w:firstLine="420" w:firstLineChars="200"/>
        <w:jc w:val="both"/>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西方国家工会的首要目标就是设法提高会员的工资和福利水准。而包括货币收入、劳务收入和实物收入在内的广义收入的不断增大，会加速资本对劳动的替代，并加快对降低产品成本的技术更新。换句话说，面临工会工资优势所形成的高生产成本，企业只有通过投资和使用更多的先进机器和寻求提高生产的技术来降低成本。这是因为，当产品市场竞争十分激烈时，倘若有工会的企业的劳动成本高于无工会的竞争对手15%或更多，则企业难以生存,除非相应提高本企业的劳动生产率。简言之，工会的工资压力会推动企业改进技术和生产方式。</w:t>
      </w:r>
    </w:p>
    <w:p w14:paraId="373BF051">
      <w:pPr>
        <w:pStyle w:val="21"/>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firstLine="480" w:firstLineChars="200"/>
        <w:jc w:val="center"/>
        <w:textAlignment w:val="auto"/>
        <w:rPr>
          <w:rFonts w:hint="default" w:ascii="Times New Roman" w:hAnsi="Times New Roman" w:eastAsia="黑体" w:cs="Times New Roman"/>
          <w:color w:val="000000"/>
          <w:sz w:val="24"/>
          <w:szCs w:val="24"/>
        </w:rPr>
      </w:pPr>
      <w:r>
        <w:rPr>
          <w:rFonts w:hint="default" w:ascii="Times New Roman" w:hAnsi="Times New Roman" w:eastAsia="黑体" w:cs="Times New Roman"/>
          <w:color w:val="000000"/>
          <w:sz w:val="24"/>
          <w:szCs w:val="24"/>
        </w:rPr>
        <w:t>二、促进管理水平的提升</w:t>
      </w:r>
    </w:p>
    <w:p w14:paraId="640C07FB">
      <w:pPr>
        <w:pStyle w:val="21"/>
        <w:spacing w:line="400" w:lineRule="exact"/>
        <w:ind w:firstLine="420" w:firstLineChars="200"/>
        <w:jc w:val="both"/>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西方工会通过对工人的工作变换、工作保障和劳动环境等协调或强力活动，促使企业管理水平的提高。面对强大的工会和较高的工资压力，企业主动或被动地釆取较优的人事制度、分配制度、劳保制度、民主管理制度等,以满足工会提出的物质利益和精神利益的要求。假如雇员对就业条件不满意，大都会运用</w:t>
      </w:r>
      <w:r>
        <w:rPr>
          <w:rFonts w:hint="default" w:ascii="Times New Roman" w:hAnsi="Times New Roman" w:cs="Times New Roman"/>
          <w:color w:val="000000"/>
          <w:sz w:val="21"/>
          <w:szCs w:val="21"/>
          <w:lang w:val="zh-CN" w:eastAsia="zh-CN"/>
        </w:rPr>
        <w:t>“跳槽”和“呼吁”两种</w:t>
      </w:r>
      <w:r>
        <w:rPr>
          <w:rFonts w:hint="default" w:ascii="Times New Roman" w:hAnsi="Times New Roman" w:cs="Times New Roman"/>
          <w:color w:val="000000"/>
          <w:sz w:val="21"/>
          <w:szCs w:val="21"/>
        </w:rPr>
        <w:t>态度。</w:t>
      </w:r>
      <w:r>
        <w:rPr>
          <w:rFonts w:hint="default" w:ascii="Times New Roman" w:hAnsi="Times New Roman" w:cs="Times New Roman"/>
          <w:color w:val="000000"/>
          <w:sz w:val="21"/>
          <w:szCs w:val="21"/>
          <w:lang w:val="zh-CN" w:eastAsia="zh-CN"/>
        </w:rPr>
        <w:t>“呼</w:t>
      </w:r>
      <w:r>
        <w:rPr>
          <w:rFonts w:hint="default" w:ascii="Times New Roman" w:hAnsi="Times New Roman" w:cs="Times New Roman"/>
          <w:color w:val="000000"/>
          <w:sz w:val="21"/>
          <w:szCs w:val="21"/>
        </w:rPr>
        <w:t>吁机制</w:t>
      </w:r>
      <w:r>
        <w:rPr>
          <w:rFonts w:hint="default" w:ascii="Times New Roman" w:hAnsi="Times New Roman" w:cs="Times New Roman"/>
          <w:color w:val="000000"/>
          <w:sz w:val="21"/>
          <w:szCs w:val="21"/>
          <w:lang w:val="zh-CN" w:eastAsia="zh-CN"/>
        </w:rPr>
        <w:t>”是</w:t>
      </w:r>
      <w:r>
        <w:rPr>
          <w:rFonts w:hint="default" w:ascii="Times New Roman" w:hAnsi="Times New Roman" w:cs="Times New Roman"/>
          <w:color w:val="000000"/>
          <w:sz w:val="21"/>
          <w:szCs w:val="21"/>
        </w:rPr>
        <w:t>雇员通过同雇主的对话和谈判来达到预定的目标。</w:t>
      </w:r>
      <w:r>
        <w:rPr>
          <w:rFonts w:hint="default" w:ascii="Times New Roman" w:hAnsi="Times New Roman" w:cs="Times New Roman"/>
          <w:color w:val="000000"/>
          <w:sz w:val="21"/>
          <w:szCs w:val="21"/>
          <w:lang w:val="zh-CN" w:eastAsia="zh-CN"/>
        </w:rPr>
        <w:t>“跳</w:t>
      </w:r>
      <w:r>
        <w:rPr>
          <w:rFonts w:hint="default" w:ascii="Times New Roman" w:hAnsi="Times New Roman" w:cs="Times New Roman"/>
          <w:color w:val="000000"/>
          <w:sz w:val="21"/>
          <w:szCs w:val="21"/>
        </w:rPr>
        <w:t>槽机制</w:t>
      </w:r>
      <w:r>
        <w:rPr>
          <w:rFonts w:hint="default" w:ascii="Times New Roman" w:hAnsi="Times New Roman" w:cs="Times New Roman"/>
          <w:color w:val="000000"/>
          <w:sz w:val="21"/>
          <w:szCs w:val="21"/>
          <w:lang w:val="zh-CN" w:eastAsia="zh-CN"/>
        </w:rPr>
        <w:t>”则是</w:t>
      </w:r>
      <w:r>
        <w:rPr>
          <w:rFonts w:hint="default" w:ascii="Times New Roman" w:hAnsi="Times New Roman" w:cs="Times New Roman"/>
          <w:color w:val="000000"/>
          <w:sz w:val="21"/>
          <w:szCs w:val="21"/>
        </w:rPr>
        <w:t>用调换新单位来表达对原单位工作条件的不满。对于单个雇员来说，向雇主表示不满可能会有风险,因为企业领导也许会把该雇员当作</w:t>
      </w:r>
      <w:r>
        <w:rPr>
          <w:rFonts w:hint="default" w:ascii="Times New Roman" w:hAnsi="Times New Roman" w:cs="Times New Roman"/>
          <w:color w:val="000000"/>
          <w:sz w:val="21"/>
          <w:szCs w:val="21"/>
          <w:lang w:val="zh-CN" w:eastAsia="zh-CN"/>
        </w:rPr>
        <w:t>“眼中</w:t>
      </w:r>
      <w:r>
        <w:rPr>
          <w:rFonts w:hint="default" w:ascii="Times New Roman" w:hAnsi="Times New Roman" w:cs="Times New Roman"/>
          <w:color w:val="000000"/>
          <w:sz w:val="21"/>
          <w:szCs w:val="21"/>
        </w:rPr>
        <w:t>钉”或</w:t>
      </w:r>
      <w:r>
        <w:rPr>
          <w:rFonts w:hint="default" w:ascii="Times New Roman" w:hAnsi="Times New Roman" w:cs="Times New Roman"/>
          <w:color w:val="000000"/>
          <w:sz w:val="21"/>
          <w:szCs w:val="21"/>
          <w:lang w:val="zh-CN" w:eastAsia="zh-CN"/>
        </w:rPr>
        <w:t>“高</w:t>
      </w:r>
      <w:r>
        <w:rPr>
          <w:rFonts w:hint="default" w:ascii="Times New Roman" w:hAnsi="Times New Roman" w:cs="Times New Roman"/>
          <w:color w:val="000000"/>
          <w:sz w:val="21"/>
          <w:szCs w:val="21"/>
        </w:rPr>
        <w:t>要价者</w:t>
      </w:r>
      <w:r>
        <w:rPr>
          <w:rFonts w:hint="default" w:ascii="Times New Roman" w:hAnsi="Times New Roman" w:cs="Times New Roman"/>
          <w:color w:val="000000"/>
          <w:sz w:val="21"/>
          <w:szCs w:val="21"/>
          <w:lang w:val="zh-CN" w:eastAsia="zh-CN"/>
        </w:rPr>
        <w:t>”而寻</w:t>
      </w:r>
      <w:r>
        <w:rPr>
          <w:rFonts w:hint="default" w:ascii="Times New Roman" w:hAnsi="Times New Roman" w:cs="Times New Roman"/>
          <w:color w:val="000000"/>
          <w:sz w:val="21"/>
          <w:szCs w:val="21"/>
        </w:rPr>
        <w:t>机加以打击报复。工会作为雇员集体的代表与雇主进行沟通和谈判，则不易出现此类情形。这对于降低辞职率、高资历雇员自觉学习技术和传授技术等均有益处。德国工会和雇员代表参加企业董事会或监事会,对增强管理素质起了非常大的作用。</w:t>
      </w:r>
    </w:p>
    <w:p w14:paraId="3B1B83A2">
      <w:pPr>
        <w:pStyle w:val="21"/>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firstLine="480" w:firstLineChars="200"/>
        <w:jc w:val="center"/>
        <w:textAlignment w:val="auto"/>
        <w:rPr>
          <w:rFonts w:hint="default" w:ascii="Times New Roman" w:hAnsi="Times New Roman" w:eastAsia="黑体" w:cs="Times New Roman"/>
          <w:color w:val="000000"/>
          <w:sz w:val="24"/>
          <w:szCs w:val="24"/>
        </w:rPr>
      </w:pPr>
      <w:r>
        <w:rPr>
          <w:rFonts w:hint="default" w:ascii="Times New Roman" w:hAnsi="Times New Roman" w:eastAsia="黑体" w:cs="Times New Roman"/>
          <w:color w:val="000000"/>
          <w:sz w:val="24"/>
          <w:szCs w:val="24"/>
        </w:rPr>
        <w:t>三、促进团队精神和企业文化的发展</w:t>
      </w:r>
    </w:p>
    <w:p w14:paraId="4576E872">
      <w:pPr>
        <w:pStyle w:val="21"/>
        <w:spacing w:line="400" w:lineRule="exact"/>
        <w:ind w:firstLine="420" w:firstLineChars="200"/>
        <w:jc w:val="both"/>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日本等国提供的经验表明,工会代表雇员一方在解决劳资矛盾、冲突,推动基于不同级阶层利益之上的群体主义共识，造就资本主义企业文化氛围方面，有着不可忽视的积极效应。丰田等雇主控制了企业和媒体舆论，宣传团队精神和企业文化的塑造都是他们的功劳。其实,包括丰田在内的日本工会在这方面发挥的主动和配合作用是很大的。如果日本工会像美国和欧洲国家的工会那样,较多地强调雇员的利益,同雇主作更多的斗争，那么，日本企业的团队精神也将会降至欧美国家的水平。</w:t>
      </w:r>
    </w:p>
    <w:p w14:paraId="605D06A7">
      <w:pPr>
        <w:pStyle w:val="21"/>
        <w:spacing w:line="400" w:lineRule="exact"/>
        <w:ind w:firstLine="420" w:firstLineChars="200"/>
        <w:jc w:val="both"/>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但是，西方国家的工会一般仅局限于一定范围的经济斗争,而不是从根本上为消除资本主义私有制去努力，因而在某种程度上成为资产阶级政党和国家掩盖阶级利益对立的工具。这是西方多数工会的两面性或双重效应（除少数共产党领导的红色工会之外）0</w:t>
      </w:r>
    </w:p>
    <w:p w14:paraId="4B077481">
      <w:pPr>
        <w:pStyle w:val="21"/>
        <w:spacing w:line="400" w:lineRule="exact"/>
        <w:ind w:firstLine="420" w:firstLineChars="200"/>
        <w:jc w:val="both"/>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尽管如此,西方右翼学者完全站在大资产阶级的经济立场上，在</w:t>
      </w:r>
      <w:r>
        <w:rPr>
          <w:rFonts w:hint="default" w:ascii="Times New Roman" w:hAnsi="Times New Roman" w:cs="Times New Roman"/>
          <w:color w:val="000000"/>
          <w:sz w:val="21"/>
          <w:szCs w:val="21"/>
          <w:lang w:val="zh-CN" w:eastAsia="zh-CN"/>
        </w:rPr>
        <w:t>“阶</w:t>
      </w:r>
      <w:r>
        <w:rPr>
          <w:rFonts w:hint="default" w:ascii="Times New Roman" w:hAnsi="Times New Roman" w:cs="Times New Roman"/>
          <w:color w:val="000000"/>
          <w:sz w:val="21"/>
          <w:szCs w:val="21"/>
        </w:rPr>
        <w:t>级博弈</w:t>
      </w:r>
      <w:r>
        <w:rPr>
          <w:rFonts w:hint="default" w:ascii="Times New Roman" w:hAnsi="Times New Roman" w:cs="Times New Roman"/>
          <w:color w:val="000000"/>
          <w:sz w:val="21"/>
          <w:szCs w:val="21"/>
          <w:lang w:val="zh-CN" w:eastAsia="zh-CN"/>
        </w:rPr>
        <w:t>”中</w:t>
      </w:r>
      <w:r>
        <w:rPr>
          <w:rFonts w:hint="default" w:ascii="Times New Roman" w:hAnsi="Times New Roman" w:cs="Times New Roman"/>
          <w:color w:val="000000"/>
          <w:sz w:val="21"/>
          <w:szCs w:val="21"/>
        </w:rPr>
        <w:t>仍极力攻击一切工会，声称工会是劳动力供给的不合理的“垄断组织</w:t>
      </w:r>
      <w:r>
        <w:rPr>
          <w:rFonts w:hint="default" w:ascii="Times New Roman" w:hAnsi="Times New Roman" w:cs="Times New Roman"/>
          <w:color w:val="000000"/>
          <w:sz w:val="21"/>
          <w:szCs w:val="21"/>
          <w:lang w:val="zh-CN" w:eastAsia="zh-CN"/>
        </w:rPr>
        <w:t>”，增</w:t>
      </w:r>
      <w:r>
        <w:rPr>
          <w:rFonts w:hint="default" w:ascii="Times New Roman" w:hAnsi="Times New Roman" w:cs="Times New Roman"/>
          <w:color w:val="000000"/>
          <w:sz w:val="21"/>
          <w:szCs w:val="21"/>
        </w:rPr>
        <w:t>加工资是导致产品成本上升和物价上涨的根源，扩大社会福利和社会保障会制造懒惰并降低经济效率。他们渲染资本主义社会经济</w:t>
      </w:r>
      <w:r>
        <w:rPr>
          <w:rFonts w:hint="default" w:ascii="Times New Roman" w:hAnsi="Times New Roman" w:cs="Times New Roman"/>
          <w:color w:val="000000"/>
          <w:sz w:val="21"/>
          <w:szCs w:val="21"/>
          <w:lang w:val="zh-CN" w:eastAsia="zh-CN"/>
        </w:rPr>
        <w:t>“高效</w:t>
      </w:r>
      <w:r>
        <w:rPr>
          <w:rFonts w:hint="default" w:ascii="Times New Roman" w:hAnsi="Times New Roman" w:cs="Times New Roman"/>
          <w:color w:val="000000"/>
          <w:sz w:val="21"/>
          <w:szCs w:val="21"/>
        </w:rPr>
        <w:t>率”和高福利的优越性时，只字不提这是劳动阶级及其工会和政党长期、反复和曲折争斗的结果。</w:t>
      </w:r>
    </w:p>
    <w:p w14:paraId="4A783746">
      <w:pPr>
        <w:pStyle w:val="21"/>
        <w:spacing w:line="400" w:lineRule="exact"/>
        <w:ind w:firstLine="420" w:firstLineChars="200"/>
        <w:jc w:val="both"/>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事实上，西方国家工会只是对部分劳动力供给和资本主义的分配格局起到一定的制约作用;在科技和劳动生产率不断提高的条件下，通过合法的谈判或罢工来增大收入和社会福利水平,是完全合情合理的，并非必然导致通货膨胀和经济效率的下降。这是马克思主义政治经济学在与资产阶级政治经济学交锋中早已阐明了的理论和现实问题。</w:t>
      </w:r>
    </w:p>
    <w:p w14:paraId="347DD6F7">
      <w:pPr>
        <w:pStyle w:val="21"/>
        <w:spacing w:line="400" w:lineRule="exact"/>
        <w:ind w:firstLine="420" w:firstLineChars="200"/>
        <w:jc w:val="both"/>
        <w:rPr>
          <w:rFonts w:hint="default" w:ascii="Times New Roman" w:hAnsi="Times New Roman" w:cs="Times New Roman"/>
          <w:color w:val="000000"/>
          <w:sz w:val="21"/>
          <w:szCs w:val="21"/>
        </w:rPr>
      </w:pPr>
      <w:r>
        <w:rPr>
          <w:rFonts w:hint="default" w:ascii="Times New Roman" w:hAnsi="Times New Roman" w:cs="Times New Roman"/>
          <w:color w:val="000000"/>
          <w:sz w:val="21"/>
          <w:szCs w:val="21"/>
        </w:rPr>
        <w:t>若与资本主义市场经济中的工会相比,传统社会主义计划经济体制下的工会的作用是不大的。而在社会主义市场经济体制下,工会必然和必须发挥较大的作用。这是因为，目前中国市场经济所形成的决策分散化、利益多元化、阶级（阶层）明晰化和行为货币化等，日益要求匸会作为工人阶级的一个具有广泛性的群众组织施展更大的功能,使之成为企业和政府的领导者同群众之间一个强有力的信息通道，成为民主化决策博弈的一个有效场所。其中,既要注重每个基层单位工会普遍的积极效应，更要注重每个行业工会和职工工会独特的强势效应。例如,上海市国立教育系统的教师住房水平大大低于党政系统的公务员，一个中年或老年教授的住房折合成货币，大多数还不到市区机关科级干部的实际水准。这种决策滞后的现象，对于实施科教兴国战略，尊重知识分子，以及提高国内学校的教育质量极为不利。如果教育工会能适时发挥应有的整体作用，集体向有关决策者沟通甚至施压，那就比单个教师或单个学校去努力要好得多。在公共决策</w:t>
      </w:r>
      <w:r>
        <w:rPr>
          <w:rFonts w:hint="default" w:ascii="Times New Roman" w:hAnsi="Times New Roman" w:cs="Times New Roman"/>
          <w:color w:val="000000"/>
          <w:sz w:val="21"/>
          <w:szCs w:val="21"/>
          <w:lang w:val="zh-CN" w:eastAsia="zh-CN"/>
        </w:rPr>
        <w:t>“经</w:t>
      </w:r>
      <w:r>
        <w:rPr>
          <w:rFonts w:hint="default" w:ascii="Times New Roman" w:hAnsi="Times New Roman" w:cs="Times New Roman"/>
          <w:color w:val="000000"/>
          <w:sz w:val="21"/>
          <w:szCs w:val="21"/>
        </w:rPr>
        <w:t>济人”倾向日渐明显的情形下（西方公共选择学派的理论观点），如此做法有助于决策的公开化、民主化和科学化，也有助于改善工会连</w:t>
      </w:r>
      <w:r>
        <w:rPr>
          <w:rFonts w:hint="default" w:ascii="Times New Roman" w:hAnsi="Times New Roman" w:cs="Times New Roman"/>
          <w:color w:val="000000"/>
          <w:sz w:val="21"/>
          <w:szCs w:val="21"/>
          <w:lang w:val="zh-CN" w:eastAsia="zh-CN"/>
        </w:rPr>
        <w:t>“橡皮</w:t>
      </w:r>
      <w:r>
        <w:rPr>
          <w:rFonts w:hint="default" w:ascii="Times New Roman" w:hAnsi="Times New Roman" w:cs="Times New Roman"/>
          <w:color w:val="000000"/>
          <w:sz w:val="21"/>
          <w:szCs w:val="21"/>
        </w:rPr>
        <w:t>图章”都不如的公众形象。</w:t>
      </w:r>
    </w:p>
    <w:p w14:paraId="02CAE702">
      <w:pPr>
        <w:pStyle w:val="21"/>
        <w:spacing w:line="400" w:lineRule="exact"/>
        <w:ind w:firstLine="420" w:firstLineChars="200"/>
        <w:jc w:val="both"/>
        <w:rPr>
          <w:rFonts w:hint="default" w:ascii="Times New Roman" w:hAnsi="Times New Roman" w:cs="Times New Roman"/>
          <w:color w:val="000000"/>
          <w:sz w:val="21"/>
          <w:szCs w:val="21"/>
        </w:rPr>
      </w:pPr>
    </w:p>
    <w:p w14:paraId="0954C68F">
      <w:pPr>
        <w:rPr>
          <w:rFonts w:hint="default" w:ascii="Times New Roman" w:hAnsi="Times New Roman" w:eastAsia="宋体" w:cs="Times New Roman"/>
          <w:lang w:eastAsia="zh-TW"/>
        </w:rPr>
      </w:pPr>
    </w:p>
    <w:p w14:paraId="62E93F1B">
      <w:pPr>
        <w:rPr>
          <w:rFonts w:hint="default" w:ascii="Times New Roman" w:hAnsi="Times New Roman" w:eastAsia="宋体" w:cs="Times New Roman"/>
          <w:lang w:eastAsia="zh-CN"/>
        </w:rPr>
      </w:pPr>
      <w:r>
        <w:rPr>
          <w:rFonts w:hint="default" w:ascii="Times New Roman" w:hAnsi="Times New Roman" w:eastAsia="宋体" w:cs="Times New Roman"/>
          <w:lang w:eastAsia="zh-CN"/>
        </w:rPr>
        <w:t>（</w:t>
      </w:r>
      <w:r>
        <w:rPr>
          <w:rFonts w:hint="default" w:ascii="Times New Roman" w:hAnsi="Times New Roman" w:eastAsia="宋体" w:cs="Times New Roman"/>
          <w:lang w:val="en-US" w:eastAsia="zh-CN"/>
        </w:rPr>
        <w:t>原载《</w:t>
      </w:r>
      <w:r>
        <w:rPr>
          <w:rFonts w:hint="default" w:ascii="Times New Roman" w:hAnsi="Times New Roman" w:eastAsia="宋体" w:cs="Times New Roman"/>
          <w:lang w:eastAsia="zh-TW"/>
        </w:rPr>
        <w:t>工会理论研究</w:t>
      </w:r>
      <w:r>
        <w:rPr>
          <w:rFonts w:hint="default" w:ascii="Times New Roman" w:hAnsi="Times New Roman" w:eastAsia="宋体" w:cs="Times New Roman"/>
          <w:lang w:val="en-US" w:eastAsia="zh-CN"/>
        </w:rPr>
        <w:t>》2000年第2期。</w:t>
      </w:r>
      <w:r>
        <w:rPr>
          <w:rFonts w:hint="default" w:ascii="Times New Roman" w:hAnsi="Times New Roman" w:eastAsia="宋体" w:cs="Times New Roman"/>
          <w:lang w:eastAsia="zh-CN"/>
        </w:rPr>
        <w:t>）</w:t>
      </w:r>
    </w:p>
    <w:p w14:paraId="757C9224">
      <w:pPr>
        <w:rPr>
          <w:rFonts w:hint="default" w:ascii="Times New Roman" w:hAnsi="Times New Roman" w:eastAsia="宋体" w:cs="Times New Roman"/>
          <w:lang w:eastAsia="zh-CN"/>
        </w:rPr>
      </w:pPr>
      <w:r>
        <w:rPr>
          <w:rFonts w:hint="default" w:ascii="Times New Roman" w:hAnsi="Times New Roman" w:eastAsia="宋体" w:cs="Times New Roman"/>
          <w:lang w:eastAsia="zh-CN"/>
        </w:rPr>
        <w:br w:type="page"/>
      </w:r>
    </w:p>
    <w:p w14:paraId="6D2955BC">
      <w:pPr>
        <w:rPr>
          <w:rFonts w:hint="default" w:ascii="Times New Roman" w:hAnsi="Times New Roman" w:eastAsia="宋体" w:cs="Times New Roman"/>
          <w:lang w:eastAsia="zh-CN"/>
        </w:rPr>
      </w:pPr>
    </w:p>
    <w:p w14:paraId="4CD1D767">
      <w:pPr>
        <w:rPr>
          <w:rFonts w:hint="default" w:ascii="Times New Roman" w:hAnsi="Times New Roman" w:eastAsia="PMingLiU" w:cs="Times New Roman"/>
          <w:lang w:eastAsia="zh-TW"/>
        </w:rPr>
      </w:pPr>
    </w:p>
    <w:p w14:paraId="42FA0159">
      <w:pPr>
        <w:pStyle w:val="3"/>
        <w:rPr>
          <w:rFonts w:hint="default" w:ascii="Times New Roman" w:hAnsi="Times New Roman" w:cs="Times New Roman"/>
          <w:highlight w:val="none"/>
          <w:lang w:val="zh-TW" w:eastAsia="zh-TW"/>
        </w:rPr>
      </w:pPr>
      <w:bookmarkStart w:id="29" w:name="_Toc15739"/>
      <w:bookmarkStart w:id="30" w:name="_Toc3946"/>
      <w:bookmarkStart w:id="31" w:name="_Toc16853"/>
      <w:bookmarkStart w:id="32" w:name="_Toc1878456217"/>
      <w:bookmarkStart w:id="33" w:name="_Toc768996071"/>
      <w:r>
        <w:rPr>
          <w:rFonts w:hint="default" w:ascii="Times New Roman" w:hAnsi="Times New Roman" w:cs="Times New Roman"/>
          <w:highlight w:val="none"/>
          <w:lang w:val="zh-TW" w:eastAsia="zh-TW"/>
        </w:rPr>
        <w:t>中国经济的高绩效与制度优势</w:t>
      </w:r>
      <w:bookmarkEnd w:id="29"/>
      <w:bookmarkEnd w:id="30"/>
      <w:bookmarkEnd w:id="31"/>
      <w:bookmarkEnd w:id="32"/>
      <w:bookmarkEnd w:id="33"/>
    </w:p>
    <w:p w14:paraId="2D4A928D">
      <w:pPr>
        <w:pStyle w:val="4"/>
        <w:spacing w:before="211" w:line="400" w:lineRule="exact"/>
        <w:ind w:right="142" w:firstLine="420" w:firstLineChars="200"/>
        <w:rPr>
          <w:rFonts w:hint="default" w:ascii="Times New Roman" w:hAnsi="Times New Roman" w:eastAsia="宋体" w:cs="Times New Roman"/>
        </w:rPr>
      </w:pPr>
      <w:r>
        <w:rPr>
          <w:rFonts w:hint="default" w:ascii="Times New Roman" w:hAnsi="Times New Roman" w:eastAsia="宋体" w:cs="Times New Roman"/>
          <w:color w:val="444444"/>
        </w:rPr>
        <w:t>建国来，我国的经济发展取得长足的进展。有必要对我国经济发展的整体绩效作一客观评价，由此得出一些制度分析的结论。</w:t>
      </w:r>
    </w:p>
    <w:p w14:paraId="2A27259E">
      <w:pPr>
        <w:pStyle w:val="21"/>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firstLine="480" w:firstLineChars="200"/>
        <w:jc w:val="center"/>
        <w:textAlignment w:val="auto"/>
        <w:rPr>
          <w:rFonts w:hint="default" w:ascii="Times New Roman" w:hAnsi="Times New Roman" w:eastAsia="黑体" w:cs="Times New Roman"/>
          <w:color w:val="000000"/>
          <w:sz w:val="24"/>
          <w:szCs w:val="24"/>
        </w:rPr>
      </w:pPr>
      <w:r>
        <w:rPr>
          <w:rFonts w:hint="default" w:ascii="Times New Roman" w:hAnsi="Times New Roman" w:eastAsia="黑体" w:cs="Times New Roman"/>
          <w:color w:val="000000"/>
          <w:sz w:val="24"/>
          <w:szCs w:val="24"/>
        </w:rPr>
        <w:t>一、新中国30年的经济绩效</w:t>
      </w:r>
    </w:p>
    <w:p w14:paraId="0A8FD969">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color w:val="444444"/>
        </w:rPr>
      </w:pPr>
      <w:r>
        <w:rPr>
          <w:rFonts w:hint="default" w:ascii="Times New Roman" w:hAnsi="Times New Roman" w:eastAsia="宋体" w:cs="Times New Roman"/>
          <w:color w:val="444444"/>
        </w:rPr>
        <w:t>国民党留给新中国的是一个带有显著封建性、买办性和官僚性及物质技术基础极其薄弱的烂摊子。据资料记载，</w:t>
      </w:r>
      <w:r>
        <w:rPr>
          <w:rFonts w:hint="default" w:ascii="Times New Roman" w:hAnsi="Times New Roman" w:eastAsia="宋体" w:cs="Times New Roman"/>
          <w:color w:val="444444"/>
          <w:vertAlign w:val="superscript"/>
        </w:rPr>
        <w:t>①</w:t>
      </w:r>
      <w:r>
        <w:rPr>
          <w:rFonts w:hint="default" w:ascii="Times New Roman" w:hAnsi="Times New Roman" w:eastAsia="宋体" w:cs="Times New Roman"/>
          <w:color w:val="444444"/>
        </w:rPr>
        <w:t>1949年我国的社会总产值为557亿元，工农业总产值466亿元，而人均的国民收入只有66元，从总量上看国民经济十分弱小。再从产业结构来看，第一产业约占58</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5％，第二产业为25</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9％，第三产业是26</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4％。当时，我国是一个农业国。</w:t>
      </w:r>
    </w:p>
    <w:p w14:paraId="18B3D365">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color w:val="444444"/>
        </w:rPr>
      </w:pPr>
      <w:r>
        <w:rPr>
          <w:rFonts w:hint="default" w:ascii="Times New Roman" w:hAnsi="Times New Roman" w:eastAsia="宋体" w:cs="Times New Roman"/>
          <w:color w:val="444444"/>
        </w:rPr>
        <w:t>在建国初期的国民经济三年恢复时期，国家经济工作的中心是恢复生产、增加供给、稳定市场、初步解决社会总需求和总供给之间的严重失衡。通过仅3年的努力，我国的国民经济得到了恢复，社会总需求和总供给的矛盾得到了缓解，国民经济的总量有了较大的增长，其主要标志是工农业生产的发展速度较高。在这期间，我国农业总产值的年增长率达到14</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1％，远远高于历史上的各个时期；而同期工业总产值的年增长率，更是超过了农业，竟高达34</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8％。一些主要的工农业产品产量，也都达到了历史的最高水平。从总体实力上说，我国已超过了亚洲的另一农业大国—印度。国民经济的恢复和经济总量的增加，为我国进入工业化的进程和产业结构的升级换代打下了良好的基础。此外，在产业结构上也有了一定的改善，交通运输业和商业得到了较快的发展。如按可比价格计算，1950年我国的社会商品零售总额仅为170</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6亿元，而到了1952年，就发展到276</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3亿元，增长幅度达62</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3％。</w:t>
      </w:r>
    </w:p>
    <w:p w14:paraId="3E921873">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color w:val="444444"/>
        </w:rPr>
      </w:pPr>
      <w:r>
        <w:rPr>
          <w:rFonts w:hint="default" w:ascii="Times New Roman" w:hAnsi="Times New Roman" w:eastAsia="宋体" w:cs="Times New Roman"/>
          <w:color w:val="444444"/>
        </w:rPr>
        <w:t>我国的经济体制，从国民经济恢复任务完成以后到党的十一届三中全会之前，实行的是保留一定商品货币关系的计划经济体制，并进入全面的工业化建设阶段。1957年，我国高效益地完成了“一五”计划，使社会主义经济制度的优越性获得了显著的展示。</w:t>
      </w:r>
    </w:p>
    <w:p w14:paraId="517460E5">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color w:val="444444"/>
        </w:rPr>
      </w:pPr>
      <w:r>
        <w:rPr>
          <w:rFonts w:hint="default" w:ascii="Times New Roman" w:hAnsi="Times New Roman" w:eastAsia="宋体" w:cs="Times New Roman"/>
          <w:color w:val="444444"/>
        </w:rPr>
        <w:t>但随后出现的急于求成的“大跃进”，重工业异军突起，导致了轻重工业结构的急剧变化和严重失调，使轻工业产品市场供给严重短缺，最终给人们的日常生活带来了不便。在政策部分失误、自然灾害严重和苏联停止援助三重因素制约下，国民经济进入三年调整时期。经过正常发展几年后，又开始受到10年“文化大革命”的某些不良影响。接着的两年，经济发展较快。总之，在1952—1978年间，我国经济发展的速度是相当快的，国内生产总值从679亿元上升到3624</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1亿元。年均增长6</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1％；产业结构也有了显著的改善，三次产业的比重从50</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5、20</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9和28</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6调整为28</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1、48</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2和23</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7；尽管人口增加太快，但生活质量综合指数年均仍增长2</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5％。同时，我国已从建国初一个相当落后的农业国，发展成为一个具有较强综合国力和初级工业化的国家，形成了独立的工业体系、技术体系和国民经济自我发展体系。</w:t>
      </w:r>
    </w:p>
    <w:p w14:paraId="6F3E5BD7">
      <w:pPr>
        <w:pStyle w:val="21"/>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left="0" w:right="0" w:firstLine="480" w:firstLineChars="200"/>
        <w:jc w:val="center"/>
        <w:textAlignment w:val="auto"/>
        <w:rPr>
          <w:rFonts w:hint="default" w:ascii="Times New Roman" w:hAnsi="Times New Roman" w:eastAsia="黑体" w:cs="Times New Roman"/>
          <w:color w:val="000000"/>
          <w:sz w:val="24"/>
          <w:szCs w:val="24"/>
        </w:rPr>
      </w:pPr>
      <w:r>
        <w:rPr>
          <w:rFonts w:hint="default" w:ascii="Times New Roman" w:hAnsi="Times New Roman" w:eastAsia="黑体" w:cs="Times New Roman"/>
          <w:color w:val="000000"/>
          <w:sz w:val="24"/>
          <w:szCs w:val="24"/>
        </w:rPr>
        <w:t>二、改革开放20年的经济绩效</w:t>
      </w:r>
    </w:p>
    <w:p w14:paraId="4C4D2B5B">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color w:val="444444"/>
        </w:rPr>
      </w:pPr>
      <w:r>
        <w:rPr>
          <w:rFonts w:hint="default" w:ascii="Times New Roman" w:hAnsi="Times New Roman" w:eastAsia="宋体" w:cs="Times New Roman"/>
          <w:color w:val="444444"/>
        </w:rPr>
        <w:t>改革开放调动了各方面的积极性、主动性和创造性，更大地解放和发展了社会生产力。20年来，我国国民经济总量迅速增强，产业结构不断高级化，综合国力明显增强，人民生活显著改善，各项社会事业蓬勃发展。1979—1998年，国内生产总值由3624亿元猛增到7952</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8亿元，按可比价格计算，平均每年增长9</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7％，于1995年提前5年实现了国民生产总值比1980年翻两番的计划目标。1988年，我国经济总量已位居世界第七位，同期，人均国内生产总值由379元提高到6404元，剔除价格因素，平均每年实际增长8</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4％。长期以来的商品短缺问题得到解决。</w:t>
      </w:r>
    </w:p>
    <w:p w14:paraId="626933F0">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color w:val="444444"/>
        </w:rPr>
      </w:pPr>
      <w:r>
        <w:rPr>
          <w:rFonts w:hint="default" w:ascii="Times New Roman" w:hAnsi="Times New Roman" w:eastAsia="宋体" w:cs="Times New Roman"/>
          <w:color w:val="444444"/>
        </w:rPr>
        <w:t>改革开放以来我国轻重工业生产增长经历了“轻工业优先发展、轻重工业同步发展、加强基础工业建设、重工业加快发展”的不断变化过程。改革初期至80年代中期，摆脱了过去那种重工业自我循环、消费品工业受到抑制的局面，以尽快满足城乡居民生活水平迅速提高的需要。80年代末期发生的全国性的抢购风潮和90年代初呈现的市场疲软现象，一方面说明人们消费心理的不稳定，另一方面也标志着我国居民消费的数量扩张阶段已经结束，注重质量、注重服务、注重享受等新的消费观念和消费需求逐渐增强。与此同时，国民经济的快速发展受到能源、原材料等基础产业的“瓶颈制约”。90年代以来，随着国家对基础产业、基础设施投入力度的加大、加强，重工业开始了较快的发展。简言之，在产业结构方面，通过优先发展轻工业，扩大高档耐用消费品进口，加强基础产业、基础设施建设，大力发展第三产业等一系列政策和措施，使我国产业结构逐渐趋于协调，并向优化和升级的方向发展。1979—1998年，我国各种产业都有了较快的发展，其中，第一产业增加值年均增长5％，第二、第三产业增加值分别增长11</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7％和10</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5％；三次产业增长速度的不同导致了产业结构的明显变化，三次产业增加值在宏观经济的总量中的比例关系，由1979年的31</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2∶47</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4∶21</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4变为19</w:t>
      </w:r>
      <w:r>
        <w:rPr>
          <w:rFonts w:hint="default" w:ascii="Times New Roman" w:hAnsi="Times New Roman" w:eastAsia="宋体" w:cs="Times New Roman"/>
          <w:color w:val="444444"/>
          <w:lang w:val="en-US"/>
        </w:rPr>
        <w:t>9</w:t>
      </w:r>
      <w:r>
        <w:rPr>
          <w:rFonts w:hint="default" w:ascii="Times New Roman" w:hAnsi="Times New Roman" w:eastAsia="宋体" w:cs="Times New Roman"/>
          <w:color w:val="444444"/>
        </w:rPr>
        <w:t>8年的18</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0∶49</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2∶32</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8。</w:t>
      </w:r>
    </w:p>
    <w:p w14:paraId="4F6BEC57">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color w:val="444444"/>
        </w:rPr>
      </w:pPr>
      <w:r>
        <w:rPr>
          <w:rFonts w:hint="default" w:ascii="Times New Roman" w:hAnsi="Times New Roman" w:eastAsia="宋体" w:cs="Times New Roman"/>
          <w:color w:val="444444"/>
        </w:rPr>
        <w:t>随着经济的快速发展，国内市场商品供应紧张的矛盾明显缓解。目前，在统计的商品中，已不存在供不应求的商品。消费者面对琳琅满目的商品，有了较多的挑选余地。国内市场保持繁荣稳定。1998年，社会消费品零售额29152</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5亿元，按当年价格计算，比1978年增长18</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7倍，年均递增17</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0％。</w:t>
      </w:r>
    </w:p>
    <w:p w14:paraId="5F46CEF8">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color w:val="444444"/>
        </w:rPr>
      </w:pPr>
      <w:r>
        <w:rPr>
          <w:rFonts w:hint="default" w:ascii="Times New Roman" w:hAnsi="Times New Roman" w:eastAsia="宋体" w:cs="Times New Roman"/>
          <w:color w:val="444444"/>
        </w:rPr>
        <w:t>改革开放的20年，是人民得到的实惠最多、生活水平提高最快的20年。农村居民人均纯收入由1978年的13</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6元提高到1998年的2162元，城镇居民家庭人均可支配收入由343</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5元增加到5425元，扣除价格上涨因素，年均增长7</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9％和6％左右。此外，城乡居民拥有的金融资产总额超过7万亿元。随着收入和消费水平大幅度提高，消费结构发生了变化。居民的恩格尔系数不断下降；住宅条件和生存环境进一步改善；医疗保健条件大改善，人民的体质明显提高；多层次的社会保障体系正在建立健全；精神生活更加丰富，文化素质有所提高。1997年，我国居民整体生活水平已接近小康生活目标。其中，城市居民整体生活水平小康综合评价得分已达90分；农村居民整体生活水平小康综合评价得分达81</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5分。</w:t>
      </w:r>
    </w:p>
    <w:p w14:paraId="2D4446B5">
      <w:pPr>
        <w:pStyle w:val="21"/>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left="0" w:right="0" w:firstLine="480" w:firstLineChars="200"/>
        <w:jc w:val="center"/>
        <w:textAlignment w:val="auto"/>
        <w:rPr>
          <w:rFonts w:hint="default" w:ascii="Times New Roman" w:hAnsi="Times New Roman" w:eastAsia="黑体" w:cs="Times New Roman"/>
          <w:color w:val="000000"/>
          <w:sz w:val="24"/>
          <w:szCs w:val="24"/>
        </w:rPr>
      </w:pPr>
      <w:r>
        <w:rPr>
          <w:rFonts w:hint="default" w:ascii="Times New Roman" w:hAnsi="Times New Roman" w:eastAsia="黑体" w:cs="Times New Roman"/>
          <w:color w:val="000000"/>
          <w:sz w:val="24"/>
          <w:szCs w:val="24"/>
        </w:rPr>
        <w:t>三、基本结论</w:t>
      </w:r>
    </w:p>
    <w:p w14:paraId="4560A5A9">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color w:val="444444"/>
        </w:rPr>
      </w:pPr>
      <w:r>
        <w:rPr>
          <w:rFonts w:hint="default" w:ascii="Times New Roman" w:hAnsi="Times New Roman" w:eastAsia="宋体" w:cs="Times New Roman"/>
          <w:color w:val="444444"/>
        </w:rPr>
        <w:t>建国50年来经济和社会发展的整体绩效名列世界前茅。这表现在：其一，国内生产总值由1952年的679亿元增加到1998年7953亿元，扣除价格因素，年均增长7</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7％，大大高于同期世界年均增长约3％的水平。国民经济的总量从解放前居世界第40多位上升到197年的第7位。其二，综合国力得分由1952年的42</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762迅速上升至1978年的12</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8696和1996年的283</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5，年均增长率分别为3</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81％和5</w:t>
      </w:r>
      <w:r>
        <w:rPr>
          <w:rFonts w:hint="default" w:ascii="Times New Roman" w:hAnsi="Times New Roman" w:eastAsia="微软雅黑" w:cs="Times New Roman"/>
          <w:color w:val="444444"/>
        </w:rPr>
        <w:t>.</w:t>
      </w:r>
      <w:r>
        <w:rPr>
          <w:rFonts w:hint="default" w:ascii="Times New Roman" w:hAnsi="Times New Roman" w:eastAsia="宋体" w:cs="Times New Roman"/>
          <w:color w:val="444444"/>
        </w:rPr>
        <w:t>25％。综合国力从建国前世界排名的第13位提高到1962年的第10位，70年代中期的第7位和现在的第5位。新中国经济和社会发展的巨大成就表明了如下事实和理论：</w:t>
      </w:r>
    </w:p>
    <w:p w14:paraId="67875A13">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color w:val="444444"/>
        </w:rPr>
      </w:pPr>
      <w:r>
        <w:rPr>
          <w:rFonts w:hint="default" w:ascii="Times New Roman" w:hAnsi="Times New Roman" w:eastAsia="宋体" w:cs="Times New Roman"/>
          <w:color w:val="444444"/>
        </w:rPr>
        <w:t>首先，在近代史上，洪秀全、孙中山等杰出领袖试图通过各种私有制方案的社会变革来达到国富民强的目的，但均未成功，这促使中华民族顺应世界潮流的本质趋势，选择了社会主义道路。此种制度选择不能说为时过早。因为，包括国民党统治在内的中国近代社会经济发展极其缓慢，留下的是一穷二白的面貌，与世界主要国家的经济差距是在拉大的，而新中国成立后这些差距逐年缩小。它充分说明马克思主义关于落后国家可以进行社会主义革命和建设这一原理的正确性。其次，尽管有霸权主义国家的封锁和遏制、中苏关系破裂和苏东巨变、对外援助较多、国防开支较大、“左”右倾思想干扰、体制弊端较多、人口增长太快等一系列国内外不利因素，但得益于公有制内生机制的优势、共产党的执政和马克思主义的</w:t>
      </w:r>
      <w:r>
        <w:rPr>
          <w:rFonts w:hint="default" w:ascii="Times New Roman" w:hAnsi="Times New Roman" w:eastAsia="宋体" w:cs="Times New Roman"/>
          <w:color w:val="444444"/>
          <w:lang w:val="en-US"/>
        </w:rPr>
        <w:t>指导，</w:t>
      </w:r>
      <w:r>
        <w:rPr>
          <w:rFonts w:hint="default" w:ascii="Times New Roman" w:hAnsi="Times New Roman" w:eastAsia="宋体" w:cs="Times New Roman"/>
          <w:color w:val="444444"/>
        </w:rPr>
        <w:t>改革前30年也取得了不可否定的史无前例变化和绩效，而改革后20年的绩效更高。假如这些不利因素大幅度减弱，中国的发展实绩完全可以远远超出一切资本主义国家。</w:t>
      </w:r>
    </w:p>
    <w:p w14:paraId="4F97858F">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color w:val="444444"/>
        </w:rPr>
      </w:pPr>
      <w:r>
        <w:rPr>
          <w:rFonts w:hint="default" w:ascii="Times New Roman" w:hAnsi="Times New Roman" w:eastAsia="宋体" w:cs="Times New Roman"/>
          <w:color w:val="444444"/>
        </w:rPr>
        <w:t>第三，只要坚持公有制在经营性资产的质和量两方面都占优势，实行市场经济并不会倒退到资本主义社会。邓小平“三个有利”的精神实质不是混淆社会主义同资本主义的本质区别，是在坚持社会主义“四项基本原则”和公有制占主体的条件下，利用多种产权制度和政策手段，加速推动生产力发展和加</w:t>
      </w:r>
      <w:r>
        <w:rPr>
          <w:rFonts w:hint="default" w:ascii="Times New Roman" w:hAnsi="Times New Roman" w:eastAsia="宋体" w:cs="Times New Roman"/>
          <w:color w:val="444444"/>
        </w:rPr>
        <mc:AlternateContent>
          <mc:Choice Requires="wps">
            <w:drawing>
              <wp:anchor distT="0" distB="0" distL="114300" distR="114300" simplePos="0" relativeHeight="251675648" behindDoc="1" locked="0" layoutInCell="1" allowOverlap="1">
                <wp:simplePos x="0" y="0"/>
                <wp:positionH relativeFrom="page">
                  <wp:posOffset>2920365</wp:posOffset>
                </wp:positionH>
                <wp:positionV relativeFrom="paragraph">
                  <wp:posOffset>940435</wp:posOffset>
                </wp:positionV>
                <wp:extent cx="59055" cy="314960"/>
                <wp:effectExtent l="0" t="0" r="0" b="0"/>
                <wp:wrapNone/>
                <wp:docPr id="184" name="文本框 184"/>
                <wp:cNvGraphicFramePr/>
                <a:graphic xmlns:a="http://schemas.openxmlformats.org/drawingml/2006/main">
                  <a:graphicData uri="http://schemas.microsoft.com/office/word/2010/wordprocessingShape">
                    <wps:wsp>
                      <wps:cNvSpPr txBox="1"/>
                      <wps:spPr>
                        <a:xfrm>
                          <a:off x="0" y="0"/>
                          <a:ext cx="59055" cy="314960"/>
                        </a:xfrm>
                        <a:prstGeom prst="rect">
                          <a:avLst/>
                        </a:prstGeom>
                        <a:noFill/>
                        <a:ln>
                          <a:noFill/>
                        </a:ln>
                      </wps:spPr>
                      <wps:txbx>
                        <w:txbxContent>
                          <w:p w14:paraId="0E113101">
                            <w:pPr>
                              <w:pStyle w:val="4"/>
                              <w:spacing w:line="495" w:lineRule="exact"/>
                              <w:ind w:left="0"/>
                              <w:rPr>
                                <w:rFonts w:ascii="HGBZ_CNKI" w:hAnsi="HGBZ_CNKI"/>
                              </w:rPr>
                            </w:pPr>
                            <w:r>
                              <w:rPr>
                                <w:rFonts w:ascii="HGBZ_CNKI" w:hAnsi="HGBZ_CNKI"/>
                                <w:w w:val="44"/>
                              </w:rPr>
                              <w:t>“</w:t>
                            </w:r>
                          </w:p>
                        </w:txbxContent>
                      </wps:txbx>
                      <wps:bodyPr lIns="0" tIns="0" rIns="0" bIns="0" upright="1"/>
                    </wps:wsp>
                  </a:graphicData>
                </a:graphic>
              </wp:anchor>
            </w:drawing>
          </mc:Choice>
          <mc:Fallback>
            <w:pict>
              <v:shape id="_x0000_s1026" o:spid="_x0000_s1026" o:spt="202" type="#_x0000_t202" style="position:absolute;left:0pt;margin-left:229.95pt;margin-top:74.05pt;height:24.8pt;width:4.65pt;mso-position-horizontal-relative:page;z-index:-251640832;mso-width-relative:page;mso-height-relative:page;" filled="f" stroked="f" coordsize="21600,21600" o:gfxdata="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AuVhAu2gAAAAsBAAAPAAAAAAAAAAEAIAAAACIAAABkcnMvZG93bnJldi54bWxQ&#10;SwECFAAUAAAACACHTuJA42laMrwBAAB0AwAADgAAAAAAAAABACAAAAApAQAAZHJzL2Uyb0RvYy54&#10;bWxQSwUGAAAAAAYABgBZAQAAVwUAAAAA&#10;">
                <v:fill on="f" focussize="0,0"/>
                <v:stroke on="f"/>
                <v:imagedata o:title=""/>
                <o:lock v:ext="edit" aspectratio="f"/>
                <v:textbox inset="0mm,0mm,0mm,0mm">
                  <w:txbxContent>
                    <w:p w14:paraId="0E113101">
                      <w:pPr>
                        <w:pStyle w:val="4"/>
                        <w:spacing w:line="495" w:lineRule="exact"/>
                        <w:ind w:left="0"/>
                        <w:rPr>
                          <w:rFonts w:ascii="HGBZ_CNKI" w:hAnsi="HGBZ_CNKI"/>
                        </w:rPr>
                      </w:pPr>
                      <w:r>
                        <w:rPr>
                          <w:rFonts w:ascii="HGBZ_CNKI" w:hAnsi="HGBZ_CNKI"/>
                          <w:w w:val="44"/>
                        </w:rPr>
                        <w:t>“</w:t>
                      </w:r>
                    </w:p>
                  </w:txbxContent>
                </v:textbox>
              </v:shape>
            </w:pict>
          </mc:Fallback>
        </mc:AlternateContent>
      </w:r>
      <w:r>
        <w:rPr>
          <w:rFonts w:hint="default" w:ascii="Times New Roman" w:hAnsi="Times New Roman" w:eastAsia="宋体" w:cs="Times New Roman"/>
          <w:color w:val="444444"/>
        </w:rPr>
        <w:t>强公有制经济，以便在渐渐消除剥削和两极分化的基础上逐步实现共同富裕。新中国制度变革后的社会主义，比发达资本主义能更快地正确处理好公平与效率这一对矛盾。第四，新中国的崛起和强大，引起具有冷战”和“新经济殖民主义”思维的人的惊慌，某些本性自私的西方国家及其代言人，害怕我国走社会主义市场道路经济成功后变得更为富强，因而通过经济遏制、文化渗透和政治干涉，透迫中华民族走苏东私有化的分裂主义衰败之路。然而，中国领导人和思想精英经历过或研究过多种健全与不健全的私有制制度，其旨在赶超一切私有制国家而实行“市场社会主义”的理念，是建立在新旧中国纵向比较和中外经济横向比较的经验基础之上的，代表着当代人类的先进思想。只要科学地操作好社会主义市场经济制度，这种东方公有主体型“经济美”的社会必将成为世界的楷模。</w:t>
      </w:r>
    </w:p>
    <w:p w14:paraId="2B2FB9B9">
      <w:pPr>
        <w:pStyle w:val="4"/>
        <w:spacing w:before="211" w:line="400" w:lineRule="exact"/>
        <w:ind w:right="142" w:firstLine="420" w:firstLineChars="200"/>
        <w:rPr>
          <w:rFonts w:hint="default" w:ascii="Times New Roman" w:hAnsi="Times New Roman" w:eastAsia="宋体" w:cs="Times New Roman"/>
          <w:color w:val="444444"/>
        </w:rPr>
      </w:pPr>
      <w:r>
        <w:rPr>
          <w:rFonts w:hint="default" w:ascii="Times New Roman" w:hAnsi="Times New Roman" w:eastAsia="宋体" w:cs="Times New Roman"/>
          <w:color w:val="444444"/>
        </w:rPr>
        <w:t>注：</w:t>
      </w:r>
    </w:p>
    <w:p w14:paraId="5A0CA0CC">
      <w:pPr>
        <w:pStyle w:val="4"/>
        <w:spacing w:before="211" w:line="400" w:lineRule="exact"/>
        <w:ind w:right="142" w:firstLine="420" w:firstLineChars="200"/>
        <w:rPr>
          <w:rFonts w:hint="default" w:ascii="Times New Roman" w:hAnsi="Times New Roman" w:eastAsia="宋体" w:cs="Times New Roman"/>
          <w:color w:val="444444"/>
        </w:rPr>
      </w:pPr>
      <w:r>
        <w:rPr>
          <w:rFonts w:hint="default" w:ascii="Times New Roman" w:hAnsi="Times New Roman" w:eastAsia="宋体" w:cs="Times New Roman"/>
          <w:color w:val="444444"/>
        </w:rPr>
        <w:t>①中国的数据部分引自国家统计局编《中国统计年鉴（1984）》和《中国统计年鉴（19年），国外数据部分引自《国外经济统计资料（1949～1976）》。此文由王耀东同志提供了某些资料。</w:t>
      </w:r>
    </w:p>
    <w:p w14:paraId="046A85C4">
      <w:pPr>
        <w:pStyle w:val="4"/>
        <w:spacing w:before="211" w:line="400" w:lineRule="exact"/>
        <w:ind w:right="142" w:firstLine="420" w:firstLineChars="200"/>
        <w:rPr>
          <w:rFonts w:hint="default" w:ascii="Times New Roman" w:hAnsi="Times New Roman" w:eastAsia="宋体" w:cs="Times New Roman"/>
        </w:rPr>
        <w:sectPr>
          <w:headerReference r:id="rId6" w:type="default"/>
          <w:footerReference r:id="rId7" w:type="default"/>
          <w:footnotePr>
            <w:numFmt w:val="decimalEnclosedCircleChinese"/>
            <w:numRestart w:val="eachPage"/>
          </w:footnotePr>
          <w:pgSz w:w="11906" w:h="16838"/>
          <w:pgMar w:top="1134" w:right="1701" w:bottom="1134" w:left="1701" w:header="720" w:footer="720" w:gutter="0"/>
          <w:pgNumType w:fmt="decimal" w:start="1"/>
          <w:cols w:space="425" w:num="1"/>
        </w:sectPr>
      </w:pPr>
      <w:r>
        <w:rPr>
          <w:rFonts w:hint="default" w:ascii="Times New Roman" w:hAnsi="Times New Roman" w:eastAsia="宋体" w:cs="Times New Roman"/>
          <w:color w:val="444444"/>
        </w:rPr>
        <w:t>（</w:t>
      </w:r>
      <w:r>
        <w:rPr>
          <w:rFonts w:hint="default" w:ascii="Times New Roman" w:hAnsi="Times New Roman" w:eastAsia="宋体" w:cs="Times New Roman"/>
          <w:color w:val="444444"/>
          <w:lang w:val="en-US"/>
        </w:rPr>
        <w:t>原载《社会科学》2000年第5期。）</w:t>
      </w:r>
    </w:p>
    <w:p w14:paraId="07F7364F">
      <w:pPr>
        <w:pStyle w:val="3"/>
        <w:rPr>
          <w:rFonts w:hint="default" w:ascii="Times New Roman" w:hAnsi="Times New Roman" w:cs="Times New Roman"/>
          <w:lang w:val="zh-TW" w:eastAsia="zh-TW"/>
        </w:rPr>
      </w:pPr>
      <w:bookmarkStart w:id="34" w:name="_Toc10673"/>
      <w:bookmarkStart w:id="35" w:name="_Toc14969"/>
      <w:bookmarkStart w:id="36" w:name="_Toc20439"/>
      <w:bookmarkStart w:id="37" w:name="_Toc1056544572"/>
      <w:bookmarkStart w:id="38" w:name="_Toc960377651"/>
      <w:r>
        <w:rPr>
          <w:rFonts w:hint="default" w:ascii="Times New Roman" w:hAnsi="Times New Roman" w:cs="Times New Roman"/>
          <w:lang w:val="zh-TW" w:eastAsia="zh-TW"/>
        </w:rPr>
        <mc:AlternateContent>
          <mc:Choice Requires="wps">
            <w:drawing>
              <wp:anchor distT="0" distB="0" distL="114300" distR="114300" simplePos="0" relativeHeight="251676672" behindDoc="0" locked="0" layoutInCell="1" allowOverlap="1">
                <wp:simplePos x="0" y="0"/>
                <wp:positionH relativeFrom="page">
                  <wp:posOffset>4470400</wp:posOffset>
                </wp:positionH>
                <wp:positionV relativeFrom="paragraph">
                  <wp:posOffset>12700</wp:posOffset>
                </wp:positionV>
                <wp:extent cx="98425" cy="109855"/>
                <wp:effectExtent l="0" t="0" r="0" b="0"/>
                <wp:wrapNone/>
                <wp:docPr id="223" name="文本框 223"/>
                <wp:cNvGraphicFramePr/>
                <a:graphic xmlns:a="http://schemas.openxmlformats.org/drawingml/2006/main">
                  <a:graphicData uri="http://schemas.microsoft.com/office/word/2010/wordprocessingShape">
                    <wps:wsp>
                      <wps:cNvSpPr txBox="1"/>
                      <wps:spPr>
                        <a:xfrm>
                          <a:off x="0" y="0"/>
                          <a:ext cx="98425" cy="109855"/>
                        </a:xfrm>
                        <a:prstGeom prst="rect">
                          <a:avLst/>
                        </a:prstGeom>
                        <a:noFill/>
                        <a:ln>
                          <a:noFill/>
                        </a:ln>
                      </wps:spPr>
                      <wps:txbx>
                        <w:txbxContent>
                          <w:p w14:paraId="142875FD">
                            <w:pPr>
                              <w:spacing w:line="173" w:lineRule="exact"/>
                              <w:jc w:val="left"/>
                              <w:rPr>
                                <w:sz w:val="15"/>
                              </w:rPr>
                            </w:pPr>
                          </w:p>
                        </w:txbxContent>
                      </wps:txbx>
                      <wps:bodyPr lIns="0" tIns="0" rIns="0" bIns="0" upright="1"/>
                    </wps:wsp>
                  </a:graphicData>
                </a:graphic>
              </wp:anchor>
            </w:drawing>
          </mc:Choice>
          <mc:Fallback>
            <w:pict>
              <v:shape id="_x0000_s1026" o:spid="_x0000_s1026" o:spt="202" type="#_x0000_t202" style="position:absolute;left:0pt;margin-left:352pt;margin-top:1pt;height:8.65pt;width:7.75pt;mso-position-horizontal-relative:page;z-index:251676672;mso-width-relative:page;mso-height-relative:page;" filled="f" stroked="f" coordsize="21600,21600" o:gfxdata="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">
                <v:fill on="f" focussize="0,0"/>
                <v:stroke on="f"/>
                <v:imagedata o:title=""/>
                <o:lock v:ext="edit" aspectratio="f"/>
                <v:textbox inset="0mm,0mm,0mm,0mm">
                  <w:txbxContent>
                    <w:p w14:paraId="142875FD">
                      <w:pPr>
                        <w:spacing w:line="173" w:lineRule="exact"/>
                        <w:jc w:val="left"/>
                        <w:rPr>
                          <w:sz w:val="15"/>
                        </w:rPr>
                      </w:pPr>
                    </w:p>
                  </w:txbxContent>
                </v:textbox>
              </v:shape>
            </w:pict>
          </mc:Fallback>
        </mc:AlternateContent>
      </w:r>
      <w:r>
        <w:rPr>
          <w:rFonts w:hint="default" w:ascii="Times New Roman" w:hAnsi="Times New Roman" w:cs="Times New Roman"/>
          <w:lang w:val="zh-TW" w:eastAsia="zh-TW"/>
        </w:rPr>
        <w:t>论康有为的空想社会主义思想</w:t>
      </w:r>
      <w:bookmarkEnd w:id="34"/>
      <w:bookmarkEnd w:id="35"/>
      <w:bookmarkEnd w:id="36"/>
      <w:bookmarkEnd w:id="37"/>
      <w:bookmarkEnd w:id="38"/>
    </w:p>
    <w:p w14:paraId="498B5017">
      <w:pPr>
        <w:spacing w:before="61" w:line="400" w:lineRule="exact"/>
        <w:ind w:right="575" w:firstLine="420" w:firstLineChars="200"/>
        <w:rPr>
          <w:rFonts w:hint="default" w:ascii="Times New Roman" w:hAnsi="Times New Roman" w:eastAsia="宋体" w:cs="Times New Roman"/>
          <w:color w:val="444444"/>
          <w:szCs w:val="21"/>
          <w:lang w:val="zh-CN" w:bidi="zh-CN"/>
        </w:rPr>
      </w:pPr>
      <w:r>
        <w:rPr>
          <w:rFonts w:hint="default" w:ascii="Times New Roman" w:hAnsi="Times New Roman" w:eastAsia="黑体" w:cs="Times New Roman"/>
          <w:color w:val="444444"/>
          <w:szCs w:val="21"/>
          <w:lang w:val="zh-CN" w:bidi="zh-CN"/>
        </w:rPr>
        <w:t>摘要:</w:t>
      </w:r>
      <w:r>
        <w:rPr>
          <w:rFonts w:hint="default" w:ascii="Times New Roman" w:hAnsi="Times New Roman" w:eastAsia="宋体" w:cs="Times New Roman"/>
          <w:color w:val="444444"/>
          <w:szCs w:val="21"/>
          <w:lang w:bidi="zh-CN"/>
        </w:rPr>
        <w:t>康有</w:t>
      </w:r>
      <w:r>
        <w:rPr>
          <w:rFonts w:hint="default" w:ascii="Times New Roman" w:hAnsi="Times New Roman" w:eastAsia="宋体" w:cs="Times New Roman"/>
          <w:color w:val="444444"/>
          <w:szCs w:val="21"/>
          <w:lang w:val="zh-CN" w:bidi="zh-CN"/>
        </w:rPr>
        <w:t>为空想社会主义思想的三个渊源,分别是《春秋》的“三世说”、《礼记》以及西方的哲学和空想社会主义思想,其社会主义的主要思想内容包括:世界国、社会民主制度、所有制、分配、经济调节、家庭与婚姻及男女平等等方面。与洪秀全和孙中山不同,康有为是中国近代史上第一个严格意义上的空想社会主义者,足以名列世界伟大空想社会主义思想家之列,其社会主义理论具有强烈的反封建意义,某些社会主义理论与政策主张也同历史演化大趋向相吻合,但是他寄希望于开明皇帝和资产阶级来逐步实行其改革近期和终极目标,显然是空想的。</w:t>
      </w:r>
    </w:p>
    <w:p w14:paraId="24E0EAF0">
      <w:pPr>
        <w:spacing w:before="61" w:line="400" w:lineRule="exact"/>
        <w:ind w:right="575" w:firstLine="420" w:firstLineChars="200"/>
        <w:rPr>
          <w:rFonts w:hint="default" w:ascii="Times New Roman" w:hAnsi="Times New Roman" w:eastAsia="宋体" w:cs="Times New Roman"/>
          <w:color w:val="444444"/>
          <w:szCs w:val="21"/>
          <w:lang w:val="zh-CN" w:bidi="zh-CN"/>
        </w:rPr>
      </w:pPr>
      <w:r>
        <w:rPr>
          <w:rFonts w:hint="default" w:ascii="Times New Roman" w:hAnsi="Times New Roman" w:eastAsia="黑体" w:cs="Times New Roman"/>
          <w:color w:val="444444"/>
          <w:szCs w:val="21"/>
          <w:lang w:val="zh-CN" w:bidi="zh-CN"/>
        </w:rPr>
        <w:t>关键词:</w:t>
      </w:r>
      <w:r>
        <w:rPr>
          <w:rFonts w:hint="default" w:ascii="Times New Roman" w:hAnsi="Times New Roman" w:eastAsia="宋体" w:cs="Times New Roman"/>
          <w:color w:val="444444"/>
          <w:szCs w:val="21"/>
          <w:lang w:val="zh-CN" w:bidi="zh-CN"/>
        </w:rPr>
        <w:t>康有为思想;空想社会主义;经济思想;政治社会思想</w:t>
      </w:r>
    </w:p>
    <w:p w14:paraId="706D745F">
      <w:pPr>
        <w:pStyle w:val="4"/>
        <w:spacing w:before="55" w:line="400" w:lineRule="exact"/>
        <w:ind w:left="0" w:leftChars="0" w:firstLine="0" w:firstLineChars="0"/>
        <w:rPr>
          <w:rFonts w:hint="default" w:ascii="Times New Roman" w:hAnsi="Times New Roman" w:eastAsia="宋体" w:cs="Times New Roman"/>
          <w:color w:val="444444"/>
          <w:spacing w:val="5"/>
        </w:rPr>
      </w:pPr>
    </w:p>
    <w:p w14:paraId="0F1935FA">
      <w:pPr>
        <w:pStyle w:val="4"/>
        <w:spacing w:before="55" w:line="400" w:lineRule="exact"/>
        <w:ind w:left="120" w:firstLine="440" w:firstLineChars="200"/>
        <w:rPr>
          <w:rFonts w:hint="default" w:ascii="Times New Roman" w:hAnsi="Times New Roman" w:eastAsia="宋体" w:cs="Times New Roman"/>
        </w:rPr>
      </w:pPr>
      <w:r>
        <w:rPr>
          <w:rFonts w:hint="default" w:ascii="Times New Roman" w:hAnsi="Times New Roman" w:eastAsia="宋体" w:cs="Times New Roman"/>
          <w:color w:val="444444"/>
          <w:spacing w:val="5"/>
        </w:rPr>
        <w:t>康有为</w:t>
      </w:r>
      <w:r>
        <w:rPr>
          <w:rFonts w:hint="default" w:ascii="Times New Roman" w:hAnsi="Times New Roman" w:eastAsia="宋体" w:cs="Times New Roman"/>
          <w:color w:val="444444"/>
          <w:spacing w:val="-1"/>
        </w:rPr>
        <w:t>,</w:t>
      </w:r>
      <w:r>
        <w:rPr>
          <w:rFonts w:hint="default" w:ascii="Times New Roman" w:hAnsi="Times New Roman" w:eastAsia="宋体" w:cs="Times New Roman"/>
          <w:color w:val="444444"/>
          <w:spacing w:val="5"/>
        </w:rPr>
        <w:t>原名祖治</w:t>
      </w:r>
      <w:r>
        <w:rPr>
          <w:rFonts w:hint="default" w:ascii="Times New Roman" w:hAnsi="Times New Roman" w:eastAsia="宋体" w:cs="Times New Roman"/>
          <w:color w:val="444444"/>
          <w:spacing w:val="12"/>
        </w:rPr>
        <w:t>,</w:t>
      </w:r>
      <w:r>
        <w:rPr>
          <w:rFonts w:hint="default" w:ascii="Times New Roman" w:hAnsi="Times New Roman" w:eastAsia="宋体" w:cs="Times New Roman"/>
          <w:color w:val="444444"/>
          <w:spacing w:val="5"/>
        </w:rPr>
        <w:t>字广夏</w:t>
      </w:r>
      <w:r>
        <w:rPr>
          <w:rFonts w:hint="default" w:ascii="Times New Roman" w:hAnsi="Times New Roman" w:eastAsia="宋体" w:cs="Times New Roman"/>
          <w:color w:val="444444"/>
        </w:rPr>
        <w:t>,</w:t>
      </w:r>
      <w:r>
        <w:rPr>
          <w:rFonts w:hint="default" w:ascii="Times New Roman" w:hAnsi="Times New Roman" w:eastAsia="宋体" w:cs="Times New Roman"/>
          <w:color w:val="444444"/>
          <w:spacing w:val="11"/>
        </w:rPr>
        <w:t>号长素,</w:t>
      </w:r>
      <w:r>
        <w:rPr>
          <w:rFonts w:hint="default" w:ascii="Times New Roman" w:hAnsi="Times New Roman" w:eastAsia="宋体" w:cs="Times New Roman"/>
          <w:color w:val="444444"/>
          <w:spacing w:val="7"/>
        </w:rPr>
        <w:t>广东南海人。</w:t>
      </w:r>
      <w:r>
        <w:rPr>
          <w:rFonts w:hint="default" w:ascii="Times New Roman" w:hAnsi="Times New Roman" w:eastAsia="宋体" w:cs="Times New Roman"/>
          <w:color w:val="444444"/>
          <w:spacing w:val="4"/>
        </w:rPr>
        <w:t>1858</w:t>
      </w:r>
      <w:r>
        <w:rPr>
          <w:rFonts w:hint="default" w:ascii="Times New Roman" w:hAnsi="Times New Roman" w:eastAsia="宋体" w:cs="Times New Roman"/>
          <w:color w:val="444444"/>
          <w:spacing w:val="-16"/>
        </w:rPr>
        <w:t>年</w:t>
      </w:r>
      <w:r>
        <w:rPr>
          <w:rFonts w:hint="default" w:ascii="Times New Roman" w:hAnsi="Times New Roman" w:eastAsia="宋体" w:cs="Times New Roman"/>
          <w:color w:val="444444"/>
        </w:rPr>
        <w:t>3</w:t>
      </w:r>
      <w:r>
        <w:rPr>
          <w:rFonts w:hint="default" w:ascii="Times New Roman" w:hAnsi="Times New Roman" w:eastAsia="宋体" w:cs="Times New Roman"/>
          <w:color w:val="444444"/>
          <w:spacing w:val="-16"/>
        </w:rPr>
        <w:t>月</w:t>
      </w:r>
      <w:r>
        <w:rPr>
          <w:rFonts w:hint="default" w:ascii="Times New Roman" w:hAnsi="Times New Roman" w:eastAsia="宋体" w:cs="Times New Roman"/>
          <w:color w:val="444444"/>
          <w:spacing w:val="-4"/>
        </w:rPr>
        <w:t>19</w:t>
      </w:r>
      <w:r>
        <w:rPr>
          <w:rFonts w:hint="default" w:ascii="Times New Roman" w:hAnsi="Times New Roman" w:eastAsia="宋体" w:cs="Times New Roman"/>
          <w:color w:val="444444"/>
          <w:spacing w:val="5"/>
        </w:rPr>
        <w:t>日</w:t>
      </w:r>
      <w:r>
        <w:rPr>
          <w:rFonts w:hint="default" w:ascii="Times New Roman" w:hAnsi="Times New Roman" w:eastAsia="宋体" w:cs="Times New Roman"/>
          <w:color w:val="444444"/>
          <w:spacing w:val="9"/>
        </w:rPr>
        <w:t>(</w:t>
      </w:r>
      <w:r>
        <w:rPr>
          <w:rFonts w:hint="default" w:ascii="Times New Roman" w:hAnsi="Times New Roman" w:eastAsia="宋体" w:cs="Times New Roman"/>
          <w:color w:val="444444"/>
          <w:spacing w:val="8"/>
        </w:rPr>
        <w:t>清咸丰八年二月初五日</w:t>
      </w:r>
      <w:r>
        <w:rPr>
          <w:rFonts w:hint="default" w:ascii="Times New Roman" w:hAnsi="Times New Roman" w:eastAsia="宋体" w:cs="Times New Roman"/>
          <w:color w:val="444444"/>
          <w:spacing w:val="4"/>
        </w:rPr>
        <w:t>),</w:t>
      </w:r>
      <w:r>
        <w:rPr>
          <w:rFonts w:hint="default" w:ascii="Times New Roman" w:hAnsi="Times New Roman" w:eastAsia="宋体" w:cs="Times New Roman"/>
          <w:color w:val="444444"/>
          <w:spacing w:val="10"/>
        </w:rPr>
        <w:t>生于一</w:t>
      </w:r>
      <w:r>
        <w:rPr>
          <w:rFonts w:hint="default" w:ascii="Times New Roman" w:hAnsi="Times New Roman" w:eastAsia="宋体" w:cs="Times New Roman"/>
          <w:color w:val="444444"/>
        </w:rPr>
        <w:t>个官僚地主家庭。幼时聪慧,</w:t>
      </w:r>
      <w:r>
        <w:rPr>
          <w:rFonts w:hint="default" w:ascii="Times New Roman" w:hAnsi="Times New Roman" w:eastAsia="宋体" w:cs="Times New Roman"/>
          <w:color w:val="444444"/>
          <w:spacing w:val="9"/>
        </w:rPr>
        <w:t>博字强记</w:t>
      </w:r>
      <w:r>
        <w:rPr>
          <w:rFonts w:hint="default" w:ascii="Times New Roman" w:hAnsi="Times New Roman" w:eastAsia="宋体" w:cs="Times New Roman"/>
          <w:color w:val="444444"/>
          <w:spacing w:val="-1"/>
        </w:rPr>
        <w:t>,</w:t>
      </w:r>
      <w:r>
        <w:rPr>
          <w:rFonts w:hint="default" w:ascii="Times New Roman" w:hAnsi="Times New Roman" w:eastAsia="宋体" w:cs="Times New Roman"/>
          <w:color w:val="444444"/>
          <w:spacing w:val="9"/>
        </w:rPr>
        <w:t>通晓群经</w:t>
      </w:r>
      <w:r>
        <w:rPr>
          <w:rFonts w:hint="default" w:ascii="Times New Roman" w:hAnsi="Times New Roman" w:eastAsia="宋体" w:cs="Times New Roman"/>
          <w:color w:val="444444"/>
          <w:spacing w:val="11"/>
        </w:rPr>
        <w:t>,</w:t>
      </w:r>
      <w:r>
        <w:rPr>
          <w:rFonts w:hint="default" w:ascii="Times New Roman" w:hAnsi="Times New Roman" w:eastAsia="宋体" w:cs="Times New Roman"/>
          <w:color w:val="444444"/>
        </w:rPr>
        <w:t>其</w:t>
      </w:r>
      <w:r>
        <w:rPr>
          <w:rFonts w:hint="default" w:ascii="Times New Roman" w:hAnsi="Times New Roman" w:eastAsia="宋体" w:cs="Times New Roman"/>
          <w:color w:val="444444"/>
          <w:spacing w:val="-10"/>
        </w:rPr>
        <w:t>性倔傲。</w:t>
      </w:r>
      <w:r>
        <w:rPr>
          <w:rFonts w:hint="default" w:ascii="Times New Roman" w:hAnsi="Times New Roman" w:eastAsia="宋体" w:cs="Times New Roman"/>
          <w:color w:val="444444"/>
          <w:spacing w:val="-4"/>
        </w:rPr>
        <w:t>18</w:t>
      </w:r>
      <w:r>
        <w:rPr>
          <w:rFonts w:hint="default" w:ascii="Times New Roman" w:hAnsi="Times New Roman" w:eastAsia="宋体" w:cs="Times New Roman"/>
          <w:color w:val="444444"/>
          <w:spacing w:val="12"/>
        </w:rPr>
        <w:t>岁受学于朱九江</w:t>
      </w:r>
      <w:r>
        <w:rPr>
          <w:rFonts w:hint="default" w:ascii="Times New Roman" w:hAnsi="Times New Roman" w:eastAsia="宋体" w:cs="Times New Roman"/>
          <w:color w:val="444444"/>
          <w:spacing w:val="-2"/>
        </w:rPr>
        <w:t>,</w:t>
      </w:r>
      <w:r>
        <w:rPr>
          <w:rFonts w:hint="default" w:ascii="Times New Roman" w:hAnsi="Times New Roman" w:eastAsia="宋体" w:cs="Times New Roman"/>
          <w:color w:val="444444"/>
          <w:spacing w:val="5"/>
        </w:rPr>
        <w:t>深受其</w:t>
      </w:r>
      <w:r>
        <w:rPr>
          <w:rFonts w:hint="default" w:ascii="Times New Roman" w:hAnsi="Times New Roman" w:eastAsia="宋体" w:cs="Times New Roman"/>
          <w:color w:val="444444"/>
          <w:spacing w:val="-19"/>
          <w:w w:val="90"/>
        </w:rPr>
        <w:t>“</w:t>
      </w:r>
      <w:r>
        <w:rPr>
          <w:rFonts w:hint="default" w:ascii="Times New Roman" w:hAnsi="Times New Roman" w:eastAsia="宋体" w:cs="Times New Roman"/>
          <w:color w:val="444444"/>
          <w:spacing w:val="9"/>
        </w:rPr>
        <w:t>经世致用</w:t>
      </w:r>
      <w:r>
        <w:rPr>
          <w:rFonts w:hint="default" w:ascii="Times New Roman" w:hAnsi="Times New Roman" w:eastAsia="宋体" w:cs="Times New Roman"/>
          <w:color w:val="444444"/>
          <w:spacing w:val="-27"/>
          <w:w w:val="90"/>
        </w:rPr>
        <w:t>”</w:t>
      </w:r>
      <w:r>
        <w:rPr>
          <w:rFonts w:hint="default" w:ascii="Times New Roman" w:hAnsi="Times New Roman" w:eastAsia="宋体" w:cs="Times New Roman"/>
          <w:color w:val="444444"/>
        </w:rPr>
        <w:t>哲</w:t>
      </w:r>
      <w:r>
        <w:rPr>
          <w:rFonts w:hint="default" w:ascii="Times New Roman" w:hAnsi="Times New Roman" w:eastAsia="宋体" w:cs="Times New Roman"/>
          <w:color w:val="444444"/>
          <w:spacing w:val="-1"/>
        </w:rPr>
        <w:t>学之影响。</w:t>
      </w:r>
      <w:r>
        <w:rPr>
          <w:rFonts w:hint="default" w:ascii="Times New Roman" w:hAnsi="Times New Roman" w:eastAsia="宋体" w:cs="Times New Roman"/>
          <w:color w:val="444444"/>
        </w:rPr>
        <w:t>1879</w:t>
      </w:r>
      <w:r>
        <w:rPr>
          <w:rFonts w:hint="default" w:ascii="Times New Roman" w:hAnsi="Times New Roman" w:eastAsia="宋体" w:cs="Times New Roman"/>
          <w:color w:val="444444"/>
          <w:spacing w:val="5"/>
        </w:rPr>
        <w:t>年</w:t>
      </w:r>
      <w:r>
        <w:rPr>
          <w:rFonts w:hint="default" w:ascii="Times New Roman" w:hAnsi="Times New Roman" w:eastAsia="宋体" w:cs="Times New Roman"/>
          <w:color w:val="444444"/>
          <w:spacing w:val="-1"/>
        </w:rPr>
        <w:t>,</w:t>
      </w:r>
      <w:r>
        <w:rPr>
          <w:rFonts w:hint="default" w:ascii="Times New Roman" w:hAnsi="Times New Roman" w:eastAsia="宋体" w:cs="Times New Roman"/>
          <w:color w:val="444444"/>
          <w:spacing w:val="9"/>
        </w:rPr>
        <w:t>始窥西学</w:t>
      </w:r>
      <w:r>
        <w:rPr>
          <w:rFonts w:hint="default" w:ascii="Times New Roman" w:hAnsi="Times New Roman" w:eastAsia="宋体" w:cs="Times New Roman"/>
          <w:color w:val="444444"/>
          <w:spacing w:val="11"/>
        </w:rPr>
        <w:t>,</w:t>
      </w:r>
      <w:r>
        <w:rPr>
          <w:rFonts w:hint="default" w:ascii="Times New Roman" w:hAnsi="Times New Roman" w:eastAsia="宋体" w:cs="Times New Roman"/>
          <w:color w:val="444444"/>
          <w:spacing w:val="9"/>
        </w:rPr>
        <w:t>在西方资产阶级思想</w:t>
      </w:r>
      <w:r>
        <w:rPr>
          <w:rFonts w:hint="default" w:ascii="Times New Roman" w:hAnsi="Times New Roman" w:eastAsia="宋体" w:cs="Times New Roman"/>
          <w:color w:val="444444"/>
          <w:spacing w:val="5"/>
        </w:rPr>
        <w:t>启发下</w:t>
      </w:r>
      <w:r>
        <w:rPr>
          <w:rFonts w:hint="default" w:ascii="Times New Roman" w:hAnsi="Times New Roman" w:eastAsia="宋体" w:cs="Times New Roman"/>
          <w:color w:val="444444"/>
          <w:spacing w:val="19"/>
        </w:rPr>
        <w:t>,</w:t>
      </w:r>
      <w:r>
        <w:rPr>
          <w:rFonts w:hint="default" w:ascii="Times New Roman" w:hAnsi="Times New Roman" w:eastAsia="宋体" w:cs="Times New Roman"/>
          <w:color w:val="444444"/>
          <w:spacing w:val="7"/>
        </w:rPr>
        <w:t>他看到中国处于列强压迫之下</w:t>
      </w:r>
      <w:r>
        <w:rPr>
          <w:rFonts w:hint="default" w:ascii="Times New Roman" w:hAnsi="Times New Roman" w:eastAsia="宋体" w:cs="Times New Roman"/>
          <w:color w:val="444444"/>
          <w:spacing w:val="20"/>
        </w:rPr>
        <w:t>,</w:t>
      </w:r>
      <w:r>
        <w:rPr>
          <w:rFonts w:hint="default" w:ascii="Times New Roman" w:hAnsi="Times New Roman" w:eastAsia="宋体" w:cs="Times New Roman"/>
          <w:color w:val="444444"/>
          <w:spacing w:val="7"/>
        </w:rPr>
        <w:t>希望学习西</w:t>
      </w:r>
      <w:r>
        <w:rPr>
          <w:rFonts w:hint="default" w:ascii="Times New Roman" w:hAnsi="Times New Roman" w:eastAsia="宋体" w:cs="Times New Roman"/>
          <w:color w:val="444444"/>
          <w:spacing w:val="5"/>
        </w:rPr>
        <w:t>方</w:t>
      </w:r>
      <w:r>
        <w:rPr>
          <w:rFonts w:hint="default" w:ascii="Times New Roman" w:hAnsi="Times New Roman" w:eastAsia="宋体" w:cs="Times New Roman"/>
          <w:color w:val="444444"/>
          <w:spacing w:val="-2"/>
        </w:rPr>
        <w:t>,</w:t>
      </w:r>
      <w:r>
        <w:rPr>
          <w:rFonts w:hint="default" w:ascii="Times New Roman" w:hAnsi="Times New Roman" w:eastAsia="宋体" w:cs="Times New Roman"/>
          <w:color w:val="444444"/>
          <w:spacing w:val="4"/>
        </w:rPr>
        <w:t>赶紧变法图强。1888</w:t>
      </w:r>
      <w:r>
        <w:rPr>
          <w:rFonts w:hint="default" w:ascii="Times New Roman" w:hAnsi="Times New Roman" w:eastAsia="宋体" w:cs="Times New Roman"/>
          <w:color w:val="444444"/>
          <w:spacing w:val="5"/>
        </w:rPr>
        <w:t>年</w:t>
      </w:r>
      <w:r>
        <w:rPr>
          <w:rFonts w:hint="default" w:ascii="Times New Roman" w:hAnsi="Times New Roman" w:eastAsia="宋体" w:cs="Times New Roman"/>
          <w:color w:val="444444"/>
          <w:spacing w:val="10"/>
        </w:rPr>
        <w:t>,</w:t>
      </w:r>
      <w:r>
        <w:rPr>
          <w:rFonts w:hint="default" w:ascii="Times New Roman" w:hAnsi="Times New Roman" w:eastAsia="宋体" w:cs="Times New Roman"/>
          <w:color w:val="444444"/>
          <w:spacing w:val="15"/>
        </w:rPr>
        <w:t>第一次上万言书</w:t>
      </w:r>
      <w:r>
        <w:rPr>
          <w:rFonts w:hint="default" w:ascii="Times New Roman" w:hAnsi="Times New Roman" w:eastAsia="宋体" w:cs="Times New Roman"/>
          <w:color w:val="444444"/>
          <w:spacing w:val="10"/>
        </w:rPr>
        <w:t>,</w:t>
      </w:r>
      <w:r>
        <w:rPr>
          <w:rFonts w:hint="default" w:ascii="Times New Roman" w:hAnsi="Times New Roman" w:eastAsia="宋体" w:cs="Times New Roman"/>
          <w:color w:val="444444"/>
          <w:spacing w:val="12"/>
        </w:rPr>
        <w:t>要求</w:t>
      </w:r>
      <w:r>
        <w:rPr>
          <w:rFonts w:hint="default" w:ascii="Times New Roman" w:hAnsi="Times New Roman" w:eastAsia="宋体" w:cs="Times New Roman"/>
          <w:color w:val="444444"/>
          <w:spacing w:val="-5"/>
        </w:rPr>
        <w:t>变法</w:t>
      </w:r>
      <w:r>
        <w:rPr>
          <w:rFonts w:hint="default" w:ascii="Times New Roman" w:hAnsi="Times New Roman" w:eastAsia="宋体" w:cs="Times New Roman"/>
          <w:color w:val="444444"/>
          <w:spacing w:val="9"/>
        </w:rPr>
        <w:t>,未被采纳</w:t>
      </w:r>
      <w:r>
        <w:rPr>
          <w:rFonts w:hint="default" w:ascii="Times New Roman" w:hAnsi="Times New Roman" w:eastAsia="宋体" w:cs="Times New Roman"/>
          <w:color w:val="444444"/>
          <w:spacing w:val="20"/>
        </w:rPr>
        <w:t>,</w:t>
      </w:r>
      <w:r>
        <w:rPr>
          <w:rFonts w:hint="default" w:ascii="Times New Roman" w:hAnsi="Times New Roman" w:eastAsia="宋体" w:cs="Times New Roman"/>
          <w:color w:val="444444"/>
          <w:spacing w:val="5"/>
        </w:rPr>
        <w:t>反遭攻击。</w:t>
      </w:r>
      <w:r>
        <w:rPr>
          <w:rFonts w:hint="default" w:ascii="Times New Roman" w:hAnsi="Times New Roman" w:eastAsia="宋体" w:cs="Times New Roman"/>
          <w:color w:val="444444"/>
        </w:rPr>
        <w:t>1895</w:t>
      </w:r>
      <w:r>
        <w:rPr>
          <w:rFonts w:hint="default" w:ascii="Times New Roman" w:hAnsi="Times New Roman" w:eastAsia="宋体" w:cs="Times New Roman"/>
          <w:color w:val="444444"/>
          <w:spacing w:val="15"/>
        </w:rPr>
        <w:t>年春</w:t>
      </w:r>
      <w:r>
        <w:rPr>
          <w:rFonts w:hint="default" w:ascii="Times New Roman" w:hAnsi="Times New Roman" w:eastAsia="宋体" w:cs="Times New Roman"/>
          <w:color w:val="444444"/>
          <w:spacing w:val="9"/>
        </w:rPr>
        <w:t>,</w:t>
      </w:r>
      <w:r>
        <w:rPr>
          <w:rFonts w:hint="default" w:ascii="Times New Roman" w:hAnsi="Times New Roman" w:eastAsia="宋体" w:cs="Times New Roman"/>
          <w:color w:val="444444"/>
          <w:spacing w:val="15"/>
        </w:rPr>
        <w:t>于清廷即与</w:t>
      </w:r>
      <w:r>
        <w:rPr>
          <w:rFonts w:hint="default" w:ascii="Times New Roman" w:hAnsi="Times New Roman" w:eastAsia="宋体" w:cs="Times New Roman"/>
          <w:color w:val="444444"/>
          <w:spacing w:val="-5"/>
        </w:rPr>
        <w:t>日本签订</w:t>
      </w:r>
      <w:r>
        <w:rPr>
          <w:rFonts w:hint="default" w:ascii="Times New Roman" w:hAnsi="Times New Roman" w:eastAsia="宋体" w:cs="Times New Roman"/>
          <w:color w:val="444444"/>
          <w:spacing w:val="21"/>
          <w:w w:val="90"/>
        </w:rPr>
        <w:t>《</w:t>
      </w:r>
      <w:r>
        <w:rPr>
          <w:rFonts w:hint="default" w:ascii="Times New Roman" w:hAnsi="Times New Roman" w:eastAsia="宋体" w:cs="Times New Roman"/>
          <w:color w:val="444444"/>
        </w:rPr>
        <w:t>马关条约</w:t>
      </w:r>
      <w:r>
        <w:rPr>
          <w:rFonts w:hint="default" w:ascii="Times New Roman" w:hAnsi="Times New Roman" w:eastAsia="宋体" w:cs="Times New Roman"/>
          <w:color w:val="444444"/>
          <w:spacing w:val="27"/>
          <w:w w:val="90"/>
        </w:rPr>
        <w:t>》</w:t>
      </w:r>
      <w:r>
        <w:rPr>
          <w:rFonts w:hint="default" w:ascii="Times New Roman" w:hAnsi="Times New Roman" w:eastAsia="宋体" w:cs="Times New Roman"/>
          <w:color w:val="444444"/>
          <w:spacing w:val="5"/>
        </w:rPr>
        <w:t>之际</w:t>
      </w:r>
      <w:r>
        <w:rPr>
          <w:rFonts w:hint="default" w:ascii="Times New Roman" w:hAnsi="Times New Roman" w:eastAsia="宋体" w:cs="Times New Roman"/>
          <w:color w:val="444444"/>
          <w:spacing w:val="-7"/>
        </w:rPr>
        <w:t>,</w:t>
      </w:r>
      <w:r>
        <w:rPr>
          <w:rFonts w:hint="default" w:ascii="Times New Roman" w:hAnsi="Times New Roman" w:eastAsia="宋体" w:cs="Times New Roman"/>
          <w:color w:val="444444"/>
          <w:spacing w:val="6"/>
        </w:rPr>
        <w:t>鼓动各省在京会试举人联</w:t>
      </w:r>
      <w:r>
        <w:rPr>
          <w:rFonts w:hint="default" w:ascii="Times New Roman" w:hAnsi="Times New Roman" w:eastAsia="宋体" w:cs="Times New Roman"/>
          <w:color w:val="444444"/>
          <w:spacing w:val="-2"/>
        </w:rPr>
        <w:t>名上书</w:t>
      </w:r>
      <w:r>
        <w:rPr>
          <w:rFonts w:hint="default" w:ascii="Times New Roman" w:hAnsi="Times New Roman" w:eastAsia="宋体" w:cs="Times New Roman"/>
          <w:color w:val="444444"/>
          <w:spacing w:val="-5"/>
        </w:rPr>
        <w:t>,</w:t>
      </w:r>
      <w:r>
        <w:rPr>
          <w:rFonts w:hint="default" w:ascii="Times New Roman" w:hAnsi="Times New Roman" w:eastAsia="宋体" w:cs="Times New Roman"/>
          <w:color w:val="444444"/>
          <w:spacing w:val="11"/>
        </w:rPr>
        <w:t>要求光绪皇帝拒和</w:t>
      </w:r>
      <w:r>
        <w:rPr>
          <w:rFonts w:hint="default" w:ascii="Times New Roman" w:hAnsi="Times New Roman" w:eastAsia="宋体" w:cs="Times New Roman"/>
          <w:color w:val="444444"/>
          <w:spacing w:val="14"/>
          <w:w w:val="90"/>
        </w:rPr>
        <w:t>、</w:t>
      </w:r>
      <w:r>
        <w:rPr>
          <w:rFonts w:hint="default" w:ascii="Times New Roman" w:hAnsi="Times New Roman" w:eastAsia="宋体" w:cs="Times New Roman"/>
          <w:color w:val="444444"/>
          <w:spacing w:val="15"/>
        </w:rPr>
        <w:t>迁都</w:t>
      </w:r>
      <w:r>
        <w:rPr>
          <w:rFonts w:hint="default" w:ascii="Times New Roman" w:hAnsi="Times New Roman" w:eastAsia="宋体" w:cs="Times New Roman"/>
          <w:color w:val="444444"/>
          <w:spacing w:val="-6"/>
          <w:w w:val="90"/>
        </w:rPr>
        <w:t>、</w:t>
      </w:r>
      <w:r>
        <w:rPr>
          <w:rFonts w:hint="default" w:ascii="Times New Roman" w:hAnsi="Times New Roman" w:eastAsia="宋体" w:cs="Times New Roman"/>
          <w:color w:val="444444"/>
          <w:spacing w:val="-2"/>
        </w:rPr>
        <w:t>变法。之后</w:t>
      </w:r>
      <w:r>
        <w:rPr>
          <w:rFonts w:hint="default" w:ascii="Times New Roman" w:hAnsi="Times New Roman" w:eastAsia="宋体" w:cs="Times New Roman"/>
          <w:color w:val="444444"/>
          <w:spacing w:val="-5"/>
        </w:rPr>
        <w:t>,</w:t>
      </w:r>
      <w:r>
        <w:rPr>
          <w:rFonts w:hint="default" w:ascii="Times New Roman" w:hAnsi="Times New Roman" w:eastAsia="宋体" w:cs="Times New Roman"/>
          <w:color w:val="444444"/>
          <w:spacing w:val="12"/>
        </w:rPr>
        <w:t>作为</w:t>
      </w:r>
      <w:r>
        <w:rPr>
          <w:rFonts w:hint="default" w:ascii="Times New Roman" w:hAnsi="Times New Roman" w:eastAsia="宋体" w:cs="Times New Roman"/>
          <w:color w:val="444444"/>
          <w:spacing w:val="6"/>
        </w:rPr>
        <w:t>资产阶级改良派代表继续活动变法</w:t>
      </w:r>
      <w:r>
        <w:rPr>
          <w:rFonts w:hint="default" w:ascii="Times New Roman" w:hAnsi="Times New Roman" w:eastAsia="宋体" w:cs="Times New Roman"/>
          <w:color w:val="444444"/>
          <w:spacing w:val="-2"/>
          <w:w w:val="80"/>
        </w:rPr>
        <w:t>。</w:t>
      </w:r>
      <w:r>
        <w:rPr>
          <w:rFonts w:hint="default" w:ascii="Times New Roman" w:hAnsi="Times New Roman" w:eastAsia="宋体" w:cs="Times New Roman"/>
          <w:color w:val="444444"/>
          <w:spacing w:val="5"/>
        </w:rPr>
        <w:t>他著有</w:t>
      </w:r>
      <w:r>
        <w:rPr>
          <w:rFonts w:hint="default" w:ascii="Times New Roman" w:hAnsi="Times New Roman" w:eastAsia="宋体" w:cs="Times New Roman"/>
          <w:color w:val="444444"/>
          <w:w w:val="80"/>
        </w:rPr>
        <w:t>《</w:t>
      </w:r>
      <w:r>
        <w:rPr>
          <w:rFonts w:hint="default" w:ascii="Times New Roman" w:hAnsi="Times New Roman" w:eastAsia="宋体" w:cs="Times New Roman"/>
          <w:color w:val="444444"/>
          <w:spacing w:val="10"/>
        </w:rPr>
        <w:t>新学伪</w:t>
      </w:r>
      <w:r>
        <w:rPr>
          <w:rFonts w:hint="default" w:ascii="Times New Roman" w:hAnsi="Times New Roman" w:eastAsia="宋体" w:cs="Times New Roman"/>
          <w:color w:val="444444"/>
          <w:spacing w:val="-15"/>
          <w:w w:val="95"/>
        </w:rPr>
        <w:t>经考</w:t>
      </w:r>
      <w:r>
        <w:rPr>
          <w:rFonts w:hint="default" w:ascii="Times New Roman" w:hAnsi="Times New Roman" w:eastAsia="宋体" w:cs="Times New Roman"/>
          <w:color w:val="444444"/>
          <w:w w:val="80"/>
        </w:rPr>
        <w:t>》、《</w:t>
      </w:r>
      <w:r>
        <w:rPr>
          <w:rFonts w:hint="default" w:ascii="Times New Roman" w:hAnsi="Times New Roman" w:eastAsia="宋体" w:cs="Times New Roman"/>
          <w:color w:val="444444"/>
          <w:spacing w:val="1"/>
          <w:w w:val="95"/>
        </w:rPr>
        <w:t>孔子改制考</w:t>
      </w:r>
      <w:r>
        <w:rPr>
          <w:rFonts w:hint="default" w:ascii="Times New Roman" w:hAnsi="Times New Roman" w:eastAsia="宋体" w:cs="Times New Roman"/>
          <w:color w:val="444444"/>
          <w:spacing w:val="27"/>
          <w:w w:val="80"/>
        </w:rPr>
        <w:t>》</w:t>
      </w:r>
      <w:r>
        <w:rPr>
          <w:rFonts w:hint="default" w:ascii="Times New Roman" w:hAnsi="Times New Roman" w:eastAsia="宋体" w:cs="Times New Roman"/>
          <w:color w:val="444444"/>
          <w:spacing w:val="5"/>
          <w:w w:val="95"/>
        </w:rPr>
        <w:t>等书</w:t>
      </w:r>
      <w:r>
        <w:rPr>
          <w:rFonts w:hint="default" w:ascii="Times New Roman" w:hAnsi="Times New Roman" w:eastAsia="宋体" w:cs="Times New Roman"/>
          <w:color w:val="444444"/>
          <w:spacing w:val="16"/>
          <w:w w:val="95"/>
        </w:rPr>
        <w:t>,</w:t>
      </w:r>
      <w:r>
        <w:rPr>
          <w:rFonts w:hint="default" w:ascii="Times New Roman" w:hAnsi="Times New Roman" w:eastAsia="宋体" w:cs="Times New Roman"/>
          <w:color w:val="444444"/>
          <w:spacing w:val="6"/>
          <w:w w:val="95"/>
        </w:rPr>
        <w:t>为变法主张建立了理论基</w:t>
      </w:r>
      <w:r>
        <w:rPr>
          <w:rFonts w:hint="default" w:ascii="Times New Roman" w:hAnsi="Times New Roman" w:eastAsia="宋体" w:cs="Times New Roman"/>
          <w:color w:val="444444"/>
          <w:spacing w:val="6"/>
        </w:rPr>
        <w:t>础。他认为变法维新的根本</w:t>
      </w:r>
      <w:r>
        <w:rPr>
          <w:rFonts w:hint="default" w:ascii="Times New Roman" w:hAnsi="Times New Roman" w:eastAsia="宋体" w:cs="Times New Roman"/>
          <w:color w:val="444444"/>
          <w:spacing w:val="20"/>
        </w:rPr>
        <w:t>,</w:t>
      </w:r>
      <w:r>
        <w:rPr>
          <w:rFonts w:hint="default" w:ascii="Times New Roman" w:hAnsi="Times New Roman" w:eastAsia="宋体" w:cs="Times New Roman"/>
          <w:color w:val="444444"/>
          <w:spacing w:val="6"/>
        </w:rPr>
        <w:t>是变封建君主专制为资</w:t>
      </w:r>
      <w:r>
        <w:rPr>
          <w:rFonts w:hint="default" w:ascii="Times New Roman" w:hAnsi="Times New Roman" w:eastAsia="宋体" w:cs="Times New Roman"/>
          <w:color w:val="444444"/>
          <w:spacing w:val="-1"/>
        </w:rPr>
        <w:t>产阶级的君主立宪。</w:t>
      </w:r>
      <w:r>
        <w:rPr>
          <w:rFonts w:hint="default" w:ascii="Times New Roman" w:hAnsi="Times New Roman" w:eastAsia="宋体" w:cs="Times New Roman"/>
          <w:color w:val="444444"/>
          <w:spacing w:val="4"/>
        </w:rPr>
        <w:t>1898</w:t>
      </w:r>
      <w:r>
        <w:rPr>
          <w:rFonts w:hint="default" w:ascii="Times New Roman" w:hAnsi="Times New Roman" w:eastAsia="宋体" w:cs="Times New Roman"/>
          <w:color w:val="444444"/>
          <w:spacing w:val="-21"/>
        </w:rPr>
        <w:t>年</w:t>
      </w:r>
      <w:r>
        <w:rPr>
          <w:rFonts w:hint="default" w:ascii="Times New Roman" w:hAnsi="Times New Roman" w:eastAsia="宋体" w:cs="Times New Roman"/>
          <w:color w:val="444444"/>
        </w:rPr>
        <w:t>6</w:t>
      </w:r>
      <w:r>
        <w:rPr>
          <w:rFonts w:hint="default" w:ascii="Times New Roman" w:hAnsi="Times New Roman" w:eastAsia="宋体" w:cs="Times New Roman"/>
          <w:color w:val="444444"/>
          <w:spacing w:val="5"/>
        </w:rPr>
        <w:t>月,</w:t>
      </w:r>
      <w:r>
        <w:rPr>
          <w:rFonts w:hint="default" w:ascii="Times New Roman" w:hAnsi="Times New Roman" w:eastAsia="宋体" w:cs="Times New Roman"/>
          <w:color w:val="444444"/>
          <w:spacing w:val="7"/>
        </w:rPr>
        <w:t>光绪皇帝颁布</w:t>
      </w:r>
      <w:r>
        <w:rPr>
          <w:rFonts w:hint="default" w:ascii="Times New Roman" w:hAnsi="Times New Roman" w:eastAsia="宋体" w:cs="Times New Roman"/>
          <w:color w:val="444444"/>
          <w:spacing w:val="-17"/>
          <w:w w:val="80"/>
        </w:rPr>
        <w:t>“</w:t>
      </w:r>
      <w:r>
        <w:rPr>
          <w:rFonts w:hint="default" w:ascii="Times New Roman" w:hAnsi="Times New Roman" w:eastAsia="宋体" w:cs="Times New Roman"/>
          <w:color w:val="444444"/>
        </w:rPr>
        <w:t>定</w:t>
      </w:r>
      <w:r>
        <w:rPr>
          <w:rFonts w:hint="default" w:ascii="Times New Roman" w:hAnsi="Times New Roman" w:eastAsia="宋体" w:cs="Times New Roman"/>
          <w:color w:val="444444"/>
          <w:spacing w:val="-9"/>
        </w:rPr>
        <w:t>国是诏</w:t>
      </w:r>
      <w:r>
        <w:rPr>
          <w:rFonts w:hint="default" w:ascii="Times New Roman" w:hAnsi="Times New Roman" w:eastAsia="宋体" w:cs="Times New Roman"/>
          <w:color w:val="444444"/>
          <w:spacing w:val="-12"/>
          <w:w w:val="80"/>
        </w:rPr>
        <w:t>”</w:t>
      </w:r>
      <w:r>
        <w:rPr>
          <w:rFonts w:hint="default" w:ascii="Times New Roman" w:hAnsi="Times New Roman" w:eastAsia="宋体" w:cs="Times New Roman"/>
          <w:color w:val="444444"/>
          <w:spacing w:val="3"/>
        </w:rPr>
        <w:t>,</w:t>
      </w:r>
      <w:r>
        <w:rPr>
          <w:rFonts w:hint="default" w:ascii="Times New Roman" w:hAnsi="Times New Roman" w:eastAsia="宋体" w:cs="Times New Roman"/>
          <w:color w:val="444444"/>
          <w:spacing w:val="9"/>
        </w:rPr>
        <w:t>开始变法</w:t>
      </w:r>
      <w:r>
        <w:rPr>
          <w:rFonts w:hint="default" w:ascii="Times New Roman" w:hAnsi="Times New Roman" w:eastAsia="宋体" w:cs="Times New Roman"/>
          <w:color w:val="444444"/>
          <w:spacing w:val="3"/>
        </w:rPr>
        <w:t>,</w:t>
      </w:r>
      <w:r>
        <w:rPr>
          <w:rFonts w:hint="default" w:ascii="Times New Roman" w:hAnsi="Times New Roman" w:eastAsia="宋体" w:cs="Times New Roman"/>
          <w:color w:val="444444"/>
          <w:spacing w:val="4"/>
        </w:rPr>
        <w:t>提出了一个在不完全改变现行帝</w:t>
      </w:r>
      <w:r>
        <w:rPr>
          <w:rFonts w:hint="default" w:ascii="Times New Roman" w:hAnsi="Times New Roman" w:eastAsia="宋体" w:cs="Times New Roman"/>
          <w:color w:val="444444"/>
          <w:spacing w:val="6"/>
        </w:rPr>
        <w:t>制的条件下发展资本主义纲领</w:t>
      </w:r>
      <w:r>
        <w:rPr>
          <w:rFonts w:hint="default" w:ascii="Times New Roman" w:hAnsi="Times New Roman" w:eastAsia="宋体" w:cs="Times New Roman"/>
          <w:color w:val="444444"/>
          <w:spacing w:val="-115"/>
          <w:w w:val="175"/>
        </w:rPr>
        <w:t>;</w:t>
      </w:r>
      <w:r>
        <w:rPr>
          <w:rFonts w:hint="default" w:ascii="Times New Roman" w:hAnsi="Times New Roman" w:eastAsia="宋体" w:cs="Times New Roman"/>
          <w:color w:val="444444"/>
          <w:spacing w:val="7"/>
        </w:rPr>
        <w:t>他指望用自上而下的改良办法来取得有限的民主权力</w:t>
      </w:r>
      <w:r>
        <w:rPr>
          <w:rFonts w:hint="default" w:ascii="Times New Roman" w:hAnsi="Times New Roman" w:eastAsia="宋体" w:cs="Times New Roman"/>
          <w:color w:val="444444"/>
          <w:spacing w:val="11"/>
        </w:rPr>
        <w:t>,</w:t>
      </w:r>
      <w:r>
        <w:rPr>
          <w:rFonts w:hint="default" w:ascii="Times New Roman" w:hAnsi="Times New Roman" w:eastAsia="宋体" w:cs="Times New Roman"/>
          <w:color w:val="444444"/>
          <w:spacing w:val="10"/>
        </w:rPr>
        <w:t>幻想通过变法</w:t>
      </w:r>
      <w:r>
        <w:rPr>
          <w:rFonts w:hint="default" w:ascii="Times New Roman" w:hAnsi="Times New Roman" w:eastAsia="宋体" w:cs="Times New Roman"/>
          <w:color w:val="444444"/>
          <w:spacing w:val="9"/>
        </w:rPr>
        <w:t>,</w:t>
      </w:r>
      <w:r>
        <w:rPr>
          <w:rFonts w:hint="default" w:ascii="Times New Roman" w:hAnsi="Times New Roman" w:eastAsia="宋体" w:cs="Times New Roman"/>
          <w:color w:val="444444"/>
        </w:rPr>
        <w:t>使</w:t>
      </w:r>
      <w:r>
        <w:rPr>
          <w:rFonts w:hint="default" w:ascii="Times New Roman" w:hAnsi="Times New Roman" w:eastAsia="宋体" w:cs="Times New Roman"/>
          <w:color w:val="444444"/>
          <w:spacing w:val="3"/>
        </w:rPr>
        <w:t>国家在列强面前取得平等独立地位。变法失败后</w:t>
      </w:r>
      <w:r>
        <w:rPr>
          <w:rFonts w:hint="default" w:ascii="Times New Roman" w:hAnsi="Times New Roman" w:eastAsia="宋体" w:cs="Times New Roman"/>
          <w:color w:val="444444"/>
          <w:spacing w:val="16"/>
        </w:rPr>
        <w:t>,</w:t>
      </w:r>
      <w:r>
        <w:rPr>
          <w:rFonts w:hint="default" w:ascii="Times New Roman" w:hAnsi="Times New Roman" w:eastAsia="宋体" w:cs="Times New Roman"/>
          <w:color w:val="444444"/>
        </w:rPr>
        <w:t>流</w:t>
      </w:r>
      <w:r>
        <w:rPr>
          <w:rFonts w:hint="default" w:ascii="Times New Roman" w:hAnsi="Times New Roman" w:eastAsia="宋体" w:cs="Times New Roman"/>
          <w:color w:val="444444"/>
          <w:spacing w:val="-2"/>
        </w:rPr>
        <w:t>亡国外</w:t>
      </w:r>
      <w:r>
        <w:rPr>
          <w:rFonts w:hint="default" w:ascii="Times New Roman" w:hAnsi="Times New Roman" w:eastAsia="宋体" w:cs="Times New Roman"/>
          <w:color w:val="444444"/>
          <w:spacing w:val="12"/>
        </w:rPr>
        <w:t>,</w:t>
      </w:r>
      <w:r>
        <w:rPr>
          <w:rFonts w:hint="default" w:ascii="Times New Roman" w:hAnsi="Times New Roman" w:eastAsia="宋体" w:cs="Times New Roman"/>
          <w:color w:val="444444"/>
          <w:spacing w:val="9"/>
        </w:rPr>
        <w:t>但仍宣传变法思想</w:t>
      </w:r>
      <w:r>
        <w:rPr>
          <w:rFonts w:hint="default" w:ascii="Times New Roman" w:hAnsi="Times New Roman" w:eastAsia="宋体" w:cs="Times New Roman"/>
          <w:color w:val="444444"/>
        </w:rPr>
        <w:t>,</w:t>
      </w:r>
      <w:r>
        <w:rPr>
          <w:rFonts w:hint="default" w:ascii="Times New Roman" w:hAnsi="Times New Roman" w:eastAsia="宋体" w:cs="Times New Roman"/>
          <w:color w:val="444444"/>
          <w:spacing w:val="5"/>
        </w:rPr>
        <w:t>主张虚君共和。</w:t>
      </w:r>
      <w:r>
        <w:rPr>
          <w:rFonts w:hint="default" w:ascii="Times New Roman" w:hAnsi="Times New Roman" w:eastAsia="宋体" w:cs="Times New Roman"/>
          <w:color w:val="444444"/>
          <w:spacing w:val="4"/>
        </w:rPr>
        <w:t>1917</w:t>
      </w:r>
      <w:r>
        <w:rPr>
          <w:rFonts w:hint="default" w:ascii="Times New Roman" w:hAnsi="Times New Roman" w:eastAsia="宋体" w:cs="Times New Roman"/>
          <w:color w:val="444444"/>
        </w:rPr>
        <w:t>年6</w:t>
      </w:r>
      <w:r>
        <w:rPr>
          <w:rFonts w:hint="default" w:ascii="Times New Roman" w:hAnsi="Times New Roman" w:eastAsia="宋体" w:cs="Times New Roman"/>
          <w:color w:val="444444"/>
          <w:spacing w:val="5"/>
        </w:rPr>
        <w:t>月协助张勋复辟帝制。</w:t>
      </w:r>
      <w:r>
        <w:rPr>
          <w:rFonts w:hint="default" w:ascii="Times New Roman" w:hAnsi="Times New Roman" w:eastAsia="宋体" w:cs="Times New Roman"/>
          <w:color w:val="444444"/>
        </w:rPr>
        <w:t>1927</w:t>
      </w:r>
      <w:r>
        <w:rPr>
          <w:rFonts w:hint="default" w:ascii="Times New Roman" w:hAnsi="Times New Roman" w:eastAsia="宋体" w:cs="Times New Roman"/>
          <w:color w:val="444444"/>
          <w:spacing w:val="-11"/>
        </w:rPr>
        <w:t>年</w:t>
      </w:r>
      <w:r>
        <w:rPr>
          <w:rFonts w:hint="default" w:ascii="Times New Roman" w:hAnsi="Times New Roman" w:eastAsia="宋体" w:cs="Times New Roman"/>
          <w:color w:val="444444"/>
        </w:rPr>
        <w:t>3</w:t>
      </w:r>
      <w:r>
        <w:rPr>
          <w:rFonts w:hint="default" w:ascii="Times New Roman" w:hAnsi="Times New Roman" w:eastAsia="宋体" w:cs="Times New Roman"/>
          <w:color w:val="444444"/>
          <w:spacing w:val="2"/>
        </w:rPr>
        <w:t>月病死。纵观康</w:t>
      </w:r>
      <w:r>
        <w:rPr>
          <w:rFonts w:hint="default" w:ascii="Times New Roman" w:hAnsi="Times New Roman" w:eastAsia="宋体" w:cs="Times New Roman"/>
          <w:color w:val="444444"/>
          <w:spacing w:val="5"/>
        </w:rPr>
        <w:t>氏一生,实践变法维新</w:t>
      </w:r>
      <w:r>
        <w:rPr>
          <w:rFonts w:hint="default" w:ascii="Times New Roman" w:hAnsi="Times New Roman" w:eastAsia="宋体" w:cs="Times New Roman"/>
          <w:color w:val="444444"/>
          <w:spacing w:val="21"/>
        </w:rPr>
        <w:t>,</w:t>
      </w:r>
      <w:r>
        <w:rPr>
          <w:rFonts w:hint="default" w:ascii="Times New Roman" w:hAnsi="Times New Roman" w:eastAsia="宋体" w:cs="Times New Roman"/>
          <w:color w:val="444444"/>
          <w:spacing w:val="5"/>
        </w:rPr>
        <w:t>其志坚不可摧</w:t>
      </w:r>
      <w:r>
        <w:rPr>
          <w:rFonts w:hint="default" w:ascii="Times New Roman" w:hAnsi="Times New Roman" w:eastAsia="宋体" w:cs="Times New Roman"/>
          <w:color w:val="444444"/>
          <w:spacing w:val="20"/>
        </w:rPr>
        <w:t>,</w:t>
      </w:r>
      <w:r>
        <w:rPr>
          <w:rFonts w:hint="default" w:ascii="Times New Roman" w:hAnsi="Times New Roman" w:eastAsia="宋体" w:cs="Times New Roman"/>
          <w:color w:val="444444"/>
          <w:spacing w:val="7"/>
        </w:rPr>
        <w:t>却遇保守势力</w:t>
      </w:r>
      <w:r>
        <w:rPr>
          <w:rFonts w:hint="default" w:ascii="Times New Roman" w:hAnsi="Times New Roman" w:eastAsia="宋体" w:cs="Times New Roman"/>
          <w:color w:val="444444"/>
          <w:spacing w:val="11"/>
        </w:rPr>
        <w:t>之诋毁</w:t>
      </w:r>
      <w:r>
        <w:rPr>
          <w:rFonts w:hint="default" w:ascii="Times New Roman" w:hAnsi="Times New Roman" w:eastAsia="宋体" w:cs="Times New Roman"/>
          <w:color w:val="444444"/>
          <w:spacing w:val="-115"/>
          <w:w w:val="175"/>
        </w:rPr>
        <w:t>;</w:t>
      </w:r>
      <w:r>
        <w:rPr>
          <w:rFonts w:hint="default" w:ascii="Times New Roman" w:hAnsi="Times New Roman" w:eastAsia="宋体" w:cs="Times New Roman"/>
          <w:color w:val="444444"/>
          <w:spacing w:val="7"/>
        </w:rPr>
        <w:t>然而反对辛亥革命</w:t>
      </w:r>
      <w:r>
        <w:rPr>
          <w:rFonts w:hint="default" w:ascii="Times New Roman" w:hAnsi="Times New Roman" w:eastAsia="宋体" w:cs="Times New Roman"/>
          <w:color w:val="444444"/>
          <w:spacing w:val="-6"/>
          <w:w w:val="80"/>
        </w:rPr>
        <w:t>、</w:t>
      </w:r>
      <w:r>
        <w:rPr>
          <w:rFonts w:hint="default" w:ascii="Times New Roman" w:hAnsi="Times New Roman" w:eastAsia="宋体" w:cs="Times New Roman"/>
          <w:color w:val="444444"/>
          <w:spacing w:val="5"/>
        </w:rPr>
        <w:t>抨击民国</w:t>
      </w:r>
      <w:r>
        <w:rPr>
          <w:rFonts w:hint="default" w:ascii="Times New Roman" w:hAnsi="Times New Roman" w:eastAsia="宋体" w:cs="Times New Roman"/>
          <w:color w:val="444444"/>
          <w:spacing w:val="12"/>
        </w:rPr>
        <w:t>,</w:t>
      </w:r>
      <w:r>
        <w:rPr>
          <w:rFonts w:hint="default" w:ascii="Times New Roman" w:hAnsi="Times New Roman" w:eastAsia="宋体" w:cs="Times New Roman"/>
          <w:color w:val="444444"/>
          <w:spacing w:val="7"/>
        </w:rPr>
        <w:t>以及极力呼吁</w:t>
      </w:r>
      <w:r>
        <w:rPr>
          <w:rFonts w:hint="default" w:ascii="Times New Roman" w:hAnsi="Times New Roman" w:eastAsia="宋体" w:cs="Times New Roman"/>
          <w:color w:val="444444"/>
          <w:w w:val="49"/>
        </w:rPr>
        <w:t>“</w:t>
      </w:r>
      <w:r>
        <w:rPr>
          <w:rFonts w:hint="default" w:ascii="Times New Roman" w:hAnsi="Times New Roman" w:eastAsia="宋体" w:cs="Times New Roman"/>
          <w:color w:val="444444"/>
          <w:w w:val="102"/>
        </w:rPr>
        <w:t>保存国粹</w:t>
      </w:r>
      <w:r>
        <w:rPr>
          <w:rFonts w:hint="default" w:ascii="Times New Roman" w:hAnsi="Times New Roman" w:eastAsia="宋体" w:cs="Times New Roman"/>
          <w:color w:val="444444"/>
          <w:spacing w:val="12"/>
          <w:w w:val="51"/>
        </w:rPr>
        <w:t>”</w:t>
      </w:r>
      <w:r>
        <w:rPr>
          <w:rFonts w:hint="default" w:ascii="Times New Roman" w:hAnsi="Times New Roman" w:eastAsia="宋体" w:cs="Times New Roman"/>
          <w:color w:val="444444"/>
          <w:w w:val="102"/>
        </w:rPr>
        <w:t>,</w:t>
      </w:r>
      <w:r>
        <w:rPr>
          <w:rFonts w:hint="default" w:ascii="Times New Roman" w:hAnsi="Times New Roman" w:eastAsia="宋体" w:cs="Times New Roman"/>
          <w:color w:val="444444"/>
          <w:spacing w:val="5"/>
          <w:w w:val="102"/>
        </w:rPr>
        <w:t>帮助张勋复辟等</w:t>
      </w:r>
      <w:r>
        <w:rPr>
          <w:rFonts w:hint="default" w:ascii="Times New Roman" w:hAnsi="Times New Roman" w:eastAsia="宋体" w:cs="Times New Roman"/>
          <w:color w:val="444444"/>
          <w:w w:val="102"/>
        </w:rPr>
        <w:t>,</w:t>
      </w:r>
      <w:r>
        <w:rPr>
          <w:rFonts w:hint="default" w:ascii="Times New Roman" w:hAnsi="Times New Roman" w:eastAsia="宋体" w:cs="Times New Roman"/>
          <w:color w:val="444444"/>
          <w:spacing w:val="6"/>
          <w:w w:val="102"/>
        </w:rPr>
        <w:t>又遭激进人士抨击</w:t>
      </w:r>
      <w:r>
        <w:rPr>
          <w:rFonts w:hint="default" w:ascii="Times New Roman" w:hAnsi="Times New Roman" w:eastAsia="宋体" w:cs="Times New Roman"/>
          <w:color w:val="444444"/>
          <w:w w:val="102"/>
        </w:rPr>
        <w:t>,其</w:t>
      </w:r>
      <w:r>
        <w:rPr>
          <w:rFonts w:hint="default" w:ascii="Times New Roman" w:hAnsi="Times New Roman" w:eastAsia="宋体" w:cs="Times New Roman"/>
          <w:color w:val="444444"/>
          <w:spacing w:val="12"/>
          <w:w w:val="102"/>
        </w:rPr>
        <w:t>情实为狼狈</w:t>
      </w:r>
      <w:r>
        <w:rPr>
          <w:rFonts w:hint="default" w:ascii="Times New Roman" w:hAnsi="Times New Roman" w:eastAsia="宋体" w:cs="Times New Roman"/>
          <w:color w:val="444444"/>
          <w:spacing w:val="15"/>
          <w:w w:val="73"/>
        </w:rPr>
        <w:t>。</w:t>
      </w:r>
      <w:r>
        <w:rPr>
          <w:rFonts w:hint="default" w:ascii="Times New Roman" w:hAnsi="Times New Roman" w:eastAsia="宋体" w:cs="Times New Roman"/>
          <w:color w:val="444444"/>
          <w:spacing w:val="7"/>
          <w:w w:val="102"/>
        </w:rPr>
        <w:t>终因帝制崩溃</w:t>
      </w:r>
      <w:r>
        <w:rPr>
          <w:rFonts w:hint="default" w:ascii="Times New Roman" w:hAnsi="Times New Roman" w:eastAsia="宋体" w:cs="Times New Roman"/>
          <w:color w:val="444444"/>
          <w:w w:val="102"/>
        </w:rPr>
        <w:t>,</w:t>
      </w:r>
      <w:r>
        <w:rPr>
          <w:rFonts w:hint="default" w:ascii="Times New Roman" w:hAnsi="Times New Roman" w:eastAsia="宋体" w:cs="Times New Roman"/>
          <w:color w:val="444444"/>
          <w:spacing w:val="9"/>
          <w:w w:val="102"/>
        </w:rPr>
        <w:t>建立民国</w:t>
      </w:r>
      <w:r>
        <w:rPr>
          <w:rFonts w:hint="default" w:ascii="Times New Roman" w:hAnsi="Times New Roman" w:eastAsia="宋体" w:cs="Times New Roman"/>
          <w:color w:val="444444"/>
          <w:spacing w:val="16"/>
          <w:w w:val="102"/>
        </w:rPr>
        <w:t>,</w:t>
      </w:r>
      <w:r>
        <w:rPr>
          <w:rFonts w:hint="default" w:ascii="Times New Roman" w:hAnsi="Times New Roman" w:eastAsia="宋体" w:cs="Times New Roman"/>
          <w:color w:val="444444"/>
          <w:w w:val="49"/>
        </w:rPr>
        <w:t>“</w:t>
      </w:r>
      <w:r>
        <w:rPr>
          <w:rFonts w:hint="default" w:ascii="Times New Roman" w:hAnsi="Times New Roman" w:eastAsia="宋体" w:cs="Times New Roman"/>
          <w:color w:val="444444"/>
          <w:spacing w:val="4"/>
          <w:w w:val="102"/>
        </w:rPr>
        <w:t>立场反动</w:t>
      </w:r>
      <w:r>
        <w:rPr>
          <w:rFonts w:hint="default" w:ascii="Times New Roman" w:hAnsi="Times New Roman" w:eastAsia="宋体" w:cs="Times New Roman"/>
          <w:color w:val="444444"/>
          <w:spacing w:val="12"/>
          <w:w w:val="51"/>
        </w:rPr>
        <w:t>”</w:t>
      </w:r>
      <w:r>
        <w:rPr>
          <w:rFonts w:hint="default" w:ascii="Times New Roman" w:hAnsi="Times New Roman" w:eastAsia="宋体" w:cs="Times New Roman"/>
          <w:color w:val="444444"/>
          <w:w w:val="102"/>
        </w:rPr>
        <w:t>,</w:t>
      </w:r>
      <w:r>
        <w:rPr>
          <w:rFonts w:hint="default" w:ascii="Times New Roman" w:hAnsi="Times New Roman" w:eastAsia="宋体" w:cs="Times New Roman"/>
          <w:color w:val="444444"/>
        </w:rPr>
        <w:t>而遭世人唾骂</w:t>
      </w:r>
      <w:r>
        <w:rPr>
          <w:rFonts w:hint="default" w:ascii="Times New Roman" w:hAnsi="Times New Roman" w:eastAsia="宋体" w:cs="Times New Roman"/>
          <w:color w:val="444444"/>
          <w:w w:val="80"/>
        </w:rPr>
        <w:t>。</w:t>
      </w:r>
      <w:r>
        <w:rPr>
          <w:rFonts w:hint="default" w:ascii="Times New Roman" w:hAnsi="Times New Roman" w:eastAsia="宋体" w:cs="Times New Roman"/>
          <w:color w:val="444444"/>
        </w:rPr>
        <w:t>但康有为在中国近代史上是一个极重要的人物,现在对他的全方位研究和其在历史上的地位是极不相称的</w:t>
      </w:r>
      <w:r>
        <w:rPr>
          <w:rFonts w:hint="default" w:ascii="Times New Roman" w:hAnsi="Times New Roman" w:eastAsia="宋体" w:cs="Times New Roman"/>
          <w:color w:val="444444"/>
          <w:w w:val="80"/>
        </w:rPr>
        <w:t>。</w:t>
      </w:r>
      <w:r>
        <w:rPr>
          <w:rFonts w:hint="default" w:ascii="Times New Roman" w:hAnsi="Times New Roman" w:eastAsia="宋体" w:cs="Times New Roman"/>
          <w:color w:val="444444"/>
        </w:rPr>
        <w:t>我们应该实事求是地评价康有</w:t>
      </w:r>
      <w:r>
        <w:rPr>
          <w:rFonts w:hint="default" w:ascii="Times New Roman" w:hAnsi="Times New Roman" w:eastAsia="宋体" w:cs="Times New Roman"/>
          <w:color w:val="444444"/>
          <w:w w:val="95"/>
        </w:rPr>
        <w:t>为的哲学</w:t>
      </w:r>
      <w:r>
        <w:rPr>
          <w:rFonts w:hint="default" w:ascii="Times New Roman" w:hAnsi="Times New Roman" w:eastAsia="宋体" w:cs="Times New Roman"/>
          <w:color w:val="444444"/>
          <w:w w:val="80"/>
        </w:rPr>
        <w:t>、</w:t>
      </w:r>
      <w:r>
        <w:rPr>
          <w:rFonts w:hint="default" w:ascii="Times New Roman" w:hAnsi="Times New Roman" w:eastAsia="宋体" w:cs="Times New Roman"/>
          <w:color w:val="444444"/>
          <w:w w:val="95"/>
        </w:rPr>
        <w:t>政治</w:t>
      </w:r>
      <w:r>
        <w:rPr>
          <w:rFonts w:hint="default" w:ascii="Times New Roman" w:hAnsi="Times New Roman" w:eastAsia="宋体" w:cs="Times New Roman"/>
          <w:color w:val="444444"/>
          <w:w w:val="80"/>
        </w:rPr>
        <w:t>、</w:t>
      </w:r>
      <w:r>
        <w:rPr>
          <w:rFonts w:hint="default" w:ascii="Times New Roman" w:hAnsi="Times New Roman" w:eastAsia="宋体" w:cs="Times New Roman"/>
          <w:color w:val="444444"/>
          <w:w w:val="95"/>
        </w:rPr>
        <w:t>经济</w:t>
      </w:r>
      <w:r>
        <w:rPr>
          <w:rFonts w:hint="default" w:ascii="Times New Roman" w:hAnsi="Times New Roman" w:eastAsia="宋体" w:cs="Times New Roman"/>
          <w:color w:val="444444"/>
          <w:w w:val="80"/>
        </w:rPr>
        <w:t>、</w:t>
      </w:r>
      <w:r>
        <w:rPr>
          <w:rFonts w:hint="default" w:ascii="Times New Roman" w:hAnsi="Times New Roman" w:eastAsia="宋体" w:cs="Times New Roman"/>
          <w:color w:val="444444"/>
          <w:w w:val="95"/>
        </w:rPr>
        <w:t>社会思想及改革措施,尤其是</w:t>
      </w:r>
      <w:r>
        <w:rPr>
          <w:rFonts w:hint="default" w:ascii="Times New Roman" w:hAnsi="Times New Roman" w:eastAsia="宋体" w:cs="Times New Roman"/>
          <w:color w:val="444444"/>
        </w:rPr>
        <w:t>他的社会主义</w:t>
      </w:r>
      <w:r>
        <w:rPr>
          <w:rFonts w:hint="default" w:ascii="Times New Roman" w:hAnsi="Times New Roman" w:eastAsia="宋体" w:cs="Times New Roman"/>
          <w:color w:val="444444"/>
          <w:w w:val="80"/>
        </w:rPr>
        <w:t>“</w:t>
      </w:r>
      <w:r>
        <w:rPr>
          <w:rFonts w:hint="default" w:ascii="Times New Roman" w:hAnsi="Times New Roman" w:eastAsia="宋体" w:cs="Times New Roman"/>
          <w:color w:val="444444"/>
        </w:rPr>
        <w:t>大同思想</w:t>
      </w:r>
      <w:r>
        <w:rPr>
          <w:rFonts w:hint="default" w:ascii="Times New Roman" w:hAnsi="Times New Roman" w:eastAsia="宋体" w:cs="Times New Roman"/>
          <w:color w:val="444444"/>
          <w:w w:val="80"/>
        </w:rPr>
        <w:t>”。</w:t>
      </w:r>
    </w:p>
    <w:p w14:paraId="21CDF96D">
      <w:pPr>
        <w:pStyle w:val="4"/>
        <w:spacing w:before="75" w:line="400" w:lineRule="exact"/>
        <w:ind w:left="115" w:right="155" w:firstLine="420" w:firstLineChars="200"/>
        <w:rPr>
          <w:rFonts w:hint="default" w:ascii="Times New Roman" w:hAnsi="Times New Roman" w:eastAsia="宋体" w:cs="Times New Roman"/>
        </w:rPr>
      </w:pPr>
      <w:r>
        <w:rPr>
          <w:rFonts w:hint="default" w:ascii="Times New Roman" w:hAnsi="Times New Roman" w:eastAsia="宋体" w:cs="Times New Roman"/>
          <w:color w:val="444444"/>
        </w:rPr>
        <w:t>本文试就康有为的空想社会主义的思想渊源</w:t>
      </w:r>
      <w:r>
        <w:rPr>
          <w:rFonts w:hint="default" w:ascii="Times New Roman" w:hAnsi="Times New Roman" w:eastAsia="宋体" w:cs="Times New Roman"/>
          <w:color w:val="444444"/>
          <w:w w:val="80"/>
        </w:rPr>
        <w:t>、</w:t>
      </w:r>
      <w:r>
        <w:rPr>
          <w:rFonts w:hint="default" w:ascii="Times New Roman" w:hAnsi="Times New Roman" w:eastAsia="宋体" w:cs="Times New Roman"/>
          <w:color w:val="444444"/>
        </w:rPr>
        <w:t>主要内容</w:t>
      </w:r>
      <w:r>
        <w:rPr>
          <w:rFonts w:hint="default" w:ascii="Times New Roman" w:hAnsi="Times New Roman" w:eastAsia="宋体" w:cs="Times New Roman"/>
          <w:color w:val="444444"/>
          <w:w w:val="80"/>
        </w:rPr>
        <w:t>、</w:t>
      </w:r>
      <w:r>
        <w:rPr>
          <w:rFonts w:hint="default" w:ascii="Times New Roman" w:hAnsi="Times New Roman" w:eastAsia="宋体" w:cs="Times New Roman"/>
          <w:color w:val="444444"/>
        </w:rPr>
        <w:t>历史影响等作一简要评述</w:t>
      </w:r>
      <w:r>
        <w:rPr>
          <w:rFonts w:hint="default" w:ascii="Times New Roman" w:hAnsi="Times New Roman" w:eastAsia="宋体" w:cs="Times New Roman"/>
          <w:color w:val="444444"/>
          <w:w w:val="80"/>
        </w:rPr>
        <w:t>。</w:t>
      </w:r>
    </w:p>
    <w:p w14:paraId="11A49B7C">
      <w:pPr>
        <w:pStyle w:val="4"/>
        <w:keepNext w:val="0"/>
        <w:keepLines w:val="0"/>
        <w:pageBreakBefore w:val="0"/>
        <w:widowControl w:val="0"/>
        <w:tabs>
          <w:tab w:val="left" w:pos="403"/>
        </w:tabs>
        <w:kinsoku/>
        <w:wordWrap/>
        <w:overflowPunct/>
        <w:topLinePunct w:val="0"/>
        <w:autoSpaceDE/>
        <w:autoSpaceDN/>
        <w:bidi w:val="0"/>
        <w:adjustRightInd/>
        <w:snapToGrid/>
        <w:spacing w:before="0" w:beforeLines="50" w:after="0" w:afterLines="50" w:line="400" w:lineRule="exact"/>
        <w:ind w:left="0"/>
        <w:jc w:val="center"/>
        <w:textAlignment w:val="auto"/>
        <w:rPr>
          <w:rFonts w:hint="default" w:ascii="Times New Roman" w:hAnsi="Times New Roman" w:eastAsia="宋体" w:cs="Times New Roman"/>
          <w:color w:val="444444"/>
          <w:spacing w:val="9"/>
        </w:rPr>
      </w:pPr>
      <w:r>
        <w:rPr>
          <w:rFonts w:hint="default" w:ascii="Times New Roman" w:hAnsi="Times New Roman" w:eastAsia="黑体" w:cs="Times New Roman"/>
          <w:color w:val="000000"/>
          <w:kern w:val="2"/>
          <w:sz w:val="24"/>
          <w:szCs w:val="24"/>
          <w:lang w:val="zh-TW" w:eastAsia="zh-TW" w:bidi="zh-TW"/>
        </w:rPr>
        <w:t>一</w:t>
      </w:r>
      <w:r>
        <w:rPr>
          <w:rFonts w:hint="default" w:ascii="Times New Roman" w:hAnsi="Times New Roman" w:eastAsia="黑体" w:cs="Times New Roman"/>
          <w:color w:val="000000"/>
          <w:kern w:val="2"/>
          <w:sz w:val="24"/>
          <w:szCs w:val="24"/>
          <w:lang w:val="zh-TW" w:eastAsia="zh-CN" w:bidi="zh-TW"/>
        </w:rPr>
        <w:t>、</w:t>
      </w:r>
      <w:r>
        <w:rPr>
          <w:rFonts w:hint="default" w:ascii="Times New Roman" w:hAnsi="Times New Roman" w:eastAsia="黑体" w:cs="Times New Roman"/>
          <w:color w:val="000000"/>
          <w:kern w:val="2"/>
          <w:sz w:val="24"/>
          <w:szCs w:val="24"/>
          <w:lang w:val="zh-TW" w:eastAsia="zh-TW" w:bidi="zh-TW"/>
        </w:rPr>
        <w:t>康有为思想的渊源</w:t>
      </w:r>
    </w:p>
    <w:p w14:paraId="2A259450">
      <w:pPr>
        <w:pStyle w:val="16"/>
        <w:keepNext w:val="0"/>
        <w:keepLines w:val="0"/>
        <w:pageBreakBefore w:val="0"/>
        <w:widowControl w:val="0"/>
        <w:kinsoku/>
        <w:wordWrap/>
        <w:overflowPunct/>
        <w:topLinePunct w:val="0"/>
        <w:autoSpaceDE/>
        <w:autoSpaceDN/>
        <w:bidi w:val="0"/>
        <w:adjustRightInd/>
        <w:snapToGrid/>
        <w:spacing w:after="0" w:line="400" w:lineRule="exact"/>
        <w:ind w:left="0" w:leftChars="0" w:right="0" w:firstLine="456" w:firstLineChars="200"/>
        <w:jc w:val="both"/>
        <w:textAlignment w:val="auto"/>
        <w:rPr>
          <w:rFonts w:hint="default" w:ascii="Times New Roman" w:hAnsi="Times New Roman" w:eastAsia="宋体" w:cs="Times New Roman"/>
          <w:color w:val="444444"/>
          <w:spacing w:val="9"/>
          <w:szCs w:val="21"/>
          <w:lang w:val="zh-CN" w:bidi="zh-CN"/>
        </w:rPr>
      </w:pPr>
      <w:r>
        <w:rPr>
          <w:rFonts w:hint="default" w:ascii="Times New Roman" w:hAnsi="Times New Roman" w:eastAsia="宋体" w:cs="Times New Roman"/>
          <w:color w:val="444444"/>
          <w:spacing w:val="9"/>
          <w:szCs w:val="21"/>
          <w:lang w:val="zh-CN" w:bidi="zh-CN"/>
        </w:rPr>
        <w:t>康有为的空想社会主义理论主要体现在《大同书》中。他的这一思想的形成并非是一朝一夕之功,而是其长期从事改革实践和理论思考的结果。康有为在对中国古代诸经的研究中,经过认真分析研究,得出《春秋公羊传》是最完备和最可靠的儒家经典的结论。他曾说:孔子有六经,而大道萃于《春秋》。《春秋》有三传,惟有《公羊传》畅明《春秋》大义。其中的“三世说”即人类历史的发展是经由“据乱世”、“升平世”和“太平世”的过程,而人类的制度即按此规律前进。他认为,目前社会(19世纪末)正处于“据乱世”向“升平世”过渡的转轨时期,最终全人类都将进入“太平世”。《春秋》的“三世说”为其渊源之一。</w:t>
      </w:r>
    </w:p>
    <w:p w14:paraId="03EE655D">
      <w:pPr>
        <w:pStyle w:val="16"/>
        <w:keepNext w:val="0"/>
        <w:keepLines w:val="0"/>
        <w:pageBreakBefore w:val="0"/>
        <w:widowControl w:val="0"/>
        <w:kinsoku/>
        <w:wordWrap/>
        <w:overflowPunct/>
        <w:topLinePunct w:val="0"/>
        <w:autoSpaceDE/>
        <w:autoSpaceDN/>
        <w:bidi w:val="0"/>
        <w:adjustRightInd/>
        <w:snapToGrid/>
        <w:spacing w:after="0" w:line="400" w:lineRule="exact"/>
        <w:ind w:left="0" w:leftChars="0" w:right="0" w:firstLine="456" w:firstLineChars="200"/>
        <w:jc w:val="both"/>
        <w:textAlignment w:val="auto"/>
        <w:rPr>
          <w:rFonts w:hint="default" w:ascii="Times New Roman" w:hAnsi="Times New Roman" w:eastAsia="宋体" w:cs="Times New Roman"/>
          <w:color w:val="444444"/>
          <w:spacing w:val="9"/>
          <w:szCs w:val="21"/>
          <w:lang w:val="zh-CN" w:bidi="zh-CN"/>
        </w:rPr>
      </w:pPr>
      <w:r>
        <w:rPr>
          <w:rFonts w:hint="default" w:ascii="Times New Roman" w:hAnsi="Times New Roman" w:eastAsia="宋体" w:cs="Times New Roman"/>
          <w:color w:val="444444"/>
          <w:spacing w:val="9"/>
          <w:szCs w:val="21"/>
          <w:lang w:val="zh-CN" w:bidi="zh-CN"/>
        </w:rPr>
        <w:t>第二个渊源是《礼记》。《礼记》是中国古代的一本儒家经典著作。其主要思想内容是关于平等的论述。康有为于1901～1902年间完成《礼运注》,《礼运注》中的大同与小康之说充分为康有为所肯定。如在《礼运注》中,他写道:只有天下为公,合者人人如一之谓,无贵贱之分,无贫富之等,无人种之殊,无男女之异。人人皆教养于公产而不恃私产。此大同之道,太平之世行也。</w:t>
      </w:r>
    </w:p>
    <w:p w14:paraId="64544BE6">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0" w:firstLineChars="200"/>
        <w:jc w:val="both"/>
        <w:textAlignment w:val="auto"/>
        <w:rPr>
          <w:rFonts w:hint="default" w:ascii="Times New Roman" w:hAnsi="Times New Roman" w:eastAsia="宋体" w:cs="Times New Roman"/>
        </w:rPr>
      </w:pPr>
      <w:r>
        <w:rPr>
          <w:rFonts w:hint="default" w:ascii="Times New Roman" w:hAnsi="Times New Roman" w:eastAsia="宋体" w:cs="Times New Roman"/>
          <w:spacing w:val="5"/>
        </w:rPr>
        <w:t>康有为空想社会主义思想的第三个渊源是西方</w:t>
      </w:r>
      <w:r>
        <w:rPr>
          <w:rFonts w:hint="default" w:ascii="Times New Roman" w:hAnsi="Times New Roman" w:eastAsia="宋体" w:cs="Times New Roman"/>
          <w:spacing w:val="11"/>
          <w:w w:val="95"/>
        </w:rPr>
        <w:t>的科学</w:t>
      </w:r>
      <w:r>
        <w:rPr>
          <w:rFonts w:hint="default" w:ascii="Times New Roman" w:hAnsi="Times New Roman" w:eastAsia="宋体" w:cs="Times New Roman"/>
          <w:spacing w:val="-26"/>
          <w:w w:val="85"/>
        </w:rPr>
        <w:t>、</w:t>
      </w:r>
      <w:r>
        <w:rPr>
          <w:rFonts w:hint="default" w:ascii="Times New Roman" w:hAnsi="Times New Roman" w:eastAsia="宋体" w:cs="Times New Roman"/>
          <w:spacing w:val="8"/>
          <w:w w:val="95"/>
        </w:rPr>
        <w:t>哲学和空想社会主义思想。从康有为的</w:t>
      </w:r>
      <w:r>
        <w:rPr>
          <w:rFonts w:hint="default" w:ascii="Times New Roman" w:hAnsi="Times New Roman" w:eastAsia="宋体" w:cs="Times New Roman"/>
          <w:spacing w:val="21"/>
          <w:w w:val="85"/>
        </w:rPr>
        <w:t>《</w:t>
      </w:r>
      <w:r>
        <w:rPr>
          <w:rFonts w:hint="default" w:ascii="Times New Roman" w:hAnsi="Times New Roman" w:eastAsia="宋体" w:cs="Times New Roman"/>
          <w:w w:val="95"/>
        </w:rPr>
        <w:t>年</w:t>
      </w:r>
      <w:r>
        <w:rPr>
          <w:rFonts w:hint="default" w:ascii="Times New Roman" w:hAnsi="Times New Roman" w:eastAsia="宋体" w:cs="Times New Roman"/>
          <w:spacing w:val="-35"/>
        </w:rPr>
        <w:t>谱</w:t>
      </w:r>
      <w:r>
        <w:rPr>
          <w:rFonts w:hint="default" w:ascii="Times New Roman" w:hAnsi="Times New Roman" w:eastAsia="宋体" w:cs="Times New Roman"/>
          <w:spacing w:val="27"/>
          <w:w w:val="85"/>
        </w:rPr>
        <w:t>》</w:t>
      </w:r>
      <w:r>
        <w:rPr>
          <w:rFonts w:hint="default" w:ascii="Times New Roman" w:hAnsi="Times New Roman" w:eastAsia="宋体" w:cs="Times New Roman"/>
          <w:spacing w:val="5"/>
        </w:rPr>
        <w:t>中可以得知</w:t>
      </w:r>
      <w:r>
        <w:rPr>
          <w:rFonts w:hint="default" w:ascii="Times New Roman" w:hAnsi="Times New Roman" w:eastAsia="宋体" w:cs="Times New Roman"/>
          <w:spacing w:val="-5"/>
        </w:rPr>
        <w:t>,</w:t>
      </w:r>
      <w:r>
        <w:rPr>
          <w:rFonts w:hint="default" w:ascii="Times New Roman" w:hAnsi="Times New Roman" w:eastAsia="宋体" w:cs="Times New Roman"/>
          <w:spacing w:val="-3"/>
        </w:rPr>
        <w:t>他大约在</w:t>
      </w:r>
      <w:r>
        <w:rPr>
          <w:rFonts w:hint="default" w:ascii="Times New Roman" w:hAnsi="Times New Roman" w:eastAsia="宋体" w:cs="Times New Roman"/>
        </w:rPr>
        <w:t>1879</w:t>
      </w:r>
      <w:r>
        <w:rPr>
          <w:rFonts w:hint="default" w:ascii="Times New Roman" w:hAnsi="Times New Roman" w:eastAsia="宋体" w:cs="Times New Roman"/>
          <w:spacing w:val="2"/>
        </w:rPr>
        <w:t>年开始钻研西学。从</w:t>
      </w:r>
      <w:r>
        <w:rPr>
          <w:rFonts w:hint="default" w:ascii="Times New Roman" w:hAnsi="Times New Roman" w:eastAsia="宋体" w:cs="Times New Roman"/>
          <w:spacing w:val="5"/>
        </w:rPr>
        <w:t>传教士编写和江南制造局出版的西学书中</w:t>
      </w:r>
      <w:r>
        <w:rPr>
          <w:rFonts w:hint="default" w:ascii="Times New Roman" w:hAnsi="Times New Roman" w:eastAsia="宋体" w:cs="Times New Roman"/>
          <w:spacing w:val="1"/>
        </w:rPr>
        <w:t>,</w:t>
      </w:r>
      <w:r>
        <w:rPr>
          <w:rFonts w:hint="default" w:ascii="Times New Roman" w:hAnsi="Times New Roman" w:eastAsia="宋体" w:cs="Times New Roman"/>
          <w:spacing w:val="8"/>
        </w:rPr>
        <w:t>获取了一些西方的知识</w:t>
      </w:r>
      <w:r>
        <w:rPr>
          <w:rFonts w:hint="default" w:ascii="Times New Roman" w:hAnsi="Times New Roman" w:eastAsia="宋体" w:cs="Times New Roman"/>
          <w:spacing w:val="-8"/>
          <w:w w:val="90"/>
        </w:rPr>
        <w:t>。</w:t>
      </w:r>
      <w:r>
        <w:rPr>
          <w:rFonts w:hint="default" w:ascii="Times New Roman" w:hAnsi="Times New Roman" w:eastAsia="宋体" w:cs="Times New Roman"/>
          <w:spacing w:val="6"/>
        </w:rPr>
        <w:t>这些知识对他的思想形成</w:t>
      </w:r>
      <w:r>
        <w:rPr>
          <w:rFonts w:hint="default" w:ascii="Times New Roman" w:hAnsi="Times New Roman" w:eastAsia="宋体" w:cs="Times New Roman"/>
          <w:spacing w:val="9"/>
        </w:rPr>
        <w:t>,</w:t>
      </w:r>
      <w:r>
        <w:rPr>
          <w:rFonts w:hint="default" w:ascii="Times New Roman" w:hAnsi="Times New Roman" w:eastAsia="宋体" w:cs="Times New Roman"/>
          <w:spacing w:val="8"/>
        </w:rPr>
        <w:t>有很大影</w:t>
      </w:r>
      <w:r>
        <w:rPr>
          <w:rFonts w:hint="default" w:ascii="Times New Roman" w:hAnsi="Times New Roman" w:eastAsia="宋体" w:cs="Times New Roman"/>
          <w:spacing w:val="25"/>
          <w:w w:val="95"/>
        </w:rPr>
        <w:t>响</w:t>
      </w:r>
      <w:r>
        <w:rPr>
          <w:rFonts w:hint="default" w:ascii="Times New Roman" w:hAnsi="Times New Roman" w:eastAsia="宋体" w:cs="Times New Roman"/>
          <w:spacing w:val="-23"/>
          <w:w w:val="90"/>
        </w:rPr>
        <w:t>。</w:t>
      </w:r>
      <w:r>
        <w:rPr>
          <w:rFonts w:hint="default" w:ascii="Times New Roman" w:hAnsi="Times New Roman" w:eastAsia="宋体" w:cs="Times New Roman"/>
          <w:spacing w:val="-3"/>
          <w:w w:val="95"/>
        </w:rPr>
        <w:t>如傅兰雅的</w:t>
      </w:r>
      <w:r>
        <w:rPr>
          <w:rFonts w:hint="default" w:ascii="Times New Roman" w:hAnsi="Times New Roman" w:eastAsia="宋体" w:cs="Times New Roman"/>
          <w:spacing w:val="21"/>
          <w:w w:val="90"/>
        </w:rPr>
        <w:t>《</w:t>
      </w:r>
      <w:r>
        <w:rPr>
          <w:rFonts w:hint="default" w:ascii="Times New Roman" w:hAnsi="Times New Roman" w:eastAsia="宋体" w:cs="Times New Roman"/>
          <w:w w:val="95"/>
        </w:rPr>
        <w:t>佐治刍言</w:t>
      </w:r>
      <w:r>
        <w:rPr>
          <w:rFonts w:hint="default" w:ascii="Times New Roman" w:hAnsi="Times New Roman" w:eastAsia="宋体" w:cs="Times New Roman"/>
          <w:spacing w:val="27"/>
          <w:w w:val="90"/>
        </w:rPr>
        <w:t>》</w:t>
      </w:r>
      <w:r>
        <w:rPr>
          <w:rFonts w:hint="default" w:ascii="Times New Roman" w:hAnsi="Times New Roman" w:eastAsia="宋体" w:cs="Times New Roman"/>
          <w:spacing w:val="-5"/>
          <w:w w:val="95"/>
        </w:rPr>
        <w:t>,</w:t>
      </w:r>
      <w:r>
        <w:rPr>
          <w:rFonts w:hint="default" w:ascii="Times New Roman" w:hAnsi="Times New Roman" w:eastAsia="宋体" w:cs="Times New Roman"/>
          <w:spacing w:val="-15"/>
          <w:w w:val="95"/>
        </w:rPr>
        <w:t>与</w:t>
      </w:r>
      <w:r>
        <w:rPr>
          <w:rFonts w:hint="default" w:ascii="Times New Roman" w:hAnsi="Times New Roman" w:eastAsia="宋体" w:cs="Times New Roman"/>
          <w:spacing w:val="21"/>
          <w:w w:val="90"/>
        </w:rPr>
        <w:t>《</w:t>
      </w:r>
      <w:r>
        <w:rPr>
          <w:rFonts w:hint="default" w:ascii="Times New Roman" w:hAnsi="Times New Roman" w:eastAsia="宋体" w:cs="Times New Roman"/>
          <w:spacing w:val="-2"/>
          <w:w w:val="95"/>
        </w:rPr>
        <w:t>大同书</w:t>
      </w:r>
      <w:r>
        <w:rPr>
          <w:rFonts w:hint="default" w:ascii="Times New Roman" w:hAnsi="Times New Roman" w:eastAsia="宋体" w:cs="Times New Roman"/>
          <w:spacing w:val="27"/>
          <w:w w:val="90"/>
        </w:rPr>
        <w:t>》</w:t>
      </w:r>
      <w:r>
        <w:rPr>
          <w:rFonts w:hint="default" w:ascii="Times New Roman" w:hAnsi="Times New Roman" w:eastAsia="宋体" w:cs="Times New Roman"/>
          <w:spacing w:val="7"/>
          <w:w w:val="95"/>
        </w:rPr>
        <w:t>有许多较为</w:t>
      </w:r>
      <w:r>
        <w:rPr>
          <w:rFonts w:hint="default" w:ascii="Times New Roman" w:hAnsi="Times New Roman" w:eastAsia="宋体" w:cs="Times New Roman"/>
          <w:spacing w:val="9"/>
        </w:rPr>
        <w:t>接近的观点</w:t>
      </w:r>
      <w:r>
        <w:rPr>
          <w:rFonts w:hint="default" w:ascii="Times New Roman" w:hAnsi="Times New Roman" w:eastAsia="宋体" w:cs="Times New Roman"/>
          <w:spacing w:val="-17"/>
          <w:w w:val="90"/>
        </w:rPr>
        <w:t>。</w:t>
      </w:r>
      <w:r>
        <w:rPr>
          <w:rFonts w:hint="default" w:ascii="Times New Roman" w:hAnsi="Times New Roman" w:eastAsia="宋体" w:cs="Times New Roman"/>
        </w:rPr>
        <w:t>他在1898</w:t>
      </w:r>
      <w:r>
        <w:rPr>
          <w:rFonts w:hint="default" w:ascii="Times New Roman" w:hAnsi="Times New Roman" w:eastAsia="宋体" w:cs="Times New Roman"/>
          <w:spacing w:val="13"/>
        </w:rPr>
        <w:t>年底于日本小住时,</w:t>
      </w:r>
      <w:r>
        <w:rPr>
          <w:rFonts w:hint="default" w:ascii="Times New Roman" w:hAnsi="Times New Roman" w:eastAsia="宋体" w:cs="Times New Roman"/>
          <w:spacing w:val="10"/>
        </w:rPr>
        <w:t>已接触</w:t>
      </w:r>
      <w:r>
        <w:rPr>
          <w:rFonts w:hint="default" w:ascii="Times New Roman" w:hAnsi="Times New Roman" w:eastAsia="宋体" w:cs="Times New Roman"/>
          <w:spacing w:val="5"/>
        </w:rPr>
        <w:t>到傅立叶</w:t>
      </w:r>
      <w:r>
        <w:rPr>
          <w:rFonts w:hint="default" w:ascii="Times New Roman" w:hAnsi="Times New Roman" w:eastAsia="宋体" w:cs="Times New Roman"/>
          <w:spacing w:val="6"/>
        </w:rPr>
        <w:t>(</w:t>
      </w:r>
      <w:r>
        <w:rPr>
          <w:rFonts w:hint="default" w:ascii="Times New Roman" w:hAnsi="Times New Roman" w:eastAsia="宋体" w:cs="Times New Roman"/>
        </w:rPr>
        <w:t>Fourier</w:t>
      </w:r>
      <w:r>
        <w:rPr>
          <w:rFonts w:hint="default" w:ascii="Times New Roman" w:hAnsi="Times New Roman" w:eastAsia="宋体" w:cs="Times New Roman"/>
          <w:spacing w:val="2"/>
        </w:rPr>
        <w:t>)</w:t>
      </w:r>
      <w:r>
        <w:rPr>
          <w:rFonts w:hint="default" w:ascii="Times New Roman" w:hAnsi="Times New Roman" w:eastAsia="宋体" w:cs="Times New Roman"/>
          <w:spacing w:val="5"/>
        </w:rPr>
        <w:t>的空想社会主义理论</w:t>
      </w:r>
      <w:r>
        <w:rPr>
          <w:rFonts w:hint="default" w:ascii="Times New Roman" w:hAnsi="Times New Roman" w:eastAsia="宋体" w:cs="Times New Roman"/>
          <w:spacing w:val="4"/>
        </w:rPr>
        <w:t>,</w:t>
      </w:r>
      <w:r>
        <w:rPr>
          <w:rFonts w:hint="default" w:ascii="Times New Roman" w:hAnsi="Times New Roman" w:eastAsia="宋体" w:cs="Times New Roman"/>
          <w:spacing w:val="7"/>
        </w:rPr>
        <w:t>足以证明他</w:t>
      </w:r>
      <w:r>
        <w:rPr>
          <w:rFonts w:hint="default" w:ascii="Times New Roman" w:hAnsi="Times New Roman" w:eastAsia="宋体" w:cs="Times New Roman"/>
          <w:spacing w:val="6"/>
        </w:rPr>
        <w:t>的一些思想汲取了西方空想社会主义的理论</w:t>
      </w:r>
      <w:r>
        <w:rPr>
          <w:rFonts w:hint="default" w:ascii="Times New Roman" w:hAnsi="Times New Roman" w:eastAsia="宋体" w:cs="Times New Roman"/>
          <w:spacing w:val="5"/>
          <w:w w:val="85"/>
        </w:rPr>
        <w:t>。</w:t>
      </w:r>
      <w:r>
        <w:rPr>
          <w:rFonts w:hint="default" w:ascii="Times New Roman" w:hAnsi="Times New Roman" w:eastAsia="宋体" w:cs="Times New Roman"/>
          <w:spacing w:val="12"/>
        </w:rPr>
        <w:t>康有</w:t>
      </w:r>
      <w:r>
        <w:rPr>
          <w:rFonts w:hint="default" w:ascii="Times New Roman" w:hAnsi="Times New Roman" w:eastAsia="宋体" w:cs="Times New Roman"/>
          <w:spacing w:val="5"/>
        </w:rPr>
        <w:t>为赞同许多西方乌托邦思想家</w:t>
      </w:r>
      <w:r>
        <w:rPr>
          <w:rFonts w:hint="default" w:ascii="Times New Roman" w:hAnsi="Times New Roman" w:eastAsia="宋体" w:cs="Times New Roman"/>
          <w:spacing w:val="8"/>
        </w:rPr>
        <w:t>,</w:t>
      </w:r>
      <w:r>
        <w:rPr>
          <w:rFonts w:hint="default" w:ascii="Times New Roman" w:hAnsi="Times New Roman" w:eastAsia="宋体" w:cs="Times New Roman"/>
          <w:spacing w:val="7"/>
        </w:rPr>
        <w:t>以平等为完善社会的</w:t>
      </w:r>
      <w:r>
        <w:rPr>
          <w:rFonts w:hint="default" w:ascii="Times New Roman" w:hAnsi="Times New Roman" w:eastAsia="宋体" w:cs="Times New Roman"/>
          <w:spacing w:val="10"/>
        </w:rPr>
        <w:t>主要原则</w:t>
      </w:r>
      <w:r>
        <w:rPr>
          <w:rFonts w:hint="default" w:ascii="Times New Roman" w:hAnsi="Times New Roman" w:eastAsia="宋体" w:cs="Times New Roman"/>
          <w:spacing w:val="5"/>
          <w:w w:val="85"/>
        </w:rPr>
        <w:t>。</w:t>
      </w:r>
      <w:r>
        <w:rPr>
          <w:rFonts w:hint="default" w:ascii="Times New Roman" w:hAnsi="Times New Roman" w:eastAsia="宋体" w:cs="Times New Roman"/>
          <w:spacing w:val="8"/>
        </w:rPr>
        <w:t>他同意自柏拉图以来的西方乌托邦主义</w:t>
      </w:r>
      <w:r>
        <w:rPr>
          <w:rFonts w:hint="default" w:ascii="Times New Roman" w:hAnsi="Times New Roman" w:eastAsia="宋体" w:cs="Times New Roman"/>
          <w:spacing w:val="5"/>
        </w:rPr>
        <w:t>者</w:t>
      </w:r>
      <w:r>
        <w:rPr>
          <w:rFonts w:hint="default" w:ascii="Times New Roman" w:hAnsi="Times New Roman" w:eastAsia="宋体" w:cs="Times New Roman"/>
          <w:spacing w:val="-10"/>
        </w:rPr>
        <w:t>,</w:t>
      </w:r>
      <w:r>
        <w:rPr>
          <w:rFonts w:hint="default" w:ascii="Times New Roman" w:hAnsi="Times New Roman" w:eastAsia="宋体" w:cs="Times New Roman"/>
          <w:spacing w:val="8"/>
        </w:rPr>
        <w:t>主张男女平等</w:t>
      </w:r>
      <w:r>
        <w:rPr>
          <w:rFonts w:hint="default" w:ascii="Times New Roman" w:hAnsi="Times New Roman" w:eastAsia="宋体" w:cs="Times New Roman"/>
          <w:spacing w:val="-4"/>
        </w:rPr>
        <w:t>,</w:t>
      </w:r>
      <w:r>
        <w:rPr>
          <w:rFonts w:hint="default" w:ascii="Times New Roman" w:hAnsi="Times New Roman" w:eastAsia="宋体" w:cs="Times New Roman"/>
          <w:spacing w:val="13"/>
        </w:rPr>
        <w:t>女子有权自由择偶</w:t>
      </w:r>
      <w:r>
        <w:rPr>
          <w:rFonts w:hint="default" w:ascii="Times New Roman" w:hAnsi="Times New Roman" w:eastAsia="宋体" w:cs="Times New Roman"/>
          <w:spacing w:val="18"/>
          <w:w w:val="85"/>
        </w:rPr>
        <w:t>。《</w:t>
      </w:r>
      <w:r>
        <w:rPr>
          <w:rFonts w:hint="default" w:ascii="Times New Roman" w:hAnsi="Times New Roman" w:eastAsia="宋体" w:cs="Times New Roman"/>
          <w:spacing w:val="4"/>
        </w:rPr>
        <w:t>实理公法</w:t>
      </w:r>
      <w:r>
        <w:rPr>
          <w:rFonts w:hint="default" w:ascii="Times New Roman" w:hAnsi="Times New Roman" w:eastAsia="宋体" w:cs="Times New Roman"/>
          <w:w w:val="85"/>
        </w:rPr>
        <w:t>》</w:t>
      </w:r>
      <w:r>
        <w:rPr>
          <w:rFonts w:hint="default" w:ascii="Times New Roman" w:hAnsi="Times New Roman" w:eastAsia="宋体" w:cs="Times New Roman"/>
          <w:spacing w:val="5"/>
        </w:rPr>
        <w:t>即是他阅读西书所获取的欧洲思想集成。在此书中</w:t>
      </w:r>
      <w:r>
        <w:rPr>
          <w:rFonts w:hint="default" w:ascii="Times New Roman" w:hAnsi="Times New Roman" w:eastAsia="宋体" w:cs="Times New Roman"/>
        </w:rPr>
        <w:t>,</w:t>
      </w:r>
      <w:r>
        <w:rPr>
          <w:rFonts w:hint="default" w:ascii="Times New Roman" w:hAnsi="Times New Roman" w:eastAsia="宋体" w:cs="Times New Roman"/>
          <w:spacing w:val="5"/>
        </w:rPr>
        <w:t>他扬弃了中国基本的传统社会与政治价值</w:t>
      </w:r>
      <w:r>
        <w:rPr>
          <w:rFonts w:hint="default" w:ascii="Times New Roman" w:hAnsi="Times New Roman" w:eastAsia="宋体" w:cs="Times New Roman"/>
          <w:spacing w:val="8"/>
        </w:rPr>
        <w:t>,接受了西</w:t>
      </w:r>
      <w:r>
        <w:rPr>
          <w:rFonts w:hint="default" w:ascii="Times New Roman" w:hAnsi="Times New Roman" w:eastAsia="宋体" w:cs="Times New Roman"/>
          <w:spacing w:val="5"/>
        </w:rPr>
        <w:t>方启示的思想</w:t>
      </w:r>
      <w:r>
        <w:rPr>
          <w:rFonts w:hint="default" w:ascii="Times New Roman" w:hAnsi="Times New Roman" w:eastAsia="宋体" w:cs="Times New Roman"/>
          <w:spacing w:val="-9"/>
        </w:rPr>
        <w:t>,</w:t>
      </w:r>
      <w:r>
        <w:rPr>
          <w:rFonts w:hint="default" w:ascii="Times New Roman" w:hAnsi="Times New Roman" w:eastAsia="宋体" w:cs="Times New Roman"/>
          <w:spacing w:val="10"/>
        </w:rPr>
        <w:t>诸如博爱</w:t>
      </w:r>
      <w:r>
        <w:rPr>
          <w:rFonts w:hint="default" w:ascii="Times New Roman" w:hAnsi="Times New Roman" w:eastAsia="宋体" w:cs="Times New Roman"/>
          <w:spacing w:val="-6"/>
          <w:w w:val="80"/>
        </w:rPr>
        <w:t>、</w:t>
      </w:r>
      <w:r>
        <w:rPr>
          <w:rFonts w:hint="default" w:ascii="Times New Roman" w:hAnsi="Times New Roman" w:eastAsia="宋体" w:cs="Times New Roman"/>
          <w:spacing w:val="15"/>
        </w:rPr>
        <w:t>自由</w:t>
      </w:r>
      <w:r>
        <w:rPr>
          <w:rFonts w:hint="default" w:ascii="Times New Roman" w:hAnsi="Times New Roman" w:eastAsia="宋体" w:cs="Times New Roman"/>
          <w:spacing w:val="-26"/>
          <w:w w:val="80"/>
        </w:rPr>
        <w:t>、</w:t>
      </w:r>
      <w:r>
        <w:rPr>
          <w:rFonts w:hint="default" w:ascii="Times New Roman" w:hAnsi="Times New Roman" w:eastAsia="宋体" w:cs="Times New Roman"/>
          <w:spacing w:val="12"/>
        </w:rPr>
        <w:t>平等和民主</w:t>
      </w:r>
      <w:r>
        <w:rPr>
          <w:rFonts w:hint="default" w:ascii="Times New Roman" w:hAnsi="Times New Roman" w:eastAsia="宋体" w:cs="Times New Roman"/>
          <w:spacing w:val="-22"/>
          <w:w w:val="80"/>
        </w:rPr>
        <w:t>。</w:t>
      </w:r>
      <w:r>
        <w:rPr>
          <w:rFonts w:hint="default" w:ascii="Times New Roman" w:hAnsi="Times New Roman" w:eastAsia="宋体" w:cs="Times New Roman"/>
          <w:spacing w:val="10"/>
        </w:rPr>
        <w:t>这些思</w:t>
      </w:r>
      <w:r>
        <w:rPr>
          <w:rFonts w:hint="default" w:ascii="Times New Roman" w:hAnsi="Times New Roman" w:eastAsia="宋体" w:cs="Times New Roman"/>
          <w:spacing w:val="5"/>
        </w:rPr>
        <w:t>想既是构成共同社会理想的素材</w:t>
      </w:r>
      <w:r>
        <w:rPr>
          <w:rFonts w:hint="default" w:ascii="Times New Roman" w:hAnsi="Times New Roman" w:eastAsia="宋体" w:cs="Times New Roman"/>
          <w:spacing w:val="2"/>
        </w:rPr>
        <w:t>,</w:t>
      </w:r>
      <w:r>
        <w:rPr>
          <w:rFonts w:hint="default" w:ascii="Times New Roman" w:hAnsi="Times New Roman" w:eastAsia="宋体" w:cs="Times New Roman"/>
          <w:spacing w:val="4"/>
        </w:rPr>
        <w:t>也是他在</w:t>
      </w:r>
      <w:r>
        <w:rPr>
          <w:rFonts w:hint="default" w:ascii="Times New Roman" w:hAnsi="Times New Roman" w:eastAsia="宋体" w:cs="Times New Roman"/>
          <w:spacing w:val="21"/>
          <w:w w:val="80"/>
        </w:rPr>
        <w:t>《</w:t>
      </w:r>
      <w:r>
        <w:rPr>
          <w:rFonts w:hint="default" w:ascii="Times New Roman" w:hAnsi="Times New Roman" w:eastAsia="宋体" w:cs="Times New Roman"/>
          <w:spacing w:val="-2"/>
        </w:rPr>
        <w:t>大同书</w:t>
      </w:r>
      <w:r>
        <w:rPr>
          <w:rFonts w:hint="default" w:ascii="Times New Roman" w:hAnsi="Times New Roman" w:eastAsia="宋体" w:cs="Times New Roman"/>
          <w:w w:val="80"/>
        </w:rPr>
        <w:t>》</w:t>
      </w:r>
      <w:r>
        <w:rPr>
          <w:rFonts w:hint="default" w:ascii="Times New Roman" w:hAnsi="Times New Roman" w:eastAsia="宋体" w:cs="Times New Roman"/>
        </w:rPr>
        <w:t>中所详细描述的。</w:t>
      </w:r>
    </w:p>
    <w:p w14:paraId="1E111208">
      <w:pPr>
        <w:pStyle w:val="4"/>
        <w:keepNext w:val="0"/>
        <w:keepLines w:val="0"/>
        <w:pageBreakBefore w:val="0"/>
        <w:widowControl w:val="0"/>
        <w:tabs>
          <w:tab w:val="left" w:pos="403"/>
        </w:tabs>
        <w:kinsoku/>
        <w:wordWrap/>
        <w:overflowPunct/>
        <w:topLinePunct w:val="0"/>
        <w:autoSpaceDE/>
        <w:autoSpaceDN/>
        <w:bidi w:val="0"/>
        <w:adjustRightInd/>
        <w:snapToGrid/>
        <w:spacing w:before="0" w:beforeLines="50" w:after="0" w:afterLines="50" w:line="400" w:lineRule="exact"/>
        <w:ind w:left="0" w:right="0" w:firstLine="480" w:firstLineChars="200"/>
        <w:jc w:val="center"/>
        <w:textAlignment w:val="auto"/>
        <w:rPr>
          <w:rFonts w:hint="default" w:ascii="Times New Roman" w:hAnsi="Times New Roman" w:eastAsia="黑体" w:cs="Times New Roman"/>
          <w:color w:val="000000"/>
          <w:kern w:val="2"/>
          <w:sz w:val="24"/>
          <w:szCs w:val="24"/>
          <w:lang w:val="zh-TW" w:eastAsia="zh-TW" w:bidi="zh-TW"/>
        </w:rPr>
      </w:pPr>
      <w:r>
        <w:rPr>
          <w:rFonts w:hint="default" w:ascii="Times New Roman" w:hAnsi="Times New Roman" w:eastAsia="黑体" w:cs="Times New Roman"/>
          <w:color w:val="000000"/>
          <w:kern w:val="2"/>
          <w:sz w:val="24"/>
          <w:szCs w:val="24"/>
          <w:lang w:val="zh-TW" w:eastAsia="zh-TW" w:bidi="zh-TW"/>
        </w:rPr>
        <w:t>二</w:t>
      </w:r>
      <w:r>
        <w:rPr>
          <w:rFonts w:hint="default" w:ascii="Times New Roman" w:hAnsi="Times New Roman" w:eastAsia="黑体" w:cs="Times New Roman"/>
          <w:color w:val="000000"/>
          <w:kern w:val="2"/>
          <w:sz w:val="24"/>
          <w:szCs w:val="24"/>
          <w:lang w:val="zh-TW" w:eastAsia="zh-CN" w:bidi="zh-TW"/>
        </w:rPr>
        <w:t>、</w:t>
      </w:r>
      <w:r>
        <w:rPr>
          <w:rFonts w:hint="default" w:ascii="Times New Roman" w:hAnsi="Times New Roman" w:eastAsia="黑体" w:cs="Times New Roman"/>
          <w:color w:val="000000"/>
          <w:kern w:val="2"/>
          <w:sz w:val="24"/>
          <w:szCs w:val="24"/>
          <w:lang w:val="zh-TW" w:eastAsia="zh-TW" w:bidi="zh-TW"/>
        </w:rPr>
        <w:t>康有为空想社会主义的主要内容</w:t>
      </w:r>
    </w:p>
    <w:p w14:paraId="34E30623">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00" w:firstLineChars="200"/>
        <w:jc w:val="both"/>
        <w:textAlignment w:val="auto"/>
        <w:rPr>
          <w:rFonts w:hint="default" w:ascii="Times New Roman" w:hAnsi="Times New Roman" w:eastAsia="宋体" w:cs="Times New Roman"/>
        </w:rPr>
      </w:pPr>
      <w:r>
        <w:rPr>
          <w:rFonts w:hint="default" w:ascii="Times New Roman" w:hAnsi="Times New Roman" w:eastAsia="宋体" w:cs="Times New Roman"/>
          <w:spacing w:val="-5"/>
        </w:rPr>
        <w:t>康有为的</w:t>
      </w:r>
      <w:r>
        <w:rPr>
          <w:rFonts w:hint="default" w:ascii="Times New Roman" w:hAnsi="Times New Roman" w:eastAsia="宋体" w:cs="Times New Roman"/>
          <w:spacing w:val="21"/>
          <w:w w:val="85"/>
        </w:rPr>
        <w:t>《</w:t>
      </w:r>
      <w:r>
        <w:rPr>
          <w:rFonts w:hint="default" w:ascii="Times New Roman" w:hAnsi="Times New Roman" w:eastAsia="宋体" w:cs="Times New Roman"/>
          <w:spacing w:val="-2"/>
        </w:rPr>
        <w:t>大同书</w:t>
      </w:r>
      <w:r>
        <w:rPr>
          <w:rFonts w:hint="default" w:ascii="Times New Roman" w:hAnsi="Times New Roman" w:eastAsia="宋体" w:cs="Times New Roman"/>
          <w:spacing w:val="27"/>
          <w:w w:val="85"/>
        </w:rPr>
        <w:t>》</w:t>
      </w:r>
      <w:r>
        <w:rPr>
          <w:rFonts w:hint="default" w:ascii="Times New Roman" w:hAnsi="Times New Roman" w:eastAsia="宋体" w:cs="Times New Roman"/>
          <w:spacing w:val="-9"/>
        </w:rPr>
        <w:t>,</w:t>
      </w:r>
      <w:r>
        <w:rPr>
          <w:rFonts w:hint="default" w:ascii="Times New Roman" w:hAnsi="Times New Roman" w:eastAsia="宋体" w:cs="Times New Roman"/>
          <w:spacing w:val="5"/>
        </w:rPr>
        <w:t>是中国近代史上最具天才和</w:t>
      </w:r>
      <w:r>
        <w:rPr>
          <w:rFonts w:hint="default" w:ascii="Times New Roman" w:hAnsi="Times New Roman" w:eastAsia="宋体" w:cs="Times New Roman"/>
          <w:spacing w:val="7"/>
        </w:rPr>
        <w:t>最具想象力的空想社会主义著作</w:t>
      </w:r>
      <w:r>
        <w:rPr>
          <w:rFonts w:hint="default" w:ascii="Times New Roman" w:hAnsi="Times New Roman" w:eastAsia="宋体" w:cs="Times New Roman"/>
          <w:spacing w:val="5"/>
          <w:w w:val="85"/>
        </w:rPr>
        <w:t>。</w:t>
      </w:r>
      <w:r>
        <w:rPr>
          <w:rFonts w:hint="default" w:ascii="Times New Roman" w:hAnsi="Times New Roman" w:eastAsia="宋体" w:cs="Times New Roman"/>
          <w:spacing w:val="12"/>
        </w:rPr>
        <w:t>他对传统社会的</w:t>
      </w:r>
      <w:r>
        <w:rPr>
          <w:rFonts w:hint="default" w:ascii="Times New Roman" w:hAnsi="Times New Roman" w:eastAsia="宋体" w:cs="Times New Roman"/>
          <w:spacing w:val="5"/>
        </w:rPr>
        <w:t>猛烈批评</w:t>
      </w:r>
      <w:r>
        <w:rPr>
          <w:rFonts w:hint="default" w:ascii="Times New Roman" w:hAnsi="Times New Roman" w:eastAsia="宋体" w:cs="Times New Roman"/>
          <w:spacing w:val="1"/>
        </w:rPr>
        <w:t>,</w:t>
      </w:r>
      <w:r>
        <w:rPr>
          <w:rFonts w:hint="default" w:ascii="Times New Roman" w:hAnsi="Times New Roman" w:eastAsia="宋体" w:cs="Times New Roman"/>
          <w:spacing w:val="4"/>
        </w:rPr>
        <w:t>展望在完美制度和理想之下的想象中的社</w:t>
      </w:r>
      <w:r>
        <w:rPr>
          <w:rFonts w:hint="default" w:ascii="Times New Roman" w:hAnsi="Times New Roman" w:eastAsia="宋体" w:cs="Times New Roman"/>
          <w:spacing w:val="5"/>
        </w:rPr>
        <w:t>会</w:t>
      </w:r>
      <w:r>
        <w:rPr>
          <w:rFonts w:hint="default" w:ascii="Times New Roman" w:hAnsi="Times New Roman" w:eastAsia="宋体" w:cs="Times New Roman"/>
          <w:spacing w:val="2"/>
        </w:rPr>
        <w:t>,</w:t>
      </w:r>
      <w:r>
        <w:rPr>
          <w:rFonts w:hint="default" w:ascii="Times New Roman" w:hAnsi="Times New Roman" w:eastAsia="宋体" w:cs="Times New Roman"/>
          <w:spacing w:val="5"/>
        </w:rPr>
        <w:t>终于描写出他的大同见解。在这个社会中</w:t>
      </w:r>
      <w:r>
        <w:rPr>
          <w:rFonts w:hint="default" w:ascii="Times New Roman" w:hAnsi="Times New Roman" w:eastAsia="宋体" w:cs="Times New Roman"/>
          <w:spacing w:val="16"/>
        </w:rPr>
        <w:t>,</w:t>
      </w:r>
      <w:r>
        <w:rPr>
          <w:rFonts w:hint="default" w:ascii="Times New Roman" w:hAnsi="Times New Roman" w:eastAsia="宋体" w:cs="Times New Roman"/>
          <w:spacing w:val="12"/>
        </w:rPr>
        <w:t>那是</w:t>
      </w:r>
      <w:r>
        <w:rPr>
          <w:rFonts w:hint="default" w:ascii="Times New Roman" w:hAnsi="Times New Roman" w:eastAsia="宋体" w:cs="Times New Roman"/>
          <w:spacing w:val="5"/>
        </w:rPr>
        <w:t>一个民主政府领导下的世界国</w:t>
      </w:r>
      <w:r>
        <w:rPr>
          <w:rFonts w:hint="default" w:ascii="Times New Roman" w:hAnsi="Times New Roman" w:eastAsia="宋体" w:cs="Times New Roman"/>
          <w:spacing w:val="-7"/>
        </w:rPr>
        <w:t>,</w:t>
      </w:r>
      <w:r>
        <w:rPr>
          <w:rFonts w:hint="default" w:ascii="Times New Roman" w:hAnsi="Times New Roman" w:eastAsia="宋体" w:cs="Times New Roman"/>
          <w:spacing w:val="14"/>
        </w:rPr>
        <w:t>一个没有亲属</w:t>
      </w:r>
      <w:r>
        <w:rPr>
          <w:rFonts w:hint="default" w:ascii="Times New Roman" w:hAnsi="Times New Roman" w:eastAsia="宋体" w:cs="Times New Roman"/>
          <w:spacing w:val="-26"/>
          <w:w w:val="80"/>
        </w:rPr>
        <w:t>、</w:t>
      </w:r>
      <w:r>
        <w:rPr>
          <w:rFonts w:hint="default" w:ascii="Times New Roman" w:hAnsi="Times New Roman" w:eastAsia="宋体" w:cs="Times New Roman"/>
          <w:spacing w:val="15"/>
        </w:rPr>
        <w:t>民族</w:t>
      </w:r>
      <w:r>
        <w:rPr>
          <w:rFonts w:hint="default" w:ascii="Times New Roman" w:hAnsi="Times New Roman" w:eastAsia="宋体" w:cs="Times New Roman"/>
          <w:w w:val="80"/>
        </w:rPr>
        <w:t>、</w:t>
      </w:r>
      <w:r>
        <w:rPr>
          <w:rFonts w:hint="default" w:ascii="Times New Roman" w:hAnsi="Times New Roman" w:eastAsia="宋体" w:cs="Times New Roman"/>
          <w:spacing w:val="5"/>
        </w:rPr>
        <w:t>国家或阶级分别的社会</w:t>
      </w:r>
      <w:r>
        <w:rPr>
          <w:rFonts w:hint="default" w:ascii="Times New Roman" w:hAnsi="Times New Roman" w:eastAsia="宋体" w:cs="Times New Roman"/>
          <w:spacing w:val="1"/>
        </w:rPr>
        <w:t>,</w:t>
      </w:r>
      <w:r>
        <w:rPr>
          <w:rFonts w:hint="default" w:ascii="Times New Roman" w:hAnsi="Times New Roman" w:eastAsia="宋体" w:cs="Times New Roman"/>
          <w:spacing w:val="5"/>
        </w:rPr>
        <w:t>一个没有资本主义弊病而以</w:t>
      </w:r>
      <w:r>
        <w:rPr>
          <w:rFonts w:hint="default" w:ascii="Times New Roman" w:hAnsi="Times New Roman" w:eastAsia="宋体" w:cs="Times New Roman"/>
          <w:spacing w:val="6"/>
        </w:rPr>
        <w:t>机器的发达来谋最大利益的经济体系</w:t>
      </w:r>
      <w:r>
        <w:rPr>
          <w:rFonts w:hint="default" w:ascii="Times New Roman" w:hAnsi="Times New Roman" w:eastAsia="宋体" w:cs="Times New Roman"/>
          <w:spacing w:val="4"/>
          <w:w w:val="80"/>
        </w:rPr>
        <w:t>。</w:t>
      </w:r>
      <w:r>
        <w:rPr>
          <w:rFonts w:hint="default" w:ascii="Times New Roman" w:hAnsi="Times New Roman" w:eastAsia="宋体" w:cs="Times New Roman"/>
          <w:spacing w:val="10"/>
        </w:rPr>
        <w:t>人类团结</w:t>
      </w:r>
      <w:r>
        <w:rPr>
          <w:rFonts w:hint="default" w:ascii="Times New Roman" w:hAnsi="Times New Roman" w:eastAsia="宋体" w:cs="Times New Roman"/>
          <w:spacing w:val="-6"/>
          <w:w w:val="80"/>
        </w:rPr>
        <w:t>、</w:t>
      </w:r>
      <w:r>
        <w:rPr>
          <w:rFonts w:hint="default" w:ascii="Times New Roman" w:hAnsi="Times New Roman" w:eastAsia="宋体" w:cs="Times New Roman"/>
        </w:rPr>
        <w:t>平</w:t>
      </w:r>
      <w:r>
        <w:rPr>
          <w:rFonts w:hint="default" w:ascii="Times New Roman" w:hAnsi="Times New Roman" w:eastAsia="宋体" w:cs="Times New Roman"/>
          <w:spacing w:val="25"/>
        </w:rPr>
        <w:t>等</w:t>
      </w:r>
      <w:r>
        <w:rPr>
          <w:rFonts w:hint="default" w:ascii="Times New Roman" w:hAnsi="Times New Roman" w:eastAsia="宋体" w:cs="Times New Roman"/>
          <w:spacing w:val="-26"/>
          <w:w w:val="80"/>
        </w:rPr>
        <w:t>、</w:t>
      </w:r>
      <w:r>
        <w:rPr>
          <w:rFonts w:hint="default" w:ascii="Times New Roman" w:hAnsi="Times New Roman" w:eastAsia="宋体" w:cs="Times New Roman"/>
          <w:spacing w:val="5"/>
        </w:rPr>
        <w:t>和睦</w:t>
      </w:r>
      <w:r>
        <w:rPr>
          <w:rFonts w:hint="default" w:ascii="Times New Roman" w:hAnsi="Times New Roman" w:eastAsia="宋体" w:cs="Times New Roman"/>
          <w:spacing w:val="-4"/>
        </w:rPr>
        <w:t>,</w:t>
      </w:r>
      <w:r>
        <w:rPr>
          <w:rFonts w:hint="default" w:ascii="Times New Roman" w:hAnsi="Times New Roman" w:eastAsia="宋体" w:cs="Times New Roman"/>
          <w:spacing w:val="13"/>
        </w:rPr>
        <w:t>是一个完全快乐的世界</w:t>
      </w:r>
      <w:r>
        <w:rPr>
          <w:rFonts w:hint="default" w:ascii="Times New Roman" w:hAnsi="Times New Roman" w:eastAsia="宋体" w:cs="Times New Roman"/>
          <w:spacing w:val="-10"/>
        </w:rPr>
        <w:t>,</w:t>
      </w:r>
      <w:r>
        <w:rPr>
          <w:rFonts w:hint="default" w:ascii="Times New Roman" w:hAnsi="Times New Roman" w:eastAsia="宋体" w:cs="Times New Roman"/>
          <w:spacing w:val="-23"/>
          <w:w w:val="80"/>
        </w:rPr>
        <w:t>“</w:t>
      </w:r>
      <w:r>
        <w:rPr>
          <w:rFonts w:hint="default" w:ascii="Times New Roman" w:hAnsi="Times New Roman" w:eastAsia="宋体" w:cs="Times New Roman"/>
          <w:spacing w:val="14"/>
        </w:rPr>
        <w:t>乐而无苦</w:t>
      </w:r>
      <w:r>
        <w:rPr>
          <w:rFonts w:hint="default" w:ascii="Times New Roman" w:hAnsi="Times New Roman" w:eastAsia="宋体" w:cs="Times New Roman"/>
          <w:spacing w:val="-24"/>
          <w:w w:val="80"/>
        </w:rPr>
        <w:t>”</w:t>
      </w:r>
      <w:r>
        <w:rPr>
          <w:rFonts w:hint="default" w:ascii="Times New Roman" w:hAnsi="Times New Roman" w:eastAsia="宋体" w:cs="Times New Roman"/>
          <w:spacing w:val="12"/>
        </w:rPr>
        <w:t>的世</w:t>
      </w:r>
      <w:r>
        <w:rPr>
          <w:rFonts w:hint="default" w:ascii="Times New Roman" w:hAnsi="Times New Roman" w:eastAsia="宋体" w:cs="Times New Roman"/>
          <w:spacing w:val="25"/>
        </w:rPr>
        <w:t>界</w:t>
      </w:r>
      <w:r>
        <w:rPr>
          <w:rFonts w:hint="default" w:ascii="Times New Roman" w:hAnsi="Times New Roman" w:eastAsia="宋体" w:cs="Times New Roman"/>
          <w:w w:val="80"/>
        </w:rPr>
        <w:t>。</w:t>
      </w:r>
    </w:p>
    <w:p w14:paraId="2363D8FA">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4" w:firstLineChars="200"/>
        <w:jc w:val="both"/>
        <w:textAlignment w:val="auto"/>
        <w:rPr>
          <w:rFonts w:hint="default" w:ascii="Times New Roman" w:hAnsi="Times New Roman" w:eastAsia="宋体" w:cs="Times New Roman"/>
        </w:rPr>
      </w:pPr>
      <w:r>
        <w:rPr>
          <w:rFonts w:hint="default" w:ascii="Times New Roman" w:hAnsi="Times New Roman" w:eastAsia="宋体" w:cs="Times New Roman"/>
          <w:b/>
          <w:bCs/>
          <w:spacing w:val="1"/>
        </w:rPr>
        <w:t>(</w:t>
      </w:r>
      <w:r>
        <w:rPr>
          <w:rFonts w:hint="default" w:ascii="Times New Roman" w:hAnsi="Times New Roman" w:eastAsia="宋体" w:cs="Times New Roman"/>
          <w:b/>
          <w:bCs/>
          <w:spacing w:val="5"/>
        </w:rPr>
        <w:t>一</w:t>
      </w:r>
      <w:r>
        <w:rPr>
          <w:rFonts w:hint="default" w:ascii="Times New Roman" w:hAnsi="Times New Roman" w:eastAsia="宋体" w:cs="Times New Roman"/>
          <w:b/>
          <w:bCs/>
          <w:spacing w:val="1"/>
        </w:rPr>
        <w:t>)</w:t>
      </w:r>
      <w:r>
        <w:rPr>
          <w:rFonts w:hint="default" w:ascii="Times New Roman" w:hAnsi="Times New Roman" w:eastAsia="宋体" w:cs="Times New Roman"/>
          <w:b/>
          <w:bCs/>
          <w:spacing w:val="12"/>
        </w:rPr>
        <w:t>关于世界国</w:t>
      </w:r>
      <w:r>
        <w:rPr>
          <w:rFonts w:hint="default" w:ascii="Times New Roman" w:hAnsi="Times New Roman" w:eastAsia="宋体" w:cs="Times New Roman"/>
          <w:b/>
          <w:bCs/>
          <w:spacing w:val="-9"/>
          <w:w w:val="80"/>
        </w:rPr>
        <w:t>。</w:t>
      </w:r>
      <w:r>
        <w:rPr>
          <w:rFonts w:hint="default" w:ascii="Times New Roman" w:hAnsi="Times New Roman" w:eastAsia="宋体" w:cs="Times New Roman"/>
          <w:spacing w:val="5"/>
        </w:rPr>
        <w:t>在康有为看来</w:t>
      </w:r>
      <w:r>
        <w:rPr>
          <w:rFonts w:hint="default" w:ascii="Times New Roman" w:hAnsi="Times New Roman" w:eastAsia="宋体" w:cs="Times New Roman"/>
          <w:spacing w:val="18"/>
        </w:rPr>
        <w:t>,</w:t>
      </w:r>
      <w:r>
        <w:rPr>
          <w:rFonts w:hint="default" w:ascii="Times New Roman" w:hAnsi="Times New Roman" w:eastAsia="宋体" w:cs="Times New Roman"/>
          <w:spacing w:val="7"/>
        </w:rPr>
        <w:t>未来社会是一个没有单独的主权国家</w:t>
      </w:r>
      <w:r>
        <w:rPr>
          <w:rFonts w:hint="default" w:ascii="Times New Roman" w:hAnsi="Times New Roman" w:eastAsia="宋体" w:cs="Times New Roman"/>
          <w:spacing w:val="-26"/>
          <w:w w:val="80"/>
        </w:rPr>
        <w:t>、</w:t>
      </w:r>
      <w:r>
        <w:rPr>
          <w:rFonts w:hint="default" w:ascii="Times New Roman" w:hAnsi="Times New Roman" w:eastAsia="宋体" w:cs="Times New Roman"/>
          <w:spacing w:val="5"/>
        </w:rPr>
        <w:t>专制制度的民主的世界政治</w:t>
      </w:r>
    </w:p>
    <w:p w14:paraId="308F63ED">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80" w:firstLineChars="200"/>
        <w:jc w:val="both"/>
        <w:textAlignment w:val="auto"/>
        <w:rPr>
          <w:rFonts w:hint="default" w:ascii="Times New Roman" w:hAnsi="Times New Roman" w:eastAsia="宋体" w:cs="Times New Roman"/>
          <w:spacing w:val="2"/>
        </w:rPr>
      </w:pPr>
      <w:r>
        <w:rPr>
          <w:rFonts w:hint="default" w:ascii="Times New Roman" w:hAnsi="Times New Roman" w:eastAsia="宋体" w:cs="Times New Roman"/>
          <w:spacing w:val="15"/>
        </w:rPr>
        <w:t>组织</w:t>
      </w:r>
      <w:r>
        <w:rPr>
          <w:rFonts w:hint="default" w:ascii="Times New Roman" w:hAnsi="Times New Roman" w:eastAsia="宋体" w:cs="Times New Roman"/>
          <w:b/>
          <w:spacing w:val="-15"/>
        </w:rPr>
        <w:t>—</w:t>
      </w:r>
      <w:r>
        <w:rPr>
          <w:rFonts w:hint="default" w:ascii="Times New Roman" w:hAnsi="Times New Roman" w:eastAsia="宋体" w:cs="Times New Roman"/>
        </w:rPr>
        <w:t>—世界政府。康有为认为现存的国家不可避</w:t>
      </w:r>
      <w:r>
        <w:rPr>
          <w:rFonts w:hint="default" w:ascii="Times New Roman" w:hAnsi="Times New Roman" w:eastAsia="宋体" w:cs="Times New Roman"/>
          <w:spacing w:val="7"/>
        </w:rPr>
        <w:t>免会有国际的武装冲突</w:t>
      </w:r>
      <w:r>
        <w:rPr>
          <w:rFonts w:hint="default" w:ascii="Times New Roman" w:hAnsi="Times New Roman" w:eastAsia="宋体" w:cs="Times New Roman"/>
          <w:spacing w:val="5"/>
        </w:rPr>
        <w:t>,</w:t>
      </w:r>
      <w:r>
        <w:rPr>
          <w:rFonts w:hint="default" w:ascii="Times New Roman" w:hAnsi="Times New Roman" w:eastAsia="宋体" w:cs="Times New Roman"/>
          <w:spacing w:val="8"/>
        </w:rPr>
        <w:t>因而惟有消除国别</w:t>
      </w:r>
      <w:r>
        <w:rPr>
          <w:rFonts w:hint="default" w:ascii="Times New Roman" w:hAnsi="Times New Roman" w:eastAsia="宋体" w:cs="Times New Roman"/>
          <w:spacing w:val="5"/>
        </w:rPr>
        <w:t>,</w:t>
      </w:r>
      <w:r>
        <w:rPr>
          <w:rFonts w:hint="default" w:ascii="Times New Roman" w:hAnsi="Times New Roman" w:eastAsia="宋体" w:cs="Times New Roman"/>
          <w:spacing w:val="10"/>
        </w:rPr>
        <w:t>人类才</w:t>
      </w:r>
      <w:r>
        <w:rPr>
          <w:rFonts w:hint="default" w:ascii="Times New Roman" w:hAnsi="Times New Roman" w:eastAsia="宋体" w:cs="Times New Roman"/>
          <w:spacing w:val="2"/>
        </w:rPr>
        <w:t>能享有永久的和平。他设想</w:t>
      </w:r>
      <w:r>
        <w:rPr>
          <w:rFonts w:hint="default" w:ascii="Times New Roman" w:hAnsi="Times New Roman" w:eastAsia="宋体" w:cs="Times New Roman"/>
          <w:spacing w:val="8"/>
        </w:rPr>
        <w:t>,</w:t>
      </w:r>
      <w:r>
        <w:rPr>
          <w:rFonts w:hint="default" w:ascii="Times New Roman" w:hAnsi="Times New Roman" w:eastAsia="宋体" w:cs="Times New Roman"/>
          <w:spacing w:val="6"/>
        </w:rPr>
        <w:t>在大同社会中有三级政</w:t>
      </w:r>
      <w:r>
        <w:rPr>
          <w:rFonts w:hint="default" w:ascii="Times New Roman" w:hAnsi="Times New Roman" w:eastAsia="宋体" w:cs="Times New Roman"/>
          <w:spacing w:val="-10"/>
        </w:rPr>
        <w:t>府:世界政府</w:t>
      </w:r>
      <w:r>
        <w:rPr>
          <w:rFonts w:hint="default" w:ascii="Times New Roman" w:hAnsi="Times New Roman" w:eastAsia="宋体" w:cs="Times New Roman"/>
          <w:spacing w:val="-19"/>
          <w:w w:val="80"/>
        </w:rPr>
        <w:t>、“</w:t>
      </w:r>
      <w:r>
        <w:rPr>
          <w:rFonts w:hint="default" w:ascii="Times New Roman" w:hAnsi="Times New Roman" w:eastAsia="宋体" w:cs="Times New Roman"/>
          <w:spacing w:val="-5"/>
        </w:rPr>
        <w:t>各度</w:t>
      </w:r>
      <w:r>
        <w:rPr>
          <w:rFonts w:hint="default" w:ascii="Times New Roman" w:hAnsi="Times New Roman" w:eastAsia="宋体" w:cs="Times New Roman"/>
          <w:spacing w:val="-17"/>
          <w:w w:val="80"/>
        </w:rPr>
        <w:t>”</w:t>
      </w:r>
      <w:r>
        <w:rPr>
          <w:rFonts w:hint="default" w:ascii="Times New Roman" w:hAnsi="Times New Roman" w:eastAsia="宋体" w:cs="Times New Roman"/>
          <w:spacing w:val="13"/>
        </w:rPr>
        <w:t>政府以及农工自治政府</w:t>
      </w:r>
      <w:r>
        <w:rPr>
          <w:rFonts w:hint="default" w:ascii="Times New Roman" w:hAnsi="Times New Roman" w:eastAsia="宋体" w:cs="Times New Roman"/>
          <w:spacing w:val="-15"/>
          <w:w w:val="80"/>
        </w:rPr>
        <w:t>。</w:t>
      </w:r>
      <w:r>
        <w:rPr>
          <w:rFonts w:hint="default" w:ascii="Times New Roman" w:hAnsi="Times New Roman" w:eastAsia="宋体" w:cs="Times New Roman"/>
          <w:spacing w:val="25"/>
        </w:rPr>
        <w:t>三</w:t>
      </w:r>
      <w:r>
        <w:rPr>
          <w:rFonts w:hint="default" w:ascii="Times New Roman" w:hAnsi="Times New Roman" w:eastAsia="宋体" w:cs="Times New Roman"/>
          <w:spacing w:val="3"/>
        </w:rPr>
        <w:t>级政府各有其作用</w:t>
      </w:r>
      <w:r>
        <w:rPr>
          <w:rFonts w:hint="default" w:ascii="Times New Roman" w:hAnsi="Times New Roman" w:eastAsia="宋体" w:cs="Times New Roman"/>
          <w:spacing w:val="17"/>
        </w:rPr>
        <w:t>,</w:t>
      </w:r>
      <w:r>
        <w:rPr>
          <w:rFonts w:hint="default" w:ascii="Times New Roman" w:hAnsi="Times New Roman" w:eastAsia="宋体" w:cs="Times New Roman"/>
          <w:spacing w:val="8"/>
        </w:rPr>
        <w:t>为大同社会人类所需</w:t>
      </w:r>
      <w:r>
        <w:rPr>
          <w:rFonts w:hint="default" w:ascii="Times New Roman" w:hAnsi="Times New Roman" w:eastAsia="宋体" w:cs="Times New Roman"/>
          <w:spacing w:val="3"/>
          <w:w w:val="80"/>
        </w:rPr>
        <w:t>。</w:t>
      </w:r>
      <w:r>
        <w:rPr>
          <w:rFonts w:hint="default" w:ascii="Times New Roman" w:hAnsi="Times New Roman" w:eastAsia="宋体" w:cs="Times New Roman"/>
          <w:spacing w:val="9"/>
        </w:rPr>
        <w:t>当全世界</w:t>
      </w:r>
      <w:r>
        <w:rPr>
          <w:rFonts w:hint="default" w:ascii="Times New Roman" w:hAnsi="Times New Roman" w:eastAsia="宋体" w:cs="Times New Roman"/>
        </w:rPr>
        <w:t>合</w:t>
      </w:r>
      <w:r>
        <w:rPr>
          <w:rFonts w:hint="default" w:ascii="Times New Roman" w:hAnsi="Times New Roman" w:eastAsia="宋体" w:cs="Times New Roman"/>
          <w:spacing w:val="5"/>
        </w:rPr>
        <w:t>并为一国时</w:t>
      </w:r>
      <w:r>
        <w:rPr>
          <w:rFonts w:hint="default" w:ascii="Times New Roman" w:hAnsi="Times New Roman" w:eastAsia="宋体" w:cs="Times New Roman"/>
          <w:spacing w:val="-10"/>
        </w:rPr>
        <w:t>,</w:t>
      </w:r>
      <w:r>
        <w:rPr>
          <w:rFonts w:hint="default" w:ascii="Times New Roman" w:hAnsi="Times New Roman" w:eastAsia="宋体" w:cs="Times New Roman"/>
          <w:spacing w:val="2"/>
        </w:rPr>
        <w:t>所有的人都成为</w:t>
      </w:r>
      <w:r>
        <w:rPr>
          <w:rFonts w:hint="default" w:ascii="Times New Roman" w:hAnsi="Times New Roman" w:eastAsia="宋体" w:cs="Times New Roman"/>
          <w:spacing w:val="2"/>
          <w:lang w:eastAsia="zh-CN"/>
        </w:rPr>
        <w:t>“</w:t>
      </w:r>
      <w:r>
        <w:rPr>
          <w:rFonts w:hint="default" w:ascii="Times New Roman" w:hAnsi="Times New Roman" w:eastAsia="宋体" w:cs="Times New Roman"/>
        </w:rPr>
        <w:t>世界公民</w:t>
      </w:r>
      <w:r>
        <w:rPr>
          <w:rFonts w:hint="default" w:ascii="Times New Roman" w:hAnsi="Times New Roman" w:eastAsia="宋体" w:cs="Times New Roman"/>
          <w:spacing w:val="2"/>
          <w:lang w:eastAsia="zh-CN"/>
        </w:rPr>
        <w:t>”</w:t>
      </w:r>
      <w:r>
        <w:rPr>
          <w:rFonts w:hint="default" w:ascii="Times New Roman" w:hAnsi="Times New Roman" w:eastAsia="宋体" w:cs="Times New Roman"/>
          <w:spacing w:val="-3"/>
        </w:rPr>
        <w:t>,</w:t>
      </w:r>
      <w:r>
        <w:rPr>
          <w:rFonts w:hint="default" w:ascii="Times New Roman" w:hAnsi="Times New Roman" w:eastAsia="宋体" w:cs="Times New Roman"/>
          <w:spacing w:val="-15"/>
        </w:rPr>
        <w:t>以</w:t>
      </w:r>
      <w:r>
        <w:rPr>
          <w:rFonts w:hint="default" w:ascii="Times New Roman" w:hAnsi="Times New Roman" w:eastAsia="宋体" w:cs="Times New Roman"/>
          <w:spacing w:val="-15"/>
          <w:lang w:eastAsia="zh-CN"/>
        </w:rPr>
        <w:t>“</w:t>
      </w:r>
      <w:r>
        <w:rPr>
          <w:rFonts w:hint="default" w:ascii="Times New Roman" w:hAnsi="Times New Roman" w:eastAsia="宋体" w:cs="Times New Roman"/>
          <w:spacing w:val="10"/>
        </w:rPr>
        <w:t>公议为</w:t>
      </w:r>
      <w:r>
        <w:rPr>
          <w:rFonts w:hint="default" w:ascii="Times New Roman" w:hAnsi="Times New Roman" w:eastAsia="宋体" w:cs="Times New Roman"/>
        </w:rPr>
        <w:t>权</w:t>
      </w:r>
      <w:r>
        <w:rPr>
          <w:rFonts w:hint="default" w:ascii="Times New Roman" w:hAnsi="Times New Roman" w:eastAsia="宋体" w:cs="Times New Roman"/>
          <w:spacing w:val="-15"/>
          <w:lang w:eastAsia="zh-CN"/>
        </w:rPr>
        <w:t>”</w:t>
      </w:r>
      <w:r>
        <w:rPr>
          <w:rFonts w:hint="default" w:ascii="Times New Roman" w:hAnsi="Times New Roman" w:eastAsia="宋体" w:cs="Times New Roman"/>
        </w:rPr>
        <w:t>,选世界议会的代表和治理地方的政府。大同世界政府由福利</w:t>
      </w:r>
      <w:r>
        <w:rPr>
          <w:rFonts w:hint="default" w:ascii="Times New Roman" w:hAnsi="Times New Roman" w:eastAsia="宋体" w:cs="Times New Roman"/>
          <w:w w:val="80"/>
        </w:rPr>
        <w:t>、</w:t>
      </w:r>
      <w:r>
        <w:rPr>
          <w:rFonts w:hint="default" w:ascii="Times New Roman" w:hAnsi="Times New Roman" w:eastAsia="宋体" w:cs="Times New Roman"/>
        </w:rPr>
        <w:t>农业</w:t>
      </w:r>
      <w:r>
        <w:rPr>
          <w:rFonts w:hint="default" w:ascii="Times New Roman" w:hAnsi="Times New Roman" w:eastAsia="宋体" w:cs="Times New Roman"/>
          <w:w w:val="80"/>
        </w:rPr>
        <w:t>、</w:t>
      </w:r>
      <w:r>
        <w:rPr>
          <w:rFonts w:hint="default" w:ascii="Times New Roman" w:hAnsi="Times New Roman" w:eastAsia="宋体" w:cs="Times New Roman"/>
        </w:rPr>
        <w:t>工业等20部组成,但无外交与国防两部。政府行政部门有若干行政官与一行</w:t>
      </w:r>
      <w:r>
        <w:rPr>
          <w:rFonts w:hint="default" w:ascii="Times New Roman" w:hAnsi="Times New Roman" w:eastAsia="宋体" w:cs="Times New Roman"/>
          <w:spacing w:val="2"/>
        </w:rPr>
        <w:t>政长官,由两院选出。</w:t>
      </w:r>
    </w:p>
    <w:p w14:paraId="34BDF73E">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8" w:firstLineChars="200"/>
        <w:jc w:val="both"/>
        <w:textAlignment w:val="auto"/>
        <w:rPr>
          <w:rFonts w:hint="default" w:ascii="Times New Roman" w:hAnsi="Times New Roman" w:eastAsia="宋体" w:cs="Times New Roman"/>
          <w:spacing w:val="2"/>
        </w:rPr>
      </w:pPr>
      <w:r>
        <w:rPr>
          <w:rFonts w:hint="default" w:ascii="Times New Roman" w:hAnsi="Times New Roman" w:eastAsia="宋体" w:cs="Times New Roman"/>
          <w:spacing w:val="2"/>
        </w:rPr>
        <w:t>除了世界中央政府以外,另有地区性政府以及地方自治政府。康氏建议将地球分为100度,每一度设一与中央政府相似的政府。它们的主要区别只是:地方政府无权处理通讯和交通事务。每一度可还分为较小的单位,每一单位也享有自治。</w:t>
      </w:r>
    </w:p>
    <w:p w14:paraId="59C27E51">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8" w:firstLineChars="200"/>
        <w:jc w:val="both"/>
        <w:textAlignment w:val="auto"/>
        <w:rPr>
          <w:rFonts w:hint="default" w:ascii="Times New Roman" w:hAnsi="Times New Roman" w:eastAsia="宋体" w:cs="Times New Roman"/>
          <w:spacing w:val="2"/>
        </w:rPr>
      </w:pPr>
      <w:r>
        <w:rPr>
          <w:rFonts w:hint="default" w:ascii="Times New Roman" w:hAnsi="Times New Roman" w:eastAsia="宋体" w:cs="Times New Roman"/>
          <w:spacing w:val="2"/>
        </w:rPr>
        <w:t>康有为设想人口集中地方,非农即工,分别集中于大工厂和大农场。每一农场或工厂为一自治政府的单位,农场或工厂的总管即为地方政府的首长,所有的人参与决策。每一农场或工厂要有自设的教育和福利事业,如学校、公共育婴院、医院、老人院、穷人收容院以及公共设施和经济事务的官署。每一地方自治单位自成一自治社区,全以民主方式运作。</w:t>
      </w:r>
    </w:p>
    <w:p w14:paraId="3A072BC5">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8" w:firstLineChars="200"/>
        <w:jc w:val="both"/>
        <w:textAlignment w:val="auto"/>
        <w:rPr>
          <w:rFonts w:hint="default" w:ascii="Times New Roman" w:hAnsi="Times New Roman" w:eastAsia="宋体" w:cs="Times New Roman"/>
          <w:spacing w:val="2"/>
        </w:rPr>
      </w:pPr>
      <w:r>
        <w:rPr>
          <w:rFonts w:hint="default" w:ascii="Times New Roman" w:hAnsi="Times New Roman" w:eastAsia="宋体" w:cs="Times New Roman"/>
          <w:spacing w:val="2"/>
        </w:rPr>
        <w:t>在这种三级政府之下,人类彻底实现平等,一切人都成为大同社会成员。按照分工原则,人人同享平等福利。正如《大同书》所言:全世界人皆平等,无爵位之殊,无舆服之异,无仪从之别。</w:t>
      </w:r>
    </w:p>
    <w:p w14:paraId="4512BF51">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8" w:firstLineChars="200"/>
        <w:jc w:val="both"/>
        <w:textAlignment w:val="auto"/>
        <w:rPr>
          <w:rFonts w:hint="default" w:ascii="Times New Roman" w:hAnsi="Times New Roman" w:eastAsia="宋体" w:cs="Times New Roman"/>
          <w:spacing w:val="2"/>
        </w:rPr>
      </w:pPr>
      <w:r>
        <w:rPr>
          <w:rFonts w:hint="default" w:ascii="Times New Roman" w:hAnsi="Times New Roman" w:eastAsia="宋体" w:cs="Times New Roman"/>
          <w:b/>
          <w:bCs/>
          <w:spacing w:val="2"/>
        </w:rPr>
        <w:t>(二)关于社会民主制度。</w:t>
      </w:r>
      <w:r>
        <w:rPr>
          <w:rFonts w:hint="default" w:ascii="Times New Roman" w:hAnsi="Times New Roman" w:eastAsia="宋体" w:cs="Times New Roman"/>
          <w:spacing w:val="2"/>
        </w:rPr>
        <w:t>在行政方面,由“世界公民”选举世界议会代表和地方政府。议会为上下两院。上院议员由各地区的居民选出,下院议员由全民选出,无需议长,一切由多数票决定。上院除立法权外,尚可听民众控诉并处罚有罪官员,世界政府的行政部门有若干行政官员与一行政长官,由两院选出。全球的每一区都享有自治,有权在其范围内立法和行政。每一农场或工厂为一自治政府单位,全体农民或工厂工人参与决定,全以民主方式运作。</w:t>
      </w:r>
    </w:p>
    <w:p w14:paraId="63529FF8">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8" w:firstLineChars="200"/>
        <w:jc w:val="both"/>
        <w:textAlignment w:val="auto"/>
        <w:rPr>
          <w:rFonts w:hint="default" w:ascii="Times New Roman" w:hAnsi="Times New Roman" w:eastAsia="宋体" w:cs="Times New Roman"/>
        </w:rPr>
      </w:pPr>
      <w:r>
        <w:rPr>
          <w:rFonts w:hint="default" w:ascii="Times New Roman" w:hAnsi="Times New Roman" w:eastAsia="宋体" w:cs="Times New Roman"/>
          <w:b/>
          <w:bCs/>
          <w:spacing w:val="2"/>
        </w:rPr>
        <w:t>(三)关于所有制。</w:t>
      </w:r>
      <w:r>
        <w:rPr>
          <w:rFonts w:hint="default" w:ascii="Times New Roman" w:hAnsi="Times New Roman" w:eastAsia="宋体" w:cs="Times New Roman"/>
          <w:spacing w:val="2"/>
        </w:rPr>
        <w:t>在19世纪后半叶,中国的资本主义经济有了一定的发展,但还未形成一个强大的资产阶级。康有为通过在海外的长期旅行,实地察看和所接触的西方书籍,认为私有财产是阻碍人类快乐的错误制度。他反对私有财产大都来自所知的中国和西方社会的实际情况,强调只要允许人民买卖私产,则贫富不齐,终无公平。基于对私有制的批判,康有为设想的大同社会,一切私有的财产、土地与其他生产资料都将消失。农、工、商都为“公有”。在农业经济领域中,全部由政府控制,不容一点私人选择,农业生产带有军事化作业方式。每一农场是一自治单位,农场的主管是地方政府的首脑。每一工厂为自治单位,工厂主管亦为“地方”首脑,所有工人都参与地方事务的决策。工人获得技术突破和荣誉将得奖金，</w:t>
      </w:r>
      <w:r>
        <w:rPr>
          <w:rFonts w:hint="default" w:ascii="Times New Roman" w:hAnsi="Times New Roman" w:eastAsia="宋体" w:cs="Times New Roman"/>
        </w:rPr>
        <w:t>新发明与逐步机械化将减少工作时间,每一工人终将一日仅工作一二小时之工。</w:t>
      </w:r>
    </w:p>
    <w:p w14:paraId="0BD69BA9">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16" w:firstLineChars="200"/>
        <w:jc w:val="both"/>
        <w:textAlignment w:val="auto"/>
        <w:rPr>
          <w:rFonts w:hint="default" w:ascii="Times New Roman" w:hAnsi="Times New Roman" w:eastAsia="宋体" w:cs="Times New Roman"/>
        </w:rPr>
      </w:pPr>
      <w:r>
        <w:rPr>
          <w:rFonts w:hint="default" w:ascii="Times New Roman" w:hAnsi="Times New Roman" w:eastAsia="宋体" w:cs="Times New Roman"/>
          <w:b/>
          <w:bCs/>
          <w:spacing w:val="-1"/>
        </w:rPr>
        <w:t>(</w:t>
      </w:r>
      <w:r>
        <w:rPr>
          <w:rFonts w:hint="default" w:ascii="Times New Roman" w:hAnsi="Times New Roman" w:eastAsia="宋体" w:cs="Times New Roman"/>
          <w:b/>
          <w:bCs/>
          <w:spacing w:val="5"/>
        </w:rPr>
        <w:t>四</w:t>
      </w:r>
      <w:r>
        <w:rPr>
          <w:rFonts w:hint="default" w:ascii="Times New Roman" w:hAnsi="Times New Roman" w:eastAsia="宋体" w:cs="Times New Roman"/>
          <w:b/>
          <w:bCs/>
          <w:spacing w:val="-1"/>
        </w:rPr>
        <w:t>)</w:t>
      </w:r>
      <w:r>
        <w:rPr>
          <w:rFonts w:hint="default" w:ascii="Times New Roman" w:hAnsi="Times New Roman" w:eastAsia="宋体" w:cs="Times New Roman"/>
          <w:b/>
          <w:bCs/>
          <w:spacing w:val="14"/>
        </w:rPr>
        <w:t>关于分配</w:t>
      </w:r>
      <w:r>
        <w:rPr>
          <w:rFonts w:hint="default" w:ascii="Times New Roman" w:hAnsi="Times New Roman" w:eastAsia="宋体" w:cs="Times New Roman"/>
          <w:b/>
          <w:bCs/>
          <w:spacing w:val="-11"/>
          <w:w w:val="80"/>
        </w:rPr>
        <w:t>。</w:t>
      </w:r>
      <w:r>
        <w:rPr>
          <w:rFonts w:hint="default" w:ascii="Times New Roman" w:hAnsi="Times New Roman" w:eastAsia="宋体" w:cs="Times New Roman"/>
          <w:spacing w:val="12"/>
        </w:rPr>
        <w:t>在大同社会</w:t>
      </w:r>
      <w:r>
        <w:rPr>
          <w:rFonts w:hint="default" w:ascii="Times New Roman" w:hAnsi="Times New Roman" w:eastAsia="宋体" w:cs="Times New Roman"/>
          <w:spacing w:val="15"/>
        </w:rPr>
        <w:t>,</w:t>
      </w:r>
      <w:r>
        <w:rPr>
          <w:rFonts w:hint="default" w:ascii="Times New Roman" w:hAnsi="Times New Roman" w:eastAsia="宋体" w:cs="Times New Roman"/>
          <w:spacing w:val="14"/>
        </w:rPr>
        <w:t>没有私有财产,</w:t>
      </w:r>
      <w:r>
        <w:rPr>
          <w:rFonts w:hint="default" w:ascii="Times New Roman" w:hAnsi="Times New Roman" w:eastAsia="宋体" w:cs="Times New Roman"/>
        </w:rPr>
        <w:t>没</w:t>
      </w:r>
      <w:r>
        <w:rPr>
          <w:rFonts w:hint="default" w:ascii="Times New Roman" w:hAnsi="Times New Roman" w:eastAsia="宋体" w:cs="Times New Roman"/>
          <w:spacing w:val="5"/>
        </w:rPr>
        <w:t>有传统意义上的家庭</w:t>
      </w:r>
      <w:r>
        <w:rPr>
          <w:rFonts w:hint="default" w:ascii="Times New Roman" w:hAnsi="Times New Roman" w:eastAsia="宋体" w:cs="Times New Roman"/>
          <w:spacing w:val="8"/>
        </w:rPr>
        <w:t>,</w:t>
      </w:r>
      <w:r>
        <w:rPr>
          <w:rFonts w:hint="default" w:ascii="Times New Roman" w:hAnsi="Times New Roman" w:eastAsia="宋体" w:cs="Times New Roman"/>
          <w:spacing w:val="4"/>
        </w:rPr>
        <w:t>一切生产资料和部分消费资料</w:t>
      </w:r>
      <w:r>
        <w:rPr>
          <w:rFonts w:hint="default" w:ascii="Times New Roman" w:hAnsi="Times New Roman" w:eastAsia="宋体" w:cs="Times New Roman"/>
          <w:spacing w:val="-15"/>
        </w:rPr>
        <w:t>皆为</w:t>
      </w:r>
      <w:r>
        <w:rPr>
          <w:rFonts w:hint="default" w:ascii="Times New Roman" w:hAnsi="Times New Roman" w:eastAsia="宋体" w:cs="Times New Roman"/>
          <w:spacing w:val="-19"/>
          <w:w w:val="80"/>
        </w:rPr>
        <w:t>“</w:t>
      </w:r>
      <w:r>
        <w:rPr>
          <w:rFonts w:hint="default" w:ascii="Times New Roman" w:hAnsi="Times New Roman" w:eastAsia="宋体" w:cs="Times New Roman"/>
          <w:spacing w:val="-5"/>
        </w:rPr>
        <w:t>公有</w:t>
      </w:r>
      <w:r>
        <w:rPr>
          <w:rFonts w:hint="default" w:ascii="Times New Roman" w:hAnsi="Times New Roman" w:eastAsia="宋体" w:cs="Times New Roman"/>
          <w:spacing w:val="-16"/>
          <w:w w:val="80"/>
        </w:rPr>
        <w:t>”。</w:t>
      </w:r>
      <w:r>
        <w:rPr>
          <w:rFonts w:hint="default" w:ascii="Times New Roman" w:hAnsi="Times New Roman" w:eastAsia="宋体" w:cs="Times New Roman"/>
          <w:spacing w:val="5"/>
        </w:rPr>
        <w:t>人们无家累和匮乏之虞</w:t>
      </w:r>
      <w:r>
        <w:rPr>
          <w:rFonts w:hint="default" w:ascii="Times New Roman" w:hAnsi="Times New Roman" w:eastAsia="宋体" w:cs="Times New Roman"/>
          <w:spacing w:val="3"/>
        </w:rPr>
        <w:t>,</w:t>
      </w:r>
      <w:r>
        <w:rPr>
          <w:rFonts w:hint="default" w:ascii="Times New Roman" w:hAnsi="Times New Roman" w:eastAsia="宋体" w:cs="Times New Roman"/>
          <w:spacing w:val="7"/>
        </w:rPr>
        <w:t>世人将居住公</w:t>
      </w:r>
      <w:r>
        <w:rPr>
          <w:rFonts w:hint="default" w:ascii="Times New Roman" w:hAnsi="Times New Roman" w:eastAsia="宋体" w:cs="Times New Roman"/>
          <w:spacing w:val="-2"/>
        </w:rPr>
        <w:t>共楼宇</w:t>
      </w:r>
      <w:r>
        <w:rPr>
          <w:rFonts w:hint="default" w:ascii="Times New Roman" w:hAnsi="Times New Roman" w:eastAsia="宋体" w:cs="Times New Roman"/>
          <w:spacing w:val="4"/>
        </w:rPr>
        <w:t>,</w:t>
      </w:r>
      <w:r>
        <w:rPr>
          <w:rFonts w:hint="default" w:ascii="Times New Roman" w:hAnsi="Times New Roman" w:eastAsia="宋体" w:cs="Times New Roman"/>
          <w:spacing w:val="14"/>
        </w:rPr>
        <w:t>以从事农</w:t>
      </w:r>
      <w:r>
        <w:rPr>
          <w:rFonts w:hint="default" w:ascii="Times New Roman" w:hAnsi="Times New Roman" w:eastAsia="宋体" w:cs="Times New Roman"/>
          <w:spacing w:val="-6"/>
          <w:w w:val="80"/>
        </w:rPr>
        <w:t>、</w:t>
      </w:r>
      <w:r>
        <w:rPr>
          <w:rFonts w:hint="default" w:ascii="Times New Roman" w:hAnsi="Times New Roman" w:eastAsia="宋体" w:cs="Times New Roman"/>
          <w:spacing w:val="25"/>
        </w:rPr>
        <w:t>工</w:t>
      </w:r>
      <w:r>
        <w:rPr>
          <w:rFonts w:hint="default" w:ascii="Times New Roman" w:hAnsi="Times New Roman" w:eastAsia="宋体" w:cs="Times New Roman"/>
          <w:spacing w:val="-26"/>
          <w:w w:val="80"/>
        </w:rPr>
        <w:t>、</w:t>
      </w:r>
      <w:r>
        <w:rPr>
          <w:rFonts w:hint="default" w:ascii="Times New Roman" w:hAnsi="Times New Roman" w:eastAsia="宋体" w:cs="Times New Roman"/>
          <w:spacing w:val="12"/>
        </w:rPr>
        <w:t>交通等行业</w:t>
      </w:r>
      <w:r>
        <w:rPr>
          <w:rFonts w:hint="default" w:ascii="Times New Roman" w:hAnsi="Times New Roman" w:eastAsia="宋体" w:cs="Times New Roman"/>
          <w:spacing w:val="4"/>
        </w:rPr>
        <w:t>,</w:t>
      </w:r>
      <w:r>
        <w:rPr>
          <w:rFonts w:hint="default" w:ascii="Times New Roman" w:hAnsi="Times New Roman" w:eastAsia="宋体" w:cs="Times New Roman"/>
          <w:spacing w:val="12"/>
        </w:rPr>
        <w:t>或居住在公家院</w:t>
      </w:r>
      <w:r>
        <w:rPr>
          <w:rFonts w:hint="default" w:ascii="Times New Roman" w:hAnsi="Times New Roman" w:eastAsia="宋体" w:cs="Times New Roman"/>
          <w:spacing w:val="4"/>
        </w:rPr>
        <w:t>舍如学校</w:t>
      </w:r>
      <w:r>
        <w:rPr>
          <w:rFonts w:hint="default" w:ascii="Times New Roman" w:hAnsi="Times New Roman" w:eastAsia="宋体" w:cs="Times New Roman"/>
          <w:spacing w:val="-6"/>
          <w:w w:val="80"/>
        </w:rPr>
        <w:t>、</w:t>
      </w:r>
      <w:r>
        <w:rPr>
          <w:rFonts w:hint="default" w:ascii="Times New Roman" w:hAnsi="Times New Roman" w:eastAsia="宋体" w:cs="Times New Roman"/>
          <w:spacing w:val="15"/>
        </w:rPr>
        <w:t>医院</w:t>
      </w:r>
      <w:r>
        <w:rPr>
          <w:rFonts w:hint="default" w:ascii="Times New Roman" w:hAnsi="Times New Roman" w:eastAsia="宋体" w:cs="Times New Roman"/>
          <w:spacing w:val="-6"/>
          <w:w w:val="80"/>
        </w:rPr>
        <w:t>、</w:t>
      </w:r>
      <w:r>
        <w:rPr>
          <w:rFonts w:hint="default" w:ascii="Times New Roman" w:hAnsi="Times New Roman" w:eastAsia="宋体" w:cs="Times New Roman"/>
          <w:spacing w:val="10"/>
        </w:rPr>
        <w:t>老年或少年院</w:t>
      </w:r>
      <w:r>
        <w:rPr>
          <w:rFonts w:hint="default" w:ascii="Times New Roman" w:hAnsi="Times New Roman" w:eastAsia="宋体" w:cs="Times New Roman"/>
          <w:spacing w:val="4"/>
        </w:rPr>
        <w:t>,</w:t>
      </w:r>
      <w:r>
        <w:rPr>
          <w:rFonts w:hint="default" w:ascii="Times New Roman" w:hAnsi="Times New Roman" w:eastAsia="宋体" w:cs="Times New Roman"/>
          <w:spacing w:val="12"/>
        </w:rPr>
        <w:t>无私人住宅</w:t>
      </w:r>
      <w:r>
        <w:rPr>
          <w:rFonts w:hint="default" w:ascii="Times New Roman" w:hAnsi="Times New Roman" w:eastAsia="宋体" w:cs="Times New Roman"/>
          <w:spacing w:val="4"/>
        </w:rPr>
        <w:t>,</w:t>
      </w:r>
      <w:r>
        <w:rPr>
          <w:rFonts w:hint="default" w:ascii="Times New Roman" w:hAnsi="Times New Roman" w:eastAsia="宋体" w:cs="Times New Roman"/>
          <w:spacing w:val="10"/>
        </w:rPr>
        <w:t>只有公</w:t>
      </w:r>
      <w:r>
        <w:rPr>
          <w:rFonts w:hint="default" w:ascii="Times New Roman" w:hAnsi="Times New Roman" w:eastAsia="宋体" w:cs="Times New Roman"/>
          <w:spacing w:val="11"/>
        </w:rPr>
        <w:t>家宿舍</w:t>
      </w:r>
      <w:r>
        <w:rPr>
          <w:rFonts w:hint="default" w:ascii="Times New Roman" w:hAnsi="Times New Roman" w:eastAsia="宋体" w:cs="Times New Roman"/>
          <w:spacing w:val="-6"/>
          <w:w w:val="80"/>
        </w:rPr>
        <w:t>、</w:t>
      </w:r>
      <w:r>
        <w:rPr>
          <w:rFonts w:hint="default" w:ascii="Times New Roman" w:hAnsi="Times New Roman" w:eastAsia="宋体" w:cs="Times New Roman"/>
          <w:spacing w:val="8"/>
        </w:rPr>
        <w:t>食堂以及其他设施</w:t>
      </w:r>
      <w:r>
        <w:rPr>
          <w:rFonts w:hint="default" w:ascii="Times New Roman" w:hAnsi="Times New Roman" w:eastAsia="宋体" w:cs="Times New Roman"/>
          <w:spacing w:val="1"/>
        </w:rPr>
        <w:t>,</w:t>
      </w:r>
      <w:r>
        <w:rPr>
          <w:rFonts w:hint="default" w:ascii="Times New Roman" w:hAnsi="Times New Roman" w:eastAsia="宋体" w:cs="Times New Roman"/>
          <w:spacing w:val="9"/>
        </w:rPr>
        <w:t>自由享用充足的共用文</w:t>
      </w:r>
      <w:r>
        <w:rPr>
          <w:rFonts w:hint="default" w:ascii="Times New Roman" w:hAnsi="Times New Roman" w:eastAsia="宋体" w:cs="Times New Roman"/>
          <w:spacing w:val="5"/>
        </w:rPr>
        <w:t>化和休闲设备</w:t>
      </w:r>
      <w:r>
        <w:rPr>
          <w:rFonts w:hint="default" w:ascii="Times New Roman" w:hAnsi="Times New Roman" w:eastAsia="宋体" w:cs="Times New Roman"/>
          <w:spacing w:val="17"/>
        </w:rPr>
        <w:t>,</w:t>
      </w:r>
      <w:r>
        <w:rPr>
          <w:rFonts w:hint="default" w:ascii="Times New Roman" w:hAnsi="Times New Roman" w:eastAsia="宋体" w:cs="Times New Roman"/>
          <w:spacing w:val="7"/>
        </w:rPr>
        <w:t>皆处于极乐之中</w:t>
      </w:r>
      <w:r>
        <w:rPr>
          <w:rFonts w:hint="default" w:ascii="Times New Roman" w:hAnsi="Times New Roman" w:eastAsia="宋体" w:cs="Times New Roman"/>
          <w:spacing w:val="3"/>
          <w:w w:val="80"/>
        </w:rPr>
        <w:t>。</w:t>
      </w:r>
      <w:r>
        <w:rPr>
          <w:rFonts w:hint="default" w:ascii="Times New Roman" w:hAnsi="Times New Roman" w:eastAsia="宋体" w:cs="Times New Roman"/>
          <w:spacing w:val="7"/>
        </w:rPr>
        <w:t>另有三种公</w:t>
      </w:r>
      <w:r>
        <w:rPr>
          <w:rFonts w:hint="default" w:ascii="Times New Roman" w:hAnsi="Times New Roman" w:eastAsia="宋体" w:cs="Times New Roman"/>
          <w:spacing w:val="-5"/>
        </w:rPr>
        <w:t>家机构作三类服务:公养、公教、公恤。公养机构包括照顾妊妇、婴儿以及小孩;公教机构从婴儿学堂到大学;公恤机构包括照顾老人、穷人、病残以及公众火葬场。每</w:t>
      </w:r>
      <w:r>
        <w:rPr>
          <w:rFonts w:hint="default" w:ascii="Times New Roman" w:hAnsi="Times New Roman" w:eastAsia="宋体" w:cs="Times New Roman"/>
        </w:rPr>
        <w:t>人生命中从生到死的任何一个阶段,都由公众政府的这些机构来安排,实行按需分配与按劳分配相结合的经济制度。在农业生产领域,劳动收入可分十个等级。在工业生产领域,劳动收入可分数十个等级。夫妻都去世后,除遗嘱赠送之外的个人财产均交公。</w:t>
      </w:r>
    </w:p>
    <w:p w14:paraId="7975BF0A">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16" w:firstLineChars="200"/>
        <w:jc w:val="both"/>
        <w:textAlignment w:val="auto"/>
        <w:rPr>
          <w:rFonts w:hint="default" w:ascii="Times New Roman" w:hAnsi="Times New Roman" w:eastAsia="宋体" w:cs="Times New Roman"/>
          <w:w w:val="80"/>
        </w:rPr>
      </w:pPr>
      <w:r>
        <w:rPr>
          <w:rFonts w:hint="default" w:ascii="Times New Roman" w:hAnsi="Times New Roman" w:eastAsia="宋体" w:cs="Times New Roman"/>
          <w:b/>
          <w:bCs/>
          <w:spacing w:val="-1"/>
        </w:rPr>
        <w:t>(</w:t>
      </w:r>
      <w:r>
        <w:rPr>
          <w:rFonts w:hint="default" w:ascii="Times New Roman" w:hAnsi="Times New Roman" w:eastAsia="宋体" w:cs="Times New Roman"/>
          <w:b/>
          <w:bCs/>
          <w:spacing w:val="5"/>
        </w:rPr>
        <w:t>五</w:t>
      </w:r>
      <w:r>
        <w:rPr>
          <w:rFonts w:hint="default" w:ascii="Times New Roman" w:hAnsi="Times New Roman" w:eastAsia="宋体" w:cs="Times New Roman"/>
          <w:b/>
          <w:bCs/>
          <w:spacing w:val="-1"/>
        </w:rPr>
        <w:t>)</w:t>
      </w:r>
      <w:r>
        <w:rPr>
          <w:rFonts w:hint="default" w:ascii="Times New Roman" w:hAnsi="Times New Roman" w:eastAsia="宋体" w:cs="Times New Roman"/>
          <w:b/>
          <w:bCs/>
          <w:spacing w:val="14"/>
        </w:rPr>
        <w:t>关于经济调节</w:t>
      </w:r>
      <w:r>
        <w:rPr>
          <w:rFonts w:hint="default" w:ascii="Times New Roman" w:hAnsi="Times New Roman" w:eastAsia="宋体" w:cs="Times New Roman"/>
          <w:b/>
          <w:bCs/>
          <w:spacing w:val="5"/>
        </w:rPr>
        <w:t>。</w:t>
      </w:r>
      <w:r>
        <w:rPr>
          <w:rFonts w:hint="default" w:ascii="Times New Roman" w:hAnsi="Times New Roman" w:eastAsia="宋体" w:cs="Times New Roman"/>
          <w:spacing w:val="5"/>
        </w:rPr>
        <w:t>在经济运行和经济调节方面</w:t>
      </w:r>
      <w:r>
        <w:rPr>
          <w:rFonts w:hint="default" w:ascii="Times New Roman" w:hAnsi="Times New Roman" w:eastAsia="宋体" w:cs="Times New Roman"/>
          <w:spacing w:val="14"/>
        </w:rPr>
        <w:t>,</w:t>
      </w:r>
      <w:r>
        <w:rPr>
          <w:rFonts w:hint="default" w:ascii="Times New Roman" w:hAnsi="Times New Roman" w:eastAsia="宋体" w:cs="Times New Roman"/>
          <w:spacing w:val="6"/>
        </w:rPr>
        <w:t>政府将设立适当的机构来管理世界经济事务</w:t>
      </w:r>
      <w:r>
        <w:rPr>
          <w:rFonts w:hint="default" w:ascii="Times New Roman" w:hAnsi="Times New Roman" w:eastAsia="宋体" w:cs="Times New Roman"/>
          <w:spacing w:val="9"/>
        </w:rPr>
        <w:t>,</w:t>
      </w:r>
      <w:r>
        <w:rPr>
          <w:rFonts w:hint="default" w:ascii="Times New Roman" w:hAnsi="Times New Roman" w:eastAsia="宋体" w:cs="Times New Roman"/>
        </w:rPr>
        <w:t>并</w:t>
      </w:r>
      <w:r>
        <w:rPr>
          <w:rFonts w:hint="default" w:ascii="Times New Roman" w:hAnsi="Times New Roman" w:eastAsia="宋体" w:cs="Times New Roman"/>
          <w:spacing w:val="7"/>
        </w:rPr>
        <w:t>实行计划经济</w:t>
      </w:r>
      <w:r>
        <w:rPr>
          <w:rFonts w:hint="default" w:ascii="Times New Roman" w:hAnsi="Times New Roman" w:eastAsia="宋体" w:cs="Times New Roman"/>
          <w:spacing w:val="-3"/>
          <w:w w:val="80"/>
        </w:rPr>
        <w:t>。</w:t>
      </w:r>
      <w:r>
        <w:rPr>
          <w:rFonts w:hint="default" w:ascii="Times New Roman" w:hAnsi="Times New Roman" w:eastAsia="宋体" w:cs="Times New Roman"/>
          <w:spacing w:val="10"/>
        </w:rPr>
        <w:t>农业有中央部门以及若干机构来计</w:t>
      </w:r>
      <w:r>
        <w:rPr>
          <w:rFonts w:hint="default" w:ascii="Times New Roman" w:hAnsi="Times New Roman" w:eastAsia="宋体" w:cs="Times New Roman"/>
          <w:spacing w:val="25"/>
          <w:w w:val="95"/>
        </w:rPr>
        <w:t>划</w:t>
      </w:r>
      <w:r>
        <w:rPr>
          <w:rFonts w:hint="default" w:ascii="Times New Roman" w:hAnsi="Times New Roman" w:eastAsia="宋体" w:cs="Times New Roman"/>
          <w:spacing w:val="-26"/>
          <w:w w:val="80"/>
        </w:rPr>
        <w:t>、</w:t>
      </w:r>
      <w:r>
        <w:rPr>
          <w:rFonts w:hint="default" w:ascii="Times New Roman" w:hAnsi="Times New Roman" w:eastAsia="宋体" w:cs="Times New Roman"/>
          <w:spacing w:val="15"/>
          <w:w w:val="95"/>
        </w:rPr>
        <w:t>规范</w:t>
      </w:r>
      <w:r>
        <w:rPr>
          <w:rFonts w:hint="default" w:ascii="Times New Roman" w:hAnsi="Times New Roman" w:eastAsia="宋体" w:cs="Times New Roman"/>
          <w:spacing w:val="-26"/>
          <w:w w:val="80"/>
        </w:rPr>
        <w:t>、</w:t>
      </w:r>
      <w:r>
        <w:rPr>
          <w:rFonts w:hint="default" w:ascii="Times New Roman" w:hAnsi="Times New Roman" w:eastAsia="宋体" w:cs="Times New Roman"/>
          <w:spacing w:val="8"/>
          <w:w w:val="95"/>
        </w:rPr>
        <w:t>管理各方面</w:t>
      </w:r>
      <w:r>
        <w:rPr>
          <w:rFonts w:hint="default" w:ascii="Times New Roman" w:hAnsi="Times New Roman" w:eastAsia="宋体" w:cs="Times New Roman"/>
          <w:w w:val="95"/>
        </w:rPr>
        <w:t>,</w:t>
      </w:r>
      <w:r>
        <w:rPr>
          <w:rFonts w:hint="default" w:ascii="Times New Roman" w:hAnsi="Times New Roman" w:eastAsia="宋体" w:cs="Times New Roman"/>
          <w:spacing w:val="19"/>
          <w:w w:val="95"/>
        </w:rPr>
        <w:t>诸如耕种</w:t>
      </w:r>
      <w:r>
        <w:rPr>
          <w:rFonts w:hint="default" w:ascii="Times New Roman" w:hAnsi="Times New Roman" w:eastAsia="宋体" w:cs="Times New Roman"/>
          <w:spacing w:val="-6"/>
          <w:w w:val="80"/>
        </w:rPr>
        <w:t>、</w:t>
      </w:r>
      <w:r>
        <w:rPr>
          <w:rFonts w:hint="default" w:ascii="Times New Roman" w:hAnsi="Times New Roman" w:eastAsia="宋体" w:cs="Times New Roman"/>
          <w:spacing w:val="15"/>
          <w:w w:val="95"/>
        </w:rPr>
        <w:t>森林</w:t>
      </w:r>
      <w:r>
        <w:rPr>
          <w:rFonts w:hint="default" w:ascii="Times New Roman" w:hAnsi="Times New Roman" w:eastAsia="宋体" w:cs="Times New Roman"/>
          <w:spacing w:val="-6"/>
          <w:w w:val="80"/>
        </w:rPr>
        <w:t>、</w:t>
      </w:r>
      <w:r>
        <w:rPr>
          <w:rFonts w:hint="default" w:ascii="Times New Roman" w:hAnsi="Times New Roman" w:eastAsia="宋体" w:cs="Times New Roman"/>
          <w:spacing w:val="16"/>
          <w:w w:val="95"/>
        </w:rPr>
        <w:t>渔业和矿业</w:t>
      </w:r>
      <w:r>
        <w:rPr>
          <w:rFonts w:hint="default" w:ascii="Times New Roman" w:hAnsi="Times New Roman" w:eastAsia="宋体" w:cs="Times New Roman"/>
          <w:w w:val="80"/>
        </w:rPr>
        <w:t>。</w:t>
      </w:r>
      <w:r>
        <w:rPr>
          <w:rFonts w:hint="default" w:ascii="Times New Roman" w:hAnsi="Times New Roman" w:eastAsia="宋体" w:cs="Times New Roman"/>
          <w:spacing w:val="4"/>
        </w:rPr>
        <w:t>中央商务部将指导分布世界各地的工厂制造一定数</w:t>
      </w:r>
      <w:r>
        <w:rPr>
          <w:rFonts w:hint="default" w:ascii="Times New Roman" w:hAnsi="Times New Roman" w:eastAsia="宋体" w:cs="Times New Roman"/>
          <w:spacing w:val="5"/>
        </w:rPr>
        <w:t>量的物品</w:t>
      </w:r>
      <w:r>
        <w:rPr>
          <w:rFonts w:hint="default" w:ascii="Times New Roman" w:hAnsi="Times New Roman" w:eastAsia="宋体" w:cs="Times New Roman"/>
        </w:rPr>
        <w:t>,</w:t>
      </w:r>
      <w:r>
        <w:rPr>
          <w:rFonts w:hint="default" w:ascii="Times New Roman" w:hAnsi="Times New Roman" w:eastAsia="宋体" w:cs="Times New Roman"/>
          <w:spacing w:val="9"/>
        </w:rPr>
        <w:t>以应一年中全人类所需</w:t>
      </w:r>
      <w:r>
        <w:rPr>
          <w:rFonts w:hint="default" w:ascii="Times New Roman" w:hAnsi="Times New Roman" w:eastAsia="宋体" w:cs="Times New Roman"/>
        </w:rPr>
        <w:t>,</w:t>
      </w:r>
      <w:r>
        <w:rPr>
          <w:rFonts w:hint="default" w:ascii="Times New Roman" w:hAnsi="Times New Roman" w:eastAsia="宋体" w:cs="Times New Roman"/>
          <w:spacing w:val="8"/>
        </w:rPr>
        <w:t>并将分配这些物</w:t>
      </w:r>
      <w:r>
        <w:rPr>
          <w:rFonts w:hint="default" w:ascii="Times New Roman" w:hAnsi="Times New Roman" w:eastAsia="宋体" w:cs="Times New Roman"/>
          <w:spacing w:val="7"/>
        </w:rPr>
        <w:t>品到批发商店</w:t>
      </w:r>
      <w:r>
        <w:rPr>
          <w:rFonts w:hint="default" w:ascii="Times New Roman" w:hAnsi="Times New Roman" w:eastAsia="宋体" w:cs="Times New Roman"/>
          <w:spacing w:val="-3"/>
          <w:w w:val="80"/>
        </w:rPr>
        <w:t>。</w:t>
      </w:r>
      <w:r>
        <w:rPr>
          <w:rFonts w:hint="default" w:ascii="Times New Roman" w:hAnsi="Times New Roman" w:eastAsia="宋体" w:cs="Times New Roman"/>
          <w:spacing w:val="10"/>
        </w:rPr>
        <w:t>供应和需求既由世界政府精确地控</w:t>
      </w:r>
      <w:r>
        <w:rPr>
          <w:rFonts w:hint="default" w:ascii="Times New Roman" w:hAnsi="Times New Roman" w:eastAsia="宋体" w:cs="Times New Roman"/>
          <w:spacing w:val="5"/>
        </w:rPr>
        <w:t>制</w:t>
      </w:r>
      <w:r>
        <w:rPr>
          <w:rFonts w:hint="default" w:ascii="Times New Roman" w:hAnsi="Times New Roman" w:eastAsia="宋体" w:cs="Times New Roman"/>
        </w:rPr>
        <w:t>,</w:t>
      </w:r>
      <w:r>
        <w:rPr>
          <w:rFonts w:hint="default" w:ascii="Times New Roman" w:hAnsi="Times New Roman" w:eastAsia="宋体" w:cs="Times New Roman"/>
          <w:spacing w:val="10"/>
        </w:rPr>
        <w:t>自然就无因劳动力过剩而生产过量或失业等现</w:t>
      </w:r>
      <w:r>
        <w:rPr>
          <w:rFonts w:hint="default" w:ascii="Times New Roman" w:hAnsi="Times New Roman" w:eastAsia="宋体" w:cs="Times New Roman"/>
          <w:spacing w:val="25"/>
        </w:rPr>
        <w:t>象</w:t>
      </w:r>
      <w:r>
        <w:rPr>
          <w:rFonts w:hint="default" w:ascii="Times New Roman" w:hAnsi="Times New Roman" w:eastAsia="宋体" w:cs="Times New Roman"/>
          <w:spacing w:val="15"/>
          <w:w w:val="80"/>
        </w:rPr>
        <w:t>。</w:t>
      </w:r>
      <w:r>
        <w:rPr>
          <w:rFonts w:hint="default" w:ascii="Times New Roman" w:hAnsi="Times New Roman" w:eastAsia="宋体" w:cs="Times New Roman"/>
          <w:spacing w:val="5"/>
        </w:rPr>
        <w:t>政府规定所有价格</w:t>
      </w:r>
      <w:r>
        <w:rPr>
          <w:rFonts w:hint="default" w:ascii="Times New Roman" w:hAnsi="Times New Roman" w:eastAsia="宋体" w:cs="Times New Roman"/>
          <w:spacing w:val="16"/>
        </w:rPr>
        <w:t>,</w:t>
      </w:r>
      <w:r>
        <w:rPr>
          <w:rFonts w:hint="default" w:ascii="Times New Roman" w:hAnsi="Times New Roman" w:eastAsia="宋体" w:cs="Times New Roman"/>
          <w:spacing w:val="5"/>
        </w:rPr>
        <w:t>商品将由快速便捷的自动化</w:t>
      </w:r>
      <w:r>
        <w:rPr>
          <w:rFonts w:hint="default" w:ascii="Times New Roman" w:hAnsi="Times New Roman" w:eastAsia="宋体" w:cs="Times New Roman"/>
          <w:spacing w:val="7"/>
        </w:rPr>
        <w:t>方式送到顾客手中</w:t>
      </w:r>
      <w:r>
        <w:rPr>
          <w:rFonts w:hint="default" w:ascii="Times New Roman" w:hAnsi="Times New Roman" w:eastAsia="宋体" w:cs="Times New Roman"/>
          <w:spacing w:val="-20"/>
          <w:w w:val="80"/>
        </w:rPr>
        <w:t>。</w:t>
      </w:r>
      <w:r>
        <w:rPr>
          <w:rFonts w:hint="default" w:ascii="Times New Roman" w:hAnsi="Times New Roman" w:eastAsia="宋体" w:cs="Times New Roman"/>
          <w:spacing w:val="-5"/>
        </w:rPr>
        <w:t>既无</w:t>
      </w:r>
      <w:r>
        <w:rPr>
          <w:rFonts w:hint="default" w:ascii="Times New Roman" w:hAnsi="Times New Roman" w:eastAsia="宋体" w:cs="Times New Roman"/>
          <w:spacing w:val="-28"/>
          <w:w w:val="80"/>
        </w:rPr>
        <w:t>“</w:t>
      </w:r>
      <w:r>
        <w:rPr>
          <w:rFonts w:hint="default" w:ascii="Times New Roman" w:hAnsi="Times New Roman" w:eastAsia="宋体" w:cs="Times New Roman"/>
          <w:spacing w:val="-5"/>
        </w:rPr>
        <w:t>谋利</w:t>
      </w:r>
      <w:r>
        <w:rPr>
          <w:rFonts w:hint="default" w:ascii="Times New Roman" w:hAnsi="Times New Roman" w:eastAsia="宋体" w:cs="Times New Roman"/>
          <w:spacing w:val="-21"/>
          <w:w w:val="80"/>
        </w:rPr>
        <w:t>”</w:t>
      </w:r>
      <w:r>
        <w:rPr>
          <w:rFonts w:hint="default" w:ascii="Times New Roman" w:hAnsi="Times New Roman" w:eastAsia="宋体" w:cs="Times New Roman"/>
          <w:spacing w:val="5"/>
        </w:rPr>
        <w:t>之私心</w:t>
      </w:r>
      <w:r>
        <w:rPr>
          <w:rFonts w:hint="default" w:ascii="Times New Roman" w:hAnsi="Times New Roman" w:eastAsia="宋体" w:cs="Times New Roman"/>
          <w:spacing w:val="2"/>
        </w:rPr>
        <w:t>,</w:t>
      </w:r>
      <w:r>
        <w:rPr>
          <w:rFonts w:hint="default" w:ascii="Times New Roman" w:hAnsi="Times New Roman" w:eastAsia="宋体" w:cs="Times New Roman"/>
          <w:spacing w:val="7"/>
        </w:rPr>
        <w:t>中间剥削也</w:t>
      </w:r>
      <w:r>
        <w:rPr>
          <w:rFonts w:hint="default" w:ascii="Times New Roman" w:hAnsi="Times New Roman" w:eastAsia="宋体" w:cs="Times New Roman"/>
          <w:spacing w:val="5"/>
        </w:rPr>
        <w:t>取消</w:t>
      </w:r>
      <w:r>
        <w:rPr>
          <w:rFonts w:hint="default" w:ascii="Times New Roman" w:hAnsi="Times New Roman" w:eastAsia="宋体" w:cs="Times New Roman"/>
          <w:spacing w:val="12"/>
        </w:rPr>
        <w:t>,</w:t>
      </w:r>
      <w:r>
        <w:rPr>
          <w:rFonts w:hint="default" w:ascii="Times New Roman" w:hAnsi="Times New Roman" w:eastAsia="宋体" w:cs="Times New Roman"/>
          <w:spacing w:val="5"/>
        </w:rPr>
        <w:t>也无税收和中间剥削</w:t>
      </w:r>
      <w:r>
        <w:rPr>
          <w:rFonts w:hint="default" w:ascii="Times New Roman" w:hAnsi="Times New Roman" w:eastAsia="宋体" w:cs="Times New Roman"/>
          <w:spacing w:val="10"/>
        </w:rPr>
        <w:t>,</w:t>
      </w:r>
      <w:r>
        <w:rPr>
          <w:rFonts w:hint="default" w:ascii="Times New Roman" w:hAnsi="Times New Roman" w:eastAsia="宋体" w:cs="Times New Roman"/>
          <w:spacing w:val="7"/>
        </w:rPr>
        <w:t>商品价格自然十分低廉</w:t>
      </w:r>
      <w:r>
        <w:rPr>
          <w:rFonts w:hint="default" w:ascii="Times New Roman" w:hAnsi="Times New Roman" w:eastAsia="宋体" w:cs="Times New Roman"/>
          <w:w w:val="80"/>
        </w:rPr>
        <w:t>。</w:t>
      </w:r>
    </w:p>
    <w:p w14:paraId="66C22A64">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rPr>
      </w:pPr>
      <w:r>
        <w:rPr>
          <w:rFonts w:hint="default" w:ascii="Times New Roman" w:hAnsi="Times New Roman" w:eastAsia="宋体" w:cs="Times New Roman"/>
          <w:b/>
          <w:bCs/>
        </w:rPr>
        <w:t>(</w:t>
      </w:r>
      <w:r>
        <w:rPr>
          <w:rFonts w:hint="default" w:ascii="Times New Roman" w:hAnsi="Times New Roman" w:eastAsia="宋体" w:cs="Times New Roman"/>
          <w:b/>
          <w:bCs/>
          <w:spacing w:val="5"/>
        </w:rPr>
        <w:t>六</w:t>
      </w:r>
      <w:r>
        <w:rPr>
          <w:rFonts w:hint="default" w:ascii="Times New Roman" w:hAnsi="Times New Roman" w:eastAsia="宋体" w:cs="Times New Roman"/>
          <w:b/>
          <w:bCs/>
          <w:spacing w:val="13"/>
        </w:rPr>
        <w:t>)关于婚姻与家庭</w:t>
      </w:r>
      <w:r>
        <w:rPr>
          <w:rFonts w:hint="default" w:ascii="Times New Roman" w:hAnsi="Times New Roman" w:eastAsia="宋体" w:cs="Times New Roman"/>
          <w:b/>
          <w:bCs/>
          <w:spacing w:val="-11"/>
          <w:w w:val="80"/>
        </w:rPr>
        <w:t>。</w:t>
      </w:r>
      <w:r>
        <w:rPr>
          <w:rFonts w:hint="default" w:ascii="Times New Roman" w:hAnsi="Times New Roman" w:eastAsia="宋体" w:cs="Times New Roman"/>
          <w:spacing w:val="16"/>
        </w:rPr>
        <w:t>家庭是社会的细胞</w:t>
      </w:r>
      <w:r>
        <w:rPr>
          <w:rFonts w:hint="default" w:ascii="Times New Roman" w:hAnsi="Times New Roman" w:eastAsia="宋体" w:cs="Times New Roman"/>
          <w:spacing w:val="-11"/>
          <w:w w:val="80"/>
        </w:rPr>
        <w:t>。</w:t>
      </w:r>
      <w:r>
        <w:rPr>
          <w:rFonts w:hint="default" w:ascii="Times New Roman" w:hAnsi="Times New Roman" w:eastAsia="宋体" w:cs="Times New Roman"/>
        </w:rPr>
        <w:t>在</w:t>
      </w:r>
      <w:r>
        <w:rPr>
          <w:rFonts w:hint="default" w:ascii="Times New Roman" w:hAnsi="Times New Roman" w:eastAsia="宋体" w:cs="Times New Roman"/>
          <w:spacing w:val="5"/>
        </w:rPr>
        <w:t>封建专制的中国历史长河中</w:t>
      </w:r>
      <w:r>
        <w:rPr>
          <w:rFonts w:hint="default" w:ascii="Times New Roman" w:hAnsi="Times New Roman" w:eastAsia="宋体" w:cs="Times New Roman"/>
          <w:spacing w:val="1"/>
        </w:rPr>
        <w:t>,</w:t>
      </w:r>
      <w:r>
        <w:rPr>
          <w:rFonts w:hint="default" w:ascii="Times New Roman" w:hAnsi="Times New Roman" w:eastAsia="宋体" w:cs="Times New Roman"/>
          <w:spacing w:val="6"/>
        </w:rPr>
        <w:t>以男人为中心的父权家</w:t>
      </w:r>
      <w:r>
        <w:rPr>
          <w:rFonts w:hint="default" w:ascii="Times New Roman" w:hAnsi="Times New Roman" w:eastAsia="宋体" w:cs="Times New Roman"/>
          <w:spacing w:val="4"/>
        </w:rPr>
        <w:t>庭是传统儒家道德中的所谓</w:t>
      </w:r>
      <w:r>
        <w:rPr>
          <w:rFonts w:hint="default" w:ascii="Times New Roman" w:hAnsi="Times New Roman" w:eastAsia="宋体" w:cs="Times New Roman"/>
          <w:spacing w:val="-20"/>
          <w:w w:val="80"/>
        </w:rPr>
        <w:t>“</w:t>
      </w:r>
      <w:r>
        <w:rPr>
          <w:rFonts w:hint="default" w:ascii="Times New Roman" w:hAnsi="Times New Roman" w:eastAsia="宋体" w:cs="Times New Roman"/>
          <w:spacing w:val="-5"/>
        </w:rPr>
        <w:t>三纲</w:t>
      </w:r>
      <w:r>
        <w:rPr>
          <w:rFonts w:hint="default" w:ascii="Times New Roman" w:hAnsi="Times New Roman" w:eastAsia="宋体" w:cs="Times New Roman"/>
          <w:spacing w:val="-13"/>
          <w:w w:val="80"/>
        </w:rPr>
        <w:t>”</w:t>
      </w:r>
      <w:r>
        <w:rPr>
          <w:rFonts w:hint="default" w:ascii="Times New Roman" w:hAnsi="Times New Roman" w:eastAsia="宋体" w:cs="Times New Roman"/>
          <w:spacing w:val="18"/>
        </w:rPr>
        <w:t>之基础</w:t>
      </w:r>
      <w:r>
        <w:rPr>
          <w:rFonts w:hint="default" w:ascii="Times New Roman" w:hAnsi="Times New Roman" w:eastAsia="宋体" w:cs="Times New Roman"/>
          <w:spacing w:val="-20"/>
          <w:w w:val="80"/>
        </w:rPr>
        <w:t>。</w:t>
      </w:r>
      <w:r>
        <w:rPr>
          <w:rFonts w:hint="default" w:ascii="Times New Roman" w:hAnsi="Times New Roman" w:eastAsia="宋体" w:cs="Times New Roman"/>
          <w:spacing w:val="10"/>
        </w:rPr>
        <w:t>康有为</w:t>
      </w:r>
      <w:r>
        <w:rPr>
          <w:rFonts w:hint="default" w:ascii="Times New Roman" w:hAnsi="Times New Roman" w:eastAsia="宋体" w:cs="Times New Roman"/>
        </w:rPr>
        <w:t>认为家庭在</w:t>
      </w:r>
      <w:r>
        <w:rPr>
          <w:rFonts w:hint="default" w:ascii="Times New Roman" w:hAnsi="Times New Roman" w:eastAsia="宋体" w:cs="Times New Roman"/>
          <w:w w:val="80"/>
        </w:rPr>
        <w:t>“</w:t>
      </w:r>
      <w:r>
        <w:rPr>
          <w:rFonts w:hint="default" w:ascii="Times New Roman" w:hAnsi="Times New Roman" w:eastAsia="宋体" w:cs="Times New Roman"/>
        </w:rPr>
        <w:t>据乱世</w:t>
      </w:r>
      <w:r>
        <w:rPr>
          <w:rFonts w:hint="default" w:ascii="Times New Roman" w:hAnsi="Times New Roman" w:eastAsia="宋体" w:cs="Times New Roman"/>
          <w:w w:val="80"/>
        </w:rPr>
        <w:t>”</w:t>
      </w:r>
      <w:r>
        <w:rPr>
          <w:rFonts w:hint="default" w:ascii="Times New Roman" w:hAnsi="Times New Roman" w:eastAsia="宋体" w:cs="Times New Roman"/>
        </w:rPr>
        <w:t>尚有用处,高度发达的家庭制度和明确的家庭伦理较有利于过去的中国社会的稳定</w:t>
      </w:r>
      <w:r>
        <w:rPr>
          <w:rFonts w:hint="default" w:ascii="Times New Roman" w:hAnsi="Times New Roman" w:eastAsia="宋体" w:cs="Times New Roman"/>
          <w:w w:val="80"/>
        </w:rPr>
        <w:t>。</w:t>
      </w:r>
      <w:r>
        <w:rPr>
          <w:rFonts w:hint="default" w:ascii="Times New Roman" w:hAnsi="Times New Roman" w:eastAsia="宋体" w:cs="Times New Roman"/>
          <w:spacing w:val="8"/>
        </w:rPr>
        <w:t>他认为中国的孝道讲得多</w:t>
      </w:r>
      <w:r>
        <w:rPr>
          <w:rFonts w:hint="default" w:ascii="Times New Roman" w:hAnsi="Times New Roman" w:eastAsia="宋体" w:cs="Times New Roman"/>
          <w:spacing w:val="11"/>
        </w:rPr>
        <w:t>,行得少</w:t>
      </w:r>
      <w:r>
        <w:rPr>
          <w:rFonts w:hint="default" w:ascii="Times New Roman" w:hAnsi="Times New Roman" w:eastAsia="宋体" w:cs="Times New Roman"/>
          <w:spacing w:val="9"/>
        </w:rPr>
        <w:t>,</w:t>
      </w:r>
      <w:r>
        <w:rPr>
          <w:rFonts w:hint="default" w:ascii="Times New Roman" w:hAnsi="Times New Roman" w:eastAsia="宋体" w:cs="Times New Roman"/>
          <w:spacing w:val="8"/>
        </w:rPr>
        <w:t>子女因私利和经</w:t>
      </w:r>
      <w:r>
        <w:rPr>
          <w:rFonts w:hint="default" w:ascii="Times New Roman" w:hAnsi="Times New Roman" w:eastAsia="宋体" w:cs="Times New Roman"/>
          <w:spacing w:val="5"/>
        </w:rPr>
        <w:t>济状况难以对父母显爱心</w:t>
      </w:r>
      <w:r>
        <w:rPr>
          <w:rFonts w:hint="default" w:ascii="Times New Roman" w:hAnsi="Times New Roman" w:eastAsia="宋体" w:cs="Times New Roman"/>
          <w:spacing w:val="1"/>
        </w:rPr>
        <w:t>,</w:t>
      </w:r>
      <w:r>
        <w:rPr>
          <w:rFonts w:hint="default" w:ascii="Times New Roman" w:hAnsi="Times New Roman" w:eastAsia="宋体" w:cs="Times New Roman"/>
          <w:spacing w:val="6"/>
        </w:rPr>
        <w:t>有血缘关系的亲戚经常因</w:t>
      </w:r>
      <w:r>
        <w:rPr>
          <w:rFonts w:hint="default" w:ascii="Times New Roman" w:hAnsi="Times New Roman" w:eastAsia="宋体" w:cs="Times New Roman"/>
          <w:spacing w:val="15"/>
        </w:rPr>
        <w:t>忌妒</w:t>
      </w:r>
      <w:r>
        <w:rPr>
          <w:rFonts w:hint="default" w:ascii="Times New Roman" w:hAnsi="Times New Roman" w:eastAsia="宋体" w:cs="Times New Roman"/>
          <w:spacing w:val="-26"/>
          <w:w w:val="80"/>
        </w:rPr>
        <w:t>、</w:t>
      </w:r>
      <w:r>
        <w:rPr>
          <w:rFonts w:hint="default" w:ascii="Times New Roman" w:hAnsi="Times New Roman" w:eastAsia="宋体" w:cs="Times New Roman"/>
          <w:spacing w:val="15"/>
        </w:rPr>
        <w:t>厌恶</w:t>
      </w:r>
      <w:r>
        <w:rPr>
          <w:rFonts w:hint="default" w:ascii="Times New Roman" w:hAnsi="Times New Roman" w:eastAsia="宋体" w:cs="Times New Roman"/>
          <w:spacing w:val="-6"/>
          <w:w w:val="80"/>
        </w:rPr>
        <w:t>、</w:t>
      </w:r>
      <w:r>
        <w:rPr>
          <w:rFonts w:hint="default" w:ascii="Times New Roman" w:hAnsi="Times New Roman" w:eastAsia="宋体" w:cs="Times New Roman"/>
          <w:spacing w:val="12"/>
        </w:rPr>
        <w:t>利害冲突而纷争不断</w:t>
      </w:r>
      <w:r>
        <w:rPr>
          <w:rFonts w:hint="default" w:ascii="Times New Roman" w:hAnsi="Times New Roman" w:eastAsia="宋体" w:cs="Times New Roman"/>
          <w:spacing w:val="-25"/>
          <w:w w:val="80"/>
        </w:rPr>
        <w:t>。</w:t>
      </w:r>
      <w:r>
        <w:rPr>
          <w:rFonts w:hint="default" w:ascii="Times New Roman" w:hAnsi="Times New Roman" w:eastAsia="宋体" w:cs="Times New Roman"/>
          <w:spacing w:val="12"/>
        </w:rPr>
        <w:t>在对中国和海外</w:t>
      </w:r>
      <w:r>
        <w:rPr>
          <w:rFonts w:hint="default" w:ascii="Times New Roman" w:hAnsi="Times New Roman" w:eastAsia="宋体" w:cs="Times New Roman"/>
          <w:spacing w:val="5"/>
        </w:rPr>
        <w:t>其他国家实际考察基础上</w:t>
      </w:r>
      <w:r>
        <w:rPr>
          <w:rFonts w:hint="default" w:ascii="Times New Roman" w:hAnsi="Times New Roman" w:eastAsia="宋体" w:cs="Times New Roman"/>
          <w:spacing w:val="1"/>
        </w:rPr>
        <w:t>,</w:t>
      </w:r>
      <w:r>
        <w:rPr>
          <w:rFonts w:hint="default" w:ascii="Times New Roman" w:hAnsi="Times New Roman" w:eastAsia="宋体" w:cs="Times New Roman"/>
          <w:spacing w:val="6"/>
        </w:rPr>
        <w:t>他强调家庭使人们永远住</w:t>
      </w:r>
      <w:r>
        <w:rPr>
          <w:rFonts w:hint="default" w:ascii="Times New Roman" w:hAnsi="Times New Roman" w:eastAsia="宋体" w:cs="Times New Roman"/>
          <w:spacing w:val="5"/>
        </w:rPr>
        <w:t>在一起,</w:t>
      </w:r>
      <w:r>
        <w:rPr>
          <w:rFonts w:hint="default" w:ascii="Times New Roman" w:hAnsi="Times New Roman" w:eastAsia="宋体" w:cs="Times New Roman"/>
          <w:spacing w:val="7"/>
        </w:rPr>
        <w:t>只会带来无穷的痛苦</w:t>
      </w:r>
      <w:r>
        <w:rPr>
          <w:rFonts w:hint="default" w:ascii="Times New Roman" w:hAnsi="Times New Roman" w:eastAsia="宋体" w:cs="Times New Roman"/>
          <w:spacing w:val="6"/>
        </w:rPr>
        <w:t>,</w:t>
      </w:r>
      <w:r>
        <w:rPr>
          <w:rFonts w:hint="default" w:ascii="Times New Roman" w:hAnsi="Times New Roman" w:eastAsia="宋体" w:cs="Times New Roman"/>
          <w:spacing w:val="9"/>
        </w:rPr>
        <w:t>其继续存在为社会公</w:t>
      </w:r>
      <w:r>
        <w:rPr>
          <w:rFonts w:hint="default" w:ascii="Times New Roman" w:hAnsi="Times New Roman" w:eastAsia="宋体" w:cs="Times New Roman"/>
          <w:spacing w:val="5"/>
        </w:rPr>
        <w:t>共利益的阻碍</w:t>
      </w:r>
      <w:r>
        <w:rPr>
          <w:rFonts w:hint="default" w:ascii="Times New Roman" w:hAnsi="Times New Roman" w:eastAsia="宋体" w:cs="Times New Roman"/>
          <w:spacing w:val="14"/>
        </w:rPr>
        <w:t>,</w:t>
      </w:r>
      <w:r>
        <w:rPr>
          <w:rFonts w:hint="default" w:ascii="Times New Roman" w:hAnsi="Times New Roman" w:eastAsia="宋体" w:cs="Times New Roman"/>
          <w:spacing w:val="5"/>
        </w:rPr>
        <w:t>也是人类进步的阻碍。因此</w:t>
      </w:r>
      <w:r>
        <w:rPr>
          <w:rFonts w:hint="default" w:ascii="Times New Roman" w:hAnsi="Times New Roman" w:eastAsia="宋体" w:cs="Times New Roman"/>
          <w:spacing w:val="15"/>
        </w:rPr>
        <w:t>,</w:t>
      </w:r>
      <w:r>
        <w:rPr>
          <w:rFonts w:hint="default" w:ascii="Times New Roman" w:hAnsi="Times New Roman" w:eastAsia="宋体" w:cs="Times New Roman"/>
          <w:spacing w:val="10"/>
        </w:rPr>
        <w:t>家庭在</w:t>
      </w:r>
      <w:r>
        <w:rPr>
          <w:rFonts w:hint="default" w:ascii="Times New Roman" w:hAnsi="Times New Roman" w:eastAsia="宋体" w:cs="Times New Roman"/>
          <w:spacing w:val="-19"/>
          <w:w w:val="80"/>
        </w:rPr>
        <w:t>“</w:t>
      </w:r>
      <w:r>
        <w:rPr>
          <w:rFonts w:hint="default" w:ascii="Times New Roman" w:hAnsi="Times New Roman" w:eastAsia="宋体" w:cs="Times New Roman"/>
          <w:spacing w:val="-2"/>
        </w:rPr>
        <w:t>太平世</w:t>
      </w:r>
      <w:r>
        <w:rPr>
          <w:rFonts w:hint="default" w:ascii="Times New Roman" w:hAnsi="Times New Roman" w:eastAsia="宋体" w:cs="Times New Roman"/>
          <w:spacing w:val="12"/>
          <w:w w:val="80"/>
        </w:rPr>
        <w:t>”</w:t>
      </w:r>
      <w:r>
        <w:rPr>
          <w:rFonts w:hint="default" w:ascii="Times New Roman" w:hAnsi="Times New Roman" w:eastAsia="宋体" w:cs="Times New Roman"/>
          <w:spacing w:val="5"/>
        </w:rPr>
        <w:t>中实无置足的余地</w:t>
      </w:r>
      <w:r>
        <w:rPr>
          <w:rFonts w:hint="default" w:ascii="Times New Roman" w:hAnsi="Times New Roman" w:eastAsia="宋体" w:cs="Times New Roman"/>
          <w:spacing w:val="-5"/>
        </w:rPr>
        <w:t>,</w:t>
      </w:r>
      <w:r>
        <w:rPr>
          <w:rFonts w:hint="default" w:ascii="Times New Roman" w:hAnsi="Times New Roman" w:eastAsia="宋体" w:cs="Times New Roman"/>
          <w:spacing w:val="6"/>
        </w:rPr>
        <w:t>传统的婚姻家庭制度不</w:t>
      </w:r>
      <w:r>
        <w:rPr>
          <w:rFonts w:hint="default" w:ascii="Times New Roman" w:hAnsi="Times New Roman" w:eastAsia="宋体" w:cs="Times New Roman"/>
          <w:spacing w:val="4"/>
        </w:rPr>
        <w:t>容于大同之世。未来社会婚姻的真正基础是男女之</w:t>
      </w:r>
      <w:r>
        <w:rPr>
          <w:rFonts w:hint="default" w:ascii="Times New Roman" w:hAnsi="Times New Roman" w:eastAsia="宋体" w:cs="Times New Roman"/>
          <w:spacing w:val="5"/>
          <w:w w:val="105"/>
        </w:rPr>
        <w:t>感情</w:t>
      </w:r>
      <w:r>
        <w:rPr>
          <w:rFonts w:hint="default" w:ascii="Times New Roman" w:hAnsi="Times New Roman" w:eastAsia="宋体" w:cs="Times New Roman"/>
          <w:spacing w:val="-16"/>
          <w:w w:val="105"/>
        </w:rPr>
        <w:t>,</w:t>
      </w:r>
      <w:r>
        <w:rPr>
          <w:rFonts w:hint="default" w:ascii="Times New Roman" w:hAnsi="Times New Roman" w:eastAsia="宋体" w:cs="Times New Roman"/>
          <w:spacing w:val="12"/>
          <w:w w:val="105"/>
        </w:rPr>
        <w:t>而非以正父子之宗传</w:t>
      </w:r>
      <w:r>
        <w:rPr>
          <w:rFonts w:hint="default" w:ascii="Times New Roman" w:hAnsi="Times New Roman" w:eastAsia="宋体" w:cs="Times New Roman"/>
          <w:spacing w:val="-28"/>
          <w:w w:val="80"/>
        </w:rPr>
        <w:t>。</w:t>
      </w:r>
      <w:r>
        <w:rPr>
          <w:rFonts w:hint="default" w:ascii="Times New Roman" w:hAnsi="Times New Roman" w:eastAsia="宋体" w:cs="Times New Roman"/>
          <w:spacing w:val="14"/>
          <w:w w:val="105"/>
        </w:rPr>
        <w:t>其婚姻形式为</w:t>
      </w:r>
      <w:r>
        <w:rPr>
          <w:rFonts w:hint="default" w:ascii="Times New Roman" w:hAnsi="Times New Roman" w:eastAsia="宋体" w:cs="Times New Roman"/>
          <w:spacing w:val="-95"/>
          <w:w w:val="160"/>
        </w:rPr>
        <w:t>:</w:t>
      </w:r>
      <w:r>
        <w:rPr>
          <w:rFonts w:hint="default" w:ascii="Times New Roman" w:hAnsi="Times New Roman" w:eastAsia="宋体" w:cs="Times New Roman"/>
          <w:spacing w:val="10"/>
          <w:w w:val="105"/>
        </w:rPr>
        <w:t>男女双</w:t>
      </w:r>
      <w:r>
        <w:rPr>
          <w:rFonts w:hint="default" w:ascii="Times New Roman" w:hAnsi="Times New Roman" w:eastAsia="宋体" w:cs="Times New Roman"/>
          <w:spacing w:val="9"/>
          <w:w w:val="105"/>
        </w:rPr>
        <w:t>方到政府婚姻登记处订婚约</w:t>
      </w:r>
      <w:r>
        <w:rPr>
          <w:rFonts w:hint="default" w:ascii="Times New Roman" w:hAnsi="Times New Roman" w:eastAsia="宋体" w:cs="Times New Roman"/>
          <w:spacing w:val="-28"/>
          <w:w w:val="80"/>
        </w:rPr>
        <w:t>。</w:t>
      </w:r>
      <w:r>
        <w:rPr>
          <w:rFonts w:hint="default" w:ascii="Times New Roman" w:hAnsi="Times New Roman" w:eastAsia="宋体" w:cs="Times New Roman"/>
          <w:spacing w:val="3"/>
          <w:w w:val="105"/>
        </w:rPr>
        <w:t>订婚约的期限为</w:t>
      </w:r>
      <w:r>
        <w:rPr>
          <w:rFonts w:hint="default" w:ascii="Times New Roman" w:hAnsi="Times New Roman" w:eastAsia="宋体" w:cs="Times New Roman"/>
          <w:w w:val="105"/>
        </w:rPr>
        <w:t>1</w:t>
      </w:r>
      <w:r>
        <w:rPr>
          <w:rFonts w:hint="default" w:ascii="Times New Roman" w:hAnsi="Times New Roman" w:eastAsia="宋体" w:cs="Times New Roman"/>
          <w:w w:val="80"/>
        </w:rPr>
        <w:t>～</w:t>
      </w:r>
      <w:r>
        <w:rPr>
          <w:rFonts w:hint="default" w:ascii="Times New Roman" w:hAnsi="Times New Roman" w:eastAsia="宋体" w:cs="Times New Roman"/>
        </w:rPr>
        <w:t>12个月,到期可续订合约。男女爱情没有各种条件限制,惟有快乐这一原则,极为自由。但对未入学以及未能在经济与其他方面独立的女子,不给予婚姻的自由。家庭这一角色由公家机构来替代,它将解决人们自生至死的需求。</w:t>
      </w:r>
    </w:p>
    <w:p w14:paraId="7064EA90">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12" w:firstLineChars="200"/>
        <w:jc w:val="both"/>
        <w:textAlignment w:val="auto"/>
        <w:rPr>
          <w:rFonts w:hint="default" w:ascii="Times New Roman" w:hAnsi="Times New Roman" w:eastAsia="宋体" w:cs="Times New Roman"/>
          <w:spacing w:val="11"/>
        </w:rPr>
      </w:pPr>
      <w:r>
        <w:rPr>
          <w:rFonts w:hint="default" w:ascii="Times New Roman" w:hAnsi="Times New Roman" w:eastAsia="宋体" w:cs="Times New Roman"/>
          <w:b/>
          <w:bCs/>
          <w:spacing w:val="-2"/>
        </w:rPr>
        <w:t>(</w:t>
      </w:r>
      <w:r>
        <w:rPr>
          <w:rFonts w:hint="default" w:ascii="Times New Roman" w:hAnsi="Times New Roman" w:eastAsia="宋体" w:cs="Times New Roman"/>
          <w:b/>
          <w:bCs/>
          <w:spacing w:val="5"/>
        </w:rPr>
        <w:t>七</w:t>
      </w:r>
      <w:r>
        <w:rPr>
          <w:rFonts w:hint="default" w:ascii="Times New Roman" w:hAnsi="Times New Roman" w:eastAsia="宋体" w:cs="Times New Roman"/>
          <w:b/>
          <w:bCs/>
          <w:spacing w:val="-9"/>
        </w:rPr>
        <w:t>)</w:t>
      </w:r>
      <w:r>
        <w:rPr>
          <w:rFonts w:hint="default" w:ascii="Times New Roman" w:hAnsi="Times New Roman" w:eastAsia="宋体" w:cs="Times New Roman"/>
          <w:b/>
          <w:bCs/>
          <w:spacing w:val="11"/>
        </w:rPr>
        <w:t>关于男女平等。</w:t>
      </w:r>
      <w:r>
        <w:rPr>
          <w:rFonts w:hint="default" w:ascii="Times New Roman" w:hAnsi="Times New Roman" w:eastAsia="宋体" w:cs="Times New Roman"/>
          <w:spacing w:val="11"/>
        </w:rPr>
        <w:t>康有为在《大同书》中分析说,生民之初,并无家庭,男女杂交,儿童只知其母,不知其父。后来由于一些男子对其伴侣特别喜爱,乃用强力占有,遂有婚姻。其后,由于社会制度和价值观的发展,压制女子的状况变本加厉而成为积习,妇女失去独立人格,成为男子的奴仆,失去自由择偶的权利。他猛烈抨击传统儒家道德规范:“父母之命”、终生守寡,女子守贞。因为缺少“婚姻自由”,给女子造成难尽的痛苦,宋代理学应对这些负有难咎之责。他认为,男女有性别之异,但并不准压制较弱的一性。两性之异并不一定强者属于男性。若女子有同等机会,同样能取得男人做出的贡献。因此,不给予女子平等,犯了双重不公平:既犯了人类平等的原则,又忽略了女子在文明史上所起的重要作用。在未来社会,由于传统家庭的消失,女子与男子一样有择偶的自由,男女之情,以欢好为原则,女子与男子实现真正的平等。</w:t>
      </w:r>
    </w:p>
    <w:p w14:paraId="587528FE">
      <w:pPr>
        <w:pStyle w:val="4"/>
        <w:keepNext w:val="0"/>
        <w:keepLines w:val="0"/>
        <w:pageBreakBefore w:val="0"/>
        <w:widowControl w:val="0"/>
        <w:tabs>
          <w:tab w:val="left" w:pos="403"/>
        </w:tabs>
        <w:kinsoku/>
        <w:wordWrap/>
        <w:overflowPunct/>
        <w:topLinePunct w:val="0"/>
        <w:autoSpaceDE/>
        <w:autoSpaceDN/>
        <w:bidi w:val="0"/>
        <w:adjustRightInd/>
        <w:snapToGrid/>
        <w:spacing w:before="0" w:beforeLines="50" w:after="0" w:afterLines="50" w:line="400" w:lineRule="exact"/>
        <w:ind w:left="0" w:right="0" w:firstLine="480" w:firstLineChars="200"/>
        <w:jc w:val="center"/>
        <w:textAlignment w:val="auto"/>
        <w:rPr>
          <w:rFonts w:hint="default" w:ascii="Times New Roman" w:hAnsi="Times New Roman" w:eastAsia="黑体" w:cs="Times New Roman"/>
          <w:color w:val="000000"/>
          <w:kern w:val="2"/>
          <w:sz w:val="24"/>
          <w:szCs w:val="24"/>
          <w:lang w:val="zh-TW" w:eastAsia="zh-TW" w:bidi="zh-TW"/>
        </w:rPr>
      </w:pPr>
      <w:r>
        <w:rPr>
          <w:rFonts w:hint="default" w:ascii="Times New Roman" w:hAnsi="Times New Roman" w:eastAsia="黑体" w:cs="Times New Roman"/>
          <w:color w:val="000000"/>
          <w:kern w:val="2"/>
          <w:sz w:val="24"/>
          <w:szCs w:val="24"/>
          <w:lang w:val="zh-TW" w:eastAsia="zh-TW" w:bidi="zh-TW"/>
        </w:rPr>
        <w:t>三</w:t>
      </w:r>
      <w:r>
        <w:rPr>
          <w:rFonts w:hint="default" w:ascii="Times New Roman" w:hAnsi="Times New Roman" w:eastAsia="黑体" w:cs="Times New Roman"/>
          <w:color w:val="000000"/>
          <w:kern w:val="2"/>
          <w:sz w:val="24"/>
          <w:szCs w:val="24"/>
          <w:lang w:val="zh-TW" w:eastAsia="zh-CN" w:bidi="zh-TW"/>
        </w:rPr>
        <w:t>、</w:t>
      </w:r>
      <w:r>
        <w:rPr>
          <w:rFonts w:hint="default" w:ascii="Times New Roman" w:hAnsi="Times New Roman" w:eastAsia="黑体" w:cs="Times New Roman"/>
          <w:color w:val="000000"/>
          <w:kern w:val="2"/>
          <w:sz w:val="24"/>
          <w:szCs w:val="24"/>
          <w:lang w:val="zh-TW" w:eastAsia="zh-TW" w:bidi="zh-TW"/>
        </w:rPr>
        <w:t>康有为空想社会主义的历史地位</w:t>
      </w:r>
    </w:p>
    <w:p w14:paraId="25679E1D">
      <w:pPr>
        <w:pStyle w:val="4"/>
        <w:keepNext w:val="0"/>
        <w:keepLines w:val="0"/>
        <w:pageBreakBefore w:val="0"/>
        <w:widowControl w:val="0"/>
        <w:numPr>
          <w:ilvl w:val="0"/>
          <w:numId w:val="1"/>
        </w:numPr>
        <w:kinsoku/>
        <w:wordWrap/>
        <w:overflowPunct/>
        <w:topLinePunct w:val="0"/>
        <w:autoSpaceDE/>
        <w:autoSpaceDN/>
        <w:bidi w:val="0"/>
        <w:adjustRightInd/>
        <w:snapToGrid/>
        <w:spacing w:line="400" w:lineRule="exact"/>
        <w:ind w:left="0" w:right="0" w:firstLine="464" w:firstLineChars="200"/>
        <w:jc w:val="both"/>
        <w:textAlignment w:val="auto"/>
        <w:rPr>
          <w:rFonts w:hint="default" w:ascii="Times New Roman" w:hAnsi="Times New Roman" w:eastAsia="宋体" w:cs="Times New Roman"/>
          <w:spacing w:val="11"/>
        </w:rPr>
      </w:pPr>
      <w:r>
        <w:rPr>
          <w:rFonts w:hint="default" w:ascii="Times New Roman" w:hAnsi="Times New Roman" w:eastAsia="宋体" w:cs="Times New Roman"/>
          <w:spacing w:val="11"/>
        </w:rPr>
        <w:t>康有为是中国严格意义上的空想社会主义者。针对当时中国社会和外国资本主义社会的不公平性,猛烈抨击现存社会的人类没有平等、幸福、欢乐。康有为在《大同书》中对未来社会作了极为丰富的描述,定下了根本性的改革计划,其社会构想极具想象力和挑战性,展示在人们面前的是在完美制度和理想之中的大同社会。其深远的思想和学术影响,非同时代的思想家可相比拟。他可称为中国近代史上第一个严格意义上的空想社会主义者,足以名列世界伟大空想社会主义思想家之列,丰富了世界空想社会主义的理论宝库。他在中国创了社会主义思潮之先声。</w:t>
      </w:r>
    </w:p>
    <w:p w14:paraId="071A6170">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64" w:firstLineChars="200"/>
        <w:jc w:val="both"/>
        <w:textAlignment w:val="auto"/>
        <w:rPr>
          <w:rFonts w:hint="default" w:ascii="Times New Roman" w:hAnsi="Times New Roman" w:eastAsia="宋体" w:cs="Times New Roman"/>
          <w:spacing w:val="11"/>
        </w:rPr>
      </w:pPr>
      <w:r>
        <w:rPr>
          <w:rFonts w:hint="default" w:ascii="Times New Roman" w:hAnsi="Times New Roman" w:eastAsia="宋体" w:cs="Times New Roman"/>
          <w:spacing w:val="11"/>
        </w:rPr>
        <w:t>《大同书》除了详细描述未来社会制度的正式结构和运行原则外,还提出逐步改革的过渡方案。康有为的空想社会主义扎根于三大原则:工业化、社会化、政治结构民主化。《大同书》对现存私有制、国家和家庭制度的猛烈批判,并对这些重大问题作了极为诱人的前景描述。历史地看,康有为的某些社会主义理论与政策主张同历史演化大趋向相吻合,并成为或将最终成为社会现实。但是,康有为寄希望于开明皇帝和资产阶级来逐步实行其改革近期和终极目标,显然是空想的。</w:t>
      </w:r>
    </w:p>
    <w:p w14:paraId="409EF099">
      <w:pPr>
        <w:pStyle w:val="4"/>
        <w:keepNext w:val="0"/>
        <w:keepLines w:val="0"/>
        <w:pageBreakBefore w:val="0"/>
        <w:widowControl w:val="0"/>
        <w:numPr>
          <w:ilvl w:val="0"/>
          <w:numId w:val="1"/>
        </w:numPr>
        <w:kinsoku/>
        <w:wordWrap/>
        <w:overflowPunct/>
        <w:topLinePunct w:val="0"/>
        <w:autoSpaceDE/>
        <w:autoSpaceDN/>
        <w:bidi w:val="0"/>
        <w:adjustRightInd/>
        <w:snapToGrid/>
        <w:spacing w:line="400" w:lineRule="exact"/>
        <w:ind w:left="0" w:right="0" w:firstLine="464" w:firstLineChars="200"/>
        <w:jc w:val="both"/>
        <w:textAlignment w:val="auto"/>
        <w:rPr>
          <w:rFonts w:hint="default" w:ascii="Times New Roman" w:hAnsi="Times New Roman" w:eastAsia="宋体" w:cs="Times New Roman"/>
        </w:rPr>
      </w:pPr>
      <w:r>
        <w:rPr>
          <w:rFonts w:hint="default" w:ascii="Times New Roman" w:hAnsi="Times New Roman" w:eastAsia="宋体" w:cs="Times New Roman"/>
          <w:spacing w:val="11"/>
        </w:rPr>
        <w:t>康有为的空想社会主义具有强烈的反封建意义。梁启超比喻康有为《大同书》的影响为“其火山大喷火也,其大地震了。”康有为也自认为此书有巨大和深远的社会影响,因而坚持暂时不出版此书,以免其内容未到时机就披露,将“陷天下于洪水猛兽”。康氏认为这一思想有冲击性,因其与几千年维持中国社会的传统价值相悖,影响巨大。康氏主张消灭父权、婚姻自由、男女平等和排除贞操,对专制制度下的男子为中心的婚姻家庭制度的严厉抨击,动摇了传统中国社会结构的基石,触动了儒教道德系统的中坚</w:t>
      </w:r>
      <w:r>
        <w:rPr>
          <w:rFonts w:hint="default" w:ascii="Times New Roman" w:hAnsi="Times New Roman" w:eastAsia="宋体" w:cs="Times New Roman"/>
          <w:spacing w:val="5"/>
        </w:rPr>
        <w:t>,</w:t>
      </w:r>
      <w:r>
        <w:rPr>
          <w:rFonts w:hint="default" w:ascii="Times New Roman" w:hAnsi="Times New Roman" w:eastAsia="宋体" w:cs="Times New Roman"/>
          <w:spacing w:val="2"/>
        </w:rPr>
        <w:t>从而成为</w:t>
      </w:r>
      <w:r>
        <w:rPr>
          <w:rFonts w:hint="default" w:ascii="Times New Roman" w:hAnsi="Times New Roman" w:eastAsia="宋体" w:cs="Times New Roman"/>
          <w:spacing w:val="-4"/>
        </w:rPr>
        <w:t>19</w:t>
      </w:r>
      <w:r>
        <w:rPr>
          <w:rFonts w:hint="default" w:ascii="Times New Roman" w:hAnsi="Times New Roman" w:eastAsia="宋体" w:cs="Times New Roman"/>
          <w:spacing w:val="4"/>
        </w:rPr>
        <w:t>世纪中国第一个不妥协的反对传统价值观念</w:t>
      </w:r>
      <w:r>
        <w:rPr>
          <w:rFonts w:hint="default" w:ascii="Times New Roman" w:hAnsi="Times New Roman" w:eastAsia="宋体" w:cs="Times New Roman"/>
        </w:rPr>
        <w:t>者。</w:t>
      </w:r>
    </w:p>
    <w:p w14:paraId="007E2A26">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8" w:firstLineChars="200"/>
        <w:jc w:val="both"/>
        <w:textAlignment w:val="auto"/>
        <w:rPr>
          <w:rFonts w:hint="default" w:ascii="Times New Roman" w:hAnsi="Times New Roman" w:eastAsia="宋体" w:cs="Times New Roman"/>
        </w:rPr>
      </w:pPr>
      <w:r>
        <w:rPr>
          <w:rFonts w:hint="default" w:ascii="Times New Roman" w:hAnsi="Times New Roman" w:eastAsia="宋体" w:cs="Times New Roman"/>
          <w:spacing w:val="7"/>
        </w:rPr>
        <w:t>康有为与洪秀全</w:t>
      </w:r>
      <w:r>
        <w:rPr>
          <w:rFonts w:hint="default" w:ascii="Times New Roman" w:hAnsi="Times New Roman" w:eastAsia="宋体" w:cs="Times New Roman"/>
          <w:spacing w:val="-26"/>
          <w:w w:val="80"/>
        </w:rPr>
        <w:t>、</w:t>
      </w:r>
      <w:r>
        <w:rPr>
          <w:rFonts w:hint="default" w:ascii="Times New Roman" w:hAnsi="Times New Roman" w:eastAsia="宋体" w:cs="Times New Roman"/>
          <w:spacing w:val="10"/>
        </w:rPr>
        <w:t>孙中山的思想相比较</w:t>
      </w:r>
      <w:r>
        <w:rPr>
          <w:rFonts w:hint="default" w:ascii="Times New Roman" w:hAnsi="Times New Roman" w:eastAsia="宋体" w:cs="Times New Roman"/>
          <w:spacing w:val="-16"/>
          <w:w w:val="80"/>
        </w:rPr>
        <w:t>。</w:t>
      </w:r>
      <w:r>
        <w:rPr>
          <w:rFonts w:hint="default" w:ascii="Times New Roman" w:hAnsi="Times New Roman" w:eastAsia="宋体" w:cs="Times New Roman"/>
          <w:spacing w:val="5"/>
        </w:rPr>
        <w:t>洪</w:t>
      </w:r>
      <w:r>
        <w:rPr>
          <w:rFonts w:hint="default" w:ascii="Times New Roman" w:hAnsi="Times New Roman" w:eastAsia="宋体" w:cs="Times New Roman"/>
          <w:spacing w:val="-5"/>
        </w:rPr>
        <w:t>秀全颁发的</w:t>
      </w:r>
      <w:r>
        <w:rPr>
          <w:rFonts w:hint="default" w:ascii="Times New Roman" w:hAnsi="Times New Roman" w:eastAsia="宋体" w:cs="Times New Roman"/>
          <w:spacing w:val="21"/>
          <w:w w:val="80"/>
        </w:rPr>
        <w:t>《</w:t>
      </w:r>
      <w:r>
        <w:rPr>
          <w:rFonts w:hint="default" w:ascii="Times New Roman" w:hAnsi="Times New Roman" w:eastAsia="宋体" w:cs="Times New Roman"/>
          <w:spacing w:val="1"/>
        </w:rPr>
        <w:t>天朝田亩制度</w:t>
      </w:r>
      <w:r>
        <w:rPr>
          <w:rFonts w:hint="default" w:ascii="Times New Roman" w:hAnsi="Times New Roman" w:eastAsia="宋体" w:cs="Times New Roman"/>
          <w:spacing w:val="27"/>
          <w:w w:val="80"/>
        </w:rPr>
        <w:t>》</w:t>
      </w:r>
      <w:r>
        <w:rPr>
          <w:rFonts w:hint="default" w:ascii="Times New Roman" w:hAnsi="Times New Roman" w:eastAsia="宋体" w:cs="Times New Roman"/>
          <w:spacing w:val="5"/>
        </w:rPr>
        <w:t>仅体现农民的平等观</w:t>
      </w:r>
      <w:r>
        <w:rPr>
          <w:rFonts w:hint="default" w:ascii="Times New Roman" w:hAnsi="Times New Roman" w:eastAsia="宋体" w:cs="Times New Roman"/>
          <w:spacing w:val="9"/>
        </w:rPr>
        <w:t>,</w:t>
      </w:r>
      <w:r>
        <w:rPr>
          <w:rFonts w:hint="default" w:ascii="Times New Roman" w:hAnsi="Times New Roman" w:eastAsia="宋体" w:cs="Times New Roman"/>
          <w:spacing w:val="5"/>
        </w:rPr>
        <w:t>最</w:t>
      </w:r>
      <w:r>
        <w:rPr>
          <w:rFonts w:hint="default" w:ascii="Times New Roman" w:hAnsi="Times New Roman" w:eastAsia="宋体" w:cs="Times New Roman"/>
          <w:spacing w:val="4"/>
        </w:rPr>
        <w:t>多属于农民社会主义或农业社会主义思想范畴</w:t>
      </w:r>
      <w:r>
        <w:rPr>
          <w:rFonts w:hint="default" w:ascii="Times New Roman" w:hAnsi="Times New Roman" w:eastAsia="宋体" w:cs="Times New Roman"/>
          <w:spacing w:val="13"/>
        </w:rPr>
        <w:t>,</w:t>
      </w:r>
      <w:r>
        <w:rPr>
          <w:rFonts w:hint="default" w:ascii="Times New Roman" w:hAnsi="Times New Roman" w:eastAsia="宋体" w:cs="Times New Roman"/>
          <w:spacing w:val="15"/>
        </w:rPr>
        <w:t>而其</w:t>
      </w:r>
      <w:r>
        <w:rPr>
          <w:rFonts w:hint="default" w:ascii="Times New Roman" w:hAnsi="Times New Roman" w:eastAsia="宋体" w:cs="Times New Roman"/>
          <w:spacing w:val="-11"/>
        </w:rPr>
        <w:t>主张的</w:t>
      </w:r>
      <w:r>
        <w:rPr>
          <w:rFonts w:hint="default" w:ascii="Times New Roman" w:hAnsi="Times New Roman" w:eastAsia="宋体" w:cs="Times New Roman"/>
          <w:spacing w:val="21"/>
          <w:w w:val="80"/>
        </w:rPr>
        <w:t>《</w:t>
      </w:r>
      <w:r>
        <w:rPr>
          <w:rFonts w:hint="default" w:ascii="Times New Roman" w:hAnsi="Times New Roman" w:eastAsia="宋体" w:cs="Times New Roman"/>
        </w:rPr>
        <w:t>资政新篇</w:t>
      </w:r>
      <w:r>
        <w:rPr>
          <w:rFonts w:hint="default" w:ascii="Times New Roman" w:hAnsi="Times New Roman" w:eastAsia="宋体" w:cs="Times New Roman"/>
          <w:spacing w:val="27"/>
          <w:w w:val="80"/>
        </w:rPr>
        <w:t>》</w:t>
      </w:r>
      <w:r>
        <w:rPr>
          <w:rFonts w:hint="default" w:ascii="Times New Roman" w:hAnsi="Times New Roman" w:eastAsia="宋体" w:cs="Times New Roman"/>
          <w:spacing w:val="5"/>
        </w:rPr>
        <w:t>则是发展资本主义工商业的纲领</w:t>
      </w:r>
      <w:r>
        <w:rPr>
          <w:rFonts w:hint="default" w:ascii="Times New Roman" w:hAnsi="Times New Roman" w:eastAsia="宋体" w:cs="Times New Roman"/>
        </w:rPr>
        <w:t>,</w:t>
      </w:r>
      <w:r>
        <w:rPr>
          <w:rFonts w:hint="default" w:ascii="Times New Roman" w:hAnsi="Times New Roman" w:eastAsia="宋体" w:cs="Times New Roman"/>
          <w:spacing w:val="3"/>
        </w:rPr>
        <w:t>因而总体上</w:t>
      </w:r>
      <w:r>
        <w:rPr>
          <w:rFonts w:hint="default" w:ascii="Times New Roman" w:hAnsi="Times New Roman" w:eastAsia="宋体" w:cs="Times New Roman"/>
          <w:spacing w:val="4"/>
        </w:rPr>
        <w:t>,</w:t>
      </w:r>
      <w:r>
        <w:rPr>
          <w:rFonts w:hint="default" w:ascii="Times New Roman" w:hAnsi="Times New Roman" w:eastAsia="宋体" w:cs="Times New Roman"/>
          <w:spacing w:val="9"/>
        </w:rPr>
        <w:t>洪秀全的思想体系不属于空想社会主义</w:t>
      </w:r>
      <w:r>
        <w:rPr>
          <w:rFonts w:hint="default" w:ascii="Times New Roman" w:hAnsi="Times New Roman" w:eastAsia="宋体" w:cs="Times New Roman"/>
          <w:w w:val="80"/>
        </w:rPr>
        <w:t>。</w:t>
      </w:r>
      <w:r>
        <w:rPr>
          <w:rFonts w:hint="default" w:ascii="Times New Roman" w:hAnsi="Times New Roman" w:eastAsia="宋体" w:cs="Times New Roman"/>
          <w:spacing w:val="-6"/>
        </w:rPr>
        <w:t>孙中山的</w:t>
      </w:r>
      <w:r>
        <w:rPr>
          <w:rFonts w:hint="default" w:ascii="Times New Roman" w:hAnsi="Times New Roman" w:eastAsia="宋体" w:cs="Times New Roman"/>
          <w:spacing w:val="-24"/>
          <w:w w:val="80"/>
        </w:rPr>
        <w:t>“</w:t>
      </w:r>
      <w:r>
        <w:rPr>
          <w:rFonts w:hint="default" w:ascii="Times New Roman" w:hAnsi="Times New Roman" w:eastAsia="宋体" w:cs="Times New Roman"/>
          <w:spacing w:val="9"/>
        </w:rPr>
        <w:t>三民主义</w:t>
      </w:r>
      <w:r>
        <w:rPr>
          <w:rFonts w:hint="default" w:ascii="Times New Roman" w:hAnsi="Times New Roman" w:eastAsia="宋体" w:cs="Times New Roman"/>
          <w:spacing w:val="-25"/>
          <w:w w:val="80"/>
        </w:rPr>
        <w:t>”</w:t>
      </w:r>
      <w:r>
        <w:rPr>
          <w:rFonts w:hint="default" w:ascii="Times New Roman" w:hAnsi="Times New Roman" w:eastAsia="宋体" w:cs="Times New Roman"/>
          <w:spacing w:val="-5"/>
        </w:rPr>
        <w:t>,</w:t>
      </w:r>
      <w:r>
        <w:rPr>
          <w:rFonts w:hint="default" w:ascii="Times New Roman" w:hAnsi="Times New Roman" w:eastAsia="宋体" w:cs="Times New Roman"/>
          <w:spacing w:val="14"/>
        </w:rPr>
        <w:t>尤其是其</w:t>
      </w:r>
      <w:r>
        <w:rPr>
          <w:rFonts w:hint="default" w:ascii="Times New Roman" w:hAnsi="Times New Roman" w:eastAsia="宋体" w:cs="Times New Roman"/>
          <w:spacing w:val="-24"/>
          <w:w w:val="80"/>
        </w:rPr>
        <w:t>“</w:t>
      </w:r>
      <w:r>
        <w:rPr>
          <w:rFonts w:hint="default" w:ascii="Times New Roman" w:hAnsi="Times New Roman" w:eastAsia="宋体" w:cs="Times New Roman"/>
          <w:spacing w:val="9"/>
        </w:rPr>
        <w:t>民生主义</w:t>
      </w:r>
      <w:r>
        <w:rPr>
          <w:rFonts w:hint="default" w:ascii="Times New Roman" w:hAnsi="Times New Roman" w:eastAsia="宋体" w:cs="Times New Roman"/>
          <w:spacing w:val="-19"/>
          <w:w w:val="80"/>
        </w:rPr>
        <w:t>”</w:t>
      </w:r>
      <w:r>
        <w:rPr>
          <w:rFonts w:hint="default" w:ascii="Times New Roman" w:hAnsi="Times New Roman" w:eastAsia="宋体" w:cs="Times New Roman"/>
          <w:spacing w:val="15"/>
        </w:rPr>
        <w:t>经济</w:t>
      </w:r>
      <w:r>
        <w:rPr>
          <w:rFonts w:hint="default" w:ascii="Times New Roman" w:hAnsi="Times New Roman" w:eastAsia="宋体" w:cs="Times New Roman"/>
        </w:rPr>
        <w:t>思想,主张发展</w:t>
      </w:r>
      <w:r>
        <w:rPr>
          <w:rFonts w:hint="default" w:ascii="Times New Roman" w:hAnsi="Times New Roman" w:eastAsia="宋体" w:cs="Times New Roman"/>
          <w:w w:val="80"/>
        </w:rPr>
        <w:t>“</w:t>
      </w:r>
      <w:r>
        <w:rPr>
          <w:rFonts w:hint="default" w:ascii="Times New Roman" w:hAnsi="Times New Roman" w:eastAsia="宋体" w:cs="Times New Roman"/>
        </w:rPr>
        <w:t>耕者有其田</w:t>
      </w:r>
      <w:r>
        <w:rPr>
          <w:rFonts w:hint="default" w:ascii="Times New Roman" w:hAnsi="Times New Roman" w:eastAsia="宋体" w:cs="Times New Roman"/>
          <w:w w:val="80"/>
        </w:rPr>
        <w:t>”</w:t>
      </w:r>
      <w:r>
        <w:rPr>
          <w:rFonts w:hint="default" w:ascii="Times New Roman" w:hAnsi="Times New Roman" w:eastAsia="宋体" w:cs="Times New Roman"/>
        </w:rPr>
        <w:t>的小农经济和资本主义农业,主张</w:t>
      </w:r>
      <w:r>
        <w:rPr>
          <w:rFonts w:hint="default" w:ascii="Times New Roman" w:hAnsi="Times New Roman" w:eastAsia="宋体" w:cs="Times New Roman"/>
          <w:w w:val="80"/>
        </w:rPr>
        <w:t>“</w:t>
      </w:r>
      <w:r>
        <w:rPr>
          <w:rFonts w:hint="default" w:ascii="Times New Roman" w:hAnsi="Times New Roman" w:eastAsia="宋体" w:cs="Times New Roman"/>
        </w:rPr>
        <w:t>节制资本</w:t>
      </w:r>
      <w:r>
        <w:rPr>
          <w:rFonts w:hint="default" w:ascii="Times New Roman" w:hAnsi="Times New Roman" w:eastAsia="宋体" w:cs="Times New Roman"/>
          <w:w w:val="80"/>
        </w:rPr>
        <w:t>”</w:t>
      </w:r>
      <w:r>
        <w:rPr>
          <w:rFonts w:hint="default" w:ascii="Times New Roman" w:hAnsi="Times New Roman" w:eastAsia="宋体" w:cs="Times New Roman"/>
        </w:rPr>
        <w:t>,即在国民经济重要部门推行国有化之外要发展私人经济,因而总体上,尽管孙中山尚未否定</w:t>
      </w:r>
      <w:r>
        <w:rPr>
          <w:rFonts w:hint="default" w:ascii="Times New Roman" w:hAnsi="Times New Roman" w:eastAsia="宋体" w:cs="Times New Roman"/>
          <w:w w:val="80"/>
        </w:rPr>
        <w:t>“</w:t>
      </w:r>
      <w:r>
        <w:rPr>
          <w:rFonts w:hint="default" w:ascii="Times New Roman" w:hAnsi="Times New Roman" w:eastAsia="宋体" w:cs="Times New Roman"/>
        </w:rPr>
        <w:t>共产社会主义</w:t>
      </w:r>
      <w:r>
        <w:rPr>
          <w:rFonts w:hint="default" w:ascii="Times New Roman" w:hAnsi="Times New Roman" w:eastAsia="宋体" w:cs="Times New Roman"/>
          <w:w w:val="80"/>
        </w:rPr>
        <w:t>”</w:t>
      </w:r>
      <w:r>
        <w:rPr>
          <w:rFonts w:hint="default" w:ascii="Times New Roman" w:hAnsi="Times New Roman" w:eastAsia="宋体" w:cs="Times New Roman"/>
        </w:rPr>
        <w:t>,但他的思想体系也不属于空想社会主义,其实质是资产阶级左翼或小资产阶级的思想(与当今世界的</w:t>
      </w:r>
      <w:r>
        <w:rPr>
          <w:rFonts w:hint="default" w:ascii="Times New Roman" w:hAnsi="Times New Roman" w:eastAsia="宋体" w:cs="Times New Roman"/>
          <w:w w:val="80"/>
        </w:rPr>
        <w:t>“</w:t>
      </w:r>
      <w:r>
        <w:rPr>
          <w:rFonts w:hint="default" w:ascii="Times New Roman" w:hAnsi="Times New Roman" w:eastAsia="宋体" w:cs="Times New Roman"/>
        </w:rPr>
        <w:t>民主社会主义</w:t>
      </w:r>
      <w:r>
        <w:rPr>
          <w:rFonts w:hint="default" w:ascii="Times New Roman" w:hAnsi="Times New Roman" w:eastAsia="宋体" w:cs="Times New Roman"/>
          <w:w w:val="80"/>
        </w:rPr>
        <w:t>”</w:t>
      </w:r>
      <w:r>
        <w:rPr>
          <w:rFonts w:hint="default" w:ascii="Times New Roman" w:hAnsi="Times New Roman" w:eastAsia="宋体" w:cs="Times New Roman"/>
        </w:rPr>
        <w:t>思潮和社会党的理论较接近)</w:t>
      </w:r>
      <w:r>
        <w:rPr>
          <w:rFonts w:hint="default" w:ascii="Times New Roman" w:hAnsi="Times New Roman" w:eastAsia="宋体" w:cs="Times New Roman"/>
          <w:w w:val="80"/>
        </w:rPr>
        <w:t>。</w:t>
      </w:r>
      <w:r>
        <w:rPr>
          <w:rFonts w:hint="default" w:ascii="Times New Roman" w:hAnsi="Times New Roman" w:eastAsia="宋体" w:cs="Times New Roman"/>
        </w:rPr>
        <w:t>可见,洪秀全和孙中山是带有某些社会主义主张的思想家,而康有为关于人类社会终极目标的思想境界大大高于他们。</w:t>
      </w:r>
    </w:p>
    <w:p w14:paraId="14D0B539">
      <w:pPr>
        <w:pStyle w:val="4"/>
        <w:spacing w:before="3" w:line="400" w:lineRule="exact"/>
        <w:ind w:left="0" w:firstLine="420" w:firstLineChars="200"/>
        <w:rPr>
          <w:rFonts w:hint="default" w:ascii="Times New Roman" w:hAnsi="Times New Roman" w:eastAsia="宋体" w:cs="Times New Roman"/>
        </w:rPr>
      </w:pPr>
    </w:p>
    <w:p w14:paraId="558FD7FE">
      <w:pPr>
        <w:pStyle w:val="4"/>
        <w:spacing w:line="400" w:lineRule="exact"/>
        <w:ind w:left="115" w:firstLine="482" w:firstLineChars="200"/>
        <w:rPr>
          <w:rFonts w:hint="default" w:ascii="Times New Roman" w:hAnsi="Times New Roman" w:eastAsia="宋体" w:cs="Times New Roman"/>
        </w:rPr>
      </w:pPr>
      <w:r>
        <w:rPr>
          <w:rFonts w:hint="default" w:ascii="Times New Roman" w:hAnsi="Times New Roman" w:eastAsia="宋体" w:cs="Times New Roman"/>
          <w:w w:val="115"/>
        </w:rPr>
        <w:t>参考文献</w:t>
      </w:r>
      <w:r>
        <w:rPr>
          <w:rFonts w:hint="default" w:ascii="Times New Roman" w:hAnsi="Times New Roman" w:eastAsia="宋体" w:cs="Times New Roman"/>
          <w:w w:val="185"/>
        </w:rPr>
        <w:t>:</w:t>
      </w:r>
    </w:p>
    <w:p w14:paraId="22AE0E24">
      <w:pPr>
        <w:spacing w:line="400" w:lineRule="exact"/>
        <w:ind w:left="95" w:firstLine="358" w:firstLineChars="200"/>
        <w:jc w:val="left"/>
        <w:rPr>
          <w:rFonts w:hint="default" w:ascii="Times New Roman" w:hAnsi="Times New Roman" w:eastAsia="宋体" w:cs="Times New Roman"/>
          <w:szCs w:val="21"/>
        </w:rPr>
      </w:pPr>
      <w:r>
        <w:rPr>
          <w:rFonts w:hint="default" w:ascii="Times New Roman" w:hAnsi="Times New Roman" w:eastAsia="宋体" w:cs="Times New Roman"/>
          <w:spacing w:val="-10"/>
          <w:w w:val="95"/>
          <w:szCs w:val="21"/>
        </w:rPr>
        <w:t>[</w:t>
      </w:r>
      <w:r>
        <w:rPr>
          <w:rFonts w:hint="default" w:ascii="Times New Roman" w:hAnsi="Times New Roman" w:eastAsia="宋体" w:cs="Times New Roman"/>
          <w:spacing w:val="-9"/>
          <w:szCs w:val="21"/>
        </w:rPr>
        <w:t>1</w:t>
      </w:r>
      <w:r>
        <w:rPr>
          <w:rFonts w:hint="default" w:ascii="Times New Roman" w:hAnsi="Times New Roman" w:eastAsia="宋体" w:cs="Times New Roman"/>
          <w:spacing w:val="-5"/>
          <w:szCs w:val="21"/>
        </w:rPr>
        <w:t>]民国人物传</w:t>
      </w:r>
      <w:r>
        <w:rPr>
          <w:rFonts w:hint="default" w:ascii="Times New Roman" w:hAnsi="Times New Roman" w:eastAsia="宋体" w:cs="Times New Roman"/>
          <w:spacing w:val="-9"/>
          <w:w w:val="95"/>
          <w:szCs w:val="21"/>
        </w:rPr>
        <w:t>[</w:t>
      </w:r>
      <w:r>
        <w:rPr>
          <w:rFonts w:hint="default" w:ascii="Times New Roman" w:hAnsi="Times New Roman" w:eastAsia="宋体" w:cs="Times New Roman"/>
          <w:szCs w:val="21"/>
        </w:rPr>
        <w:t>M</w:t>
      </w:r>
      <w:r>
        <w:rPr>
          <w:rFonts w:hint="default" w:ascii="Times New Roman" w:hAnsi="Times New Roman" w:eastAsia="宋体" w:cs="Times New Roman"/>
          <w:spacing w:val="-1"/>
          <w:szCs w:val="21"/>
        </w:rPr>
        <w:t>]</w:t>
      </w:r>
      <w:r>
        <w:rPr>
          <w:rFonts w:hint="default" w:ascii="Times New Roman" w:hAnsi="Times New Roman" w:eastAsia="宋体" w:cs="Times New Roman"/>
          <w:spacing w:val="-95"/>
          <w:w w:val="180"/>
          <w:szCs w:val="21"/>
        </w:rPr>
        <w:t>.</w:t>
      </w:r>
      <w:r>
        <w:rPr>
          <w:rFonts w:hint="default" w:ascii="Times New Roman" w:hAnsi="Times New Roman" w:eastAsia="宋体" w:cs="Times New Roman"/>
          <w:spacing w:val="5"/>
          <w:szCs w:val="21"/>
        </w:rPr>
        <w:t>中华书局</w:t>
      </w:r>
      <w:r>
        <w:rPr>
          <w:rFonts w:hint="default" w:ascii="Times New Roman" w:hAnsi="Times New Roman" w:eastAsia="宋体" w:cs="Times New Roman"/>
          <w:spacing w:val="1"/>
          <w:szCs w:val="21"/>
        </w:rPr>
        <w:t>,</w:t>
      </w:r>
      <w:r>
        <w:rPr>
          <w:rFonts w:hint="default" w:ascii="Times New Roman" w:hAnsi="Times New Roman" w:eastAsia="宋体" w:cs="Times New Roman"/>
          <w:szCs w:val="21"/>
        </w:rPr>
        <w:t>1978</w:t>
      </w:r>
      <w:r>
        <w:rPr>
          <w:rFonts w:hint="default" w:ascii="Times New Roman" w:hAnsi="Times New Roman" w:eastAsia="宋体" w:cs="Times New Roman"/>
          <w:spacing w:val="25"/>
          <w:szCs w:val="21"/>
        </w:rPr>
        <w:t>年。</w:t>
      </w:r>
    </w:p>
    <w:p w14:paraId="7BA2774F">
      <w:pPr>
        <w:spacing w:line="400" w:lineRule="exact"/>
        <w:ind w:left="95" w:firstLine="362" w:firstLineChars="200"/>
        <w:jc w:val="left"/>
        <w:rPr>
          <w:rFonts w:hint="default" w:ascii="Times New Roman" w:hAnsi="Times New Roman" w:eastAsia="宋体" w:cs="Times New Roman"/>
          <w:szCs w:val="21"/>
        </w:rPr>
      </w:pPr>
      <w:r>
        <w:rPr>
          <w:rFonts w:hint="default" w:ascii="Times New Roman" w:hAnsi="Times New Roman" w:eastAsia="宋体" w:cs="Times New Roman"/>
          <w:spacing w:val="-9"/>
          <w:w w:val="95"/>
          <w:szCs w:val="21"/>
        </w:rPr>
        <w:t>[</w:t>
      </w:r>
      <w:r>
        <w:rPr>
          <w:rFonts w:hint="default" w:ascii="Times New Roman" w:hAnsi="Times New Roman" w:eastAsia="宋体" w:cs="Times New Roman"/>
          <w:spacing w:val="-9"/>
          <w:szCs w:val="21"/>
        </w:rPr>
        <w:t>2</w:t>
      </w:r>
      <w:r>
        <w:rPr>
          <w:rFonts w:hint="default" w:ascii="Times New Roman" w:hAnsi="Times New Roman" w:eastAsia="宋体" w:cs="Times New Roman"/>
          <w:szCs w:val="21"/>
        </w:rPr>
        <w:t>]白寿彝，</w:t>
      </w:r>
      <w:r>
        <w:rPr>
          <w:rFonts w:hint="default" w:ascii="Times New Roman" w:hAnsi="Times New Roman" w:eastAsia="宋体" w:cs="Times New Roman"/>
          <w:spacing w:val="1"/>
          <w:szCs w:val="21"/>
        </w:rPr>
        <w:t>中国通史纲要</w:t>
      </w:r>
      <w:r>
        <w:rPr>
          <w:rFonts w:hint="default" w:ascii="Times New Roman" w:hAnsi="Times New Roman" w:eastAsia="宋体" w:cs="Times New Roman"/>
          <w:spacing w:val="-8"/>
          <w:w w:val="95"/>
          <w:szCs w:val="21"/>
        </w:rPr>
        <w:t>[</w:t>
      </w:r>
      <w:r>
        <w:rPr>
          <w:rFonts w:hint="default" w:ascii="Times New Roman" w:hAnsi="Times New Roman" w:eastAsia="宋体" w:cs="Times New Roman"/>
          <w:szCs w:val="21"/>
        </w:rPr>
        <w:t>M]</w:t>
      </w:r>
      <w:r>
        <w:rPr>
          <w:rFonts w:hint="default" w:ascii="Times New Roman" w:hAnsi="Times New Roman" w:eastAsia="宋体" w:cs="Times New Roman"/>
          <w:spacing w:val="-95"/>
          <w:w w:val="185"/>
          <w:szCs w:val="21"/>
        </w:rPr>
        <w:t>.</w:t>
      </w:r>
      <w:r>
        <w:rPr>
          <w:rFonts w:hint="default" w:ascii="Times New Roman" w:hAnsi="Times New Roman" w:eastAsia="宋体" w:cs="Times New Roman"/>
          <w:spacing w:val="5"/>
          <w:szCs w:val="21"/>
        </w:rPr>
        <w:t>上海人民出版社</w:t>
      </w:r>
      <w:r>
        <w:rPr>
          <w:rFonts w:hint="default" w:ascii="Times New Roman" w:hAnsi="Times New Roman" w:eastAsia="宋体" w:cs="Times New Roman"/>
          <w:spacing w:val="2"/>
          <w:szCs w:val="21"/>
        </w:rPr>
        <w:t>,</w:t>
      </w:r>
      <w:r>
        <w:rPr>
          <w:rFonts w:hint="default" w:ascii="Times New Roman" w:hAnsi="Times New Roman" w:eastAsia="宋体" w:cs="Times New Roman"/>
          <w:spacing w:val="-4"/>
          <w:szCs w:val="21"/>
        </w:rPr>
        <w:t>1980。</w:t>
      </w:r>
    </w:p>
    <w:p w14:paraId="66D954DE">
      <w:pPr>
        <w:spacing w:line="400" w:lineRule="exact"/>
        <w:ind w:left="95" w:firstLine="366" w:firstLineChars="200"/>
        <w:jc w:val="left"/>
        <w:rPr>
          <w:rFonts w:hint="default" w:ascii="Times New Roman" w:hAnsi="Times New Roman" w:eastAsia="宋体" w:cs="Times New Roman"/>
          <w:szCs w:val="21"/>
        </w:rPr>
      </w:pPr>
      <w:r>
        <w:rPr>
          <w:rFonts w:hint="default" w:ascii="Times New Roman" w:hAnsi="Times New Roman" w:eastAsia="宋体" w:cs="Times New Roman"/>
          <w:spacing w:val="-8"/>
          <w:w w:val="95"/>
          <w:szCs w:val="21"/>
        </w:rPr>
        <w:t>[</w:t>
      </w:r>
      <w:r>
        <w:rPr>
          <w:rFonts w:hint="default" w:ascii="Times New Roman" w:hAnsi="Times New Roman" w:eastAsia="宋体" w:cs="Times New Roman"/>
          <w:spacing w:val="-9"/>
          <w:szCs w:val="21"/>
        </w:rPr>
        <w:t>3</w:t>
      </w:r>
      <w:r>
        <w:rPr>
          <w:rFonts w:hint="default" w:ascii="Times New Roman" w:hAnsi="Times New Roman" w:eastAsia="宋体" w:cs="Times New Roman"/>
          <w:szCs w:val="21"/>
        </w:rPr>
        <w:t>]满志钧，</w:t>
      </w:r>
      <w:r>
        <w:rPr>
          <w:rFonts w:hint="default" w:ascii="Times New Roman" w:hAnsi="Times New Roman" w:eastAsia="宋体" w:cs="Times New Roman"/>
          <w:spacing w:val="2"/>
          <w:szCs w:val="21"/>
        </w:rPr>
        <w:t>戊戌变法人物传稿</w:t>
      </w:r>
      <w:r>
        <w:rPr>
          <w:rFonts w:hint="default" w:ascii="Times New Roman" w:hAnsi="Times New Roman" w:eastAsia="宋体" w:cs="Times New Roman"/>
          <w:spacing w:val="-8"/>
          <w:w w:val="95"/>
          <w:szCs w:val="21"/>
        </w:rPr>
        <w:t>[</w:t>
      </w:r>
      <w:r>
        <w:rPr>
          <w:rFonts w:hint="default" w:ascii="Times New Roman" w:hAnsi="Times New Roman" w:eastAsia="宋体" w:cs="Times New Roman"/>
          <w:szCs w:val="21"/>
        </w:rPr>
        <w:t>M]</w:t>
      </w:r>
      <w:r>
        <w:rPr>
          <w:rFonts w:hint="default" w:ascii="Times New Roman" w:hAnsi="Times New Roman" w:eastAsia="宋体" w:cs="Times New Roman"/>
          <w:spacing w:val="-95"/>
          <w:w w:val="180"/>
          <w:szCs w:val="21"/>
        </w:rPr>
        <w:t>.</w:t>
      </w:r>
      <w:r>
        <w:rPr>
          <w:rFonts w:hint="default" w:ascii="Times New Roman" w:hAnsi="Times New Roman" w:eastAsia="宋体" w:cs="Times New Roman"/>
          <w:spacing w:val="5"/>
          <w:szCs w:val="21"/>
        </w:rPr>
        <w:t>中华书局</w:t>
      </w:r>
      <w:r>
        <w:rPr>
          <w:rFonts w:hint="default" w:ascii="Times New Roman" w:hAnsi="Times New Roman" w:eastAsia="宋体" w:cs="Times New Roman"/>
          <w:spacing w:val="2"/>
          <w:szCs w:val="21"/>
        </w:rPr>
        <w:t>,</w:t>
      </w:r>
      <w:r>
        <w:rPr>
          <w:rFonts w:hint="default" w:ascii="Times New Roman" w:hAnsi="Times New Roman" w:eastAsia="宋体" w:cs="Times New Roman"/>
          <w:szCs w:val="21"/>
        </w:rPr>
        <w:t>1980。</w:t>
      </w:r>
    </w:p>
    <w:p w14:paraId="3F5C5BDA">
      <w:pPr>
        <w:spacing w:line="400" w:lineRule="exact"/>
        <w:ind w:left="95" w:firstLine="362" w:firstLineChars="200"/>
        <w:jc w:val="left"/>
        <w:rPr>
          <w:rFonts w:hint="default" w:ascii="Times New Roman" w:hAnsi="Times New Roman" w:eastAsia="宋体" w:cs="Times New Roman"/>
          <w:szCs w:val="21"/>
        </w:rPr>
      </w:pPr>
      <w:r>
        <w:rPr>
          <w:rFonts w:hint="default" w:ascii="Times New Roman" w:hAnsi="Times New Roman" w:eastAsia="宋体" w:cs="Times New Roman"/>
          <w:spacing w:val="-9"/>
          <w:w w:val="95"/>
          <w:szCs w:val="21"/>
        </w:rPr>
        <w:t>[</w:t>
      </w:r>
      <w:r>
        <w:rPr>
          <w:rFonts w:hint="default" w:ascii="Times New Roman" w:hAnsi="Times New Roman" w:eastAsia="宋体" w:cs="Times New Roman"/>
          <w:spacing w:val="-9"/>
          <w:szCs w:val="21"/>
        </w:rPr>
        <w:t>4</w:t>
      </w:r>
      <w:r>
        <w:rPr>
          <w:rFonts w:hint="default" w:ascii="Times New Roman" w:hAnsi="Times New Roman" w:eastAsia="宋体" w:cs="Times New Roman"/>
          <w:szCs w:val="21"/>
        </w:rPr>
        <w:t>]康有为，</w:t>
      </w:r>
      <w:r>
        <w:rPr>
          <w:rFonts w:hint="default" w:ascii="Times New Roman" w:hAnsi="Times New Roman" w:eastAsia="宋体" w:cs="Times New Roman"/>
          <w:spacing w:val="-2"/>
          <w:szCs w:val="21"/>
        </w:rPr>
        <w:t>大同书</w:t>
      </w:r>
      <w:r>
        <w:rPr>
          <w:rFonts w:hint="default" w:ascii="Times New Roman" w:hAnsi="Times New Roman" w:eastAsia="宋体" w:cs="Times New Roman"/>
          <w:spacing w:val="-9"/>
          <w:w w:val="95"/>
          <w:szCs w:val="21"/>
        </w:rPr>
        <w:t>[</w:t>
      </w:r>
      <w:r>
        <w:rPr>
          <w:rFonts w:hint="default" w:ascii="Times New Roman" w:hAnsi="Times New Roman" w:eastAsia="宋体" w:cs="Times New Roman"/>
          <w:szCs w:val="21"/>
        </w:rPr>
        <w:t>M].</w:t>
      </w:r>
      <w:r>
        <w:rPr>
          <w:rFonts w:hint="default" w:ascii="Times New Roman" w:hAnsi="Times New Roman" w:eastAsia="宋体" w:cs="Times New Roman"/>
          <w:spacing w:val="5"/>
          <w:szCs w:val="21"/>
        </w:rPr>
        <w:t>中州古籍出版社</w:t>
      </w:r>
      <w:r>
        <w:rPr>
          <w:rFonts w:hint="default" w:ascii="Times New Roman" w:hAnsi="Times New Roman" w:eastAsia="宋体" w:cs="Times New Roman"/>
          <w:spacing w:val="2"/>
          <w:szCs w:val="21"/>
        </w:rPr>
        <w:t>,</w:t>
      </w:r>
      <w:r>
        <w:rPr>
          <w:rFonts w:hint="default" w:ascii="Times New Roman" w:hAnsi="Times New Roman" w:eastAsia="宋体" w:cs="Times New Roman"/>
          <w:szCs w:val="21"/>
        </w:rPr>
        <w:t>1956</w:t>
      </w:r>
      <w:r>
        <w:rPr>
          <w:rFonts w:hint="default" w:ascii="Times New Roman" w:hAnsi="Times New Roman" w:eastAsia="宋体" w:cs="Times New Roman"/>
          <w:w w:val="180"/>
          <w:szCs w:val="21"/>
        </w:rPr>
        <w:t>.</w:t>
      </w:r>
    </w:p>
    <w:p w14:paraId="7E5113E1">
      <w:pPr>
        <w:spacing w:line="400" w:lineRule="exact"/>
        <w:ind w:left="95" w:firstLine="390" w:firstLineChars="200"/>
        <w:jc w:val="left"/>
        <w:rPr>
          <w:rFonts w:hint="default" w:ascii="Times New Roman" w:hAnsi="Times New Roman" w:eastAsia="宋体" w:cs="Times New Roman"/>
          <w:szCs w:val="21"/>
        </w:rPr>
      </w:pPr>
      <w:r>
        <w:rPr>
          <w:rFonts w:hint="default" w:ascii="Times New Roman" w:hAnsi="Times New Roman" w:eastAsia="宋体" w:cs="Times New Roman"/>
          <w:spacing w:val="-2"/>
          <w:w w:val="95"/>
          <w:szCs w:val="21"/>
        </w:rPr>
        <w:t>[</w:t>
      </w:r>
      <w:r>
        <w:rPr>
          <w:rFonts w:hint="default" w:ascii="Times New Roman" w:hAnsi="Times New Roman" w:eastAsia="宋体" w:cs="Times New Roman"/>
          <w:spacing w:val="-9"/>
          <w:szCs w:val="21"/>
        </w:rPr>
        <w:t>5</w:t>
      </w:r>
      <w:r>
        <w:rPr>
          <w:rFonts w:hint="default" w:ascii="Times New Roman" w:hAnsi="Times New Roman" w:eastAsia="宋体" w:cs="Times New Roman"/>
          <w:spacing w:val="3"/>
          <w:szCs w:val="21"/>
        </w:rPr>
        <w:t>]萧公权,</w:t>
      </w:r>
      <w:r>
        <w:rPr>
          <w:rFonts w:hint="default" w:ascii="Times New Roman" w:hAnsi="Times New Roman" w:eastAsia="宋体" w:cs="Times New Roman"/>
          <w:spacing w:val="7"/>
          <w:szCs w:val="21"/>
        </w:rPr>
        <w:t>近代中国与新世界:</w:t>
      </w:r>
      <w:r>
        <w:rPr>
          <w:rFonts w:hint="default" w:ascii="Times New Roman" w:hAnsi="Times New Roman" w:eastAsia="宋体" w:cs="Times New Roman"/>
          <w:spacing w:val="5"/>
          <w:szCs w:val="21"/>
        </w:rPr>
        <w:t>康有为变法和大同思想研究</w:t>
      </w:r>
      <w:r>
        <w:rPr>
          <w:rFonts w:hint="default" w:ascii="Times New Roman" w:hAnsi="Times New Roman" w:eastAsia="宋体" w:cs="Times New Roman"/>
          <w:spacing w:val="-9"/>
          <w:w w:val="95"/>
          <w:szCs w:val="21"/>
        </w:rPr>
        <w:t>[</w:t>
      </w:r>
      <w:r>
        <w:rPr>
          <w:rFonts w:hint="default" w:ascii="Times New Roman" w:hAnsi="Times New Roman" w:eastAsia="宋体" w:cs="Times New Roman"/>
          <w:szCs w:val="21"/>
        </w:rPr>
        <w:t>M</w:t>
      </w:r>
      <w:r>
        <w:rPr>
          <w:rFonts w:hint="default" w:ascii="Times New Roman" w:hAnsi="Times New Roman" w:eastAsia="宋体" w:cs="Times New Roman"/>
          <w:spacing w:val="-1"/>
          <w:szCs w:val="21"/>
        </w:rPr>
        <w:t>]</w:t>
      </w:r>
      <w:r>
        <w:rPr>
          <w:rFonts w:hint="default" w:ascii="Times New Roman" w:hAnsi="Times New Roman" w:eastAsia="宋体" w:cs="Times New Roman"/>
          <w:spacing w:val="-95"/>
          <w:w w:val="180"/>
          <w:szCs w:val="21"/>
        </w:rPr>
        <w:t>.</w:t>
      </w:r>
      <w:r>
        <w:rPr>
          <w:rFonts w:hint="default" w:ascii="Times New Roman" w:hAnsi="Times New Roman" w:eastAsia="宋体" w:cs="Times New Roman"/>
          <w:spacing w:val="5"/>
          <w:szCs w:val="21"/>
        </w:rPr>
        <w:t>江苏人民出版</w:t>
      </w:r>
      <w:r>
        <w:rPr>
          <w:rFonts w:hint="default" w:ascii="Times New Roman" w:hAnsi="Times New Roman" w:eastAsia="宋体" w:cs="Times New Roman"/>
          <w:spacing w:val="1"/>
          <w:szCs w:val="21"/>
        </w:rPr>
        <w:t>,</w:t>
      </w:r>
      <w:r>
        <w:rPr>
          <w:rFonts w:hint="default" w:ascii="Times New Roman" w:hAnsi="Times New Roman" w:eastAsia="宋体" w:cs="Times New Roman"/>
          <w:szCs w:val="21"/>
        </w:rPr>
        <w:t>1997.</w:t>
      </w:r>
    </w:p>
    <w:p w14:paraId="2A8A354F">
      <w:pPr>
        <w:spacing w:before="17" w:line="400" w:lineRule="exact"/>
        <w:ind w:left="115" w:right="155" w:firstLine="346" w:firstLineChars="200"/>
        <w:jc w:val="left"/>
        <w:rPr>
          <w:rFonts w:hint="default" w:ascii="Times New Roman" w:hAnsi="Times New Roman" w:eastAsia="宋体" w:cs="Times New Roman"/>
          <w:szCs w:val="21"/>
        </w:rPr>
      </w:pPr>
      <w:r>
        <w:rPr>
          <w:rFonts w:hint="default" w:ascii="Times New Roman" w:hAnsi="Times New Roman" w:eastAsia="宋体" w:cs="Times New Roman"/>
          <w:spacing w:val="-13"/>
          <w:w w:val="95"/>
          <w:szCs w:val="21"/>
        </w:rPr>
        <w:t>[</w:t>
      </w:r>
      <w:r>
        <w:rPr>
          <w:rFonts w:hint="default" w:ascii="Times New Roman" w:hAnsi="Times New Roman" w:eastAsia="宋体" w:cs="Times New Roman"/>
          <w:spacing w:val="-9"/>
          <w:szCs w:val="21"/>
        </w:rPr>
        <w:t>6</w:t>
      </w:r>
      <w:r>
        <w:rPr>
          <w:rFonts w:hint="default" w:ascii="Times New Roman" w:hAnsi="Times New Roman" w:eastAsia="宋体" w:cs="Times New Roman"/>
          <w:spacing w:val="-1"/>
          <w:szCs w:val="21"/>
        </w:rPr>
        <w:t>]何一民</w:t>
      </w:r>
      <w:r>
        <w:rPr>
          <w:rFonts w:hint="default" w:ascii="Times New Roman" w:hAnsi="Times New Roman" w:eastAsia="宋体" w:cs="Times New Roman"/>
          <w:spacing w:val="-95"/>
          <w:w w:val="180"/>
          <w:szCs w:val="21"/>
        </w:rPr>
        <w:t>.</w:t>
      </w:r>
      <w:r>
        <w:rPr>
          <w:rFonts w:hint="default" w:ascii="Times New Roman" w:hAnsi="Times New Roman" w:eastAsia="宋体" w:cs="Times New Roman"/>
          <w:spacing w:val="10"/>
          <w:szCs w:val="21"/>
        </w:rPr>
        <w:t>维新之梦</w:t>
      </w:r>
      <w:r>
        <w:rPr>
          <w:rFonts w:hint="default" w:ascii="Times New Roman" w:hAnsi="Times New Roman" w:eastAsia="宋体" w:cs="Times New Roman"/>
          <w:b/>
          <w:spacing w:val="-10"/>
          <w:szCs w:val="21"/>
        </w:rPr>
        <w:t>—</w:t>
      </w:r>
      <w:r>
        <w:rPr>
          <w:rFonts w:hint="default" w:ascii="Times New Roman" w:hAnsi="Times New Roman" w:eastAsia="宋体" w:cs="Times New Roman"/>
          <w:spacing w:val="-4"/>
          <w:szCs w:val="21"/>
        </w:rPr>
        <w:t>—康有为传</w:t>
      </w:r>
      <w:r>
        <w:rPr>
          <w:rFonts w:hint="default" w:ascii="Times New Roman" w:hAnsi="Times New Roman" w:eastAsia="宋体" w:cs="Times New Roman"/>
          <w:spacing w:val="-12"/>
          <w:w w:val="95"/>
          <w:szCs w:val="21"/>
        </w:rPr>
        <w:t>[</w:t>
      </w:r>
      <w:r>
        <w:rPr>
          <w:rFonts w:hint="default" w:ascii="Times New Roman" w:hAnsi="Times New Roman" w:eastAsia="宋体" w:cs="Times New Roman"/>
          <w:szCs w:val="21"/>
        </w:rPr>
        <w:t>M</w:t>
      </w:r>
      <w:r>
        <w:rPr>
          <w:rFonts w:hint="default" w:ascii="Times New Roman" w:hAnsi="Times New Roman" w:eastAsia="宋体" w:cs="Times New Roman"/>
          <w:spacing w:val="-4"/>
          <w:w w:val="95"/>
          <w:szCs w:val="21"/>
        </w:rPr>
        <w:t>]</w:t>
      </w:r>
      <w:r>
        <w:rPr>
          <w:rFonts w:hint="default" w:ascii="Times New Roman" w:hAnsi="Times New Roman" w:eastAsia="宋体" w:cs="Times New Roman"/>
          <w:spacing w:val="-95"/>
          <w:w w:val="180"/>
          <w:szCs w:val="21"/>
        </w:rPr>
        <w:t>.</w:t>
      </w:r>
      <w:r>
        <w:rPr>
          <w:rFonts w:hint="default" w:ascii="Times New Roman" w:hAnsi="Times New Roman" w:eastAsia="宋体" w:cs="Times New Roman"/>
          <w:spacing w:val="12"/>
          <w:szCs w:val="21"/>
        </w:rPr>
        <w:t>四川人民出版社</w:t>
      </w:r>
      <w:r>
        <w:rPr>
          <w:rFonts w:hint="default" w:ascii="Times New Roman" w:hAnsi="Times New Roman" w:eastAsia="宋体" w:cs="Times New Roman"/>
          <w:szCs w:val="21"/>
        </w:rPr>
        <w:t>,1995.</w:t>
      </w:r>
    </w:p>
    <w:p w14:paraId="28874843">
      <w:pPr>
        <w:pStyle w:val="4"/>
        <w:spacing w:line="400" w:lineRule="exact"/>
        <w:ind w:left="0" w:firstLine="420" w:firstLineChars="200"/>
        <w:rPr>
          <w:rFonts w:hint="default" w:ascii="Times New Roman" w:hAnsi="Times New Roman" w:eastAsia="宋体" w:cs="Times New Roman"/>
        </w:rPr>
      </w:pPr>
      <w:r>
        <w:rPr>
          <w:rFonts w:hint="default" w:ascii="Times New Roman" w:hAnsi="Times New Roman" w:eastAsia="宋体" w:cs="Times New Roman"/>
        </w:rPr>
        <mc:AlternateContent>
          <mc:Choice Requires="wps">
            <w:drawing>
              <wp:anchor distT="0" distB="0" distL="114300" distR="114300" simplePos="0" relativeHeight="251677696" behindDoc="0" locked="0" layoutInCell="1" allowOverlap="1">
                <wp:simplePos x="0" y="0"/>
                <wp:positionH relativeFrom="page">
                  <wp:posOffset>5215890</wp:posOffset>
                </wp:positionH>
                <wp:positionV relativeFrom="page">
                  <wp:posOffset>8274050</wp:posOffset>
                </wp:positionV>
                <wp:extent cx="544830" cy="123190"/>
                <wp:effectExtent l="0" t="0" r="13970" b="3810"/>
                <wp:wrapNone/>
                <wp:docPr id="219" name="任意多边形 219"/>
                <wp:cNvGraphicFramePr/>
                <a:graphic xmlns:a="http://schemas.openxmlformats.org/drawingml/2006/main">
                  <a:graphicData uri="http://schemas.microsoft.com/office/word/2010/wordprocessingShape">
                    <wps:wsp>
                      <wps:cNvSpPr/>
                      <wps:spPr>
                        <a:xfrm>
                          <a:off x="0" y="0"/>
                          <a:ext cx="544830" cy="123190"/>
                        </a:xfrm>
                        <a:custGeom>
                          <a:avLst/>
                          <a:gdLst/>
                          <a:ahLst/>
                          <a:cxnLst/>
                          <a:rect l="0" t="0" r="0" b="0"/>
                          <a:pathLst>
                            <a:path w="858" h="194">
                              <a:moveTo>
                                <a:pt x="106" y="146"/>
                              </a:moveTo>
                              <a:lnTo>
                                <a:pt x="102" y="146"/>
                              </a:lnTo>
                              <a:lnTo>
                                <a:pt x="98" y="144"/>
                              </a:lnTo>
                              <a:lnTo>
                                <a:pt x="96" y="144"/>
                              </a:lnTo>
                              <a:lnTo>
                                <a:pt x="92" y="140"/>
                              </a:lnTo>
                              <a:lnTo>
                                <a:pt x="92" y="80"/>
                              </a:lnTo>
                              <a:lnTo>
                                <a:pt x="90" y="72"/>
                              </a:lnTo>
                              <a:lnTo>
                                <a:pt x="90" y="68"/>
                              </a:lnTo>
                              <a:lnTo>
                                <a:pt x="88" y="62"/>
                              </a:lnTo>
                              <a:lnTo>
                                <a:pt x="76" y="50"/>
                              </a:lnTo>
                              <a:lnTo>
                                <a:pt x="58" y="50"/>
                              </a:lnTo>
                              <a:lnTo>
                                <a:pt x="52" y="52"/>
                              </a:lnTo>
                              <a:lnTo>
                                <a:pt x="48" y="56"/>
                              </a:lnTo>
                              <a:lnTo>
                                <a:pt x="42" y="60"/>
                              </a:lnTo>
                              <a:lnTo>
                                <a:pt x="34" y="68"/>
                              </a:lnTo>
                              <a:lnTo>
                                <a:pt x="34" y="0"/>
                              </a:lnTo>
                              <a:lnTo>
                                <a:pt x="30" y="0"/>
                              </a:lnTo>
                              <a:lnTo>
                                <a:pt x="0" y="12"/>
                              </a:lnTo>
                              <a:lnTo>
                                <a:pt x="2" y="14"/>
                              </a:lnTo>
                              <a:lnTo>
                                <a:pt x="14" y="14"/>
                              </a:lnTo>
                              <a:lnTo>
                                <a:pt x="14" y="16"/>
                              </a:lnTo>
                              <a:lnTo>
                                <a:pt x="16" y="18"/>
                              </a:lnTo>
                              <a:lnTo>
                                <a:pt x="16" y="140"/>
                              </a:lnTo>
                              <a:lnTo>
                                <a:pt x="12" y="144"/>
                              </a:lnTo>
                              <a:lnTo>
                                <a:pt x="10" y="144"/>
                              </a:lnTo>
                              <a:lnTo>
                                <a:pt x="6" y="146"/>
                              </a:lnTo>
                              <a:lnTo>
                                <a:pt x="2" y="146"/>
                              </a:lnTo>
                              <a:lnTo>
                                <a:pt x="2" y="148"/>
                              </a:lnTo>
                              <a:lnTo>
                                <a:pt x="48" y="148"/>
                              </a:lnTo>
                              <a:lnTo>
                                <a:pt x="48" y="146"/>
                              </a:lnTo>
                              <a:lnTo>
                                <a:pt x="44" y="146"/>
                              </a:lnTo>
                              <a:lnTo>
                                <a:pt x="40" y="144"/>
                              </a:lnTo>
                              <a:lnTo>
                                <a:pt x="38" y="144"/>
                              </a:lnTo>
                              <a:lnTo>
                                <a:pt x="34" y="140"/>
                              </a:lnTo>
                              <a:lnTo>
                                <a:pt x="34" y="76"/>
                              </a:lnTo>
                              <a:lnTo>
                                <a:pt x="42" y="68"/>
                              </a:lnTo>
                              <a:lnTo>
                                <a:pt x="44" y="66"/>
                              </a:lnTo>
                              <a:lnTo>
                                <a:pt x="52" y="62"/>
                              </a:lnTo>
                              <a:lnTo>
                                <a:pt x="64" y="62"/>
                              </a:lnTo>
                              <a:lnTo>
                                <a:pt x="66" y="64"/>
                              </a:lnTo>
                              <a:lnTo>
                                <a:pt x="70" y="66"/>
                              </a:lnTo>
                              <a:lnTo>
                                <a:pt x="72" y="68"/>
                              </a:lnTo>
                              <a:lnTo>
                                <a:pt x="72" y="72"/>
                              </a:lnTo>
                              <a:lnTo>
                                <a:pt x="74" y="74"/>
                              </a:lnTo>
                              <a:lnTo>
                                <a:pt x="74" y="136"/>
                              </a:lnTo>
                              <a:lnTo>
                                <a:pt x="72" y="140"/>
                              </a:lnTo>
                              <a:lnTo>
                                <a:pt x="72" y="142"/>
                              </a:lnTo>
                              <a:lnTo>
                                <a:pt x="70" y="144"/>
                              </a:lnTo>
                              <a:lnTo>
                                <a:pt x="68" y="144"/>
                              </a:lnTo>
                              <a:lnTo>
                                <a:pt x="66" y="146"/>
                              </a:lnTo>
                              <a:lnTo>
                                <a:pt x="60" y="146"/>
                              </a:lnTo>
                              <a:lnTo>
                                <a:pt x="60" y="148"/>
                              </a:lnTo>
                              <a:lnTo>
                                <a:pt x="106" y="148"/>
                              </a:lnTo>
                              <a:lnTo>
                                <a:pt x="106" y="146"/>
                              </a:lnTo>
                              <a:moveTo>
                                <a:pt x="166" y="132"/>
                              </a:moveTo>
                              <a:lnTo>
                                <a:pt x="160" y="132"/>
                              </a:lnTo>
                              <a:lnTo>
                                <a:pt x="160" y="134"/>
                              </a:lnTo>
                              <a:lnTo>
                                <a:pt x="158" y="136"/>
                              </a:lnTo>
                              <a:lnTo>
                                <a:pt x="156" y="136"/>
                              </a:lnTo>
                              <a:lnTo>
                                <a:pt x="154" y="138"/>
                              </a:lnTo>
                              <a:lnTo>
                                <a:pt x="144" y="138"/>
                              </a:lnTo>
                              <a:lnTo>
                                <a:pt x="144" y="136"/>
                              </a:lnTo>
                              <a:lnTo>
                                <a:pt x="142" y="134"/>
                              </a:lnTo>
                              <a:lnTo>
                                <a:pt x="140" y="128"/>
                              </a:lnTo>
                              <a:lnTo>
                                <a:pt x="140" y="58"/>
                              </a:lnTo>
                              <a:lnTo>
                                <a:pt x="162" y="58"/>
                              </a:lnTo>
                              <a:lnTo>
                                <a:pt x="162" y="52"/>
                              </a:lnTo>
                              <a:lnTo>
                                <a:pt x="140" y="52"/>
                              </a:lnTo>
                              <a:lnTo>
                                <a:pt x="140" y="20"/>
                              </a:lnTo>
                              <a:lnTo>
                                <a:pt x="138" y="20"/>
                              </a:lnTo>
                              <a:lnTo>
                                <a:pt x="132" y="32"/>
                              </a:lnTo>
                              <a:lnTo>
                                <a:pt x="130" y="34"/>
                              </a:lnTo>
                              <a:lnTo>
                                <a:pt x="128" y="40"/>
                              </a:lnTo>
                              <a:lnTo>
                                <a:pt x="116" y="52"/>
                              </a:lnTo>
                              <a:lnTo>
                                <a:pt x="108" y="56"/>
                              </a:lnTo>
                              <a:lnTo>
                                <a:pt x="108" y="58"/>
                              </a:lnTo>
                              <a:lnTo>
                                <a:pt x="124" y="58"/>
                              </a:lnTo>
                              <a:lnTo>
                                <a:pt x="124" y="136"/>
                              </a:lnTo>
                              <a:lnTo>
                                <a:pt x="126" y="140"/>
                              </a:lnTo>
                              <a:lnTo>
                                <a:pt x="126" y="144"/>
                              </a:lnTo>
                              <a:lnTo>
                                <a:pt x="130" y="146"/>
                              </a:lnTo>
                              <a:lnTo>
                                <a:pt x="132" y="148"/>
                              </a:lnTo>
                              <a:lnTo>
                                <a:pt x="136" y="150"/>
                              </a:lnTo>
                              <a:lnTo>
                                <a:pt x="152" y="150"/>
                              </a:lnTo>
                              <a:lnTo>
                                <a:pt x="164" y="138"/>
                              </a:lnTo>
                              <a:lnTo>
                                <a:pt x="166" y="132"/>
                              </a:lnTo>
                              <a:moveTo>
                                <a:pt x="224" y="132"/>
                              </a:moveTo>
                              <a:lnTo>
                                <a:pt x="220" y="132"/>
                              </a:lnTo>
                              <a:lnTo>
                                <a:pt x="216" y="136"/>
                              </a:lnTo>
                              <a:lnTo>
                                <a:pt x="214" y="136"/>
                              </a:lnTo>
                              <a:lnTo>
                                <a:pt x="212" y="138"/>
                              </a:lnTo>
                              <a:lnTo>
                                <a:pt x="204" y="138"/>
                              </a:lnTo>
                              <a:lnTo>
                                <a:pt x="200" y="134"/>
                              </a:lnTo>
                              <a:lnTo>
                                <a:pt x="200" y="58"/>
                              </a:lnTo>
                              <a:lnTo>
                                <a:pt x="222" y="58"/>
                              </a:lnTo>
                              <a:lnTo>
                                <a:pt x="222" y="52"/>
                              </a:lnTo>
                              <a:lnTo>
                                <a:pt x="200" y="52"/>
                              </a:lnTo>
                              <a:lnTo>
                                <a:pt x="200" y="20"/>
                              </a:lnTo>
                              <a:lnTo>
                                <a:pt x="196" y="20"/>
                              </a:lnTo>
                              <a:lnTo>
                                <a:pt x="194" y="28"/>
                              </a:lnTo>
                              <a:lnTo>
                                <a:pt x="192" y="32"/>
                              </a:lnTo>
                              <a:lnTo>
                                <a:pt x="190" y="34"/>
                              </a:lnTo>
                              <a:lnTo>
                                <a:pt x="186" y="40"/>
                              </a:lnTo>
                              <a:lnTo>
                                <a:pt x="174" y="52"/>
                              </a:lnTo>
                              <a:lnTo>
                                <a:pt x="166" y="56"/>
                              </a:lnTo>
                              <a:lnTo>
                                <a:pt x="166" y="58"/>
                              </a:lnTo>
                              <a:lnTo>
                                <a:pt x="182" y="58"/>
                              </a:lnTo>
                              <a:lnTo>
                                <a:pt x="182" y="136"/>
                              </a:lnTo>
                              <a:lnTo>
                                <a:pt x="186" y="144"/>
                              </a:lnTo>
                              <a:lnTo>
                                <a:pt x="190" y="148"/>
                              </a:lnTo>
                              <a:lnTo>
                                <a:pt x="194" y="150"/>
                              </a:lnTo>
                              <a:lnTo>
                                <a:pt x="210" y="150"/>
                              </a:lnTo>
                              <a:lnTo>
                                <a:pt x="222" y="138"/>
                              </a:lnTo>
                              <a:lnTo>
                                <a:pt x="224" y="132"/>
                              </a:lnTo>
                              <a:moveTo>
                                <a:pt x="324" y="82"/>
                              </a:moveTo>
                              <a:lnTo>
                                <a:pt x="320" y="70"/>
                              </a:lnTo>
                              <a:lnTo>
                                <a:pt x="315" y="64"/>
                              </a:lnTo>
                              <a:lnTo>
                                <a:pt x="312" y="60"/>
                              </a:lnTo>
                              <a:lnTo>
                                <a:pt x="308" y="56"/>
                              </a:lnTo>
                              <a:lnTo>
                                <a:pt x="308" y="92"/>
                              </a:lnTo>
                              <a:lnTo>
                                <a:pt x="308" y="118"/>
                              </a:lnTo>
                              <a:lnTo>
                                <a:pt x="304" y="128"/>
                              </a:lnTo>
                              <a:lnTo>
                                <a:pt x="298" y="136"/>
                              </a:lnTo>
                              <a:lnTo>
                                <a:pt x="294" y="142"/>
                              </a:lnTo>
                              <a:lnTo>
                                <a:pt x="288" y="144"/>
                              </a:lnTo>
                              <a:lnTo>
                                <a:pt x="276" y="144"/>
                              </a:lnTo>
                              <a:lnTo>
                                <a:pt x="270" y="142"/>
                              </a:lnTo>
                              <a:lnTo>
                                <a:pt x="266" y="140"/>
                              </a:lnTo>
                              <a:lnTo>
                                <a:pt x="262" y="136"/>
                              </a:lnTo>
                              <a:lnTo>
                                <a:pt x="258" y="128"/>
                              </a:lnTo>
                              <a:lnTo>
                                <a:pt x="258" y="78"/>
                              </a:lnTo>
                              <a:lnTo>
                                <a:pt x="264" y="72"/>
                              </a:lnTo>
                              <a:lnTo>
                                <a:pt x="270" y="66"/>
                              </a:lnTo>
                              <a:lnTo>
                                <a:pt x="274" y="64"/>
                              </a:lnTo>
                              <a:lnTo>
                                <a:pt x="288" y="64"/>
                              </a:lnTo>
                              <a:lnTo>
                                <a:pt x="292" y="66"/>
                              </a:lnTo>
                              <a:lnTo>
                                <a:pt x="298" y="72"/>
                              </a:lnTo>
                              <a:lnTo>
                                <a:pt x="304" y="80"/>
                              </a:lnTo>
                              <a:lnTo>
                                <a:pt x="308" y="92"/>
                              </a:lnTo>
                              <a:lnTo>
                                <a:pt x="308" y="56"/>
                              </a:lnTo>
                              <a:lnTo>
                                <a:pt x="306" y="54"/>
                              </a:lnTo>
                              <a:lnTo>
                                <a:pt x="298" y="50"/>
                              </a:lnTo>
                              <a:lnTo>
                                <a:pt x="284" y="50"/>
                              </a:lnTo>
                              <a:lnTo>
                                <a:pt x="272" y="54"/>
                              </a:lnTo>
                              <a:lnTo>
                                <a:pt x="262" y="64"/>
                              </a:lnTo>
                              <a:lnTo>
                                <a:pt x="258" y="72"/>
                              </a:lnTo>
                              <a:lnTo>
                                <a:pt x="258" y="62"/>
                              </a:lnTo>
                              <a:lnTo>
                                <a:pt x="258" y="50"/>
                              </a:lnTo>
                              <a:lnTo>
                                <a:pt x="254" y="50"/>
                              </a:lnTo>
                              <a:lnTo>
                                <a:pt x="224" y="62"/>
                              </a:lnTo>
                              <a:lnTo>
                                <a:pt x="226" y="64"/>
                              </a:lnTo>
                              <a:lnTo>
                                <a:pt x="228" y="64"/>
                              </a:lnTo>
                              <a:lnTo>
                                <a:pt x="230" y="62"/>
                              </a:lnTo>
                              <a:lnTo>
                                <a:pt x="234" y="62"/>
                              </a:lnTo>
                              <a:lnTo>
                                <a:pt x="236" y="64"/>
                              </a:lnTo>
                              <a:lnTo>
                                <a:pt x="238" y="64"/>
                              </a:lnTo>
                              <a:lnTo>
                                <a:pt x="240" y="66"/>
                              </a:lnTo>
                              <a:lnTo>
                                <a:pt x="240" y="184"/>
                              </a:lnTo>
                              <a:lnTo>
                                <a:pt x="238" y="186"/>
                              </a:lnTo>
                              <a:lnTo>
                                <a:pt x="238" y="188"/>
                              </a:lnTo>
                              <a:lnTo>
                                <a:pt x="236" y="188"/>
                              </a:lnTo>
                              <a:lnTo>
                                <a:pt x="234" y="190"/>
                              </a:lnTo>
                              <a:lnTo>
                                <a:pt x="224" y="190"/>
                              </a:lnTo>
                              <a:lnTo>
                                <a:pt x="224" y="194"/>
                              </a:lnTo>
                              <a:lnTo>
                                <a:pt x="274" y="194"/>
                              </a:lnTo>
                              <a:lnTo>
                                <a:pt x="274" y="190"/>
                              </a:lnTo>
                              <a:lnTo>
                                <a:pt x="266" y="190"/>
                              </a:lnTo>
                              <a:lnTo>
                                <a:pt x="264" y="188"/>
                              </a:lnTo>
                              <a:lnTo>
                                <a:pt x="262" y="188"/>
                              </a:lnTo>
                              <a:lnTo>
                                <a:pt x="260" y="186"/>
                              </a:lnTo>
                              <a:lnTo>
                                <a:pt x="260" y="184"/>
                              </a:lnTo>
                              <a:lnTo>
                                <a:pt x="258" y="182"/>
                              </a:lnTo>
                              <a:lnTo>
                                <a:pt x="258" y="142"/>
                              </a:lnTo>
                              <a:lnTo>
                                <a:pt x="264" y="148"/>
                              </a:lnTo>
                              <a:lnTo>
                                <a:pt x="268" y="148"/>
                              </a:lnTo>
                              <a:lnTo>
                                <a:pt x="272" y="150"/>
                              </a:lnTo>
                              <a:lnTo>
                                <a:pt x="292" y="150"/>
                              </a:lnTo>
                              <a:lnTo>
                                <a:pt x="302" y="146"/>
                              </a:lnTo>
                              <a:lnTo>
                                <a:pt x="304" y="144"/>
                              </a:lnTo>
                              <a:lnTo>
                                <a:pt x="310" y="138"/>
                              </a:lnTo>
                              <a:lnTo>
                                <a:pt x="316" y="129"/>
                              </a:lnTo>
                              <a:lnTo>
                                <a:pt x="321" y="119"/>
                              </a:lnTo>
                              <a:lnTo>
                                <a:pt x="323" y="109"/>
                              </a:lnTo>
                              <a:lnTo>
                                <a:pt x="324" y="96"/>
                              </a:lnTo>
                              <a:lnTo>
                                <a:pt x="324" y="82"/>
                              </a:lnTo>
                              <a:moveTo>
                                <a:pt x="374" y="136"/>
                              </a:moveTo>
                              <a:lnTo>
                                <a:pt x="372" y="132"/>
                              </a:lnTo>
                              <a:lnTo>
                                <a:pt x="366" y="126"/>
                              </a:lnTo>
                              <a:lnTo>
                                <a:pt x="358" y="126"/>
                              </a:lnTo>
                              <a:lnTo>
                                <a:pt x="352" y="132"/>
                              </a:lnTo>
                              <a:lnTo>
                                <a:pt x="350" y="136"/>
                              </a:lnTo>
                              <a:lnTo>
                                <a:pt x="350" y="142"/>
                              </a:lnTo>
                              <a:lnTo>
                                <a:pt x="352" y="144"/>
                              </a:lnTo>
                              <a:lnTo>
                                <a:pt x="354" y="148"/>
                              </a:lnTo>
                              <a:lnTo>
                                <a:pt x="356" y="150"/>
                              </a:lnTo>
                              <a:lnTo>
                                <a:pt x="368" y="150"/>
                              </a:lnTo>
                              <a:lnTo>
                                <a:pt x="370" y="148"/>
                              </a:lnTo>
                              <a:lnTo>
                                <a:pt x="372" y="144"/>
                              </a:lnTo>
                              <a:lnTo>
                                <a:pt x="374" y="142"/>
                              </a:lnTo>
                              <a:lnTo>
                                <a:pt x="374" y="136"/>
                              </a:lnTo>
                              <a:moveTo>
                                <a:pt x="374" y="58"/>
                              </a:moveTo>
                              <a:lnTo>
                                <a:pt x="372" y="56"/>
                              </a:lnTo>
                              <a:lnTo>
                                <a:pt x="370" y="52"/>
                              </a:lnTo>
                              <a:lnTo>
                                <a:pt x="368" y="50"/>
                              </a:lnTo>
                              <a:lnTo>
                                <a:pt x="356" y="50"/>
                              </a:lnTo>
                              <a:lnTo>
                                <a:pt x="354" y="52"/>
                              </a:lnTo>
                              <a:lnTo>
                                <a:pt x="352" y="56"/>
                              </a:lnTo>
                              <a:lnTo>
                                <a:pt x="350" y="58"/>
                              </a:lnTo>
                              <a:lnTo>
                                <a:pt x="350" y="64"/>
                              </a:lnTo>
                              <a:lnTo>
                                <a:pt x="352" y="68"/>
                              </a:lnTo>
                              <a:lnTo>
                                <a:pt x="358" y="74"/>
                              </a:lnTo>
                              <a:lnTo>
                                <a:pt x="366" y="74"/>
                              </a:lnTo>
                              <a:lnTo>
                                <a:pt x="372" y="68"/>
                              </a:lnTo>
                              <a:lnTo>
                                <a:pt x="374" y="64"/>
                              </a:lnTo>
                              <a:lnTo>
                                <a:pt x="374" y="58"/>
                              </a:lnTo>
                              <a:moveTo>
                                <a:pt x="450" y="0"/>
                              </a:moveTo>
                              <a:lnTo>
                                <a:pt x="442" y="0"/>
                              </a:lnTo>
                              <a:lnTo>
                                <a:pt x="390" y="150"/>
                              </a:lnTo>
                              <a:lnTo>
                                <a:pt x="398" y="150"/>
                              </a:lnTo>
                              <a:lnTo>
                                <a:pt x="450" y="0"/>
                              </a:lnTo>
                              <a:moveTo>
                                <a:pt x="508" y="0"/>
                              </a:moveTo>
                              <a:lnTo>
                                <a:pt x="500" y="0"/>
                              </a:lnTo>
                              <a:lnTo>
                                <a:pt x="448" y="150"/>
                              </a:lnTo>
                              <a:lnTo>
                                <a:pt x="458" y="150"/>
                              </a:lnTo>
                              <a:lnTo>
                                <a:pt x="508" y="0"/>
                              </a:lnTo>
                              <a:moveTo>
                                <a:pt x="660" y="52"/>
                              </a:moveTo>
                              <a:lnTo>
                                <a:pt x="632" y="52"/>
                              </a:lnTo>
                              <a:lnTo>
                                <a:pt x="632" y="54"/>
                              </a:lnTo>
                              <a:lnTo>
                                <a:pt x="636" y="54"/>
                              </a:lnTo>
                              <a:lnTo>
                                <a:pt x="640" y="56"/>
                              </a:lnTo>
                              <a:lnTo>
                                <a:pt x="644" y="60"/>
                              </a:lnTo>
                              <a:lnTo>
                                <a:pt x="644" y="62"/>
                              </a:lnTo>
                              <a:lnTo>
                                <a:pt x="640" y="70"/>
                              </a:lnTo>
                              <a:lnTo>
                                <a:pt x="622" y="122"/>
                              </a:lnTo>
                              <a:lnTo>
                                <a:pt x="607" y="86"/>
                              </a:lnTo>
                              <a:lnTo>
                                <a:pt x="600" y="68"/>
                              </a:lnTo>
                              <a:lnTo>
                                <a:pt x="598" y="66"/>
                              </a:lnTo>
                              <a:lnTo>
                                <a:pt x="598" y="60"/>
                              </a:lnTo>
                              <a:lnTo>
                                <a:pt x="602" y="56"/>
                              </a:lnTo>
                              <a:lnTo>
                                <a:pt x="604" y="56"/>
                              </a:lnTo>
                              <a:lnTo>
                                <a:pt x="608" y="54"/>
                              </a:lnTo>
                              <a:lnTo>
                                <a:pt x="608" y="52"/>
                              </a:lnTo>
                              <a:lnTo>
                                <a:pt x="566" y="52"/>
                              </a:lnTo>
                              <a:lnTo>
                                <a:pt x="566" y="54"/>
                              </a:lnTo>
                              <a:lnTo>
                                <a:pt x="570" y="56"/>
                              </a:lnTo>
                              <a:lnTo>
                                <a:pt x="574" y="56"/>
                              </a:lnTo>
                              <a:lnTo>
                                <a:pt x="576" y="58"/>
                              </a:lnTo>
                              <a:lnTo>
                                <a:pt x="586" y="78"/>
                              </a:lnTo>
                              <a:lnTo>
                                <a:pt x="564" y="124"/>
                              </a:lnTo>
                              <a:lnTo>
                                <a:pt x="542" y="70"/>
                              </a:lnTo>
                              <a:lnTo>
                                <a:pt x="540" y="66"/>
                              </a:lnTo>
                              <a:lnTo>
                                <a:pt x="540" y="58"/>
                              </a:lnTo>
                              <a:lnTo>
                                <a:pt x="542" y="56"/>
                              </a:lnTo>
                              <a:lnTo>
                                <a:pt x="546" y="56"/>
                              </a:lnTo>
                              <a:lnTo>
                                <a:pt x="548" y="54"/>
                              </a:lnTo>
                              <a:lnTo>
                                <a:pt x="548" y="52"/>
                              </a:lnTo>
                              <a:lnTo>
                                <a:pt x="508" y="52"/>
                              </a:lnTo>
                              <a:lnTo>
                                <a:pt x="508" y="54"/>
                              </a:lnTo>
                              <a:lnTo>
                                <a:pt x="516" y="58"/>
                              </a:lnTo>
                              <a:lnTo>
                                <a:pt x="522" y="64"/>
                              </a:lnTo>
                              <a:lnTo>
                                <a:pt x="524" y="70"/>
                              </a:lnTo>
                              <a:lnTo>
                                <a:pt x="556" y="150"/>
                              </a:lnTo>
                              <a:lnTo>
                                <a:pt x="558" y="150"/>
                              </a:lnTo>
                              <a:lnTo>
                                <a:pt x="570" y="124"/>
                              </a:lnTo>
                              <a:lnTo>
                                <a:pt x="588" y="86"/>
                              </a:lnTo>
                              <a:lnTo>
                                <a:pt x="614" y="150"/>
                              </a:lnTo>
                              <a:lnTo>
                                <a:pt x="618" y="150"/>
                              </a:lnTo>
                              <a:lnTo>
                                <a:pt x="628" y="122"/>
                              </a:lnTo>
                              <a:lnTo>
                                <a:pt x="646" y="68"/>
                              </a:lnTo>
                              <a:lnTo>
                                <a:pt x="650" y="60"/>
                              </a:lnTo>
                              <a:lnTo>
                                <a:pt x="654" y="56"/>
                              </a:lnTo>
                              <a:lnTo>
                                <a:pt x="660" y="54"/>
                              </a:lnTo>
                              <a:lnTo>
                                <a:pt x="660" y="52"/>
                              </a:lnTo>
                              <a:moveTo>
                                <a:pt x="814" y="52"/>
                              </a:moveTo>
                              <a:lnTo>
                                <a:pt x="786" y="52"/>
                              </a:lnTo>
                              <a:lnTo>
                                <a:pt x="786" y="54"/>
                              </a:lnTo>
                              <a:lnTo>
                                <a:pt x="790" y="54"/>
                              </a:lnTo>
                              <a:lnTo>
                                <a:pt x="794" y="56"/>
                              </a:lnTo>
                              <a:lnTo>
                                <a:pt x="796" y="56"/>
                              </a:lnTo>
                              <a:lnTo>
                                <a:pt x="796" y="58"/>
                              </a:lnTo>
                              <a:lnTo>
                                <a:pt x="798" y="60"/>
                              </a:lnTo>
                              <a:lnTo>
                                <a:pt x="798" y="62"/>
                              </a:lnTo>
                              <a:lnTo>
                                <a:pt x="794" y="70"/>
                              </a:lnTo>
                              <a:lnTo>
                                <a:pt x="776" y="122"/>
                              </a:lnTo>
                              <a:lnTo>
                                <a:pt x="761" y="86"/>
                              </a:lnTo>
                              <a:lnTo>
                                <a:pt x="754" y="68"/>
                              </a:lnTo>
                              <a:lnTo>
                                <a:pt x="754" y="66"/>
                              </a:lnTo>
                              <a:lnTo>
                                <a:pt x="752" y="66"/>
                              </a:lnTo>
                              <a:lnTo>
                                <a:pt x="752" y="62"/>
                              </a:lnTo>
                              <a:lnTo>
                                <a:pt x="754" y="60"/>
                              </a:lnTo>
                              <a:lnTo>
                                <a:pt x="754" y="58"/>
                              </a:lnTo>
                              <a:lnTo>
                                <a:pt x="756" y="56"/>
                              </a:lnTo>
                              <a:lnTo>
                                <a:pt x="758" y="56"/>
                              </a:lnTo>
                              <a:lnTo>
                                <a:pt x="762" y="54"/>
                              </a:lnTo>
                              <a:lnTo>
                                <a:pt x="762" y="52"/>
                              </a:lnTo>
                              <a:lnTo>
                                <a:pt x="720" y="52"/>
                              </a:lnTo>
                              <a:lnTo>
                                <a:pt x="720" y="54"/>
                              </a:lnTo>
                              <a:lnTo>
                                <a:pt x="724" y="56"/>
                              </a:lnTo>
                              <a:lnTo>
                                <a:pt x="728" y="56"/>
                              </a:lnTo>
                              <a:lnTo>
                                <a:pt x="732" y="58"/>
                              </a:lnTo>
                              <a:lnTo>
                                <a:pt x="736" y="66"/>
                              </a:lnTo>
                              <a:lnTo>
                                <a:pt x="740" y="78"/>
                              </a:lnTo>
                              <a:lnTo>
                                <a:pt x="718" y="124"/>
                              </a:lnTo>
                              <a:lnTo>
                                <a:pt x="696" y="70"/>
                              </a:lnTo>
                              <a:lnTo>
                                <a:pt x="696" y="66"/>
                              </a:lnTo>
                              <a:lnTo>
                                <a:pt x="694" y="64"/>
                              </a:lnTo>
                              <a:lnTo>
                                <a:pt x="694" y="60"/>
                              </a:lnTo>
                              <a:lnTo>
                                <a:pt x="696" y="58"/>
                              </a:lnTo>
                              <a:lnTo>
                                <a:pt x="696" y="56"/>
                              </a:lnTo>
                              <a:lnTo>
                                <a:pt x="700" y="56"/>
                              </a:lnTo>
                              <a:lnTo>
                                <a:pt x="704" y="54"/>
                              </a:lnTo>
                              <a:lnTo>
                                <a:pt x="704" y="52"/>
                              </a:lnTo>
                              <a:lnTo>
                                <a:pt x="662" y="52"/>
                              </a:lnTo>
                              <a:lnTo>
                                <a:pt x="662" y="54"/>
                              </a:lnTo>
                              <a:lnTo>
                                <a:pt x="668" y="56"/>
                              </a:lnTo>
                              <a:lnTo>
                                <a:pt x="676" y="64"/>
                              </a:lnTo>
                              <a:lnTo>
                                <a:pt x="678" y="70"/>
                              </a:lnTo>
                              <a:lnTo>
                                <a:pt x="710" y="150"/>
                              </a:lnTo>
                              <a:lnTo>
                                <a:pt x="712" y="150"/>
                              </a:lnTo>
                              <a:lnTo>
                                <a:pt x="725" y="124"/>
                              </a:lnTo>
                              <a:lnTo>
                                <a:pt x="744" y="86"/>
                              </a:lnTo>
                              <a:lnTo>
                                <a:pt x="768" y="150"/>
                              </a:lnTo>
                              <a:lnTo>
                                <a:pt x="774" y="150"/>
                              </a:lnTo>
                              <a:lnTo>
                                <a:pt x="784" y="122"/>
                              </a:lnTo>
                              <a:lnTo>
                                <a:pt x="802" y="68"/>
                              </a:lnTo>
                              <a:lnTo>
                                <a:pt x="804" y="60"/>
                              </a:lnTo>
                              <a:lnTo>
                                <a:pt x="808" y="56"/>
                              </a:lnTo>
                              <a:lnTo>
                                <a:pt x="814" y="54"/>
                              </a:lnTo>
                              <a:lnTo>
                                <a:pt x="814" y="52"/>
                              </a:lnTo>
                              <a:moveTo>
                                <a:pt x="858" y="52"/>
                              </a:moveTo>
                              <a:lnTo>
                                <a:pt x="818" y="52"/>
                              </a:lnTo>
                              <a:lnTo>
                                <a:pt x="818" y="54"/>
                              </a:lnTo>
                              <a:lnTo>
                                <a:pt x="822" y="56"/>
                              </a:lnTo>
                              <a:lnTo>
                                <a:pt x="830" y="64"/>
                              </a:lnTo>
                              <a:lnTo>
                                <a:pt x="832" y="70"/>
                              </a:lnTo>
                              <a:lnTo>
                                <a:pt x="858" y="135"/>
                              </a:lnTo>
                              <a:lnTo>
                                <a:pt x="858" y="89"/>
                              </a:lnTo>
                              <a:lnTo>
                                <a:pt x="850" y="70"/>
                              </a:lnTo>
                              <a:lnTo>
                                <a:pt x="850" y="56"/>
                              </a:lnTo>
                              <a:lnTo>
                                <a:pt x="854" y="56"/>
                              </a:lnTo>
                              <a:lnTo>
                                <a:pt x="858" y="54"/>
                              </a:lnTo>
                              <a:lnTo>
                                <a:pt x="858" y="52"/>
                              </a:lnTo>
                            </a:path>
                          </a:pathLst>
                        </a:custGeom>
                        <a:solidFill>
                          <a:srgbClr val="B2B2B2"/>
                        </a:solidFill>
                        <a:ln>
                          <a:noFill/>
                        </a:ln>
                      </wps:spPr>
                      <wps:bodyPr upright="1"/>
                    </wps:wsp>
                  </a:graphicData>
                </a:graphic>
              </wp:anchor>
            </w:drawing>
          </mc:Choice>
          <mc:Fallback>
            <w:pict>
              <v:shape id="_x0000_s1026" o:spid="_x0000_s1026" o:spt="100" style="position:absolute;left:0pt;margin-left:410.7pt;margin-top:651.5pt;height:9.7pt;width:42.9pt;mso-position-horizontal-relative:page;mso-position-vertical-relative:page;z-index:251677696;mso-width-relative:page;mso-height-relative:page;" fillcolor="#B2B2B2" filled="t" stroked="f" coordsize="858,194" o:gfxdata="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" path="m106,146l102,146,98,144,96,144,92,140,92,80,90,72,90,68,88,62,76,50,58,50,52,52,48,56,42,60,34,68,34,0,30,0,0,12,2,14,14,14,14,16,16,18,16,140,12,144,10,144,6,146,2,146,2,148,48,148,48,146,44,146,40,144,38,144,34,140,34,76,42,68,44,66,52,62,64,62,66,64,70,66,72,68,72,72,74,74,74,136,72,140,72,142,70,144,68,144,66,146,60,146,60,148,106,148,106,146m166,132l160,132,160,134,158,136,156,136,154,138,144,138,144,136,142,134,140,128,140,58,162,58,162,52,140,52,140,20,138,20,132,32,130,34,128,40,116,52,108,56,108,58,124,58,124,136,126,140,126,144,130,146,132,148,136,150,152,150,164,138,166,132m224,132l220,132,216,136,214,136,212,138,204,138,200,134,200,58,222,58,222,52,200,52,200,20,196,20,194,28,192,32,190,34,186,40,174,52,166,56,166,58,182,58,182,136,186,144,190,148,194,150,210,150,222,138,224,132m324,82l320,70,315,64,312,60,308,56,308,92,308,118,304,128,298,136,294,142,288,144,276,144,270,142,266,140,262,136,258,128,258,78,264,72,270,66,274,64,288,64,292,66,298,72,304,80,308,92,308,56,306,54,298,50,284,50,272,54,262,64,258,72,258,62,258,50,254,50,224,62,226,64,228,64,230,62,234,62,236,64,238,64,240,66,240,184,238,186,238,188,236,188,234,190,224,190,224,194,274,194,274,190,266,190,264,188,262,188,260,186,260,184,258,182,258,142,264,148,268,148,272,150,292,150,302,146,304,144,310,138,316,129,321,119,323,109,324,96,324,82m374,136l372,132,366,126,358,126,352,132,350,136,350,142,352,144,354,148,356,150,368,150,370,148,372,144,374,142,374,136m374,58l372,56,370,52,368,50,356,50,354,52,352,56,350,58,350,64,352,68,358,74,366,74,372,68,374,64,374,58m450,0l442,0,390,150,398,150,450,0m508,0l500,0,448,150,458,150,508,0m660,52l632,52,632,54,636,54,640,56,644,60,644,62,640,70,622,122,607,86,600,68,598,66,598,60,602,56,604,56,608,54,608,52,566,52,566,54,570,56,574,56,576,58,586,78,564,124,542,70,540,66,540,58,542,56,546,56,548,54,548,52,508,52,508,54,516,58,522,64,524,70,556,150,558,150,570,124,588,86,614,150,618,150,628,122,646,68,650,60,654,56,660,54,660,52m814,52l786,52,786,54,790,54,794,56,796,56,796,58,798,60,798,62,794,70,776,122,761,86,754,68,754,66,752,66,752,62,754,60,754,58,756,56,758,56,762,54,762,52,720,52,720,54,724,56,728,56,732,58,736,66,740,78,718,124,696,70,696,66,694,64,694,60,696,58,696,56,700,56,704,54,704,52,662,52,662,54,668,56,676,64,678,70,710,150,712,150,725,124,744,86,768,150,774,150,784,122,802,68,804,60,808,56,814,54,814,52m858,52l818,52,818,54,822,56,830,64,832,70,858,135,858,89,850,70,850,56,854,56,858,54,858,52e">
                <v:fill on="t" focussize="0,0"/>
                <v:stroke on="f"/>
                <v:imagedata o:title=""/>
                <o:lock v:ext="edit" aspectratio="f"/>
              </v:shape>
            </w:pict>
          </mc:Fallback>
        </mc:AlternateContent>
      </w:r>
    </w:p>
    <w:p w14:paraId="0D2EBDEB">
      <w:pPr>
        <w:pStyle w:val="4"/>
        <w:spacing w:line="400" w:lineRule="exact"/>
        <w:ind w:left="0" w:firstLine="420" w:firstLineChars="200"/>
        <w:rPr>
          <w:rFonts w:hint="default" w:ascii="Times New Roman" w:hAnsi="Times New Roman" w:eastAsia="宋体" w:cs="Times New Roman"/>
          <w:lang w:val="en-US"/>
        </w:rPr>
      </w:pPr>
      <w:r>
        <w:rPr>
          <w:rFonts w:hint="default" w:ascii="Times New Roman" w:hAnsi="Times New Roman" w:eastAsia="宋体" w:cs="Times New Roman"/>
          <w:lang w:val="en-US"/>
        </w:rPr>
        <w:t>（原载《湘潭大学社会科学学报》2000年8月，第24卷第4期。）</w:t>
      </w:r>
    </w:p>
    <w:p w14:paraId="6A9FF784">
      <w:pPr>
        <w:pStyle w:val="4"/>
        <w:spacing w:before="12" w:line="400" w:lineRule="exact"/>
        <w:ind w:left="0" w:firstLine="420" w:firstLineChars="200"/>
        <w:rPr>
          <w:rFonts w:hint="default" w:ascii="Times New Roman" w:hAnsi="Times New Roman" w:eastAsia="宋体" w:cs="Times New Roman"/>
        </w:rPr>
      </w:pPr>
      <w:r>
        <w:rPr>
          <w:rFonts w:hint="default" w:ascii="Times New Roman" w:hAnsi="Times New Roman" w:eastAsia="宋体" w:cs="Times New Roman"/>
        </w:rPr>
        <w:br w:type="page"/>
      </w:r>
    </w:p>
    <w:p w14:paraId="7E92DBE1">
      <w:pPr>
        <w:pStyle w:val="4"/>
        <w:spacing w:before="12" w:line="400" w:lineRule="exact"/>
        <w:ind w:left="0" w:firstLine="420" w:firstLineChars="200"/>
        <w:rPr>
          <w:rFonts w:hint="default" w:ascii="Times New Roman" w:hAnsi="Times New Roman" w:eastAsia="宋体" w:cs="Times New Roman"/>
        </w:rPr>
      </w:pPr>
    </w:p>
    <w:p w14:paraId="3100C5A7">
      <w:pPr>
        <w:pStyle w:val="4"/>
        <w:spacing w:before="12" w:line="400" w:lineRule="exact"/>
        <w:ind w:left="0" w:firstLine="420" w:firstLineChars="200"/>
        <w:rPr>
          <w:rFonts w:hint="default" w:ascii="Times New Roman" w:hAnsi="Times New Roman" w:eastAsia="宋体" w:cs="Times New Roman"/>
        </w:rPr>
      </w:pPr>
    </w:p>
    <w:p w14:paraId="7F3EDDD6">
      <w:pPr>
        <w:pStyle w:val="3"/>
        <w:rPr>
          <w:rFonts w:hint="default" w:ascii="Times New Roman" w:hAnsi="Times New Roman" w:cs="Times New Roman"/>
          <w:lang w:val="zh-TW" w:eastAsia="zh-TW"/>
        </w:rPr>
      </w:pPr>
      <w:bookmarkStart w:id="39" w:name="_Toc13413"/>
      <w:bookmarkStart w:id="40" w:name="_Toc21522"/>
      <w:bookmarkStart w:id="41" w:name="_Toc1949828208"/>
      <w:bookmarkStart w:id="42" w:name="_Toc580089505"/>
      <w:r>
        <w:rPr>
          <w:rFonts w:hint="default" w:ascii="Times New Roman" w:hAnsi="Times New Roman" w:cs="Times New Roman"/>
          <w:lang w:val="zh-TW" w:eastAsia="zh-TW"/>
        </w:rPr>
        <w:t>经济全球化与中国的对策思路</w:t>
      </w:r>
      <w:bookmarkEnd w:id="21"/>
      <w:bookmarkEnd w:id="22"/>
      <w:r>
        <w:rPr>
          <w:rFonts w:hint="default" w:ascii="Times New Roman" w:hAnsi="Times New Roman" w:cs="Times New Roman"/>
          <w:lang w:val="zh-TW" w:eastAsia="zh-TW"/>
        </w:rPr>
        <w:t>——兼论“三控型民族经济”与对半式双赢</w:t>
      </w:r>
      <w:bookmarkEnd w:id="23"/>
      <w:bookmarkEnd w:id="39"/>
      <w:bookmarkEnd w:id="40"/>
      <w:bookmarkEnd w:id="41"/>
      <w:bookmarkEnd w:id="42"/>
    </w:p>
    <w:p w14:paraId="2E3812E6">
      <w:pPr>
        <w:spacing w:line="400" w:lineRule="exact"/>
        <w:ind w:firstLine="420" w:firstLineChars="200"/>
        <w:rPr>
          <w:rFonts w:hint="default" w:ascii="Times New Roman" w:hAnsi="Times New Roman" w:eastAsia="宋体" w:cs="Times New Roman"/>
          <w:szCs w:val="21"/>
        </w:rPr>
      </w:pPr>
    </w:p>
    <w:p w14:paraId="3E372556">
      <w:pPr>
        <w:spacing w:line="400" w:lineRule="exact"/>
        <w:ind w:firstLine="420" w:firstLineChars="200"/>
        <w:rPr>
          <w:rFonts w:hint="default" w:ascii="Times New Roman" w:hAnsi="Times New Roman" w:eastAsia="宋体" w:cs="Times New Roman"/>
          <w:b/>
          <w:szCs w:val="21"/>
        </w:rPr>
      </w:pPr>
      <w:r>
        <w:rPr>
          <w:rFonts w:hint="default" w:ascii="Times New Roman" w:hAnsi="Times New Roman" w:eastAsia="宋体" w:cs="Times New Roman"/>
          <w:szCs w:val="21"/>
        </w:rPr>
        <w:t>当前，世界经济一体化的进程正加速发展，全球的贸易、金融、投资等经济要素日益融合。中外学术界关于经济全球化的客观趋势和进步性的文献颇多，本文在不否认这类分析的前提下，着重阐述经济全球化中被忽视或淡化的若干重要理论与现实问题，并提出中国应采取的某些主要对策思路。</w:t>
      </w:r>
    </w:p>
    <w:p w14:paraId="66FA1209">
      <w:pPr>
        <w:autoSpaceDE w:val="0"/>
        <w:autoSpaceDN w:val="0"/>
        <w:adjustRightInd w:val="0"/>
        <w:spacing w:before="120" w:beforeLines="50" w:after="120" w:afterLines="50" w:line="400" w:lineRule="exact"/>
        <w:ind w:firstLine="480" w:firstLineChars="200"/>
        <w:jc w:val="center"/>
        <w:rPr>
          <w:rFonts w:hint="default" w:ascii="Times New Roman" w:hAnsi="Times New Roman" w:eastAsia="黑体" w:cs="Times New Roman"/>
          <w:b w:val="0"/>
          <w:bCs w:val="0"/>
          <w:kern w:val="28"/>
          <w:sz w:val="24"/>
          <w:szCs w:val="24"/>
        </w:rPr>
      </w:pPr>
      <w:r>
        <w:rPr>
          <w:rFonts w:hint="default" w:ascii="Times New Roman" w:hAnsi="Times New Roman" w:eastAsia="黑体" w:cs="Times New Roman"/>
          <w:b w:val="0"/>
          <w:bCs w:val="0"/>
          <w:kern w:val="28"/>
          <w:sz w:val="24"/>
          <w:szCs w:val="24"/>
        </w:rPr>
        <w:t>一、经济全球化的若干理论与现实</w:t>
      </w:r>
    </w:p>
    <w:p w14:paraId="7900992A">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rPr>
        <w:t>(一)全球化是发达国家发动和主导的，是西方单线论的体现</w:t>
      </w:r>
    </w:p>
    <w:p w14:paraId="4074BB76">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新制度经济学表明，制度的变迁往往是那些从中得到潜在利益者推动的。将制度变迁推展到国际关系中自然可见，当前的全球化制度是由在国际事务上占支配地位的某些西方大国组织实施的。最有竞争力的西方强国在国际事务上的垄断和霸权，力图将自身的生产方式逐渐扩展到所有的国家。作为唯一的超级大国，“美国深刻而突出地影响了新的全球秩序的形成。从某些方面看，</w:t>
      </w:r>
      <w:r>
        <w:rPr>
          <w:rFonts w:hint="default" w:ascii="Times New Roman" w:hAnsi="Times New Roman" w:eastAsia="MS Gothic" w:cs="Times New Roman"/>
          <w:szCs w:val="21"/>
        </w:rPr>
        <w:t>⋯⋯</w:t>
      </w:r>
      <w:r>
        <w:rPr>
          <w:rFonts w:hint="default" w:ascii="Times New Roman" w:hAnsi="Times New Roman" w:eastAsia="宋体" w:cs="Times New Roman"/>
          <w:szCs w:val="21"/>
        </w:rPr>
        <w:t>它企图把美国的宪法条款推及全球”(吉登斯，1998)</w:t>
      </w:r>
      <w:r>
        <w:rPr>
          <w:rFonts w:hint="default" w:ascii="Times New Roman" w:hAnsi="Times New Roman" w:eastAsia="宋体" w:cs="Times New Roman"/>
          <w:szCs w:val="21"/>
          <w:vertAlign w:val="superscript"/>
        </w:rPr>
        <w:t>①</w:t>
      </w:r>
      <w:r>
        <w:rPr>
          <w:rFonts w:hint="default" w:ascii="Times New Roman" w:hAnsi="Times New Roman" w:eastAsia="宋体" w:cs="Times New Roman"/>
          <w:szCs w:val="21"/>
        </w:rPr>
        <w:t>。</w:t>
      </w:r>
    </w:p>
    <w:p w14:paraId="00BA507F">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新制度经济学理论又表明，组织变迁的过程一般是从非正式的组织开始，但它必然会过渡到正式的组织安排；而一旦正式的组织安排形成，必然会产生强制的作用以利规章的实施，因而极易违反一致性原则；在各国力量悬殊的情况下，也会偏离多数意愿。因此，全球化被看作是世界市场上力量的解放，从经济上使国家失去权力，这种全球化对于大多数国家来说是一个被迫的过程，这是它们无法摆脱的一个过程。对于美国来说，这却是它的经济精英和政治精英有意识推动并维持的过程(马丁、舒曼，1998)。这种主要由发达国家引导和控制的全球化进程，其目的是在全球范围内实施资源和市场的不公平分配和竞争，并用西方强国资本主义的经济、政治和文化制度与模式来统一全世界，实现不发达国家均步发达国家后尘之世界历史发展单线论的主张。</w:t>
      </w:r>
    </w:p>
    <w:p w14:paraId="103D409E">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lang w:eastAsia="zh-CN"/>
        </w:rPr>
        <w:t>（</w:t>
      </w:r>
      <w:r>
        <w:rPr>
          <w:rFonts w:hint="default" w:ascii="Times New Roman" w:hAnsi="Times New Roman" w:eastAsia="宋体" w:cs="Times New Roman"/>
          <w:b/>
          <w:kern w:val="0"/>
          <w:szCs w:val="21"/>
          <w:lang w:val="en-US" w:eastAsia="zh-CN"/>
        </w:rPr>
        <w:t>二</w:t>
      </w:r>
      <w:r>
        <w:rPr>
          <w:rFonts w:hint="default" w:ascii="Times New Roman" w:hAnsi="Times New Roman" w:eastAsia="宋体" w:cs="Times New Roman"/>
          <w:b/>
          <w:kern w:val="0"/>
          <w:szCs w:val="21"/>
          <w:lang w:eastAsia="zh-CN"/>
        </w:rPr>
        <w:t>）</w:t>
      </w:r>
      <w:r>
        <w:rPr>
          <w:rFonts w:hint="default" w:ascii="Times New Roman" w:hAnsi="Times New Roman" w:eastAsia="宋体" w:cs="Times New Roman"/>
          <w:b/>
          <w:kern w:val="0"/>
          <w:szCs w:val="21"/>
        </w:rPr>
        <w:t>全球化制度充满了不平等，其利益分配也是不公平的</w:t>
      </w:r>
    </w:p>
    <w:p w14:paraId="21BC18BC">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由于在全球化进程中的地位和影响力不同，因而不可能有全球范围内真正的平等竞争。事实上，全球化是一种权利的优劣序列，甚至这种序列特征比以往任何时候都更加突出——即排序靠前的发达国家是以其在资源配置和游戏规则制定方面的优势来推行全球化，并使其向有利于自己的方向发展。结果正如马丁和舒曼所说的，由于全球化所释放的力量，它不久就会有全新的解释：世界上1/5的最富有国家决定着全世界84.7%的社会总生产，他们的公民所从事的贸易额占世界贸易总额的84.2%，占世界各国国内储蓄额的85.5%(马丁、舒曼，1998)。</w:t>
      </w:r>
    </w:p>
    <w:p w14:paraId="59501AC0">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那么，所有参与经济全球化的国家是否都能从中得到好处呢?是否像西方的帕累托福利理论所说的做大蛋糕呢?答案也是不确定的。由于全球化的推动，西方7国的平均增长率从1971～1982年的0.4%上升到1983～1994年的4.6%；而同时经合组织成员国的整个生产增长率从1960～1973年的3.3%下降到1973～1995年的0.8%(赫尔曼，1999)。马丁和舒曼通过墨西哥和土耳其的例子指出，指望通过完全的市场实现富强奇迹是天真的幻想。一个欠发达国家如果目标明确地促进工业发展并通过关税壁垒来保护自己，无论什么时候它试图与来自西方发达工业国的占压倒优势的竞争者较量，失败都是可以预见的：自由贸易仅仅意味着实现强者的权利——不仅是在中美洲(马丁、舒曼，1998)。满怀希望而资本薄弱的发展中国家无防护地融入高度发达的工业国家的自由贸易区，其遭受的损失大于得到的利益(马丁、舒曼，1998)。联合国秘书长安南甚至感慨道，全球化这个词不是被看成是客观实际的描述，而是一种掠夺性的资本主义意识形态。</w:t>
      </w:r>
    </w:p>
    <w:p w14:paraId="10894D3E">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lang w:eastAsia="zh-CN"/>
        </w:rPr>
        <w:t>（</w:t>
      </w:r>
      <w:r>
        <w:rPr>
          <w:rFonts w:hint="default" w:ascii="Times New Roman" w:hAnsi="Times New Roman" w:eastAsia="宋体" w:cs="Times New Roman"/>
          <w:b/>
          <w:kern w:val="0"/>
          <w:szCs w:val="21"/>
          <w:lang w:val="en-US" w:eastAsia="zh-CN"/>
        </w:rPr>
        <w:t>三</w:t>
      </w:r>
      <w:r>
        <w:rPr>
          <w:rFonts w:hint="default" w:ascii="Times New Roman" w:hAnsi="Times New Roman" w:eastAsia="宋体" w:cs="Times New Roman"/>
          <w:b/>
          <w:kern w:val="0"/>
          <w:szCs w:val="21"/>
          <w:lang w:eastAsia="zh-CN"/>
        </w:rPr>
        <w:t>）</w:t>
      </w:r>
      <w:r>
        <w:rPr>
          <w:rFonts w:hint="default" w:ascii="Times New Roman" w:hAnsi="Times New Roman" w:eastAsia="宋体" w:cs="Times New Roman"/>
          <w:b/>
          <w:kern w:val="0"/>
          <w:szCs w:val="21"/>
        </w:rPr>
        <w:t>经济全球化使世界贫富差距加速拉大，形成世界新的“中心—边缘”格局</w:t>
      </w:r>
    </w:p>
    <w:p w14:paraId="7A45956C">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世界各国的贫富差距拉大主要表现在以下几个方面：1)人均收入差距剧增。据统计，1960年全世界20%的最富有国家人均国民生产总值是占人口同样比例的最贫穷国家的30倍，30年之后即1990年，这一差距已经扩大到60倍，而1996年则进一步扩大为78倍。2)大量发展中国家的人均收入在下降。过去15年，100多个发展中国家人均收入减少了，60多个国家的人均消费以每年约1%的速度递减；1998年世界贫困人口又增加了4亿，共达17亿。3)不发达国家占世界贸易的份额也在下降。据《1998/1999年世界银行发展报告》的资料，中低收入国家在世界GDP的比重从1980年的28.6%降到1997年的21%；它们占世界贸易总额的比重从27%降到了25%。4)发展中国家的债务不断增加，屡屡爆发世界性的债务危机。如1996年发展中国家必须偿付的债务上升到1.94兆美元，是10年前的2倍。5)发展中国家的粮食危机、生存危机日益严重。生活在32个国家中的7亿多人，要把80%的收入花费在食品上，当粮食歉收时就难以生存。6)发展中国家的贸易条件恶化。这不仅表现在以20世纪50年代初期著名的经济学家普雷维什和辛格等提出“普雷维什—辛格命题”上，更表现在集中体现贸易条件真正内含的双要素贸易条件上。根据斯普罗斯的研究，发展中国家出口的所有的农产品的双要素贸易条件每年以2.0%～3.5%左右的速度下降，而它们几乎占了发展中国家非石油初级产品出口的3/4。因此，他认为，在传统的国际贸易格局下，发展中国家在国际贸易中的不平等地位几乎是不可避免的。</w:t>
      </w:r>
    </w:p>
    <w:p w14:paraId="037202A4">
      <w:pPr>
        <w:autoSpaceDE w:val="0"/>
        <w:autoSpaceDN w:val="0"/>
        <w:adjustRightInd w:val="0"/>
        <w:spacing w:line="400" w:lineRule="exact"/>
        <w:ind w:firstLine="420" w:firstLineChars="200"/>
        <w:rPr>
          <w:rFonts w:hint="default" w:ascii="Times New Roman" w:hAnsi="Times New Roman" w:eastAsia="宋体" w:cs="Times New Roman"/>
          <w:b/>
          <w:kern w:val="0"/>
          <w:szCs w:val="21"/>
        </w:rPr>
      </w:pPr>
      <w:r>
        <w:rPr>
          <w:rFonts w:hint="default" w:ascii="Times New Roman" w:hAnsi="Times New Roman" w:eastAsia="宋体" w:cs="Times New Roman"/>
          <w:b/>
          <w:kern w:val="0"/>
          <w:szCs w:val="21"/>
          <w:lang w:eastAsia="zh-CN"/>
        </w:rPr>
        <w:t>（</w:t>
      </w:r>
      <w:r>
        <w:rPr>
          <w:rFonts w:hint="default" w:ascii="Times New Roman" w:hAnsi="Times New Roman" w:eastAsia="宋体" w:cs="Times New Roman"/>
          <w:b/>
          <w:kern w:val="0"/>
          <w:szCs w:val="21"/>
          <w:lang w:val="en-US" w:eastAsia="zh-CN"/>
        </w:rPr>
        <w:t>四</w:t>
      </w:r>
      <w:r>
        <w:rPr>
          <w:rFonts w:hint="default" w:ascii="Times New Roman" w:hAnsi="Times New Roman" w:eastAsia="宋体" w:cs="Times New Roman"/>
          <w:b/>
          <w:kern w:val="0"/>
          <w:szCs w:val="21"/>
          <w:lang w:eastAsia="zh-CN"/>
        </w:rPr>
        <w:t>）</w:t>
      </w:r>
      <w:r>
        <w:rPr>
          <w:rFonts w:hint="default" w:ascii="Times New Roman" w:hAnsi="Times New Roman" w:eastAsia="宋体" w:cs="Times New Roman"/>
          <w:b/>
          <w:kern w:val="0"/>
          <w:szCs w:val="21"/>
        </w:rPr>
        <w:t>经济全球化使各国内部阶层又重新分化，收入差距也在加速拉大</w:t>
      </w:r>
    </w:p>
    <w:p w14:paraId="633ADB1B">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首先，就发达国家来说，1980～1996年美国最富裕的5%的家庭在家庭总收入中所占的比例从15.3%上升到20.3%；而最贫困的60%的家庭在家庭总收入中所占的比例则从34.2%下降到30%(约翰·卡西迪，1998)。因此，尽管1973～1995年美国的生产率增长了35%，但社会中层人们的实际平均工资率在最近几年还是很低，收入的不平衡上升到70年前的水平(赫尔曼，1999)。</w:t>
      </w:r>
    </w:p>
    <w:p w14:paraId="41171ACB">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其次，经济全球化导致发展中国家国内的贫富差距也在拉大。墨西哥、印度和中国等实证资料完全可以表明这一点。</w:t>
      </w:r>
    </w:p>
    <w:p w14:paraId="4254C5C2">
      <w:pPr>
        <w:autoSpaceDE w:val="0"/>
        <w:autoSpaceDN w:val="0"/>
        <w:adjustRightInd w:val="0"/>
        <w:spacing w:before="120" w:beforeLines="50" w:after="120" w:afterLines="50" w:line="400" w:lineRule="exact"/>
        <w:ind w:firstLine="420" w:firstLineChars="200"/>
        <w:rPr>
          <w:rFonts w:hint="default" w:ascii="Times New Roman" w:hAnsi="Times New Roman" w:eastAsia="宋体" w:cs="Times New Roman"/>
          <w:b/>
          <w:bCs/>
          <w:kern w:val="28"/>
          <w:szCs w:val="21"/>
        </w:rPr>
      </w:pPr>
      <w:r>
        <w:rPr>
          <w:rFonts w:hint="default" w:ascii="Times New Roman" w:hAnsi="Times New Roman" w:eastAsia="宋体" w:cs="Times New Roman"/>
          <w:b/>
          <w:bCs/>
          <w:kern w:val="28"/>
          <w:szCs w:val="21"/>
          <w:lang w:eastAsia="zh-CN"/>
        </w:rPr>
        <w:t>（</w:t>
      </w:r>
      <w:r>
        <w:rPr>
          <w:rFonts w:hint="default" w:ascii="Times New Roman" w:hAnsi="Times New Roman" w:eastAsia="宋体" w:cs="Times New Roman"/>
          <w:b/>
          <w:bCs/>
          <w:kern w:val="28"/>
          <w:szCs w:val="21"/>
          <w:lang w:val="en-US" w:eastAsia="zh-CN"/>
        </w:rPr>
        <w:t>五</w:t>
      </w:r>
      <w:r>
        <w:rPr>
          <w:rFonts w:hint="default" w:ascii="Times New Roman" w:hAnsi="Times New Roman" w:eastAsia="宋体" w:cs="Times New Roman"/>
          <w:b/>
          <w:bCs/>
          <w:kern w:val="28"/>
          <w:szCs w:val="21"/>
          <w:lang w:eastAsia="zh-CN"/>
        </w:rPr>
        <w:t>）</w:t>
      </w:r>
      <w:r>
        <w:rPr>
          <w:rFonts w:hint="default" w:ascii="Times New Roman" w:hAnsi="Times New Roman" w:eastAsia="宋体" w:cs="Times New Roman"/>
          <w:b/>
          <w:bCs/>
          <w:kern w:val="28"/>
          <w:szCs w:val="21"/>
        </w:rPr>
        <w:t>经济全球化同经济区域化和经济集团化并存</w:t>
      </w:r>
    </w:p>
    <w:p w14:paraId="369B42BF">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综观世界历史的发展，我们可以发现，经济不平衡发展是全球发展的一般规律。经济全球化不是某一时段上的状态，而是一种不断变化的过程，并与经济区域化和集团化共同发展与演进。根据世界贸易组织的统计，迄今为止，世界上已出现了144个区域性经济集团；国际货币基金组织的调查数为68个；而日本贸易振兴会推算数为101个。英国《经济学家》杂志公布的数字则显示，从1948～1994年全世界先后出现过109个区域经济合作组织，其中2/3是20世纪90年代的产物。目前至少已经有146个国家和地区参加了以上各种形式的区域性经济集团。在集团化方面，迄今出现的经济集团有：7国集团、77国集团、24国集团等。</w:t>
      </w:r>
    </w:p>
    <w:p w14:paraId="59BDB5B8">
      <w:pPr>
        <w:autoSpaceDE w:val="0"/>
        <w:autoSpaceDN w:val="0"/>
        <w:adjustRightInd w:val="0"/>
        <w:spacing w:before="120" w:beforeLines="50" w:after="120" w:afterLines="50" w:line="400" w:lineRule="exact"/>
        <w:ind w:firstLine="420" w:firstLineChars="200"/>
        <w:rPr>
          <w:rFonts w:hint="default" w:ascii="Times New Roman" w:hAnsi="Times New Roman" w:eastAsia="宋体" w:cs="Times New Roman"/>
          <w:b/>
          <w:bCs/>
          <w:kern w:val="28"/>
          <w:szCs w:val="21"/>
        </w:rPr>
      </w:pPr>
      <w:r>
        <w:rPr>
          <w:rFonts w:hint="default" w:ascii="Times New Roman" w:hAnsi="Times New Roman" w:eastAsia="宋体" w:cs="Times New Roman"/>
          <w:b/>
          <w:bCs/>
          <w:kern w:val="28"/>
          <w:szCs w:val="21"/>
          <w:lang w:eastAsia="zh-CN"/>
        </w:rPr>
        <w:t>（</w:t>
      </w:r>
      <w:r>
        <w:rPr>
          <w:rFonts w:hint="default" w:ascii="Times New Roman" w:hAnsi="Times New Roman" w:eastAsia="宋体" w:cs="Times New Roman"/>
          <w:b/>
          <w:bCs/>
          <w:kern w:val="28"/>
          <w:szCs w:val="21"/>
          <w:lang w:val="en-US" w:eastAsia="zh-CN"/>
        </w:rPr>
        <w:t>六</w:t>
      </w:r>
      <w:r>
        <w:rPr>
          <w:rFonts w:hint="default" w:ascii="Times New Roman" w:hAnsi="Times New Roman" w:eastAsia="宋体" w:cs="Times New Roman"/>
          <w:b/>
          <w:bCs/>
          <w:kern w:val="28"/>
          <w:szCs w:val="21"/>
          <w:lang w:eastAsia="zh-CN"/>
        </w:rPr>
        <w:t>）</w:t>
      </w:r>
      <w:r>
        <w:rPr>
          <w:rFonts w:hint="default" w:ascii="Times New Roman" w:hAnsi="Times New Roman" w:eastAsia="宋体" w:cs="Times New Roman"/>
          <w:b/>
          <w:bCs/>
          <w:kern w:val="28"/>
          <w:szCs w:val="21"/>
        </w:rPr>
        <w:t>经济全球化并不意味着国家利益的淡出，相反民族经济(国家经济)更加凸显</w:t>
      </w:r>
    </w:p>
    <w:p w14:paraId="266BFED3">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随着经济全球化进程的加快，民族经济非但没有萎缩，反而更加凸显，民族利益也越发突出。全球化制度是西方发达国家主导的这一事实本身就内含了这种制度的利益偏颇性。越来越多的贸易战，日益严重的民族冲突等，便充分说明了这一点。为此，汉斯·摩根索有经典之语，只要世界还是由国家组成的，国家利益仍然是各国交往的最后语言。像许多其他事物一样，全球化也是一个二律背反：它既包含一体化的趋势，同时又包含分裂化的倾向；既有单一化，又有多样化；既是集中化，又是分散化；既是国际化，又是本土化。目前，世界的一个重要特点就是，全球化与本土化之争，而全球化与本土化两个动力之间的紧张关系构成当今世界事务的核心。因此，随着全球化的发展，世界变小，但世界各国彼此并没有更接近(基辛格语，参见张西山，1998)。拿美国著名的政治理论家亨廷顿的话说就是，全球化导致的不是统一而是分裂和混乱，民族国家依然很重要，而且在不久的将来仍然会显得重要(阿里夫·德里克，1998)。</w:t>
      </w:r>
    </w:p>
    <w:p w14:paraId="67E75477">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世界经济的民族化倾向有三个层面：一是区域性经济集团在发展。二是发达国家贸易保护主义抬头，特别是美国。三是各区域集团以及各国之间的经济竞争和经济矛盾越来越明显。</w:t>
      </w:r>
    </w:p>
    <w:p w14:paraId="504D64D3">
      <w:pPr>
        <w:autoSpaceDE w:val="0"/>
        <w:autoSpaceDN w:val="0"/>
        <w:adjustRightInd w:val="0"/>
        <w:spacing w:before="120" w:beforeLines="50" w:after="120" w:afterLines="50" w:line="400" w:lineRule="exact"/>
        <w:ind w:firstLine="420" w:firstLineChars="200"/>
        <w:rPr>
          <w:rFonts w:hint="default" w:ascii="Times New Roman" w:hAnsi="Times New Roman" w:eastAsia="宋体" w:cs="Times New Roman"/>
          <w:b/>
          <w:bCs/>
          <w:kern w:val="28"/>
          <w:szCs w:val="21"/>
        </w:rPr>
      </w:pPr>
      <w:r>
        <w:rPr>
          <w:rFonts w:hint="default" w:ascii="Times New Roman" w:hAnsi="Times New Roman" w:eastAsia="宋体" w:cs="Times New Roman"/>
          <w:b/>
          <w:bCs/>
          <w:kern w:val="28"/>
          <w:szCs w:val="21"/>
          <w:lang w:eastAsia="zh-CN"/>
        </w:rPr>
        <w:t>（</w:t>
      </w:r>
      <w:r>
        <w:rPr>
          <w:rFonts w:hint="default" w:ascii="Times New Roman" w:hAnsi="Times New Roman" w:eastAsia="宋体" w:cs="Times New Roman"/>
          <w:b/>
          <w:bCs/>
          <w:kern w:val="28"/>
          <w:szCs w:val="21"/>
          <w:lang w:val="en-US" w:eastAsia="zh-CN"/>
        </w:rPr>
        <w:t>七</w:t>
      </w:r>
      <w:r>
        <w:rPr>
          <w:rFonts w:hint="default" w:ascii="Times New Roman" w:hAnsi="Times New Roman" w:eastAsia="宋体" w:cs="Times New Roman"/>
          <w:b/>
          <w:bCs/>
          <w:kern w:val="28"/>
          <w:szCs w:val="21"/>
          <w:lang w:eastAsia="zh-CN"/>
        </w:rPr>
        <w:t>）</w:t>
      </w:r>
      <w:r>
        <w:rPr>
          <w:rFonts w:hint="default" w:ascii="Times New Roman" w:hAnsi="Times New Roman" w:eastAsia="宋体" w:cs="Times New Roman"/>
          <w:b/>
          <w:bCs/>
          <w:kern w:val="28"/>
          <w:szCs w:val="21"/>
        </w:rPr>
        <w:t>知识资源在全球化进程中的重要性日趋加强，教育成为各国较量的重点</w:t>
      </w:r>
    </w:p>
    <w:p w14:paraId="0AE21548">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生产的主要资源是人力资本和知识。从事知识工作和服务工作的人的生产力而不是制造和运送产品的人的生产力，才是发达国家的生产力。今天，只有知识和技能才是各种竞争中获得优势的唯一胜利源泉。彼得·德鲁克甚至认为只要各国重视知识的创造，那么在今后的10年或20年内很可能会出现新的、惊人的‘经济奇迹’，贫穷落后的第三世界国家几乎一夜之间会使自己变成飞速增长的经济强国(彼得·德里克，1998)。</w:t>
      </w:r>
    </w:p>
    <w:p w14:paraId="15584BA4">
      <w:pPr>
        <w:spacing w:line="400" w:lineRule="exact"/>
        <w:ind w:firstLine="420" w:firstLineChars="200"/>
        <w:rPr>
          <w:rFonts w:hint="default" w:ascii="Times New Roman" w:hAnsi="Times New Roman" w:eastAsia="宋体" w:cs="Times New Roman"/>
          <w:b/>
          <w:szCs w:val="21"/>
        </w:rPr>
      </w:pPr>
      <w:r>
        <w:rPr>
          <w:rFonts w:hint="default" w:ascii="Times New Roman" w:hAnsi="Times New Roman" w:eastAsia="宋体" w:cs="Times New Roman"/>
          <w:szCs w:val="21"/>
        </w:rPr>
        <w:t>那么，获得知识这种资源的来源在哪儿呢?首先在于教育，科技及其制度的优劣是教育的函数。德国的卡尔·梅因茨·巴奎(巴奎，1998)认为，从长期观点来看，只有一个国家的教育制度在某种程度上与经济结构相配合的时候，才能使劳动力的供给获得保障。日本和韩国高度重视教育是众所周知的，两国教师在国内的相对收入位于世界同行的前列，从而在小学至大学均确保了一流人才在培养和教育下一代。瑟罗曾指出，任何一个国家只要有像日本那样良好的教育，像日本人那样勤奋努力，有像日本那样大量的投资，就仍然拥有重要的基础性意义的长期资源，以确保新的成功。</w:t>
      </w:r>
    </w:p>
    <w:p w14:paraId="0B324EF2">
      <w:pPr>
        <w:autoSpaceDE w:val="0"/>
        <w:autoSpaceDN w:val="0"/>
        <w:adjustRightInd w:val="0"/>
        <w:spacing w:before="120" w:beforeLines="50" w:after="120" w:afterLines="50" w:line="400" w:lineRule="exact"/>
        <w:ind w:firstLine="480" w:firstLineChars="200"/>
        <w:jc w:val="center"/>
        <w:rPr>
          <w:rFonts w:hint="default" w:ascii="Times New Roman" w:hAnsi="Times New Roman" w:eastAsia="黑体" w:cs="Times New Roman"/>
          <w:b w:val="0"/>
          <w:bCs w:val="0"/>
          <w:kern w:val="28"/>
          <w:sz w:val="24"/>
          <w:szCs w:val="24"/>
        </w:rPr>
      </w:pPr>
      <w:r>
        <w:rPr>
          <w:rFonts w:hint="default" w:ascii="Times New Roman" w:hAnsi="Times New Roman" w:eastAsia="黑体" w:cs="Times New Roman"/>
          <w:b w:val="0"/>
          <w:bCs w:val="0"/>
          <w:kern w:val="28"/>
          <w:sz w:val="24"/>
          <w:szCs w:val="24"/>
        </w:rPr>
        <w:t>二、我国在经济全球化中应采取的对策思路</w:t>
      </w:r>
    </w:p>
    <w:p w14:paraId="1403362C">
      <w:pPr>
        <w:autoSpaceDE w:val="0"/>
        <w:autoSpaceDN w:val="0"/>
        <w:adjustRightInd w:val="0"/>
        <w:spacing w:before="120" w:beforeLines="50" w:after="120" w:afterLines="50" w:line="400" w:lineRule="exact"/>
        <w:ind w:firstLine="420" w:firstLineChars="200"/>
        <w:rPr>
          <w:rFonts w:hint="default" w:ascii="Times New Roman" w:hAnsi="Times New Roman" w:eastAsia="宋体" w:cs="Times New Roman"/>
          <w:b/>
          <w:bCs/>
          <w:kern w:val="28"/>
          <w:szCs w:val="21"/>
        </w:rPr>
      </w:pPr>
      <w:r>
        <w:rPr>
          <w:rFonts w:hint="default" w:ascii="Times New Roman" w:hAnsi="Times New Roman" w:eastAsia="宋体" w:cs="Times New Roman"/>
          <w:b/>
          <w:bCs/>
          <w:kern w:val="28"/>
          <w:szCs w:val="21"/>
        </w:rPr>
        <w:t>1.如何面对“十字军东征”?首先是加快建立“三控型”民族企业集团</w:t>
      </w:r>
    </w:p>
    <w:p w14:paraId="36247D3E">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所谓“三控”，就是控股(资本)、控牌(品牌)和控技(技术)，只有实行“三控”的企业才是较完全的民族经济</w:t>
      </w:r>
      <w:r>
        <w:rPr>
          <w:rFonts w:hint="default" w:ascii="Times New Roman" w:hAnsi="Times New Roman" w:eastAsia="宋体" w:cs="Times New Roman"/>
          <w:szCs w:val="21"/>
          <w:vertAlign w:val="superscript"/>
        </w:rPr>
        <w:t>②</w:t>
      </w:r>
      <w:r>
        <w:rPr>
          <w:rFonts w:hint="default" w:ascii="Times New Roman" w:hAnsi="Times New Roman" w:eastAsia="宋体" w:cs="Times New Roman"/>
          <w:szCs w:val="21"/>
        </w:rPr>
        <w:t>。在全球化飞速发展的今天，国家经济安全愈发显得重要，而对于发展中国家来说，国家经济安全的核心在于民族产业的安全(程恩富，1998)。所谓民族产业安全或国民产业安全，是指在国际交往和竞争中由该国国民所有和控制的产业，其地位和权益可能受到外国产业影响和危害的状态。而民族产业的具体差别标准可以从资本、品牌和技术等多层面加以设定。</w:t>
      </w:r>
    </w:p>
    <w:p w14:paraId="745D94DB">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从跨国公司产生的后果看，迫切要求我们建立“三控”企业。一方面，外资控股的企业往往将工业化的不良后果转移到设有子公司的国家。据联合国有关机构统计，世界上绝大部分有毒垃圾是发达国家造成的，美、英、德、荷、澳等20多个发达国家生产了占世界95%的有毒垃圾。而且，这些国家每年以5000万吨的规模向发展中国家转移危险废物。中国作为一个外资流入大国，也不能幸免于难。另一方面，低技术、无品牌的竞争已越来越威胁到民族企业的生存。此外，从目前我国利用外资的效果来看，通常出现的是“反被外资利用”的现象。</w:t>
      </w:r>
    </w:p>
    <w:p w14:paraId="5DCE7DA9">
      <w:pPr>
        <w:autoSpaceDE w:val="0"/>
        <w:autoSpaceDN w:val="0"/>
        <w:adjustRightInd w:val="0"/>
        <w:spacing w:before="120" w:beforeLines="50" w:after="120" w:afterLines="50" w:line="400" w:lineRule="exact"/>
        <w:ind w:firstLine="420" w:firstLineChars="200"/>
        <w:rPr>
          <w:rFonts w:hint="default" w:ascii="Times New Roman" w:hAnsi="Times New Roman" w:eastAsia="宋体" w:cs="Times New Roman"/>
          <w:b/>
          <w:bCs/>
          <w:kern w:val="28"/>
          <w:szCs w:val="21"/>
        </w:rPr>
      </w:pPr>
      <w:r>
        <w:rPr>
          <w:rFonts w:hint="default" w:ascii="Times New Roman" w:hAnsi="Times New Roman" w:eastAsia="宋体" w:cs="Times New Roman"/>
          <w:b/>
          <w:bCs/>
          <w:kern w:val="28"/>
          <w:szCs w:val="21"/>
        </w:rPr>
        <w:t>2.什么是参与全球化过程中的双赢?关键是争取对半式双赢</w:t>
      </w:r>
    </w:p>
    <w:p w14:paraId="2FAF3A3A">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积极主张加入全球化进程的一个主要理由是，参与全球化是一个双赢的行为。但什么是双赢呢?显然，多数人的所谓的双赢就是大家都有好处，至少不会变得更坏。但是否是同等程度地受利，就不再考虑了。事实上，即使是几乎所有参与全球化过程的国家在不同程度上都从中受益，也并不意味着利益均沾，因为作为资本和先进技术的主要拥有者，发达国家总是处于全球化的中心地位，这种相对优势使它们在规则的制定方面具有主导权。</w:t>
      </w:r>
    </w:p>
    <w:p w14:paraId="09039398">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我们在参与发达国家主导的全球化进程的同时，不能仅仅强调与国际“接轨”，不能只是跟着发达国家制定的模式和规则走，而是要参与制定全球化运作的规则，积极谋求本国的利益。我们旗帜鲜明的主张应是对半式双赢，即要努力争取获取同等比例的利益。只有这样，才能防止自己滑落到很可能来临的新一轮的中心—边缘世界格局的边缘。在全球化的制度形成中，我们要关注制度的定位，要关注本国获得的利益份额。</w:t>
      </w:r>
    </w:p>
    <w:p w14:paraId="2BF3CEE3">
      <w:pPr>
        <w:autoSpaceDE w:val="0"/>
        <w:autoSpaceDN w:val="0"/>
        <w:adjustRightInd w:val="0"/>
        <w:spacing w:before="120" w:beforeLines="50" w:after="120" w:afterLines="50" w:line="400" w:lineRule="exact"/>
        <w:ind w:firstLine="420" w:firstLineChars="200"/>
        <w:rPr>
          <w:rFonts w:hint="default" w:ascii="Times New Roman" w:hAnsi="Times New Roman" w:eastAsia="宋体" w:cs="Times New Roman"/>
          <w:b/>
          <w:bCs/>
          <w:kern w:val="28"/>
          <w:szCs w:val="21"/>
        </w:rPr>
      </w:pPr>
      <w:r>
        <w:rPr>
          <w:rFonts w:hint="default" w:ascii="Times New Roman" w:hAnsi="Times New Roman" w:eastAsia="宋体" w:cs="Times New Roman"/>
          <w:b/>
          <w:bCs/>
          <w:kern w:val="28"/>
          <w:szCs w:val="21"/>
        </w:rPr>
        <w:t>3.怎样为本国企业争取好的国际竞争环境?尽快对外资企业实行国民待遇</w:t>
      </w:r>
    </w:p>
    <w:p w14:paraId="792DF5A2">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在面临全球化冲击之时，各国政府的一个重要的作用，在于为本国的企业争取一个有利的环境，对缺乏竞争力的发展中国家的企业尤其如此。当前，我国政府首先能做并且应该做的是，对外资实行国民待遇。国民待遇是指对外资企业的待遇与本国企业相同。一般来说，各个主权国家为了民族的利益，都对民族产业实行一定程度的保护，对所谓的幼稚产业尤其如此。但长期以来，一些发展中国家为了能更多的吸收外来资本，反而对外资实行一种较国内资本更有利、更优惠的政策，即“超国民待遇”。迄今为止，中国还在对外资实行这种“超国民待遇”。对外资的“超国民待遇”的存在，导致地区差距扩大、引起不平等竞争，反而恶化了市场环境，甚至出现了大量的假合资和被迫合资的现象。简言之，只有尽快取消这种对本国企业不利的超国民待遇，才能更好地为本国争取更好的国际竞争环境。</w:t>
      </w:r>
    </w:p>
    <w:p w14:paraId="4F7F5AAD">
      <w:pPr>
        <w:autoSpaceDE w:val="0"/>
        <w:autoSpaceDN w:val="0"/>
        <w:adjustRightInd w:val="0"/>
        <w:spacing w:before="120" w:beforeLines="50" w:after="120" w:afterLines="50" w:line="400" w:lineRule="exact"/>
        <w:ind w:firstLine="420" w:firstLineChars="200"/>
        <w:rPr>
          <w:rFonts w:hint="default" w:ascii="Times New Roman" w:hAnsi="Times New Roman" w:eastAsia="宋体" w:cs="Times New Roman"/>
          <w:b/>
          <w:bCs/>
          <w:kern w:val="28"/>
          <w:szCs w:val="21"/>
        </w:rPr>
      </w:pPr>
      <w:r>
        <w:rPr>
          <w:rFonts w:hint="default" w:ascii="Times New Roman" w:hAnsi="Times New Roman" w:eastAsia="宋体" w:cs="Times New Roman"/>
          <w:b/>
          <w:bCs/>
          <w:kern w:val="28"/>
          <w:szCs w:val="21"/>
        </w:rPr>
        <w:t>4.什么是应对全球化的根本之策?加大教育和科技投入，创造知识资源</w:t>
      </w:r>
    </w:p>
    <w:p w14:paraId="001955E0">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面对即将“入世”的自由贸易大趋势，我国政府在扶持本国产业的方向和策略上就应有所转变，应主要注重于提高本国的教育和科技。</w:t>
      </w:r>
    </w:p>
    <w:p w14:paraId="587F9749">
      <w:pPr>
        <w:spacing w:line="400" w:lineRule="exact"/>
        <w:ind w:firstLine="420" w:firstLineChars="200"/>
        <w:rPr>
          <w:rFonts w:hint="default" w:ascii="Times New Roman" w:hAnsi="Times New Roman" w:eastAsia="宋体" w:cs="Times New Roman"/>
          <w:szCs w:val="21"/>
        </w:rPr>
      </w:pPr>
    </w:p>
    <w:p w14:paraId="1F191844">
      <w:pPr>
        <w:spacing w:line="400" w:lineRule="exact"/>
        <w:ind w:firstLine="420" w:firstLineChars="200"/>
        <w:rPr>
          <w:rFonts w:hint="default" w:ascii="Times New Roman" w:hAnsi="Times New Roman" w:eastAsia="宋体" w:cs="Times New Roman"/>
          <w:b/>
          <w:szCs w:val="21"/>
        </w:rPr>
      </w:pPr>
      <w:r>
        <w:rPr>
          <w:rFonts w:hint="default" w:ascii="Times New Roman" w:hAnsi="Times New Roman" w:eastAsia="宋体" w:cs="Times New Roman"/>
          <w:b/>
          <w:szCs w:val="21"/>
        </w:rPr>
        <w:t>注释：</w:t>
      </w:r>
    </w:p>
    <w:p w14:paraId="3C323C79">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①美国的历史学家阿里夫·德里克也承认，对全球化最热情的宣传是来自旧的权力中心，尤其是美国，全球化也具有意识形态性(阿里夫·德里克，1998)。</w:t>
      </w:r>
    </w:p>
    <w:p w14:paraId="1A4CDA45">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②当然这里用的是“较完全”的用语，而不是用“完全”的词语，完全的民族经济应是所有的资本、品牌和技术都是国有的。</w:t>
      </w:r>
    </w:p>
    <w:p w14:paraId="31D08610">
      <w:pPr>
        <w:spacing w:line="400" w:lineRule="exact"/>
        <w:ind w:firstLine="420" w:firstLineChars="200"/>
        <w:rPr>
          <w:rFonts w:hint="default" w:ascii="Times New Roman" w:hAnsi="Times New Roman" w:eastAsia="宋体" w:cs="Times New Roman"/>
          <w:bCs/>
          <w:szCs w:val="21"/>
        </w:rPr>
      </w:pPr>
      <w:bookmarkStart w:id="43" w:name="_Toc17441"/>
      <w:r>
        <w:rPr>
          <w:rFonts w:hint="default" w:ascii="Times New Roman" w:hAnsi="Times New Roman" w:eastAsia="宋体" w:cs="Times New Roman"/>
          <w:bCs/>
          <w:szCs w:val="21"/>
        </w:rPr>
        <w:t>参考文献：</w:t>
      </w:r>
      <w:bookmarkEnd w:id="43"/>
    </w:p>
    <w:p w14:paraId="0BB016A5">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[1]程恩富.外商直接投资与民族产业安全[J].财经研究，1998，(2).</w:t>
      </w:r>
    </w:p>
    <w:p w14:paraId="2295F98C">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[2]程恩富主编.当代中国经济理论探索[M].上海：上海财经大学出版社，2000.</w:t>
      </w:r>
    </w:p>
    <w:p w14:paraId="05CA8E20">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[3]阿里夫·德里克.全球性的形成与激进政见[A].王宁，薛晓源主编.全球化与后殖民批评[C].北京：中央编译出版社，1998.</w:t>
      </w:r>
    </w:p>
    <w:p w14:paraId="48F65C47">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[4]约阿吉姆·比朔夫.全球化——世界经济结构变化分析[A].张世鹏，殷叙彝编译.全球化时代的资本主义[C].北京：中央编译出版社，1998.</w:t>
      </w:r>
    </w:p>
    <w:p w14:paraId="2B60D83B">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[5]马丁，舒曼.全球化陷阱[M].北京：中央编译出版社，1998.</w:t>
      </w:r>
    </w:p>
    <w:p w14:paraId="0C3A8AF8">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[6]爱德华·S·赫尔曼.全球化的威胁[J].马克思主义与现实，1999，(5).</w:t>
      </w:r>
    </w:p>
    <w:p w14:paraId="7F51E7E2">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[7]彼得·德里克.后资本主义社会[M].上海：上海译文出版社，1998.</w:t>
      </w:r>
    </w:p>
    <w:p w14:paraId="5C41E0D1">
      <w:pPr>
        <w:spacing w:line="400" w:lineRule="exact"/>
        <w:ind w:firstLine="420" w:firstLineChars="200"/>
        <w:rPr>
          <w:rFonts w:hint="default" w:ascii="Times New Roman" w:hAnsi="Times New Roman" w:eastAsia="宋体" w:cs="Times New Roman"/>
          <w:szCs w:val="21"/>
        </w:rPr>
      </w:pPr>
    </w:p>
    <w:p w14:paraId="6C92D0D6">
      <w:pPr>
        <w:spacing w:line="400" w:lineRule="exact"/>
        <w:ind w:firstLine="420" w:firstLineChars="200"/>
        <w:rPr>
          <w:rFonts w:hint="default" w:ascii="Times New Roman" w:hAnsi="Times New Roman" w:eastAsia="宋体" w:cs="Times New Roman"/>
          <w:szCs w:val="21"/>
        </w:rPr>
      </w:pPr>
      <w:bookmarkStart w:id="44" w:name="_Toc17783"/>
      <w:r>
        <w:rPr>
          <w:rFonts w:hint="default" w:ascii="Times New Roman" w:hAnsi="Times New Roman" w:eastAsia="宋体" w:cs="Times New Roman"/>
          <w:szCs w:val="21"/>
        </w:rPr>
        <w:t>（原载《财经研究》2000年第10期，第二作者为朱富强）</w:t>
      </w:r>
      <w:bookmarkEnd w:id="44"/>
    </w:p>
    <w:p w14:paraId="2EEC82B7">
      <w:pPr>
        <w:pStyle w:val="4"/>
        <w:spacing w:before="10" w:line="400" w:lineRule="exact"/>
        <w:ind w:firstLine="420" w:firstLineChars="200"/>
        <w:rPr>
          <w:rFonts w:hint="default" w:ascii="Times New Roman" w:hAnsi="Times New Roman" w:eastAsia="宋体" w:cs="Times New Roman"/>
        </w:rPr>
      </w:pPr>
      <w:r>
        <w:rPr>
          <w:rFonts w:hint="default" w:ascii="Times New Roman" w:hAnsi="Times New Roman" w:eastAsia="宋体" w:cs="Times New Roman"/>
        </w:rPr>
        <w:br w:type="page"/>
      </w:r>
    </w:p>
    <w:p w14:paraId="631CB964">
      <w:pPr>
        <w:pStyle w:val="4"/>
        <w:spacing w:before="10" w:line="400" w:lineRule="exact"/>
        <w:ind w:left="0"/>
        <w:rPr>
          <w:rFonts w:hint="default" w:ascii="Times New Roman" w:hAnsi="Times New Roman" w:eastAsia="宋体" w:cs="Times New Roman"/>
          <w:lang w:val="en-US"/>
        </w:rPr>
      </w:pPr>
    </w:p>
    <w:p w14:paraId="69069A09">
      <w:pPr>
        <w:pStyle w:val="3"/>
        <w:rPr>
          <w:rFonts w:hint="default" w:ascii="Times New Roman" w:hAnsi="Times New Roman" w:cs="Times New Roman"/>
          <w:lang w:val="zh-TW" w:eastAsia="zh-TW"/>
        </w:rPr>
      </w:pPr>
      <w:bookmarkStart w:id="45" w:name="_Toc9856"/>
      <w:bookmarkStart w:id="46" w:name="_Toc966"/>
      <w:bookmarkStart w:id="47" w:name="_Toc4114"/>
      <w:bookmarkStart w:id="48" w:name="_Toc162238636"/>
      <w:bookmarkStart w:id="49" w:name="_Toc2136036802"/>
      <w:r>
        <w:rPr>
          <w:rFonts w:hint="default" w:ascii="Times New Roman" w:hAnsi="Times New Roman" w:cs="Times New Roman"/>
          <w:lang w:val="zh-TW" w:eastAsia="zh-TW"/>
        </w:rPr>
        <w:t>经济全球化及中国的对策</w:t>
      </w:r>
      <w:bookmarkEnd w:id="45"/>
      <w:bookmarkEnd w:id="46"/>
      <w:bookmarkEnd w:id="47"/>
      <w:bookmarkEnd w:id="48"/>
      <w:bookmarkEnd w:id="49"/>
    </w:p>
    <w:p w14:paraId="4B66B28A">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textAlignment w:val="auto"/>
        <w:rPr>
          <w:rFonts w:hint="default" w:ascii="Times New Roman" w:hAnsi="Times New Roman" w:eastAsia="宋体" w:cs="Times New Roman"/>
          <w:color w:val="auto"/>
          <w:spacing w:val="0"/>
          <w:w w:val="100"/>
          <w:lang w:val="en-US"/>
        </w:rPr>
      </w:pPr>
      <w:r>
        <w:rPr>
          <w:rFonts w:hint="default" w:ascii="Times New Roman" w:hAnsi="Times New Roman" w:eastAsia="宋体" w:cs="Times New Roman"/>
          <w:color w:val="auto"/>
          <w:spacing w:val="0"/>
          <w:w w:val="100"/>
        </w:rPr>
        <w:t>经济全球化描述的是生产要素在各国之间流动加快的趋势</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经济活动在各国之间联系日益紧密的趋势。</w:t>
      </w:r>
    </w:p>
    <w:p w14:paraId="700C5308">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80" w:firstLineChars="200"/>
        <w:jc w:val="center"/>
        <w:textAlignment w:val="auto"/>
        <w:rPr>
          <w:rFonts w:hint="default" w:ascii="Times New Roman" w:hAnsi="Times New Roman" w:eastAsia="黑体" w:cs="Times New Roman"/>
          <w:b w:val="0"/>
          <w:bCs w:val="0"/>
          <w:color w:val="auto"/>
          <w:spacing w:val="0"/>
          <w:w w:val="100"/>
          <w:sz w:val="24"/>
          <w:szCs w:val="24"/>
        </w:rPr>
      </w:pPr>
      <w:r>
        <w:rPr>
          <w:rFonts w:hint="default" w:ascii="Times New Roman" w:hAnsi="Times New Roman" w:eastAsia="黑体" w:cs="Times New Roman"/>
          <w:b w:val="0"/>
          <w:bCs w:val="0"/>
          <w:color w:val="auto"/>
          <w:spacing w:val="0"/>
          <w:w w:val="100"/>
          <w:sz w:val="24"/>
          <w:szCs w:val="24"/>
        </w:rPr>
        <w:t>一、经济全球化的动因与基本特征</w:t>
      </w:r>
    </w:p>
    <w:p w14:paraId="6D96B191">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textAlignment w:val="auto"/>
        <w:rPr>
          <w:rFonts w:hint="default" w:ascii="Times New Roman" w:hAnsi="Times New Roman" w:eastAsia="宋体" w:cs="Times New Roman"/>
          <w:color w:val="auto"/>
          <w:spacing w:val="0"/>
          <w:w w:val="100"/>
        </w:rPr>
      </w:pPr>
      <w:r>
        <w:rPr>
          <w:rFonts w:hint="default" w:ascii="Times New Roman" w:hAnsi="Times New Roman" w:eastAsia="宋体" w:cs="Times New Roman"/>
          <w:color w:val="auto"/>
          <w:spacing w:val="0"/>
          <w:w w:val="100"/>
        </w:rPr>
        <w:t>第一，经济全球化是与知识经济</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尤其是信息技术相适应的。从世纪经济的发展过程来看</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经济国际化是与工业经济相适应的</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而经济全球化则是与信息经济相适应的。在全球化的国际经济关系中</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不仅有货物、劳务和资本的大规模国际交流</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而且信息技术的广泛应用给人们提供了一种更便捷无比的国际交流手段</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使国际经济关系更加紧密。没有信息化</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就没有全球化。</w:t>
      </w:r>
    </w:p>
    <w:p w14:paraId="2E9C5908">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textAlignment w:val="auto"/>
        <w:rPr>
          <w:rFonts w:hint="default" w:ascii="Times New Roman" w:hAnsi="Times New Roman" w:eastAsia="宋体" w:cs="Times New Roman"/>
          <w:color w:val="auto"/>
          <w:spacing w:val="0"/>
          <w:w w:val="100"/>
        </w:rPr>
      </w:pPr>
      <w:r>
        <w:rPr>
          <w:rFonts w:hint="default" w:ascii="Times New Roman" w:hAnsi="Times New Roman" w:eastAsia="宋体" w:cs="Times New Roman"/>
          <w:color w:val="auto"/>
          <w:spacing w:val="0"/>
          <w:w w:val="100"/>
        </w:rPr>
        <w:t>第二，经济全球化是以横向的水平分工为基础的。经济的国际化和全球化都是建立在一定的国际分工基础之上的</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所不同的是</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经济国际化是以垂直型的分工为主的</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即发达国家专门从事制造业生产</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而经济落后的国家则是农产品和原材料的供应者。而经济全球化的分工基础是以水平分工为主</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即不仅发达国家从事制造业的生产</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发展中国家也大力实行工业化</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发展制造业。各国不仅在制造业部门有分工</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而且在同一部门的不同产品</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同一产品的不同零部件方面也有分工。二次大战后</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这种水平型的分工日益深化。近年来</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国际分工又有新的发展</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即发达国家着重发展高科技产业</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而发展中国家则发展一般制造业。这在二者之间</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既建立了新的互补关系</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又造成了新的差距。</w:t>
      </w:r>
    </w:p>
    <w:p w14:paraId="5768992F">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textAlignment w:val="auto"/>
        <w:rPr>
          <w:rFonts w:hint="default" w:ascii="Times New Roman" w:hAnsi="Times New Roman" w:eastAsia="宋体" w:cs="Times New Roman"/>
          <w:color w:val="auto"/>
          <w:spacing w:val="0"/>
          <w:w w:val="100"/>
        </w:rPr>
      </w:pPr>
      <w:r>
        <w:rPr>
          <w:rFonts w:hint="default" w:ascii="Times New Roman" w:hAnsi="Times New Roman" w:eastAsia="宋体" w:cs="Times New Roman"/>
          <w:color w:val="auto"/>
          <w:spacing w:val="0"/>
          <w:w w:val="100"/>
        </w:rPr>
        <w:t>第三，经济全球化是以多元的行为主体来构成世界经济和国际关系的。在经济国际化的条件下</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世界市场的主体是国家</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国际联系主要是在国家之间进行的。当时的企业对发展国际经济关系</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扩大国际经济交流</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所起的作用并不大。而在经济全球化的条件下</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世界经济和国际关系的行为主体是多元的。除国家之外</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还有企业</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即现代跨国公司和跨国银行。它们把自己的生产、投资、销售等活动的场所遍布全球各地</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实行全球经营战略。跨国公司的全球化经营</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形成了当代国际经济关系空前巨大和严密的全球网络</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把世界各国和全球经济都包罗在内</w:t>
      </w:r>
      <w:r>
        <w:rPr>
          <w:rFonts w:hint="default" w:ascii="Times New Roman" w:hAnsi="Times New Roman" w:eastAsia="宋体" w:cs="Times New Roman"/>
          <w:color w:val="auto"/>
          <w:spacing w:val="0"/>
          <w:w w:val="100"/>
          <w:lang w:eastAsia="zh-CN"/>
        </w:rPr>
        <w:t>，</w:t>
      </w:r>
      <w:r>
        <w:rPr>
          <w:rFonts w:hint="default" w:ascii="Times New Roman" w:hAnsi="Times New Roman" w:eastAsia="宋体" w:cs="Times New Roman"/>
          <w:color w:val="auto"/>
          <w:spacing w:val="0"/>
          <w:w w:val="100"/>
        </w:rPr>
        <w:t>全球化的经济就是这种网络经济。</w:t>
      </w:r>
    </w:p>
    <w:p w14:paraId="69860ED9">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textAlignment w:val="auto"/>
        <w:rPr>
          <w:rFonts w:hint="default" w:ascii="Times New Roman" w:hAnsi="Times New Roman" w:eastAsia="宋体" w:cs="Times New Roman"/>
          <w:color w:val="auto"/>
          <w:spacing w:val="0"/>
          <w:w w:val="100"/>
          <w:sz w:val="21"/>
        </w:rPr>
      </w:pPr>
      <w:r>
        <w:rPr>
          <w:rFonts w:hint="default" w:ascii="Times New Roman" w:hAnsi="Times New Roman" w:eastAsia="宋体" w:cs="Times New Roman"/>
          <w:color w:val="auto"/>
          <w:spacing w:val="0"/>
          <w:w w:val="100"/>
          <w:sz w:val="21"/>
        </w:rPr>
        <w:t>第四，经济全球化是靠市场体系和市场经济体制来沟通各国之间的经济联系的。在经济国际化时期</w:t>
      </w:r>
      <w:r>
        <w:rPr>
          <w:rFonts w:hint="default" w:ascii="Times New Roman" w:hAnsi="Times New Roman" w:eastAsia="宋体" w:cs="Times New Roman"/>
          <w:color w:val="auto"/>
          <w:spacing w:val="0"/>
          <w:w w:val="100"/>
          <w:sz w:val="21"/>
          <w:lang w:eastAsia="zh-CN"/>
        </w:rPr>
        <w:t>，</w:t>
      </w:r>
      <w:r>
        <w:rPr>
          <w:rFonts w:hint="default" w:ascii="Times New Roman" w:hAnsi="Times New Roman" w:eastAsia="宋体" w:cs="Times New Roman"/>
          <w:color w:val="auto"/>
          <w:spacing w:val="0"/>
          <w:w w:val="100"/>
          <w:sz w:val="21"/>
        </w:rPr>
        <w:t>作为各国之间经济交往的领域主要是商品交换和资本流动。但是，在经济全球化时期，不仅国际货物贸易空前扩大，资本流动成百倍地增长，而且国外直接投资、劳务贸易、科技贸易、信息传播、人员流动、国际旅游等领域都有了迅猛的发展。这些领域互相促进</w:t>
      </w:r>
      <w:r>
        <w:rPr>
          <w:rFonts w:hint="default" w:ascii="Times New Roman" w:hAnsi="Times New Roman" w:eastAsia="宋体" w:cs="Times New Roman"/>
          <w:color w:val="auto"/>
          <w:spacing w:val="0"/>
          <w:w w:val="100"/>
          <w:sz w:val="21"/>
          <w:lang w:eastAsia="zh-CN"/>
        </w:rPr>
        <w:t>，</w:t>
      </w:r>
      <w:r>
        <w:rPr>
          <w:rFonts w:hint="default" w:ascii="Times New Roman" w:hAnsi="Times New Roman" w:eastAsia="宋体" w:cs="Times New Roman"/>
          <w:color w:val="auto"/>
          <w:spacing w:val="0"/>
          <w:w w:val="100"/>
          <w:sz w:val="21"/>
        </w:rPr>
        <w:t>互相结合</w:t>
      </w:r>
      <w:r>
        <w:rPr>
          <w:rFonts w:hint="default" w:ascii="Times New Roman" w:hAnsi="Times New Roman" w:eastAsia="宋体" w:cs="Times New Roman"/>
          <w:color w:val="auto"/>
          <w:spacing w:val="0"/>
          <w:w w:val="100"/>
          <w:sz w:val="21"/>
          <w:lang w:eastAsia="zh-CN"/>
        </w:rPr>
        <w:t>，</w:t>
      </w:r>
      <w:r>
        <w:rPr>
          <w:rFonts w:hint="default" w:ascii="Times New Roman" w:hAnsi="Times New Roman" w:eastAsia="宋体" w:cs="Times New Roman"/>
          <w:color w:val="auto"/>
          <w:spacing w:val="0"/>
          <w:w w:val="100"/>
          <w:sz w:val="21"/>
        </w:rPr>
        <w:t>形成了一个全方位、宽领域、多渠道的完整的发达的市场体系。这个世界市场体系和市场体制把各国的经济紧密地联系在一起</w:t>
      </w:r>
      <w:r>
        <w:rPr>
          <w:rFonts w:hint="default" w:ascii="Times New Roman" w:hAnsi="Times New Roman" w:eastAsia="宋体" w:cs="Times New Roman"/>
          <w:color w:val="auto"/>
          <w:spacing w:val="0"/>
          <w:w w:val="100"/>
          <w:sz w:val="21"/>
          <w:lang w:eastAsia="zh-CN"/>
        </w:rPr>
        <w:t>，</w:t>
      </w:r>
      <w:r>
        <w:rPr>
          <w:rFonts w:hint="default" w:ascii="Times New Roman" w:hAnsi="Times New Roman" w:eastAsia="宋体" w:cs="Times New Roman"/>
          <w:color w:val="auto"/>
          <w:spacing w:val="0"/>
          <w:w w:val="100"/>
          <w:sz w:val="21"/>
        </w:rPr>
        <w:t>使各国发生着广泛的各个领域的经济关系。</w:t>
      </w:r>
    </w:p>
    <w:p w14:paraId="166DDA6C">
      <w:pPr>
        <w:pStyle w:val="4"/>
        <w:keepNext w:val="0"/>
        <w:keepLines w:val="0"/>
        <w:pageBreakBefore w:val="0"/>
        <w:widowControl w:val="0"/>
        <w:kinsoku/>
        <w:wordWrap/>
        <w:overflowPunct/>
        <w:topLinePunct w:val="0"/>
        <w:autoSpaceDE/>
        <w:autoSpaceDN/>
        <w:bidi w:val="0"/>
        <w:adjustRightInd/>
        <w:snapToGrid/>
        <w:spacing w:line="400" w:lineRule="exact"/>
        <w:ind w:left="0" w:right="0" w:firstLine="504" w:firstLineChars="200"/>
        <w:jc w:val="center"/>
        <w:textAlignment w:val="auto"/>
        <w:rPr>
          <w:rFonts w:hint="default" w:ascii="Times New Roman" w:hAnsi="Times New Roman" w:eastAsia="黑体" w:cs="Times New Roman"/>
          <w:b w:val="0"/>
          <w:bCs w:val="0"/>
          <w:color w:val="auto"/>
          <w:w w:val="105"/>
          <w:sz w:val="24"/>
          <w:szCs w:val="24"/>
        </w:rPr>
      </w:pPr>
      <w:r>
        <w:rPr>
          <w:rFonts w:hint="default" w:ascii="Times New Roman" w:hAnsi="Times New Roman" w:eastAsia="黑体" w:cs="Times New Roman"/>
          <w:b w:val="0"/>
          <w:bCs w:val="0"/>
          <w:color w:val="auto"/>
          <w:w w:val="105"/>
          <w:sz w:val="24"/>
          <w:szCs w:val="24"/>
        </w:rPr>
        <w:t>二、经济全球化的正面效应</w:t>
      </w:r>
    </w:p>
    <w:p w14:paraId="07C5D430">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0" w:firstLineChars="200"/>
        <w:textAlignment w:val="auto"/>
        <w:rPr>
          <w:rFonts w:hint="default" w:ascii="Times New Roman" w:hAnsi="Times New Roman" w:eastAsia="宋体" w:cs="Times New Roman"/>
          <w:color w:val="auto"/>
          <w:spacing w:val="5"/>
        </w:rPr>
      </w:pPr>
      <w:r>
        <w:rPr>
          <w:rFonts w:hint="default" w:ascii="Times New Roman" w:hAnsi="Times New Roman" w:eastAsia="宋体" w:cs="Times New Roman"/>
          <w:color w:val="auto"/>
          <w:w w:val="105"/>
        </w:rPr>
        <w:t>一是经济全球化为资源在全球范围内的优化配置提供</w:t>
      </w:r>
      <w:r>
        <w:rPr>
          <w:rFonts w:hint="default" w:ascii="Times New Roman" w:hAnsi="Times New Roman" w:eastAsia="宋体" w:cs="Times New Roman"/>
          <w:color w:val="auto"/>
          <w:spacing w:val="5"/>
        </w:rPr>
        <w:t>了新的有利条件</w:t>
      </w:r>
      <w:r>
        <w:rPr>
          <w:rFonts w:hint="default" w:ascii="Times New Roman" w:hAnsi="Times New Roman" w:eastAsia="宋体" w:cs="Times New Roman"/>
          <w:color w:val="auto"/>
          <w:spacing w:val="4"/>
        </w:rPr>
        <w:t>。</w:t>
      </w:r>
      <w:r>
        <w:rPr>
          <w:rFonts w:hint="default" w:ascii="Times New Roman" w:hAnsi="Times New Roman" w:eastAsia="宋体" w:cs="Times New Roman"/>
          <w:color w:val="auto"/>
          <w:spacing w:val="10"/>
        </w:rPr>
        <w:t>作为全球经济组成部分的各个国家</w:t>
      </w:r>
      <w:r>
        <w:rPr>
          <w:rFonts w:hint="default" w:ascii="Times New Roman" w:hAnsi="Times New Roman" w:eastAsia="宋体" w:cs="Times New Roman"/>
          <w:color w:val="auto"/>
        </w:rPr>
        <w:t>可</w:t>
      </w:r>
      <w:r>
        <w:rPr>
          <w:rFonts w:hint="default" w:ascii="Times New Roman" w:hAnsi="Times New Roman" w:eastAsia="宋体" w:cs="Times New Roman"/>
          <w:color w:val="auto"/>
          <w:spacing w:val="5"/>
        </w:rPr>
        <w:t>以发挥自己特有的优势在国际经济交往中实现优势互补</w:t>
      </w:r>
      <w:r>
        <w:rPr>
          <w:rFonts w:hint="default" w:ascii="Times New Roman" w:hAnsi="Times New Roman" w:eastAsia="宋体" w:cs="Times New Roman"/>
          <w:color w:val="auto"/>
          <w:lang w:eastAsia="zh-CN"/>
        </w:rPr>
        <w:t>，</w:t>
      </w:r>
      <w:r>
        <w:rPr>
          <w:rFonts w:hint="default" w:ascii="Times New Roman" w:hAnsi="Times New Roman" w:eastAsia="宋体" w:cs="Times New Roman"/>
          <w:color w:val="auto"/>
          <w:spacing w:val="6"/>
        </w:rPr>
        <w:t>从而在总体上促进了世界范围内的经济增长</w:t>
      </w:r>
      <w:r>
        <w:rPr>
          <w:rFonts w:hint="default" w:ascii="Times New Roman" w:hAnsi="Times New Roman" w:eastAsia="宋体" w:cs="Times New Roman"/>
          <w:color w:val="auto"/>
          <w:spacing w:val="4"/>
        </w:rPr>
        <w:t>。在这一过程</w:t>
      </w:r>
      <w:r>
        <w:rPr>
          <w:rFonts w:hint="default" w:ascii="Times New Roman" w:hAnsi="Times New Roman" w:eastAsia="宋体" w:cs="Times New Roman"/>
          <w:color w:val="auto"/>
          <w:spacing w:val="6"/>
        </w:rPr>
        <w:t>中</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发达国家凭借其在资本实力和科技上的优势</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4"/>
        </w:rPr>
        <w:t>要比发展</w:t>
      </w:r>
      <w:r>
        <w:rPr>
          <w:rFonts w:hint="default" w:ascii="Times New Roman" w:hAnsi="Times New Roman" w:eastAsia="宋体" w:cs="Times New Roman"/>
          <w:color w:val="auto"/>
          <w:spacing w:val="6"/>
          <w:w w:val="105"/>
        </w:rPr>
        <w:t>中国家获得更大的利</w:t>
      </w:r>
      <w:r>
        <w:rPr>
          <w:rFonts w:hint="default" w:ascii="Times New Roman" w:hAnsi="Times New Roman" w:eastAsia="宋体" w:cs="Times New Roman"/>
          <w:color w:val="auto"/>
          <w:spacing w:val="5"/>
        </w:rPr>
        <w:t>益。</w:t>
      </w:r>
    </w:p>
    <w:p w14:paraId="2801815F">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0" w:firstLineChars="200"/>
        <w:textAlignment w:val="auto"/>
        <w:rPr>
          <w:rFonts w:hint="default" w:ascii="Times New Roman" w:hAnsi="Times New Roman" w:eastAsia="宋体" w:cs="Times New Roman"/>
          <w:color w:val="auto"/>
          <w:spacing w:val="5"/>
        </w:rPr>
      </w:pPr>
      <w:r>
        <w:rPr>
          <w:rFonts w:hint="default" w:ascii="Times New Roman" w:hAnsi="Times New Roman" w:eastAsia="宋体" w:cs="Times New Roman"/>
          <w:color w:val="auto"/>
          <w:spacing w:val="5"/>
        </w:rPr>
        <w:t>二是经济全球化使得世界市场成为一个不断扩大的统一的整体</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客观经济规律将在全球范围内发挥作用。这自然是以各国市场经济体制部分趋同为基础的。在统一的世界大市场中</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各国面对着激烈的国际市场竞争</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必须努力改善生产经营活动</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降低成本</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提高劳动生产率</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实现规模生产。这一切都会有效地扩大世界的总产出水平。同时</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激烈的国际竞争还会刺激新技术的研究与开发使科技成果在世界范围内更快地转化为生产力</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从而刺激全球经济的增长。三是经济全球化加速了世界性产业结构的调整。在经济全球化的过程中</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国际直接投资和技术转让这两个方面的相互作用和相互促进</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导致世界性产业结构不断得到调整和升级。在这一过程中</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发展中国家可以通过引进发达国家的资金和先进技术</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借鉴发达国家的先进管理经验</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加快国内产业结构的调整和优化</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加速实现工业化和现代化的进程。当然</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发达国家在产业结构调整的过程中</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能够继续保持在这方面的优势地位。</w:t>
      </w:r>
    </w:p>
    <w:p w14:paraId="69DF0B7F">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0" w:firstLineChars="200"/>
        <w:textAlignment w:val="auto"/>
        <w:rPr>
          <w:rFonts w:hint="default" w:ascii="Times New Roman" w:hAnsi="Times New Roman" w:eastAsia="宋体" w:cs="Times New Roman"/>
          <w:color w:val="auto"/>
          <w:spacing w:val="5"/>
        </w:rPr>
      </w:pPr>
      <w:r>
        <w:rPr>
          <w:rFonts w:hint="default" w:ascii="Times New Roman" w:hAnsi="Times New Roman" w:eastAsia="宋体" w:cs="Times New Roman"/>
          <w:color w:val="auto"/>
          <w:spacing w:val="5"/>
        </w:rPr>
        <w:t>四是经济全球化为解决经济、社会发展面临的一些共同问题提供了可能有利的条件。在当今世界经济发展过程中</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生态、环境、资源、人口等问题是各国发展所面临的共同问题。在经济全球化过程中</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倘若世界各国</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尤其是发达国家能充分认识到并采取积极的措施来解决这些问题</w:t>
      </w:r>
      <w:r>
        <w:rPr>
          <w:rFonts w:hint="default" w:ascii="Times New Roman" w:hAnsi="Times New Roman" w:eastAsia="宋体" w:cs="Times New Roman"/>
          <w:color w:val="auto"/>
          <w:spacing w:val="5"/>
          <w:lang w:eastAsia="zh-CN"/>
        </w:rPr>
        <w:t>，</w:t>
      </w:r>
      <w:r>
        <w:rPr>
          <w:rFonts w:hint="default" w:ascii="Times New Roman" w:hAnsi="Times New Roman" w:eastAsia="宋体" w:cs="Times New Roman"/>
          <w:color w:val="auto"/>
          <w:spacing w:val="5"/>
        </w:rPr>
        <w:t>也就在全球范围内推动了经济、社会的可持续发展。</w:t>
      </w:r>
    </w:p>
    <w:p w14:paraId="58726D8D">
      <w:pPr>
        <w:pStyle w:val="4"/>
        <w:keepNext w:val="0"/>
        <w:keepLines w:val="0"/>
        <w:pageBreakBefore w:val="0"/>
        <w:widowControl w:val="0"/>
        <w:kinsoku/>
        <w:wordWrap/>
        <w:overflowPunct/>
        <w:topLinePunct w:val="0"/>
        <w:autoSpaceDE/>
        <w:autoSpaceDN/>
        <w:bidi w:val="0"/>
        <w:adjustRightInd/>
        <w:snapToGrid/>
        <w:spacing w:line="400" w:lineRule="exact"/>
        <w:ind w:left="0" w:right="0" w:firstLine="504" w:firstLineChars="200"/>
        <w:jc w:val="center"/>
        <w:textAlignment w:val="auto"/>
        <w:rPr>
          <w:rFonts w:hint="default" w:ascii="Times New Roman" w:hAnsi="Times New Roman" w:eastAsia="黑体" w:cs="Times New Roman"/>
          <w:b w:val="0"/>
          <w:bCs w:val="0"/>
          <w:color w:val="auto"/>
          <w:w w:val="105"/>
          <w:sz w:val="24"/>
          <w:szCs w:val="24"/>
        </w:rPr>
      </w:pPr>
      <w:r>
        <w:rPr>
          <w:rFonts w:hint="default" w:ascii="Times New Roman" w:hAnsi="Times New Roman" w:eastAsia="黑体" w:cs="Times New Roman"/>
          <w:b w:val="0"/>
          <w:bCs w:val="0"/>
          <w:color w:val="auto"/>
          <w:w w:val="105"/>
          <w:sz w:val="24"/>
          <w:szCs w:val="24"/>
        </w:rPr>
        <w:t>三、经济全球化的负面效应</w:t>
      </w:r>
    </w:p>
    <w:p w14:paraId="4B9E9A20">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4" w:firstLineChars="20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pacing w:val="6"/>
        </w:rPr>
        <w:t>一是在经济全球化过程中</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10"/>
        </w:rPr>
        <w:t>世界范围内的发展不平衡</w:t>
      </w:r>
      <w:r>
        <w:rPr>
          <w:rFonts w:hint="default" w:ascii="Times New Roman" w:hAnsi="Times New Roman" w:eastAsia="宋体" w:cs="Times New Roman"/>
          <w:color w:val="auto"/>
          <w:spacing w:val="6"/>
        </w:rPr>
        <w:t>进一步扩大</w:t>
      </w:r>
      <w:r>
        <w:rPr>
          <w:rFonts w:hint="default" w:ascii="Times New Roman" w:hAnsi="Times New Roman" w:eastAsia="宋体" w:cs="Times New Roman"/>
          <w:color w:val="auto"/>
          <w:spacing w:val="4"/>
        </w:rPr>
        <w:t>。由于发达资本主义国家在经济发展中占有明</w:t>
      </w:r>
      <w:r>
        <w:rPr>
          <w:rFonts w:hint="default" w:ascii="Times New Roman" w:hAnsi="Times New Roman" w:eastAsia="宋体" w:cs="Times New Roman"/>
          <w:color w:val="auto"/>
          <w:spacing w:val="6"/>
        </w:rPr>
        <w:t>显的优势</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因此</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4"/>
        </w:rPr>
        <w:t>在经济全球化的进程中他们的获益也大大</w:t>
      </w:r>
      <w:r>
        <w:rPr>
          <w:rFonts w:hint="default" w:ascii="Times New Roman" w:hAnsi="Times New Roman" w:eastAsia="宋体" w:cs="Times New Roman"/>
          <w:color w:val="auto"/>
          <w:spacing w:val="6"/>
        </w:rPr>
        <w:t>超过发展中国家</w:t>
      </w:r>
      <w:r>
        <w:rPr>
          <w:rFonts w:hint="default" w:ascii="Times New Roman" w:hAnsi="Times New Roman" w:eastAsia="宋体" w:cs="Times New Roman"/>
          <w:color w:val="auto"/>
          <w:spacing w:val="4"/>
        </w:rPr>
        <w:t>。这就使得南北国家的发展不平衡差距在</w:t>
      </w:r>
      <w:r>
        <w:rPr>
          <w:rFonts w:hint="default" w:ascii="Times New Roman" w:hAnsi="Times New Roman" w:eastAsia="宋体" w:cs="Times New Roman"/>
          <w:color w:val="auto"/>
          <w:spacing w:val="6"/>
        </w:rPr>
        <w:t>全球范围内进一步扩大</w:t>
      </w:r>
      <w:r>
        <w:rPr>
          <w:rFonts w:hint="default" w:ascii="Times New Roman" w:hAnsi="Times New Roman" w:eastAsia="宋体" w:cs="Times New Roman"/>
          <w:color w:val="auto"/>
          <w:spacing w:val="4"/>
        </w:rPr>
        <w:t>。特别是发达国家和发展中国家人</w:t>
      </w:r>
      <w:r>
        <w:rPr>
          <w:rFonts w:hint="default" w:ascii="Times New Roman" w:hAnsi="Times New Roman" w:eastAsia="宋体" w:cs="Times New Roman"/>
          <w:color w:val="auto"/>
          <w:spacing w:val="6"/>
        </w:rPr>
        <w:t>均国内生产总值的指标相差悬殊</w:t>
      </w:r>
      <w:r>
        <w:rPr>
          <w:rFonts w:hint="default" w:ascii="Times New Roman" w:hAnsi="Times New Roman" w:eastAsia="宋体" w:cs="Times New Roman"/>
          <w:color w:val="auto"/>
          <w:spacing w:val="4"/>
        </w:rPr>
        <w:t>。</w:t>
      </w:r>
      <w:r>
        <w:rPr>
          <w:rFonts w:hint="default" w:ascii="Times New Roman" w:hAnsi="Times New Roman" w:eastAsia="宋体" w:cs="Times New Roman"/>
          <w:color w:val="auto"/>
          <w:spacing w:val="3"/>
        </w:rPr>
        <w:t>这种发展的不平衡具体</w:t>
      </w:r>
      <w:r>
        <w:rPr>
          <w:rFonts w:hint="default" w:ascii="Times New Roman" w:hAnsi="Times New Roman" w:eastAsia="宋体" w:cs="Times New Roman"/>
          <w:color w:val="auto"/>
          <w:spacing w:val="6"/>
        </w:rPr>
        <w:t>体现在对外贸易</w:t>
      </w:r>
      <w:r>
        <w:rPr>
          <w:rFonts w:hint="default" w:ascii="Times New Roman" w:hAnsi="Times New Roman" w:eastAsia="宋体" w:cs="Times New Roman"/>
          <w:color w:val="auto"/>
          <w:spacing w:val="-86"/>
        </w:rPr>
        <w:t>、</w:t>
      </w:r>
      <w:r>
        <w:rPr>
          <w:rFonts w:hint="default" w:ascii="Times New Roman" w:hAnsi="Times New Roman" w:eastAsia="宋体" w:cs="Times New Roman"/>
          <w:color w:val="auto"/>
          <w:spacing w:val="10"/>
        </w:rPr>
        <w:t>科学技术力量等方面</w:t>
      </w:r>
      <w:r>
        <w:rPr>
          <w:rFonts w:hint="default" w:ascii="Times New Roman" w:hAnsi="Times New Roman" w:eastAsia="宋体" w:cs="Times New Roman"/>
          <w:color w:val="auto"/>
          <w:spacing w:val="8"/>
        </w:rPr>
        <w:t>。</w:t>
      </w:r>
      <w:r>
        <w:rPr>
          <w:rFonts w:hint="default" w:ascii="Times New Roman" w:hAnsi="Times New Roman" w:eastAsia="宋体" w:cs="Times New Roman"/>
          <w:color w:val="auto"/>
          <w:spacing w:val="9"/>
        </w:rPr>
        <w:t>发展中国家的对</w:t>
      </w:r>
      <w:r>
        <w:rPr>
          <w:rFonts w:hint="default" w:ascii="Times New Roman" w:hAnsi="Times New Roman" w:eastAsia="宋体" w:cs="Times New Roman"/>
          <w:color w:val="auto"/>
          <w:spacing w:val="6"/>
        </w:rPr>
        <w:t>外贸易在世界贸易总额中所占比重一直很低</w:t>
      </w:r>
      <w:r>
        <w:rPr>
          <w:rFonts w:hint="default" w:ascii="Times New Roman" w:hAnsi="Times New Roman" w:eastAsia="宋体" w:cs="Times New Roman"/>
          <w:color w:val="auto"/>
          <w:spacing w:val="-78"/>
          <w:lang w:eastAsia="zh-CN"/>
        </w:rPr>
        <w:t>，</w:t>
      </w:r>
      <w:r>
        <w:rPr>
          <w:rFonts w:hint="default" w:ascii="Times New Roman" w:hAnsi="Times New Roman" w:eastAsia="宋体" w:cs="Times New Roman"/>
          <w:color w:val="auto"/>
          <w:spacing w:val="8"/>
        </w:rPr>
        <w:t>经济全球化</w:t>
      </w:r>
      <w:r>
        <w:rPr>
          <w:rFonts w:hint="default" w:ascii="Times New Roman" w:hAnsi="Times New Roman" w:eastAsia="宋体" w:cs="Times New Roman"/>
          <w:color w:val="auto"/>
          <w:spacing w:val="6"/>
        </w:rPr>
        <w:t>意味着贸易自由化的趋势也在进一步加强</w:t>
      </w:r>
      <w:r>
        <w:rPr>
          <w:rFonts w:hint="default" w:ascii="Times New Roman" w:hAnsi="Times New Roman" w:eastAsia="宋体" w:cs="Times New Roman"/>
          <w:color w:val="auto"/>
          <w:spacing w:val="-78"/>
          <w:lang w:eastAsia="zh-CN"/>
        </w:rPr>
        <w:t>，</w:t>
      </w:r>
      <w:r>
        <w:rPr>
          <w:rFonts w:hint="default" w:ascii="Times New Roman" w:hAnsi="Times New Roman" w:eastAsia="宋体" w:cs="Times New Roman"/>
          <w:color w:val="auto"/>
          <w:spacing w:val="9"/>
        </w:rPr>
        <w:t>但发展中国家</w:t>
      </w:r>
      <w:r>
        <w:rPr>
          <w:rFonts w:hint="default" w:ascii="Times New Roman" w:hAnsi="Times New Roman" w:eastAsia="宋体" w:cs="Times New Roman"/>
          <w:color w:val="auto"/>
          <w:spacing w:val="6"/>
        </w:rPr>
        <w:t>并不能完全适应贸易自由化的要求</w:t>
      </w:r>
      <w:r>
        <w:rPr>
          <w:rFonts w:hint="default" w:ascii="Times New Roman" w:hAnsi="Times New Roman" w:eastAsia="宋体" w:cs="Times New Roman"/>
          <w:color w:val="auto"/>
          <w:spacing w:val="-78"/>
          <w:lang w:eastAsia="zh-CN"/>
        </w:rPr>
        <w:t>，</w:t>
      </w:r>
      <w:r>
        <w:rPr>
          <w:rFonts w:hint="default" w:ascii="Times New Roman" w:hAnsi="Times New Roman" w:eastAsia="宋体" w:cs="Times New Roman"/>
          <w:color w:val="auto"/>
          <w:spacing w:val="9"/>
        </w:rPr>
        <w:t>这将使发展中国家在</w:t>
      </w:r>
      <w:r>
        <w:rPr>
          <w:rFonts w:hint="default" w:ascii="Times New Roman" w:hAnsi="Times New Roman" w:eastAsia="宋体" w:cs="Times New Roman"/>
          <w:color w:val="auto"/>
          <w:spacing w:val="6"/>
          <w:w w:val="105"/>
        </w:rPr>
        <w:t>今后的国际贸易中面临更加严峻的挑战</w:t>
      </w:r>
      <w:r>
        <w:rPr>
          <w:rFonts w:hint="default" w:ascii="Times New Roman" w:hAnsi="Times New Roman" w:eastAsia="宋体" w:cs="Times New Roman"/>
          <w:color w:val="auto"/>
          <w:w w:val="105"/>
        </w:rPr>
        <w:t>。</w:t>
      </w:r>
    </w:p>
    <w:p w14:paraId="1BB022DE">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64" w:firstLineChars="20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pacing w:val="6"/>
          <w:w w:val="105"/>
        </w:rPr>
        <w:t>二是在经济全球化过程中，</w:t>
      </w:r>
      <w:r>
        <w:rPr>
          <w:rFonts w:hint="default" w:ascii="Times New Roman" w:hAnsi="Times New Roman" w:eastAsia="宋体" w:cs="Times New Roman"/>
          <w:color w:val="auto"/>
          <w:spacing w:val="10"/>
          <w:w w:val="105"/>
        </w:rPr>
        <w:t>加大了世界性经济波动的</w:t>
      </w:r>
    </w:p>
    <w:p w14:paraId="5B4CEBA6">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4" w:firstLineChars="200"/>
        <w:textAlignment w:val="auto"/>
        <w:rPr>
          <w:rFonts w:hint="default" w:ascii="Times New Roman" w:hAnsi="Times New Roman" w:eastAsia="宋体" w:cs="Times New Roman"/>
          <w:color w:val="auto"/>
          <w:w w:val="105"/>
        </w:rPr>
      </w:pPr>
      <w:r>
        <w:rPr>
          <w:rFonts w:hint="default" w:ascii="Times New Roman" w:hAnsi="Times New Roman" w:eastAsia="宋体" w:cs="Times New Roman"/>
          <w:color w:val="auto"/>
          <w:spacing w:val="6"/>
        </w:rPr>
        <w:t>可能性</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这给世界经济发展带来了消极影响</w:t>
      </w:r>
      <w:r>
        <w:rPr>
          <w:rFonts w:hint="default" w:ascii="Times New Roman" w:hAnsi="Times New Roman" w:eastAsia="宋体" w:cs="Times New Roman"/>
          <w:color w:val="auto"/>
          <w:spacing w:val="8"/>
        </w:rPr>
        <w:t>。伴随经济全</w:t>
      </w:r>
      <w:r>
        <w:rPr>
          <w:rFonts w:hint="default" w:ascii="Times New Roman" w:hAnsi="Times New Roman" w:eastAsia="宋体" w:cs="Times New Roman"/>
          <w:color w:val="auto"/>
          <w:spacing w:val="5"/>
        </w:rPr>
        <w:t>球化</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8"/>
        </w:rPr>
        <w:t>世界金融市场迅速扩大</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8"/>
        </w:rPr>
        <w:t>金融创新工具不断出现</w:t>
      </w:r>
      <w:r>
        <w:rPr>
          <w:rFonts w:hint="default" w:ascii="Times New Roman" w:hAnsi="Times New Roman" w:eastAsia="宋体" w:cs="Times New Roman"/>
          <w:color w:val="auto"/>
          <w:spacing w:val="-78"/>
          <w:lang w:eastAsia="zh-CN"/>
        </w:rPr>
        <w:t>，</w:t>
      </w:r>
      <w:r>
        <w:rPr>
          <w:rFonts w:hint="default" w:ascii="Times New Roman" w:hAnsi="Times New Roman" w:eastAsia="宋体" w:cs="Times New Roman"/>
          <w:color w:val="auto"/>
        </w:rPr>
        <w:t>世</w:t>
      </w:r>
      <w:r>
        <w:rPr>
          <w:rFonts w:hint="default" w:ascii="Times New Roman" w:hAnsi="Times New Roman" w:eastAsia="宋体" w:cs="Times New Roman"/>
          <w:color w:val="auto"/>
          <w:spacing w:val="6"/>
        </w:rPr>
        <w:t>界金融体系使各国经济紧密地联系在一起</w:t>
      </w:r>
      <w:r>
        <w:rPr>
          <w:rFonts w:hint="default" w:ascii="Times New Roman" w:hAnsi="Times New Roman" w:eastAsia="宋体" w:cs="Times New Roman"/>
          <w:color w:val="auto"/>
          <w:spacing w:val="4"/>
        </w:rPr>
        <w:t>。</w:t>
      </w:r>
      <w:r>
        <w:rPr>
          <w:rFonts w:hint="default" w:ascii="Times New Roman" w:hAnsi="Times New Roman" w:eastAsia="宋体" w:cs="Times New Roman"/>
          <w:color w:val="auto"/>
          <w:spacing w:val="5"/>
        </w:rPr>
        <w:t>这一方面对资</w:t>
      </w:r>
      <w:r>
        <w:rPr>
          <w:rFonts w:hint="default" w:ascii="Times New Roman" w:hAnsi="Times New Roman" w:eastAsia="宋体" w:cs="Times New Roman"/>
          <w:color w:val="auto"/>
          <w:spacing w:val="5"/>
          <w:w w:val="105"/>
        </w:rPr>
        <w:t>本主义的经济发展</w:t>
      </w:r>
      <w:r>
        <w:rPr>
          <w:rFonts w:hint="default" w:ascii="Times New Roman" w:hAnsi="Times New Roman" w:eastAsia="宋体" w:cs="Times New Roman"/>
          <w:color w:val="auto"/>
          <w:spacing w:val="-86"/>
          <w:w w:val="105"/>
          <w:lang w:eastAsia="zh-CN"/>
        </w:rPr>
        <w:t>，</w:t>
      </w:r>
      <w:r>
        <w:rPr>
          <w:rFonts w:hint="default" w:ascii="Times New Roman" w:hAnsi="Times New Roman" w:eastAsia="宋体" w:cs="Times New Roman"/>
          <w:color w:val="auto"/>
          <w:spacing w:val="10"/>
          <w:w w:val="105"/>
        </w:rPr>
        <w:t>尤其是发达资本主义国家的经济发展</w:t>
      </w:r>
      <w:r>
        <w:rPr>
          <w:rFonts w:hint="default" w:ascii="Times New Roman" w:hAnsi="Times New Roman" w:eastAsia="宋体" w:cs="Times New Roman"/>
          <w:color w:val="auto"/>
          <w:spacing w:val="6"/>
        </w:rPr>
        <w:t>起到了润滑剂的作用</w:t>
      </w:r>
      <w:r>
        <w:rPr>
          <w:rFonts w:hint="default" w:ascii="Times New Roman" w:hAnsi="Times New Roman" w:eastAsia="宋体" w:cs="Times New Roman"/>
          <w:color w:val="auto"/>
          <w:spacing w:val="8"/>
        </w:rPr>
        <w:t>。</w:t>
      </w:r>
      <w:r>
        <w:rPr>
          <w:rFonts w:hint="default" w:ascii="Times New Roman" w:hAnsi="Times New Roman" w:eastAsia="宋体" w:cs="Times New Roman"/>
          <w:color w:val="auto"/>
          <w:spacing w:val="10"/>
        </w:rPr>
        <w:t>但另一方面</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9"/>
        </w:rPr>
        <w:t>在经济全球化和金融</w:t>
      </w:r>
      <w:r>
        <w:rPr>
          <w:rFonts w:hint="default" w:ascii="Times New Roman" w:hAnsi="Times New Roman" w:eastAsia="宋体" w:cs="Times New Roman"/>
          <w:color w:val="auto"/>
          <w:spacing w:val="6"/>
          <w:w w:val="105"/>
        </w:rPr>
        <w:t>市场一体化的条件下</w:t>
      </w:r>
      <w:r>
        <w:rPr>
          <w:rFonts w:hint="default" w:ascii="Times New Roman" w:hAnsi="Times New Roman" w:eastAsia="宋体" w:cs="Times New Roman"/>
          <w:color w:val="auto"/>
          <w:spacing w:val="-78"/>
          <w:w w:val="105"/>
          <w:lang w:eastAsia="zh-CN"/>
        </w:rPr>
        <w:t>，</w:t>
      </w:r>
      <w:r>
        <w:rPr>
          <w:rFonts w:hint="default" w:ascii="Times New Roman" w:hAnsi="Times New Roman" w:eastAsia="宋体" w:cs="Times New Roman"/>
          <w:color w:val="auto"/>
          <w:spacing w:val="10"/>
          <w:w w:val="105"/>
        </w:rPr>
        <w:t>金融市场固有的投机性往</w:t>
      </w:r>
      <w:r>
        <w:rPr>
          <w:rFonts w:hint="default" w:ascii="Times New Roman" w:hAnsi="Times New Roman" w:eastAsia="宋体" w:cs="Times New Roman"/>
          <w:color w:val="auto"/>
          <w:spacing w:val="6"/>
        </w:rPr>
        <w:t>往会酿成破坏性极大的金融危机</w:t>
      </w:r>
      <w:r>
        <w:rPr>
          <w:rFonts w:hint="default" w:ascii="Times New Roman" w:hAnsi="Times New Roman" w:eastAsia="宋体" w:cs="Times New Roman"/>
          <w:color w:val="auto"/>
          <w:spacing w:val="6"/>
          <w:lang w:eastAsia="zh-CN"/>
        </w:rPr>
        <w:t>，</w:t>
      </w:r>
      <w:r>
        <w:rPr>
          <w:rFonts w:hint="default" w:ascii="Times New Roman" w:hAnsi="Times New Roman" w:eastAsia="宋体" w:cs="Times New Roman"/>
          <w:color w:val="auto"/>
          <w:spacing w:val="6"/>
        </w:rPr>
        <w:t>进而波及整个世界经济</w:t>
      </w:r>
      <w:r>
        <w:rPr>
          <w:rFonts w:hint="default" w:ascii="Times New Roman" w:hAnsi="Times New Roman" w:eastAsia="宋体" w:cs="Times New Roman"/>
          <w:color w:val="auto"/>
          <w:spacing w:val="6"/>
          <w:lang w:eastAsia="zh-CN"/>
        </w:rPr>
        <w:t>，</w:t>
      </w:r>
      <w:r>
        <w:rPr>
          <w:rFonts w:hint="default" w:ascii="Times New Roman" w:hAnsi="Times New Roman" w:eastAsia="宋体" w:cs="Times New Roman"/>
          <w:color w:val="auto"/>
          <w:spacing w:val="6"/>
        </w:rPr>
        <w:t>使各国的经济发展都不同程度地受到冲击。自90年代以来</w:t>
      </w:r>
      <w:r>
        <w:rPr>
          <w:rFonts w:hint="default" w:ascii="Times New Roman" w:hAnsi="Times New Roman" w:eastAsia="宋体" w:cs="Times New Roman"/>
          <w:color w:val="auto"/>
          <w:spacing w:val="6"/>
          <w:lang w:eastAsia="zh-CN"/>
        </w:rPr>
        <w:t>，</w:t>
      </w:r>
      <w:r>
        <w:rPr>
          <w:rFonts w:hint="default" w:ascii="Times New Roman" w:hAnsi="Times New Roman" w:eastAsia="宋体" w:cs="Times New Roman"/>
          <w:color w:val="auto"/>
          <w:spacing w:val="6"/>
        </w:rPr>
        <w:t>19</w:t>
      </w:r>
      <w:r>
        <w:rPr>
          <w:rFonts w:hint="default" w:ascii="Times New Roman" w:hAnsi="Times New Roman" w:eastAsia="宋体" w:cs="Times New Roman"/>
          <w:color w:val="auto"/>
          <w:spacing w:val="6"/>
          <w:lang w:val="en-US"/>
        </w:rPr>
        <w:t>9</w:t>
      </w:r>
      <w:r>
        <w:rPr>
          <w:rFonts w:hint="default" w:ascii="Times New Roman" w:hAnsi="Times New Roman" w:eastAsia="宋体" w:cs="Times New Roman"/>
          <w:color w:val="auto"/>
          <w:spacing w:val="6"/>
        </w:rPr>
        <w:t>4年墨西哥发生的金融危机，195</w:t>
      </w:r>
      <w:r>
        <w:rPr>
          <w:rFonts w:hint="default" w:ascii="Times New Roman" w:hAnsi="Times New Roman" w:eastAsia="宋体" w:cs="Times New Roman"/>
          <w:color w:val="auto"/>
          <w:spacing w:val="6"/>
          <w:lang w:val="en-US"/>
        </w:rPr>
        <w:t>5</w:t>
      </w:r>
      <w:r>
        <w:rPr>
          <w:rFonts w:hint="default" w:ascii="Times New Roman" w:hAnsi="Times New Roman" w:eastAsia="宋体" w:cs="Times New Roman"/>
          <w:color w:val="auto"/>
          <w:spacing w:val="6"/>
        </w:rPr>
        <w:t>年2月巴林银行的倒闭，19</w:t>
      </w:r>
      <w:r>
        <w:rPr>
          <w:rFonts w:hint="default" w:ascii="Times New Roman" w:hAnsi="Times New Roman" w:eastAsia="宋体" w:cs="Times New Roman"/>
          <w:color w:val="auto"/>
          <w:spacing w:val="6"/>
          <w:lang w:val="en-US"/>
        </w:rPr>
        <w:t>9</w:t>
      </w:r>
      <w:r>
        <w:rPr>
          <w:rFonts w:hint="default" w:ascii="Times New Roman" w:hAnsi="Times New Roman" w:eastAsia="宋体" w:cs="Times New Roman"/>
          <w:color w:val="auto"/>
          <w:spacing w:val="6"/>
        </w:rPr>
        <w:t>7年发生的东南亚金融危机等</w:t>
      </w:r>
      <w:r>
        <w:rPr>
          <w:rFonts w:hint="default" w:ascii="Times New Roman" w:hAnsi="Times New Roman" w:eastAsia="宋体" w:cs="Times New Roman"/>
          <w:color w:val="auto"/>
          <w:spacing w:val="6"/>
          <w:lang w:eastAsia="zh-CN"/>
        </w:rPr>
        <w:t>，</w:t>
      </w:r>
      <w:r>
        <w:rPr>
          <w:rFonts w:hint="default" w:ascii="Times New Roman" w:hAnsi="Times New Roman" w:eastAsia="宋体" w:cs="Times New Roman"/>
          <w:color w:val="auto"/>
          <w:spacing w:val="6"/>
        </w:rPr>
        <w:t>都对世界经济发展造成了巨大的损失。这充分暴露出世界金融市场发展过程中给世界</w:t>
      </w:r>
      <w:r>
        <w:rPr>
          <w:rFonts w:hint="default" w:ascii="Times New Roman" w:hAnsi="Times New Roman" w:eastAsia="宋体" w:cs="Times New Roman"/>
          <w:color w:val="auto"/>
          <w:spacing w:val="6"/>
          <w:w w:val="105"/>
        </w:rPr>
        <w:t>经济带来的消极影响</w:t>
      </w:r>
      <w:r>
        <w:rPr>
          <w:rFonts w:hint="default" w:ascii="Times New Roman" w:hAnsi="Times New Roman" w:eastAsia="宋体" w:cs="Times New Roman"/>
          <w:color w:val="auto"/>
          <w:w w:val="105"/>
        </w:rPr>
        <w:t>。</w:t>
      </w:r>
    </w:p>
    <w:p w14:paraId="57545059">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64" w:firstLineChars="200"/>
        <w:textAlignment w:val="auto"/>
        <w:rPr>
          <w:rFonts w:hint="default" w:ascii="Times New Roman" w:hAnsi="Times New Roman" w:eastAsia="宋体" w:cs="Times New Roman"/>
          <w:color w:val="auto"/>
          <w:w w:val="105"/>
        </w:rPr>
      </w:pPr>
      <w:r>
        <w:rPr>
          <w:rFonts w:hint="default" w:ascii="Times New Roman" w:hAnsi="Times New Roman" w:eastAsia="宋体" w:cs="Times New Roman"/>
          <w:color w:val="auto"/>
          <w:spacing w:val="6"/>
          <w:w w:val="105"/>
        </w:rPr>
        <w:t>三是经济全球化过程中</w:t>
      </w:r>
      <w:r>
        <w:rPr>
          <w:rFonts w:hint="default" w:ascii="Times New Roman" w:hAnsi="Times New Roman" w:eastAsia="宋体" w:cs="Times New Roman"/>
          <w:color w:val="auto"/>
          <w:spacing w:val="-80"/>
          <w:w w:val="105"/>
          <w:lang w:eastAsia="zh-CN"/>
        </w:rPr>
        <w:t>，</w:t>
      </w:r>
      <w:r>
        <w:rPr>
          <w:rFonts w:hint="default" w:ascii="Times New Roman" w:hAnsi="Times New Roman" w:eastAsia="宋体" w:cs="Times New Roman"/>
          <w:color w:val="auto"/>
          <w:spacing w:val="10"/>
          <w:w w:val="105"/>
        </w:rPr>
        <w:t>资本主义固有的矛盾也全球</w:t>
      </w:r>
      <w:r>
        <w:rPr>
          <w:rFonts w:hint="default" w:ascii="Times New Roman" w:hAnsi="Times New Roman" w:eastAsia="宋体" w:cs="Times New Roman"/>
          <w:color w:val="auto"/>
          <w:spacing w:val="5"/>
        </w:rPr>
        <w:t>化了</w:t>
      </w:r>
      <w:r>
        <w:rPr>
          <w:rFonts w:hint="default" w:ascii="Times New Roman" w:hAnsi="Times New Roman" w:eastAsia="宋体" w:cs="Times New Roman"/>
          <w:color w:val="auto"/>
          <w:spacing w:val="4"/>
        </w:rPr>
        <w:t>。</w:t>
      </w:r>
      <w:r>
        <w:rPr>
          <w:rFonts w:hint="default" w:ascii="Times New Roman" w:hAnsi="Times New Roman" w:eastAsia="宋体" w:cs="Times New Roman"/>
          <w:color w:val="auto"/>
          <w:spacing w:val="6"/>
        </w:rPr>
        <w:t>当代资本主义的矛盾错综交织</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9"/>
        </w:rPr>
        <w:t>使全球经济充满了</w:t>
      </w:r>
      <w:r>
        <w:rPr>
          <w:rFonts w:hint="default" w:ascii="Times New Roman" w:hAnsi="Times New Roman" w:eastAsia="宋体" w:cs="Times New Roman"/>
          <w:color w:val="auto"/>
          <w:spacing w:val="6"/>
        </w:rPr>
        <w:t>不平衡</w:t>
      </w:r>
      <w:r>
        <w:rPr>
          <w:rFonts w:hint="default" w:ascii="Times New Roman" w:hAnsi="Times New Roman" w:eastAsia="宋体" w:cs="Times New Roman"/>
          <w:color w:val="auto"/>
          <w:spacing w:val="-86"/>
        </w:rPr>
        <w:t>、</w:t>
      </w:r>
      <w:r>
        <w:rPr>
          <w:rFonts w:hint="default" w:ascii="Times New Roman" w:hAnsi="Times New Roman" w:eastAsia="宋体" w:cs="Times New Roman"/>
          <w:color w:val="auto"/>
          <w:spacing w:val="8"/>
        </w:rPr>
        <w:t>不协调</w:t>
      </w:r>
      <w:r>
        <w:rPr>
          <w:rFonts w:hint="default" w:ascii="Times New Roman" w:hAnsi="Times New Roman" w:eastAsia="宋体" w:cs="Times New Roman"/>
          <w:color w:val="auto"/>
          <w:spacing w:val="-74"/>
        </w:rPr>
        <w:t>、</w:t>
      </w:r>
      <w:r>
        <w:rPr>
          <w:rFonts w:hint="default" w:ascii="Times New Roman" w:hAnsi="Times New Roman" w:eastAsia="宋体" w:cs="Times New Roman"/>
          <w:color w:val="auto"/>
          <w:spacing w:val="13"/>
        </w:rPr>
        <w:t>不稳定和危机</w:t>
      </w:r>
      <w:r>
        <w:rPr>
          <w:rFonts w:hint="default" w:ascii="Times New Roman" w:hAnsi="Times New Roman" w:eastAsia="宋体" w:cs="Times New Roman"/>
          <w:color w:val="auto"/>
          <w:spacing w:val="9"/>
        </w:rPr>
        <w:t>。</w:t>
      </w:r>
      <w:r>
        <w:rPr>
          <w:rFonts w:hint="default" w:ascii="Times New Roman" w:hAnsi="Times New Roman" w:eastAsia="宋体" w:cs="Times New Roman"/>
          <w:color w:val="auto"/>
          <w:spacing w:val="14"/>
        </w:rPr>
        <w:t>在当今的全球经济发展</w:t>
      </w:r>
      <w:r>
        <w:rPr>
          <w:rFonts w:hint="default" w:ascii="Times New Roman" w:hAnsi="Times New Roman" w:eastAsia="宋体" w:cs="Times New Roman"/>
          <w:color w:val="auto"/>
          <w:spacing w:val="6"/>
        </w:rPr>
        <w:t>中</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经济和科技成了国际关系中决定性的因素</w:t>
      </w:r>
      <w:r>
        <w:rPr>
          <w:rFonts w:hint="default" w:ascii="Times New Roman" w:hAnsi="Times New Roman" w:eastAsia="宋体" w:cs="Times New Roman"/>
          <w:color w:val="auto"/>
          <w:spacing w:val="8"/>
        </w:rPr>
        <w:t>。各国为了</w:t>
      </w:r>
      <w:r>
        <w:rPr>
          <w:rFonts w:hint="default" w:ascii="Times New Roman" w:hAnsi="Times New Roman" w:eastAsia="宋体" w:cs="Times New Roman"/>
          <w:color w:val="auto"/>
          <w:spacing w:val="6"/>
        </w:rPr>
        <w:t>自身的利益</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都积极向外扩张</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争夺世界市场</w:t>
      </w:r>
      <w:r>
        <w:rPr>
          <w:rFonts w:hint="default" w:ascii="Times New Roman" w:hAnsi="Times New Roman" w:eastAsia="宋体" w:cs="Times New Roman"/>
          <w:color w:val="auto"/>
          <w:spacing w:val="4"/>
        </w:rPr>
        <w:t>。特别是发达</w:t>
      </w:r>
      <w:r>
        <w:rPr>
          <w:rFonts w:hint="default" w:ascii="Times New Roman" w:hAnsi="Times New Roman" w:eastAsia="宋体" w:cs="Times New Roman"/>
          <w:color w:val="auto"/>
          <w:spacing w:val="5"/>
        </w:rPr>
        <w:t>国家之间</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12"/>
        </w:rPr>
        <w:t>贸易战</w:t>
      </w:r>
      <w:r>
        <w:rPr>
          <w:rFonts w:hint="default" w:ascii="Times New Roman" w:hAnsi="Times New Roman" w:eastAsia="宋体" w:cs="Times New Roman"/>
          <w:color w:val="auto"/>
          <w:spacing w:val="-74"/>
        </w:rPr>
        <w:t>、</w:t>
      </w:r>
      <w:r>
        <w:rPr>
          <w:rFonts w:hint="default" w:ascii="Times New Roman" w:hAnsi="Times New Roman" w:eastAsia="宋体" w:cs="Times New Roman"/>
          <w:color w:val="auto"/>
          <w:spacing w:val="13"/>
        </w:rPr>
        <w:t>货币战接连不断</w:t>
      </w:r>
      <w:r>
        <w:rPr>
          <w:rFonts w:hint="default" w:ascii="Times New Roman" w:hAnsi="Times New Roman" w:eastAsia="宋体" w:cs="Times New Roman"/>
          <w:color w:val="auto"/>
          <w:spacing w:val="-72"/>
          <w:lang w:eastAsia="zh-CN"/>
        </w:rPr>
        <w:t>，</w:t>
      </w:r>
      <w:r>
        <w:rPr>
          <w:rFonts w:hint="default" w:ascii="Times New Roman" w:hAnsi="Times New Roman" w:eastAsia="宋体" w:cs="Times New Roman"/>
          <w:color w:val="auto"/>
          <w:spacing w:val="15"/>
        </w:rPr>
        <w:t>并波及到整个世界</w:t>
      </w:r>
      <w:r>
        <w:rPr>
          <w:rFonts w:hint="default" w:ascii="Times New Roman" w:hAnsi="Times New Roman" w:eastAsia="宋体" w:cs="Times New Roman"/>
          <w:color w:val="auto"/>
        </w:rPr>
        <w:t>。</w:t>
      </w:r>
      <w:r>
        <w:rPr>
          <w:rFonts w:hint="default" w:ascii="Times New Roman" w:hAnsi="Times New Roman" w:eastAsia="宋体" w:cs="Times New Roman"/>
          <w:color w:val="auto"/>
          <w:spacing w:val="6"/>
        </w:rPr>
        <w:t>发达资本主义国家</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尤其是美国</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5"/>
        </w:rPr>
        <w:t>凭借他们的经济实力和在</w:t>
      </w:r>
      <w:r>
        <w:rPr>
          <w:rFonts w:hint="default" w:ascii="Times New Roman" w:hAnsi="Times New Roman" w:eastAsia="宋体" w:cs="Times New Roman"/>
          <w:color w:val="auto"/>
          <w:spacing w:val="8"/>
        </w:rPr>
        <w:t>世界中的优势地位</w:t>
      </w:r>
      <w:r>
        <w:rPr>
          <w:rFonts w:hint="default" w:ascii="Times New Roman" w:hAnsi="Times New Roman" w:eastAsia="宋体" w:cs="Times New Roman"/>
          <w:color w:val="auto"/>
          <w:spacing w:val="-74"/>
          <w:lang w:eastAsia="zh-CN"/>
        </w:rPr>
        <w:t>，</w:t>
      </w:r>
      <w:r>
        <w:rPr>
          <w:rFonts w:hint="default" w:ascii="Times New Roman" w:hAnsi="Times New Roman" w:eastAsia="宋体" w:cs="Times New Roman"/>
          <w:color w:val="auto"/>
          <w:spacing w:val="13"/>
        </w:rPr>
        <w:t>对别国的干预</w:t>
      </w:r>
      <w:r>
        <w:rPr>
          <w:rFonts w:hint="default" w:ascii="Times New Roman" w:hAnsi="Times New Roman" w:eastAsia="宋体" w:cs="Times New Roman"/>
          <w:color w:val="auto"/>
          <w:spacing w:val="-72"/>
        </w:rPr>
        <w:t>、</w:t>
      </w:r>
      <w:r>
        <w:rPr>
          <w:rFonts w:hint="default" w:ascii="Times New Roman" w:hAnsi="Times New Roman" w:eastAsia="宋体" w:cs="Times New Roman"/>
          <w:color w:val="auto"/>
          <w:spacing w:val="11"/>
        </w:rPr>
        <w:t>制裁</w:t>
      </w:r>
      <w:r>
        <w:rPr>
          <w:rFonts w:hint="default" w:ascii="Times New Roman" w:hAnsi="Times New Roman" w:eastAsia="宋体" w:cs="Times New Roman"/>
          <w:color w:val="auto"/>
          <w:spacing w:val="-72"/>
        </w:rPr>
        <w:t>、</w:t>
      </w:r>
      <w:r>
        <w:rPr>
          <w:rFonts w:hint="default" w:ascii="Times New Roman" w:hAnsi="Times New Roman" w:eastAsia="宋体" w:cs="Times New Roman"/>
          <w:color w:val="auto"/>
          <w:spacing w:val="15"/>
        </w:rPr>
        <w:t>威胁越演越烈</w:t>
      </w:r>
      <w:r>
        <w:rPr>
          <w:rFonts w:hint="default" w:ascii="Times New Roman" w:hAnsi="Times New Roman" w:eastAsia="宋体" w:cs="Times New Roman"/>
          <w:color w:val="auto"/>
        </w:rPr>
        <w:t>。</w:t>
      </w:r>
      <w:r>
        <w:rPr>
          <w:rFonts w:hint="default" w:ascii="Times New Roman" w:hAnsi="Times New Roman" w:eastAsia="宋体" w:cs="Times New Roman"/>
          <w:color w:val="auto"/>
          <w:spacing w:val="3"/>
        </w:rPr>
        <w:t>这理所当然地引起其他国家的反击</w:t>
      </w:r>
      <w:r>
        <w:rPr>
          <w:rFonts w:hint="default" w:ascii="Times New Roman" w:hAnsi="Times New Roman" w:eastAsia="宋体" w:cs="Times New Roman"/>
          <w:color w:val="auto"/>
          <w:spacing w:val="-78"/>
          <w:lang w:eastAsia="zh-CN"/>
        </w:rPr>
        <w:t>，</w:t>
      </w:r>
      <w:r>
        <w:rPr>
          <w:rFonts w:hint="default" w:ascii="Times New Roman" w:hAnsi="Times New Roman" w:eastAsia="宋体" w:cs="Times New Roman"/>
          <w:color w:val="auto"/>
          <w:spacing w:val="9"/>
        </w:rPr>
        <w:t>从而加剧了世界范围</w:t>
      </w:r>
      <w:r>
        <w:rPr>
          <w:rFonts w:hint="default" w:ascii="Times New Roman" w:hAnsi="Times New Roman" w:eastAsia="宋体" w:cs="Times New Roman"/>
          <w:color w:val="auto"/>
          <w:spacing w:val="6"/>
        </w:rPr>
        <w:t>内的矛盾</w:t>
      </w:r>
      <w:r>
        <w:rPr>
          <w:rFonts w:hint="default" w:ascii="Times New Roman" w:hAnsi="Times New Roman" w:eastAsia="宋体" w:cs="Times New Roman"/>
          <w:color w:val="auto"/>
          <w:spacing w:val="-86"/>
        </w:rPr>
        <w:t>、</w:t>
      </w:r>
      <w:r>
        <w:rPr>
          <w:rFonts w:hint="default" w:ascii="Times New Roman" w:hAnsi="Times New Roman" w:eastAsia="宋体" w:cs="Times New Roman"/>
          <w:color w:val="auto"/>
          <w:spacing w:val="6"/>
        </w:rPr>
        <w:t>摩擦和斗争</w:t>
      </w:r>
      <w:r>
        <w:rPr>
          <w:rFonts w:hint="default" w:ascii="Times New Roman" w:hAnsi="Times New Roman" w:eastAsia="宋体" w:cs="Times New Roman"/>
          <w:color w:val="auto"/>
          <w:spacing w:val="8"/>
        </w:rPr>
        <w:t>。</w:t>
      </w:r>
      <w:r>
        <w:rPr>
          <w:rFonts w:hint="default" w:ascii="Times New Roman" w:hAnsi="Times New Roman" w:eastAsia="宋体" w:cs="Times New Roman"/>
          <w:color w:val="auto"/>
          <w:spacing w:val="10"/>
        </w:rPr>
        <w:t>这对世界经济的发展同样造成了</w:t>
      </w:r>
      <w:r>
        <w:rPr>
          <w:rFonts w:hint="default" w:ascii="Times New Roman" w:hAnsi="Times New Roman" w:eastAsia="宋体" w:cs="Times New Roman"/>
          <w:color w:val="auto"/>
          <w:spacing w:val="6"/>
          <w:w w:val="105"/>
        </w:rPr>
        <w:t>不利的影响</w:t>
      </w:r>
      <w:r>
        <w:rPr>
          <w:rFonts w:hint="default" w:ascii="Times New Roman" w:hAnsi="Times New Roman" w:eastAsia="宋体" w:cs="Times New Roman"/>
          <w:color w:val="auto"/>
          <w:w w:val="105"/>
        </w:rPr>
        <w:t>。</w:t>
      </w:r>
    </w:p>
    <w:p w14:paraId="785AEBC6">
      <w:pPr>
        <w:pStyle w:val="4"/>
        <w:keepNext w:val="0"/>
        <w:keepLines w:val="0"/>
        <w:pageBreakBefore w:val="0"/>
        <w:widowControl w:val="0"/>
        <w:kinsoku/>
        <w:wordWrap/>
        <w:overflowPunct/>
        <w:topLinePunct w:val="0"/>
        <w:autoSpaceDE/>
        <w:autoSpaceDN/>
        <w:bidi w:val="0"/>
        <w:adjustRightInd/>
        <w:snapToGrid/>
        <w:spacing w:line="400" w:lineRule="exact"/>
        <w:ind w:left="0" w:right="0" w:firstLine="504" w:firstLineChars="200"/>
        <w:jc w:val="center"/>
        <w:textAlignment w:val="auto"/>
        <w:rPr>
          <w:rFonts w:hint="default" w:ascii="Times New Roman" w:hAnsi="Times New Roman" w:eastAsia="黑体" w:cs="Times New Roman"/>
          <w:b w:val="0"/>
          <w:bCs w:val="0"/>
          <w:color w:val="auto"/>
          <w:w w:val="105"/>
          <w:sz w:val="24"/>
          <w:szCs w:val="24"/>
        </w:rPr>
      </w:pPr>
      <w:r>
        <w:rPr>
          <w:rFonts w:hint="default" w:ascii="Times New Roman" w:hAnsi="Times New Roman" w:eastAsia="黑体" w:cs="Times New Roman"/>
          <w:b w:val="0"/>
          <w:bCs w:val="0"/>
          <w:color w:val="auto"/>
          <w:w w:val="105"/>
          <w:sz w:val="24"/>
          <w:szCs w:val="24"/>
        </w:rPr>
        <w:t>四、中国对策的思路</w:t>
      </w:r>
    </w:p>
    <w:p w14:paraId="56C859EA">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18" w:firstLineChars="20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pacing w:val="5"/>
          <w:w w:val="95"/>
        </w:rPr>
        <w:t>一是加快建立</w:t>
      </w:r>
      <w:r>
        <w:rPr>
          <w:rFonts w:hint="default" w:ascii="Times New Roman" w:hAnsi="Times New Roman" w:eastAsia="宋体" w:cs="Times New Roman"/>
          <w:color w:val="auto"/>
          <w:spacing w:val="7"/>
          <w:w w:val="75"/>
        </w:rPr>
        <w:t>“</w:t>
      </w:r>
      <w:r>
        <w:rPr>
          <w:rFonts w:hint="default" w:ascii="Times New Roman" w:hAnsi="Times New Roman" w:eastAsia="宋体" w:cs="Times New Roman"/>
          <w:color w:val="auto"/>
          <w:spacing w:val="4"/>
          <w:w w:val="95"/>
        </w:rPr>
        <w:t>三控型</w:t>
      </w:r>
      <w:r>
        <w:rPr>
          <w:rFonts w:hint="default" w:ascii="Times New Roman" w:hAnsi="Times New Roman" w:eastAsia="宋体" w:cs="Times New Roman"/>
          <w:color w:val="auto"/>
          <w:spacing w:val="8"/>
          <w:w w:val="75"/>
        </w:rPr>
        <w:t>”</w:t>
      </w:r>
      <w:r>
        <w:rPr>
          <w:rFonts w:hint="default" w:ascii="Times New Roman" w:hAnsi="Times New Roman" w:eastAsia="宋体" w:cs="Times New Roman"/>
          <w:color w:val="auto"/>
          <w:spacing w:val="6"/>
          <w:w w:val="95"/>
        </w:rPr>
        <w:t>民族企业集团</w:t>
      </w:r>
      <w:r>
        <w:rPr>
          <w:rFonts w:hint="default" w:ascii="Times New Roman" w:hAnsi="Times New Roman" w:eastAsia="宋体" w:cs="Times New Roman"/>
          <w:color w:val="auto"/>
          <w:spacing w:val="-86"/>
          <w:w w:val="95"/>
          <w:lang w:eastAsia="zh-CN"/>
        </w:rPr>
        <w:t>，</w:t>
      </w:r>
      <w:r>
        <w:rPr>
          <w:rFonts w:hint="default" w:ascii="Times New Roman" w:hAnsi="Times New Roman" w:eastAsia="宋体" w:cs="Times New Roman"/>
          <w:color w:val="auto"/>
          <w:spacing w:val="4"/>
          <w:w w:val="95"/>
        </w:rPr>
        <w:t>以应对</w:t>
      </w:r>
      <w:r>
        <w:rPr>
          <w:rFonts w:hint="default" w:ascii="Times New Roman" w:hAnsi="Times New Roman" w:eastAsia="宋体" w:cs="Times New Roman"/>
          <w:color w:val="auto"/>
          <w:spacing w:val="8"/>
          <w:w w:val="75"/>
        </w:rPr>
        <w:t>“</w:t>
      </w:r>
      <w:r>
        <w:rPr>
          <w:rFonts w:hint="default" w:ascii="Times New Roman" w:hAnsi="Times New Roman" w:eastAsia="宋体" w:cs="Times New Roman"/>
          <w:color w:val="auto"/>
          <w:spacing w:val="-1"/>
          <w:w w:val="95"/>
        </w:rPr>
        <w:t>海外兵</w:t>
      </w:r>
      <w:r>
        <w:rPr>
          <w:rFonts w:hint="default" w:ascii="Times New Roman" w:hAnsi="Times New Roman" w:eastAsia="宋体" w:cs="Times New Roman"/>
          <w:color w:val="auto"/>
        </w:rPr>
        <w:t>团</w:t>
      </w:r>
      <w:r>
        <w:rPr>
          <w:rFonts w:hint="default" w:ascii="Times New Roman" w:hAnsi="Times New Roman" w:eastAsia="宋体" w:cs="Times New Roman"/>
          <w:color w:val="auto"/>
          <w:spacing w:val="-9"/>
          <w:w w:val="75"/>
        </w:rPr>
        <w:t>”</w:t>
      </w:r>
      <w:r>
        <w:rPr>
          <w:rFonts w:hint="default" w:ascii="Times New Roman" w:hAnsi="Times New Roman" w:eastAsia="宋体" w:cs="Times New Roman"/>
          <w:color w:val="auto"/>
          <w:spacing w:val="6"/>
        </w:rPr>
        <w:t>的涌入</w:t>
      </w:r>
      <w:r>
        <w:rPr>
          <w:rFonts w:hint="default" w:ascii="Times New Roman" w:hAnsi="Times New Roman" w:eastAsia="宋体" w:cs="Times New Roman"/>
          <w:color w:val="auto"/>
        </w:rPr>
        <w:t>。</w:t>
      </w:r>
    </w:p>
    <w:p w14:paraId="4640192A">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52" w:firstLineChars="20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pacing w:val="8"/>
        </w:rPr>
        <w:t>所谓“三控”</w:t>
      </w:r>
      <w:r>
        <w:rPr>
          <w:rFonts w:hint="default" w:ascii="Times New Roman" w:hAnsi="Times New Roman" w:eastAsia="宋体" w:cs="Times New Roman"/>
          <w:color w:val="auto"/>
          <w:spacing w:val="8"/>
          <w:lang w:eastAsia="zh-CN"/>
        </w:rPr>
        <w:t>，</w:t>
      </w:r>
      <w:r>
        <w:rPr>
          <w:rFonts w:hint="default" w:ascii="Times New Roman" w:hAnsi="Times New Roman" w:eastAsia="宋体" w:cs="Times New Roman"/>
          <w:color w:val="auto"/>
          <w:spacing w:val="8"/>
        </w:rPr>
        <w:t>就是控股（资本）、控牌（品牌）和控技（技术）</w:t>
      </w:r>
      <w:r>
        <w:rPr>
          <w:rFonts w:hint="default" w:ascii="Times New Roman" w:hAnsi="Times New Roman" w:eastAsia="宋体" w:cs="Times New Roman"/>
          <w:color w:val="auto"/>
          <w:spacing w:val="8"/>
          <w:lang w:eastAsia="zh-CN"/>
        </w:rPr>
        <w:t>，</w:t>
      </w:r>
      <w:r>
        <w:rPr>
          <w:rFonts w:hint="default" w:ascii="Times New Roman" w:hAnsi="Times New Roman" w:eastAsia="宋体" w:cs="Times New Roman"/>
          <w:color w:val="auto"/>
          <w:spacing w:val="8"/>
        </w:rPr>
        <w:t>只有实行“三控”的企业才是较完全的民族经济。在全球化飞速发展的今天</w:t>
      </w:r>
      <w:r>
        <w:rPr>
          <w:rFonts w:hint="default" w:ascii="Times New Roman" w:hAnsi="Times New Roman" w:eastAsia="宋体" w:cs="Times New Roman"/>
          <w:color w:val="auto"/>
          <w:spacing w:val="8"/>
          <w:lang w:eastAsia="zh-CN"/>
        </w:rPr>
        <w:t>，</w:t>
      </w:r>
      <w:r>
        <w:rPr>
          <w:rFonts w:hint="default" w:ascii="Times New Roman" w:hAnsi="Times New Roman" w:eastAsia="宋体" w:cs="Times New Roman"/>
          <w:color w:val="auto"/>
          <w:spacing w:val="8"/>
        </w:rPr>
        <w:t>国家经济安全愈发显得重要</w:t>
      </w:r>
      <w:r>
        <w:rPr>
          <w:rFonts w:hint="default" w:ascii="Times New Roman" w:hAnsi="Times New Roman" w:eastAsia="宋体" w:cs="Times New Roman"/>
          <w:color w:val="auto"/>
          <w:spacing w:val="8"/>
          <w:lang w:eastAsia="zh-CN"/>
        </w:rPr>
        <w:t>，</w:t>
      </w:r>
      <w:r>
        <w:rPr>
          <w:rFonts w:hint="default" w:ascii="Times New Roman" w:hAnsi="Times New Roman" w:eastAsia="宋体" w:cs="Times New Roman"/>
          <w:color w:val="auto"/>
          <w:spacing w:val="8"/>
        </w:rPr>
        <w:t>而“对于发展中国家来说</w:t>
      </w:r>
      <w:r>
        <w:rPr>
          <w:rFonts w:hint="default" w:ascii="Times New Roman" w:hAnsi="Times New Roman" w:eastAsia="宋体" w:cs="Times New Roman"/>
          <w:color w:val="auto"/>
          <w:spacing w:val="8"/>
          <w:lang w:eastAsia="zh-CN"/>
        </w:rPr>
        <w:t>，</w:t>
      </w:r>
      <w:r>
        <w:rPr>
          <w:rFonts w:hint="default" w:ascii="Times New Roman" w:hAnsi="Times New Roman" w:eastAsia="宋体" w:cs="Times New Roman"/>
          <w:color w:val="auto"/>
          <w:spacing w:val="8"/>
        </w:rPr>
        <w:t>国家经济安全的核心在于民族产业的安全”（程恩富，19</w:t>
      </w:r>
      <w:r>
        <w:rPr>
          <w:rFonts w:hint="default" w:ascii="Times New Roman" w:hAnsi="Times New Roman" w:eastAsia="宋体" w:cs="Times New Roman"/>
          <w:color w:val="auto"/>
          <w:spacing w:val="8"/>
          <w:lang w:val="en-US"/>
        </w:rPr>
        <w:t>9</w:t>
      </w:r>
      <w:r>
        <w:rPr>
          <w:rFonts w:hint="default" w:ascii="Times New Roman" w:hAnsi="Times New Roman" w:eastAsia="宋体" w:cs="Times New Roman"/>
          <w:color w:val="auto"/>
          <w:spacing w:val="8"/>
        </w:rPr>
        <w:t>8）。所谓民族产业安全或国民产业安全</w:t>
      </w:r>
      <w:r>
        <w:rPr>
          <w:rFonts w:hint="default" w:ascii="Times New Roman" w:hAnsi="Times New Roman" w:eastAsia="宋体" w:cs="Times New Roman"/>
          <w:color w:val="auto"/>
          <w:spacing w:val="8"/>
          <w:lang w:eastAsia="zh-CN"/>
        </w:rPr>
        <w:t>，</w:t>
      </w:r>
      <w:r>
        <w:rPr>
          <w:rFonts w:hint="default" w:ascii="Times New Roman" w:hAnsi="Times New Roman" w:eastAsia="宋体" w:cs="Times New Roman"/>
          <w:color w:val="auto"/>
          <w:spacing w:val="8"/>
        </w:rPr>
        <w:t>是指在国际交往和竞争中由该国国民所有和控制的产业</w:t>
      </w:r>
      <w:r>
        <w:rPr>
          <w:rFonts w:hint="default" w:ascii="Times New Roman" w:hAnsi="Times New Roman" w:eastAsia="宋体" w:cs="Times New Roman"/>
          <w:color w:val="auto"/>
          <w:spacing w:val="8"/>
          <w:lang w:eastAsia="zh-CN"/>
        </w:rPr>
        <w:t>，</w:t>
      </w:r>
      <w:r>
        <w:rPr>
          <w:rFonts w:hint="default" w:ascii="Times New Roman" w:hAnsi="Times New Roman" w:eastAsia="宋体" w:cs="Times New Roman"/>
          <w:color w:val="auto"/>
          <w:spacing w:val="8"/>
        </w:rPr>
        <w:t>其地位和权益可能受到外国产业影响和危害的状态。而民族产业的具体判别标准可以从资本、品牌和技术等多</w:t>
      </w:r>
      <w:r>
        <w:rPr>
          <w:rFonts w:hint="default" w:ascii="Times New Roman" w:hAnsi="Times New Roman" w:eastAsia="宋体" w:cs="Times New Roman"/>
          <w:color w:val="auto"/>
          <w:w w:val="105"/>
        </w:rPr>
        <w:t>层面加以设定。</w:t>
      </w:r>
    </w:p>
    <w:p w14:paraId="6F358CE2">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4" w:firstLineChars="20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pacing w:val="6"/>
        </w:rPr>
        <w:t>二是争取对半式双赢</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10"/>
        </w:rPr>
        <w:t>以求在全球化过程中实现利益</w:t>
      </w:r>
      <w:r>
        <w:rPr>
          <w:rFonts w:hint="default" w:ascii="Times New Roman" w:hAnsi="Times New Roman" w:eastAsia="宋体" w:cs="Times New Roman"/>
          <w:color w:val="auto"/>
          <w:spacing w:val="6"/>
          <w:w w:val="105"/>
        </w:rPr>
        <w:t>均沾</w:t>
      </w:r>
      <w:r>
        <w:rPr>
          <w:rFonts w:hint="default" w:ascii="Times New Roman" w:hAnsi="Times New Roman" w:eastAsia="宋体" w:cs="Times New Roman"/>
          <w:color w:val="auto"/>
          <w:w w:val="105"/>
        </w:rPr>
        <w:t>。</w:t>
      </w:r>
    </w:p>
    <w:p w14:paraId="178631E9">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4" w:firstLineChars="200"/>
        <w:textAlignment w:val="auto"/>
        <w:rPr>
          <w:rFonts w:hint="default" w:ascii="Times New Roman" w:hAnsi="Times New Roman" w:eastAsia="宋体" w:cs="Times New Roman"/>
          <w:color w:val="auto"/>
          <w:w w:val="105"/>
        </w:rPr>
      </w:pPr>
      <w:r>
        <w:rPr>
          <w:rFonts w:hint="default" w:ascii="Times New Roman" w:hAnsi="Times New Roman" w:eastAsia="宋体" w:cs="Times New Roman"/>
          <w:color w:val="auto"/>
          <w:spacing w:val="6"/>
        </w:rPr>
        <w:t>我们无力改变发达国家主导这次全球化进程的同时</w:t>
      </w:r>
      <w:r>
        <w:rPr>
          <w:rFonts w:hint="default" w:ascii="Times New Roman" w:hAnsi="Times New Roman" w:eastAsia="宋体" w:cs="Times New Roman"/>
          <w:color w:val="auto"/>
          <w:lang w:eastAsia="zh-CN"/>
        </w:rPr>
        <w:t>，</w:t>
      </w:r>
      <w:r>
        <w:rPr>
          <w:rFonts w:hint="default" w:ascii="Times New Roman" w:hAnsi="Times New Roman" w:eastAsia="宋体" w:cs="Times New Roman"/>
          <w:color w:val="auto"/>
          <w:spacing w:val="3"/>
        </w:rPr>
        <w:t>但不能仅仅强调与国际</w:t>
      </w:r>
      <w:r>
        <w:rPr>
          <w:rFonts w:hint="default" w:ascii="Times New Roman" w:hAnsi="Times New Roman" w:eastAsia="宋体" w:cs="Times New Roman"/>
          <w:color w:val="auto"/>
          <w:spacing w:val="-10"/>
          <w:w w:val="85"/>
        </w:rPr>
        <w:t>“</w:t>
      </w:r>
      <w:r>
        <w:rPr>
          <w:rFonts w:hint="default" w:ascii="Times New Roman" w:hAnsi="Times New Roman" w:eastAsia="宋体" w:cs="Times New Roman"/>
          <w:color w:val="auto"/>
          <w:spacing w:val="9"/>
        </w:rPr>
        <w:t>接轨</w:t>
      </w:r>
      <w:r>
        <w:rPr>
          <w:rFonts w:hint="default" w:ascii="Times New Roman" w:hAnsi="Times New Roman" w:eastAsia="宋体" w:cs="Times New Roman"/>
          <w:color w:val="auto"/>
          <w:spacing w:val="-12"/>
          <w:w w:val="85"/>
        </w:rPr>
        <w:t>”</w:t>
      </w:r>
      <w:r>
        <w:rPr>
          <w:rFonts w:hint="default" w:ascii="Times New Roman" w:hAnsi="Times New Roman" w:eastAsia="宋体" w:cs="Times New Roman"/>
          <w:color w:val="auto"/>
          <w:spacing w:val="-78"/>
          <w:lang w:eastAsia="zh-CN"/>
        </w:rPr>
        <w:t>，</w:t>
      </w:r>
      <w:r>
        <w:rPr>
          <w:rFonts w:hint="default" w:ascii="Times New Roman" w:hAnsi="Times New Roman" w:eastAsia="宋体" w:cs="Times New Roman"/>
          <w:color w:val="auto"/>
          <w:spacing w:val="10"/>
        </w:rPr>
        <w:t>不能只是跟着发达国家制</w:t>
      </w:r>
      <w:r>
        <w:rPr>
          <w:rFonts w:hint="default" w:ascii="Times New Roman" w:hAnsi="Times New Roman" w:eastAsia="宋体" w:cs="Times New Roman"/>
          <w:color w:val="auto"/>
          <w:spacing w:val="6"/>
        </w:rPr>
        <w:t>定的模式和规则走</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而是要参与制定全球化运作的规则</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rPr>
        <w:t>积</w:t>
      </w:r>
      <w:r>
        <w:rPr>
          <w:rFonts w:hint="default" w:ascii="Times New Roman" w:hAnsi="Times New Roman" w:eastAsia="宋体" w:cs="Times New Roman"/>
          <w:color w:val="auto"/>
          <w:spacing w:val="8"/>
        </w:rPr>
        <w:t>极谋求本国的利益</w:t>
      </w:r>
      <w:r>
        <w:rPr>
          <w:rFonts w:hint="default" w:ascii="Times New Roman" w:hAnsi="Times New Roman" w:eastAsia="宋体" w:cs="Times New Roman"/>
          <w:color w:val="auto"/>
          <w:spacing w:val="9"/>
        </w:rPr>
        <w:t>。</w:t>
      </w:r>
      <w:r>
        <w:rPr>
          <w:rFonts w:hint="default" w:ascii="Times New Roman" w:hAnsi="Times New Roman" w:eastAsia="宋体" w:cs="Times New Roman"/>
          <w:color w:val="auto"/>
          <w:spacing w:val="14"/>
        </w:rPr>
        <w:t>我们旗帜鲜明的主张应是对半式双</w:t>
      </w:r>
      <w:r>
        <w:rPr>
          <w:rFonts w:hint="default" w:ascii="Times New Roman" w:hAnsi="Times New Roman" w:eastAsia="宋体" w:cs="Times New Roman"/>
          <w:color w:val="auto"/>
          <w:spacing w:val="6"/>
        </w:rPr>
        <w:t>赢</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即要努力争取获取同等比例的利益</w:t>
      </w:r>
      <w:r>
        <w:rPr>
          <w:rFonts w:hint="default" w:ascii="Times New Roman" w:hAnsi="Times New Roman" w:eastAsia="宋体" w:cs="Times New Roman"/>
          <w:color w:val="auto"/>
          <w:spacing w:val="4"/>
        </w:rPr>
        <w:t>。</w:t>
      </w:r>
      <w:r>
        <w:rPr>
          <w:rFonts w:hint="default" w:ascii="Times New Roman" w:hAnsi="Times New Roman" w:eastAsia="宋体" w:cs="Times New Roman"/>
          <w:color w:val="auto"/>
          <w:spacing w:val="6"/>
        </w:rPr>
        <w:t>只有这样</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3"/>
        </w:rPr>
        <w:t>才能防</w:t>
      </w:r>
      <w:r>
        <w:rPr>
          <w:rFonts w:hint="default" w:ascii="Times New Roman" w:hAnsi="Times New Roman" w:eastAsia="宋体" w:cs="Times New Roman"/>
          <w:color w:val="auto"/>
          <w:spacing w:val="6"/>
        </w:rPr>
        <w:t>止自己滑落到很可能来临的新一轮的中心</w:t>
      </w:r>
      <w:r>
        <w:rPr>
          <w:rFonts w:hint="default" w:ascii="Times New Roman" w:hAnsi="Times New Roman" w:eastAsia="宋体" w:cs="Times New Roman"/>
          <w:b/>
          <w:bCs/>
          <w:color w:val="auto"/>
          <w:spacing w:val="6"/>
        </w:rPr>
        <w:t>—</w:t>
      </w:r>
      <w:r>
        <w:rPr>
          <w:rFonts w:hint="default" w:ascii="Times New Roman" w:hAnsi="Times New Roman" w:eastAsia="宋体" w:cs="Times New Roman"/>
          <w:color w:val="auto"/>
          <w:spacing w:val="6"/>
        </w:rPr>
        <w:t>—</w:t>
      </w:r>
      <w:r>
        <w:rPr>
          <w:rFonts w:hint="default" w:ascii="Times New Roman" w:hAnsi="Times New Roman" w:eastAsia="宋体" w:cs="Times New Roman"/>
          <w:color w:val="auto"/>
          <w:spacing w:val="4"/>
        </w:rPr>
        <w:t>边缘世界格</w:t>
      </w:r>
      <w:r>
        <w:rPr>
          <w:rFonts w:hint="default" w:ascii="Times New Roman" w:hAnsi="Times New Roman" w:eastAsia="宋体" w:cs="Times New Roman"/>
          <w:color w:val="auto"/>
          <w:spacing w:val="6"/>
        </w:rPr>
        <w:t>局的边缘</w:t>
      </w:r>
      <w:r>
        <w:rPr>
          <w:rFonts w:hint="default" w:ascii="Times New Roman" w:hAnsi="Times New Roman" w:eastAsia="宋体" w:cs="Times New Roman"/>
          <w:color w:val="auto"/>
          <w:spacing w:val="4"/>
        </w:rPr>
        <w:t>。</w:t>
      </w:r>
      <w:r>
        <w:rPr>
          <w:rFonts w:hint="default" w:ascii="Times New Roman" w:hAnsi="Times New Roman" w:eastAsia="宋体" w:cs="Times New Roman"/>
          <w:color w:val="auto"/>
          <w:spacing w:val="6"/>
        </w:rPr>
        <w:t>根据西方的比较贸易学说</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交换会带来剩余</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rPr>
        <w:t>但</w:t>
      </w:r>
      <w:r>
        <w:rPr>
          <w:rFonts w:hint="default" w:ascii="Times New Roman" w:hAnsi="Times New Roman" w:eastAsia="宋体" w:cs="Times New Roman"/>
          <w:color w:val="auto"/>
          <w:spacing w:val="6"/>
        </w:rPr>
        <w:t>是否交换就一定是公平的</w:t>
      </w:r>
      <w:r>
        <w:rPr>
          <w:rFonts w:hint="default" w:ascii="Times New Roman" w:hAnsi="Times New Roman" w:eastAsia="宋体" w:cs="Times New Roman"/>
          <w:color w:val="auto"/>
          <w:spacing w:val="4"/>
        </w:rPr>
        <w:t>？</w:t>
      </w:r>
      <w:r>
        <w:rPr>
          <w:rFonts w:hint="default" w:ascii="Times New Roman" w:hAnsi="Times New Roman" w:eastAsia="宋体" w:cs="Times New Roman"/>
          <w:color w:val="auto"/>
          <w:spacing w:val="6"/>
        </w:rPr>
        <w:t>显然不是</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否则</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5"/>
        </w:rPr>
        <w:t>就不会有那么</w:t>
      </w:r>
      <w:r>
        <w:rPr>
          <w:rFonts w:hint="default" w:ascii="Times New Roman" w:hAnsi="Times New Roman" w:eastAsia="宋体" w:cs="Times New Roman"/>
          <w:color w:val="auto"/>
          <w:spacing w:val="6"/>
        </w:rPr>
        <w:t>多的经济学家在致力于贸易条件的研究</w:t>
      </w:r>
      <w:r>
        <w:rPr>
          <w:rFonts w:hint="default" w:ascii="Times New Roman" w:hAnsi="Times New Roman" w:eastAsia="宋体" w:cs="Times New Roman"/>
          <w:color w:val="auto"/>
          <w:spacing w:val="4"/>
        </w:rPr>
        <w:t>。</w:t>
      </w:r>
      <w:r>
        <w:rPr>
          <w:rFonts w:hint="default" w:ascii="Times New Roman" w:hAnsi="Times New Roman" w:eastAsia="宋体" w:cs="Times New Roman"/>
          <w:color w:val="auto"/>
          <w:spacing w:val="5"/>
        </w:rPr>
        <w:t>在全球化的制度</w:t>
      </w:r>
      <w:r>
        <w:rPr>
          <w:rFonts w:hint="default" w:ascii="Times New Roman" w:hAnsi="Times New Roman" w:eastAsia="宋体" w:cs="Times New Roman"/>
          <w:color w:val="auto"/>
          <w:spacing w:val="6"/>
        </w:rPr>
        <w:t>形成中</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我们要关注制度的定位</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5"/>
        </w:rPr>
        <w:t>要关注本国获得的利益份</w:t>
      </w:r>
      <w:r>
        <w:rPr>
          <w:rFonts w:hint="default" w:ascii="Times New Roman" w:hAnsi="Times New Roman" w:eastAsia="宋体" w:cs="Times New Roman"/>
          <w:color w:val="auto"/>
          <w:spacing w:val="6"/>
          <w:w w:val="105"/>
        </w:rPr>
        <w:t>额</w:t>
      </w:r>
      <w:r>
        <w:rPr>
          <w:rFonts w:hint="default" w:ascii="Times New Roman" w:hAnsi="Times New Roman" w:eastAsia="宋体" w:cs="Times New Roman"/>
          <w:color w:val="auto"/>
          <w:w w:val="105"/>
        </w:rPr>
        <w:t>。</w:t>
      </w:r>
    </w:p>
    <w:p w14:paraId="081C80B8">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64" w:firstLineChars="20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pacing w:val="6"/>
          <w:w w:val="105"/>
        </w:rPr>
        <w:t>三是尽快对外资企业实行国民待遇</w:t>
      </w:r>
      <w:r>
        <w:rPr>
          <w:rFonts w:hint="default" w:ascii="Times New Roman" w:hAnsi="Times New Roman" w:eastAsia="宋体" w:cs="Times New Roman"/>
          <w:color w:val="auto"/>
          <w:spacing w:val="-80"/>
          <w:w w:val="105"/>
          <w:lang w:eastAsia="zh-CN"/>
        </w:rPr>
        <w:t>，</w:t>
      </w:r>
      <w:r>
        <w:rPr>
          <w:rFonts w:hint="default" w:ascii="Times New Roman" w:hAnsi="Times New Roman" w:eastAsia="宋体" w:cs="Times New Roman"/>
          <w:color w:val="auto"/>
          <w:spacing w:val="9"/>
          <w:w w:val="105"/>
        </w:rPr>
        <w:t>以为本国企业争</w:t>
      </w:r>
      <w:r>
        <w:rPr>
          <w:rFonts w:hint="default" w:ascii="Times New Roman" w:hAnsi="Times New Roman" w:eastAsia="宋体" w:cs="Times New Roman"/>
          <w:color w:val="auto"/>
          <w:w w:val="105"/>
        </w:rPr>
        <w:t>取平等的竞争环境。</w:t>
      </w:r>
    </w:p>
    <w:p w14:paraId="10330ACF">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4" w:firstLineChars="200"/>
        <w:textAlignment w:val="auto"/>
        <w:rPr>
          <w:rFonts w:hint="default" w:ascii="Times New Roman" w:hAnsi="Times New Roman" w:eastAsia="宋体" w:cs="Times New Roman"/>
          <w:color w:val="auto"/>
          <w:w w:val="105"/>
        </w:rPr>
      </w:pPr>
      <w:r>
        <w:rPr>
          <w:rFonts w:hint="default" w:ascii="Times New Roman" w:hAnsi="Times New Roman" w:eastAsia="宋体" w:cs="Times New Roman"/>
          <w:color w:val="auto"/>
          <w:spacing w:val="6"/>
        </w:rPr>
        <w:t>一般来说</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各个主权国家为了民族的利益</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2"/>
        </w:rPr>
        <w:t>都对民族产</w:t>
      </w:r>
      <w:r>
        <w:rPr>
          <w:rFonts w:hint="default" w:ascii="Times New Roman" w:hAnsi="Times New Roman" w:eastAsia="宋体" w:cs="Times New Roman"/>
          <w:color w:val="auto"/>
          <w:spacing w:val="6"/>
        </w:rPr>
        <w:t>业实行一定程度的保护</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10"/>
        </w:rPr>
        <w:t>对所谓的幼稚产业尤其如此</w:t>
      </w:r>
      <w:r>
        <w:rPr>
          <w:rFonts w:hint="default" w:ascii="Times New Roman" w:hAnsi="Times New Roman" w:eastAsia="宋体" w:cs="Times New Roman"/>
          <w:color w:val="auto"/>
          <w:spacing w:val="9"/>
        </w:rPr>
        <w:t>。</w:t>
      </w:r>
      <w:r>
        <w:rPr>
          <w:rFonts w:hint="default" w:ascii="Times New Roman" w:hAnsi="Times New Roman" w:eastAsia="宋体" w:cs="Times New Roman"/>
          <w:color w:val="auto"/>
        </w:rPr>
        <w:t>但</w:t>
      </w:r>
      <w:r>
        <w:rPr>
          <w:rFonts w:hint="default" w:ascii="Times New Roman" w:hAnsi="Times New Roman" w:eastAsia="宋体" w:cs="Times New Roman"/>
          <w:color w:val="auto"/>
          <w:spacing w:val="6"/>
        </w:rPr>
        <w:t>长期以来</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一些发展中国家为了能较大地吸收外来资本</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rPr>
        <w:t>反</w:t>
      </w:r>
      <w:r>
        <w:rPr>
          <w:rFonts w:hint="default" w:ascii="Times New Roman" w:hAnsi="Times New Roman" w:eastAsia="宋体" w:cs="Times New Roman"/>
          <w:color w:val="auto"/>
          <w:spacing w:val="7"/>
        </w:rPr>
        <w:t>而对外资实行一种较国内资本更有利</w:t>
      </w:r>
      <w:r>
        <w:rPr>
          <w:rFonts w:hint="default" w:ascii="Times New Roman" w:hAnsi="Times New Roman" w:eastAsia="宋体" w:cs="Times New Roman"/>
          <w:color w:val="auto"/>
          <w:spacing w:val="-76"/>
        </w:rPr>
        <w:t>、</w:t>
      </w:r>
      <w:r>
        <w:rPr>
          <w:rFonts w:hint="default" w:ascii="Times New Roman" w:hAnsi="Times New Roman" w:eastAsia="宋体" w:cs="Times New Roman"/>
          <w:color w:val="auto"/>
          <w:spacing w:val="13"/>
        </w:rPr>
        <w:t>更优惠的政策</w:t>
      </w:r>
      <w:r>
        <w:rPr>
          <w:rFonts w:hint="default" w:ascii="Times New Roman" w:hAnsi="Times New Roman" w:eastAsia="宋体" w:cs="Times New Roman"/>
          <w:color w:val="auto"/>
          <w:spacing w:val="-74"/>
          <w:lang w:eastAsia="zh-CN"/>
        </w:rPr>
        <w:t>，</w:t>
      </w:r>
      <w:r>
        <w:rPr>
          <w:rFonts w:hint="default" w:ascii="Times New Roman" w:hAnsi="Times New Roman" w:eastAsia="宋体" w:cs="Times New Roman"/>
          <w:color w:val="auto"/>
        </w:rPr>
        <w:t>即</w:t>
      </w:r>
      <w:r>
        <w:rPr>
          <w:rFonts w:hint="default" w:ascii="Times New Roman" w:hAnsi="Times New Roman" w:eastAsia="宋体" w:cs="Times New Roman"/>
          <w:color w:val="auto"/>
          <w:spacing w:val="5"/>
          <w:w w:val="75"/>
        </w:rPr>
        <w:t>“</w:t>
      </w:r>
      <w:r>
        <w:rPr>
          <w:rFonts w:hint="default" w:ascii="Times New Roman" w:hAnsi="Times New Roman" w:eastAsia="宋体" w:cs="Times New Roman"/>
          <w:color w:val="auto"/>
          <w:spacing w:val="4"/>
          <w:w w:val="95"/>
        </w:rPr>
        <w:t>超国民待遇</w:t>
      </w:r>
      <w:r>
        <w:rPr>
          <w:rFonts w:hint="default" w:ascii="Times New Roman" w:hAnsi="Times New Roman" w:eastAsia="宋体" w:cs="Times New Roman"/>
          <w:color w:val="auto"/>
          <w:spacing w:val="15"/>
          <w:w w:val="75"/>
        </w:rPr>
        <w:t>”</w:t>
      </w:r>
      <w:r>
        <w:rPr>
          <w:rFonts w:hint="default" w:ascii="Times New Roman" w:hAnsi="Times New Roman" w:eastAsia="宋体" w:cs="Times New Roman"/>
          <w:color w:val="auto"/>
          <w:spacing w:val="4"/>
          <w:w w:val="95"/>
        </w:rPr>
        <w:t>。</w:t>
      </w:r>
      <w:r>
        <w:rPr>
          <w:rFonts w:hint="default" w:ascii="Times New Roman" w:hAnsi="Times New Roman" w:eastAsia="宋体" w:cs="Times New Roman"/>
          <w:color w:val="auto"/>
          <w:spacing w:val="6"/>
          <w:w w:val="95"/>
        </w:rPr>
        <w:t>迄今为止</w:t>
      </w:r>
      <w:r>
        <w:rPr>
          <w:rFonts w:hint="default" w:ascii="Times New Roman" w:hAnsi="Times New Roman" w:eastAsia="宋体" w:cs="Times New Roman"/>
          <w:color w:val="auto"/>
          <w:spacing w:val="-86"/>
          <w:w w:val="95"/>
          <w:lang w:eastAsia="zh-CN"/>
        </w:rPr>
        <w:t>，</w:t>
      </w:r>
      <w:r>
        <w:rPr>
          <w:rFonts w:hint="default" w:ascii="Times New Roman" w:hAnsi="Times New Roman" w:eastAsia="宋体" w:cs="Times New Roman"/>
          <w:color w:val="auto"/>
          <w:spacing w:val="5"/>
          <w:w w:val="95"/>
        </w:rPr>
        <w:t>中国还在对外资实现这种</w:t>
      </w:r>
      <w:r>
        <w:rPr>
          <w:rFonts w:hint="default" w:ascii="Times New Roman" w:hAnsi="Times New Roman" w:eastAsia="宋体" w:cs="Times New Roman"/>
          <w:color w:val="auto"/>
          <w:spacing w:val="6"/>
          <w:w w:val="75"/>
        </w:rPr>
        <w:t>“</w:t>
      </w:r>
      <w:r>
        <w:rPr>
          <w:rFonts w:hint="default" w:ascii="Times New Roman" w:hAnsi="Times New Roman" w:eastAsia="宋体" w:cs="Times New Roman"/>
          <w:color w:val="auto"/>
          <w:spacing w:val="3"/>
          <w:w w:val="95"/>
        </w:rPr>
        <w:t>超国</w:t>
      </w:r>
      <w:r>
        <w:rPr>
          <w:rFonts w:hint="default" w:ascii="Times New Roman" w:hAnsi="Times New Roman" w:eastAsia="宋体" w:cs="Times New Roman"/>
          <w:color w:val="auto"/>
          <w:spacing w:val="3"/>
        </w:rPr>
        <w:t>民待遇</w:t>
      </w:r>
      <w:r>
        <w:rPr>
          <w:rFonts w:hint="default" w:ascii="Times New Roman" w:hAnsi="Times New Roman" w:eastAsia="宋体" w:cs="Times New Roman"/>
          <w:color w:val="auto"/>
          <w:spacing w:val="15"/>
          <w:w w:val="75"/>
        </w:rPr>
        <w:t>”</w:t>
      </w:r>
      <w:r>
        <w:rPr>
          <w:rFonts w:hint="default" w:ascii="Times New Roman" w:hAnsi="Times New Roman" w:eastAsia="宋体" w:cs="Times New Roman"/>
          <w:color w:val="auto"/>
          <w:spacing w:val="4"/>
        </w:rPr>
        <w:t>。</w:t>
      </w:r>
      <w:r>
        <w:rPr>
          <w:rFonts w:hint="default" w:ascii="Times New Roman" w:hAnsi="Times New Roman" w:eastAsia="宋体" w:cs="Times New Roman"/>
          <w:color w:val="auto"/>
          <w:spacing w:val="6"/>
        </w:rPr>
        <w:t>其结果</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导致地区差距扩大</w:t>
      </w:r>
      <w:r>
        <w:rPr>
          <w:rFonts w:hint="default" w:ascii="Times New Roman" w:hAnsi="Times New Roman" w:eastAsia="宋体" w:cs="Times New Roman"/>
          <w:color w:val="auto"/>
          <w:spacing w:val="-86"/>
        </w:rPr>
        <w:t>、</w:t>
      </w:r>
      <w:r>
        <w:rPr>
          <w:rFonts w:hint="default" w:ascii="Times New Roman" w:hAnsi="Times New Roman" w:eastAsia="宋体" w:cs="Times New Roman"/>
          <w:color w:val="auto"/>
          <w:spacing w:val="6"/>
        </w:rPr>
        <w:t>引起不平等竞争</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rPr>
        <w:t>反</w:t>
      </w:r>
      <w:r>
        <w:rPr>
          <w:rFonts w:hint="default" w:ascii="Times New Roman" w:hAnsi="Times New Roman" w:eastAsia="宋体" w:cs="Times New Roman"/>
          <w:color w:val="auto"/>
          <w:spacing w:val="5"/>
        </w:rPr>
        <w:t>而恶化了市场环境</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10"/>
        </w:rPr>
        <w:t>甚至出现了大量的假合资和被迫合资</w:t>
      </w:r>
      <w:r>
        <w:rPr>
          <w:rFonts w:hint="default" w:ascii="Times New Roman" w:hAnsi="Times New Roman" w:eastAsia="宋体" w:cs="Times New Roman"/>
          <w:color w:val="auto"/>
          <w:spacing w:val="6"/>
          <w:w w:val="105"/>
        </w:rPr>
        <w:t>的现象</w:t>
      </w:r>
      <w:r>
        <w:rPr>
          <w:rFonts w:hint="default" w:ascii="Times New Roman" w:hAnsi="Times New Roman" w:eastAsia="宋体" w:cs="Times New Roman"/>
          <w:color w:val="auto"/>
          <w:w w:val="105"/>
        </w:rPr>
        <w:t>。</w:t>
      </w:r>
    </w:p>
    <w:p w14:paraId="35D0A8CC">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64" w:firstLineChars="200"/>
        <w:textAlignment w:val="auto"/>
        <w:rPr>
          <w:rFonts w:hint="default" w:ascii="Times New Roman" w:hAnsi="Times New Roman" w:eastAsia="宋体" w:cs="Times New Roman"/>
          <w:color w:val="auto"/>
        </w:rPr>
      </w:pPr>
      <w:r>
        <w:rPr>
          <w:rFonts w:hint="default" w:ascii="Times New Roman" w:hAnsi="Times New Roman" w:eastAsia="宋体" w:cs="Times New Roman"/>
          <w:color w:val="auto"/>
          <w:spacing w:val="6"/>
          <w:w w:val="105"/>
        </w:rPr>
        <w:t>四是积极消除金融隐患</w:t>
      </w:r>
      <w:r>
        <w:rPr>
          <w:rFonts w:hint="default" w:ascii="Times New Roman" w:hAnsi="Times New Roman" w:eastAsia="宋体" w:cs="Times New Roman"/>
          <w:color w:val="auto"/>
          <w:spacing w:val="-86"/>
          <w:w w:val="105"/>
          <w:lang w:eastAsia="zh-CN"/>
        </w:rPr>
        <w:t>，</w:t>
      </w:r>
      <w:r>
        <w:rPr>
          <w:rFonts w:hint="default" w:ascii="Times New Roman" w:hAnsi="Times New Roman" w:eastAsia="宋体" w:cs="Times New Roman"/>
          <w:color w:val="auto"/>
          <w:spacing w:val="6"/>
          <w:w w:val="105"/>
        </w:rPr>
        <w:t>以确保国家金融安全</w:t>
      </w:r>
      <w:r>
        <w:rPr>
          <w:rFonts w:hint="default" w:ascii="Times New Roman" w:hAnsi="Times New Roman" w:eastAsia="宋体" w:cs="Times New Roman"/>
          <w:color w:val="auto"/>
          <w:w w:val="105"/>
        </w:rPr>
        <w:t>。</w:t>
      </w:r>
    </w:p>
    <w:p w14:paraId="6507C42E">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4" w:firstLineChars="200"/>
        <w:textAlignment w:val="auto"/>
        <w:rPr>
          <w:rFonts w:hint="default" w:ascii="Times New Roman" w:hAnsi="Times New Roman" w:eastAsia="宋体" w:cs="Times New Roman"/>
          <w:color w:val="auto"/>
          <w:w w:val="105"/>
        </w:rPr>
      </w:pPr>
      <w:r>
        <w:rPr>
          <w:rFonts w:hint="default" w:ascii="Times New Roman" w:hAnsi="Times New Roman" w:eastAsia="宋体" w:cs="Times New Roman"/>
          <w:color w:val="auto"/>
          <w:spacing w:val="6"/>
        </w:rPr>
        <w:t>我国虽然未正式发生过金融危机</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9"/>
        </w:rPr>
        <w:t>但近年始终存在一</w:t>
      </w:r>
      <w:r>
        <w:rPr>
          <w:rFonts w:hint="default" w:ascii="Times New Roman" w:hAnsi="Times New Roman" w:eastAsia="宋体" w:cs="Times New Roman"/>
          <w:color w:val="auto"/>
          <w:spacing w:val="6"/>
        </w:rPr>
        <w:t>些金融隐患</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8"/>
        </w:rPr>
        <w:t>金融风险不小。例如</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10"/>
        </w:rPr>
        <w:t>银行资产质量不高</w:t>
      </w:r>
      <w:r>
        <w:rPr>
          <w:rFonts w:hint="default" w:ascii="Times New Roman" w:hAnsi="Times New Roman" w:eastAsia="宋体" w:cs="Times New Roman"/>
          <w:color w:val="auto"/>
          <w:spacing w:val="-78"/>
          <w:lang w:eastAsia="zh-CN"/>
        </w:rPr>
        <w:t>，</w:t>
      </w:r>
      <w:r>
        <w:rPr>
          <w:rFonts w:hint="default" w:ascii="Times New Roman" w:hAnsi="Times New Roman" w:eastAsia="宋体" w:cs="Times New Roman"/>
          <w:color w:val="auto"/>
        </w:rPr>
        <w:t>不</w:t>
      </w:r>
      <w:r>
        <w:rPr>
          <w:rFonts w:hint="default" w:ascii="Times New Roman" w:hAnsi="Times New Roman" w:eastAsia="宋体" w:cs="Times New Roman"/>
          <w:color w:val="auto"/>
          <w:spacing w:val="6"/>
        </w:rPr>
        <w:t>良贷款比重较大</w:t>
      </w:r>
      <w:r>
        <w:rPr>
          <w:rFonts w:hint="default" w:ascii="Times New Roman" w:hAnsi="Times New Roman" w:eastAsia="宋体" w:cs="Times New Roman"/>
          <w:color w:val="auto"/>
          <w:spacing w:val="-80"/>
        </w:rPr>
        <w:t>；</w:t>
      </w:r>
      <w:r>
        <w:rPr>
          <w:rFonts w:hint="default" w:ascii="Times New Roman" w:hAnsi="Times New Roman" w:eastAsia="宋体" w:cs="Times New Roman"/>
          <w:color w:val="auto"/>
          <w:spacing w:val="8"/>
        </w:rPr>
        <w:t>某些地方金融秩序混乱</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8"/>
        </w:rPr>
        <w:t>非法集资</w:t>
      </w:r>
      <w:r>
        <w:rPr>
          <w:rFonts w:hint="default" w:ascii="Times New Roman" w:hAnsi="Times New Roman" w:eastAsia="宋体" w:cs="Times New Roman"/>
          <w:color w:val="auto"/>
          <w:spacing w:val="-80"/>
        </w:rPr>
        <w:t>；</w:t>
      </w:r>
      <w:r>
        <w:rPr>
          <w:rFonts w:hint="default" w:ascii="Times New Roman" w:hAnsi="Times New Roman" w:eastAsia="宋体" w:cs="Times New Roman"/>
          <w:color w:val="auto"/>
          <w:spacing w:val="5"/>
        </w:rPr>
        <w:t>不规</w:t>
      </w:r>
      <w:r>
        <w:rPr>
          <w:rFonts w:hint="default" w:ascii="Times New Roman" w:hAnsi="Times New Roman" w:eastAsia="宋体" w:cs="Times New Roman"/>
          <w:color w:val="auto"/>
          <w:spacing w:val="6"/>
        </w:rPr>
        <w:t>范运作的非银行金融机构较多</w:t>
      </w:r>
      <w:r>
        <w:rPr>
          <w:rFonts w:hint="default" w:ascii="Times New Roman" w:hAnsi="Times New Roman" w:eastAsia="宋体" w:cs="Times New Roman"/>
          <w:color w:val="auto"/>
          <w:spacing w:val="-86"/>
        </w:rPr>
        <w:t>；</w:t>
      </w:r>
      <w:r>
        <w:rPr>
          <w:rFonts w:hint="default" w:ascii="Times New Roman" w:hAnsi="Times New Roman" w:eastAsia="宋体" w:cs="Times New Roman"/>
          <w:color w:val="auto"/>
          <w:spacing w:val="6"/>
        </w:rPr>
        <w:t>证券</w:t>
      </w:r>
      <w:r>
        <w:rPr>
          <w:rFonts w:hint="default" w:ascii="Times New Roman" w:hAnsi="Times New Roman" w:eastAsia="宋体" w:cs="Times New Roman"/>
          <w:color w:val="auto"/>
          <w:spacing w:val="-86"/>
        </w:rPr>
        <w:t>、</w:t>
      </w:r>
      <w:r>
        <w:rPr>
          <w:rFonts w:hint="default" w:ascii="Times New Roman" w:hAnsi="Times New Roman" w:eastAsia="宋体" w:cs="Times New Roman"/>
          <w:color w:val="auto"/>
          <w:spacing w:val="5"/>
        </w:rPr>
        <w:t>期货和股份制运行与</w:t>
      </w:r>
      <w:r>
        <w:rPr>
          <w:rFonts w:hint="default" w:ascii="Times New Roman" w:hAnsi="Times New Roman" w:eastAsia="宋体" w:cs="Times New Roman"/>
          <w:color w:val="auto"/>
          <w:spacing w:val="6"/>
        </w:rPr>
        <w:t>操作的漏洞明显</w:t>
      </w:r>
      <w:r>
        <w:rPr>
          <w:rFonts w:hint="default" w:ascii="Times New Roman" w:hAnsi="Times New Roman" w:eastAsia="宋体" w:cs="Times New Roman"/>
          <w:color w:val="auto"/>
          <w:spacing w:val="-86"/>
        </w:rPr>
        <w:t>；</w:t>
      </w:r>
      <w:r>
        <w:rPr>
          <w:rFonts w:hint="default" w:ascii="Times New Roman" w:hAnsi="Times New Roman" w:eastAsia="宋体" w:cs="Times New Roman"/>
          <w:color w:val="auto"/>
          <w:spacing w:val="6"/>
        </w:rPr>
        <w:t>金融立法和执法均有松懈之处</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4"/>
        </w:rPr>
        <w:t>使金融犯</w:t>
      </w:r>
      <w:r>
        <w:rPr>
          <w:rFonts w:hint="default" w:ascii="Times New Roman" w:hAnsi="Times New Roman" w:eastAsia="宋体" w:cs="Times New Roman"/>
          <w:color w:val="auto"/>
          <w:spacing w:val="5"/>
        </w:rPr>
        <w:t>罪较为严重</w:t>
      </w:r>
      <w:r>
        <w:rPr>
          <w:rFonts w:hint="default" w:ascii="Times New Roman" w:hAnsi="Times New Roman" w:eastAsia="宋体" w:cs="Times New Roman"/>
          <w:color w:val="auto"/>
          <w:spacing w:val="4"/>
        </w:rPr>
        <w:t>。</w:t>
      </w:r>
      <w:r>
        <w:rPr>
          <w:rFonts w:hint="default" w:ascii="Times New Roman" w:hAnsi="Times New Roman" w:eastAsia="宋体" w:cs="Times New Roman"/>
          <w:color w:val="auto"/>
          <w:spacing w:val="7"/>
        </w:rPr>
        <w:t>面对金融日趋自由化的新态势</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8"/>
        </w:rPr>
        <w:t>中国既要深</w:t>
      </w:r>
      <w:r>
        <w:rPr>
          <w:rFonts w:hint="default" w:ascii="Times New Roman" w:hAnsi="Times New Roman" w:eastAsia="宋体" w:cs="Times New Roman"/>
          <w:color w:val="auto"/>
          <w:spacing w:val="6"/>
        </w:rPr>
        <w:t>化国内金融体制的改革</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迅速提升本国金融机构的竞争力</w:t>
      </w:r>
      <w:r>
        <w:rPr>
          <w:rFonts w:hint="default" w:ascii="Times New Roman" w:hAnsi="Times New Roman" w:eastAsia="宋体" w:cs="Times New Roman"/>
          <w:color w:val="auto"/>
          <w:spacing w:val="-15"/>
          <w:lang w:eastAsia="zh-CN"/>
        </w:rPr>
        <w:t>，</w:t>
      </w:r>
      <w:r>
        <w:rPr>
          <w:rFonts w:hint="default" w:ascii="Times New Roman" w:hAnsi="Times New Roman" w:eastAsia="宋体" w:cs="Times New Roman"/>
          <w:color w:val="auto"/>
          <w:spacing w:val="6"/>
        </w:rPr>
        <w:t>也要循序渐进地适时开放金融领域</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强调有理</w:t>
      </w:r>
      <w:r>
        <w:rPr>
          <w:rFonts w:hint="default" w:ascii="Times New Roman" w:hAnsi="Times New Roman" w:eastAsia="宋体" w:cs="Times New Roman"/>
          <w:color w:val="auto"/>
          <w:spacing w:val="-86"/>
        </w:rPr>
        <w:t>、</w:t>
      </w:r>
      <w:r>
        <w:rPr>
          <w:rFonts w:hint="default" w:ascii="Times New Roman" w:hAnsi="Times New Roman" w:eastAsia="宋体" w:cs="Times New Roman"/>
          <w:color w:val="auto"/>
          <w:spacing w:val="6"/>
        </w:rPr>
        <w:t>有利</w:t>
      </w:r>
      <w:r>
        <w:rPr>
          <w:rFonts w:hint="default" w:ascii="Times New Roman" w:hAnsi="Times New Roman" w:eastAsia="宋体" w:cs="Times New Roman"/>
          <w:color w:val="auto"/>
          <w:spacing w:val="-86"/>
        </w:rPr>
        <w:t>、</w:t>
      </w:r>
      <w:r>
        <w:rPr>
          <w:rFonts w:hint="default" w:ascii="Times New Roman" w:hAnsi="Times New Roman" w:eastAsia="宋体" w:cs="Times New Roman"/>
          <w:color w:val="auto"/>
          <w:spacing w:val="6"/>
        </w:rPr>
        <w:t>有节</w:t>
      </w:r>
      <w:r>
        <w:rPr>
          <w:rFonts w:hint="default" w:ascii="Times New Roman" w:hAnsi="Times New Roman" w:eastAsia="宋体" w:cs="Times New Roman"/>
          <w:color w:val="auto"/>
          <w:spacing w:val="-12"/>
        </w:rPr>
        <w:t>；</w:t>
      </w:r>
      <w:r>
        <w:rPr>
          <w:rFonts w:hint="default" w:ascii="Times New Roman" w:hAnsi="Times New Roman" w:eastAsia="宋体" w:cs="Times New Roman"/>
          <w:color w:val="auto"/>
          <w:spacing w:val="3"/>
        </w:rPr>
        <w:t>还要加强对国际游资的防范与管理</w:t>
      </w:r>
      <w:r>
        <w:rPr>
          <w:rFonts w:hint="default" w:ascii="Times New Roman" w:hAnsi="Times New Roman" w:eastAsia="宋体" w:cs="Times New Roman"/>
          <w:color w:val="auto"/>
          <w:spacing w:val="-78"/>
          <w:lang w:eastAsia="zh-CN"/>
        </w:rPr>
        <w:t>，</w:t>
      </w:r>
      <w:r>
        <w:rPr>
          <w:rFonts w:hint="default" w:ascii="Times New Roman" w:hAnsi="Times New Roman" w:eastAsia="宋体" w:cs="Times New Roman"/>
          <w:color w:val="auto"/>
          <w:spacing w:val="9"/>
        </w:rPr>
        <w:t>严格监督外资金融机</w:t>
      </w:r>
      <w:r>
        <w:rPr>
          <w:rFonts w:hint="default" w:ascii="Times New Roman" w:hAnsi="Times New Roman" w:eastAsia="宋体" w:cs="Times New Roman"/>
          <w:color w:val="auto"/>
          <w:spacing w:val="6"/>
          <w:w w:val="105"/>
        </w:rPr>
        <w:t>构的经营行为</w:t>
      </w:r>
      <w:r>
        <w:rPr>
          <w:rFonts w:hint="default" w:ascii="Times New Roman" w:hAnsi="Times New Roman" w:eastAsia="宋体" w:cs="Times New Roman"/>
          <w:color w:val="auto"/>
          <w:w w:val="105"/>
        </w:rPr>
        <w:t>。</w:t>
      </w:r>
    </w:p>
    <w:p w14:paraId="5FEC522D">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64" w:firstLineChars="200"/>
        <w:textAlignment w:val="auto"/>
        <w:rPr>
          <w:rFonts w:hint="default" w:ascii="Times New Roman" w:hAnsi="Times New Roman" w:eastAsia="宋体" w:cs="Times New Roman"/>
          <w:color w:val="auto"/>
          <w:w w:val="105"/>
        </w:rPr>
      </w:pPr>
      <w:r>
        <w:rPr>
          <w:rFonts w:hint="default" w:ascii="Times New Roman" w:hAnsi="Times New Roman" w:eastAsia="宋体" w:cs="Times New Roman"/>
          <w:color w:val="auto"/>
          <w:spacing w:val="6"/>
          <w:w w:val="105"/>
        </w:rPr>
        <w:t>五是加大科教投入</w:t>
      </w:r>
      <w:r>
        <w:rPr>
          <w:rFonts w:hint="default" w:ascii="Times New Roman" w:hAnsi="Times New Roman" w:eastAsia="宋体" w:cs="Times New Roman"/>
          <w:color w:val="auto"/>
          <w:spacing w:val="-86"/>
          <w:w w:val="105"/>
          <w:lang w:eastAsia="zh-CN"/>
        </w:rPr>
        <w:t>，</w:t>
      </w:r>
      <w:r>
        <w:rPr>
          <w:rFonts w:hint="default" w:ascii="Times New Roman" w:hAnsi="Times New Roman" w:eastAsia="宋体" w:cs="Times New Roman"/>
          <w:color w:val="auto"/>
          <w:spacing w:val="6"/>
          <w:w w:val="105"/>
        </w:rPr>
        <w:t>创造知识资源</w:t>
      </w:r>
      <w:r>
        <w:rPr>
          <w:rFonts w:hint="default" w:ascii="Times New Roman" w:hAnsi="Times New Roman" w:eastAsia="宋体" w:cs="Times New Roman"/>
          <w:color w:val="auto"/>
          <w:spacing w:val="-86"/>
          <w:w w:val="105"/>
          <w:lang w:eastAsia="zh-CN"/>
        </w:rPr>
        <w:t>，</w:t>
      </w:r>
      <w:r>
        <w:rPr>
          <w:rFonts w:hint="default" w:ascii="Times New Roman" w:hAnsi="Times New Roman" w:eastAsia="宋体" w:cs="Times New Roman"/>
          <w:color w:val="auto"/>
          <w:spacing w:val="5"/>
          <w:w w:val="105"/>
        </w:rPr>
        <w:t>以确立应对全球化</w:t>
      </w:r>
      <w:r>
        <w:rPr>
          <w:rFonts w:hint="default" w:ascii="Times New Roman" w:hAnsi="Times New Roman" w:eastAsia="宋体" w:cs="Times New Roman"/>
          <w:color w:val="auto"/>
          <w:w w:val="105"/>
        </w:rPr>
        <w:t>的根本之策。</w:t>
      </w:r>
    </w:p>
    <w:p w14:paraId="2FF592F1">
      <w:pPr>
        <w:pStyle w:val="4"/>
        <w:keepNext w:val="0"/>
        <w:keepLines w:val="0"/>
        <w:pageBreakBefore w:val="0"/>
        <w:widowControl w:val="0"/>
        <w:kinsoku/>
        <w:wordWrap/>
        <w:overflowPunct/>
        <w:topLinePunct w:val="0"/>
        <w:autoSpaceDE/>
        <w:autoSpaceDN/>
        <w:bidi w:val="0"/>
        <w:adjustRightInd/>
        <w:snapToGrid/>
        <w:spacing w:line="400" w:lineRule="exact"/>
        <w:ind w:left="0" w:right="0" w:firstLine="440" w:firstLineChars="200"/>
        <w:textAlignment w:val="auto"/>
        <w:rPr>
          <w:rFonts w:hint="default" w:ascii="Times New Roman" w:hAnsi="Times New Roman" w:eastAsia="宋体" w:cs="Times New Roman"/>
          <w:color w:val="auto"/>
          <w:spacing w:val="7"/>
          <w:w w:val="105"/>
        </w:rPr>
      </w:pPr>
      <w:r>
        <w:rPr>
          <w:rFonts w:hint="default" w:ascii="Times New Roman" w:hAnsi="Times New Roman" w:eastAsia="宋体" w:cs="Times New Roman"/>
          <w:color w:val="auto"/>
          <w:spacing w:val="5"/>
        </w:rPr>
        <w:t>各国政府越来越难以通过关税壁垒等措施保护本国的</w:t>
      </w:r>
      <w:r>
        <w:rPr>
          <w:rFonts w:hint="default" w:ascii="Times New Roman" w:hAnsi="Times New Roman" w:eastAsia="宋体" w:cs="Times New Roman"/>
          <w:color w:val="auto"/>
          <w:spacing w:val="6"/>
        </w:rPr>
        <w:t>产业</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因而政府在扶持本国产业的方向就应有所转变</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3"/>
        </w:rPr>
        <w:t>应主</w:t>
      </w:r>
      <w:r>
        <w:rPr>
          <w:rFonts w:hint="default" w:ascii="Times New Roman" w:hAnsi="Times New Roman" w:eastAsia="宋体" w:cs="Times New Roman"/>
          <w:color w:val="auto"/>
          <w:spacing w:val="6"/>
        </w:rPr>
        <w:t>要注重于提高本国的教育和科技</w:t>
      </w:r>
      <w:r>
        <w:rPr>
          <w:rFonts w:hint="default" w:ascii="Times New Roman" w:hAnsi="Times New Roman" w:eastAsia="宋体" w:cs="Times New Roman"/>
          <w:color w:val="auto"/>
          <w:spacing w:val="8"/>
        </w:rPr>
        <w:t>。</w:t>
      </w:r>
      <w:r>
        <w:rPr>
          <w:rFonts w:hint="default" w:ascii="Times New Roman" w:hAnsi="Times New Roman" w:eastAsia="宋体" w:cs="Times New Roman"/>
          <w:color w:val="auto"/>
          <w:spacing w:val="9"/>
        </w:rPr>
        <w:t>长期以来</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8"/>
        </w:rPr>
        <w:t>我国的国际</w:t>
      </w:r>
      <w:r>
        <w:rPr>
          <w:rFonts w:hint="default" w:ascii="Times New Roman" w:hAnsi="Times New Roman" w:eastAsia="宋体" w:cs="Times New Roman"/>
          <w:color w:val="auto"/>
          <w:spacing w:val="5"/>
        </w:rPr>
        <w:t>比较优势一直停留在农产品和纺织品等传统的劳动密集型</w:t>
      </w:r>
      <w:r>
        <w:rPr>
          <w:rFonts w:hint="default" w:ascii="Times New Roman" w:hAnsi="Times New Roman" w:eastAsia="宋体" w:cs="Times New Roman"/>
          <w:color w:val="auto"/>
        </w:rPr>
        <w:drawing>
          <wp:anchor distT="0" distB="0" distL="0" distR="0" simplePos="0" relativeHeight="251663360" behindDoc="1" locked="0" layoutInCell="1" allowOverlap="1">
            <wp:simplePos x="0" y="0"/>
            <wp:positionH relativeFrom="page">
              <wp:posOffset>5945505</wp:posOffset>
            </wp:positionH>
            <wp:positionV relativeFrom="paragraph">
              <wp:posOffset>947420</wp:posOffset>
            </wp:positionV>
            <wp:extent cx="100330" cy="110490"/>
            <wp:effectExtent l="0" t="0" r="1270" b="16510"/>
            <wp:wrapNone/>
            <wp:docPr id="16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age4.png"/>
                    <pic:cNvPicPr>
                      <a:picLocks noChangeAspect="1"/>
                    </pic:cNvPicPr>
                  </pic:nvPicPr>
                  <pic:blipFill>
                    <a:blip r:embed="rId16" cstate="print"/>
                    <a:stretch>
                      <a:fillRect/>
                    </a:stretch>
                  </pic:blipFill>
                  <pic:spPr>
                    <a:xfrm>
                      <a:off x="0" y="0"/>
                      <a:ext cx="100361" cy="110743"/>
                    </a:xfrm>
                    <a:prstGeom prst="rect">
                      <a:avLst/>
                    </a:prstGeom>
                  </pic:spPr>
                </pic:pic>
              </a:graphicData>
            </a:graphic>
          </wp:anchor>
        </w:drawing>
      </w:r>
      <w:r>
        <w:rPr>
          <w:rFonts w:hint="default" w:ascii="Times New Roman" w:hAnsi="Times New Roman" w:eastAsia="宋体" w:cs="Times New Roman"/>
          <w:color w:val="auto"/>
          <w:spacing w:val="6"/>
        </w:rPr>
        <w:t>方面</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而且有越来越下降的趋势</w:t>
      </w:r>
      <w:r>
        <w:rPr>
          <w:rFonts w:hint="default" w:ascii="Times New Roman" w:hAnsi="Times New Roman" w:eastAsia="宋体" w:cs="Times New Roman"/>
          <w:color w:val="auto"/>
          <w:spacing w:val="8"/>
        </w:rPr>
        <w:t>。</w:t>
      </w:r>
      <w:r>
        <w:rPr>
          <w:rFonts w:hint="default" w:ascii="Times New Roman" w:hAnsi="Times New Roman" w:eastAsia="宋体" w:cs="Times New Roman"/>
          <w:color w:val="auto"/>
          <w:spacing w:val="9"/>
        </w:rPr>
        <w:t>贸易状况同我国的教育</w:t>
      </w:r>
      <w:r>
        <w:rPr>
          <w:rFonts w:hint="default" w:ascii="Times New Roman" w:hAnsi="Times New Roman" w:eastAsia="宋体" w:cs="Times New Roman"/>
          <w:color w:val="auto"/>
          <w:spacing w:val="8"/>
        </w:rPr>
        <w:t>和科技水平密切相关</w:t>
      </w:r>
      <w:r>
        <w:rPr>
          <w:rFonts w:hint="default" w:ascii="Times New Roman" w:hAnsi="Times New Roman" w:eastAsia="宋体" w:cs="Times New Roman"/>
          <w:color w:val="auto"/>
          <w:spacing w:val="9"/>
        </w:rPr>
        <w:t>。</w:t>
      </w:r>
      <w:r>
        <w:rPr>
          <w:rFonts w:hint="default" w:ascii="Times New Roman" w:hAnsi="Times New Roman" w:eastAsia="宋体" w:cs="Times New Roman"/>
          <w:color w:val="auto"/>
          <w:spacing w:val="13"/>
        </w:rPr>
        <w:t>科教在提高知识资源中的根本作</w:t>
      </w:r>
      <w:r>
        <w:rPr>
          <w:rFonts w:hint="default" w:ascii="Times New Roman" w:hAnsi="Times New Roman" w:eastAsia="宋体" w:cs="Times New Roman"/>
          <w:color w:val="auto"/>
          <w:spacing w:val="6"/>
        </w:rPr>
        <w:t>用</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以及我国目前科教现状与发达国家的差距</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2"/>
        </w:rPr>
        <w:t>都迫切要求</w:t>
      </w:r>
      <w:r>
        <w:rPr>
          <w:rFonts w:hint="default" w:ascii="Times New Roman" w:hAnsi="Times New Roman" w:eastAsia="宋体" w:cs="Times New Roman"/>
          <w:color w:val="auto"/>
          <w:spacing w:val="6"/>
        </w:rPr>
        <w:t>把握时机</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8"/>
        </w:rPr>
        <w:t>大力发展义务教育</w:t>
      </w:r>
      <w:r>
        <w:rPr>
          <w:rFonts w:hint="default" w:ascii="Times New Roman" w:hAnsi="Times New Roman" w:eastAsia="宋体" w:cs="Times New Roman"/>
          <w:color w:val="auto"/>
          <w:spacing w:val="-80"/>
        </w:rPr>
        <w:t>、</w:t>
      </w:r>
      <w:r>
        <w:rPr>
          <w:rFonts w:hint="default" w:ascii="Times New Roman" w:hAnsi="Times New Roman" w:eastAsia="宋体" w:cs="Times New Roman"/>
          <w:color w:val="auto"/>
          <w:spacing w:val="8"/>
        </w:rPr>
        <w:t>高等教育和职业教育</w:t>
      </w:r>
      <w:r>
        <w:rPr>
          <w:rFonts w:hint="default" w:ascii="Times New Roman" w:hAnsi="Times New Roman" w:eastAsia="宋体" w:cs="Times New Roman"/>
          <w:color w:val="auto"/>
          <w:spacing w:val="-80"/>
          <w:lang w:eastAsia="zh-CN"/>
        </w:rPr>
        <w:t>，</w:t>
      </w:r>
      <w:r>
        <w:rPr>
          <w:rFonts w:hint="default" w:ascii="Times New Roman" w:hAnsi="Times New Roman" w:eastAsia="宋体" w:cs="Times New Roman"/>
          <w:color w:val="auto"/>
          <w:spacing w:val="5"/>
        </w:rPr>
        <w:t>有效</w:t>
      </w:r>
      <w:r>
        <w:rPr>
          <w:rFonts w:hint="default" w:ascii="Times New Roman" w:hAnsi="Times New Roman" w:eastAsia="宋体" w:cs="Times New Roman"/>
          <w:color w:val="auto"/>
          <w:spacing w:val="6"/>
        </w:rPr>
        <w:t>地实施国家科技创新体系</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6"/>
        </w:rPr>
        <w:t>真正把科教兴国落到实处</w:t>
      </w:r>
      <w:r>
        <w:rPr>
          <w:rFonts w:hint="default" w:ascii="Times New Roman" w:hAnsi="Times New Roman" w:eastAsia="宋体" w:cs="Times New Roman"/>
          <w:color w:val="auto"/>
          <w:spacing w:val="-86"/>
          <w:lang w:eastAsia="zh-CN"/>
        </w:rPr>
        <w:t>，</w:t>
      </w:r>
      <w:r>
        <w:rPr>
          <w:rFonts w:hint="default" w:ascii="Times New Roman" w:hAnsi="Times New Roman" w:eastAsia="宋体" w:cs="Times New Roman"/>
          <w:color w:val="auto"/>
          <w:spacing w:val="-4"/>
        </w:rPr>
        <w:t>争取</w:t>
      </w:r>
      <w:r>
        <w:rPr>
          <w:rFonts w:hint="default" w:ascii="Times New Roman" w:hAnsi="Times New Roman" w:eastAsia="宋体" w:cs="Times New Roman"/>
          <w:color w:val="auto"/>
          <w:spacing w:val="6"/>
          <w:w w:val="105"/>
        </w:rPr>
        <w:t>成为经济全球化浪潮的弄潮儿</w:t>
      </w:r>
      <w:r>
        <w:rPr>
          <w:rFonts w:hint="default" w:ascii="Times New Roman" w:hAnsi="Times New Roman" w:eastAsia="宋体" w:cs="Times New Roman"/>
          <w:color w:val="auto"/>
          <w:spacing w:val="7"/>
          <w:w w:val="105"/>
        </w:rPr>
        <w:t>。</w:t>
      </w:r>
    </w:p>
    <w:p w14:paraId="332F7F86">
      <w:pPr>
        <w:pStyle w:val="4"/>
        <w:spacing w:before="15" w:line="400" w:lineRule="exact"/>
        <w:ind w:left="121" w:right="295" w:firstLine="468" w:firstLineChars="200"/>
        <w:rPr>
          <w:rFonts w:hint="default" w:ascii="Times New Roman" w:hAnsi="Times New Roman" w:eastAsia="宋体" w:cs="Times New Roman"/>
          <w:spacing w:val="7"/>
          <w:w w:val="105"/>
          <w:lang w:val="en-US"/>
        </w:rPr>
      </w:pPr>
      <w:r>
        <w:rPr>
          <w:rFonts w:hint="default" w:ascii="Times New Roman" w:hAnsi="Times New Roman" w:eastAsia="宋体" w:cs="Times New Roman"/>
          <w:spacing w:val="7"/>
          <w:w w:val="105"/>
        </w:rPr>
        <w:t>（</w:t>
      </w:r>
      <w:r>
        <w:rPr>
          <w:rFonts w:hint="default" w:ascii="Times New Roman" w:hAnsi="Times New Roman" w:eastAsia="宋体" w:cs="Times New Roman"/>
          <w:spacing w:val="7"/>
          <w:w w:val="105"/>
          <w:lang w:val="en-US"/>
        </w:rPr>
        <w:t>原载《上海金融》2000年第12期。）</w:t>
      </w:r>
    </w:p>
    <w:p w14:paraId="509CBA61">
      <w:pPr>
        <w:spacing w:before="19" w:line="400" w:lineRule="exact"/>
        <w:ind w:left="1610" w:right="1649" w:firstLine="468" w:firstLineChars="200"/>
        <w:jc w:val="center"/>
        <w:rPr>
          <w:rFonts w:hint="default" w:ascii="Times New Roman" w:hAnsi="Times New Roman" w:eastAsia="宋体" w:cs="Times New Roman"/>
          <w:spacing w:val="7"/>
          <w:w w:val="105"/>
          <w:szCs w:val="21"/>
        </w:rPr>
      </w:pPr>
    </w:p>
    <w:p w14:paraId="3AE87D6D">
      <w:pPr>
        <w:spacing w:before="19" w:line="400" w:lineRule="exact"/>
        <w:ind w:left="1610" w:right="1649" w:firstLine="468" w:firstLineChars="200"/>
        <w:jc w:val="center"/>
        <w:rPr>
          <w:rFonts w:hint="default" w:ascii="Times New Roman" w:hAnsi="Times New Roman" w:eastAsia="宋体" w:cs="Times New Roman"/>
          <w:spacing w:val="7"/>
          <w:w w:val="105"/>
          <w:szCs w:val="21"/>
        </w:rPr>
      </w:pPr>
    </w:p>
    <w:p w14:paraId="667310F9">
      <w:pPr>
        <w:ind w:firstLine="360"/>
        <w:jc w:val="center"/>
        <w:outlineLvl w:val="1"/>
        <w:rPr>
          <w:rFonts w:eastAsia="宋体" w:cs="Times New Roman"/>
          <w:b/>
          <w:color w:val="000000"/>
          <w:sz w:val="28"/>
          <w:szCs w:val="28"/>
        </w:rPr>
      </w:pPr>
      <w:bookmarkStart w:id="50" w:name="_Toc21015"/>
      <w:bookmarkStart w:id="51" w:name="_Toc1588007209"/>
      <w:bookmarkStart w:id="52" w:name="_Toc886404315"/>
      <w:r>
        <w:rPr>
          <w:rFonts w:hint="eastAsia" w:eastAsia="宋体" w:cs="Times New Roman"/>
          <w:b/>
          <w:color w:val="000000"/>
          <w:sz w:val="28"/>
          <w:szCs w:val="28"/>
        </w:rPr>
        <w:t>经济全球化：若干问题的马克思主义解析</w:t>
      </w:r>
      <w:bookmarkEnd w:id="50"/>
      <w:bookmarkEnd w:id="51"/>
      <w:bookmarkEnd w:id="52"/>
    </w:p>
    <w:p w14:paraId="094DD64F">
      <w:pPr>
        <w:ind w:firstLine="360"/>
        <w:rPr>
          <w:rFonts w:eastAsia="宋体" w:cs="Times New Roman"/>
          <w:color w:val="000000"/>
          <w:sz w:val="21"/>
          <w:szCs w:val="24"/>
        </w:rPr>
      </w:pPr>
    </w:p>
    <w:p w14:paraId="36C67994">
      <w:pPr>
        <w:ind w:firstLine="360"/>
        <w:rPr>
          <w:rFonts w:eastAsia="宋体" w:cs="Times New Roman"/>
          <w:color w:val="000000"/>
          <w:sz w:val="21"/>
          <w:szCs w:val="24"/>
        </w:rPr>
      </w:pPr>
      <w:r>
        <w:rPr>
          <w:rFonts w:hint="eastAsia" w:eastAsia="宋体" w:cs="Times New Roman"/>
          <w:color w:val="000000"/>
          <w:sz w:val="21"/>
          <w:szCs w:val="24"/>
        </w:rPr>
        <w:t>随着苏联的解体和东欧的剧变，一度被认为是为社会主义提供理论依据的马克思列宁主义也受到种种质难。许多人想当然地以为，马克思主义也随之一去不复还了。法国的社会学家福柯在《事物的秩序》一书中就公开宣称，马克思主义存在于19世纪的思想中，就像鱼生存在水中一样。这就是说，在任何别的地方它都要窒息。</w:t>
      </w:r>
    </w:p>
    <w:p w14:paraId="526F4C2F">
      <w:pPr>
        <w:ind w:firstLine="360"/>
        <w:rPr>
          <w:rFonts w:eastAsia="宋体" w:cs="Times New Roman"/>
          <w:color w:val="000000"/>
          <w:sz w:val="21"/>
          <w:szCs w:val="24"/>
        </w:rPr>
      </w:pPr>
      <w:r>
        <w:rPr>
          <w:rFonts w:hint="eastAsia" w:eastAsia="宋体" w:cs="Times New Roman"/>
          <w:color w:val="000000"/>
          <w:sz w:val="21"/>
          <w:szCs w:val="24"/>
        </w:rPr>
        <w:t>果真如此吗？事实上，马克思主义诞生于资本主义社会，它是对资本主义社会本质的深入分析。因此，只要资本主义存在，马克思主义就有它的生存意义。正如詹姆逊所指明的，“在我看来，最令人发笑的没有条理的表述就是，同时声称资本主义取得胜利和马克思主义已经终结。马克思主义最早对资本主义及其特性与矛盾进行了研究，如果说资本主义现在已经遍布世界，那么，毫无疑问，马克思主义比以往的意义更大”。[1]</w:t>
      </w:r>
    </w:p>
    <w:p w14:paraId="13F7B973">
      <w:pPr>
        <w:ind w:firstLine="360"/>
        <w:rPr>
          <w:rFonts w:eastAsia="宋体" w:cs="Times New Roman"/>
          <w:color w:val="000000"/>
          <w:sz w:val="21"/>
          <w:szCs w:val="24"/>
        </w:rPr>
      </w:pPr>
      <w:r>
        <w:rPr>
          <w:rFonts w:hint="eastAsia" w:eastAsia="宋体" w:cs="Times New Roman"/>
          <w:color w:val="000000"/>
          <w:sz w:val="21"/>
          <w:szCs w:val="24"/>
        </w:rPr>
        <w:t>从历史的角度看，马克思主义的主要意义在于一针见血地指出了资本主义社会固有的各种矛盾，就在于对资本主义的批判精神，“马克思主义论争的创造性就在于它提出新的问题的能力” [2]。由于马克思主义是对于资本主义的科学分析，“它具有描述资本主义历史起源的无限能力”[3]。</w:t>
      </w:r>
    </w:p>
    <w:p w14:paraId="0460BE45">
      <w:pPr>
        <w:ind w:firstLine="360"/>
        <w:rPr>
          <w:rFonts w:eastAsia="宋体" w:cs="Times New Roman"/>
          <w:color w:val="000000"/>
          <w:sz w:val="21"/>
          <w:szCs w:val="24"/>
        </w:rPr>
      </w:pPr>
      <w:r>
        <w:rPr>
          <w:rFonts w:hint="eastAsia" w:eastAsia="宋体" w:cs="Times New Roman"/>
          <w:color w:val="000000"/>
          <w:sz w:val="21"/>
          <w:szCs w:val="24"/>
        </w:rPr>
        <w:t>同时，马克思主义在批评当时的资本主义的同时，还对资本主义的发展作了相当准确的预见。英国的政治学教授格雷说，“长期以来《共产党宣言》中似乎与时代最不合拍的东西，现在看起来显示了其预见性” [4]。特别是，“他写下了关于全球化、不平等、政治腐败、垄断化、技术进步、高雅化的衰落、现代生存的萎靡不振的性质等动人的段落，现代经济学家们又碰到了这些问题，他们有时并没有意识到自己在步马克思的后尘”。[5]</w:t>
      </w:r>
    </w:p>
    <w:p w14:paraId="5869BC04">
      <w:pPr>
        <w:ind w:firstLine="360"/>
        <w:rPr>
          <w:rFonts w:eastAsia="宋体" w:cs="Times New Roman"/>
          <w:b/>
          <w:color w:val="000000"/>
          <w:sz w:val="21"/>
          <w:szCs w:val="24"/>
        </w:rPr>
      </w:pPr>
      <w:r>
        <w:rPr>
          <w:rFonts w:hint="eastAsia" w:eastAsia="宋体" w:cs="Times New Roman"/>
          <w:color w:val="000000"/>
          <w:sz w:val="21"/>
          <w:szCs w:val="24"/>
        </w:rPr>
        <w:t>当然由于马克思本人生活在资本主义发展的早期，经典的马克思主义也基本上成型于自由竞争的资本主义阶段，因而资本主义的某些问题还没有得到充分地展开。随着现代资本主义在全球的渗透和扩张，它事实上已经或者说正在达到一个新的阶段。马克思主义的强大的生命力就在于它的开放性，能随时吸收时代的新内容。因此，本文试图从马克思主义理论出发来解读经济全球化的若干问题和现象，并揭示当今全球化的某些新特点。</w:t>
      </w:r>
    </w:p>
    <w:p w14:paraId="65CEC901">
      <w:pPr>
        <w:ind w:firstLine="360"/>
        <w:rPr>
          <w:rFonts w:eastAsia="宋体" w:cs="Times New Roman"/>
          <w:color w:val="000000"/>
          <w:sz w:val="21"/>
          <w:szCs w:val="24"/>
        </w:rPr>
      </w:pPr>
      <w:r>
        <w:rPr>
          <w:rFonts w:hint="eastAsia" w:eastAsia="宋体" w:cs="Times New Roman"/>
          <w:b/>
          <w:color w:val="000000"/>
          <w:sz w:val="21"/>
          <w:szCs w:val="24"/>
        </w:rPr>
        <w:t>一、马克思对全球化发展的认识</w:t>
      </w:r>
    </w:p>
    <w:p w14:paraId="45B6ACE4">
      <w:pPr>
        <w:ind w:firstLine="360"/>
        <w:rPr>
          <w:rFonts w:eastAsia="宋体" w:cs="Times New Roman"/>
          <w:color w:val="000000"/>
          <w:sz w:val="21"/>
          <w:szCs w:val="24"/>
        </w:rPr>
      </w:pPr>
      <w:r>
        <w:rPr>
          <w:rFonts w:hint="eastAsia" w:eastAsia="宋体" w:cs="Times New Roman"/>
          <w:color w:val="000000"/>
          <w:sz w:val="21"/>
          <w:szCs w:val="24"/>
        </w:rPr>
        <w:t>虽然关于全球化的讨论是近年特别是20世纪80年代才突然增多的，但全球化的趋势不是现在才有的现象。全球化是一个历史的范畴，不是从来就有的，而是随着工业革命和世界市场的出现而出现的。一般认为全球化从巧世纪的地理大发现起，已经历了若干发展阶段，而作为伟大的历史学家和现实分析家，马克思当然不会不关注全球化这一问题。</w:t>
      </w:r>
    </w:p>
    <w:p w14:paraId="6226FADE">
      <w:pPr>
        <w:ind w:firstLine="360"/>
        <w:rPr>
          <w:rFonts w:eastAsia="宋体" w:cs="Times New Roman"/>
          <w:color w:val="000000"/>
          <w:sz w:val="21"/>
          <w:szCs w:val="24"/>
        </w:rPr>
      </w:pPr>
      <w:r>
        <w:rPr>
          <w:rFonts w:hint="eastAsia" w:eastAsia="宋体" w:cs="Times New Roman"/>
          <w:color w:val="000000"/>
          <w:sz w:val="21"/>
          <w:szCs w:val="24"/>
        </w:rPr>
        <w:t>首先，马克思清晰地把握了当时全球化的特点并对它的发展趋势作了前瞻性的预测。他看到发生在其周围的现象不同于以往任何时期，指出“资产阶级在它不到一百年的统治中所创造的生产力，比过去一切时代创造的全部生产力还要多、还要大”[6]。“它创造了完全不同于埃及金字塔、罗马水道和十字军征讨的远征”[7]。长期以来，其结果就将是“各民族的精神产品成了公用财产”，“民族的片面性和局限性日益成为不可能，于是由许多民族和地方的文学形成了一种世界的文学”[8]。</w:t>
      </w:r>
    </w:p>
    <w:p w14:paraId="10C264D5">
      <w:pPr>
        <w:ind w:firstLine="360"/>
        <w:rPr>
          <w:rFonts w:eastAsia="宋体" w:cs="Times New Roman"/>
          <w:color w:val="000000"/>
          <w:sz w:val="21"/>
          <w:szCs w:val="24"/>
        </w:rPr>
      </w:pPr>
      <w:r>
        <w:rPr>
          <w:rFonts w:hint="eastAsia" w:eastAsia="宋体" w:cs="Times New Roman"/>
          <w:color w:val="000000"/>
          <w:sz w:val="21"/>
          <w:szCs w:val="24"/>
        </w:rPr>
        <w:t>其次，马克思认识到当时的全球化发展的结果将是资本主义制度统治整个世界。他写到“资产阶级</w:t>
      </w:r>
      <w:r>
        <w:rPr>
          <w:rFonts w:eastAsia="宋体" w:cs="Times New Roman"/>
          <w:color w:val="000000"/>
          <w:sz w:val="21"/>
          <w:szCs w:val="24"/>
        </w:rPr>
        <w:t>，</w:t>
      </w:r>
      <w:r>
        <w:rPr>
          <w:rFonts w:hint="eastAsia" w:eastAsia="宋体" w:cs="Times New Roman"/>
          <w:color w:val="000000"/>
          <w:sz w:val="21"/>
          <w:szCs w:val="24"/>
        </w:rPr>
        <w:t>由于一切生产工具的迅速改进</w:t>
      </w:r>
      <w:r>
        <w:rPr>
          <w:rFonts w:eastAsia="宋体" w:cs="Times New Roman"/>
          <w:color w:val="000000"/>
          <w:sz w:val="21"/>
          <w:szCs w:val="24"/>
        </w:rPr>
        <w:t>，</w:t>
      </w:r>
      <w:r>
        <w:rPr>
          <w:rFonts w:hint="eastAsia" w:eastAsia="宋体" w:cs="Times New Roman"/>
          <w:color w:val="000000"/>
          <w:sz w:val="21"/>
          <w:szCs w:val="24"/>
        </w:rPr>
        <w:t>由于交通的极其便利</w:t>
      </w:r>
      <w:r>
        <w:rPr>
          <w:rFonts w:eastAsia="宋体" w:cs="Times New Roman"/>
          <w:color w:val="000000"/>
          <w:sz w:val="21"/>
          <w:szCs w:val="24"/>
        </w:rPr>
        <w:t>，</w:t>
      </w:r>
      <w:r>
        <w:rPr>
          <w:rFonts w:ascii="Cambria Math" w:hAnsi="Cambria Math" w:eastAsia="宋体" w:cs="Cambria Math"/>
          <w:color w:val="000000"/>
          <w:sz w:val="21"/>
          <w:szCs w:val="24"/>
        </w:rPr>
        <w:t>⋯⋯</w:t>
      </w:r>
      <w:r>
        <w:rPr>
          <w:rFonts w:hint="eastAsia" w:eastAsia="宋体" w:cs="Times New Roman"/>
          <w:color w:val="000000"/>
          <w:sz w:val="21"/>
          <w:szCs w:val="24"/>
        </w:rPr>
        <w:t>它的商品的低廉价格</w:t>
      </w:r>
      <w:r>
        <w:rPr>
          <w:rFonts w:eastAsia="宋体" w:cs="Times New Roman"/>
          <w:color w:val="000000"/>
          <w:sz w:val="21"/>
          <w:szCs w:val="24"/>
        </w:rPr>
        <w:t>，</w:t>
      </w:r>
      <w:r>
        <w:rPr>
          <w:rFonts w:hint="eastAsia" w:eastAsia="宋体" w:cs="Times New Roman"/>
          <w:color w:val="000000"/>
          <w:sz w:val="21"/>
          <w:szCs w:val="24"/>
        </w:rPr>
        <w:t>是它用来摧毁一切万里长城</w:t>
      </w:r>
      <w:r>
        <w:rPr>
          <w:rFonts w:ascii="Cambria Math" w:hAnsi="Cambria Math" w:eastAsia="宋体" w:cs="Cambria Math"/>
          <w:color w:val="000000"/>
          <w:sz w:val="21"/>
          <w:szCs w:val="24"/>
        </w:rPr>
        <w:t>⋯⋯</w:t>
      </w:r>
      <w:r>
        <w:rPr>
          <w:rFonts w:hint="eastAsia" w:eastAsia="宋体" w:cs="Times New Roman"/>
          <w:color w:val="000000"/>
          <w:sz w:val="21"/>
          <w:szCs w:val="24"/>
        </w:rPr>
        <w:t>它迫使一切民族—如果它们不想灭亡的话—采用资产阶级的生活方式</w:t>
      </w:r>
      <w:r>
        <w:rPr>
          <w:rFonts w:eastAsia="宋体" w:cs="Times New Roman"/>
          <w:color w:val="000000"/>
          <w:sz w:val="21"/>
          <w:szCs w:val="24"/>
        </w:rPr>
        <w:t>，</w:t>
      </w:r>
      <w:r>
        <w:rPr>
          <w:rFonts w:ascii="Cambria Math" w:hAnsi="Cambria Math" w:eastAsia="宋体" w:cs="Cambria Math"/>
          <w:color w:val="000000"/>
          <w:sz w:val="21"/>
          <w:szCs w:val="24"/>
        </w:rPr>
        <w:t>⋯⋯</w:t>
      </w:r>
      <w:r>
        <w:rPr>
          <w:rFonts w:hint="eastAsia" w:eastAsia="宋体" w:cs="Times New Roman"/>
          <w:color w:val="000000"/>
          <w:sz w:val="21"/>
          <w:szCs w:val="24"/>
        </w:rPr>
        <w:t>它按照自己的面貌为自己创造出一个世界”[9]。日本的著名马克思主义经济学家伊藤诚认为，这一论述可以原封不动地适用于现代资本主义的全球化经营的作用[10]。事实上，当前的全球化与《共产党宣言》的时代相比，只是在内容上加进一些新的进展。这是因为，企业的世界活动性不仅在产品市场、原料和资源的购买活动方面，而且进一步扩展到投资、金融和合作关系等方面，尤其使在信息技术的冲击下得到飞速的发展。</w:t>
      </w:r>
    </w:p>
    <w:p w14:paraId="78CB7ECA">
      <w:pPr>
        <w:ind w:firstLine="360"/>
        <w:rPr>
          <w:rFonts w:eastAsia="宋体" w:cs="Times New Roman"/>
          <w:color w:val="000000"/>
          <w:sz w:val="21"/>
          <w:szCs w:val="24"/>
        </w:rPr>
      </w:pPr>
      <w:r>
        <w:rPr>
          <w:rFonts w:hint="eastAsia" w:eastAsia="宋体" w:cs="Times New Roman"/>
          <w:color w:val="000000"/>
          <w:sz w:val="21"/>
          <w:szCs w:val="24"/>
        </w:rPr>
        <w:t>马克思进一步认识到，“对外贸易的扩大，在资本主义生产方式的进展中，由于这种生产方式的内在的必然性，由于这种生产方式对不断扩大的市场的需要，它已经变成这种生产方式本身的产物”[11]。由此我们来理解目前全球化，它就是最有竞争力的某些强国在国际事务上的垄断，它们力图将它们自身的生产方式逐渐扩展到所有的国家。美国的历史学家德鲁克也承认，对全球化最热情的宣传是来自旧的权力中心，尤其是美国[12]。英国著名的社会学大师吉登斯更明白无误地指出，“美国企图把它的宪法条款推及全球”[13]。</w:t>
      </w:r>
    </w:p>
    <w:p w14:paraId="39A491E6">
      <w:pPr>
        <w:ind w:firstLine="360"/>
        <w:rPr>
          <w:rFonts w:eastAsia="宋体" w:cs="Times New Roman"/>
          <w:color w:val="000000"/>
          <w:sz w:val="21"/>
          <w:szCs w:val="24"/>
        </w:rPr>
      </w:pPr>
      <w:r>
        <w:rPr>
          <w:rFonts w:hint="eastAsia" w:eastAsia="宋体" w:cs="Times New Roman"/>
          <w:color w:val="000000"/>
          <w:sz w:val="21"/>
          <w:szCs w:val="24"/>
        </w:rPr>
        <w:t>再次，马克思主义认为全球化趋势首先源于经济上的必然性，从本质上说，它是资本的无限增殖和扩张本性的外在表现。如他写道，“资本主义生产过程的动机和目的，是资本尽可能多地自行增殖，也就是尽可能多地生产剩余价值[14]”。“利润是资本主义生产的推动力只有那种在生产上有利润可得并且实际会提供利润的东西才会被生产出来”[15]。因此，当前全球化的根本驱动力是资本积累的内在冲动。</w:t>
      </w:r>
    </w:p>
    <w:p w14:paraId="72540447">
      <w:pPr>
        <w:ind w:firstLine="360"/>
        <w:rPr>
          <w:rFonts w:eastAsia="宋体" w:cs="Times New Roman"/>
          <w:color w:val="000000"/>
          <w:sz w:val="21"/>
          <w:szCs w:val="24"/>
        </w:rPr>
      </w:pPr>
      <w:r>
        <w:rPr>
          <w:rFonts w:hint="eastAsia" w:eastAsia="宋体" w:cs="Times New Roman"/>
          <w:color w:val="000000"/>
          <w:sz w:val="21"/>
          <w:szCs w:val="24"/>
        </w:rPr>
        <w:t>在资本主义社会，是经济上处于支配地位的大资产阶级主导了国内外的事务。因此，自然地就是“跨国公司的头面人物操纵了全球化的进程，并使之为他们的利益服务他们还成功地传达了一种谬误全球化不仅是不可避免的，而且已取得了巨大的成就”[16]。这正如美国的财政部长萨默斯一语道明的，“美国公司在每一个领域都确定了世界的标准”[17]，如软件方面的微软公司，快餐方面的麦当劳公司等。</w:t>
      </w:r>
    </w:p>
    <w:p w14:paraId="2839FF0E">
      <w:pPr>
        <w:ind w:firstLine="360"/>
        <w:rPr>
          <w:rFonts w:eastAsia="宋体" w:cs="Times New Roman"/>
          <w:color w:val="000000"/>
          <w:sz w:val="21"/>
          <w:szCs w:val="24"/>
        </w:rPr>
      </w:pPr>
      <w:r>
        <w:rPr>
          <w:rFonts w:hint="eastAsia" w:eastAsia="宋体" w:cs="Times New Roman"/>
          <w:color w:val="000000"/>
          <w:sz w:val="21"/>
          <w:szCs w:val="24"/>
        </w:rPr>
        <w:t>其四，马克思不但分析了全球化趋势的实质，而且指出了将资本主义制度推行到全球所运用的手段。他在分析当时资本主义对外殖民的手段时写道“卫克斐尔德的殖民学说，那种在英国有个时候企图用立法手段来实行的殖民学说，力求在殖民地制造出工资雇佣劳动者来，他把这个叫做‘系统的殖民’”[18]。在殖民地“有一种激烈的要求，要求比较低廉和比较顺从的劳动，要求有一个不是向资本家提出而是从资本家手时接受条件的阶级。</w:t>
      </w:r>
      <w:r>
        <w:rPr>
          <w:rFonts w:ascii="Cambria Math" w:hAnsi="Cambria Math" w:eastAsia="宋体" w:cs="Cambria Math"/>
          <w:color w:val="000000"/>
          <w:sz w:val="21"/>
          <w:szCs w:val="24"/>
        </w:rPr>
        <w:t>⋯⋯</w:t>
      </w:r>
      <w:r>
        <w:rPr>
          <w:rFonts w:hint="eastAsia" w:eastAsia="宋体" w:cs="Times New Roman"/>
          <w:color w:val="000000"/>
          <w:sz w:val="21"/>
          <w:szCs w:val="24"/>
        </w:rPr>
        <w:t>在旧文明国中</w:t>
      </w:r>
      <w:r>
        <w:rPr>
          <w:rFonts w:eastAsia="宋体" w:cs="Times New Roman"/>
          <w:color w:val="000000"/>
          <w:sz w:val="21"/>
          <w:szCs w:val="24"/>
        </w:rPr>
        <w:t>，</w:t>
      </w:r>
      <w:r>
        <w:rPr>
          <w:rFonts w:hint="eastAsia" w:eastAsia="宋体" w:cs="Times New Roman"/>
          <w:color w:val="000000"/>
          <w:sz w:val="21"/>
          <w:szCs w:val="24"/>
        </w:rPr>
        <w:t>劳动者虽然是自由的，但按照自然规律，就是从属于资本家的在殖民地，这种从属必须用人为的手段去创造出来”。[19]在当前，发达国家则通过经济、政治和文化等各种软硬手段推行它的全球扩张，甚至不惜动用武力。事实上，当前世界上的大多数热点都是发达资本主义国家制造或推波助澜的。</w:t>
      </w:r>
    </w:p>
    <w:p w14:paraId="43A1FB34">
      <w:pPr>
        <w:ind w:firstLine="360"/>
        <w:rPr>
          <w:rFonts w:eastAsia="宋体" w:cs="Times New Roman"/>
          <w:b/>
          <w:color w:val="000000"/>
          <w:sz w:val="21"/>
          <w:szCs w:val="24"/>
        </w:rPr>
      </w:pPr>
      <w:r>
        <w:rPr>
          <w:rFonts w:hint="eastAsia" w:eastAsia="宋体" w:cs="Times New Roman"/>
          <w:color w:val="000000"/>
          <w:sz w:val="21"/>
          <w:szCs w:val="24"/>
        </w:rPr>
        <w:t>最后，须要指出的是，马克思所期望的最终全球化并不是资本主义的全球化，而是全球共产主义这种新的社会形态的出现。他认为，只有狭义地域性的个人被世界历史性的、真正普遍的个人所代替，“无产阶级只有作为世界历史性的存在，就像它的事业一共产主义一般只有在世界历史意义上才能存在”[20]。</w:t>
      </w:r>
    </w:p>
    <w:p w14:paraId="52A68FE9">
      <w:pPr>
        <w:ind w:firstLine="360"/>
        <w:rPr>
          <w:rFonts w:eastAsia="宋体" w:cs="Times New Roman"/>
          <w:color w:val="000000"/>
          <w:sz w:val="21"/>
          <w:szCs w:val="24"/>
        </w:rPr>
      </w:pPr>
      <w:r>
        <w:rPr>
          <w:rFonts w:hint="eastAsia" w:eastAsia="宋体" w:cs="Times New Roman"/>
          <w:b/>
          <w:color w:val="000000"/>
          <w:sz w:val="21"/>
          <w:szCs w:val="24"/>
        </w:rPr>
        <w:t>二、失业、贫困和利润率的新变化</w:t>
      </w:r>
    </w:p>
    <w:p w14:paraId="39C9079A">
      <w:pPr>
        <w:ind w:firstLine="360"/>
        <w:rPr>
          <w:rFonts w:eastAsia="宋体" w:cs="Times New Roman"/>
          <w:color w:val="000000"/>
          <w:sz w:val="21"/>
          <w:szCs w:val="24"/>
        </w:rPr>
      </w:pPr>
      <w:r>
        <w:rPr>
          <w:rFonts w:hint="eastAsia" w:eastAsia="宋体" w:cs="Times New Roman"/>
          <w:color w:val="000000"/>
          <w:sz w:val="21"/>
          <w:szCs w:val="24"/>
        </w:rPr>
        <w:t>第一，关于全球化进程中失业的发展趋势。马克思认为，随着资本有机构成的提高，“一方面，在积累进行中形成的追加资本，和它的量相比而言，会吸引越来越少的劳动者。另一方面，那种周期按新的构成再生产出来的旧的资本，也会愈益把它以前使用的劳动者排挤出去”[21]。其结果就是失业的增加。</w:t>
      </w:r>
    </w:p>
    <w:p w14:paraId="42407444">
      <w:pPr>
        <w:ind w:firstLine="360"/>
        <w:rPr>
          <w:rFonts w:eastAsia="宋体" w:cs="Times New Roman"/>
          <w:color w:val="000000"/>
          <w:sz w:val="21"/>
          <w:szCs w:val="24"/>
        </w:rPr>
      </w:pPr>
      <w:r>
        <w:rPr>
          <w:rFonts w:hint="eastAsia" w:eastAsia="宋体" w:cs="Times New Roman"/>
          <w:color w:val="000000"/>
          <w:sz w:val="21"/>
          <w:szCs w:val="24"/>
        </w:rPr>
        <w:t>全球化趋势一开始就是资本力量自发作用的结果，而且反映了资本积累加速的趋势即资本有机构成提高的的必然产物。显然，全球化的发展已经或正在继续证实马克思这一论断。在1975年，美国制造业占国民生产总值的22%，而年则为23%，但在20年里，国民生产总值增长了2.5倍，而制造业中就业人数根本没有增长，相反，从1960年占劳动力总人数的25%下降到1990年的16%或17%。</w:t>
      </w:r>
    </w:p>
    <w:p w14:paraId="574020B3">
      <w:pPr>
        <w:ind w:firstLine="360"/>
        <w:rPr>
          <w:rFonts w:eastAsia="宋体" w:cs="Times New Roman"/>
          <w:color w:val="000000"/>
          <w:sz w:val="21"/>
          <w:szCs w:val="24"/>
        </w:rPr>
      </w:pPr>
      <w:r>
        <w:rPr>
          <w:rFonts w:hint="eastAsia" w:eastAsia="宋体" w:cs="Times New Roman"/>
          <w:color w:val="000000"/>
          <w:sz w:val="21"/>
          <w:szCs w:val="24"/>
        </w:rPr>
        <w:t>马克思还认为，“劳动的生产力越是大，劳动者对他们的就业手段所加的压力就越大，他们的生活条件就越不安定，他们就越是没有把握可以为增加别人的财富，增殖资本的价值，而出卖本人的力量”[22]。不争的事实是，全球化的加速发展是劳动生产率进一步提高的结果。其结果，在德国，1996年有600万以上希望工作的人找不到工作。该国高级企业顾问罗兰德贝格尔预言，在未来十年内仅在工业中至少将有150万劳动岗位被继续消灭。根据奥地利官方机构消息，平均每年有万个工业劳动岗位被消灭，1997年的失业率为8%，是1994年的2倍[23]。其他发达国家也大致如此。</w:t>
      </w:r>
    </w:p>
    <w:p w14:paraId="7FEE14AE">
      <w:pPr>
        <w:ind w:firstLine="360"/>
        <w:rPr>
          <w:rFonts w:eastAsia="宋体" w:cs="Times New Roman"/>
          <w:color w:val="000000"/>
          <w:sz w:val="21"/>
          <w:szCs w:val="24"/>
        </w:rPr>
      </w:pPr>
      <w:r>
        <w:rPr>
          <w:rFonts w:hint="eastAsia" w:eastAsia="宋体" w:cs="Times New Roman"/>
          <w:color w:val="000000"/>
          <w:sz w:val="21"/>
          <w:szCs w:val="24"/>
        </w:rPr>
        <w:t>第二，关于全球化进程中贫困化的趋势。马克思阐明的资本主义积累规律，包含着一方面是资本积累，是资本家财富的积累，另一方面是无产阶级贫困的积累。马克思借孟德维尔的话问，“在所有权有充分保障的地方，没有货币还可以，没有贫民可就不容易活下去，因为还有谁去劳动呢[24]”。目前全球化的发展则印证了马克思有关两极分化的论断。如1978年，一个典型的在大公司工作的总经理获得的收入约为一个典型工人的60倍；在1995年，他的收入是后者的170倍。股东的收入也是如此，在1979年，公司部门收入的16%是利润和利息，今天这一数字是21%。可见，“在过去20年里最大的赢家显然是那些控制了生产资料的人—总经理和大股东”[25]。</w:t>
      </w:r>
    </w:p>
    <w:p w14:paraId="7953AED5">
      <w:pPr>
        <w:ind w:firstLine="360"/>
        <w:rPr>
          <w:rFonts w:eastAsia="宋体" w:cs="Times New Roman"/>
          <w:color w:val="000000"/>
          <w:sz w:val="21"/>
          <w:szCs w:val="24"/>
        </w:rPr>
      </w:pPr>
      <w:r>
        <w:rPr>
          <w:rFonts w:hint="eastAsia" w:eastAsia="宋体" w:cs="Times New Roman"/>
          <w:color w:val="000000"/>
          <w:sz w:val="21"/>
          <w:szCs w:val="24"/>
        </w:rPr>
        <w:t>这是为什么呢一方面，经济全球化日益造成了强资本和弱劳工的局面。随着经济全球化的深入，资本跨国流动能力愈来愈强，在与国家的谈判关系中具有更强的讨价还价的能力。资本要挟能力的提高，迫使国家为了留住资本而降低关税，取消管制，改革福利制度，出台优惠政策，这在很大程度上是以牺牲劳工利益为代价的。据调查，德国股份公司的税收在全国税收收入中所占的份额由1960年的9.5%降到1998年的3.8%，而工资收入税所占的比例则由125上升到28%[26]。</w:t>
      </w:r>
    </w:p>
    <w:p w14:paraId="4748227B">
      <w:pPr>
        <w:ind w:firstLine="360"/>
        <w:rPr>
          <w:rFonts w:eastAsia="宋体" w:cs="Times New Roman"/>
          <w:color w:val="000000"/>
          <w:sz w:val="21"/>
          <w:szCs w:val="24"/>
        </w:rPr>
      </w:pPr>
      <w:r>
        <w:rPr>
          <w:rFonts w:hint="eastAsia" w:eastAsia="宋体" w:cs="Times New Roman"/>
          <w:color w:val="000000"/>
          <w:sz w:val="21"/>
          <w:szCs w:val="24"/>
        </w:rPr>
        <w:t>同时，相对于资本实力的增强，劳工作为一种集体力量出现了分散化的迹象，难以组织起来与强大的资本抗衡。同时，劳工抗衡资本的能力在某种程度上也受到移民和发展中国家成本低廉的劳动力的影响。其结果导致发达国家内部贫富差距的拉大。如1980-1996年间，美国最富裕的5%的家庭在家庭总收入中所占的比例从15.3%上升到20.3%而最贫困的60%的家庭在家庭总收入中所占的比例则从34.2%下降到30%[27]。</w:t>
      </w:r>
    </w:p>
    <w:p w14:paraId="6C0BCF3A">
      <w:pPr>
        <w:ind w:firstLine="360"/>
        <w:rPr>
          <w:rFonts w:eastAsia="宋体" w:cs="Times New Roman"/>
          <w:color w:val="000000"/>
          <w:sz w:val="21"/>
          <w:szCs w:val="24"/>
        </w:rPr>
      </w:pPr>
      <w:r>
        <w:rPr>
          <w:rFonts w:hint="eastAsia" w:eastAsia="宋体" w:cs="Times New Roman"/>
          <w:color w:val="000000"/>
          <w:sz w:val="21"/>
          <w:szCs w:val="24"/>
        </w:rPr>
        <w:t>马克思在《资本论》中引用当时的调查资料揭示到，“生产效率较大的民族的劳动，就会在世界上算作强度较大的劳动”[28]，但在当今全球化时代，雇佣工人的收入并没有随劳动强度的提高而相应增加，资本主义社会国内的剥削正日趋加重。例如，“尽管1973-1995年美国的生产率增长了，但社会中层人们的实际平均工资率在最近几年还是很低，收入的不平衡上升到70年前的水平”[29]，反库茨涅兹“倒U型分配曲线”规律的现象已经初现端倪了。“缩减的中产阶级’旧渐成为学术界讨论的热门话题”[30]。其他发达国家也有类似的状况，“甚至在整个工业国家，出现了新的阶级_‘有工作的贫民’，即有工作、但工资几乎与第三世界相差无”[31]。</w:t>
      </w:r>
    </w:p>
    <w:p w14:paraId="7D0B922D">
      <w:pPr>
        <w:ind w:firstLine="360"/>
        <w:rPr>
          <w:rFonts w:eastAsia="宋体" w:cs="Times New Roman"/>
          <w:color w:val="000000"/>
          <w:sz w:val="21"/>
          <w:szCs w:val="24"/>
        </w:rPr>
      </w:pPr>
      <w:r>
        <w:rPr>
          <w:rFonts w:hint="eastAsia" w:eastAsia="宋体" w:cs="Times New Roman"/>
          <w:color w:val="000000"/>
          <w:sz w:val="21"/>
          <w:szCs w:val="24"/>
        </w:rPr>
        <w:t>第三，关于全球化中利润率的变化。当前，发达国家的一个主要目标就是将全世界纳入自由贸易体系之中，以便在交换中获取超额利润近日，美国主动要求俄罗斯加入世贸组织。同时，西方强国采取种种手段来迫使发展中国家全面开放其投资领域，进而大力扩大对外直接投资，因为在殖民地那里，“劳动的剥削本来也较高”，“那些投在殖民地等处的资本，它们能提供较高的利润率”[32]。</w:t>
      </w:r>
    </w:p>
    <w:p w14:paraId="70600997">
      <w:pPr>
        <w:ind w:firstLine="360"/>
        <w:rPr>
          <w:rFonts w:eastAsia="宋体" w:cs="Times New Roman"/>
          <w:b/>
          <w:color w:val="000000"/>
          <w:sz w:val="21"/>
          <w:szCs w:val="24"/>
        </w:rPr>
      </w:pPr>
      <w:r>
        <w:rPr>
          <w:rFonts w:hint="eastAsia" w:eastAsia="宋体" w:cs="Times New Roman"/>
          <w:color w:val="000000"/>
          <w:sz w:val="21"/>
          <w:szCs w:val="24"/>
        </w:rPr>
        <w:t>美国的公司在90年代以来势力大增。美国公司之所以能如此显赫，显然是与它从全球化中的得利分不开的，其在海外的收益要远高于国内的收益。据美国商务部的报告，1989-1991年间，美国工业在亚洲投资的平均收益率为23%，高于它们在24个发达工业国家平均收益率12%的一倍[33]。可以说，“经济全球化”是支撑自90年代以来美国历史上少有的经济持续稳定增长的最重要的因素之一[34]。联合国秘书长安南甚至感概道，“全球化这个词不是被看成是客观实际的描述，而是一种掠夺性的资本主义意识形态”[35]。</w:t>
      </w:r>
    </w:p>
    <w:p w14:paraId="7582F265">
      <w:pPr>
        <w:ind w:firstLine="360"/>
        <w:rPr>
          <w:rFonts w:eastAsia="宋体" w:cs="Times New Roman"/>
          <w:color w:val="000000"/>
          <w:sz w:val="21"/>
          <w:szCs w:val="24"/>
        </w:rPr>
      </w:pPr>
      <w:r>
        <w:rPr>
          <w:rFonts w:hint="eastAsia" w:eastAsia="宋体" w:cs="Times New Roman"/>
          <w:b/>
          <w:color w:val="000000"/>
          <w:sz w:val="21"/>
          <w:szCs w:val="24"/>
        </w:rPr>
        <w:t>三、全球范围内的阶级关系变动特点</w:t>
      </w:r>
    </w:p>
    <w:p w14:paraId="6B10FBA6">
      <w:pPr>
        <w:ind w:firstLine="360"/>
        <w:rPr>
          <w:rFonts w:eastAsia="宋体" w:cs="Times New Roman"/>
          <w:color w:val="000000"/>
          <w:sz w:val="21"/>
          <w:szCs w:val="24"/>
        </w:rPr>
      </w:pPr>
      <w:r>
        <w:rPr>
          <w:rFonts w:hint="eastAsia" w:eastAsia="宋体" w:cs="Times New Roman"/>
          <w:color w:val="000000"/>
          <w:sz w:val="21"/>
          <w:szCs w:val="24"/>
        </w:rPr>
        <w:t>马克思对资本主义经济最基本的分析就是阶级分析，认为在资本主义社会，由于经济地位的不同，阶级分化是必然的。我们把马克思的阶级分析方法引入到蔓延全球的资本主义制度中，分析当今的全球化，可以看到这样三个新的特点和趋势。</w:t>
      </w:r>
    </w:p>
    <w:p w14:paraId="2CD2269A">
      <w:pPr>
        <w:ind w:firstLine="360"/>
        <w:rPr>
          <w:rFonts w:eastAsia="宋体" w:cs="Times New Roman"/>
          <w:color w:val="000000"/>
          <w:sz w:val="21"/>
          <w:szCs w:val="24"/>
        </w:rPr>
      </w:pPr>
      <w:r>
        <w:rPr>
          <w:rFonts w:hint="eastAsia" w:eastAsia="宋体" w:cs="Times New Roman"/>
          <w:color w:val="000000"/>
          <w:sz w:val="21"/>
          <w:szCs w:val="24"/>
        </w:rPr>
        <w:t>其一，当代全球化形成了“跨国资产阶级”。随着国际资本优势地位的逐步确立，资本的大规模跨国流动，使“跨国资产阶级”成为普遍现象。这一阶级服务于国际资本，为资本的全球化运作提供便利，并且使资本主义的文化和意识形态普遍化。可见，资产阶级日益突破了一国的局限，作为一个全球范围的概念而不断得到加强。</w:t>
      </w:r>
    </w:p>
    <w:p w14:paraId="6998E660">
      <w:pPr>
        <w:ind w:firstLine="360"/>
        <w:rPr>
          <w:rFonts w:eastAsia="宋体" w:cs="Times New Roman"/>
          <w:color w:val="000000"/>
          <w:sz w:val="21"/>
          <w:szCs w:val="24"/>
        </w:rPr>
      </w:pPr>
      <w:r>
        <w:rPr>
          <w:rFonts w:hint="eastAsia" w:eastAsia="宋体" w:cs="Times New Roman"/>
          <w:color w:val="000000"/>
          <w:sz w:val="21"/>
          <w:szCs w:val="24"/>
        </w:rPr>
        <w:t>其二，当代全球化拉大了世界两极分化。一方面，发达国家在全球化中绝对地获大利。正如马丁和舒曼说的，“由于全球化所释放的力量，它不久就会有全新的解释世界上五分之一的最富有国家决定着全世界84.7%的社会总生产，他们的公民所从事的贸易额占世界贸易总额的84.2%，占有世界各国国内储蓄额的85.5%。</w:t>
      </w:r>
    </w:p>
    <w:p w14:paraId="5D6FC8AC">
      <w:pPr>
        <w:ind w:firstLine="360"/>
        <w:rPr>
          <w:rFonts w:eastAsia="宋体" w:cs="Times New Roman"/>
          <w:color w:val="000000"/>
          <w:sz w:val="21"/>
          <w:szCs w:val="24"/>
        </w:rPr>
      </w:pPr>
      <w:r>
        <w:rPr>
          <w:rFonts w:hint="eastAsia" w:eastAsia="宋体" w:cs="Times New Roman"/>
          <w:color w:val="000000"/>
          <w:sz w:val="21"/>
          <w:szCs w:val="24"/>
        </w:rPr>
        <w:t>另一方面，则是发展中国家相对地甚至绝对地变差。一是，与发达国家的人均收入差距加速扩大。据统计，1960年全世界20%的最富有国家人均国民生产总值是占人口同样比例的最贫穷国家的30倍，30年之后即1990年，这一差距已经扩大到60倍，而1996年则进一步扩大为78倍。[37]二是，大量的发展中国家的绝对收入在下降。如在过去15年，100多个发展中国家人均收入减少了[38]，60多个国家的人均消费以每年约1%的速度递减；1998年世界贫困人口又增加了4亿，共达17亿。</w:t>
      </w:r>
    </w:p>
    <w:p w14:paraId="1924BAB7">
      <w:pPr>
        <w:ind w:firstLine="360"/>
        <w:rPr>
          <w:rFonts w:eastAsia="宋体" w:cs="Times New Roman"/>
          <w:color w:val="000000"/>
          <w:sz w:val="21"/>
          <w:szCs w:val="24"/>
        </w:rPr>
      </w:pPr>
      <w:r>
        <w:rPr>
          <w:rFonts w:hint="eastAsia" w:eastAsia="宋体" w:cs="Times New Roman"/>
          <w:color w:val="000000"/>
          <w:sz w:val="21"/>
          <w:szCs w:val="24"/>
        </w:rPr>
        <w:t>其结果，就是在全球范围内重新形成“中心一边缘”的世界格局，世界财富向中心转移，发达国家的居民越来越富，而发展中国家相对越来越穷。作为全球化的经济体制，以发达国家大企业为中心的财富的积累和第三世界各国庞大的贫困积累，作为世界规模上的两极分化和无产阶级贫困化的理论，再现了马克思主义两极分化论的正确性。</w:t>
      </w:r>
    </w:p>
    <w:p w14:paraId="2E2CA480">
      <w:pPr>
        <w:ind w:firstLine="360"/>
        <w:rPr>
          <w:rFonts w:eastAsia="宋体" w:cs="Times New Roman"/>
          <w:color w:val="000000"/>
          <w:sz w:val="21"/>
          <w:szCs w:val="24"/>
        </w:rPr>
      </w:pPr>
      <w:r>
        <w:rPr>
          <w:rFonts w:hint="eastAsia" w:eastAsia="宋体" w:cs="Times New Roman"/>
          <w:color w:val="000000"/>
          <w:sz w:val="21"/>
          <w:szCs w:val="24"/>
        </w:rPr>
        <w:t>其三，当代全球化强化了阶级或阶层之间的差距。现阶段，创造财富的资源已经发生了很大的变化，知识成为最主要的生产资源。经济的全球化可以改变劳动的国际分工状况。美国的劳动部长罗伯特里奇认为，全球化时代劳动分为三种“符号分析者”、常规产业工人和普通服务工人。他认为，不论对国家经济来说，还是对劳动的国际分工来说，权力都是建立在运用“符号分析”功能的基础上，而这种功能对现今资本主义来说至关重要。那些运用自己头脑进行工作的人即“符号分析者”构成本国和全球经济的支配阶级或阶层，而那些运用自己的体力从事劳动的人就成为社会的下层阶级。</w:t>
      </w:r>
    </w:p>
    <w:p w14:paraId="36B36B40">
      <w:pPr>
        <w:ind w:firstLine="360"/>
        <w:rPr>
          <w:rFonts w:eastAsia="宋体" w:cs="Times New Roman"/>
          <w:color w:val="000000"/>
          <w:sz w:val="21"/>
          <w:szCs w:val="24"/>
        </w:rPr>
      </w:pPr>
      <w:r>
        <w:rPr>
          <w:rFonts w:hint="eastAsia" w:eastAsia="宋体" w:cs="Times New Roman"/>
          <w:color w:val="000000"/>
          <w:sz w:val="21"/>
          <w:szCs w:val="24"/>
        </w:rPr>
        <w:t>目前的趋势是，发达国家在“马太效应”的激励下越来越重视教育投资，从而日渐成为新的全球分工的优势占据者。如日本政府强调，一个国家拥有设计和销售产品的知识工作者，就能轻易地实现产品的低成本和高质量把发达国家花在创造蓝领工作岗位的钱用于推进该国的教育，从而确保年轻人学到足够的知识，以胜任知识工作或至少胜任高级服务工作，将会创造更多的经济价值。</w:t>
      </w:r>
    </w:p>
    <w:p w14:paraId="561A24C1">
      <w:pPr>
        <w:ind w:firstLine="360"/>
        <w:rPr>
          <w:rFonts w:eastAsia="宋体" w:cs="Times New Roman"/>
          <w:color w:val="000000"/>
          <w:sz w:val="21"/>
          <w:szCs w:val="24"/>
        </w:rPr>
      </w:pPr>
      <w:r>
        <w:rPr>
          <w:rFonts w:hint="eastAsia" w:eastAsia="宋体" w:cs="Times New Roman"/>
          <w:color w:val="000000"/>
          <w:sz w:val="21"/>
          <w:szCs w:val="24"/>
        </w:rPr>
        <w:t>显然，发达国家意欲在世界范围内推行一种固定的分工发达国家主要是大资产阶级是世界的管理者和支配者，而发展中国家特别是边缘化国家的劳动阶级将成为最底层的被支配者和被剥削者。而这“脑国”与“躯国”的相对划分都依赖于脑力劳动和体力劳动之间的国际分工。</w:t>
      </w:r>
    </w:p>
    <w:p w14:paraId="47F4BC72">
      <w:pPr>
        <w:ind w:firstLine="360"/>
        <w:rPr>
          <w:rFonts w:eastAsia="宋体" w:cs="Times New Roman"/>
          <w:color w:val="000000"/>
          <w:sz w:val="21"/>
          <w:szCs w:val="24"/>
        </w:rPr>
      </w:pPr>
      <w:r>
        <w:rPr>
          <w:rFonts w:hint="eastAsia" w:eastAsia="宋体" w:cs="Times New Roman"/>
          <w:color w:val="000000"/>
          <w:sz w:val="21"/>
          <w:szCs w:val="24"/>
        </w:rPr>
        <w:t>因此，如果发展中国家不清醒地认识到这一点，并采取积极有效的战略和策略，在未来的全球化世界，就很有可能强化这样的结果发达国家占据全球资产阶级的主导，而发展中国家成为全球劳动阶级的中下层。</w:t>
      </w:r>
    </w:p>
    <w:p w14:paraId="3652373C">
      <w:pPr>
        <w:ind w:firstLine="360"/>
        <w:rPr>
          <w:rFonts w:eastAsia="宋体" w:cs="Times New Roman"/>
          <w:color w:val="000000"/>
          <w:sz w:val="21"/>
          <w:szCs w:val="24"/>
        </w:rPr>
      </w:pPr>
      <w:r>
        <w:rPr>
          <w:rFonts w:hint="eastAsia" w:eastAsia="宋体" w:cs="Times New Roman"/>
          <w:b/>
          <w:color w:val="000000"/>
          <w:sz w:val="21"/>
          <w:szCs w:val="24"/>
        </w:rPr>
        <w:t>四、知识分工导致的新异化</w:t>
      </w:r>
    </w:p>
    <w:p w14:paraId="6D459C2E">
      <w:pPr>
        <w:ind w:firstLine="360"/>
        <w:rPr>
          <w:rFonts w:eastAsia="宋体" w:cs="Times New Roman"/>
          <w:color w:val="000000"/>
          <w:sz w:val="21"/>
          <w:szCs w:val="24"/>
        </w:rPr>
      </w:pPr>
      <w:r>
        <w:rPr>
          <w:rFonts w:hint="eastAsia" w:eastAsia="宋体" w:cs="Times New Roman"/>
          <w:color w:val="000000"/>
          <w:sz w:val="21"/>
          <w:szCs w:val="24"/>
        </w:rPr>
        <w:t>马克思对资本主义社会的另一前瞻性分析是提出了异化问题，并将异化视为资本主义文明弊端的化身。异化主要是通过其主要的化身—财产一破坏人性完整的社会弊端。马克思的异化是和剥削联系在一起的，剥削是指工人丧失他们所创造的部分财富，而异化是指工人在被剥削过程中丧失他们的自我[49]。</w:t>
      </w:r>
    </w:p>
    <w:p w14:paraId="4B3CFAA4">
      <w:pPr>
        <w:ind w:firstLine="360"/>
        <w:rPr>
          <w:rFonts w:eastAsia="宋体" w:cs="Times New Roman"/>
          <w:color w:val="000000"/>
          <w:sz w:val="21"/>
          <w:szCs w:val="24"/>
        </w:rPr>
      </w:pPr>
      <w:r>
        <w:rPr>
          <w:rFonts w:hint="eastAsia" w:eastAsia="宋体" w:cs="Times New Roman"/>
          <w:color w:val="000000"/>
          <w:sz w:val="21"/>
          <w:szCs w:val="24"/>
        </w:rPr>
        <w:t>一方面，马克思把资本主义条件下工人的异化和非人道化归因于社会分化，更确切地说是资本主义生产方式下不断加剧的那种可怕的极端分工。马克思认为，资本主义制度下的现代工业以前所未有的“邪恶方式”，不断制造出现存的分工，把人变成机器的附属物。在资本主义的生产方式下，“工人降低为商品，而且降低为最贱的商品工人的贫困与它的产品的力量和数量成反比</w:t>
      </w:r>
      <w:r>
        <w:rPr>
          <w:rFonts w:ascii="Cambria Math" w:hAnsi="Cambria Math" w:eastAsia="宋体" w:cs="Cambria Math"/>
          <w:color w:val="000000"/>
          <w:sz w:val="21"/>
          <w:szCs w:val="24"/>
        </w:rPr>
        <w:t>⋯⋯</w:t>
      </w:r>
      <w:r>
        <w:rPr>
          <w:rFonts w:hint="eastAsia" w:eastAsia="宋体" w:cs="Times New Roman"/>
          <w:color w:val="000000"/>
          <w:sz w:val="21"/>
          <w:szCs w:val="24"/>
        </w:rPr>
        <w:t>工人创造的商品越多</w:t>
      </w:r>
      <w:r>
        <w:rPr>
          <w:rFonts w:eastAsia="宋体" w:cs="Times New Roman"/>
          <w:color w:val="000000"/>
          <w:sz w:val="21"/>
          <w:szCs w:val="24"/>
        </w:rPr>
        <w:t>，</w:t>
      </w:r>
      <w:r>
        <w:rPr>
          <w:rFonts w:hint="eastAsia" w:eastAsia="宋体" w:cs="Times New Roman"/>
          <w:color w:val="000000"/>
          <w:sz w:val="21"/>
          <w:szCs w:val="24"/>
        </w:rPr>
        <w:t>他就越变成廉价的商品。物的增值与人的世界贬值成正比</w:t>
      </w:r>
      <w:r>
        <w:rPr>
          <w:rFonts w:ascii="Cambria Math" w:hAnsi="Cambria Math" w:eastAsia="宋体" w:cs="Cambria Math"/>
          <w:color w:val="000000"/>
          <w:sz w:val="21"/>
          <w:szCs w:val="24"/>
        </w:rPr>
        <w:t>⋯⋯</w:t>
      </w:r>
      <w:r>
        <w:rPr>
          <w:rFonts w:hint="eastAsia" w:eastAsia="宋体" w:cs="Times New Roman"/>
          <w:color w:val="000000"/>
          <w:sz w:val="21"/>
          <w:szCs w:val="24"/>
        </w:rPr>
        <w:t>工人在他的产品中的外化</w:t>
      </w:r>
      <w:r>
        <w:rPr>
          <w:rFonts w:eastAsia="宋体" w:cs="Times New Roman"/>
          <w:color w:val="000000"/>
          <w:sz w:val="21"/>
          <w:szCs w:val="24"/>
        </w:rPr>
        <w:t>，</w:t>
      </w:r>
      <w:r>
        <w:rPr>
          <w:rFonts w:hint="eastAsia" w:eastAsia="宋体" w:cs="Times New Roman"/>
          <w:color w:val="000000"/>
          <w:sz w:val="21"/>
          <w:szCs w:val="24"/>
        </w:rPr>
        <w:t>不仅意味着他的劳动成为对象</w:t>
      </w:r>
      <w:r>
        <w:rPr>
          <w:rFonts w:eastAsia="宋体" w:cs="Times New Roman"/>
          <w:color w:val="000000"/>
          <w:sz w:val="21"/>
          <w:szCs w:val="24"/>
        </w:rPr>
        <w:t>，</w:t>
      </w:r>
      <w:r>
        <w:rPr>
          <w:rFonts w:hint="eastAsia" w:eastAsia="宋体" w:cs="Times New Roman"/>
          <w:color w:val="000000"/>
          <w:sz w:val="21"/>
          <w:szCs w:val="24"/>
        </w:rPr>
        <w:t>成为外部的存在</w:t>
      </w:r>
      <w:r>
        <w:rPr>
          <w:rFonts w:eastAsia="宋体" w:cs="Times New Roman"/>
          <w:color w:val="000000"/>
          <w:sz w:val="21"/>
          <w:szCs w:val="24"/>
        </w:rPr>
        <w:t>，</w:t>
      </w:r>
      <w:r>
        <w:rPr>
          <w:rFonts w:hint="eastAsia" w:eastAsia="宋体" w:cs="Times New Roman"/>
          <w:color w:val="000000"/>
          <w:sz w:val="21"/>
          <w:szCs w:val="24"/>
        </w:rPr>
        <w:t>而且意味着他的劳动作为一种与他相异的东西不依赖于他而在他之外存在，并成为同他对立的独立力量”[41]。</w:t>
      </w:r>
    </w:p>
    <w:p w14:paraId="04F6DF15">
      <w:pPr>
        <w:ind w:firstLine="360"/>
        <w:rPr>
          <w:rFonts w:eastAsia="宋体" w:cs="Times New Roman"/>
          <w:color w:val="000000"/>
          <w:sz w:val="21"/>
          <w:szCs w:val="24"/>
        </w:rPr>
      </w:pPr>
      <w:r>
        <w:rPr>
          <w:rFonts w:hint="eastAsia" w:eastAsia="宋体" w:cs="Times New Roman"/>
          <w:color w:val="000000"/>
          <w:sz w:val="21"/>
          <w:szCs w:val="24"/>
        </w:rPr>
        <w:t>另一方面，马克思认为全球化在一定意义上有助于异化问题的解决。这是因为，全球化在某种意义上说是一种巨大的历史进步，各个相互影响的活动范围在这个发展进程中越是扩大，各民族的原始封闭状态由于日益完善的生产方式、交往，以及因交往而自然形成的不同民族之间的分工消灭得越是彻底，历史也就越是成为世界历史。在马克思看来，全球化趋势的发展有助于实现人的全面发展和解放，每一个单个人的解放程度是与历史完全转变为世界历史的程度相一致的。</w:t>
      </w:r>
    </w:p>
    <w:p w14:paraId="2ACD6966">
      <w:pPr>
        <w:ind w:firstLine="360"/>
        <w:rPr>
          <w:rFonts w:eastAsia="宋体" w:cs="Times New Roman"/>
          <w:color w:val="000000"/>
          <w:sz w:val="21"/>
          <w:szCs w:val="24"/>
        </w:rPr>
      </w:pPr>
      <w:r>
        <w:rPr>
          <w:rFonts w:hint="eastAsia" w:eastAsia="宋体" w:cs="Times New Roman"/>
          <w:color w:val="000000"/>
          <w:sz w:val="21"/>
          <w:szCs w:val="24"/>
        </w:rPr>
        <w:t>诚然，马克思所讲的全球化有助于实现人的全面发展和解放，是指普遍交往的扩大和全球化趋势的发展能为共产主义的实现创造前提条件否则，“单个人随着自己的活动扩大为世界历史性的活动，越来越受到对他们来说是异己的力量的支配，受到日益扩大的、归根到底表现为世界市场的力量的支配[42]。其结果只能是，全球化趋势作为一种盲目的、自发的和异化的力量而与作为主体的人相对立。</w:t>
      </w:r>
    </w:p>
    <w:p w14:paraId="365756DD">
      <w:pPr>
        <w:ind w:firstLine="360"/>
        <w:rPr>
          <w:rFonts w:eastAsia="宋体" w:cs="Times New Roman"/>
          <w:color w:val="000000"/>
          <w:sz w:val="21"/>
          <w:szCs w:val="24"/>
        </w:rPr>
      </w:pPr>
      <w:r>
        <w:rPr>
          <w:rFonts w:hint="eastAsia" w:eastAsia="宋体" w:cs="Times New Roman"/>
          <w:color w:val="000000"/>
          <w:sz w:val="21"/>
          <w:szCs w:val="24"/>
        </w:rPr>
        <w:t>当前，在经济全球化进程中对人类异化程度产生重大影响的是知识分工。哈耶克说，如果斯密的劳动分工理论已经成为经济学的基石，那么，由劳动分工所引起的知识分工，实际上应作为经济学的中心问题。我们必须领悟到，知识分工的日益深化对异化也带来双重效应。</w:t>
      </w:r>
    </w:p>
    <w:p w14:paraId="2D4DECCF">
      <w:pPr>
        <w:ind w:firstLine="360"/>
        <w:rPr>
          <w:rFonts w:eastAsia="宋体" w:cs="Times New Roman"/>
          <w:color w:val="000000"/>
          <w:sz w:val="21"/>
          <w:szCs w:val="24"/>
        </w:rPr>
      </w:pPr>
      <w:r>
        <w:rPr>
          <w:rFonts w:hint="eastAsia" w:eastAsia="宋体" w:cs="Times New Roman"/>
          <w:color w:val="000000"/>
          <w:sz w:val="21"/>
          <w:szCs w:val="24"/>
        </w:rPr>
        <w:t>首先，知识分工加深了异化的程度。随着全球化引发的知识数量的大幅度增加，逐步形成了新的分工——知识的分工。它具有不同于以往的新的特点一方面分工能够加快知识积累的速度另一方面分工使得没有人能够知道全部的知识。即在人类的整体能力得到加强的同时，个人的相对能力却越来越弱，个人越来越离不开他人的帮助，因为个人知道的越来越多的同时也知道的越来越少。同时，人的追求越来越高，人的欲望也越来越多。在资本主义市场经济占支配地位的知识经济时代，社会和世界存在大量的风险和不确定性，人因此而产生焦虑和烦的感受。而过度忙、焦虑、烦在日本等国经常出现“劳累死”或自杀正是不自由的表征，是异化加深的表现。</w:t>
      </w:r>
    </w:p>
    <w:p w14:paraId="097F22D2">
      <w:pPr>
        <w:ind w:firstLine="360"/>
        <w:rPr>
          <w:rFonts w:eastAsia="宋体" w:cs="Times New Roman"/>
          <w:color w:val="000000"/>
          <w:sz w:val="21"/>
          <w:szCs w:val="24"/>
        </w:rPr>
      </w:pPr>
      <w:r>
        <w:rPr>
          <w:rFonts w:hint="eastAsia" w:eastAsia="宋体" w:cs="Times New Roman"/>
          <w:color w:val="000000"/>
          <w:sz w:val="21"/>
          <w:szCs w:val="24"/>
        </w:rPr>
        <w:t>马克思明确指出了分工对自由的关系。他认为如果分工是自愿的，则是自由的，相反，如果是被迫的，则是不自由的。在当今经济、政治和文化的全球化浪潮猛烈冲击下，绝大多数发展中国家的居民是被迫卷入并服从于少数强国制定的国际规则的，因而它们的异化程度越来越深。其中一个重要表现就是，美国等强国利用知识和军事的优势，积极推行“后殖民主义”新政策，一些发展中国家却流行着“被殖民心态”和甘当强国孙子的“孙子战略”。著名哲学家雅塞也认为最好的选择与次好的选择之间的差距最好不要过大，否则是不自由的。可见，在全球化时代，享受较高教育和拥有大量财产的“资产阶级”在某种程度上可以减弱异化的趋势，因为可以有更多的选择机会，而相对地位越来越低下的“雇佣阶级”则加剧了异化的程度少数资本主义强国凭借不合理的知识分工的国际秩序，具有更多的选择自由，而大多数发展中国家则被迫接受旧秩序的分工，从而自由选择性较小，异化现象十分严重。</w:t>
      </w:r>
    </w:p>
    <w:p w14:paraId="65C86B0C">
      <w:pPr>
        <w:ind w:firstLine="360"/>
        <w:rPr>
          <w:rFonts w:eastAsia="宋体" w:cs="Times New Roman"/>
          <w:color w:val="000000"/>
          <w:sz w:val="21"/>
          <w:szCs w:val="24"/>
        </w:rPr>
      </w:pPr>
      <w:r>
        <w:rPr>
          <w:rFonts w:hint="eastAsia" w:eastAsia="宋体" w:cs="Times New Roman"/>
          <w:color w:val="000000"/>
          <w:sz w:val="21"/>
          <w:szCs w:val="24"/>
        </w:rPr>
        <w:t>其次，从另一方面看，知识分工也有弱化异化的可能。著名的哲学家伯林将自由分为消极的自由和积极的自由。消极的自由是指在什么样的限度以内，某一主体可以或应当被容许做他所能做的事，或成为他所能成为的角色，而不受到别人的干涉。积极的自由是指什么人有权控制或干涉，从而决定某人应该去做这件事、成为这种人，而不应该去做另一件事、成为另一种人。在知识越来越重要的全球化时代，信息可能越来越分散，这样，个人自由创新的权利可能愈益受到重视。而积极的自由本就是少数特权人士所独享的，是建立在其他人自由损失的基础之上的。消极的自由是基于道德秩序的遵守，这是社会合理道德发展的基础。在社会和国际秩序较为合理的知识经济时代，一方面，原本不合理的积极的自由可能相对减少，另一方面，消极的自由可能大量增加。如果我们应用“卡尔多补偿原则”，就会发现整个社会的自由程度可能增加。个人因拥有日渐增多的知识和信息而更有能力摆脱外来压力，去自由地行事，这就是自由度增加的表现。</w:t>
      </w:r>
    </w:p>
    <w:p w14:paraId="088D3DD8">
      <w:pPr>
        <w:ind w:firstLine="360"/>
        <w:rPr>
          <w:rFonts w:eastAsia="宋体" w:cs="Times New Roman"/>
          <w:color w:val="000000"/>
          <w:sz w:val="21"/>
          <w:szCs w:val="24"/>
        </w:rPr>
      </w:pPr>
      <w:r>
        <w:rPr>
          <w:rFonts w:hint="eastAsia" w:eastAsia="宋体" w:cs="Times New Roman"/>
          <w:color w:val="000000"/>
          <w:sz w:val="21"/>
          <w:szCs w:val="24"/>
        </w:rPr>
        <w:t>其实，人的自由不仅是基于个体的能力，更重要的在于集体的能力。别尔嘉也夫说，人是社会的人，人要获得自由，就得与人合作，为他人着想，摆脱自我中心主义意识。在全球化时代，劳动分工的协调性更高，社会的合作性更强，整个人类保护、征服和改造自然的能力更大，人类的自由度更高，则个人的自由相对也就高。</w:t>
      </w:r>
    </w:p>
    <w:p w14:paraId="505091F4">
      <w:pPr>
        <w:ind w:firstLine="360"/>
        <w:rPr>
          <w:rFonts w:eastAsia="宋体" w:cs="Times New Roman"/>
          <w:color w:val="000000"/>
          <w:sz w:val="21"/>
          <w:szCs w:val="24"/>
        </w:rPr>
      </w:pPr>
      <w:r>
        <w:rPr>
          <w:rFonts w:hint="eastAsia" w:eastAsia="宋体" w:cs="Times New Roman"/>
          <w:color w:val="000000"/>
          <w:sz w:val="21"/>
          <w:szCs w:val="24"/>
        </w:rPr>
        <w:t>可见，全球化时代的知识分工将给异化问题带来新的内涵，并为我们的研究提出新的课题。</w:t>
      </w:r>
    </w:p>
    <w:p w14:paraId="029CCF14">
      <w:pPr>
        <w:ind w:firstLine="360"/>
        <w:rPr>
          <w:rFonts w:eastAsia="宋体" w:cs="Times New Roman"/>
          <w:color w:val="000000"/>
          <w:sz w:val="21"/>
          <w:szCs w:val="24"/>
        </w:rPr>
      </w:pPr>
      <w:r>
        <w:rPr>
          <w:rFonts w:hint="eastAsia" w:eastAsia="宋体" w:cs="Times New Roman"/>
          <w:color w:val="000000"/>
          <w:sz w:val="21"/>
          <w:szCs w:val="24"/>
        </w:rPr>
        <w:t>注释</w:t>
      </w:r>
    </w:p>
    <w:p w14:paraId="75040F90">
      <w:pPr>
        <w:ind w:firstLine="360"/>
        <w:rPr>
          <w:rFonts w:eastAsia="宋体" w:cs="Times New Roman"/>
          <w:color w:val="000000"/>
          <w:sz w:val="21"/>
          <w:szCs w:val="24"/>
        </w:rPr>
      </w:pPr>
      <w:r>
        <w:rPr>
          <w:rFonts w:hint="eastAsia" w:eastAsia="宋体" w:cs="Times New Roman"/>
          <w:color w:val="000000"/>
          <w:sz w:val="21"/>
          <w:szCs w:val="24"/>
        </w:rPr>
        <w:t>1.阿里夫·德里克，《弹性时代的马克思主义》，载于俞可平、黄卫平主编，《全球化的悖论》，中央编译出版社，1998。</w:t>
      </w:r>
    </w:p>
    <w:p w14:paraId="78358806">
      <w:pPr>
        <w:ind w:firstLine="360"/>
        <w:rPr>
          <w:rFonts w:eastAsia="宋体" w:cs="Times New Roman"/>
          <w:color w:val="000000"/>
          <w:sz w:val="21"/>
          <w:szCs w:val="24"/>
        </w:rPr>
      </w:pPr>
      <w:r>
        <w:rPr>
          <w:rFonts w:hint="eastAsia" w:eastAsia="宋体" w:cs="Times New Roman"/>
          <w:color w:val="000000"/>
          <w:sz w:val="21"/>
          <w:szCs w:val="24"/>
        </w:rPr>
        <w:t>2.3.弗里德里克·詹姆逊，《论现实存在的马克思主义》，载俞可平主编《全球化时代的“马克思主义”》，中央编译出版社1998。</w:t>
      </w:r>
    </w:p>
    <w:p w14:paraId="5A9EEF81">
      <w:pPr>
        <w:ind w:firstLine="360"/>
        <w:rPr>
          <w:rFonts w:eastAsia="宋体" w:cs="Times New Roman"/>
          <w:color w:val="000000"/>
          <w:sz w:val="21"/>
          <w:szCs w:val="24"/>
        </w:rPr>
      </w:pPr>
      <w:r>
        <w:rPr>
          <w:rFonts w:hint="eastAsia" w:eastAsia="宋体" w:cs="Times New Roman"/>
          <w:color w:val="000000"/>
          <w:sz w:val="21"/>
          <w:szCs w:val="24"/>
        </w:rPr>
        <w:t>4.5.约瀚·格雷，《徒有其名的胜利》，约翰·卡西迪《马克思的回归》，载俞可平主编《全球化时代的“马克思主义”》，中央编译出版社1998。</w:t>
      </w:r>
    </w:p>
    <w:p w14:paraId="607C3BEF">
      <w:pPr>
        <w:ind w:firstLine="360"/>
        <w:rPr>
          <w:rFonts w:eastAsia="宋体" w:cs="Times New Roman"/>
          <w:color w:val="000000"/>
          <w:sz w:val="21"/>
          <w:szCs w:val="24"/>
        </w:rPr>
      </w:pPr>
      <w:r>
        <w:rPr>
          <w:rFonts w:hint="eastAsia" w:eastAsia="宋体" w:cs="Times New Roman"/>
          <w:color w:val="000000"/>
          <w:sz w:val="21"/>
          <w:szCs w:val="24"/>
        </w:rPr>
        <w:t>6.《马克思恩格斯选集》第2版第2卷，第227页。</w:t>
      </w:r>
    </w:p>
    <w:p w14:paraId="1D8D01E7">
      <w:pPr>
        <w:ind w:firstLine="360"/>
        <w:rPr>
          <w:rFonts w:eastAsia="宋体" w:cs="Times New Roman"/>
          <w:color w:val="000000"/>
          <w:sz w:val="21"/>
          <w:szCs w:val="24"/>
        </w:rPr>
      </w:pPr>
      <w:r>
        <w:rPr>
          <w:rFonts w:hint="eastAsia" w:eastAsia="宋体" w:cs="Times New Roman"/>
          <w:color w:val="000000"/>
          <w:sz w:val="21"/>
          <w:szCs w:val="24"/>
        </w:rPr>
        <w:t>7.8.9.《马克思恩格斯选集》第2版第1卷，第275页、276页、276页。</w:t>
      </w:r>
    </w:p>
    <w:p w14:paraId="7BE62C05">
      <w:pPr>
        <w:ind w:firstLine="360"/>
        <w:rPr>
          <w:rFonts w:eastAsia="宋体" w:cs="Times New Roman"/>
          <w:color w:val="000000"/>
          <w:sz w:val="21"/>
          <w:szCs w:val="24"/>
        </w:rPr>
      </w:pPr>
      <w:r>
        <w:rPr>
          <w:rFonts w:hint="eastAsia" w:eastAsia="宋体" w:cs="Times New Roman"/>
          <w:color w:val="000000"/>
          <w:sz w:val="21"/>
          <w:szCs w:val="24"/>
        </w:rPr>
        <w:t>10.伊腾诚，《现代世界和&lt;共产党宣言&gt;》，载俞可平主编，《全球化时代的“马克思主义”》，中央编译出版社，1998。</w:t>
      </w:r>
    </w:p>
    <w:p w14:paraId="4E715B68">
      <w:pPr>
        <w:ind w:firstLine="360"/>
        <w:rPr>
          <w:rFonts w:eastAsia="宋体" w:cs="Times New Roman"/>
          <w:color w:val="000000"/>
          <w:sz w:val="21"/>
          <w:szCs w:val="24"/>
        </w:rPr>
      </w:pPr>
      <w:r>
        <w:rPr>
          <w:rFonts w:hint="eastAsia" w:eastAsia="宋体" w:cs="Times New Roman"/>
          <w:color w:val="000000"/>
          <w:sz w:val="21"/>
          <w:szCs w:val="24"/>
        </w:rPr>
        <w:t>11.马克思，《资本论》第3卷，人民出版社，第277页。</w:t>
      </w:r>
    </w:p>
    <w:p w14:paraId="418C794F">
      <w:pPr>
        <w:ind w:firstLine="360"/>
        <w:rPr>
          <w:rFonts w:eastAsia="宋体" w:cs="Times New Roman"/>
          <w:color w:val="000000"/>
          <w:sz w:val="21"/>
          <w:szCs w:val="24"/>
        </w:rPr>
      </w:pPr>
      <w:r>
        <w:rPr>
          <w:rFonts w:hint="eastAsia" w:eastAsia="宋体" w:cs="Times New Roman"/>
          <w:color w:val="000000"/>
          <w:sz w:val="21"/>
          <w:szCs w:val="24"/>
        </w:rPr>
        <w:t>12.阿里夫·德里克，《全球性的形成与激进政见》，载王宁、薛晓源主编《全球化与后殖民批评》，中央编译出版社1998。</w:t>
      </w:r>
    </w:p>
    <w:p w14:paraId="7BAB9236">
      <w:pPr>
        <w:ind w:firstLine="360"/>
        <w:rPr>
          <w:rFonts w:eastAsia="宋体" w:cs="Times New Roman"/>
          <w:color w:val="000000"/>
          <w:sz w:val="21"/>
          <w:szCs w:val="24"/>
        </w:rPr>
      </w:pPr>
      <w:r>
        <w:rPr>
          <w:rFonts w:hint="eastAsia" w:eastAsia="宋体" w:cs="Times New Roman"/>
          <w:color w:val="000000"/>
          <w:sz w:val="21"/>
          <w:szCs w:val="24"/>
        </w:rPr>
        <w:t>13.安东尼·吉登斯，《民族一国家与暴力》，生活、读书、新知三联书店，1998第308页。</w:t>
      </w:r>
    </w:p>
    <w:p w14:paraId="258031D5">
      <w:pPr>
        <w:ind w:firstLine="360"/>
        <w:rPr>
          <w:rFonts w:eastAsia="宋体" w:cs="Times New Roman"/>
          <w:color w:val="000000"/>
          <w:sz w:val="21"/>
          <w:szCs w:val="24"/>
        </w:rPr>
      </w:pPr>
      <w:r>
        <w:rPr>
          <w:rFonts w:hint="eastAsia" w:eastAsia="宋体" w:cs="Times New Roman"/>
          <w:color w:val="000000"/>
          <w:sz w:val="21"/>
          <w:szCs w:val="24"/>
        </w:rPr>
        <w:t>14.《马克思恩格斯全集》，人民出版社1972年版，第23卷，第768页。</w:t>
      </w:r>
    </w:p>
    <w:p w14:paraId="04702DA1">
      <w:pPr>
        <w:ind w:firstLine="360"/>
        <w:rPr>
          <w:rFonts w:eastAsia="宋体" w:cs="Times New Roman"/>
          <w:color w:val="000000"/>
          <w:sz w:val="21"/>
          <w:szCs w:val="24"/>
        </w:rPr>
      </w:pPr>
      <w:r>
        <w:rPr>
          <w:rFonts w:hint="eastAsia" w:eastAsia="宋体" w:cs="Times New Roman"/>
          <w:color w:val="000000"/>
          <w:sz w:val="21"/>
          <w:szCs w:val="24"/>
        </w:rPr>
        <w:t>15.马克思《资本论》第1卷，人民出版社，1973，第368页。</w:t>
      </w:r>
    </w:p>
    <w:p w14:paraId="2C425155">
      <w:pPr>
        <w:ind w:firstLine="360"/>
        <w:rPr>
          <w:rFonts w:eastAsia="宋体" w:cs="Times New Roman"/>
          <w:color w:val="000000"/>
          <w:sz w:val="21"/>
          <w:szCs w:val="24"/>
        </w:rPr>
      </w:pPr>
      <w:r>
        <w:rPr>
          <w:rFonts w:hint="eastAsia" w:eastAsia="宋体" w:cs="Times New Roman"/>
          <w:color w:val="000000"/>
          <w:sz w:val="21"/>
          <w:szCs w:val="24"/>
        </w:rPr>
        <w:t>16、29、33，爱德华·S·赫尔受《全球化的威胁》，载《马克思主义与现实》，1999年3期。</w:t>
      </w:r>
    </w:p>
    <w:p w14:paraId="1EDA6385">
      <w:pPr>
        <w:ind w:firstLine="360"/>
        <w:rPr>
          <w:rFonts w:eastAsia="宋体" w:cs="Times New Roman"/>
          <w:color w:val="000000"/>
          <w:sz w:val="21"/>
          <w:szCs w:val="24"/>
        </w:rPr>
      </w:pPr>
      <w:r>
        <w:rPr>
          <w:rFonts w:hint="eastAsia" w:eastAsia="宋体" w:cs="Times New Roman"/>
          <w:color w:val="000000"/>
          <w:sz w:val="21"/>
          <w:szCs w:val="24"/>
        </w:rPr>
        <w:t>17.袁冬梅、廖进中《经济全球化与美国经济增长》，载《湖南大学学报》（社会科学版），1999年3期。</w:t>
      </w:r>
    </w:p>
    <w:p w14:paraId="7DA40E58">
      <w:pPr>
        <w:ind w:firstLine="360"/>
        <w:rPr>
          <w:rFonts w:eastAsia="宋体" w:cs="Times New Roman"/>
          <w:color w:val="000000"/>
          <w:sz w:val="21"/>
          <w:szCs w:val="24"/>
        </w:rPr>
      </w:pPr>
      <w:r>
        <w:rPr>
          <w:rFonts w:hint="eastAsia" w:eastAsia="宋体" w:cs="Times New Roman"/>
          <w:color w:val="000000"/>
          <w:sz w:val="21"/>
          <w:szCs w:val="24"/>
        </w:rPr>
        <w:t>18、22马克思《资本论》第1卷，人民出版社，1973，第844页、709页。</w:t>
      </w:r>
    </w:p>
    <w:p w14:paraId="1846D68B">
      <w:pPr>
        <w:ind w:firstLine="360"/>
        <w:rPr>
          <w:rFonts w:eastAsia="宋体" w:cs="Times New Roman"/>
          <w:color w:val="000000"/>
          <w:sz w:val="21"/>
          <w:szCs w:val="24"/>
        </w:rPr>
      </w:pPr>
      <w:r>
        <w:rPr>
          <w:rFonts w:hint="eastAsia" w:eastAsia="宋体" w:cs="Times New Roman"/>
          <w:color w:val="000000"/>
          <w:sz w:val="21"/>
          <w:szCs w:val="24"/>
        </w:rPr>
        <w:t>19.卫克斐尔德，《英国和美国》，转引自马克思《资本论》第1卷，人民出版社，1973，第849-850页。</w:t>
      </w:r>
    </w:p>
    <w:p w14:paraId="59E279B0">
      <w:pPr>
        <w:ind w:firstLine="360"/>
        <w:rPr>
          <w:rFonts w:eastAsia="宋体" w:cs="Times New Roman"/>
          <w:color w:val="000000"/>
          <w:sz w:val="21"/>
          <w:szCs w:val="24"/>
        </w:rPr>
      </w:pPr>
      <w:r>
        <w:rPr>
          <w:rFonts w:hint="eastAsia" w:eastAsia="宋体" w:cs="Times New Roman"/>
          <w:color w:val="000000"/>
          <w:sz w:val="21"/>
          <w:szCs w:val="24"/>
        </w:rPr>
        <w:t>20.《马克思恩格斯选集》，人民出版社版，1960，第3卷，第40页。</w:t>
      </w:r>
    </w:p>
    <w:p w14:paraId="446A992E">
      <w:pPr>
        <w:ind w:firstLine="360"/>
        <w:rPr>
          <w:rFonts w:eastAsia="宋体" w:cs="Times New Roman"/>
          <w:color w:val="000000"/>
          <w:sz w:val="21"/>
          <w:szCs w:val="24"/>
        </w:rPr>
      </w:pPr>
      <w:r>
        <w:rPr>
          <w:rFonts w:hint="eastAsia" w:eastAsia="宋体" w:cs="Times New Roman"/>
          <w:color w:val="000000"/>
          <w:sz w:val="21"/>
          <w:szCs w:val="24"/>
        </w:rPr>
        <w:t>21.马克思《资本论》第1卷，人民出版社，1973，第691页。</w:t>
      </w:r>
    </w:p>
    <w:p w14:paraId="66D33F85">
      <w:pPr>
        <w:ind w:firstLine="360"/>
        <w:rPr>
          <w:rFonts w:eastAsia="宋体" w:cs="Times New Roman"/>
          <w:color w:val="000000"/>
          <w:sz w:val="21"/>
          <w:szCs w:val="24"/>
        </w:rPr>
      </w:pPr>
      <w:r>
        <w:rPr>
          <w:rFonts w:hint="eastAsia" w:eastAsia="宋体" w:cs="Times New Roman"/>
          <w:color w:val="000000"/>
          <w:sz w:val="21"/>
          <w:szCs w:val="24"/>
        </w:rPr>
        <w:t>23、36.马丁·舒受，《全球化陷阱》，中央编译出版社，1998第7页、42页。</w:t>
      </w:r>
    </w:p>
    <w:p w14:paraId="69A26642">
      <w:pPr>
        <w:ind w:firstLine="360"/>
        <w:rPr>
          <w:rFonts w:eastAsia="宋体" w:cs="Times New Roman"/>
          <w:color w:val="000000"/>
          <w:sz w:val="21"/>
          <w:szCs w:val="24"/>
        </w:rPr>
      </w:pPr>
      <w:r>
        <w:rPr>
          <w:rFonts w:hint="eastAsia" w:eastAsia="宋体" w:cs="Times New Roman"/>
          <w:color w:val="000000"/>
          <w:sz w:val="21"/>
          <w:szCs w:val="24"/>
        </w:rPr>
        <w:t>24.孟德维尔《蜜蜂寓言》，转引自马克思《资本论》第1卷，人民出版社1973年版，第675-676页。</w:t>
      </w:r>
    </w:p>
    <w:p w14:paraId="7EFB4D37">
      <w:pPr>
        <w:ind w:firstLine="360"/>
        <w:rPr>
          <w:rFonts w:eastAsia="宋体" w:cs="Times New Roman"/>
          <w:color w:val="000000"/>
          <w:sz w:val="21"/>
          <w:szCs w:val="24"/>
        </w:rPr>
      </w:pPr>
      <w:r>
        <w:rPr>
          <w:rFonts w:hint="eastAsia" w:eastAsia="宋体" w:cs="Times New Roman"/>
          <w:color w:val="000000"/>
          <w:sz w:val="21"/>
          <w:szCs w:val="24"/>
        </w:rPr>
        <w:t>25.约翰·卡西迪，前引书。再如，从1980年到1995年，独立经营者可支配的实际收入在平均收入比较中增长了54.3%，同期间雇员的可支配的实际收入下降了10%。</w:t>
      </w:r>
    </w:p>
    <w:p w14:paraId="046B4A02">
      <w:pPr>
        <w:ind w:firstLine="360"/>
        <w:rPr>
          <w:rFonts w:eastAsia="宋体" w:cs="Times New Roman"/>
          <w:color w:val="000000"/>
          <w:sz w:val="21"/>
          <w:szCs w:val="24"/>
        </w:rPr>
      </w:pPr>
      <w:r>
        <w:rPr>
          <w:rFonts w:hint="eastAsia" w:eastAsia="宋体" w:cs="Times New Roman"/>
          <w:color w:val="000000"/>
          <w:sz w:val="21"/>
          <w:szCs w:val="24"/>
        </w:rPr>
        <w:t>26.杨雪冬、王列，《关于全球化与中国研究的对话》，载胡元梓、薛晓源《全球化与中国》，中国编译出版社1998。</w:t>
      </w:r>
    </w:p>
    <w:p w14:paraId="24866E79">
      <w:pPr>
        <w:ind w:firstLine="360"/>
        <w:rPr>
          <w:rFonts w:eastAsia="宋体" w:cs="Times New Roman"/>
          <w:color w:val="000000"/>
          <w:sz w:val="21"/>
          <w:szCs w:val="24"/>
        </w:rPr>
      </w:pPr>
      <w:r>
        <w:rPr>
          <w:rFonts w:hint="eastAsia" w:eastAsia="宋体" w:cs="Times New Roman"/>
          <w:color w:val="000000"/>
          <w:sz w:val="21"/>
          <w:szCs w:val="24"/>
        </w:rPr>
        <w:t>27约翰·卡西迪，前引书。</w:t>
      </w:r>
    </w:p>
    <w:p w14:paraId="362BA5D7">
      <w:pPr>
        <w:ind w:firstLine="360"/>
        <w:rPr>
          <w:rFonts w:eastAsia="宋体" w:cs="Times New Roman"/>
          <w:color w:val="000000"/>
          <w:sz w:val="21"/>
          <w:szCs w:val="24"/>
        </w:rPr>
      </w:pPr>
      <w:r>
        <w:rPr>
          <w:rFonts w:hint="eastAsia" w:eastAsia="宋体" w:cs="Times New Roman"/>
          <w:color w:val="000000"/>
          <w:sz w:val="21"/>
          <w:szCs w:val="24"/>
        </w:rPr>
        <w:t>28.马克思《资本论》第1卷，人民出版社1973年版，第610页。</w:t>
      </w:r>
    </w:p>
    <w:p w14:paraId="3B4CC413">
      <w:pPr>
        <w:ind w:firstLine="360"/>
        <w:rPr>
          <w:rFonts w:eastAsia="宋体" w:cs="Times New Roman"/>
          <w:color w:val="000000"/>
          <w:sz w:val="21"/>
          <w:szCs w:val="24"/>
        </w:rPr>
      </w:pPr>
      <w:r>
        <w:rPr>
          <w:rFonts w:hint="eastAsia" w:eastAsia="宋体" w:cs="Times New Roman"/>
          <w:color w:val="000000"/>
          <w:sz w:val="21"/>
          <w:szCs w:val="24"/>
        </w:rPr>
        <w:t>30.卡尔·海因茨·巴奎，《世界经济结构变化与后果》，载张世鹏、殷叙弈编译《全球化时代的资本主义》，中央编译出版社1998。</w:t>
      </w:r>
    </w:p>
    <w:p w14:paraId="4C8FDB85">
      <w:pPr>
        <w:ind w:firstLine="360"/>
        <w:rPr>
          <w:rFonts w:eastAsia="宋体" w:cs="Times New Roman"/>
          <w:color w:val="000000"/>
          <w:sz w:val="21"/>
          <w:szCs w:val="24"/>
        </w:rPr>
      </w:pPr>
      <w:r>
        <w:rPr>
          <w:rFonts w:hint="eastAsia" w:eastAsia="宋体" w:cs="Times New Roman"/>
          <w:color w:val="000000"/>
          <w:sz w:val="21"/>
          <w:szCs w:val="24"/>
        </w:rPr>
        <w:t>31.《明镜》杂志记者，《涡轮资本主义改变着世界一—全球化，世界范围内围绕劳动岗位与工资的竞争》，载张世鹤、殷叙弈编译《全球化时代的资本主义》，中央编译出版社1998。</w:t>
      </w:r>
    </w:p>
    <w:p w14:paraId="7775F085">
      <w:pPr>
        <w:ind w:firstLine="360"/>
        <w:rPr>
          <w:rFonts w:eastAsia="宋体" w:cs="Times New Roman"/>
          <w:color w:val="000000"/>
          <w:sz w:val="21"/>
          <w:szCs w:val="24"/>
        </w:rPr>
      </w:pPr>
      <w:r>
        <w:rPr>
          <w:rFonts w:hint="eastAsia" w:eastAsia="宋体" w:cs="Times New Roman"/>
          <w:color w:val="000000"/>
          <w:sz w:val="21"/>
          <w:szCs w:val="24"/>
        </w:rPr>
        <w:t>32.马克思，《资本论》第1卷，人民出版社1973年版，第258页。</w:t>
      </w:r>
    </w:p>
    <w:p w14:paraId="4C2174EB">
      <w:pPr>
        <w:ind w:firstLine="360"/>
        <w:rPr>
          <w:rFonts w:eastAsia="宋体" w:cs="Times New Roman"/>
          <w:color w:val="000000"/>
          <w:sz w:val="21"/>
          <w:szCs w:val="24"/>
        </w:rPr>
      </w:pPr>
      <w:r>
        <w:rPr>
          <w:rFonts w:hint="eastAsia" w:eastAsia="宋体" w:cs="Times New Roman"/>
          <w:color w:val="000000"/>
          <w:sz w:val="21"/>
          <w:szCs w:val="24"/>
        </w:rPr>
        <w:t>34.陈宝森，《论美国“新经济”》，载《世界经济》1998年6期。</w:t>
      </w:r>
    </w:p>
    <w:p w14:paraId="6ED1328B">
      <w:pPr>
        <w:ind w:firstLine="360"/>
        <w:rPr>
          <w:rFonts w:eastAsia="宋体" w:cs="Times New Roman"/>
          <w:color w:val="000000"/>
          <w:sz w:val="21"/>
          <w:szCs w:val="24"/>
        </w:rPr>
      </w:pPr>
      <w:r>
        <w:rPr>
          <w:rFonts w:hint="eastAsia" w:eastAsia="宋体" w:cs="Times New Roman"/>
          <w:color w:val="000000"/>
          <w:sz w:val="21"/>
          <w:szCs w:val="24"/>
        </w:rPr>
        <w:t>35.陈普直，《金融危机与全球化》，载《世界经济》1999年8期。</w:t>
      </w:r>
    </w:p>
    <w:p w14:paraId="0BDA3FFE">
      <w:pPr>
        <w:ind w:firstLine="360"/>
        <w:rPr>
          <w:rFonts w:eastAsia="宋体" w:cs="Times New Roman"/>
          <w:color w:val="000000"/>
          <w:sz w:val="21"/>
          <w:szCs w:val="24"/>
        </w:rPr>
      </w:pPr>
      <w:r>
        <w:rPr>
          <w:rFonts w:hint="eastAsia" w:eastAsia="宋体" w:cs="Times New Roman"/>
          <w:color w:val="000000"/>
          <w:sz w:val="21"/>
          <w:szCs w:val="24"/>
        </w:rPr>
        <w:t>37.有的资料显示，1995年时差距已扩大到82倍，甚至是86倍同时，在1965年，世界上最富的7个国家和最穷的7个国家人均收入相差20倍，而现在却扩大到了39倍又有的资料表明，1983年低收入发展中国家的人均国内生产总值为高收入发达工业化国家的2.4%，1996年这一比例则降到了1.6%。</w:t>
      </w:r>
    </w:p>
    <w:p w14:paraId="1D4173A4">
      <w:pPr>
        <w:ind w:firstLine="360"/>
        <w:rPr>
          <w:rFonts w:eastAsia="宋体" w:cs="Times New Roman"/>
          <w:color w:val="000000"/>
          <w:sz w:val="21"/>
          <w:szCs w:val="24"/>
        </w:rPr>
      </w:pPr>
      <w:r>
        <w:rPr>
          <w:rFonts w:hint="eastAsia" w:eastAsia="宋体" w:cs="Times New Roman"/>
          <w:color w:val="000000"/>
          <w:sz w:val="21"/>
          <w:szCs w:val="24"/>
        </w:rPr>
        <w:t>38.有的数据是，在过去的38年，70多个国家的人均收入降低了。</w:t>
      </w:r>
    </w:p>
    <w:p w14:paraId="6B56942F">
      <w:pPr>
        <w:ind w:firstLine="360"/>
        <w:rPr>
          <w:rFonts w:eastAsia="宋体" w:cs="Times New Roman"/>
          <w:color w:val="000000"/>
          <w:sz w:val="21"/>
          <w:szCs w:val="24"/>
        </w:rPr>
      </w:pPr>
      <w:r>
        <w:rPr>
          <w:rFonts w:hint="eastAsia" w:eastAsia="宋体" w:cs="Times New Roman"/>
          <w:color w:val="000000"/>
          <w:sz w:val="21"/>
          <w:szCs w:val="24"/>
        </w:rPr>
        <w:t>39.伊里纽尔·沃勒斯坦，《苏联东欧剧变之后的马克思主义》，载俞可平主编《全球化时代的“马克思主义”》，中央编译出版社1998。</w:t>
      </w:r>
    </w:p>
    <w:p w14:paraId="4F12B37E">
      <w:pPr>
        <w:ind w:firstLine="360"/>
        <w:rPr>
          <w:rFonts w:eastAsia="宋体" w:cs="Times New Roman"/>
          <w:color w:val="000000"/>
          <w:sz w:val="21"/>
          <w:szCs w:val="24"/>
        </w:rPr>
      </w:pPr>
      <w:r>
        <w:rPr>
          <w:rFonts w:hint="eastAsia" w:eastAsia="宋体" w:cs="Times New Roman"/>
          <w:color w:val="000000"/>
          <w:sz w:val="21"/>
          <w:szCs w:val="24"/>
        </w:rPr>
        <w:t>40.贝特尔·奥尔曼，《资本主义社会的市场神话一种马克思主义的解释》，载俞可平’主编《全球化时代的“马克思主义”》，中央编译出版社，1998。</w:t>
      </w:r>
    </w:p>
    <w:p w14:paraId="77FE72FC">
      <w:pPr>
        <w:ind w:firstLine="360"/>
        <w:rPr>
          <w:rFonts w:eastAsia="宋体" w:cs="Times New Roman"/>
          <w:color w:val="000000"/>
          <w:sz w:val="21"/>
          <w:szCs w:val="24"/>
        </w:rPr>
      </w:pPr>
      <w:r>
        <w:rPr>
          <w:rFonts w:hint="eastAsia" w:eastAsia="宋体" w:cs="Times New Roman"/>
          <w:color w:val="000000"/>
          <w:sz w:val="21"/>
          <w:szCs w:val="24"/>
        </w:rPr>
        <w:t>41.《马克思恩格斯选集》第2版，第1卷，第40一42页。</w:t>
      </w:r>
    </w:p>
    <w:p w14:paraId="58963DDA">
      <w:pPr>
        <w:ind w:firstLine="360"/>
        <w:rPr>
          <w:rFonts w:eastAsia="宋体" w:cs="Times New Roman"/>
          <w:color w:val="000000"/>
          <w:sz w:val="21"/>
          <w:szCs w:val="24"/>
        </w:rPr>
      </w:pPr>
      <w:r>
        <w:rPr>
          <w:rFonts w:hint="eastAsia" w:eastAsia="宋体" w:cs="Times New Roman"/>
          <w:color w:val="000000"/>
          <w:sz w:val="21"/>
          <w:szCs w:val="24"/>
        </w:rPr>
        <w:t>42.《马克思恩格斯全集》，人民出版社1995年版，第1卷，第89页。</w:t>
      </w:r>
    </w:p>
    <w:p w14:paraId="14804FB9">
      <w:pPr>
        <w:ind w:firstLine="360"/>
        <w:rPr>
          <w:rFonts w:eastAsia="宋体" w:cs="Times New Roman"/>
          <w:color w:val="000000"/>
          <w:sz w:val="21"/>
          <w:szCs w:val="24"/>
        </w:rPr>
      </w:pPr>
    </w:p>
    <w:p w14:paraId="6FB3024E">
      <w:pPr>
        <w:rPr>
          <w:rFonts w:eastAsia="宋体" w:cs="Times New Roman"/>
          <w:sz w:val="21"/>
          <w:szCs w:val="24"/>
        </w:rPr>
      </w:pPr>
      <w:r>
        <w:rPr>
          <w:rFonts w:hint="eastAsia" w:eastAsia="宋体" w:cs="Times New Roman"/>
          <w:color w:val="000000"/>
          <w:sz w:val="21"/>
          <w:szCs w:val="24"/>
        </w:rPr>
        <w:t>（原载《上海经济研究》2000年第7期，第二作者为朱富强）</w:t>
      </w:r>
    </w:p>
    <w:p w14:paraId="567C5171">
      <w:pPr>
        <w:spacing w:before="19" w:line="400" w:lineRule="exact"/>
        <w:ind w:left="1610" w:right="1649" w:firstLine="468" w:firstLineChars="200"/>
        <w:jc w:val="center"/>
        <w:rPr>
          <w:rFonts w:hint="default" w:ascii="Times New Roman" w:hAnsi="Times New Roman" w:eastAsia="宋体" w:cs="Times New Roman"/>
          <w:spacing w:val="7"/>
          <w:w w:val="105"/>
          <w:szCs w:val="21"/>
        </w:rPr>
      </w:pPr>
    </w:p>
    <w:p w14:paraId="1DD140AA">
      <w:pPr>
        <w:rPr>
          <w:rFonts w:hint="default" w:ascii="Times New Roman" w:hAnsi="Times New Roman" w:eastAsia="宋体" w:cs="Times New Roman"/>
          <w:spacing w:val="7"/>
          <w:w w:val="105"/>
          <w:szCs w:val="21"/>
        </w:rPr>
      </w:pPr>
      <w:r>
        <w:rPr>
          <w:rFonts w:hint="default" w:ascii="Times New Roman" w:hAnsi="Times New Roman" w:eastAsia="宋体" w:cs="Times New Roman"/>
          <w:spacing w:val="7"/>
          <w:w w:val="105"/>
          <w:szCs w:val="21"/>
        </w:rPr>
        <w:br w:type="page"/>
      </w:r>
    </w:p>
    <w:p w14:paraId="0844026C">
      <w:pPr>
        <w:spacing w:before="19" w:line="400" w:lineRule="exact"/>
        <w:ind w:left="1610" w:right="1649" w:firstLine="468" w:firstLineChars="200"/>
        <w:jc w:val="center"/>
        <w:rPr>
          <w:rFonts w:hint="default" w:ascii="Times New Roman" w:hAnsi="Times New Roman" w:eastAsia="宋体" w:cs="Times New Roman"/>
          <w:spacing w:val="7"/>
          <w:w w:val="105"/>
          <w:szCs w:val="21"/>
        </w:rPr>
      </w:pPr>
    </w:p>
    <w:p w14:paraId="5647AF38">
      <w:pPr>
        <w:pStyle w:val="2"/>
        <w:spacing w:before="120" w:after="120" w:line="360" w:lineRule="auto"/>
        <w:rPr>
          <w:rFonts w:hint="default" w:ascii="Times New Roman" w:hAnsi="Times New Roman" w:cs="Times New Roman"/>
          <w:b/>
          <w:bCs w:val="0"/>
        </w:rPr>
      </w:pPr>
      <w:bookmarkStart w:id="53" w:name="_Toc93074522"/>
      <w:bookmarkStart w:id="54" w:name="_Toc4836"/>
      <w:bookmarkStart w:id="55" w:name="_Toc29605"/>
      <w:bookmarkStart w:id="56" w:name="_Toc710396747"/>
      <w:bookmarkStart w:id="57" w:name="_Toc703262966"/>
      <w:r>
        <w:rPr>
          <w:rFonts w:hint="default" w:ascii="Times New Roman" w:hAnsi="Times New Roman" w:cs="Times New Roman"/>
          <w:bCs w:val="0"/>
        </w:rPr>
        <w:t>2001年</w:t>
      </w:r>
      <w:bookmarkEnd w:id="53"/>
      <w:bookmarkEnd w:id="54"/>
      <w:bookmarkEnd w:id="55"/>
      <w:bookmarkEnd w:id="56"/>
      <w:bookmarkEnd w:id="57"/>
    </w:p>
    <w:p w14:paraId="6EEF015C">
      <w:pPr>
        <w:ind w:firstLine="360"/>
        <w:jc w:val="center"/>
        <w:outlineLvl w:val="1"/>
        <w:rPr>
          <w:rFonts w:ascii="宋体" w:hAnsi="宋体" w:eastAsia="宋体" w:cs="Times New Roman"/>
          <w:b/>
          <w:bCs/>
          <w:color w:val="000000"/>
          <w:sz w:val="21"/>
          <w:szCs w:val="21"/>
        </w:rPr>
      </w:pPr>
      <w:bookmarkStart w:id="58" w:name="_Toc15129"/>
      <w:bookmarkStart w:id="59" w:name="_Toc1776533156"/>
      <w:bookmarkStart w:id="60" w:name="_Toc2138160121"/>
      <w:bookmarkStart w:id="61" w:name="_Toc4026"/>
      <w:bookmarkStart w:id="62" w:name="_Toc93074523"/>
      <w:bookmarkStart w:id="63" w:name="_Toc257922043"/>
      <w:r>
        <w:rPr>
          <w:rFonts w:hint="eastAsia" w:ascii="宋体" w:hAnsi="宋体" w:eastAsia="宋体" w:cs="Times New Roman"/>
          <w:b/>
          <w:bCs/>
          <w:color w:val="000000"/>
          <w:sz w:val="21"/>
          <w:szCs w:val="21"/>
        </w:rPr>
        <w:t>西方学者关于计划社会主义绩效的分析</w:t>
      </w:r>
      <w:bookmarkEnd w:id="58"/>
      <w:bookmarkEnd w:id="59"/>
      <w:bookmarkEnd w:id="60"/>
    </w:p>
    <w:p w14:paraId="64263145">
      <w:pPr>
        <w:ind w:firstLine="360"/>
        <w:rPr>
          <w:rFonts w:ascii="宋体" w:hAnsi="宋体" w:eastAsia="宋体" w:cs="Times New Roman"/>
          <w:color w:val="000000"/>
          <w:sz w:val="21"/>
          <w:szCs w:val="21"/>
        </w:rPr>
      </w:pPr>
    </w:p>
    <w:p w14:paraId="5F576267">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计划社会主义经济体制在苏联、东欧、中国等社会主义国家和地区的历史舞台上曾经扮演了举足轻重的角色，社会主义国家因此成为世界经济之林里引人注目的一部份，一些西方学者也纷纷将目光投向社会主义经济问题的研究。尽管随着社会主义各国经济发展和经济改革进程的延伸，计划社会主义经济体制或迟或早地退出了这些国家的经济舞台，但是，借西方学者之眼回顾计划社会主义的绩效，仍然是一件颇有意义的事情。</w:t>
      </w:r>
    </w:p>
    <w:p w14:paraId="1FB4017D">
      <w:pPr>
        <w:ind w:firstLine="420" w:firstLineChars="200"/>
        <w:rPr>
          <w:rFonts w:ascii="宋体" w:hAnsi="宋体" w:eastAsia="宋体" w:cs="Times New Roman"/>
          <w:b/>
          <w:bCs/>
          <w:color w:val="000000"/>
          <w:sz w:val="21"/>
          <w:szCs w:val="21"/>
        </w:rPr>
      </w:pPr>
      <w:r>
        <w:rPr>
          <w:rFonts w:hint="eastAsia" w:ascii="宋体" w:hAnsi="宋体" w:eastAsia="宋体" w:cs="Times New Roman"/>
          <w:b/>
          <w:bCs/>
          <w:color w:val="000000"/>
          <w:sz w:val="21"/>
          <w:szCs w:val="21"/>
        </w:rPr>
        <w:t>一、统一的评价标准存在吗</w:t>
      </w:r>
    </w:p>
    <w:p w14:paraId="35DE2584">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分析和评价某种经济体制的绩效是一件比较复杂的事情，因为经济体制不是孤立存在的，选择和评价经济体制不能脱离其他因素，经济活动效果也不仅仅取决于体制因素，还取决于政治制度、人力物力资源状况和科学技术的发展水平等环境因素，以及政府执行的政策等因素。在评价经济体制的实绩时，即使对环境因素和政策的差异进行了必要的调整和控制，使其尽可能地保持常量，但是，由于不同的经济体制评价标准的存在，仍然可能得出不一样的结论。</w:t>
      </w:r>
    </w:p>
    <w:p w14:paraId="259F25F3">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w:t>
      </w:r>
      <w:r>
        <w:rPr>
          <w:rFonts w:ascii="宋体" w:hAnsi="宋体" w:eastAsia="宋体" w:cs="Times New Roman"/>
          <w:color w:val="000000"/>
          <w:sz w:val="21"/>
          <w:szCs w:val="21"/>
        </w:rPr>
        <w:t>.</w:t>
      </w:r>
      <w:r>
        <w:rPr>
          <w:rFonts w:hint="eastAsia" w:ascii="宋体" w:hAnsi="宋体" w:eastAsia="宋体" w:cs="Times New Roman"/>
          <w:color w:val="000000"/>
          <w:sz w:val="21"/>
          <w:szCs w:val="21"/>
        </w:rPr>
        <w:t>阿兰·G 格鲁奇</w:t>
      </w:r>
    </w:p>
    <w:p w14:paraId="2E3FCA73">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美国经济学家格鲁奇认为经济体制的目标包括充份就业，效率高的生产，持续的、适当的经济增长速度，这些目标成为评价经济成就的标准。他从成就和目标的关系中选择评价标准，这些标准包括充份就业、效率、经济增长三个方面。</w:t>
      </w:r>
    </w:p>
    <w:p w14:paraId="510BD72C">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2.埃冈·纽伯格和威廉·达菲</w:t>
      </w:r>
    </w:p>
    <w:p w14:paraId="75C9A53E">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而美国经济学家纽伯格和达菲则是从决策的角度谈评价标准，包括生产力的增长或维持劳动力的充份就业、价格与生产的稳定、有关收入和财产的平等或获得收入和财产的机会的平等，等等。</w:t>
      </w:r>
    </w:p>
    <w:p w14:paraId="64936876">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3.科尔奈</w:t>
      </w:r>
    </w:p>
    <w:p w14:paraId="6BBC23B3">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匈牙利的科尔奈也提出了衡量经济运行好坏的七条标准：实际经济增长的速度，有利于技术进步，有良好的适应性，有良好的选择性，关于收入分配和就业的要求，有利于文化和社会的发展，关于决策、所有权和权力等。</w:t>
      </w:r>
    </w:p>
    <w:p w14:paraId="2F0F20F0">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4.莫里斯·博恩斯坦</w:t>
      </w:r>
    </w:p>
    <w:p w14:paraId="79F5E6DD">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美国的博恩斯坦的评价标准体现在如下九个方面：产出水平，产出成长率，产出的组成，静态效率，动态效率，产出、就业和价格的稳定性，个人的经济保障，公平，职业选择、消费和财产方面的经济自由。</w:t>
      </w:r>
    </w:p>
    <w:p w14:paraId="46353B8F">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5.弗雷德里克·L 普瑞尔</w:t>
      </w:r>
    </w:p>
    <w:p w14:paraId="1336B724">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同样来自美国的普瑞尔也建立了自己的一套评价标准：经济增长，动态效率，经济稳定性，生产的静态效率，消费者主权（或消费者效率），能够满足人类基本需求的收入与财富的平等分配。</w:t>
      </w:r>
    </w:p>
    <w:p w14:paraId="35EC3AAE">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6.保罗·R 格雷戈里和罗伯特·C 斯图尔特</w:t>
      </w:r>
    </w:p>
    <w:p w14:paraId="771A9CD5">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美国经济学家格雷戈里和斯图尔特的经济体制评价标准与上面几位相比明显存在共同之处，但更加详细和全面，他们选择了以下六个标准。</w:t>
      </w:r>
    </w:p>
    <w:p w14:paraId="065B2BB8">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（1）经济增长。经济增长是应用最广泛的经济实绩指标，指在一定时期内某一经济创造的产出量的增加或人均国民产值的增加。</w:t>
      </w:r>
    </w:p>
    <w:p w14:paraId="4BB9893E">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2）经济效率。经济效率指一个经济体制在特定时点（静态效率）或在一定时期内（动态效率）对可获得的资源（包括知识）的有效利用。效率的概率可通过生产可能性曲线得到说明。静态效率指在某一时点上不需要增加可获得的资源就能够生产出更多的生产资料和消费资料；动态效率指一个经济体制在不增加资本和劳动投入的条件下而能提高一定时期内生产产品和劳务的能力。</w:t>
      </w:r>
    </w:p>
    <w:p w14:paraId="025C9400">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（3）收入分配。收入分配通过著名的洛伦茨曲线或基尼系数来计量。</w:t>
      </w:r>
    </w:p>
    <w:p w14:paraId="7068EC35">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（4）稳定性。所谓稳定性是指不存在经济增长率的重大波动，保持可接受的失业率，避免过高的通货膨胀率，而不问通货膨胀和失业是否是周期性的。</w:t>
      </w:r>
    </w:p>
    <w:p w14:paraId="5A963C3A">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（5）发展目标。他们认为根据发展目标的成功与否来评价经济体制可能是复杂的，因为实现了前述的四项目标（特别是经济增长），也就实现了这一经济体制的发展目标。</w:t>
      </w:r>
    </w:p>
    <w:p w14:paraId="449D5138">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6）维持国家生存。为了维持国家生存，就要求具有能够对威胁国家生存的力量进行反击的政治、军事和社会实力。从经济观点来看，要维持国家生存，就要求能把足够的人力资源投入国防（在充满敌对的世界中），以防御外部力量对这些体制的颠覆。它还需要高度的内部团结和强盛，以避免经济体制的内部崩溃</w:t>
      </w:r>
    </w:p>
    <w:p w14:paraId="2E3F9A2A">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7.默瑞尔和奥尔森</w:t>
      </w:r>
    </w:p>
    <w:p w14:paraId="4E6DB967">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一般来说，衡量一国经济绩效的主要指标有两个，一是看其人均国民收入的水平，二是看其人均国民收入的增长率。然而，这两个指标都有着很大的偏颇性。如果仅仅是看人均国民收入的水平，则发达国家挟其数百年来的深厚积累，自然比后进国家占据优势；反之，如果仅仅是看人均国民收入的增长率，则落后国家由于基数小，起点低，其潜在的增长机会要比发达国家更多，反映在增长率上自然比发达国家更高。</w:t>
      </w:r>
    </w:p>
    <w:p w14:paraId="458F998F">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美国马里兰大学的两位经济学家默瑞尔教授和奥尔森教授（Murrell and Olson，1990）指出，为更加准确地衡量一国经济的真实绩效，需要考虑其实际人均国民收入增长率和潜在人均国民收入增长率的差距。换言之，良好的经济绩效意味着一国能尽可能地挖掘该国经济增长的潜在能力，缩小其实际人均国民收入增长率和潜在人均国民收入增长率的差距。</w:t>
      </w:r>
    </w:p>
    <w:p w14:paraId="2936EB2F">
      <w:pPr>
        <w:ind w:firstLine="420" w:firstLineChars="200"/>
        <w:rPr>
          <w:rFonts w:ascii="宋体" w:hAnsi="宋体" w:eastAsia="宋体" w:cs="Times New Roman"/>
          <w:b/>
          <w:bCs/>
          <w:color w:val="000000"/>
          <w:sz w:val="21"/>
          <w:szCs w:val="21"/>
        </w:rPr>
      </w:pPr>
      <w:r>
        <w:rPr>
          <w:rFonts w:hint="eastAsia" w:ascii="宋体" w:hAnsi="宋体" w:eastAsia="宋体" w:cs="Times New Roman"/>
          <w:b/>
          <w:bCs/>
          <w:color w:val="000000"/>
          <w:sz w:val="21"/>
          <w:szCs w:val="21"/>
        </w:rPr>
        <w:t>二、计划社会主义能正常运行吗</w:t>
      </w:r>
    </w:p>
    <w:p w14:paraId="240C4DEB">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萨缪尔森在《经济学》教科书中解释“为什么要学习苏联经济”时指出：“同它的早期批评家所相信的东西相反，苏联经济迅速地增长，扩大了它的影响并且赢得了许多盟友。它成功地把自己从一个军事上的弱国，弱到1918年向德国乞求休战，变成了一个令整个世界感到害怕的超级大国。从经济学的观点来看，也许最有意义的教训是，命令经济是可以发挥机能的。命令是这样组织经济的，即国家拥有生产手段，利润不是主要的动力，而且主要决策是由行政上作出的──这种命令经济可以在很长的时期内运行良好。”（萨缪尔森：《经济学》（第12版），中国发展出版社1992年版，第1296页。）</w:t>
      </w:r>
    </w:p>
    <w:p w14:paraId="590E24A2">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美国经济学家费希尔·唐布什在其《经济学》一书中写道：“计划体制运行得如何？在第二次世界大战后的大部份时期内，苏联的增长虽然没有日本快，但比美国快。”即使在传统体制和国际环境有利于私有制大国的条件下，中苏两国的发展业绩和效率也超过了多数西方国家。我国的综合国力，1949年排名世界第13位，1962年列第10位，1988年列第6位；到80年代末，苏联综合国力大大超过德、法、英、日等发达或不发达的私有制国家，成为与美国日益接近的世界第二号强国。</w:t>
      </w:r>
    </w:p>
    <w:p w14:paraId="2A0120AB">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苏联从1925～1940年，只用15年的时间走完了主要资本主义国家用50～100年走过的路程。1913年，俄国工业产值在欧洲居第四位，在世界居第五位。到1940年，苏联的工业产值已超过英、法、德三国，跃居欧洲第一位，世界第二位。形成鲜明对照的是，20年代末至30年代，资本主义国家爆发了两次空前严重的世界性经济危机，使资本主义世界的工业生产下降了40%以上。把各种各样的虚夸统计数字去掉以后，仍然可以看出，苏联的工业发展的确很快，至少到六十年代末还是如此。二次大战后的恢复工作，步伐也很快。1964～1982年，苏联经济每年平均递增6.1%，超过了所有西方国家。社会生产总值增长1.46倍，工业产量占世界的1/5，有20多种主要工业品的产量均超过美国居世界领先地位。这一时期苏联改革和发展的结果表明，建立在科学测算基础上的计划经济，仍是十分有效的经济管理手段，它能把有限的资源和技术进行最佳的配置和利用，在短时间里就能取得明显的效果。</w:t>
      </w:r>
    </w:p>
    <w:p w14:paraId="6709E660">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西方学者一致认为，中国40年来的经济发展取得了重大成就。“它（中国）使人人吃饱、穿暖，有房子住和保持健康，对大部份人提供了教育，数以百万计的人没有挨饿……”（〔美〕查尔斯·K.威尔伯主编：《发达与不发达问题的政治经济学》，中国社会科学出版社1984年版，第439页。）“中国在现代工业发展取得迅速进步的同时，能够满足居民的基本需要并提高其生活水平。在某些领域，例如，在向全体居民提供保健服务方面，他们的成就是特别令人注目的。正如摩拉兹在1977年指出的，中国的保健水平大体相当于美国在30年代的水平──对于一个人均收入不到300美元的国家来说，这是一个了不起的成就。他们从一开始就注意缩小在收入分配、消费分配和财富分配方面的不平等，并注意逐步缩小三大差别。尽管居民的不同部份之间生活水平仍有重要差距，但这种差别在中国要比任何其他地方要小”。“过去1/4世纪的中国经济史表明，迅速工业化同满足基本需要并不矛盾，事实上两者是互相推动的”。（〔英〕阿克特辛：《基本需要还是国际经济新秩序》，《世界发展》1979年第7卷，第591页、593页。）</w:t>
      </w:r>
    </w:p>
    <w:p w14:paraId="4ADA7478">
      <w:pPr>
        <w:ind w:firstLine="420" w:firstLineChars="200"/>
        <w:rPr>
          <w:rFonts w:ascii="宋体" w:hAnsi="宋体" w:eastAsia="宋体" w:cs="Times New Roman"/>
          <w:b/>
          <w:bCs/>
          <w:color w:val="000000"/>
          <w:sz w:val="21"/>
          <w:szCs w:val="21"/>
        </w:rPr>
      </w:pPr>
      <w:r>
        <w:rPr>
          <w:rFonts w:hint="eastAsia" w:ascii="宋体" w:hAnsi="宋体" w:eastAsia="宋体" w:cs="Times New Roman"/>
          <w:b/>
          <w:bCs/>
          <w:color w:val="000000"/>
          <w:sz w:val="21"/>
          <w:szCs w:val="21"/>
        </w:rPr>
        <w:t>三、计划社会主义有可取之处吗</w:t>
      </w:r>
    </w:p>
    <w:p w14:paraId="20EEA4CE">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美国学者雷诺兹认为，社会主义集中计划体制对于落后国家集中力量迅速实现工业化具有一定的积极作用。因为经济要增长，就得强制性地限制消费，同时提高投资率，不能做到这一点的“软弱无力的国家”，其经济是不会高速增长的。如果无法限制消费，如果在现代的政治条件下人民不等经济基础奠定好就要求建立福利国家，那实际上排除了发展的可能性。在社会主义国家，由于实行集中计划体制，虽然人均收入水平大大低于资本主义国家，但它们的资本形成率却高于资本主义国家。通过集中计划管理，可以有效地限制消费，提高资本投资率，促进经济增长。1950～1960年的情况表明，社会主义国家确实获得了较高的平均增长率。因此，雷诺兹指出：“社会主义国家集中力量迅速发展重工业的做法，对几个较大的欠发达国家具有参考意义。”（雷诺兹：《经济学的三个世界》，商务印书馆1990年版，第253页。）</w:t>
      </w:r>
    </w:p>
    <w:p w14:paraId="51106D59">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日本学者百百和等也提出了自己的看法：“集权式计划经济对于经济发展到一定阶段的国家自力更生地迅速实现工业化，虽不能说是最好的方法，但却是一种具有相当效力的体制。”（百百和等：《经济计划论》，陕西人民出版社1986年版，第221页。）</w:t>
      </w:r>
    </w:p>
    <w:p w14:paraId="3D1B97DB">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默瑞尔和奥尔森在分析计划体制国家高储蓄率和高投资率的由来时指出，由于在计划体制国家中，权力相对集中且统治稳定，所以其治国者的利益自然而然地易于和整个国家的兴衰荣辱紧密相连，因而计划体制国家的领导人更为关心自己国家的经济成长。这种关心首先表现在治国者对经济增长率的渴求上。由于在敌对意识形态国家的包围之中明显感到的生存威胁，由于一国的经济实力（主要是工业力量、科技力量和军事力量而非消费者的福利水平）直接决定它在国际上的影响和地位，由于更高的增长率在两种制度的竞争中可以提高自身意识形态的感召力，所以不难理解，社会主义国家几乎都以“赶超战略”为基本政策。相对极权的政治体制不仅赋予了治国者强烈的动机去关心经济成长，而且这种体制还给治国者实现自己的雄心壮志提供了有利条件。首先， 强有力的集权政府可以轻易地粉碎各种利益集团给对经济增长的干扰。奥尔森在《国家兴衰探源》（1982）一书中指出，寻求特殊利益的各种组织或集团过于活跃时，将会降低社会效率和国民收入，而且还会带来政治不稳定因素。其次，由于长期任职，治国者可以有足够长远的眼光去进行长期投资，比如科技、基础设施和基础工业等等，而这将在一定程度上为日后的经济成长奠定基础。</w:t>
      </w:r>
    </w:p>
    <w:p w14:paraId="68453DDB">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的确，以集权式计划社会主义为核心的“苏联模式”曾起过积极作用，能够在特定的历史条件下，集中有限的人力、物力和财力，在较短的时间内恢复和发展国民经济，奠定了搞工业化必需的物质技术基础。正因为如此，才使东欧诸国在建国初期都比较好有比较快地战后经济恢复和发展工作。</w:t>
      </w:r>
    </w:p>
    <w:p w14:paraId="5BCCDFB8">
      <w:pPr>
        <w:ind w:firstLine="420" w:firstLineChars="200"/>
        <w:rPr>
          <w:rFonts w:ascii="宋体" w:hAnsi="宋体" w:eastAsia="宋体" w:cs="Times New Roman"/>
          <w:b/>
          <w:bCs/>
          <w:color w:val="000000"/>
          <w:sz w:val="21"/>
          <w:szCs w:val="21"/>
        </w:rPr>
      </w:pPr>
      <w:r>
        <w:rPr>
          <w:rFonts w:hint="eastAsia" w:ascii="宋体" w:hAnsi="宋体" w:eastAsia="宋体" w:cs="Times New Roman"/>
          <w:b/>
          <w:bCs/>
          <w:color w:val="000000"/>
          <w:sz w:val="21"/>
          <w:szCs w:val="21"/>
        </w:rPr>
        <w:t>四、计划社会主义有优越性吗</w:t>
      </w:r>
    </w:p>
    <w:p w14:paraId="0FEA965C">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纽伯格和达菲认为，计划社会主义所采用的中央集权的决策结构有其自身的优点，概括起来，主要表现在以下几个方面：（1）有利于实现体制指导者的目标；（2）有利于迅速改变经济结构，进行大规模的经济调整和变革；（3）有利于提高长期经济效益和宏观经济效益；（4）有可能把外在的经济情况和非经济情况内在化；（5）能够集中信息，从宏观上把握整个经济系统的情况；（6）能把有限的人、财、物集中起来用于最重要的领域；（7）有利于产品的规格化和标准化。</w:t>
      </w:r>
    </w:p>
    <w:p w14:paraId="6B30245F">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熊彼特也承认计划社会主义经济存在一定的优越性。首先，社会主义经济关系的性质消除了经济环境的不确定性，从而使社会主义经济的调节过程得以迅速合理有效地进行。其次，社会主义计划经济的性质消除了经济波动和周期性的危机，计划调节从根本上消除了周期性波动的成因。再次，社会主义中央集权性质的经济在根本上是一种适合现代生产力发展要求的社会生产形式。熊彼特预言：“社会主义的经营管理将自己证明优于大企业资本主义，犹如大企业资本主义证明自己优于100年前的英国产业所代表的那种竞争的资本主义一样。”（熊彼特：《资本主义、社会主义和民主主义》，商务印书馆1979年版，第254页。）最后，社会主义中央集权的计划经济由于全民利益的一致性保证了最大限度地社会冲突所造成的浪费及其对生产过程的损害。</w:t>
      </w:r>
    </w:p>
    <w:p w14:paraId="0E9CD8B1">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英国的经济学家克里·特纳克莱夫·科利斯提出中央计划的社会主义经济在下面三个主要领域比市场经济优越：（1）在刺激经济成长上；（2）在保持均衡的经济发展上；（3）在现代电子计算机技术的帮助下制定一个适当的，即使不是最优的价格制度上。</w:t>
      </w:r>
    </w:p>
    <w:p w14:paraId="4037A5E1">
      <w:pPr>
        <w:ind w:firstLine="420" w:firstLineChars="200"/>
        <w:rPr>
          <w:rFonts w:ascii="宋体" w:hAnsi="宋体" w:eastAsia="宋体" w:cs="Times New Roman"/>
          <w:b/>
          <w:bCs/>
          <w:color w:val="000000"/>
          <w:sz w:val="21"/>
          <w:szCs w:val="21"/>
        </w:rPr>
      </w:pPr>
      <w:r>
        <w:rPr>
          <w:rFonts w:hint="eastAsia" w:ascii="宋体" w:hAnsi="宋体" w:eastAsia="宋体" w:cs="Times New Roman"/>
          <w:b/>
          <w:bCs/>
          <w:color w:val="000000"/>
          <w:sz w:val="21"/>
          <w:szCs w:val="21"/>
        </w:rPr>
        <w:t>五、计划社会主义有比较优势吗</w:t>
      </w:r>
    </w:p>
    <w:p w14:paraId="3A9933C5">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1.新中国与印度经济的比较</w:t>
      </w:r>
    </w:p>
    <w:p w14:paraId="10926452">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作为新中国起点的工农业生产条件均比印度差，但是，实行计划社会主义的中国却获得了比走资本主义道路的印度更快的经济发展。1950～1976年，印度农业生产的年平均增长速度为2.5%，而我国1953～1979年这一指标是3.4%。新中国30年，包括粮食、棉花、油菜、花生、茶叶、甘蔗、黄红麻、猪、羊和水产品在内的农产品以及农业劳动生产率都比印度增长得快。1949～1978年，印度工业生产发展速度比过去快得多，年平均增长率6%。然而新中国工业发展更迅速，1953～1979年的年平均增长为11.1%，除生铁产量外，包括钢、原煤、原油、水泥、硫酸、棉纱和发电量等在内的工业产量，都先后赶上并大大超过印度。</w:t>
      </w:r>
    </w:p>
    <w:p w14:paraId="4D05C19B">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格雷戈里和斯图尔特在分析印度经济发展时这样评价：与其他发展中国家相比，印度的人均收入增长速度较慢，尽管中国和印度在相同的起点上发展其摆脱殖民统治后的经济，但印度经济增长的成绩也比中国差得多，由于较低的经济增长率，印度的人均收入只是中国的四分之三。大多数权威人士认为，中国在国民生产总值增长率和人均国民收入增长率方面超过了印度，而印度和中国很可能是以相同的人均收入水平进入战后时代的。</w:t>
      </w:r>
    </w:p>
    <w:p w14:paraId="1B94FF46">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2</w:t>
      </w:r>
      <w:r>
        <w:rPr>
          <w:rFonts w:ascii="宋体" w:hAnsi="宋体" w:eastAsia="宋体" w:cs="Times New Roman"/>
          <w:color w:val="000000"/>
          <w:sz w:val="21"/>
          <w:szCs w:val="21"/>
        </w:rPr>
        <w:t>.</w:t>
      </w:r>
      <w:r>
        <w:rPr>
          <w:rFonts w:hint="eastAsia" w:ascii="宋体" w:hAnsi="宋体" w:eastAsia="宋体" w:cs="Times New Roman"/>
          <w:color w:val="000000"/>
          <w:sz w:val="21"/>
          <w:szCs w:val="21"/>
        </w:rPr>
        <w:t>新中国与发达的资本主义国家经济的比较</w:t>
      </w:r>
    </w:p>
    <w:p w14:paraId="6863E9C7">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其一，繁荣发展时期对比。战后70年代以前是西方国家发展的黄金时代，1953～1978年主要资本主义国家工业生产年平均增长速度为：日本10.9%，西德5.7%，法国5</w:t>
      </w:r>
      <w:r>
        <w:rPr>
          <w:rFonts w:ascii="宋体" w:hAnsi="宋体" w:eastAsia="宋体" w:cs="Times New Roman"/>
          <w:color w:val="000000"/>
          <w:sz w:val="21"/>
          <w:szCs w:val="21"/>
        </w:rPr>
        <w:t>.</w:t>
      </w:r>
      <w:r>
        <w:rPr>
          <w:rFonts w:hint="eastAsia" w:ascii="宋体" w:hAnsi="宋体" w:eastAsia="宋体" w:cs="Times New Roman"/>
          <w:color w:val="000000"/>
          <w:sz w:val="21"/>
          <w:szCs w:val="21"/>
        </w:rPr>
        <w:t>2%，美国4.0%，英国2.5%；1953～1976年其农业年平均增长速度为：法国2.5%，日本和英国2.1%，美国1.8%，西德1.3%。前述新中国大约同期的这两指标都比发达国家高。其二，正常发展时期对比。倘若拿我国和西方这五个发达国家均处于正常发展时期的1950～1957年来对比，那么，除了法国的石油产量增长速度略高于中国之外，其余各国的钢、原煤、石油和发电量的发展速度都低于我国。其三，工业化初期对比。美国资本主义工业化初期的工业生产增长速度最快，1850～1859年为6.1%，1980～1869年为8.2%，1870～1879年为3.1%，1880～1889年为5.5%，1890～1899年为3.3%，而我国经济正常运转的第一个五年计划时期，工业生产平均每年增长18%。其四，起点相近时期对比。我国钢产量从1949年的15.8万吨提高到1979年的3 448万吨，花了30年时间，而类似的发展过程，美国用了40年（1872年的14.5万吨到1912年的3 195万吨），日本用了53年（1910年的16.8万吨到1963年的3 150万吨），英国1860年为15万吨，用了120多年，才达到3 000万吨。这是单项实物量的变化对照。整个工业价值量的变化对照同样能说明问题。1952年我国工业生产的“底子”，总量比1860年美国工业生产的“底子”大，而以这两个年份为起点的工业增长速度，中国大大地快于美国。1860～1880年美国工业总产值从18.9亿美元上升到53.7亿美元，20年才增长了180%；1952～1957年我国工业总产值（不包括手工业）从270</w:t>
      </w:r>
      <w:r>
        <w:rPr>
          <w:rFonts w:ascii="宋体" w:hAnsi="宋体" w:eastAsia="宋体" w:cs="Times New Roman"/>
          <w:color w:val="000000"/>
          <w:sz w:val="21"/>
          <w:szCs w:val="21"/>
        </w:rPr>
        <w:t>.</w:t>
      </w:r>
      <w:r>
        <w:rPr>
          <w:rFonts w:hint="eastAsia" w:ascii="宋体" w:hAnsi="宋体" w:eastAsia="宋体" w:cs="Times New Roman"/>
          <w:color w:val="000000"/>
          <w:sz w:val="21"/>
          <w:szCs w:val="21"/>
        </w:rPr>
        <w:t>2亿元上升到650.2亿元，五年就增长了141%。</w:t>
      </w:r>
    </w:p>
    <w:p w14:paraId="6B7552DA">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由此可见，西方主要资本主义国家限于私产制障碍，没有充份释放科技进步和产业革命所蕴藏的经济潜能，许多重要经济指标的增长比有较大弊端的社会主义计划经济国家要慢；新中国30年在较僵化的计划产品经济体制中运行，其发展得益于公有制内生机制的优势，赶上并超过了多数私产制国家，与某些发达国家的若干重要经济差距缩小了。</w:t>
      </w:r>
    </w:p>
    <w:p w14:paraId="4B86F924">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3.格雷戈里和斯图尔特关于计划社会主义与资本主义经济绩效的比较</w:t>
      </w:r>
    </w:p>
    <w:p w14:paraId="0332D62C">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格雷戈里和斯图尔特从以下五个方面分析比较了计划社会主义和资本主义的经济绩效，并且得出了他们自己的结论。</w:t>
      </w:r>
    </w:p>
    <w:p w14:paraId="393D2AAD">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收入分配。他们的结论是计划社会主义的收入分配比资本主义平等。计划社会主义经济中，国家（社会）通常拥有土地和资源，这些资本的收益将归属国家。认为社会主义国家将比资本主义社会更不平等地分配这项劳动收益，虽然是可以想象的，但却是不大可能的。而那些政府在再分配中不发挥重要作用的资本主义国家，其收入分配与计划社会主义国家更是存在明显差别。</w:t>
      </w:r>
    </w:p>
    <w:p w14:paraId="2F2B9C73">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2）效率。他们认为，以最优化目标的计划技术在现实世界中的应用是有限的，计划社会主义经济不得不使用物资平衡计划程序，而这种程序不大可能把社会主义经济纳入生产可能性曲线图。事实上，物资平衡计划的目的是连续性而不是最优化。因而，计划社会主义无论在动态效率和静态效率方面都不能取得很好成果的假定，看来是相当可靠的。但是，他们又强调，要对比资本主义和计划社会主义的静态和动态效率并非易事，因为得到的数据太少，以致无法进行非常令人满意的比较。而只分析有限区间的少量数据，从分散的迹象中得出的关于资本主义和计划社会主义的相对效率的结论，必定存在相当的局限性。</w:t>
      </w:r>
    </w:p>
    <w:p w14:paraId="68CF86E6">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3）经济增长。计划社会主义储蓄率比较高，因为社会主义国家很可能把迅速增长作为优先目标（建设社会主义）。在计划社会主义经济中，迅速增长将通过高储蓄率和计划者把资源引向对最大化增长的追求而得到促进。应假定计划社会主义经济有更高的增长率，但促使问题复杂化的是计划社会主义经济表现为更低的效率。这样也就不能轻率地作出关于计划社会主义具有相对迅速增长率的肯定。他们还根据表3-1得出一个总的结论：在战后期间，计划社会主义国家和资本主义国家之间的经济增长率并无重大差距，这一期间的实证记录并没有显示谁是经济增长竞赛的优胜者。</w:t>
      </w:r>
    </w:p>
    <w:p w14:paraId="77229E95">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4）经济稳定性。他们预计计划社会主义比资本主义更稳定，虽然计划社会主义中隐藏着受抑制的通货膨胀和不充份就业，并提出三条理由支撑他们的观点：其一，计划社会主义的投资支出受到计划者的控制并可能保持在相当稳定的比率上，因此，投资支出的波动（这是资本主义经济中不稳定的主要来源）很可能较小。其二，计划社会主义的物资平衡计划将导致劳动供给和需求的大致平衡，因为未就业劳动会导致增长潜力的不充份利用。其三，消费品的供给和需求将在很大程度上受到国家的控制（计划者指定产业工资和决定消费品产量），而且国家不易受到社会压力而去实行扩张性的货币政策。根据实际的分析，他们得出的结论是，社会主义计划经济看来要比资本主义经济稳定，在计划社会主义体制下，看来有更多的就业保证、企业生存保障以及比较稳定的消费品价格。</w:t>
      </w:r>
    </w:p>
    <w:p w14:paraId="7B32E07C">
      <w:pPr>
        <w:ind w:firstLine="360"/>
        <w:jc w:val="center"/>
        <w:rPr>
          <w:rFonts w:ascii="宋体" w:hAnsi="宋体" w:eastAsia="宋体" w:cs="Times New Roman"/>
          <w:b/>
          <w:bCs/>
          <w:color w:val="000000"/>
          <w:sz w:val="21"/>
          <w:szCs w:val="21"/>
        </w:rPr>
      </w:pPr>
      <w:r>
        <w:rPr>
          <w:rFonts w:hint="eastAsia" w:ascii="宋体" w:hAnsi="宋体" w:eastAsia="宋体" w:cs="Times New Roman"/>
          <w:b/>
          <w:bCs/>
          <w:color w:val="000000"/>
          <w:sz w:val="21"/>
          <w:szCs w:val="21"/>
        </w:rPr>
        <w:t>表3-1    1950年～1980年期间社会主义国家和资本主义国家的国民生产</w:t>
      </w:r>
    </w:p>
    <w:p w14:paraId="457ABD4A">
      <w:pPr>
        <w:ind w:firstLine="360"/>
        <w:jc w:val="center"/>
        <w:rPr>
          <w:rFonts w:ascii="宋体" w:hAnsi="宋体" w:eastAsia="宋体" w:cs="Times New Roman"/>
          <w:color w:val="000000"/>
          <w:sz w:val="21"/>
          <w:szCs w:val="21"/>
        </w:rPr>
      </w:pPr>
      <w:r>
        <w:rPr>
          <w:rFonts w:hint="eastAsia" w:ascii="宋体" w:hAnsi="宋体" w:eastAsia="宋体" w:cs="Times New Roman"/>
          <w:b/>
          <w:bCs/>
          <w:color w:val="000000"/>
          <w:sz w:val="21"/>
          <w:szCs w:val="21"/>
        </w:rPr>
        <w:t>总值和人均国民生产总值的平均年增长</w:t>
      </w:r>
      <w:r>
        <w:rPr>
          <w:rFonts w:hint="eastAsia" w:ascii="宋体" w:hAnsi="宋体" w:eastAsia="宋体" w:cs="Times New Roman"/>
          <w:color w:val="000000"/>
          <w:sz w:val="21"/>
          <w:szCs w:val="21"/>
        </w:rPr>
        <w:t>（括号内为人均数值）</w:t>
      </w:r>
    </w:p>
    <w:p w14:paraId="30E190E4">
      <w:pPr>
        <w:ind w:firstLine="360"/>
        <w:rPr>
          <w:rFonts w:ascii="宋体" w:hAnsi="宋体" w:eastAsia="宋体" w:cs="Times New Roman"/>
          <w:color w:val="000000"/>
          <w:sz w:val="21"/>
          <w:szCs w:val="21"/>
        </w:rPr>
      </w:pPr>
    </w:p>
    <w:tbl>
      <w:tblPr>
        <w:tblStyle w:val="17"/>
        <w:tblW w:w="0" w:type="auto"/>
        <w:tblInd w:w="0" w:type="dxa"/>
        <w:tblLayout w:type="fixed"/>
        <w:tblCellMar>
          <w:top w:w="0" w:type="dxa"/>
          <w:left w:w="0" w:type="dxa"/>
          <w:bottom w:w="0" w:type="dxa"/>
          <w:right w:w="0" w:type="dxa"/>
        </w:tblCellMar>
      </w:tblPr>
      <w:tblGrid>
        <w:gridCol w:w="640"/>
        <w:gridCol w:w="1860"/>
        <w:gridCol w:w="1400"/>
        <w:gridCol w:w="1400"/>
        <w:gridCol w:w="1400"/>
        <w:gridCol w:w="1400"/>
        <w:gridCol w:w="1400"/>
      </w:tblGrid>
      <w:tr w14:paraId="228E07DD">
        <w:trPr>
          <w:trHeight w:val="315" w:hRule="atLeast"/>
        </w:trPr>
        <w:tc>
          <w:tcPr>
            <w:tcW w:w="640" w:type="dxa"/>
            <w:tcBorders>
              <w:top w:val="single" w:color="auto" w:sz="8" w:space="0"/>
              <w:left w:val="nil"/>
              <w:bottom w:val="single" w:color="auto" w:sz="4" w:space="0"/>
              <w:right w:val="nil"/>
            </w:tcBorders>
            <w:tcMar>
              <w:top w:w="15" w:type="dxa"/>
              <w:left w:w="15" w:type="dxa"/>
              <w:bottom w:w="0" w:type="dxa"/>
              <w:right w:w="15" w:type="dxa"/>
            </w:tcMar>
            <w:vAlign w:val="center"/>
          </w:tcPr>
          <w:p w14:paraId="6B716E23">
            <w:pPr>
              <w:ind w:firstLine="360"/>
              <w:jc w:val="center"/>
              <w:rPr>
                <w:rFonts w:ascii="宋体" w:hAnsi="宋体" w:eastAsia="宋体" w:cs="Arial Unicode MS"/>
                <w:color w:val="000000"/>
                <w:sz w:val="21"/>
                <w:szCs w:val="21"/>
              </w:rPr>
            </w:pPr>
          </w:p>
        </w:tc>
        <w:tc>
          <w:tcPr>
            <w:tcW w:w="1860" w:type="dxa"/>
            <w:tcBorders>
              <w:top w:val="single" w:color="auto" w:sz="8" w:space="0"/>
              <w:left w:val="single" w:color="auto" w:sz="4" w:space="0"/>
              <w:bottom w:val="single" w:color="auto" w:sz="4" w:space="0"/>
              <w:right w:val="single" w:color="auto" w:sz="4" w:space="0"/>
            </w:tcBorders>
            <w:tcMar>
              <w:top w:w="15" w:type="dxa"/>
              <w:left w:w="15" w:type="dxa"/>
              <w:bottom w:w="0" w:type="dxa"/>
              <w:right w:w="15" w:type="dxa"/>
            </w:tcMar>
            <w:vAlign w:val="center"/>
          </w:tcPr>
          <w:p w14:paraId="4EE7C782">
            <w:pPr>
              <w:ind w:firstLine="360"/>
              <w:jc w:val="center"/>
              <w:rPr>
                <w:rFonts w:ascii="宋体" w:hAnsi="宋体" w:eastAsia="宋体" w:cs="Arial Unicode MS"/>
                <w:color w:val="000000"/>
                <w:sz w:val="21"/>
                <w:szCs w:val="21"/>
              </w:rPr>
            </w:pPr>
          </w:p>
        </w:tc>
        <w:tc>
          <w:tcPr>
            <w:tcW w:w="1400" w:type="dxa"/>
            <w:tcBorders>
              <w:top w:val="single" w:color="auto" w:sz="8" w:space="0"/>
              <w:left w:val="nil"/>
              <w:bottom w:val="single" w:color="auto" w:sz="4" w:space="0"/>
              <w:right w:val="nil"/>
            </w:tcBorders>
            <w:tcMar>
              <w:top w:w="15" w:type="dxa"/>
              <w:left w:w="15" w:type="dxa"/>
              <w:bottom w:w="0" w:type="dxa"/>
              <w:right w:w="15" w:type="dxa"/>
            </w:tcMar>
            <w:vAlign w:val="center"/>
          </w:tcPr>
          <w:p w14:paraId="13A50778">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1950</w:t>
            </w:r>
            <w:r>
              <w:rPr>
                <w:rFonts w:hint="eastAsia" w:ascii="宋体" w:hAnsi="宋体" w:eastAsia="宋体" w:cs="Times New Roman"/>
                <w:color w:val="000000"/>
                <w:sz w:val="21"/>
                <w:szCs w:val="21"/>
              </w:rPr>
              <w:t>～</w:t>
            </w:r>
            <w:r>
              <w:rPr>
                <w:rFonts w:ascii="宋体" w:hAnsi="宋体" w:eastAsia="宋体" w:cs="Times New Roman"/>
                <w:color w:val="000000"/>
                <w:sz w:val="21"/>
                <w:szCs w:val="21"/>
              </w:rPr>
              <w:t>1960</w:t>
            </w:r>
          </w:p>
        </w:tc>
        <w:tc>
          <w:tcPr>
            <w:tcW w:w="1400" w:type="dxa"/>
            <w:tcBorders>
              <w:top w:val="single" w:color="auto" w:sz="8" w:space="0"/>
              <w:left w:val="nil"/>
              <w:bottom w:val="single" w:color="auto" w:sz="4" w:space="0"/>
              <w:right w:val="nil"/>
            </w:tcBorders>
            <w:tcMar>
              <w:top w:w="15" w:type="dxa"/>
              <w:left w:w="15" w:type="dxa"/>
              <w:bottom w:w="0" w:type="dxa"/>
              <w:right w:w="15" w:type="dxa"/>
            </w:tcMar>
            <w:vAlign w:val="center"/>
          </w:tcPr>
          <w:p w14:paraId="36136561">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1960</w:t>
            </w:r>
            <w:r>
              <w:rPr>
                <w:rFonts w:hint="eastAsia" w:ascii="宋体" w:hAnsi="宋体" w:eastAsia="宋体" w:cs="Times New Roman"/>
                <w:color w:val="000000"/>
                <w:sz w:val="21"/>
                <w:szCs w:val="21"/>
              </w:rPr>
              <w:t>～</w:t>
            </w:r>
            <w:r>
              <w:rPr>
                <w:rFonts w:ascii="宋体" w:hAnsi="宋体" w:eastAsia="宋体" w:cs="Times New Roman"/>
                <w:color w:val="000000"/>
                <w:sz w:val="21"/>
                <w:szCs w:val="21"/>
              </w:rPr>
              <w:t>1965</w:t>
            </w:r>
          </w:p>
        </w:tc>
        <w:tc>
          <w:tcPr>
            <w:tcW w:w="1400" w:type="dxa"/>
            <w:tcBorders>
              <w:top w:val="single" w:color="auto" w:sz="8" w:space="0"/>
              <w:left w:val="nil"/>
              <w:bottom w:val="single" w:color="auto" w:sz="4" w:space="0"/>
              <w:right w:val="nil"/>
            </w:tcBorders>
            <w:tcMar>
              <w:top w:w="15" w:type="dxa"/>
              <w:left w:w="15" w:type="dxa"/>
              <w:bottom w:w="0" w:type="dxa"/>
              <w:right w:w="15" w:type="dxa"/>
            </w:tcMar>
            <w:vAlign w:val="center"/>
          </w:tcPr>
          <w:p w14:paraId="05638AC0">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1965</w:t>
            </w:r>
            <w:r>
              <w:rPr>
                <w:rFonts w:hint="eastAsia" w:ascii="宋体" w:hAnsi="宋体" w:eastAsia="宋体" w:cs="Times New Roman"/>
                <w:color w:val="000000"/>
                <w:sz w:val="21"/>
                <w:szCs w:val="21"/>
              </w:rPr>
              <w:t>～</w:t>
            </w:r>
            <w:r>
              <w:rPr>
                <w:rFonts w:ascii="宋体" w:hAnsi="宋体" w:eastAsia="宋体" w:cs="Times New Roman"/>
                <w:color w:val="000000"/>
                <w:sz w:val="21"/>
                <w:szCs w:val="21"/>
              </w:rPr>
              <w:t>1970</w:t>
            </w:r>
          </w:p>
        </w:tc>
        <w:tc>
          <w:tcPr>
            <w:tcW w:w="1400" w:type="dxa"/>
            <w:tcBorders>
              <w:top w:val="single" w:color="auto" w:sz="8" w:space="0"/>
              <w:left w:val="nil"/>
              <w:bottom w:val="single" w:color="auto" w:sz="4" w:space="0"/>
              <w:right w:val="nil"/>
            </w:tcBorders>
            <w:tcMar>
              <w:top w:w="15" w:type="dxa"/>
              <w:left w:w="15" w:type="dxa"/>
              <w:bottom w:w="0" w:type="dxa"/>
              <w:right w:w="15" w:type="dxa"/>
            </w:tcMar>
            <w:vAlign w:val="center"/>
          </w:tcPr>
          <w:p w14:paraId="42F4EC16">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1970</w:t>
            </w:r>
            <w:r>
              <w:rPr>
                <w:rFonts w:hint="eastAsia" w:ascii="宋体" w:hAnsi="宋体" w:eastAsia="宋体" w:cs="Times New Roman"/>
                <w:color w:val="000000"/>
                <w:sz w:val="21"/>
                <w:szCs w:val="21"/>
              </w:rPr>
              <w:t>～</w:t>
            </w:r>
            <w:r>
              <w:rPr>
                <w:rFonts w:ascii="宋体" w:hAnsi="宋体" w:eastAsia="宋体" w:cs="Times New Roman"/>
                <w:color w:val="000000"/>
                <w:sz w:val="21"/>
                <w:szCs w:val="21"/>
              </w:rPr>
              <w:t>1975</w:t>
            </w:r>
          </w:p>
        </w:tc>
        <w:tc>
          <w:tcPr>
            <w:tcW w:w="1400" w:type="dxa"/>
            <w:tcBorders>
              <w:top w:val="single" w:color="auto" w:sz="8" w:space="0"/>
              <w:left w:val="nil"/>
              <w:bottom w:val="single" w:color="auto" w:sz="4" w:space="0"/>
              <w:right w:val="nil"/>
            </w:tcBorders>
            <w:tcMar>
              <w:top w:w="15" w:type="dxa"/>
              <w:left w:w="15" w:type="dxa"/>
              <w:bottom w:w="0" w:type="dxa"/>
              <w:right w:w="15" w:type="dxa"/>
            </w:tcMar>
            <w:vAlign w:val="center"/>
          </w:tcPr>
          <w:p w14:paraId="29CC52B5">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1975</w:t>
            </w:r>
            <w:r>
              <w:rPr>
                <w:rFonts w:hint="eastAsia" w:ascii="宋体" w:hAnsi="宋体" w:eastAsia="宋体" w:cs="Times New Roman"/>
                <w:color w:val="000000"/>
                <w:sz w:val="21"/>
                <w:szCs w:val="21"/>
              </w:rPr>
              <w:t>～</w:t>
            </w:r>
            <w:r>
              <w:rPr>
                <w:rFonts w:ascii="宋体" w:hAnsi="宋体" w:eastAsia="宋体" w:cs="Times New Roman"/>
                <w:color w:val="000000"/>
                <w:sz w:val="21"/>
                <w:szCs w:val="21"/>
              </w:rPr>
              <w:t>1980</w:t>
            </w:r>
          </w:p>
        </w:tc>
      </w:tr>
      <w:tr w14:paraId="37B4DEAB">
        <w:trPr>
          <w:cantSplit/>
          <w:trHeight w:val="315" w:hRule="atLeast"/>
        </w:trPr>
        <w:tc>
          <w:tcPr>
            <w:tcW w:w="640" w:type="dxa"/>
            <w:vMerge w:val="restart"/>
            <w:tcBorders>
              <w:top w:val="nil"/>
              <w:left w:val="nil"/>
              <w:bottom w:val="single" w:color="000000" w:sz="4" w:space="0"/>
              <w:right w:val="single" w:color="auto" w:sz="4" w:space="0"/>
            </w:tcBorders>
            <w:tcMar>
              <w:top w:w="15" w:type="dxa"/>
              <w:left w:w="15" w:type="dxa"/>
              <w:bottom w:w="0" w:type="dxa"/>
              <w:right w:w="15" w:type="dxa"/>
            </w:tcMar>
            <w:textDirection w:val="tbRlV"/>
            <w:vAlign w:val="center"/>
          </w:tcPr>
          <w:p w14:paraId="6456926F">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计划社会主义国家</w:t>
            </w:r>
          </w:p>
        </w:tc>
        <w:tc>
          <w:tcPr>
            <w:tcW w:w="1860" w:type="dxa"/>
            <w:tcBorders>
              <w:top w:val="nil"/>
              <w:left w:val="nil"/>
              <w:bottom w:val="nil"/>
              <w:right w:val="single" w:color="auto" w:sz="4" w:space="0"/>
            </w:tcBorders>
            <w:tcMar>
              <w:top w:w="15" w:type="dxa"/>
              <w:left w:w="15" w:type="dxa"/>
              <w:bottom w:w="0" w:type="dxa"/>
              <w:right w:w="15" w:type="dxa"/>
            </w:tcMar>
            <w:vAlign w:val="center"/>
          </w:tcPr>
          <w:p w14:paraId="0BE2E848">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捷克斯洛伐克</w:t>
            </w:r>
          </w:p>
        </w:tc>
        <w:tc>
          <w:tcPr>
            <w:tcW w:w="1400" w:type="dxa"/>
            <w:tcBorders>
              <w:top w:val="nil"/>
              <w:left w:val="nil"/>
              <w:bottom w:val="nil"/>
              <w:right w:val="nil"/>
            </w:tcBorders>
            <w:tcMar>
              <w:top w:w="15" w:type="dxa"/>
              <w:left w:w="15" w:type="dxa"/>
              <w:bottom w:w="0" w:type="dxa"/>
              <w:right w:w="15" w:type="dxa"/>
            </w:tcMar>
            <w:vAlign w:val="center"/>
          </w:tcPr>
          <w:p w14:paraId="30AE59BC">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4.8(3.9)</w:t>
            </w:r>
          </w:p>
        </w:tc>
        <w:tc>
          <w:tcPr>
            <w:tcW w:w="1400" w:type="dxa"/>
            <w:tcBorders>
              <w:top w:val="nil"/>
              <w:left w:val="nil"/>
              <w:bottom w:val="nil"/>
              <w:right w:val="nil"/>
            </w:tcBorders>
            <w:tcMar>
              <w:top w:w="15" w:type="dxa"/>
              <w:left w:w="15" w:type="dxa"/>
              <w:bottom w:w="0" w:type="dxa"/>
              <w:right w:w="15" w:type="dxa"/>
            </w:tcMar>
            <w:vAlign w:val="center"/>
          </w:tcPr>
          <w:p w14:paraId="0EF86147">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2.3(1.6)</w:t>
            </w:r>
          </w:p>
        </w:tc>
        <w:tc>
          <w:tcPr>
            <w:tcW w:w="1400" w:type="dxa"/>
            <w:tcBorders>
              <w:top w:val="nil"/>
              <w:left w:val="nil"/>
              <w:bottom w:val="nil"/>
              <w:right w:val="nil"/>
            </w:tcBorders>
            <w:tcMar>
              <w:top w:w="15" w:type="dxa"/>
              <w:left w:w="15" w:type="dxa"/>
              <w:bottom w:w="0" w:type="dxa"/>
              <w:right w:w="15" w:type="dxa"/>
            </w:tcMar>
            <w:vAlign w:val="center"/>
          </w:tcPr>
          <w:p w14:paraId="1BBDC392">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3.4(3.2)</w:t>
            </w:r>
          </w:p>
        </w:tc>
        <w:tc>
          <w:tcPr>
            <w:tcW w:w="1400" w:type="dxa"/>
            <w:tcBorders>
              <w:top w:val="nil"/>
              <w:left w:val="nil"/>
              <w:bottom w:val="nil"/>
              <w:right w:val="nil"/>
            </w:tcBorders>
            <w:tcMar>
              <w:top w:w="15" w:type="dxa"/>
              <w:left w:w="15" w:type="dxa"/>
              <w:bottom w:w="0" w:type="dxa"/>
              <w:right w:w="15" w:type="dxa"/>
            </w:tcMar>
            <w:vAlign w:val="center"/>
          </w:tcPr>
          <w:p w14:paraId="5AB1EDEF">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3.4(2.7)</w:t>
            </w:r>
          </w:p>
        </w:tc>
        <w:tc>
          <w:tcPr>
            <w:tcW w:w="1400" w:type="dxa"/>
            <w:tcBorders>
              <w:top w:val="nil"/>
              <w:left w:val="nil"/>
              <w:bottom w:val="nil"/>
              <w:right w:val="nil"/>
            </w:tcBorders>
            <w:tcMar>
              <w:top w:w="15" w:type="dxa"/>
              <w:left w:w="15" w:type="dxa"/>
              <w:bottom w:w="0" w:type="dxa"/>
              <w:right w:w="15" w:type="dxa"/>
            </w:tcMar>
            <w:vAlign w:val="center"/>
          </w:tcPr>
          <w:p w14:paraId="64BFBC66">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2.2(1.5)</w:t>
            </w:r>
          </w:p>
        </w:tc>
      </w:tr>
      <w:tr w14:paraId="5BCB22CD">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56771721">
            <w:pPr>
              <w:ind w:firstLine="360"/>
              <w:jc w:val="center"/>
              <w:rPr>
                <w:rFonts w:ascii="宋体" w:hAnsi="宋体" w:eastAsia="宋体" w:cs="Arial Unicode MS"/>
                <w:color w:val="000000"/>
                <w:sz w:val="21"/>
                <w:szCs w:val="21"/>
              </w:rPr>
            </w:pPr>
          </w:p>
        </w:tc>
        <w:tc>
          <w:tcPr>
            <w:tcW w:w="1860" w:type="dxa"/>
            <w:tcBorders>
              <w:top w:val="nil"/>
              <w:left w:val="nil"/>
              <w:bottom w:val="nil"/>
              <w:right w:val="single" w:color="auto" w:sz="4" w:space="0"/>
            </w:tcBorders>
            <w:tcMar>
              <w:top w:w="15" w:type="dxa"/>
              <w:left w:w="15" w:type="dxa"/>
              <w:bottom w:w="0" w:type="dxa"/>
              <w:right w:w="15" w:type="dxa"/>
            </w:tcMar>
            <w:vAlign w:val="center"/>
          </w:tcPr>
          <w:p w14:paraId="12C18F21">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民主德国</w:t>
            </w:r>
          </w:p>
        </w:tc>
        <w:tc>
          <w:tcPr>
            <w:tcW w:w="1400" w:type="dxa"/>
            <w:tcBorders>
              <w:top w:val="nil"/>
              <w:left w:val="nil"/>
              <w:bottom w:val="nil"/>
              <w:right w:val="nil"/>
            </w:tcBorders>
            <w:tcMar>
              <w:top w:w="15" w:type="dxa"/>
              <w:left w:w="15" w:type="dxa"/>
              <w:bottom w:w="0" w:type="dxa"/>
              <w:right w:w="15" w:type="dxa"/>
            </w:tcMar>
            <w:vAlign w:val="center"/>
          </w:tcPr>
          <w:p w14:paraId="53807E64">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5.7(6.7)</w:t>
            </w:r>
          </w:p>
        </w:tc>
        <w:tc>
          <w:tcPr>
            <w:tcW w:w="1400" w:type="dxa"/>
            <w:tcBorders>
              <w:top w:val="nil"/>
              <w:left w:val="nil"/>
              <w:bottom w:val="nil"/>
              <w:right w:val="nil"/>
            </w:tcBorders>
            <w:tcMar>
              <w:top w:w="15" w:type="dxa"/>
              <w:left w:w="15" w:type="dxa"/>
              <w:bottom w:w="0" w:type="dxa"/>
              <w:right w:w="15" w:type="dxa"/>
            </w:tcMar>
            <w:vAlign w:val="center"/>
          </w:tcPr>
          <w:p w14:paraId="5ECFC1A4">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2.7(3.0)</w:t>
            </w:r>
          </w:p>
        </w:tc>
        <w:tc>
          <w:tcPr>
            <w:tcW w:w="1400" w:type="dxa"/>
            <w:tcBorders>
              <w:top w:val="nil"/>
              <w:left w:val="nil"/>
              <w:bottom w:val="nil"/>
              <w:right w:val="nil"/>
            </w:tcBorders>
            <w:tcMar>
              <w:top w:w="15" w:type="dxa"/>
              <w:left w:w="15" w:type="dxa"/>
              <w:bottom w:w="0" w:type="dxa"/>
              <w:right w:w="15" w:type="dxa"/>
            </w:tcMar>
            <w:vAlign w:val="center"/>
          </w:tcPr>
          <w:p w14:paraId="3E8B58F0">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3.0(3.1)</w:t>
            </w:r>
          </w:p>
        </w:tc>
        <w:tc>
          <w:tcPr>
            <w:tcW w:w="1400" w:type="dxa"/>
            <w:tcBorders>
              <w:top w:val="nil"/>
              <w:left w:val="nil"/>
              <w:bottom w:val="nil"/>
              <w:right w:val="nil"/>
            </w:tcBorders>
            <w:tcMar>
              <w:top w:w="15" w:type="dxa"/>
              <w:left w:w="15" w:type="dxa"/>
              <w:bottom w:w="0" w:type="dxa"/>
              <w:right w:w="15" w:type="dxa"/>
            </w:tcMar>
            <w:vAlign w:val="center"/>
          </w:tcPr>
          <w:p w14:paraId="25700047">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3.4(3.8)</w:t>
            </w:r>
          </w:p>
        </w:tc>
        <w:tc>
          <w:tcPr>
            <w:tcW w:w="1400" w:type="dxa"/>
            <w:tcBorders>
              <w:top w:val="nil"/>
              <w:left w:val="nil"/>
              <w:bottom w:val="nil"/>
              <w:right w:val="nil"/>
            </w:tcBorders>
            <w:tcMar>
              <w:top w:w="15" w:type="dxa"/>
              <w:left w:w="15" w:type="dxa"/>
              <w:bottom w:w="0" w:type="dxa"/>
              <w:right w:w="15" w:type="dxa"/>
            </w:tcMar>
            <w:vAlign w:val="center"/>
          </w:tcPr>
          <w:p w14:paraId="6E5C2F3C">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2.3(2.5)</w:t>
            </w:r>
          </w:p>
        </w:tc>
      </w:tr>
      <w:tr w14:paraId="43D0659B">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04526939">
            <w:pPr>
              <w:ind w:firstLine="360"/>
              <w:jc w:val="center"/>
              <w:rPr>
                <w:rFonts w:ascii="宋体" w:hAnsi="宋体" w:eastAsia="宋体" w:cs="Arial Unicode MS"/>
                <w:color w:val="000000"/>
                <w:sz w:val="21"/>
                <w:szCs w:val="21"/>
              </w:rPr>
            </w:pPr>
          </w:p>
        </w:tc>
        <w:tc>
          <w:tcPr>
            <w:tcW w:w="1860" w:type="dxa"/>
            <w:tcBorders>
              <w:top w:val="nil"/>
              <w:left w:val="nil"/>
              <w:bottom w:val="nil"/>
              <w:right w:val="single" w:color="auto" w:sz="4" w:space="0"/>
            </w:tcBorders>
            <w:tcMar>
              <w:top w:w="15" w:type="dxa"/>
              <w:left w:w="15" w:type="dxa"/>
              <w:bottom w:w="0" w:type="dxa"/>
              <w:right w:w="15" w:type="dxa"/>
            </w:tcMar>
            <w:vAlign w:val="center"/>
          </w:tcPr>
          <w:p w14:paraId="4E44376A">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苏</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联</w:t>
            </w:r>
          </w:p>
        </w:tc>
        <w:tc>
          <w:tcPr>
            <w:tcW w:w="1400" w:type="dxa"/>
            <w:tcBorders>
              <w:top w:val="nil"/>
              <w:left w:val="nil"/>
              <w:bottom w:val="nil"/>
              <w:right w:val="nil"/>
            </w:tcBorders>
            <w:tcMar>
              <w:top w:w="15" w:type="dxa"/>
              <w:left w:w="15" w:type="dxa"/>
              <w:bottom w:w="0" w:type="dxa"/>
              <w:right w:w="15" w:type="dxa"/>
            </w:tcMar>
            <w:vAlign w:val="center"/>
          </w:tcPr>
          <w:p w14:paraId="5CA95650">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5.7(3.9)</w:t>
            </w:r>
          </w:p>
        </w:tc>
        <w:tc>
          <w:tcPr>
            <w:tcW w:w="1400" w:type="dxa"/>
            <w:tcBorders>
              <w:top w:val="nil"/>
              <w:left w:val="nil"/>
              <w:bottom w:val="nil"/>
              <w:right w:val="nil"/>
            </w:tcBorders>
            <w:tcMar>
              <w:top w:w="15" w:type="dxa"/>
              <w:left w:w="15" w:type="dxa"/>
              <w:bottom w:w="0" w:type="dxa"/>
              <w:right w:w="15" w:type="dxa"/>
            </w:tcMar>
            <w:vAlign w:val="center"/>
          </w:tcPr>
          <w:p w14:paraId="7017F961">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5.0(3.5)</w:t>
            </w:r>
          </w:p>
        </w:tc>
        <w:tc>
          <w:tcPr>
            <w:tcW w:w="1400" w:type="dxa"/>
            <w:tcBorders>
              <w:top w:val="nil"/>
              <w:left w:val="nil"/>
              <w:bottom w:val="nil"/>
              <w:right w:val="nil"/>
            </w:tcBorders>
            <w:tcMar>
              <w:top w:w="15" w:type="dxa"/>
              <w:left w:w="15" w:type="dxa"/>
              <w:bottom w:w="0" w:type="dxa"/>
              <w:right w:w="15" w:type="dxa"/>
            </w:tcMar>
            <w:vAlign w:val="center"/>
          </w:tcPr>
          <w:p w14:paraId="176570C8">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5.2(4.2)</w:t>
            </w:r>
          </w:p>
        </w:tc>
        <w:tc>
          <w:tcPr>
            <w:tcW w:w="1400" w:type="dxa"/>
            <w:tcBorders>
              <w:top w:val="nil"/>
              <w:left w:val="nil"/>
              <w:bottom w:val="nil"/>
              <w:right w:val="nil"/>
            </w:tcBorders>
            <w:tcMar>
              <w:top w:w="15" w:type="dxa"/>
              <w:left w:w="15" w:type="dxa"/>
              <w:bottom w:w="0" w:type="dxa"/>
              <w:right w:w="15" w:type="dxa"/>
            </w:tcMar>
            <w:vAlign w:val="center"/>
          </w:tcPr>
          <w:p w14:paraId="7C825782">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3.7(2.7)</w:t>
            </w:r>
          </w:p>
        </w:tc>
        <w:tc>
          <w:tcPr>
            <w:tcW w:w="1400" w:type="dxa"/>
            <w:tcBorders>
              <w:top w:val="nil"/>
              <w:left w:val="nil"/>
              <w:bottom w:val="nil"/>
              <w:right w:val="nil"/>
            </w:tcBorders>
            <w:tcMar>
              <w:top w:w="15" w:type="dxa"/>
              <w:left w:w="15" w:type="dxa"/>
              <w:bottom w:w="0" w:type="dxa"/>
              <w:right w:w="15" w:type="dxa"/>
            </w:tcMar>
            <w:vAlign w:val="center"/>
          </w:tcPr>
          <w:p w14:paraId="13C03EC8">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2.7(1.8)</w:t>
            </w:r>
          </w:p>
        </w:tc>
      </w:tr>
      <w:tr w14:paraId="5EBEA08B">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6B68CBA2">
            <w:pPr>
              <w:ind w:firstLine="360"/>
              <w:jc w:val="center"/>
              <w:rPr>
                <w:rFonts w:ascii="宋体" w:hAnsi="宋体" w:eastAsia="宋体" w:cs="Arial Unicode MS"/>
                <w:color w:val="000000"/>
                <w:sz w:val="21"/>
                <w:szCs w:val="21"/>
              </w:rPr>
            </w:pPr>
          </w:p>
        </w:tc>
        <w:tc>
          <w:tcPr>
            <w:tcW w:w="1860" w:type="dxa"/>
            <w:tcBorders>
              <w:top w:val="nil"/>
              <w:left w:val="nil"/>
              <w:bottom w:val="nil"/>
              <w:right w:val="single" w:color="auto" w:sz="4" w:space="0"/>
            </w:tcBorders>
            <w:tcMar>
              <w:top w:w="15" w:type="dxa"/>
              <w:left w:w="15" w:type="dxa"/>
              <w:bottom w:w="0" w:type="dxa"/>
              <w:right w:w="15" w:type="dxa"/>
            </w:tcMar>
            <w:vAlign w:val="center"/>
          </w:tcPr>
          <w:p w14:paraId="4C964343">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波</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兰</w:t>
            </w:r>
          </w:p>
        </w:tc>
        <w:tc>
          <w:tcPr>
            <w:tcW w:w="1400" w:type="dxa"/>
            <w:tcBorders>
              <w:top w:val="nil"/>
              <w:left w:val="nil"/>
              <w:bottom w:val="nil"/>
              <w:right w:val="nil"/>
            </w:tcBorders>
            <w:tcMar>
              <w:top w:w="15" w:type="dxa"/>
              <w:left w:w="15" w:type="dxa"/>
              <w:bottom w:w="0" w:type="dxa"/>
              <w:right w:w="15" w:type="dxa"/>
            </w:tcMar>
            <w:vAlign w:val="center"/>
          </w:tcPr>
          <w:p w14:paraId="56BC477C">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4.6(2.75)</w:t>
            </w:r>
          </w:p>
        </w:tc>
        <w:tc>
          <w:tcPr>
            <w:tcW w:w="1400" w:type="dxa"/>
            <w:tcBorders>
              <w:top w:val="nil"/>
              <w:left w:val="nil"/>
              <w:bottom w:val="nil"/>
              <w:right w:val="nil"/>
            </w:tcBorders>
            <w:tcMar>
              <w:top w:w="15" w:type="dxa"/>
              <w:left w:w="15" w:type="dxa"/>
              <w:bottom w:w="0" w:type="dxa"/>
              <w:right w:w="15" w:type="dxa"/>
            </w:tcMar>
            <w:vAlign w:val="center"/>
          </w:tcPr>
          <w:p w14:paraId="79FB3D4A">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4.4(3.2)</w:t>
            </w:r>
          </w:p>
        </w:tc>
        <w:tc>
          <w:tcPr>
            <w:tcW w:w="1400" w:type="dxa"/>
            <w:tcBorders>
              <w:top w:val="nil"/>
              <w:left w:val="nil"/>
              <w:bottom w:val="nil"/>
              <w:right w:val="nil"/>
            </w:tcBorders>
            <w:tcMar>
              <w:top w:w="15" w:type="dxa"/>
              <w:left w:w="15" w:type="dxa"/>
              <w:bottom w:w="0" w:type="dxa"/>
              <w:right w:w="15" w:type="dxa"/>
            </w:tcMar>
            <w:vAlign w:val="center"/>
          </w:tcPr>
          <w:p w14:paraId="56AB63C8">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4.1(3.4)</w:t>
            </w:r>
          </w:p>
        </w:tc>
        <w:tc>
          <w:tcPr>
            <w:tcW w:w="1400" w:type="dxa"/>
            <w:tcBorders>
              <w:top w:val="nil"/>
              <w:left w:val="nil"/>
              <w:bottom w:val="nil"/>
              <w:right w:val="nil"/>
            </w:tcBorders>
            <w:tcMar>
              <w:top w:w="15" w:type="dxa"/>
              <w:left w:w="15" w:type="dxa"/>
              <w:bottom w:w="0" w:type="dxa"/>
              <w:right w:w="15" w:type="dxa"/>
            </w:tcMar>
            <w:vAlign w:val="center"/>
          </w:tcPr>
          <w:p w14:paraId="0D59871B">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6.4(5.4)</w:t>
            </w:r>
          </w:p>
        </w:tc>
        <w:tc>
          <w:tcPr>
            <w:tcW w:w="1400" w:type="dxa"/>
            <w:tcBorders>
              <w:top w:val="nil"/>
              <w:left w:val="nil"/>
              <w:bottom w:val="nil"/>
              <w:right w:val="nil"/>
            </w:tcBorders>
            <w:tcMar>
              <w:top w:w="15" w:type="dxa"/>
              <w:left w:w="15" w:type="dxa"/>
              <w:bottom w:w="0" w:type="dxa"/>
              <w:right w:w="15" w:type="dxa"/>
            </w:tcMar>
            <w:vAlign w:val="center"/>
          </w:tcPr>
          <w:p w14:paraId="2EA0596D">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0.7(0)</w:t>
            </w:r>
          </w:p>
        </w:tc>
      </w:tr>
      <w:tr w14:paraId="67F3410C">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2A93B4FD">
            <w:pPr>
              <w:ind w:firstLine="360"/>
              <w:jc w:val="center"/>
              <w:rPr>
                <w:rFonts w:ascii="宋体" w:hAnsi="宋体" w:eastAsia="宋体" w:cs="Arial Unicode MS"/>
                <w:color w:val="000000"/>
                <w:sz w:val="21"/>
                <w:szCs w:val="21"/>
              </w:rPr>
            </w:pPr>
          </w:p>
        </w:tc>
        <w:tc>
          <w:tcPr>
            <w:tcW w:w="1860" w:type="dxa"/>
            <w:tcBorders>
              <w:top w:val="nil"/>
              <w:left w:val="nil"/>
              <w:bottom w:val="nil"/>
              <w:right w:val="single" w:color="auto" w:sz="4" w:space="0"/>
            </w:tcBorders>
            <w:tcMar>
              <w:top w:w="15" w:type="dxa"/>
              <w:left w:w="15" w:type="dxa"/>
              <w:bottom w:w="0" w:type="dxa"/>
              <w:right w:w="15" w:type="dxa"/>
            </w:tcMar>
            <w:vAlign w:val="center"/>
          </w:tcPr>
          <w:p w14:paraId="22CABB20">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匈</w:t>
            </w:r>
            <w:r>
              <w:rPr>
                <w:rFonts w:ascii="宋体" w:hAnsi="宋体" w:eastAsia="宋体" w:cs="Times New Roman"/>
                <w:color w:val="000000"/>
                <w:sz w:val="21"/>
                <w:szCs w:val="21"/>
              </w:rPr>
              <w:t xml:space="preserve"> 牙 利</w:t>
            </w:r>
          </w:p>
        </w:tc>
        <w:tc>
          <w:tcPr>
            <w:tcW w:w="1400" w:type="dxa"/>
            <w:tcBorders>
              <w:top w:val="nil"/>
              <w:left w:val="nil"/>
              <w:bottom w:val="nil"/>
              <w:right w:val="nil"/>
            </w:tcBorders>
            <w:tcMar>
              <w:top w:w="15" w:type="dxa"/>
              <w:left w:w="15" w:type="dxa"/>
              <w:bottom w:w="0" w:type="dxa"/>
              <w:right w:w="15" w:type="dxa"/>
            </w:tcMar>
            <w:vAlign w:val="center"/>
          </w:tcPr>
          <w:p w14:paraId="0AEB623A">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4.6(4.0)</w:t>
            </w:r>
          </w:p>
        </w:tc>
        <w:tc>
          <w:tcPr>
            <w:tcW w:w="1400" w:type="dxa"/>
            <w:tcBorders>
              <w:top w:val="nil"/>
              <w:left w:val="nil"/>
              <w:bottom w:val="nil"/>
              <w:right w:val="nil"/>
            </w:tcBorders>
            <w:tcMar>
              <w:top w:w="15" w:type="dxa"/>
              <w:left w:w="15" w:type="dxa"/>
              <w:bottom w:w="0" w:type="dxa"/>
              <w:right w:w="15" w:type="dxa"/>
            </w:tcMar>
            <w:vAlign w:val="center"/>
          </w:tcPr>
          <w:p w14:paraId="2BE07827">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4.2(3.9)</w:t>
            </w:r>
          </w:p>
        </w:tc>
        <w:tc>
          <w:tcPr>
            <w:tcW w:w="1400" w:type="dxa"/>
            <w:tcBorders>
              <w:top w:val="nil"/>
              <w:left w:val="nil"/>
              <w:bottom w:val="nil"/>
              <w:right w:val="nil"/>
            </w:tcBorders>
            <w:tcMar>
              <w:top w:w="15" w:type="dxa"/>
              <w:left w:w="15" w:type="dxa"/>
              <w:bottom w:w="0" w:type="dxa"/>
              <w:right w:w="15" w:type="dxa"/>
            </w:tcMar>
            <w:vAlign w:val="center"/>
          </w:tcPr>
          <w:p w14:paraId="4AE39F6D">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3.0(2.7)</w:t>
            </w:r>
          </w:p>
        </w:tc>
        <w:tc>
          <w:tcPr>
            <w:tcW w:w="1400" w:type="dxa"/>
            <w:tcBorders>
              <w:top w:val="nil"/>
              <w:left w:val="nil"/>
              <w:bottom w:val="nil"/>
              <w:right w:val="nil"/>
            </w:tcBorders>
            <w:tcMar>
              <w:top w:w="15" w:type="dxa"/>
              <w:left w:w="15" w:type="dxa"/>
              <w:bottom w:w="0" w:type="dxa"/>
              <w:right w:w="15" w:type="dxa"/>
            </w:tcMar>
            <w:vAlign w:val="center"/>
          </w:tcPr>
          <w:p w14:paraId="78051A72">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3.4(2.9)</w:t>
            </w:r>
          </w:p>
        </w:tc>
        <w:tc>
          <w:tcPr>
            <w:tcW w:w="1400" w:type="dxa"/>
            <w:tcBorders>
              <w:top w:val="nil"/>
              <w:left w:val="nil"/>
              <w:bottom w:val="nil"/>
              <w:right w:val="nil"/>
            </w:tcBorders>
            <w:tcMar>
              <w:top w:w="15" w:type="dxa"/>
              <w:left w:w="15" w:type="dxa"/>
              <w:bottom w:w="0" w:type="dxa"/>
              <w:right w:w="15" w:type="dxa"/>
            </w:tcMar>
            <w:vAlign w:val="center"/>
          </w:tcPr>
          <w:p w14:paraId="07A7C13A">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2.0(1.9)</w:t>
            </w:r>
          </w:p>
        </w:tc>
      </w:tr>
      <w:tr w14:paraId="3A4E5D94">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0A283B11">
            <w:pPr>
              <w:ind w:firstLine="360"/>
              <w:jc w:val="center"/>
              <w:rPr>
                <w:rFonts w:ascii="宋体" w:hAnsi="宋体" w:eastAsia="宋体" w:cs="Arial Unicode MS"/>
                <w:color w:val="000000"/>
                <w:sz w:val="21"/>
                <w:szCs w:val="21"/>
              </w:rPr>
            </w:pPr>
          </w:p>
        </w:tc>
        <w:tc>
          <w:tcPr>
            <w:tcW w:w="1860" w:type="dxa"/>
            <w:tcBorders>
              <w:top w:val="nil"/>
              <w:left w:val="nil"/>
              <w:bottom w:val="nil"/>
              <w:right w:val="single" w:color="auto" w:sz="4" w:space="0"/>
            </w:tcBorders>
            <w:tcMar>
              <w:top w:w="15" w:type="dxa"/>
              <w:left w:w="15" w:type="dxa"/>
              <w:bottom w:w="0" w:type="dxa"/>
              <w:right w:w="15" w:type="dxa"/>
            </w:tcMar>
            <w:vAlign w:val="center"/>
          </w:tcPr>
          <w:p w14:paraId="096A9029">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罗马尼亚</w:t>
            </w:r>
          </w:p>
        </w:tc>
        <w:tc>
          <w:tcPr>
            <w:tcW w:w="1400" w:type="dxa"/>
            <w:tcBorders>
              <w:top w:val="nil"/>
              <w:left w:val="nil"/>
              <w:bottom w:val="nil"/>
              <w:right w:val="nil"/>
            </w:tcBorders>
            <w:tcMar>
              <w:top w:w="15" w:type="dxa"/>
              <w:left w:w="15" w:type="dxa"/>
              <w:bottom w:w="0" w:type="dxa"/>
              <w:right w:w="15" w:type="dxa"/>
            </w:tcMar>
            <w:vAlign w:val="center"/>
          </w:tcPr>
          <w:p w14:paraId="78D1F6D5">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5.8(4.55)</w:t>
            </w:r>
          </w:p>
        </w:tc>
        <w:tc>
          <w:tcPr>
            <w:tcW w:w="1400" w:type="dxa"/>
            <w:tcBorders>
              <w:top w:val="nil"/>
              <w:left w:val="nil"/>
              <w:bottom w:val="nil"/>
              <w:right w:val="nil"/>
            </w:tcBorders>
            <w:tcMar>
              <w:top w:w="15" w:type="dxa"/>
              <w:left w:w="15" w:type="dxa"/>
              <w:bottom w:w="0" w:type="dxa"/>
              <w:right w:w="15" w:type="dxa"/>
            </w:tcMar>
            <w:vAlign w:val="center"/>
          </w:tcPr>
          <w:p w14:paraId="2354BF35">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6.0(5.3)</w:t>
            </w:r>
          </w:p>
        </w:tc>
        <w:tc>
          <w:tcPr>
            <w:tcW w:w="1400" w:type="dxa"/>
            <w:tcBorders>
              <w:top w:val="nil"/>
              <w:left w:val="nil"/>
              <w:bottom w:val="nil"/>
              <w:right w:val="nil"/>
            </w:tcBorders>
            <w:tcMar>
              <w:top w:w="15" w:type="dxa"/>
              <w:left w:w="15" w:type="dxa"/>
              <w:bottom w:w="0" w:type="dxa"/>
              <w:right w:w="15" w:type="dxa"/>
            </w:tcMar>
            <w:vAlign w:val="center"/>
          </w:tcPr>
          <w:p w14:paraId="30332E20">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4.9(3.7)</w:t>
            </w:r>
          </w:p>
        </w:tc>
        <w:tc>
          <w:tcPr>
            <w:tcW w:w="1400" w:type="dxa"/>
            <w:tcBorders>
              <w:top w:val="nil"/>
              <w:left w:val="nil"/>
              <w:bottom w:val="nil"/>
              <w:right w:val="nil"/>
            </w:tcBorders>
            <w:tcMar>
              <w:top w:w="15" w:type="dxa"/>
              <w:left w:w="15" w:type="dxa"/>
              <w:bottom w:w="0" w:type="dxa"/>
              <w:right w:w="15" w:type="dxa"/>
            </w:tcMar>
            <w:vAlign w:val="center"/>
          </w:tcPr>
          <w:p w14:paraId="75BFD418">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6.7(5.8)</w:t>
            </w:r>
          </w:p>
        </w:tc>
        <w:tc>
          <w:tcPr>
            <w:tcW w:w="1400" w:type="dxa"/>
            <w:tcBorders>
              <w:top w:val="nil"/>
              <w:left w:val="nil"/>
              <w:bottom w:val="nil"/>
              <w:right w:val="nil"/>
            </w:tcBorders>
            <w:tcMar>
              <w:top w:w="15" w:type="dxa"/>
              <w:left w:w="15" w:type="dxa"/>
              <w:bottom w:w="0" w:type="dxa"/>
              <w:right w:w="15" w:type="dxa"/>
            </w:tcMar>
            <w:vAlign w:val="center"/>
          </w:tcPr>
          <w:p w14:paraId="5F37327D">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3.9(3.0)</w:t>
            </w:r>
          </w:p>
        </w:tc>
      </w:tr>
      <w:tr w14:paraId="5ECDF1C9">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5C90C409">
            <w:pPr>
              <w:ind w:firstLine="360"/>
              <w:jc w:val="center"/>
              <w:rPr>
                <w:rFonts w:ascii="宋体" w:hAnsi="宋体" w:eastAsia="宋体" w:cs="Arial Unicode MS"/>
                <w:color w:val="000000"/>
                <w:sz w:val="21"/>
                <w:szCs w:val="21"/>
              </w:rPr>
            </w:pPr>
          </w:p>
        </w:tc>
        <w:tc>
          <w:tcPr>
            <w:tcW w:w="1860" w:type="dxa"/>
            <w:tcBorders>
              <w:top w:val="nil"/>
              <w:left w:val="nil"/>
              <w:bottom w:val="nil"/>
              <w:right w:val="single" w:color="auto" w:sz="4" w:space="0"/>
            </w:tcBorders>
            <w:tcMar>
              <w:top w:w="15" w:type="dxa"/>
              <w:left w:w="15" w:type="dxa"/>
              <w:bottom w:w="0" w:type="dxa"/>
              <w:right w:w="15" w:type="dxa"/>
            </w:tcMar>
            <w:vAlign w:val="center"/>
          </w:tcPr>
          <w:p w14:paraId="4BAEF15A">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保加利亚</w:t>
            </w:r>
          </w:p>
        </w:tc>
        <w:tc>
          <w:tcPr>
            <w:tcW w:w="1400" w:type="dxa"/>
            <w:tcBorders>
              <w:top w:val="nil"/>
              <w:left w:val="nil"/>
              <w:bottom w:val="nil"/>
              <w:right w:val="nil"/>
            </w:tcBorders>
            <w:tcMar>
              <w:top w:w="15" w:type="dxa"/>
              <w:left w:w="15" w:type="dxa"/>
              <w:bottom w:w="0" w:type="dxa"/>
              <w:right w:w="15" w:type="dxa"/>
            </w:tcMar>
            <w:vAlign w:val="center"/>
          </w:tcPr>
          <w:p w14:paraId="12CD55FF">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6.7(5.9)</w:t>
            </w:r>
          </w:p>
        </w:tc>
        <w:tc>
          <w:tcPr>
            <w:tcW w:w="1400" w:type="dxa"/>
            <w:tcBorders>
              <w:top w:val="nil"/>
              <w:left w:val="nil"/>
              <w:bottom w:val="nil"/>
              <w:right w:val="nil"/>
            </w:tcBorders>
            <w:tcMar>
              <w:top w:w="15" w:type="dxa"/>
              <w:left w:w="15" w:type="dxa"/>
              <w:bottom w:w="0" w:type="dxa"/>
              <w:right w:w="15" w:type="dxa"/>
            </w:tcMar>
            <w:vAlign w:val="center"/>
          </w:tcPr>
          <w:p w14:paraId="6E8F5953">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6.7(5.7)</w:t>
            </w:r>
          </w:p>
        </w:tc>
        <w:tc>
          <w:tcPr>
            <w:tcW w:w="1400" w:type="dxa"/>
            <w:tcBorders>
              <w:top w:val="nil"/>
              <w:left w:val="nil"/>
              <w:bottom w:val="nil"/>
              <w:right w:val="nil"/>
            </w:tcBorders>
            <w:tcMar>
              <w:top w:w="15" w:type="dxa"/>
              <w:left w:w="15" w:type="dxa"/>
              <w:bottom w:w="0" w:type="dxa"/>
              <w:right w:w="15" w:type="dxa"/>
            </w:tcMar>
            <w:vAlign w:val="center"/>
          </w:tcPr>
          <w:p w14:paraId="5150263E">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5.1(4.2)</w:t>
            </w:r>
          </w:p>
        </w:tc>
        <w:tc>
          <w:tcPr>
            <w:tcW w:w="1400" w:type="dxa"/>
            <w:tcBorders>
              <w:top w:val="nil"/>
              <w:left w:val="nil"/>
              <w:bottom w:val="nil"/>
              <w:right w:val="nil"/>
            </w:tcBorders>
            <w:tcMar>
              <w:top w:w="15" w:type="dxa"/>
              <w:left w:w="15" w:type="dxa"/>
              <w:bottom w:w="0" w:type="dxa"/>
              <w:right w:w="15" w:type="dxa"/>
            </w:tcMar>
            <w:vAlign w:val="center"/>
          </w:tcPr>
          <w:p w14:paraId="5657152D">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4.6(4.2)</w:t>
            </w:r>
          </w:p>
        </w:tc>
        <w:tc>
          <w:tcPr>
            <w:tcW w:w="1400" w:type="dxa"/>
            <w:tcBorders>
              <w:top w:val="nil"/>
              <w:left w:val="nil"/>
              <w:bottom w:val="nil"/>
              <w:right w:val="nil"/>
            </w:tcBorders>
            <w:tcMar>
              <w:top w:w="15" w:type="dxa"/>
              <w:left w:w="15" w:type="dxa"/>
              <w:bottom w:w="0" w:type="dxa"/>
              <w:right w:w="15" w:type="dxa"/>
            </w:tcMar>
            <w:vAlign w:val="center"/>
          </w:tcPr>
          <w:p w14:paraId="79F7FB23">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0.9(0.9)</w:t>
            </w:r>
          </w:p>
        </w:tc>
      </w:tr>
      <w:tr w14:paraId="0FA03562">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5A76D1CB">
            <w:pPr>
              <w:ind w:firstLine="360"/>
              <w:jc w:val="center"/>
              <w:rPr>
                <w:rFonts w:ascii="宋体" w:hAnsi="宋体" w:eastAsia="宋体" w:cs="Arial Unicode MS"/>
                <w:color w:val="000000"/>
                <w:sz w:val="21"/>
                <w:szCs w:val="21"/>
              </w:rPr>
            </w:pPr>
          </w:p>
        </w:tc>
        <w:tc>
          <w:tcPr>
            <w:tcW w:w="1860" w:type="dxa"/>
            <w:tcBorders>
              <w:top w:val="nil"/>
              <w:left w:val="nil"/>
              <w:bottom w:val="single" w:color="auto" w:sz="4" w:space="0"/>
              <w:right w:val="single" w:color="auto" w:sz="4" w:space="0"/>
            </w:tcBorders>
            <w:tcMar>
              <w:top w:w="15" w:type="dxa"/>
              <w:left w:w="15" w:type="dxa"/>
              <w:bottom w:w="0" w:type="dxa"/>
              <w:right w:w="15" w:type="dxa"/>
            </w:tcMar>
            <w:vAlign w:val="center"/>
          </w:tcPr>
          <w:p w14:paraId="2F6C9147">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中</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国</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1624773A">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7.9(5.6)</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4A193E26">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4.0(3.6)</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0C3FC735">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7.1(4.0)</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56B6E581">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7.0(4.5)</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00543461">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6.2(4.6)</w:t>
            </w:r>
          </w:p>
        </w:tc>
      </w:tr>
      <w:tr w14:paraId="6D08EB9D">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48C8F6D7">
            <w:pPr>
              <w:ind w:firstLine="360"/>
              <w:jc w:val="center"/>
              <w:rPr>
                <w:rFonts w:ascii="宋体" w:hAnsi="宋体" w:eastAsia="宋体" w:cs="Arial Unicode MS"/>
                <w:color w:val="000000"/>
                <w:sz w:val="21"/>
                <w:szCs w:val="21"/>
              </w:rPr>
            </w:pPr>
          </w:p>
        </w:tc>
        <w:tc>
          <w:tcPr>
            <w:tcW w:w="1860" w:type="dxa"/>
            <w:tcBorders>
              <w:top w:val="nil"/>
              <w:left w:val="nil"/>
              <w:bottom w:val="single" w:color="auto" w:sz="4" w:space="0"/>
              <w:right w:val="single" w:color="auto" w:sz="4" w:space="0"/>
            </w:tcBorders>
            <w:tcMar>
              <w:top w:w="15" w:type="dxa"/>
              <w:left w:w="15" w:type="dxa"/>
              <w:bottom w:w="0" w:type="dxa"/>
              <w:right w:w="15" w:type="dxa"/>
            </w:tcMar>
            <w:vAlign w:val="center"/>
          </w:tcPr>
          <w:p w14:paraId="7AF525D2">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未加权的平均数</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7401E9FE">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5.7(4.7)</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20A97411">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4.4(3.6)</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1F5D159C">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4.3(3.6)</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0EAECC73">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4.8(4.0)</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45ED5E8B">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2.6(2.0)</w:t>
            </w:r>
          </w:p>
        </w:tc>
      </w:tr>
    </w:tbl>
    <w:p w14:paraId="5C9FF2AF">
      <w:pPr>
        <w:ind w:firstLine="360"/>
        <w:rPr>
          <w:rFonts w:ascii="宋体" w:hAnsi="宋体" w:eastAsia="宋体" w:cs="Times New Roman"/>
          <w:color w:val="000000"/>
          <w:sz w:val="21"/>
          <w:szCs w:val="21"/>
        </w:rPr>
      </w:pPr>
    </w:p>
    <w:p w14:paraId="1010E56F">
      <w:pPr>
        <w:ind w:firstLine="360"/>
        <w:rPr>
          <w:rFonts w:ascii="宋体" w:hAnsi="宋体" w:eastAsia="宋体" w:cs="Times New Roman"/>
          <w:color w:val="000000"/>
          <w:sz w:val="21"/>
          <w:szCs w:val="21"/>
        </w:rPr>
      </w:pPr>
    </w:p>
    <w:tbl>
      <w:tblPr>
        <w:tblStyle w:val="17"/>
        <w:tblW w:w="0" w:type="auto"/>
        <w:tblInd w:w="0" w:type="dxa"/>
        <w:tblLayout w:type="fixed"/>
        <w:tblCellMar>
          <w:top w:w="0" w:type="dxa"/>
          <w:left w:w="0" w:type="dxa"/>
          <w:bottom w:w="0" w:type="dxa"/>
          <w:right w:w="0" w:type="dxa"/>
        </w:tblCellMar>
      </w:tblPr>
      <w:tblGrid>
        <w:gridCol w:w="440"/>
        <w:gridCol w:w="1660"/>
        <w:gridCol w:w="1400"/>
        <w:gridCol w:w="1400"/>
        <w:gridCol w:w="1400"/>
        <w:gridCol w:w="1400"/>
        <w:gridCol w:w="1400"/>
      </w:tblGrid>
      <w:tr w14:paraId="1B78C9E6">
        <w:trPr>
          <w:trHeight w:val="330" w:hRule="atLeast"/>
        </w:trPr>
        <w:tc>
          <w:tcPr>
            <w:tcW w:w="440" w:type="dxa"/>
            <w:tcBorders>
              <w:top w:val="single" w:color="auto" w:sz="12" w:space="0"/>
              <w:left w:val="nil"/>
              <w:bottom w:val="single" w:color="auto" w:sz="4" w:space="0"/>
              <w:right w:val="single" w:color="auto" w:sz="4" w:space="0"/>
            </w:tcBorders>
            <w:tcMar>
              <w:top w:w="15" w:type="dxa"/>
              <w:left w:w="15" w:type="dxa"/>
              <w:bottom w:w="0" w:type="dxa"/>
              <w:right w:w="15" w:type="dxa"/>
            </w:tcMar>
            <w:vAlign w:val="center"/>
          </w:tcPr>
          <w:p w14:paraId="4B404BFA">
            <w:pPr>
              <w:ind w:firstLine="360"/>
              <w:jc w:val="center"/>
              <w:rPr>
                <w:rFonts w:ascii="宋体" w:hAnsi="宋体" w:eastAsia="宋体" w:cs="Arial Unicode MS"/>
                <w:color w:val="000000"/>
                <w:sz w:val="21"/>
                <w:szCs w:val="21"/>
              </w:rPr>
            </w:pPr>
          </w:p>
        </w:tc>
        <w:tc>
          <w:tcPr>
            <w:tcW w:w="1660"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14:paraId="0156F976">
            <w:pPr>
              <w:ind w:firstLine="360"/>
              <w:jc w:val="center"/>
              <w:rPr>
                <w:rFonts w:ascii="宋体" w:hAnsi="宋体" w:eastAsia="宋体" w:cs="Arial Unicode MS"/>
                <w:color w:val="000000"/>
                <w:sz w:val="21"/>
                <w:szCs w:val="21"/>
              </w:rPr>
            </w:pPr>
          </w:p>
        </w:tc>
        <w:tc>
          <w:tcPr>
            <w:tcW w:w="1400" w:type="dxa"/>
            <w:tcBorders>
              <w:top w:val="single" w:color="auto" w:sz="8" w:space="0"/>
              <w:left w:val="nil"/>
              <w:bottom w:val="single" w:color="auto" w:sz="4" w:space="0"/>
              <w:right w:val="nil"/>
            </w:tcBorders>
            <w:tcMar>
              <w:top w:w="15" w:type="dxa"/>
              <w:left w:w="15" w:type="dxa"/>
              <w:bottom w:w="0" w:type="dxa"/>
              <w:right w:w="15" w:type="dxa"/>
            </w:tcMar>
            <w:vAlign w:val="center"/>
          </w:tcPr>
          <w:p w14:paraId="4F4761F4">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1950</w:t>
            </w:r>
            <w:r>
              <w:rPr>
                <w:rFonts w:hint="eastAsia" w:ascii="宋体" w:hAnsi="宋体" w:eastAsia="宋体" w:cs="Times New Roman"/>
                <w:color w:val="000000"/>
                <w:sz w:val="21"/>
                <w:szCs w:val="21"/>
              </w:rPr>
              <w:t>～</w:t>
            </w:r>
            <w:r>
              <w:rPr>
                <w:rFonts w:ascii="宋体" w:hAnsi="宋体" w:eastAsia="宋体" w:cs="Times New Roman"/>
                <w:color w:val="000000"/>
                <w:sz w:val="21"/>
                <w:szCs w:val="21"/>
              </w:rPr>
              <w:t>1960</w:t>
            </w:r>
          </w:p>
        </w:tc>
        <w:tc>
          <w:tcPr>
            <w:tcW w:w="1400" w:type="dxa"/>
            <w:tcBorders>
              <w:top w:val="single" w:color="auto" w:sz="8" w:space="0"/>
              <w:left w:val="nil"/>
              <w:bottom w:val="single" w:color="auto" w:sz="4" w:space="0"/>
              <w:right w:val="nil"/>
            </w:tcBorders>
            <w:tcMar>
              <w:top w:w="15" w:type="dxa"/>
              <w:left w:w="15" w:type="dxa"/>
              <w:bottom w:w="0" w:type="dxa"/>
              <w:right w:w="15" w:type="dxa"/>
            </w:tcMar>
            <w:vAlign w:val="center"/>
          </w:tcPr>
          <w:p w14:paraId="1C8DF396">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1960</w:t>
            </w:r>
            <w:r>
              <w:rPr>
                <w:rFonts w:hint="eastAsia" w:ascii="宋体" w:hAnsi="宋体" w:eastAsia="宋体" w:cs="Times New Roman"/>
                <w:color w:val="000000"/>
                <w:sz w:val="21"/>
                <w:szCs w:val="21"/>
              </w:rPr>
              <w:t>～</w:t>
            </w:r>
            <w:r>
              <w:rPr>
                <w:rFonts w:ascii="宋体" w:hAnsi="宋体" w:eastAsia="宋体" w:cs="Times New Roman"/>
                <w:color w:val="000000"/>
                <w:sz w:val="21"/>
                <w:szCs w:val="21"/>
              </w:rPr>
              <w:t>1965</w:t>
            </w:r>
          </w:p>
        </w:tc>
        <w:tc>
          <w:tcPr>
            <w:tcW w:w="1400" w:type="dxa"/>
            <w:tcBorders>
              <w:top w:val="single" w:color="auto" w:sz="8" w:space="0"/>
              <w:left w:val="nil"/>
              <w:bottom w:val="single" w:color="auto" w:sz="4" w:space="0"/>
              <w:right w:val="nil"/>
            </w:tcBorders>
            <w:tcMar>
              <w:top w:w="15" w:type="dxa"/>
              <w:left w:w="15" w:type="dxa"/>
              <w:bottom w:w="0" w:type="dxa"/>
              <w:right w:w="15" w:type="dxa"/>
            </w:tcMar>
            <w:vAlign w:val="center"/>
          </w:tcPr>
          <w:p w14:paraId="25ED6DF4">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1965</w:t>
            </w:r>
            <w:r>
              <w:rPr>
                <w:rFonts w:hint="eastAsia" w:ascii="宋体" w:hAnsi="宋体" w:eastAsia="宋体" w:cs="Times New Roman"/>
                <w:color w:val="000000"/>
                <w:sz w:val="21"/>
                <w:szCs w:val="21"/>
              </w:rPr>
              <w:t>～</w:t>
            </w:r>
            <w:r>
              <w:rPr>
                <w:rFonts w:ascii="宋体" w:hAnsi="宋体" w:eastAsia="宋体" w:cs="Times New Roman"/>
                <w:color w:val="000000"/>
                <w:sz w:val="21"/>
                <w:szCs w:val="21"/>
              </w:rPr>
              <w:t>1970</w:t>
            </w:r>
          </w:p>
        </w:tc>
        <w:tc>
          <w:tcPr>
            <w:tcW w:w="1400" w:type="dxa"/>
            <w:tcBorders>
              <w:top w:val="single" w:color="auto" w:sz="8" w:space="0"/>
              <w:left w:val="nil"/>
              <w:bottom w:val="single" w:color="auto" w:sz="4" w:space="0"/>
              <w:right w:val="nil"/>
            </w:tcBorders>
            <w:tcMar>
              <w:top w:w="15" w:type="dxa"/>
              <w:left w:w="15" w:type="dxa"/>
              <w:bottom w:w="0" w:type="dxa"/>
              <w:right w:w="15" w:type="dxa"/>
            </w:tcMar>
            <w:vAlign w:val="center"/>
          </w:tcPr>
          <w:p w14:paraId="1F073FAA">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1970</w:t>
            </w:r>
            <w:r>
              <w:rPr>
                <w:rFonts w:hint="eastAsia" w:ascii="宋体" w:hAnsi="宋体" w:eastAsia="宋体" w:cs="Times New Roman"/>
                <w:color w:val="000000"/>
                <w:sz w:val="21"/>
                <w:szCs w:val="21"/>
              </w:rPr>
              <w:t>～</w:t>
            </w:r>
            <w:r>
              <w:rPr>
                <w:rFonts w:ascii="宋体" w:hAnsi="宋体" w:eastAsia="宋体" w:cs="Times New Roman"/>
                <w:color w:val="000000"/>
                <w:sz w:val="21"/>
                <w:szCs w:val="21"/>
              </w:rPr>
              <w:t>1975</w:t>
            </w:r>
          </w:p>
        </w:tc>
        <w:tc>
          <w:tcPr>
            <w:tcW w:w="1400" w:type="dxa"/>
            <w:tcBorders>
              <w:top w:val="single" w:color="auto" w:sz="8" w:space="0"/>
              <w:left w:val="nil"/>
              <w:bottom w:val="single" w:color="auto" w:sz="4" w:space="0"/>
              <w:right w:val="nil"/>
            </w:tcBorders>
            <w:tcMar>
              <w:top w:w="15" w:type="dxa"/>
              <w:left w:w="15" w:type="dxa"/>
              <w:bottom w:w="0" w:type="dxa"/>
              <w:right w:w="15" w:type="dxa"/>
            </w:tcMar>
            <w:vAlign w:val="center"/>
          </w:tcPr>
          <w:p w14:paraId="39FA4C3F">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1975</w:t>
            </w:r>
            <w:r>
              <w:rPr>
                <w:rFonts w:hint="eastAsia" w:ascii="宋体" w:hAnsi="宋体" w:eastAsia="宋体" w:cs="Times New Roman"/>
                <w:color w:val="000000"/>
                <w:sz w:val="21"/>
                <w:szCs w:val="21"/>
              </w:rPr>
              <w:t>～</w:t>
            </w:r>
            <w:r>
              <w:rPr>
                <w:rFonts w:ascii="宋体" w:hAnsi="宋体" w:eastAsia="宋体" w:cs="Times New Roman"/>
                <w:color w:val="000000"/>
                <w:sz w:val="21"/>
                <w:szCs w:val="21"/>
              </w:rPr>
              <w:t>1980</w:t>
            </w:r>
          </w:p>
        </w:tc>
      </w:tr>
      <w:tr w14:paraId="7075FB54">
        <w:trPr>
          <w:cantSplit/>
          <w:trHeight w:val="315" w:hRule="atLeast"/>
        </w:trPr>
        <w:tc>
          <w:tcPr>
            <w:tcW w:w="440" w:type="dxa"/>
            <w:vMerge w:val="restart"/>
            <w:tcBorders>
              <w:top w:val="nil"/>
              <w:left w:val="nil"/>
              <w:bottom w:val="single" w:color="000000" w:sz="12" w:space="0"/>
              <w:right w:val="single" w:color="auto" w:sz="4" w:space="0"/>
            </w:tcBorders>
            <w:tcMar>
              <w:top w:w="15" w:type="dxa"/>
              <w:left w:w="15" w:type="dxa"/>
              <w:bottom w:w="0" w:type="dxa"/>
              <w:right w:w="15" w:type="dxa"/>
            </w:tcMar>
            <w:textDirection w:val="tbRl"/>
            <w:vAlign w:val="center"/>
          </w:tcPr>
          <w:p w14:paraId="60A8826E">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资本主义国家</w:t>
            </w:r>
          </w:p>
        </w:tc>
        <w:tc>
          <w:tcPr>
            <w:tcW w:w="1660" w:type="dxa"/>
            <w:tcBorders>
              <w:top w:val="nil"/>
              <w:left w:val="nil"/>
              <w:bottom w:val="nil"/>
              <w:right w:val="single" w:color="auto" w:sz="4" w:space="0"/>
            </w:tcBorders>
            <w:tcMar>
              <w:top w:w="15" w:type="dxa"/>
              <w:left w:w="15" w:type="dxa"/>
              <w:bottom w:w="0" w:type="dxa"/>
              <w:right w:w="15" w:type="dxa"/>
            </w:tcMar>
            <w:vAlign w:val="center"/>
          </w:tcPr>
          <w:p w14:paraId="0E28C8AC">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美国</w:t>
            </w:r>
          </w:p>
        </w:tc>
        <w:tc>
          <w:tcPr>
            <w:tcW w:w="1400" w:type="dxa"/>
            <w:tcBorders>
              <w:top w:val="nil"/>
              <w:left w:val="nil"/>
              <w:bottom w:val="nil"/>
              <w:right w:val="nil"/>
            </w:tcBorders>
            <w:tcMar>
              <w:top w:w="15" w:type="dxa"/>
              <w:left w:w="15" w:type="dxa"/>
              <w:bottom w:w="0" w:type="dxa"/>
              <w:right w:w="15" w:type="dxa"/>
            </w:tcMar>
            <w:vAlign w:val="center"/>
          </w:tcPr>
          <w:p w14:paraId="634EB376">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3.3(1.5)</w:t>
            </w:r>
          </w:p>
        </w:tc>
        <w:tc>
          <w:tcPr>
            <w:tcW w:w="1400" w:type="dxa"/>
            <w:tcBorders>
              <w:top w:val="nil"/>
              <w:left w:val="nil"/>
              <w:bottom w:val="nil"/>
              <w:right w:val="nil"/>
            </w:tcBorders>
            <w:tcMar>
              <w:top w:w="15" w:type="dxa"/>
              <w:left w:w="15" w:type="dxa"/>
              <w:bottom w:w="0" w:type="dxa"/>
              <w:right w:w="15" w:type="dxa"/>
            </w:tcMar>
            <w:vAlign w:val="center"/>
          </w:tcPr>
          <w:p w14:paraId="6D18D58E">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4.6(3.2)</w:t>
            </w:r>
          </w:p>
        </w:tc>
        <w:tc>
          <w:tcPr>
            <w:tcW w:w="1400" w:type="dxa"/>
            <w:tcBorders>
              <w:top w:val="nil"/>
              <w:left w:val="nil"/>
              <w:bottom w:val="nil"/>
              <w:right w:val="nil"/>
            </w:tcBorders>
            <w:tcMar>
              <w:top w:w="15" w:type="dxa"/>
              <w:left w:w="15" w:type="dxa"/>
              <w:bottom w:w="0" w:type="dxa"/>
              <w:right w:w="15" w:type="dxa"/>
            </w:tcMar>
            <w:vAlign w:val="center"/>
          </w:tcPr>
          <w:p w14:paraId="3CC2B372">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3.1(2.1)</w:t>
            </w:r>
          </w:p>
        </w:tc>
        <w:tc>
          <w:tcPr>
            <w:tcW w:w="1400" w:type="dxa"/>
            <w:tcBorders>
              <w:top w:val="nil"/>
              <w:left w:val="nil"/>
              <w:bottom w:val="nil"/>
              <w:right w:val="nil"/>
            </w:tcBorders>
            <w:tcMar>
              <w:top w:w="15" w:type="dxa"/>
              <w:left w:w="15" w:type="dxa"/>
              <w:bottom w:w="0" w:type="dxa"/>
              <w:right w:w="15" w:type="dxa"/>
            </w:tcMar>
            <w:vAlign w:val="center"/>
          </w:tcPr>
          <w:p w14:paraId="0F897942">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2.3(1.6)</w:t>
            </w:r>
          </w:p>
        </w:tc>
        <w:tc>
          <w:tcPr>
            <w:tcW w:w="1400" w:type="dxa"/>
            <w:tcBorders>
              <w:top w:val="nil"/>
              <w:left w:val="nil"/>
              <w:bottom w:val="nil"/>
              <w:right w:val="nil"/>
            </w:tcBorders>
            <w:tcMar>
              <w:top w:w="15" w:type="dxa"/>
              <w:left w:w="15" w:type="dxa"/>
              <w:bottom w:w="0" w:type="dxa"/>
              <w:right w:w="15" w:type="dxa"/>
            </w:tcMar>
            <w:vAlign w:val="center"/>
          </w:tcPr>
          <w:p w14:paraId="67C20219">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3.7(2.6)</w:t>
            </w:r>
          </w:p>
        </w:tc>
      </w:tr>
      <w:tr w14:paraId="67ED6005">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07DEBE05">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1BCFC293">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加拿大</w:t>
            </w:r>
          </w:p>
        </w:tc>
        <w:tc>
          <w:tcPr>
            <w:tcW w:w="1400" w:type="dxa"/>
            <w:tcBorders>
              <w:top w:val="nil"/>
              <w:left w:val="nil"/>
              <w:bottom w:val="nil"/>
              <w:right w:val="nil"/>
            </w:tcBorders>
            <w:tcMar>
              <w:top w:w="15" w:type="dxa"/>
              <w:left w:w="15" w:type="dxa"/>
              <w:bottom w:w="0" w:type="dxa"/>
              <w:right w:w="15" w:type="dxa"/>
            </w:tcMar>
            <w:vAlign w:val="center"/>
          </w:tcPr>
          <w:p w14:paraId="0791D045">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4.6(1.3)</w:t>
            </w:r>
          </w:p>
        </w:tc>
        <w:tc>
          <w:tcPr>
            <w:tcW w:w="1400" w:type="dxa"/>
            <w:tcBorders>
              <w:top w:val="nil"/>
              <w:left w:val="nil"/>
              <w:bottom w:val="nil"/>
              <w:right w:val="nil"/>
            </w:tcBorders>
            <w:tcMar>
              <w:top w:w="15" w:type="dxa"/>
              <w:left w:w="15" w:type="dxa"/>
              <w:bottom w:w="0" w:type="dxa"/>
              <w:right w:w="15" w:type="dxa"/>
            </w:tcMar>
            <w:vAlign w:val="center"/>
          </w:tcPr>
          <w:p w14:paraId="3309B82C">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5.7(3.8)</w:t>
            </w:r>
          </w:p>
        </w:tc>
        <w:tc>
          <w:tcPr>
            <w:tcW w:w="1400" w:type="dxa"/>
            <w:tcBorders>
              <w:top w:val="nil"/>
              <w:left w:val="nil"/>
              <w:bottom w:val="nil"/>
              <w:right w:val="nil"/>
            </w:tcBorders>
            <w:tcMar>
              <w:top w:w="15" w:type="dxa"/>
              <w:left w:w="15" w:type="dxa"/>
              <w:bottom w:w="0" w:type="dxa"/>
              <w:right w:w="15" w:type="dxa"/>
            </w:tcMar>
            <w:vAlign w:val="center"/>
          </w:tcPr>
          <w:p w14:paraId="7BB5C6CA">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4.8(3.0)</w:t>
            </w:r>
          </w:p>
        </w:tc>
        <w:tc>
          <w:tcPr>
            <w:tcW w:w="1400" w:type="dxa"/>
            <w:tcBorders>
              <w:top w:val="nil"/>
              <w:left w:val="nil"/>
              <w:bottom w:val="nil"/>
              <w:right w:val="nil"/>
            </w:tcBorders>
            <w:tcMar>
              <w:top w:w="15" w:type="dxa"/>
              <w:left w:w="15" w:type="dxa"/>
              <w:bottom w:w="0" w:type="dxa"/>
              <w:right w:w="15" w:type="dxa"/>
            </w:tcMar>
            <w:vAlign w:val="center"/>
          </w:tcPr>
          <w:p w14:paraId="35324449">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5.0(3.6)</w:t>
            </w:r>
          </w:p>
        </w:tc>
        <w:tc>
          <w:tcPr>
            <w:tcW w:w="1400" w:type="dxa"/>
            <w:tcBorders>
              <w:top w:val="nil"/>
              <w:left w:val="nil"/>
              <w:bottom w:val="nil"/>
              <w:right w:val="nil"/>
            </w:tcBorders>
            <w:tcMar>
              <w:top w:w="15" w:type="dxa"/>
              <w:left w:w="15" w:type="dxa"/>
              <w:bottom w:w="0" w:type="dxa"/>
              <w:right w:w="15" w:type="dxa"/>
            </w:tcMar>
            <w:vAlign w:val="center"/>
          </w:tcPr>
          <w:p w14:paraId="32BECD1C">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2.9(1.9)</w:t>
            </w:r>
          </w:p>
        </w:tc>
      </w:tr>
      <w:tr w14:paraId="5DBA547E">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204BE480">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21306492">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联邦德国</w:t>
            </w:r>
          </w:p>
        </w:tc>
        <w:tc>
          <w:tcPr>
            <w:tcW w:w="1400" w:type="dxa"/>
            <w:tcBorders>
              <w:top w:val="nil"/>
              <w:left w:val="nil"/>
              <w:bottom w:val="nil"/>
              <w:right w:val="nil"/>
            </w:tcBorders>
            <w:tcMar>
              <w:top w:w="15" w:type="dxa"/>
              <w:left w:w="15" w:type="dxa"/>
              <w:bottom w:w="0" w:type="dxa"/>
              <w:right w:w="15" w:type="dxa"/>
            </w:tcMar>
            <w:vAlign w:val="center"/>
          </w:tcPr>
          <w:p w14:paraId="72DA4279">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7.9(6.3)</w:t>
            </w:r>
          </w:p>
        </w:tc>
        <w:tc>
          <w:tcPr>
            <w:tcW w:w="1400" w:type="dxa"/>
            <w:tcBorders>
              <w:top w:val="nil"/>
              <w:left w:val="nil"/>
              <w:bottom w:val="nil"/>
              <w:right w:val="nil"/>
            </w:tcBorders>
            <w:tcMar>
              <w:top w:w="15" w:type="dxa"/>
              <w:left w:w="15" w:type="dxa"/>
              <w:bottom w:w="0" w:type="dxa"/>
              <w:right w:w="15" w:type="dxa"/>
            </w:tcMar>
            <w:vAlign w:val="center"/>
          </w:tcPr>
          <w:p w14:paraId="1FE620D3">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5.0(3.5)</w:t>
            </w:r>
          </w:p>
        </w:tc>
        <w:tc>
          <w:tcPr>
            <w:tcW w:w="1400" w:type="dxa"/>
            <w:tcBorders>
              <w:top w:val="nil"/>
              <w:left w:val="nil"/>
              <w:bottom w:val="nil"/>
              <w:right w:val="nil"/>
            </w:tcBorders>
            <w:tcMar>
              <w:top w:w="15" w:type="dxa"/>
              <w:left w:w="15" w:type="dxa"/>
              <w:bottom w:w="0" w:type="dxa"/>
              <w:right w:w="15" w:type="dxa"/>
            </w:tcMar>
            <w:vAlign w:val="center"/>
          </w:tcPr>
          <w:p w14:paraId="3EDAA334">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4.4(3.9)</w:t>
            </w:r>
          </w:p>
        </w:tc>
        <w:tc>
          <w:tcPr>
            <w:tcW w:w="1400" w:type="dxa"/>
            <w:tcBorders>
              <w:top w:val="nil"/>
              <w:left w:val="nil"/>
              <w:bottom w:val="nil"/>
              <w:right w:val="nil"/>
            </w:tcBorders>
            <w:tcMar>
              <w:top w:w="15" w:type="dxa"/>
              <w:left w:w="15" w:type="dxa"/>
              <w:bottom w:w="0" w:type="dxa"/>
              <w:right w:w="15" w:type="dxa"/>
            </w:tcMar>
            <w:vAlign w:val="center"/>
          </w:tcPr>
          <w:p w14:paraId="7E154761">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2.1(1.7)</w:t>
            </w:r>
          </w:p>
        </w:tc>
        <w:tc>
          <w:tcPr>
            <w:tcW w:w="1400" w:type="dxa"/>
            <w:tcBorders>
              <w:top w:val="nil"/>
              <w:left w:val="nil"/>
              <w:bottom w:val="nil"/>
              <w:right w:val="nil"/>
            </w:tcBorders>
            <w:tcMar>
              <w:top w:w="15" w:type="dxa"/>
              <w:left w:w="15" w:type="dxa"/>
              <w:bottom w:w="0" w:type="dxa"/>
              <w:right w:w="15" w:type="dxa"/>
            </w:tcMar>
            <w:vAlign w:val="center"/>
          </w:tcPr>
          <w:p w14:paraId="5AFF2229">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3.6(2.7)</w:t>
            </w:r>
          </w:p>
        </w:tc>
      </w:tr>
      <w:tr w14:paraId="6D635D22">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2C33B7F8">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6CBD1C2E">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丹</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麦</w:t>
            </w:r>
          </w:p>
        </w:tc>
        <w:tc>
          <w:tcPr>
            <w:tcW w:w="1400" w:type="dxa"/>
            <w:tcBorders>
              <w:top w:val="nil"/>
              <w:left w:val="nil"/>
              <w:bottom w:val="nil"/>
              <w:right w:val="nil"/>
            </w:tcBorders>
            <w:tcMar>
              <w:top w:w="15" w:type="dxa"/>
              <w:left w:w="15" w:type="dxa"/>
              <w:bottom w:w="0" w:type="dxa"/>
              <w:right w:w="15" w:type="dxa"/>
            </w:tcMar>
            <w:vAlign w:val="center"/>
          </w:tcPr>
          <w:p w14:paraId="4D49AB79">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3.6(2.9)</w:t>
            </w:r>
          </w:p>
        </w:tc>
        <w:tc>
          <w:tcPr>
            <w:tcW w:w="1400" w:type="dxa"/>
            <w:tcBorders>
              <w:top w:val="nil"/>
              <w:left w:val="nil"/>
              <w:bottom w:val="nil"/>
              <w:right w:val="nil"/>
            </w:tcBorders>
            <w:tcMar>
              <w:top w:w="15" w:type="dxa"/>
              <w:left w:w="15" w:type="dxa"/>
              <w:bottom w:w="0" w:type="dxa"/>
              <w:right w:w="15" w:type="dxa"/>
            </w:tcMar>
            <w:vAlign w:val="center"/>
          </w:tcPr>
          <w:p w14:paraId="37A6FF5B">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5.1(4.3)</w:t>
            </w:r>
          </w:p>
        </w:tc>
        <w:tc>
          <w:tcPr>
            <w:tcW w:w="1400" w:type="dxa"/>
            <w:tcBorders>
              <w:top w:val="nil"/>
              <w:left w:val="nil"/>
              <w:bottom w:val="nil"/>
              <w:right w:val="nil"/>
            </w:tcBorders>
            <w:tcMar>
              <w:top w:w="15" w:type="dxa"/>
              <w:left w:w="15" w:type="dxa"/>
              <w:bottom w:w="0" w:type="dxa"/>
              <w:right w:w="15" w:type="dxa"/>
            </w:tcMar>
            <w:vAlign w:val="center"/>
          </w:tcPr>
          <w:p w14:paraId="37C2C163">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4.5(3.7)</w:t>
            </w:r>
          </w:p>
        </w:tc>
        <w:tc>
          <w:tcPr>
            <w:tcW w:w="1400" w:type="dxa"/>
            <w:tcBorders>
              <w:top w:val="nil"/>
              <w:left w:val="nil"/>
              <w:bottom w:val="nil"/>
              <w:right w:val="nil"/>
            </w:tcBorders>
            <w:tcMar>
              <w:top w:w="15" w:type="dxa"/>
              <w:left w:w="15" w:type="dxa"/>
              <w:bottom w:w="0" w:type="dxa"/>
              <w:right w:w="15" w:type="dxa"/>
            </w:tcMar>
            <w:vAlign w:val="center"/>
          </w:tcPr>
          <w:p w14:paraId="4AA4747D">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2.8(2.4)</w:t>
            </w:r>
          </w:p>
        </w:tc>
        <w:tc>
          <w:tcPr>
            <w:tcW w:w="1400" w:type="dxa"/>
            <w:tcBorders>
              <w:top w:val="nil"/>
              <w:left w:val="nil"/>
              <w:bottom w:val="nil"/>
              <w:right w:val="nil"/>
            </w:tcBorders>
            <w:tcMar>
              <w:top w:w="15" w:type="dxa"/>
              <w:left w:w="15" w:type="dxa"/>
              <w:bottom w:w="0" w:type="dxa"/>
              <w:right w:w="15" w:type="dxa"/>
            </w:tcMar>
            <w:vAlign w:val="center"/>
          </w:tcPr>
          <w:p w14:paraId="79D54DB9">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2.7(2.4)</w:t>
            </w:r>
          </w:p>
        </w:tc>
      </w:tr>
      <w:tr w14:paraId="2DAACE47">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3F4A1DC4">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79AE768F">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挪</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威</w:t>
            </w:r>
          </w:p>
        </w:tc>
        <w:tc>
          <w:tcPr>
            <w:tcW w:w="1400" w:type="dxa"/>
            <w:tcBorders>
              <w:top w:val="nil"/>
              <w:left w:val="nil"/>
              <w:bottom w:val="nil"/>
              <w:right w:val="nil"/>
            </w:tcBorders>
            <w:tcMar>
              <w:top w:w="15" w:type="dxa"/>
              <w:left w:w="15" w:type="dxa"/>
              <w:bottom w:w="0" w:type="dxa"/>
              <w:right w:w="15" w:type="dxa"/>
            </w:tcMar>
            <w:vAlign w:val="center"/>
          </w:tcPr>
          <w:p w14:paraId="64743F53">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3.6(2.5)</w:t>
            </w:r>
          </w:p>
        </w:tc>
        <w:tc>
          <w:tcPr>
            <w:tcW w:w="1400" w:type="dxa"/>
            <w:tcBorders>
              <w:top w:val="nil"/>
              <w:left w:val="nil"/>
              <w:bottom w:val="nil"/>
              <w:right w:val="nil"/>
            </w:tcBorders>
            <w:tcMar>
              <w:top w:w="15" w:type="dxa"/>
              <w:left w:w="15" w:type="dxa"/>
              <w:bottom w:w="0" w:type="dxa"/>
              <w:right w:w="15" w:type="dxa"/>
            </w:tcMar>
            <w:vAlign w:val="center"/>
          </w:tcPr>
          <w:p w14:paraId="65F6F941">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4.8(4.3)</w:t>
            </w:r>
          </w:p>
        </w:tc>
        <w:tc>
          <w:tcPr>
            <w:tcW w:w="1400" w:type="dxa"/>
            <w:tcBorders>
              <w:top w:val="nil"/>
              <w:left w:val="nil"/>
              <w:bottom w:val="nil"/>
              <w:right w:val="nil"/>
            </w:tcBorders>
            <w:tcMar>
              <w:top w:w="15" w:type="dxa"/>
              <w:left w:w="15" w:type="dxa"/>
              <w:bottom w:w="0" w:type="dxa"/>
              <w:right w:w="15" w:type="dxa"/>
            </w:tcMar>
            <w:vAlign w:val="center"/>
          </w:tcPr>
          <w:p w14:paraId="49D7E796">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4.8(3.9)</w:t>
            </w:r>
          </w:p>
        </w:tc>
        <w:tc>
          <w:tcPr>
            <w:tcW w:w="1400" w:type="dxa"/>
            <w:tcBorders>
              <w:top w:val="nil"/>
              <w:left w:val="nil"/>
              <w:bottom w:val="nil"/>
              <w:right w:val="nil"/>
            </w:tcBorders>
            <w:tcMar>
              <w:top w:w="15" w:type="dxa"/>
              <w:left w:w="15" w:type="dxa"/>
              <w:bottom w:w="0" w:type="dxa"/>
              <w:right w:w="15" w:type="dxa"/>
            </w:tcMar>
            <w:vAlign w:val="center"/>
          </w:tcPr>
          <w:p w14:paraId="4C3BE39E">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4.6(4.0)</w:t>
            </w:r>
          </w:p>
        </w:tc>
        <w:tc>
          <w:tcPr>
            <w:tcW w:w="1400" w:type="dxa"/>
            <w:tcBorders>
              <w:top w:val="nil"/>
              <w:left w:val="nil"/>
              <w:bottom w:val="nil"/>
              <w:right w:val="nil"/>
            </w:tcBorders>
            <w:tcMar>
              <w:top w:w="15" w:type="dxa"/>
              <w:left w:w="15" w:type="dxa"/>
              <w:bottom w:w="0" w:type="dxa"/>
              <w:right w:w="15" w:type="dxa"/>
            </w:tcMar>
            <w:vAlign w:val="center"/>
          </w:tcPr>
          <w:p w14:paraId="3E1A5BD3">
            <w:pPr>
              <w:ind w:firstLine="360"/>
              <w:jc w:val="center"/>
              <w:rPr>
                <w:rFonts w:ascii="宋体" w:hAnsi="宋体" w:eastAsia="宋体" w:cs="Arial Unicode MS"/>
                <w:color w:val="000000"/>
                <w:sz w:val="21"/>
                <w:szCs w:val="21"/>
              </w:rPr>
            </w:pPr>
            <w:r>
              <w:rPr>
                <w:rFonts w:ascii="宋体" w:hAnsi="宋体" w:eastAsia="宋体" w:cs="Times New Roman"/>
                <w:color w:val="000000"/>
                <w:sz w:val="21"/>
                <w:szCs w:val="21"/>
              </w:rPr>
              <w:t>4.6(4.2)</w:t>
            </w:r>
          </w:p>
        </w:tc>
      </w:tr>
      <w:tr w14:paraId="2D18CC7B">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472084B7">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42967281">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比</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利</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时</w:t>
            </w:r>
          </w:p>
        </w:tc>
        <w:tc>
          <w:tcPr>
            <w:tcW w:w="1400" w:type="dxa"/>
            <w:tcBorders>
              <w:top w:val="nil"/>
              <w:left w:val="nil"/>
              <w:bottom w:val="nil"/>
              <w:right w:val="nil"/>
            </w:tcBorders>
            <w:tcMar>
              <w:top w:w="15" w:type="dxa"/>
              <w:left w:w="15" w:type="dxa"/>
              <w:bottom w:w="0" w:type="dxa"/>
              <w:right w:w="15" w:type="dxa"/>
            </w:tcMar>
            <w:vAlign w:val="center"/>
          </w:tcPr>
          <w:p w14:paraId="2DAD081D">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3.0(2.5)</w:t>
            </w:r>
          </w:p>
        </w:tc>
        <w:tc>
          <w:tcPr>
            <w:tcW w:w="1400" w:type="dxa"/>
            <w:tcBorders>
              <w:top w:val="nil"/>
              <w:left w:val="nil"/>
              <w:bottom w:val="nil"/>
              <w:right w:val="nil"/>
            </w:tcBorders>
            <w:tcMar>
              <w:top w:w="15" w:type="dxa"/>
              <w:left w:w="15" w:type="dxa"/>
              <w:bottom w:w="0" w:type="dxa"/>
              <w:right w:w="15" w:type="dxa"/>
            </w:tcMar>
            <w:vAlign w:val="center"/>
          </w:tcPr>
          <w:p w14:paraId="6BB413BD">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5.2(4.5)</w:t>
            </w:r>
          </w:p>
        </w:tc>
        <w:tc>
          <w:tcPr>
            <w:tcW w:w="1400" w:type="dxa"/>
            <w:tcBorders>
              <w:top w:val="nil"/>
              <w:left w:val="nil"/>
              <w:bottom w:val="nil"/>
              <w:right w:val="nil"/>
            </w:tcBorders>
            <w:tcMar>
              <w:top w:w="15" w:type="dxa"/>
              <w:left w:w="15" w:type="dxa"/>
              <w:bottom w:w="0" w:type="dxa"/>
              <w:right w:w="15" w:type="dxa"/>
            </w:tcMar>
            <w:vAlign w:val="center"/>
          </w:tcPr>
          <w:p w14:paraId="56D48A39">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4.8(4.4)</w:t>
            </w:r>
          </w:p>
        </w:tc>
        <w:tc>
          <w:tcPr>
            <w:tcW w:w="1400" w:type="dxa"/>
            <w:tcBorders>
              <w:top w:val="nil"/>
              <w:left w:val="nil"/>
              <w:bottom w:val="nil"/>
              <w:right w:val="nil"/>
            </w:tcBorders>
            <w:tcMar>
              <w:top w:w="15" w:type="dxa"/>
              <w:left w:w="15" w:type="dxa"/>
              <w:bottom w:w="0" w:type="dxa"/>
              <w:right w:w="15" w:type="dxa"/>
            </w:tcMar>
            <w:vAlign w:val="center"/>
          </w:tcPr>
          <w:p w14:paraId="516E954B">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3.9(3.5)</w:t>
            </w:r>
          </w:p>
        </w:tc>
        <w:tc>
          <w:tcPr>
            <w:tcW w:w="1400" w:type="dxa"/>
            <w:tcBorders>
              <w:top w:val="nil"/>
              <w:left w:val="nil"/>
              <w:bottom w:val="nil"/>
              <w:right w:val="nil"/>
            </w:tcBorders>
            <w:tcMar>
              <w:top w:w="15" w:type="dxa"/>
              <w:left w:w="15" w:type="dxa"/>
              <w:bottom w:w="0" w:type="dxa"/>
              <w:right w:w="15" w:type="dxa"/>
            </w:tcMar>
            <w:vAlign w:val="center"/>
          </w:tcPr>
          <w:p w14:paraId="7D64B83D">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2.5(2.3)</w:t>
            </w:r>
          </w:p>
        </w:tc>
      </w:tr>
      <w:tr w14:paraId="0631CCDE">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315D23B7">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67150336">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法</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国</w:t>
            </w:r>
          </w:p>
        </w:tc>
        <w:tc>
          <w:tcPr>
            <w:tcW w:w="1400" w:type="dxa"/>
            <w:tcBorders>
              <w:top w:val="nil"/>
              <w:left w:val="nil"/>
              <w:bottom w:val="nil"/>
              <w:right w:val="nil"/>
            </w:tcBorders>
            <w:tcMar>
              <w:top w:w="15" w:type="dxa"/>
              <w:left w:w="15" w:type="dxa"/>
              <w:bottom w:w="0" w:type="dxa"/>
              <w:right w:w="15" w:type="dxa"/>
            </w:tcMar>
            <w:vAlign w:val="center"/>
          </w:tcPr>
          <w:p w14:paraId="1F9E60B4">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4.4(3.8)</w:t>
            </w:r>
          </w:p>
        </w:tc>
        <w:tc>
          <w:tcPr>
            <w:tcW w:w="1400" w:type="dxa"/>
            <w:tcBorders>
              <w:top w:val="nil"/>
              <w:left w:val="nil"/>
              <w:bottom w:val="nil"/>
              <w:right w:val="nil"/>
            </w:tcBorders>
            <w:tcMar>
              <w:top w:w="15" w:type="dxa"/>
              <w:left w:w="15" w:type="dxa"/>
              <w:bottom w:w="0" w:type="dxa"/>
              <w:right w:w="15" w:type="dxa"/>
            </w:tcMar>
            <w:vAlign w:val="center"/>
          </w:tcPr>
          <w:p w14:paraId="52DA2380">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5.8(4.5)</w:t>
            </w:r>
          </w:p>
        </w:tc>
        <w:tc>
          <w:tcPr>
            <w:tcW w:w="1400" w:type="dxa"/>
            <w:tcBorders>
              <w:top w:val="nil"/>
              <w:left w:val="nil"/>
              <w:bottom w:val="nil"/>
              <w:right w:val="nil"/>
            </w:tcBorders>
            <w:tcMar>
              <w:top w:w="15" w:type="dxa"/>
              <w:left w:w="15" w:type="dxa"/>
              <w:bottom w:w="0" w:type="dxa"/>
              <w:right w:w="15" w:type="dxa"/>
            </w:tcMar>
            <w:vAlign w:val="center"/>
          </w:tcPr>
          <w:p w14:paraId="0A98C401">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5.4(4.5)</w:t>
            </w:r>
          </w:p>
        </w:tc>
        <w:tc>
          <w:tcPr>
            <w:tcW w:w="1400" w:type="dxa"/>
            <w:tcBorders>
              <w:top w:val="nil"/>
              <w:left w:val="nil"/>
              <w:bottom w:val="nil"/>
              <w:right w:val="nil"/>
            </w:tcBorders>
            <w:tcMar>
              <w:top w:w="15" w:type="dxa"/>
              <w:left w:w="15" w:type="dxa"/>
              <w:bottom w:w="0" w:type="dxa"/>
              <w:right w:w="15" w:type="dxa"/>
            </w:tcMar>
            <w:vAlign w:val="center"/>
          </w:tcPr>
          <w:p w14:paraId="43BAB366">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4.0(3.2)</w:t>
            </w:r>
          </w:p>
        </w:tc>
        <w:tc>
          <w:tcPr>
            <w:tcW w:w="1400" w:type="dxa"/>
            <w:tcBorders>
              <w:top w:val="nil"/>
              <w:left w:val="nil"/>
              <w:bottom w:val="nil"/>
              <w:right w:val="nil"/>
            </w:tcBorders>
            <w:tcMar>
              <w:top w:w="15" w:type="dxa"/>
              <w:left w:w="15" w:type="dxa"/>
              <w:bottom w:w="0" w:type="dxa"/>
              <w:right w:w="15" w:type="dxa"/>
            </w:tcMar>
            <w:vAlign w:val="center"/>
          </w:tcPr>
          <w:p w14:paraId="3BDDD155">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3.2(2.9)</w:t>
            </w:r>
          </w:p>
        </w:tc>
      </w:tr>
      <w:tr w14:paraId="0DD50854">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0FE0329A">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6D9AC4E6">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荷</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兰</w:t>
            </w:r>
          </w:p>
        </w:tc>
        <w:tc>
          <w:tcPr>
            <w:tcW w:w="1400" w:type="dxa"/>
            <w:tcBorders>
              <w:top w:val="nil"/>
              <w:left w:val="nil"/>
              <w:bottom w:val="nil"/>
              <w:right w:val="nil"/>
            </w:tcBorders>
            <w:tcMar>
              <w:top w:w="15" w:type="dxa"/>
              <w:left w:w="15" w:type="dxa"/>
              <w:bottom w:w="0" w:type="dxa"/>
              <w:right w:w="15" w:type="dxa"/>
            </w:tcMar>
            <w:vAlign w:val="center"/>
          </w:tcPr>
          <w:p w14:paraId="00E1EB33">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5.0(3.3)</w:t>
            </w:r>
          </w:p>
        </w:tc>
        <w:tc>
          <w:tcPr>
            <w:tcW w:w="1400" w:type="dxa"/>
            <w:tcBorders>
              <w:top w:val="nil"/>
              <w:left w:val="nil"/>
              <w:bottom w:val="nil"/>
              <w:right w:val="nil"/>
            </w:tcBorders>
            <w:tcMar>
              <w:top w:w="15" w:type="dxa"/>
              <w:left w:w="15" w:type="dxa"/>
              <w:bottom w:w="0" w:type="dxa"/>
              <w:right w:w="15" w:type="dxa"/>
            </w:tcMar>
            <w:vAlign w:val="center"/>
          </w:tcPr>
          <w:p w14:paraId="70EE78B8">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4.8(3.5)</w:t>
            </w:r>
          </w:p>
        </w:tc>
        <w:tc>
          <w:tcPr>
            <w:tcW w:w="1400" w:type="dxa"/>
            <w:tcBorders>
              <w:top w:val="nil"/>
              <w:left w:val="nil"/>
              <w:bottom w:val="nil"/>
              <w:right w:val="nil"/>
            </w:tcBorders>
            <w:tcMar>
              <w:top w:w="15" w:type="dxa"/>
              <w:left w:w="15" w:type="dxa"/>
              <w:bottom w:w="0" w:type="dxa"/>
              <w:right w:w="15" w:type="dxa"/>
            </w:tcMar>
            <w:vAlign w:val="center"/>
          </w:tcPr>
          <w:p w14:paraId="34290DBD">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5.5(4.4)</w:t>
            </w:r>
          </w:p>
        </w:tc>
        <w:tc>
          <w:tcPr>
            <w:tcW w:w="1400" w:type="dxa"/>
            <w:tcBorders>
              <w:top w:val="nil"/>
              <w:left w:val="nil"/>
              <w:bottom w:val="nil"/>
              <w:right w:val="nil"/>
            </w:tcBorders>
            <w:tcMar>
              <w:top w:w="15" w:type="dxa"/>
              <w:left w:w="15" w:type="dxa"/>
              <w:bottom w:w="0" w:type="dxa"/>
              <w:right w:w="15" w:type="dxa"/>
            </w:tcMar>
            <w:vAlign w:val="center"/>
          </w:tcPr>
          <w:p w14:paraId="255B6905">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3.2(2.0)</w:t>
            </w:r>
          </w:p>
        </w:tc>
        <w:tc>
          <w:tcPr>
            <w:tcW w:w="1400" w:type="dxa"/>
            <w:tcBorders>
              <w:top w:val="nil"/>
              <w:left w:val="nil"/>
              <w:bottom w:val="nil"/>
              <w:right w:val="nil"/>
            </w:tcBorders>
            <w:tcMar>
              <w:top w:w="15" w:type="dxa"/>
              <w:left w:w="15" w:type="dxa"/>
              <w:bottom w:w="0" w:type="dxa"/>
              <w:right w:w="15" w:type="dxa"/>
            </w:tcMar>
            <w:vAlign w:val="center"/>
          </w:tcPr>
          <w:p w14:paraId="29D98E7C">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2.6(1.9)</w:t>
            </w:r>
          </w:p>
        </w:tc>
      </w:tr>
      <w:tr w14:paraId="0F37AAB9">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2C5A2550">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2CE1B637">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日</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本</w:t>
            </w:r>
          </w:p>
        </w:tc>
        <w:tc>
          <w:tcPr>
            <w:tcW w:w="1400" w:type="dxa"/>
            <w:tcBorders>
              <w:top w:val="nil"/>
              <w:left w:val="nil"/>
              <w:bottom w:val="nil"/>
              <w:right w:val="nil"/>
            </w:tcBorders>
            <w:tcMar>
              <w:top w:w="15" w:type="dxa"/>
              <w:left w:w="15" w:type="dxa"/>
              <w:bottom w:w="0" w:type="dxa"/>
              <w:right w:w="15" w:type="dxa"/>
            </w:tcMar>
            <w:vAlign w:val="center"/>
          </w:tcPr>
          <w:p w14:paraId="4630AF2C">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7.9</w:t>
            </w:r>
            <w:r>
              <w:rPr>
                <w:rFonts w:hint="eastAsia" w:ascii="宋体" w:hAnsi="宋体" w:eastAsia="宋体" w:cs="Times New Roman"/>
                <w:color w:val="000000"/>
                <w:sz w:val="21"/>
                <w:szCs w:val="21"/>
              </w:rPr>
              <w:t>（</w:t>
            </w:r>
            <w:r>
              <w:rPr>
                <w:rFonts w:ascii="宋体" w:hAnsi="宋体" w:eastAsia="宋体" w:cs="Times New Roman"/>
                <w:color w:val="000000"/>
                <w:sz w:val="21"/>
                <w:szCs w:val="21"/>
              </w:rPr>
              <w:t>6.6</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6D5F42A5">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10.0</w:t>
            </w:r>
            <w:r>
              <w:rPr>
                <w:rFonts w:hint="eastAsia" w:ascii="宋体" w:hAnsi="宋体" w:eastAsia="宋体" w:cs="Times New Roman"/>
                <w:color w:val="000000"/>
                <w:sz w:val="21"/>
                <w:szCs w:val="21"/>
              </w:rPr>
              <w:t>（</w:t>
            </w:r>
            <w:r>
              <w:rPr>
                <w:rFonts w:ascii="宋体" w:hAnsi="宋体" w:eastAsia="宋体" w:cs="Times New Roman"/>
                <w:color w:val="000000"/>
                <w:sz w:val="21"/>
                <w:szCs w:val="21"/>
              </w:rPr>
              <w:t>9.0</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355E995A">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12.2</w:t>
            </w:r>
            <w:r>
              <w:rPr>
                <w:rFonts w:hint="eastAsia" w:ascii="宋体" w:hAnsi="宋体" w:eastAsia="宋体" w:cs="Times New Roman"/>
                <w:color w:val="000000"/>
                <w:sz w:val="21"/>
                <w:szCs w:val="21"/>
              </w:rPr>
              <w:t>（</w:t>
            </w:r>
            <w:r>
              <w:rPr>
                <w:rFonts w:ascii="宋体" w:hAnsi="宋体" w:eastAsia="宋体" w:cs="Times New Roman"/>
                <w:color w:val="000000"/>
                <w:sz w:val="21"/>
                <w:szCs w:val="21"/>
              </w:rPr>
              <w:t>11.2</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40324039">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5.0</w:t>
            </w:r>
            <w:r>
              <w:rPr>
                <w:rFonts w:hint="eastAsia" w:ascii="宋体" w:hAnsi="宋体" w:eastAsia="宋体" w:cs="Times New Roman"/>
                <w:color w:val="000000"/>
                <w:sz w:val="21"/>
                <w:szCs w:val="21"/>
              </w:rPr>
              <w:t>（</w:t>
            </w:r>
            <w:r>
              <w:rPr>
                <w:rFonts w:ascii="宋体" w:hAnsi="宋体" w:eastAsia="宋体" w:cs="Times New Roman"/>
                <w:color w:val="000000"/>
                <w:sz w:val="21"/>
                <w:szCs w:val="21"/>
              </w:rPr>
              <w:t>3.8</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11CDDDCB">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5.1</w:t>
            </w:r>
            <w:r>
              <w:rPr>
                <w:rFonts w:hint="eastAsia" w:ascii="宋体" w:hAnsi="宋体" w:eastAsia="宋体" w:cs="Times New Roman"/>
                <w:color w:val="000000"/>
                <w:sz w:val="21"/>
                <w:szCs w:val="21"/>
              </w:rPr>
              <w:t>（</w:t>
            </w:r>
            <w:r>
              <w:rPr>
                <w:rFonts w:ascii="宋体" w:hAnsi="宋体" w:eastAsia="宋体" w:cs="Times New Roman"/>
                <w:color w:val="000000"/>
                <w:sz w:val="21"/>
                <w:szCs w:val="21"/>
              </w:rPr>
              <w:t>4.2</w:t>
            </w:r>
            <w:r>
              <w:rPr>
                <w:rFonts w:hint="eastAsia" w:ascii="宋体" w:hAnsi="宋体" w:eastAsia="宋体" w:cs="Times New Roman"/>
                <w:color w:val="000000"/>
                <w:sz w:val="21"/>
                <w:szCs w:val="21"/>
              </w:rPr>
              <w:t>）</w:t>
            </w:r>
          </w:p>
        </w:tc>
      </w:tr>
      <w:tr w14:paraId="252384EF">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7A2C7963">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33238860">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奥</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地</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利</w:t>
            </w:r>
          </w:p>
        </w:tc>
        <w:tc>
          <w:tcPr>
            <w:tcW w:w="1400" w:type="dxa"/>
            <w:tcBorders>
              <w:top w:val="nil"/>
              <w:left w:val="nil"/>
              <w:bottom w:val="nil"/>
              <w:right w:val="nil"/>
            </w:tcBorders>
            <w:tcMar>
              <w:top w:w="15" w:type="dxa"/>
              <w:left w:w="15" w:type="dxa"/>
              <w:bottom w:w="0" w:type="dxa"/>
              <w:right w:w="15" w:type="dxa"/>
            </w:tcMar>
            <w:vAlign w:val="center"/>
          </w:tcPr>
          <w:p w14:paraId="2561F278">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5.6</w:t>
            </w:r>
            <w:r>
              <w:rPr>
                <w:rFonts w:hint="eastAsia" w:ascii="宋体" w:hAnsi="宋体" w:eastAsia="宋体" w:cs="Times New Roman"/>
                <w:color w:val="000000"/>
                <w:sz w:val="21"/>
                <w:szCs w:val="21"/>
              </w:rPr>
              <w:t>（</w:t>
            </w:r>
            <w:r>
              <w:rPr>
                <w:rFonts w:ascii="宋体" w:hAnsi="宋体" w:eastAsia="宋体" w:cs="Times New Roman"/>
                <w:color w:val="000000"/>
                <w:sz w:val="21"/>
                <w:szCs w:val="21"/>
              </w:rPr>
              <w:t>5.4</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178FC47C">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4.3</w:t>
            </w:r>
            <w:r>
              <w:rPr>
                <w:rFonts w:hint="eastAsia" w:ascii="宋体" w:hAnsi="宋体" w:eastAsia="宋体" w:cs="Times New Roman"/>
                <w:color w:val="000000"/>
                <w:sz w:val="21"/>
                <w:szCs w:val="21"/>
              </w:rPr>
              <w:t>（</w:t>
            </w:r>
            <w:r>
              <w:rPr>
                <w:rFonts w:ascii="宋体" w:hAnsi="宋体" w:eastAsia="宋体" w:cs="Times New Roman"/>
                <w:color w:val="000000"/>
                <w:sz w:val="21"/>
                <w:szCs w:val="21"/>
              </w:rPr>
              <w:t>3.7</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2B4AC004">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5.1</w:t>
            </w:r>
            <w:r>
              <w:rPr>
                <w:rFonts w:hint="eastAsia" w:ascii="宋体" w:hAnsi="宋体" w:eastAsia="宋体" w:cs="Times New Roman"/>
                <w:color w:val="000000"/>
                <w:sz w:val="21"/>
                <w:szCs w:val="21"/>
              </w:rPr>
              <w:t>（</w:t>
            </w:r>
            <w:r>
              <w:rPr>
                <w:rFonts w:ascii="宋体" w:hAnsi="宋体" w:eastAsia="宋体" w:cs="Times New Roman"/>
                <w:color w:val="000000"/>
                <w:sz w:val="21"/>
                <w:szCs w:val="21"/>
              </w:rPr>
              <w:t>4.6</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374BCE14">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3.9</w:t>
            </w:r>
            <w:r>
              <w:rPr>
                <w:rFonts w:hint="eastAsia" w:ascii="宋体" w:hAnsi="宋体" w:eastAsia="宋体" w:cs="Times New Roman"/>
                <w:color w:val="000000"/>
                <w:sz w:val="21"/>
                <w:szCs w:val="21"/>
              </w:rPr>
              <w:t>（</w:t>
            </w:r>
            <w:r>
              <w:rPr>
                <w:rFonts w:ascii="宋体" w:hAnsi="宋体" w:eastAsia="宋体" w:cs="Times New Roman"/>
                <w:color w:val="000000"/>
                <w:sz w:val="21"/>
                <w:szCs w:val="21"/>
              </w:rPr>
              <w:t>3.5</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39AA9F37">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4.0</w:t>
            </w:r>
            <w:r>
              <w:rPr>
                <w:rFonts w:hint="eastAsia" w:ascii="宋体" w:hAnsi="宋体" w:eastAsia="宋体" w:cs="Times New Roman"/>
                <w:color w:val="000000"/>
                <w:sz w:val="21"/>
                <w:szCs w:val="21"/>
              </w:rPr>
              <w:t>（</w:t>
            </w:r>
            <w:r>
              <w:rPr>
                <w:rFonts w:ascii="宋体" w:hAnsi="宋体" w:eastAsia="宋体" w:cs="Times New Roman"/>
                <w:color w:val="000000"/>
                <w:sz w:val="21"/>
                <w:szCs w:val="21"/>
              </w:rPr>
              <w:t>4.0</w:t>
            </w:r>
            <w:r>
              <w:rPr>
                <w:rFonts w:hint="eastAsia" w:ascii="宋体" w:hAnsi="宋体" w:eastAsia="宋体" w:cs="Times New Roman"/>
                <w:color w:val="000000"/>
                <w:sz w:val="21"/>
                <w:szCs w:val="21"/>
              </w:rPr>
              <w:t>）</w:t>
            </w:r>
          </w:p>
        </w:tc>
      </w:tr>
      <w:tr w14:paraId="45B97215">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09880A05">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03D73306">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英</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国</w:t>
            </w:r>
          </w:p>
        </w:tc>
        <w:tc>
          <w:tcPr>
            <w:tcW w:w="1400" w:type="dxa"/>
            <w:tcBorders>
              <w:top w:val="nil"/>
              <w:left w:val="nil"/>
              <w:bottom w:val="nil"/>
              <w:right w:val="nil"/>
            </w:tcBorders>
            <w:tcMar>
              <w:top w:w="15" w:type="dxa"/>
              <w:left w:w="15" w:type="dxa"/>
              <w:bottom w:w="0" w:type="dxa"/>
              <w:right w:w="15" w:type="dxa"/>
            </w:tcMar>
            <w:vAlign w:val="center"/>
          </w:tcPr>
          <w:p w14:paraId="32A8D960">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3.3</w:t>
            </w:r>
            <w:r>
              <w:rPr>
                <w:rFonts w:hint="eastAsia" w:ascii="宋体" w:hAnsi="宋体" w:eastAsia="宋体" w:cs="Times New Roman"/>
                <w:color w:val="000000"/>
                <w:sz w:val="21"/>
                <w:szCs w:val="21"/>
              </w:rPr>
              <w:t>（</w:t>
            </w:r>
            <w:r>
              <w:rPr>
                <w:rFonts w:ascii="宋体" w:hAnsi="宋体" w:eastAsia="宋体" w:cs="Times New Roman"/>
                <w:color w:val="000000"/>
                <w:sz w:val="21"/>
                <w:szCs w:val="21"/>
              </w:rPr>
              <w:t>2.3</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63C279F4">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3.1</w:t>
            </w:r>
            <w:r>
              <w:rPr>
                <w:rFonts w:hint="eastAsia" w:ascii="宋体" w:hAnsi="宋体" w:eastAsia="宋体" w:cs="Times New Roman"/>
                <w:color w:val="000000"/>
                <w:sz w:val="21"/>
                <w:szCs w:val="21"/>
              </w:rPr>
              <w:t>（</w:t>
            </w:r>
            <w:r>
              <w:rPr>
                <w:rFonts w:ascii="宋体" w:hAnsi="宋体" w:eastAsia="宋体" w:cs="Times New Roman"/>
                <w:color w:val="000000"/>
                <w:sz w:val="21"/>
                <w:szCs w:val="21"/>
              </w:rPr>
              <w:t>2.4</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3A2D6F0E">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2.5</w:t>
            </w:r>
            <w:r>
              <w:rPr>
                <w:rFonts w:hint="eastAsia" w:ascii="宋体" w:hAnsi="宋体" w:eastAsia="宋体" w:cs="Times New Roman"/>
                <w:color w:val="000000"/>
                <w:sz w:val="21"/>
                <w:szCs w:val="21"/>
              </w:rPr>
              <w:t>（</w:t>
            </w:r>
            <w:r>
              <w:rPr>
                <w:rFonts w:ascii="宋体" w:hAnsi="宋体" w:eastAsia="宋体" w:cs="Times New Roman"/>
                <w:color w:val="000000"/>
                <w:sz w:val="21"/>
                <w:szCs w:val="21"/>
              </w:rPr>
              <w:t>2.2</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49575EC5">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2.0</w:t>
            </w:r>
            <w:r>
              <w:rPr>
                <w:rFonts w:hint="eastAsia" w:ascii="宋体" w:hAnsi="宋体" w:eastAsia="宋体" w:cs="Times New Roman"/>
                <w:color w:val="000000"/>
                <w:sz w:val="21"/>
                <w:szCs w:val="21"/>
              </w:rPr>
              <w:t>（</w:t>
            </w:r>
            <w:r>
              <w:rPr>
                <w:rFonts w:ascii="宋体" w:hAnsi="宋体" w:eastAsia="宋体" w:cs="Times New Roman"/>
                <w:color w:val="000000"/>
                <w:sz w:val="21"/>
                <w:szCs w:val="21"/>
              </w:rPr>
              <w:t>1.4</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51C0578B">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1.6</w:t>
            </w:r>
            <w:r>
              <w:rPr>
                <w:rFonts w:hint="eastAsia" w:ascii="宋体" w:hAnsi="宋体" w:eastAsia="宋体" w:cs="Times New Roman"/>
                <w:color w:val="000000"/>
                <w:sz w:val="21"/>
                <w:szCs w:val="21"/>
              </w:rPr>
              <w:t>（</w:t>
            </w:r>
            <w:r>
              <w:rPr>
                <w:rFonts w:ascii="宋体" w:hAnsi="宋体" w:eastAsia="宋体" w:cs="Times New Roman"/>
                <w:color w:val="000000"/>
                <w:sz w:val="21"/>
                <w:szCs w:val="21"/>
              </w:rPr>
              <w:t>1.6</w:t>
            </w:r>
            <w:r>
              <w:rPr>
                <w:rFonts w:hint="eastAsia" w:ascii="宋体" w:hAnsi="宋体" w:eastAsia="宋体" w:cs="Times New Roman"/>
                <w:color w:val="000000"/>
                <w:sz w:val="21"/>
                <w:szCs w:val="21"/>
              </w:rPr>
              <w:t>）</w:t>
            </w:r>
          </w:p>
        </w:tc>
      </w:tr>
      <w:tr w14:paraId="21F358A5">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11747D65">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1C968C4C">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意</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大</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利</w:t>
            </w:r>
          </w:p>
        </w:tc>
        <w:tc>
          <w:tcPr>
            <w:tcW w:w="1400" w:type="dxa"/>
            <w:tcBorders>
              <w:top w:val="nil"/>
              <w:left w:val="nil"/>
              <w:bottom w:val="nil"/>
              <w:right w:val="nil"/>
            </w:tcBorders>
            <w:tcMar>
              <w:top w:w="15" w:type="dxa"/>
              <w:left w:w="15" w:type="dxa"/>
              <w:bottom w:w="0" w:type="dxa"/>
              <w:right w:w="15" w:type="dxa"/>
            </w:tcMar>
            <w:vAlign w:val="center"/>
          </w:tcPr>
          <w:p w14:paraId="22827C4A">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5.6</w:t>
            </w:r>
            <w:r>
              <w:rPr>
                <w:rFonts w:hint="eastAsia" w:ascii="宋体" w:hAnsi="宋体" w:eastAsia="宋体" w:cs="Times New Roman"/>
                <w:color w:val="000000"/>
                <w:sz w:val="21"/>
                <w:szCs w:val="21"/>
              </w:rPr>
              <w:t>（</w:t>
            </w:r>
            <w:r>
              <w:rPr>
                <w:rFonts w:ascii="宋体" w:hAnsi="宋体" w:eastAsia="宋体" w:cs="Times New Roman"/>
                <w:color w:val="000000"/>
                <w:sz w:val="21"/>
                <w:szCs w:val="21"/>
              </w:rPr>
              <w:t>4.8</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72E88848">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5.2</w:t>
            </w:r>
            <w:r>
              <w:rPr>
                <w:rFonts w:hint="eastAsia" w:ascii="宋体" w:hAnsi="宋体" w:eastAsia="宋体" w:cs="Times New Roman"/>
                <w:color w:val="000000"/>
                <w:sz w:val="21"/>
                <w:szCs w:val="21"/>
              </w:rPr>
              <w:t>（</w:t>
            </w:r>
            <w:r>
              <w:rPr>
                <w:rFonts w:ascii="宋体" w:hAnsi="宋体" w:eastAsia="宋体" w:cs="Times New Roman"/>
                <w:color w:val="000000"/>
                <w:sz w:val="21"/>
                <w:szCs w:val="21"/>
              </w:rPr>
              <w:t>4.3</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2D747FDF">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6.2</w:t>
            </w:r>
            <w:r>
              <w:rPr>
                <w:rFonts w:hint="eastAsia" w:ascii="宋体" w:hAnsi="宋体" w:eastAsia="宋体" w:cs="Times New Roman"/>
                <w:color w:val="000000"/>
                <w:sz w:val="21"/>
                <w:szCs w:val="21"/>
              </w:rPr>
              <w:t>（</w:t>
            </w:r>
            <w:r>
              <w:rPr>
                <w:rFonts w:ascii="宋体" w:hAnsi="宋体" w:eastAsia="宋体" w:cs="Times New Roman"/>
                <w:color w:val="000000"/>
                <w:sz w:val="21"/>
                <w:szCs w:val="21"/>
              </w:rPr>
              <w:t>5.4</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5AE2E8F5">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2.4</w:t>
            </w:r>
            <w:r>
              <w:rPr>
                <w:rFonts w:hint="eastAsia" w:ascii="宋体" w:hAnsi="宋体" w:eastAsia="宋体" w:cs="Times New Roman"/>
                <w:color w:val="000000"/>
                <w:sz w:val="21"/>
                <w:szCs w:val="21"/>
              </w:rPr>
              <w:t>（</w:t>
            </w:r>
            <w:r>
              <w:rPr>
                <w:rFonts w:ascii="宋体" w:hAnsi="宋体" w:eastAsia="宋体" w:cs="Times New Roman"/>
                <w:color w:val="000000"/>
                <w:sz w:val="21"/>
                <w:szCs w:val="21"/>
              </w:rPr>
              <w:t>1.5</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6A183C5E">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3.9</w:t>
            </w:r>
            <w:r>
              <w:rPr>
                <w:rFonts w:hint="eastAsia" w:ascii="宋体" w:hAnsi="宋体" w:eastAsia="宋体" w:cs="Times New Roman"/>
                <w:color w:val="000000"/>
                <w:sz w:val="21"/>
                <w:szCs w:val="21"/>
              </w:rPr>
              <w:t>（</w:t>
            </w:r>
            <w:r>
              <w:rPr>
                <w:rFonts w:ascii="宋体" w:hAnsi="宋体" w:eastAsia="宋体" w:cs="Times New Roman"/>
                <w:color w:val="000000"/>
                <w:sz w:val="21"/>
                <w:szCs w:val="21"/>
              </w:rPr>
              <w:t>3.4</w:t>
            </w:r>
            <w:r>
              <w:rPr>
                <w:rFonts w:hint="eastAsia" w:ascii="宋体" w:hAnsi="宋体" w:eastAsia="宋体" w:cs="Times New Roman"/>
                <w:color w:val="000000"/>
                <w:sz w:val="21"/>
                <w:szCs w:val="21"/>
              </w:rPr>
              <w:t>）</w:t>
            </w:r>
          </w:p>
        </w:tc>
      </w:tr>
      <w:tr w14:paraId="5210D463">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5BBCA7B8">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6D3DB4B4">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西</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班</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牙</w:t>
            </w:r>
          </w:p>
        </w:tc>
        <w:tc>
          <w:tcPr>
            <w:tcW w:w="1400" w:type="dxa"/>
            <w:tcBorders>
              <w:top w:val="nil"/>
              <w:left w:val="nil"/>
              <w:bottom w:val="nil"/>
              <w:right w:val="nil"/>
            </w:tcBorders>
            <w:tcMar>
              <w:top w:w="15" w:type="dxa"/>
              <w:left w:w="15" w:type="dxa"/>
              <w:bottom w:w="0" w:type="dxa"/>
              <w:right w:w="15" w:type="dxa"/>
            </w:tcMar>
            <w:vAlign w:val="center"/>
          </w:tcPr>
          <w:p w14:paraId="6F40F56D">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6.2</w:t>
            </w:r>
            <w:r>
              <w:rPr>
                <w:rFonts w:hint="eastAsia" w:ascii="宋体" w:hAnsi="宋体" w:eastAsia="宋体" w:cs="Times New Roman"/>
                <w:color w:val="000000"/>
                <w:sz w:val="21"/>
                <w:szCs w:val="21"/>
              </w:rPr>
              <w:t>（</w:t>
            </w:r>
            <w:r>
              <w:rPr>
                <w:rFonts w:ascii="宋体" w:hAnsi="宋体" w:eastAsia="宋体" w:cs="Times New Roman"/>
                <w:color w:val="000000"/>
                <w:sz w:val="21"/>
                <w:szCs w:val="21"/>
              </w:rPr>
              <w:t>5.3</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599F1900">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8.5</w:t>
            </w:r>
            <w:r>
              <w:rPr>
                <w:rFonts w:hint="eastAsia" w:ascii="宋体" w:hAnsi="宋体" w:eastAsia="宋体" w:cs="Times New Roman"/>
                <w:color w:val="000000"/>
                <w:sz w:val="21"/>
                <w:szCs w:val="21"/>
              </w:rPr>
              <w:t>（</w:t>
            </w:r>
            <w:r>
              <w:rPr>
                <w:rFonts w:ascii="宋体" w:hAnsi="宋体" w:eastAsia="宋体" w:cs="Times New Roman"/>
                <w:color w:val="000000"/>
                <w:sz w:val="21"/>
                <w:szCs w:val="21"/>
              </w:rPr>
              <w:t>7.5</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39D4E278">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6.2</w:t>
            </w:r>
            <w:r>
              <w:rPr>
                <w:rFonts w:hint="eastAsia" w:ascii="宋体" w:hAnsi="宋体" w:eastAsia="宋体" w:cs="Times New Roman"/>
                <w:color w:val="000000"/>
                <w:sz w:val="21"/>
                <w:szCs w:val="21"/>
              </w:rPr>
              <w:t>（</w:t>
            </w:r>
            <w:r>
              <w:rPr>
                <w:rFonts w:ascii="宋体" w:hAnsi="宋体" w:eastAsia="宋体" w:cs="Times New Roman"/>
                <w:color w:val="000000"/>
                <w:sz w:val="21"/>
                <w:szCs w:val="21"/>
              </w:rPr>
              <w:t>5.1</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360F8ACB">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5.5</w:t>
            </w:r>
            <w:r>
              <w:rPr>
                <w:rFonts w:hint="eastAsia" w:ascii="宋体" w:hAnsi="宋体" w:eastAsia="宋体" w:cs="Times New Roman"/>
                <w:color w:val="000000"/>
                <w:sz w:val="21"/>
                <w:szCs w:val="21"/>
              </w:rPr>
              <w:t>（</w:t>
            </w:r>
            <w:r>
              <w:rPr>
                <w:rFonts w:ascii="宋体" w:hAnsi="宋体" w:eastAsia="宋体" w:cs="Times New Roman"/>
                <w:color w:val="000000"/>
                <w:sz w:val="21"/>
                <w:szCs w:val="21"/>
              </w:rPr>
              <w:t>4.6</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4524F33E">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2.3</w:t>
            </w:r>
            <w:r>
              <w:rPr>
                <w:rFonts w:hint="eastAsia" w:ascii="宋体" w:hAnsi="宋体" w:eastAsia="宋体" w:cs="Times New Roman"/>
                <w:color w:val="000000"/>
                <w:sz w:val="21"/>
                <w:szCs w:val="21"/>
              </w:rPr>
              <w:t>（</w:t>
            </w:r>
            <w:r>
              <w:rPr>
                <w:rFonts w:ascii="宋体" w:hAnsi="宋体" w:eastAsia="宋体" w:cs="Times New Roman"/>
                <w:color w:val="000000"/>
                <w:sz w:val="21"/>
                <w:szCs w:val="21"/>
              </w:rPr>
              <w:t>1.3</w:t>
            </w:r>
            <w:r>
              <w:rPr>
                <w:rFonts w:hint="eastAsia" w:ascii="宋体" w:hAnsi="宋体" w:eastAsia="宋体" w:cs="Times New Roman"/>
                <w:color w:val="000000"/>
                <w:sz w:val="21"/>
                <w:szCs w:val="21"/>
              </w:rPr>
              <w:t>）</w:t>
            </w:r>
          </w:p>
        </w:tc>
      </w:tr>
      <w:tr w14:paraId="69D38AEC">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6FEC46D2">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15FAD656">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希</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腊</w:t>
            </w:r>
          </w:p>
        </w:tc>
        <w:tc>
          <w:tcPr>
            <w:tcW w:w="1400" w:type="dxa"/>
            <w:tcBorders>
              <w:top w:val="nil"/>
              <w:left w:val="nil"/>
              <w:bottom w:val="nil"/>
              <w:right w:val="nil"/>
            </w:tcBorders>
            <w:tcMar>
              <w:top w:w="15" w:type="dxa"/>
              <w:left w:w="15" w:type="dxa"/>
              <w:bottom w:w="0" w:type="dxa"/>
              <w:right w:w="15" w:type="dxa"/>
            </w:tcMar>
            <w:vAlign w:val="center"/>
          </w:tcPr>
          <w:p w14:paraId="7AE6DE0B">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6.0</w:t>
            </w:r>
            <w:r>
              <w:rPr>
                <w:rFonts w:hint="eastAsia" w:ascii="宋体" w:hAnsi="宋体" w:eastAsia="宋体" w:cs="Times New Roman"/>
                <w:color w:val="000000"/>
                <w:sz w:val="21"/>
                <w:szCs w:val="21"/>
              </w:rPr>
              <w:t>（</w:t>
            </w:r>
            <w:r>
              <w:rPr>
                <w:rFonts w:ascii="宋体" w:hAnsi="宋体" w:eastAsia="宋体" w:cs="Times New Roman"/>
                <w:color w:val="000000"/>
                <w:sz w:val="21"/>
                <w:szCs w:val="21"/>
              </w:rPr>
              <w:t>5.0</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05A74FB1">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7.7</w:t>
            </w:r>
            <w:r>
              <w:rPr>
                <w:rFonts w:hint="eastAsia" w:ascii="宋体" w:hAnsi="宋体" w:eastAsia="宋体" w:cs="Times New Roman"/>
                <w:color w:val="000000"/>
                <w:sz w:val="21"/>
                <w:szCs w:val="21"/>
              </w:rPr>
              <w:t>（</w:t>
            </w:r>
            <w:r>
              <w:rPr>
                <w:rFonts w:ascii="宋体" w:hAnsi="宋体" w:eastAsia="宋体" w:cs="Times New Roman"/>
                <w:color w:val="000000"/>
                <w:sz w:val="21"/>
                <w:szCs w:val="21"/>
              </w:rPr>
              <w:t>7.2</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66D08D00">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7.2</w:t>
            </w:r>
            <w:r>
              <w:rPr>
                <w:rFonts w:hint="eastAsia" w:ascii="宋体" w:hAnsi="宋体" w:eastAsia="宋体" w:cs="Times New Roman"/>
                <w:color w:val="000000"/>
                <w:sz w:val="21"/>
                <w:szCs w:val="21"/>
              </w:rPr>
              <w:t>（</w:t>
            </w:r>
            <w:r>
              <w:rPr>
                <w:rFonts w:ascii="宋体" w:hAnsi="宋体" w:eastAsia="宋体" w:cs="Times New Roman"/>
                <w:color w:val="000000"/>
                <w:sz w:val="21"/>
                <w:szCs w:val="21"/>
              </w:rPr>
              <w:t>6.6</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741718B0">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5.0</w:t>
            </w:r>
            <w:r>
              <w:rPr>
                <w:rFonts w:hint="eastAsia" w:ascii="宋体" w:hAnsi="宋体" w:eastAsia="宋体" w:cs="Times New Roman"/>
                <w:color w:val="000000"/>
                <w:sz w:val="21"/>
                <w:szCs w:val="21"/>
              </w:rPr>
              <w:t>（</w:t>
            </w:r>
            <w:r>
              <w:rPr>
                <w:rFonts w:ascii="宋体" w:hAnsi="宋体" w:eastAsia="宋体" w:cs="Times New Roman"/>
                <w:color w:val="000000"/>
                <w:sz w:val="21"/>
                <w:szCs w:val="21"/>
              </w:rPr>
              <w:t>4.5</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7C10FE82">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4.4</w:t>
            </w:r>
            <w:r>
              <w:rPr>
                <w:rFonts w:hint="eastAsia" w:ascii="宋体" w:hAnsi="宋体" w:eastAsia="宋体" w:cs="Times New Roman"/>
                <w:color w:val="000000"/>
                <w:sz w:val="21"/>
                <w:szCs w:val="21"/>
              </w:rPr>
              <w:t>（</w:t>
            </w:r>
            <w:r>
              <w:rPr>
                <w:rFonts w:ascii="宋体" w:hAnsi="宋体" w:eastAsia="宋体" w:cs="Times New Roman"/>
                <w:color w:val="000000"/>
                <w:sz w:val="21"/>
                <w:szCs w:val="21"/>
              </w:rPr>
              <w:t>3.2</w:t>
            </w:r>
            <w:r>
              <w:rPr>
                <w:rFonts w:hint="eastAsia" w:ascii="宋体" w:hAnsi="宋体" w:eastAsia="宋体" w:cs="Times New Roman"/>
                <w:color w:val="000000"/>
                <w:sz w:val="21"/>
                <w:szCs w:val="21"/>
              </w:rPr>
              <w:t>）</w:t>
            </w:r>
          </w:p>
        </w:tc>
      </w:tr>
      <w:tr w14:paraId="3B01FD9E">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3752EDD0">
            <w:pPr>
              <w:ind w:firstLine="360"/>
              <w:jc w:val="center"/>
              <w:rPr>
                <w:rFonts w:ascii="宋体" w:hAnsi="宋体" w:eastAsia="宋体" w:cs="Arial Unicode MS"/>
                <w:color w:val="000000"/>
                <w:sz w:val="21"/>
                <w:szCs w:val="21"/>
              </w:rPr>
            </w:pPr>
          </w:p>
        </w:tc>
        <w:tc>
          <w:tcPr>
            <w:tcW w:w="1660" w:type="dxa"/>
            <w:tcBorders>
              <w:top w:val="nil"/>
              <w:left w:val="nil"/>
              <w:bottom w:val="nil"/>
              <w:right w:val="single" w:color="auto" w:sz="4" w:space="0"/>
            </w:tcBorders>
            <w:tcMar>
              <w:top w:w="15" w:type="dxa"/>
              <w:left w:w="15" w:type="dxa"/>
              <w:bottom w:w="0" w:type="dxa"/>
              <w:right w:w="15" w:type="dxa"/>
            </w:tcMar>
            <w:vAlign w:val="center"/>
          </w:tcPr>
          <w:p w14:paraId="6BC52793">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土</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耳</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其</w:t>
            </w:r>
          </w:p>
        </w:tc>
        <w:tc>
          <w:tcPr>
            <w:tcW w:w="1400" w:type="dxa"/>
            <w:tcBorders>
              <w:top w:val="nil"/>
              <w:left w:val="nil"/>
              <w:bottom w:val="nil"/>
              <w:right w:val="nil"/>
            </w:tcBorders>
            <w:tcMar>
              <w:top w:w="15" w:type="dxa"/>
              <w:left w:w="15" w:type="dxa"/>
              <w:bottom w:w="0" w:type="dxa"/>
              <w:right w:w="15" w:type="dxa"/>
            </w:tcMar>
            <w:vAlign w:val="center"/>
          </w:tcPr>
          <w:p w14:paraId="251102AB">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6.4</w:t>
            </w:r>
            <w:r>
              <w:rPr>
                <w:rFonts w:hint="eastAsia" w:ascii="宋体" w:hAnsi="宋体" w:eastAsia="宋体" w:cs="Times New Roman"/>
                <w:color w:val="000000"/>
                <w:sz w:val="21"/>
                <w:szCs w:val="21"/>
              </w:rPr>
              <w:t>（</w:t>
            </w:r>
            <w:r>
              <w:rPr>
                <w:rFonts w:ascii="宋体" w:hAnsi="宋体" w:eastAsia="宋体" w:cs="Times New Roman"/>
                <w:color w:val="000000"/>
                <w:sz w:val="21"/>
                <w:szCs w:val="21"/>
              </w:rPr>
              <w:t>3.4</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512D1E14">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4.8</w:t>
            </w:r>
            <w:r>
              <w:rPr>
                <w:rFonts w:hint="eastAsia" w:ascii="宋体" w:hAnsi="宋体" w:eastAsia="宋体" w:cs="Times New Roman"/>
                <w:color w:val="000000"/>
                <w:sz w:val="21"/>
                <w:szCs w:val="21"/>
              </w:rPr>
              <w:t>（</w:t>
            </w:r>
            <w:r>
              <w:rPr>
                <w:rFonts w:ascii="宋体" w:hAnsi="宋体" w:eastAsia="宋体" w:cs="Times New Roman"/>
                <w:color w:val="000000"/>
                <w:sz w:val="21"/>
                <w:szCs w:val="21"/>
              </w:rPr>
              <w:t>2.8</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3D661033">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6.6</w:t>
            </w:r>
            <w:r>
              <w:rPr>
                <w:rFonts w:hint="eastAsia" w:ascii="宋体" w:hAnsi="宋体" w:eastAsia="宋体" w:cs="Times New Roman"/>
                <w:color w:val="000000"/>
                <w:sz w:val="21"/>
                <w:szCs w:val="21"/>
              </w:rPr>
              <w:t>（</w:t>
            </w:r>
            <w:r>
              <w:rPr>
                <w:rFonts w:ascii="宋体" w:hAnsi="宋体" w:eastAsia="宋体" w:cs="Times New Roman"/>
                <w:color w:val="000000"/>
                <w:sz w:val="21"/>
                <w:szCs w:val="21"/>
              </w:rPr>
              <w:t>3.7</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60AAB36B">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7.5</w:t>
            </w:r>
            <w:r>
              <w:rPr>
                <w:rFonts w:hint="eastAsia" w:ascii="宋体" w:hAnsi="宋体" w:eastAsia="宋体" w:cs="Times New Roman"/>
                <w:color w:val="000000"/>
                <w:sz w:val="21"/>
                <w:szCs w:val="21"/>
              </w:rPr>
              <w:t>（</w:t>
            </w:r>
            <w:r>
              <w:rPr>
                <w:rFonts w:ascii="宋体" w:hAnsi="宋体" w:eastAsia="宋体" w:cs="Times New Roman"/>
                <w:color w:val="000000"/>
                <w:sz w:val="21"/>
                <w:szCs w:val="21"/>
              </w:rPr>
              <w:t>5.0</w:t>
            </w:r>
            <w:r>
              <w:rPr>
                <w:rFonts w:hint="eastAsia" w:ascii="宋体" w:hAnsi="宋体" w:eastAsia="宋体" w:cs="Times New Roman"/>
                <w:color w:val="000000"/>
                <w:sz w:val="21"/>
                <w:szCs w:val="21"/>
              </w:rPr>
              <w:t>）</w:t>
            </w:r>
          </w:p>
        </w:tc>
        <w:tc>
          <w:tcPr>
            <w:tcW w:w="1400" w:type="dxa"/>
            <w:tcBorders>
              <w:top w:val="nil"/>
              <w:left w:val="nil"/>
              <w:bottom w:val="nil"/>
              <w:right w:val="nil"/>
            </w:tcBorders>
            <w:tcMar>
              <w:top w:w="15" w:type="dxa"/>
              <w:left w:w="15" w:type="dxa"/>
              <w:bottom w:w="0" w:type="dxa"/>
              <w:right w:w="15" w:type="dxa"/>
            </w:tcMar>
            <w:vAlign w:val="center"/>
          </w:tcPr>
          <w:p w14:paraId="5837676F">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3.1</w:t>
            </w:r>
            <w:r>
              <w:rPr>
                <w:rFonts w:hint="eastAsia" w:ascii="宋体" w:hAnsi="宋体" w:eastAsia="宋体" w:cs="Times New Roman"/>
                <w:color w:val="000000"/>
                <w:sz w:val="21"/>
                <w:szCs w:val="21"/>
              </w:rPr>
              <w:t>（</w:t>
            </w:r>
            <w:r>
              <w:rPr>
                <w:rFonts w:ascii="宋体" w:hAnsi="宋体" w:eastAsia="宋体" w:cs="Times New Roman"/>
                <w:color w:val="000000"/>
                <w:sz w:val="21"/>
                <w:szCs w:val="21"/>
              </w:rPr>
              <w:t>0.6</w:t>
            </w:r>
            <w:r>
              <w:rPr>
                <w:rFonts w:hint="eastAsia" w:ascii="宋体" w:hAnsi="宋体" w:eastAsia="宋体" w:cs="Times New Roman"/>
                <w:color w:val="000000"/>
                <w:sz w:val="21"/>
                <w:szCs w:val="21"/>
              </w:rPr>
              <w:t>）</w:t>
            </w:r>
          </w:p>
        </w:tc>
      </w:tr>
      <w:tr w14:paraId="022F1BAB">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271A9719">
            <w:pPr>
              <w:ind w:firstLine="360"/>
              <w:jc w:val="center"/>
              <w:rPr>
                <w:rFonts w:ascii="宋体" w:hAnsi="宋体" w:eastAsia="宋体" w:cs="Arial Unicode MS"/>
                <w:color w:val="000000"/>
                <w:sz w:val="21"/>
                <w:szCs w:val="21"/>
              </w:rPr>
            </w:pPr>
          </w:p>
        </w:tc>
        <w:tc>
          <w:tcPr>
            <w:tcW w:w="1660" w:type="dxa"/>
            <w:tcBorders>
              <w:top w:val="nil"/>
              <w:left w:val="nil"/>
              <w:bottom w:val="single" w:color="auto" w:sz="4" w:space="0"/>
              <w:right w:val="single" w:color="auto" w:sz="4" w:space="0"/>
            </w:tcBorders>
            <w:tcMar>
              <w:top w:w="15" w:type="dxa"/>
              <w:left w:w="15" w:type="dxa"/>
              <w:bottom w:w="0" w:type="dxa"/>
              <w:right w:w="15" w:type="dxa"/>
            </w:tcMar>
            <w:vAlign w:val="center"/>
          </w:tcPr>
          <w:p w14:paraId="03AC2CA6">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印</w:t>
            </w:r>
            <w:r>
              <w:rPr>
                <w:rFonts w:ascii="宋体" w:hAnsi="宋体" w:eastAsia="宋体" w:cs="Times New Roman"/>
                <w:color w:val="000000"/>
                <w:sz w:val="21"/>
                <w:szCs w:val="21"/>
              </w:rPr>
              <w:t xml:space="preserve">      </w:t>
            </w:r>
            <w:r>
              <w:rPr>
                <w:rFonts w:hint="eastAsia" w:ascii="宋体" w:hAnsi="宋体" w:eastAsia="宋体" w:cs="Times New Roman"/>
                <w:color w:val="000000"/>
                <w:sz w:val="21"/>
                <w:szCs w:val="21"/>
              </w:rPr>
              <w:t>度</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6DF63195">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3.8</w:t>
            </w:r>
            <w:r>
              <w:rPr>
                <w:rFonts w:hint="eastAsia" w:ascii="宋体" w:hAnsi="宋体" w:eastAsia="宋体" w:cs="Times New Roman"/>
                <w:color w:val="000000"/>
                <w:sz w:val="21"/>
                <w:szCs w:val="21"/>
              </w:rPr>
              <w:t>（</w:t>
            </w:r>
            <w:r>
              <w:rPr>
                <w:rFonts w:ascii="宋体" w:hAnsi="宋体" w:eastAsia="宋体" w:cs="Times New Roman"/>
                <w:color w:val="000000"/>
                <w:sz w:val="21"/>
                <w:szCs w:val="21"/>
              </w:rPr>
              <w:t>1.9</w:t>
            </w:r>
            <w:r>
              <w:rPr>
                <w:rFonts w:hint="eastAsia" w:ascii="宋体" w:hAnsi="宋体" w:eastAsia="宋体" w:cs="Times New Roman"/>
                <w:color w:val="000000"/>
                <w:sz w:val="21"/>
                <w:szCs w:val="21"/>
              </w:rPr>
              <w:t>）</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7DA63A16">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4.0</w:t>
            </w:r>
            <w:r>
              <w:rPr>
                <w:rFonts w:hint="eastAsia" w:ascii="宋体" w:hAnsi="宋体" w:eastAsia="宋体" w:cs="Times New Roman"/>
                <w:color w:val="000000"/>
                <w:sz w:val="21"/>
                <w:szCs w:val="21"/>
              </w:rPr>
              <w:t>（</w:t>
            </w:r>
            <w:r>
              <w:rPr>
                <w:rFonts w:ascii="宋体" w:hAnsi="宋体" w:eastAsia="宋体" w:cs="Times New Roman"/>
                <w:color w:val="000000"/>
                <w:sz w:val="21"/>
                <w:szCs w:val="21"/>
              </w:rPr>
              <w:t>1.7</w:t>
            </w:r>
            <w:r>
              <w:rPr>
                <w:rFonts w:hint="eastAsia" w:ascii="宋体" w:hAnsi="宋体" w:eastAsia="宋体" w:cs="Times New Roman"/>
                <w:color w:val="000000"/>
                <w:sz w:val="21"/>
                <w:szCs w:val="21"/>
              </w:rPr>
              <w:t>）</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2051A68C">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5.0</w:t>
            </w:r>
            <w:r>
              <w:rPr>
                <w:rFonts w:hint="eastAsia" w:ascii="宋体" w:hAnsi="宋体" w:eastAsia="宋体" w:cs="Times New Roman"/>
                <w:color w:val="000000"/>
                <w:sz w:val="21"/>
                <w:szCs w:val="21"/>
              </w:rPr>
              <w:t>（</w:t>
            </w:r>
            <w:r>
              <w:rPr>
                <w:rFonts w:ascii="宋体" w:hAnsi="宋体" w:eastAsia="宋体" w:cs="Times New Roman"/>
                <w:color w:val="000000"/>
                <w:sz w:val="21"/>
                <w:szCs w:val="21"/>
              </w:rPr>
              <w:t>2.6</w:t>
            </w:r>
            <w:r>
              <w:rPr>
                <w:rFonts w:hint="eastAsia" w:ascii="宋体" w:hAnsi="宋体" w:eastAsia="宋体" w:cs="Times New Roman"/>
                <w:color w:val="000000"/>
                <w:sz w:val="21"/>
                <w:szCs w:val="21"/>
              </w:rPr>
              <w:t>）</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1BA941EC">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3.0</w:t>
            </w:r>
            <w:r>
              <w:rPr>
                <w:rFonts w:hint="eastAsia" w:ascii="宋体" w:hAnsi="宋体" w:eastAsia="宋体" w:cs="Times New Roman"/>
                <w:color w:val="000000"/>
                <w:sz w:val="21"/>
                <w:szCs w:val="21"/>
              </w:rPr>
              <w:t>（</w:t>
            </w:r>
            <w:r>
              <w:rPr>
                <w:rFonts w:ascii="宋体" w:hAnsi="宋体" w:eastAsia="宋体" w:cs="Times New Roman"/>
                <w:color w:val="000000"/>
                <w:sz w:val="21"/>
                <w:szCs w:val="21"/>
              </w:rPr>
              <w:t>1.0</w:t>
            </w:r>
            <w:r>
              <w:rPr>
                <w:rFonts w:hint="eastAsia" w:ascii="宋体" w:hAnsi="宋体" w:eastAsia="宋体" w:cs="Times New Roman"/>
                <w:color w:val="000000"/>
                <w:sz w:val="21"/>
                <w:szCs w:val="21"/>
              </w:rPr>
              <w:t>）</w:t>
            </w:r>
          </w:p>
        </w:tc>
        <w:tc>
          <w:tcPr>
            <w:tcW w:w="1400" w:type="dxa"/>
            <w:tcBorders>
              <w:top w:val="nil"/>
              <w:left w:val="nil"/>
              <w:bottom w:val="single" w:color="auto" w:sz="4" w:space="0"/>
              <w:right w:val="nil"/>
            </w:tcBorders>
            <w:tcMar>
              <w:top w:w="15" w:type="dxa"/>
              <w:left w:w="15" w:type="dxa"/>
              <w:bottom w:w="0" w:type="dxa"/>
              <w:right w:w="15" w:type="dxa"/>
            </w:tcMar>
            <w:vAlign w:val="center"/>
          </w:tcPr>
          <w:p w14:paraId="7A86F171">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3.4</w:t>
            </w:r>
            <w:r>
              <w:rPr>
                <w:rFonts w:hint="eastAsia" w:ascii="宋体" w:hAnsi="宋体" w:eastAsia="宋体" w:cs="Times New Roman"/>
                <w:color w:val="000000"/>
                <w:sz w:val="21"/>
                <w:szCs w:val="21"/>
              </w:rPr>
              <w:t>（</w:t>
            </w:r>
            <w:r>
              <w:rPr>
                <w:rFonts w:ascii="宋体" w:hAnsi="宋体" w:eastAsia="宋体" w:cs="Times New Roman"/>
                <w:color w:val="000000"/>
                <w:sz w:val="21"/>
                <w:szCs w:val="21"/>
              </w:rPr>
              <w:t>1.6</w:t>
            </w:r>
            <w:r>
              <w:rPr>
                <w:rFonts w:hint="eastAsia" w:ascii="宋体" w:hAnsi="宋体" w:eastAsia="宋体" w:cs="Times New Roman"/>
                <w:color w:val="000000"/>
                <w:sz w:val="21"/>
                <w:szCs w:val="21"/>
              </w:rPr>
              <w:t>）</w:t>
            </w:r>
          </w:p>
        </w:tc>
      </w:tr>
      <w:tr w14:paraId="664BADC2">
        <w:trPr>
          <w:cantSplit/>
          <w:trHeight w:val="330" w:hRule="atLeast"/>
        </w:trPr>
        <w:tc>
          <w:tcPr>
            <w:tcW w:w="440" w:type="dxa"/>
            <w:vMerge w:val="continue"/>
            <w:tcBorders>
              <w:top w:val="nil"/>
              <w:left w:val="nil"/>
              <w:bottom w:val="single" w:color="000000" w:sz="12" w:space="0"/>
              <w:right w:val="single" w:color="auto" w:sz="4" w:space="0"/>
            </w:tcBorders>
            <w:vAlign w:val="center"/>
          </w:tcPr>
          <w:p w14:paraId="32D27592">
            <w:pPr>
              <w:ind w:firstLine="360"/>
              <w:jc w:val="center"/>
              <w:rPr>
                <w:rFonts w:ascii="宋体" w:hAnsi="宋体" w:eastAsia="宋体" w:cs="Arial Unicode MS"/>
                <w:color w:val="000000"/>
                <w:sz w:val="21"/>
                <w:szCs w:val="21"/>
              </w:rPr>
            </w:pPr>
          </w:p>
        </w:tc>
        <w:tc>
          <w:tcPr>
            <w:tcW w:w="1660" w:type="dxa"/>
            <w:tcBorders>
              <w:top w:val="nil"/>
              <w:left w:val="nil"/>
              <w:bottom w:val="single" w:color="auto" w:sz="12" w:space="0"/>
              <w:right w:val="single" w:color="auto" w:sz="4" w:space="0"/>
            </w:tcBorders>
            <w:tcMar>
              <w:top w:w="15" w:type="dxa"/>
              <w:left w:w="15" w:type="dxa"/>
              <w:bottom w:w="0" w:type="dxa"/>
              <w:right w:w="15" w:type="dxa"/>
            </w:tcMar>
            <w:vAlign w:val="center"/>
          </w:tcPr>
          <w:p w14:paraId="331F38FC">
            <w:pPr>
              <w:ind w:firstLine="360"/>
              <w:jc w:val="center"/>
              <w:rPr>
                <w:rFonts w:ascii="宋体" w:hAnsi="宋体" w:eastAsia="宋体" w:cs="Arial Unicode MS"/>
                <w:color w:val="000000"/>
                <w:sz w:val="21"/>
                <w:szCs w:val="21"/>
              </w:rPr>
            </w:pPr>
            <w:r>
              <w:rPr>
                <w:rFonts w:hint="eastAsia" w:ascii="宋体" w:hAnsi="宋体" w:eastAsia="宋体" w:cs="Times New Roman"/>
                <w:color w:val="000000"/>
                <w:sz w:val="21"/>
                <w:szCs w:val="21"/>
              </w:rPr>
              <w:t>未加权平均数</w:t>
            </w:r>
          </w:p>
        </w:tc>
        <w:tc>
          <w:tcPr>
            <w:tcW w:w="1400" w:type="dxa"/>
            <w:tcBorders>
              <w:top w:val="nil"/>
              <w:left w:val="nil"/>
              <w:bottom w:val="single" w:color="auto" w:sz="12" w:space="0"/>
              <w:right w:val="nil"/>
            </w:tcBorders>
            <w:tcMar>
              <w:top w:w="15" w:type="dxa"/>
              <w:left w:w="15" w:type="dxa"/>
              <w:bottom w:w="0" w:type="dxa"/>
              <w:right w:w="15" w:type="dxa"/>
            </w:tcMar>
            <w:vAlign w:val="center"/>
          </w:tcPr>
          <w:p w14:paraId="13E7D291">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5.0</w:t>
            </w:r>
            <w:r>
              <w:rPr>
                <w:rFonts w:hint="eastAsia" w:ascii="宋体" w:hAnsi="宋体" w:eastAsia="宋体" w:cs="Times New Roman"/>
                <w:color w:val="000000"/>
                <w:sz w:val="21"/>
                <w:szCs w:val="21"/>
              </w:rPr>
              <w:t>（</w:t>
            </w:r>
            <w:r>
              <w:rPr>
                <w:rFonts w:ascii="宋体" w:hAnsi="宋体" w:eastAsia="宋体" w:cs="Times New Roman"/>
                <w:color w:val="000000"/>
                <w:sz w:val="21"/>
                <w:szCs w:val="21"/>
              </w:rPr>
              <w:t>3.7</w:t>
            </w:r>
            <w:r>
              <w:rPr>
                <w:rFonts w:hint="eastAsia" w:ascii="宋体" w:hAnsi="宋体" w:eastAsia="宋体" w:cs="Times New Roman"/>
                <w:color w:val="000000"/>
                <w:sz w:val="21"/>
                <w:szCs w:val="21"/>
              </w:rPr>
              <w:t>）</w:t>
            </w:r>
          </w:p>
        </w:tc>
        <w:tc>
          <w:tcPr>
            <w:tcW w:w="1400" w:type="dxa"/>
            <w:tcBorders>
              <w:top w:val="nil"/>
              <w:left w:val="nil"/>
              <w:bottom w:val="single" w:color="auto" w:sz="12" w:space="0"/>
              <w:right w:val="nil"/>
            </w:tcBorders>
            <w:tcMar>
              <w:top w:w="15" w:type="dxa"/>
              <w:left w:w="15" w:type="dxa"/>
              <w:bottom w:w="0" w:type="dxa"/>
              <w:right w:w="15" w:type="dxa"/>
            </w:tcMar>
            <w:vAlign w:val="center"/>
          </w:tcPr>
          <w:p w14:paraId="7A91F154">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5.5</w:t>
            </w:r>
            <w:r>
              <w:rPr>
                <w:rFonts w:hint="eastAsia" w:ascii="宋体" w:hAnsi="宋体" w:eastAsia="宋体" w:cs="Times New Roman"/>
                <w:color w:val="000000"/>
                <w:sz w:val="21"/>
                <w:szCs w:val="21"/>
              </w:rPr>
              <w:t>（</w:t>
            </w:r>
            <w:r>
              <w:rPr>
                <w:rFonts w:ascii="宋体" w:hAnsi="宋体" w:eastAsia="宋体" w:cs="Times New Roman"/>
                <w:color w:val="000000"/>
                <w:sz w:val="21"/>
                <w:szCs w:val="21"/>
              </w:rPr>
              <w:t>4.4</w:t>
            </w:r>
            <w:r>
              <w:rPr>
                <w:rFonts w:hint="eastAsia" w:ascii="宋体" w:hAnsi="宋体" w:eastAsia="宋体" w:cs="Times New Roman"/>
                <w:color w:val="000000"/>
                <w:sz w:val="21"/>
                <w:szCs w:val="21"/>
              </w:rPr>
              <w:t>）</w:t>
            </w:r>
          </w:p>
        </w:tc>
        <w:tc>
          <w:tcPr>
            <w:tcW w:w="1400" w:type="dxa"/>
            <w:tcBorders>
              <w:top w:val="nil"/>
              <w:left w:val="nil"/>
              <w:bottom w:val="single" w:color="auto" w:sz="12" w:space="0"/>
              <w:right w:val="nil"/>
            </w:tcBorders>
            <w:tcMar>
              <w:top w:w="15" w:type="dxa"/>
              <w:left w:w="15" w:type="dxa"/>
              <w:bottom w:w="0" w:type="dxa"/>
              <w:right w:w="15" w:type="dxa"/>
            </w:tcMar>
            <w:vAlign w:val="center"/>
          </w:tcPr>
          <w:p w14:paraId="167E05E8">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5.5</w:t>
            </w:r>
            <w:r>
              <w:rPr>
                <w:rFonts w:hint="eastAsia" w:ascii="宋体" w:hAnsi="宋体" w:eastAsia="宋体" w:cs="Times New Roman"/>
                <w:color w:val="000000"/>
                <w:sz w:val="21"/>
                <w:szCs w:val="21"/>
              </w:rPr>
              <w:t>（</w:t>
            </w:r>
            <w:r>
              <w:rPr>
                <w:rFonts w:ascii="宋体" w:hAnsi="宋体" w:eastAsia="宋体" w:cs="Times New Roman"/>
                <w:color w:val="000000"/>
                <w:sz w:val="21"/>
                <w:szCs w:val="21"/>
              </w:rPr>
              <w:t>4.5</w:t>
            </w:r>
            <w:r>
              <w:rPr>
                <w:rFonts w:hint="eastAsia" w:ascii="宋体" w:hAnsi="宋体" w:eastAsia="宋体" w:cs="Times New Roman"/>
                <w:color w:val="000000"/>
                <w:sz w:val="21"/>
                <w:szCs w:val="21"/>
              </w:rPr>
              <w:t>）</w:t>
            </w:r>
          </w:p>
        </w:tc>
        <w:tc>
          <w:tcPr>
            <w:tcW w:w="1400" w:type="dxa"/>
            <w:tcBorders>
              <w:top w:val="nil"/>
              <w:left w:val="nil"/>
              <w:bottom w:val="single" w:color="auto" w:sz="12" w:space="0"/>
              <w:right w:val="nil"/>
            </w:tcBorders>
            <w:tcMar>
              <w:top w:w="15" w:type="dxa"/>
              <w:left w:w="15" w:type="dxa"/>
              <w:bottom w:w="0" w:type="dxa"/>
              <w:right w:w="15" w:type="dxa"/>
            </w:tcMar>
            <w:vAlign w:val="center"/>
          </w:tcPr>
          <w:p w14:paraId="69ECD1E8">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3.9</w:t>
            </w:r>
            <w:r>
              <w:rPr>
                <w:rFonts w:hint="eastAsia" w:ascii="宋体" w:hAnsi="宋体" w:eastAsia="宋体" w:cs="Times New Roman"/>
                <w:color w:val="000000"/>
                <w:sz w:val="21"/>
                <w:szCs w:val="21"/>
              </w:rPr>
              <w:t>（</w:t>
            </w:r>
            <w:r>
              <w:rPr>
                <w:rFonts w:ascii="宋体" w:hAnsi="宋体" w:eastAsia="宋体" w:cs="Times New Roman"/>
                <w:color w:val="000000"/>
                <w:sz w:val="21"/>
                <w:szCs w:val="21"/>
              </w:rPr>
              <w:t>2.95</w:t>
            </w:r>
            <w:r>
              <w:rPr>
                <w:rFonts w:hint="eastAsia" w:ascii="宋体" w:hAnsi="宋体" w:eastAsia="宋体" w:cs="Times New Roman"/>
                <w:color w:val="000000"/>
                <w:sz w:val="21"/>
                <w:szCs w:val="21"/>
              </w:rPr>
              <w:t>）</w:t>
            </w:r>
          </w:p>
        </w:tc>
        <w:tc>
          <w:tcPr>
            <w:tcW w:w="1400" w:type="dxa"/>
            <w:tcBorders>
              <w:top w:val="nil"/>
              <w:left w:val="nil"/>
              <w:bottom w:val="single" w:color="auto" w:sz="12" w:space="0"/>
              <w:right w:val="nil"/>
            </w:tcBorders>
            <w:tcMar>
              <w:top w:w="15" w:type="dxa"/>
              <w:left w:w="15" w:type="dxa"/>
              <w:bottom w:w="0" w:type="dxa"/>
              <w:right w:w="15" w:type="dxa"/>
            </w:tcMar>
            <w:vAlign w:val="center"/>
          </w:tcPr>
          <w:p w14:paraId="11BF098D">
            <w:pPr>
              <w:ind w:firstLine="360"/>
              <w:jc w:val="center"/>
              <w:rPr>
                <w:rFonts w:ascii="宋体" w:hAnsi="宋体" w:eastAsia="宋体" w:cs="Times New Roman"/>
                <w:color w:val="000000"/>
                <w:sz w:val="21"/>
                <w:szCs w:val="21"/>
              </w:rPr>
            </w:pPr>
            <w:r>
              <w:rPr>
                <w:rFonts w:ascii="宋体" w:hAnsi="宋体" w:eastAsia="宋体" w:cs="Times New Roman"/>
                <w:color w:val="000000"/>
                <w:sz w:val="21"/>
                <w:szCs w:val="21"/>
              </w:rPr>
              <w:t>3.4</w:t>
            </w:r>
            <w:r>
              <w:rPr>
                <w:rFonts w:hint="eastAsia" w:ascii="宋体" w:hAnsi="宋体" w:eastAsia="宋体" w:cs="Times New Roman"/>
                <w:color w:val="000000"/>
                <w:sz w:val="21"/>
                <w:szCs w:val="21"/>
              </w:rPr>
              <w:t>（</w:t>
            </w:r>
            <w:r>
              <w:rPr>
                <w:rFonts w:ascii="宋体" w:hAnsi="宋体" w:eastAsia="宋体" w:cs="Times New Roman"/>
                <w:color w:val="000000"/>
                <w:sz w:val="21"/>
                <w:szCs w:val="21"/>
              </w:rPr>
              <w:t>2.6</w:t>
            </w:r>
            <w:r>
              <w:rPr>
                <w:rFonts w:hint="eastAsia" w:ascii="宋体" w:hAnsi="宋体" w:eastAsia="宋体" w:cs="Times New Roman"/>
                <w:color w:val="000000"/>
                <w:sz w:val="21"/>
                <w:szCs w:val="21"/>
              </w:rPr>
              <w:t>）</w:t>
            </w:r>
          </w:p>
        </w:tc>
      </w:tr>
    </w:tbl>
    <w:p w14:paraId="76B43399">
      <w:pPr>
        <w:ind w:firstLine="360"/>
        <w:rPr>
          <w:rFonts w:ascii="宋体" w:hAnsi="宋体" w:eastAsia="宋体" w:cs="Times New Roman"/>
          <w:color w:val="000000"/>
          <w:sz w:val="21"/>
          <w:szCs w:val="21"/>
        </w:rPr>
      </w:pPr>
    </w:p>
    <w:p w14:paraId="0A2A8D74">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5）发展目标。计划社会主义具有一个优点：即在集中可能取得的资源用于发展目标方面的能力，把资源引向规定目标的能力将导致更迅速的结构改组和更高的增长──这将加速经济发展的步伐，使之超过资本主义经济中已出现的速度。</w:t>
      </w:r>
    </w:p>
    <w:p w14:paraId="3CE832BC">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4.默瑞尔和奥尔森关于计划体制国家和市场体制国家经济绩效的比较</w:t>
      </w:r>
    </w:p>
    <w:p w14:paraId="5AEF2947">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根据默瑞尔和奥尔森的研究，计划体制国家和市场经济国家在1950～1965年、1965～1980年这两个时期的经济绩效如表4-1和表4-2。</w:t>
      </w:r>
    </w:p>
    <w:p w14:paraId="5E24C39A">
      <w:pPr>
        <w:ind w:firstLine="360"/>
        <w:rPr>
          <w:rFonts w:ascii="宋体" w:hAnsi="宋体" w:eastAsia="宋体" w:cs="Times New Roman"/>
          <w:color w:val="000000"/>
          <w:sz w:val="21"/>
          <w:szCs w:val="21"/>
        </w:rPr>
      </w:pPr>
    </w:p>
    <w:p w14:paraId="71E7A304">
      <w:pPr>
        <w:ind w:firstLine="630" w:firstLineChars="300"/>
        <w:rPr>
          <w:rFonts w:ascii="宋体" w:hAnsi="宋体" w:eastAsia="宋体" w:cs="Times New Roman"/>
          <w:color w:val="000000"/>
          <w:sz w:val="21"/>
          <w:szCs w:val="21"/>
        </w:rPr>
      </w:pPr>
      <w:r>
        <w:rPr>
          <w:rFonts w:hint="eastAsia" w:ascii="宋体" w:hAnsi="宋体" w:eastAsia="宋体" w:cs="Times New Roman"/>
          <w:color w:val="000000"/>
          <w:sz w:val="21"/>
          <w:szCs w:val="21"/>
        </w:rPr>
        <w:t xml:space="preserve">表4-1               计划体制国家和市场经济国家 </w:t>
      </w:r>
    </w:p>
    <w:p w14:paraId="0A88EE2D">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 xml:space="preserve">                          1950～1965年间的经济绩效比较       （单位：%）</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8"/>
        <w:gridCol w:w="6168"/>
      </w:tblGrid>
      <w:tr w14:paraId="1335E70A">
        <w:trPr>
          <w:cantSplit/>
          <w:trHeight w:val="876" w:hRule="atLeast"/>
        </w:trPr>
        <w:tc>
          <w:tcPr>
            <w:tcW w:w="2448" w:type="dxa"/>
            <w:tcBorders>
              <w:bottom w:val="nil"/>
            </w:tcBorders>
          </w:tcPr>
          <w:p w14:paraId="7649EBC2">
            <w:pPr>
              <w:ind w:firstLine="360"/>
              <w:rPr>
                <w:rFonts w:ascii="宋体" w:hAnsi="宋体" w:eastAsia="宋体" w:cs="Times New Roman"/>
                <w:color w:val="000000"/>
                <w:sz w:val="21"/>
                <w:szCs w:val="21"/>
              </w:rPr>
            </w:pPr>
          </w:p>
        </w:tc>
        <w:tc>
          <w:tcPr>
            <w:tcW w:w="6168" w:type="dxa"/>
            <w:tcBorders>
              <w:bottom w:val="single" w:color="auto" w:sz="4" w:space="0"/>
            </w:tcBorders>
          </w:tcPr>
          <w:p w14:paraId="2C585C37">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 xml:space="preserve">实际增长率      潜在增长率      增长率差距   </w:t>
            </w:r>
          </w:p>
          <w:p w14:paraId="09389059">
            <w:pPr>
              <w:ind w:firstLine="210" w:firstLineChars="100"/>
              <w:rPr>
                <w:rFonts w:ascii="宋体" w:hAnsi="宋体" w:eastAsia="宋体" w:cs="Times New Roman"/>
                <w:color w:val="000000"/>
                <w:sz w:val="21"/>
                <w:szCs w:val="21"/>
              </w:rPr>
            </w:pPr>
            <w:r>
              <w:rPr>
                <w:rFonts w:hint="eastAsia" w:ascii="宋体" w:hAnsi="宋体" w:eastAsia="宋体" w:cs="Times New Roman"/>
                <w:color w:val="000000"/>
                <w:sz w:val="21"/>
                <w:szCs w:val="21"/>
              </w:rPr>
              <w:t>（1）            （2）       （2）—（1）</w:t>
            </w:r>
          </w:p>
        </w:tc>
      </w:tr>
      <w:tr w14:paraId="155E6A87">
        <w:trPr>
          <w:cantSplit/>
        </w:trPr>
        <w:tc>
          <w:tcPr>
            <w:tcW w:w="2448" w:type="dxa"/>
            <w:vAlign w:val="center"/>
          </w:tcPr>
          <w:p w14:paraId="7AFC1447">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市场经济国家</w:t>
            </w:r>
          </w:p>
        </w:tc>
        <w:tc>
          <w:tcPr>
            <w:tcW w:w="6168" w:type="dxa"/>
          </w:tcPr>
          <w:p w14:paraId="63D0DFC2">
            <w:pPr>
              <w:ind w:firstLine="210" w:firstLineChars="100"/>
              <w:rPr>
                <w:rFonts w:ascii="宋体" w:hAnsi="宋体" w:eastAsia="宋体" w:cs="Times New Roman"/>
                <w:color w:val="000000"/>
                <w:sz w:val="21"/>
                <w:szCs w:val="21"/>
              </w:rPr>
            </w:pPr>
            <w:r>
              <w:rPr>
                <w:rFonts w:hint="eastAsia" w:ascii="宋体" w:hAnsi="宋体" w:eastAsia="宋体" w:cs="Times New Roman"/>
                <w:color w:val="000000"/>
                <w:sz w:val="21"/>
                <w:szCs w:val="21"/>
              </w:rPr>
              <w:t>3.75             5.49            1.74</w:t>
            </w:r>
          </w:p>
        </w:tc>
      </w:tr>
      <w:tr w14:paraId="64A5D636">
        <w:trPr>
          <w:cantSplit/>
          <w:trHeight w:val="229" w:hRule="atLeast"/>
        </w:trPr>
        <w:tc>
          <w:tcPr>
            <w:tcW w:w="2448" w:type="dxa"/>
            <w:vAlign w:val="center"/>
          </w:tcPr>
          <w:p w14:paraId="3919F29B">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计划体制国家</w:t>
            </w:r>
          </w:p>
        </w:tc>
        <w:tc>
          <w:tcPr>
            <w:tcW w:w="6168" w:type="dxa"/>
          </w:tcPr>
          <w:p w14:paraId="79D42B7C">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 xml:space="preserve">  4.43             6.05            1.62 </w:t>
            </w:r>
          </w:p>
        </w:tc>
      </w:tr>
    </w:tbl>
    <w:p w14:paraId="19871BC0">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资料来源：Murrell and Olson，1990</w:t>
      </w:r>
    </w:p>
    <w:p w14:paraId="0FBD49BB">
      <w:pPr>
        <w:ind w:firstLine="630" w:firstLineChars="300"/>
        <w:rPr>
          <w:rFonts w:ascii="宋体" w:hAnsi="宋体" w:eastAsia="宋体" w:cs="Times New Roman"/>
          <w:color w:val="000000"/>
          <w:sz w:val="21"/>
          <w:szCs w:val="21"/>
        </w:rPr>
      </w:pPr>
      <w:r>
        <w:rPr>
          <w:rFonts w:hint="eastAsia" w:ascii="宋体" w:hAnsi="宋体" w:eastAsia="宋体" w:cs="Times New Roman"/>
          <w:color w:val="000000"/>
          <w:sz w:val="21"/>
          <w:szCs w:val="21"/>
        </w:rPr>
        <w:t>表4-2              计划体制国家和市场经济国家</w:t>
      </w:r>
    </w:p>
    <w:p w14:paraId="69AF7E28">
      <w:pPr>
        <w:ind w:firstLine="2520" w:firstLineChars="1200"/>
        <w:rPr>
          <w:rFonts w:ascii="宋体" w:hAnsi="宋体" w:eastAsia="宋体" w:cs="Times New Roman"/>
          <w:color w:val="000000"/>
          <w:sz w:val="21"/>
          <w:szCs w:val="21"/>
        </w:rPr>
      </w:pPr>
      <w:r>
        <w:rPr>
          <w:rFonts w:hint="eastAsia" w:ascii="宋体" w:hAnsi="宋体" w:eastAsia="宋体" w:cs="Times New Roman"/>
          <w:color w:val="000000"/>
          <w:sz w:val="21"/>
          <w:szCs w:val="21"/>
        </w:rPr>
        <w:t>1965～1980年间的经济绩效比较         （单位：%）</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8"/>
        <w:gridCol w:w="6168"/>
      </w:tblGrid>
      <w:tr w14:paraId="0BC7134C">
        <w:trPr>
          <w:cantSplit/>
          <w:trHeight w:val="876" w:hRule="atLeast"/>
        </w:trPr>
        <w:tc>
          <w:tcPr>
            <w:tcW w:w="2448" w:type="dxa"/>
            <w:tcBorders>
              <w:bottom w:val="nil"/>
            </w:tcBorders>
          </w:tcPr>
          <w:p w14:paraId="46325282">
            <w:pPr>
              <w:ind w:firstLine="360"/>
              <w:rPr>
                <w:rFonts w:ascii="宋体" w:hAnsi="宋体" w:eastAsia="宋体" w:cs="Times New Roman"/>
                <w:color w:val="000000"/>
                <w:sz w:val="21"/>
                <w:szCs w:val="21"/>
              </w:rPr>
            </w:pPr>
          </w:p>
        </w:tc>
        <w:tc>
          <w:tcPr>
            <w:tcW w:w="6168" w:type="dxa"/>
            <w:tcBorders>
              <w:bottom w:val="single" w:color="auto" w:sz="4" w:space="0"/>
            </w:tcBorders>
          </w:tcPr>
          <w:p w14:paraId="50DA18A0">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 xml:space="preserve">实际增长率      潜在增长率      增长率差距   </w:t>
            </w:r>
          </w:p>
          <w:p w14:paraId="46145C2A">
            <w:pPr>
              <w:ind w:firstLine="210" w:firstLineChars="100"/>
              <w:rPr>
                <w:rFonts w:ascii="宋体" w:hAnsi="宋体" w:eastAsia="宋体" w:cs="Times New Roman"/>
                <w:color w:val="000000"/>
                <w:sz w:val="21"/>
                <w:szCs w:val="21"/>
              </w:rPr>
            </w:pPr>
            <w:r>
              <w:rPr>
                <w:rFonts w:hint="eastAsia" w:ascii="宋体" w:hAnsi="宋体" w:eastAsia="宋体" w:cs="Times New Roman"/>
                <w:color w:val="000000"/>
                <w:sz w:val="21"/>
                <w:szCs w:val="21"/>
              </w:rPr>
              <w:t>（1）            （2）       （2）—（1）</w:t>
            </w:r>
          </w:p>
        </w:tc>
      </w:tr>
      <w:tr w14:paraId="7414FB72">
        <w:tc>
          <w:tcPr>
            <w:tcW w:w="2448" w:type="dxa"/>
            <w:vAlign w:val="center"/>
          </w:tcPr>
          <w:p w14:paraId="1931CF08">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市场经济国家</w:t>
            </w:r>
          </w:p>
        </w:tc>
        <w:tc>
          <w:tcPr>
            <w:tcW w:w="6168" w:type="dxa"/>
          </w:tcPr>
          <w:p w14:paraId="6DE5677A">
            <w:pPr>
              <w:ind w:firstLine="210" w:firstLineChars="100"/>
              <w:rPr>
                <w:rFonts w:ascii="宋体" w:hAnsi="宋体" w:eastAsia="宋体" w:cs="Times New Roman"/>
                <w:color w:val="000000"/>
                <w:sz w:val="21"/>
                <w:szCs w:val="21"/>
              </w:rPr>
            </w:pPr>
            <w:r>
              <w:rPr>
                <w:rFonts w:hint="eastAsia" w:ascii="宋体" w:hAnsi="宋体" w:eastAsia="宋体" w:cs="Times New Roman"/>
                <w:color w:val="000000"/>
                <w:sz w:val="21"/>
                <w:szCs w:val="21"/>
              </w:rPr>
              <w:t>3.36             5.13            1.76</w:t>
            </w:r>
          </w:p>
        </w:tc>
      </w:tr>
      <w:tr w14:paraId="0F6B9182">
        <w:trPr>
          <w:trHeight w:val="229" w:hRule="atLeast"/>
        </w:trPr>
        <w:tc>
          <w:tcPr>
            <w:tcW w:w="2448" w:type="dxa"/>
            <w:vAlign w:val="center"/>
          </w:tcPr>
          <w:p w14:paraId="4FA5044A">
            <w:pPr>
              <w:ind w:firstLine="360"/>
              <w:jc w:val="center"/>
              <w:rPr>
                <w:rFonts w:ascii="宋体" w:hAnsi="宋体" w:eastAsia="宋体" w:cs="Times New Roman"/>
                <w:color w:val="000000"/>
                <w:sz w:val="21"/>
                <w:szCs w:val="21"/>
              </w:rPr>
            </w:pPr>
            <w:r>
              <w:rPr>
                <w:rFonts w:hint="eastAsia" w:ascii="宋体" w:hAnsi="宋体" w:eastAsia="宋体" w:cs="Times New Roman"/>
                <w:color w:val="000000"/>
                <w:sz w:val="21"/>
                <w:szCs w:val="21"/>
              </w:rPr>
              <w:t>计划体制国家</w:t>
            </w:r>
          </w:p>
        </w:tc>
        <w:tc>
          <w:tcPr>
            <w:tcW w:w="6168" w:type="dxa"/>
          </w:tcPr>
          <w:p w14:paraId="0A571D53">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 xml:space="preserve">  3.24             5.71            2.48 </w:t>
            </w:r>
          </w:p>
        </w:tc>
      </w:tr>
    </w:tbl>
    <w:p w14:paraId="42FEB918">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资料来源：Murrell and Olson，1990</w:t>
      </w:r>
    </w:p>
    <w:p w14:paraId="1CFB2915">
      <w:pPr>
        <w:ind w:firstLine="420" w:firstLineChars="200"/>
        <w:rPr>
          <w:rFonts w:ascii="宋体" w:hAnsi="宋体" w:eastAsia="宋体" w:cs="Times New Roman"/>
          <w:color w:val="000000"/>
          <w:sz w:val="21"/>
          <w:szCs w:val="21"/>
        </w:rPr>
      </w:pPr>
    </w:p>
    <w:p w14:paraId="10189B09">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上面两个表中，第二栏分别是计划体制国家和市场经济国家在1950～1965、1965～1980年这两个时期内实现的年均实际人均国民收入增长率。第三栏是这两个时期按照预测应实现的年均潜在人均国民收入增长率。第四栏是这两类国家在这两个时期实际人均国民收入增长率和潜在人均国民收入增长率的差距。</w:t>
      </w:r>
    </w:p>
    <w:p w14:paraId="2AAD13BE">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从这两个表可以看出：（1）在1950～1965年期间，计划体制国家和市场经济国家的经济绩效大体相当，计划体制国家甚至表现出来了一定的优势。这表明在建国初期，社会主义国家的高储蓄率和高投资率在相当程度上弥补了其经济体制中的其他缺陷；（2）在1965～1980年间，计划体制国家的经济效开始明显落后于市场经济国家。虽然从表象看，计划体制国家的实际增长率并不比市场经济国家相差太大，但分析它们的增长率差距就可以看出，计划体制国家已经开始衰落：在1965～1980年间，市场经济国家人均国民收入增长率和潜在人均国民收入增长率的差距（1.76%）和上一时期（1.74%）相比基本相同，但计划体制国家的增长率差距已经从上期的1.62%扩大到2.48%。换言之，市场经济国家的增长率差距仅扩大了2%，而计划体制国家则扩大了86%。</w:t>
      </w:r>
    </w:p>
    <w:p w14:paraId="3CE1E0A9">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考虑到资本主义国家在1950年代和1960年代经历的是历史上前所未有的“黄金时期”，则社会主义国家在建国初期能够实现与之并驾齐驱的高速增长，不能不令人震撼。</w:t>
      </w:r>
    </w:p>
    <w:p w14:paraId="4A852489">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尽管社会主义学说在苏联和东欧既经历了胜利又遭到了失败，但社会主义并非“历史的错误”，她使许多民族和部族摆脱了落后，达到了现代文明的水准。越来越多的人开始承认，计划经济远远优于市场经济，只不过我们尚未找到优秀的驭手。</w:t>
      </w:r>
    </w:p>
    <w:p w14:paraId="16961603">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参考文献：</w:t>
      </w:r>
    </w:p>
    <w:p w14:paraId="77BD1F1A">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1.黄泰岩主编：《西方社会主义经济理论述评》，中国人民大学出版社1991年版。</w:t>
      </w:r>
    </w:p>
    <w:p w14:paraId="250F0E4D">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2.程恩富着：《西方产权理论评析》，当代中国出版社1997年版。</w:t>
      </w:r>
    </w:p>
    <w:p w14:paraId="2711E921">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3.〔美〕埃冈·纽伯格、威廉·达菲：《比较经济体制──从决策角度进行的比较》，商务印书馆1984年版。</w:t>
      </w:r>
    </w:p>
    <w:p w14:paraId="6A677D74">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4.〔美〕保罗·R 格雷戈里、罗伯特·C 斯图尔特：《比较经济体制学》，上海三联书店1988年版。</w:t>
      </w:r>
    </w:p>
    <w:p w14:paraId="5BE0BC12">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5.〔日〕百百和等着：《经济计划论》，陕西人民出版社1986年版。</w:t>
      </w:r>
    </w:p>
    <w:p w14:paraId="759644CD">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6.〔美〕弗雷德里克·L 普瑞尔：《东西方经济体制比较──研究指南》，中国经济出版社1989年版。</w:t>
      </w:r>
    </w:p>
    <w:p w14:paraId="1CC33E5D">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7.〔美〕阿兰·G  格鲁奇：《比较经济制度》，中国社会科学出版社1985年版。</w:t>
      </w:r>
    </w:p>
    <w:p w14:paraId="68A80904">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8.〔匈〕科尔奈：《反均衡》，中国社会科学出版社1988年版。</w:t>
      </w:r>
    </w:p>
    <w:p w14:paraId="39581CF3">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9.〔美〕莫里斯·博恩斯坦主编：《比较经济体制》。</w:t>
      </w:r>
    </w:p>
    <w:p w14:paraId="22034526">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10.〔美〕熊彼特：《资本主义、社会主义和民主主义》，商务印书馆1979年版。</w:t>
      </w:r>
    </w:p>
    <w:p w14:paraId="003A25FF">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11.〔美〕雷诺兹：《经济学的三个世界》，商务印书馆1990年版。</w:t>
      </w:r>
    </w:p>
    <w:p w14:paraId="09D446CC">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12.〔美〕K·E 凯斯、R·C 费尔《经济学原理》，中国人民大学出版社1994年版。</w:t>
      </w:r>
    </w:p>
    <w:p w14:paraId="6B61C328">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13.〔美〕保罗·A 萨缪尔森、威廉·D 诺德豪斯：《经济学》（12版），中国发展出版社1992年版。</w:t>
      </w:r>
    </w:p>
    <w:p w14:paraId="7F093500">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14.〔英〕克里·特纳 克莱夫·科利斯：《计划经济学》，商务印书馆1980年版。</w:t>
      </w:r>
    </w:p>
    <w:p w14:paraId="16C8746E">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15.何帆：《传统计划体制的起源、演进和衰落》，《经济学家》1998年2月。</w:t>
      </w:r>
    </w:p>
    <w:p w14:paraId="4AEE8892">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16.许征：《从全球化进程看20世纪的进步与问题》，《学术月刊》1999年第3期。</w:t>
      </w:r>
    </w:p>
    <w:p w14:paraId="74B3E149">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17.〔英〕阿历克·诺夫：《可行的社会主义经济学》，华夏出版社1991年版。</w:t>
      </w:r>
    </w:p>
    <w:p w14:paraId="6A629049">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18.王丽久：《俄罗斯从计划经济走向市场经济》，武汉出版社1994年版。</w:t>
      </w:r>
    </w:p>
    <w:p w14:paraId="25E86C5A">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19.蔡金魁：《东欧：转轨中的市场经济》，武汉出版社1994年版。</w:t>
      </w:r>
    </w:p>
    <w:p w14:paraId="5A078935">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20.樊亢、王金存：《苏联社会主义经济七十年》，北京出版社1992年版。</w:t>
      </w:r>
    </w:p>
    <w:p w14:paraId="4B1E44E2">
      <w:pPr>
        <w:ind w:firstLine="360"/>
        <w:rPr>
          <w:rFonts w:ascii="宋体" w:hAnsi="宋体" w:eastAsia="宋体" w:cs="Times New Roman"/>
          <w:b/>
          <w:color w:val="000000"/>
          <w:sz w:val="21"/>
          <w:szCs w:val="21"/>
        </w:rPr>
      </w:pPr>
    </w:p>
    <w:p w14:paraId="3FFF6876">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（原载程恩富主编《中国海派经济论坛（2001）》，上海财经大学出版社2001年11月版，第246-260页，第二作者为任绍敏）</w:t>
      </w:r>
    </w:p>
    <w:p w14:paraId="566B2C29">
      <w:pPr>
        <w:ind w:firstLine="360"/>
        <w:jc w:val="center"/>
        <w:outlineLvl w:val="1"/>
        <w:rPr>
          <w:rFonts w:eastAsia="宋体" w:cs="Times New Roman"/>
          <w:b/>
          <w:color w:val="000000"/>
          <w:sz w:val="21"/>
          <w:szCs w:val="24"/>
        </w:rPr>
      </w:pPr>
      <w:bookmarkStart w:id="64" w:name="_Toc30617"/>
      <w:bookmarkStart w:id="65" w:name="_Toc1727608651"/>
      <w:bookmarkStart w:id="66" w:name="_Toc65804749"/>
      <w:r>
        <w:rPr>
          <w:rFonts w:hint="eastAsia" w:eastAsia="宋体" w:cs="Times New Roman"/>
          <w:b/>
          <w:color w:val="000000"/>
          <w:sz w:val="21"/>
          <w:szCs w:val="24"/>
        </w:rPr>
        <w:t>党的性质与“三个代表”的科学内涵</w:t>
      </w:r>
      <w:bookmarkEnd w:id="64"/>
      <w:bookmarkEnd w:id="65"/>
      <w:bookmarkEnd w:id="66"/>
    </w:p>
    <w:p w14:paraId="720AF0BF">
      <w:pPr>
        <w:ind w:firstLine="360"/>
        <w:rPr>
          <w:rFonts w:eastAsia="宋体" w:cs="Times New Roman"/>
          <w:color w:val="000000"/>
          <w:sz w:val="21"/>
          <w:szCs w:val="24"/>
        </w:rPr>
      </w:pPr>
    </w:p>
    <w:p w14:paraId="459857F9">
      <w:pPr>
        <w:ind w:firstLine="360"/>
        <w:rPr>
          <w:rFonts w:eastAsia="宋体" w:cs="Times New Roman"/>
          <w:color w:val="000000"/>
          <w:sz w:val="21"/>
          <w:szCs w:val="24"/>
        </w:rPr>
      </w:pPr>
      <w:r>
        <w:rPr>
          <w:rFonts w:hint="eastAsia" w:eastAsia="宋体" w:cs="Times New Roman"/>
          <w:color w:val="000000"/>
          <w:sz w:val="21"/>
          <w:szCs w:val="24"/>
        </w:rPr>
        <w:t>在马克思主义理论指导下建立起来的中国共产党，已经走过了80年的光辉历程。中国革命和建设的实践证明，没有中国共产党的正确领导，就没有团结、稳定和繁荣的社会主义新中国。但是，在改革开放条件下，我们党正面临着国内外新形势的双重挑战。从国际方面看，世界政治多极化导致国际共产主义运动处于低潮，世界经济全球化导致资本主义经济关系普遍性和价值取向功利性。从国内方面看，在社会主义市场经济体制下，出现了以公有制为主体的所有制多元化、以按劳分配为主体的分配制度多元化、以马克思主义理论为指导的文化观念多元化等新情况、新问题，我们党应当依据什么标准来建设中国共产党，这是摆在全党面前的一个十分严肃的重大课题。</w:t>
      </w:r>
    </w:p>
    <w:p w14:paraId="382C2634">
      <w:pPr>
        <w:ind w:firstLine="360"/>
        <w:rPr>
          <w:rFonts w:eastAsia="宋体" w:cs="Times New Roman"/>
          <w:color w:val="000000"/>
          <w:sz w:val="21"/>
          <w:szCs w:val="24"/>
        </w:rPr>
      </w:pPr>
      <w:r>
        <w:rPr>
          <w:rFonts w:hint="eastAsia" w:eastAsia="宋体" w:cs="Times New Roman"/>
          <w:color w:val="000000"/>
          <w:sz w:val="21"/>
          <w:szCs w:val="24"/>
        </w:rPr>
        <w:t>江泽民同志站在党和国家前途命运的高度，提出了“只要我们党始终成为中国先进社会生产力的发展要求、中国先进文化的前进方向、中国最广大人民的根本利益的忠实代表，我们党就能永远立于不败之地，永远得到全国各族人民的衷心拥护并带领人民不断前进”</w:t>
      </w:r>
      <w:r>
        <w:rPr>
          <w:rFonts w:eastAsia="宋体" w:cs="Times New Roman"/>
          <w:color w:val="000000"/>
          <w:sz w:val="21"/>
          <w:szCs w:val="24"/>
          <w:vertAlign w:val="superscript"/>
        </w:rPr>
        <w:footnoteReference w:id="9"/>
      </w:r>
      <w:r>
        <w:rPr>
          <w:rFonts w:hint="eastAsia" w:eastAsia="宋体" w:cs="Times New Roman"/>
          <w:color w:val="000000"/>
          <w:sz w:val="21"/>
          <w:szCs w:val="24"/>
        </w:rPr>
        <w:t>的重要思想，从根本上回答了在新世纪里要把我们党建设成为什么样的党和怎样建设党的重大问题，丰富和发展了马克思主义建党学说。江泽民同志关于“三个代表”的重要论述，不仅是对建党80年来历史经验的科学总结，而且对于面向新世纪全面推进党的建设，建设有中国特色社会主义，开创社会主义现代化建设新局面，都具有重要的现实意义。</w:t>
      </w:r>
    </w:p>
    <w:p w14:paraId="79491D1C">
      <w:pPr>
        <w:ind w:firstLine="360"/>
        <w:rPr>
          <w:rFonts w:eastAsia="宋体" w:cs="Times New Roman"/>
          <w:b/>
          <w:color w:val="000000"/>
          <w:sz w:val="21"/>
          <w:szCs w:val="24"/>
        </w:rPr>
      </w:pPr>
      <w:r>
        <w:rPr>
          <w:rFonts w:hint="eastAsia" w:eastAsia="宋体" w:cs="Times New Roman"/>
          <w:color w:val="000000"/>
          <w:sz w:val="21"/>
          <w:szCs w:val="24"/>
        </w:rPr>
        <w:t>本文认为“，三个代表”的重要论述具有丰富的科学内涵，这是由党的性质所决定的，同时，“三个代表”又反映了党的性质并体现党在先进性、统一性和实践性三个方面的内在关联。</w:t>
      </w:r>
    </w:p>
    <w:p w14:paraId="2707F44B">
      <w:pPr>
        <w:ind w:firstLine="360"/>
        <w:rPr>
          <w:rFonts w:eastAsia="宋体" w:cs="Times New Roman"/>
          <w:color w:val="000000"/>
          <w:sz w:val="21"/>
          <w:szCs w:val="24"/>
        </w:rPr>
      </w:pPr>
      <w:r>
        <w:rPr>
          <w:rFonts w:hint="eastAsia" w:eastAsia="宋体" w:cs="Times New Roman"/>
          <w:b/>
          <w:color w:val="000000"/>
          <w:sz w:val="21"/>
          <w:szCs w:val="24"/>
        </w:rPr>
        <w:t>一、党的性质与“三个代表”的先进性</w:t>
      </w:r>
    </w:p>
    <w:p w14:paraId="2D4F3D99">
      <w:pPr>
        <w:ind w:firstLine="360"/>
        <w:rPr>
          <w:rFonts w:eastAsia="宋体" w:cs="Times New Roman"/>
          <w:color w:val="000000"/>
          <w:sz w:val="21"/>
          <w:szCs w:val="24"/>
        </w:rPr>
      </w:pPr>
      <w:r>
        <w:rPr>
          <w:rFonts w:hint="eastAsia" w:eastAsia="宋体" w:cs="Times New Roman"/>
          <w:color w:val="000000"/>
          <w:sz w:val="21"/>
          <w:szCs w:val="24"/>
        </w:rPr>
        <w:t>中国共产党是中国工人阶级的先锋队。党的这一阶级性质决定了“三个代表”的先进性，而“三个代表”又反映和体现了党的性质。这里，从理论与现实的结合上作一扼要阐述。</w:t>
      </w:r>
    </w:p>
    <w:p w14:paraId="513EDEB8">
      <w:pPr>
        <w:ind w:firstLine="360"/>
        <w:rPr>
          <w:rFonts w:eastAsia="宋体" w:cs="Times New Roman"/>
          <w:color w:val="000000"/>
          <w:sz w:val="21"/>
          <w:szCs w:val="24"/>
        </w:rPr>
      </w:pPr>
      <w:r>
        <w:rPr>
          <w:rFonts w:hint="eastAsia" w:eastAsia="宋体" w:cs="Times New Roman"/>
          <w:color w:val="000000"/>
          <w:sz w:val="21"/>
          <w:szCs w:val="24"/>
        </w:rPr>
        <w:t>第一，党的工人阶级先锋队性质，决定了要通过建立和代表社会主义先进生产关系来代表先进社会生产力的发展要求，这个代表的内涵同时又反映和体现了党的工人阶级先锋队性质。</w:t>
      </w:r>
    </w:p>
    <w:p w14:paraId="21D23E56">
      <w:pPr>
        <w:ind w:firstLine="360"/>
        <w:rPr>
          <w:rFonts w:eastAsia="宋体" w:cs="Times New Roman"/>
          <w:color w:val="000000"/>
          <w:sz w:val="21"/>
          <w:szCs w:val="24"/>
        </w:rPr>
      </w:pPr>
      <w:r>
        <w:rPr>
          <w:rFonts w:hint="eastAsia" w:eastAsia="宋体" w:cs="Times New Roman"/>
          <w:color w:val="000000"/>
          <w:sz w:val="21"/>
          <w:szCs w:val="24"/>
        </w:rPr>
        <w:t>社会生产力是生产中最活跃、最革命的因素，是推动人类社会发展与进步的决定力量，但它必须在与之相适应的生产关系及其体制下才能得到持续快速的大发展。在新民主主义革命时期，我们党领导人民推翻帝国主义、封建主义和官僚资本主义三座大山的统治，打碎了严重束缚生产力发展的桎梏，实现了民族独立和人民解放，为建立新制度、推动中国社会生产力的大发展扫除了障碍，铺平了发展道路。在新中国建设初期，在社会主义经济制度下，我们党领导各族人民为促进中国社会生产力的发展作了积极探索，取得了重大成就，走完了西方资本主义国家上百年走过的路程，在文化落后、生产力水平很低的基础上初步建立起较完整的工业化体系和国民经济体系，这是先进生产力发展的历史见证。在改革开放时期，我们党总结历史经验，正确认识中国国情，制定了以经济建设为中心，坚持社会主义性质的改革开放，又使社会生产力有了新的大发展，这正是我们党在新形势下代表先进社会生产力发展要求的客观事实。</w:t>
      </w:r>
    </w:p>
    <w:p w14:paraId="11894EAC">
      <w:pPr>
        <w:ind w:firstLine="360"/>
        <w:rPr>
          <w:rFonts w:eastAsia="宋体" w:cs="Times New Roman"/>
          <w:color w:val="000000"/>
          <w:sz w:val="21"/>
          <w:szCs w:val="24"/>
        </w:rPr>
      </w:pPr>
      <w:r>
        <w:rPr>
          <w:rFonts w:hint="eastAsia" w:eastAsia="宋体" w:cs="Times New Roman"/>
          <w:color w:val="000000"/>
          <w:sz w:val="21"/>
          <w:szCs w:val="24"/>
        </w:rPr>
        <w:t>在社会主义初级阶段，我们党提出了建立以公有制为主体的多种所有制形式共同发展的市场经济体制，为促进非公有经济的发展创造了条件，但这并不意味着在搞全盘私有化，中国仍然坚持公有制经济占主体地位。有些人以美国微软公司为例，推断出只有私有经济才能代表先进生产力。其实，这种观点是极其错误的。我们不可否认，美国实业家比尔·盖茨的公司确实创造了巨大的生产力，但这种生产力主要是该公司的劳动创造的，而非私人资本自动创造。西方不少国有企业和中国包钢等许多公有企业同样创造出了巨大的生产力，而且按可比因素和绩效来看，整体上社会主义国家生产力的发展要比资本主义国家快；况且，微软公司等现代私有制企业的发展往往同垄断和不平等竞争即阻碍其他企业发展有关。</w:t>
      </w:r>
    </w:p>
    <w:p w14:paraId="1AAC1AF8">
      <w:pPr>
        <w:ind w:firstLine="360"/>
        <w:rPr>
          <w:rFonts w:eastAsia="宋体" w:cs="Times New Roman"/>
          <w:color w:val="000000"/>
          <w:sz w:val="21"/>
          <w:szCs w:val="24"/>
        </w:rPr>
      </w:pPr>
      <w:r>
        <w:rPr>
          <w:rFonts w:hint="eastAsia" w:eastAsia="宋体" w:cs="Times New Roman"/>
          <w:color w:val="000000"/>
          <w:sz w:val="21"/>
          <w:szCs w:val="24"/>
        </w:rPr>
        <w:t>第二，党的工人阶级先锋队性质，决定了我们党必须代表先进文化的前进方向，这个代表的内涵同时又反映和体现了党的工人阶级先锋队性质。</w:t>
      </w:r>
    </w:p>
    <w:p w14:paraId="28EF3578">
      <w:pPr>
        <w:ind w:firstLine="360"/>
        <w:rPr>
          <w:rFonts w:eastAsia="宋体" w:cs="Times New Roman"/>
          <w:color w:val="000000"/>
          <w:sz w:val="21"/>
          <w:szCs w:val="24"/>
        </w:rPr>
      </w:pPr>
      <w:r>
        <w:rPr>
          <w:rFonts w:hint="eastAsia" w:eastAsia="宋体" w:cs="Times New Roman"/>
          <w:color w:val="000000"/>
          <w:sz w:val="21"/>
          <w:szCs w:val="24"/>
        </w:rPr>
        <w:t>先进文化的前进方向应有完整的内涵：(1)从文化价值观和表现形式上看，它包括：一是必须始终坚持以马列主义、毛泽东思想、邓小平理论为指导；二是必须以爱国主义、集体主义、社会主义的思想道德为核心；三是必须继承、发扬中华民族优秀文化和革命文化传统，积极吸取和借鉴国外一切优秀文化成果；四是必须面向现代化、面向世界、面向未来，充分体现时代精神；五是必须发扬民族的、大众的社会主义文化。(2)从文化设施上看，应是不断更新先进文化设备等文化生产资料，这是宣传先进文化所必需的硬件设施，要逐步体现世界一流技术水平。(3)从文化管理体制上看，应逐步建立和完善先进的文化运作管理体制，这是由文化生产力和文化价值观的先进性所决定的，是推动社会主义先进文化向着正确方向发展的制度保证。上述三方面的内涵应集中体现在“文化产品”上，因为文化价值观和表现形式、文化设施和技术以及文化管理体制等种种先进性或落后性，最终均将以有形或无形的文化产品出现在社会上。</w:t>
      </w:r>
    </w:p>
    <w:p w14:paraId="24CCD65F">
      <w:pPr>
        <w:ind w:firstLine="360"/>
        <w:rPr>
          <w:rFonts w:eastAsia="宋体" w:cs="Times New Roman"/>
          <w:color w:val="000000"/>
          <w:sz w:val="21"/>
          <w:szCs w:val="24"/>
        </w:rPr>
      </w:pPr>
      <w:r>
        <w:rPr>
          <w:rFonts w:hint="eastAsia" w:eastAsia="宋体" w:cs="Times New Roman"/>
          <w:color w:val="000000"/>
          <w:sz w:val="21"/>
          <w:szCs w:val="24"/>
        </w:rPr>
        <w:t>有人认为美国好莱坞的主要影视作品能够代表先进文化的前进方向。这是不正确的看法。好莱坞的不少影视作品虽然艺术性很高，制作技术也很先进，但它的文化管理体制有严重弊端，完全以追求微观经济效益为目的，影视作品往往缺乏先进的思想性，黄、赌、毒、抢劫、杀人等不良情节和格调低下的内容充斥其主要作品，客观上不利于社会进步和人类思想的升华，甚至促成社会犯罪率居高不下。美国一些有识之士也确认此点。因此，这种格调低下或腐朽落后的文化不可能代表人类先进文化的前进方向。社会主义先进文化应当是思想性、艺术性和技术性的高度统一，成为凝聚和激励全国各族人民团结向上的重要力量，并有益于群众的身心健康。</w:t>
      </w:r>
    </w:p>
    <w:p w14:paraId="64D83A28">
      <w:pPr>
        <w:ind w:firstLine="360"/>
        <w:rPr>
          <w:rFonts w:eastAsia="宋体" w:cs="Times New Roman"/>
          <w:color w:val="000000"/>
          <w:sz w:val="21"/>
          <w:szCs w:val="24"/>
        </w:rPr>
      </w:pPr>
      <w:r>
        <w:rPr>
          <w:rFonts w:hint="eastAsia" w:eastAsia="宋体" w:cs="Times New Roman"/>
          <w:color w:val="000000"/>
          <w:sz w:val="21"/>
          <w:szCs w:val="24"/>
        </w:rPr>
        <w:t>第三，党的工人阶级先锋队性质，决定了我们党代表全国各族人民的根本利益，这种代表的内涵同时又反映和体现党的工人阶级先锋队性质。</w:t>
      </w:r>
    </w:p>
    <w:p w14:paraId="3E6FFEA5">
      <w:pPr>
        <w:ind w:firstLine="360"/>
        <w:rPr>
          <w:rFonts w:eastAsia="宋体" w:cs="Times New Roman"/>
          <w:b/>
          <w:color w:val="000000"/>
          <w:sz w:val="21"/>
          <w:szCs w:val="24"/>
        </w:rPr>
      </w:pPr>
      <w:r>
        <w:rPr>
          <w:rFonts w:hint="eastAsia" w:eastAsia="宋体" w:cs="Times New Roman"/>
          <w:color w:val="000000"/>
          <w:sz w:val="21"/>
          <w:szCs w:val="24"/>
        </w:rPr>
        <w:t>马克思在评价当时国际共产主义运动的状况时指出：“过去的一切运动都是少数人的或者为少数人谋利益的运动。无产阶级的运动是绝大多数人的、为绝大多数人谋利益的独立的运动。”</w:t>
      </w:r>
      <w:r>
        <w:rPr>
          <w:rFonts w:eastAsia="宋体" w:cs="Times New Roman"/>
          <w:color w:val="000000"/>
          <w:sz w:val="21"/>
          <w:szCs w:val="24"/>
          <w:vertAlign w:val="superscript"/>
        </w:rPr>
        <w:footnoteReference w:id="10"/>
      </w:r>
      <w:r>
        <w:rPr>
          <w:rFonts w:hint="eastAsia" w:eastAsia="宋体" w:cs="Times New Roman"/>
          <w:color w:val="000000"/>
          <w:sz w:val="21"/>
          <w:szCs w:val="24"/>
        </w:rPr>
        <w:t xml:space="preserve"> “共产党人同其他无产阶级政党不同的地方只是：一方面，在各国无产者的斗争中，共产党人强调和坚持整个无产阶级的不分民族的共同利益；另一方面，在无产阶级和资产阶级的斗争所经历的各个发展阶段上，共产党人始终代表整个运动的利益。”</w:t>
      </w:r>
      <w:r>
        <w:rPr>
          <w:rFonts w:eastAsia="宋体" w:cs="Times New Roman"/>
          <w:color w:val="000000"/>
          <w:sz w:val="21"/>
          <w:szCs w:val="24"/>
          <w:vertAlign w:val="superscript"/>
        </w:rPr>
        <w:footnoteReference w:id="11"/>
      </w:r>
      <w:r>
        <w:rPr>
          <w:rFonts w:hint="eastAsia" w:eastAsia="宋体" w:cs="Times New Roman"/>
          <w:color w:val="000000"/>
          <w:sz w:val="21"/>
          <w:szCs w:val="24"/>
        </w:rPr>
        <w:t>我们党的三代领导人毛泽东、邓小平、江泽民都反复强调这个思想，并在长期的革命斗争中实践了这种思想。如在新民主主义革命时期，我们党代表广大人民大众的根本利益，制定了反对帝国主义、封建主义和官僚资本主义的革命纲领，经过艰苦卓绝的斗争，推翻了“三座大山”。在社会主义革命和建设的初期，我们党代表广大人民群众的愿望和要求，彻底改变了中国长期处于落后挨打的被动局面，开始了社会主义革命和建设的伟大实践，完成了生产资料的社会主义改造，建立了社会主义的基本制度，形成了比较完整的工业体系和国民经济体系，从而确立了中国在国际政治舞台上的应有地位和作用。在改革开放时期，我们党又整合广大各族人民的具体利益与根本利益、局部利益与整体利益以及短期利益与长期利益，制定了党在社会主义初级阶段的基本路线、方针与政策，初步建立了充满活力的社会主义市场经济体制，最大限度地保护全国各族人民的生存权和发展权，切实保障了最广大人民群众的合法权益。</w:t>
      </w:r>
    </w:p>
    <w:p w14:paraId="0A639B5C">
      <w:pPr>
        <w:ind w:firstLine="360"/>
        <w:rPr>
          <w:rFonts w:eastAsia="宋体" w:cs="Times New Roman"/>
          <w:color w:val="000000"/>
          <w:sz w:val="21"/>
          <w:szCs w:val="24"/>
        </w:rPr>
      </w:pPr>
      <w:r>
        <w:rPr>
          <w:rFonts w:hint="eastAsia" w:eastAsia="宋体" w:cs="Times New Roman"/>
          <w:b/>
          <w:color w:val="000000"/>
          <w:sz w:val="21"/>
          <w:szCs w:val="24"/>
        </w:rPr>
        <w:t>二、党的性质决定“三个代表”的统一性</w:t>
      </w:r>
    </w:p>
    <w:p w14:paraId="0ABF021F">
      <w:pPr>
        <w:ind w:firstLine="360"/>
        <w:rPr>
          <w:rFonts w:eastAsia="宋体" w:cs="Times New Roman"/>
          <w:color w:val="000000"/>
          <w:sz w:val="21"/>
          <w:szCs w:val="24"/>
        </w:rPr>
      </w:pPr>
      <w:r>
        <w:rPr>
          <w:rFonts w:hint="eastAsia" w:eastAsia="宋体" w:cs="Times New Roman"/>
          <w:color w:val="000000"/>
          <w:sz w:val="21"/>
          <w:szCs w:val="24"/>
        </w:rPr>
        <w:t>中国共产党是由中国工人阶级的先进分子所组成，这客观上决定了“三个代表”之间的辩证统一关系。如果割裂了它们之间的内在关系，便会影响对“三个代表”的整体理解。</w:t>
      </w:r>
    </w:p>
    <w:p w14:paraId="1DE6833F">
      <w:pPr>
        <w:ind w:firstLine="360"/>
        <w:rPr>
          <w:rFonts w:eastAsia="宋体" w:cs="Times New Roman"/>
          <w:color w:val="000000"/>
          <w:sz w:val="21"/>
          <w:szCs w:val="24"/>
        </w:rPr>
      </w:pPr>
      <w:r>
        <w:rPr>
          <w:rFonts w:hint="eastAsia" w:eastAsia="宋体" w:cs="Times New Roman"/>
          <w:color w:val="000000"/>
          <w:sz w:val="21"/>
          <w:szCs w:val="24"/>
        </w:rPr>
        <w:t>(一)日趋先进和强大的社会生产力是中国共产党执政的物质基础中国共产党是在一个经济落后和人口众多的大国进行革命并执政的。革命的目的就是为了解放生产力和发展生产力。革命的物质条件和经济基础在于旧中国的生产关系与日渐社会化的大生产发生冲突。革命成功表明其物质条件和经济基础是具备的，革命是及时的，而非“过早”或“早产”。也就是说，包括中国在内的大多数国家共产党革命的物质基础可以是十分落后或比较落后的社会生产力，这合乎马克思主义关于落后国家也可以搞革命的基本思想。</w:t>
      </w:r>
    </w:p>
    <w:p w14:paraId="59D19D52">
      <w:pPr>
        <w:ind w:firstLine="360"/>
        <w:rPr>
          <w:rFonts w:eastAsia="宋体" w:cs="Times New Roman"/>
          <w:color w:val="000000"/>
          <w:sz w:val="21"/>
          <w:szCs w:val="24"/>
        </w:rPr>
      </w:pPr>
      <w:r>
        <w:rPr>
          <w:rFonts w:hint="eastAsia" w:eastAsia="宋体" w:cs="Times New Roman"/>
          <w:color w:val="000000"/>
          <w:sz w:val="21"/>
          <w:szCs w:val="24"/>
        </w:rPr>
        <w:t>但是，落后国家革命成功后，一方面出于尽快改善人民生活的需要，一方面出于积极参与国际竞争和体现制度优势的需要，必须迅速发展社会生产力，改变自己执政初始的薄弱物质基础，也就是说，共产党不能长期在落后的物质基础上稳固地执政。邓小平所说的“贫穷不是社会主义”已表明了这一理论精神。</w:t>
      </w:r>
    </w:p>
    <w:p w14:paraId="25B407BD">
      <w:pPr>
        <w:ind w:firstLine="360"/>
        <w:rPr>
          <w:rFonts w:eastAsia="宋体" w:cs="Times New Roman"/>
          <w:color w:val="000000"/>
          <w:sz w:val="21"/>
          <w:szCs w:val="24"/>
        </w:rPr>
      </w:pPr>
      <w:r>
        <w:rPr>
          <w:rFonts w:hint="eastAsia" w:eastAsia="宋体" w:cs="Times New Roman"/>
          <w:color w:val="000000"/>
          <w:sz w:val="21"/>
          <w:szCs w:val="24"/>
        </w:rPr>
        <w:t>诚然，社会生产力的日趋先进和强大是一个动态过程，不同的国情和基础有不同的进展和体现。只要共产党执政后坚持不懈地抓好科教兴国，充分发挥社会主义制度的潜能和优势，就一定能够建立起日益接近并最终超过一切资本主义国家的物质基础。</w:t>
      </w:r>
    </w:p>
    <w:p w14:paraId="34B769BD">
      <w:pPr>
        <w:ind w:firstLine="360"/>
        <w:rPr>
          <w:rFonts w:eastAsia="宋体" w:cs="Times New Roman"/>
          <w:color w:val="000000"/>
          <w:sz w:val="21"/>
          <w:szCs w:val="24"/>
        </w:rPr>
      </w:pPr>
      <w:r>
        <w:rPr>
          <w:rFonts w:hint="eastAsia" w:eastAsia="宋体" w:cs="Times New Roman"/>
          <w:color w:val="000000"/>
          <w:sz w:val="21"/>
          <w:szCs w:val="24"/>
        </w:rPr>
        <w:t>(二)日趋先进和繁荣的文化是中国共产党执政的精神基础</w:t>
      </w:r>
    </w:p>
    <w:p w14:paraId="3A4CD778">
      <w:pPr>
        <w:ind w:firstLine="360"/>
        <w:rPr>
          <w:rFonts w:eastAsia="宋体" w:cs="Times New Roman"/>
          <w:color w:val="000000"/>
          <w:sz w:val="21"/>
          <w:szCs w:val="24"/>
        </w:rPr>
      </w:pPr>
      <w:r>
        <w:rPr>
          <w:rFonts w:hint="eastAsia" w:eastAsia="宋体" w:cs="Times New Roman"/>
          <w:color w:val="000000"/>
          <w:sz w:val="21"/>
          <w:szCs w:val="24"/>
        </w:rPr>
        <w:t>先进文化是我们党带领全国各族人民进行社会主义现代化建设、代表先进社会生产力发展要求的精神和思想基础。我们党之所以与别的政党不同，就在于是以马克思主义为指导思想。江泽民同志在“三个代表”的论述中，把发展社会主义先进文化作为党建工作的重要内容，这就是说，坚持以经济建设为中心，不只是追求物质文明、放弃精神文明，而是促进物质文明与精神文明协调发展。国内外经济发展事实证明，缺乏与物质文明相适应的精神文明，持续实现先进生产力的发展是不可能的。在社会主义现代化建设中，不但经济建设要搞上去，而且要有先进文化为之服务，如科学的理论指导、高尚的思想道德、较高的科学文化素质、和谐的社会秩序和良好的社会风气等。如果没有这些先进文化引导，经济建设就有可能误入歧途。</w:t>
      </w:r>
    </w:p>
    <w:p w14:paraId="366A32CA">
      <w:pPr>
        <w:ind w:firstLine="360"/>
        <w:rPr>
          <w:rFonts w:eastAsia="宋体" w:cs="Times New Roman"/>
          <w:color w:val="000000"/>
          <w:sz w:val="21"/>
          <w:szCs w:val="24"/>
        </w:rPr>
      </w:pPr>
      <w:r>
        <w:rPr>
          <w:rFonts w:hint="eastAsia" w:eastAsia="宋体" w:cs="Times New Roman"/>
          <w:color w:val="000000"/>
          <w:sz w:val="21"/>
          <w:szCs w:val="24"/>
        </w:rPr>
        <w:t>在我国市场经济条件下，物质文明建设有了较快发展，但精神文明建设相对疲软，影响了社会主义先进文化建设的发展。突出表现在：一是宣扬马克思主义“过时论”，主张用西方理论取代马克思主义在中国的指导地位。二是宣扬封建迷信来取代先进文化的科学性，这是由市场经济的负面性引起的。由于市场经济以追求物质利益最大化为目标，在一定程度上影响着社会主义现代化建设所需要的共同理想、价值观念、道德观念，西方腐朽落后的文化思想就会乘虚而入，正在影响着做人的准则，也直接影响着社会稳定、政治稳定和人心稳定。正如邓小平指出：“这几年生产是上去了，但是资本主义和封建主义的流毒还没有减少到可能的最低限度，甚至解放后绝迹已久的一些坏事也在复活。我们再不下大的决心迅速改变这种情况，社会主义的优越性怎么能全面地发挥出来?我们又怎么能充分有效地教育我们的人民和后代?不加强精神文明的建设，物质文明的建设也要受破坏，走弯路。光靠物质条件，我们的革命和建设都不可能胜利。”</w:t>
      </w:r>
      <w:r>
        <w:rPr>
          <w:rFonts w:eastAsia="宋体" w:cs="Times New Roman"/>
          <w:color w:val="000000"/>
          <w:sz w:val="21"/>
          <w:szCs w:val="24"/>
          <w:vertAlign w:val="superscript"/>
        </w:rPr>
        <w:footnoteReference w:id="12"/>
      </w:r>
      <w:r>
        <w:rPr>
          <w:rFonts w:hint="eastAsia" w:eastAsia="宋体" w:cs="Times New Roman"/>
          <w:color w:val="000000"/>
          <w:sz w:val="21"/>
          <w:szCs w:val="24"/>
        </w:rPr>
        <w:t>因此，只有加强社会主义先进文化建设，才能为先进社会生产力的发展提供精神支持，从而保障广大人民的根本利益。</w:t>
      </w:r>
    </w:p>
    <w:p w14:paraId="17A79081">
      <w:pPr>
        <w:ind w:firstLine="360"/>
        <w:rPr>
          <w:rFonts w:eastAsia="宋体" w:cs="Times New Roman"/>
          <w:color w:val="000000"/>
          <w:sz w:val="21"/>
          <w:szCs w:val="24"/>
        </w:rPr>
      </w:pPr>
      <w:r>
        <w:rPr>
          <w:rFonts w:hint="eastAsia" w:eastAsia="宋体" w:cs="Times New Roman"/>
          <w:color w:val="000000"/>
          <w:sz w:val="21"/>
          <w:szCs w:val="24"/>
        </w:rPr>
        <w:t>(三)持续扩大的人民利益是中国共产党执政的群众基础</w:t>
      </w:r>
    </w:p>
    <w:p w14:paraId="2E539CEE">
      <w:pPr>
        <w:ind w:firstLine="360"/>
        <w:rPr>
          <w:rFonts w:eastAsia="宋体" w:cs="Times New Roman"/>
          <w:color w:val="000000"/>
          <w:sz w:val="21"/>
          <w:szCs w:val="24"/>
        </w:rPr>
      </w:pPr>
      <w:r>
        <w:rPr>
          <w:rFonts w:hint="eastAsia" w:eastAsia="宋体" w:cs="Times New Roman"/>
          <w:color w:val="000000"/>
          <w:sz w:val="21"/>
          <w:szCs w:val="24"/>
        </w:rPr>
        <w:t>国以民为本，党以民为基。如果没有人民群众的拥护和支持，我们党就会失去存在的基础。人民群众评判我们党是不是代表他们的根本利益，最主要的标准就是看党的路线、方针和政策对老百姓是否最有利。</w:t>
      </w:r>
    </w:p>
    <w:p w14:paraId="2742498C">
      <w:pPr>
        <w:ind w:firstLine="360"/>
        <w:rPr>
          <w:rFonts w:eastAsia="宋体" w:cs="Times New Roman"/>
          <w:color w:val="000000"/>
          <w:sz w:val="21"/>
          <w:szCs w:val="24"/>
        </w:rPr>
      </w:pPr>
      <w:r>
        <w:rPr>
          <w:rFonts w:hint="eastAsia" w:eastAsia="宋体" w:cs="Times New Roman"/>
          <w:color w:val="000000"/>
          <w:sz w:val="21"/>
          <w:szCs w:val="24"/>
        </w:rPr>
        <w:t>改革开放以来，我们党提出以按劳分配为主体、多种分配形式并存的分配原则，这是在经济上保证最广大人民根本利益的制度因素。任何私有化途径及其分配方案均无法从根本上实现人民的共同富裕和整体利益。有人认为工人阶级过去是领导阶级，现在工人却大量下岗，共产党还能代表工人阶级的利益吗？应当承认，在经济结构调整中，必然会出现为了长远利益而影响眼前利益的情况，但调整的目的是为了减少重复建设，使国民经济走上良性循环的发展道路，最终还是有利于最广大人民的根本利益，包括下岗职工的利益。我们搞的是社会主义市场经济，对市场经济自身存在的弱点和消极因素，包括社会收入分配不公等问题，一定要通过国家宏观调控和发挥公有制主体的作用来加以解决，使执政党真正成为最广大人民根本利益的忠实代表。</w:t>
      </w:r>
    </w:p>
    <w:p w14:paraId="12602591">
      <w:pPr>
        <w:ind w:firstLine="360"/>
        <w:rPr>
          <w:rFonts w:eastAsia="宋体" w:cs="Times New Roman"/>
          <w:b/>
          <w:color w:val="000000"/>
          <w:sz w:val="21"/>
          <w:szCs w:val="24"/>
        </w:rPr>
      </w:pPr>
      <w:r>
        <w:rPr>
          <w:rFonts w:hint="eastAsia" w:eastAsia="宋体" w:cs="Times New Roman"/>
          <w:color w:val="000000"/>
          <w:sz w:val="21"/>
          <w:szCs w:val="24"/>
        </w:rPr>
        <w:t>由此可见，“三个代表”是辩证统一的科学体系：先进社会生产力是社会发展进步的决定力量，成为我们执政党的物质基础；先进文化对经济和政治发展起着巨大作用，成为执政党的精神和思想基础；而广大人民是创造生产力和先进文化的主体力量，成为执政党的群众基础。</w:t>
      </w:r>
    </w:p>
    <w:p w14:paraId="15072A1B">
      <w:pPr>
        <w:ind w:firstLine="360"/>
        <w:rPr>
          <w:rFonts w:eastAsia="宋体" w:cs="Times New Roman"/>
          <w:color w:val="000000"/>
          <w:sz w:val="21"/>
          <w:szCs w:val="24"/>
        </w:rPr>
      </w:pPr>
      <w:r>
        <w:rPr>
          <w:rFonts w:hint="eastAsia" w:eastAsia="宋体" w:cs="Times New Roman"/>
          <w:b/>
          <w:color w:val="000000"/>
          <w:sz w:val="21"/>
          <w:szCs w:val="24"/>
        </w:rPr>
        <w:t>三、党的性质决定“三个代表”的实践性</w:t>
      </w:r>
    </w:p>
    <w:p w14:paraId="04606503">
      <w:pPr>
        <w:ind w:firstLine="360"/>
        <w:rPr>
          <w:rFonts w:eastAsia="宋体" w:cs="Times New Roman"/>
          <w:color w:val="000000"/>
          <w:sz w:val="21"/>
          <w:szCs w:val="24"/>
        </w:rPr>
      </w:pPr>
      <w:r>
        <w:rPr>
          <w:rFonts w:hint="eastAsia" w:eastAsia="宋体" w:cs="Times New Roman"/>
          <w:color w:val="000000"/>
          <w:sz w:val="21"/>
          <w:szCs w:val="24"/>
        </w:rPr>
        <w:t>工人阶级及其先锋队是一个积极改造社会和世界的实践主体。党的这一性质决定了“三个代表”的科学内涵必须根植于实践，在实践中运用，在实践中发展。</w:t>
      </w:r>
    </w:p>
    <w:p w14:paraId="1015C606">
      <w:pPr>
        <w:ind w:firstLine="360"/>
        <w:rPr>
          <w:rFonts w:eastAsia="宋体" w:cs="Times New Roman"/>
          <w:color w:val="000000"/>
          <w:sz w:val="21"/>
          <w:szCs w:val="24"/>
        </w:rPr>
      </w:pPr>
      <w:r>
        <w:rPr>
          <w:rFonts w:hint="eastAsia" w:eastAsia="宋体" w:cs="Times New Roman"/>
          <w:color w:val="000000"/>
          <w:sz w:val="21"/>
          <w:szCs w:val="24"/>
        </w:rPr>
        <w:t>其一，实践代表先进社会生产力的发展要求，就要坚持党的基本路线、基本纲领、基本方针和政策，依照现阶段我国社会生产力与生产关系、经济基础与上层建筑矛盾运动的内在规律要求，为推进先进生产力的发展奋力拼搏。</w:t>
      </w:r>
    </w:p>
    <w:p w14:paraId="63BBD8FE">
      <w:pPr>
        <w:ind w:firstLine="360"/>
        <w:rPr>
          <w:rFonts w:eastAsia="宋体" w:cs="Times New Roman"/>
          <w:color w:val="000000"/>
          <w:sz w:val="21"/>
          <w:szCs w:val="24"/>
        </w:rPr>
      </w:pPr>
      <w:r>
        <w:rPr>
          <w:rFonts w:hint="eastAsia" w:eastAsia="宋体" w:cs="Times New Roman"/>
          <w:color w:val="000000"/>
          <w:sz w:val="21"/>
          <w:szCs w:val="24"/>
        </w:rPr>
        <w:t>当前，一是要继续坚持以经济建设为中心，始终把发展社会生产力作为根本任务放在首要地位。改革开放以来，我国生产力和整个经济建设发展是比较快的。在新世纪里，更应当有较快的发展，才能保证实现党的十五大确定的新世纪发展目标，才能更有条件解决经济和社会生活中遇到的突出矛盾和问题，才能发展社会生产力和增强国家的综合国力，才能把代表先进生产力发展要求的任务放在心上，抓在手中。二是要切实有效实施科教兴国战略，搞好人才资源的开发和利用。综合国力的竞争很大程度上取决于科技实力的竞争，说到底是拥有的人才质量和数量的竞争。谁能抓住机遇，大力实施科教兴国战略，谁就能抓好人才资源的开发和利用。这是我们党代表中国先进社会生产力发展要求所必须重视和努力完成的一项战略性任务。三是正确处理改革、稳定与发展的关系，为生产力的发展创造良好的社会政治环境。中国要发展，就必须保持安定团结的社会政治环境。要维护和保持社会政治稳定，就是正确认识和处理新形势下的人民内部矛盾，调动和保护好人民群众的积极性，实现和保障好人民群众的利益。四是真正坚持全心全意依靠工人阶级，充分激发广大职工的主动性和创造性精神。工人阶级是我们党的阶级基础和国家的领导阶级，是社会先进生产力和生产关系的代表，是推动我国改革开放和现代化建设、维护社会政治稳定的中坚力量。我们党作为中国工人阶级先锋队，要始终代表先进社会生产力的发展要求，必须坚持全心全意依靠工人阶级这个根本方针。这些年来，我国工人阶级队伍迅速扩大，文化水平和劳动技能普遍提高，知识分子已成为工人阶级的一部分，新一代工人大量成长起来，工人阶级内部构成及就业状况、劳动方式等也跟过去有了很大不同。这些变化，是工人阶级在新形势下发展、壮大、进步和更有力量的标志。党的组织和党员干部，在新形势下要保持清醒的头脑，全心全意依靠工人阶级不动摇，旗帜鲜明地带头尊重广大职工的主人翁地位，维护职工参与企业民主管理与监督的权利，依法保障职工的一切合法利益，坚决防止和克服官僚主义、形式主义和各种轻视职工、损害职工权益的不良行为，从而更好地带领广大职工去努力发展先进的社会生产力。</w:t>
      </w:r>
    </w:p>
    <w:p w14:paraId="106BB5E8">
      <w:pPr>
        <w:ind w:firstLine="360"/>
        <w:rPr>
          <w:rFonts w:eastAsia="宋体" w:cs="Times New Roman"/>
          <w:color w:val="000000"/>
          <w:sz w:val="21"/>
          <w:szCs w:val="24"/>
        </w:rPr>
      </w:pPr>
      <w:r>
        <w:rPr>
          <w:rFonts w:hint="eastAsia" w:eastAsia="宋体" w:cs="Times New Roman"/>
          <w:color w:val="000000"/>
          <w:sz w:val="21"/>
          <w:szCs w:val="24"/>
        </w:rPr>
        <w:t>其二，实践代表先进文化的前进方向，就要增强政治意识、大局意识、责任意识，以及增强忧患意识、阵地意识、创新意识和表率意识，不断地开创建设有中国特色社会主义文化事业的新局面。</w:t>
      </w:r>
    </w:p>
    <w:p w14:paraId="35C182F1">
      <w:pPr>
        <w:ind w:firstLine="360"/>
        <w:rPr>
          <w:rFonts w:eastAsia="宋体" w:cs="Times New Roman"/>
          <w:color w:val="000000"/>
          <w:sz w:val="21"/>
          <w:szCs w:val="24"/>
        </w:rPr>
      </w:pPr>
      <w:r>
        <w:rPr>
          <w:rFonts w:hint="eastAsia" w:eastAsia="宋体" w:cs="Times New Roman"/>
          <w:color w:val="000000"/>
          <w:sz w:val="21"/>
          <w:szCs w:val="24"/>
        </w:rPr>
        <w:t>为此，目前应强调：(1)要坚持和巩固马克思主义指导地位，反对指导思想上的多元化。马克思主义是从根本上揭示自然、社会和经济发展规律的科学理论体系，是我们认识世界、改造世界的强大思想武器，是先进文化的核心和灵魂。在当前非常复杂的历史条件下，要保持有中国特色社会主义文化的先进性，就不能削弱马克思主义的指导地位。必须坚定不移地把马克思主义的立场、观点、方法融入到各种形式的精神文化产品和思想道德教育之中，从而用马克思主义理论牢固占领社会主义思想文化阵地，坚决抵制各种错误思想和腐朽落后文化的侵蚀。(2)要抓紧建立与社会主义市场经济相适应的思想道德体系。思想道德建设是社会主义文化建设的核心内容，建立和发展与社会主义市场经济相适应的思想道德体系，是当前建设和发展先进文化的一项紧迫而又重要的任务。一是要加强理想信念教育，围绕树立正确的理想信念，着力加强党的基本理论、基本路线、基本纲领教育，加强爱国主义、集体主义、社会主义和艰苦创业精神教育，宣传和普及科学知识、科学思想、科学方法、科学精神，引导广大干部群众正确认识社会发展规律，正确认识国家的前途和命运，从而进一步坚定对马克思主义的信仰，坚定对社会主义的信念，增强对改革开放和现代化建设的信心，增强对党和政府的信任。二是要加强思想道德教育。全党同志在全体人民中要带头提倡以为人民服务为核心、以集体主义为原则的社会主义思想道德教育，反对和抵制拜金主义、享乐主义和个人主义倾向；要引导人们正确处理国家、集体和个人三者关系，牢固树立把国家与人民利益放在首位而又充分尊重公民个人合法权益的社会主义利益观。(3)要继承、借鉴和弘扬人类一切优秀文化成果，立足本国实际不断开拓创新。我们正面临着一个知识创新、文化创新、科技创新的时代，其中最重要的是文化创新。如果一种文化缺乏创新意识，就难以代表先进文化的前进方向，难以不断满足人民群众日益增长的健康的精神文化需要。</w:t>
      </w:r>
    </w:p>
    <w:p w14:paraId="74E40A30">
      <w:pPr>
        <w:ind w:firstLine="360"/>
        <w:rPr>
          <w:rFonts w:eastAsia="宋体" w:cs="Times New Roman"/>
          <w:color w:val="000000"/>
          <w:sz w:val="21"/>
          <w:szCs w:val="24"/>
        </w:rPr>
      </w:pPr>
      <w:r>
        <w:rPr>
          <w:rFonts w:hint="eastAsia" w:eastAsia="宋体" w:cs="Times New Roman"/>
          <w:color w:val="000000"/>
          <w:sz w:val="21"/>
          <w:szCs w:val="24"/>
        </w:rPr>
        <w:t>其三，要实践代表最广大人民根本利益，就要在新的形势下坚持从严治党的方针，坚决防止执政党脱离人民的各种倾向。</w:t>
      </w:r>
    </w:p>
    <w:p w14:paraId="4F00CC06">
      <w:pPr>
        <w:ind w:firstLine="360"/>
        <w:rPr>
          <w:rFonts w:eastAsia="宋体" w:cs="Times New Roman"/>
          <w:color w:val="000000"/>
          <w:sz w:val="21"/>
          <w:szCs w:val="24"/>
        </w:rPr>
      </w:pPr>
      <w:r>
        <w:rPr>
          <w:rFonts w:hint="eastAsia" w:eastAsia="宋体" w:cs="Times New Roman"/>
          <w:color w:val="000000"/>
          <w:sz w:val="21"/>
          <w:szCs w:val="24"/>
        </w:rPr>
        <w:t>依据现有的党情和国情，一是要坚定不移地与党中央保持高度一致，从政治上保证党成为最广大人民根本利益的代表。这就要求全党尤其是各级领导干部都要不折不扣地贯彻执行党的路线方针和政策，服从全党、全国的大局，特别要强调遵守政治纪律。二是要坚持和健全民主集中制原则，从组织上保证党成为最广大人民根本利益的代表。这就要求我们党必须提高领导水平和执政水平，摆正个人与组织的关系，自觉接受党内外的监督，使权力更好地为维护和实现人民的根本利益服务。三是加强党风廉政建设，从作风上保证党成为最广大人民根本利益的代表。这就要求我们全党同志必须增强责任感和使命感，自觉保持党的先进性和纯洁性的形象，这样才能使我们党始终成为最广大人民根本利益的忠实代表。四是要坚持以按劳分配为主体、多种分配形式并存的社会主义分配制度。坚持这种制度是抑制经济利益分配不公、实现共同富裕的根本保证。这并不是否定非公有经济主体的利益，只要是合法的都应受到国家法律的保护，但要打击非法活动，控制某些不平等现象。</w:t>
      </w:r>
    </w:p>
    <w:p w14:paraId="7BCA80FD">
      <w:pPr>
        <w:ind w:firstLine="360"/>
        <w:rPr>
          <w:rFonts w:eastAsia="宋体" w:cs="Times New Roman"/>
          <w:color w:val="000000"/>
          <w:sz w:val="21"/>
          <w:szCs w:val="24"/>
        </w:rPr>
      </w:pPr>
      <w:r>
        <w:rPr>
          <w:rFonts w:hint="eastAsia" w:eastAsia="宋体" w:cs="Times New Roman"/>
          <w:color w:val="000000"/>
          <w:sz w:val="21"/>
          <w:szCs w:val="24"/>
        </w:rPr>
        <w:t>参考文章：</w:t>
      </w:r>
    </w:p>
    <w:p w14:paraId="65008B5A">
      <w:pPr>
        <w:ind w:firstLine="360"/>
        <w:rPr>
          <w:rFonts w:eastAsia="宋体" w:cs="Times New Roman"/>
          <w:color w:val="000000"/>
          <w:sz w:val="21"/>
          <w:szCs w:val="24"/>
        </w:rPr>
      </w:pPr>
      <w:r>
        <w:rPr>
          <w:rFonts w:hint="eastAsia" w:eastAsia="宋体" w:cs="Times New Roman"/>
          <w:color w:val="000000"/>
          <w:sz w:val="21"/>
          <w:szCs w:val="24"/>
        </w:rPr>
        <w:t>①程恩富主编：《现代政治经济学》，上海财经大学出版社2000年版。</w:t>
      </w:r>
    </w:p>
    <w:p w14:paraId="4F2BB961">
      <w:pPr>
        <w:ind w:firstLine="360"/>
        <w:rPr>
          <w:rFonts w:eastAsia="宋体" w:cs="Times New Roman"/>
          <w:color w:val="000000"/>
          <w:sz w:val="21"/>
          <w:szCs w:val="24"/>
        </w:rPr>
      </w:pPr>
      <w:r>
        <w:rPr>
          <w:rFonts w:hint="eastAsia" w:eastAsia="宋体" w:cs="Times New Roman"/>
          <w:color w:val="000000"/>
          <w:sz w:val="21"/>
          <w:szCs w:val="24"/>
        </w:rPr>
        <w:t>②程恩富等主编：《：中俄经济学家论中俄经济改革》，经济科学出版社2000年版。</w:t>
      </w:r>
    </w:p>
    <w:p w14:paraId="787A43E8">
      <w:pPr>
        <w:ind w:firstLine="360"/>
        <w:rPr>
          <w:rFonts w:eastAsia="宋体" w:cs="Times New Roman"/>
          <w:color w:val="000000"/>
          <w:sz w:val="21"/>
          <w:szCs w:val="24"/>
        </w:rPr>
      </w:pPr>
      <w:r>
        <w:rPr>
          <w:rFonts w:hint="eastAsia" w:eastAsia="宋体" w:cs="Times New Roman"/>
          <w:color w:val="000000"/>
          <w:sz w:val="21"/>
          <w:szCs w:val="24"/>
        </w:rPr>
        <w:t>③陈克敏等：《面向新世纪的思考》，上海人民出版社2001年版。</w:t>
      </w:r>
    </w:p>
    <w:p w14:paraId="2742397A">
      <w:pPr>
        <w:ind w:firstLine="360"/>
        <w:rPr>
          <w:rFonts w:eastAsia="宋体" w:cs="Times New Roman"/>
          <w:color w:val="000000"/>
          <w:sz w:val="21"/>
          <w:szCs w:val="24"/>
        </w:rPr>
      </w:pPr>
    </w:p>
    <w:p w14:paraId="4D2EA57F">
      <w:pPr>
        <w:ind w:firstLine="360"/>
        <w:rPr>
          <w:rFonts w:eastAsia="宋体" w:cs="Times New Roman"/>
          <w:color w:val="000000"/>
          <w:sz w:val="21"/>
          <w:szCs w:val="24"/>
        </w:rPr>
      </w:pPr>
      <w:r>
        <w:rPr>
          <w:rFonts w:hint="eastAsia" w:eastAsia="宋体" w:cs="Times New Roman"/>
          <w:color w:val="000000"/>
          <w:sz w:val="21"/>
          <w:szCs w:val="24"/>
        </w:rPr>
        <w:t>（原载《学术月刊》2001年第7期，第二作者为周肇光）</w:t>
      </w:r>
    </w:p>
    <w:p w14:paraId="71D8DE18">
      <w:pPr>
        <w:spacing w:before="120" w:beforeLines="50" w:after="120" w:afterLines="50" w:line="300" w:lineRule="auto"/>
        <w:ind w:firstLine="640" w:firstLineChars="200"/>
        <w:jc w:val="center"/>
        <w:outlineLvl w:val="1"/>
        <w:rPr>
          <w:rFonts w:hint="default" w:ascii="Times New Roman" w:hAnsi="Times New Roman" w:eastAsia="黑体" w:cs="Times New Roman"/>
          <w:sz w:val="32"/>
          <w:szCs w:val="24"/>
        </w:rPr>
      </w:pPr>
      <w:bookmarkStart w:id="67" w:name="_Toc1013"/>
      <w:bookmarkStart w:id="68" w:name="_Toc1939689917"/>
      <w:bookmarkStart w:id="69" w:name="_Toc26338238"/>
      <w:r>
        <w:rPr>
          <w:rFonts w:hint="default" w:ascii="Times New Roman" w:hAnsi="Times New Roman" w:eastAsia="黑体" w:cs="Times New Roman"/>
          <w:sz w:val="32"/>
          <w:szCs w:val="24"/>
        </w:rPr>
        <w:t>经营者收入的博弈分析</w:t>
      </w:r>
      <w:bookmarkEnd w:id="61"/>
      <w:bookmarkEnd w:id="62"/>
      <w:bookmarkEnd w:id="67"/>
      <w:bookmarkEnd w:id="68"/>
      <w:bookmarkEnd w:id="69"/>
    </w:p>
    <w:p w14:paraId="59183A1F">
      <w:pPr>
        <w:spacing w:line="300" w:lineRule="auto"/>
        <w:ind w:firstLine="480" w:firstLineChars="200"/>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——劳动价值论的一种拓展</w:t>
      </w:r>
      <w:bookmarkEnd w:id="63"/>
    </w:p>
    <w:p w14:paraId="598455C6">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firstLine="480" w:firstLineChars="200"/>
        <w:jc w:val="center"/>
        <w:textAlignment w:val="auto"/>
        <w:rPr>
          <w:rFonts w:hint="default" w:ascii="Times New Roman" w:hAnsi="Times New Roman" w:eastAsia="黑体" w:cs="Times New Roman"/>
          <w:sz w:val="24"/>
          <w:szCs w:val="24"/>
        </w:rPr>
      </w:pPr>
      <w:r>
        <w:rPr>
          <w:rFonts w:hint="default" w:ascii="Times New Roman" w:hAnsi="Times New Roman" w:eastAsia="黑体" w:cs="Times New Roman"/>
          <w:sz w:val="24"/>
          <w:szCs w:val="24"/>
        </w:rPr>
        <w:t>一、经营者劳动的性质</w:t>
      </w:r>
    </w:p>
    <w:p w14:paraId="24DF0A7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长期以来，我国经济学界一般承认，在公有制企业内，从事生产性管理的活动是创造商品价值的生产劳动，但却否认资本主义私人企业中的生产经营管理活动也创造价值。这种逻辑显然是难以自圆其说的。</w:t>
      </w:r>
    </w:p>
    <w:p w14:paraId="59F1B1D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首先，马克思分析了资本家自身从事管理活动的情况。他分析说，“资本家的管理不仅是一种由社会劳动过程的性质产生并属于社会劳动过程的特殊职能，它同时也是剥削社会劳动过程的职能，因而也是由剥削者和他所剥削的原料之间不可避免的对抗决定的”。因此，“同货币资本家相对来说，产业资本家是劳动者，不过是作为资本家的劳动者，即作为对别人劳动的剥削者的劳动者。他为这种劳动所要求的和所取得的工资，恰好等于他所占有别人劳动的量”。</w:t>
      </w:r>
      <w:r>
        <w:rPr>
          <w:rFonts w:hint="default" w:ascii="Times New Roman" w:hAnsi="Times New Roman" w:eastAsia="宋体" w:cs="Times New Roman"/>
          <w:szCs w:val="21"/>
          <w:vertAlign w:val="superscript"/>
        </w:rPr>
        <w:footnoteReference w:id="13"/>
      </w:r>
      <w:r>
        <w:rPr>
          <w:rFonts w:hint="default" w:ascii="Times New Roman" w:hAnsi="Times New Roman" w:eastAsia="宋体" w:cs="Times New Roman"/>
          <w:szCs w:val="21"/>
        </w:rPr>
        <w:t>可见，由于所有者和生产者之间对抗性矛盾产生的纯粹监督劳动具有占有剩余价值的本性，具有剥削的性质。但事实上，纯粹的监督劳动和其他劳动是难以分离的，当马克思将资本家的纯粹监督劳动与其他管理劳动，以及因管理劳动而应得的工资与因所有者的缘故而得到的收入合在一起分析时，结果就使后来的马克思主义学者忽视了两者的区别。</w:t>
      </w:r>
    </w:p>
    <w:p w14:paraId="70BE066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其次，马克思又进一步分析了这种管理劳动由专门经营者代理的情况。他写道：“与信用事业一起发展的股份企业，一般地说也有一种趋势，就是使这种管理劳动作为一种职能越来越同自有资本或借人资本的所有权相分离，……不能用借贷也不能用别的方式占有资本的单纯的经理，执行着一切应由执行职能的资本家自己担任的现实职能，所以，留下来的只有管理人员，资本家则作为多余的人从生产过程中消失了……随着工人方面的合作事业和资产阶级方面的股份企业的发展，混淆企业主和管理工资的最后口实再也站不住脚了”。</w:t>
      </w:r>
      <w:r>
        <w:rPr>
          <w:rFonts w:hint="default" w:ascii="Times New Roman" w:hAnsi="Times New Roman" w:eastAsia="宋体" w:cs="Times New Roman"/>
          <w:szCs w:val="21"/>
          <w:vertAlign w:val="superscript"/>
        </w:rPr>
        <w:footnoteReference w:id="14"/>
      </w:r>
      <w:r>
        <w:rPr>
          <w:rFonts w:hint="default" w:ascii="Times New Roman" w:hAnsi="Times New Roman" w:eastAsia="宋体" w:cs="Times New Roman"/>
          <w:szCs w:val="21"/>
        </w:rPr>
        <w:t>从这里，我们可以看出这样几点：</w:t>
      </w:r>
    </w:p>
    <w:p w14:paraId="727B2FE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一，所有者和经营者职能的分离是企业制度变迁的必然趋势。正如马克思所说的，“当资本家的资本一达到开始真正资本主义生产所需要的最低限量时，他便摆脱体力劳动”，随着大规模协作的发展，“他把直接和经常监督单个工人和工人小组的职能交给了特种的雇佣工人。”</w:t>
      </w:r>
      <w:r>
        <w:rPr>
          <w:rFonts w:hint="default" w:ascii="Times New Roman" w:hAnsi="Times New Roman" w:eastAsia="宋体" w:cs="Times New Roman"/>
          <w:szCs w:val="21"/>
          <w:vertAlign w:val="superscript"/>
        </w:rPr>
        <w:footnoteReference w:id="15"/>
      </w:r>
      <w:r>
        <w:rPr>
          <w:rFonts w:hint="default" w:ascii="Times New Roman" w:hAnsi="Times New Roman" w:eastAsia="宋体" w:cs="Times New Roman"/>
          <w:szCs w:val="21"/>
        </w:rPr>
        <w:t>“一切规模较大的直接社会劳动或共同劳动，都或多或少地需要指挥，以协调个人的活动，完成由各种生产总体运动——不同于这一总体的独立器宫的劳动——所产生的各种一般职能。……提琴独奏演员可以独展所长，一个乐队就需要有乐队指挥”。</w:t>
      </w:r>
      <w:r>
        <w:rPr>
          <w:rFonts w:hint="default" w:ascii="Times New Roman" w:hAnsi="Times New Roman" w:eastAsia="宋体" w:cs="Times New Roman"/>
          <w:szCs w:val="21"/>
          <w:vertAlign w:val="superscript"/>
        </w:rPr>
        <w:footnoteReference w:id="16"/>
      </w:r>
    </w:p>
    <w:p w14:paraId="4AD5EC7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二，经营者也是雇员，经营者劳动和生产者劳动是由于企业面临不确定性带来的人事选择和职能专业化：有更好管理才能的人被授予对团体的控制权，其他人则在他的指挥下工作（Knight，1921）。因此，“自然，从真正的工人到（有别于资本家的）经理、工程师，都属于生产劳动者的范围”。</w:t>
      </w:r>
      <w:r>
        <w:rPr>
          <w:rFonts w:hint="default" w:ascii="Times New Roman" w:hAnsi="Times New Roman" w:eastAsia="宋体" w:cs="Times New Roman"/>
          <w:szCs w:val="21"/>
          <w:vertAlign w:val="superscript"/>
        </w:rPr>
        <w:footnoteReference w:id="17"/>
      </w:r>
      <w:r>
        <w:rPr>
          <w:rFonts w:hint="default" w:ascii="Times New Roman" w:hAnsi="Times New Roman" w:eastAsia="宋体" w:cs="Times New Roman"/>
          <w:szCs w:val="21"/>
        </w:rPr>
        <w:t>这种劳动一般也是生产性的劳动，它也创造价值，经营者也必然应该取得工资，“经理的薪金只是，或者应该只是某种熟练劳动的工资”。</w:t>
      </w:r>
      <w:r>
        <w:rPr>
          <w:rFonts w:hint="default" w:ascii="Times New Roman" w:hAnsi="Times New Roman" w:eastAsia="宋体" w:cs="Times New Roman"/>
          <w:szCs w:val="21"/>
          <w:vertAlign w:val="superscript"/>
        </w:rPr>
        <w:footnoteReference w:id="18"/>
      </w:r>
    </w:p>
    <w:p w14:paraId="672157B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三，经营者管理活动中的纯粹监督劳动仅是代替资本家的纯粹监督劳动，因而也带有剥削的性质。即“一旦从属于资本的劳动成为协作劳动，这种管理、监督和调节的职能就成了资本的职能。这种管理的职能作为资本的特殊职能取得了特殊的性质”。由于“资本家的管理不仅是一种由社会劳动过程的性质产生并属于社会劳动过程的特殊职能，它同时也是剥削社会劳动过程的职能”。那么，专门经营者的出现只是代替资本家的管理活动，也就必然从属于资本的本性。因此，“资本主义的管理就其内容来说是二重的，因为它所管理的生产过程本身具有二重性：一方面是制造产品的社会劳动过程，另一方面是资本的价值增加过程”</w:t>
      </w:r>
      <w:r>
        <w:rPr>
          <w:rFonts w:hint="default" w:ascii="Times New Roman" w:hAnsi="Times New Roman" w:eastAsia="宋体" w:cs="Times New Roman"/>
          <w:szCs w:val="21"/>
          <w:lang w:eastAsia="zh-CN"/>
        </w:rPr>
        <w:t>。</w:t>
      </w:r>
      <w:r>
        <w:rPr>
          <w:rFonts w:hint="default" w:ascii="Times New Roman" w:hAnsi="Times New Roman" w:eastAsia="宋体" w:cs="Times New Roman"/>
          <w:szCs w:val="21"/>
          <w:vertAlign w:val="superscript"/>
        </w:rPr>
        <w:footnoteReference w:id="19"/>
      </w:r>
    </w:p>
    <w:p w14:paraId="57834D6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最后，马克思还特别区分了管理活动的不同劳动性质。一方面，就所有权和经营权分离后所有者的管理活动来说，如果所有者还从事一定的生产性管理劳动，则这种劳动创造价值；但如果董事长、董事和监事仅是挂名的，实际上并没有参与公司重大经营决策的制定和实施的必要监督，而只是行使单纯财产所有权的活动，如分股息和红利等，则他们的活动不创造新价值（程恩富，1995）。这就是马克思分析的，“在实际的经理之外并在他们之上，出现了一批董事和监事。对这些董事和监事来说，管理和监督实际上不过是掠夺股东、发财致富的一个借口而已。……这种监督工资照例和这种挂名董事实际担任的监督成反比”。</w:t>
      </w:r>
      <w:r>
        <w:rPr>
          <w:rFonts w:hint="default" w:ascii="Times New Roman" w:hAnsi="Times New Roman" w:eastAsia="宋体" w:cs="Times New Roman"/>
          <w:szCs w:val="21"/>
          <w:vertAlign w:val="superscript"/>
        </w:rPr>
        <w:footnoteReference w:id="20"/>
      </w:r>
    </w:p>
    <w:p w14:paraId="27FDBF7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另一方面，就经营者的管理活动来说，也可分为两个方面。一是纯粹的监督劳动，这仅是迫使生产者创造更大的剩余价值，而本身并不能创造剩余价值。马克思引用了当时的经济学家凯尔恩斯对当时北美南北各州生、产特点的比较时，认为，南方各州奴隶制导致对劳动的监督，而北方各州由于农民所有者得到他的土地的全部产品，所以用不着其他的劳动刺激，也用不着监督。因此，奴隶制中的监督是非生产性的，也就不创造价值。在资本主义社会，“随着作为别人财产而同雇佣工人相对立的生产资料规模的增大，对这些生产资料的合理使用进行监督的必要性增加了。”</w:t>
      </w:r>
      <w:r>
        <w:rPr>
          <w:rFonts w:hint="default" w:ascii="Times New Roman" w:hAnsi="Times New Roman" w:eastAsia="宋体" w:cs="Times New Roman"/>
          <w:szCs w:val="21"/>
          <w:vertAlign w:val="superscript"/>
        </w:rPr>
        <w:footnoteReference w:id="21"/>
      </w:r>
    </w:p>
    <w:p w14:paraId="0574281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二是协调生产的劳动，这种劳动是生产性的，也就创造价值。因为这种协调劳动是在单个生产者支出同等劳动量的情况下，创造更大的价值。为此，马克思曾有精辟的分析，“政治经济学家（即凯尔恩斯一作者注）在拿独立的农民或独立的手工业者的生产方式同以奴隶制为基础的种植园经济作比较时，把这种监督工作算作非生产费用。相反地，他在考察资本主生产时，却把从共同劳动过程的性质产生的管理职能，同从这一过程的资本主义性质因而从对抗性质产生的管理职能混为一谈。”</w:t>
      </w:r>
      <w:r>
        <w:rPr>
          <w:rFonts w:hint="default" w:ascii="Times New Roman" w:hAnsi="Times New Roman" w:eastAsia="宋体" w:cs="Times New Roman"/>
          <w:szCs w:val="21"/>
          <w:vertAlign w:val="superscript"/>
        </w:rPr>
        <w:footnoteReference w:id="22"/>
      </w:r>
      <w:r>
        <w:rPr>
          <w:rFonts w:hint="default" w:ascii="Times New Roman" w:hAnsi="Times New Roman" w:eastAsia="宋体" w:cs="Times New Roman"/>
          <w:szCs w:val="21"/>
        </w:rPr>
        <w:t>从这句话明显可以看出，资本主义企业中的管理活动是不同于以往社会的。因为种植园主的管理是纯粹的监督劳动，只是迫使单个的农奴支出更多的劳动，从而创造更多的剩余价值，而本身并不创造价值；但在资本主义企业的经营者管理活动主要是协调生产的劳动，协调劳动不仅“提高个人的生产力，并且是创造一种生产力”，</w:t>
      </w:r>
      <w:r>
        <w:rPr>
          <w:rFonts w:hint="default" w:ascii="Times New Roman" w:hAnsi="Times New Roman" w:eastAsia="宋体" w:cs="Times New Roman"/>
          <w:szCs w:val="21"/>
          <w:vertAlign w:val="superscript"/>
        </w:rPr>
        <w:footnoteReference w:id="23"/>
      </w:r>
      <w:r>
        <w:rPr>
          <w:rFonts w:hint="default" w:ascii="Times New Roman" w:hAnsi="Times New Roman" w:eastAsia="宋体" w:cs="Times New Roman"/>
          <w:szCs w:val="21"/>
        </w:rPr>
        <w:t>因而是生产性劳动。</w:t>
      </w:r>
    </w:p>
    <w:p w14:paraId="484FF2E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命题1：资本主义企业中的管理活动可分为两个方面：一是纯粹的监督劳动，这仅是迫使生产者创造更大的剩余价值，而本身并不能创造剩余价值。二是协调生产的劳动，这种劳动是生产性的，也就创造价值。因为这种协调劳动可以在生产者支出同等劳动量的情况下，创造出更大的价值。</w:t>
      </w:r>
    </w:p>
    <w:p w14:paraId="463830C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马克思说，经营者的薪金只是，或者应该只是某种熟练劳动的工资。但实际生活中，经营者收入相差很悬殊，是怎样形成的呢?</w:t>
      </w:r>
    </w:p>
    <w:p w14:paraId="60167F2F">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firstLine="480" w:firstLineChars="200"/>
        <w:jc w:val="center"/>
        <w:textAlignment w:val="auto"/>
        <w:rPr>
          <w:rFonts w:hint="default" w:ascii="Times New Roman" w:hAnsi="Times New Roman" w:eastAsia="黑体" w:cs="Times New Roman"/>
          <w:sz w:val="24"/>
          <w:szCs w:val="24"/>
        </w:rPr>
      </w:pPr>
      <w:r>
        <w:rPr>
          <w:rFonts w:hint="default" w:ascii="Times New Roman" w:hAnsi="Times New Roman" w:eastAsia="黑体" w:cs="Times New Roman"/>
          <w:sz w:val="24"/>
          <w:szCs w:val="24"/>
        </w:rPr>
        <w:t>二、经营者收入的性质与博弈</w:t>
      </w:r>
    </w:p>
    <w:p w14:paraId="3B36ABB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1．所有权和经营权舍：为一时，则所有者具有绝对的信息偏在优势。在这种情况下，实际上企业只是资本家和生产者两者的关系，而由于所有者同时拥有监督权和经营权，因此，就具有生产的绝对信息优势。这样，在资本和劳动、经营劳动和生产劳动分割共同创造的价值的博弈中，所有者就处于有利地位。从而，一方面获得由于资本所有权而对创造的价值占有的更高的份额；另一方面也使其从事经营的劳动获得对创造的价值占有的更高的份额，这种以经营劳动的名义获得的收入一般要高于经营者的劳动力价值，甚至超过经营劳动所创造的全部价值。</w:t>
      </w:r>
    </w:p>
    <w:p w14:paraId="3ADEBAE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经过上面的分析，当资本家兼有所有者和经营者双重身份时，其收入的来源就很清楚了：由于资本不创造价值，以资本所有者的身份获得的报酬就来源于生产者创造的剩余价值；而以经营者身份获得的收入的性质，可以分为两个部分，其中一部分是其自身创造的价值，而另外超过其自身创造的价值的部分实际上来源于生产者创造的剩余价值，具有无偿占有他人剩余劳动的性质。由于资本家对生产具有绝对垄断优势，因而有时会迫使生产者的工资减少到低于劳动力价值的程度。为了能获得更多的剩余价值，在条件允许的情况下，资本家都尽量自己兼有这双重职责。企业制度变迁史上，直到1840年，美国还没有出现中层经理人员，当时，几乎所有的高层经理都是企业的所有者，或者是他们所管理的企业的合伙人，或者是其主要股东（钱德勒，1987，PP3）。在1914年以前，英国有80％的股份公司属于私人公司，这些私人股份公司在保留有限责任的股份的同时，格外限制股份的转让权（hannah，1983）。越是在资本主义发展早期，这种现象越是非常普遍，正如钱德勒所描写的，19世纪40年代的商业资本主义的特点是：“老板管理公司，管理者即为老板。即使是合伙关系，其资本股权还是为少数个人或家族所掌握。这些公司依然是单一单位的企业，极少雇佣两三个以上的经理。因此，传统资本主义公司可以恰当地称为个人企业”（钱德勒，1987，PP9）。</w:t>
      </w:r>
    </w:p>
    <w:p w14:paraId="3F2A5DE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正是看到了这种现象的普遍性，才片面地将资本家的一切活动，包括资本家的经营活动都视为榨取剩余价值的活动，而本身不创造价值。即使在经济如此发达的今天，合伙公司以及大量的股份公司都是实行这种组织方式。目前，在英国的100家最大的公司中，有22％的公司将董事长与总经理合为一体；有40％．的公司将两个角色分开；其余38％的公司则没有设总经理之职，只设由董事长领导的董事会，并设立一些部门经理直接向董事长负责，董事长实际上也同时起着总经理的作用（程恩富，1995）。</w:t>
      </w:r>
    </w:p>
    <w:p w14:paraId="7A84A23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当然，当企业的规模越来越大，聘用代理人来经营能带来更多的剩余价值时，所有者和经营者这两种职能也就逐渐分离了。另一方面，随着合伙企业规模变得很大，其组织的无效性、无法实现有效的利益统一以及由道德风险引致的巨大风险等限制了它的进一步扩张，最终也迫使公司组织形式对它的替代（Knigtlt，1921）。</w:t>
      </w:r>
    </w:p>
    <w:p w14:paraId="769BB8D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命题2：当资本家兼有所有者和经营者双重身份时，他以资本所有者的身份获得的报酬来源于生产者创造的剩余价值；而以经营者身份获得的收入分为两个部分，其中一部分是其创造的新价值，而另外超过其创造的价值的部分实际上来源于生产者创造的剩余价值，具有元偿占有的性质。</w:t>
      </w:r>
    </w:p>
    <w:p w14:paraId="6D1F9E5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2．所有权和经营权分开，博弈具有完美信息。当所有权与经营权分离时，自然地，所有者与经营者之间就如何分割所创造的价值进行了博弈。假定创造价值的主要因素在于经营者的经验（即经营才能）与他的努力程度。我们以</w:t>
      </w:r>
      <w:r>
        <w:rPr>
          <w:rFonts w:hint="default" w:ascii="Times New Roman" w:hAnsi="Times New Roman" w:eastAsia="宋体" w:cs="Times New Roman"/>
          <w:szCs w:val="21"/>
        </w:rPr>
        <w:object>
          <v:shape id="_x0000_i1161" o:spt="75" type="#_x0000_t75" style="height:17.05pt;width:14.9pt;" o:ole="t" filled="f" o:preferrelative="t" stroked="f" coordsize="21600,21600">
            <v:path/>
            <v:fill on="f" focussize="0,0"/>
            <v:stroke on="f" joinstyle="miter"/>
            <v:imagedata r:id="rId18" o:title=""/>
            <o:lock v:ext="edit" aspectratio="t"/>
            <w10:wrap type="none"/>
            <w10:anchorlock/>
          </v:shape>
          <o:OLEObject Type="Embed" ProgID="Equation.3" ShapeID="_x0000_i1161" DrawAspect="Content" ObjectID="_1468075725" r:id="rId17">
            <o:LockedField>false</o:LockedField>
          </o:OLEObject>
        </w:object>
      </w:r>
      <w:r>
        <w:rPr>
          <w:rFonts w:hint="default" w:ascii="Times New Roman" w:hAnsi="Times New Roman" w:eastAsia="宋体" w:cs="Times New Roman"/>
          <w:szCs w:val="21"/>
        </w:rPr>
        <w:t>表示经营者的经营能力，α作为</w:t>
      </w:r>
      <w:r>
        <w:rPr>
          <w:rFonts w:hint="default" w:ascii="Times New Roman" w:hAnsi="Times New Roman" w:eastAsia="宋体" w:cs="Times New Roman"/>
          <w:szCs w:val="21"/>
        </w:rPr>
        <w:object>
          <v:shape id="_x0000_i1162" o:spt="75" type="#_x0000_t75" style="height:17.05pt;width:14.9pt;" o:ole="t" filled="f" o:preferrelative="t" stroked="f" coordsize="21600,21600">
            <v:path/>
            <v:fill on="f" focussize="0,0"/>
            <v:stroke on="f" joinstyle="miter"/>
            <v:imagedata r:id="rId20" o:title=""/>
            <o:lock v:ext="edit" aspectratio="t"/>
            <w10:wrap type="none"/>
            <w10:anchorlock/>
          </v:shape>
          <o:OLEObject Type="Embed" ProgID="Equation.3" ShapeID="_x0000_i1162" DrawAspect="Content" ObjectID="_1468075726" r:id="rId19">
            <o:LockedField>false</o:LockedField>
          </o:OLEObject>
        </w:object>
      </w:r>
      <w:r>
        <w:rPr>
          <w:rFonts w:hint="default" w:ascii="Times New Roman" w:hAnsi="Times New Roman" w:eastAsia="宋体" w:cs="Times New Roman"/>
          <w:szCs w:val="21"/>
        </w:rPr>
        <w:t>创造价值的折算因子；</w:t>
      </w:r>
      <w:r>
        <w:rPr>
          <w:rFonts w:hint="default" w:ascii="Times New Roman" w:hAnsi="Times New Roman" w:eastAsia="宋体" w:cs="Times New Roman"/>
          <w:szCs w:val="21"/>
        </w:rPr>
        <w:object>
          <v:shape id="_x0000_i1163" o:spt="75" type="#_x0000_t75" style="height:17.9pt;width:14.9pt;" o:ole="t" filled="f" o:preferrelative="t" stroked="f" coordsize="21600,21600">
            <v:path/>
            <v:fill on="f" focussize="0,0"/>
            <v:stroke on="f" joinstyle="miter"/>
            <v:imagedata r:id="rId22" o:title=""/>
            <o:lock v:ext="edit" aspectratio="t"/>
            <w10:wrap type="none"/>
            <w10:anchorlock/>
          </v:shape>
          <o:OLEObject Type="Embed" ProgID="Equation.3" ShapeID="_x0000_i1163" DrawAspect="Content" ObjectID="_1468075727" r:id="rId21">
            <o:LockedField>false</o:LockedField>
          </o:OLEObject>
        </w:object>
      </w:r>
      <w:r>
        <w:rPr>
          <w:rFonts w:hint="default" w:ascii="Times New Roman" w:hAnsi="Times New Roman" w:eastAsia="宋体" w:cs="Times New Roman"/>
          <w:szCs w:val="21"/>
        </w:rPr>
        <w:t>表示经营者的劳动强度。β作为</w:t>
      </w:r>
      <w:r>
        <w:rPr>
          <w:rFonts w:hint="default" w:ascii="Times New Roman" w:hAnsi="Times New Roman" w:eastAsia="宋体" w:cs="Times New Roman"/>
          <w:szCs w:val="21"/>
        </w:rPr>
        <w:object>
          <v:shape id="_x0000_i1164" o:spt="75" type="#_x0000_t75" style="height:17.9pt;width:14.9pt;" o:ole="t" filled="f" o:preferrelative="t" stroked="f" coordsize="21600,21600">
            <v:path/>
            <v:fill on="f" focussize="0,0"/>
            <v:stroke on="f" joinstyle="miter"/>
            <v:imagedata r:id="rId24" o:title=""/>
            <o:lock v:ext="edit" aspectratio="t"/>
            <w10:wrap type="none"/>
            <w10:anchorlock/>
          </v:shape>
          <o:OLEObject Type="Embed" ProgID="Equation.3" ShapeID="_x0000_i1164" DrawAspect="Content" ObjectID="_1468075728" r:id="rId23">
            <o:LockedField>false</o:LockedField>
          </o:OLEObject>
        </w:object>
      </w:r>
      <w:r>
        <w:rPr>
          <w:rFonts w:hint="default" w:ascii="Times New Roman" w:hAnsi="Times New Roman" w:eastAsia="宋体" w:cs="Times New Roman"/>
          <w:szCs w:val="21"/>
        </w:rPr>
        <w:t>创造价值的折算因子，则经营者的收入（记作S）可以借用柯布道格拉斯函数进行描述：</w:t>
      </w:r>
    </w:p>
    <w:p w14:paraId="784A5BD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object>
          <v:shape id="_x0000_i1165" o:spt="75" type="#_x0000_t75" style="height:18.75pt;width:71.1pt;" o:ole="t" filled="f" o:preferrelative="t" stroked="f" coordsize="21600,21600">
            <v:path/>
            <v:fill on="f" focussize="0,0"/>
            <v:stroke on="f" joinstyle="miter"/>
            <v:imagedata r:id="rId26" o:title=""/>
            <o:lock v:ext="edit" aspectratio="t"/>
            <w10:wrap type="none"/>
            <w10:anchorlock/>
          </v:shape>
          <o:OLEObject Type="Embed" ProgID="Equation.3" ShapeID="_x0000_i1165" DrawAspect="Content" ObjectID="_1468075729" r:id="rId25">
            <o:LockedField>false</o:LockedField>
          </o:OLEObject>
        </w:object>
      </w:r>
    </w:p>
    <w:p w14:paraId="731EFA7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这里的参数λ是经营者创造的价值与其收入的关系系数。</w:t>
      </w:r>
    </w:p>
    <w:p w14:paraId="506BC2A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借助于上述函数，我们可以将经营者的劳动力价值（即工资，记作W）表示为：</w:t>
      </w:r>
    </w:p>
    <w:p w14:paraId="35FCA92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object>
          <v:shape id="_x0000_i1166" o:spt="75" type="#_x0000_t75" style="height:18.75pt;width:72.85pt;" o:ole="t" filled="f" o:preferrelative="t" stroked="f" coordsize="21600,21600">
            <v:path/>
            <v:fill on="f" focussize="0,0"/>
            <v:stroke on="f" joinstyle="miter"/>
            <v:imagedata r:id="rId28" o:title=""/>
            <o:lock v:ext="edit" aspectratio="t"/>
            <w10:wrap type="none"/>
            <w10:anchorlock/>
          </v:shape>
          <o:OLEObject Type="Embed" ProgID="Equation.3" ShapeID="_x0000_i1166" DrawAspect="Content" ObjectID="_1468075730" r:id="rId27">
            <o:LockedField>false</o:LockedField>
          </o:OLEObject>
        </w:object>
      </w:r>
    </w:p>
    <w:p w14:paraId="255FF8D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这里θ是经营者劳动力价值与他创造的价值的比例，显然，（1一θ）/θ用就是剥削率，即所谓的剩余价值率。</w:t>
      </w:r>
    </w:p>
    <w:p w14:paraId="0F0C4EC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通常，由于资本主义生产过程同时也是价值增殖的过程，必然要求创造的价值要大于劳动力价值，即θ满足：O&lt;θ&lt;l。</w:t>
      </w:r>
    </w:p>
    <w:p w14:paraId="0F61C34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λ的情况可以分为三种：</w:t>
      </w:r>
    </w:p>
    <w:p w14:paraId="1D86C67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一，当λ大于1，表明经营者所得的收入大于经营者创造的价值，1～^就表示大于经营者劳动所创造的价值以外的收入，其来源只能是生产者创造的剩余价值的一部分。为什么所有者甘心给予经营者高于其创造的价值的收入呢?原因是，给予高工资可以激励经营者更好地监督生产者的劳动，从而迫使生产者创造更大的剩余价值，再将这多创造的剩余价值进行分割，也就是说，所有者和经营者之间不是零和博弈，而是变和博弈。</w:t>
      </w:r>
    </w:p>
    <w:p w14:paraId="1D0F0F8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第二，当λ小于1而大于θ，表明经营者所得的收入小于经营者创造的价值而大于他的劳动力价值，但自己还分享了一部分自身创造的剩余价值。</w:t>
      </w:r>
    </w:p>
    <w:p w14:paraId="4DE5EBC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第三，当λ等于θ，表明经营者所得的收入仅是他的劳动力价值，而创造的剩余价值完全被所有者剥夺。</w:t>
      </w:r>
    </w:p>
    <w:p w14:paraId="7505A16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假如所有者可以对经营者的行动实施完全监督，从而可以根据经营者创造的价值给予报酬。也就是说，所有者依据观察到经营者所采取的行动而采取自己的策略行动，那么，所有者一般只付与经营者低于其创造价值的收入，甚至仅仅是劳动力价值的收入，即θ ≤λ≤1。但由于他们之间的博弈是长期地“重复”，因此很可能所有者会采取λ满足：θ&lt;λ&lt;l，即经营者也分享一部分自身创造的剩余价值。</w:t>
      </w:r>
    </w:p>
    <w:p w14:paraId="50C1355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反过来，假如所有者先付报酬，然后经营者再去创造价值，这时候，经营者完全知道所有者的行动。显然，如果所有者给出低工资的话，出于理性，经营者不愿受剥削太多（暂时不考虑经营者辞职跳槽的情况），必定出现“低创造价值”现象，如果是再次博弈（倘若他们之间存在长期关系），那么所有者必定再开出低工资，经营者也因此创造低价值。于是，重复动态博弈的结局不断地重复（低工资，低创造价值）。如果所有者开出高工资，经营者有两个行动选择，要么他创造高价值，于是所有者在再一轮博弈中仍给出高工资（若他在下次博弈中开出低工资的话，那么博弈回到第一种情况，以后经营者将创造低价值，这对所有者不利）。要么经营者创造低价值，出于惩罚，他将在以后得到低工资。因此，重复动态博弈的系列结局应为{（高工资，高创造价值），（高工资，高创造价值），……}。</w:t>
      </w:r>
    </w:p>
    <w:p w14:paraId="5DDB9B5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这种现象在资本主义有一定发展，特别是股份公司发展的初期比较普遍。在现代社会中，小型企业中也大量存在。</w:t>
      </w:r>
    </w:p>
    <w:p w14:paraId="42F6C1C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命题3：当所有权和经营权分开，所有者对经营者具有完美信息时，经营者收入的性质取决于其刨造的价值与收入的关系系数λ。当λ大于1，经营者所得的收人中</w:t>
      </w:r>
      <w:r>
        <w:rPr>
          <w:rFonts w:hint="default" w:ascii="Times New Roman" w:hAnsi="Times New Roman" w:eastAsia="宋体" w:cs="Times New Roman"/>
          <w:szCs w:val="21"/>
        </w:rPr>
        <w:object>
          <v:shape id="_x0000_i1167" o:spt="75" type="#_x0000_t75" style="height:18.75pt;width:42.2pt;" o:ole="t" filled="f" o:preferrelative="t" stroked="f" coordsize="21600,21600">
            <v:path/>
            <v:fill on="f" focussize="0,0"/>
            <v:stroke on="f" joinstyle="miter"/>
            <v:imagedata r:id="rId30" o:title=""/>
            <o:lock v:ext="edit" aspectratio="t"/>
            <w10:wrap type="none"/>
            <w10:anchorlock/>
          </v:shape>
          <o:OLEObject Type="Embed" ProgID="Equation.3" ShapeID="_x0000_i1167" DrawAspect="Content" ObjectID="_1468075731" r:id="rId29">
            <o:LockedField>false</o:LockedField>
          </o:OLEObject>
        </w:object>
      </w:r>
      <w:r>
        <w:rPr>
          <w:rFonts w:hint="default" w:ascii="Times New Roman" w:hAnsi="Times New Roman" w:eastAsia="宋体" w:cs="Times New Roman"/>
          <w:szCs w:val="21"/>
        </w:rPr>
        <w:t>部分是其创造的价值；而（1-λ）</w:t>
      </w:r>
      <w:r>
        <w:rPr>
          <w:rFonts w:hint="default" w:ascii="Times New Roman" w:hAnsi="Times New Roman" w:eastAsia="宋体" w:cs="Times New Roman"/>
          <w:szCs w:val="21"/>
        </w:rPr>
        <w:object>
          <v:shape id="_x0000_i1168" o:spt="75" type="#_x0000_t75" style="height:18.75pt;width:42.2pt;" o:ole="t" filled="f" o:preferrelative="t" stroked="f" coordsize="21600,21600">
            <v:path/>
            <v:fill on="f" focussize="0,0"/>
            <v:stroke on="f" joinstyle="miter"/>
            <v:imagedata r:id="rId30" o:title=""/>
            <o:lock v:ext="edit" aspectratio="t"/>
            <w10:wrap type="none"/>
            <w10:anchorlock/>
          </v:shape>
          <o:OLEObject Type="Embed" ProgID="Equation.3" ShapeID="_x0000_i1168" DrawAspect="Content" ObjectID="_1468075732" r:id="rId31">
            <o:LockedField>false</o:LockedField>
          </o:OLEObject>
        </w:object>
      </w:r>
      <w:r>
        <w:rPr>
          <w:rFonts w:hint="default" w:ascii="Times New Roman" w:hAnsi="Times New Roman" w:eastAsia="宋体" w:cs="Times New Roman"/>
          <w:szCs w:val="21"/>
        </w:rPr>
        <w:t>部分来源于生产者创造的剩余价值的一部分。但一般情况下，θ≤λ≤1，经营者所得的收入小于其创造的价值而大于其劳动力价值，因而分享了一部分自身创造的剩余价值。</w:t>
      </w:r>
    </w:p>
    <w:p w14:paraId="0756AD4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3．所有权和经营权分开，博弈具有完全但不完美信息。设想所有者在观察经营者的行动之后再付酬，然而问题在于所有者可以了解经营者的能力，但他很难识别经营者是在高努力程度创造高价值，还是以低努力程度刨造低价值。一次性搏弈可以用博弈树描述（见图1）。</w:t>
      </w:r>
    </w:p>
    <w:p w14:paraId="1500B73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这可以表示为正则型静态博弈，考虑到经营者高努力的付出应高手低努力时的付出，不妨将它们之间的差异记作g&gt;0。现在，我们记</w:t>
      </w:r>
      <w:r>
        <w:rPr>
          <w:rFonts w:hint="default" w:ascii="Times New Roman" w:hAnsi="Times New Roman" w:eastAsia="宋体" w:cs="Times New Roman"/>
          <w:szCs w:val="21"/>
        </w:rPr>
        <w:object>
          <v:shape id="_x0000_i1169" o:spt="75" type="#_x0000_t75" style="height:17.05pt;width:17.05pt;" o:ole="t" filled="f" o:preferrelative="t" stroked="f" coordsize="21600,21600">
            <v:path/>
            <v:fill on="f" focussize="0,0"/>
            <v:stroke on="f" joinstyle="miter"/>
            <v:imagedata r:id="rId33" o:title=""/>
            <o:lock v:ext="edit" aspectratio="t"/>
            <w10:wrap type="none"/>
            <w10:anchorlock/>
          </v:shape>
          <o:OLEObject Type="Embed" ProgID="Equation.3" ShapeID="_x0000_i1169" DrawAspect="Content" ObjectID="_1468075733" r:id="rId32">
            <o:LockedField>false</o:LockedField>
          </o:OLEObject>
        </w:object>
      </w:r>
      <w:r>
        <w:rPr>
          <w:rFonts w:hint="default" w:ascii="Times New Roman" w:hAnsi="Times New Roman" w:eastAsia="宋体" w:cs="Times New Roman"/>
          <w:szCs w:val="21"/>
        </w:rPr>
        <w:t>、</w:t>
      </w:r>
      <w:r>
        <w:rPr>
          <w:rFonts w:hint="default" w:ascii="Times New Roman" w:hAnsi="Times New Roman" w:eastAsia="宋体" w:cs="Times New Roman"/>
          <w:szCs w:val="21"/>
        </w:rPr>
        <w:object>
          <v:shape id="_x0000_i1170" o:spt="75" type="#_x0000_t75" style="height:17.05pt;width:18.75pt;" o:ole="t" filled="f" o:preferrelative="t" stroked="f" coordsize="21600,21600">
            <v:path/>
            <v:fill on="f" focussize="0,0"/>
            <v:stroke on="f" joinstyle="miter"/>
            <v:imagedata r:id="rId35" o:title=""/>
            <o:lock v:ext="edit" aspectratio="t"/>
            <w10:wrap type="none"/>
            <w10:anchorlock/>
          </v:shape>
          <o:OLEObject Type="Embed" ProgID="Equation.3" ShapeID="_x0000_i1170" DrawAspect="Content" ObjectID="_1468075734" r:id="rId34">
            <o:LockedField>false</o:LockedField>
          </o:OLEObject>
        </w:object>
      </w:r>
      <w:r>
        <w:rPr>
          <w:rFonts w:hint="default" w:ascii="Times New Roman" w:hAnsi="Times New Roman" w:eastAsia="宋体" w:cs="Times New Roman"/>
          <w:szCs w:val="21"/>
        </w:rPr>
        <w:t>，分别为低、高工资，而以</w:t>
      </w:r>
      <w:r>
        <w:rPr>
          <w:rFonts w:hint="default" w:ascii="Times New Roman" w:hAnsi="Times New Roman" w:eastAsia="宋体" w:cs="Times New Roman"/>
          <w:szCs w:val="21"/>
        </w:rPr>
        <w:object>
          <v:shape id="_x0000_i1171" o:spt="75" type="#_x0000_t75" style="height:17.05pt;width:17.05pt;" o:ole="t" filled="f" o:preferrelative="t" stroked="f" coordsize="21600,21600">
            <v:path/>
            <v:fill on="f" focussize="0,0"/>
            <v:stroke on="f" joinstyle="miter"/>
            <v:imagedata r:id="rId37" o:title=""/>
            <o:lock v:ext="edit" aspectratio="t"/>
            <w10:wrap type="none"/>
            <w10:anchorlock/>
          </v:shape>
          <o:OLEObject Type="Embed" ProgID="Equation.3" ShapeID="_x0000_i1171" DrawAspect="Content" ObjectID="_1468075735" r:id="rId36">
            <o:LockedField>false</o:LockedField>
          </o:OLEObject>
        </w:object>
      </w:r>
      <w:r>
        <w:rPr>
          <w:rFonts w:hint="default" w:ascii="Times New Roman" w:hAnsi="Times New Roman" w:eastAsia="宋体" w:cs="Times New Roman"/>
          <w:szCs w:val="21"/>
        </w:rPr>
        <w:t>、</w:t>
      </w:r>
      <w:r>
        <w:rPr>
          <w:rFonts w:hint="default" w:ascii="Times New Roman" w:hAnsi="Times New Roman" w:eastAsia="宋体" w:cs="Times New Roman"/>
          <w:szCs w:val="21"/>
        </w:rPr>
        <w:object>
          <v:shape id="_x0000_i1172" o:spt="75" type="#_x0000_t75" style="height:17.05pt;width:16.6pt;" o:ole="t" filled="f" o:preferrelative="t" stroked="f" coordsize="21600,21600">
            <v:path/>
            <v:fill on="f" focussize="0,0"/>
            <v:stroke on="f" joinstyle="miter"/>
            <v:imagedata r:id="rId39" o:title=""/>
            <o:lock v:ext="edit" aspectratio="t"/>
            <w10:wrap type="none"/>
            <w10:anchorlock/>
          </v:shape>
          <o:OLEObject Type="Embed" ProgID="Equation.3" ShapeID="_x0000_i1172" DrawAspect="Content" ObjectID="_1468075736" r:id="rId38">
            <o:LockedField>false</o:LockedField>
          </o:OLEObject>
        </w:object>
      </w:r>
      <w:r>
        <w:rPr>
          <w:rFonts w:hint="default" w:ascii="Times New Roman" w:hAnsi="Times New Roman" w:eastAsia="宋体" w:cs="Times New Roman"/>
          <w:szCs w:val="21"/>
        </w:rPr>
        <w:t>为低、高创造价值。搏弈的正则型可用表l来表示。</w:t>
      </w:r>
    </w:p>
    <w:p w14:paraId="52FA404F">
      <w:pPr>
        <w:spacing w:line="300" w:lineRule="auto"/>
        <w:ind w:firstLine="420" w:firstLineChars="200"/>
        <w:rPr>
          <w:rFonts w:hint="default" w:ascii="Times New Roman" w:hAnsi="Times New Roman" w:eastAsia="宋体" w:cs="Times New Roman"/>
          <w:szCs w:val="21"/>
        </w:rPr>
      </w:pPr>
    </w:p>
    <w:p w14:paraId="3C2FFBCD">
      <w:pPr>
        <w:spacing w:line="300" w:lineRule="auto"/>
        <w:ind w:firstLine="300" w:firstLineChars="200"/>
        <w:rPr>
          <w:rFonts w:hint="default" w:ascii="Times New Roman" w:hAnsi="Times New Roman" w:eastAsia="宋体" w:cs="Times New Roman"/>
          <w:sz w:val="15"/>
          <w:szCs w:val="15"/>
        </w:rPr>
      </w:pPr>
    </w:p>
    <w:p w14:paraId="3920F304">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 xml:space="preserve">  图1</w:t>
      </w:r>
    </w:p>
    <w:p w14:paraId="091E9D0B">
      <w:pPr>
        <w:spacing w:line="300" w:lineRule="auto"/>
        <w:ind w:firstLine="420" w:firstLineChars="200"/>
        <w:rPr>
          <w:rFonts w:hint="default" w:ascii="Times New Roman" w:hAnsi="Times New Roman" w:eastAsia="宋体" w:cs="Times New Roman"/>
          <w:szCs w:val="21"/>
        </w:rPr>
      </w:pPr>
      <w:r>
        <w:rPr>
          <w:rFonts w:hint="default" w:ascii="Times New Roman" w:hAnsi="Times New Roman" w:cs="Times New Roman"/>
        </w:rPr>
        <mc:AlternateContent>
          <mc:Choice Requires="wpg">
            <w:drawing>
              <wp:anchor distT="0" distB="0" distL="114300" distR="114300" simplePos="0" relativeHeight="251672576" behindDoc="0" locked="0" layoutInCell="1" allowOverlap="1">
                <wp:simplePos x="0" y="0"/>
                <wp:positionH relativeFrom="column">
                  <wp:posOffset>349250</wp:posOffset>
                </wp:positionH>
                <wp:positionV relativeFrom="paragraph">
                  <wp:posOffset>227330</wp:posOffset>
                </wp:positionV>
                <wp:extent cx="3400425" cy="749935"/>
                <wp:effectExtent l="3175" t="5715" r="25400" b="6350"/>
                <wp:wrapNone/>
                <wp:docPr id="57" name="组合 57"/>
                <wp:cNvGraphicFramePr/>
                <a:graphic xmlns:a="http://schemas.openxmlformats.org/drawingml/2006/main">
                  <a:graphicData uri="http://schemas.microsoft.com/office/word/2010/wordprocessingGroup">
                    <wpg:wgp>
                      <wpg:cNvGrpSpPr/>
                      <wpg:grpSpPr>
                        <a:xfrm>
                          <a:off x="0" y="0"/>
                          <a:ext cx="3400425" cy="749935"/>
                          <a:chOff x="2640" y="1984"/>
                          <a:chExt cx="5355" cy="1181"/>
                        </a:xfrm>
                      </wpg:grpSpPr>
                      <wps:wsp>
                        <wps:cNvPr id="546" name="自选图形 16"/>
                        <wps:cNvCnPr>
                          <a:cxnSpLocks noChangeShapeType="1"/>
                        </wps:cNvCnPr>
                        <wps:spPr bwMode="auto">
                          <a:xfrm flipH="1">
                            <a:off x="3623" y="1984"/>
                            <a:ext cx="1807" cy="624"/>
                          </a:xfrm>
                          <a:prstGeom prst="straightConnector1">
                            <a:avLst/>
                          </a:prstGeom>
                          <a:noFill/>
                          <a:ln w="9525">
                            <a:solidFill>
                              <a:srgbClr val="000000"/>
                            </a:solidFill>
                            <a:round/>
                          </a:ln>
                        </wps:spPr>
                        <wps:bodyPr/>
                      </wps:wsp>
                      <wps:wsp>
                        <wps:cNvPr id="547" name="自选图形 17"/>
                        <wps:cNvCnPr>
                          <a:cxnSpLocks noChangeShapeType="1"/>
                        </wps:cNvCnPr>
                        <wps:spPr bwMode="auto">
                          <a:xfrm flipH="1" flipV="1">
                            <a:off x="5610" y="1984"/>
                            <a:ext cx="1705" cy="624"/>
                          </a:xfrm>
                          <a:prstGeom prst="straightConnector1">
                            <a:avLst/>
                          </a:prstGeom>
                          <a:noFill/>
                          <a:ln w="9525">
                            <a:solidFill>
                              <a:srgbClr val="000000"/>
                            </a:solidFill>
                            <a:round/>
                          </a:ln>
                        </wps:spPr>
                        <wps:bodyPr/>
                      </wps:wsp>
                      <wps:wsp>
                        <wps:cNvPr id="548" name="自选图形 18"/>
                        <wps:cNvCnPr>
                          <a:cxnSpLocks noChangeShapeType="1"/>
                        </wps:cNvCnPr>
                        <wps:spPr bwMode="auto">
                          <a:xfrm flipH="1">
                            <a:off x="2640" y="2608"/>
                            <a:ext cx="983" cy="557"/>
                          </a:xfrm>
                          <a:prstGeom prst="straightConnector1">
                            <a:avLst/>
                          </a:prstGeom>
                          <a:noFill/>
                          <a:ln w="9525">
                            <a:solidFill>
                              <a:srgbClr val="000000"/>
                            </a:solidFill>
                            <a:round/>
                          </a:ln>
                        </wps:spPr>
                        <wps:bodyPr/>
                      </wps:wsp>
                      <wps:wsp>
                        <wps:cNvPr id="549" name="自选图形 19"/>
                        <wps:cNvCnPr>
                          <a:cxnSpLocks noChangeShapeType="1"/>
                        </wps:cNvCnPr>
                        <wps:spPr bwMode="auto">
                          <a:xfrm flipH="1" flipV="1">
                            <a:off x="3623" y="2608"/>
                            <a:ext cx="607" cy="557"/>
                          </a:xfrm>
                          <a:prstGeom prst="straightConnector1">
                            <a:avLst/>
                          </a:prstGeom>
                          <a:noFill/>
                          <a:ln w="9525">
                            <a:solidFill>
                              <a:srgbClr val="000000"/>
                            </a:solidFill>
                            <a:round/>
                          </a:ln>
                        </wps:spPr>
                        <wps:bodyPr/>
                      </wps:wsp>
                      <wps:wsp>
                        <wps:cNvPr id="550" name="自选图形 20"/>
                        <wps:cNvCnPr>
                          <a:cxnSpLocks noChangeShapeType="1"/>
                        </wps:cNvCnPr>
                        <wps:spPr bwMode="auto">
                          <a:xfrm>
                            <a:off x="7315" y="2608"/>
                            <a:ext cx="680" cy="557"/>
                          </a:xfrm>
                          <a:prstGeom prst="straightConnector1">
                            <a:avLst/>
                          </a:prstGeom>
                          <a:noFill/>
                          <a:ln w="9525">
                            <a:solidFill>
                              <a:srgbClr val="000000"/>
                            </a:solidFill>
                            <a:round/>
                          </a:ln>
                        </wps:spPr>
                        <wps:bodyPr/>
                      </wps:wsp>
                      <wps:wsp>
                        <wps:cNvPr id="551" name="自选图形 21"/>
                        <wps:cNvCnPr>
                          <a:cxnSpLocks noChangeShapeType="1"/>
                        </wps:cNvCnPr>
                        <wps:spPr bwMode="auto">
                          <a:xfrm flipH="1">
                            <a:off x="6315" y="2608"/>
                            <a:ext cx="1000" cy="557"/>
                          </a:xfrm>
                          <a:prstGeom prst="straightConnector1">
                            <a:avLst/>
                          </a:prstGeom>
                          <a:noFill/>
                          <a:ln w="9525">
                            <a:solidFill>
                              <a:srgbClr val="000000"/>
                            </a:solidFill>
                            <a:round/>
                          </a:ln>
                        </wps:spPr>
                        <wps:bodyPr/>
                      </wps:wsp>
                      <wps:wsp>
                        <wps:cNvPr id="552" name="自选图形 22"/>
                        <wps:cNvCnPr>
                          <a:cxnSpLocks noChangeShapeType="1"/>
                        </wps:cNvCnPr>
                        <wps:spPr bwMode="auto">
                          <a:xfrm flipH="1">
                            <a:off x="3623" y="2608"/>
                            <a:ext cx="3692" cy="0"/>
                          </a:xfrm>
                          <a:prstGeom prst="straightConnector1">
                            <a:avLst/>
                          </a:prstGeom>
                          <a:noFill/>
                          <a:ln w="9525">
                            <a:solidFill>
                              <a:srgbClr val="000000"/>
                            </a:solidFill>
                            <a:prstDash val="dash"/>
                            <a:round/>
                          </a:ln>
                        </wps:spPr>
                        <wps:bodyPr/>
                      </wps:wsp>
                    </wpg:wgp>
                  </a:graphicData>
                </a:graphic>
              </wp:anchor>
            </w:drawing>
          </mc:Choice>
          <mc:Fallback>
            <w:pict>
              <v:group id="_x0000_s1026" o:spid="_x0000_s1026" o:spt="203" style="position:absolute;left:0pt;margin-left:27.5pt;margin-top:17.9pt;height:59.05pt;width:267.75pt;z-index:251672576;mso-width-relative:page;mso-height-relative:page;" coordorigin="2640,1984" coordsize="5355,1181" o:gfxdata="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">
                <o:lock v:ext="edit" aspectratio="f"/>
                <v:shape id="自选图形 16" o:spid="_x0000_s1026" o:spt="32" type="#_x0000_t32" style="position:absolute;left:3623;top:1984;flip:x;height:624;width:1807;" filled="f" stroked="t" coordsize="21600,21600" o:gfxdata="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JQrQlm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17" o:spid="_x0000_s1026" o:spt="32" type="#_x0000_t32" style="position:absolute;left:5610;top:1984;flip:x y;height:624;width:1705;" filled="f" stroked="t" coordsize="21600,21600" o:gfxdata="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ot9g6/&#10;AAAA3AAAAA8AAAAAAAAAAQAgAAAAIgAAAGRycy9kb3ducmV2LnhtbFBLAQIUABQAAAAIAIdO4kAz&#10;LwWeOwAAADkAAAAQAAAAAAAAAAEAIAAAAA4BAABkcnMvc2hhcGV4bWwueG1sUEsFBgAAAAAGAAYA&#10;WwEAALgDAAAAAA==&#10;">
                  <v:fill on="f" focussize="0,0"/>
                  <v:stroke color="#000000" joinstyle="round"/>
                  <v:imagedata o:title=""/>
                  <o:lock v:ext="edit" aspectratio="f"/>
                </v:shape>
                <v:shape id="自选图形 18" o:spid="_x0000_s1026" o:spt="32" type="#_x0000_t32" style="position:absolute;left:2640;top:2608;flip:x;height:557;width:983;" filled="f" stroked="t" coordsize="21600,21600" o:gfxdata="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ivhzsL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自选图形 19" o:spid="_x0000_s1026" o:spt="32" type="#_x0000_t32" style="position:absolute;left:3623;top:2608;flip:x y;height:557;width:607;" filled="f" stroked="t" coordsize="21600,21600" o:gfxdata="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FT+x+e/&#10;AAAA3AAAAA8AAAAAAAAAAQAgAAAAIgAAAGRycy9kb3ducmV2LnhtbFBLAQIUABQAAAAIAIdO4kAz&#10;LwWeOwAAADkAAAAQAAAAAAAAAAEAIAAAAA4BAABkcnMvc2hhcGV4bWwueG1sUEsFBgAAAAAGAAYA&#10;WwEAALgDAAAAAA==&#10;">
                  <v:fill on="f" focussize="0,0"/>
                  <v:stroke color="#000000" joinstyle="round"/>
                  <v:imagedata o:title=""/>
                  <o:lock v:ext="edit" aspectratio="f"/>
                </v:shape>
                <v:shape id="自选图形 20" o:spid="_x0000_s1026" o:spt="32" type="#_x0000_t32" style="position:absolute;left:7315;top:2608;height:557;width:680;" filled="f" stroked="t" coordsize="21600,21600" o:gfxdata="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">
                  <v:fill on="f" focussize="0,0"/>
                  <v:stroke color="#000000" joinstyle="round"/>
                  <v:imagedata o:title=""/>
                  <o:lock v:ext="edit" aspectratio="f"/>
                </v:shape>
                <v:shape id="自选图形 21" o:spid="_x0000_s1026" o:spt="32" type="#_x0000_t32" style="position:absolute;left:6315;top:2608;flip:x;height:557;width:1000;" filled="f" stroked="t" coordsize="21600,21600" o:gfxdata="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eG0zw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22" o:spid="_x0000_s1026" o:spt="32" type="#_x0000_t32" style="position:absolute;left:3623;top:2608;flip:x;height:0;width:3692;" filled="f" stroked="t" coordsize="21600,21600" o:gfxdata="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XL9Jkb4A&#10;AADcAAAADwAAAAAAAAABACAAAAAiAAAAZHJzL2Rvd25yZXYueG1sUEsBAhQAFAAAAAgAh07iQDMv&#10;BZ47AAAAOQAAABAAAAAAAAAAAQAgAAAADQEAAGRycy9zaGFwZXhtbC54bWxQSwUGAAAAAAYABgBb&#10;AQAAtwMAAAAA&#10;">
                  <v:fill on="f" focussize="0,0"/>
                  <v:stroke color="#000000" joinstyle="round" dashstyle="dash"/>
                  <v:imagedata o:title=""/>
                  <o:lock v:ext="edit" aspectratio="f"/>
                </v:shape>
              </v:group>
            </w:pict>
          </mc:Fallback>
        </mc:AlternateContent>
      </w:r>
      <w:r>
        <w:rPr>
          <w:rFonts w:hint="default" w:ascii="Times New Roman" w:hAnsi="Times New Roman" w:eastAsia="宋体" w:cs="Times New Roman"/>
          <w:szCs w:val="21"/>
        </w:rPr>
        <w:t xml:space="preserve">                        </w:t>
      </w:r>
      <w:r>
        <w:rPr>
          <w:rFonts w:hint="default" w:ascii="Times New Roman" w:hAnsi="Times New Roman" w:cs="Times New Roman"/>
        </w:rPr>
        <mc:AlternateContent>
          <mc:Choice Requires="wps">
            <w:drawing>
              <wp:anchor distT="0" distB="0" distL="114300" distR="114300" simplePos="0" relativeHeight="251671552" behindDoc="0" locked="0" layoutInCell="1" allowOverlap="1">
                <wp:simplePos x="0" y="0"/>
                <wp:positionH relativeFrom="character">
                  <wp:posOffset>0</wp:posOffset>
                </wp:positionH>
                <wp:positionV relativeFrom="line">
                  <wp:posOffset>0</wp:posOffset>
                </wp:positionV>
                <wp:extent cx="733425" cy="295275"/>
                <wp:effectExtent l="0" t="0" r="3175" b="9525"/>
                <wp:wrapNone/>
                <wp:docPr id="544" name="文本框 544"/>
                <wp:cNvGraphicFramePr/>
                <a:graphic xmlns:a="http://schemas.openxmlformats.org/drawingml/2006/main">
                  <a:graphicData uri="http://schemas.microsoft.com/office/word/2010/wordprocessingShape">
                    <wps:wsp>
                      <wps:cNvSpPr txBox="1">
                        <a:spLocks noChangeArrowheads="1"/>
                      </wps:cNvSpPr>
                      <wps:spPr bwMode="auto">
                        <a:xfrm>
                          <a:off x="0" y="0"/>
                          <a:ext cx="733425" cy="295275"/>
                        </a:xfrm>
                        <a:prstGeom prst="rect">
                          <a:avLst/>
                        </a:prstGeom>
                        <a:solidFill>
                          <a:srgbClr val="FFFFFF"/>
                        </a:solidFill>
                        <a:ln>
                          <a:noFill/>
                        </a:ln>
                      </wps:spPr>
                      <wps:txbx>
                        <w:txbxContent>
                          <w:p w14:paraId="2F33EDD4">
                            <w:pPr>
                              <w:rPr>
                                <w:sz w:val="15"/>
                                <w:szCs w:val="15"/>
                              </w:rPr>
                            </w:pPr>
                            <w:r>
                              <w:rPr>
                                <w:rFonts w:hint="eastAsia"/>
                                <w:sz w:val="15"/>
                                <w:szCs w:val="15"/>
                              </w:rPr>
                              <w:t>经营者</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0pt;margin-top:0pt;height:23.25pt;width:57.75pt;mso-position-horizontal-relative:char;mso-position-vertical-relative:line;z-index:251671552;mso-width-relative:page;mso-height-relative:page;" fillcolor="#FFFFFF" filled="t" stroked="f" coordsize="21600,21600" o:gfxdata="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c1RQeNMAAAAEAQAADwAAAAAAAAABACAAAAAiAAAAZHJzL2Rvd25yZXYueG1sUEsBAhQAFAAA&#10;AAgAh07iQI9BkA8tAgAAQQQAAA4AAAAAAAAAAQAgAAAAIgEAAGRycy9lMm9Eb2MueG1sUEsFBgAA&#10;AAAGAAYAWQEAAMEFAAAAAA==&#10;">
                <v:fill on="t" focussize="0,0"/>
                <v:stroke on="f"/>
                <v:imagedata o:title=""/>
                <o:lock v:ext="edit" aspectratio="f"/>
                <v:textbox>
                  <w:txbxContent>
                    <w:p w14:paraId="2F33EDD4">
                      <w:pPr>
                        <w:rPr>
                          <w:sz w:val="15"/>
                          <w:szCs w:val="15"/>
                        </w:rPr>
                      </w:pPr>
                      <w:r>
                        <w:rPr>
                          <w:rFonts w:hint="eastAsia"/>
                          <w:sz w:val="15"/>
                          <w:szCs w:val="15"/>
                        </w:rPr>
                        <w:t>经营者</w:t>
                      </w:r>
                    </w:p>
                  </w:txbxContent>
                </v:textbox>
              </v:shape>
            </w:pict>
          </mc:Fallback>
        </mc:AlternateContent>
      </w:r>
      <w:r>
        <w:rPr>
          <w:rFonts w:hint="default" w:ascii="Times New Roman" w:hAnsi="Times New Roman" w:cs="Times New Roman"/>
        </w:rPr>
        <mc:AlternateContent>
          <mc:Choice Requires="wps">
            <w:drawing>
              <wp:inline distT="0" distB="0" distL="0" distR="0">
                <wp:extent cx="735330" cy="296545"/>
                <wp:effectExtent l="0" t="0" r="0" b="0"/>
                <wp:docPr id="543" name="矩形 54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35330" cy="296545"/>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_x0000_s1026" o:spid="_x0000_s1026" o:spt="1" style="height:23.35pt;width:57.9pt;" filled="f" stroked="f" coordsize="21600,21600" o:gfxdata="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46EdUAAAAEAQAADwAAAAAAAAABACAA&#10;AAAiAAAAZHJzL2Rvd25yZXYueG1sUEsBAhQAFAAAAAgAh07iQP9gohoQAgAAEwQAAA4AAAAAAAAA&#10;AQAgAAAAJAEAAGRycy9lMm9Eb2MueG1sUEsFBgAAAAAGAAYAWQEAAKYFAAAAAA==&#10;">
                <v:fill on="f" focussize="0,0"/>
                <v:stroke on="f"/>
                <v:imagedata o:title=""/>
                <o:lock v:ext="edit" aspectratio="t"/>
                <w10:wrap type="none"/>
                <w10:anchorlock/>
              </v:rect>
            </w:pict>
          </mc:Fallback>
        </mc:AlternateContent>
      </w:r>
    </w:p>
    <w:p w14:paraId="4B6CE4E9">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 xml:space="preserve">         </w:t>
      </w:r>
      <w:r>
        <w:rPr>
          <w:rFonts w:hint="default" w:ascii="Times New Roman" w:hAnsi="Times New Roman" w:cs="Times New Roman"/>
        </w:rPr>
        <mc:AlternateContent>
          <mc:Choice Requires="wps">
            <w:drawing>
              <wp:anchor distT="0" distB="0" distL="114300" distR="114300" simplePos="0" relativeHeight="251665408" behindDoc="0" locked="0" layoutInCell="1" allowOverlap="1">
                <wp:simplePos x="0" y="0"/>
                <wp:positionH relativeFrom="character">
                  <wp:posOffset>0</wp:posOffset>
                </wp:positionH>
                <wp:positionV relativeFrom="line">
                  <wp:posOffset>0</wp:posOffset>
                </wp:positionV>
                <wp:extent cx="600075" cy="295275"/>
                <wp:effectExtent l="0" t="0" r="9525" b="9525"/>
                <wp:wrapNone/>
                <wp:docPr id="542" name="文本框 542"/>
                <wp:cNvGraphicFramePr/>
                <a:graphic xmlns:a="http://schemas.openxmlformats.org/drawingml/2006/main">
                  <a:graphicData uri="http://schemas.microsoft.com/office/word/2010/wordprocessingShape">
                    <wps:wsp>
                      <wps:cNvSpPr txBox="1">
                        <a:spLocks noChangeArrowheads="1"/>
                      </wps:cNvSpPr>
                      <wps:spPr bwMode="auto">
                        <a:xfrm>
                          <a:off x="0" y="0"/>
                          <a:ext cx="600075" cy="295275"/>
                        </a:xfrm>
                        <a:prstGeom prst="rect">
                          <a:avLst/>
                        </a:prstGeom>
                        <a:solidFill>
                          <a:srgbClr val="FFFFFF"/>
                        </a:solidFill>
                        <a:ln>
                          <a:noFill/>
                        </a:ln>
                      </wps:spPr>
                      <wps:txbx>
                        <w:txbxContent>
                          <w:p w14:paraId="155D33BD">
                            <w:pPr>
                              <w:rPr>
                                <w:sz w:val="15"/>
                                <w:szCs w:val="15"/>
                              </w:rPr>
                            </w:pPr>
                            <w:r>
                              <w:rPr>
                                <w:rFonts w:hint="eastAsia"/>
                                <w:sz w:val="15"/>
                                <w:szCs w:val="15"/>
                              </w:rPr>
                              <w:t>低努力</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0pt;margin-top:0pt;height:23.25pt;width:47.25pt;mso-position-horizontal-relative:char;mso-position-vertical-relative:line;z-index:251665408;mso-width-relative:page;mso-height-relative:page;" fillcolor="#FFFFFF" filled="t" stroked="f" coordsize="21600,21600" o:gfxdata="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">
                <v:fill on="t" focussize="0,0"/>
                <v:stroke on="f"/>
                <v:imagedata o:title=""/>
                <o:lock v:ext="edit" aspectratio="f"/>
                <v:textbox>
                  <w:txbxContent>
                    <w:p w14:paraId="155D33BD">
                      <w:pPr>
                        <w:rPr>
                          <w:sz w:val="15"/>
                          <w:szCs w:val="15"/>
                        </w:rPr>
                      </w:pPr>
                      <w:r>
                        <w:rPr>
                          <w:rFonts w:hint="eastAsia"/>
                          <w:sz w:val="15"/>
                          <w:szCs w:val="15"/>
                        </w:rPr>
                        <w:t>低努力</w:t>
                      </w:r>
                    </w:p>
                  </w:txbxContent>
                </v:textbox>
              </v:shape>
            </w:pict>
          </mc:Fallback>
        </mc:AlternateContent>
      </w:r>
      <w:r>
        <w:rPr>
          <w:rFonts w:hint="default" w:ascii="Times New Roman" w:hAnsi="Times New Roman" w:cs="Times New Roman"/>
        </w:rPr>
        <mc:AlternateContent>
          <mc:Choice Requires="wps">
            <w:drawing>
              <wp:inline distT="0" distB="0" distL="0" distR="0">
                <wp:extent cx="597535" cy="296545"/>
                <wp:effectExtent l="0" t="0" r="0" b="0"/>
                <wp:docPr id="541" name="矩形 54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7535" cy="296545"/>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_x0000_s1026" o:spid="_x0000_s1026" o:spt="1" style="height:23.35pt;width:47.05pt;" filled="f" stroked="f" coordsize="21600,21600" o:gfxdata="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hdRHY1QAAAAMBAAAPAAAAAAAAAAEAIAAA&#10;ACIAAABkcnMvZG93bnJldi54bWxQSwECFAAUAAAACACHTuJAuzk/4w8CAAATBAAADgAAAAAAAAAB&#10;ACAAAAAkAQAAZHJzL2Uyb0RvYy54bWxQSwUGAAAAAAYABgBZAQAApQUAAAAA&#10;">
                <v:fill on="f" focussize="0,0"/>
                <v:stroke on="f"/>
                <v:imagedata o:title=""/>
                <o:lock v:ext="edit" aspectratio="t"/>
                <w10:wrap type="none"/>
                <w10:anchorlock/>
              </v:rect>
            </w:pict>
          </mc:Fallback>
        </mc:AlternateContent>
      </w:r>
      <w:r>
        <w:rPr>
          <w:rFonts w:hint="default" w:ascii="Times New Roman" w:hAnsi="Times New Roman" w:eastAsia="宋体" w:cs="Times New Roman"/>
          <w:szCs w:val="21"/>
        </w:rPr>
        <w:t xml:space="preserve">      </w:t>
      </w:r>
      <w:r>
        <w:rPr>
          <w:rFonts w:hint="default" w:ascii="Times New Roman" w:hAnsi="Times New Roman" w:cs="Times New Roman"/>
        </w:rPr>
        <mc:AlternateContent>
          <mc:Choice Requires="wps">
            <w:drawing>
              <wp:anchor distT="0" distB="0" distL="114300" distR="114300" simplePos="0" relativeHeight="251664384" behindDoc="0" locked="0" layoutInCell="1" allowOverlap="1">
                <wp:simplePos x="0" y="0"/>
                <wp:positionH relativeFrom="character">
                  <wp:posOffset>0</wp:posOffset>
                </wp:positionH>
                <wp:positionV relativeFrom="line">
                  <wp:posOffset>0</wp:posOffset>
                </wp:positionV>
                <wp:extent cx="733425" cy="295275"/>
                <wp:effectExtent l="0" t="0" r="3175" b="9525"/>
                <wp:wrapNone/>
                <wp:docPr id="540" name="文本框 540"/>
                <wp:cNvGraphicFramePr/>
                <a:graphic xmlns:a="http://schemas.openxmlformats.org/drawingml/2006/main">
                  <a:graphicData uri="http://schemas.microsoft.com/office/word/2010/wordprocessingShape">
                    <wps:wsp>
                      <wps:cNvSpPr txBox="1">
                        <a:spLocks noChangeArrowheads="1"/>
                      </wps:cNvSpPr>
                      <wps:spPr bwMode="auto">
                        <a:xfrm>
                          <a:off x="0" y="0"/>
                          <a:ext cx="733425" cy="295275"/>
                        </a:xfrm>
                        <a:prstGeom prst="rect">
                          <a:avLst/>
                        </a:prstGeom>
                        <a:solidFill>
                          <a:srgbClr val="FFFFFF"/>
                        </a:solidFill>
                        <a:ln>
                          <a:noFill/>
                        </a:ln>
                      </wps:spPr>
                      <wps:txbx>
                        <w:txbxContent>
                          <w:p w14:paraId="3EB9D9CF">
                            <w:pPr>
                              <w:rPr>
                                <w:sz w:val="15"/>
                                <w:szCs w:val="15"/>
                              </w:rPr>
                            </w:pPr>
                            <w:r>
                              <w:rPr>
                                <w:rFonts w:hint="eastAsia"/>
                                <w:sz w:val="15"/>
                                <w:szCs w:val="15"/>
                              </w:rPr>
                              <w:t>所有者</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0pt;margin-top:0pt;height:23.25pt;width:57.75pt;mso-position-horizontal-relative:char;mso-position-vertical-relative:line;z-index:251664384;mso-width-relative:page;mso-height-relative:page;" fillcolor="#FFFFFF" filled="t" stroked="f" coordsize="21600,21600" o:gfxdata="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c1RQeNMAAAAEAQAADwAAAAAAAAABACAAAAAiAAAAZHJzL2Rvd25yZXYueG1sUEsBAhQAFAAA&#10;AAgAh07iQDTHVdAtAgAAQQQAAA4AAAAAAAAAAQAgAAAAIgEAAGRycy9lMm9Eb2MueG1sUEsFBgAA&#10;AAAGAAYAWQEAAMEFAAAAAA==&#10;">
                <v:fill on="t" focussize="0,0"/>
                <v:stroke on="f"/>
                <v:imagedata o:title=""/>
                <o:lock v:ext="edit" aspectratio="f"/>
                <v:textbox>
                  <w:txbxContent>
                    <w:p w14:paraId="3EB9D9CF">
                      <w:pPr>
                        <w:rPr>
                          <w:sz w:val="15"/>
                          <w:szCs w:val="15"/>
                        </w:rPr>
                      </w:pPr>
                      <w:r>
                        <w:rPr>
                          <w:rFonts w:hint="eastAsia"/>
                          <w:sz w:val="15"/>
                          <w:szCs w:val="15"/>
                        </w:rPr>
                        <w:t>所有者</w:t>
                      </w:r>
                    </w:p>
                  </w:txbxContent>
                </v:textbox>
              </v:shape>
            </w:pict>
          </mc:Fallback>
        </mc:AlternateContent>
      </w:r>
      <w:r>
        <w:rPr>
          <w:rFonts w:hint="default" w:ascii="Times New Roman" w:hAnsi="Times New Roman" w:cs="Times New Roman"/>
        </w:rPr>
        <mc:AlternateContent>
          <mc:Choice Requires="wps">
            <w:drawing>
              <wp:inline distT="0" distB="0" distL="0" distR="0">
                <wp:extent cx="735330" cy="296545"/>
                <wp:effectExtent l="0" t="0" r="0" b="0"/>
                <wp:docPr id="539" name="矩形 53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35330" cy="296545"/>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_x0000_s1026" o:spid="_x0000_s1026" o:spt="1" style="height:23.35pt;width:57.9pt;" filled="f" stroked="f" coordsize="21600,21600" o:gfxdata="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46EdUAAAAEAQAADwAAAAAAAAABACAA&#10;AAAiAAAAZHJzL2Rvd25yZXYueG1sUEsBAhQAFAAAAAgAh07iQKSr6QEQAgAAEwQAAA4AAAAAAAAA&#10;AQAgAAAAJAEAAGRycy9lMm9Eb2MueG1sUEsFBgAAAAAGAAYAWQEAAKYFAAAAAA==&#10;">
                <v:fill on="f" focussize="0,0"/>
                <v:stroke on="f"/>
                <v:imagedata o:title=""/>
                <o:lock v:ext="edit" aspectratio="t"/>
                <w10:wrap type="none"/>
                <w10:anchorlock/>
              </v:rect>
            </w:pict>
          </mc:Fallback>
        </mc:AlternateContent>
      </w:r>
      <w:r>
        <w:rPr>
          <w:rFonts w:hint="default" w:ascii="Times New Roman" w:hAnsi="Times New Roman" w:eastAsia="宋体" w:cs="Times New Roman"/>
          <w:szCs w:val="21"/>
        </w:rPr>
        <w:t xml:space="preserve">        </w:t>
      </w:r>
      <w:r>
        <w:rPr>
          <w:rFonts w:hint="default" w:ascii="Times New Roman" w:hAnsi="Times New Roman" w:cs="Times New Roman"/>
        </w:rPr>
        <mc:AlternateContent>
          <mc:Choice Requires="wps">
            <w:drawing>
              <wp:anchor distT="0" distB="0" distL="114300" distR="114300" simplePos="0" relativeHeight="251670528" behindDoc="0" locked="0" layoutInCell="1" allowOverlap="1">
                <wp:simplePos x="0" y="0"/>
                <wp:positionH relativeFrom="character">
                  <wp:posOffset>0</wp:posOffset>
                </wp:positionH>
                <wp:positionV relativeFrom="line">
                  <wp:posOffset>0</wp:posOffset>
                </wp:positionV>
                <wp:extent cx="733425" cy="295275"/>
                <wp:effectExtent l="0" t="0" r="3175" b="9525"/>
                <wp:wrapNone/>
                <wp:docPr id="538" name="文本框 538"/>
                <wp:cNvGraphicFramePr/>
                <a:graphic xmlns:a="http://schemas.openxmlformats.org/drawingml/2006/main">
                  <a:graphicData uri="http://schemas.microsoft.com/office/word/2010/wordprocessingShape">
                    <wps:wsp>
                      <wps:cNvSpPr txBox="1">
                        <a:spLocks noChangeArrowheads="1"/>
                      </wps:cNvSpPr>
                      <wps:spPr bwMode="auto">
                        <a:xfrm>
                          <a:off x="0" y="0"/>
                          <a:ext cx="733425" cy="295275"/>
                        </a:xfrm>
                        <a:prstGeom prst="rect">
                          <a:avLst/>
                        </a:prstGeom>
                        <a:solidFill>
                          <a:srgbClr val="FFFFFF"/>
                        </a:solidFill>
                        <a:ln>
                          <a:noFill/>
                        </a:ln>
                      </wps:spPr>
                      <wps:txbx>
                        <w:txbxContent>
                          <w:p w14:paraId="0A5A52F5">
                            <w:pPr>
                              <w:rPr>
                                <w:sz w:val="15"/>
                                <w:szCs w:val="15"/>
                              </w:rPr>
                            </w:pPr>
                            <w:r>
                              <w:rPr>
                                <w:rFonts w:hint="eastAsia"/>
                                <w:sz w:val="15"/>
                                <w:szCs w:val="15"/>
                              </w:rPr>
                              <w:t>高努力</w:t>
                            </w:r>
                          </w:p>
                          <w:p w14:paraId="53AE84F8"/>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0pt;margin-top:0pt;height:23.25pt;width:57.75pt;mso-position-horizontal-relative:char;mso-position-vertical-relative:line;z-index:251670528;mso-width-relative:page;mso-height-relative:page;" fillcolor="#FFFFFF" filled="t" stroked="f" coordsize="21600,21600" o:gfxdata="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zVFB40wAAAAQBAAAPAAAAAAAAAAEAIAAAACIAAABkcnMvZG93bnJldi54bWxQSwECFAAUAAAA&#10;CACHTuJAgJxWPCwCAABBBAAADgAAAAAAAAABACAAAAAiAQAAZHJzL2Uyb0RvYy54bWxQSwUGAAAA&#10;AAYABgBZAQAAwAUAAAAA&#10;">
                <v:fill on="t" focussize="0,0"/>
                <v:stroke on="f"/>
                <v:imagedata o:title=""/>
                <o:lock v:ext="edit" aspectratio="f"/>
                <v:textbox>
                  <w:txbxContent>
                    <w:p w14:paraId="0A5A52F5">
                      <w:pPr>
                        <w:rPr>
                          <w:sz w:val="15"/>
                          <w:szCs w:val="15"/>
                        </w:rPr>
                      </w:pPr>
                      <w:r>
                        <w:rPr>
                          <w:rFonts w:hint="eastAsia"/>
                          <w:sz w:val="15"/>
                          <w:szCs w:val="15"/>
                        </w:rPr>
                        <w:t>高努力</w:t>
                      </w:r>
                    </w:p>
                    <w:p w14:paraId="53AE84F8"/>
                  </w:txbxContent>
                </v:textbox>
              </v:shape>
            </w:pict>
          </mc:Fallback>
        </mc:AlternateContent>
      </w:r>
      <w:r>
        <w:rPr>
          <w:rFonts w:hint="default" w:ascii="Times New Roman" w:hAnsi="Times New Roman" w:cs="Times New Roman"/>
        </w:rPr>
        <mc:AlternateContent>
          <mc:Choice Requires="wps">
            <w:drawing>
              <wp:inline distT="0" distB="0" distL="0" distR="0">
                <wp:extent cx="735330" cy="296545"/>
                <wp:effectExtent l="0" t="0" r="0" b="0"/>
                <wp:docPr id="537" name="矩形 53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35330" cy="296545"/>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_x0000_s1026" o:spid="_x0000_s1026" o:spt="1" style="height:23.35pt;width:57.9pt;" filled="f" stroked="f" coordsize="21600,21600" o:gfxdata="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46EdUAAAAEAQAADwAAAAAAAAABACAA&#10;AAAiAAAAZHJzL2Rvd25yZXYueG1sUEsBAhQAFAAAAAgAh07iQEE9XMYQAgAAEwQAAA4AAAAAAAAA&#10;AQAgAAAAJAEAAGRycy9lMm9Eb2MueG1sUEsFBgAAAAAGAAYAWQEAAKYFAAAAAA==&#10;">
                <v:fill on="f" focussize="0,0"/>
                <v:stroke on="f"/>
                <v:imagedata o:title=""/>
                <o:lock v:ext="edit" aspectratio="t"/>
                <w10:wrap type="none"/>
                <w10:anchorlock/>
              </v:rect>
            </w:pict>
          </mc:Fallback>
        </mc:AlternateContent>
      </w:r>
    </w:p>
    <w:p w14:paraId="2B11AF2E">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 xml:space="preserve">                          </w:t>
      </w:r>
    </w:p>
    <w:p w14:paraId="7F22CB78">
      <w:pPr>
        <w:spacing w:line="300" w:lineRule="auto"/>
        <w:ind w:firstLine="420" w:firstLineChars="200"/>
        <w:rPr>
          <w:rFonts w:hint="default" w:ascii="Times New Roman" w:hAnsi="Times New Roman" w:eastAsia="宋体" w:cs="Times New Roman"/>
          <w:szCs w:val="21"/>
        </w:rPr>
      </w:pPr>
      <w:r>
        <w:rPr>
          <w:rFonts w:hint="default" w:ascii="Times New Roman" w:hAnsi="Times New Roman" w:cs="Times New Roman"/>
        </w:rPr>
        <mc:AlternateContent>
          <mc:Choice Requires="wps">
            <w:drawing>
              <wp:anchor distT="0" distB="0" distL="114300" distR="114300" simplePos="0" relativeHeight="251669504" behindDoc="0" locked="0" layoutInCell="1" allowOverlap="1">
                <wp:simplePos x="0" y="0"/>
                <wp:positionH relativeFrom="character">
                  <wp:posOffset>0</wp:posOffset>
                </wp:positionH>
                <wp:positionV relativeFrom="line">
                  <wp:posOffset>0</wp:posOffset>
                </wp:positionV>
                <wp:extent cx="733425" cy="295275"/>
                <wp:effectExtent l="0" t="0" r="3175" b="9525"/>
                <wp:wrapNone/>
                <wp:docPr id="536" name="文本框 536"/>
                <wp:cNvGraphicFramePr/>
                <a:graphic xmlns:a="http://schemas.openxmlformats.org/drawingml/2006/main">
                  <a:graphicData uri="http://schemas.microsoft.com/office/word/2010/wordprocessingShape">
                    <wps:wsp>
                      <wps:cNvSpPr txBox="1">
                        <a:spLocks noChangeArrowheads="1"/>
                      </wps:cNvSpPr>
                      <wps:spPr bwMode="auto">
                        <a:xfrm>
                          <a:off x="0" y="0"/>
                          <a:ext cx="733425" cy="295275"/>
                        </a:xfrm>
                        <a:prstGeom prst="rect">
                          <a:avLst/>
                        </a:prstGeom>
                        <a:solidFill>
                          <a:srgbClr val="FFFFFF"/>
                        </a:solidFill>
                        <a:ln>
                          <a:noFill/>
                        </a:ln>
                      </wps:spPr>
                      <wps:txbx>
                        <w:txbxContent>
                          <w:p w14:paraId="14F04E31">
                            <w:pPr>
                              <w:rPr>
                                <w:sz w:val="15"/>
                                <w:szCs w:val="15"/>
                              </w:rPr>
                            </w:pPr>
                            <w:r>
                              <w:rPr>
                                <w:rFonts w:hint="eastAsia"/>
                                <w:sz w:val="15"/>
                                <w:szCs w:val="15"/>
                              </w:rPr>
                              <w:t>低工资</w:t>
                            </w:r>
                          </w:p>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0pt;margin-top:0pt;height:23.25pt;width:57.75pt;mso-position-horizontal-relative:char;mso-position-vertical-relative:line;z-index:251669504;mso-width-relative:page;mso-height-relative:page;" fillcolor="#FFFFFF" filled="t" stroked="f" coordsize="21600,21600" o:gfxdata="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c1RQeNMAAAAEAQAADwAAAAAAAAABACAAAAAiAAAAZHJzL2Rvd25yZXYueG1sUEsBAhQAFAAA&#10;AAgAh07iQHFRMwUtAgAAQQQAAA4AAAAAAAAAAQAgAAAAIgEAAGRycy9lMm9Eb2MueG1sUEsFBgAA&#10;AAAGAAYAWQEAAMEFAAAAAA==&#10;">
                <v:fill on="t" focussize="0,0"/>
                <v:stroke on="f"/>
                <v:imagedata o:title=""/>
                <o:lock v:ext="edit" aspectratio="f"/>
                <v:textbox>
                  <w:txbxContent>
                    <w:p w14:paraId="14F04E31">
                      <w:pPr>
                        <w:rPr>
                          <w:sz w:val="15"/>
                          <w:szCs w:val="15"/>
                        </w:rPr>
                      </w:pPr>
                      <w:r>
                        <w:rPr>
                          <w:rFonts w:hint="eastAsia"/>
                          <w:sz w:val="15"/>
                          <w:szCs w:val="15"/>
                        </w:rPr>
                        <w:t>低工资</w:t>
                      </w:r>
                    </w:p>
                  </w:txbxContent>
                </v:textbox>
              </v:shape>
            </w:pict>
          </mc:Fallback>
        </mc:AlternateContent>
      </w:r>
      <w:r>
        <w:rPr>
          <w:rFonts w:hint="default" w:ascii="Times New Roman" w:hAnsi="Times New Roman" w:cs="Times New Roman"/>
        </w:rPr>
        <mc:AlternateContent>
          <mc:Choice Requires="wps">
            <w:drawing>
              <wp:inline distT="0" distB="0" distL="0" distR="0">
                <wp:extent cx="735330" cy="296545"/>
                <wp:effectExtent l="0" t="0" r="0" b="0"/>
                <wp:docPr id="535" name="矩形 53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35330" cy="296545"/>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_x0000_s1026" o:spid="_x0000_s1026" o:spt="1" style="height:23.35pt;width:57.9pt;" filled="f" stroked="f" coordsize="21600,21600" o:gfxdata="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46EdUAAAAEAQAADwAAAAAAAAABACAA&#10;AAAiAAAAZHJzL2Rvd25yZXYueG1sUEsBAhQAFAAAAAgAh07iQNa61uoQAgAAEwQAAA4AAAAAAAAA&#10;AQAgAAAAJAEAAGRycy9lMm9Eb2MueG1sUEsFBgAAAAAGAAYAWQEAAKYFAAAAAA==&#10;">
                <v:fill on="f" focussize="0,0"/>
                <v:stroke on="f"/>
                <v:imagedata o:title=""/>
                <o:lock v:ext="edit" aspectratio="t"/>
                <w10:wrap type="none"/>
                <w10:anchorlock/>
              </v:rect>
            </w:pict>
          </mc:Fallback>
        </mc:AlternateContent>
      </w:r>
      <w:r>
        <w:rPr>
          <w:rFonts w:hint="default" w:ascii="Times New Roman" w:hAnsi="Times New Roman" w:eastAsia="宋体" w:cs="Times New Roman"/>
          <w:szCs w:val="21"/>
        </w:rPr>
        <w:t xml:space="preserve">    </w:t>
      </w:r>
      <w:r>
        <w:rPr>
          <w:rFonts w:hint="default" w:ascii="Times New Roman" w:hAnsi="Times New Roman" w:cs="Times New Roman"/>
        </w:rPr>
        <mc:AlternateContent>
          <mc:Choice Requires="wps">
            <w:drawing>
              <wp:anchor distT="0" distB="0" distL="114300" distR="114300" simplePos="0" relativeHeight="251668480" behindDoc="0" locked="0" layoutInCell="1" allowOverlap="1">
                <wp:simplePos x="0" y="0"/>
                <wp:positionH relativeFrom="character">
                  <wp:posOffset>0</wp:posOffset>
                </wp:positionH>
                <wp:positionV relativeFrom="line">
                  <wp:posOffset>0</wp:posOffset>
                </wp:positionV>
                <wp:extent cx="733425" cy="295275"/>
                <wp:effectExtent l="0" t="0" r="3175" b="9525"/>
                <wp:wrapNone/>
                <wp:docPr id="534" name="文本框 534"/>
                <wp:cNvGraphicFramePr/>
                <a:graphic xmlns:a="http://schemas.openxmlformats.org/drawingml/2006/main">
                  <a:graphicData uri="http://schemas.microsoft.com/office/word/2010/wordprocessingShape">
                    <wps:wsp>
                      <wps:cNvSpPr txBox="1">
                        <a:spLocks noChangeArrowheads="1"/>
                      </wps:cNvSpPr>
                      <wps:spPr bwMode="auto">
                        <a:xfrm>
                          <a:off x="0" y="0"/>
                          <a:ext cx="733425" cy="295275"/>
                        </a:xfrm>
                        <a:prstGeom prst="rect">
                          <a:avLst/>
                        </a:prstGeom>
                        <a:solidFill>
                          <a:srgbClr val="FFFFFF"/>
                        </a:solidFill>
                        <a:ln>
                          <a:noFill/>
                        </a:ln>
                      </wps:spPr>
                      <wps:txbx>
                        <w:txbxContent>
                          <w:p w14:paraId="609C7385">
                            <w:pPr>
                              <w:rPr>
                                <w:sz w:val="15"/>
                                <w:szCs w:val="15"/>
                              </w:rPr>
                            </w:pPr>
                            <w:r>
                              <w:rPr>
                                <w:rFonts w:hint="eastAsia"/>
                                <w:sz w:val="15"/>
                                <w:szCs w:val="15"/>
                              </w:rPr>
                              <w:t>高工资</w:t>
                            </w:r>
                          </w:p>
                          <w:p w14:paraId="6C68505B"/>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0pt;margin-top:0pt;height:23.25pt;width:57.75pt;mso-position-horizontal-relative:char;mso-position-vertical-relative:line;z-index:251668480;mso-width-relative:page;mso-height-relative:page;" fillcolor="#FFFFFF" filled="t" stroked="f" coordsize="21600,21600" o:gfxdata="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zVFB40wAAAAQBAAAPAAAAAAAAAAEAIAAAACIAAABkcnMvZG93bnJldi54bWxQSwECFAAUAAAA&#10;CACHTuJADBFphywCAABBBAAADgAAAAAAAAABACAAAAAiAQAAZHJzL2Uyb0RvYy54bWxQSwUGAAAA&#10;AAYABgBZAQAAwAUAAAAA&#10;">
                <v:fill on="t" focussize="0,0"/>
                <v:stroke on="f"/>
                <v:imagedata o:title=""/>
                <o:lock v:ext="edit" aspectratio="f"/>
                <v:textbox>
                  <w:txbxContent>
                    <w:p w14:paraId="609C7385">
                      <w:pPr>
                        <w:rPr>
                          <w:sz w:val="15"/>
                          <w:szCs w:val="15"/>
                        </w:rPr>
                      </w:pPr>
                      <w:r>
                        <w:rPr>
                          <w:rFonts w:hint="eastAsia"/>
                          <w:sz w:val="15"/>
                          <w:szCs w:val="15"/>
                        </w:rPr>
                        <w:t>高工资</w:t>
                      </w:r>
                    </w:p>
                    <w:p w14:paraId="6C68505B"/>
                  </w:txbxContent>
                </v:textbox>
              </v:shape>
            </w:pict>
          </mc:Fallback>
        </mc:AlternateContent>
      </w:r>
      <w:r>
        <w:rPr>
          <w:rFonts w:hint="default" w:ascii="Times New Roman" w:hAnsi="Times New Roman" w:cs="Times New Roman"/>
        </w:rPr>
        <mc:AlternateContent>
          <mc:Choice Requires="wps">
            <w:drawing>
              <wp:inline distT="0" distB="0" distL="0" distR="0">
                <wp:extent cx="735330" cy="296545"/>
                <wp:effectExtent l="0" t="0" r="0" b="0"/>
                <wp:docPr id="533" name="矩形 53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35330" cy="296545"/>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_x0000_s1026" o:spid="_x0000_s1026" o:spt="1" style="height:23.35pt;width:57.9pt;" filled="f" stroked="f" coordsize="21600,21600" o:gfxdata="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r7joR1QAAAAQBAAAPAAAAAAAAAAEAIAAA&#10;ACIAAABkcnMvZG93bnJldi54bWxQSwECFAAUAAAACACHTuJAbzJJnw8CAAATBAAADgAAAAAAAAAB&#10;ACAAAAAkAQAAZHJzL2Uyb0RvYy54bWxQSwUGAAAAAAYABgBZAQAApQUAAAAA&#10;">
                <v:fill on="f" focussize="0,0"/>
                <v:stroke on="f"/>
                <v:imagedata o:title=""/>
                <o:lock v:ext="edit" aspectratio="t"/>
                <w10:wrap type="none"/>
                <w10:anchorlock/>
              </v:rect>
            </w:pict>
          </mc:Fallback>
        </mc:AlternateContent>
      </w:r>
      <w:r>
        <w:rPr>
          <w:rFonts w:hint="default" w:ascii="Times New Roman" w:hAnsi="Times New Roman" w:eastAsia="宋体" w:cs="Times New Roman"/>
          <w:szCs w:val="21"/>
        </w:rPr>
        <w:t xml:space="preserve">        </w:t>
      </w:r>
      <w:r>
        <w:rPr>
          <w:rFonts w:hint="default" w:ascii="Times New Roman" w:hAnsi="Times New Roman" w:cs="Times New Roman"/>
        </w:rPr>
        <mc:AlternateContent>
          <mc:Choice Requires="wps">
            <w:drawing>
              <wp:anchor distT="0" distB="0" distL="114300" distR="114300" simplePos="0" relativeHeight="251667456" behindDoc="0" locked="0" layoutInCell="1" allowOverlap="1">
                <wp:simplePos x="0" y="0"/>
                <wp:positionH relativeFrom="character">
                  <wp:posOffset>0</wp:posOffset>
                </wp:positionH>
                <wp:positionV relativeFrom="line">
                  <wp:posOffset>0</wp:posOffset>
                </wp:positionV>
                <wp:extent cx="733425" cy="295275"/>
                <wp:effectExtent l="0" t="0" r="3175" b="9525"/>
                <wp:wrapNone/>
                <wp:docPr id="532" name="文本框 532"/>
                <wp:cNvGraphicFramePr/>
                <a:graphic xmlns:a="http://schemas.openxmlformats.org/drawingml/2006/main">
                  <a:graphicData uri="http://schemas.microsoft.com/office/word/2010/wordprocessingShape">
                    <wps:wsp>
                      <wps:cNvSpPr txBox="1">
                        <a:spLocks noChangeArrowheads="1"/>
                      </wps:cNvSpPr>
                      <wps:spPr bwMode="auto">
                        <a:xfrm>
                          <a:off x="0" y="0"/>
                          <a:ext cx="733425" cy="295275"/>
                        </a:xfrm>
                        <a:prstGeom prst="rect">
                          <a:avLst/>
                        </a:prstGeom>
                        <a:solidFill>
                          <a:srgbClr val="FFFFFF"/>
                        </a:solidFill>
                        <a:ln>
                          <a:noFill/>
                        </a:ln>
                      </wps:spPr>
                      <wps:txbx>
                        <w:txbxContent>
                          <w:p w14:paraId="5F897065">
                            <w:pPr>
                              <w:rPr>
                                <w:sz w:val="15"/>
                                <w:szCs w:val="15"/>
                              </w:rPr>
                            </w:pPr>
                            <w:r>
                              <w:rPr>
                                <w:rFonts w:hint="eastAsia"/>
                                <w:sz w:val="15"/>
                                <w:szCs w:val="15"/>
                              </w:rPr>
                              <w:t>低工资</w:t>
                            </w:r>
                          </w:p>
                          <w:p w14:paraId="58547DD7"/>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0pt;margin-top:0pt;height:23.25pt;width:57.75pt;mso-position-horizontal-relative:char;mso-position-vertical-relative:line;z-index:251667456;mso-width-relative:page;mso-height-relative:page;" fillcolor="#FFFFFF" filled="t" stroked="f" coordsize="21600,21600" o:gfxdata="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">
                <v:fill on="t" focussize="0,0"/>
                <v:stroke on="f"/>
                <v:imagedata o:title=""/>
                <o:lock v:ext="edit" aspectratio="f"/>
                <v:textbox>
                  <w:txbxContent>
                    <w:p w14:paraId="5F897065">
                      <w:pPr>
                        <w:rPr>
                          <w:sz w:val="15"/>
                          <w:szCs w:val="15"/>
                        </w:rPr>
                      </w:pPr>
                      <w:r>
                        <w:rPr>
                          <w:rFonts w:hint="eastAsia"/>
                          <w:sz w:val="15"/>
                          <w:szCs w:val="15"/>
                        </w:rPr>
                        <w:t>低工资</w:t>
                      </w:r>
                    </w:p>
                    <w:p w14:paraId="58547DD7"/>
                  </w:txbxContent>
                </v:textbox>
              </v:shape>
            </w:pict>
          </mc:Fallback>
        </mc:AlternateContent>
      </w:r>
      <w:r>
        <w:rPr>
          <w:rFonts w:hint="default" w:ascii="Times New Roman" w:hAnsi="Times New Roman" w:cs="Times New Roman"/>
        </w:rPr>
        <mc:AlternateContent>
          <mc:Choice Requires="wps">
            <w:drawing>
              <wp:inline distT="0" distB="0" distL="0" distR="0">
                <wp:extent cx="735330" cy="296545"/>
                <wp:effectExtent l="0" t="0" r="0" b="0"/>
                <wp:docPr id="531" name="矩形 53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35330" cy="296545"/>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_x0000_s1026" o:spid="_x0000_s1026" o:spt="1" style="height:23.35pt;width:57.9pt;" filled="f" stroked="f" coordsize="21600,21600" o:gfxdata="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">
                <v:fill on="f" focussize="0,0"/>
                <v:stroke on="f"/>
                <v:imagedata o:title=""/>
                <o:lock v:ext="edit" aspectratio="t"/>
                <w10:wrap type="none"/>
                <w10:anchorlock/>
              </v:rect>
            </w:pict>
          </mc:Fallback>
        </mc:AlternateContent>
      </w:r>
      <w:r>
        <w:rPr>
          <w:rFonts w:hint="default" w:ascii="Times New Roman" w:hAnsi="Times New Roman" w:eastAsia="宋体" w:cs="Times New Roman"/>
          <w:szCs w:val="21"/>
        </w:rPr>
        <w:t xml:space="preserve">      </w:t>
      </w:r>
      <w:r>
        <w:rPr>
          <w:rFonts w:hint="default" w:ascii="Times New Roman" w:hAnsi="Times New Roman" w:cs="Times New Roman"/>
        </w:rPr>
        <mc:AlternateContent>
          <mc:Choice Requires="wps">
            <w:drawing>
              <wp:anchor distT="0" distB="0" distL="114300" distR="114300" simplePos="0" relativeHeight="251666432" behindDoc="0" locked="0" layoutInCell="1" allowOverlap="1">
                <wp:simplePos x="0" y="0"/>
                <wp:positionH relativeFrom="character">
                  <wp:posOffset>0</wp:posOffset>
                </wp:positionH>
                <wp:positionV relativeFrom="line">
                  <wp:posOffset>0</wp:posOffset>
                </wp:positionV>
                <wp:extent cx="733425" cy="295275"/>
                <wp:effectExtent l="0" t="0" r="3175" b="9525"/>
                <wp:wrapNone/>
                <wp:docPr id="530" name="文本框 530"/>
                <wp:cNvGraphicFramePr/>
                <a:graphic xmlns:a="http://schemas.openxmlformats.org/drawingml/2006/main">
                  <a:graphicData uri="http://schemas.microsoft.com/office/word/2010/wordprocessingShape">
                    <wps:wsp>
                      <wps:cNvSpPr txBox="1">
                        <a:spLocks noChangeArrowheads="1"/>
                      </wps:cNvSpPr>
                      <wps:spPr bwMode="auto">
                        <a:xfrm>
                          <a:off x="0" y="0"/>
                          <a:ext cx="733425" cy="295275"/>
                        </a:xfrm>
                        <a:prstGeom prst="rect">
                          <a:avLst/>
                        </a:prstGeom>
                        <a:solidFill>
                          <a:srgbClr val="FFFFFF"/>
                        </a:solidFill>
                        <a:ln>
                          <a:noFill/>
                        </a:ln>
                      </wps:spPr>
                      <wps:txbx>
                        <w:txbxContent>
                          <w:p w14:paraId="0E4C0C24">
                            <w:pPr>
                              <w:rPr>
                                <w:sz w:val="15"/>
                                <w:szCs w:val="15"/>
                              </w:rPr>
                            </w:pPr>
                            <w:r>
                              <w:rPr>
                                <w:rFonts w:hint="eastAsia"/>
                                <w:sz w:val="15"/>
                                <w:szCs w:val="15"/>
                              </w:rPr>
                              <w:t>高工资</w:t>
                            </w:r>
                          </w:p>
                          <w:p w14:paraId="6F04E29C"/>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0pt;margin-top:0pt;height:23.25pt;width:57.75pt;mso-position-horizontal-relative:char;mso-position-vertical-relative:line;z-index:251666432;mso-width-relative:page;mso-height-relative:page;" fillcolor="#FFFFFF" filled="t" stroked="f" coordsize="21600,21600" o:gfxdata="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">
                <v:fill on="t" focussize="0,0"/>
                <v:stroke on="f"/>
                <v:imagedata o:title=""/>
                <o:lock v:ext="edit" aspectratio="f"/>
                <v:textbox>
                  <w:txbxContent>
                    <w:p w14:paraId="0E4C0C24">
                      <w:pPr>
                        <w:rPr>
                          <w:sz w:val="15"/>
                          <w:szCs w:val="15"/>
                        </w:rPr>
                      </w:pPr>
                      <w:r>
                        <w:rPr>
                          <w:rFonts w:hint="eastAsia"/>
                          <w:sz w:val="15"/>
                          <w:szCs w:val="15"/>
                        </w:rPr>
                        <w:t>高工资</w:t>
                      </w:r>
                    </w:p>
                    <w:p w14:paraId="6F04E29C"/>
                  </w:txbxContent>
                </v:textbox>
              </v:shape>
            </w:pict>
          </mc:Fallback>
        </mc:AlternateContent>
      </w:r>
      <w:r>
        <w:rPr>
          <w:rFonts w:hint="default" w:ascii="Times New Roman" w:hAnsi="Times New Roman" w:cs="Times New Roman"/>
        </w:rPr>
        <mc:AlternateContent>
          <mc:Choice Requires="wps">
            <w:drawing>
              <wp:inline distT="0" distB="0" distL="0" distR="0">
                <wp:extent cx="735330" cy="296545"/>
                <wp:effectExtent l="0" t="0" r="0" b="0"/>
                <wp:docPr id="529" name="矩形 5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735330" cy="296545"/>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_x0000_s1026" o:spid="_x0000_s1026" o:spt="1" style="height:23.35pt;width:57.9pt;" filled="f" stroked="f" coordsize="21600,21600" o:gfxdata="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">
                <v:fill on="f" focussize="0,0"/>
                <v:stroke on="f"/>
                <v:imagedata o:title=""/>
                <o:lock v:ext="edit" aspectratio="t"/>
                <w10:wrap type="none"/>
                <w10:anchorlock/>
              </v:rect>
            </w:pict>
          </mc:Fallback>
        </mc:AlternateContent>
      </w:r>
    </w:p>
    <w:p w14:paraId="44D0EF6D">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 xml:space="preserve">                        </w:t>
      </w:r>
    </w:p>
    <w:p w14:paraId="7610949B">
      <w:pPr>
        <w:spacing w:line="300" w:lineRule="auto"/>
        <w:ind w:firstLine="420" w:firstLineChars="200"/>
        <w:rPr>
          <w:rFonts w:hint="default" w:ascii="Times New Roman" w:hAnsi="Times New Roman" w:eastAsia="宋体" w:cs="Times New Roman"/>
          <w:szCs w:val="21"/>
        </w:rPr>
      </w:pPr>
    </w:p>
    <w:p w14:paraId="70DA68F2">
      <w:pPr>
        <w:spacing w:line="300" w:lineRule="auto"/>
        <w:ind w:firstLine="2439" w:firstLineChars="1355"/>
        <w:jc w:val="both"/>
        <w:rPr>
          <w:rFonts w:hint="default" w:ascii="Times New Roman" w:hAnsi="Times New Roman" w:eastAsia="宋体" w:cs="Times New Roman"/>
          <w:sz w:val="18"/>
          <w:szCs w:val="18"/>
        </w:rPr>
      </w:pPr>
      <w:r>
        <w:rPr>
          <w:rFonts w:hint="default" w:ascii="Times New Roman" w:hAnsi="Times New Roman" w:eastAsia="宋体" w:cs="Times New Roman"/>
          <w:sz w:val="18"/>
          <w:szCs w:val="18"/>
        </w:rPr>
        <w:t>表1      所有者</w:t>
      </w:r>
    </w:p>
    <w:p w14:paraId="6C75F158">
      <w:pPr>
        <w:spacing w:line="300" w:lineRule="auto"/>
        <w:ind w:firstLine="300" w:firstLineChars="200"/>
        <w:rPr>
          <w:rFonts w:hint="default" w:ascii="Times New Roman" w:hAnsi="Times New Roman" w:eastAsia="宋体" w:cs="Times New Roman"/>
          <w:sz w:val="15"/>
          <w:szCs w:val="15"/>
        </w:rPr>
      </w:pPr>
    </w:p>
    <w:tbl>
      <w:tblPr>
        <w:tblStyle w:val="17"/>
        <w:tblpPr w:leftFromText="180" w:rightFromText="180" w:vertAnchor="text" w:horzAnchor="page" w:tblpX="1654" w:tblpY="71"/>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46"/>
        <w:gridCol w:w="1761"/>
        <w:gridCol w:w="2031"/>
      </w:tblGrid>
      <w:tr w14:paraId="7333C458">
        <w:tc>
          <w:tcPr>
            <w:tcW w:w="846" w:type="dxa"/>
          </w:tcPr>
          <w:p w14:paraId="72EB6EB7">
            <w:pPr>
              <w:autoSpaceDE w:val="0"/>
              <w:autoSpaceDN w:val="0"/>
              <w:spacing w:line="300" w:lineRule="auto"/>
              <w:ind w:firstLine="300" w:firstLineChars="200"/>
              <w:rPr>
                <w:rFonts w:hint="default" w:ascii="Times New Roman" w:hAnsi="Times New Roman" w:eastAsia="宋体" w:cs="Times New Roman"/>
                <w:sz w:val="15"/>
                <w:szCs w:val="15"/>
              </w:rPr>
            </w:pPr>
          </w:p>
        </w:tc>
        <w:tc>
          <w:tcPr>
            <w:tcW w:w="1761" w:type="dxa"/>
          </w:tcPr>
          <w:p w14:paraId="3361E3B4">
            <w:pPr>
              <w:autoSpaceDE w:val="0"/>
              <w:autoSpaceDN w:val="0"/>
              <w:spacing w:line="300" w:lineRule="auto"/>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低工资</w:t>
            </w:r>
          </w:p>
        </w:tc>
        <w:tc>
          <w:tcPr>
            <w:tcW w:w="2031" w:type="dxa"/>
          </w:tcPr>
          <w:p w14:paraId="3218DF82">
            <w:pPr>
              <w:autoSpaceDE w:val="0"/>
              <w:autoSpaceDN w:val="0"/>
              <w:spacing w:line="300" w:lineRule="auto"/>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高工资</w:t>
            </w:r>
          </w:p>
        </w:tc>
      </w:tr>
      <w:tr w14:paraId="2D7B0DE7">
        <w:tc>
          <w:tcPr>
            <w:tcW w:w="846" w:type="dxa"/>
          </w:tcPr>
          <w:p w14:paraId="050C9F6C">
            <w:pPr>
              <w:autoSpaceDE w:val="0"/>
              <w:autoSpaceDN w:val="0"/>
              <w:spacing w:line="300" w:lineRule="auto"/>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低努力</w:t>
            </w:r>
          </w:p>
        </w:tc>
        <w:tc>
          <w:tcPr>
            <w:tcW w:w="1761" w:type="dxa"/>
          </w:tcPr>
          <w:p w14:paraId="34027F80">
            <w:pPr>
              <w:autoSpaceDE w:val="0"/>
              <w:autoSpaceDN w:val="0"/>
              <w:spacing w:line="300" w:lineRule="auto"/>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position w:val="-10"/>
                <w:sz w:val="15"/>
                <w:szCs w:val="15"/>
              </w:rPr>
              <w:object>
                <v:shape id="_x0000_i1173" o:spt="75" type="#_x0000_t75" style="height:17.05pt;width:17.05pt;" o:ole="t" filled="f" o:preferrelative="t" stroked="f" coordsize="21600,21600">
                  <v:path/>
                  <v:fill on="f" focussize="0,0"/>
                  <v:stroke on="f" joinstyle="miter"/>
                  <v:imagedata r:id="rId33" o:title=""/>
                  <o:lock v:ext="edit" aspectratio="t"/>
                  <w10:wrap type="none"/>
                  <w10:anchorlock/>
                </v:shape>
                <o:OLEObject Type="Embed" ProgID="Equation.3" ShapeID="_x0000_i1173" DrawAspect="Content" ObjectID="_1468075737" r:id="rId40">
                  <o:LockedField>false</o:LockedField>
                </o:OLEObject>
              </w:object>
            </w:r>
            <w:r>
              <w:rPr>
                <w:rFonts w:hint="default" w:ascii="Times New Roman" w:hAnsi="Times New Roman" w:eastAsia="宋体" w:cs="Times New Roman"/>
                <w:sz w:val="15"/>
                <w:szCs w:val="15"/>
              </w:rPr>
              <w:t xml:space="preserve"> ，</w:t>
            </w:r>
            <w:r>
              <w:rPr>
                <w:rFonts w:hint="default" w:ascii="Times New Roman" w:hAnsi="Times New Roman" w:eastAsia="宋体" w:cs="Times New Roman"/>
                <w:position w:val="-10"/>
                <w:sz w:val="15"/>
                <w:szCs w:val="15"/>
              </w:rPr>
              <w:object>
                <v:shape id="_x0000_i1174" o:spt="75" type="#_x0000_t75" style="height:17.05pt;width:17.05pt;" o:ole="t" filled="f" o:preferrelative="t" stroked="f" coordsize="21600,21600">
                  <v:path/>
                  <v:fill on="f" focussize="0,0"/>
                  <v:stroke on="f" joinstyle="miter"/>
                  <v:imagedata r:id="rId37" o:title=""/>
                  <o:lock v:ext="edit" aspectratio="t"/>
                  <w10:wrap type="none"/>
                  <w10:anchorlock/>
                </v:shape>
                <o:OLEObject Type="Embed" ProgID="Equation.3" ShapeID="_x0000_i1174" DrawAspect="Content" ObjectID="_1468075738" r:id="rId41">
                  <o:LockedField>false</o:LockedField>
                </o:OLEObject>
              </w:object>
            </w:r>
            <w:r>
              <w:rPr>
                <w:rFonts w:hint="default" w:ascii="Times New Roman" w:hAnsi="Times New Roman" w:eastAsia="宋体" w:cs="Times New Roman"/>
                <w:sz w:val="15"/>
                <w:szCs w:val="15"/>
              </w:rPr>
              <w:t>—</w:t>
            </w:r>
            <w:r>
              <w:rPr>
                <w:rFonts w:hint="default" w:ascii="Times New Roman" w:hAnsi="Times New Roman" w:eastAsia="宋体" w:cs="Times New Roman"/>
                <w:position w:val="-10"/>
                <w:sz w:val="15"/>
                <w:szCs w:val="15"/>
              </w:rPr>
              <w:object>
                <v:shape id="_x0000_i1175" o:spt="75" type="#_x0000_t75" style="height:17.05pt;width:17.05pt;" o:ole="t" filled="f" o:preferrelative="t" stroked="f" coordsize="21600,21600">
                  <v:path/>
                  <v:fill on="f" focussize="0,0"/>
                  <v:stroke on="f" joinstyle="miter"/>
                  <v:imagedata r:id="rId33" o:title=""/>
                  <o:lock v:ext="edit" aspectratio="t"/>
                  <w10:wrap type="none"/>
                  <w10:anchorlock/>
                </v:shape>
                <o:OLEObject Type="Embed" ProgID="Equation.3" ShapeID="_x0000_i1175" DrawAspect="Content" ObjectID="_1468075739" r:id="rId42">
                  <o:LockedField>false</o:LockedField>
                </o:OLEObject>
              </w:object>
            </w:r>
          </w:p>
        </w:tc>
        <w:tc>
          <w:tcPr>
            <w:tcW w:w="2031" w:type="dxa"/>
          </w:tcPr>
          <w:p w14:paraId="7F8EC87B">
            <w:pPr>
              <w:autoSpaceDE w:val="0"/>
              <w:autoSpaceDN w:val="0"/>
              <w:spacing w:line="300" w:lineRule="auto"/>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position w:val="-10"/>
                <w:sz w:val="15"/>
                <w:szCs w:val="15"/>
              </w:rPr>
              <w:object>
                <v:shape id="_x0000_i1176" o:spt="75" type="#_x0000_t75" style="height:17.05pt;width:18.75pt;" o:ole="t" filled="f" o:preferrelative="t" stroked="f" coordsize="21600,21600">
                  <v:path/>
                  <v:fill on="f" focussize="0,0"/>
                  <v:stroke on="f" joinstyle="miter"/>
                  <v:imagedata r:id="rId35" o:title=""/>
                  <o:lock v:ext="edit" aspectratio="t"/>
                  <w10:wrap type="none"/>
                  <w10:anchorlock/>
                </v:shape>
                <o:OLEObject Type="Embed" ProgID="Equation.3" ShapeID="_x0000_i1176" DrawAspect="Content" ObjectID="_1468075740" r:id="rId43">
                  <o:LockedField>false</o:LockedField>
                </o:OLEObject>
              </w:object>
            </w:r>
            <w:r>
              <w:rPr>
                <w:rFonts w:hint="default" w:ascii="Times New Roman" w:hAnsi="Times New Roman" w:eastAsia="宋体" w:cs="Times New Roman"/>
                <w:sz w:val="15"/>
                <w:szCs w:val="15"/>
              </w:rPr>
              <w:t>，</w:t>
            </w:r>
            <w:r>
              <w:rPr>
                <w:rFonts w:hint="default" w:ascii="Times New Roman" w:hAnsi="Times New Roman" w:eastAsia="宋体" w:cs="Times New Roman"/>
                <w:position w:val="-10"/>
                <w:sz w:val="15"/>
                <w:szCs w:val="15"/>
              </w:rPr>
              <w:object>
                <v:shape id="_x0000_i1177" o:spt="75" type="#_x0000_t75" style="height:17.05pt;width:17.05pt;" o:ole="t" filled="f" o:preferrelative="t" stroked="f" coordsize="21600,21600">
                  <v:path/>
                  <v:fill on="f" focussize="0,0"/>
                  <v:stroke on="f" joinstyle="miter"/>
                  <v:imagedata r:id="rId37" o:title=""/>
                  <o:lock v:ext="edit" aspectratio="t"/>
                  <w10:wrap type="none"/>
                  <w10:anchorlock/>
                </v:shape>
                <o:OLEObject Type="Embed" ProgID="Equation.3" ShapeID="_x0000_i1177" DrawAspect="Content" ObjectID="_1468075741" r:id="rId44">
                  <o:LockedField>false</o:LockedField>
                </o:OLEObject>
              </w:object>
            </w:r>
            <w:r>
              <w:rPr>
                <w:rFonts w:hint="default" w:ascii="Times New Roman" w:hAnsi="Times New Roman" w:eastAsia="宋体" w:cs="Times New Roman"/>
                <w:sz w:val="15"/>
                <w:szCs w:val="15"/>
              </w:rPr>
              <w:t>—</w:t>
            </w:r>
            <w:r>
              <w:rPr>
                <w:rFonts w:hint="default" w:ascii="Times New Roman" w:hAnsi="Times New Roman" w:eastAsia="宋体" w:cs="Times New Roman"/>
                <w:position w:val="-10"/>
                <w:sz w:val="15"/>
                <w:szCs w:val="15"/>
              </w:rPr>
              <w:object>
                <v:shape id="_x0000_i1178" o:spt="75" type="#_x0000_t75" style="height:17.05pt;width:18.75pt;" o:ole="t" filled="f" o:preferrelative="t" stroked="f" coordsize="21600,21600">
                  <v:path/>
                  <v:fill on="f" focussize="0,0"/>
                  <v:stroke on="f" joinstyle="miter"/>
                  <v:imagedata r:id="rId35" o:title=""/>
                  <o:lock v:ext="edit" aspectratio="t"/>
                  <w10:wrap type="none"/>
                  <w10:anchorlock/>
                </v:shape>
                <o:OLEObject Type="Embed" ProgID="Equation.3" ShapeID="_x0000_i1178" DrawAspect="Content" ObjectID="_1468075742" r:id="rId45">
                  <o:LockedField>false</o:LockedField>
                </o:OLEObject>
              </w:object>
            </w:r>
          </w:p>
        </w:tc>
      </w:tr>
      <w:tr w14:paraId="027845A8">
        <w:tc>
          <w:tcPr>
            <w:tcW w:w="846" w:type="dxa"/>
          </w:tcPr>
          <w:p w14:paraId="0FC4D619">
            <w:pPr>
              <w:autoSpaceDE w:val="0"/>
              <w:autoSpaceDN w:val="0"/>
              <w:spacing w:line="300" w:lineRule="auto"/>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高努力</w:t>
            </w:r>
          </w:p>
        </w:tc>
        <w:tc>
          <w:tcPr>
            <w:tcW w:w="1761" w:type="dxa"/>
          </w:tcPr>
          <w:p w14:paraId="7199AE10">
            <w:pPr>
              <w:autoSpaceDE w:val="0"/>
              <w:autoSpaceDN w:val="0"/>
              <w:spacing w:line="300" w:lineRule="auto"/>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position w:val="-10"/>
                <w:sz w:val="15"/>
                <w:szCs w:val="15"/>
              </w:rPr>
              <w:object>
                <v:shape id="_x0000_i1179" o:spt="75" type="#_x0000_t75" style="height:17.05pt;width:17.05pt;" o:ole="t" filled="f" o:preferrelative="t" stroked="f" coordsize="21600,21600">
                  <v:path/>
                  <v:fill on="f" focussize="0,0"/>
                  <v:stroke on="f" joinstyle="miter"/>
                  <v:imagedata r:id="rId33" o:title=""/>
                  <o:lock v:ext="edit" aspectratio="t"/>
                  <w10:wrap type="none"/>
                  <w10:anchorlock/>
                </v:shape>
                <o:OLEObject Type="Embed" ProgID="Equation.3" ShapeID="_x0000_i1179" DrawAspect="Content" ObjectID="_1468075743" r:id="rId46">
                  <o:LockedField>false</o:LockedField>
                </o:OLEObject>
              </w:object>
            </w:r>
            <w:r>
              <w:rPr>
                <w:rFonts w:hint="default" w:ascii="Times New Roman" w:hAnsi="Times New Roman" w:eastAsia="宋体" w:cs="Times New Roman"/>
                <w:sz w:val="15"/>
                <w:szCs w:val="15"/>
              </w:rPr>
              <w:t xml:space="preserve">—g， </w:t>
            </w:r>
            <w:r>
              <w:rPr>
                <w:rFonts w:hint="default" w:ascii="Times New Roman" w:hAnsi="Times New Roman" w:eastAsia="宋体" w:cs="Times New Roman"/>
                <w:position w:val="-10"/>
                <w:sz w:val="15"/>
                <w:szCs w:val="15"/>
              </w:rPr>
              <w:object>
                <v:shape id="_x0000_i1180" o:spt="75" type="#_x0000_t75" style="height:17.05pt;width:16.6pt;" o:ole="t" filled="f" o:preferrelative="t" stroked="f" coordsize="21600,21600">
                  <v:path/>
                  <v:fill on="f" focussize="0,0"/>
                  <v:stroke on="f" joinstyle="miter"/>
                  <v:imagedata r:id="rId39" o:title=""/>
                  <o:lock v:ext="edit" aspectratio="t"/>
                  <w10:wrap type="none"/>
                  <w10:anchorlock/>
                </v:shape>
                <o:OLEObject Type="Embed" ProgID="Equation.3" ShapeID="_x0000_i1180" DrawAspect="Content" ObjectID="_1468075744" r:id="rId47">
                  <o:LockedField>false</o:LockedField>
                </o:OLEObject>
              </w:object>
            </w:r>
          </w:p>
        </w:tc>
        <w:tc>
          <w:tcPr>
            <w:tcW w:w="2031" w:type="dxa"/>
          </w:tcPr>
          <w:p w14:paraId="4773C95B">
            <w:pPr>
              <w:autoSpaceDE w:val="0"/>
              <w:autoSpaceDN w:val="0"/>
              <w:spacing w:line="300" w:lineRule="auto"/>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position w:val="-10"/>
                <w:sz w:val="15"/>
                <w:szCs w:val="15"/>
              </w:rPr>
              <w:object>
                <v:shape id="_x0000_i1181" o:spt="75" type="#_x0000_t75" style="height:17.05pt;width:18.75pt;" o:ole="t" filled="f" o:preferrelative="t" stroked="f" coordsize="21600,21600">
                  <v:path/>
                  <v:fill on="f" focussize="0,0"/>
                  <v:stroke on="f" joinstyle="miter"/>
                  <v:imagedata r:id="rId35" o:title=""/>
                  <o:lock v:ext="edit" aspectratio="t"/>
                  <w10:wrap type="none"/>
                  <w10:anchorlock/>
                </v:shape>
                <o:OLEObject Type="Embed" ProgID="Equation.3" ShapeID="_x0000_i1181" DrawAspect="Content" ObjectID="_1468075745" r:id="rId48">
                  <o:LockedField>false</o:LockedField>
                </o:OLEObject>
              </w:object>
            </w:r>
            <w:r>
              <w:rPr>
                <w:rFonts w:hint="default" w:ascii="Times New Roman" w:hAnsi="Times New Roman" w:eastAsia="宋体" w:cs="Times New Roman"/>
                <w:sz w:val="15"/>
                <w:szCs w:val="15"/>
              </w:rPr>
              <w:t>—g，</w:t>
            </w:r>
            <w:r>
              <w:rPr>
                <w:rFonts w:hint="default" w:ascii="Times New Roman" w:hAnsi="Times New Roman" w:eastAsia="宋体" w:cs="Times New Roman"/>
                <w:position w:val="-10"/>
                <w:sz w:val="15"/>
                <w:szCs w:val="15"/>
              </w:rPr>
              <w:object>
                <v:shape id="_x0000_i1182" o:spt="75" type="#_x0000_t75" style="height:17.05pt;width:16.6pt;" o:ole="t" filled="f" o:preferrelative="t" stroked="f" coordsize="21600,21600">
                  <v:path/>
                  <v:fill on="f" focussize="0,0"/>
                  <v:stroke on="f" joinstyle="miter"/>
                  <v:imagedata r:id="rId39" o:title=""/>
                  <o:lock v:ext="edit" aspectratio="t"/>
                  <w10:wrap type="none"/>
                  <w10:anchorlock/>
                </v:shape>
                <o:OLEObject Type="Embed" ProgID="Equation.3" ShapeID="_x0000_i1182" DrawAspect="Content" ObjectID="_1468075746" r:id="rId49">
                  <o:LockedField>false</o:LockedField>
                </o:OLEObject>
              </w:object>
            </w:r>
            <w:r>
              <w:rPr>
                <w:rFonts w:hint="default" w:ascii="Times New Roman" w:hAnsi="Times New Roman" w:eastAsia="宋体" w:cs="Times New Roman"/>
                <w:sz w:val="15"/>
                <w:szCs w:val="15"/>
              </w:rPr>
              <w:t>—</w:t>
            </w:r>
            <w:r>
              <w:rPr>
                <w:rFonts w:hint="default" w:ascii="Times New Roman" w:hAnsi="Times New Roman" w:eastAsia="宋体" w:cs="Times New Roman"/>
                <w:position w:val="-10"/>
                <w:sz w:val="15"/>
                <w:szCs w:val="15"/>
              </w:rPr>
              <w:object>
                <v:shape id="_x0000_i1183" o:spt="75" type="#_x0000_t75" style="height:17.05pt;width:18.75pt;" o:ole="t" filled="f" o:preferrelative="t" stroked="f" coordsize="21600,21600">
                  <v:path/>
                  <v:fill on="f" focussize="0,0"/>
                  <v:stroke on="f" joinstyle="miter"/>
                  <v:imagedata r:id="rId35" o:title=""/>
                  <o:lock v:ext="edit" aspectratio="t"/>
                  <w10:wrap type="none"/>
                  <w10:anchorlock/>
                </v:shape>
                <o:OLEObject Type="Embed" ProgID="Equation.3" ShapeID="_x0000_i1183" DrawAspect="Content" ObjectID="_1468075747" r:id="rId50">
                  <o:LockedField>false</o:LockedField>
                </o:OLEObject>
              </w:object>
            </w:r>
          </w:p>
        </w:tc>
      </w:tr>
    </w:tbl>
    <w:p w14:paraId="0A44A138">
      <w:pPr>
        <w:spacing w:line="300" w:lineRule="auto"/>
        <w:ind w:firstLine="300" w:firstLineChars="200"/>
        <w:rPr>
          <w:rFonts w:hint="default" w:ascii="Times New Roman" w:hAnsi="Times New Roman" w:eastAsia="宋体" w:cs="Times New Roman"/>
          <w:sz w:val="15"/>
          <w:szCs w:val="15"/>
        </w:rPr>
      </w:pPr>
    </w:p>
    <w:p w14:paraId="4F0822FE">
      <w:pPr>
        <w:spacing w:line="300" w:lineRule="auto"/>
        <w:ind w:firstLine="300" w:firstLineChars="200"/>
        <w:rPr>
          <w:rFonts w:hint="default" w:ascii="Times New Roman" w:hAnsi="Times New Roman" w:eastAsia="宋体" w:cs="Times New Roman"/>
          <w:sz w:val="15"/>
          <w:szCs w:val="15"/>
        </w:rPr>
      </w:pPr>
    </w:p>
    <w:p w14:paraId="4184717C">
      <w:pPr>
        <w:spacing w:line="300" w:lineRule="auto"/>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经营者</w:t>
      </w:r>
    </w:p>
    <w:p w14:paraId="6074ABF9">
      <w:pPr>
        <w:spacing w:line="300" w:lineRule="auto"/>
        <w:ind w:firstLine="300" w:firstLineChars="200"/>
        <w:rPr>
          <w:rFonts w:hint="default" w:ascii="Times New Roman" w:hAnsi="Times New Roman" w:eastAsia="宋体" w:cs="Times New Roman"/>
          <w:sz w:val="15"/>
          <w:szCs w:val="15"/>
        </w:rPr>
      </w:pPr>
    </w:p>
    <w:p w14:paraId="45A4A016">
      <w:pPr>
        <w:spacing w:line="300" w:lineRule="auto"/>
        <w:ind w:firstLine="300" w:firstLineChars="200"/>
        <w:rPr>
          <w:rFonts w:hint="default" w:ascii="Times New Roman" w:hAnsi="Times New Roman" w:eastAsia="宋体" w:cs="Times New Roman"/>
          <w:sz w:val="15"/>
          <w:szCs w:val="15"/>
        </w:rPr>
      </w:pPr>
    </w:p>
    <w:p w14:paraId="1FCFF024">
      <w:pPr>
        <w:spacing w:line="300" w:lineRule="auto"/>
        <w:ind w:firstLine="420" w:firstLineChars="200"/>
        <w:rPr>
          <w:rFonts w:hint="default" w:ascii="Times New Roman" w:hAnsi="Times New Roman" w:eastAsia="宋体" w:cs="Times New Roman"/>
          <w:szCs w:val="21"/>
        </w:rPr>
      </w:pPr>
    </w:p>
    <w:p w14:paraId="55E5F61E">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 xml:space="preserve">             </w:t>
      </w:r>
    </w:p>
    <w:p w14:paraId="642366D8">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hint="default" w:ascii="Times New Roman" w:hAnsi="Times New Roman" w:eastAsia="宋体" w:cs="Times New Roman"/>
          <w:szCs w:val="21"/>
        </w:rPr>
      </w:pPr>
    </w:p>
    <w:p w14:paraId="44B739B6">
      <w:pPr>
        <w:keepNext w:val="0"/>
        <w:keepLines w:val="0"/>
        <w:pageBreakBefore w:val="0"/>
        <w:widowControl w:val="0"/>
        <w:kinsoku/>
        <w:wordWrap/>
        <w:overflowPunct/>
        <w:topLinePunct w:val="0"/>
        <w:autoSpaceDE/>
        <w:autoSpaceDN/>
        <w:bidi w:val="0"/>
        <w:adjustRightInd/>
        <w:snapToGrid/>
        <w:spacing w:line="400" w:lineRule="exact"/>
        <w:ind w:firstLine="420" w:firstLineChars="200"/>
        <w:jc w:val="left"/>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显然，如果是一次静态博弈，由于低努力是经营者的占优策略，因此该博弈的纳什均衡解为（低努力，低工资）。可以合理地假设</w:t>
      </w:r>
      <w:r>
        <w:rPr>
          <w:rFonts w:hint="default" w:ascii="Times New Roman" w:hAnsi="Times New Roman" w:eastAsia="宋体" w:cs="Times New Roman"/>
          <w:szCs w:val="21"/>
        </w:rPr>
        <w:object>
          <v:shape id="_x0000_i1184" o:spt="75" type="#_x0000_t75" style="height:17.05pt;width:18.75pt;" o:ole="t" filled="f" o:preferrelative="t" stroked="f" coordsize="21600,21600">
            <v:path/>
            <v:fill on="f" focussize="0,0"/>
            <v:stroke on="f" joinstyle="miter"/>
            <v:imagedata r:id="rId35" o:title=""/>
            <o:lock v:ext="edit" aspectratio="t"/>
            <w10:wrap type="none"/>
            <w10:anchorlock/>
          </v:shape>
          <o:OLEObject Type="Embed" ProgID="Equation.3" ShapeID="_x0000_i1184" DrawAspect="Content" ObjectID="_1468075748" r:id="rId51">
            <o:LockedField>false</o:LockedField>
          </o:OLEObject>
        </w:object>
      </w:r>
      <w:r>
        <w:rPr>
          <w:rFonts w:hint="default" w:ascii="Times New Roman" w:hAnsi="Times New Roman" w:eastAsia="宋体" w:cs="Times New Roman"/>
          <w:szCs w:val="21"/>
        </w:rPr>
        <w:t>—g &gt;</w:t>
      </w:r>
      <w:r>
        <w:rPr>
          <w:rFonts w:hint="default" w:ascii="Times New Roman" w:hAnsi="Times New Roman" w:eastAsia="宋体" w:cs="Times New Roman"/>
          <w:szCs w:val="21"/>
        </w:rPr>
        <w:object>
          <v:shape id="_x0000_i1185" o:spt="75" type="#_x0000_t75" style="height:17.05pt;width:17.05pt;" o:ole="t" filled="f" o:preferrelative="t" stroked="f" coordsize="21600,21600">
            <v:path/>
            <v:fill on="f" focussize="0,0"/>
            <v:stroke on="f" joinstyle="miter"/>
            <v:imagedata r:id="rId33" o:title=""/>
            <o:lock v:ext="edit" aspectratio="t"/>
            <w10:wrap type="none"/>
            <w10:anchorlock/>
          </v:shape>
          <o:OLEObject Type="Embed" ProgID="Equation.3" ShapeID="_x0000_i1185" DrawAspect="Content" ObjectID="_1468075749" r:id="rId52">
            <o:LockedField>false</o:LockedField>
          </o:OLEObject>
        </w:object>
      </w:r>
      <w:r>
        <w:rPr>
          <w:rFonts w:hint="default" w:ascii="Times New Roman" w:hAnsi="Times New Roman" w:eastAsia="宋体" w:cs="Times New Roman"/>
          <w:szCs w:val="21"/>
        </w:rPr>
        <w:t>，表示尽管有所花费，高工资毕竟比低收入多；再假定</w:t>
      </w:r>
      <w:r>
        <w:rPr>
          <w:rFonts w:hint="default" w:ascii="Times New Roman" w:hAnsi="Times New Roman" w:eastAsia="宋体" w:cs="Times New Roman"/>
          <w:szCs w:val="21"/>
        </w:rPr>
        <w:object>
          <v:shape id="_x0000_i1186" o:spt="75" type="#_x0000_t75" style="height:17.05pt;width:16.6pt;" o:ole="t" filled="f" o:preferrelative="t" stroked="f" coordsize="21600,21600">
            <v:path/>
            <v:fill on="f" focussize="0,0"/>
            <v:stroke on="f" joinstyle="miter"/>
            <v:imagedata r:id="rId39" o:title=""/>
            <o:lock v:ext="edit" aspectratio="t"/>
            <w10:wrap type="none"/>
            <w10:anchorlock/>
          </v:shape>
          <o:OLEObject Type="Embed" ProgID="Equation.3" ShapeID="_x0000_i1186" DrawAspect="Content" ObjectID="_1468075750" r:id="rId53">
            <o:LockedField>false</o:LockedField>
          </o:OLEObject>
        </w:object>
      </w:r>
      <w:r>
        <w:rPr>
          <w:rFonts w:hint="default" w:ascii="Times New Roman" w:hAnsi="Times New Roman" w:eastAsia="宋体" w:cs="Times New Roman"/>
          <w:szCs w:val="21"/>
        </w:rPr>
        <w:t>—</w:t>
      </w:r>
      <w:r>
        <w:rPr>
          <w:rFonts w:hint="default" w:ascii="Times New Roman" w:hAnsi="Times New Roman" w:eastAsia="宋体" w:cs="Times New Roman"/>
          <w:szCs w:val="21"/>
        </w:rPr>
        <w:object>
          <v:shape id="_x0000_i1187" o:spt="75" type="#_x0000_t75" style="height:17.05pt;width:18.75pt;" o:ole="t" filled="f" o:preferrelative="t" stroked="f" coordsize="21600,21600">
            <v:path/>
            <v:fill on="f" focussize="0,0"/>
            <v:stroke on="f" joinstyle="miter"/>
            <v:imagedata r:id="rId35" o:title=""/>
            <o:lock v:ext="edit" aspectratio="t"/>
            <w10:wrap type="none"/>
            <w10:anchorlock/>
          </v:shape>
          <o:OLEObject Type="Embed" ProgID="Equation.3" ShapeID="_x0000_i1187" DrawAspect="Content" ObjectID="_1468075751" r:id="rId54">
            <o:LockedField>false</o:LockedField>
          </o:OLEObject>
        </w:object>
      </w:r>
      <w:r>
        <w:rPr>
          <w:rFonts w:hint="default" w:ascii="Times New Roman" w:hAnsi="Times New Roman" w:eastAsia="宋体" w:cs="Times New Roman"/>
          <w:szCs w:val="21"/>
        </w:rPr>
        <w:t xml:space="preserve"> &gt;</w:t>
      </w:r>
      <w:r>
        <w:rPr>
          <w:rFonts w:hint="default" w:ascii="Times New Roman" w:hAnsi="Times New Roman" w:eastAsia="宋体" w:cs="Times New Roman"/>
          <w:szCs w:val="21"/>
        </w:rPr>
        <w:object>
          <v:shape id="_x0000_i1188" o:spt="75" type="#_x0000_t75" style="height:17.05pt;width:17.05pt;" o:ole="t" filled="f" o:preferrelative="t" stroked="f" coordsize="21600,21600">
            <v:path/>
            <v:fill on="f" focussize="0,0"/>
            <v:stroke on="f" joinstyle="miter"/>
            <v:imagedata r:id="rId37" o:title=""/>
            <o:lock v:ext="edit" aspectratio="t"/>
            <w10:wrap type="none"/>
            <w10:anchorlock/>
          </v:shape>
          <o:OLEObject Type="Embed" ProgID="Equation.3" ShapeID="_x0000_i1188" DrawAspect="Content" ObjectID="_1468075752" r:id="rId55">
            <o:LockedField>false</o:LockedField>
          </o:OLEObject>
        </w:object>
      </w:r>
      <w:r>
        <w:rPr>
          <w:rFonts w:hint="default" w:ascii="Times New Roman" w:hAnsi="Times New Roman" w:eastAsia="宋体" w:cs="Times New Roman"/>
          <w:szCs w:val="21"/>
        </w:rPr>
        <w:t>—</w:t>
      </w:r>
      <w:r>
        <w:rPr>
          <w:rFonts w:hint="default" w:ascii="Times New Roman" w:hAnsi="Times New Roman" w:eastAsia="宋体" w:cs="Times New Roman"/>
          <w:szCs w:val="21"/>
        </w:rPr>
        <w:object>
          <v:shape id="_x0000_i1189" o:spt="75" type="#_x0000_t75" style="height:17.05pt;width:17.05pt;" o:ole="t" filled="f" o:preferrelative="t" stroked="f" coordsize="21600,21600">
            <v:path/>
            <v:fill on="f" focussize="0,0"/>
            <v:stroke on="f" joinstyle="miter"/>
            <v:imagedata r:id="rId33" o:title=""/>
            <o:lock v:ext="edit" aspectratio="t"/>
            <w10:wrap type="none"/>
            <w10:anchorlock/>
          </v:shape>
          <o:OLEObject Type="Embed" ProgID="Equation.3" ShapeID="_x0000_i1189" DrawAspect="Content" ObjectID="_1468075753" r:id="rId56">
            <o:LockedField>false</o:LockedField>
          </o:OLEObject>
        </w:object>
      </w:r>
      <w:r>
        <w:rPr>
          <w:rFonts w:hint="default" w:ascii="Times New Roman" w:hAnsi="Times New Roman" w:eastAsia="宋体" w:cs="Times New Roman"/>
          <w:szCs w:val="21"/>
        </w:rPr>
        <w:t>，表示所有者宁可付出高工资，以换取较高盈利。于是，（高努力，高工资）其实是正则型博弈的帕累托最优。但是在一次性博弈中很可惜地不能达到。由后退归纳法知，即使在有限次博弈中，其纳什均衡解也应该是一连串{（低努力，低工资）}。不过倘若考虑到所有者与经营者之间的关系是长期的重复博弈，那么，除了{（低努力，低工资），（低努力，低工资），……}这个纳什解外，还存在着另一个均衡，就是所谓的触发策略：</w:t>
      </w:r>
    </w:p>
    <w:p w14:paraId="633952C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在第一个周期，所有者采取行动“高工资”，经营者选择行动“高努力”；在以后任何一个周期，只要不发生任何一个局队偏离“高努力，高工资”策略，那么就一直取该策略。否则，若在某一周期发生局中人单方面偏离的话，则转向（低努力，低工资），并一直延续下去。</w:t>
      </w:r>
    </w:p>
    <w:p w14:paraId="2FB73C5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触发策略告诉我们一系列的{（高努力，高工资），（高努力，高工资），……}的可能性。其实，由于市场竞争所带来的压力，或者由于习惯、习俗等方面的原因，预测出现对双方有利的均衡的可能性极大。</w:t>
      </w:r>
    </w:p>
    <w:p w14:paraId="0E033B5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影响经营者努力水平的一个重要机制是市场压力。首先，对经理偷懒行为的约束依赖于来自企业内部试图取代现管理阶层的成员的竞争。同时，经营者之间还存在监督。因为每个经营者的边际产品都是其他经营者边际产品的增函数，因此，在团队生产中，每个经营者都关心其上面和下面的经营者的业绩。从另一方面说，每个经营者也就受到其他经营者的一定程度的监督（Fama，1980）。</w:t>
      </w:r>
    </w:p>
    <w:p w14:paraId="1EACD66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其次，还受到其他经理团体的市场竞争。由于市场是根据经营者过去的表现来对他未知的能力作出估计。当一个经理把企业搞得一塌糊涂时，在经理市场上他的个人资本就会贬值（Fama，1980）。这样，由于害怕市场对其作出不利的判断，为了长远利益考虑，经营者也会努力工作（Holmlstrom，1982）。</w:t>
      </w:r>
    </w:p>
    <w:p w14:paraId="052035C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其三，还受到企业被接收、吞并的威胁。市场上购买股票的投票权的争夺战，往往导致现管理阶层的撤换。</w:t>
      </w:r>
    </w:p>
    <w:p w14:paraId="0A6EF76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在另一方面，在一个企业中，由于较高层的人员怠工，他下面所有人员都会怠工，损失就较大。因此，即使每个人的努力状况都一样，所有者也会给予职位越高的人越高的收入（Calvoand Wellisz，1979）。西方的比赛理论也认为，在企业中最优的工资分配应具有如下特征：由于越往上，上升的机会越小，就必须提高奖励，才有足够的刺激，因此，越高的职位，工资差距越大（Rosen，1986）。</w:t>
      </w:r>
    </w:p>
    <w:p w14:paraId="5160E4E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可见，在信息完全但不完美的情况下，所有者和经营者一般会达到（高工资，高创造价值）均衡。</w:t>
      </w:r>
    </w:p>
    <w:p w14:paraId="7242004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另外一点，正是由于所有者对经营者的努力程度具有不完美信息，就又存在了这样的可能性：经营者在获取“高工资”的同时，未必付出“特别高的努力程度”，这就有可能减少自己“受剥削”的程度。</w:t>
      </w:r>
    </w:p>
    <w:p w14:paraId="1031ED3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命题4：当所有者和经营者职能分开，所有者对经营者具有完全但不完美信息时，经营者的收入一般会高于劳动力价值，但低于其创造的全部价值。</w:t>
      </w:r>
    </w:p>
    <w:p w14:paraId="7CB2CB9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4．所有权和经营权分开，博弈具有不完全信息，且不存在合谋行为。在现代生活中，所有者与经营者职能分开已是有目共睹的事实。众所周知，经营者所创造的价值不仅与他的努力程度有关，而且与他自身的能力有密切的关系。不妨假设经营者可划分为两种类型：高能力型和低能力型。有时候，尤其是刚聘用经营者时，所有者常常不清楚经营者属于何种类型。这成为所有者对经营者的有关信息是不完全的。在博弈理论中，我们通常认为经营者的类型是由“自然”指定的，同时我们也可合理地假设，所有者可以观察到经营者的努力程度。于是，目前的情况可以用下述博弈树进行描述，其中，“自然”用字母N表示，局中人l表示经营者，局中人2表示所有者，以[P]表示高能力，其中的P为经营者具有高能力的概率；[1-P]表示低能力，也即存在1-P的概率所聘用的经营者属于低能力。“低”、“高”分别表示“低努力程度”与“高努力程度”。</w:t>
      </w:r>
    </w:p>
    <w:p w14:paraId="3DF06430">
      <w:pPr>
        <w:spacing w:line="300" w:lineRule="auto"/>
        <w:ind w:firstLine="420" w:firstLineChars="200"/>
        <w:rPr>
          <w:rFonts w:hint="default" w:ascii="Times New Roman" w:hAnsi="Times New Roman" w:eastAsia="宋体" w:cs="Times New Roman"/>
          <w:szCs w:val="21"/>
        </w:rPr>
      </w:pPr>
      <w:r>
        <w:rPr>
          <w:rFonts w:hint="default" w:ascii="Times New Roman" w:hAnsi="Times New Roman" w:cs="Times New Roman"/>
        </w:rPr>
        <mc:AlternateContent>
          <mc:Choice Requires="wpg">
            <w:drawing>
              <wp:inline distT="0" distB="0" distL="0" distR="0">
                <wp:extent cx="5013325" cy="1991995"/>
                <wp:effectExtent l="0" t="0" r="15875" b="14605"/>
                <wp:docPr id="58" name="组合 58"/>
                <wp:cNvGraphicFramePr/>
                <a:graphic xmlns:a="http://schemas.openxmlformats.org/drawingml/2006/main">
                  <a:graphicData uri="http://schemas.microsoft.com/office/word/2010/wordprocessingGroup">
                    <wpg:wgp>
                      <wpg:cNvGrpSpPr/>
                      <wpg:grpSpPr>
                        <a:xfrm>
                          <a:off x="0" y="0"/>
                          <a:ext cx="5013325" cy="1991995"/>
                          <a:chOff x="1803" y="8415"/>
                          <a:chExt cx="7988" cy="2220"/>
                        </a:xfrm>
                      </wpg:grpSpPr>
                      <wps:wsp>
                        <wps:cNvPr id="487" name="文本框 24"/>
                        <wps:cNvSpPr txBox="1">
                          <a:spLocks noChangeArrowheads="1"/>
                        </wps:cNvSpPr>
                        <wps:spPr bwMode="auto">
                          <a:xfrm>
                            <a:off x="1803" y="9989"/>
                            <a:ext cx="804" cy="456"/>
                          </a:xfrm>
                          <a:prstGeom prst="rect">
                            <a:avLst/>
                          </a:prstGeom>
                          <a:solidFill>
                            <a:srgbClr val="FFFFFF"/>
                          </a:solidFill>
                          <a:ln>
                            <a:noFill/>
                          </a:ln>
                        </wps:spPr>
                        <wps:txbx>
                          <w:txbxContent>
                            <w:p w14:paraId="238547B1">
                              <w:r>
                                <w:rPr>
                                  <w:position w:val="-10"/>
                                </w:rPr>
                                <w:object>
                                  <v:shape id="_x0000_i1190" o:spt="75" type="#_x0000_t75" style="height:14.9pt;width:17.05pt;" o:ole="t" filled="f" o:preferrelative="t" stroked="f" coordsize="21600,21600">
                                    <v:path/>
                                    <v:fill on="f" focussize="0,0"/>
                                    <v:stroke on="f" joinstyle="miter"/>
                                    <v:imagedata r:id="rId58" o:title=""/>
                                    <o:lock v:ext="edit" aspectratio="t"/>
                                    <w10:wrap type="none"/>
                                    <w10:anchorlock/>
                                  </v:shape>
                                  <o:OLEObject Type="Embed" ProgID="Equation.3" ShapeID="_x0000_i1190" DrawAspect="Content" ObjectID="_1468075754" r:id="rId57">
                                    <o:LockedField>false</o:LockedField>
                                  </o:OLEObject>
                                </w:object>
                              </w:r>
                            </w:p>
                          </w:txbxContent>
                        </wps:txbx>
                        <wps:bodyPr rot="0" vert="horz" wrap="square" lIns="91440" tIns="45720" rIns="91440" bIns="45720" anchor="t" anchorCtr="0" upright="1">
                          <a:noAutofit/>
                        </wps:bodyPr>
                      </wps:wsp>
                      <wpg:grpSp>
                        <wpg:cNvPr id="59" name="组合 25"/>
                        <wpg:cNvGrpSpPr/>
                        <wpg:grpSpPr>
                          <a:xfrm>
                            <a:off x="1935" y="8415"/>
                            <a:ext cx="7856" cy="2220"/>
                            <a:chOff x="1935" y="8415"/>
                            <a:chExt cx="7856" cy="2220"/>
                          </a:xfrm>
                        </wpg:grpSpPr>
                        <wps:wsp>
                          <wps:cNvPr id="489" name="文本框 26"/>
                          <wps:cNvSpPr txBox="1">
                            <a:spLocks noChangeArrowheads="1"/>
                          </wps:cNvSpPr>
                          <wps:spPr bwMode="auto">
                            <a:xfrm>
                              <a:off x="2685" y="10065"/>
                              <a:ext cx="555" cy="570"/>
                            </a:xfrm>
                            <a:prstGeom prst="rect">
                              <a:avLst/>
                            </a:prstGeom>
                            <a:solidFill>
                              <a:srgbClr val="FFFFFF"/>
                            </a:solidFill>
                            <a:ln>
                              <a:noFill/>
                            </a:ln>
                          </wps:spPr>
                          <wps:txbx>
                            <w:txbxContent>
                              <w:p w14:paraId="306EEF61">
                                <w:r>
                                  <w:rPr>
                                    <w:position w:val="-10"/>
                                  </w:rPr>
                                  <w:object>
                                    <v:shape id="_x0000_i1191" o:spt="75" type="#_x0000_t75" style="height:14.9pt;width:14.9pt;" o:ole="t" filled="f" o:preferrelative="t" stroked="f" coordsize="21600,21600">
                                      <v:path/>
                                      <v:fill on="f" focussize="0,0"/>
                                      <v:stroke on="f" joinstyle="miter"/>
                                      <v:imagedata r:id="rId33" o:title=""/>
                                      <o:lock v:ext="edit" aspectratio="t"/>
                                      <w10:wrap type="none"/>
                                      <w10:anchorlock/>
                                    </v:shape>
                                    <o:OLEObject Type="Embed" ProgID="Equation.3" ShapeID="_x0000_i1191" DrawAspect="Content" ObjectID="_1468075755" r:id="rId59">
                                      <o:LockedField>false</o:LockedField>
                                    </o:OLEObject>
                                  </w:object>
                                </w:r>
                              </w:p>
                            </w:txbxContent>
                          </wps:txbx>
                          <wps:bodyPr rot="0" vert="horz" wrap="square" lIns="91440" tIns="45720" rIns="91440" bIns="45720" anchor="t" anchorCtr="0" upright="1">
                            <a:noAutofit/>
                          </wps:bodyPr>
                        </wps:wsp>
                        <wpg:grpSp>
                          <wpg:cNvPr id="60" name="组合 27"/>
                          <wpg:cNvGrpSpPr/>
                          <wpg:grpSpPr>
                            <a:xfrm>
                              <a:off x="1935" y="8415"/>
                              <a:ext cx="7856" cy="2030"/>
                              <a:chOff x="1935" y="8415"/>
                              <a:chExt cx="7856" cy="2030"/>
                            </a:xfrm>
                          </wpg:grpSpPr>
                          <wps:wsp>
                            <wps:cNvPr id="491" name="文本框 28"/>
                            <wps:cNvSpPr txBox="1">
                              <a:spLocks noChangeArrowheads="1"/>
                            </wps:cNvSpPr>
                            <wps:spPr bwMode="auto">
                              <a:xfrm>
                                <a:off x="3397" y="9989"/>
                                <a:ext cx="804" cy="456"/>
                              </a:xfrm>
                              <a:prstGeom prst="rect">
                                <a:avLst/>
                              </a:prstGeom>
                              <a:solidFill>
                                <a:srgbClr val="FFFFFF"/>
                              </a:solidFill>
                              <a:ln>
                                <a:noFill/>
                              </a:ln>
                            </wps:spPr>
                            <wps:txbx>
                              <w:txbxContent>
                                <w:p w14:paraId="1D7C53C6">
                                  <w:r>
                                    <w:rPr>
                                      <w:position w:val="-10"/>
                                    </w:rPr>
                                    <w:object>
                                      <v:shape id="_x0000_i1192" o:spt="75" type="#_x0000_t75" style="height:14.9pt;width:17.05pt;" o:ole="t" filled="f" o:preferrelative="t" stroked="f" coordsize="21600,21600">
                                        <v:path/>
                                        <v:fill on="f" focussize="0,0"/>
                                        <v:stroke on="f" joinstyle="miter"/>
                                        <v:imagedata r:id="rId61" o:title=""/>
                                        <o:lock v:ext="edit" aspectratio="t"/>
                                        <w10:wrap type="none"/>
                                        <w10:anchorlock/>
                                      </v:shape>
                                      <o:OLEObject Type="Embed" ProgID="Equation.3" ShapeID="_x0000_i1192" DrawAspect="Content" ObjectID="_1468075756" r:id="rId60">
                                        <o:LockedField>false</o:LockedField>
                                      </o:OLEObject>
                                    </w:object>
                                  </w:r>
                                </w:p>
                              </w:txbxContent>
                            </wps:txbx>
                            <wps:bodyPr rot="0" vert="horz" wrap="square" lIns="91440" tIns="45720" rIns="91440" bIns="45720" anchor="t" anchorCtr="0" upright="1">
                              <a:noAutofit/>
                            </wps:bodyPr>
                          </wps:wsp>
                          <wpg:grpSp>
                            <wpg:cNvPr id="61" name="组合 29"/>
                            <wpg:cNvGrpSpPr/>
                            <wpg:grpSpPr>
                              <a:xfrm>
                                <a:off x="1935" y="8415"/>
                                <a:ext cx="7856" cy="2030"/>
                                <a:chOff x="1935" y="8415"/>
                                <a:chExt cx="7856" cy="2030"/>
                              </a:xfrm>
                            </wpg:grpSpPr>
                            <wps:wsp>
                              <wps:cNvPr id="493" name="文本框 30"/>
                              <wps:cNvSpPr txBox="1">
                                <a:spLocks noChangeArrowheads="1"/>
                              </wps:cNvSpPr>
                              <wps:spPr bwMode="auto">
                                <a:xfrm>
                                  <a:off x="4219" y="9989"/>
                                  <a:ext cx="757" cy="456"/>
                                </a:xfrm>
                                <a:prstGeom prst="rect">
                                  <a:avLst/>
                                </a:prstGeom>
                                <a:solidFill>
                                  <a:srgbClr val="FFFFFF"/>
                                </a:solidFill>
                                <a:ln>
                                  <a:noFill/>
                                </a:ln>
                              </wps:spPr>
                              <wps:txbx>
                                <w:txbxContent>
                                  <w:p w14:paraId="7548B6F0">
                                    <w:r>
                                      <w:rPr>
                                        <w:position w:val="-10"/>
                                      </w:rPr>
                                      <w:object>
                                        <v:shape id="_x0000_i1193" o:spt="75" type="#_x0000_t75" style="height:14.9pt;width:14.9pt;" o:ole="t" filled="f" o:preferrelative="t" stroked="f" coordsize="21600,21600">
                                          <v:path/>
                                          <v:fill on="f" focussize="0,0"/>
                                          <v:stroke on="f" joinstyle="miter"/>
                                          <v:imagedata r:id="rId33" o:title=""/>
                                          <o:lock v:ext="edit" aspectratio="t"/>
                                          <w10:wrap type="none"/>
                                          <w10:anchorlock/>
                                        </v:shape>
                                        <o:OLEObject Type="Embed" ProgID="Equation.3" ShapeID="_x0000_i1193" DrawAspect="Content" ObjectID="_1468075757" r:id="rId62">
                                          <o:LockedField>false</o:LockedField>
                                        </o:OLEObject>
                                      </w:object>
                                    </w:r>
                                  </w:p>
                                </w:txbxContent>
                              </wps:txbx>
                              <wps:bodyPr rot="0" vert="horz" wrap="square" lIns="91440" tIns="45720" rIns="91440" bIns="45720" anchor="t" anchorCtr="0" upright="1">
                                <a:noAutofit/>
                              </wps:bodyPr>
                            </wps:wsp>
                            <wpg:grpSp>
                              <wpg:cNvPr id="62" name="组合 31"/>
                              <wpg:cNvGrpSpPr/>
                              <wpg:grpSpPr>
                                <a:xfrm>
                                  <a:off x="1935" y="8415"/>
                                  <a:ext cx="7856" cy="2030"/>
                                  <a:chOff x="1935" y="8415"/>
                                  <a:chExt cx="7856" cy="2030"/>
                                </a:xfrm>
                              </wpg:grpSpPr>
                              <wps:wsp>
                                <wps:cNvPr id="495" name="文本框 32"/>
                                <wps:cNvSpPr txBox="1">
                                  <a:spLocks noChangeArrowheads="1"/>
                                </wps:cNvSpPr>
                                <wps:spPr bwMode="auto">
                                  <a:xfrm>
                                    <a:off x="4713" y="9989"/>
                                    <a:ext cx="804" cy="456"/>
                                  </a:xfrm>
                                  <a:prstGeom prst="rect">
                                    <a:avLst/>
                                  </a:prstGeom>
                                  <a:solidFill>
                                    <a:srgbClr val="FFFFFF"/>
                                  </a:solidFill>
                                  <a:ln>
                                    <a:noFill/>
                                  </a:ln>
                                </wps:spPr>
                                <wps:txbx>
                                  <w:txbxContent>
                                    <w:p w14:paraId="02CACDB4">
                                      <w:r>
                                        <w:rPr>
                                          <w:position w:val="-10"/>
                                        </w:rPr>
                                        <w:object>
                                          <v:shape id="_x0000_i1194" o:spt="75" type="#_x0000_t75" style="height:14.9pt;width:17.05pt;" o:ole="t" filled="f" o:preferrelative="t" stroked="f" coordsize="21600,21600">
                                            <v:path/>
                                            <v:fill on="f" focussize="0,0"/>
                                            <v:stroke on="f" joinstyle="miter"/>
                                            <v:imagedata r:id="rId58" o:title=""/>
                                            <o:lock v:ext="edit" aspectratio="t"/>
                                            <w10:wrap type="none"/>
                                            <w10:anchorlock/>
                                          </v:shape>
                                          <o:OLEObject Type="Embed" ProgID="Equation.3" ShapeID="_x0000_i1194" DrawAspect="Content" ObjectID="_1468075758" r:id="rId63">
                                            <o:LockedField>false</o:LockedField>
                                          </o:OLEObject>
                                        </w:object>
                                      </w:r>
                                    </w:p>
                                  </w:txbxContent>
                                </wps:txbx>
                                <wps:bodyPr rot="0" vert="horz" wrap="square" lIns="91440" tIns="45720" rIns="91440" bIns="45720" anchor="t" anchorCtr="0" upright="1">
                                  <a:noAutofit/>
                                </wps:bodyPr>
                              </wps:wsp>
                              <wpg:grpSp>
                                <wpg:cNvPr id="63" name="组合 33"/>
                                <wpg:cNvGrpSpPr/>
                                <wpg:grpSpPr>
                                  <a:xfrm>
                                    <a:off x="1935" y="8415"/>
                                    <a:ext cx="7856" cy="2030"/>
                                    <a:chOff x="1935" y="8415"/>
                                    <a:chExt cx="7856" cy="2030"/>
                                  </a:xfrm>
                                </wpg:grpSpPr>
                                <wps:wsp>
                                  <wps:cNvPr id="497" name="文本框 34"/>
                                  <wps:cNvSpPr txBox="1">
                                    <a:spLocks noChangeArrowheads="1"/>
                                  </wps:cNvSpPr>
                                  <wps:spPr bwMode="auto">
                                    <a:xfrm>
                                      <a:off x="6577" y="9989"/>
                                      <a:ext cx="757" cy="456"/>
                                    </a:xfrm>
                                    <a:prstGeom prst="rect">
                                      <a:avLst/>
                                    </a:prstGeom>
                                    <a:solidFill>
                                      <a:srgbClr val="FFFFFF"/>
                                    </a:solidFill>
                                    <a:ln>
                                      <a:noFill/>
                                    </a:ln>
                                  </wps:spPr>
                                  <wps:txbx>
                                    <w:txbxContent>
                                      <w:p w14:paraId="2D56E5A5">
                                        <w:r>
                                          <w:rPr>
                                            <w:position w:val="-10"/>
                                          </w:rPr>
                                          <w:object>
                                            <v:shape id="_x0000_i1195" o:spt="75" type="#_x0000_t75" style="height:14.9pt;width:14.9pt;" o:ole="t" filled="f" o:preferrelative="t" stroked="f" coordsize="21600,21600">
                                              <v:path/>
                                              <v:fill on="f" focussize="0,0"/>
                                              <v:stroke on="f" joinstyle="miter"/>
                                              <v:imagedata r:id="rId33" o:title=""/>
                                              <o:lock v:ext="edit" aspectratio="t"/>
                                              <w10:wrap type="none"/>
                                              <w10:anchorlock/>
                                            </v:shape>
                                            <o:OLEObject Type="Embed" ProgID="Equation.3" ShapeID="_x0000_i1195" DrawAspect="Content" ObjectID="_1468075759" r:id="rId64">
                                              <o:LockedField>false</o:LockedField>
                                            </o:OLEObject>
                                          </w:object>
                                        </w:r>
                                      </w:p>
                                    </w:txbxContent>
                                  </wps:txbx>
                                  <wps:bodyPr rot="0" vert="horz" wrap="square" lIns="91440" tIns="45720" rIns="91440" bIns="45720" anchor="t" anchorCtr="0" upright="1">
                                    <a:noAutofit/>
                                  </wps:bodyPr>
                                </wps:wsp>
                                <wpg:grpSp>
                                  <wpg:cNvPr id="64" name="组合 35"/>
                                  <wpg:cNvGrpSpPr/>
                                  <wpg:grpSpPr>
                                    <a:xfrm>
                                      <a:off x="1935" y="8415"/>
                                      <a:ext cx="7856" cy="2030"/>
                                      <a:chOff x="1935" y="8415"/>
                                      <a:chExt cx="7856" cy="2030"/>
                                    </a:xfrm>
                                  </wpg:grpSpPr>
                                  <wps:wsp>
                                    <wps:cNvPr id="499" name="文本框 36"/>
                                    <wps:cNvSpPr txBox="1">
                                      <a:spLocks noChangeArrowheads="1"/>
                                    </wps:cNvSpPr>
                                    <wps:spPr bwMode="auto">
                                      <a:xfrm>
                                        <a:off x="9034" y="9896"/>
                                        <a:ext cx="757" cy="456"/>
                                      </a:xfrm>
                                      <a:prstGeom prst="rect">
                                        <a:avLst/>
                                      </a:prstGeom>
                                      <a:solidFill>
                                        <a:srgbClr val="FFFFFF"/>
                                      </a:solidFill>
                                      <a:ln>
                                        <a:noFill/>
                                      </a:ln>
                                    </wps:spPr>
                                    <wps:txbx>
                                      <w:txbxContent>
                                        <w:p w14:paraId="716DB38E">
                                          <w:r>
                                            <w:rPr>
                                              <w:position w:val="-10"/>
                                            </w:rPr>
                                            <w:object>
                                              <v:shape id="_x0000_i1196" o:spt="75" type="#_x0000_t75" style="height:14.9pt;width:14.9pt;" o:ole="t" filled="f" o:preferrelative="t" stroked="f" coordsize="21600,21600">
                                                <v:path/>
                                                <v:fill on="f" focussize="0,0"/>
                                                <v:stroke on="f" joinstyle="miter"/>
                                                <v:imagedata r:id="rId33" o:title=""/>
                                                <o:lock v:ext="edit" aspectratio="t"/>
                                                <w10:wrap type="none"/>
                                                <w10:anchorlock/>
                                              </v:shape>
                                              <o:OLEObject Type="Embed" ProgID="Equation.3" ShapeID="_x0000_i1196" DrawAspect="Content" ObjectID="_1468075760" r:id="rId65">
                                                <o:LockedField>false</o:LockedField>
                                              </o:OLEObject>
                                            </w:object>
                                          </w:r>
                                        </w:p>
                                      </w:txbxContent>
                                    </wps:txbx>
                                    <wps:bodyPr rot="0" vert="horz" wrap="square" lIns="91440" tIns="45720" rIns="91440" bIns="45720" anchor="t" anchorCtr="0" upright="1">
                                      <a:noAutofit/>
                                    </wps:bodyPr>
                                  </wps:wsp>
                                  <wpg:grpSp>
                                    <wpg:cNvPr id="65" name="组合 37"/>
                                    <wpg:cNvGrpSpPr/>
                                    <wpg:grpSpPr>
                                      <a:xfrm>
                                        <a:off x="1935" y="8415"/>
                                        <a:ext cx="7275" cy="2030"/>
                                        <a:chOff x="1935" y="8415"/>
                                        <a:chExt cx="7275" cy="2030"/>
                                      </a:xfrm>
                                    </wpg:grpSpPr>
                                    <wps:wsp>
                                      <wps:cNvPr id="501" name="文本框 38"/>
                                      <wps:cNvSpPr txBox="1">
                                        <a:spLocks noChangeArrowheads="1"/>
                                      </wps:cNvSpPr>
                                      <wps:spPr bwMode="auto">
                                        <a:xfrm>
                                          <a:off x="8026" y="9354"/>
                                          <a:ext cx="599" cy="465"/>
                                        </a:xfrm>
                                        <a:prstGeom prst="rect">
                                          <a:avLst/>
                                        </a:prstGeom>
                                        <a:solidFill>
                                          <a:srgbClr val="FFFFFF"/>
                                        </a:solidFill>
                                        <a:ln>
                                          <a:noFill/>
                                        </a:ln>
                                      </wps:spPr>
                                      <wps:txbx>
                                        <w:txbxContent>
                                          <w:p w14:paraId="7531D546">
                                            <w:r>
                                              <w:rPr>
                                                <w:rFonts w:hint="eastAsia"/>
                                              </w:rPr>
                                              <w:t>低</w:t>
                                            </w:r>
                                          </w:p>
                                        </w:txbxContent>
                                      </wps:txbx>
                                      <wps:bodyPr rot="0" vert="horz" wrap="square" lIns="91440" tIns="45720" rIns="91440" bIns="45720" anchor="t" anchorCtr="0" upright="1">
                                        <a:noAutofit/>
                                      </wps:bodyPr>
                                    </wps:wsp>
                                    <wpg:grpSp>
                                      <wpg:cNvPr id="66" name="组合 39"/>
                                      <wpg:cNvGrpSpPr/>
                                      <wpg:grpSpPr>
                                        <a:xfrm>
                                          <a:off x="1935" y="8415"/>
                                          <a:ext cx="7275" cy="2030"/>
                                          <a:chOff x="1935" y="8415"/>
                                          <a:chExt cx="7275" cy="2030"/>
                                        </a:xfrm>
                                      </wpg:grpSpPr>
                                      <wps:wsp>
                                        <wps:cNvPr id="503" name="文本框 40"/>
                                        <wps:cNvSpPr txBox="1">
                                          <a:spLocks noChangeArrowheads="1"/>
                                        </wps:cNvSpPr>
                                        <wps:spPr bwMode="auto">
                                          <a:xfrm>
                                            <a:off x="5866" y="9429"/>
                                            <a:ext cx="599" cy="465"/>
                                          </a:xfrm>
                                          <a:prstGeom prst="rect">
                                            <a:avLst/>
                                          </a:prstGeom>
                                          <a:solidFill>
                                            <a:srgbClr val="FFFFFF"/>
                                          </a:solidFill>
                                          <a:ln>
                                            <a:noFill/>
                                          </a:ln>
                                        </wps:spPr>
                                        <wps:txbx>
                                          <w:txbxContent>
                                            <w:p w14:paraId="3459AE8D">
                                              <w:r>
                                                <w:rPr>
                                                  <w:rFonts w:hint="eastAsia"/>
                                                </w:rPr>
                                                <w:t>高</w:t>
                                              </w:r>
                                            </w:p>
                                          </w:txbxContent>
                                        </wps:txbx>
                                        <wps:bodyPr rot="0" vert="horz" wrap="square" lIns="91440" tIns="45720" rIns="91440" bIns="45720" anchor="t" anchorCtr="0" upright="1">
                                          <a:noAutofit/>
                                        </wps:bodyPr>
                                      </wps:wsp>
                                      <wpg:grpSp>
                                        <wpg:cNvPr id="67" name="组合 41"/>
                                        <wpg:cNvGrpSpPr/>
                                        <wpg:grpSpPr>
                                          <a:xfrm>
                                            <a:off x="1935" y="8415"/>
                                            <a:ext cx="7275" cy="2030"/>
                                            <a:chOff x="1935" y="8415"/>
                                            <a:chExt cx="7275" cy="2030"/>
                                          </a:xfrm>
                                        </wpg:grpSpPr>
                                        <wps:wsp>
                                          <wps:cNvPr id="505" name="文本框 42"/>
                                          <wps:cNvSpPr txBox="1">
                                            <a:spLocks noChangeArrowheads="1"/>
                                          </wps:cNvSpPr>
                                          <wps:spPr bwMode="auto">
                                            <a:xfrm>
                                              <a:off x="4201" y="9429"/>
                                              <a:ext cx="599" cy="465"/>
                                            </a:xfrm>
                                            <a:prstGeom prst="rect">
                                              <a:avLst/>
                                            </a:prstGeom>
                                            <a:solidFill>
                                              <a:srgbClr val="FFFFFF"/>
                                            </a:solidFill>
                                            <a:ln>
                                              <a:noFill/>
                                            </a:ln>
                                          </wps:spPr>
                                          <wps:txbx>
                                            <w:txbxContent>
                                              <w:p w14:paraId="6E0513F5">
                                                <w:r>
                                                  <w:rPr>
                                                    <w:rFonts w:hint="eastAsia"/>
                                                  </w:rPr>
                                                  <w:t>低</w:t>
                                                </w:r>
                                              </w:p>
                                            </w:txbxContent>
                                          </wps:txbx>
                                          <wps:bodyPr rot="0" vert="horz" wrap="square" lIns="91440" tIns="45720" rIns="91440" bIns="45720" anchor="t" anchorCtr="0" upright="1">
                                            <a:noAutofit/>
                                          </wps:bodyPr>
                                        </wps:wsp>
                                        <wpg:grpSp>
                                          <wpg:cNvPr id="68" name="组合 43"/>
                                          <wpg:cNvGrpSpPr/>
                                          <wpg:grpSpPr>
                                            <a:xfrm>
                                              <a:off x="1935" y="8415"/>
                                              <a:ext cx="7275" cy="2030"/>
                                              <a:chOff x="1935" y="8415"/>
                                              <a:chExt cx="7275" cy="2030"/>
                                            </a:xfrm>
                                          </wpg:grpSpPr>
                                          <wps:wsp>
                                            <wps:cNvPr id="507" name="文本框 44"/>
                                            <wps:cNvSpPr txBox="1">
                                              <a:spLocks noChangeArrowheads="1"/>
                                            </wps:cNvSpPr>
                                            <wps:spPr bwMode="auto">
                                              <a:xfrm>
                                                <a:off x="7094" y="8745"/>
                                                <a:ext cx="1584" cy="435"/>
                                              </a:xfrm>
                                              <a:prstGeom prst="rect">
                                                <a:avLst/>
                                              </a:prstGeom>
                                              <a:solidFill>
                                                <a:srgbClr val="FFFFFF"/>
                                              </a:solidFill>
                                              <a:ln>
                                                <a:noFill/>
                                              </a:ln>
                                            </wps:spPr>
                                            <wps:txbx>
                                              <w:txbxContent>
                                                <w:p w14:paraId="00DFBCA6">
                                                  <w:r>
                                                    <w:rPr>
                                                      <w:rFonts w:hint="eastAsia"/>
                                                    </w:rPr>
                                                    <w:t>[1—P]</w:t>
                                                  </w:r>
                                                </w:p>
                                              </w:txbxContent>
                                            </wps:txbx>
                                            <wps:bodyPr rot="0" vert="horz" wrap="square" lIns="91440" tIns="45720" rIns="91440" bIns="45720" anchor="t" anchorCtr="0" upright="1">
                                              <a:noAutofit/>
                                            </wps:bodyPr>
                                          </wps:wsp>
                                          <wpg:grpSp>
                                            <wpg:cNvPr id="69" name="组合 45"/>
                                            <wpg:cNvGrpSpPr/>
                                            <wpg:grpSpPr>
                                              <a:xfrm>
                                                <a:off x="1935" y="8415"/>
                                                <a:ext cx="7275" cy="2030"/>
                                                <a:chOff x="1935" y="8415"/>
                                                <a:chExt cx="7275" cy="2030"/>
                                              </a:xfrm>
                                            </wpg:grpSpPr>
                                            <wps:wsp>
                                              <wps:cNvPr id="509" name="文本框 46"/>
                                              <wps:cNvSpPr txBox="1">
                                                <a:spLocks noChangeArrowheads="1"/>
                                              </wps:cNvSpPr>
                                              <wps:spPr bwMode="auto">
                                                <a:xfrm>
                                                  <a:off x="2491" y="9429"/>
                                                  <a:ext cx="599" cy="465"/>
                                                </a:xfrm>
                                                <a:prstGeom prst="rect">
                                                  <a:avLst/>
                                                </a:prstGeom>
                                                <a:solidFill>
                                                  <a:srgbClr val="FFFFFF"/>
                                                </a:solidFill>
                                                <a:ln>
                                                  <a:noFill/>
                                                </a:ln>
                                              </wps:spPr>
                                              <wps:txbx>
                                                <w:txbxContent>
                                                  <w:p w14:paraId="3F7B12F2">
                                                    <w:r>
                                                      <w:rPr>
                                                        <w:rFonts w:hint="eastAsia"/>
                                                      </w:rPr>
                                                      <w:t>高</w:t>
                                                    </w:r>
                                                  </w:p>
                                                </w:txbxContent>
                                              </wps:txbx>
                                              <wps:bodyPr rot="0" vert="horz" wrap="square" lIns="91440" tIns="45720" rIns="91440" bIns="45720" anchor="t" anchorCtr="0" upright="1">
                                                <a:noAutofit/>
                                              </wps:bodyPr>
                                            </wps:wsp>
                                            <wpg:grpSp>
                                              <wpg:cNvPr id="70" name="组合 47"/>
                                              <wpg:cNvGrpSpPr/>
                                              <wpg:grpSpPr>
                                                <a:xfrm>
                                                  <a:off x="1935" y="8415"/>
                                                  <a:ext cx="7275" cy="2030"/>
                                                  <a:chOff x="1935" y="8415"/>
                                                  <a:chExt cx="7275" cy="2030"/>
                                                </a:xfrm>
                                              </wpg:grpSpPr>
                                              <wps:wsp>
                                                <wps:cNvPr id="511" name="文本框 48"/>
                                                <wps:cNvSpPr txBox="1">
                                                  <a:spLocks noChangeArrowheads="1"/>
                                                </wps:cNvSpPr>
                                                <wps:spPr bwMode="auto">
                                                  <a:xfrm>
                                                    <a:off x="3421" y="8670"/>
                                                    <a:ext cx="599" cy="510"/>
                                                  </a:xfrm>
                                                  <a:prstGeom prst="rect">
                                                    <a:avLst/>
                                                  </a:prstGeom>
                                                  <a:solidFill>
                                                    <a:srgbClr val="FFFFFF"/>
                                                  </a:solidFill>
                                                  <a:ln>
                                                    <a:noFill/>
                                                  </a:ln>
                                                </wps:spPr>
                                                <wps:txbx>
                                                  <w:txbxContent>
                                                    <w:p w14:paraId="1E80851F">
                                                      <w:r>
                                                        <w:rPr>
                                                          <w:rFonts w:hint="eastAsia"/>
                                                        </w:rPr>
                                                        <w:t>[P]</w:t>
                                                      </w:r>
                                                    </w:p>
                                                  </w:txbxContent>
                                                </wps:txbx>
                                                <wps:bodyPr rot="0" vert="horz" wrap="square" lIns="91440" tIns="45720" rIns="91440" bIns="45720" anchor="t" anchorCtr="0" upright="1">
                                                  <a:noAutofit/>
                                                </wps:bodyPr>
                                              </wps:wsp>
                                              <wpg:grpSp>
                                                <wpg:cNvPr id="71" name="组合 49"/>
                                                <wpg:cNvGrpSpPr/>
                                                <wpg:grpSpPr>
                                                  <a:xfrm>
                                                    <a:off x="1935" y="8415"/>
                                                    <a:ext cx="7275" cy="2030"/>
                                                    <a:chOff x="1935" y="8415"/>
                                                    <a:chExt cx="7275" cy="2030"/>
                                                  </a:xfrm>
                                                </wpg:grpSpPr>
                                                <wps:wsp>
                                                  <wps:cNvPr id="513" name="文本框 50"/>
                                                  <wps:cNvSpPr txBox="1">
                                                    <a:spLocks noChangeArrowheads="1"/>
                                                  </wps:cNvSpPr>
                                                  <wps:spPr bwMode="auto">
                                                    <a:xfrm>
                                                      <a:off x="4981" y="8415"/>
                                                      <a:ext cx="599" cy="465"/>
                                                    </a:xfrm>
                                                    <a:prstGeom prst="rect">
                                                      <a:avLst/>
                                                    </a:prstGeom>
                                                    <a:solidFill>
                                                      <a:srgbClr val="FFFFFF"/>
                                                    </a:solidFill>
                                                    <a:ln>
                                                      <a:noFill/>
                                                    </a:ln>
                                                  </wps:spPr>
                                                  <wps:txbx>
                                                    <w:txbxContent>
                                                      <w:p w14:paraId="6E509C75">
                                                        <w:r>
                                                          <w:rPr>
                                                            <w:rFonts w:hint="eastAsia"/>
                                                          </w:rPr>
                                                          <w:t>N</w:t>
                                                        </w:r>
                                                      </w:p>
                                                    </w:txbxContent>
                                                  </wps:txbx>
                                                  <wps:bodyPr rot="0" vert="horz" wrap="square" lIns="91440" tIns="45720" rIns="91440" bIns="45720" anchor="t" anchorCtr="0" upright="1">
                                                    <a:noAutofit/>
                                                  </wps:bodyPr>
                                                </wps:wsp>
                                                <wpg:grpSp>
                                                  <wpg:cNvPr id="72" name="组合 51"/>
                                                  <wpg:cNvGrpSpPr/>
                                                  <wpg:grpSpPr>
                                                    <a:xfrm>
                                                      <a:off x="1935" y="8745"/>
                                                      <a:ext cx="7275" cy="1700"/>
                                                      <a:chOff x="1935" y="8745"/>
                                                      <a:chExt cx="7275" cy="1700"/>
                                                    </a:xfrm>
                                                  </wpg:grpSpPr>
                                                  <wps:wsp>
                                                    <wps:cNvPr id="515" name="自选图形 52"/>
                                                    <wps:cNvCnPr>
                                                      <a:cxnSpLocks noChangeShapeType="1"/>
                                                    </wps:cNvCnPr>
                                                    <wps:spPr bwMode="auto">
                                                      <a:xfrm flipH="1">
                                                        <a:off x="2535" y="8745"/>
                                                        <a:ext cx="2430" cy="1149"/>
                                                      </a:xfrm>
                                                      <a:prstGeom prst="straightConnector1">
                                                        <a:avLst/>
                                                      </a:prstGeom>
                                                      <a:noFill/>
                                                      <a:ln w="9525">
                                                        <a:solidFill>
                                                          <a:srgbClr val="000000"/>
                                                        </a:solidFill>
                                                        <a:round/>
                                                      </a:ln>
                                                    </wps:spPr>
                                                    <wps:bodyPr/>
                                                  </wps:wsp>
                                                  <wps:wsp>
                                                    <wps:cNvPr id="516" name="自选图形 53"/>
                                                    <wps:cNvCnPr>
                                                      <a:cxnSpLocks noChangeShapeType="1"/>
                                                    </wps:cNvCnPr>
                                                    <wps:spPr bwMode="auto">
                                                      <a:xfrm>
                                                        <a:off x="4965" y="8745"/>
                                                        <a:ext cx="3570" cy="1151"/>
                                                      </a:xfrm>
                                                      <a:prstGeom prst="straightConnector1">
                                                        <a:avLst/>
                                                      </a:prstGeom>
                                                      <a:noFill/>
                                                      <a:ln w="9525">
                                                        <a:solidFill>
                                                          <a:srgbClr val="000000"/>
                                                        </a:solidFill>
                                                        <a:round/>
                                                      </a:ln>
                                                    </wps:spPr>
                                                    <wps:bodyPr/>
                                                  </wps:wsp>
                                                  <wps:wsp>
                                                    <wps:cNvPr id="517" name="自选图形 54"/>
                                                    <wps:cNvCnPr>
                                                      <a:cxnSpLocks noChangeShapeType="1"/>
                                                    </wps:cNvCnPr>
                                                    <wps:spPr bwMode="auto">
                                                      <a:xfrm flipH="1">
                                                        <a:off x="6075" y="9354"/>
                                                        <a:ext cx="861" cy="540"/>
                                                      </a:xfrm>
                                                      <a:prstGeom prst="straightConnector1">
                                                        <a:avLst/>
                                                      </a:prstGeom>
                                                      <a:noFill/>
                                                      <a:ln w="9525">
                                                        <a:solidFill>
                                                          <a:srgbClr val="000000"/>
                                                        </a:solidFill>
                                                        <a:round/>
                                                      </a:ln>
                                                    </wps:spPr>
                                                    <wps:bodyPr/>
                                                  </wps:wsp>
                                                  <wps:wsp>
                                                    <wps:cNvPr id="518" name="自选图形 55"/>
                                                    <wps:cNvCnPr>
                                                      <a:cxnSpLocks noChangeShapeType="1"/>
                                                    </wps:cNvCnPr>
                                                    <wps:spPr bwMode="auto">
                                                      <a:xfrm flipV="1">
                                                        <a:off x="1935" y="9894"/>
                                                        <a:ext cx="600" cy="171"/>
                                                      </a:xfrm>
                                                      <a:prstGeom prst="straightConnector1">
                                                        <a:avLst/>
                                                      </a:prstGeom>
                                                      <a:noFill/>
                                                      <a:ln w="9525">
                                                        <a:solidFill>
                                                          <a:srgbClr val="000000"/>
                                                        </a:solidFill>
                                                        <a:round/>
                                                      </a:ln>
                                                    </wps:spPr>
                                                    <wps:bodyPr/>
                                                  </wps:wsp>
                                                  <wps:wsp>
                                                    <wps:cNvPr id="519" name="自选图形 56"/>
                                                    <wps:cNvCnPr>
                                                      <a:cxnSpLocks noChangeShapeType="1"/>
                                                    </wps:cNvCnPr>
                                                    <wps:spPr bwMode="auto">
                                                      <a:xfrm>
                                                        <a:off x="3705" y="9354"/>
                                                        <a:ext cx="496" cy="540"/>
                                                      </a:xfrm>
                                                      <a:prstGeom prst="straightConnector1">
                                                        <a:avLst/>
                                                      </a:prstGeom>
                                                      <a:noFill/>
                                                      <a:ln w="9525">
                                                        <a:solidFill>
                                                          <a:srgbClr val="000000"/>
                                                        </a:solidFill>
                                                        <a:round/>
                                                      </a:ln>
                                                    </wps:spPr>
                                                    <wps:bodyPr/>
                                                  </wps:wsp>
                                                  <wps:wsp>
                                                    <wps:cNvPr id="520" name="自选图形 57"/>
                                                    <wps:cNvCnPr>
                                                      <a:cxnSpLocks noChangeShapeType="1"/>
                                                    </wps:cNvCnPr>
                                                    <wps:spPr bwMode="auto">
                                                      <a:xfrm>
                                                        <a:off x="2430" y="9896"/>
                                                        <a:ext cx="435" cy="244"/>
                                                      </a:xfrm>
                                                      <a:prstGeom prst="straightConnector1">
                                                        <a:avLst/>
                                                      </a:prstGeom>
                                                      <a:noFill/>
                                                      <a:ln w="9525">
                                                        <a:solidFill>
                                                          <a:srgbClr val="000000"/>
                                                        </a:solidFill>
                                                        <a:round/>
                                                      </a:ln>
                                                    </wps:spPr>
                                                    <wps:bodyPr/>
                                                  </wps:wsp>
                                                  <wps:wsp>
                                                    <wps:cNvPr id="521" name="文本框 58"/>
                                                    <wps:cNvSpPr txBox="1">
                                                      <a:spLocks noChangeArrowheads="1"/>
                                                    </wps:cNvSpPr>
                                                    <wps:spPr bwMode="auto">
                                                      <a:xfrm>
                                                        <a:off x="7179" y="9989"/>
                                                        <a:ext cx="804" cy="456"/>
                                                      </a:xfrm>
                                                      <a:prstGeom prst="rect">
                                                        <a:avLst/>
                                                      </a:prstGeom>
                                                      <a:solidFill>
                                                        <a:srgbClr val="FFFFFF"/>
                                                      </a:solidFill>
                                                      <a:ln>
                                                        <a:noFill/>
                                                      </a:ln>
                                                    </wps:spPr>
                                                    <wps:txbx>
                                                      <w:txbxContent>
                                                        <w:p w14:paraId="100EFE3B">
                                                          <w:r>
                                                            <w:rPr>
                                                              <w:position w:val="-10"/>
                                                            </w:rPr>
                                                            <w:object>
                                                              <v:shape id="_x0000_i1197" o:spt="75" type="#_x0000_t75" style="height:14.9pt;width:17.05pt;" o:ole="t" filled="f" o:preferrelative="t" stroked="f" coordsize="21600,21600">
                                                                <v:path/>
                                                                <v:fill on="f" focussize="0,0"/>
                                                                <v:stroke on="f" joinstyle="miter"/>
                                                                <v:imagedata r:id="rId58" o:title=""/>
                                                                <o:lock v:ext="edit" aspectratio="t"/>
                                                                <w10:wrap type="none"/>
                                                                <w10:anchorlock/>
                                                              </v:shape>
                                                              <o:OLEObject Type="Embed" ProgID="Equation.3" ShapeID="_x0000_i1197" DrawAspect="Content" ObjectID="_1468075761" r:id="rId66">
                                                                <o:LockedField>false</o:LockedField>
                                                              </o:OLEObject>
                                                            </w:object>
                                                          </w:r>
                                                        </w:p>
                                                      </w:txbxContent>
                                                    </wps:txbx>
                                                    <wps:bodyPr rot="0" vert="horz" wrap="square" lIns="91440" tIns="45720" rIns="91440" bIns="45720" anchor="t" anchorCtr="0" upright="1">
                                                      <a:noAutofit/>
                                                    </wps:bodyPr>
                                                  </wps:wsp>
                                                  <wps:wsp>
                                                    <wps:cNvPr id="522" name="自选图形 59"/>
                                                    <wps:cNvCnPr>
                                                      <a:cxnSpLocks noChangeShapeType="1"/>
                                                    </wps:cNvCnPr>
                                                    <wps:spPr bwMode="auto">
                                                      <a:xfrm flipV="1">
                                                        <a:off x="3825" y="9896"/>
                                                        <a:ext cx="376" cy="169"/>
                                                      </a:xfrm>
                                                      <a:prstGeom prst="straightConnector1">
                                                        <a:avLst/>
                                                      </a:prstGeom>
                                                      <a:noFill/>
                                                      <a:ln w="9525">
                                                        <a:solidFill>
                                                          <a:srgbClr val="000000"/>
                                                        </a:solidFill>
                                                        <a:round/>
                                                      </a:ln>
                                                    </wps:spPr>
                                                    <wps:bodyPr/>
                                                  </wps:wsp>
                                                  <wps:wsp>
                                                    <wps:cNvPr id="523" name="自选图形 60"/>
                                                    <wps:cNvCnPr>
                                                      <a:cxnSpLocks noChangeShapeType="1"/>
                                                    </wps:cNvCnPr>
                                                    <wps:spPr bwMode="auto">
                                                      <a:xfrm>
                                                        <a:off x="2607" y="9894"/>
                                                        <a:ext cx="5928" cy="0"/>
                                                      </a:xfrm>
                                                      <a:prstGeom prst="straightConnector1">
                                                        <a:avLst/>
                                                      </a:prstGeom>
                                                      <a:noFill/>
                                                      <a:ln w="9525">
                                                        <a:solidFill>
                                                          <a:srgbClr val="000000"/>
                                                        </a:solidFill>
                                                        <a:prstDash val="dash"/>
                                                        <a:round/>
                                                      </a:ln>
                                                    </wps:spPr>
                                                    <wps:bodyPr/>
                                                  </wps:wsp>
                                                  <wps:wsp>
                                                    <wps:cNvPr id="524" name="自选图形 61"/>
                                                    <wps:cNvCnPr>
                                                      <a:cxnSpLocks noChangeShapeType="1"/>
                                                    </wps:cNvCnPr>
                                                    <wps:spPr bwMode="auto">
                                                      <a:xfrm>
                                                        <a:off x="4201" y="9894"/>
                                                        <a:ext cx="299" cy="171"/>
                                                      </a:xfrm>
                                                      <a:prstGeom prst="straightConnector1">
                                                        <a:avLst/>
                                                      </a:prstGeom>
                                                      <a:noFill/>
                                                      <a:ln w="9525">
                                                        <a:solidFill>
                                                          <a:srgbClr val="000000"/>
                                                        </a:solidFill>
                                                        <a:round/>
                                                      </a:ln>
                                                    </wps:spPr>
                                                    <wps:bodyPr/>
                                                  </wps:wsp>
                                                  <wps:wsp>
                                                    <wps:cNvPr id="525" name="自选图形 62"/>
                                                    <wps:cNvCnPr>
                                                      <a:cxnSpLocks noChangeShapeType="1"/>
                                                    </wps:cNvCnPr>
                                                    <wps:spPr bwMode="auto">
                                                      <a:xfrm flipH="1">
                                                        <a:off x="5175" y="9896"/>
                                                        <a:ext cx="900" cy="169"/>
                                                      </a:xfrm>
                                                      <a:prstGeom prst="straightConnector1">
                                                        <a:avLst/>
                                                      </a:prstGeom>
                                                      <a:noFill/>
                                                      <a:ln w="9525">
                                                        <a:solidFill>
                                                          <a:srgbClr val="000000"/>
                                                        </a:solidFill>
                                                        <a:round/>
                                                      </a:ln>
                                                    </wps:spPr>
                                                    <wps:bodyPr/>
                                                  </wps:wsp>
                                                  <wps:wsp>
                                                    <wps:cNvPr id="526" name="自选图形 63"/>
                                                    <wps:cNvCnPr>
                                                      <a:cxnSpLocks noChangeShapeType="1"/>
                                                    </wps:cNvCnPr>
                                                    <wps:spPr bwMode="auto">
                                                      <a:xfrm>
                                                        <a:off x="6075" y="9896"/>
                                                        <a:ext cx="630" cy="169"/>
                                                      </a:xfrm>
                                                      <a:prstGeom prst="straightConnector1">
                                                        <a:avLst/>
                                                      </a:prstGeom>
                                                      <a:noFill/>
                                                      <a:ln w="9525">
                                                        <a:solidFill>
                                                          <a:srgbClr val="000000"/>
                                                        </a:solidFill>
                                                        <a:round/>
                                                      </a:ln>
                                                    </wps:spPr>
                                                    <wps:bodyPr/>
                                                  </wps:wsp>
                                                  <wps:wsp>
                                                    <wps:cNvPr id="527" name="自选图形 64"/>
                                                    <wps:cNvCnPr>
                                                      <a:cxnSpLocks noChangeShapeType="1"/>
                                                    </wps:cNvCnPr>
                                                    <wps:spPr bwMode="auto">
                                                      <a:xfrm flipH="1">
                                                        <a:off x="7650" y="9894"/>
                                                        <a:ext cx="885" cy="171"/>
                                                      </a:xfrm>
                                                      <a:prstGeom prst="straightConnector1">
                                                        <a:avLst/>
                                                      </a:prstGeom>
                                                      <a:noFill/>
                                                      <a:ln w="9525">
                                                        <a:solidFill>
                                                          <a:srgbClr val="000000"/>
                                                        </a:solidFill>
                                                        <a:round/>
                                                      </a:ln>
                                                    </wps:spPr>
                                                    <wps:bodyPr/>
                                                  </wps:wsp>
                                                  <wps:wsp>
                                                    <wps:cNvPr id="528" name="自选图形 65"/>
                                                    <wps:cNvCnPr>
                                                      <a:cxnSpLocks noChangeShapeType="1"/>
                                                    </wps:cNvCnPr>
                                                    <wps:spPr bwMode="auto">
                                                      <a:xfrm>
                                                        <a:off x="8535" y="9896"/>
                                                        <a:ext cx="675" cy="93"/>
                                                      </a:xfrm>
                                                      <a:prstGeom prst="straightConnector1">
                                                        <a:avLst/>
                                                      </a:prstGeom>
                                                      <a:noFill/>
                                                      <a:ln w="9525">
                                                        <a:solidFill>
                                                          <a:srgbClr val="000000"/>
                                                        </a:solidFill>
                                                        <a:round/>
                                                      </a:ln>
                                                    </wps:spPr>
                                                    <wps:bodyPr/>
                                                  </wps:wsp>
                                                </wpg:grpSp>
                                              </wpg:grpSp>
                                            </wpg:grpSp>
                                          </wpg:grpSp>
                                        </wpg:grpSp>
                                      </wpg:grpSp>
                                    </wpg:grpSp>
                                  </wpg:grpSp>
                                </wpg:grpSp>
                              </wpg:grpSp>
                            </wpg:grpSp>
                          </wpg:grpSp>
                        </wpg:grpSp>
                      </wpg:grpSp>
                    </wpg:wgp>
                  </a:graphicData>
                </a:graphic>
              </wp:inline>
            </w:drawing>
          </mc:Choice>
          <mc:Fallback>
            <w:pict>
              <v:group id="_x0000_s1026" o:spid="_x0000_s1026" o:spt="203" style="height:156.85pt;width:394.75pt;" coordorigin="1803,8415" coordsize="7988,2220" o:gfxdata="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">
                <o:lock v:ext="edit" aspectratio="f"/>
                <v:shape id="文本框 24" o:spid="_x0000_s1026" o:spt="202" type="#_x0000_t202" style="position:absolute;left:1803;top:9989;height:456;width:804;" fillcolor="#FFFFFF" filled="t" stroked="f" coordsize="21600,21600" o:gfxdata="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AaWcDa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238547B1">
                        <w:r>
                          <w:rPr>
                            <w:position w:val="-10"/>
                          </w:rPr>
                          <w:object>
                            <v:shape id="_x0000_i1190" o:spt="75" type="#_x0000_t75" style="height:14.9pt;width:17.05pt;" o:ole="t" filled="f" o:preferrelative="t" stroked="f" coordsize="21600,21600">
                              <v:path/>
                              <v:fill on="f" focussize="0,0"/>
                              <v:stroke on="f" joinstyle="miter"/>
                              <v:imagedata r:id="rId58" o:title=""/>
                              <o:lock v:ext="edit" aspectratio="t"/>
                              <w10:wrap type="none"/>
                              <w10:anchorlock/>
                            </v:shape>
                            <o:OLEObject Type="Embed" ProgID="Equation.3" ShapeID="_x0000_i1190" DrawAspect="Content" ObjectID="_1468075762" r:id="rId67">
                              <o:LockedField>false</o:LockedField>
                            </o:OLEObject>
                          </w:object>
                        </w:r>
                      </w:p>
                    </w:txbxContent>
                  </v:textbox>
                </v:shape>
                <v:group id="组合 25" o:spid="_x0000_s1026" o:spt="203" style="position:absolute;left:1935;top:8415;height:2220;width:7856;" coordorigin="1935,8415" coordsize="7856,2220" o:gfxdata="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9V6BSL0AAADbAAAADwAAAAAAAAABACAAAAAiAAAAZHJzL2Rvd25yZXYueG1s&#10;UEsBAhQAFAAAAAgAh07iQDMvBZ47AAAAOQAAABUAAAAAAAAAAQAgAAAADAEAAGRycy9ncm91cHNo&#10;YXBleG1sLnhtbFBLBQYAAAAABgAGAGABAADJAwAAAAA=&#10;">
                  <o:lock v:ext="edit" aspectratio="f"/>
                  <v:shape id="文本框 26" o:spid="_x0000_s1026" o:spt="202" type="#_x0000_t202" style="position:absolute;left:2685;top:10065;height:570;width:555;" fillcolor="#FFFFFF" filled="t" stroked="f" coordsize="21600,21600" o:gfxdata="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hFQd+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306EEF61">
                          <w:r>
                            <w:rPr>
                              <w:position w:val="-10"/>
                            </w:rPr>
                            <w:object>
                              <v:shape id="_x0000_i1191" o:spt="75" type="#_x0000_t75" style="height:14.9pt;width:14.9pt;" o:ole="t" filled="f" o:preferrelative="t" stroked="f" coordsize="21600,21600">
                                <v:path/>
                                <v:fill on="f" focussize="0,0"/>
                                <v:stroke on="f" joinstyle="miter"/>
                                <v:imagedata r:id="rId33" o:title=""/>
                                <o:lock v:ext="edit" aspectratio="t"/>
                                <w10:wrap type="none"/>
                                <w10:anchorlock/>
                              </v:shape>
                              <o:OLEObject Type="Embed" ProgID="Equation.3" ShapeID="_x0000_i1191" DrawAspect="Content" ObjectID="_1468075763" r:id="rId68">
                                <o:LockedField>false</o:LockedField>
                              </o:OLEObject>
                            </w:object>
                          </w:r>
                        </w:p>
                      </w:txbxContent>
                    </v:textbox>
                  </v:shape>
                  <v:group id="组合 27" o:spid="_x0000_s1026" o:spt="203" style="position:absolute;left:1935;top:8415;height:2030;width:7856;" coordorigin="1935,8415" coordsize="7856,2030" o:gfxdata="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qgjiaLoAAADbAAAADwAAAAAAAAABACAAAAAiAAAAZHJzL2Rvd25yZXYueG1sUEsB&#10;AhQAFAAAAAgAh07iQDMvBZ47AAAAOQAAABUAAAAAAAAAAQAgAAAACQEAAGRycy9ncm91cHNoYXBl&#10;eG1sLnhtbFBLBQYAAAAABgAGAGABAADGAwAAAAA=&#10;">
                    <o:lock v:ext="edit" aspectratio="f"/>
                    <v:shape id="文本框 28" o:spid="_x0000_s1026" o:spt="202" type="#_x0000_t202" style="position:absolute;left:3397;top:9989;height:456;width:804;" fillcolor="#FFFFFF" filled="t" stroked="f" coordsize="21600,21600" o:gfxdata="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GPq2wS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D7C53C6">
                            <w:r>
                              <w:rPr>
                                <w:position w:val="-10"/>
                              </w:rPr>
                              <w:object>
                                <v:shape id="_x0000_i1192" o:spt="75" type="#_x0000_t75" style="height:14.9pt;width:17.05pt;" o:ole="t" filled="f" o:preferrelative="t" stroked="f" coordsize="21600,21600">
                                  <v:path/>
                                  <v:fill on="f" focussize="0,0"/>
                                  <v:stroke on="f" joinstyle="miter"/>
                                  <v:imagedata r:id="rId61" o:title=""/>
                                  <o:lock v:ext="edit" aspectratio="t"/>
                                  <w10:wrap type="none"/>
                                  <w10:anchorlock/>
                                </v:shape>
                                <o:OLEObject Type="Embed" ProgID="Equation.3" ShapeID="_x0000_i1192" DrawAspect="Content" ObjectID="_1468075764" r:id="rId69">
                                  <o:LockedField>false</o:LockedField>
                                </o:OLEObject>
                              </w:object>
                            </w:r>
                          </w:p>
                        </w:txbxContent>
                      </v:textbox>
                    </v:shape>
                    <v:group id="组合 29" o:spid="_x0000_s1026" o:spt="203" style="position:absolute;left:1935;top:8415;height:2030;width:7856;" coordorigin="1935,8415" coordsize="7856,2030" o:gfxdata="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MVER/O+AAAA2wAAAA8AAAAAAAAAAQAgAAAAIgAAAGRycy9kb3ducmV2Lnht&#10;bFBLAQIUABQAAAAIAIdO4kAzLwWeOwAAADkAAAAVAAAAAAAAAAEAIAAAAA0BAABkcnMvZ3JvdXBz&#10;aGFwZXhtbC54bWxQSwUGAAAAAAYABgBgAQAAygMAAAAA&#10;">
                      <o:lock v:ext="edit" aspectratio="f"/>
                      <v:shape id="文本框 30" o:spid="_x0000_s1026" o:spt="202" type="#_x0000_t202" style="position:absolute;left:4219;top:9989;height:456;width:757;" fillcolor="#FFFFFF" filled="t" stroked="f" coordsize="21600,21600" o:gfxdata="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x04Oi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548B6F0">
                              <w:r>
                                <w:rPr>
                                  <w:position w:val="-10"/>
                                </w:rPr>
                                <w:object>
                                  <v:shape id="_x0000_i1193" o:spt="75" type="#_x0000_t75" style="height:14.9pt;width:14.9pt;" o:ole="t" filled="f" o:preferrelative="t" stroked="f" coordsize="21600,21600">
                                    <v:path/>
                                    <v:fill on="f" focussize="0,0"/>
                                    <v:stroke on="f" joinstyle="miter"/>
                                    <v:imagedata r:id="rId33" o:title=""/>
                                    <o:lock v:ext="edit" aspectratio="t"/>
                                    <w10:wrap type="none"/>
                                    <w10:anchorlock/>
                                  </v:shape>
                                  <o:OLEObject Type="Embed" ProgID="Equation.3" ShapeID="_x0000_i1193" DrawAspect="Content" ObjectID="_1468075765" r:id="rId70">
                                    <o:LockedField>false</o:LockedField>
                                  </o:OLEObject>
                                </w:object>
                              </w:r>
                            </w:p>
                          </w:txbxContent>
                        </v:textbox>
                      </v:shape>
                      <v:group id="组合 31" o:spid="_x0000_s1026" o:spt="203" style="position:absolute;left:1935;top:8415;height:2030;width:7856;" coordorigin="1935,8415" coordsize="7856,2030" o:gfxdata="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DWW2YS+AAAA2wAAAA8AAAAAAAAAAQAgAAAAIgAAAGRycy9kb3ducmV2Lnht&#10;bFBLAQIUABQAAAAIAIdO4kAzLwWeOwAAADkAAAAVAAAAAAAAAAEAIAAAAA0BAABkcnMvZ3JvdXBz&#10;aGFwZXhtbC54bWxQSwUGAAAAAAYABgBgAQAAygMAAAAA&#10;">
                        <o:lock v:ext="edit" aspectratio="f"/>
                        <v:shape id="文本框 32" o:spid="_x0000_s1026" o:spt="202" type="#_x0000_t202" style="position:absolute;left:4713;top:9989;height:456;width:804;" fillcolor="#FFFFFF" filled="t" stroked="f" coordsize="21600,21600" o:gfxdata="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zR3Qe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02CACDB4">
                                <w:r>
                                  <w:rPr>
                                    <w:position w:val="-10"/>
                                  </w:rPr>
                                  <w:object>
                                    <v:shape id="_x0000_i1194" o:spt="75" type="#_x0000_t75" style="height:14.9pt;width:17.05pt;" o:ole="t" filled="f" o:preferrelative="t" stroked="f" coordsize="21600,21600">
                                      <v:path/>
                                      <v:fill on="f" focussize="0,0"/>
                                      <v:stroke on="f" joinstyle="miter"/>
                                      <v:imagedata r:id="rId58" o:title=""/>
                                      <o:lock v:ext="edit" aspectratio="t"/>
                                      <w10:wrap type="none"/>
                                      <w10:anchorlock/>
                                    </v:shape>
                                    <o:OLEObject Type="Embed" ProgID="Equation.3" ShapeID="_x0000_i1194" DrawAspect="Content" ObjectID="_1468075766" r:id="rId71">
                                      <o:LockedField>false</o:LockedField>
                                    </o:OLEObject>
                                  </w:object>
                                </w:r>
                              </w:p>
                            </w:txbxContent>
                          </v:textbox>
                        </v:shape>
                        <v:group id="组合 33" o:spid="_x0000_s1026" o:spt="203" style="position:absolute;left:1935;top:8415;height:2030;width:7856;" coordorigin="1935,8415" coordsize="7856,2030" o:gfxdata="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a2nwfvAAAANsAAAAPAAAAAAAAAAEAIAAAACIAAABkcnMvZG93bnJldi54bWxQ&#10;SwECFAAUAAAACACHTuJAMy8FnjsAAAA5AAAAFQAAAAAAAAABACAAAAALAQAAZHJzL2dyb3Vwc2hh&#10;cGV4bWwueG1sUEsFBgAAAAAGAAYAYAEAAMgDAAAAAA==&#10;">
                          <o:lock v:ext="edit" aspectratio="f"/>
                          <v:shape id="文本框 34" o:spid="_x0000_s1026" o:spt="202" type="#_x0000_t202" style="position:absolute;left:6577;top:9989;height:456;width:757;" fillcolor="#FFFFFF" filled="t" stroked="f" coordsize="21600,21600" o:gfxdata="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INP5uu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2D56E5A5">
                                  <w:r>
                                    <w:rPr>
                                      <w:position w:val="-10"/>
                                    </w:rPr>
                                    <w:object>
                                      <v:shape id="_x0000_i1195" o:spt="75" type="#_x0000_t75" style="height:14.9pt;width:14.9pt;" o:ole="t" filled="f" o:preferrelative="t" stroked="f" coordsize="21600,21600">
                                        <v:path/>
                                        <v:fill on="f" focussize="0,0"/>
                                        <v:stroke on="f" joinstyle="miter"/>
                                        <v:imagedata r:id="rId33" o:title=""/>
                                        <o:lock v:ext="edit" aspectratio="t"/>
                                        <w10:wrap type="none"/>
                                        <w10:anchorlock/>
                                      </v:shape>
                                      <o:OLEObject Type="Embed" ProgID="Equation.3" ShapeID="_x0000_i1195" DrawAspect="Content" ObjectID="_1468075767" r:id="rId72">
                                        <o:LockedField>false</o:LockedField>
                                      </o:OLEObject>
                                    </w:object>
                                  </w:r>
                                </w:p>
                              </w:txbxContent>
                            </v:textbox>
                          </v:shape>
                          <v:group id="组合 35" o:spid="_x0000_s1026" o:spt="203" style="position:absolute;left:1935;top:8415;height:2030;width:7856;" coordorigin="1935,8415" coordsize="7856,2030" o:gfxdata="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1TPka70AAADbAAAADwAAAAAAAAABACAAAAAiAAAAZHJzL2Rvd25yZXYueG1s&#10;UEsBAhQAFAAAAAgAh07iQDMvBZ47AAAAOQAAABUAAAAAAAAAAQAgAAAADAEAAGRycy9ncm91cHNo&#10;YXBleG1sLnhtbFBLBQYAAAAABgAGAGABAADJAwAAAAA=&#10;">
                            <o:lock v:ext="edit" aspectratio="f"/>
                            <v:shape id="文本框 36" o:spid="_x0000_s1026" o:spt="202" type="#_x0000_t202" style="position:absolute;left:9034;top:9896;height:456;width:757;" fillcolor="#FFFFFF" filled="t" stroked="f" coordsize="21600,21600" o:gfxdata="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2c1wK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16DB38E">
                                    <w:r>
                                      <w:rPr>
                                        <w:position w:val="-10"/>
                                      </w:rPr>
                                      <w:object>
                                        <v:shape id="_x0000_i1196" o:spt="75" type="#_x0000_t75" style="height:14.9pt;width:14.9pt;" o:ole="t" filled="f" o:preferrelative="t" stroked="f" coordsize="21600,21600">
                                          <v:path/>
                                          <v:fill on="f" focussize="0,0"/>
                                          <v:stroke on="f" joinstyle="miter"/>
                                          <v:imagedata r:id="rId33" o:title=""/>
                                          <o:lock v:ext="edit" aspectratio="t"/>
                                          <w10:wrap type="none"/>
                                          <w10:anchorlock/>
                                        </v:shape>
                                        <o:OLEObject Type="Embed" ProgID="Equation.3" ShapeID="_x0000_i1196" DrawAspect="Content" ObjectID="_1468075768" r:id="rId73">
                                          <o:LockedField>false</o:LockedField>
                                        </o:OLEObject>
                                      </w:object>
                                    </w:r>
                                  </w:p>
                                </w:txbxContent>
                              </v:textbox>
                            </v:shape>
                            <v:group id="组合 37" o:spid="_x0000_s1026" o:spt="203" style="position:absolute;left:1935;top:8415;height:2030;width:7275;" coordorigin="1935,8415" coordsize="7275,2030" o:gfxdata="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un9B8L0AAADbAAAADwAAAAAAAAABACAAAAAiAAAAZHJzL2Rvd25yZXYueG1s&#10;UEsBAhQAFAAAAAgAh07iQDMvBZ47AAAAOQAAABUAAAAAAAAAAQAgAAAADAEAAGRycy9ncm91cHNo&#10;YXBleG1sLnhtbFBLBQYAAAAABgAGAGABAADJAwAAAAA=&#10;">
                              <o:lock v:ext="edit" aspectratio="f"/>
                              <v:shape id="文本框 38" o:spid="_x0000_s1026" o:spt="202" type="#_x0000_t202" style="position:absolute;left:8026;top:9354;height:465;width:599;" fillcolor="#FFFFFF" filled="t" stroked="f" coordsize="21600,21600" o:gfxdata="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9AUEevQAA&#10;ANwAAAAPAAAAAAAAAAEAIAAAACIAAABkcnMvZG93bnJldi54bWxQSwECFAAUAAAACACHTuJAMy8F&#10;njsAAAA5AAAAEAAAAAAAAAABACAAAAAMAQAAZHJzL3NoYXBleG1sLnhtbFBLBQYAAAAABgAGAFsB&#10;AAC2AwAAAAA=&#10;">
                                <v:fill on="t" focussize="0,0"/>
                                <v:stroke on="f"/>
                                <v:imagedata o:title=""/>
                                <o:lock v:ext="edit" aspectratio="f"/>
                                <v:textbox>
                                  <w:txbxContent>
                                    <w:p w14:paraId="7531D546">
                                      <w:r>
                                        <w:rPr>
                                          <w:rFonts w:hint="eastAsia"/>
                                        </w:rPr>
                                        <w:t>低</w:t>
                                      </w:r>
                                    </w:p>
                                  </w:txbxContent>
                                </v:textbox>
                              </v:shape>
                              <v:group id="组合 39" o:spid="_x0000_s1026" o:spt="203" style="position:absolute;left:1935;top:8415;height:2030;width:7275;" coordorigin="1935,8415" coordsize="7275,2030" o:gfxdata="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">
                                <o:lock v:ext="edit" aspectratio="f"/>
                                <v:shape id="文本框 40" o:spid="_x0000_s1026" o:spt="202" type="#_x0000_t202" style="position:absolute;left:5866;top:9429;height:465;width:599;" fillcolor="#FFFFFF" filled="t" stroked="f" coordsize="21600,21600" o:gfxdata="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GKfevK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3459AE8D">
                                        <w:r>
                                          <w:rPr>
                                            <w:rFonts w:hint="eastAsia"/>
                                          </w:rPr>
                                          <w:t>高</w:t>
                                        </w:r>
                                      </w:p>
                                    </w:txbxContent>
                                  </v:textbox>
                                </v:shape>
                                <v:group id="组合 41" o:spid="_x0000_s1026" o:spt="203" style="position:absolute;left:1935;top:8415;height:2030;width:7275;" coordorigin="1935,8415" coordsize="7275,2030" o:gfxdata="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l4XocvwAAANsAAAAPAAAAAAAAAAEAIAAAACIAAABkcnMvZG93bnJldi54&#10;bWxQSwECFAAUAAAACACHTuJAMy8FnjsAAAA5AAAAFQAAAAAAAAABACAAAAAOAQAAZHJzL2dyb3Vw&#10;c2hhcGV4bWwueG1sUEsFBgAAAAAGAAYAYAEAAMsDAAAAAA==&#10;">
                                  <o:lock v:ext="edit" aspectratio="f"/>
                                  <v:shape id="文本框 42" o:spid="_x0000_s1026" o:spt="202" type="#_x0000_t202" style="position:absolute;left:4201;top:9429;height:465;width:599;" fillcolor="#FFFFFF" filled="t" stroked="f" coordsize="21600,21600" o:gfxdata="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II6Rx2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6E0513F5">
                                          <w:r>
                                            <w:rPr>
                                              <w:rFonts w:hint="eastAsia"/>
                                            </w:rPr>
                                            <w:t>低</w:t>
                                          </w:r>
                                        </w:p>
                                      </w:txbxContent>
                                    </v:textbox>
                                  </v:shape>
                                  <v:group id="组合 43" o:spid="_x0000_s1026" o:spt="203" style="position:absolute;left:1935;top:8415;height:2030;width:7275;" coordorigin="1935,8415" coordsize="7275,2030" o:gfxdata="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">
                                    <o:lock v:ext="edit" aspectratio="f"/>
                                    <v:shape id="文本框 44" o:spid="_x0000_s1026" o:spt="202" type="#_x0000_t202" style="position:absolute;left:7094;top:8745;height:435;width:1584;" fillcolor="#FFFFFF" filled="t" stroked="f" coordsize="21600,21600" o:gfxdata="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HaR88bsAAADc&#10;AAAADwAAAAAAAAABACAAAAAiAAAAZHJzL2Rvd25yZXYueG1sUEsBAhQAFAAAAAgAh07iQDMvBZ47&#10;AAAAOQAAABAAAAAAAAAAAQAgAAAACgEAAGRycy9zaGFwZXhtbC54bWxQSwUGAAAAAAYABgBbAQAA&#10;tAMAAAAA&#10;">
                                      <v:fill on="t" focussize="0,0"/>
                                      <v:stroke on="f"/>
                                      <v:imagedata o:title=""/>
                                      <o:lock v:ext="edit" aspectratio="f"/>
                                      <v:textbox>
                                        <w:txbxContent>
                                          <w:p w14:paraId="00DFBCA6">
                                            <w:r>
                                              <w:rPr>
                                                <w:rFonts w:hint="eastAsia"/>
                                              </w:rPr>
                                              <w:t>[1—P]</w:t>
                                            </w:r>
                                          </w:p>
                                        </w:txbxContent>
                                      </v:textbox>
                                    </v:shape>
                                    <v:group id="组合 45" o:spid="_x0000_s1026" o:spt="203" style="position:absolute;left:1935;top:8415;height:2030;width:7275;" coordorigin="1935,8415" coordsize="7275,2030" o:gfxdata="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A7Mkv1vwAAANsAAAAPAAAAAAAAAAEAIAAAACIAAABkcnMvZG93bnJldi54&#10;bWxQSwECFAAUAAAACACHTuJAMy8FnjsAAAA5AAAAFQAAAAAAAAABACAAAAAOAQAAZHJzL2dyb3Vw&#10;c2hhcGV4bWwueG1sUEsFBgAAAAAGAAYAYAEAAMsDAAAAAA==&#10;">
                                      <o:lock v:ext="edit" aspectratio="f"/>
                                      <v:shape id="文本框 46" o:spid="_x0000_s1026" o:spt="202" type="#_x0000_t202" style="position:absolute;left:2491;top:9429;height:465;width:599;" fillcolor="#FFFFFF" filled="t" stroked="f" coordsize="21600,21600" o:gfxdata="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Dd00YvQAA&#10;ANwAAAAPAAAAAAAAAAEAIAAAACIAAABkcnMvZG93bnJldi54bWxQSwECFAAUAAAACACHTuJAMy8F&#10;njsAAAA5AAAAEAAAAAAAAAABACAAAAAMAQAAZHJzL3NoYXBleG1sLnhtbFBLBQYAAAAABgAGAFsB&#10;AAC2AwAAAAA=&#10;">
                                        <v:fill on="t" focussize="0,0"/>
                                        <v:stroke on="f"/>
                                        <v:imagedata o:title=""/>
                                        <o:lock v:ext="edit" aspectratio="f"/>
                                        <v:textbox>
                                          <w:txbxContent>
                                            <w:p w14:paraId="3F7B12F2">
                                              <w:r>
                                                <w:rPr>
                                                  <w:rFonts w:hint="eastAsia"/>
                                                </w:rPr>
                                                <w:t>高</w:t>
                                              </w:r>
                                            </w:p>
                                          </w:txbxContent>
                                        </v:textbox>
                                      </v:shape>
                                      <v:group id="组合 47" o:spid="_x0000_s1026" o:spt="203" style="position:absolute;left:1935;top:8415;height:2030;width:7275;" coordorigin="1935,8415" coordsize="7275,2030" o:gfxdata="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C/RdLW7AAAA2wAAAA8AAAAAAAAAAQAgAAAAIgAAAGRycy9kb3ducmV2LnhtbFBL&#10;AQIUABQAAAAIAIdO4kAzLwWeOwAAADkAAAAVAAAAAAAAAAEAIAAAAAoBAABkcnMvZ3JvdXBzaGFw&#10;ZXhtbC54bWxQSwUGAAAAAAYABgBgAQAAxwMAAAAA&#10;">
                                        <o:lock v:ext="edit" aspectratio="f"/>
                                        <v:shape id="文本框 48" o:spid="_x0000_s1026" o:spt="202" type="#_x0000_t202" style="position:absolute;left:3421;top:8670;height:510;width:599;" fillcolor="#FFFFFF" filled="t" stroked="f" coordsize="21600,21600" o:gfxdata="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jY18O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E80851F">
                                                <w:r>
                                                  <w:rPr>
                                                    <w:rFonts w:hint="eastAsia"/>
                                                  </w:rPr>
                                                  <w:t>[P]</w:t>
                                                </w:r>
                                              </w:p>
                                            </w:txbxContent>
                                          </v:textbox>
                                        </v:shape>
                                        <v:group id="组合 49" o:spid="_x0000_s1026" o:spt="203" style="position:absolute;left:1935;top:8415;height:2030;width:7275;" coordorigin="1935,8415" coordsize="7275,2030" o:gfxdata="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ECd0S6+AAAA2wAAAA8AAAAAAAAAAQAgAAAAIgAAAGRycy9kb3ducmV2Lnht&#10;bFBLAQIUABQAAAAIAIdO4kAzLwWeOwAAADkAAAAVAAAAAAAAAAEAIAAAAA0BAABkcnMvZ3JvdXBz&#10;aGFwZXhtbC54bWxQSwUGAAAAAAYABgBgAQAAygMAAAAA&#10;">
                                          <o:lock v:ext="edit" aspectratio="f"/>
                                          <v:shape id="文本框 50" o:spid="_x0000_s1026" o:spt="202" type="#_x0000_t202" style="position:absolute;left:4981;top:8415;height:465;width:599;" fillcolor="#FFFFFF" filled="t" stroked="f" coordsize="21600,21600" o:gfxdata="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50bsL7sAAADc&#10;AAAADwAAAAAAAAABACAAAAAiAAAAZHJzL2Rvd25yZXYueG1sUEsBAhQAFAAAAAgAh07iQDMvBZ47&#10;AAAAOQAAABAAAAAAAAAAAQAgAAAACgEAAGRycy9zaGFwZXhtbC54bWxQSwUGAAAAAAYABgBbAQAA&#10;tAMAAAAA&#10;">
                                            <v:fill on="t" focussize="0,0"/>
                                            <v:stroke on="f"/>
                                            <v:imagedata o:title=""/>
                                            <o:lock v:ext="edit" aspectratio="f"/>
                                            <v:textbox>
                                              <w:txbxContent>
                                                <w:p w14:paraId="6E509C75">
                                                  <w:r>
                                                    <w:rPr>
                                                      <w:rFonts w:hint="eastAsia"/>
                                                    </w:rPr>
                                                    <w:t>N</w:t>
                                                  </w:r>
                                                </w:p>
                                              </w:txbxContent>
                                            </v:textbox>
                                          </v:shape>
                                          <v:group id="组合 51" o:spid="_x0000_s1026" o:spt="203" style="position:absolute;left:1935;top:8745;height:1700;width:7275;" coordorigin="1935,8745" coordsize="7275,1700" o:gfxdata="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wT09ZvwAAANsAAAAPAAAAAAAAAAEAIAAAACIAAABkcnMvZG93bnJldi54&#10;bWxQSwECFAAUAAAACACHTuJAMy8FnjsAAAA5AAAAFQAAAAAAAAABACAAAAAOAQAAZHJzL2dyb3Vw&#10;c2hhcGV4bWwueG1sUEsFBgAAAAAGAAYAYAEAAMsDAAAAAA==&#10;">
                                            <o:lock v:ext="edit" aspectratio="f"/>
                                            <v:shape id="自选图形 52" o:spid="_x0000_s1026" o:spt="32" type="#_x0000_t32" style="position:absolute;left:2535;top:8745;flip:x;height:1149;width:2430;" filled="f" stroked="t" coordsize="21600,21600" o:gfxdata="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3SvMz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53" o:spid="_x0000_s1026" o:spt="32" type="#_x0000_t32" style="position:absolute;left:4965;top:8745;height:1151;width:3570;" filled="f" stroked="t" coordsize="21600,21600" o:gfxdata="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PrA21r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自选图形 54" o:spid="_x0000_s1026" o:spt="32" type="#_x0000_t32" style="position:absolute;left:6075;top:9354;flip:x;height:540;width:861;" filled="f" stroked="t" coordsize="21600,21600" o:gfxdata="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o1Mjf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55" o:spid="_x0000_s1026" o:spt="32" type="#_x0000_t32" style="position:absolute;left:1935;top:9894;flip:y;height:171;width:600;" filled="f" stroked="t" coordsize="21600,21600" o:gfxdata="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">
                                              <v:fill on="f" focussize="0,0"/>
                                              <v:stroke color="#000000" joinstyle="round"/>
                                              <v:imagedata o:title=""/>
                                              <o:lock v:ext="edit" aspectratio="f"/>
                                            </v:shape>
                                            <v:shape id="自选图形 56" o:spid="_x0000_s1026" o:spt="32" type="#_x0000_t32" style="position:absolute;left:3705;top:9354;height:540;width:496;" filled="f" stroked="t" coordsize="21600,21600" o:gfxdata="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Ty+ipL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自选图形 57" o:spid="_x0000_s1026" o:spt="32" type="#_x0000_t32" style="position:absolute;left:2430;top:9896;height:244;width:435;" filled="f" stroked="t" coordsize="21600,21600" o:gfxdata="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5wYS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shape id="文本框 58" o:spid="_x0000_s1026" o:spt="202" type="#_x0000_t202" style="position:absolute;left:7179;top:9989;height:456;width:804;" fillcolor="#FFFFFF" filled="t" stroked="f" coordsize="21600,21600" o:gfxdata="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La0HX6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00EFE3B">
                                                    <w:r>
                                                      <w:rPr>
                                                        <w:position w:val="-10"/>
                                                      </w:rPr>
                                                      <w:object>
                                                        <v:shape id="_x0000_i1197" o:spt="75" type="#_x0000_t75" style="height:14.9pt;width:17.05pt;" o:ole="t" filled="f" o:preferrelative="t" stroked="f" coordsize="21600,21600">
                                                          <v:path/>
                                                          <v:fill on="f" focussize="0,0"/>
                                                          <v:stroke on="f" joinstyle="miter"/>
                                                          <v:imagedata r:id="rId58" o:title=""/>
                                                          <o:lock v:ext="edit" aspectratio="t"/>
                                                          <w10:wrap type="none"/>
                                                          <w10:anchorlock/>
                                                        </v:shape>
                                                        <o:OLEObject Type="Embed" ProgID="Equation.3" ShapeID="_x0000_i1197" DrawAspect="Content" ObjectID="_1468075769" r:id="rId74">
                                                          <o:LockedField>false</o:LockedField>
                                                        </o:OLEObject>
                                                      </w:object>
                                                    </w:r>
                                                  </w:p>
                                                </w:txbxContent>
                                              </v:textbox>
                                            </v:shape>
                                            <v:shape id="自选图形 59" o:spid="_x0000_s1026" o:spt="32" type="#_x0000_t32" style="position:absolute;left:3825;top:9896;flip:y;height:169;width:376;" filled="f" stroked="t" coordsize="21600,21600" o:gfxdata="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2z6H6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60" o:spid="_x0000_s1026" o:spt="32" type="#_x0000_t32" style="position:absolute;left:2607;top:9894;height:0;width:5928;" filled="f" stroked="t" coordsize="21600,21600" o:gfxdata="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CTaUSw&#10;wAAAANwAAAAPAAAAAAAAAAEAIAAAACIAAABkcnMvZG93bnJldi54bWxQSwECFAAUAAAACACHTuJA&#10;My8FnjsAAAA5AAAAEAAAAAAAAAABACAAAAAPAQAAZHJzL3NoYXBleG1sLnhtbFBLBQYAAAAABgAG&#10;AFsBAAC5AwAAAAA=&#10;">
                                              <v:fill on="f" focussize="0,0"/>
                                              <v:stroke color="#000000" joinstyle="round" dashstyle="dash"/>
                                              <v:imagedata o:title=""/>
                                              <o:lock v:ext="edit" aspectratio="f"/>
                                            </v:shape>
                                            <v:shape id="自选图形 61" o:spid="_x0000_s1026" o:spt="32" type="#_x0000_t32" style="position:absolute;left:4201;top:9894;height:171;width:299;" filled="f" stroked="t" coordsize="21600,21600" o:gfxdata="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b0LHh74A&#10;AADcAAAADwAAAAAAAAABACAAAAAiAAAAZHJzL2Rvd25yZXYueG1sUEsBAhQAFAAAAAgAh07iQDMv&#10;BZ47AAAAOQAAABAAAAAAAAAAAQAgAAAADQEAAGRycy9zaGFwZXhtbC54bWxQSwUGAAAAAAYABgBb&#10;AQAAtwMAAAAA&#10;">
                                              <v:fill on="f" focussize="0,0"/>
                                              <v:stroke color="#000000" joinstyle="round"/>
                                              <v:imagedata o:title=""/>
                                              <o:lock v:ext="edit" aspectratio="f"/>
                                            </v:shape>
                                            <v:shape id="自选图形 62" o:spid="_x0000_s1026" o:spt="32" type="#_x0000_t32" style="position:absolute;left:5175;top:9896;flip:x;height:169;width:900;" filled="f" stroked="t" coordsize="21600,21600" o:gfxdata="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uSY5j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自选图形 63" o:spid="_x0000_s1026" o:spt="32" type="#_x0000_t32" style="position:absolute;left:6075;top:9896;height:169;width:630;" filled="f" stroked="t" coordsize="21600,21600" o:gfxdata="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Dc/Gu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自选图形 64" o:spid="_x0000_s1026" o:spt="32" type="#_x0000_t32" style="position:absolute;left:7650;top:9894;flip:x;height:171;width:885;" filled="f" stroked="t" coordsize="21600,21600" o:gfxdata="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JrgCYrsAAADc&#10;AAAADwAAAAAAAAABACAAAAAiAAAAZHJzL2Rvd25yZXYueG1sUEsBAhQAFAAAAAgAh07iQDMvBZ47&#10;AAAAOQAAABAAAAAAAAAAAQAgAAAACgEAAGRycy9zaGFwZXhtbC54bWxQSwUGAAAAAAYABgBbAQAA&#10;tAMAAAAA&#10;">
                                              <v:fill on="f" focussize="0,0"/>
                                              <v:stroke color="#000000" joinstyle="round"/>
                                              <v:imagedata o:title=""/>
                                              <o:lock v:ext="edit" aspectratio="f"/>
                                            </v:shape>
                                            <v:shape id="自选图形 65" o:spid="_x0000_s1026" o:spt="32" type="#_x0000_t32" style="position:absolute;left:8535;top:9896;height:93;width:675;" filled="f" stroked="t" coordsize="21600,21600" o:gfxdata="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4PzYK5AAAA3AAA&#10;AA8AAAAAAAAAAQAgAAAAIgAAAGRycy9kb3ducmV2LnhtbFBLAQIUABQAAAAIAIdO4kAzLwWeOwAA&#10;ADkAAAAQAAAAAAAAAAEAIAAAAAgBAABkcnMvc2hhcGV4bWwueG1sUEsFBgAAAAAGAAYAWwEAALID&#10;AAAAAA==&#10;">
                                              <v:fill on="f" focussize="0,0"/>
                                              <v:stroke color="#000000" joinstyle="round"/>
                                              <v:imagedata o:title=""/>
                                              <o:lock v:ext="edit" aspectratio="f"/>
                                            </v:shape>
                                          </v:group>
                                        </v:group>
                                      </v:group>
                                    </v:group>
                                  </v:group>
                                </v:group>
                              </v:group>
                            </v:group>
                          </v:group>
                        </v:group>
                      </v:group>
                    </v:group>
                  </v:group>
                </v:group>
                <w10:wrap type="none"/>
                <w10:anchorlock/>
              </v:group>
            </w:pict>
          </mc:Fallback>
        </mc:AlternateContent>
      </w:r>
    </w:p>
    <w:p w14:paraId="543A7F8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在这个模型中，我们可以合理地假设低能力经营者所创造的价值一般应小于高能力创造的价值；但是另一方面，低能力经营者如果采取高努力程度的话，其创造价值可以高于低努力程度的高才能经营者所创造的价值。正是这种情况的存在，使得所有者对经营者具有不完全信息的假设更趋合理。有时，所有者只能根据经营者付出的努力程度作出“信号”以采取自己的行动。这样，低能力经营者就有可能获取高工资。况且，所有者为了激励经营者的努力以提高生产效率，可能采取效率工资，使高努力、低才能的经营者有可能获取根据高才能经营者创造价值来确定的高工资。这样，存在了一种可能性，即低才能经营者可能分享一部分所有者利润。</w:t>
      </w:r>
    </w:p>
    <w:p w14:paraId="468FBDB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命题5：当所有者和经营者职能分开，但所有者对经营者具有不完全信息，而且所有者与经营者不存在合谋时，低才能的经营者的收入一般高于劳动力价值，甚至还高于其创造的价值。</w:t>
      </w:r>
    </w:p>
    <w:p w14:paraId="71E0FD2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5．所有权和经营权分开，博弈具有不完全信息，且存在合谋行为。美国学者莫利斯·察特林认为，现代大公司的行政管理机构表面上由职业经理操纵，实际上却由所有者控制。这种控制并不要求所有者直接参与决策，而是基于资本积累的内在规律，在无形中左右着公司的运营。所有者和经理阶层的利益根本上是一致的，经理人员的收入和地位都与公司的利润直接相关（zeitlin，1989）。因此，就必然存在两者合谋的可能性。</w:t>
      </w:r>
    </w:p>
    <w:p w14:paraId="105AAAD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同时，由于所有者对经营者具有不完全信息，因而监督经营者劳动的成本就比较高。研究和实践都表明，成本最小的监督是促使经营者自己监督自己。其中，最重要的是自我激励机制的建立，而要形成自我激励机制，关键是要经营者也具有剩余索取权，即建立利润分享型体制。通过合谋，经营者加大监督劳动的投入，就可以迫使生产者创造出更大的剩余价值。这些价值在所有者和经营者之间分享就可以获得更大的效用。</w:t>
      </w:r>
    </w:p>
    <w:p w14:paraId="2D920B9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命题6：当所有者和经营者职能分开，所有者对经营者具有不完全信息，且存在合谋时，经营者的收人一般由两部分组成，其中的工资部分是其创造的价值的一部分；而以剩余索取权得到的收入来源于生产者创造的剩余价值。</w:t>
      </w:r>
    </w:p>
    <w:p w14:paraId="032E7D2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6．所有者与经营者之间具有不完全信息，且不存在合谋，但经营者与生产者之间存在合谋。经营者与生产者进行合谋，这时就会陷入麦迪逊困境。这主要表现在经理等的在职消费而减少监督，生产者的在职闲暇等。下图表示生产者和经营者合谋下的劳动状况。</w:t>
      </w:r>
    </w:p>
    <w:p w14:paraId="650EAEB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经营者和生产者行为对管理活动的影响</w:t>
      </w:r>
    </w:p>
    <w:p w14:paraId="771C60C4">
      <w:pPr>
        <w:spacing w:line="300" w:lineRule="auto"/>
        <w:ind w:firstLine="420" w:firstLineChars="200"/>
        <w:rPr>
          <w:rFonts w:hint="default" w:ascii="Times New Roman" w:hAnsi="Times New Roman" w:eastAsia="宋体" w:cs="Times New Roman"/>
          <w:szCs w:val="21"/>
        </w:rPr>
      </w:pPr>
      <w:r>
        <w:rPr>
          <w:rFonts w:hint="default" w:ascii="Times New Roman" w:hAnsi="Times New Roman" w:cs="Times New Roman"/>
        </w:rPr>
        <mc:AlternateContent>
          <mc:Choice Requires="wpg">
            <w:drawing>
              <wp:anchor distT="0" distB="0" distL="114300" distR="114300" simplePos="0" relativeHeight="251673600" behindDoc="1" locked="0" layoutInCell="1" allowOverlap="1">
                <wp:simplePos x="0" y="0"/>
                <wp:positionH relativeFrom="column">
                  <wp:posOffset>-21590</wp:posOffset>
                </wp:positionH>
                <wp:positionV relativeFrom="paragraph">
                  <wp:posOffset>41275</wp:posOffset>
                </wp:positionV>
                <wp:extent cx="5981700" cy="3068955"/>
                <wp:effectExtent l="0" t="0" r="0" b="55880"/>
                <wp:wrapTight wrapText="bothSides">
                  <wp:wrapPolygon>
                    <wp:start x="2660" y="4"/>
                    <wp:lineTo x="0" y="720"/>
                    <wp:lineTo x="0" y="3401"/>
                    <wp:lineTo x="1743" y="5725"/>
                    <wp:lineTo x="1743" y="5904"/>
                    <wp:lineTo x="2568" y="8585"/>
                    <wp:lineTo x="1468" y="11446"/>
                    <wp:lineTo x="1468" y="15021"/>
                    <wp:lineTo x="2385" y="17166"/>
                    <wp:lineTo x="2660" y="18954"/>
                    <wp:lineTo x="5045" y="20027"/>
                    <wp:lineTo x="8713" y="20027"/>
                    <wp:lineTo x="8713" y="21815"/>
                    <wp:lineTo x="13391" y="21815"/>
                    <wp:lineTo x="15317" y="21457"/>
                    <wp:lineTo x="16601" y="20921"/>
                    <wp:lineTo x="16601" y="18954"/>
                    <wp:lineTo x="14583" y="18060"/>
                    <wp:lineTo x="9631" y="17166"/>
                    <wp:lineTo x="11648" y="17166"/>
                    <wp:lineTo x="18344" y="15021"/>
                    <wp:lineTo x="18436" y="11267"/>
                    <wp:lineTo x="15868" y="9479"/>
                    <wp:lineTo x="14400" y="8585"/>
                    <wp:lineTo x="15776" y="8585"/>
                    <wp:lineTo x="18252" y="6798"/>
                    <wp:lineTo x="18344" y="3401"/>
                    <wp:lineTo x="17794" y="3222"/>
                    <wp:lineTo x="12657" y="2865"/>
                    <wp:lineTo x="15776" y="1077"/>
                    <wp:lineTo x="15409" y="720"/>
                    <wp:lineTo x="3118" y="4"/>
                    <wp:lineTo x="2660" y="4"/>
                  </wp:wrapPolygon>
                </wp:wrapTight>
                <wp:docPr id="73" name="组合 73"/>
                <wp:cNvGraphicFramePr/>
                <a:graphic xmlns:a="http://schemas.openxmlformats.org/drawingml/2006/main">
                  <a:graphicData uri="http://schemas.microsoft.com/office/word/2010/wordprocessingGroup">
                    <wpg:wgp>
                      <wpg:cNvGrpSpPr/>
                      <wpg:grpSpPr>
                        <a:xfrm>
                          <a:off x="0" y="0"/>
                          <a:ext cx="5981700" cy="3068955"/>
                          <a:chOff x="2025" y="5553"/>
                          <a:chExt cx="9420" cy="4833"/>
                        </a:xfrm>
                      </wpg:grpSpPr>
                      <wpg:grpSp>
                        <wpg:cNvPr id="74" name="组合 67"/>
                        <wpg:cNvGrpSpPr/>
                        <wpg:grpSpPr>
                          <a:xfrm>
                            <a:off x="2025" y="5553"/>
                            <a:ext cx="9420" cy="4833"/>
                            <a:chOff x="2025" y="5552"/>
                            <a:chExt cx="9420" cy="4833"/>
                          </a:xfrm>
                        </wpg:grpSpPr>
                        <wpg:grpSp>
                          <wpg:cNvPr id="75" name="组合 68"/>
                          <wpg:cNvGrpSpPr/>
                          <wpg:grpSpPr>
                            <a:xfrm>
                              <a:off x="2025" y="5552"/>
                              <a:ext cx="9420" cy="4833"/>
                              <a:chOff x="2025" y="5552"/>
                              <a:chExt cx="9420" cy="4833"/>
                            </a:xfrm>
                          </wpg:grpSpPr>
                          <wps:wsp>
                            <wps:cNvPr id="440" name="文本框 69"/>
                            <wps:cNvSpPr txBox="1">
                              <a:spLocks noChangeArrowheads="1"/>
                            </wps:cNvSpPr>
                            <wps:spPr bwMode="auto">
                              <a:xfrm>
                                <a:off x="2025" y="5745"/>
                                <a:ext cx="1290" cy="570"/>
                              </a:xfrm>
                              <a:prstGeom prst="rect">
                                <a:avLst/>
                              </a:prstGeom>
                              <a:solidFill>
                                <a:srgbClr val="FFFFFF"/>
                              </a:solidFill>
                              <a:ln>
                                <a:noFill/>
                              </a:ln>
                            </wps:spPr>
                            <wps:txbx>
                              <w:txbxContent>
                                <w:p w14:paraId="30CBF99A">
                                  <w:pPr>
                                    <w:rPr>
                                      <w:sz w:val="15"/>
                                      <w:szCs w:val="15"/>
                                    </w:rPr>
                                  </w:pPr>
                                  <w:r>
                                    <w:rPr>
                                      <w:rFonts w:hint="eastAsia"/>
                                      <w:sz w:val="15"/>
                                      <w:szCs w:val="15"/>
                                    </w:rPr>
                                    <w:t>努力水平</w:t>
                                  </w:r>
                                </w:p>
                              </w:txbxContent>
                            </wps:txbx>
                            <wps:bodyPr rot="0" vert="horz" wrap="square" lIns="91440" tIns="45720" rIns="91440" bIns="45720" anchor="t" anchorCtr="0" upright="1">
                              <a:noAutofit/>
                            </wps:bodyPr>
                          </wps:wsp>
                          <wpg:grpSp>
                            <wpg:cNvPr id="76" name="组合 70"/>
                            <wpg:cNvGrpSpPr/>
                            <wpg:grpSpPr>
                              <a:xfrm>
                                <a:off x="2760" y="5552"/>
                                <a:ext cx="8685" cy="4833"/>
                                <a:chOff x="2760" y="5552"/>
                                <a:chExt cx="8685" cy="4833"/>
                              </a:xfrm>
                            </wpg:grpSpPr>
                            <wps:wsp>
                              <wps:cNvPr id="464" name="文本框 71"/>
                              <wps:cNvSpPr txBox="1">
                                <a:spLocks noChangeArrowheads="1"/>
                              </wps:cNvSpPr>
                              <wps:spPr bwMode="auto">
                                <a:xfrm>
                                  <a:off x="2850" y="6480"/>
                                  <a:ext cx="465" cy="495"/>
                                </a:xfrm>
                                <a:prstGeom prst="rect">
                                  <a:avLst/>
                                </a:prstGeom>
                                <a:solidFill>
                                  <a:srgbClr val="FFFFFF"/>
                                </a:solidFill>
                                <a:ln>
                                  <a:noFill/>
                                </a:ln>
                              </wps:spPr>
                              <wps:txbx>
                                <w:txbxContent>
                                  <w:p w14:paraId="31088C9C">
                                    <w:pPr>
                                      <w:ind w:right="-165"/>
                                    </w:pPr>
                                    <w:r>
                                      <w:rPr>
                                        <w:rFonts w:hint="eastAsia"/>
                                      </w:rPr>
                                      <w:t>E</w:t>
                                    </w:r>
                                    <w:r>
                                      <w:t>’</w:t>
                                    </w:r>
                                  </w:p>
                                </w:txbxContent>
                              </wps:txbx>
                              <wps:bodyPr rot="0" vert="horz" wrap="square" lIns="91440" tIns="45720" rIns="91440" bIns="45720" anchor="t" anchorCtr="0" upright="1">
                                <a:noAutofit/>
                              </wps:bodyPr>
                            </wps:wsp>
                            <wps:wsp>
                              <wps:cNvPr id="465" name="文本框 72"/>
                              <wps:cNvSpPr txBox="1">
                                <a:spLocks noChangeArrowheads="1"/>
                              </wps:cNvSpPr>
                              <wps:spPr bwMode="auto">
                                <a:xfrm>
                                  <a:off x="2760" y="8130"/>
                                  <a:ext cx="465" cy="861"/>
                                </a:xfrm>
                                <a:prstGeom prst="rect">
                                  <a:avLst/>
                                </a:prstGeom>
                                <a:solidFill>
                                  <a:srgbClr val="FFFFFF"/>
                                </a:solidFill>
                                <a:ln>
                                  <a:noFill/>
                                </a:ln>
                              </wps:spPr>
                              <wps:txbx>
                                <w:txbxContent>
                                  <w:p w14:paraId="6A9E3121">
                                    <w:r>
                                      <w:rPr>
                                        <w:position w:val="-10"/>
                                      </w:rPr>
                                      <w:object>
                                        <v:shape id="_x0000_i1198" o:spt="75" type="#_x0000_t75" style="height:17.05pt;width:14.9pt;" o:ole="t" filled="f" o:preferrelative="t" stroked="f" coordsize="21600,21600">
                                          <v:path/>
                                          <v:fill on="f" focussize="0,0"/>
                                          <v:stroke on="f" joinstyle="miter"/>
                                          <v:imagedata r:id="rId76" o:title=""/>
                                          <o:lock v:ext="edit" aspectratio="t"/>
                                          <w10:wrap type="none"/>
                                          <w10:anchorlock/>
                                        </v:shape>
                                        <o:OLEObject Type="Embed" ProgID="Equation.3" ShapeID="_x0000_i1198" DrawAspect="Content" ObjectID="_1468075770" r:id="rId75">
                                          <o:LockedField>false</o:LockedField>
                                        </o:OLEObject>
                                      </w:object>
                                    </w:r>
                                  </w:p>
                                </w:txbxContent>
                              </wps:txbx>
                              <wps:bodyPr rot="0" vert="horz" wrap="square" lIns="91440" tIns="45720" rIns="91440" bIns="45720" anchor="t" anchorCtr="0" upright="1">
                                <a:spAutoFit/>
                              </wps:bodyPr>
                            </wps:wsp>
                            <wps:wsp>
                              <wps:cNvPr id="466" name="文本框 73"/>
                              <wps:cNvSpPr txBox="1">
                                <a:spLocks noChangeArrowheads="1"/>
                              </wps:cNvSpPr>
                              <wps:spPr bwMode="auto">
                                <a:xfrm>
                                  <a:off x="5887" y="9772"/>
                                  <a:ext cx="1049" cy="613"/>
                                </a:xfrm>
                                <a:prstGeom prst="rect">
                                  <a:avLst/>
                                </a:prstGeom>
                                <a:solidFill>
                                  <a:srgbClr val="FFFFFF"/>
                                </a:solidFill>
                                <a:ln>
                                  <a:noFill/>
                                </a:ln>
                              </wps:spPr>
                              <wps:txbx>
                                <w:txbxContent>
                                  <w:p w14:paraId="4DD49E3E">
                                    <w:r>
                                      <w:rPr>
                                        <w:position w:val="-10"/>
                                      </w:rPr>
                                      <w:object>
                                        <v:shape id="_x0000_i1199" o:spt="75" type="#_x0000_t75" style="height:17.05pt;width:17.05pt;" o:ole="t" filled="f" o:preferrelative="t" stroked="f" coordsize="21600,21600">
                                          <v:path/>
                                          <v:fill on="f" focussize="0,0"/>
                                          <v:stroke on="f" joinstyle="miter"/>
                                          <v:imagedata r:id="rId78" o:title=""/>
                                          <o:lock v:ext="edit" aspectratio="t"/>
                                          <w10:wrap type="none"/>
                                          <w10:anchorlock/>
                                        </v:shape>
                                        <o:OLEObject Type="Embed" ProgID="Equation.3" ShapeID="_x0000_i1199" DrawAspect="Content" ObjectID="_1468075771" r:id="rId77">
                                          <o:LockedField>false</o:LockedField>
                                        </o:OLEObject>
                                      </w:object>
                                    </w:r>
                                  </w:p>
                                </w:txbxContent>
                              </wps:txbx>
                              <wps:bodyPr rot="0" vert="horz" wrap="none" lIns="91440" tIns="45720" rIns="91440" bIns="45720" anchor="t" anchorCtr="0" upright="1">
                                <a:spAutoFit/>
                              </wps:bodyPr>
                            </wps:wsp>
                            <wps:wsp>
                              <wps:cNvPr id="467" name="文本框 74"/>
                              <wps:cNvSpPr txBox="1">
                                <a:spLocks noChangeArrowheads="1"/>
                              </wps:cNvSpPr>
                              <wps:spPr bwMode="auto">
                                <a:xfrm>
                                  <a:off x="6742" y="9772"/>
                                  <a:ext cx="1066" cy="604"/>
                                </a:xfrm>
                                <a:prstGeom prst="rect">
                                  <a:avLst/>
                                </a:prstGeom>
                                <a:solidFill>
                                  <a:srgbClr val="FFFFFF"/>
                                </a:solidFill>
                                <a:ln>
                                  <a:noFill/>
                                </a:ln>
                              </wps:spPr>
                              <wps:txbx>
                                <w:txbxContent>
                                  <w:p w14:paraId="7447D1B2">
                                    <w:r>
                                      <w:rPr>
                                        <w:position w:val="-6"/>
                                      </w:rPr>
                                      <w:object>
                                        <v:shape id="_x0000_i1200" o:spt="75" type="#_x0000_t75" style="height:16.6pt;width:17.9pt;" o:ole="t" filled="f" o:preferrelative="t" stroked="f" coordsize="21600,21600">
                                          <v:path/>
                                          <v:fill on="f" focussize="0,0"/>
                                          <v:stroke on="f" joinstyle="miter"/>
                                          <v:imagedata r:id="rId80" o:title=""/>
                                          <o:lock v:ext="edit" aspectratio="t"/>
                                          <w10:wrap type="none"/>
                                          <w10:anchorlock/>
                                        </v:shape>
                                        <o:OLEObject Type="Embed" ProgID="Equation.3" ShapeID="_x0000_i1200" DrawAspect="Content" ObjectID="_1468075772" r:id="rId79">
                                          <o:LockedField>false</o:LockedField>
                                        </o:OLEObject>
                                      </w:object>
                                    </w:r>
                                  </w:p>
                                </w:txbxContent>
                              </wps:txbx>
                              <wps:bodyPr rot="0" vert="horz" wrap="none" lIns="91440" tIns="45720" rIns="91440" bIns="45720" anchor="t" anchorCtr="0" upright="1">
                                <a:spAutoFit/>
                              </wps:bodyPr>
                            </wps:wsp>
                            <wpg:grpSp>
                              <wpg:cNvPr id="77" name="组合 75"/>
                              <wpg:cNvGrpSpPr/>
                              <wpg:grpSpPr>
                                <a:xfrm>
                                  <a:off x="3315" y="5552"/>
                                  <a:ext cx="8130" cy="4833"/>
                                  <a:chOff x="3315" y="5552"/>
                                  <a:chExt cx="8130" cy="4833"/>
                                </a:xfrm>
                              </wpg:grpSpPr>
                              <wpg:grpSp>
                                <wpg:cNvPr id="78" name="组合 76"/>
                                <wpg:cNvGrpSpPr/>
                                <wpg:grpSpPr>
                                  <a:xfrm>
                                    <a:off x="3315" y="5552"/>
                                    <a:ext cx="8130" cy="4833"/>
                                    <a:chOff x="3315" y="5552"/>
                                    <a:chExt cx="8130" cy="4833"/>
                                  </a:xfrm>
                                </wpg:grpSpPr>
                                <wpg:grpSp>
                                  <wpg:cNvPr id="79" name="组合 77"/>
                                  <wpg:cNvGrpSpPr/>
                                  <wpg:grpSpPr>
                                    <a:xfrm>
                                      <a:off x="3315" y="5552"/>
                                      <a:ext cx="8130" cy="4833"/>
                                      <a:chOff x="2235" y="5549"/>
                                      <a:chExt cx="8130" cy="4833"/>
                                    </a:xfrm>
                                  </wpg:grpSpPr>
                                  <wps:wsp>
                                    <wps:cNvPr id="471" name="自选图形 78"/>
                                    <wps:cNvCnPr>
                                      <a:cxnSpLocks noChangeShapeType="1"/>
                                    </wps:cNvCnPr>
                                    <wps:spPr bwMode="auto">
                                      <a:xfrm flipV="1">
                                        <a:off x="2235" y="5550"/>
                                        <a:ext cx="0" cy="4221"/>
                                      </a:xfrm>
                                      <a:prstGeom prst="straightConnector1">
                                        <a:avLst/>
                                      </a:prstGeom>
                                      <a:noFill/>
                                      <a:ln w="9525">
                                        <a:solidFill>
                                          <a:srgbClr val="000000"/>
                                        </a:solidFill>
                                        <a:round/>
                                        <a:tailEnd type="triangle" w="med" len="med"/>
                                      </a:ln>
                                    </wps:spPr>
                                    <wps:bodyPr/>
                                  </wps:wsp>
                                  <wps:wsp>
                                    <wps:cNvPr id="472" name="自选图形 79"/>
                                    <wps:cNvCnPr>
                                      <a:cxnSpLocks noChangeShapeType="1"/>
                                    </wps:cNvCnPr>
                                    <wps:spPr bwMode="auto">
                                      <a:xfrm flipV="1">
                                        <a:off x="2235" y="9696"/>
                                        <a:ext cx="5235" cy="75"/>
                                      </a:xfrm>
                                      <a:prstGeom prst="straightConnector1">
                                        <a:avLst/>
                                      </a:prstGeom>
                                      <a:noFill/>
                                      <a:ln w="9525">
                                        <a:solidFill>
                                          <a:srgbClr val="000000"/>
                                        </a:solidFill>
                                        <a:round/>
                                        <a:tailEnd type="triangle" w="med" len="med"/>
                                      </a:ln>
                                    </wps:spPr>
                                    <wps:bodyPr/>
                                  </wps:wsp>
                                  <wps:wsp>
                                    <wps:cNvPr id="473" name="自选图形 80"/>
                                    <wps:cNvCnPr>
                                      <a:cxnSpLocks noChangeShapeType="1"/>
                                    </wps:cNvCnPr>
                                    <wps:spPr bwMode="auto">
                                      <a:xfrm flipV="1">
                                        <a:off x="2235" y="5745"/>
                                        <a:ext cx="4485" cy="4026"/>
                                      </a:xfrm>
                                      <a:prstGeom prst="straightConnector1">
                                        <a:avLst/>
                                      </a:prstGeom>
                                      <a:noFill/>
                                      <a:ln w="9525">
                                        <a:solidFill>
                                          <a:srgbClr val="000000"/>
                                        </a:solidFill>
                                        <a:round/>
                                      </a:ln>
                                    </wps:spPr>
                                    <wps:bodyPr/>
                                  </wps:wsp>
                                  <wps:wsp>
                                    <wps:cNvPr id="474" name="自选图形 81"/>
                                    <wps:cNvCnPr>
                                      <a:cxnSpLocks noChangeShapeType="1"/>
                                    </wps:cNvCnPr>
                                    <wps:spPr bwMode="auto">
                                      <a:xfrm flipV="1">
                                        <a:off x="2235" y="7485"/>
                                        <a:ext cx="4920" cy="2286"/>
                                      </a:xfrm>
                                      <a:prstGeom prst="straightConnector1">
                                        <a:avLst/>
                                      </a:prstGeom>
                                      <a:noFill/>
                                      <a:ln w="9525">
                                        <a:solidFill>
                                          <a:srgbClr val="000000"/>
                                        </a:solidFill>
                                        <a:round/>
                                      </a:ln>
                                    </wps:spPr>
                                    <wps:bodyPr/>
                                  </wps:wsp>
                                  <wps:wsp>
                                    <wps:cNvPr id="475" name="弧形 82"/>
                                    <wps:cNvSpPr/>
                                    <wps:spPr bwMode="auto">
                                      <a:xfrm rot="590059" flipH="1">
                                        <a:off x="4246" y="5549"/>
                                        <a:ext cx="3760" cy="4833"/>
                                      </a:xfrm>
                                      <a:custGeom>
                                        <a:avLst/>
                                        <a:gdLst>
                                          <a:gd name="G0" fmla="+- 0 0 0"/>
                                          <a:gd name="G1" fmla="+- 21269 0 0"/>
                                          <a:gd name="G2" fmla="+- 21600 0 0"/>
                                          <a:gd name="T0" fmla="*/ 3769 w 21491"/>
                                          <a:gd name="T1" fmla="*/ 0 h 21269"/>
                                          <a:gd name="T2" fmla="*/ 21491 w 21491"/>
                                          <a:gd name="T3" fmla="*/ 19100 h 21269"/>
                                          <a:gd name="T4" fmla="*/ 0 w 21491"/>
                                          <a:gd name="T5" fmla="*/ 21269 h 21269"/>
                                        </a:gdLst>
                                        <a:ahLst/>
                                        <a:cxnLst>
                                          <a:cxn ang="0">
                                            <a:pos x="T0" y="T1"/>
                                          </a:cxn>
                                          <a:cxn ang="0">
                                            <a:pos x="T2" y="T3"/>
                                          </a:cxn>
                                          <a:cxn ang="0">
                                            <a:pos x="T4" y="T5"/>
                                          </a:cxn>
                                        </a:cxnLst>
                                        <a:rect l="0" t="0" r="r" b="b"/>
                                        <a:pathLst>
                                          <a:path w="21491" h="21269" fill="none" extrusionOk="0">
                                            <a:moveTo>
                                              <a:pt x="3768" y="0"/>
                                            </a:moveTo>
                                            <a:cubicBezTo>
                                              <a:pt x="13283" y="1686"/>
                                              <a:pt x="20520" y="9486"/>
                                              <a:pt x="21490" y="19100"/>
                                            </a:cubicBezTo>
                                          </a:path>
                                          <a:path w="21491" h="21269" stroke="0" extrusionOk="0">
                                            <a:moveTo>
                                              <a:pt x="3768" y="0"/>
                                            </a:moveTo>
                                            <a:cubicBezTo>
                                              <a:pt x="13283" y="1686"/>
                                              <a:pt x="20520" y="9486"/>
                                              <a:pt x="21490" y="19100"/>
                                            </a:cubicBezTo>
                                            <a:lnTo>
                                              <a:pt x="0" y="21269"/>
                                            </a:lnTo>
                                            <a:close/>
                                          </a:path>
                                        </a:pathLst>
                                      </a:custGeom>
                                      <a:noFill/>
                                      <a:ln w="9525">
                                        <a:solidFill>
                                          <a:srgbClr val="000000"/>
                                        </a:solidFill>
                                        <a:round/>
                                      </a:ln>
                                    </wps:spPr>
                                    <wps:bodyPr rot="0" vert="horz" wrap="square" lIns="91440" tIns="45720" rIns="91440" bIns="45720" anchor="t" anchorCtr="0" upright="1">
                                      <a:noAutofit/>
                                    </wps:bodyPr>
                                  </wps:wsp>
                                  <wps:wsp>
                                    <wps:cNvPr id="476" name="弧形 83"/>
                                    <wps:cNvSpPr/>
                                    <wps:spPr bwMode="auto">
                                      <a:xfrm flipH="1">
                                        <a:off x="3975" y="7731"/>
                                        <a:ext cx="6390" cy="1870"/>
                                      </a:xfrm>
                                      <a:custGeom>
                                        <a:avLst/>
                                        <a:gdLst>
                                          <a:gd name="G0" fmla="+- 0 0 0"/>
                                          <a:gd name="G1" fmla="+- 19944 0 0"/>
                                          <a:gd name="G2" fmla="+- 21600 0 0"/>
                                          <a:gd name="T0" fmla="*/ 8294 w 21575"/>
                                          <a:gd name="T1" fmla="*/ 0 h 19944"/>
                                          <a:gd name="T2" fmla="*/ 21575 w 21575"/>
                                          <a:gd name="T3" fmla="*/ 18906 h 19944"/>
                                          <a:gd name="T4" fmla="*/ 0 w 21575"/>
                                          <a:gd name="T5" fmla="*/ 19944 h 19944"/>
                                        </a:gdLst>
                                        <a:ahLst/>
                                        <a:cxnLst>
                                          <a:cxn ang="0">
                                            <a:pos x="T0" y="T1"/>
                                          </a:cxn>
                                          <a:cxn ang="0">
                                            <a:pos x="T2" y="T3"/>
                                          </a:cxn>
                                          <a:cxn ang="0">
                                            <a:pos x="T4" y="T5"/>
                                          </a:cxn>
                                        </a:cxnLst>
                                        <a:rect l="0" t="0" r="r" b="b"/>
                                        <a:pathLst>
                                          <a:path w="21575" h="19944" fill="none" extrusionOk="0">
                                            <a:moveTo>
                                              <a:pt x="8294" y="-1"/>
                                            </a:moveTo>
                                            <a:cubicBezTo>
                                              <a:pt x="16002" y="3205"/>
                                              <a:pt x="21173" y="10566"/>
                                              <a:pt x="21575" y="18905"/>
                                            </a:cubicBezTo>
                                          </a:path>
                                          <a:path w="21575" h="19944" stroke="0" extrusionOk="0">
                                            <a:moveTo>
                                              <a:pt x="8294" y="-1"/>
                                            </a:moveTo>
                                            <a:cubicBezTo>
                                              <a:pt x="16002" y="3205"/>
                                              <a:pt x="21173" y="10566"/>
                                              <a:pt x="21575" y="18905"/>
                                            </a:cubicBezTo>
                                            <a:lnTo>
                                              <a:pt x="0" y="19944"/>
                                            </a:lnTo>
                                            <a:close/>
                                          </a:path>
                                        </a:pathLst>
                                      </a:custGeom>
                                      <a:noFill/>
                                      <a:ln w="9525">
                                        <a:solidFill>
                                          <a:srgbClr val="000000"/>
                                        </a:solidFill>
                                        <a:round/>
                                      </a:ln>
                                    </wps:spPr>
                                    <wps:bodyPr rot="0" vert="horz" wrap="square" lIns="91440" tIns="45720" rIns="91440" bIns="45720" anchor="t" anchorCtr="0" upright="1">
                                      <a:noAutofit/>
                                    </wps:bodyPr>
                                  </wps:wsp>
                                  <wps:wsp>
                                    <wps:cNvPr id="477" name="自选图形 84"/>
                                    <wps:cNvCnPr>
                                      <a:cxnSpLocks noChangeShapeType="1"/>
                                    </wps:cNvCnPr>
                                    <wps:spPr bwMode="auto">
                                      <a:xfrm flipH="1">
                                        <a:off x="2235" y="6690"/>
                                        <a:ext cx="3435" cy="0"/>
                                      </a:xfrm>
                                      <a:prstGeom prst="straightConnector1">
                                        <a:avLst/>
                                      </a:prstGeom>
                                      <a:noFill/>
                                      <a:ln w="9525">
                                        <a:solidFill>
                                          <a:srgbClr val="000000"/>
                                        </a:solidFill>
                                        <a:prstDash val="dash"/>
                                        <a:round/>
                                      </a:ln>
                                    </wps:spPr>
                                    <wps:bodyPr/>
                                  </wps:wsp>
                                  <wps:wsp>
                                    <wps:cNvPr id="478" name="自选图形 85"/>
                                    <wps:cNvCnPr>
                                      <a:cxnSpLocks noChangeShapeType="1"/>
                                    </wps:cNvCnPr>
                                    <wps:spPr bwMode="auto">
                                      <a:xfrm>
                                        <a:off x="5670" y="6690"/>
                                        <a:ext cx="0" cy="3006"/>
                                      </a:xfrm>
                                      <a:prstGeom prst="straightConnector1">
                                        <a:avLst/>
                                      </a:prstGeom>
                                      <a:noFill/>
                                      <a:ln w="9525">
                                        <a:solidFill>
                                          <a:srgbClr val="000000"/>
                                        </a:solidFill>
                                        <a:prstDash val="dash"/>
                                        <a:round/>
                                      </a:ln>
                                    </wps:spPr>
                                    <wps:bodyPr/>
                                  </wps:wsp>
                                  <wps:wsp>
                                    <wps:cNvPr id="479" name="自选图形 86"/>
                                    <wps:cNvCnPr>
                                      <a:cxnSpLocks noChangeShapeType="1"/>
                                    </wps:cNvCnPr>
                                    <wps:spPr bwMode="auto">
                                      <a:xfrm flipH="1">
                                        <a:off x="2235" y="8445"/>
                                        <a:ext cx="2865" cy="0"/>
                                      </a:xfrm>
                                      <a:prstGeom prst="straightConnector1">
                                        <a:avLst/>
                                      </a:prstGeom>
                                      <a:noFill/>
                                      <a:ln w="9525">
                                        <a:solidFill>
                                          <a:srgbClr val="000000"/>
                                        </a:solidFill>
                                        <a:prstDash val="dash"/>
                                        <a:round/>
                                      </a:ln>
                                    </wps:spPr>
                                    <wps:bodyPr/>
                                  </wps:wsp>
                                  <wps:wsp>
                                    <wps:cNvPr id="480" name="自选图形 87"/>
                                    <wps:cNvCnPr>
                                      <a:cxnSpLocks noChangeShapeType="1"/>
                                    </wps:cNvCnPr>
                                    <wps:spPr bwMode="auto">
                                      <a:xfrm>
                                        <a:off x="5100" y="8445"/>
                                        <a:ext cx="0" cy="1251"/>
                                      </a:xfrm>
                                      <a:prstGeom prst="straightConnector1">
                                        <a:avLst/>
                                      </a:prstGeom>
                                      <a:noFill/>
                                      <a:ln w="9525">
                                        <a:solidFill>
                                          <a:srgbClr val="000000"/>
                                        </a:solidFill>
                                        <a:prstDash val="dash"/>
                                        <a:round/>
                                      </a:ln>
                                    </wps:spPr>
                                    <wps:bodyPr/>
                                  </wps:wsp>
                                </wpg:grpSp>
                                <wps:wsp>
                                  <wps:cNvPr id="481" name="文本框 88"/>
                                  <wps:cNvSpPr txBox="1">
                                    <a:spLocks noChangeArrowheads="1"/>
                                  </wps:cNvSpPr>
                                  <wps:spPr bwMode="auto">
                                    <a:xfrm>
                                      <a:off x="7391" y="6315"/>
                                      <a:ext cx="2494" cy="782"/>
                                    </a:xfrm>
                                    <a:prstGeom prst="rect">
                                      <a:avLst/>
                                    </a:prstGeom>
                                    <a:solidFill>
                                      <a:srgbClr val="FFFFFF"/>
                                    </a:solidFill>
                                    <a:ln>
                                      <a:noFill/>
                                    </a:ln>
                                  </wps:spPr>
                                  <wps:txbx>
                                    <w:txbxContent>
                                      <w:p w14:paraId="7E6FEA66">
                                        <w:pPr>
                                          <w:rPr>
                                            <w:sz w:val="15"/>
                                            <w:szCs w:val="15"/>
                                          </w:rPr>
                                        </w:pPr>
                                        <w:r>
                                          <w:rPr>
                                            <w:rFonts w:hint="eastAsia"/>
                                            <w:sz w:val="15"/>
                                            <w:szCs w:val="15"/>
                                          </w:rPr>
                                          <w:t>经营者与生产者不存在合谋下的供给函数</w:t>
                                        </w:r>
                                      </w:p>
                                    </w:txbxContent>
                                  </wps:txbx>
                                  <wps:bodyPr rot="0" vert="horz" wrap="square" lIns="91440" tIns="45720" rIns="91440" bIns="45720" anchor="t" anchorCtr="0" upright="1">
                                    <a:noAutofit/>
                                  </wps:bodyPr>
                                </wps:wsp>
                              </wpg:grpSp>
                              <wps:wsp>
                                <wps:cNvPr id="482" name="文本框 89"/>
                                <wps:cNvSpPr txBox="1">
                                  <a:spLocks noChangeArrowheads="1"/>
                                </wps:cNvSpPr>
                                <wps:spPr bwMode="auto">
                                  <a:xfrm>
                                    <a:off x="7496" y="8130"/>
                                    <a:ext cx="2494" cy="782"/>
                                  </a:xfrm>
                                  <a:prstGeom prst="rect">
                                    <a:avLst/>
                                  </a:prstGeom>
                                  <a:solidFill>
                                    <a:srgbClr val="FFFFFF"/>
                                  </a:solidFill>
                                  <a:ln>
                                    <a:noFill/>
                                  </a:ln>
                                </wps:spPr>
                                <wps:txbx>
                                  <w:txbxContent>
                                    <w:p w14:paraId="60EA3E50">
                                      <w:pPr>
                                        <w:rPr>
                                          <w:sz w:val="15"/>
                                          <w:szCs w:val="15"/>
                                        </w:rPr>
                                      </w:pPr>
                                      <w:r>
                                        <w:rPr>
                                          <w:rFonts w:hint="eastAsia"/>
                                          <w:sz w:val="15"/>
                                          <w:szCs w:val="15"/>
                                        </w:rPr>
                                        <w:t>经营者与生产者合谋下的供给函数</w:t>
                                      </w:r>
                                    </w:p>
                                  </w:txbxContent>
                                </wps:txbx>
                                <wps:bodyPr rot="0" vert="horz" wrap="square" lIns="91440" tIns="45720" rIns="91440" bIns="45720" anchor="t" anchorCtr="0" upright="1">
                                  <a:noAutofit/>
                                </wps:bodyPr>
                              </wps:wsp>
                            </wpg:grpSp>
                          </wpg:grpSp>
                        </wpg:grpSp>
                        <wps:wsp>
                          <wps:cNvPr id="483" name="文本框 90"/>
                          <wps:cNvSpPr txBox="1">
                            <a:spLocks noChangeArrowheads="1"/>
                          </wps:cNvSpPr>
                          <wps:spPr bwMode="auto">
                            <a:xfrm>
                              <a:off x="7890" y="9774"/>
                              <a:ext cx="1275" cy="501"/>
                            </a:xfrm>
                            <a:prstGeom prst="rect">
                              <a:avLst/>
                            </a:prstGeom>
                            <a:solidFill>
                              <a:srgbClr val="FFFFFF"/>
                            </a:solidFill>
                            <a:ln>
                              <a:noFill/>
                            </a:ln>
                          </wps:spPr>
                          <wps:txbx>
                            <w:txbxContent>
                              <w:p w14:paraId="59843F0D">
                                <w:pPr>
                                  <w:rPr>
                                    <w:sz w:val="18"/>
                                    <w:szCs w:val="18"/>
                                  </w:rPr>
                                </w:pPr>
                                <w:r>
                                  <w:rPr>
                                    <w:rFonts w:hint="eastAsia"/>
                                    <w:sz w:val="18"/>
                                    <w:szCs w:val="18"/>
                                  </w:rPr>
                                  <w:t>实际工资</w:t>
                                </w:r>
                              </w:p>
                            </w:txbxContent>
                          </wps:txbx>
                          <wps:bodyPr rot="0" vert="horz" wrap="square" lIns="91440" tIns="45720" rIns="91440" bIns="45720" anchor="t" anchorCtr="0" upright="1">
                            <a:noAutofit/>
                          </wps:bodyPr>
                        </wps:wsp>
                      </wpg:grpSp>
                      <wps:wsp>
                        <wps:cNvPr id="484" name="文本框 91"/>
                        <wps:cNvSpPr txBox="1">
                          <a:spLocks noChangeArrowheads="1"/>
                        </wps:cNvSpPr>
                        <wps:spPr bwMode="auto">
                          <a:xfrm>
                            <a:off x="6367" y="6046"/>
                            <a:ext cx="375" cy="435"/>
                          </a:xfrm>
                          <a:prstGeom prst="rect">
                            <a:avLst/>
                          </a:prstGeom>
                          <a:solidFill>
                            <a:srgbClr val="FFFFFF"/>
                          </a:solidFill>
                          <a:ln>
                            <a:noFill/>
                          </a:ln>
                        </wps:spPr>
                        <wps:txbx>
                          <w:txbxContent>
                            <w:p w14:paraId="1E3FC63F">
                              <w:r>
                                <w:rPr>
                                  <w:rFonts w:hint="eastAsia"/>
                                </w:rPr>
                                <w:t>a</w:t>
                              </w:r>
                            </w:p>
                          </w:txbxContent>
                        </wps:txbx>
                        <wps:bodyPr rot="0" vert="horz" wrap="square" lIns="91440" tIns="45720" rIns="91440" bIns="45720" anchor="t" anchorCtr="0" upright="1">
                          <a:noAutofit/>
                        </wps:bodyPr>
                      </wps:wsp>
                      <wps:wsp>
                        <wps:cNvPr id="485" name="文本框 92"/>
                        <wps:cNvSpPr txBox="1">
                          <a:spLocks noChangeArrowheads="1"/>
                        </wps:cNvSpPr>
                        <wps:spPr bwMode="auto">
                          <a:xfrm>
                            <a:off x="5946" y="7875"/>
                            <a:ext cx="293" cy="435"/>
                          </a:xfrm>
                          <a:prstGeom prst="rect">
                            <a:avLst/>
                          </a:prstGeom>
                          <a:solidFill>
                            <a:srgbClr val="FFFFFF"/>
                          </a:solidFill>
                          <a:ln>
                            <a:noFill/>
                          </a:ln>
                        </wps:spPr>
                        <wps:txbx>
                          <w:txbxContent>
                            <w:p w14:paraId="004C399D">
                              <w:r>
                                <w:rPr>
                                  <w:rFonts w:hint="eastAsia"/>
                                </w:rPr>
                                <w:t>b</w:t>
                              </w:r>
                            </w:p>
                          </w:txbxContent>
                        </wps:txbx>
                        <wps:bodyPr rot="0" vert="horz" wrap="square" lIns="91440" tIns="45720" rIns="91440" bIns="45720" anchor="t" anchorCtr="0" upright="1">
                          <a:noAutofit/>
                        </wps:bodyPr>
                      </wps:wsp>
                    </wpg:wgp>
                  </a:graphicData>
                </a:graphic>
              </wp:anchor>
            </w:drawing>
          </mc:Choice>
          <mc:Fallback>
            <w:pict>
              <v:group id="_x0000_s1026" o:spid="_x0000_s1026" o:spt="203" style="position:absolute;left:0pt;margin-left:-1.7pt;margin-top:3.25pt;height:241.65pt;width:471pt;mso-wrap-distance-left:9pt;mso-wrap-distance-right:9pt;z-index:-251642880;mso-width-relative:page;mso-height-relative:page;" coordorigin="2025,5553" coordsize="9420,4833" wrapcoords="2660 4 0 720 0 3401 1743 5725 1743 5904 2568 8585 1468 11446 1468 15021 2385 17166 2660 18954 5045 20027 8713 20027 8713 21815 13391 21815 15317 21457 16601 20921 16601 18954 14583 18060 9631 17166 11648 17166 18344 15021 18436 11267 15868 9479 14400 8585 15776 8585 18252 6798 18344 3401 17794 3222 12657 2865 15776 1077 15409 720 3118 4 2660 4" o:gfxdata="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">
                <o:lock v:ext="edit" aspectratio="f"/>
                <v:group id="组合 67" o:spid="_x0000_s1026" o:spt="203" style="position:absolute;left:2025;top:5553;height:4833;width:9420;" coordorigin="2025,5552" coordsize="9420,4833" o:gfxdata="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BQ6nK2vwAAANsAAAAPAAAAAAAAAAEAIAAAACIAAABkcnMvZG93bnJldi54&#10;bWxQSwECFAAUAAAACACHTuJAMy8FnjsAAAA5AAAAFQAAAAAAAAABACAAAAAOAQAAZHJzL2dyb3Vw&#10;c2hhcGV4bWwueG1sUEsFBgAAAAAGAAYAYAEAAMsDAAAAAA==&#10;">
                  <o:lock v:ext="edit" aspectratio="f"/>
                  <v:group id="组合 68" o:spid="_x0000_s1026" o:spt="203" style="position:absolute;left:2025;top:5552;height:4833;width:9420;" coordorigin="2025,5552" coordsize="9420,4833" o:gfxdata="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P6bXLb0AAADbAAAADwAAAAAAAAABACAAAAAiAAAAZHJzL2Rvd25yZXYueG1s&#10;UEsBAhQAFAAAAAgAh07iQDMvBZ47AAAAOQAAABUAAAAAAAAAAQAgAAAADAEAAGRycy9ncm91cHNo&#10;YXBleG1sLnhtbFBLBQYAAAAABgAGAGABAADJAwAAAAA=&#10;">
                    <o:lock v:ext="edit" aspectratio="f"/>
                    <v:shape id="文本框 69" o:spid="_x0000_s1026" o:spt="202" type="#_x0000_t202" style="position:absolute;left:2025;top:5745;height:570;width:1290;" fillcolor="#FFFFFF" filled="t" stroked="f" coordsize="21600,21600" o:gfxdata="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">
                      <v:fill on="t" focussize="0,0"/>
                      <v:stroke on="f"/>
                      <v:imagedata o:title=""/>
                      <o:lock v:ext="edit" aspectratio="f"/>
                      <v:textbox>
                        <w:txbxContent>
                          <w:p w14:paraId="30CBF99A">
                            <w:pPr>
                              <w:rPr>
                                <w:sz w:val="15"/>
                                <w:szCs w:val="15"/>
                              </w:rPr>
                            </w:pPr>
                            <w:r>
                              <w:rPr>
                                <w:rFonts w:hint="eastAsia"/>
                                <w:sz w:val="15"/>
                                <w:szCs w:val="15"/>
                              </w:rPr>
                              <w:t>努力水平</w:t>
                            </w:r>
                          </w:p>
                        </w:txbxContent>
                      </v:textbox>
                    </v:shape>
                    <v:group id="组合 70" o:spid="_x0000_s1026" o:spt="203" style="position:absolute;left:2760;top:5552;height:4833;width:8685;" coordorigin="2760,5552" coordsize="8685,4833" o:gfxdata="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DPdElavwAAANsAAAAPAAAAAAAAAAEAIAAAACIAAABkcnMvZG93bnJldi54&#10;bWxQSwECFAAUAAAACACHTuJAMy8FnjsAAAA5AAAAFQAAAAAAAAABACAAAAAOAQAAZHJzL2dyb3Vw&#10;c2hhcGV4bWwueG1sUEsFBgAAAAAGAAYAYAEAAMsDAAAAAA==&#10;">
                      <o:lock v:ext="edit" aspectratio="f"/>
                      <v:shape id="文本框 71" o:spid="_x0000_s1026" o:spt="202" type="#_x0000_t202" style="position:absolute;left:2850;top:6480;height:495;width:465;" fillcolor="#FFFFFF" filled="t" stroked="f" coordsize="21600,21600" o:gfxdata="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EZICLu8AAAA&#10;3AAAAA8AAAAAAAAAAQAgAAAAIgAAAGRycy9kb3ducmV2LnhtbFBLAQIUABQAAAAIAIdO4kAzLwWe&#10;OwAAADkAAAAQAAAAAAAAAAEAIAAAAAsBAABkcnMvc2hhcGV4bWwueG1sUEsFBgAAAAAGAAYAWwEA&#10;ALUDAAAAAA==&#10;">
                        <v:fill on="t" focussize="0,0"/>
                        <v:stroke on="f"/>
                        <v:imagedata o:title=""/>
                        <o:lock v:ext="edit" aspectratio="f"/>
                        <v:textbox>
                          <w:txbxContent>
                            <w:p w14:paraId="31088C9C">
                              <w:pPr>
                                <w:ind w:right="-165"/>
                              </w:pPr>
                              <w:r>
                                <w:rPr>
                                  <w:rFonts w:hint="eastAsia"/>
                                </w:rPr>
                                <w:t>E</w:t>
                              </w:r>
                              <w:r>
                                <w:t>’</w:t>
                              </w:r>
                            </w:p>
                          </w:txbxContent>
                        </v:textbox>
                      </v:shape>
                      <v:shape id="文本框 72" o:spid="_x0000_s1026" o:spt="202" type="#_x0000_t202" style="position:absolute;left:2760;top:8130;height:861;width:465;" fillcolor="#FFFFFF" filled="t" stroked="f" coordsize="21600,21600" o:gfxdata="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HK1fL4A&#10;AADcAAAADwAAAAAAAAABACAAAAAiAAAAZHJzL2Rvd25yZXYueG1sUEsBAhQAFAAAAAgAh07iQDMv&#10;BZ47AAAAOQAAABAAAAAAAAAAAQAgAAAADQEAAGRycy9zaGFwZXhtbC54bWxQSwUGAAAAAAYABgBb&#10;AQAAtwMAAAAA&#10;">
                        <v:fill on="t" focussize="0,0"/>
                        <v:stroke on="f"/>
                        <v:imagedata o:title=""/>
                        <o:lock v:ext="edit" aspectratio="f"/>
                        <v:textbox style="mso-fit-shape-to-text:t;">
                          <w:txbxContent>
                            <w:p w14:paraId="6A9E3121">
                              <w:r>
                                <w:rPr>
                                  <w:position w:val="-10"/>
                                </w:rPr>
                                <w:object>
                                  <v:shape id="_x0000_i1198" o:spt="75" type="#_x0000_t75" style="height:17.05pt;width:14.9pt;" o:ole="t" filled="f" o:preferrelative="t" stroked="f" coordsize="21600,21600">
                                    <v:path/>
                                    <v:fill on="f" focussize="0,0"/>
                                    <v:stroke on="f" joinstyle="miter"/>
                                    <v:imagedata r:id="rId76" o:title=""/>
                                    <o:lock v:ext="edit" aspectratio="t"/>
                                    <w10:wrap type="none"/>
                                    <w10:anchorlock/>
                                  </v:shape>
                                  <o:OLEObject Type="Embed" ProgID="Equation.3" ShapeID="_x0000_i1198" DrawAspect="Content" ObjectID="_1468075773" r:id="rId81">
                                    <o:LockedField>false</o:LockedField>
                                  </o:OLEObject>
                                </w:object>
                              </w:r>
                            </w:p>
                          </w:txbxContent>
                        </v:textbox>
                      </v:shape>
                      <v:shape id="文本框 73" o:spid="_x0000_s1026" o:spt="202" type="#_x0000_t202" style="position:absolute;left:5887;top:9772;height:613;width:1049;mso-wrap-style:none;" fillcolor="#FFFFFF" filled="t" stroked="f" coordsize="21600,21600" o:gfxdata="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Sa/Gb4A&#10;AADcAAAADwAAAAAAAAABACAAAAAiAAAAZHJzL2Rvd25yZXYueG1sUEsBAhQAFAAAAAgAh07iQDMv&#10;BZ47AAAAOQAAABAAAAAAAAAAAQAgAAAADQEAAGRycy9zaGFwZXhtbC54bWxQSwUGAAAAAAYABgBb&#10;AQAAtwMAAAAA&#10;">
                        <v:fill on="t" focussize="0,0"/>
                        <v:stroke on="f"/>
                        <v:imagedata o:title=""/>
                        <o:lock v:ext="edit" aspectratio="f"/>
                        <v:textbox style="mso-fit-shape-to-text:t;">
                          <w:txbxContent>
                            <w:p w14:paraId="4DD49E3E">
                              <w:r>
                                <w:rPr>
                                  <w:position w:val="-10"/>
                                </w:rPr>
                                <w:object>
                                  <v:shape id="_x0000_i1199" o:spt="75" type="#_x0000_t75" style="height:17.05pt;width:17.05pt;" o:ole="t" filled="f" o:preferrelative="t" stroked="f" coordsize="21600,21600">
                                    <v:path/>
                                    <v:fill on="f" focussize="0,0"/>
                                    <v:stroke on="f" joinstyle="miter"/>
                                    <v:imagedata r:id="rId78" o:title=""/>
                                    <o:lock v:ext="edit" aspectratio="t"/>
                                    <w10:wrap type="none"/>
                                    <w10:anchorlock/>
                                  </v:shape>
                                  <o:OLEObject Type="Embed" ProgID="Equation.3" ShapeID="_x0000_i1199" DrawAspect="Content" ObjectID="_1468075774" r:id="rId82">
                                    <o:LockedField>false</o:LockedField>
                                  </o:OLEObject>
                                </w:object>
                              </w:r>
                            </w:p>
                          </w:txbxContent>
                        </v:textbox>
                      </v:shape>
                      <v:shape id="文本框 74" o:spid="_x0000_s1026" o:spt="202" type="#_x0000_t202" style="position:absolute;left:6742;top:9772;height:604;width:1066;mso-wrap-style:none;" fillcolor="#FFFFFF" filled="t" stroked="f" coordsize="21600,21600" o:gfxdata="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Kmoagr4A&#10;AADcAAAADwAAAAAAAAABACAAAAAiAAAAZHJzL2Rvd25yZXYueG1sUEsBAhQAFAAAAAgAh07iQDMv&#10;BZ47AAAAOQAAABAAAAAAAAAAAQAgAAAADQEAAGRycy9zaGFwZXhtbC54bWxQSwUGAAAAAAYABgBb&#10;AQAAtwMAAAAA&#10;">
                        <v:fill on="t" focussize="0,0"/>
                        <v:stroke on="f"/>
                        <v:imagedata o:title=""/>
                        <o:lock v:ext="edit" aspectratio="f"/>
                        <v:textbox style="mso-fit-shape-to-text:t;">
                          <w:txbxContent>
                            <w:p w14:paraId="7447D1B2">
                              <w:r>
                                <w:rPr>
                                  <w:position w:val="-6"/>
                                </w:rPr>
                                <w:object>
                                  <v:shape id="_x0000_i1200" o:spt="75" type="#_x0000_t75" style="height:16.6pt;width:17.9pt;" o:ole="t" filled="f" o:preferrelative="t" stroked="f" coordsize="21600,21600">
                                    <v:path/>
                                    <v:fill on="f" focussize="0,0"/>
                                    <v:stroke on="f" joinstyle="miter"/>
                                    <v:imagedata r:id="rId80" o:title=""/>
                                    <o:lock v:ext="edit" aspectratio="t"/>
                                    <w10:wrap type="none"/>
                                    <w10:anchorlock/>
                                  </v:shape>
                                  <o:OLEObject Type="Embed" ProgID="Equation.3" ShapeID="_x0000_i1200" DrawAspect="Content" ObjectID="_1468075775" r:id="rId83">
                                    <o:LockedField>false</o:LockedField>
                                  </o:OLEObject>
                                </w:object>
                              </w:r>
                            </w:p>
                          </w:txbxContent>
                        </v:textbox>
                      </v:shape>
                      <v:group id="组合 75" o:spid="_x0000_s1026" o:spt="203" style="position:absolute;left:3315;top:5552;height:4833;width:8130;" coordorigin="3315,5552" coordsize="8130,4833" o:gfxdata="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oDjswb0AAADbAAAADwAAAAAAAAABACAAAAAiAAAAZHJzL2Rvd25yZXYueG1s&#10;UEsBAhQAFAAAAAgAh07iQDMvBZ47AAAAOQAAABUAAAAAAAAAAQAgAAAADAEAAGRycy9ncm91cHNo&#10;YXBleG1sLnhtbFBLBQYAAAAABgAGAGABAADJAwAAAAA=&#10;">
                        <o:lock v:ext="edit" aspectratio="f"/>
                        <v:group id="组合 76" o:spid="_x0000_s1026" o:spt="203" style="position:absolute;left:3315;top:5552;height:4833;width:8130;" coordorigin="3315,5552" coordsize="8130,4833" o:gfxdata="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NGneLO7AAAA2wAAAA8AAAAAAAAAAQAgAAAAIgAAAGRycy9kb3ducmV2LnhtbFBL&#10;AQIUABQAAAAIAIdO4kAzLwWeOwAAADkAAAAVAAAAAAAAAAEAIAAAAAoBAABkcnMvZ3JvdXBzaGFw&#10;ZXhtbC54bWxQSwUGAAAAAAYABgBgAQAAxwMAAAAA&#10;">
                          <o:lock v:ext="edit" aspectratio="f"/>
                          <v:group id="组合 77" o:spid="_x0000_s1026" o:spt="203" style="position:absolute;left:3315;top:5552;height:4833;width:8130;" coordorigin="2235,5549" coordsize="8130,4833" o:gfxdata="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">
                            <o:lock v:ext="edit" aspectratio="f"/>
                            <v:shape id="自选图形 78" o:spid="_x0000_s1026" o:spt="32" type="#_x0000_t32" style="position:absolute;left:2235;top:5550;flip:y;height:4221;width:0;" filled="f" stroked="t" coordsize="21600,21600" o:gfxdata="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LxacJq/&#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自选图形 79" o:spid="_x0000_s1026" o:spt="32" type="#_x0000_t32" style="position:absolute;left:2235;top:9696;flip:y;height:75;width:5235;" filled="f" stroked="t" coordsize="21600,21600" o:gfxdata="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yI7u2/&#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shape id="自选图形 80" o:spid="_x0000_s1026" o:spt="32" type="#_x0000_t32" style="position:absolute;left:2235;top:5745;flip:y;height:4026;width:4485;" filled="f" stroked="t" coordsize="21600,21600" o:gfxdata="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80SThvQAA&#10;ANwAAAAPAAAAAAAAAAEAIAAAACIAAABkcnMvZG93bnJldi54bWxQSwECFAAUAAAACACHTuJAMy8F&#10;njsAAAA5AAAAEAAAAAAAAAABACAAAAAMAQAAZHJzL3NoYXBleG1sLnhtbFBLBQYAAAAABgAGAFsB&#10;AAC2AwAAAAA=&#10;">
                              <v:fill on="f" focussize="0,0"/>
                              <v:stroke color="#000000" joinstyle="round"/>
                              <v:imagedata o:title=""/>
                              <o:lock v:ext="edit" aspectratio="f"/>
                            </v:shape>
                            <v:shape id="自选图形 81" o:spid="_x0000_s1026" o:spt="32" type="#_x0000_t32" style="position:absolute;left:2235;top:7485;flip:y;height:2286;width:4920;" filled="f" stroked="t" coordsize="21600,21600" o:gfxdata="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LM4vJW8AAAA&#10;3AAAAA8AAAAAAAAAAQAgAAAAIgAAAGRycy9kb3ducmV2LnhtbFBLAQIUABQAAAAIAIdO4kAzLwWe&#10;OwAAADkAAAAQAAAAAAAAAAEAIAAAAAsBAABkcnMvc2hhcGV4bWwueG1sUEsFBgAAAAAGAAYAWwEA&#10;ALUDAAAAAA==&#10;">
                              <v:fill on="f" focussize="0,0"/>
                              <v:stroke color="#000000" joinstyle="round"/>
                              <v:imagedata o:title=""/>
                              <o:lock v:ext="edit" aspectratio="f"/>
                            </v:shape>
                            <v:shape id="弧形 82" o:spid="_x0000_s1026" o:spt="100" style="position:absolute;left:4246;top:5549;flip:x;height:4833;width:3760;rotation:-644502f;" filled="f" stroked="t" coordsize="21491,21269" o:gfxdata="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rdyXvr4A&#10;AADcAAAADwAAAAAAAAABACAAAAAiAAAAZHJzL2Rvd25yZXYueG1sUEsBAhQAFAAAAAgAh07iQDMv&#10;BZ47AAAAOQAAABAAAAAAAAAAAQAgAAAADQEAAGRycy9zaGFwZXhtbC54bWxQSwUGAAAAAAYABgBb&#10;AQAAtwMAAAAA&#10;" path="m3768,0nfc13283,1686,20520,9486,21490,19100em3768,0nsc13283,1686,20520,9486,21490,19100l0,21269xe">
                              <v:path o:connectlocs="659,0;3760,4340;0,4833" o:connectangles="0,0,0"/>
                              <v:fill on="f" focussize="0,0"/>
                              <v:stroke color="#000000" joinstyle="round"/>
                              <v:imagedata o:title=""/>
                              <o:lock v:ext="edit" aspectratio="f"/>
                            </v:shape>
                            <v:shape id="弧形 83" o:spid="_x0000_s1026" o:spt="100" style="position:absolute;left:3975;top:7731;flip:x;height:1870;width:6390;" filled="f" stroked="t" coordsize="21575,19944" o:gfxdata="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DJ7XhivQAA&#10;ANwAAAAPAAAAAAAAAAEAIAAAACIAAABkcnMvZG93bnJldi54bWxQSwECFAAUAAAACACHTuJAMy8F&#10;njsAAAA5AAAAEAAAAAAAAAABACAAAAAMAQAAZHJzL3NoYXBleG1sLnhtbFBLBQYAAAAABgAGAFsB&#10;AAC2AwAAAAA=&#10;" path="m8294,-1nfc16002,3205,21173,10566,21575,18905em8294,-1nsc16002,3205,21173,10566,21575,18905l0,19944xe">
                              <v:path o:connectlocs="2456,0;6390,1772;0,1870" o:connectangles="0,0,0"/>
                              <v:fill on="f" focussize="0,0"/>
                              <v:stroke color="#000000" joinstyle="round"/>
                              <v:imagedata o:title=""/>
                              <o:lock v:ext="edit" aspectratio="f"/>
                            </v:shape>
                            <v:shape id="自选图形 84" o:spid="_x0000_s1026" o:spt="32" type="#_x0000_t32" style="position:absolute;left:2235;top:6690;flip:x;height:0;width:3435;" filled="f" stroked="t" coordsize="21600,21600" o:gfxdata="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HGcufS/&#10;AAAA3AAAAA8AAAAAAAAAAQAgAAAAIgAAAGRycy9kb3ducmV2LnhtbFBLAQIUABQAAAAIAIdO4kAz&#10;LwWeOwAAADkAAAAQAAAAAAAAAAEAIAAAAA4BAABkcnMvc2hhcGV4bWwueG1sUEsFBgAAAAAGAAYA&#10;WwEAALgDAAAAAA==&#10;">
                              <v:fill on="f" focussize="0,0"/>
                              <v:stroke color="#000000" joinstyle="round" dashstyle="dash"/>
                              <v:imagedata o:title=""/>
                              <o:lock v:ext="edit" aspectratio="f"/>
                            </v:shape>
                            <v:shape id="自选图形 85" o:spid="_x0000_s1026" o:spt="32" type="#_x0000_t32" style="position:absolute;left:5670;top:6690;height:3006;width:0;" filled="f" stroked="t" coordsize="21600,21600" o:gfxdata="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if9kG8AAAA&#10;3AAAAA8AAAAAAAAAAQAgAAAAIgAAAGRycy9kb3ducmV2LnhtbFBLAQIUABQAAAAIAIdO4kAzLwWe&#10;OwAAADkAAAAQAAAAAAAAAAEAIAAAAAsBAABkcnMvc2hhcGV4bWwueG1sUEsFBgAAAAAGAAYAWwEA&#10;ALUDAAAAAA==&#10;">
                              <v:fill on="f" focussize="0,0"/>
                              <v:stroke color="#000000" joinstyle="round" dashstyle="dash"/>
                              <v:imagedata o:title=""/>
                              <o:lock v:ext="edit" aspectratio="f"/>
                            </v:shape>
                            <v:shape id="自选图形 86" o:spid="_x0000_s1026" o:spt="32" type="#_x0000_t32" style="position:absolute;left:2235;top:8445;flip:x;height:0;width:2865;" filled="f" stroked="t" coordsize="21600,21600" o:gfxdata="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vT4gd&#10;wAAAANwAAAAPAAAAAAAAAAEAIAAAACIAAABkcnMvZG93bnJldi54bWxQSwECFAAUAAAACACHTuJA&#10;My8FnjsAAAA5AAAAEAAAAAAAAAABACAAAAAPAQAAZHJzL3NoYXBleG1sLnhtbFBLBQYAAAAABgAG&#10;AFsBAAC5AwAAAAA=&#10;">
                              <v:fill on="f" focussize="0,0"/>
                              <v:stroke color="#000000" joinstyle="round" dashstyle="dash"/>
                              <v:imagedata o:title=""/>
                              <o:lock v:ext="edit" aspectratio="f"/>
                            </v:shape>
                            <v:shape id="自选图形 87" o:spid="_x0000_s1026" o:spt="32" type="#_x0000_t32" style="position:absolute;left:5100;top:8445;height:1251;width:0;" filled="f" stroked="t" coordsize="21600,21600" o:gfxdata="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MzyKYLsAAADc&#10;AAAADwAAAAAAAAABACAAAAAiAAAAZHJzL2Rvd25yZXYueG1sUEsBAhQAFAAAAAgAh07iQDMvBZ47&#10;AAAAOQAAABAAAAAAAAAAAQAgAAAACgEAAGRycy9zaGFwZXhtbC54bWxQSwUGAAAAAAYABgBbAQAA&#10;tAMAAAAA&#10;">
                              <v:fill on="f" focussize="0,0"/>
                              <v:stroke color="#000000" joinstyle="round" dashstyle="dash"/>
                              <v:imagedata o:title=""/>
                              <o:lock v:ext="edit" aspectratio="f"/>
                            </v:shape>
                          </v:group>
                          <v:shape id="文本框 88" o:spid="_x0000_s1026" o:spt="202" type="#_x0000_t202" style="position:absolute;left:7391;top:6315;height:782;width:2494;" fillcolor="#FFFFFF" filled="t" stroked="f" coordsize="21600,21600" o:gfxdata="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OYzTdm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7E6FEA66">
                                  <w:pPr>
                                    <w:rPr>
                                      <w:sz w:val="15"/>
                                      <w:szCs w:val="15"/>
                                    </w:rPr>
                                  </w:pPr>
                                  <w:r>
                                    <w:rPr>
                                      <w:rFonts w:hint="eastAsia"/>
                                      <w:sz w:val="15"/>
                                      <w:szCs w:val="15"/>
                                    </w:rPr>
                                    <w:t>经营者与生产者不存在合谋下的供给函数</w:t>
                                  </w:r>
                                </w:p>
                              </w:txbxContent>
                            </v:textbox>
                          </v:shape>
                        </v:group>
                        <v:shape id="文本框 89" o:spid="_x0000_s1026" o:spt="202" type="#_x0000_t202" style="position:absolute;left:7496;top:8130;height:782;width:2494;" fillcolor="#FFFFFF" filled="t" stroked="f" coordsize="21600,21600" o:gfxdata="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Bbh066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60EA3E50">
                                <w:pPr>
                                  <w:rPr>
                                    <w:sz w:val="15"/>
                                    <w:szCs w:val="15"/>
                                  </w:rPr>
                                </w:pPr>
                                <w:r>
                                  <w:rPr>
                                    <w:rFonts w:hint="eastAsia"/>
                                    <w:sz w:val="15"/>
                                    <w:szCs w:val="15"/>
                                  </w:rPr>
                                  <w:t>经营者与生产者合谋下的供给函数</w:t>
                                </w:r>
                              </w:p>
                            </w:txbxContent>
                          </v:textbox>
                        </v:shape>
                      </v:group>
                    </v:group>
                  </v:group>
                  <v:shape id="文本框 90" o:spid="_x0000_s1026" o:spt="202" type="#_x0000_t202" style="position:absolute;left:7890;top:9774;height:501;width:1275;" fillcolor="#FFFFFF" filled="t" stroked="f" coordsize="21600,21600" o:gfxdata="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mtdjW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59843F0D">
                          <w:pPr>
                            <w:rPr>
                              <w:sz w:val="18"/>
                              <w:szCs w:val="18"/>
                            </w:rPr>
                          </w:pPr>
                          <w:r>
                            <w:rPr>
                              <w:rFonts w:hint="eastAsia"/>
                              <w:sz w:val="18"/>
                              <w:szCs w:val="18"/>
                            </w:rPr>
                            <w:t>实际工资</w:t>
                          </w:r>
                        </w:p>
                      </w:txbxContent>
                    </v:textbox>
                  </v:shape>
                </v:group>
                <v:shape id="文本框 91" o:spid="_x0000_s1026" o:spt="202" type="#_x0000_t202" style="position:absolute;left:6367;top:6046;height:435;width:375;" fillcolor="#FFFFFF" filled="t" stroked="f" coordsize="21600,21600" o:gfxdata="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PZE7kG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1E3FC63F">
                        <w:r>
                          <w:rPr>
                            <w:rFonts w:hint="eastAsia"/>
                          </w:rPr>
                          <w:t>a</w:t>
                        </w:r>
                      </w:p>
                    </w:txbxContent>
                  </v:textbox>
                </v:shape>
                <v:shape id="文本框 92" o:spid="_x0000_s1026" o:spt="202" type="#_x0000_t202" style="position:absolute;left:5946;top:7875;height:435;width:293;" fillcolor="#FFFFFF" filled="t" stroked="f" coordsize="21600,21600" o:gfxdata="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JkIS9q5AAAA3AAA&#10;AA8AAAAAAAAAAQAgAAAAIgAAAGRycy9kb3ducmV2LnhtbFBLAQIUABQAAAAIAIdO4kAzLwWeOwAA&#10;ADkAAAAQAAAAAAAAAAEAIAAAAAgBAABkcnMvc2hhcGV4bWwueG1sUEsFBgAAAAAGAAYAWwEAALID&#10;AAAAAA==&#10;">
                  <v:fill on="t" focussize="0,0"/>
                  <v:stroke on="f"/>
                  <v:imagedata o:title=""/>
                  <o:lock v:ext="edit" aspectratio="f"/>
                  <v:textbox>
                    <w:txbxContent>
                      <w:p w14:paraId="004C399D">
                        <w:r>
                          <w:rPr>
                            <w:rFonts w:hint="eastAsia"/>
                          </w:rPr>
                          <w:t>b</w:t>
                        </w:r>
                      </w:p>
                    </w:txbxContent>
                  </v:textbox>
                </v:shape>
                <w10:wrap type="tight"/>
              </v:group>
            </w:pict>
          </mc:Fallback>
        </mc:AlternateContent>
      </w:r>
    </w:p>
    <w:p w14:paraId="642D79C8">
      <w:pPr>
        <w:spacing w:line="300" w:lineRule="auto"/>
        <w:ind w:firstLine="420" w:firstLineChars="200"/>
        <w:rPr>
          <w:rFonts w:hint="default" w:ascii="Times New Roman" w:hAnsi="Times New Roman" w:eastAsia="宋体" w:cs="Times New Roman"/>
          <w:szCs w:val="21"/>
        </w:rPr>
      </w:pPr>
    </w:p>
    <w:p w14:paraId="141EA918">
      <w:pPr>
        <w:spacing w:line="300" w:lineRule="auto"/>
        <w:ind w:firstLine="420" w:firstLineChars="200"/>
        <w:rPr>
          <w:rFonts w:hint="default" w:ascii="Times New Roman" w:hAnsi="Times New Roman" w:eastAsia="宋体" w:cs="Times New Roman"/>
          <w:szCs w:val="21"/>
        </w:rPr>
      </w:pPr>
    </w:p>
    <w:p w14:paraId="69D5BBDD">
      <w:pPr>
        <w:spacing w:line="300" w:lineRule="auto"/>
        <w:ind w:firstLine="420" w:firstLineChars="200"/>
        <w:rPr>
          <w:rFonts w:hint="default" w:ascii="Times New Roman" w:hAnsi="Times New Roman" w:eastAsia="宋体" w:cs="Times New Roman"/>
          <w:szCs w:val="21"/>
        </w:rPr>
      </w:pPr>
    </w:p>
    <w:p w14:paraId="51CFFF00">
      <w:pPr>
        <w:spacing w:line="300" w:lineRule="auto"/>
        <w:ind w:firstLine="420" w:firstLineChars="200"/>
        <w:rPr>
          <w:rFonts w:hint="default" w:ascii="Times New Roman" w:hAnsi="Times New Roman" w:eastAsia="宋体" w:cs="Times New Roman"/>
          <w:szCs w:val="21"/>
        </w:rPr>
      </w:pPr>
    </w:p>
    <w:p w14:paraId="13BB0EA5">
      <w:pPr>
        <w:spacing w:line="300" w:lineRule="auto"/>
        <w:ind w:firstLine="420" w:firstLineChars="200"/>
        <w:rPr>
          <w:rFonts w:hint="default" w:ascii="Times New Roman" w:hAnsi="Times New Roman" w:eastAsia="宋体" w:cs="Times New Roman"/>
          <w:szCs w:val="21"/>
        </w:rPr>
      </w:pPr>
    </w:p>
    <w:p w14:paraId="7B65045C">
      <w:pPr>
        <w:spacing w:line="300" w:lineRule="auto"/>
        <w:ind w:firstLine="420" w:firstLineChars="200"/>
        <w:rPr>
          <w:rFonts w:hint="default" w:ascii="Times New Roman" w:hAnsi="Times New Roman" w:eastAsia="宋体" w:cs="Times New Roman"/>
          <w:szCs w:val="21"/>
        </w:rPr>
      </w:pPr>
    </w:p>
    <w:p w14:paraId="4A505C57">
      <w:pPr>
        <w:spacing w:line="300" w:lineRule="auto"/>
        <w:ind w:firstLine="420" w:firstLineChars="200"/>
        <w:rPr>
          <w:rFonts w:hint="default" w:ascii="Times New Roman" w:hAnsi="Times New Roman" w:eastAsia="宋体" w:cs="Times New Roman"/>
          <w:szCs w:val="21"/>
        </w:rPr>
      </w:pPr>
    </w:p>
    <w:p w14:paraId="298A4C8C">
      <w:pPr>
        <w:spacing w:line="300" w:lineRule="auto"/>
        <w:ind w:firstLine="420" w:firstLineChars="200"/>
        <w:rPr>
          <w:rFonts w:hint="default" w:ascii="Times New Roman" w:hAnsi="Times New Roman" w:eastAsia="宋体" w:cs="Times New Roman"/>
          <w:szCs w:val="21"/>
        </w:rPr>
      </w:pPr>
    </w:p>
    <w:p w14:paraId="5E8962FF">
      <w:pPr>
        <w:spacing w:line="300" w:lineRule="auto"/>
        <w:ind w:firstLine="420" w:firstLineChars="200"/>
        <w:rPr>
          <w:rFonts w:hint="default" w:ascii="Times New Roman" w:hAnsi="Times New Roman" w:eastAsia="宋体" w:cs="Times New Roman"/>
          <w:szCs w:val="21"/>
        </w:rPr>
      </w:pPr>
    </w:p>
    <w:p w14:paraId="2AC29F3E">
      <w:pPr>
        <w:spacing w:line="300" w:lineRule="auto"/>
        <w:ind w:firstLine="420" w:firstLineChars="200"/>
        <w:rPr>
          <w:rFonts w:hint="default" w:ascii="Times New Roman" w:hAnsi="Times New Roman" w:eastAsia="宋体" w:cs="Times New Roman"/>
          <w:szCs w:val="21"/>
        </w:rPr>
      </w:pPr>
    </w:p>
    <w:p w14:paraId="0D4E0109">
      <w:pPr>
        <w:spacing w:line="300" w:lineRule="auto"/>
        <w:ind w:firstLine="420" w:firstLineChars="200"/>
        <w:rPr>
          <w:rFonts w:hint="default" w:ascii="Times New Roman" w:hAnsi="Times New Roman" w:eastAsia="宋体" w:cs="Times New Roman"/>
          <w:szCs w:val="21"/>
        </w:rPr>
      </w:pPr>
    </w:p>
    <w:p w14:paraId="1104DDAD">
      <w:pPr>
        <w:spacing w:line="300" w:lineRule="auto"/>
        <w:ind w:firstLine="420" w:firstLineChars="200"/>
        <w:rPr>
          <w:rFonts w:hint="default" w:ascii="Times New Roman" w:hAnsi="Times New Roman" w:eastAsia="宋体" w:cs="Times New Roman"/>
          <w:szCs w:val="21"/>
        </w:rPr>
      </w:pPr>
    </w:p>
    <w:p w14:paraId="7EAE461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p>
    <w:p w14:paraId="285EC95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p>
    <w:p w14:paraId="7A9B6E7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a点是经营者和生产者不存在合谋的情况下，经营者的工资水平（即效用）和努力程度的状况．b点是经营者和生产者存在合谋的情况下，经营者的工资水平（即效用）和努力程度的状况。显然，在合谋的情况下，工资的变动较小，但经营者的努力水平下降却很大，因此，创造的价值也必然降低。</w:t>
      </w:r>
    </w:p>
    <w:p w14:paraId="6F0FE36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同时，由于生产者的数目庞大，在大规模的合作中就必然会存在进一步的机会主义倾向，在长期的博弈中，生产者创造的剩余价值也会大大降低，结果反而会损坏经营者的利益。因此，经营者与生产者之间的合谋一般是难以长期存在的。</w:t>
      </w:r>
    </w:p>
    <w:p w14:paraId="128BBDC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命题7：当所有权和经营权分开，所有者对经营者具有不完全信息，且他们之间不存在合谋，但经营者与生产者之间存在合谋时，经营者的收入一般高于其劳动力价值但低于其创造的价值，然而，这种合谋一般是难以长期存在的。</w:t>
      </w:r>
    </w:p>
    <w:p w14:paraId="0F9B570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7．所有权和经营权分开，而所有者、经营者与生产者三者合谋。魏茨曼在1980年提出了所有者和生产者之问建立一种利润分享机制来解决x低效率问题，他认为，利润分享可以导致更高的劳动生产率（Weitzman,1980）。但他在1990年又有了重新的认识：随着利润分享规模的扩大，也会出现搭便车行为，从而反而降低了劳动生产率（Weitzman and Kruse，1990）。因为利润分享实质上造成“囚徒博弈”：如果每个人都更努力地工作，集体中所有成员的境况就会变得更好；但每个人都有偷懒的动机，当成员足够大时，一个人减少自己的努力，团队中任何一位成员的人均产出和报酬都不会受到很大影响。这样在长期的反复博弈中，最终出现一个非合作的“超博弈”。在没有有效的监督手段的情况下，其他工人一般就可能通过减少自己的努力来“以牙还牙”惩罚偷懒的工人。林毅夫（1994）对中国50年代的合作化研究也得到了同样的结果。阿尔钦和德姆塞茨（1972）考察了南斯拉夫的企业，认为对剩余的广泛分享会导致监督人偷懒活动的增加，由此而生产的损失会超过分享剩余的雇员减少偷懒活动所实现的收益。在疆方，实行分享制的企业也是非常的少，而且生产者利润分享越多，所有者和经营者得到的利润就越少。这样，就有可能削弱他们的动机、权力，从而弱化所有者和经营者的激励。“产权学派”也认为，在利润分享制下，生产者有更多的在职闲暇行为，经营者的决策也会更加短视。可见这种三者合谋在长期内更加不可能。</w:t>
      </w:r>
    </w:p>
    <w:p w14:paraId="25B90AE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命题8：当所者、经营者与生产者三者合谋时，经营者一般也可以得到高于劳动力价值的工资，但这种合谋在长期内更加不可能。</w:t>
      </w:r>
    </w:p>
    <w:p w14:paraId="70322FE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4"/>
        </w:rPr>
      </w:pPr>
    </w:p>
    <w:p w14:paraId="51C8ED7A">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（原载《经济学动态》2001年年第4期，第二作者和第三作者分别为施锡铨、朱富强）</w:t>
      </w:r>
    </w:p>
    <w:p w14:paraId="29E9C9D5">
      <w:pPr>
        <w:ind w:firstLine="641" w:firstLineChars="200"/>
        <w:rPr>
          <w:rFonts w:hint="default" w:ascii="Times New Roman" w:hAnsi="Times New Roman" w:cs="Times New Roman"/>
        </w:rPr>
      </w:pPr>
      <w:r>
        <w:rPr>
          <w:rFonts w:hint="default" w:ascii="Times New Roman" w:hAnsi="Times New Roman" w:eastAsia="宋体" w:cs="Times New Roman"/>
          <w:b/>
          <w:sz w:val="32"/>
          <w:szCs w:val="24"/>
        </w:rPr>
        <w:br w:type="page"/>
      </w:r>
    </w:p>
    <w:p w14:paraId="290212D8">
      <w:pPr>
        <w:spacing w:before="120" w:beforeLines="50" w:after="120" w:afterLines="50" w:line="300" w:lineRule="auto"/>
        <w:ind w:firstLine="640" w:firstLineChars="200"/>
        <w:jc w:val="center"/>
        <w:outlineLvl w:val="1"/>
        <w:rPr>
          <w:rFonts w:hint="default" w:ascii="Times New Roman" w:hAnsi="Times New Roman" w:eastAsia="黑体" w:cs="Times New Roman"/>
          <w:sz w:val="32"/>
          <w:szCs w:val="32"/>
        </w:rPr>
      </w:pPr>
      <w:bookmarkStart w:id="70" w:name="_Toc257922050"/>
      <w:bookmarkStart w:id="71" w:name="_Toc93074526"/>
      <w:bookmarkStart w:id="72" w:name="_Toc29910"/>
      <w:bookmarkStart w:id="73" w:name="_Toc27131"/>
      <w:bookmarkStart w:id="74" w:name="_Toc1566673559"/>
      <w:bookmarkStart w:id="75" w:name="_Toc285134784"/>
      <w:bookmarkStart w:id="76" w:name="_Hlk107684295"/>
      <w:r>
        <w:rPr>
          <w:rFonts w:hint="default" w:ascii="Times New Roman" w:hAnsi="Times New Roman" w:eastAsia="黑体" w:cs="Times New Roman"/>
          <w:sz w:val="32"/>
          <w:szCs w:val="32"/>
        </w:rPr>
        <w:t>西方学者关于计划社会主义绩效的分析</w:t>
      </w:r>
      <w:bookmarkEnd w:id="70"/>
      <w:bookmarkEnd w:id="71"/>
      <w:bookmarkEnd w:id="72"/>
      <w:bookmarkEnd w:id="73"/>
      <w:bookmarkEnd w:id="74"/>
      <w:bookmarkEnd w:id="75"/>
    </w:p>
    <w:bookmarkEnd w:id="76"/>
    <w:p w14:paraId="4CF99FD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计划社会主义经济体制在苏联、东欧、中国等社会主义国家和地区的历史舞台上曾经扮演了举足轻重的角色，社会主义国家因此成为世界经济之林里引人注目的一部份，一些西方学者也纷纷将目光投向社会主义经济问题的研究。尽管随着社会主义各国经济发展和经济改革进程的延伸，计划社会主义经济体制或迟或早地退出了这些国家的经济舞台，但是，借西方学者之眼回顾计划社会主义的绩效，仍然是一件颇有意义的事情。</w:t>
      </w:r>
    </w:p>
    <w:p w14:paraId="6F7B68EA">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firstLine="480" w:firstLineChars="200"/>
        <w:jc w:val="center"/>
        <w:textAlignment w:val="auto"/>
        <w:rPr>
          <w:rFonts w:hint="default" w:ascii="Times New Roman" w:hAnsi="Times New Roman" w:eastAsia="黑体" w:cs="Times New Roman"/>
          <w:b w:val="0"/>
          <w:bCs/>
          <w:sz w:val="24"/>
          <w:szCs w:val="24"/>
        </w:rPr>
      </w:pPr>
      <w:r>
        <w:rPr>
          <w:rFonts w:hint="default" w:ascii="Times New Roman" w:hAnsi="Times New Roman" w:eastAsia="黑体" w:cs="Times New Roman"/>
          <w:b w:val="0"/>
          <w:bCs/>
          <w:sz w:val="24"/>
          <w:szCs w:val="24"/>
        </w:rPr>
        <w:t>一、统一的评价标准存在吗</w:t>
      </w:r>
    </w:p>
    <w:p w14:paraId="5372DD9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分析和评价某种经济体制的绩效是一件比较复杂的事情，因为经济体制不是孤立存在的，选择和评价经济体制不能脱离其他因素，经济活动效果也不仅仅取决于体制因素，还取决于政治制度、人力物力资源状况和科学技术的发展水平等环境因素，以及政府执行的政策等因素。在评价经济体制的实绩时，即使对环境因素和政策的差异进行了必要的调整和控制，使其尽可能地保持常量，但是，由于不同的经济体制评价标准的存在，仍然可能得出不一样的结论。</w:t>
      </w:r>
    </w:p>
    <w:p w14:paraId="39F0F0F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1.阿兰·G 格鲁奇</w:t>
      </w:r>
    </w:p>
    <w:p w14:paraId="6B0F0DE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美国经济学家格鲁奇认为经济体制的目标包括充份就业，效率高的生产，持续的、适当的经济增长速度，这些目标成为评价经济成就的标准。他从成就和目标的关系中选择评价标准，这些标准包括充份就业、效率、经济增长三个方面。</w:t>
      </w:r>
    </w:p>
    <w:p w14:paraId="1490283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2.埃冈·纽伯格和威廉·达菲</w:t>
      </w:r>
    </w:p>
    <w:p w14:paraId="007C249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而美国经济学家纽伯格和达菲则是从决策的角度谈评价标准，包括生产力的增长或维持劳动力的充份就业、价格与生产的稳定、有关收入和财产的平等或获得收入和财产的机会的平等，等等。</w:t>
      </w:r>
    </w:p>
    <w:p w14:paraId="2C8637A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3.科尔奈</w:t>
      </w:r>
    </w:p>
    <w:p w14:paraId="28B1F84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匈牙利的科尔奈也提出了衡量经济运行好坏的七条标准：实际经济增长的速度，有利于技术进步，有良好的适应性，有良好的选择性，关于收入分配和就业的要求，有利于文化和社会的发展，关于决策、所有权和权力等。</w:t>
      </w:r>
    </w:p>
    <w:p w14:paraId="3B68F80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4.莫里斯·博恩斯坦</w:t>
      </w:r>
    </w:p>
    <w:p w14:paraId="1CBED34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美国的博恩斯坦的评价标准体现在如下九个方面：产出水平，产出成长率，产出的组成，静态效率，动态效率，产出、就业和价格的稳定性，个人的经济保障，公平，职业选择、消费和财产方面的经济自由。</w:t>
      </w:r>
    </w:p>
    <w:p w14:paraId="03F623C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5.弗雷德里克·L 普瑞尔</w:t>
      </w:r>
    </w:p>
    <w:p w14:paraId="7F12EBB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同样来自美国的普瑞尔也建立了自己的一套评价标准：经济增长，动态效率，经济稳定性，生产的静态效率，消费者主权（或消费者效率），能够满足人类基本需求的收入与财富的平等分配。</w:t>
      </w:r>
    </w:p>
    <w:p w14:paraId="6518458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6.保罗·R 格雷戈里和罗伯特·C 斯图尔特</w:t>
      </w:r>
    </w:p>
    <w:p w14:paraId="537EECA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美国经济学家格雷戈里和斯图尔特的经济体制评价标准与上面几位相比明显存在共同之处，但更加详细和全面，他们选择了以下六个标准。</w:t>
      </w:r>
    </w:p>
    <w:p w14:paraId="14FCBD0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（1）经济增长。经济增长是应用最广泛的经济实绩指标，指在一定时期内某一经济创造的产出量的增加或人均国民产值的增加。</w:t>
      </w:r>
    </w:p>
    <w:p w14:paraId="4A85D65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经济效率。经济效率指一个经济体制在特定时点（静态效率）或在一定时期内（动态效率）对可获得的资源（包括知识）的有效利用。效率的概率可通过生产可能性曲线得到说明。静态效率指在某一时点上不需要增加可获得的资源就能够生产出更多的生产资料和消费资料；动态效率指一个经济体制在不增加资本和劳动投入的条件下而能提高一定时期内生产产品和劳务的能力。</w:t>
      </w:r>
    </w:p>
    <w:p w14:paraId="6DFCBA0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（3）收入分配。收入分配通过著名的洛伦茨曲线或基尼系数来计量。</w:t>
      </w:r>
    </w:p>
    <w:p w14:paraId="6DE934B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（4）稳定性。所谓稳定性是指不存在经济增长率的重大波动，保持可接受的失业率，避免过高的通货膨胀率，而不问通货膨胀和失业是否是周期性的。</w:t>
      </w:r>
    </w:p>
    <w:p w14:paraId="198C0B8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（5）发展目标。他们认为根据发展目标的成功与否来评价经济体制可能是复杂的，因为实现了前述的四项目标（特别是经济增长），也就实现了这一经济体制的发展目标。</w:t>
      </w:r>
    </w:p>
    <w:p w14:paraId="47D61D8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维持国家生存。为了维持国家生存，就要求具有能够对威胁国家生存的力量进行反击的政治、军事和社会实力。从经济观点来看，要维持国家生存，就要求能把足够的人力资源投入国防（在充满敌对的世界中），以防御外部力量对这些体制的颠覆。它还需要高度的内部团结和强盛，以避免经济体制的内部崩溃</w:t>
      </w:r>
    </w:p>
    <w:p w14:paraId="6B980F2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7.默瑞尔和奥尔森</w:t>
      </w:r>
    </w:p>
    <w:p w14:paraId="63AE76F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般来说，衡量一国经济绩效的主要指标有两个，一是看其人均国民收入的水平，二是看其人均国民收入的增长率。然而，这两个指标都有着很大的偏颇性。如果仅仅是看人均国民收入的水平，则发达国家挟其数百年来的深厚积累，自然比后进国家占据优势；反之，如果仅仅是看人均国民收入的增长率，则落后国家由于基数小，起点低，其潜在的增长机会要比发达国家更多，反映在增长率上自然比发达国家更高。</w:t>
      </w:r>
    </w:p>
    <w:p w14:paraId="44CCF63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美国马里兰大学的两位经济学家默瑞尔教授和奥尔森教授（Murrell and Olson，1990）指出，为更加准确地衡量一国经济的真实绩效，需要考虑其实际人均国民收入增长率和潜在人均国民收入增长率的差距。换言之，良好的经济绩效意味着一国能尽可能地挖掘该国经济增长的潜在能力，缩小其实际人均国民收入增长率和潜在人均国民收入增长率的差距。</w:t>
      </w:r>
    </w:p>
    <w:p w14:paraId="11899742">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firstLine="480" w:firstLineChars="200"/>
        <w:jc w:val="center"/>
        <w:textAlignment w:val="auto"/>
        <w:rPr>
          <w:rFonts w:hint="default" w:ascii="Times New Roman" w:hAnsi="Times New Roman" w:eastAsia="黑体" w:cs="Times New Roman"/>
          <w:b w:val="0"/>
          <w:bCs/>
          <w:sz w:val="24"/>
          <w:szCs w:val="24"/>
        </w:rPr>
      </w:pPr>
      <w:r>
        <w:rPr>
          <w:rFonts w:hint="default" w:ascii="Times New Roman" w:hAnsi="Times New Roman" w:eastAsia="黑体" w:cs="Times New Roman"/>
          <w:b w:val="0"/>
          <w:bCs/>
          <w:sz w:val="24"/>
          <w:szCs w:val="24"/>
        </w:rPr>
        <w:t>二、计划社会主义能正常运行吗</w:t>
      </w:r>
    </w:p>
    <w:p w14:paraId="638AE60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萨缪尔森在《经济学》教科书中解释“为什么要学习苏联经济”时指出：“同它的早期批评家所相信的东西相反，苏联经济迅速地增长，扩大了它的影响并且赢得了许多盟友。它成功地把自己从一个军事上的弱国，弱到1918年向德国乞求休战，变成了一个令整个世界感到害怕的超级大国。从经济学的观点来看，也许最有意义的教训是，命令经济是可以发挥机能的。命令是这样组织经济的，即国家拥有生产手段，利润不是主要的动力，而且主要决策是由行政上作出的──这种命令经济可以在很长的时期内运行良好。”（萨缪尔森：《经济学》（第12版），中国发展出版社1992年版，第1296页。）</w:t>
      </w:r>
    </w:p>
    <w:p w14:paraId="234081D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美国经济学家费希尔·唐布什在其《经济学》一书中写道：“计划体制运行得如何？在第二次世界大战后的大部份时期内，苏联的增长虽然没有日本快，但比美国快。”即使在传统体制和国际环境有利于私有制大国的条件下，中苏两国的发展业绩和效率也超过了多数西方国家。我国的综合国力，1949年排名世界第13位，1962年列第10位，1988年列第6位；到80年代末，苏联综合国力大大超过德、法、英、日等发达或不发达的私有制国家，成为与美国日益接近的世界第二号强国。</w:t>
      </w:r>
    </w:p>
    <w:p w14:paraId="66FD153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苏联从1925～1940年，只用15年的时间走完了主要资本主义国家用50～100年走过的路程。1913年，俄国工业产值在欧洲居第四位，在世界居第五位。到1940年，苏联的工业产值已超过英、法、德三国，跃居欧洲第一位，世界第二位。形成鲜明对照的是，20年代末至30年代，资本主义国家爆发了两次空前严重的世界性经济危机，使资本主义世界的工业生产下降了40%以上。把各种各样的虚夸统计数字去掉以后，仍然可以看出，苏联的工业发展的确很快，至少到六十年代末还是如此。二次大战后的恢复工作，步伐也很快。1964～1982年，苏联经济每年平均递增6.1%，超过了所有西方国家。社会生产总值增长1.46倍，工业产量占世界的1/5，有20多种主要工业品的产量均超过美国居世界领先地位。这一时期苏联改革和发展的结果表明，建立在科学测算基础上的计划经济，仍是十分有效的经济管理手段，它能把有限的资源和技术进行最佳的配置和利用，在短时间里就能取得明显的效果。</w:t>
      </w:r>
    </w:p>
    <w:p w14:paraId="22D5165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西方学者一致认为，中国40年来的经济发展取得了重大成就。“它（中国）使人人吃饱、穿暖，有房子住和保持健康，对大部份人提供了教育，数以百万计的人没有挨饿……”（〔美〕查尔斯·K.威尔伯主编：《发达与不发达问题的政治经济学》，中国社会科学出版社1984年版，第439页。）“中国在现代工业发展取得迅速进步的同时，能够满足居民的基本需要并提高其生活水平。在某些领域，例如，在向全体居民提供保健服务方面，他们的成就是特别令人注目的。正如摩拉兹在1977年指出的，中国的保健水平大体相当于美国在30年代的水平──对于一个人均收入不到300美元的国家来说，这是一个了不起的成就。他们从一开始就注意缩小在收入分配、消费分配和财富分配方面的不平等，并注意逐步缩小三大差别。尽管居民的不同部份之间生活水平仍有重要差距，但这种差别在中国要比任何其他地方要小”。“过去1/4世纪的中国经济史表明，迅速工业化同满足基本需要并不矛盾，事实上两者是互相推动的”。（〔英〕阿克特辛：《基本需要还是国际经济新秩序》，《世界发展》1979年第7卷，第591页、593页。）</w:t>
      </w:r>
    </w:p>
    <w:p w14:paraId="278098DD">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firstLine="480" w:firstLineChars="200"/>
        <w:jc w:val="center"/>
        <w:textAlignment w:val="auto"/>
        <w:rPr>
          <w:rFonts w:hint="default" w:ascii="Times New Roman" w:hAnsi="Times New Roman" w:eastAsia="黑体" w:cs="Times New Roman"/>
          <w:b w:val="0"/>
          <w:bCs/>
          <w:sz w:val="24"/>
          <w:szCs w:val="24"/>
        </w:rPr>
      </w:pPr>
      <w:r>
        <w:rPr>
          <w:rFonts w:hint="default" w:ascii="Times New Roman" w:hAnsi="Times New Roman" w:eastAsia="黑体" w:cs="Times New Roman"/>
          <w:b w:val="0"/>
          <w:bCs/>
          <w:sz w:val="24"/>
          <w:szCs w:val="24"/>
        </w:rPr>
        <w:t>三、计划社会主义有可取之处吗</w:t>
      </w:r>
    </w:p>
    <w:p w14:paraId="62572BF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美国学者雷诺兹认为，社会主义集中计划体制对于落后国家集中力量迅速实现工业化具有一定的积极作用。因为经济要增长，就得强制性地限制消费，同时提高投资率，不能做到这一点的“软弱无力的国家”，其经济是不会高速增长的。如果无法限制消费，如果在现代的政治条件下人民不等经济基础奠定好就要求建立福利国家，那实际上排除了发展的可能性。在社会主义国家，由于实行集中计划体制，虽然人均收入水平大大低于资本主义国家，但它们的资本形成率却高于资本主义国家。通过集中计划管理，可以有效地限制消费，提高资本投资率，促进经济增长。1950～1960年的情况表明，社会主义国家确实获得了较高的平均增长率。因此，雷诺兹指出：“社会主义国家集中力量迅速发展重工业的做法，对几个较大的欠发达国家具有参考意义。”（雷诺兹：《经济学的三个世界》，商务印书馆1990年版，第253页。）</w:t>
      </w:r>
    </w:p>
    <w:p w14:paraId="656CEE9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日本学者百百和等也提出了自己的看法：“集权式计划经济对于经济发展到一定阶段的国家自力更生地迅速实现工业化，虽不能说是最好的方法，但却是一种具有相当效力的体制。”（百百和等：《经济计划论》，陕西人民出版社1986年版，第221页。）</w:t>
      </w:r>
    </w:p>
    <w:p w14:paraId="5E077AE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默瑞尔和奥尔森在分析计划体制国家高储蓄率和高投资率的由来时指出，由于在计划体制国家中，权力相对集中且统治稳定，所以其治国者的利益自然而然地易于和整个国家的兴衰荣辱紧密相连，因而计划体制国家的领导人更为关心自己国家的经济成长。这种关心首先表现在治国者对经济增长率的渴求上。由于在敌对意识形态国家的包围之中明显感到的生存威胁，由于一国的经济实力（主要是工业力量、科技力量和军事力量而非消费者的福利水平）直接决定它在国际上的影响和地位，由于更高的增长率在两种制度的竞争中可以提高自身意识形态的感召力，所以不难理解，社会主义国家几乎都以“赶超战略”为基本政策。相对极权的政治体制不仅赋予了治国者强烈的动机去关心经济成长，而且这种体制还给治国者实现自己的雄心壮志提供了有利条件。首先，强有力的集权政府可以轻易地粉碎各种利益集团给对经济增长的干扰。奥尔森在《国家兴衰探源》（1982）一书中指出，寻求特殊利益的各种组织或集团过于活跃时，将会降低社会效率和国民收入，而且还会带来政治不稳定因素。其次，由于长期任职，治国者可以有足够长远的眼光去进行长期投资，比如科技、基础设施和基础工业等等，而这将在一定程度上为日后的经济成长奠定基础。</w:t>
      </w:r>
    </w:p>
    <w:p w14:paraId="6252D67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的确，以集权式计划社会主义为核心的“苏联模式”曾起过积极作用，能够在特定的历史条件下，集中有限的人力、物力和财力，在较短的时间内恢复和发展国民经济，奠定了搞工业化必需的物质技术基础。正因为如此，才使东欧诸国在建国初期都比较好有比较快地战后经济恢复和发展工作。</w:t>
      </w:r>
    </w:p>
    <w:p w14:paraId="2A1D8D3E">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firstLine="480" w:firstLineChars="200"/>
        <w:jc w:val="center"/>
        <w:textAlignment w:val="auto"/>
        <w:rPr>
          <w:rFonts w:hint="default" w:ascii="Times New Roman" w:hAnsi="Times New Roman" w:eastAsia="黑体" w:cs="Times New Roman"/>
          <w:b w:val="0"/>
          <w:bCs/>
          <w:sz w:val="24"/>
          <w:szCs w:val="24"/>
        </w:rPr>
      </w:pPr>
      <w:r>
        <w:rPr>
          <w:rFonts w:hint="default" w:ascii="Times New Roman" w:hAnsi="Times New Roman" w:eastAsia="黑体" w:cs="Times New Roman"/>
          <w:b w:val="0"/>
          <w:bCs/>
          <w:sz w:val="24"/>
          <w:szCs w:val="24"/>
        </w:rPr>
        <w:t>四、计划社会主义有优越性吗</w:t>
      </w:r>
    </w:p>
    <w:p w14:paraId="43FC857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纽伯格和达菲认为，计划社会主义所采用的中央集权的决策结构有其自身的优点，概括起来，主要表现在以下几个方面：（1）有利于实现体制指导者的目标；（2）有利于迅速改变经济结构，进行大规模的经济调整和变革；（3）有利于提高长期经济效益和宏观经济效益；（4）有可能把外在的经济情况和非经济情况内在化；（5）能够集中信息，从宏观上把握整个经济系统的情况；（6）能把有限的人、财、物集中起来用于最重要的领域；（7）有利于产品的规格化和标准化。</w:t>
      </w:r>
    </w:p>
    <w:p w14:paraId="41929F0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熊彼特也承认计划社会主义经济存在一定的优越性。首先，社会主义经济关系的性质消除了经济环境的不确定性，从而使社会主义经济的调节过程得以迅速合理有效地进行。其次，社会主义计划经济的性质消除了经济波动和周期性的危机，计划调节从根本上消除了周期性波动的成因。再次，社会主义中央集权性质的经济在根本上是一种适合现代生产力发展要求的社会生产形式。熊彼特预言：“社会主义的经营管理将自己证明优于大企业资本主义，犹如大企业资本主义证明自己优于100年前的英国产业所代表的那种竞争的资本主义一样。”（熊彼特：《资本主义、社会主义和民主主义》，商务印书馆1979年版，第254页。）最后，社会主义中央集权的计划经济由于全民利益的一致性保证了最大限度地社会冲突所造成的浪费及其对生产过程的损害。</w:t>
      </w:r>
    </w:p>
    <w:p w14:paraId="2B376DB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英国的经济学家克里·特纳克莱夫·科利斯提出中央计划的社会主义经济在下面三个主要领域比市场经济优越：（1）在刺激经济成长上；（2）在保持均衡的经济发展上；（3）在现代电子计算机技术的帮助下制定一个适当的，即使不是最优的价格制度上。</w:t>
      </w:r>
    </w:p>
    <w:p w14:paraId="2E8769B4">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firstLine="480" w:firstLineChars="200"/>
        <w:jc w:val="center"/>
        <w:textAlignment w:val="auto"/>
        <w:rPr>
          <w:rFonts w:hint="default" w:ascii="Times New Roman" w:hAnsi="Times New Roman" w:eastAsia="黑体" w:cs="Times New Roman"/>
          <w:b w:val="0"/>
          <w:bCs/>
          <w:sz w:val="24"/>
          <w:szCs w:val="24"/>
        </w:rPr>
      </w:pPr>
      <w:r>
        <w:rPr>
          <w:rFonts w:hint="default" w:ascii="Times New Roman" w:hAnsi="Times New Roman" w:eastAsia="黑体" w:cs="Times New Roman"/>
          <w:b w:val="0"/>
          <w:bCs/>
          <w:sz w:val="24"/>
          <w:szCs w:val="24"/>
        </w:rPr>
        <w:t>五、计划社会主义有比较优势吗</w:t>
      </w:r>
    </w:p>
    <w:p w14:paraId="5AD6605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1.新中国与印度经济的比较</w:t>
      </w:r>
    </w:p>
    <w:p w14:paraId="7CC0704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作为新中国起点的工农业生产条件均比印度差，但是，实行计划社会主义的中国却获得了比走资本主义道路的印度更快的经济发展。1950～1976年，印度农业生产的年平均增长速度为2.5%，而我国1953～1979年这一指标是3.4%。新中国30年，包括粮食、棉花、油菜、花生、茶叶、甘蔗、黄红麻、猪、羊和水产品在内的农产品以及农业劳动生产率都比印度增长得快。1949～1978年，印度工业生产发展速度比过去快得多，年平均增长率6%。然而新中国工业发展更迅速，1953～1979年的年平均增长为11.1%，除生铁产量外，包括钢、原煤、原油、水泥、硫酸、棉纱和发电量等在内的工业产量，都先后赶上并大大超过印度。</w:t>
      </w:r>
    </w:p>
    <w:p w14:paraId="0958250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格雷戈里和斯图尔特在分析印度经济发展时这样评价：与其他发展中国家相比，印度的人均收入增长速度较慢，尽管中国和印度在相同的起点上发展其摆脱殖民统治后的经济，但印度经济增长的成绩也比中国差得多，由于较低的经济增长率，印度的人均收入只是中国的四分之三。大多数权威人士认为，中国在国民生产总值增长率和人均国民收入增长率方面超过了印度，而印度和中国很可能是以相同的人均收入水平进入战后时代的。</w:t>
      </w:r>
    </w:p>
    <w:p w14:paraId="26AA51A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2.新中国与发达的资本主义国家经济的比较</w:t>
      </w:r>
    </w:p>
    <w:p w14:paraId="0C55FFA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其一，繁荣发展时期对比。战后70年代以前是西方国家发展的黄金时代，1953～1978年主要资本主义国家工业生产年平均增长速度为：日本10.9%，西德5.7%，法国5.2%，美国4.0%，英国2.5%；1953～1976年其农业年平均增长速度为：法国2.5%，日本和英国2.1%，美国1.8%，西德1.3%。前述新中国大约同期的这两指标都比发达国家高。其二，正常发展时期对比。倘若拿我国和西方这五个发达国家均处于正常发展时期的1950～1957年来对比，那么，除了法国的石油产量增长速度略高于中国之外，其余各国的钢、原煤、石油和发电量的发展速度都低于我国。其三，工业化初期对比。美国资本主义工业化初期的工业生产增长速度最快，1850～1859年为6.1%，1980～1869年为8.2%，1870～1879年为3.1%，1880～1889年为5.5%，1890～1899年为3.3%，而我国经济正常运转的第一个五年计划时期，工业生产平均每年增长18%。其四，起点相近时期对比。我国钢产量从1949年的15.8万吨提高到1979年的3 448万吨，花了30年时间，而类似的发展过程，美国用了40年（1872年的14.5万吨到1912年的3 195万吨），日本用了53年（1910年的16.8万吨到1963年的3 150万吨），英国1860年为15万吨，用了120多年，才达到3 000万吨。这是单项实物量的变化对照。整个工业价值量的变化对照同样能说明问题。1952年我国工业生产的“底子”，总量比1860年美国工业生产的“底子”大，而以这两个年份为起点的工业增长速度，中国大大地快于美国。1860～1880年美国工业总产值从18.9亿美元上升到53.7亿美元，20年才增长了180%；1952～1957年我国工业总产值（不包括手工业）从270.2亿元上升到650.2亿元，五年就增长了141%。</w:t>
      </w:r>
    </w:p>
    <w:p w14:paraId="6912401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由此可见，西方主要资本主义国家限于私产制障碍，没有充份释放科技进步和产业革命所蕴藏的经济潜能，许多重要经济指标的增长比有较大弊端的社会主义计划经济国家要慢；新中国30年在较僵化的计划产品经济体制中运行，其发展得益于公有制内生机制的优势，赶上并超过了多数私产制国家，与某些发达国家的若干重要经济差距缩小了。</w:t>
      </w:r>
    </w:p>
    <w:p w14:paraId="53073CB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 w:val="21"/>
          <w:szCs w:val="21"/>
        </w:rPr>
      </w:pPr>
      <w:r>
        <w:rPr>
          <w:rFonts w:hint="default" w:ascii="Times New Roman" w:hAnsi="Times New Roman" w:eastAsia="宋体" w:cs="Times New Roman"/>
          <w:b/>
          <w:sz w:val="21"/>
          <w:szCs w:val="21"/>
        </w:rPr>
        <w:t>3.格雷戈里和斯图尔特关于计划社会主义与资本主义经济绩效的比较</w:t>
      </w:r>
    </w:p>
    <w:p w14:paraId="56D3E3A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格雷戈里和斯图尔特从以下五个方面分析比较了计划社会主义和资本主义的经济绩效，并且得出了他们自己的结论。</w:t>
      </w:r>
    </w:p>
    <w:p w14:paraId="3CF2232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收入分配。他们的结论是计划社会主义的收入分配比资本主义平等。计划社会主义经济中，国家（社会）通常拥有土地和资源，这些资本的收益将归属国家。认为社会主义国家将比资本主义社会更不平等地分配这项劳动收益，虽然是可以想象的，但却是不大可能的。而那些政府在再分配中不发挥重要作用的资本主义国家，其收入分配与计划社会主义国家更是存在明显差别。</w:t>
      </w:r>
    </w:p>
    <w:p w14:paraId="3D2FA34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效率。他们认为，以最优化目标的计划技术在现实世界中的应用是有限的，计划社会主义经济不得不使用物资平衡计划程序，而这种程序不大可能把社会主义经济纳入生产可能性曲线图。事实上，物资平衡计划的目的是连续性而不是最优化。因而，计划社会主义无论在动态效率和静态效率方面都不能取得很好成果的假定，看来是相当可靠的。但是，他们又强调，要对比资本主义和计划社会主义的静态和动态效率并非易事，因为得到的数据太少，以致无法进行非常令人满意的比较。而只分析有限区间的少量数据，从分散的迹象中得出的关于资本主义和计划社会主义的相对效率的结论，必定存在相当的局限性。</w:t>
      </w:r>
    </w:p>
    <w:p w14:paraId="211893F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经济增长。计划社会主义储蓄率比较高，因为社会主义国家很可能把迅速增长作为优先目标（建设社会主义）。在计划社会主义经济中，迅速增长将通过高储蓄率和计划者把资源引向对最大化增长的追求而得到促进。应假定计划社会主义经济有更高的增长率，但促使问题复杂化的是计划社会主义经济表现为更低的效率。这样也就不能轻率地作出关于计划社会主义具有相对迅速增长率的肯定。他们还根据表3-1得出一个总的结论：在战后期间，计划社会主义国家和资本主义国家之间的经济增长率并无重大差距，这一期间的实证记录并没有显示谁是经济增长竞赛的优胜者。</w:t>
      </w:r>
    </w:p>
    <w:p w14:paraId="2949183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经济稳定性。他们预计计划社会主义比资本主义更稳定，虽然计划社会主义中隐藏着受抑制的通货膨胀和不充份就业，并提出三条理由支撑他们的观点：其一，计划社会主义的投资支出受到计划者的控制并可能保持在相当稳定的比率上，因此，投资支出的波动（这是资本主义经济中不稳定的主要来源）很可能较小。其二，计划社会主义的物资平衡计划将导致劳动供给和需求的大致平衡，因为未就业劳动会导致增长潜力的不充份利用。其三，消费品的供给和需求将在很大程度上受到国家的控制（计划者指定产业工资和决定消费品产量），而且国家不易受到社会压力而去实行扩张性的货币政策。根据实际的分析，他们得出的结论是，社会主义计划经济看来要比资本主义经济稳定，在计划社会主义体制下，看来有更多的就业保证、企业生存保障以及比较稳定的消费品价格。</w:t>
      </w:r>
    </w:p>
    <w:p w14:paraId="5EC216BC">
      <w:pPr>
        <w:spacing w:line="300" w:lineRule="auto"/>
        <w:ind w:firstLine="420" w:firstLineChars="200"/>
        <w:jc w:val="center"/>
        <w:rPr>
          <w:rFonts w:hint="default" w:ascii="Times New Roman" w:hAnsi="Times New Roman" w:eastAsia="宋体" w:cs="Times New Roman"/>
          <w:b/>
          <w:bCs/>
          <w:szCs w:val="21"/>
        </w:rPr>
      </w:pPr>
      <w:r>
        <w:rPr>
          <w:rFonts w:hint="default" w:ascii="Times New Roman" w:hAnsi="Times New Roman" w:eastAsia="宋体" w:cs="Times New Roman"/>
          <w:b/>
          <w:bCs/>
          <w:szCs w:val="21"/>
        </w:rPr>
        <w:t>表3-1    1950年～1980年期间社会主义国家和资本主义国家的国民生产</w:t>
      </w:r>
    </w:p>
    <w:p w14:paraId="6C2090F9">
      <w:pPr>
        <w:spacing w:line="300" w:lineRule="auto"/>
        <w:ind w:firstLine="420" w:firstLineChars="200"/>
        <w:jc w:val="center"/>
        <w:rPr>
          <w:rFonts w:hint="default" w:ascii="Times New Roman" w:hAnsi="Times New Roman" w:eastAsia="宋体" w:cs="Times New Roman"/>
          <w:szCs w:val="21"/>
        </w:rPr>
      </w:pPr>
      <w:r>
        <w:rPr>
          <w:rFonts w:hint="default" w:ascii="Times New Roman" w:hAnsi="Times New Roman" w:eastAsia="宋体" w:cs="Times New Roman"/>
          <w:b/>
          <w:bCs/>
          <w:szCs w:val="21"/>
        </w:rPr>
        <w:t>总值和人均国民生产总值的平均年增长</w:t>
      </w:r>
      <w:r>
        <w:rPr>
          <w:rFonts w:hint="default" w:ascii="Times New Roman" w:hAnsi="Times New Roman" w:eastAsia="宋体" w:cs="Times New Roman"/>
          <w:szCs w:val="21"/>
        </w:rPr>
        <w:t>（括号内为人均数值）</w:t>
      </w:r>
    </w:p>
    <w:p w14:paraId="05AA9DAA">
      <w:pPr>
        <w:spacing w:line="300" w:lineRule="auto"/>
        <w:ind w:firstLine="420" w:firstLineChars="200"/>
        <w:rPr>
          <w:rFonts w:hint="default" w:ascii="Times New Roman" w:hAnsi="Times New Roman" w:eastAsia="宋体" w:cs="Times New Roman"/>
          <w:szCs w:val="21"/>
        </w:rPr>
      </w:pPr>
    </w:p>
    <w:tbl>
      <w:tblPr>
        <w:tblStyle w:val="17"/>
        <w:tblW w:w="8283" w:type="dxa"/>
        <w:tblInd w:w="0" w:type="dxa"/>
        <w:tblLayout w:type="fixed"/>
        <w:tblCellMar>
          <w:top w:w="0" w:type="dxa"/>
          <w:left w:w="0" w:type="dxa"/>
          <w:bottom w:w="0" w:type="dxa"/>
          <w:right w:w="0" w:type="dxa"/>
        </w:tblCellMar>
      </w:tblPr>
      <w:tblGrid>
        <w:gridCol w:w="640"/>
        <w:gridCol w:w="1218"/>
        <w:gridCol w:w="1276"/>
        <w:gridCol w:w="1276"/>
        <w:gridCol w:w="1440"/>
        <w:gridCol w:w="1316"/>
        <w:gridCol w:w="1117"/>
      </w:tblGrid>
      <w:tr w14:paraId="2ACBF3CE">
        <w:trPr>
          <w:trHeight w:val="315" w:hRule="atLeast"/>
        </w:trPr>
        <w:tc>
          <w:tcPr>
            <w:tcW w:w="640" w:type="dxa"/>
            <w:tcBorders>
              <w:top w:val="single" w:color="auto" w:sz="8" w:space="0"/>
              <w:left w:val="nil"/>
              <w:bottom w:val="single" w:color="auto" w:sz="4" w:space="0"/>
              <w:right w:val="nil"/>
            </w:tcBorders>
            <w:tcMar>
              <w:top w:w="15" w:type="dxa"/>
              <w:left w:w="15" w:type="dxa"/>
              <w:bottom w:w="0" w:type="dxa"/>
              <w:right w:w="15" w:type="dxa"/>
            </w:tcMar>
            <w:vAlign w:val="center"/>
          </w:tcPr>
          <w:p w14:paraId="3D4A2D56">
            <w:pPr>
              <w:autoSpaceDE w:val="0"/>
              <w:autoSpaceDN w:val="0"/>
              <w:ind w:firstLine="300" w:firstLineChars="200"/>
              <w:jc w:val="center"/>
              <w:rPr>
                <w:rFonts w:hint="default" w:ascii="Times New Roman" w:hAnsi="Times New Roman" w:eastAsia="宋体" w:cs="Times New Roman"/>
                <w:sz w:val="15"/>
                <w:szCs w:val="15"/>
              </w:rPr>
            </w:pPr>
          </w:p>
        </w:tc>
        <w:tc>
          <w:tcPr>
            <w:tcW w:w="1218" w:type="dxa"/>
            <w:tcBorders>
              <w:top w:val="single" w:color="auto" w:sz="8" w:space="0"/>
              <w:left w:val="single" w:color="auto" w:sz="4" w:space="0"/>
              <w:bottom w:val="single" w:color="auto" w:sz="4" w:space="0"/>
              <w:right w:val="single" w:color="auto" w:sz="4" w:space="0"/>
            </w:tcBorders>
            <w:tcMar>
              <w:top w:w="15" w:type="dxa"/>
              <w:left w:w="15" w:type="dxa"/>
              <w:bottom w:w="0" w:type="dxa"/>
              <w:right w:w="15" w:type="dxa"/>
            </w:tcMar>
            <w:vAlign w:val="center"/>
          </w:tcPr>
          <w:p w14:paraId="2957D05F">
            <w:pPr>
              <w:autoSpaceDE w:val="0"/>
              <w:autoSpaceDN w:val="0"/>
              <w:ind w:firstLine="300" w:firstLineChars="200"/>
              <w:jc w:val="center"/>
              <w:rPr>
                <w:rFonts w:hint="default" w:ascii="Times New Roman" w:hAnsi="Times New Roman" w:eastAsia="宋体" w:cs="Times New Roman"/>
                <w:sz w:val="15"/>
                <w:szCs w:val="15"/>
              </w:rPr>
            </w:pPr>
          </w:p>
        </w:tc>
        <w:tc>
          <w:tcPr>
            <w:tcW w:w="1276" w:type="dxa"/>
            <w:tcBorders>
              <w:top w:val="single" w:color="auto" w:sz="8" w:space="0"/>
              <w:left w:val="nil"/>
              <w:bottom w:val="single" w:color="auto" w:sz="4" w:space="0"/>
              <w:right w:val="single" w:color="auto" w:sz="4" w:space="0"/>
            </w:tcBorders>
            <w:tcMar>
              <w:top w:w="15" w:type="dxa"/>
              <w:left w:w="15" w:type="dxa"/>
              <w:bottom w:w="0" w:type="dxa"/>
              <w:right w:w="15" w:type="dxa"/>
            </w:tcMar>
            <w:vAlign w:val="center"/>
          </w:tcPr>
          <w:p w14:paraId="05BCAD00">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1950～1960</w:t>
            </w:r>
          </w:p>
        </w:tc>
        <w:tc>
          <w:tcPr>
            <w:tcW w:w="1276" w:type="dxa"/>
            <w:tcBorders>
              <w:top w:val="single" w:color="auto" w:sz="8" w:space="0"/>
              <w:left w:val="single" w:color="auto" w:sz="4" w:space="0"/>
              <w:bottom w:val="single" w:color="auto" w:sz="4" w:space="0"/>
              <w:right w:val="single" w:color="auto" w:sz="4" w:space="0"/>
            </w:tcBorders>
            <w:tcMar>
              <w:top w:w="15" w:type="dxa"/>
              <w:left w:w="15" w:type="dxa"/>
              <w:bottom w:w="0" w:type="dxa"/>
              <w:right w:w="15" w:type="dxa"/>
            </w:tcMar>
            <w:vAlign w:val="center"/>
          </w:tcPr>
          <w:p w14:paraId="412B4F63">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1960～1965</w:t>
            </w:r>
          </w:p>
        </w:tc>
        <w:tc>
          <w:tcPr>
            <w:tcW w:w="1440" w:type="dxa"/>
            <w:tcBorders>
              <w:top w:val="single" w:color="auto" w:sz="8" w:space="0"/>
              <w:left w:val="single" w:color="auto" w:sz="4" w:space="0"/>
              <w:bottom w:val="single" w:color="auto" w:sz="4" w:space="0"/>
              <w:right w:val="nil"/>
            </w:tcBorders>
            <w:tcMar>
              <w:top w:w="15" w:type="dxa"/>
              <w:left w:w="15" w:type="dxa"/>
              <w:bottom w:w="0" w:type="dxa"/>
              <w:right w:w="15" w:type="dxa"/>
            </w:tcMar>
            <w:vAlign w:val="center"/>
          </w:tcPr>
          <w:p w14:paraId="0340A42F">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1965～1970</w:t>
            </w:r>
          </w:p>
        </w:tc>
        <w:tc>
          <w:tcPr>
            <w:tcW w:w="1316" w:type="dxa"/>
            <w:tcBorders>
              <w:top w:val="single" w:color="auto" w:sz="8" w:space="0"/>
              <w:left w:val="single" w:color="auto" w:sz="4" w:space="0"/>
              <w:bottom w:val="single" w:color="auto" w:sz="4" w:space="0"/>
              <w:right w:val="nil"/>
            </w:tcBorders>
            <w:vAlign w:val="center"/>
          </w:tcPr>
          <w:p w14:paraId="44B7DBDC">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1970～1975</w:t>
            </w:r>
          </w:p>
        </w:tc>
        <w:tc>
          <w:tcPr>
            <w:tcW w:w="1117" w:type="dxa"/>
            <w:tcBorders>
              <w:top w:val="single" w:color="auto" w:sz="8" w:space="0"/>
              <w:left w:val="single" w:color="auto" w:sz="4" w:space="0"/>
              <w:bottom w:val="single" w:color="auto" w:sz="4" w:space="0"/>
              <w:right w:val="single" w:color="auto" w:sz="4" w:space="0"/>
            </w:tcBorders>
            <w:vAlign w:val="center"/>
          </w:tcPr>
          <w:p w14:paraId="279B2807">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1975～1980</w:t>
            </w:r>
          </w:p>
        </w:tc>
      </w:tr>
      <w:tr w14:paraId="2241C81E">
        <w:trPr>
          <w:cantSplit/>
          <w:trHeight w:val="315" w:hRule="atLeast"/>
        </w:trPr>
        <w:tc>
          <w:tcPr>
            <w:tcW w:w="640" w:type="dxa"/>
            <w:vMerge w:val="restart"/>
            <w:tcBorders>
              <w:top w:val="nil"/>
              <w:left w:val="nil"/>
              <w:bottom w:val="single" w:color="000000" w:sz="4" w:space="0"/>
              <w:right w:val="single" w:color="auto" w:sz="4" w:space="0"/>
            </w:tcBorders>
            <w:tcMar>
              <w:top w:w="15" w:type="dxa"/>
              <w:left w:w="15" w:type="dxa"/>
              <w:bottom w:w="0" w:type="dxa"/>
              <w:right w:w="15" w:type="dxa"/>
            </w:tcMar>
            <w:textDirection w:val="tbRlV"/>
            <w:vAlign w:val="center"/>
          </w:tcPr>
          <w:p w14:paraId="3053F953">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计划社会主义国家</w:t>
            </w:r>
          </w:p>
        </w:tc>
        <w:tc>
          <w:tcPr>
            <w:tcW w:w="1218" w:type="dxa"/>
            <w:tcBorders>
              <w:top w:val="nil"/>
              <w:left w:val="nil"/>
              <w:bottom w:val="nil"/>
              <w:right w:val="single" w:color="auto" w:sz="4" w:space="0"/>
            </w:tcBorders>
            <w:tcMar>
              <w:top w:w="15" w:type="dxa"/>
              <w:left w:w="15" w:type="dxa"/>
              <w:bottom w:w="0" w:type="dxa"/>
              <w:right w:w="15" w:type="dxa"/>
            </w:tcMar>
            <w:vAlign w:val="center"/>
          </w:tcPr>
          <w:p w14:paraId="60C1B8AA">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捷克斯洛伐克</w:t>
            </w:r>
          </w:p>
        </w:tc>
        <w:tc>
          <w:tcPr>
            <w:tcW w:w="1276" w:type="dxa"/>
            <w:tcBorders>
              <w:top w:val="nil"/>
              <w:left w:val="nil"/>
              <w:bottom w:val="nil"/>
              <w:right w:val="single" w:color="auto" w:sz="4" w:space="0"/>
            </w:tcBorders>
            <w:tcMar>
              <w:top w:w="15" w:type="dxa"/>
              <w:left w:w="15" w:type="dxa"/>
              <w:bottom w:w="0" w:type="dxa"/>
              <w:right w:w="15" w:type="dxa"/>
            </w:tcMar>
            <w:vAlign w:val="center"/>
          </w:tcPr>
          <w:p w14:paraId="600A5D21">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4.8(3.9)</w:t>
            </w:r>
          </w:p>
        </w:tc>
        <w:tc>
          <w:tcPr>
            <w:tcW w:w="1276" w:type="dxa"/>
            <w:tcBorders>
              <w:top w:val="nil"/>
              <w:left w:val="single" w:color="auto" w:sz="4" w:space="0"/>
              <w:bottom w:val="nil"/>
              <w:right w:val="single" w:color="auto" w:sz="4" w:space="0"/>
            </w:tcBorders>
            <w:tcMar>
              <w:top w:w="15" w:type="dxa"/>
              <w:left w:w="15" w:type="dxa"/>
              <w:bottom w:w="0" w:type="dxa"/>
              <w:right w:w="15" w:type="dxa"/>
            </w:tcMar>
            <w:vAlign w:val="center"/>
          </w:tcPr>
          <w:p w14:paraId="42FE9F1D">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2.3(1.6)</w:t>
            </w:r>
          </w:p>
        </w:tc>
        <w:tc>
          <w:tcPr>
            <w:tcW w:w="1440" w:type="dxa"/>
            <w:tcBorders>
              <w:top w:val="nil"/>
              <w:left w:val="single" w:color="auto" w:sz="4" w:space="0"/>
              <w:bottom w:val="nil"/>
              <w:right w:val="nil"/>
            </w:tcBorders>
            <w:tcMar>
              <w:top w:w="15" w:type="dxa"/>
              <w:left w:w="15" w:type="dxa"/>
              <w:bottom w:w="0" w:type="dxa"/>
              <w:right w:w="15" w:type="dxa"/>
            </w:tcMar>
            <w:vAlign w:val="center"/>
          </w:tcPr>
          <w:p w14:paraId="0B32102A">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3.4(3.2)</w:t>
            </w:r>
          </w:p>
        </w:tc>
        <w:tc>
          <w:tcPr>
            <w:tcW w:w="1316" w:type="dxa"/>
            <w:tcBorders>
              <w:top w:val="nil"/>
              <w:left w:val="single" w:color="auto" w:sz="4" w:space="0"/>
              <w:bottom w:val="nil"/>
              <w:right w:val="nil"/>
            </w:tcBorders>
            <w:vAlign w:val="center"/>
          </w:tcPr>
          <w:p w14:paraId="2792099D">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3.4(2.7)</w:t>
            </w:r>
          </w:p>
        </w:tc>
        <w:tc>
          <w:tcPr>
            <w:tcW w:w="1117" w:type="dxa"/>
            <w:tcBorders>
              <w:top w:val="nil"/>
              <w:left w:val="single" w:color="auto" w:sz="4" w:space="0"/>
              <w:bottom w:val="nil"/>
              <w:right w:val="single" w:color="auto" w:sz="4" w:space="0"/>
            </w:tcBorders>
            <w:vAlign w:val="center"/>
          </w:tcPr>
          <w:p w14:paraId="0A20A2E2">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2.2(1.5)</w:t>
            </w:r>
          </w:p>
        </w:tc>
      </w:tr>
      <w:tr w14:paraId="54B000AF">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5C535239">
            <w:pPr>
              <w:autoSpaceDE w:val="0"/>
              <w:autoSpaceDN w:val="0"/>
              <w:ind w:firstLine="300" w:firstLineChars="200"/>
              <w:jc w:val="center"/>
              <w:rPr>
                <w:rFonts w:hint="default" w:ascii="Times New Roman" w:hAnsi="Times New Roman" w:eastAsia="宋体" w:cs="Times New Roman"/>
                <w:sz w:val="15"/>
                <w:szCs w:val="15"/>
              </w:rPr>
            </w:pPr>
          </w:p>
        </w:tc>
        <w:tc>
          <w:tcPr>
            <w:tcW w:w="1218" w:type="dxa"/>
            <w:tcBorders>
              <w:top w:val="nil"/>
              <w:left w:val="nil"/>
              <w:bottom w:val="nil"/>
              <w:right w:val="single" w:color="auto" w:sz="4" w:space="0"/>
            </w:tcBorders>
            <w:tcMar>
              <w:top w:w="15" w:type="dxa"/>
              <w:left w:w="15" w:type="dxa"/>
              <w:bottom w:w="0" w:type="dxa"/>
              <w:right w:w="15" w:type="dxa"/>
            </w:tcMar>
            <w:vAlign w:val="center"/>
          </w:tcPr>
          <w:p w14:paraId="46B16FC4">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民主德国</w:t>
            </w:r>
          </w:p>
        </w:tc>
        <w:tc>
          <w:tcPr>
            <w:tcW w:w="1276" w:type="dxa"/>
            <w:tcBorders>
              <w:top w:val="nil"/>
              <w:left w:val="nil"/>
              <w:bottom w:val="nil"/>
              <w:right w:val="single" w:color="auto" w:sz="4" w:space="0"/>
            </w:tcBorders>
            <w:tcMar>
              <w:top w:w="15" w:type="dxa"/>
              <w:left w:w="15" w:type="dxa"/>
              <w:bottom w:w="0" w:type="dxa"/>
              <w:right w:w="15" w:type="dxa"/>
            </w:tcMar>
            <w:vAlign w:val="center"/>
          </w:tcPr>
          <w:p w14:paraId="4BD99D89">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5.7(6.7)</w:t>
            </w:r>
          </w:p>
        </w:tc>
        <w:tc>
          <w:tcPr>
            <w:tcW w:w="1276" w:type="dxa"/>
            <w:tcBorders>
              <w:top w:val="nil"/>
              <w:left w:val="single" w:color="auto" w:sz="4" w:space="0"/>
              <w:bottom w:val="nil"/>
              <w:right w:val="single" w:color="auto" w:sz="4" w:space="0"/>
            </w:tcBorders>
            <w:tcMar>
              <w:top w:w="15" w:type="dxa"/>
              <w:left w:w="15" w:type="dxa"/>
              <w:bottom w:w="0" w:type="dxa"/>
              <w:right w:w="15" w:type="dxa"/>
            </w:tcMar>
            <w:vAlign w:val="center"/>
          </w:tcPr>
          <w:p w14:paraId="2BD207F2">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2.7(3.0)</w:t>
            </w:r>
          </w:p>
        </w:tc>
        <w:tc>
          <w:tcPr>
            <w:tcW w:w="1440" w:type="dxa"/>
            <w:tcBorders>
              <w:top w:val="nil"/>
              <w:left w:val="single" w:color="auto" w:sz="4" w:space="0"/>
              <w:bottom w:val="nil"/>
              <w:right w:val="nil"/>
            </w:tcBorders>
            <w:tcMar>
              <w:top w:w="15" w:type="dxa"/>
              <w:left w:w="15" w:type="dxa"/>
              <w:bottom w:w="0" w:type="dxa"/>
              <w:right w:w="15" w:type="dxa"/>
            </w:tcMar>
            <w:vAlign w:val="center"/>
          </w:tcPr>
          <w:p w14:paraId="59015A98">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3.0(3.1)</w:t>
            </w:r>
          </w:p>
        </w:tc>
        <w:tc>
          <w:tcPr>
            <w:tcW w:w="1316" w:type="dxa"/>
            <w:tcBorders>
              <w:top w:val="nil"/>
              <w:left w:val="single" w:color="auto" w:sz="4" w:space="0"/>
              <w:bottom w:val="nil"/>
              <w:right w:val="nil"/>
            </w:tcBorders>
            <w:vAlign w:val="center"/>
          </w:tcPr>
          <w:p w14:paraId="5562BCFB">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3.4(3.8)</w:t>
            </w:r>
          </w:p>
        </w:tc>
        <w:tc>
          <w:tcPr>
            <w:tcW w:w="1117" w:type="dxa"/>
            <w:tcBorders>
              <w:top w:val="nil"/>
              <w:left w:val="single" w:color="auto" w:sz="4" w:space="0"/>
              <w:bottom w:val="nil"/>
              <w:right w:val="single" w:color="auto" w:sz="4" w:space="0"/>
            </w:tcBorders>
            <w:vAlign w:val="center"/>
          </w:tcPr>
          <w:p w14:paraId="27ADEDEF">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2.3(2.5)</w:t>
            </w:r>
          </w:p>
        </w:tc>
      </w:tr>
      <w:tr w14:paraId="442D4BC5">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0E10DB11">
            <w:pPr>
              <w:autoSpaceDE w:val="0"/>
              <w:autoSpaceDN w:val="0"/>
              <w:ind w:firstLine="300" w:firstLineChars="200"/>
              <w:jc w:val="center"/>
              <w:rPr>
                <w:rFonts w:hint="default" w:ascii="Times New Roman" w:hAnsi="Times New Roman" w:eastAsia="宋体" w:cs="Times New Roman"/>
                <w:sz w:val="15"/>
                <w:szCs w:val="15"/>
              </w:rPr>
            </w:pPr>
          </w:p>
        </w:tc>
        <w:tc>
          <w:tcPr>
            <w:tcW w:w="1218" w:type="dxa"/>
            <w:tcBorders>
              <w:top w:val="nil"/>
              <w:left w:val="nil"/>
              <w:bottom w:val="nil"/>
              <w:right w:val="single" w:color="auto" w:sz="4" w:space="0"/>
            </w:tcBorders>
            <w:tcMar>
              <w:top w:w="15" w:type="dxa"/>
              <w:left w:w="15" w:type="dxa"/>
              <w:bottom w:w="0" w:type="dxa"/>
              <w:right w:w="15" w:type="dxa"/>
            </w:tcMar>
            <w:vAlign w:val="center"/>
          </w:tcPr>
          <w:p w14:paraId="7CF3123E">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苏    联</w:t>
            </w:r>
          </w:p>
        </w:tc>
        <w:tc>
          <w:tcPr>
            <w:tcW w:w="1276" w:type="dxa"/>
            <w:tcBorders>
              <w:top w:val="nil"/>
              <w:left w:val="nil"/>
              <w:bottom w:val="nil"/>
              <w:right w:val="single" w:color="auto" w:sz="4" w:space="0"/>
            </w:tcBorders>
            <w:tcMar>
              <w:top w:w="15" w:type="dxa"/>
              <w:left w:w="15" w:type="dxa"/>
              <w:bottom w:w="0" w:type="dxa"/>
              <w:right w:w="15" w:type="dxa"/>
            </w:tcMar>
            <w:vAlign w:val="center"/>
          </w:tcPr>
          <w:p w14:paraId="4FB97C1C">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5.7(3.9)</w:t>
            </w:r>
          </w:p>
        </w:tc>
        <w:tc>
          <w:tcPr>
            <w:tcW w:w="1276" w:type="dxa"/>
            <w:tcBorders>
              <w:top w:val="nil"/>
              <w:left w:val="single" w:color="auto" w:sz="4" w:space="0"/>
              <w:bottom w:val="nil"/>
              <w:right w:val="single" w:color="auto" w:sz="4" w:space="0"/>
            </w:tcBorders>
            <w:tcMar>
              <w:top w:w="15" w:type="dxa"/>
              <w:left w:w="15" w:type="dxa"/>
              <w:bottom w:w="0" w:type="dxa"/>
              <w:right w:w="15" w:type="dxa"/>
            </w:tcMar>
            <w:vAlign w:val="center"/>
          </w:tcPr>
          <w:p w14:paraId="7D129C20">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5.0(3.5)</w:t>
            </w:r>
          </w:p>
        </w:tc>
        <w:tc>
          <w:tcPr>
            <w:tcW w:w="1440" w:type="dxa"/>
            <w:tcBorders>
              <w:top w:val="nil"/>
              <w:left w:val="single" w:color="auto" w:sz="4" w:space="0"/>
              <w:bottom w:val="nil"/>
              <w:right w:val="nil"/>
            </w:tcBorders>
            <w:tcMar>
              <w:top w:w="15" w:type="dxa"/>
              <w:left w:w="15" w:type="dxa"/>
              <w:bottom w:w="0" w:type="dxa"/>
              <w:right w:w="15" w:type="dxa"/>
            </w:tcMar>
            <w:vAlign w:val="center"/>
          </w:tcPr>
          <w:p w14:paraId="0C1EB300">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5.2(4.2)</w:t>
            </w:r>
          </w:p>
        </w:tc>
        <w:tc>
          <w:tcPr>
            <w:tcW w:w="1316" w:type="dxa"/>
            <w:tcBorders>
              <w:top w:val="nil"/>
              <w:left w:val="single" w:color="auto" w:sz="4" w:space="0"/>
              <w:bottom w:val="nil"/>
              <w:right w:val="nil"/>
            </w:tcBorders>
            <w:vAlign w:val="center"/>
          </w:tcPr>
          <w:p w14:paraId="19F45BEB">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3.7(2.7)</w:t>
            </w:r>
          </w:p>
        </w:tc>
        <w:tc>
          <w:tcPr>
            <w:tcW w:w="1117" w:type="dxa"/>
            <w:tcBorders>
              <w:top w:val="nil"/>
              <w:left w:val="single" w:color="auto" w:sz="4" w:space="0"/>
              <w:bottom w:val="nil"/>
              <w:right w:val="single" w:color="auto" w:sz="4" w:space="0"/>
            </w:tcBorders>
            <w:vAlign w:val="center"/>
          </w:tcPr>
          <w:p w14:paraId="77D3D4D1">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2.7(1.8)</w:t>
            </w:r>
          </w:p>
        </w:tc>
      </w:tr>
      <w:tr w14:paraId="0AD030E6">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3711079A">
            <w:pPr>
              <w:autoSpaceDE w:val="0"/>
              <w:autoSpaceDN w:val="0"/>
              <w:ind w:firstLine="300" w:firstLineChars="200"/>
              <w:jc w:val="center"/>
              <w:rPr>
                <w:rFonts w:hint="default" w:ascii="Times New Roman" w:hAnsi="Times New Roman" w:eastAsia="宋体" w:cs="Times New Roman"/>
                <w:sz w:val="15"/>
                <w:szCs w:val="15"/>
              </w:rPr>
            </w:pPr>
          </w:p>
        </w:tc>
        <w:tc>
          <w:tcPr>
            <w:tcW w:w="1218" w:type="dxa"/>
            <w:tcBorders>
              <w:top w:val="nil"/>
              <w:left w:val="nil"/>
              <w:bottom w:val="nil"/>
              <w:right w:val="single" w:color="auto" w:sz="4" w:space="0"/>
            </w:tcBorders>
            <w:tcMar>
              <w:top w:w="15" w:type="dxa"/>
              <w:left w:w="15" w:type="dxa"/>
              <w:bottom w:w="0" w:type="dxa"/>
              <w:right w:w="15" w:type="dxa"/>
            </w:tcMar>
            <w:vAlign w:val="center"/>
          </w:tcPr>
          <w:p w14:paraId="6FC0D2C4">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波    兰</w:t>
            </w:r>
          </w:p>
        </w:tc>
        <w:tc>
          <w:tcPr>
            <w:tcW w:w="1276" w:type="dxa"/>
            <w:tcBorders>
              <w:top w:val="nil"/>
              <w:left w:val="nil"/>
              <w:bottom w:val="nil"/>
              <w:right w:val="single" w:color="auto" w:sz="4" w:space="0"/>
            </w:tcBorders>
            <w:tcMar>
              <w:top w:w="15" w:type="dxa"/>
              <w:left w:w="15" w:type="dxa"/>
              <w:bottom w:w="0" w:type="dxa"/>
              <w:right w:w="15" w:type="dxa"/>
            </w:tcMar>
            <w:vAlign w:val="center"/>
          </w:tcPr>
          <w:p w14:paraId="43132B35">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4.6(2.75)</w:t>
            </w:r>
          </w:p>
        </w:tc>
        <w:tc>
          <w:tcPr>
            <w:tcW w:w="1276" w:type="dxa"/>
            <w:tcBorders>
              <w:top w:val="nil"/>
              <w:left w:val="single" w:color="auto" w:sz="4" w:space="0"/>
              <w:bottom w:val="nil"/>
              <w:right w:val="single" w:color="auto" w:sz="4" w:space="0"/>
            </w:tcBorders>
            <w:tcMar>
              <w:top w:w="15" w:type="dxa"/>
              <w:left w:w="15" w:type="dxa"/>
              <w:bottom w:w="0" w:type="dxa"/>
              <w:right w:w="15" w:type="dxa"/>
            </w:tcMar>
            <w:vAlign w:val="center"/>
          </w:tcPr>
          <w:p w14:paraId="24131464">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4.4(3.2)</w:t>
            </w:r>
          </w:p>
        </w:tc>
        <w:tc>
          <w:tcPr>
            <w:tcW w:w="1440" w:type="dxa"/>
            <w:tcBorders>
              <w:top w:val="nil"/>
              <w:left w:val="single" w:color="auto" w:sz="4" w:space="0"/>
              <w:bottom w:val="nil"/>
              <w:right w:val="nil"/>
            </w:tcBorders>
            <w:tcMar>
              <w:top w:w="15" w:type="dxa"/>
              <w:left w:w="15" w:type="dxa"/>
              <w:bottom w:w="0" w:type="dxa"/>
              <w:right w:w="15" w:type="dxa"/>
            </w:tcMar>
            <w:vAlign w:val="center"/>
          </w:tcPr>
          <w:p w14:paraId="6C238E69">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4.1(3.4)</w:t>
            </w:r>
          </w:p>
        </w:tc>
        <w:tc>
          <w:tcPr>
            <w:tcW w:w="1316" w:type="dxa"/>
            <w:tcBorders>
              <w:top w:val="nil"/>
              <w:left w:val="single" w:color="auto" w:sz="4" w:space="0"/>
              <w:bottom w:val="nil"/>
              <w:right w:val="nil"/>
            </w:tcBorders>
            <w:vAlign w:val="center"/>
          </w:tcPr>
          <w:p w14:paraId="4296B3BE">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6.4(5.4)</w:t>
            </w:r>
          </w:p>
        </w:tc>
        <w:tc>
          <w:tcPr>
            <w:tcW w:w="1117" w:type="dxa"/>
            <w:tcBorders>
              <w:top w:val="nil"/>
              <w:left w:val="single" w:color="auto" w:sz="4" w:space="0"/>
              <w:bottom w:val="nil"/>
              <w:right w:val="single" w:color="auto" w:sz="4" w:space="0"/>
            </w:tcBorders>
            <w:vAlign w:val="center"/>
          </w:tcPr>
          <w:p w14:paraId="51ED85D8">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0.7(0)</w:t>
            </w:r>
          </w:p>
        </w:tc>
      </w:tr>
      <w:tr w14:paraId="2625CB6C">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7248F3A7">
            <w:pPr>
              <w:autoSpaceDE w:val="0"/>
              <w:autoSpaceDN w:val="0"/>
              <w:ind w:firstLine="300" w:firstLineChars="200"/>
              <w:jc w:val="center"/>
              <w:rPr>
                <w:rFonts w:hint="default" w:ascii="Times New Roman" w:hAnsi="Times New Roman" w:eastAsia="宋体" w:cs="Times New Roman"/>
                <w:sz w:val="15"/>
                <w:szCs w:val="15"/>
              </w:rPr>
            </w:pPr>
          </w:p>
        </w:tc>
        <w:tc>
          <w:tcPr>
            <w:tcW w:w="1218" w:type="dxa"/>
            <w:tcBorders>
              <w:top w:val="nil"/>
              <w:left w:val="nil"/>
              <w:bottom w:val="nil"/>
              <w:right w:val="single" w:color="auto" w:sz="4" w:space="0"/>
            </w:tcBorders>
            <w:tcMar>
              <w:top w:w="15" w:type="dxa"/>
              <w:left w:w="15" w:type="dxa"/>
              <w:bottom w:w="0" w:type="dxa"/>
              <w:right w:w="15" w:type="dxa"/>
            </w:tcMar>
            <w:vAlign w:val="center"/>
          </w:tcPr>
          <w:p w14:paraId="533C1356">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匈 牙 利</w:t>
            </w:r>
          </w:p>
        </w:tc>
        <w:tc>
          <w:tcPr>
            <w:tcW w:w="1276" w:type="dxa"/>
            <w:tcBorders>
              <w:top w:val="nil"/>
              <w:left w:val="nil"/>
              <w:bottom w:val="nil"/>
              <w:right w:val="single" w:color="auto" w:sz="4" w:space="0"/>
            </w:tcBorders>
            <w:tcMar>
              <w:top w:w="15" w:type="dxa"/>
              <w:left w:w="15" w:type="dxa"/>
              <w:bottom w:w="0" w:type="dxa"/>
              <w:right w:w="15" w:type="dxa"/>
            </w:tcMar>
            <w:vAlign w:val="center"/>
          </w:tcPr>
          <w:p w14:paraId="249A5F8D">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4.6(4.0)</w:t>
            </w:r>
          </w:p>
        </w:tc>
        <w:tc>
          <w:tcPr>
            <w:tcW w:w="1276" w:type="dxa"/>
            <w:tcBorders>
              <w:top w:val="nil"/>
              <w:left w:val="single" w:color="auto" w:sz="4" w:space="0"/>
              <w:bottom w:val="nil"/>
              <w:right w:val="single" w:color="auto" w:sz="4" w:space="0"/>
            </w:tcBorders>
            <w:tcMar>
              <w:top w:w="15" w:type="dxa"/>
              <w:left w:w="15" w:type="dxa"/>
              <w:bottom w:w="0" w:type="dxa"/>
              <w:right w:w="15" w:type="dxa"/>
            </w:tcMar>
            <w:vAlign w:val="center"/>
          </w:tcPr>
          <w:p w14:paraId="3EDBB70E">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4.2(3.9)</w:t>
            </w:r>
          </w:p>
        </w:tc>
        <w:tc>
          <w:tcPr>
            <w:tcW w:w="1440" w:type="dxa"/>
            <w:tcBorders>
              <w:top w:val="nil"/>
              <w:left w:val="single" w:color="auto" w:sz="4" w:space="0"/>
              <w:bottom w:val="nil"/>
              <w:right w:val="nil"/>
            </w:tcBorders>
            <w:tcMar>
              <w:top w:w="15" w:type="dxa"/>
              <w:left w:w="15" w:type="dxa"/>
              <w:bottom w:w="0" w:type="dxa"/>
              <w:right w:w="15" w:type="dxa"/>
            </w:tcMar>
            <w:vAlign w:val="center"/>
          </w:tcPr>
          <w:p w14:paraId="0DCD23A6">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3.0(2.7)</w:t>
            </w:r>
          </w:p>
        </w:tc>
        <w:tc>
          <w:tcPr>
            <w:tcW w:w="1316" w:type="dxa"/>
            <w:tcBorders>
              <w:top w:val="nil"/>
              <w:left w:val="single" w:color="auto" w:sz="4" w:space="0"/>
              <w:bottom w:val="nil"/>
              <w:right w:val="nil"/>
            </w:tcBorders>
            <w:vAlign w:val="center"/>
          </w:tcPr>
          <w:p w14:paraId="14E15446">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3.4(2.9)</w:t>
            </w:r>
          </w:p>
        </w:tc>
        <w:tc>
          <w:tcPr>
            <w:tcW w:w="1117" w:type="dxa"/>
            <w:tcBorders>
              <w:top w:val="nil"/>
              <w:left w:val="single" w:color="auto" w:sz="4" w:space="0"/>
              <w:bottom w:val="nil"/>
              <w:right w:val="single" w:color="auto" w:sz="4" w:space="0"/>
            </w:tcBorders>
            <w:vAlign w:val="center"/>
          </w:tcPr>
          <w:p w14:paraId="56A941D3">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2.0(1.9)</w:t>
            </w:r>
          </w:p>
        </w:tc>
      </w:tr>
      <w:tr w14:paraId="14F16F68">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571C99DF">
            <w:pPr>
              <w:autoSpaceDE w:val="0"/>
              <w:autoSpaceDN w:val="0"/>
              <w:ind w:firstLine="300" w:firstLineChars="200"/>
              <w:jc w:val="center"/>
              <w:rPr>
                <w:rFonts w:hint="default" w:ascii="Times New Roman" w:hAnsi="Times New Roman" w:eastAsia="宋体" w:cs="Times New Roman"/>
                <w:sz w:val="15"/>
                <w:szCs w:val="15"/>
              </w:rPr>
            </w:pPr>
          </w:p>
        </w:tc>
        <w:tc>
          <w:tcPr>
            <w:tcW w:w="1218" w:type="dxa"/>
            <w:tcBorders>
              <w:top w:val="nil"/>
              <w:left w:val="nil"/>
              <w:bottom w:val="nil"/>
              <w:right w:val="single" w:color="auto" w:sz="4" w:space="0"/>
            </w:tcBorders>
            <w:tcMar>
              <w:top w:w="15" w:type="dxa"/>
              <w:left w:w="15" w:type="dxa"/>
              <w:bottom w:w="0" w:type="dxa"/>
              <w:right w:w="15" w:type="dxa"/>
            </w:tcMar>
            <w:vAlign w:val="center"/>
          </w:tcPr>
          <w:p w14:paraId="413E6BA2">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罗马尼亚</w:t>
            </w:r>
          </w:p>
        </w:tc>
        <w:tc>
          <w:tcPr>
            <w:tcW w:w="1276" w:type="dxa"/>
            <w:tcBorders>
              <w:top w:val="nil"/>
              <w:left w:val="nil"/>
              <w:bottom w:val="nil"/>
              <w:right w:val="single" w:color="auto" w:sz="4" w:space="0"/>
            </w:tcBorders>
            <w:tcMar>
              <w:top w:w="15" w:type="dxa"/>
              <w:left w:w="15" w:type="dxa"/>
              <w:bottom w:w="0" w:type="dxa"/>
              <w:right w:w="15" w:type="dxa"/>
            </w:tcMar>
            <w:vAlign w:val="center"/>
          </w:tcPr>
          <w:p w14:paraId="6A184FF0">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5.8(4.55)</w:t>
            </w:r>
          </w:p>
        </w:tc>
        <w:tc>
          <w:tcPr>
            <w:tcW w:w="1276" w:type="dxa"/>
            <w:tcBorders>
              <w:top w:val="nil"/>
              <w:left w:val="single" w:color="auto" w:sz="4" w:space="0"/>
              <w:bottom w:val="nil"/>
              <w:right w:val="single" w:color="auto" w:sz="4" w:space="0"/>
            </w:tcBorders>
            <w:tcMar>
              <w:top w:w="15" w:type="dxa"/>
              <w:left w:w="15" w:type="dxa"/>
              <w:bottom w:w="0" w:type="dxa"/>
              <w:right w:w="15" w:type="dxa"/>
            </w:tcMar>
            <w:vAlign w:val="center"/>
          </w:tcPr>
          <w:p w14:paraId="731A8DE2">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6.0(5.3)</w:t>
            </w:r>
          </w:p>
        </w:tc>
        <w:tc>
          <w:tcPr>
            <w:tcW w:w="1440" w:type="dxa"/>
            <w:tcBorders>
              <w:top w:val="nil"/>
              <w:left w:val="single" w:color="auto" w:sz="4" w:space="0"/>
              <w:bottom w:val="nil"/>
              <w:right w:val="nil"/>
            </w:tcBorders>
            <w:tcMar>
              <w:top w:w="15" w:type="dxa"/>
              <w:left w:w="15" w:type="dxa"/>
              <w:bottom w:w="0" w:type="dxa"/>
              <w:right w:w="15" w:type="dxa"/>
            </w:tcMar>
            <w:vAlign w:val="center"/>
          </w:tcPr>
          <w:p w14:paraId="7B8383E6">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4.9(3.7)</w:t>
            </w:r>
          </w:p>
        </w:tc>
        <w:tc>
          <w:tcPr>
            <w:tcW w:w="1316" w:type="dxa"/>
            <w:tcBorders>
              <w:top w:val="nil"/>
              <w:left w:val="single" w:color="auto" w:sz="4" w:space="0"/>
              <w:bottom w:val="nil"/>
              <w:right w:val="nil"/>
            </w:tcBorders>
            <w:vAlign w:val="center"/>
          </w:tcPr>
          <w:p w14:paraId="6819C70A">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6.7(5.8)</w:t>
            </w:r>
          </w:p>
        </w:tc>
        <w:tc>
          <w:tcPr>
            <w:tcW w:w="1117" w:type="dxa"/>
            <w:tcBorders>
              <w:top w:val="nil"/>
              <w:left w:val="single" w:color="auto" w:sz="4" w:space="0"/>
              <w:bottom w:val="nil"/>
              <w:right w:val="single" w:color="auto" w:sz="4" w:space="0"/>
            </w:tcBorders>
            <w:vAlign w:val="center"/>
          </w:tcPr>
          <w:p w14:paraId="0F102C66">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3.9(3.0)</w:t>
            </w:r>
          </w:p>
        </w:tc>
      </w:tr>
      <w:tr w14:paraId="289C5033">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3469AEA3">
            <w:pPr>
              <w:autoSpaceDE w:val="0"/>
              <w:autoSpaceDN w:val="0"/>
              <w:ind w:firstLine="300" w:firstLineChars="200"/>
              <w:jc w:val="center"/>
              <w:rPr>
                <w:rFonts w:hint="default" w:ascii="Times New Roman" w:hAnsi="Times New Roman" w:eastAsia="宋体" w:cs="Times New Roman"/>
                <w:sz w:val="15"/>
                <w:szCs w:val="15"/>
              </w:rPr>
            </w:pPr>
          </w:p>
        </w:tc>
        <w:tc>
          <w:tcPr>
            <w:tcW w:w="1218" w:type="dxa"/>
            <w:tcBorders>
              <w:top w:val="nil"/>
              <w:left w:val="nil"/>
              <w:bottom w:val="nil"/>
              <w:right w:val="single" w:color="auto" w:sz="4" w:space="0"/>
            </w:tcBorders>
            <w:tcMar>
              <w:top w:w="15" w:type="dxa"/>
              <w:left w:w="15" w:type="dxa"/>
              <w:bottom w:w="0" w:type="dxa"/>
              <w:right w:w="15" w:type="dxa"/>
            </w:tcMar>
            <w:vAlign w:val="center"/>
          </w:tcPr>
          <w:p w14:paraId="39B98644">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保加利亚</w:t>
            </w:r>
          </w:p>
        </w:tc>
        <w:tc>
          <w:tcPr>
            <w:tcW w:w="1276" w:type="dxa"/>
            <w:tcBorders>
              <w:top w:val="nil"/>
              <w:left w:val="nil"/>
              <w:bottom w:val="nil"/>
              <w:right w:val="single" w:color="auto" w:sz="4" w:space="0"/>
            </w:tcBorders>
            <w:tcMar>
              <w:top w:w="15" w:type="dxa"/>
              <w:left w:w="15" w:type="dxa"/>
              <w:bottom w:w="0" w:type="dxa"/>
              <w:right w:w="15" w:type="dxa"/>
            </w:tcMar>
            <w:vAlign w:val="center"/>
          </w:tcPr>
          <w:p w14:paraId="09A1FA2E">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6.7(5.9)</w:t>
            </w:r>
          </w:p>
        </w:tc>
        <w:tc>
          <w:tcPr>
            <w:tcW w:w="1276" w:type="dxa"/>
            <w:tcBorders>
              <w:top w:val="nil"/>
              <w:left w:val="single" w:color="auto" w:sz="4" w:space="0"/>
              <w:bottom w:val="nil"/>
              <w:right w:val="single" w:color="auto" w:sz="4" w:space="0"/>
            </w:tcBorders>
            <w:tcMar>
              <w:top w:w="15" w:type="dxa"/>
              <w:left w:w="15" w:type="dxa"/>
              <w:bottom w:w="0" w:type="dxa"/>
              <w:right w:w="15" w:type="dxa"/>
            </w:tcMar>
            <w:vAlign w:val="center"/>
          </w:tcPr>
          <w:p w14:paraId="3D62348D">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6.7(5.7)</w:t>
            </w:r>
          </w:p>
        </w:tc>
        <w:tc>
          <w:tcPr>
            <w:tcW w:w="1440" w:type="dxa"/>
            <w:tcBorders>
              <w:top w:val="nil"/>
              <w:left w:val="single" w:color="auto" w:sz="4" w:space="0"/>
              <w:bottom w:val="nil"/>
              <w:right w:val="nil"/>
            </w:tcBorders>
            <w:tcMar>
              <w:top w:w="15" w:type="dxa"/>
              <w:left w:w="15" w:type="dxa"/>
              <w:bottom w:w="0" w:type="dxa"/>
              <w:right w:w="15" w:type="dxa"/>
            </w:tcMar>
            <w:vAlign w:val="center"/>
          </w:tcPr>
          <w:p w14:paraId="1F84D086">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5.1(4.2)</w:t>
            </w:r>
          </w:p>
        </w:tc>
        <w:tc>
          <w:tcPr>
            <w:tcW w:w="1316" w:type="dxa"/>
            <w:tcBorders>
              <w:top w:val="nil"/>
              <w:left w:val="single" w:color="auto" w:sz="4" w:space="0"/>
              <w:bottom w:val="nil"/>
              <w:right w:val="nil"/>
            </w:tcBorders>
            <w:vAlign w:val="center"/>
          </w:tcPr>
          <w:p w14:paraId="2C273875">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4.6(4.2)</w:t>
            </w:r>
          </w:p>
        </w:tc>
        <w:tc>
          <w:tcPr>
            <w:tcW w:w="1117" w:type="dxa"/>
            <w:tcBorders>
              <w:top w:val="nil"/>
              <w:left w:val="single" w:color="auto" w:sz="4" w:space="0"/>
              <w:bottom w:val="nil"/>
              <w:right w:val="single" w:color="auto" w:sz="4" w:space="0"/>
            </w:tcBorders>
            <w:vAlign w:val="center"/>
          </w:tcPr>
          <w:p w14:paraId="4C85E7D4">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0.9(0.9)</w:t>
            </w:r>
          </w:p>
        </w:tc>
      </w:tr>
      <w:tr w14:paraId="4B180D7C">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75A3E90F">
            <w:pPr>
              <w:autoSpaceDE w:val="0"/>
              <w:autoSpaceDN w:val="0"/>
              <w:ind w:firstLine="300" w:firstLineChars="200"/>
              <w:jc w:val="center"/>
              <w:rPr>
                <w:rFonts w:hint="default" w:ascii="Times New Roman" w:hAnsi="Times New Roman" w:eastAsia="宋体" w:cs="Times New Roman"/>
                <w:sz w:val="15"/>
                <w:szCs w:val="15"/>
              </w:rPr>
            </w:pPr>
          </w:p>
        </w:tc>
        <w:tc>
          <w:tcPr>
            <w:tcW w:w="1218" w:type="dxa"/>
            <w:tcBorders>
              <w:top w:val="nil"/>
              <w:left w:val="nil"/>
              <w:bottom w:val="single" w:color="auto" w:sz="4" w:space="0"/>
              <w:right w:val="single" w:color="auto" w:sz="4" w:space="0"/>
            </w:tcBorders>
            <w:tcMar>
              <w:top w:w="15" w:type="dxa"/>
              <w:left w:w="15" w:type="dxa"/>
              <w:bottom w:w="0" w:type="dxa"/>
              <w:right w:w="15" w:type="dxa"/>
            </w:tcMar>
            <w:vAlign w:val="center"/>
          </w:tcPr>
          <w:p w14:paraId="1F8E0930">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中    国</w:t>
            </w:r>
          </w:p>
        </w:tc>
        <w:tc>
          <w:tcPr>
            <w:tcW w:w="1276" w:type="dxa"/>
            <w:tcBorders>
              <w:top w:val="nil"/>
              <w:left w:val="nil"/>
              <w:bottom w:val="single" w:color="auto" w:sz="4" w:space="0"/>
              <w:right w:val="single" w:color="auto" w:sz="4" w:space="0"/>
            </w:tcBorders>
            <w:tcMar>
              <w:top w:w="15" w:type="dxa"/>
              <w:left w:w="15" w:type="dxa"/>
              <w:bottom w:w="0" w:type="dxa"/>
              <w:right w:w="15" w:type="dxa"/>
            </w:tcMar>
            <w:vAlign w:val="center"/>
          </w:tcPr>
          <w:p w14:paraId="554FC38A">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7.9(5.6)</w:t>
            </w:r>
          </w:p>
        </w:tc>
        <w:tc>
          <w:tcPr>
            <w:tcW w:w="1276" w:type="dxa"/>
            <w:tcBorders>
              <w:top w:val="nil"/>
              <w:left w:val="single" w:color="auto" w:sz="4" w:space="0"/>
              <w:bottom w:val="single" w:color="auto" w:sz="4" w:space="0"/>
              <w:right w:val="single" w:color="auto" w:sz="4" w:space="0"/>
            </w:tcBorders>
            <w:tcMar>
              <w:top w:w="15" w:type="dxa"/>
              <w:left w:w="15" w:type="dxa"/>
              <w:bottom w:w="0" w:type="dxa"/>
              <w:right w:w="15" w:type="dxa"/>
            </w:tcMar>
            <w:vAlign w:val="center"/>
          </w:tcPr>
          <w:p w14:paraId="2A52A52C">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4.0(3.6)</w:t>
            </w:r>
          </w:p>
        </w:tc>
        <w:tc>
          <w:tcPr>
            <w:tcW w:w="1440" w:type="dxa"/>
            <w:tcBorders>
              <w:top w:val="nil"/>
              <w:left w:val="single" w:color="auto" w:sz="4" w:space="0"/>
              <w:bottom w:val="single" w:color="auto" w:sz="4" w:space="0"/>
              <w:right w:val="nil"/>
            </w:tcBorders>
            <w:tcMar>
              <w:top w:w="15" w:type="dxa"/>
              <w:left w:w="15" w:type="dxa"/>
              <w:bottom w:w="0" w:type="dxa"/>
              <w:right w:w="15" w:type="dxa"/>
            </w:tcMar>
            <w:vAlign w:val="center"/>
          </w:tcPr>
          <w:p w14:paraId="4D4B1478">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7.1(4.0)</w:t>
            </w:r>
          </w:p>
        </w:tc>
        <w:tc>
          <w:tcPr>
            <w:tcW w:w="1316" w:type="dxa"/>
            <w:tcBorders>
              <w:top w:val="nil"/>
              <w:left w:val="single" w:color="auto" w:sz="4" w:space="0"/>
              <w:bottom w:val="single" w:color="auto" w:sz="4" w:space="0"/>
              <w:right w:val="nil"/>
            </w:tcBorders>
            <w:vAlign w:val="center"/>
          </w:tcPr>
          <w:p w14:paraId="0F2ABB01">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7.0(4.5)</w:t>
            </w:r>
          </w:p>
        </w:tc>
        <w:tc>
          <w:tcPr>
            <w:tcW w:w="1117" w:type="dxa"/>
            <w:tcBorders>
              <w:top w:val="nil"/>
              <w:left w:val="single" w:color="auto" w:sz="4" w:space="0"/>
              <w:bottom w:val="single" w:color="auto" w:sz="4" w:space="0"/>
              <w:right w:val="single" w:color="auto" w:sz="4" w:space="0"/>
            </w:tcBorders>
            <w:vAlign w:val="center"/>
          </w:tcPr>
          <w:p w14:paraId="6043E92B">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6.2(4.6)</w:t>
            </w:r>
          </w:p>
        </w:tc>
      </w:tr>
      <w:tr w14:paraId="79C7FBB5">
        <w:trPr>
          <w:cantSplit/>
          <w:trHeight w:val="315" w:hRule="atLeast"/>
        </w:trPr>
        <w:tc>
          <w:tcPr>
            <w:tcW w:w="640" w:type="dxa"/>
            <w:vMerge w:val="continue"/>
            <w:tcBorders>
              <w:top w:val="nil"/>
              <w:left w:val="nil"/>
              <w:bottom w:val="single" w:color="000000" w:sz="4" w:space="0"/>
              <w:right w:val="single" w:color="auto" w:sz="4" w:space="0"/>
            </w:tcBorders>
            <w:vAlign w:val="center"/>
          </w:tcPr>
          <w:p w14:paraId="404E0E09">
            <w:pPr>
              <w:autoSpaceDE w:val="0"/>
              <w:autoSpaceDN w:val="0"/>
              <w:ind w:firstLine="300" w:firstLineChars="200"/>
              <w:jc w:val="center"/>
              <w:rPr>
                <w:rFonts w:hint="default" w:ascii="Times New Roman" w:hAnsi="Times New Roman" w:eastAsia="宋体" w:cs="Times New Roman"/>
                <w:sz w:val="15"/>
                <w:szCs w:val="15"/>
              </w:rPr>
            </w:pPr>
          </w:p>
        </w:tc>
        <w:tc>
          <w:tcPr>
            <w:tcW w:w="1218" w:type="dxa"/>
            <w:tcBorders>
              <w:top w:val="nil"/>
              <w:left w:val="nil"/>
              <w:bottom w:val="single" w:color="auto" w:sz="4" w:space="0"/>
              <w:right w:val="single" w:color="auto" w:sz="4" w:space="0"/>
            </w:tcBorders>
            <w:tcMar>
              <w:top w:w="15" w:type="dxa"/>
              <w:left w:w="15" w:type="dxa"/>
              <w:bottom w:w="0" w:type="dxa"/>
              <w:right w:w="15" w:type="dxa"/>
            </w:tcMar>
            <w:vAlign w:val="center"/>
          </w:tcPr>
          <w:p w14:paraId="5315C7DC">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未加权的平均数</w:t>
            </w:r>
          </w:p>
        </w:tc>
        <w:tc>
          <w:tcPr>
            <w:tcW w:w="1276" w:type="dxa"/>
            <w:tcBorders>
              <w:top w:val="nil"/>
              <w:left w:val="nil"/>
              <w:bottom w:val="single" w:color="auto" w:sz="4" w:space="0"/>
              <w:right w:val="single" w:color="auto" w:sz="4" w:space="0"/>
            </w:tcBorders>
            <w:tcMar>
              <w:top w:w="15" w:type="dxa"/>
              <w:left w:w="15" w:type="dxa"/>
              <w:bottom w:w="0" w:type="dxa"/>
              <w:right w:w="15" w:type="dxa"/>
            </w:tcMar>
            <w:vAlign w:val="center"/>
          </w:tcPr>
          <w:p w14:paraId="7826F7DB">
            <w:pPr>
              <w:autoSpaceDE w:val="0"/>
              <w:autoSpaceDN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5.7(4.7)</w:t>
            </w:r>
          </w:p>
        </w:tc>
        <w:tc>
          <w:tcPr>
            <w:tcW w:w="1276" w:type="dxa"/>
            <w:tcBorders>
              <w:top w:val="nil"/>
              <w:left w:val="single" w:color="auto" w:sz="4" w:space="0"/>
              <w:bottom w:val="single" w:color="auto" w:sz="4" w:space="0"/>
              <w:right w:val="single" w:color="auto" w:sz="4" w:space="0"/>
            </w:tcBorders>
            <w:tcMar>
              <w:top w:w="15" w:type="dxa"/>
              <w:left w:w="15" w:type="dxa"/>
              <w:bottom w:w="0" w:type="dxa"/>
              <w:right w:w="15" w:type="dxa"/>
            </w:tcMar>
            <w:vAlign w:val="center"/>
          </w:tcPr>
          <w:p w14:paraId="73FB733A">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4.4(3.6)</w:t>
            </w:r>
          </w:p>
        </w:tc>
        <w:tc>
          <w:tcPr>
            <w:tcW w:w="1440" w:type="dxa"/>
            <w:tcBorders>
              <w:top w:val="nil"/>
              <w:left w:val="single" w:color="auto" w:sz="4" w:space="0"/>
              <w:bottom w:val="single" w:color="auto" w:sz="4" w:space="0"/>
              <w:right w:val="nil"/>
            </w:tcBorders>
            <w:tcMar>
              <w:top w:w="15" w:type="dxa"/>
              <w:left w:w="15" w:type="dxa"/>
              <w:bottom w:w="0" w:type="dxa"/>
              <w:right w:w="15" w:type="dxa"/>
            </w:tcMar>
            <w:vAlign w:val="center"/>
          </w:tcPr>
          <w:p w14:paraId="3495F8D2">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4.3(3.6)</w:t>
            </w:r>
          </w:p>
        </w:tc>
        <w:tc>
          <w:tcPr>
            <w:tcW w:w="1316" w:type="dxa"/>
            <w:tcBorders>
              <w:top w:val="nil"/>
              <w:left w:val="single" w:color="auto" w:sz="4" w:space="0"/>
              <w:bottom w:val="single" w:color="auto" w:sz="4" w:space="0"/>
              <w:right w:val="nil"/>
            </w:tcBorders>
            <w:vAlign w:val="center"/>
          </w:tcPr>
          <w:p w14:paraId="3DB991E5">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4.8(4.0)</w:t>
            </w:r>
          </w:p>
        </w:tc>
        <w:tc>
          <w:tcPr>
            <w:tcW w:w="1117" w:type="dxa"/>
            <w:tcBorders>
              <w:top w:val="nil"/>
              <w:left w:val="single" w:color="auto" w:sz="4" w:space="0"/>
              <w:bottom w:val="single" w:color="auto" w:sz="4" w:space="0"/>
              <w:right w:val="single" w:color="auto" w:sz="4" w:space="0"/>
            </w:tcBorders>
            <w:vAlign w:val="center"/>
          </w:tcPr>
          <w:p w14:paraId="113D5021">
            <w:pPr>
              <w:autoSpaceDE w:val="0"/>
              <w:autoSpaceDN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2.6(2.0)</w:t>
            </w:r>
          </w:p>
        </w:tc>
      </w:tr>
    </w:tbl>
    <w:p w14:paraId="527F2E5F">
      <w:pPr>
        <w:spacing w:line="300" w:lineRule="auto"/>
        <w:ind w:firstLine="420" w:firstLineChars="200"/>
        <w:rPr>
          <w:rFonts w:hint="default" w:ascii="Times New Roman" w:hAnsi="Times New Roman" w:eastAsia="宋体" w:cs="Times New Roman"/>
          <w:szCs w:val="21"/>
        </w:rPr>
      </w:pPr>
    </w:p>
    <w:tbl>
      <w:tblPr>
        <w:tblStyle w:val="17"/>
        <w:tblW w:w="7641" w:type="dxa"/>
        <w:tblInd w:w="0" w:type="dxa"/>
        <w:tblLayout w:type="fixed"/>
        <w:tblCellMar>
          <w:top w:w="0" w:type="dxa"/>
          <w:left w:w="0" w:type="dxa"/>
          <w:bottom w:w="0" w:type="dxa"/>
          <w:right w:w="0" w:type="dxa"/>
        </w:tblCellMar>
      </w:tblPr>
      <w:tblGrid>
        <w:gridCol w:w="440"/>
        <w:gridCol w:w="851"/>
        <w:gridCol w:w="1409"/>
        <w:gridCol w:w="1050"/>
        <w:gridCol w:w="416"/>
        <w:gridCol w:w="62"/>
        <w:gridCol w:w="938"/>
        <w:gridCol w:w="301"/>
        <w:gridCol w:w="99"/>
        <w:gridCol w:w="950"/>
        <w:gridCol w:w="1125"/>
      </w:tblGrid>
      <w:tr w14:paraId="1BEF2A95">
        <w:trPr>
          <w:trHeight w:val="330" w:hRule="atLeast"/>
        </w:trPr>
        <w:tc>
          <w:tcPr>
            <w:tcW w:w="440" w:type="dxa"/>
            <w:tcBorders>
              <w:top w:val="single" w:color="auto" w:sz="12" w:space="0"/>
              <w:left w:val="nil"/>
              <w:bottom w:val="single" w:color="auto" w:sz="4" w:space="0"/>
              <w:right w:val="single" w:color="auto" w:sz="4" w:space="0"/>
            </w:tcBorders>
            <w:tcMar>
              <w:top w:w="15" w:type="dxa"/>
              <w:left w:w="15" w:type="dxa"/>
              <w:bottom w:w="0" w:type="dxa"/>
              <w:right w:w="15" w:type="dxa"/>
            </w:tcMar>
            <w:vAlign w:val="center"/>
          </w:tcPr>
          <w:p w14:paraId="0FBFAC50">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single" w:color="auto" w:sz="4" w:space="0"/>
              <w:left w:val="nil"/>
              <w:bottom w:val="single" w:color="auto" w:sz="4" w:space="0"/>
              <w:right w:val="single" w:color="auto" w:sz="4" w:space="0"/>
            </w:tcBorders>
            <w:tcMar>
              <w:top w:w="15" w:type="dxa"/>
              <w:left w:w="15" w:type="dxa"/>
              <w:bottom w:w="0" w:type="dxa"/>
              <w:right w:w="15" w:type="dxa"/>
            </w:tcMar>
            <w:vAlign w:val="center"/>
          </w:tcPr>
          <w:p w14:paraId="7FEEEC54">
            <w:pPr>
              <w:autoSpaceDE w:val="0"/>
              <w:autoSpaceDN w:val="0"/>
              <w:adjustRightInd w:val="0"/>
              <w:snapToGrid w:val="0"/>
              <w:ind w:firstLine="300" w:firstLineChars="200"/>
              <w:jc w:val="center"/>
              <w:rPr>
                <w:rFonts w:hint="default" w:ascii="Times New Roman" w:hAnsi="Times New Roman" w:eastAsia="宋体" w:cs="Times New Roman"/>
                <w:sz w:val="15"/>
                <w:szCs w:val="15"/>
              </w:rPr>
            </w:pPr>
          </w:p>
        </w:tc>
        <w:tc>
          <w:tcPr>
            <w:tcW w:w="1409" w:type="dxa"/>
            <w:tcBorders>
              <w:top w:val="single" w:color="auto" w:sz="8" w:space="0"/>
              <w:left w:val="nil"/>
              <w:bottom w:val="single" w:color="auto" w:sz="4" w:space="0"/>
              <w:right w:val="single" w:color="auto" w:sz="4" w:space="0"/>
            </w:tcBorders>
            <w:tcMar>
              <w:top w:w="15" w:type="dxa"/>
              <w:left w:w="15" w:type="dxa"/>
              <w:bottom w:w="0" w:type="dxa"/>
              <w:right w:w="15" w:type="dxa"/>
            </w:tcMar>
            <w:vAlign w:val="center"/>
          </w:tcPr>
          <w:p w14:paraId="0D1499A8">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1950～1960</w:t>
            </w:r>
          </w:p>
        </w:tc>
        <w:tc>
          <w:tcPr>
            <w:tcW w:w="1050" w:type="dxa"/>
            <w:tcBorders>
              <w:top w:val="single" w:color="auto" w:sz="8" w:space="0"/>
              <w:left w:val="nil"/>
              <w:bottom w:val="single" w:color="auto" w:sz="4" w:space="0"/>
              <w:right w:val="nil"/>
            </w:tcBorders>
            <w:tcMar>
              <w:top w:w="15" w:type="dxa"/>
              <w:left w:w="15" w:type="dxa"/>
              <w:bottom w:w="0" w:type="dxa"/>
              <w:right w:w="15" w:type="dxa"/>
            </w:tcMar>
            <w:vAlign w:val="center"/>
          </w:tcPr>
          <w:p w14:paraId="0B101707">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1960～1965</w:t>
            </w:r>
          </w:p>
        </w:tc>
        <w:tc>
          <w:tcPr>
            <w:tcW w:w="1416" w:type="dxa"/>
            <w:gridSpan w:val="3"/>
            <w:tcBorders>
              <w:top w:val="single" w:color="auto" w:sz="8" w:space="0"/>
              <w:left w:val="single" w:color="auto" w:sz="4" w:space="0"/>
              <w:bottom w:val="single" w:color="auto" w:sz="4" w:space="0"/>
              <w:right w:val="nil"/>
            </w:tcBorders>
            <w:vAlign w:val="center"/>
          </w:tcPr>
          <w:p w14:paraId="00518A83">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1965～1970</w:t>
            </w:r>
          </w:p>
        </w:tc>
        <w:tc>
          <w:tcPr>
            <w:tcW w:w="1350" w:type="dxa"/>
            <w:gridSpan w:val="3"/>
            <w:tcBorders>
              <w:top w:val="single" w:color="auto" w:sz="8" w:space="0"/>
              <w:left w:val="single" w:color="auto" w:sz="4" w:space="0"/>
              <w:bottom w:val="single" w:color="auto" w:sz="4" w:space="0"/>
              <w:right w:val="nil"/>
            </w:tcBorders>
            <w:vAlign w:val="center"/>
          </w:tcPr>
          <w:p w14:paraId="23618531">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1970～1975</w:t>
            </w:r>
          </w:p>
        </w:tc>
        <w:tc>
          <w:tcPr>
            <w:tcW w:w="1125" w:type="dxa"/>
            <w:tcBorders>
              <w:top w:val="single" w:color="auto" w:sz="8" w:space="0"/>
              <w:left w:val="nil"/>
              <w:bottom w:val="single" w:color="auto" w:sz="4" w:space="0"/>
              <w:right w:val="single" w:color="auto" w:sz="4" w:space="0"/>
            </w:tcBorders>
            <w:vAlign w:val="center"/>
          </w:tcPr>
          <w:p w14:paraId="614359F8">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1975～1980</w:t>
            </w:r>
          </w:p>
        </w:tc>
      </w:tr>
      <w:tr w14:paraId="07876334">
        <w:trPr>
          <w:cantSplit/>
          <w:trHeight w:val="315" w:hRule="atLeast"/>
        </w:trPr>
        <w:tc>
          <w:tcPr>
            <w:tcW w:w="440" w:type="dxa"/>
            <w:vMerge w:val="restart"/>
            <w:tcBorders>
              <w:top w:val="nil"/>
              <w:left w:val="nil"/>
              <w:bottom w:val="single" w:color="000000" w:sz="12" w:space="0"/>
              <w:right w:val="single" w:color="auto" w:sz="4" w:space="0"/>
            </w:tcBorders>
            <w:tcMar>
              <w:top w:w="15" w:type="dxa"/>
              <w:left w:w="15" w:type="dxa"/>
              <w:bottom w:w="0" w:type="dxa"/>
              <w:right w:w="15" w:type="dxa"/>
            </w:tcMar>
            <w:textDirection w:val="tbRlV"/>
            <w:vAlign w:val="center"/>
          </w:tcPr>
          <w:p w14:paraId="5A351605">
            <w:pPr>
              <w:autoSpaceDE w:val="0"/>
              <w:autoSpaceDN w:val="0"/>
              <w:adjustRightInd w:val="0"/>
              <w:snapToGrid w:val="0"/>
              <w:ind w:right="113"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资本主义国家</w:t>
            </w:r>
          </w:p>
        </w:tc>
        <w:tc>
          <w:tcPr>
            <w:tcW w:w="851" w:type="dxa"/>
            <w:tcBorders>
              <w:top w:val="nil"/>
              <w:left w:val="nil"/>
              <w:bottom w:val="nil"/>
              <w:right w:val="single" w:color="auto" w:sz="4" w:space="0"/>
            </w:tcBorders>
            <w:tcMar>
              <w:top w:w="15" w:type="dxa"/>
              <w:left w:w="15" w:type="dxa"/>
              <w:bottom w:w="0" w:type="dxa"/>
              <w:right w:w="15" w:type="dxa"/>
            </w:tcMar>
            <w:vAlign w:val="center"/>
          </w:tcPr>
          <w:p w14:paraId="557FE8D5">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美国</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03FD8E9B">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3.3(1.5)</w:t>
            </w:r>
          </w:p>
        </w:tc>
        <w:tc>
          <w:tcPr>
            <w:tcW w:w="1050" w:type="dxa"/>
            <w:tcBorders>
              <w:top w:val="nil"/>
              <w:left w:val="nil"/>
              <w:bottom w:val="nil"/>
              <w:right w:val="nil"/>
            </w:tcBorders>
            <w:tcMar>
              <w:top w:w="15" w:type="dxa"/>
              <w:left w:w="15" w:type="dxa"/>
              <w:bottom w:w="0" w:type="dxa"/>
              <w:right w:w="15" w:type="dxa"/>
            </w:tcMar>
            <w:vAlign w:val="center"/>
          </w:tcPr>
          <w:p w14:paraId="7D2E261F">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4.6(3.2)</w:t>
            </w:r>
          </w:p>
        </w:tc>
        <w:tc>
          <w:tcPr>
            <w:tcW w:w="1416" w:type="dxa"/>
            <w:gridSpan w:val="3"/>
            <w:tcBorders>
              <w:top w:val="nil"/>
              <w:left w:val="single" w:color="auto" w:sz="4" w:space="0"/>
              <w:bottom w:val="nil"/>
              <w:right w:val="nil"/>
            </w:tcBorders>
            <w:vAlign w:val="center"/>
          </w:tcPr>
          <w:p w14:paraId="1C48723A">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3.1(2.1)</w:t>
            </w:r>
          </w:p>
        </w:tc>
        <w:tc>
          <w:tcPr>
            <w:tcW w:w="1350" w:type="dxa"/>
            <w:gridSpan w:val="3"/>
            <w:tcBorders>
              <w:top w:val="nil"/>
              <w:left w:val="single" w:color="auto" w:sz="4" w:space="0"/>
              <w:bottom w:val="nil"/>
              <w:right w:val="nil"/>
            </w:tcBorders>
            <w:vAlign w:val="center"/>
          </w:tcPr>
          <w:p w14:paraId="7AE30703">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2.3(1.6)</w:t>
            </w:r>
          </w:p>
        </w:tc>
        <w:tc>
          <w:tcPr>
            <w:tcW w:w="1125" w:type="dxa"/>
            <w:tcBorders>
              <w:top w:val="nil"/>
              <w:left w:val="single" w:color="auto" w:sz="4" w:space="0"/>
              <w:bottom w:val="nil"/>
              <w:right w:val="nil"/>
            </w:tcBorders>
            <w:vAlign w:val="center"/>
          </w:tcPr>
          <w:p w14:paraId="57A32385">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3.7(2.6)</w:t>
            </w:r>
          </w:p>
        </w:tc>
      </w:tr>
      <w:tr w14:paraId="51B668C3">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14ED31B4">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73B77776">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加拿大</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2FEB0AED">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4.6(1.3)</w:t>
            </w:r>
          </w:p>
        </w:tc>
        <w:tc>
          <w:tcPr>
            <w:tcW w:w="1050" w:type="dxa"/>
            <w:tcBorders>
              <w:top w:val="nil"/>
              <w:left w:val="nil"/>
              <w:bottom w:val="nil"/>
              <w:right w:val="nil"/>
            </w:tcBorders>
            <w:tcMar>
              <w:top w:w="15" w:type="dxa"/>
              <w:left w:w="15" w:type="dxa"/>
              <w:bottom w:w="0" w:type="dxa"/>
              <w:right w:w="15" w:type="dxa"/>
            </w:tcMar>
            <w:vAlign w:val="center"/>
          </w:tcPr>
          <w:p w14:paraId="38DF424D">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5.7(3.8)</w:t>
            </w:r>
          </w:p>
        </w:tc>
        <w:tc>
          <w:tcPr>
            <w:tcW w:w="1416" w:type="dxa"/>
            <w:gridSpan w:val="3"/>
            <w:tcBorders>
              <w:top w:val="nil"/>
              <w:left w:val="single" w:color="auto" w:sz="4" w:space="0"/>
              <w:bottom w:val="nil"/>
              <w:right w:val="nil"/>
            </w:tcBorders>
            <w:vAlign w:val="center"/>
          </w:tcPr>
          <w:p w14:paraId="028EAE90">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4.8(3.0)</w:t>
            </w:r>
          </w:p>
        </w:tc>
        <w:tc>
          <w:tcPr>
            <w:tcW w:w="1350" w:type="dxa"/>
            <w:gridSpan w:val="3"/>
            <w:tcBorders>
              <w:top w:val="nil"/>
              <w:left w:val="single" w:color="auto" w:sz="4" w:space="0"/>
              <w:bottom w:val="nil"/>
              <w:right w:val="nil"/>
            </w:tcBorders>
            <w:vAlign w:val="center"/>
          </w:tcPr>
          <w:p w14:paraId="6FD402AB">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5.0(3.6)</w:t>
            </w:r>
          </w:p>
        </w:tc>
        <w:tc>
          <w:tcPr>
            <w:tcW w:w="1125" w:type="dxa"/>
            <w:tcBorders>
              <w:top w:val="nil"/>
              <w:left w:val="single" w:color="auto" w:sz="4" w:space="0"/>
              <w:bottom w:val="nil"/>
              <w:right w:val="nil"/>
            </w:tcBorders>
            <w:vAlign w:val="center"/>
          </w:tcPr>
          <w:p w14:paraId="5A39275A">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2.9(1.9)</w:t>
            </w:r>
          </w:p>
        </w:tc>
      </w:tr>
      <w:tr w14:paraId="0379CFA0">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023F7C50">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3B4133D4">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联邦德国</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508E0746">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7.9(6.3)</w:t>
            </w:r>
          </w:p>
        </w:tc>
        <w:tc>
          <w:tcPr>
            <w:tcW w:w="1050" w:type="dxa"/>
            <w:tcBorders>
              <w:top w:val="nil"/>
              <w:left w:val="nil"/>
              <w:bottom w:val="nil"/>
              <w:right w:val="nil"/>
            </w:tcBorders>
            <w:tcMar>
              <w:top w:w="15" w:type="dxa"/>
              <w:left w:w="15" w:type="dxa"/>
              <w:bottom w:w="0" w:type="dxa"/>
              <w:right w:w="15" w:type="dxa"/>
            </w:tcMar>
            <w:vAlign w:val="center"/>
          </w:tcPr>
          <w:p w14:paraId="699DC4A0">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5.0(3.5)</w:t>
            </w:r>
          </w:p>
        </w:tc>
        <w:tc>
          <w:tcPr>
            <w:tcW w:w="1416" w:type="dxa"/>
            <w:gridSpan w:val="3"/>
            <w:tcBorders>
              <w:top w:val="nil"/>
              <w:left w:val="single" w:color="auto" w:sz="4" w:space="0"/>
              <w:bottom w:val="nil"/>
              <w:right w:val="nil"/>
            </w:tcBorders>
            <w:vAlign w:val="center"/>
          </w:tcPr>
          <w:p w14:paraId="04F52773">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4.4(3.9)</w:t>
            </w:r>
          </w:p>
        </w:tc>
        <w:tc>
          <w:tcPr>
            <w:tcW w:w="1350" w:type="dxa"/>
            <w:gridSpan w:val="3"/>
            <w:tcBorders>
              <w:top w:val="nil"/>
              <w:left w:val="single" w:color="auto" w:sz="4" w:space="0"/>
              <w:bottom w:val="nil"/>
              <w:right w:val="nil"/>
            </w:tcBorders>
            <w:vAlign w:val="center"/>
          </w:tcPr>
          <w:p w14:paraId="11700265">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2.1(1.7)</w:t>
            </w:r>
          </w:p>
        </w:tc>
        <w:tc>
          <w:tcPr>
            <w:tcW w:w="1125" w:type="dxa"/>
            <w:tcBorders>
              <w:top w:val="nil"/>
              <w:left w:val="single" w:color="auto" w:sz="4" w:space="0"/>
              <w:bottom w:val="nil"/>
              <w:right w:val="nil"/>
            </w:tcBorders>
            <w:vAlign w:val="center"/>
          </w:tcPr>
          <w:p w14:paraId="77F57A4E">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3.6(2.7)</w:t>
            </w:r>
          </w:p>
        </w:tc>
      </w:tr>
      <w:tr w14:paraId="07910A51">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4420FEB4">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655149F8">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丹 麦</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09BD7ABC">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3.6(2.9)</w:t>
            </w:r>
          </w:p>
        </w:tc>
        <w:tc>
          <w:tcPr>
            <w:tcW w:w="1050" w:type="dxa"/>
            <w:tcBorders>
              <w:top w:val="nil"/>
              <w:left w:val="nil"/>
              <w:bottom w:val="nil"/>
              <w:right w:val="nil"/>
            </w:tcBorders>
            <w:tcMar>
              <w:top w:w="15" w:type="dxa"/>
              <w:left w:w="15" w:type="dxa"/>
              <w:bottom w:w="0" w:type="dxa"/>
              <w:right w:w="15" w:type="dxa"/>
            </w:tcMar>
            <w:vAlign w:val="center"/>
          </w:tcPr>
          <w:p w14:paraId="38C558AA">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5.1(4.3)</w:t>
            </w:r>
          </w:p>
        </w:tc>
        <w:tc>
          <w:tcPr>
            <w:tcW w:w="1416" w:type="dxa"/>
            <w:gridSpan w:val="3"/>
            <w:tcBorders>
              <w:top w:val="nil"/>
              <w:left w:val="single" w:color="auto" w:sz="4" w:space="0"/>
              <w:bottom w:val="nil"/>
              <w:right w:val="nil"/>
            </w:tcBorders>
            <w:vAlign w:val="center"/>
          </w:tcPr>
          <w:p w14:paraId="5F555672">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4.5(3.7)</w:t>
            </w:r>
          </w:p>
        </w:tc>
        <w:tc>
          <w:tcPr>
            <w:tcW w:w="1350" w:type="dxa"/>
            <w:gridSpan w:val="3"/>
            <w:tcBorders>
              <w:top w:val="nil"/>
              <w:left w:val="single" w:color="auto" w:sz="4" w:space="0"/>
              <w:bottom w:val="nil"/>
              <w:right w:val="nil"/>
            </w:tcBorders>
            <w:vAlign w:val="center"/>
          </w:tcPr>
          <w:p w14:paraId="5A662E3C">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2.8(2.4)</w:t>
            </w:r>
          </w:p>
        </w:tc>
        <w:tc>
          <w:tcPr>
            <w:tcW w:w="1125" w:type="dxa"/>
            <w:tcBorders>
              <w:top w:val="nil"/>
              <w:left w:val="single" w:color="auto" w:sz="4" w:space="0"/>
              <w:bottom w:val="nil"/>
              <w:right w:val="nil"/>
            </w:tcBorders>
            <w:vAlign w:val="center"/>
          </w:tcPr>
          <w:p w14:paraId="0D44A875">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2.7(2.4)</w:t>
            </w:r>
          </w:p>
        </w:tc>
      </w:tr>
      <w:tr w14:paraId="6216F89E">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462074E0">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1783F953">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挪 威</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6BE1CCC6">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3.6(2.5)</w:t>
            </w:r>
          </w:p>
        </w:tc>
        <w:tc>
          <w:tcPr>
            <w:tcW w:w="1050" w:type="dxa"/>
            <w:tcBorders>
              <w:top w:val="nil"/>
              <w:left w:val="nil"/>
              <w:bottom w:val="nil"/>
              <w:right w:val="nil"/>
            </w:tcBorders>
            <w:tcMar>
              <w:top w:w="15" w:type="dxa"/>
              <w:left w:w="15" w:type="dxa"/>
              <w:bottom w:w="0" w:type="dxa"/>
              <w:right w:w="15" w:type="dxa"/>
            </w:tcMar>
            <w:vAlign w:val="center"/>
          </w:tcPr>
          <w:p w14:paraId="5ABD48B5">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4.8(4.3)</w:t>
            </w:r>
          </w:p>
        </w:tc>
        <w:tc>
          <w:tcPr>
            <w:tcW w:w="1416" w:type="dxa"/>
            <w:gridSpan w:val="3"/>
            <w:tcBorders>
              <w:top w:val="nil"/>
              <w:left w:val="single" w:color="auto" w:sz="4" w:space="0"/>
              <w:bottom w:val="nil"/>
              <w:right w:val="nil"/>
            </w:tcBorders>
            <w:vAlign w:val="center"/>
          </w:tcPr>
          <w:p w14:paraId="14D68B14">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4.8(3.9)</w:t>
            </w:r>
          </w:p>
        </w:tc>
        <w:tc>
          <w:tcPr>
            <w:tcW w:w="1350" w:type="dxa"/>
            <w:gridSpan w:val="3"/>
            <w:tcBorders>
              <w:top w:val="nil"/>
              <w:left w:val="single" w:color="auto" w:sz="4" w:space="0"/>
              <w:bottom w:val="nil"/>
              <w:right w:val="nil"/>
            </w:tcBorders>
            <w:vAlign w:val="center"/>
          </w:tcPr>
          <w:p w14:paraId="13CA920A">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4.6(4.0)</w:t>
            </w:r>
          </w:p>
        </w:tc>
        <w:tc>
          <w:tcPr>
            <w:tcW w:w="1125" w:type="dxa"/>
            <w:tcBorders>
              <w:top w:val="nil"/>
              <w:left w:val="single" w:color="auto" w:sz="4" w:space="0"/>
              <w:bottom w:val="nil"/>
              <w:right w:val="nil"/>
            </w:tcBorders>
            <w:vAlign w:val="center"/>
          </w:tcPr>
          <w:p w14:paraId="0184A40E">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4.6(4.2)</w:t>
            </w:r>
          </w:p>
        </w:tc>
      </w:tr>
      <w:tr w14:paraId="400D9A7F">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78912FC6">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48B81E4F">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比利时</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1ED96DC0">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3.0(2.5)</w:t>
            </w:r>
          </w:p>
        </w:tc>
        <w:tc>
          <w:tcPr>
            <w:tcW w:w="1050" w:type="dxa"/>
            <w:tcBorders>
              <w:top w:val="nil"/>
              <w:left w:val="nil"/>
              <w:bottom w:val="nil"/>
              <w:right w:val="nil"/>
            </w:tcBorders>
            <w:tcMar>
              <w:top w:w="15" w:type="dxa"/>
              <w:left w:w="15" w:type="dxa"/>
              <w:bottom w:w="0" w:type="dxa"/>
              <w:right w:w="15" w:type="dxa"/>
            </w:tcMar>
            <w:vAlign w:val="center"/>
          </w:tcPr>
          <w:p w14:paraId="541EE402">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5.2(4.5)</w:t>
            </w:r>
          </w:p>
        </w:tc>
        <w:tc>
          <w:tcPr>
            <w:tcW w:w="1416" w:type="dxa"/>
            <w:gridSpan w:val="3"/>
            <w:tcBorders>
              <w:top w:val="nil"/>
              <w:left w:val="single" w:color="auto" w:sz="4" w:space="0"/>
              <w:bottom w:val="nil"/>
              <w:right w:val="nil"/>
            </w:tcBorders>
            <w:vAlign w:val="center"/>
          </w:tcPr>
          <w:p w14:paraId="419291AB">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4.8(4.4)</w:t>
            </w:r>
          </w:p>
        </w:tc>
        <w:tc>
          <w:tcPr>
            <w:tcW w:w="1350" w:type="dxa"/>
            <w:gridSpan w:val="3"/>
            <w:tcBorders>
              <w:top w:val="nil"/>
              <w:left w:val="single" w:color="auto" w:sz="4" w:space="0"/>
              <w:bottom w:val="nil"/>
              <w:right w:val="nil"/>
            </w:tcBorders>
            <w:vAlign w:val="center"/>
          </w:tcPr>
          <w:p w14:paraId="2172C575">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3.9(3.5)</w:t>
            </w:r>
          </w:p>
        </w:tc>
        <w:tc>
          <w:tcPr>
            <w:tcW w:w="1125" w:type="dxa"/>
            <w:tcBorders>
              <w:top w:val="nil"/>
              <w:left w:val="single" w:color="auto" w:sz="4" w:space="0"/>
              <w:bottom w:val="nil"/>
              <w:right w:val="nil"/>
            </w:tcBorders>
            <w:vAlign w:val="center"/>
          </w:tcPr>
          <w:p w14:paraId="4D627879">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2.5(2.3)</w:t>
            </w:r>
          </w:p>
        </w:tc>
      </w:tr>
      <w:tr w14:paraId="01A4CFA6">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506EA5E2">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7F86DE09">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法国</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31A9C268">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4.4(3.8)</w:t>
            </w:r>
          </w:p>
        </w:tc>
        <w:tc>
          <w:tcPr>
            <w:tcW w:w="1050" w:type="dxa"/>
            <w:tcBorders>
              <w:top w:val="nil"/>
              <w:left w:val="nil"/>
              <w:bottom w:val="nil"/>
              <w:right w:val="nil"/>
            </w:tcBorders>
            <w:tcMar>
              <w:top w:w="15" w:type="dxa"/>
              <w:left w:w="15" w:type="dxa"/>
              <w:bottom w:w="0" w:type="dxa"/>
              <w:right w:w="15" w:type="dxa"/>
            </w:tcMar>
            <w:vAlign w:val="center"/>
          </w:tcPr>
          <w:p w14:paraId="047E1E82">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5.8(4.5)</w:t>
            </w:r>
          </w:p>
        </w:tc>
        <w:tc>
          <w:tcPr>
            <w:tcW w:w="1416" w:type="dxa"/>
            <w:gridSpan w:val="3"/>
            <w:tcBorders>
              <w:top w:val="nil"/>
              <w:left w:val="single" w:color="auto" w:sz="4" w:space="0"/>
              <w:bottom w:val="nil"/>
              <w:right w:val="nil"/>
            </w:tcBorders>
            <w:vAlign w:val="center"/>
          </w:tcPr>
          <w:p w14:paraId="6F5CA17A">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5.4(4.5)</w:t>
            </w:r>
          </w:p>
        </w:tc>
        <w:tc>
          <w:tcPr>
            <w:tcW w:w="1350" w:type="dxa"/>
            <w:gridSpan w:val="3"/>
            <w:tcBorders>
              <w:top w:val="nil"/>
              <w:left w:val="single" w:color="auto" w:sz="4" w:space="0"/>
              <w:bottom w:val="nil"/>
              <w:right w:val="nil"/>
            </w:tcBorders>
            <w:vAlign w:val="center"/>
          </w:tcPr>
          <w:p w14:paraId="06336DDC">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4.0(3.2)</w:t>
            </w:r>
          </w:p>
        </w:tc>
        <w:tc>
          <w:tcPr>
            <w:tcW w:w="1125" w:type="dxa"/>
            <w:tcBorders>
              <w:top w:val="nil"/>
              <w:left w:val="single" w:color="auto" w:sz="4" w:space="0"/>
              <w:bottom w:val="nil"/>
              <w:right w:val="nil"/>
            </w:tcBorders>
            <w:vAlign w:val="center"/>
          </w:tcPr>
          <w:p w14:paraId="1E25E28C">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3.2(2.9)</w:t>
            </w:r>
          </w:p>
        </w:tc>
      </w:tr>
      <w:tr w14:paraId="68F2F19D">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2050DE09">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69C1D750">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荷兰</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6057FA51">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5.0(3.3)</w:t>
            </w:r>
          </w:p>
        </w:tc>
        <w:tc>
          <w:tcPr>
            <w:tcW w:w="1050" w:type="dxa"/>
            <w:tcBorders>
              <w:top w:val="nil"/>
              <w:left w:val="nil"/>
              <w:bottom w:val="nil"/>
              <w:right w:val="nil"/>
            </w:tcBorders>
            <w:tcMar>
              <w:top w:w="15" w:type="dxa"/>
              <w:left w:w="15" w:type="dxa"/>
              <w:bottom w:w="0" w:type="dxa"/>
              <w:right w:w="15" w:type="dxa"/>
            </w:tcMar>
            <w:vAlign w:val="center"/>
          </w:tcPr>
          <w:p w14:paraId="38B2507B">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4.8(3.5)</w:t>
            </w:r>
          </w:p>
        </w:tc>
        <w:tc>
          <w:tcPr>
            <w:tcW w:w="1416" w:type="dxa"/>
            <w:gridSpan w:val="3"/>
            <w:tcBorders>
              <w:top w:val="nil"/>
              <w:left w:val="single" w:color="auto" w:sz="4" w:space="0"/>
              <w:bottom w:val="nil"/>
              <w:right w:val="nil"/>
            </w:tcBorders>
            <w:vAlign w:val="center"/>
          </w:tcPr>
          <w:p w14:paraId="131A26A4">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5.5(4.4)</w:t>
            </w:r>
          </w:p>
        </w:tc>
        <w:tc>
          <w:tcPr>
            <w:tcW w:w="1350" w:type="dxa"/>
            <w:gridSpan w:val="3"/>
            <w:tcBorders>
              <w:top w:val="nil"/>
              <w:left w:val="single" w:color="auto" w:sz="4" w:space="0"/>
              <w:bottom w:val="nil"/>
              <w:right w:val="nil"/>
            </w:tcBorders>
            <w:vAlign w:val="center"/>
          </w:tcPr>
          <w:p w14:paraId="2072B139">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3.2(2.0)</w:t>
            </w:r>
          </w:p>
        </w:tc>
        <w:tc>
          <w:tcPr>
            <w:tcW w:w="1125" w:type="dxa"/>
            <w:tcBorders>
              <w:top w:val="nil"/>
              <w:left w:val="single" w:color="auto" w:sz="4" w:space="0"/>
              <w:bottom w:val="nil"/>
              <w:right w:val="nil"/>
            </w:tcBorders>
            <w:vAlign w:val="center"/>
          </w:tcPr>
          <w:p w14:paraId="564DDC3E">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2.6(1.9)</w:t>
            </w:r>
          </w:p>
        </w:tc>
      </w:tr>
      <w:tr w14:paraId="78A893C7">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4C2AD927">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5F2AB023">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日本</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08F88BAC">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7.9（6.6）</w:t>
            </w:r>
          </w:p>
        </w:tc>
        <w:tc>
          <w:tcPr>
            <w:tcW w:w="1050" w:type="dxa"/>
            <w:tcBorders>
              <w:top w:val="nil"/>
              <w:left w:val="nil"/>
              <w:bottom w:val="nil"/>
              <w:right w:val="nil"/>
            </w:tcBorders>
            <w:tcMar>
              <w:top w:w="15" w:type="dxa"/>
              <w:left w:w="15" w:type="dxa"/>
              <w:bottom w:w="0" w:type="dxa"/>
              <w:right w:w="15" w:type="dxa"/>
            </w:tcMar>
            <w:vAlign w:val="center"/>
          </w:tcPr>
          <w:p w14:paraId="672AA083">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10.0（9.0）</w:t>
            </w:r>
          </w:p>
        </w:tc>
        <w:tc>
          <w:tcPr>
            <w:tcW w:w="1416" w:type="dxa"/>
            <w:gridSpan w:val="3"/>
            <w:tcBorders>
              <w:top w:val="nil"/>
              <w:left w:val="single" w:color="auto" w:sz="4" w:space="0"/>
              <w:bottom w:val="nil"/>
              <w:right w:val="nil"/>
            </w:tcBorders>
            <w:vAlign w:val="center"/>
          </w:tcPr>
          <w:p w14:paraId="236F94F2">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12.2（11.2）</w:t>
            </w:r>
          </w:p>
        </w:tc>
        <w:tc>
          <w:tcPr>
            <w:tcW w:w="1350" w:type="dxa"/>
            <w:gridSpan w:val="3"/>
            <w:tcBorders>
              <w:top w:val="nil"/>
              <w:left w:val="single" w:color="auto" w:sz="4" w:space="0"/>
              <w:bottom w:val="nil"/>
              <w:right w:val="nil"/>
            </w:tcBorders>
            <w:vAlign w:val="center"/>
          </w:tcPr>
          <w:p w14:paraId="22F5BF31">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5.0（3.8）</w:t>
            </w:r>
          </w:p>
        </w:tc>
        <w:tc>
          <w:tcPr>
            <w:tcW w:w="1125" w:type="dxa"/>
            <w:tcBorders>
              <w:top w:val="nil"/>
              <w:left w:val="single" w:color="auto" w:sz="4" w:space="0"/>
              <w:bottom w:val="nil"/>
              <w:right w:val="nil"/>
            </w:tcBorders>
            <w:vAlign w:val="center"/>
          </w:tcPr>
          <w:p w14:paraId="53ECB2C4">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5.1（4.2）</w:t>
            </w:r>
          </w:p>
        </w:tc>
      </w:tr>
      <w:tr w14:paraId="4FD940A5">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155B0601">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2920E729">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奥地利</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79171F82">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5.6（5.4）</w:t>
            </w:r>
          </w:p>
        </w:tc>
        <w:tc>
          <w:tcPr>
            <w:tcW w:w="1050" w:type="dxa"/>
            <w:tcBorders>
              <w:top w:val="nil"/>
              <w:left w:val="nil"/>
              <w:bottom w:val="nil"/>
              <w:right w:val="nil"/>
            </w:tcBorders>
            <w:tcMar>
              <w:top w:w="15" w:type="dxa"/>
              <w:left w:w="15" w:type="dxa"/>
              <w:bottom w:w="0" w:type="dxa"/>
              <w:right w:w="15" w:type="dxa"/>
            </w:tcMar>
            <w:vAlign w:val="center"/>
          </w:tcPr>
          <w:p w14:paraId="2FEE65A0">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4.3（3.7）</w:t>
            </w:r>
          </w:p>
        </w:tc>
        <w:tc>
          <w:tcPr>
            <w:tcW w:w="1416" w:type="dxa"/>
            <w:gridSpan w:val="3"/>
            <w:tcBorders>
              <w:top w:val="nil"/>
              <w:left w:val="single" w:color="auto" w:sz="4" w:space="0"/>
              <w:bottom w:val="nil"/>
              <w:right w:val="nil"/>
            </w:tcBorders>
            <w:vAlign w:val="center"/>
          </w:tcPr>
          <w:p w14:paraId="5B67D00D">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5.1（4.6）</w:t>
            </w:r>
          </w:p>
        </w:tc>
        <w:tc>
          <w:tcPr>
            <w:tcW w:w="1350" w:type="dxa"/>
            <w:gridSpan w:val="3"/>
            <w:tcBorders>
              <w:top w:val="nil"/>
              <w:left w:val="single" w:color="auto" w:sz="4" w:space="0"/>
              <w:bottom w:val="nil"/>
              <w:right w:val="nil"/>
            </w:tcBorders>
            <w:vAlign w:val="center"/>
          </w:tcPr>
          <w:p w14:paraId="1D6D3B4D">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3.9（3.5）</w:t>
            </w:r>
          </w:p>
        </w:tc>
        <w:tc>
          <w:tcPr>
            <w:tcW w:w="1125" w:type="dxa"/>
            <w:tcBorders>
              <w:top w:val="nil"/>
              <w:left w:val="single" w:color="auto" w:sz="4" w:space="0"/>
              <w:bottom w:val="nil"/>
              <w:right w:val="nil"/>
            </w:tcBorders>
            <w:vAlign w:val="center"/>
          </w:tcPr>
          <w:p w14:paraId="76A0ACFB">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4.0（4.0）</w:t>
            </w:r>
          </w:p>
        </w:tc>
      </w:tr>
      <w:tr w14:paraId="15D42E92">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79416B5E">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28C4B449">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英国</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1C2A7C11">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3.3（2.3）</w:t>
            </w:r>
          </w:p>
        </w:tc>
        <w:tc>
          <w:tcPr>
            <w:tcW w:w="1050" w:type="dxa"/>
            <w:tcBorders>
              <w:top w:val="nil"/>
              <w:left w:val="nil"/>
              <w:bottom w:val="nil"/>
              <w:right w:val="nil"/>
            </w:tcBorders>
            <w:tcMar>
              <w:top w:w="15" w:type="dxa"/>
              <w:left w:w="15" w:type="dxa"/>
              <w:bottom w:w="0" w:type="dxa"/>
              <w:right w:w="15" w:type="dxa"/>
            </w:tcMar>
            <w:vAlign w:val="center"/>
          </w:tcPr>
          <w:p w14:paraId="4C16342D">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3.1（2.4）</w:t>
            </w:r>
          </w:p>
        </w:tc>
        <w:tc>
          <w:tcPr>
            <w:tcW w:w="1416" w:type="dxa"/>
            <w:gridSpan w:val="3"/>
            <w:tcBorders>
              <w:top w:val="nil"/>
              <w:left w:val="single" w:color="auto" w:sz="4" w:space="0"/>
              <w:bottom w:val="nil"/>
              <w:right w:val="nil"/>
            </w:tcBorders>
            <w:vAlign w:val="center"/>
          </w:tcPr>
          <w:p w14:paraId="00BA7428">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2.5（2.2）</w:t>
            </w:r>
          </w:p>
        </w:tc>
        <w:tc>
          <w:tcPr>
            <w:tcW w:w="1350" w:type="dxa"/>
            <w:gridSpan w:val="3"/>
            <w:tcBorders>
              <w:top w:val="nil"/>
              <w:left w:val="single" w:color="auto" w:sz="4" w:space="0"/>
              <w:bottom w:val="nil"/>
              <w:right w:val="nil"/>
            </w:tcBorders>
            <w:vAlign w:val="center"/>
          </w:tcPr>
          <w:p w14:paraId="60E7AC84">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2.0（1.4）</w:t>
            </w:r>
          </w:p>
        </w:tc>
        <w:tc>
          <w:tcPr>
            <w:tcW w:w="1125" w:type="dxa"/>
            <w:tcBorders>
              <w:top w:val="nil"/>
              <w:left w:val="single" w:color="auto" w:sz="4" w:space="0"/>
              <w:bottom w:val="nil"/>
              <w:right w:val="nil"/>
            </w:tcBorders>
            <w:vAlign w:val="center"/>
          </w:tcPr>
          <w:p w14:paraId="16FA537D">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1.6（1.6）</w:t>
            </w:r>
          </w:p>
        </w:tc>
      </w:tr>
      <w:tr w14:paraId="5DAA0053">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25B4CD52">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1178BA0C">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意大利</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2586D17B">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5.6（4.8）</w:t>
            </w:r>
          </w:p>
        </w:tc>
        <w:tc>
          <w:tcPr>
            <w:tcW w:w="1050" w:type="dxa"/>
            <w:tcBorders>
              <w:top w:val="nil"/>
              <w:left w:val="nil"/>
              <w:bottom w:val="nil"/>
              <w:right w:val="nil"/>
            </w:tcBorders>
            <w:tcMar>
              <w:top w:w="15" w:type="dxa"/>
              <w:left w:w="15" w:type="dxa"/>
              <w:bottom w:w="0" w:type="dxa"/>
              <w:right w:w="15" w:type="dxa"/>
            </w:tcMar>
            <w:vAlign w:val="center"/>
          </w:tcPr>
          <w:p w14:paraId="55CC9258">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5.2（4.3）</w:t>
            </w:r>
          </w:p>
        </w:tc>
        <w:tc>
          <w:tcPr>
            <w:tcW w:w="1416" w:type="dxa"/>
            <w:gridSpan w:val="3"/>
            <w:tcBorders>
              <w:top w:val="nil"/>
              <w:left w:val="single" w:color="auto" w:sz="4" w:space="0"/>
              <w:bottom w:val="nil"/>
              <w:right w:val="nil"/>
            </w:tcBorders>
            <w:vAlign w:val="center"/>
          </w:tcPr>
          <w:p w14:paraId="4E859C6C">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6.2（5.4）</w:t>
            </w:r>
          </w:p>
        </w:tc>
        <w:tc>
          <w:tcPr>
            <w:tcW w:w="1350" w:type="dxa"/>
            <w:gridSpan w:val="3"/>
            <w:tcBorders>
              <w:top w:val="nil"/>
              <w:left w:val="single" w:color="auto" w:sz="4" w:space="0"/>
              <w:bottom w:val="nil"/>
              <w:right w:val="nil"/>
            </w:tcBorders>
            <w:vAlign w:val="center"/>
          </w:tcPr>
          <w:p w14:paraId="0DC861B9">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2.4（1.5）</w:t>
            </w:r>
          </w:p>
        </w:tc>
        <w:tc>
          <w:tcPr>
            <w:tcW w:w="1125" w:type="dxa"/>
            <w:tcBorders>
              <w:top w:val="nil"/>
              <w:left w:val="single" w:color="auto" w:sz="4" w:space="0"/>
              <w:bottom w:val="nil"/>
              <w:right w:val="nil"/>
            </w:tcBorders>
            <w:vAlign w:val="center"/>
          </w:tcPr>
          <w:p w14:paraId="70193CA8">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3.9（3.4）</w:t>
            </w:r>
          </w:p>
        </w:tc>
      </w:tr>
      <w:tr w14:paraId="1250BF61">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199AB1AA">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30870043">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西班牙</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7C79E81C">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6.2（5.3）</w:t>
            </w:r>
          </w:p>
        </w:tc>
        <w:tc>
          <w:tcPr>
            <w:tcW w:w="1050" w:type="dxa"/>
            <w:tcBorders>
              <w:top w:val="nil"/>
              <w:left w:val="nil"/>
              <w:bottom w:val="nil"/>
              <w:right w:val="nil"/>
            </w:tcBorders>
            <w:tcMar>
              <w:top w:w="15" w:type="dxa"/>
              <w:left w:w="15" w:type="dxa"/>
              <w:bottom w:w="0" w:type="dxa"/>
              <w:right w:w="15" w:type="dxa"/>
            </w:tcMar>
            <w:vAlign w:val="center"/>
          </w:tcPr>
          <w:p w14:paraId="5C061C77">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8.5（7.5）</w:t>
            </w:r>
          </w:p>
        </w:tc>
        <w:tc>
          <w:tcPr>
            <w:tcW w:w="1416" w:type="dxa"/>
            <w:gridSpan w:val="3"/>
            <w:tcBorders>
              <w:top w:val="nil"/>
              <w:left w:val="single" w:color="auto" w:sz="4" w:space="0"/>
              <w:bottom w:val="nil"/>
              <w:right w:val="nil"/>
            </w:tcBorders>
            <w:vAlign w:val="center"/>
          </w:tcPr>
          <w:p w14:paraId="2330C78E">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6.2（5.1）</w:t>
            </w:r>
          </w:p>
        </w:tc>
        <w:tc>
          <w:tcPr>
            <w:tcW w:w="1350" w:type="dxa"/>
            <w:gridSpan w:val="3"/>
            <w:tcBorders>
              <w:top w:val="nil"/>
              <w:left w:val="single" w:color="auto" w:sz="4" w:space="0"/>
              <w:bottom w:val="nil"/>
              <w:right w:val="nil"/>
            </w:tcBorders>
            <w:vAlign w:val="center"/>
          </w:tcPr>
          <w:p w14:paraId="117300C4">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5.5（4.6）</w:t>
            </w:r>
          </w:p>
        </w:tc>
        <w:tc>
          <w:tcPr>
            <w:tcW w:w="1125" w:type="dxa"/>
            <w:tcBorders>
              <w:top w:val="nil"/>
              <w:left w:val="single" w:color="auto" w:sz="4" w:space="0"/>
              <w:bottom w:val="nil"/>
              <w:right w:val="nil"/>
            </w:tcBorders>
            <w:vAlign w:val="center"/>
          </w:tcPr>
          <w:p w14:paraId="25C85F72">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2.3（1.3）</w:t>
            </w:r>
          </w:p>
        </w:tc>
      </w:tr>
      <w:tr w14:paraId="58EC0F5D">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6E16B175">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379B9461">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希腊</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331C601C">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6.0（5.0）</w:t>
            </w:r>
          </w:p>
        </w:tc>
        <w:tc>
          <w:tcPr>
            <w:tcW w:w="1050" w:type="dxa"/>
            <w:tcBorders>
              <w:top w:val="nil"/>
              <w:left w:val="nil"/>
              <w:bottom w:val="nil"/>
              <w:right w:val="nil"/>
            </w:tcBorders>
            <w:tcMar>
              <w:top w:w="15" w:type="dxa"/>
              <w:left w:w="15" w:type="dxa"/>
              <w:bottom w:w="0" w:type="dxa"/>
              <w:right w:w="15" w:type="dxa"/>
            </w:tcMar>
            <w:vAlign w:val="center"/>
          </w:tcPr>
          <w:p w14:paraId="23492076">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7.7（7.2）</w:t>
            </w:r>
          </w:p>
        </w:tc>
        <w:tc>
          <w:tcPr>
            <w:tcW w:w="1416" w:type="dxa"/>
            <w:gridSpan w:val="3"/>
            <w:tcBorders>
              <w:top w:val="nil"/>
              <w:left w:val="single" w:color="auto" w:sz="4" w:space="0"/>
              <w:bottom w:val="nil"/>
              <w:right w:val="nil"/>
            </w:tcBorders>
            <w:vAlign w:val="center"/>
          </w:tcPr>
          <w:p w14:paraId="57ED1A4C">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7.2（6.6）</w:t>
            </w:r>
          </w:p>
        </w:tc>
        <w:tc>
          <w:tcPr>
            <w:tcW w:w="1350" w:type="dxa"/>
            <w:gridSpan w:val="3"/>
            <w:tcBorders>
              <w:top w:val="nil"/>
              <w:left w:val="single" w:color="auto" w:sz="4" w:space="0"/>
              <w:bottom w:val="nil"/>
              <w:right w:val="nil"/>
            </w:tcBorders>
            <w:vAlign w:val="center"/>
          </w:tcPr>
          <w:p w14:paraId="6CBB222D">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5.0（4.5）</w:t>
            </w:r>
          </w:p>
        </w:tc>
        <w:tc>
          <w:tcPr>
            <w:tcW w:w="1125" w:type="dxa"/>
            <w:tcBorders>
              <w:top w:val="nil"/>
              <w:left w:val="single" w:color="auto" w:sz="4" w:space="0"/>
              <w:bottom w:val="nil"/>
              <w:right w:val="nil"/>
            </w:tcBorders>
            <w:vAlign w:val="center"/>
          </w:tcPr>
          <w:p w14:paraId="694BAD00">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4.4（3.2）</w:t>
            </w:r>
          </w:p>
        </w:tc>
      </w:tr>
      <w:tr w14:paraId="4D739FBD">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6C584BB3">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nil"/>
              <w:right w:val="single" w:color="auto" w:sz="4" w:space="0"/>
            </w:tcBorders>
            <w:tcMar>
              <w:top w:w="15" w:type="dxa"/>
              <w:left w:w="15" w:type="dxa"/>
              <w:bottom w:w="0" w:type="dxa"/>
              <w:right w:w="15" w:type="dxa"/>
            </w:tcMar>
            <w:vAlign w:val="center"/>
          </w:tcPr>
          <w:p w14:paraId="235C6F8A">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土耳其</w:t>
            </w:r>
          </w:p>
        </w:tc>
        <w:tc>
          <w:tcPr>
            <w:tcW w:w="1409" w:type="dxa"/>
            <w:tcBorders>
              <w:top w:val="nil"/>
              <w:left w:val="nil"/>
              <w:bottom w:val="nil"/>
              <w:right w:val="single" w:color="auto" w:sz="4" w:space="0"/>
            </w:tcBorders>
            <w:tcMar>
              <w:top w:w="15" w:type="dxa"/>
              <w:left w:w="15" w:type="dxa"/>
              <w:bottom w:w="0" w:type="dxa"/>
              <w:right w:w="15" w:type="dxa"/>
            </w:tcMar>
            <w:vAlign w:val="center"/>
          </w:tcPr>
          <w:p w14:paraId="4ACB80F3">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6.4（3.4）</w:t>
            </w:r>
          </w:p>
        </w:tc>
        <w:tc>
          <w:tcPr>
            <w:tcW w:w="1050" w:type="dxa"/>
            <w:tcBorders>
              <w:top w:val="nil"/>
              <w:left w:val="nil"/>
              <w:bottom w:val="nil"/>
              <w:right w:val="nil"/>
            </w:tcBorders>
            <w:tcMar>
              <w:top w:w="15" w:type="dxa"/>
              <w:left w:w="15" w:type="dxa"/>
              <w:bottom w:w="0" w:type="dxa"/>
              <w:right w:w="15" w:type="dxa"/>
            </w:tcMar>
            <w:vAlign w:val="center"/>
          </w:tcPr>
          <w:p w14:paraId="1D4CA032">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4.8（2.8）</w:t>
            </w:r>
          </w:p>
        </w:tc>
        <w:tc>
          <w:tcPr>
            <w:tcW w:w="1416" w:type="dxa"/>
            <w:gridSpan w:val="3"/>
            <w:tcBorders>
              <w:top w:val="nil"/>
              <w:left w:val="single" w:color="auto" w:sz="4" w:space="0"/>
              <w:bottom w:val="nil"/>
              <w:right w:val="nil"/>
            </w:tcBorders>
            <w:vAlign w:val="center"/>
          </w:tcPr>
          <w:p w14:paraId="21438B18">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6.6（3.7）</w:t>
            </w:r>
          </w:p>
        </w:tc>
        <w:tc>
          <w:tcPr>
            <w:tcW w:w="1350" w:type="dxa"/>
            <w:gridSpan w:val="3"/>
            <w:tcBorders>
              <w:top w:val="nil"/>
              <w:left w:val="single" w:color="auto" w:sz="4" w:space="0"/>
              <w:bottom w:val="nil"/>
              <w:right w:val="nil"/>
            </w:tcBorders>
            <w:vAlign w:val="center"/>
          </w:tcPr>
          <w:p w14:paraId="44004944">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7.5（5.0）</w:t>
            </w:r>
          </w:p>
        </w:tc>
        <w:tc>
          <w:tcPr>
            <w:tcW w:w="1125" w:type="dxa"/>
            <w:tcBorders>
              <w:top w:val="nil"/>
              <w:left w:val="single" w:color="auto" w:sz="4" w:space="0"/>
              <w:bottom w:val="nil"/>
              <w:right w:val="nil"/>
            </w:tcBorders>
            <w:vAlign w:val="center"/>
          </w:tcPr>
          <w:p w14:paraId="0D36345E">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3.1（0.6）</w:t>
            </w:r>
          </w:p>
        </w:tc>
      </w:tr>
      <w:tr w14:paraId="35BB3C84">
        <w:trPr>
          <w:cantSplit/>
          <w:trHeight w:val="315" w:hRule="atLeast"/>
        </w:trPr>
        <w:tc>
          <w:tcPr>
            <w:tcW w:w="440" w:type="dxa"/>
            <w:vMerge w:val="continue"/>
            <w:tcBorders>
              <w:top w:val="nil"/>
              <w:left w:val="nil"/>
              <w:bottom w:val="single" w:color="000000" w:sz="12" w:space="0"/>
              <w:right w:val="single" w:color="auto" w:sz="4" w:space="0"/>
            </w:tcBorders>
            <w:vAlign w:val="center"/>
          </w:tcPr>
          <w:p w14:paraId="15211543">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single" w:color="auto" w:sz="4" w:space="0"/>
              <w:right w:val="single" w:color="auto" w:sz="4" w:space="0"/>
            </w:tcBorders>
            <w:tcMar>
              <w:top w:w="15" w:type="dxa"/>
              <w:left w:w="15" w:type="dxa"/>
              <w:bottom w:w="0" w:type="dxa"/>
              <w:right w:w="15" w:type="dxa"/>
            </w:tcMar>
            <w:vAlign w:val="center"/>
          </w:tcPr>
          <w:p w14:paraId="7CB3783F">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印度</w:t>
            </w:r>
          </w:p>
        </w:tc>
        <w:tc>
          <w:tcPr>
            <w:tcW w:w="1409" w:type="dxa"/>
            <w:tcBorders>
              <w:top w:val="nil"/>
              <w:left w:val="nil"/>
              <w:bottom w:val="single" w:color="auto" w:sz="4" w:space="0"/>
              <w:right w:val="single" w:color="auto" w:sz="4" w:space="0"/>
            </w:tcBorders>
            <w:tcMar>
              <w:top w:w="15" w:type="dxa"/>
              <w:left w:w="15" w:type="dxa"/>
              <w:bottom w:w="0" w:type="dxa"/>
              <w:right w:w="15" w:type="dxa"/>
            </w:tcMar>
            <w:vAlign w:val="center"/>
          </w:tcPr>
          <w:p w14:paraId="37E5BA0F">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3.8（1.9）</w:t>
            </w:r>
          </w:p>
        </w:tc>
        <w:tc>
          <w:tcPr>
            <w:tcW w:w="1050" w:type="dxa"/>
            <w:tcBorders>
              <w:top w:val="nil"/>
              <w:left w:val="nil"/>
              <w:bottom w:val="single" w:color="auto" w:sz="4" w:space="0"/>
              <w:right w:val="nil"/>
            </w:tcBorders>
            <w:tcMar>
              <w:top w:w="15" w:type="dxa"/>
              <w:left w:w="15" w:type="dxa"/>
              <w:bottom w:w="0" w:type="dxa"/>
              <w:right w:w="15" w:type="dxa"/>
            </w:tcMar>
            <w:vAlign w:val="center"/>
          </w:tcPr>
          <w:p w14:paraId="3A15F5DB">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4.0（1.7）</w:t>
            </w:r>
          </w:p>
        </w:tc>
        <w:tc>
          <w:tcPr>
            <w:tcW w:w="1416" w:type="dxa"/>
            <w:gridSpan w:val="3"/>
            <w:tcBorders>
              <w:top w:val="nil"/>
              <w:left w:val="single" w:color="auto" w:sz="4" w:space="0"/>
              <w:bottom w:val="single" w:color="auto" w:sz="4" w:space="0"/>
              <w:right w:val="nil"/>
            </w:tcBorders>
            <w:vAlign w:val="center"/>
          </w:tcPr>
          <w:p w14:paraId="3C5A4B2E">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5.0（2.6）</w:t>
            </w:r>
          </w:p>
        </w:tc>
        <w:tc>
          <w:tcPr>
            <w:tcW w:w="1350" w:type="dxa"/>
            <w:gridSpan w:val="3"/>
            <w:tcBorders>
              <w:top w:val="nil"/>
              <w:left w:val="single" w:color="auto" w:sz="4" w:space="0"/>
              <w:bottom w:val="single" w:color="auto" w:sz="4" w:space="0"/>
              <w:right w:val="nil"/>
            </w:tcBorders>
            <w:vAlign w:val="center"/>
          </w:tcPr>
          <w:p w14:paraId="6AADDE3C">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3.0（1.0）</w:t>
            </w:r>
          </w:p>
        </w:tc>
        <w:tc>
          <w:tcPr>
            <w:tcW w:w="1125" w:type="dxa"/>
            <w:tcBorders>
              <w:top w:val="nil"/>
              <w:left w:val="single" w:color="auto" w:sz="4" w:space="0"/>
              <w:bottom w:val="single" w:color="auto" w:sz="4" w:space="0"/>
              <w:right w:val="nil"/>
            </w:tcBorders>
            <w:vAlign w:val="center"/>
          </w:tcPr>
          <w:p w14:paraId="1E3AF3EC">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3.4（1.6）</w:t>
            </w:r>
          </w:p>
        </w:tc>
      </w:tr>
      <w:tr w14:paraId="2C3AC550">
        <w:trPr>
          <w:gridAfter w:val="2"/>
          <w:wAfter w:w="2075" w:type="dxa"/>
          <w:cantSplit/>
          <w:trHeight w:val="330" w:hRule="atLeast"/>
        </w:trPr>
        <w:tc>
          <w:tcPr>
            <w:tcW w:w="440" w:type="dxa"/>
            <w:vMerge w:val="continue"/>
            <w:tcBorders>
              <w:top w:val="nil"/>
              <w:left w:val="nil"/>
              <w:bottom w:val="single" w:color="000000" w:sz="12" w:space="0"/>
              <w:right w:val="single" w:color="auto" w:sz="4" w:space="0"/>
            </w:tcBorders>
            <w:vAlign w:val="center"/>
          </w:tcPr>
          <w:p w14:paraId="11B462E3">
            <w:pPr>
              <w:autoSpaceDE w:val="0"/>
              <w:autoSpaceDN w:val="0"/>
              <w:adjustRightInd w:val="0"/>
              <w:snapToGrid w:val="0"/>
              <w:ind w:firstLine="420" w:firstLineChars="200"/>
              <w:jc w:val="center"/>
              <w:rPr>
                <w:rFonts w:hint="default" w:ascii="Times New Roman" w:hAnsi="Times New Roman" w:eastAsia="宋体" w:cs="Times New Roman"/>
                <w:szCs w:val="21"/>
              </w:rPr>
            </w:pPr>
          </w:p>
        </w:tc>
        <w:tc>
          <w:tcPr>
            <w:tcW w:w="851" w:type="dxa"/>
            <w:tcBorders>
              <w:top w:val="nil"/>
              <w:left w:val="nil"/>
              <w:bottom w:val="single" w:color="auto" w:sz="12" w:space="0"/>
              <w:right w:val="single" w:color="auto" w:sz="4" w:space="0"/>
            </w:tcBorders>
            <w:tcMar>
              <w:top w:w="15" w:type="dxa"/>
              <w:left w:w="15" w:type="dxa"/>
              <w:bottom w:w="0" w:type="dxa"/>
              <w:right w:w="15" w:type="dxa"/>
            </w:tcMar>
            <w:vAlign w:val="center"/>
          </w:tcPr>
          <w:p w14:paraId="3299B1BA">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未加权平均数</w:t>
            </w:r>
          </w:p>
        </w:tc>
        <w:tc>
          <w:tcPr>
            <w:tcW w:w="1409" w:type="dxa"/>
            <w:tcBorders>
              <w:top w:val="nil"/>
              <w:left w:val="nil"/>
              <w:bottom w:val="single" w:color="auto" w:sz="12" w:space="0"/>
              <w:right w:val="single" w:color="auto" w:sz="4" w:space="0"/>
            </w:tcBorders>
            <w:tcMar>
              <w:top w:w="15" w:type="dxa"/>
              <w:left w:w="15" w:type="dxa"/>
              <w:bottom w:w="0" w:type="dxa"/>
              <w:right w:w="15" w:type="dxa"/>
            </w:tcMar>
            <w:vAlign w:val="center"/>
          </w:tcPr>
          <w:p w14:paraId="44D9BF68">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5.0（3.7）</w:t>
            </w:r>
          </w:p>
        </w:tc>
        <w:tc>
          <w:tcPr>
            <w:tcW w:w="1050" w:type="dxa"/>
            <w:tcBorders>
              <w:top w:val="nil"/>
              <w:left w:val="nil"/>
              <w:bottom w:val="single" w:color="auto" w:sz="12" w:space="0"/>
              <w:right w:val="nil"/>
            </w:tcBorders>
            <w:tcMar>
              <w:top w:w="15" w:type="dxa"/>
              <w:left w:w="15" w:type="dxa"/>
              <w:bottom w:w="0" w:type="dxa"/>
              <w:right w:w="15" w:type="dxa"/>
            </w:tcMar>
            <w:vAlign w:val="center"/>
          </w:tcPr>
          <w:p w14:paraId="7B87E20F">
            <w:pPr>
              <w:autoSpaceDE w:val="0"/>
              <w:autoSpaceDN w:val="0"/>
              <w:adjustRightInd w:val="0"/>
              <w:snapToGrid w:val="0"/>
              <w:ind w:firstLine="300" w:firstLineChars="200"/>
              <w:rPr>
                <w:rFonts w:hint="default" w:ascii="Times New Roman" w:hAnsi="Times New Roman" w:eastAsia="宋体" w:cs="Times New Roman"/>
                <w:sz w:val="15"/>
                <w:szCs w:val="15"/>
              </w:rPr>
            </w:pPr>
            <w:r>
              <w:rPr>
                <w:rFonts w:hint="default" w:ascii="Times New Roman" w:hAnsi="Times New Roman" w:eastAsia="宋体" w:cs="Times New Roman"/>
                <w:sz w:val="15"/>
                <w:szCs w:val="15"/>
              </w:rPr>
              <w:t>5.5（4.4）</w:t>
            </w:r>
          </w:p>
        </w:tc>
        <w:tc>
          <w:tcPr>
            <w:tcW w:w="416" w:type="dxa"/>
            <w:tcBorders>
              <w:top w:val="nil"/>
              <w:left w:val="nil"/>
              <w:bottom w:val="single" w:color="auto" w:sz="12" w:space="0"/>
              <w:right w:val="single" w:color="auto" w:sz="4" w:space="0"/>
            </w:tcBorders>
            <w:tcMar>
              <w:top w:w="15" w:type="dxa"/>
              <w:left w:w="15" w:type="dxa"/>
              <w:bottom w:w="0" w:type="dxa"/>
              <w:right w:w="15" w:type="dxa"/>
            </w:tcMar>
            <w:vAlign w:val="center"/>
          </w:tcPr>
          <w:p w14:paraId="3DB5A4F8">
            <w:pPr>
              <w:autoSpaceDE w:val="0"/>
              <w:autoSpaceDN w:val="0"/>
              <w:adjustRightInd w:val="0"/>
              <w:snapToGrid w:val="0"/>
              <w:ind w:firstLine="300" w:firstLineChars="200"/>
              <w:jc w:val="center"/>
              <w:rPr>
                <w:rFonts w:hint="default" w:ascii="Times New Roman" w:hAnsi="Times New Roman" w:eastAsia="宋体" w:cs="Times New Roman"/>
                <w:sz w:val="15"/>
                <w:szCs w:val="15"/>
              </w:rPr>
            </w:pPr>
          </w:p>
        </w:tc>
        <w:tc>
          <w:tcPr>
            <w:tcW w:w="62" w:type="dxa"/>
            <w:tcBorders>
              <w:top w:val="nil"/>
              <w:left w:val="nil"/>
              <w:bottom w:val="single" w:color="auto" w:sz="12" w:space="0"/>
              <w:right w:val="single" w:color="auto" w:sz="4" w:space="0"/>
            </w:tcBorders>
            <w:tcMar>
              <w:top w:w="15" w:type="dxa"/>
              <w:left w:w="15" w:type="dxa"/>
              <w:bottom w:w="0" w:type="dxa"/>
              <w:right w:w="15" w:type="dxa"/>
            </w:tcMar>
            <w:vAlign w:val="center"/>
          </w:tcPr>
          <w:p w14:paraId="5C10E0DE">
            <w:pPr>
              <w:autoSpaceDE w:val="0"/>
              <w:autoSpaceDN w:val="0"/>
              <w:adjustRightInd w:val="0"/>
              <w:snapToGrid w:val="0"/>
              <w:ind w:firstLine="300" w:firstLineChars="200"/>
              <w:jc w:val="center"/>
              <w:rPr>
                <w:rFonts w:hint="default" w:ascii="Times New Roman" w:hAnsi="Times New Roman" w:eastAsia="宋体" w:cs="Times New Roman"/>
                <w:sz w:val="15"/>
                <w:szCs w:val="15"/>
              </w:rPr>
            </w:pPr>
          </w:p>
        </w:tc>
        <w:tc>
          <w:tcPr>
            <w:tcW w:w="1239" w:type="dxa"/>
            <w:gridSpan w:val="2"/>
            <w:tcBorders>
              <w:top w:val="nil"/>
              <w:left w:val="single" w:color="auto" w:sz="4" w:space="0"/>
              <w:bottom w:val="single" w:color="auto" w:sz="12" w:space="0"/>
              <w:right w:val="nil"/>
            </w:tcBorders>
            <w:vAlign w:val="center"/>
          </w:tcPr>
          <w:p w14:paraId="2F19BEED">
            <w:pPr>
              <w:autoSpaceDE w:val="0"/>
              <w:autoSpaceDN w:val="0"/>
              <w:adjustRightInd w:val="0"/>
              <w:snapToGrid w:val="0"/>
              <w:ind w:firstLine="300" w:firstLineChars="200"/>
              <w:jc w:val="center"/>
              <w:rPr>
                <w:rFonts w:hint="default" w:ascii="Times New Roman" w:hAnsi="Times New Roman" w:eastAsia="宋体" w:cs="Times New Roman"/>
                <w:sz w:val="15"/>
                <w:szCs w:val="15"/>
              </w:rPr>
            </w:pPr>
            <w:r>
              <w:rPr>
                <w:rFonts w:hint="default" w:ascii="Times New Roman" w:hAnsi="Times New Roman" w:eastAsia="宋体" w:cs="Times New Roman"/>
                <w:sz w:val="15"/>
                <w:szCs w:val="15"/>
              </w:rPr>
              <w:t>3.4（2.6）</w:t>
            </w:r>
          </w:p>
        </w:tc>
        <w:tc>
          <w:tcPr>
            <w:tcW w:w="99" w:type="dxa"/>
            <w:tcBorders>
              <w:top w:val="nil"/>
              <w:left w:val="single" w:color="auto" w:sz="4" w:space="0"/>
              <w:bottom w:val="single" w:color="auto" w:sz="12" w:space="0"/>
              <w:right w:val="nil"/>
            </w:tcBorders>
            <w:vAlign w:val="center"/>
          </w:tcPr>
          <w:p w14:paraId="12B6FC88">
            <w:pPr>
              <w:autoSpaceDE w:val="0"/>
              <w:autoSpaceDN w:val="0"/>
              <w:adjustRightInd w:val="0"/>
              <w:snapToGrid w:val="0"/>
              <w:ind w:firstLine="300" w:firstLineChars="200"/>
              <w:jc w:val="center"/>
              <w:rPr>
                <w:rFonts w:hint="default" w:ascii="Times New Roman" w:hAnsi="Times New Roman" w:eastAsia="宋体" w:cs="Times New Roman"/>
                <w:sz w:val="15"/>
                <w:szCs w:val="15"/>
              </w:rPr>
            </w:pPr>
          </w:p>
        </w:tc>
      </w:tr>
    </w:tbl>
    <w:p w14:paraId="07E50E6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发展目标。计划社会主义具有一个优点：即在集中可能取得的资源用于发展目标方面的能力，把资源引向规定目标的能力将导致更迅速的结构改组和更高的增长──这将加速经济发展的步伐，使之超过资本主义经济中已出现的速度。</w:t>
      </w:r>
    </w:p>
    <w:p w14:paraId="444EE9B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4.默瑞尔和奥尔森关于计划体制国家和市场体制国家经济绩效的比较</w:t>
      </w:r>
    </w:p>
    <w:p w14:paraId="7DB4450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根据默瑞尔和奥尔森的研究，计划体制国家和市场经济国家在1950～1965年、1965～1980年这两个时期的经济绩效如表4-1和表4-2。</w:t>
      </w:r>
    </w:p>
    <w:p w14:paraId="0263E5B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表4-1  计划体制国家和市场经济国家1950～1965年间的经济绩效比较（单位：%）</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8"/>
        <w:gridCol w:w="6168"/>
      </w:tblGrid>
      <w:tr w14:paraId="68CF8233">
        <w:trPr>
          <w:cantSplit/>
          <w:trHeight w:val="876" w:hRule="atLeast"/>
        </w:trPr>
        <w:tc>
          <w:tcPr>
            <w:tcW w:w="2448" w:type="dxa"/>
            <w:tcBorders>
              <w:bottom w:val="nil"/>
            </w:tcBorders>
          </w:tcPr>
          <w:p w14:paraId="2E6EC48A">
            <w:pPr>
              <w:autoSpaceDE w:val="0"/>
              <w:autoSpaceDN w:val="0"/>
              <w:spacing w:line="300" w:lineRule="auto"/>
              <w:ind w:firstLine="360" w:firstLineChars="200"/>
              <w:rPr>
                <w:rFonts w:hint="default" w:ascii="Times New Roman" w:hAnsi="Times New Roman" w:eastAsia="宋体" w:cs="Times New Roman"/>
                <w:sz w:val="18"/>
                <w:szCs w:val="18"/>
              </w:rPr>
            </w:pPr>
          </w:p>
        </w:tc>
        <w:tc>
          <w:tcPr>
            <w:tcW w:w="6168" w:type="dxa"/>
            <w:tcBorders>
              <w:bottom w:val="single" w:color="auto" w:sz="4" w:space="0"/>
            </w:tcBorders>
          </w:tcPr>
          <w:p w14:paraId="7267ED7D">
            <w:pPr>
              <w:autoSpaceDE w:val="0"/>
              <w:autoSpaceDN w:val="0"/>
              <w:spacing w:line="300" w:lineRule="auto"/>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 xml:space="preserve">实际增长率      潜在增长率      增长率差距   </w:t>
            </w:r>
          </w:p>
          <w:p w14:paraId="4D91A53D">
            <w:pPr>
              <w:autoSpaceDE w:val="0"/>
              <w:autoSpaceDN w:val="0"/>
              <w:spacing w:line="300" w:lineRule="auto"/>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            （2）       （2）—（1）</w:t>
            </w:r>
          </w:p>
        </w:tc>
      </w:tr>
      <w:tr w14:paraId="6ECE0EC9">
        <w:trPr>
          <w:cantSplit/>
        </w:trPr>
        <w:tc>
          <w:tcPr>
            <w:tcW w:w="2448" w:type="dxa"/>
            <w:vAlign w:val="center"/>
          </w:tcPr>
          <w:p w14:paraId="04DACCB6">
            <w:pPr>
              <w:autoSpaceDE w:val="0"/>
              <w:autoSpaceDN w:val="0"/>
              <w:spacing w:line="300" w:lineRule="auto"/>
              <w:ind w:firstLine="360" w:firstLineChars="200"/>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市场经济国家</w:t>
            </w:r>
          </w:p>
        </w:tc>
        <w:tc>
          <w:tcPr>
            <w:tcW w:w="6168" w:type="dxa"/>
          </w:tcPr>
          <w:p w14:paraId="4EF21522">
            <w:pPr>
              <w:autoSpaceDE w:val="0"/>
              <w:autoSpaceDN w:val="0"/>
              <w:spacing w:line="300" w:lineRule="auto"/>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3.75             5.49            1.74</w:t>
            </w:r>
          </w:p>
        </w:tc>
      </w:tr>
      <w:tr w14:paraId="4EEA39CF">
        <w:trPr>
          <w:cantSplit/>
          <w:trHeight w:val="229" w:hRule="atLeast"/>
        </w:trPr>
        <w:tc>
          <w:tcPr>
            <w:tcW w:w="2448" w:type="dxa"/>
            <w:vAlign w:val="center"/>
          </w:tcPr>
          <w:p w14:paraId="1F2D5B29">
            <w:pPr>
              <w:autoSpaceDE w:val="0"/>
              <w:autoSpaceDN w:val="0"/>
              <w:spacing w:line="300" w:lineRule="auto"/>
              <w:ind w:firstLine="360" w:firstLineChars="200"/>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计划体制国家</w:t>
            </w:r>
          </w:p>
        </w:tc>
        <w:tc>
          <w:tcPr>
            <w:tcW w:w="6168" w:type="dxa"/>
          </w:tcPr>
          <w:p w14:paraId="32BEB298">
            <w:pPr>
              <w:autoSpaceDE w:val="0"/>
              <w:autoSpaceDN w:val="0"/>
              <w:spacing w:line="300" w:lineRule="auto"/>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 xml:space="preserve">  4.43             6.05            1.62 </w:t>
            </w:r>
          </w:p>
        </w:tc>
      </w:tr>
    </w:tbl>
    <w:p w14:paraId="19E1231E">
      <w:pPr>
        <w:spacing w:line="300" w:lineRule="auto"/>
        <w:ind w:firstLine="420" w:firstLineChars="200"/>
        <w:jc w:val="center"/>
        <w:rPr>
          <w:rFonts w:hint="default" w:ascii="Times New Roman" w:hAnsi="Times New Roman" w:eastAsia="宋体" w:cs="Times New Roman"/>
          <w:szCs w:val="21"/>
        </w:rPr>
      </w:pPr>
      <w:r>
        <w:rPr>
          <w:rFonts w:hint="default" w:ascii="Times New Roman" w:hAnsi="Times New Roman" w:eastAsia="宋体" w:cs="Times New Roman"/>
          <w:szCs w:val="21"/>
        </w:rPr>
        <w:t>资料来源：Murrell and Olson，1990</w:t>
      </w:r>
    </w:p>
    <w:p w14:paraId="72556309">
      <w:pPr>
        <w:spacing w:line="300" w:lineRule="auto"/>
        <w:ind w:firstLine="420" w:firstLineChars="200"/>
        <w:jc w:val="center"/>
        <w:rPr>
          <w:rFonts w:hint="default" w:ascii="Times New Roman" w:hAnsi="Times New Roman" w:eastAsia="宋体" w:cs="Times New Roman"/>
          <w:szCs w:val="21"/>
        </w:rPr>
      </w:pPr>
      <w:r>
        <w:rPr>
          <w:rFonts w:hint="default" w:ascii="Times New Roman" w:hAnsi="Times New Roman" w:eastAsia="宋体" w:cs="Times New Roman"/>
          <w:szCs w:val="21"/>
        </w:rPr>
        <w:t>表4-2              计划体制国家和市场经济国家</w:t>
      </w:r>
    </w:p>
    <w:p w14:paraId="445F8373">
      <w:pPr>
        <w:spacing w:line="300" w:lineRule="auto"/>
        <w:ind w:firstLine="420" w:firstLineChars="200"/>
        <w:jc w:val="center"/>
        <w:rPr>
          <w:rFonts w:hint="default" w:ascii="Times New Roman" w:hAnsi="Times New Roman" w:eastAsia="宋体" w:cs="Times New Roman"/>
          <w:szCs w:val="21"/>
        </w:rPr>
      </w:pPr>
      <w:r>
        <w:rPr>
          <w:rFonts w:hint="default" w:ascii="Times New Roman" w:hAnsi="Times New Roman" w:eastAsia="宋体" w:cs="Times New Roman"/>
          <w:szCs w:val="21"/>
        </w:rPr>
        <w:t>1965～1980年间的经济绩效比较         （单位：%）</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448"/>
        <w:gridCol w:w="6168"/>
      </w:tblGrid>
      <w:tr w14:paraId="3C0CBB08">
        <w:trPr>
          <w:cantSplit/>
          <w:trHeight w:val="876" w:hRule="atLeast"/>
        </w:trPr>
        <w:tc>
          <w:tcPr>
            <w:tcW w:w="2448" w:type="dxa"/>
            <w:tcBorders>
              <w:bottom w:val="nil"/>
            </w:tcBorders>
          </w:tcPr>
          <w:p w14:paraId="4412F929">
            <w:pPr>
              <w:autoSpaceDE w:val="0"/>
              <w:autoSpaceDN w:val="0"/>
              <w:spacing w:line="300" w:lineRule="auto"/>
              <w:ind w:firstLine="360" w:firstLineChars="200"/>
              <w:rPr>
                <w:rFonts w:hint="default" w:ascii="Times New Roman" w:hAnsi="Times New Roman" w:eastAsia="宋体" w:cs="Times New Roman"/>
                <w:sz w:val="18"/>
                <w:szCs w:val="18"/>
              </w:rPr>
            </w:pPr>
          </w:p>
        </w:tc>
        <w:tc>
          <w:tcPr>
            <w:tcW w:w="6168" w:type="dxa"/>
            <w:tcBorders>
              <w:bottom w:val="single" w:color="auto" w:sz="4" w:space="0"/>
            </w:tcBorders>
          </w:tcPr>
          <w:p w14:paraId="5B890C05">
            <w:pPr>
              <w:autoSpaceDE w:val="0"/>
              <w:autoSpaceDN w:val="0"/>
              <w:spacing w:line="300" w:lineRule="auto"/>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 xml:space="preserve">实际增长率      潜在增长率      增长率差距   </w:t>
            </w:r>
          </w:p>
          <w:p w14:paraId="62DF57CF">
            <w:pPr>
              <w:autoSpaceDE w:val="0"/>
              <w:autoSpaceDN w:val="0"/>
              <w:spacing w:line="300" w:lineRule="auto"/>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            （2）       （2）—（1）</w:t>
            </w:r>
          </w:p>
        </w:tc>
      </w:tr>
      <w:tr w14:paraId="7CCF0176">
        <w:tc>
          <w:tcPr>
            <w:tcW w:w="2448" w:type="dxa"/>
            <w:vAlign w:val="center"/>
          </w:tcPr>
          <w:p w14:paraId="66A95F4C">
            <w:pPr>
              <w:autoSpaceDE w:val="0"/>
              <w:autoSpaceDN w:val="0"/>
              <w:spacing w:line="300" w:lineRule="auto"/>
              <w:ind w:firstLine="360" w:firstLineChars="200"/>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市场经济国家</w:t>
            </w:r>
          </w:p>
        </w:tc>
        <w:tc>
          <w:tcPr>
            <w:tcW w:w="6168" w:type="dxa"/>
          </w:tcPr>
          <w:p w14:paraId="7A02E4E9">
            <w:pPr>
              <w:autoSpaceDE w:val="0"/>
              <w:autoSpaceDN w:val="0"/>
              <w:spacing w:line="300" w:lineRule="auto"/>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3.36             5.13            1.76</w:t>
            </w:r>
          </w:p>
        </w:tc>
      </w:tr>
      <w:tr w14:paraId="65A16AF9">
        <w:trPr>
          <w:trHeight w:val="229" w:hRule="atLeast"/>
        </w:trPr>
        <w:tc>
          <w:tcPr>
            <w:tcW w:w="2448" w:type="dxa"/>
            <w:vAlign w:val="center"/>
          </w:tcPr>
          <w:p w14:paraId="05B9D4F1">
            <w:pPr>
              <w:autoSpaceDE w:val="0"/>
              <w:autoSpaceDN w:val="0"/>
              <w:spacing w:line="300" w:lineRule="auto"/>
              <w:ind w:firstLine="360" w:firstLineChars="200"/>
              <w:jc w:val="center"/>
              <w:rPr>
                <w:rFonts w:hint="default" w:ascii="Times New Roman" w:hAnsi="Times New Roman" w:eastAsia="宋体" w:cs="Times New Roman"/>
                <w:sz w:val="18"/>
                <w:szCs w:val="18"/>
              </w:rPr>
            </w:pPr>
            <w:r>
              <w:rPr>
                <w:rFonts w:hint="default" w:ascii="Times New Roman" w:hAnsi="Times New Roman" w:eastAsia="宋体" w:cs="Times New Roman"/>
                <w:sz w:val="18"/>
                <w:szCs w:val="18"/>
              </w:rPr>
              <w:t>计划体制国家</w:t>
            </w:r>
          </w:p>
        </w:tc>
        <w:tc>
          <w:tcPr>
            <w:tcW w:w="6168" w:type="dxa"/>
          </w:tcPr>
          <w:p w14:paraId="79F5DF9C">
            <w:pPr>
              <w:autoSpaceDE w:val="0"/>
              <w:autoSpaceDN w:val="0"/>
              <w:spacing w:line="300" w:lineRule="auto"/>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 xml:space="preserve">  3.24             5.71            2.48 </w:t>
            </w:r>
          </w:p>
        </w:tc>
      </w:tr>
    </w:tbl>
    <w:p w14:paraId="163EBCC8">
      <w:pPr>
        <w:spacing w:line="300" w:lineRule="auto"/>
        <w:ind w:firstLine="420" w:firstLineChars="200"/>
        <w:jc w:val="center"/>
        <w:rPr>
          <w:rFonts w:hint="default" w:ascii="Times New Roman" w:hAnsi="Times New Roman" w:eastAsia="宋体" w:cs="Times New Roman"/>
          <w:szCs w:val="21"/>
        </w:rPr>
      </w:pPr>
      <w:r>
        <w:rPr>
          <w:rFonts w:hint="default" w:ascii="Times New Roman" w:hAnsi="Times New Roman" w:eastAsia="宋体" w:cs="Times New Roman"/>
          <w:szCs w:val="21"/>
        </w:rPr>
        <w:t>资料来源：Murrell and Olson，1990</w:t>
      </w:r>
    </w:p>
    <w:p w14:paraId="068CB61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上面两个表中，第二栏分别是计划体制国家和市场经济国家在1950～1965、1965～1980年这两个时期内实现的年均实际人均国民收入增长率。第三栏是这两个时期按照预测应实现的年均潜在人均国民收入增长率。第四栏是这两类国家在这两个时期实际人均国民收入增长率和潜在人均国民收入增长率的差距。</w:t>
      </w:r>
    </w:p>
    <w:p w14:paraId="6AE4456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从这两个表可以看出：（1）在1950～1965年期间，计划体制国家和市场经济国家的经济绩效大体相当，计划体制国家甚至表现出来了一定的优势。这表明在建国初期，社会主义国家的高储蓄率和高投资率在相当程度上弥补了其经济体制中的其他缺陷；（2）在1965～1980年间，计划体制国家的经济效开始明显落后于市场经济国家。虽然从表象看，计划体制国家的实际增长率并不比市场经济国家相差太大，但分析它们的增长率差距就可以看出，计划体制国家已经开始衰落：在1965～1980年间，市场经济国家人均国民收入增长率和潜在人均国民收入增长率的差距（1.76%）和上一时期（1.74%）相比基本相同，但计划体制国家的增长率差距已经从上期的1.62%扩大到2.48%。换言之，市场经济国家的增长率差距仅扩大了2%，而计划体制国家则扩大了86%。</w:t>
      </w:r>
    </w:p>
    <w:p w14:paraId="4EDCEDE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考虑到资本主义国家在1950年代和1960年代经历的是历史上前所未有的“黄金时期”，则社会主义国家在建国初期能够实现与之并驾齐驱的高速增长，不能不令人震撼。</w:t>
      </w:r>
    </w:p>
    <w:p w14:paraId="6321EC6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尽管社会主义学说在苏联和东欧既经历了胜利又遭到了失败，但社会主义并非“历史的错误”，她使许多民族和部族摆脱了落后，达到了现代文明的水准。越来越多的人开始承认，计划经济远远优于市场经济，只不过我们尚未找到优秀的驭手。</w:t>
      </w:r>
    </w:p>
    <w:p w14:paraId="72202669">
      <w:pPr>
        <w:spacing w:line="300" w:lineRule="auto"/>
        <w:ind w:firstLine="420" w:firstLineChars="200"/>
        <w:rPr>
          <w:rFonts w:hint="default" w:ascii="Times New Roman" w:hAnsi="Times New Roman" w:eastAsia="宋体" w:cs="Times New Roman"/>
          <w:szCs w:val="21"/>
        </w:rPr>
      </w:pPr>
    </w:p>
    <w:p w14:paraId="6CF44D2B">
      <w:pPr>
        <w:ind w:firstLine="420" w:firstLineChars="200"/>
        <w:rPr>
          <w:rFonts w:hint="default" w:ascii="Times New Roman" w:hAnsi="Times New Roman" w:eastAsia="宋体" w:cs="Times New Roman"/>
          <w:b/>
          <w:szCs w:val="21"/>
        </w:rPr>
      </w:pPr>
      <w:r>
        <w:rPr>
          <w:rFonts w:hint="default" w:ascii="Times New Roman" w:hAnsi="Times New Roman" w:eastAsia="宋体" w:cs="Times New Roman"/>
          <w:b/>
          <w:szCs w:val="21"/>
        </w:rPr>
        <w:t>参考文献：</w:t>
      </w:r>
    </w:p>
    <w:p w14:paraId="5D024FB4">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1.黄泰岩主编：《西方社会主义经济理论述评》，中国人民大学出版社1991年版。</w:t>
      </w:r>
    </w:p>
    <w:p w14:paraId="0B34AF99">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2.程恩富着：《西方产权理论评析》，当代中国出版社1997年版。</w:t>
      </w:r>
    </w:p>
    <w:p w14:paraId="156B68AA">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3.〔美〕埃冈·纽伯格、威廉·达菲：《比较经济体制──从决策角度进行的比较》，商务印书馆1984年版。</w:t>
      </w:r>
    </w:p>
    <w:p w14:paraId="41EE6E40">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4.〔美〕保罗·R 格雷戈里、罗伯特·C 斯图尔特：《比较经济体制学》，上海三联书店1988年版。</w:t>
      </w:r>
    </w:p>
    <w:p w14:paraId="6413F230">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5.〔日〕百百和等着：《经济计划论》，陕西人民出版社1986年版。</w:t>
      </w:r>
    </w:p>
    <w:p w14:paraId="28941F77">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6.〔美〕弗雷德里克·L 普瑞尔：《东西方经济体制比较──研究指南》，中国经济出版社1989年版。</w:t>
      </w:r>
    </w:p>
    <w:p w14:paraId="7F3ED892">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7.〔美〕阿兰·G  格鲁奇：《比较经济制度》，中国社会科学出版社1985年版。</w:t>
      </w:r>
    </w:p>
    <w:p w14:paraId="68BF3428">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8.〔匈〕科尔奈：《反均衡》，中国社会科学出版社1988年版。</w:t>
      </w:r>
    </w:p>
    <w:p w14:paraId="1159DEDA">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9.〔美〕莫里斯·博恩斯坦主编：《比较经济体制》。</w:t>
      </w:r>
    </w:p>
    <w:p w14:paraId="0D3C6BFE">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10.〔美〕熊彼特：《资本主义、社会主义和民主主义》，商务印书馆1979年版。</w:t>
      </w:r>
    </w:p>
    <w:p w14:paraId="773EB209">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11.〔美〕雷诺兹：《经济学的三个世界》，商务印书馆1990年版。</w:t>
      </w:r>
    </w:p>
    <w:p w14:paraId="0413FDB9">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12.〔美〕K·E 凯斯、R·C 费尔《经济学原理》，中国人民大学出版社1994年版。</w:t>
      </w:r>
    </w:p>
    <w:p w14:paraId="60FABB2B">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13.〔美〕保罗·A 萨缪尔森、威廉·D 诺德豪斯：《经济学》（12版），中国发展出版社1992年版。</w:t>
      </w:r>
    </w:p>
    <w:p w14:paraId="0173AF89">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14.〔英〕克里·特纳 克莱夫·科利斯：《计划经济学》，商务印书馆1980年版。</w:t>
      </w:r>
    </w:p>
    <w:p w14:paraId="2BB0E498">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15.何帆：《传统计划体制的起源、演进和衰落》，《经济学家》1998年2月。</w:t>
      </w:r>
    </w:p>
    <w:p w14:paraId="5582EF32">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16.许征：《从全球化进程看20世纪的进步与问题》，《学术月刊》1999年第3期。</w:t>
      </w:r>
    </w:p>
    <w:p w14:paraId="2484F14E">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17.〔英〕阿历克·诺夫：《可行的社会主义经济学》，华夏出版社1991年版。</w:t>
      </w:r>
    </w:p>
    <w:p w14:paraId="616F431A">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18.王丽久：《俄罗斯从计划经济走向市场经济》，武汉出版社1994年版。</w:t>
      </w:r>
    </w:p>
    <w:p w14:paraId="27F0DC8C">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19.蔡金魁：《东欧：转轨中的市场经济》，武汉出版社1994年版。</w:t>
      </w:r>
    </w:p>
    <w:p w14:paraId="11F9F66A">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20.樊亢、王金存：《苏联社会主义经济七十年》，北京出版社1992年版。</w:t>
      </w:r>
    </w:p>
    <w:p w14:paraId="208BB5BA">
      <w:pPr>
        <w:ind w:firstLine="420" w:firstLineChars="200"/>
        <w:rPr>
          <w:rFonts w:hint="default" w:ascii="Times New Roman" w:hAnsi="Times New Roman" w:eastAsia="宋体" w:cs="Times New Roman"/>
          <w:b/>
          <w:szCs w:val="21"/>
        </w:rPr>
      </w:pPr>
    </w:p>
    <w:p w14:paraId="75F0662B">
      <w:pPr>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w:t>
      </w:r>
      <w:bookmarkStart w:id="77" w:name="_Hlk107684313"/>
      <w:r>
        <w:rPr>
          <w:rFonts w:hint="default" w:ascii="Times New Roman" w:hAnsi="Times New Roman" w:eastAsia="宋体" w:cs="Times New Roman"/>
          <w:szCs w:val="21"/>
        </w:rPr>
        <w:t>原载程恩富主编《中国海派经济论坛（2001）》，上海财经大学出版社2001年11月版，第246-260页，第二作者为任绍敏</w:t>
      </w:r>
      <w:bookmarkEnd w:id="77"/>
      <w:r>
        <w:rPr>
          <w:rFonts w:hint="default" w:ascii="Times New Roman" w:hAnsi="Times New Roman" w:eastAsia="宋体" w:cs="Times New Roman"/>
          <w:szCs w:val="21"/>
        </w:rPr>
        <w:t>）</w:t>
      </w:r>
    </w:p>
    <w:p w14:paraId="4C1790FA">
      <w:pPr>
        <w:ind w:firstLine="440" w:firstLineChars="200"/>
        <w:rPr>
          <w:rFonts w:hint="default" w:ascii="Times New Roman" w:hAnsi="Times New Roman" w:eastAsia="宋体" w:cs="Times New Roman"/>
          <w:b/>
          <w:sz w:val="22"/>
        </w:rPr>
      </w:pPr>
      <w:r>
        <w:rPr>
          <w:rFonts w:hint="default" w:ascii="Times New Roman" w:hAnsi="Times New Roman" w:eastAsia="宋体" w:cs="Times New Roman"/>
          <w:b/>
          <w:sz w:val="22"/>
        </w:rPr>
        <w:br w:type="page"/>
      </w:r>
    </w:p>
    <w:p w14:paraId="7707DDAF">
      <w:pPr>
        <w:pStyle w:val="22"/>
        <w:keepNext/>
        <w:keepLines/>
        <w:spacing w:line="360" w:lineRule="auto"/>
        <w:ind w:firstLine="640" w:firstLineChars="200"/>
        <w:jc w:val="center"/>
        <w:outlineLvl w:val="1"/>
        <w:rPr>
          <w:rFonts w:hint="default" w:ascii="Times New Roman" w:hAnsi="Times New Roman" w:eastAsia="黑体" w:cs="Times New Roman"/>
          <w:b w:val="0"/>
          <w:bCs w:val="0"/>
          <w:sz w:val="32"/>
          <w:szCs w:val="32"/>
        </w:rPr>
      </w:pPr>
      <w:bookmarkStart w:id="78" w:name="_Toc25624"/>
      <w:bookmarkStart w:id="79" w:name="_Toc25736"/>
      <w:bookmarkStart w:id="80" w:name="_Toc785510246"/>
      <w:bookmarkStart w:id="81" w:name="_Toc1224298231"/>
      <w:r>
        <w:rPr>
          <w:rFonts w:hint="default" w:ascii="Times New Roman" w:hAnsi="Times New Roman" w:eastAsia="黑体" w:cs="Times New Roman"/>
          <w:b w:val="0"/>
          <w:bCs w:val="0"/>
          <w:sz w:val="32"/>
          <w:szCs w:val="32"/>
        </w:rPr>
        <w:t>经济发展与先进文化</w:t>
      </w:r>
      <w:bookmarkEnd w:id="78"/>
      <w:bookmarkEnd w:id="79"/>
      <w:bookmarkEnd w:id="80"/>
      <w:bookmarkEnd w:id="81"/>
    </w:p>
    <w:p w14:paraId="0EB1471F">
      <w:pPr>
        <w:pStyle w:val="21"/>
        <w:pageBreakBefore w:val="0"/>
        <w:widowControl w:val="0"/>
        <w:kinsoku/>
        <w:wordWrap/>
        <w:overflowPunct/>
        <w:topLinePunct w:val="0"/>
        <w:autoSpaceDE/>
        <w:autoSpaceDN/>
        <w:bidi w:val="0"/>
        <w:adjustRightInd/>
        <w:snapToGrid/>
        <w:spacing w:line="400" w:lineRule="exact"/>
        <w:ind w:left="0" w:firstLine="420" w:firstLineChars="200"/>
        <w:jc w:val="both"/>
        <w:textAlignment w:val="auto"/>
        <w:rPr>
          <w:rFonts w:hint="default" w:ascii="Times New Roman" w:hAnsi="Times New Roman" w:cs="Times New Roman"/>
          <w:sz w:val="21"/>
          <w:szCs w:val="21"/>
          <w:shd w:val="clear" w:color="auto" w:fill="auto"/>
        </w:rPr>
      </w:pPr>
      <w:r>
        <w:rPr>
          <w:rFonts w:hint="default" w:ascii="Times New Roman" w:hAnsi="Times New Roman" w:cs="Times New Roman"/>
          <w:sz w:val="21"/>
          <w:szCs w:val="21"/>
          <w:shd w:val="clear" w:color="auto" w:fill="auto"/>
        </w:rPr>
        <w:t>在学习和研究“三个代表”理论中，搞清物质生产力和经济发展与文化发展之间的密切关联有着重要意义。邓小平指岀：“我们要在建设高度物质文明的同时，提高全民族的科学文化水平，发展高尚的丰富多彩的文化生活，建设高度的社会主义精神文明。”</w:t>
      </w:r>
      <w:r>
        <w:rPr>
          <w:rFonts w:hint="default" w:ascii="Times New Roman" w:hAnsi="Times New Roman" w:cs="Times New Roman"/>
          <w:sz w:val="21"/>
          <w:szCs w:val="21"/>
          <w:shd w:val="clear" w:color="auto" w:fill="auto"/>
          <w:vertAlign w:val="superscript"/>
        </w:rPr>
        <w:t>①</w:t>
      </w:r>
      <w:r>
        <w:rPr>
          <w:rFonts w:hint="default" w:ascii="Times New Roman" w:hAnsi="Times New Roman" w:cs="Times New Roman"/>
          <w:sz w:val="21"/>
          <w:szCs w:val="21"/>
          <w:shd w:val="clear" w:color="auto" w:fill="auto"/>
        </w:rPr>
        <w:t>物质生产力和经济发展对社会主义先进文化建设的巨大促进作用集中表现在以下两个方面：</w:t>
      </w:r>
    </w:p>
    <w:p w14:paraId="1786DA54">
      <w:pPr>
        <w:pStyle w:val="23"/>
        <w:keepNext/>
        <w:keepLines/>
        <w:pageBreakBefore w:val="0"/>
        <w:widowControl w:val="0"/>
        <w:kinsoku/>
        <w:wordWrap/>
        <w:overflowPunct/>
        <w:topLinePunct w:val="0"/>
        <w:autoSpaceDE/>
        <w:autoSpaceDN/>
        <w:bidi w:val="0"/>
        <w:adjustRightInd/>
        <w:snapToGrid/>
        <w:spacing w:before="0" w:beforeLines="50" w:after="0" w:afterLines="50" w:line="400" w:lineRule="exact"/>
        <w:ind w:left="0" w:firstLine="480" w:firstLineChars="200"/>
        <w:jc w:val="center"/>
        <w:textAlignment w:val="auto"/>
        <w:outlineLvl w:val="9"/>
        <w:rPr>
          <w:rFonts w:hint="default" w:ascii="Times New Roman" w:hAnsi="Times New Roman" w:eastAsia="黑体" w:cs="Times New Roman"/>
          <w:sz w:val="24"/>
          <w:szCs w:val="24"/>
          <w:shd w:val="clear" w:color="auto" w:fill="auto"/>
        </w:rPr>
      </w:pPr>
      <w:bookmarkStart w:id="82" w:name="_Toc26174"/>
      <w:r>
        <w:rPr>
          <w:rFonts w:hint="default" w:ascii="Times New Roman" w:hAnsi="Times New Roman" w:eastAsia="黑体" w:cs="Times New Roman"/>
          <w:sz w:val="24"/>
          <w:szCs w:val="24"/>
          <w:shd w:val="clear" w:color="auto" w:fill="auto"/>
        </w:rPr>
        <w:t>一、经济发展要求从根本上规定着文化生产的性质和方向</w:t>
      </w:r>
      <w:bookmarkEnd w:id="82"/>
    </w:p>
    <w:p w14:paraId="4374708F">
      <w:pPr>
        <w:pStyle w:val="21"/>
        <w:pageBreakBefore w:val="0"/>
        <w:widowControl w:val="0"/>
        <w:kinsoku/>
        <w:wordWrap/>
        <w:overflowPunct/>
        <w:topLinePunct w:val="0"/>
        <w:autoSpaceDE/>
        <w:autoSpaceDN/>
        <w:bidi w:val="0"/>
        <w:adjustRightInd/>
        <w:snapToGrid/>
        <w:spacing w:line="400" w:lineRule="exact"/>
        <w:ind w:left="0" w:firstLine="420" w:firstLineChars="200"/>
        <w:jc w:val="both"/>
        <w:textAlignment w:val="auto"/>
        <w:rPr>
          <w:rFonts w:hint="default" w:ascii="Times New Roman" w:hAnsi="Times New Roman" w:cs="Times New Roman"/>
          <w:sz w:val="21"/>
          <w:szCs w:val="21"/>
          <w:shd w:val="clear" w:color="auto" w:fill="auto"/>
        </w:rPr>
      </w:pPr>
      <w:r>
        <w:rPr>
          <w:rFonts w:hint="default" w:ascii="Times New Roman" w:hAnsi="Times New Roman" w:cs="Times New Roman"/>
          <w:sz w:val="21"/>
          <w:szCs w:val="21"/>
          <w:shd w:val="clear" w:color="auto" w:fill="auto"/>
        </w:rPr>
        <w:t>由于“支配着物质生产资料的阶级，同时支配着精神生产的.资料”，</w:t>
      </w:r>
      <w:r>
        <w:rPr>
          <w:rFonts w:hint="default" w:ascii="Times New Roman" w:hAnsi="Times New Roman" w:cs="Times New Roman"/>
          <w:sz w:val="21"/>
          <w:szCs w:val="21"/>
          <w:shd w:val="clear" w:color="auto" w:fill="auto"/>
          <w:vertAlign w:val="superscript"/>
        </w:rPr>
        <w:t>②</w:t>
      </w:r>
      <w:r>
        <w:rPr>
          <w:rFonts w:hint="default" w:ascii="Times New Roman" w:hAnsi="Times New Roman" w:cs="Times New Roman"/>
          <w:sz w:val="21"/>
          <w:szCs w:val="21"/>
          <w:shd w:val="clear" w:color="auto" w:fill="auto"/>
        </w:rPr>
        <w:t>因而一国物质经济基础及其发展的要求不同，文化生产的性质和目的也就不同。恩格斯曾说，人们首先必须吃、喝、穿，然后才能从事政治、科学、艺术、宗教等等;所以，直接的物质的生活资料的生产，一个民族或一个时代的一定的经济发展阶段，便构成为基础，人们的国家制度、法的观点、艺术以至宗教观念，就是从这个基础上发展起来的，因而，也必须由这个基础来解释。运用马克思、恩格斯创立的历史唯物主义观点来观察经济与文化的内在关系,我们可以看到，在资本主义社会，文化生产及其流通活动都从属于资本家追求剩余价值或利润的目的，文化的教育功能和审美价值相对于资本价值增值这一首要目的来说是第二位的，整个文化事业是为资本主义经济基础和经济发展服务的。正如马克思指出的:在学校中,教师对于学校老板,可以是纯粹的雇佣劳动者,这种教育工厂在英国多得很，这些教师对学生来说虽然不是生产工人，但是对雇用他们的老板来说却是生产工人。老板用他的资本交换教师的劳动能力，通过这个过程使自己发财。戏院、娱乐场所等等的老板也是用这种办法发财致富。马克思认为，这种现象属于非物质生产领域中的资本主义表现，并从这个意义上说，资本主义生产对某些精神生产部门如艺术和诗歌就是敌对的。</w:t>
      </w:r>
    </w:p>
    <w:p w14:paraId="79A6104C">
      <w:pPr>
        <w:pStyle w:val="21"/>
        <w:pageBreakBefore w:val="0"/>
        <w:widowControl w:val="0"/>
        <w:kinsoku/>
        <w:wordWrap/>
        <w:overflowPunct/>
        <w:topLinePunct w:val="0"/>
        <w:autoSpaceDE/>
        <w:autoSpaceDN/>
        <w:bidi w:val="0"/>
        <w:adjustRightInd/>
        <w:snapToGrid/>
        <w:spacing w:line="400" w:lineRule="exact"/>
        <w:ind w:left="0" w:firstLine="420" w:firstLineChars="200"/>
        <w:jc w:val="both"/>
        <w:textAlignment w:val="auto"/>
        <w:rPr>
          <w:rFonts w:hint="default" w:ascii="Times New Roman" w:hAnsi="Times New Roman" w:cs="Times New Roman"/>
          <w:sz w:val="21"/>
          <w:szCs w:val="21"/>
          <w:shd w:val="clear" w:color="auto" w:fill="auto"/>
        </w:rPr>
      </w:pPr>
      <w:r>
        <w:rPr>
          <w:rFonts w:hint="default" w:ascii="Times New Roman" w:hAnsi="Times New Roman" w:cs="Times New Roman"/>
          <w:sz w:val="21"/>
          <w:szCs w:val="21"/>
          <w:shd w:val="clear" w:color="auto" w:fill="auto"/>
        </w:rPr>
        <w:t>在社会主义条件下，物质生产力、经济发展和经济基础的先进性内在要求，对于社会主义先进文化生产和建设的规定是：</w:t>
      </w:r>
    </w:p>
    <w:p w14:paraId="1BDF731A">
      <w:pPr>
        <w:pStyle w:val="21"/>
        <w:pageBreakBefore w:val="0"/>
        <w:widowControl w:val="0"/>
        <w:kinsoku/>
        <w:wordWrap/>
        <w:overflowPunct/>
        <w:topLinePunct w:val="0"/>
        <w:autoSpaceDE/>
        <w:autoSpaceDN/>
        <w:bidi w:val="0"/>
        <w:adjustRightInd/>
        <w:snapToGrid/>
        <w:spacing w:line="400" w:lineRule="exact"/>
        <w:ind w:left="0" w:firstLine="420" w:firstLineChars="200"/>
        <w:jc w:val="both"/>
        <w:textAlignment w:val="auto"/>
        <w:rPr>
          <w:rFonts w:hint="default" w:ascii="Times New Roman" w:hAnsi="Times New Roman" w:cs="Times New Roman"/>
          <w:sz w:val="21"/>
          <w:szCs w:val="21"/>
          <w:shd w:val="clear" w:color="auto" w:fill="auto"/>
        </w:rPr>
      </w:pPr>
      <w:r>
        <w:rPr>
          <w:rFonts w:hint="default" w:ascii="Times New Roman" w:hAnsi="Times New Roman" w:cs="Times New Roman"/>
          <w:sz w:val="21"/>
          <w:szCs w:val="21"/>
          <w:shd w:val="clear" w:color="auto" w:fill="auto"/>
        </w:rPr>
        <w:t>首先，它规定先进的社会主义文化必须建立在生产资料公有制为主体和市场经济的基础上，并为之服务。列宁说得对：与资产阶级的习气相反，与资产阶级营利的商业性的出版业相反，与资产阶级文学上的名位主义和个人主义、“老爷式的无政府主义”和唯利是图相反，社会主义应当提出党的文学的原则。“这个党的文学的原则是什么呢？这不只是说，对于社会主义无产阶级,文学事业不能是个人或集团的赚钱工具，而且根本不能是与无产阶级总的事业无关的个人事业。”</w:t>
      </w:r>
      <w:r>
        <w:rPr>
          <w:rFonts w:hint="default" w:ascii="Times New Roman" w:hAnsi="Times New Roman" w:cs="Times New Roman"/>
          <w:sz w:val="21"/>
          <w:szCs w:val="21"/>
          <w:shd w:val="clear" w:color="auto" w:fill="auto"/>
          <w:vertAlign w:val="superscript"/>
        </w:rPr>
        <w:t>③</w:t>
      </w:r>
      <w:r>
        <w:rPr>
          <w:rFonts w:hint="default" w:ascii="Times New Roman" w:hAnsi="Times New Roman" w:cs="Times New Roman"/>
          <w:sz w:val="21"/>
          <w:szCs w:val="21"/>
          <w:shd w:val="clear" w:color="auto" w:fill="auto"/>
        </w:rPr>
        <w:t>从经济决定文化的观点来认识，物质生产资料的公有制为主体决定了文化生产资料也应实行公有制为主体，其他多种所有制共同发展；物质生产的市场调节与国家调节相结合，决定了文化生产也要纳入有国家指导的市场经济轨道。并且，确立在物质经济基础之上的先进文化这一上层建筑，归根结底要为自己的现实基础服务，保护和促进生产力的持续迅速发展。</w:t>
      </w:r>
    </w:p>
    <w:p w14:paraId="68634DF6">
      <w:pPr>
        <w:pStyle w:val="21"/>
        <w:pageBreakBefore w:val="0"/>
        <w:widowControl w:val="0"/>
        <w:kinsoku/>
        <w:wordWrap/>
        <w:overflowPunct/>
        <w:topLinePunct w:val="0"/>
        <w:autoSpaceDE/>
        <w:autoSpaceDN/>
        <w:bidi w:val="0"/>
        <w:adjustRightInd/>
        <w:snapToGrid/>
        <w:spacing w:line="400" w:lineRule="exact"/>
        <w:ind w:left="0" w:firstLine="420" w:firstLineChars="200"/>
        <w:jc w:val="both"/>
        <w:textAlignment w:val="auto"/>
        <w:rPr>
          <w:rFonts w:hint="default" w:ascii="Times New Roman" w:hAnsi="Times New Roman" w:cs="Times New Roman"/>
          <w:sz w:val="21"/>
          <w:szCs w:val="21"/>
          <w:shd w:val="clear" w:color="auto" w:fill="auto"/>
        </w:rPr>
      </w:pPr>
      <w:r>
        <w:rPr>
          <w:rFonts w:hint="default" w:ascii="Times New Roman" w:hAnsi="Times New Roman" w:cs="Times New Roman"/>
          <w:sz w:val="21"/>
          <w:szCs w:val="21"/>
          <w:shd w:val="clear" w:color="auto" w:fill="auto"/>
        </w:rPr>
        <w:t>其次，它规定先进的社会主义文化必须把社会效益放在首位，为人的全面自由的发展创造社会精神环境。尽管现阶段要大力发展市场经济，绝大多数文化产品属于商品，但公有制基础上的市场经济与资本主义市场经济不同，前者客观上要求正确处理文化生产的社会效益与经济效益的相互关系，在坚持提高社会效益的前提下，积极运用商品货币形式来推动社会主义文化的发展。发展社会主义先进文化的宗旨在于不断创造和改善社会精神环境，培养全面的、自由发展的社会主义“四有”新人（邓小平提出的“有理想、有道德、有文化、有纪律”），而这一点恰恰又是公有制经济发展内在的规定。如同恩格斯说，用整个社会的力量来共同经营生产和由此而引起的生产的新发展，也需要一种全新的人，并将创造出这种新人来。</w:t>
      </w:r>
    </w:p>
    <w:p w14:paraId="5E9E04E6">
      <w:pPr>
        <w:pStyle w:val="21"/>
        <w:pageBreakBefore w:val="0"/>
        <w:widowControl w:val="0"/>
        <w:kinsoku/>
        <w:wordWrap/>
        <w:overflowPunct/>
        <w:topLinePunct w:val="0"/>
        <w:autoSpaceDE/>
        <w:autoSpaceDN/>
        <w:bidi w:val="0"/>
        <w:adjustRightInd/>
        <w:snapToGrid/>
        <w:spacing w:line="400" w:lineRule="exact"/>
        <w:ind w:left="0" w:firstLine="420" w:firstLineChars="200"/>
        <w:jc w:val="both"/>
        <w:textAlignment w:val="auto"/>
        <w:rPr>
          <w:rFonts w:hint="default" w:ascii="Times New Roman" w:hAnsi="Times New Roman" w:cs="Times New Roman"/>
          <w:sz w:val="21"/>
          <w:szCs w:val="21"/>
          <w:shd w:val="clear" w:color="auto" w:fill="auto"/>
        </w:rPr>
      </w:pPr>
      <w:r>
        <w:rPr>
          <w:rFonts w:hint="default" w:ascii="Times New Roman" w:hAnsi="Times New Roman" w:cs="Times New Roman"/>
          <w:sz w:val="21"/>
          <w:szCs w:val="21"/>
          <w:shd w:val="clear" w:color="auto" w:fill="auto"/>
        </w:rPr>
        <w:t>再次，它规定先进的社会主义文化必须体现生产者与享受者一致的原则。在实行物质和文化的生产资料公有制和按劳分配的范围内，文化生产者同时又是文化成果的享受者，“社会上的一部分人靠牺牲另一部分人来强制和垄断社会发展（包括这种发展的物质方面和精神方面的利益）的现象将会消灭”，</w:t>
      </w:r>
      <w:r>
        <w:rPr>
          <w:rFonts w:hint="default" w:ascii="Times New Roman" w:hAnsi="Times New Roman" w:eastAsia="微软雅黑" w:cs="Times New Roman"/>
          <w:sz w:val="21"/>
          <w:szCs w:val="21"/>
          <w:shd w:val="clear" w:color="auto" w:fill="auto"/>
          <w:vertAlign w:val="superscript"/>
        </w:rPr>
        <w:t>④</w:t>
      </w:r>
      <w:r>
        <w:rPr>
          <w:rFonts w:hint="default" w:ascii="Times New Roman" w:hAnsi="Times New Roman" w:cs="Times New Roman"/>
          <w:sz w:val="21"/>
          <w:szCs w:val="21"/>
          <w:shd w:val="clear" w:color="auto" w:fill="auto"/>
        </w:rPr>
        <w:t>“几千年来的文明发展的成果，不被一小撮人用来升官发财，而是为劳动人民服务”。</w:t>
      </w:r>
      <w:r>
        <w:rPr>
          <w:rFonts w:hint="default" w:ascii="Times New Roman" w:hAnsi="Times New Roman" w:cs="Times New Roman"/>
          <w:sz w:val="21"/>
          <w:szCs w:val="21"/>
          <w:shd w:val="clear" w:color="auto" w:fill="auto"/>
          <w:vertAlign w:val="superscript"/>
        </w:rPr>
        <w:t>⑤</w:t>
      </w:r>
      <w:r>
        <w:rPr>
          <w:rFonts w:hint="default" w:ascii="Times New Roman" w:hAnsi="Times New Roman" w:cs="Times New Roman"/>
          <w:sz w:val="21"/>
          <w:szCs w:val="21"/>
          <w:shd w:val="clear" w:color="auto" w:fill="auto"/>
        </w:rPr>
        <w:t>社会主义文化生产者既要批判地继承人类社会一切优秀精神成果，又要不断地创新、重构合乎现阶段生产力发展要求的新文化，并在文化创造中充分享用这些成果。</w:t>
      </w:r>
    </w:p>
    <w:p w14:paraId="061D0004">
      <w:pPr>
        <w:pStyle w:val="23"/>
        <w:keepNext/>
        <w:keepLines/>
        <w:pageBreakBefore w:val="0"/>
        <w:widowControl w:val="0"/>
        <w:kinsoku/>
        <w:wordWrap/>
        <w:overflowPunct/>
        <w:topLinePunct w:val="0"/>
        <w:autoSpaceDE/>
        <w:autoSpaceDN/>
        <w:bidi w:val="0"/>
        <w:adjustRightInd/>
        <w:snapToGrid/>
        <w:spacing w:before="0" w:beforeLines="50" w:after="0" w:afterLines="50" w:line="400" w:lineRule="exact"/>
        <w:ind w:left="0" w:firstLine="480" w:firstLineChars="200"/>
        <w:jc w:val="center"/>
        <w:textAlignment w:val="auto"/>
        <w:outlineLvl w:val="9"/>
        <w:rPr>
          <w:rFonts w:hint="default" w:ascii="Times New Roman" w:hAnsi="Times New Roman" w:eastAsia="黑体" w:cs="Times New Roman"/>
          <w:sz w:val="24"/>
          <w:szCs w:val="24"/>
          <w:shd w:val="clear" w:color="auto" w:fill="auto"/>
        </w:rPr>
      </w:pPr>
      <w:bookmarkStart w:id="83" w:name="_Toc11517"/>
      <w:r>
        <w:rPr>
          <w:rFonts w:hint="default" w:ascii="Times New Roman" w:hAnsi="Times New Roman" w:eastAsia="黑体" w:cs="Times New Roman"/>
          <w:sz w:val="24"/>
          <w:szCs w:val="24"/>
          <w:shd w:val="clear" w:color="auto" w:fill="auto"/>
        </w:rPr>
        <w:t>二、经济发展水平从总体上推动和制约着文化建设的状况</w:t>
      </w:r>
      <w:bookmarkEnd w:id="83"/>
    </w:p>
    <w:p w14:paraId="46253890">
      <w:pPr>
        <w:pStyle w:val="21"/>
        <w:pageBreakBefore w:val="0"/>
        <w:widowControl w:val="0"/>
        <w:kinsoku/>
        <w:wordWrap/>
        <w:overflowPunct/>
        <w:topLinePunct w:val="0"/>
        <w:autoSpaceDE/>
        <w:autoSpaceDN/>
        <w:bidi w:val="0"/>
        <w:adjustRightInd/>
        <w:snapToGrid/>
        <w:spacing w:line="400" w:lineRule="exact"/>
        <w:ind w:left="0" w:firstLine="420" w:firstLineChars="200"/>
        <w:jc w:val="both"/>
        <w:textAlignment w:val="auto"/>
        <w:rPr>
          <w:rFonts w:hint="default" w:ascii="Times New Roman" w:hAnsi="Times New Roman" w:cs="Times New Roman"/>
          <w:sz w:val="21"/>
          <w:szCs w:val="21"/>
          <w:shd w:val="clear" w:color="auto" w:fill="auto"/>
        </w:rPr>
      </w:pPr>
      <w:r>
        <w:rPr>
          <w:rFonts w:hint="default" w:ascii="Times New Roman" w:hAnsi="Times New Roman" w:cs="Times New Roman"/>
          <w:sz w:val="21"/>
          <w:szCs w:val="21"/>
          <w:shd w:val="clear" w:color="auto" w:fill="auto"/>
        </w:rPr>
        <w:t>随着经济改革和经济建设高潮的到来，不可避免地会出现一个文化建设的高潮。20世纪90年代我国文化产业开始进入发展快车道。1990-1998年全国文化系统文化产业的增加值由12.1亿元增加到83.7亿元，增长了6倍；文化产业就业人员由49.5万人增加到72.1万人，增长了46%；文化产业机构由6.8万个增加到9.2万个,增长了35%。经济建设对先进文化的建设有着巨大的推动作用，但又有不可否认的约束作用。社会经济发展水平既推动、又约束文化建设状况表现为下述三点：</w:t>
      </w:r>
    </w:p>
    <w:p w14:paraId="1232AC85">
      <w:pPr>
        <w:pStyle w:val="21"/>
        <w:pageBreakBefore w:val="0"/>
        <w:widowControl w:val="0"/>
        <w:kinsoku/>
        <w:wordWrap/>
        <w:overflowPunct/>
        <w:topLinePunct w:val="0"/>
        <w:autoSpaceDE/>
        <w:autoSpaceDN/>
        <w:bidi w:val="0"/>
        <w:adjustRightInd/>
        <w:snapToGrid/>
        <w:spacing w:line="400" w:lineRule="exact"/>
        <w:ind w:left="0" w:firstLine="420" w:firstLineChars="200"/>
        <w:jc w:val="both"/>
        <w:textAlignment w:val="auto"/>
        <w:rPr>
          <w:rFonts w:hint="default" w:ascii="Times New Roman" w:hAnsi="Times New Roman" w:cs="Times New Roman"/>
          <w:sz w:val="21"/>
          <w:szCs w:val="21"/>
          <w:shd w:val="clear" w:color="auto" w:fill="auto"/>
        </w:rPr>
      </w:pPr>
      <w:r>
        <w:rPr>
          <w:rFonts w:hint="default" w:ascii="Times New Roman" w:hAnsi="Times New Roman" w:cs="Times New Roman"/>
          <w:sz w:val="21"/>
          <w:szCs w:val="21"/>
          <w:shd w:val="clear" w:color="auto" w:fill="auto"/>
        </w:rPr>
        <w:t>第一，经济发展水平决定了文化建设的发展规模。众所周知，倘若文化建设的规模太小，就不能适应经济发展的需要，不能满足社会成员日益增长的文化生活消费的欲望。反之，倘若文化建设的规模太大，超过了国民经济所能承担的人、财、物方面的承受力，或者超过了社会成员有货币支付能力的消费力，又势必造成文化建设战线过长和文化产品的积压性浪费。影响文化生产的先进性和质量以及整个国民经济的稳定协调发展。现时出现“武侠书刊”、“言情书刊”、“肥皂影视剧”等超需求的生产浪潮和大量积压，就属此种情况。由此应当看到，经济发展在促进文化建设规模不断扩大的同时，客观上也制约其扩大的速度、内容和总规模。</w:t>
      </w:r>
    </w:p>
    <w:p w14:paraId="4822ACAE">
      <w:pPr>
        <w:pStyle w:val="21"/>
        <w:pageBreakBefore w:val="0"/>
        <w:widowControl w:val="0"/>
        <w:kinsoku/>
        <w:wordWrap/>
        <w:overflowPunct/>
        <w:topLinePunct w:val="0"/>
        <w:autoSpaceDE/>
        <w:autoSpaceDN/>
        <w:bidi w:val="0"/>
        <w:adjustRightInd/>
        <w:snapToGrid/>
        <w:spacing w:line="400" w:lineRule="exact"/>
        <w:ind w:left="0" w:firstLine="420" w:firstLineChars="200"/>
        <w:jc w:val="both"/>
        <w:textAlignment w:val="auto"/>
        <w:rPr>
          <w:rFonts w:hint="default" w:ascii="Times New Roman" w:hAnsi="Times New Roman" w:cs="Times New Roman"/>
          <w:sz w:val="21"/>
          <w:szCs w:val="21"/>
          <w:shd w:val="clear" w:color="auto" w:fill="auto"/>
        </w:rPr>
      </w:pPr>
      <w:r>
        <w:rPr>
          <w:rFonts w:hint="default" w:ascii="Times New Roman" w:hAnsi="Times New Roman" w:cs="Times New Roman"/>
          <w:sz w:val="21"/>
          <w:szCs w:val="21"/>
          <w:shd w:val="clear" w:color="auto" w:fill="auto"/>
        </w:rPr>
        <w:t>第二，经济发展水平决定了文化生产的效率和结构。显而易见,经济和技术水平越高，文化生产和交换的效率及文化服务的质量就越高，文化生产和服务的内在结构就越丰富和高级;相反，经济和技术水平越低，文化生产和交换的效率及文化服务的质量就越低，文化生产和服务的内在结构就越单调和低级。譬如，与少数发达国家相比，由于我国经济发展水平不高，导致文化方面的博物馆、展览馆等比较少；又如，当电脑激光技术普遍应用于印刷业和视听器材制造业时，就明显地提高了书刊印刷、视听器材生产的质量和效率。</w:t>
      </w:r>
    </w:p>
    <w:p w14:paraId="0288C813">
      <w:pPr>
        <w:pStyle w:val="21"/>
        <w:pageBreakBefore w:val="0"/>
        <w:widowControl w:val="0"/>
        <w:kinsoku/>
        <w:wordWrap/>
        <w:overflowPunct/>
        <w:topLinePunct w:val="0"/>
        <w:autoSpaceDE/>
        <w:autoSpaceDN/>
        <w:bidi w:val="0"/>
        <w:adjustRightInd/>
        <w:snapToGrid/>
        <w:spacing w:line="400" w:lineRule="exact"/>
        <w:ind w:left="0" w:firstLine="420" w:firstLineChars="200"/>
        <w:jc w:val="both"/>
        <w:textAlignment w:val="auto"/>
        <w:rPr>
          <w:rFonts w:hint="default" w:ascii="Times New Roman" w:hAnsi="Times New Roman" w:cs="Times New Roman"/>
          <w:sz w:val="21"/>
          <w:szCs w:val="21"/>
          <w:shd w:val="clear" w:color="auto" w:fill="auto"/>
        </w:rPr>
      </w:pPr>
      <w:r>
        <w:rPr>
          <w:rFonts w:hint="default" w:ascii="Times New Roman" w:hAnsi="Times New Roman" w:cs="Times New Roman"/>
          <w:sz w:val="21"/>
          <w:szCs w:val="21"/>
          <w:shd w:val="clear" w:color="auto" w:fill="auto"/>
        </w:rPr>
        <w:t>第三，经济发展水平决定了文化普及的方式和程度。近数十年的变化清楚地表明，伴随着科学技术和经济的飞跃发展，社会文化的传播媒介增多，传递的速度和质量提高，尤其是广播、电视、电影、网络、电话、火车、航空、卫星等现代通讯系统和运输系统的不断改进，已从时间和空间上大大突破了文化传播的限制，以致社会文化普及的方式多样化，普及的程度广泛化，普及的速度敏捷化。</w:t>
      </w:r>
    </w:p>
    <w:p w14:paraId="625B1513">
      <w:pPr>
        <w:pStyle w:val="21"/>
        <w:pageBreakBefore w:val="0"/>
        <w:widowControl w:val="0"/>
        <w:kinsoku/>
        <w:wordWrap/>
        <w:overflowPunct/>
        <w:topLinePunct w:val="0"/>
        <w:autoSpaceDE/>
        <w:autoSpaceDN/>
        <w:bidi w:val="0"/>
        <w:adjustRightInd/>
        <w:snapToGrid/>
        <w:spacing w:line="400" w:lineRule="exact"/>
        <w:ind w:left="0" w:firstLine="420" w:firstLineChars="200"/>
        <w:jc w:val="both"/>
        <w:textAlignment w:val="auto"/>
        <w:rPr>
          <w:rFonts w:hint="default" w:ascii="Times New Roman" w:hAnsi="Times New Roman" w:cs="Times New Roman"/>
          <w:sz w:val="21"/>
          <w:szCs w:val="21"/>
          <w:shd w:val="clear" w:color="auto" w:fill="auto"/>
        </w:rPr>
      </w:pPr>
      <w:r>
        <w:rPr>
          <w:rFonts w:hint="default" w:ascii="Times New Roman" w:hAnsi="Times New Roman" w:cs="Times New Roman"/>
          <w:sz w:val="21"/>
          <w:szCs w:val="21"/>
          <w:shd w:val="clear" w:color="auto" w:fill="auto"/>
        </w:rPr>
        <w:t>综上所述，无论是先进的文化价值观,还是先进的文化管理体制和文化设施与文化商品，均离不开物质生产力和经济发展的内在推动与制约。先进文化的建设与物质生产力和生产关系，与经济发展之间存在共生互动关系，它们有互渗性和互制性。其特点正如恩格斯所概括的法律、哲学、宗教、文学、艺术等的发展是以经济发展为基础的。但是，它们又都互相影响并对经济基础发生影响。并不是只有经济状况才是原因，才是积极的，而其余一切都不过是消极的结果。这是在归根到底不断为自己开辟道路的经济必然性的基础上的互相作用。</w:t>
      </w:r>
    </w:p>
    <w:p w14:paraId="3C3F7C4A">
      <w:pPr>
        <w:pStyle w:val="21"/>
        <w:spacing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注：</w:t>
      </w:r>
    </w:p>
    <w:p w14:paraId="7C602B32">
      <w:pPr>
        <w:pStyle w:val="21"/>
        <w:numPr>
          <w:ilvl w:val="0"/>
          <w:numId w:val="2"/>
        </w:numPr>
        <w:spacing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《邓小平文选》第二卷，第208页。</w:t>
      </w:r>
    </w:p>
    <w:p w14:paraId="6153F0FC">
      <w:pPr>
        <w:pStyle w:val="21"/>
        <w:numPr>
          <w:ilvl w:val="0"/>
          <w:numId w:val="2"/>
        </w:numPr>
        <w:spacing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《马克思恩格斯全集》第3卷，人民出版社1960年版，第52页。</w:t>
      </w:r>
    </w:p>
    <w:p w14:paraId="797AB5AE">
      <w:pPr>
        <w:pStyle w:val="21"/>
        <w:numPr>
          <w:ilvl w:val="0"/>
          <w:numId w:val="2"/>
        </w:numPr>
        <w:spacing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《列宁全集》第10卷，人民出版社1987年版，第24页。</w:t>
      </w:r>
    </w:p>
    <w:p w14:paraId="26C4EC36">
      <w:pPr>
        <w:pStyle w:val="21"/>
        <w:numPr>
          <w:ilvl w:val="0"/>
          <w:numId w:val="2"/>
        </w:numPr>
        <w:spacing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《马克思恩格斯全集》第25卷，人民出版社1974年版，第926页。</w:t>
      </w:r>
    </w:p>
    <w:p w14:paraId="2A841BDA">
      <w:pPr>
        <w:pStyle w:val="21"/>
        <w:numPr>
          <w:ilvl w:val="0"/>
          <w:numId w:val="2"/>
        </w:numPr>
        <w:spacing w:after="200"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t>《列宁全集》第29卷，人民出版社1985年版，第52页。（作者：上海财经大学经济学院院长、博导）</w:t>
      </w:r>
    </w:p>
    <w:p w14:paraId="28F864A7">
      <w:pPr>
        <w:ind w:firstLine="420" w:firstLineChars="200"/>
        <w:rPr>
          <w:rFonts w:hint="default" w:ascii="Times New Roman" w:hAnsi="Times New Roman" w:eastAsia="宋体" w:cs="Times New Roman"/>
        </w:rPr>
      </w:pPr>
      <w:r>
        <w:rPr>
          <w:rFonts w:hint="default" w:ascii="Times New Roman" w:hAnsi="Times New Roman" w:eastAsia="宋体" w:cs="Times New Roman"/>
          <w:szCs w:val="21"/>
        </w:rPr>
        <w:t>(原文载《</w:t>
      </w:r>
      <w:r>
        <w:rPr>
          <w:rFonts w:hint="default" w:ascii="Times New Roman" w:hAnsi="Times New Roman" w:eastAsia="宋体" w:cs="Times New Roman"/>
        </w:rPr>
        <w:t>上海管理科学</w:t>
      </w:r>
      <w:r>
        <w:rPr>
          <w:rFonts w:hint="default" w:ascii="Times New Roman" w:hAnsi="Times New Roman" w:eastAsia="宋体" w:cs="Times New Roman"/>
          <w:szCs w:val="21"/>
        </w:rPr>
        <w:t>》2001年第4期)</w:t>
      </w:r>
    </w:p>
    <w:p w14:paraId="5FA9F790">
      <w:pPr>
        <w:ind w:firstLine="420" w:firstLineChars="200"/>
        <w:rPr>
          <w:rFonts w:hint="default" w:ascii="Times New Roman" w:hAnsi="Times New Roman" w:cs="Times New Roman"/>
          <w:lang w:eastAsia="zh-TW"/>
        </w:rPr>
      </w:pPr>
      <w:r>
        <w:rPr>
          <w:rFonts w:hint="default" w:ascii="Times New Roman" w:hAnsi="Times New Roman" w:cs="Times New Roman"/>
          <w:lang w:eastAsia="zh-TW"/>
        </w:rPr>
        <w:br w:type="page"/>
      </w:r>
    </w:p>
    <w:p w14:paraId="3E303E81">
      <w:pPr>
        <w:pStyle w:val="3"/>
        <w:ind w:right="0"/>
        <w:rPr>
          <w:rFonts w:hint="default" w:ascii="Times New Roman" w:hAnsi="Times New Roman" w:cs="Times New Roman"/>
          <w:b w:val="0"/>
          <w:bCs/>
          <w:szCs w:val="32"/>
          <w:highlight w:val="yellow"/>
        </w:rPr>
      </w:pPr>
      <w:bookmarkStart w:id="84" w:name="_Toc17713"/>
      <w:bookmarkStart w:id="85" w:name="_Toc31325"/>
      <w:bookmarkStart w:id="86" w:name="_Toc1488726413"/>
      <w:bookmarkStart w:id="87" w:name="_Toc1739546510"/>
      <w:r>
        <w:rPr>
          <w:rFonts w:hint="default" w:ascii="Times New Roman" w:hAnsi="Times New Roman" w:cs="Times New Roman"/>
          <w:b w:val="0"/>
          <w:bCs/>
          <w:spacing w:val="13"/>
          <w:szCs w:val="32"/>
          <w:highlight w:val="none"/>
        </w:rPr>
        <w:t>科</w:t>
      </w:r>
      <w:r>
        <w:rPr>
          <w:rFonts w:hint="default" w:ascii="Times New Roman" w:hAnsi="Times New Roman" w:cs="Times New Roman"/>
          <w:b w:val="0"/>
          <w:bCs/>
          <w:szCs w:val="32"/>
          <w:highlight w:val="none"/>
        </w:rPr>
        <w:t>学地认识和发展劳动价值论</w:t>
      </w:r>
      <w:r>
        <w:rPr>
          <w:rFonts w:hint="default" w:ascii="Times New Roman" w:hAnsi="Times New Roman" w:cs="Times New Roman"/>
          <w:b w:val="0"/>
          <w:bCs/>
          <w:spacing w:val="-14"/>
          <w:szCs w:val="32"/>
          <w:highlight w:val="none"/>
        </w:rPr>
        <w:t>—</w:t>
      </w:r>
      <w:r>
        <w:rPr>
          <w:rFonts w:hint="default" w:ascii="Times New Roman" w:hAnsi="Times New Roman" w:cs="Times New Roman"/>
          <w:b w:val="0"/>
          <w:bCs/>
          <w:spacing w:val="-10"/>
          <w:szCs w:val="32"/>
          <w:highlight w:val="none"/>
        </w:rPr>
        <w:t>兼立“新的活劳动价值一元论”</w:t>
      </w:r>
      <w:bookmarkEnd w:id="84"/>
      <w:bookmarkEnd w:id="85"/>
      <w:bookmarkEnd w:id="86"/>
      <w:bookmarkEnd w:id="87"/>
    </w:p>
    <w:p w14:paraId="67E8DFD8">
      <w:pPr>
        <w:spacing w:before="248" w:line="400" w:lineRule="exact"/>
        <w:ind w:left="8" w:right="395" w:firstLine="428" w:firstLineChars="200"/>
        <w:rPr>
          <w:rFonts w:hint="default" w:ascii="Times New Roman" w:hAnsi="Times New Roman" w:eastAsia="宋体" w:cs="Times New Roman"/>
          <w:szCs w:val="21"/>
        </w:rPr>
      </w:pPr>
      <w:r>
        <w:rPr>
          <w:rFonts w:hint="default" w:ascii="Times New Roman" w:hAnsi="Times New Roman" w:eastAsia="黑体" w:cs="Times New Roman"/>
          <w:color w:val="444444"/>
          <w:spacing w:val="2"/>
          <w:szCs w:val="21"/>
        </w:rPr>
        <w:t>摘要：</w:t>
      </w:r>
      <w:r>
        <w:rPr>
          <w:rFonts w:hint="default" w:ascii="Times New Roman" w:hAnsi="Times New Roman" w:eastAsia="宋体" w:cs="Times New Roman"/>
          <w:color w:val="444444"/>
          <w:spacing w:val="2"/>
          <w:szCs w:val="21"/>
        </w:rPr>
        <w:t>本文阐述了发</w:t>
      </w:r>
      <w:r>
        <w:rPr>
          <w:rFonts w:hint="default" w:ascii="Times New Roman" w:hAnsi="Times New Roman" w:eastAsia="宋体" w:cs="Times New Roman"/>
          <w:color w:val="444444"/>
          <w:spacing w:val="1"/>
          <w:szCs w:val="21"/>
        </w:rPr>
        <w:t>展劳动价值论提出要消除关于马克思原创的劳动价值论的若干认识误点主张确</w:t>
      </w:r>
      <w:r>
        <w:rPr>
          <w:rFonts w:hint="default" w:ascii="Times New Roman" w:hAnsi="Times New Roman" w:eastAsia="宋体" w:cs="Times New Roman"/>
          <w:color w:val="444444"/>
          <w:spacing w:val="12"/>
          <w:szCs w:val="21"/>
        </w:rPr>
        <w:t>立一种“新</w:t>
      </w:r>
      <w:r>
        <w:rPr>
          <w:rFonts w:hint="default" w:ascii="Times New Roman" w:hAnsi="Times New Roman" w:eastAsia="宋体" w:cs="Times New Roman"/>
          <w:color w:val="444444"/>
          <w:spacing w:val="6"/>
          <w:szCs w:val="21"/>
        </w:rPr>
        <w:t>的活劳动价值一元论”。文章认为不能把整个第三产业的服务劳动都视为创造价值的生产性劳</w:t>
      </w:r>
      <w:r>
        <w:rPr>
          <w:rFonts w:hint="default" w:ascii="Times New Roman" w:hAnsi="Times New Roman" w:eastAsia="宋体" w:cs="Times New Roman"/>
          <w:color w:val="444444"/>
          <w:spacing w:val="4"/>
          <w:szCs w:val="21"/>
        </w:rPr>
        <w:t>动强调</w:t>
      </w:r>
      <w:r>
        <w:rPr>
          <w:rFonts w:hint="default" w:ascii="Times New Roman" w:hAnsi="Times New Roman" w:eastAsia="宋体" w:cs="Times New Roman"/>
          <w:color w:val="444444"/>
          <w:spacing w:val="2"/>
          <w:szCs w:val="21"/>
        </w:rPr>
        <w:t>离开活劳动的科学技术本身无法创造价值以及生产性企业私营业主的经营管理活动是创造价值的</w:t>
      </w:r>
      <w:r>
        <w:rPr>
          <w:rFonts w:hint="default" w:ascii="Times New Roman" w:hAnsi="Times New Roman" w:eastAsia="宋体" w:cs="Times New Roman"/>
          <w:color w:val="444444"/>
          <w:szCs w:val="21"/>
        </w:rPr>
        <w:t xml:space="preserve"> </w:t>
      </w:r>
      <w:r>
        <w:rPr>
          <w:rFonts w:hint="default" w:ascii="Times New Roman" w:hAnsi="Times New Roman" w:eastAsia="宋体" w:cs="Times New Roman"/>
          <w:color w:val="444444"/>
          <w:spacing w:val="12"/>
          <w:szCs w:val="21"/>
        </w:rPr>
        <w:t>并分</w:t>
      </w:r>
      <w:r>
        <w:rPr>
          <w:rFonts w:hint="default" w:ascii="Times New Roman" w:hAnsi="Times New Roman" w:eastAsia="宋体" w:cs="Times New Roman"/>
          <w:color w:val="444444"/>
          <w:spacing w:val="9"/>
          <w:szCs w:val="21"/>
        </w:rPr>
        <w:t>析</w:t>
      </w:r>
      <w:r>
        <w:rPr>
          <w:rFonts w:hint="default" w:ascii="Times New Roman" w:hAnsi="Times New Roman" w:eastAsia="宋体" w:cs="Times New Roman"/>
          <w:color w:val="444444"/>
          <w:spacing w:val="6"/>
          <w:szCs w:val="21"/>
        </w:rPr>
        <w:t>了无效劳动、有害服务和非法活动是否创造价值的问题。</w:t>
      </w:r>
    </w:p>
    <w:p w14:paraId="7A3B7084">
      <w:pPr>
        <w:spacing w:before="6" w:line="400" w:lineRule="exact"/>
        <w:ind w:left="375" w:firstLine="356" w:firstLineChars="200"/>
        <w:rPr>
          <w:rFonts w:hint="default" w:ascii="Times New Roman" w:hAnsi="Times New Roman" w:eastAsia="宋体" w:cs="Times New Roman"/>
          <w:color w:val="444444"/>
          <w:spacing w:val="-8"/>
          <w:szCs w:val="21"/>
        </w:rPr>
      </w:pPr>
      <w:r>
        <w:rPr>
          <w:rFonts w:hint="default" w:ascii="Times New Roman" w:hAnsi="Times New Roman" w:eastAsia="黑体" w:cs="Times New Roman"/>
          <w:color w:val="444444"/>
          <w:spacing w:val="-16"/>
          <w:szCs w:val="21"/>
        </w:rPr>
        <w:t>关</w:t>
      </w:r>
      <w:r>
        <w:rPr>
          <w:rFonts w:hint="default" w:ascii="Times New Roman" w:hAnsi="Times New Roman" w:eastAsia="黑体" w:cs="Times New Roman"/>
          <w:color w:val="444444"/>
          <w:spacing w:val="-8"/>
          <w:szCs w:val="21"/>
        </w:rPr>
        <w:t>键词：</w:t>
      </w:r>
      <w:r>
        <w:rPr>
          <w:rFonts w:hint="default" w:ascii="Times New Roman" w:hAnsi="Times New Roman" w:eastAsia="宋体" w:cs="Times New Roman"/>
          <w:color w:val="444444"/>
          <w:spacing w:val="-8"/>
          <w:szCs w:val="21"/>
        </w:rPr>
        <w:t>劳动；价值；劳动价值论；科技劳动；管理劳动；文化劳动</w:t>
      </w:r>
    </w:p>
    <w:p w14:paraId="3386A649">
      <w:pPr>
        <w:spacing w:before="6" w:line="400" w:lineRule="exact"/>
        <w:ind w:left="375" w:firstLine="408" w:firstLineChars="200"/>
        <w:rPr>
          <w:rFonts w:hint="default" w:ascii="Times New Roman" w:hAnsi="Times New Roman" w:eastAsia="宋体" w:cs="Times New Roman"/>
          <w:szCs w:val="21"/>
        </w:rPr>
      </w:pPr>
      <w:r>
        <w:rPr>
          <w:rFonts w:hint="default" w:ascii="Times New Roman" w:hAnsi="Times New Roman" w:eastAsia="宋体" w:cs="Times New Roman"/>
          <w:color w:val="444444"/>
          <w:spacing w:val="-3"/>
          <w:position w:val="3"/>
          <w:szCs w:val="21"/>
        </w:rPr>
        <w:t>中图分类号：</w:t>
      </w:r>
      <w:r>
        <w:rPr>
          <w:rFonts w:hint="default" w:ascii="Times New Roman" w:hAnsi="Times New Roman" w:eastAsia="宋体" w:cs="Times New Roman"/>
          <w:color w:val="444444"/>
          <w:position w:val="3"/>
          <w:szCs w:val="21"/>
        </w:rPr>
        <w:t>F</w:t>
      </w:r>
      <w:r>
        <w:rPr>
          <w:rFonts w:hint="default" w:ascii="Times New Roman" w:hAnsi="Times New Roman" w:eastAsia="宋体" w:cs="Times New Roman"/>
          <w:color w:val="444444"/>
          <w:spacing w:val="-3"/>
          <w:position w:val="3"/>
          <w:szCs w:val="21"/>
        </w:rPr>
        <w:t>046文献标识码：</w:t>
      </w:r>
      <w:r>
        <w:rPr>
          <w:rFonts w:hint="default" w:ascii="Times New Roman" w:hAnsi="Times New Roman" w:eastAsia="宋体" w:cs="Times New Roman"/>
          <w:color w:val="444444"/>
          <w:position w:val="3"/>
          <w:szCs w:val="21"/>
        </w:rPr>
        <w:t>A</w:t>
      </w:r>
      <w:r>
        <w:rPr>
          <w:rFonts w:hint="default" w:ascii="Times New Roman" w:hAnsi="Times New Roman" w:eastAsia="宋体" w:cs="Times New Roman"/>
          <w:color w:val="444444"/>
          <w:spacing w:val="-3"/>
          <w:position w:val="3"/>
          <w:szCs w:val="21"/>
        </w:rPr>
        <w:t>文章编号：1001-9952(2001)11-0003-0</w:t>
      </w:r>
      <w:r>
        <w:rPr>
          <w:rFonts w:hint="default" w:ascii="Times New Roman" w:hAnsi="Times New Roman" w:eastAsia="宋体" w:cs="Times New Roman"/>
          <w:color w:val="444444"/>
          <w:spacing w:val="-2"/>
          <w:position w:val="3"/>
          <w:szCs w:val="21"/>
        </w:rPr>
        <w:t>7</w:t>
      </w:r>
    </w:p>
    <w:p w14:paraId="61B063AA">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color w:val="444444"/>
          <w:spacing w:val="0"/>
          <w:position w:val="0"/>
          <w:sz w:val="21"/>
          <w:szCs w:val="21"/>
        </w:rPr>
        <w:t>江泽民同志《在庆祝中国共产党成立八十周年大会上的讲话》中指出：“我们应该结合新的实际深化对社会主义社会劳动和劳动价值理论的研究和认识。”我们结合中外经济现实及当前研究的难点和疑点问题作一分析并重点提出和论证“新的活劳动价值一元论”。</w:t>
      </w:r>
    </w:p>
    <w:p w14:paraId="05FA0A7C">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left="0" w:right="0" w:firstLine="480" w:firstLineChars="200"/>
        <w:jc w:val="center"/>
        <w:textAlignment w:val="auto"/>
        <w:rPr>
          <w:rFonts w:hint="default" w:ascii="Times New Roman" w:hAnsi="Times New Roman" w:eastAsia="黑体" w:cs="Times New Roman"/>
          <w:spacing w:val="0"/>
          <w:position w:val="0"/>
          <w:sz w:val="24"/>
          <w:szCs w:val="24"/>
        </w:rPr>
      </w:pPr>
      <w:r>
        <w:rPr>
          <w:rFonts w:hint="default" w:ascii="Times New Roman" w:hAnsi="Times New Roman" w:eastAsia="黑体" w:cs="Times New Roman"/>
          <w:color w:val="444444"/>
          <w:spacing w:val="0"/>
          <w:position w:val="0"/>
          <w:sz w:val="24"/>
          <w:szCs w:val="24"/>
        </w:rPr>
        <w:t>一、发展劳动价值对解析现代市场经济运行特点和规律的意义</w:t>
      </w:r>
    </w:p>
    <w:p w14:paraId="2890382C">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color w:val="444444"/>
          <w:spacing w:val="0"/>
          <w:position w:val="0"/>
          <w:sz w:val="21"/>
          <w:szCs w:val="21"/>
        </w:rPr>
        <w:t>马克思创立的劳动和劳动价值理论是对资产阶级古典经济学的一种科学扬弃是反映劳动者利益的政治经济学体系的基点具有学术上的科学性、运行上的实践性与功利上的阶级性。劳动价值论的学术地位和政治重要性使得资产阶级经济学家和政治家一致强调只有推翻它才能从逻辑上拆毁马克思主义和共产党的理论大厦。因此我们必须面对知识经济和社会主义市场经济的新情况和新任务科学地坚持和发展马克思的劳动价值论。</w:t>
      </w:r>
    </w:p>
    <w:p w14:paraId="1FB23B09">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color w:val="444444"/>
          <w:spacing w:val="0"/>
          <w:position w:val="0"/>
          <w:sz w:val="21"/>
          <w:szCs w:val="21"/>
        </w:rPr>
        <w:t>劳动价值论是分析资本主义市场经济的理论基石和有效方法。近现代西方经济学并没有完全科学和准确地揭示出资本主义市场经济的运动规律和运行机制其根源在于“劳动价值论缺位”由此不断推出的新学说和新政策难以根治整体绩效不高和贫富对立的顽症经济的知识化和全球化不可能根本扭转这一态势。</w:t>
      </w:r>
    </w:p>
    <w:p w14:paraId="43E81151">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color w:val="444444"/>
          <w:spacing w:val="0"/>
          <w:position w:val="0"/>
          <w:sz w:val="21"/>
          <w:szCs w:val="21"/>
        </w:rPr>
        <w:t>劳动价值也是分析社会主义市场经济的理论基石和有效方法。在当前现实经济生活中 如何不断完善市场型按劳分配与按生产要素分配的政策怎样高度重视科技活动、文教劳动和管理劳动如何在单位保障变社会保障的改革中实施妥当的方式集体所有制改为股份合作制的股权应怎样分配是否要实行私营业主加入共产党的特殊收费措施(英国工党每年依据资</w:t>
      </w:r>
      <w:r>
        <w:rPr>
          <w:rFonts w:hint="default" w:ascii="Times New Roman" w:hAnsi="Times New Roman" w:eastAsia="宋体" w:cs="Times New Roman"/>
          <w:spacing w:val="0"/>
          <w:position w:val="0"/>
          <w:sz w:val="21"/>
          <w:szCs w:val="21"/>
        </w:rPr>
        <w:t>本家党员的年收益加收一笔用于救济穷人的专项款)以及价格体系、所有制结构、东西部关系等等的理论解析和政策制订都直接或间接同劳动和劳动价值论有关迫切需要运用发展的马克思主义劳动价值来指导。</w:t>
      </w:r>
    </w:p>
    <w:p w14:paraId="08BA964D">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更具体地说目前强调对社会主义社会劳动和劳动价值论的再认识和研究有着以下特别重要的现实意义。一是有益于突出科技和教育劳动的重要性。与马克思所处的时代相比当今个人总劳动中智力劳动所占的比重明显增大社会总劳动中智力劳动所占的比重明显增大 因而有必要充分肯定并深入探讨科技劳动和教育劳动如何创造巨大价值的内在机理与多种变量为“科技是第一生产力”奠定经济学上的劳动价值论基础。</w:t>
      </w:r>
    </w:p>
    <w:p w14:paraId="6B6086E5">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二是有益于纠正文化劳动不创造价值的传统观点大力发展社会主义先进文化。当今物质产业的文化含量急剧提升独立的文化产业也急剧扩大。先进文化观念的创造与传播先进文化技术和物质设施的创造与使用先进文化商品(许多高雅文艺和健康的大众文艺作品)的创造与交换均离不开活劳动创造价值或实现价值这一基本原理。</w:t>
      </w:r>
    </w:p>
    <w:p w14:paraId="188C9595">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三是有益于重新认识管理劳动的巨大作用加强社会主义各项经济管理。过去似乎创造价值的是企业内直接操作人员。厂长、经理等管理者好像仅仅是指挥、协调并不创造价值。现在可以明确不仅公有制生产性企业而且私有制生产性企业凡是直接从事具体经营管理的劳动都是创造价值的生产性劳动。也就是说私营企业的具体经营管理者所获得的正常薪金是自己创造价值的货币表现非剥削所得。</w:t>
      </w:r>
    </w:p>
    <w:p w14:paraId="25C795D3">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四是有益于阐明按劳分配为主体与按生产要素分配的体制改善和促进社会主义市场经济条件下的财富和收入分配结构。马克思设想的按劳分配是计划和产品型的同劳动价值论没有关系而改革是从计划经济体制转向市场经济体制市场型按劳分配同劳动价值论有直接的关联因为生产性和流通性企业的分配都与价值的创造和交换密切相关。从活劳动创造价值的角度出发可以科学地解析现阶段坚持劳动主体型分配格局的必然性进而在实践中促进财富和收入的合理分配。</w:t>
      </w:r>
    </w:p>
    <w:p w14:paraId="4BAD8404">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left="0" w:right="0" w:firstLine="480" w:firstLineChars="200"/>
        <w:jc w:val="center"/>
        <w:textAlignment w:val="auto"/>
        <w:rPr>
          <w:rFonts w:hint="default" w:ascii="Times New Roman" w:hAnsi="Times New Roman" w:eastAsia="黑体" w:cs="Times New Roman"/>
          <w:color w:val="444444"/>
          <w:spacing w:val="0"/>
          <w:position w:val="0"/>
          <w:sz w:val="24"/>
          <w:szCs w:val="24"/>
        </w:rPr>
      </w:pPr>
      <w:r>
        <w:rPr>
          <w:rFonts w:hint="default" w:ascii="Times New Roman" w:hAnsi="Times New Roman" w:eastAsia="黑体" w:cs="Times New Roman"/>
          <w:color w:val="444444"/>
          <w:spacing w:val="0"/>
          <w:position w:val="0"/>
          <w:sz w:val="24"/>
          <w:szCs w:val="24"/>
        </w:rPr>
        <w:t>二、消除对马克思原创的劳动价值论的认识误点</w:t>
      </w:r>
    </w:p>
    <w:p w14:paraId="031AFCAA">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其一认为劳动创造价值是指体力劳动因而在知识和信息等经济要素日显重要的条件下劳动价值论过时了。其实在马克思看来劳动是劳动力的支出本来就包括体力劳动和脑力劳动而且脑力劳动即智力劳动或知识劳动在个人和社会中所占的比重会日趋增大。</w:t>
      </w:r>
    </w:p>
    <w:p w14:paraId="46606A64">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其二认为劳动价值论产生于小生产时代因而在当今新科技革命时代中劳动价值论已不适用。众所周知马克思科学的劳动价值论产生于近代第一次科技革命和产业革命时代是社会化大生产的理论产物。随着科技革命的不断进行劳动价值论需要进一步发展和完善但其基本论点和视角依然是适用的。</w:t>
      </w:r>
    </w:p>
    <w:p w14:paraId="50B3E074">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其三认为劳动价值论不承认有形或无形的生产要素在创造使用价值和价值的重要作用。这是一种误解。劳动价值论一直强调土地、资本、知识、信息之类的生产要素是商品使用价值的直接构成要素并且是活劳动创造商品新价值的重要经济条件主张活劳动创造价值并不否定不同生产要素在经济活动中的各自作用。</w:t>
      </w:r>
    </w:p>
    <w:p w14:paraId="02474178">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其四认为劳动价值论仅适用于实物交换的场合和一国内部的交换。这显然是片面。马克思的劳动价值论既可以解释实物交换和一国内部的交换也可以解释服务等非实物的生产和交换解释全球范围内的商品交换。因为其商品两因素、劳动二重性、价值创造和价值交换等基本原理和分析方法完全可以扩展至服务交换和世界范围。</w:t>
      </w:r>
    </w:p>
    <w:p w14:paraId="12F624F8">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其五认为物化劳动或劳动的土地生产力创造价值合乎劳动价值论的核心论点和方法。事实上主张物化劳动也创造价值只是生产资料创造价值的同义语；主张非劳动的生产要素 或者说劳动的土地生产力和资本生产力也创造价值不过是用马克思的语言来表达19世纪西方庸俗经济学的“生产要素价值论”。劳动价值论应当不断发展但不能否定活劳动创造商品价值这一核心论点。</w:t>
      </w:r>
    </w:p>
    <w:p w14:paraId="43AC1D15">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其六认为创造价值的劳动不包括科技劳动和企业管理劳动。在马克思的原创学说中不仅科技劳动明白无误地算作创造价值而且视其科技含量的大小而算作程度不同的复杂劳动；不仅生产物质商品的企业高级职员和经理创造价值而且这类企业的资本家若担任经理即直接从事经营管理除了具有剥削的一面其经营管理的活动也创造一部分价值。</w:t>
      </w:r>
    </w:p>
    <w:p w14:paraId="1835F804">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left="0" w:right="0" w:firstLine="480" w:firstLineChars="200"/>
        <w:jc w:val="center"/>
        <w:textAlignment w:val="auto"/>
        <w:rPr>
          <w:rFonts w:hint="default" w:ascii="Times New Roman" w:hAnsi="Times New Roman" w:eastAsia="黑体" w:cs="Times New Roman"/>
          <w:color w:val="444444"/>
          <w:spacing w:val="0"/>
          <w:position w:val="0"/>
          <w:sz w:val="24"/>
          <w:szCs w:val="24"/>
        </w:rPr>
      </w:pPr>
      <w:r>
        <w:rPr>
          <w:rFonts w:hint="default" w:ascii="Times New Roman" w:hAnsi="Times New Roman" w:eastAsia="黑体" w:cs="Times New Roman"/>
          <w:color w:val="444444"/>
          <w:spacing w:val="0"/>
          <w:position w:val="0"/>
          <w:sz w:val="24"/>
          <w:szCs w:val="24"/>
        </w:rPr>
        <w:t>三、准确地推进和发展劳动和劳动价值理论</w:t>
      </w:r>
    </w:p>
    <w:p w14:paraId="607EEC80">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马克思沿袭当时西方经济学家的普遍方法将政治经济学研究的出发点和基本范围定位在社会物质生产领域因而其劳动价值论的分析层面也局限于物质生产。这在非物质生产极不发达的19世纪是无可非议的因为理论研究的重点同实践的需要分不开。可是当今世界包括中国在内的各个国家精神劳动和服务劳动在社会总劳动中所占的比重日渐增大非物质生产部门在社会总部门中所占的比重日渐增大智力劳动在个人劳动总支出中所占的比重也日渐增大。在一些发达国家物质生产所占的比重已不到一半。在这种情况下如果我们不及时拓展政治经济学和劳动价值论的出发点与研究范围把马克思和西方学者当时没有重点分析的非物质生产领域纳入探讨范围那么劳动价值论将会因得不到发展而变得苍白无力。马克思主义作为一种科学方法和原理必须不断推进和完善。</w:t>
      </w:r>
    </w:p>
    <w:p w14:paraId="51802C68">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依据马克思关于活劳动创造为市场交换而生产的商品价值以及纯粹为商品价值形态转换服务的流通不创造价值的科学精神我认为凡是直接为市场交换而生产物质商品和精神商品以及直接为劳动力商品的生产和再生产服务的劳动其中包括自然人和法人实体的内部管理劳动和科技劳动都属于创造价值的劳动或生产劳动。这一“新的活劳动价值一元论”不仅没有否定马克思的核心思想和方法而且恰恰是遵循了马克思研究物质生产领域价值创造的思路并把它扩展到一切社会经济部门后所形成的必然结论。具体说来：</w:t>
      </w:r>
    </w:p>
    <w:p w14:paraId="120F5AAE">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第一生产物质商品的劳动是创造价值的生产性劳动。如为市场提供物质商品的农业、工业、建筑业、物质技术业等领域中的生产性劳动。</w:t>
      </w:r>
    </w:p>
    <w:p w14:paraId="7027BA45">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第二从事有形和无形商品场所变更的劳动是创造价值的生产性劳动。如为市场提供货物和人员空间位移的运输劳动提供书信、消息、电报、电话等各种信息传递的邮电劳动。场所变更或信息传递就是广义交通劳动产生的效用它们是可以发生在流通领域内的特殊生产性部门。</w:t>
      </w:r>
    </w:p>
    <w:p w14:paraId="3649CC2C">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第三生产有形和无形精神商品的劳动是创造价值的生产性劳动。如为市场提供精神商品的教育、社会科学、自然科学、文化技术、文学艺术、广播影视、新闻出版、图书馆、博物馆等领域中的生产性劳动其中包括讲课、表演等无形商品或服务劳动。</w:t>
      </w:r>
    </w:p>
    <w:p w14:paraId="17AB58C0">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第四从事劳动力商品生产的服务劳动是创造价值的生产性劳动。直接涉及劳动力这一特殊商品的生产和再生产的部门除了包括上述有关人们生活的生产性部门以外还包括医疗、卫生、体育、美发、美容、沐浴等等。</w:t>
      </w:r>
    </w:p>
    <w:p w14:paraId="5DE4547C">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left="0" w:right="0" w:firstLine="480" w:firstLineChars="200"/>
        <w:jc w:val="center"/>
        <w:textAlignment w:val="auto"/>
        <w:rPr>
          <w:rFonts w:hint="default" w:ascii="Times New Roman" w:hAnsi="Times New Roman" w:eastAsia="黑体" w:cs="Times New Roman"/>
          <w:color w:val="444444"/>
          <w:spacing w:val="0"/>
          <w:position w:val="0"/>
          <w:sz w:val="24"/>
          <w:szCs w:val="24"/>
        </w:rPr>
      </w:pPr>
      <w:r>
        <w:rPr>
          <w:rFonts w:hint="default" w:ascii="Times New Roman" w:hAnsi="Times New Roman" w:eastAsia="黑体" w:cs="Times New Roman"/>
          <w:color w:val="444444"/>
          <w:spacing w:val="0"/>
          <w:position w:val="0"/>
          <w:sz w:val="24"/>
          <w:szCs w:val="24"/>
        </w:rPr>
        <w:t>四、不能把整个第三产业的服务劳动都视为创造价值的生产性劳动</w:t>
      </w:r>
    </w:p>
    <w:p w14:paraId="24407F78">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通常所说的第三产业比较繁杂有多种层次和类型。其中有的属于不为市场交换或不进入市场交换而进行的政治、行政、军事、法律等服务劳动如党、政、军公、检、法等有关部门的活动。尽管这类上层建筑领域的活动或服务劳动有财务收支、劳动报酬、服务收费等经济问题也是社会重要的劳动领域和服务部门但总体上不是商品不是为市场商品交换而从事的生产性服务劳动。</w:t>
      </w:r>
    </w:p>
    <w:p w14:paraId="55CCA08C">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也有的属于为商品和货币流通服务的劳动如一般贸易、金融、中介等部门的服务活动其性质和目的是为有形和无形商品的价值形态转换提供重要服务是具体实现社会上现存商品价值的交换领域因而与创造商品价值的生产性劳动有本质的差别。</w:t>
      </w:r>
    </w:p>
    <w:p w14:paraId="4DA88694">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从经济实践及其逻辑出发纯粹买卖、纯粹中介和纯粹监督之类的活动或服务劳动没有新增一个商品也就没有创造和生产商品的新价值。这是马克思劳动价值论的基本方法和原理之一。不过若从“有作用”这个特殊意义来说此类劳动那么自然它们都有“价值”了但已是非劳动价值论意义上的创造“价值”。</w:t>
      </w:r>
    </w:p>
    <w:p w14:paraId="56AB3BF1">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有的论著用马克思的一段话来直接论证一切服务创造商品的新价值。马克思说：“服务就是商品服务有一定的使用价值(想象的或现实的)和一定的交换价值”。</w:t>
      </w:r>
      <w:r>
        <w:rPr>
          <w:rFonts w:hint="default" w:ascii="Times New Roman" w:hAnsi="Times New Roman" w:eastAsia="宋体" w:cs="Times New Roman"/>
          <w:spacing w:val="0"/>
          <w:position w:val="0"/>
          <w:sz w:val="21"/>
          <w:szCs w:val="21"/>
          <w:vertAlign w:val="superscript"/>
        </w:rPr>
        <w:t>①</w:t>
      </w:r>
      <w:r>
        <w:rPr>
          <w:rFonts w:hint="default" w:ascii="Times New Roman" w:hAnsi="Times New Roman" w:eastAsia="宋体" w:cs="Times New Roman"/>
          <w:spacing w:val="0"/>
          <w:position w:val="0"/>
          <w:sz w:val="21"/>
          <w:szCs w:val="21"/>
        </w:rPr>
        <w:t>这一引证说明是不成立的。因为马克思所说的交换价值是一种使用价值同另一种使用价值相交换的量的关系或比例有交换价值或价格的东西或商品未必都有价值它们是有联系的不同概念如未开垦的土地、良心等等。</w:t>
      </w:r>
    </w:p>
    <w:p w14:paraId="7AF02E09">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应当指出在任何市场制度下各类劳动都体现了社会分工有的属于创造价值的生产劳动有的属于实现价值或价值形态转换的流通劳动有的属于分割现存价值的分配劳动。我们不能潜意识地认为只有创造价值的生产劳动才是重要的；或者只有确认本部门和个人的劳动是创造价值的生产劳动才能获取高收入因而把一切服务劳动乃至社会上所有的有效劳动和有益劳动统统说成是创造商品新价值的。这就有意或无意地混淆了现实经济生活中不同的劳动分工和活动性质。</w:t>
      </w:r>
    </w:p>
    <w:p w14:paraId="45C088A3">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我们更不能照搬西方经济学认为一切同国内生产总值相关的活动都是生产劳动因为这会有意或无意地否定价值创造与价值分割、国民收入的初次分配与再分配以及不同类型的劳动在本质上的差异。</w:t>
      </w:r>
    </w:p>
    <w:p w14:paraId="3265F149">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left="0" w:right="0" w:firstLine="480" w:firstLineChars="200"/>
        <w:jc w:val="center"/>
        <w:textAlignment w:val="auto"/>
        <w:rPr>
          <w:rFonts w:hint="default" w:ascii="Times New Roman" w:hAnsi="Times New Roman" w:eastAsia="黑体" w:cs="Times New Roman"/>
          <w:color w:val="444444"/>
          <w:spacing w:val="0"/>
          <w:position w:val="0"/>
          <w:sz w:val="24"/>
          <w:szCs w:val="24"/>
        </w:rPr>
      </w:pPr>
      <w:r>
        <w:rPr>
          <w:rFonts w:hint="default" w:ascii="Times New Roman" w:hAnsi="Times New Roman" w:eastAsia="黑体" w:cs="Times New Roman"/>
          <w:color w:val="444444"/>
          <w:spacing w:val="0"/>
          <w:position w:val="0"/>
          <w:sz w:val="24"/>
          <w:szCs w:val="24"/>
        </w:rPr>
        <w:t>五、离开活劳动的科学技术本身无法创造价值</w:t>
      </w:r>
    </w:p>
    <w:p w14:paraId="4A59FCD6">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马克思的劳动价值认为新价值只能来源于劳动者的活劳动生产过程中的其他要素都不能创造新价值。现在要说明的是为什么在现代生产活动中科学技术作为第一生产力具有日益突出的地位和作用但离开了活劳动仍然不创造新价值。对此必须从理论上搞清楚以下两个问题：</w:t>
      </w:r>
    </w:p>
    <w:p w14:paraId="7FBDFFC3">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第一科学技术的运用使人类的劳动不断地起着自乘的作用。</w:t>
      </w:r>
    </w:p>
    <w:p w14:paraId="33C961E5">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科学技术在生产过程中的运用之所以能够生产出更多的使用价值和价值是因为科学技术的运用提高了劳动者的劳动生产率提高了活劳动的复杂性从而使人类的劳动不断地起着自乘的作用。因此把握这一关系就成为理解全部问题的枢纽。</w:t>
      </w:r>
    </w:p>
    <w:p w14:paraId="5360949A">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科学技术对使用价值和价值的创造所具有的巨大作用是通过劳动生产率的提高和活劳动的复杂程度来实现的。科学技术对提高劳动生产率具有决定性作用,正是通过把科学技术这一要素融进其他生产要素,即劳动者、劳动工具、劳动对象与科学技术相结合,劳动者便具有较高的劳动生产率,劳动者的劳动能够得到自乘,从而创造出更多的使用价值和价值。所以,直接创造价值的是人类的活劳动,而不是科学技术本身,或者说,从广义文化角度观察,作为创造使用价值和价值的主体只能是劳动者。如果说有变化的话,那就是在科学技术高度发达的条件下,价值的源泉在于高复杂和高效率的活劳动。</w:t>
      </w:r>
    </w:p>
    <w:p w14:paraId="25933607">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劳动者运用先进的科学技术能够创造出更多的使用价值和价值,始终是和劳动者的活劳动效率提高联系在一起的。因此,对问题的分析是不能跳过劳动者活劳动效率提高这一环节的。如果把活劳动抽象掉以后,就看不到劳动与价值创造之间的关系,剩下的只是科学技术与价值之间的关系,这样,很容易陷入科学技术自身也创造价值的误区。从逻辑上分析,如果认为科学技术也能创造价值,实际上也就否认了不同劳动生产率的活劳动对价值创造的重要性。因为科学技术能够自动创造价值的话,活劳动效率的提高也就是无关紧要的了。若是这一结论能够成立的话,我们一再强调的提高劳动生产率又有什么实际意义呢？</w:t>
      </w:r>
    </w:p>
    <w:p w14:paraId="6DB29259">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第二,说科学技术本身不创造价值,并不等于否认科学技术对价值创造的重要作用。</w:t>
      </w:r>
    </w:p>
    <w:p w14:paraId="14569CAF">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这是因为,科学技术在生产过程中的运用不仅是创造出更多的使用价值的前提,而且也是创造出更多的价值的必要条件。没有科学技术的运用,就不会有日益发达的社会生产力和不断提高的劳动生产率,因而也就不可能创造出日益丰富的使用价值。同样,没有科学技术的运用,也不可能创造出日益增多的价值。在现代化生产过程中,科学技术对使用价值和价值创造的作用,比以往任何时候都更加突出、更加重要。只有看到这一点,才能高度重视科学技术的作用,劳动价值论才能从发展的观点去解释现实经济生活中的现象。但是,在这同时也必须看到,科学技术在生产过程中作为一个生产要素的性质并没有改变,因而它本身也不能成为价值创造的源泉和主体。科学技术对价值创造具有的越来越重要的作用,并不能赋予它在生产过程中具有创造价值的功能。</w:t>
      </w:r>
    </w:p>
    <w:p w14:paraId="7C29B389">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在实现生产过程中,科学技术并不是以独立的形态存在的,它是包含在先进的机器设备之中的。因此,运用先进的机器设备就是在生产过程中运用了先进的科学技术。如果说科学技术能够创造价值,那么,由此推论的逻辑结论必然是先进的机器设备也能够创造价值。所以,实际上主张科学技术创造价值的观点与机器设备创造价值的观点是有着内在联系的。总之,在生产过程中涉及到的各种要素中,只有劳动者的活劳动才创造价值,其他生产要素不论其存在的形式如何,不管它是以物质形态存在,还是以知识形态存在,作为这一要素的本身是不创造价值的。他们只是在生产过程中转移自身的价值,从而成为价值的一个构成部分,却不能成为创造新价值的源泉。</w:t>
      </w:r>
    </w:p>
    <w:p w14:paraId="7E5DA52E">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left="0" w:right="0" w:firstLine="480" w:firstLineChars="200"/>
        <w:jc w:val="center"/>
        <w:textAlignment w:val="auto"/>
        <w:rPr>
          <w:rFonts w:hint="default" w:ascii="Times New Roman" w:hAnsi="Times New Roman" w:eastAsia="黑体" w:cs="Times New Roman"/>
          <w:color w:val="444444"/>
          <w:spacing w:val="0"/>
          <w:position w:val="0"/>
          <w:sz w:val="24"/>
          <w:szCs w:val="24"/>
        </w:rPr>
      </w:pPr>
      <w:r>
        <w:rPr>
          <w:rFonts w:hint="default" w:ascii="Times New Roman" w:hAnsi="Times New Roman" w:eastAsia="黑体" w:cs="Times New Roman"/>
          <w:color w:val="444444"/>
          <w:spacing w:val="0"/>
          <w:position w:val="0"/>
          <w:sz w:val="24"/>
          <w:szCs w:val="24"/>
        </w:rPr>
        <w:t>六、生产性企业私营业主的经营管理活动是创造价值的</w:t>
      </w:r>
    </w:p>
    <w:p w14:paraId="35A48DEF">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我国传统的政治经济学承认,在公有制企业中,厂长经理从事生产性管理活动是创造商品价值的生产劳动,而对于资本主义私营企业内,从事生产性经营管理的活动能不能创造价值的问题,则持完全否定或回避的态度。这在分析逻辑上就形成一种难以自圆其说的矛盾:本来属于创造价值的生产性管理活动,一旦与该企业的财产私有权相结合,便全部丧失其创造价值的生产劳动属性。</w:t>
      </w:r>
    </w:p>
    <w:p w14:paraId="0B08FF7B">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其实,倘若生产性私营企业的主要投资者或所有者,同时又是该企业的实际经营管理者,那么,这种管理活动具有两重性:一是从社会劳动协作的必要管理中产生的劳动职能,客观上创造商品的新价值;二是从财产所有权获利的必要管理中产生的剥削职能,客观上又无偿占有他人的剩余劳动。在现实经济生活中,这两种职能交织在一起,并由一个人来承担,并不妨碍在科学分析进程中加以定性区别。</w:t>
      </w:r>
      <w:r>
        <w:rPr>
          <w:rFonts w:hint="default" w:ascii="Times New Roman" w:hAnsi="Times New Roman" w:eastAsia="宋体" w:cs="Times New Roman"/>
          <w:spacing w:val="0"/>
          <w:position w:val="0"/>
          <w:sz w:val="21"/>
          <w:szCs w:val="21"/>
          <w:vertAlign w:val="superscript"/>
        </w:rPr>
        <w:t>②</w:t>
      </w:r>
    </w:p>
    <w:p w14:paraId="118168CD">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现在,我们应该恢复马克思的原创性论断。马克思明确指出:在资本主义生产性企业中,“利润中也包含一点属于工资的东西(在不存在领取这种工资的经理的地方)。资本家在生产过程中是作为劳动的管理者和指挥者出现的,在这个意义上说,资本家在劳动过程本身中起着积极作用。……这种与剥削相结合的劳动……当然就与雇佣工人的劳动一样,是一种加入产品价值的劳动。”</w:t>
      </w:r>
      <w:r>
        <w:rPr>
          <w:rFonts w:hint="default" w:ascii="Times New Roman" w:hAnsi="Times New Roman" w:eastAsia="宋体" w:cs="Times New Roman"/>
          <w:spacing w:val="0"/>
          <w:position w:val="0"/>
          <w:sz w:val="21"/>
          <w:szCs w:val="21"/>
          <w:vertAlign w:val="superscript"/>
        </w:rPr>
        <w:t>③</w:t>
      </w:r>
    </w:p>
    <w:p w14:paraId="01212505">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据此,我们可以得到一个深化的认识:第一,不管生产性企业的财产状况如何,凡是单纯从事管理的经理人员,都属于熟练劳动者,并应获得包括较高复杂劳动在内的熟练劳动的工资。例如,在雇佣人数、资本额和利润量等方面,某个业主制企业达到社会规定的私营企业的标准,而该生产性企业的所有者又亲自从事实际经营管理,这样,其某些管理活动应视为能创造新价值的生产劳动。诚然,假如经理同时拥有企业内外的大量财产及其收益,那他就具有双重身份,而不再是一个单纯的经营管理者。这种情况也并不罕见。</w:t>
      </w:r>
    </w:p>
    <w:p w14:paraId="08F1C933">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第二,纯粹的货币资本家,包括各类证券、期货、外汇市场上的单纯投资和炒作的人,在不参与生产性企业管理的情况下,当然不属于创造商品新价值的生产劳动范畴,而是资本这一生产要素参与收益分配的具体表现。</w:t>
      </w:r>
    </w:p>
    <w:p w14:paraId="0D1EC09E">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第三,股份公司内部实际管理的权利与责任是复杂而多样的,其中有部分董事长、董事和监事仅是“挂名”,并不精通本公司的基本业务,一年只出席几次会议,对经理提出的经营战略和策略的报告进行审批(俗称“橡皮图章”),事实上没有积极参与公司重大经营决策的制定和监督实施。他们实际上只参与因单纯财产所有权产生的活动,如招聘总经理、分股息和红利等。这类活动含创造新价值的生产劳动的成分极少,甚至完全不包含。</w:t>
      </w:r>
    </w:p>
    <w:p w14:paraId="291F02CA">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第四,鉴于上述事实,可以把马克思在《资本论》中阐明的利润分割理论推进一层:第一层是马克思已阐明的,不管是借入资本,还是自有资本,企业总利润按照资本的单纯所有者(即马克思说的“法律上的所有者”)与资本的使用者(即马克思说的“经济上的所有者”)两重职能和权利,先分割为利息与企业主收入;第二层是马克思尚未阐明的,不管资本的使用者与资本的具体管理者是否合二为一,企业主收入,按照资本的使用者和具体管理者两重职能和权利,再分割为企业主纯收入与管理收入(管理工资)。</w:t>
      </w:r>
    </w:p>
    <w:p w14:paraId="18A4DD79">
      <w:pPr>
        <w:keepNext w:val="0"/>
        <w:keepLines w:val="0"/>
        <w:pageBreakBefore w:val="0"/>
        <w:widowControl w:val="0"/>
        <w:kinsoku/>
        <w:wordWrap/>
        <w:overflowPunct/>
        <w:topLinePunct w:val="0"/>
        <w:autoSpaceDE/>
        <w:autoSpaceDN/>
        <w:bidi w:val="0"/>
        <w:adjustRightInd/>
        <w:snapToGrid/>
        <w:spacing w:before="0" w:beforeLines="50" w:after="0" w:afterLines="50" w:line="400" w:lineRule="exact"/>
        <w:ind w:left="0" w:right="0" w:firstLine="480" w:firstLineChars="200"/>
        <w:jc w:val="center"/>
        <w:textAlignment w:val="auto"/>
        <w:rPr>
          <w:rFonts w:hint="default" w:ascii="Times New Roman" w:hAnsi="Times New Roman" w:eastAsia="黑体" w:cs="Times New Roman"/>
          <w:color w:val="444444"/>
          <w:spacing w:val="0"/>
          <w:position w:val="0"/>
          <w:sz w:val="24"/>
          <w:szCs w:val="24"/>
        </w:rPr>
      </w:pPr>
      <w:r>
        <w:rPr>
          <w:rFonts w:hint="default" w:ascii="Times New Roman" w:hAnsi="Times New Roman" w:eastAsia="黑体" w:cs="Times New Roman"/>
          <w:color w:val="444444"/>
          <w:spacing w:val="0"/>
          <w:position w:val="0"/>
          <w:sz w:val="24"/>
          <w:szCs w:val="24"/>
        </w:rPr>
        <w:t>七、无效劳动、有害服务和非法活动是否创造价值</w:t>
      </w:r>
    </w:p>
    <w:p w14:paraId="6DA670A2">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作为有形商品和无形商品的两因素,其使用价值与价值是不可缺一的统一体。不能为市场创造出新的使用价值的劳动是不可能创造出新的价值的,因而不提供使用价值的无效劳动也就没有价值,甚至有些无效劳动还表现为“负效劳动”,如损害环境的生产劳动可能是“负价值”。</w:t>
      </w:r>
    </w:p>
    <w:p w14:paraId="2976DCE2">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依据马克思的思路,奸夫和淫妇是互相提供重大的服务和互相满足的,骑士帮助罪犯拦路抢动、打家劫舍,也是对罪犯的重大服务,但诸如此类有害服务的体力和脑力的支出不仅不创造价值,而且损害社会总价值,也可表现为“负价值”。资本主义社会将“红灯区”等某些有害服务合法化,并计算到第三产业和国内生产总值中去,这正是社会主义要消除的社会问题和经济弊端。</w:t>
      </w:r>
    </w:p>
    <w:p w14:paraId="47644311">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在经济领域,非法活动有两类:一类是有害的活动,如制造毒品,自然什么价值也不创造;另一类是有用的和有效的活动,如擅自冒用别人的商标生产毛巾,且收益很大,这本身是创造价值的生产性劳动,但属于非法活动或非法劳动,应进行法律制裁。</w:t>
      </w:r>
    </w:p>
    <w:p w14:paraId="0EE79372">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注释：</w:t>
      </w:r>
    </w:p>
    <w:p w14:paraId="405E0FB1">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①《马克思恩格斯全集》</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第26卷</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第1分册</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第149页。</w:t>
      </w:r>
    </w:p>
    <w:p w14:paraId="07B77AA8">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②详见程恩富：《生产性管理活动都是创造价值的生产劳动》</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《社会科学》1995年第7期；《经济管理活动创造价值吗》</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《人民日报》2000年12月14日。</w:t>
      </w:r>
    </w:p>
    <w:p w14:paraId="28ECFB60">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③《马克思恩格斯全集》</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第46卷</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第219－220页。</w:t>
      </w:r>
    </w:p>
    <w:p w14:paraId="6E6A87B4">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p>
    <w:p w14:paraId="682A966A">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参考文献：</w:t>
      </w:r>
    </w:p>
    <w:p w14:paraId="5E1A49C8">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［1］程恩富.文化经济学通论［M］∙上海：上海财经大学出版社</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1999∙</w:t>
      </w:r>
    </w:p>
    <w:p w14:paraId="127A5827">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［2］程恩富</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施锡铨</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朱富强等∙经营者收入的博弈分析———劳动价值论的一种拓展［J］∙经济学动态∙2001</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（4）：11－17∙</w:t>
      </w:r>
    </w:p>
    <w:p w14:paraId="1F787946">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［3］程恩富∙马克思经济学与经济思维方法———与张五常先生商榷之四［J］∙学术月刊</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1996</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（10）：20－25∙</w:t>
      </w:r>
    </w:p>
    <w:p w14:paraId="2696CD54">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［4］吴易风∙价值理论‘新见解’辨析［J］∙当代经济研究</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1995（4）：1－10∙［5］卫兴华∙关于深化对劳动和劳动价值理论的认识问题［J］∙经济学动态</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2000</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（12）：9－17∙</w:t>
      </w:r>
    </w:p>
    <w:p w14:paraId="05341A7D">
      <w:pPr>
        <w:keepNext w:val="0"/>
        <w:keepLines w:val="0"/>
        <w:pageBreakBefore w:val="0"/>
        <w:widowControl w:val="0"/>
        <w:kinsoku/>
        <w:wordWrap/>
        <w:overflowPunct/>
        <w:topLinePunct w:val="0"/>
        <w:autoSpaceDE/>
        <w:autoSpaceDN/>
        <w:bidi w:val="0"/>
        <w:adjustRightInd/>
        <w:snapToGrid/>
        <w:spacing w:line="400" w:lineRule="exact"/>
        <w:ind w:left="0" w:right="0" w:firstLine="420" w:firstLineChars="200"/>
        <w:jc w:val="both"/>
        <w:textAlignment w:val="auto"/>
        <w:rPr>
          <w:rFonts w:hint="default" w:ascii="Times New Roman" w:hAnsi="Times New Roman" w:eastAsia="宋体" w:cs="Times New Roman"/>
          <w:spacing w:val="0"/>
          <w:position w:val="0"/>
          <w:sz w:val="21"/>
          <w:szCs w:val="21"/>
        </w:rPr>
      </w:pPr>
      <w:r>
        <w:rPr>
          <w:rFonts w:hint="default" w:ascii="Times New Roman" w:hAnsi="Times New Roman" w:eastAsia="宋体" w:cs="Times New Roman"/>
          <w:spacing w:val="0"/>
          <w:position w:val="0"/>
          <w:sz w:val="21"/>
          <w:szCs w:val="21"/>
        </w:rPr>
        <w:t>［6］胡钧∙‘挑战’劳动价值论的新课题［J］∙高校理论战线</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2001</w:t>
      </w:r>
      <w:r>
        <w:rPr>
          <w:rFonts w:hint="default" w:ascii="Times New Roman" w:hAnsi="Times New Roman" w:eastAsia="宋体" w:cs="Times New Roman"/>
          <w:spacing w:val="0"/>
          <w:position w:val="0"/>
          <w:sz w:val="21"/>
          <w:szCs w:val="21"/>
          <w:lang w:eastAsia="zh-CN"/>
        </w:rPr>
        <w:t>，</w:t>
      </w:r>
      <w:r>
        <w:rPr>
          <w:rFonts w:hint="default" w:ascii="Times New Roman" w:hAnsi="Times New Roman" w:eastAsia="宋体" w:cs="Times New Roman"/>
          <w:spacing w:val="0"/>
          <w:position w:val="0"/>
          <w:sz w:val="21"/>
          <w:szCs w:val="21"/>
        </w:rPr>
        <w:t>（5）：9－17∙</w:t>
      </w:r>
    </w:p>
    <w:p w14:paraId="72F8165D">
      <w:pPr>
        <w:spacing w:before="8" w:line="400" w:lineRule="exact"/>
        <w:ind w:left="420" w:right="486" w:firstLine="484" w:firstLineChars="200"/>
        <w:rPr>
          <w:rFonts w:hint="default" w:ascii="Times New Roman" w:hAnsi="Times New Roman" w:eastAsia="宋体" w:cs="Times New Roman"/>
          <w:spacing w:val="16"/>
          <w:szCs w:val="21"/>
        </w:rPr>
      </w:pPr>
      <w:r>
        <w:rPr>
          <w:rFonts w:hint="default" w:ascii="Times New Roman" w:hAnsi="Times New Roman" w:eastAsia="宋体" w:cs="Times New Roman"/>
          <w:spacing w:val="16"/>
          <w:szCs w:val="21"/>
        </w:rPr>
        <w:t>（原文载《财经研究》2001年第9期）</w:t>
      </w:r>
    </w:p>
    <w:p w14:paraId="5155FF8E">
      <w:pPr>
        <w:spacing w:line="400" w:lineRule="exact"/>
        <w:rPr>
          <w:rFonts w:hint="default" w:ascii="Times New Roman" w:hAnsi="Times New Roman" w:eastAsia="宋体" w:cs="Times New Roman"/>
          <w:szCs w:val="21"/>
        </w:rPr>
        <w:sectPr>
          <w:footnotePr>
            <w:numFmt w:val="decimalEnclosedCircleChinese"/>
            <w:numRestart w:val="eachPage"/>
          </w:footnotePr>
          <w:pgSz w:w="9072" w:h="13163"/>
          <w:pgMar w:top="213" w:right="0" w:bottom="0" w:left="106" w:header="0" w:footer="0" w:gutter="0"/>
          <w:pgNumType w:fmt="decimal"/>
          <w:cols w:space="720" w:num="1"/>
        </w:sectPr>
      </w:pPr>
    </w:p>
    <w:p w14:paraId="0B6D2B6B">
      <w:pPr>
        <w:spacing w:line="400" w:lineRule="exact"/>
        <w:rPr>
          <w:rFonts w:hint="default" w:ascii="Times New Roman" w:hAnsi="Times New Roman" w:eastAsia="宋体" w:cs="Times New Roman"/>
          <w:szCs w:val="21"/>
        </w:rPr>
      </w:pPr>
    </w:p>
    <w:p w14:paraId="0E03240C">
      <w:pPr>
        <w:ind w:firstLine="420" w:firstLineChars="200"/>
        <w:rPr>
          <w:rFonts w:hint="default" w:ascii="Times New Roman" w:hAnsi="Times New Roman" w:eastAsia="PMingLiU" w:cs="Times New Roman"/>
          <w:lang w:eastAsia="zh-TW"/>
        </w:rPr>
      </w:pPr>
    </w:p>
    <w:p w14:paraId="609B8D83">
      <w:pPr>
        <w:spacing w:before="156" w:beforeLines="50" w:after="156" w:afterLines="50" w:line="300" w:lineRule="auto"/>
        <w:ind w:firstLine="640" w:firstLineChars="200"/>
        <w:jc w:val="center"/>
        <w:outlineLvl w:val="1"/>
        <w:rPr>
          <w:rStyle w:val="24"/>
          <w:rFonts w:hint="default" w:ascii="Times New Roman" w:hAnsi="Times New Roman" w:cs="Times New Roman"/>
        </w:rPr>
      </w:pPr>
      <w:bookmarkStart w:id="88" w:name="_Toc93074525"/>
      <w:bookmarkStart w:id="89" w:name="_Toc28597"/>
      <w:bookmarkStart w:id="90" w:name="_Toc20948"/>
      <w:bookmarkStart w:id="91" w:name="_Toc692852094"/>
      <w:bookmarkStart w:id="92" w:name="_Toc715823312"/>
      <w:bookmarkStart w:id="93" w:name="_Toc257922042"/>
      <w:bookmarkStart w:id="94" w:name="_Toc93074527"/>
      <w:r>
        <w:rPr>
          <w:rStyle w:val="24"/>
          <w:rFonts w:hint="default" w:ascii="Times New Roman" w:hAnsi="Times New Roman" w:cs="Times New Roman"/>
        </w:rPr>
        <w:t>新的活劳动价值一元论</w:t>
      </w:r>
      <w:bookmarkEnd w:id="88"/>
      <w:bookmarkEnd w:id="89"/>
      <w:bookmarkEnd w:id="90"/>
      <w:bookmarkEnd w:id="91"/>
      <w:bookmarkEnd w:id="92"/>
    </w:p>
    <w:p w14:paraId="61CFF746">
      <w:pPr>
        <w:spacing w:line="300" w:lineRule="auto"/>
        <w:ind w:firstLine="480" w:firstLineChars="200"/>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——劳动价值理论的当代拓展</w:t>
      </w:r>
      <w:bookmarkEnd w:id="93"/>
    </w:p>
    <w:p w14:paraId="151319BB">
      <w:pPr>
        <w:spacing w:before="156" w:beforeLines="50" w:line="300" w:lineRule="auto"/>
        <w:ind w:firstLine="420" w:firstLineChars="200"/>
        <w:rPr>
          <w:rFonts w:hint="default" w:ascii="Times New Roman" w:hAnsi="Times New Roman" w:eastAsia="宋体" w:cs="Times New Roman"/>
          <w:b/>
          <w:szCs w:val="21"/>
        </w:rPr>
      </w:pPr>
      <w:r>
        <w:rPr>
          <w:rFonts w:hint="default" w:ascii="Times New Roman" w:hAnsi="Times New Roman" w:eastAsia="宋体" w:cs="Times New Roman"/>
          <w:szCs w:val="21"/>
        </w:rPr>
        <w:t>中共十五届五中全会提出要深化对劳动和劳动价值理论的认识，其实质是要在新的时代条件下，坚持和拓展马克思的劳动价值理论，以更好地指导现实的发展。坚持马克思的劳动价值理论，就是不能离开劳动创造价值这一核心观点。拓展这一理论，就是要以科学的态度结合现实的新情况和新问题，进一步发展这一理论。本文在继承马克思关于物质生产领域活劳动创造价值的基础上提出和论证“新的活劳动价值一元论”。</w:t>
      </w:r>
    </w:p>
    <w:p w14:paraId="67CC47B0">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right="0"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一、坚持劳动价值论的实质是坚持价值源泉的惟一性</w:t>
      </w:r>
    </w:p>
    <w:p w14:paraId="1A8154B5">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劳动价值论是马克思政治经济学的基础理论，坚持马克思主义，必须对劳动与价值之间的关系作出明确的回答。劳动价值论的核心观点是，价值的源泉惟一地来源于劳动者的活劳动。无论是在过去或现在，不管是反对劳动价值论，或认为劳动价值论不能科学地说明现实经济现象的观点，都是集中地否定劳动价值论这一核心观点。因此，真正坚持劳动价值理论，必须要从理论上解决这样一个基本问题，即除了劳动以外的其他生产要素是否创造价值，最主要的是要说明物化劳动和科学技术这两种生产要素是否自行创造价值。科学地解决了这一问题，也就坚持了马克思的劳动价值理论。</w:t>
      </w:r>
    </w:p>
    <w:p w14:paraId="3972840F">
      <w:pPr>
        <w:spacing w:line="300" w:lineRule="auto"/>
        <w:ind w:firstLine="420" w:firstLineChars="200"/>
        <w:rPr>
          <w:rFonts w:hint="default" w:ascii="Times New Roman" w:hAnsi="Times New Roman" w:eastAsia="宋体" w:cs="Times New Roman"/>
          <w:b/>
          <w:szCs w:val="21"/>
        </w:rPr>
      </w:pPr>
      <w:r>
        <w:rPr>
          <w:rFonts w:hint="default" w:ascii="Times New Roman" w:hAnsi="Times New Roman" w:eastAsia="宋体" w:cs="Times New Roman"/>
          <w:b/>
          <w:szCs w:val="21"/>
        </w:rPr>
        <w:t>（一）物化劳动不创造价值</w:t>
      </w:r>
    </w:p>
    <w:p w14:paraId="5AB6E36F">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说物化劳动不创造价值，其实质是说物质资料不创造价值。因为物化劳动的存在形式就是物质资料二者只是对同一个事物的不同表述。从这一基本的判断出发，可以从以下几个方面来论证物化劳动是不能创造价值的。</w:t>
      </w:r>
    </w:p>
    <w:p w14:paraId="2852A5AE">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首先，物化劳动是一个物，不具有与劳动力相同的性质。物化劳动的存在形式是生产资料，是生产过程中物的因素。劳动力是存在于活的人体之中，以劳动者为存在形式，是生产过程中人的因素。这两种要素的差别是显而易见的。劳动力这一要素的特殊性在于它的使用过程就是劳动过程，正是这一劳动过程，才使劳动力具有创造价值的能力。而生产资料并不存在劳动过程，因而也就不具有创造价值的能力。如果得出物化劳动也创造价值了实际上就是说生产资料也具有劳动的功能。很显然，以这种违反常理的界定为前提，推论出物化劳动也创造价值的结论是毫无意义的。</w:t>
      </w:r>
    </w:p>
    <w:p w14:paraId="24324A6C">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其次，劳动者的一次劳动不能多次创造价值。价值是由劳动者的劳动创造的，这一命题的涵义是十分明确的它是指价值的创造必须与劳动者的活劳动相联系，即劳动者每进行一次劳动创造一次价值，一次劳动过程结束，创造价值的过程也就终止。但按照物化劳动也能创造价值的观点来分析，必须得出一次劳动能够重复多次创造价值的错误结论。</w:t>
      </w:r>
    </w:p>
    <w:p w14:paraId="19EE222C">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物化劳动是劳动者在上一次生产过程中已经付出了的活劳动在物质资料中的凝结。这一活劳动在上一次生产过程中已经创造了价值，所创造的价值就是生产资料价值的一部分。生产过程结束，活劳动也就物化在生产资料中成为物化劳动。这部分以生产资料形式存在的物化劳动到了下一个生产过程就不能再还原为活劳动重新创造价值，而只能转移价值。如果因为物化劳动的来源是活劳动，就认为物化劳动也能创造价值，这实际上就等于说，一次活劳动能够重复多次创造价值，即劳动者的活劳动先在上一次生产过程中创造价值，然后，再作为物化劳动在这一次以及以后的生产过程中不断地创造价值。按此逻辑进行推论劳动者进行了一次活劳动以后，尽管活劳动过程结束了、但创造价值的过程却可以连续不断地进行下去只是这时的价值创造过程不再是由劳动者来进行，而是由劳动者生产的产品（物化劳动）来进行。这样的结论显然是不能让人接受的。所以，物化劳动也能创造价值的观点是缺乏理论支撑点的。</w:t>
      </w:r>
    </w:p>
    <w:p w14:paraId="311E8D5A">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主张物化劳动也创造价值的观点，其实质是认为物质资料能够创造价值。因为物化劳动是相对于活劳动来说的是指活劳动的凝固形态。这种凝固形态能够存在的前提是它必须凝结在物里面，以物质资料作为载体。所以，物化劳动就其实际内容来说就是物质资料，讲物化劳动也能创造价值，实质就是说物幸资料也能创造价值。持物化劳动也能创造价值这一观点的学者，之所以不直截了当地说物质资料也创造价值，是因为按逻辑推理在理论上是决不能得出这样的结论的，因而就把实际上是主张物质资料创造价值的观点，以物化劳动创造价值的形式提出来，因为在物化劳动中毕竟有“劳动”二字。但是，只要对这一观点稍作分析， 就不难看出它的实质内容。在这里，承认物化劳动创造价值与承认物质资料创造价值并没有本质的区别。</w:t>
      </w:r>
    </w:p>
    <w:p w14:paraId="5DA8A372">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再次，物化劳动也能创造价值的观点，不能从数量上具体地说明物化劳动与价值量之间的关系。这是因为，物化劳动的种类多种多样，在生产过程中存在的形式很不相同，它们所起的作用、耗费的方式千差万别，在他们之间不可能建立对价值创造的统一的计量标准。因而对于不同种类的物化劳动各自究竟创造了多少价值，这是一个根本无法确定的问题。所以，这一观点只能停留在抽象的理论分析上，而不能进人对这一问题实质性的数量发现。或者说， 物化劳动创造价值的观点是不能进行科学地实证分析的。如果本身涉及到数量分析的经济学问题却不能进行准确的数量分析，那么，这样的观点也就谈不上什么科学性了。</w:t>
      </w:r>
    </w:p>
    <w:p w14:paraId="199381FC">
      <w:pPr>
        <w:spacing w:line="300" w:lineRule="auto"/>
        <w:ind w:firstLine="420" w:firstLineChars="200"/>
        <w:rPr>
          <w:rFonts w:hint="default" w:ascii="Times New Roman" w:hAnsi="Times New Roman" w:eastAsia="宋体" w:cs="Times New Roman"/>
          <w:b/>
          <w:szCs w:val="21"/>
        </w:rPr>
      </w:pPr>
      <w:r>
        <w:rPr>
          <w:rFonts w:hint="default" w:ascii="Times New Roman" w:hAnsi="Times New Roman" w:eastAsia="宋体" w:cs="Times New Roman"/>
          <w:b/>
          <w:szCs w:val="21"/>
        </w:rPr>
        <w:t>（二）离开活劳动的科学技术本身无法创造价值</w:t>
      </w:r>
    </w:p>
    <w:p w14:paraId="56C8435C">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科学技术是生产力，而且是第一生产力的观点已成为人们的共识。那么，科学技术这一要素是否创造价值，这是实践发展对马克思劳动价值理论提出的需要解决的新问题。马克思的劳动价值论认为，新价值只能来源于劳动者的活劳动，生产过程中的其他要素都不能创造新价值。现在要说明的是，为什么在现代生产活动中，科学技术作为第一生产力，具有日益突出的地位和作用，但离开了活劳动仍然不创造新价值。对此，必须从理论上搞清楚以下几个问题。</w:t>
      </w:r>
    </w:p>
    <w:p w14:paraId="1AF2E70E">
      <w:pPr>
        <w:spacing w:line="300" w:lineRule="auto"/>
        <w:ind w:firstLine="420" w:firstLineChars="200"/>
        <w:rPr>
          <w:rFonts w:hint="default" w:ascii="Times New Roman" w:hAnsi="Times New Roman" w:eastAsia="宋体" w:cs="Times New Roman"/>
          <w:b/>
          <w:szCs w:val="21"/>
        </w:rPr>
      </w:pPr>
      <w:r>
        <w:rPr>
          <w:rFonts w:hint="default" w:ascii="Times New Roman" w:hAnsi="Times New Roman" w:eastAsia="宋体" w:cs="Times New Roman"/>
          <w:b/>
          <w:szCs w:val="21"/>
        </w:rPr>
        <w:t>第一，科学技术的运用使人类的劳动不断地起着自乘的作用。</w:t>
      </w:r>
    </w:p>
    <w:p w14:paraId="3D36ACA2">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科学技术在生产过程中的运用之所以能够生产出更多的使用价值和价值，是因为科学技术的运用提高了劳动者的劳动生产率，提高了活劳动的复杂性，从而使人类的劳动不断地起着自乘的作用。因此，把握这一关系就成为理解全问题的枢纽。</w:t>
      </w:r>
    </w:p>
    <w:p w14:paraId="7507C354">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科学技术对使用价值和价值的创造所具有的巨大作用，是通过劳动生产率的提高和活劳动的复杂程度来实现的。劳动生产率的提高，使劳动者在相同的时间里可以创造出更多的使用价值和价值，即劳动生产率较高的劳动起着自乘的作用，它可以等于多倍的劳动生产率较低的劳动。科学技术对提高劳动生产率具有决定性作用正是通过把科学技术这一要素融进其他生产要素来实现的，即劳动者、劳动工具、劳动对象与科学技术相结合，就会使劳动者具有较高的劳动生产率，使劳动者的劳动能够得到自乘，从而创造出更多的使用价值和价值。所以，直接创造价值的是人类的活劳动，而不是科学技术本身，或者说，从广义文化角度观察，作为创造使用价值和价值的主体只能是劳动者。如果说有变化的话，那就是在科学技术高度发达的条件下，价值的源泉在于高复杂和高效率的活劳动。</w:t>
      </w:r>
    </w:p>
    <w:p w14:paraId="688AE178">
      <w:pPr>
        <w:spacing w:line="300" w:lineRule="auto"/>
        <w:ind w:firstLine="420" w:firstLineChars="200"/>
        <w:rPr>
          <w:rFonts w:hint="default" w:ascii="Times New Roman" w:hAnsi="Times New Roman" w:eastAsia="宋体" w:cs="Times New Roman"/>
          <w:szCs w:val="21"/>
          <w:lang w:eastAsia="zh-CN"/>
        </w:rPr>
      </w:pPr>
      <w:r>
        <w:rPr>
          <w:rFonts w:hint="default" w:ascii="Times New Roman" w:hAnsi="Times New Roman" w:eastAsia="宋体" w:cs="Times New Roman"/>
          <w:szCs w:val="21"/>
        </w:rPr>
        <w:t>劳动者运用先进的科学技术能够创造出更多的使用价值和价值，始终是和劳动者的活劳动效果提高联系在一起的，即在先进的科学技术与更多的使用价值和价值之间的中间环节是劳动者活劳动效率的提高。因此，对问题的分析是不能跳过劳动者活劳动效率提高这一环节的。如果把人活劳动抽象掉以后，就看不到劳动与价值创造之间的关系，剩下的只是科学技术与价值之间的关系，这样，也就很容易陷人科学技术自身也创造价值的误区。从逻辑上分析，如果认为科学技术也能创造价值，实际上也就否认了不同劳动生产率的活劳动对价值创造的重要性。因为科学技术能够自动创造价值的话，活劳动效率的提高也就是无关紧要的了。若是这一结论能够成立的话，我们一再强调的提高劳动生产率又有什么实际意义呢</w:t>
      </w:r>
      <w:r>
        <w:rPr>
          <w:rFonts w:hint="default" w:ascii="Times New Roman" w:hAnsi="Times New Roman" w:eastAsia="宋体" w:cs="Times New Roman"/>
          <w:szCs w:val="21"/>
          <w:lang w:eastAsia="zh-CN"/>
        </w:rPr>
        <w:t>？</w:t>
      </w:r>
    </w:p>
    <w:p w14:paraId="3BB34B2D">
      <w:pPr>
        <w:spacing w:line="300" w:lineRule="auto"/>
        <w:ind w:firstLine="420" w:firstLineChars="200"/>
        <w:rPr>
          <w:rFonts w:hint="default" w:ascii="Times New Roman" w:hAnsi="Times New Roman" w:eastAsia="宋体" w:cs="Times New Roman"/>
          <w:b/>
          <w:szCs w:val="21"/>
        </w:rPr>
      </w:pPr>
      <w:r>
        <w:rPr>
          <w:rFonts w:hint="default" w:ascii="Times New Roman" w:hAnsi="Times New Roman" w:eastAsia="宋体" w:cs="Times New Roman"/>
          <w:b/>
          <w:szCs w:val="21"/>
        </w:rPr>
        <w:t>第二，说科学技术本身不创造价值，并不等于否认科学技术对价值创造的重要作用。</w:t>
      </w:r>
    </w:p>
    <w:p w14:paraId="15DB530B">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这是因为，科学技术在生产过程中的运用不仅是创造出更多的使用价值的前提，而且也是创造出更多的价值的必要条件。没有科学技术的运用，就不会有日益发达的社会生产力和不断提高劳动生产率，因而也就不可能创造出日益丰富的使用价值。同样没有科学技术的运用， 也不可能创造出日益增多的价值。在现代化生产过程中，科学技术对使用价值和价值创造的作用，比以往任何时候都要更加突出、更加重要。只有看到这一点，才能高度重视科学技术的作用，劳动价值论才能从发展的观点去解释现实经济生活中的现象。但是，在这同时也必须看到，科学技术在生产过程中作为一个生产要素的自身性质并没有改变，因而它本身也不能成为价值创造的源泉和主体。科学技术对价值创造具有的越来越重要的作用，并不能赋予它在生产过程中具有创造价值的功能。</w:t>
      </w:r>
    </w:p>
    <w:p w14:paraId="1569BD54">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在现实生产过程中，科学技术并不是以独立的形态存在的，大量的是与生产工具结合在一起的，因而它是包含在先进的机器设备之中的。因此，运用先进的机器设备就是在生产过程中运用了先进的科学技术，二者是一回事。如果说科学技术能够创造价值，那么，由此推论的逻辑结论必须是先进的机器设备也能够创造价值。所以，实际上主张科学技术创造价值的观点与机器设备创造价值的观点是有着内在联系的。</w:t>
      </w:r>
    </w:p>
    <w:p w14:paraId="077E22EA">
      <w:pPr>
        <w:spacing w:line="300" w:lineRule="auto"/>
        <w:ind w:firstLine="420" w:firstLineChars="200"/>
        <w:rPr>
          <w:rFonts w:hint="default" w:ascii="Times New Roman" w:hAnsi="Times New Roman" w:eastAsia="宋体" w:cs="Times New Roman"/>
          <w:b/>
          <w:szCs w:val="21"/>
        </w:rPr>
      </w:pPr>
      <w:r>
        <w:rPr>
          <w:rFonts w:hint="default" w:ascii="Times New Roman" w:hAnsi="Times New Roman" w:eastAsia="宋体" w:cs="Times New Roman"/>
          <w:szCs w:val="21"/>
        </w:rPr>
        <w:t>总之，在生产过程中涉及到的各种要素中，只有劳动者的活劳动才创造价值，其他生产要素不论其存在的形式如何，不管它是以物质形态存在，还是以知识形态存在，作为这一要素的本身是不创造价值的。它们只是在生产过程中转移自身的价值，从而成为价值的一个构成部分，但却不能成为创造新价值的源泉。马克思劳动价值理论的这一核心观点，是对客观经济活动过程的科学分析， 是对人类社会价值创造规律的深刻揭示，是符合客观实际的， 因而是经得起实践检验的客观真理。对于解读今天高度现代化条件下的经济现象，仍然具有强大的生命力。</w:t>
      </w:r>
    </w:p>
    <w:p w14:paraId="180FBED8">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right="0"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二、发展劳动价值论的关键是拓展对创造价值的劳动的认识</w:t>
      </w:r>
    </w:p>
    <w:p w14:paraId="6BD7FFC7">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坚持劳动价值理论的基本观点，并不意味着这一理论是僵化的，或者说这一理论是不能发展的。在实践不断发展的基础上，不仅马克思主义的一些具体观点和结论在不断地丰富和发展，而且马克思主义的基本理论也在不断地丰富和发展。这里当然包含着劳动价值理论。我们认为，以深化对创造价值的劳动的认识为切人点，是科学地发展劳动价值理论的关键。这是因为：</w:t>
      </w:r>
    </w:p>
    <w:p w14:paraId="300F61EC">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首先，科学技术迅猛发展和生产社会化程度的极大提高，使创造价值的劳动呈现出日益分解的趋势。这一趋势是随着生产力的发展而不断加强的。在生产力发展水平非常落后， 生产社会化程度很低的条件下，人类的生产活动主要是由单个劳动者来完成的，因而创造价值的劳动也主要是表现为劳动者的个体劳动。正因为单个劳动者能够完成生产的全过程， 因而也能够完成价值创造的全过程。随着生产社会化程度的不断提高，人类的生产活动日益突破了个体劳动的局限，整个生产过程已经不是单个劳动者所能完成的，而是由众多的劳动者在分工与合作的基础上形成的“总体工人”来完成的。这样，原来由单个工人独立完成的劳动，现在分解为“总体工人”的共同进行的劳动由此，创造价值的劳动也就由“总体工人”的劳动共同构成，劳动的形式和种类也越来越多样化，如从事物质生产领域的科技劳动和经营管理劳动</w:t>
      </w:r>
      <w:r>
        <w:rPr>
          <w:rFonts w:hint="default" w:ascii="Times New Roman" w:hAnsi="Times New Roman" w:eastAsia="宋体" w:cs="Times New Roman"/>
          <w:szCs w:val="21"/>
          <w:lang w:eastAsia="zh-CN"/>
        </w:rPr>
        <w:t>。</w:t>
      </w:r>
      <w:r>
        <w:rPr>
          <w:rFonts w:hint="default" w:ascii="Times New Roman" w:hAnsi="Times New Roman" w:eastAsia="宋体" w:cs="Times New Roman"/>
          <w:szCs w:val="21"/>
          <w:vertAlign w:val="superscript"/>
          <w:lang w:eastAsia="zh-CN"/>
        </w:rPr>
        <w:t>①</w:t>
      </w:r>
      <w:r>
        <w:rPr>
          <w:rFonts w:hint="default" w:ascii="Times New Roman" w:hAnsi="Times New Roman" w:eastAsia="宋体" w:cs="Times New Roman"/>
          <w:szCs w:val="21"/>
        </w:rPr>
        <w:t>并且，这种多样化劳动的发展逐渐突破了物质生产领域，把一些非物质生产领域中的劳动者也纳人了“总体工人”的范围，从而他们的劳动也具有了创造价值的属性。这是生产社会化发展的必然趋势，它在客观上要求我们对创造价值的劳动的认识也随之拓展。</w:t>
      </w:r>
    </w:p>
    <w:p w14:paraId="73147E84">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其次，科学技术的发展和社会的全面进步，使社会财富和商品的存在形式也日益多样化， 从而价值存在的形式当然也呈现多样化。这同样要求我们对创造价值的劳动的认识也必须随之拓展。在人类社会发展的初期社会财富是以物质财富形式存在的。但是，随着社会生产力的发展和物质财富的增长，精神财富也迅速增长，并且在社会财富中占有越来越大比重。从人类的需要来看，社会的发展程度越高，人们在对物质财富的需求不断增长的同时，对精神财富的需求也以更快的速度增长，人类的劳动也越来越多投人到精神财富的生产中。这样只是把创造价值的劳动局限在物质生产活动中的观点，是与这一发展趋势不相吻合的。应该把创造价值的劳动拓展到精神生产领域。无论是在物质生产领域，还是在精神生产领域，只要是创造了社会物质财富和精神财富的劳动都应该纳人创造价值的范畴。这实际上是要求我们把创造价值的劳动，从物质生产领域向精神生产领域拓展。</w:t>
      </w:r>
    </w:p>
    <w:p w14:paraId="6C5F3AD5">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再次，现代经济发展过程中，对劳动力这一要素的要求越来越高，从而为实现劳动力生产和再生产的内容也越来越多。现在仅仅从一般物质上来满足劳动力这一要素生产和再生产已经不够了，劳动力的生产和再生产更多是要靠为劳动者提供各种各样的服务来得到实现。这样，人类的劳动也就有更大的部分会投人于劳动力的生产和再生产，并且这部分劳动更多地是表现为服务劳动的形态。这部分劳动的结果是生产和再生产出了劳动力这一要素。因此，只要是为生产和再生产劳动力这一要素的劳动，也都应该是属于创造价值的范围。</w:t>
      </w:r>
    </w:p>
    <w:p w14:paraId="56836C83">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根据上述的认识，在当代拓展对创造价值的劳动的认识，主要是突破把创造价值的劳动只是局限于物质生产领域，非物质生产领域中一些部门劳动者的劳动也应该纳人创造价值的范畴。具体说，在非物质生产领域中，以下几大类的劳动是创造价值的。</w:t>
      </w:r>
    </w:p>
    <w:p w14:paraId="3727C5EF">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第一，凡是能够提供文化商品（精神商品）的劳动都是创造价值的。</w:t>
      </w:r>
      <w:r>
        <w:rPr>
          <w:rFonts w:hint="default" w:ascii="Times New Roman" w:hAnsi="Times New Roman" w:eastAsia="宋体" w:cs="Times New Roman"/>
          <w:szCs w:val="21"/>
          <w:vertAlign w:val="superscript"/>
        </w:rPr>
        <w:t>②</w:t>
      </w:r>
      <w:r>
        <w:rPr>
          <w:rFonts w:hint="default" w:ascii="Times New Roman" w:hAnsi="Times New Roman" w:eastAsia="宋体" w:cs="Times New Roman"/>
          <w:szCs w:val="21"/>
        </w:rPr>
        <w:t>文化商品包括物质性的商品和非物质性的精神商品。物质性的文化商品，如书籍、报纸等。这些文化商品具有一定的物质载体， 文化劳动的结果是以物质形态出现，这些劳动能够创造价值是容易理解的。另一类文化商品是没有物质载体， 完全是以精神形态出现的，如音乐、戏剧、舞蹈、唱歌等。这些文化商品虽然没有一定的物质形态， 并且生产过程是与消费过程同一的，但它们同祥具有满足消费者需要的功能，同样是构成精神财富的一种形式，因而生产这些商品的劳动也同样创造价值。</w:t>
      </w:r>
    </w:p>
    <w:p w14:paraId="3F4948A1">
      <w:pPr>
        <w:spacing w:line="300" w:lineRule="auto"/>
        <w:ind w:firstLine="420" w:firstLineChars="200"/>
        <w:rPr>
          <w:rFonts w:hint="default" w:ascii="Times New Roman" w:hAnsi="Times New Roman" w:eastAsia="宋体" w:cs="Times New Roman"/>
          <w:szCs w:val="21"/>
          <w:vertAlign w:val="superscript"/>
        </w:rPr>
      </w:pPr>
      <w:r>
        <w:rPr>
          <w:rFonts w:hint="default" w:ascii="Times New Roman" w:hAnsi="Times New Roman" w:eastAsia="宋体" w:cs="Times New Roman"/>
          <w:szCs w:val="21"/>
        </w:rPr>
        <w:t>关于生产精神商品的劳动分类问题，马克思有过较为明确的论述“在非物质生产中，甚至当这种生产纯粹是为交换而进行，因而纯粹生产商品的时候，也可能有两种情况生产的结果是商品，是使用价值，它们具有离开生产者和消费者而独立的形式，因而能在生产和消费之间的一段时间内存在，并能在这段时间内作为可以出卖的商品而流通，如书、画以及一切脱离艺术家的艺术活动而单独存在的艺术作品。产品同生产行为不能分离，如一切表演艺术家、演说家、演员、教员、医生、牧师等等的情况。”</w:t>
      </w:r>
      <w:r>
        <w:rPr>
          <w:rFonts w:hint="default" w:ascii="Times New Roman" w:hAnsi="Times New Roman" w:eastAsia="宋体" w:cs="Times New Roman"/>
          <w:szCs w:val="21"/>
          <w:vertAlign w:val="superscript"/>
        </w:rPr>
        <w:t>③</w:t>
      </w:r>
    </w:p>
    <w:p w14:paraId="24039315">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二，凡是直接为生产性企业提供某种生产性服务的非物质生产部门的劳动都创造价值。这一部分非物质生产劳动可以看作是由生产性企业的总体劳动中分散出来的，它是社会分工日益发达的结果。例如，为创造价值的企业进行生产管理的策划和咨询、技术指导和教育培训等。尽管这部分劳动现在已经从企业中分离出来，并且它的活动也可以完全独立于企业之外，它所提供的又主要是服务。但这些劳动最终是直接服务于生产性企业的生产经营活动的， 因而可以看作是直接生产经营活动在企业外的扩展，是“总体工人”的劳动在企业外的延伸。它们作为企业生产经营劳动的一个组成部分，都属于创造价值的劳动。</w:t>
      </w:r>
    </w:p>
    <w:p w14:paraId="28C8EB50">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三，凡是与劳动力这一特殊商品的生产和再生产直接有关的非物质生产劳动都创造价值。这一部分非物质生产劳动从趋势看是逐步增加的。这是因为，劳动力素质的提高和劳动力的发展对于生产力和社会经济的发展起着决定性的作用，因此，劳动者对提高自身素质的需求会不断地增长，整个社会投人在这部分的劳动的比重也会不断地增加。这部分劳动主要是以非物质生产劳动的形式出现的，包括为提高劳动力的文化素质、身体素质，以及实现劳动者全面发展所需的各种非物质生产领域的劳动，如教育、卫生、体育、旅游等部门。这些部门中的劳动从形式上看与直接生产活动没有直接的联系，但从生产和再生产劳动力这一社会生产最重要的商品性要素来看，又与社会生产有着不可分割的关系，而且这些非物质生产劳动在很大程度也是创造了精神产品，因而同样可以把这些部门的劳动归人创造价值的劳动。</w:t>
      </w:r>
    </w:p>
    <w:p w14:paraId="262B181E">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可见，从社会发展的趋势看，人类的劳动分工越来越细，从事劳动的形式也越来越多样化，非物质生产劳动在社会总劳动中的比重将不断地提高。这一趋势是生产社会化程度不断提高和社会分工日益发达，以及人的发展和社会的全面进步对社会劳动结构变化的具体表现。在这一发展趋势下，创造价值的劳动向非物质生产劳动拓展，既符合马克思劳动价值理论的基本观点，同时也与今天发展了的实际相吻合。</w:t>
      </w:r>
    </w:p>
    <w:p w14:paraId="3ED02AF1">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诚然，把创造价值的劳动从只是局限于物质生产劳动向非物质生产劳动拓展，这并不意味着由此得出所有的非物质生产劳动都创造价值的结论。承认非物质生产领域的劳动能够创造价值是有一定条件的，不能把创造价值的劳动推广到所有的非物质生产领域。根据上述对三个方面的非物质生产劳动能够创造价值的分析实际上也就确立了判断非物质生产劳动是否创造价值的三条标准。那种单纯商品买卖，单纯金融中介和技术中介， 以及从事会计、律师、党、政、军、公、检、法之类的服务活动，尽管是社会必要和重要的劳动，但不宜视为创造价值的生产性劳动。否则，把全社会的劳动或整个第三产业都说成是生产劳动，也就否定了商品生产、商品流通与商品分配等不同性质的劳动分工。不能潜意识地认为，只有创造价值的劳动，才是重要的或必要的劳动。</w:t>
      </w:r>
    </w:p>
    <w:p w14:paraId="4CA21C9C">
      <w:pPr>
        <w:spacing w:line="300" w:lineRule="auto"/>
        <w:ind w:firstLine="420" w:firstLineChars="200"/>
        <w:rPr>
          <w:rFonts w:hint="default" w:ascii="Times New Roman" w:hAnsi="Times New Roman" w:eastAsia="宋体" w:cs="Times New Roman"/>
          <w:b/>
          <w:szCs w:val="21"/>
        </w:rPr>
      </w:pPr>
    </w:p>
    <w:p w14:paraId="4CC8354A">
      <w:pPr>
        <w:ind w:firstLine="420" w:firstLineChars="200"/>
        <w:rPr>
          <w:rFonts w:hint="default" w:ascii="Times New Roman" w:hAnsi="Times New Roman" w:eastAsia="宋体" w:cs="Times New Roman"/>
          <w:szCs w:val="21"/>
        </w:rPr>
      </w:pPr>
      <w:r>
        <w:rPr>
          <w:rFonts w:hint="default" w:ascii="Times New Roman" w:hAnsi="Times New Roman" w:eastAsia="宋体" w:cs="Times New Roman"/>
          <w:b/>
          <w:szCs w:val="21"/>
        </w:rPr>
        <w:t>注释</w:t>
      </w:r>
    </w:p>
    <w:p w14:paraId="53A31646">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fldChar w:fldCharType="begin"/>
      </w:r>
      <w:r>
        <w:rPr>
          <w:rFonts w:hint="default" w:ascii="Times New Roman" w:hAnsi="Times New Roman" w:eastAsia="宋体" w:cs="Times New Roman"/>
          <w:sz w:val="18"/>
          <w:szCs w:val="18"/>
        </w:rPr>
        <w:instrText xml:space="preserve"> eq \o\ac(○,</w:instrText>
      </w:r>
      <w:r>
        <w:rPr>
          <w:rFonts w:hint="default" w:ascii="Times New Roman" w:hAnsi="Times New Roman" w:eastAsia="宋体" w:cs="Times New Roman"/>
          <w:position w:val="3"/>
          <w:sz w:val="18"/>
          <w:szCs w:val="18"/>
        </w:rPr>
        <w:instrText xml:space="preserve">1</w:instrText>
      </w:r>
      <w:r>
        <w:rPr>
          <w:rFonts w:hint="default" w:ascii="Times New Roman" w:hAnsi="Times New Roman" w:eastAsia="宋体" w:cs="Times New Roman"/>
          <w:sz w:val="18"/>
          <w:szCs w:val="18"/>
        </w:rPr>
        <w:instrText xml:space="preserve">)</w:instrText>
      </w:r>
      <w:r>
        <w:rPr>
          <w:rFonts w:hint="default" w:ascii="Times New Roman" w:hAnsi="Times New Roman" w:eastAsia="宋体" w:cs="Times New Roman"/>
          <w:sz w:val="18"/>
          <w:szCs w:val="18"/>
        </w:rPr>
        <w:fldChar w:fldCharType="end"/>
      </w:r>
      <w:r>
        <w:rPr>
          <w:rFonts w:hint="default" w:ascii="Times New Roman" w:hAnsi="Times New Roman" w:eastAsia="宋体" w:cs="Times New Roman"/>
          <w:sz w:val="18"/>
          <w:szCs w:val="18"/>
        </w:rPr>
        <w:t>参见程恩富.生产性管理活动都是创造价值的生产劳动，社会科学，1995，7.</w:t>
      </w:r>
    </w:p>
    <w:p w14:paraId="676B3F31">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②参见程恩富.文化经济学通论，上海财经大学出版社，1999.</w:t>
      </w:r>
    </w:p>
    <w:p w14:paraId="00C8417A">
      <w:pPr>
        <w:ind w:firstLine="360" w:firstLineChars="200"/>
        <w:rPr>
          <w:rFonts w:hint="default" w:ascii="Times New Roman" w:hAnsi="Times New Roman" w:eastAsia="宋体" w:cs="Times New Roman"/>
          <w:b/>
          <w:sz w:val="18"/>
          <w:szCs w:val="18"/>
          <w:lang w:val="en-US" w:eastAsia="zh-CN"/>
        </w:rPr>
      </w:pPr>
      <w:r>
        <w:rPr>
          <w:rFonts w:hint="default" w:ascii="Times New Roman" w:hAnsi="Times New Roman" w:eastAsia="宋体" w:cs="Times New Roman"/>
          <w:sz w:val="18"/>
          <w:szCs w:val="18"/>
        </w:rPr>
        <w:t>③马克思恩格斯全集，第26卷，第1分册，442-443</w:t>
      </w:r>
      <w:r>
        <w:rPr>
          <w:rFonts w:hint="default" w:ascii="Times New Roman" w:hAnsi="Times New Roman" w:eastAsia="宋体" w:cs="Times New Roman"/>
          <w:sz w:val="18"/>
          <w:szCs w:val="18"/>
          <w:lang w:val="en-US" w:eastAsia="zh-CN"/>
        </w:rPr>
        <w:t>.</w:t>
      </w:r>
    </w:p>
    <w:p w14:paraId="608766E5">
      <w:pPr>
        <w:ind w:firstLine="420" w:firstLineChars="200"/>
        <w:rPr>
          <w:rFonts w:hint="default" w:ascii="Times New Roman" w:hAnsi="Times New Roman" w:eastAsia="宋体" w:cs="Times New Roman"/>
          <w:szCs w:val="21"/>
        </w:rPr>
      </w:pPr>
      <w:r>
        <w:rPr>
          <w:rFonts w:hint="default" w:ascii="Times New Roman" w:hAnsi="Times New Roman" w:eastAsia="宋体" w:cs="Times New Roman"/>
          <w:b/>
          <w:szCs w:val="21"/>
        </w:rPr>
        <w:t>参考文献</w:t>
      </w:r>
    </w:p>
    <w:p w14:paraId="4BFB09F0">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①程恩富等，经营者收人的博弈分析——劳动价值论的一种拓展〕经济学动态，2001，4.</w:t>
      </w:r>
    </w:p>
    <w:p w14:paraId="30A4A5F0">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②程恩富，马克思经济学与经济思维方法——与张五常先生商榷之四，学术月刊，1996，10。</w:t>
      </w:r>
    </w:p>
    <w:p w14:paraId="414BBE46">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③程恩富，经济管理活动创造价值，人民日报，2000，12，14。</w:t>
      </w:r>
    </w:p>
    <w:p w14:paraId="420FCFBD">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④吴易风，价值理论“新见解’辨析，当代经济研究，1995，4。，</w:t>
      </w:r>
    </w:p>
    <w:p w14:paraId="0549F01F">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⑤卫兴华，关于深化对劳动和劳动价值理论的认识问题。经济学动态，2000，12。</w:t>
      </w:r>
    </w:p>
    <w:p w14:paraId="72619C1B">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⑥胡钧，“挑战” 劳动价值论的新课题，高校理论战线，2000，12</w:t>
      </w:r>
    </w:p>
    <w:p w14:paraId="3C1731E4">
      <w:pPr>
        <w:ind w:firstLine="360" w:firstLineChars="200"/>
        <w:rPr>
          <w:rFonts w:hint="default" w:ascii="Times New Roman" w:hAnsi="Times New Roman" w:eastAsia="宋体" w:cs="Times New Roman"/>
          <w:sz w:val="18"/>
          <w:szCs w:val="18"/>
        </w:rPr>
      </w:pPr>
    </w:p>
    <w:p w14:paraId="7CF38C7A">
      <w:pPr>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（原载《当代经济研究》2001年第11期，第二作者为顾钰民）</w:t>
      </w:r>
    </w:p>
    <w:p w14:paraId="6A6962F6">
      <w:pPr>
        <w:ind w:firstLine="420" w:firstLineChars="200"/>
        <w:rPr>
          <w:rFonts w:hint="default" w:ascii="Times New Roman" w:hAnsi="Times New Roman" w:eastAsia="宋体" w:cs="Times New Roman"/>
          <w:szCs w:val="21"/>
        </w:rPr>
      </w:pPr>
    </w:p>
    <w:p w14:paraId="62B417D8">
      <w:pPr>
        <w:ind w:firstLine="420" w:firstLineChars="200"/>
        <w:rPr>
          <w:rFonts w:hint="default" w:ascii="Times New Roman" w:hAnsi="Times New Roman" w:eastAsia="宋体" w:cs="Times New Roman"/>
          <w:szCs w:val="21"/>
        </w:rPr>
      </w:pPr>
    </w:p>
    <w:p w14:paraId="391A3010">
      <w:pPr>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br w:type="page"/>
      </w:r>
    </w:p>
    <w:p w14:paraId="54D5209B">
      <w:pPr>
        <w:spacing w:line="400" w:lineRule="exact"/>
        <w:ind w:right="512" w:firstLine="420"/>
        <w:jc w:val="center"/>
        <w:rPr>
          <w:rFonts w:hint="default" w:ascii="Times New Roman" w:hAnsi="Times New Roman" w:cs="Times New Roman"/>
          <w:b/>
          <w:bCs/>
          <w:color w:val="231F20"/>
          <w:spacing w:val="17"/>
          <w:sz w:val="32"/>
          <w:szCs w:val="32"/>
        </w:rPr>
      </w:pPr>
      <w:r>
        <w:rPr>
          <w:rFonts w:hint="default" w:ascii="Times New Roman" w:hAnsi="Times New Roman" w:cs="Times New Roman"/>
          <w:b/>
          <w:bCs/>
          <w:color w:val="231F20"/>
          <w:spacing w:val="17"/>
          <w:sz w:val="32"/>
          <w:szCs w:val="32"/>
        </w:rPr>
        <w:t>科学认识和发展马克思的劳动价值论</w:t>
      </w:r>
    </w:p>
    <w:p w14:paraId="1ECD640C">
      <w:pPr>
        <w:spacing w:line="400" w:lineRule="exact"/>
        <w:ind w:right="512" w:firstLine="420"/>
        <w:rPr>
          <w:rFonts w:hint="default" w:ascii="Times New Roman" w:hAnsi="Times New Roman" w:cs="Times New Roman"/>
          <w:color w:val="231F20"/>
          <w:spacing w:val="17"/>
          <w:szCs w:val="21"/>
        </w:rPr>
      </w:pPr>
    </w:p>
    <w:p w14:paraId="286D3ADE">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right="0" w:firstLine="548" w:firstLineChars="200"/>
        <w:jc w:val="center"/>
        <w:textAlignment w:val="auto"/>
        <w:rPr>
          <w:rFonts w:hint="default" w:ascii="Times New Roman" w:hAnsi="Times New Roman" w:cs="Times New Roman"/>
          <w:b/>
          <w:bCs/>
          <w:sz w:val="24"/>
          <w:szCs w:val="24"/>
        </w:rPr>
      </w:pPr>
      <w:r>
        <w:rPr>
          <w:rFonts w:hint="default" w:ascii="Times New Roman" w:hAnsi="Times New Roman" w:eastAsia="黑体" w:cs="Times New Roman"/>
          <w:b w:val="0"/>
          <w:bCs w:val="0"/>
          <w:color w:val="231F20"/>
          <w:spacing w:val="17"/>
          <w:sz w:val="24"/>
          <w:szCs w:val="24"/>
        </w:rPr>
        <w:t>一</w:t>
      </w:r>
      <w:r>
        <w:rPr>
          <w:rFonts w:hint="default" w:ascii="Times New Roman" w:hAnsi="Times New Roman" w:eastAsia="黑体" w:cs="Times New Roman"/>
          <w:b w:val="0"/>
          <w:bCs w:val="0"/>
          <w:color w:val="231F20"/>
          <w:spacing w:val="10"/>
          <w:sz w:val="24"/>
          <w:szCs w:val="24"/>
        </w:rPr>
        <w:t>、马克思的劳动价值论是解</w:t>
      </w:r>
      <w:r>
        <w:rPr>
          <w:rFonts w:hint="default" w:ascii="Times New Roman" w:hAnsi="Times New Roman" w:eastAsia="黑体" w:cs="Times New Roman"/>
          <w:b w:val="0"/>
          <w:bCs w:val="0"/>
          <w:color w:val="231F20"/>
          <w:spacing w:val="24"/>
          <w:sz w:val="24"/>
          <w:szCs w:val="24"/>
        </w:rPr>
        <w:t>析现代市场经济规律和机制的</w:t>
      </w:r>
      <w:r>
        <w:rPr>
          <w:rFonts w:hint="default" w:ascii="Times New Roman" w:hAnsi="Times New Roman" w:eastAsia="黑体" w:cs="Times New Roman"/>
          <w:b w:val="0"/>
          <w:bCs w:val="0"/>
          <w:color w:val="231F20"/>
          <w:spacing w:val="23"/>
          <w:sz w:val="24"/>
          <w:szCs w:val="24"/>
        </w:rPr>
        <w:t>理</w:t>
      </w:r>
      <w:r>
        <w:rPr>
          <w:rFonts w:hint="default" w:ascii="Times New Roman" w:hAnsi="Times New Roman" w:eastAsia="黑体" w:cs="Times New Roman"/>
          <w:b w:val="0"/>
          <w:bCs w:val="0"/>
          <w:color w:val="231F20"/>
          <w:spacing w:val="6"/>
          <w:sz w:val="24"/>
          <w:szCs w:val="24"/>
        </w:rPr>
        <w:t>论基</w:t>
      </w:r>
      <w:r>
        <w:rPr>
          <w:rFonts w:hint="default" w:ascii="Times New Roman" w:hAnsi="Times New Roman" w:eastAsia="黑体" w:cs="Times New Roman"/>
          <w:b w:val="0"/>
          <w:bCs w:val="0"/>
          <w:color w:val="231F20"/>
          <w:spacing w:val="5"/>
          <w:sz w:val="24"/>
          <w:szCs w:val="24"/>
        </w:rPr>
        <w:t>石</w:t>
      </w:r>
    </w:p>
    <w:p w14:paraId="7101855B">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cs="Times New Roman"/>
          <w:szCs w:val="21"/>
        </w:rPr>
      </w:pPr>
      <w:r>
        <w:rPr>
          <w:rFonts w:hint="default" w:ascii="Times New Roman" w:hAnsi="Times New Roman" w:eastAsia="宋体" w:cs="Times New Roman"/>
          <w:color w:val="231F20"/>
          <w:spacing w:val="16"/>
          <w:szCs w:val="21"/>
        </w:rPr>
        <w:t>马</w:t>
      </w:r>
      <w:r>
        <w:rPr>
          <w:rFonts w:hint="default" w:ascii="Times New Roman" w:hAnsi="Times New Roman" w:eastAsia="宋体" w:cs="Times New Roman"/>
          <w:color w:val="231F20"/>
          <w:spacing w:val="10"/>
          <w:szCs w:val="21"/>
        </w:rPr>
        <w:t>克</w:t>
      </w:r>
      <w:r>
        <w:rPr>
          <w:rFonts w:hint="default" w:ascii="Times New Roman" w:hAnsi="Times New Roman" w:eastAsia="宋体" w:cs="Times New Roman"/>
          <w:color w:val="231F20"/>
          <w:spacing w:val="8"/>
          <w:szCs w:val="21"/>
        </w:rPr>
        <w:t>思的劳动价值论是在批判地继承资</w:t>
      </w:r>
      <w:r>
        <w:rPr>
          <w:rFonts w:hint="default" w:ascii="Times New Roman" w:hAnsi="Times New Roman" w:eastAsia="宋体" w:cs="Times New Roman"/>
          <w:color w:val="231F20"/>
          <w:spacing w:val="23"/>
          <w:szCs w:val="21"/>
        </w:rPr>
        <w:t>产</w:t>
      </w:r>
      <w:r>
        <w:rPr>
          <w:rFonts w:hint="default" w:ascii="Times New Roman" w:hAnsi="Times New Roman" w:eastAsia="宋体" w:cs="Times New Roman"/>
          <w:color w:val="231F20"/>
          <w:spacing w:val="12"/>
          <w:szCs w:val="21"/>
        </w:rPr>
        <w:t>阶级古典经济学的基础上科学地构建的，</w:t>
      </w:r>
      <w:r>
        <w:rPr>
          <w:rFonts w:hint="default" w:ascii="Times New Roman" w:hAnsi="Times New Roman" w:eastAsia="宋体" w:cs="Times New Roman"/>
          <w:color w:val="231F20"/>
          <w:spacing w:val="17"/>
          <w:szCs w:val="21"/>
        </w:rPr>
        <w:t>是</w:t>
      </w:r>
      <w:r>
        <w:rPr>
          <w:rFonts w:hint="default" w:ascii="Times New Roman" w:hAnsi="Times New Roman" w:eastAsia="宋体" w:cs="Times New Roman"/>
          <w:color w:val="231F20"/>
          <w:spacing w:val="9"/>
          <w:szCs w:val="21"/>
        </w:rPr>
        <w:t>劳动阶级的政治经济学体系的基点，体现出科学性、实践性与阶级性三者的高度</w:t>
      </w:r>
      <w:r>
        <w:rPr>
          <w:rFonts w:hint="default" w:ascii="Times New Roman" w:hAnsi="Times New Roman" w:eastAsia="宋体" w:cs="Times New Roman"/>
          <w:color w:val="231F20"/>
          <w:spacing w:val="7"/>
          <w:szCs w:val="21"/>
        </w:rPr>
        <w:t>统</w:t>
      </w:r>
      <w:r>
        <w:rPr>
          <w:rFonts w:hint="default" w:ascii="Times New Roman" w:hAnsi="Times New Roman" w:eastAsia="宋体" w:cs="Times New Roman"/>
          <w:color w:val="231F20"/>
          <w:spacing w:val="-2"/>
          <w:szCs w:val="21"/>
        </w:rPr>
        <w:t>一。劳</w:t>
      </w:r>
      <w:r>
        <w:rPr>
          <w:rFonts w:hint="default" w:ascii="Times New Roman" w:hAnsi="Times New Roman" w:eastAsia="宋体" w:cs="Times New Roman"/>
          <w:color w:val="231F20"/>
          <w:spacing w:val="-1"/>
          <w:szCs w:val="21"/>
        </w:rPr>
        <w:t>动价值论的学术地位和政治重要性，使</w:t>
      </w:r>
      <w:r>
        <w:rPr>
          <w:rFonts w:hint="default" w:ascii="Times New Roman" w:hAnsi="Times New Roman" w:eastAsia="宋体" w:cs="Times New Roman"/>
          <w:color w:val="231F20"/>
          <w:spacing w:val="14"/>
          <w:szCs w:val="21"/>
        </w:rPr>
        <w:t>得</w:t>
      </w:r>
      <w:r>
        <w:rPr>
          <w:rFonts w:hint="default" w:ascii="Times New Roman" w:hAnsi="Times New Roman" w:eastAsia="宋体" w:cs="Times New Roman"/>
          <w:color w:val="231F20"/>
          <w:spacing w:val="9"/>
          <w:szCs w:val="21"/>
        </w:rPr>
        <w:t>资产阶级经济学家和政治家一致强调，只</w:t>
      </w:r>
      <w:r>
        <w:rPr>
          <w:rFonts w:hint="default" w:ascii="Times New Roman" w:hAnsi="Times New Roman" w:eastAsia="宋体" w:cs="Times New Roman"/>
          <w:color w:val="231F20"/>
          <w:spacing w:val="12"/>
          <w:szCs w:val="21"/>
        </w:rPr>
        <w:t>有</w:t>
      </w:r>
      <w:r>
        <w:rPr>
          <w:rFonts w:hint="default" w:ascii="Times New Roman" w:hAnsi="Times New Roman" w:eastAsia="宋体" w:cs="Times New Roman"/>
          <w:color w:val="231F20"/>
          <w:spacing w:val="9"/>
          <w:szCs w:val="21"/>
        </w:rPr>
        <w:t>推翻它才能从逻辑上摧毁马克思经济学和</w:t>
      </w:r>
      <w:r>
        <w:rPr>
          <w:rFonts w:hint="default" w:ascii="Times New Roman" w:hAnsi="Times New Roman" w:eastAsia="宋体" w:cs="Times New Roman"/>
          <w:color w:val="231F20"/>
          <w:spacing w:val="8"/>
          <w:szCs w:val="21"/>
        </w:rPr>
        <w:t>共</w:t>
      </w:r>
      <w:r>
        <w:rPr>
          <w:rFonts w:hint="default" w:ascii="Times New Roman" w:hAnsi="Times New Roman" w:eastAsia="宋体" w:cs="Times New Roman"/>
          <w:color w:val="231F20"/>
          <w:spacing w:val="7"/>
          <w:szCs w:val="21"/>
        </w:rPr>
        <w:t>产党的理论大厦。</w:t>
      </w:r>
    </w:p>
    <w:p w14:paraId="1BD17028">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cs="Times New Roman"/>
          <w:szCs w:val="21"/>
        </w:rPr>
      </w:pPr>
      <w:r>
        <w:rPr>
          <w:rFonts w:hint="default" w:ascii="Times New Roman" w:hAnsi="Times New Roman" w:eastAsia="宋体" w:cs="Times New Roman"/>
          <w:color w:val="231F20"/>
          <w:spacing w:val="16"/>
          <w:szCs w:val="21"/>
        </w:rPr>
        <w:t>劳</w:t>
      </w:r>
      <w:r>
        <w:rPr>
          <w:rFonts w:hint="default" w:ascii="Times New Roman" w:hAnsi="Times New Roman" w:eastAsia="宋体" w:cs="Times New Roman"/>
          <w:color w:val="231F20"/>
          <w:spacing w:val="11"/>
          <w:szCs w:val="21"/>
        </w:rPr>
        <w:t>动</w:t>
      </w:r>
      <w:r>
        <w:rPr>
          <w:rFonts w:hint="default" w:ascii="Times New Roman" w:hAnsi="Times New Roman" w:eastAsia="宋体" w:cs="Times New Roman"/>
          <w:color w:val="231F20"/>
          <w:spacing w:val="8"/>
          <w:szCs w:val="21"/>
        </w:rPr>
        <w:t>价值论是分析资本主义市场经济的</w:t>
      </w:r>
      <w:r>
        <w:rPr>
          <w:rFonts w:hint="default" w:ascii="Times New Roman" w:hAnsi="Times New Roman" w:eastAsia="宋体" w:cs="Times New Roman"/>
          <w:color w:val="231F20"/>
          <w:spacing w:val="13"/>
          <w:szCs w:val="21"/>
        </w:rPr>
        <w:t>理</w:t>
      </w:r>
      <w:r>
        <w:rPr>
          <w:rFonts w:hint="default" w:ascii="Times New Roman" w:hAnsi="Times New Roman" w:eastAsia="宋体" w:cs="Times New Roman"/>
          <w:color w:val="231F20"/>
          <w:spacing w:val="9"/>
          <w:szCs w:val="21"/>
        </w:rPr>
        <w:t>论基石和有效方法，具有强烈的现实意</w:t>
      </w:r>
      <w:r>
        <w:rPr>
          <w:rFonts w:hint="default" w:ascii="Times New Roman" w:hAnsi="Times New Roman" w:eastAsia="宋体" w:cs="Times New Roman"/>
          <w:color w:val="231F20"/>
          <w:spacing w:val="18"/>
          <w:szCs w:val="21"/>
        </w:rPr>
        <w:t>义</w:t>
      </w:r>
      <w:r>
        <w:rPr>
          <w:rFonts w:hint="default" w:ascii="Times New Roman" w:hAnsi="Times New Roman" w:eastAsia="宋体" w:cs="Times New Roman"/>
          <w:color w:val="231F20"/>
          <w:spacing w:val="12"/>
          <w:szCs w:val="21"/>
        </w:rPr>
        <w:t>。</w:t>
      </w:r>
      <w:r>
        <w:rPr>
          <w:rFonts w:hint="default" w:ascii="Times New Roman" w:hAnsi="Times New Roman" w:eastAsia="宋体" w:cs="Times New Roman"/>
          <w:color w:val="231F20"/>
          <w:spacing w:val="9"/>
          <w:szCs w:val="21"/>
        </w:rPr>
        <w:t>当代西方经济学并没有完全科学和准确</w:t>
      </w:r>
      <w:r>
        <w:rPr>
          <w:rFonts w:hint="default" w:ascii="Times New Roman" w:hAnsi="Times New Roman" w:eastAsia="宋体" w:cs="Times New Roman"/>
          <w:color w:val="231F20"/>
          <w:spacing w:val="18"/>
          <w:szCs w:val="21"/>
        </w:rPr>
        <w:t>地</w:t>
      </w:r>
      <w:r>
        <w:rPr>
          <w:rFonts w:hint="default" w:ascii="Times New Roman" w:hAnsi="Times New Roman" w:eastAsia="宋体" w:cs="Times New Roman"/>
          <w:color w:val="231F20"/>
          <w:spacing w:val="10"/>
          <w:szCs w:val="21"/>
        </w:rPr>
        <w:t>揭</w:t>
      </w:r>
      <w:r>
        <w:rPr>
          <w:rFonts w:hint="default" w:ascii="Times New Roman" w:hAnsi="Times New Roman" w:eastAsia="宋体" w:cs="Times New Roman"/>
          <w:color w:val="231F20"/>
          <w:spacing w:val="9"/>
          <w:szCs w:val="21"/>
        </w:rPr>
        <w:t>示出资本主义市场经济的运动规律和运</w:t>
      </w:r>
      <w:r>
        <w:rPr>
          <w:rFonts w:hint="default" w:ascii="Times New Roman" w:hAnsi="Times New Roman" w:eastAsia="宋体" w:cs="Times New Roman"/>
          <w:color w:val="231F20"/>
          <w:spacing w:val="18"/>
          <w:szCs w:val="21"/>
        </w:rPr>
        <w:t>行</w:t>
      </w:r>
      <w:r>
        <w:rPr>
          <w:rFonts w:hint="default" w:ascii="Times New Roman" w:hAnsi="Times New Roman" w:eastAsia="宋体" w:cs="Times New Roman"/>
          <w:color w:val="231F20"/>
          <w:spacing w:val="9"/>
          <w:szCs w:val="21"/>
        </w:rPr>
        <w:t>机制，大多数资本主义市场经济国家仍处</w:t>
      </w:r>
      <w:r>
        <w:rPr>
          <w:rFonts w:hint="default" w:ascii="Times New Roman" w:hAnsi="Times New Roman" w:eastAsia="宋体" w:cs="Times New Roman"/>
          <w:color w:val="231F20"/>
          <w:spacing w:val="17"/>
          <w:szCs w:val="21"/>
        </w:rPr>
        <w:t>于</w:t>
      </w:r>
      <w:r>
        <w:rPr>
          <w:rFonts w:hint="default" w:ascii="Times New Roman" w:hAnsi="Times New Roman" w:eastAsia="宋体" w:cs="Times New Roman"/>
          <w:color w:val="231F20"/>
          <w:spacing w:val="9"/>
          <w:szCs w:val="21"/>
        </w:rPr>
        <w:t>不发达或极端贫困之中，少数资本主义市</w:t>
      </w:r>
      <w:r>
        <w:rPr>
          <w:rFonts w:hint="default" w:ascii="Times New Roman" w:hAnsi="Times New Roman" w:eastAsia="宋体" w:cs="Times New Roman"/>
          <w:color w:val="231F20"/>
          <w:spacing w:val="15"/>
          <w:szCs w:val="21"/>
        </w:rPr>
        <w:t>场</w:t>
      </w:r>
      <w:r>
        <w:rPr>
          <w:rFonts w:hint="default" w:ascii="Times New Roman" w:hAnsi="Times New Roman" w:eastAsia="宋体" w:cs="Times New Roman"/>
          <w:color w:val="231F20"/>
          <w:spacing w:val="9"/>
          <w:szCs w:val="21"/>
        </w:rPr>
        <w:t>经济强国也经常处于衰退、停滞或慢速增</w:t>
      </w:r>
      <w:r>
        <w:rPr>
          <w:rFonts w:hint="default" w:ascii="Times New Roman" w:hAnsi="Times New Roman" w:eastAsia="宋体" w:cs="Times New Roman"/>
          <w:color w:val="231F20"/>
          <w:spacing w:val="-2"/>
          <w:szCs w:val="21"/>
        </w:rPr>
        <w:t>长之中，</w:t>
      </w:r>
      <w:r>
        <w:rPr>
          <w:rFonts w:hint="default" w:ascii="Times New Roman" w:hAnsi="Times New Roman" w:eastAsia="宋体" w:cs="Times New Roman"/>
          <w:color w:val="231F20"/>
          <w:spacing w:val="-1"/>
          <w:szCs w:val="21"/>
        </w:rPr>
        <w:t>由此不断推出的新流派、新理论和新</w:t>
      </w:r>
      <w:r>
        <w:rPr>
          <w:rFonts w:hint="default" w:ascii="Times New Roman" w:hAnsi="Times New Roman" w:eastAsia="宋体" w:cs="Times New Roman"/>
          <w:color w:val="231F20"/>
          <w:spacing w:val="13"/>
          <w:szCs w:val="21"/>
        </w:rPr>
        <w:t>政</w:t>
      </w:r>
      <w:r>
        <w:rPr>
          <w:rFonts w:hint="default" w:ascii="Times New Roman" w:hAnsi="Times New Roman" w:eastAsia="宋体" w:cs="Times New Roman"/>
          <w:color w:val="231F20"/>
          <w:spacing w:val="9"/>
          <w:szCs w:val="21"/>
        </w:rPr>
        <w:t>策都难以根治整体绩效不高和贫富对立的</w:t>
      </w:r>
      <w:r>
        <w:rPr>
          <w:rFonts w:hint="default" w:ascii="Times New Roman" w:hAnsi="Times New Roman" w:eastAsia="宋体" w:cs="Times New Roman"/>
          <w:color w:val="231F20"/>
          <w:spacing w:val="-2"/>
          <w:szCs w:val="21"/>
        </w:rPr>
        <w:t>顽症，高新技</w:t>
      </w:r>
      <w:r>
        <w:rPr>
          <w:rFonts w:hint="default" w:ascii="Times New Roman" w:hAnsi="Times New Roman" w:eastAsia="宋体" w:cs="Times New Roman"/>
          <w:color w:val="231F20"/>
          <w:spacing w:val="-1"/>
          <w:szCs w:val="21"/>
        </w:rPr>
        <w:t>术、经济知识化与全球化不可能</w:t>
      </w:r>
      <w:r>
        <w:rPr>
          <w:rFonts w:hint="default" w:ascii="Times New Roman" w:hAnsi="Times New Roman" w:eastAsia="宋体" w:cs="Times New Roman"/>
          <w:color w:val="231F20"/>
          <w:spacing w:val="7"/>
          <w:szCs w:val="21"/>
        </w:rPr>
        <w:t>根本扭转这一态势。</w:t>
      </w:r>
    </w:p>
    <w:p w14:paraId="6E48634E">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color w:val="231F20"/>
          <w:spacing w:val="16"/>
          <w:szCs w:val="21"/>
        </w:rPr>
        <w:t>劳</w:t>
      </w:r>
      <w:r>
        <w:rPr>
          <w:rFonts w:hint="default" w:ascii="Times New Roman" w:hAnsi="Times New Roman" w:eastAsia="宋体" w:cs="Times New Roman"/>
          <w:color w:val="231F20"/>
          <w:spacing w:val="11"/>
          <w:szCs w:val="21"/>
        </w:rPr>
        <w:t>动</w:t>
      </w:r>
      <w:r>
        <w:rPr>
          <w:rFonts w:hint="default" w:ascii="Times New Roman" w:hAnsi="Times New Roman" w:eastAsia="宋体" w:cs="Times New Roman"/>
          <w:color w:val="231F20"/>
          <w:spacing w:val="8"/>
          <w:szCs w:val="21"/>
        </w:rPr>
        <w:t>价值论也是分析社会主义市场经济</w:t>
      </w:r>
      <w:r>
        <w:rPr>
          <w:rFonts w:hint="default" w:ascii="Times New Roman" w:hAnsi="Times New Roman" w:eastAsia="宋体" w:cs="Times New Roman"/>
          <w:color w:val="231F20"/>
          <w:spacing w:val="11"/>
          <w:szCs w:val="21"/>
        </w:rPr>
        <w:t>的</w:t>
      </w:r>
      <w:r>
        <w:rPr>
          <w:rFonts w:hint="default" w:ascii="Times New Roman" w:hAnsi="Times New Roman" w:eastAsia="宋体" w:cs="Times New Roman"/>
          <w:color w:val="231F20"/>
          <w:spacing w:val="8"/>
          <w:szCs w:val="21"/>
        </w:rPr>
        <w:t>理论基石和有效方法。实践中的以公有制</w:t>
      </w:r>
      <w:r>
        <w:rPr>
          <w:rFonts w:hint="default" w:ascii="Times New Roman" w:hAnsi="Times New Roman" w:eastAsia="宋体" w:cs="Times New Roman"/>
          <w:color w:val="231F20"/>
          <w:spacing w:val="10"/>
          <w:szCs w:val="21"/>
        </w:rPr>
        <w:t>为</w:t>
      </w:r>
      <w:r>
        <w:rPr>
          <w:rFonts w:hint="default" w:ascii="Times New Roman" w:hAnsi="Times New Roman" w:eastAsia="宋体" w:cs="Times New Roman"/>
          <w:color w:val="231F20"/>
          <w:spacing w:val="9"/>
          <w:szCs w:val="21"/>
        </w:rPr>
        <w:t>主体的多种类产权结构，以按劳分配为主</w:t>
      </w:r>
      <w:r>
        <w:rPr>
          <w:rFonts w:hint="default" w:ascii="Times New Roman" w:hAnsi="Times New Roman" w:eastAsia="宋体" w:cs="Times New Roman"/>
          <w:color w:val="231F20"/>
          <w:spacing w:val="17"/>
          <w:szCs w:val="21"/>
        </w:rPr>
        <w:t>体</w:t>
      </w:r>
      <w:r>
        <w:rPr>
          <w:rFonts w:hint="default" w:ascii="Times New Roman" w:hAnsi="Times New Roman" w:eastAsia="宋体" w:cs="Times New Roman"/>
          <w:color w:val="231F20"/>
          <w:spacing w:val="9"/>
          <w:szCs w:val="21"/>
        </w:rPr>
        <w:t>的多形式分配结构，都可以运用发展的马</w:t>
      </w:r>
      <w:r>
        <w:rPr>
          <w:rFonts w:hint="default" w:ascii="Times New Roman" w:hAnsi="Times New Roman" w:eastAsia="宋体" w:cs="Times New Roman"/>
          <w:color w:val="231F20"/>
          <w:spacing w:val="16"/>
          <w:szCs w:val="21"/>
        </w:rPr>
        <w:t>克</w:t>
      </w:r>
      <w:r>
        <w:rPr>
          <w:rFonts w:hint="default" w:ascii="Times New Roman" w:hAnsi="Times New Roman" w:eastAsia="宋体" w:cs="Times New Roman"/>
          <w:color w:val="231F20"/>
          <w:spacing w:val="9"/>
          <w:szCs w:val="21"/>
        </w:rPr>
        <w:t>思主义劳动价值论来解析，从而从思想与</w:t>
      </w:r>
      <w:r>
        <w:rPr>
          <w:rFonts w:hint="default" w:ascii="Times New Roman" w:hAnsi="Times New Roman" w:eastAsia="宋体" w:cs="Times New Roman"/>
          <w:color w:val="231F20"/>
          <w:spacing w:val="14"/>
          <w:szCs w:val="21"/>
        </w:rPr>
        <w:t>操</w:t>
      </w:r>
      <w:r>
        <w:rPr>
          <w:rFonts w:hint="default" w:ascii="Times New Roman" w:hAnsi="Times New Roman" w:eastAsia="宋体" w:cs="Times New Roman"/>
          <w:color w:val="231F20"/>
          <w:spacing w:val="9"/>
          <w:szCs w:val="21"/>
        </w:rPr>
        <w:t>作层面促进公有主体型和劳动主体型的社</w:t>
      </w:r>
      <w:r>
        <w:rPr>
          <w:rFonts w:hint="default" w:ascii="Times New Roman" w:hAnsi="Times New Roman" w:eastAsia="宋体" w:cs="Times New Roman"/>
          <w:color w:val="231F20"/>
          <w:spacing w:val="8"/>
          <w:szCs w:val="21"/>
        </w:rPr>
        <w:t>会主义市场经济的良性发展</w:t>
      </w:r>
      <w:r>
        <w:rPr>
          <w:rFonts w:hint="default" w:ascii="Times New Roman" w:hAnsi="Times New Roman" w:eastAsia="宋体" w:cs="Times New Roman"/>
          <w:color w:val="231F20"/>
          <w:spacing w:val="6"/>
          <w:szCs w:val="21"/>
        </w:rPr>
        <w:t>。</w:t>
      </w:r>
    </w:p>
    <w:p w14:paraId="1EB70006">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right="0"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二、应消除对马克思劳动价值论的各种误解</w:t>
      </w:r>
    </w:p>
    <w:p w14:paraId="3D3AA4C8">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eastAsia="宋体" w:cs="Times New Roman"/>
          <w:color w:val="231F20"/>
          <w:spacing w:val="16"/>
          <w:szCs w:val="21"/>
        </w:rPr>
      </w:pPr>
      <w:r>
        <w:rPr>
          <w:rFonts w:hint="default" w:ascii="Times New Roman" w:hAnsi="Times New Roman" w:eastAsia="宋体" w:cs="Times New Roman"/>
          <w:color w:val="231F20"/>
          <w:spacing w:val="16"/>
          <w:szCs w:val="21"/>
        </w:rPr>
        <w:t>首先，要消除对马克思劳动价值论的种种曲解。例如：以为劳动创造价值是单指体力劳动；以为劳动价值论产生于小生产时代；以为创造价值的劳动不包括科技劳动和管理劳动；以为劳动价值论不承认有形或无形的生产资料创造财富或使用价值的巨大作用；以为劳动价值论仅适用于实物交换的场合和一国内部的交换。</w:t>
      </w:r>
    </w:p>
    <w:p w14:paraId="4E8DB613">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eastAsia="宋体" w:cs="Times New Roman"/>
          <w:color w:val="231F20"/>
          <w:spacing w:val="16"/>
          <w:szCs w:val="21"/>
        </w:rPr>
      </w:pPr>
      <w:r>
        <w:rPr>
          <w:rFonts w:hint="default" w:ascii="Times New Roman" w:hAnsi="Times New Roman" w:eastAsia="宋体" w:cs="Times New Roman"/>
          <w:color w:val="231F20"/>
          <w:spacing w:val="16"/>
          <w:szCs w:val="21"/>
        </w:rPr>
        <w:t>其次，要批评倒退到近代资产阶级经济学上去的种种误点。比如：“社会劳动价值论”认为物化劳动也创造价值，实质上是生产资料创造价值的翻版；“新的劳动价值一元论”认为非劳动的生产要素，或者说劳动的土地生产力和资本生产力也创造价值，不过是用马克思语言来表达的19世纪西方庸俗的“三要素论”；“三元价值论”认为劳动量不能归结为劳动时间，土地、资本、劳动三者共同创造价值，则是庸俗经济学典型的“三要素论”；“多元价值论”认为包括土地、劳动、资本和企业经营在内的各种生产和经济要素，甚至其他一些非经济的要素都能创造价值，也只是扩展的、更为错误的一种“泛价值论”。尽管这些新理论都试图发展马克思的劳动价值论，甚至直接用马克思经济学的术语来表述，但此类发展和创新是不科学的，它会导致马克思经济学的解体，事实上又有意或无意地陷入西方庸俗经济学说的窠臼之中。</w:t>
      </w:r>
    </w:p>
    <w:p w14:paraId="5102C903">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right="0"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三、确立“新的活劳动价值一元论”</w:t>
      </w:r>
    </w:p>
    <w:p w14:paraId="3E23D615">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eastAsia="宋体" w:cs="Times New Roman"/>
          <w:color w:val="231F20"/>
          <w:spacing w:val="16"/>
          <w:szCs w:val="21"/>
        </w:rPr>
      </w:pPr>
      <w:r>
        <w:rPr>
          <w:rFonts w:hint="default" w:ascii="Times New Roman" w:hAnsi="Times New Roman" w:eastAsia="宋体" w:cs="Times New Roman"/>
          <w:color w:val="231F20"/>
          <w:spacing w:val="16"/>
          <w:szCs w:val="21"/>
        </w:rPr>
        <w:t>由于19世纪文化产业和服务产业不发达，当时的西方经济学，也包括马克思经济学研究的出发点是物质生产，也由于马克思不可能穷尽一切真理和理论细节，因而我们必须面对新时代、新问题和新挑战，在继续批驳各种非马克思主义价值论的同时，重点推进和科学发展马克思的劳动价值论。</w:t>
      </w:r>
    </w:p>
    <w:p w14:paraId="5048A9B0">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eastAsia="宋体" w:cs="Times New Roman"/>
          <w:color w:val="231F20"/>
          <w:spacing w:val="16"/>
          <w:szCs w:val="21"/>
        </w:rPr>
      </w:pPr>
      <w:r>
        <w:rPr>
          <w:rFonts w:hint="default" w:ascii="Times New Roman" w:hAnsi="Times New Roman" w:eastAsia="宋体" w:cs="Times New Roman"/>
          <w:color w:val="231F20"/>
          <w:spacing w:val="16"/>
          <w:szCs w:val="21"/>
        </w:rPr>
        <w:t>我既不赞成把创造价值的生产劳动局限在物质生产领域的传统观点，也不赞成把创造价值的生产劳动扩展到纯粹买卖、纯粹中介之类的经济领域，甚至延伸到党政军和公检法之类非经济活动领域的时髦观点，而主张凡是直接生产物质商品和文化商品&amp;精神商品'，以及直接为劳动力商品的生产和再生产服务的劳动，其中包括自然人和法人实体的内部管理劳动和科技劳动，都属于创造价值的劳动或生产劳动。这一“新的劳动价值一元论”不仅没有否定马克思的基本思想和方法，而且恰恰是依据马克思研究物质生产领域价值创造的思维方法，并把它扩展到一切社会生产部门后进行科学分析的必然结论。</w:t>
      </w:r>
    </w:p>
    <w:p w14:paraId="71D7F4B8">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eastAsia="宋体" w:cs="Times New Roman"/>
          <w:color w:val="231F20"/>
          <w:spacing w:val="16"/>
          <w:szCs w:val="21"/>
        </w:rPr>
      </w:pPr>
      <w:r>
        <w:rPr>
          <w:rFonts w:hint="default" w:ascii="Times New Roman" w:hAnsi="Times New Roman" w:eastAsia="宋体" w:cs="Times New Roman"/>
          <w:color w:val="231F20"/>
          <w:spacing w:val="16"/>
          <w:szCs w:val="21"/>
        </w:rPr>
        <w:t>其一，凡是生产有形和无形物质商品的劳动，都是创造价值的生产劳动。如为市场提供物质商品的农业、工业、建筑业、运输业、仓储业、物质技术业，以及流通等领域中的相关劳动。</w:t>
      </w:r>
    </w:p>
    <w:p w14:paraId="293BD0CB">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eastAsia="宋体" w:cs="Times New Roman"/>
          <w:color w:val="231F20"/>
          <w:spacing w:val="16"/>
          <w:szCs w:val="21"/>
        </w:rPr>
      </w:pPr>
      <w:r>
        <w:rPr>
          <w:rFonts w:hint="default" w:ascii="Times New Roman" w:hAnsi="Times New Roman" w:eastAsia="宋体" w:cs="Times New Roman"/>
          <w:color w:val="231F20"/>
          <w:spacing w:val="16"/>
          <w:szCs w:val="21"/>
        </w:rPr>
        <w:t>其二，凡是生产有形和无形文化&amp;精神'商品的劳动，都是创造价值的生产劳动。如为市场提供文化&amp;精神'商品的教育、社会科学、自然科学、文化技术、文学艺术、新闻出版、广播影视、图书馆、博物馆、文化展览馆、园林和旅游等相关劳动，其中包括讲课、表演、解说和导游等无形商品或服务劳动。</w:t>
      </w:r>
    </w:p>
    <w:p w14:paraId="38B3E9A0">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eastAsia="宋体" w:cs="Times New Roman"/>
          <w:color w:val="231F20"/>
          <w:spacing w:val="16"/>
          <w:szCs w:val="21"/>
        </w:rPr>
      </w:pPr>
      <w:r>
        <w:rPr>
          <w:rFonts w:hint="default" w:ascii="Times New Roman" w:hAnsi="Times New Roman" w:eastAsia="宋体" w:cs="Times New Roman"/>
          <w:color w:val="231F20"/>
          <w:spacing w:val="16"/>
          <w:szCs w:val="21"/>
        </w:rPr>
        <w:t>其三，凡是生产劳动力商品的劳动，都是创造价值的生产劳动。有关劳动力这一特殊商品的生产和再生产的部门有：教育、医疗卫生、体育运动、美发美容等等。这些部门的许多服务劳动能直接生产和再生产出劳动力这个特殊商品&amp;顺便说明，在市场经济体制下，劳动力必然进入市场进行交换，从而既具有使用价值，又具有交换价值和价值。劳动力成为商品，货币既可以转化为私人资本，也可以转化为公有资本。在公有制范围内，劳动者既是自身劳动力的所有者，又是公有资本的所有者或主人，这与私有制还是有本质区别的'。</w:t>
      </w:r>
    </w:p>
    <w:p w14:paraId="78582225">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eastAsia="宋体" w:cs="Times New Roman"/>
          <w:color w:val="231F20"/>
          <w:spacing w:val="16"/>
          <w:szCs w:val="21"/>
        </w:rPr>
      </w:pPr>
      <w:r>
        <w:rPr>
          <w:rFonts w:hint="default" w:ascii="Times New Roman" w:hAnsi="Times New Roman" w:eastAsia="宋体" w:cs="Times New Roman"/>
          <w:color w:val="231F20"/>
          <w:spacing w:val="16"/>
          <w:szCs w:val="21"/>
        </w:rPr>
        <w:t>最后，社会各类劳动体现了社会分工，有的属于创造价值的生产劳动，有的属于实现价值或价值形态转换的流通劳动，有的属于分割现存价值的分配劳动。我们不能自觉或不自觉地认为，只有创造价值的生产劳动才是重要的、甚至是高人一等的，因而把一切服务劳动乃至社会上所有的有效劳动和有益劳动，统统说成是创造价值的生产劳动，这就有意或无意地混淆了现实经济生活中不同的劳动分工和活动性质。我们更不能照搬西方经济学的谬论，认为一切同国内生产总值相关的活动都是生产劳动，这就有意或无意地否定了价值创造与价值分割、国民收入的初次分配与再分配，以及不同类型的劳动在本质上的差异。</w:t>
      </w:r>
    </w:p>
    <w:p w14:paraId="3972F5F5">
      <w:pPr>
        <w:keepNext w:val="0"/>
        <w:keepLines w:val="0"/>
        <w:pageBreakBefore w:val="0"/>
        <w:widowControl w:val="0"/>
        <w:kinsoku/>
        <w:wordWrap/>
        <w:overflowPunct/>
        <w:topLinePunct w:val="0"/>
        <w:autoSpaceDE/>
        <w:autoSpaceDN/>
        <w:bidi w:val="0"/>
        <w:adjustRightInd/>
        <w:snapToGrid/>
        <w:spacing w:line="400" w:lineRule="exact"/>
        <w:ind w:right="0" w:firstLine="484" w:firstLineChars="200"/>
        <w:textAlignment w:val="auto"/>
        <w:rPr>
          <w:rFonts w:hint="default" w:ascii="Times New Roman" w:hAnsi="Times New Roman" w:eastAsia="宋体" w:cs="Times New Roman"/>
          <w:color w:val="231F20"/>
          <w:spacing w:val="16"/>
          <w:szCs w:val="21"/>
        </w:rPr>
      </w:pPr>
    </w:p>
    <w:p w14:paraId="75FE69B8">
      <w:pPr>
        <w:rPr>
          <w:rFonts w:hint="default" w:ascii="Times New Roman" w:hAnsi="Times New Roman" w:eastAsia="宋体" w:cs="Times New Roman"/>
          <w:szCs w:val="24"/>
        </w:rPr>
      </w:pPr>
      <w:r>
        <w:rPr>
          <w:rFonts w:hint="default" w:ascii="Times New Roman" w:hAnsi="Times New Roman" w:eastAsia="宋体" w:cs="Times New Roman"/>
          <w:szCs w:val="24"/>
        </w:rPr>
        <w:t>（原文载《</w:t>
      </w:r>
      <w:r>
        <w:rPr>
          <w:rFonts w:hint="default" w:ascii="Times New Roman" w:hAnsi="Times New Roman" w:eastAsia="宋体" w:cs="Times New Roman"/>
        </w:rPr>
        <w:t>高校理论战线</w:t>
      </w:r>
      <w:r>
        <w:rPr>
          <w:rFonts w:hint="default" w:ascii="Times New Roman" w:hAnsi="Times New Roman" w:eastAsia="宋体" w:cs="Times New Roman"/>
          <w:szCs w:val="24"/>
        </w:rPr>
        <w:t>》，第9期。）</w:t>
      </w:r>
      <w:r>
        <w:rPr>
          <w:rFonts w:hint="default" w:ascii="Times New Roman" w:hAnsi="Times New Roman" w:eastAsia="宋体" w:cs="Times New Roman"/>
          <w:szCs w:val="24"/>
        </w:rPr>
        <w:br w:type="page"/>
      </w:r>
    </w:p>
    <w:p w14:paraId="5683E548">
      <w:pPr>
        <w:jc w:val="center"/>
        <w:outlineLvl w:val="1"/>
        <w:rPr>
          <w:rFonts w:hint="default" w:ascii="Times New Roman" w:hAnsi="Times New Roman" w:eastAsia="黑体" w:cs="Times New Roman"/>
          <w:bCs/>
          <w:sz w:val="44"/>
          <w:szCs w:val="44"/>
        </w:rPr>
      </w:pPr>
      <w:bookmarkStart w:id="95" w:name="_Toc4703"/>
      <w:bookmarkStart w:id="96" w:name="_Toc24415"/>
      <w:bookmarkStart w:id="97" w:name="_Toc1108809824"/>
      <w:bookmarkStart w:id="98" w:name="_Toc639014290"/>
      <w:r>
        <w:rPr>
          <w:rFonts w:hint="default" w:ascii="Times New Roman" w:hAnsi="Times New Roman" w:eastAsia="黑体" w:cs="Times New Roman"/>
          <w:bCs/>
          <w:sz w:val="44"/>
          <w:szCs w:val="44"/>
        </w:rPr>
        <w:t>党的性质与“三个代表”科学内涵</w:t>
      </w:r>
      <w:bookmarkEnd w:id="95"/>
      <w:bookmarkEnd w:id="96"/>
      <w:bookmarkEnd w:id="97"/>
      <w:bookmarkEnd w:id="98"/>
    </w:p>
    <w:p w14:paraId="67E7096E">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 xml:space="preserve">在马克思主义理论指导下建立起来的中国共产党，已经走过了八十年的光辉历程。中国革命和建设的实践证明，没有中国共产党的正确领导，就没有团结、稳定和繁荣的社会主义新中国。但是，在改革开放条件下，我们党正面临着国内外新形势的双重挑战。从国际方面看，世界政治多极化导致国际共产主义运动处于低潮，世界经济全球化导致资本主义经济关系普遍性和价值取向功利性。从国内方面看，在社会主义市场经济体制下，出现了以公有制为主体的所有制多元化，以按劳分配为主体的分配制度多元化，以马克思主义理论为指导的文化观念多元化等新情况、新问题，我们党应当依据什么标准来建设中国共产党，这是摆在全党面前的一个十分严肃的重大课题。        </w:t>
      </w:r>
    </w:p>
    <w:p w14:paraId="2651712E">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江泽民同志站在党和国家前途命运的高度，提出了“只要我们党始终成为中国先进社会生产力的发展要求、中国先进文化的前进方向、中国最广大人民的根本利益的忠实代表，我们党就能永远立于不败之地，永远得到全国各族人民的衷心拥护并带领人民不断前进”</w:t>
      </w:r>
      <w:r>
        <w:rPr>
          <w:rFonts w:hint="default" w:ascii="Times New Roman" w:hAnsi="Times New Roman" w:eastAsia="宋体" w:cs="Times New Roman"/>
          <w:szCs w:val="21"/>
          <w:vertAlign w:val="superscript"/>
        </w:rPr>
        <w:t>①</w:t>
      </w:r>
      <w:r>
        <w:rPr>
          <w:rFonts w:hint="default" w:ascii="Times New Roman" w:hAnsi="Times New Roman" w:eastAsia="宋体" w:cs="Times New Roman"/>
          <w:szCs w:val="21"/>
        </w:rPr>
        <w:t>的重要思想，而党的十六大和新党章又再次确认了“三个代表”的指导地位，这就从根本上回答了在新世纪里，要把我们党建设成为什么样的党和怎样建设党的重大问题，丰富和发展了马克思主义建党学说。关于“三个代表”的重要论述，不仅是对建党80年来历史经验的科学总结，而且对于面向新世纪全面推进党的建设，领导全国各族人民不断取得建设有中国特色社会主义事业新成就，开创社会主义现代化建设新局面，都具有重要的现实意义。</w:t>
      </w:r>
    </w:p>
    <w:p w14:paraId="02BE80C0">
      <w:pPr>
        <w:pStyle w:val="13"/>
        <w:spacing w:line="400" w:lineRule="exact"/>
        <w:ind w:firstLine="420"/>
        <w:rPr>
          <w:rFonts w:hint="default" w:ascii="Times New Roman" w:hAnsi="Times New Roman" w:cs="Times New Roman"/>
          <w:sz w:val="21"/>
          <w:szCs w:val="21"/>
        </w:rPr>
      </w:pPr>
      <w:r>
        <w:rPr>
          <w:rFonts w:hint="default" w:ascii="Times New Roman" w:hAnsi="Times New Roman" w:cs="Times New Roman"/>
          <w:sz w:val="21"/>
          <w:szCs w:val="21"/>
        </w:rPr>
        <w:t>本文认为，关于“三个代表”的重要论述具有丰富的科学内涵，这是由党的性质所决定的，同时，“三个代表”又反映了党的性质并体现党在先进性、统一性和实践性三个方面的内在关联。</w:t>
      </w:r>
    </w:p>
    <w:p w14:paraId="3146EDBE">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一、党的性质与“三个代表”的先进性</w:t>
      </w:r>
    </w:p>
    <w:p w14:paraId="1A17C8FF">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中国共产党是中国工人阶级的先锋队，同时是中国人民和中华民族的先锋队。只有属于工人阶级的先锋队，才同时又是全国人民和民族的先锋队。党的这一阶级性质决定了“三个代表”的先进性，而“三个代表”又反映和体现了党的性质。这里，从理论与现实的结合上作一扼要阐述。</w:t>
      </w:r>
    </w:p>
    <w:p w14:paraId="40A1E3D1">
      <w:pPr>
        <w:pStyle w:val="5"/>
        <w:spacing w:after="0" w:line="400" w:lineRule="exact"/>
        <w:ind w:left="0" w:leftChars="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第一，党的工人阶级先锋队性质，决定了要通过建立和代表社会主义先进生产关系来代表先进社会生产力的发展要求，这个代表的内涵同时又反映和体现了党的工人阶级先锋队性质。</w:t>
      </w:r>
    </w:p>
    <w:p w14:paraId="3CFF295C">
      <w:pPr>
        <w:pStyle w:val="5"/>
        <w:spacing w:after="0" w:line="400" w:lineRule="exact"/>
        <w:ind w:left="0" w:leftChars="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我们党深刻地认识到，社会生产力是生产中最活跃、最革命的因素，是推动人类社会发展与进步的决定力量，但它必须在与之相适应的生产关系及其体制下才能得到持续快速的大发展。在新民主主义革命时期，我们党领导人民推翻帝国主义、封建主义和官僚资本主义三座大山的统治，打碎了严重束缚生产力发展的桎梏，实现了民族独立和人民解放，为建立新制度、推动中国社会生产力的大发展扫除了障碍，铺平了发展道路。在新中国建设的初期，在社会主义经济制度下我们党领导各族人民为促进中国社会生产力的发展作了积极探索，取得了重大成就，走完了西方资本主义国家上百年走过的路程，在文化落后、生产力水平很低的基础上初步建立起较完整的工业化体系和国民经济体系，这是先进生产力发展的历史见证。在改革开放时期，我们党总结历史经验，正确认识中国国情，制定了以经济建设为中心，坚持社会主义性质的改革开放，又使社会生产力有了新的大发展，这正是我们党在新形势下代表先进社会生产力发展要求的客观事实。</w:t>
      </w:r>
    </w:p>
    <w:p w14:paraId="4C8C21DD">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在社会主义初级阶段，我们党提出了建立以公有制为主体的多种所有制形式共同发展的市场经济体制，为促进非公有经济的发展创造了条件，但这并不意味着在搞全盘私有化，中国仍然坚持公有制经济占主体地位。有些人以美国微软公司为例，推断出只有私有经济才能代表先进生产力。其实，这种观点是极其错误的。我们不可否认，美国实业家比尔. 盖茨的公司确实创造了巨大的生产力，但这种生产力主要是该公司的劳动创造的，而非私人资本自动创造；西方不少国有企业和中国包钢等许多公有企业同样创造出了巨大的生产力，而且按可比因素和绩效来看，整体上社会主义国家生产力的发展要比资本主义国家快；况且，微软公司等现代私有制企业的发展往往同垄断和不平等竞争即阻碍其他企业发展有关。</w:t>
      </w:r>
    </w:p>
    <w:p w14:paraId="76632E4C">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第二，党的工人阶级先锋队性质，决定了我们党必须代表先进文化的前进方向，这个代表的内涵同时又反映和体现了党的工人阶级先锋队性质。</w:t>
      </w:r>
    </w:p>
    <w:p w14:paraId="420B6DEE">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先进文化的前进方向应有完整的内涵：（1）从文化价值观和表现形式上看，它包括：一是必须始终坚持以马列主义、毛泽东思想、邓小平理论为指导；二是必须以爱国主义、集体主义、社会主义的思想道德为核心；三是必须继承、发扬中华民族优秀文化和革命文化传统，积极吸取和借鉴国外一切的优秀文化成果；四是必须面向现代化、面向世界、面向未来，充分体现时代精神；五是必须发扬民族的、大众的社会主义文化。（2）从文化设施上看，应是不断更新的先进文化设备等文化生产资料，这是宣传先进文化所必需的硬件设施，要逐步体现世界一流技术水平。（3）从文化管理体制上看，应逐步建立和完善先进的文化运作管理体制，这是由文化生产力和文化价值观的先进性所决定的，是推动社会主义先进文化向着正确方向发展的制度保证。上述三方面的内涵应集中体现在“文化产品”上，因为文化价值观和表现形式、文化设施和技术以及文化管理体制等种种先进性或落后性，最终均将以有形或无形的文化产品出现在社会上。</w:t>
      </w:r>
    </w:p>
    <w:p w14:paraId="5A0B93E8">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有人认为美国好莱坞的主要影视作品能够代表先进文化的前进方向，这是不准确的。好莱坞的不少影视作品虽然艺术性很高，制作技术也很先进，但它的文化管理体制有严重弊端，完全以追求微观经济效益为目的，影视作品往往缺乏优秀和先进的思想性，其结果必然导致黄、赌、毒、抢劫、杀人等不良情节和格调低下的内容充斥其主要作品，客观上不利于社会进步和人类思想的升华，甚至促成社会犯罪率居高不下。美国一些有识之士也确认此点。因此，这种格调低下或腐朽落后的文化不可能代表人类先进文化的前进方向。社会主义先进文化应当是思想性、艺术性和技术性的高度统一，成为凝聚和激励全国各族人民团结向上的重要力量，并有益于群众的身心健康。</w:t>
      </w:r>
    </w:p>
    <w:p w14:paraId="4E68F043">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第三，党的工人阶级先锋队性质，决定了我们党代表全国各族人民的根本利益，这种代表的内涵同时又反映和体现党的工人阶级先锋队性质。</w:t>
      </w:r>
    </w:p>
    <w:p w14:paraId="7069A8B9">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 xml:space="preserve">马克思在评价当时国际共产主义运动的状况时指出：“过去的一切运动都是少数人的或者为少数人谋利益的运动。无产阶级的运动是绝大多数人的、为绝大多数人谋利益的独立的运动。” </w:t>
      </w:r>
      <w:r>
        <w:rPr>
          <w:rFonts w:hint="default" w:ascii="Times New Roman" w:hAnsi="Times New Roman" w:eastAsia="宋体" w:cs="Times New Roman"/>
          <w:szCs w:val="21"/>
          <w:vertAlign w:val="superscript"/>
        </w:rPr>
        <w:t>②</w:t>
      </w:r>
      <w:r>
        <w:rPr>
          <w:rFonts w:hint="default" w:ascii="Times New Roman" w:hAnsi="Times New Roman" w:eastAsia="宋体" w:cs="Times New Roman"/>
          <w:szCs w:val="21"/>
        </w:rPr>
        <w:t xml:space="preserve"> “共产党人同其他无产阶级政党不同的地方只是：一方面，在各国无产者的斗争中，共产党人强调和坚持整个无产阶级的不分民族的共同利益；另一方面，在无产阶级和资产阶级的斗争所经历的各个发展阶段上，共产党始终代表整个运动的利益。”</w:t>
      </w:r>
      <w:r>
        <w:rPr>
          <w:rFonts w:hint="default" w:ascii="Times New Roman" w:hAnsi="Times New Roman" w:eastAsia="宋体" w:cs="Times New Roman"/>
          <w:szCs w:val="21"/>
          <w:vertAlign w:val="superscript"/>
        </w:rPr>
        <w:t>③</w:t>
      </w:r>
      <w:r>
        <w:rPr>
          <w:rFonts w:hint="default" w:ascii="Times New Roman" w:hAnsi="Times New Roman" w:eastAsia="宋体" w:cs="Times New Roman"/>
          <w:szCs w:val="21"/>
        </w:rPr>
        <w:t>我们党的三代领导人毛泽东、邓小平、江泽民都反复强调这个思想，并在长期的革命斗争中实践了这种思想。如在新民主主义革命时期，我们党代表广大人民大众的根本利益，制定了反对帝国主义、封建主义和官僚资本主义的革命纲领，经过艰苦卓绝的斗争，推翻了“三座大山”，结束了在中国的反动统治历史。在社会主义革命和建设的初期，我们党代表广大人民群众的愿望和要求，彻底改变了中国长期处于落后挨打的被动局面，开始了社会主义革命和建设的伟大实践，完成了生产资料的社会主义改造，建立了社会主义的基本制度，形成了比较完整的工业体系和国民经济体系，从而确立了中国在国际政治舞台上的应有地位和作用。在改革开放时期，我们党又整合广大各族人民的具体利益与根本利益、局部利益与整体利益以及短期利益与长期利益，制定了党在社会主义初级阶段的基本路线、方针与政策，初步建立了充满活力的社会主义市场经济体制，最大限度地保护全国各族人民的生存权和发展权，切实保障了最广大人民群众的合法权益。实践证明，建党80年的历程，就是共产党人坚持代表并实践为广大人民群众的根本利益而奋斗的光辉历程。</w:t>
      </w:r>
    </w:p>
    <w:p w14:paraId="7BDD3DCD">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有的论著认为，中国共产党所代表的最广大人民的根本利益，应当包括私营企业主的根本经济利益和政治利益。其实，这是模糊的看法。中国共产党在抗日战争、新民主主义革命和社会主义革命以及改革开放等不同时期实行不同的方针和政策，涉及劳动阶级、地主阶级、小资产阶级、民族资产阶级等阶级和阶层的利益，甚至主张保护地主阶级和资产阶级的某些利益，但这同忠实代表和积极捍卫此类剥削阶级的根本经济利益和政治利益是有联系的两回事。按照马克思经济学的原理，大私有制的生产目的和根本经济利益在于追求归私人所有的剩余劳动，尽管在客观上可能也会给社会带来某些益处。在社会主义初级阶段，中国共产党及其执政的政府要依法保护中外私人经济的合法权益，但并不代表中外私营业主的根本经济利益和根本政治利益，因为执政的性质和阶级属性仍然是以工农联盟为基础的人民民主专政。</w:t>
      </w:r>
    </w:p>
    <w:p w14:paraId="6C59AB81">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二、党的性质决定“三个代表”的统一性</w:t>
      </w:r>
    </w:p>
    <w:p w14:paraId="05761EEC">
      <w:pPr>
        <w:pStyle w:val="7"/>
        <w:spacing w:after="0" w:line="400" w:lineRule="exact"/>
        <w:ind w:left="0" w:leftChars="0"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中国共产党是由中国工人阶级的先进分子所组成，它客观上决定了“三个代表”之间的辩证统一关系。如果割裂了它们之间的内在关系，便会影响“三个代表”的整体理解。</w:t>
      </w:r>
    </w:p>
    <w:p w14:paraId="3B3D583B">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1.日趋先进和强大的社会生产力是中国共产党执政的物质基础。</w:t>
      </w:r>
    </w:p>
    <w:p w14:paraId="23DF138D">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中国共产党是在一个经济落后和人口众多的大国进行革命并执政的。革命的目的就是为了解放生产力和发展生产力。革命的物质条件和经济基础在于旧中国的生产关系与日渐社会化的大生产发生冲突。革命成功表明其物质条件和经济基础是具备的，革命是及时的，而非“过早”或“早产”。也就是说，包括中国在内的大多数国家共产党革命的物质基础可以是十分落后或比较落后的社会生产力，这合乎马克思主义关于落后国家也可以搞革命的基本思想。</w:t>
      </w:r>
    </w:p>
    <w:p w14:paraId="6C0E676D">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但是，落后国家革命成功后，一方面出于尽快改善人民生活的需要，一方面出于积极参与国际竞争和体现制度优势的需要，必须迅速发展社会生产力，改变自己初始执政的薄弱物质基础。也就是说，共产党不能长期在落后的物质基础上稳固地执政。邓小平所说的“贫穷不是社会主义”已表明了这个理论精神。</w:t>
      </w:r>
    </w:p>
    <w:p w14:paraId="2A27A2A0">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诚然，社会生产力的日趋先进和强大是一个动态过程，不同的国情和基础有不同的进展和体现。只要共产党执政后坚持不懈地抓好科教兴国，充分发挥社会主义制度的潜能和优势，就一定能够建立起日益接近并最终超过一切资本主义国家的物质基础。</w:t>
      </w:r>
    </w:p>
    <w:p w14:paraId="75248740">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2.不断先进和繁荣的文化是中国共产党执政的精神基础。</w:t>
      </w:r>
    </w:p>
    <w:p w14:paraId="6EE17BAC">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先进文化是我们党带领全国各族人民进行社会主义现代化建设，代表先进社会生产力发展要求的精神和思想基础。我们党之所以与别的政党不同，就在于她是以马克思主义为指导思想。江泽民同志在“三个代表”理论中，把发展社会主义先进文化作为党建工作的重要内容，这就是说，坚持以经济建设为中心，不只是追求物质文明，放弃精神文明，而是两个文明一起抓，促进物质文明与精神文明协调发展。国内外经济发展事实证明，缺乏与物质文明相适应的精神文明，持续实现先进生产力的发展是不可能的。在社会主义现代化建设中，不但经济建设要搞上去，而且要有先进文化为之服务，如科学的理论指导、高尚的思想道德、较高的科学文化素质、和谐的社会秩序和良好的社会风气等。如果没有这些先进文化来引导，经济建设就有可能误入歧途。</w:t>
      </w:r>
    </w:p>
    <w:p w14:paraId="0FBB8B82">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在我国市场经济条件下，物质文明建设有了较快发展，但精神文明建设严重疲软，影响了社会主义先进文化建设的发展。突出表现在：一是宣扬马克思主义“过时论”，主张用西方理论取代马克思主义在中国的指导地位，实质上已经危及到中国改革开放的正确方向。二是宣扬封建迷信来取代先进文化的科学性，这是由市场经济的负面性引起的。由于市场经济是以追求物质利益最大化为目标，在一定程度上影响着社会主义现代化建设所需要的共同理想、价值观念、道德观念，西方腐朽落后的文化思想就会乘虚而入，正在影响着做人的准则，也直接影响着社会稳定、政治稳定和人心稳定。正如邓小平指出：“这几年生产是上去了，但是资本主义和封建主义的流毒还没有减少到可能的最低限度，甚至解放后绝迹已久的一些坏事也在复活。我们再不下大的决心迅速改变这种情况，社会主义的优越性怎么能全面地发挥出来？我们又怎么能充分有效地教育我们的人民和后代？不加强精神文明的建设，物质文明的建设也要受破坏，走弯路。光靠物质条件，我们的革命和建设都不可能胜利。”</w:t>
      </w:r>
      <w:r>
        <w:rPr>
          <w:rFonts w:hint="default" w:ascii="Times New Roman" w:hAnsi="Times New Roman" w:eastAsia="宋体" w:cs="Times New Roman"/>
          <w:szCs w:val="21"/>
          <w:vertAlign w:val="superscript"/>
        </w:rPr>
        <w:t>④</w:t>
      </w:r>
      <w:r>
        <w:rPr>
          <w:rFonts w:hint="default" w:ascii="Times New Roman" w:hAnsi="Times New Roman" w:eastAsia="宋体" w:cs="Times New Roman"/>
          <w:szCs w:val="21"/>
        </w:rPr>
        <w:t>因此，只有加强社会主义先进文化建设，才能为先进社会生产力的发展提供精神支持，从而保障广大人民的根本利益。</w:t>
      </w:r>
    </w:p>
    <w:p w14:paraId="78C8972E">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3.持续扩大和和谐的人民利益是中国共产党执政的群众基础。</w:t>
      </w:r>
    </w:p>
    <w:p w14:paraId="5036B78D">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国以民为本，党以民为基。如果没有人民群众的拥护和支持，我们党就会失去存在的基础。人民群众评判我们党是不是代表他们的根本利益，最主要的标准就是看党的路线、方针和政策对老百姓是否最有利。</w:t>
      </w:r>
    </w:p>
    <w:p w14:paraId="69876BB7">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改革开放以来，我们党提出以按劳分配为主体、多种分配形式并存的分配原则，这是在经济上保证最广大人民根本利益的制度因素，任何私有化途径及其分配方案均无法从根本上实现人民的共同富裕和整体利益。有人认为工人阶级过去是领导阶级，现在工人却大量下岗，共产党还能代表工人阶级的利益吗？应当承认，在经济结构调整中，可能会出现为了长远利益而影响眼前利益的情况，但调整的目的是为了减少重复建设，使国民经济走上良性循环的发展道路，最终还是有利于最广大人民的根本利益，包括下岗职工的利益。同时也要看到，我们搞的是社会主义市场经济，对市场经济自身存在的弱点和消极因素，包括社会收入分配不公等问题，一定要通过国家宏观调控和发挥公有制主体的作用来加以解决，真正成为最广大人民根本利益的忠实代表。</w:t>
      </w:r>
    </w:p>
    <w:p w14:paraId="4D50B0B7">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由此可见，“三个代表”是辩证统一的科学体系，其中先进社会生产力是社会发展进步的决定力量，成为我们执政党的物质基础；先进文化对经济和政治发展起着巨大作用，成为执政党的精神和思想基础；而广大人民是创造生产力和先进文化的主体力量，成为执政党的群众基础。</w:t>
      </w:r>
    </w:p>
    <w:p w14:paraId="7CDBDF18">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三、党的性质决定“三个代表”的实践性</w:t>
      </w:r>
    </w:p>
    <w:p w14:paraId="4A111C42">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工人阶级及其先锋队是一个积极改造社会和世界的实践主体。党的这一性质决定了“三个代表”的科学内涵必须根植于实践，在实践中运用，在实践中发展。这是全党同志必须共同努力的常规性任务。</w:t>
      </w:r>
    </w:p>
    <w:p w14:paraId="71440A1A">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一，实践代表先进社会生产力的发展要求，就要坚持党的基本路线、基本纲领、基本方针和政策，依照现阶段我国社会生产力与生产关系、经济基础与上层建筑矛盾运动的内在规律要求，为推进先进生产力的发展奋力拼搏。</w:t>
      </w:r>
    </w:p>
    <w:p w14:paraId="7C7C5CBD">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 xml:space="preserve">当前，一是要继续坚持以经济建设为中心，始终把发展社会生产力作为根本任务放在首要地位。改革开放以来，我国生产力和整个经济建设发展是比较快的。在新世纪里，更应当有一个较快的发展，才能保证实现“十五大”确定的新世纪发展目标，才能更有条件解决经济和社会生活中遇到的突出矛盾和问题，才能发展社会生产力和增强国家的综合国力，才能把代表先进生产力发展要求的任务放在心上，抓在手中。二是要切实有效实施科教兴国战略，搞好人才资源的开发和利用。在日益激烈的国际竞争中，很大程度上取决于科技实力的竞争，说到底是拥有的人才质量和数量的竞争。谁能抓住机遇，大力实施科教兴国战略，谁就能抓好人才资源的开发和利用。这是我们党代表中国先进社会生产力发展要求所必须重视和努力完成的一项战略性任务。三是注重正确处理改革、稳定与发展的关系，为生产力的发展创造良好的社会政治环境。中国要发展，就必须保持安定团结的社会政治环境。要维护和保持社会政治稳定，就是正确认识和处理新形势下的人民内部矛盾，调动和保护好人民群众的积极性，实现和保障好人民群众的利益。四是真正坚持全心全意依靠工人阶级，充分激发广大职工的主动性和创造性精神。工人阶级是我们党的阶级基础和国家的领导阶级，是社会先进生产力和生产关系的代表，是推动我国改革开放和现代化建设、维护社会政治稳定的中坚力量。我们党作为中国工人阶级先锋队，要始终代表先进社会生产力的发展要求，必须坚持全心全意依靠工人阶级这个根本方针。这些年来，我国工人阶级队伍迅速扩大，文化水平和劳动技能普遍提高，不断增长的知识分子已成为工人阶级的一部分，新一代工人大量成长起来，工人阶级内部构成及就业状况、劳动方式等也跟过去有了很大不同。这些变化，是工人阶级在新形势下发展、壮大、进步和更有力量的标志。党的组织和党员干部，在新形势下要保持清醒的头脑，全心全意依靠工人阶级不动摇，旗帜鲜明地带头尊重广大职工的主人翁地位，维护职工参与企业民主管理与监督的权利，依法保障职工的一切合法利益，坚决防止和克服官僚主义、形式主义和各种轻视职工、损害职工权益的不良行为，从而更好地带领广大职工去努力发展先进的社会生产力。                                                                  </w:t>
      </w:r>
    </w:p>
    <w:p w14:paraId="0AB576C2">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第二，实践代表先进文化的前进方向，就要全党同志增强政治意识、大局意识、责任意识，以及增强忧患意识、阵地意识、创新意识和表率意识，不断地开创建设有中国特色社会主义文化事业的新局面。</w:t>
      </w:r>
    </w:p>
    <w:p w14:paraId="2A73B35E">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为此，目前应强调：（1）要坚持和巩固马克思主义指导地位，反对指导思想上的多元化。马克思主义是从根本上揭示了自然、社会和经济发展规律的科学理论体系，是我们认识世界、改造世界的强大思想武器，是先进文化的核心和灵魂。在当前非常复杂的历史条件下，要保持有中国特色社会主义文化的先进性，就不能削弱马克思主义的指导地位，必须坚定不移地把马克思主义的立场、观点、方法融入到各种形式的精神文化产品和思想道德教育之中，从而用马克思主义理论牢固占领社会主义思想文化阵地，坚决抵制各种错误思想和腐朽落后文化的侵蚀。（2）要抓紧建立与社会主义市场经济相适应的思想道德体系。思想道德建设是社会主义文化建设的核心内容，建立与发展社会主义市场经济相适应的思想道德体系，是当前建设和发展先进文化的一项紧迫而又重要的任务。一是要加强理想信念教育。围绕树立正确的理想信念，着力加强党的基本理论、基本路线、基本纲领教育，加强爱国主义、集体主义、社会主义和艰苦创业精神教育，宣传和普及科学知识、科学思想、科学方法、科学精神，引导广大干部群众正确认识社会发展规律，正确认识国家的前途和命运，从而进一步坚定对马克思主义的信仰，坚定对社会主义的信念，增强对改革开放和现代化建设的信心，增强对党和政府的信任。二是要加强思想道德教育。全党同志在全体人民中要带头提倡以为人民服务为核心、以集体主义为原则的社会主义思想道德教育，反对和抵制拜金主义、享乐主义和个人主义倾向；要引导人们正确处理国家、集体和个人三者关系，牢固树立把国家与人民利益放在首位而又充分尊重公民个人合法权益的社会主义利益观。（3）要继承、借鉴和弘扬人类一切优秀文化成果，立足本国实际不断开拓创新。我们正面临着一个知识创新、文化创新、科技创新的时代，其中最重要的是文化创新。如果是一种缺乏创新意识的文化，就难以代表先进文化的前进方向，难以不断满足人民群众日益增长的健康的精神文化需要。</w:t>
      </w:r>
    </w:p>
    <w:p w14:paraId="4E341A8C">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第三，实践代表最广大人民根本利益，就要在新的形势下坚持从严治党的方针，坚决防止执政党脱离人民的各种倾向。</w:t>
      </w:r>
    </w:p>
    <w:p w14:paraId="2C775DE8">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依据现有党情和国情，一是要坚定不移地与党中央保持高度一致，从政治上保证党成为最广大人民根本利益的代表。这就要求全党尤其是各级领导干部都要不折不扣地贯彻执行党的路线方针和政策，服从全党、全国的大局，特别要强调遵守政治纪律。二是要坚持和健全民主集中制原则，从组织上保证党成为最广大人民根本利益的代表。这就要求我们党必须提高领导水平和执政水平，摆正个人与组织的关系，自觉接受党内外的监督，使权力更好地为维护和实现人民的根本利益服务。三是加强党风廉政建设，从作风上保证党成为最广大人民根本利益的代表。这就要求我们全党同志必须增强责任感和使命感，自觉保持党的先进性和纯洁性的形象，这样才能使我们党始终成为最广大人民根本利益的忠实代表。四是要坚持以按劳分配为主体多种分配形式并存的社会主义分配制度。坚持这种制度是抑制经济利益分配不公、实现共同富裕的根本保证。这并不是否定非公有经济主体的利益，只要是合法的都应受到国家法律的保护，但要打击非法活动及其利益，抑制某些不平等现象。</w:t>
      </w:r>
    </w:p>
    <w:p w14:paraId="103364B1">
      <w:pPr>
        <w:spacing w:line="400" w:lineRule="exact"/>
        <w:ind w:firstLine="420" w:firstLineChars="200"/>
        <w:rPr>
          <w:rFonts w:hint="default" w:ascii="Times New Roman" w:hAnsi="Times New Roman" w:eastAsia="宋体" w:cs="Times New Roman"/>
          <w:b/>
          <w:szCs w:val="21"/>
        </w:rPr>
      </w:pPr>
      <w:r>
        <w:rPr>
          <w:rFonts w:hint="default" w:ascii="Times New Roman" w:hAnsi="Times New Roman" w:eastAsia="宋体" w:cs="Times New Roman"/>
          <w:b/>
          <w:szCs w:val="21"/>
        </w:rPr>
        <w:t>注释：</w:t>
      </w:r>
    </w:p>
    <w:p w14:paraId="1F77E79F">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①江泽民：《文汇报》2000年3月10日。</w:t>
      </w:r>
    </w:p>
    <w:p w14:paraId="2FA3E847">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②马克思：《共产党宣言》，人民出版社1964年版，第35页。</w:t>
      </w:r>
    </w:p>
    <w:p w14:paraId="21CB6C31">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③马克思：《共产党宣言》，人民出版社1964年版，第37页。</w:t>
      </w:r>
    </w:p>
    <w:p w14:paraId="5BF7B079">
      <w:pPr>
        <w:spacing w:line="400" w:lineRule="exact"/>
        <w:ind w:firstLine="420" w:firstLineChars="200"/>
        <w:rPr>
          <w:rFonts w:hint="default" w:ascii="Times New Roman" w:hAnsi="Times New Roman" w:eastAsia="宋体" w:cs="Times New Roman"/>
          <w:b/>
          <w:szCs w:val="21"/>
        </w:rPr>
      </w:pPr>
      <w:r>
        <w:rPr>
          <w:rFonts w:hint="default" w:ascii="Times New Roman" w:hAnsi="Times New Roman" w:eastAsia="宋体" w:cs="Times New Roman"/>
          <w:szCs w:val="21"/>
        </w:rPr>
        <w:t>④ 邓小平：《邓小平文选》第3卷，人民出版社1993年版，第144页。</w:t>
      </w:r>
      <w:r>
        <w:rPr>
          <w:rFonts w:hint="default" w:ascii="Times New Roman" w:hAnsi="Times New Roman" w:eastAsia="宋体" w:cs="Times New Roman"/>
          <w:b/>
          <w:szCs w:val="21"/>
        </w:rPr>
        <w:t xml:space="preserve"> </w:t>
      </w:r>
    </w:p>
    <w:p w14:paraId="597DA414">
      <w:pPr>
        <w:spacing w:line="400" w:lineRule="exact"/>
        <w:ind w:firstLine="420" w:firstLineChars="200"/>
        <w:rPr>
          <w:rFonts w:hint="default" w:ascii="Times New Roman" w:hAnsi="Times New Roman" w:eastAsia="宋体" w:cs="Times New Roman"/>
          <w:b/>
          <w:szCs w:val="21"/>
        </w:rPr>
      </w:pPr>
      <w:r>
        <w:rPr>
          <w:rFonts w:hint="default" w:ascii="Times New Roman" w:hAnsi="Times New Roman" w:eastAsia="宋体" w:cs="Times New Roman"/>
          <w:b/>
          <w:szCs w:val="21"/>
        </w:rPr>
        <w:t>参考文献：</w:t>
      </w:r>
    </w:p>
    <w:p w14:paraId="2D85EA6B">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①江泽民：《全面建设小康社会，开创中国特色社会主义事业新局面》。</w:t>
      </w:r>
    </w:p>
    <w:p w14:paraId="59D98145">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②《党的十六大通过的新党章》。</w:t>
      </w:r>
    </w:p>
    <w:p w14:paraId="007880CD">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③程恩富等主编：《中俄经济学家论中俄经济改革》，经济科学出版社2000年版。</w:t>
      </w:r>
    </w:p>
    <w:p w14:paraId="66034F22">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④程恩富主编：《现代政治经济学》上海财经大学出版社2000年版。</w:t>
      </w:r>
    </w:p>
    <w:p w14:paraId="0E668DB3">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⑤陈克敏等《面向新世纪的思考》，上海人民出版社2001年版。</w:t>
      </w:r>
    </w:p>
    <w:p w14:paraId="71F30157">
      <w:pPr>
        <w:spacing w:line="400" w:lineRule="exact"/>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（原载中国上海市委宣传部编《“三个代表”与新世纪的中国共产党》，上海人民出版社2001年9月版，第182—193页）</w:t>
      </w:r>
    </w:p>
    <w:p w14:paraId="4CDA2832">
      <w:pPr>
        <w:rPr>
          <w:rFonts w:hint="default" w:ascii="Times New Roman" w:hAnsi="Times New Roman" w:eastAsia="宋体" w:cs="Times New Roman"/>
          <w:szCs w:val="21"/>
        </w:rPr>
      </w:pPr>
      <w:r>
        <w:rPr>
          <w:rFonts w:hint="default" w:ascii="Times New Roman" w:hAnsi="Times New Roman" w:eastAsia="宋体" w:cs="Times New Roman"/>
          <w:szCs w:val="21"/>
        </w:rPr>
        <w:br w:type="page"/>
      </w:r>
    </w:p>
    <w:p w14:paraId="63FA8D07">
      <w:pPr>
        <w:spacing w:before="156" w:beforeLines="50" w:after="156" w:afterLines="50" w:line="300" w:lineRule="auto"/>
        <w:ind w:firstLine="640" w:firstLineChars="200"/>
        <w:jc w:val="center"/>
        <w:outlineLvl w:val="1"/>
        <w:rPr>
          <w:rFonts w:hint="default" w:ascii="Times New Roman" w:hAnsi="Times New Roman" w:eastAsia="黑体" w:cs="Times New Roman"/>
          <w:sz w:val="32"/>
          <w:szCs w:val="32"/>
        </w:rPr>
      </w:pPr>
      <w:bookmarkStart w:id="99" w:name="_Toc17114"/>
      <w:bookmarkStart w:id="100" w:name="_Toc27824"/>
      <w:bookmarkStart w:id="101" w:name="_Toc2051106949"/>
      <w:bookmarkStart w:id="102" w:name="_Toc347453383"/>
      <w:r>
        <w:rPr>
          <w:rFonts w:hint="default" w:ascii="Times New Roman" w:hAnsi="Times New Roman" w:eastAsia="黑体" w:cs="Times New Roman"/>
          <w:sz w:val="32"/>
          <w:szCs w:val="32"/>
        </w:rPr>
        <w:t>教育大发展与经济全球化</w:t>
      </w:r>
      <w:bookmarkEnd w:id="99"/>
      <w:bookmarkEnd w:id="100"/>
      <w:bookmarkEnd w:id="101"/>
      <w:bookmarkEnd w:id="102"/>
    </w:p>
    <w:p w14:paraId="321C0E0C">
      <w:pPr>
        <w:pStyle w:val="4"/>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lang w:val="en-US" w:eastAsia="zh-CN"/>
        </w:rPr>
      </w:pPr>
      <w:r>
        <w:rPr>
          <w:rFonts w:hint="eastAsia" w:ascii="黑体" w:hAnsi="黑体" w:eastAsia="黑体" w:cs="黑体"/>
          <w:lang w:val="en-US" w:eastAsia="zh-CN"/>
        </w:rPr>
        <w:t>摘  要：</w:t>
      </w:r>
      <w:r>
        <w:rPr>
          <w:rFonts w:hint="eastAsia" w:ascii="宋体" w:hAnsi="宋体" w:eastAsia="宋体" w:cs="宋体"/>
          <w:lang w:val="en-US" w:eastAsia="zh-CN"/>
        </w:rPr>
        <w:t>全球化时代最主要的生产要素是知识,而创造知识的源泉在于教育。经济全球化为落后 国家提供了现代化的契机,发展中国家只有教育大发展,才能经受得住经济全球化浪潮的冲击,跻身时代的前列。我国作为最大的发展中国家,长期以来,由于忽视教育,形成教育短缺。在经济全球化的浪潮下,我国只有加大教育的投入力度,才能把握现代化契机,解决经济发展中的一系列根本问题。</w:t>
      </w:r>
    </w:p>
    <w:p w14:paraId="5CC8A453">
      <w:pPr>
        <w:pStyle w:val="4"/>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lang w:val="en-US" w:eastAsia="zh-CN"/>
        </w:rPr>
      </w:pPr>
      <w:r>
        <w:rPr>
          <w:rFonts w:hint="eastAsia" w:ascii="黑体" w:hAnsi="黑体" w:eastAsia="黑体" w:cs="黑体"/>
          <w:lang w:val="en-US" w:eastAsia="zh-CN"/>
        </w:rPr>
        <w:t>关键词：</w:t>
      </w:r>
      <w:r>
        <w:rPr>
          <w:rFonts w:hint="default"/>
          <w:lang w:val="en-US" w:eastAsia="zh-CN"/>
        </w:rPr>
        <w:t>经济全球化；教育；现代化</w:t>
      </w:r>
    </w:p>
    <w:p w14:paraId="67CECCD2">
      <w:pPr>
        <w:pStyle w:val="4"/>
        <w:keepNext w:val="0"/>
        <w:keepLines w:val="0"/>
        <w:pageBreakBefore w:val="0"/>
        <w:widowControl w:val="0"/>
        <w:kinsoku/>
        <w:wordWrap/>
        <w:overflowPunct/>
        <w:topLinePunct w:val="0"/>
        <w:autoSpaceDE/>
        <w:autoSpaceDN/>
        <w:bidi w:val="0"/>
        <w:adjustRightInd/>
        <w:snapToGrid/>
        <w:spacing w:line="400" w:lineRule="exact"/>
        <w:ind w:left="0" w:firstLine="420" w:firstLineChars="200"/>
        <w:textAlignment w:val="auto"/>
        <w:rPr>
          <w:rFonts w:hint="default"/>
          <w:lang w:val="en-US" w:eastAsia="zh-CN"/>
        </w:rPr>
      </w:pPr>
      <w:r>
        <w:rPr>
          <w:rFonts w:hint="default"/>
          <w:lang w:val="en-US" w:eastAsia="zh-CN"/>
        </w:rPr>
        <w:t>中图分类号：G40—051      文献标识码：A</w:t>
      </w:r>
    </w:p>
    <w:p w14:paraId="6CAE5E06">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color w:val="444444"/>
          <w:spacing w:val="0"/>
          <w:w w:val="100"/>
          <w:position w:val="0"/>
          <w:sz w:val="21"/>
          <w:szCs w:val="21"/>
        </w:rPr>
        <w:t>当今全球化时代与传统时代的不同之处,就在于经济增长的最主要的生产要素发生了转变,从传统的不可再生的资源即以土地等为主,日益转变为以可再生的资源即以知识为主。从知识的创造源来看,教育在今后的世界竞争中具有不可替代的重要作用。</w:t>
      </w:r>
    </w:p>
    <w:p w14:paraId="24C6484B">
      <w:pPr>
        <w:pStyle w:val="4"/>
        <w:keepNext w:val="0"/>
        <w:keepLines w:val="0"/>
        <w:pageBreakBefore w:val="0"/>
        <w:widowControl/>
        <w:kinsoku w:val="0"/>
        <w:wordWrap/>
        <w:overflowPunct/>
        <w:topLinePunct w:val="0"/>
        <w:autoSpaceDE w:val="0"/>
        <w:autoSpaceDN w:val="0"/>
        <w:bidi w:val="0"/>
        <w:adjustRightInd w:val="0"/>
        <w:snapToGrid w:val="0"/>
        <w:spacing w:before="0" w:beforeLines="50" w:after="0" w:afterLines="50" w:line="400" w:lineRule="exact"/>
        <w:ind w:left="0" w:right="0" w:firstLine="480" w:firstLineChars="200"/>
        <w:jc w:val="center"/>
        <w:textAlignment w:val="baseline"/>
        <w:rPr>
          <w:rFonts w:hint="eastAsia" w:ascii="黑体" w:hAnsi="黑体" w:eastAsia="黑体" w:cs="黑体"/>
          <w:color w:val="444444"/>
          <w:spacing w:val="0"/>
          <w:w w:val="100"/>
          <w:position w:val="0"/>
          <w:sz w:val="24"/>
          <w:szCs w:val="24"/>
        </w:rPr>
      </w:pPr>
      <w:r>
        <w:rPr>
          <w:rFonts w:hint="eastAsia" w:ascii="黑体" w:hAnsi="黑体" w:eastAsia="黑体" w:cs="黑体"/>
          <w:color w:val="444444"/>
          <w:spacing w:val="0"/>
          <w:w w:val="100"/>
          <w:position w:val="0"/>
          <w:sz w:val="24"/>
          <w:szCs w:val="24"/>
        </w:rPr>
        <w:t>迅速提高教育水平为加快现代化提供了契机</w:t>
      </w:r>
    </w:p>
    <w:p w14:paraId="29B196D9">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b/>
          <w:bCs/>
          <w:color w:val="444444"/>
          <w:spacing w:val="0"/>
          <w:w w:val="100"/>
          <w:position w:val="0"/>
          <w:sz w:val="21"/>
          <w:szCs w:val="21"/>
        </w:rPr>
        <w:t>（一）提高教育水平有助于把握时机,成为新一轮产业转移浪潮的获利者。</w:t>
      </w:r>
    </w:p>
    <w:p w14:paraId="35092360">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color w:val="444444"/>
          <w:spacing w:val="0"/>
          <w:w w:val="100"/>
          <w:position w:val="0"/>
          <w:sz w:val="21"/>
          <w:szCs w:val="21"/>
        </w:rPr>
        <w:t>现代化“调整理论”将资本主义积累方式划分为三个阶段：第二次世界大战前的外延性积累体制即泰勒主义的积累方式,战后的内涵性积累体制即福特主义积累方式和第二次石油危机之后发展起来的后福特主义积累方式。泰勒主义积累方式的主要思想有三点：1</w:t>
      </w:r>
      <w:r>
        <w:rPr>
          <w:rFonts w:hint="eastAsia" w:ascii="Times New Roman" w:hAnsi="Times New Roman" w:cs="Times New Roman"/>
          <w:color w:val="444444"/>
          <w:spacing w:val="0"/>
          <w:w w:val="100"/>
          <w:position w:val="0"/>
          <w:sz w:val="21"/>
          <w:szCs w:val="21"/>
          <w:lang w:val="en-US" w:eastAsia="zh-CN"/>
        </w:rPr>
        <w:t>.</w:t>
      </w:r>
      <w:r>
        <w:rPr>
          <w:rFonts w:hint="default" w:ascii="Times New Roman" w:hAnsi="Times New Roman" w:eastAsia="宋体" w:cs="Times New Roman"/>
          <w:color w:val="444444"/>
          <w:spacing w:val="0"/>
          <w:w w:val="100"/>
          <w:position w:val="0"/>
          <w:sz w:val="21"/>
          <w:szCs w:val="21"/>
        </w:rPr>
        <w:t>使工业革命时期机械技术与低薪劳动相结合,以生产线为基础进行商品生产；2</w:t>
      </w:r>
      <w:r>
        <w:rPr>
          <w:rFonts w:hint="eastAsia" w:ascii="Times New Roman" w:hAnsi="Times New Roman" w:cs="Times New Roman"/>
          <w:color w:val="444444"/>
          <w:spacing w:val="0"/>
          <w:w w:val="100"/>
          <w:position w:val="0"/>
          <w:sz w:val="21"/>
          <w:szCs w:val="21"/>
          <w:lang w:val="en-US" w:eastAsia="zh-CN"/>
        </w:rPr>
        <w:t>.</w:t>
      </w:r>
      <w:r>
        <w:rPr>
          <w:rFonts w:hint="default" w:ascii="Times New Roman" w:hAnsi="Times New Roman" w:eastAsia="宋体" w:cs="Times New Roman"/>
          <w:color w:val="444444"/>
          <w:spacing w:val="0"/>
          <w:w w:val="100"/>
          <w:position w:val="0"/>
          <w:sz w:val="21"/>
          <w:szCs w:val="21"/>
        </w:rPr>
        <w:t>生产的商品行销海外,所获得的利润再投资于国内的机械工业；3</w:t>
      </w:r>
      <w:r>
        <w:rPr>
          <w:rFonts w:hint="eastAsia" w:ascii="Times New Roman" w:hAnsi="Times New Roman" w:cs="Times New Roman"/>
          <w:color w:val="444444"/>
          <w:spacing w:val="0"/>
          <w:w w:val="100"/>
          <w:position w:val="0"/>
          <w:sz w:val="21"/>
          <w:szCs w:val="21"/>
          <w:lang w:val="en-US" w:eastAsia="zh-CN"/>
        </w:rPr>
        <w:t>.</w:t>
      </w:r>
      <w:r>
        <w:rPr>
          <w:rFonts w:hint="default" w:ascii="Times New Roman" w:hAnsi="Times New Roman" w:eastAsia="宋体" w:cs="Times New Roman"/>
          <w:color w:val="444444"/>
          <w:spacing w:val="0"/>
          <w:w w:val="100"/>
          <w:position w:val="0"/>
          <w:sz w:val="21"/>
          <w:szCs w:val="21"/>
        </w:rPr>
        <w:t>为了获取低价谷物和价格低廉的原料,需要将边缘地区殖民化,并向之倾销商品。</w:t>
      </w:r>
    </w:p>
    <w:p w14:paraId="44A989B7">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color w:val="444444"/>
          <w:spacing w:val="0"/>
          <w:w w:val="100"/>
          <w:position w:val="0"/>
          <w:sz w:val="21"/>
          <w:szCs w:val="21"/>
        </w:rPr>
        <w:t>战后的福特主义积累方式的基础是高新技术和高薪劳动相结合的大量生产、大量消费的生产线,实际上是“泰勒主义＋机械化”。它的特征有四点：1</w:t>
      </w:r>
      <w:r>
        <w:rPr>
          <w:rFonts w:hint="eastAsia" w:ascii="Times New Roman" w:hAnsi="Times New Roman" w:cs="Times New Roman"/>
          <w:color w:val="444444"/>
          <w:spacing w:val="0"/>
          <w:w w:val="100"/>
          <w:position w:val="0"/>
          <w:sz w:val="21"/>
          <w:szCs w:val="21"/>
          <w:lang w:val="en-US" w:eastAsia="zh-CN"/>
        </w:rPr>
        <w:t>.</w:t>
      </w:r>
      <w:r>
        <w:rPr>
          <w:rFonts w:hint="default" w:ascii="Times New Roman" w:hAnsi="Times New Roman" w:eastAsia="宋体" w:cs="Times New Roman"/>
          <w:color w:val="444444"/>
          <w:spacing w:val="0"/>
          <w:w w:val="100"/>
          <w:position w:val="0"/>
          <w:sz w:val="21"/>
          <w:szCs w:val="21"/>
        </w:rPr>
        <w:t>构想和实际操作相分离；2</w:t>
      </w:r>
      <w:r>
        <w:rPr>
          <w:rFonts w:hint="eastAsia" w:ascii="Times New Roman" w:hAnsi="Times New Roman" w:cs="Times New Roman"/>
          <w:color w:val="444444"/>
          <w:spacing w:val="0"/>
          <w:w w:val="100"/>
          <w:position w:val="0"/>
          <w:sz w:val="21"/>
          <w:szCs w:val="21"/>
          <w:lang w:eastAsia="zh-CN"/>
        </w:rPr>
        <w:t>.</w:t>
      </w:r>
      <w:r>
        <w:rPr>
          <w:rFonts w:hint="default" w:ascii="Times New Roman" w:hAnsi="Times New Roman" w:eastAsia="宋体" w:cs="Times New Roman"/>
          <w:color w:val="444444"/>
          <w:spacing w:val="0"/>
          <w:w w:val="100"/>
          <w:position w:val="0"/>
          <w:sz w:val="21"/>
          <w:szCs w:val="21"/>
        </w:rPr>
        <w:t>实际操作琐碎化、单纯化,即进行强制的反复劳动；3</w:t>
      </w:r>
      <w:r>
        <w:rPr>
          <w:rFonts w:hint="eastAsia" w:ascii="Times New Roman" w:hAnsi="Times New Roman" w:cs="Times New Roman"/>
          <w:color w:val="444444"/>
          <w:spacing w:val="0"/>
          <w:w w:val="100"/>
          <w:position w:val="0"/>
          <w:sz w:val="21"/>
          <w:szCs w:val="21"/>
          <w:lang w:eastAsia="zh-CN"/>
        </w:rPr>
        <w:t>.</w:t>
      </w:r>
      <w:r>
        <w:rPr>
          <w:rFonts w:hint="default" w:ascii="Times New Roman" w:hAnsi="Times New Roman" w:eastAsia="宋体" w:cs="Times New Roman"/>
          <w:color w:val="444444"/>
          <w:spacing w:val="0"/>
          <w:w w:val="100"/>
          <w:position w:val="0"/>
          <w:sz w:val="21"/>
          <w:szCs w:val="21"/>
        </w:rPr>
        <w:t>形成金字塔式的劳动组织结构,流水线上的工人以得到生产率指标工资（即根据生产率而制定的工资标准）为交换和</w:t>
      </w:r>
      <w:r>
        <w:rPr>
          <w:rFonts w:hint="default" w:ascii="Times New Roman" w:hAnsi="Times New Roman" w:eastAsia="宋体" w:cs="Times New Roman"/>
          <w:spacing w:val="0"/>
          <w:w w:val="100"/>
          <w:position w:val="0"/>
          <w:sz w:val="21"/>
          <w:szCs w:val="21"/>
        </w:rPr>
        <w:t>补偿,从而使生产率得到提高；4</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国际贸易主要在发达国家之间进行,周边国家仍是原料和资源的重要来源,但作为销路上的重要性相对下降。</w:t>
      </w:r>
    </w:p>
    <w:p w14:paraId="7CB77CF1">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随着以美国为首的内涵式积累体制在资源和环境问题上的碰壁,后福特主义的积累方式应运而生。这种积累体制的特征是：其中心地区仍然实行信息革命的控制技术与高薪劳动相结合,向周边地区实行移植控制技术与低薪劳动相结合。它实际上是一种中心地区福特主义的积累体制与边缘地区原始的泰勒主义相结合的资本主义积累方式。在后福特主义的发展过程中,最重要的革新在于技术的转换,从现代科技革命向信息革命转换,即从资源浪费型的巨型技术向节省资源型的微型电子计算机技术转换。这种转换使得三种水准的活动</w:t>
      </w:r>
      <w:r>
        <w:rPr>
          <w:rFonts w:hint="default" w:ascii="Times New Roman" w:hAnsi="Times New Roman" w:eastAsia="宋体" w:cs="Times New Roman"/>
          <w:b/>
          <w:bCs/>
          <w:spacing w:val="0"/>
          <w:w w:val="100"/>
          <w:position w:val="0"/>
          <w:sz w:val="21"/>
          <w:szCs w:val="21"/>
        </w:rPr>
        <w:t>—</w:t>
      </w:r>
      <w:r>
        <w:rPr>
          <w:rFonts w:hint="default" w:ascii="Times New Roman" w:hAnsi="Times New Roman" w:eastAsia="宋体" w:cs="Times New Roman"/>
          <w:spacing w:val="0"/>
          <w:w w:val="100"/>
          <w:position w:val="0"/>
          <w:sz w:val="21"/>
          <w:szCs w:val="21"/>
        </w:rPr>
        <w:t>即1</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构想、开发研究和管理的自立化；2</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需要称职劳动力的熟练制造业；3</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将熟练技术分解的职务和结构分工</w:t>
      </w:r>
      <w:r>
        <w:rPr>
          <w:rFonts w:hint="default" w:ascii="Times New Roman" w:hAnsi="Times New Roman" w:eastAsia="宋体" w:cs="Times New Roman"/>
          <w:b/>
          <w:bCs/>
          <w:spacing w:val="0"/>
          <w:w w:val="100"/>
          <w:position w:val="0"/>
          <w:sz w:val="21"/>
          <w:szCs w:val="21"/>
        </w:rPr>
        <w:t>—</w:t>
      </w:r>
      <w:r>
        <w:rPr>
          <w:rFonts w:hint="default" w:ascii="Times New Roman" w:hAnsi="Times New Roman" w:eastAsia="宋体" w:cs="Times New Roman"/>
          <w:spacing w:val="0"/>
          <w:w w:val="100"/>
          <w:position w:val="0"/>
          <w:sz w:val="21"/>
          <w:szCs w:val="21"/>
        </w:rPr>
        <w:t>得以实现地理上的分离。这样,熟练技术中分离出来的职种就可以向周边地区转移,并与周边地区的低工资相结合,产生这些周边地区现代化的某种新契机。经济全球化所带来的激烈竞争,也迫使跨国公司不再只是将生产基地转移到发展中国家,而是进一步将研究机构也转移到发展中国家以降低成本。如印度的软件业、台湾的硬件业等等。跨国公司一般会将科研机构转移到那些具有丰富知识资源的地区。我们要敏锐地把握这样的机会,努力成为新一轮转移浪潮的获利者。</w:t>
      </w:r>
    </w:p>
    <w:p w14:paraId="3A490252">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b/>
          <w:bCs/>
          <w:spacing w:val="0"/>
          <w:w w:val="100"/>
          <w:position w:val="0"/>
          <w:sz w:val="21"/>
          <w:szCs w:val="21"/>
        </w:rPr>
      </w:pPr>
      <w:r>
        <w:rPr>
          <w:rFonts w:hint="default" w:ascii="Times New Roman" w:hAnsi="Times New Roman" w:eastAsia="宋体" w:cs="Times New Roman"/>
          <w:b/>
          <w:bCs/>
          <w:spacing w:val="0"/>
          <w:w w:val="100"/>
          <w:position w:val="0"/>
          <w:sz w:val="21"/>
          <w:szCs w:val="21"/>
        </w:rPr>
        <w:t>（二）提高教育水平能加速经济增长,快速走上现代化之路。</w:t>
      </w:r>
    </w:p>
    <w:p w14:paraId="4A74B76B">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当前,知识越来越成为生产的最主要的资源。40年前,从事知识工作和服务工作的人不到劳动力总数的1／3。现在,在所有发达国家,这些人占劳动力总数的3／4甚至是4／5。正是他们的生产力而不是制造</w:t>
      </w:r>
      <w:r>
        <w:rPr>
          <w:rFonts w:hint="default" w:ascii="Times New Roman" w:hAnsi="Times New Roman" w:eastAsia="宋体" w:cs="Times New Roman"/>
          <w:spacing w:val="0"/>
          <w:w w:val="100"/>
          <w:position w:val="0"/>
          <w:sz w:val="21"/>
          <w:szCs w:val="21"/>
        </w:rPr>
        <w:drawing>
          <wp:inline distT="0" distB="0" distL="0" distR="0">
            <wp:extent cx="0" cy="106045"/>
            <wp:effectExtent l="0" t="0" r="0" b="0"/>
            <wp:docPr id="80" name="IM 4"/>
            <wp:cNvGraphicFramePr/>
            <a:graphic xmlns:a="http://schemas.openxmlformats.org/drawingml/2006/main">
              <a:graphicData uri="http://schemas.openxmlformats.org/drawingml/2006/picture">
                <pic:pic xmlns:pic="http://schemas.openxmlformats.org/drawingml/2006/picture">
                  <pic:nvPicPr>
                    <pic:cNvPr id="80" name="IM 4"/>
                    <pic:cNvPicPr/>
                  </pic:nvPicPr>
                  <pic:blipFill>
                    <a:blip r:embed="rId84"/>
                    <a:stretch>
                      <a:fillRect/>
                    </a:stretch>
                  </pic:blipFill>
                  <pic:spPr>
                    <a:xfrm>
                      <a:off x="0" y="0"/>
                      <a:ext cx="0" cy="106679"/>
                    </a:xfrm>
                    <a:prstGeom prst="rect">
                      <a:avLst/>
                    </a:prstGeom>
                  </pic:spPr>
                </pic:pic>
              </a:graphicData>
            </a:graphic>
          </wp:inline>
        </w:drawing>
      </w:r>
      <w:r>
        <w:rPr>
          <w:rFonts w:hint="default" w:ascii="Times New Roman" w:hAnsi="Times New Roman" w:eastAsia="宋体" w:cs="Times New Roman"/>
          <w:spacing w:val="0"/>
          <w:w w:val="100"/>
          <w:position w:val="0"/>
          <w:sz w:val="21"/>
          <w:szCs w:val="21"/>
        </w:rPr>
        <w:t>和运送产品的人的生产力,成为发达国家的主要生产力。</w:t>
      </w:r>
    </w:p>
    <w:p w14:paraId="7D340164">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在“制造业衰退”的年月里,美国制造业占国民生产总值的比例几乎没有变化,它在1975年占国民生产总值的22％,在1990年为23％。但在20年里,其国民生产总值增长了2．5倍,其制造业中就业人数却从1960年占劳动力总人数的25％下降到1990年的近17％。日本从1970年到1990年的20年里,整个制造业生产也增长了2．5倍,但制造业的就业总人数没有增长。这要归纳于知识资源的力量,在全球化时代,知识是最重要的资源。</w:t>
      </w:r>
    </w:p>
    <w:p w14:paraId="77DA0D22">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另一方面,知识具有速得性,即拥有知识可以摆脱对传统技术的依赖,也就是说,相对于资本、劳动和自然资源而言,知识的积累最具有不平衡性,可以在较短时间内得到迅速发展。因此,只要各国重视知识的创造,那么“在今后的10年或20年内很可能会出现新的、惊人的‘经济奇迹’,贫穷落后的第三世界国家几乎一夜之间会使自己变成飞速增长的经济强国。”</w:t>
      </w:r>
      <w:r>
        <w:rPr>
          <w:rFonts w:hint="default" w:ascii="Times New Roman" w:hAnsi="Times New Roman" w:eastAsia="宋体" w:cs="Times New Roman"/>
          <w:spacing w:val="0"/>
          <w:w w:val="100"/>
          <w:position w:val="0"/>
          <w:sz w:val="21"/>
          <w:szCs w:val="21"/>
          <w:vertAlign w:val="superscript"/>
        </w:rPr>
        <w:t>［1］</w:t>
      </w:r>
    </w:p>
    <w:p w14:paraId="7A75BEAA">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获得知识的来源就是发展教育。一个国家的教育制度只有在某种程度上与经济结构相结合的时候,优质、高素质的劳动力供给才有保障。1997年,克林顿连任美国总统后发表声明：确保每个美国人享有世界上最好的教育,是美国政府的头等大事。目前,美国全部职工平均受教育时间已达13年以上,其中受过高等教育的人数占55％。另一方面,美国的白领阶层已占劳动力总数的59％,而蓝领则下降到29％左右。可见,提高教育水平,是决定我国能否在全球化的浪潮中快速走上现代化之路的关键。</w:t>
      </w:r>
    </w:p>
    <w:p w14:paraId="0252F095">
      <w:pPr>
        <w:pStyle w:val="4"/>
        <w:keepNext w:val="0"/>
        <w:keepLines w:val="0"/>
        <w:pageBreakBefore w:val="0"/>
        <w:widowControl/>
        <w:kinsoku w:val="0"/>
        <w:wordWrap/>
        <w:overflowPunct/>
        <w:topLinePunct w:val="0"/>
        <w:autoSpaceDE w:val="0"/>
        <w:autoSpaceDN w:val="0"/>
        <w:bidi w:val="0"/>
        <w:adjustRightInd w:val="0"/>
        <w:snapToGrid w:val="0"/>
        <w:spacing w:before="0" w:beforeLines="50" w:after="0" w:afterLines="50" w:line="400" w:lineRule="exact"/>
        <w:ind w:left="0" w:right="0" w:firstLine="480" w:firstLineChars="200"/>
        <w:jc w:val="center"/>
        <w:textAlignment w:val="baseline"/>
        <w:rPr>
          <w:rFonts w:hint="default" w:ascii="黑体" w:hAnsi="黑体" w:eastAsia="黑体" w:cs="黑体"/>
          <w:color w:val="444444"/>
          <w:spacing w:val="0"/>
          <w:w w:val="100"/>
          <w:position w:val="0"/>
          <w:sz w:val="24"/>
          <w:szCs w:val="24"/>
        </w:rPr>
      </w:pPr>
      <w:r>
        <w:rPr>
          <w:rFonts w:hint="default" w:ascii="黑体" w:hAnsi="黑体" w:eastAsia="黑体" w:cs="黑体"/>
          <w:color w:val="444444"/>
          <w:spacing w:val="0"/>
          <w:w w:val="100"/>
          <w:position w:val="0"/>
          <w:sz w:val="24"/>
          <w:szCs w:val="24"/>
        </w:rPr>
        <w:t>经济全球化对我国教育大发展的内在要求</w:t>
      </w:r>
    </w:p>
    <w:p w14:paraId="1BC1474B">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b/>
          <w:bCs/>
          <w:spacing w:val="0"/>
          <w:w w:val="100"/>
          <w:position w:val="0"/>
          <w:sz w:val="21"/>
          <w:szCs w:val="21"/>
        </w:rPr>
        <w:t>（一）只有迅速发展教育,才能在全球化时代的国际分工中获得有利地位。</w:t>
      </w:r>
    </w:p>
    <w:p w14:paraId="7C918116">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sectPr>
          <w:headerReference r:id="rId8" w:type="default"/>
          <w:footerReference r:id="rId9" w:type="default"/>
          <w:footnotePr>
            <w:numFmt w:val="decimalEnclosedCircleChinese"/>
            <w:numRestart w:val="eachPage"/>
          </w:footnotePr>
          <w:pgSz w:w="8772" w:h="13282"/>
          <w:pgMar w:top="693" w:right="81" w:bottom="352" w:left="188" w:header="431" w:footer="116" w:gutter="0"/>
          <w:pgNumType w:fmt="decimal"/>
          <w:cols w:equalWidth="0" w:num="1">
            <w:col w:w="8502"/>
          </w:cols>
        </w:sectPr>
      </w:pPr>
    </w:p>
    <w:p w14:paraId="55B16E02">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当今全球化分工的特点就是,世界中心和边缘地区的技术差距越来越大,发展中国家与发达国家日益扩大的技术差距变得越来越难以弥合。发展中国家的经济增长在很大程度上依赖于工业国家的技术转让,特别是生产技术被发达国家的大型跨国公司所垄断。跨国公司凭借资本密集型的技术,影响着当今世界市场的发展,并制约着发展中国家的工业化进程。发达国家对发展中国家的投资大都是严格控制技术外流的。只有那些具有消化和吸收发达国家技术能力的国家,才有可能把握时代的契机。而要具有这种消化和吸收的能力,关键在于提高国民的素质,也就是说要大力发展教育。</w:t>
      </w:r>
    </w:p>
    <w:p w14:paraId="570ABCC8">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经济全球化本质上是国际分工的进一步深化,是产业结构的进一步转换。当今世界经济在积累体制上已处于后福特主义的后期或者说是后后福特主义时期,即更加注重技术的力量,更加强调技术的优势。由于这一时代已经有了东亚“四小龙”这样的“先进者”,因而对已经错失了许多机会的发展中国家来说,时代的压力尤为沉重。一些国家脱离边缘化的地位或从边缘化上升为半边缘化国家,往往意味着另一些国家的边缘化程度更深。</w:t>
      </w:r>
    </w:p>
    <w:p w14:paraId="4A157A03">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进一步说,倘若在后福特主义时期,不发达国家还能够通过接受发达国家的技术转移来实现本国的现代化,那么,在后后福特主义时期,已经变得越来越困难了。目前,发达国家意欲在世界范围内推行一种分工：发达国家的人是管理者,而发展中国家特别是最边缘化的国家的人将成为底层劳动者。</w:t>
      </w:r>
    </w:p>
    <w:p w14:paraId="78F42E78">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在全球化的今天,生产效率比经济效益增长得更快,结果将发生“非就业性增长”,即这种增长并没有带来工作岗位的增加。未来世界将遵循“20∶80”的模式,80％希望工作的人将没有劳动岗位而只能“靠喂奶生活”,</w:t>
      </w:r>
      <w:r>
        <w:rPr>
          <w:rFonts w:hint="default" w:ascii="Times New Roman" w:hAnsi="Times New Roman" w:eastAsia="宋体" w:cs="Times New Roman"/>
          <w:spacing w:val="0"/>
          <w:w w:val="100"/>
          <w:position w:val="0"/>
          <w:sz w:val="21"/>
          <w:szCs w:val="21"/>
          <w:vertAlign w:val="superscript"/>
        </w:rPr>
        <w:t>［2］</w:t>
      </w:r>
      <w:r>
        <w:rPr>
          <w:rFonts w:hint="default" w:ascii="Times New Roman" w:hAnsi="Times New Roman" w:eastAsia="宋体" w:cs="Times New Roman"/>
          <w:spacing w:val="0"/>
          <w:w w:val="100"/>
          <w:position w:val="0"/>
          <w:sz w:val="21"/>
          <w:szCs w:val="21"/>
        </w:rPr>
        <w:t>于是,“全球化的世界将分化为胜利者</w:t>
      </w:r>
      <w:r>
        <w:rPr>
          <w:rFonts w:hint="default" w:ascii="Times New Roman" w:hAnsi="Times New Roman" w:eastAsia="宋体" w:cs="Times New Roman"/>
          <w:spacing w:val="0"/>
          <w:w w:val="100"/>
          <w:position w:val="0"/>
          <w:sz w:val="21"/>
          <w:szCs w:val="21"/>
        </w:rPr>
        <w:drawing>
          <wp:inline distT="0" distB="0" distL="0" distR="0">
            <wp:extent cx="0" cy="106045"/>
            <wp:effectExtent l="0" t="0" r="0" b="0"/>
            <wp:docPr id="82" name="IM 6"/>
            <wp:cNvGraphicFramePr/>
            <a:graphic xmlns:a="http://schemas.openxmlformats.org/drawingml/2006/main">
              <a:graphicData uri="http://schemas.openxmlformats.org/drawingml/2006/picture">
                <pic:pic xmlns:pic="http://schemas.openxmlformats.org/drawingml/2006/picture">
                  <pic:nvPicPr>
                    <pic:cNvPr id="82" name="IM 6"/>
                    <pic:cNvPicPr/>
                  </pic:nvPicPr>
                  <pic:blipFill>
                    <a:blip r:embed="rId84"/>
                    <a:stretch>
                      <a:fillRect/>
                    </a:stretch>
                  </pic:blipFill>
                  <pic:spPr>
                    <a:xfrm>
                      <a:off x="0" y="0"/>
                      <a:ext cx="0" cy="106679"/>
                    </a:xfrm>
                    <a:prstGeom prst="rect">
                      <a:avLst/>
                    </a:prstGeom>
                  </pic:spPr>
                </pic:pic>
              </a:graphicData>
            </a:graphic>
          </wp:inline>
        </w:drawing>
      </w:r>
      <w:r>
        <w:rPr>
          <w:rFonts w:hint="default" w:ascii="Times New Roman" w:hAnsi="Times New Roman" w:eastAsia="宋体" w:cs="Times New Roman"/>
          <w:spacing w:val="0"/>
          <w:w w:val="100"/>
          <w:position w:val="0"/>
          <w:sz w:val="21"/>
          <w:szCs w:val="21"/>
        </w:rPr>
        <w:t>和失败者。胜利者是未来的知识工人：企业顾问、工程师、经理人员,他们得到很高的工资；而失败者首先是没受过教育的辅助劳动力,很廉价,但比机器还是要贵一点。”</w:t>
      </w:r>
      <w:r>
        <w:rPr>
          <w:rFonts w:hint="default" w:ascii="Times New Roman" w:hAnsi="Times New Roman" w:eastAsia="宋体" w:cs="Times New Roman"/>
          <w:spacing w:val="0"/>
          <w:w w:val="100"/>
          <w:position w:val="0"/>
          <w:sz w:val="21"/>
          <w:szCs w:val="21"/>
          <w:vertAlign w:val="superscript"/>
        </w:rPr>
        <w:t>［3］</w:t>
      </w:r>
    </w:p>
    <w:p w14:paraId="074966A0">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因此,经济全球化呼唤我们加强教育的力度,否则将在新一轮的现代化浪潮中被边缘化,成为新的国际产业分工的牺牲者。</w:t>
      </w:r>
    </w:p>
    <w:p w14:paraId="5B386FAB">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b/>
          <w:bCs/>
          <w:spacing w:val="0"/>
          <w:w w:val="100"/>
          <w:position w:val="0"/>
          <w:sz w:val="21"/>
          <w:szCs w:val="21"/>
        </w:rPr>
      </w:pPr>
      <w:r>
        <w:rPr>
          <w:rFonts w:hint="default" w:ascii="Times New Roman" w:hAnsi="Times New Roman" w:eastAsia="宋体" w:cs="Times New Roman"/>
          <w:b/>
          <w:bCs/>
          <w:spacing w:val="0"/>
          <w:w w:val="100"/>
          <w:position w:val="0"/>
          <w:sz w:val="21"/>
          <w:szCs w:val="21"/>
        </w:rPr>
        <w:t>（二）只有发展教育,才能改善贸易条件,避免贫困化增长。</w:t>
      </w:r>
    </w:p>
    <w:p w14:paraId="33DCC390">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在国际贸易存在的情况下,经济增长虽然会由于产出的增加而导致出口量的增加,但与此同时,本国的贸易条件却可能以更大的幅度下降,因而反而造成本国居民收入水平和消费水平的下降。这是一种“贫困化增长”。</w:t>
      </w:r>
    </w:p>
    <w:p w14:paraId="1F954177">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当前经济全球化的实质,无非是国际分工持续深化。它在国际贸易上的表现就是要求各国按照比较优势来进行交换。发展中国家的优势在哪儿呢？目前无非是资源丰富、劳动力廉价。但是,这种优势是否能够长久地保持下去呢？赫克歇尔定理（H—O—S定理）告诉我们,随着要素不同的国家以不同的密集方式生产,生产要素有均等化的倾向,结果使得原本具有比较优势的要素不再具有相对优势或绝对优势。但惟一例外的是劳动力,因为劳动力迄今在世界范围内还缺乏流动性。如目前中国显示了这样的现象：农业和矿产的比较优势大幅度下降了,只有劳动力还有优势。但劳动力优势建立在什么基础之上呢？廉价！另一方面,作为技术和知识的资源是可再生的,是取之不尽、用之不竭的。因此,发达国家的比较优势具有长期化的倾向。如果我们一直以劳动的比较优势来与发达国家进行贸易,我们的生活水平将永远是相对贫困的。长期以往,我们将陷入“比较优势陷阱”。因此,大力发展教育是改善我国在国际贸易中的地位,避免贫困化增长的迫切要求。</w:t>
      </w:r>
    </w:p>
    <w:p w14:paraId="5DE302E9">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sectPr>
          <w:headerReference r:id="rId10" w:type="default"/>
          <w:footerReference r:id="rId11" w:type="default"/>
          <w:footnotePr>
            <w:numFmt w:val="decimalEnclosedCircleChinese"/>
            <w:numRestart w:val="eachPage"/>
          </w:footnotePr>
          <w:pgSz w:w="8772" w:h="13282"/>
          <w:pgMar w:top="693" w:right="81" w:bottom="351" w:left="188" w:header="431" w:footer="112" w:gutter="0"/>
          <w:pgNumType w:fmt="decimal"/>
          <w:cols w:equalWidth="0" w:num="1">
            <w:col w:w="8503"/>
          </w:cols>
        </w:sectPr>
      </w:pPr>
    </w:p>
    <w:p w14:paraId="285B5839">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b/>
          <w:bCs/>
          <w:spacing w:val="0"/>
          <w:w w:val="100"/>
          <w:position w:val="0"/>
          <w:sz w:val="21"/>
          <w:szCs w:val="21"/>
        </w:rPr>
      </w:pPr>
      <w:r>
        <w:rPr>
          <w:rFonts w:hint="default" w:ascii="Times New Roman" w:hAnsi="Times New Roman" w:eastAsia="宋体" w:cs="Times New Roman"/>
          <w:b/>
          <w:bCs/>
          <w:spacing w:val="0"/>
          <w:w w:val="100"/>
          <w:position w:val="0"/>
          <w:sz w:val="21"/>
          <w:szCs w:val="21"/>
        </w:rPr>
        <w:t>（三）我国只有加大教育投入,才能应对经济全球化的挑战。</w:t>
      </w:r>
    </w:p>
    <w:p w14:paraId="12317FF6">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我国虽然提出科教兴国,但具体实施效果并不理想。据世界银行《1995世界发展报告》和联合国教科文统计年鉴数据,1988—1990年,世界各国教育经费占国民生产总值的比重,美国和日本等24个高收入国家平均是5．7％,52个中等收入国家平均为4．3％,44个低收入国家平均为3．1％,中国仅仅只有2．5％。就高层次的人才来说,1993年大学生占20—24岁年龄人口比重,高收入国家为51％,中等收入国家为18％,低收入国家为5％,而中国为2％。中国在科研经费方面投入更是差强人意。研究与发展经费占GDP的比重,发达国家一般保持在2％以上,其中美国和德国均高达2．9％以上,日本为2．8％,法国为2．3％,中国仅为0．5％,</w:t>
      </w:r>
      <w:r>
        <w:rPr>
          <w:rFonts w:hint="default" w:ascii="Times New Roman" w:hAnsi="Times New Roman" w:eastAsia="宋体" w:cs="Times New Roman"/>
          <w:spacing w:val="0"/>
          <w:w w:val="100"/>
          <w:position w:val="0"/>
          <w:sz w:val="21"/>
          <w:szCs w:val="21"/>
          <w:vertAlign w:val="superscript"/>
        </w:rPr>
        <w:t>［4］</w:t>
      </w:r>
      <w:r>
        <w:rPr>
          <w:rFonts w:hint="default" w:ascii="Times New Roman" w:hAnsi="Times New Roman" w:eastAsia="宋体" w:cs="Times New Roman"/>
          <w:spacing w:val="0"/>
          <w:w w:val="100"/>
          <w:position w:val="0"/>
          <w:sz w:val="21"/>
          <w:szCs w:val="21"/>
        </w:rPr>
        <w:t>即使在2001年全国人大通过的《十五计划纲要》中,此项比例也只计划“提高到1．5％以上”。</w:t>
      </w:r>
    </w:p>
    <w:p w14:paraId="16AE9A59">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事实上,忽视教育已经造成了多方面的问题,并影响到目前的许多政策的实施效果。这里选与经济全球化最密切相关的几个方面作一简单阐述。</w:t>
      </w:r>
    </w:p>
    <w:p w14:paraId="3BBC6206">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首先,教育的短缺使得我国的劳动生产率长期以来得不到较快提高,贸易条件也因此日趋恶化,结果是国际贸易增长越来越缺乏后劲。近几年来,我国对外贸易的增长主要是数量扩张型增长,中国出口收入的不断上升以及收入贸易条件的改善,是在出口价格不断下降的情况下通过出口数量的大幅度增加来实现的。与此同时,我国在出口部门的要素生产率方面与主要贸易伙伴之间的差距在逐渐拉大,如果听任目前的状况自由发展,那么,我国对外贸易中隐藏着的贫困化增长就将变为现实。况且,由于我国从数量上来看已经是一个贸易大国,因而通过扩张数量来改善贸易条件的空间已相对狭小。</w:t>
      </w:r>
    </w:p>
    <w:p w14:paraId="30F4F828">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其次,教育的短缺使得我国出口产品的比较优势一直停留在传统方面,甚至已经逐渐丧失了以前的一些比较优势行业。目前,我国具有高比较优势的14类产品,除少部分属于未加工产品外,大多数仍是属于适合我国现阶段资源禀赋的劳动密集型产品。最后,教育的短缺导致我国出口品附加值不高,也就影响了对外贸易对国内经济增长的带动力度。1978—1994年我国外贸依存度由9．8％上升到44％,1997年仍然高达36％。而多数发达国家的进出口贸易总额占GDP的比例却远低于我国。如1993年美国为16．8％,日本为14．3％。为什么我国的进出口量很高,但对经济增长的作用却不大呢？关键在于我国出口商品的技术含量不高。我国的出口产品中,初级制造品占很大的比例,特别是加工贸易的比重相当大,如1997年占出口总额的54％。而以加工贸易为代表的初级制造品的附加价值相当低,因此,对国内产业的带动作用也就小。</w:t>
      </w:r>
    </w:p>
    <w:p w14:paraId="4152ED27">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pPr>
      <w:r>
        <w:rPr>
          <w:rFonts w:hint="default" w:ascii="Times New Roman" w:hAnsi="Times New Roman" w:eastAsia="宋体" w:cs="Times New Roman"/>
          <w:spacing w:val="0"/>
          <w:w w:val="100"/>
          <w:position w:val="0"/>
          <w:sz w:val="21"/>
          <w:szCs w:val="21"/>
        </w:rPr>
        <w:t>可见,我国长期以来形成的教育短缺要求加大教育的投入力度,否则将会再度丧失现代化的契机,目前的一系列的经济难题也就不易得到根本解决。</w:t>
      </w:r>
    </w:p>
    <w:p w14:paraId="3A44D01C">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b/>
          <w:bCs/>
          <w:spacing w:val="0"/>
          <w:w w:val="100"/>
          <w:position w:val="0"/>
          <w:sz w:val="21"/>
          <w:szCs w:val="21"/>
        </w:rPr>
      </w:pPr>
      <w:r>
        <w:rPr>
          <w:rFonts w:hint="default" w:ascii="Times New Roman" w:hAnsi="Times New Roman" w:eastAsia="宋体" w:cs="Times New Roman"/>
          <w:b/>
          <w:bCs/>
          <w:spacing w:val="0"/>
          <w:w w:val="100"/>
          <w:position w:val="0"/>
          <w:sz w:val="21"/>
          <w:szCs w:val="21"/>
        </w:rPr>
        <w:t>参考文献</w:t>
      </w:r>
    </w:p>
    <w:p w14:paraId="14B3AE94">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eastAsia" w:ascii="Times New Roman" w:hAnsi="Times New Roman" w:eastAsia="宋体" w:cs="Times New Roman"/>
          <w:spacing w:val="0"/>
          <w:w w:val="100"/>
          <w:position w:val="0"/>
          <w:sz w:val="21"/>
          <w:szCs w:val="21"/>
          <w:lang w:eastAsia="zh-CN"/>
        </w:rPr>
      </w:pPr>
      <w:r>
        <w:rPr>
          <w:rFonts w:hint="default" w:ascii="Times New Roman" w:hAnsi="Times New Roman" w:eastAsia="宋体" w:cs="Times New Roman"/>
          <w:spacing w:val="0"/>
          <w:w w:val="100"/>
          <w:position w:val="0"/>
          <w:sz w:val="21"/>
          <w:szCs w:val="21"/>
        </w:rPr>
        <w:t>［1］彼得·德鲁克</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《后资本主义社会》［M］</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上海,上海译文出版社,1998</w:t>
      </w:r>
      <w:r>
        <w:rPr>
          <w:rFonts w:hint="eastAsia" w:ascii="Times New Roman" w:hAnsi="Times New Roman" w:cs="Times New Roman"/>
          <w:spacing w:val="0"/>
          <w:w w:val="100"/>
          <w:position w:val="0"/>
          <w:sz w:val="21"/>
          <w:szCs w:val="21"/>
          <w:lang w:eastAsia="zh-CN"/>
        </w:rPr>
        <w:t>.</w:t>
      </w:r>
    </w:p>
    <w:p w14:paraId="14463552">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eastAsia" w:ascii="Times New Roman" w:hAnsi="Times New Roman" w:eastAsia="宋体" w:cs="Times New Roman"/>
          <w:spacing w:val="0"/>
          <w:w w:val="100"/>
          <w:position w:val="0"/>
          <w:sz w:val="21"/>
          <w:szCs w:val="21"/>
          <w:lang w:eastAsia="zh-CN"/>
        </w:rPr>
      </w:pPr>
      <w:r>
        <w:rPr>
          <w:rFonts w:hint="default" w:ascii="Times New Roman" w:hAnsi="Times New Roman" w:eastAsia="宋体" w:cs="Times New Roman"/>
          <w:spacing w:val="0"/>
          <w:w w:val="100"/>
          <w:position w:val="0"/>
          <w:sz w:val="21"/>
          <w:szCs w:val="21"/>
        </w:rPr>
        <w:t>［2］汉斯—彼得·马丁,哈拉尔特·舒曼</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《全球化陷阱：对民主和福利的进攻》［M］</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中央编译出版社</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1998</w:t>
      </w:r>
      <w:r>
        <w:rPr>
          <w:rFonts w:hint="eastAsia" w:ascii="Times New Roman" w:hAnsi="Times New Roman" w:cs="Times New Roman"/>
          <w:spacing w:val="0"/>
          <w:w w:val="100"/>
          <w:position w:val="0"/>
          <w:sz w:val="21"/>
          <w:szCs w:val="21"/>
          <w:lang w:eastAsia="zh-CN"/>
        </w:rPr>
        <w:t>.</w:t>
      </w:r>
    </w:p>
    <w:p w14:paraId="7F449393">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eastAsia" w:ascii="Times New Roman" w:hAnsi="Times New Roman" w:eastAsia="宋体" w:cs="Times New Roman"/>
          <w:spacing w:val="0"/>
          <w:w w:val="100"/>
          <w:position w:val="0"/>
          <w:sz w:val="21"/>
          <w:szCs w:val="21"/>
          <w:lang w:eastAsia="zh-CN"/>
        </w:rPr>
      </w:pPr>
      <w:r>
        <w:rPr>
          <w:rFonts w:hint="default" w:ascii="Times New Roman" w:hAnsi="Times New Roman" w:eastAsia="宋体" w:cs="Times New Roman"/>
          <w:spacing w:val="0"/>
          <w:w w:val="100"/>
          <w:position w:val="0"/>
          <w:sz w:val="21"/>
          <w:szCs w:val="21"/>
        </w:rPr>
        <w:t>［3］《明镜》杂志记者</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《分离的社会》［M］</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载张世鹏、殷叙彝编译</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《全球化时代的资本主义》［M］</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中央编译出版社</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1998</w:t>
      </w:r>
      <w:r>
        <w:rPr>
          <w:rFonts w:hint="eastAsia" w:ascii="Times New Roman" w:hAnsi="Times New Roman" w:cs="Times New Roman"/>
          <w:spacing w:val="0"/>
          <w:w w:val="100"/>
          <w:position w:val="0"/>
          <w:sz w:val="21"/>
          <w:szCs w:val="21"/>
          <w:lang w:eastAsia="zh-CN"/>
        </w:rPr>
        <w:t>.</w:t>
      </w:r>
    </w:p>
    <w:p w14:paraId="009F7B31">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eastAsia" w:ascii="Times New Roman" w:hAnsi="Times New Roman" w:cs="Times New Roman"/>
          <w:spacing w:val="0"/>
          <w:w w:val="100"/>
          <w:position w:val="0"/>
          <w:sz w:val="21"/>
          <w:szCs w:val="21"/>
          <w:lang w:eastAsia="zh-CN"/>
        </w:rPr>
      </w:pPr>
      <w:r>
        <w:rPr>
          <w:rFonts w:hint="default" w:ascii="Times New Roman" w:hAnsi="Times New Roman" w:eastAsia="宋体" w:cs="Times New Roman"/>
          <w:spacing w:val="0"/>
          <w:w w:val="100"/>
          <w:position w:val="0"/>
          <w:sz w:val="21"/>
          <w:szCs w:val="21"/>
        </w:rPr>
        <w:t>［4］中国统计师事务所编</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《中国国情报告（1978—1996）》［R］,中国计划出版社</w:t>
      </w:r>
      <w:r>
        <w:rPr>
          <w:rFonts w:hint="eastAsia" w:ascii="Times New Roman" w:hAnsi="Times New Roman" w:cs="Times New Roman"/>
          <w:spacing w:val="0"/>
          <w:w w:val="100"/>
          <w:position w:val="0"/>
          <w:sz w:val="21"/>
          <w:szCs w:val="21"/>
          <w:lang w:eastAsia="zh-CN"/>
        </w:rPr>
        <w:t>.</w:t>
      </w:r>
      <w:r>
        <w:rPr>
          <w:rFonts w:hint="default" w:ascii="Times New Roman" w:hAnsi="Times New Roman" w:eastAsia="宋体" w:cs="Times New Roman"/>
          <w:spacing w:val="0"/>
          <w:w w:val="100"/>
          <w:position w:val="0"/>
          <w:sz w:val="21"/>
          <w:szCs w:val="21"/>
        </w:rPr>
        <w:t>1997</w:t>
      </w:r>
      <w:r>
        <w:rPr>
          <w:rFonts w:hint="eastAsia" w:ascii="Times New Roman" w:hAnsi="Times New Roman" w:cs="Times New Roman"/>
          <w:spacing w:val="0"/>
          <w:w w:val="100"/>
          <w:position w:val="0"/>
          <w:sz w:val="21"/>
          <w:szCs w:val="21"/>
          <w:lang w:eastAsia="zh-CN"/>
        </w:rPr>
        <w:t>.</w:t>
      </w:r>
    </w:p>
    <w:p w14:paraId="6EDD7918">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eastAsia" w:ascii="Times New Roman" w:hAnsi="Times New Roman" w:cs="Times New Roman"/>
          <w:spacing w:val="0"/>
          <w:w w:val="100"/>
          <w:position w:val="0"/>
          <w:sz w:val="21"/>
          <w:szCs w:val="21"/>
          <w:lang w:eastAsia="zh-CN"/>
        </w:rPr>
      </w:pPr>
    </w:p>
    <w:p w14:paraId="1CB4A936">
      <w:pPr>
        <w:pStyle w:val="4"/>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cs="Times New Roman"/>
          <w:spacing w:val="0"/>
          <w:w w:val="100"/>
          <w:position w:val="0"/>
          <w:sz w:val="21"/>
          <w:szCs w:val="21"/>
          <w:lang w:val="en-US" w:eastAsia="zh-CN"/>
        </w:rPr>
      </w:pPr>
      <w:r>
        <w:rPr>
          <w:rFonts w:hint="eastAsia" w:ascii="Times New Roman" w:hAnsi="Times New Roman" w:cs="Times New Roman"/>
          <w:spacing w:val="0"/>
          <w:w w:val="100"/>
          <w:position w:val="0"/>
          <w:sz w:val="21"/>
          <w:szCs w:val="21"/>
          <w:lang w:val="en-US" w:eastAsia="zh-CN"/>
        </w:rPr>
        <w:t>（原载《</w:t>
      </w:r>
      <w:r>
        <w:rPr>
          <w:rFonts w:ascii="宋体" w:hAnsi="宋体" w:eastAsia="宋体"/>
        </w:rPr>
        <w:t>中州学刊</w:t>
      </w:r>
      <w:r>
        <w:rPr>
          <w:rFonts w:hint="eastAsia" w:ascii="Times New Roman" w:hAnsi="Times New Roman" w:cs="Times New Roman"/>
          <w:spacing w:val="0"/>
          <w:w w:val="100"/>
          <w:position w:val="0"/>
          <w:sz w:val="21"/>
          <w:szCs w:val="21"/>
          <w:lang w:val="en-US" w:eastAsia="zh-CN"/>
        </w:rPr>
        <w:t>》2006年第6期，第二作者为</w:t>
      </w:r>
      <w:r>
        <w:rPr>
          <w:rFonts w:ascii="宋体" w:hAnsi="宋体" w:eastAsia="宋体"/>
        </w:rPr>
        <w:t>朱富强</w:t>
      </w:r>
      <w:r>
        <w:rPr>
          <w:rFonts w:hint="eastAsia" w:ascii="宋体" w:hAnsi="宋体" w:eastAsia="宋体"/>
          <w:lang w:eastAsia="zh-CN"/>
        </w:rPr>
        <w:t>、</w:t>
      </w:r>
      <w:r>
        <w:rPr>
          <w:rFonts w:ascii="宋体" w:hAnsi="宋体" w:eastAsia="宋体"/>
        </w:rPr>
        <w:t>徐惠平</w:t>
      </w:r>
      <w:r>
        <w:rPr>
          <w:rFonts w:hint="eastAsia" w:ascii="宋体" w:hAnsi="宋体" w:eastAsia="宋体"/>
          <w:lang w:eastAsia="zh-CN"/>
        </w:rPr>
        <w:t>。</w:t>
      </w:r>
      <w:r>
        <w:rPr>
          <w:rFonts w:hint="eastAsia" w:ascii="Times New Roman" w:hAnsi="Times New Roman" w:cs="Times New Roman"/>
          <w:spacing w:val="0"/>
          <w:w w:val="100"/>
          <w:position w:val="0"/>
          <w:sz w:val="21"/>
          <w:szCs w:val="21"/>
          <w:lang w:val="en-US" w:eastAsia="zh-CN"/>
        </w:rPr>
        <w:t>）</w:t>
      </w:r>
    </w:p>
    <w:p w14:paraId="5F5D4CD5">
      <w:pPr>
        <w:keepNext w:val="0"/>
        <w:keepLines w:val="0"/>
        <w:pageBreakBefore w:val="0"/>
        <w:widowControl/>
        <w:kinsoku w:val="0"/>
        <w:wordWrap/>
        <w:overflowPunct/>
        <w:topLinePunct w:val="0"/>
        <w:autoSpaceDE w:val="0"/>
        <w:autoSpaceDN w:val="0"/>
        <w:bidi w:val="0"/>
        <w:adjustRightInd w:val="0"/>
        <w:snapToGrid w:val="0"/>
        <w:spacing w:line="400" w:lineRule="exact"/>
        <w:ind w:left="0" w:right="0" w:firstLine="420" w:firstLineChars="200"/>
        <w:jc w:val="both"/>
        <w:textAlignment w:val="baseline"/>
        <w:rPr>
          <w:rFonts w:hint="default" w:ascii="Times New Roman" w:hAnsi="Times New Roman" w:eastAsia="宋体" w:cs="Times New Roman"/>
          <w:spacing w:val="0"/>
          <w:w w:val="100"/>
          <w:position w:val="0"/>
          <w:sz w:val="21"/>
          <w:szCs w:val="21"/>
        </w:rPr>
        <w:sectPr>
          <w:footnotePr>
            <w:numFmt w:val="decimalEnclosedCircleChinese"/>
            <w:numRestart w:val="eachPage"/>
          </w:footnotePr>
          <w:type w:val="continuous"/>
          <w:pgSz w:w="8772" w:h="13282"/>
          <w:pgMar w:top="693" w:right="81" w:bottom="351" w:left="188" w:header="431" w:footer="112" w:gutter="0"/>
          <w:pgNumType w:fmt="decimal"/>
          <w:cols w:space="425" w:num="1"/>
        </w:sectPr>
      </w:pPr>
    </w:p>
    <w:p w14:paraId="60932C98">
      <w:pPr>
        <w:pStyle w:val="2"/>
        <w:spacing w:before="120" w:after="120" w:line="360" w:lineRule="auto"/>
        <w:rPr>
          <w:rFonts w:hint="default" w:ascii="Times New Roman" w:hAnsi="Times New Roman" w:cs="Times New Roman"/>
          <w:b/>
          <w:bCs w:val="0"/>
        </w:rPr>
      </w:pPr>
      <w:bookmarkStart w:id="103" w:name="_Toc23619"/>
      <w:bookmarkStart w:id="104" w:name="_Toc23552"/>
      <w:bookmarkStart w:id="105" w:name="_Toc1546990199"/>
      <w:bookmarkStart w:id="106" w:name="_Toc640971888"/>
      <w:r>
        <w:rPr>
          <w:rFonts w:hint="default" w:ascii="Times New Roman" w:hAnsi="Times New Roman" w:cs="Times New Roman"/>
          <w:bCs w:val="0"/>
        </w:rPr>
        <w:t>2002年</w:t>
      </w:r>
      <w:bookmarkEnd w:id="94"/>
      <w:bookmarkEnd w:id="103"/>
      <w:bookmarkEnd w:id="104"/>
      <w:bookmarkEnd w:id="105"/>
      <w:bookmarkEnd w:id="106"/>
    </w:p>
    <w:p w14:paraId="75FA9F26">
      <w:pPr>
        <w:spacing w:before="156" w:beforeLines="50" w:after="156" w:afterLines="50" w:line="300" w:lineRule="auto"/>
        <w:ind w:firstLine="640" w:firstLineChars="200"/>
        <w:jc w:val="center"/>
        <w:outlineLvl w:val="1"/>
        <w:rPr>
          <w:rFonts w:hint="default" w:ascii="Times New Roman" w:hAnsi="Times New Roman" w:eastAsia="黑体" w:cs="Times New Roman"/>
          <w:sz w:val="32"/>
          <w:szCs w:val="32"/>
        </w:rPr>
      </w:pPr>
      <w:bookmarkStart w:id="107" w:name="_Toc93074528"/>
      <w:bookmarkStart w:id="108" w:name="_Toc19433"/>
      <w:bookmarkStart w:id="109" w:name="_Toc257922100"/>
      <w:bookmarkStart w:id="110" w:name="_Toc956"/>
      <w:bookmarkStart w:id="111" w:name="_Toc679760364"/>
      <w:bookmarkStart w:id="112" w:name="_Toc1036548264"/>
      <w:r>
        <w:rPr>
          <w:rFonts w:hint="default" w:ascii="Times New Roman" w:hAnsi="Times New Roman" w:eastAsia="黑体" w:cs="Times New Roman"/>
          <w:sz w:val="32"/>
          <w:szCs w:val="32"/>
        </w:rPr>
        <w:t>新经济与美国经济增长的两类原因</w:t>
      </w:r>
      <w:bookmarkEnd w:id="107"/>
      <w:bookmarkEnd w:id="108"/>
      <w:bookmarkEnd w:id="109"/>
      <w:bookmarkEnd w:id="110"/>
      <w:bookmarkEnd w:id="111"/>
      <w:bookmarkEnd w:id="112"/>
    </w:p>
    <w:p w14:paraId="70F01FE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美国1993年第二季度至2001 年第二季度实现了持续稳定的增长。1991年3月-2001年6月为止，其增长已超过了123个月(已扣除1993年一季度0.1%的负增长)，成为自1854 年以来美国经济史上32个周期中最长的一次。在美国，持续9年的经济增长以及在低失业率状态下的低通货膨胀特点，引出人们对美国经济变形的种种说法，如“零通货膨胀”、“知识经济”、“新经济”等，其中以“新经济”之说争议最多。那么，究竟什么是新经济，围绕新经济的理论及其现实的争议是哪些，以及作为新经济先锋的美国为何连续增长，这些都是值得关注的问题。本文总结当前国内外经济学界对此主要看法，并提出一些新的评论和观点。</w:t>
      </w:r>
    </w:p>
    <w:p w14:paraId="1F4B9CB4">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一、新经济的提出及其定义</w:t>
      </w:r>
    </w:p>
    <w:p w14:paraId="7D20BDA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1997年8月，迈克尔曼·德尔首先提出了“新经济周期”问题。1997年11月，美国《商业周刊》主编斯蒂芬·谢波德界定了“新经济”概念，指出新经济所具有的6大特征：实际国内生产总值(GDP)大幅度增长，公司运营利润上涨，失业率低，通货膨胀率低，进出口之和占GDP 的比例上升，GDP增长中高科技的贡献度比例上升。</w:t>
      </w:r>
    </w:p>
    <w:p w14:paraId="0EC1FB4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最早宣传“新经济”思想的《商业周刊》在界定这个名词时说：新经济并不意味着通货膨胀已经死亡；不意味着我们将不会有另一次经济衰退，或经济周期业已消失；不意味着股票市场必将摆脱自我调整而永远上升；也不意味着亚洲金融风暴不会影响美国。而认为，谈“新经济”的意思是指这几年已经出现的两种趋势，即经济的全球化和信息技术革命。</w:t>
      </w:r>
    </w:p>
    <w:p w14:paraId="5C2B0F4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从美国有关方面的文献可以看出，至少有3种不同和相互关联的“新经济”理论。一是长期增长论。这种观点认为，当前强劲的生产率增长能够使美国经济在没有通货膨胀的压力下高速增长。二是商业周期论。此观点认为，通货膨胀与失业之间的短期替代关系已经改变，因为今年来美国低失业和低通货膨胀同时并存。如1998年6月，美国麻省理工学院的教授多恩布什就提出了周期消失问题，认为只要政策得当，经济就可以摆脱商业循环。三是新增长源泉论。其观点认为，信息时代的特征导致了网络经济、收益递增和知识外溢效应，所有这些因素都改变了经济增长的模式。当人们讨论全球化和信息技术正改变着美国经济结构时，对其解释和关注焦点的细微差别将产生不同的结论和政策含义。</w:t>
      </w:r>
    </w:p>
    <w:p w14:paraId="5F8028B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全球化也给经济增长带来了新因素。一是给跨国公司带来了更加丰厚的利润。再是全球化经济运作有利于平抑物价。美国可以根据自己的比较优势，集中于生产附加价值高的高新技术产品，而从别国进口其他产品，使上述产品的价格在美国市场上保持低廉，这对美国抑制通货膨胀十分有利。</w:t>
      </w:r>
    </w:p>
    <w:p w14:paraId="3E20D6A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可见，信息革命和全球化确实给美国经济带来了新的内容，正是在这一背景下产生了“新经济”的概念和相关理论，然而，对此也有不同的声音。美国《前景》杂志主编罗伯特·库特纳就曾撰文认为“商业周期消失论”是夸大其词。加州大学伯克利分校政治学副教授和行为科学高级研究中心研究员斯蒂芬·韦伯则提出了“减幅论”，认为商业周期波动将变得轻微，更像一种“涟漪”(ripples)。而站在持“新经济周期”论点的学者对立面的著名经济学家克鲁格曼则强调，美国经济并没有发生什么根本性的变革“， 新周期”看上去更像“老周期”，只是失业率低一点。其社会学结论是，21世纪将会被历史学家认为并不属于美国。</w:t>
      </w:r>
    </w:p>
    <w:p w14:paraId="16D1502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上述纷争的存在，使得对新经济理论和现实作一番更深入的梳理和分析成为必要。</w:t>
      </w:r>
    </w:p>
    <w:p w14:paraId="25473E35">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二、新经济理论的主要内容与质疑</w:t>
      </w:r>
    </w:p>
    <w:p w14:paraId="17F6FD6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任何有关“新经济”的争论，都需要准确定义新经济，但从上文可以看出，迄今为止，“新经济”论并不是由某一个学者明确表达的一种思想，相反，大量的观点都聚集在新经济论的旗帜之下。我们将他们的观点划分为3 种具有广泛代表性的观点，即长期增长论、商业周期论和新增长源泉论。尽管这3 种观点的某些预测和含义有所不同，但其共同的内核构成了新经济理论的主要组成部分。同时，每一种观点均受到挑战和质疑。</w:t>
      </w:r>
    </w:p>
    <w:p w14:paraId="037CEBF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bCs/>
          <w:szCs w:val="21"/>
        </w:rPr>
      </w:pPr>
      <w:r>
        <w:rPr>
          <w:rFonts w:hint="default" w:ascii="Times New Roman" w:hAnsi="Times New Roman" w:eastAsia="宋体" w:cs="Times New Roman"/>
          <w:b/>
          <w:bCs/>
          <w:szCs w:val="21"/>
        </w:rPr>
        <w:t>(一)长期增长论</w:t>
      </w:r>
    </w:p>
    <w:p w14:paraId="7FA329D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新经济的长期增长论认为，美国经济将长期保持较高的经济增长速度，而不会导致通货膨胀率的上升。美国《商业周刊》指出，受资本主义的广泛传播、经济的全球化和信息技术革命等因素的刺激，经济能够以较快的速度增长，而不会带来通货膨胀。</w:t>
      </w:r>
    </w:p>
    <w:p w14:paraId="4A98205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新经济论的支持者认为，资本主义制度的流行和放松管制的盛行增加了市场竞争的压力，使资源得以更加有效地利用，从而加速了产出增长的速度，同时，信息技术改造了经济，降低了价格，提高了工资。也许更为重要的是，IT 从根本上改变了企业运作的方式。曼德尔(Mandel)认为，迄今为止主要由信息技术所推动的新经济，可能将成为更为广泛的技术、企业和金融创新繁荣的初期阶段。信息技术提高了生产率，降低了成本和存货，增加了企业和工人的灵活性。此外，莱斯特尔(lester) 也认为，全球化、放松管制和创新是带来生产率可持续增长的主要动力。</w:t>
      </w:r>
    </w:p>
    <w:p w14:paraId="692684C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上述观点的质疑者指出，对长期增长论的实证论证，需要通过包括企业劳动生产率的增长，这次商业扩张后期经济的强劲增长，以及作为上述变化指示器的股票市场价格的飙升来说明。但事实却是，自20 世纪70 年代开始，美国的生产率和人均GDP 的增长率明显放慢，20 多年来生产率增长相对缓慢的趋势至今仍未有根本的扭转。</w:t>
      </w:r>
    </w:p>
    <w:p w14:paraId="7BCEC36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然而，支持者认为，缺乏生产率长期有力增长的证据，并不一定意味着不存在生产率的有力增长，这主要是因为全球化和信息技术的正面效应不便于计算。对信息技术的投资主要集中于金融、贸易、商业服务等服务部门，而这些部门的产出水平和生产率长期以来被低估了。由于不同的企业和不同的部门在生产过程中存在着不同的变量，总量指标可能并不是论证新经济是否存在的最佳方法。既然信息技术对每一个部门带来的影响是不同的，因此就不必拘泥于总量指标。</w:t>
      </w:r>
    </w:p>
    <w:p w14:paraId="501C0E9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许多质疑者认为，长期增长论者必须就以下几个重要问题作出回答，方能说明新经济是否存在：</w:t>
      </w:r>
    </w:p>
    <w:p w14:paraId="5251A4D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第一，统计问题是否变得更加恶化了？既然计量服务业部门的产出一直存在困难，新经济论暗含着统计问题在不断恶化，那么越来越多的产出就难以计算。这可能是正确的，但尚缺乏足够的证据。</w:t>
      </w:r>
    </w:p>
    <w:p w14:paraId="2189BC4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二，我们是否应该期望IT能改变经济？计算机不可能是生产的，因为它主要是重新分配产出，而不是创造产出。它提出了工人的效率(通过改善工作环境)，但并不增加产出。而且，在软件升级、系统兼容、人员培训、安装调试方面还有相应的支出，所有这些都降低了信息技术系统的总效率。</w:t>
      </w:r>
    </w:p>
    <w:p w14:paraId="7F36E4C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三，全球化能否真正控制通货膨胀并提高生产率？诚然，与30年前相比，美国经济国际化的程度有了很大提高。但这并不能突破美国经济增长速度的规律。全球化能控制通货膨胀并导致劳动生产率的提高可能是缺乏依据的。</w:t>
      </w:r>
    </w:p>
    <w:p w14:paraId="61E013B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第四，现在的经济是否真正是“新”的？ 它是否以完全不同的模式运行，并且遵循完全不同的规则？或者它仅仅是原有经济规律在现代的运用？除了技术进步之外，新经济究竟有些什么是新的呢？从某些方面来看，没有。我们仍旧像从前一样以工作谋生和买、卖、交易产品及服务。萨皮罗(shapiro)和瓦里安(Varian)一针见血地指出：技术变化了，经济学规律并没有变，迅速的资本积累的确提高了劳动生产率，给经济的快速增长提供了可行的途径。然而，如上所述，其论据是混淆在一起的，用来论证新经济存在的依据，也正好是说明不存在什么新经济的论据。而且，单靠信息技术的积累，也不足以使生产率提高到新经济论者所期望的高度。计算机仅代表了美国2%的总资本存量。这个比例大小，不足以使整个经济发生很大变化，尽管该行业能获取与较高生产率相联系的超额回报。</w:t>
      </w:r>
    </w:p>
    <w:p w14:paraId="10EA246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五，新经济是转型时期的现象还是一种长期的趋势？从某种意义上讲，迅猛发展的全球化、放松管制和信息化均处于转型时期当中，并最终将使劳动生产率水平得到大幅度提高，但这可能只是一个转型所带来的短期现象，技术进步仍将是推动长期经济增长的永恒的、强大的力量。</w:t>
      </w:r>
    </w:p>
    <w:p w14:paraId="3A6980B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bCs/>
          <w:szCs w:val="21"/>
        </w:rPr>
      </w:pPr>
      <w:r>
        <w:rPr>
          <w:rFonts w:hint="default" w:ascii="Times New Roman" w:hAnsi="Times New Roman" w:eastAsia="宋体" w:cs="Times New Roman"/>
          <w:b/>
          <w:bCs/>
          <w:szCs w:val="21"/>
        </w:rPr>
        <w:t>(二)商业周期论</w:t>
      </w:r>
    </w:p>
    <w:p w14:paraId="24932D9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菲利浦斯曲线阐明了对短期通货膨胀的一种传统观点：当失业率低于NAIRU(自然失业</w:t>
      </w:r>
    </w:p>
    <w:p w14:paraId="7B11EBE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率，也称为不加速通货膨胀的失业率)时，通货膨胀率将上升。然而近年来，即使失业率不断下降，通货膨胀率依然在低位爬行。因此，有人开始重新评价菲利浦斯曲线和NAIRU 的概念。</w:t>
      </w:r>
    </w:p>
    <w:p w14:paraId="436136F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新经济论的商业周期观点认为，全球化使价格受到抑制，因为美国企业不得不面对海外廉价的进口商品和廉价的劳动力的竞争。同时，信息技术是企业能够在不提高价格的条件下提高劳动生产率，削减成本。从这个意义上讲，全球化和信息技术改变了经济结构，迫使企业按新的方式运作，不用铺张，也不必提高价格。</w:t>
      </w:r>
    </w:p>
    <w:p w14:paraId="051012C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质疑者指出，商业周期论必须从两个方面进一步完善其理论框架，才能建立起令人信服的新经济论。</w:t>
      </w:r>
    </w:p>
    <w:p w14:paraId="49561F8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首先，从理论上看，对全球化和信息化是如何改变劳动力市场，从而降低NAIRU 还没有明确的解释。新经济论的支持者也是从一般意义上谈及全球化和信息化提高了效率，促进了国际竞争，但并没有建立起全球化和信息化同实际决定NAUIR的劳动力市场基本动态机制之间的直接联系。每个人都能想象出信息技术可能改善了信息交流、降低了交易成本和提高了劳动力市场的流动性，国际竞争可能改变了劳动和资本的相对力量对比，减少了工资压力，但这些观点还有没有综合起来确切给出有关部门劳动力市场的分析。</w:t>
      </w:r>
    </w:p>
    <w:p w14:paraId="1079517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其次，要区分长期的结构性变化和短期的变化，这的确不是一件容易的事情。新经济论者认为美国经济正经历着一次根本性的转变，然而他们对导致这种基本结构变化的解释不一定是正确的。传统宏观经济学除了指出全球化和IT 的实际重要性之外，还能解释由此带来的后果，不用依赖新的理论或者求助于建立新的结构性关系。</w:t>
      </w:r>
    </w:p>
    <w:p w14:paraId="299F640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要区分暂时性因素和结构性变化是一项艰难的工作，它要求扎实的实证分析，更为重要的是需要更长时间段的一系列数据。只有观察了多年的、不同经济条件下的失业和通货膨胀，才可以就是否出现了结构性变化得出结论。彼林德尔(Blider)总结了这一谨慎的观点：最近几年的经历并没有提供NAIRU 将低于5.5%的预期，现在要下此结论尚为时过早。</w:t>
      </w:r>
    </w:p>
    <w:p w14:paraId="4A03E08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bCs/>
          <w:szCs w:val="21"/>
        </w:rPr>
      </w:pPr>
      <w:r>
        <w:rPr>
          <w:rFonts w:hint="default" w:ascii="Times New Roman" w:hAnsi="Times New Roman" w:eastAsia="宋体" w:cs="Times New Roman"/>
          <w:b/>
          <w:bCs/>
          <w:szCs w:val="21"/>
        </w:rPr>
        <w:t>(三)新增长源泉论</w:t>
      </w:r>
    </w:p>
    <w:p w14:paraId="19D08F0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这一观点就经济是如何增长的问题提出了完全不同的解释。该理论认为，经过深入的研究，发现了一个完全不同的过程是经济增长的主要动力，这也使得新增长源泉论最令人感兴趣，但也最有争议和难于证实的。</w:t>
      </w:r>
    </w:p>
    <w:p w14:paraId="4A1A704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传统经济学认为，在规模经济几乎不变的条件下，经济增长是投入增加和技术进步的结果。这其中，对如何计量投入和定义技术进步存在一些争议，但对经济增长包含着替代关系并无异议。因此，增加资本意味着投资、储蓄和放弃消费，而增加劳动投入要求增加教育开支、放弃休闲。任何解释不到的经济增长都被归因于全要素生产率(TFP)所致，也被称为著名的索洛残数(Solow Residual)，它反映了诸如技术进步、外溢效应、效率的提高、规模经济等因素的影响。</w:t>
      </w:r>
    </w:p>
    <w:p w14:paraId="5CD8FDB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新经济论采纳了TFP 的观点，认为一些重要的部门受益于收益递增、外在经济、标准化和网络经济。在网络经济的时代，更多的投入创造出更多的产出。比如像因特网、传真机或软件系统这样的新IT 产品的价值，将随着其他人也如此投资而不断增值。因此，这种生产的外溢效应使现在的经济增长速度超出了传统经济学的解释力。与此相关的观点还包括：一旦达到了规模经济，经济将实现非线形的增长，在像硅谷这样的工业化和社会化组织里形成了信息反馈的良性循环，通过技术进步和规模经济可以降低价格、提高质量。尽管对传统经济学来说，这些观点并无新意，但新经济论者赋予这些观点超乎寻常的重要性，并把它们看成是经济全面增长的推动力量。</w:t>
      </w:r>
    </w:p>
    <w:p w14:paraId="65B8794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新经济论者认为，通常所见到的硬件和软件的使用就是收益递增和网络效应的初步证据。因为现代的通信网络(像因特网这样的系统) 都是高科技密集型的，计算机硬件和软件都表现出了许多收益递增的特征，IT部门被认为是新经济的关键力量。全球化有助于通过扩大市场的范围而使关键部门实现规模经济所要求的规模。最后，由于信息产品和其他物质产品在具体的生产、定价方面存在明显的差别，新的数字经济的性质从根本上不同于原来的工业化经济。</w:t>
      </w:r>
    </w:p>
    <w:p w14:paraId="598A013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质疑者指出，新增长源泉论对收益递增、网络效应、外在经济、标准化等的看法都可能是成立的，但有几个概念性的和实证性的问题必须加以澄清，如生产率增长的证据、IT 产生的可计量的影响等。在发现经济外溢效应和生产率增长的具有说服力的证据之前，对这些观点都必须谨慎对待。</w:t>
      </w:r>
    </w:p>
    <w:p w14:paraId="5206F75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此外，德龙（Delong)提出质疑，这些观点是否真的是“新”的？IT的经历并没有什么独特之外，因为大量的产品在面向市场之后都经历了价格下降、质量提高的过程。并没有迹象表明现阶段的网络经济比早期“产业革命”时期有什么更新奇的发展。</w:t>
      </w:r>
    </w:p>
    <w:p w14:paraId="63A96DF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综上所述，新经济论的描述性特征，就是强调全球化和信息技术(IT)的不断发展是经济发展的基本原因。在上述3种观点中，全球化和信息化不仅仅被看成是其他要素的代表，而且被看成是从根本上改变经济的推动力量。从表面上看这是符合事实的，然而，关键的问题是这些变化是否是“新”的，它们是否能真正改变经济运行的模式。</w:t>
      </w:r>
    </w:p>
    <w:p w14:paraId="1E0D95A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根据现有的证据，要科学地判断新经济是否真正出现还为时尚早。新经济应建立在经济发生了结构性变化的假设上，但目前缺乏充足的数据说明哪些是基础性变化，哪些是会产生同样结果的暂时性变化。正像韦伯(Webber)所指出的，扎实的实证分析是比较和评价新经济和旧经济观点的唯一方法。经济学家应当开始考虑实证检验，通过得出的结论，以便确定是否存在“新经济”。</w:t>
      </w:r>
    </w:p>
    <w:p w14:paraId="171DB4E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新经济论的支持者下一步要做的工作就是把不同的观点综合为一种统一的、有内在联系的解释。建立一个完善的全球化和信息化是如何既能影响长期增长趋势，又能影响短期劳动力市场机制的模型，将是对这场争论的一个有价值的贡献。这个模型需要解释全球化和信息化是如何改变失业、通货膨胀与经济增长之间的相互关系的(也许是通过增加劳动力市场流动性、信息交流、组织变化或减少交易成本来实现的) 。一个统一的模型也将提出一些经得起检验的假设来评价新经济论的有效性。</w:t>
      </w:r>
    </w:p>
    <w:p w14:paraId="15A9D7EC">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三、美国新经济实况与经济增长的两类原因</w:t>
      </w:r>
    </w:p>
    <w:p w14:paraId="59435AEB">
      <w:pPr>
        <w:spacing w:line="300" w:lineRule="auto"/>
        <w:ind w:firstLine="420" w:firstLineChars="200"/>
        <w:rPr>
          <w:rFonts w:hint="default" w:ascii="Times New Roman" w:hAnsi="Times New Roman" w:eastAsia="宋体" w:cs="Times New Roman"/>
          <w:b/>
          <w:szCs w:val="21"/>
        </w:rPr>
      </w:pPr>
      <w:r>
        <w:rPr>
          <w:rFonts w:hint="default" w:ascii="Times New Roman" w:hAnsi="Times New Roman" w:eastAsia="宋体" w:cs="Times New Roman"/>
          <w:b/>
          <w:szCs w:val="21"/>
        </w:rPr>
        <w:t>(一)新经济现象的特点与问题：以美国为例</w:t>
      </w:r>
    </w:p>
    <w:p w14:paraId="732FA70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如果可以把20 世纪90 年代以来美国在技术和经济方面发生的重要变化称为“新经济”的话，那么，这种新技术经济的现象具有以下持久性的总体特点：</w:t>
      </w:r>
    </w:p>
    <w:p w14:paraId="3328D6D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一是以知识提升为基础。与传统经济相比，当今经济的知识含量快速提升，这充分体现在产品、产业和人力中。知识和拥有知识的劳动力是最重要的经济要素，知识对经济增长的贡献越来越大。在美国，每年用于知识的生产及其传播的开支约占其国内生产总值的20 % ，其中，普通教育开支占10 % ，培训和在职教育开支占5 % ，研究和开发费用占5 %。现在，美国几乎60 %的工人是知识工人，80 %的新职业是由知识密集型的部门创造的。</w:t>
      </w:r>
    </w:p>
    <w:p w14:paraId="0E7632E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二是以信息技术为先导。同以往经济社会相异，现今信息技术一马当先，信息产业及其直接相关产业已在美国占主导地位。由计算机系统(电脑、软件及其服务)，通讯(电话、有线、无线及其卫星) 等构成的全新的多媒体产业发展迅猛，1996 年就占美国国内生产总值的14%，1997 年，电话、电脑、娱乐、金融服务等“新经济产品”的消费平均增长12.5%。</w:t>
      </w:r>
    </w:p>
    <w:p w14:paraId="0621870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三是以全球市场为导向。由于本国资源和市场的不足，以及积极推行贸易自由化、金融自由化等合法和非法的措施等，美国的新经济现象显然是以对外经济急剧扩张为前提的。目前，美国实行全球经济的企业由10 年前占全美企业总数的20 %上升至60 % ，外贸依存度也大大增加。</w:t>
      </w:r>
    </w:p>
    <w:p w14:paraId="168451F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四是以企业网络为载体。美国率先对企业结构进行重组和重建，使企业实现了网络化经</w:t>
      </w:r>
    </w:p>
    <w:p w14:paraId="24EB875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营。美国的因特网已连接世界186 个国家和地区，电子商务每年以200 %的速度递增，到1999年，美国39 %的零售商品在电子网络上出售，并日渐用电子货币的形式来支付。</w:t>
      </w:r>
    </w:p>
    <w:p w14:paraId="392EAB9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至于绝大多数文献和舆论认为新经济的特点是商业周期的消失或淡化，则本来就缺乏理论和实证依据，因为美国1993 年初以前和今年第三季度以来，以及日本经济10 年都启动不起来等，均有力地说明了这一点。</w:t>
      </w:r>
    </w:p>
    <w:p w14:paraId="69271D4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不管美国政府和企业如何为长期经济增长努力，资本主义市场经济的运行机制和发展态势表明，增长与衰退交替出现是一个客观规律。事实上，在“9·11”事件之前，美国经济已困难重重，危机四伏。它突出地表现为：(1)股市泡沫泛起。其成本与收益之比达35倍，远远高于过去70年14.5%的平均水平，这种“非理性繁荣”是刺破经济泡沫的金针。(2) 财富和收入差距扩大。在美国家庭净资产中，1%的最富家庭占37%，9%的较富家庭占31%，其余90 %的家庭只占32 %；美国人口中最富有的20%与最贫穷的20%，其收入差距是9 倍。1998 年美国大公司总裁的年收入平均高达1067 万美元，比上年高出36%，而一般工人平均收入仅22976美元，蓝领的收入增幅为2.7% ，白领的收入增幅为3.9%。这直接导致了个人储蓄率下降。(3)实物经济不断萎缩。从1970 年以来，美国的实物经济年均收缩2%，至今实物产出量已下降一半。其国内生产总值的增长主要来自第三产业，而各种金融投资活动的泛滥，极易诱发金融危机和经济危机。(4) 潜伏着通货膨胀的险情。美国目前存在大量的经常项目赤字，这是造成美元下跌从而引发通货膨胀的潜在因素。由于石油和其他初级产品的价格低廉，以及亚洲金融危机抑制了美国的进口价格等等，因而通货膨胀的潜在性暂时没有转化为现实。此外，还有库存量增加，消费者信心指数不高等问题。</w:t>
      </w:r>
    </w:p>
    <w:p w14:paraId="5532C81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因此，从2000年底开始，直到2001年第二季度，美国经济增长已下滑至0.3%，8月和9月初已出现负增长，经济衰退已成定局。可见，即使没有“9·11”事件，美国经济也肯定会出现危机，从而陷入“新经济”的商业周期之中。但是，美国执政者为了掩盖根源，推卸责任，转移视线，故意渲染和夸大“9·11”事件的负面影响，这是明显的。</w:t>
      </w:r>
    </w:p>
    <w:p w14:paraId="25AD7E34">
      <w:pPr>
        <w:spacing w:line="300" w:lineRule="auto"/>
        <w:ind w:firstLine="420" w:firstLineChars="200"/>
        <w:rPr>
          <w:rFonts w:hint="default" w:ascii="Times New Roman" w:hAnsi="Times New Roman" w:eastAsia="宋体" w:cs="Times New Roman"/>
          <w:b/>
          <w:szCs w:val="21"/>
        </w:rPr>
      </w:pPr>
      <w:r>
        <w:rPr>
          <w:rFonts w:hint="default" w:ascii="Times New Roman" w:hAnsi="Times New Roman" w:eastAsia="宋体" w:cs="Times New Roman"/>
          <w:b/>
          <w:szCs w:val="21"/>
        </w:rPr>
        <w:t>(二)20世纪90年代美国经济增长的两类原因</w:t>
      </w:r>
    </w:p>
    <w:p w14:paraId="4AD53CC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20世纪90年代，美国经济相对繁荣，不能单纯从一般意义上的新经济、信息化和全球化来解释。全面地观察，主要有两类原因，一类出于高科技推动的生产力和经济全球化，以及经济关系、经济制度和经济政策的调整，这是一般因素；另一类是特殊原因，如苏联东欧社会主义国家崩溃所形成的经济机会，以及美国推行经济等霸权主义所占的经济便宜。其中，经济政策的推动作用表现在：</w:t>
      </w:r>
    </w:p>
    <w:p w14:paraId="7181462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第一，刺激供给和控制需求相结合的财政政策促进了平衡预算的出现。</w:t>
      </w:r>
    </w:p>
    <w:p w14:paraId="65FC528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新经济自由主义者认为财政赤字是“滞涨”的主要症状和美国经济其他问题的总根源，自20 世纪80 年代初开始，美国就着手控制和削减政府支出。经努力，目前的美国政府成为35 年来雇员最少的政府，并将财政赤字减少到了最小的程度。自1981 年里根政府提出“经济复兴计划”后，美国还把减税以刺激私人投资作为新自由主义改革的主要措施，大大促进了企业的投资，刺激了经济的发展，扩大了政府的税基，从而实现了在降低税率的同时增加税收总额的目标。</w:t>
      </w:r>
    </w:p>
    <w:p w14:paraId="6E3B538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正因为采纳了通过减税以刺激供给和通过削减政府开支以控制需求的“双管齐下”政策，近年来美国的财政赤字迅速缩减。而财政赤字的大幅度下降增强了人们对美国经济前景的信心，促进长期利率走低，这不仅推动了投资市场的繁荣，而且也大大增强了美联储运用货币政策进行调控的能力。</w:t>
      </w:r>
    </w:p>
    <w:p w14:paraId="1527150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第二，稳定、连续、中性的货币政策推动了低通货膨胀下的经济增长。</w:t>
      </w:r>
    </w:p>
    <w:p w14:paraId="5256C16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在新古典宏观经济学的货币理论影响下，美国自20世纪80年代以来一直把制止通货膨胀作为宏观调控的首要目标，实现稳定、连续、中性的货币政策。特别是20世纪90年代以来，美联储坚持中性的货币政策，让利率保持中性，对经济既不起刺激作用，也不起抑制作用，从而使经济以其自身的潜在增长率在低通货膨胀下保持增长。而利率较低并保持基本稳定，则大大促进了企业的投资，特别是用于高技术和先进设备方面的投资。</w:t>
      </w:r>
    </w:p>
    <w:p w14:paraId="31BA4A4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第三，放松国家限制的政策增强了企业乃至整个经济的活力。</w:t>
      </w:r>
    </w:p>
    <w:p w14:paraId="1C939B6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在新自由主义经济学的推动下，美国自20世纪80年代以来大大放松了对企业的行政干预和限制，在各个方面为自由市场的顺利运行创造了有利条件。尽管这一政策不利于劳动者及其消费，但它可以使企业的负担和成本进一步下降，从而增强了竞争力。金融管制的放松则促进了金融创新活动的加快，也刺激了企业的投资和技术创新活动。</w:t>
      </w:r>
    </w:p>
    <w:p w14:paraId="4550625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就20世纪90年代美国经济增长的特殊原因来说，主要有下列两个：</w:t>
      </w:r>
    </w:p>
    <w:p w14:paraId="218457C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1.苏东国家的削弱和经互会的解体，为美国经济增长提供了特殊的有利条件。</w:t>
      </w:r>
    </w:p>
    <w:p w14:paraId="4AEFE47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苏联的解体，东欧社会主义国家的衰败，以及经互会和华沙军事集团的解体，使美国在世界上处于独一无二的霸主地位，客观上增强人们对美国经济增长的信心，并在资源、市场、技术、人员和出售军火等方面获利巨大。况且，在当今国际市场波动趋强的情况下，大多数国家都将美国视为较为安全的贸易和投资场所。</w:t>
      </w:r>
    </w:p>
    <w:p w14:paraId="29AC095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2.包括金融在内的经济霸权主义的特殊地位，为美国经济增长提供了特殊的有利条件。</w:t>
      </w:r>
    </w:p>
    <w:p w14:paraId="4DB5F6B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第二次世界大战后，在国际货币体系中美元一直具有十分重要的地位。尽管布雷顿森林体系崩溃后，美元地位一度有所削弱，但其在国际贸易、投资中的主导地位一直没有改变。苏东国家蜕变后，随着美国强权政治和经济地位的巩固，美元的中心地位得到增强。美元的特殊地位使美国在国际交往中获得了巨大利益，主要体现在：通过大量发行美元，并与世界其他各国间的循环，为美国经济注入强大的推动力。</w:t>
      </w:r>
    </w:p>
    <w:p w14:paraId="41A360C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美国是当今世界贸易逆差最大、资本净流入最大的国家。巨大的贸易逆差，意味着美国可以进口更便宜的商品，在消耗自身的各种资源较少的情况下，大量地利用了别国资源，而逆差可以通过巨大的资本净流入弥补。这一方面使美国在国民储蓄很低的情况下，依靠大量的外资流入弥补资金缺口，另一方面有助于美国的居民消费可以保持较高的增长水平，支持着美国经济的发展。</w:t>
      </w:r>
    </w:p>
    <w:p w14:paraId="6FB0026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更重要的在于，美国通过各种对冲基金、控制国际金融组织和经济组织，主导制订和推行较有利于美国的国际经济秩序和经济规则等等，合法与非法地无偿占有了别国的财富，客观上也能推动本国的经济增长。</w:t>
      </w:r>
    </w:p>
    <w:p w14:paraId="7A0BE269">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四、结语</w:t>
      </w:r>
    </w:p>
    <w:p w14:paraId="19419D7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新经济理论的提出是建立在新一轮美国经济的持续增长之上，而后者则可以被称作新经济的现实。可是，一国内部的经济不断社会化与生产要素的私有制之间的矛盾，国际社会的经济不断全球化与生产要素的私有制和国有制之间的矛盾，以及一国和全球经济的无政府或无秩序或无计划状态，必然导致一国和全球经济的紊乱和衰退。甭说日本、俄罗斯和不发达的资本主义国家等，就是作为新经济的样板——美国也难以逃脱周期性衰退的命运。美国经济在2001 年第三和第四季度的衰退，表明已正式陷入新一轮的周期之中。美国的霸权主义试图运用延长或扩大战争的办法来刺激经济能否真正奏效，我们将拭目以待。通过上述阐述可以看出，新经济的理论与现实都与新经济论者所试图定义和描述的要复杂得多。我们认为，既要充分认识高科技的巨大效能和新经济的迹象，但又不宜过分神话美国经济；对新经济的理论和现实，都应抱有某种审慎的态度。</w:t>
      </w:r>
    </w:p>
    <w:p w14:paraId="78273364">
      <w:pPr>
        <w:spacing w:line="300" w:lineRule="auto"/>
        <w:ind w:firstLine="420" w:firstLineChars="200"/>
        <w:rPr>
          <w:rFonts w:hint="default" w:ascii="Times New Roman" w:hAnsi="Times New Roman" w:eastAsia="宋体" w:cs="Times New Roman"/>
          <w:szCs w:val="21"/>
        </w:rPr>
      </w:pPr>
    </w:p>
    <w:p w14:paraId="1035EB78">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（原载《上海社会科学院学术季刊》2002年第1期，第二作者为余文静）</w:t>
      </w:r>
    </w:p>
    <w:p w14:paraId="000CFFC8">
      <w:pPr>
        <w:spacing w:before="156" w:beforeLines="50" w:after="156" w:afterLines="50" w:line="300" w:lineRule="auto"/>
        <w:ind w:firstLine="641" w:firstLineChars="200"/>
        <w:jc w:val="center"/>
        <w:outlineLvl w:val="1"/>
        <w:rPr>
          <w:rFonts w:hint="default" w:ascii="Times New Roman" w:hAnsi="Times New Roman" w:eastAsia="黑体" w:cs="Times New Roman"/>
          <w:sz w:val="32"/>
          <w:szCs w:val="24"/>
        </w:rPr>
      </w:pPr>
      <w:r>
        <w:rPr>
          <w:rFonts w:hint="default" w:ascii="Times New Roman" w:hAnsi="Times New Roman" w:eastAsia="宋体" w:cs="Times New Roman"/>
          <w:b/>
          <w:sz w:val="32"/>
          <w:szCs w:val="24"/>
        </w:rPr>
        <w:br w:type="page"/>
      </w:r>
      <w:bookmarkStart w:id="113" w:name="_Toc257922077"/>
      <w:bookmarkStart w:id="114" w:name="_Toc29450"/>
      <w:bookmarkStart w:id="115" w:name="_Toc6706"/>
      <w:bookmarkStart w:id="116" w:name="_Toc93074530"/>
      <w:bookmarkStart w:id="117" w:name="_Toc119435708"/>
      <w:bookmarkStart w:id="118" w:name="_Toc879328584"/>
      <w:bookmarkStart w:id="119" w:name="_Toc93074529"/>
      <w:r>
        <w:rPr>
          <w:rFonts w:hint="default" w:ascii="Times New Roman" w:hAnsi="Times New Roman" w:eastAsia="黑体" w:cs="Times New Roman"/>
          <w:sz w:val="32"/>
          <w:szCs w:val="32"/>
        </w:rPr>
        <w:t>股份制国有企</w:t>
      </w:r>
      <w:r>
        <w:rPr>
          <w:rFonts w:hint="default" w:ascii="Times New Roman" w:hAnsi="Times New Roman" w:eastAsia="黑体" w:cs="Times New Roman"/>
          <w:sz w:val="32"/>
          <w:szCs w:val="24"/>
        </w:rPr>
        <w:t>业改革效应分析</w:t>
      </w:r>
      <w:bookmarkEnd w:id="113"/>
      <w:bookmarkEnd w:id="114"/>
      <w:bookmarkEnd w:id="115"/>
      <w:bookmarkEnd w:id="116"/>
      <w:bookmarkEnd w:id="117"/>
      <w:bookmarkEnd w:id="118"/>
    </w:p>
    <w:p w14:paraId="090A517E">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一、股份制与国有企业所有权</w:t>
      </w:r>
    </w:p>
    <w:p w14:paraId="0970CDC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长期以来，理论界形成了一种具有代表性的观点，认为股份制在某种程度上是对私有制的否定，它不具有私有制属性，股份制就是公有制。其实，股份制是一种从私有制基础上生长起来的、与社会化生产的发展相联系的资本形式和经营方式。作为资本组织形式，股份资本是信用制度创造出来的一种社会资本即社会集资资本；作为经营方式，股份公司是资本所有权与经营权相分离的最典型形态。一般来说，股份公司可以实现资本占有的社会化、公司产权的独立化、所有权约束机制化、资本增殖的社会化和制度化、公司经营透明化、资源配置的市场化，因而它是一种市场型较先进的资本组织形式和企业经营方式。现代股份公司的所有制性质如何，关键要看这个股份公司由谁控制。如果股权分散在私人手中，并由私人控股，它自然是私有制性质；如果股权集中在国家手中，并由国家控股，它就具有国有制性质。党的十五大报告曾对这种观点作了总结性的概括：“股份制是现代企业的一种组织形式”，“不能笼统地说股份制是私有还是公有，关键看控股权掌握在谁手中。国家和集体控股具有明显的公有性”</w:t>
      </w:r>
      <w:r>
        <w:rPr>
          <w:rFonts w:hint="default" w:ascii="Times New Roman" w:hAnsi="Times New Roman" w:eastAsia="宋体" w:cs="Times New Roman"/>
          <w:szCs w:val="21"/>
          <w:vertAlign w:val="superscript"/>
        </w:rPr>
        <w:footnoteReference w:id="24"/>
      </w:r>
      <w:r>
        <w:rPr>
          <w:rFonts w:hint="default" w:ascii="Times New Roman" w:hAnsi="Times New Roman" w:eastAsia="宋体" w:cs="Times New Roman"/>
          <w:szCs w:val="21"/>
        </w:rPr>
        <w:t>。</w:t>
      </w:r>
    </w:p>
    <w:p w14:paraId="3F41747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正因为股份制经济的所有制属性取决于控股资本的所有制属性，所以，在国家股占极大份额且不能流通的情况下，股份公司所有制性质与传国有企业是一样的。国有独资和国家授权的股份公司可以有股东会、董事会等组织形式，也可以建立实质上符合规范的公司内部治理结构和现代企业制度，但其资产关系不会有实质性的变化。</w:t>
      </w:r>
    </w:p>
    <w:p w14:paraId="4C6CE31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国有制具有两个重要的特性：一是所有权的不可分性。国家是国有资产的惟一所有权主体，其他任何自然人或法人不可能成为国有资产所有权主体，不然，这部分资产就不是国有资产；二是剩余索取权的不可转让性。如果国有资产的剩余索取权转让了，那么，这一资产也就不是国有资产了。在所有权性质不变的前提下，选择不同的企业组织形式对效率有一定的影响，但不会根本改变其产权关系和经营机制，因为企业的经营机制和产权关系在本质上是由企业的所有权关系决定的。就国有企业而论，国家总是要在法律和政策方面对企业的经营决策、经营目标及运行规范作出限制，以保证国有资产的安全性和国有企业的营运符合国家利益。当国有企业发生经营困难或财务困难时，国家除非让它破产，不然也不可能不作干预。也就是说，对国有企业来说，政企完全分离是不可能的，国有企业也不可能有完全的经营自主权。这种限定是由国有企业所有权性质所决定的，也是国有企业发挥其特定功能和作用的制度保障。只要国有企业的所有权性质不变，就不能、也不应该从根本上改变其特定的功能和目的。如果企业在不改变所有权性质的前提下，通过赋予国有企业很大的经营自主权而使其具有和非国有企业完全一样的功能和目的，这不仅难以奏效，反而有可能使国有资产的安全性和收益率受到影响。</w:t>
      </w:r>
    </w:p>
    <w:p w14:paraId="699C376D">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二、股份制与“两权分离”</w:t>
      </w:r>
    </w:p>
    <w:p w14:paraId="296F750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所有权与经营权“两权分离”是一种相当具有代表性的国有企业改革思路，我国的国有企业改革基本上是循着这一思路展开的。笔者一直认为，这一思路在对有关理论的理解上是不准确的，因而在国有企业改革的制度设计方面也是有所欠缺的。其实践的结果，并没有根本解决国有企业经营机制转换，反而造成企业经营效益低下和较严重的“内部人控制”现象，导致国有资产的损失。现在，理论界有更多的观点对“两权分离”提出异议，所以，需要重新审视这一问题。</w:t>
      </w:r>
    </w:p>
    <w:p w14:paraId="1EDAB9B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在《资本论》中对股份制经济作了详尽的理论阐述。他指出，股份公司使“实际执行职能的资本家转化为单纯的经理，即别人的资本的管理人，而资本所有者则转化为单纯的所有者，即单纯的货币资本家。因此，即使后者所得的股息包括利息和企业主收入，也就是包括全部利润（因为经理的薪金只是，或者应该是某种熟练劳动的工资，这种劳动的价格，同任何别种劳动的价格一样，是在劳动市场上调节的），这全部利润仍然只是在利息的形式上，即作为资本所有权的报酬获得的。而这个资本所有权这样一来就同现实再生产过程中的职能完全分离，正像这种职能在经理身上同资本所有权分离一样。因此，利润（不再只是利润的一部分，即从借入者获得的利润中理所当然地引出来的利息）表现为对别人的剩余劳动的单纯占有，这种占有之所以产生，是因为生产资料已转化为资本，也就是生产资料已经和实际的生产者分离，生产资料已经作为别人的财产，而与一切在生产中实际进行活动的个人（从经理一直到最后一个短工）相对立。在股份公司内，职能已经同资本所有权相分离，因而劳动也已经完全同生产资料的所有权相分离”</w:t>
      </w:r>
      <w:r>
        <w:rPr>
          <w:rFonts w:hint="default" w:ascii="Times New Roman" w:hAnsi="Times New Roman" w:eastAsia="宋体" w:cs="Times New Roman"/>
          <w:szCs w:val="21"/>
          <w:vertAlign w:val="superscript"/>
        </w:rPr>
        <w:footnoteReference w:id="25"/>
      </w:r>
      <w:r>
        <w:rPr>
          <w:rFonts w:hint="default" w:ascii="Times New Roman" w:hAnsi="Times New Roman" w:eastAsia="宋体" w:cs="Times New Roman"/>
          <w:szCs w:val="21"/>
        </w:rPr>
        <w:t>。根据对这一论述的理解，可以得出以下结论：</w:t>
      </w:r>
    </w:p>
    <w:p w14:paraId="1C67F7E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1、马克思所说的“两权分离”，并非指股东会委托的、由董事会代理的所有权与经理的经营权相分离，并非指董事长与总经理的权利相分离。资本主义股份制中的资本所有权与资本职能的分离并不是指什么资本所有权、占有权、支配权、使用权之间的分离，而是指对生产劳动进行管理，对企业资产进行营运这一资本的管理职能与资本所有权相分离。即两权分离应该是股东的资产最终所有权同董事会和经理的经营管理权之间的划分，而非资本所有者和企业经营者之间的划分。至于董事长、董事和董事会实际参与经营管理的状况差别是很大的。这是股东人数众多，所有权分散，所有者难以对支薪的经理人员实施有效的监督，或者监督成本太高，而把所有者权益委托给企业的董事会，由董事会代表全体股东对经营者实施监督所致。企业的经营者只是在董事会的监督下管理和运营全体股东的资产。在我国的国有企业改革中，却是在董事会的权能尚未得到强化的情况下，过多把经营管理权向支薪管理人员集中和倾斜。这种逻辑思路的改革自然是所有者的权益受到管理人员的侵犯。</w:t>
      </w:r>
    </w:p>
    <w:p w14:paraId="0E76B2B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两权分离”的第二种含义是指资本的法律所有权和经济所有权的分离。马克思认为，借贷资本家与职能资本家实际上是伙伴，一个是法律上的资本所有者，另一个是经济上的所有者。职能资本家只要按期付息，就对借入资本获得了排他性的占有、使用、收益、处分权。在股份制中，它就体现为股东与公司法人的分权关系。这种股份制下的“两权分离”就是法律上的或终极所有权与法人所有权的分离。这种“两权分离”使企业获得了独立的法人资格。而按照所有权与经营权“两权分离”的国有企业改革思路，却是国家随时凭借终极所有权的地位平调企业的财产，或侵害企业的其他权益。</w:t>
      </w:r>
    </w:p>
    <w:p w14:paraId="3EA553D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2、应该明确规定企业法人所有权。依照物权法的法理，毫无疑问，企业法人对拥有的财产享有所有权。但是对公有制企业的法人问题，公司法一直没有作出明确的规定。我国公司法使用了“财产权”来表达企业法人的权利性质。但是财产权一词的法律含义是不准确的，而且这一表达并没有十分确定地定义企业财产权利</w:t>
      </w:r>
      <w:r>
        <w:rPr>
          <w:rFonts w:hint="default" w:ascii="Times New Roman" w:hAnsi="Times New Roman" w:eastAsia="宋体" w:cs="Times New Roman"/>
          <w:szCs w:val="21"/>
          <w:vertAlign w:val="superscript"/>
        </w:rPr>
        <w:footnoteReference w:id="26"/>
      </w:r>
      <w:r>
        <w:rPr>
          <w:rFonts w:hint="default" w:ascii="Times New Roman" w:hAnsi="Times New Roman" w:eastAsia="宋体" w:cs="Times New Roman"/>
          <w:szCs w:val="21"/>
        </w:rPr>
        <w:t>。其实，根据马克思的理解，他已经认识到了企业法人所有权的存在，即他所提的“资本法律上的所有权同它的经济上的所有权的分离”。用法律术语来解释，就是公司的终极所有权同公司法人所有权的分离。所以，物权法应该宣告企业法人包括国有企业法人享有所有权，揭示企业进入市场经济的法律基础，使国有企业成为真正的法人。</w:t>
      </w:r>
    </w:p>
    <w:p w14:paraId="2C506F6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3、对企业资产所有权的分割并不符合股份制的基本原理。我国理论界现在对股份制所有权关系的理解是想通过股份制将企业资产所有权在国家与企业职工之间进行分割，使企业职工成为既是实际生产者，又是资产所有者，与此相适应，利润也必须在国家与企业职工之间进行分割。这样，劳动与生产资料所有权及剩余劳动所有权就不是分离，而是结合；资本所有权与其在现实再生产过程中的职能就不是分离，而是结合。然而，国有制的一个重要特征就是所有权的不可分割性，如果自然人能成为其主体，则其性质并非是国有制。并且剩余权在国家与企业职工之间的分割，也导致了国家所有权的弱化，这在理论上也是不符合逻辑的，必然会弱化国家所有制的性质和职能。</w:t>
      </w:r>
    </w:p>
    <w:p w14:paraId="23B92FA6">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三、股份制与企业经营者持股</w:t>
      </w:r>
    </w:p>
    <w:p w14:paraId="38EA967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1、股份制与企业内部职工持股制有学者认为，建立员工持股制度不仅能给公司法人治理结构注入活力，有利于形成稳定的职工队伍，有效地防止国有资产的流失，而且还可以增加养老金的补充，减轻政府的负担等等</w:t>
      </w:r>
      <w:r>
        <w:rPr>
          <w:rFonts w:hint="default" w:ascii="Times New Roman" w:hAnsi="Times New Roman" w:eastAsia="宋体" w:cs="Times New Roman"/>
          <w:szCs w:val="21"/>
          <w:vertAlign w:val="superscript"/>
        </w:rPr>
        <w:footnoteReference w:id="27"/>
      </w:r>
      <w:r>
        <w:rPr>
          <w:rFonts w:hint="default" w:ascii="Times New Roman" w:hAnsi="Times New Roman" w:eastAsia="宋体" w:cs="Times New Roman"/>
          <w:szCs w:val="21"/>
        </w:rPr>
        <w:t>。不过，职工一旦拥有本企业的股票是否就和企业资产所有权直接相联系，是否能在这种基础上生成合理、有效的公司法人治理结构，则需作进一步的理论分析。从根本上说，股份资本是信用制度创造的一种联合资本。从名义上说，每一个股东都与这一联合资本有关系。由于股利收入与资本增值状况相联系，因而股东自然关心他所参股企业的经营活动。但是，对于一般股东而言，他只是他所拥有的股票的所有者，只拥有这一定数额股票的资本价值的所有权。我们一般将股票笼统地说成是股份资本的所有权证书，这是不够的。股票仅仅是一种虚拟资本，只是它所代表的资本价值的所有权证书。确切地说是对实际投入资本所实现的剩余价值的相应部分的所有权证书，而与实际投入资本即现实资本没有什么直接联系。从投资角度来看，股东用他的货币购买股票，也就是将他的货币资本转换成某种金融资产（生息资本）。他直接关心的是这些资本所能带来的收益，一旦公司经营不佳，影响了股东的利益，他随时可以把股票出卖，将其货币资本转换成其他一种预期收益更大的金融资产。多数个人股东购买股票并不是投资于企业，而是投资于证券，是一种投机行为。股东的投资目的大多是为了短期的股票价格收入，而不是为了获得长期的股息收入。这一投资目的基本上是由一般股东持股有限、其利益与股利分配的关联程度并不大所决定的。对于参股额不大的一般股东和企业职工来说，这种分配机制基本上不具有刺激一般股东积极性和职工劳动积极性的作用。在股份制经济中，真正与股份资本实体（现实资本）的所有权有直接的、固定的联系的，是这一股份资本实际控股的大股东。也就是说，要与某一股份制企业的资产所有权发生直接联系，就必须通过对股票的多数数量的控制，进而达到对现实资本的控制。所以，国有企业改制为股份公司，如果是国家控股，职工作为一般股东与企业资产经营并不发生联系。那么，企业以职工参股为契机，在企业直接生产者与企业资产所有权相结合的基点上形成一种激励和制约机制的思路就难以奏效。</w:t>
      </w:r>
    </w:p>
    <w:p w14:paraId="31CD25D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2、股份制与企业经理持股制西方产权理论的代表人物阿尔钦和德姆塞茨认为，度量各项工程的困难产生于企业的产出是多投入的联合产出。为了确定每一项投入的贡献并使报酬与之相对应，就必须观察每项投入所有者的行为，如果报酬不能反映各项投入的边际生产率的差别，就会有“偷懒”的情况发生。因此，必须有一个作为中心签约人的企业家监控各方，但是谁又来监控监控者——企业家呢?为了避免最终的监控者“偷懒”，惟一的办法就是让他对自己的行为负责，也就是让他拥有剩余索取权，将会促使企业家努力工作。而所谓剩余索取权，指的是对于企业收益用来支付各项生产要素的报酬和投入品价格之后的剩余收入的索取权。</w:t>
      </w:r>
    </w:p>
    <w:p w14:paraId="7996F24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根据这种理论，有人极力主张立即对经营者实行持有股权和期权的激励和分配方式。众所周知，由于现代企业的“代理问题（agency problem）”，即如何使企业经理或代理人在实现自己利益最大化的同时也实现企业或委托人的利益最大化。换言之，如何使企业经理与股东利益在更大程度上保持一致，让他们更好地为股东服务。可是，实现这一目的的措施有多种选择。其中，以经营者个人财产抵押为基础的年薪制为公有制企业的最佳选择。实践表明，给企业经理一定的认股权确实能够在一定程度上调动企业经理的积极性，但是，相对来说过于复杂，又存在着较大的不确定性。况且，在我国却并不具备实行企业经理认股权所必须具备的两个重要条件，这两个重要条件就是：第一，要有有效的经理劳动力市场。这样才能保证企业的经理是在竞争性的人才选拔中产生。但是目前我国的经理基本上是政府部门、组织部门闭门操作的结果。这样选出来的经理并不是市场的最优选择，因而其素质和能力难以得到保证。第二，要有有效的资本市场，特别是要建立起完善的股票市场。良好的资本市场可以为检验公司的业绩提供一个重要的客观手段。但是在我国尽管资本市场有一定的发展，股市也有一定的规模，目前中国上市公司的市价已近3万亿元，占GDP的35%。然而由于占2/3的国家股和法人股不能流通，其价值有待于市场检验。而且剩下的1/3仅为GDP的10%，又容易为少数人所操纵。因而股票根本不能反应企业的实际运行情况，再加上证券市场立法和执法都存在相当多的问题，中介机构缺乏独立性，政府的干预以及庄家的恶意炒作，资本市场基本上不能反应企业的业绩，更不能提供对企业的监督。因此由于中国目前还没有相应的人才市场和资本市场的支持，结果可能是给依靠不正当关系窃取国有企业管理层位置的少数人，获得一次合法的掠夺社会财富的机会。而且资本市场的不规范行为更有可能导致经理层的短期行为。</w:t>
      </w:r>
    </w:p>
    <w:p w14:paraId="6F3CA229">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四、股份制与债转股</w:t>
      </w:r>
    </w:p>
    <w:p w14:paraId="3ADCF3B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20世纪90年代以来，为了减少银行的不良债权，降低银行潜在的金融风险，一些国家直接出资组建金融资产管理公司，比较典型的有美国的RTC、日本的bridge银行、德国的托管银行、法国的CDR以及瑞典、韩国、泰国、马来西亚等国的AMC。其中，某些国家的金融资产管理公司在减少银行不良债权、化解金融风险方面已经取得了可喜的成绩。参照国外的做法，我国也由政府出资设立了金融资产管理公司，实行债转股。</w:t>
      </w:r>
    </w:p>
    <w:p w14:paraId="59A44B1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资本从它的所有者手中有代价地转移到使用者手中有权的过程，就是融资的过程。这种融资过程是以债权的形式还是以股权的形式，无论是对所有者还是对企业而言都有着重大的区别。它决定了所有者的地位、权利和义务，也决定了企业的融资结构和治理结构，这是由债权和股权的性质决定的。债权和股权是两种不同的所有权。股权是股东对股份公司的所有权，这种所有权是一种综合性权利，如参加股东大会、投票表决、参加公司的重大决策、收取股息或分享红利等。股权大小取决于股票持有者的数量和占公司总股本的比重。债权是所有者要求债务人承诺按约定条件还本付息的权利。它们都是对企业的控制权，但表现形式和时机不同。企业正常经营时，公司的控制权体现为股权，当企业破产时，企业的控制权由股权让位于债权。</w:t>
      </w:r>
    </w:p>
    <w:p w14:paraId="1D59359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按照公司财务理论，根据融资成本，迈尔斯和麦吉勒夫认为公司融资的顺序应该是：A1内部融资，B1发行债券，C1发行股票。但是我国企业对融资成本较低的债资不感兴趣，却对成本较高的股权融资有强烈的冲动。为什么呢?究其原因是我国的股权融资近乎无成本、约束较弱的一种融资方式。有人把我国企业在债转股中偏好高成本的股权，放弃低成本的债权叫“二律背反”。这说明我国企业的公司治理结构、经营机制是和规范的股份是有一大段距离的。</w:t>
      </w:r>
    </w:p>
    <w:p w14:paraId="2742ADF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规范的债转股应该是债权人将治理结构调整作为债务重组的先决条件之一，通常是原来的经营管理人员离职，以及债权人对企业的直接监控甚至接管，待财务结构、经营结构和必要的产权结构调整后形成新的治理结构。而我国的“债转股”则是原来的债权人消失，取而代之的是资产管理公司这样一个新股东，而原来的经营者仍处于企业的管理层。因而企业的治理结构并没有得到根本改善，“内部人控制”问题依然存在。对银行来说，由于把不良资产划归给了资产管理公司，银行可能因此而减低其回收不良资产的积极性。同时，银行和资产管理公司也有可能存在“和谋”行为，结果是银行把资产管理公司作为它处置新的坏账的外设机构，而资产管理公司很难完全拒绝其母体银行的特殊要求，从而会产生新的坏账。所以，债转股的效果恐怕不会很理想。</w:t>
      </w:r>
    </w:p>
    <w:p w14:paraId="3DD3C87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一般来说，债权对股股权的接管是资产所有者权能的凸显，是资产所有权的强化，是资产所有者对其所聘用的经营者的不满的表示，而在我国的债转股实践中，出现了所有者权益受到经营者的侵犯却不能得到制止的做法，这与标准的股份制原理已相差甚远了。</w:t>
      </w:r>
    </w:p>
    <w:p w14:paraId="54B7292E">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五、结论</w:t>
      </w:r>
    </w:p>
    <w:p w14:paraId="3A4264F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综合以上分析，笔者认为，作为一种有效的集资形式，股份制可以广泛吸收社会资本，扩大国有企业的经济实力和生产规模；作为一种科学的、规范的经营形式，股份制有利于硬化企业的外部制约力和提高企业的竞争意识，有利于提高国有企业的经营管理水平；作为一种现代企业的组织形式，股份制有利于理顺我国国有企业的产权关系，建立规范的公司治理结构和现代企业制度。因而，股份制是可以作为我国国有企业改革的一个重要方向。但是，在国家所有制改革中，股份制并不能解决所有层次的问题，更不能靠它生成一种更有效率的公有制形式。而且，在股份制的推行中，如果没有严格的立法和执法以保障国有企业财产的权利，没有规范的产权制度以界定国有企业行为，那么，国有企业改革不仅难以获得股份制的正面效应，而且还会以国有资产所有者权益的丧失为代价。</w:t>
      </w:r>
    </w:p>
    <w:p w14:paraId="2831409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p>
    <w:p w14:paraId="78AD63F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p>
    <w:p w14:paraId="4301CDE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参考文献：</w:t>
      </w:r>
    </w:p>
    <w:p w14:paraId="16F5252D">
      <w:pPr>
        <w:keepNext w:val="0"/>
        <w:keepLines w:val="0"/>
        <w:pageBreakBefore w:val="0"/>
        <w:widowControl w:val="0"/>
        <w:kinsoku/>
        <w:wordWrap/>
        <w:overflowPunct/>
        <w:topLinePunct w:val="0"/>
        <w:autoSpaceDE/>
        <w:autoSpaceDN/>
        <w:bidi w:val="0"/>
        <w:adjustRightInd/>
        <w:snapToGrid/>
        <w:spacing w:line="400" w:lineRule="exact"/>
        <w:ind w:firstLine="360" w:firstLineChars="200"/>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 xml:space="preserve">[1]马克思. 资本论[M]. 第三卷，北京：人民出版社，1975. </w:t>
      </w:r>
    </w:p>
    <w:p w14:paraId="7174A4DD">
      <w:pPr>
        <w:keepNext w:val="0"/>
        <w:keepLines w:val="0"/>
        <w:pageBreakBefore w:val="0"/>
        <w:widowControl w:val="0"/>
        <w:kinsoku/>
        <w:wordWrap/>
        <w:overflowPunct/>
        <w:topLinePunct w:val="0"/>
        <w:autoSpaceDE/>
        <w:autoSpaceDN/>
        <w:bidi w:val="0"/>
        <w:adjustRightInd/>
        <w:snapToGrid/>
        <w:spacing w:line="400" w:lineRule="exact"/>
        <w:ind w:firstLine="360" w:firstLineChars="200"/>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 xml:space="preserve">[2]R·科斯，A·阿尔钦，D·诺斯，等. 财产权利与缺席变迁[M]. 上海：上海三联书店. 上海人民出版社，1994. </w:t>
      </w:r>
    </w:p>
    <w:p w14:paraId="2FC9B563">
      <w:pPr>
        <w:keepNext w:val="0"/>
        <w:keepLines w:val="0"/>
        <w:pageBreakBefore w:val="0"/>
        <w:widowControl w:val="0"/>
        <w:kinsoku/>
        <w:wordWrap/>
        <w:overflowPunct/>
        <w:topLinePunct w:val="0"/>
        <w:autoSpaceDE/>
        <w:autoSpaceDN/>
        <w:bidi w:val="0"/>
        <w:adjustRightInd/>
        <w:snapToGrid/>
        <w:spacing w:line="400" w:lineRule="exact"/>
        <w:ind w:firstLine="360" w:firstLineChars="200"/>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 xml:space="preserve">[3]程恩富. 西方产权理论评析[M]. 北京：当代中国出版社，1997. </w:t>
      </w:r>
    </w:p>
    <w:p w14:paraId="132F5470">
      <w:pPr>
        <w:keepNext w:val="0"/>
        <w:keepLines w:val="0"/>
        <w:pageBreakBefore w:val="0"/>
        <w:widowControl w:val="0"/>
        <w:kinsoku/>
        <w:wordWrap/>
        <w:overflowPunct/>
        <w:topLinePunct w:val="0"/>
        <w:autoSpaceDE/>
        <w:autoSpaceDN/>
        <w:bidi w:val="0"/>
        <w:adjustRightInd/>
        <w:snapToGrid/>
        <w:spacing w:line="400" w:lineRule="exact"/>
        <w:ind w:firstLine="360" w:firstLineChars="200"/>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 xml:space="preserve">[4]程恩富. 伍山林. 企业学说与企业变革[M]. 上海：上海财经大学出版社，2001. </w:t>
      </w:r>
    </w:p>
    <w:p w14:paraId="63D2D197">
      <w:pPr>
        <w:keepNext w:val="0"/>
        <w:keepLines w:val="0"/>
        <w:pageBreakBefore w:val="0"/>
        <w:widowControl w:val="0"/>
        <w:kinsoku/>
        <w:wordWrap/>
        <w:overflowPunct/>
        <w:topLinePunct w:val="0"/>
        <w:autoSpaceDE/>
        <w:autoSpaceDN/>
        <w:bidi w:val="0"/>
        <w:adjustRightInd/>
        <w:snapToGrid/>
        <w:spacing w:line="400" w:lineRule="exact"/>
        <w:ind w:firstLine="360" w:firstLineChars="200"/>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 xml:space="preserve">[5]程恩富. 当代中国经济理论探索[M]. 上海：上海财经大学出版社，2000. </w:t>
      </w:r>
    </w:p>
    <w:p w14:paraId="710522BF">
      <w:pPr>
        <w:keepNext w:val="0"/>
        <w:keepLines w:val="0"/>
        <w:pageBreakBefore w:val="0"/>
        <w:widowControl w:val="0"/>
        <w:kinsoku/>
        <w:wordWrap/>
        <w:overflowPunct/>
        <w:topLinePunct w:val="0"/>
        <w:autoSpaceDE/>
        <w:autoSpaceDN/>
        <w:bidi w:val="0"/>
        <w:adjustRightInd/>
        <w:snapToGrid/>
        <w:spacing w:line="400" w:lineRule="exact"/>
        <w:ind w:firstLine="360" w:firstLineChars="200"/>
        <w:textAlignment w:val="auto"/>
        <w:rPr>
          <w:rFonts w:hint="default" w:ascii="Times New Roman" w:hAnsi="Times New Roman" w:eastAsia="宋体" w:cs="Times New Roman"/>
          <w:sz w:val="18"/>
          <w:szCs w:val="18"/>
        </w:rPr>
      </w:pPr>
      <w:r>
        <w:rPr>
          <w:rFonts w:hint="default" w:ascii="Times New Roman" w:hAnsi="Times New Roman" w:eastAsia="宋体" w:cs="Times New Roman"/>
          <w:sz w:val="18"/>
          <w:szCs w:val="18"/>
        </w:rPr>
        <w:t>[6]杨运杰. 债转股的目标取向和制度保证[J]. 经济理论与经济管理，2000，（2）</w:t>
      </w:r>
    </w:p>
    <w:p w14:paraId="054F02F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kern w:val="0"/>
          <w:szCs w:val="21"/>
        </w:rPr>
      </w:pPr>
    </w:p>
    <w:p w14:paraId="0CD6308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kern w:val="0"/>
          <w:szCs w:val="21"/>
        </w:rPr>
        <w:t>（原载《</w:t>
      </w:r>
      <w:r>
        <w:rPr>
          <w:rFonts w:hint="default" w:ascii="Times New Roman" w:hAnsi="Times New Roman" w:eastAsia="宋体" w:cs="Times New Roman"/>
          <w:bCs/>
          <w:kern w:val="0"/>
          <w:szCs w:val="21"/>
        </w:rPr>
        <w:t>经济经纬》</w:t>
      </w:r>
      <w:r>
        <w:rPr>
          <w:rFonts w:hint="default" w:ascii="Times New Roman" w:hAnsi="Times New Roman" w:eastAsia="宋体" w:cs="Times New Roman"/>
          <w:kern w:val="0"/>
          <w:szCs w:val="21"/>
        </w:rPr>
        <w:t>2002年第2期，第二作者为王晓文）</w:t>
      </w:r>
    </w:p>
    <w:p w14:paraId="3164F131">
      <w:pPr>
        <w:spacing w:line="300" w:lineRule="auto"/>
        <w:ind w:firstLine="420" w:firstLineChars="200"/>
        <w:rPr>
          <w:rFonts w:hint="default" w:ascii="Times New Roman" w:hAnsi="Times New Roman" w:eastAsia="宋体" w:cs="Times New Roman"/>
          <w:szCs w:val="21"/>
        </w:rPr>
      </w:pPr>
    </w:p>
    <w:p w14:paraId="03E39E52">
      <w:pPr>
        <w:spacing w:before="156" w:beforeLines="50" w:after="156" w:afterLines="50" w:line="300" w:lineRule="auto"/>
        <w:ind w:firstLine="440" w:firstLineChars="200"/>
        <w:jc w:val="center"/>
        <w:outlineLvl w:val="1"/>
        <w:rPr>
          <w:rFonts w:hint="default" w:ascii="Times New Roman" w:hAnsi="Times New Roman" w:eastAsia="黑体" w:cs="Times New Roman"/>
          <w:bCs/>
          <w:sz w:val="32"/>
        </w:rPr>
      </w:pPr>
      <w:r>
        <w:rPr>
          <w:rFonts w:hint="default" w:ascii="Times New Roman" w:hAnsi="Times New Roman" w:eastAsia="宋体" w:cs="Times New Roman"/>
          <w:b/>
          <w:sz w:val="22"/>
        </w:rPr>
        <w:br w:type="page"/>
      </w:r>
      <w:bookmarkStart w:id="120" w:name="_Toc8635"/>
      <w:bookmarkStart w:id="121" w:name="_Toc24154"/>
      <w:bookmarkStart w:id="122" w:name="_Toc1606218058"/>
      <w:bookmarkStart w:id="123" w:name="_Toc2040536281"/>
      <w:r>
        <w:rPr>
          <w:rFonts w:hint="default" w:ascii="Times New Roman" w:hAnsi="Times New Roman" w:eastAsia="黑体" w:cs="Times New Roman"/>
          <w:bCs/>
          <w:sz w:val="32"/>
        </w:rPr>
        <w:t>社会关系网络企业新的资源配置形式</w:t>
      </w:r>
      <w:bookmarkEnd w:id="119"/>
      <w:bookmarkEnd w:id="120"/>
      <w:bookmarkEnd w:id="121"/>
      <w:bookmarkEnd w:id="122"/>
      <w:bookmarkEnd w:id="123"/>
    </w:p>
    <w:p w14:paraId="17E4A011">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一、继承性与生成性社会关系网络</w:t>
      </w:r>
    </w:p>
    <w:p w14:paraId="55D525E2">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作为经济运作的基本单元，企业构成了现代经济生活的微观基础，其重要性是不言而喻的。不过，在主流经济学传统中，“企业”却一直是一个不予考虑的问题，因为它已被假定为一个固定不变的理性单元，因而在经济学模型中可以忽略不计。只是到了新制度主义经济学兴起后，企业本身才被纳人经济学分析对象之中。但是，新制度主义经济学关于企业的分析建筑在古典经济学微观分析的基础上，仍带有浓厚的主流经济学的抽象色彩，与企业有关的变量也经过大大简化，无法反映复杂的企业现实运作。</w:t>
      </w:r>
      <w:r>
        <w:rPr>
          <w:rFonts w:hint="default" w:ascii="Times New Roman" w:hAnsi="Times New Roman" w:eastAsia="宋体" w:cs="Times New Roman"/>
          <w:sz w:val="21"/>
          <w:szCs w:val="21"/>
          <w:vertAlign w:val="superscript"/>
        </w:rPr>
        <w:footnoteReference w:id="28"/>
      </w:r>
      <w:r>
        <w:rPr>
          <w:rFonts w:hint="default" w:ascii="Times New Roman" w:hAnsi="Times New Roman" w:eastAsia="宋体" w:cs="Times New Roman"/>
          <w:sz w:val="21"/>
          <w:szCs w:val="21"/>
        </w:rPr>
        <w:t>正是出于这一点，新经济社会学家才开始对企业予以现实的考察，从而在经验实证的基础上重建企业理论。可以说，从新经济社会学的视角出发对企业进行研究有着较高的学术价值。所谓新经济社会学视角，就是从社会结构视角把社会关系网络分析工具引人新经济社会学企业理论中，并用此方法对企业进行研究。</w:t>
      </w:r>
    </w:p>
    <w:p w14:paraId="126B500F">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米切尔（Michetl）从社会关系的角度出发，将社会关系网络界定为“某一群体中个人之间特定的联系关系，其整体的结构，可以称之为该群体中个人的社会行动”</w:t>
      </w:r>
      <w:r>
        <w:rPr>
          <w:rFonts w:hint="default" w:ascii="Times New Roman" w:hAnsi="Times New Roman" w:eastAsia="宋体" w:cs="Times New Roman"/>
          <w:sz w:val="21"/>
          <w:szCs w:val="21"/>
          <w:vertAlign w:val="superscript"/>
        </w:rPr>
        <w:footnoteReference w:id="29"/>
      </w:r>
      <w:r>
        <w:rPr>
          <w:rFonts w:hint="default" w:ascii="Times New Roman" w:hAnsi="Times New Roman" w:eastAsia="宋体" w:cs="Times New Roman"/>
          <w:sz w:val="21"/>
          <w:szCs w:val="21"/>
        </w:rPr>
        <w:t>。当然，社会关系网络中的点即个体不一定仅限于个人，它也可以是组织、群体或是整个社会甚至是国家。社会关系网络中连接个体之间的关系也是多种多样的，既可以是朋友、亲戚，也可以是交流渠道、商业交换或贸易往来关系。所以，社会关系网络是人与人之间相互连接所形成的一个整体结构，它并不是一张平面的网，而是立体交错的空间网络。社会关系网络的连接包括四个方面，即连接的强度、连接的多元性、连接的持久性和连接的互换性。连接强度是指构成社会关系网络的行动者彼此间关系的强度。不同的社会结构制造出不同的社会文化背景，其社会经济秩序的构成基础也就不同，并不存在一个普遍性的秩序构成基础问题，中国社会秩序的构成基础就不同于美国社会，它的基础在于强关系网络而不在于弱关系网络，而对这种差异形成的解释，只能依赖对不同社会结构下历史传统分析的展开。对于中国社会，这种强关系网络建立具有两个不同的基础第一个基础是中国人际关系取向的传统行为模式第二个基础在于中国人所处的隙缝经济文化中正式机构常常不可靠，因而导致非正式的信任机制发挥作用。连接的多元性是指社会关系网络中连接关系的同质性程度。社会关系网络行动者之间的关系种类越多，则这个网络的连接多元性较高。多元性可操作为网络行动者间连接关系的类型。社会关系网络行动者之间的关系保持不变的性质就是社会关系网络的持久性。因为个人社会关系网络的连接关系很强，相对而言，网络行动者间的关系较持久和稳定。如果整个社会关系网络连接的关系是稳定和持久的，网络的整合性就高。互换性是指构成社会关系网络行动者之间的互换对称的程度。社会关系网络连接的强弱以及连接的多元性，直接影响整个社会关系网络结构的稳定性，使社会关系网络表现出不同的性质，对企业资源配置功能起了很大作用。</w:t>
      </w:r>
    </w:p>
    <w:p w14:paraId="1932039C">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社会关系网络理论与方法在中国企业问题研究中富有价值。之所以做出这样的判断，主要原因是中国的社会结构与社会关系网络理论有不谋而合之处。中国社会文化强调社会的优先地位，个人对家庭、群体利益的服从，社会关系在企业资源配置中发挥着重要作用，这些特征使社会关系网络在中国能够轻易地找到理论的原型和证明的依据。</w:t>
      </w:r>
    </w:p>
    <w:p w14:paraId="1582075A">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在中国企业资源配置中发挥作用的社会关系网络大致可分为两类。第一类可称之为“生成性关系”，即企业行动者通过经济活动本身所创造与开发的人际资源第二类可称之为“继社会关系网络企业新的资源配置形式承性关系”，即在企业行动者进人经济生活之前就已经存在的先天性人际资源。对于这两种情况来说，都存在着企业行动者对资源建构与利用策略的选择问题。具体地说，既然社会关系对企业经济目的达成具有积极意义，企业行动者在进人某一个经济事件前将尽力确保自己与该事件的其他参与者有着一定的关系。这种关系可能已经存在，也可能并不存在，需要企业行动者去创造。在第一种可能中，继承性关系的存在并不意味着万事大吉，因为社会关系本身并不是经济资源，而是获取经济资源的渠道，如何利用现有的人际关系资源开发潜在的经济资源是一个必须予以解决的难题。在第二种可能中，企业行动者采取各种手段来建立关系，对于企业行动者确立自己在市场经济竞争中的优势地位具有重要意义。而且，关系建构策略选择的关键，在于企业行动者对纳人其行动情境中的各类因素如何运用理性方法加以分析与判断，这反映了企业经济行动者个人能力的高低，并在一定程度上决定着企业经济活动的成败。</w:t>
      </w:r>
    </w:p>
    <w:p w14:paraId="38951587">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亲缘、血缘、地缘、情缘等关系在大多数情况下构成了经济生活中的继承性关系。对于企业成员来说，在进人理性化的企业制度之前彼此间便可能具有某种社会关系，如亲戚、同学、同乡、朋友等。有时候，正是社会关系的存在，才使得企业中的正式关系成为可能，如企业的合伙人往往是因为彼此相熟才共同创办企业。社会关系与企业中的正式关系混杂在一起，这一点在小规模企业中更为明显。在此，以亲缘关系为例来说明继承性关系的意义。在中国，传统的亲缘关系与现代经济关系交织和融合在一起，家族关系经常成为企业经营的基础。在中国的传统农村社会中，社会结构是建构在血缘关系和地缘关系基础上的。前者是以家族为核心内容的亲属网络，后者则是以村庄为单位的社会共同体。在改革前的30年农村发展中，通过发展集体经济，后者得到不断的强化，而在很多地方，家族的力量受到不同程度的抑制。在农村改革以后，部分村集体经济弱化，村社的作用降低，同时在农民以家庭为单位从事生产时，家族亲属重新成为重要的社会支持和交往的制度保障。因此，在乡镇企业的发展中，以村社及家族等为主建立起来的各种特殊关系作为非正式组织及由此而形成的非正式制度，对其有着巨大影响。例如，在温州的经济发展中，家族关系就起了非常重要的作用。从投资到企业的管理、合作，都渗透着家族因素，企业等级结构与命令机制的功能也由家族权威所替代。在企业发展的初期，企业运作通过家族关系来维系具有许多优点，如管理费用低、无需专门的管理人员、不必设立专门财务人员和详细的生产制度等，这就使得家族企业成为内部交易费用较低和效率较高的组织方式。</w:t>
      </w:r>
      <w:r>
        <w:rPr>
          <w:rFonts w:hint="default" w:ascii="Times New Roman" w:hAnsi="Times New Roman" w:eastAsia="宋体" w:cs="Times New Roman"/>
          <w:sz w:val="21"/>
          <w:szCs w:val="21"/>
          <w:vertAlign w:val="superscript"/>
        </w:rPr>
        <w:footnoteReference w:id="30"/>
      </w:r>
    </w:p>
    <w:p w14:paraId="20449B88">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可以从个人和群体如社区共同体的角度来看待作为一种资源的继承性关系。个人在其他生活领域中形成的人际关系如朋友、战友等数量的多少和质量的高低，决定了能用于企业经济活动之中的关系资源总量的丰富程度。这就是个人所拥有的社会资本。这意味着，经济活动者以前的生活背景对个人继承性关系资源的丰富程度具有很大影响。例如，在乡镇企业的领导人中，许多人在当厂长之前没有一个是纯粹务农的农民，或是乡村干部，或是原机械厂的管理人员、销售人员和技术人员，或是国有企事业单位的职工，或是复员军人。这些办厂之前的经历不仅使他们积累了经验、锻炼了能力，更为以后的创业积累了社会资本，因为这段经历使他们与社会有广泛的联系，建立了各种各样的关系，而这些关系有助于他们创业过程的顺利进行。从群体的层面来看，丰富的继承性关系资源对群体的经济发展是非常有利的。例如，继承性关系资源丰富的农村社区比这类资源较为缺乏的农村社区更有经济优势。产生于地缘关系及地域认同感的“乡土关系资源”就是最常见的一种继承性关系资源，对农村乡镇企业的发展往往有着特殊意义。</w:t>
      </w:r>
    </w:p>
    <w:p w14:paraId="1835AE25">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就生成性关系而言，则面临着建构与保持维系的问题。企业的经济生活本身既要求、也导致了关系网络的创造与发展。关系网络中的各方在最初可能主要是以合作关系和交换关系为基础而联系起来的，但随着经济互动的增加，这些关系会逐渐演变为特殊的人际关系。由业缘关系演绎出的新社会关系反过来又对企业的经营产生了重要作用。企业家绝大多数缺乏“先天条件”，血缘、亲缘关系对他们几乎没有帮助，因而只能靠业缘和朋友，在平时的经营和社交中广交朋友，注重建立和发展关系。进而，通过以信义赢得信誉、加强业务往来、加大交往中的感情和物质投人等手段，与经销商、用户、有关业务部门、政府部门建立了超越于单纯经济关系的社会关系，不断扩大企业经营的资源。</w:t>
      </w:r>
    </w:p>
    <w:p w14:paraId="51837FC7">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在构造关系的过程中，企业行动者会采取各种有效的策略。建构在当代中国社会生活中发挥巨大作用的“关系”，实际上意味着力图实现人际交往模式从普遍性向特殊性、从抽象性向具体性、从制度化向非正式化的突破。</w:t>
      </w:r>
    </w:p>
    <w:p w14:paraId="2F2CB347">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二、社会关系在企业资源配置中具有的功能</w:t>
      </w:r>
    </w:p>
    <w:p w14:paraId="60DE990C">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在社会关系网络建立起来后，在不同情况下对企业资源配置具有不同功能。第一个方面的功能在于它能为企业所需资源的获得提供捷径。</w:t>
      </w:r>
    </w:p>
    <w:p w14:paraId="5CBB48D0">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社会关系网络自身并不是经济资源，而是动员经济资源的渠道。在当代中国的乡镇企业和家族企业中，它构成了获取短缺要素的独特方式。由于各种原因的限制，过去一、二十年中乡镇企业经营所必须的生产要素如资金、土地等都是短缺资源。乡镇企业和家族企业为了获取这些短缺资源，更多地采用社会关系网络这种非正式制度安排的方式获取。因为一方面它是中国的社会结构决定的，另一方面，在中国转型期，社会关系网络呈现出一种新的趋向—资本化。社会关系网络资本化的社会动因是利益驱动，其现实化的原因在于制度缺失。谋求建立社会关系网络被企业当作占有或配置社会资源的捷径。</w:t>
      </w:r>
    </w:p>
    <w:p w14:paraId="24507D92">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社会资源最重要的特点是它的稀缺性、有限性。对于一个企业而言，它总是显得匾乏，不能满足企业的需要。获得社会资源的多寡是衡量一个企业核心竞争力的一个重要标准，社会资源潜存于社会关系网络之中。社会关系网络作为社会资源的载体，意味着社会关系网络作社会关系网络企业新的资源配置形式为企业的社会支持系统是不可或缺的。社会关系网络在社会资源获得中的重要性，使得人们可以把社会关系网络进行工具性利用，以达到功利化目标，即把社会关系网络本身当作一种能够带来更多社会资源的特殊的社会资源。此时，社会关系网络便成为一种社会资本。</w:t>
      </w:r>
    </w:p>
    <w:p w14:paraId="06652102">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由于社会资源的稀缺性和有限性，通过正常的渠道获取社会资源有时不仅需要极高的社会成本，而且缺乏成功的保障。高成本、高风险促使人们寻求稳妥、可靠的捷径。与所需社会资源潜存的或能支配所需社会资源的社会关系网络建立强关系，就可以依特殊主义信任原则而具有优先获得的可能。</w:t>
      </w:r>
    </w:p>
    <w:p w14:paraId="0651103D">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在企业组织中，通过社会关系以及由此产生的信任与服从来程度不同地取代等级制与命令机制，在一定程度上能减少在企业内部建立与实施制度的成本和降低道德风险。这构成了社会关系对企业所具有的第二方面的功能。</w:t>
      </w:r>
    </w:p>
    <w:p w14:paraId="7EEE7F05">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企业并不是完全按照制度规定来维持其运转的。如在中国的乡镇企业和家族企业中，甚至企业制度本身都是极不成熟的，而是由其所处的具体条件来选择运转方式的，社会关系就是其中重要的一种方式。在企业中存在着与正式的组织结构很不相同的非正式互动形式，即人际关系结构，并且，正是这种结构在维系着企业的运转。“社会关系”由此成为企业内部活动的重要因素。在中国，由血缘、亲缘、地缘关系形成的紧密协作关系及由此产生的信任感，甚至使得企业制度成为一件没有价值的奢侈品。家族的不同行动者担任不同的企业职务，并通过家族权威来协调企业的运作。</w:t>
      </w:r>
    </w:p>
    <w:p w14:paraId="717F0921">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在市场调节能力不强、规则不健全及信息不完备时，以血缘关系为基础建立起来的企业组织，其内部结构简单，管理层次较少，行动者之间具有较高的信任与合作能力。企业具有较高的灵活性和较强的抗风险能力。表现在（1）家族式管理现象的存在有利于减轻企业的内耗，避免相互扯皮现象出现，做到令行禁止；（2）企业决策的制定者和执行者之间的利益是一致的，目标是同一的，这可以一定程度上减少决策执行过程中出现的矛盾，使得企业主和员工能同心协力，有着一定的向心力和凝聚力；（3）企业员工队伍比较稳定，流动性低，保证了企业生产经营活动的连续性；（4）企业员工由于利益目标相对容易统一，因而员工生产积极性较高，主动性和创造性较强，有利于工作效率的提高；（5）能较好地协调家庭行动者的行动，最大限度地利用时间，节省原材料，降低成本。可见，与其他组织相比，家族血缘关系网络可被视为一种具有明显比较优势的廉价组织资源，并能避免某些非家族企业内部的机会主义倾向。</w:t>
      </w:r>
    </w:p>
    <w:p w14:paraId="087AA48F">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从降低道德风险视角观察，中国人际交易模式主要是建立在社会关系网络基础之上的，通过建立双方特殊的人际关系来获得彼此间的信任，因为关系越成熟、越信任对方，达成交易的可能性就越大。以人情关系作为交易基础的交易模式有这样两个特点一是可以减少交易费用，因为较熟悉的关系可以减少搜索、订立契约及履行契约的成本二是可以减少不确定性和风险。在一个市场经济和法治不健全的社会里，交易中的风险及不确定性是相当大的。为了减少风险和不确定性，人们在交易过程中就尽量利用特殊信任关系。这种特殊信任关系往往会构成一种关系型专用资产。在特殊信任关系内从事交易不一定是最优的，即不一定能达到“帕累托最优”，但是，可以大大地降低企业经济活动中的不确定性和风险。从其产生的原因和背景来看，乡镇企业和家族企业采用家族式管理有其理性的一面如减少交易费用、减少不确定性和风险等，这种理性的产生根源于特定的制度及制度环境。在契约不可能绝对完善的约束下，企业通常诉诸的非正式组织约束，即依靠义气、忠诚、感情、血缘等因素，来保证实现企业的最优目标。</w:t>
      </w:r>
    </w:p>
    <w:p w14:paraId="2603D360">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在我国诸多乡镇企业或家族企业中，以关系网络为基础的个人中心型管理成为重要特征。这些企业是以韦伯的魅力型领导为中心而组织起来，并借助于各个部门的行动者间的个人关系进行合作与运转的企业。它并不是一个以正式的制度和组织框架为核心而有条不紊地运作的架构。公司的命令、信息、工作项目等的流通是通过关系网络，而不是通过正式的组织程序来实现的这与许多西方发达国家的家族企业不同，后者是由家族控股的现代公司制企业，在美国上市的大型企业中有的企业和《财富》杂志公布的强中有家就属于此种类型的家族企业。在企业中，韦伯式的理性化科层制已为充满个人色彩的非正式组织所取代，个人权威与私人关系已深深渗透到公司的整个运作过程之中。</w:t>
      </w:r>
    </w:p>
    <w:p w14:paraId="33940C57">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社会关系网络的功能在于协调企业与其组织环境的关系，这构成了社会关系对企业所具有的第三个功能。</w:t>
      </w:r>
    </w:p>
    <w:p w14:paraId="13BCFE65">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一方面，企业自身构成了一个社会体系，社会关系网络在其中发挥着重要作用另一方面，企业的生存与发展与它所身处其中的更大社会体系有着密切联系，企业对组织环境的适应情况在很大程度上决定了企业的命运，而有效的社会关系建构与利用策略也有助于企业适应能力的提高。</w:t>
      </w:r>
    </w:p>
    <w:p w14:paraId="1303EC64">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企业间的社会关系网络对企业的发展是至关重要的。例如，企业之间关系性契约的存在，在许多行业中所采用的分包合同这意味着总承包商与各级分包商之间稳定的社会关系的存在，都是企业为提高其环境适应程度而作的努力。</w:t>
      </w:r>
    </w:p>
    <w:p w14:paraId="5C70762C">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从科斯到威廉姆森的企业理论设计了这样一种分析框架，即企业是从效率角度出发内生地决定其边界的，即企业是根据“交易费用”大小来决定所需商品和劳务是由市场供应还是在企业内部自行生产，这就决定了企业的边界。利用市场交易有时交易费用过大，就会产生市场失灵在企业内部交易，有时组织成本太大会产生组织失灵。企业是在对二者进行比较后决定企业规模的，这是理性的高效率的选择</w:t>
      </w:r>
      <w:r>
        <w:rPr>
          <w:rFonts w:hint="default" w:ascii="Times New Roman" w:hAnsi="Times New Roman" w:eastAsia="宋体" w:cs="Times New Roman"/>
          <w:sz w:val="21"/>
          <w:szCs w:val="21"/>
          <w:vertAlign w:val="superscript"/>
        </w:rPr>
        <w:footnoteReference w:id="31"/>
      </w:r>
      <w:r>
        <w:rPr>
          <w:rFonts w:hint="default" w:ascii="Times New Roman" w:hAnsi="Times New Roman" w:eastAsia="宋体" w:cs="Times New Roman"/>
          <w:sz w:val="21"/>
          <w:szCs w:val="21"/>
        </w:rPr>
        <w:t>。在现实经济生活中，企业的边界经常是不清晰的，在企业的内部和外部之间是可以有中间环节的。“市场”和“科层制组织”之间的中间性结构是节约交易费用的手段</w:t>
      </w:r>
      <w:r>
        <w:rPr>
          <w:rFonts w:hint="default" w:ascii="Times New Roman" w:hAnsi="Times New Roman" w:eastAsia="宋体" w:cs="Times New Roman"/>
          <w:sz w:val="21"/>
          <w:szCs w:val="21"/>
          <w:vertAlign w:val="superscript"/>
        </w:rPr>
        <w:footnoteReference w:id="32"/>
      </w:r>
      <w:r>
        <w:rPr>
          <w:rFonts w:hint="default" w:ascii="Times New Roman" w:hAnsi="Times New Roman" w:eastAsia="宋体" w:cs="Times New Roman"/>
          <w:sz w:val="21"/>
          <w:szCs w:val="21"/>
        </w:rPr>
        <w:t>。据此，我们可以认为企业间的社会关系网络组织是克服市场失灵和内部组织失灵的制度性方法，企业间的社会关系网络性质是一种准企业经济组织，是第三种资源配置形式。</w:t>
      </w:r>
    </w:p>
    <w:p w14:paraId="101617D3">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台湾地区和广东珠江三角洲，浙江温州和江苏南部地区的中小企业网络是独立企业之间的长期合作，它没有总部和组织图、没有科层，但企业间社会关系网络内企业行动者的分工细致。它主要存在于规模经济不明显的产业上，如服装、家具、制鞋、玩具、电子附件等产业。上述社会关系网络组织其运营模式有以下特征第一，企业资本投向以劳动密集型产业为主。第二，企业资金来源以依赖民间借贷为主。在以血缘、亲缘、地缘、业缘关系为基础的各中小企业关系网络中，依赖相互信任。在业务链的上下环节中，一般采用相互赊帐和迟延付款方式来减少资金的使用。第三，社会关系网络对企业与其组织环境的协调所起的作用是显而易见的。而且在很多时候，固定、有限空间中关系网络的集结对企业活动具有重要的意义，企业所处的组织环境与其所处的空间环境的奇妙结合能够增加令人意想不到经济效率。</w:t>
      </w:r>
    </w:p>
    <w:p w14:paraId="1747874F">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上述地区企业之间靠社会关系网络来联结，而维系这种企业间关系网络的核心是“信任”、“义务”和“承诺”这种社会资本。在这些中小企业间形成社会关系网络之前，往往就早已存在血缘、亲缘、地缘或业缘的关系。如果没有这种重视社会关系取向的社会结构和文化，企业间在资金上的相互赊账和迟延付款、工艺技术方面的相互模仿、合同订单的互借互助等默契的人情交往行为都无法进行，专业市场中的中间产品交易成本也就会变得十分昂贵。尽管这种交易首先考虑的是经济因素，但在一个人们相互之间的背景和历史都清晰明了的“互识社会”中，信任、义务与承诺所致的特殊信任和暗含契约往往比现代契约合同更为可靠。因为，现代契约合同违反补偿是即时和有限的，在“互识社会”中，对某个个人违反承诺失去信任，就意味着对他所处的整个社会关系网络全体业主的违诺，对违反者的惩罚所带来的损失是难以用金钱来衡量，可能失去在该社会关系网络存在的权力。</w:t>
      </w:r>
    </w:p>
    <w:p w14:paraId="403FA34E">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我们从上述企业间的社会关系网络特征可以看出，企业间社会关系网络中分工协作关系网络的维系，主要依赖在其血缘关系基础上派生出的特殊信任关系—非正式的暗含契约。</w:t>
      </w:r>
    </w:p>
    <w:p w14:paraId="3F1FD0A6">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如果企业各个行动者的行为在任何时候都可以观察到，或能签定一系列明确规定在各种可能的情况下每个行动者应做什么、如何去做并能付诸实施的完整契约，企业间长期分工协作也就无关紧要，在条件下，企业间的合作完全可以按市场规则去做。遗憾的是，这种高度预见性、完全信息、无成本的签定和履行契约的设想在现实中并不存在。对此，契约治理以两种典型的方式做出反应。一是尽量搜寻信息，预计各种可能出现的情况，制定一个尽可能详细、完备的契约，以减少不确定性二是放弃对完全契约的追求，依赖非正式的暗含契约，这种契约只规定一些基本条款，主要靠签约方根据长期的利害关系和信誉来实施并做出调整，尽管在法律上较难操作，但对签约方却具有约束力。企业是否愿意在非书面协议甚至有时连口头协议也没有的基础上进行交易，是区分欧美企业与儒家社会企业间关系的一个重要特征。暗含契约作为维系长期交易的一种机制，优点在于其固有的灵活性。在相互信任和义务一致的前提下，暗含契约能使企业根据变化对契约作出迅速、灵活的调整，其目的在于维持长期交易的互惠性本身，而非形式上的书面协定。这种灵活性使暗含契约比正式契约更能承受不利因素的冲击，从而维持交易关系的活力，特别是有利于鼓励相互之间的专用资产投资。长期交易惯例既提供了一种相互依赖和保险，降低不确定性、机会和交易成本，同时又不做出绝对的、完全的承诺。只有相互信任，公平交易，互惠互利，长期交易才得以维持，而这正是竞争所要达到的结果。因此，长期交易并不排斥竟争，而恰好以竞争为基础，将惯例与竞争法则有机的结合起来。</w:t>
      </w:r>
    </w:p>
    <w:p w14:paraId="3D8D2C6E">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社会关系网络最后一方面的功能源于它对企业劳动力市场无论是内部市场还是外部市场所具有的意义。</w:t>
      </w:r>
    </w:p>
    <w:p w14:paraId="79C0FFBC">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格兰诺维特年在《美国社会学杂志》上发表的“弱关系的力量”一文，提出弱关系力量假设，即把“弱关系”在寻找工作时变成强关系。他认为弱关系之所以是强的，是因为弱关系是传递信息的有效桥梁。美籍华裔社会学家林南在发展和修正格兰诺维特的“弱关系力量假设”时提出了自己的社会资源理论。他认为那些嵌人于个人社会关系网络中的社会资源—权力、财富和声望，并不为个人所直接占有，而是通过个人的直接或间接的社会关系来获取。在一个分层的社会结构中，当行动者采取工具性行动时，如果弱关系的对象处于比行动者更高的地位，他所拥有的弱关系将比强关系给他带来更多的社会资源。个体社会关系网络的异质性、社会关系网络行动者的社会地位、个体与社会关系网络行动者的关系力量决定着个体所拥有的社会资源的数量和质量。</w:t>
      </w:r>
    </w:p>
    <w:p w14:paraId="7D9A7E41">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上述两位是以西方社会结构和文化为基础，来判断经济理性行动者在寻找工作时是以弱关系作为信息桥梁的。我们把视野从西方转向以儒家、团队或群体思想为基础的东亚地区时，格兰诺维特的弱关系适用的范围大大缩小。</w:t>
      </w:r>
    </w:p>
    <w:p w14:paraId="2F1524CF">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渡边深1985年在东京地区主持一项大型调查显示，日本是通过强关系来寻找工作的。为了验证渡边深的结论，边燕杰于1988年和1999年在天津进行了相同的调查，而千户调查的结果同样显示中国的社会关系网络的特征是高趋同性、低异质性和高紧密性，格兰诺维特弱关系假设中作为信息桥的弱关系的使用率不高在中国经济处于转型时期，以血缘、亲缘、地缘、业缘关系为基础形成的特殊信任和规范的强关系使用频率却随着改革的不断推进而上升。</w:t>
      </w:r>
    </w:p>
    <w:p w14:paraId="0B136700">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从非国有企业的内部市场来看，社会关系网络中的亲缘、地缘等社会关系因素严重影响着企业职员岗位的分配及职位的提升。当劳动力的供给大于需求时，特殊的社会关系是获取企业内较好工作岗位的条件。在乡镇企业或家族企业中，个人职务的提升并不完全是出于对他的工作绩效的肯定，也不完全是为了提高整个企业的效率。无论是部门主管还是公司高层领导，他们关于提拔某个下属的决策以及具体的提拔行为都是嵌人于企业的人际关系结构之中的。特别是在以智力型劳动力为主的企业中，劳动力的工作绩效是很难加以客观而精确的测量的。这是因为，一方面绩效的测量存在着技术上的限制如绩效标准的选择与具体的测量成本，另一方面，在关系网络中的单个劳动者的工作绩效是与他人紧密地融合在一起的。这样，企业领导将倾向于提拔与自己个人关系较好的下属，因为他既在领导心中具有良好印象，又有更多机会在领导面前展现自己的能力。</w:t>
      </w:r>
    </w:p>
    <w:p w14:paraId="1EA90415">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从外部市场来看，社会关系基础上的信赖感和关系网络中的信息流通产生了劳动力与企业劳动岗位的有效匹配，因为这既能减少劳动力供需双方的信息搜寻费用，又可以使企业的生产与管理稳定进行。例如，企业现有员工对亲戚、朋友、老乡等的引荐，是企业扩大劳动力的一个渠道。在许多企业，用工的原则更是与亲缘关系密不可分，企业所有者与企业职员的关系在一定程度上就是亲戚关系。</w:t>
      </w:r>
    </w:p>
    <w:p w14:paraId="6EF5A624">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根据林南的理论，关系网络作为一种动员资源的渠道，在整个人群中的分布是不均的。具有较高经济社会地位与握有较大权力的人，更有可能为自己关系网络中的其他行动者起到有意义的作用。对于寻找工作的劳动力而言，这一点也是适用的。在一些企业，网络资源的不均匀分布也与流动性本身密切地结合起来。职务较高者的流动引起他人流动的可能性更大，而职务较低者从公司的流出本身却很难引发其他员工从公司的流出。这是因为，在公司中职务较高者如果离开公司到其他企业去工作的话，其获得的新职务也较高，这就使得他有能力支持与自己有关系的公司的其他职员的流动。对于职务较低的流动者来说，情况却恰恰相反</w:t>
      </w:r>
      <w:r>
        <w:rPr>
          <w:rFonts w:hint="default" w:ascii="Times New Roman" w:hAnsi="Times New Roman" w:eastAsia="宋体" w:cs="Times New Roman"/>
          <w:sz w:val="21"/>
          <w:szCs w:val="21"/>
          <w:vertAlign w:val="superscript"/>
        </w:rPr>
        <w:footnoteReference w:id="33"/>
      </w:r>
      <w:r>
        <w:rPr>
          <w:rFonts w:hint="default" w:ascii="Times New Roman" w:hAnsi="Times New Roman" w:eastAsia="宋体" w:cs="Times New Roman"/>
          <w:sz w:val="21"/>
          <w:szCs w:val="21"/>
        </w:rPr>
        <w:t>。</w:t>
      </w:r>
    </w:p>
    <w:p w14:paraId="06B9009B">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从另一个角度来看，企业本身为建立社会关系网络提供了一个密切的互动场所。当企业在一定时期内稳定地运转下去时，便可能在行动者间建立关系网络，因为长期在同一企业内工作更容易使企业行动者之间形成密切的关系网络，增进彼此的理解与友谊，进而建立了一个以工作同事为主要对象的新的关系网络。企业为各个素不相识的人提供了熟识与了解的场合，并促使他们之间形成稠密的关系网络。但随着时间的推移与环境的改变，原有的企业从这一网络的背景中逐渐消逝，而这一网络本身却依然存在。这就为企业行动者的再流动提供了有效的发生机制。当企业职员离开工作过的企业开始寻找新的工作时，原有地缘、亲缘、情缘基础上的人际关系网络仍在发挥重要作用，不过，新的组织机制—业缘网络—开始形成。例如，外出者在异地就业活动中往往结成了新的业缘关系基础上的人际关系。一些企业的打工者“跳槽”往往是连锁性的，只要其中的一个先到一个新单位，往往就会把原来的同事们一一介绍过去。</w:t>
      </w:r>
    </w:p>
    <w:p w14:paraId="079C30A4">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三、正确认识和应用社会关系网络理论</w:t>
      </w:r>
    </w:p>
    <w:p w14:paraId="6CCC5901">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上述情况表明，我们必须正确认识和应用社会关系网络理论与方法对中国企业资源配置问题的研究。</w:t>
      </w:r>
    </w:p>
    <w:p w14:paraId="1AE848EF">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第一，要明确界定社会关系网络理论与方法应用的基础。由于社会关系网络与不同国家、地区的社会结构、历史文化传统有非常密切的内在联系，因而在使用它作为分析基本概念时，必须特别注意它的文化特殊性和地域性特征，否则，就难以准确地理解在不同社会结构下，不同个人、群体、社会团体中社会关系网络的构成和运作方式。</w:t>
      </w:r>
    </w:p>
    <w:p w14:paraId="22A753A4">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网络中的社会关系始终是企业资源配置值得考虑的因素，即使在经济生活理性化程度较高的西方世界，社会关系也对企业资源配置起着重要作用。不过，西方经济社会学家是站在一个更高层面的理性化的经济背景下来考虑企业资源配置问题的，即在经济生活的制度化已达到较高水准后再回过头来看非制度因素在企业资源配置中的意义。也就是说，社会关系因素在理性化程度不同的中国和西方企业资源配置中所具有的意义是不一样的。作为西方新经济社会学家，他们所面对的研究对象是具有较高理性化程度及普遍信任基础上的企业活动，这种企业经济活动以较为成熟的市场体系相对明晰的产权制度，完善的经济组织结构及经济设施等为主要特征，企业的正式经济制度安排基本上已不再是一个问题，而是在经济体系运转过程中不断发挥作用的铁一般的事实，因而能够引起研究兴趣的反而是如社会关系网络这种非正式制度对企业经济秩序及制度因素配置的影响。例如，不论在美国还是中国，在谋职过程中社会关系都发挥了重要作用，但在美国弱关系的作用更为显著，而在中国强关系更有效果。弱关系的功能主要是传递信息，而中国强关系则提供了实质性帮助，二者发挥作用完全不同。至少，理性化程度高的国家和地区，工作信息流通之后的招聘主要依赖理性化的效率标准，而中国却是特殊的人情关系在里面起了重要作用。这说明，其中存在着理性化程度不同的问题，理性化程度较低的中国企业对社会关系的依赖度比理性化程度较高的西方国家企业更高。可见，关键之处不在于社会关系而在于企业经济活动的理性化。对于中国企业而言，这意味着在理性化程度较低的现阶段，社会关系在企业资源配置中所发挥的正面作用较大。年代以后兴起的乡镇企业和家族企业大多产生在中国市场经济的初创阶段，市场在功能和结构上存在着诸多的不完善，家族制作为一种企业制度比较好的适应了这种不完善性。在市场调节能力不强、规则不健全及信息不完备时，以家族血缘关系为基础建立起来的企业组织，其内部结构简单，管理层次较少，成员间具有较高的信任与合作能力。企业具有较高的灵活性和较强的抗风险能力。因此，与其他组织相比，家族血缘关系网络资源可被视为一种具有明显比较优势的廉价组织资源。</w:t>
      </w:r>
    </w:p>
    <w:p w14:paraId="67882D95">
      <w:pPr>
        <w:keepNext w:val="0"/>
        <w:keepLines w:val="0"/>
        <w:pageBreakBefore w:val="0"/>
        <w:widowControl w:val="0"/>
        <w:tabs>
          <w:tab w:val="left" w:pos="63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从另一视角看，在社会运行分析上，社会关系网络中的社会关系和社会资本是沟通个人和制度的中间物。个人行为能否实现个人理性与社会理性的和谐，以及制度能否解决集体行为的困境，不仅取决于个人和制度本身，还取决于双方联系的中间媒体—社会资本。这是因为，个人不仅有追求利益最大化的动机，而且还有寻求共同体生活和被认同的需要，这两个需要也被称为是利益最大的理性和行动的逻辑理性。这两个需要始终处于钟摆式的运动中，因而制度的设计应该回应这种钟摆运动。但是，制度的僵化和滞后往往造成个人需求无法从制度中得到即时的满足，在这个制度断档时段上，中间层的作用就明显起来，能够提供个人与制度的缓冲，并对制度的改革起到推动作用。</w:t>
      </w:r>
    </w:p>
    <w:p w14:paraId="685B728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第二，中国社会结构决定了社会关系网络理论与方法在中国企业资源配置应用中的谨慎性。在企业资源配置中运用社会关系网络时，必须把握两个前提一是中国社会文化传统的特殊性。由于对家庭和血缘的强调，中国的社会关系网络的核心是家庭，大部分社会关系本质上是在理性化程度较低的血缘关系的延伸和扩展，社会关系在很大程度上具有可继承性。这些社会关系虽然体现了人际关系的密切，但是“相对封闭，延伸的半径小，多为纵向，在这种社会关系网络中难以形成相互之间的普遍信任的最大认同和接纳，整合成为整体社会资本”</w:t>
      </w:r>
      <w:r>
        <w:rPr>
          <w:rFonts w:hint="default" w:ascii="Times New Roman" w:hAnsi="Times New Roman" w:eastAsia="宋体" w:cs="Times New Roman"/>
          <w:sz w:val="21"/>
          <w:szCs w:val="21"/>
          <w:vertAlign w:val="superscript"/>
        </w:rPr>
        <w:footnoteReference w:id="34"/>
      </w:r>
      <w:r>
        <w:rPr>
          <w:rFonts w:hint="default" w:ascii="Times New Roman" w:hAnsi="Times New Roman" w:eastAsia="宋体" w:cs="Times New Roman"/>
          <w:sz w:val="21"/>
          <w:szCs w:val="21"/>
        </w:rPr>
        <w:t>二是中国社会转型的特殊性。在转型的过程中，我们要提倡现代意义上的普遍主义社会关系网络，而非传统的血缘基础上的特殊的社会关系网络。毫无疑问，在中国社会转型的初期，传统意义上的社会关系网络在实现企业资本积累、推动企业人员流动上起了巨大的作用，不过，由于传统社会关系网络的局部过密及与政治权力的过度联系，也造成了许多问题。突出地体现为家族企业成长到一定阶段后，家族制将会面临一些自身难以逾越的障碍，原先积极的因素开始转变成制约企业进一步发展的消极因素。企业发展的历史表明，企业规模的扩大总是与更加深人的专业化分工协作相伴随的企业管理的复杂性不断上升，用具有专门知识的支薪经理阶层取代家族成员的压力也日益增强。任人唯亲、对外人的不信任及严重排外是家族制企业的固有倾向，在这种构架中形成的激励机制往往是低效率的。其结果是进一步加剧了日益加深的专业化分工与专业化管理水平低下之间的矛盾，企业追求规模经济面临的管理瓶颈制约日趋严重。这不仅不利于企业规模的扩大，而且损害了现代信用机制的建立。</w:t>
      </w:r>
    </w:p>
    <w:p w14:paraId="53D8D57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综上所述，由于制度性资源的相对缺乏，在企业资源配置中社会关系因素必然在一定程度上取代制度因素，而发挥着广泛的功能。在理性化程度不高的中国，非国有企业中社会关系因素作为资源配置作用更为重要。中国社会中对人际关系的重视为人们寻找短缺资源提供了有利的帮助。在法制不健全的社会中，传统的文化对于规范人们的行为起着非常重要的作用。可是，当正式的制度真正成为人们配置资源的有效途径时，社会关系就很少再纳人企业经济活动者予以重视的行动工具箱之中，即特殊信任基础上的社会关系网络同正式制度成反比例，但并不存在替代性。这就意味一方面要对现有的社会关系网络存量进行改造，发掘传统社会关系网络中社会关系的积极配置效用另一方面，也是更重要、更艰巨的工作，是利用制度创新增加现代意义的具有普遍主义信任的社会关系网络规模。要在理性程度较高的法制基础上重新建构中国的社会关系网络资源配置机制。</w:t>
      </w:r>
    </w:p>
    <w:p w14:paraId="1486471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p>
    <w:p w14:paraId="68F60C1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b/>
          <w:bCs/>
          <w:sz w:val="21"/>
          <w:szCs w:val="21"/>
        </w:rPr>
        <w:t>参考文献</w:t>
      </w:r>
      <w:r>
        <w:rPr>
          <w:rFonts w:hint="default" w:ascii="Times New Roman" w:hAnsi="Times New Roman" w:eastAsia="宋体" w:cs="Times New Roman"/>
          <w:sz w:val="21"/>
          <w:szCs w:val="21"/>
        </w:rPr>
        <w:t>：</w:t>
      </w:r>
    </w:p>
    <w:p w14:paraId="1E974D2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1.Bian, Y. J. 1997, “Bring Strong Ties Back in: Indirect Ties, Network Bridges and Job Searches in China”, American Sociology Review 62.</w:t>
      </w:r>
    </w:p>
    <w:p w14:paraId="646E6D1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2.Granovetter, M. 1973, The Strength of Weak Ties, American Journal of Sociology, 78.</w:t>
      </w:r>
    </w:p>
    <w:p w14:paraId="7A8B174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3.Granovetter, M. 1985, Economic Action And Social Structure: The Problem of Embeddedness,  American Journal of Sociology, 91.</w:t>
      </w:r>
    </w:p>
    <w:p w14:paraId="43E8AFE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4.Lin, Nan. 1982, “Social Resources and Instrumental Action”, in Marsden, P. and Lin, Nan. (eds), Social Structure and Network Analysis, Beverly Hills, CA: Sage Publication, Inc.</w:t>
      </w:r>
    </w:p>
    <w:p w14:paraId="62019B4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5.Williamson, O. 1975, Markets and Hierarchies : Analysis and Antitrust Implications, New York: Free Press.</w:t>
      </w:r>
    </w:p>
    <w:p w14:paraId="0A63E80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6.Mithell, J. Clyde, 1969,The Concept and Use of Social Network”, in Social Network in Urban Situations, edited by J. C. Mitchell. Manchester, Eng: Manchester University Press.</w:t>
      </w:r>
    </w:p>
    <w:p w14:paraId="23EFEC6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t>7.王晓毅、朱成堡著《中国乡村的民营企业与家庭经济浙江苍南县项东村调查》, 山西经济出版社年1996版。</w:t>
      </w:r>
    </w:p>
    <w:p w14:paraId="630F3B8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 w:val="21"/>
          <w:szCs w:val="21"/>
        </w:rPr>
      </w:pPr>
      <w:r>
        <w:rPr>
          <w:rFonts w:hint="default" w:ascii="Times New Roman" w:hAnsi="Times New Roman" w:eastAsia="宋体" w:cs="Times New Roman"/>
          <w:sz w:val="21"/>
          <w:szCs w:val="21"/>
        </w:rPr>
        <w:br w:type="textWrapping"/>
      </w:r>
      <w:r>
        <w:rPr>
          <w:rFonts w:hint="default" w:ascii="Times New Roman" w:hAnsi="Times New Roman" w:eastAsia="宋体" w:cs="Times New Roman"/>
          <w:sz w:val="21"/>
          <w:szCs w:val="21"/>
        </w:rPr>
        <w:t>（原载《上海行政学院学报》2002年第2期，第二作者为彭文兵）</w:t>
      </w:r>
    </w:p>
    <w:p w14:paraId="458F2B8B">
      <w:pPr>
        <w:spacing w:before="156" w:beforeLines="50" w:after="156" w:afterLines="50" w:line="300" w:lineRule="auto"/>
        <w:ind w:firstLine="640" w:firstLineChars="200"/>
        <w:jc w:val="center"/>
        <w:outlineLvl w:val="1"/>
        <w:rPr>
          <w:rFonts w:hint="default" w:ascii="Times New Roman" w:hAnsi="Times New Roman" w:eastAsia="等线" w:cs="Times New Roman"/>
          <w:b/>
          <w:bCs/>
          <w:sz w:val="32"/>
          <w:szCs w:val="32"/>
        </w:rPr>
      </w:pPr>
      <w:r>
        <w:rPr>
          <w:rFonts w:hint="default" w:ascii="Times New Roman" w:hAnsi="Times New Roman" w:eastAsia="黑体" w:cs="Times New Roman"/>
          <w:sz w:val="32"/>
          <w:szCs w:val="24"/>
        </w:rPr>
        <w:br w:type="page"/>
      </w:r>
      <w:bookmarkStart w:id="124" w:name="_Toc93074531"/>
      <w:bookmarkStart w:id="125" w:name="_Toc29056"/>
      <w:bookmarkStart w:id="126" w:name="_Toc3728"/>
      <w:bookmarkStart w:id="127" w:name="_Toc329173723"/>
      <w:bookmarkStart w:id="128" w:name="_Toc1837458016"/>
      <w:bookmarkStart w:id="129" w:name="_Toc2126915824"/>
      <w:r>
        <w:rPr>
          <w:rFonts w:hint="eastAsia" w:ascii="黑体" w:hAnsi="黑体" w:eastAsia="黑体" w:cs="黑体"/>
          <w:b w:val="0"/>
          <w:bCs w:val="0"/>
          <w:sz w:val="32"/>
          <w:szCs w:val="32"/>
        </w:rPr>
        <w:t>企业研究：一个新经济社会学的视角</w:t>
      </w:r>
      <w:bookmarkEnd w:id="124"/>
      <w:bookmarkEnd w:id="125"/>
      <w:bookmarkEnd w:id="126"/>
      <w:bookmarkEnd w:id="127"/>
      <w:bookmarkEnd w:id="128"/>
      <w:bookmarkEnd w:id="129"/>
    </w:p>
    <w:p w14:paraId="645CC3A5">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一、经济学中的企业理论：效率与理性选择</w:t>
      </w:r>
    </w:p>
    <w:p w14:paraId="1DB48481">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在主流经济学理论中，“企业”一直被视为毋需分析的“黑箱”。各类经济活动都是在企业之外进行的，而企业则被视为一个对周围环境作出灵敏反应的完全理性的“整体”。这无疑造成了对企业本身、对它内部的组织与运行状况的具体考察的缺乏。真正的现代企业理论始于本世纪30年代。1933年</w:t>
      </w:r>
      <w:r>
        <w:rPr>
          <w:rFonts w:hint="default" w:ascii="Times New Roman" w:hAnsi="Times New Roman" w:eastAsia="宋体" w:cs="Times New Roman"/>
          <w:kern w:val="0"/>
          <w:szCs w:val="21"/>
        </w:rPr>
        <w:t>，伯利（A．Berli）与米恩斯（G．Means）</w:t>
      </w:r>
      <w:r>
        <w:rPr>
          <w:rFonts w:hint="default" w:ascii="Times New Roman" w:hAnsi="Times New Roman" w:eastAsia="宋体" w:cs="Times New Roman"/>
          <w:szCs w:val="21"/>
        </w:rPr>
        <w:t>出版了《现代公司与私有财产》一书；1937年，科斯（R．Coase）发表了名为《企业的性质》的论文。这两个成果，标志着现代企业理论的形成。特别是科斯的文章，对企业与市场之间的关系进行了开拓性的分析，最终导致了新制度经济学中的“交易费用学派”的出现。从今天来看，“企业的性质”已成为了有关企业的经济研究的宣言。</w:t>
      </w:r>
    </w:p>
    <w:p w14:paraId="058C8C00">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交易费用学派对企业问题提出了种种解释。这主要包括如下几种观点：在某些情况下，与市场相比，企业可以节约交易费用。在市场中，发现各类产品的相对价格、了解有关产品的信息是要花费成本的；交易各方进行谈判与协商、考核产品及个人对产品的贡献率等也是要花费成本的。而如果这些活动都在一个企业中进行的话，将大大减少这些费用。当耐用交易专用性投资发生的程度较高时，将产生较多的可占用性准租，从而使机会主义增加。这时，企业组织将有利于抑制机会主义的产生。制定详尽无遗的市场契约代价高昂，并将会过分僵化，难以适应情况变化。因此，市场契约具有不完备性，这就使得契约有空子可钻，市场中将会出现大量机会主义、争论、分歧、诉讼等行为。而企业则是较为固定的等级结构，命令、控制等企业手段比协商谈判、诉讼等市场手段更有效力，而成本则更低，因此，企业将取代市场。</w:t>
      </w:r>
      <w:r>
        <w:rPr>
          <w:rFonts w:hint="default" w:ascii="Times New Roman" w:hAnsi="Times New Roman" w:eastAsia="宋体" w:cs="Times New Roman"/>
          <w:szCs w:val="21"/>
          <w:vertAlign w:val="superscript"/>
        </w:rPr>
        <w:footnoteReference w:id="35"/>
      </w:r>
    </w:p>
    <w:p w14:paraId="0BDA7E43">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这种企业理论分析问题的基本概念主要可分为两方面：(1)“效率”；(2)“理性”、“最大化行为”。从第一个方面来说，新制度主义经济学的企业研究贯穿着“效率”这一主题：企业之所以存在，是因为它比市场更有经济效率。这种解释是难以令人信服的，因为它具有浓厚的功能主义和目的论的色彩：企业的产生就是为了满足对经济效率的功能要求。它在理论上构成了一个自我封闭的循环性框架，却缺乏历史性的解释和现实的考察。对功能主义的批评历来便集中在它的目的论色彩和关于效率的隐含假设上，几十年前风靡社会学界的帕森斯结构——功能主义便是如此。新制度主义经济学对经济制度的分析，实质上也是一种被社会学家称之为“粗糙的功能主义”的理论，并且，有的制度论者更将这种功能主义与进化论联系起来，力图以效率命题来解释经济制度在进化条件下的起源。新经济社会学家从社会学角度出发，对此进行了强烈的批判。</w:t>
      </w:r>
    </w:p>
    <w:p w14:paraId="3D6BB34C">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二个方面与第一个方面——功能主义的“效率”命题——有着密切的关系。功能主义作为指导研究的一种理论框架，源于关于理性个人的假设，因为对功能需求的满足必须以微观层面上的个人理性行动为基础。任何一种功能主义学说如果不与作为社会的基本单位的行动者（个人或集体）的合理行动联系起来，我们就很难理解宏观整体上的功能如何能够实现。正是个人追求效用最大化的行动为功能性结构的出现提供了可能。用最简单（可能有些偏颇）的话来说，功能意味着效率，要达到某种功能，就必须具有相应的效率，而理性选择正是微观上的效率的前提，微观效率累加的结果便是宏观上的功能。</w:t>
      </w:r>
    </w:p>
    <w:p w14:paraId="449F7C88">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二、理性选择：企业研究的方法</w:t>
      </w:r>
    </w:p>
    <w:p w14:paraId="35D3812F">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但是，从第二个方面来看，经济学理论却并非一无是处，它仍然能够给我们提供一种分析企业问题的独特方法，即假定每个人会根据具体情况来理性行事的选择方法。就理性选择方法而言，它一直作为经济学家所专有的方法而存在。构成经济学基础的理性选择假设，给其他学科的研究者带来了极大的困惑：用一种过于简化、有时甚至是充满主观想象的假设来分析复杂的社会生活，这如何可能呢？不过，近些年来理性选择方法本身的发展使人们的这种困惑减轻了许多。西方经济学家力图通过“经济人”这一关于个人行为的假定来推测人们在经济生活中的表现。并且，许多经济学的学者相信，这种关于人的行为的假定适用于所有的社会领域，因而可以用理性选择理论来分析个人乃至集体的任何行为。在一批持此假定的西方经济学家的努力下，近年来理性选择作为一个最基本的分析方法已渗透于许多领域中，如布坎南(J．Buchanan)的公共选择理论（政治领域）、贝克尔(G．Becker) 对人类行为的“经济分析”(家庭、社会等领域)。这实际上意味着，通过“经济人”这一方法论假定来分析人类社会已成为社会科学中的一个基本方法。此外，来自其他学科的研究者也开始在理性选择方法的基础上展开了本学科的研究。科尔曼(J．Coleman)是其中的代表人物。科尔曼的社会理论是建立在行动理论的基础之上的，而这种行动理论又正是以理性选择方法为依托的。科尔曼借助于经济学中的“合理性”概念来分析理性行动者的行动。他认为：“合理性”概念的含义是“指对行动者而言，不同的行动（在某些情况下是不同的商品）有不同的‘效益’，而行动者的行动原则可以表述为最大限度地获取效益。”</w:t>
      </w:r>
      <w:r>
        <w:rPr>
          <w:rFonts w:hint="default" w:ascii="Times New Roman" w:hAnsi="Times New Roman" w:eastAsia="宋体" w:cs="Times New Roman"/>
          <w:szCs w:val="21"/>
          <w:vertAlign w:val="superscript"/>
        </w:rPr>
        <w:footnoteReference w:id="36"/>
      </w:r>
      <w:r>
        <w:rPr>
          <w:rFonts w:hint="default" w:ascii="Times New Roman" w:hAnsi="Times New Roman" w:eastAsia="宋体" w:cs="Times New Roman"/>
          <w:szCs w:val="21"/>
        </w:rPr>
        <w:t>这包含着两方面的意思：一是个人行动是有目的的行动；二是个人行动是一种最大限度地获取效益的合理行动。</w:t>
      </w:r>
    </w:p>
    <w:p w14:paraId="0C2F2F91">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这种概念框架后所隐含的是个体主义方法论，即与社会学中盛行的整体主义方法论相对的另一种研究视角。在一些社会学家看来，采用理性选择方法来分析经济与社会生活，不可避免地要走入以原子化个人的单个理性行动来解释现实的谬误，因而必须强调社会行动者所受到的社会性制约（无论是内在的规范还是外在的社会结构）。实际上，社会学家所提出的一个最大批评是：原子化个人的经济理性只存在于纯理论的想象之中，现实中存在着大量的不合乎理性的或是不以经济效益最大化为基础的行为。例如，运用西方经济理性的概念很难说明舍身救人的壮举——自私的经济人将不会蠢到用自己的牺牲去换取他人的生命，这显然是不合乎自私经济理性的。而只有把救人者置于整体文化情境、社会规范的氛围中来考虑，才能正确理解舍身救人的行为。</w:t>
      </w:r>
    </w:p>
    <w:p w14:paraId="37A2F95B">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关于这一点，有必要为理性选择方法重新作一阐释。例如，从另一个角度来看，舍身救人仍然是一种“理性”行为，只不过这种理性是不同于自私经济理性的另一种理性罢了。如果在救人者心目中“救人”这一行为的“价值”</w:t>
      </w:r>
      <w:r>
        <w:rPr>
          <w:rFonts w:hint="default" w:ascii="Times New Roman" w:hAnsi="Times New Roman" w:eastAsia="宋体" w:cs="Times New Roman"/>
          <w:szCs w:val="21"/>
          <w:vertAlign w:val="superscript"/>
        </w:rPr>
        <w:footnoteReference w:id="37"/>
      </w:r>
      <w:r>
        <w:rPr>
          <w:rFonts w:hint="default" w:ascii="Times New Roman" w:hAnsi="Times New Roman" w:eastAsia="宋体" w:cs="Times New Roman"/>
          <w:szCs w:val="21"/>
        </w:rPr>
        <w:t>要大于自己生命的“价值”的话，那舍身救人仍然是理性选择基础上的行动。问题的关键在于：理性究竟意味着什么？事实上，如果对经济理性假设加以修正的话，那理性选择方法仍可以适用于对任何行动的分析。这是因为，倘若我们认为行动者所追求的不仅仅是经济效益，而且包括像权力、地位、声望……等其他任何对行动者“有价值”的事物的话，那么，任何行动者所作出的行动都是建立在理性选择基础上的，都是以“价值最大化”为目的的行动。只要目的得到设定，围绕着目的而设计的手段与进行的行动总是理性的，总是力求最有效地实现目的的，只不过目的本身未必是合乎纯粹自私的经济理性。这种目的可能带有情感、社会、文化等方面的意蕴，而不仅仅是个人收益最大化。</w:t>
      </w:r>
    </w:p>
    <w:p w14:paraId="34F220E1">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这种意义上的理性选择与韦伯的“工具理性”行动较为相似。的确，希望通过理性选择方法来理解现实生活的社会学家也并非科尔曼一人，韦伯本人也有过类似想法。布迪厄（P．Bourdieu）对“理性”方法（而不是“经济理性”）的意义也持肯定态度。功利主义的经济理论把人视为精打细算、追求利益最大化的行动主体。对此，布迪厄认为这种理性选择理论的错误并不在于它表明所有的行动都是理性的、追求利益的，而在于它狭隘地理解了利益和理性本身，只把它们局限于行动者对利润和物质的追求之上。</w:t>
      </w:r>
    </w:p>
    <w:p w14:paraId="4BFEC019">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为什么理性选择方法适用于对社会生活的分析？因为社会生活背后所蕴涵的“人”的因素总与理性息息相关，即一般性社会行动（经济行动是这种行动的一个特例）是以行动者的理性选择为前提的。吉登斯的有关观点对此作了极好的诠释。行动者的分层模式包括对行动的反思性监控、理性化及动机激发过程等根植于行动中的一系列过程。其中，行动的理性化是指作为过程的“意向性”(intentionality)，即行动者对自身活动的根据始终保持着“理论性的理解”。</w:t>
      </w:r>
      <w:r>
        <w:rPr>
          <w:rFonts w:hint="default" w:ascii="Times New Roman" w:hAnsi="Times New Roman" w:eastAsia="宋体" w:cs="Times New Roman"/>
          <w:szCs w:val="21"/>
          <w:vertAlign w:val="superscript"/>
        </w:rPr>
        <w:footnoteReference w:id="38"/>
      </w:r>
      <w:r>
        <w:rPr>
          <w:rFonts w:hint="default" w:ascii="Times New Roman" w:hAnsi="Times New Roman" w:eastAsia="宋体" w:cs="Times New Roman"/>
          <w:szCs w:val="21"/>
        </w:rPr>
        <w:t>这意味着，只要是社会学意义上的“行动”，对行动者本人而言便是理性的，因为行动者可以为自己的行动提供充足的理由，并加以解释。也就是说，他会令其他行动者感觉到，他做出的这一行动是在充分考虑到现实情境的制约与潜在行动可能后进行理性选择的结果。请注意这句话：“所谓成为人类的一员，就是成为一个有目的的行动者，无论采用什么说法，他们的活动都自有其理由，如果被问及，也都能通过话语阐述这些理由（包括对此撒谎）。”</w:t>
      </w:r>
      <w:r>
        <w:rPr>
          <w:rFonts w:hint="default" w:ascii="Times New Roman" w:hAnsi="Times New Roman" w:eastAsia="宋体" w:cs="Times New Roman"/>
          <w:szCs w:val="21"/>
          <w:vertAlign w:val="superscript"/>
        </w:rPr>
        <w:footnoteReference w:id="39"/>
      </w:r>
      <w:r>
        <w:rPr>
          <w:rFonts w:hint="default" w:ascii="Times New Roman" w:hAnsi="Times New Roman" w:eastAsia="宋体" w:cs="Times New Roman"/>
          <w:szCs w:val="21"/>
        </w:rPr>
        <w:t>行动者的资格能力的主要内容，便是行动者使其行动得以理性化的能力。可见，凡是行动，都是理性的，都是行动者有根据、合理地进行的。当然，这种社会行动中的理性是有其限度与局限性的。行动者根据自己所处的当下情境、自己拥有的知识与经验以及自己的判断，作出行动的选择，但这只是主观上合乎理性的行动，行动在客观上的正确性（即为实现个人目标而利用资源及手段的真实合理性）却无法得到完全的保证，因为他的行动不可避免地会产生难以预料的后果，从而损害行动的合理性程度。这提醒我们，对经济生活的社会学研究必须引入经济学的“有限理性”(bounded rationality)的概念。</w:t>
      </w:r>
    </w:p>
    <w:p w14:paraId="0A01AACB">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上面的论述意味着，个人的现实行动总是理性的，总是力图通过行动实现某方面的价值最大化目标。如果把理性选择的方法从社会学家的工具箱中扔出去，那就很难正确理解人们的实际行动。就对企业的社会学研究而言，理性选择理应成为最主要的分析方法。可以说，企业成员的行动一般是理性化的。有时候，企业成员之所以作出某类难以理解的行动（因而在外人看来，是缺乏理性的行为），可能是他在各个对立目标间进行选择与取舍乃至进行调和的结果，但无论如何，他自己总是认为这属于能到达“价值最大化”目标的行动。如果行动的最终后果并不如预期所料，那也只是由于信息不完全、估计错误或是偶然因素的介入，而在作出行动决策时，他一般是理性的。在这种情况下，个人道德、企业制度、企业内的社会关系网络等外在因素都只不过是行动策略箱中的可用工具或是影响可用工具的数量与种类的因素，最终总归要靠理性选择把它们贯穿起来。</w:t>
      </w:r>
    </w:p>
    <w:p w14:paraId="34AD7866">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三、社会行动框架中的经济行动</w:t>
      </w:r>
    </w:p>
    <w:p w14:paraId="16B81BFC">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新经济社会学要从经济学的企业理论中吸收养分，就必须采取一种批判性继承的态度：既要借鉴理性选择的分析方法，又要摒弃其中反历史、反经验的粗糙功能主义。强调从企业的现实运作来理解企业，以更具有经验性的理论为基础对企业予以实证的分析，这或许是一个恰当的解决方案。</w:t>
      </w:r>
    </w:p>
    <w:p w14:paraId="5C7C598D">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把关注的焦点转向于经验性的与现实性的因素之上，这就要求社会学家从社会行动的角度切入对企业的研究。关于企业的经济学理论是以“经济理性”的假设为前提的。它假定企业成员与企业本身具有“经济理性”上的一致性，无论企业或是企业成员，都将按最大化目标行动，而其他实际因素则被忽略掉。可以说，经济学的企业理论也是以某种行动理论为基础的，但这种行动理论只是“经济人”的行为理论(Behavior Theory)而不是“社会人”的行动理论</w:t>
      </w:r>
      <w:r>
        <w:rPr>
          <w:rFonts w:hint="default" w:ascii="Times New Roman" w:hAnsi="Times New Roman" w:eastAsia="宋体" w:cs="Times New Roman"/>
          <w:kern w:val="0"/>
          <w:szCs w:val="21"/>
        </w:rPr>
        <w:t>(Action Theory)</w:t>
      </w:r>
      <w:r>
        <w:rPr>
          <w:rFonts w:hint="default" w:ascii="Times New Roman" w:hAnsi="Times New Roman" w:eastAsia="宋体" w:cs="Times New Roman"/>
          <w:szCs w:val="21"/>
        </w:rPr>
        <w:t>。而且，经济学家往往很自然地把企业视为一个整体来研究。他们认为，决定着企业及对其经济环境所发生的影响的是企业本身——它的最大化行动以及在市场中的个体性存在。从这一点来看，对企业的研究需要建立在社会行动理论的框架之上。通过对“社会行动”的分析来克服反经验、反历史的功能主义，实质上意味着观察视角的彻底转换：分析对象从企业本身转变为企业成员，“个体行动”的命题取代了“整体效率”的命题。总的来看，从行动视角展开对企业的研究有助于克服：(1)经济学中抽象的（有时显得充斥主观想象成分的）理论演绎方法，因为行动就是行动，它的经济实证性质有助于排斥经济学企业理论的片面思辨性；(2 )经济学企业理论中的功能主义和目的论色彩，因为具体的、现实的行动并不必然具有某种单纯的经济功能，企业成员的行动是具体的人在特定社会情境中所作出的具体的选择，他不一定为了企业整体的效率而作出相应的行动。</w:t>
      </w:r>
    </w:p>
    <w:p w14:paraId="1A382B36">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可以对此作进一步的解释。作为一门经验实证性较强的学科，新经济社会学对企业的研究应如何着手? 社会学家观察的对象应该是企业整体还是企业成员? 企业可以作为社会“分析”的对象而存在，但它本身不能行动、不能表达其意向，使它行动、使它表达其意向的是它的成员——各个活生生的企业中的行动者。从经验的意义上来说，我们无法直接“看”到企业，但我们却能通过观察它的各个成员的活动来间接分析企业。企业只是一个抽象的概念，而企业中的行动者却是看得见、摸得着的，正是他们决定着企业的一切。因此，从个人行动的角度出发对企业进行分析，并从而建立社会学自己的企业理论，将是社会学区别于经济学的主要特征。就新制度经济学家来说，尽管他们的企业理论与大多数经济学家看待企业的方式有所不同，但在忽略企业中行动者的意义这一点上却应受到同样的批评。可以通过考察企业组织的产生说明这一点。在经济生活中，企业与单个的经济行动者有何区别呢? 企业中包含着许多单个经济行动者，它通过纵向一体化把各个个人的活动汇入同一个等级制的框架中，从而以企业整体取代了单个经济行动者的市场交换活动。的确，企业组织对市场的取代有助于削减交易费用，不过，许多企业组织的产生本身并没有消除单个经济活动者的主体性与依仗现有情境理性决策的能力。个人在企业中仍然像在市场中一样，理性地运用各种策略行事，他并不和企业融为一体。在此，企业仍然是一种特殊的市场组织，人们在其中讨价还价，重要的是个人的理性而不是集体的理性。</w:t>
      </w:r>
    </w:p>
    <w:p w14:paraId="1CCB8414">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例如，从理论上来说，企业与个人活动于其中的市场的最主要区别是，企业以固定价格将个人的劳动力一次性买断，并以此来全面控制个人的活动，这似乎将减少个人作为行动者的自由性与自主能力。但是，这种固定价格与全面控制也可能带来企业的低效，因为个人总会针对不同的环境（市场或企业）理性地选择灵活的应付策略。在市场中，谈判的无限制性使得个人可以随自己付出劳动力质量与数量的变化而不断重新与买方商谈价格，从而谋求个人利益的最大化。而在企业中，劳动力的价格是固定的，并且这种价格主要是以劳动时间（劳动数量与质量同劳动时间有程度不一的相关性）为基础来计算的，企业成员的工作时间是一定的。这种结构性限制促使个人采取这样一种应对策略：在不减少劳动时间的前提下，降低劳动强度，削减劳动的数量，放松对劳动质量的要求。这种行为在制度被侵蚀、非正式组织的存在等条件下将很难被发觉。造成这一事实的原因在于企业对其成员行动的控制的困难。由于在市场交易中难以写明或实施完全的契约，企业中的控制与命令是有其实际上的限度的，因而对企业成员的全面监督与考核等不可能完全做到，</w:t>
      </w:r>
      <w:r>
        <w:rPr>
          <w:rFonts w:hint="default" w:ascii="Times New Roman" w:hAnsi="Times New Roman" w:eastAsia="宋体" w:cs="Times New Roman"/>
          <w:szCs w:val="21"/>
          <w:vertAlign w:val="superscript"/>
        </w:rPr>
        <w:footnoteReference w:id="40"/>
      </w:r>
      <w:r>
        <w:rPr>
          <w:rFonts w:hint="default" w:ascii="Times New Roman" w:hAnsi="Times New Roman" w:eastAsia="宋体" w:cs="Times New Roman"/>
          <w:szCs w:val="21"/>
        </w:rPr>
        <w:t>不能根除各种机会主义行为。相反，由于上述劳动力定价的固定性，对企业成员来说，这意味着收益的固定性，在此情况下，要做到利润最大化，唯一的可能是实现成本最小化，即尽可能缩减自己的实际工作量，从而直接或间接地最大限度排斥控制。他们将采取各种策略做到这一点。</w:t>
      </w:r>
      <w:r>
        <w:rPr>
          <w:rFonts w:hint="default" w:ascii="Times New Roman" w:hAnsi="Times New Roman" w:eastAsia="宋体" w:cs="Times New Roman"/>
          <w:szCs w:val="21"/>
          <w:vertAlign w:val="superscript"/>
        </w:rPr>
        <w:footnoteReference w:id="41"/>
      </w:r>
      <w:r>
        <w:rPr>
          <w:rFonts w:hint="default" w:ascii="Times New Roman" w:hAnsi="Times New Roman" w:eastAsia="宋体" w:cs="Times New Roman"/>
          <w:szCs w:val="21"/>
        </w:rPr>
        <w:t>可见，要正确地理解现实中的企业，而不管是它的高效还是低效，就必须首先正确理解企业成员的行动以及作为行动的基础的理性选择。</w:t>
      </w:r>
    </w:p>
    <w:p w14:paraId="3D2D1355">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总之，经济行动是被社会性限定着的，它不能仅通过个人动机得到解释。它嵌入于现存的个人关系网络中，而不是由原子似的个人所单独进行的。“网络”一词意味着在个人或群体间一套固定的联系或类似的社会组合。网络中的一个成员的行动是“嵌入”于网络之中的，因为它体现于与他人的互动之中。这种行动理论不仅可以避免关于原子个人的概念陷阱，而且也可以避免把技术、所有权结构或文化视为对经济事件的唯一解释的理论。</w:t>
      </w:r>
    </w:p>
    <w:p w14:paraId="143EC8F0">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四、经济行动与企业的秩序因素</w:t>
      </w:r>
    </w:p>
    <w:p w14:paraId="7C7B1081">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那么，如何把经济行动与企业框架联系起来？由上面的讨论所得出的推论是，关于企业的社会学研究实际上是企业成员的行动策略问题，即理性个人如何在企业这一特定组织环境下作出抉择、选取特定的行动途径，并反过来影响企业的问题。可以把企业视为在特定社会环境下行动者目标、价值观、手段之间的行动框架的协调方式。这样，企业框架与经济行动的关系问题，就相当于企业的“秩序”问题，即持有不同目标、不同资源以及不同行动策略的行动者的行动如何构成有序的、可预见的、稳定的复合行动体系。</w:t>
      </w:r>
    </w:p>
    <w:p w14:paraId="2A7CD0F7">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格兰诺维特对经济生活中的“秩序”问题曾作过详细的讨论。</w:t>
      </w:r>
      <w:r>
        <w:rPr>
          <w:rFonts w:hint="default" w:ascii="Times New Roman" w:hAnsi="Times New Roman" w:eastAsia="宋体" w:cs="Times New Roman"/>
          <w:szCs w:val="21"/>
          <w:vertAlign w:val="superscript"/>
        </w:rPr>
        <w:footnoteReference w:id="42"/>
      </w:r>
      <w:r>
        <w:rPr>
          <w:rFonts w:hint="default" w:ascii="Times New Roman" w:hAnsi="Times New Roman" w:eastAsia="宋体" w:cs="Times New Roman"/>
          <w:szCs w:val="21"/>
        </w:rPr>
        <w:t>从事经济活动的行动者为什么不会利用欺诈与暴力等手段来追求自身利益呢? 用经济学家的术语来表达，就是“机会主义”这一破坏经济秩序的行为如何得到抑制的问题。从斯密开始的经济理论对此都采取了回避的策略，即假定人们总是以相对规范的手段追求个人私利的。斯密关于“自由市场”的名言——“一切特惠或限制的制度一经完全废除，最明白、最单纯的自然自由制度就会建立起来”。</w:t>
      </w:r>
      <w:r>
        <w:rPr>
          <w:rFonts w:hint="default" w:ascii="Times New Roman" w:hAnsi="Times New Roman" w:eastAsia="宋体" w:cs="Times New Roman"/>
          <w:szCs w:val="21"/>
          <w:vertAlign w:val="superscript"/>
        </w:rPr>
        <w:footnoteReference w:id="43"/>
      </w:r>
      <w:r>
        <w:rPr>
          <w:rFonts w:hint="default" w:ascii="Times New Roman" w:hAnsi="Times New Roman" w:eastAsia="宋体" w:cs="Times New Roman"/>
          <w:szCs w:val="21"/>
        </w:rPr>
        <w:t>其含义是，自然秩序(自由市场)具有无比的优越性，因为它存在着一种自然平衡和调节的机制，使追求个人私利的动机与冲突的利益达到自然调适，在满足个人的同时实现公共利益。不需要任何人为的干涉与设计，某种“无形的手”将实现社会的互利与和谐共处。事实上，经济学理论一直用与此相似的思路来为“经济秩序如何可能”的问题提供解决方案，即自我调节市场中的竞争力量可以压制欺诈与暴力。</w:t>
      </w:r>
    </w:p>
    <w:p w14:paraId="1C067D41">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但是，当代经济学研究的进展使人们对这一方案发生了疑问。在以带有沉降成本和“专有人力资本”投入的少量参与者为特征的不完全竞争市场中，不可能再借助于所谓的竞争市场中的规则来减少欺诈和暴力，那么，为什么现实经济生活仍然秩序井然呢？当代经济学对此提出了两种解释：制度安排与普遍道德。格兰诺维特认为第一种解释——制度安排——与人类行动的社会化不足相关，第二种解释——普遍道德——则与人类行动的过度社会化相关。新制度主义经济学家持有第一种观点。他们认为，制度安排是对一些经济问题的有效解决手段。合理的制度安排将使经济生活中的机会主义行为成本过高，从而使得秩序成为可能。当然，新制度主义经济学的这种观点实质是一种社会化不足的观点，因为它否认社会结构和社会关系对于经济行为的任何影响，不考虑在一定范围内，具体的人际关系及其所带来的义务将阻碍破坏性活动，而这与制度安排是无关的。</w:t>
      </w:r>
      <w:r>
        <w:rPr>
          <w:rFonts w:hint="default" w:ascii="Times New Roman" w:hAnsi="Times New Roman" w:eastAsia="宋体" w:cs="Times New Roman"/>
          <w:szCs w:val="21"/>
          <w:vertAlign w:val="superscript"/>
        </w:rPr>
        <w:footnoteReference w:id="44"/>
      </w:r>
      <w:r>
        <w:rPr>
          <w:rFonts w:hint="default" w:ascii="Times New Roman" w:hAnsi="Times New Roman" w:eastAsia="宋体" w:cs="Times New Roman"/>
          <w:szCs w:val="21"/>
        </w:rPr>
        <w:t>另外一些经济学家倾向于接受第二种解释。他们认为，必定有某些信任因素在经济生活中发生作用，因为单靠制度安排是不能完全消灭欺诈和暴力行业的。这种信任的源泉是“普遍道德”，即经济活动者由于内在的社会规范的制约而自动地维护经济秩序。这与帕森斯的过度社会化观点是类似的。</w:t>
      </w:r>
    </w:p>
    <w:p w14:paraId="12093A02">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对此，格兰诺维特提出了第三种解释：社会关系而非制度安排或普遍道德，是产生经济生活中信任的主要因素。</w:t>
      </w:r>
      <w:r>
        <w:rPr>
          <w:rFonts w:hint="default" w:ascii="Times New Roman" w:hAnsi="Times New Roman" w:eastAsia="宋体" w:cs="Times New Roman"/>
          <w:szCs w:val="21"/>
          <w:vertAlign w:val="superscript"/>
        </w:rPr>
        <w:footnoteReference w:id="45"/>
      </w:r>
      <w:r>
        <w:rPr>
          <w:rFonts w:hint="default" w:ascii="Times New Roman" w:hAnsi="Times New Roman" w:eastAsia="宋体" w:cs="Times New Roman"/>
          <w:szCs w:val="21"/>
        </w:rPr>
        <w:t>他所强调的一个基本命题便是：在各个经济单元中，社会关系都是规则或不规则地进入于其中的，并或多或少地发挥着作用。大多数功利主义传统(这包括古典主义和新古典主义经济学在内)都假定理性的自利行为极少受到社会关系的影响，而事实上，对行为和制度加以分析，总是必须考虑正在运行中的社会关系。如果仅依靠以理性的自利个人为基础的竞争性市场，显然无法减少经济生活中的欺诈与违法乱纪行为，而普遍的个人道德(它促使个人自觉遵纪守法)也不可能真正构成经济秩序的基础。在此情况下，只有通过“社会关系”这一因素对经济行动者的制约，才有可能实现经济生活中的秩序。例如，在寻找值得信赖的经济活动合作者时，已有的社会关系可以确保合作的顺利进行。紧密的人际关系使得行为更具有可预测性，从而避免了陌生人之间的互不信赖，“囚徒困境”也会由于个人关系的增强而得以消除。这样，嵌入于具体社会关系结构中的规范行为便导致了经济秩序的形成。</w:t>
      </w:r>
    </w:p>
    <w:p w14:paraId="5BFB05A6">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就企业研究而言，格兰诺维特的观点也是适用的。对企业的社会学分析必然涉及到道德(经济行动者的自律)、制度(企业内的正式制度与非正式安排)及社会关系(行动所嵌入于其中的社会结构)等因素对经济行动者的制约、限定作用。当然，这三个因素所具有的意义很不一样。与此相关的一个问题是，利己和利他究竟哪种行为特征突出或占主导地位？其实，这主要取决于社会制度和各种环境。因为人的利己与利他是一种社会网络中的互动行为，具有交互性的内在机理，总是与特定的社会整体大环境和群体小环境相关联。在企业这么一个时空范围极其狭窄的框架中，道德对个人行动及作为其基础的理性选择所能产生的影响是有限的，因为社会规则要在更为宏大的社会背景下、经过更为漫长的社会化过程才有可能内化于行动者头脑之中，最终实现个人的自律。而且，作为整体社会生活的某个片段，在企业工作的阅历具有独特的价值观教育功能，即主要以在合法的范围内尽最大可能赚取收益为目的。这与自我约束、从内心深处主动抑制机会主义行为是冲突的：既要围绕金钱而展开竞争，又要他们在这种行为中学会自觉地考虑到他人的利益。</w:t>
      </w:r>
    </w:p>
    <w:p w14:paraId="6E8656A0">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对于这一观点，可以这样表述：在进入企业工作之前，作为大社会中的经济行动者就已经是成熟的理性个体，其价值观与道德观念难以在企业中得到重塑。企业所推行与灌输的维护企业秩序所必须的一套东西(例如，即使在缺乏利益激励的情况下仍然忠于企业，自觉地为企业服务)，只不过被视为一种除工作之外的新游戏，每个人都要借助于现有环境与可用手段，选择最符合自己利益的策略，并假装扮演企业所要求的角色。要求自觉为企业服务的文化规则并不能侵入每个人真实的价值观中，反而被作为一种外在于价值观的、制约着行动策略选择的具体情境而存在。企业成员的社会化过程在企业之外已经完成了，而企业本身又无法创建行之有效的文化对员工进行重塑以抑制机会主义行为，这就是问题的症结所在。如在私有经济范围内，个人追求自身利益最大化的自由行动会无意而正负效应程度不同地增减社会公共利益，并非如传统经济学“经济人”理论所说的，只要有良好的制度保证，个人追求自身利益最大化的自由行动肯定会无意而有效地增进社会公共利益。这是因为：根本经济制度与具体经济制度(确切地说是具体经济体制)有紧密的关联，私有制必然从根本上限制良好经济制度或体制的建立和健全；个人一味地优先追求自身利益最大化，经常会同各类群体利益和社会利益发生矛盾与冲突，个人利益的总和不一定等于社会利益的总和与潜在的最大化。</w:t>
      </w:r>
    </w:p>
    <w:p w14:paraId="17380BED">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应当指出，从学理上分析，在社会公有经济范围内，良好的制度会使经济活动中的人在增进社会利益最大化的过程中实现合理的个人利益最大化。这是因为：在良好的制度下，公有经济的基点是为社会或集体谋利益，作为在其中活动的个人及其理性首先要服从社会理性或集体理性，即首先寻求社会利益最大化或集体利益最大化(类似戴维·米勒等所说的“社群”，但这里不谈社会理性与集体理性的矛盾)，否则，就会因个人主义而受到利益制约和利益损失；在良好的制度下，已经取得相对最大化的社会利益或集体利益，必然较公平地分配到每个人，从而最终实现个人利益的最大化。</w:t>
      </w:r>
      <w:r>
        <w:rPr>
          <w:rFonts w:hint="default" w:ascii="Times New Roman" w:hAnsi="Times New Roman" w:eastAsia="宋体" w:cs="Times New Roman"/>
          <w:szCs w:val="21"/>
          <w:vertAlign w:val="superscript"/>
        </w:rPr>
        <w:footnoteReference w:id="46"/>
      </w:r>
    </w:p>
    <w:p w14:paraId="2DD1E2DA">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制度与社会关系则具有很不一样的意义。在此，对格兰诺维特的观点应予以一定的修正。格兰诺维特对社会关系因素的注意给经济生活的社会学研究指明了一条可能会产生丰硕成果的新路，但他却低估了制度对经济秩序的作用。他认为用这些制度安排取代信任实际上产生了一种霍布斯情境：在其中，理性的个体将受到相应的刺激，千方百计地逃避这些制度安排；这样，很难想象甚至更为灵巧的欺诈意图不会对日常经济生活造成损害。</w:t>
      </w:r>
      <w:r>
        <w:rPr>
          <w:rFonts w:hint="default" w:ascii="Times New Roman" w:hAnsi="Times New Roman" w:eastAsia="宋体" w:cs="Times New Roman"/>
          <w:szCs w:val="21"/>
          <w:vertAlign w:val="superscript"/>
        </w:rPr>
        <w:footnoteReference w:id="47"/>
      </w:r>
      <w:r>
        <w:rPr>
          <w:rFonts w:hint="default" w:ascii="Times New Roman" w:hAnsi="Times New Roman" w:eastAsia="宋体" w:cs="Times New Roman"/>
          <w:szCs w:val="21"/>
        </w:rPr>
        <w:t>的确，经济行动者将理性地采取各种手段以逃避经济制度，但这种“逃避”本身就是制度对经济行动的结构性限制的体现，因为它意味着机会主义行为不能以赤裸裸的形式出现，而不得不借助于委婉的方式来表达。可见，制度的存在在一定程度上削减了经济行动者可能的行动路线及行动方式的选择范围，并尽量把实际行动导向与不择手段地谋取个人私利相反的方向，从而为经济生活的有序化提供了基础。在这一意义上可以说，制度与社会关系两类因素构成了关于企业的社会学研究的主要内容。</w:t>
      </w:r>
    </w:p>
    <w:p w14:paraId="1699A87A">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五、制度约束和制度违反行为</w:t>
      </w:r>
    </w:p>
    <w:p w14:paraId="27915313">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作为一种正式组织，任何一个企业都必然存在着一套明确并为人公认的制度，以保证企业的正常运转及效率的提高。如果把个人在企业中的工作视为一种游戏的话，企业制度便构成了相应的游戏规则。人们在遵从这些规则的前提下自由行事，从而导致千变万化的结果。企业制度的设计者们总是力图制定出一套较为完善的制度，以敦促企业成员在维护企业秩序的同时促进企业的效率。对企业行动者而言，企业为他提供了一个行动的背景框架。在这一框架中，他受到种种规则的限制，同时又看到企业为自己所提供的种种手段与机会。这样，他可以根据自己个人的目的，在不违反现有规则的条件下理性地选择可用手段及可行的行动路线。因此，从理论上看，作为一种游戏规则，企业中有关的制度约束构成了对经济行动者的情境约束——它既限制了许多可能的行动方向与行动机会，又通过这种限制引导行动者大体上向有利于企业目标的方向前进。有效的企业制度约束可以为行动者提供一种特定的情境：在其中，某些在其他情况下可行、但在企业框架中却不可行的行动策略被行动者自觉地排斥于行动策略的工具箱之外，制度约束本身构成了行动者下意识地承认的当下情境的一部分。</w:t>
      </w:r>
    </w:p>
    <w:p w14:paraId="58BC253E">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但是，在两种情形下制度对企业行动者的约束会遭到破坏。第一种情形是企业“制度真空”的存在。制度的匮乏可能会产生严重的后果，在造成经济生活秩序混乱的同时导致经济效率的下降。企业制度真空的存在，实质上意味着对经济行动者的情境约束的丧失。这样，制度的缺位使得企业成员在缺乏制度约束的情况下倾向于实行机会主义的行动策略。在没有有效制度约束的情况下，企业领导对自身物质利益的追求有可能导致企业的“内部人控制”和企业行为的变异。因此，尽快地建立起对企业经营者有效的约束机制、激励机制，是促进中国企业发展的当务之急。众多反面的证据也证明了制度对当代中国企业发展的重要性。当有效的企业制度及企业的制度环境存在时，企业的效率得到了极大的提高。</w:t>
      </w:r>
    </w:p>
    <w:p w14:paraId="02FFDF51">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二种情形是制度的有效性受到企业行动者的质疑。对于企业整体而言，它的制度的确构成了一套游戏规则，但如果从受制度约束的行动者角度来看，企业制度却构成了一个问题：它到底是游戏本身，还是指挥游戏具体进行的游戏规则？让我们看看这一问题是如何产生的。是否在任何情况下的任何一套企业制度约束都是有效的呢？这一问题与企业的目标和企业的效率紧紧相连。新制度主义经济学功能主义色彩命题的回答是：如果存在着企业制度的制定者的话，那制定者将会在企业效率目标的前提下理性地创建出一套有利于实现企业目标的规则来。因此，可以假定，这套规则将会构成企业成员的情境限制，从而诱导他朝着有利于企业效率的方向行动。这一回答本身便隐含着一个假设的前提，即制度本身是有效的，它确实被行动者不加反思地视为行动情境的真实组成。但是，如果企业成员本身对游戏规则发出了质疑，并否认其约束力呢？显然，这会造成制度约束的无效，并不再被行动者视为行动情境的当然组成。企业成员由此会脱离制度所诱导他前进的轨道，并开始思索朝其他方向行动的可能性与可行性。在这种思索中，制度不再被视为固定的、不可违反的，而是可以应付抗争的。逃避制度的游戏就此开始了。</w:t>
      </w:r>
    </w:p>
    <w:p w14:paraId="2BDCD4B1">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如果出现了这种情况，企业制度的制定者必然要运用惩罚性的手段加以制止。在制度约束构成当然的行动情境时，“遭受惩罚”这一事实不会进入企业成员的思考范围之中；当制度本身被质疑而企业成员又确定想违反它并从中获利时，行动者便面临或者不通过违反制度获利或者遭受惩罚的两难选择。但是，有时由于其他因素的介入，这种两难选择并不成立，结果使企业成员在违反制度的同时又免受惩罚成为可能。在这种情况下，行动者根据自己所处的具体环境，可以理智地作出三种不同的选择：(1)遵守制度；(2)违反制度，但防止被人发现自己的行为；(3)违反制度，并不回避他人的发觉，但防止遭受惩罚。对企业成员来说，只要策略选择得当，三种对待游戏规则的态度都是同样有效的，都是理性的。可见，如果企业成员已经对制度发出了质疑，也就是说，制度已不再构成行动的当然情境，那么，无论是遵守制度，还是违反制度，事实上都是以制度本身为中心，而以其他标准（个人利益规则、人情规则……）为游戏规则展开了一场新的游戏。这场游戏中，制度不再是行动情境，而是行动目标；不再是游戏规则，而是游戏本身。</w:t>
      </w:r>
    </w:p>
    <w:p w14:paraId="3B05DB1F">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六、企业中的社会关系网络与经济秩序</w:t>
      </w:r>
    </w:p>
    <w:p w14:paraId="735CEF83">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在制度真空存在或制度受到质疑时，经济活动者必须找到（或创建）某种相似的功能替代物，才能为自己的经济活动提供一个稳定有序的环境。社会关系网络正是最有可能的替代物之一。为什么在企业及其环境这类较为正式的结构中会出现各种以人际关系纽带为基础的非正式团队呢？对于一个在企业制度框架中活动的理性行动者而言，建立一定的关系网络有助于他个人愿望与利益的实现。尽管在企业中形成的关系网络有时候可能对企业整体产生负作用，但对个人而言却主要具有正面的功能。这样，通过各种途径在企业及其环境中建立起关系网络便成为一种理性的个人选择，其结果是人际关系因素对企业结构的全面渗透。对这一点可以予以具体解释：在企业这种等级制的正式组织产生之后，它也为各种紧密的关系网络、各种非正式组织的产生与延续提供了机会。从企业层面来看，企业中的个人关系可能会减少内部运转和外部协调的成本，也可能会增大成本、降低效率，也就是说，企业整体的理性能否实现，要视具体情况而定；而就企业成员而言，个人关系却起着削减成本、增大收益的作用，无论如何，它都充分体现了个人层面的理性。可以说，企业提供了一个合适的互动场所，在“利益”与“理性”这两种动力机制的驱动下，个人之间的互动更为紧密，由此形成了与企业正式组织与制度不断发生联系（或是对抗，或是消解，或是促进）的关系网络结构。</w:t>
      </w:r>
    </w:p>
    <w:p w14:paraId="3EDE8F77">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社会关系与制度违反有着密切的关系。社会关系或是构成了制度违反行为的动因，或是直接为制度违反提供了有效的保护。在这种情况下，社会关系起着再造个人行为的作用：企业成员把有关的制度、规则及自己可利用的社会关系资源都纳入自己思考的范围之中，并在此基础上做出相应的策略选择。并且，这种策略选择的最终结果又进一步加强与延续了现有的情境框架：制度、规则（不论它们是否真得到履行）以及社会关系结构。在此，结构二重性展现了：企业结构（它所包含着的规则、制度、社会关系……）同时作为理性行动者行动的中介与结果而存在。正是在这种理性个人与企业结构的互动中，社会关系遮蔽下的制度违反行为反复发生、不断再造，最终产生了一种可以明确预见的、稳定的理性选择构造。这种构造（或称个人理性选择基础上的行为模式）代表着“秩序”，一种不同于企业书面制度所规定的秩序。对于企业本身而言，这种构造是非理性的，是破坏效率、破坏秩序的；但对具体的企业成员而言，它才是真正的秩序，它代表着有条不紊、常规化以及对个人有价值的东西——以各种形式出现的利益。</w:t>
      </w:r>
    </w:p>
    <w:p w14:paraId="7A6BDFAF">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可见，制度与社会关系之间的互动最终并不必然带来整体层面的理性与秩序，而只能产生个人层面的理性与秩序。这的确令人惊讶。格兰诺维特也警惕到以下可能产生的危险：尽管社会关系在许多情况下构成社会秩序的必要条件，但它也可能反过来为大规模的违法乱纪和冲突提供机会和手段。</w:t>
      </w:r>
      <w:r>
        <w:rPr>
          <w:rFonts w:hint="default" w:ascii="Times New Roman" w:hAnsi="Times New Roman" w:eastAsia="宋体" w:cs="Times New Roman"/>
          <w:szCs w:val="21"/>
          <w:vertAlign w:val="superscript"/>
        </w:rPr>
        <w:footnoteReference w:id="48"/>
      </w:r>
      <w:r>
        <w:rPr>
          <w:rFonts w:hint="default" w:ascii="Times New Roman" w:hAnsi="Times New Roman" w:eastAsia="宋体" w:cs="Times New Roman"/>
          <w:szCs w:val="21"/>
        </w:rPr>
        <w:t>不过，也可以从另一个角度来看待这个问题：正如上面所说的，整体层面的混乱可能意味着个人层面（或关系网络群体层面）的理性与秩序。对企业而言，社会关系可能破坏与侵蚀按书面规定而产生的整体的“理性秩序”；但对个人与小团体而言，社会关系却使得各种行动及其后果可以明确预见、精确计算，从而大大增加了行动选择的有序化与理性化程度。可见，社会关系总与秩序有关，总能给生活带来秩序，但这种秩序对于不同层面（整体与部分、社会与小团体）来说却具有不同含义。在此意义上，可以把格兰诺维特的命题改为：社会关系在很多时候可以给经济生活带来秩序，而在其他时候则可为它所渗透于其中的小团体带来稳定与安全。</w:t>
      </w:r>
    </w:p>
    <w:p w14:paraId="1C2DFC71">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当然，最好的情况是小团体的利益、秩序与它所处于其中的更大社会环境的利益、秩序具有一致性，这时候无论是从哪个层面来看，社会关系总能带来秩序。如果小团体与较大的社会环境不一致、甚至相冲突，那么，对小团体来说意味着秩序的社会关系，对较大的社会背景则意味着秩序的破坏。非正式经济（地下经济）就是一例。非正式经济之所以能存在与延续，是因为社会关系构成了它最重要的组织机制——社会关系既维持了内部的紧密协作，又有效地共同抵制了外部法律的制约。对非正式经济活动的从事者来说，社会关系保证了非正式经济在经济领域中的秩序，尽管非正式经济本身会破坏整个社会的经济秩序。对规则的违反行为也存在着类似的情况。</w:t>
      </w:r>
    </w:p>
    <w:p w14:paraId="33E7EE73">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结果与讨论</w:t>
      </w:r>
    </w:p>
    <w:p w14:paraId="44498358">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至此，可以对本文作一个总结。上面的论述意味着提出了对企业展开新经济社会学研究的一种可能的视角（当然，它绝对不是唯一的视角）：从社会行动的角度出发，借助于理性选择的方法框架对企业生活中的各类经济因素与社会因素（道德、制度、社会关系等）进行分析。也就是说，理性选择基础上的经济行动仍是关于企业的新经济社会学研究的出发点。这预示了由各种不同知识传统及学科体系所构成的社会科学所具有的普遍意义。格兰诺维特关于社会关系网络对经济生活重要性的论断，仅仅意味着社会关系因素在个人理性选择的策略工具箱中的特殊意义——它为抱有特定目的的行动者提供了除正式制度之外的可适用手段。在对经济生活的分析中把社会性变量——如社会关系因素——包括进去，这并不意味着对经济学理性选择方法的摒弃，而仅仅是使只包括少数几个经济变量的经济学模型在社会学研究的补充下充实起来。</w:t>
      </w:r>
    </w:p>
    <w:p w14:paraId="3E379FAC">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由此可以得到这样一个推论：在对经济生活的研究中新经济社会学与经济学的结合是完全可能的。新经济社会学对经济学可以起到有益的修正与补充作用，这包括两个方面的内容：第一，新经济社会学可以加深对各种不同的“理性”的理解。它可以揭示，除了狭隘自私的“经济理性”之外，还存在着其他各种“社会理性”和群体理性。新经济社会学研究甚至还可以揭示“理性”本身的社会根源。事实上，除了经济利益之外，其他有“价值”的事物——如权力、声望等——也可以成为个人经济行动的目标与出发点，从而限定着理性本身。正如格兰诺维特所提出的：“如果我们注意到这种行为的主旨不仅在于经济目标，而且也在于交往、赞许、身份和权力时，这种行为的理性或工具性的特点，就更易于为人察觉。经济学家很少将这些目标视为理性的，……这种看待问题的方式就导致经济学家专门分析仅仅由‘利益’所驱动的行为，并且假设其它动机是在与此分离的情况下在无理性的领域中发生的。”</w:t>
      </w:r>
      <w:r>
        <w:rPr>
          <w:rFonts w:hint="default" w:ascii="Times New Roman" w:hAnsi="Times New Roman" w:eastAsia="宋体" w:cs="Times New Roman"/>
          <w:szCs w:val="21"/>
          <w:vertAlign w:val="superscript"/>
        </w:rPr>
        <w:footnoteReference w:id="49"/>
      </w:r>
      <w:r>
        <w:rPr>
          <w:rFonts w:hint="default" w:ascii="Times New Roman" w:hAnsi="Times New Roman" w:eastAsia="宋体" w:cs="Times New Roman"/>
          <w:szCs w:val="21"/>
        </w:rPr>
        <w:t>或许，新经济社会学研究对经济领域的介入，其最大贡献就在于表明：用狭隘的理性概念来分析经济问题，会在很大程度上失去对经济生活的正确理解。</w:t>
      </w:r>
    </w:p>
    <w:p w14:paraId="1C679E3A">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二，新经济社会学视野中的经济行动者仍然是以理性选择为基础的主体，但在他作出选择之时，纳入理性思考范围的因素除了经济变量之外，还包括其他社会性变量。理性选择是在具体的现实情境而不是抽象经济学模型中的简化背景下作出的。宽泛意义上的理性选择与社会学的行动理论是不矛盾的，这样的理性选择是一种适用于所有关于人的科学的有效分析方法。只要充分考虑到情境的制约以及行动者对当下情境的理性反应，那么绝大多数行动都能用理性选择的方法加以解释。</w:t>
      </w:r>
    </w:p>
    <w:p w14:paraId="22264466">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经济生活的参与者本质上是一个社会行动者，其特殊性仅在于他是处于经济框架内的行动者。对于这个行动者来说，目的及与之相关的手段、规则、可利用的资源等构成了行动选择的情境，这一情境制约和引导着行动者，成为理性考虑的隐含前提，最终决定着行动者的行动方式与行动选择。然而，这种选择本身是人的社会性行动，不可能脱离社会的限定。理性选择主体所具有的目的、动机是由社会现实及社会化方式所赋予的，手段、规则、可利用资源等也是处于经济体系内的社会体系内的社会因素。在这种社会情境限定下的以理性选择为基础的经济行动，仍然将呈现社会性的特征。可见，只有把理性选择方法与社会学的分析结合起来，才能富有成效地把握现实的经济生活。</w:t>
      </w:r>
    </w:p>
    <w:p w14:paraId="0C4206F3">
      <w:pPr>
        <w:spacing w:line="300" w:lineRule="auto"/>
        <w:ind w:firstLine="420" w:firstLineChars="200"/>
        <w:rPr>
          <w:rFonts w:hint="default" w:ascii="Times New Roman" w:hAnsi="Times New Roman" w:eastAsia="宋体" w:cs="Times New Roman"/>
          <w:szCs w:val="21"/>
        </w:rPr>
      </w:pPr>
    </w:p>
    <w:p w14:paraId="38C9C4B3">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参考文献：</w:t>
      </w:r>
    </w:p>
    <w:p w14:paraId="6F3FC153">
      <w:pPr>
        <w:ind w:firstLine="360" w:firstLineChars="200"/>
        <w:rPr>
          <w:rFonts w:hint="default" w:ascii="Times New Roman" w:hAnsi="Times New Roman" w:eastAsia="宋体" w:cs="Times New Roman"/>
          <w:kern w:val="0"/>
          <w:sz w:val="18"/>
          <w:szCs w:val="18"/>
        </w:rPr>
      </w:pPr>
      <w:r>
        <w:rPr>
          <w:rFonts w:hint="default" w:ascii="Times New Roman" w:hAnsi="Times New Roman" w:eastAsia="宋体" w:cs="Times New Roman"/>
          <w:sz w:val="18"/>
          <w:szCs w:val="18"/>
        </w:rPr>
        <w:t xml:space="preserve">[1] [美]O. Williamson: “The vertical integration of production: Market failure considerations”. </w:t>
      </w:r>
      <w:r>
        <w:rPr>
          <w:rFonts w:hint="default" w:ascii="Times New Roman" w:hAnsi="Times New Roman" w:eastAsia="宋体" w:cs="Times New Roman"/>
          <w:i/>
          <w:sz w:val="18"/>
          <w:szCs w:val="18"/>
        </w:rPr>
        <w:t>American Economic Review</w:t>
      </w:r>
      <w:r>
        <w:rPr>
          <w:rFonts w:hint="default" w:ascii="Times New Roman" w:hAnsi="Times New Roman" w:eastAsia="宋体" w:cs="Times New Roman"/>
          <w:sz w:val="18"/>
          <w:szCs w:val="18"/>
        </w:rPr>
        <w:t xml:space="preserve"> 1971年第61期, 第112–123 页。</w:t>
      </w:r>
    </w:p>
    <w:p w14:paraId="4129093F">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[2] [美] 詹姆斯·科尔曼：《社会理论的基础》，邓方译，社会科学文献出版社1990年版.</w:t>
      </w:r>
    </w:p>
    <w:p w14:paraId="290DD0E7">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[3] [英]吉登斯：《社会的构成》，</w:t>
      </w:r>
      <w:r>
        <w:rPr>
          <w:rFonts w:hint="default" w:ascii="Times New Roman" w:hAnsi="Times New Roman" w:eastAsia="宋体" w:cs="Times New Roman"/>
          <w:sz w:val="18"/>
          <w:szCs w:val="18"/>
          <w:lang w:eastAsia="zh-Hans"/>
        </w:rPr>
        <w:t>李康、李猛译</w:t>
      </w:r>
      <w:r>
        <w:rPr>
          <w:rFonts w:hint="default" w:ascii="Times New Roman" w:hAnsi="Times New Roman" w:eastAsia="宋体" w:cs="Times New Roman"/>
          <w:sz w:val="18"/>
          <w:szCs w:val="18"/>
        </w:rPr>
        <w:t>，三联书店1998年版</w:t>
      </w:r>
    </w:p>
    <w:p w14:paraId="58D52047">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[4]程恩富，伍山林：《企业学说与企业变革》，上海财经大学出版社2001年版。</w:t>
      </w:r>
    </w:p>
    <w:p w14:paraId="6F4B1FBD">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 xml:space="preserve">[5] [美]M.Granovetter: “Economic action and social structure: The problem of embeddedness”, </w:t>
      </w:r>
      <w:r>
        <w:rPr>
          <w:rFonts w:hint="default" w:ascii="Times New Roman" w:hAnsi="Times New Roman" w:eastAsia="宋体" w:cs="Times New Roman"/>
          <w:i/>
          <w:sz w:val="18"/>
          <w:szCs w:val="18"/>
        </w:rPr>
        <w:t>American Journal of Sociology</w:t>
      </w:r>
      <w:r>
        <w:rPr>
          <w:rFonts w:hint="default" w:ascii="Times New Roman" w:hAnsi="Times New Roman" w:eastAsia="宋体" w:cs="Times New Roman"/>
          <w:sz w:val="18"/>
          <w:szCs w:val="18"/>
        </w:rPr>
        <w:t>, 1985年第91卷第3期.</w:t>
      </w:r>
    </w:p>
    <w:p w14:paraId="55B6F903">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[6] [英]斯密：《国民财富的性质和原因的研究》，商务印书馆1965年版，第27页。</w:t>
      </w:r>
    </w:p>
    <w:p w14:paraId="0E7A1B14">
      <w:pPr>
        <w:ind w:firstLine="360" w:firstLineChars="200"/>
        <w:rPr>
          <w:rFonts w:hint="default" w:ascii="Times New Roman" w:hAnsi="Times New Roman" w:eastAsia="宋体" w:cs="Times New Roman"/>
          <w:sz w:val="18"/>
          <w:szCs w:val="18"/>
        </w:rPr>
      </w:pPr>
      <w:r>
        <w:rPr>
          <w:rFonts w:hint="default" w:ascii="Times New Roman" w:hAnsi="Times New Roman" w:eastAsia="宋体" w:cs="Times New Roman"/>
          <w:sz w:val="18"/>
          <w:szCs w:val="18"/>
        </w:rPr>
        <w:t>[7] 程恩富：《西方产权理论评析——兼论中国企业改革》，当代中国出版社1997年版。</w:t>
      </w:r>
    </w:p>
    <w:p w14:paraId="5E7F766D">
      <w:pPr>
        <w:spacing w:line="300" w:lineRule="auto"/>
        <w:ind w:firstLine="420" w:firstLineChars="200"/>
        <w:rPr>
          <w:rFonts w:hint="default" w:ascii="Times New Roman" w:hAnsi="Times New Roman" w:eastAsia="宋体" w:cs="Times New Roman"/>
          <w:szCs w:val="21"/>
        </w:rPr>
      </w:pPr>
    </w:p>
    <w:p w14:paraId="3A0B2264">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（原载《江苏行政学院学报》2002年第2期，第二作者为彭文兵）</w:t>
      </w:r>
    </w:p>
    <w:p w14:paraId="736E3827">
      <w:pPr>
        <w:ind w:firstLine="420" w:firstLineChars="200"/>
        <w:rPr>
          <w:rFonts w:hint="default" w:ascii="Times New Roman" w:hAnsi="Times New Roman" w:eastAsia="等线" w:cs="Times New Roman"/>
        </w:rPr>
      </w:pPr>
      <w:r>
        <w:rPr>
          <w:rFonts w:hint="default" w:ascii="Times New Roman" w:hAnsi="Times New Roman" w:eastAsia="宋体" w:cs="Times New Roman"/>
          <w:kern w:val="0"/>
          <w:szCs w:val="24"/>
        </w:rPr>
        <w:br w:type="page"/>
      </w:r>
    </w:p>
    <w:p w14:paraId="6D0298A7">
      <w:pPr>
        <w:spacing w:before="156" w:beforeLines="50" w:after="156" w:afterLines="50" w:line="300" w:lineRule="auto"/>
        <w:ind w:firstLine="640" w:firstLineChars="200"/>
        <w:jc w:val="center"/>
        <w:outlineLvl w:val="1"/>
        <w:rPr>
          <w:rFonts w:hint="default" w:ascii="Times New Roman" w:hAnsi="Times New Roman" w:eastAsia="黑体" w:cs="Times New Roman"/>
          <w:sz w:val="32"/>
          <w:szCs w:val="24"/>
        </w:rPr>
      </w:pPr>
      <w:bookmarkStart w:id="130" w:name="_Toc93074532"/>
      <w:bookmarkStart w:id="131" w:name="_Toc4929"/>
      <w:bookmarkStart w:id="132" w:name="_Toc20791"/>
      <w:bookmarkStart w:id="133" w:name="_Toc1342031052"/>
      <w:bookmarkStart w:id="134" w:name="_Toc61466006"/>
      <w:bookmarkStart w:id="135" w:name="_Toc257922057"/>
      <w:r>
        <w:rPr>
          <w:rFonts w:hint="default" w:ascii="Times New Roman" w:hAnsi="Times New Roman" w:eastAsia="黑体" w:cs="Times New Roman"/>
          <w:sz w:val="32"/>
          <w:szCs w:val="24"/>
        </w:rPr>
        <w:t>西方企业理论的意义、误点及与马克思企业理论的比较</w:t>
      </w:r>
      <w:bookmarkEnd w:id="130"/>
      <w:bookmarkEnd w:id="131"/>
      <w:bookmarkEnd w:id="132"/>
      <w:bookmarkEnd w:id="133"/>
      <w:bookmarkEnd w:id="134"/>
    </w:p>
    <w:p w14:paraId="7DF7470D">
      <w:pPr>
        <w:spacing w:line="300" w:lineRule="auto"/>
        <w:ind w:firstLine="480" w:firstLineChars="200"/>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（上）</w:t>
      </w:r>
      <w:bookmarkEnd w:id="135"/>
    </w:p>
    <w:p w14:paraId="164DE66C">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一、西方企业理论的意义与贡献</w:t>
      </w:r>
    </w:p>
    <w:p w14:paraId="24D15A4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（一）科斯关于企业组织的成因和规模界限的理论，是对西方主流微观经济学的一种批评性补充，产生了积极的理论和现实的意义。</w:t>
      </w:r>
    </w:p>
    <w:p w14:paraId="5F87C99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资产阶级政治经济学之父亚当·斯密在《国民财富的性质和原因的研究》一书中，阐明了劳动分工和协作创造了较高的生产力，这种协作的生产力是工厂（组织）存在的重要原因，而工厂的规模则“受市场范围的限制”</w:t>
      </w:r>
      <w:r>
        <w:rPr>
          <w:rFonts w:hint="default" w:ascii="Times New Roman" w:hAnsi="Times New Roman" w:eastAsia="宋体" w:cs="Times New Roman"/>
          <w:szCs w:val="21"/>
          <w:vertAlign w:val="superscript"/>
        </w:rPr>
        <w:t>[1]</w:t>
      </w:r>
      <w:r>
        <w:rPr>
          <w:rFonts w:hint="default" w:ascii="Times New Roman" w:hAnsi="Times New Roman" w:eastAsia="宋体" w:cs="Times New Roman"/>
          <w:szCs w:val="21"/>
        </w:rPr>
        <w:t>。据此，在传统西方经济学那里，企业作为一种生产单位，其作用就是把资本、土地和劳动等生产要素投入转化为一定的产出，因而用生产函数来描述这种投入与产出的转换关系。生产函数所揭示的，是各种可能的投入组合与各种可能的产出组合之间的繁多的对应关系。这样，企业就被简单地归结为一个由给定的技术水平所定义的生产方程，其功能不过是依照某个方程，把原料转换成产品而已。</w:t>
      </w:r>
    </w:p>
    <w:p w14:paraId="3F971B4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对此，科斯批评得有道理：在这种内含交易成本为零的新古典经济学理论领域内，“被研究的东西是经济学家心目中的、而不是现实中的体系。我曾称之为‘黑板经济学’。企业和市场似乎都有名无实。在主流经济理论中企业曾经常被描述为一个‘黑箱’，现在也是如此。已知在现代经济体系中大多数资源是在企业内使用的，在如何使用这些资源取决于行政决策而不直接取决于市场运行的情况下，这样的看法是相当离奇的。”</w:t>
      </w:r>
      <w:r>
        <w:rPr>
          <w:rFonts w:hint="default" w:ascii="Times New Roman" w:hAnsi="Times New Roman" w:eastAsia="宋体" w:cs="Times New Roman"/>
          <w:szCs w:val="21"/>
          <w:vertAlign w:val="superscript"/>
        </w:rPr>
        <w:t>[2]</w:t>
      </w:r>
      <w:r>
        <w:rPr>
          <w:rFonts w:hint="default" w:ascii="Times New Roman" w:hAnsi="Times New Roman" w:eastAsia="宋体" w:cs="Times New Roman"/>
          <w:szCs w:val="21"/>
        </w:rPr>
        <w:t>的确，从西方经济学说的发展史和社会生产的实际状况来说，利用价格机制或市场的运行是有成本的，企业的存在与减少市场交易成本有关，企业规模的大小同内部组织的交易成本与公开市场的交易成本比较有关，尽管科斯提出这些论点较为粗糙，但他首次明确把交易费用纳入经济学分析领域，体现出一种创新精神。</w:t>
      </w:r>
    </w:p>
    <w:p w14:paraId="6645B3D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此外，在《企业的性质》一文中，科斯将正统经济学的分析方法移植到制度经济学，其分析包含企业与市场在资源配置功能中的“替代分析”，企业扩张的增量的“边际分析”，企业规模与市场均衡以及其他企业规模的“均衡分析”。这也是科斯对西方经济理论的一个贡献。</w:t>
      </w:r>
    </w:p>
    <w:p w14:paraId="7B52A5B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（二）阿尔钦和登姆塞茨关于古典资本主义企业的团队分析，充实了科斯的理论，具有常识性的意义。</w:t>
      </w:r>
    </w:p>
    <w:p w14:paraId="5BB6BC5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阿氏和登氏写道：“我们关于企业的观点并不一定与科斯的理论不一致，</w:t>
      </w:r>
      <w:r>
        <w:rPr>
          <w:rFonts w:hint="default" w:ascii="Times New Roman" w:hAnsi="Times New Roman" w:cs="Times New Roman"/>
          <w:szCs w:val="21"/>
        </w:rPr>
        <w:t>……</w:t>
      </w:r>
      <w:r>
        <w:rPr>
          <w:rFonts w:hint="default" w:ascii="Times New Roman" w:hAnsi="Times New Roman" w:eastAsia="宋体" w:cs="Times New Roman"/>
          <w:szCs w:val="21"/>
        </w:rPr>
        <w:t>为了将这一理论向前推进，我们有必要了解企业的意义是什么，并解释在怎样的环境下，‘管理’资源的成本相对低于通过市场交易来配置资源的成本。我们所提出的古典企业理论是逐渐退出科斯所指引的路径来达到这一目标的。在我们的解释中，对队生产、队组织计量产出的困难，以及偷懒问题的考虑都是很重要的。但至此我们可以肯定的是，这些方面都是科斯理论所没有的。”</w:t>
      </w:r>
      <w:r>
        <w:rPr>
          <w:rFonts w:hint="default" w:ascii="Times New Roman" w:hAnsi="Times New Roman" w:eastAsia="宋体" w:cs="Times New Roman"/>
          <w:szCs w:val="21"/>
          <w:vertAlign w:val="superscript"/>
        </w:rPr>
        <w:t>[3]</w:t>
      </w:r>
      <w:r>
        <w:rPr>
          <w:rFonts w:hint="default" w:ascii="Times New Roman" w:hAnsi="Times New Roman" w:eastAsia="宋体" w:cs="Times New Roman"/>
          <w:szCs w:val="21"/>
        </w:rPr>
        <w:t>如果同威廉姆森相比，阿尔钦和登姆塞茨退出科斯路径而作的分析，就其主要思想来说是常识性的。例如，任何组织形式的企业都需要计量或测量投入与产出；团队成员的劳动投入有时难以观察和准确测量；组织成员有可能偷懒而需要监督，监督者也可能偷懒；等等。</w:t>
      </w:r>
    </w:p>
    <w:p w14:paraId="2A74DB5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除了后面我们会指出团队理论的一些阶级辨护性等重要缺陷之外，他们说明的下列论点还是有可取之处的，部分推进了科斯观点。（1）阿氏和登氏承认，技术的发展有时会降低市场交易的费用，同时也会扩大企业的作用。比如，在设备的联合使用中，团队生产就变得更加重要，因为它包括工人之间的相互作用，尤其是他们对机械的联合使用，使边际生产率的衡量更加困难。现代生产装配线因为集中的动力源的形成，就扩大了企业作为一种享有比较优势的组织形式的生产活动的范围。（2）阿氏和登氏强调，企业是一种队所使用的投入的专门的代理市场。它能更优越地（即更廉价地）汇集和核实关于异质资源的知识。在企业内核实的投入绩效的知识越多，核察活动的现期成本就越大。这样，企业（市场）越大，对控制的监督就越低。为了抵消这一力量，企业将采取分工的方式来节约这些成本——正如市场将会专业化一样（他俩特别声明：关于企业的原因的其他理论还没有这一类含义）。（3）阿氏和登氏肯定，每个队员都宁愿一个队中没有人（甚至包括他自己）会偷懒，从而实现一个大家所喜欢的更好的境况。如果在队的忠诚与精神的指引下能够增进不偷懒的共同利益，那么，队将更为有效。当然，要创造一种经济的队的忠诚精神是很困难的，它可能要鼓吹一种道德行为准则。</w:t>
      </w:r>
    </w:p>
    <w:p w14:paraId="1D60D75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（三）钱德勒关于现代工商企业起源和成长的理论，在一定程度上揭示了科技革命及生产社会化和国际化条件下企业管理机制变革的特征和规律</w:t>
      </w:r>
    </w:p>
    <w:p w14:paraId="07FA78A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当钱德勒重点考察19世纪40年代到20世纪20年代美国所经历的生产和分配过程的革命性变化时，发现凡是进行大批量生产和大批量分配相结合并在产品流程中可以协调的那些工业，必然会产生具有现代特征的工商企业。现代工商企业的诞生乃是市场与技术发展的必然结果，其管理体制取代了市场机制而协调着货物从原料供应，经过生产和分配，直至最终消费的整个流程。正如他所说的：“现代工商企业在协调经济活动和分配资源方面已取代了亚当·斯密的所谓市场力量的无形的手。市场依然是对商品和服务的需求的创造者，然而现代工商企业已接管了协调流经现有生产和分配过程的产品流量的功能，以及为未来的生产和分配分派资金和人员的功能。”</w:t>
      </w:r>
      <w:r>
        <w:rPr>
          <w:rFonts w:hint="default" w:ascii="Times New Roman" w:hAnsi="Times New Roman" w:eastAsia="宋体" w:cs="Times New Roman"/>
          <w:szCs w:val="21"/>
          <w:vertAlign w:val="superscript"/>
        </w:rPr>
        <w:t>[4]</w:t>
      </w:r>
      <w:r>
        <w:rPr>
          <w:rFonts w:hint="default" w:ascii="Times New Roman" w:hAnsi="Times New Roman" w:eastAsia="宋体" w:cs="Times New Roman"/>
          <w:szCs w:val="21"/>
        </w:rPr>
        <w:t>我们由此可以看到，钱德勒关于以交易内部化为内容的管理协调可能比市场协调更有效率的观点，关于管理协调形成的节约可能比降低信息和交易成本所形成的节约要大得多的观点，关于现代工商企业的兴起使所有权和管理权之间的关系具有新内容的观点，关于管理的变革对生产发展的促进作用以及生产的扩大又要求管理进行变革的观点，都显示出较大的客观性，有助于人们从企业发展史的角度认识生产力与生产关系的辩证运动。</w:t>
      </w:r>
    </w:p>
    <w:p w14:paraId="570B8AC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钱德勒有关现代工商企业两个特点的说法，即它包含许多不同的营业单位，且由各层级支薪的行政人员所管理，是从企业内部层级结构变化来界定的。尽管我们还可以从其他层面来揭示现代工商企业的体制特征，但这毕竟已勾画出关键性的一笔。他有关“经理式资本主义”取代“家族式资本主义”的说法，尽管不是西方学者中第一个概括的，而且有过于简单化之嫌，但这毕竟更加具体和细致地描绘出当代资本主义企业及整个经济体制的一个重大变化。</w:t>
      </w:r>
    </w:p>
    <w:p w14:paraId="14DD52A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值得一提的是，钱德勒的基本论点是建立在对食品工业、烟草工业、化学工业、橡胶工业、石化工业、机器制造和肉类加工业等所作的分析基础之上的，而不是由假设的经济案例（故事）加单纯的逻辑推理所构成，因而富有相当的史实依据和实际价值。</w:t>
      </w:r>
    </w:p>
    <w:p w14:paraId="4657F59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（四）威廉姆森关于现代公司组织和治理结构的理论，大大地深化了科斯的企业理论，形成一种独特的有价值的分析体系</w:t>
      </w:r>
    </w:p>
    <w:p w14:paraId="6D71A44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科斯只是提出了传统微观经济学所忽视的交易费用问题，分析经济资源配置的二元机制，并得出企业存在的原因或起源是由于内部组织协调比公开市场协调更为有效或交易费用更低，而没有提出企业存在的总费用的结构及其比较问题。威廉姆森明确区分企业的生产费用和组织管理费用，通过给出的经济模型来说明企业成长边界或效率边界取决于总费用的大小，而非单纯计量生产费用或单纯计量组织管理费用。这就比科斯的单角度论述显得相对全面和精确一点。</w:t>
      </w:r>
    </w:p>
    <w:p w14:paraId="276C0DA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威廉姆森有关资产专用性与企业治理结构的界说，撇开名牌商标资产的专用性，其实质是要说明生产力中物的要素和人的要素的特性，客观上如何影响或决定企业内部和市场的组织行为和交易行为，即生产力如何决定生产方式和生产关系，这无疑具有理论意义。</w:t>
      </w:r>
    </w:p>
    <w:p w14:paraId="6C3ABAD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威廉姆森从“契约人”的行为假定出发，分析人的有限理性和机会主义动机和行为，修正了主流经济学关于人是完全理性的行为假定，为正确研究企业治理结构奠定了某种客观基础。克雷普斯说得有道理，威氏对于企业治理无效的讨论有两点贡献值得注意：第一，层级结构的上层无法仿效市场提供激励，因为他们拥有“重新决定”合同条款的能力，在事后也会利用这一能力为自己谋利益。而且，他们又无法事先对特定的激励方案或干预规则作出承诺，别人也无法了解他们将如何阻止有效的激励。第二，在一体化的治理结构中，如果决策权集中，那么受决策影响的个人将试图尽可能地影响核心决策者。如果决策者可以被腐化，他们就会尽量地去腐化决策者。如果这种腐化活动占用生产性时间，导致无效率，操纵信息流，那么一体化的治理成本将增大</w:t>
      </w:r>
      <w:r>
        <w:rPr>
          <w:rFonts w:hint="default" w:ascii="Times New Roman" w:hAnsi="Times New Roman" w:eastAsia="宋体" w:cs="Times New Roman"/>
          <w:szCs w:val="21"/>
          <w:vertAlign w:val="superscript"/>
        </w:rPr>
        <w:t>[5]</w:t>
      </w:r>
      <w:r>
        <w:rPr>
          <w:rFonts w:hint="default" w:ascii="Times New Roman" w:hAnsi="Times New Roman" w:eastAsia="宋体" w:cs="Times New Roman"/>
          <w:szCs w:val="21"/>
        </w:rPr>
        <w:t>。威氏的这一分析有一定的深度，尽管企业层级结构的上层也有程度不同的激励目标和制度安排，市场交易也会有严重的腐化。</w:t>
      </w:r>
    </w:p>
    <w:p w14:paraId="5325481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至于威廉姆森和钱德勒都分析过的公司“H型”结构、“U型”结构和“M型”结构，自然是反映大公司组织管理体制的一种客观变化（威氏的某些相关企业理论，我们以后还要评述）。</w:t>
      </w:r>
    </w:p>
    <w:p w14:paraId="648B90C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（五）张五常关于企业的契约性质的理论，阐发了科斯等人的契约思想，并提出一些值得注意的见解</w:t>
      </w:r>
    </w:p>
    <w:p w14:paraId="0C2C084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张五常教授对科斯企业理论的理解有独特性，强调“科斯的中心思想是，制度的运行成本（交易费用）的差别致使企业取代市场。一方面，市场交易包括工业品和消费品；另一方面，‘企业交易’包括生产要素。企业的发展可看作产品市场被要素市场所代替，结果是节约了交易费用。这个论点并不容易理解，因为科斯没有给‘企业’下定义，也不像我们所认为的在产品市场和要素市场之间有一清楚的界线。”</w:t>
      </w:r>
      <w:r>
        <w:rPr>
          <w:rFonts w:hint="default" w:ascii="Times New Roman" w:hAnsi="Times New Roman" w:eastAsia="宋体" w:cs="Times New Roman"/>
          <w:szCs w:val="21"/>
          <w:vertAlign w:val="superscript"/>
        </w:rPr>
        <w:footnoteReference w:id="50"/>
      </w:r>
      <w:r>
        <w:rPr>
          <w:rFonts w:hint="default" w:ascii="Times New Roman" w:hAnsi="Times New Roman" w:eastAsia="宋体" w:cs="Times New Roman"/>
          <w:szCs w:val="21"/>
        </w:rPr>
        <w:t>这意味着张五常教授理解出一个新的重要观点：市场的交易对象是产品，而“企业交易”的对象则是生产要素，企业的本质是用要素市场的契约代替产品市场的契约。在西方企业理论发展史上，此观点是有新意的（科学与否，下面将作分析）。</w:t>
      </w:r>
    </w:p>
    <w:p w14:paraId="4E32986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科斯在《企业的性质》这篇经典性作品中，忽略了分工和协作对近现代企业形成的重要影响，已有一些学者作了弥补。虽然张五常教授尚未把分工协作与交易费用各自作用及相互关系阐述清楚，但他补充声明：强调交易费用不是要否认从劳动分工的专业化或生产的有效协作中可能获得的收益。这自然是必要的。</w:t>
      </w:r>
    </w:p>
    <w:p w14:paraId="6C92CBA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同时，张五常教授敏锐地感觉到：“对于企业的规模无法说得更多，因为我们无法确切地知道企业究竟是什么。假定遇到下述情形（限于篇幅，本书不列出这些情形，有兴趣的读者可看原文），很难说依科斯的分析方法，我们能清楚地断定什么是企业及其规模又如何。”</w:t>
      </w:r>
      <w:r>
        <w:rPr>
          <w:rFonts w:hint="default" w:ascii="Times New Roman" w:hAnsi="Times New Roman" w:eastAsia="宋体" w:cs="Times New Roman"/>
          <w:szCs w:val="21"/>
          <w:vertAlign w:val="superscript"/>
        </w:rPr>
        <w:t>[6]</w:t>
      </w:r>
      <w:r>
        <w:rPr>
          <w:rFonts w:hint="default" w:ascii="Times New Roman" w:hAnsi="Times New Roman" w:eastAsia="宋体" w:cs="Times New Roman"/>
          <w:szCs w:val="21"/>
        </w:rPr>
        <w:t>由于科斯的理论有局限性，因而这一感觉包含着一定的逻辑性。</w:t>
      </w:r>
    </w:p>
    <w:p w14:paraId="0430495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此外，张五常教授还运用“交易费用”的词汇，详细分析了包括《资本论》在内的中外众多文献早已透彻研究过的计件工资制，并得出百年来人们很熟悉的结论。</w:t>
      </w:r>
    </w:p>
    <w:p w14:paraId="79C1A26B">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ab/>
      </w:r>
      <w:r>
        <w:rPr>
          <w:rFonts w:hint="default" w:ascii="Times New Roman" w:hAnsi="Times New Roman" w:eastAsia="黑体" w:cs="Times New Roman"/>
          <w:b w:val="0"/>
          <w:bCs w:val="0"/>
          <w:color w:val="231F20"/>
          <w:spacing w:val="17"/>
          <w:sz w:val="24"/>
          <w:szCs w:val="24"/>
        </w:rPr>
        <w:t>二、西方企业理论的局限与误点</w:t>
      </w:r>
    </w:p>
    <w:p w14:paraId="2E1AC26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仅以科斯开辟的上述西方企业理论为研究对象，可以看到，这些观点部分反映了客观经济现实，从而修正和弥补了传统西方经济理论，尤其是新古典经济学的重大缺陷。可是，他们的不少重要论点值得进一步的商榷。</w:t>
      </w:r>
    </w:p>
    <w:p w14:paraId="46D37AED">
      <w:pPr>
        <w:keepNext w:val="0"/>
        <w:keepLines w:val="0"/>
        <w:pageBreakBefore w:val="0"/>
        <w:widowControl w:val="0"/>
        <w:tabs>
          <w:tab w:val="left" w:pos="1260"/>
        </w:tabs>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b/>
          <w:szCs w:val="21"/>
          <w:highlight w:val="lightGray"/>
        </w:rPr>
        <w:t>（一）</w:t>
      </w:r>
      <w:r>
        <w:rPr>
          <w:rFonts w:hint="default" w:ascii="Times New Roman" w:hAnsi="Times New Roman" w:eastAsia="宋体" w:cs="Times New Roman"/>
          <w:b/>
          <w:szCs w:val="21"/>
        </w:rPr>
        <w:t>单纯从交易费用的存在和大小来说明企业的存在，不免含有片面性。</w:t>
      </w:r>
    </w:p>
    <w:p w14:paraId="6BB286C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对于企业的形成和规模界限，科斯等人仅仅从交易费用的存在和节约的角度去阐述，就难以全面解析。试问：假如交易费用为零，企业还可能产生吗?事实上，企业与市场的根本区别，在于企业具有生产的功能，而这一功能是市场无法取代的。企业可以把公开市场交易内部化，从而可能节约交易费用，但交易费用的存在与否及其大小，并不一定是企业存在的根本原因。例如，有一位富豪打算每年生产彩电20万台（以市场需要等其他条件为前提），他可以考虑是办一个生产全部零部件并加以总装的企业，还是办一个利用购买来的零部件来总装的企业，但他不可能因为交易费用的大小，自己一个人去生产，而必须至少办一个总装企业，即雇佣一定数量的人员和运用一定数量的生产资料。也就是说，在选择独自生产或是企业生产（企业的形成）这个问题上，与交易费用的存在和大小并无密切的关联。</w:t>
      </w:r>
    </w:p>
    <w:p w14:paraId="09041DA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后来，威廉姆森等人对此作了重要更正和补充，进行生产费用与组织管理费用的比较，并强调资产专用性、技术状况和市场容量等因素，才大大增添了解释企业成因和极限的合理性。</w:t>
      </w:r>
    </w:p>
    <w:p w14:paraId="359D005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（二）忽略具有垄断因素的市场结构可以导致企业界限的变化，是缺乏现实性的。</w:t>
      </w:r>
    </w:p>
    <w:p w14:paraId="7D989AA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vertAlign w:val="superscript"/>
        </w:rPr>
      </w:pPr>
      <w:r>
        <w:rPr>
          <w:rFonts w:hint="default" w:ascii="Times New Roman" w:hAnsi="Times New Roman" w:eastAsia="宋体" w:cs="Times New Roman"/>
          <w:szCs w:val="21"/>
        </w:rPr>
        <w:t>科斯等人的“企业替代市场说”是以新古典经济学的纯粹竞争假设为前提条件的，而现实经济生活中的市场往往偏离纯粹竞争。假定交易费用为零，市场的垄断结构仍可导致企业的生死存亡和扩张收缩。如供水、供电、供煤气等自然垄断结构，便是这样。即使交易费用为零，在类似垄断结构中的各种企业依然可以赚钱并扩大生产经营规模；反之，垄断结构被竞争逐渐冲消，该种垄断企业也可能亏损甚至破产。可见，在阐释企业的存在和界限时，把交易费用作为最主要的动因或根源来看待，是有条件的，而不是发生在任何场合。</w:t>
      </w:r>
      <w:r>
        <w:rPr>
          <w:rFonts w:hint="default" w:ascii="Times New Roman" w:hAnsi="Times New Roman" w:eastAsia="宋体" w:cs="Times New Roman"/>
          <w:szCs w:val="21"/>
          <w:vertAlign w:val="superscript"/>
        </w:rPr>
        <w:t>[7]</w:t>
      </w:r>
    </w:p>
    <w:p w14:paraId="2F8A358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（三）忽视和淡化从总体上追求长期利润极大化这一企业起源和成长的内在动力或深层动因，是不深刻和不充分的。</w:t>
      </w:r>
    </w:p>
    <w:p w14:paraId="0209893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现代西方流行的企业理论认为，企业的形成和成长的主导原因在于市场协调中的交易费用太大。正如威廉姆森所点明的：“说节省交易费用是企业联合决策的主要因素并不意味着排除其他因素，其中有一些有时同时产生作用。但假如节省交易费用确实是主导因素的话，其他因素就被降为配角了。这就是我的基本论点。”</w:t>
      </w:r>
      <w:r>
        <w:rPr>
          <w:rFonts w:hint="default" w:ascii="Times New Roman" w:hAnsi="Times New Roman" w:eastAsia="宋体" w:cs="Times New Roman"/>
          <w:szCs w:val="21"/>
          <w:vertAlign w:val="superscript"/>
        </w:rPr>
        <w:t>[8]</w:t>
      </w:r>
      <w:r>
        <w:rPr>
          <w:rFonts w:hint="default" w:ascii="Times New Roman" w:hAnsi="Times New Roman" w:eastAsia="宋体" w:cs="Times New Roman"/>
          <w:szCs w:val="21"/>
        </w:rPr>
        <w:t>其实，节省交易费用只是企业决策的一个重要层面，只有假定由技术和市场等因素决定的生产费用为零或不变时，交易费用才是惟一的决定因素，而现实经济中生产费用与交易费用是交叉在一起的，哪种费用的变化占主要地位或成为主导因素，完全要视技术、市场和组织等不同的组合状况而定。况且，节省交易费用和生产费用的最终目的，都是为了从总体上获取长期利润极大化。脱离了预付资本与总利润的分析，企业起源和成长的根基发掘就显得不很深刻、不很充分。我们知道，不仅马克思的企业理论早就阐明了这一点，而且从事务实研究的管理学家钱德勒也予以确认。钱德勒的第一个基本论点就是：“当管理上的协调比市场机制的协调能带来更大的生产力、较低的成本和较高的利润时，现代多单位的工商企业就会取代传统的小公司。”</w:t>
      </w:r>
      <w:r>
        <w:rPr>
          <w:rFonts w:hint="default" w:ascii="Times New Roman" w:hAnsi="Times New Roman" w:eastAsia="宋体" w:cs="Times New Roman"/>
          <w:szCs w:val="21"/>
          <w:vertAlign w:val="superscript"/>
        </w:rPr>
        <w:t>[6]</w:t>
      </w:r>
      <w:r>
        <w:rPr>
          <w:rFonts w:hint="default" w:ascii="Times New Roman" w:hAnsi="Times New Roman" w:eastAsia="宋体" w:cs="Times New Roman"/>
          <w:szCs w:val="21"/>
        </w:rPr>
        <w:t>至于股东与职业经理之间关于企业经营方针的某些歧见，说到底只是对企业的眼前利益与长期利益、局部利益与全局利益的看法不尽一致。尽管他们的企业治理方案都渗透着个人的私利并有一定的矛盾，但其根本利益和经营目标仍然在于寻求长期利润极大化。所谓职业经理只追求“适度利润”，本质上不过是不贪图眼前利益的长期利润极大化的另一种表述。西方企业理论有夸大“经理革命”的偏颇倾向。</w:t>
      </w:r>
    </w:p>
    <w:p w14:paraId="4917AB7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b/>
          <w:szCs w:val="21"/>
        </w:rPr>
        <w:t>（四）强调雇主监督雇员并应拥有剩余索取权是天经地义的，完全出于阶级偏见。</w:t>
      </w:r>
    </w:p>
    <w:p w14:paraId="5DEEB49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如果说其他西方学者只是隐含着或稍带着这一观点，那么，阿尔钦和登姆塞茨的企业理论则是最明显地突出了这一资产阶级立场和学术观点。他俩的分析逻辑如下：团队生产需要测量投入→对成员劳动投入难以测量→需要监督成员以免偷懒→监督者也可能偷懒→赋予监督者剩余索取权可免偷懒→减少偷懒意味着效率高。明明是资本家凭借生产资料的所有权或资本的所有权（收益权或剩余索取权是终极所有权的一种实现和完整所有权的一项权能），无偿占有雇佣劳动者的剩余劳动及其价值，但在西方企业理论中，这一生产资料与劳动者的特殊结合方式却被歪曲为团队生产或协作群生产的一般和必然的结合方式，而且是雇员向雇主“分派”剩余索取权。阿氏和登氏的结论最具代表性：队成员在寻求增加他们的生产率时，不仅向监督者分派了享有残余权利者的权利，而且还给予了他改变个别成员资格及队的绩效的权力。可见，经济学的分析方法和社会立场不同，得出的企业理论自然有很大的差别。</w:t>
      </w:r>
    </w:p>
    <w:p w14:paraId="1140404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（五）模糊私有企业资本与雇佣劳动的本质关系，缺乏深层分析的科学精神。</w:t>
      </w:r>
    </w:p>
    <w:p w14:paraId="416558B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在检索和研究了西方企业理论的主要经典文献后，发现私有企业最本质的契约关系并没有被揭示，反而被“科学地”歪曲和掩盖。资本家不付费用而占有雇佣劳动者创造的剩余财富，是一种有别于奴隶制和封建制的新型契约关系，不过，这种“自由”、“平等”的契约关系的实质是一种新型的“剥削—被剥削”。西方学者大量描述过的“偷懒—监督”、“委托—代理”、“组织—市场”和“交易费用高低”等一系列机制和关系，有程度不一的意义，但并未完整地、深刻地勾画出私有企业的全貌。这表明，现代西方经济学所能达到的科学高度是极其有限的。</w:t>
      </w:r>
    </w:p>
    <w:p w14:paraId="347F676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（六）主张企业的本质是用要素市场取代产品市场的观点，容易导致概念混乱。</w:t>
      </w:r>
    </w:p>
    <w:p w14:paraId="225A345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倘若如张五常教授所强调的，市场交易的对象是工业品和消费品，企业交易的对象是生产要素，“企业”并非为取代“市场”而建立，不过是用要素市场代替产品市场，那么，很容易将原来国际公认的经济学概念搞乱。难道公开市场上交易的对象只是工业品和消费品吗?众所周知，劳动力市场上交易的各种劳动力（包括“蓝领”工人、“白领”职员、经理等），证券市场上交易的各种有价证券，技术市场上交易的各种技术，房地产市场交易的各种房屋和土地，信息市场上交易的各种信息</w:t>
      </w:r>
      <w:r>
        <w:rPr>
          <w:rFonts w:hint="default" w:ascii="Times New Roman" w:hAnsi="Times New Roman" w:eastAsia="MS Gothic" w:cs="Times New Roman"/>
          <w:szCs w:val="21"/>
        </w:rPr>
        <w:t>⋯⋯</w:t>
      </w:r>
      <w:r>
        <w:rPr>
          <w:rFonts w:hint="default" w:ascii="Times New Roman" w:hAnsi="Times New Roman" w:eastAsia="宋体" w:cs="Times New Roman"/>
          <w:szCs w:val="21"/>
        </w:rPr>
        <w:t>，其中有些属于产品（商品）的交易，有些则属于生产要素的交易；有些属于有形的产品交易，有些则属于无形的产品交易。假如放着别的分析方法不用，而打乱已有的合理“范式”，那是有弊无利的。况且，企业主在公开市场上购买了各类生产要素即进行生产要素的交易以后，组织生产企业的行为就是在一定的契约安排下使这些生产要素现实地结合起来，并生产出产品。所以，试图从截然划分不同的交易对象来界定企业的性质，视企业与市场的区别为要素市场与产品市场的区别，势必会造成概念上的费解和紊乱。</w:t>
      </w:r>
      <w:r>
        <w:rPr>
          <w:rFonts w:hint="default" w:ascii="Times New Roman" w:hAnsi="Times New Roman" w:eastAsia="宋体" w:cs="Times New Roman"/>
          <w:szCs w:val="21"/>
          <w:vertAlign w:val="superscript"/>
        </w:rPr>
        <w:footnoteReference w:id="51"/>
      </w:r>
    </w:p>
    <w:p w14:paraId="1A485B8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此外，科斯及其后继者只看到企业组织协调部分替代市场协调的成本优势，而没有进一步看到和引伸出国家的组织协调也可以部分替代市场协调，若运用得恰当，其效率优势和成本优势十分明显[8]。事实上，现代大企业和国家组织协调的出现，在许多情况下都与克服“市场失灵”现象有某种联系，否认这一点是不客观的。</w:t>
      </w:r>
    </w:p>
    <w:p w14:paraId="1213276D">
      <w:pPr>
        <w:spacing w:line="300" w:lineRule="auto"/>
        <w:ind w:firstLine="420" w:firstLineChars="200"/>
        <w:rPr>
          <w:rFonts w:hint="default" w:ascii="Times New Roman" w:hAnsi="Times New Roman" w:eastAsia="宋体" w:cs="Times New Roman"/>
          <w:szCs w:val="21"/>
        </w:rPr>
      </w:pPr>
    </w:p>
    <w:p w14:paraId="4F9D939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bCs/>
          <w:szCs w:val="21"/>
        </w:rPr>
      </w:pPr>
      <w:r>
        <w:rPr>
          <w:rFonts w:hint="default" w:ascii="Times New Roman" w:hAnsi="Times New Roman" w:eastAsia="宋体" w:cs="Times New Roman"/>
          <w:b/>
          <w:bCs/>
          <w:szCs w:val="21"/>
        </w:rPr>
        <w:t>参考文献：</w:t>
      </w:r>
    </w:p>
    <w:p w14:paraId="70C2512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[1]斯密.国民财富的性质和原因的研究：上册[M].北京：商务印书馆，1981.16.</w:t>
      </w:r>
    </w:p>
    <w:p w14:paraId="2CAD0A0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[2]科斯.论生产的制度结构[C].上海：三联书店，1994.352-353.</w:t>
      </w:r>
    </w:p>
    <w:p w14:paraId="097E007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[3]阿尔钦，登姆塞茨.生产、信息费用与经济组织[A].论生产的制度结构[C].上海：三联书店，1994，70.</w:t>
      </w:r>
    </w:p>
    <w:p w14:paraId="23BD906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[4]钱德勒.看得见的手[M].北京：商务印书馆，1987，1.</w:t>
      </w:r>
    </w:p>
    <w:p w14:paraId="0719B67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[5]费方域.交易、合同关系的治理和企业[J].外国经济与管理，1996，6.</w:t>
      </w:r>
    </w:p>
    <w:p w14:paraId="21B72B0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[6]张五常.企业的契约性质[J].法律经济杂志，1983，4.</w:t>
      </w:r>
    </w:p>
    <w:p w14:paraId="48DFA52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[7] Wiliamson, 1985 “The Economic Institutions of Capitalism”, New York Free Press.103.</w:t>
      </w:r>
    </w:p>
    <w:p w14:paraId="08C02B9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[8]常修泽.现代企业创新论[M].天津：天津人民出版社，1994.122.</w:t>
      </w:r>
    </w:p>
    <w:p w14:paraId="48B4CA6B">
      <w:pPr>
        <w:ind w:firstLine="420" w:firstLineChars="200"/>
        <w:rPr>
          <w:rFonts w:hint="default" w:ascii="Times New Roman" w:hAnsi="Times New Roman" w:eastAsia="宋体" w:cs="Times New Roman"/>
          <w:szCs w:val="21"/>
        </w:rPr>
      </w:pPr>
    </w:p>
    <w:p w14:paraId="4FED5CDB">
      <w:pPr>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（原载《韶关学院学报》（社会科学版）2002年第7期）</w:t>
      </w:r>
    </w:p>
    <w:p w14:paraId="79087923">
      <w:pPr>
        <w:ind w:firstLine="420" w:firstLineChars="200"/>
        <w:rPr>
          <w:rFonts w:hint="default" w:ascii="Times New Roman" w:hAnsi="Times New Roman" w:eastAsia="宋体" w:cs="Times New Roman"/>
          <w:szCs w:val="21"/>
        </w:rPr>
      </w:pPr>
    </w:p>
    <w:p w14:paraId="733289D5">
      <w:pPr>
        <w:rPr>
          <w:rFonts w:hint="default" w:ascii="Times New Roman" w:hAnsi="Times New Roman" w:eastAsia="黑体" w:cs="Times New Roman"/>
          <w:sz w:val="32"/>
          <w:szCs w:val="24"/>
        </w:rPr>
      </w:pPr>
      <w:r>
        <w:rPr>
          <w:rFonts w:hint="default" w:ascii="Times New Roman" w:hAnsi="Times New Roman" w:eastAsia="黑体" w:cs="Times New Roman"/>
          <w:sz w:val="32"/>
          <w:szCs w:val="24"/>
        </w:rPr>
        <w:br w:type="page"/>
      </w:r>
    </w:p>
    <w:p w14:paraId="2B504231">
      <w:pPr>
        <w:spacing w:before="156" w:beforeLines="50" w:after="156" w:afterLines="50" w:line="300" w:lineRule="auto"/>
        <w:ind w:firstLine="640" w:firstLineChars="200"/>
        <w:jc w:val="both"/>
        <w:outlineLvl w:val="1"/>
        <w:rPr>
          <w:rFonts w:hint="default" w:ascii="Times New Roman" w:hAnsi="Times New Roman" w:eastAsia="黑体" w:cs="Times New Roman"/>
          <w:sz w:val="32"/>
          <w:szCs w:val="24"/>
        </w:rPr>
      </w:pPr>
      <w:bookmarkStart w:id="136" w:name="_Toc19729"/>
      <w:bookmarkStart w:id="137" w:name="_Toc257922058"/>
      <w:bookmarkStart w:id="138" w:name="_Toc29568"/>
      <w:bookmarkStart w:id="139" w:name="_Toc93074533"/>
      <w:bookmarkStart w:id="140" w:name="_Toc495146523"/>
      <w:bookmarkStart w:id="141" w:name="_Toc119528635"/>
      <w:r>
        <w:rPr>
          <w:rFonts w:hint="default" w:ascii="Times New Roman" w:hAnsi="Times New Roman" w:eastAsia="黑体" w:cs="Times New Roman"/>
          <w:sz w:val="32"/>
          <w:szCs w:val="24"/>
        </w:rPr>
        <w:t>西方企业理论的意义、误点及与马克思企业理论的比较</w:t>
      </w:r>
      <w:bookmarkEnd w:id="136"/>
      <w:bookmarkEnd w:id="137"/>
      <w:bookmarkEnd w:id="138"/>
      <w:bookmarkEnd w:id="139"/>
      <w:bookmarkEnd w:id="140"/>
      <w:bookmarkEnd w:id="141"/>
    </w:p>
    <w:p w14:paraId="419B8D4D">
      <w:pPr>
        <w:spacing w:line="300" w:lineRule="auto"/>
        <w:ind w:firstLine="480" w:firstLineChars="200"/>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（下）</w:t>
      </w:r>
    </w:p>
    <w:p w14:paraId="5C15C35E">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宋体" w:cs="Times New Roman"/>
          <w:b/>
          <w:bCs/>
          <w:kern w:val="28"/>
          <w:sz w:val="24"/>
          <w:szCs w:val="32"/>
        </w:rPr>
      </w:pPr>
      <w:r>
        <w:rPr>
          <w:rFonts w:hint="default" w:ascii="Times New Roman" w:hAnsi="Times New Roman" w:eastAsia="黑体" w:cs="Times New Roman"/>
          <w:b w:val="0"/>
          <w:bCs w:val="0"/>
          <w:color w:val="231F20"/>
          <w:spacing w:val="17"/>
          <w:sz w:val="24"/>
          <w:szCs w:val="24"/>
        </w:rPr>
        <w:t>三、马克思的企业学说及与西方理论的比较</w:t>
      </w:r>
    </w:p>
    <w:p w14:paraId="4B67A86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由于西方正统经济学家采取学术封闭的态度，盲目排斥马克思主义经济学，因而认为在科斯1937年发表《企业的性质》一文以前，没有形成关于企业起源和成长的理论。可是，所有读过马克思《资本论》的正直学者都会承认，即使不谈其他著作，也完全可以说《资本论》早已形成了关于企业的起源、本质、规模和治理结构等一整套较为系统的学说，而且十分深刻。</w:t>
      </w:r>
    </w:p>
    <w:p w14:paraId="455201E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(一)马克思企业学说的基本内容</w:t>
      </w:r>
    </w:p>
    <w:p w14:paraId="1F5D332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1．关于企业的起源</w:t>
      </w:r>
    </w:p>
    <w:p w14:paraId="43B52FE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在历史上，企业的起源就是资本主义企业的起源。马克思在《资本论》第一卷里详细探讨了资本主义企业产生的条件和原因，我们可把它归纳为以下四个因素：</w:t>
      </w:r>
    </w:p>
    <w:p w14:paraId="579CEB1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第一个因素是协作。</w:t>
      </w:r>
    </w:p>
    <w:p w14:paraId="2623D59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认为，协作是许多劳动者在同一生产过程中，或在不同的但互相联系的生产过程中，有计划地一起协同劳动。如果在同一生产过程中从事协作的劳动者之间没有劳动分工，就叫作简单协作(它与行会手工业一样，没有技术上的变化，但从发展的角度看，协作的方式是由技术状况决定的)。他指出：“资本主义生产实际上是在同一资本同时雇佣较多的工人，因而劳动过程扩大了自己的规模并提供了较大量的产品的时候开始的。较多的工人在同一时间、同一空间(或者说同一劳动场所)，为了生产同种商品，在同一资本家的指挥下工作，这在历史上和逻辑上都是资本主义生产的起点。”[1](P358)马克思在这里讲的“资本主义生产”，可以理解为资本主义企业的生产或资本主义企业。</w:t>
      </w:r>
    </w:p>
    <w:p w14:paraId="0779376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协作”之所以能成为企业的起点条件之一，是因为协作提高了劳动的社会生产力。马克思从九个方面作了分析：(1)协作可使相互间的劳动差别相互抵消，形成社会的平均劳动；(2)协作可使生产资料共同消费而得到多项节约；(3)协作不仅提高了个人生产力，而且创造了集体力；(4)协作因引起竞争心和特有的精力振奋而提高个人的工作效率；(5)协作可使许多人的同种作业具有连续性而提高劳动效率；(6)协作可同时从多方面对劳动对象进行加工而缩短总劳动时间；(7)协作可集中力量在短时间内完成紧急的任务；(8)协作可扩大劳动的空间范围，使筑路等大型工程得以进行；(9)协作可集中劳动力以缩小生产场地，从而节约非生产费用。简言之，协作节约了生产费用和非生产费用，提高了个人和集体的生产效率。</w:t>
      </w:r>
    </w:p>
    <w:p w14:paraId="0B9A1C6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在马克思看来，简单协作是与一切较大规模的生产结合在一起的，它不是资本主义生产方式(或企业)特有的形式，但它是资本主义生产方式(或企业)的基本形式，是整个资本主义生产方式所共有的、最一般的基础。由于从历史过程看，资本主义的协作是同农民经济和独立的手工业生产相对立而发展起来的，因而协作好像是资本主义生产(或企业)的特殊形式。其实，资本主义协作只是协作的一个特殊历史形式。</w:t>
      </w:r>
    </w:p>
    <w:p w14:paraId="3F977A7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第二个因素是劳动力成为商品。</w:t>
      </w:r>
    </w:p>
    <w:p w14:paraId="7C766F5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的研究表明，协作是自古就有的，但资本主义协作和过去有本质的区别。原始公社的协作，一方面以生产条件的公有制为基础，另一方面以个人尚未脱离氏族或公社这一血缘关系为基础。奴隶制社会、封建社会和近代殖民地偶尔采用的大规模协作，以直接的统治关系和从属关系为基础，大多数以奴隶制为基础。相反，资本主义的协作形式一开始就以出卖自己劳动力给资本的自由雇佣工人为前提。</w:t>
      </w:r>
    </w:p>
    <w:p w14:paraId="56C1ECC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只有劳动力成为商品，货币才转化为资本，这是资本主义企业形成的关节点。而劳动力成为商品的基本条件是劳动者具有人身自由和一无所有。马克思通过剖析G-W-G，资本总公式的矛盾，深刻地揭示了资本主义企业起源的秘密。他说：“有了商品流通和货币流通，决不是就具备了资本存在的历史条件。只有当生产资料和生活资料的所有者在市场上找到出卖自己劳动力的自由工人的时候，资本才产生”。[1](P193)换句话说，资本主义企业产生的前提条件是劳动力成为商品。</w:t>
      </w:r>
    </w:p>
    <w:p w14:paraId="3C14122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第三个因素是追求利润。</w:t>
      </w:r>
    </w:p>
    <w:p w14:paraId="20015A1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依据马克思的分析，资本家办企业的目的，不仅要生产产品，而且要生产商品；不仅要生产使用价值，而且要生产价值；不仅要生产价值，而且要生产剩余价值。资本家购买劳动力和其他生产要素，利用劳动的协作形式来组织契约式的企业，其最终目的在于用最小的预付资本，获得最大的剩余价值或利润。节约预付资本，节约生产性费用和流通费用等各类费用，缩短生产时间和流通时间及必要劳动时间等各类时间，其内在动力都出于追逐利润极大化。</w:t>
      </w:r>
    </w:p>
    <w:p w14:paraId="03719D7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第四个因素是最低资本额。</w:t>
      </w:r>
    </w:p>
    <w:p w14:paraId="4E51F8D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指出，资本主义企业所生产的剩余价值量取决于所雇佣的工人数，而要雇佣一定量的工人，就需要有一定量的可变资本和相应的不变资本。货币或商品所有者只有当他在生产上预付的最低限额大大超过了中世纪的最高限额时，才真正变为资本家，即形成资本主义企业。这是因为，作为一个“人格化的资本”的资本家，他的全部时间都要用来占有从而控制别人的劳动，用来出售这种劳动的产品，而这就必须大大超过“小业主”所雇佣的人数。</w:t>
      </w:r>
    </w:p>
    <w:p w14:paraId="2ACFC2C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当然，一个企业的产生，即单个的货币所有者或商品所有者要蛹化为资本家而必须握有的最低限度价值额，在资本主义生产的不同发展阶段上是不同的，而在一定的发展阶段上，在不同的生产部门内，也由于它们的特殊的技术条件而各不相同。</w:t>
      </w:r>
    </w:p>
    <w:p w14:paraId="121FD92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总之，协作(由技术性质决定)、劳动力、利润和资本，这是形成企业的一般要素。马克思关于企业如何起源的分析结论是：在一定的技术和协作的基础上，为追求预期利润而用相对最低额以上的资本购买劳动力商品及相应的其他生产要素。</w:t>
      </w:r>
    </w:p>
    <w:p w14:paraId="0749216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2．关于企业的规模和变迁</w:t>
      </w:r>
    </w:p>
    <w:p w14:paraId="00C00E3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把企业的规模大小和制度变迁，看作是技术、协作、劳动力、资本、市场(竞争)和利润等基本经济条件变化的必然反映，看作是社会生产力和生产关系不断发展及相互作用的结果，其实质是相对剩余价值的提高。《资本论》用大量的篇幅，客观地描述了企业规模、制度和效应的演进轨迹：简单协作(企业萌芽形态)→工场手工业(企业初级形态)→工厂制度(企业中级形态)→公司制度(企业高级形态)；如果从资本形态来概括，还展示出另一种私人企业的演进轨迹：业主制企业→合伙制企业→公司制企业。</w:t>
      </w:r>
    </w:p>
    <w:p w14:paraId="748D3EA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第一，从简单协作制度到工场手工业制度。</w:t>
      </w:r>
    </w:p>
    <w:p w14:paraId="58DA1AF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作为现代企业萌芽形态的简单协作，最初是当作个体经济的对立形式，以生产资料的资本家所有制为基础，以资本家为中心组织起来的。它是资本主义企业生产的起点。马克思认为，随着决定企业形成因素的发展变化，以企业内部分工为基础的协作，在工场手工业上取得了自己的典型形态。这种企业形态大约从十六世纪中叶到十八世纪末叶占居统治地位。其起源有两种方式：一是混成的工场手工业，意指产品由许多零件机械地组成的工场手工业。换句话说，不同种的独立手工业的工人在同一个资本家的指挥下联合在一个工场里，产品必须经过这些工人之手才能最后完成。二是有机的工场手工业，意指产品经过一系列有机程序的操作而完成的工场手工业。换句话说，许多从事同一个或同一类工作的手工业者，同时在同一个工场里为同一个资本家所雇佣。马克思还详尽地分析了这种企业内部分工的特点及与市场条件下社会分工的多种区别。[2]正是基于技术性质的有分工的协作提高了企业效率和利润，作为企业初级形态的工场手工业制度才占居统治地位200多年。</w:t>
      </w:r>
    </w:p>
    <w:p w14:paraId="371E113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第二，从工场手工业制度到工厂制度。</w:t>
      </w:r>
    </w:p>
    <w:p w14:paraId="0EE60F9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虽然工场手工业以分工为基础，但仍属于手工技术，这种创新的企业制度发展到一定程度，其狭隘的技术基础和它本身创造出来的生产需要必然发生矛盾。这种矛盾直接导致以机器和大工业为基础的工厂制度的出现。作为近代资本主义生产典型企业形式的工厂制度，从效率与剥削两个方面推动了生产力与生产关系的演进。一方面，它以机器协作为特征，大大扩张了企业规模，使产品价值便宜，从而迅速提高了劳动生产率；另一方面，资本主义企业的机器生产，无论在深度上还是在广度上，都大幅度提高了相对的或绝对的剩余价值即剥削率。由于以机器协作为基础的资本主义企业制度具有效率优势和剥削优势，因而它很快征服了手工业、农业和交通等一切产业部门，占居社会经济支配地位。马克思还指出，企业使用机器的界线是它所费的劳动必须少于它所代替的劳动；资本主义企业使用机器的界限在于，只有机器的价值少于它所代替的劳动力的价值的时候，才会使用它。也就是说，企业使用机器的规模扩张有其经济(制度)均衡点。</w:t>
      </w:r>
    </w:p>
    <w:p w14:paraId="699E7C0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第三，从工厂制度到公司制度。</w:t>
      </w:r>
    </w:p>
    <w:p w14:paraId="136DEEC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在早期资本主义生产中，简单协作、工场手工业和工厂三种企业形式都是独资性质的，采取公司制的企业极少。然而，马克思以敏锐的眼光对其成因作了精辟的阐述，认为：“在资本主义生产的基础上，历时较长范围较广的事业，要求在较长的时间内预付较大量的货币资本。所以，这一类领域里的生产取决于单个资本家拥有的货币资本的界限。这个界限被信用制度和与此相联的联合经营(例如股份公司)打破了。”[3]依马克思所见，股份公司产生和快速成长的首因是扩大再生产和资本集中的需要。而且，私有制公司还可以替代政府企业，并引起企业内部财产关系发生变化。“股份公司的成立，由此：(1)生产规模惊人地扩大了，个别资本不可能建立的企业出现了。同时，这种以前由政府经营的企业，成为公司的企业。(2)那种本身建立在社会生产方式的基础上并以生产资料和劳动力的社会集中为前提的资本，在这里直接取得了社会资本(即那些直接联合起来的个人的资本)的形式，而与私人资本相对立，并且它的企业也表现为社会企业，而与私人企业相对立。这是作为私人财产的资本在资本主义生产方式本身范围内的扬弃。”[4]马克思对比独资企业和合伙企业，揭示了股份企业资本的所有权与管理权相分离以及资本集中和资本积聚等一些重要特点[5]，并得出股份企业是资本主义生产方式向更高形态的生产方式的过渡点(恩格斯在19世纪末整理《资本论》第3卷时又补充指出，在大公司的基础上容易形成卡特尔和托拉斯这样的垄断组织。他写道：“一些新的工业企业的形式发展起来了。这些形式代表着股份公司的二次方和三次方。</w:t>
      </w:r>
      <w:r>
        <w:rPr>
          <w:rFonts w:hint="default" w:ascii="Times New Roman" w:hAnsi="Times New Roman" w:eastAsia="MS Gothic" w:cs="Times New Roman"/>
          <w:szCs w:val="21"/>
        </w:rPr>
        <w:t>⋯⋯</w:t>
      </w:r>
      <w:r>
        <w:rPr>
          <w:rFonts w:hint="default" w:ascii="Times New Roman" w:hAnsi="Times New Roman" w:eastAsia="宋体" w:cs="Times New Roman"/>
          <w:szCs w:val="21"/>
        </w:rPr>
        <w:t>因此，在英国，在这个构成整个化学工业的基础的部门，竞争已经为垄断所代替，并且已经最令人鼓舞地为将来由整个社会即全民族来实行剥夺做好了准备。”[6]后来，列宁在《帝国主义是资本主义的最高阶段》这一经典著作中，又系统研究了各种垄断条件下的企业制度及与市场制度的关系，发现20世纪初期基于股份公司形式上的垄断企业的多项特征和本质)。</w:t>
      </w:r>
    </w:p>
    <w:p w14:paraId="1545DC0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3．关于企业的职能和费用</w:t>
      </w:r>
    </w:p>
    <w:p w14:paraId="7DC6F52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从系统考察产业资本的循环和周转，来阐明资本主义企业的职能和各种费用。生产性企业的资本必须按照一定的比例分成相应的三个部分，同时并存在货币资本、生产资本和商品资本三种形态上，必须相继地通过循环的三个阶段，即实现空间上的并存性和时间上的继起性。企业货币资本的职能是购买生产资料和劳动力，为生产剩余价值准备条件，从而使货币资本转化为生产资本；企业生产资本的职能是通过生产资料和劳动力的实际结合而生产出剩余价值，这是企业资本循环的主要和本质的阶段；企业商品资本的职能是通过销售把含有剩余价值的商品转化为货币，使商品资本转化为货币资本。历史上出现的商业资本(商业企业)，无非是产业资本运动中的流通资本的独立化，其职能就是商品资本的职能；资本主义出现的生息资本(银行或金融企业)，基本上是从职能资本中分离出来的货币资本的独立化，其职能就是通过资本的借贷活动获取剩余价值的转化物即利息。</w:t>
      </w:r>
    </w:p>
    <w:p w14:paraId="241D4CA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按照马克思的界定，企业资本循环在生产领域所消耗的费用称作生产费用，在流通领域所消耗的费用称作流通费用，二者之和等于企业资本循环所消耗的总费用。在两类费用中，生产费用实质上是生产资料转移的旧价值和活劳动创造的新价值，即主要是劳动过程中所消耗的费用。此外，还包括生产领域中的物资储备的保管费用，自然作用期间的费用和正常停工期间的费用。流通费用又分三种：一种是单纯为资本在流通中变换形态的纯粹流通费用，是由剩余价值来补偿的费用。它具体包括：(1)买卖时间引起的费用。资本由商品到货币和由货币到商品的形态转化，就是资本家进行交易，执行买进和卖出的职能，由此需要耗费一些费用。(2)由簿记引起的费用。如纸笔等物化劳动和记账人员工资等活劳动。(3)由货币引起的费用。它包括生产货币所需要的费用和补偿货币在流通中磨损所需要的货币。第二种是保管费用。第三种是运输费用。保管和运输都是生产过程在流通领域的继续，是具有生产性质的流通费用。此外，马克思还从个别价值、社会价值、生产价格和地租等更宽广的层面来分析企业的费用问题。</w:t>
      </w:r>
    </w:p>
    <w:p w14:paraId="4A2E061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4．关于企业的契约本质和组织结构</w:t>
      </w:r>
    </w:p>
    <w:p w14:paraId="5C405FA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把资本主义企业看成是一种契约的组织形式，并通过对劳动力买卖契约的剖析，鞭辟入里地揭示了资本主义企业内外的自由和平等的虚伪性。“自由!因为商品例如劳动力的买者和卖者，只取决于自己的自由意志。他们是作为自由的、在法律上平等的人缔结契约的。契约是他们的意志借以得到共同的法律表现的最后结果。平等!因为他们彼此只是作为商品所有者发生关系，用等价物交换等价物。所有权!因为他们都只支配自己的东西。边沁!因为双方都只顾自己。使他们连在一起并发生关系的唯一力量，是他们的利已心，是他们的特殊利益，是他们的私人利益。正因为人人只顾自己，谁也不管别人，所以大家都是在事物的预定的和谐下，或者说，在全能的神的保佑下，完成着互惠互利、共同有益、全体有利的事业。”[1](P199)对资本主义简单再生产和扩大再生产的进一步研究表明，这种契约的本质是无偿占有雇佣劳动者的剩余劳动。</w:t>
      </w:r>
    </w:p>
    <w:p w14:paraId="6243F43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在资本主义企业的组织结构中，资本家的管理不仅是一种由社会劳动过程的性质产生并属于社会劳动过程的特殊职能，它同时也是剥削社会劳动过程的职能。这种劳动过程，无非是资本家消费劳动力的过程，其特点在于：个人的劳动属于资本家，并在资本家的监督下劳动；产品是资本家的所有物，而不是直接生产工人的所有物。在股份公司中，实际执行职能的资本家转化为单纯的经理，即别人的资本的管理人，而资本所有者则转化为单纯的所有者，即单纯的货币资本家，表现为资本的管理权与所有权相分离，劳动也已经完全同生产资料的所有权和剩余劳动的所有权相分离。在这种企业的组织结构中，短工、辅助人员、直接生产工人、工程师、监工、经理、监事、董事、股东等各类人员，其职责和作用是不同的。马克思认为，包括直接生产工人、辅助人员、技术人员和经理(从事某种熟练劳动)在内的“总体工人”是产品价值的真正创造者。[7]</w:t>
      </w:r>
    </w:p>
    <w:p w14:paraId="143C5ED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(二)马克思与西方学者关于企业理论的若干比较</w:t>
      </w:r>
    </w:p>
    <w:p w14:paraId="1DCA534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在我们大体掌握当代西方学者和马克思关于企业的种种观点之后，现在就来作一些扼要的比较研究，以便进一步科学地认识企业的表层(表象)和深层(本质)问题。</w:t>
      </w:r>
    </w:p>
    <w:p w14:paraId="0EA12F0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1．关于企业的起源与规模</w:t>
      </w:r>
    </w:p>
    <w:p w14:paraId="1A32208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科斯等人撇开了协作和技术这一重要因素，主要从节约交易费用的角度说明企业替代市场的效率动因，以及企业规模的界限。威廉姆森补充分析了技术和协作对交易及其费用的影响，说明企业追求的是由交易费用和生产费用构成的总费用最优。这类研究具有新意，尤其是总费用的均衡分析。</w:t>
      </w:r>
    </w:p>
    <w:p w14:paraId="571C178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在百年前从生产力和生产关系的矛盾运动出发，强调协作(与技术特性有关)、劳动力、利润(与市场实现有关)和资本这四大因素对企业产生和规模的决定作用。显然，马克思在技术分析和制度分析的结合点上突出预期利润极大化的目的，则更具有广阔的视野、系统的认识和科学的逻辑。</w:t>
      </w:r>
    </w:p>
    <w:p w14:paraId="79E949B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2．关于企业的职能</w:t>
      </w:r>
    </w:p>
    <w:p w14:paraId="3A7AF63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科斯强调企业的显著职能在于替代市场或市场机制，由一个企业家来支配资源，从而节约交易费用。钱德勒也强调，现代工商企业的管理制度取代了市场机制而协调着货物从原料供应，经过生产和分配，直至最终消费的整个流程。这些都是颇有道理的。</w:t>
      </w:r>
    </w:p>
    <w:p w14:paraId="7F39E31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不过，马克思(包括恩格斯和列宁)也早就看到：即使是简单协作的企业，也能部分替代原来由个体所从事的生产及相应的市场交换；股份企业还能部分替代原来由政府所从事的生产和服务及相应的市场交换；具有垄断性和内部高度计划性的大公司，在一定程度上取代了市场竞争和市场交换，并成为向社会主义转变的过渡点。不仅如此，马克思还运用历史和逻辑相结合的方法，分别对生产企业、商业企业和金融企业各自的职能作了圆满的阐释，深入地指出其生产剩余价值的职能、实现剩余价值职能或者为职能资本家服务并参与分割剩余价值的本质。这种分析，要比笼统说明企业的性质和职能深刻得多。</w:t>
      </w:r>
    </w:p>
    <w:p w14:paraId="2B73010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3．关于企业的内部结构</w:t>
      </w:r>
    </w:p>
    <w:p w14:paraId="39DDD0D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钱德勒强调现代工商企业内部的科层组织或等级制组织，突出“经理群”(这是本书作者使用的词汇)的管理权。威廉姆森也注重大公司的“H型”结构、“U型”结构和“M型”结构的变化，并独创性地探讨了企业内部治理结构的种种现象和机制。这类涉及企业表象的结构分析，一向是西方学者研究的重点，也是较科学和最主要的学术成就。</w:t>
      </w:r>
    </w:p>
    <w:p w14:paraId="54E99E6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相对来说，马克思出于自己特定的研究目的和时代经济背景，不可能详细分析20世纪才形成的各种企业结构和新现象。但在那时，他已经清晰地指出股份公司内部的所有权与管理权相分离等某些特征和重要意义，以及与个人业主制企业和合作制企业的结构性区别，并客观地分析了企业各类人员的不同经济地位和在价值创造中的作用，从而得出西方学者无法理解的革命性结论。</w:t>
      </w:r>
    </w:p>
    <w:p w14:paraId="73DD979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4．关于企业的契约性质</w:t>
      </w:r>
    </w:p>
    <w:p w14:paraId="2CFD853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科斯提出企业的契约思想之后，阿尔钦和登姆塞茨及张五常都大加发挥。撇开“偷懒——监督”等一些常识性描述以外，他们的基本思想就是马克思在《资本论》中一再批判的资产阶级的契约自由和契约平等的观念，与百年前的“资产阶级政治经济学教授们”(马克思语)没有什么区别，也没有什么值得骄傲的学术进展。</w:t>
      </w:r>
    </w:p>
    <w:p w14:paraId="06B917F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的思维洞察力极强，认为企业是一个由契约结成的经济利益矛盾的统一体。他既承认和描述资本主义企业的契约所具有的形式上的自由性和平等性，即资本所有者与雇佣劳动者在市场上的“等价交换”，又看出和揭示这一契约在实质上的不自由性和不平等性，即资本所有者与雇佣劳动者在生产和再生产中的“剥削——被剥削”的关系。这种透过被歪曲表现出来的经济现象，阐明私有古典企业和股份企业的契约本质的分析方法，无疑胜过许多西方经济学家。</w:t>
      </w:r>
    </w:p>
    <w:p w14:paraId="2202EE7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5．关于企业的费用</w:t>
      </w:r>
    </w:p>
    <w:p w14:paraId="7185C48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科斯、威廉姆森等人提出和论证的“交易费用”概念，尽管近60年来还没有界说清楚，并“对它的热衷甚至到了滥用的地步”[8]，但仍有一定的学术研究价值，同生产费用一样，也是解析企业存在和成长的角度之一。</w:t>
      </w:r>
    </w:p>
    <w:p w14:paraId="2252A59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在界定企业的各种费用时，虽然没有明确提出“交易费用”的范畴，可是，在具体分析由买卖时间(即马克思说的“资本家的交易”)、簿记和货币所引起的三种纯粹流通费用中，显然含有类似的合理内容。即使在今天，马克思所定义的各种费用仍然是正确的，当然可以进一步拓展和细化。</w:t>
      </w:r>
    </w:p>
    <w:p w14:paraId="6301CD0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有关交易费用的问题，我们后面还要作大量的研究，这里不再赘述。</w:t>
      </w:r>
    </w:p>
    <w:p w14:paraId="17EE394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6．比较两类企业理论的基本结论抛开细节问题，西方学者是在否认企业本质的基础上侧重于企业各种表象的分析，而马克思则是在承认企业表象的基础上侧重于企业本质状况的分析。</w:t>
      </w:r>
    </w:p>
    <w:p w14:paraId="748CCBF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p>
    <w:p w14:paraId="7A98868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参考文献：</w:t>
      </w:r>
    </w:p>
    <w:p w14:paraId="4EFCE4D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[1]马克思恩格斯全集：第23卷[M]1北京：人民出版社，1972.</w:t>
      </w:r>
    </w:p>
    <w:p w14:paraId="741DE59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[2]洪远朋，程恩富.新编《资本论》教程：第一卷[M]1上海：复旦大学出版社，198812591</w:t>
      </w:r>
    </w:p>
    <w:p w14:paraId="340743C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[3]马克思恩格斯全集：第24卷[M]1北京：人民出版社，1972.3961</w:t>
      </w:r>
    </w:p>
    <w:p w14:paraId="310A168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[4]马克思恩格斯全集：第25卷[M]1北京：人民出版社，1972.4931</w:t>
      </w:r>
    </w:p>
    <w:p w14:paraId="575E80D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[5]程恩富.马克思的股份资本理论[J]1学术月刊，1985，(10)1</w:t>
      </w:r>
    </w:p>
    <w:p w14:paraId="298AA5F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[6]马克思恩格斯全集：第25卷[M]1北京：人民出版社，1972.494-4951</w:t>
      </w:r>
    </w:p>
    <w:p w14:paraId="20C0197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[7]程恩富.生产性管理活动都是创造价值的生产活动[J]1社会科学，1995，(7)1</w:t>
      </w:r>
    </w:p>
    <w:p w14:paraId="4FD384F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[8]单伟建.交易费用经济学的理论、应用及偏颇[A]1现代经济学前沿专题[C]1上海：商务印书馆，19931</w:t>
      </w:r>
    </w:p>
    <w:p w14:paraId="28C5462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p>
    <w:p w14:paraId="56257B0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（原载《韶关学院学报》(社会科学版)2002年第8期）</w:t>
      </w:r>
    </w:p>
    <w:p w14:paraId="37258A28">
      <w:pPr>
        <w:ind w:firstLine="420" w:firstLineChars="200"/>
        <w:rPr>
          <w:rFonts w:hint="default" w:ascii="Times New Roman" w:hAnsi="Times New Roman" w:eastAsia="宋体" w:cs="Times New Roman"/>
          <w:szCs w:val="21"/>
        </w:rPr>
      </w:pPr>
    </w:p>
    <w:p w14:paraId="3D5E8E55">
      <w:pPr>
        <w:spacing w:before="156" w:beforeLines="50" w:after="156" w:afterLines="50" w:line="300" w:lineRule="auto"/>
        <w:ind w:firstLine="641" w:firstLineChars="200"/>
        <w:jc w:val="center"/>
        <w:outlineLvl w:val="1"/>
        <w:rPr>
          <w:rFonts w:hint="default" w:ascii="Times New Roman" w:hAnsi="Times New Roman" w:eastAsia="黑体" w:cs="Times New Roman"/>
          <w:sz w:val="32"/>
          <w:szCs w:val="24"/>
        </w:rPr>
      </w:pPr>
      <w:r>
        <w:rPr>
          <w:rFonts w:hint="default" w:ascii="Times New Roman" w:hAnsi="Times New Roman" w:eastAsia="宋体" w:cs="Times New Roman"/>
          <w:b/>
          <w:sz w:val="32"/>
          <w:szCs w:val="24"/>
        </w:rPr>
        <w:br w:type="page"/>
      </w:r>
      <w:bookmarkStart w:id="142" w:name="_Toc28760"/>
      <w:bookmarkStart w:id="143" w:name="_Toc93074534"/>
      <w:bookmarkStart w:id="144" w:name="_Toc257922049"/>
      <w:bookmarkStart w:id="145" w:name="_Toc31959"/>
      <w:bookmarkStart w:id="146" w:name="_Toc428479936"/>
      <w:bookmarkStart w:id="147" w:name="_Toc1020558500"/>
      <w:r>
        <w:rPr>
          <w:rFonts w:hint="default" w:ascii="Times New Roman" w:hAnsi="Times New Roman" w:eastAsia="黑体" w:cs="Times New Roman"/>
          <w:sz w:val="32"/>
          <w:szCs w:val="32"/>
        </w:rPr>
        <w:t>西</w:t>
      </w:r>
      <w:r>
        <w:rPr>
          <w:rFonts w:hint="default" w:ascii="Times New Roman" w:hAnsi="Times New Roman" w:eastAsia="黑体" w:cs="Times New Roman"/>
          <w:sz w:val="32"/>
          <w:szCs w:val="24"/>
        </w:rPr>
        <w:t>方经济学范式的缺陷与海派经济学的构建</w:t>
      </w:r>
      <w:bookmarkEnd w:id="142"/>
      <w:bookmarkEnd w:id="143"/>
      <w:bookmarkEnd w:id="144"/>
      <w:bookmarkEnd w:id="145"/>
      <w:bookmarkEnd w:id="146"/>
      <w:bookmarkEnd w:id="147"/>
    </w:p>
    <w:p w14:paraId="08E69E9E">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一、新古典经济学的基本分析方法</w:t>
      </w:r>
    </w:p>
    <w:p w14:paraId="1B9B92F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从整体上说，新古典经济学的理论体系是按照均衡分析的框架来构建的，这个功劳应首先归于马歇尔。学自然科学出身的马歇尔很自然地从当时居于支配地位的牛顿力学思想体系中获取灵感，从而容易地将其体系中的一个核心概念——“均衡”引入经济学的研究。均衡分析也为马歇尔企图综合古典经济学和边际效用学派之间的纷争提供了再适合不过的工具，并建立起了以古典经济学的生产成本分析为中心的供给理论和以边际效用学派的边际效用分析为中心的需求理论相结合的新体系。尽管这是一个局部均衡分析体系，但其后继者约翰·凯恩斯称赞马歇尔发现了一个完整的“哥白尼体系”，通过这一体系，经济宇宙的一切因素，由于相互抗衡和相互作用而维持在它们适当的位置上。</w:t>
      </w:r>
    </w:p>
    <w:p w14:paraId="1F05263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所谓“均衡”，按照马歇尔的说法，就是两种相反力量的均势。在均势情况下，这两种力量处于稳定状态。他运用物理学上的物质运动中作用与反作用的原理，解释经济变量的运动形态，认为商品的需求和供给就是市场上两种相互作用的力量，而商品的价格就是由这两种力量达到均势时所决定的。可见，均衡分析法是指用均衡分析来考察经济中若干变量(供给、需求、价格、收入等)之间的关系，将有关变量之间的均衡和不均衡作为解释经济现象及其变化的基本因素。这种均衡分析法实际上指的是一种供求均衡分析法(包括瓦尔拉斯一般均衡分析)。马歇尔运用数学和物理学的语言描述了此前一百多年前斯密在《国富论》中所讲述的故事，这个故事所揭示的“看不见的手的原理”深刻地影响了西方经济学的全部历程。虽然马歇尔建立的是局部均衡理论，但它的这种折衷或综合确也为一个完整的理论体系奠定了新的方法论基础，从马歇尔的局部均衡理论到瓦尔拉斯的一般均衡理论，只是抽象程度的不同和随着变量增加的数学扩演而已。</w:t>
      </w:r>
    </w:p>
    <w:p w14:paraId="31997D0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均衡分析法获得突破性进展的是从供求均衡分析法到纳什均衡法的转变。马歇尔以均衡分析法建立起来的局部均衡理论和瓦尔拉斯的一般均衡理论，都是以供求所决定的价格制度为研究对象的。这种价格理论是以一些基本假定为前提的：一方面，市场参与者的数量足够多从而市场是竞争性的，参与人之间也不存在信息不对称性；另一方面，对于单个理性人来说，所有其他人的行为都被总结在一个参数里，即价格参数，或者说，个人效用函数只依赖于他自己的选择，个人的最优选择只是价格和收入的函数，而不是其他人选择的函数。其实，这种以均衡分析法建立起来的价格理论与现实的距离是较远的。因为这些假设在现实中一般是不能满足的。在市场上，不仅市场参与者之间的信息一般是不对称的，而且人们之间的行为也是直接互相影响的。不完全信息使得价格制度常常不是实现合作和解决冲突的最有效的制度安排。市场参与者行为的相互影响，使得个人效用函数既依赖于他自己的选择，也依赖于他人的选择，个人的最优选择是其他人选择的函数。纳什均衡分析法正是一种直接描述理性个体或群体之间非合作博弈均衡状态(或合作博弈)的一种研究方法。从实践上看，经济生活中经济个体之间和经济方面之间直接的对抗或合作以及利益的相互影响和制约关系更加普遍和重要，而传统的均衡分析法的缺陷也日益明显。于是，传统的忽视供给个体相互之间和需求个体相互之间作用的供求均衡分析法，转向直接研究理性个体或群体之间的合作或冲突的纳什均衡分析法，既是现代社会经济发展的要求，也是西方新古典经济学内在逻辑发展的必然结果。</w:t>
      </w:r>
    </w:p>
    <w:p w14:paraId="3608D63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虽然供求均衡分析法和纳什均衡分析法之间存在着重要的区别，但是，在本质上，它们是相同的，即都是以均衡的观念来观察经济现象和各经济因素之间的相互作用。以这种方法论建立起来的理论并未能真正揭示出决定供求背后的价值的本质，也未能指出理性个体或群体之间合作或不合作的真正根源。均衡分析法，无论是供求均衡分析法，还是纳什均衡分析法都属于形式主义经济学的分析方式，供求均衡和纳什均衡的理论只是对“经济人”假设概念的一种推演。均衡分析框架所构建起来的经济学分析体系，不仅与现实中存在的经济相脱离，更无从解释决定这种均衡背后的本质或规律是什么。</w:t>
      </w:r>
    </w:p>
    <w:p w14:paraId="632966DF">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二、形式经济学与实质经济学</w:t>
      </w:r>
    </w:p>
    <w:p w14:paraId="5373516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经济学的研究任务是科学描述基本经济现象并揭示经济现象内在的本质联系或规律。经济学总是要通过一定经济形式或抽象逻辑的形式来表达。问题在于，当一种经济学仅仅依赖抽象形式尤其是数学表达式时，那么，这种经济学即沦为一种形式经济学。经济学要通过一种抽象的逻辑形式来表达，但抽象的逻辑形式只是一种工具，经济学的真正任务在于揭示经济体本身是如何运动的。经济学不同于自然科学，经济是镶嵌在一个社会的政治、文化、历史等有机体内的，因而经济学的研究范围就涉及方方面面。实质经济学就是透过经济现象来主要揭示现实经济体本身的内在的本质联系或规律</w:t>
      </w:r>
      <w:r>
        <w:rPr>
          <w:rFonts w:hint="default" w:ascii="Times New Roman" w:hAnsi="Times New Roman" w:eastAsia="宋体" w:cs="Times New Roman"/>
          <w:szCs w:val="21"/>
          <w:vertAlign w:val="superscript"/>
        </w:rPr>
        <w:footnoteReference w:id="52"/>
      </w:r>
      <w:r>
        <w:rPr>
          <w:rFonts w:hint="default" w:ascii="Times New Roman" w:hAnsi="Times New Roman" w:eastAsia="宋体" w:cs="Times New Roman"/>
          <w:szCs w:val="21"/>
        </w:rPr>
        <w:t>。一种真正科学的理论应该是抽象逻辑表达形式与现实存在和运动着的经济体本身相重叠或贴近，并能揭示这种经济体本身的内在本质联系。</w:t>
      </w:r>
    </w:p>
    <w:p w14:paraId="37A97F3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从分析框架、理论体系或范式的层面上说，经济学分析范式的区分——形式经济学或实质经济学，对于认识和区别不同理论范式的特征和功能具有重要意义，从而也可避免经常简单地全盘照搬或全盘否定某一种范式。当我们说某种经济理论是一种形式经济学，是指无论其分析工具、技术体系与理论结构，还是经济理念与价值判断，它都是以描述经济现象的各种联系为其基本特征的，其理论严重地与完整的真实和本质相脱节。由于这种理论过分依赖于形式上的抽象，使其远离实际存在和运动的经济体，因而无论该理论体系的抽象逻辑多么严密，也只是一种形式经济学。相反， 如果一种经济学，无论从分析技术体系、理论结构， 还是其理念与价值判断，都是研究现实中存在和运动的经济体，并揭示了经济体本身内在的本质规律，那么，这种经济学即是一种实质经济学，尽管它也要或多或少地运用抽象的逻辑表达方式。可见，由于形式经济学总是研究抽象一般的经济范畴，这种经济范畴比较适合于采用物理学或数学的表达形式，而实质经济学研究的经济范畴是具体的、现实的，这种经济范畴是嵌在特定的政治、社会、文化体系之内的，它主要采用许多社会科学和经济学的特有方法，如马克思的抽象法等；又由于形式经济学和实质经济学各自采用不同的基本方法论，使得形式经济学难以真正揭示经济现象和经济运行的内在规律性，而实质经济学能有效地剖析一个社会生产方式即现实经济体的内在的本质联系。这也说明了作为一门社会科学的经济学明显不同于纯粹的自然科学。</w:t>
      </w:r>
    </w:p>
    <w:p w14:paraId="268AA75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从方法论上说，西方主流的新古典经济学是一种形式经济学，这与它使用均衡分析法来构建经济学理论体系密切相关。(1)均衡分析是描述自然界物质状态的一种分析工具，均衡是牛顿力学体系中的重要概念，在牛顿的物理学世界中，宇宙万物处于一种和谐均衡的运动体系之中。均衡分析是最适于描述自然界存在状态的分析工具之一。(2)如果将这种均衡分析法用来分析由人在其中活动的经济生活，则是一种马克思早已清理和批判过的形而上学。其结果只能是对经济现象的一种表面形式的描述，或者是一种对自然科学简单模仿的“黑板经济学”。(3)用均衡分析法来分析纷繁复杂的经济生活和经济现象，需要一系列严格的假设前提，而许多假设前提在现实中是不存在的。如完全竞争、信息对称和完全理性等等。既然如此，用这种分析法构建的经济学是不可能对经济现象和经济运行作真实的全面描述和本质分析的。(4)在“资本主义生产方式是永恒的、自然的”暗含假设前提下，运用均衡分析来分析经济现象的形式，必然会使这种描述性的形式主义经济学带有极强的价值判断导向。以上的分析说明，作为形式经济学的新古典经济学是一种具有自然科学的精美形式、与现实严重脱节、且具有明显价值判断导向的形式主义经济学理论。必须指出的是，正是这种均衡分析的方法论将新古典经济学范式中的价值、信念(资本主义生产方式是自然永恒的)、理论结构(宏观、微观相统一)以及技术体系(数学化的表达) 等等完全统一起来，而这种均衡分析法所架构起来的理论具有形式经济学的一切基本特征。</w:t>
      </w:r>
    </w:p>
    <w:p w14:paraId="09CDC7C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马克思经济学则是一种实质经济学，从一般方法论上说，它采用的是唯物辩证法和历史唯物主义。以科学抽象法的使用为例，马克思的“抽象法”是从具体到抽象开始，这种从“实际出发”的研究方法是科学唯物主义的，有效地避免了经济学的“形式主义”弊病，从而将理论经济学建立在扎实科学的基础上。从表象的具体到抽象的规定，再到思维的具体的整个思维过程，有两个主要特征：一是抽象性和具体性的统一。马克思认为，经济研究的正确途径，应当是从事物的表象到达概念再到达现象的最深处，抽象出最简单的规定，然后研究的进程又“回过头来”，从简单的规定上升到理性的具体，直到一个具有许多规定和关系的丰富的总体或整体。按照这种方法建立的经济学分析体系就不会是随意杜撰的僵死的公式的堆积，而是能够反映客观事实的经济科学，这有力地表现在《资本论》第一卷到第三卷全书的整体结构对劳动价值论和剩余价值论的研究和表述上。这种从抽象再回到具体的方法使经济学的抽象逻辑形式与现实的经济体统一了起来。第二个主要特征是逻辑和历史的统一。历史进程从哪里开始，逻辑就应从哪里开始。马克思经济学中的主要命题、概念或范畴都是具体的、历史的。马克思的抽象法不同于李嘉图的抽象法，虽然他始终一贯地使用抽象法，他把价值由劳动时间决定的原理作为分析一切经济现象的基础，从而得出了一些比较科学的结论，然而李嘉图研究方法的严重问题在于缺乏历史观点。他将资本主义生产方式绝对化、永恒化，在研究经济范畴时，跳过必要的中间环节，直接去论证各种经济范畴的一致性，所以，在他的分析体系中不仅存在着不可克服的矛盾，而且也无法真正揭示资本主义生产方式的本质。正是马克思采用了科学的唯物史观和辩证法，才使变革后的经济学建立在真正科学的基础上，从而成为一门揭示经济现象背后本质联系和规律的实质经济学。</w:t>
      </w:r>
    </w:p>
    <w:p w14:paraId="69C72B85">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三、主流经济学范式的拓展与反抗：两种制度经济学</w:t>
      </w:r>
    </w:p>
    <w:p w14:paraId="47FBEAD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作为对形式主义经济学的某种反思、批评和补充，西方新老制度经济理论在20 世纪得到了较大的发展。</w:t>
      </w:r>
    </w:p>
    <w:p w14:paraId="2A1DD08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(一)新老制度经济学的范式比较</w:t>
      </w:r>
    </w:p>
    <w:p w14:paraId="5CDCC3D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1.两种不同的方法论。一是供求均衡分析法和社会演进分析法。新制度经济学(NIE) 继承了马歇尔的“均衡分析法”，认为社会经济是各种因素相互作用达到均衡的产物，它用均衡的原则来解释制度，认为制度是一种供求均衡的结果。NIE 成功地把“需求—供给”的分析框架拓展到制度领域，这标志着制度分析正走向“制度瓦尔拉斯一般均衡模型”。诺思在《经济史中的结构和变迁》中，对以前的需求分析框架作了补充和发展，把制度供给因素纳入其分析框架，并特别强调产权、国家和意识形态的作用。D.菲尼(D.Feeny)还进一步提出了分析制度和制度变迁的启发或框架。</w:t>
      </w:r>
      <w:r>
        <w:rPr>
          <w:rFonts w:hint="default" w:ascii="Times New Roman" w:hAnsi="Times New Roman" w:eastAsia="宋体" w:cs="Times New Roman"/>
          <w:szCs w:val="21"/>
          <w:vertAlign w:val="superscript"/>
        </w:rPr>
        <w:t>[1]</w:t>
      </w:r>
      <w:r>
        <w:rPr>
          <w:rFonts w:hint="default" w:ascii="Times New Roman" w:hAnsi="Times New Roman" w:eastAsia="宋体" w:cs="Times New Roman"/>
          <w:szCs w:val="21"/>
        </w:rPr>
        <w:t>(P412)老制度经济学(OIE)——以凡勃仑和加尔布雷斯为代表的广义制度经济学则采用对社会经济制度结构及其这种结构整体演进的方法。二是整体方法论和个体方法论。NIE对制度研究方法有两个基本点，即经济人假说和市场均衡。显然这种方法属于一种个体方法论。老制度经济学不同意以孤立的个人经济行为来说明社会经济现象的抽象演绎法，而强调与演进方法相联系的整体方法。OIE 认为，在经济研究中应该把侧重点从正统经济学作为选择者的个人(家庭) 和企业转移到作为演进过程的整个社会总体。</w:t>
      </w:r>
    </w:p>
    <w:p w14:paraId="141F03E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2.内容比较。一是经济制度和整个社会制度。在NIE看来，非经济制度是另一种类型的“经济制度”，也是约束经济追求效率最大化的“经济制度”。制度通过提供一系列规定界定人们的选择空间，约束人们的相互关系，从而减少环境的不确定性、减少交易费用、保护产权、促进生产性活动。OIE的研究对象是整个社会制度，即制度的综合或制度文化。OIE指责正统经济学是一门关于稀缺资源如何配置的抉择科学，认为经济学必须研究整个社会制度，因而OIE囊括了政治学、社会学、人类学、心理学等学科内容。它把经济制度当作人类文化的一个部分来考察，而人类文化是许多制度的综合。它认为在社会经济的一切因素中，不存在一种基本因素，在社会发展中要找出经济因素作为基本因素是无用的。二是资源配置制度与制度结构。NIE 内容体系的核心是资源配置制度，它对制度的研究有两个重点：即交易费用概念的一般化和制度变迁的成本—收益比较。而OIE则着重研究经济制度结构和分配结构，如加尔布雷斯的二元体系理论和缪尔达尔的循环积累因果理论等。</w:t>
      </w:r>
    </w:p>
    <w:p w14:paraId="791133F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以上的分析可以看出，无论是从方法论、中心内容的比较还是范式特征的区分，新制度经济学属于具有一定实质经济学内涵的形式经济学，而老制度经济学则属于一种反形式主义经济学。</w:t>
      </w:r>
    </w:p>
    <w:p w14:paraId="4CC69A9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(二) 简要评价</w:t>
      </w:r>
    </w:p>
    <w:p w14:paraId="49E1501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科斯曾经指责以前的新古典经济学是一种“黑板经济学”(即形式经济学)，从而引进了交易费用和制度等概念。其实，科斯等人的努力并未能改变新古典经济学形式主义的命运。从根本上说，这是由于新古典经济学是作为一种对资本主义生产方式规范性叙述的经济意识形态。难怪法国当代经济史大师布罗代尔强调要把资本主义与市场经济区分开来——资本主义是一种意识形态，而市场经济是一种现实存在的经济体。[2](P23)</w:t>
      </w:r>
    </w:p>
    <w:p w14:paraId="425ECB2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新制度经济学仍坚持以前新古典经济学关于“自私人”、“资本主义是自然永恒的”等基本假设，沿用从自然科学引入的均衡分析法来构建其理论体系，这种均衡分析法割断了经济学与资本主义现实存在和运动着的经济体之间的联系。新制度经济学眼中的“制度”，只不过是影响均衡分析天平或稀缺资源最优配置的制约条件和因素。在一定程度上，新制度经济学使形式主义的新古典经济学与资本主义的现实经济体接近了一步，但它既未能将经济过程与政治、社会、文化等联系起来考察，又未能放弃以前新古典经济学的个人主义和均衡分析的方法。所以，从根本上说，新制度经济学是一种具有某些实质经济学内涵而又更具补充性的形式经济学。</w:t>
      </w:r>
    </w:p>
    <w:p w14:paraId="0D18726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老制度经济学是以反形式主义经济学的面孔出现的，虽然它没有十分统一严谨的分析体系和分析工具，但由于其将经济嵌入到社会、政治、文化等系统之内去考察，并特别注重整体的方法和历史的方法，从这些意义上说，老制度经济学比新制度经济学更接近于实质经济学。老制度经济学人文主义的范式特征，使其与现实中的社会经济生活连在一起，它在非主流经济学地位上的这种尝试是有益的和值得借鉴的。</w:t>
      </w:r>
    </w:p>
    <w:p w14:paraId="5EC4E767">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四、构建海派经济学应避免的方法论“陷阱”</w:t>
      </w:r>
    </w:p>
    <w:p w14:paraId="7A41C43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从以上的分析可以看出，西方经济学之所以用均衡分析法来构建其理论体系，是与其范式的特征相联系的。反过来，这种均衡分析法的使用又加强了其形式主义的范式特征。从某种意义上说，西方经济学是对资本主义生产方式的一种规范性叙述。它是在不少片面的或远离现实的假设前提下，通过从概念到概念的严密逻辑演绎而建构的理论体系。尽管它也强调用经验数据来检验这个理论，但从范式特征上说，它只能是一种形式经济学。我们不能把资本主义等同于市场经济(现实经济体) ，因为资本主义是一种上层建筑。博兰尼也认为，资本主义是一种反市场的资本主义。</w:t>
      </w:r>
      <w:r>
        <w:rPr>
          <w:rFonts w:hint="default" w:ascii="Times New Roman" w:hAnsi="Times New Roman" w:eastAsia="宋体" w:cs="Times New Roman"/>
          <w:szCs w:val="21"/>
          <w:vertAlign w:val="superscript"/>
        </w:rPr>
        <w:t>[3]</w:t>
      </w:r>
      <w:r>
        <w:rPr>
          <w:rFonts w:hint="default" w:ascii="Times New Roman" w:hAnsi="Times New Roman" w:eastAsia="宋体" w:cs="Times New Roman"/>
          <w:szCs w:val="21"/>
        </w:rPr>
        <w:t>作为一种形式主义经济学的西方主流经济学，具有一种特定上层建筑性质的经济意识形态特点，不仅不等同于资本主义现实存在和运动的经济体，而且与中国现实存在和运动的经济就相去更远了，因而我们不能照搬这种经济意识形态和形式经济学来指导中国的具体经济实践。</w:t>
      </w:r>
    </w:p>
    <w:p w14:paraId="1992D5D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中国海派经济学是一般经济学原理与中国具体经济实践相结合的产物。在这里，“一般经济学原理”是指以马列主义经济学为基础，并吸收西方经济学在市场经济方面研究成果的经济学基本理论。它必须是一种形式与实质相重叠的经济学，本质上属于一种实质经济学。“中国具体经济实践”是指中国特色的社会主义市场经济，即中国公有制主体型市场经济的实践。现阶段，从经济体本身来说，中国经济是一种非成熟的、不完全的市场经济，推动中国经济发展的始终是不断扩张的生产力与不断调整的生产关系之间的矛盾。中国经济过程的本质是由一个根本动力所推动的波浪似的前进过程。对于这样一个生产方式历史过程的解剖，主要运用均衡分析法是无济于事的，惟有运用科学抽象法——抽象与具体相统一的方法、逻辑与历史相统一的方法等，才能揭示我国经济发展和转型的本质内涵。</w:t>
      </w:r>
    </w:p>
    <w:p w14:paraId="3158E61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必须指出的是，在构建中国经济学的过程中，流行一种照搬西方经济学和新古典经济学的教条主义倾向。在讨论和研究中国经济问题时，偏好于自私人假说和均衡分析法(局部均衡分析、一般均衡分析或纳什均衡分析)，一味地运用西方经济学中的模型和范式来套用中国经济改革实践，结果对中国经济问题的分析不是隔靴搔痒，就是开错了“药方”。须知，运用均衡分析等方法有两个最重要的前提条件——“资本主义生产方式是自然的、永恒的”和“这是一个成熟的市场体制”。既然在分析中国经济问题时没有这两个条件，照搬西方经济学的分析方法只能是“张冠李戴”。分析中国经济只能用不断发展的马克思的分析方法，这种实质经济学的分析方法，对于解剖中国社会经济的机理和经济运行规律，对于分析中国经济转型过程中出现的各种复杂的经济现象是不可替代的。中国海派经济学不是西方经济学的一个分支或应用，更不是一门计量经济学，而应当是一种“新马克思经济学综合”，即在马克思经济学的基点上综合古今中外科学的经济思想，并构建超越马克思经济学与西方经济学的新范式，这是海派经济学的理论实质与特征。尽管在构建中国海派经济学范式时，我们在吸收西方经济学的有益成分和发展马克思经济学方法论这两方面仍需作出较大努力，但提出避免步入均衡分析等方法论的“陷阱”是完全必要的。</w:t>
      </w:r>
    </w:p>
    <w:p w14:paraId="2C051868">
      <w:pPr>
        <w:spacing w:line="300" w:lineRule="auto"/>
        <w:ind w:firstLine="420" w:firstLineChars="200"/>
        <w:rPr>
          <w:rFonts w:hint="default" w:ascii="Times New Roman" w:hAnsi="Times New Roman" w:eastAsia="宋体" w:cs="Times New Roman"/>
          <w:szCs w:val="21"/>
        </w:rPr>
      </w:pPr>
    </w:p>
    <w:p w14:paraId="11F317B6">
      <w:pPr>
        <w:widowControl/>
        <w:autoSpaceDE w:val="0"/>
        <w:autoSpaceDN w:val="0"/>
        <w:ind w:firstLine="420" w:firstLineChars="200"/>
        <w:jc w:val="left"/>
        <w:rPr>
          <w:rFonts w:hint="default" w:ascii="Times New Roman" w:hAnsi="Times New Roman" w:eastAsia="宋体" w:cs="Times New Roman"/>
          <w:kern w:val="0"/>
          <w:szCs w:val="21"/>
        </w:rPr>
      </w:pPr>
      <w:r>
        <w:rPr>
          <w:rFonts w:hint="default" w:ascii="Times New Roman" w:hAnsi="Times New Roman" w:eastAsia="宋体" w:cs="Times New Roman"/>
          <w:b/>
          <w:bCs/>
          <w:kern w:val="0"/>
          <w:szCs w:val="21"/>
        </w:rPr>
        <w:t>参考文献</w:t>
      </w:r>
      <w:r>
        <w:rPr>
          <w:rFonts w:hint="default" w:ascii="Times New Roman" w:hAnsi="Times New Roman" w:eastAsia="宋体" w:cs="Times New Roman"/>
          <w:kern w:val="0"/>
          <w:szCs w:val="21"/>
        </w:rPr>
        <w:t>:</w:t>
      </w:r>
    </w:p>
    <w:p w14:paraId="6CB06D03">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[1]科斯,阿尔钦等.财产权利与制度变迁:产权学派与新制度学派译文集[C]，上海:上海三联店,1996.</w:t>
      </w:r>
    </w:p>
    <w:p w14:paraId="59557163">
      <w:pPr>
        <w:keepNext w:val="0"/>
        <w:keepLines w:val="0"/>
        <w:pageBreakBefore w:val="0"/>
        <w:widowControl/>
        <w:kinsoku/>
        <w:wordWrap/>
        <w:overflowPunct/>
        <w:topLinePunct w:val="0"/>
        <w:autoSpaceDE w:val="0"/>
        <w:autoSpaceDN w:val="0"/>
        <w:bidi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[2]布罗代尔.资本主义的动力[M]，北京:三联书店,1997.</w:t>
      </w:r>
    </w:p>
    <w:p w14:paraId="2BE51525">
      <w:pPr>
        <w:keepNext w:val="0"/>
        <w:keepLines w:val="0"/>
        <w:pageBreakBefore w:val="0"/>
        <w:widowControl/>
        <w:kinsoku/>
        <w:wordWrap/>
        <w:overflowPunct/>
        <w:topLinePunct w:val="0"/>
        <w:autoSpaceDE w:val="0"/>
        <w:autoSpaceDN w:val="0"/>
        <w:bidi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[3]Karl Polanyi.Primitive,Archaic and Modern Eco2nomics: Essays of Karl Polanyi.Vol.2. Boston :Beacon Press ,1968.</w:t>
      </w:r>
    </w:p>
    <w:p w14:paraId="2EF56849">
      <w:pPr>
        <w:keepNext w:val="0"/>
        <w:keepLines w:val="0"/>
        <w:pageBreakBefore w:val="0"/>
        <w:widowControl/>
        <w:kinsoku/>
        <w:wordWrap/>
        <w:overflowPunct/>
        <w:topLinePunct w:val="0"/>
        <w:autoSpaceDE w:val="0"/>
        <w:autoSpaceDN w:val="0"/>
        <w:bidi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[4] Galbraith,J.K.The New Industrial State[M].Boston:Houghton Mifflin ,1971.</w:t>
      </w:r>
    </w:p>
    <w:p w14:paraId="2028C3B6">
      <w:pPr>
        <w:keepNext w:val="0"/>
        <w:keepLines w:val="0"/>
        <w:pageBreakBefore w:val="0"/>
        <w:widowControl/>
        <w:kinsoku/>
        <w:wordWrap/>
        <w:overflowPunct/>
        <w:topLinePunct w:val="0"/>
        <w:autoSpaceDE w:val="0"/>
        <w:autoSpaceDN w:val="0"/>
        <w:bidi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[5] Galbraith,J.K.Economics and the Public Pur2pose [M] . Boston : Houghton Mifflin ,1973.</w:t>
      </w:r>
    </w:p>
    <w:p w14:paraId="6F9A85E4">
      <w:pPr>
        <w:keepNext w:val="0"/>
        <w:keepLines w:val="0"/>
        <w:pageBreakBefore w:val="0"/>
        <w:widowControl/>
        <w:kinsoku/>
        <w:wordWrap/>
        <w:overflowPunct/>
        <w:topLinePunct w:val="0"/>
        <w:autoSpaceDE w:val="0"/>
        <w:autoSpaceDN w:val="0"/>
        <w:bidi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[6] Mitchell,W.C.Business Cycle:The Problemand Its Setting[M] . New York : National Bureauof Economic Research,1927.</w:t>
      </w:r>
    </w:p>
    <w:p w14:paraId="5FB7BDB9">
      <w:pPr>
        <w:keepNext w:val="0"/>
        <w:keepLines w:val="0"/>
        <w:pageBreakBefore w:val="0"/>
        <w:widowControl/>
        <w:kinsoku/>
        <w:wordWrap/>
        <w:overflowPunct/>
        <w:topLinePunct w:val="0"/>
        <w:autoSpaceDE w:val="0"/>
        <w:autoSpaceDN w:val="0"/>
        <w:bidi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[7]劳伦斯·A·博兰.批判的经济学方法论[M]，北京:经济科学出版社,2000.</w:t>
      </w:r>
    </w:p>
    <w:p w14:paraId="2146A50B">
      <w:pPr>
        <w:widowControl/>
        <w:autoSpaceDE w:val="0"/>
        <w:autoSpaceDN w:val="0"/>
        <w:ind w:firstLine="360" w:firstLineChars="200"/>
        <w:jc w:val="left"/>
        <w:rPr>
          <w:rFonts w:hint="default" w:ascii="Times New Roman" w:hAnsi="Times New Roman" w:eastAsia="宋体" w:cs="Times New Roman"/>
          <w:kern w:val="0"/>
          <w:sz w:val="18"/>
          <w:szCs w:val="18"/>
        </w:rPr>
      </w:pPr>
    </w:p>
    <w:p w14:paraId="7E2FD0CC">
      <w:pPr>
        <w:widowControl/>
        <w:autoSpaceDE w:val="0"/>
        <w:autoSpaceDN w:val="0"/>
        <w:ind w:firstLine="360" w:firstLineChars="200"/>
        <w:jc w:val="left"/>
        <w:rPr>
          <w:rFonts w:hint="default" w:ascii="Times New Roman" w:hAnsi="Times New Roman" w:eastAsia="宋体" w:cs="Times New Roman"/>
          <w:kern w:val="0"/>
          <w:sz w:val="18"/>
          <w:szCs w:val="18"/>
        </w:rPr>
      </w:pPr>
    </w:p>
    <w:p w14:paraId="5D06B421">
      <w:pPr>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（原载《教学与研究》2002年第8期，第二作者为伍装）</w:t>
      </w:r>
    </w:p>
    <w:p w14:paraId="72E1467F">
      <w:pPr>
        <w:ind w:firstLine="440" w:firstLineChars="200"/>
        <w:rPr>
          <w:rFonts w:hint="default" w:ascii="Times New Roman" w:hAnsi="Times New Roman" w:cs="Times New Roman"/>
        </w:rPr>
      </w:pPr>
      <w:r>
        <w:rPr>
          <w:rFonts w:hint="default" w:ascii="Times New Roman" w:hAnsi="Times New Roman" w:eastAsia="宋体" w:cs="Times New Roman"/>
          <w:b/>
          <w:sz w:val="22"/>
        </w:rPr>
        <w:br w:type="page"/>
      </w:r>
    </w:p>
    <w:p w14:paraId="5206FC79">
      <w:pPr>
        <w:spacing w:before="156" w:beforeLines="50" w:after="156" w:afterLines="50" w:line="300" w:lineRule="auto"/>
        <w:ind w:firstLine="640" w:firstLineChars="200"/>
        <w:jc w:val="center"/>
        <w:outlineLvl w:val="1"/>
        <w:rPr>
          <w:rFonts w:hint="default" w:ascii="Times New Roman" w:hAnsi="Times New Roman" w:eastAsia="黑体" w:cs="Times New Roman"/>
          <w:sz w:val="32"/>
          <w:szCs w:val="24"/>
        </w:rPr>
      </w:pPr>
      <w:bookmarkStart w:id="148" w:name="_Toc257922106"/>
      <w:bookmarkStart w:id="149" w:name="_Toc17258"/>
      <w:bookmarkStart w:id="150" w:name="_Toc19084"/>
      <w:bookmarkStart w:id="151" w:name="_Toc93074535"/>
      <w:bookmarkStart w:id="152" w:name="_Toc949615961"/>
      <w:bookmarkStart w:id="153" w:name="_Toc574820911"/>
      <w:r>
        <w:rPr>
          <w:rFonts w:hint="default" w:ascii="Times New Roman" w:hAnsi="Times New Roman" w:eastAsia="黑体" w:cs="Times New Roman"/>
          <w:sz w:val="32"/>
          <w:szCs w:val="24"/>
        </w:rPr>
        <w:t>入世后  我国文化产业怎样做大做强</w:t>
      </w:r>
      <w:bookmarkEnd w:id="148"/>
      <w:bookmarkEnd w:id="149"/>
      <w:bookmarkEnd w:id="150"/>
      <w:bookmarkEnd w:id="151"/>
      <w:bookmarkEnd w:id="152"/>
      <w:bookmarkEnd w:id="153"/>
    </w:p>
    <w:p w14:paraId="6FD4F8FA">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一、加入世贸组织对我国文化产业的影响</w:t>
      </w:r>
    </w:p>
    <w:p w14:paraId="6F3A56C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加入世贸组织，扩大文化市场的准入范围，允许国外文化资本、文化产品和文化服务的进入，这会对我们的社会主义价值观念、文化传统和生活习惯，对政府的管理职能和管理方式，对我国文化企事业单位带来较大的影响和挑战。</w:t>
      </w:r>
    </w:p>
    <w:p w14:paraId="2C3220E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1．对政府管理职能和管理方式的冲击</w:t>
      </w:r>
    </w:p>
    <w:p w14:paraId="5874564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市场准入的扩大，不仅会吸收大量外资投到中国文化产业中来，还会吸收大量的私营资本。随着时间的推移和社会经济的发展，文化市场准入的范围还会有进一步扩大。这种新趋势不仅涉及到政府管理的职能和方式问题，而且还会涉及建设有中国特色社会主义文化的基本认识问题。如何认识社会主义市场经济条件下文化的功能和作用，如何熟悉运用世贸规则去规范市场，发展文化产业，如何引导外国资本和私营资本的投向，如何管理外国文化产品和文化经营活动等，对各级政府来说都是一个新课题。</w:t>
      </w:r>
    </w:p>
    <w:p w14:paraId="4923DB6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2．对文化市场和文化产业竞争力的影响</w:t>
      </w:r>
    </w:p>
    <w:p w14:paraId="5C694DB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改革开放初期，在我国的文化市场经营单位中，注册资本低于3万元、营业面积小于12平方米的占81%。但仅用了10年时间就已演变为包括娱乐、音像、电影、书刊、美术品在内的多门类市场体系。据不完统计，迄今为止在文化行政部门登记注册的文化经营单位就已逾3万家。在文化市场中规模较大的，如音像制品批发单位、综合娱乐场所、营业性演出场所的分布相对集中，但绝大多数文化经营单位，如歌舞厅、台球厅、音像制品出租（零售、放映）单位、书刊零售点等呈无规律分布。这些个体、私营企业，有的过于集中，有的过于分散；大城市多、小城市少，城镇多、乡村少，地区分布失衡。据统计，400家美国最富有的公司有72家是文化企业。美国的音像业仅次于航天工业居于出口贸易的第二位。而在我国，2000年文化消费总量只有800多亿元，潜在消费能力则在3000亿元以上。据有关部门预测，2005年，我国文化的潜在消费能力是5500亿元。 多数外国资本是跨国公司，资金雄厚，技术先进，管理人才经验丰富，熟悉文化市场规则和运作方式，具有相当的优势。而我国，由于处在转型期，对文化产业的市场属性了解甚少，入世后，急需采取应对措施。</w:t>
      </w:r>
    </w:p>
    <w:p w14:paraId="3D685CB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3．对文化产业结构调整的制约</w:t>
      </w:r>
    </w:p>
    <w:p w14:paraId="4F61ECC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由于我国市场经济起步较晚，加之存在一些盲目投资问题，造成了文化生产要素在各行业配置的不合理。就文化娱乐业而言，大型综合娱乐场所数量上仅占全部娱乐业的11%，而其资本总额却超过80%。从而产生了两方面矛盾，一方面，由于市场定位不准，盲目上马的大型娱乐场所，经济效益普遍滑坡，投资报酬率低；另一方面，众多经营业绩较好的中小型娱乐项目因资金短缺，难以扩大再生产。不合理的资本配置阻碍了文化娱乐业的发展。同时，由于我国音像业受技术水平限制，致使正版音像制品成本高、质量差、内容旧、形式单一，市场占有率较低。文化产业结构的不合理还表现在：一是文化产品进口替代与出口导向的比例失调。较合理的策略应是进口替代与出口导向相结合。在进口替代的基础上积极鼓励出口导向，以增加外汇收入，改善流通体制，提高音像制品生产、软件设计、影片拍摄技术水平，从而促进文化产业升级。二是文化产品生产与流通环节的失衡。目前，我们较关注的文化市场基本属于流通领域范畴。新产品往往要跨跃多个环节才能进入流通领域，而影片、音乐、软件多半属于流行性消费品，时效性要求高，某些部门的行业壁垒阻碍了音像制品流通，客观上降低了其经济价值。加入世贸组织后，若缺乏有效的对策，有可能加大制约我国文化产业结构的合理化调整。</w:t>
      </w:r>
    </w:p>
    <w:p w14:paraId="740D39BC">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二、发展我国文化产业的主要对策</w:t>
      </w:r>
    </w:p>
    <w:p w14:paraId="0B2EE15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1．改进宏观调控，健全文化管理体系</w:t>
      </w:r>
    </w:p>
    <w:p w14:paraId="7F6C829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加入世贸组织，就文化市场来讲，设立政府职能时，一是要体现无歧视、公平竞争的原则，对本国和外国的文化产品和服务都应给予必要的“国民待遇”。 二是要体现透明和可预见性原则， 应尽可能地公开与文化产品贸易相关的法规、政策、措施和程序。在市场经济条件下为保证文化产业的健康发展，需要政府的宏观调控和规划。同时，加强政府对文化产业发展的统一协调和领导，研究制定文化产业中长期发展规划和文化产业政策，确定文化产业的统计范畴和指标体系，健全文化产业的科学调控体系。</w:t>
      </w:r>
    </w:p>
    <w:p w14:paraId="0D421F8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2．完善文化产业法规，加强依法行政</w:t>
      </w:r>
    </w:p>
    <w:p w14:paraId="6B820E9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首先，制定和修改文化市场法律、法规必须注意与相关的国际规则衔接；其次，制定修改文化市场法律、法规必须注意法律关系主体的平等，不能内外有别，并注意对与世贸组织规则相抵触的规定进行修改。其三，提高依法行政水平。今后，各级文化行政机关在针对国内外文化经营单位实施审批、许可、登记、发证、收费以及行政检查、行政处罚、行政强制等具体行为时，应注意合法、适当和有效；要在政务公开、民主监督、政务监督、行政监察、行政处罚听证、行政复议、过错责任追究等方面建立和完善相应的法律制度，确保依法操作，政令落实。</w:t>
      </w:r>
    </w:p>
    <w:p w14:paraId="5CF8F5E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3．调整产业政策，确立比较优势</w:t>
      </w:r>
    </w:p>
    <w:p w14:paraId="1B6EBF8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(1)积极出口民族特色文化产品。我国是一个多民族国家，东方古国传统的民族文化产品备受青睐。我国民族文化产品优势很多，形式多样，仅戏曲就有300余种，还有杂技、民族舞蹈等，具有鲜明的民族特色和较高的艺术欣赏价值，多数文化产品就地取材，成本低。(2)积极出口劳动密集型和技术密集型的文化产品。我国具有丰富的劳动力资源，可创作出高附加值的文化产品，提高经济效益，以弥补资金和技术上的某些不足。</w:t>
      </w:r>
    </w:p>
    <w:p w14:paraId="2D345C4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4．发展“三控型”企业集团，提高文化经营单位竞争力</w:t>
      </w:r>
    </w:p>
    <w:p w14:paraId="29FAD72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首先，加速国有文化经营单位所有制改革，使其内部体制和机制适应市场经济发展的需要，以提升赢利能力和竞争素质。其次，采取切实措施，促进文化产业升级。一是可通过财政、物价、税收杠杆及贴息等方式有计划地调节资本流向，提高大型文化娱乐单位融资能力，同时鼓励中小型文化单位扩大再生产，从而增加文化市场总体经济实力。二是积极出台优惠政策，鼓励文化经营单位连锁化发展。这将有利于扩大文化产业生产能力，改善流通体制，节约流通费用，加速其完成产业升级，形成规模经济。三是设立多种奖励机制，积极鼓励文化领域的技术创新。第三，发展一批“三控制”文化企业集团。我国在“入世”协议中承诺：“允许外国服务提供者建设或改造电影院，外资比例不得超过49%”；“摄影服务：加入时对跨境提供服务和境外消费没有限制。只允许设立合营企业，但允许外资控股。”不管是否允许外资控股，建立由中国政府或国民控股(股份)、控牌(品牌)和控技(技术)的“三控型”文化企业集团，必将是应对国外跨国公司来华竞争和占领国际市场的主要力量。一个支柱型文化产业的重要标志之一是综合性产业大集团。因此，必须按照社会主义市场经济的要求，运用市场机制，利用投资控股、金融信贷、资本融资等手段，形成有利于文化产业发展的综合性投资与融资格局。应加大我国对文化建设和文化产业的投入，尽快制定鼓励非文化企业投入文化产业的优惠政策，建立具有国际实力的文化产业发展基金和文化产业投资控股公司。</w:t>
      </w:r>
    </w:p>
    <w:p w14:paraId="2CE3E17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5．提升文化产业科技含量，增大文化产业的比重</w:t>
      </w:r>
    </w:p>
    <w:p w14:paraId="5803511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文化产业是知识密集、信息密集、技术密集的领域，现代科技成果的运用对其产生着巨大的影响，许多发达国家都借此壮大自己的文化产业。从文化产业占国内生产总值的比重看，我国与其他国家相比也大为逊色。加拿大文化服务类产业占整个国民经济的6%，而我国首都北京市的文化产业的产值仅相当于全市国内生产总值的3．6%。在这方面我们与发达国家相比落后了许多，因而必须加大科技的投入，增强我国文化产业的国际竞争力，并迅速扩大文化产业的总量。</w:t>
      </w:r>
    </w:p>
    <w:p w14:paraId="28D1E82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6．学习世贸组织成员保护本国文化产业的经验</w:t>
      </w:r>
    </w:p>
    <w:p w14:paraId="1B03B52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美国占有世界上40%的视听产品市场，欧洲电影市场的80%也为美国占有。 而美国国内的外国视听产品仅占1-2%。为此，欧洲各国纷纷采取措施加以抵制。他们的主要措施有两条：一是对国产电影实行补贴，如法国政府规定，对外来电影的票房收入加收11%的特别税，然后在有关机构的监督下，补贴到国产电影的制作当中；对录像带的制作和出租，法国政府也同样征收特别税。二是对电视节目实行配额制度。1989年10月欧共体通过一项关于“无边界电视”指导政策， 建议各国所有电视频道至少播放50%的“欧洲原产”电视节目。加拿大为保护本国出版发行业，1995年12月制定有关法规，对美国向加拿大发行的体育画报广告收入征收80%的营业税，迫使这家杂志停止了在加拿大的发行。我国可根据自己的国情，从保护与发展文化产业的需要，制定相应的保护措施。我国在入世协议中确认：“在不损害中国审查音像制品内容权利的情况下，允许外国服务提供者与中方伙伴设立合作企业，从事除电影以外的音像制品的分销。”“入世后，中国允许每年以分帐形式进口20部外国电影，用于影院放映。”其实，我国要充分运用必要的审查权利，合法地抵制外国文化产品。这也是日本等许多国家一直采取的保护措施。</w:t>
      </w:r>
    </w:p>
    <w:p w14:paraId="53B2F79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b/>
          <w:szCs w:val="21"/>
        </w:rPr>
      </w:pPr>
      <w:r>
        <w:rPr>
          <w:rFonts w:hint="default" w:ascii="Times New Roman" w:hAnsi="Times New Roman" w:eastAsia="宋体" w:cs="Times New Roman"/>
          <w:b/>
          <w:szCs w:val="21"/>
        </w:rPr>
        <w:t>7．增强行业的自我管理和实现有序竞争，联合弘扬民族文化</w:t>
      </w:r>
    </w:p>
    <w:p w14:paraId="4B2CC7F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r>
        <w:rPr>
          <w:rFonts w:hint="default" w:ascii="Times New Roman" w:hAnsi="Times New Roman" w:eastAsia="宋体" w:cs="Times New Roman"/>
          <w:szCs w:val="21"/>
        </w:rPr>
        <w:t>国外的文化产业之所以具有较强的生存和发展能力，与有效的行业自我管理有关。文化产业的行业协会、工会、联盟是从业机构或从业人员为捍卫自身利益而自愿结合的非官方机构，它与政府保持某种联系，进行行业管理和自律，在产业发展中起到了关键的作用。我国文化行业应参考国外行业协会的经验，健全自己的行业协会，由行业协会协调全行业行动，形成健康发展和自我保护机制，团结一致，在吸收外来优秀文化的基础上高举民族文化的大旗，以巩固和扩大我国的文化市场。</w:t>
      </w:r>
    </w:p>
    <w:p w14:paraId="4C9940B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zCs w:val="21"/>
        </w:rPr>
      </w:pPr>
    </w:p>
    <w:p w14:paraId="08EB348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kern w:val="0"/>
          <w:szCs w:val="21"/>
        </w:rPr>
      </w:pPr>
      <w:r>
        <w:rPr>
          <w:rFonts w:hint="default" w:ascii="Times New Roman" w:hAnsi="Times New Roman" w:eastAsia="宋体" w:cs="Times New Roman"/>
          <w:kern w:val="0"/>
          <w:szCs w:val="21"/>
        </w:rPr>
        <w:t>（原载《宏观经济管理》2002年第9期，第二作者为王小文）</w:t>
      </w:r>
    </w:p>
    <w:p w14:paraId="0C11E651">
      <w:pPr>
        <w:spacing w:line="300" w:lineRule="auto"/>
        <w:ind w:firstLine="420" w:firstLineChars="200"/>
        <w:rPr>
          <w:rFonts w:hint="default" w:ascii="Times New Roman" w:hAnsi="Times New Roman" w:eastAsia="宋体" w:cs="Times New Roman"/>
          <w:kern w:val="0"/>
          <w:szCs w:val="21"/>
        </w:rPr>
      </w:pPr>
    </w:p>
    <w:p w14:paraId="0570AD8F">
      <w:pPr>
        <w:spacing w:before="156" w:beforeLines="50" w:after="156" w:afterLines="50" w:line="300" w:lineRule="auto"/>
        <w:ind w:firstLine="641" w:firstLineChars="200"/>
        <w:jc w:val="center"/>
        <w:outlineLvl w:val="1"/>
        <w:rPr>
          <w:rFonts w:hint="default" w:ascii="Times New Roman" w:hAnsi="Times New Roman" w:eastAsia="黑体" w:cs="Times New Roman"/>
          <w:sz w:val="32"/>
          <w:szCs w:val="24"/>
        </w:rPr>
      </w:pPr>
      <w:r>
        <w:rPr>
          <w:rFonts w:hint="default" w:ascii="Times New Roman" w:hAnsi="Times New Roman" w:eastAsia="宋体" w:cs="Times New Roman"/>
          <w:b/>
          <w:sz w:val="32"/>
          <w:szCs w:val="24"/>
        </w:rPr>
        <w:br w:type="page"/>
      </w:r>
      <w:bookmarkStart w:id="154" w:name="_Toc93074536"/>
      <w:bookmarkStart w:id="155" w:name="_Toc28252"/>
      <w:bookmarkStart w:id="156" w:name="_Toc3398"/>
      <w:bookmarkStart w:id="157" w:name="_Toc96992023"/>
      <w:bookmarkStart w:id="158" w:name="_Toc1633606971"/>
      <w:bookmarkStart w:id="159" w:name="_Toc257922040"/>
      <w:r>
        <w:rPr>
          <w:rFonts w:hint="default" w:ascii="Times New Roman" w:hAnsi="Times New Roman" w:eastAsia="黑体" w:cs="Times New Roman"/>
          <w:sz w:val="32"/>
          <w:szCs w:val="24"/>
        </w:rPr>
        <w:t>马克思“商品价值量与劳动生产率变动规律”新探</w:t>
      </w:r>
      <w:bookmarkEnd w:id="154"/>
      <w:bookmarkEnd w:id="155"/>
      <w:bookmarkEnd w:id="156"/>
      <w:bookmarkEnd w:id="157"/>
      <w:bookmarkEnd w:id="158"/>
    </w:p>
    <w:p w14:paraId="08E32FD9">
      <w:pPr>
        <w:spacing w:line="300" w:lineRule="auto"/>
        <w:ind w:firstLine="480" w:firstLineChars="200"/>
        <w:jc w:val="center"/>
        <w:rPr>
          <w:rFonts w:hint="default" w:ascii="Times New Roman" w:hAnsi="Times New Roman" w:eastAsia="宋体" w:cs="Times New Roman"/>
          <w:b/>
          <w:sz w:val="24"/>
          <w:szCs w:val="24"/>
        </w:rPr>
      </w:pPr>
      <w:r>
        <w:rPr>
          <w:rFonts w:hint="default" w:ascii="Times New Roman" w:hAnsi="Times New Roman" w:eastAsia="宋体" w:cs="Times New Roman"/>
          <w:b/>
          <w:sz w:val="24"/>
          <w:szCs w:val="24"/>
        </w:rPr>
        <w:t>——对劳动价值论的一种发展</w:t>
      </w:r>
      <w:bookmarkEnd w:id="159"/>
    </w:p>
    <w:p w14:paraId="15F499AA">
      <w:pPr>
        <w:spacing w:before="156" w:beforeLines="50"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马克思关于“商品价值量与劳动生产率变动规律”的理论在逻辑上和实践上都存有缺憾。这一缺憾不仅引起了经济理论界关于劳动价值论的长期争论，也与劳动生产率日益提高和社会财富的价值总量日渐增加的经济现实相悖。</w:t>
      </w:r>
    </w:p>
    <w:p w14:paraId="43EEDDE0">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本文试图在坚持马克思关于活劳动创造价值的理论基础上，对“商品价值量与劳动生产率变动规律”这一劳动价值理论的重要内容作一创造性的发展，并构成“新的活劳动价值一元论”的重要内涵之一。</w:t>
      </w:r>
    </w:p>
    <w:p w14:paraId="6EF018F2">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一、商品价值量与劳动生产率反向运动规律的争议</w:t>
      </w:r>
    </w:p>
    <w:p w14:paraId="1BBB4193">
      <w:pPr>
        <w:spacing w:line="300" w:lineRule="auto"/>
        <w:ind w:firstLine="420" w:firstLineChars="200"/>
        <w:rPr>
          <w:rFonts w:hint="default" w:ascii="Times New Roman" w:hAnsi="Times New Roman" w:eastAsia="宋体" w:cs="Times New Roman"/>
          <w:szCs w:val="24"/>
          <w:vertAlign w:val="superscript"/>
        </w:rPr>
      </w:pPr>
      <w:r>
        <w:rPr>
          <w:rFonts w:hint="default" w:ascii="Times New Roman" w:hAnsi="Times New Roman" w:eastAsia="宋体" w:cs="Times New Roman"/>
          <w:szCs w:val="24"/>
        </w:rPr>
        <w:t>马克思的劳动价值论在当代遇到了极大挑战的关键点之一，是马克思关于商品的价值量与体现在商品中的劳动量(劳动时间)成正比，与这一劳动的生产率成反比的规律这一理论，无法完整地解释在科技的不断进步，劳动生产率不断提高的背景下，商品生产中的社会劳动量和社会价值总量在不断增加的这一现象，即社会价值总量与劳动生产率一般会产生正向变动的事实。如美国直接生产过程中的劳动量自上个世纪30年代以来一直呈不断下降的趋势，但是，美国的国民生产总值却一直呈不断上升的趋势，而我国直接生产过程中投入的劳动量远远大于美国，但是，国民生产总值却仅是美国的1/9。</w:t>
      </w:r>
      <w:r>
        <w:rPr>
          <w:rFonts w:hint="default" w:ascii="Times New Roman" w:hAnsi="Times New Roman" w:eastAsia="宋体" w:cs="Times New Roman"/>
          <w:szCs w:val="24"/>
          <w:vertAlign w:val="superscript"/>
        </w:rPr>
        <w:t>①</w:t>
      </w:r>
    </w:p>
    <w:p w14:paraId="67EE34CC">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为此，我国理论界对马克思关于商品价值量与劳动生产率变动规律作了许多的探讨，大致有两类观点：</w:t>
      </w:r>
    </w:p>
    <w:p w14:paraId="4A0FCCCA">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第一类观点是坚持马克思的商品价值量与劳动量成正比，与劳动生产率成反比的规律。持这类观点的经济学者在解释当代经济实践问题时的理由又都不同。</w:t>
      </w:r>
    </w:p>
    <w:p w14:paraId="49C9286F">
      <w:pPr>
        <w:spacing w:line="300" w:lineRule="auto"/>
        <w:ind w:firstLine="420" w:firstLineChars="200"/>
        <w:rPr>
          <w:rFonts w:hint="default" w:ascii="Times New Roman" w:hAnsi="Times New Roman" w:eastAsia="宋体" w:cs="Times New Roman"/>
          <w:szCs w:val="24"/>
          <w:vertAlign w:val="superscript"/>
        </w:rPr>
      </w:pPr>
      <w:r>
        <w:rPr>
          <w:rFonts w:hint="default" w:ascii="Times New Roman" w:hAnsi="Times New Roman" w:eastAsia="宋体" w:cs="Times New Roman"/>
          <w:szCs w:val="24"/>
        </w:rPr>
        <w:t>一些学者认为，目前，国内外关于国民生产总值或国内生产总值的统计，是以不变价格计算的。它实际是使用价值量的指标，或者说是反映使用价值量的价格指标，而非价值量指标。劳动生产率提高，与单位商品价值成反比，但与同一劳动时间创造的使用价值成正比，在价格不变情况下与价格的增加也成反比。</w:t>
      </w:r>
      <w:r>
        <w:rPr>
          <w:rFonts w:hint="default" w:ascii="Times New Roman" w:hAnsi="Times New Roman" w:eastAsia="宋体" w:cs="Times New Roman"/>
          <w:szCs w:val="24"/>
          <w:vertAlign w:val="superscript"/>
        </w:rPr>
        <w:t>②</w:t>
      </w:r>
    </w:p>
    <w:p w14:paraId="64AC7569">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这种解释与马克思的价值理论并不一致，因为无论如何含有新价值的商品价格都是以它的价值为基础，是它的价值的表现形式，以不变价格计算的国民生产总值在剔除了币值变动因素和非价值表现的价格之后，从一个较长的时间来观察，其基础仍是价值。这些学者的解释，虽然坚持了马克思的一个理论原则，却丢掉了马克思的另一个理论原则。</w:t>
      </w:r>
    </w:p>
    <w:p w14:paraId="6E06A31F">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一些学者认为，价值并不是计量社会财富的尺度，而是商品交换的基础，是在两种商品相交换时，用来证明两者在量上是相等的，而不是用来衡量社会财富多与寡，因此计量国民生产总值的标准不是价值。</w:t>
      </w:r>
    </w:p>
    <w:p w14:paraId="58F0B28B">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这种解释是将使用价值和价值相分离，商品是使用价值和价值的统一体，两者不可分离，商品的使用价值是价值的物质承担者，没有使用价值的东西就不会有价值。两种商品在交换时，即一种使用价值与另一种使用价值交换时，唯一能够计量两者在量上差异的东西就是价值，因为它的实体是一种同质量的抽象劳动。可见，将使用价值或社会财富与价值割裂开来，把价值视为与使用价值无关的东西也违背了马克思劳动价值论的基本前提。</w:t>
      </w:r>
    </w:p>
    <w:p w14:paraId="4BD7A1F8">
      <w:pPr>
        <w:spacing w:line="300" w:lineRule="auto"/>
        <w:ind w:firstLine="420" w:firstLineChars="200"/>
        <w:rPr>
          <w:rFonts w:hint="default" w:ascii="Times New Roman" w:hAnsi="Times New Roman" w:eastAsia="宋体" w:cs="Times New Roman"/>
          <w:szCs w:val="24"/>
          <w:vertAlign w:val="superscript"/>
        </w:rPr>
      </w:pPr>
      <w:r>
        <w:rPr>
          <w:rFonts w:hint="default" w:ascii="Times New Roman" w:hAnsi="Times New Roman" w:eastAsia="宋体" w:cs="Times New Roman"/>
          <w:szCs w:val="24"/>
        </w:rPr>
        <w:t>第二类观点认为，马克思的商品价值量与劳动量成正比，与劳动生产率成反比的规律不成立，而实际上劳动生产率与商品价值量是成正比例变动的。他们认为，“为其生产的一定量的使用价值所体现或支出的劳动量=劳动时间×劳动生产率”，</w:t>
      </w:r>
      <w:r>
        <w:rPr>
          <w:rFonts w:hint="default" w:ascii="Times New Roman" w:hAnsi="Times New Roman" w:eastAsia="宋体" w:cs="Times New Roman"/>
          <w:szCs w:val="24"/>
          <w:vertAlign w:val="superscript"/>
        </w:rPr>
        <w:t>③</w:t>
      </w:r>
      <w:r>
        <w:rPr>
          <w:rFonts w:hint="default" w:ascii="Times New Roman" w:hAnsi="Times New Roman" w:eastAsia="宋体" w:cs="Times New Roman"/>
          <w:szCs w:val="24"/>
        </w:rPr>
        <w:t>并举例，假定甲生产者仍用原来的生产方法，每年生产2单位粮食，乙使用机器可以生产4单位粮食，按照市场交换规律，生产者乙的收入比生产者甲高一倍，这种收入差别不是劳动差别带来的，而是物质条件变化(生产资料)从而提高了劳动生产率的结果。据此认为“，当我们在马克思的社会必要劳动时间中加入使用价值的生产以表明各个生产者之间的劳动生产率的差别，如果更进一步在上述基础上再引入技术进步‘，价值与劳动生产率成反比’这一结论就很难成立了，商品的价值和收入分配已经不仅是取决于劳动时间，而且也取决于各个生产者之间的劳动生产率的差别，由此可以推论出价值与劳动生产率的正比关系。”</w:t>
      </w:r>
      <w:r>
        <w:rPr>
          <w:rFonts w:hint="default" w:ascii="Times New Roman" w:hAnsi="Times New Roman" w:eastAsia="宋体" w:cs="Times New Roman"/>
          <w:szCs w:val="24"/>
          <w:vertAlign w:val="superscript"/>
        </w:rPr>
        <w:t>④</w:t>
      </w:r>
    </w:p>
    <w:p w14:paraId="2768B894">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由于这种观点是将活劳动以外的物化劳动(生产资料等)加入到创造价值的劳动之中，并进而提出，“劳动自身的生产力与劳动资本的生产力以及劳动的土地生产力共同创造价值”，从而就完全远离了马克思的劳动价值理论的基本点。</w:t>
      </w:r>
    </w:p>
    <w:p w14:paraId="1E0D2B39">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简言之，既然学术界现存上述两种观点均有明显失误，那么，如何在坚持马克思劳动价值论整体精神的基础上对马克思关于商品价值量与劳动生产率变化规律作出新的探索和发展，便是当今亟需进一步深入研究的重要课题。</w:t>
      </w:r>
    </w:p>
    <w:p w14:paraId="2C5B7E86">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二、商品价值量与劳动生产率反向运动规律的逻辑缺憾</w:t>
      </w:r>
    </w:p>
    <w:p w14:paraId="53D357A1">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马克思关于商品价值量与劳动生产率反向运动规律的逻辑缺憾主要体现在如下几个方面：</w:t>
      </w:r>
    </w:p>
    <w:p w14:paraId="3205B023">
      <w:pPr>
        <w:spacing w:line="300" w:lineRule="auto"/>
        <w:ind w:firstLine="420" w:firstLineChars="200"/>
        <w:rPr>
          <w:rFonts w:hint="default" w:ascii="Times New Roman" w:hAnsi="Times New Roman" w:eastAsia="宋体" w:cs="Times New Roman"/>
          <w:b/>
          <w:szCs w:val="24"/>
        </w:rPr>
      </w:pPr>
      <w:r>
        <w:rPr>
          <w:rFonts w:hint="default" w:ascii="Times New Roman" w:hAnsi="Times New Roman" w:eastAsia="宋体" w:cs="Times New Roman"/>
          <w:b/>
          <w:szCs w:val="24"/>
        </w:rPr>
        <w:t>1、关于劳动生产率与商品价值量反向运动的表述只是一种实际状态，而非全部状态。</w:t>
      </w:r>
    </w:p>
    <w:p w14:paraId="4788CD4A">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马克思关于劳动生产率与商品价值量反向运动规律暗含一个重要假定前提，即撇开了劳动主观条件对劳动生产率的影响，而只考虑劳动客观因素对劳动生产率的影响。在这样前提条件下，马克思才能将商品的使用价值与具体劳动联系在一起，将价值与抽象劳动联系在一起，进而确定劳动生产率取决于具体劳动的效率，使用价值的变动是具体劳动生产率作用的结果，两者依同方向变动。在马克思暗含的这一假定下，“生产力的变化本身丝毫也不会影响表现价值的劳动——不管生产力发生了什么变化，同一劳动在同样的时间内提供的价值量总是相同的。”从而得出“商品的价值量与体现在商品中的劳动量成正比，与这一劳动的生产率成反比”。</w:t>
      </w:r>
      <w:r>
        <w:rPr>
          <w:rFonts w:hint="default" w:ascii="Times New Roman" w:hAnsi="Times New Roman" w:eastAsia="宋体" w:cs="Times New Roman"/>
          <w:szCs w:val="24"/>
          <w:vertAlign w:val="superscript"/>
        </w:rPr>
        <w:t>⑤</w:t>
      </w:r>
      <w:r>
        <w:rPr>
          <w:rFonts w:hint="default" w:ascii="Times New Roman" w:hAnsi="Times New Roman" w:eastAsia="宋体" w:cs="Times New Roman"/>
          <w:szCs w:val="24"/>
        </w:rPr>
        <w:t>这里的同一劳动是指同一企业的劳动，同样的时间则是指这一部门生产某种商品所需要的社会必要劳动时间。如传统的权威教科书中就是这样叙述的：一月份某厂1小时生产4吨钢，1吨钢价值是1/4小时；二月份，这个厂劳动生产率提高到1小时生产8吨钢，1吨钢价值降为1/8小时。这是因为在劳动生产率提高的场合，劳动时间并没有变，支出的劳动量也没有变，发生变化的仅仅是具体劳动。结果是，同量的劳动原来凝结在4吨钢中，后来凝结在8吨钢中，从而每吨钢的价值量减少了一半，可见，这里丝毫没有考虑劳动生产率与劳动主观因素复杂化之间的变量关系。</w:t>
      </w:r>
    </w:p>
    <w:p w14:paraId="5B31BE52">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但是，在分析影响劳动生产率变化的因素时，马克思又承认劳动生产率是由劳动的主观条件、劳动的客观条件、劳动的自然条件等多种因素决定的。他认为，“劳动的生产力，由许多事情决定的，其中有工人的平均熟练程度、科学的发展水平和它在工艺上应用的程度，生产过程的社会结合，生产资料的规模和效能，以及各种自然条件。”</w:t>
      </w:r>
      <w:r>
        <w:rPr>
          <w:rFonts w:hint="default" w:ascii="Times New Roman" w:hAnsi="Times New Roman" w:eastAsia="宋体" w:cs="Times New Roman"/>
          <w:szCs w:val="24"/>
          <w:vertAlign w:val="superscript"/>
        </w:rPr>
        <w:t>⑥</w:t>
      </w:r>
      <w:r>
        <w:rPr>
          <w:rFonts w:hint="default" w:ascii="Times New Roman" w:hAnsi="Times New Roman" w:eastAsia="宋体" w:cs="Times New Roman"/>
          <w:szCs w:val="24"/>
        </w:rPr>
        <w:t>显然，这里的劳动复杂程度、熟练程度以及劳动强度等劳动条件是劳动的主观条件，而生产资料、技术等劳动条件则是劳动的客观条件。</w:t>
      </w:r>
    </w:p>
    <w:p w14:paraId="3BA9B753">
      <w:pPr>
        <w:spacing w:line="300" w:lineRule="auto"/>
        <w:ind w:firstLine="420" w:firstLineChars="200"/>
        <w:rPr>
          <w:rFonts w:hint="default" w:ascii="Times New Roman" w:hAnsi="Times New Roman" w:eastAsia="宋体" w:cs="Times New Roman"/>
          <w:szCs w:val="24"/>
          <w:vertAlign w:val="superscript"/>
        </w:rPr>
      </w:pPr>
      <w:r>
        <w:rPr>
          <w:rFonts w:hint="default" w:ascii="Times New Roman" w:hAnsi="Times New Roman" w:eastAsia="宋体" w:cs="Times New Roman"/>
          <w:szCs w:val="24"/>
        </w:rPr>
        <w:t>同样，马克思还承认，就个别企业而言，“生产力特别高的劳动起到了自乘的劳动作用，或者说，在同样的时间内，它创造的价值比同种社会平均劳动要多”。</w:t>
      </w:r>
      <w:r>
        <w:rPr>
          <w:rFonts w:hint="default" w:ascii="Times New Roman" w:hAnsi="Times New Roman" w:eastAsia="宋体" w:cs="Times New Roman"/>
          <w:szCs w:val="24"/>
          <w:vertAlign w:val="superscript"/>
        </w:rPr>
        <w:t>⑦</w:t>
      </w:r>
      <w:r>
        <w:rPr>
          <w:rFonts w:hint="default" w:ascii="Times New Roman" w:hAnsi="Times New Roman" w:eastAsia="宋体" w:cs="Times New Roman"/>
          <w:szCs w:val="24"/>
        </w:rPr>
        <w:t>即使在世界范围内，马克思也认为“国家不同，劳动的中等强度也就不同；有的国家高些，有的国家低些。强度较大的国民劳动比强度较小的国民劳动，会在同一时间内生产更多的价值……生产效率较高的国民劳动在世界市场上也被算作强度较大的劳动。”</w:t>
      </w:r>
      <w:r>
        <w:rPr>
          <w:rFonts w:hint="default" w:ascii="Times New Roman" w:hAnsi="Times New Roman" w:eastAsia="宋体" w:cs="Times New Roman"/>
          <w:szCs w:val="24"/>
          <w:vertAlign w:val="superscript"/>
        </w:rPr>
        <w:t>⑧</w:t>
      </w:r>
    </w:p>
    <w:p w14:paraId="1DBCCF4B">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这样，在马克思的这一理论中，就出现了影响劳动生产率变动的因素，包含劳动复杂化和劳动强度这类主观因素，同考察劳动生产率变动的结果舍弃劳动复杂化和劳动强度的不一致的论述，导致逻辑上的悖论。</w:t>
      </w:r>
    </w:p>
    <w:p w14:paraId="13F02DE2">
      <w:pPr>
        <w:spacing w:line="300" w:lineRule="auto"/>
        <w:ind w:firstLine="420" w:firstLineChars="200"/>
        <w:rPr>
          <w:rFonts w:hint="default" w:ascii="Times New Roman" w:hAnsi="Times New Roman" w:eastAsia="宋体" w:cs="Times New Roman"/>
          <w:b/>
          <w:szCs w:val="24"/>
        </w:rPr>
      </w:pPr>
      <w:r>
        <w:rPr>
          <w:rFonts w:hint="default" w:ascii="Times New Roman" w:hAnsi="Times New Roman" w:eastAsia="宋体" w:cs="Times New Roman"/>
          <w:b/>
          <w:szCs w:val="24"/>
        </w:rPr>
        <w:t>2、马克思商品价值量与劳动生产率反向变动规律不完全适用纵向分析。</w:t>
      </w:r>
    </w:p>
    <w:p w14:paraId="6B8F1A19">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劳动生产率是一个动态的变化过程，社会必要劳动时间也是一个动态的变化过程。在动态中，随着劳动生产率的变化，社会必要劳动时间外延会变化，它可能提高也可能缩小。这是因为，生产力特别高的个别劳动强度和复杂程度的提高会改变行业社会平均劳动的加权平均值，从而使社会必要劳动时间发生变化。尽管马克思认为“，在每一个价值形成过程中，高级劳动都要不断地还原为社会平均劳动，例如，把一日高级劳动还原为X日简单劳动”，</w:t>
      </w:r>
      <w:r>
        <w:rPr>
          <w:rFonts w:hint="default" w:ascii="Times New Roman" w:hAnsi="Times New Roman" w:eastAsia="宋体" w:cs="Times New Roman"/>
          <w:szCs w:val="24"/>
          <w:vertAlign w:val="superscript"/>
        </w:rPr>
        <w:t>⑨</w:t>
      </w:r>
      <w:r>
        <w:rPr>
          <w:rFonts w:hint="default" w:ascii="Times New Roman" w:hAnsi="Times New Roman" w:eastAsia="宋体" w:cs="Times New Roman"/>
          <w:szCs w:val="24"/>
        </w:rPr>
        <w:t>而不再考虑复杂劳动问题。但这样，劳动生产率提高前和提高后的社会必要劳动时间内涵就可能不一样，关于这点，马克思也意识到了，他说：“每一种商品(因而也包括构成资本的那些商品)的价值，都不是由这种商品本身包含的社会必要劳动时间决定的，而是由它的再生产所需的社会必要劳动时间决定，这种再生产可以在和原有生产条件不同的、更困难或更有利的条件下进行。”</w:t>
      </w:r>
      <w:r>
        <w:rPr>
          <w:rFonts w:hint="default" w:ascii="Times New Roman" w:hAnsi="Times New Roman" w:eastAsia="宋体" w:cs="Times New Roman"/>
          <w:szCs w:val="24"/>
          <w:vertAlign w:val="superscript"/>
        </w:rPr>
        <w:t>⑩</w:t>
      </w:r>
      <w:r>
        <w:rPr>
          <w:rFonts w:hint="default" w:ascii="Times New Roman" w:hAnsi="Times New Roman" w:eastAsia="宋体" w:cs="Times New Roman"/>
          <w:szCs w:val="24"/>
        </w:rPr>
        <w:t>这样，就动态的或纵向比较结果看，马克思所讲的“同样劳动时间”就是存在着，其内涵也会发生变化。</w:t>
      </w:r>
    </w:p>
    <w:p w14:paraId="29E2D06B">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但是，马克思在那一“反比”经典理论表述中用来计量劳动量的劳动时间是自然时间，是用日、小时为尺度的有长度、有限度的时间。在逻辑上是承认1日为24小时，2小时是1小时的2倍。但是，在实际的分析中，我们会发现，如果钢铁厂原来生产1吨钢的社会必要劳动时间是10小时，现在劳动生产率提高了，生产1吨钢的社会必要劳动时间是1小时。那么，现在1小时创造的价值量等于原来10小时创造的价值量，即现在1小时等于原来10小时，这时，马克思的劳动时间就不是自然意义上的时间了，这时1小时劳动时间代表或表现的劳动量绝不是原来1小时包含的劳动量。所以，就静态来看，劳动量由自然劳动时间计量没有矛盾，但是，进行动态分析，劳动量是无法由自然劳动时间计量的，这正是马克思商品价值量与劳动生产率变动规律中的又一个逻辑上的缺憾。</w:t>
      </w:r>
    </w:p>
    <w:p w14:paraId="191B8A09">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事实上，在其他场合，如马克思在分析相对剩余价值生产时就意识到了用劳动自然时间计量价值量的缺憾。因而指出，“现在，计量劳动时间的，除了它的“外延量”以外，还有它的密度。现在，十小时工作日中一个较紧张的小时，同十二小时工作日中一个较松驰的小时相比，会包含相同的或者更多的劳动，即已耗费的劳动力。因此，较紧张的一小时的产品同较松驰的（1.2）</w:t>
      </w:r>
      <w:r>
        <w:rPr>
          <w:rFonts w:hint="default" w:ascii="Times New Roman" w:hAnsi="Times New Roman" w:eastAsia="宋体" w:cs="Times New Roman"/>
          <w:szCs w:val="24"/>
        </w:rPr>
        <w:fldChar w:fldCharType="begin"/>
      </w:r>
      <w:r>
        <w:rPr>
          <w:rFonts w:hint="default" w:ascii="Times New Roman" w:hAnsi="Times New Roman" w:eastAsia="宋体" w:cs="Times New Roman"/>
          <w:szCs w:val="24"/>
        </w:rPr>
        <w:instrText xml:space="preserve"> 1-5 </w:instrText>
      </w:r>
      <w:r>
        <w:rPr>
          <w:rFonts w:hint="default" w:ascii="Times New Roman" w:hAnsi="Times New Roman" w:eastAsia="宋体" w:cs="Times New Roman"/>
          <w:szCs w:val="24"/>
        </w:rPr>
        <w:fldChar w:fldCharType="end"/>
      </w:r>
      <w:r>
        <w:rPr>
          <w:rFonts w:hint="default" w:ascii="Times New Roman" w:hAnsi="Times New Roman" w:eastAsia="宋体" w:cs="Times New Roman"/>
          <w:szCs w:val="24"/>
        </w:rPr>
        <w:t>小时的产品相比，会具有相同的或者更多的价值。”</w:t>
      </w:r>
      <w:r>
        <w:rPr>
          <w:rFonts w:hint="default" w:ascii="Times New Roman" w:hAnsi="Times New Roman" w:eastAsia="宋体" w:cs="Times New Roman"/>
          <w:szCs w:val="24"/>
          <w:vertAlign w:val="superscript"/>
        </w:rPr>
        <w:fldChar w:fldCharType="begin"/>
      </w:r>
      <w:r>
        <w:rPr>
          <w:rFonts w:hint="default" w:ascii="Times New Roman" w:hAnsi="Times New Roman" w:eastAsia="宋体" w:cs="Times New Roman"/>
          <w:szCs w:val="24"/>
          <w:vertAlign w:val="superscript"/>
        </w:rPr>
        <w:instrText xml:space="preserve"> eq \o\ac(○,11)</w:instrText>
      </w:r>
      <w:r>
        <w:rPr>
          <w:rFonts w:hint="default" w:ascii="Times New Roman" w:hAnsi="Times New Roman" w:eastAsia="宋体" w:cs="Times New Roman"/>
          <w:szCs w:val="24"/>
          <w:vertAlign w:val="superscript"/>
        </w:rPr>
        <w:fldChar w:fldCharType="end"/>
      </w:r>
      <w:r>
        <w:rPr>
          <w:rFonts w:hint="default" w:ascii="Times New Roman" w:hAnsi="Times New Roman" w:eastAsia="宋体" w:cs="Times New Roman"/>
          <w:szCs w:val="24"/>
        </w:rPr>
        <w:t>这里，马克思已经意识到了劳动时间尺度的外延尺度和内涵尺度的存在与区别，随着由劳动密度和劳动强度所引起的劳动生产率提高，单位劳动时间内创造的价值量是不相等的。但是，囿于马克思自己关于“反比”的特定假设，客观上否定了劳动生产率与价值量可能存在的正向变动关系。这样，在逻辑上又导致生产力特别高的复杂劳动获得的价值只能是其他企业转移来的结论，这就否定了生产力特别高的复杂劳动直接创造价值的理论，这不仅使他的这一理论在逻辑上出现又一不一致，而且也导致了价值创造与价值转移问题的长期争议。</w:t>
      </w:r>
    </w:p>
    <w:p w14:paraId="224D41FA">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三、商品价值量与劳动生产率变动规律的新界定及其意义</w:t>
      </w:r>
    </w:p>
    <w:p w14:paraId="7ACB3742">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首先，要完善这一理论研究的前提条件，要将劳动的主观条件引入马克思的商品价值量与劳动生产率运动规律之中。</w:t>
      </w:r>
    </w:p>
    <w:p w14:paraId="2CBD1293">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劳动生产率的提高是劳动的客观因素作用的结果仅是一种理论推测，就现实而言，劳动客观条件的任何变化都不可避免地引起劳动的主观条件的变化，如采用新的或更先进的机器设备后，直接使用机器的工人的劳动程度和劳动复杂程度可能降低也可能提高，但是，这时工人的概念可能不是一个单体，而是一个总体，就“总体工人”的劳动而言，其劳动的强度和复杂化都有提高的趋势。如果认为劳动客观条件变化可以引起劳动率变化，而主观条件变化不能引起劳动生产率变化，这与现实并不吻合。在现实经济社会中，劳动的客观条件单方面变动的情况只是一种可能性，更多的情况是两者的同步(可能是不同比例)变动。</w:t>
      </w:r>
    </w:p>
    <w:p w14:paraId="48DB4773">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而且，就一般意义而言，引起劳动生产率变化的重要因素是科技的进步，马克思认为科技是生产力，而科技进步对劳动生产率的影响主要是通过渗透到劳动的主观和客观条件之中而对劳动生产率起作用，这其中劳动的主观因素——劳动者是决定因素，没有劳动者就没有人类劳动，也就不能创造出任何使用价值和价值。所以，劳动的主观和客观条件的变化在许多场合是不可割裂的。马克思一方面承认科技的发展和应用是提高劳动生产率的最重要因素，科技进步是通过对劳动的主观条件和客观条件的改善而作用于劳动生产率之上，这其中人是最主要的因素，另一方面又没有分析劳动的主观条件变化，即劳动的复杂程度、熟练程度和强度提高对劳动生产率的推动作用。这是导致马克思“商品价值量与劳动生产率运动规律”出现逻辑上的悖论的重要原因。</w:t>
      </w:r>
    </w:p>
    <w:p w14:paraId="0ACBCD62">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就顺序而言，也应是先有科技的进步，随之才有劳动的主观条件的变化，然后才是劳动生产率的变动。劳动生产率变动的逻辑顺序应该是：</w:t>
      </w:r>
    </w:p>
    <w:p w14:paraId="29607984">
      <w:pPr>
        <w:spacing w:line="300" w:lineRule="auto"/>
        <w:ind w:firstLine="420" w:firstLineChars="200"/>
        <w:rPr>
          <w:rFonts w:hint="default" w:ascii="Times New Roman" w:hAnsi="Times New Roman" w:eastAsia="宋体" w:cs="Times New Roman"/>
          <w:szCs w:val="24"/>
        </w:rPr>
      </w:pPr>
      <w:r>
        <w:rPr>
          <w:rFonts w:hint="default" w:ascii="Times New Roman" w:hAnsi="Times New Roman" w:cs="Times New Roman"/>
        </w:rPr>
        <mc:AlternateContent>
          <mc:Choice Requires="wps">
            <w:drawing>
              <wp:anchor distT="0" distB="0" distL="114300" distR="114300" simplePos="0" relativeHeight="251674624" behindDoc="0" locked="0" layoutInCell="1" allowOverlap="1">
                <wp:simplePos x="0" y="0"/>
                <wp:positionH relativeFrom="character">
                  <wp:posOffset>583565</wp:posOffset>
                </wp:positionH>
                <wp:positionV relativeFrom="line">
                  <wp:posOffset>0</wp:posOffset>
                </wp:positionV>
                <wp:extent cx="3770630" cy="1209675"/>
                <wp:effectExtent l="0" t="0" r="13970" b="9525"/>
                <wp:wrapNone/>
                <wp:docPr id="363" name="文本框 363"/>
                <wp:cNvGraphicFramePr/>
                <a:graphic xmlns:a="http://schemas.openxmlformats.org/drawingml/2006/main">
                  <a:graphicData uri="http://schemas.microsoft.com/office/word/2010/wordprocessingShape">
                    <wps:wsp>
                      <wps:cNvSpPr txBox="1">
                        <a:spLocks noChangeArrowheads="1"/>
                      </wps:cNvSpPr>
                      <wps:spPr bwMode="auto">
                        <a:xfrm>
                          <a:off x="0" y="0"/>
                          <a:ext cx="3770630" cy="1209675"/>
                        </a:xfrm>
                        <a:prstGeom prst="rect">
                          <a:avLst/>
                        </a:prstGeom>
                        <a:solidFill>
                          <a:srgbClr val="FFFFFF"/>
                        </a:solidFill>
                        <a:ln>
                          <a:noFill/>
                        </a:ln>
                      </wps:spPr>
                      <wps:txbx>
                        <w:txbxContent>
                          <w:p w14:paraId="69DBE2D4">
                            <w:pPr>
                              <w:rPr>
                                <w:sz w:val="18"/>
                                <w:szCs w:val="18"/>
                              </w:rPr>
                            </w:pPr>
                            <w:r>
                              <w:rPr>
                                <w:rFonts w:hint="eastAsia"/>
                              </w:rPr>
                              <w:t xml:space="preserve">          </w:t>
                            </w:r>
                            <w:r>
                              <w:rPr>
                                <w:rFonts w:hint="eastAsia"/>
                                <w:sz w:val="18"/>
                                <w:szCs w:val="18"/>
                              </w:rPr>
                              <w:t xml:space="preserve"> 劳动主观条件变动                 价值量变化</w:t>
                            </w:r>
                          </w:p>
                          <w:p w14:paraId="6065DE2A">
                            <w:pPr>
                              <w:rPr>
                                <w:sz w:val="18"/>
                                <w:szCs w:val="18"/>
                              </w:rPr>
                            </w:pPr>
                            <w:r>
                              <w:rPr>
                                <w:rFonts w:hint="eastAsia" w:ascii="宋体" w:hAnsi="宋体"/>
                                <w:sz w:val="18"/>
                                <w:szCs w:val="18"/>
                              </w:rPr>
                              <w:t xml:space="preserve">         ↗               ↘              ↗              </w:t>
                            </w:r>
                          </w:p>
                          <w:p w14:paraId="60CF96C9">
                            <w:pPr>
                              <w:rPr>
                                <w:sz w:val="18"/>
                                <w:szCs w:val="18"/>
                              </w:rPr>
                            </w:pPr>
                            <w:r>
                              <w:rPr>
                                <w:rFonts w:hint="eastAsia"/>
                                <w:sz w:val="18"/>
                                <w:szCs w:val="18"/>
                              </w:rPr>
                              <w:t xml:space="preserve">科技进步                    劳动生产率变动           </w:t>
                            </w:r>
                          </w:p>
                          <w:p w14:paraId="7C092429">
                            <w:pPr>
                              <w:rPr>
                                <w:sz w:val="18"/>
                                <w:szCs w:val="18"/>
                              </w:rPr>
                            </w:pPr>
                            <w:r>
                              <w:rPr>
                                <w:rFonts w:hint="eastAsia" w:ascii="宋体" w:hAnsi="宋体"/>
                                <w:sz w:val="18"/>
                                <w:szCs w:val="18"/>
                              </w:rPr>
                              <w:t xml:space="preserve">         ↘              ↗               ↘</w:t>
                            </w:r>
                          </w:p>
                          <w:p w14:paraId="2876967B">
                            <w:pPr>
                              <w:rPr>
                                <w:sz w:val="18"/>
                                <w:szCs w:val="18"/>
                              </w:rPr>
                            </w:pPr>
                            <w:r>
                              <w:rPr>
                                <w:rFonts w:hint="eastAsia"/>
                                <w:sz w:val="18"/>
                                <w:szCs w:val="18"/>
                              </w:rPr>
                              <w:t xml:space="preserve">           劳动客条件变动                   使用价值量变化</w:t>
                            </w:r>
                          </w:p>
                          <w:p w14:paraId="4CAED2C2">
                            <w:pPr>
                              <w:ind w:firstLine="630"/>
                            </w:pPr>
                          </w:p>
                          <w:p w14:paraId="621C2F21"/>
                        </w:txbxContent>
                      </wps:txbx>
                      <wps:bodyPr rot="0" vert="horz" wrap="square" lIns="91440" tIns="45720" rIns="91440" bIns="45720" anchor="t" anchorCtr="0" upright="1">
                        <a:noAutofit/>
                      </wps:bodyPr>
                    </wps:wsp>
                  </a:graphicData>
                </a:graphic>
              </wp:anchor>
            </w:drawing>
          </mc:Choice>
          <mc:Fallback>
            <w:pict>
              <v:shape id="_x0000_s1026" o:spid="_x0000_s1026" o:spt="202" type="#_x0000_t202" style="position:absolute;left:0pt;margin-left:45.95pt;margin-top:0pt;height:95.25pt;width:296.9pt;mso-position-horizontal-relative:char;mso-position-vertical-relative:line;z-index:251674624;mso-width-relative:page;mso-height-relative:page;" fillcolor="#FFFFFF" filled="t" stroked="f" coordsize="21600,21600" o:gfxdata="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">
                <v:fill on="t" focussize="0,0"/>
                <v:stroke on="f"/>
                <v:imagedata o:title=""/>
                <o:lock v:ext="edit" aspectratio="f"/>
                <v:textbox>
                  <w:txbxContent>
                    <w:p w14:paraId="69DBE2D4">
                      <w:pPr>
                        <w:rPr>
                          <w:sz w:val="18"/>
                          <w:szCs w:val="18"/>
                        </w:rPr>
                      </w:pPr>
                      <w:r>
                        <w:rPr>
                          <w:rFonts w:hint="eastAsia"/>
                        </w:rPr>
                        <w:t xml:space="preserve">          </w:t>
                      </w:r>
                      <w:r>
                        <w:rPr>
                          <w:rFonts w:hint="eastAsia"/>
                          <w:sz w:val="18"/>
                          <w:szCs w:val="18"/>
                        </w:rPr>
                        <w:t xml:space="preserve"> 劳动主观条件变动                 价值量变化</w:t>
                      </w:r>
                    </w:p>
                    <w:p w14:paraId="6065DE2A">
                      <w:pPr>
                        <w:rPr>
                          <w:sz w:val="18"/>
                          <w:szCs w:val="18"/>
                        </w:rPr>
                      </w:pPr>
                      <w:r>
                        <w:rPr>
                          <w:rFonts w:hint="eastAsia" w:ascii="宋体" w:hAnsi="宋体"/>
                          <w:sz w:val="18"/>
                          <w:szCs w:val="18"/>
                        </w:rPr>
                        <w:t xml:space="preserve">         ↗               ↘              ↗              </w:t>
                      </w:r>
                    </w:p>
                    <w:p w14:paraId="60CF96C9">
                      <w:pPr>
                        <w:rPr>
                          <w:sz w:val="18"/>
                          <w:szCs w:val="18"/>
                        </w:rPr>
                      </w:pPr>
                      <w:r>
                        <w:rPr>
                          <w:rFonts w:hint="eastAsia"/>
                          <w:sz w:val="18"/>
                          <w:szCs w:val="18"/>
                        </w:rPr>
                        <w:t xml:space="preserve">科技进步                    劳动生产率变动           </w:t>
                      </w:r>
                    </w:p>
                    <w:p w14:paraId="7C092429">
                      <w:pPr>
                        <w:rPr>
                          <w:sz w:val="18"/>
                          <w:szCs w:val="18"/>
                        </w:rPr>
                      </w:pPr>
                      <w:r>
                        <w:rPr>
                          <w:rFonts w:hint="eastAsia" w:ascii="宋体" w:hAnsi="宋体"/>
                          <w:sz w:val="18"/>
                          <w:szCs w:val="18"/>
                        </w:rPr>
                        <w:t xml:space="preserve">         ↘              ↗               ↘</w:t>
                      </w:r>
                    </w:p>
                    <w:p w14:paraId="2876967B">
                      <w:pPr>
                        <w:rPr>
                          <w:sz w:val="18"/>
                          <w:szCs w:val="18"/>
                        </w:rPr>
                      </w:pPr>
                      <w:r>
                        <w:rPr>
                          <w:rFonts w:hint="eastAsia"/>
                          <w:sz w:val="18"/>
                          <w:szCs w:val="18"/>
                        </w:rPr>
                        <w:t xml:space="preserve">           劳动客条件变动                   使用价值量变化</w:t>
                      </w:r>
                    </w:p>
                    <w:p w14:paraId="4CAED2C2">
                      <w:pPr>
                        <w:ind w:firstLine="630"/>
                      </w:pPr>
                    </w:p>
                    <w:p w14:paraId="621C2F21"/>
                  </w:txbxContent>
                </v:textbox>
              </v:shape>
            </w:pict>
          </mc:Fallback>
        </mc:AlternateContent>
      </w:r>
      <w:r>
        <w:rPr>
          <w:rFonts w:hint="default" w:ascii="Times New Roman" w:hAnsi="Times New Roman" w:cs="Times New Roman"/>
        </w:rPr>
        <mc:AlternateContent>
          <mc:Choice Requires="wps">
            <w:drawing>
              <wp:inline distT="0" distB="0" distL="0" distR="0">
                <wp:extent cx="4184015" cy="1210945"/>
                <wp:effectExtent l="0" t="0" r="0" b="0"/>
                <wp:docPr id="362" name="矩形 36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184015" cy="1210945"/>
                        </a:xfrm>
                        <a:prstGeom prst="rect">
                          <a:avLst/>
                        </a:prstGeom>
                        <a:noFill/>
                        <a:ln>
                          <a:noFill/>
                        </a:ln>
                      </wps:spPr>
                      <wps:bodyPr rot="0" vert="horz" wrap="square" lIns="91440" tIns="45720" rIns="91440" bIns="45720" anchor="t" anchorCtr="0" upright="1">
                        <a:noAutofit/>
                      </wps:bodyPr>
                    </wps:wsp>
                  </a:graphicData>
                </a:graphic>
              </wp:inline>
            </w:drawing>
          </mc:Choice>
          <mc:Fallback>
            <w:pict>
              <v:rect id="_x0000_s1026" o:spid="_x0000_s1026" o:spt="1" style="height:95.35pt;width:329.45pt;" filled="f" stroked="f" coordsize="21600,21600" o:gfxdata="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">
                <v:fill on="f" focussize="0,0"/>
                <v:stroke on="f"/>
                <v:imagedata o:title=""/>
                <o:lock v:ext="edit" aspectratio="t"/>
                <w10:wrap type="none"/>
                <w10:anchorlock/>
              </v:rect>
            </w:pict>
          </mc:Fallback>
        </mc:AlternateContent>
      </w:r>
    </w:p>
    <w:p w14:paraId="00FA05CC">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这样，马克思的“生产力的变化本身丝毫也不会影响表现价值的劳动——不管生产力发生了什么变化，同一劳动在同样的时间内提供的价值量总是相同的”论断就不具有普遍意义了。这一方面在于，社会生产力变化本身就有表现价值的劳动因素的作用，这时的劳动也不是原来意义上的劳动，就劳动的复杂程度而言也已发生了变化。所以，当我们将劳动的主观条件引入到马克思分析的逻辑前提中，商品价值量与劳动生产率的运动方向就会发生变化，可能出现正向变动的趋向。</w:t>
      </w:r>
    </w:p>
    <w:p w14:paraId="4BEDBCD1">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其次，将计量价值量的时间尺度区分为社会必要劳动意义上的劳动自然时间(外延尺度)和劳动密度时间(内涵尺度)。</w:t>
      </w:r>
    </w:p>
    <w:p w14:paraId="57FBC856">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由于马克思将劳动时间确定为劳动自然时间，他虽然看到了劳动时间的“密度”，看到了社会必要劳动时间的动态运动，可是，在“反比”理论表述中没有区分劳动的自然时间和密度时间，而不得不得出：劳动生产率越高，生产一个商品所必要的劳动时间就越少，凝结在该商品中的劳动量就越少，它的价值也就越小。反之，劳动生产率越低，生产一个商品所必要的劳动时间就越多，凝结在该商品中的劳动量就越多，它的价值也就越大。如果我们考虑到由于劳动的复杂程度、熟练程度和强度提升所引起的劳动生产率提高，并将社会必要劳动时间区别为自然劳动时间和密度劳动时间(个别劳动时间也一样)，那么，同样1小时里包含的劳动复杂化和强化的程度是可以有差别的。这样，劳动生产率与商品价值总量就存在正方向变动的关系。</w:t>
      </w:r>
    </w:p>
    <w:p w14:paraId="2D64DD1E">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总之，劳动生产率提高表明劳动者在单位自然时间内不仅可以创造更多的使用价值，而且，由于劳动时间密度的提高(即劳动复杂化和强化程度提高)也可以创造更多的价值。一般所说的劳动者人力资本的高低和劳动积极性的高低，在实际发挥作用中大都涉及到劳动的复杂程度、熟练程度和强度，而不可能脱离它们独立存在。</w:t>
      </w:r>
    </w:p>
    <w:p w14:paraId="0C1383AC">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基于上述认识，我们认为，无论从个别企业，还是从部门和全社会来观察，商品价值量与劳动生产率变动规律可以包括如下几个方面：</w:t>
      </w:r>
    </w:p>
    <w:p w14:paraId="14249E04">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(1)如果劳动生产率变动是由劳动的客观条件变动而引起的，劳动的主观条件没有发生变化，那么劳动生产率与商品价值量是反方向的变动关系。数量关系：单位商品价值量(v)=一定劳动时间(T)/使用价值量(Q)=1/劳动生产率(P)</w:t>
      </w:r>
    </w:p>
    <w:p w14:paraId="1259127C">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(2)如果劳动生产率变动是由劳动的主观条件变动引起的，劳动客观条件没有变动，那么，劳动生产率与价值量变动是正方向变动。这里有两种情况：一种是自然社会必要劳动时间发生了变化(外延增加或减少)，一种情况是自然社会必要劳动时间不变，但是，密度社会必要劳动时间增加了，即在同样社会必要劳动时间里，劳动复杂程度和强度提高，可以创造更多的价值。</w:t>
      </w:r>
    </w:p>
    <w:p w14:paraId="0AC79465">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(3)如果劳动生产率变动是由劳动的主观和客观条件共同变动引起的，劳动生产率与价值量变动方向不确定，也可能是正方向变动也可能是反方向变动。</w:t>
      </w:r>
    </w:p>
    <w:p w14:paraId="55C2341E">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一般而言，个别企业、同一部门或行业和全社会的劳动生产率提高，会使商品价值总量呈现出增长的趋势。这是因为，在现实经济活动中劳动生产率提高或多或少都会伴随着劳动的复杂化和熟练程度的提高。</w:t>
      </w:r>
    </w:p>
    <w:p w14:paraId="352140BE">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我们对商品价值量与劳动生产率的规律作了如上的界定和新理解，对于坚持与发展马克思的劳动价值理论极有价值。</w:t>
      </w:r>
    </w:p>
    <w:p w14:paraId="7D1A6401">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1，有益于坚持“活劳动创造价值”，而不是物化劳动或劳动要素创造价值这一劳动价值理论的根本原理。因为，如果遵循这样的一个规律，劳动生产率变动带来的价值量的变动都只能是活劳动变动的结果，而不是其他因素作用的结果。这样，可以避免我们误入背离马克思劳动价值理论的歧途，重演李嘉图弟子的悲剧。</w:t>
      </w:r>
    </w:p>
    <w:p w14:paraId="11B2ACC1">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2，有益于解释传统的劳动价值论无法解决的难题，即随着劳动生产率的提高，劳动时间和活劳动量都在减少而社会总价值却在不断增加的矛盾。</w:t>
      </w:r>
    </w:p>
    <w:p w14:paraId="4E7F83DB">
      <w:pPr>
        <w:spacing w:line="300" w:lineRule="auto"/>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3，有益于科学地说明科技劳动和管理劳动在价值创造中的作用，可以承认在社会必要劳动时间不断缩小的情况下，他们可以创造更多的价值的事实。</w:t>
      </w:r>
    </w:p>
    <w:p w14:paraId="4EEA55CC">
      <w:pPr>
        <w:spacing w:line="300" w:lineRule="auto"/>
        <w:ind w:firstLine="420" w:firstLineChars="200"/>
        <w:rPr>
          <w:rFonts w:hint="default" w:ascii="Times New Roman" w:hAnsi="Times New Roman" w:eastAsia="宋体" w:cs="Times New Roman"/>
          <w:szCs w:val="24"/>
        </w:rPr>
      </w:pPr>
    </w:p>
    <w:p w14:paraId="742B7F12">
      <w:pPr>
        <w:ind w:firstLine="420" w:firstLineChars="200"/>
        <w:rPr>
          <w:rFonts w:hint="default" w:ascii="Times New Roman" w:hAnsi="Times New Roman" w:eastAsia="宋体" w:cs="Times New Roman"/>
          <w:szCs w:val="24"/>
        </w:rPr>
      </w:pPr>
      <w:r>
        <w:rPr>
          <w:rFonts w:hint="default" w:ascii="Times New Roman" w:hAnsi="Times New Roman" w:eastAsia="宋体" w:cs="Times New Roman"/>
          <w:b/>
          <w:szCs w:val="24"/>
        </w:rPr>
        <w:t>注释</w:t>
      </w:r>
      <w:r>
        <w:rPr>
          <w:rFonts w:hint="default" w:ascii="Times New Roman" w:hAnsi="Times New Roman" w:eastAsia="宋体" w:cs="Times New Roman"/>
          <w:szCs w:val="24"/>
        </w:rPr>
        <w:t>：</w:t>
      </w:r>
    </w:p>
    <w:p w14:paraId="75819DA1">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①转引自卫兴华《关于深化对劳动和劳动价值理论的认识问题》，《经济学动态》2000年第12期。</w:t>
      </w:r>
    </w:p>
    <w:p w14:paraId="097CCE0E">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②参见卫兴华《关于深化对劳动和劳动价值理论的认识问题》《经济学动态》2000年第12期。</w:t>
      </w:r>
    </w:p>
    <w:p w14:paraId="0391D3A8">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③谷书堂《新劳动价值论一元论——与苏星同志商榷》，中国社会科学1993年第6期。</w:t>
      </w:r>
    </w:p>
    <w:p w14:paraId="466BBF81">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④谷书堂《新劳动价值论一元论——与苏星同志商榷》，中国社会科学1993年第6期。</w:t>
      </w:r>
    </w:p>
    <w:p w14:paraId="0C982F05">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⑤马克思《资本论》第1卷，人民出版社1957年版第53-54页。</w:t>
      </w:r>
    </w:p>
    <w:p w14:paraId="20598508">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⑥马克思《资本论》第1卷，人民出版社1957年版，第53页。</w:t>
      </w:r>
    </w:p>
    <w:p w14:paraId="61025CF5">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⑦马克思《资本论》第1卷，人民出版社1957年版，第354页。</w:t>
      </w:r>
    </w:p>
    <w:p w14:paraId="0F90CB68">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⑧马克思《资本论》第1卷，人民出版社1957年版，第614页。</w:t>
      </w:r>
    </w:p>
    <w:p w14:paraId="0F749C32">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⑨马克思《资本论》第1卷，人民出版社1957年版，第224页。</w:t>
      </w:r>
    </w:p>
    <w:p w14:paraId="649513DE">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⑩马克思《资本论》第3卷，人民出版社1957年版，第158页。</w:t>
      </w:r>
    </w:p>
    <w:p w14:paraId="4B02D399">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fldChar w:fldCharType="begin"/>
      </w:r>
      <w:r>
        <w:rPr>
          <w:rFonts w:hint="default" w:ascii="Times New Roman" w:hAnsi="Times New Roman" w:eastAsia="宋体" w:cs="Times New Roman"/>
          <w:kern w:val="0"/>
          <w:sz w:val="21"/>
          <w:szCs w:val="21"/>
        </w:rPr>
        <w:instrText xml:space="preserve"> eq \o\ac(○,11)</w:instrText>
      </w:r>
      <w:r>
        <w:rPr>
          <w:rFonts w:hint="default" w:ascii="Times New Roman" w:hAnsi="Times New Roman" w:eastAsia="宋体" w:cs="Times New Roman"/>
          <w:kern w:val="0"/>
          <w:sz w:val="21"/>
          <w:szCs w:val="21"/>
        </w:rPr>
        <w:fldChar w:fldCharType="end"/>
      </w:r>
      <w:r>
        <w:rPr>
          <w:rFonts w:hint="default" w:ascii="Times New Roman" w:hAnsi="Times New Roman" w:eastAsia="宋体" w:cs="Times New Roman"/>
          <w:kern w:val="0"/>
          <w:sz w:val="21"/>
          <w:szCs w:val="21"/>
        </w:rPr>
        <w:t>马克思《资本论》第1卷，人民出版社1957年版，第449-450页。</w:t>
      </w:r>
    </w:p>
    <w:p w14:paraId="284307E3">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p>
    <w:p w14:paraId="67ABAFA7">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参考文献：</w:t>
      </w:r>
    </w:p>
    <w:p w14:paraId="72294F3D">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[1]马克思.资本论[M].北京：人民出版社，1975</w:t>
      </w:r>
    </w:p>
    <w:p w14:paraId="506E650C">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[2]程恩富.科学地认识和发展劳动价值论——兼论“新的活劳动价值一元论”[J].财经研究，2001，(11)</w:t>
      </w:r>
    </w:p>
    <w:p w14:paraId="36C1E912">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[3]程恩富.劳动价值论的认识创新[J]毛泽东邓小平理论研究，2002，(2)</w:t>
      </w:r>
    </w:p>
    <w:p w14:paraId="555E987C">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[4]程恩富，顾珏民.新的活劳动价值一元论[J]当代经济研究，2001，(11)</w:t>
      </w:r>
    </w:p>
    <w:p w14:paraId="1AAE2320">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[5]洪远朋.资本论难题探索[M]济南：山东人民出版社，1985</w:t>
      </w:r>
    </w:p>
    <w:p w14:paraId="783C98BA">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[6]洪远朋，马艳.关于劳动和劳动价值理论的十认识[J]复旦月报，2002，(2)</w:t>
      </w:r>
    </w:p>
    <w:p w14:paraId="36C8FA31">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[7]马艳.关于价值创造和价值转移之争的探讨[M]学术月刊，2002，(6)</w:t>
      </w:r>
    </w:p>
    <w:p w14:paraId="47F64C54">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[8]苏星.劳动价值论一元论[J]中国社会科学，1992，(6)</w:t>
      </w:r>
    </w:p>
    <w:p w14:paraId="102464B6">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[9]谷书堂.新劳动价值论一元论——与苏星同志商榷[J]中国社会科学，1993，(6)</w:t>
      </w:r>
    </w:p>
    <w:p w14:paraId="53647C3F">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[10]卫兴华.关于深化对劳动和劳动价值理论的认识问题[J]经济学动态，2000，(12)</w:t>
      </w:r>
    </w:p>
    <w:p w14:paraId="692948F4">
      <w:pPr>
        <w:ind w:firstLine="360" w:firstLineChars="200"/>
        <w:rPr>
          <w:rFonts w:hint="default" w:ascii="Times New Roman" w:hAnsi="Times New Roman" w:eastAsia="宋体" w:cs="Times New Roman"/>
          <w:sz w:val="18"/>
          <w:szCs w:val="18"/>
        </w:rPr>
      </w:pPr>
    </w:p>
    <w:p w14:paraId="72B7EA1F">
      <w:pPr>
        <w:ind w:firstLine="420" w:firstLineChars="200"/>
        <w:rPr>
          <w:rFonts w:hint="default" w:ascii="Times New Roman" w:hAnsi="Times New Roman" w:eastAsia="宋体" w:cs="Times New Roman"/>
          <w:szCs w:val="24"/>
        </w:rPr>
      </w:pPr>
      <w:r>
        <w:rPr>
          <w:rFonts w:hint="default" w:ascii="Times New Roman" w:hAnsi="Times New Roman" w:eastAsia="宋体" w:cs="Times New Roman"/>
          <w:szCs w:val="24"/>
        </w:rPr>
        <w:t>（原载《财经研究》2002年第10期，第一作者为马艳）</w:t>
      </w:r>
    </w:p>
    <w:p w14:paraId="6C8DA566">
      <w:pPr>
        <w:ind w:firstLine="641" w:firstLineChars="200"/>
        <w:rPr>
          <w:rFonts w:hint="default" w:ascii="Times New Roman" w:hAnsi="Times New Roman" w:cs="Times New Roman"/>
        </w:rPr>
      </w:pPr>
      <w:r>
        <w:rPr>
          <w:rFonts w:hint="default" w:ascii="Times New Roman" w:hAnsi="Times New Roman" w:eastAsia="宋体" w:cs="Times New Roman"/>
          <w:b/>
          <w:sz w:val="32"/>
          <w:szCs w:val="24"/>
        </w:rPr>
        <w:br w:type="page"/>
      </w:r>
    </w:p>
    <w:p w14:paraId="6658C28B">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708" w:firstLineChars="200"/>
        <w:jc w:val="center"/>
        <w:textAlignment w:val="auto"/>
        <w:outlineLvl w:val="1"/>
        <w:rPr>
          <w:rFonts w:hint="default" w:ascii="Times New Roman" w:hAnsi="Times New Roman" w:eastAsia="黑体" w:cs="Times New Roman"/>
          <w:b w:val="0"/>
          <w:bCs w:val="0"/>
          <w:color w:val="231F20"/>
          <w:spacing w:val="17"/>
          <w:sz w:val="32"/>
          <w:szCs w:val="32"/>
        </w:rPr>
      </w:pPr>
      <w:bookmarkStart w:id="160" w:name="_Toc93074537"/>
      <w:bookmarkStart w:id="161" w:name="_Toc14534"/>
      <w:bookmarkStart w:id="162" w:name="_Toc15923"/>
      <w:bookmarkStart w:id="163" w:name="_Toc257922088"/>
      <w:bookmarkStart w:id="164" w:name="_Toc204842488"/>
      <w:bookmarkStart w:id="165" w:name="_Toc453934702"/>
      <w:r>
        <w:rPr>
          <w:rFonts w:hint="default" w:ascii="Times New Roman" w:hAnsi="Times New Roman" w:eastAsia="黑体" w:cs="Times New Roman"/>
          <w:b w:val="0"/>
          <w:bCs w:val="0"/>
          <w:color w:val="231F20"/>
          <w:spacing w:val="17"/>
          <w:sz w:val="32"/>
          <w:szCs w:val="32"/>
        </w:rPr>
        <w:t>关于人民币区域化和国际化可能性探析</w:t>
      </w:r>
      <w:bookmarkEnd w:id="160"/>
      <w:bookmarkEnd w:id="161"/>
      <w:bookmarkEnd w:id="162"/>
      <w:bookmarkEnd w:id="163"/>
      <w:bookmarkEnd w:id="164"/>
      <w:bookmarkEnd w:id="165"/>
    </w:p>
    <w:p w14:paraId="6EE15E1A">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一、亚洲经济发展需要区域性货币</w:t>
      </w:r>
    </w:p>
    <w:p w14:paraId="04A66945">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中国人民币走向区域化和国际化之所以具有可能性，是因为经济全球化的发展将对国际新秩序的建立产生深刻影响，处于亚洲经济区域中的发展中国家，只有通过自身的经济发展，建立区域货币体系，才能逐步摆脱美国金融霸权的控制，努力改变不平等的经济关系，以实现自己的发展目标。</w:t>
      </w:r>
    </w:p>
    <w:p w14:paraId="1AB23B62">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1997年，东盟在国际货币基金组织(IMF)召开年会之际，提出了建立亚洲货币基金的设想，2001年11月在文莱举的亚太经济论坛首脑会议上，日韩等国有关人士就“东亚货币”的可能性进行了探讨。2001年初在日本神户召开的亚洲25国财政部长会议上，日本和法国联合发出倡议，呼吁亚洲国家采纳一种不受美元支配的货币体系以避免金融危机。2001年10月中旬，被誉为“欧元之父”的罗伯特·蒙代尔来到中国，也把关于“亚洲单一货币”的憧憬带给参加上海APEC会议的首脑们。东亚地区在经历了20世纪70-80年代的经济高速增长后，区内各国在经济、政治合作方面已经建立了一定的基础。一是东亚地区的区内贸易和投资规模日益扩大，贸易总额占外贸总量的比值超过50%。二是东亚地区经济合作呈现良好的趋势，各国利用资源差异发展多层次合作，还将开辟东北亚经济圈、环黄渤海经济区、印支经济区及新柔佛增长三角带经济合作的新局面。中国是亚洲区域中的一个发展中大国，在经济协调发展中发挥着一定的主导作用。特别是加入WTO后，中国在参与全球金融活动与规则制定的基础上，将更积极地参与亚洲区域的货币金融合作，支持亚洲货币基金(AMF)的建立与发展，努力与周边国家一起为亚洲经济、金融开放创造良好的公共环境，已经形成了亚洲经济发展深深地依赖中国的新格局。</w:t>
      </w:r>
    </w:p>
    <w:p w14:paraId="02E32E96">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有人认为，东亚出现区域性货币是很遥远的事，理由是各国在政治上难以形成共识，在历史文化上差异太大，难以保证区域货币联盟的好处。这种观点是有一些道理的。但是，中国加入WTO，标志着国内市场经济日趋走向国际化，中国人民币就有可能成为区域性货币。这是因为：日元信用关系严重疲软。日本自20世纪90年代以来，泡沫经济的负面影响仍然存在。2000年以来经济更是持续低迷，破产企业增加，失业率创记录，金融资产大缩水，银行呆帐120万亿日元，银行体系处于瘫痪状态。由于国债余额对GDP的比例已超过130%，国家财政处于崩溃边缘，再加上美国2001年经济不景气导致日本出口额减少，美日汇价急剧波动，就在2002年1月22日这一天，日元兑美元一度达到3年来的最低点，即133.82。日元贬值导致了日本金融动荡和经济恶化，正如日本中央银行行长速水优于2002年1月21日在日本银行地方经济季度会议上指出：“日本经济恶化的现象是普遍的，包括出口和资本支出下降，个人消费低迷，物价下跌，日本经济正在迅速下滑，而且随着日本政府实施激烈的经济结构改革，日本经济还将进一步恶化。”</w:t>
      </w:r>
      <w:r>
        <w:rPr>
          <w:rFonts w:hint="default" w:ascii="Times New Roman" w:hAnsi="Times New Roman" w:eastAsia="宋体" w:cs="Times New Roman"/>
          <w:szCs w:val="21"/>
          <w:vertAlign w:val="superscript"/>
        </w:rPr>
        <w:footnoteReference w:id="53"/>
      </w:r>
      <w:r>
        <w:rPr>
          <w:rFonts w:hint="default" w:ascii="Times New Roman" w:hAnsi="Times New Roman" w:eastAsia="宋体" w:cs="Times New Roman"/>
          <w:szCs w:val="21"/>
        </w:rPr>
        <w:t>日元贬值对亚洲国家和地区的出口也产生了消极影响，导致了日元信用关系严重疲软，金融中心地位相对下降。</w:t>
      </w:r>
    </w:p>
    <w:p w14:paraId="2C34C626">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日本长期存在着政治历史问题，影响亚洲许多国家和地区人们的感情，有碍于对日元信任度的提升。从地缘政治上看，亚太地区存在着“中美日”大三角关系，美国因全球利益不愿意让日元区域化。当日本1997年提出建立亚洲货币基金的建议时，就曾遭到美国和国际货币基金组织的反对。从历史上看，日本侵略过东亚许多国家，这些国家宁愿接受美元或人民币也不愿接受日元。从制度上看，东亚大多数国家都建立了市场经济体制，政治意愿逐步形成共识，中国同东盟在10年内建立自由贸易区的走向，客观上都为人民币的区域化奠定了基础。</w:t>
      </w:r>
    </w:p>
    <w:p w14:paraId="5B8190F3">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中国人民币币值稳定，且有良好的国际信用关系。我国经济长期高速增长，赢得了亚洲乃至世界各国的颂扬。特别是自东南亚金融危机以来，始终承诺人民币不贬值，赢得了国际社会的广泛信任，也使八国集团和亚洲一些国家清楚地认识到，中国是一个可信赖的合作伙伴，世界经济的稳定与发展离不开中国。作为一个发展中大国，中国积极赞赏欧盟提议的“经济安理会”和美国提议的“7+1+1”框架组织(即在七国集团的基础加上俄罗斯、再加上中国)，尽力发挥自己在国际经济事务中应有的作用，并建立了这种良好的国际信用关系，这为人民币逐步走向区域化和国际化创造了适宜的国际环境。</w:t>
      </w:r>
    </w:p>
    <w:p w14:paraId="177CA3DE">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上述分析的结论是：若能实现在与日本平等的基础上建立亚洲货币基金，或者暂不排斥本国货币存在的前提下规划发行“亚元”，对中国都是利大于弊的。不过，在此之前和之后的一个较长时期内，中国还是要积极推行人民币的区域化和国际化。</w:t>
      </w:r>
    </w:p>
    <w:p w14:paraId="2532D898">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二、人民币逐步走向区域化和国际化是提高国际金融竞争力的迫切需要</w:t>
      </w:r>
    </w:p>
    <w:p w14:paraId="2545786C">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中国加入WTO，带来了巨大的机遇与风险，而要充分利用各种机遇和化解市场风险，提高国际金融竞争力，就必须推进人民币的区域化和国际化。这表现在以下几点：</w:t>
      </w:r>
    </w:p>
    <w:p w14:paraId="20D700CD">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一是在金融管理的要求上，人民币的区域化和国际化要求外资银行进入中国，拓展业务范围，中国的银行要更多地走向世界，在资金运用、业务品种、服务手段、工作效率以及利率和汇率的风险管理等方面对银行业提出了更高的要求。同时，人民币国际化还将在更深的层次上沟通本币与外币之间的联系，加强本币供应量的调节，改善中央银行宏观调控能力，建立符合市场经济要求的银行体制和金融市场体系，提高银行生存和发展能力。</w:t>
      </w:r>
    </w:p>
    <w:p w14:paraId="12762434">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二是在金融管理的目标上，人民币的区域化和国际化能减少汇价风险，有利于促进对外贸易的更快发展。过去我国对外经济交往都使用外币，汇价风险很大，一旦使用币种不当，就要承受巨大损失。如果人民币成为区域性或国际性货币，在国际间往来时就可以争取更多地使用自己的货币，使汇价风险减少到最低限度。</w:t>
      </w:r>
    </w:p>
    <w:p w14:paraId="261A87A4">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三是在金融管理的效果上，人民币的区域化和国际化能减少因使用外币所引起的财富流失。把本国货币作世界货币发行，客观上是把别国的资金筹集到本国来，为本国经济注入新的活力。美国战后及近10年之所以能维持经济霸权地位，财富有较快的增长，是同美元作为世界货币密切相联的。</w:t>
      </w:r>
    </w:p>
    <w:p w14:paraId="23B5C6D8">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四是在金融管理的质量上，人民币的区域化和国际化能提高国际化金融服务水平。因为它客观上需要中资银行必须更多地面向世界，提供符合国际化要求的金融服务。</w:t>
      </w:r>
    </w:p>
    <w:p w14:paraId="704C07A7">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五是有利于改善外商投资和经营环境，减少外商投资利润汇出风险，保护外商投资者的合法权益，增强外国投资者的信心，更合理地引进外资，提高产业结构的优化率。</w:t>
      </w:r>
    </w:p>
    <w:p w14:paraId="0108C4F7">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总之，人民币逐步区域化和国际化，就是日渐掌握一种区域性和世界性货币的发行和调节权，这对于全球经济新秩序的建立以及提高我国经济的国际地位均至关重要。</w:t>
      </w:r>
    </w:p>
    <w:p w14:paraId="6E6E4B6A">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三、中国经济发展为人民币逐步走向区域化和国际化创造了日趋良好的条件</w:t>
      </w:r>
    </w:p>
    <w:p w14:paraId="7338BEFF">
      <w:pPr>
        <w:spacing w:line="300" w:lineRule="auto"/>
        <w:ind w:firstLine="420" w:firstLineChars="200"/>
        <w:rPr>
          <w:rFonts w:hint="default" w:ascii="Times New Roman" w:hAnsi="Times New Roman" w:eastAsia="宋体" w:cs="Times New Roman"/>
          <w:b/>
          <w:szCs w:val="21"/>
        </w:rPr>
      </w:pPr>
      <w:r>
        <w:rPr>
          <w:rFonts w:hint="default" w:ascii="Times New Roman" w:hAnsi="Times New Roman" w:eastAsia="宋体" w:cs="Times New Roman"/>
          <w:szCs w:val="21"/>
        </w:rPr>
        <w:t>从我国当前的经济发展情况看，这些良好条件主要表现在：</w:t>
      </w:r>
    </w:p>
    <w:p w14:paraId="390A0B83">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1.中国的经济规模和综合国力已有明显提高。目前，中国由GDP所显示的经济规模名列世界第六，再10年将成为仅次于美日的第三经济大国。我国的综合国力现排名世界第七，今后大体上每10年递增一位。</w:t>
      </w:r>
    </w:p>
    <w:p w14:paraId="5791EFA9">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2.中国对外贸易结构不断优化。“八五”期间，中国外贸按现行可比价格计算，年平均增长率高达29.5%在中国进出口商品结构中，初级产品和制产品各自所占比重，出口约为1：1，进口约为1：3，贸易结构的低级化非常明显；在“九五”期间，尽管在东南亚金融危机时承诺人民币汇率保持稳定的前提下，中国外贸仍保持一定增长，上述比重均变为1：4左右，标志着中国已基本实现了出口贸易初级产品和精加工产品，向工业制成品和精加工产品的结构性转换；“十五”期间，在对外贸易结构优化和外贸交易量方面，都有新的提高。</w:t>
      </w:r>
    </w:p>
    <w:p w14:paraId="678FD48D">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3.引进和利用外资成效显著。按可比汇率计算，对外商投资企业依存度已由1990年的4.9%，上升到2000年的30.97%。引进和利用外资的规模连续多年居世界前列。20世纪末，已有来自40多个国家和地区的外资金融机构在中国20多个中心城市设立代表处500多个，分支行等营业性机构120多家，在华金融资金总额已超过600亿美元。</w:t>
      </w:r>
    </w:p>
    <w:p w14:paraId="11A36AE4">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中国有5000余家生产和流通企业积极到海外投资经营，已遍及120多个国家和地区，跻身国际经济舞台。我国银行业在海外的分支机构已达584个，仅中国银行一家海外分支就遍布19个国家和地区，达521个，海外机构资产总值、存放款总额大幅度增加。国有工、农、中、建等四大专业银行，均已进入世界最大500家之列。</w:t>
      </w:r>
    </w:p>
    <w:p w14:paraId="0141C7BA">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4.外汇管理体制改革效果显著。中国外汇交易中心系统于1994年4月正式联网运作，标志着我国外汇市场进入了规范和发展的新阶段。进入1996年，全国统一金融拆借市场宣告成立，中央银行进行公开市场操作，及时提出人民币远期外汇买卖，并实现了人民币经常项目的可兑换。这些举措表明，中国外汇管理和金融市场正朝着有利于人民币可自由兑换乃至国际化的方向发展。</w:t>
      </w:r>
    </w:p>
    <w:p w14:paraId="3CC2FBE0">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5.人民币汇率基本稳定。自从1994年外汇管理体制改革以来，人民币汇率从波动走向稳定。如1994年汇率并轨时的8.7：1美元，近几年一直保持在8.27：1美元的汇率，其原因除了与汇率并轨时人民币率定值偏低以外，主要在于外汇市场持续供大于求。近几年来我国出口创汇形势较好，外汇储备猛增，到2001年底突破2000亿美元大关，居世界前列。在世界经济衰退的形势下，中国人民币汇率仍保持不变，经受住了国际金融危机的考验。特别是周边国家的边贸往来频繁，人民币成了主要的计价流通工具，并大量流入周边国家和地区，信誉很好，增强了人们对人民币的信心。</w:t>
      </w:r>
    </w:p>
    <w:p w14:paraId="459721D0">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6.中国市场经济体制逐步完善。改革开放以来，中国经济体制改革取得突破性进展，国民经济市场化、社会化程度明显提高，社会主义市场经济体制的目标和基本框架已确立，市场在社会资源配置中起到了应有的基础性作用。伴随财政、金融、外汇、外资、投资和流通等领域中的改革正在深化，推行积极的财政政策和稳健的货币政策效果明显。</w:t>
      </w:r>
    </w:p>
    <w:p w14:paraId="230B3546">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48" w:firstLineChars="200"/>
        <w:jc w:val="center"/>
        <w:textAlignment w:val="auto"/>
        <w:rPr>
          <w:rFonts w:hint="default" w:ascii="Times New Roman" w:hAnsi="Times New Roman" w:eastAsia="黑体" w:cs="Times New Roman"/>
          <w:b w:val="0"/>
          <w:bCs w:val="0"/>
          <w:color w:val="231F20"/>
          <w:spacing w:val="17"/>
          <w:sz w:val="24"/>
          <w:szCs w:val="24"/>
        </w:rPr>
      </w:pPr>
      <w:r>
        <w:rPr>
          <w:rFonts w:hint="default" w:ascii="Times New Roman" w:hAnsi="Times New Roman" w:eastAsia="黑体" w:cs="Times New Roman"/>
          <w:b w:val="0"/>
          <w:bCs w:val="0"/>
          <w:color w:val="231F20"/>
          <w:spacing w:val="17"/>
          <w:sz w:val="24"/>
          <w:szCs w:val="24"/>
        </w:rPr>
        <w:t>四、推进人民币逐步区域化和国际化的若干对策</w:t>
      </w:r>
    </w:p>
    <w:p w14:paraId="74E6EEE6">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首先，推进人民币区域化和国际化进程，需要有牢固的微观基础，这就必须加快建立和完善现代企业制度。因为，人民币区域化和国际化进程，将国外与国内两个市场体系融为一体，客观上迫使企业在全球范围内参与国际竞争，在更大范围内实现社会资源的优化配置。在这种情况下，国际市场价格波动将直接影响到国内市场价格波动，影响本国经济的健康发展。为此，一是按照市场经济体制的要求，深化产权制度改革，建立和完善现代企业制度，切实转变企业经营机制，使企业真正成为依法自主经营、自负盈亏、自我发展和自我约束的法人实体和市场主体。二是应当加速建立“三控型”民族企业集团。所谓“三控”，就是控股(资本)、控牌(品牌)、控技(技术)，只有实行“三控”的企业才是比较安全的民族经济。</w:t>
      </w:r>
      <w:r>
        <w:rPr>
          <w:rFonts w:hint="default" w:ascii="Times New Roman" w:hAnsi="Times New Roman" w:eastAsia="宋体" w:cs="Times New Roman"/>
          <w:szCs w:val="21"/>
          <w:vertAlign w:val="superscript"/>
        </w:rPr>
        <w:footnoteReference w:id="54"/>
      </w:r>
      <w:r>
        <w:rPr>
          <w:rFonts w:hint="default" w:ascii="Times New Roman" w:hAnsi="Times New Roman" w:eastAsia="宋体" w:cs="Times New Roman"/>
          <w:szCs w:val="21"/>
        </w:rPr>
        <w:t>三是从根本上提高企业适应国内外两个市场竞争的能力，以适应人民币区域化和国际化进程中所需要的全方位开放度，切实做好人民币区域化和国际化的基础性工作。</w:t>
      </w:r>
    </w:p>
    <w:p w14:paraId="588A630F">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其次，推进人民币区域化和国际化进程，需要加强和完善以商业银行为中心的信用制度，并加大在国外推行人民币兑换业务。因为，人民币区域化和国际化属于货币经营范围，它包括国内经营和国际经营两个部分，两者都需要通过建立良好的信用制度来协调运行。要把信用视作金融业发展的生命线，不断完善适合国际要求的信用制度。目前，在世界各国经济交往中，要为人民币可兑换创造条件。如在旅游业相互开放的国家中，尤其是在东亚国家推行定额人民币兑换该国货币。现在，在泰国、越南、缅甸、朝鲜、蒙古、俄罗斯、香港和澳门等国家和地区，人民币可以全境或局部通用(缅甸等已规定中国游客可自由携带6000元人民币入境并用此付费)，但在整个东南亚地区流通的人民币不过二、三百亿元，而我国人民币总发行量为16000亿元，只占不到2%人民币在一定程度上的区域化也只是国际化的始点。同时，要大力推行在发达国家推行人民币兑换该国货币的措施，为提高人民币区域化和国际化提供良好的软环境。</w:t>
      </w:r>
    </w:p>
    <w:p w14:paraId="53146CF5">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三，推进人民币区域化和国际化，需要建立一个合理的非对称利率市场化机制。非对称利率市场化是相对于完全自由的利率市场化而言，是指以中央银行利率为核心、货币市场利率为中介、由市场供求决定存贷利率为基础的市场利率体系。</w:t>
      </w:r>
    </w:p>
    <w:p w14:paraId="2F9D2C06">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从世界金融发展历史来看，利率市场化有两种模式，一种是完全自由的利率市场化，它以发达健全的金融市场体系为基础。从有关国际利率市场化改革的实践看，如果金融市场体系不健全，一旦利率放开，完全由市场决定，利率波动就比较剧烈，就会带来巨大的金融风险，1997年东南亚金融危机就是深刻教训。因此，这种利率市场化模式不适合于发展中国家的改革目标。另一种是非对称利率市场化模式，它是以比较健全的金融市场体系为基础，以中央银行利用经济手段进行适度干预为前提。因为，对发展中国家来说，由于资本的相对稀缺，若通过市场对资源进行配置就无法满足资金的要求，因此，只能通过政府对利率的干预来增加资本积累。可以这么说，非对称利率市场化在一定条件下对发展中国家的金融和经济发展起着其他因素所无法替代的积极作用。从实质上看，它是一个博弈过程。因此，这种利率市场化模式得到了世界上许多发展中国家甚至一些发达国家的认可。</w:t>
      </w:r>
    </w:p>
    <w:p w14:paraId="1D525248">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为此，中国要根据非对称利率市场化模式的要求，建立合理的利率市场化机制。(1)要尽快完善短期资金市场和长期资金市场，这是建立非对称利率市场化机制的基础。(2)要规范商业银行的经营行为，提高资金使用效率，实现中央银行间接管理和规范管理的要求，不断提高利率水平，并按照商业银行规范经营的要求进一步公开市场交易，这样，才能使利率波动成为一种正常的市场行为。(3)要注重利率市场化的实际绩效。一是在放开同业拆借利率的基础上，进一步完善和提高原利率的市场调节机制。主要是降低交易成本，提高结算清算效率，加快资金划转和清算速度，以便及时地反映资金供求状况。同时要增加信息提供，降低交易风险，特别要放宽市场化准入标准，将境外资金纳入同业拆借市场，扩大和发挥金融市场的功能作用。二是在国债市场上，进一步完善有利于利率市场化作用的国债市场联动机制。因为，国债市场利率具有交易量大、信息披露充分等特点，根据利率市场化要求，国债发行可采取全额招标或拍卖等方式，在保留底价和基本承销价的前提下，适当扩大招标或拍卖价格的变动区间，便于投资者自行确定国债发行率，以此推动其他金融资产的利率市场化。三是在银行存贷关系上，进一步实行存贷款利率的动态机制，调节企业和居民的经济行为和消费行为，引导资金按社会经济发展的需要进行流通，使社会资金供求达到动态的平衡，从而避免金融风险，维护社会经济稳定，为人民币国际化提供内在基础。</w:t>
      </w:r>
    </w:p>
    <w:p w14:paraId="39C87D4E">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第四，推进人民币区域化和国际化进程，需要高度重视和改进开放中的金融监管问题。</w:t>
      </w:r>
    </w:p>
    <w:p w14:paraId="37C96258">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(1)积极消除金融隐患来加大金融监管力度。改革开放以来，我国虽未正式产生过金融危机，但近年始终存在一些金融隐患，如银行资产质量不高，不良贷款比重较大；某些地方金融秩序混乱，非法集资现象突出；不规范运作的非银行金融机构较多；证券、期货和股份制运行与操作的漏洞较多；金融立法和执法均有疲软之处，致使金融犯罪现象较为严重，影响了金融机构的国际竞争力。因此，必须严格立法和执法，并辅之以诚信教育。</w:t>
      </w:r>
    </w:p>
    <w:p w14:paraId="01F4FCD7">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(2)健全具有中国特色的金融监管体系。为了形成稳定的金融市场秩序，保证货币国际化目标顺利实现，一些国家根据本国的国情，建立了各具特色的金融监管体系。中国过去的金融监管体系是以封闭型为特点，在中央银行内部没有成立统一的金融监管机构。如中央银行监管一司负责对国有银行进行监管，中央银行监管二司负责对非国有银行进行监管，中央银行合作金融机构司负责对合作金融机构进行监管。尽管职责明确，但监管效果不理想，这是导致当前金融监管疲软的主要原因之一。所以，要改变现行金融监管机构的设置，建立和健全一体化的开放性金融监管体系，对各类金融机构进行统一的有效监管。</w:t>
      </w:r>
    </w:p>
    <w:p w14:paraId="0E087235">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(3)健全符合金融监管要求的金融安全网。世界上许多国家都十分重视金融安全网建设，主要是为了防范由于一家银行倒闭，因信息不对称而导致众多存户挤兑，致使许多银行发生连锁倒闭的系统风险现象的出现。金融安全网建设包括两个方面，一是建立银行存款保险制度，即通过设立存款保险公司，向金融机构收取一定的保险金，对在该金融机构的存款实行保险，以防止金融机构经营中所产生的系统风险。二是建立最后贷款制度。中央银行充当最终贷款人，在金融危机期间向有困难的金融机构提供流动资金贷款，以防止银行连锁倒闭和金融危机的爆发。</w:t>
      </w:r>
    </w:p>
    <w:p w14:paraId="323EC1EE">
      <w:pPr>
        <w:spacing w:line="300"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szCs w:val="21"/>
        </w:rPr>
        <w:t>(4)面对金融日趋自由化和美国为首的国际金融霸权的新态势，中国既要深化国内金融体制的改革，迅速提升本国金融机构的竞争力，也要循序渐进地适时开放金融领域，强调有理、有利、有节，还要加强对国际游资的防范与管理，严格监督外资金融机构的经营行为。</w:t>
      </w:r>
    </w:p>
    <w:p w14:paraId="6BCDFB6C">
      <w:pPr>
        <w:autoSpaceDE w:val="0"/>
        <w:autoSpaceDN w:val="0"/>
        <w:ind w:firstLine="420" w:firstLineChars="200"/>
        <w:jc w:val="left"/>
        <w:rPr>
          <w:rFonts w:hint="default" w:ascii="Times New Roman" w:hAnsi="Times New Roman" w:eastAsia="宋体" w:cs="Times New Roman"/>
          <w:szCs w:val="21"/>
        </w:rPr>
      </w:pPr>
    </w:p>
    <w:p w14:paraId="46038E7A">
      <w:pPr>
        <w:ind w:firstLine="420" w:firstLineChars="200"/>
        <w:rPr>
          <w:rFonts w:hint="default" w:ascii="Times New Roman" w:hAnsi="Times New Roman" w:eastAsia="宋体" w:cs="Times New Roman"/>
          <w:szCs w:val="21"/>
        </w:rPr>
      </w:pPr>
      <w:r>
        <w:rPr>
          <w:rFonts w:hint="default" w:ascii="Times New Roman" w:hAnsi="Times New Roman" w:eastAsia="宋体" w:cs="Times New Roman"/>
          <w:b/>
          <w:szCs w:val="21"/>
        </w:rPr>
        <w:t>参考文献</w:t>
      </w:r>
      <w:r>
        <w:rPr>
          <w:rFonts w:hint="default" w:ascii="Times New Roman" w:hAnsi="Times New Roman" w:eastAsia="宋体" w:cs="Times New Roman"/>
          <w:szCs w:val="21"/>
        </w:rPr>
        <w:t>：</w:t>
      </w:r>
    </w:p>
    <w:p w14:paraId="7AB89256">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[1]程恩富.西方产权理论评析[M].当代中国出版社，1997.</w:t>
      </w:r>
    </w:p>
    <w:p w14:paraId="3977EE5A">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[2]程恩富.中国海派经济论坛(1998)[M].上海财经大学出版社，1998.</w:t>
      </w:r>
    </w:p>
    <w:p w14:paraId="349134B9">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[3]程恩富.中国海派经济论坛(2001)[M].上海财经大学出版社，2001.</w:t>
      </w:r>
    </w:p>
    <w:p w14:paraId="75C08EF0">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[4]程恩富.当代中国经济理论探索[M].上海财经大学出版社，2000.</w:t>
      </w:r>
    </w:p>
    <w:p w14:paraId="0BA9F107">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[5]孙兆康.人民币国际化的一种理论解释[J].金融教学与研究，1998，(1).</w:t>
      </w:r>
    </w:p>
    <w:p w14:paraId="28E261CC">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[6]姜凌.人民币国际化理论与实践的若干问题[J].世界经济，1997，(4)</w:t>
      </w:r>
    </w:p>
    <w:p w14:paraId="41831713">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[7]姜凌.人民币国际化——跨入新世纪中国金融行将面临的机遇与挑战[J].金融与经济，1999，(3).</w:t>
      </w:r>
    </w:p>
    <w:p w14:paraId="616126DB">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default" w:ascii="Times New Roman" w:hAnsi="Times New Roman" w:eastAsia="宋体" w:cs="Times New Roman"/>
          <w:kern w:val="0"/>
          <w:sz w:val="21"/>
          <w:szCs w:val="21"/>
        </w:rPr>
        <w:t>[8]Krugman，Paul.R，Currencies and cries，The MIT Press，1992.</w:t>
      </w:r>
    </w:p>
    <w:p w14:paraId="43A5D7FA">
      <w:pPr>
        <w:ind w:firstLine="420" w:firstLineChars="200"/>
        <w:rPr>
          <w:rFonts w:hint="default" w:ascii="Times New Roman" w:hAnsi="Times New Roman" w:eastAsia="宋体" w:cs="Times New Roman"/>
          <w:szCs w:val="21"/>
        </w:rPr>
      </w:pPr>
    </w:p>
    <w:p w14:paraId="4717F1F2">
      <w:pPr>
        <w:spacing w:line="336" w:lineRule="auto"/>
        <w:ind w:firstLine="420" w:firstLineChars="200"/>
        <w:rPr>
          <w:rFonts w:hint="default" w:ascii="Times New Roman" w:hAnsi="Times New Roman" w:eastAsia="宋体" w:cs="Times New Roman"/>
          <w:szCs w:val="21"/>
        </w:rPr>
      </w:pPr>
      <w:r>
        <w:rPr>
          <w:rFonts w:hint="default" w:ascii="Times New Roman" w:hAnsi="Times New Roman" w:eastAsia="宋体" w:cs="Times New Roman"/>
          <w:bCs/>
          <w:kern w:val="0"/>
          <w:szCs w:val="21"/>
        </w:rPr>
        <w:t>（原载《</w:t>
      </w:r>
      <w:r>
        <w:rPr>
          <w:rFonts w:hint="default" w:ascii="Times New Roman" w:hAnsi="Times New Roman" w:eastAsia="宋体" w:cs="Times New Roman"/>
          <w:kern w:val="0"/>
          <w:szCs w:val="21"/>
        </w:rPr>
        <w:t>当代经济研究》2002年第11期，第二作者为周肇光）</w:t>
      </w:r>
    </w:p>
    <w:p w14:paraId="4ED34A1F">
      <w:pPr>
        <w:spacing w:line="336" w:lineRule="auto"/>
        <w:ind w:firstLine="420" w:firstLineChars="200"/>
        <w:rPr>
          <w:rFonts w:hint="default" w:ascii="Times New Roman" w:hAnsi="Times New Roman" w:eastAsia="宋体" w:cs="Times New Roman"/>
          <w:szCs w:val="21"/>
        </w:rPr>
      </w:pPr>
    </w:p>
    <w:p w14:paraId="7E515481">
      <w:pPr>
        <w:spacing w:before="156" w:beforeLines="50" w:after="156" w:afterLines="50" w:line="300" w:lineRule="auto"/>
        <w:ind w:firstLine="641" w:firstLineChars="200"/>
        <w:jc w:val="center"/>
        <w:outlineLvl w:val="1"/>
        <w:rPr>
          <w:rFonts w:hint="eastAsia" w:ascii="黑体" w:hAnsi="黑体" w:eastAsia="黑体" w:cs="黑体"/>
          <w:b w:val="0"/>
          <w:bCs w:val="0"/>
          <w:spacing w:val="23"/>
          <w:sz w:val="32"/>
          <w:szCs w:val="48"/>
        </w:rPr>
      </w:pPr>
      <w:r>
        <w:rPr>
          <w:rFonts w:hint="default" w:ascii="Times New Roman" w:hAnsi="Times New Roman" w:eastAsia="宋体" w:cs="Times New Roman"/>
          <w:b/>
          <w:sz w:val="32"/>
          <w:szCs w:val="24"/>
        </w:rPr>
        <w:br w:type="page"/>
      </w:r>
      <w:bookmarkStart w:id="166" w:name="_Toc25645"/>
      <w:bookmarkStart w:id="167" w:name="_Toc18407"/>
      <w:bookmarkStart w:id="168" w:name="_Toc371409675"/>
      <w:bookmarkStart w:id="169" w:name="_Toc1418622370"/>
      <w:r>
        <w:rPr>
          <w:rFonts w:hint="eastAsia" w:ascii="黑体" w:hAnsi="黑体" w:eastAsia="黑体" w:cs="黑体"/>
          <w:b w:val="0"/>
          <w:bCs w:val="0"/>
          <w:spacing w:val="23"/>
          <w:sz w:val="32"/>
          <w:szCs w:val="48"/>
        </w:rPr>
        <w:t>“入世”对国内消费的影响与对策</w:t>
      </w:r>
      <w:bookmarkEnd w:id="166"/>
      <w:bookmarkEnd w:id="167"/>
      <w:bookmarkEnd w:id="168"/>
      <w:bookmarkEnd w:id="169"/>
    </w:p>
    <w:p w14:paraId="5A385198">
      <w:pPr>
        <w:spacing w:line="400" w:lineRule="exact"/>
        <w:ind w:firstLine="428" w:firstLineChars="200"/>
        <w:rPr>
          <w:rFonts w:hint="default" w:ascii="Times New Roman" w:hAnsi="Times New Roman" w:eastAsia="黑体" w:cs="Times New Roman"/>
          <w:b/>
          <w:bCs/>
          <w:spacing w:val="23"/>
          <w:sz w:val="32"/>
          <w:szCs w:val="48"/>
        </w:rPr>
      </w:pPr>
      <w:r>
        <w:rPr>
          <w:rFonts w:hint="default" w:ascii="Times New Roman" w:hAnsi="Times New Roman" w:eastAsia="宋体" w:cs="Times New Roman"/>
          <w:spacing w:val="2"/>
          <w:szCs w:val="21"/>
        </w:rPr>
        <w:t>当今世界，经济全球化已</w:t>
      </w:r>
      <w:r>
        <w:rPr>
          <w:rFonts w:hint="default" w:ascii="Times New Roman" w:hAnsi="Times New Roman" w:eastAsia="宋体" w:cs="Times New Roman"/>
          <w:spacing w:val="23"/>
          <w:szCs w:val="21"/>
        </w:rPr>
        <w:t>成</w:t>
      </w:r>
      <w:r>
        <w:rPr>
          <w:rFonts w:hint="default" w:ascii="Times New Roman" w:hAnsi="Times New Roman" w:eastAsia="宋体" w:cs="Times New Roman"/>
          <w:spacing w:val="17"/>
          <w:szCs w:val="21"/>
        </w:rPr>
        <w:t>为世界经济发展的必</w:t>
      </w:r>
      <w:r>
        <w:rPr>
          <w:rFonts w:hint="default" w:ascii="Times New Roman" w:hAnsi="Times New Roman" w:eastAsia="宋体" w:cs="Times New Roman"/>
          <w:spacing w:val="15"/>
          <w:szCs w:val="21"/>
        </w:rPr>
        <w:t>然</w:t>
      </w:r>
      <w:r>
        <w:rPr>
          <w:rFonts w:hint="default" w:ascii="Times New Roman" w:hAnsi="Times New Roman" w:eastAsia="宋体" w:cs="Times New Roman"/>
          <w:spacing w:val="13"/>
          <w:szCs w:val="21"/>
        </w:rPr>
        <w:t>趋势。在此背景下，</w:t>
      </w:r>
      <w:r>
        <w:rPr>
          <w:rFonts w:hint="default" w:ascii="Times New Roman" w:hAnsi="Times New Roman" w:eastAsia="宋体" w:cs="Times New Roman"/>
          <w:spacing w:val="25"/>
          <w:szCs w:val="21"/>
        </w:rPr>
        <w:t>加</w:t>
      </w:r>
      <w:r>
        <w:rPr>
          <w:rFonts w:hint="default" w:ascii="Times New Roman" w:hAnsi="Times New Roman" w:eastAsia="宋体" w:cs="Times New Roman"/>
          <w:spacing w:val="21"/>
          <w:szCs w:val="21"/>
        </w:rPr>
        <w:t>入世界贸易组织这样一个多边</w:t>
      </w:r>
      <w:r>
        <w:rPr>
          <w:rFonts w:hint="default" w:ascii="Times New Roman" w:hAnsi="Times New Roman" w:eastAsia="宋体" w:cs="Times New Roman"/>
          <w:spacing w:val="20"/>
          <w:szCs w:val="21"/>
        </w:rPr>
        <w:t>贸</w:t>
      </w:r>
      <w:r>
        <w:rPr>
          <w:rFonts w:hint="default" w:ascii="Times New Roman" w:hAnsi="Times New Roman" w:eastAsia="宋体" w:cs="Times New Roman"/>
          <w:spacing w:val="13"/>
          <w:szCs w:val="21"/>
        </w:rPr>
        <w:t>易体系，将对中国经济融入经</w:t>
      </w:r>
      <w:r>
        <w:rPr>
          <w:rFonts w:hint="default" w:ascii="Times New Roman" w:hAnsi="Times New Roman" w:eastAsia="宋体" w:cs="Times New Roman"/>
          <w:spacing w:val="15"/>
          <w:szCs w:val="21"/>
        </w:rPr>
        <w:t>济</w:t>
      </w:r>
      <w:r>
        <w:rPr>
          <w:rFonts w:hint="default" w:ascii="Times New Roman" w:hAnsi="Times New Roman" w:eastAsia="宋体" w:cs="Times New Roman"/>
          <w:spacing w:val="13"/>
          <w:szCs w:val="21"/>
        </w:rPr>
        <w:t>全球化潮流起到决定性的作用。入</w:t>
      </w:r>
      <w:r>
        <w:rPr>
          <w:rFonts w:hint="default" w:ascii="Times New Roman" w:hAnsi="Times New Roman" w:eastAsia="宋体" w:cs="Times New Roman"/>
          <w:spacing w:val="12"/>
          <w:szCs w:val="21"/>
        </w:rPr>
        <w:t>世所产生的影响涉及各个方面，</w:t>
      </w:r>
      <w:r>
        <w:rPr>
          <w:rFonts w:hint="default" w:ascii="Times New Roman" w:hAnsi="Times New Roman" w:eastAsia="宋体" w:cs="Times New Roman"/>
          <w:spacing w:val="25"/>
          <w:szCs w:val="21"/>
        </w:rPr>
        <w:t>本</w:t>
      </w:r>
      <w:r>
        <w:rPr>
          <w:rFonts w:hint="default" w:ascii="Times New Roman" w:hAnsi="Times New Roman" w:eastAsia="宋体" w:cs="Times New Roman"/>
          <w:spacing w:val="21"/>
          <w:szCs w:val="21"/>
        </w:rPr>
        <w:t>文仅探讨其对消费领域的影响</w:t>
      </w:r>
      <w:r>
        <w:rPr>
          <w:rFonts w:hint="default" w:ascii="Times New Roman" w:hAnsi="Times New Roman" w:eastAsia="宋体" w:cs="Times New Roman"/>
          <w:spacing w:val="22"/>
          <w:szCs w:val="21"/>
        </w:rPr>
        <w:t>及</w:t>
      </w:r>
      <w:r>
        <w:rPr>
          <w:rFonts w:hint="default" w:ascii="Times New Roman" w:hAnsi="Times New Roman" w:eastAsia="宋体" w:cs="Times New Roman"/>
          <w:spacing w:val="16"/>
          <w:szCs w:val="21"/>
        </w:rPr>
        <w:t>我们可采取的一些主要对策。</w:t>
      </w:r>
    </w:p>
    <w:p w14:paraId="30C6FB3E">
      <w:pPr>
        <w:spacing w:line="400" w:lineRule="exact"/>
        <w:ind w:firstLine="476" w:firstLineChars="200"/>
        <w:rPr>
          <w:rFonts w:hint="default" w:ascii="Times New Roman" w:hAnsi="Times New Roman" w:eastAsia="宋体" w:cs="Times New Roman"/>
        </w:rPr>
      </w:pPr>
      <w:r>
        <w:rPr>
          <w:rFonts w:hint="default" w:ascii="Times New Roman" w:hAnsi="Times New Roman" w:eastAsia="宋体" w:cs="Times New Roman"/>
          <w:spacing w:val="14"/>
          <w:szCs w:val="21"/>
        </w:rPr>
        <w:t>根</w:t>
      </w:r>
      <w:r>
        <w:rPr>
          <w:rFonts w:hint="default" w:ascii="Times New Roman" w:hAnsi="Times New Roman" w:eastAsia="宋体" w:cs="Times New Roman"/>
          <w:spacing w:val="10"/>
          <w:szCs w:val="21"/>
        </w:rPr>
        <w:t>据《建立世界贸易组织的</w:t>
      </w:r>
      <w:r>
        <w:rPr>
          <w:rFonts w:hint="default" w:ascii="Times New Roman" w:hAnsi="Times New Roman" w:eastAsia="宋体" w:cs="Times New Roman"/>
          <w:spacing w:val="9"/>
          <w:szCs w:val="21"/>
        </w:rPr>
        <w:t>协</w:t>
      </w:r>
      <w:r>
        <w:rPr>
          <w:rFonts w:hint="default" w:ascii="Times New Roman" w:hAnsi="Times New Roman" w:eastAsia="宋体" w:cs="Times New Roman"/>
          <w:spacing w:val="6"/>
          <w:szCs w:val="21"/>
        </w:rPr>
        <w:t>定》的序言，世贸组织的宗旨</w:t>
      </w:r>
      <w:r>
        <w:rPr>
          <w:rFonts w:hint="default" w:ascii="Times New Roman" w:hAnsi="Times New Roman" w:eastAsia="宋体" w:cs="Times New Roman"/>
          <w:spacing w:val="8"/>
          <w:szCs w:val="21"/>
        </w:rPr>
        <w:t>是：“缔约国在处理贸易和经济</w:t>
      </w:r>
      <w:r>
        <w:rPr>
          <w:rFonts w:hint="default" w:ascii="Times New Roman" w:hAnsi="Times New Roman" w:eastAsia="宋体" w:cs="Times New Roman"/>
          <w:spacing w:val="6"/>
          <w:szCs w:val="21"/>
        </w:rPr>
        <w:t>事</w:t>
      </w:r>
      <w:r>
        <w:rPr>
          <w:rFonts w:hint="default" w:ascii="Times New Roman" w:hAnsi="Times New Roman" w:eastAsia="宋体" w:cs="Times New Roman"/>
          <w:spacing w:val="10"/>
          <w:szCs w:val="21"/>
        </w:rPr>
        <w:t>业</w:t>
      </w:r>
      <w:r>
        <w:rPr>
          <w:rFonts w:hint="default" w:ascii="Times New Roman" w:hAnsi="Times New Roman" w:eastAsia="宋体" w:cs="Times New Roman"/>
          <w:spacing w:val="8"/>
          <w:szCs w:val="21"/>
        </w:rPr>
        <w:t>的</w:t>
      </w:r>
      <w:r>
        <w:rPr>
          <w:rFonts w:hint="default" w:ascii="Times New Roman" w:hAnsi="Times New Roman" w:eastAsia="宋体" w:cs="Times New Roman"/>
          <w:spacing w:val="5"/>
          <w:szCs w:val="21"/>
        </w:rPr>
        <w:t>关系时，应以提高生活水平、</w:t>
      </w:r>
      <w:r>
        <w:rPr>
          <w:rFonts w:hint="default" w:ascii="Times New Roman" w:hAnsi="Times New Roman" w:eastAsia="宋体" w:cs="Times New Roman"/>
          <w:spacing w:val="13"/>
          <w:szCs w:val="21"/>
        </w:rPr>
        <w:t>保证充分就业、保证实际收入</w:t>
      </w:r>
      <w:r>
        <w:rPr>
          <w:rFonts w:hint="default" w:ascii="Times New Roman" w:hAnsi="Times New Roman" w:eastAsia="宋体" w:cs="Times New Roman"/>
          <w:spacing w:val="12"/>
          <w:szCs w:val="21"/>
        </w:rPr>
        <w:t>和</w:t>
      </w:r>
      <w:r>
        <w:rPr>
          <w:rFonts w:hint="default" w:ascii="Times New Roman" w:hAnsi="Times New Roman" w:eastAsia="宋体" w:cs="Times New Roman"/>
          <w:spacing w:val="22"/>
          <w:szCs w:val="21"/>
        </w:rPr>
        <w:t>有</w:t>
      </w:r>
      <w:r>
        <w:rPr>
          <w:rFonts w:hint="default" w:ascii="Times New Roman" w:hAnsi="Times New Roman" w:eastAsia="宋体" w:cs="Times New Roman"/>
          <w:spacing w:val="13"/>
          <w:szCs w:val="21"/>
        </w:rPr>
        <w:t>效需求的持续增长、扩大货物</w:t>
      </w:r>
      <w:r>
        <w:rPr>
          <w:rFonts w:hint="default" w:ascii="Times New Roman" w:hAnsi="Times New Roman" w:eastAsia="宋体" w:cs="Times New Roman"/>
          <w:spacing w:val="22"/>
          <w:szCs w:val="21"/>
        </w:rPr>
        <w:t>和</w:t>
      </w:r>
      <w:r>
        <w:rPr>
          <w:rFonts w:hint="default" w:ascii="Times New Roman" w:hAnsi="Times New Roman" w:eastAsia="宋体" w:cs="Times New Roman"/>
          <w:spacing w:val="13"/>
          <w:szCs w:val="21"/>
        </w:rPr>
        <w:t>服务贸易为目的，同时允许根</w:t>
      </w:r>
      <w:r>
        <w:rPr>
          <w:rFonts w:hint="default" w:ascii="Times New Roman" w:hAnsi="Times New Roman" w:eastAsia="宋体" w:cs="Times New Roman"/>
          <w:spacing w:val="22"/>
          <w:szCs w:val="21"/>
        </w:rPr>
        <w:t>据</w:t>
      </w:r>
      <w:r>
        <w:rPr>
          <w:rFonts w:hint="default" w:ascii="Times New Roman" w:hAnsi="Times New Roman" w:eastAsia="宋体" w:cs="Times New Roman"/>
          <w:spacing w:val="13"/>
          <w:szCs w:val="21"/>
        </w:rPr>
        <w:t>持续发展的目标，优化使用世</w:t>
      </w:r>
      <w:r>
        <w:rPr>
          <w:rFonts w:hint="default" w:ascii="Times New Roman" w:hAnsi="Times New Roman" w:eastAsia="宋体" w:cs="Times New Roman"/>
          <w:spacing w:val="25"/>
          <w:szCs w:val="21"/>
        </w:rPr>
        <w:t>界</w:t>
      </w:r>
      <w:r>
        <w:rPr>
          <w:rFonts w:hint="default" w:ascii="Times New Roman" w:hAnsi="Times New Roman" w:eastAsia="宋体" w:cs="Times New Roman"/>
          <w:spacing w:val="21"/>
          <w:szCs w:val="21"/>
        </w:rPr>
        <w:t>资源；根据各自的需求和经济</w:t>
      </w:r>
      <w:r>
        <w:rPr>
          <w:rFonts w:hint="default" w:ascii="Times New Roman" w:hAnsi="Times New Roman" w:eastAsia="宋体" w:cs="Times New Roman"/>
          <w:spacing w:val="22"/>
          <w:szCs w:val="21"/>
        </w:rPr>
        <w:t>发</w:t>
      </w:r>
      <w:r>
        <w:rPr>
          <w:rFonts w:hint="default" w:ascii="Times New Roman" w:hAnsi="Times New Roman" w:eastAsia="宋体" w:cs="Times New Roman"/>
          <w:spacing w:val="13"/>
          <w:szCs w:val="21"/>
        </w:rPr>
        <w:t>展的实际水平，寻求既保护环</w:t>
      </w:r>
      <w:r>
        <w:rPr>
          <w:rFonts w:hint="default" w:ascii="Times New Roman" w:hAnsi="Times New Roman" w:eastAsia="宋体" w:cs="Times New Roman"/>
          <w:spacing w:val="5"/>
          <w:szCs w:val="21"/>
        </w:rPr>
        <w:t>境</w:t>
      </w:r>
      <w:r>
        <w:rPr>
          <w:rFonts w:hint="default" w:ascii="Times New Roman" w:hAnsi="Times New Roman" w:eastAsia="宋体" w:cs="Times New Roman"/>
          <w:spacing w:val="3"/>
          <w:szCs w:val="21"/>
        </w:rPr>
        <w:t>，又达到上述目标的手段。”与</w:t>
      </w:r>
      <w:r>
        <w:rPr>
          <w:rFonts w:hint="default" w:ascii="Times New Roman" w:hAnsi="Times New Roman" w:eastAsia="宋体" w:cs="Times New Roman"/>
          <w:spacing w:val="20"/>
          <w:szCs w:val="21"/>
        </w:rPr>
        <w:t>《关贸总协定》序言中规定的宗旨</w:t>
      </w:r>
      <w:r>
        <w:rPr>
          <w:rFonts w:hint="default" w:ascii="Times New Roman" w:hAnsi="Times New Roman" w:eastAsia="宋体" w:cs="Times New Roman"/>
          <w:spacing w:val="23"/>
          <w:szCs w:val="21"/>
        </w:rPr>
        <w:t>相</w:t>
      </w:r>
      <w:r>
        <w:rPr>
          <w:rFonts w:hint="default" w:ascii="Times New Roman" w:hAnsi="Times New Roman" w:eastAsia="宋体" w:cs="Times New Roman"/>
          <w:spacing w:val="14"/>
          <w:szCs w:val="21"/>
        </w:rPr>
        <w:t>比，世贸组织仍然把提高缔约</w:t>
      </w:r>
      <w:r>
        <w:rPr>
          <w:rFonts w:hint="default" w:ascii="Times New Roman" w:hAnsi="Times New Roman" w:eastAsia="宋体" w:cs="Times New Roman"/>
          <w:spacing w:val="30"/>
          <w:szCs w:val="21"/>
        </w:rPr>
        <w:t>国</w:t>
      </w:r>
      <w:r>
        <w:rPr>
          <w:rFonts w:hint="default" w:ascii="Times New Roman" w:hAnsi="Times New Roman" w:eastAsia="宋体" w:cs="Times New Roman"/>
          <w:spacing w:val="21"/>
          <w:szCs w:val="21"/>
        </w:rPr>
        <w:t>生活水平置于其应达到的多重目</w:t>
      </w:r>
      <w:r>
        <w:rPr>
          <w:rFonts w:hint="default" w:ascii="Times New Roman" w:hAnsi="Times New Roman" w:eastAsia="宋体" w:cs="Times New Roman"/>
          <w:spacing w:val="12"/>
          <w:szCs w:val="21"/>
        </w:rPr>
        <w:t>标中的首要位置，并保证包括</w:t>
      </w:r>
      <w:r>
        <w:rPr>
          <w:rFonts w:hint="default" w:ascii="Times New Roman" w:hAnsi="Times New Roman" w:eastAsia="宋体" w:cs="Times New Roman"/>
          <w:spacing w:val="23"/>
          <w:szCs w:val="21"/>
        </w:rPr>
        <w:t>消费需求在内的有效需求的持</w:t>
      </w:r>
      <w:r>
        <w:rPr>
          <w:rFonts w:hint="default" w:ascii="Times New Roman" w:hAnsi="Times New Roman" w:eastAsia="宋体" w:cs="Times New Roman"/>
          <w:spacing w:val="21"/>
          <w:szCs w:val="21"/>
        </w:rPr>
        <w:t>续</w:t>
      </w:r>
      <w:r>
        <w:rPr>
          <w:rFonts w:hint="default" w:ascii="Times New Roman" w:hAnsi="Times New Roman" w:eastAsia="宋体" w:cs="Times New Roman"/>
          <w:spacing w:val="2"/>
          <w:szCs w:val="21"/>
        </w:rPr>
        <w:t>增长。</w:t>
      </w:r>
    </w:p>
    <w:p w14:paraId="4A70C379">
      <w:pPr>
        <w:spacing w:line="400" w:lineRule="exact"/>
        <w:ind w:firstLine="508" w:firstLineChars="200"/>
        <w:rPr>
          <w:rFonts w:hint="default" w:ascii="Times New Roman" w:hAnsi="Times New Roman" w:eastAsia="宋体" w:cs="Times New Roman"/>
        </w:rPr>
      </w:pPr>
      <w:r>
        <w:rPr>
          <w:rFonts w:hint="default" w:ascii="Times New Roman" w:hAnsi="Times New Roman" w:eastAsia="宋体" w:cs="Times New Roman"/>
          <w:spacing w:val="22"/>
          <w:szCs w:val="21"/>
        </w:rPr>
        <w:t>我国作为一个社会主义国</w:t>
      </w:r>
      <w:r>
        <w:rPr>
          <w:rFonts w:hint="default" w:ascii="Times New Roman" w:hAnsi="Times New Roman" w:eastAsia="宋体" w:cs="Times New Roman"/>
          <w:spacing w:val="20"/>
          <w:szCs w:val="21"/>
        </w:rPr>
        <w:t>家</w:t>
      </w:r>
      <w:r>
        <w:rPr>
          <w:rFonts w:hint="default" w:ascii="Times New Roman" w:hAnsi="Times New Roman" w:eastAsia="宋体" w:cs="Times New Roman"/>
          <w:spacing w:val="26"/>
          <w:szCs w:val="21"/>
        </w:rPr>
        <w:t>和</w:t>
      </w:r>
      <w:r>
        <w:rPr>
          <w:rFonts w:hint="default" w:ascii="Times New Roman" w:hAnsi="Times New Roman" w:eastAsia="宋体" w:cs="Times New Roman"/>
          <w:spacing w:val="15"/>
          <w:szCs w:val="21"/>
        </w:rPr>
        <w:t>发展中大国，经济发展的目标</w:t>
      </w:r>
      <w:r>
        <w:rPr>
          <w:rFonts w:hint="default" w:ascii="Times New Roman" w:hAnsi="Times New Roman" w:eastAsia="宋体" w:cs="Times New Roman"/>
          <w:spacing w:val="24"/>
          <w:szCs w:val="21"/>
        </w:rPr>
        <w:t>是</w:t>
      </w:r>
      <w:r>
        <w:rPr>
          <w:rFonts w:hint="default" w:ascii="Times New Roman" w:hAnsi="Times New Roman" w:eastAsia="宋体" w:cs="Times New Roman"/>
          <w:spacing w:val="23"/>
          <w:szCs w:val="21"/>
        </w:rPr>
        <w:t>最大限度的满足人民群众日益</w:t>
      </w:r>
      <w:r>
        <w:rPr>
          <w:rFonts w:hint="default" w:ascii="Times New Roman" w:hAnsi="Times New Roman" w:eastAsia="宋体" w:cs="Times New Roman"/>
          <w:spacing w:val="29"/>
          <w:szCs w:val="21"/>
        </w:rPr>
        <w:t>增长的物质和文化生活的需要。</w:t>
      </w:r>
      <w:r>
        <w:rPr>
          <w:rFonts w:hint="default" w:ascii="Times New Roman" w:hAnsi="Times New Roman" w:eastAsia="宋体" w:cs="Times New Roman"/>
          <w:spacing w:val="22"/>
          <w:szCs w:val="21"/>
        </w:rPr>
        <w:t>可</w:t>
      </w:r>
      <w:r>
        <w:rPr>
          <w:rFonts w:hint="default" w:ascii="Times New Roman" w:hAnsi="Times New Roman" w:eastAsia="宋体" w:cs="Times New Roman"/>
          <w:spacing w:val="14"/>
          <w:szCs w:val="21"/>
        </w:rPr>
        <w:t>见，世贸组织的宗旨和我国经</w:t>
      </w:r>
      <w:r>
        <w:rPr>
          <w:rFonts w:hint="default" w:ascii="Times New Roman" w:hAnsi="Times New Roman" w:eastAsia="宋体" w:cs="Times New Roman"/>
          <w:spacing w:val="25"/>
          <w:szCs w:val="21"/>
        </w:rPr>
        <w:t>济</w:t>
      </w:r>
      <w:r>
        <w:rPr>
          <w:rFonts w:hint="default" w:ascii="Times New Roman" w:hAnsi="Times New Roman" w:eastAsia="宋体" w:cs="Times New Roman"/>
          <w:spacing w:val="14"/>
          <w:szCs w:val="21"/>
        </w:rPr>
        <w:t>发展的目标是吻合的，入世的</w:t>
      </w:r>
      <w:r>
        <w:rPr>
          <w:rFonts w:hint="default" w:ascii="Times New Roman" w:hAnsi="Times New Roman" w:eastAsia="宋体" w:cs="Times New Roman"/>
          <w:spacing w:val="25"/>
          <w:szCs w:val="21"/>
        </w:rPr>
        <w:t>经</w:t>
      </w:r>
      <w:r>
        <w:rPr>
          <w:rFonts w:hint="default" w:ascii="Times New Roman" w:hAnsi="Times New Roman" w:eastAsia="宋体" w:cs="Times New Roman"/>
          <w:spacing w:val="15"/>
          <w:szCs w:val="21"/>
        </w:rPr>
        <w:t>济战略和措施得当，可以支持</w:t>
      </w:r>
      <w:r>
        <w:rPr>
          <w:rFonts w:hint="default" w:ascii="Times New Roman" w:hAnsi="Times New Roman" w:eastAsia="宋体" w:cs="Times New Roman"/>
          <w:spacing w:val="24"/>
          <w:szCs w:val="21"/>
        </w:rPr>
        <w:t>我</w:t>
      </w:r>
      <w:r>
        <w:rPr>
          <w:rFonts w:hint="default" w:ascii="Times New Roman" w:hAnsi="Times New Roman" w:eastAsia="宋体" w:cs="Times New Roman"/>
          <w:spacing w:val="23"/>
          <w:szCs w:val="21"/>
        </w:rPr>
        <w:t>国经济发展以满足人民消费需</w:t>
      </w:r>
      <w:r>
        <w:rPr>
          <w:rFonts w:hint="default" w:ascii="Times New Roman" w:hAnsi="Times New Roman" w:eastAsia="宋体" w:cs="Times New Roman"/>
          <w:spacing w:val="14"/>
          <w:szCs w:val="21"/>
        </w:rPr>
        <w:t>求为目标的要求</w:t>
      </w:r>
      <w:r>
        <w:rPr>
          <w:rFonts w:hint="default" w:ascii="Times New Roman" w:hAnsi="Times New Roman" w:eastAsia="宋体" w:cs="Times New Roman"/>
          <w:spacing w:val="12"/>
          <w:szCs w:val="21"/>
        </w:rPr>
        <w:t>。</w:t>
      </w:r>
    </w:p>
    <w:p w14:paraId="75CE7135">
      <w:pPr>
        <w:spacing w:line="400" w:lineRule="exact"/>
        <w:ind w:firstLine="568" w:firstLineChars="200"/>
        <w:jc w:val="center"/>
        <w:rPr>
          <w:rFonts w:hint="default" w:ascii="黑体" w:hAnsi="黑体" w:eastAsia="黑体" w:cs="黑体"/>
          <w:b w:val="0"/>
          <w:bCs w:val="0"/>
          <w:spacing w:val="22"/>
          <w:sz w:val="24"/>
          <w:szCs w:val="24"/>
        </w:rPr>
      </w:pPr>
      <w:r>
        <w:rPr>
          <w:rFonts w:hint="default" w:ascii="黑体" w:hAnsi="黑体" w:eastAsia="黑体" w:cs="黑体"/>
          <w:b w:val="0"/>
          <w:bCs w:val="0"/>
          <w:spacing w:val="22"/>
          <w:sz w:val="24"/>
          <w:szCs w:val="24"/>
        </w:rPr>
        <w:t>入世对国内消费的正面影响</w:t>
      </w:r>
    </w:p>
    <w:p w14:paraId="01B29D74">
      <w:pPr>
        <w:spacing w:line="400" w:lineRule="exact"/>
        <w:ind w:firstLine="488" w:firstLineChars="200"/>
        <w:rPr>
          <w:rFonts w:hint="default" w:ascii="Times New Roman" w:hAnsi="Times New Roman" w:eastAsia="宋体" w:cs="Times New Roman"/>
        </w:rPr>
      </w:pPr>
      <w:r>
        <w:rPr>
          <w:rFonts w:hint="default" w:ascii="Times New Roman" w:hAnsi="Times New Roman" w:eastAsia="宋体" w:cs="Times New Roman"/>
          <w:b/>
          <w:bCs/>
          <w:spacing w:val="17"/>
          <w:szCs w:val="21"/>
        </w:rPr>
        <w:t>1</w:t>
      </w:r>
      <w:r>
        <w:rPr>
          <w:rFonts w:hint="default" w:ascii="Times New Roman" w:hAnsi="Times New Roman" w:eastAsia="宋体" w:cs="Times New Roman"/>
          <w:b/>
          <w:bCs/>
          <w:spacing w:val="12"/>
          <w:szCs w:val="21"/>
        </w:rPr>
        <w:t>.入世将缓解国内消费品供</w:t>
      </w:r>
      <w:r>
        <w:rPr>
          <w:rFonts w:hint="default" w:ascii="Times New Roman" w:hAnsi="Times New Roman" w:eastAsia="宋体" w:cs="Times New Roman"/>
          <w:b/>
          <w:bCs/>
          <w:spacing w:val="9"/>
          <w:szCs w:val="21"/>
        </w:rPr>
        <w:t>求</w:t>
      </w:r>
      <w:r>
        <w:rPr>
          <w:rFonts w:hint="default" w:ascii="Times New Roman" w:hAnsi="Times New Roman" w:eastAsia="宋体" w:cs="Times New Roman"/>
          <w:b/>
          <w:bCs/>
          <w:spacing w:val="7"/>
          <w:szCs w:val="21"/>
        </w:rPr>
        <w:t>矛盾，提高社会平均消费水平。</w:t>
      </w:r>
    </w:p>
    <w:p w14:paraId="0525E756">
      <w:pPr>
        <w:spacing w:line="400" w:lineRule="exact"/>
        <w:ind w:firstLine="476" w:firstLineChars="200"/>
        <w:rPr>
          <w:rFonts w:hint="default" w:ascii="Times New Roman" w:hAnsi="Times New Roman" w:eastAsia="宋体" w:cs="Times New Roman"/>
        </w:rPr>
      </w:pPr>
      <w:r>
        <w:rPr>
          <w:rFonts w:hint="default" w:ascii="Times New Roman" w:hAnsi="Times New Roman" w:eastAsia="宋体" w:cs="Times New Roman"/>
          <w:spacing w:val="14"/>
          <w:szCs w:val="21"/>
        </w:rPr>
        <w:t>目</w:t>
      </w:r>
      <w:r>
        <w:rPr>
          <w:rFonts w:hint="default" w:ascii="Times New Roman" w:hAnsi="Times New Roman" w:eastAsia="宋体" w:cs="Times New Roman"/>
          <w:spacing w:val="8"/>
          <w:szCs w:val="21"/>
        </w:rPr>
        <w:t>前，国内产品种类大约有</w:t>
      </w:r>
      <w:r>
        <w:rPr>
          <w:rFonts w:hint="default" w:ascii="Times New Roman" w:hAnsi="Times New Roman" w:eastAsia="宋体" w:cs="Times New Roman"/>
          <w:spacing w:val="9"/>
          <w:szCs w:val="21"/>
        </w:rPr>
        <w:t>4</w:t>
      </w:r>
      <w:r>
        <w:rPr>
          <w:rFonts w:hint="default" w:ascii="Times New Roman" w:hAnsi="Times New Roman" w:eastAsia="宋体" w:cs="Times New Roman"/>
          <w:spacing w:val="8"/>
          <w:szCs w:val="21"/>
        </w:rPr>
        <w:t>0多万种，而国际市场产品种类</w:t>
      </w:r>
      <w:r>
        <w:rPr>
          <w:rFonts w:hint="default" w:ascii="Times New Roman" w:hAnsi="Times New Roman" w:eastAsia="宋体" w:cs="Times New Roman"/>
          <w:spacing w:val="24"/>
          <w:szCs w:val="21"/>
        </w:rPr>
        <w:t>在</w:t>
      </w:r>
      <w:r>
        <w:rPr>
          <w:rFonts w:hint="default" w:ascii="Times New Roman" w:hAnsi="Times New Roman" w:eastAsia="宋体" w:cs="Times New Roman"/>
          <w:spacing w:val="12"/>
          <w:szCs w:val="21"/>
        </w:rPr>
        <w:t>150万种以上。加入世贸组织以</w:t>
      </w:r>
      <w:r>
        <w:rPr>
          <w:rFonts w:hint="default" w:ascii="Times New Roman" w:hAnsi="Times New Roman" w:eastAsia="宋体" w:cs="Times New Roman"/>
          <w:spacing w:val="24"/>
          <w:szCs w:val="21"/>
        </w:rPr>
        <w:t>后</w:t>
      </w:r>
      <w:r>
        <w:rPr>
          <w:rFonts w:hint="default" w:ascii="Times New Roman" w:hAnsi="Times New Roman" w:eastAsia="宋体" w:cs="Times New Roman"/>
          <w:spacing w:val="12"/>
          <w:szCs w:val="21"/>
        </w:rPr>
        <w:t>，中国将给予130多个成员国无</w:t>
      </w:r>
      <w:r>
        <w:rPr>
          <w:rFonts w:hint="default" w:ascii="Times New Roman" w:hAnsi="Times New Roman" w:eastAsia="宋体" w:cs="Times New Roman"/>
          <w:spacing w:val="13"/>
          <w:szCs w:val="21"/>
        </w:rPr>
        <w:t>条件和稳定的最惠国待遇，国</w:t>
      </w:r>
      <w:r>
        <w:rPr>
          <w:rFonts w:hint="default" w:ascii="Times New Roman" w:hAnsi="Times New Roman" w:eastAsia="宋体" w:cs="Times New Roman"/>
          <w:spacing w:val="12"/>
          <w:szCs w:val="21"/>
        </w:rPr>
        <w:t>内</w:t>
      </w:r>
      <w:r>
        <w:rPr>
          <w:rFonts w:hint="default" w:ascii="Times New Roman" w:hAnsi="Times New Roman" w:eastAsia="宋体" w:cs="Times New Roman"/>
          <w:spacing w:val="13"/>
          <w:szCs w:val="21"/>
        </w:rPr>
        <w:t>市场进一步开放，更多国家更</w:t>
      </w:r>
      <w:r>
        <w:rPr>
          <w:rFonts w:hint="default" w:ascii="Times New Roman" w:hAnsi="Times New Roman" w:eastAsia="宋体" w:cs="Times New Roman"/>
          <w:spacing w:val="12"/>
          <w:szCs w:val="21"/>
        </w:rPr>
        <w:t>多</w:t>
      </w:r>
      <w:r>
        <w:rPr>
          <w:rFonts w:hint="default" w:ascii="Times New Roman" w:hAnsi="Times New Roman" w:eastAsia="宋体" w:cs="Times New Roman"/>
          <w:spacing w:val="29"/>
          <w:szCs w:val="21"/>
        </w:rPr>
        <w:t>的</w:t>
      </w:r>
      <w:r>
        <w:rPr>
          <w:rFonts w:hint="default" w:ascii="Times New Roman" w:hAnsi="Times New Roman" w:eastAsia="宋体" w:cs="Times New Roman"/>
          <w:spacing w:val="20"/>
          <w:szCs w:val="21"/>
        </w:rPr>
        <w:t>消费品和服务可以进入中国市</w:t>
      </w:r>
      <w:r>
        <w:rPr>
          <w:rFonts w:hint="default" w:ascii="Times New Roman" w:hAnsi="Times New Roman" w:eastAsia="宋体" w:cs="Times New Roman"/>
          <w:spacing w:val="13"/>
          <w:szCs w:val="21"/>
        </w:rPr>
        <w:t>场，国内消费者将获得更多的</w:t>
      </w:r>
      <w:r>
        <w:rPr>
          <w:rFonts w:hint="default" w:ascii="Times New Roman" w:hAnsi="Times New Roman" w:eastAsia="宋体" w:cs="Times New Roman"/>
          <w:spacing w:val="12"/>
          <w:szCs w:val="21"/>
        </w:rPr>
        <w:t>消</w:t>
      </w:r>
      <w:r>
        <w:rPr>
          <w:rFonts w:hint="default" w:ascii="Times New Roman" w:hAnsi="Times New Roman" w:eastAsia="宋体" w:cs="Times New Roman"/>
          <w:spacing w:val="13"/>
          <w:szCs w:val="21"/>
        </w:rPr>
        <w:t>费选择权，可供消费者选择的</w:t>
      </w:r>
      <w:r>
        <w:rPr>
          <w:rFonts w:hint="default" w:ascii="Times New Roman" w:hAnsi="Times New Roman" w:eastAsia="宋体" w:cs="Times New Roman"/>
          <w:spacing w:val="12"/>
          <w:szCs w:val="21"/>
        </w:rPr>
        <w:t>产</w:t>
      </w:r>
      <w:r>
        <w:rPr>
          <w:rFonts w:hint="default" w:ascii="Times New Roman" w:hAnsi="Times New Roman" w:eastAsia="宋体" w:cs="Times New Roman"/>
          <w:spacing w:val="13"/>
          <w:szCs w:val="21"/>
        </w:rPr>
        <w:t>品种类必然更加丰富。多元化</w:t>
      </w:r>
      <w:r>
        <w:rPr>
          <w:rFonts w:hint="default" w:ascii="Times New Roman" w:hAnsi="Times New Roman" w:eastAsia="宋体" w:cs="Times New Roman"/>
          <w:spacing w:val="12"/>
          <w:szCs w:val="21"/>
        </w:rPr>
        <w:t>的</w:t>
      </w:r>
      <w:r>
        <w:rPr>
          <w:rFonts w:hint="default" w:ascii="Times New Roman" w:hAnsi="Times New Roman" w:eastAsia="宋体" w:cs="Times New Roman"/>
          <w:spacing w:val="29"/>
          <w:szCs w:val="21"/>
        </w:rPr>
        <w:t>产</w:t>
      </w:r>
      <w:r>
        <w:rPr>
          <w:rFonts w:hint="default" w:ascii="Times New Roman" w:hAnsi="Times New Roman" w:eastAsia="宋体" w:cs="Times New Roman"/>
          <w:spacing w:val="20"/>
          <w:szCs w:val="21"/>
        </w:rPr>
        <w:t>品首先使中高收入群体中一部</w:t>
      </w:r>
      <w:r>
        <w:rPr>
          <w:rFonts w:hint="default" w:ascii="Times New Roman" w:hAnsi="Times New Roman" w:eastAsia="宋体" w:cs="Times New Roman"/>
          <w:spacing w:val="29"/>
          <w:szCs w:val="21"/>
        </w:rPr>
        <w:t>分</w:t>
      </w:r>
      <w:r>
        <w:rPr>
          <w:rFonts w:hint="default" w:ascii="Times New Roman" w:hAnsi="Times New Roman" w:eastAsia="宋体" w:cs="Times New Roman"/>
          <w:spacing w:val="20"/>
          <w:szCs w:val="21"/>
        </w:rPr>
        <w:t>国内无法解决的高档消费需求</w:t>
      </w:r>
      <w:r>
        <w:rPr>
          <w:rFonts w:hint="default" w:ascii="Times New Roman" w:hAnsi="Times New Roman" w:eastAsia="宋体" w:cs="Times New Roman"/>
          <w:spacing w:val="13"/>
          <w:szCs w:val="21"/>
        </w:rPr>
        <w:t>得到满足。最典型的例子是进</w:t>
      </w:r>
      <w:r>
        <w:rPr>
          <w:rFonts w:hint="default" w:ascii="Times New Roman" w:hAnsi="Times New Roman" w:eastAsia="宋体" w:cs="Times New Roman"/>
          <w:spacing w:val="12"/>
          <w:szCs w:val="21"/>
        </w:rPr>
        <w:t>口</w:t>
      </w:r>
      <w:r>
        <w:rPr>
          <w:rFonts w:hint="default" w:ascii="Times New Roman" w:hAnsi="Times New Roman" w:eastAsia="宋体" w:cs="Times New Roman"/>
          <w:spacing w:val="1"/>
          <w:szCs w:val="21"/>
        </w:rPr>
        <w:t>轿车。按照中美协议，中国汽</w:t>
      </w:r>
      <w:r>
        <w:rPr>
          <w:rFonts w:hint="default" w:ascii="Times New Roman" w:hAnsi="Times New Roman" w:eastAsia="宋体" w:cs="Times New Roman"/>
          <w:szCs w:val="21"/>
        </w:rPr>
        <w:t>车进</w:t>
      </w:r>
      <w:r>
        <w:rPr>
          <w:rFonts w:hint="default" w:ascii="Times New Roman" w:hAnsi="Times New Roman" w:eastAsia="宋体" w:cs="Times New Roman"/>
          <w:spacing w:val="7"/>
          <w:szCs w:val="21"/>
        </w:rPr>
        <w:t>口</w:t>
      </w:r>
      <w:r>
        <w:rPr>
          <w:rFonts w:hint="default" w:ascii="Times New Roman" w:hAnsi="Times New Roman" w:eastAsia="宋体" w:cs="Times New Roman"/>
          <w:spacing w:val="6"/>
          <w:szCs w:val="21"/>
        </w:rPr>
        <w:t>关税是迟到2006年，要从目前</w:t>
      </w:r>
      <w:r>
        <w:rPr>
          <w:rFonts w:hint="default" w:ascii="Times New Roman" w:hAnsi="Times New Roman" w:eastAsia="宋体" w:cs="Times New Roman"/>
          <w:spacing w:val="1"/>
          <w:szCs w:val="21"/>
        </w:rPr>
        <w:t>的80%—100%下</w:t>
      </w:r>
      <w:r>
        <w:rPr>
          <w:rFonts w:hint="default" w:ascii="Times New Roman" w:hAnsi="Times New Roman" w:eastAsia="宋体" w:cs="Times New Roman"/>
          <w:szCs w:val="21"/>
        </w:rPr>
        <w:t>降到25%，零部</w:t>
      </w:r>
      <w:r>
        <w:rPr>
          <w:rFonts w:hint="default" w:ascii="Times New Roman" w:hAnsi="Times New Roman" w:eastAsia="宋体" w:cs="Times New Roman"/>
          <w:spacing w:val="22"/>
          <w:szCs w:val="21"/>
        </w:rPr>
        <w:t>件</w:t>
      </w:r>
      <w:r>
        <w:rPr>
          <w:rFonts w:hint="default" w:ascii="Times New Roman" w:hAnsi="Times New Roman" w:eastAsia="宋体" w:cs="Times New Roman"/>
          <w:spacing w:val="12"/>
          <w:szCs w:val="21"/>
        </w:rPr>
        <w:t>则</w:t>
      </w:r>
      <w:r>
        <w:rPr>
          <w:rFonts w:hint="default" w:ascii="Times New Roman" w:hAnsi="Times New Roman" w:eastAsia="宋体" w:cs="Times New Roman"/>
          <w:spacing w:val="11"/>
          <w:szCs w:val="21"/>
        </w:rPr>
        <w:t>降至10%。这对于心仪已久</w:t>
      </w:r>
      <w:r>
        <w:rPr>
          <w:rFonts w:hint="default" w:ascii="Times New Roman" w:hAnsi="Times New Roman" w:eastAsia="宋体" w:cs="Times New Roman"/>
          <w:spacing w:val="29"/>
          <w:szCs w:val="21"/>
        </w:rPr>
        <w:t>的</w:t>
      </w:r>
      <w:r>
        <w:rPr>
          <w:rFonts w:hint="default" w:ascii="Times New Roman" w:hAnsi="Times New Roman" w:eastAsia="宋体" w:cs="Times New Roman"/>
          <w:spacing w:val="20"/>
          <w:szCs w:val="21"/>
        </w:rPr>
        <w:t>中高阶层消费者来说无疑是一</w:t>
      </w:r>
      <w:r>
        <w:rPr>
          <w:rFonts w:hint="default" w:ascii="Times New Roman" w:hAnsi="Times New Roman" w:eastAsia="宋体" w:cs="Times New Roman"/>
          <w:spacing w:val="13"/>
          <w:szCs w:val="21"/>
        </w:rPr>
        <w:t>大福音。随着进口轿车的大幅</w:t>
      </w:r>
      <w:r>
        <w:rPr>
          <w:rFonts w:hint="default" w:ascii="Times New Roman" w:hAnsi="Times New Roman" w:eastAsia="宋体" w:cs="Times New Roman"/>
          <w:spacing w:val="12"/>
          <w:szCs w:val="21"/>
        </w:rPr>
        <w:t>度</w:t>
      </w:r>
      <w:r>
        <w:rPr>
          <w:rFonts w:hint="default" w:ascii="Times New Roman" w:hAnsi="Times New Roman" w:eastAsia="宋体" w:cs="Times New Roman"/>
          <w:spacing w:val="1"/>
          <w:szCs w:val="21"/>
        </w:rPr>
        <w:t>降价，国产轿车也被迫降价。</w:t>
      </w:r>
      <w:r>
        <w:rPr>
          <w:rFonts w:hint="default" w:ascii="Times New Roman" w:hAnsi="Times New Roman" w:eastAsia="宋体" w:cs="Times New Roman"/>
          <w:szCs w:val="21"/>
        </w:rPr>
        <w:t>这种</w:t>
      </w:r>
      <w:r>
        <w:rPr>
          <w:rFonts w:hint="default" w:ascii="Times New Roman" w:hAnsi="Times New Roman" w:eastAsia="宋体" w:cs="Times New Roman"/>
          <w:spacing w:val="29"/>
          <w:szCs w:val="21"/>
        </w:rPr>
        <w:t>连</w:t>
      </w:r>
      <w:r>
        <w:rPr>
          <w:rFonts w:hint="default" w:ascii="Times New Roman" w:hAnsi="Times New Roman" w:eastAsia="宋体" w:cs="Times New Roman"/>
          <w:spacing w:val="20"/>
          <w:szCs w:val="21"/>
        </w:rPr>
        <w:t>锁降价效应同样也会出现在其</w:t>
      </w:r>
      <w:r>
        <w:rPr>
          <w:rFonts w:hint="default" w:ascii="Times New Roman" w:hAnsi="Times New Roman" w:eastAsia="宋体" w:cs="Times New Roman"/>
          <w:spacing w:val="11"/>
          <w:szCs w:val="21"/>
        </w:rPr>
        <w:t>他</w:t>
      </w:r>
      <w:r>
        <w:rPr>
          <w:rFonts w:hint="default" w:ascii="Times New Roman" w:hAnsi="Times New Roman" w:eastAsia="宋体" w:cs="Times New Roman"/>
          <w:spacing w:val="7"/>
          <w:szCs w:val="21"/>
        </w:rPr>
        <w:t>消费品上。即使是在金融、电信</w:t>
      </w:r>
      <w:r>
        <w:rPr>
          <w:rFonts w:hint="default" w:ascii="Times New Roman" w:hAnsi="Times New Roman" w:eastAsia="宋体" w:cs="Times New Roman"/>
          <w:spacing w:val="13"/>
          <w:szCs w:val="21"/>
        </w:rPr>
        <w:t>等国家垄断的服务行业，也会</w:t>
      </w:r>
      <w:r>
        <w:rPr>
          <w:rFonts w:hint="default" w:ascii="Times New Roman" w:hAnsi="Times New Roman" w:eastAsia="宋体" w:cs="Times New Roman"/>
          <w:spacing w:val="12"/>
          <w:szCs w:val="21"/>
        </w:rPr>
        <w:t>由</w:t>
      </w:r>
      <w:r>
        <w:rPr>
          <w:rFonts w:hint="default" w:ascii="Times New Roman" w:hAnsi="Times New Roman" w:eastAsia="宋体" w:cs="Times New Roman"/>
          <w:spacing w:val="22"/>
          <w:szCs w:val="21"/>
        </w:rPr>
        <w:t>于</w:t>
      </w:r>
      <w:r>
        <w:rPr>
          <w:rFonts w:hint="default" w:ascii="Times New Roman" w:hAnsi="Times New Roman" w:eastAsia="宋体" w:cs="Times New Roman"/>
          <w:spacing w:val="12"/>
          <w:szCs w:val="21"/>
        </w:rPr>
        <w:t>外资的介入，而不得不加大改</w:t>
      </w:r>
      <w:r>
        <w:rPr>
          <w:rFonts w:hint="default" w:ascii="Times New Roman" w:hAnsi="Times New Roman" w:eastAsia="宋体" w:cs="Times New Roman"/>
          <w:spacing w:val="-8"/>
          <w:szCs w:val="21"/>
        </w:rPr>
        <w:t>革</w:t>
      </w:r>
      <w:r>
        <w:rPr>
          <w:rFonts w:hint="default" w:ascii="Times New Roman" w:hAnsi="Times New Roman" w:eastAsia="宋体" w:cs="Times New Roman"/>
          <w:spacing w:val="-5"/>
          <w:szCs w:val="21"/>
        </w:rPr>
        <w:t>力</w:t>
      </w:r>
      <w:r>
        <w:rPr>
          <w:rFonts w:hint="default" w:ascii="Times New Roman" w:hAnsi="Times New Roman" w:eastAsia="宋体" w:cs="Times New Roman"/>
          <w:spacing w:val="-4"/>
          <w:szCs w:val="21"/>
        </w:rPr>
        <w:t>度，降低成本，更好的为顾客</w:t>
      </w:r>
      <w:r>
        <w:rPr>
          <w:rFonts w:hint="default" w:ascii="Times New Roman" w:hAnsi="Times New Roman" w:eastAsia="宋体" w:cs="Times New Roman"/>
          <w:spacing w:val="2"/>
          <w:szCs w:val="21"/>
        </w:rPr>
        <w:t>服务。从长期</w:t>
      </w:r>
      <w:r>
        <w:rPr>
          <w:rFonts w:hint="default" w:ascii="Times New Roman" w:hAnsi="Times New Roman" w:eastAsia="宋体" w:cs="Times New Roman"/>
          <w:spacing w:val="1"/>
          <w:szCs w:val="21"/>
        </w:rPr>
        <w:t>来看，其效应必将导</w:t>
      </w:r>
      <w:r>
        <w:rPr>
          <w:rFonts w:hint="default" w:ascii="Times New Roman" w:hAnsi="Times New Roman" w:eastAsia="宋体" w:cs="Times New Roman"/>
          <w:spacing w:val="14"/>
          <w:szCs w:val="21"/>
        </w:rPr>
        <w:t>致</w:t>
      </w:r>
      <w:r>
        <w:rPr>
          <w:rFonts w:hint="default" w:ascii="Times New Roman" w:hAnsi="Times New Roman" w:eastAsia="宋体" w:cs="Times New Roman"/>
          <w:spacing w:val="13"/>
          <w:szCs w:val="21"/>
        </w:rPr>
        <w:t>整个社会平均消费水平的提高。</w:t>
      </w:r>
    </w:p>
    <w:p w14:paraId="0D87A34B">
      <w:pPr>
        <w:spacing w:line="400" w:lineRule="exact"/>
        <w:ind w:firstLine="508" w:firstLineChars="200"/>
        <w:rPr>
          <w:rFonts w:hint="default" w:ascii="Times New Roman" w:hAnsi="Times New Roman" w:eastAsia="宋体" w:cs="Times New Roman"/>
          <w:b/>
          <w:bCs/>
        </w:rPr>
      </w:pPr>
      <w:r>
        <w:rPr>
          <w:rFonts w:hint="default" w:ascii="Times New Roman" w:hAnsi="Times New Roman" w:eastAsia="宋体" w:cs="Times New Roman"/>
          <w:b/>
          <w:bCs/>
          <w:spacing w:val="22"/>
          <w:szCs w:val="21"/>
        </w:rPr>
        <w:t>2</w:t>
      </w:r>
      <w:r>
        <w:rPr>
          <w:rFonts w:hint="default" w:ascii="Times New Roman" w:hAnsi="Times New Roman" w:eastAsia="宋体" w:cs="Times New Roman"/>
          <w:b/>
          <w:bCs/>
          <w:spacing w:val="20"/>
          <w:szCs w:val="21"/>
        </w:rPr>
        <w:t>.入世有助于提升我国居民</w:t>
      </w:r>
      <w:r>
        <w:rPr>
          <w:rFonts w:hint="default" w:ascii="Times New Roman" w:hAnsi="Times New Roman" w:eastAsia="宋体" w:cs="Times New Roman"/>
          <w:b/>
          <w:bCs/>
          <w:spacing w:val="10"/>
          <w:szCs w:val="21"/>
        </w:rPr>
        <w:t>的消费结构。</w:t>
      </w:r>
    </w:p>
    <w:p w14:paraId="0DC659F3">
      <w:pPr>
        <w:spacing w:line="400" w:lineRule="exact"/>
        <w:ind w:firstLine="504" w:firstLineChars="200"/>
        <w:rPr>
          <w:rFonts w:hint="default" w:ascii="Times New Roman" w:hAnsi="Times New Roman" w:eastAsia="宋体" w:cs="Times New Roman"/>
        </w:rPr>
      </w:pPr>
      <w:r>
        <w:rPr>
          <w:rFonts w:hint="default" w:ascii="Times New Roman" w:hAnsi="Times New Roman" w:eastAsia="宋体" w:cs="Times New Roman"/>
          <w:spacing w:val="21"/>
          <w:szCs w:val="21"/>
        </w:rPr>
        <w:t>消</w:t>
      </w:r>
      <w:r>
        <w:rPr>
          <w:rFonts w:hint="default" w:ascii="Times New Roman" w:hAnsi="Times New Roman" w:eastAsia="宋体" w:cs="Times New Roman"/>
          <w:spacing w:val="20"/>
          <w:szCs w:val="21"/>
        </w:rPr>
        <w:t>费结构是指在一定的社会</w:t>
      </w:r>
      <w:r>
        <w:rPr>
          <w:rFonts w:hint="default" w:ascii="Times New Roman" w:hAnsi="Times New Roman" w:eastAsia="宋体" w:cs="Times New Roman"/>
          <w:spacing w:val="16"/>
          <w:szCs w:val="21"/>
        </w:rPr>
        <w:t>经</w:t>
      </w:r>
      <w:r>
        <w:rPr>
          <w:rFonts w:hint="default" w:ascii="Times New Roman" w:hAnsi="Times New Roman" w:eastAsia="宋体" w:cs="Times New Roman"/>
          <w:spacing w:val="14"/>
          <w:szCs w:val="21"/>
        </w:rPr>
        <w:t>济条件下，人们在消费过程中</w:t>
      </w:r>
      <w:r>
        <w:rPr>
          <w:rFonts w:hint="default" w:ascii="Times New Roman" w:hAnsi="Times New Roman" w:eastAsia="宋体" w:cs="Times New Roman"/>
          <w:spacing w:val="22"/>
          <w:szCs w:val="21"/>
        </w:rPr>
        <w:t>所</w:t>
      </w:r>
      <w:r>
        <w:rPr>
          <w:rFonts w:hint="default" w:ascii="Times New Roman" w:hAnsi="Times New Roman" w:eastAsia="宋体" w:cs="Times New Roman"/>
          <w:spacing w:val="13"/>
          <w:szCs w:val="21"/>
        </w:rPr>
        <w:t>消费的不同类型的消费资料(包</w:t>
      </w:r>
      <w:r>
        <w:rPr>
          <w:rFonts w:hint="default" w:ascii="Times New Roman" w:hAnsi="Times New Roman" w:eastAsia="宋体" w:cs="Times New Roman"/>
          <w:spacing w:val="18"/>
          <w:szCs w:val="21"/>
        </w:rPr>
        <w:t>括</w:t>
      </w:r>
      <w:r>
        <w:rPr>
          <w:rFonts w:hint="default" w:ascii="Times New Roman" w:hAnsi="Times New Roman" w:eastAsia="宋体" w:cs="Times New Roman"/>
          <w:spacing w:val="14"/>
          <w:szCs w:val="21"/>
        </w:rPr>
        <w:t>劳务)的比例。消费结构的层次</w:t>
      </w:r>
      <w:r>
        <w:rPr>
          <w:rFonts w:hint="default" w:ascii="Times New Roman" w:hAnsi="Times New Roman" w:eastAsia="宋体" w:cs="Times New Roman"/>
          <w:spacing w:val="35"/>
          <w:szCs w:val="21"/>
        </w:rPr>
        <w:t>性</w:t>
      </w:r>
      <w:r>
        <w:rPr>
          <w:rFonts w:hint="default" w:ascii="Times New Roman" w:hAnsi="Times New Roman" w:eastAsia="宋体" w:cs="Times New Roman"/>
          <w:spacing w:val="26"/>
          <w:szCs w:val="21"/>
        </w:rPr>
        <w:t>与人们的收入结构紧密联系。</w:t>
      </w:r>
      <w:r>
        <w:rPr>
          <w:rFonts w:hint="default" w:ascii="Times New Roman" w:hAnsi="Times New Roman" w:eastAsia="宋体" w:cs="Times New Roman"/>
          <w:spacing w:val="19"/>
          <w:szCs w:val="21"/>
        </w:rPr>
        <w:t>进</w:t>
      </w:r>
      <w:r>
        <w:rPr>
          <w:rFonts w:hint="default" w:ascii="Times New Roman" w:hAnsi="Times New Roman" w:eastAsia="宋体" w:cs="Times New Roman"/>
          <w:spacing w:val="13"/>
          <w:szCs w:val="21"/>
        </w:rPr>
        <w:t>入90年代以来，随着人们收入</w:t>
      </w:r>
      <w:r>
        <w:rPr>
          <w:rFonts w:hint="default" w:ascii="Times New Roman" w:hAnsi="Times New Roman" w:eastAsia="宋体" w:cs="Times New Roman"/>
          <w:spacing w:val="16"/>
          <w:szCs w:val="21"/>
        </w:rPr>
        <w:t>水</w:t>
      </w:r>
      <w:r>
        <w:rPr>
          <w:rFonts w:hint="default" w:ascii="Times New Roman" w:hAnsi="Times New Roman" w:eastAsia="宋体" w:cs="Times New Roman"/>
          <w:spacing w:val="14"/>
          <w:szCs w:val="21"/>
        </w:rPr>
        <w:t>平的提高，我国居民消费结构</w:t>
      </w:r>
      <w:r>
        <w:rPr>
          <w:rFonts w:hint="default" w:ascii="Times New Roman" w:hAnsi="Times New Roman" w:eastAsia="宋体" w:cs="Times New Roman"/>
          <w:spacing w:val="22"/>
          <w:szCs w:val="21"/>
        </w:rPr>
        <w:t>发</w:t>
      </w:r>
      <w:r>
        <w:rPr>
          <w:rFonts w:hint="default" w:ascii="Times New Roman" w:hAnsi="Times New Roman" w:eastAsia="宋体" w:cs="Times New Roman"/>
          <w:spacing w:val="13"/>
          <w:szCs w:val="21"/>
        </w:rPr>
        <w:t>生了相应的变化，主要表现为</w:t>
      </w:r>
      <w:r>
        <w:rPr>
          <w:rFonts w:hint="default" w:ascii="Times New Roman" w:hAnsi="Times New Roman" w:eastAsia="宋体" w:cs="Times New Roman"/>
          <w:spacing w:val="22"/>
          <w:szCs w:val="21"/>
        </w:rPr>
        <w:t>生</w:t>
      </w:r>
      <w:r>
        <w:rPr>
          <w:rFonts w:hint="default" w:ascii="Times New Roman" w:hAnsi="Times New Roman" w:eastAsia="宋体" w:cs="Times New Roman"/>
          <w:spacing w:val="13"/>
          <w:szCs w:val="21"/>
        </w:rPr>
        <w:t>存资料消费的比重降低，享受</w:t>
      </w:r>
      <w:r>
        <w:rPr>
          <w:rFonts w:hint="default" w:ascii="Times New Roman" w:hAnsi="Times New Roman" w:eastAsia="宋体" w:cs="Times New Roman"/>
          <w:spacing w:val="14"/>
          <w:szCs w:val="21"/>
        </w:rPr>
        <w:t>资</w:t>
      </w:r>
      <w:r>
        <w:rPr>
          <w:rFonts w:hint="default" w:ascii="Times New Roman" w:hAnsi="Times New Roman" w:eastAsia="宋体" w:cs="Times New Roman"/>
          <w:spacing w:val="12"/>
          <w:szCs w:val="21"/>
        </w:rPr>
        <w:t>料和发展资料消费的比重提高，</w:t>
      </w:r>
      <w:r>
        <w:rPr>
          <w:rFonts w:hint="default" w:ascii="Times New Roman" w:hAnsi="Times New Roman" w:eastAsia="宋体" w:cs="Times New Roman"/>
          <w:spacing w:val="26"/>
          <w:szCs w:val="21"/>
        </w:rPr>
        <w:t>但</w:t>
      </w:r>
      <w:r>
        <w:rPr>
          <w:rFonts w:hint="default" w:ascii="Times New Roman" w:hAnsi="Times New Roman" w:eastAsia="宋体" w:cs="Times New Roman"/>
          <w:spacing w:val="21"/>
          <w:szCs w:val="21"/>
        </w:rPr>
        <w:t>国内市场供给却没有完全适应这</w:t>
      </w:r>
      <w:r>
        <w:rPr>
          <w:rFonts w:hint="default" w:ascii="Times New Roman" w:hAnsi="Times New Roman" w:eastAsia="宋体" w:cs="Times New Roman"/>
          <w:spacing w:val="13"/>
          <w:szCs w:val="21"/>
        </w:rPr>
        <w:t>一变化，使我国现阶段的买方</w:t>
      </w:r>
      <w:r>
        <w:rPr>
          <w:rFonts w:hint="default" w:ascii="Times New Roman" w:hAnsi="Times New Roman" w:eastAsia="宋体" w:cs="Times New Roman"/>
          <w:spacing w:val="22"/>
          <w:szCs w:val="21"/>
        </w:rPr>
        <w:t>市</w:t>
      </w:r>
      <w:r>
        <w:rPr>
          <w:rFonts w:hint="default" w:ascii="Times New Roman" w:hAnsi="Times New Roman" w:eastAsia="宋体" w:cs="Times New Roman"/>
          <w:spacing w:val="13"/>
          <w:szCs w:val="21"/>
        </w:rPr>
        <w:t>场带有明显的结构性特征，主</w:t>
      </w:r>
      <w:r>
        <w:rPr>
          <w:rFonts w:hint="default" w:ascii="Times New Roman" w:hAnsi="Times New Roman" w:eastAsia="宋体" w:cs="Times New Roman"/>
          <w:spacing w:val="26"/>
          <w:szCs w:val="21"/>
        </w:rPr>
        <w:t>要</w:t>
      </w:r>
      <w:r>
        <w:rPr>
          <w:rFonts w:hint="default" w:ascii="Times New Roman" w:hAnsi="Times New Roman" w:eastAsia="宋体" w:cs="Times New Roman"/>
          <w:spacing w:val="21"/>
          <w:szCs w:val="21"/>
        </w:rPr>
        <w:t>表现为商品的供给未能适应具</w:t>
      </w:r>
      <w:r>
        <w:rPr>
          <w:rFonts w:hint="default" w:ascii="Times New Roman" w:hAnsi="Times New Roman" w:eastAsia="宋体" w:cs="Times New Roman"/>
          <w:spacing w:val="26"/>
          <w:szCs w:val="21"/>
        </w:rPr>
        <w:t>有</w:t>
      </w:r>
      <w:r>
        <w:rPr>
          <w:rFonts w:hint="default" w:ascii="Times New Roman" w:hAnsi="Times New Roman" w:eastAsia="宋体" w:cs="Times New Roman"/>
          <w:spacing w:val="21"/>
          <w:szCs w:val="21"/>
        </w:rPr>
        <w:t>不同收入水平和富裕程度以及</w:t>
      </w:r>
      <w:r>
        <w:rPr>
          <w:rFonts w:hint="default" w:ascii="Times New Roman" w:hAnsi="Times New Roman" w:eastAsia="宋体" w:cs="Times New Roman"/>
          <w:spacing w:val="22"/>
          <w:szCs w:val="21"/>
        </w:rPr>
        <w:t>特</w:t>
      </w:r>
      <w:r>
        <w:rPr>
          <w:rFonts w:hint="default" w:ascii="Times New Roman" w:hAnsi="Times New Roman" w:eastAsia="宋体" w:cs="Times New Roman"/>
          <w:spacing w:val="13"/>
          <w:szCs w:val="21"/>
        </w:rPr>
        <w:t>殊要求的消费者的需要。加入</w:t>
      </w:r>
      <w:r>
        <w:rPr>
          <w:rFonts w:hint="default" w:ascii="Times New Roman" w:hAnsi="Times New Roman" w:eastAsia="宋体" w:cs="Times New Roman"/>
          <w:spacing w:val="26"/>
          <w:szCs w:val="21"/>
        </w:rPr>
        <w:t>世</w:t>
      </w:r>
      <w:r>
        <w:rPr>
          <w:rFonts w:hint="default" w:ascii="Times New Roman" w:hAnsi="Times New Roman" w:eastAsia="宋体" w:cs="Times New Roman"/>
          <w:spacing w:val="21"/>
          <w:szCs w:val="21"/>
        </w:rPr>
        <w:t>贸组织将直接或间接加快消费</w:t>
      </w:r>
      <w:r>
        <w:rPr>
          <w:rFonts w:hint="default" w:ascii="Times New Roman" w:hAnsi="Times New Roman" w:eastAsia="宋体" w:cs="Times New Roman"/>
          <w:spacing w:val="13"/>
          <w:szCs w:val="21"/>
        </w:rPr>
        <w:t>结</w:t>
      </w:r>
      <w:r>
        <w:rPr>
          <w:rFonts w:hint="default" w:ascii="Times New Roman" w:hAnsi="Times New Roman" w:eastAsia="宋体" w:cs="Times New Roman"/>
          <w:spacing w:val="11"/>
          <w:szCs w:val="21"/>
        </w:rPr>
        <w:t>构的层次性上升。具体表现在，</w:t>
      </w:r>
      <w:r>
        <w:rPr>
          <w:rFonts w:hint="default" w:ascii="Times New Roman" w:hAnsi="Times New Roman" w:eastAsia="宋体" w:cs="Times New Roman"/>
          <w:spacing w:val="26"/>
          <w:szCs w:val="21"/>
        </w:rPr>
        <w:t>农</w:t>
      </w:r>
      <w:r>
        <w:rPr>
          <w:rFonts w:hint="default" w:ascii="Times New Roman" w:hAnsi="Times New Roman" w:eastAsia="宋体" w:cs="Times New Roman"/>
          <w:spacing w:val="21"/>
          <w:szCs w:val="21"/>
        </w:rPr>
        <w:t>业部门的开放将刺激农产品加</w:t>
      </w:r>
      <w:r>
        <w:rPr>
          <w:rFonts w:hint="default" w:ascii="Times New Roman" w:hAnsi="Times New Roman" w:eastAsia="宋体" w:cs="Times New Roman"/>
          <w:spacing w:val="22"/>
          <w:szCs w:val="21"/>
        </w:rPr>
        <w:t>工</w:t>
      </w:r>
      <w:r>
        <w:rPr>
          <w:rFonts w:hint="default" w:ascii="Times New Roman" w:hAnsi="Times New Roman" w:eastAsia="宋体" w:cs="Times New Roman"/>
          <w:spacing w:val="13"/>
          <w:szCs w:val="21"/>
        </w:rPr>
        <w:t>业劳动生产率的提高，降低生</w:t>
      </w:r>
      <w:r>
        <w:rPr>
          <w:rFonts w:hint="default" w:ascii="Times New Roman" w:hAnsi="Times New Roman" w:eastAsia="宋体" w:cs="Times New Roman"/>
          <w:spacing w:val="22"/>
          <w:szCs w:val="21"/>
        </w:rPr>
        <w:t>存</w:t>
      </w:r>
      <w:r>
        <w:rPr>
          <w:rFonts w:hint="default" w:ascii="Times New Roman" w:hAnsi="Times New Roman" w:eastAsia="宋体" w:cs="Times New Roman"/>
          <w:spacing w:val="13"/>
          <w:szCs w:val="21"/>
        </w:rPr>
        <w:t>资料的价格水平，从而减少人</w:t>
      </w:r>
      <w:r>
        <w:rPr>
          <w:rFonts w:hint="default" w:ascii="Times New Roman" w:hAnsi="Times New Roman" w:eastAsia="宋体" w:cs="Times New Roman"/>
          <w:spacing w:val="-7"/>
          <w:szCs w:val="21"/>
        </w:rPr>
        <w:t>们</w:t>
      </w:r>
      <w:r>
        <w:rPr>
          <w:rFonts w:hint="default" w:ascii="Times New Roman" w:hAnsi="Times New Roman" w:eastAsia="宋体" w:cs="Times New Roman"/>
          <w:spacing w:val="-4"/>
          <w:szCs w:val="21"/>
        </w:rPr>
        <w:t>在生存资料上的消费。同时，由</w:t>
      </w:r>
      <w:r>
        <w:rPr>
          <w:rFonts w:hint="default" w:ascii="Times New Roman" w:hAnsi="Times New Roman" w:eastAsia="宋体" w:cs="Times New Roman"/>
          <w:spacing w:val="8"/>
          <w:szCs w:val="21"/>
        </w:rPr>
        <w:t>于国外计算机、轿车、通讯设备</w:t>
      </w:r>
      <w:r>
        <w:rPr>
          <w:rFonts w:hint="default" w:ascii="Times New Roman" w:hAnsi="Times New Roman" w:eastAsia="宋体" w:cs="Times New Roman"/>
          <w:spacing w:val="7"/>
          <w:szCs w:val="21"/>
        </w:rPr>
        <w:t>等</w:t>
      </w:r>
      <w:r>
        <w:rPr>
          <w:rFonts w:hint="default" w:ascii="Times New Roman" w:hAnsi="Times New Roman" w:eastAsia="宋体" w:cs="Times New Roman"/>
          <w:spacing w:val="26"/>
          <w:szCs w:val="21"/>
        </w:rPr>
        <w:t>工</w:t>
      </w:r>
      <w:r>
        <w:rPr>
          <w:rFonts w:hint="default" w:ascii="Times New Roman" w:hAnsi="Times New Roman" w:eastAsia="宋体" w:cs="Times New Roman"/>
          <w:spacing w:val="21"/>
          <w:szCs w:val="21"/>
        </w:rPr>
        <w:t>业制成品以及外资银行和保险</w:t>
      </w:r>
      <w:r>
        <w:rPr>
          <w:rFonts w:hint="default" w:ascii="Times New Roman" w:hAnsi="Times New Roman" w:eastAsia="宋体" w:cs="Times New Roman"/>
          <w:spacing w:val="26"/>
          <w:szCs w:val="21"/>
        </w:rPr>
        <w:t>公</w:t>
      </w:r>
      <w:r>
        <w:rPr>
          <w:rFonts w:hint="default" w:ascii="Times New Roman" w:hAnsi="Times New Roman" w:eastAsia="宋体" w:cs="Times New Roman"/>
          <w:spacing w:val="21"/>
          <w:szCs w:val="21"/>
        </w:rPr>
        <w:t>司等服务行业更多的渗透到国</w:t>
      </w:r>
      <w:r>
        <w:rPr>
          <w:rFonts w:hint="default" w:ascii="Times New Roman" w:hAnsi="Times New Roman" w:eastAsia="宋体" w:cs="Times New Roman"/>
          <w:spacing w:val="22"/>
          <w:szCs w:val="21"/>
        </w:rPr>
        <w:t>内</w:t>
      </w:r>
      <w:r>
        <w:rPr>
          <w:rFonts w:hint="default" w:ascii="Times New Roman" w:hAnsi="Times New Roman" w:eastAsia="宋体" w:cs="Times New Roman"/>
          <w:spacing w:val="13"/>
          <w:szCs w:val="21"/>
        </w:rPr>
        <w:t>，必将导致国内居民在发展资料和享受资料方面(包括托夫勒</w:t>
      </w:r>
      <w:r>
        <w:rPr>
          <w:rFonts w:hint="default" w:ascii="Times New Roman" w:hAnsi="Times New Roman" w:eastAsia="宋体" w:cs="Times New Roman"/>
          <w:spacing w:val="10"/>
          <w:szCs w:val="21"/>
        </w:rPr>
        <w:t>所</w:t>
      </w:r>
      <w:r>
        <w:rPr>
          <w:rFonts w:hint="default" w:ascii="Times New Roman" w:hAnsi="Times New Roman" w:eastAsia="宋体" w:cs="Times New Roman"/>
          <w:spacing w:val="13"/>
          <w:szCs w:val="21"/>
        </w:rPr>
        <w:t>说的体验经济方面)消费支出的</w:t>
      </w:r>
      <w:r>
        <w:rPr>
          <w:rFonts w:hint="default" w:ascii="Times New Roman" w:hAnsi="Times New Roman" w:eastAsia="宋体" w:cs="Times New Roman"/>
          <w:spacing w:val="10"/>
          <w:szCs w:val="21"/>
        </w:rPr>
        <w:t>增</w:t>
      </w:r>
      <w:r>
        <w:rPr>
          <w:rFonts w:hint="default" w:ascii="Times New Roman" w:hAnsi="Times New Roman" w:eastAsia="宋体" w:cs="Times New Roman"/>
          <w:spacing w:val="8"/>
          <w:szCs w:val="21"/>
        </w:rPr>
        <w:t>加。由此，使得生存资料在消费</w:t>
      </w:r>
      <w:r>
        <w:rPr>
          <w:rFonts w:hint="default" w:ascii="Times New Roman" w:hAnsi="Times New Roman" w:eastAsia="宋体" w:cs="Times New Roman"/>
          <w:spacing w:val="7"/>
          <w:szCs w:val="21"/>
        </w:rPr>
        <w:t>资</w:t>
      </w:r>
      <w:r>
        <w:rPr>
          <w:rFonts w:hint="default" w:ascii="Times New Roman" w:hAnsi="Times New Roman" w:eastAsia="宋体" w:cs="Times New Roman"/>
          <w:spacing w:val="22"/>
          <w:szCs w:val="21"/>
        </w:rPr>
        <w:t>料</w:t>
      </w:r>
      <w:r>
        <w:rPr>
          <w:rFonts w:hint="default" w:ascii="Times New Roman" w:hAnsi="Times New Roman" w:eastAsia="宋体" w:cs="Times New Roman"/>
          <w:spacing w:val="13"/>
          <w:szCs w:val="21"/>
        </w:rPr>
        <w:t>中的比重下降，消费结构更加</w:t>
      </w:r>
      <w:r>
        <w:rPr>
          <w:rFonts w:hint="default" w:ascii="Times New Roman" w:hAnsi="Times New Roman" w:eastAsia="宋体" w:cs="Times New Roman"/>
          <w:spacing w:val="14"/>
          <w:szCs w:val="21"/>
        </w:rPr>
        <w:t>合</w:t>
      </w:r>
      <w:r>
        <w:rPr>
          <w:rFonts w:hint="default" w:ascii="Times New Roman" w:hAnsi="Times New Roman" w:eastAsia="宋体" w:cs="Times New Roman"/>
          <w:spacing w:val="13"/>
          <w:szCs w:val="21"/>
        </w:rPr>
        <w:t>理与高级。</w:t>
      </w:r>
    </w:p>
    <w:p w14:paraId="5028E492">
      <w:pPr>
        <w:spacing w:line="400" w:lineRule="exact"/>
        <w:ind w:firstLine="504" w:firstLineChars="200"/>
        <w:rPr>
          <w:rFonts w:hint="default" w:ascii="Times New Roman" w:hAnsi="Times New Roman" w:eastAsia="宋体" w:cs="Times New Roman"/>
          <w:b/>
          <w:bCs/>
        </w:rPr>
      </w:pPr>
      <w:r>
        <w:rPr>
          <w:rFonts w:hint="default" w:ascii="Times New Roman" w:hAnsi="Times New Roman" w:eastAsia="宋体" w:cs="Times New Roman"/>
          <w:b/>
          <w:bCs/>
          <w:spacing w:val="21"/>
          <w:szCs w:val="21"/>
        </w:rPr>
        <w:t>3</w:t>
      </w:r>
      <w:r>
        <w:rPr>
          <w:rFonts w:hint="default" w:ascii="Times New Roman" w:hAnsi="Times New Roman" w:eastAsia="宋体" w:cs="Times New Roman"/>
          <w:b/>
          <w:bCs/>
          <w:spacing w:val="20"/>
          <w:szCs w:val="21"/>
        </w:rPr>
        <w:t>.入世可能推动我国消费法</w:t>
      </w:r>
      <w:r>
        <w:rPr>
          <w:rFonts w:hint="default" w:ascii="Times New Roman" w:hAnsi="Times New Roman" w:eastAsia="宋体" w:cs="Times New Roman"/>
          <w:b/>
          <w:bCs/>
          <w:spacing w:val="14"/>
          <w:szCs w:val="21"/>
        </w:rPr>
        <w:t>律环境的改善。</w:t>
      </w:r>
    </w:p>
    <w:p w14:paraId="75B53138">
      <w:pPr>
        <w:spacing w:line="400" w:lineRule="exact"/>
        <w:ind w:firstLine="488" w:firstLineChars="200"/>
        <w:rPr>
          <w:rFonts w:hint="default" w:ascii="Times New Roman" w:hAnsi="Times New Roman" w:eastAsia="宋体" w:cs="Times New Roman"/>
        </w:rPr>
      </w:pPr>
      <w:r>
        <w:rPr>
          <w:rFonts w:hint="default" w:ascii="Times New Roman" w:hAnsi="Times New Roman" w:eastAsia="宋体" w:cs="Times New Roman"/>
          <w:spacing w:val="17"/>
          <w:szCs w:val="21"/>
        </w:rPr>
        <w:t>我们这里讨论的消费环境，</w:t>
      </w:r>
      <w:r>
        <w:rPr>
          <w:rFonts w:hint="default" w:ascii="Times New Roman" w:hAnsi="Times New Roman" w:eastAsia="宋体" w:cs="Times New Roman"/>
          <w:spacing w:val="22"/>
          <w:szCs w:val="21"/>
        </w:rPr>
        <w:t>主</w:t>
      </w:r>
      <w:r>
        <w:rPr>
          <w:rFonts w:hint="default" w:ascii="Times New Roman" w:hAnsi="Times New Roman" w:eastAsia="宋体" w:cs="Times New Roman"/>
          <w:spacing w:val="21"/>
          <w:szCs w:val="21"/>
        </w:rPr>
        <w:t>要指用以规范消费市场的法律</w:t>
      </w:r>
      <w:r>
        <w:rPr>
          <w:rFonts w:hint="default" w:ascii="Times New Roman" w:hAnsi="Times New Roman" w:eastAsia="宋体" w:cs="Times New Roman"/>
          <w:spacing w:val="23"/>
          <w:szCs w:val="21"/>
        </w:rPr>
        <w:t>环</w:t>
      </w:r>
      <w:r>
        <w:rPr>
          <w:rFonts w:hint="default" w:ascii="Times New Roman" w:hAnsi="Times New Roman" w:eastAsia="宋体" w:cs="Times New Roman"/>
          <w:spacing w:val="14"/>
          <w:szCs w:val="21"/>
        </w:rPr>
        <w:t>境。正如中国入世首席谈判代</w:t>
      </w:r>
      <w:r>
        <w:rPr>
          <w:rFonts w:hint="default" w:ascii="Times New Roman" w:hAnsi="Times New Roman" w:eastAsia="宋体" w:cs="Times New Roman"/>
          <w:spacing w:val="-4"/>
          <w:szCs w:val="21"/>
        </w:rPr>
        <w:t>表龙永图</w:t>
      </w:r>
      <w:r>
        <w:rPr>
          <w:rFonts w:hint="default" w:ascii="Times New Roman" w:hAnsi="Times New Roman" w:eastAsia="宋体" w:cs="Times New Roman"/>
          <w:spacing w:val="-3"/>
          <w:szCs w:val="21"/>
        </w:rPr>
        <w:t>所</w:t>
      </w:r>
      <w:r>
        <w:rPr>
          <w:rFonts w:hint="default" w:ascii="Times New Roman" w:hAnsi="Times New Roman" w:eastAsia="宋体" w:cs="Times New Roman"/>
          <w:spacing w:val="-2"/>
          <w:szCs w:val="21"/>
        </w:rPr>
        <w:t>说，入世后，我国变化</w:t>
      </w:r>
      <w:r>
        <w:rPr>
          <w:rFonts w:hint="default" w:ascii="Times New Roman" w:hAnsi="Times New Roman" w:eastAsia="宋体" w:cs="Times New Roman"/>
          <w:spacing w:val="16"/>
          <w:szCs w:val="21"/>
        </w:rPr>
        <w:t>最大的将是法律环境。入世后</w:t>
      </w:r>
      <w:r>
        <w:rPr>
          <w:rFonts w:hint="default" w:ascii="Times New Roman" w:hAnsi="Times New Roman" w:eastAsia="宋体" w:cs="Times New Roman"/>
          <w:spacing w:val="13"/>
          <w:szCs w:val="21"/>
        </w:rPr>
        <w:t>的</w:t>
      </w:r>
      <w:r>
        <w:rPr>
          <w:rFonts w:hint="default" w:ascii="Times New Roman" w:hAnsi="Times New Roman" w:eastAsia="宋体" w:cs="Times New Roman"/>
          <w:spacing w:val="22"/>
          <w:szCs w:val="21"/>
        </w:rPr>
        <w:t>中</w:t>
      </w:r>
      <w:r>
        <w:rPr>
          <w:rFonts w:hint="default" w:ascii="Times New Roman" w:hAnsi="Times New Roman" w:eastAsia="宋体" w:cs="Times New Roman"/>
          <w:spacing w:val="15"/>
          <w:szCs w:val="21"/>
        </w:rPr>
        <w:t>国不仅必须要信守承诺，严格</w:t>
      </w:r>
      <w:r>
        <w:rPr>
          <w:rFonts w:hint="default" w:ascii="Times New Roman" w:hAnsi="Times New Roman" w:eastAsia="宋体" w:cs="Times New Roman"/>
          <w:spacing w:val="28"/>
          <w:szCs w:val="21"/>
        </w:rPr>
        <w:t>履</w:t>
      </w:r>
      <w:r>
        <w:rPr>
          <w:rFonts w:hint="default" w:ascii="Times New Roman" w:hAnsi="Times New Roman" w:eastAsia="宋体" w:cs="Times New Roman"/>
          <w:spacing w:val="23"/>
          <w:szCs w:val="21"/>
        </w:rPr>
        <w:t>行世贸组织框架下的义务；还</w:t>
      </w:r>
      <w:r>
        <w:rPr>
          <w:rFonts w:hint="default" w:ascii="Times New Roman" w:hAnsi="Times New Roman" w:eastAsia="宋体" w:cs="Times New Roman"/>
          <w:spacing w:val="26"/>
          <w:szCs w:val="21"/>
        </w:rPr>
        <w:t>要</w:t>
      </w:r>
      <w:r>
        <w:rPr>
          <w:rFonts w:hint="default" w:ascii="Times New Roman" w:hAnsi="Times New Roman" w:eastAsia="宋体" w:cs="Times New Roman"/>
          <w:spacing w:val="23"/>
          <w:szCs w:val="21"/>
        </w:rPr>
        <w:t>为入世给整个社会所带来的一</w:t>
      </w:r>
      <w:r>
        <w:rPr>
          <w:rFonts w:hint="default" w:ascii="Times New Roman" w:hAnsi="Times New Roman" w:eastAsia="宋体" w:cs="Times New Roman"/>
          <w:spacing w:val="25"/>
          <w:szCs w:val="21"/>
        </w:rPr>
        <w:t>系</w:t>
      </w:r>
      <w:r>
        <w:rPr>
          <w:rFonts w:hint="default" w:ascii="Times New Roman" w:hAnsi="Times New Roman" w:eastAsia="宋体" w:cs="Times New Roman"/>
          <w:spacing w:val="14"/>
          <w:szCs w:val="21"/>
        </w:rPr>
        <w:t>列的重大变化，提供强有力的</w:t>
      </w:r>
      <w:r>
        <w:rPr>
          <w:rFonts w:hint="default" w:ascii="Times New Roman" w:hAnsi="Times New Roman" w:eastAsia="宋体" w:cs="Times New Roman"/>
          <w:spacing w:val="16"/>
          <w:szCs w:val="21"/>
        </w:rPr>
        <w:t>法律保障。此举将使我国市场</w:t>
      </w:r>
      <w:r>
        <w:rPr>
          <w:rFonts w:hint="default" w:ascii="Times New Roman" w:hAnsi="Times New Roman" w:eastAsia="宋体" w:cs="Times New Roman"/>
          <w:spacing w:val="14"/>
          <w:szCs w:val="21"/>
        </w:rPr>
        <w:t>经</w:t>
      </w:r>
      <w:r>
        <w:rPr>
          <w:rFonts w:hint="default" w:ascii="Times New Roman" w:hAnsi="Times New Roman" w:eastAsia="宋体" w:cs="Times New Roman"/>
          <w:spacing w:val="20"/>
          <w:szCs w:val="21"/>
        </w:rPr>
        <w:t>济</w:t>
      </w:r>
      <w:r>
        <w:rPr>
          <w:rFonts w:hint="default" w:ascii="Times New Roman" w:hAnsi="Times New Roman" w:eastAsia="宋体" w:cs="Times New Roman"/>
          <w:spacing w:val="15"/>
          <w:szCs w:val="21"/>
        </w:rPr>
        <w:t>的运行更加规范，消费法律环</w:t>
      </w:r>
      <w:r>
        <w:rPr>
          <w:rFonts w:hint="default" w:ascii="Times New Roman" w:hAnsi="Times New Roman" w:eastAsia="宋体" w:cs="Times New Roman"/>
          <w:spacing w:val="24"/>
          <w:szCs w:val="21"/>
        </w:rPr>
        <w:t>境</w:t>
      </w:r>
      <w:r>
        <w:rPr>
          <w:rFonts w:hint="default" w:ascii="Times New Roman" w:hAnsi="Times New Roman" w:eastAsia="宋体" w:cs="Times New Roman"/>
          <w:spacing w:val="14"/>
          <w:szCs w:val="21"/>
        </w:rPr>
        <w:t>更加宽松。而客观消费法律环</w:t>
      </w:r>
      <w:r>
        <w:rPr>
          <w:rFonts w:hint="default" w:ascii="Times New Roman" w:hAnsi="Times New Roman" w:eastAsia="宋体" w:cs="Times New Roman"/>
          <w:spacing w:val="26"/>
          <w:szCs w:val="21"/>
        </w:rPr>
        <w:t>境</w:t>
      </w:r>
      <w:r>
        <w:rPr>
          <w:rFonts w:hint="default" w:ascii="Times New Roman" w:hAnsi="Times New Roman" w:eastAsia="宋体" w:cs="Times New Roman"/>
          <w:spacing w:val="23"/>
          <w:szCs w:val="21"/>
        </w:rPr>
        <w:t>的改善必将给消费者带来观念</w:t>
      </w:r>
      <w:r>
        <w:rPr>
          <w:rFonts w:hint="default" w:ascii="Times New Roman" w:hAnsi="Times New Roman" w:eastAsia="宋体" w:cs="Times New Roman"/>
          <w:spacing w:val="34"/>
          <w:szCs w:val="21"/>
        </w:rPr>
        <w:t>上</w:t>
      </w:r>
      <w:r>
        <w:rPr>
          <w:rFonts w:hint="default" w:ascii="Times New Roman" w:hAnsi="Times New Roman" w:eastAsia="宋体" w:cs="Times New Roman"/>
          <w:spacing w:val="23"/>
          <w:szCs w:val="21"/>
        </w:rPr>
        <w:t>的变化：一切消费行为都要在</w:t>
      </w:r>
      <w:r>
        <w:rPr>
          <w:rFonts w:hint="default" w:ascii="Times New Roman" w:hAnsi="Times New Roman" w:eastAsia="宋体" w:cs="Times New Roman"/>
          <w:spacing w:val="20"/>
          <w:szCs w:val="21"/>
        </w:rPr>
        <w:t>法</w:t>
      </w:r>
      <w:r>
        <w:rPr>
          <w:rFonts w:hint="default" w:ascii="Times New Roman" w:hAnsi="Times New Roman" w:eastAsia="宋体" w:cs="Times New Roman"/>
          <w:spacing w:val="15"/>
          <w:szCs w:val="21"/>
        </w:rPr>
        <w:t>律的框架内进行。这不仅要求</w:t>
      </w:r>
      <w:r>
        <w:rPr>
          <w:rFonts w:hint="default" w:ascii="Times New Roman" w:hAnsi="Times New Roman" w:eastAsia="宋体" w:cs="Times New Roman"/>
          <w:spacing w:val="26"/>
          <w:szCs w:val="21"/>
        </w:rPr>
        <w:t>消</w:t>
      </w:r>
      <w:r>
        <w:rPr>
          <w:rFonts w:hint="default" w:ascii="Times New Roman" w:hAnsi="Times New Roman" w:eastAsia="宋体" w:cs="Times New Roman"/>
          <w:spacing w:val="23"/>
          <w:szCs w:val="21"/>
        </w:rPr>
        <w:t>费者要依法规范自己的消费行</w:t>
      </w:r>
      <w:r>
        <w:rPr>
          <w:rFonts w:hint="default" w:ascii="Times New Roman" w:hAnsi="Times New Roman" w:eastAsia="宋体" w:cs="Times New Roman"/>
          <w:spacing w:val="6"/>
          <w:szCs w:val="21"/>
        </w:rPr>
        <w:t>为</w:t>
      </w:r>
      <w:r>
        <w:rPr>
          <w:rFonts w:hint="default" w:ascii="Times New Roman" w:hAnsi="Times New Roman" w:eastAsia="宋体" w:cs="Times New Roman"/>
          <w:spacing w:val="4"/>
          <w:szCs w:val="21"/>
        </w:rPr>
        <w:t>，</w:t>
      </w:r>
      <w:r>
        <w:rPr>
          <w:rFonts w:hint="default" w:ascii="Times New Roman" w:hAnsi="Times New Roman" w:eastAsia="宋体" w:cs="Times New Roman"/>
          <w:spacing w:val="3"/>
          <w:szCs w:val="21"/>
        </w:rPr>
        <w:t>还包括在消费过程中，消费者</w:t>
      </w:r>
      <w:r>
        <w:rPr>
          <w:rFonts w:hint="default" w:ascii="Times New Roman" w:hAnsi="Times New Roman" w:eastAsia="宋体" w:cs="Times New Roman"/>
          <w:spacing w:val="16"/>
          <w:szCs w:val="21"/>
        </w:rPr>
        <w:t>要有法律意识，懂得依法维护</w:t>
      </w:r>
      <w:r>
        <w:rPr>
          <w:rFonts w:hint="default" w:ascii="Times New Roman" w:hAnsi="Times New Roman" w:eastAsia="宋体" w:cs="Times New Roman"/>
          <w:spacing w:val="14"/>
          <w:szCs w:val="21"/>
        </w:rPr>
        <w:t>自</w:t>
      </w:r>
      <w:r>
        <w:rPr>
          <w:rFonts w:hint="default" w:ascii="Times New Roman" w:hAnsi="Times New Roman" w:eastAsia="宋体" w:cs="Times New Roman"/>
          <w:spacing w:val="16"/>
          <w:szCs w:val="21"/>
        </w:rPr>
        <w:t>己的正当权益，从而使消费者</w:t>
      </w:r>
      <w:r>
        <w:rPr>
          <w:rFonts w:hint="default" w:ascii="Times New Roman" w:hAnsi="Times New Roman" w:eastAsia="宋体" w:cs="Times New Roman"/>
          <w:spacing w:val="14"/>
          <w:szCs w:val="21"/>
        </w:rPr>
        <w:t>地</w:t>
      </w:r>
      <w:r>
        <w:rPr>
          <w:rFonts w:hint="default" w:ascii="Times New Roman" w:hAnsi="Times New Roman" w:eastAsia="宋体" w:cs="Times New Roman"/>
          <w:spacing w:val="13"/>
          <w:szCs w:val="21"/>
        </w:rPr>
        <w:t>位有所提升。</w:t>
      </w:r>
    </w:p>
    <w:p w14:paraId="5A4C8A75">
      <w:pPr>
        <w:spacing w:line="400" w:lineRule="exact"/>
        <w:ind w:firstLine="504" w:firstLineChars="200"/>
        <w:rPr>
          <w:rFonts w:hint="default" w:ascii="Times New Roman" w:hAnsi="Times New Roman" w:eastAsia="宋体" w:cs="Times New Roman"/>
          <w:b/>
          <w:bCs/>
        </w:rPr>
      </w:pPr>
      <w:r>
        <w:rPr>
          <w:rFonts w:hint="default" w:ascii="Times New Roman" w:hAnsi="Times New Roman" w:eastAsia="宋体" w:cs="Times New Roman"/>
          <w:b/>
          <w:bCs/>
          <w:spacing w:val="21"/>
          <w:szCs w:val="21"/>
        </w:rPr>
        <w:t>4</w:t>
      </w:r>
      <w:r>
        <w:rPr>
          <w:rFonts w:hint="default" w:ascii="Times New Roman" w:hAnsi="Times New Roman" w:eastAsia="宋体" w:cs="Times New Roman"/>
          <w:b/>
          <w:bCs/>
          <w:spacing w:val="13"/>
          <w:szCs w:val="21"/>
        </w:rPr>
        <w:t>.入世将提高我国的消费质</w:t>
      </w:r>
      <w:r>
        <w:rPr>
          <w:rFonts w:hint="default" w:ascii="Times New Roman" w:hAnsi="Times New Roman" w:eastAsia="宋体" w:cs="Times New Roman"/>
          <w:b/>
          <w:bCs/>
          <w:spacing w:val="-2"/>
          <w:szCs w:val="21"/>
        </w:rPr>
        <w:t>量。</w:t>
      </w:r>
    </w:p>
    <w:p w14:paraId="050A12CA">
      <w:pPr>
        <w:spacing w:line="400" w:lineRule="exact"/>
        <w:ind w:firstLine="484" w:firstLineChars="200"/>
        <w:rPr>
          <w:rFonts w:hint="default" w:ascii="Times New Roman" w:hAnsi="Times New Roman" w:eastAsia="宋体" w:cs="Times New Roman"/>
        </w:rPr>
      </w:pPr>
      <w:r>
        <w:rPr>
          <w:rFonts w:hint="default" w:ascii="Times New Roman" w:hAnsi="Times New Roman" w:eastAsia="宋体" w:cs="Times New Roman"/>
          <w:spacing w:val="16"/>
          <w:szCs w:val="21"/>
        </w:rPr>
        <w:t>消</w:t>
      </w:r>
      <w:r>
        <w:rPr>
          <w:rFonts w:hint="default" w:ascii="Times New Roman" w:hAnsi="Times New Roman" w:eastAsia="宋体" w:cs="Times New Roman"/>
          <w:spacing w:val="15"/>
          <w:szCs w:val="21"/>
        </w:rPr>
        <w:t>费质量反映消费主体、消</w:t>
      </w:r>
      <w:r>
        <w:rPr>
          <w:rFonts w:hint="default" w:ascii="Times New Roman" w:hAnsi="Times New Roman" w:eastAsia="宋体" w:cs="Times New Roman"/>
          <w:spacing w:val="37"/>
          <w:szCs w:val="21"/>
        </w:rPr>
        <w:t>费</w:t>
      </w:r>
      <w:r>
        <w:rPr>
          <w:rFonts w:hint="default" w:ascii="Times New Roman" w:hAnsi="Times New Roman" w:eastAsia="宋体" w:cs="Times New Roman"/>
          <w:spacing w:val="33"/>
          <w:szCs w:val="21"/>
        </w:rPr>
        <w:t>客体和消费环境相结合所产生</w:t>
      </w:r>
      <w:r>
        <w:rPr>
          <w:rFonts w:hint="default" w:ascii="Times New Roman" w:hAnsi="Times New Roman" w:eastAsia="宋体" w:cs="Times New Roman"/>
          <w:spacing w:val="31"/>
          <w:szCs w:val="21"/>
        </w:rPr>
        <w:t>的</w:t>
      </w:r>
      <w:r>
        <w:rPr>
          <w:rFonts w:hint="default" w:ascii="Times New Roman" w:hAnsi="Times New Roman" w:eastAsia="宋体" w:cs="Times New Roman"/>
          <w:spacing w:val="24"/>
          <w:szCs w:val="21"/>
        </w:rPr>
        <w:t>质的规定。世贸组织重视环境</w:t>
      </w:r>
      <w:r>
        <w:rPr>
          <w:rFonts w:hint="default" w:ascii="Times New Roman" w:hAnsi="Times New Roman" w:eastAsia="宋体" w:cs="Times New Roman"/>
          <w:spacing w:val="31"/>
          <w:szCs w:val="21"/>
        </w:rPr>
        <w:t>的</w:t>
      </w:r>
      <w:r>
        <w:rPr>
          <w:rFonts w:hint="default" w:ascii="Times New Roman" w:hAnsi="Times New Roman" w:eastAsia="宋体" w:cs="Times New Roman"/>
          <w:spacing w:val="24"/>
          <w:szCs w:val="21"/>
        </w:rPr>
        <w:t>价值特性，在有关协议条款中</w:t>
      </w:r>
      <w:r>
        <w:rPr>
          <w:rFonts w:hint="default" w:ascii="Times New Roman" w:hAnsi="Times New Roman" w:eastAsia="宋体" w:cs="Times New Roman"/>
          <w:spacing w:val="37"/>
          <w:szCs w:val="21"/>
        </w:rPr>
        <w:t>不</w:t>
      </w:r>
      <w:r>
        <w:rPr>
          <w:rFonts w:hint="default" w:ascii="Times New Roman" w:hAnsi="Times New Roman" w:eastAsia="宋体" w:cs="Times New Roman"/>
          <w:spacing w:val="33"/>
          <w:szCs w:val="21"/>
        </w:rPr>
        <w:t>同程度的规定了成员国有环保</w:t>
      </w:r>
      <w:r>
        <w:rPr>
          <w:rFonts w:hint="default" w:ascii="Times New Roman" w:hAnsi="Times New Roman" w:eastAsia="宋体" w:cs="Times New Roman"/>
          <w:spacing w:val="7"/>
          <w:szCs w:val="21"/>
        </w:rPr>
        <w:t>例外权，即为了保护环境、自然</w:t>
      </w:r>
      <w:r>
        <w:rPr>
          <w:rFonts w:hint="default" w:ascii="Times New Roman" w:hAnsi="Times New Roman" w:eastAsia="宋体" w:cs="Times New Roman"/>
          <w:spacing w:val="6"/>
          <w:szCs w:val="21"/>
        </w:rPr>
        <w:t>资</w:t>
      </w:r>
      <w:r>
        <w:rPr>
          <w:rFonts w:hint="default" w:ascii="Times New Roman" w:hAnsi="Times New Roman" w:eastAsia="宋体" w:cs="Times New Roman"/>
          <w:spacing w:val="7"/>
          <w:szCs w:val="21"/>
        </w:rPr>
        <w:t>源、人类和动植物的生命健康，</w:t>
      </w:r>
      <w:r>
        <w:rPr>
          <w:rFonts w:hint="default" w:ascii="Times New Roman" w:hAnsi="Times New Roman" w:eastAsia="宋体" w:cs="Times New Roman"/>
          <w:spacing w:val="6"/>
          <w:szCs w:val="21"/>
        </w:rPr>
        <w:t>在</w:t>
      </w:r>
      <w:r>
        <w:rPr>
          <w:rFonts w:hint="default" w:ascii="Times New Roman" w:hAnsi="Times New Roman" w:eastAsia="宋体" w:cs="Times New Roman"/>
          <w:spacing w:val="29"/>
          <w:szCs w:val="21"/>
        </w:rPr>
        <w:t>不</w:t>
      </w:r>
      <w:r>
        <w:rPr>
          <w:rFonts w:hint="default" w:ascii="Times New Roman" w:hAnsi="Times New Roman" w:eastAsia="宋体" w:cs="Times New Roman"/>
          <w:spacing w:val="25"/>
          <w:szCs w:val="21"/>
        </w:rPr>
        <w:t>产生任意的或不正当歧视，或</w:t>
      </w:r>
      <w:r>
        <w:rPr>
          <w:rFonts w:hint="default" w:ascii="Times New Roman" w:hAnsi="Times New Roman" w:eastAsia="宋体" w:cs="Times New Roman"/>
          <w:spacing w:val="37"/>
          <w:szCs w:val="21"/>
        </w:rPr>
        <w:t>不</w:t>
      </w:r>
      <w:r>
        <w:rPr>
          <w:rFonts w:hint="default" w:ascii="Times New Roman" w:hAnsi="Times New Roman" w:eastAsia="宋体" w:cs="Times New Roman"/>
          <w:spacing w:val="33"/>
          <w:szCs w:val="21"/>
        </w:rPr>
        <w:t>对国际贸易构成变相限制的前</w:t>
      </w:r>
      <w:r>
        <w:rPr>
          <w:rFonts w:hint="default" w:ascii="Times New Roman" w:hAnsi="Times New Roman" w:eastAsia="宋体" w:cs="Times New Roman"/>
          <w:spacing w:val="24"/>
          <w:szCs w:val="21"/>
        </w:rPr>
        <w:t>提</w:t>
      </w:r>
      <w:r>
        <w:rPr>
          <w:rFonts w:hint="default" w:ascii="Times New Roman" w:hAnsi="Times New Roman" w:eastAsia="宋体" w:cs="Times New Roman"/>
          <w:spacing w:val="17"/>
          <w:szCs w:val="21"/>
        </w:rPr>
        <w:t>下，可以背离协议的规定。同</w:t>
      </w:r>
      <w:r>
        <w:rPr>
          <w:rFonts w:hint="default" w:ascii="Times New Roman" w:hAnsi="Times New Roman" w:eastAsia="宋体" w:cs="Times New Roman"/>
          <w:spacing w:val="34"/>
          <w:szCs w:val="21"/>
        </w:rPr>
        <w:t>时</w:t>
      </w:r>
      <w:r>
        <w:rPr>
          <w:rFonts w:hint="default" w:ascii="Times New Roman" w:hAnsi="Times New Roman" w:eastAsia="宋体" w:cs="Times New Roman"/>
          <w:spacing w:val="25"/>
          <w:szCs w:val="21"/>
        </w:rPr>
        <w:t>，世贸组织对各种国际环境的</w:t>
      </w:r>
      <w:r>
        <w:rPr>
          <w:rFonts w:hint="default" w:ascii="Times New Roman" w:hAnsi="Times New Roman" w:eastAsia="宋体" w:cs="Times New Roman"/>
          <w:spacing w:val="24"/>
          <w:szCs w:val="21"/>
        </w:rPr>
        <w:t>公</w:t>
      </w:r>
      <w:r>
        <w:rPr>
          <w:rFonts w:hint="default" w:ascii="Times New Roman" w:hAnsi="Times New Roman" w:eastAsia="宋体" w:cs="Times New Roman"/>
          <w:spacing w:val="17"/>
          <w:szCs w:val="21"/>
        </w:rPr>
        <w:t>约、协议也予以充分尊重。在</w:t>
      </w:r>
      <w:r>
        <w:rPr>
          <w:rFonts w:hint="default" w:ascii="Times New Roman" w:hAnsi="Times New Roman" w:eastAsia="宋体" w:cs="Times New Roman"/>
          <w:spacing w:val="13"/>
          <w:szCs w:val="21"/>
        </w:rPr>
        <w:t>《贸易与环境的马拉喀什决议》中</w:t>
      </w:r>
      <w:r>
        <w:rPr>
          <w:rFonts w:hint="default" w:ascii="Times New Roman" w:hAnsi="Times New Roman" w:eastAsia="宋体" w:cs="Times New Roman"/>
          <w:spacing w:val="34"/>
          <w:szCs w:val="21"/>
        </w:rPr>
        <w:t>就</w:t>
      </w:r>
      <w:r>
        <w:rPr>
          <w:rFonts w:hint="default" w:ascii="Times New Roman" w:hAnsi="Times New Roman" w:eastAsia="宋体" w:cs="Times New Roman"/>
          <w:spacing w:val="25"/>
          <w:szCs w:val="21"/>
        </w:rPr>
        <w:t>明确要求“避免贸易保护主义</w:t>
      </w:r>
      <w:r>
        <w:rPr>
          <w:rFonts w:hint="default" w:ascii="Times New Roman" w:hAnsi="Times New Roman" w:eastAsia="宋体" w:cs="Times New Roman"/>
          <w:spacing w:val="31"/>
          <w:szCs w:val="21"/>
        </w:rPr>
        <w:t>措</w:t>
      </w:r>
      <w:r>
        <w:rPr>
          <w:rFonts w:hint="default" w:ascii="Times New Roman" w:hAnsi="Times New Roman" w:eastAsia="宋体" w:cs="Times New Roman"/>
          <w:spacing w:val="24"/>
          <w:szCs w:val="21"/>
        </w:rPr>
        <w:t>施，坚持有效的多边规则以确</w:t>
      </w:r>
      <w:r>
        <w:rPr>
          <w:rFonts w:hint="default" w:ascii="Times New Roman" w:hAnsi="Times New Roman" w:eastAsia="宋体" w:cs="Times New Roman"/>
          <w:spacing w:val="34"/>
          <w:szCs w:val="21"/>
        </w:rPr>
        <w:t>保</w:t>
      </w:r>
      <w:r>
        <w:rPr>
          <w:rFonts w:hint="default" w:ascii="Times New Roman" w:hAnsi="Times New Roman" w:eastAsia="宋体" w:cs="Times New Roman"/>
          <w:spacing w:val="23"/>
          <w:szCs w:val="21"/>
        </w:rPr>
        <w:t>多边贸易体系响应《21世纪议</w:t>
      </w:r>
      <w:r>
        <w:rPr>
          <w:rFonts w:hint="default" w:ascii="Times New Roman" w:hAnsi="Times New Roman" w:eastAsia="宋体" w:cs="Times New Roman"/>
          <w:spacing w:val="-6"/>
          <w:szCs w:val="21"/>
        </w:rPr>
        <w:t>程》</w:t>
      </w:r>
      <w:r>
        <w:rPr>
          <w:rFonts w:hint="default" w:ascii="Times New Roman" w:hAnsi="Times New Roman" w:eastAsia="宋体" w:cs="Times New Roman"/>
          <w:spacing w:val="-3"/>
          <w:szCs w:val="21"/>
        </w:rPr>
        <w:t>和《里约宣言》”。世贸组织的</w:t>
      </w:r>
      <w:r>
        <w:rPr>
          <w:rFonts w:hint="default" w:ascii="Times New Roman" w:hAnsi="Times New Roman" w:eastAsia="宋体" w:cs="Times New Roman"/>
          <w:spacing w:val="20"/>
          <w:szCs w:val="21"/>
        </w:rPr>
        <w:t>成员国应该如《里约宣言》所强</w:t>
      </w:r>
      <w:r>
        <w:rPr>
          <w:rFonts w:hint="default" w:ascii="Times New Roman" w:hAnsi="Times New Roman" w:eastAsia="宋体" w:cs="Times New Roman"/>
          <w:spacing w:val="18"/>
          <w:szCs w:val="21"/>
        </w:rPr>
        <w:t>调</w:t>
      </w:r>
      <w:r>
        <w:rPr>
          <w:rFonts w:hint="default" w:ascii="Times New Roman" w:hAnsi="Times New Roman" w:eastAsia="宋体" w:cs="Times New Roman"/>
          <w:spacing w:val="15"/>
          <w:szCs w:val="21"/>
        </w:rPr>
        <w:t>的那样，“为了实现可持续发展，</w:t>
      </w:r>
      <w:r>
        <w:rPr>
          <w:rFonts w:hint="default" w:ascii="Times New Roman" w:hAnsi="Times New Roman" w:eastAsia="宋体" w:cs="Times New Roman"/>
          <w:spacing w:val="37"/>
          <w:szCs w:val="21"/>
        </w:rPr>
        <w:t>使</w:t>
      </w:r>
      <w:r>
        <w:rPr>
          <w:rFonts w:hint="default" w:ascii="Times New Roman" w:hAnsi="Times New Roman" w:eastAsia="宋体" w:cs="Times New Roman"/>
          <w:spacing w:val="33"/>
          <w:szCs w:val="21"/>
        </w:rPr>
        <w:t>所有的人都享有较高的生活素</w:t>
      </w:r>
      <w:r>
        <w:rPr>
          <w:rFonts w:hint="default" w:ascii="Times New Roman" w:hAnsi="Times New Roman" w:eastAsia="宋体" w:cs="Times New Roman"/>
          <w:spacing w:val="34"/>
          <w:szCs w:val="21"/>
        </w:rPr>
        <w:t>质</w:t>
      </w:r>
      <w:r>
        <w:rPr>
          <w:rFonts w:hint="default" w:ascii="Times New Roman" w:hAnsi="Times New Roman" w:eastAsia="宋体" w:cs="Times New Roman"/>
          <w:spacing w:val="25"/>
          <w:szCs w:val="21"/>
        </w:rPr>
        <w:t>，各国应当减少和消除不能持</w:t>
      </w:r>
      <w:r>
        <w:rPr>
          <w:rFonts w:hint="default" w:ascii="Times New Roman" w:hAnsi="Times New Roman" w:eastAsia="宋体" w:cs="Times New Roman"/>
          <w:spacing w:val="14"/>
          <w:szCs w:val="21"/>
        </w:rPr>
        <w:t>续</w:t>
      </w:r>
      <w:r>
        <w:rPr>
          <w:rFonts w:hint="default" w:ascii="Times New Roman" w:hAnsi="Times New Roman" w:eastAsia="宋体" w:cs="Times New Roman"/>
          <w:spacing w:val="10"/>
          <w:szCs w:val="21"/>
        </w:rPr>
        <w:t>的</w:t>
      </w:r>
      <w:r>
        <w:rPr>
          <w:rFonts w:hint="default" w:ascii="Times New Roman" w:hAnsi="Times New Roman" w:eastAsia="宋体" w:cs="Times New Roman"/>
          <w:spacing w:val="7"/>
          <w:szCs w:val="21"/>
        </w:rPr>
        <w:t>生产和消费方式”。加入世贸</w:t>
      </w:r>
      <w:r>
        <w:rPr>
          <w:rFonts w:hint="default" w:ascii="Times New Roman" w:hAnsi="Times New Roman" w:eastAsia="宋体" w:cs="Times New Roman"/>
          <w:spacing w:val="21"/>
          <w:szCs w:val="21"/>
        </w:rPr>
        <w:t>组</w:t>
      </w:r>
      <w:r>
        <w:rPr>
          <w:rFonts w:hint="default" w:ascii="Times New Roman" w:hAnsi="Times New Roman" w:eastAsia="宋体" w:cs="Times New Roman"/>
          <w:spacing w:val="13"/>
          <w:szCs w:val="21"/>
        </w:rPr>
        <w:t>织后，其环保政策会对我国消</w:t>
      </w:r>
      <w:r>
        <w:rPr>
          <w:rFonts w:hint="default" w:ascii="Times New Roman" w:hAnsi="Times New Roman" w:eastAsia="宋体" w:cs="Times New Roman"/>
          <w:spacing w:val="25"/>
          <w:szCs w:val="21"/>
        </w:rPr>
        <w:t>费</w:t>
      </w:r>
      <w:r>
        <w:rPr>
          <w:rFonts w:hint="default" w:ascii="Times New Roman" w:hAnsi="Times New Roman" w:eastAsia="宋体" w:cs="Times New Roman"/>
          <w:spacing w:val="21"/>
          <w:szCs w:val="21"/>
        </w:rPr>
        <w:t>中的生态资源损耗和环境污染</w:t>
      </w:r>
      <w:r>
        <w:rPr>
          <w:rFonts w:hint="default" w:ascii="Times New Roman" w:hAnsi="Times New Roman" w:eastAsia="宋体" w:cs="Times New Roman"/>
          <w:spacing w:val="22"/>
          <w:szCs w:val="21"/>
        </w:rPr>
        <w:t>成</w:t>
      </w:r>
      <w:r>
        <w:rPr>
          <w:rFonts w:hint="default" w:ascii="Times New Roman" w:hAnsi="Times New Roman" w:eastAsia="宋体" w:cs="Times New Roman"/>
          <w:spacing w:val="13"/>
          <w:szCs w:val="21"/>
        </w:rPr>
        <w:t>本形成硬性约束，提高消费质</w:t>
      </w:r>
      <w:r>
        <w:rPr>
          <w:rFonts w:hint="default" w:ascii="Times New Roman" w:hAnsi="Times New Roman" w:eastAsia="宋体" w:cs="Times New Roman"/>
          <w:spacing w:val="22"/>
          <w:szCs w:val="21"/>
        </w:rPr>
        <w:t>量</w:t>
      </w:r>
      <w:r>
        <w:rPr>
          <w:rFonts w:hint="default" w:ascii="Times New Roman" w:hAnsi="Times New Roman" w:eastAsia="宋体" w:cs="Times New Roman"/>
          <w:spacing w:val="13"/>
          <w:szCs w:val="21"/>
        </w:rPr>
        <w:t>和消费资源利用率。更为重要</w:t>
      </w:r>
      <w:r>
        <w:rPr>
          <w:rFonts w:hint="default" w:ascii="Times New Roman" w:hAnsi="Times New Roman" w:eastAsia="宋体" w:cs="Times New Roman"/>
          <w:spacing w:val="21"/>
          <w:szCs w:val="21"/>
        </w:rPr>
        <w:t>的</w:t>
      </w:r>
      <w:r>
        <w:rPr>
          <w:rFonts w:hint="default" w:ascii="Times New Roman" w:hAnsi="Times New Roman" w:eastAsia="宋体" w:cs="Times New Roman"/>
          <w:spacing w:val="13"/>
          <w:szCs w:val="21"/>
        </w:rPr>
        <w:t>是，强化了消费者可持续消费</w:t>
      </w:r>
      <w:r>
        <w:rPr>
          <w:rFonts w:hint="default" w:ascii="Times New Roman" w:hAnsi="Times New Roman" w:eastAsia="宋体" w:cs="Times New Roman"/>
          <w:spacing w:val="21"/>
          <w:szCs w:val="21"/>
        </w:rPr>
        <w:t>的</w:t>
      </w:r>
      <w:r>
        <w:rPr>
          <w:rFonts w:hint="default" w:ascii="Times New Roman" w:hAnsi="Times New Roman" w:eastAsia="宋体" w:cs="Times New Roman"/>
          <w:spacing w:val="13"/>
          <w:szCs w:val="21"/>
        </w:rPr>
        <w:t>观念，提高消费者防治消费过</w:t>
      </w:r>
      <w:r>
        <w:rPr>
          <w:rFonts w:hint="default" w:ascii="Times New Roman" w:hAnsi="Times New Roman" w:eastAsia="宋体" w:cs="Times New Roman"/>
          <w:spacing w:val="25"/>
          <w:szCs w:val="21"/>
        </w:rPr>
        <w:t>程</w:t>
      </w:r>
      <w:r>
        <w:rPr>
          <w:rFonts w:hint="default" w:ascii="Times New Roman" w:hAnsi="Times New Roman" w:eastAsia="宋体" w:cs="Times New Roman"/>
          <w:spacing w:val="21"/>
          <w:szCs w:val="21"/>
        </w:rPr>
        <w:t>中各种污染对人体健康造成危</w:t>
      </w:r>
      <w:r>
        <w:rPr>
          <w:rFonts w:hint="default" w:ascii="Times New Roman" w:hAnsi="Times New Roman" w:eastAsia="宋体" w:cs="Times New Roman"/>
          <w:spacing w:val="15"/>
          <w:szCs w:val="21"/>
        </w:rPr>
        <w:t>害</w:t>
      </w:r>
      <w:r>
        <w:rPr>
          <w:rFonts w:hint="default" w:ascii="Times New Roman" w:hAnsi="Times New Roman" w:eastAsia="宋体" w:cs="Times New Roman"/>
          <w:spacing w:val="14"/>
          <w:szCs w:val="21"/>
        </w:rPr>
        <w:t>的自觉性，从而更好的满足人</w:t>
      </w:r>
      <w:r>
        <w:rPr>
          <w:rFonts w:hint="default" w:ascii="Times New Roman" w:hAnsi="Times New Roman" w:eastAsia="宋体" w:cs="Times New Roman"/>
          <w:spacing w:val="25"/>
          <w:szCs w:val="21"/>
        </w:rPr>
        <w:t>们</w:t>
      </w:r>
      <w:r>
        <w:rPr>
          <w:rFonts w:hint="default" w:ascii="Times New Roman" w:hAnsi="Times New Roman" w:eastAsia="宋体" w:cs="Times New Roman"/>
          <w:spacing w:val="21"/>
          <w:szCs w:val="21"/>
        </w:rPr>
        <w:t>日益增长的物质和文化消费需</w:t>
      </w:r>
      <w:r>
        <w:rPr>
          <w:rFonts w:hint="default" w:ascii="Times New Roman" w:hAnsi="Times New Roman" w:eastAsia="宋体" w:cs="Times New Roman"/>
          <w:spacing w:val="4"/>
          <w:szCs w:val="21"/>
        </w:rPr>
        <w:t>求，</w:t>
      </w:r>
      <w:r>
        <w:rPr>
          <w:rFonts w:hint="default" w:ascii="Times New Roman" w:hAnsi="Times New Roman" w:eastAsia="宋体" w:cs="Times New Roman"/>
          <w:spacing w:val="3"/>
          <w:szCs w:val="21"/>
        </w:rPr>
        <w:t>提</w:t>
      </w:r>
      <w:r>
        <w:rPr>
          <w:rFonts w:hint="default" w:ascii="Times New Roman" w:hAnsi="Times New Roman" w:eastAsia="宋体" w:cs="Times New Roman"/>
          <w:spacing w:val="2"/>
          <w:szCs w:val="21"/>
        </w:rPr>
        <w:t>高消费质量。</w:t>
      </w:r>
    </w:p>
    <w:p w14:paraId="2B097023">
      <w:pPr>
        <w:spacing w:line="400" w:lineRule="exact"/>
        <w:ind w:firstLine="568" w:firstLineChars="200"/>
        <w:jc w:val="center"/>
        <w:rPr>
          <w:rFonts w:hint="default" w:ascii="黑体" w:hAnsi="黑体" w:eastAsia="黑体" w:cs="黑体"/>
          <w:b w:val="0"/>
          <w:bCs w:val="0"/>
          <w:spacing w:val="22"/>
          <w:sz w:val="24"/>
          <w:szCs w:val="24"/>
        </w:rPr>
      </w:pPr>
      <w:r>
        <w:rPr>
          <w:rFonts w:hint="default" w:ascii="黑体" w:hAnsi="黑体" w:eastAsia="黑体" w:cs="黑体"/>
          <w:b w:val="0"/>
          <w:bCs w:val="0"/>
          <w:spacing w:val="22"/>
          <w:sz w:val="24"/>
          <w:szCs w:val="24"/>
        </w:rPr>
        <w:t>入世对国内消费的负面影响</w:t>
      </w:r>
    </w:p>
    <w:p w14:paraId="12DCE735">
      <w:pPr>
        <w:spacing w:line="400" w:lineRule="exact"/>
        <w:ind w:firstLine="504" w:firstLineChars="200"/>
        <w:rPr>
          <w:rFonts w:hint="default" w:ascii="Times New Roman" w:hAnsi="Times New Roman" w:eastAsia="宋体" w:cs="Times New Roman"/>
          <w:b/>
          <w:bCs/>
        </w:rPr>
      </w:pPr>
      <w:r>
        <w:rPr>
          <w:rFonts w:hint="default" w:ascii="Times New Roman" w:hAnsi="Times New Roman" w:eastAsia="宋体" w:cs="Times New Roman"/>
          <w:b/>
          <w:bCs/>
          <w:spacing w:val="21"/>
          <w:szCs w:val="21"/>
        </w:rPr>
        <w:t>1</w:t>
      </w:r>
      <w:r>
        <w:rPr>
          <w:rFonts w:hint="default" w:ascii="Times New Roman" w:hAnsi="Times New Roman" w:eastAsia="宋体" w:cs="Times New Roman"/>
          <w:b/>
          <w:bCs/>
          <w:spacing w:val="19"/>
          <w:szCs w:val="21"/>
        </w:rPr>
        <w:t>.消费国际化使消费安全受</w:t>
      </w:r>
      <w:r>
        <w:rPr>
          <w:rFonts w:hint="default" w:ascii="Times New Roman" w:hAnsi="Times New Roman" w:eastAsia="宋体" w:cs="Times New Roman"/>
          <w:b/>
          <w:bCs/>
          <w:spacing w:val="15"/>
          <w:szCs w:val="21"/>
        </w:rPr>
        <w:t>到</w:t>
      </w:r>
      <w:r>
        <w:rPr>
          <w:rFonts w:hint="default" w:ascii="Times New Roman" w:hAnsi="Times New Roman" w:eastAsia="宋体" w:cs="Times New Roman"/>
          <w:b/>
          <w:bCs/>
          <w:spacing w:val="14"/>
          <w:szCs w:val="21"/>
        </w:rPr>
        <w:t>更大范围的挑战。</w:t>
      </w:r>
    </w:p>
    <w:p w14:paraId="36E608CD">
      <w:pPr>
        <w:spacing w:line="400" w:lineRule="exact"/>
        <w:ind w:firstLine="500" w:firstLineChars="200"/>
        <w:rPr>
          <w:rFonts w:hint="default" w:ascii="Times New Roman" w:hAnsi="Times New Roman" w:eastAsia="宋体" w:cs="Times New Roman"/>
        </w:rPr>
      </w:pPr>
      <w:r>
        <w:rPr>
          <w:rFonts w:hint="default" w:ascii="Times New Roman" w:hAnsi="Times New Roman" w:eastAsia="宋体" w:cs="Times New Roman"/>
          <w:spacing w:val="20"/>
          <w:szCs w:val="21"/>
        </w:rPr>
        <w:t>入</w:t>
      </w:r>
      <w:r>
        <w:rPr>
          <w:rFonts w:hint="default" w:ascii="Times New Roman" w:hAnsi="Times New Roman" w:eastAsia="宋体" w:cs="Times New Roman"/>
          <w:spacing w:val="11"/>
          <w:szCs w:val="21"/>
        </w:rPr>
        <w:t>世后，居民衣食住行和文</w:t>
      </w:r>
      <w:r>
        <w:rPr>
          <w:rFonts w:hint="default" w:ascii="Times New Roman" w:hAnsi="Times New Roman" w:eastAsia="宋体" w:cs="Times New Roman"/>
          <w:spacing w:val="22"/>
          <w:szCs w:val="21"/>
        </w:rPr>
        <w:t>化</w:t>
      </w:r>
      <w:r>
        <w:rPr>
          <w:rFonts w:hint="default" w:ascii="Times New Roman" w:hAnsi="Times New Roman" w:eastAsia="宋体" w:cs="Times New Roman"/>
          <w:spacing w:val="13"/>
          <w:szCs w:val="21"/>
        </w:rPr>
        <w:t>娱乐等消费资源的来源，消费</w:t>
      </w:r>
      <w:r>
        <w:rPr>
          <w:rFonts w:hint="default" w:ascii="Times New Roman" w:hAnsi="Times New Roman" w:eastAsia="宋体" w:cs="Times New Roman"/>
          <w:spacing w:val="8"/>
          <w:szCs w:val="21"/>
        </w:rPr>
        <w:t>选择</w:t>
      </w:r>
      <w:r>
        <w:rPr>
          <w:rFonts w:hint="default" w:ascii="Times New Roman" w:hAnsi="Times New Roman" w:eastAsia="宋体" w:cs="Times New Roman"/>
          <w:spacing w:val="4"/>
          <w:szCs w:val="21"/>
        </w:rPr>
        <w:t>的范围，消费品价格的形成，</w:t>
      </w:r>
      <w:r>
        <w:rPr>
          <w:rFonts w:hint="default" w:ascii="Times New Roman" w:hAnsi="Times New Roman" w:eastAsia="宋体" w:cs="Times New Roman"/>
          <w:spacing w:val="22"/>
          <w:szCs w:val="21"/>
        </w:rPr>
        <w:t>消</w:t>
      </w:r>
      <w:r>
        <w:rPr>
          <w:rFonts w:hint="default" w:ascii="Times New Roman" w:hAnsi="Times New Roman" w:eastAsia="宋体" w:cs="Times New Roman"/>
          <w:spacing w:val="13"/>
          <w:szCs w:val="21"/>
        </w:rPr>
        <w:t>费时尚习惯的变化等等，将来</w:t>
      </w:r>
      <w:r>
        <w:rPr>
          <w:rFonts w:hint="default" w:ascii="Times New Roman" w:hAnsi="Times New Roman" w:eastAsia="宋体" w:cs="Times New Roman"/>
          <w:spacing w:val="26"/>
          <w:szCs w:val="21"/>
        </w:rPr>
        <w:t>有</w:t>
      </w:r>
      <w:r>
        <w:rPr>
          <w:rFonts w:hint="default" w:ascii="Times New Roman" w:hAnsi="Times New Roman" w:eastAsia="宋体" w:cs="Times New Roman"/>
          <w:spacing w:val="21"/>
          <w:szCs w:val="21"/>
        </w:rPr>
        <w:t>更多的国家和地区并受到其全</w:t>
      </w:r>
      <w:r>
        <w:rPr>
          <w:rFonts w:hint="default" w:ascii="Times New Roman" w:hAnsi="Times New Roman" w:eastAsia="宋体" w:cs="Times New Roman"/>
          <w:spacing w:val="16"/>
          <w:szCs w:val="21"/>
        </w:rPr>
        <w:t>方</w:t>
      </w:r>
      <w:r>
        <w:rPr>
          <w:rFonts w:hint="default" w:ascii="Times New Roman" w:hAnsi="Times New Roman" w:eastAsia="宋体" w:cs="Times New Roman"/>
          <w:spacing w:val="14"/>
          <w:szCs w:val="21"/>
        </w:rPr>
        <w:t>位的影响。这一切必然使我国</w:t>
      </w:r>
      <w:r>
        <w:rPr>
          <w:rFonts w:hint="default" w:ascii="Times New Roman" w:hAnsi="Times New Roman" w:eastAsia="宋体" w:cs="Times New Roman"/>
          <w:spacing w:val="22"/>
          <w:szCs w:val="21"/>
        </w:rPr>
        <w:t>渐</w:t>
      </w:r>
      <w:r>
        <w:rPr>
          <w:rFonts w:hint="default" w:ascii="Times New Roman" w:hAnsi="Times New Roman" w:eastAsia="宋体" w:cs="Times New Roman"/>
          <w:spacing w:val="13"/>
          <w:szCs w:val="21"/>
        </w:rPr>
        <w:t>渐融入消费的国际化之中。消</w:t>
      </w:r>
      <w:r>
        <w:rPr>
          <w:rFonts w:hint="default" w:ascii="Times New Roman" w:hAnsi="Times New Roman" w:eastAsia="宋体" w:cs="Times New Roman"/>
          <w:spacing w:val="26"/>
          <w:szCs w:val="21"/>
        </w:rPr>
        <w:t>费</w:t>
      </w:r>
      <w:r>
        <w:rPr>
          <w:rFonts w:hint="default" w:ascii="Times New Roman" w:hAnsi="Times New Roman" w:eastAsia="宋体" w:cs="Times New Roman"/>
          <w:spacing w:val="21"/>
          <w:szCs w:val="21"/>
        </w:rPr>
        <w:t>的国际化使消费者的选择空间</w:t>
      </w:r>
      <w:r>
        <w:rPr>
          <w:rFonts w:hint="default" w:ascii="Times New Roman" w:hAnsi="Times New Roman" w:eastAsia="宋体" w:cs="Times New Roman"/>
          <w:spacing w:val="-7"/>
          <w:szCs w:val="21"/>
        </w:rPr>
        <w:t>进</w:t>
      </w:r>
      <w:r>
        <w:rPr>
          <w:rFonts w:hint="default" w:ascii="Times New Roman" w:hAnsi="Times New Roman" w:eastAsia="宋体" w:cs="Times New Roman"/>
          <w:spacing w:val="-4"/>
          <w:szCs w:val="21"/>
        </w:rPr>
        <w:t>一步扩大，但同时也应看到，作</w:t>
      </w:r>
      <w:r>
        <w:rPr>
          <w:rFonts w:hint="default" w:ascii="Times New Roman" w:hAnsi="Times New Roman" w:eastAsia="宋体" w:cs="Times New Roman"/>
          <w:spacing w:val="8"/>
          <w:szCs w:val="21"/>
        </w:rPr>
        <w:t>为一把“双刃剑”，消费国际化</w:t>
      </w:r>
      <w:r>
        <w:rPr>
          <w:rFonts w:hint="default" w:ascii="Times New Roman" w:hAnsi="Times New Roman" w:eastAsia="宋体" w:cs="Times New Roman"/>
          <w:spacing w:val="7"/>
          <w:szCs w:val="21"/>
        </w:rPr>
        <w:t>使</w:t>
      </w:r>
      <w:r>
        <w:rPr>
          <w:rFonts w:hint="default" w:ascii="Times New Roman" w:hAnsi="Times New Roman" w:eastAsia="宋体" w:cs="Times New Roman"/>
          <w:spacing w:val="26"/>
          <w:szCs w:val="21"/>
        </w:rPr>
        <w:t>消</w:t>
      </w:r>
      <w:r>
        <w:rPr>
          <w:rFonts w:hint="default" w:ascii="Times New Roman" w:hAnsi="Times New Roman" w:eastAsia="宋体" w:cs="Times New Roman"/>
          <w:spacing w:val="21"/>
          <w:szCs w:val="21"/>
        </w:rPr>
        <w:t>费安全在一定程度上遭受更大的</w:t>
      </w:r>
      <w:r>
        <w:rPr>
          <w:rFonts w:hint="default" w:ascii="Times New Roman" w:hAnsi="Times New Roman" w:eastAsia="宋体" w:cs="Times New Roman"/>
          <w:spacing w:val="13"/>
          <w:szCs w:val="21"/>
        </w:rPr>
        <w:t>挑战。一国的消费安全是指对</w:t>
      </w:r>
      <w:r>
        <w:rPr>
          <w:rFonts w:hint="default" w:ascii="Times New Roman" w:hAnsi="Times New Roman" w:eastAsia="宋体" w:cs="Times New Roman"/>
          <w:spacing w:val="26"/>
          <w:szCs w:val="21"/>
        </w:rPr>
        <w:t>城</w:t>
      </w:r>
      <w:r>
        <w:rPr>
          <w:rFonts w:hint="default" w:ascii="Times New Roman" w:hAnsi="Times New Roman" w:eastAsia="宋体" w:cs="Times New Roman"/>
          <w:spacing w:val="21"/>
          <w:szCs w:val="21"/>
        </w:rPr>
        <w:t>乡居民在日常消费中应当避免</w:t>
      </w:r>
      <w:r>
        <w:rPr>
          <w:rFonts w:hint="default" w:ascii="Times New Roman" w:hAnsi="Times New Roman" w:eastAsia="宋体" w:cs="Times New Roman"/>
          <w:spacing w:val="22"/>
          <w:szCs w:val="21"/>
        </w:rPr>
        <w:t>的</w:t>
      </w:r>
      <w:r>
        <w:rPr>
          <w:rFonts w:hint="default" w:ascii="Times New Roman" w:hAnsi="Times New Roman" w:eastAsia="宋体" w:cs="Times New Roman"/>
          <w:spacing w:val="13"/>
          <w:szCs w:val="21"/>
        </w:rPr>
        <w:t>，可能发生的各种身心健康侵</w:t>
      </w:r>
      <w:r>
        <w:rPr>
          <w:rFonts w:hint="default" w:ascii="Times New Roman" w:hAnsi="Times New Roman" w:eastAsia="宋体" w:cs="Times New Roman"/>
          <w:spacing w:val="22"/>
          <w:szCs w:val="21"/>
        </w:rPr>
        <w:t>害</w:t>
      </w:r>
      <w:r>
        <w:rPr>
          <w:rFonts w:hint="default" w:ascii="Times New Roman" w:hAnsi="Times New Roman" w:eastAsia="宋体" w:cs="Times New Roman"/>
          <w:spacing w:val="13"/>
          <w:szCs w:val="21"/>
        </w:rPr>
        <w:t>所进行的防范和保护。随着消费日趋国际化，危害消费者身心</w:t>
      </w:r>
      <w:r>
        <w:rPr>
          <w:rFonts w:hint="default" w:ascii="Times New Roman" w:hAnsi="Times New Roman" w:eastAsia="宋体" w:cs="Times New Roman"/>
          <w:spacing w:val="21"/>
          <w:szCs w:val="21"/>
        </w:rPr>
        <w:t>健</w:t>
      </w:r>
      <w:r>
        <w:rPr>
          <w:rFonts w:hint="default" w:ascii="Times New Roman" w:hAnsi="Times New Roman" w:eastAsia="宋体" w:cs="Times New Roman"/>
          <w:spacing w:val="13"/>
          <w:szCs w:val="21"/>
        </w:rPr>
        <w:t>康，甚而造成伤害的可能性也随之国际化了，这必然会扩大消</w:t>
      </w:r>
      <w:r>
        <w:rPr>
          <w:rFonts w:hint="default" w:ascii="Times New Roman" w:hAnsi="Times New Roman" w:eastAsia="宋体" w:cs="Times New Roman"/>
          <w:spacing w:val="22"/>
          <w:szCs w:val="21"/>
        </w:rPr>
        <w:t>费</w:t>
      </w:r>
      <w:r>
        <w:rPr>
          <w:rFonts w:hint="default" w:ascii="Times New Roman" w:hAnsi="Times New Roman" w:eastAsia="宋体" w:cs="Times New Roman"/>
          <w:spacing w:val="13"/>
          <w:szCs w:val="21"/>
        </w:rPr>
        <w:t>安全的受害范围。如源自西欧国家的疯牛病，曾令世界各国防</w:t>
      </w:r>
      <w:r>
        <w:rPr>
          <w:rFonts w:hint="default" w:ascii="Times New Roman" w:hAnsi="Times New Roman" w:eastAsia="宋体" w:cs="Times New Roman"/>
          <w:spacing w:val="2"/>
          <w:szCs w:val="21"/>
        </w:rPr>
        <w:t>不胜防、大伤脑筋</w:t>
      </w:r>
      <w:r>
        <w:rPr>
          <w:rFonts w:hint="default" w:ascii="Times New Roman" w:hAnsi="Times New Roman" w:eastAsia="宋体" w:cs="Times New Roman"/>
          <w:spacing w:val="1"/>
          <w:szCs w:val="21"/>
        </w:rPr>
        <w:t>，不仅使受害国</w:t>
      </w:r>
      <w:r>
        <w:rPr>
          <w:rFonts w:hint="default" w:ascii="Times New Roman" w:hAnsi="Times New Roman" w:eastAsia="宋体" w:cs="Times New Roman"/>
          <w:spacing w:val="13"/>
          <w:szCs w:val="21"/>
        </w:rPr>
        <w:t>经济损失惨重，也对人身健康造</w:t>
      </w:r>
      <w:r>
        <w:rPr>
          <w:rFonts w:hint="default" w:ascii="Times New Roman" w:hAnsi="Times New Roman" w:eastAsia="宋体" w:cs="Times New Roman"/>
          <w:spacing w:val="14"/>
          <w:szCs w:val="21"/>
        </w:rPr>
        <w:t>成</w:t>
      </w:r>
      <w:r>
        <w:rPr>
          <w:rFonts w:hint="default" w:ascii="Times New Roman" w:hAnsi="Times New Roman" w:eastAsia="宋体" w:cs="Times New Roman"/>
          <w:spacing w:val="13"/>
          <w:szCs w:val="21"/>
        </w:rPr>
        <w:t>极大危害。</w:t>
      </w:r>
    </w:p>
    <w:p w14:paraId="0754FF60">
      <w:pPr>
        <w:spacing w:line="400" w:lineRule="exact"/>
        <w:ind w:firstLine="468" w:firstLineChars="200"/>
        <w:rPr>
          <w:rFonts w:hint="default" w:ascii="Times New Roman" w:hAnsi="Times New Roman" w:eastAsia="宋体" w:cs="Times New Roman"/>
        </w:rPr>
      </w:pPr>
      <w:r>
        <w:rPr>
          <w:rFonts w:hint="default" w:ascii="Times New Roman" w:hAnsi="Times New Roman" w:eastAsia="宋体" w:cs="Times New Roman"/>
          <w:b/>
          <w:bCs/>
          <w:spacing w:val="12"/>
          <w:szCs w:val="21"/>
        </w:rPr>
        <w:t>2.国内消费品的市场占有</w:t>
      </w:r>
      <w:r>
        <w:rPr>
          <w:rFonts w:hint="default" w:ascii="Times New Roman" w:hAnsi="Times New Roman" w:eastAsia="宋体" w:cs="Times New Roman"/>
          <w:b/>
          <w:bCs/>
          <w:spacing w:val="11"/>
          <w:szCs w:val="21"/>
        </w:rPr>
        <w:t>率</w:t>
      </w:r>
      <w:r>
        <w:rPr>
          <w:rFonts w:hint="default" w:ascii="Times New Roman" w:hAnsi="Times New Roman" w:eastAsia="宋体" w:cs="Times New Roman"/>
          <w:b/>
          <w:bCs/>
          <w:spacing w:val="24"/>
          <w:szCs w:val="21"/>
        </w:rPr>
        <w:t>将</w:t>
      </w:r>
      <w:r>
        <w:rPr>
          <w:rFonts w:hint="default" w:ascii="Times New Roman" w:hAnsi="Times New Roman" w:eastAsia="宋体" w:cs="Times New Roman"/>
          <w:b/>
          <w:bCs/>
          <w:spacing w:val="14"/>
          <w:szCs w:val="21"/>
        </w:rPr>
        <w:t>有所下降并引起连锁反应</w:t>
      </w:r>
      <w:r>
        <w:rPr>
          <w:rFonts w:hint="default" w:ascii="Times New Roman" w:hAnsi="Times New Roman" w:eastAsia="宋体" w:cs="Times New Roman"/>
          <w:spacing w:val="14"/>
          <w:szCs w:val="21"/>
        </w:rPr>
        <w:t>。</w:t>
      </w:r>
    </w:p>
    <w:p w14:paraId="2466E760">
      <w:pPr>
        <w:spacing w:line="400" w:lineRule="exact"/>
        <w:ind w:firstLine="496" w:firstLineChars="200"/>
        <w:rPr>
          <w:rFonts w:hint="default" w:ascii="Times New Roman" w:hAnsi="Times New Roman" w:eastAsia="宋体" w:cs="Times New Roman"/>
        </w:rPr>
      </w:pPr>
      <w:r>
        <w:rPr>
          <w:rFonts w:hint="default" w:ascii="Times New Roman" w:hAnsi="Times New Roman" w:eastAsia="宋体" w:cs="Times New Roman"/>
          <w:spacing w:val="19"/>
          <w:szCs w:val="21"/>
        </w:rPr>
        <w:t>随</w:t>
      </w:r>
      <w:r>
        <w:rPr>
          <w:rFonts w:hint="default" w:ascii="Times New Roman" w:hAnsi="Times New Roman" w:eastAsia="宋体" w:cs="Times New Roman"/>
          <w:spacing w:val="10"/>
          <w:szCs w:val="21"/>
        </w:rPr>
        <w:t>着入世承诺的实现，享受</w:t>
      </w:r>
      <w:r>
        <w:rPr>
          <w:rFonts w:hint="default" w:ascii="Times New Roman" w:hAnsi="Times New Roman" w:eastAsia="宋体" w:cs="Times New Roman"/>
          <w:spacing w:val="18"/>
          <w:szCs w:val="21"/>
        </w:rPr>
        <w:t>国民待遇的外国投资与消费品</w:t>
      </w:r>
      <w:r>
        <w:rPr>
          <w:rFonts w:hint="default" w:ascii="Times New Roman" w:hAnsi="Times New Roman" w:eastAsia="宋体" w:cs="Times New Roman"/>
          <w:spacing w:val="16"/>
          <w:szCs w:val="21"/>
        </w:rPr>
        <w:t>将</w:t>
      </w:r>
      <w:r>
        <w:rPr>
          <w:rFonts w:hint="default" w:ascii="Times New Roman" w:hAnsi="Times New Roman" w:eastAsia="宋体" w:cs="Times New Roman"/>
          <w:spacing w:val="7"/>
          <w:szCs w:val="21"/>
        </w:rPr>
        <w:t>商业评论</w:t>
      </w:r>
      <w:r>
        <w:rPr>
          <w:rFonts w:hint="default" w:ascii="Times New Roman" w:hAnsi="Times New Roman" w:eastAsia="宋体" w:cs="Times New Roman"/>
          <w:spacing w:val="22"/>
          <w:szCs w:val="21"/>
        </w:rPr>
        <w:t>潮</w:t>
      </w:r>
      <w:r>
        <w:rPr>
          <w:rFonts w:hint="default" w:ascii="Times New Roman" w:hAnsi="Times New Roman" w:eastAsia="宋体" w:cs="Times New Roman"/>
          <w:spacing w:val="13"/>
          <w:szCs w:val="21"/>
        </w:rPr>
        <w:t>水般涌入中国消费市场。与质</w:t>
      </w:r>
      <w:r>
        <w:rPr>
          <w:rFonts w:hint="default" w:ascii="Times New Roman" w:hAnsi="Times New Roman" w:eastAsia="宋体" w:cs="Times New Roman"/>
          <w:spacing w:val="22"/>
          <w:szCs w:val="21"/>
        </w:rPr>
        <w:t>高</w:t>
      </w:r>
      <w:r>
        <w:rPr>
          <w:rFonts w:hint="default" w:ascii="Times New Roman" w:hAnsi="Times New Roman" w:eastAsia="宋体" w:cs="Times New Roman"/>
          <w:spacing w:val="13"/>
          <w:szCs w:val="21"/>
        </w:rPr>
        <w:t>价低的外国商品相比，我国消</w:t>
      </w:r>
      <w:r>
        <w:rPr>
          <w:rFonts w:hint="default" w:ascii="Times New Roman" w:hAnsi="Times New Roman" w:eastAsia="宋体" w:cs="Times New Roman"/>
          <w:spacing w:val="22"/>
          <w:szCs w:val="21"/>
        </w:rPr>
        <w:t>费</w:t>
      </w:r>
      <w:r>
        <w:rPr>
          <w:rFonts w:hint="default" w:ascii="Times New Roman" w:hAnsi="Times New Roman" w:eastAsia="宋体" w:cs="Times New Roman"/>
          <w:spacing w:val="13"/>
          <w:szCs w:val="21"/>
        </w:rPr>
        <w:t>市场的产品和信贷、保险等服</w:t>
      </w:r>
      <w:r>
        <w:rPr>
          <w:rFonts w:hint="default" w:ascii="Times New Roman" w:hAnsi="Times New Roman" w:eastAsia="宋体" w:cs="Times New Roman"/>
          <w:spacing w:val="-1"/>
          <w:szCs w:val="21"/>
        </w:rPr>
        <w:t>务，由于成本</w:t>
      </w:r>
      <w:r>
        <w:rPr>
          <w:rFonts w:hint="default" w:ascii="Times New Roman" w:hAnsi="Times New Roman" w:eastAsia="宋体" w:cs="Times New Roman"/>
          <w:szCs w:val="21"/>
        </w:rPr>
        <w:t>偏高、技术含量低、</w:t>
      </w:r>
      <w:r>
        <w:rPr>
          <w:rFonts w:hint="default" w:ascii="Times New Roman" w:hAnsi="Times New Roman" w:eastAsia="宋体" w:cs="Times New Roman"/>
          <w:spacing w:val="15"/>
          <w:szCs w:val="21"/>
        </w:rPr>
        <w:t>产</w:t>
      </w:r>
      <w:r>
        <w:rPr>
          <w:rFonts w:hint="default" w:ascii="Times New Roman" w:hAnsi="Times New Roman" w:eastAsia="宋体" w:cs="Times New Roman"/>
          <w:spacing w:val="14"/>
          <w:szCs w:val="21"/>
        </w:rPr>
        <w:t>品价格高、低水平品重复建设</w:t>
      </w:r>
      <w:r>
        <w:rPr>
          <w:rFonts w:hint="default" w:ascii="Times New Roman" w:hAnsi="Times New Roman" w:eastAsia="宋体" w:cs="Times New Roman"/>
          <w:spacing w:val="22"/>
          <w:szCs w:val="21"/>
        </w:rPr>
        <w:t>和</w:t>
      </w:r>
      <w:r>
        <w:rPr>
          <w:rFonts w:hint="default" w:ascii="Times New Roman" w:hAnsi="Times New Roman" w:eastAsia="宋体" w:cs="Times New Roman"/>
          <w:spacing w:val="13"/>
          <w:szCs w:val="21"/>
        </w:rPr>
        <w:t>缺乏经济规模，将缺乏竞争能</w:t>
      </w:r>
      <w:r>
        <w:rPr>
          <w:rFonts w:hint="default" w:ascii="Times New Roman" w:hAnsi="Times New Roman" w:eastAsia="宋体" w:cs="Times New Roman"/>
          <w:spacing w:val="22"/>
          <w:szCs w:val="21"/>
        </w:rPr>
        <w:t>力</w:t>
      </w:r>
      <w:r>
        <w:rPr>
          <w:rFonts w:hint="default" w:ascii="Times New Roman" w:hAnsi="Times New Roman" w:eastAsia="宋体" w:cs="Times New Roman"/>
          <w:spacing w:val="13"/>
          <w:szCs w:val="21"/>
        </w:rPr>
        <w:t>而遭受极大冲击，其消费市场</w:t>
      </w:r>
      <w:r>
        <w:rPr>
          <w:rFonts w:hint="default" w:ascii="Times New Roman" w:hAnsi="Times New Roman" w:eastAsia="宋体" w:cs="Times New Roman"/>
          <w:spacing w:val="22"/>
          <w:szCs w:val="21"/>
        </w:rPr>
        <w:t>占</w:t>
      </w:r>
      <w:r>
        <w:rPr>
          <w:rFonts w:hint="default" w:ascii="Times New Roman" w:hAnsi="Times New Roman" w:eastAsia="宋体" w:cs="Times New Roman"/>
          <w:spacing w:val="13"/>
          <w:szCs w:val="21"/>
        </w:rPr>
        <w:t>有率将急剧下降。作为发展中</w:t>
      </w:r>
      <w:r>
        <w:rPr>
          <w:rFonts w:hint="default" w:ascii="Times New Roman" w:hAnsi="Times New Roman" w:eastAsia="宋体" w:cs="Times New Roman"/>
          <w:spacing w:val="21"/>
          <w:szCs w:val="21"/>
        </w:rPr>
        <w:t>国</w:t>
      </w:r>
      <w:r>
        <w:rPr>
          <w:rFonts w:hint="default" w:ascii="Times New Roman" w:hAnsi="Times New Roman" w:eastAsia="宋体" w:cs="Times New Roman"/>
          <w:spacing w:val="13"/>
          <w:szCs w:val="21"/>
        </w:rPr>
        <w:t>家，居民消费所需的消费品供</w:t>
      </w:r>
      <w:r>
        <w:rPr>
          <w:rFonts w:hint="default" w:ascii="Times New Roman" w:hAnsi="Times New Roman" w:eastAsia="宋体" w:cs="Times New Roman"/>
          <w:spacing w:val="35"/>
          <w:szCs w:val="21"/>
        </w:rPr>
        <w:t>给</w:t>
      </w:r>
      <w:r>
        <w:rPr>
          <w:rFonts w:hint="default" w:ascii="Times New Roman" w:hAnsi="Times New Roman" w:eastAsia="宋体" w:cs="Times New Roman"/>
          <w:spacing w:val="26"/>
          <w:szCs w:val="21"/>
        </w:rPr>
        <w:t>的主要来源仍然是国内生产。</w:t>
      </w:r>
      <w:r>
        <w:rPr>
          <w:rFonts w:hint="default" w:ascii="Times New Roman" w:hAnsi="Times New Roman" w:eastAsia="宋体" w:cs="Times New Roman"/>
          <w:spacing w:val="20"/>
          <w:szCs w:val="21"/>
        </w:rPr>
        <w:t>另</w:t>
      </w:r>
      <w:r>
        <w:rPr>
          <w:rFonts w:hint="default" w:ascii="Times New Roman" w:hAnsi="Times New Roman" w:eastAsia="宋体" w:cs="Times New Roman"/>
          <w:spacing w:val="13"/>
          <w:szCs w:val="21"/>
        </w:rPr>
        <w:t>一方面，居民消费水平的提高</w:t>
      </w:r>
      <w:r>
        <w:rPr>
          <w:rFonts w:hint="default" w:ascii="Times New Roman" w:hAnsi="Times New Roman" w:eastAsia="宋体" w:cs="Times New Roman"/>
          <w:spacing w:val="31"/>
          <w:szCs w:val="21"/>
        </w:rPr>
        <w:t>直</w:t>
      </w:r>
      <w:r>
        <w:rPr>
          <w:rFonts w:hint="default" w:ascii="Times New Roman" w:hAnsi="Times New Roman" w:eastAsia="宋体" w:cs="Times New Roman"/>
          <w:spacing w:val="25"/>
          <w:szCs w:val="21"/>
        </w:rPr>
        <w:t>接依存于其收入水平的提高，而</w:t>
      </w:r>
      <w:r>
        <w:rPr>
          <w:rFonts w:hint="default" w:ascii="Times New Roman" w:hAnsi="Times New Roman" w:eastAsia="宋体" w:cs="Times New Roman"/>
          <w:spacing w:val="21"/>
          <w:szCs w:val="21"/>
        </w:rPr>
        <w:t>绝大多数人的就业岗位仍要靠</w:t>
      </w:r>
      <w:r>
        <w:rPr>
          <w:rFonts w:hint="default" w:ascii="Times New Roman" w:hAnsi="Times New Roman" w:eastAsia="宋体" w:cs="Times New Roman"/>
          <w:spacing w:val="-8"/>
          <w:szCs w:val="21"/>
        </w:rPr>
        <w:t>国</w:t>
      </w:r>
      <w:r>
        <w:rPr>
          <w:rFonts w:hint="default" w:ascii="Times New Roman" w:hAnsi="Times New Roman" w:eastAsia="宋体" w:cs="Times New Roman"/>
          <w:spacing w:val="-4"/>
          <w:szCs w:val="21"/>
        </w:rPr>
        <w:t>内企业来提供，可以设想，在外</w:t>
      </w:r>
      <w:r>
        <w:rPr>
          <w:rFonts w:hint="default" w:ascii="Times New Roman" w:hAnsi="Times New Roman" w:eastAsia="宋体" w:cs="Times New Roman"/>
          <w:spacing w:val="13"/>
          <w:szCs w:val="21"/>
        </w:rPr>
        <w:t>资全面进入后，倘若国内企业</w:t>
      </w:r>
      <w:r>
        <w:rPr>
          <w:rFonts w:hint="default" w:ascii="Times New Roman" w:hAnsi="Times New Roman" w:eastAsia="宋体" w:cs="Times New Roman"/>
          <w:spacing w:val="12"/>
          <w:szCs w:val="21"/>
        </w:rPr>
        <w:t>仍</w:t>
      </w:r>
      <w:r>
        <w:rPr>
          <w:rFonts w:hint="default" w:ascii="Times New Roman" w:hAnsi="Times New Roman" w:eastAsia="宋体" w:cs="Times New Roman"/>
          <w:spacing w:val="15"/>
          <w:szCs w:val="21"/>
        </w:rPr>
        <w:t>旧</w:t>
      </w:r>
      <w:r>
        <w:rPr>
          <w:rFonts w:hint="default" w:ascii="Times New Roman" w:hAnsi="Times New Roman" w:eastAsia="宋体" w:cs="Times New Roman"/>
          <w:spacing w:val="14"/>
          <w:szCs w:val="21"/>
        </w:rPr>
        <w:t>不思进取，生产的产品不被市</w:t>
      </w:r>
      <w:r>
        <w:rPr>
          <w:rFonts w:hint="default" w:ascii="Times New Roman" w:hAnsi="Times New Roman" w:eastAsia="宋体" w:cs="Times New Roman"/>
          <w:spacing w:val="-8"/>
          <w:szCs w:val="21"/>
        </w:rPr>
        <w:t>场</w:t>
      </w:r>
      <w:r>
        <w:rPr>
          <w:rFonts w:hint="default" w:ascii="Times New Roman" w:hAnsi="Times New Roman" w:eastAsia="宋体" w:cs="Times New Roman"/>
          <w:spacing w:val="-4"/>
          <w:szCs w:val="21"/>
        </w:rPr>
        <w:t>所接受，职工工资发不出，则会</w:t>
      </w:r>
      <w:r>
        <w:rPr>
          <w:rFonts w:hint="default" w:ascii="Times New Roman" w:hAnsi="Times New Roman" w:eastAsia="宋体" w:cs="Times New Roman"/>
          <w:spacing w:val="25"/>
          <w:szCs w:val="21"/>
        </w:rPr>
        <w:t>使</w:t>
      </w:r>
      <w:r>
        <w:rPr>
          <w:rFonts w:hint="default" w:ascii="Times New Roman" w:hAnsi="Times New Roman" w:eastAsia="宋体" w:cs="Times New Roman"/>
          <w:spacing w:val="21"/>
          <w:szCs w:val="21"/>
        </w:rPr>
        <w:t>广大居民的收入水平下降甚至</w:t>
      </w:r>
      <w:r>
        <w:rPr>
          <w:rFonts w:hint="default" w:ascii="Times New Roman" w:hAnsi="Times New Roman" w:eastAsia="宋体" w:cs="Times New Roman"/>
          <w:spacing w:val="13"/>
          <w:szCs w:val="21"/>
        </w:rPr>
        <w:t>一部分人失业，由此产生连锁</w:t>
      </w:r>
      <w:r>
        <w:rPr>
          <w:rFonts w:hint="default" w:ascii="Times New Roman" w:hAnsi="Times New Roman" w:eastAsia="宋体" w:cs="Times New Roman"/>
          <w:spacing w:val="12"/>
          <w:szCs w:val="21"/>
        </w:rPr>
        <w:t>反</w:t>
      </w:r>
      <w:r>
        <w:rPr>
          <w:rFonts w:hint="default" w:ascii="Times New Roman" w:hAnsi="Times New Roman" w:eastAsia="宋体" w:cs="Times New Roman"/>
          <w:spacing w:val="25"/>
          <w:szCs w:val="21"/>
        </w:rPr>
        <w:t>应</w:t>
      </w:r>
      <w:r>
        <w:rPr>
          <w:rFonts w:hint="default" w:ascii="Times New Roman" w:hAnsi="Times New Roman" w:eastAsia="宋体" w:cs="Times New Roman"/>
          <w:spacing w:val="21"/>
          <w:szCs w:val="21"/>
        </w:rPr>
        <w:t>：收入水平下降导致消费水平</w:t>
      </w:r>
      <w:r>
        <w:rPr>
          <w:rFonts w:hint="default" w:ascii="Times New Roman" w:hAnsi="Times New Roman" w:eastAsia="宋体" w:cs="Times New Roman"/>
          <w:spacing w:val="3"/>
          <w:szCs w:val="21"/>
        </w:rPr>
        <w:t>下降</w:t>
      </w:r>
      <w:r>
        <w:rPr>
          <w:rFonts w:hint="default" w:ascii="Times New Roman" w:hAnsi="Times New Roman" w:eastAsia="宋体" w:cs="Times New Roman"/>
          <w:spacing w:val="2"/>
          <w:szCs w:val="21"/>
        </w:rPr>
        <w:t>。</w:t>
      </w:r>
    </w:p>
    <w:p w14:paraId="035782BD">
      <w:pPr>
        <w:spacing w:line="400" w:lineRule="exact"/>
        <w:ind w:firstLine="504" w:firstLineChars="200"/>
        <w:rPr>
          <w:rFonts w:hint="default" w:ascii="Times New Roman" w:hAnsi="Times New Roman" w:eastAsia="宋体" w:cs="Times New Roman"/>
          <w:b/>
          <w:bCs/>
        </w:rPr>
      </w:pPr>
      <w:r>
        <w:rPr>
          <w:rFonts w:hint="default" w:ascii="Times New Roman" w:hAnsi="Times New Roman" w:eastAsia="宋体" w:cs="Times New Roman"/>
          <w:b/>
          <w:bCs/>
          <w:spacing w:val="21"/>
          <w:szCs w:val="21"/>
        </w:rPr>
        <w:t>3</w:t>
      </w:r>
      <w:r>
        <w:rPr>
          <w:rFonts w:hint="default" w:ascii="Times New Roman" w:hAnsi="Times New Roman" w:eastAsia="宋体" w:cs="Times New Roman"/>
          <w:b/>
          <w:bCs/>
          <w:spacing w:val="20"/>
          <w:szCs w:val="21"/>
        </w:rPr>
        <w:t>.可能进一步拉大东西部地</w:t>
      </w:r>
      <w:r>
        <w:rPr>
          <w:rFonts w:hint="default" w:ascii="Times New Roman" w:hAnsi="Times New Roman" w:eastAsia="宋体" w:cs="Times New Roman"/>
          <w:b/>
          <w:bCs/>
          <w:spacing w:val="12"/>
          <w:szCs w:val="21"/>
        </w:rPr>
        <w:t>区的消费差距</w:t>
      </w:r>
      <w:r>
        <w:rPr>
          <w:rFonts w:hint="default" w:ascii="Times New Roman" w:hAnsi="Times New Roman" w:eastAsia="宋体" w:cs="Times New Roman"/>
          <w:b/>
          <w:bCs/>
          <w:spacing w:val="11"/>
          <w:szCs w:val="21"/>
        </w:rPr>
        <w:t>。</w:t>
      </w:r>
    </w:p>
    <w:p w14:paraId="285F1804">
      <w:pPr>
        <w:spacing w:line="400" w:lineRule="exact"/>
        <w:ind w:firstLine="516" w:firstLineChars="200"/>
        <w:rPr>
          <w:rFonts w:hint="default" w:ascii="Times New Roman" w:hAnsi="Times New Roman" w:eastAsia="宋体" w:cs="Times New Roman"/>
        </w:rPr>
      </w:pPr>
      <w:r>
        <w:rPr>
          <w:rFonts w:hint="default" w:ascii="Times New Roman" w:hAnsi="Times New Roman" w:eastAsia="宋体" w:cs="Times New Roman"/>
          <w:spacing w:val="24"/>
          <w:szCs w:val="21"/>
        </w:rPr>
        <w:t>我</w:t>
      </w:r>
      <w:r>
        <w:rPr>
          <w:rFonts w:hint="default" w:ascii="Times New Roman" w:hAnsi="Times New Roman" w:eastAsia="宋体" w:cs="Times New Roman"/>
          <w:spacing w:val="20"/>
          <w:szCs w:val="21"/>
        </w:rPr>
        <w:t>国东部发达地区尤其是沿</w:t>
      </w:r>
      <w:r>
        <w:rPr>
          <w:rFonts w:hint="default" w:ascii="Times New Roman" w:hAnsi="Times New Roman" w:eastAsia="宋体" w:cs="Times New Roman"/>
          <w:spacing w:val="9"/>
          <w:szCs w:val="21"/>
        </w:rPr>
        <w:t>海</w:t>
      </w:r>
      <w:r>
        <w:rPr>
          <w:rFonts w:hint="default" w:ascii="Times New Roman" w:hAnsi="Times New Roman" w:eastAsia="宋体" w:cs="Times New Roman"/>
          <w:spacing w:val="6"/>
          <w:szCs w:val="21"/>
        </w:rPr>
        <w:t>省市，由于人口密集，市场容</w:t>
      </w:r>
      <w:r>
        <w:rPr>
          <w:rFonts w:hint="default" w:ascii="Times New Roman" w:hAnsi="Times New Roman" w:eastAsia="宋体" w:cs="Times New Roman"/>
          <w:spacing w:val="2"/>
          <w:szCs w:val="21"/>
        </w:rPr>
        <w:t>量、消费群体规</w:t>
      </w:r>
      <w:r>
        <w:rPr>
          <w:rFonts w:hint="default" w:ascii="Times New Roman" w:hAnsi="Times New Roman" w:eastAsia="宋体" w:cs="Times New Roman"/>
          <w:spacing w:val="1"/>
          <w:szCs w:val="21"/>
        </w:rPr>
        <w:t>模较大，再加上地</w:t>
      </w:r>
      <w:r>
        <w:rPr>
          <w:rFonts w:hint="default" w:ascii="Times New Roman" w:hAnsi="Times New Roman" w:eastAsia="宋体" w:cs="Times New Roman"/>
          <w:spacing w:val="2"/>
          <w:szCs w:val="21"/>
        </w:rPr>
        <w:t>理位置优越、交</w:t>
      </w:r>
      <w:r>
        <w:rPr>
          <w:rFonts w:hint="default" w:ascii="Times New Roman" w:hAnsi="Times New Roman" w:eastAsia="宋体" w:cs="Times New Roman"/>
          <w:spacing w:val="1"/>
          <w:szCs w:val="21"/>
        </w:rPr>
        <w:t>通便利，入世后将</w:t>
      </w:r>
      <w:r>
        <w:rPr>
          <w:rFonts w:hint="default" w:ascii="Times New Roman" w:hAnsi="Times New Roman" w:eastAsia="宋体" w:cs="Times New Roman"/>
          <w:spacing w:val="2"/>
          <w:szCs w:val="21"/>
        </w:rPr>
        <w:t>成为外资登陆的</w:t>
      </w:r>
      <w:r>
        <w:rPr>
          <w:rFonts w:hint="default" w:ascii="Times New Roman" w:hAnsi="Times New Roman" w:eastAsia="宋体" w:cs="Times New Roman"/>
          <w:spacing w:val="1"/>
          <w:szCs w:val="21"/>
        </w:rPr>
        <w:t>桥头堡，这样，沿</w:t>
      </w:r>
      <w:r>
        <w:rPr>
          <w:rFonts w:hint="default" w:ascii="Times New Roman" w:hAnsi="Times New Roman" w:eastAsia="宋体" w:cs="Times New Roman"/>
          <w:spacing w:val="25"/>
          <w:szCs w:val="21"/>
        </w:rPr>
        <w:t>海</w:t>
      </w:r>
      <w:r>
        <w:rPr>
          <w:rFonts w:hint="default" w:ascii="Times New Roman" w:hAnsi="Times New Roman" w:eastAsia="宋体" w:cs="Times New Roman"/>
          <w:spacing w:val="21"/>
          <w:szCs w:val="21"/>
        </w:rPr>
        <w:t>地区的居民必将率先享受到外</w:t>
      </w:r>
      <w:r>
        <w:rPr>
          <w:rFonts w:hint="default" w:ascii="Times New Roman" w:hAnsi="Times New Roman" w:eastAsia="宋体" w:cs="Times New Roman"/>
          <w:spacing w:val="2"/>
          <w:szCs w:val="21"/>
        </w:rPr>
        <w:t>国的商品和服务</w:t>
      </w:r>
      <w:r>
        <w:rPr>
          <w:rFonts w:hint="default" w:ascii="Times New Roman" w:hAnsi="Times New Roman" w:eastAsia="宋体" w:cs="Times New Roman"/>
          <w:spacing w:val="1"/>
          <w:szCs w:val="21"/>
        </w:rPr>
        <w:t>。然而，自改革开</w:t>
      </w:r>
      <w:r>
        <w:rPr>
          <w:rFonts w:hint="default" w:ascii="Times New Roman" w:hAnsi="Times New Roman" w:eastAsia="宋体" w:cs="Times New Roman"/>
          <w:spacing w:val="2"/>
          <w:szCs w:val="21"/>
        </w:rPr>
        <w:t>放以来，由于</w:t>
      </w:r>
      <w:r>
        <w:rPr>
          <w:rFonts w:hint="default" w:ascii="Times New Roman" w:hAnsi="Times New Roman" w:eastAsia="宋体" w:cs="Times New Roman"/>
          <w:spacing w:val="1"/>
          <w:szCs w:val="21"/>
        </w:rPr>
        <w:t>经济政策向东部“倾</w:t>
      </w:r>
      <w:r>
        <w:rPr>
          <w:rFonts w:hint="default" w:ascii="Times New Roman" w:hAnsi="Times New Roman" w:eastAsia="宋体" w:cs="Times New Roman"/>
          <w:spacing w:val="8"/>
          <w:szCs w:val="21"/>
        </w:rPr>
        <w:t>斜”，使沿海地区比内陆地区先</w:t>
      </w:r>
      <w:r>
        <w:rPr>
          <w:rFonts w:hint="default" w:ascii="Times New Roman" w:hAnsi="Times New Roman" w:eastAsia="宋体" w:cs="Times New Roman"/>
          <w:spacing w:val="6"/>
          <w:szCs w:val="21"/>
        </w:rPr>
        <w:t>富</w:t>
      </w:r>
      <w:r>
        <w:rPr>
          <w:rFonts w:hint="default" w:ascii="Times New Roman" w:hAnsi="Times New Roman" w:eastAsia="宋体" w:cs="Times New Roman"/>
          <w:spacing w:val="21"/>
          <w:szCs w:val="21"/>
        </w:rPr>
        <w:t>起</w:t>
      </w:r>
      <w:r>
        <w:rPr>
          <w:rFonts w:hint="default" w:ascii="Times New Roman" w:hAnsi="Times New Roman" w:eastAsia="宋体" w:cs="Times New Roman"/>
          <w:spacing w:val="13"/>
          <w:szCs w:val="21"/>
        </w:rPr>
        <w:t>来，两地人民生活水平差距较</w:t>
      </w:r>
      <w:r>
        <w:rPr>
          <w:rFonts w:hint="default" w:ascii="Times New Roman" w:hAnsi="Times New Roman" w:eastAsia="宋体" w:cs="Times New Roman"/>
          <w:spacing w:val="2"/>
          <w:szCs w:val="21"/>
        </w:rPr>
        <w:t>大。入世后，</w:t>
      </w:r>
      <w:r>
        <w:rPr>
          <w:rFonts w:hint="default" w:ascii="Times New Roman" w:hAnsi="Times New Roman" w:eastAsia="宋体" w:cs="Times New Roman"/>
          <w:spacing w:val="1"/>
          <w:szCs w:val="21"/>
        </w:rPr>
        <w:t>外资会优先选择在东</w:t>
      </w:r>
      <w:r>
        <w:rPr>
          <w:rFonts w:hint="default" w:ascii="Times New Roman" w:hAnsi="Times New Roman" w:eastAsia="宋体" w:cs="Times New Roman"/>
          <w:spacing w:val="22"/>
          <w:szCs w:val="21"/>
        </w:rPr>
        <w:t>部</w:t>
      </w:r>
      <w:r>
        <w:rPr>
          <w:rFonts w:hint="default" w:ascii="Times New Roman" w:hAnsi="Times New Roman" w:eastAsia="宋体" w:cs="Times New Roman"/>
          <w:spacing w:val="13"/>
          <w:szCs w:val="21"/>
        </w:rPr>
        <w:t>地区投资设厂，从而给当地人</w:t>
      </w:r>
      <w:r>
        <w:rPr>
          <w:rFonts w:hint="default" w:ascii="Times New Roman" w:hAnsi="Times New Roman" w:eastAsia="宋体" w:cs="Times New Roman"/>
          <w:spacing w:val="22"/>
          <w:szCs w:val="21"/>
        </w:rPr>
        <w:t>民</w:t>
      </w:r>
      <w:r>
        <w:rPr>
          <w:rFonts w:hint="default" w:ascii="Times New Roman" w:hAnsi="Times New Roman" w:eastAsia="宋体" w:cs="Times New Roman"/>
          <w:spacing w:val="13"/>
          <w:szCs w:val="21"/>
        </w:rPr>
        <w:t>带来大量的就业机会，提高人</w:t>
      </w:r>
      <w:r>
        <w:rPr>
          <w:rFonts w:hint="default" w:ascii="Times New Roman" w:hAnsi="Times New Roman" w:eastAsia="宋体" w:cs="Times New Roman"/>
          <w:spacing w:val="2"/>
          <w:szCs w:val="21"/>
        </w:rPr>
        <w:t>民的收入水平；</w:t>
      </w:r>
      <w:r>
        <w:rPr>
          <w:rFonts w:hint="default" w:ascii="Times New Roman" w:hAnsi="Times New Roman" w:eastAsia="宋体" w:cs="Times New Roman"/>
          <w:spacing w:val="1"/>
          <w:szCs w:val="21"/>
        </w:rPr>
        <w:t>另一方面，大量涌</w:t>
      </w:r>
      <w:r>
        <w:rPr>
          <w:rFonts w:hint="default" w:ascii="Times New Roman" w:hAnsi="Times New Roman" w:eastAsia="宋体" w:cs="Times New Roman"/>
          <w:spacing w:val="25"/>
          <w:szCs w:val="21"/>
        </w:rPr>
        <w:t>入</w:t>
      </w:r>
      <w:r>
        <w:rPr>
          <w:rFonts w:hint="default" w:ascii="Times New Roman" w:hAnsi="Times New Roman" w:eastAsia="宋体" w:cs="Times New Roman"/>
          <w:spacing w:val="21"/>
          <w:szCs w:val="21"/>
        </w:rPr>
        <w:t>的外国商品和服务使消费品市</w:t>
      </w:r>
      <w:r>
        <w:rPr>
          <w:rFonts w:hint="default" w:ascii="Times New Roman" w:hAnsi="Times New Roman" w:eastAsia="宋体" w:cs="Times New Roman"/>
          <w:spacing w:val="15"/>
          <w:szCs w:val="21"/>
        </w:rPr>
        <w:t>场</w:t>
      </w:r>
      <w:r>
        <w:rPr>
          <w:rFonts w:hint="default" w:ascii="Times New Roman" w:hAnsi="Times New Roman" w:eastAsia="宋体" w:cs="Times New Roman"/>
          <w:spacing w:val="14"/>
          <w:szCs w:val="21"/>
        </w:rPr>
        <w:t>更加丰富，给予东部地区居民</w:t>
      </w:r>
      <w:r>
        <w:rPr>
          <w:rFonts w:hint="default" w:ascii="Times New Roman" w:hAnsi="Times New Roman" w:eastAsia="宋体" w:cs="Times New Roman"/>
          <w:spacing w:val="20"/>
          <w:szCs w:val="21"/>
        </w:rPr>
        <w:t>更</w:t>
      </w:r>
      <w:r>
        <w:rPr>
          <w:rFonts w:hint="default" w:ascii="Times New Roman" w:hAnsi="Times New Roman" w:eastAsia="宋体" w:cs="Times New Roman"/>
          <w:spacing w:val="13"/>
          <w:szCs w:val="21"/>
        </w:rPr>
        <w:t>大的消费选择范围。</w:t>
      </w:r>
    </w:p>
    <w:p w14:paraId="7ADC4A39">
      <w:pPr>
        <w:spacing w:line="400" w:lineRule="exact"/>
        <w:ind w:firstLine="500" w:firstLineChars="200"/>
        <w:rPr>
          <w:rFonts w:hint="default" w:ascii="Times New Roman" w:hAnsi="Times New Roman" w:eastAsia="宋体" w:cs="Times New Roman"/>
        </w:rPr>
      </w:pPr>
      <w:r>
        <w:rPr>
          <w:rFonts w:hint="default" w:ascii="Times New Roman" w:hAnsi="Times New Roman" w:eastAsia="宋体" w:cs="Times New Roman"/>
          <w:spacing w:val="20"/>
          <w:szCs w:val="21"/>
        </w:rPr>
        <w:t>收入水平的提高和丰富多</w:t>
      </w:r>
      <w:r>
        <w:rPr>
          <w:rFonts w:hint="default" w:ascii="Times New Roman" w:hAnsi="Times New Roman" w:eastAsia="宋体" w:cs="Times New Roman"/>
          <w:spacing w:val="18"/>
          <w:szCs w:val="21"/>
        </w:rPr>
        <w:t>彩</w:t>
      </w:r>
      <w:r>
        <w:rPr>
          <w:rFonts w:hint="default" w:ascii="Times New Roman" w:hAnsi="Times New Roman" w:eastAsia="宋体" w:cs="Times New Roman"/>
          <w:spacing w:val="20"/>
          <w:szCs w:val="21"/>
        </w:rPr>
        <w:t>的</w:t>
      </w:r>
      <w:r>
        <w:rPr>
          <w:rFonts w:hint="default" w:ascii="Times New Roman" w:hAnsi="Times New Roman" w:eastAsia="宋体" w:cs="Times New Roman"/>
          <w:spacing w:val="13"/>
          <w:szCs w:val="21"/>
        </w:rPr>
        <w:t>消费品种，无疑会使东部居民</w:t>
      </w:r>
      <w:r>
        <w:rPr>
          <w:rFonts w:hint="default" w:ascii="Times New Roman" w:hAnsi="Times New Roman" w:eastAsia="宋体" w:cs="Times New Roman"/>
          <w:spacing w:val="21"/>
          <w:szCs w:val="21"/>
        </w:rPr>
        <w:t>的</w:t>
      </w:r>
      <w:r>
        <w:rPr>
          <w:rFonts w:hint="default" w:ascii="Times New Roman" w:hAnsi="Times New Roman" w:eastAsia="宋体" w:cs="Times New Roman"/>
          <w:spacing w:val="15"/>
          <w:szCs w:val="21"/>
        </w:rPr>
        <w:t>生活水平得到大幅的提高，而</w:t>
      </w:r>
      <w:r>
        <w:rPr>
          <w:rFonts w:hint="default" w:ascii="Times New Roman" w:hAnsi="Times New Roman" w:eastAsia="宋体" w:cs="Times New Roman"/>
          <w:spacing w:val="24"/>
          <w:szCs w:val="21"/>
        </w:rPr>
        <w:t>这</w:t>
      </w:r>
      <w:r>
        <w:rPr>
          <w:rFonts w:hint="default" w:ascii="Times New Roman" w:hAnsi="Times New Roman" w:eastAsia="宋体" w:cs="Times New Roman"/>
          <w:spacing w:val="23"/>
          <w:szCs w:val="21"/>
        </w:rPr>
        <w:t>又会使原本就存在差异的东西</w:t>
      </w:r>
      <w:r>
        <w:rPr>
          <w:rFonts w:hint="default" w:ascii="Times New Roman" w:hAnsi="Times New Roman" w:eastAsia="宋体" w:cs="Times New Roman"/>
          <w:spacing w:val="21"/>
          <w:szCs w:val="21"/>
        </w:rPr>
        <w:t>部</w:t>
      </w:r>
      <w:r>
        <w:rPr>
          <w:rFonts w:hint="default" w:ascii="Times New Roman" w:hAnsi="Times New Roman" w:eastAsia="宋体" w:cs="Times New Roman"/>
          <w:spacing w:val="15"/>
          <w:szCs w:val="21"/>
        </w:rPr>
        <w:t>消费水平差距进一步拉大，从</w:t>
      </w:r>
      <w:r>
        <w:rPr>
          <w:rFonts w:hint="default" w:ascii="Times New Roman" w:hAnsi="Times New Roman" w:eastAsia="宋体" w:cs="Times New Roman"/>
          <w:spacing w:val="23"/>
          <w:szCs w:val="21"/>
        </w:rPr>
        <w:t>而</w:t>
      </w:r>
      <w:r>
        <w:rPr>
          <w:rFonts w:hint="default" w:ascii="Times New Roman" w:hAnsi="Times New Roman" w:eastAsia="宋体" w:cs="Times New Roman"/>
          <w:spacing w:val="13"/>
          <w:szCs w:val="21"/>
        </w:rPr>
        <w:t>不可能引发一系列的社会问题。</w:t>
      </w:r>
      <w:r>
        <w:rPr>
          <w:rFonts w:hint="default" w:ascii="Times New Roman" w:hAnsi="Times New Roman" w:eastAsia="宋体" w:cs="Times New Roman"/>
          <w:spacing w:val="21"/>
          <w:szCs w:val="21"/>
        </w:rPr>
        <w:t>这</w:t>
      </w:r>
      <w:r>
        <w:rPr>
          <w:rFonts w:hint="default" w:ascii="Times New Roman" w:hAnsi="Times New Roman" w:eastAsia="宋体" w:cs="Times New Roman"/>
          <w:spacing w:val="14"/>
          <w:szCs w:val="21"/>
        </w:rPr>
        <w:t>一点必须引起我们的注意。</w:t>
      </w:r>
    </w:p>
    <w:p w14:paraId="670B9AB9">
      <w:pPr>
        <w:spacing w:line="400" w:lineRule="exact"/>
        <w:ind w:firstLine="568" w:firstLineChars="200"/>
        <w:jc w:val="center"/>
        <w:rPr>
          <w:rFonts w:hint="eastAsia" w:ascii="黑体" w:hAnsi="黑体" w:eastAsia="黑体" w:cs="黑体"/>
          <w:b w:val="0"/>
          <w:bCs w:val="0"/>
          <w:sz w:val="24"/>
          <w:szCs w:val="28"/>
        </w:rPr>
      </w:pPr>
      <w:r>
        <w:rPr>
          <w:rFonts w:hint="eastAsia" w:ascii="黑体" w:hAnsi="黑体" w:eastAsia="黑体" w:cs="黑体"/>
          <w:b w:val="0"/>
          <w:bCs w:val="0"/>
          <w:spacing w:val="22"/>
          <w:sz w:val="24"/>
          <w:szCs w:val="24"/>
        </w:rPr>
        <w:t>主</w:t>
      </w:r>
      <w:r>
        <w:rPr>
          <w:rFonts w:hint="eastAsia" w:ascii="黑体" w:hAnsi="黑体" w:eastAsia="黑体" w:cs="黑体"/>
          <w:b w:val="0"/>
          <w:bCs w:val="0"/>
          <w:spacing w:val="19"/>
          <w:sz w:val="24"/>
          <w:szCs w:val="24"/>
        </w:rPr>
        <w:t>要应对措施</w:t>
      </w:r>
    </w:p>
    <w:p w14:paraId="48AF9161">
      <w:pPr>
        <w:spacing w:line="400" w:lineRule="exact"/>
        <w:ind w:firstLine="496" w:firstLineChars="200"/>
        <w:rPr>
          <w:rFonts w:hint="default" w:ascii="Times New Roman" w:hAnsi="Times New Roman" w:eastAsia="宋体" w:cs="Times New Roman"/>
        </w:rPr>
      </w:pPr>
      <w:r>
        <w:rPr>
          <w:rFonts w:hint="default" w:ascii="Times New Roman" w:hAnsi="Times New Roman" w:eastAsia="宋体" w:cs="Times New Roman"/>
          <w:spacing w:val="19"/>
          <w:szCs w:val="21"/>
        </w:rPr>
        <w:t>加</w:t>
      </w:r>
      <w:r>
        <w:rPr>
          <w:rFonts w:hint="default" w:ascii="Times New Roman" w:hAnsi="Times New Roman" w:eastAsia="宋体" w:cs="Times New Roman"/>
          <w:spacing w:val="11"/>
          <w:szCs w:val="21"/>
        </w:rPr>
        <w:t>入世贸组织，对中国来说</w:t>
      </w:r>
      <w:r>
        <w:rPr>
          <w:rFonts w:hint="default" w:ascii="Times New Roman" w:hAnsi="Times New Roman" w:eastAsia="宋体" w:cs="Times New Roman"/>
          <w:spacing w:val="20"/>
          <w:szCs w:val="21"/>
        </w:rPr>
        <w:t>既</w:t>
      </w:r>
      <w:r>
        <w:rPr>
          <w:rFonts w:hint="default" w:ascii="Times New Roman" w:hAnsi="Times New Roman" w:eastAsia="宋体" w:cs="Times New Roman"/>
          <w:spacing w:val="15"/>
          <w:szCs w:val="21"/>
        </w:rPr>
        <w:t>是机遇又是挑战。在把握机遇</w:t>
      </w:r>
      <w:r>
        <w:rPr>
          <w:rFonts w:hint="default" w:ascii="Times New Roman" w:hAnsi="Times New Roman" w:eastAsia="宋体" w:cs="Times New Roman"/>
          <w:spacing w:val="10"/>
          <w:szCs w:val="21"/>
        </w:rPr>
        <w:t>的</w:t>
      </w:r>
      <w:r>
        <w:rPr>
          <w:rFonts w:hint="default" w:ascii="Times New Roman" w:hAnsi="Times New Roman" w:eastAsia="宋体" w:cs="Times New Roman"/>
          <w:spacing w:val="6"/>
          <w:szCs w:val="21"/>
        </w:rPr>
        <w:t>同时，我们也要勇于迎接挑战，</w:t>
      </w:r>
      <w:r>
        <w:rPr>
          <w:rFonts w:hint="default" w:ascii="Times New Roman" w:hAnsi="Times New Roman" w:eastAsia="宋体" w:cs="Times New Roman"/>
          <w:spacing w:val="26"/>
          <w:szCs w:val="21"/>
        </w:rPr>
        <w:t>采</w:t>
      </w:r>
      <w:r>
        <w:rPr>
          <w:rFonts w:hint="default" w:ascii="Times New Roman" w:hAnsi="Times New Roman" w:eastAsia="宋体" w:cs="Times New Roman"/>
          <w:spacing w:val="23"/>
          <w:szCs w:val="21"/>
        </w:rPr>
        <w:t>取一些必要的措施来克服即将</w:t>
      </w:r>
      <w:r>
        <w:rPr>
          <w:rFonts w:hint="default" w:ascii="Times New Roman" w:hAnsi="Times New Roman" w:eastAsia="宋体" w:cs="Times New Roman"/>
          <w:spacing w:val="13"/>
          <w:szCs w:val="21"/>
        </w:rPr>
        <w:t>面对的困难。</w:t>
      </w:r>
    </w:p>
    <w:p w14:paraId="34EA8E2E">
      <w:pPr>
        <w:spacing w:line="400" w:lineRule="exact"/>
        <w:ind w:firstLine="500" w:firstLineChars="200"/>
        <w:rPr>
          <w:rFonts w:hint="default" w:ascii="Times New Roman" w:hAnsi="Times New Roman" w:eastAsia="宋体" w:cs="Times New Roman"/>
        </w:rPr>
      </w:pPr>
      <w:r>
        <w:rPr>
          <w:rFonts w:hint="default" w:ascii="Times New Roman" w:hAnsi="Times New Roman" w:eastAsia="宋体" w:cs="Times New Roman"/>
          <w:spacing w:val="20"/>
          <w:szCs w:val="21"/>
        </w:rPr>
        <w:t>对</w:t>
      </w:r>
      <w:r>
        <w:rPr>
          <w:rFonts w:hint="default" w:ascii="Times New Roman" w:hAnsi="Times New Roman" w:eastAsia="宋体" w:cs="Times New Roman"/>
          <w:spacing w:val="11"/>
          <w:szCs w:val="21"/>
        </w:rPr>
        <w:t>于政府部门来说，首先要</w:t>
      </w:r>
      <w:r>
        <w:rPr>
          <w:rFonts w:hint="default" w:ascii="Times New Roman" w:hAnsi="Times New Roman" w:eastAsia="宋体" w:cs="Times New Roman"/>
          <w:spacing w:val="22"/>
          <w:szCs w:val="21"/>
        </w:rPr>
        <w:t>做</w:t>
      </w:r>
      <w:r>
        <w:rPr>
          <w:rFonts w:hint="default" w:ascii="Times New Roman" w:hAnsi="Times New Roman" w:eastAsia="宋体" w:cs="Times New Roman"/>
          <w:spacing w:val="15"/>
          <w:szCs w:val="21"/>
        </w:rPr>
        <w:t>的是实现其职能的转换，必须</w:t>
      </w:r>
      <w:r>
        <w:rPr>
          <w:rFonts w:hint="default" w:ascii="Times New Roman" w:hAnsi="Times New Roman" w:eastAsia="宋体" w:cs="Times New Roman"/>
          <w:spacing w:val="25"/>
          <w:szCs w:val="21"/>
        </w:rPr>
        <w:t>从</w:t>
      </w:r>
      <w:r>
        <w:rPr>
          <w:rFonts w:hint="default" w:ascii="Times New Roman" w:hAnsi="Times New Roman" w:eastAsia="宋体" w:cs="Times New Roman"/>
          <w:spacing w:val="23"/>
          <w:szCs w:val="21"/>
        </w:rPr>
        <w:t>过去的市场参与者的地位转变</w:t>
      </w:r>
      <w:r>
        <w:rPr>
          <w:rFonts w:hint="default" w:ascii="Times New Roman" w:hAnsi="Times New Roman" w:eastAsia="宋体" w:cs="Times New Roman"/>
          <w:spacing w:val="30"/>
          <w:szCs w:val="21"/>
        </w:rPr>
        <w:t>为</w:t>
      </w:r>
      <w:r>
        <w:rPr>
          <w:rFonts w:hint="default" w:ascii="Times New Roman" w:hAnsi="Times New Roman" w:eastAsia="宋体" w:cs="Times New Roman"/>
          <w:spacing w:val="29"/>
          <w:szCs w:val="21"/>
        </w:rPr>
        <w:t>市场监督者和管理者的地位。</w:t>
      </w:r>
    </w:p>
    <w:p w14:paraId="1FE15297">
      <w:pPr>
        <w:spacing w:line="400" w:lineRule="exact"/>
        <w:ind w:firstLine="468" w:firstLineChars="200"/>
        <w:rPr>
          <w:rFonts w:hint="default" w:ascii="Times New Roman" w:hAnsi="Times New Roman" w:eastAsia="宋体" w:cs="Times New Roman"/>
        </w:rPr>
      </w:pPr>
      <w:r>
        <w:rPr>
          <w:rFonts w:hint="default" w:ascii="Times New Roman" w:hAnsi="Times New Roman" w:eastAsia="宋体" w:cs="Times New Roman"/>
          <w:spacing w:val="12"/>
          <w:szCs w:val="21"/>
        </w:rPr>
        <w:t>目前，政府部门刻不容缓的首</w:t>
      </w:r>
      <w:r>
        <w:rPr>
          <w:rFonts w:hint="default" w:ascii="Times New Roman" w:hAnsi="Times New Roman" w:eastAsia="宋体" w:cs="Times New Roman"/>
          <w:spacing w:val="11"/>
          <w:szCs w:val="21"/>
        </w:rPr>
        <w:t>要</w:t>
      </w:r>
      <w:r>
        <w:rPr>
          <w:rFonts w:hint="default" w:ascii="Times New Roman" w:hAnsi="Times New Roman" w:eastAsia="宋体" w:cs="Times New Roman"/>
          <w:spacing w:val="31"/>
          <w:szCs w:val="21"/>
        </w:rPr>
        <w:t>任</w:t>
      </w:r>
      <w:r>
        <w:rPr>
          <w:rFonts w:hint="default" w:ascii="Times New Roman" w:hAnsi="Times New Roman" w:eastAsia="宋体" w:cs="Times New Roman"/>
          <w:spacing w:val="23"/>
          <w:szCs w:val="21"/>
        </w:rPr>
        <w:t>务就是要尽快建立起一套完善</w:t>
      </w:r>
      <w:r>
        <w:rPr>
          <w:rFonts w:hint="default" w:ascii="Times New Roman" w:hAnsi="Times New Roman" w:eastAsia="宋体" w:cs="Times New Roman"/>
          <w:spacing w:val="37"/>
          <w:szCs w:val="21"/>
        </w:rPr>
        <w:t>的</w:t>
      </w:r>
      <w:r>
        <w:rPr>
          <w:rFonts w:hint="default" w:ascii="Times New Roman" w:hAnsi="Times New Roman" w:eastAsia="宋体" w:cs="Times New Roman"/>
          <w:spacing w:val="29"/>
          <w:szCs w:val="21"/>
        </w:rPr>
        <w:t>与国际惯例接轨的法规体系。</w:t>
      </w:r>
      <w:r>
        <w:rPr>
          <w:rFonts w:hint="default" w:ascii="Times New Roman" w:hAnsi="Times New Roman" w:eastAsia="宋体" w:cs="Times New Roman"/>
          <w:szCs w:val="21"/>
        </w:rPr>
        <w:t>WTO</w:t>
      </w:r>
      <w:r>
        <w:rPr>
          <w:rFonts w:hint="default" w:ascii="Times New Roman" w:hAnsi="Times New Roman" w:eastAsia="宋体" w:cs="Times New Roman"/>
          <w:spacing w:val="17"/>
          <w:szCs w:val="21"/>
        </w:rPr>
        <w:t>是世界性贸易组织，一旦加</w:t>
      </w:r>
      <w:r>
        <w:rPr>
          <w:rFonts w:hint="default" w:ascii="Times New Roman" w:hAnsi="Times New Roman" w:eastAsia="宋体" w:cs="Times New Roman"/>
          <w:spacing w:val="13"/>
          <w:szCs w:val="21"/>
        </w:rPr>
        <w:t>入</w:t>
      </w:r>
      <w:r>
        <w:rPr>
          <w:rFonts w:hint="default" w:ascii="Times New Roman" w:hAnsi="Times New Roman" w:eastAsia="宋体" w:cs="Times New Roman"/>
          <w:spacing w:val="10"/>
          <w:szCs w:val="21"/>
        </w:rPr>
        <w:t>，必须要按照有关规则办事。就</w:t>
      </w:r>
      <w:r>
        <w:rPr>
          <w:rFonts w:hint="default" w:ascii="Times New Roman" w:hAnsi="Times New Roman" w:eastAsia="宋体" w:cs="Times New Roman"/>
          <w:spacing w:val="20"/>
          <w:szCs w:val="21"/>
        </w:rPr>
        <w:t>消</w:t>
      </w:r>
      <w:r>
        <w:rPr>
          <w:rFonts w:hint="default" w:ascii="Times New Roman" w:hAnsi="Times New Roman" w:eastAsia="宋体" w:cs="Times New Roman"/>
          <w:spacing w:val="16"/>
          <w:szCs w:val="21"/>
        </w:rPr>
        <w:t>费领域来看，一方面要求对原</w:t>
      </w:r>
      <w:r>
        <w:rPr>
          <w:rFonts w:hint="default" w:ascii="Times New Roman" w:hAnsi="Times New Roman" w:eastAsia="宋体" w:cs="Times New Roman"/>
          <w:spacing w:val="24"/>
          <w:szCs w:val="21"/>
        </w:rPr>
        <w:t>来我国制定的一些不符合</w:t>
      </w:r>
      <w:r>
        <w:rPr>
          <w:rFonts w:hint="default" w:ascii="Times New Roman" w:hAnsi="Times New Roman" w:eastAsia="宋体" w:cs="Times New Roman"/>
          <w:szCs w:val="21"/>
        </w:rPr>
        <w:t>WTO</w:t>
      </w:r>
      <w:r>
        <w:rPr>
          <w:rFonts w:hint="default" w:ascii="Times New Roman" w:hAnsi="Times New Roman" w:eastAsia="宋体" w:cs="Times New Roman"/>
          <w:spacing w:val="19"/>
          <w:szCs w:val="21"/>
        </w:rPr>
        <w:t>规</w:t>
      </w:r>
      <w:r>
        <w:rPr>
          <w:rFonts w:hint="default" w:ascii="Times New Roman" w:hAnsi="Times New Roman" w:eastAsia="宋体" w:cs="Times New Roman"/>
          <w:spacing w:val="16"/>
          <w:szCs w:val="21"/>
        </w:rPr>
        <w:t>则的价格法律条文、法规和政</w:t>
      </w:r>
      <w:r>
        <w:rPr>
          <w:rFonts w:hint="default" w:ascii="Times New Roman" w:hAnsi="Times New Roman" w:eastAsia="宋体" w:cs="Times New Roman"/>
          <w:spacing w:val="19"/>
          <w:szCs w:val="21"/>
        </w:rPr>
        <w:t>策</w:t>
      </w:r>
      <w:r>
        <w:rPr>
          <w:rFonts w:hint="default" w:ascii="Times New Roman" w:hAnsi="Times New Roman" w:eastAsia="宋体" w:cs="Times New Roman"/>
          <w:spacing w:val="13"/>
          <w:szCs w:val="21"/>
        </w:rPr>
        <w:t>等要及时进行清理；另一方面，</w:t>
      </w:r>
      <w:r>
        <w:rPr>
          <w:rFonts w:hint="default" w:ascii="Times New Roman" w:hAnsi="Times New Roman" w:eastAsia="宋体" w:cs="Times New Roman"/>
          <w:spacing w:val="16"/>
          <w:szCs w:val="21"/>
        </w:rPr>
        <w:t>要加紧制定诸如反价格垄断、</w:t>
      </w:r>
      <w:r>
        <w:rPr>
          <w:rFonts w:hint="default" w:ascii="Times New Roman" w:hAnsi="Times New Roman" w:eastAsia="宋体" w:cs="Times New Roman"/>
          <w:spacing w:val="14"/>
          <w:szCs w:val="21"/>
        </w:rPr>
        <w:t>价</w:t>
      </w:r>
      <w:r>
        <w:rPr>
          <w:rFonts w:hint="default" w:ascii="Times New Roman" w:hAnsi="Times New Roman" w:eastAsia="宋体" w:cs="Times New Roman"/>
          <w:spacing w:val="13"/>
          <w:szCs w:val="21"/>
        </w:rPr>
        <w:t>格</w:t>
      </w:r>
      <w:r>
        <w:rPr>
          <w:rFonts w:hint="default" w:ascii="Times New Roman" w:hAnsi="Times New Roman" w:eastAsia="宋体" w:cs="Times New Roman"/>
          <w:spacing w:val="10"/>
          <w:szCs w:val="21"/>
        </w:rPr>
        <w:t>歧视、价格倾销、价格欺诈等不</w:t>
      </w:r>
      <w:r>
        <w:rPr>
          <w:rFonts w:hint="default" w:ascii="Times New Roman" w:hAnsi="Times New Roman" w:eastAsia="宋体" w:cs="Times New Roman"/>
          <w:spacing w:val="14"/>
          <w:szCs w:val="21"/>
        </w:rPr>
        <w:t>正</w:t>
      </w:r>
      <w:r>
        <w:rPr>
          <w:rFonts w:hint="default" w:ascii="Times New Roman" w:hAnsi="Times New Roman" w:eastAsia="宋体" w:cs="Times New Roman"/>
          <w:spacing w:val="10"/>
          <w:szCs w:val="21"/>
        </w:rPr>
        <w:t>当</w:t>
      </w:r>
      <w:r>
        <w:rPr>
          <w:rFonts w:hint="default" w:ascii="Times New Roman" w:hAnsi="Times New Roman" w:eastAsia="宋体" w:cs="Times New Roman"/>
          <w:spacing w:val="7"/>
          <w:szCs w:val="21"/>
        </w:rPr>
        <w:t>价格行为，以及农产品价格、</w:t>
      </w:r>
      <w:r>
        <w:rPr>
          <w:rFonts w:hint="default" w:ascii="Times New Roman" w:hAnsi="Times New Roman" w:eastAsia="宋体" w:cs="Times New Roman"/>
          <w:spacing w:val="31"/>
          <w:szCs w:val="21"/>
        </w:rPr>
        <w:t>民</w:t>
      </w:r>
      <w:r>
        <w:rPr>
          <w:rFonts w:hint="default" w:ascii="Times New Roman" w:hAnsi="Times New Roman" w:eastAsia="宋体" w:cs="Times New Roman"/>
          <w:spacing w:val="23"/>
          <w:szCs w:val="21"/>
        </w:rPr>
        <w:t>族工业价格保护等方面的一系</w:t>
      </w:r>
      <w:r>
        <w:rPr>
          <w:rFonts w:hint="default" w:ascii="Times New Roman" w:hAnsi="Times New Roman" w:eastAsia="宋体" w:cs="Times New Roman"/>
          <w:spacing w:val="16"/>
          <w:szCs w:val="21"/>
        </w:rPr>
        <w:t>列</w:t>
      </w:r>
      <w:r>
        <w:rPr>
          <w:rFonts w:hint="default" w:ascii="Times New Roman" w:hAnsi="Times New Roman" w:eastAsia="宋体" w:cs="Times New Roman"/>
          <w:spacing w:val="15"/>
          <w:szCs w:val="21"/>
        </w:rPr>
        <w:t>法律制度，并规定具体的操作</w:t>
      </w:r>
      <w:r>
        <w:rPr>
          <w:rFonts w:hint="default" w:ascii="Times New Roman" w:hAnsi="Times New Roman" w:eastAsia="宋体" w:cs="Times New Roman"/>
          <w:spacing w:val="16"/>
          <w:szCs w:val="21"/>
        </w:rPr>
        <w:t>措</w:t>
      </w:r>
      <w:r>
        <w:rPr>
          <w:rFonts w:hint="default" w:ascii="Times New Roman" w:hAnsi="Times New Roman" w:eastAsia="宋体" w:cs="Times New Roman"/>
          <w:spacing w:val="15"/>
          <w:szCs w:val="21"/>
        </w:rPr>
        <w:t>施，以此规范消费市场的交易</w:t>
      </w:r>
      <w:r>
        <w:rPr>
          <w:rFonts w:hint="default" w:ascii="Times New Roman" w:hAnsi="Times New Roman" w:eastAsia="宋体" w:cs="Times New Roman"/>
          <w:spacing w:val="16"/>
          <w:szCs w:val="21"/>
        </w:rPr>
        <w:t>和</w:t>
      </w:r>
      <w:r>
        <w:rPr>
          <w:rFonts w:hint="default" w:ascii="Times New Roman" w:hAnsi="Times New Roman" w:eastAsia="宋体" w:cs="Times New Roman"/>
          <w:spacing w:val="15"/>
          <w:szCs w:val="21"/>
        </w:rPr>
        <w:t>价格行为，保护各方参与者尤其是消费者的合法权益</w:t>
      </w:r>
      <w:r>
        <w:rPr>
          <w:rFonts w:hint="default" w:ascii="Times New Roman" w:hAnsi="Times New Roman" w:eastAsia="宋体" w:cs="Times New Roman"/>
          <w:spacing w:val="14"/>
          <w:szCs w:val="21"/>
        </w:rPr>
        <w:t>。</w:t>
      </w:r>
    </w:p>
    <w:p w14:paraId="63CEDD87">
      <w:pPr>
        <w:spacing w:line="400" w:lineRule="exact"/>
        <w:ind w:firstLine="508" w:firstLineChars="200"/>
        <w:rPr>
          <w:rFonts w:hint="default" w:ascii="Times New Roman" w:hAnsi="Times New Roman" w:eastAsia="宋体" w:cs="Times New Roman"/>
          <w:spacing w:val="23"/>
          <w:szCs w:val="21"/>
        </w:rPr>
      </w:pPr>
      <w:r>
        <w:rPr>
          <w:rFonts w:hint="default" w:ascii="Times New Roman" w:hAnsi="Times New Roman" w:eastAsia="宋体" w:cs="Times New Roman"/>
          <w:spacing w:val="22"/>
          <w:szCs w:val="21"/>
        </w:rPr>
        <w:t>对于消费市场主体的消费者</w:t>
      </w:r>
      <w:r>
        <w:rPr>
          <w:rFonts w:hint="default" w:ascii="Times New Roman" w:hAnsi="Times New Roman" w:eastAsia="宋体" w:cs="Times New Roman"/>
          <w:spacing w:val="24"/>
          <w:szCs w:val="21"/>
        </w:rPr>
        <w:t>而</w:t>
      </w:r>
      <w:r>
        <w:rPr>
          <w:rFonts w:hint="default" w:ascii="Times New Roman" w:hAnsi="Times New Roman" w:eastAsia="宋体" w:cs="Times New Roman"/>
          <w:spacing w:val="14"/>
          <w:szCs w:val="21"/>
        </w:rPr>
        <w:t>言，当务之急则是努力完善自</w:t>
      </w:r>
      <w:r>
        <w:rPr>
          <w:rFonts w:hint="default" w:ascii="Times New Roman" w:hAnsi="Times New Roman" w:eastAsia="宋体" w:cs="Times New Roman"/>
          <w:spacing w:val="10"/>
          <w:szCs w:val="21"/>
        </w:rPr>
        <w:t>身，提高自身的消费素质。而提</w:t>
      </w:r>
      <w:r>
        <w:rPr>
          <w:rFonts w:hint="default" w:ascii="Times New Roman" w:hAnsi="Times New Roman" w:eastAsia="宋体" w:cs="Times New Roman"/>
          <w:spacing w:val="7"/>
          <w:szCs w:val="21"/>
        </w:rPr>
        <w:t>高</w:t>
      </w:r>
      <w:r>
        <w:rPr>
          <w:rFonts w:hint="default" w:ascii="Times New Roman" w:hAnsi="Times New Roman" w:eastAsia="宋体" w:cs="Times New Roman"/>
          <w:spacing w:val="26"/>
          <w:szCs w:val="21"/>
        </w:rPr>
        <w:t>消</w:t>
      </w:r>
      <w:r>
        <w:rPr>
          <w:rFonts w:hint="default" w:ascii="Times New Roman" w:hAnsi="Times New Roman" w:eastAsia="宋体" w:cs="Times New Roman"/>
          <w:spacing w:val="23"/>
          <w:szCs w:val="21"/>
        </w:rPr>
        <w:t>费素质可通过接受一定消费者</w:t>
      </w:r>
      <w:r>
        <w:rPr>
          <w:rFonts w:hint="default" w:ascii="Times New Roman" w:hAnsi="Times New Roman" w:eastAsia="宋体" w:cs="Times New Roman"/>
          <w:spacing w:val="24"/>
          <w:szCs w:val="21"/>
        </w:rPr>
        <w:t>教</w:t>
      </w:r>
      <w:r>
        <w:rPr>
          <w:rFonts w:hint="default" w:ascii="Times New Roman" w:hAnsi="Times New Roman" w:eastAsia="宋体" w:cs="Times New Roman"/>
          <w:spacing w:val="14"/>
          <w:szCs w:val="21"/>
        </w:rPr>
        <w:t>育来实现。消费者教育是指针</w:t>
      </w:r>
      <w:r>
        <w:rPr>
          <w:rFonts w:hint="default" w:ascii="Times New Roman" w:hAnsi="Times New Roman" w:eastAsia="宋体" w:cs="Times New Roman"/>
          <w:spacing w:val="26"/>
          <w:szCs w:val="21"/>
        </w:rPr>
        <w:t>对</w:t>
      </w:r>
      <w:r>
        <w:rPr>
          <w:rFonts w:hint="default" w:ascii="Times New Roman" w:hAnsi="Times New Roman" w:eastAsia="宋体" w:cs="Times New Roman"/>
          <w:spacing w:val="23"/>
          <w:szCs w:val="21"/>
        </w:rPr>
        <w:t>消费者进行的有关生活消费的</w:t>
      </w:r>
      <w:r>
        <w:rPr>
          <w:rFonts w:hint="default" w:ascii="Times New Roman" w:hAnsi="Times New Roman" w:eastAsia="宋体" w:cs="Times New Roman"/>
          <w:spacing w:val="10"/>
          <w:szCs w:val="21"/>
        </w:rPr>
        <w:t>基本理论、基本性能、消费观念</w:t>
      </w:r>
      <w:r>
        <w:rPr>
          <w:rFonts w:hint="default" w:ascii="Times New Roman" w:hAnsi="Times New Roman" w:eastAsia="宋体" w:cs="Times New Roman"/>
          <w:spacing w:val="7"/>
          <w:szCs w:val="21"/>
        </w:rPr>
        <w:t>以</w:t>
      </w:r>
      <w:r>
        <w:rPr>
          <w:rFonts w:hint="default" w:ascii="Times New Roman" w:hAnsi="Times New Roman" w:eastAsia="宋体" w:cs="Times New Roman"/>
          <w:spacing w:val="26"/>
          <w:szCs w:val="21"/>
        </w:rPr>
        <w:t>及</w:t>
      </w:r>
      <w:r>
        <w:rPr>
          <w:rFonts w:hint="default" w:ascii="Times New Roman" w:hAnsi="Times New Roman" w:eastAsia="宋体" w:cs="Times New Roman"/>
          <w:spacing w:val="23"/>
          <w:szCs w:val="21"/>
        </w:rPr>
        <w:t>消费者保护等方面知识教育的总称。其目的是使消费者获得消费知识和掌握消费技能，树立正确的消费观念，提高自身素质，成为理智和成熟的消费者。消费者教育是一项与广大消费者生活密切相关的社会教育活动，是国民素质教育的重要组成部分。我国的《消费者权益保护法》及各地方制定的保护消费者权益的地方性法规或规章中都有关与消费者教育的规定(此项教育活动已得到各国政府的重视和支持。如美国联邦政府将消费者教育引入政府保护消费者权益机构的主要职能中。1968年，日本政府在制定《消费者保护基本法》时就已经把消费者教育内容和措施纳入法律规范)。中国加入WTO以后，中国市场即融入整个WTO体系，外国商品大量涌入，可供消费者选择的品种更加丰富，但同时也使消费者的信息弱势地位更加恶化。消费者怎样才能充分了解有关其所需商品价格、性能、安全标准等方面的消费信息，成为摆在消费者面前的一大难题。另一突出问题，则是当消费者在消费市场上受到非法侵害时，如何才能正确而有效的动用法律武器维护自身的合法权益。笔者认为，开展消费者教育活动，对于解决以上所述消费者知情权和维权问题是极具针对性的。</w:t>
      </w:r>
    </w:p>
    <w:p w14:paraId="149236A0">
      <w:pPr>
        <w:spacing w:line="400" w:lineRule="exact"/>
        <w:ind w:firstLine="512" w:firstLineChars="200"/>
        <w:rPr>
          <w:rFonts w:hint="default" w:ascii="Times New Roman" w:hAnsi="Times New Roman" w:eastAsia="宋体" w:cs="Times New Roman"/>
          <w:spacing w:val="23"/>
          <w:szCs w:val="21"/>
        </w:rPr>
      </w:pPr>
    </w:p>
    <w:p w14:paraId="195A513A">
      <w:pPr>
        <w:spacing w:line="400" w:lineRule="exact"/>
        <w:ind w:firstLine="512" w:firstLineChars="200"/>
        <w:rPr>
          <w:rFonts w:hint="default" w:ascii="Times New Roman" w:hAnsi="Times New Roman" w:eastAsia="宋体" w:cs="Times New Roman"/>
          <w:spacing w:val="23"/>
          <w:szCs w:val="21"/>
        </w:rPr>
      </w:pPr>
    </w:p>
    <w:p w14:paraId="6254B433">
      <w:pPr>
        <w:spacing w:line="400" w:lineRule="exact"/>
        <w:ind w:firstLine="512" w:firstLineChars="200"/>
        <w:rPr>
          <w:rFonts w:hint="default" w:ascii="Times New Roman" w:hAnsi="Times New Roman" w:eastAsia="宋体" w:cs="Times New Roman"/>
          <w:spacing w:val="23"/>
        </w:rPr>
      </w:pPr>
      <w:r>
        <w:rPr>
          <w:rFonts w:hint="default" w:ascii="Times New Roman" w:hAnsi="Times New Roman" w:eastAsia="宋体" w:cs="Times New Roman"/>
          <w:spacing w:val="23"/>
          <w:szCs w:val="21"/>
        </w:rPr>
        <w:t>(原载《上海商业》2002年第1期)</w:t>
      </w:r>
    </w:p>
    <w:p w14:paraId="00A11B8A">
      <w:pPr>
        <w:spacing w:line="400" w:lineRule="exact"/>
        <w:ind w:firstLine="512" w:firstLineChars="200"/>
        <w:rPr>
          <w:rFonts w:hint="default" w:ascii="Times New Roman" w:hAnsi="Times New Roman" w:eastAsia="宋体" w:cs="Times New Roman"/>
          <w:spacing w:val="23"/>
        </w:rPr>
      </w:pPr>
      <w:r>
        <w:rPr>
          <w:rFonts w:hint="default" w:ascii="Times New Roman" w:hAnsi="Times New Roman" w:eastAsia="宋体" w:cs="Times New Roman"/>
          <w:spacing w:val="23"/>
        </w:rPr>
        <w:br w:type="page"/>
      </w:r>
    </w:p>
    <w:p w14:paraId="20DBBFD1">
      <w:pPr>
        <w:spacing w:line="400" w:lineRule="exact"/>
        <w:ind w:firstLine="512" w:firstLineChars="200"/>
        <w:rPr>
          <w:rFonts w:hint="default" w:ascii="Times New Roman" w:hAnsi="Times New Roman" w:eastAsia="宋体" w:cs="Times New Roman"/>
          <w:spacing w:val="23"/>
        </w:rPr>
      </w:pPr>
    </w:p>
    <w:p w14:paraId="1D0B41EB">
      <w:pPr>
        <w:spacing w:line="400" w:lineRule="exact"/>
        <w:ind w:firstLine="732" w:firstLineChars="200"/>
        <w:outlineLvl w:val="1"/>
        <w:rPr>
          <w:rFonts w:hint="eastAsia" w:ascii="黑体" w:hAnsi="黑体" w:eastAsia="黑体" w:cs="黑体"/>
          <w:b w:val="0"/>
          <w:bCs w:val="0"/>
          <w:spacing w:val="23"/>
          <w:sz w:val="32"/>
          <w:szCs w:val="48"/>
        </w:rPr>
      </w:pPr>
      <w:bookmarkStart w:id="170" w:name="_Toc19955"/>
      <w:bookmarkStart w:id="171" w:name="_Toc32115"/>
      <w:bookmarkStart w:id="172" w:name="_Toc1694929543"/>
      <w:bookmarkStart w:id="173" w:name="_Toc1422723596"/>
      <w:r>
        <w:rPr>
          <w:rFonts w:hint="eastAsia" w:ascii="黑体" w:hAnsi="黑体" w:eastAsia="黑体" w:cs="黑体"/>
          <w:b w:val="0"/>
          <w:bCs w:val="0"/>
          <w:spacing w:val="23"/>
          <w:sz w:val="32"/>
          <w:szCs w:val="48"/>
        </w:rPr>
        <w:t>控股、控牌、控技——文化产业如何提升竞争素质</w:t>
      </w:r>
      <w:bookmarkEnd w:id="170"/>
      <w:bookmarkEnd w:id="171"/>
      <w:bookmarkEnd w:id="172"/>
      <w:bookmarkEnd w:id="173"/>
    </w:p>
    <w:p w14:paraId="3B4C09FB">
      <w:pPr>
        <w:spacing w:line="400" w:lineRule="exact"/>
        <w:ind w:firstLine="420" w:firstLineChars="200"/>
        <w:rPr>
          <w:rFonts w:hint="default" w:ascii="Times New Roman" w:hAnsi="Times New Roman" w:eastAsia="宋体" w:cs="Times New Roman"/>
        </w:rPr>
      </w:pPr>
    </w:p>
    <w:p w14:paraId="09945C57">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68" w:firstLineChars="200"/>
        <w:jc w:val="center"/>
        <w:textAlignment w:val="auto"/>
        <w:rPr>
          <w:rFonts w:hint="eastAsia" w:ascii="黑体" w:hAnsi="黑体" w:eastAsia="黑体" w:cs="黑体"/>
          <w:b w:val="0"/>
          <w:bCs w:val="0"/>
          <w:spacing w:val="22"/>
          <w:sz w:val="24"/>
          <w:szCs w:val="24"/>
        </w:rPr>
      </w:pPr>
      <w:r>
        <w:rPr>
          <w:rFonts w:hint="eastAsia" w:ascii="黑体" w:hAnsi="黑体" w:eastAsia="黑体" w:cs="黑体"/>
          <w:b w:val="0"/>
          <w:bCs w:val="0"/>
          <w:spacing w:val="22"/>
          <w:sz w:val="24"/>
          <w:szCs w:val="24"/>
        </w:rPr>
        <w:t>发展“三控型</w:t>
      </w:r>
      <w:r>
        <w:rPr>
          <w:rFonts w:hint="eastAsia" w:ascii="黑体" w:hAnsi="黑体" w:eastAsia="黑体" w:cs="黑体"/>
          <w:b w:val="0"/>
          <w:bCs w:val="0"/>
          <w:spacing w:val="22"/>
          <w:sz w:val="24"/>
          <w:szCs w:val="24"/>
          <w:lang w:val="zh-CN" w:eastAsia="zh-CN"/>
        </w:rPr>
        <w:t>”企业</w:t>
      </w:r>
      <w:r>
        <w:rPr>
          <w:rFonts w:hint="eastAsia" w:ascii="黑体" w:hAnsi="黑体" w:eastAsia="黑体" w:cs="黑体"/>
          <w:b w:val="0"/>
          <w:bCs w:val="0"/>
          <w:spacing w:val="22"/>
          <w:sz w:val="24"/>
          <w:szCs w:val="24"/>
        </w:rPr>
        <w:t>集团，提高文化经营单位竞争力</w:t>
      </w:r>
    </w:p>
    <w:p w14:paraId="5F794535">
      <w:pPr>
        <w:pStyle w:val="21"/>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sz w:val="21"/>
          <w:szCs w:val="21"/>
        </w:rPr>
      </w:pPr>
      <w:r>
        <w:rPr>
          <w:rFonts w:hint="eastAsia" w:ascii="宋体" w:hAnsi="宋体" w:eastAsia="宋体" w:cs="宋体"/>
          <w:color w:val="000000"/>
          <w:sz w:val="21"/>
          <w:szCs w:val="21"/>
        </w:rPr>
        <w:t>首先，加速国有文化经营单位所有制改革。长期以来，人们习惯于把文化看作是公益性事业，由政府出钱设立并当作福利提供给居民。国有文化单位在丰富人民群众业余文化生活，促进社会主义精神文明建设起了很大作用，功不可没。然而，其内部体制和机制必须适应市场经济发展的需要，必须继续改革，以提升盈利能力和竞争素质、</w:t>
      </w:r>
    </w:p>
    <w:p w14:paraId="61800E8D">
      <w:pPr>
        <w:pStyle w:val="21"/>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sz w:val="21"/>
          <w:szCs w:val="21"/>
        </w:rPr>
      </w:pPr>
      <w:r>
        <w:rPr>
          <w:rFonts w:hint="eastAsia" w:ascii="宋体" w:hAnsi="宋体" w:eastAsia="宋体" w:cs="宋体"/>
          <w:color w:val="000000"/>
          <w:sz w:val="21"/>
          <w:szCs w:val="21"/>
        </w:rPr>
        <w:t>其次，采取切实措施，促进文化产业升级。有几种方法值得考虑，一是可以通过财政、物价、税收杠杆及贴息等方式有计划地调节資本流向，提高大型文化娱乐单位融资能力，同时鼓励中小型产业单位扩大再生产，从而増加文化市场总体经济实力、二是积极出台优惠政策，鼓励文化产业单位连锁化经营'、这个方法对音像业最为有效实行连锁化经营，有利于扩大音像业生产能力，改善流通体制，节约流通费用，加速音像业完成产业升级，形成规模经疥，三是设立多种奖励机制，积极鼓励文化领域的技术创新。</w:t>
      </w:r>
    </w:p>
    <w:p w14:paraId="7055A3CF">
      <w:pPr>
        <w:pStyle w:val="21"/>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sz w:val="21"/>
          <w:szCs w:val="21"/>
        </w:rPr>
      </w:pPr>
      <w:r>
        <w:rPr>
          <w:rFonts w:hint="eastAsia" w:ascii="宋体" w:hAnsi="宋体" w:eastAsia="宋体" w:cs="宋体"/>
          <w:color w:val="000000"/>
          <w:sz w:val="21"/>
          <w:szCs w:val="21"/>
        </w:rPr>
        <w:t>第三，发展一批</w:t>
      </w:r>
      <w:r>
        <w:rPr>
          <w:rFonts w:hint="eastAsia" w:ascii="宋体" w:hAnsi="宋体" w:eastAsia="宋体" w:cs="宋体"/>
          <w:color w:val="000000"/>
          <w:sz w:val="21"/>
          <w:szCs w:val="21"/>
          <w:lang w:val="zh-CN" w:eastAsia="zh-CN" w:bidi="zh-CN"/>
        </w:rPr>
        <w:t>“三</w:t>
      </w:r>
      <w:r>
        <w:rPr>
          <w:rFonts w:hint="eastAsia" w:ascii="宋体" w:hAnsi="宋体" w:eastAsia="宋体" w:cs="宋体"/>
          <w:color w:val="000000"/>
          <w:sz w:val="21"/>
          <w:szCs w:val="21"/>
        </w:rPr>
        <w:t>控型"文化企业集团。我国在</w:t>
      </w:r>
      <w:r>
        <w:rPr>
          <w:rFonts w:hint="eastAsia" w:ascii="宋体" w:hAnsi="宋体" w:eastAsia="宋体" w:cs="宋体"/>
          <w:color w:val="000000"/>
          <w:sz w:val="21"/>
          <w:szCs w:val="21"/>
          <w:lang w:val="zh-CN" w:eastAsia="zh-CN" w:bidi="zh-CN"/>
        </w:rPr>
        <w:t>“入世”协</w:t>
      </w:r>
      <w:r>
        <w:rPr>
          <w:rFonts w:hint="eastAsia" w:ascii="宋体" w:hAnsi="宋体" w:eastAsia="宋体" w:cs="宋体"/>
          <w:color w:val="000000"/>
          <w:sz w:val="21"/>
          <w:szCs w:val="21"/>
        </w:rPr>
        <w:t>议中承诺：</w:t>
      </w:r>
    </w:p>
    <w:p w14:paraId="44018328">
      <w:pPr>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rPr>
      </w:pPr>
      <w:r>
        <w:rPr>
          <w:rFonts w:hint="eastAsia" w:ascii="宋体" w:hAnsi="宋体" w:eastAsia="宋体" w:cs="宋体"/>
          <w:color w:val="000000"/>
          <w:szCs w:val="21"/>
          <w:lang w:val="zh-CN" w:bidi="zh-CN"/>
        </w:rPr>
        <w:t>“允</w:t>
      </w:r>
      <w:r>
        <w:rPr>
          <w:rFonts w:hint="eastAsia" w:ascii="宋体" w:hAnsi="宋体" w:eastAsia="宋体" w:cs="宋体"/>
          <w:color w:val="000000"/>
          <w:szCs w:val="21"/>
        </w:rPr>
        <w:t>许外国服务提供者建设或改造电影院，外资比例不得超过49%”；</w:t>
      </w:r>
      <w:r>
        <w:rPr>
          <w:rFonts w:hint="eastAsia" w:ascii="宋体" w:hAnsi="宋体" w:eastAsia="宋体" w:cs="宋体"/>
          <w:color w:val="000000"/>
          <w:szCs w:val="21"/>
          <w:lang w:bidi="en-US"/>
        </w:rPr>
        <w:t>"</w:t>
      </w:r>
      <w:r>
        <w:rPr>
          <w:rFonts w:hint="eastAsia" w:ascii="宋体" w:hAnsi="宋体" w:eastAsia="宋体" w:cs="宋体"/>
          <w:color w:val="000000"/>
          <w:szCs w:val="21"/>
        </w:rPr>
        <w:t>摄影服务加入时对跨境提供服务和境外消费没有限制。只允许设立合营企业，但允许外资控股。”不管是否允许外资控股，建立由中国政府或国民控股（股份）、控牌（品牌）和控技（技术）的,'三控型</w:t>
      </w:r>
      <w:r>
        <w:rPr>
          <w:rFonts w:hint="eastAsia" w:ascii="宋体" w:hAnsi="宋体" w:eastAsia="宋体" w:cs="宋体"/>
          <w:color w:val="000000"/>
          <w:szCs w:val="21"/>
          <w:lang w:val="zh-CN" w:bidi="zh-CN"/>
        </w:rPr>
        <w:t>”文</w:t>
      </w:r>
      <w:r>
        <w:rPr>
          <w:rFonts w:hint="eastAsia" w:ascii="宋体" w:hAnsi="宋体" w:eastAsia="宋体" w:cs="宋体"/>
          <w:color w:val="000000"/>
          <w:szCs w:val="21"/>
        </w:rPr>
        <w:t>化企业集团，必然是应对国外跨国公司来华竞争和占领国际市场的主要力量。一个支柱型文化产业的重要标志之一是综合性产业大集团，如世界500强中的维亚康姆、新闻集团都是文化产业中的巨无霸。因此，必须按照</w:t>
      </w:r>
      <w:r>
        <w:rPr>
          <w:rFonts w:hint="eastAsia" w:ascii="宋体" w:hAnsi="宋体" w:eastAsia="宋体" w:cs="宋体"/>
        </w:rPr>
        <mc:AlternateContent>
          <mc:Choice Requires="wps">
            <w:drawing>
              <wp:anchor distT="0" distB="0" distL="0" distR="0" simplePos="0" relativeHeight="251678720" behindDoc="0" locked="0" layoutInCell="1" allowOverlap="1">
                <wp:simplePos x="0" y="0"/>
                <wp:positionH relativeFrom="page">
                  <wp:posOffset>5334000</wp:posOffset>
                </wp:positionH>
                <wp:positionV relativeFrom="paragraph">
                  <wp:posOffset>7641590</wp:posOffset>
                </wp:positionV>
                <wp:extent cx="359410" cy="140335"/>
                <wp:effectExtent l="0" t="0" r="0" b="0"/>
                <wp:wrapNone/>
                <wp:docPr id="685" name="Shape 19"/>
                <wp:cNvGraphicFramePr/>
                <a:graphic xmlns:a="http://schemas.openxmlformats.org/drawingml/2006/main">
                  <a:graphicData uri="http://schemas.microsoft.com/office/word/2010/wordprocessingShape">
                    <wps:wsp>
                      <wps:cNvSpPr txBox="1"/>
                      <wps:spPr>
                        <a:xfrm>
                          <a:off x="0" y="0"/>
                          <a:ext cx="359410" cy="140335"/>
                        </a:xfrm>
                        <a:prstGeom prst="rect">
                          <a:avLst/>
                        </a:prstGeom>
                        <a:noFill/>
                      </wps:spPr>
                      <wps:txbx>
                        <w:txbxContent>
                          <w:p w14:paraId="1F0CDA7F">
                            <w:pPr>
                              <w:pStyle w:val="36"/>
                              <w:spacing w:line="240" w:lineRule="auto"/>
                              <w:rPr>
                                <w:sz w:val="16"/>
                                <w:szCs w:val="16"/>
                              </w:rPr>
                            </w:pPr>
                            <w:r>
                              <w:rPr>
                                <w:color w:val="000000"/>
                                <w:sz w:val="16"/>
                                <w:szCs w:val="16"/>
                              </w:rPr>
                              <w:t>下，加</w:t>
                            </w:r>
                          </w:p>
                        </w:txbxContent>
                      </wps:txbx>
                      <wps:bodyPr lIns="0" tIns="0" rIns="0" bIns="0">
                        <a:noAutofit/>
                      </wps:bodyPr>
                    </wps:wsp>
                  </a:graphicData>
                </a:graphic>
              </wp:anchor>
            </w:drawing>
          </mc:Choice>
          <mc:Fallback>
            <w:pict>
              <v:shape id="Shape 19" o:spid="_x0000_s1026" o:spt="202" type="#_x0000_t202" style="position:absolute;left:0pt;margin-left:420pt;margin-top:601.7pt;height:11.05pt;width:28.3pt;mso-position-horizontal-relative:page;z-index:251678720;mso-width-relative:page;mso-height-relative:page;" filled="f" stroked="f" coordsize="21600,21600" o:gfxdata="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">
                <v:fill on="f" focussize="0,0"/>
                <v:stroke on="f"/>
                <v:imagedata o:title=""/>
                <o:lock v:ext="edit" aspectratio="f"/>
                <v:textbox inset="0mm,0mm,0mm,0mm">
                  <w:txbxContent>
                    <w:p w14:paraId="1F0CDA7F">
                      <w:pPr>
                        <w:pStyle w:val="36"/>
                        <w:spacing w:line="240" w:lineRule="auto"/>
                        <w:rPr>
                          <w:sz w:val="16"/>
                          <w:szCs w:val="16"/>
                        </w:rPr>
                      </w:pPr>
                      <w:r>
                        <w:rPr>
                          <w:color w:val="000000"/>
                          <w:sz w:val="16"/>
                          <w:szCs w:val="16"/>
                        </w:rPr>
                        <w:t>下，加</w:t>
                      </w:r>
                    </w:p>
                  </w:txbxContent>
                </v:textbox>
              </v:shape>
            </w:pict>
          </mc:Fallback>
        </mc:AlternateContent>
      </w:r>
      <w:r>
        <w:rPr>
          <w:rFonts w:hint="eastAsia" w:ascii="宋体" w:hAnsi="宋体" w:eastAsia="宋体" w:cs="宋体"/>
          <w:color w:val="000000"/>
          <w:szCs w:val="21"/>
        </w:rPr>
        <w:t>社会主义市场经济的要求，运用市场机制，利用投资控股、金融信贷、资本融资等手段，形成有利于文化产业发展的综合性投资与融资格局。应当加大我国对文化建设和文化产业的投入（全国文化事业费占国内生产总值的比例，从1978年到1999年只提高</w:t>
      </w:r>
      <w:r>
        <w:rPr>
          <w:rFonts w:hint="eastAsia" w:ascii="宋体" w:hAnsi="宋体" w:eastAsia="宋体" w:cs="宋体"/>
          <w:color w:val="000000"/>
          <w:szCs w:val="21"/>
          <w:lang w:bidi="en-US"/>
        </w:rPr>
        <w:t>0.02</w:t>
      </w:r>
      <w:r>
        <w:rPr>
          <w:rFonts w:hint="eastAsia" w:ascii="宋体" w:hAnsi="宋体" w:eastAsia="宋体" w:cs="宋体"/>
          <w:color w:val="000000"/>
          <w:szCs w:val="21"/>
        </w:rPr>
        <w:t>个百分点，仅为</w:t>
      </w:r>
      <w:r>
        <w:rPr>
          <w:rFonts w:hint="eastAsia" w:ascii="宋体" w:hAnsi="宋体" w:eastAsia="宋体" w:cs="宋体"/>
          <w:color w:val="000000"/>
          <w:szCs w:val="21"/>
          <w:lang w:bidi="en-US"/>
        </w:rPr>
        <w:t>0.</w:t>
      </w:r>
      <w:r>
        <w:rPr>
          <w:rFonts w:hint="eastAsia" w:ascii="宋体" w:hAnsi="宋体" w:eastAsia="宋体" w:cs="宋体"/>
          <w:color w:val="000000"/>
          <w:szCs w:val="21"/>
        </w:rPr>
        <w:t>067%）,应当尽快制定鼓励非文化企业投入文化产业的优惠政策，建立具有国际实力的文化产业发展基金和文化产业投资控股公司。</w:t>
      </w:r>
    </w:p>
    <w:p w14:paraId="1BAD078F">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68" w:firstLineChars="200"/>
        <w:jc w:val="center"/>
        <w:textAlignment w:val="auto"/>
        <w:rPr>
          <w:rFonts w:hint="eastAsia" w:ascii="黑体" w:hAnsi="黑体" w:eastAsia="黑体" w:cs="黑体"/>
          <w:b w:val="0"/>
          <w:bCs w:val="0"/>
          <w:spacing w:val="22"/>
          <w:sz w:val="24"/>
          <w:szCs w:val="24"/>
        </w:rPr>
      </w:pPr>
      <w:r>
        <w:rPr>
          <w:rFonts w:hint="eastAsia" w:ascii="黑体" w:hAnsi="黑体" w:eastAsia="黑体" w:cs="黑体"/>
          <w:b w:val="0"/>
          <w:bCs w:val="0"/>
          <w:spacing w:val="22"/>
          <w:sz w:val="24"/>
          <w:szCs w:val="24"/>
        </w:rPr>
        <w:t>制定相应政策、法规，保护民族产业</w:t>
      </w:r>
    </w:p>
    <w:p w14:paraId="43B72D1C">
      <w:pPr>
        <w:pStyle w:val="21"/>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sz w:val="21"/>
          <w:szCs w:val="21"/>
        </w:rPr>
      </w:pPr>
      <w:r>
        <w:rPr>
          <w:rFonts w:hint="eastAsia" w:ascii="宋体" w:hAnsi="宋体" w:eastAsia="宋体" w:cs="宋体"/>
          <w:color w:val="000000"/>
          <w:sz w:val="21"/>
          <w:szCs w:val="21"/>
        </w:rPr>
        <w:t>在世贸组织的《1994年关贸总协定》中，规定成员可对其幼稚工业实行一定程度和时期的保护措施，暂不实现自由化；《与贸易有关的投资措施协议》中也只禁止某些限制投资措施的使用。可见，世贸组织并不完全排斥保护。而与货物贸易相比，服务贸易中的保护更为宽松。保护性措施可以分为三个方面：一是对外国产品和服务的限制。这种限制必须符合有关双边协议的要求，但对于服务贸易中的市场准入和国民待遇，我国政府必将保留一定的回旋余地，可以在一定范围内制定一些限制外资的政策，如外资从事跨行业经营，限制外资在合资企业中的控股比例，要求外资企业更多地雇用本地员工。此外，应尽快取消对外资企业的超国民待遇，对本地企业的一些社会性、行政性义务同样可适用于外资企业。二是对国内企业的扶持性措施。由于世贸有关规定对服务业中的补贴尚无明确说法，有关双边协议也不会涉及，因而我国可设立专门基金，对重点企业给予有选择的财政补贴，但这种补贴最好是用于开拓国际市场和研究开发新技术、新产品等发展性用途，而不是为企业解决经营上的困难。三是利用世贸组织的一些例外条款，在本地企业遭受外国产品和服务进口较大冲击和威胁时，采取一些临时性的紧急措施，限制进口，给本地企业以调整的时机。</w:t>
      </w:r>
    </w:p>
    <w:p w14:paraId="32F038E3">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568" w:firstLineChars="200"/>
        <w:jc w:val="center"/>
        <w:textAlignment w:val="auto"/>
        <w:rPr>
          <w:rFonts w:hint="eastAsia" w:ascii="黑体" w:hAnsi="黑体" w:eastAsia="黑体" w:cs="黑体"/>
          <w:b w:val="0"/>
          <w:bCs w:val="0"/>
          <w:spacing w:val="22"/>
          <w:sz w:val="24"/>
          <w:szCs w:val="24"/>
        </w:rPr>
      </w:pPr>
      <w:bookmarkStart w:id="174" w:name="bookmark17"/>
      <w:r>
        <w:rPr>
          <w:rFonts w:hint="eastAsia" w:ascii="黑体" w:hAnsi="黑体" w:eastAsia="黑体" w:cs="黑体"/>
          <w:b w:val="0"/>
          <w:bCs w:val="0"/>
          <w:spacing w:val="22"/>
          <w:sz w:val="24"/>
          <w:szCs w:val="24"/>
        </w:rPr>
        <w:t>学习世贸组织成员保护本国文化产业的经验</w:t>
      </w:r>
      <w:bookmarkEnd w:id="174"/>
    </w:p>
    <w:p w14:paraId="1AF23089">
      <w:pPr>
        <w:pStyle w:val="21"/>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sz w:val="21"/>
          <w:szCs w:val="21"/>
        </w:rPr>
      </w:pPr>
      <w:r>
        <w:rPr>
          <w:rFonts w:hint="eastAsia" w:ascii="宋体" w:hAnsi="宋体" w:eastAsia="宋体" w:cs="宋体"/>
          <w:color w:val="000000"/>
          <w:sz w:val="21"/>
          <w:szCs w:val="21"/>
        </w:rPr>
        <w:t>美国占有世界上40%的视听产品市场，欧洲电影市场的80%也为美国占有。而美国国内的外国视听产品仅占1%至2%。为此，欧洲各国纷纷采取措施抵制。他们的主要措施有两条：</w:t>
      </w:r>
      <w:r>
        <w:rPr>
          <w:rFonts w:hint="eastAsia" w:ascii="宋体" w:hAnsi="宋体" w:eastAsia="宋体" w:cs="宋体"/>
          <w:color w:val="000000"/>
          <w:sz w:val="21"/>
          <w:szCs w:val="21"/>
          <w:lang w:val="en-US" w:eastAsia="zh-CN"/>
        </w:rPr>
        <w:t>一</w:t>
      </w:r>
      <w:r>
        <w:rPr>
          <w:rFonts w:hint="eastAsia" w:ascii="宋体" w:hAnsi="宋体" w:eastAsia="宋体" w:cs="宋体"/>
          <w:color w:val="000000"/>
          <w:sz w:val="21"/>
          <w:szCs w:val="21"/>
        </w:rPr>
        <w:t>是对国产电影实行补贴，如法国政府规定对电影的票房收入加收11%的特别税，然后在有关机构的监督下，补贴到国产电影的制作当中；对录像带的制作和出租，法国政府也同样征收特别税。</w:t>
      </w:r>
    </w:p>
    <w:p w14:paraId="1D7877FA">
      <w:pPr>
        <w:pStyle w:val="21"/>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sz w:val="21"/>
          <w:szCs w:val="21"/>
        </w:rPr>
      </w:pPr>
      <w:r>
        <w:rPr>
          <w:rFonts w:hint="eastAsia" w:ascii="宋体" w:hAnsi="宋体" w:eastAsia="宋体" w:cs="宋体"/>
          <w:color w:val="000000"/>
          <w:sz w:val="21"/>
          <w:szCs w:val="21"/>
        </w:rPr>
        <w:t>二是对电视节目实行配额制度。1989年10月欧共体通过一项关于</w:t>
      </w:r>
      <w:r>
        <w:rPr>
          <w:rFonts w:hint="eastAsia" w:ascii="宋体" w:hAnsi="宋体" w:eastAsia="宋体" w:cs="宋体"/>
          <w:color w:val="000000"/>
          <w:sz w:val="21"/>
          <w:szCs w:val="21"/>
          <w:lang w:val="zh-CN" w:eastAsia="zh-CN" w:bidi="zh-CN"/>
        </w:rPr>
        <w:t>“无</w:t>
      </w:r>
      <w:r>
        <w:rPr>
          <w:rFonts w:hint="eastAsia" w:ascii="宋体" w:hAnsi="宋体" w:eastAsia="宋体" w:cs="宋体"/>
          <w:color w:val="000000"/>
          <w:sz w:val="21"/>
          <w:szCs w:val="21"/>
        </w:rPr>
        <w:t>边界</w:t>
      </w:r>
      <w:r>
        <w:rPr>
          <w:rFonts w:hint="eastAsia" w:ascii="宋体" w:hAnsi="宋体" w:eastAsia="宋体" w:cs="宋体"/>
          <w:color w:val="000000"/>
          <w:sz w:val="21"/>
          <w:szCs w:val="21"/>
          <w:lang w:val="zh-CN" w:eastAsia="zh-CN" w:bidi="zh-CN"/>
        </w:rPr>
        <w:t>电视"</w:t>
      </w:r>
      <w:r>
        <w:rPr>
          <w:rFonts w:hint="eastAsia" w:ascii="宋体" w:hAnsi="宋体" w:eastAsia="宋体" w:cs="宋体"/>
          <w:color w:val="000000"/>
          <w:sz w:val="21"/>
          <w:szCs w:val="21"/>
        </w:rPr>
        <w:t>指导政策，建议各国所有电视频道至少播放50%的</w:t>
      </w:r>
      <w:r>
        <w:rPr>
          <w:rFonts w:hint="eastAsia" w:ascii="宋体" w:hAnsi="宋体" w:eastAsia="宋体" w:cs="宋体"/>
          <w:color w:val="000000"/>
          <w:sz w:val="21"/>
          <w:szCs w:val="21"/>
          <w:lang w:val="zh-CN" w:eastAsia="zh-CN" w:bidi="zh-CN"/>
        </w:rPr>
        <w:t>“欧洲原产"</w:t>
      </w:r>
      <w:r>
        <w:rPr>
          <w:rFonts w:hint="eastAsia" w:ascii="宋体" w:hAnsi="宋体" w:eastAsia="宋体" w:cs="宋体"/>
          <w:color w:val="000000"/>
          <w:sz w:val="21"/>
          <w:szCs w:val="21"/>
        </w:rPr>
        <w:t>电视节目。加拿大为保护本国出版发行业，1995年12月制定有关法规，对美国在加发行的体育画报分版杂志广告收入征收80%的营业税，迫使这家杂志停止在加的发行。我国可以根据自己的国情、市情和保护与发展的需要，也制定相应的保护措施。</w:t>
      </w:r>
    </w:p>
    <w:p w14:paraId="06351322">
      <w:pPr>
        <w:pStyle w:val="21"/>
        <w:pageBreakBefore w:val="0"/>
        <w:widowControl w:val="0"/>
        <w:kinsoku/>
        <w:wordWrap/>
        <w:overflowPunct/>
        <w:topLinePunct w:val="0"/>
        <w:autoSpaceDE/>
        <w:autoSpaceDN/>
        <w:bidi w:val="0"/>
        <w:adjustRightInd/>
        <w:snapToGrid/>
        <w:spacing w:line="400" w:lineRule="exact"/>
        <w:ind w:firstLine="420" w:firstLineChars="200"/>
        <w:jc w:val="both"/>
        <w:textAlignment w:val="auto"/>
        <w:rPr>
          <w:rFonts w:hint="eastAsia" w:ascii="宋体" w:hAnsi="宋体" w:eastAsia="宋体" w:cs="宋体"/>
          <w:sz w:val="21"/>
          <w:szCs w:val="21"/>
        </w:rPr>
      </w:pPr>
      <w:r>
        <w:rPr>
          <w:rFonts w:hint="eastAsia" w:ascii="宋体" w:hAnsi="宋体" w:eastAsia="宋体" w:cs="宋体"/>
          <w:color w:val="000000"/>
          <w:sz w:val="21"/>
          <w:szCs w:val="21"/>
        </w:rPr>
        <w:t>我国在</w:t>
      </w:r>
      <w:r>
        <w:rPr>
          <w:rFonts w:hint="eastAsia" w:ascii="宋体" w:hAnsi="宋体" w:eastAsia="宋体" w:cs="宋体"/>
          <w:color w:val="000000"/>
          <w:sz w:val="21"/>
          <w:szCs w:val="21"/>
          <w:lang w:val="en-US" w:eastAsia="zh-CN" w:bidi="en-US"/>
        </w:rPr>
        <w:t>"</w:t>
      </w:r>
      <w:r>
        <w:rPr>
          <w:rFonts w:hint="eastAsia" w:ascii="宋体" w:hAnsi="宋体" w:eastAsia="宋体" w:cs="宋体"/>
          <w:color w:val="000000"/>
          <w:sz w:val="21"/>
          <w:szCs w:val="21"/>
        </w:rPr>
        <w:t>入世”协议中确认：</w:t>
      </w:r>
      <w:r>
        <w:rPr>
          <w:rFonts w:hint="eastAsia" w:ascii="宋体" w:hAnsi="宋体" w:eastAsia="宋体" w:cs="宋体"/>
          <w:color w:val="000000"/>
          <w:sz w:val="21"/>
          <w:szCs w:val="21"/>
          <w:lang w:val="zh-CN" w:eastAsia="zh-CN" w:bidi="zh-CN"/>
        </w:rPr>
        <w:t>“在</w:t>
      </w:r>
      <w:r>
        <w:rPr>
          <w:rFonts w:hint="eastAsia" w:ascii="宋体" w:hAnsi="宋体" w:eastAsia="宋体" w:cs="宋体"/>
          <w:color w:val="000000"/>
          <w:sz w:val="21"/>
          <w:szCs w:val="21"/>
        </w:rPr>
        <w:t>不损害中国审查音像制品内容的权利的情况下，加入时允许外国服务提供者与中方伙伴设立合作企业，从事除电影以外的音像制品的分销。</w:t>
      </w:r>
      <w:r>
        <w:rPr>
          <w:rFonts w:hint="eastAsia" w:ascii="宋体" w:hAnsi="宋体" w:eastAsia="宋体" w:cs="宋体"/>
          <w:color w:val="000000"/>
          <w:sz w:val="21"/>
          <w:szCs w:val="21"/>
          <w:lang w:val="en-US" w:eastAsia="zh-CN" w:bidi="en-US"/>
        </w:rPr>
        <w:t>"</w:t>
      </w:r>
      <w:r>
        <w:rPr>
          <w:rFonts w:hint="eastAsia" w:ascii="宋体" w:hAnsi="宋体" w:eastAsia="宋体" w:cs="宋体"/>
          <w:color w:val="000000"/>
          <w:sz w:val="21"/>
          <w:szCs w:val="21"/>
        </w:rPr>
        <w:t>“加入时，中国允许每年以分账形式进口</w:t>
      </w:r>
      <w:r>
        <w:rPr>
          <w:rFonts w:hint="eastAsia" w:ascii="宋体" w:hAnsi="宋体" w:eastAsia="宋体" w:cs="宋体"/>
          <w:b/>
          <w:bCs/>
          <w:color w:val="000000"/>
          <w:sz w:val="21"/>
          <w:szCs w:val="21"/>
        </w:rPr>
        <w:t>20</w:t>
      </w:r>
      <w:r>
        <w:rPr>
          <w:rFonts w:hint="eastAsia" w:ascii="宋体" w:hAnsi="宋体" w:eastAsia="宋体" w:cs="宋体"/>
          <w:color w:val="000000"/>
          <w:sz w:val="21"/>
          <w:szCs w:val="21"/>
        </w:rPr>
        <w:t>部外国电影，用于影院放映。</w:t>
      </w:r>
      <w:r>
        <w:rPr>
          <w:rFonts w:hint="eastAsia" w:ascii="宋体" w:hAnsi="宋体" w:eastAsia="宋体" w:cs="宋体"/>
          <w:color w:val="000000"/>
          <w:sz w:val="21"/>
          <w:szCs w:val="21"/>
          <w:lang w:val="en-US" w:eastAsia="zh-CN" w:bidi="en-US"/>
        </w:rPr>
        <w:t>"</w:t>
      </w:r>
      <w:r>
        <w:rPr>
          <w:rFonts w:hint="eastAsia" w:ascii="宋体" w:hAnsi="宋体" w:eastAsia="宋体" w:cs="宋体"/>
          <w:color w:val="000000"/>
          <w:sz w:val="21"/>
          <w:szCs w:val="21"/>
        </w:rPr>
        <w:t>其实，我国要充分运用必要的审查权利，合法地内部抵制外国文化产品，这也是日本等许多国家一直采取的保护措施。</w:t>
      </w:r>
    </w:p>
    <w:p w14:paraId="1676F435">
      <w:pPr>
        <w:pStyle w:val="21"/>
        <w:spacing w:line="400" w:lineRule="exact"/>
        <w:ind w:firstLine="420" w:firstLineChars="200"/>
        <w:jc w:val="both"/>
        <w:rPr>
          <w:rFonts w:hint="default" w:ascii="Times New Roman" w:hAnsi="Times New Roman" w:cs="Times New Roman"/>
          <w:sz w:val="21"/>
          <w:szCs w:val="21"/>
          <w:lang w:val="en-US" w:eastAsia="zh-CN"/>
        </w:rPr>
      </w:pPr>
      <w:r>
        <w:rPr>
          <w:rFonts w:hint="default" w:ascii="Times New Roman" w:hAnsi="Times New Roman" w:cs="Times New Roman"/>
          <w:color w:val="000000"/>
          <w:sz w:val="21"/>
          <w:szCs w:val="21"/>
          <w:lang w:eastAsia="zh-CN"/>
        </w:rPr>
        <w:t>（</w:t>
      </w:r>
      <w:r>
        <w:rPr>
          <w:rFonts w:hint="default" w:ascii="Times New Roman" w:hAnsi="Times New Roman" w:cs="Times New Roman"/>
          <w:color w:val="000000"/>
          <w:sz w:val="21"/>
          <w:szCs w:val="21"/>
          <w:lang w:val="en-US" w:eastAsia="zh-CN"/>
        </w:rPr>
        <w:t>原载《中国经济信息》2002年第3期）</w:t>
      </w:r>
    </w:p>
    <w:p w14:paraId="4D70E899">
      <w:pPr>
        <w:spacing w:line="400" w:lineRule="exact"/>
        <w:ind w:firstLine="420" w:firstLineChars="200"/>
        <w:rPr>
          <w:rFonts w:hint="default" w:ascii="Times New Roman" w:hAnsi="Times New Roman" w:eastAsia="宋体" w:cs="Times New Roman"/>
        </w:rPr>
      </w:pPr>
      <w:r>
        <w:rPr>
          <w:rFonts w:hint="default" w:ascii="Times New Roman" w:hAnsi="Times New Roman" w:eastAsia="宋体" w:cs="Times New Roman"/>
        </w:rPr>
        <w:br w:type="page"/>
      </w:r>
    </w:p>
    <w:p w14:paraId="3665522D">
      <w:pPr>
        <w:spacing w:line="400" w:lineRule="exact"/>
        <w:ind w:firstLine="733" w:firstLineChars="200"/>
        <w:jc w:val="center"/>
        <w:outlineLvl w:val="1"/>
        <w:rPr>
          <w:rFonts w:hint="default" w:ascii="Times New Roman" w:hAnsi="Times New Roman" w:eastAsia="黑体" w:cs="Times New Roman"/>
          <w:b/>
          <w:bCs/>
          <w:spacing w:val="23"/>
          <w:sz w:val="32"/>
          <w:szCs w:val="48"/>
        </w:rPr>
      </w:pPr>
      <w:bookmarkStart w:id="175" w:name="_Toc20870"/>
      <w:bookmarkStart w:id="176" w:name="_Toc12197"/>
      <w:bookmarkStart w:id="177" w:name="_Toc310251746"/>
      <w:bookmarkStart w:id="178" w:name="_Toc1632552274"/>
      <w:r>
        <w:rPr>
          <w:rFonts w:hint="default" w:ascii="Times New Roman" w:hAnsi="Times New Roman" w:eastAsia="黑体" w:cs="Times New Roman"/>
          <w:b/>
          <w:bCs/>
          <w:spacing w:val="23"/>
          <w:sz w:val="32"/>
          <w:szCs w:val="48"/>
        </w:rPr>
        <w:t>企业制度与收入性质</w:t>
      </w:r>
      <w:bookmarkEnd w:id="175"/>
      <w:bookmarkEnd w:id="176"/>
      <w:bookmarkEnd w:id="177"/>
      <w:bookmarkEnd w:id="178"/>
    </w:p>
    <w:p w14:paraId="609C5518">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企业在本质上是各种利益关系的耦合体,不同的企业制度体现着不同的利益关系。最能体现利益关系的是分配关系,而分配关系取决于企业制度的产权结构,或者简单地说,分配关系取决于企业制度结构。因此,不同的企业制度性质决定着分配关系,也就决定着企业参与者的收入性质。本文试图通过企业参与者的权力关系与利益关系的分析,从要素收入角度,提炼出构建企业制度的几种逻辑,进而分析不同的企业制度与收入性质的关系(撇开国有制不谈)</w:t>
      </w:r>
    </w:p>
    <w:p w14:paraId="07108A9E">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420" w:firstLineChars="200"/>
        <w:jc w:val="center"/>
        <w:textAlignment w:val="auto"/>
        <w:rPr>
          <w:rFonts w:hint="default" w:ascii="黑体" w:hAnsi="黑体" w:eastAsia="黑体" w:cs="黑体"/>
          <w:b w:val="0"/>
          <w:bCs w:val="0"/>
          <w:spacing w:val="0"/>
          <w:w w:val="100"/>
          <w:sz w:val="21"/>
          <w:szCs w:val="21"/>
        </w:rPr>
      </w:pPr>
      <w:r>
        <w:rPr>
          <w:rFonts w:hint="default" w:ascii="黑体" w:hAnsi="黑体" w:eastAsia="黑体" w:cs="黑体"/>
          <w:b w:val="0"/>
          <w:bCs w:val="0"/>
          <w:spacing w:val="0"/>
          <w:w w:val="100"/>
          <w:sz w:val="21"/>
          <w:szCs w:val="21"/>
        </w:rPr>
        <w:t>一、企业制度的设计逻辑</w:t>
      </w:r>
    </w:p>
    <w:p w14:paraId="1AF2BCE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根据当今资本主义社会与社会主义社会里存在的不同企业制度的实际状况,根据调节参与权力以及利益关系的原则的不同,企业制度设计主要遵循着三种不同情形:一个是资本逻辑;另一个是劳动逻辑;再一个是综合逻辑。在私人资本逻辑下,资本所有者独占企业的收益,而劳动的收益是以工资形式在企业利润形成之前获取。在集体或合作劳动逻辑下,劳动力所有者占有企业的收益。在综合逻辑下,劳动力所有者与私人资本所有者共同占有企业的收益,即遵循劳动与资本的内在逻辑的统一。</w:t>
      </w:r>
    </w:p>
    <w:p w14:paraId="784055B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spacing w:val="0"/>
          <w:w w:val="100"/>
          <w:sz w:val="21"/>
          <w:szCs w:val="21"/>
          <w14:textOutline w14:w="5448" w14:cap="flat" w14:cmpd="sng" w14:algn="ctr">
            <w14:solidFill>
              <w14:srgbClr w14:val="000000"/>
            </w14:solidFill>
            <w14:prstDash w14:val="solid"/>
            <w14:miter w14:val="0"/>
          </w14:textOutline>
        </w:rPr>
      </w:pPr>
      <w:r>
        <w:rPr>
          <w:rFonts w:hint="eastAsia" w:ascii="宋体" w:hAnsi="宋体" w:eastAsia="宋体" w:cs="宋体"/>
          <w:spacing w:val="0"/>
          <w:w w:val="100"/>
          <w:sz w:val="21"/>
          <w:szCs w:val="21"/>
          <w14:textOutline w14:w="5448" w14:cap="flat" w14:cmpd="sng" w14:algn="ctr">
            <w14:solidFill>
              <w14:srgbClr w14:val="000000"/>
            </w14:solidFill>
            <w14:prstDash w14:val="solid"/>
            <w14:miter w14:val="0"/>
          </w14:textOutline>
        </w:rPr>
        <w:t>1.私人资本逻辑</w:t>
      </w:r>
    </w:p>
    <w:p w14:paraId="577A804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在私人资本逻辑下,资本被认为是稀缺的,资本雇佣劳动,劳动者除了自身拥有的劳动能力以外一无所有,资本家将劳动力以工资形式购买来,使之在生产过程中与生产资料相结合,最终创造出远远超过其自身价值的剩余产品,资本所有者拥有企业的剩余索取权并独占企业收益。</w:t>
      </w:r>
    </w:p>
    <w:p w14:paraId="2C44367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在资本逻辑的企业制度中,资本雇佣劳动是这种制度的设计原则。在这种类型的企业制度中,权力派生于资本的供应,利益归属于资本所有者。资本的供应是行使权力、占有成果的唯一依据。作为权力主体,资本所有者既可以直接行使企业活动方向选择和过程组织的所有权力,也可以根据自己的需要和意志,选择符合一定要求的经营者,委托他们代理行使部分、甚至全部权力;作为利益主体,资本所有者完全占有销售收入扣除包括其他要素报酬的各种生产耗费后的剩余,并根据自己的意志决定这种剩余的分配。</w:t>
      </w:r>
    </w:p>
    <w:p w14:paraId="7651B41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劳动者被资本所有者所雇用,直接被后者或其代理所支配,其L资报酬在企业最终成果形成以前作为成本而支付,因而基本固定。提供专门经营管理服务的经营者在这种制度中具有双重身份:一方面,他们受雇于资本所有者,因而要接受其支配;另一方面,作为资本所有者的代理,要根据资本所有者的委托对劳动者的服务进行指挥。经营者虽然有时也可能根据资木所有者的恩赐分得一定比例的经营成果,但他们所得报酬的主要方面是领取水平虽然可能很高，但相对固定的收入,因此,其利益实现方式在本质上与劳动者相同,具有成本费用的性质。</w:t>
      </w:r>
    </w:p>
    <w:p w14:paraId="1722A4E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eastAsia" w:ascii="宋体" w:hAnsi="宋体" w:eastAsia="宋体" w:cs="宋体"/>
          <w:spacing w:val="0"/>
          <w:w w:val="100"/>
          <w:sz w:val="21"/>
          <w:szCs w:val="21"/>
          <w14:textOutline w14:w="5448" w14:cap="flat" w14:cmpd="sng" w14:algn="ctr">
            <w14:solidFill>
              <w14:srgbClr w14:val="000000"/>
            </w14:solidFill>
            <w14:prstDash w14:val="solid"/>
            <w14:miter w14:val="0"/>
          </w14:textOutline>
        </w:rPr>
      </w:pPr>
      <w:r>
        <w:rPr>
          <w:rFonts w:hint="eastAsia" w:ascii="宋体" w:hAnsi="宋体" w:eastAsia="宋体" w:cs="宋体"/>
          <w:spacing w:val="0"/>
          <w:w w:val="100"/>
          <w:sz w:val="21"/>
          <w:szCs w:val="21"/>
          <w14:textOutline w14:w="5448" w14:cap="flat" w14:cmpd="sng" w14:algn="ctr">
            <w14:solidFill>
              <w14:srgbClr w14:val="000000"/>
            </w14:solidFill>
            <w14:prstDash w14:val="solid"/>
            <w14:miter w14:val="0"/>
          </w14:textOutline>
        </w:rPr>
        <w:t>2.集体或合作劳动逻辑</w:t>
      </w:r>
    </w:p>
    <w:p w14:paraId="2C89CDD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在劳动逻辑下,资本从属于劳动。承认劳动力产权,赋予劳动力所有者获得企业的剩余索取权并占有企业收益。资本从属丁劳动是该类企业制度设计的原则，权力派生于劳动、利益归属于劳动者,是这种企业制度的基本特征。</w:t>
      </w:r>
    </w:p>
    <w:p w14:paraId="7CED504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在劳动逻辑下,作为权力的主体,劳动者或者直接、间接地通过选举代表平等地行使企业经营方向和规模的选择等战略决策权力,而把与经营过程组织有关的日常经营权力交给经过一定程序选聘的具有一定专门知识和技能的人来行使;作为企业的利益主体,不同劳动者共同地决定如何根据他们的劳动贡献公平地分配企业经营收入扣除物质耗费后的剩余。经营者根据劳动者集体的委托,提供组织日常经营所需的服务,并以这种服务为依据参与经营成果的分配。同时,资本是企业经营中必须利用的一种要素,资本供应者的利益实现与企业经营成果的高低没有任何直接联系。</w:t>
      </w:r>
    </w:p>
    <w:p w14:paraId="26D8EAB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在这种企业制度下,由于劳动者既是权力和利益的主体,又是经营者组织生产活动所需利用的一种要素,因此这两种参与者类群之间的权力关系是非常微妙的:在决策权力系统中,经营者必须服从劳动者集体的意志和决定;而在执行权力系统中,作为生产要素的劳动者个人则须接受经营者的具体指挥。</w:t>
      </w:r>
    </w:p>
    <w:p w14:paraId="54426AAC">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14:textOutline w14:w="5448" w14:cap="flat" w14:cmpd="sng" w14:algn="ctr">
            <w14:solidFill>
              <w14:srgbClr w14:val="000000"/>
            </w14:solidFill>
            <w14:prstDash w14:val="solid"/>
            <w14:miter w14:val="0"/>
          </w14:textOutline>
        </w:rPr>
      </w:pPr>
      <w:r>
        <w:rPr>
          <w:rFonts w:hint="default" w:ascii="Times New Roman" w:hAnsi="Times New Roman" w:eastAsia="宋体" w:cs="Times New Roman"/>
          <w:spacing w:val="0"/>
          <w:w w:val="100"/>
          <w:sz w:val="21"/>
          <w:szCs w:val="21"/>
          <w14:textOutline w14:w="5448" w14:cap="flat" w14:cmpd="sng" w14:algn="ctr">
            <w14:solidFill>
              <w14:srgbClr w14:val="000000"/>
            </w14:solidFill>
            <w14:prstDash w14:val="solid"/>
            <w14:miter w14:val="0"/>
          </w14:textOutline>
        </w:rPr>
        <w:t>3.综合逻辑</w:t>
      </w:r>
    </w:p>
    <w:p w14:paraId="0930206A">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就权力与利益关系而言,在综合逻辑下,企业的劳动力所有者与资本所有者处于相互平等的地位,"共同占有、权力共使、利益共享、风险共担"是这种企业制度的基本原则。现代企业的财产特点为作为企业集合体构成基础的各类参与者(主要指劳动力所有者与资本所有者)平等地行使经营权力提供了客观的物质基础;企业经营过程的进行、经营目标的达到必须借助的各类要素贡献相互作用、相互依存的性质,为这些参与者公平地分享经营成果提供了客观的依据。</w:t>
      </w:r>
    </w:p>
    <w:p w14:paraId="0BBFC7D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由于各类参与者的利益都只有在这个成果形成后才能实现,其实现程度都随成果的大小而变化,都需承担因经营不善而带来的绩效低下的风险,因而他们都可能对影响成果水平的活动方向的选择或组织手段的运用表现出极大关注，并将把这种关注表现为参与决策过程中的权力的积极利用。</w:t>
      </w:r>
    </w:p>
    <w:p w14:paraId="70B1BFA7">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420" w:firstLineChars="200"/>
        <w:jc w:val="center"/>
        <w:textAlignment w:val="auto"/>
        <w:rPr>
          <w:rFonts w:hint="default" w:ascii="黑体" w:hAnsi="黑体" w:eastAsia="黑体" w:cs="黑体"/>
          <w:b w:val="0"/>
          <w:bCs w:val="0"/>
          <w:spacing w:val="0"/>
          <w:w w:val="100"/>
          <w:sz w:val="21"/>
          <w:szCs w:val="21"/>
        </w:rPr>
      </w:pPr>
      <w:r>
        <w:rPr>
          <w:rFonts w:hint="default" w:ascii="黑体" w:hAnsi="黑体" w:eastAsia="黑体" w:cs="黑体"/>
          <w:b w:val="0"/>
          <w:bCs w:val="0"/>
          <w:spacing w:val="0"/>
          <w:w w:val="100"/>
          <w:sz w:val="21"/>
          <w:szCs w:val="21"/>
        </w:rPr>
        <w:t>二、企业制度与收入性质分析</w:t>
      </w:r>
    </w:p>
    <w:p w14:paraId="5CA15A1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企业制度的演进过程呈现出在不同企业制度下的企业产权安排的多样性,不同的企业制度下,对企业收益的安排是有差异的,从而导致不同企业制度下,企业各类要素参与者的收入性质是截然不同的。</w:t>
      </w:r>
    </w:p>
    <w:p w14:paraId="54B51F6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pPr>
      <w:r>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t>1.“私人资本逻辑”型企业</w:t>
      </w:r>
    </w:p>
    <w:p w14:paraId="18247D0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这种企业以资本占有者拥有生产资料所有权和工人拥有劳动力所有权这一不对称的产权关系为基础,以资本雇佣劳动为资本结构,以旧式等级分工为组织管理形式,以占有剩余价值为行为目标,形成了一种以资本雇佣劳动为核心关系的微观经济模型。虽然私人资本企业从个人业主制、合伙制到私人股份公司制的演变与发展,但都是遵循私人资本逻辑的。既然私人资本雇佣了劳动,资本所有者的收入就或多或少地带有无偿占有他人劳动的性质。</w:t>
      </w:r>
    </w:p>
    <w:p w14:paraId="0C2CE12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pPr>
      <w:r>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t>(1)业主制</w:t>
      </w:r>
    </w:p>
    <w:p w14:paraId="1EF9C88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个人业主制又称为古占典企业制度。它是企业制度最早出现的形式,通常为业主自己经营在个人业主制企业中,直接使用资源的产权主体是自然人,自然人财产与企业财产是合一的,企业资产归出资人所有和控制,出资人要对企业的全部债务承担连带责任,责任无限化。出资人既是所有者主体,也是经营管理主体。古典企业的生产属于一种团队生产,团队生产的有效运行需要有监工,并需要解决为监工提高刺激机制的问题。鉴于上述分析,业主制是一种产权单一所有的集权的产权结构,业主拥有全部的产权,包括剩余索取权、经营决策权、监督管理权,业主与雇员之间是一种私人雇佣劳动关系。在这种产权结构中,最终产出不是由团队的全体成员共享,而是其他成员(雇工)得到一个固定工资,即劳动力是商品只能获得工资,而监工(雇主)得到扣除工资后的剩余,即雇主是资产所有者和监控者,并拥有剩余索取权。</w:t>
      </w:r>
    </w:p>
    <w:p w14:paraId="4548F60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这里,我们重点分析雇主的收入性质。虽然,个人业主型企业的企业主(出资人)独占企业的剩余价值或利润，但不能认为，他的这种收入都是剥削性质的。因为在业主制企业中，雇主不但投入了资本,而且还投入了管理劳动,因此,企业主所获得的收入可以分为劳动所得与非劳动所得。此外,企业主的资本如果不投入自己的企业,而且存入银行,由于迂回生产等原因,资本天然具有利息收入。这样,企业主的全部收入中,剔除他的劳动所得以及利息性收入以外的部分,就是纯粹剥削性收入。</w:t>
      </w:r>
    </w:p>
    <w:p w14:paraId="47064945">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pPr>
      <w:r>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t>(2)合伙制</w:t>
      </w:r>
    </w:p>
    <w:p w14:paraId="15C2AD4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合伙制是指两个或两个以上的自然人共同投资并分享剩余、共同监督和管理的企业制度。在这种企业中,所有权与经营权也是统一的,因此,投资者合伙人拥有企业的全部剩余。合伙制的合伙人全部收入的性质如同业主制企业,同样可以划分为劳动所得与非劳动所得,其中非劳动所得中的大部分属于纯粹剥削性收入。从企业发展史看,合伙制企业是单个资本走向资本联合,从而发展成公司制的过渡点。</w:t>
      </w:r>
    </w:p>
    <w:p w14:paraId="1C05770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pPr>
      <w:r>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t>(3)私人股份公司制</w:t>
      </w:r>
    </w:p>
    <w:p w14:paraId="0E76059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私人股份公司制是顺应经济不断社会化的发展和企业规模的扩大要求而出现的。企业规模的扩大就要求联合资本,同时,信用制度又为股份公司的产生提供了条件,正如马克思所说信用制度是资本主义的私人企业逐渐转化为资本主义的股份公司的主要基础。但在存在大量股东的情况下,如果让每一个股东都参与公司的决策,会影响决策的责任,降低决策的效率,因而需要将决策管理权利移交给一个小的管理机构,公司股东只保持剩余价值索取权、选择经营者和重大决策权。由股东代表大会选举出来的董事会全权行使经营决策权,由职业的支薪经理们行使经营管理权。现代股份公司制是在1840年以后出现的,其制度特征是,经营决策权与经营管理权相结合,出现了所有权与控制权的分离。原先全权行使经营决策权的某些董事由于缺乏专业知识,很少能提供正面的可供选择的方案,逐步丧失了经营决策的发言权,实际经营决策权程度不同地交给了职业经理。</w:t>
      </w:r>
    </w:p>
    <w:p w14:paraId="083D111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若干个人控股的股份公司制的所有权特点是所有权与经营权(控制权)的分离,资本所有者大都不再直接管理企业，而遵循的理论逻辑仍然是资本所有者拥有企业而占有企业的剩余，因此,此时资本所有者的收入总体上讲具有无偿占有他人劳动的性质(少量管理性劳动除外).</w:t>
      </w:r>
    </w:p>
    <w:p w14:paraId="44FDA684">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pPr>
      <w:r>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t>2."集体或合作劳动豆精"型企业</w:t>
      </w:r>
    </w:p>
    <w:p w14:paraId="2AD360D2">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pPr>
      <w:r>
        <w:rPr>
          <w:rFonts w:hint="default" w:ascii="宋体" w:hAnsi="宋体" w:eastAsia="宋体" w:cs="宋体"/>
          <w:spacing w:val="0"/>
          <w:w w:val="100"/>
          <w:sz w:val="21"/>
          <w:szCs w:val="21"/>
          <w14:textOutline w14:w="5448" w14:cap="flat" w14:cmpd="sng" w14:algn="ctr">
            <w14:solidFill>
              <w14:srgbClr w14:val="000000"/>
            </w14:solidFill>
            <w14:prstDash w14:val="solid"/>
            <w14:miter w14:val="0"/>
          </w14:textOutline>
        </w:rPr>
        <w:t>(1)典型的集体所有制</w:t>
      </w:r>
    </w:p>
    <w:p w14:paraId="46E2F60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典型的集体所有制有以下几个特征:一是生产资料属于一定范围内的劳动者集体所有,这种集体所有权对每个成员是完全均等的,而且是不可分割地属于整体;二是这个整体的成员加入或退出集体实行自愿的原则(传统上农村集体的成员是按行政区域划定的,城镇集体的成员是通过个体户集合或招工录用的形式加入的);三是既然不承认个人对集体财产的终极所有权,当然也排除按股分红,经营成果通常是在作了各项扣除之后按国家或集体的统一标准,实行按劳动量或工资等级分配;四是劳动者集体或职工大会既是所有者,又是生产者和经营决策者,所有权与生产经营权相统一。</w:t>
      </w:r>
    </w:p>
    <w:p w14:paraId="21FB537B">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典型或完全的集体所有制排除按股份分红,企业收益在作了各项扣除后按劳分配,因而其收入性质属于劳动所得,是遵循劳动逻辑组建的企业模式。</w:t>
      </w:r>
    </w:p>
    <w:p w14:paraId="1916E0E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14:textOutline w14:w="3632" w14:cap="flat" w14:cmpd="sng" w14:algn="ctr">
            <w14:solidFill>
              <w14:srgbClr w14:val="000000"/>
            </w14:solidFill>
            <w14:prstDash w14:val="solid"/>
            <w14:miter w14:val="0"/>
          </w14:textOutline>
        </w:rPr>
        <w:t>(2)典型的合作所有制</w:t>
      </w:r>
    </w:p>
    <w:p w14:paraId="7F09E55E">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典型的合作制是按照罗虚代尔原则组建的，以英国的罗虚代尔先锋社为先河。这些办社原则的主要内容有:一是入社与退社自由。二是民主管理。基层合作社的社员无论股份多少,都只有一票的权力,每人有同等的表决权。三是按劳分配和集体福利。</w:t>
      </w:r>
    </w:p>
    <w:p w14:paraId="07101B4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显然,典型的合作制是遵循劳动逻辑的,其收入性质是属于劳动所得,不存在资本的剥削。这是因为一方面,合作社的民主管理原则,保障了社员之间具有平等的权力,避免少数人用股份来控制合作社;另一方面,它不允许一部分人占有另一部分人的劳动成果,合作社股金是社员的资金联合,是他们进行劳动联合的物质条件,因而股金可以获得利息,但不参加分红,而且股金的利息要有严格的限制,一般不超过市面上通行的普通利率。当然,为了吸引更多的资金投入,有时可以略高于这一普通利率。</w:t>
      </w:r>
    </w:p>
    <w:p w14:paraId="4091E42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14:textOutline w14:w="3454" w14:cap="flat" w14:cmpd="sng" w14:algn="ctr">
            <w14:solidFill>
              <w14:srgbClr w14:val="000000"/>
            </w14:solidFill>
            <w14:prstDash w14:val="solid"/>
            <w14:miter w14:val="0"/>
          </w14:textOutline>
        </w:rPr>
      </w:pPr>
      <w:r>
        <w:rPr>
          <w:rFonts w:hint="default" w:ascii="Times New Roman" w:hAnsi="Times New Roman" w:eastAsia="宋体" w:cs="Times New Roman"/>
          <w:spacing w:val="0"/>
          <w:w w:val="100"/>
          <w:sz w:val="21"/>
          <w:szCs w:val="21"/>
          <w14:textOutline w14:w="3454" w14:cap="flat" w14:cmpd="sng" w14:algn="ctr">
            <w14:solidFill>
              <w14:srgbClr w14:val="000000"/>
            </w14:solidFill>
            <w14:prstDash w14:val="solid"/>
            <w14:miter w14:val="0"/>
          </w14:textOutline>
        </w:rPr>
        <w:t>3."综合逻辑"型企业</w:t>
      </w:r>
    </w:p>
    <w:p w14:paraId="503A4FCD">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14:textOutline w14:w="3632" w14:cap="flat" w14:cmpd="sng" w14:algn="ctr">
            <w14:solidFill>
              <w14:srgbClr w14:val="000000"/>
            </w14:solidFill>
            <w14:prstDash w14:val="solid"/>
            <w14:miter w14:val="0"/>
          </w14:textOutline>
        </w:rPr>
        <w:t>(1)西方合作制与股份制融合态势</w:t>
      </w:r>
    </w:p>
    <w:p w14:paraId="1D8C9C21">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西方合作社在其发展中逐渐淡化罗虚戴尔原则,引入股份制的因素,显现了西方合作制的股份化倾向。第一，非合作社成员可以入股，并且有权享受比合作社社员分红股息高2%的待遇;第二,在表决方式上对大股东的利益予以考虑,有的合作社在一人一票的基础上给予大股东社员以票数加权:第三,在分配上,一些合作社由于吸收社会资金,要支付较高利息,同时大部分合作社改变了股金不分红的做法。</w:t>
      </w:r>
    </w:p>
    <w:p w14:paraId="7FF8B77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我们知道,典型的合作社遵循的是劳动的逻辑,资本处在从属的地位,但合作社的股份化倾向表明,资本的权利和收益逐渐增大。就西班牙蒙德拉贡而言,它的内部资本帐户制度就是巧妙地利用了股份制的收益分配机制,它的分配制度具有二次分配的特征,初次分配是将纯利润的50-70%按劳动贡献大小分配给职工,但这不是现金的分配,而是一种资本权利的分配,因为记入个人帐户就形成了职工个人拥有的资本。再分配则是每年按个人帐户的资本额给予利息收入,是职工以现金收入的形式实现了个人帐户的资本权利。如果说初次分配体现了合作社(生产型)的分配原则,那么再分配则将劳动分配所得资本化了,体现了股份制的分配原则。</w:t>
      </w:r>
    </w:p>
    <w:p w14:paraId="21E9E1E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可见,在私有制的包围和冲击下,现代西方合作社早已开始遵循劳动与资本结合的逻辑而只要允许私人资本参与分红,那么,收入的性质就会发生变化,必然存在一部分人无偿占有另一部分人的劳动。但两方合作社是强调以劳动联合为主的,所以,其收入以劳动所得为主。</w:t>
      </w:r>
    </w:p>
    <w:p w14:paraId="1B234046">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14:textOutline w14:w="3632" w14:cap="flat" w14:cmpd="sng" w14:algn="ctr">
            <w14:solidFill>
              <w14:srgbClr w14:val="000000"/>
            </w14:solidFill>
            <w14:prstDash w14:val="solid"/>
            <w14:miter w14:val="0"/>
          </w14:textOutline>
        </w:rPr>
      </w:pPr>
      <w:r>
        <w:rPr>
          <w:rFonts w:hint="default" w:ascii="Times New Roman" w:hAnsi="Times New Roman" w:eastAsia="宋体" w:cs="Times New Roman"/>
          <w:spacing w:val="0"/>
          <w:w w:val="100"/>
          <w:sz w:val="21"/>
          <w:szCs w:val="21"/>
          <w14:textOutline w14:w="3632" w14:cap="flat" w14:cmpd="sng" w14:algn="ctr">
            <w14:solidFill>
              <w14:srgbClr w14:val="000000"/>
            </w14:solidFill>
            <w14:prstDash w14:val="solid"/>
            <w14:miter w14:val="0"/>
          </w14:textOutline>
        </w:rPr>
        <w:t>(2)中国的"泛股份合作制"</w:t>
      </w:r>
    </w:p>
    <w:p w14:paraId="0B84A42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我国在改革中出现的股份合作制是也合作制与股份制的融合,因而兼有资本联合和劳动联合的特征。这样的界定,股份合作制是一个很宽泛的概念,我们称之为"泛股份合作制".事实上,我国农村、城镇不断涌现的股份合作制企业都采用了这样宽泛的定义。但如果我们要深入具体分析泛股份合作制的话,从理论上讲,就应该将其分为三类:一是采用股份制某些形式的。以合作制为主的股份合作制。它是以内部职工持大致相同倍数的股份为主,大体实行一人一票的民主管理为主,其收入也相应表现为以劳动所得为主。二是采用合作制某些形式的、以股份制为主的合作股份制。它是以单位外持股为主,或内部职工持股的倍数相差较大(如10倍以上),因而在重大问题上大体实行一股一票的资本管理为主,其收入也相应表现为以非劳动所得为主。三是半合作制半股份制，其持股结构、管理原则和收入性质一般处于上述两类之间。</w:t>
      </w:r>
    </w:p>
    <w:p w14:paraId="5F18C020">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最后,笔者也可以"实话实说",以经济实践为标准,从中外经济学的科学逻辑米考察,集体所有制、合作所有制、股份所有制、股份合作制和合作股份制等,都是有重要差别的，不可随意混淆（马克思、恩格斯所说的共产主义要"重建个人所有制"，是如经典作家自己所解释的，就是指在生产资料全社会所有制的基础上重建消费资料的个人所有制，与股份制和合作制无关).集体所有制的主要财产一旦量化到个人,就自然转化为合作所有制或其他尽管人们在习惯上仍称呼其为改革后的集体所有制,其收入性质也随之发生变化。</w:t>
      </w:r>
    </w:p>
    <w:p w14:paraId="73A2F6A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14:textOutline w14:w="3810" w14:cap="flat" w14:cmpd="sng" w14:algn="ctr">
            <w14:solidFill>
              <w14:srgbClr w14:val="000000"/>
            </w14:solidFill>
            <w14:prstDash w14:val="solid"/>
            <w14:miter w14:val="0"/>
          </w14:textOutline>
        </w:rPr>
        <w:t>主要参考文献:</w:t>
      </w:r>
    </w:p>
    <w:p w14:paraId="4F370F8F">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1、程恩富主编:《中国海派经济论坛(2001)》,上海财经大学出版社2001年版。</w:t>
      </w:r>
    </w:p>
    <w:p w14:paraId="27B90EA7">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2、程恩富等:《企业学说与企业变革》，上海财经大学出版社2001年版。</w:t>
      </w:r>
    </w:p>
    <w:p w14:paraId="7FE24BA9">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3、洪远朋、叶正茂等:《共享利益论》,上海人民出版社2001年版。</w:t>
      </w:r>
    </w:p>
    <w:p w14:paraId="67D6CFF3">
      <w:pPr>
        <w:keepNext w:val="0"/>
        <w:keepLines w:val="0"/>
        <w:pageBreakBefore w:val="0"/>
        <w:widowControl w:val="0"/>
        <w:kinsoku/>
        <w:wordWrap/>
        <w:overflowPunct/>
        <w:topLinePunct w:val="0"/>
        <w:autoSpaceDE/>
        <w:autoSpaceDN/>
        <w:bidi w:val="0"/>
        <w:adjustRightInd/>
        <w:snapToGrid/>
        <w:spacing w:line="400" w:lineRule="exact"/>
        <w:ind w:firstLine="420" w:firstLineChars="200"/>
        <w:textAlignment w:val="auto"/>
        <w:rPr>
          <w:rFonts w:hint="default" w:ascii="Times New Roman" w:hAnsi="Times New Roman" w:eastAsia="宋体" w:cs="Times New Roman"/>
          <w:spacing w:val="0"/>
          <w:w w:val="100"/>
          <w:sz w:val="21"/>
          <w:szCs w:val="21"/>
        </w:rPr>
      </w:pPr>
      <w:r>
        <w:rPr>
          <w:rFonts w:hint="default" w:ascii="Times New Roman" w:hAnsi="Times New Roman" w:eastAsia="宋体" w:cs="Times New Roman"/>
          <w:spacing w:val="0"/>
          <w:w w:val="100"/>
          <w:sz w:val="21"/>
          <w:szCs w:val="21"/>
        </w:rPr>
        <w:t>（原载《中国&lt;资本论&gt;研究会第11次学术年会论文集》）</w:t>
      </w:r>
    </w:p>
    <w:p w14:paraId="79DD6A30">
      <w:pPr>
        <w:spacing w:line="400" w:lineRule="exact"/>
        <w:rPr>
          <w:rFonts w:hint="default" w:ascii="Times New Roman" w:hAnsi="Times New Roman" w:eastAsia="宋体" w:cs="Times New Roman"/>
        </w:rPr>
      </w:pPr>
      <w:r>
        <w:rPr>
          <w:rFonts w:hint="default" w:ascii="Times New Roman" w:hAnsi="Times New Roman" w:eastAsia="宋体" w:cs="Times New Roman"/>
        </w:rPr>
        <w:br w:type="page"/>
      </w:r>
    </w:p>
    <w:p w14:paraId="3E4551FD">
      <w:pPr>
        <w:spacing w:line="400" w:lineRule="exact"/>
        <w:ind w:firstLine="732" w:firstLineChars="200"/>
        <w:jc w:val="center"/>
        <w:outlineLvl w:val="1"/>
        <w:rPr>
          <w:rFonts w:hint="default" w:ascii="Times New Roman" w:hAnsi="Times New Roman" w:eastAsia="黑体" w:cs="Times New Roman"/>
          <w:b w:val="0"/>
          <w:bCs w:val="0"/>
          <w:spacing w:val="23"/>
          <w:sz w:val="32"/>
          <w:szCs w:val="48"/>
        </w:rPr>
      </w:pPr>
      <w:bookmarkStart w:id="179" w:name="_Toc31381"/>
      <w:bookmarkStart w:id="180" w:name="_Toc28083"/>
      <w:bookmarkStart w:id="181" w:name="_Toc310800106"/>
      <w:bookmarkStart w:id="182" w:name="_Toc2054995046"/>
      <w:r>
        <w:rPr>
          <w:rFonts w:hint="default" w:ascii="Times New Roman" w:hAnsi="Times New Roman" w:eastAsia="黑体" w:cs="Times New Roman"/>
          <w:b w:val="0"/>
          <w:bCs w:val="0"/>
          <w:spacing w:val="23"/>
          <w:sz w:val="32"/>
          <w:szCs w:val="48"/>
        </w:rPr>
        <w:t>劳动价值论的认识创新</w:t>
      </w:r>
      <w:bookmarkEnd w:id="179"/>
      <w:bookmarkEnd w:id="180"/>
      <w:bookmarkEnd w:id="181"/>
      <w:bookmarkEnd w:id="182"/>
    </w:p>
    <w:p w14:paraId="471BBAE2">
      <w:pPr>
        <w:spacing w:line="400" w:lineRule="exact"/>
        <w:ind w:firstLine="420" w:firstLineChars="200"/>
        <w:rPr>
          <w:rFonts w:hint="default" w:ascii="Times New Roman" w:hAnsi="Times New Roman" w:eastAsia="宋体" w:cs="Times New Roman"/>
        </w:rPr>
      </w:pPr>
    </w:p>
    <w:p w14:paraId="7CB12946">
      <w:pPr>
        <w:spacing w:line="400" w:lineRule="exact"/>
        <w:ind w:firstLine="524" w:firstLineChars="200"/>
        <w:rPr>
          <w:rFonts w:hint="default" w:ascii="Times New Roman" w:hAnsi="Times New Roman" w:eastAsia="宋体" w:cs="Times New Roman"/>
        </w:rPr>
      </w:pPr>
      <w:r>
        <w:rPr>
          <w:rFonts w:hint="default" w:ascii="Times New Roman" w:hAnsi="Times New Roman" w:eastAsia="宋体" w:cs="Times New Roman"/>
          <w:color w:val="444444"/>
          <w:spacing w:val="26"/>
          <w:szCs w:val="21"/>
        </w:rPr>
        <w:t>马</w:t>
      </w:r>
      <w:r>
        <w:rPr>
          <w:rFonts w:hint="default" w:ascii="Times New Roman" w:hAnsi="Times New Roman" w:eastAsia="宋体" w:cs="Times New Roman"/>
          <w:color w:val="444444"/>
          <w:spacing w:val="18"/>
          <w:szCs w:val="21"/>
        </w:rPr>
        <w:t>克思沿用当时西方经济学家的普遍方</w:t>
      </w:r>
      <w:r>
        <w:rPr>
          <w:rFonts w:hint="default" w:ascii="Times New Roman" w:hAnsi="Times New Roman" w:eastAsia="宋体" w:cs="Times New Roman"/>
          <w:color w:val="444444"/>
          <w:spacing w:val="16"/>
          <w:szCs w:val="21"/>
        </w:rPr>
        <w:t>法</w:t>
      </w:r>
      <w:r>
        <w:rPr>
          <w:rFonts w:hint="default" w:ascii="Times New Roman" w:hAnsi="Times New Roman" w:eastAsia="宋体" w:cs="Times New Roman"/>
          <w:color w:val="444444"/>
          <w:spacing w:val="15"/>
          <w:szCs w:val="21"/>
        </w:rPr>
        <w:t>,</w:t>
      </w:r>
      <w:r>
        <w:rPr>
          <w:rFonts w:hint="default" w:ascii="Times New Roman" w:hAnsi="Times New Roman" w:eastAsia="宋体" w:cs="Times New Roman"/>
          <w:color w:val="444444"/>
          <w:spacing w:val="8"/>
          <w:szCs w:val="21"/>
        </w:rPr>
        <w:t>将政治经济学研究的出发点和基本范围定</w:t>
      </w:r>
      <w:r>
        <w:rPr>
          <w:rFonts w:hint="default" w:ascii="Times New Roman" w:hAnsi="Times New Roman" w:eastAsia="宋体" w:cs="Times New Roman"/>
          <w:color w:val="444444"/>
          <w:spacing w:val="16"/>
          <w:szCs w:val="21"/>
        </w:rPr>
        <w:t>位</w:t>
      </w:r>
      <w:r>
        <w:rPr>
          <w:rFonts w:hint="default" w:ascii="Times New Roman" w:hAnsi="Times New Roman" w:eastAsia="宋体" w:cs="Times New Roman"/>
          <w:color w:val="444444"/>
          <w:spacing w:val="15"/>
          <w:szCs w:val="21"/>
        </w:rPr>
        <w:t>在</w:t>
      </w:r>
      <w:r>
        <w:rPr>
          <w:rFonts w:hint="default" w:ascii="Times New Roman" w:hAnsi="Times New Roman" w:eastAsia="宋体" w:cs="Times New Roman"/>
          <w:color w:val="444444"/>
          <w:spacing w:val="8"/>
          <w:szCs w:val="21"/>
        </w:rPr>
        <w:t>社会物质生产领域,因而其劳动价值论的分</w:t>
      </w:r>
      <w:r>
        <w:rPr>
          <w:rFonts w:hint="default" w:ascii="Times New Roman" w:hAnsi="Times New Roman" w:eastAsia="宋体" w:cs="Times New Roman"/>
          <w:color w:val="444444"/>
          <w:spacing w:val="7"/>
          <w:szCs w:val="21"/>
        </w:rPr>
        <w:t>析层面也局限于物质生产。这在非物质生产</w:t>
      </w:r>
      <w:r>
        <w:rPr>
          <w:rFonts w:hint="default" w:ascii="Times New Roman" w:hAnsi="Times New Roman" w:eastAsia="宋体" w:cs="Times New Roman"/>
          <w:color w:val="444444"/>
          <w:spacing w:val="14"/>
          <w:szCs w:val="21"/>
        </w:rPr>
        <w:t>极不</w:t>
      </w:r>
      <w:r>
        <w:rPr>
          <w:rFonts w:hint="default" w:ascii="Times New Roman" w:hAnsi="Times New Roman" w:eastAsia="宋体" w:cs="Times New Roman"/>
          <w:color w:val="444444"/>
          <w:spacing w:val="9"/>
          <w:szCs w:val="21"/>
        </w:rPr>
        <w:t>发</w:t>
      </w:r>
      <w:r>
        <w:rPr>
          <w:rFonts w:hint="default" w:ascii="Times New Roman" w:hAnsi="Times New Roman" w:eastAsia="宋体" w:cs="Times New Roman"/>
          <w:color w:val="444444"/>
          <w:spacing w:val="7"/>
          <w:szCs w:val="21"/>
        </w:rPr>
        <w:t>达的19世纪,是无可非议的,因为理论</w:t>
      </w:r>
      <w:r>
        <w:rPr>
          <w:rFonts w:hint="default" w:ascii="Times New Roman" w:hAnsi="Times New Roman" w:eastAsia="宋体" w:cs="Times New Roman"/>
          <w:color w:val="444444"/>
          <w:spacing w:val="8"/>
          <w:szCs w:val="21"/>
        </w:rPr>
        <w:t>的</w:t>
      </w:r>
      <w:r>
        <w:rPr>
          <w:rFonts w:hint="default" w:ascii="Times New Roman" w:hAnsi="Times New Roman" w:eastAsia="宋体" w:cs="Times New Roman"/>
          <w:color w:val="444444"/>
          <w:spacing w:val="6"/>
          <w:szCs w:val="21"/>
        </w:rPr>
        <w:t>重点同实践的需要分不开。可是,当今世界,</w:t>
      </w:r>
      <w:r>
        <w:rPr>
          <w:rFonts w:hint="default" w:ascii="Times New Roman" w:hAnsi="Times New Roman" w:eastAsia="宋体" w:cs="Times New Roman"/>
          <w:color w:val="444444"/>
          <w:spacing w:val="16"/>
          <w:szCs w:val="21"/>
        </w:rPr>
        <w:t>包</w:t>
      </w:r>
      <w:r>
        <w:rPr>
          <w:rFonts w:hint="default" w:ascii="Times New Roman" w:hAnsi="Times New Roman" w:eastAsia="宋体" w:cs="Times New Roman"/>
          <w:color w:val="444444"/>
          <w:spacing w:val="15"/>
          <w:szCs w:val="21"/>
        </w:rPr>
        <w:t>括</w:t>
      </w:r>
      <w:r>
        <w:rPr>
          <w:rFonts w:hint="default" w:ascii="Times New Roman" w:hAnsi="Times New Roman" w:eastAsia="宋体" w:cs="Times New Roman"/>
          <w:color w:val="444444"/>
          <w:spacing w:val="8"/>
          <w:szCs w:val="21"/>
        </w:rPr>
        <w:t>中国在内的各个国家,精神劳动和服务劳</w:t>
      </w:r>
      <w:r>
        <w:rPr>
          <w:rFonts w:hint="default" w:ascii="Times New Roman" w:hAnsi="Times New Roman" w:eastAsia="宋体" w:cs="Times New Roman"/>
          <w:color w:val="444444"/>
          <w:spacing w:val="16"/>
          <w:szCs w:val="21"/>
        </w:rPr>
        <w:t>动</w:t>
      </w:r>
      <w:r>
        <w:rPr>
          <w:rFonts w:hint="default" w:ascii="Times New Roman" w:hAnsi="Times New Roman" w:eastAsia="宋体" w:cs="Times New Roman"/>
          <w:color w:val="444444"/>
          <w:spacing w:val="15"/>
          <w:szCs w:val="21"/>
        </w:rPr>
        <w:t>在</w:t>
      </w:r>
      <w:r>
        <w:rPr>
          <w:rFonts w:hint="default" w:ascii="Times New Roman" w:hAnsi="Times New Roman" w:eastAsia="宋体" w:cs="Times New Roman"/>
          <w:color w:val="444444"/>
          <w:spacing w:val="8"/>
          <w:szCs w:val="21"/>
        </w:rPr>
        <w:t>社会总劳动中所占的比重日渐增大,非物</w:t>
      </w:r>
      <w:r>
        <w:rPr>
          <w:rFonts w:hint="default" w:ascii="Times New Roman" w:hAnsi="Times New Roman" w:eastAsia="宋体" w:cs="Times New Roman"/>
          <w:color w:val="444444"/>
          <w:spacing w:val="18"/>
          <w:szCs w:val="21"/>
        </w:rPr>
        <w:t>质生产部门在社会总部门中所占的比重日</w:t>
      </w:r>
      <w:r>
        <w:rPr>
          <w:rFonts w:hint="default" w:ascii="Times New Roman" w:hAnsi="Times New Roman" w:eastAsia="宋体" w:cs="Times New Roman"/>
          <w:color w:val="444444"/>
          <w:spacing w:val="17"/>
          <w:szCs w:val="21"/>
        </w:rPr>
        <w:t>渐</w:t>
      </w:r>
      <w:r>
        <w:rPr>
          <w:rFonts w:hint="default" w:ascii="Times New Roman" w:hAnsi="Times New Roman" w:eastAsia="宋体" w:cs="Times New Roman"/>
          <w:color w:val="444444"/>
          <w:spacing w:val="16"/>
          <w:szCs w:val="21"/>
        </w:rPr>
        <w:t>增</w:t>
      </w:r>
      <w:r>
        <w:rPr>
          <w:rFonts w:hint="default" w:ascii="Times New Roman" w:hAnsi="Times New Roman" w:eastAsia="宋体" w:cs="Times New Roman"/>
          <w:color w:val="444444"/>
          <w:spacing w:val="15"/>
          <w:szCs w:val="21"/>
        </w:rPr>
        <w:t>大</w:t>
      </w:r>
      <w:r>
        <w:rPr>
          <w:rFonts w:hint="default" w:ascii="Times New Roman" w:hAnsi="Times New Roman" w:eastAsia="宋体" w:cs="Times New Roman"/>
          <w:color w:val="444444"/>
          <w:spacing w:val="8"/>
          <w:szCs w:val="21"/>
        </w:rPr>
        <w:t>,智力劳动在个人劳动总支出中所占的比</w:t>
      </w:r>
      <w:r>
        <w:rPr>
          <w:rFonts w:hint="default" w:ascii="Times New Roman" w:hAnsi="Times New Roman" w:eastAsia="宋体" w:cs="Times New Roman"/>
          <w:color w:val="444444"/>
          <w:spacing w:val="16"/>
          <w:szCs w:val="21"/>
        </w:rPr>
        <w:t>重</w:t>
      </w:r>
      <w:r>
        <w:rPr>
          <w:rFonts w:hint="default" w:ascii="Times New Roman" w:hAnsi="Times New Roman" w:eastAsia="宋体" w:cs="Times New Roman"/>
          <w:color w:val="444444"/>
          <w:spacing w:val="15"/>
          <w:szCs w:val="21"/>
        </w:rPr>
        <w:t>也</w:t>
      </w:r>
      <w:r>
        <w:rPr>
          <w:rFonts w:hint="default" w:ascii="Times New Roman" w:hAnsi="Times New Roman" w:eastAsia="宋体" w:cs="Times New Roman"/>
          <w:color w:val="444444"/>
          <w:spacing w:val="8"/>
          <w:szCs w:val="21"/>
        </w:rPr>
        <w:t>日渐增大。而在一些发达国家,物质生产</w:t>
      </w:r>
      <w:r>
        <w:rPr>
          <w:rFonts w:hint="default" w:ascii="Times New Roman" w:hAnsi="Times New Roman" w:eastAsia="宋体" w:cs="Times New Roman"/>
          <w:color w:val="444444"/>
          <w:spacing w:val="16"/>
          <w:szCs w:val="21"/>
        </w:rPr>
        <w:t>所</w:t>
      </w:r>
      <w:r>
        <w:rPr>
          <w:rFonts w:hint="default" w:ascii="Times New Roman" w:hAnsi="Times New Roman" w:eastAsia="宋体" w:cs="Times New Roman"/>
          <w:color w:val="444444"/>
          <w:spacing w:val="15"/>
          <w:szCs w:val="21"/>
        </w:rPr>
        <w:t>占</w:t>
      </w:r>
      <w:r>
        <w:rPr>
          <w:rFonts w:hint="default" w:ascii="Times New Roman" w:hAnsi="Times New Roman" w:eastAsia="宋体" w:cs="Times New Roman"/>
          <w:color w:val="444444"/>
          <w:spacing w:val="8"/>
          <w:szCs w:val="21"/>
        </w:rPr>
        <w:t>的比重已不到一半。在这种情况下,如果</w:t>
      </w:r>
      <w:r>
        <w:rPr>
          <w:rFonts w:hint="default" w:ascii="Times New Roman" w:hAnsi="Times New Roman" w:eastAsia="宋体" w:cs="Times New Roman"/>
          <w:color w:val="444444"/>
          <w:spacing w:val="18"/>
          <w:szCs w:val="21"/>
        </w:rPr>
        <w:t>我们不及时拓展政治经济学和劳动价值论</w:t>
      </w:r>
      <w:r>
        <w:rPr>
          <w:rFonts w:hint="default" w:ascii="Times New Roman" w:hAnsi="Times New Roman" w:eastAsia="宋体" w:cs="Times New Roman"/>
          <w:color w:val="444444"/>
          <w:spacing w:val="17"/>
          <w:szCs w:val="21"/>
        </w:rPr>
        <w:t>的</w:t>
      </w:r>
      <w:r>
        <w:rPr>
          <w:rFonts w:hint="default" w:ascii="Times New Roman" w:hAnsi="Times New Roman" w:eastAsia="宋体" w:cs="Times New Roman"/>
          <w:color w:val="444444"/>
          <w:spacing w:val="16"/>
          <w:szCs w:val="21"/>
        </w:rPr>
        <w:t>出</w:t>
      </w:r>
      <w:r>
        <w:rPr>
          <w:rFonts w:hint="default" w:ascii="Times New Roman" w:hAnsi="Times New Roman" w:eastAsia="宋体" w:cs="Times New Roman"/>
          <w:color w:val="444444"/>
          <w:spacing w:val="15"/>
          <w:szCs w:val="21"/>
        </w:rPr>
        <w:t>发</w:t>
      </w:r>
      <w:r>
        <w:rPr>
          <w:rFonts w:hint="default" w:ascii="Times New Roman" w:hAnsi="Times New Roman" w:eastAsia="宋体" w:cs="Times New Roman"/>
          <w:color w:val="444444"/>
          <w:spacing w:val="8"/>
          <w:szCs w:val="21"/>
        </w:rPr>
        <w:t>点与研究范围,把马克思和西方学者当时</w:t>
      </w:r>
      <w:r>
        <w:rPr>
          <w:rFonts w:hint="default" w:ascii="Times New Roman" w:hAnsi="Times New Roman" w:eastAsia="宋体" w:cs="Times New Roman"/>
          <w:color w:val="444444"/>
          <w:spacing w:val="18"/>
          <w:szCs w:val="21"/>
        </w:rPr>
        <w:t>没有重点分析的非物质生产领域纳入进来</w:t>
      </w:r>
      <w:r>
        <w:rPr>
          <w:rFonts w:hint="default" w:ascii="Times New Roman" w:hAnsi="Times New Roman" w:eastAsia="宋体" w:cs="Times New Roman"/>
          <w:color w:val="444444"/>
          <w:spacing w:val="17"/>
          <w:szCs w:val="21"/>
        </w:rPr>
        <w:t>探</w:t>
      </w:r>
      <w:r>
        <w:rPr>
          <w:rFonts w:hint="default" w:ascii="Times New Roman" w:hAnsi="Times New Roman" w:eastAsia="宋体" w:cs="Times New Roman"/>
          <w:color w:val="444444"/>
          <w:spacing w:val="26"/>
          <w:szCs w:val="21"/>
        </w:rPr>
        <w:t>讨</w:t>
      </w:r>
      <w:r>
        <w:rPr>
          <w:rFonts w:hint="default" w:ascii="Times New Roman" w:hAnsi="Times New Roman" w:eastAsia="宋体" w:cs="Times New Roman"/>
          <w:color w:val="444444"/>
          <w:spacing w:val="16"/>
          <w:szCs w:val="21"/>
        </w:rPr>
        <w:t>,</w:t>
      </w:r>
      <w:r>
        <w:rPr>
          <w:rFonts w:hint="default" w:ascii="Times New Roman" w:hAnsi="Times New Roman" w:eastAsia="宋体" w:cs="Times New Roman"/>
          <w:color w:val="444444"/>
          <w:spacing w:val="13"/>
          <w:szCs w:val="21"/>
        </w:rPr>
        <w:t>那么,劳动价值论将会因此而得不到发</w:t>
      </w:r>
      <w:r>
        <w:rPr>
          <w:rFonts w:hint="default" w:ascii="Times New Roman" w:hAnsi="Times New Roman" w:eastAsia="宋体" w:cs="Times New Roman"/>
          <w:color w:val="444444"/>
          <w:spacing w:val="2"/>
          <w:szCs w:val="21"/>
        </w:rPr>
        <w:t>展。马克思主义没有穷尽真理,也不是教条</w:t>
      </w:r>
      <w:r>
        <w:rPr>
          <w:rFonts w:hint="default" w:ascii="Times New Roman" w:hAnsi="Times New Roman" w:eastAsia="宋体" w:cs="Times New Roman"/>
          <w:color w:val="444444"/>
          <w:spacing w:val="1"/>
          <w:szCs w:val="21"/>
        </w:rPr>
        <w:t>。</w:t>
      </w:r>
      <w:r>
        <w:rPr>
          <w:rFonts w:hint="default" w:ascii="Times New Roman" w:hAnsi="Times New Roman" w:eastAsia="宋体" w:cs="Times New Roman"/>
          <w:color w:val="444444"/>
          <w:szCs w:val="21"/>
        </w:rPr>
        <w:t>它</w:t>
      </w:r>
      <w:r>
        <w:rPr>
          <w:rFonts w:hint="default" w:ascii="Times New Roman" w:hAnsi="Times New Roman" w:eastAsia="宋体" w:cs="Times New Roman"/>
          <w:color w:val="444444"/>
          <w:spacing w:val="16"/>
          <w:szCs w:val="21"/>
        </w:rPr>
        <w:t>作</w:t>
      </w:r>
      <w:r>
        <w:rPr>
          <w:rFonts w:hint="default" w:ascii="Times New Roman" w:hAnsi="Times New Roman" w:eastAsia="宋体" w:cs="Times New Roman"/>
          <w:color w:val="444444"/>
          <w:spacing w:val="15"/>
          <w:szCs w:val="21"/>
        </w:rPr>
        <w:t>为</w:t>
      </w:r>
      <w:r>
        <w:rPr>
          <w:rFonts w:hint="default" w:ascii="Times New Roman" w:hAnsi="Times New Roman" w:eastAsia="宋体" w:cs="Times New Roman"/>
          <w:color w:val="444444"/>
          <w:spacing w:val="8"/>
          <w:szCs w:val="21"/>
        </w:rPr>
        <w:t>一种科学方法和原理,必须不断推进和完</w:t>
      </w:r>
      <w:r>
        <w:rPr>
          <w:rFonts w:hint="default" w:ascii="Times New Roman" w:hAnsi="Times New Roman" w:eastAsia="宋体" w:cs="Times New Roman"/>
          <w:color w:val="444444"/>
          <w:spacing w:val="1"/>
          <w:szCs w:val="21"/>
        </w:rPr>
        <w:t>善</w:t>
      </w:r>
      <w:r>
        <w:rPr>
          <w:rFonts w:hint="default" w:ascii="Times New Roman" w:hAnsi="Times New Roman" w:eastAsia="宋体" w:cs="Times New Roman"/>
          <w:color w:val="444444"/>
          <w:szCs w:val="21"/>
        </w:rPr>
        <w:t>。</w:t>
      </w:r>
    </w:p>
    <w:p w14:paraId="3E2016E7">
      <w:pPr>
        <w:spacing w:line="400" w:lineRule="exact"/>
        <w:ind w:firstLine="544" w:firstLineChars="200"/>
        <w:rPr>
          <w:rFonts w:hint="default" w:ascii="Times New Roman" w:hAnsi="Times New Roman" w:eastAsia="宋体" w:cs="Times New Roman"/>
          <w:color w:val="444444"/>
          <w:spacing w:val="19"/>
        </w:rPr>
      </w:pPr>
      <w:r>
        <w:rPr>
          <w:rFonts w:hint="default" w:ascii="Times New Roman" w:hAnsi="Times New Roman" w:eastAsia="宋体" w:cs="Times New Roman"/>
          <w:color w:val="444444"/>
          <w:spacing w:val="31"/>
          <w:szCs w:val="21"/>
        </w:rPr>
        <w:t>依</w:t>
      </w:r>
      <w:r>
        <w:rPr>
          <w:rFonts w:hint="default" w:ascii="Times New Roman" w:hAnsi="Times New Roman" w:eastAsia="宋体" w:cs="Times New Roman"/>
          <w:color w:val="444444"/>
          <w:spacing w:val="18"/>
          <w:szCs w:val="21"/>
        </w:rPr>
        <w:t>据马克思关于活劳动创造为市场交换</w:t>
      </w:r>
      <w:r>
        <w:rPr>
          <w:rFonts w:hint="default" w:ascii="Times New Roman" w:hAnsi="Times New Roman" w:eastAsia="宋体" w:cs="Times New Roman"/>
          <w:color w:val="444444"/>
          <w:spacing w:val="16"/>
          <w:szCs w:val="21"/>
        </w:rPr>
        <w:t>而</w:t>
      </w:r>
      <w:r>
        <w:rPr>
          <w:rFonts w:hint="default" w:ascii="Times New Roman" w:hAnsi="Times New Roman" w:eastAsia="宋体" w:cs="Times New Roman"/>
          <w:color w:val="444444"/>
          <w:spacing w:val="15"/>
          <w:szCs w:val="21"/>
        </w:rPr>
        <w:t>生</w:t>
      </w:r>
      <w:r>
        <w:rPr>
          <w:rFonts w:hint="default" w:ascii="Times New Roman" w:hAnsi="Times New Roman" w:eastAsia="宋体" w:cs="Times New Roman"/>
          <w:color w:val="444444"/>
          <w:spacing w:val="8"/>
          <w:szCs w:val="21"/>
        </w:rPr>
        <w:t>产的商品价值,以及纯粹为商品价值形态</w:t>
      </w:r>
      <w:r>
        <w:rPr>
          <w:rFonts w:hint="default" w:ascii="Times New Roman" w:hAnsi="Times New Roman" w:eastAsia="宋体" w:cs="Times New Roman"/>
          <w:color w:val="444444"/>
          <w:spacing w:val="16"/>
          <w:szCs w:val="21"/>
        </w:rPr>
        <w:t>转</w:t>
      </w:r>
      <w:r>
        <w:rPr>
          <w:rFonts w:hint="default" w:ascii="Times New Roman" w:hAnsi="Times New Roman" w:eastAsia="宋体" w:cs="Times New Roman"/>
          <w:color w:val="444444"/>
          <w:spacing w:val="15"/>
          <w:szCs w:val="21"/>
        </w:rPr>
        <w:t>换</w:t>
      </w:r>
      <w:r>
        <w:rPr>
          <w:rFonts w:hint="default" w:ascii="Times New Roman" w:hAnsi="Times New Roman" w:eastAsia="宋体" w:cs="Times New Roman"/>
          <w:color w:val="444444"/>
          <w:spacing w:val="8"/>
          <w:szCs w:val="21"/>
        </w:rPr>
        <w:t>服务的流通不创造价值的科学精神,我认</w:t>
      </w:r>
      <w:r>
        <w:rPr>
          <w:rFonts w:hint="default" w:ascii="Times New Roman" w:hAnsi="Times New Roman" w:eastAsia="宋体" w:cs="Times New Roman"/>
          <w:color w:val="444444"/>
          <w:spacing w:val="16"/>
          <w:szCs w:val="21"/>
        </w:rPr>
        <w:t>为</w:t>
      </w:r>
      <w:r>
        <w:rPr>
          <w:rFonts w:hint="default" w:ascii="Times New Roman" w:hAnsi="Times New Roman" w:eastAsia="宋体" w:cs="Times New Roman"/>
          <w:color w:val="444444"/>
          <w:spacing w:val="15"/>
          <w:szCs w:val="21"/>
        </w:rPr>
        <w:t>,</w:t>
      </w:r>
      <w:r>
        <w:rPr>
          <w:rFonts w:hint="default" w:ascii="Times New Roman" w:hAnsi="Times New Roman" w:eastAsia="宋体" w:cs="Times New Roman"/>
          <w:color w:val="444444"/>
          <w:spacing w:val="8"/>
          <w:szCs w:val="21"/>
        </w:rPr>
        <w:t>凡是直接为市场交换而生产物质商品和精</w:t>
      </w:r>
      <w:r>
        <w:rPr>
          <w:rFonts w:hint="default" w:ascii="Times New Roman" w:hAnsi="Times New Roman" w:eastAsia="宋体" w:cs="Times New Roman"/>
          <w:color w:val="444444"/>
          <w:spacing w:val="9"/>
          <w:szCs w:val="21"/>
        </w:rPr>
        <w:t>神</w:t>
      </w:r>
      <w:r>
        <w:rPr>
          <w:rFonts w:hint="default" w:ascii="Times New Roman" w:hAnsi="Times New Roman" w:eastAsia="宋体" w:cs="Times New Roman"/>
          <w:color w:val="444444"/>
          <w:spacing w:val="6"/>
          <w:szCs w:val="21"/>
        </w:rPr>
        <w:t>商品,以及直接为劳动力商品的生产和再生</w:t>
      </w:r>
      <w:r>
        <w:rPr>
          <w:rFonts w:hint="default" w:ascii="Times New Roman" w:hAnsi="Times New Roman" w:eastAsia="宋体" w:cs="Times New Roman"/>
          <w:color w:val="444444"/>
          <w:spacing w:val="16"/>
          <w:szCs w:val="21"/>
        </w:rPr>
        <w:t>产</w:t>
      </w:r>
      <w:r>
        <w:rPr>
          <w:rFonts w:hint="default" w:ascii="Times New Roman" w:hAnsi="Times New Roman" w:eastAsia="宋体" w:cs="Times New Roman"/>
          <w:color w:val="444444"/>
          <w:spacing w:val="15"/>
          <w:szCs w:val="21"/>
        </w:rPr>
        <w:t>服</w:t>
      </w:r>
      <w:r>
        <w:rPr>
          <w:rFonts w:hint="default" w:ascii="Times New Roman" w:hAnsi="Times New Roman" w:eastAsia="宋体" w:cs="Times New Roman"/>
          <w:color w:val="444444"/>
          <w:spacing w:val="8"/>
          <w:szCs w:val="21"/>
        </w:rPr>
        <w:t>务的劳动,其中包括自然人和法人实体的</w:t>
      </w:r>
      <w:r>
        <w:rPr>
          <w:rFonts w:hint="default" w:ascii="Times New Roman" w:hAnsi="Times New Roman" w:eastAsia="宋体" w:cs="Times New Roman"/>
          <w:color w:val="444444"/>
          <w:spacing w:val="16"/>
          <w:szCs w:val="21"/>
        </w:rPr>
        <w:t>内</w:t>
      </w:r>
      <w:r>
        <w:rPr>
          <w:rFonts w:hint="default" w:ascii="Times New Roman" w:hAnsi="Times New Roman" w:eastAsia="宋体" w:cs="Times New Roman"/>
          <w:color w:val="444444"/>
          <w:spacing w:val="15"/>
          <w:szCs w:val="21"/>
        </w:rPr>
        <w:t>部</w:t>
      </w:r>
      <w:r>
        <w:rPr>
          <w:rFonts w:hint="default" w:ascii="Times New Roman" w:hAnsi="Times New Roman" w:eastAsia="宋体" w:cs="Times New Roman"/>
          <w:color w:val="444444"/>
          <w:spacing w:val="8"/>
          <w:szCs w:val="21"/>
        </w:rPr>
        <w:t>管理劳动和科技劳动,都属于创造价值的</w:t>
      </w:r>
      <w:r>
        <w:rPr>
          <w:rFonts w:hint="default" w:ascii="Times New Roman" w:hAnsi="Times New Roman" w:eastAsia="宋体" w:cs="Times New Roman"/>
          <w:color w:val="444444"/>
          <w:spacing w:val="1"/>
          <w:szCs w:val="21"/>
        </w:rPr>
        <w:t>劳动或生产劳动。这一“新的活劳动价值一元</w:t>
      </w:r>
      <w:r>
        <w:rPr>
          <w:rFonts w:hint="default" w:ascii="Times New Roman" w:hAnsi="Times New Roman" w:eastAsia="宋体" w:cs="Times New Roman"/>
          <w:color w:val="444444"/>
          <w:spacing w:val="6"/>
          <w:szCs w:val="21"/>
        </w:rPr>
        <w:t>论”,</w:t>
      </w:r>
      <w:r>
        <w:rPr>
          <w:rFonts w:hint="default" w:ascii="Times New Roman" w:hAnsi="Times New Roman" w:eastAsia="宋体" w:cs="Times New Roman"/>
          <w:color w:val="444444"/>
          <w:spacing w:val="3"/>
          <w:szCs w:val="21"/>
        </w:rPr>
        <w:t>不仅没有否定马克思的核心思想和方法,</w:t>
      </w:r>
      <w:r>
        <w:rPr>
          <w:rFonts w:hint="default" w:ascii="Times New Roman" w:hAnsi="Times New Roman" w:eastAsia="宋体" w:cs="Times New Roman"/>
          <w:color w:val="444444"/>
          <w:spacing w:val="18"/>
          <w:szCs w:val="21"/>
        </w:rPr>
        <w:t>而且恰恰是遵循了马克思研究物质生产领</w:t>
      </w:r>
      <w:r>
        <w:rPr>
          <w:rFonts w:hint="default" w:ascii="Times New Roman" w:hAnsi="Times New Roman" w:eastAsia="宋体" w:cs="Times New Roman"/>
          <w:color w:val="444444"/>
          <w:spacing w:val="17"/>
          <w:szCs w:val="21"/>
        </w:rPr>
        <w:t>域</w:t>
      </w:r>
      <w:r>
        <w:rPr>
          <w:rFonts w:hint="default" w:ascii="Times New Roman" w:hAnsi="Times New Roman" w:eastAsia="宋体" w:cs="Times New Roman"/>
          <w:color w:val="444444"/>
          <w:spacing w:val="16"/>
          <w:szCs w:val="21"/>
        </w:rPr>
        <w:t>价</w:t>
      </w:r>
      <w:r>
        <w:rPr>
          <w:rFonts w:hint="default" w:ascii="Times New Roman" w:hAnsi="Times New Roman" w:eastAsia="宋体" w:cs="Times New Roman"/>
          <w:color w:val="444444"/>
          <w:spacing w:val="15"/>
          <w:szCs w:val="21"/>
        </w:rPr>
        <w:t>值</w:t>
      </w:r>
      <w:r>
        <w:rPr>
          <w:rFonts w:hint="default" w:ascii="Times New Roman" w:hAnsi="Times New Roman" w:eastAsia="宋体" w:cs="Times New Roman"/>
          <w:color w:val="444444"/>
          <w:spacing w:val="8"/>
          <w:szCs w:val="21"/>
        </w:rPr>
        <w:t>创造的思路,并把它扩展到一切社会经济</w:t>
      </w:r>
      <w:r>
        <w:rPr>
          <w:rFonts w:hint="default" w:ascii="Times New Roman" w:hAnsi="Times New Roman" w:eastAsia="宋体" w:cs="Times New Roman"/>
          <w:color w:val="444444"/>
          <w:spacing w:val="28"/>
          <w:szCs w:val="21"/>
        </w:rPr>
        <w:t>部</w:t>
      </w:r>
      <w:r>
        <w:rPr>
          <w:rFonts w:hint="default" w:ascii="Times New Roman" w:hAnsi="Times New Roman" w:eastAsia="宋体" w:cs="Times New Roman"/>
          <w:color w:val="444444"/>
          <w:spacing w:val="19"/>
          <w:szCs w:val="21"/>
        </w:rPr>
        <w:t>门后所形成的必然结论。具体说来:</w:t>
      </w:r>
    </w:p>
    <w:p w14:paraId="5CD3AAAB">
      <w:pPr>
        <w:spacing w:line="400" w:lineRule="exact"/>
        <w:ind w:firstLine="492" w:firstLineChars="200"/>
        <w:rPr>
          <w:rFonts w:hint="default" w:ascii="Times New Roman" w:hAnsi="Times New Roman" w:eastAsia="宋体" w:cs="Times New Roman"/>
        </w:rPr>
      </w:pPr>
      <w:r>
        <w:rPr>
          <w:rFonts w:hint="default" w:ascii="Times New Roman" w:hAnsi="Times New Roman" w:eastAsia="宋体" w:cs="Times New Roman"/>
          <w:color w:val="444444"/>
          <w:spacing w:val="18"/>
          <w:szCs w:val="21"/>
        </w:rPr>
        <w:t>第</w:t>
      </w:r>
      <w:r>
        <w:rPr>
          <w:rFonts w:hint="default" w:ascii="Times New Roman" w:hAnsi="Times New Roman" w:eastAsia="宋体" w:cs="Times New Roman"/>
          <w:color w:val="444444"/>
          <w:spacing w:val="11"/>
          <w:szCs w:val="21"/>
        </w:rPr>
        <w:t>一</w:t>
      </w:r>
      <w:r>
        <w:rPr>
          <w:rFonts w:hint="default" w:ascii="Times New Roman" w:hAnsi="Times New Roman" w:eastAsia="宋体" w:cs="Times New Roman"/>
          <w:color w:val="444444"/>
          <w:spacing w:val="9"/>
          <w:szCs w:val="21"/>
        </w:rPr>
        <w:t>,生产物质商品的劳动是创造价值的</w:t>
      </w:r>
      <w:r>
        <w:rPr>
          <w:rFonts w:hint="default" w:ascii="Times New Roman" w:hAnsi="Times New Roman" w:eastAsia="宋体" w:cs="Times New Roman"/>
          <w:color w:val="444444"/>
          <w:spacing w:val="8"/>
          <w:szCs w:val="21"/>
        </w:rPr>
        <w:t>生产</w:t>
      </w:r>
      <w:r>
        <w:rPr>
          <w:rFonts w:hint="default" w:ascii="Times New Roman" w:hAnsi="Times New Roman" w:eastAsia="宋体" w:cs="Times New Roman"/>
          <w:color w:val="444444"/>
          <w:spacing w:val="6"/>
          <w:szCs w:val="21"/>
        </w:rPr>
        <w:t>性</w:t>
      </w:r>
      <w:r>
        <w:rPr>
          <w:rFonts w:hint="default" w:ascii="Times New Roman" w:hAnsi="Times New Roman" w:eastAsia="宋体" w:cs="Times New Roman"/>
          <w:color w:val="444444"/>
          <w:spacing w:val="4"/>
          <w:szCs w:val="21"/>
        </w:rPr>
        <w:t>劳动。如为市场提供物质商品的农业、</w:t>
      </w:r>
      <w:r>
        <w:rPr>
          <w:rFonts w:hint="default" w:ascii="Times New Roman" w:hAnsi="Times New Roman" w:eastAsia="宋体" w:cs="Times New Roman"/>
          <w:color w:val="444444"/>
          <w:spacing w:val="8"/>
          <w:szCs w:val="21"/>
        </w:rPr>
        <w:t>工业、建筑业、物质技术业等领域中的生产</w:t>
      </w:r>
      <w:r>
        <w:rPr>
          <w:rFonts w:hint="default" w:ascii="Times New Roman" w:hAnsi="Times New Roman" w:eastAsia="宋体" w:cs="Times New Roman"/>
          <w:color w:val="444444"/>
          <w:spacing w:val="7"/>
          <w:szCs w:val="21"/>
        </w:rPr>
        <w:t>性</w:t>
      </w:r>
      <w:r>
        <w:rPr>
          <w:rFonts w:hint="default" w:ascii="Times New Roman" w:hAnsi="Times New Roman" w:eastAsia="宋体" w:cs="Times New Roman"/>
          <w:color w:val="444444"/>
          <w:spacing w:val="1"/>
          <w:szCs w:val="21"/>
        </w:rPr>
        <w:t>劳</w:t>
      </w:r>
      <w:r>
        <w:rPr>
          <w:rFonts w:hint="default" w:ascii="Times New Roman" w:hAnsi="Times New Roman" w:eastAsia="宋体" w:cs="Times New Roman"/>
          <w:color w:val="444444"/>
          <w:szCs w:val="21"/>
        </w:rPr>
        <w:t>动。这是马克思早已阐明的。</w:t>
      </w:r>
    </w:p>
    <w:p w14:paraId="513789E9">
      <w:pPr>
        <w:spacing w:line="400" w:lineRule="exact"/>
        <w:ind w:firstLine="492" w:firstLineChars="200"/>
        <w:rPr>
          <w:rFonts w:hint="default" w:ascii="Times New Roman" w:hAnsi="Times New Roman" w:eastAsia="宋体" w:cs="Times New Roman"/>
        </w:rPr>
      </w:pPr>
      <w:r>
        <w:rPr>
          <w:rFonts w:hint="default" w:ascii="Times New Roman" w:hAnsi="Times New Roman" w:eastAsia="宋体" w:cs="Times New Roman"/>
          <w:color w:val="444444"/>
          <w:spacing w:val="18"/>
          <w:szCs w:val="21"/>
        </w:rPr>
        <w:t>第</w:t>
      </w:r>
      <w:r>
        <w:rPr>
          <w:rFonts w:hint="default" w:ascii="Times New Roman" w:hAnsi="Times New Roman" w:eastAsia="宋体" w:cs="Times New Roman"/>
          <w:color w:val="444444"/>
          <w:spacing w:val="11"/>
          <w:szCs w:val="21"/>
        </w:rPr>
        <w:t>二</w:t>
      </w:r>
      <w:r>
        <w:rPr>
          <w:rFonts w:hint="default" w:ascii="Times New Roman" w:hAnsi="Times New Roman" w:eastAsia="宋体" w:cs="Times New Roman"/>
          <w:color w:val="444444"/>
          <w:spacing w:val="9"/>
          <w:szCs w:val="21"/>
        </w:rPr>
        <w:t>,从事有形和无形商品场所变更的劳动</w:t>
      </w:r>
      <w:r>
        <w:rPr>
          <w:rFonts w:hint="default" w:ascii="Times New Roman" w:hAnsi="Times New Roman" w:eastAsia="宋体" w:cs="Times New Roman"/>
          <w:color w:val="444444"/>
          <w:spacing w:val="8"/>
          <w:szCs w:val="21"/>
        </w:rPr>
        <w:t>是创造价值的生产性劳动。如为市场提供货</w:t>
      </w:r>
      <w:r>
        <w:rPr>
          <w:rFonts w:hint="default" w:ascii="Times New Roman" w:hAnsi="Times New Roman" w:eastAsia="宋体" w:cs="Times New Roman"/>
          <w:color w:val="444444"/>
          <w:spacing w:val="18"/>
          <w:szCs w:val="21"/>
        </w:rPr>
        <w:t>物</w:t>
      </w:r>
      <w:r>
        <w:rPr>
          <w:rFonts w:hint="default" w:ascii="Times New Roman" w:hAnsi="Times New Roman" w:eastAsia="宋体" w:cs="Times New Roman"/>
          <w:color w:val="444444"/>
          <w:spacing w:val="13"/>
          <w:szCs w:val="21"/>
        </w:rPr>
        <w:t>和</w:t>
      </w:r>
      <w:r>
        <w:rPr>
          <w:rFonts w:hint="default" w:ascii="Times New Roman" w:hAnsi="Times New Roman" w:eastAsia="宋体" w:cs="Times New Roman"/>
          <w:color w:val="444444"/>
          <w:spacing w:val="9"/>
          <w:szCs w:val="21"/>
        </w:rPr>
        <w:t>人员空间位移的运输劳动,提供书信、消</w:t>
      </w:r>
      <w:r>
        <w:rPr>
          <w:rFonts w:hint="default" w:ascii="Times New Roman" w:hAnsi="Times New Roman" w:eastAsia="宋体" w:cs="Times New Roman"/>
          <w:color w:val="444444"/>
          <w:spacing w:val="-2"/>
          <w:szCs w:val="21"/>
        </w:rPr>
        <w:t>息、电报、电话等各种信息传递的邮电劳动</w:t>
      </w:r>
      <w:r>
        <w:rPr>
          <w:rFonts w:hint="default" w:ascii="Times New Roman" w:hAnsi="Times New Roman" w:eastAsia="宋体" w:cs="Times New Roman"/>
          <w:color w:val="444444"/>
          <w:spacing w:val="-1"/>
          <w:szCs w:val="21"/>
        </w:rPr>
        <w:t>。</w:t>
      </w:r>
      <w:r>
        <w:rPr>
          <w:rFonts w:hint="default" w:ascii="Times New Roman" w:hAnsi="Times New Roman" w:eastAsia="宋体" w:cs="Times New Roman"/>
          <w:color w:val="444444"/>
          <w:szCs w:val="21"/>
        </w:rPr>
        <w:t>场</w:t>
      </w:r>
      <w:r>
        <w:rPr>
          <w:rFonts w:hint="default" w:ascii="Times New Roman" w:hAnsi="Times New Roman" w:eastAsia="宋体" w:cs="Times New Roman"/>
          <w:color w:val="444444"/>
          <w:spacing w:val="19"/>
          <w:szCs w:val="21"/>
        </w:rPr>
        <w:t>所变更或信息传递就是广义交通劳动产生的</w:t>
      </w:r>
      <w:r>
        <w:rPr>
          <w:rFonts w:hint="default" w:ascii="Times New Roman" w:hAnsi="Times New Roman" w:eastAsia="宋体" w:cs="Times New Roman"/>
          <w:color w:val="444444"/>
          <w:spacing w:val="18"/>
          <w:szCs w:val="21"/>
        </w:rPr>
        <w:t>效</w:t>
      </w:r>
      <w:r>
        <w:rPr>
          <w:rFonts w:hint="default" w:ascii="Times New Roman" w:hAnsi="Times New Roman" w:eastAsia="宋体" w:cs="Times New Roman"/>
          <w:color w:val="444444"/>
          <w:spacing w:val="13"/>
          <w:szCs w:val="21"/>
        </w:rPr>
        <w:t>用</w:t>
      </w:r>
      <w:r>
        <w:rPr>
          <w:rFonts w:hint="default" w:ascii="Times New Roman" w:hAnsi="Times New Roman" w:eastAsia="宋体" w:cs="Times New Roman"/>
          <w:color w:val="444444"/>
          <w:spacing w:val="9"/>
          <w:szCs w:val="21"/>
        </w:rPr>
        <w:t>,它们是可以发生在流通领域内的特殊生</w:t>
      </w:r>
      <w:r>
        <w:rPr>
          <w:rFonts w:hint="default" w:ascii="Times New Roman" w:hAnsi="Times New Roman" w:eastAsia="宋体" w:cs="Times New Roman"/>
          <w:color w:val="444444"/>
          <w:spacing w:val="4"/>
          <w:szCs w:val="21"/>
        </w:rPr>
        <w:t>产</w:t>
      </w:r>
      <w:r>
        <w:rPr>
          <w:rFonts w:hint="default" w:ascii="Times New Roman" w:hAnsi="Times New Roman" w:eastAsia="宋体" w:cs="Times New Roman"/>
          <w:color w:val="444444"/>
          <w:spacing w:val="2"/>
          <w:szCs w:val="21"/>
        </w:rPr>
        <w:t>性部门。这是马克思基本阐明的观点。</w:t>
      </w:r>
    </w:p>
    <w:p w14:paraId="1B084162">
      <w:pPr>
        <w:spacing w:line="400" w:lineRule="exact"/>
        <w:ind w:firstLine="492" w:firstLineChars="200"/>
        <w:rPr>
          <w:rFonts w:hint="default" w:ascii="Times New Roman" w:hAnsi="Times New Roman" w:eastAsia="宋体" w:cs="Times New Roman"/>
        </w:rPr>
      </w:pPr>
      <w:r>
        <w:rPr>
          <w:rFonts w:hint="default" w:ascii="Times New Roman" w:hAnsi="Times New Roman" w:eastAsia="宋体" w:cs="Times New Roman"/>
          <w:color w:val="444444"/>
          <w:spacing w:val="18"/>
          <w:szCs w:val="21"/>
        </w:rPr>
        <w:t>第</w:t>
      </w:r>
      <w:r>
        <w:rPr>
          <w:rFonts w:hint="default" w:ascii="Times New Roman" w:hAnsi="Times New Roman" w:eastAsia="宋体" w:cs="Times New Roman"/>
          <w:color w:val="444444"/>
          <w:spacing w:val="11"/>
          <w:szCs w:val="21"/>
        </w:rPr>
        <w:t>三</w:t>
      </w:r>
      <w:r>
        <w:rPr>
          <w:rFonts w:hint="default" w:ascii="Times New Roman" w:hAnsi="Times New Roman" w:eastAsia="宋体" w:cs="Times New Roman"/>
          <w:color w:val="444444"/>
          <w:spacing w:val="9"/>
          <w:szCs w:val="21"/>
        </w:rPr>
        <w:t>,生产有形和无形精神商品的劳动是创</w:t>
      </w:r>
      <w:r>
        <w:rPr>
          <w:rFonts w:hint="default" w:ascii="Times New Roman" w:hAnsi="Times New Roman" w:eastAsia="宋体" w:cs="Times New Roman"/>
          <w:color w:val="444444"/>
          <w:spacing w:val="8"/>
          <w:szCs w:val="21"/>
        </w:rPr>
        <w:t>造价值的生产性劳动。如为市场提供精神商</w:t>
      </w:r>
      <w:r>
        <w:rPr>
          <w:rFonts w:hint="default" w:ascii="Times New Roman" w:hAnsi="Times New Roman" w:eastAsia="宋体" w:cs="Times New Roman"/>
          <w:color w:val="444444"/>
          <w:spacing w:val="-2"/>
          <w:szCs w:val="21"/>
        </w:rPr>
        <w:t>品的教育、社会科学、自然科学、文化技术</w:t>
      </w:r>
      <w:r>
        <w:rPr>
          <w:rFonts w:hint="default" w:ascii="Times New Roman" w:hAnsi="Times New Roman" w:eastAsia="宋体" w:cs="Times New Roman"/>
          <w:color w:val="444444"/>
          <w:spacing w:val="-1"/>
          <w:szCs w:val="21"/>
        </w:rPr>
        <w:t>、</w:t>
      </w:r>
      <w:r>
        <w:rPr>
          <w:rFonts w:hint="default" w:ascii="Times New Roman" w:hAnsi="Times New Roman" w:eastAsia="宋体" w:cs="Times New Roman"/>
          <w:color w:val="444444"/>
          <w:szCs w:val="21"/>
        </w:rPr>
        <w:t>文</w:t>
      </w:r>
      <w:r>
        <w:rPr>
          <w:rFonts w:hint="default" w:ascii="Times New Roman" w:hAnsi="Times New Roman" w:eastAsia="宋体" w:cs="Times New Roman"/>
          <w:color w:val="444444"/>
          <w:spacing w:val="-2"/>
          <w:szCs w:val="21"/>
        </w:rPr>
        <w:t>学艺术、广播影视、新闻出版、图书馆、博</w:t>
      </w:r>
      <w:r>
        <w:rPr>
          <w:rFonts w:hint="default" w:ascii="Times New Roman" w:hAnsi="Times New Roman" w:eastAsia="宋体" w:cs="Times New Roman"/>
          <w:color w:val="444444"/>
          <w:spacing w:val="-1"/>
          <w:szCs w:val="21"/>
        </w:rPr>
        <w:t>物</w:t>
      </w:r>
      <w:r>
        <w:rPr>
          <w:rFonts w:hint="default" w:ascii="Times New Roman" w:hAnsi="Times New Roman" w:eastAsia="宋体" w:cs="Times New Roman"/>
          <w:color w:val="444444"/>
          <w:szCs w:val="21"/>
        </w:rPr>
        <w:t>馆</w:t>
      </w:r>
      <w:r>
        <w:rPr>
          <w:rFonts w:hint="default" w:ascii="Times New Roman" w:hAnsi="Times New Roman" w:eastAsia="宋体" w:cs="Times New Roman"/>
          <w:color w:val="444444"/>
          <w:spacing w:val="7"/>
          <w:szCs w:val="21"/>
        </w:rPr>
        <w:t>等领域中的生产性劳动,其中包括讲课、表演</w:t>
      </w:r>
      <w:r>
        <w:rPr>
          <w:rFonts w:hint="default" w:ascii="Times New Roman" w:hAnsi="Times New Roman" w:eastAsia="宋体" w:cs="Times New Roman"/>
          <w:color w:val="444444"/>
          <w:spacing w:val="9"/>
          <w:szCs w:val="21"/>
        </w:rPr>
        <w:t>等</w:t>
      </w:r>
      <w:r>
        <w:rPr>
          <w:rFonts w:hint="default" w:ascii="Times New Roman" w:hAnsi="Times New Roman" w:eastAsia="宋体" w:cs="Times New Roman"/>
          <w:color w:val="444444"/>
          <w:spacing w:val="8"/>
          <w:szCs w:val="21"/>
        </w:rPr>
        <w:t>无形商品或服务劳动。突破价值创造仅限于</w:t>
      </w:r>
      <w:r>
        <w:rPr>
          <w:rFonts w:hint="default" w:ascii="Times New Roman" w:hAnsi="Times New Roman" w:eastAsia="宋体" w:cs="Times New Roman"/>
          <w:color w:val="444444"/>
          <w:spacing w:val="18"/>
          <w:szCs w:val="21"/>
        </w:rPr>
        <w:t>物</w:t>
      </w:r>
      <w:r>
        <w:rPr>
          <w:rFonts w:hint="default" w:ascii="Times New Roman" w:hAnsi="Times New Roman" w:eastAsia="宋体" w:cs="Times New Roman"/>
          <w:color w:val="444444"/>
          <w:spacing w:val="13"/>
          <w:szCs w:val="21"/>
        </w:rPr>
        <w:t>质</w:t>
      </w:r>
      <w:r>
        <w:rPr>
          <w:rFonts w:hint="default" w:ascii="Times New Roman" w:hAnsi="Times New Roman" w:eastAsia="宋体" w:cs="Times New Roman"/>
          <w:color w:val="444444"/>
          <w:spacing w:val="9"/>
          <w:szCs w:val="21"/>
        </w:rPr>
        <w:t>劳动,确认生产有形和无形精神商品的劳</w:t>
      </w:r>
      <w:r>
        <w:rPr>
          <w:rFonts w:hint="default" w:ascii="Times New Roman" w:hAnsi="Times New Roman" w:eastAsia="宋体" w:cs="Times New Roman"/>
          <w:color w:val="444444"/>
          <w:spacing w:val="18"/>
          <w:szCs w:val="21"/>
        </w:rPr>
        <w:t>动</w:t>
      </w:r>
      <w:r>
        <w:rPr>
          <w:rFonts w:hint="default" w:ascii="Times New Roman" w:hAnsi="Times New Roman" w:eastAsia="宋体" w:cs="Times New Roman"/>
          <w:color w:val="444444"/>
          <w:spacing w:val="13"/>
          <w:szCs w:val="21"/>
        </w:rPr>
        <w:t>同</w:t>
      </w:r>
      <w:r>
        <w:rPr>
          <w:rFonts w:hint="default" w:ascii="Times New Roman" w:hAnsi="Times New Roman" w:eastAsia="宋体" w:cs="Times New Roman"/>
          <w:color w:val="444444"/>
          <w:spacing w:val="9"/>
          <w:szCs w:val="21"/>
        </w:rPr>
        <w:t>样创造价值,现已被学术界认同为一个认识</w:t>
      </w:r>
      <w:r>
        <w:rPr>
          <w:rFonts w:hint="default" w:ascii="Times New Roman" w:hAnsi="Times New Roman" w:eastAsia="宋体" w:cs="Times New Roman"/>
          <w:color w:val="444444"/>
          <w:spacing w:val="8"/>
          <w:szCs w:val="21"/>
        </w:rPr>
        <w:t>的创新。</w:t>
      </w:r>
    </w:p>
    <w:p w14:paraId="3CC70859">
      <w:pPr>
        <w:spacing w:line="400" w:lineRule="exact"/>
        <w:ind w:firstLine="492" w:firstLineChars="200"/>
        <w:rPr>
          <w:rFonts w:hint="default" w:ascii="Times New Roman" w:hAnsi="Times New Roman" w:eastAsia="宋体" w:cs="Times New Roman"/>
        </w:rPr>
      </w:pPr>
      <w:r>
        <w:rPr>
          <w:rFonts w:hint="default" w:ascii="Times New Roman" w:hAnsi="Times New Roman" w:eastAsia="宋体" w:cs="Times New Roman"/>
          <w:color w:val="444444"/>
          <w:spacing w:val="18"/>
          <w:szCs w:val="21"/>
        </w:rPr>
        <w:t>第</w:t>
      </w:r>
      <w:r>
        <w:rPr>
          <w:rFonts w:hint="default" w:ascii="Times New Roman" w:hAnsi="Times New Roman" w:eastAsia="宋体" w:cs="Times New Roman"/>
          <w:color w:val="444444"/>
          <w:spacing w:val="11"/>
          <w:szCs w:val="21"/>
        </w:rPr>
        <w:t>四</w:t>
      </w:r>
      <w:r>
        <w:rPr>
          <w:rFonts w:hint="default" w:ascii="Times New Roman" w:hAnsi="Times New Roman" w:eastAsia="宋体" w:cs="Times New Roman"/>
          <w:color w:val="444444"/>
          <w:spacing w:val="9"/>
          <w:szCs w:val="21"/>
        </w:rPr>
        <w:t>,从事劳动力商品生产的服务劳动是创</w:t>
      </w:r>
      <w:r>
        <w:rPr>
          <w:rFonts w:hint="default" w:ascii="Times New Roman" w:hAnsi="Times New Roman" w:eastAsia="宋体" w:cs="Times New Roman"/>
          <w:color w:val="444444"/>
          <w:spacing w:val="8"/>
          <w:szCs w:val="21"/>
        </w:rPr>
        <w:t>造价值的生产性劳动。直接涉及劳动力这一</w:t>
      </w:r>
      <w:r>
        <w:rPr>
          <w:rFonts w:hint="default" w:ascii="Times New Roman" w:hAnsi="Times New Roman" w:eastAsia="宋体" w:cs="Times New Roman"/>
          <w:color w:val="444444"/>
          <w:spacing w:val="18"/>
          <w:szCs w:val="21"/>
        </w:rPr>
        <w:t>特</w:t>
      </w:r>
      <w:r>
        <w:rPr>
          <w:rFonts w:hint="default" w:ascii="Times New Roman" w:hAnsi="Times New Roman" w:eastAsia="宋体" w:cs="Times New Roman"/>
          <w:color w:val="444444"/>
          <w:spacing w:val="13"/>
          <w:szCs w:val="21"/>
        </w:rPr>
        <w:t>殊</w:t>
      </w:r>
      <w:r>
        <w:rPr>
          <w:rFonts w:hint="default" w:ascii="Times New Roman" w:hAnsi="Times New Roman" w:eastAsia="宋体" w:cs="Times New Roman"/>
          <w:color w:val="444444"/>
          <w:spacing w:val="9"/>
          <w:szCs w:val="21"/>
        </w:rPr>
        <w:t>商品的生产和再生产的部门,除了包括上</w:t>
      </w:r>
      <w:r>
        <w:rPr>
          <w:rFonts w:hint="default" w:ascii="Times New Roman" w:hAnsi="Times New Roman" w:eastAsia="宋体" w:cs="Times New Roman"/>
          <w:color w:val="444444"/>
          <w:spacing w:val="18"/>
          <w:szCs w:val="21"/>
        </w:rPr>
        <w:t>述</w:t>
      </w:r>
      <w:r>
        <w:rPr>
          <w:rFonts w:hint="default" w:ascii="Times New Roman" w:hAnsi="Times New Roman" w:eastAsia="宋体" w:cs="Times New Roman"/>
          <w:color w:val="444444"/>
          <w:spacing w:val="13"/>
          <w:szCs w:val="21"/>
        </w:rPr>
        <w:t>有</w:t>
      </w:r>
      <w:r>
        <w:rPr>
          <w:rFonts w:hint="default" w:ascii="Times New Roman" w:hAnsi="Times New Roman" w:eastAsia="宋体" w:cs="Times New Roman"/>
          <w:color w:val="444444"/>
          <w:spacing w:val="9"/>
          <w:szCs w:val="21"/>
        </w:rPr>
        <w:t>关人们生活的生产性部门以外,还包括医</w:t>
      </w:r>
      <w:r>
        <w:rPr>
          <w:rFonts w:hint="default" w:ascii="Times New Roman" w:hAnsi="Times New Roman" w:eastAsia="宋体" w:cs="Times New Roman"/>
          <w:color w:val="444444"/>
          <w:spacing w:val="-15"/>
          <w:szCs w:val="21"/>
        </w:rPr>
        <w:t>疗、卫生、体育、美发、美容、沐浴等等。这也</w:t>
      </w:r>
      <w:r>
        <w:rPr>
          <w:rFonts w:hint="default" w:ascii="Times New Roman" w:hAnsi="Times New Roman" w:eastAsia="宋体" w:cs="Times New Roman"/>
          <w:color w:val="444444"/>
          <w:spacing w:val="-12"/>
          <w:szCs w:val="21"/>
        </w:rPr>
        <w:t>已</w:t>
      </w:r>
      <w:r>
        <w:rPr>
          <w:rFonts w:hint="default" w:ascii="Times New Roman" w:hAnsi="Times New Roman" w:eastAsia="宋体" w:cs="Times New Roman"/>
          <w:color w:val="444444"/>
          <w:spacing w:val="15"/>
          <w:szCs w:val="21"/>
        </w:rPr>
        <w:t>被</w:t>
      </w:r>
      <w:r>
        <w:rPr>
          <w:rFonts w:hint="default" w:ascii="Times New Roman" w:hAnsi="Times New Roman" w:eastAsia="宋体" w:cs="Times New Roman"/>
          <w:color w:val="444444"/>
          <w:spacing w:val="9"/>
          <w:szCs w:val="21"/>
        </w:rPr>
        <w:t>广泛认同为又一个认识的创新。</w:t>
      </w:r>
    </w:p>
    <w:p w14:paraId="59171F5D">
      <w:pPr>
        <w:spacing w:line="400" w:lineRule="exact"/>
        <w:ind w:firstLine="492" w:firstLineChars="200"/>
        <w:rPr>
          <w:rFonts w:hint="default" w:ascii="Times New Roman" w:hAnsi="Times New Roman" w:eastAsia="宋体" w:cs="Times New Roman"/>
        </w:rPr>
      </w:pPr>
      <w:r>
        <w:rPr>
          <w:rFonts w:hint="default" w:ascii="Times New Roman" w:hAnsi="Times New Roman" w:eastAsia="宋体" w:cs="Times New Roman"/>
          <w:color w:val="444444"/>
          <w:spacing w:val="18"/>
          <w:szCs w:val="21"/>
        </w:rPr>
        <w:t>第</w:t>
      </w:r>
      <w:r>
        <w:rPr>
          <w:rFonts w:hint="default" w:ascii="Times New Roman" w:hAnsi="Times New Roman" w:eastAsia="宋体" w:cs="Times New Roman"/>
          <w:color w:val="444444"/>
          <w:spacing w:val="11"/>
          <w:szCs w:val="21"/>
        </w:rPr>
        <w:t>五</w:t>
      </w:r>
      <w:r>
        <w:rPr>
          <w:rFonts w:hint="default" w:ascii="Times New Roman" w:hAnsi="Times New Roman" w:eastAsia="宋体" w:cs="Times New Roman"/>
          <w:color w:val="444444"/>
          <w:spacing w:val="9"/>
          <w:szCs w:val="21"/>
        </w:rPr>
        <w:t>,生产性企业私营业主的经营管理活</w:t>
      </w:r>
      <w:r>
        <w:rPr>
          <w:rFonts w:hint="default" w:ascii="Times New Roman" w:hAnsi="Times New Roman" w:eastAsia="宋体" w:cs="Times New Roman"/>
          <w:color w:val="444444"/>
          <w:spacing w:val="22"/>
          <w:szCs w:val="21"/>
        </w:rPr>
        <w:t>动</w:t>
      </w:r>
      <w:r>
        <w:rPr>
          <w:rFonts w:hint="default" w:ascii="Times New Roman" w:hAnsi="Times New Roman" w:eastAsia="宋体" w:cs="Times New Roman"/>
          <w:color w:val="444444"/>
          <w:spacing w:val="11"/>
          <w:szCs w:val="21"/>
        </w:rPr>
        <w:t>是创造价值的。我国传统的政治经济学承认,在公有制企业内,厂长经理从事生产性</w:t>
      </w:r>
      <w:r>
        <w:rPr>
          <w:rFonts w:hint="default" w:ascii="Times New Roman" w:hAnsi="Times New Roman" w:eastAsia="宋体" w:cs="Times New Roman"/>
          <w:color w:val="444444"/>
          <w:spacing w:val="8"/>
          <w:szCs w:val="21"/>
        </w:rPr>
        <w:t>管</w:t>
      </w:r>
      <w:r>
        <w:rPr>
          <w:rFonts w:hint="default" w:ascii="Times New Roman" w:hAnsi="Times New Roman" w:eastAsia="宋体" w:cs="Times New Roman"/>
          <w:color w:val="444444"/>
          <w:spacing w:val="18"/>
          <w:szCs w:val="21"/>
        </w:rPr>
        <w:t>理</w:t>
      </w:r>
      <w:r>
        <w:rPr>
          <w:rFonts w:hint="default" w:ascii="Times New Roman" w:hAnsi="Times New Roman" w:eastAsia="宋体" w:cs="Times New Roman"/>
          <w:color w:val="444444"/>
          <w:spacing w:val="13"/>
          <w:szCs w:val="21"/>
        </w:rPr>
        <w:t>活</w:t>
      </w:r>
      <w:r>
        <w:rPr>
          <w:rFonts w:hint="default" w:ascii="Times New Roman" w:hAnsi="Times New Roman" w:eastAsia="宋体" w:cs="Times New Roman"/>
          <w:color w:val="444444"/>
          <w:spacing w:val="9"/>
          <w:szCs w:val="21"/>
        </w:rPr>
        <w:t>动是创造商品价值的生产劳动,而对于资</w:t>
      </w:r>
      <w:r>
        <w:rPr>
          <w:rFonts w:hint="default" w:ascii="Times New Roman" w:hAnsi="Times New Roman" w:eastAsia="宋体" w:cs="Times New Roman"/>
          <w:color w:val="444444"/>
          <w:spacing w:val="18"/>
          <w:szCs w:val="21"/>
        </w:rPr>
        <w:t>本</w:t>
      </w:r>
      <w:r>
        <w:rPr>
          <w:rFonts w:hint="default" w:ascii="Times New Roman" w:hAnsi="Times New Roman" w:eastAsia="宋体" w:cs="Times New Roman"/>
          <w:color w:val="444444"/>
          <w:spacing w:val="13"/>
          <w:szCs w:val="21"/>
        </w:rPr>
        <w:t>主</w:t>
      </w:r>
      <w:r>
        <w:rPr>
          <w:rFonts w:hint="default" w:ascii="Times New Roman" w:hAnsi="Times New Roman" w:eastAsia="宋体" w:cs="Times New Roman"/>
          <w:color w:val="444444"/>
          <w:spacing w:val="9"/>
          <w:szCs w:val="21"/>
        </w:rPr>
        <w:t>义私营企业内,从事生产性经营管理的活</w:t>
      </w:r>
      <w:r>
        <w:rPr>
          <w:rFonts w:hint="default" w:ascii="Times New Roman" w:hAnsi="Times New Roman" w:eastAsia="宋体" w:cs="Times New Roman"/>
          <w:spacing w:val="16"/>
          <w:szCs w:val="21"/>
        </w:rPr>
        <w:t>动</w:t>
      </w:r>
      <w:r>
        <w:rPr>
          <w:rFonts w:hint="default" w:ascii="Times New Roman" w:hAnsi="Times New Roman" w:eastAsia="宋体" w:cs="Times New Roman"/>
          <w:spacing w:val="14"/>
          <w:szCs w:val="21"/>
        </w:rPr>
        <w:t>能</w:t>
      </w:r>
      <w:r>
        <w:rPr>
          <w:rFonts w:hint="default" w:ascii="Times New Roman" w:hAnsi="Times New Roman" w:eastAsia="宋体" w:cs="Times New Roman"/>
          <w:spacing w:val="8"/>
          <w:szCs w:val="21"/>
        </w:rPr>
        <w:t>不能创造价值的问题,则持完全否定或回</w:t>
      </w:r>
      <w:r>
        <w:rPr>
          <w:rFonts w:hint="default" w:ascii="Times New Roman" w:hAnsi="Times New Roman" w:eastAsia="宋体" w:cs="Times New Roman"/>
          <w:spacing w:val="9"/>
          <w:szCs w:val="21"/>
        </w:rPr>
        <w:t>避</w:t>
      </w:r>
      <w:r>
        <w:rPr>
          <w:rFonts w:hint="default" w:ascii="Times New Roman" w:hAnsi="Times New Roman" w:eastAsia="宋体" w:cs="Times New Roman"/>
          <w:spacing w:val="7"/>
          <w:szCs w:val="21"/>
        </w:rPr>
        <w:t>的态度。这在分析逻辑上就形成一种难以自</w:t>
      </w:r>
      <w:r>
        <w:rPr>
          <w:rFonts w:hint="default" w:ascii="Times New Roman" w:hAnsi="Times New Roman" w:eastAsia="宋体" w:cs="Times New Roman"/>
          <w:spacing w:val="28"/>
          <w:szCs w:val="21"/>
        </w:rPr>
        <w:t>圆</w:t>
      </w:r>
      <w:r>
        <w:rPr>
          <w:rFonts w:hint="default" w:ascii="Times New Roman" w:hAnsi="Times New Roman" w:eastAsia="宋体" w:cs="Times New Roman"/>
          <w:spacing w:val="14"/>
          <w:szCs w:val="21"/>
        </w:rPr>
        <w:t>其说的矛盾:本来属于创造价值的生产性管</w:t>
      </w:r>
      <w:r>
        <w:rPr>
          <w:rFonts w:hint="default" w:ascii="Times New Roman" w:hAnsi="Times New Roman" w:eastAsia="宋体" w:cs="Times New Roman"/>
          <w:spacing w:val="15"/>
          <w:szCs w:val="21"/>
        </w:rPr>
        <w:t>理</w:t>
      </w:r>
      <w:r>
        <w:rPr>
          <w:rFonts w:hint="default" w:ascii="Times New Roman" w:hAnsi="Times New Roman" w:eastAsia="宋体" w:cs="Times New Roman"/>
          <w:spacing w:val="10"/>
          <w:szCs w:val="21"/>
        </w:rPr>
        <w:t>活动,一旦与该企业的财产私有权相结合,</w:t>
      </w:r>
      <w:r>
        <w:rPr>
          <w:rFonts w:hint="default" w:ascii="Times New Roman" w:hAnsi="Times New Roman" w:eastAsia="宋体" w:cs="Times New Roman"/>
          <w:spacing w:val="20"/>
          <w:szCs w:val="21"/>
        </w:rPr>
        <w:t>便</w:t>
      </w:r>
      <w:r>
        <w:rPr>
          <w:rFonts w:hint="default" w:ascii="Times New Roman" w:hAnsi="Times New Roman" w:eastAsia="宋体" w:cs="Times New Roman"/>
          <w:spacing w:val="14"/>
          <w:szCs w:val="21"/>
        </w:rPr>
        <w:t>全</w:t>
      </w:r>
      <w:r>
        <w:rPr>
          <w:rFonts w:hint="default" w:ascii="Times New Roman" w:hAnsi="Times New Roman" w:eastAsia="宋体" w:cs="Times New Roman"/>
          <w:spacing w:val="10"/>
          <w:szCs w:val="21"/>
        </w:rPr>
        <w:t>部丧失其创造价值的生产劳动属性。其</w:t>
      </w:r>
      <w:r>
        <w:rPr>
          <w:rFonts w:hint="default" w:ascii="Times New Roman" w:hAnsi="Times New Roman" w:eastAsia="宋体" w:cs="Times New Roman"/>
          <w:spacing w:val="16"/>
          <w:szCs w:val="21"/>
        </w:rPr>
        <w:t>实,</w:t>
      </w:r>
      <w:r>
        <w:rPr>
          <w:rFonts w:hint="default" w:ascii="Times New Roman" w:hAnsi="Times New Roman" w:eastAsia="宋体" w:cs="Times New Roman"/>
          <w:spacing w:val="8"/>
          <w:szCs w:val="21"/>
        </w:rPr>
        <w:t>倘若生产性私营企业的主要投资者或所有</w:t>
      </w:r>
      <w:r>
        <w:rPr>
          <w:rFonts w:hint="default" w:ascii="Times New Roman" w:hAnsi="Times New Roman" w:eastAsia="宋体" w:cs="Times New Roman"/>
          <w:spacing w:val="14"/>
          <w:szCs w:val="21"/>
        </w:rPr>
        <w:t>者,</w:t>
      </w:r>
      <w:r>
        <w:rPr>
          <w:rFonts w:hint="default" w:ascii="Times New Roman" w:hAnsi="Times New Roman" w:eastAsia="宋体" w:cs="Times New Roman"/>
          <w:spacing w:val="7"/>
          <w:szCs w:val="21"/>
        </w:rPr>
        <w:t>同时又是该企业的实际经营管理者,那么,</w:t>
      </w:r>
      <w:r>
        <w:rPr>
          <w:rFonts w:hint="default" w:ascii="Times New Roman" w:hAnsi="Times New Roman" w:eastAsia="宋体" w:cs="Times New Roman"/>
          <w:spacing w:val="28"/>
          <w:szCs w:val="21"/>
        </w:rPr>
        <w:t>这</w:t>
      </w:r>
      <w:r>
        <w:rPr>
          <w:rFonts w:hint="default" w:ascii="Times New Roman" w:hAnsi="Times New Roman" w:eastAsia="宋体" w:cs="Times New Roman"/>
          <w:spacing w:val="14"/>
          <w:szCs w:val="21"/>
        </w:rPr>
        <w:t>种管理活动具有两重性:一是从社会劳动协</w:t>
      </w:r>
      <w:r>
        <w:rPr>
          <w:rFonts w:hint="default" w:ascii="Times New Roman" w:hAnsi="Times New Roman" w:eastAsia="宋体" w:cs="Times New Roman"/>
          <w:spacing w:val="16"/>
          <w:szCs w:val="21"/>
        </w:rPr>
        <w:t>作的</w:t>
      </w:r>
      <w:r>
        <w:rPr>
          <w:rFonts w:hint="default" w:ascii="Times New Roman" w:hAnsi="Times New Roman" w:eastAsia="宋体" w:cs="Times New Roman"/>
          <w:spacing w:val="8"/>
          <w:szCs w:val="21"/>
        </w:rPr>
        <w:t>必要管理中而产生的劳动职能,客观上会</w:t>
      </w:r>
      <w:r>
        <w:rPr>
          <w:rFonts w:hint="default" w:ascii="Times New Roman" w:hAnsi="Times New Roman" w:eastAsia="宋体" w:cs="Times New Roman"/>
          <w:spacing w:val="28"/>
          <w:szCs w:val="21"/>
        </w:rPr>
        <w:t>创</w:t>
      </w:r>
      <w:r>
        <w:rPr>
          <w:rFonts w:hint="default" w:ascii="Times New Roman" w:hAnsi="Times New Roman" w:eastAsia="宋体" w:cs="Times New Roman"/>
          <w:spacing w:val="14"/>
          <w:szCs w:val="21"/>
        </w:rPr>
        <w:t>造商品的新价值;二是从财产所有权获利的</w:t>
      </w:r>
      <w:r>
        <w:rPr>
          <w:rFonts w:hint="default" w:ascii="Times New Roman" w:hAnsi="Times New Roman" w:eastAsia="宋体" w:cs="Times New Roman"/>
          <w:spacing w:val="16"/>
          <w:szCs w:val="21"/>
        </w:rPr>
        <w:t>必要</w:t>
      </w:r>
      <w:r>
        <w:rPr>
          <w:rFonts w:hint="default" w:ascii="Times New Roman" w:hAnsi="Times New Roman" w:eastAsia="宋体" w:cs="Times New Roman"/>
          <w:spacing w:val="8"/>
          <w:szCs w:val="21"/>
        </w:rPr>
        <w:t>管理中而产生的剥削职能,客观上又会无</w:t>
      </w:r>
      <w:r>
        <w:rPr>
          <w:rFonts w:hint="default" w:ascii="Times New Roman" w:hAnsi="Times New Roman" w:eastAsia="宋体" w:cs="Times New Roman"/>
          <w:spacing w:val="10"/>
          <w:szCs w:val="21"/>
        </w:rPr>
        <w:t>偿</w:t>
      </w:r>
      <w:r>
        <w:rPr>
          <w:rFonts w:hint="default" w:ascii="Times New Roman" w:hAnsi="Times New Roman" w:eastAsia="宋体" w:cs="Times New Roman"/>
          <w:spacing w:val="7"/>
          <w:szCs w:val="21"/>
        </w:rPr>
        <w:t>占</w:t>
      </w:r>
      <w:r>
        <w:rPr>
          <w:rFonts w:hint="default" w:ascii="Times New Roman" w:hAnsi="Times New Roman" w:eastAsia="宋体" w:cs="Times New Roman"/>
          <w:spacing w:val="5"/>
          <w:szCs w:val="21"/>
        </w:rPr>
        <w:t>有他人的剩余劳动。在现实经济生活中,</w:t>
      </w:r>
      <w:r>
        <w:rPr>
          <w:rFonts w:hint="default" w:ascii="Times New Roman" w:hAnsi="Times New Roman" w:eastAsia="宋体" w:cs="Times New Roman"/>
          <w:spacing w:val="15"/>
          <w:szCs w:val="21"/>
        </w:rPr>
        <w:t>这</w:t>
      </w:r>
      <w:r>
        <w:rPr>
          <w:rFonts w:hint="default" w:ascii="Times New Roman" w:hAnsi="Times New Roman" w:eastAsia="宋体" w:cs="Times New Roman"/>
          <w:spacing w:val="10"/>
          <w:szCs w:val="21"/>
        </w:rPr>
        <w:t>两种职能交织在一起,并由一个人来承担,</w:t>
      </w:r>
      <w:r>
        <w:rPr>
          <w:rFonts w:hint="default" w:ascii="Times New Roman" w:hAnsi="Times New Roman" w:eastAsia="宋体" w:cs="Times New Roman"/>
          <w:spacing w:val="9"/>
          <w:szCs w:val="21"/>
        </w:rPr>
        <w:t>并</w:t>
      </w:r>
      <w:r>
        <w:rPr>
          <w:rFonts w:hint="default" w:ascii="Times New Roman" w:hAnsi="Times New Roman" w:eastAsia="宋体" w:cs="Times New Roman"/>
          <w:spacing w:val="7"/>
          <w:szCs w:val="21"/>
        </w:rPr>
        <w:t>不妨碍在科学分析进程中加以定性区别。这</w:t>
      </w:r>
      <w:r>
        <w:rPr>
          <w:rFonts w:hint="default" w:ascii="Times New Roman" w:hAnsi="Times New Roman" w:eastAsia="宋体" w:cs="Times New Roman"/>
          <w:spacing w:val="16"/>
          <w:szCs w:val="21"/>
        </w:rPr>
        <w:t>是</w:t>
      </w:r>
      <w:r>
        <w:rPr>
          <w:rFonts w:hint="default" w:ascii="Times New Roman" w:hAnsi="Times New Roman" w:eastAsia="宋体" w:cs="Times New Roman"/>
          <w:spacing w:val="10"/>
          <w:szCs w:val="21"/>
        </w:rPr>
        <w:t>马</w:t>
      </w:r>
      <w:r>
        <w:rPr>
          <w:rFonts w:hint="default" w:ascii="Times New Roman" w:hAnsi="Times New Roman" w:eastAsia="宋体" w:cs="Times New Roman"/>
          <w:spacing w:val="8"/>
          <w:szCs w:val="21"/>
        </w:rPr>
        <w:t>克思承认而未强调的论断。</w:t>
      </w:r>
    </w:p>
    <w:p w14:paraId="69012682">
      <w:pPr>
        <w:spacing w:line="400" w:lineRule="exact"/>
        <w:ind w:firstLine="464" w:firstLineChars="200"/>
        <w:rPr>
          <w:rFonts w:hint="default" w:ascii="Times New Roman" w:hAnsi="Times New Roman" w:eastAsia="宋体" w:cs="Times New Roman"/>
        </w:rPr>
      </w:pPr>
      <w:r>
        <w:rPr>
          <w:rFonts w:hint="default" w:ascii="Times New Roman" w:hAnsi="Times New Roman" w:eastAsia="宋体" w:cs="Times New Roman"/>
          <w:spacing w:val="11"/>
          <w:szCs w:val="21"/>
        </w:rPr>
        <w:t>第</w:t>
      </w:r>
      <w:r>
        <w:rPr>
          <w:rFonts w:hint="default" w:ascii="Times New Roman" w:hAnsi="Times New Roman" w:eastAsia="宋体" w:cs="Times New Roman"/>
          <w:spacing w:val="10"/>
          <w:szCs w:val="21"/>
        </w:rPr>
        <w:t>六,劳动生产力变化,可能引起劳动复</w:t>
      </w:r>
      <w:r>
        <w:rPr>
          <w:rFonts w:hint="default" w:ascii="Times New Roman" w:hAnsi="Times New Roman" w:eastAsia="宋体" w:cs="Times New Roman"/>
          <w:spacing w:val="16"/>
          <w:szCs w:val="21"/>
        </w:rPr>
        <w:t>杂</w:t>
      </w:r>
      <w:r>
        <w:rPr>
          <w:rFonts w:hint="default" w:ascii="Times New Roman" w:hAnsi="Times New Roman" w:eastAsia="宋体" w:cs="Times New Roman"/>
          <w:spacing w:val="15"/>
          <w:szCs w:val="21"/>
        </w:rPr>
        <w:t>程</w:t>
      </w:r>
      <w:r>
        <w:rPr>
          <w:rFonts w:hint="default" w:ascii="Times New Roman" w:hAnsi="Times New Roman" w:eastAsia="宋体" w:cs="Times New Roman"/>
          <w:spacing w:val="8"/>
          <w:szCs w:val="21"/>
        </w:rPr>
        <w:t>度和社会必要劳动量的变化,从而引起商品</w:t>
      </w:r>
      <w:r>
        <w:rPr>
          <w:rFonts w:hint="default" w:ascii="Times New Roman" w:hAnsi="Times New Roman" w:eastAsia="宋体" w:cs="Times New Roman"/>
          <w:spacing w:val="7"/>
          <w:szCs w:val="21"/>
        </w:rPr>
        <w:t>价值量的变化。马克思在阐述商品价值量与</w:t>
      </w:r>
      <w:r>
        <w:rPr>
          <w:rFonts w:hint="default" w:ascii="Times New Roman" w:hAnsi="Times New Roman" w:eastAsia="宋体" w:cs="Times New Roman"/>
          <w:spacing w:val="18"/>
          <w:szCs w:val="21"/>
        </w:rPr>
        <w:t>劳动生产率变化规律时舍掉了劳动的主观</w:t>
      </w:r>
      <w:r>
        <w:rPr>
          <w:rFonts w:hint="default" w:ascii="Times New Roman" w:hAnsi="Times New Roman" w:eastAsia="宋体" w:cs="Times New Roman"/>
          <w:spacing w:val="17"/>
          <w:szCs w:val="21"/>
        </w:rPr>
        <w:t>条</w:t>
      </w:r>
      <w:r>
        <w:rPr>
          <w:rFonts w:hint="default" w:ascii="Times New Roman" w:hAnsi="Times New Roman" w:eastAsia="宋体" w:cs="Times New Roman"/>
          <w:spacing w:val="16"/>
          <w:szCs w:val="21"/>
        </w:rPr>
        <w:t>件</w:t>
      </w:r>
      <w:r>
        <w:rPr>
          <w:rFonts w:hint="default" w:ascii="Times New Roman" w:hAnsi="Times New Roman" w:eastAsia="宋体" w:cs="Times New Roman"/>
          <w:spacing w:val="15"/>
          <w:szCs w:val="21"/>
        </w:rPr>
        <w:t>对</w:t>
      </w:r>
      <w:r>
        <w:rPr>
          <w:rFonts w:hint="default" w:ascii="Times New Roman" w:hAnsi="Times New Roman" w:eastAsia="宋体" w:cs="Times New Roman"/>
          <w:spacing w:val="8"/>
          <w:szCs w:val="21"/>
        </w:rPr>
        <w:t>劳动生产率的影响作用,而认定劳动的客</w:t>
      </w:r>
      <w:r>
        <w:rPr>
          <w:rFonts w:hint="default" w:ascii="Times New Roman" w:hAnsi="Times New Roman" w:eastAsia="宋体" w:cs="Times New Roman"/>
          <w:spacing w:val="18"/>
          <w:szCs w:val="21"/>
        </w:rPr>
        <w:t>观条件和自然条件变动引起的劳动生产率</w:t>
      </w:r>
      <w:r>
        <w:rPr>
          <w:rFonts w:hint="default" w:ascii="Times New Roman" w:hAnsi="Times New Roman" w:eastAsia="宋体" w:cs="Times New Roman"/>
          <w:spacing w:val="17"/>
          <w:szCs w:val="21"/>
        </w:rPr>
        <w:t>提</w:t>
      </w:r>
      <w:r>
        <w:rPr>
          <w:rFonts w:hint="default" w:ascii="Times New Roman" w:hAnsi="Times New Roman" w:eastAsia="宋体" w:cs="Times New Roman"/>
          <w:spacing w:val="26"/>
          <w:szCs w:val="21"/>
        </w:rPr>
        <w:t>高</w:t>
      </w:r>
      <w:r>
        <w:rPr>
          <w:rFonts w:hint="default" w:ascii="Times New Roman" w:hAnsi="Times New Roman" w:eastAsia="宋体" w:cs="Times New Roman"/>
          <w:spacing w:val="15"/>
          <w:szCs w:val="21"/>
        </w:rPr>
        <w:t>只引起使用价值量变动,不会影响价值总</w:t>
      </w:r>
      <w:r>
        <w:rPr>
          <w:rFonts w:hint="default" w:ascii="Times New Roman" w:hAnsi="Times New Roman" w:eastAsia="宋体" w:cs="Times New Roman"/>
          <w:spacing w:val="16"/>
          <w:szCs w:val="21"/>
        </w:rPr>
        <w:t>量</w:t>
      </w:r>
      <w:r>
        <w:rPr>
          <w:rFonts w:hint="default" w:ascii="Times New Roman" w:hAnsi="Times New Roman" w:eastAsia="宋体" w:cs="Times New Roman"/>
          <w:spacing w:val="15"/>
          <w:szCs w:val="21"/>
        </w:rPr>
        <w:t>,</w:t>
      </w:r>
      <w:r>
        <w:rPr>
          <w:rFonts w:hint="default" w:ascii="Times New Roman" w:hAnsi="Times New Roman" w:eastAsia="宋体" w:cs="Times New Roman"/>
          <w:spacing w:val="8"/>
          <w:szCs w:val="21"/>
        </w:rPr>
        <w:t>所以就得出了商品价值量与劳动生产率反</w:t>
      </w:r>
      <w:r>
        <w:rPr>
          <w:rFonts w:hint="default" w:ascii="Times New Roman" w:hAnsi="Times New Roman" w:eastAsia="宋体" w:cs="Times New Roman"/>
          <w:spacing w:val="9"/>
          <w:szCs w:val="21"/>
        </w:rPr>
        <w:t>向</w:t>
      </w:r>
      <w:r>
        <w:rPr>
          <w:rFonts w:hint="default" w:ascii="Times New Roman" w:hAnsi="Times New Roman" w:eastAsia="宋体" w:cs="Times New Roman"/>
          <w:spacing w:val="6"/>
          <w:szCs w:val="21"/>
        </w:rPr>
        <w:t>变化规律。但是,就一般意义而言,引起劳动</w:t>
      </w:r>
      <w:r>
        <w:rPr>
          <w:rFonts w:hint="default" w:ascii="Times New Roman" w:hAnsi="Times New Roman" w:eastAsia="宋体" w:cs="Times New Roman"/>
          <w:spacing w:val="16"/>
          <w:szCs w:val="21"/>
        </w:rPr>
        <w:t>生</w:t>
      </w:r>
      <w:r>
        <w:rPr>
          <w:rFonts w:hint="default" w:ascii="Times New Roman" w:hAnsi="Times New Roman" w:eastAsia="宋体" w:cs="Times New Roman"/>
          <w:spacing w:val="15"/>
          <w:szCs w:val="21"/>
        </w:rPr>
        <w:t>产</w:t>
      </w:r>
      <w:r>
        <w:rPr>
          <w:rFonts w:hint="default" w:ascii="Times New Roman" w:hAnsi="Times New Roman" w:eastAsia="宋体" w:cs="Times New Roman"/>
          <w:spacing w:val="8"/>
          <w:szCs w:val="21"/>
        </w:rPr>
        <w:t>率变化的重要因素是科技的进步,而它会</w:t>
      </w:r>
      <w:r>
        <w:rPr>
          <w:rFonts w:hint="default" w:ascii="Times New Roman" w:hAnsi="Times New Roman" w:eastAsia="宋体" w:cs="Times New Roman"/>
          <w:spacing w:val="13"/>
          <w:szCs w:val="21"/>
        </w:rPr>
        <w:t>引</w:t>
      </w:r>
      <w:r>
        <w:rPr>
          <w:rFonts w:hint="default" w:ascii="Times New Roman" w:hAnsi="Times New Roman" w:eastAsia="宋体" w:cs="Times New Roman"/>
          <w:spacing w:val="12"/>
          <w:szCs w:val="21"/>
        </w:rPr>
        <w:t>致劳动复杂程度、熟练程度和强度的提高,</w:t>
      </w:r>
      <w:r>
        <w:rPr>
          <w:rFonts w:hint="default" w:ascii="Times New Roman" w:hAnsi="Times New Roman" w:eastAsia="宋体" w:cs="Times New Roman"/>
          <w:spacing w:val="14"/>
          <w:szCs w:val="21"/>
        </w:rPr>
        <w:t>进</w:t>
      </w:r>
      <w:r>
        <w:rPr>
          <w:rFonts w:hint="default" w:ascii="Times New Roman" w:hAnsi="Times New Roman" w:eastAsia="宋体" w:cs="Times New Roman"/>
          <w:spacing w:val="10"/>
          <w:szCs w:val="21"/>
        </w:rPr>
        <w:t>而增大商品的价值量。1.如果劳动生产率变</w:t>
      </w:r>
      <w:r>
        <w:rPr>
          <w:rFonts w:hint="default" w:ascii="Times New Roman" w:hAnsi="Times New Roman" w:eastAsia="宋体" w:cs="Times New Roman"/>
          <w:spacing w:val="18"/>
          <w:szCs w:val="21"/>
        </w:rPr>
        <w:t>动</w:t>
      </w:r>
      <w:r>
        <w:rPr>
          <w:rFonts w:hint="default" w:ascii="Times New Roman" w:hAnsi="Times New Roman" w:eastAsia="宋体" w:cs="Times New Roman"/>
          <w:spacing w:val="13"/>
          <w:szCs w:val="21"/>
        </w:rPr>
        <w:t>是</w:t>
      </w:r>
      <w:r>
        <w:rPr>
          <w:rFonts w:hint="default" w:ascii="Times New Roman" w:hAnsi="Times New Roman" w:eastAsia="宋体" w:cs="Times New Roman"/>
          <w:spacing w:val="9"/>
          <w:szCs w:val="21"/>
        </w:rPr>
        <w:t>由劳动的客观条件变动而引起的,劳动的</w:t>
      </w:r>
      <w:r>
        <w:rPr>
          <w:rFonts w:hint="default" w:ascii="Times New Roman" w:hAnsi="Times New Roman" w:eastAsia="宋体" w:cs="Times New Roman"/>
          <w:spacing w:val="18"/>
          <w:szCs w:val="21"/>
        </w:rPr>
        <w:t>主</w:t>
      </w:r>
      <w:r>
        <w:rPr>
          <w:rFonts w:hint="default" w:ascii="Times New Roman" w:hAnsi="Times New Roman" w:eastAsia="宋体" w:cs="Times New Roman"/>
          <w:spacing w:val="13"/>
          <w:szCs w:val="21"/>
        </w:rPr>
        <w:t>观</w:t>
      </w:r>
      <w:r>
        <w:rPr>
          <w:rFonts w:hint="default" w:ascii="Times New Roman" w:hAnsi="Times New Roman" w:eastAsia="宋体" w:cs="Times New Roman"/>
          <w:spacing w:val="9"/>
          <w:szCs w:val="21"/>
        </w:rPr>
        <w:t>条件没有发生变化,那么劳动生产率与价</w:t>
      </w:r>
      <w:r>
        <w:rPr>
          <w:rFonts w:hint="default" w:ascii="Times New Roman" w:hAnsi="Times New Roman" w:eastAsia="宋体" w:cs="Times New Roman"/>
          <w:spacing w:val="18"/>
          <w:szCs w:val="21"/>
        </w:rPr>
        <w:t>值</w:t>
      </w:r>
      <w:r>
        <w:rPr>
          <w:rFonts w:hint="default" w:ascii="Times New Roman" w:hAnsi="Times New Roman" w:eastAsia="宋体" w:cs="Times New Roman"/>
          <w:spacing w:val="13"/>
          <w:szCs w:val="21"/>
        </w:rPr>
        <w:t>量</w:t>
      </w:r>
      <w:r>
        <w:rPr>
          <w:rFonts w:hint="default" w:ascii="Times New Roman" w:hAnsi="Times New Roman" w:eastAsia="宋体" w:cs="Times New Roman"/>
          <w:spacing w:val="9"/>
          <w:szCs w:val="21"/>
        </w:rPr>
        <w:t>是反向变动关系,这种情况在一定条件下</w:t>
      </w:r>
      <w:r>
        <w:rPr>
          <w:rFonts w:hint="default" w:ascii="Times New Roman" w:hAnsi="Times New Roman" w:eastAsia="宋体" w:cs="Times New Roman"/>
          <w:spacing w:val="13"/>
          <w:szCs w:val="21"/>
        </w:rPr>
        <w:t>和</w:t>
      </w:r>
      <w:r>
        <w:rPr>
          <w:rFonts w:hint="default" w:ascii="Times New Roman" w:hAnsi="Times New Roman" w:eastAsia="宋体" w:cs="Times New Roman"/>
          <w:spacing w:val="10"/>
          <w:szCs w:val="21"/>
        </w:rPr>
        <w:t>一定时期是存在的。2.如果劳动生产率变动</w:t>
      </w:r>
      <w:r>
        <w:rPr>
          <w:rFonts w:hint="default" w:ascii="Times New Roman" w:hAnsi="Times New Roman" w:eastAsia="宋体" w:cs="Times New Roman"/>
          <w:spacing w:val="18"/>
          <w:szCs w:val="21"/>
        </w:rPr>
        <w:t>是</w:t>
      </w:r>
      <w:r>
        <w:rPr>
          <w:rFonts w:hint="default" w:ascii="Times New Roman" w:hAnsi="Times New Roman" w:eastAsia="宋体" w:cs="Times New Roman"/>
          <w:spacing w:val="13"/>
          <w:szCs w:val="21"/>
        </w:rPr>
        <w:t>由</w:t>
      </w:r>
      <w:r>
        <w:rPr>
          <w:rFonts w:hint="default" w:ascii="Times New Roman" w:hAnsi="Times New Roman" w:eastAsia="宋体" w:cs="Times New Roman"/>
          <w:spacing w:val="9"/>
          <w:szCs w:val="21"/>
        </w:rPr>
        <w:t>劳动的主观条件变动引起的,劳动客观条</w:t>
      </w:r>
      <w:r>
        <w:rPr>
          <w:rFonts w:hint="default" w:ascii="Times New Roman" w:hAnsi="Times New Roman" w:eastAsia="宋体" w:cs="Times New Roman"/>
          <w:spacing w:val="16"/>
          <w:szCs w:val="21"/>
        </w:rPr>
        <w:t>件</w:t>
      </w:r>
      <w:r>
        <w:rPr>
          <w:rFonts w:hint="default" w:ascii="Times New Roman" w:hAnsi="Times New Roman" w:eastAsia="宋体" w:cs="Times New Roman"/>
          <w:spacing w:val="11"/>
          <w:szCs w:val="21"/>
        </w:rPr>
        <w:t>没</w:t>
      </w:r>
      <w:r>
        <w:rPr>
          <w:rFonts w:hint="default" w:ascii="Times New Roman" w:hAnsi="Times New Roman" w:eastAsia="宋体" w:cs="Times New Roman"/>
          <w:spacing w:val="8"/>
          <w:szCs w:val="21"/>
        </w:rPr>
        <w:t>有变动,那么,劳动生产率与价值量变动</w:t>
      </w:r>
      <w:r>
        <w:rPr>
          <w:rFonts w:hint="default" w:ascii="Times New Roman" w:hAnsi="Times New Roman" w:eastAsia="宋体" w:cs="Times New Roman"/>
          <w:spacing w:val="13"/>
          <w:szCs w:val="21"/>
        </w:rPr>
        <w:t>是</w:t>
      </w:r>
      <w:r>
        <w:rPr>
          <w:rFonts w:hint="default" w:ascii="Times New Roman" w:hAnsi="Times New Roman" w:eastAsia="宋体" w:cs="Times New Roman"/>
          <w:spacing w:val="10"/>
          <w:szCs w:val="21"/>
        </w:rPr>
        <w:t>正向变动。3.如果劳动生产率变动是由劳动</w:t>
      </w:r>
      <w:r>
        <w:rPr>
          <w:rFonts w:hint="default" w:ascii="Times New Roman" w:hAnsi="Times New Roman" w:eastAsia="宋体" w:cs="Times New Roman"/>
          <w:spacing w:val="18"/>
          <w:szCs w:val="21"/>
        </w:rPr>
        <w:t>的</w:t>
      </w:r>
      <w:r>
        <w:rPr>
          <w:rFonts w:hint="default" w:ascii="Times New Roman" w:hAnsi="Times New Roman" w:eastAsia="宋体" w:cs="Times New Roman"/>
          <w:spacing w:val="13"/>
          <w:szCs w:val="21"/>
        </w:rPr>
        <w:t>主</w:t>
      </w:r>
      <w:r>
        <w:rPr>
          <w:rFonts w:hint="default" w:ascii="Times New Roman" w:hAnsi="Times New Roman" w:eastAsia="宋体" w:cs="Times New Roman"/>
          <w:spacing w:val="9"/>
          <w:szCs w:val="21"/>
        </w:rPr>
        <w:t>观和客观条件共同变动引起的,劳动生产</w:t>
      </w:r>
      <w:r>
        <w:rPr>
          <w:rFonts w:hint="default" w:ascii="Times New Roman" w:hAnsi="Times New Roman" w:eastAsia="宋体" w:cs="Times New Roman"/>
          <w:spacing w:val="18"/>
          <w:szCs w:val="21"/>
        </w:rPr>
        <w:t>率</w:t>
      </w:r>
      <w:r>
        <w:rPr>
          <w:rFonts w:hint="default" w:ascii="Times New Roman" w:hAnsi="Times New Roman" w:eastAsia="宋体" w:cs="Times New Roman"/>
          <w:spacing w:val="13"/>
          <w:szCs w:val="21"/>
        </w:rPr>
        <w:t>与</w:t>
      </w:r>
      <w:r>
        <w:rPr>
          <w:rFonts w:hint="default" w:ascii="Times New Roman" w:hAnsi="Times New Roman" w:eastAsia="宋体" w:cs="Times New Roman"/>
          <w:spacing w:val="9"/>
          <w:szCs w:val="21"/>
        </w:rPr>
        <w:t>价值量变动方向不确定,也可能是正方向</w:t>
      </w:r>
      <w:r>
        <w:rPr>
          <w:rFonts w:hint="default" w:ascii="Times New Roman" w:hAnsi="Times New Roman" w:eastAsia="宋体" w:cs="Times New Roman"/>
          <w:spacing w:val="11"/>
          <w:szCs w:val="21"/>
        </w:rPr>
        <w:t>变</w:t>
      </w:r>
      <w:r>
        <w:rPr>
          <w:rFonts w:hint="default" w:ascii="Times New Roman" w:hAnsi="Times New Roman" w:eastAsia="宋体" w:cs="Times New Roman"/>
          <w:spacing w:val="8"/>
          <w:szCs w:val="21"/>
        </w:rPr>
        <w:t>动也可能是反方向变动,也可能不变。4.就</w:t>
      </w:r>
      <w:r>
        <w:rPr>
          <w:rFonts w:hint="default" w:ascii="Times New Roman" w:hAnsi="Times New Roman" w:eastAsia="宋体" w:cs="Times New Roman"/>
          <w:spacing w:val="12"/>
          <w:szCs w:val="21"/>
        </w:rPr>
        <w:t>社</w:t>
      </w:r>
      <w:r>
        <w:rPr>
          <w:rFonts w:hint="default" w:ascii="Times New Roman" w:hAnsi="Times New Roman" w:eastAsia="宋体" w:cs="Times New Roman"/>
          <w:spacing w:val="11"/>
          <w:szCs w:val="21"/>
        </w:rPr>
        <w:t>会价值总量而言,随着劳动生产率的提高,</w:t>
      </w:r>
      <w:r>
        <w:rPr>
          <w:rFonts w:hint="default" w:ascii="Times New Roman" w:hAnsi="Times New Roman" w:eastAsia="宋体" w:cs="Times New Roman"/>
          <w:spacing w:val="18"/>
          <w:szCs w:val="21"/>
        </w:rPr>
        <w:t>由</w:t>
      </w:r>
      <w:r>
        <w:rPr>
          <w:rFonts w:hint="default" w:ascii="Times New Roman" w:hAnsi="Times New Roman" w:eastAsia="宋体" w:cs="Times New Roman"/>
          <w:spacing w:val="13"/>
          <w:szCs w:val="21"/>
        </w:rPr>
        <w:t>于</w:t>
      </w:r>
      <w:r>
        <w:rPr>
          <w:rFonts w:hint="default" w:ascii="Times New Roman" w:hAnsi="Times New Roman" w:eastAsia="宋体" w:cs="Times New Roman"/>
          <w:spacing w:val="9"/>
          <w:szCs w:val="21"/>
        </w:rPr>
        <w:t>商品的价值量总会出现增加的趋势,因此</w:t>
      </w:r>
      <w:r>
        <w:rPr>
          <w:rFonts w:hint="default" w:ascii="Times New Roman" w:hAnsi="Times New Roman" w:eastAsia="宋体" w:cs="Times New Roman"/>
          <w:spacing w:val="24"/>
          <w:szCs w:val="21"/>
        </w:rPr>
        <w:t>作</w:t>
      </w:r>
      <w:r>
        <w:rPr>
          <w:rFonts w:hint="default" w:ascii="Times New Roman" w:hAnsi="Times New Roman" w:eastAsia="宋体" w:cs="Times New Roman"/>
          <w:spacing w:val="14"/>
          <w:szCs w:val="21"/>
        </w:rPr>
        <w:t>为</w:t>
      </w:r>
      <w:r>
        <w:rPr>
          <w:rFonts w:hint="default" w:ascii="Times New Roman" w:hAnsi="Times New Roman" w:eastAsia="宋体" w:cs="Times New Roman"/>
          <w:spacing w:val="12"/>
          <w:szCs w:val="21"/>
        </w:rPr>
        <w:t>价值的总量也具有一种向上变动的趋势,</w:t>
      </w:r>
      <w:r>
        <w:rPr>
          <w:rFonts w:hint="default" w:ascii="Times New Roman" w:hAnsi="Times New Roman" w:eastAsia="宋体" w:cs="Times New Roman"/>
          <w:spacing w:val="9"/>
          <w:szCs w:val="21"/>
        </w:rPr>
        <w:t>而</w:t>
      </w:r>
      <w:r>
        <w:rPr>
          <w:rFonts w:hint="default" w:ascii="Times New Roman" w:hAnsi="Times New Roman" w:eastAsia="宋体" w:cs="Times New Roman"/>
          <w:spacing w:val="8"/>
          <w:szCs w:val="21"/>
        </w:rPr>
        <w:t>不是不变。我们对马克思的商品价值量与劳</w:t>
      </w:r>
      <w:r>
        <w:rPr>
          <w:rFonts w:hint="default" w:ascii="Times New Roman" w:hAnsi="Times New Roman" w:eastAsia="宋体" w:cs="Times New Roman"/>
          <w:spacing w:val="18"/>
          <w:szCs w:val="21"/>
        </w:rPr>
        <w:t>动</w:t>
      </w:r>
      <w:r>
        <w:rPr>
          <w:rFonts w:hint="default" w:ascii="Times New Roman" w:hAnsi="Times New Roman" w:eastAsia="宋体" w:cs="Times New Roman"/>
          <w:spacing w:val="13"/>
          <w:szCs w:val="21"/>
        </w:rPr>
        <w:t>生</w:t>
      </w:r>
      <w:r>
        <w:rPr>
          <w:rFonts w:hint="default" w:ascii="Times New Roman" w:hAnsi="Times New Roman" w:eastAsia="宋体" w:cs="Times New Roman"/>
          <w:spacing w:val="9"/>
          <w:szCs w:val="21"/>
        </w:rPr>
        <w:t>产率的规律作了如上的界定和新理解,就</w:t>
      </w:r>
      <w:r>
        <w:rPr>
          <w:rFonts w:hint="default" w:ascii="Times New Roman" w:hAnsi="Times New Roman" w:eastAsia="宋体" w:cs="Times New Roman"/>
          <w:spacing w:val="18"/>
          <w:szCs w:val="21"/>
        </w:rPr>
        <w:t>可</w:t>
      </w:r>
      <w:r>
        <w:rPr>
          <w:rFonts w:hint="default" w:ascii="Times New Roman" w:hAnsi="Times New Roman" w:eastAsia="宋体" w:cs="Times New Roman"/>
          <w:spacing w:val="13"/>
          <w:szCs w:val="21"/>
        </w:rPr>
        <w:t>以</w:t>
      </w:r>
      <w:r>
        <w:rPr>
          <w:rFonts w:hint="default" w:ascii="Times New Roman" w:hAnsi="Times New Roman" w:eastAsia="宋体" w:cs="Times New Roman"/>
          <w:spacing w:val="9"/>
          <w:szCs w:val="21"/>
        </w:rPr>
        <w:t>科学地说明,科技劳动和管理劳动等在价值</w:t>
      </w:r>
      <w:r>
        <w:rPr>
          <w:rFonts w:hint="default" w:ascii="Times New Roman" w:hAnsi="Times New Roman" w:eastAsia="宋体" w:cs="Times New Roman"/>
          <w:spacing w:val="8"/>
          <w:szCs w:val="21"/>
        </w:rPr>
        <w:t>创造中的作用与事实。这被认为是再一个认</w:t>
      </w:r>
      <w:r>
        <w:rPr>
          <w:rFonts w:hint="default" w:ascii="Times New Roman" w:hAnsi="Times New Roman" w:eastAsia="宋体" w:cs="Times New Roman"/>
          <w:spacing w:val="7"/>
          <w:szCs w:val="21"/>
        </w:rPr>
        <w:t>识的创新,即需要突破马克思关于劳动生产率</w:t>
      </w:r>
      <w:r>
        <w:rPr>
          <w:rFonts w:hint="default" w:ascii="Times New Roman" w:hAnsi="Times New Roman" w:eastAsia="宋体" w:cs="Times New Roman"/>
          <w:spacing w:val="18"/>
          <w:szCs w:val="21"/>
        </w:rPr>
        <w:t>提</w:t>
      </w:r>
      <w:r>
        <w:rPr>
          <w:rFonts w:hint="default" w:ascii="Times New Roman" w:hAnsi="Times New Roman" w:eastAsia="宋体" w:cs="Times New Roman"/>
          <w:spacing w:val="13"/>
          <w:szCs w:val="21"/>
        </w:rPr>
        <w:t>高</w:t>
      </w:r>
      <w:r>
        <w:rPr>
          <w:rFonts w:hint="default" w:ascii="Times New Roman" w:hAnsi="Times New Roman" w:eastAsia="宋体" w:cs="Times New Roman"/>
          <w:spacing w:val="9"/>
          <w:szCs w:val="21"/>
        </w:rPr>
        <w:t>而价值量不变的假设与论断,确立科技劳</w:t>
      </w:r>
      <w:r>
        <w:rPr>
          <w:rFonts w:hint="default" w:ascii="Times New Roman" w:hAnsi="Times New Roman" w:eastAsia="宋体" w:cs="Times New Roman"/>
          <w:spacing w:val="19"/>
          <w:szCs w:val="21"/>
        </w:rPr>
        <w:t>动的复杂性和熟练性的提高所导致的劳动生</w:t>
      </w:r>
      <w:r>
        <w:rPr>
          <w:rFonts w:hint="default" w:ascii="Times New Roman" w:hAnsi="Times New Roman" w:eastAsia="宋体" w:cs="Times New Roman"/>
          <w:spacing w:val="9"/>
          <w:szCs w:val="21"/>
        </w:rPr>
        <w:t>产</w:t>
      </w:r>
      <w:r>
        <w:rPr>
          <w:rFonts w:hint="default" w:ascii="Times New Roman" w:hAnsi="Times New Roman" w:eastAsia="宋体" w:cs="Times New Roman"/>
          <w:spacing w:val="8"/>
          <w:szCs w:val="21"/>
        </w:rPr>
        <w:t>率,一般会增大商品价值量这一新观点。</w:t>
      </w:r>
    </w:p>
    <w:p w14:paraId="684ECF9D">
      <w:pPr>
        <w:spacing w:line="400" w:lineRule="exact"/>
        <w:ind w:firstLine="492" w:firstLineChars="200"/>
        <w:rPr>
          <w:rFonts w:hint="default" w:ascii="Times New Roman" w:hAnsi="Times New Roman" w:eastAsia="宋体" w:cs="Times New Roman"/>
          <w:spacing w:val="18"/>
          <w:szCs w:val="21"/>
        </w:rPr>
      </w:pPr>
    </w:p>
    <w:p w14:paraId="54EE72E4">
      <w:pPr>
        <w:spacing w:line="400" w:lineRule="exact"/>
        <w:ind w:firstLine="492" w:firstLineChars="200"/>
        <w:rPr>
          <w:rFonts w:hint="default" w:ascii="Times New Roman" w:hAnsi="Times New Roman" w:eastAsia="宋体" w:cs="Times New Roman"/>
          <w:spacing w:val="2"/>
        </w:rPr>
      </w:pPr>
      <w:r>
        <w:rPr>
          <w:rFonts w:hint="default" w:ascii="Times New Roman" w:hAnsi="Times New Roman" w:eastAsia="宋体" w:cs="Times New Roman"/>
          <w:spacing w:val="18"/>
          <w:szCs w:val="21"/>
        </w:rPr>
        <w:t>(</w:t>
      </w:r>
      <w:r>
        <w:rPr>
          <w:rFonts w:hint="default" w:ascii="Times New Roman" w:hAnsi="Times New Roman" w:eastAsia="宋体" w:cs="Times New Roman"/>
          <w:spacing w:val="13"/>
          <w:szCs w:val="21"/>
        </w:rPr>
        <w:t>原载《</w:t>
      </w:r>
      <w:r>
        <w:rPr>
          <w:rFonts w:hint="default" w:ascii="Times New Roman" w:hAnsi="Times New Roman" w:eastAsia="宋体" w:cs="Times New Roman"/>
        </w:rPr>
        <w:t>毛泽东邓小平理论研究》2002年第2期</w:t>
      </w:r>
      <w:r>
        <w:rPr>
          <w:rFonts w:hint="default" w:ascii="Times New Roman" w:hAnsi="Times New Roman" w:eastAsia="宋体" w:cs="Times New Roman"/>
          <w:spacing w:val="2"/>
          <w:szCs w:val="21"/>
        </w:rPr>
        <w:t>)</w:t>
      </w:r>
    </w:p>
    <w:p w14:paraId="191D906C">
      <w:pPr>
        <w:pStyle w:val="21"/>
        <w:spacing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sz w:val="21"/>
          <w:szCs w:val="21"/>
        </w:rPr>
        <w:br w:type="page"/>
      </w:r>
    </w:p>
    <w:p w14:paraId="53331A11">
      <w:pPr>
        <w:keepNext w:val="0"/>
        <w:keepLines w:val="0"/>
        <w:pageBreakBefore w:val="0"/>
        <w:widowControl w:val="0"/>
        <w:kinsoku/>
        <w:wordWrap/>
        <w:overflowPunct/>
        <w:topLinePunct w:val="0"/>
        <w:autoSpaceDE/>
        <w:autoSpaceDN/>
        <w:bidi w:val="0"/>
        <w:adjustRightInd/>
        <w:snapToGrid/>
        <w:spacing w:line="480" w:lineRule="auto"/>
        <w:ind w:firstLine="732" w:firstLineChars="200"/>
        <w:jc w:val="center"/>
        <w:textAlignment w:val="auto"/>
        <w:outlineLvl w:val="1"/>
        <w:rPr>
          <w:rFonts w:hint="default" w:ascii="Times New Roman" w:hAnsi="Times New Roman" w:eastAsia="黑体" w:cs="Times New Roman"/>
          <w:b w:val="0"/>
          <w:bCs w:val="0"/>
          <w:spacing w:val="23"/>
          <w:sz w:val="32"/>
          <w:szCs w:val="48"/>
        </w:rPr>
      </w:pPr>
      <w:bookmarkStart w:id="183" w:name="_Toc17731"/>
      <w:bookmarkStart w:id="184" w:name="_Toc2444"/>
      <w:bookmarkStart w:id="185" w:name="_Toc937152038"/>
      <w:bookmarkStart w:id="186" w:name="_Toc322243421"/>
      <w:r>
        <w:rPr>
          <w:rFonts w:hint="default" w:ascii="Times New Roman" w:hAnsi="Times New Roman" w:eastAsia="黑体" w:cs="Times New Roman"/>
          <w:b w:val="0"/>
          <w:bCs w:val="0"/>
          <w:spacing w:val="23"/>
          <w:sz w:val="32"/>
          <w:szCs w:val="48"/>
        </w:rPr>
        <w:t>如何运用马克思主义理论指导我国市场经济实践</w:t>
      </w:r>
      <w:bookmarkEnd w:id="183"/>
      <w:bookmarkEnd w:id="184"/>
      <w:bookmarkEnd w:id="185"/>
      <w:bookmarkEnd w:id="186"/>
    </w:p>
    <w:p w14:paraId="5DBC3610">
      <w:pPr>
        <w:pStyle w:val="21"/>
        <w:spacing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color w:val="000000"/>
          <w:sz w:val="21"/>
          <w:szCs w:val="21"/>
        </w:rPr>
        <w:t>在人类社会经济发展进程中，市场经济作为一种经济运行机制是为经济发展服务的，从形成到发展已具有300多年的历史。目前，世界上已有130多个国家和地区建立了市场经济体制，尽管在许多国家中市场经济体制并没有给国家政府和人们生活带来预期的绩效，但它对摧毁正统的社会生产关系、解放和发展社会生产力都起着重要作用。经济发展是人类社会物质生产活动中所追求的共同目标，也是人类社会文明与进步的重要体现。一个国家和地区的经济发展水平、规模、速度、质量和效益的优劣，往往取决于该国家和地区内部因素以及外部环境的影响，但其中最主要的是取决于对经济发展运行机制的选择。世界上许多国家经济发展中的经验与教训表明，选择一个健康有序的运行机制，对促进经济发展至关重要。我国不少人认为只有市场经济这种运行机制，才是中国经济发展的最佳性。但是，我们应当看到，市场经济这种运行机制不是完美无缺的，它具有二重表现，即一方面对经济发展水平、规模和速度起着积极的协调作用，另一方面又对经济发展的质量和效益起着某种消极作用，如果对这种消极作用不及时加以控制，就会在一定程度上阻碍经济发展，这是一个不争的事实。我国的经济发展选择了市场经济运行机制，这对中国来说是一种新生事物，况且中国又处在社会主义初级阶段，决定了我国实行的市场经济既不成熟,也不完善，这就需要我们理论工作者去认真研究如何运用马克思主义理论指导社会主义市场经济体制的建立和完善，使之更好地为经济发展服务，同时还要借鉴国外许多好的做法，不断探索社会主义市场经济发展的新特点和新规律，努力克服其消极因素，从而保证中国经济沿着社会主义方向，健康、稳定和协调发展。</w:t>
      </w:r>
    </w:p>
    <w:p w14:paraId="55B09507">
      <w:pPr>
        <w:pStyle w:val="21"/>
        <w:spacing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color w:val="000000"/>
          <w:sz w:val="21"/>
          <w:szCs w:val="21"/>
        </w:rPr>
        <w:t>上海金融高等专科学校周肇光教授，长期从事马克思主义理论经济学、经济法学和金融学等学科领域的教学与研究工作，每年都有许多研究成果问世，《经济学动态》、《当代经济研究》等国家级重点核心期刊上经常发表他的学术观点，中国人民大学报刊复印资料中心也多次全文转载他的学术研究成果，已成为经济理论界知名的经济学者。他日前所著的《市场经济体制比较与对策》一书，正是他多年来站在理论研究前沿潜心探索的又一新成果，不仅为我们如何运用马克思主义理论指导我国市场经济实践提供了很好的范式，同时也从中提出了许多值得我们参考的有价值的见解：</w:t>
      </w:r>
    </w:p>
    <w:p w14:paraId="5A840822">
      <w:pPr>
        <w:pStyle w:val="21"/>
        <w:numPr>
          <w:ilvl w:val="0"/>
          <w:numId w:val="3"/>
        </w:numPr>
        <w:tabs>
          <w:tab w:val="left" w:pos="764"/>
        </w:tabs>
        <w:kinsoku w:val="0"/>
        <w:autoSpaceDE w:val="0"/>
        <w:autoSpaceDN w:val="0"/>
        <w:adjustRightInd w:val="0"/>
        <w:snapToGrid w:val="0"/>
        <w:spacing w:line="400" w:lineRule="exact"/>
        <w:ind w:firstLine="420" w:firstLineChars="200"/>
        <w:jc w:val="both"/>
        <w:textAlignment w:val="baseline"/>
        <w:rPr>
          <w:rFonts w:hint="default" w:ascii="Times New Roman" w:hAnsi="Times New Roman" w:cs="Times New Roman"/>
          <w:sz w:val="21"/>
          <w:szCs w:val="21"/>
        </w:rPr>
      </w:pPr>
      <w:r>
        <w:rPr>
          <w:rFonts w:hint="default" w:ascii="Times New Roman" w:hAnsi="Times New Roman" w:cs="Times New Roman"/>
          <w:color w:val="000000"/>
          <w:sz w:val="21"/>
          <w:szCs w:val="21"/>
        </w:rPr>
        <w:t>在市场经济导论部分中，该著作明确提出了市场经济是一种内在积极性与负面性相互作用的二重体制。只有在国家宏观调控指导下，通过价值规律、供求规律、竞争规律相互作用，市场经济才能发挥最大效能。同时还强调我们必须大胆地借鉴西方各国市场经济体制的经验和教训，但要坚决克服和盲目照搬别国现成模式的观点。这对如何按照市场规律促进中国经济发展，具有重要的现实意义。</w:t>
      </w:r>
    </w:p>
    <w:p w14:paraId="164C12E7">
      <w:pPr>
        <w:pStyle w:val="21"/>
        <w:numPr>
          <w:ilvl w:val="0"/>
          <w:numId w:val="3"/>
        </w:numPr>
        <w:tabs>
          <w:tab w:val="left" w:pos="764"/>
        </w:tabs>
        <w:kinsoku w:val="0"/>
        <w:autoSpaceDE w:val="0"/>
        <w:autoSpaceDN w:val="0"/>
        <w:adjustRightInd w:val="0"/>
        <w:snapToGrid w:val="0"/>
        <w:spacing w:line="400" w:lineRule="exact"/>
        <w:ind w:firstLine="420" w:firstLineChars="200"/>
        <w:jc w:val="both"/>
        <w:textAlignment w:val="baseline"/>
        <w:rPr>
          <w:rFonts w:hint="default" w:ascii="Times New Roman" w:hAnsi="Times New Roman" w:cs="Times New Roman"/>
          <w:sz w:val="21"/>
          <w:szCs w:val="21"/>
        </w:rPr>
      </w:pPr>
      <w:r>
        <w:rPr>
          <w:rFonts w:hint="default" w:ascii="Times New Roman" w:hAnsi="Times New Roman" w:cs="Times New Roman"/>
          <w:color w:val="000000"/>
          <w:sz w:val="21"/>
          <w:szCs w:val="21"/>
        </w:rPr>
        <w:t>在市场经济理论基础部分中，该著作提出了《资本论》应当作为社会主义市场经济发展的重要理论依据。因为，西方国家市场经济体制是以西方经济理论为基础，反映了经济自由化的要求。而社会主义市场经济是以公有制为主体，按照马克思主义理论的要求，强调充分发挥国家宏观调控的作用，在一定程度上能够抑制市场经济的负面性影响和经济自由化倾向。同时还驳斥了有些人企图否定马克思劳动价值论的错误言论，他认为如何对待马克思劳动价值论，不仅仅是一个理论探索问题，也不仅仅是实证分析的方法问题，而在实质上是一个政治立场问题。一是从理论研究的背景看，改革开放以来，我国把私营经济作为社会主义经济的重要组成部分，经过十几年的发展，基本上能够达到与国有经济抗衡的程度。作为私人资本阶层已经出现，但在理论上还没有形成维护私有制的理论体系。而私营经济要想持久发展，在理论上必然会提出要求，希望用西方经济学理论来取代马克思主义经济学的指导地位，从而建立能够保护私有经济发展的理论经济学。二是从理论研究出发点看，马克思创立的劳动价值论，是站在无产阶级立场上来揭示资本主义经济发展规律，最终目标就是要用社会主义制度代替资本主义制度，它是为广大人民大众的根本利益服务的，是广大人民群众的劳动价值论，是我们正确认识资本主义进程的强大思想武器。</w:t>
      </w:r>
    </w:p>
    <w:p w14:paraId="59750BE3">
      <w:pPr>
        <w:pStyle w:val="21"/>
        <w:spacing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color w:val="000000"/>
          <w:sz w:val="21"/>
          <w:szCs w:val="21"/>
        </w:rPr>
        <w:t>相反，有的学者为什么要从另一个途径上继承和发展亚当</w:t>
      </w:r>
      <w:r>
        <w:rPr>
          <w:rFonts w:hint="default" w:ascii="Times New Roman" w:hAnsi="Times New Roman" w:cs="Times New Roman"/>
          <w:color w:val="000000"/>
          <w:sz w:val="21"/>
          <w:szCs w:val="21"/>
          <w:lang w:val="en-US" w:eastAsia="zh-CN" w:bidi="en-US"/>
        </w:rPr>
        <w:t>•</w:t>
      </w:r>
      <w:r>
        <w:rPr>
          <w:rFonts w:hint="default" w:ascii="Times New Roman" w:hAnsi="Times New Roman" w:cs="Times New Roman"/>
          <w:color w:val="000000"/>
          <w:sz w:val="21"/>
          <w:szCs w:val="21"/>
        </w:rPr>
        <w:t>斯密价值论中的庸俗部分，就是因为在客观上符合资产阶级的根本利益，如把资本和土地等其他形式归入价值决定的源泉之中，就会使广大劳动者看到，商品的价值决定不仅仅是劳动者所为，而且还有资本和土地的奉献，从而淡化资本家剥削雇用劳动者的关系。正因为如此，不同的经济学家对于同一经济问题往往有相反的解释，并得出不尽一致的思想结论和政策主张。这除了认识方面的原因以外，主要是因为经济学所研究的材料具有特殊性，它直接涉及到不同社会群体、集团、阶层、阶级和国家的权益。经济学家在研究、解释和试图解决经济问题时，往往自觉或不自觉地站在特定集团的立场上，代表和维护特定集团的权益，接受反映特定利益的意识形态，釆取符合特定利益集团的价值判断。如果把土地和资本等生产要素列入价值源泉之中，就有可能改变我们党的指导思想性质，就有可能影响中国改革开放的社会主义方向，甚至还会影响社会主义制度的巩固和发展。只有正确</w:t>
      </w:r>
      <w:r>
        <w:rPr>
          <w:rFonts w:hint="default" w:ascii="Times New Roman" w:hAnsi="Times New Roman" w:cs="Times New Roman"/>
          <w:color w:val="000000"/>
          <w:sz w:val="21"/>
          <w:szCs w:val="21"/>
          <w:lang w:val="en-US" w:eastAsia="zh-CN" w:bidi="en-US"/>
        </w:rPr>
        <w:t>'</w:t>
      </w:r>
      <w:r>
        <w:rPr>
          <w:rFonts w:hint="default" w:ascii="Times New Roman" w:hAnsi="Times New Roman" w:cs="Times New Roman"/>
          <w:color w:val="000000"/>
          <w:sz w:val="21"/>
          <w:szCs w:val="21"/>
        </w:rPr>
        <w:t>认识抽象劳动是价值决定的唯一源泉，才有可能坚持和发展马克思劳动价值论。这些观点都是非常正确的，在坚持和发展马克思主义理论经济学过程中做出了积极贡献。</w:t>
      </w:r>
    </w:p>
    <w:p w14:paraId="621C2A95">
      <w:pPr>
        <w:pStyle w:val="21"/>
        <w:numPr>
          <w:ilvl w:val="0"/>
          <w:numId w:val="3"/>
        </w:numPr>
        <w:tabs>
          <w:tab w:val="left" w:pos="759"/>
        </w:tabs>
        <w:kinsoku w:val="0"/>
        <w:autoSpaceDE w:val="0"/>
        <w:autoSpaceDN w:val="0"/>
        <w:adjustRightInd w:val="0"/>
        <w:snapToGrid w:val="0"/>
        <w:spacing w:line="400" w:lineRule="exact"/>
        <w:ind w:firstLine="420" w:firstLineChars="200"/>
        <w:jc w:val="both"/>
        <w:textAlignment w:val="baseline"/>
        <w:rPr>
          <w:rFonts w:hint="default" w:ascii="Times New Roman" w:hAnsi="Times New Roman" w:cs="Times New Roman"/>
          <w:sz w:val="21"/>
          <w:szCs w:val="21"/>
        </w:rPr>
      </w:pPr>
      <w:r>
        <w:rPr>
          <w:rFonts w:hint="default" w:ascii="Times New Roman" w:hAnsi="Times New Roman" w:cs="Times New Roman"/>
          <w:color w:val="000000"/>
          <w:sz w:val="21"/>
          <w:szCs w:val="21"/>
        </w:rPr>
        <w:t>在市场经济微观基础部分中，通过对国有企业改革实践的研究，该著作提出了加快国有企业改革应采取的五条措施。该著作对社会上普遍关注的国有企业工资和劳动人事制度改革模式提岀了自己的见解，特别是第一次提出了国有企业生产目的二重性以及国有企业软环境建设的观点，这对夯实和巩固市场经济微观基础具有指导意义。</w:t>
      </w:r>
    </w:p>
    <w:p w14:paraId="5777995C">
      <w:pPr>
        <w:pStyle w:val="21"/>
        <w:numPr>
          <w:ilvl w:val="0"/>
          <w:numId w:val="3"/>
        </w:numPr>
        <w:tabs>
          <w:tab w:val="left" w:pos="312"/>
        </w:tabs>
        <w:kinsoku w:val="0"/>
        <w:autoSpaceDE w:val="0"/>
        <w:autoSpaceDN w:val="0"/>
        <w:adjustRightInd w:val="0"/>
        <w:snapToGrid w:val="0"/>
        <w:spacing w:line="400" w:lineRule="exact"/>
        <w:ind w:firstLine="420" w:firstLineChars="200"/>
        <w:jc w:val="both"/>
        <w:textAlignment w:val="baseline"/>
        <w:rPr>
          <w:rFonts w:hint="default" w:ascii="Times New Roman" w:hAnsi="Times New Roman" w:cs="Times New Roman"/>
          <w:sz w:val="21"/>
          <w:szCs w:val="21"/>
        </w:rPr>
      </w:pPr>
      <w:r>
        <w:rPr>
          <w:rFonts w:hint="default" w:ascii="Times New Roman" w:hAnsi="Times New Roman" w:cs="Times New Roman"/>
          <w:color w:val="000000"/>
          <w:sz w:val="21"/>
          <w:szCs w:val="21"/>
        </w:rPr>
        <w:t>在市场经济宏观调控部分中，该著作主张必须借鉴世界各国对市场经济实行国家干预的一些好的做法，加大对我国市场经济的宏观调控力度，同时提出了建立和完善新税制以及深化金融体制改革的若干建议。此外,结合当前实际，依据国家</w:t>
      </w:r>
      <w:r>
        <w:rPr>
          <w:rFonts w:hint="default" w:ascii="Times New Roman" w:hAnsi="Times New Roman" w:cs="Times New Roman"/>
          <w:color w:val="000000"/>
          <w:sz w:val="21"/>
          <w:szCs w:val="21"/>
          <w:lang w:val="zh-CN" w:eastAsia="zh-CN" w:bidi="zh-CN"/>
        </w:rPr>
        <w:t>“十</w:t>
      </w:r>
      <w:r>
        <w:rPr>
          <w:rFonts w:hint="default" w:ascii="Times New Roman" w:hAnsi="Times New Roman" w:cs="Times New Roman"/>
          <w:color w:val="000000"/>
          <w:sz w:val="21"/>
          <w:szCs w:val="21"/>
        </w:rPr>
        <w:t>五发展规划纲要”的要求，提出了经济结构调整不应当只注重产业结构调整，而且应当兼顾分配结构、交换结构和消费结构的调整和优化，必须适时地发挥计划与市场两种手段的作用，这对我国如何加强市场经济宏观调控，具有重要的理论意义和现实意义。</w:t>
      </w:r>
    </w:p>
    <w:p w14:paraId="14609C4F">
      <w:pPr>
        <w:pStyle w:val="21"/>
        <w:numPr>
          <w:ilvl w:val="0"/>
          <w:numId w:val="3"/>
        </w:numPr>
        <w:tabs>
          <w:tab w:val="left" w:pos="769"/>
        </w:tabs>
        <w:kinsoku w:val="0"/>
        <w:autoSpaceDE w:val="0"/>
        <w:autoSpaceDN w:val="0"/>
        <w:adjustRightInd w:val="0"/>
        <w:snapToGrid w:val="0"/>
        <w:spacing w:line="400" w:lineRule="exact"/>
        <w:ind w:firstLine="420" w:firstLineChars="200"/>
        <w:jc w:val="both"/>
        <w:textAlignment w:val="baseline"/>
        <w:rPr>
          <w:rFonts w:hint="default" w:ascii="Times New Roman" w:hAnsi="Times New Roman" w:cs="Times New Roman"/>
          <w:sz w:val="21"/>
          <w:szCs w:val="21"/>
        </w:rPr>
      </w:pPr>
      <w:r>
        <w:rPr>
          <w:rFonts w:hint="default" w:ascii="Times New Roman" w:hAnsi="Times New Roman" w:cs="Times New Roman"/>
          <w:color w:val="000000"/>
          <w:sz w:val="21"/>
          <w:szCs w:val="21"/>
        </w:rPr>
        <w:t>在市场经济法制建设部分中，该著作不仅深刻地揭示了市场经济与经济发展需要法制建设来保驾护航的客观必然性，而且阐述了法律监督和社会主义道德在市场经济活动中的积极作用，其中特别强调了《公司法》在建立现代化企业制度中的重要性，并提岀了许多新见解。此外，对实施西部大开发战略中，如何加强生态法制建设、加快信息立法国际化进程等方面都作了有益的探索，这对建立和完善社会主义市场经济法律体系，依法引导、规范和保障中国社会主义发展是十分必要的。</w:t>
      </w:r>
    </w:p>
    <w:p w14:paraId="7EAADE20">
      <w:pPr>
        <w:pStyle w:val="21"/>
        <w:numPr>
          <w:ilvl w:val="0"/>
          <w:numId w:val="3"/>
        </w:numPr>
        <w:tabs>
          <w:tab w:val="left" w:pos="759"/>
        </w:tabs>
        <w:kinsoku w:val="0"/>
        <w:autoSpaceDE w:val="0"/>
        <w:autoSpaceDN w:val="0"/>
        <w:adjustRightInd w:val="0"/>
        <w:snapToGrid w:val="0"/>
        <w:spacing w:line="400" w:lineRule="exact"/>
        <w:ind w:firstLine="420" w:firstLineChars="200"/>
        <w:jc w:val="both"/>
        <w:textAlignment w:val="baseline"/>
        <w:rPr>
          <w:rFonts w:hint="default" w:ascii="Times New Roman" w:hAnsi="Times New Roman" w:cs="Times New Roman"/>
          <w:sz w:val="21"/>
          <w:szCs w:val="21"/>
        </w:rPr>
      </w:pPr>
      <w:r>
        <w:rPr>
          <w:rFonts w:hint="default" w:ascii="Times New Roman" w:hAnsi="Times New Roman" w:cs="Times New Roman"/>
          <w:color w:val="000000"/>
          <w:sz w:val="21"/>
          <w:szCs w:val="21"/>
        </w:rPr>
        <w:t>在市场经济发展趋势部分中，该著作提出了中国市场经济与经济发展不能脱离国情的观点，同时阐述了经济发展必须考虑东西合作，发展民族地区经济的重要（上接第37页）注意金融政策的统一性和中央集中决策的基本特点。上海不可能象其他城市型国家地区进行独立的金融体制与政策选择。上海只能向中央提出政策需求，只能取得中国金融开放的程度与时间上的差别，而不能获得制度上的差别。</w:t>
      </w:r>
    </w:p>
    <w:p w14:paraId="4D06757E">
      <w:pPr>
        <w:pStyle w:val="21"/>
        <w:spacing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color w:val="000000"/>
          <w:sz w:val="21"/>
          <w:szCs w:val="21"/>
        </w:rPr>
        <w:t>中国的经济正以惊人的、前所未有的速度蓬勃发展，我们急需一个以中国的实体经济为支撑的国际金融中心。上海的国际金融中心建设应定位与实体经济相关联，为经济而交易而不是为交易而交易的金融性。此外，还对经济全球化的涵义、特征、二重性以及经济信息化等方面作了系统分析，认为经济全球化是一个发展过程，是各国经济在开放的条件下走向世界市场化的过程，是世界民族性或地方性在减少，而市场经济自由度在提高的过程。这就表明，经济全球化在生产、分配、交换和消费等方面都表现出世界经济发展新趋势的一些特征。同时还认为经济全球化具有二重性，对中国经济发展来讲是挑战大于机遇。今后的因素也是不确定的。因此，提岀了中国在经济全球化背景下发展市场经济必须注意五个问题。这些理论观点是对我国进一步研究市场经济和经济发展这一实践性很强的重大理论课题，具有较高的参考价值。</w:t>
      </w:r>
    </w:p>
    <w:p w14:paraId="449342A7">
      <w:pPr>
        <w:pStyle w:val="21"/>
        <w:spacing w:line="400" w:lineRule="exact"/>
        <w:ind w:firstLine="420" w:firstLineChars="200"/>
        <w:jc w:val="both"/>
        <w:rPr>
          <w:rFonts w:hint="default" w:ascii="Times New Roman" w:hAnsi="Times New Roman" w:cs="Times New Roman"/>
          <w:sz w:val="21"/>
          <w:szCs w:val="21"/>
        </w:rPr>
      </w:pPr>
      <w:r>
        <w:rPr>
          <w:rFonts w:hint="default" w:ascii="Times New Roman" w:hAnsi="Times New Roman" w:cs="Times New Roman"/>
          <w:color w:val="000000"/>
          <w:sz w:val="21"/>
          <w:szCs w:val="21"/>
        </w:rPr>
        <w:t>笔者认为该著作主要有以下几个显著特点：一是具有正确的研究立场和鲜明的理论观点，体现了作者的马克思主义研究风格；二是注意结构描述与专题研究相结合，体现了作者研究思路的系统性；三是每个研究专题具有特定的逻辑起点，并能独立成章，便于读者了解本书的学术观点和研究方法；四是重点突岀、简明扼要、信息量大，较好地体现了学术性和实用性的有机统一。它是一本值得一读的好书，为我国马克思主义理论研究和社会主义市场经济理论研究增添了新内容。</w:t>
      </w:r>
    </w:p>
    <w:p w14:paraId="0C499F72">
      <w:pPr>
        <w:pStyle w:val="21"/>
        <w:spacing w:line="400" w:lineRule="exact"/>
        <w:ind w:firstLine="420" w:firstLineChars="200"/>
        <w:jc w:val="both"/>
        <w:rPr>
          <w:rFonts w:hint="default" w:ascii="Times New Roman" w:hAnsi="Times New Roman" w:cs="Times New Roman"/>
          <w:sz w:val="21"/>
          <w:szCs w:val="21"/>
          <w:lang w:val="en-US" w:eastAsia="zh-CN"/>
        </w:rPr>
      </w:pPr>
      <w:r>
        <w:rPr>
          <w:rFonts w:hint="default" w:ascii="Times New Roman" w:hAnsi="Times New Roman" w:cs="Times New Roman"/>
          <w:color w:val="000000"/>
          <w:sz w:val="21"/>
          <w:szCs w:val="21"/>
          <w:lang w:eastAsia="zh-CN"/>
        </w:rPr>
        <w:t>（</w:t>
      </w:r>
      <w:r>
        <w:rPr>
          <w:rFonts w:hint="default" w:ascii="Times New Roman" w:hAnsi="Times New Roman" w:cs="Times New Roman"/>
          <w:color w:val="000000"/>
          <w:sz w:val="21"/>
          <w:szCs w:val="21"/>
          <w:lang w:val="en-US" w:eastAsia="zh-CN"/>
        </w:rPr>
        <w:t>原载《</w:t>
      </w:r>
      <w:r>
        <w:rPr>
          <w:rFonts w:hint="default" w:ascii="Times New Roman" w:hAnsi="Times New Roman" w:cs="Times New Roman"/>
          <w:color w:val="000000"/>
          <w:sz w:val="21"/>
          <w:szCs w:val="21"/>
        </w:rPr>
        <w:t>上海金融高等专科学校学报</w:t>
      </w:r>
      <w:r>
        <w:rPr>
          <w:rFonts w:hint="default" w:ascii="Times New Roman" w:hAnsi="Times New Roman" w:cs="Times New Roman"/>
          <w:color w:val="000000"/>
          <w:sz w:val="21"/>
          <w:szCs w:val="21"/>
          <w:lang w:eastAsia="zh-CN"/>
        </w:rPr>
        <w:t>》</w:t>
      </w:r>
      <w:r>
        <w:rPr>
          <w:rFonts w:hint="default" w:ascii="Times New Roman" w:hAnsi="Times New Roman" w:cs="Times New Roman"/>
          <w:color w:val="000000"/>
          <w:sz w:val="21"/>
          <w:szCs w:val="21"/>
          <w:lang w:val="en-US" w:eastAsia="zh-CN"/>
        </w:rPr>
        <w:t>2002年第4期）</w:t>
      </w:r>
      <w:r>
        <w:rPr>
          <w:rFonts w:hint="default" w:ascii="Times New Roman" w:hAnsi="Times New Roman" w:cs="Times New Roman"/>
          <w:sz w:val="21"/>
          <w:szCs w:val="21"/>
          <w:lang w:val="en-US" w:eastAsia="zh-CN"/>
        </w:rPr>
        <w:br w:type="page"/>
      </w:r>
    </w:p>
    <w:p w14:paraId="44F167F6">
      <w:pPr>
        <w:pStyle w:val="21"/>
        <w:spacing w:line="400" w:lineRule="exact"/>
        <w:ind w:firstLine="420" w:firstLineChars="200"/>
        <w:jc w:val="both"/>
        <w:rPr>
          <w:rFonts w:hint="default" w:ascii="Times New Roman" w:hAnsi="Times New Roman" w:cs="Times New Roman"/>
          <w:sz w:val="21"/>
          <w:szCs w:val="21"/>
          <w:lang w:val="en-US" w:eastAsia="zh-CN"/>
        </w:rPr>
      </w:pPr>
      <w:bookmarkStart w:id="187" w:name="_Hlk114498279"/>
    </w:p>
    <w:p w14:paraId="70EE6CF5">
      <w:pPr>
        <w:widowControl/>
        <w:kinsoku w:val="0"/>
        <w:autoSpaceDE w:val="0"/>
        <w:autoSpaceDN w:val="0"/>
        <w:adjustRightInd w:val="0"/>
        <w:snapToGrid w:val="0"/>
        <w:spacing w:line="400" w:lineRule="exact"/>
        <w:ind w:firstLine="733" w:firstLineChars="200"/>
        <w:jc w:val="center"/>
        <w:outlineLvl w:val="1"/>
        <w:rPr>
          <w:rFonts w:hint="default" w:ascii="Times New Roman" w:hAnsi="Times New Roman" w:eastAsia="黑体" w:cs="Times New Roman"/>
          <w:b/>
          <w:bCs/>
          <w:spacing w:val="23"/>
          <w:sz w:val="32"/>
          <w:szCs w:val="48"/>
        </w:rPr>
      </w:pPr>
      <w:bookmarkStart w:id="188" w:name="_Toc30760"/>
      <w:bookmarkStart w:id="189" w:name="_Toc12310"/>
      <w:bookmarkStart w:id="190" w:name="_Toc1069235568"/>
      <w:bookmarkStart w:id="191" w:name="_Toc2138902660"/>
      <w:r>
        <w:rPr>
          <w:rFonts w:hint="default" w:ascii="Times New Roman" w:hAnsi="Times New Roman" w:eastAsia="黑体" w:cs="Times New Roman"/>
          <w:b/>
          <w:bCs/>
          <w:color w:val="000000"/>
          <w:spacing w:val="23"/>
          <w:kern w:val="0"/>
          <w:sz w:val="32"/>
          <w:szCs w:val="48"/>
          <w:lang w:bidi="ar"/>
        </w:rPr>
        <w:t>关于人民币区域化和国际化可能性探析</w:t>
      </w:r>
      <w:bookmarkEnd w:id="188"/>
      <w:bookmarkEnd w:id="189"/>
      <w:bookmarkEnd w:id="190"/>
      <w:bookmarkEnd w:id="191"/>
    </w:p>
    <w:p w14:paraId="40148D5E">
      <w:pPr>
        <w:widowControl/>
        <w:kinsoku w:val="0"/>
        <w:autoSpaceDE w:val="0"/>
        <w:autoSpaceDN w:val="0"/>
        <w:adjustRightInd w:val="0"/>
        <w:snapToGrid w:val="0"/>
        <w:spacing w:line="400" w:lineRule="exact"/>
        <w:ind w:firstLine="420" w:firstLineChars="200"/>
        <w:rPr>
          <w:rFonts w:hint="default" w:ascii="Times New Roman" w:hAnsi="Times New Roman" w:eastAsia="宋体" w:cs="Times New Roman"/>
        </w:rPr>
      </w:pPr>
    </w:p>
    <w:p w14:paraId="1DE507B0">
      <w:pPr>
        <w:widowControl/>
        <w:kinsoku w:val="0"/>
        <w:autoSpaceDE w:val="0"/>
        <w:autoSpaceDN w:val="0"/>
        <w:adjustRightInd w:val="0"/>
        <w:snapToGrid w:val="0"/>
        <w:spacing w:line="400" w:lineRule="exact"/>
        <w:ind w:firstLine="484" w:firstLineChars="200"/>
        <w:rPr>
          <w:rFonts w:hint="default" w:ascii="Times New Roman" w:hAnsi="Times New Roman" w:eastAsia="宋体" w:cs="Times New Roman"/>
        </w:rPr>
      </w:pPr>
      <w:r>
        <w:rPr>
          <w:rFonts w:hint="default" w:ascii="Times New Roman" w:hAnsi="Times New Roman" w:eastAsia="宋体" w:cs="Times New Roman"/>
          <w:color w:val="444444"/>
          <w:spacing w:val="16"/>
          <w:kern w:val="0"/>
          <w:szCs w:val="21"/>
          <w:lang w:bidi="ar"/>
        </w:rPr>
        <w:t>摘</w:t>
      </w:r>
      <w:r>
        <w:rPr>
          <w:rFonts w:hint="default" w:ascii="Times New Roman" w:hAnsi="Times New Roman" w:eastAsia="宋体" w:cs="Times New Roman"/>
          <w:color w:val="444444"/>
          <w:spacing w:val="13"/>
          <w:kern w:val="0"/>
          <w:szCs w:val="21"/>
          <w:lang w:bidi="ar"/>
        </w:rPr>
        <w:t>要</w:t>
      </w:r>
      <w:r>
        <w:rPr>
          <w:rFonts w:hint="default" w:ascii="Times New Roman" w:hAnsi="Times New Roman" w:eastAsia="宋体" w:cs="Times New Roman"/>
          <w:color w:val="444444"/>
          <w:spacing w:val="8"/>
          <w:kern w:val="0"/>
          <w:szCs w:val="21"/>
          <w:lang w:bidi="ar"/>
        </w:rPr>
        <w:t>：若能实现在与日本平等的基础上建立亚洲货币基金，或者暂不排斥本国货币存在的前提下规划发行</w:t>
      </w:r>
      <w:r>
        <w:rPr>
          <w:rFonts w:hint="default" w:ascii="Times New Roman" w:hAnsi="Times New Roman" w:eastAsia="宋体" w:cs="Times New Roman"/>
          <w:color w:val="444444"/>
          <w:spacing w:val="14"/>
          <w:kern w:val="0"/>
          <w:szCs w:val="21"/>
          <w:lang w:bidi="ar"/>
        </w:rPr>
        <w:t>“</w:t>
      </w:r>
      <w:r>
        <w:rPr>
          <w:rFonts w:hint="default" w:ascii="Times New Roman" w:hAnsi="Times New Roman" w:eastAsia="宋体" w:cs="Times New Roman"/>
          <w:color w:val="444444"/>
          <w:spacing w:val="11"/>
          <w:kern w:val="0"/>
          <w:szCs w:val="21"/>
          <w:lang w:bidi="ar"/>
        </w:rPr>
        <w:t>亚</w:t>
      </w:r>
      <w:r>
        <w:rPr>
          <w:rFonts w:hint="default" w:ascii="Times New Roman" w:hAnsi="Times New Roman" w:eastAsia="宋体" w:cs="Times New Roman"/>
          <w:color w:val="444444"/>
          <w:spacing w:val="7"/>
          <w:kern w:val="0"/>
          <w:szCs w:val="21"/>
          <w:lang w:bidi="ar"/>
        </w:rPr>
        <w:t>元”，对中国都是利大于弊的。不过，在此之前和之后的一个较长时期内，中国还是要积极推行人民币</w:t>
      </w:r>
      <w:r>
        <w:rPr>
          <w:rFonts w:hint="default" w:ascii="Times New Roman" w:hAnsi="Times New Roman" w:eastAsia="宋体" w:cs="Times New Roman"/>
          <w:color w:val="444444"/>
          <w:spacing w:val="14"/>
          <w:kern w:val="0"/>
          <w:szCs w:val="21"/>
          <w:lang w:bidi="ar"/>
        </w:rPr>
        <w:t>的区域化和国际化。推行人民币的区域化和国际化是中国参与经济全球化、亚洲经济协调发展和中国增</w:t>
      </w:r>
      <w:r>
        <w:rPr>
          <w:rFonts w:hint="default" w:ascii="Times New Roman" w:hAnsi="Times New Roman" w:eastAsia="宋体" w:cs="Times New Roman"/>
          <w:color w:val="444444"/>
          <w:spacing w:val="9"/>
          <w:kern w:val="0"/>
          <w:szCs w:val="21"/>
          <w:lang w:bidi="ar"/>
        </w:rPr>
        <w:t>强国际金融竞争力的迫切需要，而中国改革开放也为此奠定了深厚的现实基础。我们要进一步采取相关对策</w:t>
      </w:r>
      <w:r>
        <w:rPr>
          <w:rFonts w:hint="default" w:ascii="Times New Roman" w:hAnsi="Times New Roman" w:eastAsia="宋体" w:cs="Times New Roman"/>
          <w:color w:val="444444"/>
          <w:kern w:val="0"/>
          <w:szCs w:val="21"/>
          <w:lang w:bidi="ar"/>
        </w:rPr>
        <w:t>，</w:t>
      </w:r>
      <w:r>
        <w:rPr>
          <w:rFonts w:hint="default" w:ascii="Times New Roman" w:hAnsi="Times New Roman" w:eastAsia="宋体" w:cs="Times New Roman"/>
          <w:color w:val="444444"/>
          <w:spacing w:val="26"/>
          <w:kern w:val="0"/>
          <w:szCs w:val="21"/>
          <w:lang w:bidi="ar"/>
        </w:rPr>
        <w:t>为</w:t>
      </w:r>
      <w:r>
        <w:rPr>
          <w:rFonts w:hint="default" w:ascii="Times New Roman" w:hAnsi="Times New Roman" w:eastAsia="宋体" w:cs="Times New Roman"/>
          <w:color w:val="444444"/>
          <w:spacing w:val="14"/>
          <w:kern w:val="0"/>
          <w:szCs w:val="21"/>
          <w:lang w:bidi="ar"/>
        </w:rPr>
        <w:t>促</w:t>
      </w:r>
      <w:r>
        <w:rPr>
          <w:rFonts w:hint="default" w:ascii="Times New Roman" w:hAnsi="Times New Roman" w:eastAsia="宋体" w:cs="Times New Roman"/>
          <w:color w:val="444444"/>
          <w:spacing w:val="13"/>
          <w:kern w:val="0"/>
          <w:szCs w:val="21"/>
          <w:lang w:bidi="ar"/>
        </w:rPr>
        <w:t>进人民币区域化和国际化创造必要条件。</w:t>
      </w:r>
    </w:p>
    <w:p w14:paraId="39F97AA6">
      <w:pPr>
        <w:widowControl/>
        <w:kinsoku w:val="0"/>
        <w:autoSpaceDE w:val="0"/>
        <w:autoSpaceDN w:val="0"/>
        <w:adjustRightInd w:val="0"/>
        <w:snapToGrid w:val="0"/>
        <w:spacing w:line="400" w:lineRule="exact"/>
        <w:ind w:firstLine="556" w:firstLineChars="200"/>
        <w:rPr>
          <w:rFonts w:hint="default" w:ascii="Times New Roman" w:hAnsi="Times New Roman" w:eastAsia="宋体" w:cs="Times New Roman"/>
        </w:rPr>
      </w:pPr>
      <w:r>
        <w:rPr>
          <w:rFonts w:hint="default" w:ascii="Times New Roman" w:hAnsi="Times New Roman" w:eastAsia="宋体" w:cs="Times New Roman"/>
          <w:color w:val="444444"/>
          <w:spacing w:val="34"/>
          <w:kern w:val="0"/>
          <w:szCs w:val="21"/>
          <w:lang w:bidi="ar"/>
        </w:rPr>
        <w:t>关</w:t>
      </w:r>
      <w:r>
        <w:rPr>
          <w:rFonts w:hint="default" w:ascii="Times New Roman" w:hAnsi="Times New Roman" w:eastAsia="宋体" w:cs="Times New Roman"/>
          <w:color w:val="444444"/>
          <w:spacing w:val="27"/>
          <w:kern w:val="0"/>
          <w:szCs w:val="21"/>
          <w:lang w:bidi="ar"/>
        </w:rPr>
        <w:t>键</w:t>
      </w:r>
      <w:r>
        <w:rPr>
          <w:rFonts w:hint="default" w:ascii="Times New Roman" w:hAnsi="Times New Roman" w:eastAsia="宋体" w:cs="Times New Roman"/>
          <w:color w:val="444444"/>
          <w:spacing w:val="17"/>
          <w:kern w:val="0"/>
          <w:szCs w:val="21"/>
          <w:lang w:bidi="ar"/>
        </w:rPr>
        <w:t>词：金融发展；人民币区域化；人民币国际化；非对称利率市场化</w:t>
      </w:r>
    </w:p>
    <w:p w14:paraId="1D14315E">
      <w:pPr>
        <w:widowControl/>
        <w:kinsoku w:val="0"/>
        <w:autoSpaceDE w:val="0"/>
        <w:autoSpaceDN w:val="0"/>
        <w:adjustRightInd w:val="0"/>
        <w:snapToGrid w:val="0"/>
        <w:spacing w:line="400" w:lineRule="exact"/>
        <w:ind w:firstLine="456" w:firstLineChars="200"/>
        <w:rPr>
          <w:rFonts w:hint="default" w:ascii="Times New Roman" w:hAnsi="Times New Roman" w:eastAsia="宋体" w:cs="Times New Roman"/>
        </w:rPr>
      </w:pPr>
      <w:r>
        <w:rPr>
          <w:rFonts w:hint="default" w:ascii="Times New Roman" w:hAnsi="Times New Roman" w:eastAsia="宋体" w:cs="Times New Roman"/>
          <w:color w:val="444444"/>
          <w:spacing w:val="9"/>
          <w:kern w:val="0"/>
          <w:position w:val="4"/>
          <w:szCs w:val="21"/>
          <w:lang w:bidi="ar"/>
        </w:rPr>
        <w:t>中图分类号：</w:t>
      </w:r>
      <w:r>
        <w:rPr>
          <w:rFonts w:hint="default" w:ascii="Times New Roman" w:hAnsi="Times New Roman" w:eastAsia="宋体" w:cs="Times New Roman"/>
          <w:color w:val="444444"/>
          <w:kern w:val="0"/>
          <w:position w:val="4"/>
          <w:szCs w:val="21"/>
          <w:lang w:bidi="ar"/>
        </w:rPr>
        <w:t>F</w:t>
      </w:r>
      <w:r>
        <w:rPr>
          <w:rFonts w:hint="default" w:ascii="Times New Roman" w:hAnsi="Times New Roman" w:eastAsia="宋体" w:cs="Times New Roman"/>
          <w:color w:val="444444"/>
          <w:spacing w:val="9"/>
          <w:kern w:val="0"/>
          <w:position w:val="4"/>
          <w:szCs w:val="21"/>
          <w:lang w:bidi="ar"/>
        </w:rPr>
        <w:t>820．4文献标识码：</w:t>
      </w:r>
      <w:r>
        <w:rPr>
          <w:rFonts w:hint="default" w:ascii="Times New Roman" w:hAnsi="Times New Roman" w:eastAsia="宋体" w:cs="Times New Roman"/>
          <w:color w:val="444444"/>
          <w:kern w:val="0"/>
          <w:position w:val="4"/>
          <w:szCs w:val="21"/>
          <w:lang w:bidi="ar"/>
        </w:rPr>
        <w:t>A</w:t>
      </w:r>
      <w:r>
        <w:rPr>
          <w:rFonts w:hint="default" w:ascii="Times New Roman" w:hAnsi="Times New Roman" w:eastAsia="宋体" w:cs="Times New Roman"/>
          <w:color w:val="444444"/>
          <w:spacing w:val="9"/>
          <w:kern w:val="0"/>
          <w:position w:val="4"/>
          <w:szCs w:val="21"/>
          <w:lang w:bidi="ar"/>
        </w:rPr>
        <w:t>文章编号：1005－2674(2002)11－58－0</w:t>
      </w:r>
      <w:r>
        <w:rPr>
          <w:rFonts w:hint="default" w:ascii="Times New Roman" w:hAnsi="Times New Roman" w:eastAsia="宋体" w:cs="Times New Roman"/>
          <w:color w:val="444444"/>
          <w:spacing w:val="7"/>
          <w:kern w:val="0"/>
          <w:position w:val="4"/>
          <w:szCs w:val="21"/>
          <w:lang w:bidi="ar"/>
        </w:rPr>
        <w:t>5</w:t>
      </w:r>
    </w:p>
    <w:p w14:paraId="6B6CDE5D">
      <w:pPr>
        <w:widowControl/>
        <w:kinsoku w:val="0"/>
        <w:autoSpaceDE w:val="0"/>
        <w:autoSpaceDN w:val="0"/>
        <w:adjustRightInd w:val="0"/>
        <w:snapToGrid w:val="0"/>
        <w:spacing w:line="400" w:lineRule="exact"/>
        <w:ind w:firstLine="420" w:firstLineChars="200"/>
        <w:rPr>
          <w:rFonts w:hint="default" w:ascii="Times New Roman" w:hAnsi="Times New Roman" w:eastAsia="宋体" w:cs="Times New Roman"/>
        </w:rPr>
      </w:pPr>
    </w:p>
    <w:p w14:paraId="7228F9C7">
      <w:pPr>
        <w:widowControl/>
        <w:kinsoku w:val="0"/>
        <w:autoSpaceDE w:val="0"/>
        <w:autoSpaceDN w:val="0"/>
        <w:adjustRightInd w:val="0"/>
        <w:snapToGrid w:val="0"/>
        <w:spacing w:line="400" w:lineRule="exact"/>
        <w:ind w:firstLine="480" w:firstLineChars="200"/>
        <w:rPr>
          <w:rFonts w:hint="default" w:ascii="Times New Roman" w:hAnsi="Times New Roman" w:eastAsia="宋体" w:cs="Times New Roman"/>
        </w:rPr>
      </w:pPr>
      <w:r>
        <w:rPr>
          <w:rFonts w:hint="default" w:ascii="Times New Roman" w:hAnsi="Times New Roman" w:eastAsia="宋体" w:cs="Times New Roman"/>
          <w:color w:val="444444"/>
          <w:spacing w:val="15"/>
          <w:kern w:val="0"/>
          <w:szCs w:val="21"/>
          <w:lang w:bidi="ar"/>
        </w:rPr>
        <w:t>本</w:t>
      </w:r>
      <w:r>
        <w:rPr>
          <w:rFonts w:hint="default" w:ascii="Times New Roman" w:hAnsi="Times New Roman" w:eastAsia="宋体" w:cs="Times New Roman"/>
          <w:color w:val="444444"/>
          <w:spacing w:val="10"/>
          <w:kern w:val="0"/>
          <w:szCs w:val="21"/>
          <w:lang w:bidi="ar"/>
        </w:rPr>
        <w:t>文根据经济区域化和全球化的客观要求，从</w:t>
      </w:r>
      <w:r>
        <w:rPr>
          <w:rFonts w:hint="default" w:ascii="Times New Roman" w:hAnsi="Times New Roman" w:eastAsia="宋体" w:cs="Times New Roman"/>
          <w:color w:val="444444"/>
          <w:spacing w:val="16"/>
          <w:kern w:val="0"/>
          <w:szCs w:val="21"/>
          <w:lang w:bidi="ar"/>
        </w:rPr>
        <w:t>理</w:t>
      </w:r>
      <w:r>
        <w:rPr>
          <w:rFonts w:hint="default" w:ascii="Times New Roman" w:hAnsi="Times New Roman" w:eastAsia="宋体" w:cs="Times New Roman"/>
          <w:color w:val="444444"/>
          <w:spacing w:val="14"/>
          <w:kern w:val="0"/>
          <w:szCs w:val="21"/>
          <w:lang w:bidi="ar"/>
        </w:rPr>
        <w:t>论与实际相结合上探讨人民币走向区域化和国际</w:t>
      </w:r>
      <w:r>
        <w:rPr>
          <w:rFonts w:hint="default" w:ascii="Times New Roman" w:hAnsi="Times New Roman" w:eastAsia="宋体" w:cs="Times New Roman"/>
          <w:color w:val="444444"/>
          <w:spacing w:val="7"/>
          <w:kern w:val="0"/>
          <w:szCs w:val="21"/>
          <w:lang w:bidi="ar"/>
        </w:rPr>
        <w:t>化</w:t>
      </w:r>
      <w:r>
        <w:rPr>
          <w:rFonts w:hint="default" w:ascii="Times New Roman" w:hAnsi="Times New Roman" w:eastAsia="宋体" w:cs="Times New Roman"/>
          <w:color w:val="444444"/>
          <w:spacing w:val="4"/>
          <w:kern w:val="0"/>
          <w:szCs w:val="21"/>
          <w:lang w:bidi="ar"/>
        </w:rPr>
        <w:t>的可能性，以及所应采取的相关措施。</w:t>
      </w:r>
    </w:p>
    <w:p w14:paraId="0C4D180F">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420" w:firstLineChars="200"/>
        <w:jc w:val="center"/>
        <w:textAlignment w:val="auto"/>
        <w:rPr>
          <w:rFonts w:hint="default" w:ascii="黑体" w:hAnsi="黑体" w:eastAsia="黑体" w:cs="黑体"/>
          <w:b w:val="0"/>
          <w:bCs w:val="0"/>
          <w:spacing w:val="0"/>
          <w:w w:val="100"/>
          <w:sz w:val="21"/>
          <w:szCs w:val="21"/>
        </w:rPr>
      </w:pPr>
      <w:r>
        <w:rPr>
          <w:rFonts w:hint="default" w:ascii="黑体" w:hAnsi="黑体" w:eastAsia="黑体" w:cs="黑体"/>
          <w:b w:val="0"/>
          <w:bCs w:val="0"/>
          <w:spacing w:val="0"/>
          <w:w w:val="100"/>
          <w:sz w:val="21"/>
          <w:szCs w:val="21"/>
        </w:rPr>
        <w:t>一、导语：亚洲经济发展需要区域性货币</w:t>
      </w:r>
    </w:p>
    <w:p w14:paraId="64CBC657">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444444"/>
          <w:spacing w:val="0"/>
          <w:kern w:val="0"/>
          <w:position w:val="0"/>
          <w:sz w:val="21"/>
          <w:szCs w:val="21"/>
          <w:lang w:bidi="ar"/>
        </w:rPr>
        <w:t>中国人民币走向区域化和国际化之所以具有可能性，是因为经济全球化的发展将对国际新秩序的建立产生深刻影响，处于亚洲经济区域中的发展中国家，只有通过自身的经济发展，建立区域货币体系，才能逐步摆脱美国金融霸权的控制，努力改变不平等的经济关系，以实现自己的发展目标。</w:t>
      </w:r>
    </w:p>
    <w:p w14:paraId="638EFE78">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444444"/>
          <w:spacing w:val="0"/>
          <w:kern w:val="0"/>
          <w:position w:val="0"/>
          <w:sz w:val="21"/>
          <w:szCs w:val="21"/>
          <w:lang w:bidi="ar"/>
        </w:rPr>
        <w:t>1997年，东盟在国际货币基金组织(IMF)召开年会之际，就提出了建立亚洲货币基金的设想。2001年11月在文莱举行的亚太经济论坛首脑会议上，日韩等国有关人士就“东亚货币”可能性进行了探讨。2001年初在日本神户召开的亚洲25国财政部长会议上，日本等国联合发出倡议，呼吁亚洲国家采纳一种不受美元支配的货币体系以避免金融危机。2001年10月中旬，被誉为“欧元之父”的罗伯特·蒙代尔来到中国，也把关于“亚洲单一货币”的憧憬带给参加上海APEC会议的首脑们。</w:t>
      </w:r>
    </w:p>
    <w:p w14:paraId="5F0976DC">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444444"/>
          <w:spacing w:val="0"/>
          <w:position w:val="0"/>
          <w:sz w:val="21"/>
        </w:rPr>
      </w:pPr>
      <w:r>
        <w:rPr>
          <w:rFonts w:hint="eastAsia" w:ascii="宋体" w:hAnsi="宋体" w:eastAsia="宋体" w:cs="宋体"/>
          <w:color w:val="444444"/>
          <w:spacing w:val="0"/>
          <w:kern w:val="0"/>
          <w:position w:val="0"/>
          <w:sz w:val="21"/>
          <w:szCs w:val="21"/>
          <w:lang w:bidi="ar"/>
        </w:rPr>
        <w:t>高速增长后，区内各国在经济、政治合作方面已经建立了一定的基础。一是东亚地区的区内贸易和投资规模日益扩大，贸易总额占外贸总量的比值超过50％。二是东亚地区经济合作呈现良好趋势，各国利用资源差异发展多层次合作，还将开辟东北亚经济圈、环黄渤海经济区、印支经济区及新柔佛增长三角带经济合作的新局面。中国是亚洲区域中的一个发展中大国，在经济协调发展中发挥着一定的主导作用。特别是入世后，中国在参与全球金融活动与规则制定的基础上，将更积极地参与亚洲区域的货币金融合作，支持亚洲货币基金(AMF)的建立与发展，努力与周边国家一起为亚洲经济、金融开放创造良好的公共环境，已经形成了亚洲经济发展深深地依赖中国的新格局。</w:t>
      </w:r>
    </w:p>
    <w:p w14:paraId="09B17001">
      <w:pPr>
        <w:keepNext w:val="0"/>
        <w:keepLines w:val="0"/>
        <w:pageBreakBefore w:val="0"/>
        <w:wordWrap/>
        <w:overflowPunct/>
        <w:topLinePunct w:val="0"/>
        <w:bidi w:val="0"/>
        <w:spacing w:line="400" w:lineRule="exact"/>
        <w:ind w:firstLine="420" w:firstLineChars="200"/>
        <w:jc w:val="both"/>
        <w:textAlignment w:val="auto"/>
        <w:rPr>
          <w:rFonts w:hint="eastAsia" w:ascii="宋体" w:hAnsi="宋体" w:eastAsia="宋体" w:cs="宋体"/>
          <w:color w:val="444444"/>
          <w:spacing w:val="0"/>
          <w:kern w:val="0"/>
          <w:position w:val="0"/>
          <w:sz w:val="21"/>
          <w:szCs w:val="21"/>
          <w:lang w:bidi="ar"/>
        </w:rPr>
      </w:pPr>
      <w:r>
        <w:rPr>
          <w:rFonts w:hint="eastAsia" w:ascii="宋体" w:hAnsi="宋体" w:eastAsia="宋体" w:cs="宋体"/>
          <w:color w:val="444444"/>
          <w:spacing w:val="0"/>
          <w:kern w:val="0"/>
          <w:position w:val="0"/>
          <w:sz w:val="21"/>
          <w:szCs w:val="21"/>
          <w:lang w:bidi="ar"/>
        </w:rPr>
        <w:t>有人认为东亚出现区域性货币是很遥远的事,理由是各国在政治上难以形成共识,在历史文化上</w:t>
      </w:r>
      <w:r>
        <w:rPr>
          <w:rFonts w:hint="eastAsia" w:ascii="宋体" w:hAnsi="宋体" w:eastAsia="宋体" w:cs="宋体"/>
          <w:color w:val="000000"/>
          <w:spacing w:val="0"/>
          <w:kern w:val="0"/>
          <w:position w:val="0"/>
          <w:sz w:val="21"/>
          <w:szCs w:val="21"/>
          <w:lang w:bidi="ar"/>
        </w:rPr>
        <mc:AlternateContent>
          <mc:Choice Requires="wps">
            <w:drawing>
              <wp:anchor distT="0" distB="0" distL="114300" distR="114300" simplePos="0" relativeHeight="251683840" behindDoc="0" locked="0" layoutInCell="0" allowOverlap="1">
                <wp:simplePos x="0" y="0"/>
                <wp:positionH relativeFrom="page">
                  <wp:posOffset>3267710</wp:posOffset>
                </wp:positionH>
                <wp:positionV relativeFrom="page">
                  <wp:posOffset>9274810</wp:posOffset>
                </wp:positionV>
                <wp:extent cx="31115" cy="93980"/>
                <wp:effectExtent l="0" t="0" r="19685" b="7620"/>
                <wp:wrapNone/>
                <wp:docPr id="84" name="任意多边形 734"/>
                <wp:cNvGraphicFramePr/>
                <a:graphic xmlns:a="http://schemas.openxmlformats.org/drawingml/2006/main">
                  <a:graphicData uri="http://schemas.microsoft.com/office/word/2010/wordprocessingShape">
                    <wps:wsp>
                      <wps:cNvSpPr/>
                      <wps:spPr>
                        <a:xfrm>
                          <a:off x="0" y="0"/>
                          <a:ext cx="31115" cy="93980"/>
                        </a:xfrm>
                        <a:custGeom>
                          <a:avLst/>
                          <a:gdLst>
                            <a:gd name="txL" fmla="*/ 0 w 49"/>
                            <a:gd name="txT" fmla="*/ 0 h 148"/>
                            <a:gd name="txR" fmla="*/ 49 w 49"/>
                            <a:gd name="txB" fmla="*/ 148 h 148"/>
                          </a:gdLst>
                          <a:ahLst/>
                          <a:cxnLst/>
                          <a:rect l="txL" t="txT" r="txR" b="txB"/>
                          <a:pathLst>
                            <a:path w="49" h="148">
                              <a:moveTo>
                                <a:pt x="24" y="0"/>
                              </a:moveTo>
                              <a:cubicBezTo>
                                <a:pt x="26" y="0"/>
                                <a:pt x="28" y="2"/>
                                <a:pt x="30" y="3"/>
                              </a:cubicBezTo>
                              <a:cubicBezTo>
                                <a:pt x="32" y="5"/>
                                <a:pt x="34" y="7"/>
                                <a:pt x="34" y="10"/>
                              </a:cubicBezTo>
                              <a:cubicBezTo>
                                <a:pt x="34" y="13"/>
                                <a:pt x="32" y="15"/>
                                <a:pt x="30" y="17"/>
                              </a:cubicBezTo>
                              <a:cubicBezTo>
                                <a:pt x="28" y="20"/>
                                <a:pt x="26" y="22"/>
                                <a:pt x="24" y="22"/>
                              </a:cubicBezTo>
                              <a:cubicBezTo>
                                <a:pt x="20" y="22"/>
                                <a:pt x="18" y="20"/>
                                <a:pt x="16" y="17"/>
                              </a:cubicBezTo>
                              <a:cubicBezTo>
                                <a:pt x="14" y="15"/>
                                <a:pt x="12" y="13"/>
                                <a:pt x="12" y="10"/>
                              </a:cubicBezTo>
                              <a:cubicBezTo>
                                <a:pt x="12" y="7"/>
                                <a:pt x="14" y="5"/>
                                <a:pt x="16" y="3"/>
                              </a:cubicBezTo>
                              <a:cubicBezTo>
                                <a:pt x="18" y="2"/>
                                <a:pt x="20" y="0"/>
                                <a:pt x="24" y="0"/>
                              </a:cubicBezTo>
                              <a:moveTo>
                                <a:pt x="32" y="50"/>
                              </a:moveTo>
                              <a:lnTo>
                                <a:pt x="32" y="125"/>
                              </a:lnTo>
                              <a:cubicBezTo>
                                <a:pt x="32" y="132"/>
                                <a:pt x="34" y="137"/>
                                <a:pt x="34" y="140"/>
                              </a:cubicBezTo>
                              <a:cubicBezTo>
                                <a:pt x="34" y="142"/>
                                <a:pt x="36" y="142"/>
                                <a:pt x="38" y="143"/>
                              </a:cubicBezTo>
                              <a:cubicBezTo>
                                <a:pt x="40" y="143"/>
                                <a:pt x="42" y="145"/>
                                <a:pt x="48" y="145"/>
                              </a:cubicBezTo>
                              <a:lnTo>
                                <a:pt x="48" y="147"/>
                              </a:lnTo>
                              <a:lnTo>
                                <a:pt x="0" y="147"/>
                              </a:lnTo>
                              <a:lnTo>
                                <a:pt x="0" y="145"/>
                              </a:lnTo>
                              <a:cubicBezTo>
                                <a:pt x="6" y="145"/>
                                <a:pt x="8" y="143"/>
                                <a:pt x="10" y="143"/>
                              </a:cubicBezTo>
                              <a:cubicBezTo>
                                <a:pt x="12" y="142"/>
                                <a:pt x="12" y="142"/>
                                <a:pt x="14" y="140"/>
                              </a:cubicBezTo>
                              <a:cubicBezTo>
                                <a:pt x="14" y="137"/>
                                <a:pt x="16" y="132"/>
                                <a:pt x="16" y="125"/>
                              </a:cubicBezTo>
                              <a:lnTo>
                                <a:pt x="16" y="90"/>
                              </a:lnTo>
                              <a:cubicBezTo>
                                <a:pt x="16" y="77"/>
                                <a:pt x="14" y="72"/>
                                <a:pt x="14" y="67"/>
                              </a:cubicBezTo>
                              <a:cubicBezTo>
                                <a:pt x="14" y="65"/>
                                <a:pt x="14" y="63"/>
                                <a:pt x="12" y="63"/>
                              </a:cubicBezTo>
                              <a:cubicBezTo>
                                <a:pt x="12" y="63"/>
                                <a:pt x="10" y="62"/>
                                <a:pt x="8" y="62"/>
                              </a:cubicBezTo>
                              <a:cubicBezTo>
                                <a:pt x="6" y="62"/>
                                <a:pt x="4" y="63"/>
                                <a:pt x="0" y="63"/>
                              </a:cubicBezTo>
                              <a:lnTo>
                                <a:pt x="0" y="62"/>
                              </a:lnTo>
                              <a:lnTo>
                                <a:pt x="28" y="50"/>
                              </a:lnTo>
                              <a:lnTo>
                                <a:pt x="32" y="50"/>
                              </a:lnTo>
                              <a:close/>
                            </a:path>
                          </a:pathLst>
                        </a:custGeom>
                        <a:solidFill>
                          <a:srgbClr val="B2B2B2"/>
                        </a:solidFill>
                        <a:ln>
                          <a:noFill/>
                        </a:ln>
                      </wps:spPr>
                      <wps:bodyPr wrap="square" upright="1"/>
                    </wps:wsp>
                  </a:graphicData>
                </a:graphic>
              </wp:anchor>
            </w:drawing>
          </mc:Choice>
          <mc:Fallback>
            <w:pict>
              <v:shape id="任意多边形 734" o:spid="_x0000_s1026" o:spt="100" style="position:absolute;left:0pt;margin-left:257.3pt;margin-top:730.3pt;height:7.4pt;width:2.45pt;mso-position-horizontal-relative:page;mso-position-vertical-relative:page;z-index:251683840;mso-width-relative:page;mso-height-relative:page;" fillcolor="#B2B2B2" filled="t" stroked="f" coordsize="49,148" o:allowincell="f" o:gfxdata="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" path="m24,0c26,0,28,2,30,3c32,5,34,7,34,10c34,13,32,15,30,17c28,20,26,22,24,22c20,22,18,20,16,17c14,15,12,13,12,10c12,7,14,5,16,3c18,2,20,0,24,0m32,50l32,125c32,132,34,137,34,140c34,142,36,142,38,143c40,143,42,145,48,145l48,147,0,147,0,145c6,145,8,143,10,143c12,142,12,142,14,140c14,137,16,132,16,125l16,90c16,77,14,72,14,67c14,65,14,63,12,63c12,63,10,62,8,62c6,62,4,63,0,63l0,62,28,50,32,50xe">
                <v:fill on="t" focussize="0,0"/>
                <v:stroke on="f"/>
                <v:imagedata o:title=""/>
                <o:lock v:ext="edit" aspectratio="f"/>
              </v:shape>
            </w:pict>
          </mc:Fallback>
        </mc:AlternateContent>
      </w:r>
      <w:r>
        <w:rPr>
          <w:rFonts w:hint="eastAsia" w:ascii="宋体" w:hAnsi="宋体" w:eastAsia="宋体" w:cs="宋体"/>
          <w:color w:val="000000"/>
          <w:spacing w:val="0"/>
          <w:kern w:val="0"/>
          <w:position w:val="0"/>
          <w:sz w:val="21"/>
          <w:szCs w:val="21"/>
          <w:lang w:bidi="ar"/>
        </w:rPr>
        <mc:AlternateContent>
          <mc:Choice Requires="wps">
            <w:drawing>
              <wp:anchor distT="0" distB="0" distL="114300" distR="114300" simplePos="0" relativeHeight="251687936" behindDoc="0" locked="0" layoutInCell="0" allowOverlap="1">
                <wp:simplePos x="0" y="0"/>
                <wp:positionH relativeFrom="page">
                  <wp:posOffset>3230880</wp:posOffset>
                </wp:positionH>
                <wp:positionV relativeFrom="page">
                  <wp:posOffset>9274810</wp:posOffset>
                </wp:positionV>
                <wp:extent cx="29845" cy="93980"/>
                <wp:effectExtent l="0" t="0" r="20955" b="7620"/>
                <wp:wrapNone/>
                <wp:docPr id="85" name="任意多边形 570"/>
                <wp:cNvGraphicFramePr/>
                <a:graphic xmlns:a="http://schemas.openxmlformats.org/drawingml/2006/main">
                  <a:graphicData uri="http://schemas.microsoft.com/office/word/2010/wordprocessingShape">
                    <wps:wsp>
                      <wps:cNvSpPr/>
                      <wps:spPr>
                        <a:xfrm>
                          <a:off x="0" y="0"/>
                          <a:ext cx="29845" cy="93980"/>
                        </a:xfrm>
                        <a:custGeom>
                          <a:avLst/>
                          <a:gdLst>
                            <a:gd name="txL" fmla="*/ 0 w 46"/>
                            <a:gd name="txT" fmla="*/ 0 h 148"/>
                            <a:gd name="txR" fmla="*/ 46 w 46"/>
                            <a:gd name="txB" fmla="*/ 148 h 148"/>
                          </a:gdLst>
                          <a:ahLst/>
                          <a:cxnLst/>
                          <a:rect l="txL" t="txT" r="txR" b="txB"/>
                          <a:pathLst>
                            <a:path w="46" h="148">
                              <a:moveTo>
                                <a:pt x="32" y="0"/>
                              </a:moveTo>
                              <a:lnTo>
                                <a:pt x="32" y="125"/>
                              </a:lnTo>
                              <a:cubicBezTo>
                                <a:pt x="32" y="132"/>
                                <a:pt x="32" y="137"/>
                                <a:pt x="34" y="140"/>
                              </a:cubicBezTo>
                              <a:cubicBezTo>
                                <a:pt x="34" y="142"/>
                                <a:pt x="36" y="142"/>
                                <a:pt x="36" y="143"/>
                              </a:cubicBezTo>
                              <a:cubicBezTo>
                                <a:pt x="37" y="143"/>
                                <a:pt x="42" y="145"/>
                                <a:pt x="46" y="145"/>
                              </a:cubicBezTo>
                              <a:lnTo>
                                <a:pt x="46" y="147"/>
                              </a:lnTo>
                              <a:lnTo>
                                <a:pt x="0" y="147"/>
                              </a:lnTo>
                              <a:lnTo>
                                <a:pt x="0" y="145"/>
                              </a:lnTo>
                              <a:cubicBezTo>
                                <a:pt x="4" y="145"/>
                                <a:pt x="8" y="143"/>
                                <a:pt x="10" y="143"/>
                              </a:cubicBezTo>
                              <a:cubicBezTo>
                                <a:pt x="10" y="142"/>
                                <a:pt x="12" y="142"/>
                                <a:pt x="14" y="140"/>
                              </a:cubicBezTo>
                              <a:cubicBezTo>
                                <a:pt x="14" y="137"/>
                                <a:pt x="14" y="132"/>
                                <a:pt x="14" y="125"/>
                              </a:cubicBezTo>
                              <a:lnTo>
                                <a:pt x="14" y="40"/>
                              </a:lnTo>
                              <a:cubicBezTo>
                                <a:pt x="14" y="30"/>
                                <a:pt x="14" y="22"/>
                                <a:pt x="14" y="20"/>
                              </a:cubicBezTo>
                              <a:cubicBezTo>
                                <a:pt x="14" y="17"/>
                                <a:pt x="12" y="15"/>
                                <a:pt x="12" y="13"/>
                              </a:cubicBezTo>
                              <a:cubicBezTo>
                                <a:pt x="10" y="13"/>
                                <a:pt x="10" y="13"/>
                                <a:pt x="8" y="13"/>
                              </a:cubicBezTo>
                              <a:cubicBezTo>
                                <a:pt x="6" y="13"/>
                                <a:pt x="4" y="13"/>
                                <a:pt x="2" y="13"/>
                              </a:cubicBezTo>
                              <a:lnTo>
                                <a:pt x="0" y="12"/>
                              </a:lnTo>
                              <a:lnTo>
                                <a:pt x="28" y="0"/>
                              </a:lnTo>
                              <a:lnTo>
                                <a:pt x="32" y="0"/>
                              </a:lnTo>
                              <a:close/>
                            </a:path>
                          </a:pathLst>
                        </a:custGeom>
                        <a:solidFill>
                          <a:srgbClr val="B2B2B2"/>
                        </a:solidFill>
                        <a:ln>
                          <a:noFill/>
                        </a:ln>
                      </wps:spPr>
                      <wps:bodyPr wrap="square" upright="1"/>
                    </wps:wsp>
                  </a:graphicData>
                </a:graphic>
              </wp:anchor>
            </w:drawing>
          </mc:Choice>
          <mc:Fallback>
            <w:pict>
              <v:shape id="任意多边形 570" o:spid="_x0000_s1026" o:spt="100" style="position:absolute;left:0pt;margin-left:254.4pt;margin-top:730.3pt;height:7.4pt;width:2.35pt;mso-position-horizontal-relative:page;mso-position-vertical-relative:page;z-index:251687936;mso-width-relative:page;mso-height-relative:page;" fillcolor="#B2B2B2" filled="t" stroked="f" coordsize="46,148" o:allowincell="f" o:gfxdata="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" path="m32,0l32,125c32,132,32,137,34,140c34,142,36,142,36,143c37,143,42,145,46,145l46,147,0,147,0,145c4,145,8,143,10,143c10,142,12,142,14,140c14,137,14,132,14,125l14,40c14,30,14,22,14,20c14,17,12,15,12,13c10,13,10,13,8,13c6,13,4,13,2,13l0,12,28,0,32,0xe">
                <v:fill on="t" focussize="0,0"/>
                <v:stroke on="f"/>
                <v:imagedata o:title=""/>
                <o:lock v:ext="edit" aspectratio="f"/>
              </v:shape>
            </w:pict>
          </mc:Fallback>
        </mc:AlternateContent>
      </w:r>
      <w:r>
        <w:rPr>
          <w:rFonts w:hint="eastAsia" w:ascii="宋体" w:hAnsi="宋体" w:eastAsia="宋体" w:cs="宋体"/>
          <w:color w:val="000000"/>
          <w:spacing w:val="0"/>
          <w:kern w:val="0"/>
          <w:position w:val="0"/>
          <w:sz w:val="21"/>
          <w:szCs w:val="21"/>
          <w:lang w:bidi="ar"/>
        </w:rPr>
        <mc:AlternateContent>
          <mc:Choice Requires="wps">
            <w:drawing>
              <wp:anchor distT="0" distB="0" distL="114300" distR="114300" simplePos="0" relativeHeight="251679744" behindDoc="0" locked="0" layoutInCell="0" allowOverlap="1">
                <wp:simplePos x="0" y="0"/>
                <wp:positionH relativeFrom="page">
                  <wp:posOffset>3016250</wp:posOffset>
                </wp:positionH>
                <wp:positionV relativeFrom="page">
                  <wp:posOffset>9278620</wp:posOffset>
                </wp:positionV>
                <wp:extent cx="68580" cy="90805"/>
                <wp:effectExtent l="0" t="0" r="7620" b="10795"/>
                <wp:wrapNone/>
                <wp:docPr id="86" name="任意多边形 565"/>
                <wp:cNvGraphicFramePr/>
                <a:graphic xmlns:a="http://schemas.openxmlformats.org/drawingml/2006/main">
                  <a:graphicData uri="http://schemas.microsoft.com/office/word/2010/wordprocessingShape">
                    <wps:wsp>
                      <wps:cNvSpPr/>
                      <wps:spPr>
                        <a:xfrm>
                          <a:off x="0" y="0"/>
                          <a:ext cx="68580" cy="90805"/>
                        </a:xfrm>
                        <a:custGeom>
                          <a:avLst/>
                          <a:gdLst>
                            <a:gd name="txL" fmla="*/ 0 w 108"/>
                            <a:gd name="txT" fmla="*/ 0 h 143"/>
                            <a:gd name="txR" fmla="*/ 108 w 108"/>
                            <a:gd name="txB" fmla="*/ 143 h 143"/>
                          </a:gdLst>
                          <a:ahLst/>
                          <a:cxnLst/>
                          <a:rect l="txL" t="txT" r="txR" b="txB"/>
                          <a:pathLst>
                            <a:path w="108" h="143">
                              <a:moveTo>
                                <a:pt x="40" y="76"/>
                              </a:moveTo>
                              <a:lnTo>
                                <a:pt x="40" y="116"/>
                              </a:lnTo>
                              <a:cubicBezTo>
                                <a:pt x="40" y="126"/>
                                <a:pt x="42" y="132"/>
                                <a:pt x="43" y="134"/>
                              </a:cubicBezTo>
                              <a:cubicBezTo>
                                <a:pt x="46" y="137"/>
                                <a:pt x="50" y="140"/>
                                <a:pt x="56" y="140"/>
                              </a:cubicBezTo>
                              <a:lnTo>
                                <a:pt x="60" y="140"/>
                              </a:lnTo>
                              <a:lnTo>
                                <a:pt x="60" y="142"/>
                              </a:lnTo>
                              <a:lnTo>
                                <a:pt x="0" y="142"/>
                              </a:lnTo>
                              <a:lnTo>
                                <a:pt x="0" y="140"/>
                              </a:lnTo>
                              <a:lnTo>
                                <a:pt x="6" y="140"/>
                              </a:lnTo>
                              <a:cubicBezTo>
                                <a:pt x="12" y="140"/>
                                <a:pt x="16" y="137"/>
                                <a:pt x="17" y="134"/>
                              </a:cubicBezTo>
                              <a:cubicBezTo>
                                <a:pt x="20" y="130"/>
                                <a:pt x="20" y="126"/>
                                <a:pt x="20" y="116"/>
                              </a:cubicBezTo>
                              <a:lnTo>
                                <a:pt x="20" y="26"/>
                              </a:lnTo>
                              <a:cubicBezTo>
                                <a:pt x="20" y="16"/>
                                <a:pt x="20" y="10"/>
                                <a:pt x="17" y="7"/>
                              </a:cubicBezTo>
                              <a:cubicBezTo>
                                <a:pt x="16" y="6"/>
                                <a:pt x="12" y="4"/>
                                <a:pt x="6" y="4"/>
                              </a:cubicBezTo>
                              <a:lnTo>
                                <a:pt x="0" y="4"/>
                              </a:lnTo>
                              <a:lnTo>
                                <a:pt x="0" y="0"/>
                              </a:lnTo>
                              <a:lnTo>
                                <a:pt x="52" y="0"/>
                              </a:lnTo>
                              <a:cubicBezTo>
                                <a:pt x="66" y="0"/>
                                <a:pt x="76" y="2"/>
                                <a:pt x="82" y="4"/>
                              </a:cubicBezTo>
                              <a:cubicBezTo>
                                <a:pt x="90" y="7"/>
                                <a:pt x="96" y="12"/>
                                <a:pt x="100" y="17"/>
                              </a:cubicBezTo>
                              <a:cubicBezTo>
                                <a:pt x="106" y="24"/>
                                <a:pt x="107" y="32"/>
                                <a:pt x="107" y="40"/>
                              </a:cubicBezTo>
                              <a:cubicBezTo>
                                <a:pt x="107" y="50"/>
                                <a:pt x="103" y="60"/>
                                <a:pt x="97" y="67"/>
                              </a:cubicBezTo>
                              <a:cubicBezTo>
                                <a:pt x="90" y="74"/>
                                <a:pt x="77" y="77"/>
                                <a:pt x="63" y="77"/>
                              </a:cubicBezTo>
                              <a:cubicBezTo>
                                <a:pt x="62" y="77"/>
                                <a:pt x="57" y="77"/>
                                <a:pt x="53" y="77"/>
                              </a:cubicBezTo>
                              <a:cubicBezTo>
                                <a:pt x="50" y="76"/>
                                <a:pt x="46" y="76"/>
                                <a:pt x="40" y="76"/>
                              </a:cubicBezTo>
                              <a:moveTo>
                                <a:pt x="40" y="70"/>
                              </a:moveTo>
                              <a:cubicBezTo>
                                <a:pt x="43" y="70"/>
                                <a:pt x="47" y="70"/>
                                <a:pt x="50" y="70"/>
                              </a:cubicBezTo>
                              <a:cubicBezTo>
                                <a:pt x="53" y="72"/>
                                <a:pt x="56" y="72"/>
                                <a:pt x="57" y="72"/>
                              </a:cubicBezTo>
                              <a:cubicBezTo>
                                <a:pt x="66" y="72"/>
                                <a:pt x="72" y="67"/>
                                <a:pt x="76" y="62"/>
                              </a:cubicBezTo>
                              <a:cubicBezTo>
                                <a:pt x="82" y="57"/>
                                <a:pt x="83" y="50"/>
                                <a:pt x="83" y="40"/>
                              </a:cubicBezTo>
                              <a:cubicBezTo>
                                <a:pt x="83" y="34"/>
                                <a:pt x="83" y="27"/>
                                <a:pt x="80" y="24"/>
                              </a:cubicBezTo>
                              <a:cubicBezTo>
                                <a:pt x="77" y="17"/>
                                <a:pt x="73" y="14"/>
                                <a:pt x="70" y="12"/>
                              </a:cubicBezTo>
                              <a:cubicBezTo>
                                <a:pt x="66" y="7"/>
                                <a:pt x="60" y="7"/>
                                <a:pt x="53" y="7"/>
                              </a:cubicBezTo>
                              <a:cubicBezTo>
                                <a:pt x="50" y="7"/>
                                <a:pt x="46" y="7"/>
                                <a:pt x="40" y="10"/>
                              </a:cubicBezTo>
                              <a:lnTo>
                                <a:pt x="40" y="70"/>
                              </a:lnTo>
                              <a:close/>
                            </a:path>
                          </a:pathLst>
                        </a:custGeom>
                        <a:solidFill>
                          <a:srgbClr val="B2B2B2"/>
                        </a:solidFill>
                        <a:ln>
                          <a:noFill/>
                        </a:ln>
                      </wps:spPr>
                      <wps:bodyPr wrap="square" upright="1"/>
                    </wps:wsp>
                  </a:graphicData>
                </a:graphic>
              </wp:anchor>
            </w:drawing>
          </mc:Choice>
          <mc:Fallback>
            <w:pict>
              <v:shape id="任意多边形 565" o:spid="_x0000_s1026" o:spt="100" style="position:absolute;left:0pt;margin-left:237.5pt;margin-top:730.6pt;height:7.15pt;width:5.4pt;mso-position-horizontal-relative:page;mso-position-vertical-relative:page;z-index:251679744;mso-width-relative:page;mso-height-relative:page;" fillcolor="#B2B2B2" filled="t" stroked="f" coordsize="108,143" o:allowincell="f" o:gfxdata="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" path="m40,76l40,116c40,126,42,132,43,134c46,137,50,140,56,140l60,140,60,142,0,142,0,140,6,140c12,140,16,137,17,134c20,130,20,126,20,116l20,26c20,16,20,10,17,7c16,6,12,4,6,4l0,4,0,0,52,0c66,0,76,2,82,4c90,7,96,12,100,17c106,24,107,32,107,40c107,50,103,60,97,67c90,74,77,77,63,77c62,77,57,77,53,77c50,76,46,76,40,76m40,70c43,70,47,70,50,70c53,72,56,72,57,72c66,72,72,67,76,62c82,57,83,50,83,40c83,34,83,27,80,24c77,17,73,14,70,12c66,7,60,7,53,7c50,7,46,7,40,10l40,70xe">
                <v:fill on="t" focussize="0,0"/>
                <v:stroke on="f"/>
                <v:imagedata o:title=""/>
                <o:lock v:ext="edit" aspectratio="f"/>
              </v:shape>
            </w:pict>
          </mc:Fallback>
        </mc:AlternateContent>
      </w:r>
      <w:r>
        <w:rPr>
          <w:rFonts w:hint="eastAsia" w:ascii="宋体" w:hAnsi="宋体" w:eastAsia="宋体" w:cs="宋体"/>
          <w:color w:val="000000"/>
          <w:spacing w:val="0"/>
          <w:kern w:val="0"/>
          <w:position w:val="0"/>
          <w:sz w:val="21"/>
          <w:szCs w:val="21"/>
          <w:lang w:bidi="ar"/>
        </w:rPr>
        <mc:AlternateContent>
          <mc:Choice Requires="wps">
            <w:drawing>
              <wp:anchor distT="0" distB="0" distL="114300" distR="114300" simplePos="0" relativeHeight="251689984" behindDoc="0" locked="0" layoutInCell="0" allowOverlap="1">
                <wp:simplePos x="0" y="0"/>
                <wp:positionH relativeFrom="page">
                  <wp:posOffset>2359660</wp:posOffset>
                </wp:positionH>
                <wp:positionV relativeFrom="page">
                  <wp:posOffset>9274810</wp:posOffset>
                </wp:positionV>
                <wp:extent cx="29845" cy="93980"/>
                <wp:effectExtent l="0" t="0" r="20955" b="7620"/>
                <wp:wrapNone/>
                <wp:docPr id="87" name="任意多边形 574"/>
                <wp:cNvGraphicFramePr/>
                <a:graphic xmlns:a="http://schemas.openxmlformats.org/drawingml/2006/main">
                  <a:graphicData uri="http://schemas.microsoft.com/office/word/2010/wordprocessingShape">
                    <wps:wsp>
                      <wps:cNvSpPr/>
                      <wps:spPr>
                        <a:xfrm>
                          <a:off x="0" y="0"/>
                          <a:ext cx="29845" cy="93980"/>
                        </a:xfrm>
                        <a:custGeom>
                          <a:avLst/>
                          <a:gdLst>
                            <a:gd name="txL" fmla="*/ 0 w 46"/>
                            <a:gd name="txT" fmla="*/ 0 h 148"/>
                            <a:gd name="txR" fmla="*/ 46 w 46"/>
                            <a:gd name="txB" fmla="*/ 148 h 148"/>
                          </a:gdLst>
                          <a:ahLst/>
                          <a:cxnLst/>
                          <a:rect l="txL" t="txT" r="txR" b="txB"/>
                          <a:pathLst>
                            <a:path w="46" h="148">
                              <a:moveTo>
                                <a:pt x="31" y="0"/>
                              </a:moveTo>
                              <a:lnTo>
                                <a:pt x="31" y="125"/>
                              </a:lnTo>
                              <a:cubicBezTo>
                                <a:pt x="31" y="132"/>
                                <a:pt x="31" y="137"/>
                                <a:pt x="33" y="140"/>
                              </a:cubicBezTo>
                              <a:cubicBezTo>
                                <a:pt x="33" y="142"/>
                                <a:pt x="36" y="142"/>
                                <a:pt x="36" y="143"/>
                              </a:cubicBezTo>
                              <a:cubicBezTo>
                                <a:pt x="37" y="143"/>
                                <a:pt x="41" y="145"/>
                                <a:pt x="46" y="145"/>
                              </a:cubicBezTo>
                              <a:lnTo>
                                <a:pt x="46" y="147"/>
                              </a:lnTo>
                              <a:lnTo>
                                <a:pt x="0" y="147"/>
                              </a:lnTo>
                              <a:lnTo>
                                <a:pt x="0" y="145"/>
                              </a:lnTo>
                              <a:cubicBezTo>
                                <a:pt x="3" y="145"/>
                                <a:pt x="7" y="143"/>
                                <a:pt x="10" y="143"/>
                              </a:cubicBezTo>
                              <a:cubicBezTo>
                                <a:pt x="10" y="142"/>
                                <a:pt x="11" y="142"/>
                                <a:pt x="13" y="140"/>
                              </a:cubicBezTo>
                              <a:cubicBezTo>
                                <a:pt x="13" y="137"/>
                                <a:pt x="13" y="132"/>
                                <a:pt x="13" y="125"/>
                              </a:cubicBezTo>
                              <a:lnTo>
                                <a:pt x="13" y="40"/>
                              </a:lnTo>
                              <a:cubicBezTo>
                                <a:pt x="13" y="30"/>
                                <a:pt x="13" y="22"/>
                                <a:pt x="13" y="20"/>
                              </a:cubicBezTo>
                              <a:cubicBezTo>
                                <a:pt x="13" y="17"/>
                                <a:pt x="11" y="15"/>
                                <a:pt x="11" y="13"/>
                              </a:cubicBezTo>
                              <a:cubicBezTo>
                                <a:pt x="10" y="13"/>
                                <a:pt x="10" y="13"/>
                                <a:pt x="7" y="13"/>
                              </a:cubicBezTo>
                              <a:cubicBezTo>
                                <a:pt x="6" y="13"/>
                                <a:pt x="3" y="13"/>
                                <a:pt x="1" y="13"/>
                              </a:cubicBezTo>
                              <a:lnTo>
                                <a:pt x="0" y="12"/>
                              </a:lnTo>
                              <a:lnTo>
                                <a:pt x="27" y="0"/>
                              </a:lnTo>
                              <a:lnTo>
                                <a:pt x="31" y="0"/>
                              </a:lnTo>
                              <a:close/>
                            </a:path>
                          </a:pathLst>
                        </a:custGeom>
                        <a:solidFill>
                          <a:srgbClr val="B2B2B2"/>
                        </a:solidFill>
                        <a:ln>
                          <a:noFill/>
                        </a:ln>
                      </wps:spPr>
                      <wps:bodyPr wrap="square" upright="1"/>
                    </wps:wsp>
                  </a:graphicData>
                </a:graphic>
              </wp:anchor>
            </w:drawing>
          </mc:Choice>
          <mc:Fallback>
            <w:pict>
              <v:shape id="任意多边形 574" o:spid="_x0000_s1026" o:spt="100" style="position:absolute;left:0pt;margin-left:185.8pt;margin-top:730.3pt;height:7.4pt;width:2.35pt;mso-position-horizontal-relative:page;mso-position-vertical-relative:page;z-index:251689984;mso-width-relative:page;mso-height-relative:page;" fillcolor="#B2B2B2" filled="t" stroked="f" coordsize="46,148" o:allowincell="f" o:gfxdata="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" path="m31,0l31,125c31,132,31,137,33,140c33,142,36,142,36,143c37,143,41,145,46,145l46,147,0,147,0,145c3,145,7,143,10,143c10,142,11,142,13,140c13,137,13,132,13,125l13,40c13,30,13,22,13,20c13,17,11,15,11,13c10,13,10,13,7,13c6,13,3,13,1,13l0,12,27,0,31,0xe">
                <v:fill on="t" focussize="0,0"/>
                <v:stroke on="f"/>
                <v:imagedata o:title=""/>
                <o:lock v:ext="edit" aspectratio="f"/>
              </v:shape>
            </w:pict>
          </mc:Fallback>
        </mc:AlternateContent>
      </w:r>
      <w:r>
        <w:rPr>
          <w:rFonts w:hint="eastAsia" w:ascii="宋体" w:hAnsi="宋体" w:eastAsia="宋体" w:cs="宋体"/>
          <w:color w:val="000000"/>
          <w:spacing w:val="0"/>
          <w:kern w:val="0"/>
          <w:position w:val="0"/>
          <w:sz w:val="21"/>
          <w:szCs w:val="21"/>
          <w:lang w:bidi="ar"/>
        </w:rPr>
        <mc:AlternateContent>
          <mc:Choice Requires="wps">
            <w:drawing>
              <wp:anchor distT="0" distB="0" distL="114300" distR="114300" simplePos="0" relativeHeight="251684864" behindDoc="0" locked="0" layoutInCell="0" allowOverlap="1">
                <wp:simplePos x="0" y="0"/>
                <wp:positionH relativeFrom="page">
                  <wp:posOffset>2513330</wp:posOffset>
                </wp:positionH>
                <wp:positionV relativeFrom="page">
                  <wp:posOffset>9274810</wp:posOffset>
                </wp:positionV>
                <wp:extent cx="31115" cy="93980"/>
                <wp:effectExtent l="0" t="0" r="19685" b="7620"/>
                <wp:wrapNone/>
                <wp:docPr id="88" name="任意多边形 575"/>
                <wp:cNvGraphicFramePr/>
                <a:graphic xmlns:a="http://schemas.openxmlformats.org/drawingml/2006/main">
                  <a:graphicData uri="http://schemas.microsoft.com/office/word/2010/wordprocessingShape">
                    <wps:wsp>
                      <wps:cNvSpPr/>
                      <wps:spPr>
                        <a:xfrm>
                          <a:off x="0" y="0"/>
                          <a:ext cx="31115" cy="93980"/>
                        </a:xfrm>
                        <a:custGeom>
                          <a:avLst/>
                          <a:gdLst>
                            <a:gd name="txL" fmla="*/ 0 w 49"/>
                            <a:gd name="txT" fmla="*/ 0 h 148"/>
                            <a:gd name="txR" fmla="*/ 49 w 49"/>
                            <a:gd name="txB" fmla="*/ 148 h 148"/>
                          </a:gdLst>
                          <a:ahLst/>
                          <a:cxnLst/>
                          <a:rect l="txL" t="txT" r="txR" b="txB"/>
                          <a:pathLst>
                            <a:path w="49" h="148">
                              <a:moveTo>
                                <a:pt x="32" y="0"/>
                              </a:moveTo>
                              <a:lnTo>
                                <a:pt x="32" y="125"/>
                              </a:lnTo>
                              <a:cubicBezTo>
                                <a:pt x="32" y="132"/>
                                <a:pt x="34" y="137"/>
                                <a:pt x="34" y="140"/>
                              </a:cubicBezTo>
                              <a:cubicBezTo>
                                <a:pt x="34" y="142"/>
                                <a:pt x="36" y="142"/>
                                <a:pt x="38" y="143"/>
                              </a:cubicBezTo>
                              <a:cubicBezTo>
                                <a:pt x="40" y="143"/>
                                <a:pt x="42" y="145"/>
                                <a:pt x="48" y="145"/>
                              </a:cubicBezTo>
                              <a:lnTo>
                                <a:pt x="48" y="147"/>
                              </a:lnTo>
                              <a:lnTo>
                                <a:pt x="0" y="147"/>
                              </a:lnTo>
                              <a:lnTo>
                                <a:pt x="0" y="145"/>
                              </a:lnTo>
                              <a:cubicBezTo>
                                <a:pt x="6" y="145"/>
                                <a:pt x="8" y="143"/>
                                <a:pt x="10" y="143"/>
                              </a:cubicBezTo>
                              <a:cubicBezTo>
                                <a:pt x="12" y="142"/>
                                <a:pt x="12" y="142"/>
                                <a:pt x="14" y="140"/>
                              </a:cubicBezTo>
                              <a:cubicBezTo>
                                <a:pt x="14" y="137"/>
                                <a:pt x="16" y="132"/>
                                <a:pt x="16" y="125"/>
                              </a:cubicBezTo>
                              <a:lnTo>
                                <a:pt x="16" y="40"/>
                              </a:lnTo>
                              <a:cubicBezTo>
                                <a:pt x="16" y="30"/>
                                <a:pt x="16" y="22"/>
                                <a:pt x="14" y="20"/>
                              </a:cubicBezTo>
                              <a:cubicBezTo>
                                <a:pt x="14" y="17"/>
                                <a:pt x="14" y="15"/>
                                <a:pt x="12" y="13"/>
                              </a:cubicBezTo>
                              <a:cubicBezTo>
                                <a:pt x="12" y="13"/>
                                <a:pt x="10" y="13"/>
                                <a:pt x="8" y="13"/>
                              </a:cubicBezTo>
                              <a:cubicBezTo>
                                <a:pt x="6" y="13"/>
                                <a:pt x="4" y="13"/>
                                <a:pt x="2" y="13"/>
                              </a:cubicBezTo>
                              <a:lnTo>
                                <a:pt x="0" y="12"/>
                              </a:lnTo>
                              <a:lnTo>
                                <a:pt x="28" y="0"/>
                              </a:lnTo>
                              <a:lnTo>
                                <a:pt x="32" y="0"/>
                              </a:lnTo>
                              <a:close/>
                            </a:path>
                          </a:pathLst>
                        </a:custGeom>
                        <a:solidFill>
                          <a:srgbClr val="B2B2B2"/>
                        </a:solidFill>
                        <a:ln>
                          <a:noFill/>
                        </a:ln>
                      </wps:spPr>
                      <wps:bodyPr wrap="square" upright="1"/>
                    </wps:wsp>
                  </a:graphicData>
                </a:graphic>
              </wp:anchor>
            </w:drawing>
          </mc:Choice>
          <mc:Fallback>
            <w:pict>
              <v:shape id="任意多边形 575" o:spid="_x0000_s1026" o:spt="100" style="position:absolute;left:0pt;margin-left:197.9pt;margin-top:730.3pt;height:7.4pt;width:2.45pt;mso-position-horizontal-relative:page;mso-position-vertical-relative:page;z-index:251684864;mso-width-relative:page;mso-height-relative:page;" fillcolor="#B2B2B2" filled="t" stroked="f" coordsize="49,148" o:allowincell="f" o:gfxdata="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" path="m32,0l32,125c32,132,34,137,34,140c34,142,36,142,38,143c40,143,42,145,48,145l48,147,0,147,0,145c6,145,8,143,10,143c12,142,12,142,14,140c14,137,16,132,16,125l16,40c16,30,16,22,14,20c14,17,14,15,12,13c12,13,10,13,8,13c6,13,4,13,2,13l0,12,28,0,32,0xe">
                <v:fill on="t" focussize="0,0"/>
                <v:stroke on="f"/>
                <v:imagedata o:title=""/>
                <o:lock v:ext="edit" aspectratio="f"/>
              </v:shape>
            </w:pict>
          </mc:Fallback>
        </mc:AlternateContent>
      </w:r>
      <w:r>
        <w:rPr>
          <w:rFonts w:hint="eastAsia" w:ascii="宋体" w:hAnsi="宋体" w:eastAsia="宋体" w:cs="宋体"/>
          <w:color w:val="000000"/>
          <w:spacing w:val="0"/>
          <w:kern w:val="0"/>
          <w:position w:val="0"/>
          <w:sz w:val="21"/>
          <w:szCs w:val="21"/>
          <w:lang w:bidi="ar"/>
        </w:rPr>
        <mc:AlternateContent>
          <mc:Choice Requires="wps">
            <w:drawing>
              <wp:anchor distT="0" distB="0" distL="114300" distR="114300" simplePos="0" relativeHeight="251682816" behindDoc="0" locked="0" layoutInCell="0" allowOverlap="1">
                <wp:simplePos x="0" y="0"/>
                <wp:positionH relativeFrom="page">
                  <wp:posOffset>2665730</wp:posOffset>
                </wp:positionH>
                <wp:positionV relativeFrom="page">
                  <wp:posOffset>9287510</wp:posOffset>
                </wp:positionV>
                <wp:extent cx="38100" cy="82550"/>
                <wp:effectExtent l="0" t="0" r="12700" b="19050"/>
                <wp:wrapNone/>
                <wp:docPr id="89" name="任意多边形 582"/>
                <wp:cNvGraphicFramePr/>
                <a:graphic xmlns:a="http://schemas.openxmlformats.org/drawingml/2006/main">
                  <a:graphicData uri="http://schemas.microsoft.com/office/word/2010/wordprocessingShape">
                    <wps:wsp>
                      <wps:cNvSpPr/>
                      <wps:spPr>
                        <a:xfrm>
                          <a:off x="0" y="0"/>
                          <a:ext cx="38100" cy="82550"/>
                        </a:xfrm>
                        <a:custGeom>
                          <a:avLst/>
                          <a:gdLst>
                            <a:gd name="txL" fmla="*/ 0 w 60"/>
                            <a:gd name="txT" fmla="*/ 0 h 130"/>
                            <a:gd name="txR" fmla="*/ 60 w 60"/>
                            <a:gd name="txB" fmla="*/ 130 h 130"/>
                          </a:gdLst>
                          <a:ahLst/>
                          <a:cxnLst/>
                          <a:rect l="txL" t="txT" r="txR" b="txB"/>
                          <a:pathLst>
                            <a:path w="60" h="130">
                              <a:moveTo>
                                <a:pt x="34" y="0"/>
                              </a:moveTo>
                              <a:lnTo>
                                <a:pt x="34" y="32"/>
                              </a:lnTo>
                              <a:lnTo>
                                <a:pt x="56" y="32"/>
                              </a:lnTo>
                              <a:lnTo>
                                <a:pt x="56" y="37"/>
                              </a:lnTo>
                              <a:lnTo>
                                <a:pt x="34" y="37"/>
                              </a:lnTo>
                              <a:lnTo>
                                <a:pt x="34" y="102"/>
                              </a:lnTo>
                              <a:cubicBezTo>
                                <a:pt x="34" y="107"/>
                                <a:pt x="34" y="113"/>
                                <a:pt x="36" y="115"/>
                              </a:cubicBezTo>
                              <a:cubicBezTo>
                                <a:pt x="38" y="117"/>
                                <a:pt x="40" y="117"/>
                                <a:pt x="42" y="117"/>
                              </a:cubicBezTo>
                              <a:cubicBezTo>
                                <a:pt x="46" y="117"/>
                                <a:pt x="48" y="117"/>
                                <a:pt x="50" y="115"/>
                              </a:cubicBezTo>
                              <a:cubicBezTo>
                                <a:pt x="52" y="115"/>
                                <a:pt x="52" y="113"/>
                                <a:pt x="54" y="112"/>
                              </a:cubicBezTo>
                              <a:lnTo>
                                <a:pt x="60" y="112"/>
                              </a:lnTo>
                              <a:cubicBezTo>
                                <a:pt x="56" y="117"/>
                                <a:pt x="54" y="122"/>
                                <a:pt x="48" y="125"/>
                              </a:cubicBezTo>
                              <a:cubicBezTo>
                                <a:pt x="44" y="130"/>
                                <a:pt x="40" y="130"/>
                                <a:pt x="36" y="130"/>
                              </a:cubicBezTo>
                              <a:cubicBezTo>
                                <a:pt x="32" y="130"/>
                                <a:pt x="28" y="130"/>
                                <a:pt x="26" y="127"/>
                              </a:cubicBezTo>
                              <a:cubicBezTo>
                                <a:pt x="22" y="125"/>
                                <a:pt x="20" y="123"/>
                                <a:pt x="18" y="120"/>
                              </a:cubicBezTo>
                              <a:cubicBezTo>
                                <a:pt x="18" y="115"/>
                                <a:pt x="16" y="112"/>
                                <a:pt x="16" y="103"/>
                              </a:cubicBezTo>
                              <a:lnTo>
                                <a:pt x="16" y="37"/>
                              </a:lnTo>
                              <a:lnTo>
                                <a:pt x="0" y="37"/>
                              </a:lnTo>
                              <a:lnTo>
                                <a:pt x="0" y="35"/>
                              </a:lnTo>
                              <a:cubicBezTo>
                                <a:pt x="4" y="33"/>
                                <a:pt x="8" y="32"/>
                                <a:pt x="14" y="27"/>
                              </a:cubicBezTo>
                              <a:cubicBezTo>
                                <a:pt x="18" y="23"/>
                                <a:pt x="22" y="20"/>
                                <a:pt x="24" y="13"/>
                              </a:cubicBezTo>
                              <a:cubicBezTo>
                                <a:pt x="26" y="12"/>
                                <a:pt x="28" y="7"/>
                                <a:pt x="32" y="0"/>
                              </a:cubicBezTo>
                              <a:lnTo>
                                <a:pt x="34" y="0"/>
                              </a:lnTo>
                              <a:close/>
                            </a:path>
                          </a:pathLst>
                        </a:custGeom>
                        <a:solidFill>
                          <a:srgbClr val="B2B2B2"/>
                        </a:solidFill>
                        <a:ln>
                          <a:noFill/>
                        </a:ln>
                      </wps:spPr>
                      <wps:bodyPr wrap="square" upright="1"/>
                    </wps:wsp>
                  </a:graphicData>
                </a:graphic>
              </wp:anchor>
            </w:drawing>
          </mc:Choice>
          <mc:Fallback>
            <w:pict>
              <v:shape id="任意多边形 582" o:spid="_x0000_s1026" o:spt="100" style="position:absolute;left:0pt;margin-left:209.9pt;margin-top:731.3pt;height:6.5pt;width:3pt;mso-position-horizontal-relative:page;mso-position-vertical-relative:page;z-index:251682816;mso-width-relative:page;mso-height-relative:page;" fillcolor="#B2B2B2" filled="t" stroked="f" coordsize="60,130" o:allowincell="f" o:gfxdata="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" path="m34,0l34,32,56,32,56,37,34,37,34,102c34,107,34,113,36,115c38,117,40,117,42,117c46,117,48,117,50,115c52,115,52,113,54,112l60,112c56,117,54,122,48,125c44,130,40,130,36,130c32,130,28,130,26,127c22,125,20,123,18,120c18,115,16,112,16,103l16,37,0,37,0,35c4,33,8,32,14,27c18,23,22,20,24,13c26,12,28,7,32,0l34,0xe">
                <v:fill on="t" focussize="0,0"/>
                <v:stroke on="f"/>
                <v:imagedata o:title=""/>
                <o:lock v:ext="edit" aspectratio="f"/>
              </v:shape>
            </w:pict>
          </mc:Fallback>
        </mc:AlternateContent>
      </w:r>
      <w:r>
        <w:rPr>
          <w:rFonts w:hint="eastAsia" w:ascii="宋体" w:hAnsi="宋体" w:eastAsia="宋体" w:cs="宋体"/>
          <w:color w:val="000000"/>
          <w:spacing w:val="0"/>
          <w:kern w:val="0"/>
          <w:position w:val="0"/>
          <w:sz w:val="21"/>
          <w:szCs w:val="21"/>
          <w:lang w:bidi="ar"/>
        </w:rPr>
        <mc:AlternateContent>
          <mc:Choice Requires="wps">
            <w:drawing>
              <wp:anchor distT="0" distB="0" distL="114300" distR="114300" simplePos="0" relativeHeight="251686912" behindDoc="0" locked="0" layoutInCell="0" allowOverlap="1">
                <wp:simplePos x="0" y="0"/>
                <wp:positionH relativeFrom="page">
                  <wp:posOffset>3425190</wp:posOffset>
                </wp:positionH>
                <wp:positionV relativeFrom="page">
                  <wp:posOffset>9274810</wp:posOffset>
                </wp:positionV>
                <wp:extent cx="30480" cy="93980"/>
                <wp:effectExtent l="0" t="0" r="20320" b="7620"/>
                <wp:wrapNone/>
                <wp:docPr id="92" name="任意多边形 587"/>
                <wp:cNvGraphicFramePr/>
                <a:graphic xmlns:a="http://schemas.openxmlformats.org/drawingml/2006/main">
                  <a:graphicData uri="http://schemas.microsoft.com/office/word/2010/wordprocessingShape">
                    <wps:wsp>
                      <wps:cNvSpPr/>
                      <wps:spPr>
                        <a:xfrm>
                          <a:off x="0" y="0"/>
                          <a:ext cx="30480" cy="93980"/>
                        </a:xfrm>
                        <a:custGeom>
                          <a:avLst/>
                          <a:gdLst>
                            <a:gd name="txL" fmla="*/ 0 w 48"/>
                            <a:gd name="txT" fmla="*/ 0 h 148"/>
                            <a:gd name="txR" fmla="*/ 48 w 48"/>
                            <a:gd name="txB" fmla="*/ 148 h 148"/>
                          </a:gdLst>
                          <a:ahLst/>
                          <a:cxnLst/>
                          <a:rect l="txL" t="txT" r="txR" b="txB"/>
                          <a:pathLst>
                            <a:path w="48" h="148">
                              <a:moveTo>
                                <a:pt x="23" y="0"/>
                              </a:moveTo>
                              <a:cubicBezTo>
                                <a:pt x="25" y="0"/>
                                <a:pt x="27" y="2"/>
                                <a:pt x="30" y="3"/>
                              </a:cubicBezTo>
                              <a:cubicBezTo>
                                <a:pt x="31" y="5"/>
                                <a:pt x="33" y="7"/>
                                <a:pt x="33" y="10"/>
                              </a:cubicBezTo>
                              <a:cubicBezTo>
                                <a:pt x="33" y="13"/>
                                <a:pt x="31" y="15"/>
                                <a:pt x="30" y="17"/>
                              </a:cubicBezTo>
                              <a:cubicBezTo>
                                <a:pt x="27" y="20"/>
                                <a:pt x="25" y="22"/>
                                <a:pt x="23" y="22"/>
                              </a:cubicBezTo>
                              <a:cubicBezTo>
                                <a:pt x="20" y="22"/>
                                <a:pt x="17" y="20"/>
                                <a:pt x="15" y="17"/>
                              </a:cubicBezTo>
                              <a:cubicBezTo>
                                <a:pt x="13" y="15"/>
                                <a:pt x="11" y="13"/>
                                <a:pt x="11" y="10"/>
                              </a:cubicBezTo>
                              <a:cubicBezTo>
                                <a:pt x="11" y="7"/>
                                <a:pt x="13" y="5"/>
                                <a:pt x="15" y="3"/>
                              </a:cubicBezTo>
                              <a:cubicBezTo>
                                <a:pt x="17" y="2"/>
                                <a:pt x="20" y="0"/>
                                <a:pt x="23" y="0"/>
                              </a:cubicBezTo>
                              <a:moveTo>
                                <a:pt x="31" y="50"/>
                              </a:moveTo>
                              <a:lnTo>
                                <a:pt x="31" y="125"/>
                              </a:lnTo>
                              <a:cubicBezTo>
                                <a:pt x="31" y="132"/>
                                <a:pt x="33" y="137"/>
                                <a:pt x="33" y="140"/>
                              </a:cubicBezTo>
                              <a:cubicBezTo>
                                <a:pt x="33" y="142"/>
                                <a:pt x="35" y="142"/>
                                <a:pt x="37" y="143"/>
                              </a:cubicBezTo>
                              <a:cubicBezTo>
                                <a:pt x="40" y="143"/>
                                <a:pt x="41" y="145"/>
                                <a:pt x="47" y="145"/>
                              </a:cubicBezTo>
                              <a:lnTo>
                                <a:pt x="47" y="147"/>
                              </a:lnTo>
                              <a:lnTo>
                                <a:pt x="0" y="147"/>
                              </a:lnTo>
                              <a:lnTo>
                                <a:pt x="0" y="145"/>
                              </a:lnTo>
                              <a:cubicBezTo>
                                <a:pt x="5" y="145"/>
                                <a:pt x="7" y="143"/>
                                <a:pt x="10" y="143"/>
                              </a:cubicBezTo>
                              <a:cubicBezTo>
                                <a:pt x="11" y="142"/>
                                <a:pt x="11" y="142"/>
                                <a:pt x="13" y="140"/>
                              </a:cubicBezTo>
                              <a:cubicBezTo>
                                <a:pt x="13" y="137"/>
                                <a:pt x="15" y="132"/>
                                <a:pt x="15" y="125"/>
                              </a:cubicBezTo>
                              <a:lnTo>
                                <a:pt x="15" y="90"/>
                              </a:lnTo>
                              <a:cubicBezTo>
                                <a:pt x="15" y="77"/>
                                <a:pt x="13" y="72"/>
                                <a:pt x="13" y="67"/>
                              </a:cubicBezTo>
                              <a:cubicBezTo>
                                <a:pt x="13" y="65"/>
                                <a:pt x="13" y="63"/>
                                <a:pt x="11" y="63"/>
                              </a:cubicBezTo>
                              <a:cubicBezTo>
                                <a:pt x="11" y="63"/>
                                <a:pt x="10" y="62"/>
                                <a:pt x="7" y="62"/>
                              </a:cubicBezTo>
                              <a:cubicBezTo>
                                <a:pt x="5" y="62"/>
                                <a:pt x="3" y="63"/>
                                <a:pt x="0" y="63"/>
                              </a:cubicBezTo>
                              <a:lnTo>
                                <a:pt x="0" y="62"/>
                              </a:lnTo>
                              <a:lnTo>
                                <a:pt x="27" y="50"/>
                              </a:lnTo>
                              <a:lnTo>
                                <a:pt x="31" y="50"/>
                              </a:lnTo>
                              <a:close/>
                            </a:path>
                          </a:pathLst>
                        </a:custGeom>
                        <a:solidFill>
                          <a:srgbClr val="B2B2B2"/>
                        </a:solidFill>
                        <a:ln>
                          <a:noFill/>
                        </a:ln>
                      </wps:spPr>
                      <wps:bodyPr wrap="square" upright="1"/>
                    </wps:wsp>
                  </a:graphicData>
                </a:graphic>
              </wp:anchor>
            </w:drawing>
          </mc:Choice>
          <mc:Fallback>
            <w:pict>
              <v:shape id="任意多边形 587" o:spid="_x0000_s1026" o:spt="100" style="position:absolute;left:0pt;margin-left:269.7pt;margin-top:730.3pt;height:7.4pt;width:2.4pt;mso-position-horizontal-relative:page;mso-position-vertical-relative:page;z-index:251686912;mso-width-relative:page;mso-height-relative:page;" fillcolor="#B2B2B2" filled="t" stroked="f" coordsize="48,148" o:allowincell="f" o:gfxdata="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" path="m23,0c25,0,27,2,30,3c31,5,33,7,33,10c33,13,31,15,30,17c27,20,25,22,23,22c20,22,17,20,15,17c13,15,11,13,11,10c11,7,13,5,15,3c17,2,20,0,23,0m31,50l31,125c31,132,33,137,33,140c33,142,35,142,37,143c40,143,41,145,47,145l47,147,0,147,0,145c5,145,7,143,10,143c11,142,11,142,13,140c13,137,15,132,15,125l15,90c15,77,13,72,13,67c13,65,13,63,11,63c11,63,10,62,7,62c5,62,3,63,0,63l0,62,27,50,31,50xe">
                <v:fill on="t" focussize="0,0"/>
                <v:stroke on="f"/>
                <v:imagedata o:title=""/>
                <o:lock v:ext="edit" aspectratio="f"/>
              </v:shape>
            </w:pict>
          </mc:Fallback>
        </mc:AlternateContent>
      </w:r>
      <w:r>
        <w:rPr>
          <w:rFonts w:hint="eastAsia" w:ascii="宋体" w:hAnsi="宋体" w:eastAsia="宋体" w:cs="宋体"/>
          <w:color w:val="000000"/>
          <w:spacing w:val="0"/>
          <w:kern w:val="0"/>
          <w:position w:val="0"/>
          <w:sz w:val="21"/>
          <w:szCs w:val="21"/>
          <w:lang w:bidi="ar"/>
        </w:rPr>
        <mc:AlternateContent>
          <mc:Choice Requires="wps">
            <w:drawing>
              <wp:anchor distT="0" distB="0" distL="114300" distR="114300" simplePos="0" relativeHeight="251681792" behindDoc="0" locked="0" layoutInCell="0" allowOverlap="1">
                <wp:simplePos x="0" y="0"/>
                <wp:positionH relativeFrom="page">
                  <wp:posOffset>3793490</wp:posOffset>
                </wp:positionH>
                <wp:positionV relativeFrom="page">
                  <wp:posOffset>9307830</wp:posOffset>
                </wp:positionV>
                <wp:extent cx="67310" cy="62230"/>
                <wp:effectExtent l="0" t="0" r="8890" b="13970"/>
                <wp:wrapNone/>
                <wp:docPr id="90" name="任意多边形 589"/>
                <wp:cNvGraphicFramePr/>
                <a:graphic xmlns:a="http://schemas.openxmlformats.org/drawingml/2006/main">
                  <a:graphicData uri="http://schemas.microsoft.com/office/word/2010/wordprocessingShape">
                    <wps:wsp>
                      <wps:cNvSpPr/>
                      <wps:spPr>
                        <a:xfrm>
                          <a:off x="0" y="0"/>
                          <a:ext cx="67310" cy="62230"/>
                        </a:xfrm>
                        <a:custGeom>
                          <a:avLst/>
                          <a:gdLst>
                            <a:gd name="txL" fmla="*/ 0 w 106"/>
                            <a:gd name="txT" fmla="*/ 0 h 98"/>
                            <a:gd name="txR" fmla="*/ 106 w 106"/>
                            <a:gd name="txB" fmla="*/ 98 h 98"/>
                          </a:gdLst>
                          <a:ahLst/>
                          <a:cxnLst/>
                          <a:rect l="txL" t="txT" r="txR" b="txB"/>
                          <a:pathLst>
                            <a:path w="106" h="98">
                              <a:moveTo>
                                <a:pt x="90" y="0"/>
                              </a:moveTo>
                              <a:lnTo>
                                <a:pt x="90" y="57"/>
                              </a:lnTo>
                              <a:cubicBezTo>
                                <a:pt x="90" y="70"/>
                                <a:pt x="90" y="75"/>
                                <a:pt x="90" y="80"/>
                              </a:cubicBezTo>
                              <a:cubicBezTo>
                                <a:pt x="91" y="81"/>
                                <a:pt x="91" y="83"/>
                                <a:pt x="93" y="83"/>
                              </a:cubicBezTo>
                              <a:cubicBezTo>
                                <a:pt x="93" y="85"/>
                                <a:pt x="95" y="85"/>
                                <a:pt x="97" y="85"/>
                              </a:cubicBezTo>
                              <a:cubicBezTo>
                                <a:pt x="100" y="85"/>
                                <a:pt x="101" y="85"/>
                                <a:pt x="103" y="83"/>
                              </a:cubicBezTo>
                              <a:lnTo>
                                <a:pt x="105" y="85"/>
                              </a:lnTo>
                              <a:lnTo>
                                <a:pt x="77" y="97"/>
                              </a:lnTo>
                              <a:lnTo>
                                <a:pt x="71" y="97"/>
                              </a:lnTo>
                              <a:lnTo>
                                <a:pt x="71" y="80"/>
                              </a:lnTo>
                              <a:cubicBezTo>
                                <a:pt x="63" y="87"/>
                                <a:pt x="57" y="93"/>
                                <a:pt x="53" y="95"/>
                              </a:cubicBezTo>
                              <a:cubicBezTo>
                                <a:pt x="50" y="97"/>
                                <a:pt x="43" y="97"/>
                                <a:pt x="40" y="97"/>
                              </a:cubicBezTo>
                              <a:cubicBezTo>
                                <a:pt x="33" y="97"/>
                                <a:pt x="30" y="97"/>
                                <a:pt x="25" y="93"/>
                              </a:cubicBezTo>
                              <a:cubicBezTo>
                                <a:pt x="21" y="90"/>
                                <a:pt x="20" y="85"/>
                                <a:pt x="17" y="81"/>
                              </a:cubicBezTo>
                              <a:cubicBezTo>
                                <a:pt x="15" y="77"/>
                                <a:pt x="15" y="70"/>
                                <a:pt x="15" y="61"/>
                              </a:cubicBezTo>
                              <a:lnTo>
                                <a:pt x="15" y="17"/>
                              </a:lnTo>
                              <a:cubicBezTo>
                                <a:pt x="15" y="13"/>
                                <a:pt x="13" y="10"/>
                                <a:pt x="13" y="7"/>
                              </a:cubicBezTo>
                              <a:cubicBezTo>
                                <a:pt x="11" y="5"/>
                                <a:pt x="11" y="5"/>
                                <a:pt x="10" y="3"/>
                              </a:cubicBezTo>
                              <a:cubicBezTo>
                                <a:pt x="7" y="3"/>
                                <a:pt x="3" y="1"/>
                                <a:pt x="0" y="1"/>
                              </a:cubicBezTo>
                              <a:lnTo>
                                <a:pt x="0" y="0"/>
                              </a:lnTo>
                              <a:lnTo>
                                <a:pt x="31" y="0"/>
                              </a:lnTo>
                              <a:lnTo>
                                <a:pt x="31" y="63"/>
                              </a:lnTo>
                              <a:cubicBezTo>
                                <a:pt x="31" y="73"/>
                                <a:pt x="33" y="80"/>
                                <a:pt x="37" y="81"/>
                              </a:cubicBezTo>
                              <a:cubicBezTo>
                                <a:pt x="40" y="85"/>
                                <a:pt x="43" y="85"/>
                                <a:pt x="47" y="85"/>
                              </a:cubicBezTo>
                              <a:cubicBezTo>
                                <a:pt x="51" y="85"/>
                                <a:pt x="55" y="85"/>
                                <a:pt x="57" y="83"/>
                              </a:cubicBezTo>
                              <a:cubicBezTo>
                                <a:pt x="61" y="81"/>
                                <a:pt x="67" y="77"/>
                                <a:pt x="71" y="71"/>
                              </a:cubicBezTo>
                              <a:lnTo>
                                <a:pt x="71" y="17"/>
                              </a:lnTo>
                              <a:cubicBezTo>
                                <a:pt x="71" y="11"/>
                                <a:pt x="71" y="7"/>
                                <a:pt x="70" y="5"/>
                              </a:cubicBezTo>
                              <a:cubicBezTo>
                                <a:pt x="67" y="3"/>
                                <a:pt x="63" y="1"/>
                                <a:pt x="57" y="1"/>
                              </a:cubicBezTo>
                              <a:lnTo>
                                <a:pt x="57" y="0"/>
                              </a:lnTo>
                              <a:lnTo>
                                <a:pt x="90" y="0"/>
                              </a:lnTo>
                              <a:close/>
                            </a:path>
                          </a:pathLst>
                        </a:custGeom>
                        <a:solidFill>
                          <a:srgbClr val="B2B2B2"/>
                        </a:solidFill>
                        <a:ln>
                          <a:noFill/>
                        </a:ln>
                      </wps:spPr>
                      <wps:bodyPr wrap="square" upright="1"/>
                    </wps:wsp>
                  </a:graphicData>
                </a:graphic>
              </wp:anchor>
            </w:drawing>
          </mc:Choice>
          <mc:Fallback>
            <w:pict>
              <v:shape id="任意多边形 589" o:spid="_x0000_s1026" o:spt="100" style="position:absolute;left:0pt;margin-left:298.7pt;margin-top:732.9pt;height:4.9pt;width:5.3pt;mso-position-horizontal-relative:page;mso-position-vertical-relative:page;z-index:251681792;mso-width-relative:page;mso-height-relative:page;" fillcolor="#B2B2B2" filled="t" stroked="f" coordsize="106,98" o:allowincell="f" o:gfxdata="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" path="m90,0l90,57c90,70,90,75,90,80c91,81,91,83,93,83c93,85,95,85,97,85c100,85,101,85,103,83l105,85,77,97,71,97,71,80c63,87,57,93,53,95c50,97,43,97,40,97c33,97,30,97,25,93c21,90,20,85,17,81c15,77,15,70,15,61l15,17c15,13,13,10,13,7c11,5,11,5,10,3c7,3,3,1,0,1l0,0,31,0,31,63c31,73,33,80,37,81c40,85,43,85,47,85c51,85,55,85,57,83c61,81,67,77,71,71l71,17c71,11,71,7,70,5c67,3,63,1,57,1l57,0,90,0xe">
                <v:fill on="t" focussize="0,0"/>
                <v:stroke on="f"/>
                <v:imagedata o:title=""/>
                <o:lock v:ext="edit" aspectratio="f"/>
              </v:shape>
            </w:pict>
          </mc:Fallback>
        </mc:AlternateContent>
      </w:r>
      <w:r>
        <w:rPr>
          <w:rFonts w:hint="eastAsia" w:ascii="宋体" w:hAnsi="宋体" w:eastAsia="宋体" w:cs="宋体"/>
          <w:color w:val="000000"/>
          <w:spacing w:val="0"/>
          <w:kern w:val="0"/>
          <w:position w:val="0"/>
          <w:sz w:val="21"/>
          <w:szCs w:val="21"/>
          <w:lang w:bidi="ar"/>
        </w:rPr>
        <mc:AlternateContent>
          <mc:Choice Requires="wps">
            <w:drawing>
              <wp:anchor distT="0" distB="0" distL="114300" distR="114300" simplePos="0" relativeHeight="251680768" behindDoc="0" locked="0" layoutInCell="0" allowOverlap="1">
                <wp:simplePos x="0" y="0"/>
                <wp:positionH relativeFrom="page">
                  <wp:posOffset>2815590</wp:posOffset>
                </wp:positionH>
                <wp:positionV relativeFrom="page">
                  <wp:posOffset>9306560</wp:posOffset>
                </wp:positionV>
                <wp:extent cx="67945" cy="62230"/>
                <wp:effectExtent l="0" t="0" r="8255" b="13970"/>
                <wp:wrapNone/>
                <wp:docPr id="91" name="任意多边形 592"/>
                <wp:cNvGraphicFramePr/>
                <a:graphic xmlns:a="http://schemas.openxmlformats.org/drawingml/2006/main">
                  <a:graphicData uri="http://schemas.microsoft.com/office/word/2010/wordprocessingShape">
                    <wps:wsp>
                      <wps:cNvSpPr/>
                      <wps:spPr>
                        <a:xfrm>
                          <a:off x="0" y="0"/>
                          <a:ext cx="67945" cy="62230"/>
                        </a:xfrm>
                        <a:custGeom>
                          <a:avLst/>
                          <a:gdLst>
                            <a:gd name="txL" fmla="*/ 0 w 106"/>
                            <a:gd name="txT" fmla="*/ 0 h 98"/>
                            <a:gd name="txR" fmla="*/ 106 w 106"/>
                            <a:gd name="txB" fmla="*/ 98 h 98"/>
                          </a:gdLst>
                          <a:ahLst/>
                          <a:cxnLst/>
                          <a:rect l="txL" t="txT" r="txR" b="txB"/>
                          <a:pathLst>
                            <a:path w="106" h="98">
                              <a:moveTo>
                                <a:pt x="33" y="17"/>
                              </a:moveTo>
                              <a:cubicBezTo>
                                <a:pt x="46" y="5"/>
                                <a:pt x="56" y="0"/>
                                <a:pt x="66" y="0"/>
                              </a:cubicBezTo>
                              <a:cubicBezTo>
                                <a:pt x="72" y="0"/>
                                <a:pt x="76" y="0"/>
                                <a:pt x="80" y="3"/>
                              </a:cubicBezTo>
                              <a:cubicBezTo>
                                <a:pt x="83" y="5"/>
                                <a:pt x="86" y="10"/>
                                <a:pt x="88" y="15"/>
                              </a:cubicBezTo>
                              <a:cubicBezTo>
                                <a:pt x="90" y="20"/>
                                <a:pt x="92" y="27"/>
                                <a:pt x="92" y="35"/>
                              </a:cubicBezTo>
                              <a:lnTo>
                                <a:pt x="92" y="75"/>
                              </a:lnTo>
                              <a:cubicBezTo>
                                <a:pt x="92" y="83"/>
                                <a:pt x="92" y="87"/>
                                <a:pt x="92" y="90"/>
                              </a:cubicBezTo>
                              <a:cubicBezTo>
                                <a:pt x="93" y="92"/>
                                <a:pt x="93" y="92"/>
                                <a:pt x="96" y="93"/>
                              </a:cubicBezTo>
                              <a:cubicBezTo>
                                <a:pt x="98" y="93"/>
                                <a:pt x="102" y="95"/>
                                <a:pt x="106" y="95"/>
                              </a:cubicBezTo>
                              <a:lnTo>
                                <a:pt x="106" y="97"/>
                              </a:lnTo>
                              <a:lnTo>
                                <a:pt x="60" y="97"/>
                              </a:lnTo>
                              <a:lnTo>
                                <a:pt x="60" y="95"/>
                              </a:lnTo>
                              <a:lnTo>
                                <a:pt x="62" y="95"/>
                              </a:lnTo>
                              <a:cubicBezTo>
                                <a:pt x="66" y="95"/>
                                <a:pt x="68" y="93"/>
                                <a:pt x="70" y="93"/>
                              </a:cubicBezTo>
                              <a:cubicBezTo>
                                <a:pt x="72" y="92"/>
                                <a:pt x="72" y="90"/>
                                <a:pt x="73" y="85"/>
                              </a:cubicBezTo>
                              <a:cubicBezTo>
                                <a:pt x="73" y="85"/>
                                <a:pt x="73" y="82"/>
                                <a:pt x="73" y="75"/>
                              </a:cubicBezTo>
                              <a:lnTo>
                                <a:pt x="73" y="35"/>
                              </a:lnTo>
                              <a:cubicBezTo>
                                <a:pt x="73" y="27"/>
                                <a:pt x="72" y="22"/>
                                <a:pt x="70" y="17"/>
                              </a:cubicBezTo>
                              <a:cubicBezTo>
                                <a:pt x="68" y="13"/>
                                <a:pt x="63" y="12"/>
                                <a:pt x="58" y="12"/>
                              </a:cubicBezTo>
                              <a:cubicBezTo>
                                <a:pt x="50" y="12"/>
                                <a:pt x="42" y="15"/>
                                <a:pt x="33" y="25"/>
                              </a:cubicBezTo>
                              <a:lnTo>
                                <a:pt x="33" y="75"/>
                              </a:lnTo>
                              <a:cubicBezTo>
                                <a:pt x="33" y="83"/>
                                <a:pt x="33" y="87"/>
                                <a:pt x="36" y="90"/>
                              </a:cubicBezTo>
                              <a:cubicBezTo>
                                <a:pt x="36" y="92"/>
                                <a:pt x="38" y="92"/>
                                <a:pt x="38" y="93"/>
                              </a:cubicBezTo>
                              <a:cubicBezTo>
                                <a:pt x="40" y="93"/>
                                <a:pt x="43" y="95"/>
                                <a:pt x="48" y="95"/>
                              </a:cubicBezTo>
                              <a:lnTo>
                                <a:pt x="48" y="97"/>
                              </a:lnTo>
                              <a:lnTo>
                                <a:pt x="2" y="97"/>
                              </a:lnTo>
                              <a:lnTo>
                                <a:pt x="2" y="95"/>
                              </a:lnTo>
                              <a:lnTo>
                                <a:pt x="3" y="95"/>
                              </a:lnTo>
                              <a:cubicBezTo>
                                <a:pt x="10" y="95"/>
                                <a:pt x="12" y="93"/>
                                <a:pt x="13" y="92"/>
                              </a:cubicBezTo>
                              <a:cubicBezTo>
                                <a:pt x="16" y="87"/>
                                <a:pt x="16" y="83"/>
                                <a:pt x="16" y="75"/>
                              </a:cubicBezTo>
                              <a:lnTo>
                                <a:pt x="16" y="40"/>
                              </a:lnTo>
                              <a:cubicBezTo>
                                <a:pt x="16" y="27"/>
                                <a:pt x="16" y="22"/>
                                <a:pt x="16" y="17"/>
                              </a:cubicBezTo>
                              <a:cubicBezTo>
                                <a:pt x="16" y="15"/>
                                <a:pt x="13" y="13"/>
                                <a:pt x="13" y="13"/>
                              </a:cubicBezTo>
                              <a:cubicBezTo>
                                <a:pt x="12" y="13"/>
                                <a:pt x="10" y="12"/>
                                <a:pt x="10" y="12"/>
                              </a:cubicBezTo>
                              <a:cubicBezTo>
                                <a:pt x="8" y="12"/>
                                <a:pt x="3" y="13"/>
                                <a:pt x="2" y="13"/>
                              </a:cubicBezTo>
                              <a:lnTo>
                                <a:pt x="0" y="12"/>
                              </a:lnTo>
                              <a:lnTo>
                                <a:pt x="30" y="0"/>
                              </a:lnTo>
                              <a:lnTo>
                                <a:pt x="33" y="0"/>
                              </a:lnTo>
                              <a:lnTo>
                                <a:pt x="33" y="17"/>
                              </a:lnTo>
                              <a:close/>
                            </a:path>
                          </a:pathLst>
                        </a:custGeom>
                        <a:solidFill>
                          <a:srgbClr val="B2B2B2"/>
                        </a:solidFill>
                        <a:ln>
                          <a:noFill/>
                        </a:ln>
                      </wps:spPr>
                      <wps:bodyPr wrap="square" upright="1"/>
                    </wps:wsp>
                  </a:graphicData>
                </a:graphic>
              </wp:anchor>
            </w:drawing>
          </mc:Choice>
          <mc:Fallback>
            <w:pict>
              <v:shape id="任意多边形 592" o:spid="_x0000_s1026" o:spt="100" style="position:absolute;left:0pt;margin-left:221.7pt;margin-top:732.8pt;height:4.9pt;width:5.35pt;mso-position-horizontal-relative:page;mso-position-vertical-relative:page;z-index:251680768;mso-width-relative:page;mso-height-relative:page;" fillcolor="#B2B2B2" filled="t" stroked="f" coordsize="106,98" o:allowincell="f" o:gfxdata="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" path="m33,17c46,5,56,0,66,0c72,0,76,0,80,3c83,5,86,10,88,15c90,20,92,27,92,35l92,75c92,83,92,87,92,90c93,92,93,92,96,93c98,93,102,95,106,95l106,97,60,97,60,95,62,95c66,95,68,93,70,93c72,92,72,90,73,85c73,85,73,82,73,75l73,35c73,27,72,22,70,17c68,13,63,12,58,12c50,12,42,15,33,25l33,75c33,83,33,87,36,90c36,92,38,92,38,93c40,93,43,95,48,95l48,97,2,97,2,95,3,95c10,95,12,93,13,92c16,87,16,83,16,75l16,40c16,27,16,22,16,17c16,15,13,13,13,13c12,13,10,12,10,12c8,12,3,13,2,13l0,12,30,0,33,0,33,17xe">
                <v:fill on="t" focussize="0,0"/>
                <v:stroke on="f"/>
                <v:imagedata o:title=""/>
                <o:lock v:ext="edit" aspectratio="f"/>
              </v:shape>
            </w:pict>
          </mc:Fallback>
        </mc:AlternateContent>
      </w:r>
      <w:r>
        <w:rPr>
          <w:rFonts w:hint="eastAsia" w:ascii="宋体" w:hAnsi="宋体" w:eastAsia="宋体" w:cs="宋体"/>
          <w:color w:val="000000"/>
          <w:spacing w:val="0"/>
          <w:kern w:val="0"/>
          <w:position w:val="0"/>
          <w:sz w:val="21"/>
          <w:szCs w:val="21"/>
          <w:lang w:bidi="ar"/>
        </w:rPr>
        <mc:AlternateContent>
          <mc:Choice Requires="wps">
            <w:drawing>
              <wp:anchor distT="0" distB="0" distL="114300" distR="114300" simplePos="0" relativeHeight="251688960" behindDoc="0" locked="0" layoutInCell="0" allowOverlap="1">
                <wp:simplePos x="0" y="0"/>
                <wp:positionH relativeFrom="page">
                  <wp:posOffset>4182110</wp:posOffset>
                </wp:positionH>
                <wp:positionV relativeFrom="page">
                  <wp:posOffset>9274810</wp:posOffset>
                </wp:positionV>
                <wp:extent cx="29845" cy="93980"/>
                <wp:effectExtent l="0" t="0" r="20955" b="7620"/>
                <wp:wrapNone/>
                <wp:docPr id="93" name="任意多边形 591"/>
                <wp:cNvGraphicFramePr/>
                <a:graphic xmlns:a="http://schemas.openxmlformats.org/drawingml/2006/main">
                  <a:graphicData uri="http://schemas.microsoft.com/office/word/2010/wordprocessingShape">
                    <wps:wsp>
                      <wps:cNvSpPr/>
                      <wps:spPr>
                        <a:xfrm>
                          <a:off x="0" y="0"/>
                          <a:ext cx="29845" cy="93980"/>
                        </a:xfrm>
                        <a:custGeom>
                          <a:avLst/>
                          <a:gdLst>
                            <a:gd name="txL" fmla="*/ 0 w 46"/>
                            <a:gd name="txT" fmla="*/ 0 h 148"/>
                            <a:gd name="txR" fmla="*/ 46 w 46"/>
                            <a:gd name="txB" fmla="*/ 148 h 148"/>
                          </a:gdLst>
                          <a:ahLst/>
                          <a:cxnLst/>
                          <a:rect l="txL" t="txT" r="txR" b="txB"/>
                          <a:pathLst>
                            <a:path w="46" h="148">
                              <a:moveTo>
                                <a:pt x="32" y="0"/>
                              </a:moveTo>
                              <a:lnTo>
                                <a:pt x="32" y="125"/>
                              </a:lnTo>
                              <a:cubicBezTo>
                                <a:pt x="32" y="132"/>
                                <a:pt x="32" y="137"/>
                                <a:pt x="32" y="140"/>
                              </a:cubicBezTo>
                              <a:cubicBezTo>
                                <a:pt x="34" y="142"/>
                                <a:pt x="34" y="142"/>
                                <a:pt x="36" y="143"/>
                              </a:cubicBezTo>
                              <a:cubicBezTo>
                                <a:pt x="38" y="143"/>
                                <a:pt x="42" y="145"/>
                                <a:pt x="46" y="145"/>
                              </a:cubicBezTo>
                              <a:lnTo>
                                <a:pt x="46" y="147"/>
                              </a:lnTo>
                              <a:lnTo>
                                <a:pt x="0" y="147"/>
                              </a:lnTo>
                              <a:lnTo>
                                <a:pt x="0" y="145"/>
                              </a:lnTo>
                              <a:cubicBezTo>
                                <a:pt x="4" y="145"/>
                                <a:pt x="6" y="143"/>
                                <a:pt x="8" y="143"/>
                              </a:cubicBezTo>
                              <a:cubicBezTo>
                                <a:pt x="10" y="142"/>
                                <a:pt x="12" y="142"/>
                                <a:pt x="12" y="140"/>
                              </a:cubicBezTo>
                              <a:cubicBezTo>
                                <a:pt x="14" y="137"/>
                                <a:pt x="14" y="132"/>
                                <a:pt x="14" y="125"/>
                              </a:cubicBezTo>
                              <a:lnTo>
                                <a:pt x="14" y="40"/>
                              </a:lnTo>
                              <a:cubicBezTo>
                                <a:pt x="14" y="30"/>
                                <a:pt x="14" y="22"/>
                                <a:pt x="14" y="20"/>
                              </a:cubicBezTo>
                              <a:cubicBezTo>
                                <a:pt x="12" y="17"/>
                                <a:pt x="12" y="15"/>
                                <a:pt x="12" y="13"/>
                              </a:cubicBezTo>
                              <a:cubicBezTo>
                                <a:pt x="10" y="13"/>
                                <a:pt x="8" y="13"/>
                                <a:pt x="8" y="13"/>
                              </a:cubicBezTo>
                              <a:cubicBezTo>
                                <a:pt x="6" y="13"/>
                                <a:pt x="4" y="13"/>
                                <a:pt x="0" y="13"/>
                              </a:cubicBezTo>
                              <a:lnTo>
                                <a:pt x="0" y="12"/>
                              </a:lnTo>
                              <a:lnTo>
                                <a:pt x="26" y="0"/>
                              </a:lnTo>
                              <a:lnTo>
                                <a:pt x="32" y="0"/>
                              </a:lnTo>
                              <a:close/>
                            </a:path>
                          </a:pathLst>
                        </a:custGeom>
                        <a:solidFill>
                          <a:srgbClr val="B2B2B2"/>
                        </a:solidFill>
                        <a:ln>
                          <a:noFill/>
                        </a:ln>
                      </wps:spPr>
                      <wps:bodyPr wrap="square" upright="1"/>
                    </wps:wsp>
                  </a:graphicData>
                </a:graphic>
              </wp:anchor>
            </w:drawing>
          </mc:Choice>
          <mc:Fallback>
            <w:pict>
              <v:shape id="任意多边形 591" o:spid="_x0000_s1026" o:spt="100" style="position:absolute;left:0pt;margin-left:329.3pt;margin-top:730.3pt;height:7.4pt;width:2.35pt;mso-position-horizontal-relative:page;mso-position-vertical-relative:page;z-index:251688960;mso-width-relative:page;mso-height-relative:page;" fillcolor="#B2B2B2" filled="t" stroked="f" coordsize="46,148" o:allowincell="f" o:gfxdata="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" path="m32,0l32,125c32,132,32,137,32,140c34,142,34,142,36,143c38,143,42,145,46,145l46,147,0,147,0,145c4,145,6,143,8,143c10,142,12,142,12,140c14,137,14,132,14,125l14,40c14,30,14,22,14,20c12,17,12,15,12,13c10,13,8,13,8,13c6,13,4,13,0,13l0,12,26,0,32,0xe">
                <v:fill on="t" focussize="0,0"/>
                <v:stroke on="f"/>
                <v:imagedata o:title=""/>
                <o:lock v:ext="edit" aspectratio="f"/>
              </v:shape>
            </w:pict>
          </mc:Fallback>
        </mc:AlternateContent>
      </w:r>
      <w:r>
        <w:rPr>
          <w:rFonts w:hint="eastAsia" w:ascii="宋体" w:hAnsi="宋体" w:eastAsia="宋体" w:cs="宋体"/>
          <w:color w:val="000000"/>
          <w:spacing w:val="0"/>
          <w:kern w:val="0"/>
          <w:position w:val="0"/>
          <w:sz w:val="21"/>
          <w:szCs w:val="21"/>
          <w:lang w:bidi="ar"/>
        </w:rPr>
        <mc:AlternateContent>
          <mc:Choice Requires="wps">
            <w:drawing>
              <wp:anchor distT="0" distB="0" distL="114300" distR="114300" simplePos="0" relativeHeight="251685888" behindDoc="0" locked="0" layoutInCell="0" allowOverlap="1">
                <wp:simplePos x="0" y="0"/>
                <wp:positionH relativeFrom="page">
                  <wp:posOffset>2887980</wp:posOffset>
                </wp:positionH>
                <wp:positionV relativeFrom="page">
                  <wp:posOffset>9274810</wp:posOffset>
                </wp:positionV>
                <wp:extent cx="31115" cy="93980"/>
                <wp:effectExtent l="0" t="0" r="19685" b="7620"/>
                <wp:wrapNone/>
                <wp:docPr id="94" name="任意多边形 598"/>
                <wp:cNvGraphicFramePr/>
                <a:graphic xmlns:a="http://schemas.openxmlformats.org/drawingml/2006/main">
                  <a:graphicData uri="http://schemas.microsoft.com/office/word/2010/wordprocessingShape">
                    <wps:wsp>
                      <wps:cNvSpPr/>
                      <wps:spPr>
                        <a:xfrm>
                          <a:off x="0" y="0"/>
                          <a:ext cx="31115" cy="93980"/>
                        </a:xfrm>
                        <a:custGeom>
                          <a:avLst/>
                          <a:gdLst>
                            <a:gd name="txL" fmla="*/ 0 w 49"/>
                            <a:gd name="txT" fmla="*/ 0 h 148"/>
                            <a:gd name="txR" fmla="*/ 49 w 49"/>
                            <a:gd name="txB" fmla="*/ 148 h 148"/>
                          </a:gdLst>
                          <a:ahLst/>
                          <a:cxnLst/>
                          <a:rect l="txL" t="txT" r="txR" b="txB"/>
                          <a:pathLst>
                            <a:path w="49" h="148">
                              <a:moveTo>
                                <a:pt x="24" y="0"/>
                              </a:moveTo>
                              <a:cubicBezTo>
                                <a:pt x="26" y="0"/>
                                <a:pt x="30" y="2"/>
                                <a:pt x="32" y="3"/>
                              </a:cubicBezTo>
                              <a:cubicBezTo>
                                <a:pt x="34" y="5"/>
                                <a:pt x="34" y="7"/>
                                <a:pt x="34" y="10"/>
                              </a:cubicBezTo>
                              <a:cubicBezTo>
                                <a:pt x="34" y="13"/>
                                <a:pt x="34" y="15"/>
                                <a:pt x="32" y="17"/>
                              </a:cubicBezTo>
                              <a:cubicBezTo>
                                <a:pt x="30" y="20"/>
                                <a:pt x="26" y="22"/>
                                <a:pt x="24" y="22"/>
                              </a:cubicBezTo>
                              <a:cubicBezTo>
                                <a:pt x="22" y="22"/>
                                <a:pt x="18" y="20"/>
                                <a:pt x="16" y="17"/>
                              </a:cubicBezTo>
                              <a:cubicBezTo>
                                <a:pt x="14" y="15"/>
                                <a:pt x="14" y="13"/>
                                <a:pt x="14" y="10"/>
                              </a:cubicBezTo>
                              <a:cubicBezTo>
                                <a:pt x="14" y="7"/>
                                <a:pt x="14" y="5"/>
                                <a:pt x="16" y="3"/>
                              </a:cubicBezTo>
                              <a:cubicBezTo>
                                <a:pt x="18" y="2"/>
                                <a:pt x="22" y="0"/>
                                <a:pt x="24" y="0"/>
                              </a:cubicBezTo>
                              <a:moveTo>
                                <a:pt x="34" y="50"/>
                              </a:moveTo>
                              <a:lnTo>
                                <a:pt x="34" y="125"/>
                              </a:lnTo>
                              <a:cubicBezTo>
                                <a:pt x="34" y="132"/>
                                <a:pt x="34" y="137"/>
                                <a:pt x="34" y="140"/>
                              </a:cubicBezTo>
                              <a:cubicBezTo>
                                <a:pt x="36" y="142"/>
                                <a:pt x="36" y="142"/>
                                <a:pt x="38" y="143"/>
                              </a:cubicBezTo>
                              <a:cubicBezTo>
                                <a:pt x="40" y="143"/>
                                <a:pt x="44" y="145"/>
                                <a:pt x="48" y="145"/>
                              </a:cubicBezTo>
                              <a:lnTo>
                                <a:pt x="48" y="147"/>
                              </a:lnTo>
                              <a:lnTo>
                                <a:pt x="2" y="147"/>
                              </a:lnTo>
                              <a:lnTo>
                                <a:pt x="2" y="145"/>
                              </a:lnTo>
                              <a:cubicBezTo>
                                <a:pt x="6" y="145"/>
                                <a:pt x="10" y="143"/>
                                <a:pt x="10" y="143"/>
                              </a:cubicBezTo>
                              <a:cubicBezTo>
                                <a:pt x="12" y="142"/>
                                <a:pt x="14" y="142"/>
                                <a:pt x="14" y="140"/>
                              </a:cubicBezTo>
                              <a:cubicBezTo>
                                <a:pt x="16" y="137"/>
                                <a:pt x="16" y="132"/>
                                <a:pt x="16" y="125"/>
                              </a:cubicBezTo>
                              <a:lnTo>
                                <a:pt x="16" y="90"/>
                              </a:lnTo>
                              <a:cubicBezTo>
                                <a:pt x="16" y="77"/>
                                <a:pt x="16" y="72"/>
                                <a:pt x="16" y="67"/>
                              </a:cubicBezTo>
                              <a:cubicBezTo>
                                <a:pt x="14" y="65"/>
                                <a:pt x="14" y="63"/>
                                <a:pt x="12" y="63"/>
                              </a:cubicBezTo>
                              <a:cubicBezTo>
                                <a:pt x="12" y="63"/>
                                <a:pt x="10" y="62"/>
                                <a:pt x="8" y="62"/>
                              </a:cubicBezTo>
                              <a:cubicBezTo>
                                <a:pt x="6" y="62"/>
                                <a:pt x="4" y="63"/>
                                <a:pt x="2" y="63"/>
                              </a:cubicBezTo>
                              <a:lnTo>
                                <a:pt x="0" y="62"/>
                              </a:lnTo>
                              <a:lnTo>
                                <a:pt x="28" y="50"/>
                              </a:lnTo>
                              <a:lnTo>
                                <a:pt x="34" y="50"/>
                              </a:lnTo>
                              <a:close/>
                            </a:path>
                          </a:pathLst>
                        </a:custGeom>
                        <a:solidFill>
                          <a:srgbClr val="B2B2B2"/>
                        </a:solidFill>
                        <a:ln>
                          <a:noFill/>
                        </a:ln>
                      </wps:spPr>
                      <wps:bodyPr wrap="square" upright="1"/>
                    </wps:wsp>
                  </a:graphicData>
                </a:graphic>
              </wp:anchor>
            </w:drawing>
          </mc:Choice>
          <mc:Fallback>
            <w:pict>
              <v:shape id="任意多边形 598" o:spid="_x0000_s1026" o:spt="100" style="position:absolute;left:0pt;margin-left:227.4pt;margin-top:730.3pt;height:7.4pt;width:2.45pt;mso-position-horizontal-relative:page;mso-position-vertical-relative:page;z-index:251685888;mso-width-relative:page;mso-height-relative:page;" fillcolor="#B2B2B2" filled="t" stroked="f" coordsize="49,148" o:allowincell="f" o:gfxdata="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" path="m24,0c26,0,30,2,32,3c34,5,34,7,34,10c34,13,34,15,32,17c30,20,26,22,24,22c22,22,18,20,16,17c14,15,14,13,14,10c14,7,14,5,16,3c18,2,22,0,24,0m34,50l34,125c34,132,34,137,34,140c36,142,36,142,38,143c40,143,44,145,48,145l48,147,2,147,2,145c6,145,10,143,10,143c12,142,14,142,14,140c16,137,16,132,16,125l16,90c16,77,16,72,16,67c14,65,14,63,12,63c12,63,10,62,8,62c6,62,4,63,2,63l0,62,28,50,34,50xe">
                <v:fill on="t" focussize="0,0"/>
                <v:stroke on="f"/>
                <v:imagedata o:title=""/>
                <o:lock v:ext="edit" aspectratio="f"/>
              </v:shape>
            </w:pict>
          </mc:Fallback>
        </mc:AlternateContent>
      </w:r>
      <w:r>
        <w:rPr>
          <w:rFonts w:hint="eastAsia" w:ascii="宋体" w:hAnsi="宋体" w:eastAsia="宋体" w:cs="宋体"/>
          <w:color w:val="444444"/>
          <w:spacing w:val="0"/>
          <w:kern w:val="0"/>
          <w:position w:val="0"/>
          <w:sz w:val="21"/>
          <w:szCs w:val="21"/>
          <w:lang w:bidi="ar"/>
        </w:rPr>
        <w:t>差异太大,难以保证区域货币联盟的好处,这种观点是有一些道理的。但是,中国于加入WTO以后,标志着国内市场经济日趋走向国际化,中国人民币就有可能成为区域性货币。这是因为：</w:t>
      </w:r>
    </w:p>
    <w:p w14:paraId="66549CB9">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444444"/>
          <w:spacing w:val="0"/>
          <w:position w:val="0"/>
          <w:sz w:val="21"/>
        </w:rPr>
      </w:pPr>
      <w:r>
        <w:rPr>
          <w:rFonts w:hint="eastAsia" w:ascii="宋体" w:hAnsi="宋体" w:eastAsia="宋体" w:cs="宋体"/>
          <w:color w:val="444444"/>
          <w:spacing w:val="0"/>
          <w:kern w:val="0"/>
          <w:position w:val="0"/>
          <w:sz w:val="21"/>
          <w:szCs w:val="21"/>
          <w:lang w:bidi="ar"/>
        </w:rPr>
        <w:t>1、日元信用关系严重疲软。日本自20世纪90年代以来，泡沫经济的负面影响仍然存在。2000年以来经济更是持续低迷，破产企业增加，失业率创记录，金融资产大缩水，银行呆帐120万亿日元，银行体系处于瘫痪状态。由于国债余额对GDP的比例已超过130％，国家财政处于崩溃边缘。再加上美国2001年经济不景气导致日本出口额减少，美日汇价急剧波动。就在2002年1月22日这一天，日元贬值影响了日本金融稳定和经济恶化，正如日本中央银行行长速水优于2002年1月21日在日本银行地方经济季度会议上指出：“日本经济恶化的现象是普遍的，包括出口和资本支出下降个人消费低迷，物价下跌，日本经济正在迅速下滑，而且随着日本政府实施激烈的经济结构改革，日本经济还将进一步恶化。”①日元贬值对亚洲国家和地区的出口也产生了消极影响，导致了日元信用关系严重疲软，金融中心地位相对下降。</w:t>
      </w:r>
    </w:p>
    <w:p w14:paraId="4FD0F211">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444444"/>
          <w:spacing w:val="0"/>
          <w:position w:val="0"/>
          <w:sz w:val="21"/>
        </w:rPr>
      </w:pPr>
      <w:r>
        <w:rPr>
          <w:rFonts w:hint="eastAsia" w:ascii="宋体" w:hAnsi="宋体" w:eastAsia="宋体" w:cs="宋体"/>
          <w:color w:val="444444"/>
          <w:spacing w:val="0"/>
          <w:kern w:val="0"/>
          <w:position w:val="0"/>
          <w:sz w:val="21"/>
          <w:szCs w:val="21"/>
          <w:lang w:bidi="ar"/>
        </w:rPr>
        <w:t>2、日本长期存在着政治历史问题，影响亚洲许多国家和地区人们的感情，有碍于对日元信任度的提升。从地缘政治上看，亚太地区存在着“中美日”大三角关系，美国因全球利益不愿意让日元区域化。当日本1997年提出建立亚洲货币基金的建议时，就曾遭到美国和国际货币基金组织的反对。从历史上看，日本侵略过东亚许多国家，这些国家宁愿接受美元或人民币也不愿接受日元。从制度上看，东亚大多数国家都建立了市场经济体制，政治意愿逐步形成共识，中国同东盟在10年内建立自由贸易区的走向，客观上都为人民币的区域化奠定了基础。</w:t>
      </w:r>
    </w:p>
    <w:p w14:paraId="1D768966">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444444"/>
          <w:spacing w:val="0"/>
          <w:position w:val="0"/>
          <w:sz w:val="21"/>
        </w:rPr>
      </w:pPr>
      <w:r>
        <w:rPr>
          <w:rFonts w:hint="eastAsia" w:ascii="宋体" w:hAnsi="宋体" w:eastAsia="宋体" w:cs="宋体"/>
          <w:color w:val="444444"/>
          <w:spacing w:val="0"/>
          <w:kern w:val="0"/>
          <w:position w:val="0"/>
          <w:sz w:val="21"/>
          <w:szCs w:val="21"/>
          <w:lang w:bidi="ar"/>
        </w:rPr>
        <w:t>3、中国人民币币值稳定，且有良好的国际信用关系。我国经济长期高速增长，赢得了亚洲乃至世界各国的颂扬。特别是自东南亚金融危机以来，始终承诺人民币不贬值，赢得了国际社会的广泛信任，也使八国集团和亚洲一些国家清楚地认识到，中国是一个可信赖的合作伙伴，世界经济的稳定与发展离不开中国。作为一个发展中大国，中国积极赞赏欧盟提议的“经济安理会”和美国提议的“7＋1＋1”框架组织(即在七国集团的基础加上俄罗斯、再加上中国)，尽力发挥自己在国际经济事务中应有的</w:t>
      </w:r>
      <w:r>
        <w:rPr>
          <w:rFonts w:hint="eastAsia" w:ascii="宋体" w:hAnsi="宋体" w:eastAsia="宋体" w:cs="宋体"/>
          <w:color w:val="000000"/>
          <w:spacing w:val="0"/>
          <w:kern w:val="0"/>
          <w:position w:val="0"/>
          <w:sz w:val="21"/>
          <w:szCs w:val="21"/>
          <w:lang w:bidi="ar"/>
        </w:rPr>
        <w:t>来时就可以争取更多地使用自己的货币，使汇价风险减少到最低限度。</w:t>
      </w:r>
    </w:p>
    <w:p w14:paraId="5FA770D3">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3、在金融管理的效果上，人民币的区域化和国际化能减少因使用外币所引起的财富流失。把本国货币作为世界货币发行，客观上是把别国的资金筹集到本国来，为本国经济注入新的活力。美国战后及近10年之所以能维持经济霸权地位，财富有较快的增长，是同美元作为世界货币密切相联的。</w:t>
      </w:r>
    </w:p>
    <w:p w14:paraId="299125EB">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4、在金融管理的质量上，人民币的区域化和国际化能提高国际化金融服务水平。因为它客观上需要中资银行必须更多地面向世界，提供符合国际化要求的金融服务。</w:t>
      </w:r>
    </w:p>
    <w:p w14:paraId="713BC1CD">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5、有利于改善外商投资和经营环境，减少外商投资利润汇出风险，保护外商投资者的合法权益，增强外国投资者的信心，更合理地引进外资，提高产业结构的优化率。</w:t>
      </w:r>
    </w:p>
    <w:p w14:paraId="51F64BEE">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000000"/>
          <w:spacing w:val="0"/>
          <w:kern w:val="0"/>
          <w:position w:val="0"/>
          <w:sz w:val="21"/>
          <w:szCs w:val="21"/>
          <w:lang w:bidi="ar"/>
        </w:rPr>
      </w:pPr>
      <w:r>
        <w:rPr>
          <w:rFonts w:hint="eastAsia" w:ascii="宋体" w:hAnsi="宋体" w:eastAsia="宋体" w:cs="宋体"/>
          <w:color w:val="000000"/>
          <w:spacing w:val="0"/>
          <w:kern w:val="0"/>
          <w:position w:val="0"/>
          <w:sz w:val="21"/>
          <w:szCs w:val="21"/>
          <w:lang w:bidi="ar"/>
        </w:rPr>
        <w:t>总之，人民币逐步区域化和国际化，就是日渐掌握一种区域性和世界性货币的发行和调节权，这对于全球经济新秩序的建立以及提高我国的国际地位均至关重要。</w:t>
      </w:r>
    </w:p>
    <w:p w14:paraId="624193E5">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420" w:firstLineChars="200"/>
        <w:jc w:val="center"/>
        <w:textAlignment w:val="auto"/>
        <w:rPr>
          <w:rFonts w:hint="eastAsia" w:ascii="黑体" w:hAnsi="黑体" w:eastAsia="黑体" w:cs="黑体"/>
          <w:b w:val="0"/>
          <w:bCs w:val="0"/>
          <w:spacing w:val="0"/>
          <w:w w:val="100"/>
          <w:sz w:val="21"/>
          <w:szCs w:val="21"/>
        </w:rPr>
      </w:pPr>
      <w:r>
        <w:rPr>
          <w:rFonts w:hint="eastAsia" w:ascii="黑体" w:hAnsi="黑体" w:eastAsia="黑体" w:cs="黑体"/>
          <w:b w:val="0"/>
          <w:bCs w:val="0"/>
          <w:spacing w:val="0"/>
          <w:w w:val="100"/>
          <w:sz w:val="21"/>
          <w:szCs w:val="21"/>
        </w:rPr>
        <w:t>二、中国人民币逐步走向区域化和国际化是提高国际金融竞争力的迫切需要</w:t>
      </w:r>
    </w:p>
    <w:p w14:paraId="11F94023">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000000"/>
          <w:spacing w:val="0"/>
          <w:kern w:val="0"/>
          <w:position w:val="0"/>
          <w:sz w:val="21"/>
          <w:szCs w:val="21"/>
          <w:lang w:bidi="ar"/>
        </w:rPr>
      </w:pPr>
      <w:r>
        <w:rPr>
          <w:rFonts w:hint="eastAsia" w:ascii="宋体" w:hAnsi="宋体" w:eastAsia="宋体" w:cs="宋体"/>
          <w:color w:val="000000"/>
          <w:spacing w:val="0"/>
          <w:kern w:val="0"/>
          <w:position w:val="0"/>
          <w:sz w:val="21"/>
          <w:szCs w:val="21"/>
          <w:lang w:bidi="ar"/>
        </w:rPr>
        <w:t>中国加入 WTO</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带来了巨大的机遇与风险</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而要充分利用各种机遇和化解市场风险</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提高国际金融竞争力</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就必须推进人民币的区域化和国际化。这表现在下列几点：</w:t>
      </w:r>
    </w:p>
    <w:p w14:paraId="73682888">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000000"/>
          <w:spacing w:val="0"/>
          <w:kern w:val="0"/>
          <w:position w:val="0"/>
          <w:sz w:val="21"/>
          <w:szCs w:val="21"/>
          <w:lang w:bidi="ar"/>
        </w:rPr>
      </w:pPr>
      <w:r>
        <w:rPr>
          <w:rFonts w:hint="eastAsia" w:ascii="宋体" w:hAnsi="宋体" w:eastAsia="宋体" w:cs="宋体"/>
          <w:color w:val="000000"/>
          <w:spacing w:val="0"/>
          <w:kern w:val="0"/>
          <w:position w:val="0"/>
          <w:sz w:val="21"/>
          <w:szCs w:val="21"/>
          <w:lang w:bidi="ar"/>
        </w:rPr>
        <w:t>1、在金融管理的要求上</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人民币的区域化和国际化要求外资银行进入中国</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拓展业务范围；中国</w:t>
      </w:r>
    </w:p>
    <w:p w14:paraId="3E82C0BD">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000000"/>
          <w:spacing w:val="0"/>
          <w:kern w:val="0"/>
          <w:position w:val="0"/>
          <w:sz w:val="21"/>
          <w:szCs w:val="21"/>
          <w:lang w:bidi="ar"/>
        </w:rPr>
      </w:pPr>
      <w:r>
        <w:rPr>
          <w:rFonts w:hint="eastAsia" w:ascii="宋体" w:hAnsi="宋体" w:eastAsia="宋体" w:cs="宋体"/>
          <w:color w:val="000000"/>
          <w:spacing w:val="0"/>
          <w:kern w:val="0"/>
          <w:position w:val="0"/>
          <w:sz w:val="21"/>
          <w:szCs w:val="21"/>
          <w:lang w:bidi="ar"/>
        </w:rPr>
        <w:t>的银行要更多地走向世界</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在资金运用、业务品种、服务手段、工作效率以及利率和汇率的风险管理等方面对银行业提出了更高的要求。同时</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人民币国际化还将在更深的层次上沟通本币与外币之间的联系</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加强本币供应量的调节</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改善中央银行宏观调控能力</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建立符合市场经济要求的银行体制和金融市场体系</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提高银行生存和发展能力。</w:t>
      </w:r>
    </w:p>
    <w:p w14:paraId="035317D9">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000000"/>
          <w:spacing w:val="0"/>
          <w:kern w:val="0"/>
          <w:position w:val="0"/>
          <w:sz w:val="21"/>
          <w:szCs w:val="21"/>
          <w:lang w:bidi="ar"/>
        </w:rPr>
      </w:pPr>
      <w:r>
        <w:rPr>
          <w:rFonts w:hint="eastAsia" w:ascii="宋体" w:hAnsi="宋体" w:eastAsia="宋体" w:cs="宋体"/>
          <w:color w:val="000000"/>
          <w:spacing w:val="0"/>
          <w:kern w:val="0"/>
          <w:position w:val="0"/>
          <w:sz w:val="21"/>
          <w:szCs w:val="21"/>
          <w:lang w:bidi="ar"/>
        </w:rPr>
        <w:t>2、在金融管理的目标上</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人民币的区域化和国际化能减少汇价风险</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有利于促进对外贸易的更快发展。过去我国对外经济交往都使用外币</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汇价风险很大</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一旦使用币种不当</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就要承受巨大损失。如果人民币成为区域性或国际性货币</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在国际间往来时就可以争取更多地使用自己的货币</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使汇价风险减少到最低限度。</w:t>
      </w:r>
    </w:p>
    <w:p w14:paraId="06B44CAC">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000000"/>
          <w:spacing w:val="0"/>
          <w:kern w:val="0"/>
          <w:position w:val="0"/>
          <w:sz w:val="21"/>
          <w:szCs w:val="21"/>
          <w:lang w:bidi="ar"/>
        </w:rPr>
      </w:pPr>
      <w:r>
        <w:rPr>
          <w:rFonts w:hint="eastAsia" w:ascii="宋体" w:hAnsi="宋体" w:eastAsia="宋体" w:cs="宋体"/>
          <w:color w:val="000000"/>
          <w:spacing w:val="0"/>
          <w:kern w:val="0"/>
          <w:position w:val="0"/>
          <w:sz w:val="21"/>
          <w:szCs w:val="21"/>
          <w:lang w:bidi="ar"/>
        </w:rPr>
        <w:t>3、在金融管理的效果上</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人民币的区域化和国际化能减少因使用外币所引起的财富流失。把本国货币作为世界货币发行</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客观上是把别国的资金筹集到本国来</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为本国经济注入新的活力。美国战后及近10年之所以能维持经济霸权地位</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财富有较快的增长</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是同美元作为世界货币密切相联的。</w:t>
      </w:r>
    </w:p>
    <w:p w14:paraId="483CC0B3">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000000"/>
          <w:spacing w:val="0"/>
          <w:kern w:val="0"/>
          <w:position w:val="0"/>
          <w:sz w:val="21"/>
          <w:szCs w:val="21"/>
          <w:lang w:bidi="ar"/>
        </w:rPr>
      </w:pPr>
      <w:r>
        <w:rPr>
          <w:rFonts w:hint="eastAsia" w:ascii="宋体" w:hAnsi="宋体" w:eastAsia="宋体" w:cs="宋体"/>
          <w:color w:val="000000"/>
          <w:spacing w:val="0"/>
          <w:kern w:val="0"/>
          <w:position w:val="0"/>
          <w:sz w:val="21"/>
          <w:szCs w:val="21"/>
          <w:lang w:bidi="ar"/>
        </w:rPr>
        <w:t>4、在金融管理的质量上</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人民币的区域化和国际化能提高国际化金融服务水平。因为它客观上需要中资银行必须更多地面向世界</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提供符合国际化要求的金融服务。</w:t>
      </w:r>
    </w:p>
    <w:p w14:paraId="4FC44F64">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000000"/>
          <w:spacing w:val="0"/>
          <w:kern w:val="0"/>
          <w:position w:val="0"/>
          <w:sz w:val="21"/>
          <w:szCs w:val="21"/>
          <w:lang w:bidi="ar"/>
        </w:rPr>
      </w:pPr>
      <w:r>
        <w:rPr>
          <w:rFonts w:hint="eastAsia" w:ascii="宋体" w:hAnsi="宋体" w:eastAsia="宋体" w:cs="宋体"/>
          <w:color w:val="000000"/>
          <w:spacing w:val="0"/>
          <w:kern w:val="0"/>
          <w:position w:val="0"/>
          <w:sz w:val="21"/>
          <w:szCs w:val="21"/>
          <w:lang w:bidi="ar"/>
        </w:rPr>
        <w:t>5、有利于改善外商投资和经营环境</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减少外商投资利润汇出风险</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保护外商投资者的合法权益</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增强外国投资者的信心</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更合理地引进外资</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提高产业结构的优化率。</w:t>
      </w:r>
    </w:p>
    <w:p w14:paraId="4C1AEEA8">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000000"/>
          <w:spacing w:val="0"/>
          <w:kern w:val="0"/>
          <w:position w:val="0"/>
          <w:sz w:val="21"/>
          <w:szCs w:val="21"/>
          <w:lang w:bidi="ar"/>
        </w:rPr>
      </w:pPr>
      <w:r>
        <w:rPr>
          <w:rFonts w:hint="eastAsia" w:ascii="宋体" w:hAnsi="宋体" w:eastAsia="宋体" w:cs="宋体"/>
          <w:color w:val="000000"/>
          <w:spacing w:val="0"/>
          <w:kern w:val="0"/>
          <w:position w:val="0"/>
          <w:sz w:val="21"/>
          <w:szCs w:val="21"/>
          <w:lang w:bidi="ar"/>
        </w:rPr>
        <w:t>总之</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人民币逐步区域化和国际化</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就是日渐掌握一种区域性和世界性货币的发行和调节权</w:t>
      </w:r>
      <w:r>
        <w:rPr>
          <w:rFonts w:hint="eastAsia" w:ascii="宋体" w:hAnsi="宋体" w:eastAsia="宋体" w:cs="宋体"/>
          <w:color w:val="000000"/>
          <w:spacing w:val="0"/>
          <w:kern w:val="0"/>
          <w:position w:val="0"/>
          <w:sz w:val="21"/>
          <w:szCs w:val="21"/>
          <w:lang w:eastAsia="zh-CN" w:bidi="ar"/>
        </w:rPr>
        <w:t>，</w:t>
      </w:r>
      <w:r>
        <w:rPr>
          <w:rFonts w:hint="eastAsia" w:ascii="宋体" w:hAnsi="宋体" w:eastAsia="宋体" w:cs="宋体"/>
          <w:color w:val="000000"/>
          <w:spacing w:val="0"/>
          <w:kern w:val="0"/>
          <w:position w:val="0"/>
          <w:sz w:val="21"/>
          <w:szCs w:val="21"/>
          <w:lang w:bidi="ar"/>
        </w:rPr>
        <w:t>这对于全球经济新秩序的建立以及提高我国的国际地位均至关重要。</w:t>
      </w:r>
    </w:p>
    <w:p w14:paraId="66CB02E5">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420" w:firstLineChars="200"/>
        <w:jc w:val="center"/>
        <w:textAlignment w:val="auto"/>
        <w:rPr>
          <w:rFonts w:hint="eastAsia" w:ascii="黑体" w:hAnsi="黑体" w:eastAsia="黑体" w:cs="黑体"/>
          <w:b w:val="0"/>
          <w:bCs w:val="0"/>
          <w:spacing w:val="0"/>
          <w:w w:val="100"/>
          <w:sz w:val="21"/>
          <w:szCs w:val="21"/>
        </w:rPr>
      </w:pPr>
      <w:r>
        <w:rPr>
          <w:rFonts w:hint="eastAsia" w:ascii="黑体" w:hAnsi="黑体" w:eastAsia="黑体" w:cs="黑体"/>
          <w:b w:val="0"/>
          <w:bCs w:val="0"/>
          <w:spacing w:val="0"/>
          <w:w w:val="100"/>
          <w:sz w:val="21"/>
          <w:szCs w:val="21"/>
          <w:lang w:val="en-US" w:eastAsia="zh-CN"/>
        </w:rPr>
        <w:t>三</w:t>
      </w:r>
      <w:r>
        <w:rPr>
          <w:rFonts w:hint="eastAsia" w:ascii="黑体" w:hAnsi="黑体" w:eastAsia="黑体" w:cs="黑体"/>
          <w:b w:val="0"/>
          <w:bCs w:val="0"/>
          <w:spacing w:val="0"/>
          <w:w w:val="100"/>
          <w:sz w:val="21"/>
          <w:szCs w:val="21"/>
        </w:rPr>
        <w:t>、中国经济发展为人民币逐步走向区域化和国际化创造了日趋良好的条件</w:t>
      </w:r>
    </w:p>
    <w:p w14:paraId="540BBAAB">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从我国当前的经济发展情况看，这些良好条件主要表现在：</w:t>
      </w:r>
    </w:p>
    <w:p w14:paraId="7E830583">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1、中国的经济规模和综合国力已有明显提高。目前，中国由GDP所显示的经济规模名列世界第六，再有10年，将成为仅次于美日的第三经济大国。我国的综合国力现排名世界第七，预期今后大体上每10年递增一位。</w:t>
      </w:r>
    </w:p>
    <w:p w14:paraId="14776AED">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2、中国对外贸易结构不断优化。“八五”期间，中国外贸按现行可比价格计算，年平均增长率高达29．5％，在中国进出口商品结构中，初级产品和制成品各自所占比重，出口约为1：1，进口约为1：3，贸易结构的低级化非常明显；在“九五”期间，尽管在东南亚金融危机时承诺人民币汇率保持稳定的前提下，中国外贸仍保持一定增长，上述比重均变为1：4左右，标志着中国已基本实现了出口贸易由初级产品和粗加工产品，向工业制成品和精加工产品的结构性转换；“十五”期间，在对外贸易结构优化和外贸交易量方面，都有新的提高。</w:t>
      </w:r>
    </w:p>
    <w:p w14:paraId="1EEEDD89">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3、引进和利用外资成效显著。按可比汇率计算，对外商投资企业依存度已由1990年的4∙9％，上升到2000年的30．97％。引进和利用外资的规模连续多年居世界前列。20世纪末，已有来自40多个国家和地区的外资金融机构在中国20多个中心城市设立代表处500多个，分支行等营业性机构120多家，在华金融资产总额已超过600亿美元。中国有5000余家生产和流通企业以积极的姿态到海外投资经营，已遍及120多个国家和地区，跻身国际经济舞台。我国银行业在海外的分支机构已达584个，仅中国银行一家海外分支就遍布19个国家和地区，达521个，海外机构资产总值、存放款总额大幅度增加。国有工、农、中、建等四大专业银行，均已进入世界最大500家之列。</w:t>
      </w:r>
    </w:p>
    <w:p w14:paraId="249157AB">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4、外汇管理体制改革效果显著。中国外汇交易中心系统于1994年4月正式联网运作，标志着我国外汇市场进入了规范和发展的新阶段。进入1996年，全国统一金融拆借市场宣告成立，中央银行进行公开市场操作，及时提出人民币远期外汇买卖，并实现了人民币经常项目的可兑换。这些举措表明，中国外汇管理和金融市场正朝着有利于人民币可自由兑换乃至国际化的方向发展。</w:t>
      </w:r>
    </w:p>
    <w:p w14:paraId="391E22DA">
      <w:pPr>
        <w:keepNext w:val="0"/>
        <w:keepLines w:val="0"/>
        <w:pageBreakBefore w:val="0"/>
        <w:wordWrap/>
        <w:overflowPunct/>
        <w:topLinePunct w:val="0"/>
        <w:bidi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5、人民币汇率基本稳定。自从1994年外汇管理体制改革以来，人民币汇率从波动走向稳定。如1994年汇率并轨时是8.7：1美元，近几年一直保持在8.27：1美元的汇率，其原因除了汇率并轨时人民币汇率定值偏低以外，主要在于外汇市场持续供大于求。近几年来我国出口创汇形势较好，外汇储备猛增，到2001年底突破2000亿美元大关，居世界前列。在世界经济衰退的形势下，中国人民币汇率仍保持不变，经受住了国际金融危机的考验。特别是周边国家的边贸往来频繁，人民币成了主要的计价流通工具，并大量流入周边国家和地区，信誉很好，增强了人们对人民币的信心。</w:t>
      </w:r>
    </w:p>
    <w:p w14:paraId="330AF0DE">
      <w:pPr>
        <w:keepNext w:val="0"/>
        <w:keepLines w:val="0"/>
        <w:pageBreakBefore w:val="0"/>
        <w:wordWrap/>
        <w:overflowPunct/>
        <w:topLinePunct w:val="0"/>
        <w:bidi w:val="0"/>
        <w:spacing w:line="400" w:lineRule="exact"/>
        <w:ind w:firstLine="420" w:firstLineChars="200"/>
        <w:jc w:val="both"/>
        <w:textAlignment w:val="auto"/>
        <w:rPr>
          <w:rFonts w:hint="eastAsia" w:ascii="宋体" w:hAnsi="宋体" w:eastAsia="宋体" w:cs="宋体"/>
          <w:color w:val="000000"/>
          <w:spacing w:val="0"/>
          <w:kern w:val="0"/>
          <w:position w:val="0"/>
          <w:sz w:val="21"/>
          <w:szCs w:val="21"/>
        </w:rPr>
      </w:pPr>
      <w:r>
        <w:rPr>
          <w:rFonts w:hint="eastAsia" w:ascii="宋体" w:hAnsi="宋体" w:eastAsia="宋体" w:cs="宋体"/>
          <w:color w:val="000000"/>
          <w:spacing w:val="0"/>
          <w:kern w:val="0"/>
          <w:position w:val="0"/>
          <w:sz w:val="21"/>
          <w:szCs w:val="21"/>
          <w:lang w:bidi="ar"/>
        </w:rPr>
        <w:t>6、中国市场经济体制逐步完善。改革开放以来，中国经济体制改革取得了突破性进展，国民经济市场化、社会化程度明显提高，社会主义市场经济体制的目标和基本框架已确立，市场在社会资源配置中起到了应有的基础性作用。伴随财政、金融、外汇、外资、投资和流通等领域中的改革正在深化，推行积极的财政政策和稳健的货币政策效果明显。</w:t>
      </w:r>
    </w:p>
    <w:p w14:paraId="15A74447">
      <w:pPr>
        <w:keepNext w:val="0"/>
        <w:keepLines w:val="0"/>
        <w:pageBreakBefore w:val="0"/>
        <w:widowControl w:val="0"/>
        <w:kinsoku/>
        <w:wordWrap/>
        <w:overflowPunct/>
        <w:topLinePunct w:val="0"/>
        <w:autoSpaceDE/>
        <w:autoSpaceDN/>
        <w:bidi w:val="0"/>
        <w:adjustRightInd/>
        <w:snapToGrid/>
        <w:spacing w:before="157" w:beforeLines="50" w:after="157" w:afterLines="50" w:line="400" w:lineRule="exact"/>
        <w:ind w:firstLine="420" w:firstLineChars="200"/>
        <w:jc w:val="center"/>
        <w:textAlignment w:val="auto"/>
        <w:rPr>
          <w:rFonts w:hint="eastAsia" w:ascii="黑体" w:hAnsi="黑体" w:eastAsia="黑体" w:cs="黑体"/>
          <w:b w:val="0"/>
          <w:bCs w:val="0"/>
          <w:spacing w:val="0"/>
          <w:w w:val="100"/>
          <w:sz w:val="21"/>
          <w:szCs w:val="21"/>
          <w:lang w:val="en-US" w:eastAsia="zh-CN"/>
        </w:rPr>
      </w:pPr>
      <w:r>
        <w:rPr>
          <w:rFonts w:hint="eastAsia" w:ascii="黑体" w:hAnsi="黑体" w:eastAsia="黑体" w:cs="黑体"/>
          <w:b w:val="0"/>
          <w:bCs w:val="0"/>
          <w:spacing w:val="0"/>
          <w:w w:val="100"/>
          <w:sz w:val="21"/>
          <w:szCs w:val="21"/>
          <w:lang w:val="en-US" w:eastAsia="zh-CN"/>
        </w:rPr>
        <w:t>四、推进人民币逐步区域化和国际化的若干对策</w:t>
      </w:r>
    </w:p>
    <w:p w14:paraId="6250226D">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1、推进人民币区域化和国际化进程，需要有牢固的微观基础，这就必须加快建立和完善现代企业制度。因为，人民币区域化和国际化进程，将国外与国内两个市场体系融为一体，客观上迫使企业在全球范围内参与国际竞争，在更大范围内实现社会资源的优化配置。在这种情况下，国际市场价格波动将直接影响到国内市场价格波动，影响本国经济的健康发展。为此，一是按照市场经济体制的要求，深化产权制度改革，建立和完善现代企业制度，切实转变企业经营机制，使企业真正成为依法自主经营、自负盈亏、自我发展和自我约束的法人实体和市场主体。二是应当尽快建立“三控型”民族企业集团。所谓“三控”，就是控股(资本)、控牌(品牌)、控技(技术)，只有实行“三控”的企业才是比较安全的民族经济③。三是从根本上提高企业适应国内外两个市场竞争的能力，以适应人民币区域化和国际化进程中所需要的全方位开放度，切实做好人民币区域化和国际化的基础性工作。</w:t>
      </w:r>
    </w:p>
    <w:p w14:paraId="40E8D62A">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2、推进人民币区域化和国际化进程，需要加强和完善以商业银行为中心的信用制度，并加大在国</w:t>
      </w:r>
    </w:p>
    <w:p w14:paraId="1681C150">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外推行人民币兑换业务。因为，人民币区域化和国际化属于货币经营范围，它包括国内经营和国际经营两个部分两者都需要通过建立良好的信用制度来协调运行。要把信用视作金融业发展的生命线，</w:t>
      </w:r>
    </w:p>
    <w:p w14:paraId="77BFD651">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不断完善适合国际要求的信用制度。目前，在世界各国经济交往中，要为人民币可兑换创造条件。如在旅游业相互开放的国家中，尤其是在东亚国家推行定额人民币兑换该国货币。现在，在泰国、越南、缅甸、朝鲜、蒙古、俄罗斯、香港和澳门等国家和地区，人民币可以全境或局部通用(缅甸等已规定中国游客可自由携带6000元人民币入境并用此付费)，但在整个东南亚地区流通的人民币不过二、三百亿元，而我国人民币总发行量为16000亿元，只占不到2％，人民币在一定程度上的区域化也只是国际化的始点。同时，要大力推行在发达国家推行人民币兑换该国货币的措施，为提高人民币区域化和国际化提供良好的软环境。</w:t>
      </w:r>
    </w:p>
    <w:p w14:paraId="1A70FCF3">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3、推进人民币区域化和国际化，需要建立一个合理的非对称利率市场化机制。非对称利率市场化是相对于完全自由的利率市场化而言，是指以中央银行利率为核心、货币市场利率为中介、由市场供求决定存贷利率为基础的市场利率体系。从世界金融发展历史看，利率市场化有两种模式，一种是完全自由的利率市场化，它以发达健全的金融市场体系为基础。从有关国家利率市场化改革的实践看,如果金融市场体系不健全，一旦利率放开，完全由市场决定，利率波动就比较剧烈，就会带来巨大的金融风险，1997年东南亚金融危机就是深刻教训。因此，这种利率市场化模式不适合于发展中国家的改革目标。另一种是非对称利率市场化模式，它是以比较健全的金融市场体系为基础，以中央银行利用经济手段进行适度干预为前提。因为，对发展中国家来说，由于资本的相对稀缺，若通过市场对资源进行配置就无法满足资金的要求，因此，只能通过政府对利率的干预来增加资本积累。可以这么说，非对称利率市场化在一定条件下对发展中国家的金融和经济发展起着其他因素所无法替代的积极作用。从实质上看，它是一个博弈过程。因此，这种利率市场化模式得到了世界上许多发展中国家甚至一些发达国家的认可。</w:t>
      </w:r>
    </w:p>
    <w:p w14:paraId="56DA4BD8">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为此，中国要根据非对称利率市场化模式的要求，建立合理的利率市场化机制。(1)要尽快完善短期资金市场和长期资金市场，这是建立非对称利率市场化机制的基础。(2)要规范商业银行的经营行为，提高资金使用效率，实现中央银行间接管理和规范管理的要求，不断提高利率水平，并按照商业银行规范经营的要求进一步公开市场交易，这样，才能使利率波动成为一种正常的市场行为。(3)要注重利率市场化的实际绩效。一是在放开同业拆借利率的基础上，进一步完善和提高原利率的市场调节机制。主要是降低交易成本，提高结算清算效率，加快资金划转和清算速度，以便及时地反映资金供求状况。同时要增加信息提供，降低交易风险，特别要放宽市场化准入标准，将境外资金纳入同业拆借市场，扩大和发挥金融市场的功能作用。二是在国债市场上，进一步完善有利于利率市场化作用的国债市场联动机制。因为，国债市场利率具有交易量大、信息披露充分等特点，根据利率市场化要求，国债发行可采取全额招标或拍卖等方式，在保留底价和基本承销价的前提下，适当扩大招标或拍卖价格的变动区间，便于投资者自行确定国债发行率，以此推动其他金融资产的利率市场化。三是在银行存贷关系上，进一步实行存贷款利率的动态机制，调节企业和居民的经济行为和消费行为，引导资金按社会经济发展的需要进行流通，使社会资金供求达到动态的平衡，从而避免金融风险，维护社会经济稳定，为人民币国际化提供内在基础。</w:t>
      </w:r>
    </w:p>
    <w:p w14:paraId="43AA027D">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4、推进人民币区域化和国际化进程，需要高度视和改进开放中的金融监管问题。</w:t>
      </w:r>
    </w:p>
    <w:p w14:paraId="1093AA0F">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(1)积极消除金融隐患。改革开放以来，我国虽然未正式发生过金融危机，但近年始终存在一些金融隐患，如银行资产质量不高，不良贷款比重较大；某些地方金融秩序混乱，非法集资现象突出；不规范运作的非银行金融机构较多；证券、期货和股份公司运行与操作的漏洞较多；金融立法和执法均有疲软之处致使金融犯罪现象较为严重，影响了金融机构的国际竞争力。因此，必须严格立法和执法，并辅之以诚信教育。</w:t>
      </w:r>
    </w:p>
    <w:p w14:paraId="2F5B9A1F">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(2)健全具有中国特色的金融监管体系。为了形成稳定的金融市场秩序，保证货币国际化目标顺利实现，一些国家根据本国的国情，建立了各具特色的金融监管体系。中国过去的金融监管体系是以封闭型为特点，在中央银行内部没有成立统一的金融监管机构。如中央银行监管一司负责对国有银行进行监管，中央银行监管二司负责对非国有银行进行监管，中央银行合作金融机构司负责对合作金融机构进行监管。尽管职责明确，但监管效果不理想，这是导致当前金融监管疲软的主要原因之一。所以，要改变现行金融监管机构的设置，建立和健全一体化的开放性金融监管体系，对各类金融机构进行统一的有效监管。</w:t>
      </w:r>
    </w:p>
    <w:p w14:paraId="11A9DF89">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spacing w:val="0"/>
          <w:position w:val="0"/>
          <w:sz w:val="21"/>
        </w:rPr>
      </w:pPr>
      <w:r>
        <w:rPr>
          <w:rFonts w:hint="eastAsia" w:ascii="宋体" w:hAnsi="宋体" w:eastAsia="宋体" w:cs="宋体"/>
          <w:color w:val="000000"/>
          <w:spacing w:val="0"/>
          <w:kern w:val="0"/>
          <w:position w:val="0"/>
          <w:sz w:val="21"/>
          <w:szCs w:val="21"/>
          <w:lang w:bidi="ar"/>
        </w:rPr>
        <w:t>(3)健全符合金融监管要求的金融安全网。世界上许多国家都十分重视金融安全网建设，主要是为了防范由于一家银行倒闭，因信息不对称而导致众多存户挤兑，致使许多银行发生连锁倒闭的系统风险现象的出现。金融安全网建设包括两个方面，一是建立银行存款保险制度，即通过设立存款保险公司，向金融机构收取一定的保险金，对在该金融机构的存款实行保险，以防止金融机构经营中所产生的系统风险。二是建立最后贷款制度。中央银行充当最终贷款人，在金融危机期间向有困难的金融机构提供流动资金贷款，以防止银行连锁倒闭和金融危机的爆发。</w:t>
      </w:r>
    </w:p>
    <w:p w14:paraId="5DF8DD00">
      <w:pPr>
        <w:keepNext w:val="0"/>
        <w:keepLines w:val="0"/>
        <w:pageBreakBefore w:val="0"/>
        <w:widowControl/>
        <w:kinsoku w:val="0"/>
        <w:wordWrap/>
        <w:overflowPunct/>
        <w:topLinePunct w:val="0"/>
        <w:autoSpaceDE w:val="0"/>
        <w:autoSpaceDN w:val="0"/>
        <w:bidi w:val="0"/>
        <w:adjustRightInd w:val="0"/>
        <w:snapToGrid w:val="0"/>
        <w:spacing w:line="400" w:lineRule="exact"/>
        <w:ind w:firstLine="420" w:firstLineChars="200"/>
        <w:jc w:val="both"/>
        <w:textAlignment w:val="auto"/>
        <w:rPr>
          <w:rFonts w:hint="eastAsia" w:ascii="宋体" w:hAnsi="宋体" w:eastAsia="宋体" w:cs="宋体"/>
          <w:color w:val="000000"/>
          <w:spacing w:val="0"/>
          <w:kern w:val="0"/>
          <w:position w:val="0"/>
          <w:sz w:val="21"/>
          <w:szCs w:val="21"/>
          <w:lang w:bidi="ar"/>
        </w:rPr>
      </w:pPr>
      <w:r>
        <w:rPr>
          <w:rFonts w:hint="eastAsia" w:ascii="宋体" w:hAnsi="宋体" w:eastAsia="宋体" w:cs="宋体"/>
          <w:color w:val="000000"/>
          <w:spacing w:val="0"/>
          <w:kern w:val="0"/>
          <w:position w:val="0"/>
          <w:sz w:val="21"/>
          <w:szCs w:val="21"/>
          <w:lang w:bidi="ar"/>
        </w:rPr>
        <w:t>(4)面对金融日趋自由化和美国为首的国际金融霸权的新态势，中国既要深化国内金融体制的改革迅速提升本国金融机构的竞争力，也要循序渐进地适时开放金融领域，强调有理、有利、有节，还要加强对国际游资的防范与管理，严格监督外资金融机构的经营行为。</w:t>
      </w:r>
    </w:p>
    <w:p w14:paraId="27710861">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注释：</w:t>
      </w:r>
    </w:p>
    <w:p w14:paraId="71D172E1">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①江泽民.论三个代表［M］.中央文献出版社</w:t>
      </w:r>
      <w:r>
        <w:rPr>
          <w:rFonts w:hint="eastAsia" w:ascii="Times New Roman" w:hAnsi="Times New Roman" w:eastAsia="宋体" w:cs="Times New Roman"/>
          <w:kern w:val="0"/>
          <w:sz w:val="21"/>
          <w:szCs w:val="21"/>
          <w:lang w:eastAsia="zh-CN"/>
        </w:rPr>
        <w:t>，</w:t>
      </w:r>
      <w:r>
        <w:rPr>
          <w:rFonts w:hint="eastAsia" w:ascii="Times New Roman" w:hAnsi="Times New Roman" w:eastAsia="宋体" w:cs="Times New Roman"/>
          <w:kern w:val="0"/>
          <w:sz w:val="21"/>
          <w:szCs w:val="21"/>
        </w:rPr>
        <w:t>2001年8月版</w:t>
      </w:r>
      <w:r>
        <w:rPr>
          <w:rFonts w:hint="eastAsia" w:ascii="Times New Roman" w:hAnsi="Times New Roman" w:eastAsia="宋体" w:cs="Times New Roman"/>
          <w:kern w:val="0"/>
          <w:sz w:val="21"/>
          <w:szCs w:val="21"/>
          <w:lang w:eastAsia="zh-CN"/>
        </w:rPr>
        <w:t>，</w:t>
      </w:r>
      <w:r>
        <w:rPr>
          <w:rFonts w:hint="eastAsia" w:ascii="Times New Roman" w:hAnsi="Times New Roman" w:eastAsia="宋体" w:cs="Times New Roman"/>
          <w:kern w:val="0"/>
          <w:sz w:val="21"/>
          <w:szCs w:val="21"/>
        </w:rPr>
        <w:t>170.</w:t>
      </w:r>
    </w:p>
    <w:p w14:paraId="559035C6">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eastAsia" w:ascii="Times New Roman" w:hAnsi="Times New Roman" w:eastAsia="宋体" w:cs="Times New Roman"/>
          <w:kern w:val="0"/>
          <w:sz w:val="21"/>
          <w:szCs w:val="21"/>
        </w:rPr>
      </w:pPr>
      <w:r>
        <w:rPr>
          <w:rFonts w:hint="eastAsia" w:ascii="Times New Roman" w:hAnsi="Times New Roman" w:eastAsia="宋体" w:cs="Times New Roman"/>
          <w:kern w:val="0"/>
          <w:sz w:val="21"/>
          <w:szCs w:val="21"/>
        </w:rPr>
        <w:t>②江泽民.论科学技术［M］.中央文献出版社</w:t>
      </w:r>
      <w:r>
        <w:rPr>
          <w:rFonts w:hint="eastAsia" w:ascii="Times New Roman" w:hAnsi="Times New Roman" w:eastAsia="宋体" w:cs="Times New Roman"/>
          <w:kern w:val="0"/>
          <w:sz w:val="21"/>
          <w:szCs w:val="21"/>
          <w:lang w:eastAsia="zh-CN"/>
        </w:rPr>
        <w:t>，</w:t>
      </w:r>
      <w:r>
        <w:rPr>
          <w:rFonts w:hint="eastAsia" w:ascii="Times New Roman" w:hAnsi="Times New Roman" w:eastAsia="宋体" w:cs="Times New Roman"/>
          <w:kern w:val="0"/>
          <w:sz w:val="21"/>
          <w:szCs w:val="21"/>
        </w:rPr>
        <w:t>2001年1月版</w:t>
      </w:r>
      <w:r>
        <w:rPr>
          <w:rFonts w:hint="eastAsia" w:ascii="Times New Roman" w:hAnsi="Times New Roman" w:eastAsia="宋体" w:cs="Times New Roman"/>
          <w:kern w:val="0"/>
          <w:sz w:val="21"/>
          <w:szCs w:val="21"/>
          <w:lang w:eastAsia="zh-CN"/>
        </w:rPr>
        <w:t>，</w:t>
      </w:r>
      <w:r>
        <w:rPr>
          <w:rFonts w:hint="eastAsia" w:ascii="Times New Roman" w:hAnsi="Times New Roman" w:eastAsia="宋体" w:cs="Times New Roman"/>
          <w:kern w:val="0"/>
          <w:sz w:val="21"/>
          <w:szCs w:val="21"/>
        </w:rPr>
        <w:t>18.</w:t>
      </w:r>
    </w:p>
    <w:p w14:paraId="2BE8051A">
      <w:pPr>
        <w:keepNext w:val="0"/>
        <w:keepLines w:val="0"/>
        <w:pageBreakBefore w:val="0"/>
        <w:widowControl/>
        <w:kinsoku/>
        <w:wordWrap/>
        <w:overflowPunct/>
        <w:topLinePunct w:val="0"/>
        <w:autoSpaceDE w:val="0"/>
        <w:autoSpaceDN w:val="0"/>
        <w:bidi w:val="0"/>
        <w:adjustRightInd w:val="0"/>
        <w:snapToGrid/>
        <w:spacing w:line="400" w:lineRule="exact"/>
        <w:ind w:firstLine="420" w:firstLineChars="200"/>
        <w:jc w:val="left"/>
        <w:textAlignment w:val="auto"/>
        <w:rPr>
          <w:rFonts w:hint="default" w:ascii="Times New Roman" w:hAnsi="Times New Roman" w:eastAsia="宋体" w:cs="Times New Roman"/>
          <w:kern w:val="0"/>
          <w:sz w:val="21"/>
          <w:szCs w:val="21"/>
        </w:rPr>
      </w:pPr>
      <w:r>
        <w:rPr>
          <w:rFonts w:hint="eastAsia" w:ascii="Times New Roman" w:hAnsi="Times New Roman" w:eastAsia="宋体" w:cs="Times New Roman"/>
          <w:kern w:val="0"/>
          <w:sz w:val="21"/>
          <w:szCs w:val="21"/>
        </w:rPr>
        <w:t>③马克思恩格斯全集［M］.第31卷</w:t>
      </w:r>
      <w:r>
        <w:rPr>
          <w:rFonts w:hint="eastAsia" w:ascii="Times New Roman" w:hAnsi="Times New Roman" w:eastAsia="宋体" w:cs="Times New Roman"/>
          <w:kern w:val="0"/>
          <w:sz w:val="21"/>
          <w:szCs w:val="21"/>
          <w:lang w:eastAsia="zh-CN"/>
        </w:rPr>
        <w:t>，</w:t>
      </w:r>
      <w:r>
        <w:rPr>
          <w:rFonts w:hint="eastAsia" w:ascii="Times New Roman" w:hAnsi="Times New Roman" w:eastAsia="宋体" w:cs="Times New Roman"/>
          <w:kern w:val="0"/>
          <w:sz w:val="21"/>
          <w:szCs w:val="21"/>
        </w:rPr>
        <w:t>331.④马克思恩格斯全集［M］.第46卷（下）217.</w:t>
      </w:r>
      <w:bookmarkEnd w:id="187"/>
    </w:p>
    <w:sdt>
      <w:sdtPr>
        <w:rPr>
          <w:lang w:val="zh-CN"/>
        </w:rPr>
        <w:id w:val="428011550"/>
        <w:docPartObj>
          <w:docPartGallery w:val="Table of Contents"/>
          <w:docPartUnique/>
        </w:docPartObj>
      </w:sdtPr>
      <w:sdtEndPr>
        <w:rPr>
          <w:rFonts w:asciiTheme="minorHAnsi" w:hAnsiTheme="minorHAnsi" w:eastAsiaTheme="minorEastAsia" w:cstheme="minorBidi"/>
          <w:b/>
          <w:bCs/>
          <w:color w:val="auto"/>
          <w:kern w:val="2"/>
          <w:sz w:val="21"/>
          <w:szCs w:val="22"/>
          <w:lang w:val="zh-CN"/>
        </w:rPr>
      </w:sdtEndPr>
      <w:sdtContent>
        <w:p w14:paraId="2432182B">
          <w:bookmarkStart w:id="192" w:name="_Toc107836719"/>
          <w:bookmarkStart w:id="193" w:name="_Toc93074538"/>
        </w:p>
        <w:p w14:paraId="427718B9"/>
      </w:sdtContent>
    </w:sdt>
    <w:p w14:paraId="5DA0BC80">
      <w:pPr>
        <w:bidi w:val="0"/>
      </w:pPr>
      <w:r>
        <w:br w:type="page"/>
      </w:r>
    </w:p>
    <w:p w14:paraId="291281DC">
      <w:pPr>
        <w:bidi w:val="0"/>
      </w:pPr>
    </w:p>
    <w:p w14:paraId="2F3AF08C">
      <w:pPr>
        <w:pStyle w:val="2"/>
        <w:spacing w:before="120" w:after="120" w:line="360" w:lineRule="auto"/>
        <w:rPr>
          <w:rFonts w:ascii="宋体" w:hAnsi="宋体" w:eastAsia="宋体" w:cs="Times New Roman"/>
          <w:b/>
          <w:bCs w:val="0"/>
        </w:rPr>
      </w:pPr>
      <w:bookmarkStart w:id="194" w:name="_Toc110957392"/>
      <w:bookmarkStart w:id="195" w:name="_Toc31164"/>
      <w:bookmarkStart w:id="196" w:name="_Toc499033280"/>
      <w:bookmarkStart w:id="197" w:name="_Toc1808239487"/>
      <w:r>
        <w:rPr>
          <w:rFonts w:ascii="宋体" w:hAnsi="宋体" w:eastAsia="宋体" w:cs="Times New Roman"/>
          <w:bCs w:val="0"/>
        </w:rPr>
        <w:t>2003年</w:t>
      </w:r>
      <w:bookmarkEnd w:id="192"/>
      <w:bookmarkEnd w:id="193"/>
      <w:bookmarkEnd w:id="194"/>
      <w:bookmarkEnd w:id="195"/>
      <w:bookmarkEnd w:id="196"/>
      <w:bookmarkEnd w:id="197"/>
    </w:p>
    <w:p w14:paraId="47BC85D9">
      <w:pPr>
        <w:ind w:firstLine="360"/>
        <w:jc w:val="center"/>
        <w:outlineLvl w:val="1"/>
        <w:rPr>
          <w:rFonts w:eastAsia="宋体" w:cs="Times New Roman"/>
          <w:b/>
          <w:color w:val="000000"/>
          <w:sz w:val="21"/>
          <w:szCs w:val="21"/>
        </w:rPr>
      </w:pPr>
      <w:bookmarkStart w:id="198" w:name="_Toc32349"/>
      <w:bookmarkStart w:id="199" w:name="_Toc1328695425"/>
      <w:bookmarkStart w:id="200" w:name="_Toc2039969312"/>
      <w:bookmarkStart w:id="201" w:name="_Toc78713271"/>
      <w:bookmarkStart w:id="202" w:name="_Toc257922041"/>
      <w:bookmarkStart w:id="203" w:name="_Toc257922009"/>
      <w:bookmarkStart w:id="204" w:name="_Toc78713304"/>
      <w:bookmarkStart w:id="205" w:name="_Toc78713257"/>
      <w:bookmarkStart w:id="206" w:name="_Toc78713287"/>
      <w:bookmarkStart w:id="207" w:name="_Toc257922083"/>
      <w:bookmarkStart w:id="208" w:name="_Toc78713256"/>
      <w:bookmarkStart w:id="209" w:name="_Toc110957393"/>
      <w:bookmarkStart w:id="210" w:name="_Toc107836729"/>
      <w:bookmarkStart w:id="211" w:name="_Toc93074539"/>
      <w:bookmarkStart w:id="212" w:name="_Toc107836720"/>
      <w:bookmarkStart w:id="213" w:name="_Toc257922095"/>
      <w:r>
        <w:rPr>
          <w:rFonts w:hint="eastAsia" w:eastAsia="宋体" w:cs="Times New Roman"/>
          <w:b/>
          <w:color w:val="000000"/>
          <w:sz w:val="21"/>
          <w:szCs w:val="21"/>
        </w:rPr>
        <w:t>邓小平社会主义本质论新探</w:t>
      </w:r>
      <w:bookmarkEnd w:id="198"/>
      <w:bookmarkEnd w:id="199"/>
      <w:bookmarkEnd w:id="200"/>
    </w:p>
    <w:p w14:paraId="53C96777">
      <w:pPr>
        <w:ind w:firstLine="360"/>
        <w:rPr>
          <w:rFonts w:eastAsia="宋体" w:cs="Times New Roman"/>
          <w:color w:val="000000"/>
          <w:sz w:val="21"/>
          <w:szCs w:val="21"/>
        </w:rPr>
      </w:pPr>
    </w:p>
    <w:p w14:paraId="71F36B2C">
      <w:pPr>
        <w:ind w:firstLine="360"/>
        <w:rPr>
          <w:rFonts w:eastAsia="宋体" w:cs="Times New Roman"/>
          <w:color w:val="000000"/>
          <w:sz w:val="21"/>
          <w:szCs w:val="21"/>
        </w:rPr>
      </w:pPr>
      <w:r>
        <w:rPr>
          <w:rFonts w:hint="eastAsia" w:eastAsia="宋体" w:cs="Times New Roman"/>
          <w:color w:val="000000"/>
          <w:sz w:val="21"/>
          <w:szCs w:val="21"/>
        </w:rPr>
        <w:t xml:space="preserve">      什么是社会主义？怎样建设社会主义？这是21世纪当代马克思主义者继续面临的重大课题。但在过去相当长的时间里，我们对这个问题的认识不是完全清醒的。邓小平在长期的社会主义实践中，本着实事求是的态度对社会主义理论进行了大胆的探索，从质的规定性上对社会主义本质问题进行了深入分析。他明确提出“社会主义的本质，是解放生产力，发展生产力，消灭剥削，消除两极分化，最终达到共同富裕。”“社会主义的任务很多，但根本一条就是发展生产力。”邓小平关于社会主义本质的概括和根本任务的规定，既是对马克思主义的继承和发展，又为我们摆脱传统观念的束缚，重新认识社会主义的本质内涵，选择正确的发展道路，全面建设小康社会提供了理论指南。笔者针对当前一股曲解和否定邓小平关于社会主义本质完整理论的思潮，联系国内外现实进行新的探讨，并指出这一理论在目前深入学习和研究十六大报告，以及在整个社会主义初级阶段始终具有不可抹杀的指导意义。</w:t>
      </w:r>
    </w:p>
    <w:p w14:paraId="6BB36AC4">
      <w:pPr>
        <w:ind w:firstLine="360"/>
        <w:rPr>
          <w:rFonts w:eastAsia="宋体" w:cs="Times New Roman"/>
          <w:b/>
          <w:color w:val="000000"/>
          <w:sz w:val="21"/>
          <w:szCs w:val="21"/>
        </w:rPr>
      </w:pPr>
      <w:r>
        <w:rPr>
          <w:rFonts w:hint="eastAsia" w:eastAsia="宋体" w:cs="Times New Roman"/>
          <w:b/>
          <w:color w:val="000000"/>
          <w:sz w:val="21"/>
          <w:szCs w:val="21"/>
        </w:rPr>
        <w:t xml:space="preserve">     一、本质论是对“什么是社会主义”探索的科学总结</w:t>
      </w:r>
    </w:p>
    <w:p w14:paraId="10CD7D1B">
      <w:pPr>
        <w:ind w:firstLine="420" w:firstLineChars="200"/>
        <w:rPr>
          <w:rFonts w:eastAsia="宋体" w:cs="Times New Roman"/>
          <w:color w:val="000000"/>
          <w:sz w:val="21"/>
          <w:szCs w:val="21"/>
        </w:rPr>
      </w:pPr>
      <w:r>
        <w:rPr>
          <w:rFonts w:hint="eastAsia" w:eastAsia="宋体" w:cs="Times New Roman"/>
          <w:color w:val="000000"/>
          <w:sz w:val="21"/>
          <w:szCs w:val="21"/>
        </w:rPr>
        <w:t>社会主义学说经历了漫长而曲折的发展道路，至今已有三百多年的历史了。它最初的含义是指要以合作为基础，以公众幸福和社会公平为目标去集体管理人类事务。19世纪中叶，马克思、恩格斯在批判旧世界的过程中，深刻剖析了资本主义社会内在矛盾及其必然发展趋势，发现了一个崭新的世界，实现了社会主义由空想变为科学的飞跃，并在《哥达纲领批判》中将共产主义的第一个阶段——社会主义社会概括性地描绘为：生产力的高度发展，全部生产资料归社会直接占有，生产有计划地进行，不存在商品和货币，实行按劳分配，因而人类获得自由和全面的发展等。由于当时还没有现实存在的社会主义，马克思、恩格斯只是站在历史的高度以生产力高度发达为前提对未来的社会的一种科学预见，至于未来的社会主义究竟将会如何，他们并没有也不可能作出更多的论述。1886年1月，英国费边社的一位负责人请求恩格斯为该社准备出版的小册子《什么是社会主义》写一篇文章，恩格斯回信说：</w:t>
      </w:r>
    </w:p>
    <w:p w14:paraId="33259B46">
      <w:pPr>
        <w:ind w:firstLine="360"/>
        <w:rPr>
          <w:rFonts w:eastAsia="宋体" w:cs="Times New Roman"/>
          <w:color w:val="000000"/>
          <w:sz w:val="21"/>
          <w:szCs w:val="21"/>
        </w:rPr>
      </w:pPr>
      <w:r>
        <w:rPr>
          <w:rFonts w:hint="eastAsia" w:eastAsia="宋体" w:cs="Times New Roman"/>
          <w:color w:val="000000"/>
          <w:sz w:val="21"/>
          <w:szCs w:val="21"/>
        </w:rPr>
        <w:t>“我所在的党并没有提出任何一劳永逸的现成方案，表示脱离事实的结论是毫无价值的。”</w:t>
      </w:r>
    </w:p>
    <w:p w14:paraId="3330207F">
      <w:pPr>
        <w:ind w:firstLine="360"/>
        <w:rPr>
          <w:rFonts w:eastAsia="宋体" w:cs="Times New Roman"/>
          <w:color w:val="000000"/>
          <w:sz w:val="21"/>
          <w:szCs w:val="21"/>
        </w:rPr>
      </w:pPr>
      <w:r>
        <w:rPr>
          <w:rFonts w:hint="eastAsia" w:eastAsia="宋体" w:cs="Times New Roman"/>
          <w:color w:val="000000"/>
          <w:sz w:val="21"/>
          <w:szCs w:val="21"/>
        </w:rPr>
        <w:t>20世纪以后，历史的发展超出了马克思、恩格斯的预料，社会主义首先在生产力比较落后的俄国取得胜利，尔后又在亚洲和东欧一系列经济文化比较落后的国家相继建成。列宁在领导苏联进行社会主义建设的实践中，认识到社会主义国家发展生产力，赶超资本主义国家的必要性，他在对社会主义的某些特征进行概括时指出：社会主义就是苏维埃政权加全国电气化，社会主义的根本任务就是提高劳动生产率。可见，列宁把生产力作为一项极为重要内容写进了社会主义的本质特征中。但遗憾的是在列宁逝世以后，马克思主义的某些原则被教条化、模式化。比如取消了商品经济，实行高度化的公有制和单一的指令性计划经济，结果造成苏联社会主义模式比较僵化。</w:t>
      </w:r>
    </w:p>
    <w:p w14:paraId="3FAE5223">
      <w:pPr>
        <w:ind w:firstLine="420" w:firstLineChars="200"/>
        <w:rPr>
          <w:rFonts w:eastAsia="宋体" w:cs="Times New Roman"/>
          <w:color w:val="000000"/>
          <w:sz w:val="21"/>
          <w:szCs w:val="21"/>
        </w:rPr>
      </w:pPr>
      <w:r>
        <w:rPr>
          <w:rFonts w:hint="eastAsia" w:eastAsia="宋体" w:cs="Times New Roman"/>
          <w:color w:val="000000"/>
          <w:sz w:val="21"/>
          <w:szCs w:val="21"/>
        </w:rPr>
        <w:t>二次世界大战后，“苏联成功经验”被陆续推广到亚欧社会主义国家。然而从50年代起，我国和东欧一些国家逐渐认识到了苏联社会主义模式的僵化所在，并开始探索本国社会主义的建设道路。但对于新生不久的人民共和国来说，社会主义是一件崭新的事业，主要出于一种美好的愿望，导致把社会主义理解为一种绝对公平的乐园，从而助长了某种平均主义之风；割裂了生产力与生产关系、公平与效率的辩证统一，片面强调生产关系的改进和社会公平的实现，误以为这就是惟一的科学社会主义。</w:t>
      </w:r>
    </w:p>
    <w:p w14:paraId="1DE406EA">
      <w:pPr>
        <w:ind w:firstLine="420" w:firstLineChars="200"/>
        <w:rPr>
          <w:rFonts w:eastAsia="宋体" w:cs="Times New Roman"/>
          <w:color w:val="000000"/>
          <w:sz w:val="21"/>
          <w:szCs w:val="21"/>
        </w:rPr>
      </w:pPr>
      <w:r>
        <w:rPr>
          <w:rFonts w:hint="eastAsia" w:eastAsia="宋体" w:cs="Times New Roman"/>
          <w:color w:val="000000"/>
          <w:sz w:val="21"/>
          <w:szCs w:val="21"/>
        </w:rPr>
        <w:t>十一届三中全会以后，即20世纪70年代末开始，在总结社会主义建设同国内外经验教训基础上，中国社会主义建设道路的探索开始正式转向本国特色，这为人们对社会主义本质的探索及对其作出更深层次的科学概括提供了条件。邓小平深刻洞察到了社会主义建设中问题的根源所在，指出社会主义建设的挫折并不是社会主义制度本身所固有的，而是由于我们没有完全弄清楚社会主义本质而造成的失误，因此，他认为最重要的一条经验教训就是抛弃错误的理解，弄清什么是社会主义的本。早在1980年4月他就在《社会主义首先要发展生产力》一文中呼吁：不解放思想不行，甚至于包括什么叫社会主义这个问题也要解放思想。经济长期处于停滞状态总不能叫社会主义。人民生活长期停止在很低的水平总不能叫社会主义。80年代以来，邓小平又进一步从“是什么”和“不是什么”正反两个方面科学地提示了社会主义的本质。一方面，他指出贫穷不是社会主义，发展太慢不是社会主义，平均主义不是社会主义，两极分化也不是社会主义，不发展生产力，不提高人民的生活水平不能说是符合社会主义要求的；另一方面，他又从正面指出“坚持社会主义，首先要摆脱贫穷落后状态，大力发展生产力，体现社会主义优于资本主义的特点”；社会主义“是不断发展社会主义生产力的社会主义”，是“还要通过改革解放生产力”的社会主义。</w:t>
      </w:r>
    </w:p>
    <w:p w14:paraId="3F805C19">
      <w:pPr>
        <w:ind w:firstLine="360"/>
        <w:rPr>
          <w:rFonts w:eastAsia="宋体" w:cs="Times New Roman"/>
          <w:b/>
          <w:color w:val="000000"/>
          <w:sz w:val="21"/>
          <w:szCs w:val="21"/>
        </w:rPr>
      </w:pPr>
      <w:r>
        <w:rPr>
          <w:rFonts w:hint="eastAsia" w:eastAsia="宋体" w:cs="Times New Roman"/>
          <w:b/>
          <w:color w:val="000000"/>
          <w:sz w:val="21"/>
          <w:szCs w:val="21"/>
        </w:rPr>
        <w:t xml:space="preserve">     二、发展生产力是社会主义本质的内在要求</w:t>
      </w:r>
    </w:p>
    <w:p w14:paraId="2EECCB3F">
      <w:pPr>
        <w:ind w:firstLine="360"/>
        <w:rPr>
          <w:rFonts w:eastAsia="宋体" w:cs="Times New Roman"/>
          <w:color w:val="000000"/>
          <w:sz w:val="21"/>
          <w:szCs w:val="21"/>
        </w:rPr>
      </w:pPr>
      <w:r>
        <w:rPr>
          <w:rFonts w:hint="eastAsia" w:eastAsia="宋体" w:cs="Times New Roman"/>
          <w:color w:val="000000"/>
          <w:sz w:val="21"/>
          <w:szCs w:val="21"/>
        </w:rPr>
        <w:t xml:space="preserve">    邓小平通过对社会主义理论和实践的长期思索与考察，不仅对社会主义本质进行了科学概括，而且还明确地提出了“社会主义最根本的任务就是发展生产力”，这对于我们加深对社会主义内涵的理解，牢牢抓住社会主义经济建设这个中心，全面建设小康社会，有着重要的导向作用。</w:t>
      </w:r>
    </w:p>
    <w:p w14:paraId="33439D7E">
      <w:pPr>
        <w:ind w:firstLine="525" w:firstLineChars="250"/>
        <w:rPr>
          <w:rFonts w:eastAsia="宋体" w:cs="Times New Roman"/>
          <w:color w:val="000000"/>
          <w:sz w:val="21"/>
          <w:szCs w:val="21"/>
        </w:rPr>
      </w:pPr>
      <w:r>
        <w:rPr>
          <w:rFonts w:hint="eastAsia" w:eastAsia="宋体" w:cs="Times New Roman"/>
          <w:color w:val="000000"/>
          <w:sz w:val="21"/>
          <w:szCs w:val="21"/>
        </w:rPr>
        <w:t>1．发展生产力就是抓住了矛盾运动的主要方面</w:t>
      </w:r>
    </w:p>
    <w:p w14:paraId="4EF3D156">
      <w:pPr>
        <w:ind w:firstLine="525" w:firstLineChars="250"/>
        <w:rPr>
          <w:rFonts w:eastAsia="宋体" w:cs="Times New Roman"/>
          <w:color w:val="000000"/>
          <w:sz w:val="21"/>
          <w:szCs w:val="21"/>
        </w:rPr>
      </w:pPr>
      <w:r>
        <w:rPr>
          <w:rFonts w:hint="eastAsia" w:eastAsia="宋体" w:cs="Times New Roman"/>
          <w:color w:val="000000"/>
          <w:sz w:val="21"/>
          <w:szCs w:val="21"/>
        </w:rPr>
        <w:t>在社会主义的历史中，对社会主义时期的主要矛盾曾产生过错误的理解，这是导致不清楚什么是社会主义的重要原因之一。而这种错误理解产生的原因就在于离开生产力这个主要方面来认识和把握社会矛盾运动。邓小平之所以能从前人的误区中走出来，就在于他始终以生产力为立足点来分析中国社会的矛盾运动。他认为，中国虽然进入了社会主义，但是“我们的生产力发展水平很低，远远不能满足人民和国家的需要，这就是我们目前时期的主要矛盾，解决这个主要矛盾就是我们的中心任务。”邓小平关于社会主义社会主要矛盾及其基本任务的分析，明确指明了社会主义事业千头万绪，但必须把发展生产力放在首位，切实解决人民的物质利益问题。因此，正如十六大报告指出的，马克思主义执政党必须高度重视解放和发展生产力，共产党必须首先代表先进生产力的发展要求。事实上，社会主义只有把发展生产力作为根本任务，把满足人民日益增长的物质、文化需要作为党和国家的最根本工作目标，社会主义建设事业才能不断兴旺发达，社会主义社会才能成为人民富裕、政治文明、国家富强的社会。</w:t>
      </w:r>
    </w:p>
    <w:p w14:paraId="6A73CB56">
      <w:pPr>
        <w:ind w:firstLine="525" w:firstLineChars="250"/>
        <w:rPr>
          <w:rFonts w:eastAsia="宋体" w:cs="Times New Roman"/>
          <w:color w:val="000000"/>
          <w:sz w:val="21"/>
          <w:szCs w:val="21"/>
        </w:rPr>
      </w:pPr>
      <w:r>
        <w:rPr>
          <w:rFonts w:hint="eastAsia" w:eastAsia="宋体" w:cs="Times New Roman"/>
          <w:color w:val="000000"/>
          <w:sz w:val="21"/>
          <w:szCs w:val="21"/>
        </w:rPr>
        <w:t>2．发展生产力是体现社会主义优越性的前提条件</w:t>
      </w:r>
    </w:p>
    <w:p w14:paraId="48D78308">
      <w:pPr>
        <w:ind w:firstLine="525" w:firstLineChars="250"/>
        <w:rPr>
          <w:rFonts w:eastAsia="宋体" w:cs="Times New Roman"/>
          <w:color w:val="000000"/>
          <w:sz w:val="21"/>
          <w:szCs w:val="21"/>
        </w:rPr>
      </w:pPr>
      <w:r>
        <w:rPr>
          <w:rFonts w:hint="eastAsia" w:eastAsia="宋体" w:cs="Times New Roman"/>
          <w:color w:val="000000"/>
          <w:sz w:val="21"/>
          <w:szCs w:val="21"/>
        </w:rPr>
        <w:t>邓小平在分析社会主义本质和任务时，是把社会主义作为人类社会发展长河中的一个过程来考察的。它是介于资本主义和共产主义之间的一个过渡性的社会形态，所以它理应比资本主义更高级。也就是说，社会主义要优越于资本主义，同时要为最终过渡到共产主义奠定坚实的基础。事实上，即使人民当家作了主，即使实行了“一大二公”的公有制，但如果经济效益仍然很低，国家仍然很穷，人民生活提高缓慢，社会主义优越性就无从谈起。因为这不是名符其实的社会主义。正如邓小平指出“贫穷不是社会主义，发展太慢也不是社会主义，否则社会主义有什么优越性呢？”可见，他是把社会主义的任务同社会主义的优越性紧密联系起来进行深刻阐述的。这说明并要求我们的根本任务要提倡务实精神，踏踏实实地以经济建设为中心，尤其在目前要处理好国家调控与市场调节、部分先富与共同富裕、改革开放与四项基本原则，以及毫不动摇地发展作为主体性的公有制与作为辅体性的中外私有制，全面繁荣农村经济与实现新型工业化，“引进来”与“走出去”等一系列重要关系，“放手让一切劳动、知识、技术、管理和资本的活力竞相迸发，让一切创造社会财富的源泉充分涌流，以造福于人民。”简言之，要在快速发展生产力的基础上快速改善人民的物质和文化生活，以便显示社会主义应有的优越性。</w:t>
      </w:r>
    </w:p>
    <w:p w14:paraId="4721C69B">
      <w:pPr>
        <w:ind w:firstLine="525" w:firstLineChars="250"/>
        <w:rPr>
          <w:rFonts w:eastAsia="宋体" w:cs="Times New Roman"/>
          <w:color w:val="000000"/>
          <w:sz w:val="21"/>
          <w:szCs w:val="21"/>
        </w:rPr>
      </w:pPr>
      <w:r>
        <w:rPr>
          <w:rFonts w:hint="eastAsia" w:eastAsia="宋体" w:cs="Times New Roman"/>
          <w:color w:val="000000"/>
          <w:sz w:val="21"/>
          <w:szCs w:val="21"/>
        </w:rPr>
        <w:t>3．发展生产力是社会主义战胜资本主义的基本手段</w:t>
      </w:r>
    </w:p>
    <w:p w14:paraId="19D0820E">
      <w:pPr>
        <w:ind w:firstLine="525" w:firstLineChars="250"/>
        <w:rPr>
          <w:rFonts w:eastAsia="宋体" w:cs="Times New Roman"/>
          <w:color w:val="000000"/>
          <w:sz w:val="21"/>
          <w:szCs w:val="21"/>
        </w:rPr>
      </w:pPr>
      <w:r>
        <w:rPr>
          <w:rFonts w:hint="eastAsia" w:eastAsia="宋体" w:cs="Times New Roman"/>
          <w:color w:val="000000"/>
          <w:sz w:val="21"/>
          <w:szCs w:val="21"/>
        </w:rPr>
        <w:t>当今世界社会主义与资本主义同球共处，相竞争而发展。而竞争的实质问题是经济实力和生产力的发展水平。社会主义能否在全球竞争中取胜，能否顶住霸权主义和强权政治的压力，能否最终战胜资本主义，根本是靠生产力竞争。正因为如此，邓小平反复强调，“中国能不能顶住霸权主义、强权政治的压力，坚持我们的社会主义制度，关键就看能不能争得较快的增长速度。”“社会主义必须大力发展生产力，逐步消灭贫穷，不断提高人民的生活水平。否则，社会主义怎么能战胜资本主义？”我国至今仍与发达的资本主义国家在生产力水平上存在着较大差距，因而将发展生产力作为最基本的任务，便成了在经济全球化大背景中消灭贫穷，赶超发达资本主义，恢复科学社会主义应有活力的根本手段。邓小平说得好，最终说服不相信社会主义的人要靠我们的发展，如果20世纪内达到小康水平，那么，“到那个时候，中国就会对人类有大一点的贡献。”如果到21世纪前半世纪，我们达到中等发达国家的水平，“这不但是给占世界总人口四分之三的第三世界走出了一条新路，更重要的是向人类表明，社会主义是必由之路，社会主义优于资本主义。”可见，只有继续高举邓小平理论的旗帜，认真贯彻十六大精神，以发展生产力为根本任务，把小康社会全面建设好，加速推进现代化程度，社会主义的生命力和优越性才能得到世界的公认，社会主义理论和信仰才能有感召力，也才能以事实说明“什么是科学社会主义”。</w:t>
      </w:r>
    </w:p>
    <w:p w14:paraId="45C191F8">
      <w:pPr>
        <w:ind w:firstLine="525" w:firstLineChars="250"/>
        <w:rPr>
          <w:rFonts w:eastAsia="宋体" w:cs="Times New Roman"/>
          <w:color w:val="000000"/>
          <w:sz w:val="21"/>
          <w:szCs w:val="21"/>
        </w:rPr>
      </w:pPr>
      <w:r>
        <w:rPr>
          <w:rFonts w:hint="eastAsia" w:eastAsia="宋体" w:cs="Times New Roman"/>
          <w:color w:val="000000"/>
          <w:sz w:val="21"/>
          <w:szCs w:val="21"/>
        </w:rPr>
        <w:t>整个世界90年代以来，美国即使依靠经济霸权、高新技术和发动战争等，也出现了经济衰退和缓慢增长；日本经济10多年启动不起来而一直处于停滞和极慢增长之中；苏东国家剧变后普遍形成大规模的经济倒退；墨西哥、阿根廷等资本主义国家先后出现金融和经济危机。而与此相对照，中国“一枝独秀，风景这边独好”，经济和社会快速健康地发展。这说明，社会主义比资本主义更适合市场经济，更能促进生产力和社会的发展。</w:t>
      </w:r>
    </w:p>
    <w:p w14:paraId="721F3078">
      <w:pPr>
        <w:ind w:firstLine="360"/>
        <w:rPr>
          <w:rFonts w:eastAsia="宋体" w:cs="Times New Roman"/>
          <w:b/>
          <w:color w:val="000000"/>
          <w:sz w:val="21"/>
          <w:szCs w:val="21"/>
        </w:rPr>
      </w:pPr>
      <w:r>
        <w:rPr>
          <w:rFonts w:hint="eastAsia" w:eastAsia="宋体" w:cs="Times New Roman"/>
          <w:b/>
          <w:color w:val="000000"/>
          <w:sz w:val="21"/>
          <w:szCs w:val="21"/>
        </w:rPr>
        <w:t xml:space="preserve">      三、社会主义是生产力和生产关系矛盾运动的统一体</w:t>
      </w:r>
    </w:p>
    <w:p w14:paraId="75A9DFEF">
      <w:pPr>
        <w:ind w:firstLine="525" w:firstLineChars="250"/>
        <w:rPr>
          <w:rFonts w:eastAsia="宋体" w:cs="Times New Roman"/>
          <w:color w:val="000000"/>
          <w:sz w:val="21"/>
          <w:szCs w:val="21"/>
        </w:rPr>
      </w:pPr>
      <w:r>
        <w:rPr>
          <w:rFonts w:hint="eastAsia" w:eastAsia="宋体" w:cs="Times New Roman"/>
          <w:color w:val="000000"/>
          <w:sz w:val="21"/>
          <w:szCs w:val="21"/>
        </w:rPr>
        <w:t>邓小平关于社会主义本质的论述是一个生产力与生产关系矛盾运动的辩证统一体，而在实践中它们的彻底体现有先有后，彼此互为因果，相得益彰。这既符合历史唯物主义的发展观，也符合我国社会主义建设的实际。</w:t>
      </w:r>
    </w:p>
    <w:p w14:paraId="7C1CB3AB">
      <w:pPr>
        <w:ind w:firstLine="525" w:firstLineChars="250"/>
        <w:rPr>
          <w:rFonts w:eastAsia="宋体" w:cs="Times New Roman"/>
          <w:color w:val="000000"/>
          <w:sz w:val="21"/>
          <w:szCs w:val="21"/>
        </w:rPr>
      </w:pPr>
      <w:r>
        <w:rPr>
          <w:rFonts w:hint="eastAsia" w:eastAsia="宋体" w:cs="Times New Roman"/>
          <w:color w:val="000000"/>
          <w:sz w:val="21"/>
          <w:szCs w:val="21"/>
        </w:rPr>
        <w:t>社会主义本质的体现，首先要从发展生产力与解放生产力上表现出来。生产力是衡量社会进步与否的最终标准，“社会主义原则，第一是发展生产，第二是共同致富”。社会主义之所以必然取代资本主义，就在于“社会主义的优越性归根到底要体现在它的生产力比资本主义发展得更快一些，更高一些，并且在发展生产力的基础上不断改善人民的物质文化生活。”如果没有生产力的解放和充分发展，社会主义本质其他两个方面内容的实现，就成了无源之水，也难以体现。消灭剥削，消除两极分化，最终达到共同富裕，这是社会主义的必然趋势，但这一本质的体现是随着生产力的发展而逐步得以实现的。</w:t>
      </w:r>
    </w:p>
    <w:p w14:paraId="7A6D3055">
      <w:pPr>
        <w:ind w:firstLine="525" w:firstLineChars="250"/>
        <w:rPr>
          <w:rFonts w:eastAsia="宋体" w:cs="Times New Roman"/>
          <w:color w:val="000000"/>
          <w:sz w:val="21"/>
          <w:szCs w:val="21"/>
        </w:rPr>
      </w:pPr>
      <w:r>
        <w:rPr>
          <w:rFonts w:hint="eastAsia" w:eastAsia="宋体" w:cs="Times New Roman"/>
          <w:color w:val="000000"/>
          <w:sz w:val="21"/>
          <w:szCs w:val="21"/>
        </w:rPr>
        <w:t>我国在对传统经济体制进行调整和改革的同时，仍存在着贫富差别和剥削现象，这是不由人们的主观意志所决定的，是生产力发展过程中的历史现象。而这种现象的存在和出现正是因为我国生产力水平还不够发达，尤其是公有经济的生产效率不高所致。不过，在坚持公有制为主体的前提下允许多种非公有制形式的存在和适当发展，尽管会导致低度的贫富差别和剥削现象，但却有利于解放生产力和发展生产力。其实这也正是社会主义进步性的重要体现，是为最终消灭私有制及其剥削，消除两极分化创造条件。当然，强调生产力在社会主义本质体现过程中的首要性，并不是对其他本质的否定。相反，低度的两极分化和一定程度的剥削现象既是正常的又必须受到扼制，使之有利于促进生产力的进一步发展和加快实现共同富裕。</w:t>
      </w:r>
    </w:p>
    <w:p w14:paraId="7D3A136C">
      <w:pPr>
        <w:ind w:firstLine="525" w:firstLineChars="250"/>
        <w:rPr>
          <w:rFonts w:eastAsia="宋体" w:cs="Times New Roman"/>
          <w:color w:val="000000"/>
          <w:sz w:val="21"/>
          <w:szCs w:val="21"/>
        </w:rPr>
      </w:pPr>
      <w:r>
        <w:rPr>
          <w:rFonts w:hint="eastAsia" w:eastAsia="宋体" w:cs="Times New Roman"/>
          <w:color w:val="000000"/>
          <w:sz w:val="21"/>
          <w:szCs w:val="21"/>
        </w:rPr>
        <w:t>为了最终体现社会主义最大的优越性——共同富裕，防止剥削和贫富分化在社会主义肌体内大幅度产生和蔓延，确保“消灭剥削，消除两极分化”这一本质在大局上的体现，社会主义在大力发展市场经济和扩大对外开放的过程中，必须坚持以公有制和按劳分配这两个主体为前提。邓小平虽然没有将公有制和按劳分配明确写入社会主义本质中，可是，本质论是蕴含着这两个社会主义前提的。邓小平始终强调：“社会主义有两个非常重要的方面，一是以公有制为主体，二不搞两极分化”，“吸收外资也好，允许个体经济的存在和发展也好，归根到底是要更有力地发展生产力，加强公有制经济。只要我国公有制占主体地位，就可以避免两极分化。”</w:t>
      </w:r>
    </w:p>
    <w:p w14:paraId="49B3470D">
      <w:pPr>
        <w:ind w:firstLine="525" w:firstLineChars="250"/>
        <w:rPr>
          <w:rFonts w:eastAsia="宋体" w:cs="Times New Roman"/>
          <w:color w:val="000000"/>
          <w:sz w:val="21"/>
          <w:szCs w:val="21"/>
        </w:rPr>
      </w:pPr>
      <w:r>
        <w:rPr>
          <w:rFonts w:hint="eastAsia" w:eastAsia="宋体" w:cs="Times New Roman"/>
          <w:color w:val="000000"/>
          <w:sz w:val="21"/>
          <w:szCs w:val="21"/>
        </w:rPr>
        <w:t>可见，只有在发展多种所有制经济的过程中体现以公有制为主体，而不是以私有制为主体；只有在各种生产要素都参与分配的过程中体现按劳分配为主体，而不是以按资分配为主体，才能防止两极分化，真正实现共同富裕。党的十一届三中全会以来，我国突破传统模式的束缚，建立了以公有制为主体的多种经济成分并存和以按劳分配为主体的多种分配方式并存的制度。实践证明，这样既有利于发展社会主义社会的生产力，增强社会主义国家的综合国力，又有利于提高人民生活水平，从大局上防止了高度剥削和两极分化。</w:t>
      </w:r>
    </w:p>
    <w:p w14:paraId="39B05EE3">
      <w:pPr>
        <w:ind w:firstLine="525" w:firstLineChars="250"/>
        <w:rPr>
          <w:rFonts w:eastAsia="宋体" w:cs="Times New Roman"/>
          <w:color w:val="000000"/>
          <w:sz w:val="21"/>
          <w:szCs w:val="21"/>
        </w:rPr>
      </w:pPr>
      <w:r>
        <w:rPr>
          <w:rFonts w:hint="eastAsia" w:eastAsia="宋体" w:cs="Times New Roman"/>
          <w:color w:val="000000"/>
          <w:sz w:val="21"/>
          <w:szCs w:val="21"/>
        </w:rPr>
        <w:t>邓小平在关于社会主义本质的论述中，从生产力与生产关系以及二者的矛盾运动入手，充分肯定了生产力在社会主义广义本质中的基础地位。这是因为，只有通过改革开放把生产力从束缚它发展的传统经济体制下解放出来，建立起充满生机和活力的社会主义市场经济体制，才能实现社会的“富裕”。在生产关系方面，为了确保生产力发展的“成果是属于人民的”，保证“富裕”的公平合理，还必须经过“消灭剥削，消除两极分化”来确保生产关系的进步性。这样，既解决了“富裕”问题，又保证了“公平”的前提，生产力与生产关系矛盾运动的最终结果，必定是社会主义的最终目标——“共同富裕”的实现。</w:t>
      </w:r>
    </w:p>
    <w:p w14:paraId="4796960F">
      <w:pPr>
        <w:ind w:firstLine="525" w:firstLineChars="250"/>
        <w:rPr>
          <w:rFonts w:eastAsia="宋体" w:cs="Times New Roman"/>
          <w:color w:val="000000"/>
          <w:sz w:val="21"/>
          <w:szCs w:val="21"/>
        </w:rPr>
      </w:pPr>
      <w:r>
        <w:rPr>
          <w:rFonts w:hint="eastAsia" w:eastAsia="宋体" w:cs="Times New Roman"/>
          <w:color w:val="000000"/>
          <w:sz w:val="21"/>
          <w:szCs w:val="21"/>
        </w:rPr>
        <w:t>认识社会主义本质的次序性，便于我们从动态的和历史角度看待社会主义进程。长期以来，我们在回答什么是社会主义的时候，总是以社会主义的最终特征来构筑现阶段的社会主义模式，而邓小平关于社会主义本质的新概括，揭示了社会主义内在要素的矛盾运动规律，正确处理了马克思主义经典作家对未来社会主义的设想与现实的关系，从根本上回答了社会主义的本质是什么，充分体现了科学社会主义是坚持和发展的统一，是与时俱进的开放思想体系。</w:t>
      </w:r>
    </w:p>
    <w:p w14:paraId="167667BF">
      <w:pPr>
        <w:ind w:firstLine="360"/>
        <w:rPr>
          <w:rFonts w:eastAsia="宋体" w:cs="Times New Roman"/>
          <w:b/>
          <w:color w:val="000000"/>
          <w:sz w:val="21"/>
          <w:szCs w:val="21"/>
        </w:rPr>
      </w:pPr>
      <w:r>
        <w:rPr>
          <w:rFonts w:hint="eastAsia" w:eastAsia="宋体" w:cs="Times New Roman"/>
          <w:b/>
          <w:color w:val="000000"/>
          <w:sz w:val="21"/>
          <w:szCs w:val="21"/>
        </w:rPr>
        <w:t xml:space="preserve">     四、结论</w:t>
      </w:r>
    </w:p>
    <w:p w14:paraId="04AE4CEF">
      <w:pPr>
        <w:ind w:firstLine="525" w:firstLineChars="250"/>
        <w:rPr>
          <w:rFonts w:eastAsia="宋体" w:cs="Times New Roman"/>
          <w:color w:val="000000"/>
          <w:sz w:val="21"/>
          <w:szCs w:val="21"/>
        </w:rPr>
      </w:pPr>
      <w:r>
        <w:rPr>
          <w:rFonts w:hint="eastAsia" w:eastAsia="宋体" w:cs="Times New Roman"/>
          <w:color w:val="000000"/>
          <w:sz w:val="21"/>
          <w:szCs w:val="21"/>
        </w:rPr>
        <w:t>邓小平关于社会主义本质的概述，实质上由浅入深包含了三个关联的层次，第一层“解放生产力，发展生产力”是基础，这是因为社会主义的发展，为最终达到共同富裕创造充裕的物质条件。离开了这一生产力基础，“共同富裕”只能成为“空中楼阁”。第二层“消灭剥削，消除两极分化”是解放和发展生产力过程中所应坚持的宏观调控原则，也是基本途径，是通往社会主义性质“共同富裕”的必由之路。偏离了这一途径，即使生产力上去了，最后归宿必定是资本主义的两极分化。第三层“共同富裕”是社会主义阶段的最高目标，也是上述两层的最终归宿。这三个层次相互依存，相互作用，共同体现了社会主义是生产力与生产关系矛盾运动的统一体。但要指出几点：</w:t>
      </w:r>
    </w:p>
    <w:p w14:paraId="53487F69">
      <w:pPr>
        <w:ind w:firstLine="525" w:firstLineChars="250"/>
        <w:rPr>
          <w:rFonts w:eastAsia="宋体" w:cs="Times New Roman"/>
          <w:color w:val="000000"/>
          <w:sz w:val="21"/>
          <w:szCs w:val="21"/>
        </w:rPr>
      </w:pPr>
      <w:r>
        <w:rPr>
          <w:rFonts w:hint="eastAsia" w:eastAsia="宋体" w:cs="Times New Roman"/>
          <w:color w:val="000000"/>
          <w:sz w:val="21"/>
          <w:szCs w:val="21"/>
        </w:rPr>
        <w:t>一是只有代表公有制生产关系的那个阶级及其政党，才能从本质上代表先进生产力的发展要求，尽管这个阶级及其政党鼓励私有制在一定程度上的发展。</w:t>
      </w:r>
    </w:p>
    <w:p w14:paraId="5A5D0395">
      <w:pPr>
        <w:ind w:firstLine="525" w:firstLineChars="250"/>
        <w:rPr>
          <w:rFonts w:eastAsia="宋体" w:cs="Times New Roman"/>
          <w:color w:val="000000"/>
          <w:sz w:val="21"/>
          <w:szCs w:val="21"/>
        </w:rPr>
      </w:pPr>
      <w:r>
        <w:rPr>
          <w:rFonts w:hint="eastAsia" w:eastAsia="宋体" w:cs="Times New Roman"/>
          <w:color w:val="000000"/>
          <w:sz w:val="21"/>
          <w:szCs w:val="21"/>
        </w:rPr>
        <w:t>二是在目前研究社会主义本质的过程中，有的学者加以曲解，认为邓小平的社会主义本质论只包括生产力和共同富裕两条，主张合法的私有制没有经济剥削，把经济剥削说成是一个国家的非法现象，声称无论私营业主有多少也不构成阶级和贫富两极分化。这种貌似新颖的观点，其实是剥削阶级思想史上的陈旧说法，同邓小平的社会主义本质论没有共同点。</w:t>
      </w:r>
    </w:p>
    <w:p w14:paraId="6A00B0D6">
      <w:pPr>
        <w:ind w:firstLine="525" w:firstLineChars="250"/>
        <w:rPr>
          <w:rFonts w:eastAsia="宋体" w:cs="Times New Roman"/>
          <w:color w:val="000000"/>
          <w:sz w:val="21"/>
          <w:szCs w:val="21"/>
        </w:rPr>
      </w:pPr>
      <w:r>
        <w:rPr>
          <w:rFonts w:hint="eastAsia" w:eastAsia="宋体" w:cs="Times New Roman"/>
          <w:color w:val="000000"/>
          <w:sz w:val="21"/>
          <w:szCs w:val="21"/>
        </w:rPr>
        <w:t>三是邓小平关于社会主义本质的理论同当代社会党的民主社会主义观点也有着本质上的区别。后者认为，社会主义的本质是“自由、公正、互助”。自由是指每个人都可以发展自己的个性，参与政治、经济和文化活动；公正是指每个人都享有各种机会均等，其中包括社会保障、财产和收入以及权利的平等分配；互助是指个人之间相互乐于彼此承担责任，使别人获得与自己同等的平等和自由权利。国内个别经济学家的相似新表述为：“社会主义=社会公正+市场经济”。实际上，离开了消灭剥削和消除两极分化，也就是离开了公有制和按劳分配占主体，便不可能较充分地实现“自由、公正、互助”，也不可能建设好社会主义类型和性质的市场经济了。</w:t>
      </w:r>
    </w:p>
    <w:p w14:paraId="68895CE5">
      <w:pPr>
        <w:ind w:firstLine="360"/>
        <w:rPr>
          <w:rFonts w:eastAsia="宋体" w:cs="Times New Roman"/>
          <w:color w:val="000000"/>
          <w:sz w:val="21"/>
          <w:szCs w:val="21"/>
        </w:rPr>
      </w:pPr>
    </w:p>
    <w:p w14:paraId="66A78FEF">
      <w:pPr>
        <w:ind w:firstLine="360"/>
        <w:rPr>
          <w:rFonts w:eastAsia="宋体" w:cs="Times New Roman"/>
          <w:color w:val="000000"/>
          <w:sz w:val="21"/>
          <w:szCs w:val="21"/>
        </w:rPr>
      </w:pPr>
    </w:p>
    <w:p w14:paraId="5EC03AB0">
      <w:pPr>
        <w:ind w:firstLine="360"/>
        <w:rPr>
          <w:rFonts w:eastAsia="宋体" w:cs="Times New Roman"/>
          <w:color w:val="000000"/>
          <w:sz w:val="21"/>
          <w:szCs w:val="21"/>
        </w:rPr>
      </w:pPr>
      <w:r>
        <w:rPr>
          <w:rFonts w:hint="eastAsia" w:eastAsia="宋体" w:cs="Times New Roman"/>
          <w:color w:val="000000"/>
          <w:sz w:val="21"/>
          <w:szCs w:val="21"/>
        </w:rPr>
        <w:t>参考文献</w:t>
      </w:r>
    </w:p>
    <w:p w14:paraId="4294BFE9">
      <w:pPr>
        <w:ind w:firstLine="360"/>
        <w:rPr>
          <w:rFonts w:eastAsia="宋体" w:cs="Times New Roman"/>
          <w:color w:val="000000"/>
          <w:sz w:val="21"/>
          <w:szCs w:val="21"/>
        </w:rPr>
      </w:pPr>
      <w:r>
        <w:rPr>
          <w:rFonts w:hint="eastAsia" w:eastAsia="宋体" w:cs="Times New Roman"/>
          <w:color w:val="000000"/>
          <w:sz w:val="21"/>
          <w:szCs w:val="21"/>
        </w:rPr>
        <w:t>[1]邓小平文选(第3卷)[M].北京：人民出版社，1993.</w:t>
      </w:r>
    </w:p>
    <w:p w14:paraId="2F0C5E2F">
      <w:pPr>
        <w:ind w:firstLine="360"/>
        <w:rPr>
          <w:rFonts w:eastAsia="宋体" w:cs="Times New Roman"/>
          <w:color w:val="000000"/>
          <w:sz w:val="21"/>
          <w:szCs w:val="21"/>
        </w:rPr>
      </w:pPr>
      <w:r>
        <w:rPr>
          <w:rFonts w:hint="eastAsia" w:eastAsia="宋体" w:cs="Times New Roman"/>
          <w:color w:val="000000"/>
          <w:sz w:val="21"/>
          <w:szCs w:val="21"/>
        </w:rPr>
        <w:t>[2]邓小平建设有中国特色社会主义论述专题摘编(新编本)[M].北京：中央文献出版社，1995.</w:t>
      </w:r>
    </w:p>
    <w:p w14:paraId="55B5CE1E">
      <w:pPr>
        <w:ind w:firstLine="360"/>
        <w:rPr>
          <w:rFonts w:eastAsia="宋体" w:cs="Times New Roman"/>
          <w:color w:val="000000"/>
          <w:sz w:val="21"/>
          <w:szCs w:val="21"/>
        </w:rPr>
      </w:pPr>
      <w:r>
        <w:rPr>
          <w:rFonts w:hint="eastAsia" w:eastAsia="宋体" w:cs="Times New Roman"/>
          <w:color w:val="000000"/>
          <w:sz w:val="21"/>
          <w:szCs w:val="21"/>
        </w:rPr>
        <w:t>[3]程恩富1社会主义三阶段论(第一章)[M]1广州：广东高教出版社，1990.</w:t>
      </w:r>
    </w:p>
    <w:p w14:paraId="7BCD8CFB">
      <w:pPr>
        <w:ind w:firstLine="360"/>
        <w:rPr>
          <w:rFonts w:eastAsia="宋体" w:cs="Times New Roman"/>
          <w:color w:val="000000"/>
          <w:sz w:val="21"/>
          <w:szCs w:val="21"/>
        </w:rPr>
      </w:pPr>
      <w:r>
        <w:rPr>
          <w:rFonts w:hint="eastAsia" w:eastAsia="宋体" w:cs="Times New Roman"/>
          <w:color w:val="000000"/>
          <w:sz w:val="21"/>
          <w:szCs w:val="21"/>
        </w:rPr>
        <w:t>[4]程恩富1当代中国经济理论探索(第七章)[C].上海：上海财经大学出版社，2000.</w:t>
      </w:r>
    </w:p>
    <w:p w14:paraId="0476972F">
      <w:pPr>
        <w:ind w:firstLine="360"/>
        <w:rPr>
          <w:rFonts w:eastAsia="宋体" w:cs="Times New Roman"/>
          <w:color w:val="000000"/>
          <w:sz w:val="21"/>
          <w:szCs w:val="21"/>
        </w:rPr>
      </w:pPr>
      <w:r>
        <w:rPr>
          <w:rFonts w:hint="eastAsia" w:eastAsia="宋体" w:cs="Times New Roman"/>
          <w:color w:val="000000"/>
          <w:sz w:val="21"/>
          <w:szCs w:val="21"/>
        </w:rPr>
        <w:t>[5]邓小平文选(1975-1982年)[M]1北京：人民出版社，</w:t>
      </w:r>
      <w:r>
        <w:rPr>
          <w:rFonts w:eastAsia="宋体" w:cs="Times New Roman"/>
          <w:color w:val="000000"/>
          <w:sz w:val="21"/>
          <w:szCs w:val="21"/>
        </w:rPr>
        <w:t>1983</w:t>
      </w:r>
      <w:r>
        <w:rPr>
          <w:rFonts w:hint="eastAsia" w:eastAsia="宋体" w:cs="Times New Roman"/>
          <w:color w:val="000000"/>
          <w:sz w:val="21"/>
          <w:szCs w:val="21"/>
        </w:rPr>
        <w:t>.</w:t>
      </w:r>
    </w:p>
    <w:p w14:paraId="73FDF5A6">
      <w:pPr>
        <w:ind w:firstLine="360"/>
        <w:rPr>
          <w:rFonts w:eastAsia="宋体" w:cs="Times New Roman"/>
          <w:color w:val="000000"/>
          <w:sz w:val="21"/>
          <w:szCs w:val="21"/>
        </w:rPr>
      </w:pPr>
      <w:r>
        <w:rPr>
          <w:rFonts w:hint="eastAsia" w:eastAsia="宋体" w:cs="Times New Roman"/>
          <w:color w:val="000000"/>
          <w:sz w:val="21"/>
          <w:szCs w:val="21"/>
        </w:rPr>
        <w:t>[6]十六大报告辅导读本[M].北京：人民出版社，20021.4.</w:t>
      </w:r>
    </w:p>
    <w:p w14:paraId="13D619E9">
      <w:pPr>
        <w:ind w:firstLine="360"/>
        <w:rPr>
          <w:rFonts w:eastAsia="宋体" w:cs="Times New Roman"/>
          <w:color w:val="000000"/>
          <w:sz w:val="21"/>
          <w:szCs w:val="21"/>
        </w:rPr>
      </w:pPr>
      <w:r>
        <w:rPr>
          <w:rFonts w:hint="eastAsia" w:eastAsia="宋体" w:cs="Times New Roman"/>
          <w:color w:val="000000"/>
          <w:sz w:val="21"/>
          <w:szCs w:val="21"/>
        </w:rPr>
        <w:t>[7]中国海派经济学创始人——程恩富[A]1与中国著名经济学家对话(第五辑)[C].北京：中国经济出版社，2003.</w:t>
      </w:r>
    </w:p>
    <w:p w14:paraId="32CA81F4">
      <w:pPr>
        <w:ind w:firstLine="360"/>
        <w:rPr>
          <w:rFonts w:eastAsia="宋体" w:cs="Times New Roman"/>
          <w:color w:val="000000"/>
          <w:sz w:val="21"/>
          <w:szCs w:val="21"/>
        </w:rPr>
      </w:pPr>
      <w:r>
        <w:rPr>
          <w:rFonts w:hint="eastAsia" w:eastAsia="宋体" w:cs="Times New Roman"/>
          <w:color w:val="000000"/>
          <w:sz w:val="21"/>
          <w:szCs w:val="21"/>
        </w:rPr>
        <w:t xml:space="preserve"> </w:t>
      </w:r>
    </w:p>
    <w:p w14:paraId="6EA4C89D">
      <w:pPr>
        <w:rPr>
          <w:rFonts w:eastAsia="宋体" w:cs="Times New Roman"/>
          <w:sz w:val="21"/>
          <w:szCs w:val="24"/>
        </w:rPr>
      </w:pPr>
      <w:r>
        <w:rPr>
          <w:rFonts w:hint="eastAsia" w:eastAsia="宋体" w:cs="Times New Roman"/>
          <w:color w:val="000000"/>
          <w:sz w:val="21"/>
          <w:szCs w:val="21"/>
        </w:rPr>
        <w:t xml:space="preserve">  （原载《重庆邮电学院学报》（社会科学版）2003年第9期）</w:t>
      </w:r>
    </w:p>
    <w:p w14:paraId="023E9464">
      <w:pPr>
        <w:rPr>
          <w:rFonts w:ascii="黑体" w:hAnsi="黑体" w:eastAsia="黑体"/>
          <w:sz w:val="32"/>
          <w:szCs w:val="32"/>
        </w:rPr>
      </w:pPr>
    </w:p>
    <w:p w14:paraId="2CD47E41">
      <w:pPr>
        <w:rPr>
          <w:rFonts w:ascii="黑体" w:hAnsi="黑体" w:eastAsia="黑体"/>
          <w:sz w:val="32"/>
          <w:szCs w:val="32"/>
        </w:rPr>
      </w:pPr>
    </w:p>
    <w:p w14:paraId="628F67B0">
      <w:pPr>
        <w:rPr>
          <w:rFonts w:ascii="黑体" w:hAnsi="黑体" w:eastAsia="黑体"/>
          <w:sz w:val="32"/>
          <w:szCs w:val="32"/>
        </w:rPr>
      </w:pPr>
    </w:p>
    <w:p w14:paraId="6C6B419B">
      <w:pPr>
        <w:rPr>
          <w:rFonts w:ascii="黑体" w:hAnsi="黑体" w:eastAsia="黑体"/>
          <w:sz w:val="32"/>
          <w:szCs w:val="32"/>
        </w:rPr>
      </w:pPr>
    </w:p>
    <w:p w14:paraId="2DB16526">
      <w:pPr>
        <w:rPr>
          <w:rFonts w:ascii="黑体" w:hAnsi="黑体" w:eastAsia="黑体"/>
          <w:sz w:val="32"/>
          <w:szCs w:val="32"/>
        </w:rPr>
      </w:pPr>
    </w:p>
    <w:p w14:paraId="71A30086">
      <w:pPr>
        <w:rPr>
          <w:rFonts w:ascii="黑体" w:hAnsi="黑体" w:eastAsia="黑体"/>
          <w:sz w:val="32"/>
          <w:szCs w:val="32"/>
        </w:rPr>
      </w:pPr>
    </w:p>
    <w:p w14:paraId="07DE4311">
      <w:pPr>
        <w:rPr>
          <w:rFonts w:ascii="黑体" w:hAnsi="黑体" w:eastAsia="黑体"/>
          <w:sz w:val="32"/>
          <w:szCs w:val="32"/>
        </w:rPr>
      </w:pPr>
    </w:p>
    <w:p w14:paraId="0CEC7359">
      <w:pPr>
        <w:rPr>
          <w:rFonts w:ascii="黑体" w:hAnsi="黑体" w:eastAsia="黑体"/>
          <w:sz w:val="32"/>
          <w:szCs w:val="32"/>
        </w:rPr>
      </w:pPr>
    </w:p>
    <w:p w14:paraId="48CA4C2A">
      <w:pPr>
        <w:rPr>
          <w:rFonts w:ascii="黑体" w:hAnsi="黑体" w:eastAsia="黑体"/>
          <w:sz w:val="32"/>
          <w:szCs w:val="32"/>
        </w:rPr>
      </w:pPr>
    </w:p>
    <w:p w14:paraId="590737B1">
      <w:pPr>
        <w:rPr>
          <w:rFonts w:ascii="黑体" w:hAnsi="黑体" w:eastAsia="黑体"/>
          <w:sz w:val="32"/>
          <w:szCs w:val="32"/>
        </w:rPr>
      </w:pPr>
    </w:p>
    <w:p w14:paraId="389BBD6D">
      <w:pPr>
        <w:rPr>
          <w:rFonts w:ascii="黑体" w:hAnsi="黑体" w:eastAsia="黑体"/>
          <w:sz w:val="32"/>
          <w:szCs w:val="32"/>
        </w:rPr>
      </w:pPr>
    </w:p>
    <w:p w14:paraId="1F7014DC">
      <w:pPr>
        <w:rPr>
          <w:rFonts w:ascii="黑体" w:hAnsi="黑体" w:eastAsia="黑体"/>
          <w:sz w:val="32"/>
          <w:szCs w:val="32"/>
        </w:rPr>
      </w:pPr>
    </w:p>
    <w:p w14:paraId="130DB7D6">
      <w:pPr>
        <w:rPr>
          <w:rFonts w:ascii="黑体" w:hAnsi="黑体" w:eastAsia="黑体"/>
          <w:sz w:val="32"/>
          <w:szCs w:val="32"/>
        </w:rPr>
      </w:pPr>
    </w:p>
    <w:p w14:paraId="4A5ED3C7">
      <w:pPr>
        <w:rPr>
          <w:rFonts w:ascii="黑体" w:hAnsi="黑体" w:eastAsia="黑体"/>
          <w:sz w:val="32"/>
          <w:szCs w:val="32"/>
        </w:rPr>
      </w:pPr>
    </w:p>
    <w:p w14:paraId="6A5A18FC">
      <w:pPr>
        <w:rPr>
          <w:rFonts w:ascii="黑体" w:hAnsi="黑体" w:eastAsia="黑体"/>
          <w:sz w:val="32"/>
          <w:szCs w:val="32"/>
        </w:rPr>
      </w:pPr>
    </w:p>
    <w:p w14:paraId="4DB58238">
      <w:pPr>
        <w:ind w:firstLine="420" w:firstLineChars="200"/>
        <w:jc w:val="center"/>
        <w:outlineLvl w:val="1"/>
        <w:rPr>
          <w:rFonts w:ascii="宋体" w:hAnsi="宋体" w:eastAsia="宋体" w:cs="Times New Roman"/>
          <w:b/>
          <w:color w:val="000000"/>
          <w:sz w:val="21"/>
          <w:szCs w:val="21"/>
        </w:rPr>
      </w:pPr>
      <w:bookmarkStart w:id="214" w:name="_Toc3059"/>
      <w:bookmarkStart w:id="215" w:name="_Toc1849046469"/>
      <w:bookmarkStart w:id="216" w:name="_Toc1187802429"/>
      <w:r>
        <w:rPr>
          <w:rFonts w:ascii="宋体" w:hAnsi="宋体" w:eastAsia="宋体" w:cs="Times New Roman"/>
          <w:b/>
          <w:color w:val="000000"/>
          <w:sz w:val="21"/>
          <w:szCs w:val="21"/>
        </w:rPr>
        <w:t>价值、财富与分配“新四说”</w:t>
      </w:r>
      <w:bookmarkEnd w:id="201"/>
      <w:bookmarkEnd w:id="202"/>
      <w:bookmarkEnd w:id="214"/>
      <w:bookmarkEnd w:id="215"/>
      <w:bookmarkEnd w:id="216"/>
    </w:p>
    <w:p w14:paraId="5BBA66D6">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 xml:space="preserve"> </w:t>
      </w:r>
    </w:p>
    <w:p w14:paraId="0F5E66C5">
      <w:pPr>
        <w:ind w:firstLine="420" w:firstLineChars="200"/>
        <w:rPr>
          <w:rFonts w:ascii="宋体" w:hAnsi="宋体" w:eastAsia="宋体" w:cs="Times New Roman"/>
          <w:b/>
          <w:color w:val="000000"/>
          <w:sz w:val="21"/>
          <w:szCs w:val="21"/>
        </w:rPr>
      </w:pPr>
      <w:r>
        <w:rPr>
          <w:rFonts w:ascii="宋体" w:hAnsi="宋体" w:eastAsia="宋体" w:cs="Times New Roman"/>
          <w:b/>
          <w:color w:val="000000"/>
          <w:sz w:val="21"/>
          <w:szCs w:val="21"/>
        </w:rPr>
        <w:t>一、活劳动价值说</w:t>
      </w:r>
    </w:p>
    <w:p w14:paraId="4B94CE56">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依据马克思关于活劳动创造为市场交换而生产的商品价值，以及纯粹为商品价值形态转换服务的流通不创造价值的科学精神，我们认为，凡是直接为市场交换而生产物质商品和精神商品，以及直接为劳动力商品的生产和再生产服务的劳动， 其中包括自然人和法人实体的内部管理劳动和科技劳动，都属于创造价值的劳动或生产劳动。这一新的“活劳动价值说”，不仅没有否定马克思的核心思想和方法，而且恰恰是遵循了马克思研究物质生产领域价值创造的思路，并把它扩展到一切社会经济部门后所形成的必然结论。具体说来：第一，生产物质商品的劳动是创造价值的生产性劳动。如为市场提供物质商品的农业、工业、建筑业、物质技术业等领域中的生产性劳动。这是马克思早已阐明的。第二，从事有形和无形商品场所变更的劳动是创造价值的生产性劳动。如为市场提供货物和人员空间位移的运输劳动， 提供书信、消息、电报、电话等各种信息传递的邮电劳动。场所变更或信息传递就是广义交通劳动产生的效用，它们是可以发生在流通领域内的特殊生产性部门。这也是马克思基本阐明的观点。第三，生产有形和无形精神商品的劳动是创造价值的生产性劳动。如为市场提供精神商品的教育、社会科学、自然科学、文化技术、文学艺术、广播影视、新闻出版、图书馆、博物馆等领域中的生产性劳动，其中包括讲课、表演等无形商品或服务劳动。应当突破价值创造仅界限于物质劳动，确认生产有形和无形精神商品的劳动同样创造价值。①第四，从事劳动力商品生产的服务劳动是创造价值的生产性劳动。直接涉及劳动力这一特殊商品的生产和再生产的部门，除了包括上述有关人们生活的生产性部门以外，还包括医疗、卫生、体育、美发、美容、沐浴等等。②第五，生产性企业私营业主的经营管理活动是创造价值的。我国传统的政治经济学承认，在公有制企业内，厂长经理从事生产性管理活动是创造商品价值的生产劳动， 而对于资本主义私营企业内，从事生产性经营管理的活动能不能创造价值的问题， 则持完全否定或回避的态度。这在分析逻辑上就形成一种难以自圆其说的矛盾：本来属于创造价值的生产性管理活动，一旦与该企业的财产私有权相结合，便全部丧失其创造价值的生产劳动属性。其实，倘若生产性私营企业的主要投资者或所有者， 同时又是该企业的实际经营管理者</w:t>
      </w:r>
      <w:r>
        <w:rPr>
          <w:rFonts w:hint="eastAsia" w:ascii="宋体" w:hAnsi="宋体" w:eastAsia="宋体" w:cs="Times New Roman"/>
          <w:color w:val="000000"/>
          <w:sz w:val="21"/>
          <w:szCs w:val="21"/>
        </w:rPr>
        <w:t>，</w:t>
      </w:r>
      <w:r>
        <w:rPr>
          <w:rFonts w:ascii="宋体" w:hAnsi="宋体" w:eastAsia="宋体" w:cs="Times New Roman"/>
          <w:color w:val="000000"/>
          <w:sz w:val="21"/>
          <w:szCs w:val="21"/>
        </w:rPr>
        <w:t>那么，这种管理活动具有两重性：一是从社会劳动协作的必要管理中而产生的劳动职能，客观上会创造商品的新价值； 二是从财产所有权获利的必要管理中而产生的剥削职能，客观上又会无偿占有他人的剩余劳动。在现实经济生活中， 这两种职能交织在一起，并由一个人来承担，并不妨碍在科学分析进程中加以定性区别。③第六，劳动生产力变化， 可能引起劳动复杂程度和社会必要劳动量的变化，从而引起商品价值量的变化。马克思在阐述商品价值量与劳动生产率变化规律时舍掉了劳动的主观条件对劳动生产率的影响作用，而认定劳动的客观条件和自然条件变动引起的劳动生产率提高只引起使用价值量变动，不会影响价值总量，所以就得出了商品价值量与劳动生产率反相变化规律。但是，就一般意义而言，引起劳动生产率变化的重要因素是科技的进步，而它会引致劳动复杂程度、熟练程度和强度的提高，进而增大商品的价值量。(1)如果劳动生产率变动是由劳动的客观条件变动而引起的，劳动的主观劳动条件没有发生变化，那么劳动生产率与价值量是反向变动关系，这种情况在一定条件下和一定时期是存在的。(2)如果劳动生产率变动是由劳动的主观条件变动引起的，劳动客观条件没有变动，那么，劳动生产率与价值量变动是正向变动。(3) 如果劳动生产率变动是由劳动的主观和客观条件共同变动引起的，劳动生产率与价值量变动方向不确定，也可能是正方向变动也可能是反方向变动，也可能不变。(4) 就社会价值总量而言，随着劳动生产率的提高，由于商品的价值量总会出现增加的趋势， 因此作为价值的总量也具有一种向上变动的趋势，而不是不变。我们对马克思的商品价值量与劳动生产率的规律作了如上的界定和新理解，就可以科学的说明，科技劳动和管理劳动等在价值创造中的作用与事实。④学术界现对于价值的源泉问题仍有不同的看法。有的学者认为，商品价值的源泉问题也就是商品使用价值的源泉问题，认为人的劳动与大自然、各种生产资料、科学技术和管理经验的结合， 乃是商品价值的源泉和创造者， 其实就是认为商品价值是由各种生产要素创造的。也有的学者主张，只要承认劳动生产力或生产函数是多元的， 最终也会得出非劳动要素参与价值决定的结论。还有的学者把创造价值和增加价值两个概念加以区别，认为从单个企业来看物化劳动是创造价值的， 是创造剩余价值的主要源泉。甚至有的学者把由资本的使用所决定的生产力称之为劳动的资本生产力， 把由土地的使用所决定的生产力称之为劳动的土地生产力，这种生产力也创造价值。此外，还有诸如广义价值论、资源贡献价值论等等。</w:t>
      </w:r>
    </w:p>
    <w:p w14:paraId="3B965096">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虽然看起来各种价值理论竞相争艳，但实质上只有两类</w:t>
      </w:r>
      <w:r>
        <w:rPr>
          <w:rFonts w:hint="eastAsia" w:ascii="宋体" w:hAnsi="宋体" w:eastAsia="宋体" w:cs="Times New Roman"/>
          <w:color w:val="000000"/>
          <w:sz w:val="21"/>
          <w:szCs w:val="21"/>
        </w:rPr>
        <w:t xml:space="preserve"> —— </w:t>
      </w:r>
      <w:r>
        <w:rPr>
          <w:rFonts w:ascii="宋体" w:hAnsi="宋体" w:eastAsia="宋体" w:cs="Times New Roman"/>
          <w:color w:val="000000"/>
          <w:sz w:val="21"/>
          <w:szCs w:val="21"/>
        </w:rPr>
        <w:t>各种宽窄范围不同的活劳动价值论与要素价值论。除了活劳动价值论以外，其他价值论都是生产要素价值论的不同概括。比如，主张物化劳动也创造价值，事实上主张生产资料也创造价值，亦即要素价值论； 主张劳动的土地生产力和劳动的资本生产力创造价值，实际上是肯定土地和资本(生产资料) 也创造价值。</w:t>
      </w:r>
    </w:p>
    <w:p w14:paraId="4F165D93">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各种要素价值论在理论上是不能成立的。首先，要素价值论并不区别抽象劳动和具体劳动，而是将二者混同， 因而混淆价值和使用价值。把劳动过程与价值增值过程混为一团，逻辑上把两个不同角度的东西拼接在一起，因为要素是针对劳动过程而言的，资本(不变资本、可变资本)是针对价值增值过程而言的。其次， 要素价值论还混淆了价值形成和价值增殖的区别。前者是关于价值是如何形成的理论。在生产过程中，通过劳动，一方面将不变资本的价值逐渐转移到新商品价值中去，另一方面劳动力的发挥使用形成新价值，一起形成商品的价值C+V+M。后者是关于价值是如何增殖的理论。任何企业决不满足于转移旧价值和生产出补偿劳动力的价值为止，如果是这种的话，就纯粹是价值形成过程。价值增殖过程是除转移旧价值C 和生产劳动力价值V后 还要取得一个余额——剩余价值。至于这个剩余价值由哪个主体占有，是表现为私人剩余价值，还是集体剩余价值或国家剩余价值，那是由产权制度决定的另一个问题。</w:t>
      </w:r>
    </w:p>
    <w:p w14:paraId="4678553F">
      <w:pPr>
        <w:ind w:firstLine="420" w:firstLineChars="200"/>
        <w:rPr>
          <w:rFonts w:ascii="宋体" w:hAnsi="宋体" w:eastAsia="宋体" w:cs="Times New Roman"/>
          <w:color w:val="000000"/>
          <w:sz w:val="21"/>
          <w:szCs w:val="21"/>
        </w:rPr>
      </w:pPr>
    </w:p>
    <w:p w14:paraId="78CF03AA">
      <w:pPr>
        <w:ind w:firstLine="420" w:firstLineChars="200"/>
        <w:rPr>
          <w:rFonts w:ascii="宋体" w:hAnsi="宋体" w:eastAsia="宋体" w:cs="Times New Roman"/>
          <w:b/>
          <w:color w:val="000000"/>
          <w:sz w:val="21"/>
          <w:szCs w:val="21"/>
        </w:rPr>
      </w:pPr>
      <w:r>
        <w:rPr>
          <w:rFonts w:ascii="宋体" w:hAnsi="宋体" w:eastAsia="宋体" w:cs="Times New Roman"/>
          <w:b/>
          <w:color w:val="000000"/>
          <w:sz w:val="21"/>
          <w:szCs w:val="21"/>
        </w:rPr>
        <w:t>二、全要素财富说</w:t>
      </w:r>
    </w:p>
    <w:p w14:paraId="5F8AA6F6">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活劳动是价值的惟一源泉，但就劳动过程而言，显然，仅有活劳动是远远不够的。人们还必须拥有除劳动之外的其他生产要素才能进行现实的生产和服务活动， 提供能满足人们各种需要的使用价值或效用。其中，包括土地、资本、技术、信息，以及自然资源和生态环境等。因而，财富、效用或使用价值的源泉是多元的，是所有或全部相关生产要素直接创造的。</w:t>
      </w:r>
    </w:p>
    <w:p w14:paraId="0CDBD691">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事实上，财富与价值在马克思的劳动价值论中是严格区分开来的。商品具有价值和使用价值两层属性，使用价值(财富) 只是价值的物质承担者，财富的物质内容总是由使用价值构成的。对于劳动是物质财富的惟一来源观点，马克思在《资本论》中予以严厉批判。他提出，人在生产劳动中只能改变物质形态，并且还要依靠自然力的帮助，“劳动并不是它所生产使用价值即物质财富的惟一源泉， 正像威廉·配第所说，劳动是财富之父， 土地是财富之母。”⑤恩格斯在《自然辩证法》一书中也同样驳斥了劳动是一切财富的源泉的观点，强调劳动与自然界在一起才是一切财富的源泉， 自然界为劳动提供材料， 劳动把材料转变为财富。⑥马克思在《哥达纲领批判》中，还进一步揭示了劳动是一切财富和一切文化的源泉这一观点的阶级背景，指出这种观点其实是资产阶级的说法，因为这种观点对生产的客观条件避而不谈。其阶级背景和前提是：只有事先就以所有者的身份来对待这个第一源泉，把自然界当作隶属于他的东西来处置，劳动才是财富的惟一源泉。资产阶级在掌握生产资料成为统治阶级后，乐于承认劳动似乎具有一种超自然的创造力，而这对无产阶级及其政党来说，是不能接受这种观点的。⑦由此可见，同一些人随意批评马克思经济学忽视财富及其生产要素的观点相反， 马克思是一贯高度重视财富及其各种生产要素作用的。</w:t>
      </w:r>
    </w:p>
    <w:p w14:paraId="780FA3CF">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十分明显，这里的“全要素财富说”与“活劳动价值说”不仅不矛盾，而且是相辅相成的，共同构成了关于创造商品和财富的完整理论。前者说明的是作为具体劳动过程的生产要素与社会财富(商品使用价值或效用) 之间的关系，其目的主要是揭示在创造使用价值的具体劳动过程中人与物之间的关系和物与物之间的关系， 在这个层面上， 财富的源泉必然是多元的。后者说明的是作为抽象劳动的活劳动与商品价值之间的关系，其目的主要是揭示在特定的社会生产方式下新价值创造过程中人与人之间的关系，在这个层面上，价值的源泉又必然是一元的。同时，二者的内在联系又表明： 作为劳动主体的活劳动，既是价值的源泉，也是财富的源泉； 作为劳动客体的有形或无形生产资料， 既是财富的源泉，也是价值创造的必要经济条件或基础。但是，要素价值论者声称财富的源泉就是商品价值的源泉， 既然劳动不是财富的惟一源泉， 那么劳动也不是价值的惟一源泉， 其他生产要素的劳动一起共同创造价值。在这里，他们混淆了财富与价值、具体劳动与抽象劳动、不变资本与可变资本、劳动过程与价值创造过程等一系列区别。</w:t>
      </w:r>
    </w:p>
    <w:p w14:paraId="250C7EDF">
      <w:pPr>
        <w:ind w:firstLine="420" w:firstLineChars="200"/>
        <w:rPr>
          <w:rFonts w:ascii="宋体" w:hAnsi="宋体" w:eastAsia="宋体" w:cs="Times New Roman"/>
          <w:color w:val="000000"/>
          <w:sz w:val="21"/>
          <w:szCs w:val="21"/>
        </w:rPr>
      </w:pPr>
    </w:p>
    <w:p w14:paraId="584DD1FF">
      <w:pPr>
        <w:ind w:firstLine="420" w:firstLineChars="200"/>
        <w:rPr>
          <w:rFonts w:ascii="宋体" w:hAnsi="宋体" w:eastAsia="宋体" w:cs="Times New Roman"/>
          <w:b/>
          <w:color w:val="000000"/>
          <w:sz w:val="21"/>
          <w:szCs w:val="21"/>
        </w:rPr>
      </w:pPr>
      <w:r>
        <w:rPr>
          <w:rFonts w:ascii="宋体" w:hAnsi="宋体" w:eastAsia="宋体" w:cs="Times New Roman"/>
          <w:b/>
          <w:color w:val="000000"/>
          <w:sz w:val="21"/>
          <w:szCs w:val="21"/>
        </w:rPr>
        <w:t>三、多产权分配说</w:t>
      </w:r>
    </w:p>
    <w:p w14:paraId="76D6F3B6">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我国现行的收入分配制度是以按劳分配为主体，多种分配方式并存的制度，把按劳分配与按生产要素分配结合起来，这是社会主义市场经济的一项基本制度。广义上看，按生产要素分配中自然包括按劳动力这一主体性要素分配(在了解劳动与劳动力的严格区别后， 我们不妨碍说劳动是一个独立的生产要素)，而市场型按劳分配，首先表明的是要视劳动力同其他生产要素一样，可凭借自身的所有权参与分配，其次才表明要根据劳动力的实际有效支出或贡献，即有效劳动的数量和质量，来具体确定可分配的价值量或金额。这不会否定我们经常从狭义上按劳分配从按生产要素分配中独立出来，并分别加以阐明。</w:t>
      </w:r>
    </w:p>
    <w:p w14:paraId="53459BA8">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马克思在《资本论》中全面系统地论述了生产要素的多种产权状态与生产成果的多种分配状态及其相互关系，这启发我们从国民收入初次分配的角度可以概括出“多产权分配说”，即多种产权关系决定了按资和按劳等多种分配方式。无论是资本主义市场经济，还是社会主义市场经济，其多种分配形式都直接取决于生产要素的所有权或产权。⑧在此问题上还存在着一些认识误区，主要有：</w:t>
      </w:r>
    </w:p>
    <w:p w14:paraId="604BE9FF">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(1) 认为马克思关于按劳分配的直接理论依据是活劳动价值论</w:t>
      </w:r>
      <w:r>
        <w:rPr>
          <w:rFonts w:hint="eastAsia" w:ascii="宋体" w:hAnsi="宋体" w:eastAsia="宋体" w:cs="Times New Roman"/>
          <w:color w:val="000000"/>
          <w:sz w:val="21"/>
          <w:szCs w:val="21"/>
        </w:rPr>
        <w:t>；</w:t>
      </w:r>
      <w:r>
        <w:rPr>
          <w:rFonts w:ascii="宋体" w:hAnsi="宋体" w:eastAsia="宋体" w:cs="Times New Roman"/>
          <w:color w:val="000000"/>
          <w:sz w:val="21"/>
          <w:szCs w:val="21"/>
        </w:rPr>
        <w:t xml:space="preserve"> (2) 生产要素及其所有者创造价值，应而也要参与价值分配</w:t>
      </w:r>
      <w:r>
        <w:rPr>
          <w:rFonts w:hint="eastAsia" w:ascii="宋体" w:hAnsi="宋体" w:eastAsia="宋体" w:cs="Times New Roman"/>
          <w:color w:val="000000"/>
          <w:sz w:val="21"/>
          <w:szCs w:val="21"/>
        </w:rPr>
        <w:t>；</w:t>
      </w:r>
      <w:r>
        <w:rPr>
          <w:rFonts w:ascii="宋体" w:hAnsi="宋体" w:eastAsia="宋体" w:cs="Times New Roman"/>
          <w:color w:val="000000"/>
          <w:sz w:val="21"/>
          <w:szCs w:val="21"/>
        </w:rPr>
        <w:t>(3) 只有创造价值的人才可参与价值分配。这些观点的共同特征都是认为价值创造是价值分配的依据，在价值创造和价值分配的关系上是同一的。其理论失误在于：第一，劳动价值论是一切市场经济的理论基石，所揭示的是市场经济条件下劳动与商品之间的一般规律以及劳动机制和价值机制，指出价值是由活劳动创造的，生产资料的价值只是转移到商品价值中去保存旧价值； 而马克思描述经典社会主义的按劳分配是没有商品货币关系和市场经济的，因而劳动价值论不可能成为马克思设想的社会主义按劳分配的直接依据。不过，在现阶段我国社会主义市场经济的运行中，劳动价值论同市场型按劳分配有了一定的联系，因为分配的是商品出售后的价值，又由企业自主分配并完全货币化。尽管市场化按劳分配的直接依旧是生产资料的公有制和劳动力的个人所有制，但从宽泛的意义上说，公有制范围内的工资既是劳动力价值或价格的转化形式，也是市场型按劳分配的实现形式。第二，生产要素只是参与财富的创造，并提供活劳动创造价值的经济条件和基础，因而生产要素及其所有者不直接提供商品的新价值。商品价值是被物掩盖下的人与人之间的关系，其分配的直接依据是所有权。价值创造和价值分配是有联系的两个不同概念。即使在市场化按劳分配范围中，劳动者得到的也只是全社会在做了必要的扣除以后的消费资料价值，没有参与价值创造的人，依然参与价值的分配， 如在党政机关工作人员、军人、纯粹流通和中介人员等。第三，“消费资料的任何一种分配都不过是生产条件本身分配的结果。而生产条件的分配，则表现生产方式本身的性质。”⑨例如，地租、利息和利润作为分配方式， 是以资本作为生产要素为前提的；以雇佣工资参与产品的分配，是以生产资料私有制、工人以雇佣劳动形式参与生产为前提的；以市场型和计划型按劳分配方式参与个人消费资料的分配，则是以生产资料公有制和劳动力个人所有制为前提的。</w:t>
      </w:r>
    </w:p>
    <w:p w14:paraId="2517B1FC">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总之，我国现阶段以按劳分配为主体，多种分配方式并存的分配制度的理论前提，在于存在着多种所有制共同发展的产权制度。包括劳动力在内的生产要素的多种产权关系决定了生产成果的多种分配形式。现实地分析，我国各类生产要素参与创造了大量社会财富，其所有者理应能从剩余产品中取得相应的回报。它对于刺激要素所有者提供更多的生产要素参与财富的生产，促进在全社会范围内合理配置资源，更大程度地满足人民群众的生活需要，都是有益的。</w:t>
      </w:r>
    </w:p>
    <w:p w14:paraId="0C407A19">
      <w:pPr>
        <w:ind w:firstLine="420" w:firstLineChars="200"/>
        <w:rPr>
          <w:rFonts w:ascii="宋体" w:hAnsi="宋体" w:eastAsia="宋体" w:cs="Times New Roman"/>
          <w:color w:val="000000"/>
          <w:sz w:val="21"/>
          <w:szCs w:val="21"/>
        </w:rPr>
      </w:pPr>
    </w:p>
    <w:p w14:paraId="4007B410">
      <w:pPr>
        <w:ind w:firstLine="420" w:firstLineChars="200"/>
        <w:rPr>
          <w:rFonts w:ascii="宋体" w:hAnsi="宋体" w:eastAsia="宋体" w:cs="Times New Roman"/>
          <w:b/>
          <w:color w:val="000000"/>
          <w:sz w:val="21"/>
          <w:szCs w:val="21"/>
        </w:rPr>
      </w:pPr>
      <w:r>
        <w:rPr>
          <w:rFonts w:ascii="宋体" w:hAnsi="宋体" w:eastAsia="宋体" w:cs="Times New Roman"/>
          <w:b/>
          <w:color w:val="000000"/>
          <w:sz w:val="21"/>
          <w:szCs w:val="21"/>
        </w:rPr>
        <w:t>四、按贡分配形质说</w:t>
      </w:r>
    </w:p>
    <w:p w14:paraId="493B6E75">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按生产要素贡献分配的表现形式，是按生产要素所有者在自身创造财富和价值过程中的具体贡献来分配的，而其经济实质是按生产要素所有者在要素创造财富和活劳动创造价值过程中所贡献或提供的要素数量及其产权关系来分配的。这就是按生产要素贡献分配的形式与实质，用哲学上的形质来表达，可简称为“按贡分配形质说”。</w:t>
      </w:r>
    </w:p>
    <w:p w14:paraId="768F90B5">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西方资产阶级经济学出于阶级局限性，抓住按生产要素贡献分配的形式或表象当作其本质，而力图体现“三个代表”的海派经济学理论，既承认按生产要素贡献分配的形式或表象，又揭示其经济实质， 并在形式与本质相统一的基础上理解和新用“按贡分配”这一术语。这与西方经济学主张按贡献分配的诠释和立场是有本质区别的。</w:t>
      </w:r>
    </w:p>
    <w:p w14:paraId="6776C24C">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有的学者以为只要承认“按贡献分配”的用语，就等于承认生产要素所有者都亲自创造或贡献了财富和价值，并据此进行分配。这是错误的论证。其理由在于：当我们使用“按贡献分配”一词时，只是承认在特定的经济制度下要素所有者拿出了一定数量的土地、资本等非劳动性质的要素同劳动力相结合，进而由劳动者运用非劳动生产要素实际创造财富和价值。从产业资本循环的三个阶段来分析，要素所有者只是在实际生产财富和价值之前的购买阶段从“预付”、“拿出”或“提供”的意义上“贡献”了非劳动生产要素，而所有的财富和价值都是在生产阶段由劳动者运用非劳动生产要素进行实际创造和生产的，并在生产阶段结束后(若是商品则在销售阶段后)，由购买阶段的各个要素所有者依据“预付”要素的数量及其所有权进行生产成果的分割或分配。可见，是要素本身成为财富的源泉，而非主体性要素所有者成为财富的源泉；是要素本身对财富的实际构成作出了生产性的贡献，而非主体性要素所有者对财富的实际构成作出了生产性的贡献；从一般劳动过程考察，劳动者运用各种生产要素实际生产或贡献出财富或价值，只与各类生产要素的数量和质量有关，而同要素的所有权状况(私人所有、集体所有、国家所有或公私混合所有) 没有直接的关系(这也是革命成功后，劳动阶级及其政府视需要可以无偿剥夺或有偿剥夺即赎买奴隶主、地主和资本家生产要素等财产的经济学依据)。</w:t>
      </w:r>
    </w:p>
    <w:p w14:paraId="7E8E76F2">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其实，“按贡分配”归根到底可以分解为劳动所得或按劳分配与资本所得或按资分配。当把管理、技术、信息等作为劳动来看待并参与实际分配时，它们属于劳动所得或按劳分配的范畴；当把管理、技术、信息等作为资本来看待并实际参与分配时，它们属于资本所得或按资分配的范畴。例如，科技人员因技术发明而获得收入，属于劳动所得或按劳分配； 科技人员再把这项技术发明折合成一定数量的技术股并参与分配，则明显地属于技术资本所得或按资分配。又如，让某个名人在企业挂名并给予一定数量的干股，而他不为该企业从事任何工作，则是将名人的无形资产转化为资本，全部属于资本所得或按资分配。再如，对实际在企业工作的某个管理者或员工实行部分工资加部分干股的总收入分配方式，则其总收入都属于劳动所得或按劳分配。其他生产要素均可作以此类推的分析。</w:t>
      </w:r>
    </w:p>
    <w:p w14:paraId="60A8CFDA">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那么， 各种要素收益的量的规定是由什么规律和机制进行调节的呢? 要素价值论者认为用边际分析法可准确测定其各自应得的实际贡献额。事实上，各种要素所有者参与分配的量的多少，其依据和分割规律是不同的。工资收入是劳动力价值或价格的货币表现，工资的多少并不影响商品的价值，其实际数量多少取决于全体或部分劳动者的谈判和博弈状态，而不是劳动者的边际贡献。⑩</w:t>
      </w:r>
      <w:r>
        <w:rPr>
          <w:rFonts w:hint="eastAsia" w:ascii="宋体" w:hAnsi="宋体" w:eastAsia="宋体" w:cs="Times New Roman"/>
          <w:color w:val="000000"/>
          <w:sz w:val="21"/>
          <w:szCs w:val="21"/>
        </w:rPr>
        <w:t xml:space="preserve"> </w:t>
      </w:r>
      <w:r>
        <w:rPr>
          <w:rFonts w:ascii="宋体" w:hAnsi="宋体" w:eastAsia="宋体" w:cs="Times New Roman"/>
          <w:color w:val="000000"/>
          <w:sz w:val="21"/>
          <w:szCs w:val="21"/>
        </w:rPr>
        <w:t>非劳动的生产要素所有者在竞争规律和平均利润率规律的作用下等量资本大体获取等量收益，并具体表现为地租、利息和利润等形式。这一趋势性的收益分割规律和机制，并不排除各种垄断、产业地位、交易能力和博弈智慧等主客观因素会影响其实际收益数量。</w:t>
      </w:r>
    </w:p>
    <w:p w14:paraId="3CEC6FEF">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当前，我们要高度重视和发挥劳动、科技、信息、管理、环境和资本等各种生产要素的作用，切实保障一切要素所有者的合法权益，促使国民经济和人民生活快速而又健康地发展。</w:t>
      </w:r>
    </w:p>
    <w:p w14:paraId="17DA6325">
      <w:pPr>
        <w:ind w:firstLine="420" w:firstLineChars="200"/>
        <w:rPr>
          <w:rFonts w:ascii="宋体" w:hAnsi="宋体" w:eastAsia="宋体" w:cs="Times New Roman"/>
          <w:color w:val="000000"/>
          <w:sz w:val="21"/>
          <w:szCs w:val="21"/>
        </w:rPr>
      </w:pPr>
    </w:p>
    <w:p w14:paraId="60FED389">
      <w:pPr>
        <w:ind w:firstLine="420" w:firstLineChars="200"/>
        <w:rPr>
          <w:rFonts w:ascii="宋体" w:hAnsi="宋体" w:eastAsia="宋体" w:cs="Times New Roman"/>
          <w:color w:val="000000"/>
          <w:sz w:val="21"/>
          <w:szCs w:val="21"/>
        </w:rPr>
      </w:pPr>
      <w:r>
        <w:rPr>
          <w:rFonts w:ascii="宋体" w:hAnsi="宋体" w:eastAsia="宋体" w:cs="Times New Roman"/>
          <w:b/>
          <w:color w:val="000000"/>
          <w:sz w:val="21"/>
          <w:szCs w:val="21"/>
        </w:rPr>
        <w:t>参考文献</w:t>
      </w:r>
      <w:r>
        <w:rPr>
          <w:rFonts w:ascii="宋体" w:hAnsi="宋体" w:eastAsia="宋体" w:cs="Times New Roman"/>
          <w:color w:val="000000"/>
          <w:sz w:val="21"/>
          <w:szCs w:val="21"/>
        </w:rPr>
        <w:t>：</w:t>
      </w:r>
    </w:p>
    <w:p w14:paraId="0A3306FC">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①这是程恩富1993年主编的《文化经济学》一书已突破和2001年全面倡导的观点，现被学术界普遍认同的“第一个突破”。参见《倡导“新的活劳动价值一元论”》，《光明日报》2001年7月17日。</w:t>
      </w:r>
    </w:p>
    <w:p w14:paraId="07B517C4">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②这是程恩富2001年正式提出并被广泛认可的“第二个突破”。参见《当代经济研究》2001年第11期。</w:t>
      </w:r>
    </w:p>
    <w:p w14:paraId="5F7D78FB">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③这是马克思承认而未强调的论断，程恩富在1995年撰文实现的“第三个突破”。参见《生产性管理活动都是创造价值的生产劳动》，《社会科学》1995年第7期；《经济管理活动创造价值吗》，《人民日报》2000年12月14日。</w:t>
      </w:r>
    </w:p>
    <w:p w14:paraId="28D9C57D">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④这是程恩富的“第四个突破”，即需要突破马克思关于劳动生产率提高而价值量不变的假设与论断，确立科技等劳动的复杂性和熟练性的提高所导致的劳动生产率，一般会增大商品价值量这一新观点。详见马艳、程恩富：《马克思“商品价值量与劳动生产率变动规律”新探》，《财经研究》2002年，第10期。</w:t>
      </w:r>
    </w:p>
    <w:p w14:paraId="03200FD4">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⑤马克思：《资本论》第1卷，人民出版社，北京，1975年，第57页。</w:t>
      </w:r>
    </w:p>
    <w:p w14:paraId="4C288D40">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⑥《马克思恩格斯选集》第3卷，人民出版社，北京，1972年，第508页。</w:t>
      </w:r>
    </w:p>
    <w:p w14:paraId="11C7BF9A">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⑦《马克思恩格斯选集》第3卷，人民出版社，北京，1972年，第5页。</w:t>
      </w:r>
    </w:p>
    <w:p w14:paraId="35ABED76">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⑧所有权与产权在广义上可以相等。详见程恩富：《西方产权理论评析》，当代中国出版社，北京，1997年版，第74-76页。</w:t>
      </w:r>
    </w:p>
    <w:p w14:paraId="2392DFD0">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⑨《马克思恩格斯选集》第3卷，人民出版社，北京，1972年，第13页。</w:t>
      </w:r>
    </w:p>
    <w:p w14:paraId="4ABB4F0C">
      <w:pPr>
        <w:ind w:firstLine="420" w:firstLineChars="200"/>
        <w:rPr>
          <w:rFonts w:ascii="宋体" w:hAnsi="宋体" w:eastAsia="宋体" w:cs="Times New Roman"/>
          <w:color w:val="000000"/>
          <w:sz w:val="21"/>
          <w:szCs w:val="21"/>
        </w:rPr>
      </w:pPr>
      <w:r>
        <w:rPr>
          <w:rFonts w:ascii="宋体" w:hAnsi="宋体" w:eastAsia="宋体" w:cs="Times New Roman"/>
          <w:color w:val="000000"/>
          <w:sz w:val="21"/>
          <w:szCs w:val="21"/>
        </w:rPr>
        <w:t>⑩以美国工人为例，1992年工会化雇员得到的平均周工资要比非工会化雇员高35%，而对所有行业的蓝领工作人来说，这个比例达70%，但没有证据显示工会化的企业劳动生产率要高于非工会化企业。详见毛增余主编：《与中国著名经济学家对话</w:t>
      </w:r>
      <w:r>
        <w:rPr>
          <w:rFonts w:hint="eastAsia" w:ascii="宋体" w:hAnsi="宋体" w:eastAsia="宋体" w:cs="Times New Roman"/>
          <w:color w:val="000000"/>
          <w:sz w:val="21"/>
          <w:szCs w:val="21"/>
        </w:rPr>
        <w:t>--</w:t>
      </w:r>
      <w:r>
        <w:rPr>
          <w:rFonts w:ascii="宋体" w:hAnsi="宋体" w:eastAsia="宋体" w:cs="Times New Roman"/>
          <w:color w:val="000000"/>
          <w:sz w:val="21"/>
          <w:szCs w:val="21"/>
        </w:rPr>
        <w:t>顾海良、王振中、林岗、程恩富》(第五辑)，中国经济出版社，北京，2003年版。</w:t>
      </w:r>
    </w:p>
    <w:p w14:paraId="23D09634">
      <w:pPr>
        <w:ind w:firstLine="420" w:firstLineChars="200"/>
        <w:rPr>
          <w:rFonts w:ascii="宋体" w:hAnsi="宋体" w:eastAsia="宋体" w:cs="Times New Roman"/>
          <w:bCs/>
          <w:color w:val="000000"/>
          <w:kern w:val="0"/>
          <w:sz w:val="21"/>
          <w:szCs w:val="21"/>
        </w:rPr>
      </w:pPr>
    </w:p>
    <w:p w14:paraId="097F5305">
      <w:pPr>
        <w:ind w:firstLine="420" w:firstLineChars="200"/>
        <w:rPr>
          <w:rFonts w:ascii="宋体" w:hAnsi="宋体" w:eastAsia="宋体" w:cs="Times New Roman"/>
          <w:color w:val="000000"/>
          <w:sz w:val="21"/>
          <w:szCs w:val="21"/>
        </w:rPr>
      </w:pPr>
      <w:r>
        <w:rPr>
          <w:rFonts w:ascii="宋体" w:hAnsi="宋体" w:eastAsia="宋体" w:cs="Times New Roman"/>
          <w:bCs/>
          <w:color w:val="000000"/>
          <w:kern w:val="0"/>
          <w:sz w:val="21"/>
          <w:szCs w:val="21"/>
        </w:rPr>
        <w:t>（原载《经济经纬》</w:t>
      </w:r>
      <w:r>
        <w:rPr>
          <w:rFonts w:ascii="宋体" w:hAnsi="宋体" w:eastAsia="宋体" w:cs="Times New Roman"/>
          <w:color w:val="000000"/>
          <w:kern w:val="0"/>
          <w:sz w:val="21"/>
          <w:szCs w:val="21"/>
        </w:rPr>
        <w:t>，2003年第5期</w:t>
      </w:r>
      <w:r>
        <w:rPr>
          <w:rFonts w:hint="eastAsia" w:ascii="宋体" w:hAnsi="宋体" w:eastAsia="宋体" w:cs="Times New Roman"/>
          <w:color w:val="000000"/>
          <w:kern w:val="0"/>
          <w:sz w:val="21"/>
          <w:szCs w:val="21"/>
        </w:rPr>
        <w:t>，第二作者为汪桂进</w:t>
      </w:r>
      <w:r>
        <w:rPr>
          <w:rFonts w:ascii="宋体" w:hAnsi="宋体" w:eastAsia="宋体" w:cs="Times New Roman"/>
          <w:color w:val="000000"/>
          <w:kern w:val="0"/>
          <w:sz w:val="21"/>
          <w:szCs w:val="21"/>
        </w:rPr>
        <w:t>）</w:t>
      </w:r>
    </w:p>
    <w:p w14:paraId="7A6BCADE">
      <w:pPr>
        <w:autoSpaceDE w:val="0"/>
        <w:spacing w:after="120" w:line="400" w:lineRule="exact"/>
        <w:ind w:firstLine="420" w:firstLineChars="200"/>
        <w:rPr>
          <w:rFonts w:hint="eastAsia" w:ascii="宋体" w:hAnsi="宋体" w:eastAsia="宋体"/>
          <w:szCs w:val="21"/>
        </w:rPr>
      </w:pPr>
    </w:p>
    <w:p w14:paraId="26EEE3EC">
      <w:pPr>
        <w:spacing w:line="400" w:lineRule="exact"/>
        <w:ind w:firstLine="420" w:firstLineChars="200"/>
        <w:jc w:val="left"/>
        <w:rPr>
          <w:rFonts w:ascii="宋体" w:hAnsi="宋体" w:eastAsia="PMingLiU" w:cs="宋体"/>
          <w:color w:val="000000"/>
          <w:szCs w:val="21"/>
          <w:lang w:eastAsia="zh-TW" w:bidi="zh-TW"/>
        </w:rPr>
      </w:pPr>
      <w:r>
        <w:rPr>
          <w:rFonts w:ascii="宋体" w:hAnsi="宋体" w:eastAsia="PMingLiU" w:cs="宋体"/>
          <w:color w:val="000000"/>
          <w:szCs w:val="21"/>
          <w:lang w:eastAsia="zh-TW" w:bidi="zh-TW"/>
        </w:rPr>
        <w:br w:type="page"/>
      </w:r>
    </w:p>
    <w:sdt>
      <w:sdtPr>
        <w:rPr>
          <w:rFonts w:hint="default" w:ascii="Times New Roman" w:hAnsi="Times New Roman" w:cs="Times New Roman" w:eastAsiaTheme="minorEastAsia"/>
          <w:color w:val="auto"/>
          <w:kern w:val="2"/>
          <w:sz w:val="21"/>
          <w:szCs w:val="22"/>
          <w:lang w:val="zh-CN"/>
        </w:rPr>
        <w:id w:val="312881978"/>
        <w:showingPlcHdr/>
        <w:docPartObj>
          <w:docPartGallery w:val="Table of Contents"/>
          <w:docPartUnique/>
        </w:docPartObj>
      </w:sdtPr>
      <w:sdtEndPr>
        <w:rPr>
          <w:rFonts w:hint="default" w:ascii="Times New Roman" w:hAnsi="Times New Roman" w:cs="Times New Roman" w:eastAsiaTheme="minorEastAsia"/>
          <w:b/>
          <w:bCs/>
          <w:color w:val="auto"/>
          <w:kern w:val="2"/>
          <w:sz w:val="21"/>
          <w:szCs w:val="22"/>
          <w:lang w:val="zh-CN"/>
        </w:rPr>
      </w:sdtEndPr>
      <w:sdtContent>
        <w:p w14:paraId="1B3DFFF6">
          <w:pPr>
            <w:rPr>
              <w:rFonts w:hint="default" w:ascii="Times New Roman" w:hAnsi="Times New Roman" w:cs="Times New Roman"/>
            </w:rPr>
          </w:pPr>
          <w:r>
            <w:rPr>
              <w:rFonts w:hint="eastAsia" w:ascii="Times New Roman" w:hAnsi="Times New Roman" w:cs="Times New Roman"/>
              <w:color w:val="auto"/>
              <w:kern w:val="2"/>
              <w:sz w:val="21"/>
              <w:szCs w:val="22"/>
              <w:lang w:val="zh-CN"/>
            </w:rPr>
            <w:t xml:space="preserve">     </w:t>
          </w:r>
        </w:p>
      </w:sdtContent>
    </w:sdt>
    <w:bookmarkEnd w:id="203"/>
    <w:bookmarkEnd w:id="204"/>
    <w:bookmarkEnd w:id="205"/>
    <w:bookmarkEnd w:id="206"/>
    <w:bookmarkEnd w:id="207"/>
    <w:bookmarkEnd w:id="208"/>
    <w:p w14:paraId="561C9698">
      <w:pPr>
        <w:keepNext w:val="0"/>
        <w:keepLines w:val="0"/>
        <w:pageBreakBefore w:val="0"/>
        <w:widowControl w:val="0"/>
        <w:kinsoku/>
        <w:wordWrap/>
        <w:overflowPunct/>
        <w:topLinePunct w:val="0"/>
        <w:autoSpaceDE/>
        <w:autoSpaceDN/>
        <w:bidi w:val="0"/>
        <w:adjustRightInd/>
        <w:snapToGrid/>
        <w:ind w:right="0"/>
        <w:jc w:val="center"/>
        <w:textAlignment w:val="auto"/>
        <w:outlineLvl w:val="1"/>
        <w:rPr>
          <w:rFonts w:hint="eastAsia" w:ascii="宋体" w:hAnsi="宋体" w:eastAsia="宋体" w:cs="宋体"/>
          <w:b/>
          <w:color w:val="000000"/>
          <w:sz w:val="32"/>
          <w:szCs w:val="32"/>
        </w:rPr>
      </w:pPr>
      <w:r>
        <w:rPr>
          <w:rFonts w:hint="default" w:ascii="Times New Roman" w:hAnsi="Times New Roman" w:cs="Times New Roman"/>
        </w:rPr>
        <w:br w:type="page"/>
      </w:r>
      <w:bookmarkStart w:id="217" w:name="_Toc4149"/>
      <w:bookmarkStart w:id="218" w:name="_Toc688148746"/>
      <w:bookmarkStart w:id="219" w:name="_Toc387441691"/>
      <w:r>
        <w:rPr>
          <w:rFonts w:hint="eastAsia" w:ascii="宋体" w:hAnsi="宋体" w:eastAsia="宋体" w:cs="宋体"/>
          <w:b/>
          <w:color w:val="000000"/>
          <w:sz w:val="32"/>
          <w:szCs w:val="32"/>
        </w:rPr>
        <w:t>构建知识产权优势理论与战略</w:t>
      </w:r>
      <w:r>
        <w:rPr>
          <w:rFonts w:hint="eastAsia" w:ascii="宋体" w:hAnsi="宋体" w:eastAsia="宋体" w:cs="宋体"/>
          <w:b/>
          <w:color w:val="000000"/>
          <w:sz w:val="32"/>
          <w:szCs w:val="32"/>
        </w:rPr>
        <w:br w:type="textWrapping"/>
      </w:r>
      <w:r>
        <w:rPr>
          <w:rFonts w:hint="eastAsia" w:ascii="宋体" w:hAnsi="宋体" w:eastAsia="宋体" w:cs="宋体"/>
          <w:b/>
          <w:color w:val="000000"/>
          <w:sz w:val="32"/>
          <w:szCs w:val="32"/>
        </w:rPr>
        <w:t>——兼论比较优势和竞争优势理论</w:t>
      </w:r>
      <w:bookmarkEnd w:id="217"/>
      <w:bookmarkEnd w:id="218"/>
      <w:bookmarkEnd w:id="219"/>
    </w:p>
    <w:p w14:paraId="7959FE90">
      <w:pPr>
        <w:ind w:firstLine="360"/>
        <w:rPr>
          <w:rFonts w:eastAsia="宋体" w:cs="Times New Roman"/>
          <w:color w:val="000000"/>
          <w:sz w:val="21"/>
          <w:szCs w:val="21"/>
        </w:rPr>
      </w:pPr>
    </w:p>
    <w:p w14:paraId="027D0130">
      <w:pPr>
        <w:ind w:firstLine="360"/>
        <w:rPr>
          <w:rFonts w:eastAsia="宋体" w:cs="Times New Roman"/>
          <w:color w:val="000000"/>
          <w:sz w:val="21"/>
          <w:szCs w:val="21"/>
        </w:rPr>
      </w:pPr>
      <w:r>
        <w:rPr>
          <w:rFonts w:hint="eastAsia" w:eastAsia="宋体" w:cs="Times New Roman"/>
          <w:color w:val="000000"/>
          <w:sz w:val="21"/>
          <w:szCs w:val="21"/>
        </w:rPr>
        <w:t>比较优势和竞争优势的特点是什么?为什么要确立“知识产权优势”新概念?在经济全球化新时代下，我国应如何在国际贸易和创建世界工厂的过程中发挥自己的优势?本文将对这些问题作一些探讨，提出并论证中国除了要发挥动态比较优势和一般竞争优势之外，还必须重点地突出培育和发挥第三种经济优势——“知识产权优势”或“知识产权型竞争优势”。</w:t>
      </w:r>
    </w:p>
    <w:p w14:paraId="36EDC4C0">
      <w:pPr>
        <w:ind w:firstLine="360"/>
        <w:rPr>
          <w:rFonts w:eastAsia="宋体" w:cs="Times New Roman"/>
          <w:b/>
          <w:color w:val="000000"/>
          <w:sz w:val="21"/>
          <w:szCs w:val="21"/>
        </w:rPr>
      </w:pPr>
      <w:r>
        <w:rPr>
          <w:rFonts w:hint="eastAsia" w:eastAsia="宋体" w:cs="Times New Roman"/>
          <w:b/>
          <w:color w:val="000000"/>
          <w:sz w:val="21"/>
          <w:szCs w:val="21"/>
        </w:rPr>
        <w:t>一、比较优势的理论与现实分析</w:t>
      </w:r>
    </w:p>
    <w:p w14:paraId="4B0F35DC">
      <w:pPr>
        <w:ind w:firstLine="360"/>
        <w:rPr>
          <w:rFonts w:eastAsia="宋体" w:cs="Times New Roman"/>
          <w:color w:val="000000"/>
          <w:sz w:val="21"/>
          <w:szCs w:val="21"/>
        </w:rPr>
      </w:pPr>
      <w:r>
        <w:rPr>
          <w:rFonts w:hint="eastAsia" w:eastAsia="宋体" w:cs="Times New Roman"/>
          <w:color w:val="000000"/>
          <w:sz w:val="21"/>
          <w:szCs w:val="21"/>
        </w:rPr>
        <w:t>比较优势理论产生于对国际贸易问题的分析。在重商主义时代，人们强调，只有一个经济的产品或资源与另一个经济的产品或资源相比具有绝对优势的时候，对外贸易才有可能发生。这种绝对优势是指，一个经济生产出来的产品所耗费的社会必要劳动时间低于另一个经济，或者说一个经济生产出来的产品的价格低于另一个经济。而现代西方经济学用来解释贸易存在和贸易收益的理论主要有李嘉图比较优势理论和赫克歇尔和俄林的要素禀赋理论。</w:t>
      </w:r>
    </w:p>
    <w:p w14:paraId="474856D2">
      <w:pPr>
        <w:ind w:firstLine="525" w:firstLineChars="250"/>
        <w:rPr>
          <w:rFonts w:eastAsia="宋体" w:cs="Times New Roman"/>
          <w:color w:val="000000"/>
          <w:sz w:val="21"/>
          <w:szCs w:val="21"/>
        </w:rPr>
      </w:pPr>
      <w:r>
        <w:rPr>
          <w:rFonts w:hint="eastAsia" w:eastAsia="宋体" w:cs="Times New Roman"/>
          <w:color w:val="000000"/>
          <w:sz w:val="21"/>
          <w:szCs w:val="21"/>
        </w:rPr>
        <w:t>李嘉图比较优势理论是李嘉图（Ricardo）于1817年提出来的，它是建立在比较成本理论基础之上的。比较成本理论是指，不同国家生产不同产品存在着劳动生产率或成本的差异，各国应该分工生产各自具有相对优势（劳动生产率较高或成本较低）的产品，尽管一个国家（一般是落后国家）具有相对优势的产品的成本（劳动生产率）可能会高（低）于另一个国家（一般是发达国家）不具有相对优势的同一产品的成本（劳动生产率），但是，它们之间的相互贸易将有利于各自社会福利的增进。</w:t>
      </w:r>
    </w:p>
    <w:p w14:paraId="123824D9">
      <w:pPr>
        <w:ind w:firstLine="525" w:firstLineChars="250"/>
        <w:rPr>
          <w:rFonts w:eastAsia="宋体" w:cs="Times New Roman"/>
          <w:color w:val="000000"/>
          <w:sz w:val="21"/>
          <w:szCs w:val="21"/>
        </w:rPr>
      </w:pPr>
      <w:r>
        <w:rPr>
          <w:rFonts w:hint="eastAsia" w:eastAsia="宋体" w:cs="Times New Roman"/>
          <w:color w:val="000000"/>
          <w:sz w:val="21"/>
          <w:szCs w:val="21"/>
        </w:rPr>
        <w:t>比较优势的核心反映在一国产业的比较优势上。各国按照比较优势原则参与国际分工，从而形成了有利于世界经济发展的产业结构。在人们的观念中，发展中国家缺乏资本和技术，具有自然资源和劳动力资源丰富的优势；发达国家则具有资本和技术资源丰富的优势。因此，在比较优势战略下所形成的世界产业结构格局是：发展中国家进口资本和技术密集型产品，出口劳动密集型和资源密集型产品；发达国家进口劳动密集型和资源密集型产品，出口资本和技术密集型产品。</w:t>
      </w:r>
    </w:p>
    <w:p w14:paraId="46713FD1">
      <w:pPr>
        <w:ind w:firstLine="525" w:firstLineChars="250"/>
        <w:rPr>
          <w:rFonts w:eastAsia="宋体" w:cs="Times New Roman"/>
          <w:color w:val="000000"/>
          <w:sz w:val="21"/>
          <w:szCs w:val="21"/>
        </w:rPr>
      </w:pPr>
      <w:r>
        <w:rPr>
          <w:rFonts w:hint="eastAsia" w:eastAsia="宋体" w:cs="Times New Roman"/>
          <w:color w:val="000000"/>
          <w:sz w:val="21"/>
          <w:szCs w:val="21"/>
        </w:rPr>
        <w:t>赫克歇尔（Heckscher）于1919年提出了要素禀赋理论的基本观点，俄林（Ohlin）继承了赫克歇尔的观点，于1933年创立了要素禀赋理论。要素禀赋理论可以简单地概括如下：如果一个经济的资本—劳动比大于另一个经济的资本—劳动比，那么，该经济在资本密集型产品的生产上具有比较优势，而另一个经济则在劳动密集型产品的生产上具有比较优势。</w:t>
      </w:r>
    </w:p>
    <w:p w14:paraId="26E91720">
      <w:pPr>
        <w:ind w:firstLine="525" w:firstLineChars="250"/>
        <w:rPr>
          <w:rFonts w:eastAsia="宋体" w:cs="Times New Roman"/>
          <w:color w:val="000000"/>
          <w:sz w:val="21"/>
          <w:szCs w:val="21"/>
        </w:rPr>
      </w:pPr>
      <w:r>
        <w:rPr>
          <w:rFonts w:hint="eastAsia" w:eastAsia="宋体" w:cs="Times New Roman"/>
          <w:color w:val="000000"/>
          <w:sz w:val="21"/>
          <w:szCs w:val="21"/>
        </w:rPr>
        <w:t>早在20世纪50年代初，里昂惕夫（Leontief）就以美国为例，向赫克歇尔、俄林等人提出的要素禀赋理论发起了挑战。按照里昂惕夫的投入产出模型，美国作为资本和技术资源丰富的国家，本应进口劳动密集型产品，出口资本密集型产品，而事实恰好相反，这就是国际经济学界著名的“里昂惕夫之谜”。对此，经济学家们提出了各种各样的解释。但有一点十分明确，这就是，劳动密集型产品和资本密集型产品不是用产品本身来区分的，而是用投入要素来区分的，同样一种产品，在发展中国家可能是以劳动密集生产的，在发达国家却可能是以资本密集生产的。</w:t>
      </w:r>
    </w:p>
    <w:p w14:paraId="34DE06A7">
      <w:pPr>
        <w:ind w:firstLine="525" w:firstLineChars="250"/>
        <w:rPr>
          <w:rFonts w:eastAsia="宋体" w:cs="Times New Roman"/>
          <w:color w:val="000000"/>
          <w:sz w:val="21"/>
          <w:szCs w:val="21"/>
        </w:rPr>
      </w:pPr>
      <w:r>
        <w:rPr>
          <w:rFonts w:hint="eastAsia" w:eastAsia="宋体" w:cs="Times New Roman"/>
          <w:color w:val="000000"/>
          <w:sz w:val="21"/>
          <w:szCs w:val="21"/>
        </w:rPr>
        <w:t>从上述理论综述中，可以看出比较优势理论的本质和内容，理解影响比较优势的真正因素所在，即形成一个经济比较优势的因素在于该经济的要素禀赋。同时，还可以看出，比较优势理论暗含着一个经济所具有的资源禀赋保持不变的特征。</w:t>
      </w:r>
    </w:p>
    <w:p w14:paraId="6DC0887D">
      <w:pPr>
        <w:ind w:firstLine="525" w:firstLineChars="250"/>
        <w:rPr>
          <w:rFonts w:eastAsia="宋体" w:cs="Times New Roman"/>
          <w:color w:val="000000"/>
          <w:sz w:val="21"/>
          <w:szCs w:val="21"/>
        </w:rPr>
      </w:pPr>
      <w:r>
        <w:rPr>
          <w:rFonts w:hint="eastAsia" w:eastAsia="宋体" w:cs="Times New Roman"/>
          <w:color w:val="000000"/>
          <w:sz w:val="21"/>
          <w:szCs w:val="21"/>
        </w:rPr>
        <w:t>长期以来，一直指导我国参与国际分工和交换的比较优势理论强调劳动密集型产品的出口战略，可是，应该看到，在当今的国际市场上，具有比较优势的劳动密集型产品并不一定具有国际竞争优势。这主要是因为：</w:t>
      </w:r>
    </w:p>
    <w:p w14:paraId="38A8D3C5">
      <w:pPr>
        <w:ind w:firstLine="525" w:firstLineChars="250"/>
        <w:rPr>
          <w:rFonts w:eastAsia="宋体" w:cs="Times New Roman"/>
          <w:color w:val="000000"/>
          <w:sz w:val="21"/>
          <w:szCs w:val="21"/>
        </w:rPr>
      </w:pPr>
      <w:r>
        <w:rPr>
          <w:rFonts w:hint="eastAsia" w:eastAsia="宋体" w:cs="Times New Roman"/>
          <w:color w:val="000000"/>
          <w:sz w:val="21"/>
          <w:szCs w:val="21"/>
        </w:rPr>
        <w:t>第一，劳动密集型产品的国际需求日益减少。国际贸易的主要目的现已不再是互通有无，而是尽可能地占领国际市场，以获取更大的对外贸易利益。为此，国际生产越来越倾向于以需求为导向，而从需求结构看，传统的劳动、资源密集型产品日趋饱和，国际消费需求结构以及相应的投资需求结构已向更高层次转换。我国出口的劳动密集型产品加工程度低、技术含量少、产品质量不高，这种中低档次劳动密集型产品出口面对的只能是日益缩小的国际市场和日益下降的价格水平，形成与发达国家高新技术产品交换的贸易条件越来越恶化。</w:t>
      </w:r>
    </w:p>
    <w:p w14:paraId="2A7CC10E">
      <w:pPr>
        <w:ind w:firstLine="525" w:firstLineChars="250"/>
        <w:rPr>
          <w:rFonts w:eastAsia="宋体" w:cs="Times New Roman"/>
          <w:color w:val="000000"/>
          <w:sz w:val="21"/>
          <w:szCs w:val="21"/>
        </w:rPr>
      </w:pPr>
      <w:r>
        <w:rPr>
          <w:rFonts w:hint="eastAsia" w:eastAsia="宋体" w:cs="Times New Roman"/>
          <w:color w:val="000000"/>
          <w:sz w:val="21"/>
          <w:szCs w:val="21"/>
        </w:rPr>
        <w:t>第二，劳动密集型产品的需求弹性小、附加值低，易出现出口的“贫困化增长”，同时，我国劳动密集型产品的出口市场过于集中，生产地区分布也不均衡，使我国产品极易遭受国际经济波动的影响和冲击。</w:t>
      </w:r>
    </w:p>
    <w:p w14:paraId="69268A61">
      <w:pPr>
        <w:ind w:firstLine="525" w:firstLineChars="250"/>
        <w:rPr>
          <w:rFonts w:eastAsia="宋体" w:cs="Times New Roman"/>
          <w:color w:val="000000"/>
          <w:sz w:val="21"/>
          <w:szCs w:val="21"/>
        </w:rPr>
      </w:pPr>
      <w:r>
        <w:rPr>
          <w:rFonts w:hint="eastAsia" w:eastAsia="宋体" w:cs="Times New Roman"/>
          <w:color w:val="000000"/>
          <w:sz w:val="21"/>
          <w:szCs w:val="21"/>
        </w:rPr>
        <w:t>第三，发达国家对发展中国家歧视性的贸易政策，使我国的劳动密集型产品受到了诸多的贸易壁垒的阻碍，在国际市场上发展的空间越来越有限。这也使得我国的以劳动密集型产品为主的出口贸易在国际分工中处于从属和被动的不利地位，极易落入“比较优势陷阱”。</w:t>
      </w:r>
    </w:p>
    <w:p w14:paraId="1DC58DC1">
      <w:pPr>
        <w:ind w:firstLine="525" w:firstLineChars="250"/>
        <w:rPr>
          <w:rFonts w:eastAsia="宋体" w:cs="Times New Roman"/>
          <w:color w:val="000000"/>
          <w:sz w:val="21"/>
          <w:szCs w:val="21"/>
        </w:rPr>
      </w:pPr>
      <w:r>
        <w:rPr>
          <w:rFonts w:hint="eastAsia" w:eastAsia="宋体" w:cs="Times New Roman"/>
          <w:color w:val="000000"/>
          <w:sz w:val="21"/>
          <w:szCs w:val="21"/>
        </w:rPr>
        <w:t>综上所述，结合比较优势理论，可以看出，比较成本是对本国的产品进行比较而言的，并不意味着比较成本低的产品在国际竞争中就一定具有竞争优势。无论是以劳动生产率差异为基础的比较成本说，还是以生产要素供给为基础的资源禀赋说，其比较优势的前提是各国的供给条件、生产条件不可改变，资源、生产要素不能在国际间流动。问题是，在现阶段，随着经济全球化的发展，这些假定条件已经不复存在。首先，生产要素、资源可以在国际间流动；随着国外跨国公司在发展中国家大量建厂，廉价的自然资源、劳动力资源同样可以被国外跨国公司利用。其次，在新技术革命浪潮推动下，经过投资和新技术的采用，自然资源可以被改良、再造，也可以被新材料所替代；经过人力投资，劳动力的技能和素质的提高，又可克服劳动力数量不足的矛盾。所有这些表明，除了一部分原料生产国，特别是石油输出国以外，大部分发展中国家所具有的自然资源和劳动力资源的比较优势，在国际竞争中已不具有垄断优势。以本国拥有的资源的相对优势来确定自己的国际贸易结构，虽然能获得贸易利益，</w:t>
      </w:r>
    </w:p>
    <w:p w14:paraId="1664D581">
      <w:pPr>
        <w:ind w:firstLine="360"/>
        <w:rPr>
          <w:rFonts w:eastAsia="宋体" w:cs="Times New Roman"/>
          <w:color w:val="000000"/>
          <w:sz w:val="21"/>
          <w:szCs w:val="21"/>
        </w:rPr>
      </w:pPr>
      <w:r>
        <w:rPr>
          <w:rFonts w:hint="eastAsia" w:eastAsia="宋体" w:cs="Times New Roman"/>
          <w:color w:val="000000"/>
          <w:sz w:val="21"/>
          <w:szCs w:val="21"/>
        </w:rPr>
        <w:t>但不能缩短自己与发达国家的经济差距。显然，依据自己的经济发展水平调整自己在国际分工中的比较利益结构，是国际竞争新格局对我们这样的发展中国家的一种客观要求。</w:t>
      </w:r>
    </w:p>
    <w:p w14:paraId="2F6C5577">
      <w:pPr>
        <w:ind w:firstLine="360"/>
        <w:rPr>
          <w:rFonts w:eastAsia="宋体" w:cs="Times New Roman"/>
          <w:b/>
          <w:color w:val="000000"/>
          <w:sz w:val="21"/>
          <w:szCs w:val="21"/>
        </w:rPr>
      </w:pPr>
      <w:r>
        <w:rPr>
          <w:rFonts w:hint="eastAsia" w:eastAsia="宋体" w:cs="Times New Roman"/>
          <w:b/>
          <w:color w:val="000000"/>
          <w:sz w:val="21"/>
          <w:szCs w:val="21"/>
        </w:rPr>
        <w:t>二、竞争优势的理论与现实分析</w:t>
      </w:r>
    </w:p>
    <w:p w14:paraId="2DCB88BF">
      <w:pPr>
        <w:ind w:firstLine="360"/>
        <w:rPr>
          <w:rFonts w:eastAsia="宋体" w:cs="Times New Roman"/>
          <w:color w:val="000000"/>
          <w:sz w:val="21"/>
          <w:szCs w:val="21"/>
        </w:rPr>
      </w:pPr>
      <w:r>
        <w:rPr>
          <w:rFonts w:hint="eastAsia" w:eastAsia="宋体" w:cs="Times New Roman"/>
          <w:color w:val="000000"/>
          <w:sz w:val="21"/>
          <w:szCs w:val="21"/>
        </w:rPr>
        <w:t>20世纪80年代以来，波特（Porter）相继发表了他的著名的三部曲：《竞争战略》（1980年）、《竞争优势》（1985年）和《国家竞争优势》（1990年），从而提出并完善了竞争优势理论。波特认为，一个国家之所以能够兴旺发达，其根本原因在于这个国家在国际市场上具有竞争优势，这种竞争优势源于这个国家的主导产业具有竞争优势，而主导产业的竞争优势又源于企业由于具有创新机制而提高了生产效率。可见，波特所指的一个国家的竞争优势也</w:t>
      </w:r>
    </w:p>
    <w:p w14:paraId="63E89899">
      <w:pPr>
        <w:ind w:firstLine="360"/>
        <w:rPr>
          <w:rFonts w:eastAsia="宋体" w:cs="Times New Roman"/>
          <w:color w:val="000000"/>
          <w:sz w:val="21"/>
          <w:szCs w:val="21"/>
        </w:rPr>
      </w:pPr>
      <w:r>
        <w:rPr>
          <w:rFonts w:hint="eastAsia" w:eastAsia="宋体" w:cs="Times New Roman"/>
          <w:color w:val="000000"/>
          <w:sz w:val="21"/>
          <w:szCs w:val="21"/>
        </w:rPr>
        <w:t>就是企业、行业的竞争优势，也即生产力发展水平上的竞争优势，具体包括以下六个方面的因素：</w:t>
      </w:r>
    </w:p>
    <w:p w14:paraId="5ADC152D">
      <w:pPr>
        <w:ind w:firstLine="525" w:firstLineChars="250"/>
        <w:rPr>
          <w:rFonts w:eastAsia="宋体" w:cs="Times New Roman"/>
          <w:color w:val="000000"/>
          <w:sz w:val="21"/>
          <w:szCs w:val="21"/>
        </w:rPr>
      </w:pPr>
      <w:r>
        <w:rPr>
          <w:rFonts w:hint="eastAsia" w:eastAsia="宋体" w:cs="Times New Roman"/>
          <w:color w:val="000000"/>
          <w:sz w:val="21"/>
          <w:szCs w:val="21"/>
        </w:rPr>
        <w:t>1.生产要素。生产要素包括基本要素和推进要素。基本要素是指一个国家先天拥有的自然资源和地理位置等要素；推进要素是指通过投资和发展而创造出来的要素，如高科技、熟练劳动力等。波特认为，在国际竞争中，随着科技的进步，一国要取得竞争优势，其推进要素比基本要素更为重要。</w:t>
      </w:r>
    </w:p>
    <w:p w14:paraId="193429EA">
      <w:pPr>
        <w:ind w:firstLine="525" w:firstLineChars="250"/>
        <w:rPr>
          <w:rFonts w:eastAsia="宋体" w:cs="Times New Roman"/>
          <w:color w:val="000000"/>
          <w:sz w:val="21"/>
          <w:szCs w:val="21"/>
        </w:rPr>
      </w:pPr>
      <w:r>
        <w:rPr>
          <w:rFonts w:hint="eastAsia" w:eastAsia="宋体" w:cs="Times New Roman"/>
          <w:color w:val="000000"/>
          <w:sz w:val="21"/>
          <w:szCs w:val="21"/>
        </w:rPr>
        <w:t>2.国内需求。波特认为，扩大国内需求有利于形成规模经济，有利于提高产品的质量、档次和服务水平，也有利于在国际市场上取得竞争优势。</w:t>
      </w:r>
    </w:p>
    <w:p w14:paraId="0AF41F83">
      <w:pPr>
        <w:ind w:firstLine="525" w:firstLineChars="250"/>
        <w:rPr>
          <w:rFonts w:eastAsia="宋体" w:cs="Times New Roman"/>
          <w:color w:val="000000"/>
          <w:sz w:val="21"/>
          <w:szCs w:val="21"/>
        </w:rPr>
      </w:pPr>
      <w:r>
        <w:rPr>
          <w:rFonts w:hint="eastAsia" w:eastAsia="宋体" w:cs="Times New Roman"/>
          <w:color w:val="000000"/>
          <w:sz w:val="21"/>
          <w:szCs w:val="21"/>
        </w:rPr>
        <w:t>3.相关支撑产业。相关支撑产业即为主导产业提供投入的国内产业，包括上游供给产业及其他相关产业，波特认为，它是影响一国主导产业取得国际竞争优势、降低成本、提高质量和效率的重要因素。</w:t>
      </w:r>
    </w:p>
    <w:p w14:paraId="4AD2A942">
      <w:pPr>
        <w:ind w:firstLine="525" w:firstLineChars="250"/>
        <w:rPr>
          <w:rFonts w:eastAsia="宋体" w:cs="Times New Roman"/>
          <w:color w:val="000000"/>
          <w:sz w:val="21"/>
          <w:szCs w:val="21"/>
        </w:rPr>
      </w:pPr>
      <w:r>
        <w:rPr>
          <w:rFonts w:hint="eastAsia" w:eastAsia="宋体" w:cs="Times New Roman"/>
          <w:color w:val="000000"/>
          <w:sz w:val="21"/>
          <w:szCs w:val="21"/>
        </w:rPr>
        <w:t>4.企业的战略结构和竞争。波特认为，政府既应为少数企业、也应为社会创造一种公平的竞争环境。外部环境与企业的竞争能力息息相关，在激烈的竞争环境中，企业必须不断更新产品、提高效率，才能取得持久、独特的竞争优势。同时，激烈的竞争环境还迫使企业走出国门、参与国际竞争。</w:t>
      </w:r>
    </w:p>
    <w:p w14:paraId="5D2938C8">
      <w:pPr>
        <w:ind w:firstLine="525" w:firstLineChars="250"/>
        <w:rPr>
          <w:rFonts w:eastAsia="宋体" w:cs="Times New Roman"/>
          <w:color w:val="000000"/>
          <w:sz w:val="21"/>
          <w:szCs w:val="21"/>
        </w:rPr>
      </w:pPr>
      <w:r>
        <w:rPr>
          <w:rFonts w:hint="eastAsia" w:eastAsia="宋体" w:cs="Times New Roman"/>
          <w:color w:val="000000"/>
          <w:sz w:val="21"/>
          <w:szCs w:val="21"/>
        </w:rPr>
        <w:t>5.政府的作用。波特认为，政府的作用主要体现在政府通过政策调节、创造竞争优势上面。</w:t>
      </w:r>
    </w:p>
    <w:p w14:paraId="2A200C68">
      <w:pPr>
        <w:ind w:firstLine="525" w:firstLineChars="250"/>
        <w:rPr>
          <w:rFonts w:eastAsia="宋体" w:cs="Times New Roman"/>
          <w:color w:val="000000"/>
          <w:sz w:val="21"/>
          <w:szCs w:val="21"/>
        </w:rPr>
      </w:pPr>
      <w:r>
        <w:rPr>
          <w:rFonts w:hint="eastAsia" w:eastAsia="宋体" w:cs="Times New Roman"/>
          <w:color w:val="000000"/>
          <w:sz w:val="21"/>
          <w:szCs w:val="21"/>
        </w:rPr>
        <w:t>6.机会。波特认为，机会包括重要发明、技术突破、生产要素与供求状况的重大变动以及其他突发事件，等等。</w:t>
      </w:r>
    </w:p>
    <w:p w14:paraId="6EC7FA77">
      <w:pPr>
        <w:ind w:firstLine="360"/>
        <w:rPr>
          <w:rFonts w:eastAsia="宋体" w:cs="Times New Roman"/>
          <w:color w:val="000000"/>
          <w:sz w:val="21"/>
          <w:szCs w:val="21"/>
        </w:rPr>
      </w:pPr>
      <w:r>
        <w:rPr>
          <w:rFonts w:hint="eastAsia" w:eastAsia="宋体" w:cs="Times New Roman"/>
          <w:color w:val="000000"/>
          <w:sz w:val="21"/>
          <w:szCs w:val="21"/>
        </w:rPr>
        <w:t>波特指出，上述六个方面的因素相互影响、相互作用，共同构成了一个动态的激励创新的竞争环境，继而可以产生一些在国际市场上具有竞争力的明星产业。</w:t>
      </w:r>
    </w:p>
    <w:p w14:paraId="7033785F">
      <w:pPr>
        <w:ind w:firstLine="525" w:firstLineChars="250"/>
        <w:rPr>
          <w:rFonts w:eastAsia="宋体" w:cs="Times New Roman"/>
          <w:color w:val="000000"/>
          <w:sz w:val="21"/>
          <w:szCs w:val="21"/>
        </w:rPr>
      </w:pPr>
      <w:r>
        <w:rPr>
          <w:rFonts w:hint="eastAsia" w:eastAsia="宋体" w:cs="Times New Roman"/>
          <w:color w:val="000000"/>
          <w:sz w:val="21"/>
          <w:szCs w:val="21"/>
        </w:rPr>
        <w:t>20世纪90年代以来，波特进一步发展了竞争优势理论，创立了“新竞争经济学”，提出了产业集聚概念，即经营同一产业的一群公司在地理上往往集中在一起。波特指出，在一个产业集聚集团中，既有主导产业、企业，又有为主导产业配套服务的其他产业、企业和机构，它们共同组成了一个立体网络，既竞争又合作，从而赢得了产业和企业的国际竞争优势。</w:t>
      </w:r>
    </w:p>
    <w:p w14:paraId="725C43FF">
      <w:pPr>
        <w:ind w:firstLine="210" w:firstLineChars="100"/>
        <w:rPr>
          <w:rFonts w:eastAsia="宋体" w:cs="Times New Roman"/>
          <w:color w:val="000000"/>
          <w:sz w:val="21"/>
          <w:szCs w:val="21"/>
        </w:rPr>
      </w:pPr>
      <w:r>
        <w:rPr>
          <w:rFonts w:hint="eastAsia" w:eastAsia="宋体" w:cs="Times New Roman"/>
          <w:color w:val="000000"/>
          <w:sz w:val="21"/>
          <w:szCs w:val="21"/>
        </w:rPr>
        <w:t>波特的竞争优势理论有缺陷，如罗列的因素过多，主导和关键方面不突出，但它渐渐地被一些国家所接受。因为竞争优势理论具有新的内涵和特征，与比较优势相比，可能更符合当代对外贸易的实际状况。</w:t>
      </w:r>
    </w:p>
    <w:p w14:paraId="60189E0C">
      <w:pPr>
        <w:ind w:firstLine="525" w:firstLineChars="250"/>
        <w:rPr>
          <w:rFonts w:eastAsia="宋体" w:cs="Times New Roman"/>
          <w:color w:val="000000"/>
          <w:sz w:val="21"/>
          <w:szCs w:val="21"/>
        </w:rPr>
      </w:pPr>
      <w:r>
        <w:rPr>
          <w:rFonts w:hint="eastAsia" w:eastAsia="宋体" w:cs="Times New Roman"/>
          <w:color w:val="000000"/>
          <w:sz w:val="21"/>
          <w:szCs w:val="21"/>
        </w:rPr>
        <w:t>第一，竞争优势理论采用的是一种非均衡的动态分析和局部分析方法，以不完善竞争市场作为其分析的理论前提，从国家的角度出发，考虑怎样才能使一国在对外贸易活动中得到的福利更多一些，生产效率提高得更快一些，在国际分工中占据更为有利的地位。</w:t>
      </w:r>
    </w:p>
    <w:p w14:paraId="64626BCB">
      <w:pPr>
        <w:ind w:firstLine="525" w:firstLineChars="250"/>
        <w:rPr>
          <w:rFonts w:eastAsia="宋体" w:cs="Times New Roman"/>
          <w:color w:val="000000"/>
          <w:sz w:val="21"/>
          <w:szCs w:val="21"/>
        </w:rPr>
      </w:pPr>
      <w:r>
        <w:rPr>
          <w:rFonts w:hint="eastAsia" w:eastAsia="宋体" w:cs="Times New Roman"/>
          <w:color w:val="000000"/>
          <w:sz w:val="21"/>
          <w:szCs w:val="21"/>
        </w:rPr>
        <w:t>第二，竞争优势理论除了考虑现实的利益外，还考虑潜在的利益对比，考虑怎样才能使一国取得或保持竞争优势，以便从对外贸易中获取更大的利益。</w:t>
      </w:r>
    </w:p>
    <w:p w14:paraId="57FC94E2">
      <w:pPr>
        <w:ind w:firstLine="525" w:firstLineChars="250"/>
        <w:rPr>
          <w:rFonts w:eastAsia="宋体" w:cs="Times New Roman"/>
          <w:color w:val="000000"/>
          <w:sz w:val="21"/>
          <w:szCs w:val="21"/>
        </w:rPr>
      </w:pPr>
      <w:r>
        <w:rPr>
          <w:rFonts w:hint="eastAsia" w:eastAsia="宋体" w:cs="Times New Roman"/>
          <w:color w:val="000000"/>
          <w:sz w:val="21"/>
          <w:szCs w:val="21"/>
        </w:rPr>
        <w:t>第三，竞争优势理论认为，竞争优势主要取决于一国的创新机制，取决于企业的后天努力和进取精神。只要企业勇于创新，积极竞争，一个后进的国家也有可能成为有竞争优势的国家；反之亦然。</w:t>
      </w:r>
    </w:p>
    <w:p w14:paraId="56BD01FB">
      <w:pPr>
        <w:ind w:firstLine="525" w:firstLineChars="250"/>
        <w:rPr>
          <w:rFonts w:eastAsia="宋体" w:cs="Times New Roman"/>
          <w:color w:val="000000"/>
          <w:sz w:val="21"/>
          <w:szCs w:val="21"/>
        </w:rPr>
      </w:pPr>
      <w:r>
        <w:rPr>
          <w:rFonts w:hint="eastAsia" w:eastAsia="宋体" w:cs="Times New Roman"/>
          <w:color w:val="000000"/>
          <w:sz w:val="21"/>
          <w:szCs w:val="21"/>
        </w:rPr>
        <w:t>第四，竞争优势理论涉及产业、企业，强调非价格竞争，更注重要素的质量及产品市场的需求档次。</w:t>
      </w:r>
    </w:p>
    <w:p w14:paraId="26A27E3C">
      <w:pPr>
        <w:ind w:firstLine="360"/>
        <w:rPr>
          <w:rFonts w:eastAsia="宋体" w:cs="Times New Roman"/>
          <w:b/>
          <w:color w:val="000000"/>
          <w:sz w:val="21"/>
          <w:szCs w:val="21"/>
        </w:rPr>
      </w:pPr>
      <w:r>
        <w:rPr>
          <w:rFonts w:hint="eastAsia" w:eastAsia="宋体" w:cs="Times New Roman"/>
          <w:b/>
          <w:color w:val="000000"/>
          <w:sz w:val="21"/>
          <w:szCs w:val="21"/>
        </w:rPr>
        <w:t>三、创造和培育知识产权优势</w:t>
      </w:r>
    </w:p>
    <w:p w14:paraId="4AF6765F">
      <w:pPr>
        <w:ind w:firstLine="360"/>
        <w:rPr>
          <w:rFonts w:eastAsia="宋体" w:cs="Times New Roman"/>
          <w:color w:val="000000"/>
          <w:sz w:val="21"/>
          <w:szCs w:val="21"/>
        </w:rPr>
      </w:pPr>
      <w:r>
        <w:rPr>
          <w:rFonts w:hint="eastAsia" w:eastAsia="宋体" w:cs="Times New Roman"/>
          <w:color w:val="000000"/>
          <w:sz w:val="21"/>
          <w:szCs w:val="21"/>
        </w:rPr>
        <w:t>比较优势是由一国资源禀赋和交易条件所决定的静态优势，是获取竞争优势的条件；竞争优势是一种将潜在优势转化为现实优势的综合能力的作用结果；比较优势作为一种潜在优势，只有最终转化为竞争优势，才能形成真正的出口竞争力。要实现我国出口产品的结构升级，就必须以国际经济综合竞争为导向，将现有的比较优势转化为竞争优势，而其中的关键就在于创造和培育我国的知识产权优势或知产型竞争优势。</w:t>
      </w:r>
    </w:p>
    <w:p w14:paraId="322AAF08">
      <w:pPr>
        <w:ind w:firstLine="525" w:firstLineChars="250"/>
        <w:rPr>
          <w:rFonts w:eastAsia="宋体" w:cs="Times New Roman"/>
          <w:color w:val="000000"/>
          <w:sz w:val="21"/>
          <w:szCs w:val="21"/>
        </w:rPr>
      </w:pPr>
      <w:r>
        <w:rPr>
          <w:rFonts w:hint="eastAsia" w:eastAsia="宋体" w:cs="Times New Roman"/>
          <w:color w:val="000000"/>
          <w:sz w:val="21"/>
          <w:szCs w:val="21"/>
        </w:rPr>
        <w:t>所谓知识产权优势，是指通过培育和发挥拥有自主知识产权的经济优势，是相对于比较优势、竞争优势而言的第三种优势。它避免了笼统的竞争优势的理论缺陷，而突出了以技术和品牌为核心的经济优势或竞争优势。它不仅应体现在我国的高新技术产业部门及具有战略意义的产业部门，必须掌握自主研究、自主开发、具有自主知识产权的核心技术，建立以自主知识产权为基础的标准体系，而且还体现在我国传统的民族产业或低端产品部门，包括劳动密集型产业部门，也必须塑造在国际上具有一定影响力的民族品牌和名牌。</w:t>
      </w:r>
    </w:p>
    <w:p w14:paraId="7EFF4571">
      <w:pPr>
        <w:ind w:firstLine="525" w:firstLineChars="250"/>
        <w:rPr>
          <w:rFonts w:eastAsia="宋体" w:cs="Times New Roman"/>
          <w:color w:val="000000"/>
          <w:sz w:val="21"/>
          <w:szCs w:val="21"/>
        </w:rPr>
      </w:pPr>
      <w:r>
        <w:rPr>
          <w:rFonts w:hint="eastAsia" w:eastAsia="宋体" w:cs="Times New Roman"/>
          <w:color w:val="000000"/>
          <w:sz w:val="21"/>
          <w:szCs w:val="21"/>
        </w:rPr>
        <w:t>1.知识产权与经济优势</w:t>
      </w:r>
    </w:p>
    <w:p w14:paraId="7539D21D">
      <w:pPr>
        <w:ind w:firstLine="525" w:firstLineChars="250"/>
        <w:rPr>
          <w:rFonts w:eastAsia="宋体" w:cs="Times New Roman"/>
          <w:color w:val="000000"/>
          <w:sz w:val="21"/>
          <w:szCs w:val="21"/>
        </w:rPr>
      </w:pPr>
      <w:r>
        <w:rPr>
          <w:rFonts w:hint="eastAsia" w:eastAsia="宋体" w:cs="Times New Roman"/>
          <w:color w:val="000000"/>
          <w:sz w:val="21"/>
          <w:szCs w:val="21"/>
        </w:rPr>
        <w:t>知识产权的重要性日益突出，已成为世界贸易组织管辖范围中与货物贸易、服务贸易并重的三方面内容之一。世界贸易组织《与贸易有关的知识产权协议》（简称TRIPS）对世界贸易组织成员的知识产权保护水平提出了更高的要求，并且引入了以贸易报复为主要手段的统一的争端解决机制。对发明专利、实用新型专利、外观设计专利、化学配方、技术诀窍、图形设计、计算机软件设计、名牌商标、商业秘密、著作权、声像版权等所有知识产权领域，都提供了高标准的保护。</w:t>
      </w:r>
    </w:p>
    <w:p w14:paraId="3990C0F7">
      <w:pPr>
        <w:ind w:firstLine="525" w:firstLineChars="250"/>
        <w:rPr>
          <w:rFonts w:eastAsia="宋体" w:cs="Times New Roman"/>
          <w:color w:val="000000"/>
          <w:sz w:val="21"/>
          <w:szCs w:val="21"/>
        </w:rPr>
      </w:pPr>
      <w:r>
        <w:rPr>
          <w:rFonts w:hint="eastAsia" w:eastAsia="宋体" w:cs="Times New Roman"/>
          <w:color w:val="000000"/>
          <w:sz w:val="21"/>
          <w:szCs w:val="21"/>
        </w:rPr>
        <w:t>知识产权是国家法律赋予知识产权权利人的一种特殊权利。其中，专利权实际是以国家权力保障的一种合法的垄断，拥有一项专利等于拥有受国家法律保护的独占的市场，以获得专利权来占领和控制市场比任何其它竞争手段都更直接、更有效。同样，商标知名度的大小，也是企业市场占有率的象征，拥有一件名牌商标就会获得持久、稳定的市场。所以，知识产权是增强企业竞争力的利器。</w:t>
      </w:r>
    </w:p>
    <w:p w14:paraId="0196C268">
      <w:pPr>
        <w:ind w:firstLine="525" w:firstLineChars="250"/>
        <w:rPr>
          <w:rFonts w:eastAsia="宋体" w:cs="Times New Roman"/>
          <w:color w:val="000000"/>
          <w:sz w:val="21"/>
          <w:szCs w:val="21"/>
        </w:rPr>
      </w:pPr>
      <w:r>
        <w:rPr>
          <w:rFonts w:hint="eastAsia" w:eastAsia="宋体" w:cs="Times New Roman"/>
          <w:color w:val="000000"/>
          <w:sz w:val="21"/>
          <w:szCs w:val="21"/>
        </w:rPr>
        <w:t>在当今全球经济竞争中，知识产权的争夺已经成为控制市场的主要手段，而且这种争夺将随着知识经济的迅速发展愈演愈烈。发达国家凭借自身经济、科技的竞争优势，试图通过加强知识产权保护取得更大的市场份额。发展中国家在从世界贸易组织中得到一些利益的同时，也面临着发达国家知识产权竞争优势的严重压力。专利权是知识产权的重要内容之一，中国企业采取什么样的专利竞争策略去应对日益激烈的国际竞争，是中国企业迫切需要研究的重要课题。在高科技局部领域抢占专利权制高点过程中，我国的整体水平和绝对水平与世界强国还有相当的差距，但在某些局部领域也有自己的优势，处于世界前沿，其中许多极有价值的发明创造需要予以高度重视和保护。高科技在市场竞争中具有决定性的意义，中国企业必须在局部领域取得自主的知识产权，以占领知识产权制高点。</w:t>
      </w:r>
    </w:p>
    <w:p w14:paraId="1CB48028">
      <w:pPr>
        <w:ind w:firstLine="525" w:firstLineChars="250"/>
        <w:rPr>
          <w:rFonts w:eastAsia="宋体" w:cs="Times New Roman"/>
          <w:color w:val="000000"/>
          <w:sz w:val="21"/>
          <w:szCs w:val="21"/>
        </w:rPr>
      </w:pPr>
      <w:r>
        <w:rPr>
          <w:rFonts w:hint="eastAsia" w:eastAsia="宋体" w:cs="Times New Roman"/>
          <w:color w:val="000000"/>
          <w:sz w:val="21"/>
          <w:szCs w:val="21"/>
        </w:rPr>
        <w:t>一个冷酷无情的现实是，在市场经济条件下的国际竞争和技术交流与转让中，人们只认专利而不认成果。世界知识产权组织的研究结果表明，全世界最新的发明创造信息，90%以上首先都是通过专利文献公布的。在我国，据有关方面统计，每年产出的国家级科研成果有3万余项，但其中申请国内专利的不到三成，申请国外专利的则更少；“863计划”实施15年，国家投入了大量资金，也取得一批重要成果，但在民用的6个领域，取得国内外专利的只有200多件。而IBM公司仅2000年获得美国专利及商标局核准的专利数就达2886项。差距之大，由此可见一斑。</w:t>
      </w:r>
    </w:p>
    <w:p w14:paraId="39DFEFAA">
      <w:pPr>
        <w:ind w:firstLine="525" w:firstLineChars="250"/>
        <w:rPr>
          <w:rFonts w:eastAsia="宋体" w:cs="Times New Roman"/>
          <w:color w:val="000000"/>
          <w:sz w:val="21"/>
          <w:szCs w:val="21"/>
        </w:rPr>
      </w:pPr>
      <w:r>
        <w:rPr>
          <w:rFonts w:hint="eastAsia" w:eastAsia="宋体" w:cs="Times New Roman"/>
          <w:color w:val="000000"/>
          <w:sz w:val="21"/>
          <w:szCs w:val="21"/>
        </w:rPr>
        <w:t>截至2001年底，国家知识产权局共收到发明专利申请近28万件，其中52%来自国外，而在高科技领域的发明专利来自国外申请的比例更高，如基本电子电路技术占76%，电信技术占82%，信息存储技术占93%。造成这一后果的原因是多方面的，但我国企业和科研院所自主知识产权意识不强的问题也不容忽视。</w:t>
      </w:r>
    </w:p>
    <w:p w14:paraId="166056B5">
      <w:pPr>
        <w:ind w:firstLine="525" w:firstLineChars="250"/>
        <w:rPr>
          <w:rFonts w:eastAsia="宋体" w:cs="Times New Roman"/>
          <w:color w:val="000000"/>
          <w:sz w:val="21"/>
          <w:szCs w:val="21"/>
        </w:rPr>
      </w:pPr>
      <w:r>
        <w:rPr>
          <w:rFonts w:hint="eastAsia" w:eastAsia="宋体" w:cs="Times New Roman"/>
          <w:color w:val="000000"/>
          <w:sz w:val="21"/>
          <w:szCs w:val="21"/>
        </w:rPr>
        <w:t>在商标领域问题同样令人忧虑，国内企业至今仍然缺乏必要的商标意识，一些企业甚至没有自己的注册商标。国外的一些大公司，如索尼、联合利华公司等，拥有的注册商标达到几千件、上万件，其一个企业拥有的注册商标数量甚至超过我国一个大城市所有企业拥有的注册商标数量的总和。而且，我国一些能在国际市场上有一定知名度的商标，又纷纷在国外被抢注，使通向国际市场的路被堵住。外商在进军中国市场时又瞄准了中国仅有的一些名牌，通过合资、收购的办法，将我国原有的这样一些名牌控制在自己手里，予以长期的闲置和冷却。仅就人们熟知的饮料、洗涤用品、化妆品等行业来看，原有的一些国产名牌绝大部分被外商“合资”后销声匿迹。我们在国内和国外两个市场同时遭到外商的夹击。中国加入WTO以后，面临更加严峻的市场竞争形势。</w:t>
      </w:r>
    </w:p>
    <w:p w14:paraId="142669AE">
      <w:pPr>
        <w:ind w:firstLine="525" w:firstLineChars="250"/>
        <w:rPr>
          <w:rFonts w:eastAsia="宋体" w:cs="Times New Roman"/>
          <w:color w:val="000000"/>
          <w:sz w:val="21"/>
          <w:szCs w:val="21"/>
        </w:rPr>
      </w:pPr>
      <w:r>
        <w:rPr>
          <w:rFonts w:hint="eastAsia" w:eastAsia="宋体" w:cs="Times New Roman"/>
          <w:color w:val="000000"/>
          <w:sz w:val="21"/>
          <w:szCs w:val="21"/>
        </w:rPr>
        <w:t>诚然，近年我国企业特别是大中型企业，已越来越重视在科学技术方面的投入与产出，重视科技成果的转化和产业化，也有一些企业比较重视自主知识产权的保护。袁隆平院士在我国颁布《专利法》之前就在美澳等国申请了杂交水稻育种技术的专利；中国石化公司就某些化工技术申请了多项国际专利，在世界范围内初步建立起自己的“市场保护圈”；海尔、联想等驰名商标也开始突破国界取得国际上的承认。这些自主知识产权都为企业赢得了宝贵的经济优势。另外，随着“科教兴国”战略的实施，我国企业在研究与开发（R&amp;D）方面的投入持续增加。根据国务院七部委最近完成的“全社会R&amp;D资源清查”结果，2000年我国各类企业支出的R&amp;D经费已占全国的60%，接近发达国家水平，这表明企业已成为我国科技创新的主体。</w:t>
      </w:r>
    </w:p>
    <w:p w14:paraId="5F425775">
      <w:pPr>
        <w:ind w:firstLine="525" w:firstLineChars="250"/>
        <w:rPr>
          <w:rFonts w:eastAsia="宋体" w:cs="Times New Roman"/>
          <w:color w:val="000000"/>
          <w:sz w:val="21"/>
          <w:szCs w:val="21"/>
        </w:rPr>
      </w:pPr>
      <w:r>
        <w:rPr>
          <w:rFonts w:hint="eastAsia" w:eastAsia="宋体" w:cs="Times New Roman"/>
          <w:color w:val="000000"/>
          <w:sz w:val="21"/>
          <w:szCs w:val="21"/>
        </w:rPr>
        <w:t>2.必须拥有自主知识产权的核心技术</w:t>
      </w:r>
    </w:p>
    <w:p w14:paraId="59A4C97E">
      <w:pPr>
        <w:ind w:firstLine="360"/>
        <w:rPr>
          <w:rFonts w:eastAsia="宋体" w:cs="Times New Roman"/>
          <w:color w:val="000000"/>
          <w:sz w:val="21"/>
          <w:szCs w:val="21"/>
        </w:rPr>
      </w:pPr>
      <w:r>
        <w:rPr>
          <w:rFonts w:hint="eastAsia" w:eastAsia="宋体" w:cs="Times New Roman"/>
          <w:color w:val="000000"/>
          <w:sz w:val="21"/>
          <w:szCs w:val="21"/>
        </w:rPr>
        <w:t>20世纪90年代以来，以信息技术、生物技术为主导的新技术革命蓬勃发展，知识经济初露端倪，世界产业结构发生了深刻的变化。发达国家的科技产业飞速发展，据OECD的统计，其主要成员国的知识经济产值已占国内生产总值的50%，高新技术产业在制造业中的比重不断提高，目前已接近30%；出口产品结构逐步转变到以高新技术产品为主导的方向，高新技术产品占工业制成品出口的比重目前已接近40%；知识密集型服务出口发展迅速，到2002年此类服务出口将占其服务出口总额的一半左右。另据世界银行《1998年世界发展指南》的统计资料，1996年一些新兴市场国家或地区高新技术产品占工业制成品出口的比重已达到相当高的水平，其中，新加坡为71%、马来西亚为67%、爱尔兰为62%、韩国为39%、墨西哥为32%、以色列为30%，我国的台湾省现已接近50%。可见，高新技术产品未来将成为世界各国出口的主导产品。</w:t>
      </w:r>
    </w:p>
    <w:p w14:paraId="57C54B35">
      <w:pPr>
        <w:ind w:firstLine="525" w:firstLineChars="250"/>
        <w:rPr>
          <w:rFonts w:eastAsia="宋体" w:cs="Times New Roman"/>
          <w:color w:val="000000"/>
          <w:sz w:val="21"/>
          <w:szCs w:val="21"/>
        </w:rPr>
      </w:pPr>
      <w:r>
        <w:rPr>
          <w:rFonts w:hint="eastAsia" w:eastAsia="宋体" w:cs="Times New Roman"/>
          <w:color w:val="000000"/>
          <w:sz w:val="21"/>
          <w:szCs w:val="21"/>
        </w:rPr>
        <w:t>近年来，我国的高新技术产品出口增长较快，已经成为对外贸易的新增长点，其增长速度高于总体增长速度，占我国出口产品及出口工业品的比重也在逐年加大，但我国高新技术产品出口所占的比重还比较低，如表1所示。</w:t>
      </w:r>
    </w:p>
    <w:p w14:paraId="5166A548">
      <w:pPr>
        <w:ind w:firstLine="360"/>
        <w:rPr>
          <w:rFonts w:eastAsia="宋体" w:cs="Times New Roman"/>
          <w:color w:val="000000"/>
          <w:sz w:val="21"/>
          <w:szCs w:val="21"/>
        </w:rPr>
      </w:pPr>
      <w:r>
        <w:rPr>
          <w:rFonts w:hint="eastAsia" w:eastAsia="宋体" w:cs="Times New Roman"/>
          <w:color w:val="000000"/>
          <w:sz w:val="21"/>
          <w:szCs w:val="21"/>
        </w:rPr>
        <w:t>表1. 1992-2000年我国高新技术产品的出口情况</w:t>
      </w:r>
    </w:p>
    <w:p w14:paraId="5EF73894">
      <w:pPr>
        <w:ind w:firstLine="360"/>
        <w:rPr>
          <w:rFonts w:eastAsia="宋体" w:cs="Times New Roman"/>
          <w:color w:val="000000"/>
          <w:sz w:val="21"/>
          <w:szCs w:val="21"/>
        </w:rPr>
      </w:pPr>
    </w:p>
    <w:tbl>
      <w:tblPr>
        <w:tblStyle w:val="1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071"/>
        <w:gridCol w:w="689"/>
        <w:gridCol w:w="689"/>
        <w:gridCol w:w="689"/>
        <w:gridCol w:w="689"/>
        <w:gridCol w:w="689"/>
        <w:gridCol w:w="689"/>
        <w:gridCol w:w="689"/>
        <w:gridCol w:w="1008"/>
        <w:gridCol w:w="689"/>
      </w:tblGrid>
      <w:tr w14:paraId="629EB93E">
        <w:tc>
          <w:tcPr>
            <w:tcW w:w="2071" w:type="dxa"/>
          </w:tcPr>
          <w:p w14:paraId="42AA2299">
            <w:pPr>
              <w:ind w:firstLine="360"/>
              <w:rPr>
                <w:rFonts w:eastAsia="宋体" w:cs="Times New Roman"/>
                <w:color w:val="000000"/>
                <w:sz w:val="21"/>
                <w:szCs w:val="21"/>
              </w:rPr>
            </w:pPr>
            <w:r>
              <w:rPr>
                <w:rFonts w:hint="eastAsia" w:eastAsia="宋体" w:cs="Times New Roman"/>
                <w:color w:val="000000"/>
                <w:sz w:val="21"/>
                <w:szCs w:val="21"/>
              </w:rPr>
              <w:t>项目</w:t>
            </w:r>
          </w:p>
        </w:tc>
        <w:tc>
          <w:tcPr>
            <w:tcW w:w="689" w:type="dxa"/>
          </w:tcPr>
          <w:p w14:paraId="31792A72">
            <w:pPr>
              <w:ind w:firstLine="360"/>
              <w:rPr>
                <w:rFonts w:eastAsia="宋体" w:cs="Times New Roman"/>
                <w:color w:val="000000"/>
                <w:sz w:val="21"/>
                <w:szCs w:val="21"/>
              </w:rPr>
            </w:pPr>
            <w:r>
              <w:rPr>
                <w:rFonts w:hint="eastAsia" w:eastAsia="宋体" w:cs="Times New Roman"/>
                <w:color w:val="000000"/>
                <w:sz w:val="21"/>
                <w:szCs w:val="21"/>
              </w:rPr>
              <w:t>1992</w:t>
            </w:r>
          </w:p>
        </w:tc>
        <w:tc>
          <w:tcPr>
            <w:tcW w:w="689" w:type="dxa"/>
          </w:tcPr>
          <w:p w14:paraId="08272AD6">
            <w:pPr>
              <w:ind w:firstLine="360"/>
              <w:rPr>
                <w:rFonts w:eastAsia="宋体" w:cs="Times New Roman"/>
                <w:color w:val="000000"/>
                <w:sz w:val="21"/>
                <w:szCs w:val="21"/>
              </w:rPr>
            </w:pPr>
            <w:r>
              <w:rPr>
                <w:rFonts w:hint="eastAsia" w:eastAsia="宋体" w:cs="Times New Roman"/>
                <w:color w:val="000000"/>
                <w:sz w:val="21"/>
                <w:szCs w:val="21"/>
              </w:rPr>
              <w:t>1993</w:t>
            </w:r>
          </w:p>
        </w:tc>
        <w:tc>
          <w:tcPr>
            <w:tcW w:w="689" w:type="dxa"/>
          </w:tcPr>
          <w:p w14:paraId="3B63CCD5">
            <w:pPr>
              <w:ind w:firstLine="360"/>
              <w:rPr>
                <w:rFonts w:eastAsia="宋体" w:cs="Times New Roman"/>
                <w:color w:val="000000"/>
                <w:sz w:val="21"/>
                <w:szCs w:val="21"/>
              </w:rPr>
            </w:pPr>
            <w:r>
              <w:rPr>
                <w:rFonts w:hint="eastAsia" w:eastAsia="宋体" w:cs="Times New Roman"/>
                <w:color w:val="000000"/>
                <w:sz w:val="21"/>
                <w:szCs w:val="21"/>
              </w:rPr>
              <w:t>1994</w:t>
            </w:r>
          </w:p>
        </w:tc>
        <w:tc>
          <w:tcPr>
            <w:tcW w:w="689" w:type="dxa"/>
          </w:tcPr>
          <w:p w14:paraId="35C2DB61">
            <w:pPr>
              <w:ind w:firstLine="360"/>
              <w:rPr>
                <w:rFonts w:eastAsia="宋体" w:cs="Times New Roman"/>
                <w:color w:val="000000"/>
                <w:sz w:val="21"/>
                <w:szCs w:val="21"/>
              </w:rPr>
            </w:pPr>
            <w:r>
              <w:rPr>
                <w:rFonts w:hint="eastAsia" w:eastAsia="宋体" w:cs="Times New Roman"/>
                <w:color w:val="000000"/>
                <w:sz w:val="21"/>
                <w:szCs w:val="21"/>
              </w:rPr>
              <w:t>1995</w:t>
            </w:r>
          </w:p>
        </w:tc>
        <w:tc>
          <w:tcPr>
            <w:tcW w:w="689" w:type="dxa"/>
          </w:tcPr>
          <w:p w14:paraId="2F8EC60D">
            <w:pPr>
              <w:ind w:firstLine="360"/>
              <w:rPr>
                <w:rFonts w:eastAsia="宋体" w:cs="Times New Roman"/>
                <w:color w:val="000000"/>
                <w:sz w:val="21"/>
                <w:szCs w:val="21"/>
              </w:rPr>
            </w:pPr>
            <w:r>
              <w:rPr>
                <w:rFonts w:hint="eastAsia" w:eastAsia="宋体" w:cs="Times New Roman"/>
                <w:color w:val="000000"/>
                <w:sz w:val="21"/>
                <w:szCs w:val="21"/>
              </w:rPr>
              <w:t>1996</w:t>
            </w:r>
          </w:p>
        </w:tc>
        <w:tc>
          <w:tcPr>
            <w:tcW w:w="689" w:type="dxa"/>
          </w:tcPr>
          <w:p w14:paraId="662BDAE8">
            <w:pPr>
              <w:ind w:firstLine="360"/>
              <w:rPr>
                <w:rFonts w:eastAsia="宋体" w:cs="Times New Roman"/>
                <w:color w:val="000000"/>
                <w:sz w:val="21"/>
                <w:szCs w:val="21"/>
              </w:rPr>
            </w:pPr>
            <w:r>
              <w:rPr>
                <w:rFonts w:hint="eastAsia" w:eastAsia="宋体" w:cs="Times New Roman"/>
                <w:color w:val="000000"/>
                <w:sz w:val="21"/>
                <w:szCs w:val="21"/>
              </w:rPr>
              <w:t>1997</w:t>
            </w:r>
          </w:p>
        </w:tc>
        <w:tc>
          <w:tcPr>
            <w:tcW w:w="689" w:type="dxa"/>
          </w:tcPr>
          <w:p w14:paraId="26551E45">
            <w:pPr>
              <w:ind w:firstLine="360"/>
              <w:rPr>
                <w:rFonts w:eastAsia="宋体" w:cs="Times New Roman"/>
                <w:color w:val="000000"/>
                <w:sz w:val="21"/>
                <w:szCs w:val="21"/>
              </w:rPr>
            </w:pPr>
            <w:r>
              <w:rPr>
                <w:rFonts w:hint="eastAsia" w:eastAsia="宋体" w:cs="Times New Roman"/>
                <w:color w:val="000000"/>
                <w:sz w:val="21"/>
                <w:szCs w:val="21"/>
              </w:rPr>
              <w:t>1998</w:t>
            </w:r>
          </w:p>
        </w:tc>
        <w:tc>
          <w:tcPr>
            <w:tcW w:w="1008" w:type="dxa"/>
          </w:tcPr>
          <w:p w14:paraId="2ED46FDE">
            <w:pPr>
              <w:ind w:firstLine="360"/>
              <w:rPr>
                <w:rFonts w:eastAsia="宋体" w:cs="Times New Roman"/>
                <w:color w:val="000000"/>
                <w:sz w:val="21"/>
                <w:szCs w:val="21"/>
              </w:rPr>
            </w:pPr>
            <w:r>
              <w:rPr>
                <w:rFonts w:hint="eastAsia" w:eastAsia="宋体" w:cs="Times New Roman"/>
                <w:color w:val="000000"/>
                <w:sz w:val="21"/>
                <w:szCs w:val="21"/>
              </w:rPr>
              <w:t>1999</w:t>
            </w:r>
          </w:p>
        </w:tc>
        <w:tc>
          <w:tcPr>
            <w:tcW w:w="689" w:type="dxa"/>
          </w:tcPr>
          <w:p w14:paraId="7AA97C31">
            <w:pPr>
              <w:ind w:firstLine="360"/>
              <w:rPr>
                <w:rFonts w:eastAsia="宋体" w:cs="Times New Roman"/>
                <w:color w:val="000000"/>
                <w:sz w:val="21"/>
                <w:szCs w:val="21"/>
              </w:rPr>
            </w:pPr>
            <w:r>
              <w:rPr>
                <w:rFonts w:hint="eastAsia" w:eastAsia="宋体" w:cs="Times New Roman"/>
                <w:color w:val="000000"/>
                <w:sz w:val="21"/>
                <w:szCs w:val="21"/>
              </w:rPr>
              <w:t>2000</w:t>
            </w:r>
          </w:p>
        </w:tc>
      </w:tr>
      <w:tr w14:paraId="411A10EC">
        <w:tc>
          <w:tcPr>
            <w:tcW w:w="2071" w:type="dxa"/>
          </w:tcPr>
          <w:p w14:paraId="33BF6A6E">
            <w:pPr>
              <w:ind w:firstLine="360"/>
              <w:rPr>
                <w:rFonts w:eastAsia="宋体" w:cs="Times New Roman"/>
                <w:color w:val="000000"/>
                <w:sz w:val="21"/>
                <w:szCs w:val="21"/>
              </w:rPr>
            </w:pPr>
            <w:r>
              <w:rPr>
                <w:rFonts w:hint="eastAsia" w:eastAsia="宋体" w:cs="Times New Roman"/>
                <w:color w:val="000000"/>
                <w:sz w:val="21"/>
                <w:szCs w:val="21"/>
              </w:rPr>
              <w:t>出口额（亿美元）</w:t>
            </w:r>
          </w:p>
        </w:tc>
        <w:tc>
          <w:tcPr>
            <w:tcW w:w="689" w:type="dxa"/>
          </w:tcPr>
          <w:p w14:paraId="1EE6F9AC">
            <w:pPr>
              <w:ind w:firstLine="360"/>
              <w:rPr>
                <w:rFonts w:eastAsia="宋体" w:cs="Times New Roman"/>
                <w:color w:val="000000"/>
                <w:sz w:val="21"/>
                <w:szCs w:val="21"/>
              </w:rPr>
            </w:pPr>
            <w:r>
              <w:rPr>
                <w:rFonts w:hint="eastAsia" w:eastAsia="宋体" w:cs="Times New Roman"/>
                <w:color w:val="000000"/>
                <w:sz w:val="21"/>
                <w:szCs w:val="21"/>
              </w:rPr>
              <w:t>39.96</w:t>
            </w:r>
          </w:p>
        </w:tc>
        <w:tc>
          <w:tcPr>
            <w:tcW w:w="689" w:type="dxa"/>
          </w:tcPr>
          <w:p w14:paraId="372532C1">
            <w:pPr>
              <w:ind w:firstLine="360"/>
              <w:rPr>
                <w:rFonts w:eastAsia="宋体" w:cs="Times New Roman"/>
                <w:color w:val="000000"/>
                <w:sz w:val="21"/>
                <w:szCs w:val="21"/>
              </w:rPr>
            </w:pPr>
            <w:r>
              <w:rPr>
                <w:rFonts w:hint="eastAsia" w:eastAsia="宋体" w:cs="Times New Roman"/>
                <w:color w:val="000000"/>
                <w:sz w:val="21"/>
                <w:szCs w:val="21"/>
              </w:rPr>
              <w:t>46.76</w:t>
            </w:r>
          </w:p>
        </w:tc>
        <w:tc>
          <w:tcPr>
            <w:tcW w:w="689" w:type="dxa"/>
          </w:tcPr>
          <w:p w14:paraId="00CA77AA">
            <w:pPr>
              <w:ind w:firstLine="360"/>
              <w:rPr>
                <w:rFonts w:eastAsia="宋体" w:cs="Times New Roman"/>
                <w:color w:val="000000"/>
                <w:sz w:val="21"/>
                <w:szCs w:val="21"/>
              </w:rPr>
            </w:pPr>
            <w:r>
              <w:rPr>
                <w:rFonts w:hint="eastAsia" w:eastAsia="宋体" w:cs="Times New Roman"/>
                <w:color w:val="000000"/>
                <w:sz w:val="21"/>
                <w:szCs w:val="21"/>
              </w:rPr>
              <w:t>63.42</w:t>
            </w:r>
          </w:p>
        </w:tc>
        <w:tc>
          <w:tcPr>
            <w:tcW w:w="689" w:type="dxa"/>
          </w:tcPr>
          <w:p w14:paraId="2ED50DD6">
            <w:pPr>
              <w:ind w:firstLine="360"/>
              <w:rPr>
                <w:rFonts w:eastAsia="宋体" w:cs="Times New Roman"/>
                <w:color w:val="000000"/>
                <w:sz w:val="21"/>
                <w:szCs w:val="21"/>
              </w:rPr>
            </w:pPr>
            <w:r>
              <w:rPr>
                <w:rFonts w:hint="eastAsia" w:eastAsia="宋体" w:cs="Times New Roman"/>
                <w:color w:val="000000"/>
                <w:sz w:val="21"/>
                <w:szCs w:val="21"/>
              </w:rPr>
              <w:t>100.9</w:t>
            </w:r>
          </w:p>
        </w:tc>
        <w:tc>
          <w:tcPr>
            <w:tcW w:w="689" w:type="dxa"/>
          </w:tcPr>
          <w:p w14:paraId="7060FEE4">
            <w:pPr>
              <w:ind w:firstLine="360"/>
              <w:rPr>
                <w:rFonts w:eastAsia="宋体" w:cs="Times New Roman"/>
                <w:color w:val="000000"/>
                <w:sz w:val="21"/>
                <w:szCs w:val="21"/>
              </w:rPr>
            </w:pPr>
            <w:r>
              <w:rPr>
                <w:rFonts w:hint="eastAsia" w:eastAsia="宋体" w:cs="Times New Roman"/>
                <w:color w:val="000000"/>
                <w:sz w:val="21"/>
                <w:szCs w:val="21"/>
              </w:rPr>
              <w:t>126.6</w:t>
            </w:r>
          </w:p>
        </w:tc>
        <w:tc>
          <w:tcPr>
            <w:tcW w:w="689" w:type="dxa"/>
          </w:tcPr>
          <w:p w14:paraId="0254BD67">
            <w:pPr>
              <w:ind w:firstLine="360"/>
              <w:rPr>
                <w:rFonts w:eastAsia="宋体" w:cs="Times New Roman"/>
                <w:color w:val="000000"/>
                <w:sz w:val="21"/>
                <w:szCs w:val="21"/>
              </w:rPr>
            </w:pPr>
            <w:r>
              <w:rPr>
                <w:rFonts w:hint="eastAsia" w:eastAsia="宋体" w:cs="Times New Roman"/>
                <w:color w:val="000000"/>
                <w:sz w:val="21"/>
                <w:szCs w:val="21"/>
              </w:rPr>
              <w:t>163.1</w:t>
            </w:r>
          </w:p>
        </w:tc>
        <w:tc>
          <w:tcPr>
            <w:tcW w:w="689" w:type="dxa"/>
          </w:tcPr>
          <w:p w14:paraId="1EC6B199">
            <w:pPr>
              <w:ind w:firstLine="360"/>
              <w:rPr>
                <w:rFonts w:eastAsia="宋体" w:cs="Times New Roman"/>
                <w:color w:val="000000"/>
                <w:sz w:val="21"/>
                <w:szCs w:val="21"/>
              </w:rPr>
            </w:pPr>
            <w:r>
              <w:rPr>
                <w:rFonts w:hint="eastAsia" w:eastAsia="宋体" w:cs="Times New Roman"/>
                <w:color w:val="000000"/>
                <w:sz w:val="21"/>
                <w:szCs w:val="21"/>
              </w:rPr>
              <w:t>202.5</w:t>
            </w:r>
          </w:p>
        </w:tc>
        <w:tc>
          <w:tcPr>
            <w:tcW w:w="1008" w:type="dxa"/>
          </w:tcPr>
          <w:p w14:paraId="718E1CAC">
            <w:pPr>
              <w:ind w:firstLine="360"/>
              <w:rPr>
                <w:rFonts w:eastAsia="宋体" w:cs="Times New Roman"/>
                <w:color w:val="000000"/>
                <w:sz w:val="21"/>
                <w:szCs w:val="21"/>
              </w:rPr>
            </w:pPr>
            <w:r>
              <w:rPr>
                <w:rFonts w:hint="eastAsia" w:eastAsia="宋体" w:cs="Times New Roman"/>
                <w:color w:val="000000"/>
                <w:sz w:val="21"/>
                <w:szCs w:val="21"/>
              </w:rPr>
              <w:t>247.0</w:t>
            </w:r>
          </w:p>
        </w:tc>
        <w:tc>
          <w:tcPr>
            <w:tcW w:w="689" w:type="dxa"/>
          </w:tcPr>
          <w:p w14:paraId="6AC124C8">
            <w:pPr>
              <w:ind w:firstLine="360"/>
              <w:rPr>
                <w:rFonts w:eastAsia="宋体" w:cs="Times New Roman"/>
                <w:color w:val="000000"/>
                <w:sz w:val="21"/>
                <w:szCs w:val="21"/>
              </w:rPr>
            </w:pPr>
            <w:r>
              <w:rPr>
                <w:rFonts w:hint="eastAsia" w:eastAsia="宋体" w:cs="Times New Roman"/>
                <w:color w:val="000000"/>
                <w:sz w:val="21"/>
                <w:szCs w:val="21"/>
              </w:rPr>
              <w:t>368.6</w:t>
            </w:r>
          </w:p>
        </w:tc>
      </w:tr>
      <w:tr w14:paraId="6CB83CC1">
        <w:tc>
          <w:tcPr>
            <w:tcW w:w="2071" w:type="dxa"/>
          </w:tcPr>
          <w:p w14:paraId="26978E15">
            <w:pPr>
              <w:ind w:firstLine="360"/>
              <w:rPr>
                <w:rFonts w:eastAsia="宋体" w:cs="Times New Roman"/>
                <w:color w:val="000000"/>
                <w:sz w:val="21"/>
                <w:szCs w:val="21"/>
              </w:rPr>
            </w:pPr>
            <w:r>
              <w:rPr>
                <w:rFonts w:hint="eastAsia" w:eastAsia="宋体" w:cs="Times New Roman"/>
                <w:color w:val="000000"/>
                <w:sz w:val="21"/>
                <w:szCs w:val="21"/>
              </w:rPr>
              <w:t>同比增长（%）</w:t>
            </w:r>
          </w:p>
        </w:tc>
        <w:tc>
          <w:tcPr>
            <w:tcW w:w="689" w:type="dxa"/>
          </w:tcPr>
          <w:p w14:paraId="52C2B733">
            <w:pPr>
              <w:ind w:firstLine="360"/>
              <w:rPr>
                <w:rFonts w:eastAsia="宋体" w:cs="Times New Roman"/>
                <w:color w:val="000000"/>
                <w:sz w:val="21"/>
                <w:szCs w:val="21"/>
              </w:rPr>
            </w:pPr>
            <w:r>
              <w:rPr>
                <w:rFonts w:hint="eastAsia" w:eastAsia="宋体" w:cs="Times New Roman"/>
                <w:color w:val="000000"/>
                <w:sz w:val="21"/>
                <w:szCs w:val="21"/>
              </w:rPr>
              <w:t>38.9</w:t>
            </w:r>
          </w:p>
        </w:tc>
        <w:tc>
          <w:tcPr>
            <w:tcW w:w="689" w:type="dxa"/>
          </w:tcPr>
          <w:p w14:paraId="093CA7BA">
            <w:pPr>
              <w:ind w:firstLine="360"/>
              <w:rPr>
                <w:rFonts w:eastAsia="宋体" w:cs="Times New Roman"/>
                <w:color w:val="000000"/>
                <w:sz w:val="21"/>
                <w:szCs w:val="21"/>
              </w:rPr>
            </w:pPr>
            <w:r>
              <w:rPr>
                <w:rFonts w:hint="eastAsia" w:eastAsia="宋体" w:cs="Times New Roman"/>
                <w:color w:val="000000"/>
                <w:sz w:val="21"/>
                <w:szCs w:val="21"/>
              </w:rPr>
              <w:t>17.0</w:t>
            </w:r>
          </w:p>
        </w:tc>
        <w:tc>
          <w:tcPr>
            <w:tcW w:w="689" w:type="dxa"/>
          </w:tcPr>
          <w:p w14:paraId="32FAF243">
            <w:pPr>
              <w:ind w:firstLine="360"/>
              <w:rPr>
                <w:rFonts w:eastAsia="宋体" w:cs="Times New Roman"/>
                <w:color w:val="000000"/>
                <w:sz w:val="21"/>
                <w:szCs w:val="21"/>
              </w:rPr>
            </w:pPr>
            <w:r>
              <w:rPr>
                <w:rFonts w:hint="eastAsia" w:eastAsia="宋体" w:cs="Times New Roman"/>
                <w:color w:val="000000"/>
                <w:sz w:val="21"/>
                <w:szCs w:val="21"/>
              </w:rPr>
              <w:t>35.6</w:t>
            </w:r>
          </w:p>
        </w:tc>
        <w:tc>
          <w:tcPr>
            <w:tcW w:w="689" w:type="dxa"/>
          </w:tcPr>
          <w:p w14:paraId="6149C682">
            <w:pPr>
              <w:ind w:firstLine="360"/>
              <w:rPr>
                <w:rFonts w:eastAsia="宋体" w:cs="Times New Roman"/>
                <w:color w:val="000000"/>
                <w:sz w:val="21"/>
                <w:szCs w:val="21"/>
              </w:rPr>
            </w:pPr>
            <w:r>
              <w:rPr>
                <w:rFonts w:hint="eastAsia" w:eastAsia="宋体" w:cs="Times New Roman"/>
                <w:color w:val="000000"/>
                <w:sz w:val="21"/>
                <w:szCs w:val="21"/>
              </w:rPr>
              <w:t>59.1</w:t>
            </w:r>
          </w:p>
        </w:tc>
        <w:tc>
          <w:tcPr>
            <w:tcW w:w="689" w:type="dxa"/>
          </w:tcPr>
          <w:p w14:paraId="22B42D5D">
            <w:pPr>
              <w:ind w:firstLine="360"/>
              <w:rPr>
                <w:rFonts w:eastAsia="宋体" w:cs="Times New Roman"/>
                <w:color w:val="000000"/>
                <w:sz w:val="21"/>
                <w:szCs w:val="21"/>
              </w:rPr>
            </w:pPr>
            <w:r>
              <w:rPr>
                <w:rFonts w:hint="eastAsia" w:eastAsia="宋体" w:cs="Times New Roman"/>
                <w:color w:val="000000"/>
                <w:sz w:val="21"/>
                <w:szCs w:val="21"/>
              </w:rPr>
              <w:t>25.5</w:t>
            </w:r>
          </w:p>
        </w:tc>
        <w:tc>
          <w:tcPr>
            <w:tcW w:w="689" w:type="dxa"/>
          </w:tcPr>
          <w:p w14:paraId="602E3F2C">
            <w:pPr>
              <w:ind w:firstLine="360"/>
              <w:rPr>
                <w:rFonts w:eastAsia="宋体" w:cs="Times New Roman"/>
                <w:color w:val="000000"/>
                <w:sz w:val="21"/>
                <w:szCs w:val="21"/>
              </w:rPr>
            </w:pPr>
            <w:r>
              <w:rPr>
                <w:rFonts w:hint="eastAsia" w:eastAsia="宋体" w:cs="Times New Roman"/>
                <w:color w:val="000000"/>
                <w:sz w:val="21"/>
                <w:szCs w:val="21"/>
              </w:rPr>
              <w:t>28.8</w:t>
            </w:r>
          </w:p>
        </w:tc>
        <w:tc>
          <w:tcPr>
            <w:tcW w:w="689" w:type="dxa"/>
          </w:tcPr>
          <w:p w14:paraId="624B89D0">
            <w:pPr>
              <w:ind w:firstLine="360"/>
              <w:rPr>
                <w:rFonts w:eastAsia="宋体" w:cs="Times New Roman"/>
                <w:color w:val="000000"/>
                <w:sz w:val="21"/>
                <w:szCs w:val="21"/>
              </w:rPr>
            </w:pPr>
            <w:r>
              <w:rPr>
                <w:rFonts w:hint="eastAsia" w:eastAsia="宋体" w:cs="Times New Roman"/>
                <w:color w:val="000000"/>
                <w:sz w:val="21"/>
                <w:szCs w:val="21"/>
              </w:rPr>
              <w:t>24.2</w:t>
            </w:r>
          </w:p>
        </w:tc>
        <w:tc>
          <w:tcPr>
            <w:tcW w:w="1008" w:type="dxa"/>
          </w:tcPr>
          <w:p w14:paraId="6E8879C4">
            <w:pPr>
              <w:ind w:firstLine="360"/>
              <w:rPr>
                <w:rFonts w:eastAsia="宋体" w:cs="Times New Roman"/>
                <w:color w:val="000000"/>
                <w:sz w:val="21"/>
                <w:szCs w:val="21"/>
              </w:rPr>
            </w:pPr>
            <w:r>
              <w:rPr>
                <w:rFonts w:hint="eastAsia" w:eastAsia="宋体" w:cs="Times New Roman"/>
                <w:color w:val="000000"/>
                <w:sz w:val="21"/>
                <w:szCs w:val="21"/>
              </w:rPr>
              <w:t>22.0</w:t>
            </w:r>
          </w:p>
        </w:tc>
        <w:tc>
          <w:tcPr>
            <w:tcW w:w="689" w:type="dxa"/>
          </w:tcPr>
          <w:p w14:paraId="51637308">
            <w:pPr>
              <w:ind w:firstLine="360"/>
              <w:rPr>
                <w:rFonts w:eastAsia="宋体" w:cs="Times New Roman"/>
                <w:color w:val="000000"/>
                <w:sz w:val="21"/>
                <w:szCs w:val="21"/>
              </w:rPr>
            </w:pPr>
            <w:r>
              <w:rPr>
                <w:rFonts w:hint="eastAsia" w:eastAsia="宋体" w:cs="Times New Roman"/>
                <w:color w:val="000000"/>
                <w:sz w:val="21"/>
                <w:szCs w:val="21"/>
              </w:rPr>
              <w:t>49.2</w:t>
            </w:r>
          </w:p>
        </w:tc>
      </w:tr>
      <w:tr w14:paraId="09E2365E">
        <w:tc>
          <w:tcPr>
            <w:tcW w:w="2071" w:type="dxa"/>
          </w:tcPr>
          <w:p w14:paraId="4241D62D">
            <w:pPr>
              <w:ind w:firstLine="360"/>
              <w:rPr>
                <w:rFonts w:eastAsia="宋体" w:cs="Times New Roman"/>
                <w:color w:val="000000"/>
                <w:sz w:val="21"/>
                <w:szCs w:val="21"/>
              </w:rPr>
            </w:pPr>
            <w:r>
              <w:rPr>
                <w:rFonts w:hint="eastAsia" w:eastAsia="宋体" w:cs="Times New Roman"/>
                <w:color w:val="000000"/>
                <w:sz w:val="21"/>
                <w:szCs w:val="21"/>
              </w:rPr>
              <w:t>占产品比重（%）</w:t>
            </w:r>
          </w:p>
        </w:tc>
        <w:tc>
          <w:tcPr>
            <w:tcW w:w="689" w:type="dxa"/>
          </w:tcPr>
          <w:p w14:paraId="0DC215A9">
            <w:pPr>
              <w:ind w:firstLine="360"/>
              <w:rPr>
                <w:rFonts w:eastAsia="宋体" w:cs="Times New Roman"/>
                <w:color w:val="000000"/>
                <w:sz w:val="21"/>
                <w:szCs w:val="21"/>
              </w:rPr>
            </w:pPr>
            <w:r>
              <w:rPr>
                <w:rFonts w:hint="eastAsia" w:eastAsia="宋体" w:cs="Times New Roman"/>
                <w:color w:val="000000"/>
                <w:sz w:val="21"/>
                <w:szCs w:val="21"/>
              </w:rPr>
              <w:t>4.7</w:t>
            </w:r>
          </w:p>
        </w:tc>
        <w:tc>
          <w:tcPr>
            <w:tcW w:w="689" w:type="dxa"/>
          </w:tcPr>
          <w:p w14:paraId="1C2B2538">
            <w:pPr>
              <w:ind w:firstLine="360"/>
              <w:rPr>
                <w:rFonts w:eastAsia="宋体" w:cs="Times New Roman"/>
                <w:color w:val="000000"/>
                <w:sz w:val="21"/>
                <w:szCs w:val="21"/>
              </w:rPr>
            </w:pPr>
            <w:r>
              <w:rPr>
                <w:rFonts w:hint="eastAsia" w:eastAsia="宋体" w:cs="Times New Roman"/>
                <w:color w:val="000000"/>
                <w:sz w:val="21"/>
                <w:szCs w:val="21"/>
              </w:rPr>
              <w:t>5.1</w:t>
            </w:r>
          </w:p>
        </w:tc>
        <w:tc>
          <w:tcPr>
            <w:tcW w:w="689" w:type="dxa"/>
          </w:tcPr>
          <w:p w14:paraId="1A313AC8">
            <w:pPr>
              <w:ind w:firstLine="360"/>
              <w:rPr>
                <w:rFonts w:eastAsia="宋体" w:cs="Times New Roman"/>
                <w:color w:val="000000"/>
                <w:sz w:val="21"/>
                <w:szCs w:val="21"/>
              </w:rPr>
            </w:pPr>
            <w:r>
              <w:rPr>
                <w:rFonts w:hint="eastAsia" w:eastAsia="宋体" w:cs="Times New Roman"/>
                <w:color w:val="000000"/>
                <w:sz w:val="21"/>
                <w:szCs w:val="21"/>
              </w:rPr>
              <w:t>5.2</w:t>
            </w:r>
          </w:p>
        </w:tc>
        <w:tc>
          <w:tcPr>
            <w:tcW w:w="689" w:type="dxa"/>
          </w:tcPr>
          <w:p w14:paraId="5B7FD7E7">
            <w:pPr>
              <w:ind w:firstLine="360"/>
              <w:rPr>
                <w:rFonts w:eastAsia="宋体" w:cs="Times New Roman"/>
                <w:color w:val="000000"/>
                <w:sz w:val="21"/>
                <w:szCs w:val="21"/>
              </w:rPr>
            </w:pPr>
            <w:r>
              <w:rPr>
                <w:rFonts w:hint="eastAsia" w:eastAsia="宋体" w:cs="Times New Roman"/>
                <w:color w:val="000000"/>
                <w:sz w:val="21"/>
                <w:szCs w:val="21"/>
              </w:rPr>
              <w:t>6.8</w:t>
            </w:r>
          </w:p>
        </w:tc>
        <w:tc>
          <w:tcPr>
            <w:tcW w:w="689" w:type="dxa"/>
          </w:tcPr>
          <w:p w14:paraId="19D2E5E2">
            <w:pPr>
              <w:ind w:firstLine="360"/>
              <w:rPr>
                <w:rFonts w:eastAsia="宋体" w:cs="Times New Roman"/>
                <w:color w:val="000000"/>
                <w:sz w:val="21"/>
                <w:szCs w:val="21"/>
              </w:rPr>
            </w:pPr>
            <w:r>
              <w:rPr>
                <w:rFonts w:hint="eastAsia" w:eastAsia="宋体" w:cs="Times New Roman"/>
                <w:color w:val="000000"/>
                <w:sz w:val="21"/>
                <w:szCs w:val="21"/>
              </w:rPr>
              <w:t>8.4</w:t>
            </w:r>
          </w:p>
        </w:tc>
        <w:tc>
          <w:tcPr>
            <w:tcW w:w="689" w:type="dxa"/>
          </w:tcPr>
          <w:p w14:paraId="6457DB38">
            <w:pPr>
              <w:ind w:firstLine="360"/>
              <w:rPr>
                <w:rFonts w:eastAsia="宋体" w:cs="Times New Roman"/>
                <w:color w:val="000000"/>
                <w:sz w:val="21"/>
                <w:szCs w:val="21"/>
              </w:rPr>
            </w:pPr>
            <w:r>
              <w:rPr>
                <w:rFonts w:hint="eastAsia" w:eastAsia="宋体" w:cs="Times New Roman"/>
                <w:color w:val="000000"/>
                <w:sz w:val="21"/>
                <w:szCs w:val="21"/>
              </w:rPr>
              <w:t>8.9</w:t>
            </w:r>
          </w:p>
        </w:tc>
        <w:tc>
          <w:tcPr>
            <w:tcW w:w="689" w:type="dxa"/>
          </w:tcPr>
          <w:p w14:paraId="17C8CD3B">
            <w:pPr>
              <w:ind w:firstLine="360"/>
              <w:rPr>
                <w:rFonts w:eastAsia="宋体" w:cs="Times New Roman"/>
                <w:color w:val="000000"/>
                <w:sz w:val="21"/>
                <w:szCs w:val="21"/>
              </w:rPr>
            </w:pPr>
            <w:r>
              <w:rPr>
                <w:rFonts w:hint="eastAsia" w:eastAsia="宋体" w:cs="Times New Roman"/>
                <w:color w:val="000000"/>
                <w:sz w:val="21"/>
                <w:szCs w:val="21"/>
              </w:rPr>
              <w:t>11.0</w:t>
            </w:r>
          </w:p>
        </w:tc>
        <w:tc>
          <w:tcPr>
            <w:tcW w:w="1008" w:type="dxa"/>
          </w:tcPr>
          <w:p w14:paraId="32A64DCD">
            <w:pPr>
              <w:ind w:firstLine="360"/>
              <w:rPr>
                <w:rFonts w:eastAsia="宋体" w:cs="Times New Roman"/>
                <w:color w:val="000000"/>
                <w:sz w:val="21"/>
                <w:szCs w:val="21"/>
              </w:rPr>
            </w:pPr>
            <w:r>
              <w:rPr>
                <w:rFonts w:hint="eastAsia" w:eastAsia="宋体" w:cs="Times New Roman"/>
                <w:color w:val="000000"/>
                <w:sz w:val="21"/>
                <w:szCs w:val="21"/>
              </w:rPr>
              <w:t>12.7</w:t>
            </w:r>
          </w:p>
        </w:tc>
        <w:tc>
          <w:tcPr>
            <w:tcW w:w="689" w:type="dxa"/>
          </w:tcPr>
          <w:p w14:paraId="76CC5461">
            <w:pPr>
              <w:ind w:firstLine="360"/>
              <w:rPr>
                <w:rFonts w:eastAsia="宋体" w:cs="Times New Roman"/>
                <w:color w:val="000000"/>
                <w:sz w:val="21"/>
                <w:szCs w:val="21"/>
              </w:rPr>
            </w:pPr>
            <w:r>
              <w:rPr>
                <w:rFonts w:hint="eastAsia" w:eastAsia="宋体" w:cs="Times New Roman"/>
                <w:color w:val="000000"/>
                <w:sz w:val="21"/>
                <w:szCs w:val="21"/>
              </w:rPr>
              <w:t>14.6</w:t>
            </w:r>
          </w:p>
        </w:tc>
      </w:tr>
      <w:tr w14:paraId="60812154">
        <w:tc>
          <w:tcPr>
            <w:tcW w:w="2071" w:type="dxa"/>
          </w:tcPr>
          <w:p w14:paraId="575C9275">
            <w:pPr>
              <w:ind w:firstLine="360"/>
              <w:rPr>
                <w:rFonts w:eastAsia="宋体" w:cs="Times New Roman"/>
                <w:color w:val="000000"/>
                <w:sz w:val="21"/>
                <w:szCs w:val="21"/>
              </w:rPr>
            </w:pPr>
            <w:r>
              <w:rPr>
                <w:rFonts w:hint="eastAsia" w:eastAsia="宋体" w:cs="Times New Roman"/>
                <w:color w:val="000000"/>
                <w:sz w:val="21"/>
                <w:szCs w:val="21"/>
              </w:rPr>
              <w:t>占工业品比重（%）</w:t>
            </w:r>
          </w:p>
        </w:tc>
        <w:tc>
          <w:tcPr>
            <w:tcW w:w="689" w:type="dxa"/>
          </w:tcPr>
          <w:p w14:paraId="26D00561">
            <w:pPr>
              <w:ind w:firstLine="360"/>
              <w:rPr>
                <w:rFonts w:eastAsia="宋体" w:cs="Times New Roman"/>
                <w:color w:val="000000"/>
                <w:sz w:val="21"/>
                <w:szCs w:val="21"/>
              </w:rPr>
            </w:pPr>
            <w:r>
              <w:rPr>
                <w:rFonts w:hint="eastAsia" w:eastAsia="宋体" w:cs="Times New Roman"/>
                <w:color w:val="000000"/>
                <w:sz w:val="21"/>
                <w:szCs w:val="21"/>
              </w:rPr>
              <w:t>5.9</w:t>
            </w:r>
          </w:p>
        </w:tc>
        <w:tc>
          <w:tcPr>
            <w:tcW w:w="689" w:type="dxa"/>
          </w:tcPr>
          <w:p w14:paraId="0A73719D">
            <w:pPr>
              <w:ind w:firstLine="360"/>
              <w:rPr>
                <w:rFonts w:eastAsia="宋体" w:cs="Times New Roman"/>
                <w:color w:val="000000"/>
                <w:sz w:val="21"/>
                <w:szCs w:val="21"/>
              </w:rPr>
            </w:pPr>
            <w:r>
              <w:rPr>
                <w:rFonts w:hint="eastAsia" w:eastAsia="宋体" w:cs="Times New Roman"/>
                <w:color w:val="000000"/>
                <w:sz w:val="21"/>
                <w:szCs w:val="21"/>
              </w:rPr>
              <w:t>6.2</w:t>
            </w:r>
          </w:p>
        </w:tc>
        <w:tc>
          <w:tcPr>
            <w:tcW w:w="689" w:type="dxa"/>
          </w:tcPr>
          <w:p w14:paraId="52DF6AB7">
            <w:pPr>
              <w:ind w:firstLine="360"/>
              <w:rPr>
                <w:rFonts w:eastAsia="宋体" w:cs="Times New Roman"/>
                <w:color w:val="000000"/>
                <w:sz w:val="21"/>
                <w:szCs w:val="21"/>
              </w:rPr>
            </w:pPr>
            <w:r>
              <w:rPr>
                <w:rFonts w:hint="eastAsia" w:eastAsia="宋体" w:cs="Times New Roman"/>
                <w:color w:val="000000"/>
                <w:sz w:val="21"/>
                <w:szCs w:val="21"/>
              </w:rPr>
              <w:t>6.3</w:t>
            </w:r>
          </w:p>
        </w:tc>
        <w:tc>
          <w:tcPr>
            <w:tcW w:w="689" w:type="dxa"/>
          </w:tcPr>
          <w:p w14:paraId="214A6CDB">
            <w:pPr>
              <w:ind w:firstLine="360"/>
              <w:rPr>
                <w:rFonts w:eastAsia="宋体" w:cs="Times New Roman"/>
                <w:color w:val="000000"/>
                <w:sz w:val="21"/>
                <w:szCs w:val="21"/>
              </w:rPr>
            </w:pPr>
            <w:r>
              <w:rPr>
                <w:rFonts w:hint="eastAsia" w:eastAsia="宋体" w:cs="Times New Roman"/>
                <w:color w:val="000000"/>
                <w:sz w:val="21"/>
                <w:szCs w:val="21"/>
              </w:rPr>
              <w:t>7.9</w:t>
            </w:r>
          </w:p>
        </w:tc>
        <w:tc>
          <w:tcPr>
            <w:tcW w:w="689" w:type="dxa"/>
          </w:tcPr>
          <w:p w14:paraId="4ED1EF9A">
            <w:pPr>
              <w:ind w:firstLine="360"/>
              <w:rPr>
                <w:rFonts w:eastAsia="宋体" w:cs="Times New Roman"/>
                <w:color w:val="000000"/>
                <w:sz w:val="21"/>
                <w:szCs w:val="21"/>
              </w:rPr>
            </w:pPr>
            <w:r>
              <w:rPr>
                <w:rFonts w:hint="eastAsia" w:eastAsia="宋体" w:cs="Times New Roman"/>
                <w:color w:val="000000"/>
                <w:sz w:val="21"/>
                <w:szCs w:val="21"/>
              </w:rPr>
              <w:t>9.8</w:t>
            </w:r>
          </w:p>
        </w:tc>
        <w:tc>
          <w:tcPr>
            <w:tcW w:w="689" w:type="dxa"/>
          </w:tcPr>
          <w:p w14:paraId="00413240">
            <w:pPr>
              <w:ind w:firstLine="360"/>
              <w:rPr>
                <w:rFonts w:eastAsia="宋体" w:cs="Times New Roman"/>
                <w:color w:val="000000"/>
                <w:sz w:val="21"/>
                <w:szCs w:val="21"/>
              </w:rPr>
            </w:pPr>
            <w:r>
              <w:rPr>
                <w:rFonts w:hint="eastAsia" w:eastAsia="宋体" w:cs="Times New Roman"/>
                <w:color w:val="000000"/>
                <w:sz w:val="21"/>
                <w:szCs w:val="21"/>
              </w:rPr>
              <w:t>10.3</w:t>
            </w:r>
          </w:p>
        </w:tc>
        <w:tc>
          <w:tcPr>
            <w:tcW w:w="689" w:type="dxa"/>
          </w:tcPr>
          <w:p w14:paraId="2ED116AB">
            <w:pPr>
              <w:ind w:firstLine="360"/>
              <w:rPr>
                <w:rFonts w:eastAsia="宋体" w:cs="Times New Roman"/>
                <w:color w:val="000000"/>
                <w:sz w:val="21"/>
                <w:szCs w:val="21"/>
              </w:rPr>
            </w:pPr>
            <w:r>
              <w:rPr>
                <w:rFonts w:hint="eastAsia" w:eastAsia="宋体" w:cs="Times New Roman"/>
                <w:color w:val="000000"/>
                <w:sz w:val="21"/>
                <w:szCs w:val="21"/>
              </w:rPr>
              <w:t>12.4</w:t>
            </w:r>
          </w:p>
        </w:tc>
        <w:tc>
          <w:tcPr>
            <w:tcW w:w="1008" w:type="dxa"/>
          </w:tcPr>
          <w:p w14:paraId="29C69993">
            <w:pPr>
              <w:ind w:firstLine="360"/>
              <w:rPr>
                <w:rFonts w:eastAsia="宋体" w:cs="Times New Roman"/>
                <w:color w:val="000000"/>
                <w:sz w:val="21"/>
                <w:szCs w:val="21"/>
              </w:rPr>
            </w:pPr>
            <w:r>
              <w:rPr>
                <w:rFonts w:hint="eastAsia" w:eastAsia="宋体" w:cs="Times New Roman"/>
                <w:color w:val="000000"/>
                <w:sz w:val="21"/>
                <w:szCs w:val="21"/>
              </w:rPr>
              <w:t>14.1</w:t>
            </w:r>
          </w:p>
        </w:tc>
        <w:tc>
          <w:tcPr>
            <w:tcW w:w="689" w:type="dxa"/>
          </w:tcPr>
          <w:p w14:paraId="432F878A">
            <w:pPr>
              <w:ind w:firstLine="360"/>
              <w:rPr>
                <w:rFonts w:eastAsia="宋体" w:cs="Times New Roman"/>
                <w:color w:val="000000"/>
                <w:sz w:val="21"/>
                <w:szCs w:val="21"/>
              </w:rPr>
            </w:pPr>
            <w:r>
              <w:rPr>
                <w:rFonts w:hint="eastAsia" w:eastAsia="宋体" w:cs="Times New Roman"/>
                <w:color w:val="000000"/>
                <w:sz w:val="21"/>
                <w:szCs w:val="21"/>
              </w:rPr>
              <w:t>16.3</w:t>
            </w:r>
          </w:p>
        </w:tc>
      </w:tr>
    </w:tbl>
    <w:p w14:paraId="34DCCD22">
      <w:pPr>
        <w:ind w:firstLine="360"/>
        <w:rPr>
          <w:rFonts w:eastAsia="宋体" w:cs="Times New Roman"/>
          <w:color w:val="000000"/>
          <w:sz w:val="21"/>
          <w:szCs w:val="21"/>
        </w:rPr>
      </w:pPr>
    </w:p>
    <w:p w14:paraId="61416F48">
      <w:pPr>
        <w:ind w:firstLine="360"/>
        <w:rPr>
          <w:rFonts w:eastAsia="宋体" w:cs="Times New Roman"/>
          <w:color w:val="000000"/>
          <w:sz w:val="21"/>
          <w:szCs w:val="21"/>
        </w:rPr>
      </w:pPr>
      <w:r>
        <w:rPr>
          <w:rFonts w:hint="eastAsia" w:eastAsia="宋体" w:cs="Times New Roman"/>
          <w:color w:val="000000"/>
          <w:sz w:val="21"/>
          <w:szCs w:val="21"/>
        </w:rPr>
        <w:t>资料来源：根据《中国科技统计年鉴》（中国统计出版社出版）各年数据整理计算。</w:t>
      </w:r>
    </w:p>
    <w:p w14:paraId="21DEA5D0">
      <w:pPr>
        <w:ind w:firstLine="360"/>
        <w:rPr>
          <w:rFonts w:eastAsia="宋体" w:cs="Times New Roman"/>
          <w:color w:val="000000"/>
          <w:sz w:val="21"/>
          <w:szCs w:val="21"/>
        </w:rPr>
      </w:pPr>
      <w:r>
        <w:rPr>
          <w:rFonts w:hint="eastAsia" w:eastAsia="宋体" w:cs="Times New Roman"/>
          <w:color w:val="000000"/>
          <w:sz w:val="21"/>
          <w:szCs w:val="21"/>
        </w:rPr>
        <w:t>1998年度世界银行发展报告纲要中指出，如果发展中国家不能掌握高新技术这一新财富，就会落后于他人，以致丧失自然资源丰富和劳动力成本低廉的优势。我们从中国DVD在欧盟市场遭飞利浦封杀的事件，可以清醒地认识到拥有自主知识产权的核心技术的重要性。</w:t>
      </w:r>
    </w:p>
    <w:p w14:paraId="61908D2D">
      <w:pPr>
        <w:ind w:firstLine="525" w:firstLineChars="250"/>
        <w:rPr>
          <w:rFonts w:eastAsia="宋体" w:cs="Times New Roman"/>
          <w:color w:val="000000"/>
          <w:sz w:val="21"/>
          <w:szCs w:val="21"/>
        </w:rPr>
      </w:pPr>
      <w:r>
        <w:rPr>
          <w:rFonts w:hint="eastAsia" w:eastAsia="宋体" w:cs="Times New Roman"/>
          <w:color w:val="000000"/>
          <w:sz w:val="21"/>
          <w:szCs w:val="21"/>
        </w:rPr>
        <w:t>飞利浦在欧盟封杀中国DVD事件硝烟未了，从日本东京又传来一条惊人的消息：世界9大电子业巨头聚首日本东京，联合宣布他们已经研发出一种名为蓝光光碟的新产品，有望成为下一代光盘刻录的新格式标准。9大电子业巨头合力推出这一新的行业标准，目的在于借技术升级的挡口抢占市场先机，继续沿袭他们高端产品的市场策略。这则消息对我国DVD行业震动效果不亚于欧盟封杀事件。我们是亦步亦趋地跟着国外企业后面跑，沿袭以前仿制和低价竞销的老路，永远受制于国外企业，还是切实从提高企业研发能力和专利保护意识着手，研制、开发、拥有自主知识产权的核心技术，站在技术发展的前沿，或者通过引进专利，在此基础上进行消化、吸收，最终形成自主知识产权。这是两种经济发展战略和路径，其长期利弊效应是显而易见的。</w:t>
      </w:r>
    </w:p>
    <w:p w14:paraId="439604DF">
      <w:pPr>
        <w:ind w:firstLine="525" w:firstLineChars="250"/>
        <w:rPr>
          <w:rFonts w:eastAsia="宋体" w:cs="Times New Roman"/>
          <w:color w:val="000000"/>
          <w:sz w:val="21"/>
          <w:szCs w:val="21"/>
        </w:rPr>
      </w:pPr>
      <w:r>
        <w:rPr>
          <w:rFonts w:hint="eastAsia" w:eastAsia="宋体" w:cs="Times New Roman"/>
          <w:color w:val="000000"/>
          <w:sz w:val="21"/>
          <w:szCs w:val="21"/>
        </w:rPr>
        <w:t>随着世界经济的发展和全球经济一体化进程的日益加速，在拥有知识产权的核心技术的竞争上表现得尤为突出。而我们目前面临的现实情况如何呢?在1985年4月1日至2002年2月28日期间，中国受理的专利申请和授权情况来分析，代表核心技术的发明专利申请，国外占到了54%，授权量占到了60.4%，特别是在生物工程、通讯、新材料等高新技术领域，国外专利申请往往占有90%左右的垄断地位。而在我们相对较低的国内发明专利申请量中，包括企业在内的职务发明专利申请仅占到36.4%，而国外在中国发明专利申请中，职务发明占有率却高达95%左右。从中不难看出，我国企业将面临着何其严峻的形势，如果听任这种状况发展下去，我国许多企业的产品不光在国际市场上将遭到封杀，即使在国内市场也将面临着相同的命运。</w:t>
      </w:r>
    </w:p>
    <w:p w14:paraId="43463B20">
      <w:pPr>
        <w:ind w:firstLine="525" w:firstLineChars="250"/>
        <w:rPr>
          <w:rFonts w:eastAsia="宋体" w:cs="Times New Roman"/>
          <w:color w:val="000000"/>
          <w:sz w:val="21"/>
          <w:szCs w:val="21"/>
        </w:rPr>
      </w:pPr>
      <w:r>
        <w:rPr>
          <w:rFonts w:hint="eastAsia" w:eastAsia="宋体" w:cs="Times New Roman"/>
          <w:color w:val="000000"/>
          <w:sz w:val="21"/>
          <w:szCs w:val="21"/>
        </w:rPr>
        <w:t>3.必须打造自主知识产权的国际品牌</w:t>
      </w:r>
    </w:p>
    <w:p w14:paraId="1AD7A3D4">
      <w:pPr>
        <w:ind w:firstLine="360"/>
        <w:rPr>
          <w:rFonts w:eastAsia="宋体" w:cs="Times New Roman"/>
          <w:color w:val="000000"/>
          <w:sz w:val="21"/>
          <w:szCs w:val="21"/>
        </w:rPr>
      </w:pPr>
      <w:r>
        <w:rPr>
          <w:rFonts w:hint="eastAsia" w:eastAsia="宋体" w:cs="Times New Roman"/>
          <w:color w:val="000000"/>
          <w:sz w:val="21"/>
          <w:szCs w:val="21"/>
        </w:rPr>
        <w:t>国际上的典型经验主要有日本和韩国。从20世纪70年代开始，日本企业不断向国外发展，其品牌也不断渗透到欧美发达国家，并扩展到世界各地。由于日本企业不懈的努力，一大批日本品牌出现在世界各地，消费者逐步认识并接受了日本的品牌，汽车行业、电子行业以及家电行业的品牌如丰田、本田、索尼、松下、东芝等，已经成为家喻户晓的全球品牌。80年代中期以后，韩国企业品牌也不断扩张，现代、三星等品牌不断向世界发出强有力的信息，使得世界认识并接受了韩国的品牌。我国随着城乡居民收人水平的提高和消费品更新换代节奏的加快，品牌消费理念迅速深入人心，购买力进一步向名优品牌产品倾斜。如2001年家电</w:t>
      </w:r>
    </w:p>
    <w:p w14:paraId="1A62D086">
      <w:pPr>
        <w:ind w:firstLine="360"/>
        <w:rPr>
          <w:rFonts w:eastAsia="宋体" w:cs="Times New Roman"/>
          <w:color w:val="000000"/>
          <w:sz w:val="21"/>
          <w:szCs w:val="21"/>
        </w:rPr>
      </w:pPr>
      <w:r>
        <w:rPr>
          <w:rFonts w:hint="eastAsia" w:eastAsia="宋体" w:cs="Times New Roman"/>
          <w:color w:val="000000"/>
          <w:sz w:val="21"/>
          <w:szCs w:val="21"/>
        </w:rPr>
        <w:t>产品，其销量前十位品牌的市场份额之和均超过60%；又如服装市场，西装、衬衫、领带、皮衣等十大畅销品牌拥有1/3的市场；羽绒服、羊绒衫，各类内衣的十强品牌已赢得了半壁江山。在主要消费品领域，国产名牌均占市场主导地位。从家电产品的调查结果看，长虹、康佳、TCL、海信四大彩电品牌吸引了近六成的购买力；海尔、美的、格力、春兰四大空调品牌占有半壁江山；海尔、容声、新飞、美菱和长岭五大品牌冰箱占有70%市场份额；在冷柜市场上，澳柯玛、海尔和新飞三大品牌吸引了80%的消费者；洗衣机市场上，海尔、小天鹅两大品牌赢得了50%的消费者的信任和喜爱。</w:t>
      </w:r>
    </w:p>
    <w:p w14:paraId="2F0493DD">
      <w:pPr>
        <w:ind w:firstLine="525" w:firstLineChars="250"/>
        <w:rPr>
          <w:rFonts w:eastAsia="宋体" w:cs="Times New Roman"/>
          <w:color w:val="000000"/>
          <w:sz w:val="21"/>
          <w:szCs w:val="21"/>
        </w:rPr>
      </w:pPr>
      <w:r>
        <w:rPr>
          <w:rFonts w:hint="eastAsia" w:eastAsia="宋体" w:cs="Times New Roman"/>
          <w:color w:val="000000"/>
          <w:sz w:val="21"/>
          <w:szCs w:val="21"/>
        </w:rPr>
        <w:t>国内海尔集团创出世界品牌的勇气和经验值得提倡。海尔集团总裁张瑞敏强调，“创牌”是海尔出口的目的，出口创汇和出口创牌有本质的区别：出口创汇以创汇为导向，容易受客户制约；出口创牌以创牌为导向，通过树立用户的信誉实现超出创汇意义的价值。他指出，一个国家如果没有自己的名牌，只有自己的加工能力，就会永远受别人制约，受人家剥削；一个企业如果没有自己的名牌，在国际贸易中就必须依赖别人，而一旦树立了自己的名牌，这种关系就会变成互相依存的关系，优势互补，互利互惠，达到双赢的目的。</w:t>
      </w:r>
    </w:p>
    <w:p w14:paraId="45136A94">
      <w:pPr>
        <w:ind w:firstLine="525" w:firstLineChars="250"/>
        <w:rPr>
          <w:rFonts w:eastAsia="宋体" w:cs="Times New Roman"/>
          <w:color w:val="000000"/>
          <w:sz w:val="21"/>
          <w:szCs w:val="21"/>
        </w:rPr>
      </w:pPr>
      <w:r>
        <w:rPr>
          <w:rFonts w:hint="eastAsia" w:eastAsia="宋体" w:cs="Times New Roman"/>
          <w:color w:val="000000"/>
          <w:sz w:val="21"/>
          <w:szCs w:val="21"/>
        </w:rPr>
        <w:t>由于品牌具有属性标示的重要作用和垄断性及高回报率等特征，因而我国民族工业要想在短时期内加速发展和壮大，就必须精心组织和实施品牌发展战略。所谓“品牌战略”，就是指企业通过对品牌资产的营运来促进对其他资产（主要是有形资产）的运用，以盘活资本存量，协调资本增量，降低企业成本，进而获取长期效益极大化。所谓品牌资产，是指一种超越生产商品所有有形资产以外的价值形态，而这种品牌资产的好处就在于可以预期未来的收益将超过推出具有竞争力的新品牌所需的扩充成本。因此，我们可以说“品牌战略”实质上是“名牌战略”，它也是资本营运的一种形式。当前，我国除加强产品生产外，应把主要的精力用在发展民族品牌事业上，以“品牌战略”为龙头来走活关系中国经济大局的民族企业和民族经济这盘棋，主要寄希望于外国资本是极不明智的。</w:t>
      </w:r>
    </w:p>
    <w:p w14:paraId="05D6EC28">
      <w:pPr>
        <w:ind w:firstLine="525" w:firstLineChars="250"/>
        <w:rPr>
          <w:rFonts w:eastAsia="宋体" w:cs="Times New Roman"/>
          <w:color w:val="000000"/>
          <w:sz w:val="21"/>
          <w:szCs w:val="21"/>
        </w:rPr>
      </w:pPr>
      <w:r>
        <w:rPr>
          <w:rFonts w:hint="eastAsia" w:eastAsia="宋体" w:cs="Times New Roman"/>
          <w:color w:val="000000"/>
          <w:sz w:val="21"/>
          <w:szCs w:val="21"/>
        </w:rPr>
        <w:t>名牌的多少是一个国家产品竞争力的象征，也是一国经济优势和综合实力的体现。现代市场经济从某种意义上讲是“品牌经济”，就是以名牌产品去导向企业的生存与发展。名牌的市场意义在于，名牌对市场的有效占有、长期占有。名牌产品和企业集团的规模联动和对市场的辐射，不仅可以以其自身的优势促进企业的优化组合，而且还能有效地带动一个国家和地区经济的整体发展。此外，我国目前约有1/3以上的资产在闲置，这一现实为我国高价值品牌扩展提供了最大的可能。我国必须围绕品牌市场占有的最大化来寻求产销网络的最佳区域和最有效途径，使我国的民族工业在“跳跃式”中发展壮大起来。可见，品牌战略的实质，就是构建以名牌产品、名牌企业体系为基础的产业链，以名牌的规模效益增加国家的经济优势和竞争能力。</w:t>
      </w:r>
    </w:p>
    <w:p w14:paraId="126738AA">
      <w:pPr>
        <w:ind w:firstLine="525" w:firstLineChars="250"/>
        <w:rPr>
          <w:rFonts w:eastAsia="宋体" w:cs="Times New Roman"/>
          <w:color w:val="000000"/>
          <w:sz w:val="21"/>
          <w:szCs w:val="21"/>
        </w:rPr>
      </w:pPr>
      <w:r>
        <w:rPr>
          <w:rFonts w:hint="eastAsia" w:eastAsia="宋体" w:cs="Times New Roman"/>
          <w:color w:val="000000"/>
          <w:sz w:val="21"/>
          <w:szCs w:val="21"/>
        </w:rPr>
        <w:t>综上所述，在这个既充满机遇又充满挑战的时代，我国要最大限度地获取贸易发展的动态利益，更好地通过对外贸易促进产业结构的良性调整，就必须以知识产权优势理论作为应对经济全球化和发展对外贸易的战略思想，在结合比较优势与竞争优势的基础上，大力发展控股、控技（尤其是核心技术）和控牌（尤其是名牌）的“三控型”民族企业集团，突出培育和发挥知识产权优势，早日真正打造出中国的世界工厂，并完成从贸易大国向贸易强国的转变。</w:t>
      </w:r>
    </w:p>
    <w:p w14:paraId="4CAB1100">
      <w:pPr>
        <w:ind w:firstLine="360"/>
        <w:rPr>
          <w:rFonts w:eastAsia="宋体" w:cs="Times New Roman"/>
          <w:color w:val="000000"/>
          <w:sz w:val="21"/>
          <w:szCs w:val="21"/>
        </w:rPr>
      </w:pPr>
      <w:r>
        <w:rPr>
          <w:rFonts w:hint="eastAsia" w:eastAsia="宋体" w:cs="Times New Roman"/>
          <w:color w:val="000000"/>
          <w:sz w:val="21"/>
          <w:szCs w:val="21"/>
        </w:rPr>
        <w:t>参考文献：</w:t>
      </w:r>
    </w:p>
    <w:p w14:paraId="7D8A8B35">
      <w:pPr>
        <w:ind w:firstLine="360"/>
        <w:rPr>
          <w:rFonts w:eastAsia="宋体" w:cs="Times New Roman"/>
          <w:color w:val="000000"/>
          <w:sz w:val="21"/>
          <w:szCs w:val="21"/>
        </w:rPr>
      </w:pPr>
      <w:r>
        <w:rPr>
          <w:rFonts w:hint="eastAsia" w:eastAsia="宋体" w:cs="Times New Roman"/>
          <w:color w:val="000000"/>
          <w:sz w:val="21"/>
          <w:szCs w:val="21"/>
        </w:rPr>
        <w:t>[1]冯昭奎.“世界工厂”的变迁[J].世界经济与政治，2002，（7）1</w:t>
      </w:r>
    </w:p>
    <w:p w14:paraId="39F64687">
      <w:pPr>
        <w:ind w:firstLine="360"/>
        <w:rPr>
          <w:rFonts w:eastAsia="宋体" w:cs="Times New Roman"/>
          <w:color w:val="000000"/>
          <w:sz w:val="21"/>
          <w:szCs w:val="21"/>
        </w:rPr>
      </w:pPr>
      <w:r>
        <w:rPr>
          <w:rFonts w:hint="eastAsia" w:eastAsia="宋体" w:cs="Times New Roman"/>
          <w:color w:val="000000"/>
          <w:sz w:val="21"/>
          <w:szCs w:val="21"/>
        </w:rPr>
        <w:t>[2]吕政.中国能成为世界工厂吗[J].企业改革与管理，2002，（1）1</w:t>
      </w:r>
    </w:p>
    <w:p w14:paraId="64C69FA1">
      <w:pPr>
        <w:ind w:firstLine="360"/>
        <w:rPr>
          <w:rFonts w:eastAsia="宋体" w:cs="Times New Roman"/>
          <w:color w:val="000000"/>
          <w:sz w:val="21"/>
          <w:szCs w:val="21"/>
        </w:rPr>
      </w:pPr>
      <w:r>
        <w:rPr>
          <w:rFonts w:hint="eastAsia" w:eastAsia="宋体" w:cs="Times New Roman"/>
          <w:color w:val="000000"/>
          <w:sz w:val="21"/>
          <w:szCs w:val="21"/>
        </w:rPr>
        <w:t>[3]彼得·德鲁克.创新与企业家精神[M].海南：海南出版社，20001</w:t>
      </w:r>
    </w:p>
    <w:p w14:paraId="10B72027">
      <w:pPr>
        <w:ind w:firstLine="360"/>
        <w:rPr>
          <w:rFonts w:eastAsia="宋体" w:cs="Times New Roman"/>
          <w:color w:val="000000"/>
          <w:sz w:val="21"/>
          <w:szCs w:val="21"/>
        </w:rPr>
      </w:pPr>
      <w:r>
        <w:rPr>
          <w:rFonts w:hint="eastAsia" w:eastAsia="宋体" w:cs="Times New Roman"/>
          <w:color w:val="000000"/>
          <w:sz w:val="21"/>
          <w:szCs w:val="21"/>
        </w:rPr>
        <w:t>[4]辜胜阻.应对WTO挑战推进专利知识产权制度创新[J].中国科技产业，2002，（3）1</w:t>
      </w:r>
    </w:p>
    <w:p w14:paraId="2E00AB7C">
      <w:pPr>
        <w:ind w:firstLine="360"/>
        <w:rPr>
          <w:rFonts w:eastAsia="宋体" w:cs="Times New Roman"/>
          <w:color w:val="000000"/>
          <w:sz w:val="21"/>
          <w:szCs w:val="21"/>
        </w:rPr>
      </w:pPr>
      <w:r>
        <w:rPr>
          <w:rFonts w:hint="eastAsia" w:eastAsia="宋体" w:cs="Times New Roman"/>
          <w:color w:val="000000"/>
          <w:sz w:val="21"/>
          <w:szCs w:val="21"/>
        </w:rPr>
        <w:t>[5]衣庆云.加入WTO与企业的知识产权意识[J].财经问题研究，2002，（3）1</w:t>
      </w:r>
    </w:p>
    <w:p w14:paraId="51D52A81">
      <w:pPr>
        <w:ind w:firstLine="360"/>
        <w:rPr>
          <w:rFonts w:eastAsia="宋体" w:cs="Times New Roman"/>
          <w:color w:val="000000"/>
          <w:sz w:val="21"/>
          <w:szCs w:val="21"/>
        </w:rPr>
      </w:pPr>
      <w:r>
        <w:rPr>
          <w:rFonts w:hint="eastAsia" w:eastAsia="宋体" w:cs="Times New Roman"/>
          <w:color w:val="000000"/>
          <w:sz w:val="21"/>
          <w:szCs w:val="21"/>
        </w:rPr>
        <w:t>[6]迈克尔·波特.国家竞争优势[M].北京：华夏出版社，2002.</w:t>
      </w:r>
    </w:p>
    <w:p w14:paraId="1D88A561">
      <w:pPr>
        <w:ind w:firstLine="360"/>
        <w:rPr>
          <w:rFonts w:eastAsia="宋体" w:cs="Times New Roman"/>
          <w:color w:val="000000"/>
          <w:sz w:val="21"/>
          <w:szCs w:val="21"/>
        </w:rPr>
      </w:pPr>
      <w:r>
        <w:rPr>
          <w:rFonts w:hint="eastAsia" w:eastAsia="宋体" w:cs="Times New Roman"/>
          <w:color w:val="000000"/>
          <w:sz w:val="21"/>
          <w:szCs w:val="21"/>
        </w:rPr>
        <w:t>[7]保罗·克鲁格曼.战略性贸易政策与新国际经济学[M].北京：中国人民大学出版社、北京大学出版社，</w:t>
      </w:r>
      <w:r>
        <w:rPr>
          <w:rFonts w:eastAsia="宋体" w:cs="Times New Roman"/>
          <w:color w:val="000000"/>
          <w:sz w:val="21"/>
          <w:szCs w:val="21"/>
        </w:rPr>
        <w:t>2000.</w:t>
      </w:r>
    </w:p>
    <w:p w14:paraId="4FCDFB57">
      <w:pPr>
        <w:ind w:firstLine="525" w:firstLineChars="250"/>
        <w:rPr>
          <w:rFonts w:ascii="AdobeSongStd-Light,Bold" w:eastAsia="AdobeSongStd-Light,Bold" w:cs="AdobeSongStd-Light,Bold"/>
          <w:bCs/>
          <w:color w:val="000000"/>
          <w:kern w:val="0"/>
          <w:sz w:val="21"/>
          <w:szCs w:val="21"/>
        </w:rPr>
      </w:pPr>
    </w:p>
    <w:p w14:paraId="70C0DD39">
      <w:pPr>
        <w:rPr>
          <w:rFonts w:ascii="AdobeSongStd-Light,Bold" w:eastAsia="AdobeSongStd-Light,Bold" w:cs="AdobeSongStd-Light,Bold"/>
          <w:bCs/>
          <w:color w:val="000000"/>
          <w:kern w:val="0"/>
          <w:sz w:val="21"/>
          <w:szCs w:val="21"/>
        </w:rPr>
      </w:pPr>
      <w:r>
        <w:rPr>
          <w:rFonts w:hint="eastAsia" w:ascii="AdobeSongStd-Light,Bold" w:eastAsia="AdobeSongStd-Light,Bold" w:cs="AdobeSongStd-Light,Bold"/>
          <w:bCs/>
          <w:color w:val="000000"/>
          <w:kern w:val="0"/>
          <w:sz w:val="21"/>
          <w:szCs w:val="21"/>
        </w:rPr>
        <w:t>（原载《当代经济研究》</w:t>
      </w:r>
      <w:r>
        <w:rPr>
          <w:rFonts w:eastAsia="AdobeSongStd-Light,Bold" w:cs="Times New Roman"/>
          <w:color w:val="000000"/>
          <w:kern w:val="0"/>
          <w:sz w:val="21"/>
          <w:szCs w:val="21"/>
        </w:rPr>
        <w:t>2003</w:t>
      </w:r>
      <w:r>
        <w:rPr>
          <w:rFonts w:hint="eastAsia" w:ascii="AdobeSongStd-Light,Bold" w:eastAsia="AdobeSongStd-Light,Bold" w:cs="AdobeSongStd-Light,Bold"/>
          <w:bCs/>
          <w:color w:val="000000"/>
          <w:kern w:val="0"/>
          <w:sz w:val="21"/>
          <w:szCs w:val="21"/>
        </w:rPr>
        <w:t>年第</w:t>
      </w:r>
      <w:r>
        <w:rPr>
          <w:rFonts w:eastAsia="AdobeSongStd-Light,Bold" w:cs="Times New Roman"/>
          <w:color w:val="000000"/>
          <w:kern w:val="0"/>
          <w:sz w:val="21"/>
          <w:szCs w:val="21"/>
        </w:rPr>
        <w:t>9</w:t>
      </w:r>
      <w:r>
        <w:rPr>
          <w:rFonts w:hint="eastAsia" w:ascii="AdobeSongStd-Light,Bold" w:eastAsia="AdobeSongStd-Light,Bold" w:cs="AdobeSongStd-Light,Bold"/>
          <w:bCs/>
          <w:color w:val="000000"/>
          <w:kern w:val="0"/>
          <w:sz w:val="21"/>
          <w:szCs w:val="21"/>
        </w:rPr>
        <w:t>期，第二作者为丁晓钦）</w:t>
      </w:r>
    </w:p>
    <w:p w14:paraId="456F30B6">
      <w:pPr>
        <w:rPr>
          <w:rFonts w:eastAsia="宋体" w:cs="Times New Roman"/>
          <w:sz w:val="21"/>
          <w:szCs w:val="24"/>
        </w:rPr>
      </w:pPr>
    </w:p>
    <w:p w14:paraId="29B5531F">
      <w:pPr>
        <w:pStyle w:val="15"/>
        <w:keepNext/>
        <w:keepLines/>
        <w:widowControl w:val="0"/>
        <w:spacing w:before="120" w:beforeAutospacing="0" w:after="120" w:afterAutospacing="0"/>
        <w:contextualSpacing/>
        <w:jc w:val="center"/>
        <w:outlineLvl w:val="1"/>
        <w:rPr>
          <w:rFonts w:ascii="黑体" w:hAnsi="黑体" w:eastAsia="黑体" w:cs="Times New Roman"/>
          <w:sz w:val="32"/>
          <w:szCs w:val="32"/>
        </w:rPr>
      </w:pPr>
      <w:bookmarkStart w:id="220" w:name="_Toc15889"/>
      <w:bookmarkStart w:id="221" w:name="_Toc1516534927"/>
      <w:bookmarkStart w:id="222" w:name="_Toc562082933"/>
      <w:r>
        <w:rPr>
          <w:rFonts w:ascii="黑体" w:hAnsi="黑体" w:eastAsia="黑体" w:cs="Times New Roman"/>
          <w:color w:val="000000"/>
          <w:sz w:val="32"/>
          <w:szCs w:val="32"/>
          <w:lang w:bidi="ar"/>
        </w:rPr>
        <w:t>中国经济体制转型的四个方面</w:t>
      </w:r>
      <w:bookmarkEnd w:id="209"/>
      <w:bookmarkEnd w:id="210"/>
      <w:bookmarkEnd w:id="220"/>
      <w:bookmarkEnd w:id="221"/>
      <w:bookmarkEnd w:id="222"/>
    </w:p>
    <w:p w14:paraId="65A0BAE1">
      <w:pPr>
        <w:pStyle w:val="15"/>
        <w:widowControl w:val="0"/>
        <w:spacing w:before="0" w:beforeAutospacing="0" w:after="0" w:afterAutospacing="0" w:line="400" w:lineRule="exact"/>
        <w:ind w:firstLine="400" w:firstLineChars="200"/>
        <w:jc w:val="both"/>
        <w:rPr>
          <w:rFonts w:cs="Times New Roman"/>
        </w:rPr>
      </w:pPr>
      <w:r>
        <w:rPr>
          <w:rFonts w:cs="Times New Roman"/>
          <w:color w:val="000000"/>
          <w:sz w:val="20"/>
          <w:szCs w:val="20"/>
          <w:lang w:bidi="ar"/>
        </w:rPr>
        <w:t>中国的经济体制转型从以下四方面考察。</w:t>
      </w:r>
    </w:p>
    <w:p w14:paraId="7FA35B67">
      <w:pPr>
        <w:pStyle w:val="15"/>
        <w:widowControl w:val="0"/>
        <w:spacing w:before="0" w:beforeAutospacing="0" w:after="0" w:afterAutospacing="0" w:line="400" w:lineRule="exact"/>
        <w:ind w:firstLine="400" w:firstLineChars="200"/>
        <w:jc w:val="both"/>
        <w:rPr>
          <w:rFonts w:cs="Times New Roman"/>
        </w:rPr>
      </w:pPr>
      <w:r>
        <w:rPr>
          <w:rFonts w:cs="Times New Roman"/>
          <w:b/>
          <w:bCs/>
          <w:color w:val="000000"/>
          <w:sz w:val="20"/>
          <w:szCs w:val="20"/>
          <w:lang w:bidi="ar"/>
        </w:rPr>
        <w:t>1.决策机制</w:t>
      </w:r>
      <w:r>
        <w:rPr>
          <w:rFonts w:cs="Times New Roman"/>
          <w:color w:val="000000"/>
          <w:sz w:val="20"/>
          <w:szCs w:val="20"/>
          <w:lang w:bidi="ar"/>
        </w:rPr>
        <w:t>：建立和完善国家调控主导型的市场决策机制。改革中，中国既注重建立计划、金融和财政为核心的国家宏观调控系统，维护全局利益的统一性，又注重在集中指导下赋予基层、地方和部门必要的权力，形成统一领导下的兼顾局部利益的灵活决策。在存有个人选择、法人选择、市场选择和社会选择的复杂条件下，国家调控逐渐在</w:t>
      </w:r>
      <w:r>
        <w:rPr>
          <w:rFonts w:hint="eastAsia" w:cs="Times New Roman"/>
          <w:color w:val="000000"/>
          <w:sz w:val="20"/>
          <w:szCs w:val="20"/>
          <w:lang w:bidi="ar"/>
        </w:rPr>
        <w:t>“</w:t>
      </w:r>
      <w:r>
        <w:rPr>
          <w:rFonts w:cs="Times New Roman"/>
          <w:color w:val="000000"/>
          <w:sz w:val="20"/>
          <w:szCs w:val="20"/>
          <w:lang w:bidi="ar"/>
        </w:rPr>
        <w:t>博弈”中完善各项政策和决策机制，树立应有的领导权威。</w:t>
      </w:r>
    </w:p>
    <w:p w14:paraId="2C4141C4">
      <w:pPr>
        <w:pStyle w:val="15"/>
        <w:widowControl w:val="0"/>
        <w:spacing w:before="0" w:beforeAutospacing="0" w:after="0" w:afterAutospacing="0" w:line="400" w:lineRule="exact"/>
        <w:ind w:firstLine="400" w:firstLineChars="200"/>
        <w:jc w:val="both"/>
        <w:rPr>
          <w:rFonts w:cs="Times New Roman"/>
        </w:rPr>
      </w:pPr>
      <w:r>
        <w:rPr>
          <w:rFonts w:cs="Times New Roman"/>
          <w:b/>
          <w:bCs/>
          <w:color w:val="000000"/>
          <w:sz w:val="20"/>
          <w:szCs w:val="20"/>
          <w:lang w:bidi="ar"/>
        </w:rPr>
        <w:t>2. 信息调节机制：</w:t>
      </w:r>
      <w:r>
        <w:rPr>
          <w:rFonts w:cs="Times New Roman"/>
          <w:color w:val="000000"/>
          <w:sz w:val="20"/>
          <w:szCs w:val="20"/>
          <w:lang w:bidi="ar"/>
        </w:rPr>
        <w:t>随着中国的决策机制由计划向市场的转变.中国的信息传递机制由与计划相适应的</w:t>
      </w:r>
      <w:r>
        <w:rPr>
          <w:rFonts w:hint="eastAsia" w:cs="Times New Roman"/>
          <w:color w:val="000000"/>
          <w:sz w:val="20"/>
          <w:szCs w:val="20"/>
          <w:lang w:bidi="ar"/>
        </w:rPr>
        <w:t>“</w:t>
      </w:r>
      <w:r>
        <w:rPr>
          <w:rFonts w:cs="Times New Roman"/>
          <w:color w:val="000000"/>
          <w:sz w:val="20"/>
          <w:szCs w:val="20"/>
          <w:lang w:bidi="ar"/>
        </w:rPr>
        <w:t>企业一国家一企业”之间的纵向信息传递机制为主，转变为以横向的</w:t>
      </w:r>
      <w:r>
        <w:rPr>
          <w:rFonts w:hint="eastAsia" w:cs="Times New Roman"/>
          <w:color w:val="000000"/>
          <w:sz w:val="20"/>
          <w:szCs w:val="20"/>
          <w:lang w:bidi="ar"/>
        </w:rPr>
        <w:t>“</w:t>
      </w:r>
      <w:r>
        <w:rPr>
          <w:rFonts w:cs="Times New Roman"/>
          <w:color w:val="000000"/>
          <w:sz w:val="20"/>
          <w:szCs w:val="20"/>
          <w:lang w:bidi="ar"/>
        </w:rPr>
        <w:t>企业一市场一企业”之间的横向信息传递机制为主，国家和企业以及国家和市场之间的信息传递，已日渐成为信息传递的非主要部分。</w:t>
      </w:r>
    </w:p>
    <w:p w14:paraId="5D6EE0C3">
      <w:pPr>
        <w:pStyle w:val="15"/>
        <w:widowControl w:val="0"/>
        <w:spacing w:before="0" w:beforeAutospacing="0" w:after="0" w:afterAutospacing="0" w:line="400" w:lineRule="exact"/>
        <w:ind w:firstLine="400" w:firstLineChars="200"/>
        <w:jc w:val="both"/>
        <w:rPr>
          <w:rFonts w:cs="Times New Roman"/>
        </w:rPr>
      </w:pPr>
      <w:r>
        <w:rPr>
          <w:rFonts w:cs="Times New Roman"/>
          <w:b/>
          <w:bCs/>
          <w:color w:val="000000"/>
          <w:sz w:val="20"/>
          <w:szCs w:val="20"/>
          <w:lang w:bidi="ar"/>
        </w:rPr>
        <w:t>3.财产与分配机制：</w:t>
      </w:r>
      <w:r>
        <w:rPr>
          <w:rFonts w:cs="Times New Roman"/>
          <w:color w:val="000000"/>
          <w:sz w:val="20"/>
          <w:szCs w:val="20"/>
          <w:lang w:bidi="ar"/>
        </w:rPr>
        <w:t>建立和完善公有主体型的多种类产权结构和劳动主体型的多要素分配机制。中国经济改革的目标之一，是从过去完全公有制的单一经济形态向以公有制为主体、多种所有制经济共同发展的经济形态转变，实现一种以公有法人型联合劳动为基础的</w:t>
      </w:r>
      <w:r>
        <w:rPr>
          <w:rFonts w:hint="eastAsia" w:cs="Times New Roman"/>
          <w:color w:val="000000"/>
          <w:sz w:val="20"/>
          <w:szCs w:val="20"/>
          <w:lang w:bidi="ar"/>
        </w:rPr>
        <w:t>“</w:t>
      </w:r>
      <w:r>
        <w:rPr>
          <w:rFonts w:cs="Times New Roman"/>
          <w:color w:val="000000"/>
          <w:sz w:val="20"/>
          <w:szCs w:val="20"/>
          <w:lang w:bidi="ar"/>
        </w:rPr>
        <w:t>市场社会主义”。同时，中国的经济改革</w:t>
      </w:r>
      <w:r>
        <w:rPr>
          <w:rFonts w:hint="eastAsia" w:cs="Times New Roman"/>
          <w:color w:val="000000"/>
          <w:sz w:val="20"/>
          <w:szCs w:val="20"/>
          <w:lang w:bidi="ar"/>
        </w:rPr>
        <w:t>摒</w:t>
      </w:r>
      <w:r>
        <w:rPr>
          <w:rFonts w:cs="Times New Roman"/>
          <w:color w:val="000000"/>
          <w:sz w:val="20"/>
          <w:szCs w:val="20"/>
          <w:lang w:bidi="ar"/>
        </w:rPr>
        <w:t>弃了带有平均主义色彩的计划型按劳分配的模式，从单一的按劳分配形态向以市场型按劳分配为主体、多种生产要素所有权共同参与分配的经济形态转变。鼓励一部分人和一部分地区先富起来，同时确保城乡居民的生活质量都有程度不同的提高，积极地消灭贫困现象，把共同富裕作为一个长期的动态过程和结果来对待。</w:t>
      </w:r>
    </w:p>
    <w:p w14:paraId="61692DBC">
      <w:pPr>
        <w:pStyle w:val="15"/>
        <w:widowControl w:val="0"/>
        <w:spacing w:before="0" w:beforeAutospacing="0" w:after="0" w:afterAutospacing="0" w:line="400" w:lineRule="exact"/>
        <w:ind w:firstLine="400" w:firstLineChars="200"/>
        <w:jc w:val="both"/>
        <w:rPr>
          <w:rFonts w:cs="Times New Roman"/>
        </w:rPr>
      </w:pPr>
      <w:r>
        <w:rPr>
          <w:rFonts w:cs="Times New Roman"/>
          <w:b/>
          <w:bCs/>
          <w:color w:val="000000"/>
          <w:sz w:val="20"/>
          <w:szCs w:val="20"/>
          <w:lang w:bidi="ar"/>
        </w:rPr>
        <w:t>4.激励机制：</w:t>
      </w:r>
      <w:r>
        <w:rPr>
          <w:rFonts w:cs="Times New Roman"/>
          <w:color w:val="000000"/>
          <w:sz w:val="20"/>
          <w:szCs w:val="20"/>
          <w:lang w:bidi="ar"/>
        </w:rPr>
        <w:t>在改革开放以前，中国比较强调精神刺激，通过各种荣誉称号和表扬，授予各种奖章来调动劳动者的积极性，甚至个别时期还批判计件工资和奖金制度，不适当地贬低物质刺激和经济利益。改革后，却又存在片面重视物质刺激和经济利益的作用，缺少道德、文化和精神层面激励的有效机制和理论环境，甚至颂扬个人主义的</w:t>
      </w:r>
      <w:r>
        <w:rPr>
          <w:rFonts w:hint="eastAsia" w:cs="Times New Roman"/>
          <w:color w:val="000000"/>
          <w:sz w:val="20"/>
          <w:szCs w:val="20"/>
          <w:lang w:bidi="ar"/>
        </w:rPr>
        <w:t>“</w:t>
      </w:r>
      <w:r>
        <w:rPr>
          <w:rFonts w:cs="Times New Roman"/>
          <w:color w:val="000000"/>
          <w:sz w:val="20"/>
          <w:szCs w:val="20"/>
          <w:lang w:bidi="ar"/>
        </w:rPr>
        <w:t>自私人”理论和机制以及私有化改革措施，从而使财富和收入较快分化，反而压抑了大多数人的劳动积极性。</w:t>
      </w:r>
    </w:p>
    <w:p w14:paraId="2574FF91">
      <w:pPr>
        <w:pStyle w:val="15"/>
        <w:widowControl w:val="0"/>
        <w:spacing w:before="0" w:beforeAutospacing="0" w:after="840" w:afterAutospacing="0" w:line="400" w:lineRule="exact"/>
        <w:ind w:firstLine="400" w:firstLineChars="200"/>
        <w:jc w:val="both"/>
        <w:rPr>
          <w:rFonts w:cs="Times New Roman"/>
          <w:color w:val="000000"/>
          <w:sz w:val="20"/>
          <w:szCs w:val="20"/>
          <w:lang w:bidi="ar"/>
        </w:rPr>
      </w:pPr>
      <w:r>
        <w:rPr>
          <w:rFonts w:cs="Times New Roman"/>
          <w:color w:val="000000"/>
          <w:sz w:val="20"/>
          <w:szCs w:val="20"/>
          <w:lang w:bidi="ar"/>
        </w:rPr>
        <w:t>（摘自《山东财政学院学报》</w:t>
      </w:r>
      <w:r>
        <w:rPr>
          <w:rFonts w:cs="Times New Roman"/>
          <w:color w:val="000000"/>
          <w:sz w:val="17"/>
          <w:szCs w:val="17"/>
          <w:lang w:bidi="ar"/>
        </w:rPr>
        <w:t>2003</w:t>
      </w:r>
      <w:r>
        <w:rPr>
          <w:rFonts w:cs="Times New Roman"/>
          <w:color w:val="000000"/>
          <w:sz w:val="20"/>
          <w:szCs w:val="20"/>
          <w:lang w:bidi="ar"/>
        </w:rPr>
        <w:t>年第</w:t>
      </w:r>
      <w:r>
        <w:rPr>
          <w:rFonts w:cs="Times New Roman"/>
          <w:color w:val="000000"/>
          <w:sz w:val="17"/>
          <w:szCs w:val="17"/>
          <w:lang w:bidi="ar"/>
        </w:rPr>
        <w:t>1</w:t>
      </w:r>
      <w:r>
        <w:rPr>
          <w:rFonts w:cs="Times New Roman"/>
          <w:color w:val="000000"/>
          <w:sz w:val="20"/>
          <w:szCs w:val="20"/>
          <w:lang w:bidi="ar"/>
        </w:rPr>
        <w:t>期《</w:t>
      </w:r>
      <w:r>
        <w:rPr>
          <w:rFonts w:cs="Times New Roman"/>
          <w:color w:val="000000"/>
          <w:sz w:val="17"/>
          <w:szCs w:val="17"/>
          <w:lang w:bidi="ar"/>
        </w:rPr>
        <w:t>20</w:t>
      </w:r>
      <w:r>
        <w:rPr>
          <w:rFonts w:cs="Times New Roman"/>
          <w:color w:val="000000"/>
          <w:sz w:val="20"/>
          <w:szCs w:val="20"/>
          <w:lang w:bidi="ar"/>
        </w:rPr>
        <w:t>世纪不同类型国家的经济体制研究》）</w:t>
      </w:r>
      <w:r>
        <w:rPr>
          <w:rFonts w:cs="Times New Roman"/>
          <w:color w:val="000000"/>
          <w:sz w:val="20"/>
          <w:szCs w:val="20"/>
          <w:lang w:bidi="ar"/>
        </w:rPr>
        <w:br w:type="page"/>
      </w:r>
    </w:p>
    <w:p w14:paraId="60F765D7">
      <w:pPr>
        <w:spacing w:before="180" w:beforeLines="50" w:after="180" w:afterLines="50" w:line="300" w:lineRule="auto"/>
        <w:ind w:firstLine="640" w:firstLineChars="200"/>
        <w:jc w:val="center"/>
        <w:outlineLvl w:val="1"/>
        <w:rPr>
          <w:rFonts w:ascii="宋体" w:hAnsi="宋体" w:eastAsia="宋体" w:cs="Times New Roman"/>
          <w:sz w:val="32"/>
          <w:szCs w:val="24"/>
        </w:rPr>
      </w:pPr>
      <w:bookmarkStart w:id="223" w:name="_Toc110957394"/>
      <w:bookmarkStart w:id="224" w:name="_Toc32646"/>
      <w:bookmarkStart w:id="225" w:name="_Toc2066595493"/>
      <w:bookmarkStart w:id="226" w:name="_Toc147291778"/>
      <w:r>
        <w:rPr>
          <w:rFonts w:ascii="黑体" w:hAnsi="黑体" w:eastAsia="黑体" w:cs="Times New Roman"/>
          <w:color w:val="000000"/>
          <w:kern w:val="0"/>
          <w:sz w:val="32"/>
          <w:szCs w:val="32"/>
          <w:lang w:bidi="ar"/>
        </w:rPr>
        <w:t>20世纪不同类型国家的经济体制研究</w:t>
      </w:r>
      <w:bookmarkEnd w:id="211"/>
      <w:bookmarkEnd w:id="212"/>
      <w:bookmarkEnd w:id="213"/>
      <w:bookmarkEnd w:id="223"/>
      <w:bookmarkEnd w:id="224"/>
      <w:bookmarkEnd w:id="225"/>
      <w:bookmarkEnd w:id="226"/>
    </w:p>
    <w:p w14:paraId="68F1EB1F">
      <w:pPr>
        <w:spacing w:before="180" w:beforeLines="50" w:after="180" w:afterLines="50" w:line="300" w:lineRule="auto"/>
        <w:ind w:firstLine="420" w:firstLineChars="200"/>
        <w:rPr>
          <w:rFonts w:ascii="宋体" w:hAnsi="宋体" w:eastAsia="宋体" w:cs="Times New Roman"/>
          <w:szCs w:val="24"/>
        </w:rPr>
      </w:pPr>
      <w:r>
        <w:rPr>
          <w:rFonts w:hint="eastAsia" w:ascii="宋体" w:hAnsi="宋体" w:eastAsia="宋体" w:cs="Times New Roman"/>
          <w:szCs w:val="24"/>
        </w:rPr>
        <w:t>20世纪是一个各国经济体制发生巨大变化的世纪。美国经济学家格雷戈里和斯图尔特认为，“区别不同的经济体制，必须着重于它们的4 种一般属性{通常会有重叠}：1、决策的组织；2、提供信息及调节的机制：市场和计划；3、财产所有权：控制与收入；4、确立目标及诱导人们行动激励因素的机制。</w:t>
      </w:r>
      <w:r>
        <w:rPr>
          <w:rFonts w:ascii="宋体" w:hAnsi="宋体" w:eastAsia="宋体" w:cs="Times New Roman"/>
          <w:szCs w:val="24"/>
          <w:vertAlign w:val="superscript"/>
        </w:rPr>
        <w:footnoteReference w:id="55"/>
      </w:r>
      <w:r>
        <w:rPr>
          <w:rFonts w:hint="eastAsia" w:ascii="宋体" w:hAnsi="宋体" w:eastAsia="宋体" w:cs="Times New Roman"/>
          <w:szCs w:val="24"/>
        </w:rPr>
        <w:t>因而，一个国家经济体制的变迁可以从这四个层面进行研究。本文选取几个有代表意义的国家进行考察。</w:t>
      </w:r>
    </w:p>
    <w:p w14:paraId="0EB994BA">
      <w:pPr>
        <w:spacing w:before="180" w:beforeLines="50" w:after="180" w:afterLines="50" w:line="300" w:lineRule="auto"/>
        <w:ind w:firstLine="480" w:firstLineChars="200"/>
        <w:jc w:val="center"/>
        <w:rPr>
          <w:rFonts w:ascii="宋体" w:hAnsi="宋体" w:eastAsia="宋体" w:cs="Times New Roman"/>
          <w:b/>
          <w:bCs/>
          <w:kern w:val="28"/>
          <w:sz w:val="24"/>
          <w:szCs w:val="32"/>
        </w:rPr>
      </w:pPr>
      <w:r>
        <w:rPr>
          <w:rFonts w:ascii="宋体" w:hAnsi="宋体" w:eastAsia="宋体" w:cs="Times New Roman"/>
          <w:b/>
          <w:bCs/>
          <w:kern w:val="28"/>
          <w:sz w:val="24"/>
          <w:szCs w:val="32"/>
        </w:rPr>
        <w:t>一、美国国家指导型自由市场经济体制的变化</w:t>
      </w:r>
    </w:p>
    <w:p w14:paraId="5234F5DD">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1.决策机制：从1789到1933年的144年间，美国基本上实行自由放任的政策，但1929到1933年间的经济危机导致了自由放任政策的改弦易张。罗斯福新政的实行，标志着美国的市场经济体制由过去的单纯依靠自由竞争的市场机制，转变为国家干预与市场机制相结合来配置资源的“混合经济”体制。二战后，美国长期奉行凯恩斯主义宏观经济政策，“混合经济”体制得到进一步的发展。总的来说，美国政府决策在市场经济中的作用不小，政府通过决策直接或间接影响市场，是“以分散决策为主，集中决策为辅”的，属于国家干预和市场相结合的“混合”决策机制。</w:t>
      </w:r>
    </w:p>
    <w:p w14:paraId="49BF8E4D">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2.信息调节机制：与分散的决策机制相适应，美国的信息结构也是以分散的横向传输为特征，但大企业为了自身的需要往往对信息进行垄断。为保护竞争，政府也建立了自下而上、然后自上而下的纵向信息传输系统作为横向传输系统的补充。近年来，美国的互联网发展相当迅速，它是一种结合了横向和纵向信息传输的通道。信息传递网络爆炸性的扩张，导致了信息的飞速传递，使得美国经济得以继续发展。</w:t>
      </w:r>
    </w:p>
    <w:p w14:paraId="1F89184D">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3.财产所有权：私有制经济是美国所有制结构的主体，但占少数的国家所有制也是其所有制的重要一环，主要集中于电力、铁路、邮政等基础设施。此外，美国还存在少量的合作所有制经济。在农业部门，美国5/6的农民参加了合作社；在非农业部门，美国自60年代开始推行“职工股份所有制计划”，到80年代后半期，全部或部分推行“职工股份所有制计划”的企业近80000家，约1000万职工参与了这种计划。</w:t>
      </w:r>
    </w:p>
    <w:p w14:paraId="31C9F661">
      <w:pPr>
        <w:spacing w:line="300" w:lineRule="auto"/>
        <w:ind w:firstLine="420" w:firstLineChars="200"/>
        <w:rPr>
          <w:rFonts w:ascii="宋体" w:hAnsi="宋体" w:eastAsia="宋体" w:cs="Times New Roman"/>
          <w:b/>
          <w:szCs w:val="24"/>
        </w:rPr>
      </w:pPr>
      <w:r>
        <w:rPr>
          <w:rFonts w:hint="eastAsia" w:ascii="宋体" w:hAnsi="宋体" w:eastAsia="宋体" w:cs="Times New Roman"/>
          <w:szCs w:val="24"/>
        </w:rPr>
        <w:t>4.激励机制：美国市场的动力机制与他的个人主义文化和私有制为基础的所有制结构相适应，可以概括为利己主义。对企业来说，盈利则发展，亏损则破产。对个人来说，美国鼓励个人凭经济实力、社会资本和综合技能而奋斗，国家尽可能地提供资本主义框架内的平等竞争环境。企业主要通过物质报酬将企业目标和个人利益统一起来，现在美国也由注重物质刺激到注重物质和精神相结合，将企业员工当作是“社会人”而非单纯的“经济人”，在精神上刺激员工的积极性。</w:t>
      </w:r>
    </w:p>
    <w:p w14:paraId="72575BDD">
      <w:pPr>
        <w:spacing w:before="180" w:beforeLines="50" w:after="180" w:afterLines="50" w:line="300" w:lineRule="auto"/>
        <w:ind w:firstLine="480" w:firstLineChars="200"/>
        <w:jc w:val="center"/>
        <w:rPr>
          <w:rFonts w:ascii="宋体" w:hAnsi="宋体" w:eastAsia="宋体" w:cs="Times New Roman"/>
          <w:b/>
          <w:bCs/>
          <w:kern w:val="28"/>
          <w:sz w:val="24"/>
          <w:szCs w:val="32"/>
        </w:rPr>
      </w:pPr>
      <w:r>
        <w:rPr>
          <w:rFonts w:ascii="宋体" w:hAnsi="宋体" w:eastAsia="宋体" w:cs="Times New Roman"/>
          <w:b/>
          <w:bCs/>
          <w:kern w:val="28"/>
          <w:sz w:val="24"/>
          <w:szCs w:val="32"/>
        </w:rPr>
        <w:t>二、日本政府主导型市场经济体制的变革</w:t>
      </w:r>
    </w:p>
    <w:p w14:paraId="609B139C">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日本长期实行政府主导型的市场经济。90年代以来，在国际大气候和本国经济停滞的背景下，日本市场经济模式也在不断调整，并朝着自由化的方向推进。</w:t>
      </w:r>
    </w:p>
    <w:p w14:paraId="0B5103D6">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1.决策机制：日本政府制定计划和产业政策时，往往不是凭自己的意志行事，而是通过官民（政企）协商，充分听取企业的意愿而形成。政府只是在企业间起积极沟通和协商的作用。这种沟通和协商的机制通常就叫作“审议会制度”。在企业内部，通常日本企业全体职员都有决策的权利，可以对管理中的任何问题自由且充分地发表意见，企业还通常设奖征求意见。经营者决策时，先征求组长、课长、部长的意见，最后汇总，采用“禀议制度”，然后再与各方交换看法，才作出正式决策，即所谓“事前疏通”。</w:t>
      </w:r>
    </w:p>
    <w:p w14:paraId="45AF264B">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2.信息的调节机制：由于日本主要是一个市场经济的国家，因而其信息传递一般是分散、横向传递为主。二战以后，日本实行赶超战略，因而主要加强了其纵向的信息传递机制，即由上而下传递的计划或行政信息。经济主体在从事经济活动时，首先依据的当然是横向传递的市场信息，但还必须参考政府纵向传递的行政信息。这些纵向传递的各类信息，为日本企业的发展起了巨大作用。</w:t>
      </w:r>
    </w:p>
    <w:p w14:paraId="237AA703">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3.财产所有权关系及收入：日本市场经济的财产机制建立在私有制基础之上，私有制与国有制并存。实行财产最终归属自然人的法人组织相互持股为主，法人持股与个人持股并存的资本结构，并悄悄地把战后解散的“财阀”以“企业集团”的形态在更大规模上集中起来，采取综合商社等产业组织形式和新型垄断形式迅速占领国际市场。90 年代以来，日本电信电话公司等三大著名的国有企业走向了民营化的道路，使得日本成为国有化程度较低的国家之一。</w:t>
      </w:r>
    </w:p>
    <w:p w14:paraId="43529FE0">
      <w:pPr>
        <w:spacing w:line="300" w:lineRule="auto"/>
        <w:ind w:firstLine="420" w:firstLineChars="200"/>
        <w:rPr>
          <w:rFonts w:ascii="宋体" w:hAnsi="宋体" w:eastAsia="宋体" w:cs="Times New Roman"/>
          <w:b/>
          <w:szCs w:val="24"/>
        </w:rPr>
      </w:pPr>
      <w:r>
        <w:rPr>
          <w:rFonts w:hint="eastAsia" w:ascii="宋体" w:hAnsi="宋体" w:eastAsia="宋体" w:cs="Times New Roman"/>
          <w:szCs w:val="24"/>
        </w:rPr>
        <w:t>4.激励机制：在日本，精神激励不仅存在于企业与职工之间，也存在于国家与企业之间，强调职工对企业和企业对社会应尽的责任。这并不是说日本企业不重视物质激励，而是说它比欧美企业更重视精神激励。为了使职工对企业效忠，采用了工龄越长工资越高的“年功序列制”。国家对符合产业导向的企业也给与经济奖励和政策倾斜。近年来，终身雇佣制和年功序列制也受到了各方面的挑战，并出现了合同工制、定时工制和能力与贡献工资制等。</w:t>
      </w:r>
    </w:p>
    <w:p w14:paraId="59614BB7">
      <w:pPr>
        <w:spacing w:before="180" w:beforeLines="50" w:after="180" w:afterLines="50" w:line="300" w:lineRule="auto"/>
        <w:ind w:firstLine="480" w:firstLineChars="200"/>
        <w:jc w:val="center"/>
        <w:rPr>
          <w:rFonts w:ascii="宋体" w:hAnsi="宋体" w:eastAsia="宋体" w:cs="Times New Roman"/>
          <w:b/>
          <w:bCs/>
          <w:kern w:val="28"/>
          <w:sz w:val="24"/>
          <w:szCs w:val="32"/>
        </w:rPr>
      </w:pPr>
      <w:r>
        <w:rPr>
          <w:rFonts w:ascii="宋体" w:hAnsi="宋体" w:eastAsia="宋体" w:cs="Times New Roman"/>
          <w:b/>
          <w:bCs/>
          <w:kern w:val="28"/>
          <w:sz w:val="24"/>
          <w:szCs w:val="32"/>
        </w:rPr>
        <w:t>三、德国社会市场经济体制的变迁</w:t>
      </w:r>
    </w:p>
    <w:p w14:paraId="34DD9062">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目前即既不是国家完全不加以干预的自由经济，也不是中央高度集权的社会主义经济，而是介乎于两者之间的所谓“经济人道主义的第三条道路”，强调以自由竞争为基础、国家适当调节，并以社会安全为保障的社会市场经济体制。</w:t>
      </w:r>
    </w:p>
    <w:p w14:paraId="31F1F2F2">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1.决策机制：德国社会市场经济主要奉行以分散决策为主、国家集中决策和企业分散决策相结合的决策机制。1948年6月实行币制改革后，基本上取消了战后最初几年实行的统治经济管理方式，把经济活动的组织、调控交给了市场和私人单位。这标志着社会市场经济体制开始付诸实践。直至60 年代中期，联邦德国一直实行社会市场经济的体制和政策。1967年，出现战后第一次经济衰退后，从奉行社会市场经济转而全面奉行凯恩斯主义全面需求管理，试图通过国家的全面需求管理措施来克服经济周期波动，实行充分就业和经济运行的稳定与均衡。与社会市场经济相比，新的经济调控机制中，国家干预调节经济的范围扩大了，由原来对市场竞争制度的调节以及对市场分配结果的调节，扩展到对经济运行过程，特别是社会总需求变化的直接干预调节。1981-1982年经济危机后，联邦政府又放弃了凯恩斯主义的全面需求管理，转而实行新自由主义的供给管理，通过改善私人投资环境条件、抑制国家财政支出的扩张，降低营业税和财产税，刺激私人经济活动的积极性来实现经济结构转换和经济增长。社会市场经济体制更为重视微观经济，而不是宏观经济，即它有别于推崇实行以需求为主的宏观经济政策管理的凯恩斯主义。</w:t>
      </w:r>
    </w:p>
    <w:p w14:paraId="751399C2">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2.信息调节机制：从根本上来说，德国的信息传递机制是一种分散的信息结构，但它是在联邦政府信息指导或干预下使其具有特别内容和构造序列的分散性结构，即绝大部分信息通过市场传递，但是它还包括国家管理机构为特定目的发出并转化为市场因素的信息，及国家管理机关加工和处理后井然有序的市场信息，表现为政府、企业和私人银行在经济事务上密切合作。</w:t>
      </w:r>
    </w:p>
    <w:p w14:paraId="648C4D16">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3.财产所有权：“西德的国有化成分很大，其中包括铁路和大部分的地区运输、大部分公共事业、通讯和广播系统、储蓄银行和一些工业企业。联邦政府控制了全国60%的经济建设资金，所以，很容易改变投资的流量。”</w:t>
      </w:r>
      <w:r>
        <w:rPr>
          <w:rFonts w:ascii="宋体" w:hAnsi="宋体" w:eastAsia="宋体" w:cs="Times New Roman"/>
          <w:szCs w:val="24"/>
          <w:vertAlign w:val="superscript"/>
        </w:rPr>
        <w:footnoteReference w:id="56"/>
      </w:r>
      <w:r>
        <w:rPr>
          <w:rFonts w:hint="eastAsia" w:ascii="宋体" w:hAnsi="宋体" w:eastAsia="宋体" w:cs="Times New Roman"/>
          <w:szCs w:val="24"/>
        </w:rPr>
        <w:t>与西方主流经济学的私有制是经济发展的前提的观点相左的是，西德生产资料的国有制占了很大的比重，但是，经济发展速度却较快，因而与传统的西方主流经济学解释不一致。</w:t>
      </w:r>
    </w:p>
    <w:p w14:paraId="5FDCEB9F">
      <w:pPr>
        <w:spacing w:line="300" w:lineRule="auto"/>
        <w:ind w:firstLine="420" w:firstLineChars="200"/>
        <w:rPr>
          <w:rFonts w:ascii="宋体" w:hAnsi="宋体" w:eastAsia="宋体" w:cs="Times New Roman"/>
          <w:b/>
          <w:szCs w:val="24"/>
        </w:rPr>
      </w:pPr>
      <w:r>
        <w:rPr>
          <w:rFonts w:hint="eastAsia" w:ascii="宋体" w:hAnsi="宋体" w:eastAsia="宋体" w:cs="Times New Roman"/>
          <w:szCs w:val="24"/>
        </w:rPr>
        <w:t>4. 激励机制：德国的激励机制是主要以经济利益为主的、多种动力推动交织的激励系统。非经济利益刺激或动力源只在特殊的情况下，以特殊的形式存在。如国家用紧急行政手段矫正经济运行中的极端偏差，以及通过鼓励或限制来干预微观经济主体的某些行为等。然而，德国的经济管理部门非常注意应用完善的社会福利政策来缓和劳资之间的矛盾，应用完善的社会保障体系来对劳动力的发展提供强有力的保障。德国自由主义经济学家阿尔马克说：“社会市场经济是按市场经济规律行事，但辅之以社会保障的经济制度，它的意义是将市场自由的原则同社会公平结合在一起。”</w:t>
      </w:r>
      <w:r>
        <w:rPr>
          <w:rFonts w:ascii="宋体" w:hAnsi="宋体" w:eastAsia="宋体" w:cs="Times New Roman"/>
          <w:szCs w:val="24"/>
          <w:vertAlign w:val="superscript"/>
        </w:rPr>
        <w:footnoteReference w:id="57"/>
      </w:r>
    </w:p>
    <w:p w14:paraId="78DB274F">
      <w:pPr>
        <w:spacing w:before="180" w:beforeLines="50" w:after="180" w:afterLines="50" w:line="300" w:lineRule="auto"/>
        <w:ind w:firstLine="480" w:firstLineChars="200"/>
        <w:jc w:val="center"/>
        <w:rPr>
          <w:rFonts w:ascii="宋体" w:hAnsi="宋体" w:eastAsia="宋体" w:cs="Times New Roman"/>
          <w:b/>
          <w:bCs/>
          <w:kern w:val="28"/>
          <w:sz w:val="24"/>
          <w:szCs w:val="32"/>
        </w:rPr>
      </w:pPr>
      <w:r>
        <w:rPr>
          <w:rFonts w:ascii="宋体" w:hAnsi="宋体" w:eastAsia="宋体" w:cs="Times New Roman"/>
          <w:b/>
          <w:bCs/>
          <w:kern w:val="28"/>
          <w:sz w:val="24"/>
          <w:szCs w:val="32"/>
        </w:rPr>
        <w:t>四、前苏联和俄罗斯或左或右经济体制的巨变</w:t>
      </w:r>
    </w:p>
    <w:p w14:paraId="6D72DB70">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从前苏联的指令性计划体制到叶利钦的无序自由市场体制，再到普京的有国家控制的市场体制，是20世纪苏联和俄罗斯的主要演变历程。</w:t>
      </w:r>
    </w:p>
    <w:p w14:paraId="16351136">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1.决策机制：在计划经济年代，经济主体的经营活动全部由政府决策，政府的意志通过指令性计划和产业政策自上而下地贯彻到每个企业。企业没有经营自主权，只有完成上级指令性计划的义务。在实行迅速私有化以后，俄罗斯的决策机制已经由过去的单一的行政命令转向以国家计划和产业政策为指导，企业根据市场需求自主决策，进行具体经营的决策机制，但是，计划决策机制迅速消散，连国家计委也被撤消，而市场决策机制却未迅速地建立起来，导致国家和企业决策的混乱。目前，普京政府正在强化中央决策机制，抑制地方政府和垄断寡头的山头主义自由决策。</w:t>
      </w:r>
    </w:p>
    <w:p w14:paraId="3A90AA1F">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2.信息传递机制：改革前，主要是通过纵向的计划或行政信息指导经济主体从事经济活动。实行经济的迅速转轨以后，信息已经不再主要通过计划或行政渠道传递了，而基本依靠分散的、横向的市场价格信号来传递，价格和供求是企业作出经营决策的主要信息，行政信息仅仅是辅助信号。不过，俄罗斯极不成熟的信息体系和传递机制，强化了信息的不对称和不透明，亟需改革和完善。</w:t>
      </w:r>
    </w:p>
    <w:p w14:paraId="50FF71A4">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3. 财产所有权与分配：改革前苏联实行的是单一的生产资料公有制，实行私有化以后，企业的产权关系发生了质的变化，由原来的一切财产归国家或集体所有转变为以私有制为主体、与少量的国有企业和合作企业并存的财产制度。与此同时，从按劳分配为主体迅速地转向为按资分配为主体的两级分化状态。</w:t>
      </w:r>
    </w:p>
    <w:p w14:paraId="52D2D1C6">
      <w:pPr>
        <w:spacing w:line="300" w:lineRule="auto"/>
        <w:ind w:firstLine="420" w:firstLineChars="200"/>
        <w:rPr>
          <w:rFonts w:ascii="宋体" w:hAnsi="宋体" w:eastAsia="宋体" w:cs="Times New Roman"/>
          <w:b/>
          <w:szCs w:val="24"/>
        </w:rPr>
      </w:pPr>
      <w:r>
        <w:rPr>
          <w:rFonts w:hint="eastAsia" w:ascii="宋体" w:hAnsi="宋体" w:eastAsia="宋体" w:cs="Times New Roman"/>
          <w:szCs w:val="24"/>
        </w:rPr>
        <w:t>4.激励机制：苏联的工资政策与一些西方主流经济学家想当然的平均主义工资分配的观点完全相反。“苏联管理者的威望和地位是用挣得的资金衡量的。完成和超额完成生产计划而得到大量奖金的管理者便是好的管理者。月奖金多是管理好的主要标志。苏联的制度是如此强调奖赏制度，以致月货币奖金几乎成为拜物教的偶像”。</w:t>
      </w:r>
      <w:r>
        <w:rPr>
          <w:rFonts w:ascii="宋体" w:hAnsi="宋体" w:eastAsia="宋体" w:cs="Times New Roman"/>
          <w:szCs w:val="24"/>
          <w:vertAlign w:val="superscript"/>
        </w:rPr>
        <w:footnoteReference w:id="58"/>
      </w:r>
      <w:r>
        <w:rPr>
          <w:rFonts w:hint="eastAsia" w:ascii="宋体" w:hAnsi="宋体" w:eastAsia="宋体" w:cs="Times New Roman"/>
          <w:szCs w:val="24"/>
        </w:rPr>
        <w:t>当然苏联也很重视以各种荣誉称号来鼓励劳动者的积极性。俄罗斯主要采取经济激励、失业威胁和财富“马太效应”等机制，来刺激资产者、无产者和管理者的积极性。</w:t>
      </w:r>
    </w:p>
    <w:p w14:paraId="78B16944">
      <w:pPr>
        <w:spacing w:before="180" w:beforeLines="50" w:after="180" w:afterLines="50" w:line="300" w:lineRule="auto"/>
        <w:ind w:firstLine="480" w:firstLineChars="200"/>
        <w:jc w:val="center"/>
        <w:rPr>
          <w:rFonts w:ascii="宋体" w:hAnsi="宋体" w:eastAsia="宋体" w:cs="Times New Roman"/>
          <w:b/>
          <w:bCs/>
          <w:kern w:val="28"/>
          <w:sz w:val="24"/>
          <w:szCs w:val="32"/>
        </w:rPr>
      </w:pPr>
      <w:r>
        <w:rPr>
          <w:rFonts w:ascii="宋体" w:hAnsi="宋体" w:eastAsia="宋体" w:cs="Times New Roman"/>
          <w:b/>
          <w:bCs/>
          <w:kern w:val="28"/>
          <w:sz w:val="24"/>
          <w:szCs w:val="32"/>
        </w:rPr>
        <w:t>五、中国计划社会主义到市场社会主义体制的转型</w:t>
      </w:r>
    </w:p>
    <w:p w14:paraId="44B4A0A9">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中国的经济体制转型也可以从以下四个方面来考察。</w:t>
      </w:r>
    </w:p>
    <w:p w14:paraId="40BE0066">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1.决策机制：建立和完善国家调控主导型的市场决策机制。改革中，中国既注重建立计划、金融和财政为核心的国家宏观调控系统，维护全局利益的统一性，又注重在集中指导下赋予基层、地方和部门必要的权力，形成统一领导下的兼顾局部利益的灵活决策。在存有个人选择、法人选择、市场选择和社会选择的复杂条件下，国家调控逐渐在“博弈”中完善各项政策和决策机制，树立应有的领导权威。</w:t>
      </w:r>
    </w:p>
    <w:p w14:paraId="4335D5B3">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2.信息调节机制：随着中国的决策机制由计划向市场的转变，中国的信息传递机制由与计划相适应的“企业—国家—企业”之间的纵向信息传递机制为主，转变为以横向的“企业—市场—企业”之间的横向信息传递机制为主，国家和企业以及国家和市场之间的信息传递，已日渐成为信息传递的非主要部分。</w:t>
      </w:r>
    </w:p>
    <w:p w14:paraId="2496868B">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3.财产与分配机制：建立和完善公有主体型的多种类产权结构和劳动主体型的多要素分配机制。中国经济改革的目标之一，是从过去完全公有制的单一经济形态向以公有制为主体、多种所有制经济共同发展的经济形态转变，实现一种以公有法人型联合劳动为基础的“市场社会主义”。同时，中国的经济改革摈弃了带有平均主义色彩的计划型按劳分配的模式，从单一的按劳分配形态向以市场型按劳分配为主体、多种生产要素所有权共同参与分配的经济形态转变。鼓励一部分和一部分地区先富起来，同时确保城乡居民的生活质量都有程度不同的提高，积极地消灭贫困现象，把共同富裕作为一个长期的动态过程和结果来对待。</w:t>
      </w:r>
    </w:p>
    <w:p w14:paraId="3E3D88A1">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4.激励机制：在改革开放以前，中国比较强调精神刺激，通过各种荣誉称号和表扬，授予各种奖章来调动劳动者的积极性，甚至个别时期还批判计件工资和奖金制度，不适当地贬低物质刺激和经济利益。改革后，却又存在片面重视物质刺激和经济利益的作用，缺少道德、文化和精神层面激励的有效机制和理论环境，甚至颂扬个人主义的“自私人”理论和机制以及私有化改革措施，从而使财富和收入较快分化，反而压抑了大多数人的劳动积极性。</w:t>
      </w:r>
    </w:p>
    <w:p w14:paraId="2A31CC96">
      <w:pPr>
        <w:spacing w:before="180" w:beforeLines="50" w:after="180" w:afterLines="50" w:line="300" w:lineRule="auto"/>
        <w:ind w:firstLine="480" w:firstLineChars="200"/>
        <w:jc w:val="center"/>
        <w:rPr>
          <w:rFonts w:ascii="宋体" w:hAnsi="宋体" w:eastAsia="宋体" w:cs="Times New Roman"/>
          <w:b/>
          <w:bCs/>
          <w:kern w:val="28"/>
          <w:sz w:val="24"/>
          <w:szCs w:val="32"/>
        </w:rPr>
      </w:pPr>
      <w:r>
        <w:rPr>
          <w:rFonts w:ascii="宋体" w:hAnsi="宋体" w:eastAsia="宋体" w:cs="Times New Roman"/>
          <w:b/>
          <w:bCs/>
          <w:kern w:val="28"/>
          <w:sz w:val="24"/>
          <w:szCs w:val="32"/>
        </w:rPr>
        <w:t>六、若干思索与结论</w:t>
      </w:r>
    </w:p>
    <w:p w14:paraId="7F00B8DE">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通过考察以上国家的经济体制变迁，我们可以进一步得出以下实证性和规范性的结论：1.经济体制变迁是动态发展的。没有任何一种经济体制是永远不变的，适应于任何生产和技术时代。多数西方国家从古典的自由市场经济到国家干预的市场经济，再到新古典的自由市场经济；多数苏东国家从命令的计划经济转变为自由的市场经济，又转变为国家控制的市场经济无不说明了这一点。</w:t>
      </w:r>
    </w:p>
    <w:p w14:paraId="60086378">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2.经济体制变迁是有多样性的。无论是市场经济，还是计划经济。它们都是具有多样性的具体的经济运行方式。这些多样的经济运行方式构成了多类型的经济体制，因而青木冒彦指出：“即使同是市场经济体制，也会引起内部的制度配置不同而存在着各种不同的市场经济体制（经济体制的多样性）”。</w:t>
      </w:r>
      <w:r>
        <w:rPr>
          <w:rFonts w:ascii="宋体" w:hAnsi="宋体" w:eastAsia="宋体" w:cs="Times New Roman"/>
          <w:szCs w:val="24"/>
          <w:vertAlign w:val="superscript"/>
        </w:rPr>
        <w:footnoteReference w:id="59"/>
      </w:r>
      <w:r>
        <w:rPr>
          <w:rFonts w:hint="eastAsia" w:ascii="宋体" w:hAnsi="宋体" w:eastAsia="宋体" w:cs="Times New Roman"/>
          <w:szCs w:val="24"/>
        </w:rPr>
        <w:t>也就是说，多样化的体制之所以会存在，是因为一个体制内的各种制度是相互补充的。由于这些制度相互适应，因而产生了制度之间作为一个整体的强度，从而使得这种体制会生存。</w:t>
      </w:r>
    </w:p>
    <w:p w14:paraId="5E26B470">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3.经济体制变迁是有惯性的。经济体制无论如何变迁，有些适合于一国的文化和意识形态的具体制度是难以根本变化的。日本的经济信息传递机制中，信息传递过程中的国家和企业之间的纵向传递机制始终较为强大，因为从“明治维新”到今天的日本，国家一直在经济体制中居主导地位。这也就是新制度经济学的“路径依赖”。</w:t>
      </w:r>
    </w:p>
    <w:p w14:paraId="0DE1E66A">
      <w:pPr>
        <w:spacing w:line="300" w:lineRule="auto"/>
        <w:ind w:firstLine="420" w:firstLineChars="200"/>
        <w:rPr>
          <w:rFonts w:ascii="宋体" w:hAnsi="宋体" w:eastAsia="宋体" w:cs="Times New Roman"/>
          <w:szCs w:val="24"/>
        </w:rPr>
      </w:pPr>
      <w:r>
        <w:rPr>
          <w:rFonts w:hint="eastAsia" w:ascii="宋体" w:hAnsi="宋体" w:eastAsia="宋体" w:cs="Times New Roman"/>
          <w:szCs w:val="24"/>
        </w:rPr>
        <w:t>4.经济体制变迁是有规律的。制度变迁总是有进有退地曲折发展的。当今世界存在公平与效率、公有与私有、国家与市场、开放与保护这四对主要矛盾，它们渗透在经济体制和经济政策之中，表现为此消彼长，相互补充。从经济的不断社会化和全球化来分析，新老凯恩斯主义比新自由主义要高明一些，总趋势是国家调节或国际调节有所加强；以资源的公有权配置为主体和国家调节配置为主导的市场社会主义经济体制，是高于或优于以资源的私有权配置为主体和国家调节配置为指导的市场资本主义经济体制的。这合乎否定之否定的经济辩证法规律。</w:t>
      </w:r>
    </w:p>
    <w:p w14:paraId="7BBF82F9">
      <w:pPr>
        <w:spacing w:line="300" w:lineRule="auto"/>
        <w:ind w:firstLine="420" w:firstLineChars="200"/>
        <w:rPr>
          <w:rFonts w:ascii="宋体" w:hAnsi="宋体" w:eastAsia="宋体" w:cs="Times New Roman"/>
          <w:szCs w:val="24"/>
        </w:rPr>
      </w:pPr>
    </w:p>
    <w:p w14:paraId="16BF3707">
      <w:pPr>
        <w:spacing w:line="300" w:lineRule="auto"/>
        <w:ind w:firstLine="420" w:firstLineChars="200"/>
        <w:rPr>
          <w:rFonts w:ascii="宋体" w:hAnsi="宋体" w:eastAsia="宋体" w:cs="Times New Roman"/>
          <w:szCs w:val="24"/>
        </w:rPr>
      </w:pPr>
      <w:r>
        <w:rPr>
          <w:rFonts w:ascii="宋体" w:hAnsi="宋体" w:eastAsia="宋体" w:cs="Times New Roman"/>
          <w:szCs w:val="24"/>
        </w:rPr>
        <w:t>（原载《山东财政学院学报》2003年第1期，第二作者为王小文）</w:t>
      </w:r>
    </w:p>
    <w:p w14:paraId="725ECED6">
      <w:pPr>
        <w:bidi w:val="0"/>
      </w:pPr>
      <w:r>
        <w:br w:type="page"/>
      </w:r>
    </w:p>
    <w:p w14:paraId="3A4BACDA">
      <w:pPr>
        <w:keepNext/>
        <w:keepLines/>
        <w:spacing w:before="260" w:after="260" w:line="412" w:lineRule="auto"/>
        <w:ind w:firstLine="640" w:firstLineChars="200"/>
        <w:jc w:val="center"/>
        <w:outlineLvl w:val="1"/>
        <w:rPr>
          <w:rFonts w:ascii="黑体" w:hAnsi="黑体" w:eastAsia="黑体" w:cs="Times New Roman"/>
          <w:color w:val="000000"/>
          <w:kern w:val="0"/>
          <w:sz w:val="32"/>
          <w:szCs w:val="32"/>
          <w:lang w:bidi="ar"/>
        </w:rPr>
      </w:pPr>
      <w:bookmarkStart w:id="227" w:name="_Toc10552"/>
      <w:bookmarkStart w:id="228" w:name="_Toc107836721"/>
      <w:bookmarkStart w:id="229" w:name="_Toc110957395"/>
      <w:bookmarkStart w:id="230" w:name="_Toc93074540"/>
      <w:bookmarkStart w:id="231" w:name="_Toc2017427920"/>
      <w:bookmarkStart w:id="232" w:name="_Toc1631751502"/>
      <w:r>
        <w:rPr>
          <w:rFonts w:ascii="黑体" w:hAnsi="黑体" w:eastAsia="黑体" w:cs="Times New Roman"/>
          <w:color w:val="000000"/>
          <w:kern w:val="0"/>
          <w:sz w:val="32"/>
          <w:szCs w:val="32"/>
          <w:lang w:bidi="ar"/>
        </w:rPr>
        <w:t>建立</w:t>
      </w:r>
      <w:r>
        <w:rPr>
          <w:rFonts w:hint="eastAsia" w:ascii="黑体" w:hAnsi="黑体" w:eastAsia="黑体" w:cs="Times New Roman"/>
          <w:color w:val="000000"/>
          <w:kern w:val="0"/>
          <w:sz w:val="32"/>
          <w:szCs w:val="32"/>
          <w:lang w:bidi="ar"/>
        </w:rPr>
        <w:t>“</w:t>
      </w:r>
      <w:r>
        <w:rPr>
          <w:rFonts w:ascii="黑体" w:hAnsi="黑体" w:eastAsia="黑体" w:cs="Times New Roman"/>
          <w:color w:val="000000"/>
          <w:kern w:val="0"/>
          <w:sz w:val="32"/>
          <w:szCs w:val="32"/>
          <w:lang w:bidi="ar"/>
        </w:rPr>
        <w:t>一府两系、三层分立、分类管理”的国有资产管理新体制</w:t>
      </w:r>
      <w:bookmarkEnd w:id="227"/>
      <w:bookmarkEnd w:id="228"/>
      <w:bookmarkEnd w:id="229"/>
      <w:bookmarkEnd w:id="230"/>
      <w:bookmarkEnd w:id="231"/>
      <w:bookmarkEnd w:id="232"/>
    </w:p>
    <w:p w14:paraId="235A4639">
      <w:pPr>
        <w:spacing w:line="300" w:lineRule="auto"/>
        <w:ind w:firstLine="420" w:firstLineChars="200"/>
        <w:rPr>
          <w:rFonts w:ascii="Times New Roman" w:hAnsi="Times New Roman" w:eastAsia="宋体" w:cs="Times New Roman"/>
        </w:rPr>
      </w:pPr>
      <w:r>
        <w:rPr>
          <w:rFonts w:hint="eastAsia" w:ascii="Times New Roman" w:hAnsi="Times New Roman" w:eastAsia="宋体" w:cs="Times New Roman"/>
        </w:rPr>
        <w:t>十六大报告关于国有资产管理体制改革的阐述有三个突出的新意：一是从意义上强调“改革国有资产管理体制，是深化经济体制改革的重大任务”；二是从组织上指出“中央政府和省、市（地）两级地方政府设立国有资产管理机构”；三是从原则（方针）上提出“国家要制定法律法规，建立中央政府和地方政府分别代表国家履行出资人职责，享有所有者权益，权利、义务和责任相统一，管资产和管人、管事相结合的国有资产管理体制”。本文依据上述精神，就当前国有资产管理体制改革的若干重要问题谈些学习体会和新建议。</w:t>
      </w:r>
    </w:p>
    <w:p w14:paraId="771BF223">
      <w:pPr>
        <w:widowControl/>
        <w:spacing w:before="180" w:beforeLines="50" w:after="180" w:afterLines="50" w:line="300" w:lineRule="auto"/>
        <w:ind w:firstLine="480" w:firstLineChars="200"/>
        <w:jc w:val="center"/>
        <w:rPr>
          <w:rFonts w:ascii="Times New Roman" w:hAnsi="Times New Roman" w:eastAsia="宋体" w:cs="Times New Roman"/>
          <w:b/>
          <w:bCs/>
          <w:sz w:val="24"/>
          <w:szCs w:val="32"/>
          <w:lang w:val="zh-CN"/>
        </w:rPr>
      </w:pPr>
      <w:bookmarkStart w:id="233" w:name="_Toc5797"/>
      <w:r>
        <w:rPr>
          <w:rFonts w:hint="eastAsia" w:ascii="Times New Roman" w:hAnsi="Times New Roman" w:eastAsia="宋体" w:cs="Times New Roman"/>
          <w:b/>
          <w:bCs/>
          <w:sz w:val="24"/>
          <w:szCs w:val="32"/>
          <w:lang w:val="zh-CN"/>
        </w:rPr>
        <w:t>一、深化改革国有资产管理体制的重要性</w:t>
      </w:r>
      <w:bookmarkEnd w:id="233"/>
    </w:p>
    <w:p w14:paraId="37AB5633">
      <w:pPr>
        <w:spacing w:line="300" w:lineRule="auto"/>
        <w:ind w:firstLine="420" w:firstLineChars="200"/>
        <w:rPr>
          <w:rFonts w:ascii="Times New Roman" w:hAnsi="Times New Roman" w:eastAsia="宋体" w:cs="Times New Roman"/>
        </w:rPr>
      </w:pPr>
      <w:r>
        <w:rPr>
          <w:rFonts w:hint="eastAsia" w:ascii="Times New Roman" w:hAnsi="Times New Roman" w:eastAsia="宋体" w:cs="Times New Roman"/>
        </w:rPr>
        <w:t>以往二十多年我们主要是强调国有企业本身的改革，而对整个国有资产管理体制的改革强调不够。现在要真正深化经济体制改革，就必须突出国有资产管理系统和体制的重塑。其重要性表现为：</w:t>
      </w:r>
    </w:p>
    <w:p w14:paraId="5EA792C4">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首先，有利于国有企业练好“内功”，为增大资产经营效益奠定微观机制基础。与“三资企业”和乡镇企业相比，国有大中型企业的活力普遍不够，进取性不足，总体经济效益水平徘徊不前，有时甚至下降，其根源应首先归结为体制因素。因此，只有通过上下结合的国有资产管理体制的彻底改革，才能真正扭转企业“内功”滞后的现象，推动国有企业在自觉增强自身素质的基础上逐步提高微观资产经营效益，进而为实行市场调节和国家调节创造良好的企业氛围。</w:t>
      </w:r>
    </w:p>
    <w:p w14:paraId="52C275A5">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其次，有利于国家职能的合理转换和经济调控的科学化，为增大资产经营效益奠定宏观机制基础。鉴于政企不分、政资不分，即国家包办企业经营，国家直接经营资产，一方面造成国有企业“等、靠、要”，不努力关心资产经营的实际效益；另一方面又造成国家宏观和中观经济调控行政化和僵化，该管的不管，不该管的多管，使庞大的国有资产在配置和结构等方面缺乏合理性，妨碍了从宏观上提高资产经营效益。所以，只有对原有的国有资产管理体制进行认真的改革，才能完全实现国家职能的转换，并在健全宏观经济调控机制的基础上，不断提高整个国有资产的经营效益。</w:t>
      </w:r>
    </w:p>
    <w:p w14:paraId="5B19ED2E">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第三，有利于现代市场体系和市场组织的构建，为增大资产经营效益奠定市场机制的基础。传统的国有资产管理体制是依靠指令性计划来协调组织的，基本上排斥了市场机制，以致国有企业外部经营环境不佳，缺乏公平竞争的氛围。迄今为止的改革在一定程度上纠正了这一现象，但要真正构建一个层次合理、内外开放、机制完备的社会主义市场体系和市场组织，就必须加快国有资产管理体制的改革，从而在日益完善市场调节机制的基础上切实提高资产经营效益。</w:t>
      </w:r>
    </w:p>
    <w:p w14:paraId="2FEA5F62">
      <w:pPr>
        <w:widowControl/>
        <w:spacing w:before="180" w:beforeLines="50" w:after="180" w:afterLines="50" w:line="300" w:lineRule="auto"/>
        <w:ind w:firstLine="480" w:firstLineChars="200"/>
        <w:jc w:val="center"/>
        <w:rPr>
          <w:rFonts w:ascii="Times New Roman" w:hAnsi="Times New Roman" w:eastAsia="宋体" w:cs="Times New Roman"/>
          <w:b/>
          <w:bCs/>
          <w:sz w:val="24"/>
          <w:szCs w:val="32"/>
          <w:lang w:val="zh-CN"/>
        </w:rPr>
      </w:pPr>
      <w:bookmarkStart w:id="234" w:name="_Toc25420"/>
      <w:r>
        <w:rPr>
          <w:rFonts w:hint="eastAsia" w:ascii="Times New Roman" w:hAnsi="Times New Roman" w:eastAsia="宋体" w:cs="Times New Roman"/>
          <w:b/>
          <w:bCs/>
          <w:sz w:val="24"/>
          <w:szCs w:val="32"/>
          <w:lang w:val="zh-CN"/>
        </w:rPr>
        <w:t>二、确立国有资产产权管理体制目标模式的理论前提</w:t>
      </w:r>
      <w:bookmarkEnd w:id="234"/>
    </w:p>
    <w:p w14:paraId="738A5748">
      <w:pPr>
        <w:spacing w:line="300" w:lineRule="auto"/>
        <w:ind w:firstLine="420" w:firstLineChars="200"/>
        <w:rPr>
          <w:rFonts w:ascii="Times New Roman" w:hAnsi="Times New Roman" w:eastAsia="宋体" w:cs="Times New Roman"/>
        </w:rPr>
      </w:pPr>
      <w:r>
        <w:rPr>
          <w:rFonts w:hint="eastAsia" w:ascii="Times New Roman" w:hAnsi="Times New Roman" w:eastAsia="宋体" w:cs="Times New Roman"/>
        </w:rPr>
        <w:t>传统的国有资产管理体制是建立在计划产品经济基础之上的，其理论前提就是排斥市场机制的计划产品经济观念，并据此形成“四化”：一是主张行政化，即政企合一，以行政手段为主进行资产管理；二是主张多头化，即以多个行政部门共同管理资产；三是主张实物化，即以实物形态为主实行使用价值的资产管理；四是主张单一化，即以封闭、单一的产权结构管理资产。</w:t>
      </w:r>
    </w:p>
    <w:p w14:paraId="7BFD7851">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新型的国有资产产权管理体制应当建立在国家主导型的市场经济基础之上，其理论前提是要确立有国家调节的市场经济观念，并据此形成新的“四化”：一是强调经济化，即政企分开、政资分开，以经济手段为主进行资产管理；二是强调系统化，即以“一级所有、一府两系、分层分类管理”的系统管理资产；三是强调价值化，即以价值形态为主实行商品化的资产管理；四是强调复合化，即以开放、复合的产权结构管理资产。这样的国有资产管理体制既不是科尔奈所说的“父爱主义”，过分包办、也不是目前有些企业和部门所推行的“后娘主义”，一卖了之，主要倚赖非公有制。</w:t>
      </w:r>
    </w:p>
    <w:p w14:paraId="0F1540A9">
      <w:pPr>
        <w:widowControl/>
        <w:spacing w:before="180" w:beforeLines="50" w:after="180" w:afterLines="50" w:line="300" w:lineRule="auto"/>
        <w:ind w:firstLine="480" w:firstLineChars="200"/>
        <w:jc w:val="center"/>
        <w:rPr>
          <w:rFonts w:ascii="Times New Roman" w:hAnsi="Times New Roman" w:eastAsia="宋体" w:cs="Times New Roman"/>
          <w:b/>
          <w:bCs/>
          <w:sz w:val="24"/>
          <w:szCs w:val="32"/>
          <w:lang w:val="zh-CN"/>
        </w:rPr>
      </w:pPr>
      <w:bookmarkStart w:id="235" w:name="_Toc16372"/>
      <w:r>
        <w:rPr>
          <w:rFonts w:hint="eastAsia" w:ascii="Times New Roman" w:hAnsi="Times New Roman" w:eastAsia="宋体" w:cs="Times New Roman"/>
          <w:b/>
          <w:bCs/>
          <w:sz w:val="24"/>
          <w:szCs w:val="32"/>
          <w:lang w:val="zh-CN"/>
        </w:rPr>
        <w:t>三、构建三层分立的国有资产产权管理机构</w:t>
      </w:r>
      <w:bookmarkEnd w:id="235"/>
    </w:p>
    <w:p w14:paraId="664F09A2">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依据国内外已有的经验教训、基本国情和市场经济原则，现阶段我国国有资产管理机构可设置三大层次：</w:t>
      </w:r>
    </w:p>
    <w:p w14:paraId="61A29975">
      <w:pPr>
        <w:spacing w:line="300" w:lineRule="auto"/>
        <w:ind w:firstLine="420" w:firstLineChars="200"/>
        <w:rPr>
          <w:rFonts w:ascii="Times New Roman" w:hAnsi="Times New Roman" w:eastAsia="宋体" w:cs="Times New Roman"/>
        </w:rPr>
      </w:pPr>
      <w:r>
        <w:rPr>
          <w:rFonts w:hint="eastAsia" w:ascii="Times New Roman" w:hAnsi="Times New Roman" w:eastAsia="宋体" w:cs="Times New Roman"/>
        </w:rPr>
        <w:t>第一层次是国有资产产权的立法管理和最终监管机构。由于国有资产的终极所有权属于“国家统一所有”，因而国有资产所有权的立法管理只能归全国人大，由全国人大代表全体人民实行全民资产的立法管理。同时，各级人大又是国有资产最终的监督管理机构。现有的各级人大财经委员会可适当扩充人员，以便加强这方面的工作（从长远来看，国有资产改为各级政府分级所有也是可行的，但目前没有达成共识）。</w:t>
      </w:r>
    </w:p>
    <w:p w14:paraId="55652AE5">
      <w:pPr>
        <w:spacing w:line="300" w:lineRule="auto"/>
        <w:ind w:firstLine="420" w:firstLineChars="200"/>
        <w:rPr>
          <w:rFonts w:ascii="Times New Roman" w:hAnsi="Times New Roman" w:eastAsia="宋体" w:cs="Times New Roman"/>
        </w:rPr>
      </w:pPr>
      <w:r>
        <w:rPr>
          <w:rFonts w:hint="eastAsia" w:ascii="Times New Roman" w:hAnsi="Times New Roman" w:eastAsia="宋体" w:cs="Times New Roman"/>
        </w:rPr>
        <w:t>第二层次是国有资产产权的行政管理机构。在中央、省（自治区和直辖市）、市（或县或区）三级政府中分别设置国有资产管理部和国有资产管理局，专司国有资产所有权的行政管理（非行业行政管理性质）。国有资产管理部只属于国务院直接领导，而非同属全国人大“双重领导”；地方国有资产管理局只属同级政府直接领导，同时接受上级国有资产管理部门的业务指导，而非“垂直领导”。除了这三级，其他层次的地方政府和行政层次（如非直辖市一级的区、省建制的专区），均不设国有资产管理机构。另外，国有资产管理部也不向中央政府各专业部委（交通部、邮电部等）派出机构和人员。“政府分级监管”，主要通过三级国有资产管理组织系统来进行。</w:t>
      </w:r>
    </w:p>
    <w:p w14:paraId="45837486">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为了在委托与代理关系中更有效地实行政企和政资的合理分开，克服行政管理极易产生的官僚主义和唯意志论，发扬国有资产的民主管理和科学管理作用，可在政府国有资产行政管理机构领导下成立“国有资产管理营运决策会议（委员会）”或“国有资产管理专家审议会（委员会）”，赋予其重大经营管理上的决策权，至少是赋予其咨询和顾问的任务。其成员应由政府国资委的领导、产业界人士和学术界人士共同组成，并实行任期制。这一新措施，必将有利于扩大国有资产经营管理重大决策的中外信息来源，有利于改善决策所需的不断更新的知识结构，有利于减少决策的利益关系和人事关系。</w:t>
      </w:r>
    </w:p>
    <w:p w14:paraId="48A7A8B6">
      <w:pPr>
        <w:spacing w:line="300" w:lineRule="auto"/>
        <w:ind w:firstLine="420" w:firstLineChars="200"/>
        <w:rPr>
          <w:rFonts w:ascii="Times New Roman" w:hAnsi="Times New Roman" w:eastAsia="宋体" w:cs="Times New Roman"/>
        </w:rPr>
      </w:pPr>
      <w:r>
        <w:rPr>
          <w:rFonts w:hint="eastAsia" w:ascii="Times New Roman" w:hAnsi="Times New Roman" w:eastAsia="宋体" w:cs="Times New Roman"/>
        </w:rPr>
        <w:t>第三层次是国有资产产权的经营管理机构。在介于国有资产产权行政管理组织与企业之间，应建立大量跨行业和跨地区的国有资产产权经营机构。这种专司国有资产产权经营管理机构的主要形式是国有控股公司，也可从不同角度进行分类：若按经营国有资产存在形态的差异性，拟分为：</w:t>
      </w:r>
      <w:r>
        <w:rPr>
          <w:rFonts w:ascii="Times New Roman" w:hAnsi="Times New Roman" w:eastAsia="宋体" w:cs="Times New Roman"/>
        </w:rPr>
        <w:t>1.</w:t>
      </w:r>
      <w:r>
        <w:rPr>
          <w:rFonts w:hint="eastAsia" w:ascii="Times New Roman" w:hAnsi="Times New Roman" w:eastAsia="宋体" w:cs="Times New Roman"/>
        </w:rPr>
        <w:t>实物性资产的中介经营机构（投资公司、建设开发公司等）；</w:t>
      </w:r>
      <w:r>
        <w:rPr>
          <w:rFonts w:ascii="Times New Roman" w:hAnsi="Times New Roman" w:eastAsia="宋体" w:cs="Times New Roman"/>
        </w:rPr>
        <w:t>2</w:t>
      </w:r>
      <w:r>
        <w:rPr>
          <w:rFonts w:hint="eastAsia" w:ascii="Times New Roman" w:hAnsi="Times New Roman" w:eastAsia="宋体" w:cs="Times New Roman"/>
        </w:rPr>
        <w:t>。价值性资产的中介经营机构（银行、信托公司等）；</w:t>
      </w:r>
      <w:r>
        <w:rPr>
          <w:rFonts w:ascii="Times New Roman" w:hAnsi="Times New Roman" w:eastAsia="宋体" w:cs="Times New Roman"/>
        </w:rPr>
        <w:t>3.</w:t>
      </w:r>
      <w:r>
        <w:rPr>
          <w:rFonts w:hint="eastAsia" w:ascii="Times New Roman" w:hAnsi="Times New Roman" w:eastAsia="宋体" w:cs="Times New Roman"/>
        </w:rPr>
        <w:t>无形资产的中介经营机构（技术开发公司、产权交易公司等）。若按中介经营机构的组织形式，拟分为：</w:t>
      </w:r>
      <w:r>
        <w:rPr>
          <w:rFonts w:ascii="Times New Roman" w:hAnsi="Times New Roman" w:eastAsia="宋体" w:cs="Times New Roman"/>
        </w:rPr>
        <w:t>1.</w:t>
      </w:r>
      <w:r>
        <w:rPr>
          <w:rFonts w:hint="eastAsia" w:ascii="Times New Roman" w:hAnsi="Times New Roman" w:eastAsia="宋体" w:cs="Times New Roman"/>
        </w:rPr>
        <w:t>各种专业性的投资公司和信托投资公司；</w:t>
      </w:r>
      <w:r>
        <w:rPr>
          <w:rFonts w:ascii="Times New Roman" w:hAnsi="Times New Roman" w:eastAsia="宋体" w:cs="Times New Roman"/>
        </w:rPr>
        <w:t>2.</w:t>
      </w:r>
      <w:r>
        <w:rPr>
          <w:rFonts w:hint="eastAsia" w:ascii="Times New Roman" w:hAnsi="Times New Roman" w:eastAsia="宋体" w:cs="Times New Roman"/>
        </w:rPr>
        <w:t>股份经营公司；</w:t>
      </w:r>
      <w:r>
        <w:rPr>
          <w:rFonts w:ascii="Times New Roman" w:hAnsi="Times New Roman" w:eastAsia="宋体" w:cs="Times New Roman"/>
        </w:rPr>
        <w:t>3.</w:t>
      </w:r>
      <w:r>
        <w:rPr>
          <w:rFonts w:hint="eastAsia" w:ascii="Times New Roman" w:hAnsi="Times New Roman" w:eastAsia="宋体" w:cs="Times New Roman"/>
        </w:rPr>
        <w:t>集团公司，即企业集团。这些中介经营机构，可由现有的专业经济厅局和主管公司、企业集团的核心公司、大型联合企业的总公司、各专业银行以及某些国家垄断经营企业的主管部门等转型组成，也可由国有资产管理部门按需要新办。</w:t>
      </w:r>
    </w:p>
    <w:p w14:paraId="48AA2B0E">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上述研究思路是对当前两种思路的否定。一种思路认为，为了彻底摆脱行政干涉，实行政企分开，国有资产管理机构不能隶属于中央政府及省市等地方政府，而必须直属于全国人大及省市地方人大。这种思路的缺点在于：在目前新旧体制转换的条件下，人大根本承担不起这项艰巨的任务；而在未来健全的经济政治体制下，只要依法办事，国有资产管理机构隶属于各级政府，也同样能够在国家的宏观经济调控权与国有资产所有权这“两权分离”的前提下，顺利地履行自己的职责。</w:t>
      </w:r>
    </w:p>
    <w:p w14:paraId="11472096">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还有一种思路认为，为了体现国有资产的全民性质和政企分开，政府的国有资产管理部门不仅要向所属政府负责，还要对人大专设的国有资产管理委员会负责。这种思路的缺点在于：国有资产的“双重管理”方式似乎也是不必要的，因为它很容易造成机构重叠，职责不清；况且，人大委托人民的政府来管理国有资产，同样可以体现国有资产的全民性质。</w:t>
      </w:r>
    </w:p>
    <w:p w14:paraId="72A6D115">
      <w:pPr>
        <w:widowControl/>
        <w:spacing w:before="180" w:beforeLines="50" w:after="180" w:afterLines="50" w:line="300" w:lineRule="auto"/>
        <w:ind w:firstLine="480" w:firstLineChars="200"/>
        <w:jc w:val="center"/>
        <w:rPr>
          <w:rFonts w:ascii="Times New Roman" w:hAnsi="Times New Roman" w:eastAsia="宋体" w:cs="Times New Roman"/>
          <w:b/>
          <w:bCs/>
          <w:sz w:val="24"/>
          <w:szCs w:val="32"/>
          <w:lang w:val="zh-CN"/>
        </w:rPr>
      </w:pPr>
      <w:bookmarkStart w:id="236" w:name="_Toc19029"/>
      <w:r>
        <w:rPr>
          <w:rFonts w:hint="eastAsia" w:ascii="Times New Roman" w:hAnsi="Times New Roman" w:eastAsia="宋体" w:cs="Times New Roman"/>
          <w:b/>
          <w:bCs/>
          <w:sz w:val="24"/>
          <w:szCs w:val="32"/>
          <w:lang w:val="zh-CN"/>
        </w:rPr>
        <w:t>四、国有资产产权管理机构的职能和任务</w:t>
      </w:r>
      <w:bookmarkEnd w:id="236"/>
    </w:p>
    <w:p w14:paraId="279EF3F9">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在上述国有资产管理系统中，各种机构和组织的主要职能与任务是不同的。</w:t>
      </w:r>
    </w:p>
    <w:p w14:paraId="1A85D79D">
      <w:pPr>
        <w:spacing w:line="300" w:lineRule="auto"/>
        <w:ind w:firstLine="420" w:firstLineChars="200"/>
        <w:rPr>
          <w:rFonts w:ascii="Times New Roman" w:hAnsi="Times New Roman" w:eastAsia="宋体" w:cs="Times New Roman"/>
        </w:rPr>
      </w:pPr>
      <w:r>
        <w:rPr>
          <w:rFonts w:hint="eastAsia" w:ascii="Times New Roman" w:hAnsi="Times New Roman" w:eastAsia="宋体" w:cs="Times New Roman"/>
        </w:rPr>
        <w:t>（一）全国人大在国有资产管理方面的基本职能和任务是：</w:t>
      </w:r>
      <w:r>
        <w:rPr>
          <w:rFonts w:ascii="Times New Roman" w:hAnsi="Times New Roman" w:eastAsia="宋体" w:cs="Times New Roman"/>
        </w:rPr>
        <w:t>1</w:t>
      </w:r>
      <w:r>
        <w:rPr>
          <w:rFonts w:hint="eastAsia" w:ascii="Times New Roman" w:hAnsi="Times New Roman" w:eastAsia="宋体" w:cs="Times New Roman"/>
        </w:rPr>
        <w:t>代表全国人民拥有国家一切资产的最终所有权，制定和颁布有关国有资产管理方面的法律，是国有资产立法管理的主体。</w:t>
      </w:r>
      <w:r>
        <w:rPr>
          <w:rFonts w:ascii="Times New Roman" w:hAnsi="Times New Roman" w:eastAsia="宋体" w:cs="Times New Roman"/>
        </w:rPr>
        <w:t>2.</w:t>
      </w:r>
      <w:r>
        <w:rPr>
          <w:rFonts w:hint="eastAsia" w:ascii="Times New Roman" w:hAnsi="Times New Roman" w:eastAsia="宋体" w:cs="Times New Roman"/>
        </w:rPr>
        <w:t>接受国务院关于国有资产管理状况的定期报告，并进行质询、调查和监督。</w:t>
      </w:r>
    </w:p>
    <w:p w14:paraId="7F30C7A9">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（二）地方人大在国有资产管理方面的基本职能和任务是：接受同级政府关于国有资产管理状况的定期报告，并进行质询、调查和监督。但没有权力进行国有资产的立法活动，除非全国人大特别授权。</w:t>
      </w:r>
    </w:p>
    <w:p w14:paraId="704D3FCE">
      <w:pPr>
        <w:spacing w:line="300" w:lineRule="auto"/>
        <w:ind w:firstLine="420" w:firstLineChars="200"/>
        <w:rPr>
          <w:rFonts w:ascii="Times New Roman" w:hAnsi="Times New Roman" w:eastAsia="宋体" w:cs="Times New Roman"/>
        </w:rPr>
      </w:pPr>
      <w:r>
        <w:rPr>
          <w:rFonts w:hint="eastAsia" w:ascii="Times New Roman" w:hAnsi="Times New Roman" w:eastAsia="宋体" w:cs="Times New Roman"/>
        </w:rPr>
        <w:t>（三）国务院设置的国有资产管理部属于全国性专司国有资产所有权行政管理的主体，主要行使国家赋予的国有资产所有者的代表权、国有资产监督管理权、国家投资和收益权、国有资产处置权，其管理目标是在有利于国家计划和宏观调控的基础上实现国有资产收益极大化。其具体职能和任务在于：</w:t>
      </w:r>
      <w:r>
        <w:rPr>
          <w:rFonts w:ascii="Times New Roman" w:hAnsi="Times New Roman" w:eastAsia="宋体" w:cs="Times New Roman"/>
        </w:rPr>
        <w:t>1.</w:t>
      </w:r>
      <w:r>
        <w:rPr>
          <w:rFonts w:hint="eastAsia" w:ascii="Times New Roman" w:hAnsi="Times New Roman" w:eastAsia="宋体" w:cs="Times New Roman"/>
        </w:rPr>
        <w:t>贯彻国家有关国有资产管理的法规和政策，代表国家拟定、组织实施并监督执行具体的国有资产管理条例、方针和政策。</w:t>
      </w:r>
      <w:r>
        <w:rPr>
          <w:rFonts w:ascii="Times New Roman" w:hAnsi="Times New Roman" w:eastAsia="宋体" w:cs="Times New Roman"/>
        </w:rPr>
        <w:t>2.</w:t>
      </w:r>
      <w:r>
        <w:rPr>
          <w:rFonts w:hint="eastAsia" w:ascii="Times New Roman" w:hAnsi="Times New Roman" w:eastAsia="宋体" w:cs="Times New Roman"/>
        </w:rPr>
        <w:t>组织对全国管辖的国有资产现状和变动情况的调查、登记、统计和评估工作（含在中国境外的国有资产）。</w:t>
      </w:r>
      <w:r>
        <w:rPr>
          <w:rFonts w:ascii="Times New Roman" w:hAnsi="Times New Roman" w:eastAsia="宋体" w:cs="Times New Roman"/>
        </w:rPr>
        <w:t>3.</w:t>
      </w:r>
      <w:r>
        <w:rPr>
          <w:rFonts w:hint="eastAsia" w:ascii="Times New Roman" w:hAnsi="Times New Roman" w:eastAsia="宋体" w:cs="Times New Roman"/>
        </w:rPr>
        <w:t>对直属各类国有资产经营公司和企业集团等中介经济组织实施管理和监督，其中包括经营方式管理（含持股、发包、租赁经营等）、人事管理（如选派董事、监事会主席和财务总监，审批董事会）、投资管理、产权转让管理、收益管理、财务监督、审计监督等。在投资管理和产权转让管理这一难题方面，可规定在一定的金额范围内分别推行简单备案、重报备案和严格审批三种管理方式，其中，“重报备案”是指金额在第一种和第三种之间，政府国有资产管理部门认为原报的投资或转让项目不妥当，要求公司董事会重新研究再上报备案的管理方式。</w:t>
      </w:r>
      <w:r>
        <w:rPr>
          <w:rFonts w:ascii="Times New Roman" w:hAnsi="Times New Roman" w:eastAsia="宋体" w:cs="Times New Roman"/>
        </w:rPr>
        <w:t>4.</w:t>
      </w:r>
      <w:r>
        <w:rPr>
          <w:rFonts w:hint="eastAsia" w:ascii="Times New Roman" w:hAnsi="Times New Roman" w:eastAsia="宋体" w:cs="Times New Roman"/>
        </w:rPr>
        <w:t>对行政事业部门的国有资产（含经营性和非经营性）进行直接委托责任制管理（如教育部门国有资产可委托中央和地方的教育主管机构进行管理）。</w:t>
      </w:r>
      <w:r>
        <w:rPr>
          <w:rFonts w:ascii="Times New Roman" w:hAnsi="Times New Roman" w:eastAsia="宋体" w:cs="Times New Roman"/>
        </w:rPr>
        <w:t>5.</w:t>
      </w:r>
      <w:r>
        <w:rPr>
          <w:rFonts w:hint="eastAsia" w:ascii="Times New Roman" w:hAnsi="Times New Roman" w:eastAsia="宋体" w:cs="Times New Roman"/>
        </w:rPr>
        <w:t>对某些特殊经济部门的国有资产进行直接委托经营责任制管理（如邮电部门的国有资产可委托中央和地方的邮电主管机构进行管理）。</w:t>
      </w:r>
      <w:r>
        <w:rPr>
          <w:rFonts w:ascii="Times New Roman" w:hAnsi="Times New Roman" w:eastAsia="宋体" w:cs="Times New Roman"/>
        </w:rPr>
        <w:t>6.</w:t>
      </w:r>
      <w:r>
        <w:rPr>
          <w:rFonts w:hint="eastAsia" w:ascii="Times New Roman" w:hAnsi="Times New Roman" w:eastAsia="宋体" w:cs="Times New Roman"/>
        </w:rPr>
        <w:t>协调国有资产管理系统内部以及与其他管理系统的各种关系。</w:t>
      </w:r>
    </w:p>
    <w:p w14:paraId="59707E91">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四）其他地方政府国有资产管理局，除了在管理范围和管理权限上与中央国有资产管理部有所区别之外，其管理的主要职能和任务大致相同。不过，要注意处理好国有资产所有权行政管理工作中中央与地方之间的相互关系，坚持国家统一所有，各级国有资产管理机构分别监管的原则；坚持投资、管理与收益相结合的原则，即贯彻谁投资，谁管理，谁收益的原则；坚持全国统一计划与发挥地方优势相结合的原则。</w:t>
      </w:r>
    </w:p>
    <w:p w14:paraId="4B5EE707">
      <w:pPr>
        <w:spacing w:line="300" w:lineRule="auto"/>
        <w:ind w:firstLine="420" w:firstLineChars="200"/>
        <w:rPr>
          <w:rFonts w:ascii="Times New Roman" w:hAnsi="Times New Roman" w:eastAsia="宋体" w:cs="Times New Roman"/>
        </w:rPr>
      </w:pPr>
      <w:r>
        <w:rPr>
          <w:rFonts w:hint="eastAsia" w:ascii="Times New Roman" w:hAnsi="Times New Roman" w:eastAsia="宋体" w:cs="Times New Roman"/>
        </w:rPr>
        <w:t>（五）国有资产中介经营机构是指那些在国有资产管理部门管理之下，联结国有资产管理部门与企业之间的关系，并从事国有资产经营管理的法人经济实体。它与企业是投资者与经营者的关系。作为国有资产经营性的管理主体，它对国有资产进行所有权或产权的商务处理，即对国有资产进行直接的经营管理，以实现国有资产的保值和不断增值。其基本职能和任务在于：</w:t>
      </w:r>
      <w:r>
        <w:rPr>
          <w:rFonts w:ascii="Times New Roman" w:hAnsi="Times New Roman" w:eastAsia="宋体" w:cs="Times New Roman"/>
        </w:rPr>
        <w:t>1.</w:t>
      </w:r>
      <w:r>
        <w:rPr>
          <w:rFonts w:hint="eastAsia" w:ascii="Times New Roman" w:hAnsi="Times New Roman" w:eastAsia="宋体" w:cs="Times New Roman"/>
        </w:rPr>
        <w:t>直接经营国家的投资，包括新建国有企业的投资，改造和扩建现存国有企业的投资，承租、兼并其他企业的资产，购置股份公司的股票，即以投资者的身份从事各项投资业务，但不从事具体的生产经营活动。</w:t>
      </w:r>
      <w:r>
        <w:rPr>
          <w:rFonts w:ascii="Times New Roman" w:hAnsi="Times New Roman" w:eastAsia="宋体" w:cs="Times New Roman"/>
        </w:rPr>
        <w:t>2.</w:t>
      </w:r>
      <w:r>
        <w:rPr>
          <w:rFonts w:hint="eastAsia" w:ascii="Times New Roman" w:hAnsi="Times New Roman" w:eastAsia="宋体" w:cs="Times New Roman"/>
        </w:rPr>
        <w:t>对各类国有资产（国有企业）实行多方式的经营管理，如全权委托式资产承包经营管理、股份经营管理、租赁经营管理等。</w:t>
      </w:r>
      <w:r>
        <w:rPr>
          <w:rFonts w:ascii="Times New Roman" w:hAnsi="Times New Roman" w:eastAsia="宋体" w:cs="Times New Roman"/>
        </w:rPr>
        <w:t>3.</w:t>
      </w:r>
      <w:r>
        <w:rPr>
          <w:rFonts w:hint="eastAsia" w:ascii="Times New Roman" w:hAnsi="Times New Roman" w:eastAsia="宋体" w:cs="Times New Roman"/>
        </w:rPr>
        <w:t>努力实现国有资产的增值和资金利润率的提高，及时向国家依法纳税，按规定向国有资产管理部门承担还本付息和资金付费等项义务。</w:t>
      </w:r>
      <w:r>
        <w:rPr>
          <w:rFonts w:ascii="Times New Roman" w:hAnsi="Times New Roman" w:eastAsia="宋体" w:cs="Times New Roman"/>
        </w:rPr>
        <w:t>4.</w:t>
      </w:r>
      <w:r>
        <w:rPr>
          <w:rFonts w:hint="eastAsia" w:ascii="Times New Roman" w:hAnsi="Times New Roman" w:eastAsia="宋体" w:cs="Times New Roman"/>
        </w:rPr>
        <w:t>对所属国有资产（国有企业）拥有产权处置权，包括产权核销和产权转移两个方面，进行国有资产的合理配置和调整，负责所属国有资产的评估。</w:t>
      </w:r>
      <w:r>
        <w:rPr>
          <w:rFonts w:ascii="Times New Roman" w:hAnsi="Times New Roman" w:eastAsia="宋体" w:cs="Times New Roman"/>
        </w:rPr>
        <w:t>5.</w:t>
      </w:r>
      <w:r>
        <w:rPr>
          <w:rFonts w:hint="eastAsia" w:ascii="Times New Roman" w:hAnsi="Times New Roman" w:eastAsia="宋体" w:cs="Times New Roman"/>
        </w:rPr>
        <w:t>决定所属企业税后的分配比例，即企业的积累基金、福利基金和奖励基金按何种原则和比例提取；决定用于扩大再生产的基金由企业自行使用与上交集中使用的比例和状况。</w:t>
      </w:r>
      <w:r>
        <w:rPr>
          <w:rFonts w:ascii="Times New Roman" w:hAnsi="Times New Roman" w:eastAsia="宋体" w:cs="Times New Roman"/>
        </w:rPr>
        <w:t>6.</w:t>
      </w:r>
      <w:r>
        <w:rPr>
          <w:rFonts w:hint="eastAsia" w:ascii="Times New Roman" w:hAnsi="Times New Roman" w:eastAsia="宋体" w:cs="Times New Roman"/>
        </w:rPr>
        <w:t>负责为所属企业招聘法人代表和主要领导人，并定期进行考核和奖惩。</w:t>
      </w:r>
    </w:p>
    <w:p w14:paraId="5CB460C9">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各类国有资产中介经营机构的特殊性，决定了在实行上述职能和任务时有一定的差异，但它们客观上除包括一般企业的商品经营职能之外，一般还具有程度不一的纵向刚性协调职能和中介复合协调职能。前者是指中介组织对其所辖的占用国有资产的各类企业，具体通过有弹性的计划、组织、激励等管理手段，来协调其生产经营大政方针和相互关系的职能。这种协调因中介组织的产权关系和地位而具有一定的权威性和强制性。后者是指中介组织在国家和直接生产经营企业之间所作的协调活动的总称。具体包括政府方针和政策的合理贯彻及其结果的检查和报告，企业生产经营情况的汇总上报以及有关政策建议的反映和处理等等。上述两种协调职能的发挥，均以尊重基层企业的法人财产权为前提。</w:t>
      </w:r>
    </w:p>
    <w:p w14:paraId="14FBED79">
      <w:pPr>
        <w:spacing w:line="300" w:lineRule="auto"/>
        <w:ind w:firstLine="420" w:firstLineChars="200"/>
        <w:rPr>
          <w:rFonts w:ascii="Times New Roman" w:hAnsi="Times New Roman" w:eastAsia="宋体" w:cs="Times New Roman"/>
        </w:rPr>
      </w:pPr>
      <w:r>
        <w:rPr>
          <w:rFonts w:hint="eastAsia" w:ascii="Times New Roman" w:hAnsi="Times New Roman" w:eastAsia="宋体" w:cs="Times New Roman"/>
        </w:rPr>
        <w:t>此外，倘若不是从国有资产管理机构，而是从国有资产的整个管理系统来看，还必须指出如下相关问题：经营使用国有资产的企业单位，既是整个国有资产管理系统中被管理的对象，要对国有资产经营管理组织负责，又是一个独立的经营主体，在企业法人财产权范围内自主经营、自负盈亏。其基本职能和任务在于，以法人地位独立自主地开展国有资产经营管理组织授权的一切生产经营活动，以实现长期利润和资产收益的极大化。</w:t>
      </w:r>
    </w:p>
    <w:p w14:paraId="245D8C70">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具体说来，除了特殊情况外，各层次国有资产管理机构和国有企业，都不再承担应由政府另外一个经济调控系统来负责的宏观调控任务，政府的社会经济发展目标主要通过面对一切所有制企业的经济政策和经济手段来实现。如控制社会的失业率、通胀率、通缩率、增长率，以及税收、出口、女干部比例、社会劳动和保障等方面。如果在特殊情况下一定要国有经济部门承担非赢利性的任务，其盈亏计算、比较和考核必须另当别论。在这方面，政府要采取与非公有制经济一视同仁的政策，国有企业才能真正成为市场的竞争主体，实现高效率。这是中外有争议，但必须尽快解决的一个理论和政策难题。而用行政“一刀切”政策，不让国有经济在所谓竞争性领域发展，是有违社会主义市场经济大方向和原则的，是国有经济改革无前途的“悲观论”的表现。</w:t>
      </w:r>
    </w:p>
    <w:p w14:paraId="7935758C">
      <w:pPr>
        <w:widowControl/>
        <w:spacing w:before="180" w:beforeLines="50" w:after="180" w:afterLines="50" w:line="300" w:lineRule="auto"/>
        <w:ind w:firstLine="480" w:firstLineChars="200"/>
        <w:jc w:val="center"/>
        <w:rPr>
          <w:rFonts w:ascii="Times New Roman" w:hAnsi="Times New Roman" w:eastAsia="宋体" w:cs="Times New Roman"/>
          <w:b/>
          <w:bCs/>
          <w:sz w:val="24"/>
          <w:szCs w:val="32"/>
          <w:lang w:val="zh-CN"/>
        </w:rPr>
      </w:pPr>
      <w:bookmarkStart w:id="237" w:name="_Toc20881"/>
      <w:r>
        <w:rPr>
          <w:rFonts w:hint="eastAsia" w:ascii="Times New Roman" w:hAnsi="Times New Roman" w:eastAsia="宋体" w:cs="Times New Roman"/>
          <w:b/>
          <w:bCs/>
          <w:sz w:val="24"/>
          <w:szCs w:val="32"/>
          <w:lang w:val="zh-CN"/>
        </w:rPr>
        <w:t>五、国有资产产权管理部门与政府其他经济管理部门的关系</w:t>
      </w:r>
      <w:bookmarkEnd w:id="237"/>
    </w:p>
    <w:p w14:paraId="73391B9C">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政府具有一般社会经济行政管理职能与国有资产所有者管理职能，这双重职能的合理实现，应体现在“一府两系、三层分立、分类管理、全面协调”的体制和模式之中。一个政府（从中央政府，省、自治区和直辖市政府，到市和县政府）均有两个系统：一是国有资产管理系统，主要与所有权相联系；二是社会经济调控系统，主要与行政权相联系。二者构成广义的国家宏观经济管理和调控系统。国有资产管理部门主要应同下列部门搞好分类管理和全面协调的关系。</w:t>
      </w:r>
    </w:p>
    <w:p w14:paraId="509152F4">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（一）与财政部门的关系。通过建立复式预算，把生产建设预算与国家日常经费开支（非生产建设性支出）分开，分别由国有资产管理部门和财政部门充当执行主体。</w:t>
      </w:r>
    </w:p>
    <w:p w14:paraId="639925E3">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（二）与税务部门的关系。推行“利税分流”，税务部门凭借行政权向经营国有资产的经济组织征税，国有资产管理部门凭借资产所有权对经营国有资产的经济组织实行税后利润管理。</w:t>
      </w:r>
    </w:p>
    <w:p w14:paraId="51EE3C27">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三）与计划部门的关系。国有资产的投资主体和最终决策主体应是国有资产管理系统中的各类经济组织，计划部门负责所辖地区的投资计划的综合规划，并对关系到国计民生的较大投资项目实行参与管理或协商管理。</w:t>
      </w:r>
    </w:p>
    <w:p w14:paraId="121AF6AC">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（四）与银行部门的关系。银行系统依据国家投资规划、产业政策和效益原则，自主地作出投资贷款决策，与国有资产投资主体保持独立自主和互惠互利的关系。</w:t>
      </w:r>
    </w:p>
    <w:p w14:paraId="25EE584B">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五）与特殊产业部门的关系。对于具有自然垄断技术经济特征的行业或特殊行业的国有企业，如铁路、航空、邮电、电力、烟草、银行和军工等，国有资产管理部门通过授权方式，将资产所有者大部分行政管理职能直接委托给相应的政府主管部门行使，并明确责任，加强监督管理。这些部门的行政权、行业管理职能与所有者管理是基本合一的。</w:t>
      </w:r>
    </w:p>
    <w:p w14:paraId="194E46D6">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六）与其他政府经济管理部门的关系。经贸、内贸、外贸、劳动、经委、统计、审计、监察、司法、工商行政等政府部门，是从不同的侧面对包括国有资产经营在内的全社会经济活动进行行政管理和政策协调，但无权直接干涉和指挥国有企业。国有资产管理部门应与这些机构保持全面协作的关系，并取得它们的支持。</w:t>
      </w:r>
    </w:p>
    <w:p w14:paraId="3856E376">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七）与现存某些行业竞争性较强的政府经济管理部门的关系。这些部门在逐步适应市场经济和精减政府机构过程中要向单纯行业管理转型，甚至变为行业协会组织。在这之前，国有资产管理部门要采取过渡措施，并积极促进这类经济主管专业部门的职能转换。</w:t>
      </w:r>
    </w:p>
    <w:p w14:paraId="6D3E82C0">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综上所述，这样的改革思路具有以下优点：</w:t>
      </w:r>
    </w:p>
    <w:p w14:paraId="5C0C8C6C">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第一，体现了市场经济基本规则与国有资产有序管理相结合的精神；</w:t>
      </w:r>
    </w:p>
    <w:p w14:paraId="5621FA8E">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第二，体现了“政法分开”（行政管理与立法管理分开）的精神；</w:t>
      </w:r>
    </w:p>
    <w:p w14:paraId="1BA9C886">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第三，体现了“政资分开”（行政管理与资产管理分开）的精神；</w:t>
      </w:r>
    </w:p>
    <w:p w14:paraId="1A412C1B">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第四，体现了“一府两系”（宏观调控与资产管理分开）的精神；</w:t>
      </w:r>
    </w:p>
    <w:p w14:paraId="39204AFC">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第五，体现了所有权管理与行业管理分开的精神；</w:t>
      </w:r>
    </w:p>
    <w:p w14:paraId="3EF8115D">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第六，体现了产权经营管理多层次和多类别的精神；</w:t>
      </w:r>
    </w:p>
    <w:p w14:paraId="63CDA8F6">
      <w:pPr>
        <w:widowControl/>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第七，体现了精减政府机构和人员的精神。</w:t>
      </w:r>
    </w:p>
    <w:p w14:paraId="43A8BF58">
      <w:pPr>
        <w:widowControl/>
        <w:spacing w:line="300" w:lineRule="auto"/>
        <w:ind w:firstLine="420" w:firstLineChars="200"/>
        <w:rPr>
          <w:rFonts w:ascii="宋体" w:hAnsi="宋体" w:eastAsia="宋体" w:cs="Times New Roman"/>
          <w:szCs w:val="21"/>
        </w:rPr>
      </w:pPr>
    </w:p>
    <w:p w14:paraId="4B79F40A">
      <w:pPr>
        <w:widowControl/>
        <w:spacing w:line="276" w:lineRule="auto"/>
        <w:ind w:firstLine="420" w:firstLineChars="200"/>
        <w:rPr>
          <w:rFonts w:ascii="宋体" w:hAnsi="宋体" w:eastAsia="宋体" w:cs="Times New Roman"/>
          <w:b/>
          <w:szCs w:val="21"/>
        </w:rPr>
      </w:pPr>
      <w:r>
        <w:rPr>
          <w:rFonts w:hint="eastAsia" w:ascii="宋体" w:hAnsi="宋体" w:eastAsia="宋体" w:cs="Times New Roman"/>
          <w:b/>
          <w:szCs w:val="21"/>
        </w:rPr>
        <w:t>参考文献</w:t>
      </w:r>
    </w:p>
    <w:p w14:paraId="20DB2091">
      <w:pPr>
        <w:widowControl/>
        <w:snapToGrid w:val="0"/>
        <w:spacing w:line="276" w:lineRule="auto"/>
        <w:ind w:firstLine="360" w:firstLineChars="200"/>
        <w:rPr>
          <w:rFonts w:ascii="宋体" w:hAnsi="宋体" w:eastAsia="宋体" w:cs="Times New Roman"/>
          <w:sz w:val="18"/>
          <w:szCs w:val="18"/>
        </w:rPr>
      </w:pPr>
      <w:r>
        <w:rPr>
          <w:rFonts w:hint="eastAsia" w:ascii="宋体" w:hAnsi="宋体" w:eastAsia="宋体" w:cs="Times New Roman"/>
          <w:sz w:val="18"/>
          <w:szCs w:val="18"/>
        </w:rPr>
        <w:t>1.程恩富主编，中国海派经济论坛，上海财经大学出版社，1998、2001。</w:t>
      </w:r>
    </w:p>
    <w:p w14:paraId="37E94628">
      <w:pPr>
        <w:widowControl/>
        <w:snapToGrid w:val="0"/>
        <w:spacing w:line="276" w:lineRule="auto"/>
        <w:ind w:firstLine="360" w:firstLineChars="200"/>
        <w:rPr>
          <w:rFonts w:ascii="宋体" w:hAnsi="宋体" w:eastAsia="宋体" w:cs="Times New Roman"/>
          <w:sz w:val="18"/>
          <w:szCs w:val="18"/>
        </w:rPr>
      </w:pPr>
      <w:r>
        <w:rPr>
          <w:rFonts w:hint="eastAsia" w:ascii="宋体" w:hAnsi="宋体" w:eastAsia="宋体" w:cs="Times New Roman"/>
          <w:sz w:val="18"/>
          <w:szCs w:val="18"/>
        </w:rPr>
        <w:t>2.程恩富、顾海良主编，海派经济学（季刊），上海财经大学出版社，2003。</w:t>
      </w:r>
    </w:p>
    <w:p w14:paraId="58DAD3BA">
      <w:pPr>
        <w:widowControl/>
        <w:snapToGrid w:val="0"/>
        <w:spacing w:line="276" w:lineRule="auto"/>
        <w:ind w:firstLine="360" w:firstLineChars="200"/>
        <w:rPr>
          <w:rFonts w:ascii="宋体" w:hAnsi="宋体" w:eastAsia="宋体" w:cs="Times New Roman"/>
          <w:sz w:val="18"/>
          <w:szCs w:val="18"/>
        </w:rPr>
      </w:pPr>
      <w:r>
        <w:rPr>
          <w:rFonts w:hint="eastAsia" w:ascii="宋体" w:hAnsi="宋体" w:eastAsia="宋体" w:cs="Times New Roman"/>
          <w:sz w:val="18"/>
          <w:szCs w:val="18"/>
        </w:rPr>
        <w:t>3.程恩富等，企业学说与企业改革，上海财经大学出版社，2001，</w:t>
      </w:r>
    </w:p>
    <w:p w14:paraId="57040FF6">
      <w:pPr>
        <w:widowControl/>
        <w:snapToGrid w:val="0"/>
        <w:spacing w:line="276" w:lineRule="auto"/>
        <w:ind w:firstLine="360" w:firstLineChars="200"/>
        <w:rPr>
          <w:rFonts w:ascii="宋体" w:hAnsi="宋体" w:eastAsia="宋体" w:cs="Times New Roman"/>
          <w:sz w:val="18"/>
          <w:szCs w:val="18"/>
        </w:rPr>
      </w:pPr>
      <w:r>
        <w:rPr>
          <w:rFonts w:hint="eastAsia" w:ascii="宋体" w:hAnsi="宋体" w:eastAsia="宋体" w:cs="Times New Roman"/>
          <w:sz w:val="18"/>
          <w:szCs w:val="18"/>
        </w:rPr>
        <w:t>4.李炳炎选集，山西经济出版社，1997。</w:t>
      </w:r>
    </w:p>
    <w:p w14:paraId="049735BE">
      <w:pPr>
        <w:widowControl/>
        <w:snapToGrid w:val="0"/>
        <w:spacing w:line="276" w:lineRule="auto"/>
        <w:ind w:firstLine="360" w:firstLineChars="200"/>
        <w:rPr>
          <w:rFonts w:ascii="宋体" w:hAnsi="宋体" w:eastAsia="宋体" w:cs="Times New Roman"/>
          <w:sz w:val="18"/>
          <w:szCs w:val="18"/>
        </w:rPr>
      </w:pPr>
      <w:r>
        <w:rPr>
          <w:rFonts w:hint="eastAsia" w:ascii="宋体" w:hAnsi="宋体" w:eastAsia="宋体" w:cs="Times New Roman"/>
          <w:sz w:val="18"/>
          <w:szCs w:val="18"/>
        </w:rPr>
        <w:t>5.周肇光，市场经济体制比较与对策，安徽大学出版社，2002。</w:t>
      </w:r>
    </w:p>
    <w:p w14:paraId="32A6A487">
      <w:pPr>
        <w:widowControl/>
        <w:snapToGrid w:val="0"/>
        <w:spacing w:line="276" w:lineRule="auto"/>
        <w:ind w:firstLine="360" w:firstLineChars="200"/>
        <w:rPr>
          <w:rFonts w:ascii="宋体" w:hAnsi="宋体" w:eastAsia="宋体" w:cs="Times New Roman"/>
          <w:sz w:val="18"/>
          <w:szCs w:val="18"/>
        </w:rPr>
      </w:pPr>
      <w:r>
        <w:rPr>
          <w:rFonts w:hint="eastAsia" w:ascii="宋体" w:hAnsi="宋体" w:eastAsia="宋体" w:cs="Times New Roman"/>
          <w:sz w:val="18"/>
          <w:szCs w:val="18"/>
        </w:rPr>
        <w:t>6.陈承明主编，中国社会主义经济学概论，华东师大出版社，2002。</w:t>
      </w:r>
    </w:p>
    <w:p w14:paraId="54485BA2">
      <w:pPr>
        <w:widowControl/>
        <w:spacing w:line="300" w:lineRule="auto"/>
        <w:ind w:firstLine="420" w:firstLineChars="200"/>
        <w:rPr>
          <w:rFonts w:ascii="宋体" w:hAnsi="宋体" w:eastAsia="宋体" w:cs="Times New Roman"/>
          <w:szCs w:val="21"/>
        </w:rPr>
      </w:pPr>
    </w:p>
    <w:p w14:paraId="522FBBEE">
      <w:pPr>
        <w:spacing w:line="300" w:lineRule="auto"/>
        <w:ind w:firstLine="420" w:firstLineChars="200"/>
        <w:rPr>
          <w:rFonts w:ascii="Times New Roman" w:hAnsi="Times New Roman" w:eastAsia="宋体" w:cs="Times New Roman"/>
        </w:rPr>
      </w:pPr>
      <w:r>
        <w:rPr>
          <w:rFonts w:hint="eastAsia" w:ascii="Times New Roman" w:hAnsi="Times New Roman" w:eastAsia="宋体" w:cs="Times New Roman"/>
        </w:rPr>
        <w:t>（原载《毛泽东邓小平理论研究》</w:t>
      </w:r>
      <w:r>
        <w:rPr>
          <w:rFonts w:ascii="Times New Roman" w:hAnsi="Times New Roman" w:eastAsia="宋体" w:cs="Times New Roman"/>
        </w:rPr>
        <w:t>2003</w:t>
      </w:r>
      <w:r>
        <w:rPr>
          <w:rFonts w:hint="eastAsia" w:ascii="Times New Roman" w:hAnsi="Times New Roman" w:eastAsia="宋体" w:cs="Times New Roman"/>
        </w:rPr>
        <w:t>年第</w:t>
      </w:r>
      <w:r>
        <w:rPr>
          <w:rFonts w:ascii="Times New Roman" w:hAnsi="Times New Roman" w:eastAsia="宋体" w:cs="Times New Roman"/>
        </w:rPr>
        <w:t>3</w:t>
      </w:r>
      <w:r>
        <w:rPr>
          <w:rFonts w:hint="eastAsia" w:ascii="Times New Roman" w:hAnsi="Times New Roman" w:eastAsia="宋体" w:cs="Times New Roman"/>
        </w:rPr>
        <w:t>期，第二作者为徐惠平）</w:t>
      </w:r>
    </w:p>
    <w:p w14:paraId="09CBF024">
      <w:pPr>
        <w:widowControl/>
        <w:spacing w:line="300" w:lineRule="auto"/>
        <w:ind w:firstLine="420" w:firstLineChars="200"/>
        <w:rPr>
          <w:rFonts w:ascii="宋体" w:hAnsi="宋体" w:eastAsia="宋体" w:cs="Times New Roman"/>
          <w:szCs w:val="21"/>
        </w:rPr>
      </w:pPr>
    </w:p>
    <w:p w14:paraId="2EE7A5AE">
      <w:pPr>
        <w:spacing w:line="300" w:lineRule="auto"/>
        <w:ind w:firstLine="420" w:firstLineChars="200"/>
        <w:rPr>
          <w:rFonts w:ascii="宋体" w:hAnsi="宋体" w:eastAsia="宋体" w:cs="Times New Roman"/>
          <w:szCs w:val="21"/>
        </w:rPr>
      </w:pPr>
      <w:r>
        <w:rPr>
          <w:rFonts w:ascii="宋体" w:hAnsi="宋体" w:eastAsia="宋体" w:cs="Times New Roman"/>
          <w:kern w:val="0"/>
          <w:szCs w:val="21"/>
        </w:rPr>
        <w:br w:type="page"/>
      </w:r>
    </w:p>
    <w:p w14:paraId="4EAA5EB5">
      <w:pPr>
        <w:keepNext/>
        <w:keepLines/>
        <w:spacing w:before="260" w:after="260" w:line="412" w:lineRule="auto"/>
        <w:ind w:firstLine="640" w:firstLineChars="200"/>
        <w:jc w:val="center"/>
        <w:outlineLvl w:val="1"/>
        <w:rPr>
          <w:rFonts w:ascii="黑体" w:hAnsi="黑体" w:eastAsia="黑体" w:cs="Times New Roman"/>
          <w:color w:val="000000"/>
          <w:kern w:val="0"/>
          <w:sz w:val="32"/>
          <w:szCs w:val="32"/>
          <w:lang w:bidi="ar"/>
        </w:rPr>
      </w:pPr>
      <w:bookmarkStart w:id="238" w:name="_Toc110957396"/>
      <w:bookmarkStart w:id="239" w:name="_Toc107836722"/>
      <w:bookmarkStart w:id="240" w:name="_Toc93074542"/>
      <w:bookmarkStart w:id="241" w:name="_Toc13405"/>
      <w:bookmarkStart w:id="242" w:name="_Toc291748957"/>
      <w:bookmarkStart w:id="243" w:name="_Toc1481321924"/>
      <w:r>
        <w:rPr>
          <w:rFonts w:ascii="黑体" w:hAnsi="黑体" w:eastAsia="黑体" w:cs="Times New Roman"/>
          <w:color w:val="000000"/>
          <w:kern w:val="0"/>
          <w:sz w:val="32"/>
          <w:szCs w:val="32"/>
          <w:lang w:bidi="ar"/>
        </w:rPr>
        <w:t>中韩经济增长特征比较分析</w:t>
      </w:r>
      <w:bookmarkEnd w:id="238"/>
      <w:bookmarkEnd w:id="239"/>
      <w:bookmarkEnd w:id="240"/>
      <w:bookmarkEnd w:id="241"/>
      <w:bookmarkEnd w:id="242"/>
      <w:bookmarkEnd w:id="243"/>
    </w:p>
    <w:p w14:paraId="520D5774">
      <w:pPr>
        <w:spacing w:line="300" w:lineRule="auto"/>
        <w:ind w:firstLine="420" w:firstLineChars="200"/>
        <w:rPr>
          <w:rFonts w:ascii="宋体" w:hAnsi="宋体" w:eastAsia="宋体"/>
          <w:szCs w:val="21"/>
        </w:rPr>
      </w:pPr>
      <w:r>
        <w:rPr>
          <w:rFonts w:hint="eastAsia" w:ascii="宋体" w:hAnsi="宋体" w:eastAsia="宋体"/>
          <w:szCs w:val="21"/>
        </w:rPr>
        <w:t>韩国和中国是近邻，有共同的文化价值，在经济方面两国都取得了巨大成功。新中国成立后，我国经济发展迅速，经济规模进一步扩大。中国GDP年均增长速度，改革前的1953年～1978年为6.1%；1979年～1990年高达9%；“八五”时期，更高达12%；2000年，我国国内生产总值达到8.9万亿元，首次突破1万亿美元。按可比价格计算，比1995年增长41%。“九五”期间经济年均增长率达到8.3% ，大大高于3.8%的世界平均经济增长率。根据世界银行提供的相关资料，1999年我国国内生产总值(GDP)居世界第七位，与第六位意大利的差距已大大缩小。按世界银行计算和划分标准，1999年我国人均GNP达到780美元，在世界206个国家和地区中列第140位，从“八五”时期的世界低收入国家进入下中收入国家行列。50年来，中国经济增长速度年均达7.7% ，是同期世界平均水平的两倍。韩国经济自20世纪60年代以来，一步一个台阶，连续三十多年几乎每年都完成了8%以上的高速增长，人均国民收入从1963年的83美元发展到1996年突破1万美元，从一个贫穷落后的农业国，提前“毕业”，并加入了OECD，被称为“第二日本”，亚洲“四小龙”之首，创造了举世瞩目的“汉江奇迹”。但两国经济在取得巨大成绩的同时，由于各种原因，经济也出现了大起大伏的波动。本文对中韩两国1953年后至今的经济发展历程进行比较分析，寻找中韩两国经济增长和波动变化的特点与相似原因。</w:t>
      </w:r>
    </w:p>
    <w:p w14:paraId="371862F2">
      <w:pPr>
        <w:widowControl/>
        <w:spacing w:before="180" w:beforeLines="50" w:after="180" w:afterLines="50" w:line="300" w:lineRule="auto"/>
        <w:ind w:firstLine="480" w:firstLineChars="200"/>
        <w:jc w:val="center"/>
        <w:rPr>
          <w:rFonts w:ascii="Times New Roman" w:hAnsi="Times New Roman" w:eastAsia="宋体" w:cs="Times New Roman"/>
          <w:b/>
          <w:bCs/>
          <w:sz w:val="24"/>
          <w:szCs w:val="32"/>
          <w:lang w:val="zh-CN"/>
        </w:rPr>
      </w:pPr>
      <w:r>
        <w:rPr>
          <w:rFonts w:hint="eastAsia" w:ascii="Times New Roman" w:hAnsi="Times New Roman" w:eastAsia="宋体" w:cs="Times New Roman"/>
          <w:b/>
          <w:bCs/>
          <w:sz w:val="24"/>
          <w:szCs w:val="32"/>
          <w:lang w:val="zh-CN"/>
        </w:rPr>
        <w:t>一、权威政府领导下的经济高速增长</w:t>
      </w:r>
    </w:p>
    <w:p w14:paraId="54BBFEED">
      <w:pPr>
        <w:spacing w:line="300" w:lineRule="auto"/>
        <w:ind w:firstLine="420" w:firstLineChars="200"/>
        <w:rPr>
          <w:rFonts w:ascii="宋体" w:hAnsi="宋体" w:eastAsia="宋体"/>
          <w:szCs w:val="21"/>
        </w:rPr>
      </w:pPr>
      <w:r>
        <w:rPr>
          <w:rFonts w:hint="eastAsia" w:ascii="宋体" w:hAnsi="宋体" w:eastAsia="宋体"/>
          <w:szCs w:val="21"/>
        </w:rPr>
        <w:t>中韩两国都是在理性政府和核心人物领导下取得了高速经济增长。</w:t>
      </w:r>
    </w:p>
    <w:p w14:paraId="222AEF76">
      <w:pPr>
        <w:spacing w:line="300" w:lineRule="auto"/>
        <w:ind w:firstLine="420" w:firstLineChars="200"/>
        <w:rPr>
          <w:rFonts w:ascii="宋体" w:hAnsi="宋体" w:eastAsia="宋体"/>
          <w:szCs w:val="21"/>
        </w:rPr>
      </w:pPr>
      <w:r>
        <w:rPr>
          <w:rFonts w:hint="eastAsia" w:ascii="宋体" w:hAnsi="宋体" w:eastAsia="宋体"/>
          <w:szCs w:val="21"/>
        </w:rPr>
        <w:t>韩国在政府主导下，增长率高，持续时间较长。从韩国1953年至今的经济增长走势来看，可分为3个阶段。第一阶段是1953～1961年，这个时期经济年均增长率只有4% ，经济增长大都在美国援助下取得。第二阶段是1962年～1979年，这个阶段是韩国经济高速增长时期。第三个阶段是1980年～2000年，是经济增长大起大落阶段。韩国经济增长从1962年开始，从总的趋势看，经济的增长率除了第四个五年计划期间之外一直到第七个五年计划都显示出上升趋势。据世界银行的数据来看，从1965年～2000年的35年间，韩国的人均GDP为7%。之所以出现这样的成绩，是政府理性主导的结果。</w:t>
      </w:r>
    </w:p>
    <w:p w14:paraId="5F783DA4">
      <w:pPr>
        <w:spacing w:line="300" w:lineRule="auto"/>
        <w:ind w:firstLine="420" w:firstLineChars="200"/>
        <w:rPr>
          <w:rFonts w:ascii="宋体" w:hAnsi="宋体" w:eastAsia="宋体"/>
          <w:szCs w:val="21"/>
        </w:rPr>
      </w:pPr>
      <w:r>
        <w:rPr>
          <w:rFonts w:hint="eastAsia" w:ascii="宋体" w:hAnsi="宋体" w:eastAsia="宋体"/>
          <w:szCs w:val="21"/>
        </w:rPr>
        <w:t>韩国建国后的10多年间，经济重建不见起色，新政权处于风雨飘摇之中。1961年，朴正熙上台以后，朴正熙领导的权威政府认为西方式民主不适合韩国的“风土”，至少为时尚早，因为对贫困落后的韩国和面临饥饿的韩国人民来说，第一需要不是民主而是生计，在经济贫困基础上的民主政治是不稳定的[1] (P3) 。他提出了“经济发展第一”的方针，对当时国际市场状况的分析，后来进一步提出“出口第一”的方针。韩国政府制定了由政府指导的“不平衡增长战略”，人为地安排经济发展的优先顺序，即“先工业现代化，后农业现代化”、“先轻工业，后重工业”、“先大企业后小企业”的战略，积极扶植大财阀，以便参与国际竞争。韩国政府自20世纪60年代开始，在创办公营企业的同时，大力扶植私人大企业的发展，在信贷、税收等方面给予特惠待遇，20世纪80年代后，政府又通过对证券市场和金融自由化等金融改革，为大企业通过发行商业票据、股票，借进外汇等手段大规模筹资提供了更大的便利，使现代、三星等一批大企业迅速扩张成为国民经济的主体，1996 年前49 家大财团占其国内生产总值的97% ，而其中现代、三星、LG、大宇四大集团就占国内销售总额的1.3% ，出口额的1.2%[2] ，在短期内也迅速扩张成为世界级的大企业，进入世界前500强。我们不能因为金融危机而否定韩国大企业的历史作用，如果没有政府支持的大企业，就没有韩国经济自20世纪60年代以来，一步一个台阶，连续三十多年几乎每年都完成了8%以上的高速增长，也没有人均国民收入从1963年的83美元发展到1996年突破1万美元，从一个贫穷落后的农业国，提前“毕业”，并加入了OECD，被称为“第二日本”，亚洲“四小龙”之首，创造了举世瞩目的“汉江奇迹”，并从农业国转变为工业国的韩国。第三阶段是韩国经济增长不稳定时期。随着产业结构的升级和政府对外开放和资本市场的自由化政策，韩国经济增长进入了增长的高波动时期。</w:t>
      </w:r>
    </w:p>
    <w:p w14:paraId="68D7C825">
      <w:pPr>
        <w:spacing w:line="300" w:lineRule="auto"/>
        <w:ind w:firstLine="420" w:firstLineChars="200"/>
        <w:rPr>
          <w:rFonts w:ascii="宋体" w:hAnsi="宋体" w:eastAsia="宋体"/>
          <w:szCs w:val="21"/>
        </w:rPr>
      </w:pPr>
      <w:r>
        <w:rPr>
          <w:rFonts w:hint="eastAsia" w:ascii="宋体" w:hAnsi="宋体" w:eastAsia="宋体"/>
          <w:szCs w:val="21"/>
        </w:rPr>
        <w:t>中国经济在政府的指导下，经济发生了翻天覆地的变化。新中国的经济增长速度很快。以国内生产总值和国民收入的增长速度为标准，可以将1953年～2000 年的经济增长分为三个阶段:1953年～1956年，1957年～1978年，1979～2000 年。1953年～1956年是完成“一五”计划时期。1956年相对于1949年，国民生产总值增长了130.6%，年均增长率达16.8%；国民收入增长了108.8%，年均增长率达14.2%。可见，1953年～1956年中国经济增长速度是很快的。第二个阶段是1957年～1978年。若以1956年为基期，这22年国民生产总值年均增长6.36%，国民收入年均增长5.3%。与第一阶段相比，国民生产总值增长速度低10.44百分点，国民收入增长速度低8.9个百分点。在新中国经济史上，这22年是增长速度较慢的一个时期。第三个阶段是1978～2000年。这个期间经济快速增长。按可比价格计算，1978年～2000年国内生产总值年均增长10%(按现价计算，国内生产总值由1978年的3588.1亿人民币增加到2000年的1万亿美元)，比1953～1978年平均增长速度6.1%快3.5个百分点，比1957～1978年的6.36%快3.24个百分点。可见，这一时期，中国经济又恢复了高速增长。在此期间，出现了两个高速增长的时期：1982～1988年，年均增长11.4%；1991～2000年，年均增长11.2%。在整个20世纪80年代，发达国家国内生产总值平均增长率为3.1% ，发展中国家只有2.5 %左右。1991～1996年，世界经济年均增长率约2 %，其中发达国家1.8%，发展中国家5.4%。中国是这个时期世界上经济增长最快的国家[3]。</w:t>
      </w:r>
    </w:p>
    <w:p w14:paraId="75EABFB0">
      <w:pPr>
        <w:widowControl/>
        <w:spacing w:before="180" w:beforeLines="50" w:after="180" w:afterLines="50" w:line="300" w:lineRule="auto"/>
        <w:ind w:firstLine="480" w:firstLineChars="200"/>
        <w:jc w:val="center"/>
        <w:rPr>
          <w:rFonts w:ascii="Times New Roman" w:hAnsi="Times New Roman" w:eastAsia="宋体" w:cs="Times New Roman"/>
          <w:b/>
          <w:bCs/>
          <w:sz w:val="24"/>
          <w:szCs w:val="32"/>
          <w:lang w:val="zh-CN"/>
        </w:rPr>
      </w:pPr>
      <w:r>
        <w:rPr>
          <w:rFonts w:hint="eastAsia" w:ascii="Times New Roman" w:hAnsi="Times New Roman" w:eastAsia="宋体" w:cs="Times New Roman"/>
          <w:b/>
          <w:bCs/>
          <w:sz w:val="24"/>
          <w:szCs w:val="32"/>
          <w:lang w:val="zh-CN"/>
        </w:rPr>
        <w:t>二、两国经济在增长中都实现了工业化</w:t>
      </w:r>
    </w:p>
    <w:p w14:paraId="14D6FCA1">
      <w:pPr>
        <w:spacing w:line="300" w:lineRule="auto"/>
        <w:ind w:firstLine="420" w:firstLineChars="200"/>
        <w:rPr>
          <w:rFonts w:ascii="宋体" w:hAnsi="宋体" w:eastAsia="宋体"/>
          <w:szCs w:val="21"/>
        </w:rPr>
      </w:pPr>
      <w:r>
        <w:rPr>
          <w:rFonts w:hint="eastAsia" w:ascii="宋体" w:hAnsi="宋体" w:eastAsia="宋体"/>
          <w:szCs w:val="21"/>
        </w:rPr>
        <w:t>一般在发展中国家推行工业化有两种战略：一种是优先发展重工业战略，即以重金属、化学和资本品等工业为核心进行工业化。重工业是资本密集型的，因此优先发展重工业对资本积累有很高的要求。解决资本缺口一般有两种方法：一是抑制即期消费，加强储蓄和积累；二是通过计划经济的高度集权体制把有限的资本优先用于发展重工业。另一种是先发展轻工业，然后再逐渐建立后向联系的重金属、化学和资本品等重工业。由于以消费品为主的轻工业可以通过进口零件装配，所需设备也可以依靠进口，因此，可以不必同时建立部门齐全的重工业，待轻工业的发展积累了较多资本后再发展重工业。</w:t>
      </w:r>
    </w:p>
    <w:p w14:paraId="4BAB0CBA">
      <w:pPr>
        <w:spacing w:line="300" w:lineRule="auto"/>
        <w:ind w:firstLine="420" w:firstLineChars="200"/>
        <w:rPr>
          <w:rFonts w:ascii="宋体" w:hAnsi="宋体" w:eastAsia="宋体"/>
          <w:szCs w:val="21"/>
        </w:rPr>
      </w:pPr>
      <w:r>
        <w:rPr>
          <w:rFonts w:hint="eastAsia" w:ascii="宋体" w:hAnsi="宋体" w:eastAsia="宋体"/>
          <w:szCs w:val="21"/>
        </w:rPr>
        <w:t>中国工业化实现战略属于前一种情况，即1978年以前以重化工业为主、改革开放后形成轻工业与重化工业并重发展为主的产业政策。</w:t>
      </w:r>
    </w:p>
    <w:p w14:paraId="6869DA1D">
      <w:pPr>
        <w:spacing w:line="300" w:lineRule="auto"/>
        <w:ind w:firstLine="420" w:firstLineChars="200"/>
        <w:rPr>
          <w:rFonts w:ascii="宋体" w:hAnsi="宋体" w:eastAsia="宋体"/>
          <w:szCs w:val="21"/>
        </w:rPr>
      </w:pPr>
      <w:r>
        <w:rPr>
          <w:rFonts w:hint="eastAsia" w:ascii="宋体" w:hAnsi="宋体" w:eastAsia="宋体"/>
          <w:szCs w:val="21"/>
        </w:rPr>
        <w:t>新中国建立之初处于“冷战”时期，由于当时以美国为首的西方国家在政治和军事上与中国高度对立和封锁，1950年即操纵联合国对中国实行经济“禁运”政策，1952年又在“巴黎统筹委员会”中设立对华审查委员会，实施对中国技术出口的严格限制。20世纪60年代初期，由于与前苏联意识形态分歧的公开化，与前苏联和东欧的经济技术交往也中断了。在这种形势下，中国要发展，必须走工业化道路，走工业化道路又必须采取优先发展重化工业。而重化工业又是资本型的，中国投资资金大量短缺，为了筹集重化工业发展所需的巨额资本，在没有外援的条件下，以工农业产品价格之间存在的“剪刀差”的形式来积累发展重化工业的资金。到1971年，工业总产值在社会总产值中的比例已经达到了57.44% ，其净产值在国民收入中的比重达到了42.90% ，超过了农业的比重。由于工业化是在城乡隔离的环境中进行的，占人口主要部分的农村人口基本上排除在工业化过程之外，城乡二元经济结构没有多大改变，而且，重工业是资本密集型产业，其吸纳劳动力有限，同量的投资吸纳劳动力仅是轻工业的1.2。所以，尽管前30年我国工业产值获得了较快增长，工业产值超过了农业产值，但工业劳动力增长缓慢，造成大量的潜在失业和大批劳动力滞留在农业领域，工业化不仅不能吸纳农村剩余劳动力，反而有城市知青需到农村从事农业生产。至1978年仍然有80%的劳动力从事农业生产[4]。这个阶段中国工业化主要表现为规模和数量的扩大。</w:t>
      </w:r>
    </w:p>
    <w:p w14:paraId="76BE3388">
      <w:pPr>
        <w:spacing w:line="300" w:lineRule="auto"/>
        <w:ind w:firstLine="420" w:firstLineChars="200"/>
        <w:rPr>
          <w:rFonts w:ascii="宋体" w:hAnsi="宋体" w:eastAsia="宋体"/>
          <w:szCs w:val="21"/>
        </w:rPr>
      </w:pPr>
      <w:r>
        <w:rPr>
          <w:rFonts w:hint="eastAsia" w:ascii="宋体" w:hAnsi="宋体" w:eastAsia="宋体"/>
          <w:szCs w:val="21"/>
        </w:rPr>
        <w:t>1978 年以后，伴随经济总量的快速增长，政府产业结构经历了两次大的调整。一次发生在1989～1991年，短短三年时间的治理整顿是针对经济过热所进行的被动调整；另一次始于“九五”初期的1996年，这次调整是经济出现“软着陆”后所采取的主动调整。经过四个五年计划的实施，第一产业比重始终呈下降的趋势。中间两个五年下降幅度较大，由“六五”时期的31.4%下降到“七五”时期的26.2% ，再下降到“八五”时期的21% ，几乎每年下降1个百分点。“九五”时期下降幅度略有缓和，五年下降2.1个百分点，2000年第一产业增加值占GDP比重为15.9%；第二产业比重总体上呈上升趋势。除“七五”时期略有下降外，“八五”和“九五”都是上升的趋势。第二产业比重已由“六五”时期的44.2%上升为2000年的50.9%，第三产业比重先升后降。前三个五年计划时期，第三产业比重都是上升的趋势，由“六五”的24.4%上升为“七五”的30.6%，“八五”时期继续上升为32.2%，“九五”时期则下降为32%。</w:t>
      </w:r>
    </w:p>
    <w:p w14:paraId="4E0D0544">
      <w:pPr>
        <w:spacing w:line="300" w:lineRule="auto"/>
        <w:ind w:firstLine="420" w:firstLineChars="200"/>
        <w:rPr>
          <w:rFonts w:ascii="宋体" w:hAnsi="宋体" w:eastAsia="宋体"/>
          <w:szCs w:val="21"/>
        </w:rPr>
      </w:pPr>
      <w:r>
        <w:rPr>
          <w:rFonts w:hint="eastAsia" w:ascii="宋体" w:hAnsi="宋体" w:eastAsia="宋体"/>
          <w:szCs w:val="21"/>
        </w:rPr>
        <w:t>“九五”前三年，受1992年以来国民经济高速增长势头的影响，中国纺织、家电、化工等轻工业仍保持较快的发展，这期间轻工业在工业增加值中的比重呈上升趋势，由1995年的42.2%上升为1998年的44.8%。而自1998年起，针对亚洲金融危机、多数传统工业行业生产能力过剩和国内需求明显不足的困境，国家开始实施积极的财政政策，增加基础设施建设投资，大力调整工业行业结构，特别是对传统的纺织、钢铁、石油、建材等行业进行了较大幅度的压缩、调整、改造。受此影响，“九五”后两年我国重工业在工业增加值中的比重开始上升，由1998年的55.2 %上升为2000年的59.9%。到2000年，工业生产呈现快速增长，全年全部工业增加值39570亿元，比1999年增长9.9%。全年轻工业增加值9506亿元，增长9.5%；重工业增加值14179亿元，增长13%。产销衔接状况继续改善，全年规模以上工业企业产品销售率97.71% ，比上年提高0.46个百分点。</w:t>
      </w:r>
    </w:p>
    <w:p w14:paraId="23BEF228">
      <w:pPr>
        <w:ind w:firstLine="360" w:firstLineChars="200"/>
        <w:jc w:val="center"/>
        <w:rPr>
          <w:rFonts w:ascii="宋体" w:hAnsi="宋体" w:eastAsia="宋体"/>
          <w:b/>
          <w:bCs/>
          <w:sz w:val="18"/>
          <w:szCs w:val="18"/>
        </w:rPr>
      </w:pPr>
      <w:r>
        <w:rPr>
          <w:rFonts w:hint="eastAsia" w:ascii="宋体" w:hAnsi="宋体" w:eastAsia="宋体"/>
          <w:b/>
          <w:bCs/>
          <w:sz w:val="18"/>
          <w:szCs w:val="18"/>
        </w:rPr>
        <w:t>表1 2000年中国、韩国三次产业增加值占GDP比重(%)</w:t>
      </w:r>
    </w:p>
    <w:tbl>
      <w:tblPr>
        <w:tblStyle w:val="17"/>
        <w:tblW w:w="0" w:type="auto"/>
        <w:tblInd w:w="828" w:type="dxa"/>
        <w:tblBorders>
          <w:top w:val="single" w:color="auto" w:sz="12" w:space="0"/>
          <w:left w:val="none" w:color="auto" w:sz="0" w:space="0"/>
          <w:bottom w:val="single" w:color="auto" w:sz="12" w:space="0"/>
          <w:right w:val="none" w:color="auto" w:sz="0" w:space="0"/>
          <w:insideH w:val="single" w:color="auto" w:sz="12" w:space="0"/>
          <w:insideV w:val="single" w:color="auto" w:sz="12" w:space="0"/>
        </w:tblBorders>
        <w:tblLayout w:type="fixed"/>
        <w:tblCellMar>
          <w:top w:w="0" w:type="dxa"/>
          <w:left w:w="108" w:type="dxa"/>
          <w:bottom w:w="0" w:type="dxa"/>
          <w:right w:w="108" w:type="dxa"/>
        </w:tblCellMar>
      </w:tblPr>
      <w:tblGrid>
        <w:gridCol w:w="1620"/>
        <w:gridCol w:w="1620"/>
        <w:gridCol w:w="1620"/>
        <w:gridCol w:w="1620"/>
      </w:tblGrid>
      <w:tr w14:paraId="2698BFFE">
        <w:tc>
          <w:tcPr>
            <w:tcW w:w="1620" w:type="dxa"/>
            <w:tcBorders>
              <w:top w:val="single" w:color="auto" w:sz="12" w:space="0"/>
              <w:left w:val="nil"/>
              <w:bottom w:val="single" w:color="auto" w:sz="12" w:space="0"/>
              <w:right w:val="single" w:color="auto" w:sz="12" w:space="0"/>
            </w:tcBorders>
            <w:vAlign w:val="center"/>
          </w:tcPr>
          <w:p w14:paraId="1D3CB9B1">
            <w:pPr>
              <w:ind w:firstLine="360" w:firstLineChars="200"/>
              <w:jc w:val="center"/>
              <w:rPr>
                <w:rFonts w:ascii="宋体" w:hAnsi="宋体" w:eastAsia="宋体"/>
                <w:sz w:val="18"/>
                <w:szCs w:val="18"/>
              </w:rPr>
            </w:pPr>
            <w:r>
              <w:rPr>
                <w:rFonts w:hint="eastAsia" w:ascii="宋体" w:hAnsi="宋体" w:eastAsia="宋体"/>
                <w:sz w:val="18"/>
                <w:szCs w:val="18"/>
              </w:rPr>
              <w:t>产业</w:t>
            </w:r>
          </w:p>
        </w:tc>
        <w:tc>
          <w:tcPr>
            <w:tcW w:w="1620" w:type="dxa"/>
            <w:tcBorders>
              <w:top w:val="single" w:color="auto" w:sz="12" w:space="0"/>
              <w:left w:val="single" w:color="auto" w:sz="12" w:space="0"/>
              <w:bottom w:val="single" w:color="auto" w:sz="12" w:space="0"/>
              <w:right w:val="single" w:color="auto" w:sz="12" w:space="0"/>
            </w:tcBorders>
            <w:vAlign w:val="center"/>
          </w:tcPr>
          <w:p w14:paraId="7E4FD9BC">
            <w:pPr>
              <w:ind w:firstLine="360" w:firstLineChars="200"/>
              <w:jc w:val="center"/>
              <w:rPr>
                <w:rFonts w:ascii="宋体" w:hAnsi="宋体" w:eastAsia="宋体"/>
                <w:sz w:val="18"/>
                <w:szCs w:val="18"/>
              </w:rPr>
            </w:pPr>
            <w:r>
              <w:rPr>
                <w:rFonts w:hint="eastAsia" w:ascii="宋体" w:hAnsi="宋体" w:eastAsia="宋体"/>
                <w:sz w:val="18"/>
                <w:szCs w:val="18"/>
              </w:rPr>
              <w:t>第一产业</w:t>
            </w:r>
          </w:p>
        </w:tc>
        <w:tc>
          <w:tcPr>
            <w:tcW w:w="1620" w:type="dxa"/>
            <w:tcBorders>
              <w:top w:val="single" w:color="auto" w:sz="12" w:space="0"/>
              <w:left w:val="single" w:color="auto" w:sz="12" w:space="0"/>
              <w:bottom w:val="single" w:color="auto" w:sz="12" w:space="0"/>
              <w:right w:val="single" w:color="auto" w:sz="12" w:space="0"/>
            </w:tcBorders>
            <w:vAlign w:val="center"/>
          </w:tcPr>
          <w:p w14:paraId="60546144">
            <w:pPr>
              <w:ind w:firstLine="360" w:firstLineChars="200"/>
              <w:jc w:val="center"/>
              <w:rPr>
                <w:rFonts w:ascii="宋体" w:hAnsi="宋体" w:eastAsia="宋体"/>
                <w:sz w:val="18"/>
                <w:szCs w:val="18"/>
              </w:rPr>
            </w:pPr>
            <w:r>
              <w:rPr>
                <w:rFonts w:hint="eastAsia" w:ascii="宋体" w:hAnsi="宋体" w:eastAsia="宋体"/>
                <w:sz w:val="18"/>
                <w:szCs w:val="18"/>
              </w:rPr>
              <w:t>第二产业</w:t>
            </w:r>
          </w:p>
        </w:tc>
        <w:tc>
          <w:tcPr>
            <w:tcW w:w="1620" w:type="dxa"/>
            <w:tcBorders>
              <w:top w:val="single" w:color="auto" w:sz="12" w:space="0"/>
              <w:left w:val="single" w:color="auto" w:sz="12" w:space="0"/>
              <w:bottom w:val="single" w:color="auto" w:sz="12" w:space="0"/>
              <w:right w:val="nil"/>
            </w:tcBorders>
            <w:vAlign w:val="center"/>
          </w:tcPr>
          <w:p w14:paraId="1638FE21">
            <w:pPr>
              <w:ind w:firstLine="360" w:firstLineChars="200"/>
              <w:jc w:val="center"/>
              <w:rPr>
                <w:rFonts w:ascii="宋体" w:hAnsi="宋体" w:eastAsia="宋体"/>
                <w:sz w:val="18"/>
                <w:szCs w:val="18"/>
              </w:rPr>
            </w:pPr>
            <w:r>
              <w:rPr>
                <w:rFonts w:hint="eastAsia" w:ascii="宋体" w:hAnsi="宋体" w:eastAsia="宋体"/>
                <w:sz w:val="18"/>
                <w:szCs w:val="18"/>
              </w:rPr>
              <w:t>第三产业</w:t>
            </w:r>
          </w:p>
        </w:tc>
      </w:tr>
      <w:tr w14:paraId="57A6D691">
        <w:tc>
          <w:tcPr>
            <w:tcW w:w="1620" w:type="dxa"/>
            <w:tcBorders>
              <w:top w:val="single" w:color="auto" w:sz="12" w:space="0"/>
              <w:left w:val="nil"/>
              <w:bottom w:val="single" w:color="auto" w:sz="12" w:space="0"/>
              <w:right w:val="single" w:color="auto" w:sz="12" w:space="0"/>
            </w:tcBorders>
            <w:vAlign w:val="center"/>
          </w:tcPr>
          <w:p w14:paraId="3706FC6D">
            <w:pPr>
              <w:ind w:firstLine="360" w:firstLineChars="200"/>
              <w:jc w:val="center"/>
              <w:rPr>
                <w:rFonts w:ascii="宋体" w:hAnsi="宋体" w:eastAsia="宋体"/>
                <w:sz w:val="18"/>
                <w:szCs w:val="18"/>
              </w:rPr>
            </w:pPr>
            <w:r>
              <w:rPr>
                <w:rFonts w:hint="eastAsia" w:ascii="宋体" w:hAnsi="宋体" w:eastAsia="宋体"/>
                <w:sz w:val="18"/>
                <w:szCs w:val="18"/>
              </w:rPr>
              <w:t>中国</w:t>
            </w:r>
          </w:p>
        </w:tc>
        <w:tc>
          <w:tcPr>
            <w:tcW w:w="1620" w:type="dxa"/>
            <w:tcBorders>
              <w:top w:val="single" w:color="auto" w:sz="12" w:space="0"/>
              <w:left w:val="single" w:color="auto" w:sz="12" w:space="0"/>
              <w:bottom w:val="single" w:color="auto" w:sz="12" w:space="0"/>
              <w:right w:val="single" w:color="auto" w:sz="12" w:space="0"/>
            </w:tcBorders>
            <w:vAlign w:val="center"/>
          </w:tcPr>
          <w:p w14:paraId="75DE8E7B">
            <w:pPr>
              <w:ind w:firstLine="360" w:firstLineChars="200"/>
              <w:jc w:val="center"/>
              <w:rPr>
                <w:rFonts w:ascii="宋体" w:hAnsi="宋体" w:eastAsia="宋体"/>
                <w:sz w:val="18"/>
                <w:szCs w:val="18"/>
              </w:rPr>
            </w:pPr>
            <w:r>
              <w:rPr>
                <w:rFonts w:hint="eastAsia" w:ascii="宋体" w:hAnsi="宋体" w:eastAsia="宋体"/>
                <w:sz w:val="18"/>
                <w:szCs w:val="18"/>
              </w:rPr>
              <w:t>15.9</w:t>
            </w:r>
          </w:p>
        </w:tc>
        <w:tc>
          <w:tcPr>
            <w:tcW w:w="1620" w:type="dxa"/>
            <w:tcBorders>
              <w:top w:val="single" w:color="auto" w:sz="12" w:space="0"/>
              <w:left w:val="single" w:color="auto" w:sz="12" w:space="0"/>
              <w:bottom w:val="single" w:color="auto" w:sz="12" w:space="0"/>
              <w:right w:val="single" w:color="auto" w:sz="12" w:space="0"/>
            </w:tcBorders>
            <w:vAlign w:val="center"/>
          </w:tcPr>
          <w:p w14:paraId="0E04886C">
            <w:pPr>
              <w:ind w:firstLine="360" w:firstLineChars="200"/>
              <w:jc w:val="center"/>
              <w:rPr>
                <w:rFonts w:ascii="宋体" w:hAnsi="宋体" w:eastAsia="宋体"/>
                <w:sz w:val="18"/>
                <w:szCs w:val="18"/>
              </w:rPr>
            </w:pPr>
            <w:r>
              <w:rPr>
                <w:rFonts w:hint="eastAsia" w:ascii="宋体" w:hAnsi="宋体" w:eastAsia="宋体"/>
                <w:sz w:val="18"/>
                <w:szCs w:val="18"/>
              </w:rPr>
              <w:t>50.9</w:t>
            </w:r>
          </w:p>
        </w:tc>
        <w:tc>
          <w:tcPr>
            <w:tcW w:w="1620" w:type="dxa"/>
            <w:tcBorders>
              <w:top w:val="single" w:color="auto" w:sz="12" w:space="0"/>
              <w:left w:val="single" w:color="auto" w:sz="12" w:space="0"/>
              <w:bottom w:val="single" w:color="auto" w:sz="12" w:space="0"/>
              <w:right w:val="nil"/>
            </w:tcBorders>
            <w:vAlign w:val="center"/>
          </w:tcPr>
          <w:p w14:paraId="40BC9AA5">
            <w:pPr>
              <w:ind w:firstLine="360" w:firstLineChars="200"/>
              <w:jc w:val="center"/>
              <w:rPr>
                <w:rFonts w:ascii="宋体" w:hAnsi="宋体" w:eastAsia="宋体"/>
                <w:sz w:val="18"/>
                <w:szCs w:val="18"/>
              </w:rPr>
            </w:pPr>
            <w:r>
              <w:rPr>
                <w:rFonts w:hint="eastAsia" w:ascii="宋体" w:hAnsi="宋体" w:eastAsia="宋体"/>
                <w:sz w:val="18"/>
                <w:szCs w:val="18"/>
              </w:rPr>
              <w:t>33.2</w:t>
            </w:r>
          </w:p>
        </w:tc>
      </w:tr>
      <w:tr w14:paraId="3A3DFA69">
        <w:tc>
          <w:tcPr>
            <w:tcW w:w="1620" w:type="dxa"/>
            <w:tcBorders>
              <w:top w:val="single" w:color="auto" w:sz="12" w:space="0"/>
              <w:left w:val="nil"/>
              <w:bottom w:val="single" w:color="auto" w:sz="12" w:space="0"/>
              <w:right w:val="single" w:color="auto" w:sz="12" w:space="0"/>
            </w:tcBorders>
            <w:vAlign w:val="center"/>
          </w:tcPr>
          <w:p w14:paraId="76BEEEDD">
            <w:pPr>
              <w:ind w:firstLine="360" w:firstLineChars="200"/>
              <w:jc w:val="center"/>
              <w:rPr>
                <w:rFonts w:ascii="宋体" w:hAnsi="宋体" w:eastAsia="宋体"/>
                <w:sz w:val="18"/>
                <w:szCs w:val="18"/>
              </w:rPr>
            </w:pPr>
            <w:r>
              <w:rPr>
                <w:rFonts w:hint="eastAsia" w:ascii="宋体" w:hAnsi="宋体" w:eastAsia="宋体"/>
                <w:sz w:val="18"/>
                <w:szCs w:val="18"/>
              </w:rPr>
              <w:t>韩国</w:t>
            </w:r>
          </w:p>
        </w:tc>
        <w:tc>
          <w:tcPr>
            <w:tcW w:w="1620" w:type="dxa"/>
            <w:tcBorders>
              <w:top w:val="single" w:color="auto" w:sz="12" w:space="0"/>
              <w:left w:val="single" w:color="auto" w:sz="12" w:space="0"/>
              <w:bottom w:val="single" w:color="auto" w:sz="12" w:space="0"/>
              <w:right w:val="single" w:color="auto" w:sz="12" w:space="0"/>
            </w:tcBorders>
            <w:vAlign w:val="center"/>
          </w:tcPr>
          <w:p w14:paraId="351F67BA">
            <w:pPr>
              <w:ind w:firstLine="360" w:firstLineChars="200"/>
              <w:jc w:val="center"/>
              <w:rPr>
                <w:rFonts w:ascii="宋体" w:hAnsi="宋体" w:eastAsia="宋体"/>
                <w:sz w:val="18"/>
                <w:szCs w:val="18"/>
              </w:rPr>
            </w:pPr>
            <w:r>
              <w:rPr>
                <w:rFonts w:hint="eastAsia" w:ascii="宋体" w:hAnsi="宋体" w:eastAsia="宋体"/>
                <w:sz w:val="18"/>
                <w:szCs w:val="18"/>
              </w:rPr>
              <w:t>4.9</w:t>
            </w:r>
          </w:p>
        </w:tc>
        <w:tc>
          <w:tcPr>
            <w:tcW w:w="1620" w:type="dxa"/>
            <w:tcBorders>
              <w:top w:val="single" w:color="auto" w:sz="12" w:space="0"/>
              <w:left w:val="single" w:color="auto" w:sz="12" w:space="0"/>
              <w:bottom w:val="single" w:color="auto" w:sz="12" w:space="0"/>
              <w:right w:val="single" w:color="auto" w:sz="12" w:space="0"/>
            </w:tcBorders>
            <w:vAlign w:val="center"/>
          </w:tcPr>
          <w:p w14:paraId="349EAFC8">
            <w:pPr>
              <w:ind w:firstLine="360" w:firstLineChars="200"/>
              <w:jc w:val="center"/>
              <w:rPr>
                <w:rFonts w:ascii="宋体" w:hAnsi="宋体" w:eastAsia="宋体"/>
                <w:sz w:val="18"/>
                <w:szCs w:val="18"/>
              </w:rPr>
            </w:pPr>
            <w:r>
              <w:rPr>
                <w:rFonts w:hint="eastAsia" w:ascii="宋体" w:hAnsi="宋体" w:eastAsia="宋体"/>
                <w:sz w:val="18"/>
                <w:szCs w:val="18"/>
              </w:rPr>
              <w:t>43.5</w:t>
            </w:r>
          </w:p>
        </w:tc>
        <w:tc>
          <w:tcPr>
            <w:tcW w:w="1620" w:type="dxa"/>
            <w:tcBorders>
              <w:top w:val="single" w:color="auto" w:sz="12" w:space="0"/>
              <w:left w:val="single" w:color="auto" w:sz="12" w:space="0"/>
              <w:bottom w:val="single" w:color="auto" w:sz="12" w:space="0"/>
              <w:right w:val="nil"/>
            </w:tcBorders>
            <w:vAlign w:val="center"/>
          </w:tcPr>
          <w:p w14:paraId="7B2FFA79">
            <w:pPr>
              <w:ind w:firstLine="360" w:firstLineChars="200"/>
              <w:jc w:val="center"/>
              <w:rPr>
                <w:rFonts w:ascii="宋体" w:hAnsi="宋体" w:eastAsia="宋体"/>
                <w:sz w:val="18"/>
                <w:szCs w:val="18"/>
              </w:rPr>
            </w:pPr>
            <w:r>
              <w:rPr>
                <w:rFonts w:hint="eastAsia" w:ascii="宋体" w:hAnsi="宋体" w:eastAsia="宋体"/>
                <w:sz w:val="18"/>
                <w:szCs w:val="18"/>
              </w:rPr>
              <w:t>51.6</w:t>
            </w:r>
          </w:p>
        </w:tc>
      </w:tr>
    </w:tbl>
    <w:p w14:paraId="4D8A0ED7">
      <w:pPr>
        <w:spacing w:line="300" w:lineRule="auto"/>
        <w:ind w:firstLine="360" w:firstLineChars="200"/>
        <w:jc w:val="center"/>
        <w:rPr>
          <w:rFonts w:ascii="宋体" w:hAnsi="宋体" w:eastAsia="宋体"/>
          <w:b/>
          <w:sz w:val="18"/>
          <w:szCs w:val="18"/>
        </w:rPr>
      </w:pPr>
      <w:r>
        <w:rPr>
          <w:rFonts w:hint="eastAsia" w:ascii="宋体" w:hAnsi="宋体" w:eastAsia="宋体"/>
          <w:b/>
          <w:sz w:val="18"/>
          <w:szCs w:val="18"/>
        </w:rPr>
        <w:t>资料来源：世界银行数据库2001</w:t>
      </w:r>
    </w:p>
    <w:p w14:paraId="5A5DFBEB">
      <w:pPr>
        <w:spacing w:line="300" w:lineRule="auto"/>
        <w:ind w:firstLine="420" w:firstLineChars="200"/>
        <w:rPr>
          <w:rFonts w:ascii="宋体" w:hAnsi="宋体" w:eastAsia="宋体"/>
          <w:szCs w:val="21"/>
        </w:rPr>
      </w:pPr>
      <w:r>
        <w:rPr>
          <w:rFonts w:hint="eastAsia" w:ascii="宋体" w:hAnsi="宋体" w:eastAsia="宋体"/>
          <w:szCs w:val="21"/>
        </w:rPr>
        <w:t>韩国工业化实现战略属于后一种情况，即初期以轻工业为主、后期以重化工业为主的产业政策。韩国轻工业化的第一阶段是1953年～1961年推进的替代型轻工业化。这由当时生活必需品奇缺的状况决定的，同时又是与发达国家尤其是美国处理其剩余农产品的方式有关。</w:t>
      </w:r>
    </w:p>
    <w:p w14:paraId="49B05FAF">
      <w:pPr>
        <w:spacing w:line="300" w:lineRule="auto"/>
        <w:ind w:firstLine="420" w:firstLineChars="200"/>
        <w:rPr>
          <w:rFonts w:ascii="宋体" w:hAnsi="宋体" w:eastAsia="宋体"/>
          <w:szCs w:val="21"/>
        </w:rPr>
      </w:pPr>
      <w:r>
        <w:rPr>
          <w:rFonts w:hint="eastAsia" w:ascii="宋体" w:hAnsi="宋体" w:eastAsia="宋体"/>
          <w:szCs w:val="21"/>
        </w:rPr>
        <w:t>轻工业化的第二阶段是1962年～1973年的出口导向型工业化阶段。这个时期正是西方发达国家经济高速增长的黄金时期，也是工业处于产业转型时期，在世界范围内，实行贸易自由化。当朴正熙政府决心推进工业化的时候，根据国内国际的实际状况，只能选择以轻工业为主的工业化才能摆脱贫困。在这一阶段，朴正熙利用美国对韩国的支持和同日本邦交的正常化，大量引进美日的资金、技术和原料等，再利用国内廉价劳动力进行组装加工，将轻工业成品销往美国、日本等国外市场。虽然在技术和质量方面，韩国产品的国际竞争力低，但用廉价劳动力生产出的轻纺产品价格低，发达国家需求旺盛，产品很畅销。以纺织品为主的轻工业产品的出口急剧增长，韩国经济总量规模也加速扩大了。到1974年第二产业的比重超过了第一产业，经济中心从农业转移到工业，形成了第三产业大于第二产业，第二产业大于第一产业的产业结构。但是韩国的机械和产业设施等大部分资本货物和基础原材料一直依赖进口。</w:t>
      </w:r>
    </w:p>
    <w:p w14:paraId="42DC2BFF">
      <w:pPr>
        <w:spacing w:line="300" w:lineRule="auto"/>
        <w:ind w:firstLine="420" w:firstLineChars="200"/>
        <w:rPr>
          <w:rFonts w:ascii="宋体" w:hAnsi="宋体" w:eastAsia="宋体"/>
          <w:szCs w:val="21"/>
        </w:rPr>
      </w:pPr>
      <w:r>
        <w:rPr>
          <w:rFonts w:hint="eastAsia" w:ascii="宋体" w:hAnsi="宋体" w:eastAsia="宋体"/>
          <w:szCs w:val="21"/>
        </w:rPr>
        <w:t>第三阶段是1974年至今。20世纪70年代前期，政府决定优先开发钢铁、汽车、发电设备、综合机械等技术及劳动密集型的重化工业部门，将产业结构升级为以重化工业为主，并将这些产业培育成为出口产业。但是后期，考虑到石油价格暴涨且供给不稳定等因素，政府决定转换政策基调，将支持及培育对象逐渐转变为技术密集型、资源节约型产品，重点扶持大型企业，扩大规模经济效果，以谋求降低产品成本，提高国际竞争力，1998年的金融危机后，政府根据IMF 要求和本国的实际国情调整了产业结构。</w:t>
      </w:r>
    </w:p>
    <w:p w14:paraId="762B0844">
      <w:pPr>
        <w:widowControl/>
        <w:spacing w:before="180" w:beforeLines="50" w:after="180" w:afterLines="50" w:line="300" w:lineRule="auto"/>
        <w:ind w:firstLine="480" w:firstLineChars="200"/>
        <w:jc w:val="center"/>
        <w:rPr>
          <w:rFonts w:ascii="Times New Roman" w:hAnsi="Times New Roman" w:eastAsia="宋体" w:cs="Times New Roman"/>
          <w:b/>
          <w:bCs/>
          <w:sz w:val="24"/>
          <w:szCs w:val="32"/>
          <w:lang w:val="zh-CN"/>
        </w:rPr>
      </w:pPr>
      <w:r>
        <w:rPr>
          <w:rFonts w:hint="eastAsia" w:ascii="Times New Roman" w:hAnsi="Times New Roman" w:eastAsia="宋体" w:cs="Times New Roman"/>
          <w:b/>
          <w:bCs/>
          <w:sz w:val="24"/>
          <w:szCs w:val="32"/>
          <w:lang w:val="zh-CN"/>
        </w:rPr>
        <w:t>三、经济增长波动周期起伏大</w:t>
      </w:r>
    </w:p>
    <w:p w14:paraId="44DD8D8A">
      <w:pPr>
        <w:spacing w:line="300" w:lineRule="auto"/>
        <w:ind w:firstLine="420" w:firstLineChars="200"/>
        <w:rPr>
          <w:rFonts w:ascii="宋体" w:hAnsi="宋体" w:eastAsia="宋体"/>
          <w:szCs w:val="21"/>
        </w:rPr>
      </w:pPr>
      <w:r>
        <w:rPr>
          <w:rFonts w:hint="eastAsia" w:ascii="宋体" w:hAnsi="宋体" w:eastAsia="宋体"/>
          <w:szCs w:val="21"/>
        </w:rPr>
        <w:t>与经济增长速度密切相关的是经济波动。经济波动是国民经济扩张与收缩，波峰与波谷交替出现的现象。一次扩张过程和一次收缩过程构成经济波动中的一个周期。</w:t>
      </w:r>
    </w:p>
    <w:p w14:paraId="3BD60265">
      <w:pPr>
        <w:ind w:firstLine="360" w:firstLineChars="200"/>
        <w:jc w:val="center"/>
        <w:rPr>
          <w:rFonts w:ascii="宋体" w:hAnsi="宋体" w:eastAsia="宋体"/>
          <w:b/>
          <w:bCs/>
          <w:sz w:val="18"/>
          <w:szCs w:val="18"/>
        </w:rPr>
      </w:pPr>
      <w:r>
        <w:rPr>
          <w:rFonts w:hint="eastAsia" w:ascii="宋体" w:hAnsi="宋体" w:eastAsia="宋体"/>
          <w:b/>
          <w:bCs/>
          <w:sz w:val="18"/>
          <w:szCs w:val="18"/>
        </w:rPr>
        <w:t>表2 　中韩两国经济增长率比较图　单位%</w:t>
      </w:r>
    </w:p>
    <w:tbl>
      <w:tblPr>
        <w:tblStyle w:val="17"/>
        <w:tblW w:w="0" w:type="auto"/>
        <w:tblInd w:w="0" w:type="dxa"/>
        <w:tblBorders>
          <w:top w:val="single" w:color="auto" w:sz="12" w:space="0"/>
          <w:left w:val="none" w:color="auto" w:sz="0" w:space="0"/>
          <w:bottom w:val="single" w:color="auto" w:sz="12" w:space="0"/>
          <w:right w:val="none" w:color="auto" w:sz="0" w:space="0"/>
          <w:insideH w:val="single" w:color="auto" w:sz="12" w:space="0"/>
          <w:insideV w:val="single" w:color="auto" w:sz="12" w:space="0"/>
        </w:tblBorders>
        <w:tblLayout w:type="fixed"/>
        <w:tblCellMar>
          <w:top w:w="0" w:type="dxa"/>
          <w:left w:w="108" w:type="dxa"/>
          <w:bottom w:w="0" w:type="dxa"/>
          <w:right w:w="108" w:type="dxa"/>
        </w:tblCellMar>
      </w:tblPr>
      <w:tblGrid>
        <w:gridCol w:w="1008"/>
        <w:gridCol w:w="885"/>
        <w:gridCol w:w="947"/>
        <w:gridCol w:w="947"/>
        <w:gridCol w:w="947"/>
        <w:gridCol w:w="947"/>
        <w:gridCol w:w="947"/>
        <w:gridCol w:w="947"/>
        <w:gridCol w:w="947"/>
      </w:tblGrid>
      <w:tr w14:paraId="246CA96D">
        <w:tc>
          <w:tcPr>
            <w:tcW w:w="1008" w:type="dxa"/>
            <w:tcBorders>
              <w:top w:val="single" w:color="auto" w:sz="12" w:space="0"/>
              <w:left w:val="nil"/>
              <w:bottom w:val="single" w:color="auto" w:sz="12" w:space="0"/>
              <w:right w:val="single" w:color="auto" w:sz="12" w:space="0"/>
            </w:tcBorders>
            <w:vAlign w:val="center"/>
          </w:tcPr>
          <w:p w14:paraId="63B48634">
            <w:pPr>
              <w:ind w:firstLine="360" w:firstLineChars="200"/>
              <w:jc w:val="center"/>
              <w:rPr>
                <w:rFonts w:ascii="宋体" w:hAnsi="宋体" w:eastAsia="宋体"/>
                <w:sz w:val="18"/>
                <w:szCs w:val="18"/>
              </w:rPr>
            </w:pPr>
          </w:p>
        </w:tc>
        <w:tc>
          <w:tcPr>
            <w:tcW w:w="1832" w:type="dxa"/>
            <w:gridSpan w:val="2"/>
            <w:tcBorders>
              <w:top w:val="single" w:color="auto" w:sz="12" w:space="0"/>
              <w:left w:val="single" w:color="auto" w:sz="12" w:space="0"/>
              <w:bottom w:val="single" w:color="auto" w:sz="12" w:space="0"/>
              <w:right w:val="single" w:color="auto" w:sz="12" w:space="0"/>
            </w:tcBorders>
            <w:vAlign w:val="center"/>
          </w:tcPr>
          <w:p w14:paraId="7EE3E360">
            <w:pPr>
              <w:ind w:firstLine="360" w:firstLineChars="200"/>
              <w:jc w:val="center"/>
              <w:rPr>
                <w:rFonts w:ascii="宋体" w:hAnsi="宋体" w:eastAsia="宋体"/>
                <w:sz w:val="18"/>
                <w:szCs w:val="18"/>
              </w:rPr>
            </w:pPr>
            <w:r>
              <w:rPr>
                <w:rFonts w:hint="eastAsia" w:ascii="宋体" w:hAnsi="宋体" w:eastAsia="宋体"/>
                <w:sz w:val="18"/>
                <w:szCs w:val="18"/>
              </w:rPr>
              <w:t>经济增长率</w:t>
            </w:r>
          </w:p>
        </w:tc>
        <w:tc>
          <w:tcPr>
            <w:tcW w:w="947" w:type="dxa"/>
            <w:tcBorders>
              <w:top w:val="single" w:color="auto" w:sz="12" w:space="0"/>
              <w:left w:val="single" w:color="auto" w:sz="12" w:space="0"/>
              <w:bottom w:val="single" w:color="auto" w:sz="12" w:space="0"/>
              <w:right w:val="single" w:color="auto" w:sz="12" w:space="0"/>
            </w:tcBorders>
            <w:vAlign w:val="center"/>
          </w:tcPr>
          <w:p w14:paraId="2D51AFB4">
            <w:pPr>
              <w:ind w:firstLine="360" w:firstLineChars="200"/>
              <w:jc w:val="center"/>
              <w:rPr>
                <w:rFonts w:ascii="宋体" w:hAnsi="宋体" w:eastAsia="宋体"/>
                <w:sz w:val="18"/>
                <w:szCs w:val="18"/>
              </w:rPr>
            </w:pPr>
          </w:p>
        </w:tc>
        <w:tc>
          <w:tcPr>
            <w:tcW w:w="1894" w:type="dxa"/>
            <w:gridSpan w:val="2"/>
            <w:tcBorders>
              <w:top w:val="single" w:color="auto" w:sz="12" w:space="0"/>
              <w:left w:val="single" w:color="auto" w:sz="12" w:space="0"/>
              <w:bottom w:val="single" w:color="auto" w:sz="12" w:space="0"/>
              <w:right w:val="single" w:color="auto" w:sz="12" w:space="0"/>
            </w:tcBorders>
            <w:vAlign w:val="center"/>
          </w:tcPr>
          <w:p w14:paraId="0641A77B">
            <w:pPr>
              <w:ind w:firstLine="360" w:firstLineChars="200"/>
              <w:jc w:val="center"/>
              <w:rPr>
                <w:rFonts w:ascii="宋体" w:hAnsi="宋体" w:eastAsia="宋体"/>
                <w:sz w:val="18"/>
                <w:szCs w:val="18"/>
              </w:rPr>
            </w:pPr>
            <w:r>
              <w:rPr>
                <w:rFonts w:hint="eastAsia" w:ascii="宋体" w:hAnsi="宋体" w:eastAsia="宋体"/>
                <w:sz w:val="18"/>
                <w:szCs w:val="18"/>
              </w:rPr>
              <w:t>经济增长率</w:t>
            </w:r>
          </w:p>
        </w:tc>
        <w:tc>
          <w:tcPr>
            <w:tcW w:w="947" w:type="dxa"/>
            <w:tcBorders>
              <w:top w:val="single" w:color="auto" w:sz="12" w:space="0"/>
              <w:left w:val="single" w:color="auto" w:sz="12" w:space="0"/>
              <w:bottom w:val="single" w:color="auto" w:sz="12" w:space="0"/>
              <w:right w:val="single" w:color="auto" w:sz="12" w:space="0"/>
            </w:tcBorders>
            <w:vAlign w:val="center"/>
          </w:tcPr>
          <w:p w14:paraId="3CF02045">
            <w:pPr>
              <w:ind w:firstLine="360" w:firstLineChars="200"/>
              <w:jc w:val="center"/>
              <w:rPr>
                <w:rFonts w:ascii="宋体" w:hAnsi="宋体" w:eastAsia="宋体"/>
                <w:sz w:val="18"/>
                <w:szCs w:val="18"/>
              </w:rPr>
            </w:pPr>
          </w:p>
        </w:tc>
        <w:tc>
          <w:tcPr>
            <w:tcW w:w="1894" w:type="dxa"/>
            <w:gridSpan w:val="2"/>
            <w:tcBorders>
              <w:top w:val="single" w:color="auto" w:sz="12" w:space="0"/>
              <w:left w:val="single" w:color="auto" w:sz="12" w:space="0"/>
              <w:bottom w:val="single" w:color="auto" w:sz="12" w:space="0"/>
              <w:right w:val="nil"/>
            </w:tcBorders>
            <w:vAlign w:val="center"/>
          </w:tcPr>
          <w:p w14:paraId="22573F94">
            <w:pPr>
              <w:ind w:firstLine="360" w:firstLineChars="200"/>
              <w:jc w:val="center"/>
              <w:rPr>
                <w:rFonts w:ascii="宋体" w:hAnsi="宋体" w:eastAsia="宋体"/>
                <w:sz w:val="18"/>
                <w:szCs w:val="18"/>
              </w:rPr>
            </w:pPr>
            <w:r>
              <w:rPr>
                <w:rFonts w:hint="eastAsia" w:ascii="宋体" w:hAnsi="宋体" w:eastAsia="宋体"/>
                <w:sz w:val="18"/>
                <w:szCs w:val="18"/>
              </w:rPr>
              <w:t>经济增长率</w:t>
            </w:r>
          </w:p>
        </w:tc>
      </w:tr>
      <w:tr w14:paraId="75C84B55">
        <w:tc>
          <w:tcPr>
            <w:tcW w:w="1008" w:type="dxa"/>
            <w:tcBorders>
              <w:top w:val="single" w:color="auto" w:sz="12" w:space="0"/>
              <w:left w:val="nil"/>
              <w:bottom w:val="single" w:color="auto" w:sz="12" w:space="0"/>
              <w:right w:val="single" w:color="auto" w:sz="12" w:space="0"/>
            </w:tcBorders>
            <w:vAlign w:val="center"/>
          </w:tcPr>
          <w:p w14:paraId="621157E2">
            <w:pPr>
              <w:ind w:firstLine="360" w:firstLineChars="200"/>
              <w:jc w:val="center"/>
              <w:rPr>
                <w:rFonts w:ascii="宋体" w:hAnsi="宋体" w:eastAsia="宋体"/>
                <w:sz w:val="18"/>
                <w:szCs w:val="18"/>
              </w:rPr>
            </w:pPr>
            <w:r>
              <w:rPr>
                <w:rFonts w:hint="eastAsia" w:ascii="宋体" w:hAnsi="宋体" w:eastAsia="宋体"/>
                <w:sz w:val="18"/>
                <w:szCs w:val="18"/>
              </w:rPr>
              <w:t>年分</w:t>
            </w:r>
          </w:p>
        </w:tc>
        <w:tc>
          <w:tcPr>
            <w:tcW w:w="885" w:type="dxa"/>
            <w:tcBorders>
              <w:top w:val="single" w:color="auto" w:sz="12" w:space="0"/>
              <w:left w:val="single" w:color="auto" w:sz="12" w:space="0"/>
              <w:bottom w:val="single" w:color="auto" w:sz="12" w:space="0"/>
              <w:right w:val="single" w:color="auto" w:sz="12" w:space="0"/>
            </w:tcBorders>
            <w:vAlign w:val="center"/>
          </w:tcPr>
          <w:p w14:paraId="15EF0A4A">
            <w:pPr>
              <w:ind w:firstLine="360" w:firstLineChars="200"/>
              <w:jc w:val="center"/>
              <w:rPr>
                <w:rFonts w:ascii="宋体" w:hAnsi="宋体" w:eastAsia="宋体"/>
                <w:sz w:val="18"/>
                <w:szCs w:val="18"/>
              </w:rPr>
            </w:pPr>
            <w:r>
              <w:rPr>
                <w:rFonts w:hint="eastAsia" w:ascii="宋体" w:hAnsi="宋体" w:eastAsia="宋体"/>
                <w:sz w:val="18"/>
                <w:szCs w:val="18"/>
              </w:rPr>
              <w:t>中国</w:t>
            </w:r>
          </w:p>
        </w:tc>
        <w:tc>
          <w:tcPr>
            <w:tcW w:w="947" w:type="dxa"/>
            <w:tcBorders>
              <w:top w:val="single" w:color="auto" w:sz="12" w:space="0"/>
              <w:left w:val="single" w:color="auto" w:sz="12" w:space="0"/>
              <w:bottom w:val="single" w:color="auto" w:sz="12" w:space="0"/>
              <w:right w:val="single" w:color="auto" w:sz="12" w:space="0"/>
            </w:tcBorders>
            <w:vAlign w:val="center"/>
          </w:tcPr>
          <w:p w14:paraId="6C9BDA1D">
            <w:pPr>
              <w:ind w:firstLine="360" w:firstLineChars="200"/>
              <w:jc w:val="center"/>
              <w:rPr>
                <w:rFonts w:ascii="宋体" w:hAnsi="宋体" w:eastAsia="宋体"/>
                <w:sz w:val="18"/>
                <w:szCs w:val="18"/>
              </w:rPr>
            </w:pPr>
            <w:r>
              <w:rPr>
                <w:rFonts w:hint="eastAsia" w:ascii="宋体" w:hAnsi="宋体" w:eastAsia="宋体"/>
                <w:sz w:val="18"/>
                <w:szCs w:val="18"/>
              </w:rPr>
              <w:t>韩国</w:t>
            </w:r>
          </w:p>
        </w:tc>
        <w:tc>
          <w:tcPr>
            <w:tcW w:w="947" w:type="dxa"/>
            <w:tcBorders>
              <w:top w:val="single" w:color="auto" w:sz="12" w:space="0"/>
              <w:left w:val="single" w:color="auto" w:sz="12" w:space="0"/>
              <w:bottom w:val="single" w:color="auto" w:sz="12" w:space="0"/>
              <w:right w:val="single" w:color="auto" w:sz="12" w:space="0"/>
            </w:tcBorders>
            <w:vAlign w:val="center"/>
          </w:tcPr>
          <w:p w14:paraId="5E044D82">
            <w:pPr>
              <w:ind w:firstLine="360" w:firstLineChars="200"/>
              <w:jc w:val="center"/>
              <w:rPr>
                <w:rFonts w:ascii="宋体" w:hAnsi="宋体" w:eastAsia="宋体"/>
                <w:sz w:val="18"/>
                <w:szCs w:val="18"/>
              </w:rPr>
            </w:pPr>
            <w:r>
              <w:rPr>
                <w:rFonts w:hint="eastAsia" w:ascii="宋体" w:hAnsi="宋体" w:eastAsia="宋体"/>
                <w:sz w:val="18"/>
                <w:szCs w:val="18"/>
              </w:rPr>
              <w:t>年分</w:t>
            </w:r>
          </w:p>
        </w:tc>
        <w:tc>
          <w:tcPr>
            <w:tcW w:w="947" w:type="dxa"/>
            <w:tcBorders>
              <w:top w:val="single" w:color="auto" w:sz="12" w:space="0"/>
              <w:left w:val="single" w:color="auto" w:sz="12" w:space="0"/>
              <w:bottom w:val="single" w:color="auto" w:sz="12" w:space="0"/>
              <w:right w:val="single" w:color="auto" w:sz="12" w:space="0"/>
            </w:tcBorders>
            <w:vAlign w:val="center"/>
          </w:tcPr>
          <w:p w14:paraId="752DCF0B">
            <w:pPr>
              <w:ind w:firstLine="360" w:firstLineChars="200"/>
              <w:jc w:val="center"/>
              <w:rPr>
                <w:rFonts w:ascii="宋体" w:hAnsi="宋体" w:eastAsia="宋体"/>
                <w:sz w:val="18"/>
                <w:szCs w:val="18"/>
              </w:rPr>
            </w:pPr>
            <w:r>
              <w:rPr>
                <w:rFonts w:hint="eastAsia" w:ascii="宋体" w:hAnsi="宋体" w:eastAsia="宋体"/>
                <w:sz w:val="18"/>
                <w:szCs w:val="18"/>
              </w:rPr>
              <w:t>中国</w:t>
            </w:r>
          </w:p>
        </w:tc>
        <w:tc>
          <w:tcPr>
            <w:tcW w:w="947" w:type="dxa"/>
            <w:tcBorders>
              <w:top w:val="single" w:color="auto" w:sz="12" w:space="0"/>
              <w:left w:val="single" w:color="auto" w:sz="12" w:space="0"/>
              <w:bottom w:val="single" w:color="auto" w:sz="12" w:space="0"/>
              <w:right w:val="single" w:color="auto" w:sz="12" w:space="0"/>
            </w:tcBorders>
            <w:vAlign w:val="center"/>
          </w:tcPr>
          <w:p w14:paraId="14FD2560">
            <w:pPr>
              <w:ind w:firstLine="360" w:firstLineChars="200"/>
              <w:jc w:val="center"/>
              <w:rPr>
                <w:rFonts w:ascii="宋体" w:hAnsi="宋体" w:eastAsia="宋体"/>
                <w:sz w:val="18"/>
                <w:szCs w:val="18"/>
              </w:rPr>
            </w:pPr>
            <w:r>
              <w:rPr>
                <w:rFonts w:hint="eastAsia" w:ascii="宋体" w:hAnsi="宋体" w:eastAsia="宋体"/>
                <w:sz w:val="18"/>
                <w:szCs w:val="18"/>
              </w:rPr>
              <w:t>韩国</w:t>
            </w:r>
          </w:p>
        </w:tc>
        <w:tc>
          <w:tcPr>
            <w:tcW w:w="947" w:type="dxa"/>
            <w:tcBorders>
              <w:top w:val="single" w:color="auto" w:sz="12" w:space="0"/>
              <w:left w:val="single" w:color="auto" w:sz="12" w:space="0"/>
              <w:bottom w:val="single" w:color="auto" w:sz="12" w:space="0"/>
              <w:right w:val="single" w:color="auto" w:sz="12" w:space="0"/>
            </w:tcBorders>
            <w:vAlign w:val="center"/>
          </w:tcPr>
          <w:p w14:paraId="185CD794">
            <w:pPr>
              <w:ind w:firstLine="360" w:firstLineChars="200"/>
              <w:jc w:val="center"/>
              <w:rPr>
                <w:rFonts w:ascii="宋体" w:hAnsi="宋体" w:eastAsia="宋体"/>
                <w:sz w:val="18"/>
                <w:szCs w:val="18"/>
              </w:rPr>
            </w:pPr>
            <w:r>
              <w:rPr>
                <w:rFonts w:hint="eastAsia" w:ascii="宋体" w:hAnsi="宋体" w:eastAsia="宋体"/>
                <w:sz w:val="18"/>
                <w:szCs w:val="18"/>
              </w:rPr>
              <w:t>年分</w:t>
            </w:r>
          </w:p>
        </w:tc>
        <w:tc>
          <w:tcPr>
            <w:tcW w:w="947" w:type="dxa"/>
            <w:tcBorders>
              <w:top w:val="single" w:color="auto" w:sz="12" w:space="0"/>
              <w:left w:val="single" w:color="auto" w:sz="12" w:space="0"/>
              <w:bottom w:val="single" w:color="auto" w:sz="12" w:space="0"/>
              <w:right w:val="single" w:color="auto" w:sz="12" w:space="0"/>
            </w:tcBorders>
            <w:vAlign w:val="center"/>
          </w:tcPr>
          <w:p w14:paraId="383F7A6E">
            <w:pPr>
              <w:ind w:firstLine="360" w:firstLineChars="200"/>
              <w:jc w:val="center"/>
              <w:rPr>
                <w:rFonts w:ascii="宋体" w:hAnsi="宋体" w:eastAsia="宋体"/>
                <w:sz w:val="18"/>
                <w:szCs w:val="18"/>
              </w:rPr>
            </w:pPr>
            <w:r>
              <w:rPr>
                <w:rFonts w:hint="eastAsia" w:ascii="宋体" w:hAnsi="宋体" w:eastAsia="宋体"/>
                <w:sz w:val="18"/>
                <w:szCs w:val="18"/>
              </w:rPr>
              <w:t>中国</w:t>
            </w:r>
          </w:p>
        </w:tc>
        <w:tc>
          <w:tcPr>
            <w:tcW w:w="947" w:type="dxa"/>
            <w:tcBorders>
              <w:top w:val="single" w:color="auto" w:sz="12" w:space="0"/>
              <w:left w:val="single" w:color="auto" w:sz="12" w:space="0"/>
              <w:bottom w:val="single" w:color="auto" w:sz="12" w:space="0"/>
              <w:right w:val="nil"/>
            </w:tcBorders>
            <w:vAlign w:val="center"/>
          </w:tcPr>
          <w:p w14:paraId="5BF09CC5">
            <w:pPr>
              <w:ind w:firstLine="360" w:firstLineChars="200"/>
              <w:jc w:val="center"/>
              <w:rPr>
                <w:rFonts w:ascii="宋体" w:hAnsi="宋体" w:eastAsia="宋体"/>
                <w:sz w:val="18"/>
                <w:szCs w:val="18"/>
              </w:rPr>
            </w:pPr>
            <w:r>
              <w:rPr>
                <w:rFonts w:hint="eastAsia" w:ascii="宋体" w:hAnsi="宋体" w:eastAsia="宋体"/>
                <w:sz w:val="18"/>
                <w:szCs w:val="18"/>
              </w:rPr>
              <w:t>韩国</w:t>
            </w:r>
          </w:p>
        </w:tc>
      </w:tr>
      <w:tr w14:paraId="2BE64484">
        <w:tc>
          <w:tcPr>
            <w:tcW w:w="1008" w:type="dxa"/>
            <w:tcBorders>
              <w:top w:val="single" w:color="auto" w:sz="12" w:space="0"/>
              <w:left w:val="nil"/>
              <w:bottom w:val="single" w:color="auto" w:sz="12" w:space="0"/>
              <w:right w:val="single" w:color="auto" w:sz="12" w:space="0"/>
            </w:tcBorders>
            <w:vAlign w:val="center"/>
          </w:tcPr>
          <w:p w14:paraId="6946E0A7">
            <w:pPr>
              <w:ind w:firstLine="360" w:firstLineChars="200"/>
              <w:jc w:val="center"/>
              <w:rPr>
                <w:rFonts w:ascii="宋体" w:hAnsi="宋体" w:eastAsia="宋体"/>
                <w:sz w:val="18"/>
                <w:szCs w:val="18"/>
              </w:rPr>
            </w:pPr>
            <w:r>
              <w:rPr>
                <w:rFonts w:hint="eastAsia" w:ascii="宋体" w:hAnsi="宋体" w:eastAsia="宋体"/>
                <w:sz w:val="18"/>
                <w:szCs w:val="18"/>
              </w:rPr>
              <w:t>1953</w:t>
            </w:r>
          </w:p>
        </w:tc>
        <w:tc>
          <w:tcPr>
            <w:tcW w:w="885" w:type="dxa"/>
            <w:tcBorders>
              <w:top w:val="single" w:color="auto" w:sz="12" w:space="0"/>
              <w:left w:val="single" w:color="auto" w:sz="12" w:space="0"/>
              <w:bottom w:val="single" w:color="auto" w:sz="12" w:space="0"/>
              <w:right w:val="single" w:color="auto" w:sz="12" w:space="0"/>
            </w:tcBorders>
            <w:vAlign w:val="center"/>
          </w:tcPr>
          <w:p w14:paraId="70B1C6FE">
            <w:pPr>
              <w:ind w:firstLine="360" w:firstLineChars="200"/>
              <w:jc w:val="center"/>
              <w:rPr>
                <w:rFonts w:ascii="宋体" w:hAnsi="宋体" w:eastAsia="宋体"/>
                <w:sz w:val="18"/>
                <w:szCs w:val="18"/>
              </w:rPr>
            </w:pPr>
            <w:r>
              <w:rPr>
                <w:rFonts w:hint="eastAsia" w:ascii="宋体" w:hAnsi="宋体" w:eastAsia="宋体"/>
                <w:sz w:val="18"/>
                <w:szCs w:val="18"/>
              </w:rPr>
              <w:t>15.6</w:t>
            </w:r>
          </w:p>
        </w:tc>
        <w:tc>
          <w:tcPr>
            <w:tcW w:w="947" w:type="dxa"/>
            <w:tcBorders>
              <w:top w:val="single" w:color="auto" w:sz="12" w:space="0"/>
              <w:left w:val="single" w:color="auto" w:sz="12" w:space="0"/>
              <w:bottom w:val="single" w:color="auto" w:sz="12" w:space="0"/>
              <w:right w:val="single" w:color="auto" w:sz="12" w:space="0"/>
            </w:tcBorders>
            <w:vAlign w:val="center"/>
          </w:tcPr>
          <w:p w14:paraId="0ECD76A7">
            <w:pPr>
              <w:ind w:firstLine="360" w:firstLineChars="200"/>
              <w:jc w:val="center"/>
              <w:rPr>
                <w:rFonts w:ascii="宋体" w:hAnsi="宋体" w:eastAsia="宋体"/>
                <w:sz w:val="18"/>
                <w:szCs w:val="18"/>
              </w:rPr>
            </w:pPr>
            <w:r>
              <w:rPr>
                <w:rFonts w:hint="eastAsia" w:ascii="宋体" w:hAnsi="宋体" w:eastAsia="宋体"/>
                <w:sz w:val="18"/>
                <w:szCs w:val="18"/>
              </w:rPr>
              <w:t>25.3</w:t>
            </w:r>
          </w:p>
        </w:tc>
        <w:tc>
          <w:tcPr>
            <w:tcW w:w="947" w:type="dxa"/>
            <w:tcBorders>
              <w:top w:val="single" w:color="auto" w:sz="12" w:space="0"/>
              <w:left w:val="single" w:color="auto" w:sz="12" w:space="0"/>
              <w:bottom w:val="single" w:color="auto" w:sz="12" w:space="0"/>
              <w:right w:val="single" w:color="auto" w:sz="12" w:space="0"/>
            </w:tcBorders>
            <w:vAlign w:val="center"/>
          </w:tcPr>
          <w:p w14:paraId="30899745">
            <w:pPr>
              <w:ind w:firstLine="360" w:firstLineChars="200"/>
              <w:jc w:val="center"/>
              <w:rPr>
                <w:rFonts w:ascii="宋体" w:hAnsi="宋体" w:eastAsia="宋体"/>
                <w:sz w:val="18"/>
                <w:szCs w:val="18"/>
              </w:rPr>
            </w:pPr>
            <w:r>
              <w:rPr>
                <w:rFonts w:hint="eastAsia" w:ascii="宋体" w:hAnsi="宋体" w:eastAsia="宋体"/>
                <w:sz w:val="18"/>
                <w:szCs w:val="18"/>
              </w:rPr>
              <w:t>1972</w:t>
            </w:r>
          </w:p>
        </w:tc>
        <w:tc>
          <w:tcPr>
            <w:tcW w:w="947" w:type="dxa"/>
            <w:tcBorders>
              <w:top w:val="single" w:color="auto" w:sz="12" w:space="0"/>
              <w:left w:val="single" w:color="auto" w:sz="12" w:space="0"/>
              <w:bottom w:val="single" w:color="auto" w:sz="12" w:space="0"/>
              <w:right w:val="single" w:color="auto" w:sz="12" w:space="0"/>
            </w:tcBorders>
            <w:vAlign w:val="center"/>
          </w:tcPr>
          <w:p w14:paraId="26DF69DA">
            <w:pPr>
              <w:ind w:firstLine="360" w:firstLineChars="200"/>
              <w:jc w:val="center"/>
              <w:rPr>
                <w:rFonts w:ascii="宋体" w:hAnsi="宋体" w:eastAsia="宋体"/>
                <w:sz w:val="18"/>
                <w:szCs w:val="18"/>
              </w:rPr>
            </w:pPr>
            <w:r>
              <w:rPr>
                <w:rFonts w:hint="eastAsia" w:ascii="宋体" w:hAnsi="宋体" w:eastAsia="宋体"/>
                <w:sz w:val="18"/>
                <w:szCs w:val="18"/>
              </w:rPr>
              <w:t>3.8</w:t>
            </w:r>
          </w:p>
        </w:tc>
        <w:tc>
          <w:tcPr>
            <w:tcW w:w="947" w:type="dxa"/>
            <w:tcBorders>
              <w:top w:val="single" w:color="auto" w:sz="12" w:space="0"/>
              <w:left w:val="single" w:color="auto" w:sz="12" w:space="0"/>
              <w:bottom w:val="single" w:color="auto" w:sz="12" w:space="0"/>
              <w:right w:val="single" w:color="auto" w:sz="12" w:space="0"/>
            </w:tcBorders>
            <w:vAlign w:val="center"/>
          </w:tcPr>
          <w:p w14:paraId="7E2676DB">
            <w:pPr>
              <w:ind w:firstLine="360" w:firstLineChars="200"/>
              <w:jc w:val="center"/>
              <w:rPr>
                <w:rFonts w:ascii="宋体" w:hAnsi="宋体" w:eastAsia="宋体"/>
                <w:sz w:val="18"/>
                <w:szCs w:val="18"/>
              </w:rPr>
            </w:pPr>
            <w:r>
              <w:rPr>
                <w:rFonts w:hint="eastAsia" w:ascii="宋体" w:hAnsi="宋体" w:eastAsia="宋体"/>
                <w:sz w:val="18"/>
                <w:szCs w:val="18"/>
              </w:rPr>
              <w:t>5.8</w:t>
            </w:r>
          </w:p>
        </w:tc>
        <w:tc>
          <w:tcPr>
            <w:tcW w:w="947" w:type="dxa"/>
            <w:tcBorders>
              <w:top w:val="single" w:color="auto" w:sz="12" w:space="0"/>
              <w:left w:val="single" w:color="auto" w:sz="12" w:space="0"/>
              <w:bottom w:val="single" w:color="auto" w:sz="12" w:space="0"/>
              <w:right w:val="single" w:color="auto" w:sz="12" w:space="0"/>
            </w:tcBorders>
            <w:vAlign w:val="center"/>
          </w:tcPr>
          <w:p w14:paraId="0460E2C2">
            <w:pPr>
              <w:ind w:firstLine="360" w:firstLineChars="200"/>
              <w:jc w:val="center"/>
              <w:rPr>
                <w:rFonts w:ascii="宋体" w:hAnsi="宋体" w:eastAsia="宋体"/>
                <w:sz w:val="18"/>
                <w:szCs w:val="18"/>
              </w:rPr>
            </w:pPr>
            <w:r>
              <w:rPr>
                <w:rFonts w:hint="eastAsia" w:ascii="宋体" w:hAnsi="宋体" w:eastAsia="宋体"/>
                <w:sz w:val="18"/>
                <w:szCs w:val="18"/>
              </w:rPr>
              <w:t>1990</w:t>
            </w:r>
          </w:p>
        </w:tc>
        <w:tc>
          <w:tcPr>
            <w:tcW w:w="947" w:type="dxa"/>
            <w:tcBorders>
              <w:top w:val="single" w:color="auto" w:sz="12" w:space="0"/>
              <w:left w:val="single" w:color="auto" w:sz="12" w:space="0"/>
              <w:bottom w:val="single" w:color="auto" w:sz="12" w:space="0"/>
              <w:right w:val="single" w:color="auto" w:sz="12" w:space="0"/>
            </w:tcBorders>
            <w:vAlign w:val="center"/>
          </w:tcPr>
          <w:p w14:paraId="7F3C51A2">
            <w:pPr>
              <w:ind w:firstLine="360" w:firstLineChars="200"/>
              <w:jc w:val="center"/>
              <w:rPr>
                <w:rFonts w:ascii="宋体" w:hAnsi="宋体" w:eastAsia="宋体"/>
                <w:sz w:val="18"/>
                <w:szCs w:val="18"/>
              </w:rPr>
            </w:pPr>
            <w:r>
              <w:rPr>
                <w:rFonts w:hint="eastAsia" w:ascii="宋体" w:hAnsi="宋体" w:eastAsia="宋体"/>
                <w:sz w:val="18"/>
                <w:szCs w:val="18"/>
              </w:rPr>
              <w:t>3.8</w:t>
            </w:r>
          </w:p>
        </w:tc>
        <w:tc>
          <w:tcPr>
            <w:tcW w:w="947" w:type="dxa"/>
            <w:tcBorders>
              <w:top w:val="single" w:color="auto" w:sz="12" w:space="0"/>
              <w:left w:val="single" w:color="auto" w:sz="12" w:space="0"/>
              <w:bottom w:val="single" w:color="auto" w:sz="12" w:space="0"/>
              <w:right w:val="nil"/>
            </w:tcBorders>
            <w:vAlign w:val="center"/>
          </w:tcPr>
          <w:p w14:paraId="11BC6B7C">
            <w:pPr>
              <w:ind w:firstLine="360" w:firstLineChars="200"/>
              <w:jc w:val="center"/>
              <w:rPr>
                <w:rFonts w:ascii="宋体" w:hAnsi="宋体" w:eastAsia="宋体"/>
                <w:sz w:val="18"/>
                <w:szCs w:val="18"/>
              </w:rPr>
            </w:pPr>
            <w:r>
              <w:rPr>
                <w:rFonts w:hint="eastAsia" w:ascii="宋体" w:hAnsi="宋体" w:eastAsia="宋体"/>
                <w:sz w:val="18"/>
                <w:szCs w:val="18"/>
              </w:rPr>
              <w:t>9.3</w:t>
            </w:r>
          </w:p>
        </w:tc>
      </w:tr>
      <w:tr w14:paraId="72E8EE42">
        <w:tc>
          <w:tcPr>
            <w:tcW w:w="1008" w:type="dxa"/>
            <w:tcBorders>
              <w:top w:val="single" w:color="auto" w:sz="12" w:space="0"/>
              <w:left w:val="nil"/>
              <w:bottom w:val="single" w:color="auto" w:sz="12" w:space="0"/>
              <w:right w:val="single" w:color="auto" w:sz="12" w:space="0"/>
            </w:tcBorders>
            <w:vAlign w:val="center"/>
          </w:tcPr>
          <w:p w14:paraId="5FE0CF30">
            <w:pPr>
              <w:ind w:firstLine="360" w:firstLineChars="200"/>
              <w:jc w:val="center"/>
              <w:rPr>
                <w:rFonts w:ascii="宋体" w:hAnsi="宋体" w:eastAsia="宋体"/>
                <w:sz w:val="18"/>
                <w:szCs w:val="18"/>
              </w:rPr>
            </w:pPr>
            <w:r>
              <w:rPr>
                <w:rFonts w:hint="eastAsia" w:ascii="宋体" w:hAnsi="宋体" w:eastAsia="宋体"/>
                <w:sz w:val="18"/>
                <w:szCs w:val="18"/>
              </w:rPr>
              <w:t>1954</w:t>
            </w:r>
          </w:p>
        </w:tc>
        <w:tc>
          <w:tcPr>
            <w:tcW w:w="885" w:type="dxa"/>
            <w:tcBorders>
              <w:top w:val="single" w:color="auto" w:sz="12" w:space="0"/>
              <w:left w:val="single" w:color="auto" w:sz="12" w:space="0"/>
              <w:bottom w:val="single" w:color="auto" w:sz="12" w:space="0"/>
              <w:right w:val="single" w:color="auto" w:sz="12" w:space="0"/>
            </w:tcBorders>
            <w:vAlign w:val="center"/>
          </w:tcPr>
          <w:p w14:paraId="073CB968">
            <w:pPr>
              <w:ind w:firstLine="360" w:firstLineChars="200"/>
              <w:jc w:val="center"/>
              <w:rPr>
                <w:rFonts w:ascii="宋体" w:hAnsi="宋体" w:eastAsia="宋体"/>
                <w:sz w:val="18"/>
                <w:szCs w:val="18"/>
              </w:rPr>
            </w:pPr>
            <w:r>
              <w:rPr>
                <w:rFonts w:hint="eastAsia" w:ascii="宋体" w:hAnsi="宋体" w:eastAsia="宋体"/>
                <w:sz w:val="18"/>
                <w:szCs w:val="18"/>
              </w:rPr>
              <w:t>4.2</w:t>
            </w:r>
          </w:p>
        </w:tc>
        <w:tc>
          <w:tcPr>
            <w:tcW w:w="947" w:type="dxa"/>
            <w:tcBorders>
              <w:top w:val="single" w:color="auto" w:sz="12" w:space="0"/>
              <w:left w:val="single" w:color="auto" w:sz="12" w:space="0"/>
              <w:bottom w:val="single" w:color="auto" w:sz="12" w:space="0"/>
              <w:right w:val="single" w:color="auto" w:sz="12" w:space="0"/>
            </w:tcBorders>
            <w:vAlign w:val="center"/>
          </w:tcPr>
          <w:p w14:paraId="28DB58A6">
            <w:pPr>
              <w:ind w:firstLine="360" w:firstLineChars="200"/>
              <w:jc w:val="center"/>
              <w:rPr>
                <w:rFonts w:ascii="宋体" w:hAnsi="宋体" w:eastAsia="宋体"/>
                <w:sz w:val="18"/>
                <w:szCs w:val="18"/>
              </w:rPr>
            </w:pPr>
            <w:r>
              <w:rPr>
                <w:rFonts w:hint="eastAsia" w:ascii="宋体" w:hAnsi="宋体" w:eastAsia="宋体"/>
                <w:sz w:val="18"/>
                <w:szCs w:val="18"/>
              </w:rPr>
              <w:t>6.0</w:t>
            </w:r>
          </w:p>
        </w:tc>
        <w:tc>
          <w:tcPr>
            <w:tcW w:w="947" w:type="dxa"/>
            <w:tcBorders>
              <w:top w:val="single" w:color="auto" w:sz="12" w:space="0"/>
              <w:left w:val="single" w:color="auto" w:sz="12" w:space="0"/>
              <w:bottom w:val="single" w:color="auto" w:sz="12" w:space="0"/>
              <w:right w:val="single" w:color="auto" w:sz="12" w:space="0"/>
            </w:tcBorders>
            <w:vAlign w:val="center"/>
          </w:tcPr>
          <w:p w14:paraId="14DEF966">
            <w:pPr>
              <w:ind w:firstLine="360" w:firstLineChars="200"/>
              <w:jc w:val="center"/>
              <w:rPr>
                <w:rFonts w:ascii="宋体" w:hAnsi="宋体" w:eastAsia="宋体"/>
                <w:sz w:val="18"/>
                <w:szCs w:val="18"/>
              </w:rPr>
            </w:pPr>
            <w:r>
              <w:rPr>
                <w:rFonts w:hint="eastAsia" w:ascii="宋体" w:hAnsi="宋体" w:eastAsia="宋体"/>
                <w:sz w:val="18"/>
                <w:szCs w:val="18"/>
              </w:rPr>
              <w:t>1973</w:t>
            </w:r>
          </w:p>
        </w:tc>
        <w:tc>
          <w:tcPr>
            <w:tcW w:w="947" w:type="dxa"/>
            <w:tcBorders>
              <w:top w:val="single" w:color="auto" w:sz="12" w:space="0"/>
              <w:left w:val="single" w:color="auto" w:sz="12" w:space="0"/>
              <w:bottom w:val="single" w:color="auto" w:sz="12" w:space="0"/>
              <w:right w:val="single" w:color="auto" w:sz="12" w:space="0"/>
            </w:tcBorders>
            <w:vAlign w:val="center"/>
          </w:tcPr>
          <w:p w14:paraId="0FA94895">
            <w:pPr>
              <w:ind w:firstLine="360" w:firstLineChars="200"/>
              <w:jc w:val="center"/>
              <w:rPr>
                <w:rFonts w:ascii="宋体" w:hAnsi="宋体" w:eastAsia="宋体"/>
                <w:sz w:val="18"/>
                <w:szCs w:val="18"/>
              </w:rPr>
            </w:pPr>
            <w:r>
              <w:rPr>
                <w:rFonts w:hint="eastAsia" w:ascii="宋体" w:hAnsi="宋体" w:eastAsia="宋体"/>
                <w:sz w:val="18"/>
                <w:szCs w:val="18"/>
              </w:rPr>
              <w:t>7.9</w:t>
            </w:r>
          </w:p>
        </w:tc>
        <w:tc>
          <w:tcPr>
            <w:tcW w:w="947" w:type="dxa"/>
            <w:tcBorders>
              <w:top w:val="single" w:color="auto" w:sz="12" w:space="0"/>
              <w:left w:val="single" w:color="auto" w:sz="12" w:space="0"/>
              <w:bottom w:val="single" w:color="auto" w:sz="12" w:space="0"/>
              <w:right w:val="single" w:color="auto" w:sz="12" w:space="0"/>
            </w:tcBorders>
            <w:vAlign w:val="center"/>
          </w:tcPr>
          <w:p w14:paraId="1BCDECDF">
            <w:pPr>
              <w:ind w:firstLine="360" w:firstLineChars="200"/>
              <w:jc w:val="center"/>
              <w:rPr>
                <w:rFonts w:ascii="宋体" w:hAnsi="宋体" w:eastAsia="宋体"/>
                <w:sz w:val="18"/>
                <w:szCs w:val="18"/>
              </w:rPr>
            </w:pPr>
            <w:r>
              <w:rPr>
                <w:rFonts w:hint="eastAsia" w:ascii="宋体" w:hAnsi="宋体" w:eastAsia="宋体"/>
                <w:sz w:val="18"/>
                <w:szCs w:val="18"/>
              </w:rPr>
              <w:t>14.8</w:t>
            </w:r>
          </w:p>
        </w:tc>
        <w:tc>
          <w:tcPr>
            <w:tcW w:w="947" w:type="dxa"/>
            <w:tcBorders>
              <w:top w:val="single" w:color="auto" w:sz="12" w:space="0"/>
              <w:left w:val="single" w:color="auto" w:sz="12" w:space="0"/>
              <w:bottom w:val="single" w:color="auto" w:sz="12" w:space="0"/>
              <w:right w:val="single" w:color="auto" w:sz="12" w:space="0"/>
            </w:tcBorders>
            <w:vAlign w:val="center"/>
          </w:tcPr>
          <w:p w14:paraId="5084A6EC">
            <w:pPr>
              <w:ind w:firstLine="360" w:firstLineChars="200"/>
              <w:jc w:val="center"/>
              <w:rPr>
                <w:rFonts w:ascii="宋体" w:hAnsi="宋体" w:eastAsia="宋体"/>
                <w:sz w:val="18"/>
                <w:szCs w:val="18"/>
              </w:rPr>
            </w:pPr>
            <w:r>
              <w:rPr>
                <w:rFonts w:hint="eastAsia" w:ascii="宋体" w:hAnsi="宋体" w:eastAsia="宋体"/>
                <w:sz w:val="18"/>
                <w:szCs w:val="18"/>
              </w:rPr>
              <w:t>1991</w:t>
            </w:r>
          </w:p>
        </w:tc>
        <w:tc>
          <w:tcPr>
            <w:tcW w:w="947" w:type="dxa"/>
            <w:tcBorders>
              <w:top w:val="single" w:color="auto" w:sz="12" w:space="0"/>
              <w:left w:val="single" w:color="auto" w:sz="12" w:space="0"/>
              <w:bottom w:val="single" w:color="auto" w:sz="12" w:space="0"/>
              <w:right w:val="single" w:color="auto" w:sz="12" w:space="0"/>
            </w:tcBorders>
            <w:vAlign w:val="center"/>
          </w:tcPr>
          <w:p w14:paraId="5D4074FB">
            <w:pPr>
              <w:ind w:firstLine="360" w:firstLineChars="200"/>
              <w:jc w:val="center"/>
              <w:rPr>
                <w:rFonts w:ascii="宋体" w:hAnsi="宋体" w:eastAsia="宋体"/>
                <w:sz w:val="18"/>
                <w:szCs w:val="18"/>
              </w:rPr>
            </w:pPr>
            <w:r>
              <w:rPr>
                <w:rFonts w:hint="eastAsia" w:ascii="宋体" w:hAnsi="宋体" w:eastAsia="宋体"/>
                <w:sz w:val="18"/>
                <w:szCs w:val="18"/>
              </w:rPr>
              <w:t>9.3</w:t>
            </w:r>
          </w:p>
        </w:tc>
        <w:tc>
          <w:tcPr>
            <w:tcW w:w="947" w:type="dxa"/>
            <w:tcBorders>
              <w:top w:val="single" w:color="auto" w:sz="12" w:space="0"/>
              <w:left w:val="single" w:color="auto" w:sz="12" w:space="0"/>
              <w:bottom w:val="single" w:color="auto" w:sz="12" w:space="0"/>
              <w:right w:val="nil"/>
            </w:tcBorders>
            <w:vAlign w:val="center"/>
          </w:tcPr>
          <w:p w14:paraId="304E9A9C">
            <w:pPr>
              <w:ind w:firstLine="360" w:firstLineChars="200"/>
              <w:jc w:val="center"/>
              <w:rPr>
                <w:rFonts w:ascii="宋体" w:hAnsi="宋体" w:eastAsia="宋体"/>
                <w:sz w:val="18"/>
                <w:szCs w:val="18"/>
              </w:rPr>
            </w:pPr>
            <w:r>
              <w:rPr>
                <w:rFonts w:hint="eastAsia" w:ascii="宋体" w:hAnsi="宋体" w:eastAsia="宋体"/>
                <w:sz w:val="18"/>
                <w:szCs w:val="18"/>
              </w:rPr>
              <w:t>8.4</w:t>
            </w:r>
          </w:p>
        </w:tc>
      </w:tr>
      <w:tr w14:paraId="451825E0">
        <w:tc>
          <w:tcPr>
            <w:tcW w:w="1008" w:type="dxa"/>
            <w:tcBorders>
              <w:top w:val="single" w:color="auto" w:sz="12" w:space="0"/>
              <w:left w:val="nil"/>
              <w:bottom w:val="single" w:color="auto" w:sz="12" w:space="0"/>
              <w:right w:val="single" w:color="auto" w:sz="12" w:space="0"/>
            </w:tcBorders>
            <w:vAlign w:val="center"/>
          </w:tcPr>
          <w:p w14:paraId="5D956B7A">
            <w:pPr>
              <w:ind w:firstLine="360" w:firstLineChars="200"/>
              <w:jc w:val="center"/>
              <w:rPr>
                <w:rFonts w:ascii="宋体" w:hAnsi="宋体" w:eastAsia="宋体"/>
                <w:sz w:val="18"/>
                <w:szCs w:val="18"/>
              </w:rPr>
            </w:pPr>
            <w:r>
              <w:rPr>
                <w:rFonts w:hint="eastAsia" w:ascii="宋体" w:hAnsi="宋体" w:eastAsia="宋体"/>
                <w:sz w:val="18"/>
                <w:szCs w:val="18"/>
              </w:rPr>
              <w:t>1955</w:t>
            </w:r>
          </w:p>
        </w:tc>
        <w:tc>
          <w:tcPr>
            <w:tcW w:w="885" w:type="dxa"/>
            <w:tcBorders>
              <w:top w:val="single" w:color="auto" w:sz="12" w:space="0"/>
              <w:left w:val="single" w:color="auto" w:sz="12" w:space="0"/>
              <w:bottom w:val="single" w:color="auto" w:sz="12" w:space="0"/>
              <w:right w:val="single" w:color="auto" w:sz="12" w:space="0"/>
            </w:tcBorders>
            <w:vAlign w:val="center"/>
          </w:tcPr>
          <w:p w14:paraId="5CB16AB8">
            <w:pPr>
              <w:ind w:firstLine="360" w:firstLineChars="200"/>
              <w:jc w:val="center"/>
              <w:rPr>
                <w:rFonts w:ascii="宋体" w:hAnsi="宋体" w:eastAsia="宋体"/>
                <w:sz w:val="18"/>
                <w:szCs w:val="18"/>
              </w:rPr>
            </w:pPr>
            <w:r>
              <w:rPr>
                <w:rFonts w:hint="eastAsia" w:ascii="宋体" w:hAnsi="宋体" w:eastAsia="宋体"/>
                <w:sz w:val="18"/>
                <w:szCs w:val="18"/>
              </w:rPr>
              <w:t>6.8</w:t>
            </w:r>
          </w:p>
        </w:tc>
        <w:tc>
          <w:tcPr>
            <w:tcW w:w="947" w:type="dxa"/>
            <w:tcBorders>
              <w:top w:val="single" w:color="auto" w:sz="12" w:space="0"/>
              <w:left w:val="single" w:color="auto" w:sz="12" w:space="0"/>
              <w:bottom w:val="single" w:color="auto" w:sz="12" w:space="0"/>
              <w:right w:val="single" w:color="auto" w:sz="12" w:space="0"/>
            </w:tcBorders>
            <w:vAlign w:val="center"/>
          </w:tcPr>
          <w:p w14:paraId="0D0D9A1D">
            <w:pPr>
              <w:ind w:firstLine="360" w:firstLineChars="200"/>
              <w:jc w:val="center"/>
              <w:rPr>
                <w:rFonts w:ascii="宋体" w:hAnsi="宋体" w:eastAsia="宋体"/>
                <w:sz w:val="18"/>
                <w:szCs w:val="18"/>
              </w:rPr>
            </w:pPr>
            <w:r>
              <w:rPr>
                <w:rFonts w:hint="eastAsia" w:ascii="宋体" w:hAnsi="宋体" w:eastAsia="宋体"/>
                <w:sz w:val="18"/>
                <w:szCs w:val="18"/>
              </w:rPr>
              <w:t>6.1</w:t>
            </w:r>
          </w:p>
        </w:tc>
        <w:tc>
          <w:tcPr>
            <w:tcW w:w="947" w:type="dxa"/>
            <w:tcBorders>
              <w:top w:val="single" w:color="auto" w:sz="12" w:space="0"/>
              <w:left w:val="single" w:color="auto" w:sz="12" w:space="0"/>
              <w:bottom w:val="single" w:color="auto" w:sz="12" w:space="0"/>
              <w:right w:val="single" w:color="auto" w:sz="12" w:space="0"/>
            </w:tcBorders>
            <w:vAlign w:val="center"/>
          </w:tcPr>
          <w:p w14:paraId="69A044FB">
            <w:pPr>
              <w:ind w:firstLine="360" w:firstLineChars="200"/>
              <w:jc w:val="center"/>
              <w:rPr>
                <w:rFonts w:ascii="宋体" w:hAnsi="宋体" w:eastAsia="宋体"/>
                <w:sz w:val="18"/>
                <w:szCs w:val="18"/>
              </w:rPr>
            </w:pPr>
            <w:r>
              <w:rPr>
                <w:rFonts w:hint="eastAsia" w:ascii="宋体" w:hAnsi="宋体" w:eastAsia="宋体"/>
                <w:sz w:val="18"/>
                <w:szCs w:val="18"/>
              </w:rPr>
              <w:t>1974</w:t>
            </w:r>
          </w:p>
        </w:tc>
        <w:tc>
          <w:tcPr>
            <w:tcW w:w="947" w:type="dxa"/>
            <w:tcBorders>
              <w:top w:val="single" w:color="auto" w:sz="12" w:space="0"/>
              <w:left w:val="single" w:color="auto" w:sz="12" w:space="0"/>
              <w:bottom w:val="single" w:color="auto" w:sz="12" w:space="0"/>
              <w:right w:val="single" w:color="auto" w:sz="12" w:space="0"/>
            </w:tcBorders>
            <w:vAlign w:val="center"/>
          </w:tcPr>
          <w:p w14:paraId="5BC4028A">
            <w:pPr>
              <w:ind w:firstLine="360" w:firstLineChars="200"/>
              <w:jc w:val="center"/>
              <w:rPr>
                <w:rFonts w:ascii="宋体" w:hAnsi="宋体" w:eastAsia="宋体"/>
                <w:sz w:val="18"/>
                <w:szCs w:val="18"/>
              </w:rPr>
            </w:pPr>
            <w:r>
              <w:rPr>
                <w:rFonts w:hint="eastAsia" w:ascii="宋体" w:hAnsi="宋体" w:eastAsia="宋体"/>
                <w:sz w:val="18"/>
                <w:szCs w:val="18"/>
              </w:rPr>
              <w:t>2.3</w:t>
            </w:r>
          </w:p>
        </w:tc>
        <w:tc>
          <w:tcPr>
            <w:tcW w:w="947" w:type="dxa"/>
            <w:tcBorders>
              <w:top w:val="single" w:color="auto" w:sz="12" w:space="0"/>
              <w:left w:val="single" w:color="auto" w:sz="12" w:space="0"/>
              <w:bottom w:val="single" w:color="auto" w:sz="12" w:space="0"/>
              <w:right w:val="single" w:color="auto" w:sz="12" w:space="0"/>
            </w:tcBorders>
            <w:vAlign w:val="center"/>
          </w:tcPr>
          <w:p w14:paraId="3D6F045E">
            <w:pPr>
              <w:ind w:firstLine="360" w:firstLineChars="200"/>
              <w:jc w:val="center"/>
              <w:rPr>
                <w:rFonts w:ascii="宋体" w:hAnsi="宋体" w:eastAsia="宋体"/>
                <w:sz w:val="18"/>
                <w:szCs w:val="18"/>
              </w:rPr>
            </w:pPr>
            <w:r>
              <w:rPr>
                <w:rFonts w:hint="eastAsia" w:ascii="宋体" w:hAnsi="宋体" w:eastAsia="宋体"/>
                <w:sz w:val="18"/>
                <w:szCs w:val="18"/>
              </w:rPr>
              <w:t>8.0</w:t>
            </w:r>
          </w:p>
        </w:tc>
        <w:tc>
          <w:tcPr>
            <w:tcW w:w="947" w:type="dxa"/>
            <w:tcBorders>
              <w:top w:val="single" w:color="auto" w:sz="12" w:space="0"/>
              <w:left w:val="single" w:color="auto" w:sz="12" w:space="0"/>
              <w:bottom w:val="single" w:color="auto" w:sz="12" w:space="0"/>
              <w:right w:val="single" w:color="auto" w:sz="12" w:space="0"/>
            </w:tcBorders>
            <w:vAlign w:val="center"/>
          </w:tcPr>
          <w:p w14:paraId="2FD44110">
            <w:pPr>
              <w:ind w:firstLine="360" w:firstLineChars="200"/>
              <w:jc w:val="center"/>
              <w:rPr>
                <w:rFonts w:ascii="宋体" w:hAnsi="宋体" w:eastAsia="宋体"/>
                <w:sz w:val="18"/>
                <w:szCs w:val="18"/>
              </w:rPr>
            </w:pPr>
            <w:r>
              <w:rPr>
                <w:rFonts w:hint="eastAsia" w:ascii="宋体" w:hAnsi="宋体" w:eastAsia="宋体"/>
                <w:sz w:val="18"/>
                <w:szCs w:val="18"/>
              </w:rPr>
              <w:t>1992</w:t>
            </w:r>
          </w:p>
        </w:tc>
        <w:tc>
          <w:tcPr>
            <w:tcW w:w="947" w:type="dxa"/>
            <w:tcBorders>
              <w:top w:val="single" w:color="auto" w:sz="12" w:space="0"/>
              <w:left w:val="single" w:color="auto" w:sz="12" w:space="0"/>
              <w:bottom w:val="single" w:color="auto" w:sz="12" w:space="0"/>
              <w:right w:val="single" w:color="auto" w:sz="12" w:space="0"/>
            </w:tcBorders>
            <w:vAlign w:val="center"/>
          </w:tcPr>
          <w:p w14:paraId="1EB79A23">
            <w:pPr>
              <w:ind w:firstLine="360" w:firstLineChars="200"/>
              <w:jc w:val="center"/>
              <w:rPr>
                <w:rFonts w:ascii="宋体" w:hAnsi="宋体" w:eastAsia="宋体"/>
                <w:sz w:val="18"/>
                <w:szCs w:val="18"/>
              </w:rPr>
            </w:pPr>
            <w:r>
              <w:rPr>
                <w:rFonts w:hint="eastAsia" w:ascii="宋体" w:hAnsi="宋体" w:eastAsia="宋体"/>
                <w:sz w:val="18"/>
                <w:szCs w:val="18"/>
              </w:rPr>
              <w:t>14.2</w:t>
            </w:r>
          </w:p>
        </w:tc>
        <w:tc>
          <w:tcPr>
            <w:tcW w:w="947" w:type="dxa"/>
            <w:tcBorders>
              <w:top w:val="single" w:color="auto" w:sz="12" w:space="0"/>
              <w:left w:val="single" w:color="auto" w:sz="12" w:space="0"/>
              <w:bottom w:val="single" w:color="auto" w:sz="12" w:space="0"/>
              <w:right w:val="nil"/>
            </w:tcBorders>
            <w:vAlign w:val="center"/>
          </w:tcPr>
          <w:p w14:paraId="6CE33E20">
            <w:pPr>
              <w:ind w:firstLine="360" w:firstLineChars="200"/>
              <w:jc w:val="center"/>
              <w:rPr>
                <w:rFonts w:ascii="宋体" w:hAnsi="宋体" w:eastAsia="宋体"/>
                <w:sz w:val="18"/>
                <w:szCs w:val="18"/>
              </w:rPr>
            </w:pPr>
            <w:r>
              <w:rPr>
                <w:rFonts w:hint="eastAsia" w:ascii="宋体" w:hAnsi="宋体" w:eastAsia="宋体"/>
                <w:sz w:val="18"/>
                <w:szCs w:val="18"/>
              </w:rPr>
              <w:t>5.1</w:t>
            </w:r>
          </w:p>
        </w:tc>
      </w:tr>
      <w:tr w14:paraId="65E0044D">
        <w:tc>
          <w:tcPr>
            <w:tcW w:w="1008" w:type="dxa"/>
            <w:tcBorders>
              <w:top w:val="single" w:color="auto" w:sz="12" w:space="0"/>
              <w:left w:val="nil"/>
              <w:bottom w:val="single" w:color="auto" w:sz="12" w:space="0"/>
              <w:right w:val="single" w:color="auto" w:sz="12" w:space="0"/>
            </w:tcBorders>
            <w:vAlign w:val="center"/>
          </w:tcPr>
          <w:p w14:paraId="15F32706">
            <w:pPr>
              <w:ind w:firstLine="360" w:firstLineChars="200"/>
              <w:jc w:val="center"/>
              <w:rPr>
                <w:rFonts w:ascii="宋体" w:hAnsi="宋体" w:eastAsia="宋体"/>
                <w:sz w:val="18"/>
                <w:szCs w:val="18"/>
              </w:rPr>
            </w:pPr>
            <w:r>
              <w:rPr>
                <w:rFonts w:hint="eastAsia" w:ascii="宋体" w:hAnsi="宋体" w:eastAsia="宋体"/>
                <w:sz w:val="18"/>
                <w:szCs w:val="18"/>
              </w:rPr>
              <w:t>1956</w:t>
            </w:r>
          </w:p>
        </w:tc>
        <w:tc>
          <w:tcPr>
            <w:tcW w:w="885" w:type="dxa"/>
            <w:tcBorders>
              <w:top w:val="single" w:color="auto" w:sz="12" w:space="0"/>
              <w:left w:val="single" w:color="auto" w:sz="12" w:space="0"/>
              <w:bottom w:val="single" w:color="auto" w:sz="12" w:space="0"/>
              <w:right w:val="single" w:color="auto" w:sz="12" w:space="0"/>
            </w:tcBorders>
            <w:vAlign w:val="center"/>
          </w:tcPr>
          <w:p w14:paraId="23711006">
            <w:pPr>
              <w:ind w:firstLine="360" w:firstLineChars="200"/>
              <w:jc w:val="center"/>
              <w:rPr>
                <w:rFonts w:ascii="宋体" w:hAnsi="宋体" w:eastAsia="宋体"/>
                <w:sz w:val="18"/>
                <w:szCs w:val="18"/>
              </w:rPr>
            </w:pPr>
            <w:r>
              <w:rPr>
                <w:rFonts w:hint="eastAsia" w:ascii="宋体" w:hAnsi="宋体" w:eastAsia="宋体"/>
                <w:sz w:val="18"/>
                <w:szCs w:val="18"/>
              </w:rPr>
              <w:t>15.0</w:t>
            </w:r>
          </w:p>
        </w:tc>
        <w:tc>
          <w:tcPr>
            <w:tcW w:w="947" w:type="dxa"/>
            <w:tcBorders>
              <w:top w:val="single" w:color="auto" w:sz="12" w:space="0"/>
              <w:left w:val="single" w:color="auto" w:sz="12" w:space="0"/>
              <w:bottom w:val="single" w:color="auto" w:sz="12" w:space="0"/>
              <w:right w:val="single" w:color="auto" w:sz="12" w:space="0"/>
            </w:tcBorders>
            <w:vAlign w:val="center"/>
          </w:tcPr>
          <w:p w14:paraId="500AC3BE">
            <w:pPr>
              <w:ind w:firstLine="360" w:firstLineChars="200"/>
              <w:jc w:val="center"/>
              <w:rPr>
                <w:rFonts w:ascii="宋体" w:hAnsi="宋体" w:eastAsia="宋体"/>
                <w:sz w:val="18"/>
                <w:szCs w:val="18"/>
              </w:rPr>
            </w:pPr>
            <w:r>
              <w:rPr>
                <w:rFonts w:hint="eastAsia" w:ascii="宋体" w:hAnsi="宋体" w:eastAsia="宋体"/>
                <w:sz w:val="18"/>
                <w:szCs w:val="18"/>
              </w:rPr>
              <w:t>1.2</w:t>
            </w:r>
          </w:p>
        </w:tc>
        <w:tc>
          <w:tcPr>
            <w:tcW w:w="947" w:type="dxa"/>
            <w:tcBorders>
              <w:top w:val="single" w:color="auto" w:sz="12" w:space="0"/>
              <w:left w:val="single" w:color="auto" w:sz="12" w:space="0"/>
              <w:bottom w:val="single" w:color="auto" w:sz="12" w:space="0"/>
              <w:right w:val="single" w:color="auto" w:sz="12" w:space="0"/>
            </w:tcBorders>
            <w:vAlign w:val="center"/>
          </w:tcPr>
          <w:p w14:paraId="6D292AF2">
            <w:pPr>
              <w:ind w:firstLine="360" w:firstLineChars="200"/>
              <w:jc w:val="center"/>
              <w:rPr>
                <w:rFonts w:ascii="宋体" w:hAnsi="宋体" w:eastAsia="宋体"/>
                <w:sz w:val="18"/>
                <w:szCs w:val="18"/>
              </w:rPr>
            </w:pPr>
            <w:r>
              <w:rPr>
                <w:rFonts w:hint="eastAsia" w:ascii="宋体" w:hAnsi="宋体" w:eastAsia="宋体"/>
                <w:sz w:val="18"/>
                <w:szCs w:val="18"/>
              </w:rPr>
              <w:t>1975</w:t>
            </w:r>
          </w:p>
        </w:tc>
        <w:tc>
          <w:tcPr>
            <w:tcW w:w="947" w:type="dxa"/>
            <w:tcBorders>
              <w:top w:val="single" w:color="auto" w:sz="12" w:space="0"/>
              <w:left w:val="single" w:color="auto" w:sz="12" w:space="0"/>
              <w:bottom w:val="single" w:color="auto" w:sz="12" w:space="0"/>
              <w:right w:val="single" w:color="auto" w:sz="12" w:space="0"/>
            </w:tcBorders>
            <w:vAlign w:val="center"/>
          </w:tcPr>
          <w:p w14:paraId="47531F70">
            <w:pPr>
              <w:ind w:firstLine="360" w:firstLineChars="200"/>
              <w:jc w:val="center"/>
              <w:rPr>
                <w:rFonts w:ascii="宋体" w:hAnsi="宋体" w:eastAsia="宋体"/>
                <w:sz w:val="18"/>
                <w:szCs w:val="18"/>
              </w:rPr>
            </w:pPr>
            <w:r>
              <w:rPr>
                <w:rFonts w:hint="eastAsia" w:ascii="宋体" w:hAnsi="宋体" w:eastAsia="宋体"/>
                <w:sz w:val="18"/>
                <w:szCs w:val="18"/>
              </w:rPr>
              <w:t>8.7</w:t>
            </w:r>
          </w:p>
        </w:tc>
        <w:tc>
          <w:tcPr>
            <w:tcW w:w="947" w:type="dxa"/>
            <w:tcBorders>
              <w:top w:val="single" w:color="auto" w:sz="12" w:space="0"/>
              <w:left w:val="single" w:color="auto" w:sz="12" w:space="0"/>
              <w:bottom w:val="single" w:color="auto" w:sz="12" w:space="0"/>
              <w:right w:val="single" w:color="auto" w:sz="12" w:space="0"/>
            </w:tcBorders>
            <w:vAlign w:val="center"/>
          </w:tcPr>
          <w:p w14:paraId="2BD708F7">
            <w:pPr>
              <w:ind w:firstLine="360" w:firstLineChars="200"/>
              <w:jc w:val="center"/>
              <w:rPr>
                <w:rFonts w:ascii="宋体" w:hAnsi="宋体" w:eastAsia="宋体"/>
                <w:sz w:val="18"/>
                <w:szCs w:val="18"/>
              </w:rPr>
            </w:pPr>
            <w:r>
              <w:rPr>
                <w:rFonts w:hint="eastAsia" w:ascii="宋体" w:hAnsi="宋体" w:eastAsia="宋体"/>
                <w:sz w:val="18"/>
                <w:szCs w:val="18"/>
              </w:rPr>
              <w:t>7.1</w:t>
            </w:r>
          </w:p>
        </w:tc>
        <w:tc>
          <w:tcPr>
            <w:tcW w:w="947" w:type="dxa"/>
            <w:tcBorders>
              <w:top w:val="single" w:color="auto" w:sz="12" w:space="0"/>
              <w:left w:val="single" w:color="auto" w:sz="12" w:space="0"/>
              <w:bottom w:val="single" w:color="auto" w:sz="12" w:space="0"/>
              <w:right w:val="single" w:color="auto" w:sz="12" w:space="0"/>
            </w:tcBorders>
            <w:vAlign w:val="center"/>
          </w:tcPr>
          <w:p w14:paraId="1E0F1CCA">
            <w:pPr>
              <w:ind w:firstLine="360" w:firstLineChars="200"/>
              <w:jc w:val="center"/>
              <w:rPr>
                <w:rFonts w:ascii="宋体" w:hAnsi="宋体" w:eastAsia="宋体"/>
                <w:sz w:val="18"/>
                <w:szCs w:val="18"/>
              </w:rPr>
            </w:pPr>
            <w:r>
              <w:rPr>
                <w:rFonts w:hint="eastAsia" w:ascii="宋体" w:hAnsi="宋体" w:eastAsia="宋体"/>
                <w:sz w:val="18"/>
                <w:szCs w:val="18"/>
              </w:rPr>
              <w:t>1993</w:t>
            </w:r>
          </w:p>
        </w:tc>
        <w:tc>
          <w:tcPr>
            <w:tcW w:w="947" w:type="dxa"/>
            <w:tcBorders>
              <w:top w:val="single" w:color="auto" w:sz="12" w:space="0"/>
              <w:left w:val="single" w:color="auto" w:sz="12" w:space="0"/>
              <w:bottom w:val="single" w:color="auto" w:sz="12" w:space="0"/>
              <w:right w:val="single" w:color="auto" w:sz="12" w:space="0"/>
            </w:tcBorders>
            <w:vAlign w:val="center"/>
          </w:tcPr>
          <w:p w14:paraId="11F47F4C">
            <w:pPr>
              <w:ind w:firstLine="360" w:firstLineChars="200"/>
              <w:jc w:val="center"/>
              <w:rPr>
                <w:rFonts w:ascii="宋体" w:hAnsi="宋体" w:eastAsia="宋体"/>
                <w:sz w:val="18"/>
                <w:szCs w:val="18"/>
              </w:rPr>
            </w:pPr>
            <w:r>
              <w:rPr>
                <w:rFonts w:hint="eastAsia" w:ascii="宋体" w:hAnsi="宋体" w:eastAsia="宋体"/>
                <w:sz w:val="18"/>
                <w:szCs w:val="18"/>
              </w:rPr>
              <w:t>13.5</w:t>
            </w:r>
          </w:p>
        </w:tc>
        <w:tc>
          <w:tcPr>
            <w:tcW w:w="947" w:type="dxa"/>
            <w:tcBorders>
              <w:top w:val="single" w:color="auto" w:sz="12" w:space="0"/>
              <w:left w:val="single" w:color="auto" w:sz="12" w:space="0"/>
              <w:bottom w:val="single" w:color="auto" w:sz="12" w:space="0"/>
              <w:right w:val="nil"/>
            </w:tcBorders>
            <w:vAlign w:val="center"/>
          </w:tcPr>
          <w:p w14:paraId="51B498AF">
            <w:pPr>
              <w:ind w:firstLine="360" w:firstLineChars="200"/>
              <w:jc w:val="center"/>
              <w:rPr>
                <w:rFonts w:ascii="宋体" w:hAnsi="宋体" w:eastAsia="宋体"/>
                <w:sz w:val="18"/>
                <w:szCs w:val="18"/>
              </w:rPr>
            </w:pPr>
            <w:r>
              <w:rPr>
                <w:rFonts w:hint="eastAsia" w:ascii="宋体" w:hAnsi="宋体" w:eastAsia="宋体"/>
                <w:sz w:val="18"/>
                <w:szCs w:val="18"/>
              </w:rPr>
              <w:t>5.8</w:t>
            </w:r>
          </w:p>
        </w:tc>
      </w:tr>
      <w:tr w14:paraId="7934273F">
        <w:tc>
          <w:tcPr>
            <w:tcW w:w="1008" w:type="dxa"/>
            <w:tcBorders>
              <w:top w:val="single" w:color="auto" w:sz="12" w:space="0"/>
              <w:left w:val="nil"/>
              <w:bottom w:val="single" w:color="auto" w:sz="12" w:space="0"/>
              <w:right w:val="single" w:color="auto" w:sz="12" w:space="0"/>
            </w:tcBorders>
            <w:vAlign w:val="center"/>
          </w:tcPr>
          <w:p w14:paraId="4025CCA0">
            <w:pPr>
              <w:ind w:firstLine="360" w:firstLineChars="200"/>
              <w:jc w:val="center"/>
              <w:rPr>
                <w:rFonts w:ascii="宋体" w:hAnsi="宋体" w:eastAsia="宋体"/>
                <w:sz w:val="18"/>
                <w:szCs w:val="18"/>
              </w:rPr>
            </w:pPr>
            <w:r>
              <w:rPr>
                <w:rFonts w:hint="eastAsia" w:ascii="宋体" w:hAnsi="宋体" w:eastAsia="宋体"/>
                <w:sz w:val="18"/>
                <w:szCs w:val="18"/>
              </w:rPr>
              <w:t>1957</w:t>
            </w:r>
          </w:p>
        </w:tc>
        <w:tc>
          <w:tcPr>
            <w:tcW w:w="885" w:type="dxa"/>
            <w:tcBorders>
              <w:top w:val="single" w:color="auto" w:sz="12" w:space="0"/>
              <w:left w:val="single" w:color="auto" w:sz="12" w:space="0"/>
              <w:bottom w:val="single" w:color="auto" w:sz="12" w:space="0"/>
              <w:right w:val="single" w:color="auto" w:sz="12" w:space="0"/>
            </w:tcBorders>
            <w:vAlign w:val="center"/>
          </w:tcPr>
          <w:p w14:paraId="0566B1BA">
            <w:pPr>
              <w:ind w:firstLine="360" w:firstLineChars="200"/>
              <w:jc w:val="center"/>
              <w:rPr>
                <w:rFonts w:ascii="宋体" w:hAnsi="宋体" w:eastAsia="宋体"/>
                <w:sz w:val="18"/>
                <w:szCs w:val="18"/>
              </w:rPr>
            </w:pPr>
            <w:r>
              <w:rPr>
                <w:rFonts w:hint="eastAsia" w:ascii="宋体" w:hAnsi="宋体" w:eastAsia="宋体"/>
                <w:sz w:val="18"/>
                <w:szCs w:val="18"/>
              </w:rPr>
              <w:t>5.1</w:t>
            </w:r>
          </w:p>
        </w:tc>
        <w:tc>
          <w:tcPr>
            <w:tcW w:w="947" w:type="dxa"/>
            <w:tcBorders>
              <w:top w:val="single" w:color="auto" w:sz="12" w:space="0"/>
              <w:left w:val="single" w:color="auto" w:sz="12" w:space="0"/>
              <w:bottom w:val="single" w:color="auto" w:sz="12" w:space="0"/>
              <w:right w:val="single" w:color="auto" w:sz="12" w:space="0"/>
            </w:tcBorders>
            <w:vAlign w:val="center"/>
          </w:tcPr>
          <w:p w14:paraId="18C5E741">
            <w:pPr>
              <w:ind w:firstLine="360" w:firstLineChars="200"/>
              <w:jc w:val="center"/>
              <w:rPr>
                <w:rFonts w:ascii="宋体" w:hAnsi="宋体" w:eastAsia="宋体"/>
                <w:sz w:val="18"/>
                <w:szCs w:val="18"/>
              </w:rPr>
            </w:pPr>
            <w:r>
              <w:rPr>
                <w:rFonts w:hint="eastAsia" w:ascii="宋体" w:hAnsi="宋体" w:eastAsia="宋体"/>
                <w:sz w:val="18"/>
                <w:szCs w:val="18"/>
              </w:rPr>
              <w:t>8.8</w:t>
            </w:r>
          </w:p>
        </w:tc>
        <w:tc>
          <w:tcPr>
            <w:tcW w:w="947" w:type="dxa"/>
            <w:tcBorders>
              <w:top w:val="single" w:color="auto" w:sz="12" w:space="0"/>
              <w:left w:val="single" w:color="auto" w:sz="12" w:space="0"/>
              <w:bottom w:val="single" w:color="auto" w:sz="12" w:space="0"/>
              <w:right w:val="single" w:color="auto" w:sz="12" w:space="0"/>
            </w:tcBorders>
            <w:vAlign w:val="center"/>
          </w:tcPr>
          <w:p w14:paraId="10E70AAD">
            <w:pPr>
              <w:ind w:firstLine="360" w:firstLineChars="200"/>
              <w:jc w:val="center"/>
              <w:rPr>
                <w:rFonts w:ascii="宋体" w:hAnsi="宋体" w:eastAsia="宋体"/>
                <w:sz w:val="18"/>
                <w:szCs w:val="18"/>
              </w:rPr>
            </w:pPr>
            <w:r>
              <w:rPr>
                <w:rFonts w:hint="eastAsia" w:ascii="宋体" w:hAnsi="宋体" w:eastAsia="宋体"/>
                <w:sz w:val="18"/>
                <w:szCs w:val="18"/>
              </w:rPr>
              <w:t>1976</w:t>
            </w:r>
          </w:p>
        </w:tc>
        <w:tc>
          <w:tcPr>
            <w:tcW w:w="947" w:type="dxa"/>
            <w:tcBorders>
              <w:top w:val="single" w:color="auto" w:sz="12" w:space="0"/>
              <w:left w:val="single" w:color="auto" w:sz="12" w:space="0"/>
              <w:bottom w:val="single" w:color="auto" w:sz="12" w:space="0"/>
              <w:right w:val="single" w:color="auto" w:sz="12" w:space="0"/>
            </w:tcBorders>
            <w:vAlign w:val="center"/>
          </w:tcPr>
          <w:p w14:paraId="0105D9A2">
            <w:pPr>
              <w:ind w:firstLine="360" w:firstLineChars="200"/>
              <w:jc w:val="center"/>
              <w:rPr>
                <w:rFonts w:ascii="宋体" w:hAnsi="宋体" w:eastAsia="宋体"/>
                <w:sz w:val="18"/>
                <w:szCs w:val="18"/>
              </w:rPr>
            </w:pPr>
            <w:r>
              <w:rPr>
                <w:rFonts w:hint="eastAsia" w:ascii="宋体" w:hAnsi="宋体" w:eastAsia="宋体"/>
                <w:sz w:val="18"/>
                <w:szCs w:val="18"/>
              </w:rPr>
              <w:t>- 1.6</w:t>
            </w:r>
          </w:p>
        </w:tc>
        <w:tc>
          <w:tcPr>
            <w:tcW w:w="947" w:type="dxa"/>
            <w:tcBorders>
              <w:top w:val="single" w:color="auto" w:sz="12" w:space="0"/>
              <w:left w:val="single" w:color="auto" w:sz="12" w:space="0"/>
              <w:bottom w:val="single" w:color="auto" w:sz="12" w:space="0"/>
              <w:right w:val="single" w:color="auto" w:sz="12" w:space="0"/>
            </w:tcBorders>
            <w:vAlign w:val="center"/>
          </w:tcPr>
          <w:p w14:paraId="25A42CA0">
            <w:pPr>
              <w:ind w:firstLine="360" w:firstLineChars="200"/>
              <w:jc w:val="center"/>
              <w:rPr>
                <w:rFonts w:ascii="宋体" w:hAnsi="宋体" w:eastAsia="宋体"/>
                <w:sz w:val="18"/>
                <w:szCs w:val="18"/>
              </w:rPr>
            </w:pPr>
            <w:r>
              <w:rPr>
                <w:rFonts w:hint="eastAsia" w:ascii="宋体" w:hAnsi="宋体" w:eastAsia="宋体"/>
                <w:sz w:val="18"/>
                <w:szCs w:val="18"/>
              </w:rPr>
              <w:t>15.1</w:t>
            </w:r>
          </w:p>
        </w:tc>
        <w:tc>
          <w:tcPr>
            <w:tcW w:w="947" w:type="dxa"/>
            <w:tcBorders>
              <w:top w:val="single" w:color="auto" w:sz="12" w:space="0"/>
              <w:left w:val="single" w:color="auto" w:sz="12" w:space="0"/>
              <w:bottom w:val="single" w:color="auto" w:sz="12" w:space="0"/>
              <w:right w:val="single" w:color="auto" w:sz="12" w:space="0"/>
            </w:tcBorders>
            <w:vAlign w:val="center"/>
          </w:tcPr>
          <w:p w14:paraId="677E0CC3">
            <w:pPr>
              <w:ind w:firstLine="360" w:firstLineChars="200"/>
              <w:jc w:val="center"/>
              <w:rPr>
                <w:rFonts w:ascii="宋体" w:hAnsi="宋体" w:eastAsia="宋体"/>
                <w:sz w:val="18"/>
                <w:szCs w:val="18"/>
              </w:rPr>
            </w:pPr>
            <w:r>
              <w:rPr>
                <w:rFonts w:hint="eastAsia" w:ascii="宋体" w:hAnsi="宋体" w:eastAsia="宋体"/>
                <w:sz w:val="18"/>
                <w:szCs w:val="18"/>
              </w:rPr>
              <w:t>1994</w:t>
            </w:r>
          </w:p>
        </w:tc>
        <w:tc>
          <w:tcPr>
            <w:tcW w:w="947" w:type="dxa"/>
            <w:tcBorders>
              <w:top w:val="single" w:color="auto" w:sz="12" w:space="0"/>
              <w:left w:val="single" w:color="auto" w:sz="12" w:space="0"/>
              <w:bottom w:val="single" w:color="auto" w:sz="12" w:space="0"/>
              <w:right w:val="single" w:color="auto" w:sz="12" w:space="0"/>
            </w:tcBorders>
            <w:vAlign w:val="center"/>
          </w:tcPr>
          <w:p w14:paraId="4BA0094D">
            <w:pPr>
              <w:ind w:firstLine="360" w:firstLineChars="200"/>
              <w:jc w:val="center"/>
              <w:rPr>
                <w:rFonts w:ascii="宋体" w:hAnsi="宋体" w:eastAsia="宋体"/>
                <w:sz w:val="18"/>
                <w:szCs w:val="18"/>
              </w:rPr>
            </w:pPr>
            <w:r>
              <w:rPr>
                <w:rFonts w:hint="eastAsia" w:ascii="宋体" w:hAnsi="宋体" w:eastAsia="宋体"/>
                <w:sz w:val="18"/>
                <w:szCs w:val="18"/>
              </w:rPr>
              <w:t>12.6</w:t>
            </w:r>
          </w:p>
        </w:tc>
        <w:tc>
          <w:tcPr>
            <w:tcW w:w="947" w:type="dxa"/>
            <w:tcBorders>
              <w:top w:val="single" w:color="auto" w:sz="12" w:space="0"/>
              <w:left w:val="single" w:color="auto" w:sz="12" w:space="0"/>
              <w:bottom w:val="single" w:color="auto" w:sz="12" w:space="0"/>
              <w:right w:val="nil"/>
            </w:tcBorders>
            <w:vAlign w:val="center"/>
          </w:tcPr>
          <w:p w14:paraId="7CD1A4ED">
            <w:pPr>
              <w:ind w:firstLine="360" w:firstLineChars="200"/>
              <w:jc w:val="center"/>
              <w:rPr>
                <w:rFonts w:ascii="宋体" w:hAnsi="宋体" w:eastAsia="宋体"/>
                <w:sz w:val="18"/>
                <w:szCs w:val="18"/>
              </w:rPr>
            </w:pPr>
            <w:r>
              <w:rPr>
                <w:rFonts w:hint="eastAsia" w:ascii="宋体" w:hAnsi="宋体" w:eastAsia="宋体"/>
                <w:sz w:val="18"/>
                <w:szCs w:val="18"/>
              </w:rPr>
              <w:t>8.4</w:t>
            </w:r>
          </w:p>
        </w:tc>
      </w:tr>
      <w:tr w14:paraId="565D4A8F">
        <w:tc>
          <w:tcPr>
            <w:tcW w:w="1008" w:type="dxa"/>
            <w:tcBorders>
              <w:top w:val="single" w:color="auto" w:sz="12" w:space="0"/>
              <w:left w:val="nil"/>
              <w:bottom w:val="single" w:color="auto" w:sz="12" w:space="0"/>
              <w:right w:val="single" w:color="auto" w:sz="12" w:space="0"/>
            </w:tcBorders>
            <w:vAlign w:val="center"/>
          </w:tcPr>
          <w:p w14:paraId="4BA22276">
            <w:pPr>
              <w:ind w:firstLine="360" w:firstLineChars="200"/>
              <w:jc w:val="center"/>
              <w:rPr>
                <w:rFonts w:ascii="宋体" w:hAnsi="宋体" w:eastAsia="宋体"/>
                <w:sz w:val="18"/>
                <w:szCs w:val="18"/>
              </w:rPr>
            </w:pPr>
            <w:r>
              <w:rPr>
                <w:rFonts w:hint="eastAsia" w:ascii="宋体" w:hAnsi="宋体" w:eastAsia="宋体"/>
                <w:sz w:val="18"/>
                <w:szCs w:val="18"/>
              </w:rPr>
              <w:t>1958</w:t>
            </w:r>
          </w:p>
        </w:tc>
        <w:tc>
          <w:tcPr>
            <w:tcW w:w="885" w:type="dxa"/>
            <w:tcBorders>
              <w:top w:val="single" w:color="auto" w:sz="12" w:space="0"/>
              <w:left w:val="single" w:color="auto" w:sz="12" w:space="0"/>
              <w:bottom w:val="single" w:color="auto" w:sz="12" w:space="0"/>
              <w:right w:val="single" w:color="auto" w:sz="12" w:space="0"/>
            </w:tcBorders>
            <w:vAlign w:val="center"/>
          </w:tcPr>
          <w:p w14:paraId="1D54F5B9">
            <w:pPr>
              <w:ind w:firstLine="360" w:firstLineChars="200"/>
              <w:jc w:val="center"/>
              <w:rPr>
                <w:rFonts w:ascii="宋体" w:hAnsi="宋体" w:eastAsia="宋体"/>
                <w:sz w:val="18"/>
                <w:szCs w:val="18"/>
              </w:rPr>
            </w:pPr>
            <w:r>
              <w:rPr>
                <w:rFonts w:hint="eastAsia" w:ascii="宋体" w:hAnsi="宋体" w:eastAsia="宋体"/>
                <w:sz w:val="18"/>
                <w:szCs w:val="18"/>
              </w:rPr>
              <w:t>21.3</w:t>
            </w:r>
          </w:p>
        </w:tc>
        <w:tc>
          <w:tcPr>
            <w:tcW w:w="947" w:type="dxa"/>
            <w:tcBorders>
              <w:top w:val="single" w:color="auto" w:sz="12" w:space="0"/>
              <w:left w:val="single" w:color="auto" w:sz="12" w:space="0"/>
              <w:bottom w:val="single" w:color="auto" w:sz="12" w:space="0"/>
              <w:right w:val="single" w:color="auto" w:sz="12" w:space="0"/>
            </w:tcBorders>
            <w:vAlign w:val="center"/>
          </w:tcPr>
          <w:p w14:paraId="29CEBFA1">
            <w:pPr>
              <w:ind w:firstLine="360" w:firstLineChars="200"/>
              <w:jc w:val="center"/>
              <w:rPr>
                <w:rFonts w:ascii="宋体" w:hAnsi="宋体" w:eastAsia="宋体"/>
                <w:sz w:val="18"/>
                <w:szCs w:val="18"/>
              </w:rPr>
            </w:pPr>
            <w:r>
              <w:rPr>
                <w:rFonts w:hint="eastAsia" w:ascii="宋体" w:hAnsi="宋体" w:eastAsia="宋体"/>
                <w:sz w:val="18"/>
                <w:szCs w:val="18"/>
              </w:rPr>
              <w:t>5.5</w:t>
            </w:r>
          </w:p>
        </w:tc>
        <w:tc>
          <w:tcPr>
            <w:tcW w:w="947" w:type="dxa"/>
            <w:tcBorders>
              <w:top w:val="single" w:color="auto" w:sz="12" w:space="0"/>
              <w:left w:val="single" w:color="auto" w:sz="12" w:space="0"/>
              <w:bottom w:val="single" w:color="auto" w:sz="12" w:space="0"/>
              <w:right w:val="single" w:color="auto" w:sz="12" w:space="0"/>
            </w:tcBorders>
            <w:vAlign w:val="center"/>
          </w:tcPr>
          <w:p w14:paraId="7284E0A1">
            <w:pPr>
              <w:ind w:firstLine="360" w:firstLineChars="200"/>
              <w:jc w:val="center"/>
              <w:rPr>
                <w:rFonts w:ascii="宋体" w:hAnsi="宋体" w:eastAsia="宋体"/>
                <w:sz w:val="18"/>
                <w:szCs w:val="18"/>
              </w:rPr>
            </w:pPr>
            <w:r>
              <w:rPr>
                <w:rFonts w:hint="eastAsia" w:ascii="宋体" w:hAnsi="宋体" w:eastAsia="宋体"/>
                <w:sz w:val="18"/>
                <w:szCs w:val="18"/>
              </w:rPr>
              <w:t>1977</w:t>
            </w:r>
          </w:p>
        </w:tc>
        <w:tc>
          <w:tcPr>
            <w:tcW w:w="947" w:type="dxa"/>
            <w:tcBorders>
              <w:top w:val="single" w:color="auto" w:sz="12" w:space="0"/>
              <w:left w:val="single" w:color="auto" w:sz="12" w:space="0"/>
              <w:bottom w:val="single" w:color="auto" w:sz="12" w:space="0"/>
              <w:right w:val="single" w:color="auto" w:sz="12" w:space="0"/>
            </w:tcBorders>
            <w:vAlign w:val="center"/>
          </w:tcPr>
          <w:p w14:paraId="63D04AD4">
            <w:pPr>
              <w:ind w:firstLine="360" w:firstLineChars="200"/>
              <w:jc w:val="center"/>
              <w:rPr>
                <w:rFonts w:ascii="宋体" w:hAnsi="宋体" w:eastAsia="宋体"/>
                <w:sz w:val="18"/>
                <w:szCs w:val="18"/>
              </w:rPr>
            </w:pPr>
            <w:r>
              <w:rPr>
                <w:rFonts w:hint="eastAsia" w:ascii="宋体" w:hAnsi="宋体" w:eastAsia="宋体"/>
                <w:sz w:val="18"/>
                <w:szCs w:val="18"/>
              </w:rPr>
              <w:t>7.6</w:t>
            </w:r>
          </w:p>
        </w:tc>
        <w:tc>
          <w:tcPr>
            <w:tcW w:w="947" w:type="dxa"/>
            <w:tcBorders>
              <w:top w:val="single" w:color="auto" w:sz="12" w:space="0"/>
              <w:left w:val="single" w:color="auto" w:sz="12" w:space="0"/>
              <w:bottom w:val="single" w:color="auto" w:sz="12" w:space="0"/>
              <w:right w:val="single" w:color="auto" w:sz="12" w:space="0"/>
            </w:tcBorders>
            <w:vAlign w:val="center"/>
          </w:tcPr>
          <w:p w14:paraId="4B642AF9">
            <w:pPr>
              <w:ind w:firstLine="360" w:firstLineChars="200"/>
              <w:jc w:val="center"/>
              <w:rPr>
                <w:rFonts w:ascii="宋体" w:hAnsi="宋体" w:eastAsia="宋体"/>
                <w:sz w:val="18"/>
                <w:szCs w:val="18"/>
              </w:rPr>
            </w:pPr>
            <w:r>
              <w:rPr>
                <w:rFonts w:hint="eastAsia" w:ascii="宋体" w:hAnsi="宋体" w:eastAsia="宋体"/>
                <w:sz w:val="18"/>
                <w:szCs w:val="18"/>
              </w:rPr>
              <w:t>10.3</w:t>
            </w:r>
          </w:p>
        </w:tc>
        <w:tc>
          <w:tcPr>
            <w:tcW w:w="947" w:type="dxa"/>
            <w:tcBorders>
              <w:top w:val="single" w:color="auto" w:sz="12" w:space="0"/>
              <w:left w:val="single" w:color="auto" w:sz="12" w:space="0"/>
              <w:bottom w:val="single" w:color="auto" w:sz="12" w:space="0"/>
              <w:right w:val="single" w:color="auto" w:sz="12" w:space="0"/>
            </w:tcBorders>
            <w:vAlign w:val="center"/>
          </w:tcPr>
          <w:p w14:paraId="7712D7BB">
            <w:pPr>
              <w:ind w:firstLine="360" w:firstLineChars="200"/>
              <w:jc w:val="center"/>
              <w:rPr>
                <w:rFonts w:ascii="宋体" w:hAnsi="宋体" w:eastAsia="宋体"/>
                <w:sz w:val="18"/>
                <w:szCs w:val="18"/>
              </w:rPr>
            </w:pPr>
            <w:r>
              <w:rPr>
                <w:rFonts w:hint="eastAsia" w:ascii="宋体" w:hAnsi="宋体" w:eastAsia="宋体"/>
                <w:sz w:val="18"/>
                <w:szCs w:val="18"/>
              </w:rPr>
              <w:t>1995</w:t>
            </w:r>
          </w:p>
        </w:tc>
        <w:tc>
          <w:tcPr>
            <w:tcW w:w="947" w:type="dxa"/>
            <w:tcBorders>
              <w:top w:val="single" w:color="auto" w:sz="12" w:space="0"/>
              <w:left w:val="single" w:color="auto" w:sz="12" w:space="0"/>
              <w:bottom w:val="single" w:color="auto" w:sz="12" w:space="0"/>
              <w:right w:val="single" w:color="auto" w:sz="12" w:space="0"/>
            </w:tcBorders>
            <w:vAlign w:val="center"/>
          </w:tcPr>
          <w:p w14:paraId="26BBB7C0">
            <w:pPr>
              <w:ind w:firstLine="360" w:firstLineChars="200"/>
              <w:jc w:val="center"/>
              <w:rPr>
                <w:rFonts w:ascii="宋体" w:hAnsi="宋体" w:eastAsia="宋体"/>
                <w:sz w:val="18"/>
                <w:szCs w:val="18"/>
              </w:rPr>
            </w:pPr>
            <w:r>
              <w:rPr>
                <w:rFonts w:hint="eastAsia" w:ascii="宋体" w:hAnsi="宋体" w:eastAsia="宋体"/>
                <w:sz w:val="18"/>
                <w:szCs w:val="18"/>
              </w:rPr>
              <w:t>10.5</w:t>
            </w:r>
          </w:p>
        </w:tc>
        <w:tc>
          <w:tcPr>
            <w:tcW w:w="947" w:type="dxa"/>
            <w:tcBorders>
              <w:top w:val="single" w:color="auto" w:sz="12" w:space="0"/>
              <w:left w:val="single" w:color="auto" w:sz="12" w:space="0"/>
              <w:bottom w:val="single" w:color="auto" w:sz="12" w:space="0"/>
              <w:right w:val="nil"/>
            </w:tcBorders>
            <w:vAlign w:val="center"/>
          </w:tcPr>
          <w:p w14:paraId="54205D20">
            <w:pPr>
              <w:ind w:firstLine="360" w:firstLineChars="200"/>
              <w:jc w:val="center"/>
              <w:rPr>
                <w:rFonts w:ascii="宋体" w:hAnsi="宋体" w:eastAsia="宋体"/>
                <w:sz w:val="18"/>
                <w:szCs w:val="18"/>
              </w:rPr>
            </w:pPr>
            <w:r>
              <w:rPr>
                <w:rFonts w:hint="eastAsia" w:ascii="宋体" w:hAnsi="宋体" w:eastAsia="宋体"/>
                <w:sz w:val="18"/>
                <w:szCs w:val="18"/>
              </w:rPr>
              <w:t>9.3</w:t>
            </w:r>
          </w:p>
        </w:tc>
      </w:tr>
      <w:tr w14:paraId="238E5579">
        <w:tc>
          <w:tcPr>
            <w:tcW w:w="1008" w:type="dxa"/>
            <w:tcBorders>
              <w:top w:val="single" w:color="auto" w:sz="12" w:space="0"/>
              <w:left w:val="nil"/>
              <w:bottom w:val="single" w:color="auto" w:sz="12" w:space="0"/>
              <w:right w:val="single" w:color="auto" w:sz="12" w:space="0"/>
            </w:tcBorders>
            <w:vAlign w:val="center"/>
          </w:tcPr>
          <w:p w14:paraId="68A622F0">
            <w:pPr>
              <w:ind w:firstLine="360" w:firstLineChars="200"/>
              <w:jc w:val="center"/>
              <w:rPr>
                <w:rFonts w:ascii="宋体" w:hAnsi="宋体" w:eastAsia="宋体"/>
                <w:sz w:val="18"/>
                <w:szCs w:val="18"/>
              </w:rPr>
            </w:pPr>
            <w:r>
              <w:rPr>
                <w:rFonts w:hint="eastAsia" w:ascii="宋体" w:hAnsi="宋体" w:eastAsia="宋体"/>
                <w:sz w:val="18"/>
                <w:szCs w:val="18"/>
              </w:rPr>
              <w:t>1960</w:t>
            </w:r>
          </w:p>
        </w:tc>
        <w:tc>
          <w:tcPr>
            <w:tcW w:w="885" w:type="dxa"/>
            <w:tcBorders>
              <w:top w:val="single" w:color="auto" w:sz="12" w:space="0"/>
              <w:left w:val="single" w:color="auto" w:sz="12" w:space="0"/>
              <w:bottom w:val="single" w:color="auto" w:sz="12" w:space="0"/>
              <w:right w:val="single" w:color="auto" w:sz="12" w:space="0"/>
            </w:tcBorders>
            <w:vAlign w:val="center"/>
          </w:tcPr>
          <w:p w14:paraId="7BB6264F">
            <w:pPr>
              <w:ind w:firstLine="360" w:firstLineChars="200"/>
              <w:jc w:val="center"/>
              <w:rPr>
                <w:rFonts w:ascii="宋体" w:hAnsi="宋体" w:eastAsia="宋体"/>
                <w:sz w:val="18"/>
                <w:szCs w:val="18"/>
              </w:rPr>
            </w:pPr>
            <w:r>
              <w:rPr>
                <w:rFonts w:hint="eastAsia" w:ascii="宋体" w:hAnsi="宋体" w:eastAsia="宋体"/>
                <w:sz w:val="18"/>
                <w:szCs w:val="18"/>
              </w:rPr>
              <w:t>- 0.3</w:t>
            </w:r>
          </w:p>
        </w:tc>
        <w:tc>
          <w:tcPr>
            <w:tcW w:w="947" w:type="dxa"/>
            <w:tcBorders>
              <w:top w:val="single" w:color="auto" w:sz="12" w:space="0"/>
              <w:left w:val="single" w:color="auto" w:sz="12" w:space="0"/>
              <w:bottom w:val="single" w:color="auto" w:sz="12" w:space="0"/>
              <w:right w:val="single" w:color="auto" w:sz="12" w:space="0"/>
            </w:tcBorders>
            <w:vAlign w:val="center"/>
          </w:tcPr>
          <w:p w14:paraId="10DEC6D6">
            <w:pPr>
              <w:ind w:firstLine="360" w:firstLineChars="200"/>
              <w:jc w:val="center"/>
              <w:rPr>
                <w:rFonts w:ascii="宋体" w:hAnsi="宋体" w:eastAsia="宋体"/>
                <w:sz w:val="18"/>
                <w:szCs w:val="18"/>
              </w:rPr>
            </w:pPr>
            <w:r>
              <w:rPr>
                <w:rFonts w:hint="eastAsia" w:ascii="宋体" w:hAnsi="宋体" w:eastAsia="宋体"/>
                <w:sz w:val="18"/>
                <w:szCs w:val="18"/>
              </w:rPr>
              <w:t>1.1</w:t>
            </w:r>
          </w:p>
        </w:tc>
        <w:tc>
          <w:tcPr>
            <w:tcW w:w="947" w:type="dxa"/>
            <w:tcBorders>
              <w:top w:val="single" w:color="auto" w:sz="12" w:space="0"/>
              <w:left w:val="single" w:color="auto" w:sz="12" w:space="0"/>
              <w:bottom w:val="single" w:color="auto" w:sz="12" w:space="0"/>
              <w:right w:val="single" w:color="auto" w:sz="12" w:space="0"/>
            </w:tcBorders>
            <w:vAlign w:val="center"/>
          </w:tcPr>
          <w:p w14:paraId="562DF33C">
            <w:pPr>
              <w:ind w:firstLine="360" w:firstLineChars="200"/>
              <w:jc w:val="center"/>
              <w:rPr>
                <w:rFonts w:ascii="宋体" w:hAnsi="宋体" w:eastAsia="宋体"/>
                <w:sz w:val="18"/>
                <w:szCs w:val="18"/>
              </w:rPr>
            </w:pPr>
            <w:r>
              <w:rPr>
                <w:rFonts w:hint="eastAsia" w:ascii="宋体" w:hAnsi="宋体" w:eastAsia="宋体"/>
                <w:sz w:val="18"/>
                <w:szCs w:val="18"/>
              </w:rPr>
              <w:t>1978</w:t>
            </w:r>
          </w:p>
        </w:tc>
        <w:tc>
          <w:tcPr>
            <w:tcW w:w="947" w:type="dxa"/>
            <w:tcBorders>
              <w:top w:val="single" w:color="auto" w:sz="12" w:space="0"/>
              <w:left w:val="single" w:color="auto" w:sz="12" w:space="0"/>
              <w:bottom w:val="single" w:color="auto" w:sz="12" w:space="0"/>
              <w:right w:val="single" w:color="auto" w:sz="12" w:space="0"/>
            </w:tcBorders>
            <w:vAlign w:val="center"/>
          </w:tcPr>
          <w:p w14:paraId="720D0A58">
            <w:pPr>
              <w:ind w:firstLine="360" w:firstLineChars="200"/>
              <w:jc w:val="center"/>
              <w:rPr>
                <w:rFonts w:ascii="宋体" w:hAnsi="宋体" w:eastAsia="宋体"/>
                <w:sz w:val="18"/>
                <w:szCs w:val="18"/>
              </w:rPr>
            </w:pPr>
            <w:r>
              <w:rPr>
                <w:rFonts w:hint="eastAsia" w:ascii="宋体" w:hAnsi="宋体" w:eastAsia="宋体"/>
                <w:sz w:val="18"/>
                <w:szCs w:val="18"/>
              </w:rPr>
              <w:t>11.7</w:t>
            </w:r>
          </w:p>
        </w:tc>
        <w:tc>
          <w:tcPr>
            <w:tcW w:w="947" w:type="dxa"/>
            <w:tcBorders>
              <w:top w:val="single" w:color="auto" w:sz="12" w:space="0"/>
              <w:left w:val="single" w:color="auto" w:sz="12" w:space="0"/>
              <w:bottom w:val="single" w:color="auto" w:sz="12" w:space="0"/>
              <w:right w:val="single" w:color="auto" w:sz="12" w:space="0"/>
            </w:tcBorders>
            <w:vAlign w:val="center"/>
          </w:tcPr>
          <w:p w14:paraId="1C61D3E8">
            <w:pPr>
              <w:ind w:firstLine="360" w:firstLineChars="200"/>
              <w:jc w:val="center"/>
              <w:rPr>
                <w:rFonts w:ascii="宋体" w:hAnsi="宋体" w:eastAsia="宋体"/>
                <w:sz w:val="18"/>
                <w:szCs w:val="18"/>
              </w:rPr>
            </w:pPr>
            <w:r>
              <w:rPr>
                <w:rFonts w:hint="eastAsia" w:ascii="宋体" w:hAnsi="宋体" w:eastAsia="宋体"/>
                <w:sz w:val="18"/>
                <w:szCs w:val="18"/>
              </w:rPr>
              <w:t>11.6</w:t>
            </w:r>
          </w:p>
        </w:tc>
        <w:tc>
          <w:tcPr>
            <w:tcW w:w="947" w:type="dxa"/>
            <w:tcBorders>
              <w:top w:val="single" w:color="auto" w:sz="12" w:space="0"/>
              <w:left w:val="single" w:color="auto" w:sz="12" w:space="0"/>
              <w:bottom w:val="single" w:color="auto" w:sz="12" w:space="0"/>
              <w:right w:val="single" w:color="auto" w:sz="12" w:space="0"/>
            </w:tcBorders>
            <w:vAlign w:val="center"/>
          </w:tcPr>
          <w:p w14:paraId="049A7B74">
            <w:pPr>
              <w:ind w:firstLine="360" w:firstLineChars="200"/>
              <w:jc w:val="center"/>
              <w:rPr>
                <w:rFonts w:ascii="宋体" w:hAnsi="宋体" w:eastAsia="宋体"/>
                <w:sz w:val="18"/>
                <w:szCs w:val="18"/>
              </w:rPr>
            </w:pPr>
            <w:r>
              <w:rPr>
                <w:rFonts w:hint="eastAsia" w:ascii="宋体" w:hAnsi="宋体" w:eastAsia="宋体"/>
                <w:sz w:val="18"/>
                <w:szCs w:val="18"/>
              </w:rPr>
              <w:t>1996</w:t>
            </w:r>
          </w:p>
        </w:tc>
        <w:tc>
          <w:tcPr>
            <w:tcW w:w="947" w:type="dxa"/>
            <w:tcBorders>
              <w:top w:val="single" w:color="auto" w:sz="12" w:space="0"/>
              <w:left w:val="single" w:color="auto" w:sz="12" w:space="0"/>
              <w:bottom w:val="single" w:color="auto" w:sz="12" w:space="0"/>
              <w:right w:val="single" w:color="auto" w:sz="12" w:space="0"/>
            </w:tcBorders>
            <w:vAlign w:val="center"/>
          </w:tcPr>
          <w:p w14:paraId="2E8E48DC">
            <w:pPr>
              <w:ind w:firstLine="360" w:firstLineChars="200"/>
              <w:jc w:val="center"/>
              <w:rPr>
                <w:rFonts w:ascii="宋体" w:hAnsi="宋体" w:eastAsia="宋体"/>
                <w:sz w:val="18"/>
                <w:szCs w:val="18"/>
              </w:rPr>
            </w:pPr>
            <w:r>
              <w:rPr>
                <w:rFonts w:hint="eastAsia" w:ascii="宋体" w:hAnsi="宋体" w:eastAsia="宋体"/>
                <w:sz w:val="18"/>
                <w:szCs w:val="18"/>
              </w:rPr>
              <w:t>9.6</w:t>
            </w:r>
          </w:p>
        </w:tc>
        <w:tc>
          <w:tcPr>
            <w:tcW w:w="947" w:type="dxa"/>
            <w:tcBorders>
              <w:top w:val="single" w:color="auto" w:sz="12" w:space="0"/>
              <w:left w:val="single" w:color="auto" w:sz="12" w:space="0"/>
              <w:bottom w:val="single" w:color="auto" w:sz="12" w:space="0"/>
              <w:right w:val="nil"/>
            </w:tcBorders>
            <w:vAlign w:val="center"/>
          </w:tcPr>
          <w:p w14:paraId="7F478ACE">
            <w:pPr>
              <w:ind w:firstLine="360" w:firstLineChars="200"/>
              <w:jc w:val="center"/>
              <w:rPr>
                <w:rFonts w:ascii="宋体" w:hAnsi="宋体" w:eastAsia="宋体"/>
                <w:sz w:val="18"/>
                <w:szCs w:val="18"/>
              </w:rPr>
            </w:pPr>
            <w:r>
              <w:rPr>
                <w:rFonts w:hint="eastAsia" w:ascii="宋体" w:hAnsi="宋体" w:eastAsia="宋体"/>
                <w:sz w:val="18"/>
                <w:szCs w:val="18"/>
              </w:rPr>
              <w:t>6.8</w:t>
            </w:r>
          </w:p>
        </w:tc>
      </w:tr>
      <w:tr w14:paraId="715AA516">
        <w:tc>
          <w:tcPr>
            <w:tcW w:w="1008" w:type="dxa"/>
            <w:tcBorders>
              <w:top w:val="single" w:color="auto" w:sz="12" w:space="0"/>
              <w:left w:val="nil"/>
              <w:bottom w:val="single" w:color="auto" w:sz="12" w:space="0"/>
              <w:right w:val="single" w:color="auto" w:sz="12" w:space="0"/>
            </w:tcBorders>
            <w:vAlign w:val="center"/>
          </w:tcPr>
          <w:p w14:paraId="0F6ADBF5">
            <w:pPr>
              <w:ind w:firstLine="360" w:firstLineChars="200"/>
              <w:jc w:val="center"/>
              <w:rPr>
                <w:rFonts w:ascii="宋体" w:hAnsi="宋体" w:eastAsia="宋体"/>
                <w:sz w:val="18"/>
                <w:szCs w:val="18"/>
              </w:rPr>
            </w:pPr>
            <w:r>
              <w:rPr>
                <w:rFonts w:hint="eastAsia" w:ascii="宋体" w:hAnsi="宋体" w:eastAsia="宋体"/>
                <w:sz w:val="18"/>
                <w:szCs w:val="18"/>
              </w:rPr>
              <w:t>1961</w:t>
            </w:r>
          </w:p>
        </w:tc>
        <w:tc>
          <w:tcPr>
            <w:tcW w:w="885" w:type="dxa"/>
            <w:tcBorders>
              <w:top w:val="single" w:color="auto" w:sz="12" w:space="0"/>
              <w:left w:val="single" w:color="auto" w:sz="12" w:space="0"/>
              <w:bottom w:val="single" w:color="auto" w:sz="12" w:space="0"/>
              <w:right w:val="single" w:color="auto" w:sz="12" w:space="0"/>
            </w:tcBorders>
            <w:vAlign w:val="center"/>
          </w:tcPr>
          <w:p w14:paraId="6D07B87B">
            <w:pPr>
              <w:ind w:firstLine="360" w:firstLineChars="200"/>
              <w:jc w:val="center"/>
              <w:rPr>
                <w:rFonts w:ascii="宋体" w:hAnsi="宋体" w:eastAsia="宋体"/>
                <w:sz w:val="18"/>
                <w:szCs w:val="18"/>
              </w:rPr>
            </w:pPr>
            <w:r>
              <w:rPr>
                <w:rFonts w:hint="eastAsia" w:ascii="宋体" w:hAnsi="宋体" w:eastAsia="宋体"/>
                <w:sz w:val="18"/>
                <w:szCs w:val="18"/>
              </w:rPr>
              <w:t>- 27.3</w:t>
            </w:r>
          </w:p>
        </w:tc>
        <w:tc>
          <w:tcPr>
            <w:tcW w:w="947" w:type="dxa"/>
            <w:tcBorders>
              <w:top w:val="single" w:color="auto" w:sz="12" w:space="0"/>
              <w:left w:val="single" w:color="auto" w:sz="12" w:space="0"/>
              <w:bottom w:val="single" w:color="auto" w:sz="12" w:space="0"/>
              <w:right w:val="single" w:color="auto" w:sz="12" w:space="0"/>
            </w:tcBorders>
            <w:vAlign w:val="center"/>
          </w:tcPr>
          <w:p w14:paraId="72D57891">
            <w:pPr>
              <w:ind w:firstLine="360" w:firstLineChars="200"/>
              <w:jc w:val="center"/>
              <w:rPr>
                <w:rFonts w:ascii="宋体" w:hAnsi="宋体" w:eastAsia="宋体"/>
                <w:sz w:val="18"/>
                <w:szCs w:val="18"/>
              </w:rPr>
            </w:pPr>
            <w:r>
              <w:rPr>
                <w:rFonts w:hint="eastAsia" w:ascii="宋体" w:hAnsi="宋体" w:eastAsia="宋体"/>
                <w:sz w:val="18"/>
                <w:szCs w:val="18"/>
              </w:rPr>
              <w:t>2.4</w:t>
            </w:r>
          </w:p>
        </w:tc>
        <w:tc>
          <w:tcPr>
            <w:tcW w:w="947" w:type="dxa"/>
            <w:tcBorders>
              <w:top w:val="single" w:color="auto" w:sz="12" w:space="0"/>
              <w:left w:val="single" w:color="auto" w:sz="12" w:space="0"/>
              <w:bottom w:val="single" w:color="auto" w:sz="12" w:space="0"/>
              <w:right w:val="single" w:color="auto" w:sz="12" w:space="0"/>
            </w:tcBorders>
            <w:vAlign w:val="center"/>
          </w:tcPr>
          <w:p w14:paraId="42B8423D">
            <w:pPr>
              <w:ind w:firstLine="360" w:firstLineChars="200"/>
              <w:jc w:val="center"/>
              <w:rPr>
                <w:rFonts w:ascii="宋体" w:hAnsi="宋体" w:eastAsia="宋体"/>
                <w:sz w:val="18"/>
                <w:szCs w:val="18"/>
              </w:rPr>
            </w:pPr>
            <w:r>
              <w:rPr>
                <w:rFonts w:hint="eastAsia" w:ascii="宋体" w:hAnsi="宋体" w:eastAsia="宋体"/>
                <w:sz w:val="18"/>
                <w:szCs w:val="18"/>
              </w:rPr>
              <w:t>1979</w:t>
            </w:r>
          </w:p>
        </w:tc>
        <w:tc>
          <w:tcPr>
            <w:tcW w:w="947" w:type="dxa"/>
            <w:tcBorders>
              <w:top w:val="single" w:color="auto" w:sz="12" w:space="0"/>
              <w:left w:val="single" w:color="auto" w:sz="12" w:space="0"/>
              <w:bottom w:val="single" w:color="auto" w:sz="12" w:space="0"/>
              <w:right w:val="single" w:color="auto" w:sz="12" w:space="0"/>
            </w:tcBorders>
            <w:vAlign w:val="center"/>
          </w:tcPr>
          <w:p w14:paraId="22BB470B">
            <w:pPr>
              <w:ind w:firstLine="360" w:firstLineChars="200"/>
              <w:jc w:val="center"/>
              <w:rPr>
                <w:rFonts w:ascii="宋体" w:hAnsi="宋体" w:eastAsia="宋体"/>
                <w:sz w:val="18"/>
                <w:szCs w:val="18"/>
              </w:rPr>
            </w:pPr>
            <w:r>
              <w:rPr>
                <w:rFonts w:hint="eastAsia" w:ascii="宋体" w:hAnsi="宋体" w:eastAsia="宋体"/>
                <w:sz w:val="18"/>
                <w:szCs w:val="18"/>
              </w:rPr>
              <w:t>7.6</w:t>
            </w:r>
          </w:p>
        </w:tc>
        <w:tc>
          <w:tcPr>
            <w:tcW w:w="947" w:type="dxa"/>
            <w:tcBorders>
              <w:top w:val="single" w:color="auto" w:sz="12" w:space="0"/>
              <w:left w:val="single" w:color="auto" w:sz="12" w:space="0"/>
              <w:bottom w:val="single" w:color="auto" w:sz="12" w:space="0"/>
              <w:right w:val="single" w:color="auto" w:sz="12" w:space="0"/>
            </w:tcBorders>
            <w:vAlign w:val="center"/>
          </w:tcPr>
          <w:p w14:paraId="26394CA6">
            <w:pPr>
              <w:ind w:firstLine="360" w:firstLineChars="200"/>
              <w:jc w:val="center"/>
              <w:rPr>
                <w:rFonts w:ascii="宋体" w:hAnsi="宋体" w:eastAsia="宋体"/>
                <w:sz w:val="18"/>
                <w:szCs w:val="18"/>
              </w:rPr>
            </w:pPr>
            <w:r>
              <w:rPr>
                <w:rFonts w:hint="eastAsia" w:ascii="宋体" w:hAnsi="宋体" w:eastAsia="宋体"/>
                <w:sz w:val="18"/>
                <w:szCs w:val="18"/>
              </w:rPr>
              <w:t>6.4</w:t>
            </w:r>
          </w:p>
        </w:tc>
        <w:tc>
          <w:tcPr>
            <w:tcW w:w="947" w:type="dxa"/>
            <w:tcBorders>
              <w:top w:val="single" w:color="auto" w:sz="12" w:space="0"/>
              <w:left w:val="single" w:color="auto" w:sz="12" w:space="0"/>
              <w:bottom w:val="single" w:color="auto" w:sz="12" w:space="0"/>
              <w:right w:val="single" w:color="auto" w:sz="12" w:space="0"/>
            </w:tcBorders>
            <w:vAlign w:val="center"/>
          </w:tcPr>
          <w:p w14:paraId="2E67BC69">
            <w:pPr>
              <w:ind w:firstLine="360" w:firstLineChars="200"/>
              <w:jc w:val="center"/>
              <w:rPr>
                <w:rFonts w:ascii="宋体" w:hAnsi="宋体" w:eastAsia="宋体"/>
                <w:sz w:val="18"/>
                <w:szCs w:val="18"/>
              </w:rPr>
            </w:pPr>
            <w:r>
              <w:rPr>
                <w:rFonts w:hint="eastAsia" w:ascii="宋体" w:hAnsi="宋体" w:eastAsia="宋体"/>
                <w:sz w:val="18"/>
                <w:szCs w:val="18"/>
              </w:rPr>
              <w:t>1997</w:t>
            </w:r>
          </w:p>
        </w:tc>
        <w:tc>
          <w:tcPr>
            <w:tcW w:w="947" w:type="dxa"/>
            <w:tcBorders>
              <w:top w:val="single" w:color="auto" w:sz="12" w:space="0"/>
              <w:left w:val="single" w:color="auto" w:sz="12" w:space="0"/>
              <w:bottom w:val="single" w:color="auto" w:sz="12" w:space="0"/>
              <w:right w:val="single" w:color="auto" w:sz="12" w:space="0"/>
            </w:tcBorders>
            <w:vAlign w:val="center"/>
          </w:tcPr>
          <w:p w14:paraId="167223D3">
            <w:pPr>
              <w:ind w:firstLine="360" w:firstLineChars="200"/>
              <w:jc w:val="center"/>
              <w:rPr>
                <w:rFonts w:ascii="宋体" w:hAnsi="宋体" w:eastAsia="宋体"/>
                <w:sz w:val="18"/>
                <w:szCs w:val="18"/>
              </w:rPr>
            </w:pPr>
            <w:r>
              <w:rPr>
                <w:rFonts w:hint="eastAsia" w:ascii="宋体" w:hAnsi="宋体" w:eastAsia="宋体"/>
                <w:sz w:val="18"/>
                <w:szCs w:val="18"/>
              </w:rPr>
              <w:t>8.8</w:t>
            </w:r>
          </w:p>
        </w:tc>
        <w:tc>
          <w:tcPr>
            <w:tcW w:w="947" w:type="dxa"/>
            <w:tcBorders>
              <w:top w:val="single" w:color="auto" w:sz="12" w:space="0"/>
              <w:left w:val="single" w:color="auto" w:sz="12" w:space="0"/>
              <w:bottom w:val="single" w:color="auto" w:sz="12" w:space="0"/>
              <w:right w:val="nil"/>
            </w:tcBorders>
            <w:vAlign w:val="center"/>
          </w:tcPr>
          <w:p w14:paraId="6E684FC5">
            <w:pPr>
              <w:ind w:firstLine="360" w:firstLineChars="200"/>
              <w:jc w:val="center"/>
              <w:rPr>
                <w:rFonts w:ascii="宋体" w:hAnsi="宋体" w:eastAsia="宋体"/>
                <w:sz w:val="18"/>
                <w:szCs w:val="18"/>
              </w:rPr>
            </w:pPr>
            <w:r>
              <w:rPr>
                <w:rFonts w:hint="eastAsia" w:ascii="宋体" w:hAnsi="宋体" w:eastAsia="宋体"/>
                <w:sz w:val="18"/>
                <w:szCs w:val="18"/>
              </w:rPr>
              <w:t>5.4</w:t>
            </w:r>
          </w:p>
        </w:tc>
      </w:tr>
      <w:tr w14:paraId="0D008201">
        <w:tc>
          <w:tcPr>
            <w:tcW w:w="1008" w:type="dxa"/>
            <w:tcBorders>
              <w:top w:val="single" w:color="auto" w:sz="12" w:space="0"/>
              <w:left w:val="nil"/>
              <w:bottom w:val="single" w:color="auto" w:sz="12" w:space="0"/>
              <w:right w:val="single" w:color="auto" w:sz="12" w:space="0"/>
            </w:tcBorders>
            <w:vAlign w:val="center"/>
          </w:tcPr>
          <w:p w14:paraId="20FEABB9">
            <w:pPr>
              <w:ind w:firstLine="360" w:firstLineChars="200"/>
              <w:jc w:val="center"/>
              <w:rPr>
                <w:rFonts w:ascii="宋体" w:hAnsi="宋体" w:eastAsia="宋体"/>
                <w:sz w:val="18"/>
                <w:szCs w:val="18"/>
              </w:rPr>
            </w:pPr>
            <w:r>
              <w:rPr>
                <w:rFonts w:hint="eastAsia" w:ascii="宋体" w:hAnsi="宋体" w:eastAsia="宋体"/>
                <w:sz w:val="18"/>
                <w:szCs w:val="18"/>
              </w:rPr>
              <w:t>1962</w:t>
            </w:r>
          </w:p>
        </w:tc>
        <w:tc>
          <w:tcPr>
            <w:tcW w:w="885" w:type="dxa"/>
            <w:tcBorders>
              <w:top w:val="single" w:color="auto" w:sz="12" w:space="0"/>
              <w:left w:val="single" w:color="auto" w:sz="12" w:space="0"/>
              <w:bottom w:val="single" w:color="auto" w:sz="12" w:space="0"/>
              <w:right w:val="single" w:color="auto" w:sz="12" w:space="0"/>
            </w:tcBorders>
            <w:vAlign w:val="center"/>
          </w:tcPr>
          <w:p w14:paraId="7477D64B">
            <w:pPr>
              <w:ind w:firstLine="360" w:firstLineChars="200"/>
              <w:jc w:val="center"/>
              <w:rPr>
                <w:rFonts w:ascii="宋体" w:hAnsi="宋体" w:eastAsia="宋体"/>
                <w:sz w:val="18"/>
                <w:szCs w:val="18"/>
              </w:rPr>
            </w:pPr>
            <w:r>
              <w:rPr>
                <w:rFonts w:hint="eastAsia" w:ascii="宋体" w:hAnsi="宋体" w:eastAsia="宋体"/>
                <w:sz w:val="18"/>
                <w:szCs w:val="18"/>
              </w:rPr>
              <w:t>- 5.6</w:t>
            </w:r>
          </w:p>
        </w:tc>
        <w:tc>
          <w:tcPr>
            <w:tcW w:w="947" w:type="dxa"/>
            <w:tcBorders>
              <w:top w:val="single" w:color="auto" w:sz="12" w:space="0"/>
              <w:left w:val="single" w:color="auto" w:sz="12" w:space="0"/>
              <w:bottom w:val="single" w:color="auto" w:sz="12" w:space="0"/>
              <w:right w:val="single" w:color="auto" w:sz="12" w:space="0"/>
            </w:tcBorders>
            <w:vAlign w:val="center"/>
          </w:tcPr>
          <w:p w14:paraId="3578E736">
            <w:pPr>
              <w:ind w:firstLine="360" w:firstLineChars="200"/>
              <w:jc w:val="center"/>
              <w:rPr>
                <w:rFonts w:ascii="宋体" w:hAnsi="宋体" w:eastAsia="宋体"/>
                <w:sz w:val="18"/>
                <w:szCs w:val="18"/>
              </w:rPr>
            </w:pPr>
            <w:r>
              <w:rPr>
                <w:rFonts w:hint="eastAsia" w:ascii="宋体" w:hAnsi="宋体" w:eastAsia="宋体"/>
                <w:sz w:val="18"/>
                <w:szCs w:val="18"/>
              </w:rPr>
              <w:t>4.1</w:t>
            </w:r>
          </w:p>
        </w:tc>
        <w:tc>
          <w:tcPr>
            <w:tcW w:w="947" w:type="dxa"/>
            <w:tcBorders>
              <w:top w:val="single" w:color="auto" w:sz="12" w:space="0"/>
              <w:left w:val="single" w:color="auto" w:sz="12" w:space="0"/>
              <w:bottom w:val="single" w:color="auto" w:sz="12" w:space="0"/>
              <w:right w:val="single" w:color="auto" w:sz="12" w:space="0"/>
            </w:tcBorders>
            <w:vAlign w:val="center"/>
          </w:tcPr>
          <w:p w14:paraId="14FB7AC3">
            <w:pPr>
              <w:ind w:firstLine="360" w:firstLineChars="200"/>
              <w:jc w:val="center"/>
              <w:rPr>
                <w:rFonts w:ascii="宋体" w:hAnsi="宋体" w:eastAsia="宋体"/>
                <w:sz w:val="18"/>
                <w:szCs w:val="18"/>
              </w:rPr>
            </w:pPr>
            <w:r>
              <w:rPr>
                <w:rFonts w:hint="eastAsia" w:ascii="宋体" w:hAnsi="宋体" w:eastAsia="宋体"/>
                <w:sz w:val="18"/>
                <w:szCs w:val="18"/>
              </w:rPr>
              <w:t>1980</w:t>
            </w:r>
          </w:p>
        </w:tc>
        <w:tc>
          <w:tcPr>
            <w:tcW w:w="947" w:type="dxa"/>
            <w:tcBorders>
              <w:top w:val="single" w:color="auto" w:sz="12" w:space="0"/>
              <w:left w:val="single" w:color="auto" w:sz="12" w:space="0"/>
              <w:bottom w:val="single" w:color="auto" w:sz="12" w:space="0"/>
              <w:right w:val="single" w:color="auto" w:sz="12" w:space="0"/>
            </w:tcBorders>
            <w:vAlign w:val="center"/>
          </w:tcPr>
          <w:p w14:paraId="43EEBB9E">
            <w:pPr>
              <w:ind w:firstLine="360" w:firstLineChars="200"/>
              <w:jc w:val="center"/>
              <w:rPr>
                <w:rFonts w:ascii="宋体" w:hAnsi="宋体" w:eastAsia="宋体"/>
                <w:sz w:val="18"/>
                <w:szCs w:val="18"/>
              </w:rPr>
            </w:pPr>
            <w:r>
              <w:rPr>
                <w:rFonts w:hint="eastAsia" w:ascii="宋体" w:hAnsi="宋体" w:eastAsia="宋体"/>
                <w:sz w:val="18"/>
                <w:szCs w:val="18"/>
              </w:rPr>
              <w:t>7.8</w:t>
            </w:r>
          </w:p>
        </w:tc>
        <w:tc>
          <w:tcPr>
            <w:tcW w:w="947" w:type="dxa"/>
            <w:tcBorders>
              <w:top w:val="single" w:color="auto" w:sz="12" w:space="0"/>
              <w:left w:val="single" w:color="auto" w:sz="12" w:space="0"/>
              <w:bottom w:val="single" w:color="auto" w:sz="12" w:space="0"/>
              <w:right w:val="single" w:color="auto" w:sz="12" w:space="0"/>
            </w:tcBorders>
            <w:vAlign w:val="center"/>
          </w:tcPr>
          <w:p w14:paraId="2BE2DB6E">
            <w:pPr>
              <w:ind w:firstLine="360" w:firstLineChars="200"/>
              <w:jc w:val="center"/>
              <w:rPr>
                <w:rFonts w:ascii="宋体" w:hAnsi="宋体" w:eastAsia="宋体"/>
                <w:sz w:val="18"/>
                <w:szCs w:val="18"/>
              </w:rPr>
            </w:pPr>
            <w:r>
              <w:rPr>
                <w:rFonts w:hint="eastAsia" w:ascii="宋体" w:hAnsi="宋体" w:eastAsia="宋体"/>
                <w:sz w:val="18"/>
                <w:szCs w:val="18"/>
              </w:rPr>
              <w:t>- 6.2</w:t>
            </w:r>
          </w:p>
        </w:tc>
        <w:tc>
          <w:tcPr>
            <w:tcW w:w="947" w:type="dxa"/>
            <w:tcBorders>
              <w:top w:val="single" w:color="auto" w:sz="12" w:space="0"/>
              <w:left w:val="single" w:color="auto" w:sz="12" w:space="0"/>
              <w:bottom w:val="single" w:color="auto" w:sz="12" w:space="0"/>
              <w:right w:val="single" w:color="auto" w:sz="12" w:space="0"/>
            </w:tcBorders>
            <w:vAlign w:val="center"/>
          </w:tcPr>
          <w:p w14:paraId="43AF2CFE">
            <w:pPr>
              <w:ind w:firstLine="360" w:firstLineChars="200"/>
              <w:jc w:val="center"/>
              <w:rPr>
                <w:rFonts w:ascii="宋体" w:hAnsi="宋体" w:eastAsia="宋体"/>
                <w:sz w:val="18"/>
                <w:szCs w:val="18"/>
              </w:rPr>
            </w:pPr>
            <w:r>
              <w:rPr>
                <w:rFonts w:hint="eastAsia" w:ascii="宋体" w:hAnsi="宋体" w:eastAsia="宋体"/>
                <w:sz w:val="18"/>
                <w:szCs w:val="18"/>
              </w:rPr>
              <w:t>1998</w:t>
            </w:r>
          </w:p>
        </w:tc>
        <w:tc>
          <w:tcPr>
            <w:tcW w:w="947" w:type="dxa"/>
            <w:tcBorders>
              <w:top w:val="single" w:color="auto" w:sz="12" w:space="0"/>
              <w:left w:val="single" w:color="auto" w:sz="12" w:space="0"/>
              <w:bottom w:val="single" w:color="auto" w:sz="12" w:space="0"/>
              <w:right w:val="single" w:color="auto" w:sz="12" w:space="0"/>
            </w:tcBorders>
            <w:vAlign w:val="center"/>
          </w:tcPr>
          <w:p w14:paraId="679C3160">
            <w:pPr>
              <w:ind w:firstLine="360" w:firstLineChars="200"/>
              <w:jc w:val="center"/>
              <w:rPr>
                <w:rFonts w:ascii="宋体" w:hAnsi="宋体" w:eastAsia="宋体"/>
                <w:sz w:val="18"/>
                <w:szCs w:val="18"/>
              </w:rPr>
            </w:pPr>
            <w:r>
              <w:rPr>
                <w:rFonts w:hint="eastAsia" w:ascii="宋体" w:hAnsi="宋体" w:eastAsia="宋体"/>
                <w:sz w:val="18"/>
                <w:szCs w:val="18"/>
              </w:rPr>
              <w:t>7.8</w:t>
            </w:r>
          </w:p>
        </w:tc>
        <w:tc>
          <w:tcPr>
            <w:tcW w:w="947" w:type="dxa"/>
            <w:tcBorders>
              <w:top w:val="single" w:color="auto" w:sz="12" w:space="0"/>
              <w:left w:val="single" w:color="auto" w:sz="12" w:space="0"/>
              <w:bottom w:val="single" w:color="auto" w:sz="12" w:space="0"/>
              <w:right w:val="nil"/>
            </w:tcBorders>
            <w:vAlign w:val="center"/>
          </w:tcPr>
          <w:p w14:paraId="108132C7">
            <w:pPr>
              <w:ind w:firstLine="360" w:firstLineChars="200"/>
              <w:jc w:val="center"/>
              <w:rPr>
                <w:rFonts w:ascii="宋体" w:hAnsi="宋体" w:eastAsia="宋体"/>
                <w:sz w:val="18"/>
                <w:szCs w:val="18"/>
              </w:rPr>
            </w:pPr>
            <w:r>
              <w:rPr>
                <w:rFonts w:hint="eastAsia" w:ascii="宋体" w:hAnsi="宋体" w:eastAsia="宋体"/>
                <w:sz w:val="18"/>
                <w:szCs w:val="18"/>
              </w:rPr>
              <w:t>- 6.8</w:t>
            </w:r>
          </w:p>
        </w:tc>
      </w:tr>
      <w:tr w14:paraId="15C29373">
        <w:tc>
          <w:tcPr>
            <w:tcW w:w="1008" w:type="dxa"/>
            <w:tcBorders>
              <w:top w:val="single" w:color="auto" w:sz="12" w:space="0"/>
              <w:left w:val="nil"/>
              <w:bottom w:val="single" w:color="auto" w:sz="12" w:space="0"/>
              <w:right w:val="single" w:color="auto" w:sz="12" w:space="0"/>
            </w:tcBorders>
            <w:vAlign w:val="center"/>
          </w:tcPr>
          <w:p w14:paraId="1783A001">
            <w:pPr>
              <w:ind w:firstLine="360" w:firstLineChars="200"/>
              <w:jc w:val="center"/>
              <w:rPr>
                <w:rFonts w:ascii="宋体" w:hAnsi="宋体" w:eastAsia="宋体"/>
                <w:sz w:val="18"/>
                <w:szCs w:val="18"/>
              </w:rPr>
            </w:pPr>
            <w:r>
              <w:rPr>
                <w:rFonts w:hint="eastAsia" w:ascii="宋体" w:hAnsi="宋体" w:eastAsia="宋体"/>
                <w:sz w:val="18"/>
                <w:szCs w:val="18"/>
              </w:rPr>
              <w:t>1963</w:t>
            </w:r>
          </w:p>
        </w:tc>
        <w:tc>
          <w:tcPr>
            <w:tcW w:w="885" w:type="dxa"/>
            <w:tcBorders>
              <w:top w:val="single" w:color="auto" w:sz="12" w:space="0"/>
              <w:left w:val="single" w:color="auto" w:sz="12" w:space="0"/>
              <w:bottom w:val="single" w:color="auto" w:sz="12" w:space="0"/>
              <w:right w:val="single" w:color="auto" w:sz="12" w:space="0"/>
            </w:tcBorders>
            <w:vAlign w:val="center"/>
          </w:tcPr>
          <w:p w14:paraId="54C63105">
            <w:pPr>
              <w:ind w:firstLine="360" w:firstLineChars="200"/>
              <w:jc w:val="center"/>
              <w:rPr>
                <w:rFonts w:ascii="宋体" w:hAnsi="宋体" w:eastAsia="宋体"/>
                <w:sz w:val="18"/>
                <w:szCs w:val="18"/>
              </w:rPr>
            </w:pPr>
            <w:r>
              <w:rPr>
                <w:rFonts w:hint="eastAsia" w:ascii="宋体" w:hAnsi="宋体" w:eastAsia="宋体"/>
                <w:sz w:val="18"/>
                <w:szCs w:val="18"/>
              </w:rPr>
              <w:t>10.2</w:t>
            </w:r>
          </w:p>
        </w:tc>
        <w:tc>
          <w:tcPr>
            <w:tcW w:w="947" w:type="dxa"/>
            <w:tcBorders>
              <w:top w:val="single" w:color="auto" w:sz="12" w:space="0"/>
              <w:left w:val="single" w:color="auto" w:sz="12" w:space="0"/>
              <w:bottom w:val="single" w:color="auto" w:sz="12" w:space="0"/>
              <w:right w:val="single" w:color="auto" w:sz="12" w:space="0"/>
            </w:tcBorders>
            <w:vAlign w:val="center"/>
          </w:tcPr>
          <w:p w14:paraId="77DE745A">
            <w:pPr>
              <w:ind w:firstLine="360" w:firstLineChars="200"/>
              <w:jc w:val="center"/>
              <w:rPr>
                <w:rFonts w:ascii="宋体" w:hAnsi="宋体" w:eastAsia="宋体"/>
                <w:sz w:val="18"/>
                <w:szCs w:val="18"/>
              </w:rPr>
            </w:pPr>
            <w:r>
              <w:rPr>
                <w:rFonts w:hint="eastAsia" w:ascii="宋体" w:hAnsi="宋体" w:eastAsia="宋体"/>
                <w:sz w:val="18"/>
                <w:szCs w:val="18"/>
              </w:rPr>
              <w:t>9.3</w:t>
            </w:r>
          </w:p>
        </w:tc>
        <w:tc>
          <w:tcPr>
            <w:tcW w:w="947" w:type="dxa"/>
            <w:tcBorders>
              <w:top w:val="single" w:color="auto" w:sz="12" w:space="0"/>
              <w:left w:val="single" w:color="auto" w:sz="12" w:space="0"/>
              <w:bottom w:val="single" w:color="auto" w:sz="12" w:space="0"/>
              <w:right w:val="single" w:color="auto" w:sz="12" w:space="0"/>
            </w:tcBorders>
            <w:vAlign w:val="center"/>
          </w:tcPr>
          <w:p w14:paraId="357C2C89">
            <w:pPr>
              <w:ind w:firstLine="360" w:firstLineChars="200"/>
              <w:jc w:val="center"/>
              <w:rPr>
                <w:rFonts w:ascii="宋体" w:hAnsi="宋体" w:eastAsia="宋体"/>
                <w:sz w:val="18"/>
                <w:szCs w:val="18"/>
              </w:rPr>
            </w:pPr>
            <w:r>
              <w:rPr>
                <w:rFonts w:hint="eastAsia" w:ascii="宋体" w:hAnsi="宋体" w:eastAsia="宋体"/>
                <w:sz w:val="18"/>
                <w:szCs w:val="18"/>
              </w:rPr>
              <w:t>1981</w:t>
            </w:r>
          </w:p>
        </w:tc>
        <w:tc>
          <w:tcPr>
            <w:tcW w:w="947" w:type="dxa"/>
            <w:tcBorders>
              <w:top w:val="single" w:color="auto" w:sz="12" w:space="0"/>
              <w:left w:val="single" w:color="auto" w:sz="12" w:space="0"/>
              <w:bottom w:val="single" w:color="auto" w:sz="12" w:space="0"/>
              <w:right w:val="single" w:color="auto" w:sz="12" w:space="0"/>
            </w:tcBorders>
            <w:vAlign w:val="center"/>
          </w:tcPr>
          <w:p w14:paraId="466A7583">
            <w:pPr>
              <w:ind w:firstLine="360" w:firstLineChars="200"/>
              <w:jc w:val="center"/>
              <w:rPr>
                <w:rFonts w:ascii="宋体" w:hAnsi="宋体" w:eastAsia="宋体"/>
                <w:sz w:val="18"/>
                <w:szCs w:val="18"/>
              </w:rPr>
            </w:pPr>
            <w:r>
              <w:rPr>
                <w:rFonts w:hint="eastAsia" w:ascii="宋体" w:hAnsi="宋体" w:eastAsia="宋体"/>
                <w:sz w:val="18"/>
                <w:szCs w:val="18"/>
              </w:rPr>
              <w:t>5.2</w:t>
            </w:r>
          </w:p>
        </w:tc>
        <w:tc>
          <w:tcPr>
            <w:tcW w:w="947" w:type="dxa"/>
            <w:tcBorders>
              <w:top w:val="single" w:color="auto" w:sz="12" w:space="0"/>
              <w:left w:val="single" w:color="auto" w:sz="12" w:space="0"/>
              <w:bottom w:val="single" w:color="auto" w:sz="12" w:space="0"/>
              <w:right w:val="single" w:color="auto" w:sz="12" w:space="0"/>
            </w:tcBorders>
            <w:vAlign w:val="center"/>
          </w:tcPr>
          <w:p w14:paraId="43AC04C5">
            <w:pPr>
              <w:ind w:firstLine="360" w:firstLineChars="200"/>
              <w:jc w:val="center"/>
              <w:rPr>
                <w:rFonts w:ascii="宋体" w:hAnsi="宋体" w:eastAsia="宋体"/>
                <w:sz w:val="18"/>
                <w:szCs w:val="18"/>
              </w:rPr>
            </w:pPr>
            <w:r>
              <w:rPr>
                <w:rFonts w:hint="eastAsia" w:ascii="宋体" w:hAnsi="宋体" w:eastAsia="宋体"/>
                <w:sz w:val="18"/>
                <w:szCs w:val="18"/>
              </w:rPr>
              <w:t>6.4</w:t>
            </w:r>
          </w:p>
        </w:tc>
        <w:tc>
          <w:tcPr>
            <w:tcW w:w="947" w:type="dxa"/>
            <w:tcBorders>
              <w:top w:val="single" w:color="auto" w:sz="12" w:space="0"/>
              <w:left w:val="single" w:color="auto" w:sz="12" w:space="0"/>
              <w:bottom w:val="single" w:color="auto" w:sz="12" w:space="0"/>
              <w:right w:val="single" w:color="auto" w:sz="12" w:space="0"/>
            </w:tcBorders>
            <w:vAlign w:val="center"/>
          </w:tcPr>
          <w:p w14:paraId="09735B21">
            <w:pPr>
              <w:ind w:firstLine="360" w:firstLineChars="200"/>
              <w:jc w:val="center"/>
              <w:rPr>
                <w:rFonts w:ascii="宋体" w:hAnsi="宋体" w:eastAsia="宋体"/>
                <w:sz w:val="18"/>
                <w:szCs w:val="18"/>
              </w:rPr>
            </w:pPr>
            <w:r>
              <w:rPr>
                <w:rFonts w:hint="eastAsia" w:ascii="宋体" w:hAnsi="宋体" w:eastAsia="宋体"/>
                <w:sz w:val="18"/>
                <w:szCs w:val="18"/>
              </w:rPr>
              <w:t>1999</w:t>
            </w:r>
          </w:p>
        </w:tc>
        <w:tc>
          <w:tcPr>
            <w:tcW w:w="947" w:type="dxa"/>
            <w:tcBorders>
              <w:top w:val="single" w:color="auto" w:sz="12" w:space="0"/>
              <w:left w:val="single" w:color="auto" w:sz="12" w:space="0"/>
              <w:bottom w:val="single" w:color="auto" w:sz="12" w:space="0"/>
              <w:right w:val="single" w:color="auto" w:sz="12" w:space="0"/>
            </w:tcBorders>
            <w:vAlign w:val="center"/>
          </w:tcPr>
          <w:p w14:paraId="4A9E2531">
            <w:pPr>
              <w:ind w:firstLine="360" w:firstLineChars="200"/>
              <w:jc w:val="center"/>
              <w:rPr>
                <w:rFonts w:ascii="宋体" w:hAnsi="宋体" w:eastAsia="宋体"/>
                <w:sz w:val="18"/>
                <w:szCs w:val="18"/>
              </w:rPr>
            </w:pPr>
            <w:r>
              <w:rPr>
                <w:rFonts w:hint="eastAsia" w:ascii="宋体" w:hAnsi="宋体" w:eastAsia="宋体"/>
                <w:sz w:val="18"/>
                <w:szCs w:val="18"/>
              </w:rPr>
              <w:t>7.1</w:t>
            </w:r>
          </w:p>
        </w:tc>
        <w:tc>
          <w:tcPr>
            <w:tcW w:w="947" w:type="dxa"/>
            <w:tcBorders>
              <w:top w:val="single" w:color="auto" w:sz="12" w:space="0"/>
              <w:left w:val="single" w:color="auto" w:sz="12" w:space="0"/>
              <w:bottom w:val="single" w:color="auto" w:sz="12" w:space="0"/>
              <w:right w:val="nil"/>
            </w:tcBorders>
            <w:vAlign w:val="center"/>
          </w:tcPr>
          <w:p w14:paraId="2BC140C5">
            <w:pPr>
              <w:ind w:firstLine="360" w:firstLineChars="200"/>
              <w:jc w:val="center"/>
              <w:rPr>
                <w:rFonts w:ascii="宋体" w:hAnsi="宋体" w:eastAsia="宋体"/>
                <w:sz w:val="18"/>
                <w:szCs w:val="18"/>
              </w:rPr>
            </w:pPr>
            <w:r>
              <w:rPr>
                <w:rFonts w:hint="eastAsia" w:ascii="宋体" w:hAnsi="宋体" w:eastAsia="宋体"/>
                <w:sz w:val="18"/>
                <w:szCs w:val="18"/>
              </w:rPr>
              <w:t>10.7</w:t>
            </w:r>
          </w:p>
        </w:tc>
      </w:tr>
      <w:tr w14:paraId="112F6B91">
        <w:tc>
          <w:tcPr>
            <w:tcW w:w="1008" w:type="dxa"/>
            <w:tcBorders>
              <w:top w:val="single" w:color="auto" w:sz="12" w:space="0"/>
              <w:left w:val="nil"/>
              <w:bottom w:val="single" w:color="auto" w:sz="12" w:space="0"/>
              <w:right w:val="single" w:color="auto" w:sz="12" w:space="0"/>
            </w:tcBorders>
            <w:vAlign w:val="center"/>
          </w:tcPr>
          <w:p w14:paraId="014E7867">
            <w:pPr>
              <w:ind w:firstLine="360" w:firstLineChars="200"/>
              <w:jc w:val="center"/>
              <w:rPr>
                <w:rFonts w:ascii="宋体" w:hAnsi="宋体" w:eastAsia="宋体"/>
                <w:sz w:val="18"/>
                <w:szCs w:val="18"/>
              </w:rPr>
            </w:pPr>
            <w:r>
              <w:rPr>
                <w:rFonts w:hint="eastAsia" w:ascii="宋体" w:hAnsi="宋体" w:eastAsia="宋体"/>
                <w:sz w:val="18"/>
                <w:szCs w:val="18"/>
              </w:rPr>
              <w:t>1964</w:t>
            </w:r>
          </w:p>
        </w:tc>
        <w:tc>
          <w:tcPr>
            <w:tcW w:w="885" w:type="dxa"/>
            <w:tcBorders>
              <w:top w:val="single" w:color="auto" w:sz="12" w:space="0"/>
              <w:left w:val="single" w:color="auto" w:sz="12" w:space="0"/>
              <w:bottom w:val="single" w:color="auto" w:sz="12" w:space="0"/>
              <w:right w:val="single" w:color="auto" w:sz="12" w:space="0"/>
            </w:tcBorders>
            <w:vAlign w:val="center"/>
          </w:tcPr>
          <w:p w14:paraId="4ADDD0B0">
            <w:pPr>
              <w:ind w:firstLine="360" w:firstLineChars="200"/>
              <w:jc w:val="center"/>
              <w:rPr>
                <w:rFonts w:ascii="宋体" w:hAnsi="宋体" w:eastAsia="宋体"/>
                <w:sz w:val="18"/>
                <w:szCs w:val="18"/>
              </w:rPr>
            </w:pPr>
            <w:r>
              <w:rPr>
                <w:rFonts w:hint="eastAsia" w:ascii="宋体" w:hAnsi="宋体" w:eastAsia="宋体"/>
                <w:sz w:val="18"/>
                <w:szCs w:val="18"/>
              </w:rPr>
              <w:t>18.3</w:t>
            </w:r>
          </w:p>
        </w:tc>
        <w:tc>
          <w:tcPr>
            <w:tcW w:w="947" w:type="dxa"/>
            <w:tcBorders>
              <w:top w:val="single" w:color="auto" w:sz="12" w:space="0"/>
              <w:left w:val="single" w:color="auto" w:sz="12" w:space="0"/>
              <w:bottom w:val="single" w:color="auto" w:sz="12" w:space="0"/>
              <w:right w:val="single" w:color="auto" w:sz="12" w:space="0"/>
            </w:tcBorders>
            <w:vAlign w:val="center"/>
          </w:tcPr>
          <w:p w14:paraId="1890EDAB">
            <w:pPr>
              <w:ind w:firstLine="360" w:firstLineChars="200"/>
              <w:jc w:val="center"/>
              <w:rPr>
                <w:rFonts w:ascii="宋体" w:hAnsi="宋体" w:eastAsia="宋体"/>
                <w:sz w:val="18"/>
                <w:szCs w:val="18"/>
              </w:rPr>
            </w:pPr>
            <w:r>
              <w:rPr>
                <w:rFonts w:hint="eastAsia" w:ascii="宋体" w:hAnsi="宋体" w:eastAsia="宋体"/>
                <w:sz w:val="18"/>
                <w:szCs w:val="18"/>
              </w:rPr>
              <w:t>8.9</w:t>
            </w:r>
          </w:p>
        </w:tc>
        <w:tc>
          <w:tcPr>
            <w:tcW w:w="947" w:type="dxa"/>
            <w:tcBorders>
              <w:top w:val="single" w:color="auto" w:sz="12" w:space="0"/>
              <w:left w:val="single" w:color="auto" w:sz="12" w:space="0"/>
              <w:bottom w:val="single" w:color="auto" w:sz="12" w:space="0"/>
              <w:right w:val="single" w:color="auto" w:sz="12" w:space="0"/>
            </w:tcBorders>
            <w:vAlign w:val="center"/>
          </w:tcPr>
          <w:p w14:paraId="7E5119AF">
            <w:pPr>
              <w:ind w:firstLine="360" w:firstLineChars="200"/>
              <w:jc w:val="center"/>
              <w:rPr>
                <w:rFonts w:ascii="宋体" w:hAnsi="宋体" w:eastAsia="宋体"/>
                <w:sz w:val="18"/>
                <w:szCs w:val="18"/>
              </w:rPr>
            </w:pPr>
            <w:r>
              <w:rPr>
                <w:rFonts w:hint="eastAsia" w:ascii="宋体" w:hAnsi="宋体" w:eastAsia="宋体"/>
                <w:sz w:val="18"/>
                <w:szCs w:val="18"/>
              </w:rPr>
              <w:t>1982</w:t>
            </w:r>
          </w:p>
        </w:tc>
        <w:tc>
          <w:tcPr>
            <w:tcW w:w="947" w:type="dxa"/>
            <w:tcBorders>
              <w:top w:val="single" w:color="auto" w:sz="12" w:space="0"/>
              <w:left w:val="single" w:color="auto" w:sz="12" w:space="0"/>
              <w:bottom w:val="single" w:color="auto" w:sz="12" w:space="0"/>
              <w:right w:val="single" w:color="auto" w:sz="12" w:space="0"/>
            </w:tcBorders>
            <w:vAlign w:val="center"/>
          </w:tcPr>
          <w:p w14:paraId="4D4CE023">
            <w:pPr>
              <w:ind w:firstLine="360" w:firstLineChars="200"/>
              <w:jc w:val="center"/>
              <w:rPr>
                <w:rFonts w:ascii="宋体" w:hAnsi="宋体" w:eastAsia="宋体"/>
                <w:sz w:val="18"/>
                <w:szCs w:val="18"/>
              </w:rPr>
            </w:pPr>
            <w:r>
              <w:rPr>
                <w:rFonts w:hint="eastAsia" w:ascii="宋体" w:hAnsi="宋体" w:eastAsia="宋体"/>
                <w:sz w:val="18"/>
                <w:szCs w:val="18"/>
              </w:rPr>
              <w:t>9.1</w:t>
            </w:r>
          </w:p>
        </w:tc>
        <w:tc>
          <w:tcPr>
            <w:tcW w:w="947" w:type="dxa"/>
            <w:tcBorders>
              <w:top w:val="single" w:color="auto" w:sz="12" w:space="0"/>
              <w:left w:val="single" w:color="auto" w:sz="12" w:space="0"/>
              <w:bottom w:val="single" w:color="auto" w:sz="12" w:space="0"/>
              <w:right w:val="single" w:color="auto" w:sz="12" w:space="0"/>
            </w:tcBorders>
            <w:vAlign w:val="center"/>
          </w:tcPr>
          <w:p w14:paraId="3FAF8DFA">
            <w:pPr>
              <w:ind w:firstLine="360" w:firstLineChars="200"/>
              <w:jc w:val="center"/>
              <w:rPr>
                <w:rFonts w:ascii="宋体" w:hAnsi="宋体" w:eastAsia="宋体"/>
                <w:sz w:val="18"/>
                <w:szCs w:val="18"/>
              </w:rPr>
            </w:pPr>
            <w:r>
              <w:rPr>
                <w:rFonts w:hint="eastAsia" w:ascii="宋体" w:hAnsi="宋体" w:eastAsia="宋体"/>
                <w:sz w:val="18"/>
                <w:szCs w:val="18"/>
              </w:rPr>
              <w:t>7.2</w:t>
            </w:r>
          </w:p>
        </w:tc>
        <w:tc>
          <w:tcPr>
            <w:tcW w:w="947" w:type="dxa"/>
            <w:tcBorders>
              <w:top w:val="single" w:color="auto" w:sz="12" w:space="0"/>
              <w:left w:val="single" w:color="auto" w:sz="12" w:space="0"/>
              <w:bottom w:val="single" w:color="auto" w:sz="12" w:space="0"/>
              <w:right w:val="single" w:color="auto" w:sz="12" w:space="0"/>
            </w:tcBorders>
            <w:vAlign w:val="center"/>
          </w:tcPr>
          <w:p w14:paraId="7C24362D">
            <w:pPr>
              <w:ind w:firstLine="360" w:firstLineChars="200"/>
              <w:jc w:val="center"/>
              <w:rPr>
                <w:rFonts w:ascii="宋体" w:hAnsi="宋体" w:eastAsia="宋体"/>
                <w:sz w:val="18"/>
                <w:szCs w:val="18"/>
              </w:rPr>
            </w:pPr>
            <w:r>
              <w:rPr>
                <w:rFonts w:hint="eastAsia" w:ascii="宋体" w:hAnsi="宋体" w:eastAsia="宋体"/>
                <w:sz w:val="18"/>
                <w:szCs w:val="18"/>
              </w:rPr>
              <w:t>2000</w:t>
            </w:r>
          </w:p>
        </w:tc>
        <w:tc>
          <w:tcPr>
            <w:tcW w:w="947" w:type="dxa"/>
            <w:tcBorders>
              <w:top w:val="single" w:color="auto" w:sz="12" w:space="0"/>
              <w:left w:val="single" w:color="auto" w:sz="12" w:space="0"/>
              <w:bottom w:val="single" w:color="auto" w:sz="12" w:space="0"/>
              <w:right w:val="single" w:color="auto" w:sz="12" w:space="0"/>
            </w:tcBorders>
            <w:vAlign w:val="center"/>
          </w:tcPr>
          <w:p w14:paraId="3C057D8F">
            <w:pPr>
              <w:ind w:firstLine="360" w:firstLineChars="200"/>
              <w:jc w:val="center"/>
              <w:rPr>
                <w:rFonts w:ascii="宋体" w:hAnsi="宋体" w:eastAsia="宋体"/>
                <w:sz w:val="18"/>
                <w:szCs w:val="18"/>
              </w:rPr>
            </w:pPr>
            <w:r>
              <w:rPr>
                <w:rFonts w:hint="eastAsia" w:ascii="宋体" w:hAnsi="宋体" w:eastAsia="宋体"/>
                <w:sz w:val="18"/>
                <w:szCs w:val="18"/>
              </w:rPr>
              <w:t>8.0</w:t>
            </w:r>
          </w:p>
        </w:tc>
        <w:tc>
          <w:tcPr>
            <w:tcW w:w="947" w:type="dxa"/>
            <w:tcBorders>
              <w:top w:val="single" w:color="auto" w:sz="12" w:space="0"/>
              <w:left w:val="single" w:color="auto" w:sz="12" w:space="0"/>
              <w:bottom w:val="single" w:color="auto" w:sz="12" w:space="0"/>
              <w:right w:val="nil"/>
            </w:tcBorders>
            <w:vAlign w:val="center"/>
          </w:tcPr>
          <w:p w14:paraId="4E27A299">
            <w:pPr>
              <w:ind w:firstLine="360" w:firstLineChars="200"/>
              <w:jc w:val="center"/>
              <w:rPr>
                <w:rFonts w:ascii="宋体" w:hAnsi="宋体" w:eastAsia="宋体"/>
                <w:sz w:val="18"/>
                <w:szCs w:val="18"/>
              </w:rPr>
            </w:pPr>
            <w:r>
              <w:rPr>
                <w:rFonts w:hint="eastAsia" w:ascii="宋体" w:hAnsi="宋体" w:eastAsia="宋体"/>
                <w:sz w:val="18"/>
                <w:szCs w:val="18"/>
              </w:rPr>
              <w:t>8.8</w:t>
            </w:r>
          </w:p>
        </w:tc>
      </w:tr>
      <w:tr w14:paraId="35EFFD30">
        <w:tc>
          <w:tcPr>
            <w:tcW w:w="1008" w:type="dxa"/>
            <w:tcBorders>
              <w:top w:val="single" w:color="auto" w:sz="12" w:space="0"/>
              <w:left w:val="nil"/>
              <w:bottom w:val="single" w:color="auto" w:sz="12" w:space="0"/>
              <w:right w:val="single" w:color="auto" w:sz="12" w:space="0"/>
            </w:tcBorders>
            <w:vAlign w:val="center"/>
          </w:tcPr>
          <w:p w14:paraId="34CEDF6A">
            <w:pPr>
              <w:ind w:firstLine="360" w:firstLineChars="200"/>
              <w:jc w:val="center"/>
              <w:rPr>
                <w:rFonts w:ascii="宋体" w:hAnsi="宋体" w:eastAsia="宋体"/>
                <w:sz w:val="18"/>
                <w:szCs w:val="18"/>
              </w:rPr>
            </w:pPr>
            <w:r>
              <w:rPr>
                <w:rFonts w:hint="eastAsia" w:ascii="宋体" w:hAnsi="宋体" w:eastAsia="宋体"/>
                <w:sz w:val="18"/>
                <w:szCs w:val="18"/>
              </w:rPr>
              <w:t>1965</w:t>
            </w:r>
          </w:p>
        </w:tc>
        <w:tc>
          <w:tcPr>
            <w:tcW w:w="885" w:type="dxa"/>
            <w:tcBorders>
              <w:top w:val="single" w:color="auto" w:sz="12" w:space="0"/>
              <w:left w:val="single" w:color="auto" w:sz="12" w:space="0"/>
              <w:bottom w:val="single" w:color="auto" w:sz="12" w:space="0"/>
              <w:right w:val="single" w:color="auto" w:sz="12" w:space="0"/>
            </w:tcBorders>
            <w:vAlign w:val="center"/>
          </w:tcPr>
          <w:p w14:paraId="0E924E81">
            <w:pPr>
              <w:ind w:firstLine="360" w:firstLineChars="200"/>
              <w:jc w:val="center"/>
              <w:rPr>
                <w:rFonts w:ascii="宋体" w:hAnsi="宋体" w:eastAsia="宋体"/>
                <w:sz w:val="18"/>
                <w:szCs w:val="18"/>
              </w:rPr>
            </w:pPr>
            <w:r>
              <w:rPr>
                <w:rFonts w:hint="eastAsia" w:ascii="宋体" w:hAnsi="宋体" w:eastAsia="宋体"/>
                <w:sz w:val="18"/>
                <w:szCs w:val="18"/>
              </w:rPr>
              <w:t>17.0</w:t>
            </w:r>
          </w:p>
        </w:tc>
        <w:tc>
          <w:tcPr>
            <w:tcW w:w="947" w:type="dxa"/>
            <w:tcBorders>
              <w:top w:val="single" w:color="auto" w:sz="12" w:space="0"/>
              <w:left w:val="single" w:color="auto" w:sz="12" w:space="0"/>
              <w:bottom w:val="single" w:color="auto" w:sz="12" w:space="0"/>
              <w:right w:val="single" w:color="auto" w:sz="12" w:space="0"/>
            </w:tcBorders>
            <w:vAlign w:val="center"/>
          </w:tcPr>
          <w:p w14:paraId="22B87D51">
            <w:pPr>
              <w:ind w:firstLine="360" w:firstLineChars="200"/>
              <w:jc w:val="center"/>
              <w:rPr>
                <w:rFonts w:ascii="宋体" w:hAnsi="宋体" w:eastAsia="宋体"/>
                <w:sz w:val="18"/>
                <w:szCs w:val="18"/>
              </w:rPr>
            </w:pPr>
            <w:r>
              <w:rPr>
                <w:rFonts w:hint="eastAsia" w:ascii="宋体" w:hAnsi="宋体" w:eastAsia="宋体"/>
                <w:sz w:val="18"/>
                <w:szCs w:val="18"/>
              </w:rPr>
              <w:t>8.1</w:t>
            </w:r>
          </w:p>
        </w:tc>
        <w:tc>
          <w:tcPr>
            <w:tcW w:w="947" w:type="dxa"/>
            <w:tcBorders>
              <w:top w:val="single" w:color="auto" w:sz="12" w:space="0"/>
              <w:left w:val="single" w:color="auto" w:sz="12" w:space="0"/>
              <w:bottom w:val="single" w:color="auto" w:sz="12" w:space="0"/>
              <w:right w:val="single" w:color="auto" w:sz="12" w:space="0"/>
            </w:tcBorders>
            <w:vAlign w:val="center"/>
          </w:tcPr>
          <w:p w14:paraId="5FF50A5A">
            <w:pPr>
              <w:ind w:firstLine="360" w:firstLineChars="200"/>
              <w:jc w:val="center"/>
              <w:rPr>
                <w:rFonts w:ascii="宋体" w:hAnsi="宋体" w:eastAsia="宋体"/>
                <w:sz w:val="18"/>
                <w:szCs w:val="18"/>
              </w:rPr>
            </w:pPr>
            <w:r>
              <w:rPr>
                <w:rFonts w:hint="eastAsia" w:ascii="宋体" w:hAnsi="宋体" w:eastAsia="宋体"/>
                <w:sz w:val="18"/>
                <w:szCs w:val="18"/>
              </w:rPr>
              <w:t>1983</w:t>
            </w:r>
          </w:p>
        </w:tc>
        <w:tc>
          <w:tcPr>
            <w:tcW w:w="947" w:type="dxa"/>
            <w:tcBorders>
              <w:top w:val="single" w:color="auto" w:sz="12" w:space="0"/>
              <w:left w:val="single" w:color="auto" w:sz="12" w:space="0"/>
              <w:bottom w:val="single" w:color="auto" w:sz="12" w:space="0"/>
              <w:right w:val="single" w:color="auto" w:sz="12" w:space="0"/>
            </w:tcBorders>
            <w:vAlign w:val="center"/>
          </w:tcPr>
          <w:p w14:paraId="01236969">
            <w:pPr>
              <w:ind w:firstLine="360" w:firstLineChars="200"/>
              <w:jc w:val="center"/>
              <w:rPr>
                <w:rFonts w:ascii="宋体" w:hAnsi="宋体" w:eastAsia="宋体"/>
                <w:sz w:val="18"/>
                <w:szCs w:val="18"/>
              </w:rPr>
            </w:pPr>
            <w:r>
              <w:rPr>
                <w:rFonts w:hint="eastAsia" w:ascii="宋体" w:hAnsi="宋体" w:eastAsia="宋体"/>
                <w:sz w:val="18"/>
                <w:szCs w:val="18"/>
              </w:rPr>
              <w:t>10.9</w:t>
            </w:r>
          </w:p>
        </w:tc>
        <w:tc>
          <w:tcPr>
            <w:tcW w:w="947" w:type="dxa"/>
            <w:tcBorders>
              <w:top w:val="single" w:color="auto" w:sz="12" w:space="0"/>
              <w:left w:val="single" w:color="auto" w:sz="12" w:space="0"/>
              <w:bottom w:val="single" w:color="auto" w:sz="12" w:space="0"/>
              <w:right w:val="single" w:color="auto" w:sz="12" w:space="0"/>
            </w:tcBorders>
            <w:vAlign w:val="center"/>
          </w:tcPr>
          <w:p w14:paraId="56635A4C">
            <w:pPr>
              <w:ind w:firstLine="360" w:firstLineChars="200"/>
              <w:jc w:val="center"/>
              <w:rPr>
                <w:rFonts w:ascii="宋体" w:hAnsi="宋体" w:eastAsia="宋体"/>
                <w:sz w:val="18"/>
                <w:szCs w:val="18"/>
              </w:rPr>
            </w:pPr>
            <w:r>
              <w:rPr>
                <w:rFonts w:hint="eastAsia" w:ascii="宋体" w:hAnsi="宋体" w:eastAsia="宋体"/>
                <w:sz w:val="18"/>
                <w:szCs w:val="18"/>
              </w:rPr>
              <w:t>12.6</w:t>
            </w:r>
          </w:p>
        </w:tc>
        <w:tc>
          <w:tcPr>
            <w:tcW w:w="947" w:type="dxa"/>
            <w:tcBorders>
              <w:top w:val="single" w:color="auto" w:sz="12" w:space="0"/>
              <w:left w:val="single" w:color="auto" w:sz="12" w:space="0"/>
              <w:bottom w:val="single" w:color="auto" w:sz="12" w:space="0"/>
              <w:right w:val="single" w:color="auto" w:sz="12" w:space="0"/>
            </w:tcBorders>
            <w:vAlign w:val="center"/>
          </w:tcPr>
          <w:p w14:paraId="7A658FCA">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single" w:color="auto" w:sz="12" w:space="0"/>
            </w:tcBorders>
            <w:vAlign w:val="center"/>
          </w:tcPr>
          <w:p w14:paraId="05A60BA2">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nil"/>
            </w:tcBorders>
            <w:vAlign w:val="center"/>
          </w:tcPr>
          <w:p w14:paraId="5E35591C">
            <w:pPr>
              <w:ind w:firstLine="360" w:firstLineChars="200"/>
              <w:jc w:val="center"/>
              <w:rPr>
                <w:rFonts w:ascii="宋体" w:hAnsi="宋体" w:eastAsia="宋体"/>
                <w:sz w:val="18"/>
                <w:szCs w:val="18"/>
              </w:rPr>
            </w:pPr>
          </w:p>
        </w:tc>
      </w:tr>
      <w:tr w14:paraId="4EE0D4EB">
        <w:tc>
          <w:tcPr>
            <w:tcW w:w="1008" w:type="dxa"/>
            <w:tcBorders>
              <w:top w:val="single" w:color="auto" w:sz="12" w:space="0"/>
              <w:left w:val="nil"/>
              <w:bottom w:val="single" w:color="auto" w:sz="12" w:space="0"/>
              <w:right w:val="single" w:color="auto" w:sz="12" w:space="0"/>
            </w:tcBorders>
            <w:vAlign w:val="center"/>
          </w:tcPr>
          <w:p w14:paraId="28C00E1E">
            <w:pPr>
              <w:ind w:firstLine="360" w:firstLineChars="200"/>
              <w:jc w:val="center"/>
              <w:rPr>
                <w:rFonts w:ascii="宋体" w:hAnsi="宋体" w:eastAsia="宋体"/>
                <w:sz w:val="18"/>
                <w:szCs w:val="18"/>
              </w:rPr>
            </w:pPr>
            <w:r>
              <w:rPr>
                <w:rFonts w:hint="eastAsia" w:ascii="宋体" w:hAnsi="宋体" w:eastAsia="宋体"/>
                <w:sz w:val="18"/>
                <w:szCs w:val="18"/>
              </w:rPr>
              <w:t>1966</w:t>
            </w:r>
          </w:p>
        </w:tc>
        <w:tc>
          <w:tcPr>
            <w:tcW w:w="885" w:type="dxa"/>
            <w:tcBorders>
              <w:top w:val="single" w:color="auto" w:sz="12" w:space="0"/>
              <w:left w:val="single" w:color="auto" w:sz="12" w:space="0"/>
              <w:bottom w:val="single" w:color="auto" w:sz="12" w:space="0"/>
              <w:right w:val="single" w:color="auto" w:sz="12" w:space="0"/>
            </w:tcBorders>
            <w:vAlign w:val="center"/>
          </w:tcPr>
          <w:p w14:paraId="1961CF88">
            <w:pPr>
              <w:ind w:firstLine="360" w:firstLineChars="200"/>
              <w:jc w:val="center"/>
              <w:rPr>
                <w:rFonts w:ascii="宋体" w:hAnsi="宋体" w:eastAsia="宋体"/>
                <w:sz w:val="18"/>
                <w:szCs w:val="18"/>
              </w:rPr>
            </w:pPr>
            <w:r>
              <w:rPr>
                <w:rFonts w:hint="eastAsia" w:ascii="宋体" w:hAnsi="宋体" w:eastAsia="宋体"/>
                <w:sz w:val="18"/>
                <w:szCs w:val="18"/>
              </w:rPr>
              <w:t>10.2</w:t>
            </w:r>
          </w:p>
        </w:tc>
        <w:tc>
          <w:tcPr>
            <w:tcW w:w="947" w:type="dxa"/>
            <w:tcBorders>
              <w:top w:val="single" w:color="auto" w:sz="12" w:space="0"/>
              <w:left w:val="single" w:color="auto" w:sz="12" w:space="0"/>
              <w:bottom w:val="single" w:color="auto" w:sz="12" w:space="0"/>
              <w:right w:val="single" w:color="auto" w:sz="12" w:space="0"/>
            </w:tcBorders>
            <w:vAlign w:val="center"/>
          </w:tcPr>
          <w:p w14:paraId="512A3511">
            <w:pPr>
              <w:ind w:firstLine="360" w:firstLineChars="200"/>
              <w:jc w:val="center"/>
              <w:rPr>
                <w:rFonts w:ascii="宋体" w:hAnsi="宋体" w:eastAsia="宋体"/>
                <w:sz w:val="18"/>
                <w:szCs w:val="18"/>
              </w:rPr>
            </w:pPr>
            <w:r>
              <w:rPr>
                <w:rFonts w:hint="eastAsia" w:ascii="宋体" w:hAnsi="宋体" w:eastAsia="宋体"/>
                <w:sz w:val="18"/>
                <w:szCs w:val="18"/>
              </w:rPr>
              <w:t>11.9</w:t>
            </w:r>
          </w:p>
        </w:tc>
        <w:tc>
          <w:tcPr>
            <w:tcW w:w="947" w:type="dxa"/>
            <w:tcBorders>
              <w:top w:val="single" w:color="auto" w:sz="12" w:space="0"/>
              <w:left w:val="single" w:color="auto" w:sz="12" w:space="0"/>
              <w:bottom w:val="single" w:color="auto" w:sz="12" w:space="0"/>
              <w:right w:val="single" w:color="auto" w:sz="12" w:space="0"/>
            </w:tcBorders>
            <w:vAlign w:val="center"/>
          </w:tcPr>
          <w:p w14:paraId="465D0776">
            <w:pPr>
              <w:ind w:firstLine="360" w:firstLineChars="200"/>
              <w:jc w:val="center"/>
              <w:rPr>
                <w:rFonts w:ascii="宋体" w:hAnsi="宋体" w:eastAsia="宋体"/>
                <w:sz w:val="18"/>
                <w:szCs w:val="18"/>
              </w:rPr>
            </w:pPr>
            <w:r>
              <w:rPr>
                <w:rFonts w:hint="eastAsia" w:ascii="宋体" w:hAnsi="宋体" w:eastAsia="宋体"/>
                <w:sz w:val="18"/>
                <w:szCs w:val="18"/>
              </w:rPr>
              <w:t>1984</w:t>
            </w:r>
          </w:p>
        </w:tc>
        <w:tc>
          <w:tcPr>
            <w:tcW w:w="947" w:type="dxa"/>
            <w:tcBorders>
              <w:top w:val="single" w:color="auto" w:sz="12" w:space="0"/>
              <w:left w:val="single" w:color="auto" w:sz="12" w:space="0"/>
              <w:bottom w:val="single" w:color="auto" w:sz="12" w:space="0"/>
              <w:right w:val="single" w:color="auto" w:sz="12" w:space="0"/>
            </w:tcBorders>
            <w:vAlign w:val="center"/>
          </w:tcPr>
          <w:p w14:paraId="3AAAF4AF">
            <w:pPr>
              <w:ind w:firstLine="360" w:firstLineChars="200"/>
              <w:jc w:val="center"/>
              <w:rPr>
                <w:rFonts w:ascii="宋体" w:hAnsi="宋体" w:eastAsia="宋体"/>
                <w:sz w:val="18"/>
                <w:szCs w:val="18"/>
              </w:rPr>
            </w:pPr>
            <w:r>
              <w:rPr>
                <w:rFonts w:hint="eastAsia" w:ascii="宋体" w:hAnsi="宋体" w:eastAsia="宋体"/>
                <w:sz w:val="18"/>
                <w:szCs w:val="18"/>
              </w:rPr>
              <w:t>15.2</w:t>
            </w:r>
          </w:p>
        </w:tc>
        <w:tc>
          <w:tcPr>
            <w:tcW w:w="947" w:type="dxa"/>
            <w:tcBorders>
              <w:top w:val="single" w:color="auto" w:sz="12" w:space="0"/>
              <w:left w:val="single" w:color="auto" w:sz="12" w:space="0"/>
              <w:bottom w:val="single" w:color="auto" w:sz="12" w:space="0"/>
              <w:right w:val="single" w:color="auto" w:sz="12" w:space="0"/>
            </w:tcBorders>
            <w:vAlign w:val="center"/>
          </w:tcPr>
          <w:p w14:paraId="411C08B2">
            <w:pPr>
              <w:ind w:firstLine="360" w:firstLineChars="200"/>
              <w:jc w:val="center"/>
              <w:rPr>
                <w:rFonts w:ascii="宋体" w:hAnsi="宋体" w:eastAsia="宋体"/>
                <w:sz w:val="18"/>
                <w:szCs w:val="18"/>
              </w:rPr>
            </w:pPr>
            <w:r>
              <w:rPr>
                <w:rFonts w:hint="eastAsia" w:ascii="宋体" w:hAnsi="宋体" w:eastAsia="宋体"/>
                <w:sz w:val="18"/>
                <w:szCs w:val="18"/>
              </w:rPr>
              <w:t>9.3</w:t>
            </w:r>
          </w:p>
        </w:tc>
        <w:tc>
          <w:tcPr>
            <w:tcW w:w="947" w:type="dxa"/>
            <w:tcBorders>
              <w:top w:val="single" w:color="auto" w:sz="12" w:space="0"/>
              <w:left w:val="single" w:color="auto" w:sz="12" w:space="0"/>
              <w:bottom w:val="single" w:color="auto" w:sz="12" w:space="0"/>
              <w:right w:val="single" w:color="auto" w:sz="12" w:space="0"/>
            </w:tcBorders>
            <w:vAlign w:val="center"/>
          </w:tcPr>
          <w:p w14:paraId="189EFB74">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single" w:color="auto" w:sz="12" w:space="0"/>
            </w:tcBorders>
            <w:vAlign w:val="center"/>
          </w:tcPr>
          <w:p w14:paraId="441BA53F">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nil"/>
            </w:tcBorders>
            <w:vAlign w:val="center"/>
          </w:tcPr>
          <w:p w14:paraId="663D35B5">
            <w:pPr>
              <w:ind w:firstLine="360" w:firstLineChars="200"/>
              <w:jc w:val="center"/>
              <w:rPr>
                <w:rFonts w:ascii="宋体" w:hAnsi="宋体" w:eastAsia="宋体"/>
                <w:sz w:val="18"/>
                <w:szCs w:val="18"/>
              </w:rPr>
            </w:pPr>
          </w:p>
        </w:tc>
      </w:tr>
      <w:tr w14:paraId="2DB5B833">
        <w:tc>
          <w:tcPr>
            <w:tcW w:w="1008" w:type="dxa"/>
            <w:tcBorders>
              <w:top w:val="single" w:color="auto" w:sz="12" w:space="0"/>
              <w:left w:val="nil"/>
              <w:bottom w:val="single" w:color="auto" w:sz="12" w:space="0"/>
              <w:right w:val="single" w:color="auto" w:sz="12" w:space="0"/>
            </w:tcBorders>
            <w:vAlign w:val="center"/>
          </w:tcPr>
          <w:p w14:paraId="04BF4CB4">
            <w:pPr>
              <w:ind w:firstLine="360" w:firstLineChars="200"/>
              <w:jc w:val="center"/>
              <w:rPr>
                <w:rFonts w:ascii="宋体" w:hAnsi="宋体" w:eastAsia="宋体"/>
                <w:sz w:val="18"/>
                <w:szCs w:val="18"/>
              </w:rPr>
            </w:pPr>
            <w:r>
              <w:rPr>
                <w:rFonts w:hint="eastAsia" w:ascii="宋体" w:hAnsi="宋体" w:eastAsia="宋体"/>
                <w:sz w:val="18"/>
                <w:szCs w:val="18"/>
              </w:rPr>
              <w:t>1967</w:t>
            </w:r>
          </w:p>
        </w:tc>
        <w:tc>
          <w:tcPr>
            <w:tcW w:w="885" w:type="dxa"/>
            <w:tcBorders>
              <w:top w:val="single" w:color="auto" w:sz="12" w:space="0"/>
              <w:left w:val="single" w:color="auto" w:sz="12" w:space="0"/>
              <w:bottom w:val="single" w:color="auto" w:sz="12" w:space="0"/>
              <w:right w:val="single" w:color="auto" w:sz="12" w:space="0"/>
            </w:tcBorders>
            <w:vAlign w:val="center"/>
          </w:tcPr>
          <w:p w14:paraId="15BC1EB4">
            <w:pPr>
              <w:ind w:firstLine="360" w:firstLineChars="200"/>
              <w:jc w:val="center"/>
              <w:rPr>
                <w:rFonts w:ascii="宋体" w:hAnsi="宋体" w:eastAsia="宋体"/>
                <w:sz w:val="18"/>
                <w:szCs w:val="18"/>
              </w:rPr>
            </w:pPr>
            <w:r>
              <w:rPr>
                <w:rFonts w:hint="eastAsia" w:ascii="宋体" w:hAnsi="宋体" w:eastAsia="宋体"/>
                <w:sz w:val="18"/>
                <w:szCs w:val="18"/>
              </w:rPr>
              <w:t>- 5.7</w:t>
            </w:r>
          </w:p>
        </w:tc>
        <w:tc>
          <w:tcPr>
            <w:tcW w:w="947" w:type="dxa"/>
            <w:tcBorders>
              <w:top w:val="single" w:color="auto" w:sz="12" w:space="0"/>
              <w:left w:val="single" w:color="auto" w:sz="12" w:space="0"/>
              <w:bottom w:val="single" w:color="auto" w:sz="12" w:space="0"/>
              <w:right w:val="single" w:color="auto" w:sz="12" w:space="0"/>
            </w:tcBorders>
            <w:vAlign w:val="center"/>
          </w:tcPr>
          <w:p w14:paraId="180BF6C9">
            <w:pPr>
              <w:ind w:firstLine="360" w:firstLineChars="200"/>
              <w:jc w:val="center"/>
              <w:rPr>
                <w:rFonts w:ascii="宋体" w:hAnsi="宋体" w:eastAsia="宋体"/>
                <w:sz w:val="18"/>
                <w:szCs w:val="18"/>
              </w:rPr>
            </w:pPr>
            <w:r>
              <w:rPr>
                <w:rFonts w:hint="eastAsia" w:ascii="宋体" w:hAnsi="宋体" w:eastAsia="宋体"/>
                <w:sz w:val="18"/>
                <w:szCs w:val="18"/>
              </w:rPr>
              <w:t>6.6</w:t>
            </w:r>
          </w:p>
        </w:tc>
        <w:tc>
          <w:tcPr>
            <w:tcW w:w="947" w:type="dxa"/>
            <w:tcBorders>
              <w:top w:val="single" w:color="auto" w:sz="12" w:space="0"/>
              <w:left w:val="single" w:color="auto" w:sz="12" w:space="0"/>
              <w:bottom w:val="single" w:color="auto" w:sz="12" w:space="0"/>
              <w:right w:val="single" w:color="auto" w:sz="12" w:space="0"/>
            </w:tcBorders>
            <w:vAlign w:val="center"/>
          </w:tcPr>
          <w:p w14:paraId="362808B7">
            <w:pPr>
              <w:ind w:firstLine="360" w:firstLineChars="200"/>
              <w:jc w:val="center"/>
              <w:rPr>
                <w:rFonts w:ascii="宋体" w:hAnsi="宋体" w:eastAsia="宋体"/>
                <w:sz w:val="18"/>
                <w:szCs w:val="18"/>
              </w:rPr>
            </w:pPr>
            <w:r>
              <w:rPr>
                <w:rFonts w:hint="eastAsia" w:ascii="宋体" w:hAnsi="宋体" w:eastAsia="宋体"/>
                <w:sz w:val="18"/>
                <w:szCs w:val="18"/>
              </w:rPr>
              <w:t>1985</w:t>
            </w:r>
          </w:p>
        </w:tc>
        <w:tc>
          <w:tcPr>
            <w:tcW w:w="947" w:type="dxa"/>
            <w:tcBorders>
              <w:top w:val="single" w:color="auto" w:sz="12" w:space="0"/>
              <w:left w:val="single" w:color="auto" w:sz="12" w:space="0"/>
              <w:bottom w:val="single" w:color="auto" w:sz="12" w:space="0"/>
              <w:right w:val="single" w:color="auto" w:sz="12" w:space="0"/>
            </w:tcBorders>
            <w:vAlign w:val="center"/>
          </w:tcPr>
          <w:p w14:paraId="560F21B0">
            <w:pPr>
              <w:ind w:firstLine="360" w:firstLineChars="200"/>
              <w:jc w:val="center"/>
              <w:rPr>
                <w:rFonts w:ascii="宋体" w:hAnsi="宋体" w:eastAsia="宋体"/>
                <w:sz w:val="18"/>
                <w:szCs w:val="18"/>
              </w:rPr>
            </w:pPr>
            <w:r>
              <w:rPr>
                <w:rFonts w:hint="eastAsia" w:ascii="宋体" w:hAnsi="宋体" w:eastAsia="宋体"/>
                <w:sz w:val="18"/>
                <w:szCs w:val="18"/>
              </w:rPr>
              <w:t>13.5</w:t>
            </w:r>
          </w:p>
        </w:tc>
        <w:tc>
          <w:tcPr>
            <w:tcW w:w="947" w:type="dxa"/>
            <w:tcBorders>
              <w:top w:val="single" w:color="auto" w:sz="12" w:space="0"/>
              <w:left w:val="single" w:color="auto" w:sz="12" w:space="0"/>
              <w:bottom w:val="single" w:color="auto" w:sz="12" w:space="0"/>
              <w:right w:val="single" w:color="auto" w:sz="12" w:space="0"/>
            </w:tcBorders>
            <w:vAlign w:val="center"/>
          </w:tcPr>
          <w:p w14:paraId="15D351A7">
            <w:pPr>
              <w:ind w:firstLine="360" w:firstLineChars="200"/>
              <w:jc w:val="center"/>
              <w:rPr>
                <w:rFonts w:ascii="宋体" w:hAnsi="宋体" w:eastAsia="宋体"/>
                <w:sz w:val="18"/>
                <w:szCs w:val="18"/>
              </w:rPr>
            </w:pPr>
            <w:r>
              <w:rPr>
                <w:rFonts w:hint="eastAsia" w:ascii="宋体" w:hAnsi="宋体" w:eastAsia="宋体"/>
                <w:sz w:val="18"/>
                <w:szCs w:val="18"/>
              </w:rPr>
              <w:t>7.0</w:t>
            </w:r>
          </w:p>
        </w:tc>
        <w:tc>
          <w:tcPr>
            <w:tcW w:w="947" w:type="dxa"/>
            <w:tcBorders>
              <w:top w:val="single" w:color="auto" w:sz="12" w:space="0"/>
              <w:left w:val="single" w:color="auto" w:sz="12" w:space="0"/>
              <w:bottom w:val="single" w:color="auto" w:sz="12" w:space="0"/>
              <w:right w:val="single" w:color="auto" w:sz="12" w:space="0"/>
            </w:tcBorders>
            <w:vAlign w:val="center"/>
          </w:tcPr>
          <w:p w14:paraId="4C7A03C1">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single" w:color="auto" w:sz="12" w:space="0"/>
            </w:tcBorders>
            <w:vAlign w:val="center"/>
          </w:tcPr>
          <w:p w14:paraId="20D27F04">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nil"/>
            </w:tcBorders>
            <w:vAlign w:val="center"/>
          </w:tcPr>
          <w:p w14:paraId="37827027">
            <w:pPr>
              <w:ind w:firstLine="360" w:firstLineChars="200"/>
              <w:jc w:val="center"/>
              <w:rPr>
                <w:rFonts w:ascii="宋体" w:hAnsi="宋体" w:eastAsia="宋体"/>
                <w:sz w:val="18"/>
                <w:szCs w:val="18"/>
              </w:rPr>
            </w:pPr>
          </w:p>
        </w:tc>
      </w:tr>
      <w:tr w14:paraId="3F7A5D40">
        <w:tc>
          <w:tcPr>
            <w:tcW w:w="1008" w:type="dxa"/>
            <w:tcBorders>
              <w:top w:val="single" w:color="auto" w:sz="12" w:space="0"/>
              <w:left w:val="nil"/>
              <w:bottom w:val="single" w:color="auto" w:sz="12" w:space="0"/>
              <w:right w:val="single" w:color="auto" w:sz="12" w:space="0"/>
            </w:tcBorders>
            <w:vAlign w:val="center"/>
          </w:tcPr>
          <w:p w14:paraId="21408E4E">
            <w:pPr>
              <w:ind w:firstLine="360" w:firstLineChars="200"/>
              <w:jc w:val="center"/>
              <w:rPr>
                <w:rFonts w:ascii="宋体" w:hAnsi="宋体" w:eastAsia="宋体"/>
                <w:sz w:val="18"/>
                <w:szCs w:val="18"/>
              </w:rPr>
            </w:pPr>
            <w:r>
              <w:rPr>
                <w:rFonts w:hint="eastAsia" w:ascii="宋体" w:hAnsi="宋体" w:eastAsia="宋体"/>
                <w:sz w:val="18"/>
                <w:szCs w:val="18"/>
              </w:rPr>
              <w:t>1968</w:t>
            </w:r>
          </w:p>
        </w:tc>
        <w:tc>
          <w:tcPr>
            <w:tcW w:w="885" w:type="dxa"/>
            <w:tcBorders>
              <w:top w:val="single" w:color="auto" w:sz="12" w:space="0"/>
              <w:left w:val="single" w:color="auto" w:sz="12" w:space="0"/>
              <w:bottom w:val="single" w:color="auto" w:sz="12" w:space="0"/>
              <w:right w:val="single" w:color="auto" w:sz="12" w:space="0"/>
            </w:tcBorders>
            <w:vAlign w:val="center"/>
          </w:tcPr>
          <w:p w14:paraId="479C9435">
            <w:pPr>
              <w:ind w:firstLine="360" w:firstLineChars="200"/>
              <w:jc w:val="center"/>
              <w:rPr>
                <w:rFonts w:ascii="宋体" w:hAnsi="宋体" w:eastAsia="宋体"/>
                <w:sz w:val="18"/>
                <w:szCs w:val="18"/>
              </w:rPr>
            </w:pPr>
            <w:r>
              <w:rPr>
                <w:rFonts w:hint="eastAsia" w:ascii="宋体" w:hAnsi="宋体" w:eastAsia="宋体"/>
                <w:sz w:val="18"/>
                <w:szCs w:val="18"/>
              </w:rPr>
              <w:t>- 4.1</w:t>
            </w:r>
          </w:p>
        </w:tc>
        <w:tc>
          <w:tcPr>
            <w:tcW w:w="947" w:type="dxa"/>
            <w:tcBorders>
              <w:top w:val="single" w:color="auto" w:sz="12" w:space="0"/>
              <w:left w:val="single" w:color="auto" w:sz="12" w:space="0"/>
              <w:bottom w:val="single" w:color="auto" w:sz="12" w:space="0"/>
              <w:right w:val="single" w:color="auto" w:sz="12" w:space="0"/>
            </w:tcBorders>
            <w:vAlign w:val="center"/>
          </w:tcPr>
          <w:p w14:paraId="72299135">
            <w:pPr>
              <w:ind w:firstLine="360" w:firstLineChars="200"/>
              <w:jc w:val="center"/>
              <w:rPr>
                <w:rFonts w:ascii="宋体" w:hAnsi="宋体" w:eastAsia="宋体"/>
                <w:sz w:val="18"/>
                <w:szCs w:val="18"/>
              </w:rPr>
            </w:pPr>
            <w:r>
              <w:rPr>
                <w:rFonts w:hint="eastAsia" w:ascii="宋体" w:hAnsi="宋体" w:eastAsia="宋体"/>
                <w:sz w:val="18"/>
                <w:szCs w:val="18"/>
              </w:rPr>
              <w:t>11.3</w:t>
            </w:r>
          </w:p>
        </w:tc>
        <w:tc>
          <w:tcPr>
            <w:tcW w:w="947" w:type="dxa"/>
            <w:tcBorders>
              <w:top w:val="single" w:color="auto" w:sz="12" w:space="0"/>
              <w:left w:val="single" w:color="auto" w:sz="12" w:space="0"/>
              <w:bottom w:val="single" w:color="auto" w:sz="12" w:space="0"/>
              <w:right w:val="single" w:color="auto" w:sz="12" w:space="0"/>
            </w:tcBorders>
            <w:vAlign w:val="center"/>
          </w:tcPr>
          <w:p w14:paraId="3EF109F4">
            <w:pPr>
              <w:ind w:firstLine="360" w:firstLineChars="200"/>
              <w:jc w:val="center"/>
              <w:rPr>
                <w:rFonts w:ascii="宋体" w:hAnsi="宋体" w:eastAsia="宋体"/>
                <w:sz w:val="18"/>
                <w:szCs w:val="18"/>
              </w:rPr>
            </w:pPr>
            <w:r>
              <w:rPr>
                <w:rFonts w:hint="eastAsia" w:ascii="宋体" w:hAnsi="宋体" w:eastAsia="宋体"/>
                <w:sz w:val="18"/>
                <w:szCs w:val="18"/>
              </w:rPr>
              <w:t>1986</w:t>
            </w:r>
          </w:p>
        </w:tc>
        <w:tc>
          <w:tcPr>
            <w:tcW w:w="947" w:type="dxa"/>
            <w:tcBorders>
              <w:top w:val="single" w:color="auto" w:sz="12" w:space="0"/>
              <w:left w:val="single" w:color="auto" w:sz="12" w:space="0"/>
              <w:bottom w:val="single" w:color="auto" w:sz="12" w:space="0"/>
              <w:right w:val="single" w:color="auto" w:sz="12" w:space="0"/>
            </w:tcBorders>
            <w:vAlign w:val="center"/>
          </w:tcPr>
          <w:p w14:paraId="7B67DDE1">
            <w:pPr>
              <w:ind w:firstLine="360" w:firstLineChars="200"/>
              <w:jc w:val="center"/>
              <w:rPr>
                <w:rFonts w:ascii="宋体" w:hAnsi="宋体" w:eastAsia="宋体"/>
                <w:sz w:val="18"/>
                <w:szCs w:val="18"/>
              </w:rPr>
            </w:pPr>
            <w:r>
              <w:rPr>
                <w:rFonts w:hint="eastAsia" w:ascii="宋体" w:hAnsi="宋体" w:eastAsia="宋体"/>
                <w:sz w:val="18"/>
                <w:szCs w:val="18"/>
              </w:rPr>
              <w:t>8.8</w:t>
            </w:r>
          </w:p>
        </w:tc>
        <w:tc>
          <w:tcPr>
            <w:tcW w:w="947" w:type="dxa"/>
            <w:tcBorders>
              <w:top w:val="single" w:color="auto" w:sz="12" w:space="0"/>
              <w:left w:val="single" w:color="auto" w:sz="12" w:space="0"/>
              <w:bottom w:val="single" w:color="auto" w:sz="12" w:space="0"/>
              <w:right w:val="single" w:color="auto" w:sz="12" w:space="0"/>
            </w:tcBorders>
            <w:vAlign w:val="center"/>
          </w:tcPr>
          <w:p w14:paraId="24C446E0">
            <w:pPr>
              <w:ind w:firstLine="360" w:firstLineChars="200"/>
              <w:jc w:val="center"/>
              <w:rPr>
                <w:rFonts w:ascii="宋体" w:hAnsi="宋体" w:eastAsia="宋体"/>
                <w:sz w:val="18"/>
                <w:szCs w:val="18"/>
              </w:rPr>
            </w:pPr>
            <w:r>
              <w:rPr>
                <w:rFonts w:hint="eastAsia" w:ascii="宋体" w:hAnsi="宋体" w:eastAsia="宋体"/>
                <w:sz w:val="18"/>
                <w:szCs w:val="18"/>
              </w:rPr>
              <w:t>12.9</w:t>
            </w:r>
          </w:p>
        </w:tc>
        <w:tc>
          <w:tcPr>
            <w:tcW w:w="947" w:type="dxa"/>
            <w:tcBorders>
              <w:top w:val="single" w:color="auto" w:sz="12" w:space="0"/>
              <w:left w:val="single" w:color="auto" w:sz="12" w:space="0"/>
              <w:bottom w:val="single" w:color="auto" w:sz="12" w:space="0"/>
              <w:right w:val="single" w:color="auto" w:sz="12" w:space="0"/>
            </w:tcBorders>
            <w:vAlign w:val="center"/>
          </w:tcPr>
          <w:p w14:paraId="607EDE47">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single" w:color="auto" w:sz="12" w:space="0"/>
            </w:tcBorders>
            <w:vAlign w:val="center"/>
          </w:tcPr>
          <w:p w14:paraId="33CC93DC">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nil"/>
            </w:tcBorders>
            <w:vAlign w:val="center"/>
          </w:tcPr>
          <w:p w14:paraId="30FF2A97">
            <w:pPr>
              <w:ind w:firstLine="360" w:firstLineChars="200"/>
              <w:jc w:val="center"/>
              <w:rPr>
                <w:rFonts w:ascii="宋体" w:hAnsi="宋体" w:eastAsia="宋体"/>
                <w:sz w:val="18"/>
                <w:szCs w:val="18"/>
              </w:rPr>
            </w:pPr>
          </w:p>
        </w:tc>
      </w:tr>
      <w:tr w14:paraId="4E0E154F">
        <w:tc>
          <w:tcPr>
            <w:tcW w:w="1008" w:type="dxa"/>
            <w:tcBorders>
              <w:top w:val="single" w:color="auto" w:sz="12" w:space="0"/>
              <w:left w:val="nil"/>
              <w:bottom w:val="single" w:color="auto" w:sz="12" w:space="0"/>
              <w:right w:val="single" w:color="auto" w:sz="12" w:space="0"/>
            </w:tcBorders>
            <w:vAlign w:val="center"/>
          </w:tcPr>
          <w:p w14:paraId="0C6B8A98">
            <w:pPr>
              <w:ind w:firstLine="360" w:firstLineChars="200"/>
              <w:jc w:val="center"/>
              <w:rPr>
                <w:rFonts w:ascii="宋体" w:hAnsi="宋体" w:eastAsia="宋体"/>
                <w:sz w:val="18"/>
                <w:szCs w:val="18"/>
              </w:rPr>
            </w:pPr>
            <w:r>
              <w:rPr>
                <w:rFonts w:hint="eastAsia" w:ascii="宋体" w:hAnsi="宋体" w:eastAsia="宋体"/>
                <w:sz w:val="18"/>
                <w:szCs w:val="18"/>
              </w:rPr>
              <w:t>1969</w:t>
            </w:r>
          </w:p>
        </w:tc>
        <w:tc>
          <w:tcPr>
            <w:tcW w:w="885" w:type="dxa"/>
            <w:tcBorders>
              <w:top w:val="single" w:color="auto" w:sz="12" w:space="0"/>
              <w:left w:val="single" w:color="auto" w:sz="12" w:space="0"/>
              <w:bottom w:val="single" w:color="auto" w:sz="12" w:space="0"/>
              <w:right w:val="single" w:color="auto" w:sz="12" w:space="0"/>
            </w:tcBorders>
            <w:vAlign w:val="center"/>
          </w:tcPr>
          <w:p w14:paraId="6A66CD62">
            <w:pPr>
              <w:ind w:firstLine="360" w:firstLineChars="200"/>
              <w:jc w:val="center"/>
              <w:rPr>
                <w:rFonts w:ascii="宋体" w:hAnsi="宋体" w:eastAsia="宋体"/>
                <w:sz w:val="18"/>
                <w:szCs w:val="18"/>
              </w:rPr>
            </w:pPr>
            <w:r>
              <w:rPr>
                <w:rFonts w:hint="eastAsia" w:ascii="宋体" w:hAnsi="宋体" w:eastAsia="宋体"/>
                <w:sz w:val="18"/>
                <w:szCs w:val="18"/>
              </w:rPr>
              <w:t>16.9</w:t>
            </w:r>
          </w:p>
        </w:tc>
        <w:tc>
          <w:tcPr>
            <w:tcW w:w="947" w:type="dxa"/>
            <w:tcBorders>
              <w:top w:val="single" w:color="auto" w:sz="12" w:space="0"/>
              <w:left w:val="single" w:color="auto" w:sz="12" w:space="0"/>
              <w:bottom w:val="single" w:color="auto" w:sz="12" w:space="0"/>
              <w:right w:val="single" w:color="auto" w:sz="12" w:space="0"/>
            </w:tcBorders>
            <w:vAlign w:val="center"/>
          </w:tcPr>
          <w:p w14:paraId="48BA6AAD">
            <w:pPr>
              <w:ind w:firstLine="360" w:firstLineChars="200"/>
              <w:jc w:val="center"/>
              <w:rPr>
                <w:rFonts w:ascii="宋体" w:hAnsi="宋体" w:eastAsia="宋体"/>
                <w:sz w:val="18"/>
                <w:szCs w:val="18"/>
              </w:rPr>
            </w:pPr>
            <w:r>
              <w:rPr>
                <w:rFonts w:hint="eastAsia" w:ascii="宋体" w:hAnsi="宋体" w:eastAsia="宋体"/>
                <w:sz w:val="18"/>
                <w:szCs w:val="18"/>
              </w:rPr>
              <w:t>13.8</w:t>
            </w:r>
          </w:p>
        </w:tc>
        <w:tc>
          <w:tcPr>
            <w:tcW w:w="947" w:type="dxa"/>
            <w:tcBorders>
              <w:top w:val="single" w:color="auto" w:sz="12" w:space="0"/>
              <w:left w:val="single" w:color="auto" w:sz="12" w:space="0"/>
              <w:bottom w:val="single" w:color="auto" w:sz="12" w:space="0"/>
              <w:right w:val="single" w:color="auto" w:sz="12" w:space="0"/>
            </w:tcBorders>
            <w:vAlign w:val="center"/>
          </w:tcPr>
          <w:p w14:paraId="323E9505">
            <w:pPr>
              <w:ind w:firstLine="360" w:firstLineChars="200"/>
              <w:jc w:val="center"/>
              <w:rPr>
                <w:rFonts w:ascii="宋体" w:hAnsi="宋体" w:eastAsia="宋体"/>
                <w:sz w:val="18"/>
                <w:szCs w:val="18"/>
              </w:rPr>
            </w:pPr>
            <w:r>
              <w:rPr>
                <w:rFonts w:hint="eastAsia" w:ascii="宋体" w:hAnsi="宋体" w:eastAsia="宋体"/>
                <w:sz w:val="18"/>
                <w:szCs w:val="18"/>
              </w:rPr>
              <w:t>1987</w:t>
            </w:r>
          </w:p>
        </w:tc>
        <w:tc>
          <w:tcPr>
            <w:tcW w:w="947" w:type="dxa"/>
            <w:tcBorders>
              <w:top w:val="single" w:color="auto" w:sz="12" w:space="0"/>
              <w:left w:val="single" w:color="auto" w:sz="12" w:space="0"/>
              <w:bottom w:val="single" w:color="auto" w:sz="12" w:space="0"/>
              <w:right w:val="single" w:color="auto" w:sz="12" w:space="0"/>
            </w:tcBorders>
            <w:vAlign w:val="center"/>
          </w:tcPr>
          <w:p w14:paraId="6524167E">
            <w:pPr>
              <w:ind w:firstLine="360" w:firstLineChars="200"/>
              <w:jc w:val="center"/>
              <w:rPr>
                <w:rFonts w:ascii="宋体" w:hAnsi="宋体" w:eastAsia="宋体"/>
                <w:sz w:val="18"/>
                <w:szCs w:val="18"/>
              </w:rPr>
            </w:pPr>
            <w:r>
              <w:rPr>
                <w:rFonts w:hint="eastAsia" w:ascii="宋体" w:hAnsi="宋体" w:eastAsia="宋体"/>
                <w:sz w:val="18"/>
                <w:szCs w:val="18"/>
              </w:rPr>
              <w:t>11.6</w:t>
            </w:r>
          </w:p>
        </w:tc>
        <w:tc>
          <w:tcPr>
            <w:tcW w:w="947" w:type="dxa"/>
            <w:tcBorders>
              <w:top w:val="single" w:color="auto" w:sz="12" w:space="0"/>
              <w:left w:val="single" w:color="auto" w:sz="12" w:space="0"/>
              <w:bottom w:val="single" w:color="auto" w:sz="12" w:space="0"/>
              <w:right w:val="single" w:color="auto" w:sz="12" w:space="0"/>
            </w:tcBorders>
            <w:vAlign w:val="center"/>
          </w:tcPr>
          <w:p w14:paraId="516992ED">
            <w:pPr>
              <w:ind w:firstLine="360" w:firstLineChars="200"/>
              <w:jc w:val="center"/>
              <w:rPr>
                <w:rFonts w:ascii="宋体" w:hAnsi="宋体" w:eastAsia="宋体"/>
                <w:sz w:val="18"/>
                <w:szCs w:val="18"/>
              </w:rPr>
            </w:pPr>
            <w:r>
              <w:rPr>
                <w:rFonts w:hint="eastAsia" w:ascii="宋体" w:hAnsi="宋体" w:eastAsia="宋体"/>
                <w:sz w:val="18"/>
                <w:szCs w:val="18"/>
              </w:rPr>
              <w:t>13.0</w:t>
            </w:r>
          </w:p>
        </w:tc>
        <w:tc>
          <w:tcPr>
            <w:tcW w:w="947" w:type="dxa"/>
            <w:tcBorders>
              <w:top w:val="single" w:color="auto" w:sz="12" w:space="0"/>
              <w:left w:val="single" w:color="auto" w:sz="12" w:space="0"/>
              <w:bottom w:val="single" w:color="auto" w:sz="12" w:space="0"/>
              <w:right w:val="single" w:color="auto" w:sz="12" w:space="0"/>
            </w:tcBorders>
            <w:vAlign w:val="center"/>
          </w:tcPr>
          <w:p w14:paraId="22CF44D4">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single" w:color="auto" w:sz="12" w:space="0"/>
            </w:tcBorders>
            <w:vAlign w:val="center"/>
          </w:tcPr>
          <w:p w14:paraId="4ED9CDAF">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nil"/>
            </w:tcBorders>
            <w:vAlign w:val="center"/>
          </w:tcPr>
          <w:p w14:paraId="4DBC5285">
            <w:pPr>
              <w:ind w:firstLine="360" w:firstLineChars="200"/>
              <w:jc w:val="center"/>
              <w:rPr>
                <w:rFonts w:ascii="宋体" w:hAnsi="宋体" w:eastAsia="宋体"/>
                <w:sz w:val="18"/>
                <w:szCs w:val="18"/>
              </w:rPr>
            </w:pPr>
          </w:p>
        </w:tc>
      </w:tr>
      <w:tr w14:paraId="335A9962">
        <w:tc>
          <w:tcPr>
            <w:tcW w:w="1008" w:type="dxa"/>
            <w:tcBorders>
              <w:top w:val="single" w:color="auto" w:sz="12" w:space="0"/>
              <w:left w:val="nil"/>
              <w:bottom w:val="single" w:color="auto" w:sz="12" w:space="0"/>
              <w:right w:val="single" w:color="auto" w:sz="12" w:space="0"/>
            </w:tcBorders>
            <w:vAlign w:val="center"/>
          </w:tcPr>
          <w:p w14:paraId="7451050A">
            <w:pPr>
              <w:ind w:firstLine="360" w:firstLineChars="200"/>
              <w:jc w:val="center"/>
              <w:rPr>
                <w:rFonts w:ascii="宋体" w:hAnsi="宋体" w:eastAsia="宋体"/>
                <w:sz w:val="18"/>
                <w:szCs w:val="18"/>
              </w:rPr>
            </w:pPr>
            <w:r>
              <w:rPr>
                <w:rFonts w:hint="eastAsia" w:ascii="宋体" w:hAnsi="宋体" w:eastAsia="宋体"/>
                <w:sz w:val="18"/>
                <w:szCs w:val="18"/>
              </w:rPr>
              <w:t>1970</w:t>
            </w:r>
          </w:p>
        </w:tc>
        <w:tc>
          <w:tcPr>
            <w:tcW w:w="885" w:type="dxa"/>
            <w:tcBorders>
              <w:top w:val="single" w:color="auto" w:sz="12" w:space="0"/>
              <w:left w:val="single" w:color="auto" w:sz="12" w:space="0"/>
              <w:bottom w:val="single" w:color="auto" w:sz="12" w:space="0"/>
              <w:right w:val="single" w:color="auto" w:sz="12" w:space="0"/>
            </w:tcBorders>
            <w:vAlign w:val="center"/>
          </w:tcPr>
          <w:p w14:paraId="5BD8E092">
            <w:pPr>
              <w:ind w:firstLine="360" w:firstLineChars="200"/>
              <w:jc w:val="center"/>
              <w:rPr>
                <w:rFonts w:ascii="宋体" w:hAnsi="宋体" w:eastAsia="宋体"/>
                <w:sz w:val="18"/>
                <w:szCs w:val="18"/>
              </w:rPr>
            </w:pPr>
            <w:r>
              <w:rPr>
                <w:rFonts w:hint="eastAsia" w:ascii="宋体" w:hAnsi="宋体" w:eastAsia="宋体"/>
                <w:sz w:val="18"/>
                <w:szCs w:val="18"/>
              </w:rPr>
              <w:t>19.4</w:t>
            </w:r>
          </w:p>
        </w:tc>
        <w:tc>
          <w:tcPr>
            <w:tcW w:w="947" w:type="dxa"/>
            <w:tcBorders>
              <w:top w:val="single" w:color="auto" w:sz="12" w:space="0"/>
              <w:left w:val="single" w:color="auto" w:sz="12" w:space="0"/>
              <w:bottom w:val="single" w:color="auto" w:sz="12" w:space="0"/>
              <w:right w:val="single" w:color="auto" w:sz="12" w:space="0"/>
            </w:tcBorders>
            <w:vAlign w:val="center"/>
          </w:tcPr>
          <w:p w14:paraId="7CD6576F">
            <w:pPr>
              <w:ind w:firstLine="360" w:firstLineChars="200"/>
              <w:jc w:val="center"/>
              <w:rPr>
                <w:rFonts w:ascii="宋体" w:hAnsi="宋体" w:eastAsia="宋体"/>
                <w:sz w:val="18"/>
                <w:szCs w:val="18"/>
              </w:rPr>
            </w:pPr>
            <w:r>
              <w:rPr>
                <w:rFonts w:hint="eastAsia" w:ascii="宋体" w:hAnsi="宋体" w:eastAsia="宋体"/>
                <w:sz w:val="18"/>
                <w:szCs w:val="18"/>
              </w:rPr>
              <w:t>7.6</w:t>
            </w:r>
          </w:p>
        </w:tc>
        <w:tc>
          <w:tcPr>
            <w:tcW w:w="947" w:type="dxa"/>
            <w:tcBorders>
              <w:top w:val="single" w:color="auto" w:sz="12" w:space="0"/>
              <w:left w:val="single" w:color="auto" w:sz="12" w:space="0"/>
              <w:bottom w:val="single" w:color="auto" w:sz="12" w:space="0"/>
              <w:right w:val="single" w:color="auto" w:sz="12" w:space="0"/>
            </w:tcBorders>
            <w:vAlign w:val="center"/>
          </w:tcPr>
          <w:p w14:paraId="19531FD1">
            <w:pPr>
              <w:ind w:firstLine="360" w:firstLineChars="200"/>
              <w:jc w:val="center"/>
              <w:rPr>
                <w:rFonts w:ascii="宋体" w:hAnsi="宋体" w:eastAsia="宋体"/>
                <w:sz w:val="18"/>
                <w:szCs w:val="18"/>
              </w:rPr>
            </w:pPr>
            <w:r>
              <w:rPr>
                <w:rFonts w:hint="eastAsia" w:ascii="宋体" w:hAnsi="宋体" w:eastAsia="宋体"/>
                <w:sz w:val="18"/>
                <w:szCs w:val="18"/>
              </w:rPr>
              <w:t>1988</w:t>
            </w:r>
          </w:p>
        </w:tc>
        <w:tc>
          <w:tcPr>
            <w:tcW w:w="947" w:type="dxa"/>
            <w:tcBorders>
              <w:top w:val="single" w:color="auto" w:sz="12" w:space="0"/>
              <w:left w:val="single" w:color="auto" w:sz="12" w:space="0"/>
              <w:bottom w:val="single" w:color="auto" w:sz="12" w:space="0"/>
              <w:right w:val="single" w:color="auto" w:sz="12" w:space="0"/>
            </w:tcBorders>
            <w:vAlign w:val="center"/>
          </w:tcPr>
          <w:p w14:paraId="1B08CD4C">
            <w:pPr>
              <w:ind w:firstLine="360" w:firstLineChars="200"/>
              <w:jc w:val="center"/>
              <w:rPr>
                <w:rFonts w:ascii="宋体" w:hAnsi="宋体" w:eastAsia="宋体"/>
                <w:sz w:val="18"/>
                <w:szCs w:val="18"/>
              </w:rPr>
            </w:pPr>
            <w:r>
              <w:rPr>
                <w:rFonts w:hint="eastAsia" w:ascii="宋体" w:hAnsi="宋体" w:eastAsia="宋体"/>
                <w:sz w:val="18"/>
                <w:szCs w:val="18"/>
              </w:rPr>
              <w:t>11.3</w:t>
            </w:r>
          </w:p>
        </w:tc>
        <w:tc>
          <w:tcPr>
            <w:tcW w:w="947" w:type="dxa"/>
            <w:tcBorders>
              <w:top w:val="single" w:color="auto" w:sz="12" w:space="0"/>
              <w:left w:val="single" w:color="auto" w:sz="12" w:space="0"/>
              <w:bottom w:val="single" w:color="auto" w:sz="12" w:space="0"/>
              <w:right w:val="single" w:color="auto" w:sz="12" w:space="0"/>
            </w:tcBorders>
            <w:vAlign w:val="center"/>
          </w:tcPr>
          <w:p w14:paraId="518DAF55">
            <w:pPr>
              <w:ind w:firstLine="360" w:firstLineChars="200"/>
              <w:jc w:val="center"/>
              <w:rPr>
                <w:rFonts w:ascii="宋体" w:hAnsi="宋体" w:eastAsia="宋体"/>
                <w:sz w:val="18"/>
                <w:szCs w:val="18"/>
              </w:rPr>
            </w:pPr>
            <w:r>
              <w:rPr>
                <w:rFonts w:hint="eastAsia" w:ascii="宋体" w:hAnsi="宋体" w:eastAsia="宋体"/>
                <w:sz w:val="18"/>
                <w:szCs w:val="18"/>
              </w:rPr>
              <w:t>12.4</w:t>
            </w:r>
          </w:p>
        </w:tc>
        <w:tc>
          <w:tcPr>
            <w:tcW w:w="947" w:type="dxa"/>
            <w:tcBorders>
              <w:top w:val="single" w:color="auto" w:sz="12" w:space="0"/>
              <w:left w:val="single" w:color="auto" w:sz="12" w:space="0"/>
              <w:bottom w:val="single" w:color="auto" w:sz="12" w:space="0"/>
              <w:right w:val="single" w:color="auto" w:sz="12" w:space="0"/>
            </w:tcBorders>
            <w:vAlign w:val="center"/>
          </w:tcPr>
          <w:p w14:paraId="6CA4F840">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single" w:color="auto" w:sz="12" w:space="0"/>
            </w:tcBorders>
            <w:vAlign w:val="center"/>
          </w:tcPr>
          <w:p w14:paraId="32912831">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nil"/>
            </w:tcBorders>
            <w:vAlign w:val="center"/>
          </w:tcPr>
          <w:p w14:paraId="688561A9">
            <w:pPr>
              <w:ind w:firstLine="360" w:firstLineChars="200"/>
              <w:jc w:val="center"/>
              <w:rPr>
                <w:rFonts w:ascii="宋体" w:hAnsi="宋体" w:eastAsia="宋体"/>
                <w:sz w:val="18"/>
                <w:szCs w:val="18"/>
              </w:rPr>
            </w:pPr>
          </w:p>
        </w:tc>
      </w:tr>
      <w:tr w14:paraId="25E768B8">
        <w:tc>
          <w:tcPr>
            <w:tcW w:w="1008" w:type="dxa"/>
            <w:tcBorders>
              <w:top w:val="single" w:color="auto" w:sz="12" w:space="0"/>
              <w:left w:val="nil"/>
              <w:bottom w:val="single" w:color="auto" w:sz="12" w:space="0"/>
              <w:right w:val="single" w:color="auto" w:sz="12" w:space="0"/>
            </w:tcBorders>
            <w:vAlign w:val="center"/>
          </w:tcPr>
          <w:p w14:paraId="21C8B0DE">
            <w:pPr>
              <w:ind w:firstLine="360" w:firstLineChars="200"/>
              <w:jc w:val="center"/>
              <w:rPr>
                <w:rFonts w:ascii="宋体" w:hAnsi="宋体" w:eastAsia="宋体"/>
                <w:sz w:val="18"/>
                <w:szCs w:val="18"/>
              </w:rPr>
            </w:pPr>
            <w:r>
              <w:rPr>
                <w:rFonts w:hint="eastAsia" w:ascii="宋体" w:hAnsi="宋体" w:eastAsia="宋体"/>
                <w:sz w:val="18"/>
                <w:szCs w:val="18"/>
              </w:rPr>
              <w:t>1971</w:t>
            </w:r>
          </w:p>
        </w:tc>
        <w:tc>
          <w:tcPr>
            <w:tcW w:w="885" w:type="dxa"/>
            <w:tcBorders>
              <w:top w:val="single" w:color="auto" w:sz="12" w:space="0"/>
              <w:left w:val="single" w:color="auto" w:sz="12" w:space="0"/>
              <w:bottom w:val="single" w:color="auto" w:sz="12" w:space="0"/>
              <w:right w:val="single" w:color="auto" w:sz="12" w:space="0"/>
            </w:tcBorders>
            <w:vAlign w:val="center"/>
          </w:tcPr>
          <w:p w14:paraId="49AC3937">
            <w:pPr>
              <w:ind w:firstLine="360" w:firstLineChars="200"/>
              <w:jc w:val="center"/>
              <w:rPr>
                <w:rFonts w:ascii="宋体" w:hAnsi="宋体" w:eastAsia="宋体"/>
                <w:sz w:val="18"/>
                <w:szCs w:val="18"/>
              </w:rPr>
            </w:pPr>
            <w:r>
              <w:rPr>
                <w:rFonts w:hint="eastAsia" w:ascii="宋体" w:hAnsi="宋体" w:eastAsia="宋体"/>
                <w:sz w:val="18"/>
                <w:szCs w:val="18"/>
              </w:rPr>
              <w:t>7.0</w:t>
            </w:r>
          </w:p>
        </w:tc>
        <w:tc>
          <w:tcPr>
            <w:tcW w:w="947" w:type="dxa"/>
            <w:tcBorders>
              <w:top w:val="single" w:color="auto" w:sz="12" w:space="0"/>
              <w:left w:val="single" w:color="auto" w:sz="12" w:space="0"/>
              <w:bottom w:val="single" w:color="auto" w:sz="12" w:space="0"/>
              <w:right w:val="single" w:color="auto" w:sz="12" w:space="0"/>
            </w:tcBorders>
            <w:vAlign w:val="center"/>
          </w:tcPr>
          <w:p w14:paraId="63435EF0">
            <w:pPr>
              <w:ind w:firstLine="360" w:firstLineChars="200"/>
              <w:jc w:val="center"/>
              <w:rPr>
                <w:rFonts w:ascii="宋体" w:hAnsi="宋体" w:eastAsia="宋体"/>
                <w:sz w:val="18"/>
                <w:szCs w:val="18"/>
              </w:rPr>
            </w:pPr>
            <w:r>
              <w:rPr>
                <w:rFonts w:hint="eastAsia" w:ascii="宋体" w:hAnsi="宋体" w:eastAsia="宋体"/>
                <w:sz w:val="18"/>
                <w:szCs w:val="18"/>
              </w:rPr>
              <w:t>9.4</w:t>
            </w:r>
          </w:p>
        </w:tc>
        <w:tc>
          <w:tcPr>
            <w:tcW w:w="947" w:type="dxa"/>
            <w:tcBorders>
              <w:top w:val="single" w:color="auto" w:sz="12" w:space="0"/>
              <w:left w:val="single" w:color="auto" w:sz="12" w:space="0"/>
              <w:bottom w:val="single" w:color="auto" w:sz="12" w:space="0"/>
              <w:right w:val="single" w:color="auto" w:sz="12" w:space="0"/>
            </w:tcBorders>
            <w:vAlign w:val="center"/>
          </w:tcPr>
          <w:p w14:paraId="1566730C">
            <w:pPr>
              <w:ind w:firstLine="360" w:firstLineChars="200"/>
              <w:jc w:val="center"/>
              <w:rPr>
                <w:rFonts w:ascii="宋体" w:hAnsi="宋体" w:eastAsia="宋体"/>
                <w:sz w:val="18"/>
                <w:szCs w:val="18"/>
              </w:rPr>
            </w:pPr>
            <w:r>
              <w:rPr>
                <w:rFonts w:hint="eastAsia" w:ascii="宋体" w:hAnsi="宋体" w:eastAsia="宋体"/>
                <w:sz w:val="18"/>
                <w:szCs w:val="18"/>
              </w:rPr>
              <w:t>1989</w:t>
            </w:r>
          </w:p>
        </w:tc>
        <w:tc>
          <w:tcPr>
            <w:tcW w:w="947" w:type="dxa"/>
            <w:tcBorders>
              <w:top w:val="single" w:color="auto" w:sz="12" w:space="0"/>
              <w:left w:val="single" w:color="auto" w:sz="12" w:space="0"/>
              <w:bottom w:val="single" w:color="auto" w:sz="12" w:space="0"/>
              <w:right w:val="single" w:color="auto" w:sz="12" w:space="0"/>
            </w:tcBorders>
            <w:vAlign w:val="center"/>
          </w:tcPr>
          <w:p w14:paraId="36DDF83D">
            <w:pPr>
              <w:ind w:firstLine="360" w:firstLineChars="200"/>
              <w:jc w:val="center"/>
              <w:rPr>
                <w:rFonts w:ascii="宋体" w:hAnsi="宋体" w:eastAsia="宋体"/>
                <w:sz w:val="18"/>
                <w:szCs w:val="18"/>
              </w:rPr>
            </w:pPr>
            <w:r>
              <w:rPr>
                <w:rFonts w:hint="eastAsia" w:ascii="宋体" w:hAnsi="宋体" w:eastAsia="宋体"/>
                <w:sz w:val="18"/>
                <w:szCs w:val="18"/>
              </w:rPr>
              <w:t>4.1</w:t>
            </w:r>
          </w:p>
        </w:tc>
        <w:tc>
          <w:tcPr>
            <w:tcW w:w="947" w:type="dxa"/>
            <w:tcBorders>
              <w:top w:val="single" w:color="auto" w:sz="12" w:space="0"/>
              <w:left w:val="single" w:color="auto" w:sz="12" w:space="0"/>
              <w:bottom w:val="single" w:color="auto" w:sz="12" w:space="0"/>
              <w:right w:val="single" w:color="auto" w:sz="12" w:space="0"/>
            </w:tcBorders>
            <w:vAlign w:val="center"/>
          </w:tcPr>
          <w:p w14:paraId="02658D02">
            <w:pPr>
              <w:ind w:firstLine="360" w:firstLineChars="200"/>
              <w:jc w:val="center"/>
              <w:rPr>
                <w:rFonts w:ascii="宋体" w:hAnsi="宋体" w:eastAsia="宋体"/>
                <w:sz w:val="18"/>
                <w:szCs w:val="18"/>
              </w:rPr>
            </w:pPr>
            <w:r>
              <w:rPr>
                <w:rFonts w:hint="eastAsia" w:ascii="宋体" w:hAnsi="宋体" w:eastAsia="宋体"/>
                <w:sz w:val="18"/>
                <w:szCs w:val="18"/>
              </w:rPr>
              <w:t>6.8</w:t>
            </w:r>
          </w:p>
        </w:tc>
        <w:tc>
          <w:tcPr>
            <w:tcW w:w="947" w:type="dxa"/>
            <w:tcBorders>
              <w:top w:val="single" w:color="auto" w:sz="12" w:space="0"/>
              <w:left w:val="single" w:color="auto" w:sz="12" w:space="0"/>
              <w:bottom w:val="single" w:color="auto" w:sz="12" w:space="0"/>
              <w:right w:val="single" w:color="auto" w:sz="12" w:space="0"/>
            </w:tcBorders>
            <w:vAlign w:val="center"/>
          </w:tcPr>
          <w:p w14:paraId="17EA86D8">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single" w:color="auto" w:sz="12" w:space="0"/>
            </w:tcBorders>
            <w:vAlign w:val="center"/>
          </w:tcPr>
          <w:p w14:paraId="5AB38993">
            <w:pPr>
              <w:ind w:firstLine="360" w:firstLineChars="200"/>
              <w:jc w:val="center"/>
              <w:rPr>
                <w:rFonts w:ascii="宋体" w:hAnsi="宋体" w:eastAsia="宋体"/>
                <w:sz w:val="18"/>
                <w:szCs w:val="18"/>
              </w:rPr>
            </w:pPr>
          </w:p>
        </w:tc>
        <w:tc>
          <w:tcPr>
            <w:tcW w:w="947" w:type="dxa"/>
            <w:tcBorders>
              <w:top w:val="single" w:color="auto" w:sz="12" w:space="0"/>
              <w:left w:val="single" w:color="auto" w:sz="12" w:space="0"/>
              <w:bottom w:val="single" w:color="auto" w:sz="12" w:space="0"/>
              <w:right w:val="nil"/>
            </w:tcBorders>
            <w:vAlign w:val="center"/>
          </w:tcPr>
          <w:p w14:paraId="40353973">
            <w:pPr>
              <w:ind w:firstLine="360" w:firstLineChars="200"/>
              <w:jc w:val="center"/>
              <w:rPr>
                <w:rFonts w:ascii="宋体" w:hAnsi="宋体" w:eastAsia="宋体"/>
                <w:sz w:val="18"/>
                <w:szCs w:val="18"/>
              </w:rPr>
            </w:pPr>
          </w:p>
        </w:tc>
      </w:tr>
    </w:tbl>
    <w:p w14:paraId="4C4390B8">
      <w:pPr>
        <w:spacing w:line="300" w:lineRule="auto"/>
        <w:ind w:firstLine="360" w:firstLineChars="200"/>
        <w:rPr>
          <w:rFonts w:ascii="宋体" w:hAnsi="宋体" w:eastAsia="宋体"/>
          <w:b/>
          <w:sz w:val="18"/>
          <w:szCs w:val="18"/>
        </w:rPr>
      </w:pPr>
      <w:r>
        <w:rPr>
          <w:rFonts w:hint="eastAsia" w:ascii="宋体" w:hAnsi="宋体" w:eastAsia="宋体"/>
          <w:b/>
          <w:sz w:val="18"/>
          <w:szCs w:val="18"/>
        </w:rPr>
        <w:t>注：根据两国统计年鉴汇总而成</w:t>
      </w:r>
    </w:p>
    <w:p w14:paraId="270DA8B9">
      <w:pPr>
        <w:spacing w:line="300" w:lineRule="auto"/>
        <w:ind w:firstLine="420" w:firstLineChars="200"/>
        <w:rPr>
          <w:rFonts w:ascii="宋体" w:hAnsi="宋体" w:eastAsia="宋体"/>
          <w:szCs w:val="21"/>
        </w:rPr>
      </w:pPr>
      <w:r>
        <w:rPr>
          <w:rFonts w:hint="eastAsia" w:ascii="宋体" w:hAnsi="宋体" w:eastAsia="宋体"/>
          <w:szCs w:val="21"/>
        </w:rPr>
        <w:t>从表2中的两国经济增长率可以看出，中韩两国经济增长都出现过大起大落现象。中国从1953年～1990年经济增长率的几次波动中，增长波动轨迹表现出两个突出的特点：一是“大起大落”，峰位很高，谷位亦很低。在1991～2000年的新一轮波动中，波动轨迹有新变化。一是由过去的“大起大落”变为“大起缓落”，峰位仍很高，但谷位已上升。</w:t>
      </w:r>
    </w:p>
    <w:p w14:paraId="0CD81CD9">
      <w:pPr>
        <w:spacing w:line="300" w:lineRule="auto"/>
        <w:ind w:firstLine="420" w:firstLineChars="200"/>
        <w:rPr>
          <w:rFonts w:ascii="宋体" w:hAnsi="宋体" w:eastAsia="宋体"/>
          <w:szCs w:val="21"/>
        </w:rPr>
      </w:pPr>
      <w:r>
        <w:rPr>
          <w:rFonts w:hint="eastAsia" w:ascii="宋体" w:hAnsi="宋体" w:eastAsia="宋体"/>
          <w:szCs w:val="21"/>
        </w:rPr>
        <w:t>韩国从1953年～1961年，1980年～1998年年经济增长率的几次波动，增长波动轨迹也表现出“大起大落”，即在波动的空间幅度方面，但峰位比中国低，谷位比中国高。从波动走势看，从1953年开始，以1978年为界，在界前中国经济增长波动起伏大，界后波动趋于平缓；而韩国在界前经济增长波动平缓，界后，经济增长波动起伏趋大。我们以经济增长率的变动作为划分周期的标准，从周期、波幅、波位3个方面来考察韩国从1953～2000年的经济波动情况。韩国经济呈现为3个阶段。第一阶段是1953～1961年，其中包括1953～1957年周期，1957～1961年周期。这个时期经济增长率的最高增长年度是1953年，当年经济增长率为25.3%。最低增长年度出现在1956年，当年经济增长率1.2%。1953年和1957年为波峰年分，第一阶段波动的状况是:波动周期短，波位高，波动强度大。这是战后物质短缺，通货膨胀，美国援助减少造成的。第二阶段是1961年～1979年。这个阶段在1961年5月16日朴正熙军事政变后，通过制订五年经济增长计划，把经济增长放在首位，在决策正确和政治稳定中，经济增长平稳。这个阶段包括1961年～1965年、1965年～1972年、1972年～1975年、1975年～1979年4个周期。在这4个周期中，虽然出现世界性的石油危机冲击，但没有出现有属于经济增长绝对下降的古典周期，并且各个周期的波幅不大，各周期内平均增长率的波位相差也不大。这从侧面反映了经济波动的平缓。这一时期经济波动的状况是:波动周期长，波动幅度小，波位高。第三个阶段是1980年到2000年。其中包括1980年～1985年周期，1985年～1989年周期，1989～1993年周期，1993～2000年周期。这个时期，随着国际市场的变化和国内政策调整，从1980年到2000年的21年中，有2个属于经济增长绝对下降的古典周期，即1980年～1985年周期。在1980年～1985年周期内经济发生波动，并出现绝对下降的古典周期。这个周期处于“四五”与“五五”五年计划的交替期。而“四五”期间经济年均增长率只有5.5%，这是从1962年实施经济开发5 年谋划以来经济增长最低的一次，尤其是1980年的-6.2%的负增长。经济增长率放慢的原因，在国内方面，这同投资效率有关。由于对重化工业的投资占总投资的80%，但对重化工业的投资因资本回收期间长，高投资不可以立刻引起经济的高速增长，所以投资效率就有了较大的下降。1979年10月26日朴正熙总统遇刺身亡的突发事件，不仅使韩国陷入政治、社会混乱，而且使韩国经济失去稳定，造成1980年经济增长率为-6.2%。1980年～2000年周期，韩国年均增长率最低的年分，负增长的年分，都出现在这个时期。1980年、1998年2个年分属负增长，并且各个周期的波幅很大，各周期内平均增长率的波位相差也较大。这从侧面反映了经济波动的剧烈。这一时期经济波动的状况是:波动周期长，波动幅度大，波位低。造成波动的原因是国外市场保护主义的抬头，经常项目的恶化，进出口逆差的增大，外债增加等。国内投资起落的大幅度的变化，也是造成经济波动的一个很重要的原因。</w:t>
      </w:r>
    </w:p>
    <w:p w14:paraId="28363BD2">
      <w:pPr>
        <w:spacing w:line="300" w:lineRule="auto"/>
        <w:ind w:firstLine="420" w:firstLineChars="200"/>
        <w:rPr>
          <w:rFonts w:ascii="宋体" w:hAnsi="宋体" w:eastAsia="宋体"/>
          <w:szCs w:val="21"/>
        </w:rPr>
      </w:pPr>
      <w:r>
        <w:rPr>
          <w:rFonts w:hint="eastAsia" w:ascii="宋体" w:hAnsi="宋体" w:eastAsia="宋体"/>
          <w:szCs w:val="21"/>
        </w:rPr>
        <w:t>我们同样以国内生产总值、或国民生产总值增长率的变动作为划分周期的标准，从周期、波幅、波位3 个方面来考察中国经济的波动。中国1953～2000年的经济波动呈现为3个阶段。第一阶段是1953～1956年，该周期的最高增长年度分别是1953年和1956年，当年经济增长率分别为15.6%和15%。最低增长年度出现在1954年，当年经济增长率4.2%。第一阶段波动的状况是：波动周期短，波位高；波动强度不大。第二阶段是1956年～1978年。这个阶段经济在决策失误和政治动乱中大起大落，波动之剧烈在世界经济史上罕见。这个阶段包括1956年～1958年、1958年～1962年、1963年～1968年、1969年～1972年、1973～1977年5个周期。在这5个周期中，有3个属于经济增长绝对下降的古典周期，即1958年～1962年周期，1963年～1968年周期，1973年～1977年周期。新中国成立以后，经济增长最高的年分，最低的年分，负增长的年分，都出现在这个时期。1960年、1961年、1962年、1967年、1968年、1976年等6年均属负增长，并且各个周期的波幅很大。各周期内平均增长率的波位相差也较大。这从侧面反映了经济波动的剧烈。这一时期经济波动的状况是：波动周期短，波动幅度大，波位低。第三个阶段是1978年到2000年。其中包括1978年～1984年周期，1984年～1987年周期，1987～1992年周期，1993～2000年周期。从1979年到2000年的22年它们都是增长周期，没有出现增长率为负的年分。从1979年～1990年，经济增长率高达9%；“八五”时期，经济增长率更高达12%；“九五”时期，虽受东南亚经济危机影响，但经济增长率也高达8.1% ，比同期的韩国经济增长率高3.4%。这个时期的各个周期的波位相差不大。这一时期经济波动的状况是：波动周期长，波动幅度小，波位高。</w:t>
      </w:r>
    </w:p>
    <w:p w14:paraId="3A2C938A">
      <w:pPr>
        <w:spacing w:line="300" w:lineRule="auto"/>
        <w:ind w:firstLine="420" w:firstLineChars="200"/>
        <w:rPr>
          <w:rFonts w:ascii="宋体" w:hAnsi="宋体" w:eastAsia="宋体"/>
          <w:szCs w:val="21"/>
        </w:rPr>
      </w:pPr>
      <w:r>
        <w:rPr>
          <w:rFonts w:hint="eastAsia" w:ascii="宋体" w:hAnsi="宋体" w:eastAsia="宋体"/>
          <w:szCs w:val="21"/>
        </w:rPr>
        <w:t>中国经济增长的波动最主要的影响是投资的扩张与收缩。投资率水平很高，变动幅度很大。在中国统计资料的1953～2000年中，投资率有32个年分在30%以上，最高达到43.8%(1959年) ，最低只有10.4%(1962年)。中国投资率的变动大致可分为两个时期：(1)1952～1970年。这个时期中国投资率极不稳定，变动频繁且变动幅度巨大。这个时期同时也是中国经济增长波动最大的时期，因为投资扩张导致经济高速增长时，必然带来农、轻、重比例结构逐渐趋于失调，就是重工业比重偏大，农业比重偏小，这似乎已成为我国经济波动过程中的一个规律性变化。在农业、工业、建筑业、运输业和商业五大产业部门中，从来就是农业波动幅度最小，建筑业和工业波动幅度最大。工业中，重工业波动幅度又明显大于整个工业的波动幅度。重工业增长率在经济扩张时期一般要高于工业增长率，在经济收缩时期一般又低于工业增长率。这说明，重工业波动是工业波动来源的主要因素。(2)1971～1997年。这个时期是高积累时期。中国投资率保持在30%以上，变动相对较小。同时，这个时期也是中国经济波动较小，经济比较稳定的时期。所以，我们有理由认为中国经济增长波动的主要原因之一是不符合实际的高投资率和投资率的大幅度变动。在投资中，国家投资的扩张与收缩直接导致了中国经济增长的波动。传统体制下国家通过统收统支的方式配置资源，国家投资直接决定着经济的波动，被人们称为“计划周期”，当时国家投资采用的是“大财政小金融”的方式。从传统的计划集权化分配投资的模式转到地方分权化的投资模式，国家投资的每一次扩张，不是由计划者决定，而是由地方政府和具有“软预算”的国企的投资扩张所决定，形成投资的“倒逼机制”。经济波动主要由于当时地方政府过度“重复建设”，导致投资扩张引起价格波动。中央、地方政府和国有企业这三个投资主体在市场化改革后，直接从财政进行融资和投资的比重下降。但由于国有银行商业化改革步伐较慢，中央、地方项目和国有企业投资都来源于国有银行，这就是20世纪80年代后期到20世纪90年代中期的“大银行小财政”的阶段，这里存在着非常强的“软预算约束”，国家只要一放松控制，各地方政府都进行大规模的投资，重复建设严重，出现资源的瓶颈制约，引发通货膨胀，国家通过收紧信贷，进行项目控制抑制经济过热[5]。另外中国经济增长波动受政治偶然因素影响很大。</w:t>
      </w:r>
    </w:p>
    <w:p w14:paraId="1978CBCC">
      <w:pPr>
        <w:widowControl/>
        <w:spacing w:before="180" w:beforeLines="50" w:after="180" w:afterLines="50" w:line="300" w:lineRule="auto"/>
        <w:ind w:firstLine="480" w:firstLineChars="200"/>
        <w:jc w:val="center"/>
        <w:rPr>
          <w:rFonts w:ascii="Times New Roman" w:hAnsi="Times New Roman" w:eastAsia="宋体" w:cs="Times New Roman"/>
          <w:b/>
          <w:bCs/>
          <w:sz w:val="24"/>
          <w:szCs w:val="32"/>
          <w:lang w:val="zh-CN"/>
        </w:rPr>
      </w:pPr>
      <w:r>
        <w:rPr>
          <w:rFonts w:hint="eastAsia" w:ascii="Times New Roman" w:hAnsi="Times New Roman" w:eastAsia="宋体" w:cs="Times New Roman"/>
          <w:b/>
          <w:bCs/>
          <w:sz w:val="24"/>
          <w:szCs w:val="32"/>
          <w:lang w:val="zh-CN"/>
        </w:rPr>
        <w:t>四、经济的高速增长伴随一定的通货膨胀</w:t>
      </w:r>
    </w:p>
    <w:p w14:paraId="1869FF61">
      <w:pPr>
        <w:spacing w:line="300" w:lineRule="auto"/>
        <w:ind w:firstLine="420" w:firstLineChars="200"/>
        <w:rPr>
          <w:rFonts w:ascii="宋体" w:hAnsi="宋体" w:eastAsia="宋体"/>
          <w:szCs w:val="21"/>
        </w:rPr>
      </w:pPr>
      <w:r>
        <w:rPr>
          <w:rFonts w:hint="eastAsia" w:ascii="宋体" w:hAnsi="宋体" w:eastAsia="宋体"/>
          <w:szCs w:val="21"/>
        </w:rPr>
        <w:t>中韩两国经济增长在高增长的同时伴随着程度变化的通货膨胀。韩国经济增长始终伴随着通货膨胀。经济增长率同物价上涨之间关系如表3显示。只有1982年～1991年间经济增长率在9.9%，物价上涨率在1.9%之外，韩国的经济增长始终伴随着通货膨胀[5](P7)。在影响物价的各种因素中，在1954年～1961年期间通货膨胀形成的原因是战后当时物资严重短缺，政府大量增发货币和1955年、1956年的农业歉收等因素，其中通货量的变化是物价变化的主要因素。1962年～1981年韩国经济开发时期的通货膨胀是“开发型通货膨胀”，成因一是超前需求膨胀；二是汇率调整引起的膨胀；三是石油的冲击对物价的影响；四是粮食高价收购政策对物价的影响。20世纪90年代初以来通货膨胀的成因，国内方面是工资上涨过快，农业收成不好，房地产价格上升也影响了价格的上涨。在国际方面是由于国际市场疲软，韩国的国际竞争力下降，出口不振，进口增加，经常项目赤字造成的。1997年金融危机后，韩国经济从低谷中复苏，没有形成较快的通货膨胀。</w:t>
      </w:r>
    </w:p>
    <w:p w14:paraId="04728C19">
      <w:pPr>
        <w:spacing w:line="300" w:lineRule="auto"/>
        <w:ind w:firstLine="360" w:firstLineChars="200"/>
        <w:jc w:val="center"/>
        <w:rPr>
          <w:rFonts w:ascii="宋体" w:hAnsi="宋体" w:eastAsia="宋体"/>
          <w:b/>
          <w:sz w:val="18"/>
          <w:szCs w:val="18"/>
        </w:rPr>
      </w:pPr>
      <w:r>
        <w:rPr>
          <w:rFonts w:hint="eastAsia" w:ascii="宋体" w:hAnsi="宋体" w:eastAsia="宋体"/>
          <w:b/>
          <w:sz w:val="18"/>
          <w:szCs w:val="18"/>
        </w:rPr>
        <w:t>表3 　韩国经济增长与物价上涨之间关系</w:t>
      </w:r>
    </w:p>
    <w:tbl>
      <w:tblPr>
        <w:tblStyle w:val="17"/>
        <w:tblW w:w="0" w:type="auto"/>
        <w:tblInd w:w="288" w:type="dxa"/>
        <w:tblBorders>
          <w:top w:val="single" w:color="auto" w:sz="12" w:space="0"/>
          <w:left w:val="none" w:color="auto" w:sz="0" w:space="0"/>
          <w:bottom w:val="single" w:color="auto" w:sz="12" w:space="0"/>
          <w:right w:val="none" w:color="auto" w:sz="0" w:space="0"/>
          <w:insideH w:val="single" w:color="auto" w:sz="12" w:space="0"/>
          <w:insideV w:val="single" w:color="auto" w:sz="12" w:space="0"/>
        </w:tblBorders>
        <w:tblLayout w:type="fixed"/>
        <w:tblCellMar>
          <w:top w:w="0" w:type="dxa"/>
          <w:left w:w="108" w:type="dxa"/>
          <w:bottom w:w="0" w:type="dxa"/>
          <w:right w:w="108" w:type="dxa"/>
        </w:tblCellMar>
      </w:tblPr>
      <w:tblGrid>
        <w:gridCol w:w="1980"/>
        <w:gridCol w:w="2700"/>
        <w:gridCol w:w="2880"/>
      </w:tblGrid>
      <w:tr w14:paraId="0A14C16B">
        <w:tc>
          <w:tcPr>
            <w:tcW w:w="1980" w:type="dxa"/>
            <w:tcBorders>
              <w:top w:val="single" w:color="auto" w:sz="12" w:space="0"/>
              <w:left w:val="nil"/>
              <w:bottom w:val="single" w:color="auto" w:sz="12" w:space="0"/>
              <w:right w:val="single" w:color="auto" w:sz="12" w:space="0"/>
            </w:tcBorders>
            <w:vAlign w:val="center"/>
          </w:tcPr>
          <w:p w14:paraId="41F9A8E4">
            <w:pPr>
              <w:ind w:firstLine="360" w:firstLineChars="200"/>
              <w:jc w:val="center"/>
              <w:rPr>
                <w:rFonts w:ascii="宋体" w:hAnsi="宋体" w:eastAsia="宋体"/>
                <w:sz w:val="18"/>
                <w:szCs w:val="18"/>
              </w:rPr>
            </w:pPr>
            <w:r>
              <w:rPr>
                <w:rFonts w:hint="eastAsia" w:ascii="宋体" w:hAnsi="宋体" w:eastAsia="宋体"/>
                <w:sz w:val="18"/>
                <w:szCs w:val="18"/>
              </w:rPr>
              <w:t>期间(年)</w:t>
            </w:r>
          </w:p>
        </w:tc>
        <w:tc>
          <w:tcPr>
            <w:tcW w:w="5580" w:type="dxa"/>
            <w:gridSpan w:val="2"/>
            <w:tcBorders>
              <w:top w:val="single" w:color="auto" w:sz="12" w:space="0"/>
              <w:left w:val="single" w:color="auto" w:sz="12" w:space="0"/>
              <w:bottom w:val="single" w:color="auto" w:sz="12" w:space="0"/>
              <w:right w:val="nil"/>
            </w:tcBorders>
            <w:vAlign w:val="center"/>
          </w:tcPr>
          <w:p w14:paraId="5247B053">
            <w:pPr>
              <w:ind w:firstLine="360" w:firstLineChars="200"/>
              <w:jc w:val="center"/>
              <w:rPr>
                <w:rFonts w:ascii="宋体" w:hAnsi="宋体" w:eastAsia="宋体"/>
                <w:sz w:val="18"/>
                <w:szCs w:val="18"/>
              </w:rPr>
            </w:pPr>
            <w:r>
              <w:rPr>
                <w:rFonts w:hint="eastAsia" w:ascii="宋体" w:hAnsi="宋体" w:eastAsia="宋体"/>
                <w:sz w:val="18"/>
                <w:szCs w:val="18"/>
              </w:rPr>
              <w:t>经济增长与物价上涨</w:t>
            </w:r>
          </w:p>
        </w:tc>
      </w:tr>
      <w:tr w14:paraId="1EDC9DCC">
        <w:tc>
          <w:tcPr>
            <w:tcW w:w="1980" w:type="dxa"/>
            <w:tcBorders>
              <w:top w:val="single" w:color="auto" w:sz="12" w:space="0"/>
              <w:left w:val="nil"/>
              <w:bottom w:val="nil"/>
              <w:right w:val="single" w:color="auto" w:sz="12" w:space="0"/>
            </w:tcBorders>
            <w:vAlign w:val="center"/>
          </w:tcPr>
          <w:p w14:paraId="72A639D2">
            <w:pPr>
              <w:ind w:firstLine="360" w:firstLineChars="200"/>
              <w:jc w:val="center"/>
              <w:rPr>
                <w:rFonts w:ascii="宋体" w:hAnsi="宋体" w:eastAsia="宋体"/>
                <w:sz w:val="18"/>
                <w:szCs w:val="18"/>
              </w:rPr>
            </w:pPr>
            <w:r>
              <w:rPr>
                <w:rFonts w:hint="eastAsia" w:ascii="宋体" w:hAnsi="宋体" w:eastAsia="宋体"/>
                <w:sz w:val="18"/>
                <w:szCs w:val="18"/>
              </w:rPr>
              <w:t>1954 - 1961</w:t>
            </w:r>
          </w:p>
        </w:tc>
        <w:tc>
          <w:tcPr>
            <w:tcW w:w="2700" w:type="dxa"/>
            <w:tcBorders>
              <w:top w:val="single" w:color="auto" w:sz="12" w:space="0"/>
              <w:left w:val="single" w:color="auto" w:sz="12" w:space="0"/>
              <w:bottom w:val="nil"/>
              <w:right w:val="nil"/>
            </w:tcBorders>
          </w:tcPr>
          <w:p w14:paraId="50F17DFA">
            <w:pPr>
              <w:ind w:firstLine="360" w:firstLineChars="200"/>
              <w:rPr>
                <w:rFonts w:ascii="宋体" w:hAnsi="宋体" w:eastAsia="宋体"/>
                <w:sz w:val="18"/>
                <w:szCs w:val="18"/>
              </w:rPr>
            </w:pPr>
            <w:r>
              <w:rPr>
                <w:rFonts w:hint="eastAsia" w:ascii="宋体" w:hAnsi="宋体" w:eastAsia="宋体"/>
                <w:sz w:val="18"/>
                <w:szCs w:val="18"/>
              </w:rPr>
              <w:t>　经济增长慢(4.4%)</w:t>
            </w:r>
          </w:p>
        </w:tc>
        <w:tc>
          <w:tcPr>
            <w:tcW w:w="2880" w:type="dxa"/>
            <w:tcBorders>
              <w:top w:val="single" w:color="auto" w:sz="12" w:space="0"/>
              <w:left w:val="nil"/>
              <w:bottom w:val="nil"/>
              <w:right w:val="nil"/>
            </w:tcBorders>
          </w:tcPr>
          <w:p w14:paraId="279A8B48">
            <w:pPr>
              <w:ind w:firstLine="360" w:firstLineChars="200"/>
              <w:rPr>
                <w:rFonts w:ascii="宋体" w:hAnsi="宋体" w:eastAsia="宋体"/>
                <w:sz w:val="18"/>
                <w:szCs w:val="18"/>
              </w:rPr>
            </w:pPr>
            <w:r>
              <w:rPr>
                <w:rFonts w:hint="eastAsia" w:ascii="宋体" w:hAnsi="宋体" w:eastAsia="宋体"/>
                <w:sz w:val="18"/>
                <w:szCs w:val="18"/>
              </w:rPr>
              <w:t>　物价上涨快(22.5%)</w:t>
            </w:r>
          </w:p>
        </w:tc>
      </w:tr>
      <w:tr w14:paraId="72C4F57C">
        <w:tc>
          <w:tcPr>
            <w:tcW w:w="1980" w:type="dxa"/>
            <w:tcBorders>
              <w:top w:val="nil"/>
              <w:left w:val="nil"/>
              <w:bottom w:val="nil"/>
              <w:right w:val="single" w:color="auto" w:sz="12" w:space="0"/>
            </w:tcBorders>
            <w:vAlign w:val="center"/>
          </w:tcPr>
          <w:p w14:paraId="5737F4E9">
            <w:pPr>
              <w:ind w:firstLine="360" w:firstLineChars="200"/>
              <w:jc w:val="center"/>
              <w:rPr>
                <w:rFonts w:ascii="宋体" w:hAnsi="宋体" w:eastAsia="宋体"/>
                <w:sz w:val="18"/>
                <w:szCs w:val="18"/>
              </w:rPr>
            </w:pPr>
            <w:r>
              <w:rPr>
                <w:rFonts w:hint="eastAsia" w:ascii="宋体" w:hAnsi="宋体" w:eastAsia="宋体"/>
                <w:sz w:val="18"/>
                <w:szCs w:val="18"/>
              </w:rPr>
              <w:t>1962 - 1966</w:t>
            </w:r>
          </w:p>
        </w:tc>
        <w:tc>
          <w:tcPr>
            <w:tcW w:w="2700" w:type="dxa"/>
            <w:tcBorders>
              <w:top w:val="nil"/>
              <w:left w:val="single" w:color="auto" w:sz="12" w:space="0"/>
              <w:bottom w:val="nil"/>
              <w:right w:val="nil"/>
            </w:tcBorders>
          </w:tcPr>
          <w:p w14:paraId="52AC7552">
            <w:pPr>
              <w:ind w:firstLine="360" w:firstLineChars="200"/>
              <w:rPr>
                <w:rFonts w:ascii="宋体" w:hAnsi="宋体" w:eastAsia="宋体"/>
                <w:sz w:val="18"/>
                <w:szCs w:val="18"/>
              </w:rPr>
            </w:pPr>
            <w:r>
              <w:rPr>
                <w:rFonts w:hint="eastAsia" w:ascii="宋体" w:hAnsi="宋体" w:eastAsia="宋体"/>
                <w:sz w:val="18"/>
                <w:szCs w:val="18"/>
              </w:rPr>
              <w:t>　经济增长快(8.5%)</w:t>
            </w:r>
          </w:p>
        </w:tc>
        <w:tc>
          <w:tcPr>
            <w:tcW w:w="2880" w:type="dxa"/>
            <w:tcBorders>
              <w:top w:val="nil"/>
              <w:left w:val="nil"/>
              <w:bottom w:val="nil"/>
              <w:right w:val="nil"/>
            </w:tcBorders>
          </w:tcPr>
          <w:p w14:paraId="0C0BF339">
            <w:pPr>
              <w:ind w:firstLine="360" w:firstLineChars="200"/>
              <w:rPr>
                <w:rFonts w:ascii="宋体" w:hAnsi="宋体" w:eastAsia="宋体"/>
                <w:sz w:val="18"/>
                <w:szCs w:val="18"/>
              </w:rPr>
            </w:pPr>
            <w:r>
              <w:rPr>
                <w:rFonts w:hint="eastAsia" w:ascii="宋体" w:hAnsi="宋体" w:eastAsia="宋体"/>
                <w:sz w:val="18"/>
                <w:szCs w:val="18"/>
              </w:rPr>
              <w:t>　物价上涨快(16.7%)</w:t>
            </w:r>
          </w:p>
        </w:tc>
      </w:tr>
      <w:tr w14:paraId="54B7A74C">
        <w:tc>
          <w:tcPr>
            <w:tcW w:w="1980" w:type="dxa"/>
            <w:tcBorders>
              <w:top w:val="nil"/>
              <w:left w:val="nil"/>
              <w:bottom w:val="nil"/>
              <w:right w:val="single" w:color="auto" w:sz="12" w:space="0"/>
            </w:tcBorders>
            <w:vAlign w:val="center"/>
          </w:tcPr>
          <w:p w14:paraId="61997DC5">
            <w:pPr>
              <w:ind w:firstLine="360" w:firstLineChars="200"/>
              <w:jc w:val="center"/>
              <w:rPr>
                <w:rFonts w:ascii="宋体" w:hAnsi="宋体" w:eastAsia="宋体"/>
                <w:sz w:val="18"/>
                <w:szCs w:val="18"/>
              </w:rPr>
            </w:pPr>
            <w:r>
              <w:rPr>
                <w:rFonts w:hint="eastAsia" w:ascii="宋体" w:hAnsi="宋体" w:eastAsia="宋体"/>
                <w:sz w:val="18"/>
                <w:szCs w:val="18"/>
              </w:rPr>
              <w:t>1967 - 1971</w:t>
            </w:r>
          </w:p>
        </w:tc>
        <w:tc>
          <w:tcPr>
            <w:tcW w:w="2700" w:type="dxa"/>
            <w:tcBorders>
              <w:top w:val="nil"/>
              <w:left w:val="single" w:color="auto" w:sz="12" w:space="0"/>
              <w:bottom w:val="nil"/>
              <w:right w:val="nil"/>
            </w:tcBorders>
          </w:tcPr>
          <w:p w14:paraId="7026B1CA">
            <w:pPr>
              <w:ind w:firstLine="360" w:firstLineChars="200"/>
              <w:rPr>
                <w:rFonts w:ascii="宋体" w:hAnsi="宋体" w:eastAsia="宋体"/>
                <w:sz w:val="18"/>
                <w:szCs w:val="18"/>
              </w:rPr>
            </w:pPr>
            <w:r>
              <w:rPr>
                <w:rFonts w:hint="eastAsia" w:ascii="宋体" w:hAnsi="宋体" w:eastAsia="宋体"/>
                <w:sz w:val="18"/>
                <w:szCs w:val="18"/>
              </w:rPr>
              <w:t>　经济增长快(9.7%)</w:t>
            </w:r>
          </w:p>
        </w:tc>
        <w:tc>
          <w:tcPr>
            <w:tcW w:w="2880" w:type="dxa"/>
            <w:tcBorders>
              <w:top w:val="nil"/>
              <w:left w:val="nil"/>
              <w:bottom w:val="nil"/>
              <w:right w:val="nil"/>
            </w:tcBorders>
          </w:tcPr>
          <w:p w14:paraId="797B9E19">
            <w:pPr>
              <w:ind w:firstLine="360" w:firstLineChars="200"/>
              <w:rPr>
                <w:rFonts w:ascii="宋体" w:hAnsi="宋体" w:eastAsia="宋体"/>
                <w:sz w:val="18"/>
                <w:szCs w:val="18"/>
              </w:rPr>
            </w:pPr>
            <w:r>
              <w:rPr>
                <w:rFonts w:hint="eastAsia" w:ascii="宋体" w:hAnsi="宋体" w:eastAsia="宋体"/>
                <w:sz w:val="18"/>
                <w:szCs w:val="18"/>
              </w:rPr>
              <w:t>　物价上涨快(16.7%)</w:t>
            </w:r>
          </w:p>
        </w:tc>
      </w:tr>
      <w:tr w14:paraId="2D0634F3">
        <w:tc>
          <w:tcPr>
            <w:tcW w:w="1980" w:type="dxa"/>
            <w:tcBorders>
              <w:top w:val="nil"/>
              <w:left w:val="nil"/>
              <w:bottom w:val="nil"/>
              <w:right w:val="single" w:color="auto" w:sz="12" w:space="0"/>
            </w:tcBorders>
            <w:vAlign w:val="center"/>
          </w:tcPr>
          <w:p w14:paraId="3992E38A">
            <w:pPr>
              <w:ind w:firstLine="360" w:firstLineChars="200"/>
              <w:jc w:val="center"/>
              <w:rPr>
                <w:rFonts w:ascii="宋体" w:hAnsi="宋体" w:eastAsia="宋体"/>
                <w:sz w:val="18"/>
                <w:szCs w:val="18"/>
              </w:rPr>
            </w:pPr>
            <w:r>
              <w:rPr>
                <w:rFonts w:hint="eastAsia" w:ascii="宋体" w:hAnsi="宋体" w:eastAsia="宋体"/>
                <w:sz w:val="18"/>
                <w:szCs w:val="18"/>
              </w:rPr>
              <w:t>1972 - 1976</w:t>
            </w:r>
          </w:p>
        </w:tc>
        <w:tc>
          <w:tcPr>
            <w:tcW w:w="2700" w:type="dxa"/>
            <w:tcBorders>
              <w:top w:val="nil"/>
              <w:left w:val="single" w:color="auto" w:sz="12" w:space="0"/>
              <w:bottom w:val="nil"/>
              <w:right w:val="nil"/>
            </w:tcBorders>
          </w:tcPr>
          <w:p w14:paraId="4F2BA689">
            <w:pPr>
              <w:ind w:firstLine="360" w:firstLineChars="200"/>
              <w:rPr>
                <w:rFonts w:ascii="宋体" w:hAnsi="宋体" w:eastAsia="宋体"/>
                <w:sz w:val="18"/>
                <w:szCs w:val="18"/>
              </w:rPr>
            </w:pPr>
            <w:r>
              <w:rPr>
                <w:rFonts w:hint="eastAsia" w:ascii="宋体" w:hAnsi="宋体" w:eastAsia="宋体"/>
                <w:sz w:val="18"/>
                <w:szCs w:val="18"/>
              </w:rPr>
              <w:t>　经济增长快(10.1%)</w:t>
            </w:r>
          </w:p>
        </w:tc>
        <w:tc>
          <w:tcPr>
            <w:tcW w:w="2880" w:type="dxa"/>
            <w:tcBorders>
              <w:top w:val="nil"/>
              <w:left w:val="nil"/>
              <w:bottom w:val="nil"/>
              <w:right w:val="nil"/>
            </w:tcBorders>
          </w:tcPr>
          <w:p w14:paraId="719535D9">
            <w:pPr>
              <w:ind w:firstLine="360" w:firstLineChars="200"/>
              <w:rPr>
                <w:rFonts w:ascii="宋体" w:hAnsi="宋体" w:eastAsia="宋体"/>
                <w:sz w:val="18"/>
                <w:szCs w:val="18"/>
              </w:rPr>
            </w:pPr>
            <w:r>
              <w:rPr>
                <w:rFonts w:hint="eastAsia" w:ascii="宋体" w:hAnsi="宋体" w:eastAsia="宋体"/>
                <w:sz w:val="18"/>
                <w:szCs w:val="18"/>
              </w:rPr>
              <w:t>　物价上涨快(20.3%)</w:t>
            </w:r>
          </w:p>
        </w:tc>
      </w:tr>
      <w:tr w14:paraId="4762CF6D">
        <w:tc>
          <w:tcPr>
            <w:tcW w:w="1980" w:type="dxa"/>
            <w:tcBorders>
              <w:top w:val="nil"/>
              <w:left w:val="nil"/>
              <w:bottom w:val="nil"/>
              <w:right w:val="single" w:color="auto" w:sz="12" w:space="0"/>
            </w:tcBorders>
            <w:vAlign w:val="center"/>
          </w:tcPr>
          <w:p w14:paraId="0643D81E">
            <w:pPr>
              <w:ind w:firstLine="360" w:firstLineChars="200"/>
              <w:jc w:val="center"/>
              <w:rPr>
                <w:rFonts w:ascii="宋体" w:hAnsi="宋体" w:eastAsia="宋体"/>
                <w:sz w:val="18"/>
                <w:szCs w:val="18"/>
              </w:rPr>
            </w:pPr>
            <w:r>
              <w:rPr>
                <w:rFonts w:hint="eastAsia" w:ascii="宋体" w:hAnsi="宋体" w:eastAsia="宋体"/>
                <w:sz w:val="18"/>
                <w:szCs w:val="18"/>
              </w:rPr>
              <w:t>1977 - 1981</w:t>
            </w:r>
          </w:p>
        </w:tc>
        <w:tc>
          <w:tcPr>
            <w:tcW w:w="2700" w:type="dxa"/>
            <w:tcBorders>
              <w:top w:val="nil"/>
              <w:left w:val="single" w:color="auto" w:sz="12" w:space="0"/>
              <w:bottom w:val="nil"/>
              <w:right w:val="nil"/>
            </w:tcBorders>
          </w:tcPr>
          <w:p w14:paraId="160AE43B">
            <w:pPr>
              <w:ind w:firstLine="360" w:firstLineChars="200"/>
              <w:rPr>
                <w:rFonts w:ascii="宋体" w:hAnsi="宋体" w:eastAsia="宋体"/>
                <w:sz w:val="18"/>
                <w:szCs w:val="18"/>
              </w:rPr>
            </w:pPr>
            <w:r>
              <w:rPr>
                <w:rFonts w:hint="eastAsia" w:ascii="宋体" w:hAnsi="宋体" w:eastAsia="宋体"/>
                <w:sz w:val="18"/>
                <w:szCs w:val="18"/>
              </w:rPr>
              <w:t>　经济增长慢(5.5%)</w:t>
            </w:r>
          </w:p>
        </w:tc>
        <w:tc>
          <w:tcPr>
            <w:tcW w:w="2880" w:type="dxa"/>
            <w:tcBorders>
              <w:top w:val="nil"/>
              <w:left w:val="nil"/>
              <w:bottom w:val="nil"/>
              <w:right w:val="nil"/>
            </w:tcBorders>
          </w:tcPr>
          <w:p w14:paraId="3220378A">
            <w:pPr>
              <w:ind w:firstLine="360" w:firstLineChars="200"/>
              <w:rPr>
                <w:rFonts w:ascii="宋体" w:hAnsi="宋体" w:eastAsia="宋体"/>
                <w:sz w:val="18"/>
                <w:szCs w:val="18"/>
              </w:rPr>
            </w:pPr>
            <w:r>
              <w:rPr>
                <w:rFonts w:hint="eastAsia" w:ascii="宋体" w:hAnsi="宋体" w:eastAsia="宋体"/>
                <w:sz w:val="18"/>
                <w:szCs w:val="18"/>
              </w:rPr>
              <w:t>　物价上涨快(19.8%)</w:t>
            </w:r>
          </w:p>
        </w:tc>
      </w:tr>
      <w:tr w14:paraId="37627540">
        <w:tc>
          <w:tcPr>
            <w:tcW w:w="1980" w:type="dxa"/>
            <w:tcBorders>
              <w:top w:val="nil"/>
              <w:left w:val="nil"/>
              <w:bottom w:val="nil"/>
              <w:right w:val="single" w:color="auto" w:sz="12" w:space="0"/>
            </w:tcBorders>
            <w:vAlign w:val="center"/>
          </w:tcPr>
          <w:p w14:paraId="3C491FFA">
            <w:pPr>
              <w:ind w:firstLine="360" w:firstLineChars="200"/>
              <w:jc w:val="center"/>
              <w:rPr>
                <w:rFonts w:ascii="宋体" w:hAnsi="宋体" w:eastAsia="宋体"/>
                <w:sz w:val="18"/>
                <w:szCs w:val="18"/>
              </w:rPr>
            </w:pPr>
            <w:r>
              <w:rPr>
                <w:rFonts w:hint="eastAsia" w:ascii="宋体" w:hAnsi="宋体" w:eastAsia="宋体"/>
                <w:sz w:val="18"/>
                <w:szCs w:val="18"/>
              </w:rPr>
              <w:t>1982 - 1991</w:t>
            </w:r>
          </w:p>
        </w:tc>
        <w:tc>
          <w:tcPr>
            <w:tcW w:w="2700" w:type="dxa"/>
            <w:tcBorders>
              <w:top w:val="nil"/>
              <w:left w:val="single" w:color="auto" w:sz="12" w:space="0"/>
              <w:bottom w:val="nil"/>
              <w:right w:val="nil"/>
            </w:tcBorders>
          </w:tcPr>
          <w:p w14:paraId="4717878E">
            <w:pPr>
              <w:ind w:firstLine="360" w:firstLineChars="200"/>
              <w:rPr>
                <w:rFonts w:ascii="宋体" w:hAnsi="宋体" w:eastAsia="宋体"/>
                <w:sz w:val="18"/>
                <w:szCs w:val="18"/>
              </w:rPr>
            </w:pPr>
            <w:r>
              <w:rPr>
                <w:rFonts w:hint="eastAsia" w:ascii="宋体" w:hAnsi="宋体" w:eastAsia="宋体"/>
                <w:sz w:val="18"/>
                <w:szCs w:val="18"/>
              </w:rPr>
              <w:t>　经济增长快(9.9%)</w:t>
            </w:r>
          </w:p>
        </w:tc>
        <w:tc>
          <w:tcPr>
            <w:tcW w:w="2880" w:type="dxa"/>
            <w:tcBorders>
              <w:top w:val="nil"/>
              <w:left w:val="nil"/>
              <w:bottom w:val="nil"/>
              <w:right w:val="nil"/>
            </w:tcBorders>
          </w:tcPr>
          <w:p w14:paraId="4E97C1AE">
            <w:pPr>
              <w:ind w:firstLine="360" w:firstLineChars="200"/>
              <w:rPr>
                <w:rFonts w:ascii="宋体" w:hAnsi="宋体" w:eastAsia="宋体"/>
                <w:sz w:val="18"/>
                <w:szCs w:val="18"/>
              </w:rPr>
            </w:pPr>
            <w:r>
              <w:rPr>
                <w:rFonts w:hint="eastAsia" w:ascii="宋体" w:hAnsi="宋体" w:eastAsia="宋体"/>
                <w:sz w:val="18"/>
                <w:szCs w:val="18"/>
              </w:rPr>
              <w:t>　物价上涨慢(1.9%)</w:t>
            </w:r>
          </w:p>
        </w:tc>
      </w:tr>
      <w:tr w14:paraId="2AAEF98C">
        <w:tc>
          <w:tcPr>
            <w:tcW w:w="1980" w:type="dxa"/>
            <w:tcBorders>
              <w:top w:val="nil"/>
              <w:left w:val="nil"/>
              <w:bottom w:val="nil"/>
              <w:right w:val="single" w:color="auto" w:sz="12" w:space="0"/>
            </w:tcBorders>
            <w:vAlign w:val="center"/>
          </w:tcPr>
          <w:p w14:paraId="4D947952">
            <w:pPr>
              <w:ind w:firstLine="360" w:firstLineChars="200"/>
              <w:jc w:val="center"/>
              <w:rPr>
                <w:rFonts w:ascii="宋体" w:hAnsi="宋体" w:eastAsia="宋体"/>
                <w:sz w:val="18"/>
                <w:szCs w:val="18"/>
              </w:rPr>
            </w:pPr>
            <w:r>
              <w:rPr>
                <w:rFonts w:hint="eastAsia" w:ascii="宋体" w:hAnsi="宋体" w:eastAsia="宋体"/>
                <w:sz w:val="18"/>
                <w:szCs w:val="18"/>
              </w:rPr>
              <w:t>1992 - 1997</w:t>
            </w:r>
          </w:p>
        </w:tc>
        <w:tc>
          <w:tcPr>
            <w:tcW w:w="2700" w:type="dxa"/>
            <w:tcBorders>
              <w:top w:val="nil"/>
              <w:left w:val="single" w:color="auto" w:sz="12" w:space="0"/>
              <w:bottom w:val="nil"/>
              <w:right w:val="nil"/>
            </w:tcBorders>
          </w:tcPr>
          <w:p w14:paraId="231BE5AF">
            <w:pPr>
              <w:ind w:firstLine="360" w:firstLineChars="200"/>
              <w:rPr>
                <w:rFonts w:ascii="宋体" w:hAnsi="宋体" w:eastAsia="宋体"/>
                <w:sz w:val="18"/>
                <w:szCs w:val="18"/>
              </w:rPr>
            </w:pPr>
            <w:r>
              <w:rPr>
                <w:rFonts w:hint="eastAsia" w:ascii="宋体" w:hAnsi="宋体" w:eastAsia="宋体"/>
                <w:sz w:val="18"/>
                <w:szCs w:val="18"/>
              </w:rPr>
              <w:t>　经济增长快(8.1%)</w:t>
            </w:r>
          </w:p>
        </w:tc>
        <w:tc>
          <w:tcPr>
            <w:tcW w:w="2880" w:type="dxa"/>
            <w:tcBorders>
              <w:top w:val="nil"/>
              <w:left w:val="nil"/>
              <w:bottom w:val="nil"/>
              <w:right w:val="nil"/>
            </w:tcBorders>
          </w:tcPr>
          <w:p w14:paraId="1D00A387">
            <w:pPr>
              <w:ind w:firstLine="360" w:firstLineChars="200"/>
              <w:rPr>
                <w:rFonts w:ascii="宋体" w:hAnsi="宋体" w:eastAsia="宋体"/>
                <w:sz w:val="18"/>
                <w:szCs w:val="18"/>
              </w:rPr>
            </w:pPr>
            <w:r>
              <w:rPr>
                <w:rFonts w:hint="eastAsia" w:ascii="宋体" w:hAnsi="宋体" w:eastAsia="宋体"/>
                <w:sz w:val="18"/>
                <w:szCs w:val="18"/>
              </w:rPr>
              <w:t>　物价上涨快(16.1%)</w:t>
            </w:r>
          </w:p>
        </w:tc>
      </w:tr>
      <w:tr w14:paraId="6E2C9715">
        <w:tc>
          <w:tcPr>
            <w:tcW w:w="1980" w:type="dxa"/>
            <w:tcBorders>
              <w:top w:val="nil"/>
              <w:left w:val="nil"/>
              <w:bottom w:val="single" w:color="auto" w:sz="12" w:space="0"/>
              <w:right w:val="single" w:color="auto" w:sz="12" w:space="0"/>
            </w:tcBorders>
            <w:vAlign w:val="center"/>
          </w:tcPr>
          <w:p w14:paraId="2DC0F744">
            <w:pPr>
              <w:ind w:firstLine="360" w:firstLineChars="200"/>
              <w:jc w:val="center"/>
              <w:rPr>
                <w:rFonts w:ascii="宋体" w:hAnsi="宋体" w:eastAsia="宋体"/>
                <w:sz w:val="18"/>
                <w:szCs w:val="18"/>
              </w:rPr>
            </w:pPr>
            <w:r>
              <w:rPr>
                <w:rFonts w:hint="eastAsia" w:ascii="宋体" w:hAnsi="宋体" w:eastAsia="宋体"/>
                <w:sz w:val="18"/>
                <w:szCs w:val="18"/>
              </w:rPr>
              <w:t>1998 - 2000</w:t>
            </w:r>
          </w:p>
        </w:tc>
        <w:tc>
          <w:tcPr>
            <w:tcW w:w="2700" w:type="dxa"/>
            <w:tcBorders>
              <w:top w:val="nil"/>
              <w:left w:val="single" w:color="auto" w:sz="12" w:space="0"/>
              <w:bottom w:val="single" w:color="auto" w:sz="12" w:space="0"/>
              <w:right w:val="nil"/>
            </w:tcBorders>
          </w:tcPr>
          <w:p w14:paraId="280FD8DE">
            <w:pPr>
              <w:ind w:firstLine="360" w:firstLineChars="200"/>
              <w:rPr>
                <w:rFonts w:ascii="宋体" w:hAnsi="宋体" w:eastAsia="宋体"/>
                <w:sz w:val="18"/>
                <w:szCs w:val="18"/>
              </w:rPr>
            </w:pPr>
            <w:r>
              <w:rPr>
                <w:rFonts w:hint="eastAsia" w:ascii="宋体" w:hAnsi="宋体" w:eastAsia="宋体"/>
                <w:sz w:val="18"/>
                <w:szCs w:val="18"/>
              </w:rPr>
              <w:t>　经济增长中(7%)</w:t>
            </w:r>
          </w:p>
        </w:tc>
        <w:tc>
          <w:tcPr>
            <w:tcW w:w="2880" w:type="dxa"/>
            <w:tcBorders>
              <w:top w:val="nil"/>
              <w:left w:val="nil"/>
              <w:bottom w:val="single" w:color="auto" w:sz="12" w:space="0"/>
              <w:right w:val="nil"/>
            </w:tcBorders>
          </w:tcPr>
          <w:p w14:paraId="3A051A45">
            <w:pPr>
              <w:ind w:firstLine="360" w:firstLineChars="200"/>
              <w:rPr>
                <w:rFonts w:ascii="宋体" w:hAnsi="宋体" w:eastAsia="宋体"/>
                <w:sz w:val="18"/>
                <w:szCs w:val="18"/>
              </w:rPr>
            </w:pPr>
            <w:r>
              <w:rPr>
                <w:rFonts w:hint="eastAsia" w:ascii="宋体" w:hAnsi="宋体" w:eastAsia="宋体"/>
                <w:sz w:val="18"/>
                <w:szCs w:val="18"/>
              </w:rPr>
              <w:t>　物价上涨慢(3.2%)</w:t>
            </w:r>
          </w:p>
        </w:tc>
      </w:tr>
    </w:tbl>
    <w:p w14:paraId="731F3DD6">
      <w:pPr>
        <w:ind w:firstLine="360" w:firstLineChars="200"/>
        <w:jc w:val="center"/>
        <w:rPr>
          <w:rFonts w:ascii="宋体" w:hAnsi="宋体" w:eastAsia="宋体"/>
          <w:sz w:val="18"/>
          <w:szCs w:val="18"/>
        </w:rPr>
      </w:pPr>
      <w:r>
        <w:rPr>
          <w:rFonts w:hint="eastAsia" w:ascii="宋体" w:hAnsi="宋体" w:eastAsia="宋体"/>
          <w:sz w:val="18"/>
          <w:szCs w:val="18"/>
        </w:rPr>
        <w:t>注: (1) 括号内数据为年均经济增长率和年均物价上涨率；</w:t>
      </w:r>
    </w:p>
    <w:p w14:paraId="2DF9E78C">
      <w:pPr>
        <w:ind w:firstLine="360" w:firstLineChars="200"/>
        <w:jc w:val="center"/>
        <w:rPr>
          <w:rFonts w:ascii="宋体" w:hAnsi="宋体" w:eastAsia="宋体"/>
          <w:sz w:val="18"/>
          <w:szCs w:val="18"/>
        </w:rPr>
      </w:pPr>
      <w:r>
        <w:rPr>
          <w:rFonts w:hint="eastAsia" w:ascii="宋体" w:hAnsi="宋体" w:eastAsia="宋体"/>
          <w:sz w:val="18"/>
          <w:szCs w:val="18"/>
        </w:rPr>
        <w:t>(2) 经济增长率为国民生产总值增长，物价上涨为批发物价上涨。</w:t>
      </w:r>
    </w:p>
    <w:p w14:paraId="7FA76E41">
      <w:pPr>
        <w:spacing w:line="300" w:lineRule="auto"/>
        <w:ind w:firstLine="420" w:firstLineChars="200"/>
        <w:rPr>
          <w:rFonts w:ascii="宋体" w:hAnsi="宋体" w:eastAsia="宋体"/>
          <w:szCs w:val="21"/>
        </w:rPr>
      </w:pPr>
      <w:r>
        <w:rPr>
          <w:rFonts w:hint="eastAsia" w:ascii="宋体" w:hAnsi="宋体" w:eastAsia="宋体"/>
          <w:szCs w:val="21"/>
        </w:rPr>
        <w:t>改革开放以来，我国一直保持着较高的经济增长速度，但伴随经济高增长的同时，我国也发生了四次较明显的通货膨胀。这四次通货膨胀都表现为物价指数(零售物价) 经历了由低到高、再由高到低的起伏波动，时间分别是1979年～1982年，1982年～1986年，1986年～1990年，1990年～1996年。期间历次通货膨胀的峰顶分别为1980年、1985年、1988年和1994年。</w:t>
      </w:r>
    </w:p>
    <w:p w14:paraId="0B204C03">
      <w:pPr>
        <w:spacing w:line="300" w:lineRule="auto"/>
        <w:ind w:firstLine="420" w:firstLineChars="200"/>
        <w:rPr>
          <w:rFonts w:ascii="宋体" w:hAnsi="宋体" w:eastAsia="宋体"/>
          <w:szCs w:val="21"/>
        </w:rPr>
      </w:pPr>
      <w:r>
        <w:rPr>
          <w:rFonts w:hint="eastAsia" w:ascii="宋体" w:hAnsi="宋体" w:eastAsia="宋体"/>
          <w:szCs w:val="21"/>
        </w:rPr>
        <w:t>“九五”期间，价格总水平变动经历了惯性上涨、持续下降和回升三个阶段。“九五”前两年，即1996和1997年，受“八五”后期物价大幅度上涨的惯性影响，市场物价继续保持上涨态势，但由于各级政府的控价措施得力，价格上涨势头受到抑制，上涨幅度逐年回落。1996年和1997年，全国居民消费价格总水平分别比上年上涨8.3%和2.8%；全国商品零售价格总水平分别比上年上涨6.1%和0.8%。</w:t>
      </w:r>
    </w:p>
    <w:p w14:paraId="6EB036B8">
      <w:pPr>
        <w:spacing w:line="300" w:lineRule="auto"/>
        <w:ind w:firstLine="420" w:firstLineChars="200"/>
        <w:rPr>
          <w:rFonts w:ascii="宋体" w:hAnsi="宋体" w:eastAsia="宋体"/>
          <w:szCs w:val="21"/>
        </w:rPr>
      </w:pPr>
      <w:r>
        <w:rPr>
          <w:rFonts w:hint="eastAsia" w:ascii="宋体" w:hAnsi="宋体" w:eastAsia="宋体"/>
          <w:szCs w:val="21"/>
        </w:rPr>
        <w:t>“九五”中期，即1998和1999年，由于长期积累下来的产业结构不合理的矛盾在新的买方市场条件下充分暴露，加之亚洲金融危机的爆发，使我国出口贸易和利用外资增幅大幅度下降，导致国外需求萎缩，市场商品价格竞争加剧，导致价格总水平连续两年下降。1998和1999年，全国居民消费价格总水平分别比上年下降0.8%和1.4%；全国商品零售价格总水平分别比上年下降2.4%和3.0%。</w:t>
      </w:r>
    </w:p>
    <w:p w14:paraId="10E1F0DA">
      <w:pPr>
        <w:spacing w:line="300" w:lineRule="auto"/>
        <w:ind w:firstLine="420" w:firstLineChars="200"/>
        <w:rPr>
          <w:rFonts w:ascii="宋体" w:hAnsi="宋体" w:eastAsia="宋体"/>
          <w:szCs w:val="21"/>
        </w:rPr>
      </w:pPr>
      <w:r>
        <w:rPr>
          <w:rFonts w:hint="eastAsia" w:ascii="宋体" w:hAnsi="宋体" w:eastAsia="宋体"/>
          <w:szCs w:val="21"/>
        </w:rPr>
        <w:t>“九五”末年，即2000年，由于积极的财政政策、启动消费市场、扩大内需的政策效果继续显现，国内需求不足的矛盾得到一定程度的缓解，全年全国居民消费价格总水平比上年上涨0.4%，扭转了自1998年以来居民消费价格总水平持续下降的局面。全国商品零售价格总水平虽然仍比上年下降1.5% ，但比1998年和1999年降幅小，降势有所减缓。以上现象表明：我国改革开放以来通货膨胀的发生具有明显的周期性特征，通货膨胀的周期在逐渐延长而且程度在不断上升。通货膨胀的周期性与经济增长的周期性明显对应。每次通货膨胀由低到高，再由高到低的循环起伏都与经济增长的周期性波动走势上大体同向，时间上大体一致。四次通货膨胀周期与四次增长周期的起止年分都几乎完全吻合。可以发现，中国经济增长速度只要连续两年超过10%[6] ，就必然出现通货膨胀，这一结果显示经济增长虽不必然促使通货膨胀，但却有可能在一定条件下经由某些中间变量间接导致物价水平的上涨。</w:t>
      </w:r>
    </w:p>
    <w:p w14:paraId="714E0309">
      <w:pPr>
        <w:widowControl/>
        <w:spacing w:before="180" w:beforeLines="50" w:after="180" w:afterLines="50" w:line="300" w:lineRule="auto"/>
        <w:ind w:firstLine="480" w:firstLineChars="200"/>
        <w:jc w:val="center"/>
        <w:rPr>
          <w:rFonts w:ascii="Times New Roman" w:hAnsi="Times New Roman" w:eastAsia="宋体" w:cs="Times New Roman"/>
          <w:b/>
          <w:bCs/>
          <w:sz w:val="24"/>
          <w:szCs w:val="32"/>
          <w:lang w:val="zh-CN"/>
        </w:rPr>
      </w:pPr>
      <w:r>
        <w:rPr>
          <w:rFonts w:hint="eastAsia" w:ascii="Times New Roman" w:hAnsi="Times New Roman" w:eastAsia="宋体" w:cs="Times New Roman"/>
          <w:b/>
          <w:bCs/>
          <w:sz w:val="24"/>
          <w:szCs w:val="32"/>
          <w:lang w:val="zh-CN"/>
        </w:rPr>
        <w:t>五、经济增长与对外依赖</w:t>
      </w:r>
    </w:p>
    <w:p w14:paraId="7F2792D1">
      <w:pPr>
        <w:spacing w:line="300" w:lineRule="auto"/>
        <w:ind w:firstLine="420" w:firstLineChars="200"/>
        <w:rPr>
          <w:rFonts w:ascii="宋体" w:hAnsi="宋体" w:eastAsia="宋体"/>
          <w:szCs w:val="21"/>
        </w:rPr>
      </w:pPr>
      <w:r>
        <w:rPr>
          <w:rFonts w:hint="eastAsia" w:ascii="宋体" w:hAnsi="宋体" w:eastAsia="宋体"/>
          <w:szCs w:val="21"/>
        </w:rPr>
        <w:t>中韩两国经济在对外开放中，经济增长率不断提高，但两国在对外开放吸引外资所采取的策略不同，对外市场依赖程度也不同。从国际货币基金组织《国际金融统计年鉴》2000年的表中看，韩国对外依存度为65%，中国为43.9%。</w:t>
      </w:r>
    </w:p>
    <w:p w14:paraId="5DA21080">
      <w:pPr>
        <w:spacing w:line="300" w:lineRule="auto"/>
        <w:ind w:firstLine="420" w:firstLineChars="200"/>
        <w:rPr>
          <w:rFonts w:ascii="宋体" w:hAnsi="宋体" w:eastAsia="宋体"/>
          <w:szCs w:val="21"/>
        </w:rPr>
      </w:pPr>
      <w:r>
        <w:rPr>
          <w:rFonts w:hint="eastAsia" w:ascii="宋体" w:hAnsi="宋体" w:eastAsia="宋体"/>
          <w:szCs w:val="21"/>
        </w:rPr>
        <w:t>外资是韩国弥补国内资金不足的重要手段，“一五”期间的投资率由6.1%提高到15.1%，“二五”时期由13.1％提高到26.4%，“三五”期间由18.2%提高到27.8%，“四五”期间由23.9%提高到35.5%，“五五”期间投资率虽然比前期低，为29.4%，到“六五”期间又回升到34.0%，“七五”期间更是达到36.32%。如果没有投资率的如此迅速的提高，经济的高速增长是一句空话。据综合测算，韩国在1962年至1982年期间经济年均增长率为8.2% ，其中靠外国资本实现的达3.3% ，韩国历史上曾受外强侵略和奴役统治，因而形成了根深蒂固的排外情绪。1960年制定的《外国资本引进法》，其目的主要是控制外国直接投资，防止经济命脉被外国资本控制，以此来发展工业。为了弥补建设和生产资金的不足，在利用外资策略方面，着重引进国外间接资本，如大量利用外国贷款，限制直接投资。到20世纪80年代末，外国对韩国直接投资占韩国外资总流入的比例仅为5%。20世纪90年代初，政府为了加入GATT和OECD，放宽了对外资直接投资的限制，但对直接投资的审批程序繁多。外国贷款的引进对韩国经济的高速增长起了很大作用，但随之而来的是还本付息额的迅速增加，外债不断增加。其中韩国的短期贷款从20世纪70年代开始明显增加，在韩国外债余额中短期债务所占的比重，1972年为16.9%，1980年为34.7%。金融危机爆发后，韩国政府对直接投资有了新的认识，如韩国总统金大中向国民列举了韩国引进直接投资的十大优点等。到1999年外国对韩直接投资达到155.4亿美元，比1998年增加75%。</w:t>
      </w:r>
    </w:p>
    <w:p w14:paraId="7511F27F">
      <w:pPr>
        <w:spacing w:line="300" w:lineRule="auto"/>
        <w:ind w:firstLine="420" w:firstLineChars="200"/>
        <w:rPr>
          <w:rFonts w:ascii="宋体" w:hAnsi="宋体" w:eastAsia="宋体"/>
          <w:szCs w:val="21"/>
        </w:rPr>
      </w:pPr>
      <w:r>
        <w:rPr>
          <w:rFonts w:hint="eastAsia" w:ascii="宋体" w:hAnsi="宋体" w:eastAsia="宋体"/>
          <w:szCs w:val="21"/>
        </w:rPr>
        <w:t>韩国经济严重依赖国际市场。由于韩国国内市场狭小，国内生产的大部分产品输往国外。因此，出口在国民生产总值中所占的比重很高，1961年为6.3%，1981年高达37.5%[7](P91)，1994年有所下降但仍保持30.5%的高水平。韩国贸易的对外依存度从20世纪70年代一直保持很高的水平，一般都在60%以上，其中1981年曾最高达84.6%，1994年下降到65.5%，但与其他国家相比仍然很高。因此，海外市场的变动对韩国经济增长和波动影响极大。</w:t>
      </w:r>
    </w:p>
    <w:p w14:paraId="69174C11">
      <w:pPr>
        <w:spacing w:line="300" w:lineRule="auto"/>
        <w:ind w:firstLine="420" w:firstLineChars="200"/>
        <w:rPr>
          <w:rFonts w:ascii="宋体" w:hAnsi="宋体" w:eastAsia="宋体"/>
          <w:szCs w:val="21"/>
        </w:rPr>
      </w:pPr>
      <w:r>
        <w:rPr>
          <w:rFonts w:hint="eastAsia" w:ascii="宋体" w:hAnsi="宋体" w:eastAsia="宋体"/>
          <w:szCs w:val="21"/>
        </w:rPr>
        <w:t>韩国为了在短期内实现高速增长，在技术方面主要以引进技术为主，对外依存度也很大，但对科技的投入在力度和规模上不够。1993年韩国的研究与开发费总额为76亿美元，实际上只有美国的1/21，日本的1/13，德国的1/7，法国的1/4 ，韩国企业的投入量不如美国一家大公司的投入量。总研究开发费中政府部门的投入量过低，1987年是25% ，1993 只有17%。韩国的总体技术水平与发达国家相比较还有不少的差距。据韩国商工资源部的调查，韩国技术水平总体上只达到发达国家的42%左右。韩国从20世纪60年代后期开始引进成套设备，到了20世纪90年代在组装技术方面达到了发达国家的水平。但由于长期以来只注意引进和模仿、组装，而没有在消化与吸收的基础上搞独立的研究和开发，韩国在基本设计、软件与关键设备等核心技术方面仍然很薄弱。1990年韩国海外技术依存度是19.9 ，其中1992～1993年对美国技术的依赖度为76%，1995年达85%，2000年高达87.5%。更值得注意的是，越是尖端技术产品，依赖度就越高。这与美国(1.8)，日本(6.7)，德国(5.2)，法国(6.7)等国相比较还有不少的差距。因此，韩国出口越多，进口也越多，这也是对外收支逆差的重要原因。</w:t>
      </w:r>
    </w:p>
    <w:p w14:paraId="62C13CF5">
      <w:pPr>
        <w:spacing w:line="300" w:lineRule="auto"/>
        <w:ind w:firstLine="420" w:firstLineChars="200"/>
        <w:rPr>
          <w:rFonts w:ascii="宋体" w:hAnsi="宋体" w:eastAsia="宋体"/>
          <w:szCs w:val="21"/>
        </w:rPr>
      </w:pPr>
      <w:r>
        <w:rPr>
          <w:rFonts w:hint="eastAsia" w:ascii="宋体" w:hAnsi="宋体" w:eastAsia="宋体"/>
          <w:szCs w:val="21"/>
        </w:rPr>
        <w:t>中国在1978年后，实行对外开放的政策，中国经济对世界市场有了一定的依存度。</w:t>
      </w:r>
    </w:p>
    <w:p w14:paraId="15D6697D">
      <w:pPr>
        <w:spacing w:line="300" w:lineRule="auto"/>
        <w:ind w:firstLine="420" w:firstLineChars="200"/>
        <w:rPr>
          <w:rFonts w:ascii="宋体" w:hAnsi="宋体" w:eastAsia="宋体"/>
          <w:szCs w:val="21"/>
        </w:rPr>
      </w:pPr>
      <w:r>
        <w:rPr>
          <w:rFonts w:hint="eastAsia" w:ascii="宋体" w:hAnsi="宋体" w:eastAsia="宋体"/>
          <w:szCs w:val="21"/>
        </w:rPr>
        <w:t>1952年中国进出口总额为19.4亿美元，其中出口总额8.2亿美元，进口总额11.2亿美元，贸易逆差为-3.0亿美元。到1978年前外贸对经济增长率的贡献几乎可以不计。20世纪80年代进出口总额大幅度增加，但外贸逆差也急剧上升，最高为1986年-116亿美元(韩国却首次出现了贸易顺差)。整个20世纪90年代，中国贸易除1993年外都是顺差，即使1998年遇到东南亚金融危机，中国的贸易顺差也高达435.9亿美元。“九五”期间，我国累计进出口总额为17740亿美元，比“八五”时期增长60%以上。2000 年，全年进出口总额达4743亿美元，比上年增长31.5 %。“九五”期间，国民经济对外贸的依赖程度进一步加强，外贸依存度由1995年的40.2%上升到2000年的43.9 %，低于东亚新兴工业化国家和地区的一般水平，但明显高于世界其他国家。</w:t>
      </w:r>
    </w:p>
    <w:p w14:paraId="5B8E1D1D">
      <w:pPr>
        <w:spacing w:line="300" w:lineRule="auto"/>
        <w:ind w:firstLine="420" w:firstLineChars="200"/>
        <w:rPr>
          <w:rFonts w:ascii="宋体" w:hAnsi="宋体" w:eastAsia="宋体"/>
          <w:szCs w:val="21"/>
        </w:rPr>
      </w:pPr>
      <w:r>
        <w:rPr>
          <w:rFonts w:hint="eastAsia" w:ascii="宋体" w:hAnsi="宋体" w:eastAsia="宋体"/>
          <w:szCs w:val="21"/>
        </w:rPr>
        <w:t>虽然中国对外资的依存在不断增大，但中国在利用外资策略方面，不同于韩国，一开始就以直接投资为主。中国利用外商直接投资的历程大体上是：1979～1987年是我国利用外商直接投资的起步阶段。在改革开放初期，由于我国有关利用外资的立法还不太完善，外商对于在中国投资还有很多的顾虑，同时，各种基础设施还比较落后，外商基本上都是持试探的态度，我国利用的外商直接投资较少，实际利用外资额为106.68亿美元；1988～1991年是我国利用外商直接投资的发展阶段。20世纪80年代中期以后，我国加快了有关外商直接投资的立法工作，相继颁布了一些法律和法规。外商直接投资在这个阶段发展迅速。1988～1992年，我国共批准外商投资企业31975家，实际利用外资额为144.4亿美元；1992～1995年是我国利用外商直接投资的高速增长阶段。外商直接投资在这个阶段实现了飞跃性的高速增长。1998年以来，由于亚洲金融危机、实际利用外资额连续两年下降，其中1998年下降9.1%，1999年下降10.1%。2000年，随着国内外经济形势变化，我国外资流入出现了止降趋势。从实际利用外商直接投资数据看，下降幅度逐月缩小，继而转降为升。全年外商直接投资590亿美元，增长1.0% ，如果考虑对外借款和外商其他投资，全年实际利用外资额为570亿美元左右。这一水平与世界许多国家相比是居中的，与大国相比则略为偏高，如果考虑到这一时期我国保持了相当高的经济增长速度，应该说，这一比重的提高还是正常的。随着外资的引起，中国1985～1995年间，外资依存度由4.1%提高到13.4%，增加了9.3个百分点。需要指出的是，资本依存度在年度之间的变化很不均匀，20世纪90年代初最为显著。1992年与上一年相比，由4.8%提高到12.3%，一下子增加了7.5个百分点。据有关统计资料显示，199年，外商的投资对国内生产总值增长的贡献率为13%左右。就在外资对国内生产总值贡献率不断提高的同时，1992年，随着我国对外开放的不断扩大，国际上一些著名的跨国公司，如美国的杜邦、摩托罗拉、通用电器、施乐，日本的日立、松下、NEC，德国的大众汽车、西门子等公司都已在中国投资设厂，投资行业涉及石油、交通、通讯设备、冶金、机械、电子、化工等国民经济领域，目前已涉及航空、商业、保险等第三产业。值得注意的是，外资大规模控股并购中国企业，其产值迅速增长，并已占领我国某些领域相当大的市场份额，在一定程度上形成了垄断，并已超过国际垄断法规定不允许占有同行业市场20%的警戒线，我国民族工业的发展受到严重威胁。</w:t>
      </w:r>
    </w:p>
    <w:p w14:paraId="5F90CADF">
      <w:pPr>
        <w:spacing w:line="300" w:lineRule="auto"/>
        <w:ind w:firstLine="420" w:firstLineChars="200"/>
        <w:rPr>
          <w:rFonts w:ascii="宋体" w:hAnsi="宋体" w:eastAsia="宋体"/>
          <w:szCs w:val="21"/>
        </w:rPr>
      </w:pPr>
      <w:r>
        <w:rPr>
          <w:rFonts w:hint="eastAsia" w:ascii="宋体" w:hAnsi="宋体" w:eastAsia="宋体"/>
          <w:szCs w:val="21"/>
        </w:rPr>
        <w:t>　　在发达国家国民生产总值的增长中，科学技术的贡献，20世纪初为5%～20%，到20世纪50～60年代上升到50%左右，20世纪80年代则高达60%～80%。我国的科学技术总体水平还远远落后于西方发达国家，科技在经济增长中的贡献率很低，1976年仅为3.6%。目前，科技贡献率已提高到30%以上，这也是与利用外资分不开的。外商直接投资带来了一批先进实用技术，填补了我国许多产品的技术空白，使许多行业的大批产品更新换代，一大批老企业得到技术改造。比如20世纪80年代的引进，使机械工业技术水平大大提高，推动了全行业技术改造，使400多个重点企业的制造技术和测试技术达到世界较先进水平。这足以说明中国在技术上对外依存性不断增大，并出现依赖式技术升级或技术更新的格局。</w:t>
      </w:r>
    </w:p>
    <w:p w14:paraId="1B2F80B5">
      <w:pPr>
        <w:spacing w:line="300" w:lineRule="auto"/>
        <w:ind w:firstLine="420" w:firstLineChars="200"/>
        <w:rPr>
          <w:rFonts w:ascii="宋体" w:hAnsi="宋体" w:eastAsia="宋体"/>
          <w:szCs w:val="21"/>
        </w:rPr>
      </w:pPr>
      <w:r>
        <w:rPr>
          <w:rFonts w:hint="eastAsia" w:ascii="宋体" w:hAnsi="宋体" w:eastAsia="宋体"/>
          <w:szCs w:val="21"/>
        </w:rPr>
        <w:t>　　衡量一国外债规模是否合理，一般使用债务率和偿债率指标作为参考。在1978年前，中国几乎没有外债。进入90年代以后，中国外债规模持续高速增长，外债余额年均110亿美元，增长幅度达25%。中国的国际储备到2000年高达1656亿美元，居日本之后的世界第二位。但截至1999年底，我国外债余额已达1518.30亿美元，成为世界上最大的债务国之一，因之使我国的债务率为69.5%，偿债率达11.3%以上，快接近国际公认的13%～20%的警戒线的边缘，韩国金融危机爆发的教训已经给我们敲响了警钟。</w:t>
      </w:r>
    </w:p>
    <w:p w14:paraId="53F91D7F">
      <w:pPr>
        <w:widowControl/>
        <w:spacing w:before="180" w:beforeLines="50" w:after="180" w:afterLines="50" w:line="300" w:lineRule="auto"/>
        <w:ind w:firstLine="480" w:firstLineChars="200"/>
        <w:jc w:val="center"/>
        <w:rPr>
          <w:rFonts w:ascii="Times New Roman" w:hAnsi="Times New Roman" w:eastAsia="宋体" w:cs="Times New Roman"/>
          <w:b/>
          <w:bCs/>
          <w:sz w:val="24"/>
          <w:szCs w:val="32"/>
          <w:lang w:val="zh-CN"/>
        </w:rPr>
      </w:pPr>
      <w:r>
        <w:rPr>
          <w:rFonts w:hint="eastAsia" w:ascii="Times New Roman" w:hAnsi="Times New Roman" w:eastAsia="宋体" w:cs="Times New Roman"/>
          <w:b/>
          <w:bCs/>
          <w:sz w:val="24"/>
          <w:szCs w:val="32"/>
          <w:lang w:val="zh-CN"/>
        </w:rPr>
        <w:t>六、结论</w:t>
      </w:r>
    </w:p>
    <w:p w14:paraId="0BFA2130">
      <w:pPr>
        <w:spacing w:line="300" w:lineRule="auto"/>
        <w:ind w:firstLine="420" w:firstLineChars="200"/>
        <w:rPr>
          <w:rFonts w:ascii="宋体" w:hAnsi="宋体" w:eastAsia="宋体"/>
          <w:szCs w:val="21"/>
        </w:rPr>
      </w:pPr>
      <w:r>
        <w:rPr>
          <w:rFonts w:hint="eastAsia" w:ascii="宋体" w:hAnsi="宋体" w:eastAsia="宋体"/>
          <w:szCs w:val="21"/>
        </w:rPr>
        <w:t>综上所述，中韩两国的高速经济增长存在相似性，一是在“强政府”主导下，通过高储蓄和高投资率带动的，实行的是经济非均衡超越战略；二是在高速经济增长中实现了工业化；三是经济发展过程中存在高增长高波动现象；四是经济的增长对外依赖程度越来越高，外债占GDP的比重越来越大。另外，两国还在经济高速增长过程上，城乡收入差距拉大，社会分配中不公平现象也越来越严重。</w:t>
      </w:r>
    </w:p>
    <w:p w14:paraId="3714A60B">
      <w:pPr>
        <w:spacing w:line="300" w:lineRule="auto"/>
        <w:ind w:firstLine="420" w:firstLineChars="200"/>
        <w:rPr>
          <w:rFonts w:ascii="宋体" w:hAnsi="宋体" w:eastAsia="宋体"/>
          <w:szCs w:val="21"/>
        </w:rPr>
      </w:pPr>
      <w:r>
        <w:rPr>
          <w:rFonts w:hint="eastAsia" w:ascii="宋体" w:hAnsi="宋体" w:eastAsia="宋体"/>
          <w:szCs w:val="21"/>
        </w:rPr>
        <w:t>我们不能因为韩国金融危机和中国经济存在诸多问题而否定政府对经济的指导作用。尽管韩国金融危机暴露了韩国经济中的一些问题，但并不能把危机的根源完全归结为政府的“失灵”，中国的问题也同样如此。恰恰相反，在某种意义上我们甚至说，正是韩国没有很好地把握和发挥政府主导经济中的一些合理因素，才加剧了这场金融危机的爆发。如为了能达到发达国家标准而急功近利，过早实行经济自由化。而中国在改革开放的过程中，根据国家的内外经济形势，采取务实和灵活的经济政策和措施，才没有使经济发生韩国那种波动。</w:t>
      </w:r>
    </w:p>
    <w:p w14:paraId="02D01E96">
      <w:pPr>
        <w:spacing w:line="300" w:lineRule="auto"/>
        <w:ind w:firstLine="420" w:firstLineChars="200"/>
        <w:rPr>
          <w:rFonts w:ascii="宋体" w:hAnsi="宋体" w:eastAsia="宋体"/>
          <w:szCs w:val="21"/>
        </w:rPr>
      </w:pPr>
      <w:r>
        <w:rPr>
          <w:rFonts w:hint="eastAsia" w:ascii="宋体" w:hAnsi="宋体" w:eastAsia="宋体"/>
          <w:szCs w:val="21"/>
        </w:rPr>
        <w:t>韩国金融危机的爆发和中国近年经济暴露的问题，使我们认识到两国经济应该从片面追求数量增长的追赶型战略转向数量与质量并重的平衡型战略，也就是从过去那种片面追求高投入和高增长的传统模式，转移到以效益为中心的国民经济发展上来，并进而转移到以人的发展为中心的社会经济综合发展，以及以与环境相协调为中心的可持续发展道路上来。</w:t>
      </w:r>
    </w:p>
    <w:p w14:paraId="1EA7E9AF">
      <w:pPr>
        <w:spacing w:line="300" w:lineRule="auto"/>
        <w:ind w:firstLine="420" w:firstLineChars="200"/>
        <w:rPr>
          <w:rFonts w:ascii="宋体" w:hAnsi="宋体" w:eastAsia="宋体"/>
          <w:szCs w:val="21"/>
        </w:rPr>
      </w:pPr>
      <w:r>
        <w:rPr>
          <w:rFonts w:hint="eastAsia" w:ascii="宋体" w:hAnsi="宋体" w:eastAsia="宋体"/>
          <w:szCs w:val="21"/>
        </w:rPr>
        <w:t>面对全球化，中韩两国政府应该对国家干预经济的职能重新作出定位。从本国实际国情出发，面对全球化的制度安排，加快构建本国经济安全的防御体系，根据本国的实际情况完成经济结构和产业结构的调整和开放程度。</w:t>
      </w:r>
    </w:p>
    <w:p w14:paraId="235A55CA">
      <w:pPr>
        <w:spacing w:line="300" w:lineRule="auto"/>
        <w:ind w:firstLine="420" w:firstLineChars="200"/>
        <w:rPr>
          <w:rFonts w:ascii="宋体" w:hAnsi="宋体" w:eastAsia="宋体"/>
          <w:szCs w:val="21"/>
        </w:rPr>
      </w:pPr>
      <w:r>
        <w:rPr>
          <w:rFonts w:hint="eastAsia" w:ascii="宋体" w:hAnsi="宋体" w:eastAsia="宋体"/>
          <w:szCs w:val="21"/>
        </w:rPr>
        <w:t>另外，国民的爱国心对一个国家的经济增长来说也是极其重要的。在韩国金融危机深重期间，购买国货，全国掀起一场轰轰烈烈的、令世界为之瞩目和感动的采金运动。在政府领导人家属的带动下，两天之内就有13万人将自己的各种黄金首饰捐献出来，共计万余斤，折合现汇超过1亿美元。尽管这对于韩国高达数千亿美元的巨额外债来说，无异于杯水车薪，但集金运动却充分体现韩国民族自强的爱国心。有人说韩国人的爱国心有点走火入魔，但在全球化的今天，中国人应该从韩国人爱国行动中悟出一点道理来，成为开放的民族主义者。</w:t>
      </w:r>
    </w:p>
    <w:p w14:paraId="4615441A">
      <w:pPr>
        <w:autoSpaceDE w:val="0"/>
        <w:autoSpaceDN w:val="0"/>
        <w:spacing w:line="300" w:lineRule="auto"/>
        <w:ind w:firstLine="420" w:firstLineChars="200"/>
        <w:jc w:val="left"/>
        <w:rPr>
          <w:rFonts w:ascii="宋体" w:hAnsi="宋体" w:eastAsia="宋体"/>
          <w:szCs w:val="21"/>
        </w:rPr>
      </w:pPr>
    </w:p>
    <w:p w14:paraId="54847F76">
      <w:pPr>
        <w:spacing w:line="276" w:lineRule="auto"/>
        <w:ind w:firstLine="420" w:firstLineChars="200"/>
        <w:rPr>
          <w:rFonts w:ascii="宋体" w:hAnsi="宋体" w:eastAsia="宋体"/>
          <w:b/>
          <w:szCs w:val="21"/>
        </w:rPr>
      </w:pPr>
      <w:r>
        <w:rPr>
          <w:rFonts w:hint="eastAsia" w:ascii="宋体" w:hAnsi="宋体" w:eastAsia="宋体"/>
          <w:b/>
          <w:szCs w:val="21"/>
        </w:rPr>
        <w:t>参考文献:</w:t>
      </w:r>
    </w:p>
    <w:p w14:paraId="3978812F">
      <w:pPr>
        <w:spacing w:line="276" w:lineRule="auto"/>
        <w:ind w:firstLine="360" w:firstLineChars="200"/>
        <w:rPr>
          <w:rFonts w:ascii="宋体" w:hAnsi="宋体" w:eastAsia="宋体"/>
          <w:sz w:val="18"/>
          <w:szCs w:val="18"/>
        </w:rPr>
      </w:pPr>
      <w:r>
        <w:rPr>
          <w:rFonts w:hint="eastAsia" w:ascii="宋体" w:hAnsi="宋体" w:eastAsia="宋体"/>
          <w:sz w:val="18"/>
          <w:szCs w:val="18"/>
        </w:rPr>
        <w:t>[1]李晓．东亚奇迹与“强政府”[M]．北京：经济出版社，1996．</w:t>
      </w:r>
    </w:p>
    <w:p w14:paraId="0178C117">
      <w:pPr>
        <w:spacing w:line="276" w:lineRule="auto"/>
        <w:ind w:firstLine="360" w:firstLineChars="200"/>
        <w:rPr>
          <w:rFonts w:ascii="宋体" w:hAnsi="宋体" w:eastAsia="宋体"/>
          <w:sz w:val="18"/>
          <w:szCs w:val="18"/>
        </w:rPr>
      </w:pPr>
      <w:r>
        <w:rPr>
          <w:rFonts w:hint="eastAsia" w:ascii="宋体" w:hAnsi="宋体" w:eastAsia="宋体"/>
          <w:sz w:val="18"/>
          <w:szCs w:val="18"/>
        </w:rPr>
        <w:t>[2]邹加怡．韩国金融危机的深层次原因[J]．世界经济，1998， (5)．</w:t>
      </w:r>
    </w:p>
    <w:p w14:paraId="0A229698">
      <w:pPr>
        <w:spacing w:line="276" w:lineRule="auto"/>
        <w:ind w:firstLine="360" w:firstLineChars="200"/>
        <w:rPr>
          <w:rFonts w:ascii="宋体" w:hAnsi="宋体" w:eastAsia="宋体"/>
          <w:sz w:val="18"/>
          <w:szCs w:val="18"/>
        </w:rPr>
      </w:pPr>
      <w:r>
        <w:rPr>
          <w:rFonts w:hint="eastAsia" w:ascii="宋体" w:hAnsi="宋体" w:eastAsia="宋体"/>
          <w:sz w:val="18"/>
          <w:szCs w:val="18"/>
        </w:rPr>
        <w:t>[3]赵德馨．“之”字路及其理论结晶——中国经济50年发展的路径、阶段与基本经验[J]．中南财经大学学报，1999，(6)．</w:t>
      </w:r>
    </w:p>
    <w:p w14:paraId="0C7805D8">
      <w:pPr>
        <w:spacing w:line="276" w:lineRule="auto"/>
        <w:ind w:firstLine="360" w:firstLineChars="200"/>
        <w:rPr>
          <w:rFonts w:ascii="宋体" w:hAnsi="宋体" w:eastAsia="宋体"/>
          <w:sz w:val="18"/>
          <w:szCs w:val="18"/>
        </w:rPr>
      </w:pPr>
      <w:r>
        <w:rPr>
          <w:rFonts w:hint="eastAsia" w:ascii="宋体" w:hAnsi="宋体" w:eastAsia="宋体"/>
          <w:sz w:val="18"/>
          <w:szCs w:val="18"/>
        </w:rPr>
        <w:t>[4]林云．新中国工业化的回顾与展望[J]．财经研究，1999，(11)．</w:t>
      </w:r>
    </w:p>
    <w:p w14:paraId="4E9C5B02">
      <w:pPr>
        <w:spacing w:line="276" w:lineRule="auto"/>
        <w:ind w:firstLine="360" w:firstLineChars="200"/>
        <w:rPr>
          <w:rFonts w:ascii="宋体" w:hAnsi="宋体" w:eastAsia="宋体"/>
          <w:sz w:val="18"/>
          <w:szCs w:val="18"/>
        </w:rPr>
      </w:pPr>
      <w:r>
        <w:rPr>
          <w:rFonts w:hint="eastAsia" w:ascii="宋体" w:hAnsi="宋体" w:eastAsia="宋体"/>
          <w:sz w:val="18"/>
          <w:szCs w:val="18"/>
        </w:rPr>
        <w:t>[5]刘树成．论中国经济增长的速度格局[J]．经济研究，1998，(10)．</w:t>
      </w:r>
    </w:p>
    <w:p w14:paraId="1911D86F">
      <w:pPr>
        <w:spacing w:line="276" w:lineRule="auto"/>
        <w:ind w:firstLine="360" w:firstLineChars="200"/>
        <w:rPr>
          <w:rFonts w:ascii="宋体" w:hAnsi="宋体" w:eastAsia="宋体"/>
          <w:sz w:val="18"/>
          <w:szCs w:val="18"/>
        </w:rPr>
      </w:pPr>
      <w:r>
        <w:rPr>
          <w:rFonts w:hint="eastAsia" w:ascii="宋体" w:hAnsi="宋体" w:eastAsia="宋体"/>
          <w:sz w:val="18"/>
          <w:szCs w:val="18"/>
        </w:rPr>
        <w:t>[6]罗强．我国经济高速增长与通货膨胀问题[J]．价格月刊，1998，(4)．</w:t>
      </w:r>
    </w:p>
    <w:p w14:paraId="6D13614B">
      <w:pPr>
        <w:spacing w:line="276" w:lineRule="auto"/>
        <w:ind w:firstLine="360" w:firstLineChars="200"/>
        <w:rPr>
          <w:rFonts w:ascii="宋体" w:hAnsi="宋体" w:eastAsia="宋体"/>
          <w:sz w:val="18"/>
          <w:szCs w:val="18"/>
        </w:rPr>
      </w:pPr>
      <w:r>
        <w:rPr>
          <w:rFonts w:hint="eastAsia" w:ascii="宋体" w:hAnsi="宋体" w:eastAsia="宋体"/>
          <w:sz w:val="18"/>
          <w:szCs w:val="18"/>
        </w:rPr>
        <w:t>[7]宋丙洛．韩国经济的崛起[M]．北京：商务印书馆，1994．</w:t>
      </w:r>
    </w:p>
    <w:p w14:paraId="2B26B18C">
      <w:pPr>
        <w:spacing w:line="300" w:lineRule="auto"/>
        <w:ind w:firstLine="420" w:firstLineChars="200"/>
        <w:rPr>
          <w:rFonts w:ascii="宋体" w:hAnsi="宋体" w:eastAsia="宋体"/>
          <w:szCs w:val="21"/>
        </w:rPr>
      </w:pPr>
    </w:p>
    <w:p w14:paraId="68FC7E2A">
      <w:pPr>
        <w:spacing w:line="300" w:lineRule="auto"/>
        <w:ind w:firstLine="420" w:firstLineChars="200"/>
        <w:rPr>
          <w:rFonts w:ascii="宋体" w:hAnsi="宋体" w:eastAsia="宋体" w:cs="Times New Roman"/>
          <w:sz w:val="32"/>
          <w:szCs w:val="24"/>
        </w:rPr>
      </w:pPr>
      <w:r>
        <w:rPr>
          <w:rFonts w:hint="eastAsia" w:ascii="宋体" w:hAnsi="宋体" w:eastAsia="宋体"/>
          <w:szCs w:val="21"/>
        </w:rPr>
        <w:t>(原载《湘潭大学社会科学学报》2003年第4期，第二作者为彭文兵)</w:t>
      </w:r>
    </w:p>
    <w:p w14:paraId="4FE206F1">
      <w:pPr>
        <w:spacing w:before="180" w:beforeLines="50" w:after="180" w:afterLines="50" w:line="300" w:lineRule="auto"/>
        <w:ind w:firstLine="640" w:firstLineChars="200"/>
        <w:jc w:val="left"/>
        <w:rPr>
          <w:rFonts w:ascii="宋体" w:hAnsi="宋体" w:eastAsia="宋体" w:cs="Times New Roman"/>
          <w:sz w:val="32"/>
          <w:szCs w:val="24"/>
        </w:rPr>
      </w:pPr>
      <w:r>
        <w:rPr>
          <w:rFonts w:ascii="宋体" w:hAnsi="宋体" w:eastAsia="宋体" w:cs="Times New Roman"/>
          <w:sz w:val="32"/>
          <w:szCs w:val="24"/>
        </w:rPr>
        <w:br w:type="page"/>
      </w:r>
    </w:p>
    <w:p w14:paraId="4E0A9ED6">
      <w:pPr>
        <w:keepNext/>
        <w:keepLines/>
        <w:spacing w:before="260" w:after="260" w:line="412" w:lineRule="auto"/>
        <w:ind w:firstLine="640" w:firstLineChars="200"/>
        <w:jc w:val="center"/>
        <w:outlineLvl w:val="1"/>
        <w:rPr>
          <w:rFonts w:ascii="黑体" w:hAnsi="黑体" w:eastAsia="黑体" w:cs="Times New Roman"/>
          <w:color w:val="000000"/>
          <w:kern w:val="0"/>
          <w:sz w:val="32"/>
          <w:szCs w:val="32"/>
          <w:lang w:bidi="ar"/>
        </w:rPr>
      </w:pPr>
      <w:bookmarkStart w:id="244" w:name="_Toc257922059"/>
      <w:bookmarkStart w:id="245" w:name="_Toc107836723"/>
      <w:bookmarkStart w:id="246" w:name="_Toc110957397"/>
      <w:bookmarkStart w:id="247" w:name="_Toc93074543"/>
      <w:bookmarkStart w:id="248" w:name="_Toc17137"/>
      <w:bookmarkStart w:id="249" w:name="_Toc719554198"/>
      <w:bookmarkStart w:id="250" w:name="_Toc799656997"/>
      <w:r>
        <w:rPr>
          <w:rFonts w:ascii="黑体" w:hAnsi="黑体" w:eastAsia="黑体" w:cs="Times New Roman"/>
          <w:color w:val="000000"/>
          <w:kern w:val="0"/>
          <w:sz w:val="32"/>
          <w:szCs w:val="32"/>
          <w:lang w:bidi="ar"/>
        </w:rPr>
        <w:t>新凯恩斯主义效率工资与失业理论解构</w:t>
      </w:r>
      <w:bookmarkEnd w:id="244"/>
      <w:bookmarkEnd w:id="245"/>
      <w:bookmarkEnd w:id="246"/>
      <w:bookmarkEnd w:id="247"/>
      <w:bookmarkEnd w:id="248"/>
      <w:bookmarkEnd w:id="249"/>
      <w:bookmarkEnd w:id="250"/>
    </w:p>
    <w:p w14:paraId="0264BB05">
      <w:pPr>
        <w:ind w:firstLine="480" w:firstLineChars="200"/>
        <w:jc w:val="center"/>
        <w:rPr>
          <w:rFonts w:ascii="宋体" w:hAnsi="宋体" w:eastAsia="宋体" w:cs="Times New Roman"/>
          <w:b/>
          <w:bCs/>
          <w:kern w:val="28"/>
          <w:sz w:val="24"/>
          <w:szCs w:val="32"/>
        </w:rPr>
      </w:pPr>
      <w:r>
        <w:rPr>
          <w:rFonts w:ascii="宋体" w:hAnsi="宋体" w:eastAsia="宋体" w:cs="Times New Roman"/>
          <w:b/>
          <w:bCs/>
          <w:kern w:val="28"/>
          <w:sz w:val="24"/>
          <w:szCs w:val="32"/>
        </w:rPr>
        <w:t>一、导言</w:t>
      </w:r>
    </w:p>
    <w:p w14:paraId="785A1C24">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新凯恩斯主义是八十年代出现的主张国家干预的新学派，是西方宏观经济学的理论前沿。它的新颖之处在于，用“粘性”理论取代了其他凯恩斯学派的“刚性”理论，并从经济当事人利益最大化和理性预期的角度对这种“粘性”做出了解释，进一步用价格粘性理论和工资粘性理论解释了资本主义社会的经济波动和非自愿失业现象，从而弥补了原凯恩斯主义就业理论缺乏微观基础的不足，促进了国家干预主义的复苏。</w:t>
      </w:r>
    </w:p>
    <w:p w14:paraId="54EF04D7">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名义工资刚性是凯恩斯主义宏观经济学中的一个重要概念，但是，其存在的微观机理，该理论未曾涉及新古典宏观经济学正是在这一点上动摇了凯恩斯主义的正统地位。而新凯恩斯主义深人研究了工资粘性和失业存在的原因，在理性自私人追求自身利益最大化假设的基础上，给出了解释工资粘性和失业的各种理论。效率工资论就是其中最为重要的一种代表性理论。</w:t>
      </w:r>
    </w:p>
    <w:p w14:paraId="08F0D31A">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在新凯恩斯主义经济学分析方法中，“不完全信息”方法占有优势地位。一般认为，它能克服凯恩斯主义理论的“片面性”，例如凯恩斯主义的各种价格刚性理论，尽管能够说明总需求的冲击会造成就业量和产量的波动，但是不能说明非自愿失业现象的存在，而建立在不完全信息基础上的“效率工资”模型，则既能解释周期性波动，又能说明非自愿失业。甚至有人认为，“不完全信息”也许是一种能够统一新凯恩斯主义眼花缭乱的各种理论的唯一方法，因为，“不完全信息”方法不仅能较好地解释市场不完全以及由此而来的经济波动和周期，而且能包容凯恩斯主义关于商品、劳动力、资本价格刚性的所有模型。效率工资论认为，超额劳动供给的存在不会导致厂商削减工资，因为厂商对工人的生产过程不具备完全信息为了提高工作效率，防止工人偷懒和跳槽，厂商支付给工人高于劳动市场出清时的工资，进而产生工资粘性当工资水平高于劳动市场出清水平时，就会出现失业并持续下去工资粘性导致就业量和产量的波动，经济出现周期性工资和价格粘性指的是，工资和价格不是不能调整，只是调整十分缓慢，需耗费相当的时日效率工资论在一定程度上解释了西方国家高工资和高失业率并存的现象，因而曾被罗伯特·戈登认为是劳动市场微观经济理论发展进程中的“年代的新热潮”以下我们试图对有关失业现象的效率工资论进行解构或扬弃。</w:t>
      </w:r>
    </w:p>
    <w:p w14:paraId="030230DF">
      <w:pPr>
        <w:ind w:firstLine="48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rPr>
        <w:t>二、效率工资的激励机制</w:t>
      </w:r>
    </w:p>
    <w:p w14:paraId="09304D8C">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效率工资论认为，效率工资是一种激励工资，劳动生产率依赖于厂商支付给工人的工资如果工资削减损害了工人的劳动生产率，引起单位产品劳动成本的提高，那么，为了保持效率，厂商愿意支付给工人高工资，高工资的存在使得劳动市场无法出清，从而出现失业，总产出也只能在低于最优均衡的水平上达到均衡</w:t>
      </w:r>
    </w:p>
    <w:p w14:paraId="6673A5D6">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为证明这一点，新凯恩斯主义提出了四个模型，从不同角度阐述了劳动生产率和工资之间存在正相关关系，试图为效率工资论提供微观基础。</w:t>
      </w:r>
    </w:p>
    <w:p w14:paraId="0480701A">
      <w:pPr>
        <w:spacing w:line="300" w:lineRule="auto"/>
        <w:ind w:firstLine="420" w:firstLineChars="200"/>
        <w:rPr>
          <w:rFonts w:ascii="宋体" w:hAnsi="宋体" w:eastAsia="宋体" w:cs="Times New Roman"/>
          <w:b/>
          <w:szCs w:val="21"/>
        </w:rPr>
      </w:pPr>
      <w:r>
        <w:rPr>
          <w:rFonts w:hint="eastAsia" w:ascii="宋体" w:hAnsi="宋体" w:eastAsia="宋体" w:cs="Times New Roman"/>
          <w:b/>
          <w:szCs w:val="21"/>
        </w:rPr>
        <w:t>（一）怠工模型</w:t>
      </w:r>
    </w:p>
    <w:p w14:paraId="1803B01C">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在生产过程中，工人和雇主之间是信息不对称的，雇主无法确切地知道工人的劳动信息，完全地监督工人的工作是不可能的，也就是说，工人总有怠工机会而怠工行为一旦被发现，工人就有可能被惩罚或解雇，受罚或解雇便成了工人的怠工成本但是，如果全社会的工资率相同，且处于充分就业状态，那么，怠工成本就很小，因为重新找到工作很容易因此，一部分厂商就会提高工资，这样就会提升怠工成本。一旦全部厂商都采取这种措施，一方面会造成了非出清劳动市场，另一方面使得工人不敢怠工，从而提高了劳动效率。</w:t>
      </w:r>
    </w:p>
    <w:p w14:paraId="7B7A585C">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提高工资对于增大工人劳动积极性是毫无疑问的，可是，为了使工人不怠工才给予工人较高的工资与事实不完全符合，因为总体上通过严格地定岗、定人和定任务以及奖惩措施，对工人劳动的相关信息还是基本掌握的另外，为什么某些工人即使工作再卖力，高工资也不会轮到他头上可见，高工资在一定程度上可以避免怠工，但并不是主要为了避免怠工，资本家才给予工人高工资，高工资的前提是这类工人必须能够创造出资本家所想要的一定量的剩余价值。</w:t>
      </w:r>
    </w:p>
    <w:p w14:paraId="03818DEF">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失业现象的存在提高了与解雇相联系的惩罚，促使工人在现有工资水平下努力工作，因而失业威胁在刺激在职工人的工作积极性方面肯定有重要作用，马克思在《资本论》中也有论述不过，在资本主义管理制度下，由于怠工者被发现后而被解雇的属于个别或极少数现象大量的现象是，由于资本相对于劳动力更为稀缺，是资本雇用劳动而非劳动雇用资本，因而资本所有者或厂商在劳动市场上处于强势，其谈判地位要高，众多厂商会协调一致地降低工资，迫使工人在较低工资水平下努力工作，以取得更多的利润近年来，美国的科技和经济有了相当的发展，而相对于经理阶层来说，劳动阶级的收人增长远远落后于经济增长和资产阶级收入的大幅度提高，便是一个例证。</w:t>
      </w:r>
    </w:p>
    <w:p w14:paraId="25914AD1">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简言之，效率工资的存在，主要不是为了防止怠工而增加怠工成本，其存在更为深层次的原因是资本家为了榨取工人更多剩余价值或利润的需要。</w:t>
      </w:r>
    </w:p>
    <w:p w14:paraId="50A7F816">
      <w:pPr>
        <w:spacing w:line="300" w:lineRule="auto"/>
        <w:ind w:firstLine="420" w:firstLineChars="200"/>
        <w:rPr>
          <w:rFonts w:ascii="宋体" w:hAnsi="宋体" w:eastAsia="宋体" w:cs="Times New Roman"/>
          <w:b/>
          <w:szCs w:val="21"/>
        </w:rPr>
      </w:pPr>
      <w:r>
        <w:rPr>
          <w:rFonts w:hint="eastAsia" w:ascii="宋体" w:hAnsi="宋体" w:eastAsia="宋体" w:cs="Times New Roman"/>
          <w:b/>
          <w:szCs w:val="21"/>
        </w:rPr>
        <w:t>（二）劳动转换模型</w:t>
      </w:r>
    </w:p>
    <w:p w14:paraId="63AF272E">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劳动转换模型认为，即使社会上存在失业，某些厂商仍然愿意支付给工人较高的相对工资，因为如此一来，这些企业内的工人就不会辞去工作而其他实行低工资的厂商为防止“鼓励”工人怠工和跳槽，也只好随之采取高工资策略由此，全社会的工资水平就会高于劳动市场出清时的水平，进而出现非自愿失业这时，受过训练的工人和未受过训练的工人得到相同工资，但新工人的工资高于他的劳动边际收益，二者之差为劳动边际训练费用，所以，厂商不愿雇佣新工人，劳动市场是非出清的。</w:t>
      </w:r>
    </w:p>
    <w:p w14:paraId="6B67D3F3">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从以上对劳动转换模型的简单介绍来看，其理论基础是站不住脚的。首先，劳动转换模型未对其前提条件，即某些厂商支付给工人较高的相对工资，未作解释，这容易引起循环论证。其次，该模型隐含的劳动力均质条件也是不符合现实的，因而其解释力不强。劳动力是异质的，为什么资本家不愿意给那些低素质工人较低工资而雇佣他们，从而扩大就业和产量呢这只能到社会总需求，进而到生产过程中去找原因——不能提供预期利润或预期剩余价值的工人是不会被雇用的。</w:t>
      </w:r>
    </w:p>
    <w:p w14:paraId="2CCB8BA3">
      <w:pPr>
        <w:spacing w:line="300" w:lineRule="auto"/>
        <w:ind w:firstLine="420" w:firstLineChars="200"/>
        <w:rPr>
          <w:rFonts w:ascii="宋体" w:hAnsi="宋体" w:eastAsia="宋体" w:cs="Times New Roman"/>
          <w:b/>
          <w:szCs w:val="21"/>
        </w:rPr>
      </w:pPr>
      <w:r>
        <w:rPr>
          <w:rFonts w:hint="eastAsia" w:ascii="宋体" w:hAnsi="宋体" w:eastAsia="宋体" w:cs="Times New Roman"/>
          <w:b/>
          <w:szCs w:val="21"/>
        </w:rPr>
        <w:t>（三）反向选择模型</w:t>
      </w:r>
    </w:p>
    <w:p w14:paraId="5D1F0258">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反向选择模型给劳动生产率和工资之间的正相关性提供了进一步的解释该模型假设工人的能力是不同的，工人的能力与他的最低期望工资正相关，厂商依据求职者提出的工资高低来衡量他们的能力，并理性地将高工资付给那些要价高的人，而摈弃那些要求低工资的求职者，其主观目的是想用较高的工资吸引到能力较强的雇员如果所有的厂商都作此反向选择的话，在职工人的工资远高于劳动市场出清时的水平，因而失业率就会提高。</w:t>
      </w:r>
    </w:p>
    <w:p w14:paraId="1CE053A2">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反向选择模型认为，工人的能力与他的最低期望工资正相关，这是有一定道理的。不过，怎么能事先就断定要价较高的工人就一定具有较高的能力和素质呢又怎么会所有的厂商都作类似的、带有一定盲目性的反向选择呢而且，企业内某些工作岗位并不需要高能力和素质的工人，资本家作为剩余价值的私人索取者，是不可能超岗位需要聘用高素质劳动力的，“人才高消费’，的情形一般难以出现。反向选择模型未对这些问题作出科学的说明。</w:t>
      </w:r>
    </w:p>
    <w:p w14:paraId="31F56FCD">
      <w:pPr>
        <w:spacing w:line="300" w:lineRule="auto"/>
        <w:ind w:firstLine="420" w:firstLineChars="200"/>
        <w:rPr>
          <w:rFonts w:ascii="宋体" w:hAnsi="宋体" w:eastAsia="宋体" w:cs="Times New Roman"/>
          <w:b/>
          <w:szCs w:val="21"/>
        </w:rPr>
      </w:pPr>
      <w:r>
        <w:rPr>
          <w:rFonts w:hint="eastAsia" w:ascii="宋体" w:hAnsi="宋体" w:eastAsia="宋体" w:cs="Times New Roman"/>
          <w:b/>
          <w:szCs w:val="21"/>
        </w:rPr>
        <w:t>（四）社会模型</w:t>
      </w:r>
    </w:p>
    <w:p w14:paraId="33025A46">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社会模型将工资粘性原因归于社会习惯和适当行为原则等非个人行为因素该模型认为工人的努力程度依赖于他所在组织的工作规范，因而厂商可以通过提高工作群体的工作规范来提高效率。厂商一般制定一个略高于工人生活水平的工资，在这个工资之上，给予一个奖励工资。为了提高工人的生产积极性，通常将获得最低工资的产量定额定得比较低，使大多数人可超过这个标准，以获得奖励工资社会模型以此来解释为什么计件工资的定额定得比较低，易为大多数工人所超过，工人大多可以得到奖励工资，发挥了工资刺激工人生产积极性的作用但正是由此产生的工资粘性，导致了失业现象的存在。</w:t>
      </w:r>
    </w:p>
    <w:p w14:paraId="286E9BEA">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社会模型将工资粘性存在的原因归于社会习惯和适当行为原则，这种解释是非常独特和新颖的，它考虑到了非个人行为因素和工人群体对个人经济行为的影响不过，工人群体的工作规范和劳动定额及其奖励，都是厂商制定和变动的，工资粘性的程度是有限的，实际经济生活中厂商时常加以改变。</w:t>
      </w:r>
    </w:p>
    <w:p w14:paraId="05645106">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新凯恩斯主义提出了以上四个模型，从不同角度论证了劳动生产率和工资具有正相关性，为效率工资论构建了微观基础。从以上分析可以看出，这个微观基础是存在重大缺陷的。效率工资论无法完整和科学地说明非自愿失业存在的真正原因。</w:t>
      </w:r>
    </w:p>
    <w:p w14:paraId="1EA5CDCB">
      <w:pPr>
        <w:ind w:firstLine="480" w:firstLineChars="200"/>
        <w:jc w:val="center"/>
        <w:rPr>
          <w:rFonts w:eastAsia="宋体" w:asciiTheme="majorHAnsi" w:hAnsiTheme="majorHAnsi" w:cstheme="majorBidi"/>
          <w:b/>
          <w:bCs/>
          <w:kern w:val="28"/>
          <w:sz w:val="24"/>
          <w:szCs w:val="32"/>
        </w:rPr>
      </w:pPr>
      <w:r>
        <w:rPr>
          <w:rFonts w:hint="eastAsia" w:ascii="宋体" w:hAnsi="宋体" w:eastAsia="宋体" w:cs="Times New Roman"/>
          <w:b/>
          <w:bCs/>
          <w:kern w:val="28"/>
          <w:sz w:val="24"/>
          <w:szCs w:val="32"/>
        </w:rPr>
        <w:t>三、总体评价与现实意义</w:t>
      </w:r>
    </w:p>
    <w:p w14:paraId="70B70495">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新凯恩斯主义是在传统凯恩斯主义受到新古典宏观经济学打击之后，汲取凯恩斯主义与其对立学派斗争中的经验教训而形成的它坚持了凯恩斯主义市场非出清的基本信条，又用经济当事人利益最大化和理性预期弥补了凯恩斯主义的微观基础，因此，可以说是凯恩斯主义的继承和发展。它敢于直面现实，承认资本主义的生产过剩和失业的必然性，这在一定程度上是难能可贵的。</w:t>
      </w:r>
    </w:p>
    <w:p w14:paraId="6E2B5649">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效率工资论在新凯恩斯主义劳动市场理中占有重要地位，它是新凯恩斯主义失业理论和经济周期理论的重要理论基础新凯恩斯主义者用工资粘性理论来解释资本主义社会的非自愿失业现象，认为由于工资粘性的存在，当社会有效需求减少时，工资不能自动降低，从而导致对劳动需求减少和失业的出现诚然，用以说明劳动生产率与工资之间存在相关性的效率工资，在现实生活中无疑是存在的效率工资论对西方国家存在的高工资和高失业并存的现象也具有一定的解释力，但是新凯恩斯主义为效率工资论构建的理论基础有缺陷，这在本文第二部分已作了阐述应该明确两点第一，新凯恩斯主义夸大了效率工资的作用第二，效率工资论无法圆满透彻地解释非自愿失业现象的存在。</w:t>
      </w:r>
    </w:p>
    <w:p w14:paraId="75ACDEA7">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厂商对工人的生产过程不具备完全信息，因而采取了效率工资这一激励工资形式，以提高工作效率，防止和工人签订劳动合约之后道德风险的产生。按此说来，实行了效率工资以后，厂商对雇工的监督岂不是应该弱化了，但从资本主义实际状况观察，各种雇佣关系产生以后，厂商对雇佣工人的监督机制是有所加强的，无论是“泰罗制”、“福特制”，还是“柔性管理”，从监督方法和监督制度安排方面来说，都是日益完善的。</w:t>
      </w:r>
    </w:p>
    <w:p w14:paraId="1B87DD68">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新凯恩斯主义利用效率工资论来说明失业现象的存在，更是缺乏理论基础效率工资论认为，当总需求下降时，并进而导致就业量、产出和利润量出现一阶变化时，支付效率工资的厂商会保持名义工资和价格不变由于支付效率工资是次优选择，效率工资在最大利润点所确定的最佳工资水平的领域内，所以，厂商在利润上所受到的损失是二阶小量据此，效率工资论认为，当总需求下降时，效率工资和价格不变，厂商只承受利润的二阶小量的损失。而工资和价格不变时，就业量的变化却是一阶的，所以，就业量会出现波动。</w:t>
      </w:r>
    </w:p>
    <w:p w14:paraId="6A0F9DAB">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从对第二部分四个模型的介绍和分析中可以看出，不论劳动力是均质的，还是异质的，效率工资论都无法说明厂商为什么不愿意在不同的效率工资水平上去雇佣工人因此，它无法说明失业现象存在的原因。</w:t>
      </w:r>
    </w:p>
    <w:p w14:paraId="5EC89DC9">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在私有制经济中，失业的根本原因只能到生产过程中去找一方面，资本家为追逐超额利润的需要，会不断地采用先进技术和先进设备去取代劳动力这一生产要素，进而不断产生出相对过剩劳动力另一方面，由于资本无疑占有资源相对价格较高的优势，因此，劳动成果的分配也是有利于资本家的，这样会使得在社会再生产过程中工人消费不足，当然这种消费不足，与J.A.熊彼特对马克思失业理论进行攻击时所说的消费不足有着本质的区别。后者仅从流通层面来说消费不足而未深人到生产过程中去。</w:t>
      </w:r>
    </w:p>
    <w:p w14:paraId="1A1AF2F7">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虽然失业的根源存在于生产过程之中，但是它并非失业现象存在的唯一原因市场经济中客观存在的信息成本、结构性因素、经济波动，以及劳动者自身原因等都可构成失业。</w:t>
      </w:r>
    </w:p>
    <w:p w14:paraId="2B8CFC3F">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最后，应当指出，效率工资论对于我国社会主义市场经济发展具有一定的借鉴意义首先，效率工资论阐述了提高劳动者生产积极性的某些途径尽量使工资水平和劳动者的实际付出挂钩，可以充分发掘劳动者的才能和潜力，并保证劳动生产率的提高和按劳分配制度的实现同时，效率工资论对改革企业管理模式也具有一定的启迪作用另外，效率工资论对于在通货紧缩的经济环境下，研究劳动力成本较高对拉动内需和投资环境的影响也具有一定的参考价值。</w:t>
      </w:r>
    </w:p>
    <w:p w14:paraId="017C235B">
      <w:pPr>
        <w:ind w:firstLine="420" w:firstLineChars="200"/>
        <w:jc w:val="center"/>
        <w:rPr>
          <w:rFonts w:ascii="宋体" w:hAnsi="宋体" w:eastAsia="宋体" w:cs="Times New Roman"/>
          <w:b/>
          <w:bCs/>
          <w:kern w:val="28"/>
          <w:sz w:val="24"/>
          <w:szCs w:val="32"/>
        </w:rPr>
      </w:pPr>
      <w:r>
        <w:rPr>
          <w:rFonts w:hint="eastAsia" w:ascii="宋体" w:hAnsi="宋体" w:eastAsia="宋体" w:cs="Times New Roman"/>
          <w:szCs w:val="21"/>
        </w:rPr>
        <w:t>（原载《社会科学家》2003年第5期，第二作者为朱奎）</w:t>
      </w:r>
    </w:p>
    <w:p w14:paraId="0994628B">
      <w:pPr>
        <w:spacing w:line="300" w:lineRule="auto"/>
        <w:ind w:firstLine="641" w:firstLineChars="200"/>
        <w:rPr>
          <w:rFonts w:ascii="宋体" w:hAnsi="宋体" w:eastAsia="宋体" w:cs="Times New Roman"/>
          <w:b/>
          <w:szCs w:val="21"/>
        </w:rPr>
      </w:pPr>
      <w:r>
        <w:rPr>
          <w:rFonts w:ascii="宋体" w:hAnsi="宋体" w:eastAsia="宋体" w:cs="Times New Roman"/>
          <w:b/>
          <w:sz w:val="32"/>
          <w:szCs w:val="24"/>
        </w:rPr>
        <w:br w:type="page"/>
      </w:r>
    </w:p>
    <w:p w14:paraId="07A7BA02">
      <w:pPr>
        <w:keepNext/>
        <w:keepLines/>
        <w:spacing w:before="260" w:after="260" w:line="412" w:lineRule="auto"/>
        <w:ind w:firstLine="640" w:firstLineChars="200"/>
        <w:jc w:val="center"/>
        <w:outlineLvl w:val="1"/>
        <w:rPr>
          <w:rFonts w:ascii="黑体" w:hAnsi="黑体" w:eastAsia="黑体" w:cs="Times New Roman"/>
          <w:color w:val="000000"/>
          <w:kern w:val="0"/>
          <w:sz w:val="32"/>
          <w:szCs w:val="32"/>
          <w:lang w:bidi="ar"/>
        </w:rPr>
      </w:pPr>
      <w:bookmarkStart w:id="251" w:name="_Toc107836724"/>
      <w:bookmarkStart w:id="252" w:name="_Toc93074544"/>
      <w:bookmarkStart w:id="253" w:name="_Toc110957398"/>
      <w:bookmarkStart w:id="254" w:name="_Toc27938"/>
      <w:bookmarkStart w:id="255" w:name="_Toc257922045"/>
      <w:bookmarkStart w:id="256" w:name="_Toc1066989529"/>
      <w:bookmarkStart w:id="257" w:name="_Toc882485653"/>
      <w:r>
        <w:rPr>
          <w:rFonts w:ascii="黑体" w:hAnsi="黑体" w:eastAsia="黑体" w:cs="Times New Roman"/>
          <w:color w:val="000000"/>
          <w:kern w:val="0"/>
          <w:sz w:val="32"/>
          <w:szCs w:val="32"/>
          <w:lang w:bidi="ar"/>
        </w:rPr>
        <w:t>当前剥削理论与现实评析</w:t>
      </w:r>
      <w:bookmarkEnd w:id="251"/>
      <w:bookmarkEnd w:id="252"/>
      <w:bookmarkEnd w:id="253"/>
      <w:bookmarkEnd w:id="254"/>
      <w:bookmarkEnd w:id="255"/>
      <w:bookmarkEnd w:id="256"/>
      <w:bookmarkEnd w:id="257"/>
    </w:p>
    <w:p w14:paraId="6F14783D">
      <w:pPr>
        <w:spacing w:before="180" w:beforeLines="50" w:line="300" w:lineRule="auto"/>
        <w:ind w:firstLine="420" w:firstLineChars="200"/>
        <w:rPr>
          <w:rFonts w:ascii="宋体" w:hAnsi="宋体" w:eastAsia="宋体" w:cs="Times New Roman"/>
          <w:szCs w:val="21"/>
        </w:rPr>
      </w:pPr>
      <w:r>
        <w:rPr>
          <w:rFonts w:hint="eastAsia" w:ascii="宋体" w:hAnsi="宋体" w:eastAsia="宋体" w:cs="Times New Roman"/>
          <w:szCs w:val="21"/>
        </w:rPr>
        <w:t>当前，在对劳动和劳动价值理论的研究中，自然要涉及到剥削概念与现实。这是学界和政界公认的一个重大理论问题。本文尝试用发展的马克思主义经济学理论和方法来分析多种剥削观点，并对如何认识私营企业等问题提出自己的新看法。</w:t>
      </w:r>
    </w:p>
    <w:p w14:paraId="0A064893">
      <w:pPr>
        <w:spacing w:line="480" w:lineRule="auto"/>
        <w:ind w:firstLine="48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rPr>
        <w:t>一、关于经济剥削的含义与标准</w:t>
      </w:r>
    </w:p>
    <w:p w14:paraId="3F56DD67">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近年来，在有关剥削定义和标准的理论文献中，主要有以下几个方面的认识偏差：</w:t>
      </w:r>
    </w:p>
    <w:p w14:paraId="45CFC9E4">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一）认为剥削仅指非法行为。他们认为：“在现实经济活动中，将应属于他人和社会共有的收入（财产）非法变为自己所有的行为仍然存在，也就是说‘剥削’行为仍然存在。但区分是否属于剥削的标准不应是收入所得的主体是什么、是否拥有资产、是否雇佣工人，而应是通过什么手段取得收入，应通过对收入的主体获得收入的行为进行分析来判断是否属于剥削。而对行为合理性的判断只能依据法律。获取收入的行为是合法行为，就不是剥削，非法行为就是剥削”(1)。这种观点值得商榷。</w:t>
      </w:r>
    </w:p>
    <w:p w14:paraId="0A6EE22C">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首先，不应把经济剥削概念变成一个纯法律上的概念。某个社会是否存在着经济剥削以及被剥削阶级和剥削阶级，是一个客观事实和实证问题。法律有着它固有的政治性和阶级性，在奴隶社会、封建社会和资本主义社会，统治阶级为巩固阶级统治，都制定了一系列法律。私人财产权都无不例外地得到这些法律的保护，因而凭借所有权而占有另一个阶级（集团）的劳动成果也是法律要保护的对象，属于合法的行为。要是按照非法行为才是剥削的话，那么，这些社会的经济活动都是符合适用法律的，似乎都不存在剥削了。经济剥削只有通过经济上的合法途径才可普遍存在，尽管具体实施剥削有时要借助合法经济手段之外的其他手段。因此，剥削行为和剥削现象必须用经济学的方法才能予以科学解释，而不宜用法律标准来衡量。</w:t>
      </w:r>
    </w:p>
    <w:p w14:paraId="2CC4C130">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其次，把非法行为作为判定剥削的标准，不利于认识社会经济关系的本质特征。人们的生产活动是在一定社会下的生产活动，其根本特征是人与人的社会关系，而不是事物的表面联系。什么是非法行为，在特定的社会中有差异，何况一旦某一行为定为非法的，则都属要打击的对象，而与社会经济制度的特性未必有关。退一步说，以此为标准来判定剥削，事实上也做不到，如在美国，经营“红灯区”性服务企业在个别州是依法注册存在的，而在另一些州则被认为是非法的，假如有一个老板分别在这两个州各开一家妓院，那么，能否说依法注册的一家存在剥削，而另一家则没有剥削？</w:t>
      </w:r>
    </w:p>
    <w:p w14:paraId="2F92BD13">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（二）认为按要素分配不存在剥削。如有学者说：“按要素分配并不是资本主义所特有的分配方式，而是市场经济所共有的与市场经济相适应、相一致的分配方式”，“在社会主义社会，按资分配</w:t>
      </w:r>
      <w:r>
        <w:rPr>
          <w:rFonts w:hint="eastAsia" w:ascii="宋体" w:hAnsi="宋体" w:eastAsia="宋体" w:cs="MS Mincho"/>
          <w:szCs w:val="21"/>
        </w:rPr>
        <w:t>……</w:t>
      </w:r>
      <w:r>
        <w:rPr>
          <w:rFonts w:hint="eastAsia" w:ascii="宋体" w:hAnsi="宋体" w:eastAsia="宋体" w:cs="Times New Roman"/>
          <w:szCs w:val="21"/>
        </w:rPr>
        <w:t>与资本所有者和劳动力所有者之间也并不存在经济利益的对抗性，并不存在剥削和被剥削的关系。”（2）这种观点在实质上是把价值创造和价值分配混为一谈了。经济学原理一再强调，不变资本只能转移其价值，而不能创造出超过其自身价值的新价值；而劳动力除了通过具体劳动转移其自身价值之外，还能创造出超过其自身价值的新价值。资本正是在市场上购买到了劳动力这种商品，通过生产过程，创造出剩余价值。劳动价值论首先回答的是价值的创造和内容问题，至于价值的分配则取决于生产要素的所有权或产权状况。</w:t>
      </w:r>
    </w:p>
    <w:p w14:paraId="7E341582">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严格说来，按要素分配应表述为按要素产权分配。市场经济条件下企业必须按要素产权分配，但其是否包含经济剥削，就要视产权的社会性质。撇开劳动力，倘若生产要素属于私有，那么，按要素产权分配中必然含有程度不同的非自己劳动所得或剥削成分。可见，分配关系是生产关系的反面，剩余劳动的索取权是所有权的主要形式，其性质是由生产资料的所有制性质来决定的。依据萨伊“生产三要素论”来阐述市场经济体制下的价值和财富的创造与分配及剥削问题，显然是缺乏科学性的。</w:t>
      </w:r>
    </w:p>
    <w:p w14:paraId="0C547E3B">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（三）认为获取工资低于劳动力价值的部分才是剥削。持有这种观点的人认为，在现实的社会主义社会里，“有相当多的私营企业主将大量劳工的工资压得很低，或者说给予工人的报酬低于工人的贡献，</w:t>
      </w:r>
      <w:r>
        <w:rPr>
          <w:rFonts w:hint="eastAsia" w:ascii="宋体" w:hAnsi="宋体" w:eastAsia="宋体" w:cs="MS Mincho"/>
          <w:szCs w:val="21"/>
        </w:rPr>
        <w:t>……</w:t>
      </w:r>
      <w:r>
        <w:rPr>
          <w:rFonts w:hint="eastAsia" w:ascii="宋体" w:hAnsi="宋体" w:eastAsia="宋体" w:cs="Times New Roman"/>
          <w:szCs w:val="21"/>
        </w:rPr>
        <w:t>这种情况是一种剥削行为。”（3）这种认识是不能完整理解剥削概念的。因为，第一，在私营经济范畴内，作为劳动力的所有者和资本的所有者在法律上是平等的，两种生产要素的交换首先要求平等交换，即从长期看，总体上劳动力所有者按劳动力价值出售（被雇佣）给资本所有者，资本家总体上按劳动力价值付给工人工资。第二，在某些条件下，资本家付给工人的工资低于劳动力价值，但这种状况是局部的、暂时性的。私人生产的目的是为了追求私人剩余价值，但是，如果工资长期低于劳动力价值，就会影响到劳动力的正常再生产，从而在效率和公平两方面威胁到私人生产方式本身。第三，马克思主义所论述的剥削，主要不是指资本家压低工资雇佣工人，而是指在等价交换条件下购买劳动力这种商品，从而进行以获取私人剩余价值为目的的生产。将工资压低到劳动力价值以下或采取其他压榨手段剥削工人，是另一种意义上的额外经济剥削。</w:t>
      </w:r>
    </w:p>
    <w:p w14:paraId="5B25DCD1">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四）认为剥削是一种要素所有者占有了另一种要素所有者的收入。他们认为，不能以所有制的财产占有来判断是否有剥削，而剥削是一种要素所有者占有了另一种生产要素所有者的投入，但这种占有并不一定由某一制度派生出来。资本所有者占有劳动者的劳动收入是剥削；反之，劳动力所有者占有资本所有者的资本收入也是剥削，尽管为数极少。（4）对此，人们不禁要问：劳动力所有者凭借什么来占有资本所有者的资本收入？又是通过何种经济机制实现的？其数量如何界定呢？即使在资产阶级经济学中，也从未证实这一理论。</w:t>
      </w:r>
    </w:p>
    <w:p w14:paraId="696500DA">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上面指出了对剥削定义上的种种认识偏差，当然还不止这些。这些理论有一个共同缺点，就是未能把握经济剥削的实质与特征。有人说，讨论剥削不能掺杂意识形态，而只能在学术范围内争论。那么，请看极具权威的西方《新帕尔格雷夫经济学大辞典》在学术上是如何认识剥削的：“资本主义有它的历史特点，这就是它的剥削关系几乎完全被交换关系的表面现象所掩盖”；“为玄妙的生产函数、完全竞争和一般均衡理论所团团围住的正统经济学，往往力图回避这些问题。事实上它主要关心的是构筑和美化一个理想化的资本主义形象</w:t>
      </w:r>
      <w:r>
        <w:rPr>
          <w:rFonts w:hint="eastAsia" w:ascii="宋体" w:hAnsi="宋体" w:eastAsia="宋体" w:cs="MS Mincho"/>
          <w:szCs w:val="21"/>
        </w:rPr>
        <w:t>……</w:t>
      </w:r>
      <w:r>
        <w:rPr>
          <w:rFonts w:hint="eastAsia" w:ascii="宋体" w:hAnsi="宋体" w:eastAsia="宋体" w:cs="Times New Roman"/>
          <w:szCs w:val="21"/>
        </w:rPr>
        <w:t>企业使用称为资本和劳动的</w:t>
      </w:r>
      <w:r>
        <w:rPr>
          <w:rFonts w:ascii="宋体" w:hAnsi="宋体" w:eastAsia="宋体" w:cs="Times New Roman"/>
          <w:szCs w:val="21"/>
        </w:rPr>
        <w:t>)</w:t>
      </w:r>
      <w:r>
        <w:rPr>
          <w:rFonts w:hint="eastAsia" w:ascii="宋体" w:hAnsi="宋体" w:eastAsia="宋体" w:cs="Times New Roman"/>
          <w:szCs w:val="21"/>
        </w:rPr>
        <w:t>生产要素</w:t>
      </w:r>
      <w:r>
        <w:rPr>
          <w:rFonts w:ascii="宋体" w:hAnsi="宋体" w:eastAsia="宋体" w:cs="Times New Roman"/>
          <w:szCs w:val="21"/>
        </w:rPr>
        <w:t>*</w:t>
      </w:r>
      <w:r>
        <w:rPr>
          <w:rFonts w:hint="eastAsia" w:ascii="宋体" w:hAnsi="宋体" w:eastAsia="宋体" w:cs="Times New Roman"/>
          <w:szCs w:val="21"/>
        </w:rPr>
        <w:t>制造产品并按计算出来的对总产品所增加的贡献（即边际产值）向每一要素付酬”；“应该注意的是，这种概念把物（资本）和人的力量（劳动）置于平等的地位，都称之为生产要素。</w:t>
      </w:r>
      <w:r>
        <w:rPr>
          <w:rFonts w:hint="eastAsia" w:ascii="宋体" w:hAnsi="宋体" w:eastAsia="宋体" w:cs="MS Mincho"/>
          <w:szCs w:val="21"/>
        </w:rPr>
        <w:t>……</w:t>
      </w:r>
      <w:r>
        <w:rPr>
          <w:rFonts w:hint="eastAsia" w:ascii="宋体" w:hAnsi="宋体" w:eastAsia="宋体" w:cs="Times New Roman"/>
          <w:szCs w:val="21"/>
        </w:rPr>
        <w:t>从而得以否认在资本家和工人之间存在任何阶级差别的事实。</w:t>
      </w:r>
      <w:r>
        <w:rPr>
          <w:rFonts w:hint="eastAsia" w:ascii="宋体" w:hAnsi="宋体" w:eastAsia="宋体" w:cs="MS Mincho"/>
          <w:szCs w:val="21"/>
        </w:rPr>
        <w:t>……</w:t>
      </w:r>
      <w:r>
        <w:rPr>
          <w:rFonts w:hint="eastAsia" w:ascii="宋体" w:hAnsi="宋体" w:eastAsia="宋体" w:cs="Times New Roman"/>
          <w:szCs w:val="21"/>
        </w:rPr>
        <w:t>最后，由于资本和劳动都是物，就不能说它们受到剥削。只有在某些生产要素的报酬与其边际产值不相等的情况下，这一要素所有者才可称之为剥削。在这一意义上，剥削的定义是‘要素报酬’的实际价值和理论价值的差距。更为重要的是，按上述剥削定义，原则上可同样适用于利润和工资两方面。这种资本主义就成了资本家也可能像工人被资本家剥削那样被工人所剥削。至此剥削的概念就被降到完全没有意义的地步。”（5）这一权威评论颇为深刻和鲜明。</w:t>
      </w:r>
    </w:p>
    <w:p w14:paraId="4A5BB53A">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笔者关于私有制剥削的定义，是指在合法条件下凭借生产要素所有权而无偿占有的剩余劳动（含封建地租和私人剩余价值等）；关于资本主义剥削的定义，是指在合法条件下凭借生产要素所有权而无偿占有的私人剩余价值。如果说一切非法收益也要称之为剥削的话，那么，我们只认同这是与私有制范围内合法的狭义剥削并存的一种广义剥削。</w:t>
      </w:r>
    </w:p>
    <w:p w14:paraId="589F64ED">
      <w:pPr>
        <w:spacing w:line="480" w:lineRule="auto"/>
        <w:ind w:firstLine="48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rPr>
        <w:t>二、我国私营经济是否存在剥削</w:t>
      </w:r>
    </w:p>
    <w:p w14:paraId="1529669F">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我国目前的生产力水平决定了我国社会主义初级阶段的生产关系的多样性，在生产资料所有制方面实行以生产资料公有制为主体，其他多种所有制共同发展的制度。国家的政策鼓励私营经济的发展，到2002年初，私营企业户数达一百八十多万户，大约是1980年代改划定的、1950年代私营企业数量的18倍，在我国的经济生活中占有重要的地位。社会主义初级阶段允许私营经济适度发展，是不是意味着私营企业不存在剥削呢？有以下几种代表性的观点值得推敲：</w:t>
      </w:r>
    </w:p>
    <w:p w14:paraId="7E71E000">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一）由于在我国不存在资产阶级绝对占有生产资料和工人阶级只能出卖劳动力的历史前提，因而不存在剥削。这种观点恐怕难以成立。我们知道，资本主义生产方式是从封建社会脱胎而来，在其萌芽时期，封建制的生产关系占绝对统治地位，资本主义生产方式（雇佣劳动）并不是主要的生产方式，但在这个社会时期，除了有封建制的剥削关系（地租形式）外，还存在资本主义剥削方式（占有剩余价值）。有什么样的私有制生产关系，就会存在与之相应的剥削方式，这与该种私有制是否绝对占据支配地位的前提没有关系。私营企业的资本为私人所有，同时雇佣工人，创造价值，私人企业主无偿占有剩余价值，这是一种资本主义性质的生产方式，剥削如何不存在？</w:t>
      </w:r>
    </w:p>
    <w:p w14:paraId="3DF3F958">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二）私人经济的原始积累若是通过劳动所得则不存在剥削。这种观点也难以成立。我国私营业主的原始资本积累有没有或有多少非法性和非劳动所得，这与用这笔私人资本转化为现实职能资本而获得的私人剩余价值存在或不存在剥削，属于两回事。事实上，中国私营经济的原始资本积累并非不含非法性和非劳动性。况且，即使依据马克思揭示的关于资本主义简单再生产的原理，私营业主原本用劳动所得投入的不变资本，在若干年以后，其拥有的不变资本也属于工人创造的剩余价值转化而成。</w:t>
      </w:r>
    </w:p>
    <w:p w14:paraId="57C6838A">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三）私营企业主的收入是劳动收入和风险收入（7）。这种观点认为，目前我国的私营企业规模不大，企业净利润绝对数额较小，因而企业主的收入是劳动收入，而不能视为新生的资本家和剥削者。种观点有笼统和模糊之处。第一，假如直接担任总经理的私营业主的年工资和纯利润（撇开利息），只等于给予从市场招聘来的替代总经理的年收入，那么，这类私营业主实际没有剥削；假如不是等于而是高于，那么，高出的任何一点都属于剥削。其剥削量的大小与有没有剥削是数量与性质的关系。第二，平均数往往掩盖一些现象。目前，我国的一些私营企业实力已具有相当大的资本规模和利润量，每年百分之十几的私营企业亏损量，说明大多数不亏损的私营企业，其实际利润率大大高于所有私营企业的平均利润率，这还不算私营企业普遍存在偷税漏税等非法收入。第三，说私营业主的资本收入属于风险收入，这是可以的，但未说到底，即没有揭示这一收入的实质及与其他收入的区别。</w:t>
      </w:r>
    </w:p>
    <w:p w14:paraId="3F702795">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四）雇工8人以下，且企业主直接参加劳动的私营企业不存在剥削。这是不少人的意见。但是，凡读过《资本论》的人都知晓，马克思是在假定剩余价值率100%、资本积累率50%、私营业主的生活比工人好一倍需4个工人提供剩余价值，以及私营业主不参加生产和管理的前提下，计算雇工8人是小业主转化为资本家的临界点，而并非给当时和今后划定资本家制订政策（尽管马克思的假设与经济现实比较贴近）。这与我国对资改造和现行划定资本家和私营企业的政策都没有直接的关系，只具有方法论意义。今天，我国不再制订小业主和资本家的划分标准，因而无须具体讨论雇工几人属于资本家范围的剥削。从理论上分析，即使雇工1人，也可能实际发生剥削，只是剥削量极少，但未达到小业主和资本家的一般剥削水平；即使雇工100人，也可能实际没有剥削到，如亏损私营企业。至于私营业主是否参加操作性劳动和管理性劳动，这不是判断是否存在剥削的直接标准，而是涉及到剥削量的具体计算问题。</w:t>
      </w:r>
    </w:p>
    <w:p w14:paraId="79008692">
      <w:pPr>
        <w:spacing w:line="480" w:lineRule="auto"/>
        <w:ind w:firstLine="48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rPr>
        <w:t>三、科学地对待私营经济及其剥削</w:t>
      </w:r>
    </w:p>
    <w:p w14:paraId="02DC7D74">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我们在上面评析了一些不正确的看法。事实上，只有用历史唯物主义的观点去观察历史上的剥削现象，才能正确地把握剥削的理论及党和国家关于鼓励发展私营经济的方针和政策。这里，我们提出五点认识：</w:t>
      </w:r>
    </w:p>
    <w:p w14:paraId="23275162">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一）要正确对待社会主义市场经济条件下的私营经济。私营经济本质上是一种有一定规模的私人资本所从事的经济活动。根据马克思对资本主义生产方式的分析和劳动价值论的理论分析，我们认为私营经济同外资一样，都是以追求私人剩余价值为目的的，因此，存在剥削是没有任何疑问的。否则，会延及否认资本主义存在剥削等一系列严重问题，从而模糊人们对社会主义初级阶段和当代资本主义的认识，这样反而对发展劳动生产力不利。</w:t>
      </w:r>
    </w:p>
    <w:p w14:paraId="7A1964FC">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二）多数私营业主都程度不同地参与生产经营管理，其中，适合社会化生产需要的管理也创造一部分新价值，因而私营业主工资的全部或部分属于劳动收入。私营企业主的管理劳动和科技劳动可能是一种较高级的复杂劳动，由此而带来这部分的高收入仍是劳动收入，而非剥削收入。</w:t>
      </w:r>
    </w:p>
    <w:p w14:paraId="11129944">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三）目前我国私营经济处在快速发展之中，劳资关系的调整还未建立完善的机制，许多企业劳资关系仍很紧张，这对劳资双方都是不利的。立法机构和政府有关部门要尽量加快建立健全劳资关系调整方面的法律法规，保护工人的合法权益，依法监督私营企业的活动，从根本上控制私营企业违反劳动法，严重侵犯雇工权益的各种非法剥削行为。同时，还要加强市场的宏观管理，对私营企业的一些违法活动及其收入要依法处理，如偷税漏税，制造假冒伪劣产品，向国家工作人员行贿，污染环境，等等，使私营企业真正在国家的法律法规有效管辖下合法经营，取得合法收入。</w:t>
      </w:r>
    </w:p>
    <w:p w14:paraId="0C24C329">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四）剥削是一个历史现象，在生产力没有得到高度发展之前，剥削现象仍在一定程度上存在。私营经济在我国社会主义初级阶段将长期存在，它在促进生产力的发展，解决部分人的就业，上交国家税收方面仍有其积极作用的一面，可以适度发展。列宁在新经济政策时期曾说过：“把资本家请到俄国来不危险吗？这不意味着发展资本主义吗？是的，这是意味着发展资本主义，但是这并不危险，因为政权掌握在工农手中。”（8）只要对“三个代表”重要思想作出马克思主义的科学解释，并真正加以落实，现阶段私营经济及其剥削的存在可能是利大于弊的。</w:t>
      </w:r>
    </w:p>
    <w:p w14:paraId="33F038EC">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五）在发展私营经济的同时，我们要清醒地领悟到，建设社会主义类型的市场经济是目标，而“社会主义的本质，是解放生产力，发展生产力，消灭剥削，消除两极分化，最终达到共同富裕。”（9）社会主义公有制仍是主体，不能通过损害公有制经济来发展非公有制经济。社会主义公有制，尤其国有经济，是代表全体人民的利益的，是最终达到共同富裕的基本物质基础，在市场经济中应该得到发展壮大，否则，则有违改革的根本目的。孙中山提出的“节制私人资本，发达国家资本”方针仍有积极意义。正如不被舆论所重视，而又是千真万确的邓小平指示说得好：“社会主义的目的就是要全国人民共同富裕，不是两极分化。如果我们的政策导致两极分化，我们就失败了；如果产生了什么新的资产阶级，那我们就真是走了邪路了。”（9）</w:t>
      </w:r>
    </w:p>
    <w:p w14:paraId="763F774B">
      <w:pPr>
        <w:spacing w:line="336" w:lineRule="auto"/>
        <w:ind w:firstLine="420" w:firstLineChars="200"/>
        <w:rPr>
          <w:rFonts w:ascii="宋体" w:hAnsi="宋体" w:eastAsia="宋体" w:cs="Times New Roman"/>
          <w:szCs w:val="21"/>
        </w:rPr>
      </w:pPr>
    </w:p>
    <w:p w14:paraId="718A0B3F">
      <w:pPr>
        <w:ind w:firstLine="420" w:firstLineChars="200"/>
        <w:rPr>
          <w:rFonts w:ascii="宋体" w:hAnsi="宋体" w:eastAsia="宋体" w:cs="Times New Roman"/>
          <w:b/>
          <w:szCs w:val="21"/>
        </w:rPr>
      </w:pPr>
      <w:r>
        <w:rPr>
          <w:rFonts w:hint="eastAsia" w:ascii="宋体" w:hAnsi="宋体" w:eastAsia="宋体" w:cs="Times New Roman"/>
          <w:b/>
          <w:szCs w:val="21"/>
        </w:rPr>
        <w:t>参考文献</w:t>
      </w:r>
    </w:p>
    <w:p w14:paraId="2A80281B">
      <w:pPr>
        <w:ind w:firstLine="360" w:firstLineChars="200"/>
        <w:rPr>
          <w:rFonts w:ascii="宋体" w:hAnsi="宋体" w:eastAsia="宋体" w:cs="Times New Roman"/>
          <w:sz w:val="18"/>
          <w:szCs w:val="18"/>
        </w:rPr>
      </w:pPr>
      <w:r>
        <w:rPr>
          <w:rFonts w:hint="eastAsia" w:ascii="宋体" w:hAnsi="宋体" w:eastAsia="宋体" w:cs="Times New Roman"/>
          <w:sz w:val="18"/>
          <w:szCs w:val="18"/>
        </w:rPr>
        <w:t>（1）石康.判别剥削标准争议.经济学动态，1999.8.</w:t>
      </w:r>
    </w:p>
    <w:p w14:paraId="6499EE5A">
      <w:pPr>
        <w:ind w:firstLine="360" w:firstLineChars="200"/>
        <w:rPr>
          <w:rFonts w:ascii="宋体" w:hAnsi="宋体" w:eastAsia="宋体" w:cs="Times New Roman"/>
          <w:sz w:val="18"/>
          <w:szCs w:val="18"/>
        </w:rPr>
      </w:pPr>
      <w:r>
        <w:rPr>
          <w:rFonts w:hint="eastAsia" w:ascii="宋体" w:hAnsi="宋体" w:eastAsia="宋体" w:cs="Times New Roman"/>
          <w:sz w:val="18"/>
          <w:szCs w:val="18"/>
        </w:rPr>
        <w:t>（2）汤在新.按资本要素分配是剥削吗？——兼论私营企业的划分.南方经济，2001.6.</w:t>
      </w:r>
    </w:p>
    <w:p w14:paraId="71282F90">
      <w:pPr>
        <w:ind w:firstLine="360" w:firstLineChars="200"/>
        <w:rPr>
          <w:rFonts w:ascii="宋体" w:hAnsi="宋体" w:eastAsia="宋体" w:cs="Times New Roman"/>
          <w:sz w:val="18"/>
          <w:szCs w:val="18"/>
        </w:rPr>
      </w:pPr>
      <w:r>
        <w:rPr>
          <w:rFonts w:hint="eastAsia" w:ascii="宋体" w:hAnsi="宋体" w:eastAsia="宋体" w:cs="Times New Roman"/>
          <w:sz w:val="18"/>
          <w:szCs w:val="18"/>
        </w:rPr>
        <w:t>（3）廖元和.关于财富源泉、私有经济与剥削的探讨.改革，2002.2.</w:t>
      </w:r>
    </w:p>
    <w:p w14:paraId="6E831B76">
      <w:pPr>
        <w:ind w:firstLine="360" w:firstLineChars="200"/>
        <w:rPr>
          <w:rFonts w:ascii="宋体" w:hAnsi="宋体" w:eastAsia="宋体" w:cs="Times New Roman"/>
          <w:sz w:val="18"/>
          <w:szCs w:val="18"/>
        </w:rPr>
      </w:pPr>
      <w:r>
        <w:rPr>
          <w:rFonts w:hint="eastAsia" w:ascii="宋体" w:hAnsi="宋体" w:eastAsia="宋体" w:cs="Times New Roman"/>
          <w:sz w:val="18"/>
          <w:szCs w:val="18"/>
        </w:rPr>
        <w:t>（4）顾骅珊.对劳动和劳动价值理论的再认识.改革月报，2001.10.12.</w:t>
      </w:r>
    </w:p>
    <w:p w14:paraId="2345292F">
      <w:pPr>
        <w:ind w:firstLine="360" w:firstLineChars="200"/>
        <w:rPr>
          <w:rFonts w:ascii="宋体" w:hAnsi="宋体" w:eastAsia="宋体" w:cs="Times New Roman"/>
          <w:sz w:val="18"/>
          <w:szCs w:val="18"/>
        </w:rPr>
      </w:pPr>
      <w:r>
        <w:rPr>
          <w:rFonts w:hint="eastAsia" w:ascii="宋体" w:hAnsi="宋体" w:eastAsia="宋体" w:cs="Times New Roman"/>
          <w:sz w:val="18"/>
          <w:szCs w:val="18"/>
        </w:rPr>
        <w:t>（5）新帕尔格雷夫经济学大辞典（第2卷）.经济科学出版社，1996.</w:t>
      </w:r>
    </w:p>
    <w:p w14:paraId="12F981A5">
      <w:pPr>
        <w:ind w:firstLine="360" w:firstLineChars="200"/>
        <w:rPr>
          <w:rFonts w:ascii="宋体" w:hAnsi="宋体" w:eastAsia="宋体" w:cs="Times New Roman"/>
          <w:sz w:val="18"/>
          <w:szCs w:val="18"/>
        </w:rPr>
      </w:pPr>
      <w:r>
        <w:rPr>
          <w:rFonts w:hint="eastAsia" w:ascii="宋体" w:hAnsi="宋体" w:eastAsia="宋体" w:cs="Times New Roman"/>
          <w:sz w:val="18"/>
          <w:szCs w:val="18"/>
        </w:rPr>
        <w:t>（6）经济参考报，2001.9.26.</w:t>
      </w:r>
    </w:p>
    <w:p w14:paraId="1D0FA4E2">
      <w:pPr>
        <w:ind w:firstLine="360" w:firstLineChars="200"/>
        <w:rPr>
          <w:rFonts w:ascii="宋体" w:hAnsi="宋体" w:eastAsia="宋体" w:cs="Times New Roman"/>
          <w:sz w:val="18"/>
          <w:szCs w:val="18"/>
        </w:rPr>
      </w:pPr>
      <w:r>
        <w:rPr>
          <w:rFonts w:hint="eastAsia" w:ascii="宋体" w:hAnsi="宋体" w:eastAsia="宋体" w:cs="Times New Roman"/>
          <w:sz w:val="18"/>
          <w:szCs w:val="18"/>
        </w:rPr>
        <w:t>（7）余甫功.民营经济研究的新思路.理论前沿，2001.16.</w:t>
      </w:r>
    </w:p>
    <w:p w14:paraId="1D4AF553">
      <w:pPr>
        <w:ind w:firstLine="360" w:firstLineChars="200"/>
        <w:rPr>
          <w:rFonts w:ascii="宋体" w:hAnsi="宋体" w:eastAsia="宋体" w:cs="Times New Roman"/>
          <w:sz w:val="18"/>
          <w:szCs w:val="18"/>
        </w:rPr>
      </w:pPr>
      <w:r>
        <w:rPr>
          <w:rFonts w:hint="eastAsia" w:ascii="宋体" w:hAnsi="宋体" w:eastAsia="宋体" w:cs="Times New Roman"/>
          <w:sz w:val="18"/>
          <w:szCs w:val="18"/>
        </w:rPr>
        <w:t>（8）列宁全集（第41 卷）.人民出版社，1986.</w:t>
      </w:r>
    </w:p>
    <w:p w14:paraId="2D78E049">
      <w:pPr>
        <w:ind w:firstLine="360" w:firstLineChars="200"/>
        <w:rPr>
          <w:rFonts w:ascii="宋体" w:hAnsi="宋体" w:eastAsia="宋体" w:cs="Times New Roman"/>
          <w:sz w:val="18"/>
          <w:szCs w:val="18"/>
        </w:rPr>
      </w:pPr>
      <w:r>
        <w:rPr>
          <w:rFonts w:hint="eastAsia" w:ascii="宋体" w:hAnsi="宋体" w:eastAsia="宋体" w:cs="Times New Roman"/>
          <w:sz w:val="18"/>
          <w:szCs w:val="18"/>
        </w:rPr>
        <w:t>（9）邓小平文选（第3卷）.人民出版社，1993.</w:t>
      </w:r>
    </w:p>
    <w:p w14:paraId="4E94D596">
      <w:pPr>
        <w:ind w:firstLine="420" w:firstLineChars="200"/>
        <w:rPr>
          <w:rFonts w:ascii="宋体" w:hAnsi="宋体" w:eastAsia="宋体" w:cs="宋体"/>
          <w:kern w:val="0"/>
          <w:szCs w:val="21"/>
        </w:rPr>
      </w:pPr>
    </w:p>
    <w:p w14:paraId="3D44914D">
      <w:pPr>
        <w:ind w:firstLine="420" w:firstLineChars="200"/>
        <w:rPr>
          <w:rFonts w:ascii="宋体" w:hAnsi="宋体" w:eastAsia="宋体" w:cs="Times New Roman"/>
          <w:szCs w:val="21"/>
        </w:rPr>
      </w:pPr>
      <w:r>
        <w:rPr>
          <w:rFonts w:hint="eastAsia" w:ascii="宋体" w:hAnsi="宋体" w:eastAsia="宋体" w:cs="宋体"/>
          <w:kern w:val="0"/>
          <w:szCs w:val="21"/>
        </w:rPr>
        <w:t>（原载《毛泽东邓小平理论研究》2003年第5期，第二作者为汪桂进）</w:t>
      </w:r>
    </w:p>
    <w:p w14:paraId="385A12F6">
      <w:pPr>
        <w:spacing w:line="336" w:lineRule="auto"/>
        <w:ind w:firstLine="420" w:firstLineChars="200"/>
        <w:rPr>
          <w:rFonts w:ascii="宋体" w:hAnsi="宋体" w:eastAsia="宋体" w:cs="Times New Roman"/>
          <w:szCs w:val="24"/>
        </w:rPr>
      </w:pPr>
      <w:r>
        <w:rPr>
          <w:rFonts w:ascii="宋体" w:hAnsi="宋体" w:eastAsia="宋体" w:cs="Times New Roman"/>
          <w:szCs w:val="21"/>
        </w:rPr>
        <w:br w:type="page"/>
      </w:r>
    </w:p>
    <w:p w14:paraId="3CFE08C5">
      <w:pPr>
        <w:ind w:firstLine="420" w:firstLineChars="200"/>
        <w:rPr>
          <w:rFonts w:ascii="宋体" w:hAnsi="宋体" w:eastAsia="宋体" w:cs="Times New Roman"/>
        </w:rPr>
      </w:pPr>
    </w:p>
    <w:p w14:paraId="3676A195">
      <w:pPr>
        <w:keepNext/>
        <w:keepLines/>
        <w:spacing w:before="260" w:after="260" w:line="412" w:lineRule="auto"/>
        <w:ind w:firstLine="640" w:firstLineChars="200"/>
        <w:jc w:val="center"/>
        <w:outlineLvl w:val="1"/>
        <w:rPr>
          <w:rFonts w:ascii="黑体" w:hAnsi="黑体" w:eastAsia="黑体" w:cs="Times New Roman"/>
          <w:color w:val="000000"/>
          <w:kern w:val="0"/>
          <w:sz w:val="32"/>
          <w:szCs w:val="32"/>
          <w:lang w:bidi="ar"/>
        </w:rPr>
      </w:pPr>
      <w:bookmarkStart w:id="258" w:name="_Toc31477"/>
      <w:bookmarkStart w:id="259" w:name="_Toc107836726"/>
      <w:bookmarkStart w:id="260" w:name="_Toc257922092"/>
      <w:bookmarkStart w:id="261" w:name="_Toc110957399"/>
      <w:bookmarkStart w:id="262" w:name="_Toc93074547"/>
      <w:bookmarkStart w:id="263" w:name="_Toc1404561453"/>
      <w:bookmarkStart w:id="264" w:name="_Toc1414303789"/>
      <w:r>
        <w:rPr>
          <w:rFonts w:ascii="黑体" w:hAnsi="黑体" w:eastAsia="黑体" w:cs="Times New Roman"/>
          <w:color w:val="000000"/>
          <w:kern w:val="0"/>
          <w:sz w:val="32"/>
          <w:szCs w:val="32"/>
          <w:lang w:bidi="ar"/>
        </w:rPr>
        <w:t>东亚经济的调整与合作</w:t>
      </w:r>
      <w:bookmarkEnd w:id="258"/>
      <w:bookmarkEnd w:id="259"/>
      <w:bookmarkEnd w:id="260"/>
      <w:bookmarkEnd w:id="261"/>
      <w:bookmarkEnd w:id="262"/>
      <w:bookmarkEnd w:id="263"/>
      <w:bookmarkEnd w:id="264"/>
    </w:p>
    <w:p w14:paraId="24971490">
      <w:pPr>
        <w:spacing w:line="480" w:lineRule="auto"/>
        <w:ind w:firstLine="480" w:firstLineChars="200"/>
        <w:jc w:val="center"/>
        <w:rPr>
          <w:rFonts w:ascii="宋体" w:hAnsi="宋体" w:eastAsia="宋体" w:cs="Times New Roman"/>
          <w:b/>
          <w:bCs/>
          <w:kern w:val="28"/>
          <w:sz w:val="24"/>
          <w:szCs w:val="32"/>
        </w:rPr>
      </w:pPr>
      <w:r>
        <w:rPr>
          <w:rFonts w:ascii="宋体" w:hAnsi="宋体" w:eastAsia="宋体" w:cs="Times New Roman"/>
          <w:b/>
          <w:bCs/>
          <w:kern w:val="28"/>
          <w:sz w:val="24"/>
          <w:szCs w:val="32"/>
        </w:rPr>
        <w:t>一、东亚经济及其模式的一般描述</w:t>
      </w:r>
    </w:p>
    <w:p w14:paraId="359DAE30">
      <w:pPr>
        <w:spacing w:line="300" w:lineRule="auto"/>
        <w:ind w:firstLine="420" w:firstLineChars="200"/>
        <w:rPr>
          <w:rFonts w:ascii="宋体" w:hAnsi="宋体" w:eastAsia="宋体" w:cs="Times New Roman"/>
          <w:szCs w:val="21"/>
        </w:rPr>
      </w:pPr>
      <w:r>
        <w:rPr>
          <w:rFonts w:ascii="宋体" w:hAnsi="宋体" w:eastAsia="宋体" w:cs="Times New Roman"/>
          <w:szCs w:val="21"/>
        </w:rPr>
        <w:t>人们对东亚各国迄今为止的经济发展过程的认识一般如下：在东亚，出口导向型发展以日本为起点呈雁形向外扩展。这种模式也被称为“雁形模式”，即东亚各国与地区的经济跟随日本陆续起飞，形状如同雁群。雁形模式的原型是日本从欧美引进产业技术，尔后，亚洲“四小龙”和东盟从日本引进产业技术，通过“模仿”别人的“模仿”，共同创造“东亚奇迹”。</w:t>
      </w:r>
    </w:p>
    <w:p w14:paraId="030852C6">
      <w:pPr>
        <w:spacing w:line="300" w:lineRule="auto"/>
        <w:ind w:firstLine="420" w:firstLineChars="200"/>
        <w:rPr>
          <w:rFonts w:ascii="宋体" w:hAnsi="宋体" w:eastAsia="宋体" w:cs="Times New Roman"/>
          <w:szCs w:val="21"/>
        </w:rPr>
      </w:pPr>
      <w:r>
        <w:rPr>
          <w:rFonts w:ascii="宋体" w:hAnsi="宋体" w:eastAsia="宋体" w:cs="Times New Roman"/>
          <w:szCs w:val="21"/>
        </w:rPr>
        <w:t>在1997 年金融危机之前东亚经济模式的表现是相当具有活力的，它使东亚经济在战后获得了举世瞩目的成就。首先在日本，经过战后的经济调整和恢复发展，1970-1980年代日本一跃成为仅次于美国的世界第二号经济大国。1960 年代开始，亚洲“四小龙”抓住时机，推行出口导向型发展战略，采取各种优惠政策吸引欧美劳动密集型产业的转移，以劳动密集型产业为主导迅速取得了高速增长。1980 年代，日本受日元升值的影响而加快向亚洲发展中国家与地区转移国内产业，东盟国家和中国由此获得了经济发展的新契机，促进了经济的高级化。这段时期内，整个东亚国家人均GDP增长速度，1966-1973年为5</w:t>
      </w:r>
      <w:r>
        <w:rPr>
          <w:rFonts w:hint="eastAsia" w:ascii="宋体" w:hAnsi="宋体" w:eastAsia="宋体" w:cs="Times New Roman"/>
          <w:szCs w:val="21"/>
        </w:rPr>
        <w:t>.</w:t>
      </w:r>
      <w:r>
        <w:rPr>
          <w:rFonts w:ascii="宋体" w:hAnsi="宋体" w:eastAsia="宋体" w:cs="Times New Roman"/>
          <w:szCs w:val="21"/>
        </w:rPr>
        <w:t>3%，1973-1980年为4</w:t>
      </w:r>
      <w:r>
        <w:rPr>
          <w:rFonts w:hint="eastAsia" w:ascii="宋体" w:hAnsi="宋体" w:eastAsia="宋体" w:cs="Times New Roman"/>
          <w:szCs w:val="21"/>
        </w:rPr>
        <w:t>.</w:t>
      </w:r>
      <w:r>
        <w:rPr>
          <w:rFonts w:ascii="宋体" w:hAnsi="宋体" w:eastAsia="宋体" w:cs="Times New Roman"/>
          <w:szCs w:val="21"/>
        </w:rPr>
        <w:t>9%，1980-1989年为6</w:t>
      </w:r>
      <w:r>
        <w:rPr>
          <w:rFonts w:hint="eastAsia" w:ascii="宋体" w:hAnsi="宋体" w:eastAsia="宋体" w:cs="Times New Roman"/>
          <w:szCs w:val="21"/>
        </w:rPr>
        <w:t>.</w:t>
      </w:r>
      <w:r>
        <w:rPr>
          <w:rFonts w:ascii="宋体" w:hAnsi="宋体" w:eastAsia="宋体" w:cs="Times New Roman"/>
          <w:szCs w:val="21"/>
        </w:rPr>
        <w:t>2%，创造了自产业革命以来的最高增长速度。其中，韩国、马来西亚等成为中等收入国家，新加坡更实现了人均GDP 超万美元的骄人业绩。进入1990 年代，日本经济停滞不前，与此同时</w:t>
      </w:r>
      <w:r>
        <w:rPr>
          <w:rFonts w:hint="eastAsia" w:ascii="宋体" w:hAnsi="宋体" w:eastAsia="宋体" w:cs="Times New Roman"/>
          <w:szCs w:val="21"/>
        </w:rPr>
        <w:t>，</w:t>
      </w:r>
      <w:r>
        <w:rPr>
          <w:rFonts w:ascii="宋体" w:hAnsi="宋体" w:eastAsia="宋体" w:cs="Times New Roman"/>
          <w:szCs w:val="21"/>
        </w:rPr>
        <w:t>“四小龙”和东盟后来居上，雁形模式不再显著。1997 年的亚洲金融危机给东亚各国带来严重打击，直至1999 年下半年才转入相对稳定的复苏阶段。</w:t>
      </w:r>
    </w:p>
    <w:p w14:paraId="6B6626A7">
      <w:pPr>
        <w:spacing w:line="300" w:lineRule="auto"/>
        <w:ind w:firstLine="420" w:firstLineChars="200"/>
        <w:rPr>
          <w:rFonts w:ascii="宋体" w:hAnsi="宋体" w:eastAsia="宋体" w:cs="Times New Roman"/>
          <w:szCs w:val="21"/>
        </w:rPr>
      </w:pPr>
      <w:r>
        <w:rPr>
          <w:rFonts w:ascii="宋体" w:hAnsi="宋体" w:eastAsia="宋体" w:cs="Times New Roman"/>
          <w:szCs w:val="21"/>
        </w:rPr>
        <w:t>一般认为“东亚模式”有以下几个特点：</w:t>
      </w:r>
    </w:p>
    <w:p w14:paraId="5AB45E6F">
      <w:pPr>
        <w:spacing w:line="300" w:lineRule="auto"/>
        <w:ind w:firstLine="420" w:firstLineChars="200"/>
        <w:rPr>
          <w:rFonts w:ascii="宋体" w:hAnsi="宋体" w:eastAsia="宋体" w:cs="Times New Roman"/>
          <w:szCs w:val="21"/>
        </w:rPr>
      </w:pPr>
      <w:r>
        <w:rPr>
          <w:rFonts w:ascii="宋体" w:hAnsi="宋体" w:eastAsia="宋体" w:cs="Times New Roman"/>
          <w:szCs w:val="21"/>
        </w:rPr>
        <w:t>1．在政府作用方面，政府进行较强的调控和干预，一般以行政引导与市场调节相结合的方式推动经济发展。</w:t>
      </w:r>
    </w:p>
    <w:p w14:paraId="57F3DFB0">
      <w:pPr>
        <w:spacing w:line="300" w:lineRule="auto"/>
        <w:ind w:firstLine="420" w:firstLineChars="200"/>
        <w:rPr>
          <w:rFonts w:ascii="宋体" w:hAnsi="宋体" w:eastAsia="宋体" w:cs="Times New Roman"/>
          <w:szCs w:val="21"/>
        </w:rPr>
      </w:pPr>
      <w:r>
        <w:rPr>
          <w:rFonts w:ascii="宋体" w:hAnsi="宋体" w:eastAsia="宋体" w:cs="Times New Roman"/>
          <w:szCs w:val="21"/>
        </w:rPr>
        <w:t>2．在产业定位与发展战略方面，劳动密集型产业为最优先发展的产业，并推行出口导向型的外向型经济发展战略，有些国家还大量引进外部发达国家的资本。</w:t>
      </w:r>
    </w:p>
    <w:p w14:paraId="6058922E">
      <w:pPr>
        <w:spacing w:line="300" w:lineRule="auto"/>
        <w:ind w:firstLine="420" w:firstLineChars="200"/>
        <w:rPr>
          <w:rFonts w:ascii="宋体" w:hAnsi="宋体" w:eastAsia="宋体" w:cs="Times New Roman"/>
          <w:szCs w:val="21"/>
        </w:rPr>
      </w:pPr>
      <w:r>
        <w:rPr>
          <w:rFonts w:ascii="宋体" w:hAnsi="宋体" w:eastAsia="宋体" w:cs="Times New Roman"/>
          <w:szCs w:val="21"/>
        </w:rPr>
        <w:t>3．在区域经济交往方面，东亚地区经济呈互补性梯级发展，即“雁形模式”。地区内部贸易比重较大，经济联系较紧密。</w:t>
      </w:r>
    </w:p>
    <w:p w14:paraId="2E86D2ED">
      <w:pPr>
        <w:spacing w:line="300" w:lineRule="auto"/>
        <w:ind w:firstLine="420" w:firstLineChars="200"/>
        <w:rPr>
          <w:rFonts w:ascii="宋体" w:hAnsi="宋体" w:eastAsia="宋体" w:cs="Times New Roman"/>
          <w:szCs w:val="21"/>
        </w:rPr>
      </w:pPr>
      <w:r>
        <w:rPr>
          <w:rFonts w:ascii="宋体" w:hAnsi="宋体" w:eastAsia="宋体" w:cs="Times New Roman"/>
          <w:szCs w:val="21"/>
        </w:rPr>
        <w:t>东亚经济模式的这些特点是与本地区的自然社会条件分不开的。多数东亚国家、地区自然资源相对缺乏，日本、亚洲“四小龙”原材料几乎全部靠进口；国内、地区内市场狭小，因而普遍采用外向型经济发展战略，依靠出口推动经济的高速增长；劳动力资源丰富，但素质普遍较低，只能先发展劳动密集型产业，如加工和装配等，这是其经济起步时的优势所在。</w:t>
      </w:r>
    </w:p>
    <w:p w14:paraId="695E3948">
      <w:pPr>
        <w:spacing w:line="480" w:lineRule="auto"/>
        <w:ind w:firstLine="480" w:firstLineChars="200"/>
        <w:jc w:val="center"/>
        <w:rPr>
          <w:rFonts w:ascii="宋体" w:hAnsi="宋体" w:eastAsia="宋体" w:cs="Times New Roman"/>
          <w:b/>
          <w:bCs/>
          <w:kern w:val="28"/>
          <w:sz w:val="24"/>
          <w:szCs w:val="32"/>
        </w:rPr>
      </w:pPr>
      <w:r>
        <w:rPr>
          <w:rFonts w:ascii="宋体" w:hAnsi="宋体" w:eastAsia="宋体" w:cs="Times New Roman"/>
          <w:b/>
          <w:bCs/>
          <w:kern w:val="28"/>
          <w:sz w:val="24"/>
          <w:szCs w:val="32"/>
        </w:rPr>
        <w:t>二、东亚经济显露和隐含的问题</w:t>
      </w:r>
    </w:p>
    <w:p w14:paraId="789A397E">
      <w:pPr>
        <w:spacing w:line="300" w:lineRule="auto"/>
        <w:ind w:firstLine="420" w:firstLineChars="200"/>
        <w:rPr>
          <w:rFonts w:ascii="宋体" w:hAnsi="宋体" w:eastAsia="宋体" w:cs="Times New Roman"/>
          <w:b/>
          <w:szCs w:val="21"/>
        </w:rPr>
      </w:pPr>
      <w:r>
        <w:rPr>
          <w:rFonts w:ascii="宋体" w:hAnsi="宋体" w:eastAsia="宋体" w:cs="Times New Roman"/>
          <w:b/>
          <w:szCs w:val="21"/>
        </w:rPr>
        <w:t>1．雁形模式的依赖性：科技依赖和市场依赖</w:t>
      </w:r>
    </w:p>
    <w:p w14:paraId="3BA4E372">
      <w:pPr>
        <w:spacing w:line="300" w:lineRule="auto"/>
        <w:ind w:firstLine="420" w:firstLineChars="200"/>
        <w:rPr>
          <w:rFonts w:ascii="宋体" w:hAnsi="宋体" w:eastAsia="宋体" w:cs="Times New Roman"/>
          <w:szCs w:val="21"/>
        </w:rPr>
      </w:pPr>
      <w:r>
        <w:rPr>
          <w:rFonts w:ascii="宋体" w:hAnsi="宋体" w:eastAsia="宋体" w:cs="Times New Roman"/>
          <w:szCs w:val="21"/>
        </w:rPr>
        <w:t>东亚后进国家在外资主导下大跨度地跃过结构转换的各种约束，在较短时期内迅速从出口木材、原油等提升到出口彩电等家用电器，呈现为外资移植的结果，并伴随着两个弱点，一是技术依赖投资国，二是投入市场依赖于日本、产出市场依赖于美国和欧洲等发达国家，从而为发展的可持续性埋下了隐患。</w:t>
      </w:r>
    </w:p>
    <w:p w14:paraId="0971A9E5">
      <w:pPr>
        <w:spacing w:line="300" w:lineRule="auto"/>
        <w:ind w:firstLine="420" w:firstLineChars="200"/>
        <w:rPr>
          <w:rFonts w:ascii="宋体" w:hAnsi="宋体" w:eastAsia="宋体" w:cs="Times New Roman"/>
          <w:b/>
          <w:szCs w:val="21"/>
        </w:rPr>
      </w:pPr>
      <w:r>
        <w:rPr>
          <w:rFonts w:ascii="宋体" w:hAnsi="宋体" w:eastAsia="宋体" w:cs="Times New Roman"/>
          <w:b/>
          <w:szCs w:val="21"/>
        </w:rPr>
        <w:t>(1)科技依赖</w:t>
      </w:r>
    </w:p>
    <w:p w14:paraId="3793EB46">
      <w:pPr>
        <w:spacing w:line="300" w:lineRule="auto"/>
        <w:ind w:firstLine="420" w:firstLineChars="200"/>
        <w:rPr>
          <w:rFonts w:ascii="宋体" w:hAnsi="宋体" w:eastAsia="宋体" w:cs="Times New Roman"/>
          <w:szCs w:val="21"/>
        </w:rPr>
      </w:pPr>
      <w:r>
        <w:rPr>
          <w:rFonts w:ascii="宋体" w:hAnsi="宋体" w:eastAsia="宋体" w:cs="Times New Roman"/>
          <w:szCs w:val="21"/>
        </w:rPr>
        <w:t>东亚若干国家和地区的产业发展严重依赖于日本的技术，而日本在基础科学方面依赖于美国。“四小龙”经过1980 年代以来持续大规模资金注入和改良技术创新机制，在应用技术方面取得了显著进步，但总体开发技术仍较落后。东盟则在各个产业技术上都缺乏自主性，对日资企业和技术依赖性最为严重。这种技术依赖的实质是后进国把产业进步和经济发展的列车拴到先进国产业发展上，依赖性越严重的国家越容易受到侵害，经济衰退的打击就越剧烈。金融危机以东盟各国损失最为惨重的原因即在于此。</w:t>
      </w:r>
    </w:p>
    <w:p w14:paraId="03D506E4">
      <w:pPr>
        <w:spacing w:line="300" w:lineRule="auto"/>
        <w:ind w:firstLine="420" w:firstLineChars="200"/>
        <w:rPr>
          <w:rFonts w:ascii="宋体" w:hAnsi="宋体" w:eastAsia="宋体" w:cs="Times New Roman"/>
          <w:b/>
          <w:szCs w:val="21"/>
        </w:rPr>
      </w:pPr>
      <w:r>
        <w:rPr>
          <w:rFonts w:ascii="宋体" w:hAnsi="宋体" w:eastAsia="宋体" w:cs="Times New Roman"/>
          <w:b/>
          <w:szCs w:val="21"/>
        </w:rPr>
        <w:t>(2)市场依赖</w:t>
      </w:r>
    </w:p>
    <w:p w14:paraId="7B40FE33">
      <w:pPr>
        <w:spacing w:line="300" w:lineRule="auto"/>
        <w:ind w:firstLine="420" w:firstLineChars="200"/>
        <w:rPr>
          <w:rFonts w:ascii="宋体" w:hAnsi="宋体" w:eastAsia="宋体" w:cs="Times New Roman"/>
          <w:szCs w:val="21"/>
        </w:rPr>
      </w:pPr>
      <w:r>
        <w:rPr>
          <w:rFonts w:ascii="宋体" w:hAnsi="宋体" w:eastAsia="宋体" w:cs="Times New Roman"/>
          <w:szCs w:val="21"/>
        </w:rPr>
        <w:t>由于不少东亚国家和地区多数制造业都是在日本资金和技术输出下建立起来的，与自身产业的关联度有限，且本地区市场狭小，这些供给约束和需求约束决定了东亚制造业必然是大进大出的外向型产业。许多东亚国家和地区需要从日本大量进口生产资料和中间产品，经过加工组装再出口到北美和欧洲，其实质是日本出口导向型产业在海外的延续，是日本面向欧美市场的加工组装车间。这种不平衡依赖关系反映在贸易收支上，往往表现为对美国的长期顺差和对日本的长期逆差。</w:t>
      </w:r>
    </w:p>
    <w:p w14:paraId="77F55D02">
      <w:pPr>
        <w:spacing w:line="300" w:lineRule="auto"/>
        <w:ind w:firstLine="420" w:firstLineChars="200"/>
        <w:rPr>
          <w:rFonts w:ascii="宋体" w:hAnsi="宋体" w:eastAsia="宋体" w:cs="Times New Roman"/>
          <w:b/>
          <w:szCs w:val="21"/>
        </w:rPr>
      </w:pPr>
      <w:r>
        <w:rPr>
          <w:rFonts w:ascii="宋体" w:hAnsi="宋体" w:eastAsia="宋体" w:cs="Times New Roman"/>
          <w:b/>
          <w:szCs w:val="21"/>
        </w:rPr>
        <w:t>2．产业结构的脆弱性：垂直型分工和生产工序型分工</w:t>
      </w:r>
    </w:p>
    <w:p w14:paraId="60412BD5">
      <w:pPr>
        <w:spacing w:line="300" w:lineRule="auto"/>
        <w:ind w:firstLine="420" w:firstLineChars="200"/>
        <w:rPr>
          <w:rFonts w:ascii="宋体" w:hAnsi="宋体" w:eastAsia="宋体" w:cs="Times New Roman"/>
          <w:szCs w:val="21"/>
        </w:rPr>
      </w:pPr>
      <w:r>
        <w:rPr>
          <w:rFonts w:ascii="宋体" w:hAnsi="宋体" w:eastAsia="宋体" w:cs="Times New Roman"/>
          <w:szCs w:val="21"/>
        </w:rPr>
        <w:t>在东亚产业梯次转移和传递过程中，存在着两种分工体系，一种是垂直型分工，另一种是生产工序型分工。前者是指发达国家生产并出口深加工工业品，欠发达国家生产并出口农副产品和初加工工业品；后者是指发达国家和欠发达国家都发展某一产业，但各侧重于生产工序的不同环节，发达国家致力于研究开发技术密集型生产工序(包括制成品的品牌) ，出口中间产品，进口制成品，欠发达国家侧重于加工组装等劳动密集型生产工序，进口中间产品，出口制成品。这两种分工形式和内容均不相同，但国家和地区组别却极为相似，即处于分工顶层的是日本，中间层是“四小龙”，底层是东盟。</w:t>
      </w:r>
    </w:p>
    <w:p w14:paraId="1AE1FE31">
      <w:pPr>
        <w:spacing w:line="300" w:lineRule="auto"/>
        <w:ind w:firstLine="420" w:firstLineChars="200"/>
        <w:rPr>
          <w:rFonts w:ascii="宋体" w:hAnsi="宋体" w:eastAsia="宋体" w:cs="Times New Roman"/>
          <w:b/>
          <w:szCs w:val="21"/>
        </w:rPr>
      </w:pPr>
      <w:r>
        <w:rPr>
          <w:rFonts w:ascii="宋体" w:hAnsi="宋体" w:eastAsia="宋体" w:cs="Times New Roman"/>
          <w:b/>
          <w:szCs w:val="21"/>
        </w:rPr>
        <w:t>(1)垂直型分工</w:t>
      </w:r>
    </w:p>
    <w:p w14:paraId="7BE87BD8">
      <w:pPr>
        <w:spacing w:line="300" w:lineRule="auto"/>
        <w:ind w:firstLine="420" w:firstLineChars="200"/>
        <w:rPr>
          <w:rFonts w:ascii="宋体" w:hAnsi="宋体" w:eastAsia="宋体" w:cs="Times New Roman"/>
          <w:szCs w:val="21"/>
        </w:rPr>
      </w:pPr>
      <w:r>
        <w:rPr>
          <w:rFonts w:ascii="宋体" w:hAnsi="宋体" w:eastAsia="宋体" w:cs="Times New Roman"/>
          <w:szCs w:val="21"/>
        </w:rPr>
        <w:t>1980 年代以来日本对东亚直接投资迅速增加，有力地推动了东亚各国和地区的产业结构升级，促进了重化工业在东亚的移植和发育。但是，由于东亚特别是东盟国家重化工业的生成不是自身比较优势发挥的自然结果，而是源于先进国家投资而嫁接的跨国公司最终产品的加工组装基地，这是产业脱离于自身优势资源的深加工，因此</w:t>
      </w:r>
      <w:r>
        <w:rPr>
          <w:rFonts w:hint="eastAsia" w:ascii="宋体" w:hAnsi="宋体" w:eastAsia="宋体" w:cs="Times New Roman"/>
          <w:szCs w:val="21"/>
        </w:rPr>
        <w:t>，</w:t>
      </w:r>
      <w:r>
        <w:rPr>
          <w:rFonts w:ascii="宋体" w:hAnsi="宋体" w:eastAsia="宋体" w:cs="Times New Roman"/>
          <w:szCs w:val="21"/>
        </w:rPr>
        <w:t>“四小龙”发展初期和目前的东盟都不同程度地存在着资源开发产业与深加工产业严重脱节的“两层皮”现象。</w:t>
      </w:r>
    </w:p>
    <w:p w14:paraId="30067143">
      <w:pPr>
        <w:spacing w:line="300" w:lineRule="auto"/>
        <w:ind w:firstLine="420" w:firstLineChars="200"/>
        <w:rPr>
          <w:rFonts w:ascii="宋体" w:hAnsi="宋体" w:eastAsia="宋体" w:cs="Times New Roman"/>
          <w:b/>
          <w:szCs w:val="21"/>
        </w:rPr>
      </w:pPr>
      <w:r>
        <w:rPr>
          <w:rFonts w:ascii="宋体" w:hAnsi="宋体" w:eastAsia="宋体" w:cs="Times New Roman"/>
          <w:b/>
          <w:szCs w:val="21"/>
        </w:rPr>
        <w:t>(2)生产工序型分工</w:t>
      </w:r>
    </w:p>
    <w:p w14:paraId="05EE64D5">
      <w:pPr>
        <w:spacing w:line="300" w:lineRule="auto"/>
        <w:ind w:firstLine="420" w:firstLineChars="200"/>
        <w:rPr>
          <w:rFonts w:ascii="宋体" w:hAnsi="宋体" w:eastAsia="宋体" w:cs="Times New Roman"/>
          <w:szCs w:val="21"/>
        </w:rPr>
      </w:pPr>
      <w:r>
        <w:rPr>
          <w:rFonts w:ascii="宋体" w:hAnsi="宋体" w:eastAsia="宋体" w:cs="Times New Roman"/>
          <w:szCs w:val="21"/>
        </w:rPr>
        <w:t>日本在东亚制造业的直接投资较多地集中于机电工业。从生产的工艺流程看，机电工业是融技术密集、资金密集和劳动密集于一体的多工序、多零部件行业，容易在空间上对多工序进行分解、组合。日本正是利用机电工业这一特点，根据东亚不同国家和地区的要素禀赋，把原本需要由市场完成的分工，转换成跨国公司内部的生产工序分工，即一项产品的开发、设计定型及关键零部件生产在日本本土进行，一般零部件转移到“四小龙”生产，而在东盟完成最后组装，产成品一部分在当地销售，一部分返销日本，一部分销往欧美市场。</w:t>
      </w:r>
    </w:p>
    <w:p w14:paraId="6EDC678E">
      <w:pPr>
        <w:spacing w:line="300" w:lineRule="auto"/>
        <w:ind w:firstLine="420" w:firstLineChars="200"/>
        <w:rPr>
          <w:rFonts w:ascii="宋体" w:hAnsi="宋体" w:eastAsia="宋体" w:cs="Times New Roman"/>
          <w:szCs w:val="21"/>
        </w:rPr>
      </w:pPr>
      <w:r>
        <w:rPr>
          <w:rFonts w:ascii="宋体" w:hAnsi="宋体" w:eastAsia="宋体" w:cs="Times New Roman"/>
          <w:szCs w:val="21"/>
        </w:rPr>
        <w:t>在这样的分工方式中，存在着两个重要的不对称关系。一是“名”与“利”的不对称，即出口产品原产地标识为从事劳动密集型工序的后进国家和地区，并获得产品全部增加值中较低比例的组装加工费，相反，从事设计、零部件生产的先进国家和地区虽没有最终产品生产国和出口国的名份，但却获得全部增值中的绝大部分。二是生产工序间依赖关系的不对称，即劳动密集型工序的繁荣完全依赖于技术密集型工序的发展状况，同时，劳动密集型工序的区位选择既依赖于技术密集型工序的技术特点，又存在着同类国家间的激烈竞争。这两种不对称事实上把国际竞争的大部分风险转嫁到处于分工底层的国家，一旦遇到供过于求的国际竞争，从事组装加工成品的国家一方面要承担价格损失，另一方面又因为退出成本极高而难以迅速调整产业。</w:t>
      </w:r>
    </w:p>
    <w:p w14:paraId="7B1F54FE">
      <w:pPr>
        <w:spacing w:line="300" w:lineRule="auto"/>
        <w:ind w:firstLine="420" w:firstLineChars="200"/>
        <w:rPr>
          <w:rFonts w:ascii="宋体" w:hAnsi="宋体" w:eastAsia="宋体" w:cs="Times New Roman"/>
          <w:b/>
          <w:szCs w:val="21"/>
        </w:rPr>
      </w:pPr>
      <w:r>
        <w:rPr>
          <w:rFonts w:ascii="宋体" w:hAnsi="宋体" w:eastAsia="宋体" w:cs="Times New Roman"/>
          <w:b/>
          <w:szCs w:val="21"/>
        </w:rPr>
        <w:t>3．产业同构下的激烈竞争</w:t>
      </w:r>
    </w:p>
    <w:p w14:paraId="3E32F64E">
      <w:pPr>
        <w:spacing w:line="300" w:lineRule="auto"/>
        <w:ind w:firstLine="420" w:firstLineChars="200"/>
        <w:rPr>
          <w:rFonts w:ascii="宋体" w:hAnsi="宋体" w:eastAsia="宋体" w:cs="Times New Roman"/>
          <w:szCs w:val="21"/>
        </w:rPr>
      </w:pPr>
      <w:r>
        <w:rPr>
          <w:rFonts w:ascii="宋体" w:hAnsi="宋体" w:eastAsia="宋体" w:cs="Times New Roman"/>
          <w:szCs w:val="21"/>
        </w:rPr>
        <w:t>在日本泡沫经济破裂，经济发展陷入长期萧条，产业升级趋缓的时候</w:t>
      </w:r>
      <w:r>
        <w:rPr>
          <w:rFonts w:hint="eastAsia" w:ascii="宋体" w:hAnsi="宋体" w:eastAsia="宋体" w:cs="Times New Roman"/>
          <w:szCs w:val="21"/>
        </w:rPr>
        <w:t>，</w:t>
      </w:r>
      <w:r>
        <w:rPr>
          <w:rFonts w:ascii="宋体" w:hAnsi="宋体" w:eastAsia="宋体" w:cs="Times New Roman"/>
          <w:szCs w:val="21"/>
        </w:rPr>
        <w:t>“四小龙”、东盟却继续沿着雁形模式的产业阶梯向上攀登，产业差距迅速缩小，趋于同构，产生了激烈竞争。比如，由于东亚电子工业生产工序型分工在很大程度上是靠外国投资和技术转移建立起来的，本地企业也大多属于低水平的重复建设，本国、本地区技术创新能力缺乏，难以形成差别化优势。在产品结构雷同、技术近似的情况下，竞争优势只能靠低成本实现。同时，该地区生产的电子产品绝大部分属于可替代性强的家电产品，在出口导向战略的大环境下，国内需求普遍不足，出口比重过大，出口市场又过分依赖少数发达国家，特别是美国。发达国家的需求变化和贸易保护措施，都极易引发东亚的结构性生产过剩和恶性竞争。</w:t>
      </w:r>
    </w:p>
    <w:p w14:paraId="4F0A89C0">
      <w:pPr>
        <w:spacing w:line="300" w:lineRule="auto"/>
        <w:ind w:firstLine="420" w:firstLineChars="200"/>
        <w:rPr>
          <w:rFonts w:ascii="宋体" w:hAnsi="宋体" w:eastAsia="宋体" w:cs="Times New Roman"/>
          <w:b/>
          <w:szCs w:val="21"/>
        </w:rPr>
      </w:pPr>
      <w:r>
        <w:rPr>
          <w:rFonts w:ascii="宋体" w:hAnsi="宋体" w:eastAsia="宋体" w:cs="Times New Roman"/>
          <w:b/>
          <w:szCs w:val="21"/>
        </w:rPr>
        <w:t>4．政府非科学干预下的市场无序性</w:t>
      </w:r>
    </w:p>
    <w:p w14:paraId="42D0A43C">
      <w:pPr>
        <w:spacing w:line="300" w:lineRule="auto"/>
        <w:ind w:firstLine="420" w:firstLineChars="200"/>
        <w:rPr>
          <w:rFonts w:ascii="宋体" w:hAnsi="宋体" w:eastAsia="宋体" w:cs="Times New Roman"/>
          <w:szCs w:val="21"/>
        </w:rPr>
      </w:pPr>
      <w:r>
        <w:rPr>
          <w:rFonts w:ascii="宋体" w:hAnsi="宋体" w:eastAsia="宋体" w:cs="Times New Roman"/>
          <w:szCs w:val="21"/>
        </w:rPr>
        <w:t>市场经济中引入政府干预，能够矫正市场盲目性，摆脱国内外各利益集团对本国、本地区经济的干扰，制定并执行经济计划，确定主导产业，集中推动资金积累，集中全力发展经济，促进经济的高速发展。但政府不科学的强弱干预都会显露缺陷：(1) 造成信贷资金需求上的“软约束”降低资金的使用效率，不利于公平竞争和自由的价格控制。(2) 不利于市场经济国家向高度的社会、法治化发展。(3)“政府质量”下降，官商结合，权钱交融，助长了官僚作风和腐败现象的蔓延。(4) 对企业的不适当保护会影响其竞争生存能力。</w:t>
      </w:r>
    </w:p>
    <w:p w14:paraId="35B18E81">
      <w:pPr>
        <w:spacing w:line="300" w:lineRule="auto"/>
        <w:ind w:firstLine="420" w:firstLineChars="200"/>
        <w:rPr>
          <w:rFonts w:ascii="宋体" w:hAnsi="宋体" w:eastAsia="宋体" w:cs="Times New Roman"/>
          <w:b/>
          <w:szCs w:val="21"/>
        </w:rPr>
      </w:pPr>
      <w:r>
        <w:rPr>
          <w:rFonts w:ascii="宋体" w:hAnsi="宋体" w:eastAsia="宋体" w:cs="Times New Roman"/>
          <w:b/>
          <w:szCs w:val="21"/>
        </w:rPr>
        <w:t>5</w:t>
      </w:r>
      <w:r>
        <w:rPr>
          <w:rFonts w:hint="eastAsia" w:ascii="宋体" w:hAnsi="宋体" w:eastAsia="宋体" w:cs="Times New Roman"/>
          <w:b/>
          <w:szCs w:val="21"/>
        </w:rPr>
        <w:t>．</w:t>
      </w:r>
      <w:r>
        <w:rPr>
          <w:rFonts w:ascii="宋体" w:hAnsi="宋体" w:eastAsia="宋体" w:cs="Times New Roman"/>
          <w:b/>
          <w:szCs w:val="21"/>
        </w:rPr>
        <w:t>引进外资结构上的不合理</w:t>
      </w:r>
    </w:p>
    <w:p w14:paraId="4839BC51">
      <w:pPr>
        <w:spacing w:line="300" w:lineRule="auto"/>
        <w:ind w:firstLine="420" w:firstLineChars="200"/>
        <w:rPr>
          <w:rFonts w:ascii="宋体" w:hAnsi="宋体" w:eastAsia="宋体" w:cs="Times New Roman"/>
          <w:szCs w:val="21"/>
        </w:rPr>
      </w:pPr>
      <w:r>
        <w:rPr>
          <w:rFonts w:ascii="宋体" w:hAnsi="宋体" w:eastAsia="宋体" w:cs="Times New Roman"/>
          <w:szCs w:val="21"/>
        </w:rPr>
        <w:t>东亚经济高速发展，离不开外资的大量引进，这成为东亚模式的特点之一。然而，各国争相引资所带来的盲目性造成了不合理局面。一方面，大量引进外国直接投资，导致外国资本对本国经济不同程度的控制，外资企业在国民经济中占有的比例过大，而民族经济的力量被相对削弱；另一方面，为了鼓励外国投资，东道国政府往往只注意改善投资环境，却忽视了对外资的管理和限制，造成投资结构失当，致使大量外资流向房地产、证券部门，极容易形成产业结构失调和经济泡沫。再一个是举借外债的规模和结构不尽合理，有些东亚国家过度地引进外国短期资本(如泰国)，这样极容易使其经济受到冲击。</w:t>
      </w:r>
    </w:p>
    <w:p w14:paraId="57E6ADBE">
      <w:pPr>
        <w:spacing w:line="480" w:lineRule="auto"/>
        <w:ind w:firstLine="480" w:firstLineChars="200"/>
        <w:jc w:val="center"/>
        <w:rPr>
          <w:rFonts w:ascii="宋体" w:hAnsi="宋体" w:eastAsia="宋体" w:cs="Times New Roman"/>
          <w:b/>
          <w:bCs/>
          <w:kern w:val="28"/>
          <w:sz w:val="24"/>
          <w:szCs w:val="32"/>
        </w:rPr>
      </w:pPr>
      <w:r>
        <w:rPr>
          <w:rFonts w:ascii="宋体" w:hAnsi="宋体" w:eastAsia="宋体" w:cs="Times New Roman"/>
          <w:b/>
          <w:bCs/>
          <w:kern w:val="28"/>
          <w:sz w:val="24"/>
          <w:szCs w:val="32"/>
        </w:rPr>
        <w:t>三、东亚经济调整与进一步合作的基本思路</w:t>
      </w:r>
    </w:p>
    <w:p w14:paraId="3890CE34">
      <w:pPr>
        <w:spacing w:line="300" w:lineRule="auto"/>
        <w:ind w:firstLine="420" w:firstLineChars="200"/>
        <w:rPr>
          <w:rFonts w:ascii="宋体" w:hAnsi="宋体" w:eastAsia="宋体" w:cs="Times New Roman"/>
          <w:szCs w:val="21"/>
        </w:rPr>
      </w:pPr>
      <w:r>
        <w:rPr>
          <w:rFonts w:ascii="宋体" w:hAnsi="宋体" w:eastAsia="宋体" w:cs="Times New Roman"/>
          <w:szCs w:val="21"/>
        </w:rPr>
        <w:t>保罗·克鲁格曼在1994 年《亚洲奇迹之神话》一书中指出，东亚经济增长的源泉是生产要素投入的增加而非生产效率的提高。这种不是靠本国知识积累和技术进步驱动的经济增长，必然随国内要素动员能力的衰减而趋于下降；而一旦经济增长速度下降，在高速增长下隐藏的结构问题就将浮出水面，并在外部冲击下引发经济动荡。克鲁格曼的评价似乎有些过头，因为至少日本并非如此，韩国也不完全这样。但东亚多数国家和地区，包括中国，或多或少存在上述问题，必须逐步消除。</w:t>
      </w:r>
    </w:p>
    <w:p w14:paraId="18C68E8C">
      <w:pPr>
        <w:spacing w:line="300" w:lineRule="auto"/>
        <w:ind w:firstLine="420" w:firstLineChars="200"/>
        <w:rPr>
          <w:rFonts w:ascii="宋体" w:hAnsi="宋体" w:eastAsia="宋体" w:cs="Times New Roman"/>
          <w:b/>
          <w:szCs w:val="21"/>
        </w:rPr>
      </w:pPr>
      <w:r>
        <w:rPr>
          <w:rFonts w:ascii="宋体" w:hAnsi="宋体" w:eastAsia="宋体" w:cs="Times New Roman"/>
          <w:b/>
          <w:szCs w:val="21"/>
        </w:rPr>
        <w:t>1．减少技术依赖度</w:t>
      </w:r>
    </w:p>
    <w:p w14:paraId="7D34732B">
      <w:pPr>
        <w:spacing w:line="300" w:lineRule="auto"/>
        <w:ind w:firstLine="420" w:firstLineChars="200"/>
        <w:rPr>
          <w:rFonts w:ascii="宋体" w:hAnsi="宋体" w:eastAsia="宋体" w:cs="Times New Roman"/>
          <w:szCs w:val="21"/>
        </w:rPr>
      </w:pPr>
      <w:r>
        <w:rPr>
          <w:rFonts w:ascii="宋体" w:hAnsi="宋体" w:eastAsia="宋体" w:cs="Times New Roman"/>
          <w:szCs w:val="21"/>
        </w:rPr>
        <w:t>亚洲“四小龙”和东盟在迈向工业国(地区) 的进程中，由于缺乏基础研究和开发研究，导致应用研究发展到一定程度后，难以向纵深挺进，并引发相关产业结构升级受阻，产业发展的技术决定权不得不取决于国外或地区外。从产业发展史上看，随着专利保护制度的完善，一国产业升级赖以支撑的技术进步只能主要源于本国的知识积累和劳动力素质的提高。一国可以通过引进技术、忽视基础研究和开发研究来实现应用技术和产业结构的双重跃进，但它迟早要遇到基础研究落后的制约，并在结构升极上陷入缓慢的状态。以往的日本即是如此，它有的是快餐式人才，却对基础研究重视不足。人口素质较低是东亚各国的普遍现象，对来自发达国家新技术领域的挑战，东亚各国的科技人才明显匮乏，已形成了经济向更高阶段发展的瓶颈。因此</w:t>
      </w:r>
      <w:r>
        <w:rPr>
          <w:rFonts w:hint="eastAsia" w:ascii="宋体" w:hAnsi="宋体" w:eastAsia="宋体" w:cs="Times New Roman"/>
          <w:szCs w:val="21"/>
        </w:rPr>
        <w:t>，</w:t>
      </w:r>
      <w:r>
        <w:rPr>
          <w:rFonts w:ascii="宋体" w:hAnsi="宋体" w:eastAsia="宋体" w:cs="Times New Roman"/>
          <w:szCs w:val="21"/>
        </w:rPr>
        <w:t>“科技立国”</w:t>
      </w:r>
      <w:r>
        <w:rPr>
          <w:rFonts w:hint="eastAsia" w:ascii="宋体" w:hAnsi="宋体" w:eastAsia="宋体" w:cs="Times New Roman"/>
          <w:szCs w:val="21"/>
        </w:rPr>
        <w:t>、</w:t>
      </w:r>
      <w:r>
        <w:rPr>
          <w:rFonts w:ascii="宋体" w:hAnsi="宋体" w:eastAsia="宋体" w:cs="Times New Roman"/>
          <w:szCs w:val="21"/>
        </w:rPr>
        <w:t>“科教兴国”的战略措施在东亚各国纷纷出台。东亚国家必须培养更多的、有创造力的科技人才，抓住经济发展的动力源和关键。</w:t>
      </w:r>
    </w:p>
    <w:p w14:paraId="67620EE4">
      <w:pPr>
        <w:spacing w:line="300" w:lineRule="auto"/>
        <w:ind w:firstLine="420" w:firstLineChars="200"/>
        <w:rPr>
          <w:rFonts w:ascii="宋体" w:hAnsi="宋体" w:eastAsia="宋体" w:cs="Times New Roman"/>
          <w:b/>
          <w:szCs w:val="21"/>
        </w:rPr>
      </w:pPr>
      <w:r>
        <w:rPr>
          <w:rFonts w:ascii="宋体" w:hAnsi="宋体" w:eastAsia="宋体" w:cs="Times New Roman"/>
          <w:b/>
          <w:szCs w:val="21"/>
        </w:rPr>
        <w:t>2．多层面和多方位开拓国内外市场</w:t>
      </w:r>
    </w:p>
    <w:p w14:paraId="4D93C189">
      <w:pPr>
        <w:spacing w:line="300" w:lineRule="auto"/>
        <w:ind w:firstLine="420" w:firstLineChars="200"/>
        <w:rPr>
          <w:rFonts w:ascii="宋体" w:hAnsi="宋体" w:eastAsia="宋体" w:cs="Times New Roman"/>
          <w:szCs w:val="21"/>
        </w:rPr>
      </w:pPr>
      <w:r>
        <w:rPr>
          <w:rFonts w:ascii="宋体" w:hAnsi="宋体" w:eastAsia="宋体" w:cs="Times New Roman"/>
          <w:szCs w:val="21"/>
        </w:rPr>
        <w:t>东亚各国的国内市场因大力提倡外向型经济而相对受到忽视，而开拓国内市场对于东亚各国应付对外贸易环境条件的变动、稳定本国经济具有显而易见的重要作用。对国外市场则应该在继续重视扩展欧美市场的基础上，积极开拓俄罗斯、东欧、非洲、南亚、南美等地区的市场。尽管有美国在伊拉克和朝鲜等地区制造政治和经济的不利因素，以及“非典”的负面影响，但只要中国等东亚国家及时采取进出口贸易产品和服务结构的调整等措施，就能将“非典”对经济增长的负面效应控制在0</w:t>
      </w:r>
      <w:r>
        <w:rPr>
          <w:rFonts w:hint="eastAsia" w:ascii="宋体" w:hAnsi="宋体" w:eastAsia="宋体" w:cs="Times New Roman"/>
          <w:szCs w:val="21"/>
        </w:rPr>
        <w:t>.</w:t>
      </w:r>
      <w:r>
        <w:rPr>
          <w:rFonts w:ascii="宋体" w:hAnsi="宋体" w:eastAsia="宋体" w:cs="Times New Roman"/>
          <w:szCs w:val="21"/>
        </w:rPr>
        <w:t>5 %左右，并化解美国制造的非正面经济影响。</w:t>
      </w:r>
    </w:p>
    <w:p w14:paraId="695F8CF8">
      <w:pPr>
        <w:spacing w:line="300" w:lineRule="auto"/>
        <w:ind w:firstLine="420" w:firstLineChars="200"/>
        <w:rPr>
          <w:rFonts w:ascii="宋体" w:hAnsi="宋体" w:eastAsia="宋体" w:cs="Times New Roman"/>
          <w:b/>
          <w:szCs w:val="21"/>
        </w:rPr>
      </w:pPr>
      <w:r>
        <w:rPr>
          <w:rFonts w:ascii="宋体" w:hAnsi="宋体" w:eastAsia="宋体" w:cs="Times New Roman"/>
          <w:b/>
          <w:szCs w:val="21"/>
        </w:rPr>
        <w:t>3．打造企业的“双头鹰结构”或“鼎形结构”</w:t>
      </w:r>
    </w:p>
    <w:p w14:paraId="1EF7651C">
      <w:pPr>
        <w:spacing w:line="300" w:lineRule="auto"/>
        <w:ind w:firstLine="420" w:firstLineChars="200"/>
        <w:rPr>
          <w:rFonts w:ascii="宋体" w:hAnsi="宋体" w:eastAsia="宋体" w:cs="Times New Roman"/>
          <w:szCs w:val="21"/>
        </w:rPr>
      </w:pPr>
      <w:r>
        <w:rPr>
          <w:rFonts w:ascii="宋体" w:hAnsi="宋体" w:eastAsia="宋体" w:cs="Times New Roman"/>
          <w:szCs w:val="21"/>
        </w:rPr>
        <w:t>以劳动密集型产业为主体的产业结构是无法使东亚某些国家在国际市场上占据主动地位的。随着世界上其他发展中国家的发展，东亚特别是东南亚国家相对较低的劳动力价格已不具有竞争优势。在经济全球化加速发展、知识经济日趋占主导地位的时代，东亚国家必须突破日本一雁领头的“雁形结构”，尽快形成由日本和中国领先的“双头鹰结构”，或由日本、中国和韩国三足鼎立的“鼎形结构”，提高产业调整速度，共同实现向资本和技术密集型产业的升级。目前，在日本经济相对萧条、欧盟经济发展缓慢和美国经济需求不稳的态势下，中国经济的强劲增长已使东亚地区2002 年的经济增长率达到6</w:t>
      </w:r>
      <w:r>
        <w:rPr>
          <w:rFonts w:hint="eastAsia" w:ascii="宋体" w:hAnsi="宋体" w:eastAsia="宋体" w:cs="Times New Roman"/>
          <w:szCs w:val="21"/>
        </w:rPr>
        <w:t>.</w:t>
      </w:r>
      <w:r>
        <w:rPr>
          <w:rFonts w:ascii="宋体" w:hAnsi="宋体" w:eastAsia="宋体" w:cs="Times New Roman"/>
          <w:szCs w:val="21"/>
        </w:rPr>
        <w:t>7 % ，比2001 年提高1</w:t>
      </w:r>
      <w:r>
        <w:rPr>
          <w:rFonts w:hint="eastAsia" w:ascii="宋体" w:hAnsi="宋体" w:eastAsia="宋体" w:cs="Times New Roman"/>
          <w:szCs w:val="21"/>
        </w:rPr>
        <w:t>.</w:t>
      </w:r>
      <w:r>
        <w:rPr>
          <w:rFonts w:ascii="宋体" w:hAnsi="宋体" w:eastAsia="宋体" w:cs="Times New Roman"/>
          <w:szCs w:val="21"/>
        </w:rPr>
        <w:t>2 %。2002 年中国吸引外资，创了历史新高，占当年发展中国家外商直接投资总额的37 % ，首次超过美国成为最大的外商直接投资接受国。世界银行预计，2003 年东亚经济增长5 % ，2003 年至2005 年东亚和太平洋地区的外商直接投资净额将每年平均增加10 %。中国逐步调整引进来和走出去的双向互动开放战略措施，有可能在不远的将来成为东亚产业“双头鹰结构”或“鼎形结构”的一员。</w:t>
      </w:r>
    </w:p>
    <w:p w14:paraId="77700C8D">
      <w:pPr>
        <w:spacing w:line="300" w:lineRule="auto"/>
        <w:ind w:firstLine="420" w:firstLineChars="200"/>
        <w:rPr>
          <w:rFonts w:ascii="宋体" w:hAnsi="宋体" w:eastAsia="宋体" w:cs="Times New Roman"/>
          <w:b/>
          <w:szCs w:val="21"/>
        </w:rPr>
      </w:pPr>
      <w:r>
        <w:rPr>
          <w:rFonts w:ascii="宋体" w:hAnsi="宋体" w:eastAsia="宋体" w:cs="Times New Roman"/>
          <w:b/>
          <w:szCs w:val="21"/>
        </w:rPr>
        <w:t>4．区域合作进一步紧密化</w:t>
      </w:r>
    </w:p>
    <w:p w14:paraId="61A2F043">
      <w:pPr>
        <w:spacing w:line="300" w:lineRule="auto"/>
        <w:ind w:firstLine="420" w:firstLineChars="200"/>
        <w:rPr>
          <w:rFonts w:ascii="宋体" w:hAnsi="宋体" w:eastAsia="宋体" w:cs="Times New Roman"/>
          <w:szCs w:val="21"/>
        </w:rPr>
      </w:pPr>
      <w:r>
        <w:rPr>
          <w:rFonts w:ascii="宋体" w:hAnsi="宋体" w:eastAsia="宋体" w:cs="Times New Roman"/>
          <w:szCs w:val="21"/>
        </w:rPr>
        <w:t>东亚各国的文化有一定的相似性，如果消除美国和日本等右翼的反和平思潮，就可以在投资、技术、货币、品牌、劳动力、资源、市场等方面进行全方位和更紧密的有效合作。例如，东亚各国和地区目前的技术结构现状，反映了整个东亚的工业化发展进程。而这种互补型的结构，为建立新的经济技术网络提供了可能性。中国在某些基础科技研究领域处于世界前列，而日本正面临着缺乏“基础性技术”，因而将扩大对中国的依存范围；东盟各国正希望充实“基础性技术”部门，同时也需要日本的技术转移；而中国则要致力于“中间技术”产业，并积极拓展高科技产业。以这种动态相互依存的“技术群体结构”为基础，可以在东亚建立一种新型的经济合作体系。又如</w:t>
      </w:r>
      <w:r>
        <w:rPr>
          <w:rFonts w:hint="eastAsia" w:ascii="宋体" w:hAnsi="宋体" w:eastAsia="宋体" w:cs="Times New Roman"/>
          <w:szCs w:val="21"/>
        </w:rPr>
        <w:t>,</w:t>
      </w:r>
      <w:r>
        <w:rPr>
          <w:rFonts w:ascii="宋体" w:hAnsi="宋体" w:eastAsia="宋体" w:cs="Times New Roman"/>
          <w:szCs w:val="21"/>
        </w:rPr>
        <w:t>“东盟+中国+日本+韩国”的区域经济合作机制和组织的不断完善，平等互利基础上的亚洲货币基金组织的建立，都将为东亚和整个亚洲经济的高效合作提供良好的平台。</w:t>
      </w:r>
    </w:p>
    <w:p w14:paraId="57B696B6">
      <w:pPr>
        <w:spacing w:line="300" w:lineRule="auto"/>
        <w:ind w:firstLine="420" w:firstLineChars="200"/>
        <w:rPr>
          <w:rFonts w:ascii="宋体" w:hAnsi="宋体" w:eastAsia="宋体" w:cs="Times New Roman"/>
          <w:szCs w:val="21"/>
        </w:rPr>
      </w:pPr>
    </w:p>
    <w:p w14:paraId="3B01ADB1">
      <w:pPr>
        <w:ind w:firstLine="420" w:firstLineChars="200"/>
        <w:rPr>
          <w:rFonts w:ascii="宋体" w:hAnsi="宋体" w:eastAsia="宋体" w:cs="Times New Roman"/>
          <w:szCs w:val="21"/>
        </w:rPr>
      </w:pPr>
      <w:r>
        <w:rPr>
          <w:rFonts w:ascii="宋体" w:hAnsi="宋体" w:eastAsia="宋体" w:cs="Times New Roman"/>
          <w:b/>
          <w:szCs w:val="21"/>
        </w:rPr>
        <w:t>参考文献</w:t>
      </w:r>
      <w:r>
        <w:rPr>
          <w:rFonts w:ascii="宋体" w:hAnsi="宋体" w:eastAsia="宋体" w:cs="Times New Roman"/>
          <w:szCs w:val="21"/>
        </w:rPr>
        <w:t>：</w:t>
      </w:r>
    </w:p>
    <w:p w14:paraId="2C0FAF7F">
      <w:pPr>
        <w:ind w:firstLine="360" w:firstLineChars="200"/>
        <w:rPr>
          <w:rFonts w:ascii="宋体" w:hAnsi="宋体" w:eastAsia="宋体" w:cs="Times New Roman"/>
          <w:sz w:val="18"/>
          <w:szCs w:val="18"/>
        </w:rPr>
      </w:pPr>
      <w:r>
        <w:rPr>
          <w:rFonts w:ascii="宋体" w:hAnsi="宋体" w:eastAsia="宋体" w:cs="Times New Roman"/>
          <w:sz w:val="18"/>
          <w:szCs w:val="18"/>
        </w:rPr>
        <w:t>[1 ]程恩富</w:t>
      </w:r>
      <w:r>
        <w:rPr>
          <w:rFonts w:hint="eastAsia" w:ascii="宋体" w:hAnsi="宋体" w:eastAsia="宋体" w:cs="Times New Roman"/>
          <w:sz w:val="18"/>
          <w:szCs w:val="18"/>
        </w:rPr>
        <w:t>：</w:t>
      </w:r>
      <w:r>
        <w:rPr>
          <w:rFonts w:ascii="宋体" w:hAnsi="宋体" w:eastAsia="宋体" w:cs="Times New Roman"/>
          <w:sz w:val="18"/>
          <w:szCs w:val="18"/>
        </w:rPr>
        <w:t>经济全球化与中国对策[M]1 上海：上海科技文献出版社，2000</w:t>
      </w:r>
    </w:p>
    <w:p w14:paraId="2D866863">
      <w:pPr>
        <w:ind w:firstLine="360" w:firstLineChars="200"/>
        <w:rPr>
          <w:rFonts w:ascii="宋体" w:hAnsi="宋体" w:eastAsia="宋体" w:cs="Times New Roman"/>
          <w:sz w:val="18"/>
          <w:szCs w:val="18"/>
        </w:rPr>
      </w:pPr>
      <w:r>
        <w:rPr>
          <w:rFonts w:ascii="宋体" w:hAnsi="宋体" w:eastAsia="宋体" w:cs="Times New Roman"/>
          <w:sz w:val="18"/>
          <w:szCs w:val="18"/>
        </w:rPr>
        <w:t>[2 ]程恩富</w:t>
      </w:r>
      <w:r>
        <w:rPr>
          <w:rFonts w:hint="eastAsia" w:ascii="宋体" w:hAnsi="宋体" w:eastAsia="宋体" w:cs="Times New Roman"/>
          <w:sz w:val="18"/>
          <w:szCs w:val="18"/>
        </w:rPr>
        <w:t>：</w:t>
      </w:r>
      <w:r>
        <w:rPr>
          <w:rFonts w:ascii="宋体" w:hAnsi="宋体" w:eastAsia="宋体" w:cs="Times New Roman"/>
          <w:sz w:val="18"/>
          <w:szCs w:val="18"/>
        </w:rPr>
        <w:t xml:space="preserve"> 当代中国经济理论探索[M]1 上海：上海财经大学出版社，2000</w:t>
      </w:r>
    </w:p>
    <w:p w14:paraId="1D0A05F3">
      <w:pPr>
        <w:ind w:firstLine="360" w:firstLineChars="200"/>
        <w:rPr>
          <w:rFonts w:ascii="宋体" w:hAnsi="宋体" w:eastAsia="宋体" w:cs="Times New Roman"/>
          <w:sz w:val="18"/>
          <w:szCs w:val="18"/>
        </w:rPr>
      </w:pPr>
      <w:r>
        <w:rPr>
          <w:rFonts w:ascii="宋体" w:hAnsi="宋体" w:eastAsia="宋体" w:cs="Times New Roman"/>
          <w:sz w:val="18"/>
          <w:szCs w:val="18"/>
        </w:rPr>
        <w:t>[3 ]马建堂，杨正位</w:t>
      </w:r>
      <w:r>
        <w:rPr>
          <w:rFonts w:hint="eastAsia" w:ascii="宋体" w:hAnsi="宋体" w:eastAsia="宋体" w:cs="Times New Roman"/>
          <w:sz w:val="18"/>
          <w:szCs w:val="18"/>
        </w:rPr>
        <w:t>：</w:t>
      </w:r>
      <w:r>
        <w:rPr>
          <w:rFonts w:ascii="宋体" w:hAnsi="宋体" w:eastAsia="宋体" w:cs="Times New Roman"/>
          <w:sz w:val="18"/>
          <w:szCs w:val="18"/>
        </w:rPr>
        <w:t xml:space="preserve">日本经济：全面衰退、积重难返、教训深刻[J ]世界经济，2002 ， (1) </w:t>
      </w:r>
    </w:p>
    <w:p w14:paraId="4DAFC831">
      <w:pPr>
        <w:ind w:firstLine="360" w:firstLineChars="200"/>
        <w:rPr>
          <w:rFonts w:ascii="宋体" w:hAnsi="宋体" w:eastAsia="宋体" w:cs="Times New Roman"/>
          <w:sz w:val="18"/>
          <w:szCs w:val="18"/>
        </w:rPr>
      </w:pPr>
      <w:r>
        <w:rPr>
          <w:rFonts w:ascii="宋体" w:hAnsi="宋体" w:eastAsia="宋体" w:cs="Times New Roman"/>
          <w:sz w:val="18"/>
          <w:szCs w:val="18"/>
        </w:rPr>
        <w:t>[4 ]山泽逸平</w:t>
      </w:r>
      <w:r>
        <w:rPr>
          <w:rFonts w:hint="eastAsia" w:ascii="宋体" w:hAnsi="宋体" w:eastAsia="宋体" w:cs="Times New Roman"/>
          <w:sz w:val="18"/>
          <w:szCs w:val="18"/>
        </w:rPr>
        <w:t>：</w:t>
      </w:r>
      <w:r>
        <w:rPr>
          <w:rFonts w:ascii="宋体" w:hAnsi="宋体" w:eastAsia="宋体" w:cs="Times New Roman"/>
          <w:sz w:val="18"/>
          <w:szCs w:val="18"/>
        </w:rPr>
        <w:t>亚洲太平洋经济论：21 世纪APEC 行动计划建议[M]1 上海：上海人民出版社，2001</w:t>
      </w:r>
    </w:p>
    <w:p w14:paraId="64F8E63C">
      <w:pPr>
        <w:ind w:firstLine="360" w:firstLineChars="200"/>
        <w:rPr>
          <w:rFonts w:ascii="宋体" w:hAnsi="宋体" w:eastAsia="宋体" w:cs="Times New Roman"/>
          <w:sz w:val="18"/>
          <w:szCs w:val="18"/>
        </w:rPr>
      </w:pPr>
      <w:r>
        <w:rPr>
          <w:rFonts w:ascii="宋体" w:hAnsi="宋体" w:eastAsia="宋体" w:cs="Times New Roman"/>
          <w:sz w:val="18"/>
          <w:szCs w:val="18"/>
        </w:rPr>
        <w:t>[5 ]王振锁，李钢哲</w:t>
      </w:r>
      <w:r>
        <w:rPr>
          <w:rFonts w:hint="eastAsia" w:ascii="宋体" w:hAnsi="宋体" w:eastAsia="宋体" w:cs="Times New Roman"/>
          <w:sz w:val="18"/>
          <w:szCs w:val="18"/>
        </w:rPr>
        <w:t>：</w:t>
      </w:r>
      <w:r>
        <w:rPr>
          <w:rFonts w:ascii="宋体" w:hAnsi="宋体" w:eastAsia="宋体" w:cs="Times New Roman"/>
          <w:sz w:val="18"/>
          <w:szCs w:val="18"/>
        </w:rPr>
        <w:t>东亚区域经济合作：中国与日本[M]1 天津：天津人民出版社，2002</w:t>
      </w:r>
    </w:p>
    <w:p w14:paraId="74ABF23F">
      <w:pPr>
        <w:ind w:firstLine="420" w:firstLineChars="200"/>
        <w:rPr>
          <w:rFonts w:ascii="宋体" w:hAnsi="宋体" w:eastAsia="宋体" w:cs="Times New Roman"/>
          <w:szCs w:val="21"/>
        </w:rPr>
      </w:pPr>
    </w:p>
    <w:p w14:paraId="08D3DF43">
      <w:pPr>
        <w:spacing w:line="300" w:lineRule="auto"/>
        <w:ind w:firstLine="420" w:firstLineChars="200"/>
        <w:rPr>
          <w:rFonts w:ascii="宋体" w:hAnsi="宋体" w:eastAsia="宋体" w:cs="Times New Roman"/>
          <w:szCs w:val="21"/>
        </w:rPr>
      </w:pPr>
      <w:r>
        <w:rPr>
          <w:rFonts w:hint="eastAsia" w:ascii="宋体" w:hAnsi="宋体" w:eastAsia="宋体" w:cs="Times New Roman"/>
          <w:szCs w:val="21"/>
        </w:rPr>
        <w:t>（原载《财贸经济》2003年第7期，第二作者为夏晖）</w:t>
      </w:r>
    </w:p>
    <w:p w14:paraId="1867A4E2">
      <w:pPr>
        <w:pStyle w:val="15"/>
        <w:widowControl w:val="0"/>
        <w:autoSpaceDE w:val="0"/>
        <w:autoSpaceDN w:val="0"/>
        <w:spacing w:before="0" w:beforeAutospacing="0" w:after="0" w:afterAutospacing="0" w:line="360" w:lineRule="auto"/>
        <w:jc w:val="both"/>
        <w:rPr>
          <w:rFonts w:cs="Times New Roman"/>
        </w:rPr>
      </w:pPr>
      <w:r>
        <w:rPr>
          <w:rFonts w:cs="Times New Roman"/>
          <w:b/>
          <w:sz w:val="32"/>
        </w:rPr>
        <w:br w:type="page"/>
      </w:r>
    </w:p>
    <w:p w14:paraId="17644908">
      <w:pPr>
        <w:pStyle w:val="15"/>
        <w:keepNext/>
        <w:keepLines/>
        <w:widowControl w:val="0"/>
        <w:spacing w:before="0" w:beforeAutospacing="0" w:after="0" w:afterAutospacing="0" w:line="360" w:lineRule="auto"/>
        <w:ind w:firstLine="641" w:firstLineChars="200"/>
        <w:jc w:val="center"/>
        <w:outlineLvl w:val="1"/>
        <w:rPr>
          <w:rFonts w:cs="Times New Roman"/>
          <w:b/>
          <w:bCs/>
          <w:sz w:val="32"/>
          <w:szCs w:val="32"/>
        </w:rPr>
      </w:pPr>
      <w:bookmarkStart w:id="265" w:name="_Toc16825"/>
      <w:bookmarkStart w:id="266" w:name="_Toc107836728"/>
      <w:bookmarkStart w:id="267" w:name="_Toc110957400"/>
      <w:bookmarkStart w:id="268" w:name="_Toc1324092747"/>
      <w:bookmarkStart w:id="269" w:name="_Toc1854776727"/>
      <w:r>
        <w:rPr>
          <w:rFonts w:cs="Times New Roman"/>
          <w:b/>
          <w:bCs/>
          <w:color w:val="000000"/>
          <w:sz w:val="32"/>
          <w:szCs w:val="32"/>
          <w:lang w:bidi="ar"/>
        </w:rPr>
        <w:t>西方新政治经济学的发展与我国政治经济学革新</w:t>
      </w:r>
      <w:bookmarkEnd w:id="265"/>
      <w:bookmarkEnd w:id="266"/>
      <w:bookmarkEnd w:id="267"/>
      <w:bookmarkEnd w:id="268"/>
      <w:bookmarkEnd w:id="269"/>
    </w:p>
    <w:p w14:paraId="2E227B2E">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内</w:t>
      </w:r>
      <w:r>
        <w:rPr>
          <w:rFonts w:cs="Times New Roman"/>
          <w:b/>
          <w:bCs/>
          <w:color w:val="000000"/>
          <w:sz w:val="21"/>
          <w:szCs w:val="21"/>
          <w:lang w:bidi="ar"/>
        </w:rPr>
        <w:t xml:space="preserve">容提要  </w:t>
      </w:r>
      <w:r>
        <w:rPr>
          <w:rFonts w:cs="Times New Roman"/>
          <w:color w:val="000000"/>
          <w:sz w:val="21"/>
          <w:szCs w:val="21"/>
          <w:lang w:bidi="ar"/>
        </w:rPr>
        <w:t>本文阐述新政治经济学的各种定义及与其他相关学科的比较，新政治经济 学的理论来源、基本特征与局限性；主张借鉴西方新政治经济学的合理内核，改革我 国政治经济学，其中包括：实现经济学与政治学的双向史叉研究；引入利益的非一致 性假设；创建</w:t>
      </w:r>
      <w:r>
        <w:rPr>
          <w:rFonts w:hint="eastAsia" w:cs="Times New Roman"/>
          <w:color w:val="000000"/>
          <w:sz w:val="21"/>
          <w:szCs w:val="21"/>
          <w:lang w:bidi="ar"/>
        </w:rPr>
        <w:t>“</w:t>
      </w:r>
      <w:r>
        <w:rPr>
          <w:rFonts w:cs="Times New Roman"/>
          <w:color w:val="000000"/>
          <w:sz w:val="21"/>
          <w:szCs w:val="21"/>
          <w:lang w:bidi="ar"/>
        </w:rPr>
        <w:t>新马克思经济学综合范式”。</w:t>
      </w:r>
    </w:p>
    <w:p w14:paraId="091FA2DB">
      <w:pPr>
        <w:pStyle w:val="15"/>
        <w:keepNext/>
        <w:keepLines/>
        <w:widowControl w:val="0"/>
        <w:spacing w:before="0" w:beforeAutospacing="0" w:after="0" w:afterAutospacing="0" w:line="400" w:lineRule="exact"/>
        <w:ind w:firstLine="480" w:firstLineChars="200"/>
        <w:jc w:val="center"/>
        <w:rPr>
          <w:rFonts w:cs="Times New Roman"/>
          <w:b/>
          <w:bCs/>
        </w:rPr>
      </w:pPr>
      <w:r>
        <w:rPr>
          <w:rFonts w:cs="Times New Roman"/>
          <w:b/>
          <w:bCs/>
          <w:color w:val="000000"/>
          <w:lang w:bidi="ar"/>
        </w:rPr>
        <w:t>一、西方新政治经济学的基本内涵</w:t>
      </w:r>
    </w:p>
    <w:p w14:paraId="0ED20729">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什么是新政治经济学？ 一个宽泛的定义是：新政治经济学是一门研究政治和经济相互 作用的科学。但是这样的定义太模糊，带有无所不包的特点，让人不知道它真正在研究什 么。对新政治经济学的定义，首先应该表明什么是构成新政治经济学的内核，并说明它与 “标准的”经济学或有关政策选择的其他经济学的区别。</w:t>
      </w:r>
    </w:p>
    <w:p w14:paraId="3B281A2D">
      <w:pPr>
        <w:pStyle w:val="15"/>
        <w:keepNext/>
        <w:keepLines/>
        <w:widowControl w:val="0"/>
        <w:spacing w:before="0" w:beforeAutospacing="0" w:after="0" w:afterAutospacing="0" w:line="400" w:lineRule="exact"/>
        <w:ind w:firstLine="420" w:firstLineChars="200"/>
        <w:jc w:val="both"/>
        <w:rPr>
          <w:rFonts w:cs="Times New Roman"/>
          <w:b/>
          <w:bCs/>
          <w:color w:val="000000"/>
          <w:sz w:val="21"/>
          <w:szCs w:val="21"/>
          <w:lang w:bidi="ar"/>
        </w:rPr>
      </w:pPr>
      <w:r>
        <w:rPr>
          <w:rFonts w:cs="Times New Roman"/>
          <w:b/>
          <w:bCs/>
          <w:color w:val="000000"/>
          <w:sz w:val="21"/>
          <w:szCs w:val="21"/>
          <w:lang w:bidi="ar"/>
        </w:rPr>
        <w:t>（一）新政治经济学的初步定义</w:t>
      </w:r>
    </w:p>
    <w:p w14:paraId="20C648D4">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根据罗宾斯(Robbins, 1932, p.16)的著名的定义：</w:t>
      </w:r>
      <w:r>
        <w:rPr>
          <w:rFonts w:hint="eastAsia" w:cs="Times New Roman"/>
          <w:color w:val="000000"/>
          <w:sz w:val="21"/>
          <w:szCs w:val="21"/>
          <w:lang w:bidi="ar"/>
        </w:rPr>
        <w:t>“</w:t>
      </w:r>
      <w:r>
        <w:rPr>
          <w:rFonts w:cs="Times New Roman"/>
          <w:color w:val="000000"/>
          <w:sz w:val="21"/>
          <w:szCs w:val="21"/>
          <w:lang w:bidi="ar"/>
        </w:rPr>
        <w:t>经济学就是研究人类的欲望和 具有多种用途的稀缺资源的相互关系的行为的科学”。如果说经济学主要研究稀缺资源的 最优化使用，那么，新政治经济学就不仅研究决策的政治性质，而且还研究经济怎样影响 一个社会的政治选择。社会的定义比较广泛，它不仅包括国家或其他经济主体，而且包括 厂商、社会集团及其他组织。</w:t>
      </w:r>
    </w:p>
    <w:p w14:paraId="7249B3D6">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很明显，如果不对</w:t>
      </w:r>
      <w:r>
        <w:rPr>
          <w:rFonts w:hint="eastAsia" w:cs="Times New Roman"/>
          <w:color w:val="000000"/>
          <w:sz w:val="21"/>
          <w:szCs w:val="21"/>
          <w:lang w:bidi="ar"/>
        </w:rPr>
        <w:t>“</w:t>
      </w:r>
      <w:r>
        <w:rPr>
          <w:rFonts w:cs="Times New Roman"/>
          <w:color w:val="000000"/>
          <w:sz w:val="21"/>
          <w:szCs w:val="21"/>
          <w:lang w:bidi="ar"/>
        </w:rPr>
        <w:t>政治学” 一词进行精确的定义，我们就无法进行下一步的工作。 在政治科学里，政治被定义为对权力和权威的研究与实行。反过来，权力又意味着个人 (或组织)获得反映其目标的产出的能力；与此相类似，权威</w:t>
      </w:r>
      <w:r>
        <w:rPr>
          <w:rFonts w:hint="eastAsia" w:cs="Times New Roman"/>
          <w:color w:val="000000"/>
          <w:sz w:val="21"/>
          <w:szCs w:val="21"/>
          <w:lang w:bidi="ar"/>
        </w:rPr>
        <w:t>“</w:t>
      </w:r>
      <w:r>
        <w:rPr>
          <w:rFonts w:cs="Times New Roman"/>
          <w:color w:val="000000"/>
          <w:sz w:val="21"/>
          <w:szCs w:val="21"/>
          <w:lang w:bidi="ar"/>
        </w:rPr>
        <w:t>无论什么时候，当一个、</w:t>
      </w:r>
      <w:r>
        <w:rPr>
          <w:rStyle w:val="26"/>
          <w:rFonts w:hint="default" w:cs="Times New Roman"/>
          <w:sz w:val="21"/>
          <w:szCs w:val="21"/>
          <w:lang w:bidi="ar"/>
        </w:rPr>
        <w:t>几个、或许多人明确地或默许其他人在某些行动中作岀决策时都存在着” (Lindblom, 1977, pp.17-18)。这样，林徳布罗姆(Lindblom)把政治定义为对权威的斗争。然而, 权力和权威的问题只有在出现</w:t>
      </w:r>
      <w:r>
        <w:rPr>
          <w:rFonts w:hint="eastAsia" w:cs="Times New Roman"/>
          <w:color w:val="000000"/>
          <w:sz w:val="21"/>
          <w:szCs w:val="21"/>
          <w:lang w:bidi="ar"/>
        </w:rPr>
        <w:t>“</w:t>
      </w:r>
      <w:r>
        <w:rPr>
          <w:rStyle w:val="26"/>
          <w:rFonts w:hint="default" w:cs="Times New Roman"/>
          <w:sz w:val="21"/>
          <w:szCs w:val="21"/>
          <w:lang w:bidi="ar"/>
        </w:rPr>
        <w:t>利益的异质性”时才是相关的，</w:t>
      </w:r>
      <w:r>
        <w:rPr>
          <w:rFonts w:hint="eastAsia" w:cs="Times New Roman"/>
          <w:color w:val="000000"/>
          <w:sz w:val="21"/>
          <w:szCs w:val="21"/>
          <w:lang w:bidi="ar"/>
        </w:rPr>
        <w:t>“</w:t>
      </w:r>
      <w:r>
        <w:rPr>
          <w:rStyle w:val="26"/>
          <w:rFonts w:hint="default" w:cs="Times New Roman"/>
          <w:sz w:val="21"/>
          <w:szCs w:val="21"/>
          <w:lang w:bidi="ar"/>
        </w:rPr>
        <w:t>利益的异质性”就是经 济行为者之间的利益冲突。那么，当社会的个体成员之间有利益冲突时，一个社会怎样作出影响他们的集体政策决策呢？ 一个庞大社会的个人、阶级、集团怎样获得权力与权威, 以试图获得反映他们偏好的社会选择呢？政治可以被看做是研究作出集体选择的机制，即 研究权力和权威如何获得和执行的问题。</w:t>
      </w:r>
    </w:p>
    <w:p w14:paraId="5BCBDC2D">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有了以上的基础，我们现在可以回到新政治经济学研究对象的问题上。一般来说，经 济学研究稀缺资源的最优化使用问题，包含了清楚的关键假设，也就是说一旦最优的政策 被发现，就会立即得到执行。政策的选择仅仅是一个技术的或计算的问题。一旦最优化的 政策被计算出来，政策制定者就会执行它，在这里决策是自动的。也就是说，决策的制定 者就是社会福利的最大化者，假定一旦最优化的政策制定，这种政策便会得到执行。这种 最优化的获得和实际的选择行为，意味着规范经济学的后面立即跟随着实证经济学的政策 选择。而这里应该采取什么样的政策的技术的决定步骤，决定集中的方法，与上述政治定义所暗含的政策决定的步骤是不一样的。</w:t>
      </w:r>
    </w:p>
    <w:p w14:paraId="53BEE9D1">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因此，德拉金(Drazen, 2000, p.7)把新政治经济学定义为研究决策的政治性质怎 样影响政策选择，并最终怎样影响经济产出的科学。新政治经济学以实际的政策与</w:t>
      </w:r>
      <w:r>
        <w:rPr>
          <w:rFonts w:hint="eastAsia" w:cs="Times New Roman"/>
          <w:color w:val="000000"/>
          <w:sz w:val="21"/>
          <w:szCs w:val="21"/>
          <w:lang w:bidi="ar"/>
        </w:rPr>
        <w:t>“</w:t>
      </w:r>
      <w:r>
        <w:rPr>
          <w:rFonts w:cs="Times New Roman"/>
          <w:color w:val="000000"/>
          <w:sz w:val="21"/>
          <w:szCs w:val="21"/>
          <w:lang w:bidi="ar"/>
        </w:rPr>
        <w:t>最优化”的政策经常不相一致的现象为起点，而后者 被界定为与技术的和信息的而不是政治的约束有关。政治约束指的是由于利益的冲突，以 及在面对利益的冲突需要作出集体选择时而导致的约束。由此，德拉金(2000, p.7)把 新政治经济学分成实证政治经济学和规范政治经济学。实证政治经济学试图提出这样的问题，政治约束怎样解释政策选择(并进而揭示经济 产出)与最优政策的不同，以及那些政策所暗含的不同产出。这种观点的另一种表达方式 就是，在面临不同的利益冲突时，一个社会所使用的暗含不同产出的政策的选择机制，将 与一个万能的社会计划者的选择不同。</w:t>
      </w:r>
      <w:r>
        <w:rPr>
          <w:rFonts w:hint="eastAsia"/>
          <w:color w:val="000000"/>
          <w:sz w:val="21"/>
          <w:szCs w:val="21"/>
          <w:lang w:bidi="ar"/>
        </w:rPr>
        <w:t>①</w:t>
      </w:r>
      <w:r>
        <w:rPr>
          <w:rFonts w:cs="Times New Roman"/>
          <w:color w:val="000000"/>
          <w:sz w:val="21"/>
          <w:szCs w:val="21"/>
          <w:lang w:bidi="ar"/>
        </w:rPr>
        <w:t>当然，实证的观点也同时意味着规范的方法，规范政治经济学试图提出这样的问题，在既定的政治约束下，社会怎样才能取得特别的经济 目标。这不仅仅包括在现有的制度框架下，怎样</w:t>
      </w:r>
      <w:r>
        <w:rPr>
          <w:rFonts w:hint="eastAsia" w:cs="Times New Roman"/>
          <w:color w:val="000000"/>
          <w:sz w:val="21"/>
          <w:szCs w:val="21"/>
          <w:lang w:bidi="ar"/>
        </w:rPr>
        <w:t>“</w:t>
      </w:r>
      <w:r>
        <w:rPr>
          <w:rFonts w:cs="Times New Roman"/>
          <w:color w:val="000000"/>
          <w:sz w:val="21"/>
          <w:szCs w:val="21"/>
          <w:lang w:bidi="ar"/>
        </w:rPr>
        <w:t>克服”政治约束，还包括怎样进行制度 设计以获得更好的经济目标。</w:t>
      </w:r>
    </w:p>
    <w:p w14:paraId="25FB05BB">
      <w:pPr>
        <w:pStyle w:val="15"/>
        <w:keepNext/>
        <w:keepLines/>
        <w:widowControl w:val="0"/>
        <w:spacing w:before="0" w:beforeAutospacing="0" w:after="0" w:afterAutospacing="0" w:line="400" w:lineRule="exact"/>
        <w:ind w:firstLine="420" w:firstLineChars="200"/>
        <w:jc w:val="both"/>
        <w:rPr>
          <w:rFonts w:cs="Times New Roman"/>
          <w:b/>
          <w:bCs/>
          <w:color w:val="000000"/>
          <w:sz w:val="21"/>
          <w:szCs w:val="21"/>
          <w:lang w:bidi="ar"/>
        </w:rPr>
      </w:pPr>
      <w:r>
        <w:rPr>
          <w:rFonts w:cs="Times New Roman"/>
          <w:b/>
          <w:bCs/>
          <w:color w:val="000000"/>
          <w:sz w:val="21"/>
          <w:szCs w:val="21"/>
          <w:lang w:bidi="ar"/>
        </w:rPr>
        <w:t>（二）新政治经济学的其他定义</w:t>
      </w:r>
    </w:p>
    <w:p w14:paraId="3AD0F554">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西方学者对新政治经济学的研究由来已久，但是西方学者对新政治经济学的主要内容 的界定也不尽一致。以下是几种代表性的界定：</w:t>
      </w:r>
    </w:p>
    <w:p w14:paraId="30A3B300">
      <w:pPr>
        <w:pStyle w:val="15"/>
        <w:widowControl w:val="0"/>
        <w:numPr>
          <w:ilvl w:val="0"/>
          <w:numId w:val="4"/>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布坎南的界定。布坎南给新政治经济学下过两个定义。有时候他把以他为代表的公共经济学的一些文献也强调利益冲突的重要性。例如，阿提金森和斯蒂格里茨(1980, p. 298)写道，</w:t>
      </w:r>
      <w:r>
        <w:rPr>
          <w:rFonts w:hint="eastAsia" w:cs="Times New Roman"/>
          <w:color w:val="000000"/>
          <w:sz w:val="21"/>
          <w:szCs w:val="21"/>
          <w:lang w:bidi="ar"/>
        </w:rPr>
        <w:t>“</w:t>
      </w:r>
      <w:r>
        <w:rPr>
          <w:rFonts w:cs="Times New Roman"/>
          <w:color w:val="000000"/>
          <w:sz w:val="21"/>
          <w:szCs w:val="21"/>
          <w:lang w:bidi="ar"/>
        </w:rPr>
        <w:t>如 果每个人都有同样的偏好和天赋，那么许多公共经济学的问题将失去它的意义，而且这也是国家行为的真实性所在。 如果社会集团成员的利益可以表达为一个'代表性’的个人的利益，那么，国家的角色可以简化为执行一致同意的决 策的组织。</w:t>
      </w:r>
      <w:r>
        <w:rPr>
          <w:rFonts w:hint="eastAsia" w:cs="Times New Roman"/>
          <w:color w:val="000000"/>
          <w:sz w:val="21"/>
          <w:szCs w:val="21"/>
          <w:lang w:bidi="ar"/>
        </w:rPr>
        <w:t>“</w:t>
      </w:r>
      <w:r>
        <w:rPr>
          <w:rFonts w:cs="Times New Roman"/>
          <w:color w:val="000000"/>
          <w:sz w:val="21"/>
          <w:szCs w:val="21"/>
          <w:lang w:bidi="ar"/>
        </w:rPr>
        <w:t>公共选择理论称为新政治经济学或”政治学的经济学”或</w:t>
      </w:r>
      <w:r>
        <w:rPr>
          <w:rFonts w:hint="eastAsia" w:cs="Times New Roman"/>
          <w:color w:val="000000"/>
          <w:sz w:val="21"/>
          <w:szCs w:val="21"/>
          <w:lang w:bidi="ar"/>
        </w:rPr>
        <w:t>“</w:t>
      </w:r>
      <w:r>
        <w:rPr>
          <w:rFonts w:cs="Times New Roman"/>
          <w:color w:val="000000"/>
          <w:sz w:val="21"/>
          <w:szCs w:val="21"/>
          <w:lang w:bidi="ar"/>
        </w:rPr>
        <w:t>政治学的经济理论”；有时又 把新政治经济学界定为以下六个方面：（1）公共选择，宪法经济学就是从中产生；（2）产 权经济学；（3）法学与经济学或法律的经济分析；（4）规制的政治经济学；（5）新制度经 济学；（6）新经济史学。</w:t>
      </w:r>
      <w:r>
        <w:rPr>
          <w:rFonts w:cs="Times New Roman"/>
          <w:color w:val="000000"/>
          <w:sz w:val="21"/>
          <w:szCs w:val="21"/>
          <w:vertAlign w:val="superscript"/>
          <w:lang w:bidi="ar"/>
        </w:rPr>
        <w:footnoteReference w:id="60"/>
      </w:r>
    </w:p>
    <w:p w14:paraId="35CD96E4">
      <w:pPr>
        <w:pStyle w:val="15"/>
        <w:widowControl w:val="0"/>
        <w:numPr>
          <w:ilvl w:val="0"/>
          <w:numId w:val="4"/>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汉斯•范登•德尔的界定。汉斯•范登•德尔认为大多数经济学家和政治学家研究公 共部门时在方法论上都有缺陷。而当政治学、经济学融合为一个新的领域时，这种方法论 上的缺陷就得到减轻。这个新的领域最为恰如其分的两个名字就是政治决策的经济学理论 和新政治经济学。它最重要的主题是：团体中公共物品的供给和需求；不同权力集团交易 过程中的价值分配；政党争取选票的竞争和官僚机构行为对政府决策的影响。</w:t>
      </w:r>
    </w:p>
    <w:p w14:paraId="23D17061">
      <w:pPr>
        <w:pStyle w:val="15"/>
        <w:widowControl w:val="0"/>
        <w:numPr>
          <w:ilvl w:val="0"/>
          <w:numId w:val="4"/>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莱尔和明特的界定。迪帕克•莱尔和明特在他们合作的《贫困、平等和增长的政治 经济学》_书中，把新政治经济学或新的</w:t>
      </w:r>
      <w:r>
        <w:rPr>
          <w:rFonts w:hint="eastAsia" w:cs="Times New Roman"/>
          <w:color w:val="000000"/>
          <w:sz w:val="21"/>
          <w:szCs w:val="21"/>
          <w:lang w:bidi="ar"/>
        </w:rPr>
        <w:t>“</w:t>
      </w:r>
      <w:r>
        <w:rPr>
          <w:rFonts w:cs="Times New Roman"/>
          <w:color w:val="000000"/>
          <w:sz w:val="21"/>
          <w:szCs w:val="21"/>
          <w:lang w:bidi="ar"/>
        </w:rPr>
        <w:t>政治经济学”看做是政治经济学发展的一个新 阶段，认为新政治经济学的要旨是把经济学原理应用于以前被看做是政治科学所研究的领 域，它包括三方面内容：（1）社会选择，这是规范经济学的一部分；（2）公共选择，这是 实证经济学的一部分；（3）制度和组织经济学，包括产权理论、交易费用理论和委托一代 理理论。</w:t>
      </w:r>
    </w:p>
    <w:p w14:paraId="7A895D60">
      <w:pPr>
        <w:pStyle w:val="15"/>
        <w:widowControl w:val="0"/>
        <w:numPr>
          <w:ilvl w:val="0"/>
          <w:numId w:val="4"/>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甘布尔的界定。英国谢菲尔德（Sheffield）大学的安德鲁•甘布尔（Andrew Gamble）是新政治经济学的主要代表人物之一。他在《政治研究》（季刊）1995年9月第 3期上发表了题为”新政治经济学”的论文，对新政治经济学与政治经济学和主流经济学 的区别，对新政治经济学产生的原因，对新政治经济学的主要内容作了专门而系统的论 述。该文认为，新政治经济学的主要内容有四个方面，即国际政治经济学、国家理论、比 较政府一产业关系和公共选择。</w:t>
      </w:r>
    </w:p>
    <w:p w14:paraId="775BE135">
      <w:pPr>
        <w:pStyle w:val="15"/>
        <w:widowControl w:val="0"/>
        <w:numPr>
          <w:ilvl w:val="0"/>
          <w:numId w:val="4"/>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《新政治经济学》杂志编辑部的界定。《新政治经济学》杂志1996年创刊号上的开 篇之作是以这个杂志5位编辑署名的题为</w:t>
      </w:r>
      <w:r>
        <w:rPr>
          <w:rFonts w:hint="eastAsia" w:cs="Times New Roman"/>
          <w:color w:val="000000"/>
          <w:sz w:val="21"/>
          <w:szCs w:val="21"/>
          <w:lang w:bidi="ar"/>
        </w:rPr>
        <w:t>“</w:t>
      </w:r>
      <w:r>
        <w:rPr>
          <w:rFonts w:cs="Times New Roman"/>
          <w:color w:val="000000"/>
          <w:sz w:val="21"/>
          <w:szCs w:val="21"/>
          <w:lang w:bidi="ar"/>
        </w:rPr>
        <w:t>新政治经济学”的社论。该文主要阐述了新政 治经济学产生的必然性，讨论了新政治经济学研究的理论方法和主要内容。该文把新政治 经济学的内容界定为四个方面，即比较政治经济学、环境的政治经济学、发展的政治经济 学和国际政治经济学。</w:t>
      </w:r>
    </w:p>
    <w:p w14:paraId="56122112">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目前，虽然西方学者对新政治经济学的主要内容的界定不尽相同，但是多数人认为， 新政治经济学主要研究</w:t>
      </w:r>
      <w:r>
        <w:rPr>
          <w:rFonts w:hint="eastAsia" w:cs="Times New Roman"/>
          <w:color w:val="000000"/>
          <w:sz w:val="21"/>
          <w:szCs w:val="21"/>
          <w:lang w:bidi="ar"/>
        </w:rPr>
        <w:t>“</w:t>
      </w:r>
      <w:r>
        <w:rPr>
          <w:rFonts w:cs="Times New Roman"/>
          <w:color w:val="000000"/>
          <w:sz w:val="21"/>
          <w:szCs w:val="21"/>
          <w:lang w:bidi="ar"/>
        </w:rPr>
        <w:t>社会和个人”、</w:t>
      </w:r>
      <w:r>
        <w:rPr>
          <w:rFonts w:hint="eastAsia" w:cs="Times New Roman"/>
          <w:color w:val="000000"/>
          <w:sz w:val="21"/>
          <w:szCs w:val="21"/>
          <w:lang w:bidi="ar"/>
        </w:rPr>
        <w:t xml:space="preserve"> “</w:t>
      </w:r>
      <w:r>
        <w:rPr>
          <w:rFonts w:cs="Times New Roman"/>
          <w:color w:val="000000"/>
          <w:sz w:val="21"/>
          <w:szCs w:val="21"/>
          <w:lang w:bidi="ar"/>
        </w:rPr>
        <w:t>政治学和经济学”和</w:t>
      </w:r>
      <w:r>
        <w:rPr>
          <w:rFonts w:hint="eastAsia" w:cs="Times New Roman"/>
          <w:color w:val="000000"/>
          <w:sz w:val="21"/>
          <w:szCs w:val="21"/>
          <w:lang w:bidi="ar"/>
        </w:rPr>
        <w:t>“</w:t>
      </w:r>
      <w:r>
        <w:rPr>
          <w:rFonts w:cs="Times New Roman"/>
          <w:color w:val="000000"/>
          <w:sz w:val="21"/>
          <w:szCs w:val="21"/>
          <w:lang w:bidi="ar"/>
        </w:rPr>
        <w:t>国家与市场”这三方面的 关系。而在这种研究的发展趋势中，又无疑主要强调经济学研究中的政治因素，以及政治 因素对经济的影响。</w:t>
      </w:r>
    </w:p>
    <w:p w14:paraId="30169301">
      <w:pPr>
        <w:pStyle w:val="15"/>
        <w:keepNext/>
        <w:keepLines/>
        <w:widowControl w:val="0"/>
        <w:spacing w:before="0" w:beforeAutospacing="0" w:after="0" w:afterAutospacing="0" w:line="400" w:lineRule="exact"/>
        <w:ind w:firstLine="420" w:firstLineChars="200"/>
        <w:jc w:val="both"/>
        <w:rPr>
          <w:rFonts w:cs="Times New Roman"/>
          <w:b/>
          <w:bCs/>
          <w:color w:val="000000"/>
          <w:sz w:val="21"/>
          <w:szCs w:val="21"/>
          <w:lang w:bidi="ar"/>
        </w:rPr>
      </w:pPr>
      <w:r>
        <w:rPr>
          <w:rFonts w:cs="Times New Roman"/>
          <w:b/>
          <w:bCs/>
          <w:color w:val="000000"/>
          <w:sz w:val="21"/>
          <w:szCs w:val="21"/>
          <w:lang w:bidi="ar"/>
        </w:rPr>
        <w:t>（三）新政治经济学与其他相关学科的比较</w:t>
      </w:r>
    </w:p>
    <w:p w14:paraId="67FC3902">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给出了新政治经济学的初步定义之后，或许有人会问，那么，它与公共经济学及公共 选择理论有何区别呢？公共经济学一般说来是关注公共部门的经济学，也就是说，政府的 经济决策怎样影响经济行为。实证公共经济学关注税收和支出对个人和厂商行为的影响。 尽管实证公共经济学广泛的定义包括国家的政治理论，它关注的焦点还是在税收和支出政</w:t>
      </w:r>
      <w:r>
        <w:rPr>
          <w:rStyle w:val="26"/>
          <w:rFonts w:hint="default" w:cs="Times New Roman"/>
          <w:sz w:val="21"/>
          <w:szCs w:val="21"/>
          <w:lang w:bidi="ar"/>
        </w:rPr>
        <w:t>策的影响效果上。在公共经济学提岀税收和支出政策怎样被选择的程度上，它主要来自新 古典福利经济学的观点。也就是说，在政府的福利最大化目标既定的情况下，税收和支出 怎样被用来实现福利最大化的目标，而不是通过直接的命令来实现社会福利的最大化。这 也就是规范公共经济学的主题。规范公共经济学的一个领域就是形成政府决策的一个简单 的标准，但这并不是用来选择最大化的目标，而是与获得最优化的选择标准和方法相联系 的。</w:t>
      </w:r>
      <w:r>
        <w:rPr>
          <w:rFonts w:cs="Times New Roman"/>
          <w:color w:val="000000"/>
          <w:sz w:val="21"/>
          <w:szCs w:val="21"/>
          <w:lang w:bidi="ar"/>
        </w:rPr>
        <w:t>目标怎样选择的问题，也就是说，怎样作出集体选择的问题，是公共选择理论的主 题。这就意味着，公共选择理论主要关注决策机制本身的研究，它不仅考虑作出不同集体 选择不同方法的实证和规范意义，而且考虑在可能的选择机制下，一个社会怎样进行选择 的问题。公共选择理论不同于政治科学，因为它强调使用经济分析方法的工具研究集体选 择。正像缪勒(Mueller, 1989, p.l)精确界定的那样，</w:t>
      </w:r>
      <w:r>
        <w:rPr>
          <w:rFonts w:hint="eastAsia" w:cs="Times New Roman"/>
          <w:color w:val="000000"/>
          <w:sz w:val="21"/>
          <w:szCs w:val="21"/>
          <w:lang w:bidi="ar"/>
        </w:rPr>
        <w:t>“</w:t>
      </w:r>
      <w:r>
        <w:rPr>
          <w:rFonts w:cs="Times New Roman"/>
          <w:color w:val="000000"/>
          <w:sz w:val="21"/>
          <w:szCs w:val="21"/>
          <w:lang w:bidi="ar"/>
        </w:rPr>
        <w:t>公共选择理论可以被界定为非 市场决策的经济研究，或者说是政治科学的简单的经济学应用”。</w:t>
      </w:r>
    </w:p>
    <w:p w14:paraId="6BB6AAB6">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从以上的定义来看，公共经济学和公共选择理论是非常相关的。公共选择理论是新政 治经济学的一个组成部分。新政治经济学的主要兴趣在于政治对经济产出的影响上，而不 在于政治本身。尽管重点是使用经济分析的工具，但是，新政治经济学的兴趣不在于选择 机制本身。</w:t>
      </w:r>
    </w:p>
    <w:p w14:paraId="1985042F">
      <w:pPr>
        <w:pStyle w:val="15"/>
        <w:keepNext/>
        <w:keepLines/>
        <w:widowControl w:val="0"/>
        <w:spacing w:before="0" w:beforeAutospacing="0" w:after="0" w:afterAutospacing="0" w:line="400" w:lineRule="exact"/>
        <w:ind w:firstLine="420" w:firstLineChars="200"/>
        <w:jc w:val="both"/>
        <w:rPr>
          <w:rFonts w:cs="Times New Roman"/>
          <w:b/>
          <w:bCs/>
          <w:color w:val="000000"/>
          <w:sz w:val="21"/>
          <w:szCs w:val="21"/>
          <w:lang w:bidi="ar"/>
        </w:rPr>
      </w:pPr>
      <w:r>
        <w:rPr>
          <w:rFonts w:cs="Times New Roman"/>
          <w:b/>
          <w:bCs/>
          <w:color w:val="000000"/>
          <w:sz w:val="21"/>
          <w:szCs w:val="21"/>
          <w:lang w:bidi="ar"/>
        </w:rPr>
        <w:t>（四）新政治经济学的理论来源</w:t>
      </w:r>
    </w:p>
    <w:p w14:paraId="76B8E7D1">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艾尔特和克莱斯特在1983年出版了一本叫《政治经济学》的书，从那以后，新政治 经济学的研究迅速膨胀起来，现在它已经扩展到了几个传统的领域。托森•佩森与嘉多•塔 布利尼(Torsten Persson and Guido Tabellini, 2000, p.2)认为，新政治经济学的研究可 以追寻到经济学和政治学的三个领域。</w:t>
      </w:r>
    </w:p>
    <w:p w14:paraId="794601A1">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新政治经济学的来源的第_个领域是宏观经济政策理论。宏观经济政策理论可以追溯 到20世纪70年代卢卡斯的开创性工作。通过与系统的政策规则相对照，卢卡斯研究了经 济政策的结果。通过理性预期假设，只有当政策正式成为规则的时候，我们才能对私人的 预期给出精确的答复。然而并不是所有的政策规则都是同样可信的，只有那些政策的制定 者没有极力想抛弃的政策才是可信的，或者说是具有</w:t>
      </w:r>
      <w:r>
        <w:rPr>
          <w:rFonts w:hint="eastAsia" w:cs="Times New Roman"/>
          <w:color w:val="000000"/>
          <w:sz w:val="21"/>
          <w:szCs w:val="21"/>
          <w:lang w:bidi="ar"/>
        </w:rPr>
        <w:t>“</w:t>
      </w:r>
      <w:r>
        <w:rPr>
          <w:rFonts w:cs="Times New Roman"/>
          <w:color w:val="000000"/>
          <w:sz w:val="21"/>
          <w:szCs w:val="21"/>
          <w:lang w:bidi="ar"/>
        </w:rPr>
        <w:t>时间连续性”的。这种思想给出了 理性预期理论的博弈论基础。理性的个人进行策略性的推理，并且把它们的预期建立在对 政策制定者的激励之上。完整的理论就必须包括什么决定那些激励的特殊假设，而这仅仅 是宏观经济政策研究方法的一小步。自从20世纪80年代宏观经济政策理论迈出了这一小 步，大量的宏观经济政策的文献就出现了，并试图为政策制定者激励的假设打下坚实的基 础。这些文献也给跨期政策选择和经济动态学以特别的关注。同时，这些研究也以一些相 当表面的有关政治制度和政治冲突作为假设，并远离了经验和应用分析。对于这些传统的 贡献，托森•佩森与嘉多•塔布利尼(1990)作了很好的总结。</w:t>
      </w:r>
    </w:p>
    <w:p w14:paraId="41AEF2DA">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新政治经济学的来源的第二个领域是公共选择理论。公共选择理论可以追溯到布坎南 和塔洛克(Buchana and Tullock, 1962)和奥尔森(Olson, 1965)的经典贡献。这个流派 主要关注公共经济学、贸易政策和管制政策。政府和选民之间的代理问题一直是处于公共 选择理论研究的中心地位，而且公共选择理论强调的许多思想也仍然与经济政策制定的研究相关。这些对利益集团来说仍然是相当重要的，尤其是组织起来的利益集团和院外活动 以及无所不在的寻租活动。另外公共选择理论认为政治学的代理问题起源于公众对一些特别政策计划并不充分了解，这是公共选择理论对经济学的重要贡献。公共选择理论也强调 制度和制度约束的重要性。但是早期的研究者不大愿意使用正式的博弈论工具和个人理性 的概念与假设，因而早期的理论研究缺乏理论的和微观经济的基础。这个领域的早期文献 也已经由弗雷(1983)和缪勒(1989)作了很好的总结。</w:t>
      </w:r>
    </w:p>
    <w:p w14:paraId="7EB8CEFA">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新政治经济学来源的第三个领域是政治科学的正式分析。这一传统可以追溯到赖克 (Riker, 1962),也就是现在称为理性选择的理论。空间投票理论和社会选择理论的出现, 阿罗不可能定理的发表，使得仅仅建立在个人偏好基础之上集体选择的一般理论的研究者 的幻想破灭了。20世纪80年代，政治科学的研究重点开始转向基于特殊政治制度的集体 选择研究。这种方法利用不合作博弈理论的工具，将制度细节进行模型化。具有理性选择 传统的研究者把主要的精力放在了政治制度这样的问题上，而较少关注一些特别的经济政 策问题。奥德胥克(Ordeshook, 1986)对早期的文献进行了总结，后来缪勒(1997)又 对这一问题进行了更新。</w:t>
      </w:r>
    </w:p>
    <w:p w14:paraId="1B815873">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十多年前，这三个领域是平行发展的，三者之间彼此没有什么联系。随着时间的推 移，三者出现了融合的趋势。在新政治经济学里，三者基本上进行了融合。新政治经济学 采用了宏观经济政策理论的均衡方法,并利用了理性选择的工具分析公共选择的一些经典 问题和假设。</w:t>
      </w:r>
    </w:p>
    <w:p w14:paraId="475927DD">
      <w:pPr>
        <w:pStyle w:val="15"/>
        <w:keepNext/>
        <w:keepLines/>
        <w:widowControl w:val="0"/>
        <w:spacing w:before="0" w:beforeAutospacing="0" w:after="0" w:afterAutospacing="0" w:line="400" w:lineRule="exact"/>
        <w:ind w:firstLine="420" w:firstLineChars="200"/>
        <w:jc w:val="both"/>
        <w:rPr>
          <w:rFonts w:cs="Times New Roman"/>
          <w:b/>
          <w:bCs/>
          <w:color w:val="000000"/>
          <w:sz w:val="21"/>
          <w:szCs w:val="21"/>
          <w:lang w:bidi="ar"/>
        </w:rPr>
      </w:pPr>
      <w:r>
        <w:rPr>
          <w:rFonts w:cs="Times New Roman"/>
          <w:b/>
          <w:bCs/>
          <w:color w:val="000000"/>
          <w:sz w:val="21"/>
          <w:szCs w:val="21"/>
          <w:lang w:bidi="ar"/>
        </w:rPr>
        <w:t>(五)新政治经济学的基本特征</w:t>
      </w:r>
    </w:p>
    <w:p w14:paraId="0009C676">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西方经济学者对新政治经济学的研究正方兴未艾，对新政治经济学这一学科也尚未完 全定论，因而要对它的所有特点作一概括是困难的。在此，笔者只试图作一些提纲挈领式 的表述。</w:t>
      </w:r>
    </w:p>
    <w:p w14:paraId="30BDAF5F">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新政治经济学的第一个基本特征是政治学与经济学的融合。新政治经济学既不同于经 济学，也不同于政治学，而是这两门学科的有机融合。甘布尔认为，新政治经济学的特色 是把经济结构的历史与制度分析和经济主体的理性选择分析结合在一起,从而超越现有的 多学科之间的方法论分歧和僵化的思维定式。《新政治经济学》杂志在1996年3月的创刊 号上有一个发刊词，说明了创办这本杂志的宗旨和目的，也反映了新政治经济学的特点。 发刊词写道：</w:t>
      </w:r>
      <w:r>
        <w:rPr>
          <w:rFonts w:hint="eastAsia" w:cs="Times New Roman"/>
          <w:color w:val="000000"/>
          <w:sz w:val="21"/>
          <w:szCs w:val="21"/>
          <w:lang w:bidi="ar"/>
        </w:rPr>
        <w:t>“</w:t>
      </w:r>
      <w:r>
        <w:rPr>
          <w:rFonts w:cs="Times New Roman"/>
          <w:color w:val="000000"/>
          <w:sz w:val="21"/>
          <w:szCs w:val="21"/>
          <w:lang w:bidi="ar"/>
        </w:rPr>
        <w:t>新政治经济学的目的是创立一个把19世纪古典政治经济学所特有的丰富的 想像力和20世纪社会科学的分析技术的发展结合起来的工作论坛。它寻求以概念创新为 基础，例如结构理论、制度经济学和新公共选择理论，它们试图创立一种综合分析，借此 把按照理性选择来分析经济当事人的过度简化的理论和从制度和历史方面来分析结构的因 果推断的理论结合起来。”</w:t>
      </w:r>
    </w:p>
    <w:p w14:paraId="7D50D1EF">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多年从事新政治经济学研究的凯波拉瑟和莱温在《政治经济学理论》一书中认为，新 政治经济学与传统的政治经济学的主要区别是，前者承认以下两个核心假设：(1)政治和 经济过程与制度是联系在一起的，应该作为一个复合体来研究，它们是一个内在联系的整 体而不是彼此分离的研究领域；(2)正确地理解政治需要对经济结构和经济过程的解释给 予特别的重视。新政治经济学力图把现代经济学的分析技术和方法应用于政治学的论题。</w:t>
      </w:r>
    </w:p>
    <w:p w14:paraId="7137ED2F">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Style w:val="26"/>
          <w:rFonts w:hint="default" w:cs="Times New Roman"/>
          <w:sz w:val="21"/>
          <w:szCs w:val="21"/>
          <w:lang w:bidi="ar"/>
        </w:rPr>
        <w:t>一些西方学者认为，这主要是因为现代经济学的分析技术具有精确性和严密性，而现有的 政治学不可能达到这样的精确性和严密性；甚至近些年有西方学者认为，经济学不仅可以 为政治学而且可以为各门社会科学提供基本的分析工具。于是，在西方社会科学文献中有 了 “经济学帝国主义”的说法。因此，经济学的方法无疑是新政治经济学的核心。可是, 新政治经济学又不同于主流经济学，主流经济学的核心理论是理性选择理论，新政治经济 学要通过从制度和历史的角度来批判主流经济学的假设和概念，重构大多数经济学模型。 “新政治经济学的最大任务是找到把制度主义解释和理性选择解释重新结合起来的各种方 法。”</w:t>
      </w:r>
      <w:r>
        <w:rPr>
          <w:rFonts w:cs="Times New Roman"/>
          <w:color w:val="000000"/>
          <w:sz w:val="21"/>
          <w:szCs w:val="21"/>
          <w:vertAlign w:val="superscript"/>
          <w:lang w:bidi="ar"/>
        </w:rPr>
        <w:footnoteReference w:id="61"/>
      </w:r>
    </w:p>
    <w:p w14:paraId="2D721E6B">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新政治经济学的第二个基本特征是以异质性假设为基本前提。把政治学、公共选择理 论和政治经济学联系在一起的是利益异质性。</w:t>
      </w:r>
      <w:r>
        <w:rPr>
          <w:rFonts w:cs="Times New Roman"/>
          <w:color w:val="000000"/>
          <w:sz w:val="21"/>
          <w:szCs w:val="21"/>
          <w:vertAlign w:val="superscript"/>
          <w:lang w:bidi="ar"/>
        </w:rPr>
        <w:footnoteReference w:id="62"/>
      </w:r>
      <w:r>
        <w:rPr>
          <w:rFonts w:cs="Times New Roman"/>
          <w:sz w:val="21"/>
          <w:szCs w:val="21"/>
        </w:rPr>
        <w:t>如果没有产出偏好的异质性，那么，就不需要一个把不同的个人偏好加总成集体选择的机制。同样，如果没有这样或那样的利益冲 突，经济政策的选择就会变成社会计划者最大化有代表性的个人效用。因此，德拉金 (2000, p.10)指出，异质性是政治经济学的基础。</w:t>
      </w:r>
    </w:p>
    <w:p w14:paraId="0C3008C2">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或许有人会问，异质性也是许多经济学领域的关键。市场也是由异质性，即偏好的异 质性、天赋的异质性、期望的异质性所驱动的。为什么不认为异质性同时是政治经济学和 市场经济本身的基础呢？首先，利益的异质性或冲突对形成政治约束来说是必要的。其 次，政治对经济的影响也取决于冲突解决的方式。第一个观点非常清楚，那就是利益的异 质性是必要条件，它可以解释为没有异质性，研究也就没有必要。对市场来说异质性也是 必要的，但是，当考虑到通过市场和通过政治程序时，利益的异质性起着不同的作用。例 如，通过市场来解决由于能力的异质性而导致的收入分配，与通过政治游说进行转移支付 是不同的，不同的程度取决于税收转移支付决定政治机制。</w:t>
      </w:r>
      <w:r>
        <w:rPr>
          <w:rFonts w:cs="Times New Roman"/>
          <w:color w:val="000000"/>
          <w:sz w:val="21"/>
          <w:szCs w:val="21"/>
          <w:vertAlign w:val="superscript"/>
          <w:lang w:bidi="ar"/>
        </w:rPr>
        <w:footnoteReference w:id="63"/>
      </w:r>
      <w:r>
        <w:rPr>
          <w:rFonts w:cs="Times New Roman"/>
          <w:sz w:val="21"/>
          <w:szCs w:val="21"/>
        </w:rPr>
        <w:t>而且，在个人利益的异质性 不能或不能简单地使用市场机制来解决时，政治选择的机制将会被使用。</w:t>
      </w:r>
    </w:p>
    <w:p w14:paraId="355224B2">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那么，政治经济学的重要异质性的类型有哪些呢？反映了行为者的异质性的第一种冲突进入了政治领域，它也暗含了不同的政策偏好。这里面有许多原因，人们或许仅仅 是对商品有不同的偏好，或广泛来说，有不同的相对要素禀赋。人们或许发现他们处于不 同的不能简单地根据偏好或禀赋进行归类的位置，因而导致偏好不同的政策。简而言之， 个人多维的异质性导致他们偏好不同的事前政策。德拉金(2000, p. 10)把这种异质性称为</w:t>
      </w:r>
      <w:r>
        <w:rPr>
          <w:rFonts w:hint="eastAsia" w:cs="Times New Roman"/>
          <w:color w:val="000000"/>
          <w:sz w:val="21"/>
          <w:szCs w:val="21"/>
          <w:lang w:bidi="ar"/>
        </w:rPr>
        <w:t>“</w:t>
      </w:r>
      <w:r>
        <w:rPr>
          <w:rFonts w:cs="Times New Roman"/>
          <w:color w:val="000000"/>
          <w:sz w:val="21"/>
          <w:szCs w:val="21"/>
          <w:lang w:bidi="ar"/>
        </w:rPr>
        <w:t>事前异质性”。</w:t>
      </w:r>
    </w:p>
    <w:p w14:paraId="25F9635E">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同时还有另外一种异质性。即使政治经济行为者是有同样的</w:t>
      </w:r>
      <w:r>
        <w:rPr>
          <w:rFonts w:hint="eastAsia" w:cs="Times New Roman"/>
          <w:color w:val="000000"/>
          <w:sz w:val="21"/>
          <w:szCs w:val="21"/>
          <w:lang w:bidi="ar"/>
        </w:rPr>
        <w:t>“</w:t>
      </w:r>
      <w:r>
        <w:rPr>
          <w:rFonts w:cs="Times New Roman"/>
          <w:color w:val="000000"/>
          <w:sz w:val="21"/>
          <w:szCs w:val="21"/>
          <w:lang w:bidi="ar"/>
        </w:rPr>
        <w:t>初始的”禀赋、偏好等 等，同样还是有利益的冲突。行为者或许会对一件商品进行同样的评价，但仍然会有冲 突，如果产品的分配(产品是私人的时候)，或者成本的分配(产品是公共品的时候)是 由集体决策的。经济政策通常都有分配的含义，这样，当一个政策有(或能够有)分配的结果的时候，自利的</w:t>
      </w:r>
      <w:r>
        <w:rPr>
          <w:rFonts w:hint="eastAsia" w:cs="Times New Roman"/>
          <w:color w:val="000000"/>
          <w:sz w:val="21"/>
          <w:szCs w:val="21"/>
          <w:lang w:bidi="ar"/>
        </w:rPr>
        <w:t>“</w:t>
      </w:r>
      <w:r>
        <w:rPr>
          <w:rFonts w:cs="Times New Roman"/>
          <w:color w:val="000000"/>
          <w:sz w:val="21"/>
          <w:szCs w:val="21"/>
          <w:lang w:bidi="ar"/>
        </w:rPr>
        <w:t>代表性的”机构将会发生冲突。这些包括执政者提供给执政者的租 金，而不管这些是养老保险金或是简单的执政时的</w:t>
      </w:r>
      <w:r>
        <w:rPr>
          <w:rFonts w:hint="eastAsia" w:cs="Times New Roman"/>
          <w:color w:val="000000"/>
          <w:sz w:val="21"/>
          <w:szCs w:val="21"/>
          <w:lang w:bidi="ar"/>
        </w:rPr>
        <w:t>“</w:t>
      </w:r>
      <w:r>
        <w:rPr>
          <w:rFonts w:cs="Times New Roman"/>
          <w:color w:val="000000"/>
          <w:sz w:val="21"/>
          <w:szCs w:val="21"/>
          <w:lang w:bidi="ar"/>
        </w:rPr>
        <w:t>自我寻租”。既然</w:t>
      </w:r>
      <w:r>
        <w:rPr>
          <w:rFonts w:hint="eastAsia" w:cs="Times New Roman"/>
          <w:color w:val="000000"/>
          <w:sz w:val="21"/>
          <w:szCs w:val="21"/>
          <w:lang w:bidi="ar"/>
        </w:rPr>
        <w:t>“</w:t>
      </w:r>
      <w:r>
        <w:rPr>
          <w:rFonts w:cs="Times New Roman"/>
          <w:color w:val="000000"/>
          <w:sz w:val="21"/>
          <w:szCs w:val="21"/>
          <w:lang w:bidi="ar"/>
        </w:rPr>
        <w:t>分配”可以解释 为由事前要素禀赋异质性而导致的利益冲突与利益差别，因而德拉金(2000, p.ll)把这 种异质性称之为</w:t>
      </w:r>
      <w:r>
        <w:rPr>
          <w:rFonts w:hint="eastAsia" w:cs="Times New Roman"/>
          <w:color w:val="000000"/>
          <w:sz w:val="21"/>
          <w:szCs w:val="21"/>
          <w:lang w:bidi="ar"/>
        </w:rPr>
        <w:t>“</w:t>
      </w:r>
      <w:r>
        <w:rPr>
          <w:rFonts w:cs="Times New Roman"/>
          <w:color w:val="000000"/>
          <w:sz w:val="21"/>
          <w:szCs w:val="21"/>
          <w:lang w:bidi="ar"/>
        </w:rPr>
        <w:t>事后异质性”。这两种异质性并不是绝对地相互排斥的。</w:t>
      </w:r>
    </w:p>
    <w:p w14:paraId="7873E5C7">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现在，我们可以重新回到</w:t>
      </w:r>
      <w:r>
        <w:rPr>
          <w:rFonts w:hint="eastAsia" w:cs="Times New Roman"/>
          <w:color w:val="000000"/>
          <w:sz w:val="21"/>
          <w:szCs w:val="21"/>
          <w:lang w:bidi="ar"/>
        </w:rPr>
        <w:t>“</w:t>
      </w:r>
      <w:r>
        <w:rPr>
          <w:rFonts w:cs="Times New Roman"/>
          <w:color w:val="000000"/>
          <w:sz w:val="21"/>
          <w:szCs w:val="21"/>
          <w:lang w:bidi="ar"/>
        </w:rPr>
        <w:t>异质性是政治经济学的基础”这个问题上来。有关这一问 题，德拉金(2000, p.ll)指出了两点：第一，事后异质性不仅仅在收入分配的问题上很 重要，而且在理解一些代理问题的政治方面，事后异质性也显得相当重要。而这些问题初 看起来，异质性并不起着重要的作用。第二，前面我们提到通过市场和政治来解决异质性 的结果是不一样的。那么，对具有异质性的个人的社会福利最大化的研究将会是什么样的 呢？这就是多主体福利经济学的主题。在这里，行为者的事前和事后异质性对最优化政策 选择的分析来说是至关重要的。它与政治经济学的区别又是怎样的呢？尽管异质性在两个 领域里都很重要，但是仍有很大的区别。福利经济学把多代理的目标函数看成是外生的， 而政治经济学把需要最优化的目标看成是内生的。所以，德拉金认为利益的异质性是政治 经济学的关键。与此同时，托森•佩森和嘉多•塔布利尼(2000, p.6)在提出新政治经济 学的三个假设时，也把异质性的假设放在了第一位。</w:t>
      </w:r>
    </w:p>
    <w:p w14:paraId="29E256BC">
      <w:pPr>
        <w:pStyle w:val="15"/>
        <w:keepNext/>
        <w:keepLines/>
        <w:widowControl w:val="0"/>
        <w:spacing w:before="0" w:beforeAutospacing="0" w:after="0" w:afterAutospacing="0" w:line="400" w:lineRule="exact"/>
        <w:ind w:firstLine="420" w:firstLineChars="200"/>
        <w:jc w:val="both"/>
        <w:rPr>
          <w:rFonts w:cs="Times New Roman"/>
          <w:b/>
          <w:bCs/>
          <w:color w:val="000000"/>
          <w:sz w:val="21"/>
          <w:szCs w:val="21"/>
          <w:lang w:bidi="ar"/>
        </w:rPr>
      </w:pPr>
      <w:r>
        <w:rPr>
          <w:rFonts w:cs="Times New Roman"/>
          <w:b/>
          <w:bCs/>
          <w:color w:val="000000"/>
          <w:sz w:val="21"/>
          <w:szCs w:val="21"/>
          <w:lang w:bidi="ar"/>
        </w:rPr>
        <w:t>(六)新政治经济学的局限性</w:t>
      </w:r>
    </w:p>
    <w:p w14:paraId="31C42E12">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在圣保罗(Gilles San-paul, 2000)看来，新政治经济学的研究主要存在下列三个方 面的问题：</w:t>
      </w:r>
    </w:p>
    <w:p w14:paraId="735B94BF">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新政治经济学的第一个局限性是理性预期的有限性。新政治经济学都把合理预期假设 推进到经济学以外的领域。尽管它沿用经济学的理性预期假设，但在新政治经济学里面, 这个假设更容易引起人们的争论。在宏观经济学模型里，因为合理预期的假设无效，代理 者仅仅有必要了解各种利益变量在经济偶尔出现均衡时的决定因素。然而，当我们在新政治经济学里使用理性预期时，情况就会变得不一样。为了能够从 政治变革中计算它们的收益，代理者必须完全了解政治变革会怎样地影响经济行为，特别 是他们必须考虑一般均衡的影响。如果这样的政策改变像其他的冲击那样是随机的和有规 则的，则我们需要了解从利益变化中所得到的损益。在某些情况下，这是合理的，例如， 当我们考虑利息率和税收的减少或增加的公共政策要改变的话。</w:t>
      </w:r>
    </w:p>
    <w:p w14:paraId="69F2CDF4">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但更经常出现的情况并不是这样。政策的改变并不是经常发生，并且政策的改变是一 系列意识形态演进的结果。这些意识形态本身反映了有关经济是如何发生作用的知识的演 进。今天的公共政策提案，30年前根本不会提上议程，反之亦然。因而，许多改革是独 特的，并且在许多情况下，它们是对本身属于独特的危机作出的反应。在这种情况下，为 了对改革的效果作出正确的评估，我们需要一个完整的、结构性的一般均衡经济模型。然 而，这些对实际的代理者和我们模型的简单经济来说是可行的。在实践上，这些正在大大 地加深理性理论。实际上许多政治冲突并不仅仅是利益冲突，而且是关于经济如何作用的 冲突。</w:t>
      </w:r>
    </w:p>
    <w:p w14:paraId="7D4AE53A">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例如，当我们在处理诸如转型政治经济学的问题时，这个问题就相当突出了。在一个 几乎半个世纪里没有经历市场制度的国家，选民们怎么能够算出引入这样的制度对他们的</w:t>
      </w:r>
      <w:r>
        <w:rPr>
          <w:rStyle w:val="26"/>
          <w:rFonts w:hint="default" w:cs="Times New Roman"/>
          <w:sz w:val="21"/>
          <w:szCs w:val="21"/>
          <w:lang w:bidi="ar"/>
        </w:rPr>
        <w:t>福利会产生什么样的影响？有的人可能会争辩道，从社会主义转向资本主义的动机是与西 方生活标准的简单对比。这给有限理性的个人如何评估他们从改革中获得的收益，提供了 一个可能的、简单的思路。但却忽略了与转型相伴随的问题，因为人们不可能预测到改革 过程中所有的问题，人们的理性仍然是十分有限的。</w:t>
      </w:r>
    </w:p>
    <w:p w14:paraId="5AA674D4">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新政治经济学的第二个局限性是计量的困难性。我们已经非常了解传统经济学的经验 问题，在这里我们可以把产出和政策联系在一起。在新政治经济学里，要通过诸如选民偏 好的分配和政治制度的结构性因素来解释政策。但在有些变量里几乎没有时间变动。例 如，美国的宪法修订过，不过从来没有更换过；法国的宪法自从1958年以来就一直没有 改变过；西班牙的宪法自从1978年以来也没有改变过。又如，政治稳定性，政府杰出人 士的影响，或选举制度等，这些问题都不容易量化。在新政治经济学的研究中经常包含许 多主观判断的解释性变量。</w:t>
      </w:r>
    </w:p>
    <w:p w14:paraId="13FE0E86">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托森•佩森与嘉多•塔布利尼(2000, p.481)也认为，理论与经验之间松散的联系是 新政治经济学最重要的缺点。这是因为，首先，要发展政治制度的直接的数量测度方法是 困难的，而且政治事件比较稀少，单一的政治主体的正式的时间序列分析很少是可行的。 另一方面，某些时期平均产出的纯粹部门交叉研究会碰到数据兼容问题，而且需要大量的 时间序列和部门交叉的联合数据分析。尽管经济学家和政治学家已经做了大量的工作，他 们还是没有利用好现代的动态异质性面板数据预测技术的优势。</w:t>
      </w:r>
    </w:p>
    <w:p w14:paraId="0E25D812">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取得有限成功的研究是现代政党的政治经济周期理论。这些文献预测左翼政府将刺激 经济，而右翼政府将使经济增长放慢。美国和其他国家GDP增长率的表现与选举的一致 性证明了这一点：保守政府赢得选举后，通常伴随着经济下跌，同时左翼政府赢得选举 后，通常典型的是经济的较快扩张。然而，这里也有一些问题。首先，政党理论有大量的 预测，但是其中一些并没有完全得到数据的支持。像德拉金指出的那样，这些模型也同时 预测在左翼政府赢得选举后会伴随通货膨胀，但却没有证据支持。第二，不同的政治经济 周期理论也有不同的区别，但在宏观数据中却有太多的噪音让我们利用它们的不同来区别 不同模型。这些困难通过德拉金对经验证据的讨论得到了很好的证明。</w:t>
      </w:r>
    </w:p>
    <w:p w14:paraId="633CEEEF">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新政治经济学的第三个缺点是，它过于取决于在简单抽象模型里的特殊例子，这导致 了两个问题。第通过简单地改变假设，许多结论就会被推翻，并且即使假定对模型进 行抽象，也并不是十分明显就可以断定哪一个选择更合理。这些文献有着和理论性的政治 输入一输出模型文献同样命运的危险，政治输入一输出模型文献由理査德•斯盖芒斯 (1988, p.676)总结道，</w:t>
      </w:r>
      <w:r>
        <w:rPr>
          <w:rFonts w:hint="eastAsia" w:cs="Times New Roman"/>
          <w:color w:val="000000"/>
          <w:sz w:val="21"/>
          <w:szCs w:val="21"/>
          <w:lang w:bidi="ar"/>
        </w:rPr>
        <w:t>“</w:t>
      </w:r>
      <w:r>
        <w:rPr>
          <w:rFonts w:cs="Times New Roman"/>
          <w:color w:val="000000"/>
          <w:sz w:val="21"/>
          <w:szCs w:val="21"/>
          <w:lang w:bidi="ar"/>
        </w:rPr>
        <w:t>任何事情都是可能的”——实际上，政治经济学从理论性的政 治输入一输出模型文献中引进了许多工具和比喻，例如，消耗战、空间竞争、委托代理模 型、动态博弈等等。第二，模型结果对它想要反映的真实世界的映射也不明显。</w:t>
      </w:r>
    </w:p>
    <w:p w14:paraId="4DFE50E1">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一个著名的例子是拉奎•费南德兹和丹尼•罗德里克(1991)提出的。他们认为，从改 革获得收益和损失的不确定性导致了改革的停滞。这个理论的要点如下：假如有一个改革 导致+ 1—0%的人受益，-1—~ 0%的人受损。这个改革增加总的社会福利，并且如 果人们清楚地知道他们是否受损或受益，大多数(60%)的人将会支持改革。现在假设有 24的受益者，例如40%的选民，知道他们将获取收益+ 1,而其他选民在剰下的20%受益者或可怜的受损者之间任意分配。这样，他们从改革中受益的可能性是20%/ (20% + 40%) =1/3。那些并不确信他们将胜利的人的期望收益是( + l)xi/3+(-l)x2/3 = -1Z3&lt;0</w:t>
      </w:r>
      <w:r>
        <w:rPr>
          <w:rFonts w:cs="Times New Roman"/>
          <w:color w:val="000000"/>
          <w:sz w:val="21"/>
          <w:szCs w:val="21"/>
          <w:vertAlign w:val="subscript"/>
          <w:lang w:bidi="ar"/>
        </w:rPr>
        <w:t>0</w:t>
      </w:r>
      <w:r>
        <w:rPr>
          <w:rFonts w:cs="Times New Roman"/>
          <w:color w:val="000000"/>
          <w:sz w:val="21"/>
          <w:szCs w:val="21"/>
          <w:lang w:bidi="ar"/>
        </w:rPr>
        <w:t>很明显，他们的期望收益是负的，所以他们反对改革。由于他们占了人口的 60%,所以改革受阻且经济保持现状。这是一个非常好的模型，并且或许与诸如贸易改革 的一些特殊的政策问题相关。</w:t>
      </w:r>
    </w:p>
    <w:p w14:paraId="7E255EB3">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但是非常清楚，关于不确定性创造偏见以支持现状，并没有普遍的结果。我们再回到 上述例子，假设现在有一半的受损者确信他们将损失1,同时剩下的选民仍是任意分配。 他们收益的可能值现在是60%/(60% +20%) = 3/4,因此他们的期望收益是(+ 1) X3/4 + (-l)xi/4 = l/2&gt;0。现在，不确定性使得改革的支持者由选民的60%增加到80% 。</w:t>
      </w:r>
    </w:p>
    <w:p w14:paraId="7A3E2F62">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如果改革从决定性的投票者手里再分配走收益的话，就意味着不确定性引起对改革的 抵触，但是如果改革有利于他或她时结果就会相反。我们再一次获得了一个结果可以被轻 易推翻的例子。</w:t>
      </w:r>
    </w:p>
    <w:p w14:paraId="0EE72F7D">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在当今世界，由于政治生活意味着对经济生活的利益产生影响，因而经济与政治的联 系越来越紧密。与这种趋势相适应，西方经济学和政治学的发展也日趋紧密。新政治经济 学的产生和发展就是这种新视野下的一种分析框架。从一定意义上来说，新政治经济学不 是标准意义上的经济学流派，而是一种交叉学科和研究取向。尽管新政治经济学还有许多 不完善的地方，由于它把经济和政治的分析纳入了统一的框架，而且也由于它对转型经济 分析的独到之处，新政治经济学在我国重建理论经济学的发展中也有着强大的生命 力。</w:t>
      </w:r>
    </w:p>
    <w:p w14:paraId="04DDE4B7">
      <w:pPr>
        <w:pStyle w:val="15"/>
        <w:keepNext/>
        <w:keepLines/>
        <w:widowControl w:val="0"/>
        <w:spacing w:before="0" w:beforeAutospacing="0" w:after="0" w:afterAutospacing="0" w:line="400" w:lineRule="exact"/>
        <w:ind w:firstLine="480" w:firstLineChars="200"/>
        <w:jc w:val="center"/>
        <w:rPr>
          <w:rFonts w:cs="Times New Roman"/>
          <w:sz w:val="21"/>
          <w:szCs w:val="21"/>
        </w:rPr>
      </w:pPr>
      <w:r>
        <w:rPr>
          <w:rFonts w:cs="Times New Roman"/>
          <w:b/>
          <w:bCs/>
          <w:color w:val="000000"/>
          <w:lang w:bidi="ar"/>
        </w:rPr>
        <w:t>二、西方新政治经济学与中国的政治经济学革新</w:t>
      </w:r>
    </w:p>
    <w:p w14:paraId="39594098">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目前，中国经济学的研究空前活跃，各种思潮相互碰撞，然而其发展却陷入了某种危 机之中。一方面，是由于中国经济学理论对现实经济现象的解释和预见存在严重对立；另 一方面，是由于中国经济学理论本身的</w:t>
      </w:r>
      <w:r>
        <w:rPr>
          <w:rFonts w:hint="eastAsia" w:cs="Times New Roman"/>
          <w:color w:val="000000"/>
          <w:sz w:val="21"/>
          <w:szCs w:val="21"/>
          <w:lang w:bidi="ar"/>
        </w:rPr>
        <w:t>“</w:t>
      </w:r>
      <w:r>
        <w:rPr>
          <w:rFonts w:cs="Times New Roman"/>
          <w:color w:val="000000"/>
          <w:sz w:val="21"/>
          <w:szCs w:val="21"/>
          <w:lang w:bidi="ar"/>
        </w:rPr>
        <w:t>范式危机”(程恩富,1999),也就是如何摆脱 “苏联经济学范式”和</w:t>
      </w:r>
      <w:r>
        <w:rPr>
          <w:rFonts w:hint="eastAsia" w:cs="Times New Roman"/>
          <w:color w:val="000000"/>
          <w:sz w:val="21"/>
          <w:szCs w:val="21"/>
          <w:lang w:bidi="ar"/>
        </w:rPr>
        <w:t>“</w:t>
      </w:r>
      <w:r>
        <w:rPr>
          <w:rFonts w:cs="Times New Roman"/>
          <w:color w:val="000000"/>
          <w:sz w:val="21"/>
          <w:szCs w:val="21"/>
          <w:lang w:bidi="ar"/>
        </w:rPr>
        <w:t>西方经济学范式”的困扰。摆脱危机和困扰的出路之一，在于借 鉴西方新政治经济学的合理内核，这对我国政治经济学的发展还是有着积极的借鉴意义 的。那么，我们应该怎样做呢？</w:t>
      </w:r>
    </w:p>
    <w:p w14:paraId="385CFA75">
      <w:pPr>
        <w:pStyle w:val="15"/>
        <w:widowControl w:val="0"/>
        <w:pBdr>
          <w:bottom w:val="single" w:color="auto" w:sz="4" w:space="0"/>
        </w:pBdr>
        <w:spacing w:before="0" w:beforeAutospacing="0" w:after="0" w:afterAutospacing="0" w:line="400" w:lineRule="exact"/>
        <w:ind w:firstLine="420" w:firstLineChars="200"/>
        <w:jc w:val="both"/>
        <w:rPr>
          <w:rFonts w:cs="Times New Roman"/>
          <w:b/>
          <w:bCs/>
          <w:sz w:val="21"/>
          <w:szCs w:val="21"/>
        </w:rPr>
      </w:pPr>
      <w:r>
        <w:rPr>
          <w:rFonts w:cs="Times New Roman"/>
          <w:b/>
          <w:bCs/>
          <w:color w:val="000000"/>
          <w:sz w:val="21"/>
          <w:szCs w:val="21"/>
          <w:lang w:bidi="ar"/>
        </w:rPr>
        <w:t>(一)与政治学一起进行双向交叉研究</w:t>
      </w:r>
    </w:p>
    <w:p w14:paraId="432F4E2F">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在经济领域里，有一个标准的参照系，即货币以及以货币为基础的价格体系，这样可 以简化纷繁复杂的经济现象，并把各不相同的种种经济现象纳入到共同的参照系中进行比 较，这些参照系可以衡量经济资源在不同领域里的稀缺程度，并通过价格体系，使经济资 源从相对富余处流到更为稀缺从而更有效率的地方去。但是，在政治领域里不存在货币， 同时也不存在像价格体系那样的共同的参照系来衡量政治资源的稀缺程度，并使得政治资 源趋于合理配置。在政治领域里，价值观和世界观的差异较大，用来衡量人们政治行为的 评价系统较为复杂。</w:t>
      </w:r>
    </w:p>
    <w:p w14:paraId="2FF78405">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经济与政治两个领域的不同特点和相互关联，客观上要求进行经济学与政治学的双向 交叉研究。而新政治经济学既不同于经济学，也不同于政治学，而是这两门学科的一种融 合。新政治经济学的特色是把经济结构的历史与制度分析和经济主体的理性选择分析结合 在一起，从而超越现有的多学科之间的方法论分歧和僵化的思维定式。这种跨学科的研究 确实具有单一学科研究所不具备的优势。可见，重建中的中国经济学也应该创立一种双向 交叉分析，借此把按照理性选择来分析经济当事人的过度简化的理论，和从制度和历史方 面来分析结构的因果推断的理论整合起来。</w:t>
      </w:r>
    </w:p>
    <w:p w14:paraId="41C36A61">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应当指出，经济学与政治学的双向融合研究具有积极的实践效应。在现实生活中，当 面对经济政策出现了不同的利益冲突，以致不同的集团偏好不同的政策时，就必须运用集 体选择机制来决定经济政策，也即把各种各样的偏好</w:t>
      </w:r>
      <w:r>
        <w:rPr>
          <w:rFonts w:hint="eastAsia" w:cs="Times New Roman"/>
          <w:color w:val="000000"/>
          <w:sz w:val="21"/>
          <w:szCs w:val="21"/>
          <w:lang w:bidi="ar"/>
        </w:rPr>
        <w:t>“</w:t>
      </w:r>
      <w:r>
        <w:rPr>
          <w:rFonts w:cs="Times New Roman"/>
          <w:color w:val="000000"/>
          <w:sz w:val="21"/>
          <w:szCs w:val="21"/>
          <w:lang w:bidi="ar"/>
        </w:rPr>
        <w:t>加总”成单一及集体偏好或决策。 而这并不是在技术的含义上对不同的偏好给予不同的权重，以获得一个社会福利函数，而 是在政治的含义上赋予决策以权威，以便成为普遍接受的政策。我国政府在作出各种经济 决策时，也需要平衡各种各样的经济利益冲突，因而引入政治学的分析工具，有利于我们 加强对经济决策进行分析，并实现决策的科学化。</w:t>
      </w:r>
    </w:p>
    <w:p w14:paraId="793659F1">
      <w:pPr>
        <w:pStyle w:val="15"/>
        <w:widowControl w:val="0"/>
        <w:pBdr>
          <w:bottom w:val="single" w:color="auto" w:sz="4" w:space="0"/>
        </w:pBdr>
        <w:spacing w:before="0" w:beforeAutospacing="0" w:after="0" w:afterAutospacing="0" w:line="400" w:lineRule="exact"/>
        <w:ind w:firstLine="420" w:firstLineChars="200"/>
        <w:jc w:val="both"/>
        <w:rPr>
          <w:rFonts w:cs="Times New Roman"/>
          <w:b/>
          <w:bCs/>
          <w:color w:val="000000"/>
          <w:sz w:val="21"/>
          <w:szCs w:val="21"/>
          <w:lang w:bidi="ar"/>
        </w:rPr>
      </w:pPr>
      <w:r>
        <w:rPr>
          <w:rFonts w:cs="Times New Roman"/>
          <w:b/>
          <w:bCs/>
          <w:color w:val="000000"/>
          <w:sz w:val="21"/>
          <w:szCs w:val="21"/>
          <w:lang w:bidi="ar"/>
        </w:rPr>
        <w:t>（二）引入利益的非一致性假设</w:t>
      </w:r>
    </w:p>
    <w:p w14:paraId="64AE3CD4">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把政治学、公共选择理论和政治经济学联系在一起的是利益异质性。如果没有产出偏 好的异质性，那么，就不需要一个把不同的个人偏好加总成集体选择的机制。同样，如果 没有这样或那样的利益冲突，经济政策的选择就会变成社会计划者最大化有代表性的个人 效用。因此，异质性是政治经济学的基础。我国计划经济时代的政治经济学强调在社会主义条件下人与人之间的利益是根本一致基础上的矛盾，而市场经济时代和私有经济的发展 则要求强调异质性这种假设。在我国现阶段的经济发展中，人与人之间既存在各种利益矛 盾，也存在各种各样的利益相互冲突的利益集团。引入利益的非一致性假设，可以增加政 治经济学对现实经济问题的解释力和穿透力。</w:t>
      </w:r>
    </w:p>
    <w:p w14:paraId="53616D42">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不过，西方公共选择和制度分析理论认为，在经济生活中，人们的理性自利促进了经 济繁荣，成功者从严酷的市场竞争中脱颖而出，成为企业家；在政治生活中，实际上也是 自利驱使政治积极分子积极从事政治活动，并从更为严酷的政治竞争中脱颖而出，成为政 治家。公平竞争的市场竞争和公平竞争的政治民主实际上有很大的类似之处。约瑟夫•熊 彼特就说过：</w:t>
      </w:r>
      <w:r>
        <w:rPr>
          <w:rFonts w:hint="eastAsia" w:cs="Times New Roman"/>
          <w:color w:val="000000"/>
          <w:sz w:val="21"/>
          <w:szCs w:val="21"/>
          <w:lang w:bidi="ar"/>
        </w:rPr>
        <w:t>“</w:t>
      </w:r>
      <w:r>
        <w:rPr>
          <w:rFonts w:cs="Times New Roman"/>
          <w:color w:val="000000"/>
          <w:sz w:val="21"/>
          <w:szCs w:val="21"/>
          <w:lang w:bidi="ar"/>
        </w:rPr>
        <w:t>议会活动的社会意义或社会职能，无疑是制定法律，也制定一部分行政措 施。但是为了了解民主政治如何服务于这种社会目的，我们必须从争夺权力和管制的斗争 出发，并且必须了解，社会职能仿佛是附带地被完成的一和生产对于牟利来说是附带 的事一样。”</w:t>
      </w:r>
      <w:r>
        <w:rPr>
          <w:rFonts w:cs="Times New Roman"/>
          <w:color w:val="000000"/>
          <w:sz w:val="21"/>
          <w:szCs w:val="21"/>
          <w:vertAlign w:val="superscript"/>
          <w:lang w:bidi="ar"/>
        </w:rPr>
        <w:footnoteReference w:id="64"/>
      </w:r>
      <w:r>
        <w:rPr>
          <w:rFonts w:cs="Times New Roman"/>
          <w:sz w:val="21"/>
          <w:szCs w:val="21"/>
        </w:rPr>
        <w:t>我国有的学者十分迷信西方上述</w:t>
      </w:r>
      <w:r>
        <w:rPr>
          <w:rFonts w:hint="eastAsia" w:cs="Times New Roman"/>
          <w:color w:val="000000"/>
          <w:sz w:val="21"/>
          <w:szCs w:val="21"/>
          <w:lang w:bidi="ar"/>
        </w:rPr>
        <w:t>“</w:t>
      </w:r>
      <w:r>
        <w:rPr>
          <w:rFonts w:cs="Times New Roman"/>
          <w:sz w:val="21"/>
          <w:szCs w:val="21"/>
        </w:rPr>
        <w:t>自私人”理论，而其实，这对于分析私 有制经济和政治是现实的，但对于分析社会主义国家的经济和政治，就难以成为主要工具 和方法。这是因为，在社会主义政治生活领域里，要求公务员一切为了公共利益，应当是 “公共人”，而非</w:t>
      </w:r>
      <w:r>
        <w:rPr>
          <w:rFonts w:hint="eastAsia" w:cs="Times New Roman"/>
          <w:color w:val="000000"/>
          <w:sz w:val="21"/>
          <w:szCs w:val="21"/>
          <w:lang w:bidi="ar"/>
        </w:rPr>
        <w:t>“</w:t>
      </w:r>
      <w:r>
        <w:rPr>
          <w:rFonts w:cs="Times New Roman"/>
          <w:sz w:val="21"/>
          <w:szCs w:val="21"/>
        </w:rPr>
        <w:t>自私人”，利他主义占有非常重要的地位。社会主义政治经济学在引入 “利益的非一致性假设”时，尤其要注意这一问题。</w:t>
      </w:r>
    </w:p>
    <w:p w14:paraId="33F6B60F">
      <w:pPr>
        <w:pStyle w:val="15"/>
        <w:widowControl w:val="0"/>
        <w:pBdr>
          <w:bottom w:val="single" w:color="auto" w:sz="4" w:space="0"/>
        </w:pBdr>
        <w:spacing w:before="0" w:beforeAutospacing="0" w:after="0" w:afterAutospacing="0" w:line="400" w:lineRule="exact"/>
        <w:ind w:firstLine="420" w:firstLineChars="200"/>
        <w:jc w:val="both"/>
        <w:rPr>
          <w:rFonts w:cs="Times New Roman"/>
          <w:b/>
          <w:bCs/>
          <w:color w:val="000000"/>
          <w:sz w:val="21"/>
          <w:szCs w:val="21"/>
          <w:lang w:bidi="ar"/>
        </w:rPr>
      </w:pPr>
      <w:r>
        <w:rPr>
          <w:rFonts w:cs="Times New Roman"/>
          <w:b/>
          <w:bCs/>
          <w:color w:val="000000"/>
          <w:sz w:val="21"/>
          <w:szCs w:val="21"/>
          <w:lang w:bidi="ar"/>
        </w:rPr>
        <w:t>(三)创建”新马克思经济学综合范式”</w:t>
      </w:r>
    </w:p>
    <w:p w14:paraId="57A24070">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在当代中国，我们既不能继续模仿</w:t>
      </w:r>
      <w:r>
        <w:rPr>
          <w:rFonts w:hint="eastAsia" w:cs="Times New Roman"/>
          <w:color w:val="000000"/>
          <w:sz w:val="21"/>
          <w:szCs w:val="21"/>
          <w:lang w:bidi="ar"/>
        </w:rPr>
        <w:t>“</w:t>
      </w:r>
      <w:r>
        <w:rPr>
          <w:rFonts w:cs="Times New Roman"/>
          <w:color w:val="000000"/>
          <w:sz w:val="21"/>
          <w:szCs w:val="21"/>
          <w:lang w:bidi="ar"/>
        </w:rPr>
        <w:t>苏联经济学范式”，也不能转向模仿</w:t>
      </w:r>
      <w:r>
        <w:rPr>
          <w:rFonts w:hint="eastAsia" w:cs="Times New Roman"/>
          <w:color w:val="000000"/>
          <w:sz w:val="21"/>
          <w:szCs w:val="21"/>
          <w:lang w:bidi="ar"/>
        </w:rPr>
        <w:t>“</w:t>
      </w:r>
      <w:r>
        <w:rPr>
          <w:rFonts w:cs="Times New Roman"/>
          <w:color w:val="000000"/>
          <w:sz w:val="21"/>
          <w:szCs w:val="21"/>
          <w:lang w:bidi="ar"/>
        </w:rPr>
        <w:t>西方经济 学范式”，而应走第三条学术道一建立</w:t>
      </w:r>
      <w:r>
        <w:rPr>
          <w:rFonts w:hint="eastAsia" w:cs="Times New Roman"/>
          <w:color w:val="000000"/>
          <w:sz w:val="21"/>
          <w:szCs w:val="21"/>
          <w:lang w:bidi="ar"/>
        </w:rPr>
        <w:t>“</w:t>
      </w:r>
      <w:r>
        <w:rPr>
          <w:rFonts w:cs="Times New Roman"/>
          <w:color w:val="000000"/>
          <w:sz w:val="21"/>
          <w:szCs w:val="21"/>
          <w:lang w:bidi="ar"/>
        </w:rPr>
        <w:t>新马克思经济学综合范式”。这个新经济学范式的基点是马克思经济学，但要用发展的观点来科学综合古今中外各种经济思想的合理成 分，尤其是西方新政治经济学的积极因素，从而复兴政治经济学原本具有的广阔视角和内 涵。这可以从政治经济学的演化得到诠释。</w:t>
      </w:r>
    </w:p>
    <w:p w14:paraId="5215246B">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在古典经济学里，尽管亚当•斯密、大卫•李嘉图等人没有清醒地意识到他们研究的内容已经包括政治问题，但古典政治经济学事实上非常强调对某些与政治有关的问题的研究。直到1890年马歇尔的《经济学原理》出版，才将经济学同政治问题完全分离开来。 可是，20世纪30年代的世界性资本主义经济危机，使得以马歇尔为代表的主流经济学在 “一夜之间变成了神话”。20世纪40年代，凯恩斯主义成为西方经济学的主流，国家再次 进入经济学家的视野，政治学与经济学在研究对象上又开始融合。与此同时，经济学切入 政治领域的另一个角度是福利经济学；而公共选择理论就是应用经济学的观点和方法分析 政治学的传统问题，也就是将经济学应用于政治科学研究，因而被称为</w:t>
      </w:r>
      <w:r>
        <w:rPr>
          <w:rFonts w:hint="eastAsia" w:cs="Times New Roman"/>
          <w:color w:val="000000"/>
          <w:sz w:val="21"/>
          <w:szCs w:val="21"/>
          <w:lang w:bidi="ar"/>
        </w:rPr>
        <w:t>“</w:t>
      </w:r>
      <w:r>
        <w:rPr>
          <w:rFonts w:cs="Times New Roman"/>
          <w:color w:val="000000"/>
          <w:sz w:val="21"/>
          <w:szCs w:val="21"/>
          <w:lang w:bidi="ar"/>
        </w:rPr>
        <w:t>政治的经济学”; 诺斯的新制度经济学也把国家和意识形态纳入经济学和经济增长的探讨轨道。最后；由于 政治学和经济学的联系日益紧密，新政治经济学就呼之欲出。以希布斯、艾伦•德拉金、 塔布利尼等人为代表的新政治经济学，开始全面探讨政治与经济、政治学与经济学的关 系，试图用经济学一政治学统一的分析框架来研究政治经济问题。研究的领域主要包括政 治经济周期、再分配、公共产品、公共支出、选举等问题。其方法是使用现代统计和计量 经济学的技术来检验有关经济和政治组织相互作用的假设。因此，21世纪重建的中国经 济学范式吸收西方新政治经济学的精华，加强对经济与政治相互关系及其效果的研究，是 大有裨益的学术趋向。</w:t>
      </w:r>
    </w:p>
    <w:p w14:paraId="796DD827">
      <w:pPr>
        <w:pStyle w:val="15"/>
        <w:widowControl w:val="0"/>
        <w:pBdr>
          <w:bottom w:val="single" w:color="auto" w:sz="4" w:space="0"/>
        </w:pBd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参考文献</w:t>
      </w:r>
    </w:p>
    <w:p w14:paraId="60C7D83B">
      <w:pPr>
        <w:pStyle w:val="15"/>
        <w:widowControl w:val="0"/>
        <w:numPr>
          <w:ilvl w:val="0"/>
          <w:numId w:val="5"/>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程恩富.重建中国经济学的若干基本问题.财经研究，1999 (7)</w:t>
      </w:r>
    </w:p>
    <w:p w14:paraId="43BC38CB">
      <w:pPr>
        <w:pStyle w:val="15"/>
        <w:widowControl w:val="0"/>
        <w:numPr>
          <w:ilvl w:val="0"/>
          <w:numId w:val="5"/>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程恩富.重建中国经济学：超越马克思与西方经济学.学术月刊，2002 (2)</w:t>
      </w:r>
    </w:p>
    <w:p w14:paraId="1FD99A4B">
      <w:pPr>
        <w:pStyle w:val="15"/>
        <w:widowControl w:val="0"/>
        <w:numPr>
          <w:ilvl w:val="0"/>
          <w:numId w:val="5"/>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程恩富.问题意识与政治经济学革新.经济学家，1999 (3)</w:t>
      </w:r>
    </w:p>
    <w:p w14:paraId="59F51D20">
      <w:pPr>
        <w:pStyle w:val="15"/>
        <w:widowControl w:val="0"/>
        <w:numPr>
          <w:ilvl w:val="0"/>
          <w:numId w:val="5"/>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程恩富主编.当代中国经济理论探索.上海：上海财经大学出版社，2000</w:t>
      </w:r>
    </w:p>
    <w:p w14:paraId="2E8C01DD">
      <w:pPr>
        <w:pStyle w:val="15"/>
        <w:widowControl w:val="0"/>
        <w:numPr>
          <w:ilvl w:val="0"/>
          <w:numId w:val="5"/>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方福前.西方新政治经学述评.教学与研究，1999 (3)</w:t>
      </w:r>
    </w:p>
    <w:p w14:paraId="4B757DD2">
      <w:pPr>
        <w:pStyle w:val="15"/>
        <w:widowControl w:val="0"/>
        <w:numPr>
          <w:ilvl w:val="0"/>
          <w:numId w:val="5"/>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杨龙.从政治经济学到新政治经济学——西方政治经济理论的演变.哈尔滨工业 大学学报(社科版)，2000, Vol. 2 (1)</w:t>
      </w:r>
    </w:p>
    <w:p w14:paraId="6A0A6D99">
      <w:pPr>
        <w:pStyle w:val="15"/>
        <w:widowControl w:val="0"/>
        <w:numPr>
          <w:ilvl w:val="0"/>
          <w:numId w:val="5"/>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[荷]汉斯•范登•德尔，本•范•韦尔瑟芬.民主与福利经济学.北京：中国社会 科学出版社，1999</w:t>
      </w:r>
    </w:p>
    <w:p w14:paraId="57971319">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Gilles Sant-paul (2000), The “New Political Economy</w:t>
      </w:r>
      <w:r>
        <w:rPr>
          <w:rFonts w:cs="Times New Roman"/>
          <w:color w:val="000000"/>
          <w:sz w:val="21"/>
          <w:szCs w:val="21"/>
          <w:vertAlign w:val="superscript"/>
          <w:lang w:bidi="ar"/>
        </w:rPr>
        <w:t>w</w:t>
      </w:r>
      <w:r>
        <w:rPr>
          <w:rFonts w:cs="Times New Roman"/>
          <w:color w:val="000000"/>
          <w:sz w:val="21"/>
          <w:szCs w:val="21"/>
          <w:lang w:bidi="ar"/>
        </w:rPr>
        <w:t>: Recent Books by Allan Drazen and by Torsten Persson and Guido Tabellini, Journal of Economic Literature, Vol.xxxviii pp. 915-925</w:t>
      </w:r>
    </w:p>
    <w:p w14:paraId="592F1F5D">
      <w:pPr>
        <w:pStyle w:val="15"/>
        <w:widowControl w:val="0"/>
        <w:numPr>
          <w:ilvl w:val="0"/>
          <w:numId w:val="5"/>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Allen Drazen (2000), Political Economy in Macroeconomics, Princeton: Princeton U. Press</w:t>
      </w:r>
    </w:p>
    <w:p w14:paraId="4A8F55A6">
      <w:pPr>
        <w:pStyle w:val="15"/>
        <w:widowControl w:val="0"/>
        <w:numPr>
          <w:ilvl w:val="0"/>
          <w:numId w:val="5"/>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Torsten Persson and Guido Tabellini (2000), Political Economics: Explaning Economic Policy. Cambridge, MA： MIT Press</w:t>
      </w:r>
    </w:p>
    <w:p w14:paraId="747AABE1">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[11 ] Robbins, L. (1932), An Essay on the Nature and Significance of Economic Science. London: Macmillan</w:t>
      </w:r>
    </w:p>
    <w:p w14:paraId="25ABEDA0">
      <w:pPr>
        <w:pStyle w:val="15"/>
        <w:widowControl w:val="0"/>
        <w:numPr>
          <w:ilvl w:val="0"/>
          <w:numId w:val="6"/>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Lindblom, C. (1977), Politics and Markets. New York： Basic Books</w:t>
      </w:r>
    </w:p>
    <w:p w14:paraId="0E75EFEB">
      <w:pPr>
        <w:pStyle w:val="15"/>
        <w:widowControl w:val="0"/>
        <w:numPr>
          <w:ilvl w:val="0"/>
          <w:numId w:val="6"/>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Mueller, D. (1989), Public Choice II. Cambridge： Cambridge University Press</w:t>
      </w:r>
    </w:p>
    <w:p w14:paraId="62AD964B">
      <w:pPr>
        <w:pStyle w:val="15"/>
        <w:widowControl w:val="0"/>
        <w:numPr>
          <w:ilvl w:val="0"/>
          <w:numId w:val="6"/>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 xml:space="preserve">Mueller, D. (1997), </w:t>
      </w:r>
      <w:r>
        <w:rPr>
          <w:rFonts w:cs="Times New Roman"/>
          <w:color w:val="000000"/>
          <w:sz w:val="21"/>
          <w:szCs w:val="21"/>
          <w:vertAlign w:val="superscript"/>
          <w:lang w:bidi="ar"/>
        </w:rPr>
        <w:t>u</w:t>
      </w:r>
      <w:r>
        <w:rPr>
          <w:rFonts w:cs="Times New Roman"/>
          <w:color w:val="000000"/>
          <w:sz w:val="21"/>
          <w:szCs w:val="21"/>
          <w:lang w:bidi="ar"/>
        </w:rPr>
        <w:t>Constitutional Public Choice,</w:t>
      </w:r>
      <w:r>
        <w:rPr>
          <w:rFonts w:cs="Times New Roman"/>
          <w:color w:val="000000"/>
          <w:sz w:val="21"/>
          <w:szCs w:val="21"/>
          <w:vertAlign w:val="superscript"/>
          <w:lang w:bidi="ar"/>
        </w:rPr>
        <w:t>，，</w:t>
      </w:r>
      <w:r>
        <w:rPr>
          <w:rFonts w:cs="Times New Roman"/>
          <w:color w:val="000000"/>
          <w:sz w:val="21"/>
          <w:szCs w:val="21"/>
          <w:lang w:bidi="ar"/>
        </w:rPr>
        <w:t>in D.Mueller, ed. , Pers</w:t>
      </w:r>
      <w:r>
        <w:rPr>
          <w:rFonts w:cs="Times New Roman"/>
          <w:color w:val="000000"/>
          <w:sz w:val="21"/>
          <w:szCs w:val="21"/>
          <w:lang w:bidi="ar"/>
        </w:rPr>
        <w:softHyphen/>
      </w:r>
      <w:r>
        <w:rPr>
          <w:rFonts w:cs="Times New Roman"/>
          <w:color w:val="000000"/>
          <w:sz w:val="21"/>
          <w:szCs w:val="21"/>
          <w:lang w:bidi="ar"/>
        </w:rPr>
        <w:t>pective in Public Choice: A Handbook. Cambridge： Cambridge University Press, 124—146</w:t>
      </w:r>
    </w:p>
    <w:p w14:paraId="796B9115">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[15 ] Alt, J. and K.Shepsle ( 1990 ), Perspectives on Positive Political Economy. Cambridge： Cambridge University Press</w:t>
      </w:r>
    </w:p>
    <w:p w14:paraId="15AC35E4">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[16 ] Buchana, J. and G.Tullock ( 1962), The Calculus of Consent, Logical Foundations of Constitutional Democracy. Ann Arbor, MI： University of Michigan Press</w:t>
      </w:r>
    </w:p>
    <w:p w14:paraId="5DA6E5F7">
      <w:pPr>
        <w:pStyle w:val="15"/>
        <w:widowControl w:val="0"/>
        <w:numPr>
          <w:ilvl w:val="0"/>
          <w:numId w:val="7"/>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Olson, M. (1965), The Logic of Collective Action. Cambridge, MA： Harvard University Press</w:t>
      </w:r>
    </w:p>
    <w:p w14:paraId="1F0B3FC6">
      <w:pPr>
        <w:pStyle w:val="15"/>
        <w:widowControl w:val="0"/>
        <w:numPr>
          <w:ilvl w:val="0"/>
          <w:numId w:val="7"/>
        </w:numPr>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Riker, W. (1962), The Theory of Political Coalitions. New Haven, CT： Yale University Press</w:t>
      </w:r>
    </w:p>
    <w:p w14:paraId="1F221E92">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[19 ] Ordeshook, P. ( 1986 ), Game Theory and Political Theory. Cambridge： Cambridge University Press.</w:t>
      </w:r>
    </w:p>
    <w:p w14:paraId="75650230">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[20 ] Meltzer, A. and S. Richard ( 1981 ), “A Rational Theory of the Size of Govemment,</w:t>
      </w:r>
      <w:r>
        <w:rPr>
          <w:rFonts w:cs="Times New Roman"/>
          <w:color w:val="000000"/>
          <w:sz w:val="21"/>
          <w:szCs w:val="21"/>
          <w:vertAlign w:val="superscript"/>
          <w:lang w:bidi="ar"/>
        </w:rPr>
        <w:t>，，</w:t>
      </w:r>
      <w:r>
        <w:rPr>
          <w:rFonts w:cs="Times New Roman"/>
          <w:color w:val="000000"/>
          <w:sz w:val="21"/>
          <w:szCs w:val="21"/>
          <w:lang w:bidi="ar"/>
        </w:rPr>
        <w:t>Journal of Political Economy 89, pp.914~927</w:t>
      </w:r>
    </w:p>
    <w:p w14:paraId="00082F27">
      <w:pPr>
        <w:pStyle w:val="15"/>
        <w:widowControl w:val="0"/>
        <w:spacing w:before="0" w:beforeAutospacing="0" w:after="0" w:afterAutospacing="0" w:line="400" w:lineRule="exact"/>
        <w:ind w:firstLine="420" w:firstLineChars="200"/>
        <w:jc w:val="both"/>
        <w:rPr>
          <w:rFonts w:cs="Times New Roman"/>
          <w:sz w:val="21"/>
          <w:szCs w:val="21"/>
        </w:rPr>
      </w:pPr>
      <w:r>
        <w:rPr>
          <w:rFonts w:cs="Times New Roman"/>
          <w:color w:val="000000"/>
          <w:sz w:val="21"/>
          <w:szCs w:val="21"/>
          <w:lang w:bidi="ar"/>
        </w:rPr>
        <w:t xml:space="preserve">[21] Wei, S. -J. (1997), </w:t>
      </w:r>
      <w:r>
        <w:rPr>
          <w:rFonts w:cs="Times New Roman"/>
          <w:color w:val="000000"/>
          <w:sz w:val="21"/>
          <w:szCs w:val="21"/>
          <w:vertAlign w:val="superscript"/>
          <w:lang w:bidi="ar"/>
        </w:rPr>
        <w:t>a</w:t>
      </w:r>
      <w:r>
        <w:rPr>
          <w:rFonts w:cs="Times New Roman"/>
          <w:color w:val="000000"/>
          <w:sz w:val="21"/>
          <w:szCs w:val="21"/>
          <w:lang w:bidi="ar"/>
        </w:rPr>
        <w:t>Gradualism versus Big Bang： Speed and Sustainability of Reforms,Canadian Journal of Economics, 30, pp. 1234—1247</w:t>
      </w:r>
    </w:p>
    <w:p w14:paraId="45984A34">
      <w:pPr>
        <w:pStyle w:val="15"/>
        <w:widowControl w:val="0"/>
        <w:spacing w:before="0" w:beforeAutospacing="0" w:after="0" w:afterAutospacing="0" w:line="400" w:lineRule="exact"/>
        <w:ind w:left="420"/>
        <w:jc w:val="both"/>
        <w:rPr>
          <w:rFonts w:cs="Times New Roman"/>
          <w:sz w:val="21"/>
          <w:szCs w:val="21"/>
        </w:rPr>
      </w:pPr>
      <w:r>
        <w:rPr>
          <w:rFonts w:cs="Times New Roman"/>
          <w:color w:val="000000"/>
          <w:sz w:val="21"/>
          <w:szCs w:val="21"/>
          <w:lang w:bidi="ar"/>
        </w:rPr>
        <w:t>（原载《政治经济学评论》2003年第1期。）</w:t>
      </w:r>
    </w:p>
    <w:p w14:paraId="5BE3B3D3">
      <w:pPr>
        <w:widowControl/>
        <w:spacing w:line="400" w:lineRule="exact"/>
        <w:ind w:firstLine="420" w:firstLineChars="200"/>
        <w:rPr>
          <w:rFonts w:ascii="宋体" w:hAnsi="宋体" w:eastAsia="宋体" w:cs="Times New Roman"/>
          <w:szCs w:val="21"/>
        </w:rPr>
      </w:pPr>
    </w:p>
    <w:p w14:paraId="75EFD68B">
      <w:pPr>
        <w:rPr>
          <w:rFonts w:ascii="宋体" w:hAnsi="宋体" w:eastAsia="宋体" w:cs="Times New Roman"/>
          <w:color w:val="000000"/>
          <w:kern w:val="0"/>
          <w:szCs w:val="21"/>
          <w:lang w:bidi="ar"/>
        </w:rPr>
        <w:sectPr>
          <w:headerReference r:id="rId12" w:type="default"/>
          <w:footnotePr>
            <w:numFmt w:val="decimalEnclosedCircleChinese"/>
            <w:numRestart w:val="eachPage"/>
          </w:footnotePr>
          <w:type w:val="continuous"/>
          <w:pgSz w:w="10392" w:h="14621"/>
          <w:pgMar w:top="682" w:right="727" w:bottom="682" w:left="852" w:header="1" w:footer="3" w:gutter="0"/>
          <w:pgNumType w:fmt="decimal"/>
          <w:cols w:space="425" w:num="1"/>
          <w:docGrid w:type="lines" w:linePitch="360" w:charSpace="0"/>
        </w:sectPr>
      </w:pPr>
    </w:p>
    <w:p w14:paraId="1FD32B5A">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270" w:name="_Toc107836730"/>
      <w:bookmarkStart w:id="271" w:name="_Toc110957401"/>
      <w:bookmarkStart w:id="272" w:name="_Toc7272"/>
      <w:bookmarkStart w:id="273" w:name="_Toc1801248615"/>
      <w:bookmarkStart w:id="274" w:name="_Toc359830837"/>
      <w:r>
        <w:rPr>
          <w:rFonts w:ascii="黑体" w:hAnsi="黑体" w:eastAsia="黑体" w:cs="Times New Roman"/>
          <w:color w:val="000000"/>
          <w:kern w:val="0"/>
          <w:sz w:val="32"/>
          <w:szCs w:val="32"/>
          <w:lang w:bidi="ar"/>
        </w:rPr>
        <w:t>新</w:t>
      </w:r>
      <w:r>
        <w:rPr>
          <w:rFonts w:hint="eastAsia" w:ascii="黑体" w:hAnsi="黑体" w:eastAsia="黑体" w:cs="Times New Roman"/>
          <w:color w:val="000000"/>
          <w:kern w:val="0"/>
          <w:sz w:val="32"/>
          <w:szCs w:val="32"/>
          <w:lang w:bidi="ar"/>
        </w:rPr>
        <w:t>“</w:t>
      </w:r>
      <w:r>
        <w:rPr>
          <w:rFonts w:ascii="黑体" w:hAnsi="黑体" w:eastAsia="黑体" w:cs="Times New Roman"/>
          <w:color w:val="000000"/>
          <w:kern w:val="0"/>
          <w:sz w:val="32"/>
          <w:szCs w:val="32"/>
          <w:lang w:bidi="ar"/>
        </w:rPr>
        <w:t>经济人”论：海派经济学的一个基本假设</w:t>
      </w:r>
      <w:bookmarkEnd w:id="270"/>
      <w:bookmarkEnd w:id="271"/>
      <w:bookmarkEnd w:id="272"/>
      <w:bookmarkEnd w:id="273"/>
      <w:bookmarkEnd w:id="274"/>
    </w:p>
    <w:p w14:paraId="13754657">
      <w:pPr>
        <w:spacing w:line="400" w:lineRule="exact"/>
        <w:ind w:firstLine="440" w:firstLineChars="200"/>
        <w:jc w:val="left"/>
        <w:rPr>
          <w:rFonts w:ascii="宋体" w:hAnsi="宋体" w:eastAsia="宋体" w:cs="Times New Roman"/>
        </w:rPr>
      </w:pPr>
      <w:r>
        <w:rPr>
          <w:rFonts w:ascii="宋体" w:hAnsi="宋体" w:eastAsia="宋体" w:cs="Times New Roman"/>
        </w:rPr>
        <w:t>［关键词］　西方经济人论；马克思经济学；经济哲学理念；海派经济学假设；后现代经济学新论</w:t>
      </w:r>
    </w:p>
    <w:p w14:paraId="31007F9A">
      <w:pPr>
        <w:spacing w:line="400" w:lineRule="exact"/>
        <w:ind w:firstLine="440" w:firstLineChars="200"/>
        <w:jc w:val="left"/>
        <w:rPr>
          <w:rFonts w:ascii="宋体" w:hAnsi="宋体" w:eastAsia="宋体" w:cs="Times New Roman"/>
        </w:rPr>
      </w:pPr>
      <w:r>
        <w:rPr>
          <w:rFonts w:ascii="宋体" w:hAnsi="宋体" w:eastAsia="宋体" w:cs="Times New Roman"/>
        </w:rPr>
        <w:t>［摘　要］　本文在从经济学和哲学两个视角批评西方经济人理论的基础上</w:t>
      </w:r>
      <w:r>
        <w:rPr>
          <w:rFonts w:hint="eastAsia" w:ascii="宋体" w:hAnsi="宋体" w:eastAsia="宋体" w:cs="宋体"/>
        </w:rPr>
        <w:t></w:t>
      </w:r>
      <w:r>
        <w:rPr>
          <w:rFonts w:ascii="宋体" w:hAnsi="宋体" w:eastAsia="宋体" w:cs="Times New Roman"/>
        </w:rPr>
        <w:t>确立了一种新经济人假说和理论</w:t>
      </w:r>
      <w:r>
        <w:rPr>
          <w:rFonts w:hint="eastAsia" w:ascii="宋体" w:hAnsi="宋体" w:eastAsia="宋体" w:cs="宋体"/>
        </w:rPr>
        <w:t></w:t>
      </w:r>
      <w:r>
        <w:rPr>
          <w:rFonts w:ascii="宋体" w:hAnsi="宋体" w:eastAsia="宋体" w:cs="Times New Roman"/>
        </w:rPr>
        <w:t>其方法论是整体主义、唯物主义和现实主义的</w:t>
      </w:r>
      <w:r>
        <w:rPr>
          <w:rFonts w:hint="eastAsia" w:ascii="宋体" w:hAnsi="宋体" w:eastAsia="宋体" w:cs="宋体"/>
        </w:rPr>
        <w:t></w:t>
      </w:r>
      <w:r>
        <w:rPr>
          <w:rFonts w:ascii="宋体" w:hAnsi="宋体" w:eastAsia="宋体" w:cs="Times New Roman"/>
        </w:rPr>
        <w:t>并认为这是作为后马克思经济学综合学派的</w:t>
      </w:r>
      <w:r>
        <w:rPr>
          <w:rFonts w:hint="eastAsia" w:ascii="宋体" w:hAnsi="宋体" w:eastAsia="宋体" w:cs="Times New Roman"/>
        </w:rPr>
        <w:t>“</w:t>
      </w:r>
      <w:r>
        <w:rPr>
          <w:rFonts w:ascii="宋体" w:hAnsi="宋体" w:eastAsia="宋体" w:cs="Times New Roman"/>
        </w:rPr>
        <w:t>海派经济学”基本假设和理论之一</w:t>
      </w:r>
      <w:r>
        <w:rPr>
          <w:rFonts w:hint="eastAsia" w:ascii="宋体" w:hAnsi="宋体" w:eastAsia="宋体" w:cs="宋体"/>
        </w:rPr>
        <w:t>也属于超越现代西方经济学的</w:t>
      </w:r>
      <w:r>
        <w:rPr>
          <w:rFonts w:ascii="宋体" w:hAnsi="宋体" w:eastAsia="宋体" w:cs="Times New Roman"/>
        </w:rPr>
        <w:t>”后现代经济学”理论。</w:t>
      </w:r>
    </w:p>
    <w:p w14:paraId="77EA2A19">
      <w:pPr>
        <w:spacing w:line="400" w:lineRule="exact"/>
        <w:ind w:firstLine="500" w:firstLineChars="200"/>
        <w:jc w:val="center"/>
        <w:rPr>
          <w:rFonts w:ascii="宋体" w:hAnsi="宋体" w:eastAsia="宋体" w:cs="Times New Roman"/>
          <w:b/>
          <w:bCs/>
          <w:sz w:val="24"/>
          <w:szCs w:val="28"/>
        </w:rPr>
      </w:pPr>
      <w:r>
        <w:rPr>
          <w:rFonts w:ascii="宋体" w:hAnsi="宋体" w:eastAsia="宋体" w:cs="Times New Roman"/>
          <w:b/>
          <w:bCs/>
          <w:sz w:val="24"/>
          <w:szCs w:val="28"/>
        </w:rPr>
        <w:t>一</w:t>
      </w:r>
    </w:p>
    <w:p w14:paraId="52F32B9C">
      <w:pPr>
        <w:spacing w:line="400" w:lineRule="exact"/>
        <w:ind w:firstLine="440" w:firstLineChars="200"/>
        <w:jc w:val="left"/>
        <w:rPr>
          <w:rFonts w:ascii="宋体" w:hAnsi="宋体" w:eastAsia="宋体" w:cs="Times New Roman"/>
        </w:rPr>
      </w:pPr>
      <w:r>
        <w:rPr>
          <w:rFonts w:ascii="宋体" w:hAnsi="宋体" w:eastAsia="宋体" w:cs="Times New Roman"/>
        </w:rPr>
        <w:t>西方经济学自英国近代亚当·斯密、西尼尔和约翰·穆勒以来</w:t>
      </w:r>
      <w:r>
        <w:rPr>
          <w:rFonts w:hint="eastAsia" w:ascii="宋体" w:hAnsi="宋体" w:eastAsia="宋体" w:cs="宋体"/>
        </w:rPr>
        <w:t>，一直到当代美国哈耶克、弗里德曼和布坎南</w:t>
      </w:r>
      <w:r>
        <w:rPr>
          <w:rFonts w:ascii="宋体" w:hAnsi="宋体" w:eastAsia="宋体" w:cs="Times New Roman"/>
        </w:rPr>
        <w:t>只把</w:t>
      </w:r>
      <w:r>
        <w:rPr>
          <w:rFonts w:hint="eastAsia" w:ascii="宋体" w:hAnsi="宋体" w:eastAsia="宋体" w:cs="Times New Roman"/>
        </w:rPr>
        <w:t>“</w:t>
      </w:r>
      <w:r>
        <w:rPr>
          <w:rFonts w:ascii="宋体" w:hAnsi="宋体" w:eastAsia="宋体" w:cs="Times New Roman"/>
        </w:rPr>
        <w:t>自私人”即</w:t>
      </w:r>
      <w:r>
        <w:rPr>
          <w:rFonts w:hint="eastAsia" w:ascii="宋体" w:hAnsi="宋体" w:eastAsia="宋体" w:cs="Times New Roman"/>
        </w:rPr>
        <w:t>“</w:t>
      </w:r>
      <w:r>
        <w:rPr>
          <w:rFonts w:ascii="宋体" w:hAnsi="宋体" w:eastAsia="宋体" w:cs="Times New Roman"/>
        </w:rPr>
        <w:t>经济人”作为探究人类经济行为和市场经济的始点、基点和定点</w:t>
      </w:r>
      <w:r>
        <w:rPr>
          <w:rFonts w:hint="eastAsia" w:ascii="宋体" w:hAnsi="宋体" w:eastAsia="宋体" w:cs="宋体"/>
        </w:rPr>
        <w:t></w:t>
      </w:r>
      <w:r>
        <w:rPr>
          <w:rFonts w:ascii="宋体" w:hAnsi="宋体" w:eastAsia="宋体" w:cs="Times New Roman"/>
        </w:rPr>
        <w:t>并由此推演出整个经济学体系和经济进化史。即使现今某些新自由主义经济学家对传统</w:t>
      </w:r>
      <w:r>
        <w:rPr>
          <w:rFonts w:hint="eastAsia" w:ascii="宋体" w:hAnsi="宋体" w:eastAsia="宋体" w:cs="Times New Roman"/>
        </w:rPr>
        <w:t>“</w:t>
      </w:r>
      <w:r>
        <w:rPr>
          <w:rFonts w:ascii="宋体" w:hAnsi="宋体" w:eastAsia="宋体" w:cs="Times New Roman"/>
        </w:rPr>
        <w:t>经济人”内涵进行修补</w:t>
      </w:r>
      <w:r>
        <w:rPr>
          <w:rFonts w:hint="eastAsia" w:ascii="宋体" w:hAnsi="宋体" w:eastAsia="宋体" w:cs="宋体"/>
        </w:rPr>
        <w:t>把分析范围扩展到非经济领域增添机会主义行为描述和信息成本约束或者把含义扩展界定为可用货币衡量的经济利益与不可用货币衡量的精神利益两个层面也没有根</w:t>
      </w:r>
      <w:r>
        <w:rPr>
          <w:rFonts w:ascii="宋体" w:hAnsi="宋体" w:eastAsia="宋体" w:cs="Times New Roman"/>
        </w:rPr>
        <w:t>本摆脱作为</w:t>
      </w:r>
      <w:r>
        <w:rPr>
          <w:rFonts w:hint="eastAsia" w:ascii="宋体" w:hAnsi="宋体" w:eastAsia="宋体" w:cs="Times New Roman"/>
        </w:rPr>
        <w:t>“</w:t>
      </w:r>
      <w:r>
        <w:rPr>
          <w:rFonts w:ascii="宋体" w:hAnsi="宋体" w:eastAsia="宋体" w:cs="Times New Roman"/>
        </w:rPr>
        <w:t>最大化行为”的</w:t>
      </w:r>
      <w:r>
        <w:rPr>
          <w:rFonts w:hint="eastAsia" w:ascii="宋体" w:hAnsi="宋体" w:eastAsia="宋体" w:cs="Times New Roman"/>
        </w:rPr>
        <w:t>“</w:t>
      </w:r>
      <w:r>
        <w:rPr>
          <w:rFonts w:ascii="宋体" w:hAnsi="宋体" w:eastAsia="宋体" w:cs="Times New Roman"/>
        </w:rPr>
        <w:t>自私人”的思维模式。旧</w:t>
      </w:r>
      <w:r>
        <w:rPr>
          <w:rFonts w:hint="eastAsia" w:ascii="宋体" w:hAnsi="宋体" w:eastAsia="宋体" w:cs="Times New Roman"/>
        </w:rPr>
        <w:t>“</w:t>
      </w:r>
      <w:r>
        <w:rPr>
          <w:rFonts w:ascii="宋体" w:hAnsi="宋体" w:eastAsia="宋体" w:cs="Times New Roman"/>
        </w:rPr>
        <w:t>经济人”假设和理论包含三个基本命题：1．经济人是自私的</w:t>
      </w:r>
      <w:r>
        <w:rPr>
          <w:rFonts w:hint="eastAsia" w:ascii="宋体" w:hAnsi="宋体" w:eastAsia="宋体" w:cs="宋体"/>
        </w:rPr>
        <w:t>即追究自身利益是经济人的经济行为的根本动机。</w:t>
      </w:r>
      <w:r>
        <w:rPr>
          <w:rFonts w:ascii="宋体" w:hAnsi="宋体" w:eastAsia="宋体" w:cs="Times New Roman"/>
        </w:rPr>
        <w:t>2．经济人在行为上是理性的</w:t>
      </w:r>
      <w:r>
        <w:rPr>
          <w:rFonts w:hint="eastAsia" w:ascii="宋体" w:hAnsi="宋体" w:eastAsia="宋体" w:cs="宋体"/>
        </w:rPr>
        <w:t>具有完备或较完备的知识和计算能力能视市场和自身状况而使所追求的个人利益最大化。</w:t>
      </w:r>
      <w:r>
        <w:rPr>
          <w:rFonts w:ascii="宋体" w:hAnsi="宋体" w:eastAsia="宋体" w:cs="Times New Roman"/>
        </w:rPr>
        <w:t>3．只要有良好的制度保证</w:t>
      </w:r>
      <w:r>
        <w:rPr>
          <w:rFonts w:hint="eastAsia" w:ascii="宋体" w:hAnsi="宋体" w:eastAsia="宋体" w:cs="宋体"/>
        </w:rPr>
        <w:t>个人追求自身利益最大化的自由行动会无意而有效地增进社会公共利益。</w:t>
      </w:r>
    </w:p>
    <w:p w14:paraId="2659FD70">
      <w:pPr>
        <w:spacing w:line="400" w:lineRule="exact"/>
        <w:ind w:firstLine="440" w:firstLineChars="200"/>
        <w:jc w:val="left"/>
        <w:rPr>
          <w:rFonts w:ascii="宋体" w:hAnsi="宋体" w:eastAsia="宋体" w:cs="Times New Roman"/>
        </w:rPr>
      </w:pPr>
      <w:r>
        <w:rPr>
          <w:rFonts w:ascii="宋体" w:hAnsi="宋体" w:eastAsia="宋体" w:cs="Times New Roman"/>
        </w:rPr>
        <w:t>正如当代法国经济心理学学会创始人阿尔布在批判</w:t>
      </w:r>
      <w:r>
        <w:rPr>
          <w:rFonts w:hint="eastAsia" w:ascii="宋体" w:hAnsi="宋体" w:eastAsia="宋体" w:cs="Times New Roman"/>
        </w:rPr>
        <w:t>“</w:t>
      </w:r>
      <w:r>
        <w:rPr>
          <w:rFonts w:ascii="宋体" w:hAnsi="宋体" w:eastAsia="宋体" w:cs="Times New Roman"/>
        </w:rPr>
        <w:t>经济人的神话”时所说的</w:t>
      </w:r>
      <w:r>
        <w:rPr>
          <w:rFonts w:hint="eastAsia" w:ascii="宋体" w:hAnsi="宋体" w:eastAsia="宋体" w:cs="宋体"/>
        </w:rPr>
        <w:t>各门人文科学的进步</w:t>
      </w:r>
      <w:r>
        <w:rPr>
          <w:rFonts w:ascii="宋体" w:hAnsi="宋体" w:eastAsia="宋体" w:cs="Times New Roman"/>
        </w:rPr>
        <w:t>尤其是心理学、社会学和社会心理学的进步</w:t>
      </w:r>
      <w:r>
        <w:rPr>
          <w:rFonts w:hint="eastAsia" w:ascii="宋体" w:hAnsi="宋体" w:eastAsia="宋体" w:cs="宋体"/>
        </w:rPr>
        <w:t></w:t>
      </w:r>
      <w:r>
        <w:rPr>
          <w:rFonts w:ascii="宋体" w:hAnsi="宋体" w:eastAsia="宋体" w:cs="Times New Roman"/>
        </w:rPr>
        <w:t>使我们不难证明有关经济人的这些论点是不够的或不确切的。具体说来</w:t>
      </w:r>
      <w:r>
        <w:rPr>
          <w:rFonts w:hint="eastAsia" w:ascii="宋体" w:hAnsi="宋体" w:eastAsia="宋体" w:cs="宋体"/>
        </w:rPr>
        <w:t></w:t>
      </w:r>
      <w:r>
        <w:rPr>
          <w:rFonts w:ascii="宋体" w:hAnsi="宋体" w:eastAsia="宋体" w:cs="Times New Roman"/>
        </w:rPr>
        <w:t>自私的旧</w:t>
      </w:r>
      <w:r>
        <w:rPr>
          <w:rFonts w:hint="eastAsia" w:ascii="宋体" w:hAnsi="宋体" w:eastAsia="宋体" w:cs="Times New Roman"/>
        </w:rPr>
        <w:t>“</w:t>
      </w:r>
      <w:r>
        <w:rPr>
          <w:rFonts w:ascii="宋体" w:hAnsi="宋体" w:eastAsia="宋体" w:cs="Times New Roman"/>
        </w:rPr>
        <w:t>经济人”理念存在下列误点。</w:t>
      </w:r>
    </w:p>
    <w:p w14:paraId="1A80B650">
      <w:pPr>
        <w:spacing w:line="400" w:lineRule="exact"/>
        <w:ind w:firstLine="440" w:firstLineChars="200"/>
        <w:jc w:val="left"/>
        <w:rPr>
          <w:rFonts w:ascii="宋体" w:hAnsi="宋体" w:eastAsia="宋体" w:cs="Times New Roman"/>
        </w:rPr>
      </w:pPr>
      <w:r>
        <w:rPr>
          <w:rFonts w:ascii="宋体" w:hAnsi="宋体" w:eastAsia="宋体" w:cs="Times New Roman"/>
        </w:rPr>
        <w:t>第一</w:t>
      </w:r>
      <w:r>
        <w:rPr>
          <w:rFonts w:hint="eastAsia" w:ascii="宋体" w:hAnsi="宋体" w:eastAsia="宋体" w:cs="宋体"/>
        </w:rPr>
        <w:t>。其理念源于功</w:t>
      </w:r>
      <w:r>
        <w:rPr>
          <w:rFonts w:ascii="宋体" w:hAnsi="宋体" w:eastAsia="宋体" w:cs="Times New Roman"/>
        </w:rPr>
        <w:t>利主义。19世纪</w:t>
      </w:r>
      <w:r>
        <w:rPr>
          <w:rFonts w:hint="eastAsia" w:ascii="宋体" w:hAnsi="宋体" w:eastAsia="宋体" w:cs="宋体"/>
        </w:rPr>
        <w:t>边沁将大小私有者在经济活动中自发产生的功利标准泛推到伦理领域，把最大限度地追求个人利益的自私精神说成是最大多数人的最大幸福的途径。这是亚当</w:t>
      </w:r>
      <w:r>
        <w:rPr>
          <w:rFonts w:ascii="宋体" w:hAnsi="宋体" w:eastAsia="宋体" w:cs="Times New Roman"/>
        </w:rPr>
        <w:t>·斯密经济学及其后继者的主要哲学方法。其实</w:t>
      </w:r>
      <w:r>
        <w:rPr>
          <w:rFonts w:hint="eastAsia" w:ascii="宋体" w:hAnsi="宋体" w:eastAsia="宋体" w:cs="宋体"/>
        </w:rPr>
        <w:t>，</w:t>
      </w:r>
      <w:r>
        <w:rPr>
          <w:rFonts w:ascii="宋体" w:hAnsi="宋体" w:eastAsia="宋体" w:cs="Times New Roman"/>
        </w:rPr>
        <w:t>休谟早先就批判过类似的观念</w:t>
      </w:r>
      <w:r>
        <w:rPr>
          <w:rFonts w:hint="eastAsia" w:ascii="宋体" w:hAnsi="宋体" w:eastAsia="宋体" w:cs="宋体"/>
        </w:rPr>
        <w:t>他写道：</w:t>
      </w:r>
      <w:r>
        <w:rPr>
          <w:rFonts w:hint="eastAsia" w:ascii="宋体" w:hAnsi="宋体" w:eastAsia="宋体" w:cs="Times New Roman"/>
        </w:rPr>
        <w:t>“</w:t>
      </w:r>
      <w:r>
        <w:rPr>
          <w:rFonts w:ascii="宋体" w:hAnsi="宋体" w:eastAsia="宋体" w:cs="Times New Roman"/>
        </w:rPr>
        <w:t>自私这个性质被渲染得太过火了</w:t>
      </w:r>
      <w:r>
        <w:rPr>
          <w:rFonts w:hint="eastAsia" w:ascii="宋体" w:hAnsi="宋体" w:eastAsia="宋体" w:cs="宋体"/>
        </w:rPr>
        <w:t></w:t>
      </w:r>
      <w:r>
        <w:rPr>
          <w:rFonts w:ascii="宋体" w:hAnsi="宋体" w:eastAsia="宋体" w:cs="Times New Roman"/>
        </w:rPr>
        <w:t>而且有些哲学家们所乐于尽情描写的人类的自私</w:t>
      </w:r>
      <w:r>
        <w:rPr>
          <w:rFonts w:hint="eastAsia" w:ascii="宋体" w:hAnsi="宋体" w:eastAsia="宋体" w:cs="宋体"/>
        </w:rPr>
        <w:t>就像我们在童话和小说中所遇到的任何有关妖怪的记载一样荒诞不经与自然离得太远了。</w:t>
      </w:r>
      <w:r>
        <w:rPr>
          <w:rFonts w:ascii="宋体" w:hAnsi="宋体" w:eastAsia="宋体" w:cs="Times New Roman"/>
        </w:rPr>
        <w:t>”［1］（P527）</w:t>
      </w:r>
    </w:p>
    <w:p w14:paraId="3B7E9134">
      <w:pPr>
        <w:spacing w:line="400" w:lineRule="exact"/>
        <w:ind w:firstLine="440" w:firstLineChars="200"/>
        <w:rPr>
          <w:rFonts w:ascii="宋体" w:hAnsi="宋体" w:eastAsia="宋体" w:cs="Times New Roman"/>
        </w:rPr>
      </w:pPr>
      <w:r>
        <w:rPr>
          <w:rFonts w:ascii="宋体" w:hAnsi="宋体" w:eastAsia="宋体" w:cs="Times New Roman"/>
        </w:rPr>
        <w:t>第二</w:t>
      </w:r>
      <w:r>
        <w:rPr>
          <w:rFonts w:hint="eastAsia" w:ascii="宋体" w:hAnsi="宋体" w:eastAsia="宋体" w:cs="宋体"/>
        </w:rPr>
        <w:t>，其理念同预设主义相吻合。现代科学哲学的预设主义认为，</w:t>
      </w:r>
      <w:r>
        <w:rPr>
          <w:rFonts w:ascii="宋体" w:hAnsi="宋体" w:eastAsia="宋体" w:cs="Times New Roman"/>
        </w:rPr>
        <w:t>在科学发展中</w:t>
      </w:r>
      <w:r>
        <w:rPr>
          <w:rFonts w:hint="eastAsia" w:ascii="宋体" w:hAnsi="宋体" w:eastAsia="宋体" w:cs="宋体"/>
        </w:rPr>
        <w:t>，存在某种预设的、超历史的、不变的、不可违背的方法</w:t>
      </w:r>
      <w:r>
        <w:rPr>
          <w:rFonts w:ascii="宋体" w:hAnsi="宋体" w:eastAsia="宋体" w:cs="Times New Roman"/>
        </w:rPr>
        <w:t>基本假设</w:t>
      </w:r>
      <w:r>
        <w:rPr>
          <w:rFonts w:hint="eastAsia" w:ascii="宋体" w:hAnsi="宋体" w:eastAsia="宋体" w:cs="宋体"/>
        </w:rPr>
        <w:t>，推理原则和</w:t>
      </w:r>
      <w:r>
        <w:rPr>
          <w:rFonts w:hint="eastAsia" w:ascii="宋体" w:hAnsi="宋体" w:eastAsia="宋体" w:cs="Times New Roman"/>
        </w:rPr>
        <w:t>“</w:t>
      </w:r>
      <w:r>
        <w:rPr>
          <w:rFonts w:ascii="宋体" w:hAnsi="宋体" w:eastAsia="宋体" w:cs="Times New Roman"/>
        </w:rPr>
        <w:t>元科学”概念。而自私的</w:t>
      </w:r>
      <w:r>
        <w:rPr>
          <w:rFonts w:hint="eastAsia" w:ascii="宋体" w:hAnsi="宋体" w:eastAsia="宋体" w:cs="Times New Roman"/>
        </w:rPr>
        <w:t>“</w:t>
      </w:r>
      <w:r>
        <w:rPr>
          <w:rFonts w:ascii="宋体" w:hAnsi="宋体" w:eastAsia="宋体" w:cs="Times New Roman"/>
        </w:rPr>
        <w:t>经济人”理论恰恰强调</w:t>
      </w:r>
      <w:r>
        <w:rPr>
          <w:rFonts w:hint="eastAsia" w:ascii="宋体" w:hAnsi="宋体" w:eastAsia="宋体" w:cs="宋体"/>
        </w:rPr>
        <w:t>，不管人在历史上和现实中是不是完全自私的，经济学必须以理性的</w:t>
      </w:r>
      <w:r>
        <w:rPr>
          <w:rFonts w:hint="eastAsia" w:ascii="宋体" w:hAnsi="宋体" w:eastAsia="宋体" w:cs="Times New Roman"/>
        </w:rPr>
        <w:t>“</w:t>
      </w:r>
      <w:r>
        <w:rPr>
          <w:rFonts w:ascii="宋体" w:hAnsi="宋体" w:eastAsia="宋体" w:cs="Times New Roman"/>
        </w:rPr>
        <w:t>自私人”为不变的假设或预设</w:t>
      </w:r>
      <w:r>
        <w:rPr>
          <w:rFonts w:hint="eastAsia" w:ascii="宋体" w:hAnsi="宋体" w:eastAsia="宋体" w:cs="宋体"/>
        </w:rPr>
        <w:t>，这是不可违背的分析方法和推理原则。被称之为经济哲学家的米塞斯在《经济学的认识论问题》一书</w:t>
      </w:r>
      <w:r>
        <w:rPr>
          <w:rFonts w:ascii="宋体" w:hAnsi="宋体" w:eastAsia="宋体" w:cs="Times New Roman"/>
        </w:rPr>
        <w:t>中</w:t>
      </w:r>
      <w:r>
        <w:rPr>
          <w:rFonts w:hint="eastAsia" w:ascii="宋体" w:hAnsi="宋体" w:eastAsia="宋体" w:cs="宋体"/>
        </w:rPr>
        <w:t>，就完全排斥经验的方法和历史的方法及实证主义方法，反对新康德主义者文德尔班和李凯尔特关于经济学是说明个别性的历史科学这一观点，而宣称经济学是以原</w:t>
      </w:r>
      <w:r>
        <w:rPr>
          <w:rFonts w:ascii="宋体" w:hAnsi="宋体" w:eastAsia="宋体" w:cs="Times New Roman"/>
        </w:rPr>
        <w:t>子式个人主义为基础的规律化的先验理论</w:t>
      </w:r>
      <w:r>
        <w:rPr>
          <w:rFonts w:hint="eastAsia" w:ascii="宋体" w:hAnsi="宋体" w:eastAsia="宋体" w:cs="宋体"/>
        </w:rPr>
        <w:t>，</w:t>
      </w:r>
      <w:r>
        <w:rPr>
          <w:rFonts w:hint="eastAsia" w:ascii="宋体" w:hAnsi="宋体" w:eastAsia="宋体" w:cs="Times New Roman"/>
        </w:rPr>
        <w:t>“</w:t>
      </w:r>
      <w:r>
        <w:rPr>
          <w:rFonts w:ascii="宋体" w:hAnsi="宋体" w:eastAsia="宋体" w:cs="Times New Roman"/>
        </w:rPr>
        <w:t>先验的理论并不是来自经验”。［2］（P26）显然</w:t>
      </w:r>
      <w:r>
        <w:rPr>
          <w:rFonts w:hint="eastAsia" w:ascii="宋体" w:hAnsi="宋体" w:eastAsia="宋体" w:cs="宋体"/>
        </w:rPr>
        <w:t>，这又沿袭了康德先验论的思维方法。</w:t>
      </w:r>
    </w:p>
    <w:p w14:paraId="46842220">
      <w:pPr>
        <w:spacing w:line="400" w:lineRule="exact"/>
        <w:ind w:firstLine="440" w:firstLineChars="200"/>
        <w:jc w:val="left"/>
        <w:rPr>
          <w:rFonts w:ascii="宋体" w:hAnsi="宋体" w:eastAsia="宋体" w:cs="Times New Roman"/>
        </w:rPr>
      </w:pPr>
      <w:r>
        <w:rPr>
          <w:rFonts w:ascii="宋体" w:hAnsi="宋体" w:eastAsia="宋体" w:cs="Times New Roman"/>
        </w:rPr>
        <w:t>第三</w:t>
      </w:r>
      <w:r>
        <w:rPr>
          <w:rFonts w:hint="eastAsia" w:ascii="宋体" w:hAnsi="宋体" w:eastAsia="宋体" w:cs="宋体"/>
        </w:rPr>
        <w:t>，其理念充斥历史唯心论的精神。旧</w:t>
      </w:r>
      <w:r>
        <w:rPr>
          <w:rFonts w:hint="eastAsia" w:ascii="宋体" w:hAnsi="宋体" w:eastAsia="宋体" w:cs="Times New Roman"/>
        </w:rPr>
        <w:t>“</w:t>
      </w:r>
      <w:r>
        <w:rPr>
          <w:rFonts w:ascii="宋体" w:hAnsi="宋体" w:eastAsia="宋体" w:cs="Times New Roman"/>
        </w:rPr>
        <w:t>经济人”理念视利己心为与生俱来和一成不变的东西</w:t>
      </w:r>
      <w:r>
        <w:rPr>
          <w:rFonts w:hint="eastAsia" w:ascii="宋体" w:hAnsi="宋体" w:eastAsia="宋体" w:cs="宋体"/>
        </w:rPr>
        <w:t>，不分历史时点地把</w:t>
      </w:r>
      <w:r>
        <w:rPr>
          <w:rFonts w:hint="eastAsia" w:ascii="宋体" w:hAnsi="宋体" w:eastAsia="宋体" w:cs="Times New Roman"/>
        </w:rPr>
        <w:t>“</w:t>
      </w:r>
      <w:r>
        <w:rPr>
          <w:rFonts w:ascii="宋体" w:hAnsi="宋体" w:eastAsia="宋体" w:cs="Times New Roman"/>
        </w:rPr>
        <w:t>自私人”抽象化、永恒化和绝对化</w:t>
      </w:r>
      <w:r>
        <w:rPr>
          <w:rFonts w:hint="eastAsia" w:ascii="宋体" w:hAnsi="宋体" w:eastAsia="宋体" w:cs="宋体"/>
        </w:rPr>
        <w:t>，</w:t>
      </w:r>
      <w:r>
        <w:rPr>
          <w:rFonts w:ascii="宋体" w:hAnsi="宋体" w:eastAsia="宋体" w:cs="Times New Roman"/>
        </w:rPr>
        <w:t>无视特定的经济关系和经济制度对人的经济行为与经济心理的作用</w:t>
      </w:r>
      <w:r>
        <w:rPr>
          <w:rFonts w:hint="eastAsia" w:ascii="宋体" w:hAnsi="宋体" w:eastAsia="宋体" w:cs="宋体"/>
        </w:rPr>
        <w:t>，这就有意或无意地陷入了历史唯心主义的泥潭。对此</w:t>
      </w:r>
      <w:r>
        <w:rPr>
          <w:rFonts w:ascii="宋体" w:hAnsi="宋体" w:eastAsia="宋体" w:cs="Times New Roman"/>
        </w:rPr>
        <w:t>连杜威也不赞同</w:t>
      </w:r>
      <w:r>
        <w:rPr>
          <w:rFonts w:hint="eastAsia" w:ascii="宋体" w:hAnsi="宋体" w:eastAsia="宋体" w:cs="宋体"/>
        </w:rPr>
        <w:t>，他说：</w:t>
      </w:r>
      <w:r>
        <w:rPr>
          <w:rFonts w:hint="eastAsia" w:ascii="宋体" w:hAnsi="宋体" w:eastAsia="宋体" w:cs="Times New Roman"/>
        </w:rPr>
        <w:t>“</w:t>
      </w:r>
      <w:r>
        <w:rPr>
          <w:rFonts w:ascii="宋体" w:hAnsi="宋体" w:eastAsia="宋体" w:cs="Times New Roman"/>
        </w:rPr>
        <w:t>事实上</w:t>
      </w:r>
      <w:r>
        <w:rPr>
          <w:rFonts w:hint="eastAsia" w:ascii="宋体" w:hAnsi="宋体" w:eastAsia="宋体" w:cs="宋体"/>
        </w:rPr>
        <w:t>，经济制度与关系乃是人性中最易改变的表现方式。历史便是其变化幅度的活生生的证据。</w:t>
      </w:r>
      <w:r>
        <w:rPr>
          <w:rFonts w:ascii="宋体" w:hAnsi="宋体" w:eastAsia="宋体" w:cs="Times New Roman"/>
        </w:rPr>
        <w:t>……如果人性是不可改变的</w:t>
      </w:r>
      <w:r>
        <w:rPr>
          <w:rFonts w:hint="eastAsia" w:ascii="宋体" w:hAnsi="宋体" w:eastAsia="宋体" w:cs="宋体"/>
        </w:rPr>
        <w:t>，那么就不存在教育这类事情，我们从事教育的全部努力就注定会失败。</w:t>
      </w:r>
      <w:r>
        <w:rPr>
          <w:rFonts w:ascii="宋体" w:hAnsi="宋体" w:eastAsia="宋体" w:cs="Times New Roman"/>
        </w:rPr>
        <w:t>”［3］（P125）</w:t>
      </w:r>
    </w:p>
    <w:p w14:paraId="5D453150">
      <w:pPr>
        <w:spacing w:line="400" w:lineRule="exact"/>
        <w:ind w:firstLine="440" w:firstLineChars="200"/>
        <w:jc w:val="left"/>
        <w:rPr>
          <w:rFonts w:ascii="宋体" w:hAnsi="宋体" w:eastAsia="宋体" w:cs="Times New Roman"/>
        </w:rPr>
      </w:pPr>
      <w:r>
        <w:rPr>
          <w:rFonts w:ascii="宋体" w:hAnsi="宋体" w:eastAsia="宋体" w:cs="Times New Roman"/>
        </w:rPr>
        <w:t>第四</w:t>
      </w:r>
      <w:r>
        <w:rPr>
          <w:rFonts w:hint="eastAsia" w:ascii="宋体" w:hAnsi="宋体" w:eastAsia="宋体" w:cs="宋体"/>
        </w:rPr>
        <w:t>，其理念渗透着形而上</w:t>
      </w:r>
      <w:r>
        <w:rPr>
          <w:rFonts w:ascii="宋体" w:hAnsi="宋体" w:eastAsia="宋体" w:cs="Times New Roman"/>
        </w:rPr>
        <w:t>学的偏见。当代西方私有产权学派代表人物张五常曾经透彻地表达了主流经济学的信念：</w:t>
      </w:r>
      <w:r>
        <w:rPr>
          <w:rFonts w:hint="eastAsia" w:ascii="宋体" w:hAnsi="宋体" w:eastAsia="宋体" w:cs="Times New Roman"/>
        </w:rPr>
        <w:t>“</w:t>
      </w:r>
      <w:r>
        <w:rPr>
          <w:rFonts w:ascii="宋体" w:hAnsi="宋体" w:eastAsia="宋体" w:cs="Times New Roman"/>
        </w:rPr>
        <w:t>经济学上最重要的基本假设是：每一个人无论何时何地</w:t>
      </w:r>
      <w:r>
        <w:rPr>
          <w:rFonts w:hint="eastAsia" w:ascii="宋体" w:hAnsi="宋体" w:eastAsia="宋体" w:cs="宋体"/>
        </w:rPr>
        <w:t>，</w:t>
      </w:r>
      <w:r>
        <w:rPr>
          <w:rFonts w:ascii="宋体" w:hAnsi="宋体" w:eastAsia="宋体" w:cs="Times New Roman"/>
        </w:rPr>
        <w:t>都会在局限约束条件下争取他个人最大利益。说得不雅一点</w:t>
      </w:r>
      <w:r>
        <w:rPr>
          <w:rFonts w:hint="eastAsia" w:ascii="宋体" w:hAnsi="宋体" w:eastAsia="宋体" w:cs="宋体"/>
        </w:rPr>
        <w:t>，</w:t>
      </w:r>
      <w:r>
        <w:rPr>
          <w:rFonts w:ascii="宋体" w:hAnsi="宋体" w:eastAsia="宋体" w:cs="Times New Roman"/>
        </w:rPr>
        <w:t>即每个人的行为都是一贯地、永远不变地以自私为出发点。……在经济学的范畴内</w:t>
      </w:r>
      <w:r>
        <w:rPr>
          <w:rFonts w:hint="eastAsia" w:ascii="宋体" w:hAnsi="宋体" w:eastAsia="宋体" w:cs="宋体"/>
        </w:rPr>
        <w:t>，任何行为都是这样看：捐钱、协助他人、上街行动等，</w:t>
      </w:r>
      <w:r>
        <w:rPr>
          <w:rFonts w:ascii="宋体" w:hAnsi="宋体" w:eastAsia="宋体" w:cs="Times New Roman"/>
        </w:rPr>
        <w:t>都是以‘自私’为出发点。”［4］（P151）略懂唯物辩证法的经济学家和哲学家大概均不会首肯此类极端片面的、孤立的和静止的</w:t>
      </w:r>
      <w:r>
        <w:rPr>
          <w:rFonts w:hint="eastAsia" w:ascii="宋体" w:hAnsi="宋体" w:eastAsia="宋体" w:cs="Times New Roman"/>
        </w:rPr>
        <w:t>“</w:t>
      </w:r>
      <w:r>
        <w:rPr>
          <w:rFonts w:ascii="宋体" w:hAnsi="宋体" w:eastAsia="宋体" w:cs="Times New Roman"/>
        </w:rPr>
        <w:t>理性自私人”观点。还是博兰在1997年出版的《批判的经济学方法论》中写得对：</w:t>
      </w:r>
      <w:r>
        <w:rPr>
          <w:rFonts w:hint="eastAsia" w:ascii="宋体" w:hAnsi="宋体" w:eastAsia="宋体" w:cs="Times New Roman"/>
        </w:rPr>
        <w:t>“</w:t>
      </w:r>
      <w:r>
        <w:rPr>
          <w:rFonts w:ascii="宋体" w:hAnsi="宋体" w:eastAsia="宋体" w:cs="Times New Roman"/>
        </w:rPr>
        <w:t>新古典经济学醉心于下述形而上学观点</w:t>
      </w:r>
      <w:r>
        <w:rPr>
          <w:rFonts w:hint="eastAsia" w:ascii="宋体" w:hAnsi="宋体" w:eastAsia="宋体" w:cs="宋体"/>
        </w:rPr>
        <w:t>,即：每一位个别决策者都是理性的（至少在个人的行为能用理性的论据加以解释的程度上）。令人遗憾的是，</w:t>
      </w:r>
      <w:r>
        <w:rPr>
          <w:rFonts w:ascii="宋体" w:hAnsi="宋体" w:eastAsia="宋体" w:cs="Times New Roman"/>
        </w:rPr>
        <w:t>当理性和个人主义联系在一起时</w:t>
      </w:r>
      <w:r>
        <w:rPr>
          <w:rFonts w:hint="eastAsia" w:ascii="宋体" w:hAnsi="宋体" w:eastAsia="宋体" w:cs="宋体"/>
        </w:rPr>
        <w:t>，就会产生一种颇为机械的关于决</w:t>
      </w:r>
      <w:r>
        <w:rPr>
          <w:rFonts w:ascii="宋体" w:hAnsi="宋体" w:eastAsia="宋体" w:cs="Times New Roman"/>
        </w:rPr>
        <w:t>策行为的观点－－－也就是个人被视为一台机器。”［5］（P229－230）</w:t>
      </w:r>
    </w:p>
    <w:p w14:paraId="3DDE10E0">
      <w:pPr>
        <w:spacing w:line="400" w:lineRule="exact"/>
        <w:ind w:firstLine="440" w:firstLineChars="200"/>
        <w:jc w:val="left"/>
        <w:rPr>
          <w:rFonts w:ascii="宋体" w:hAnsi="宋体" w:eastAsia="宋体" w:cs="Times New Roman"/>
        </w:rPr>
      </w:pPr>
      <w:r>
        <w:rPr>
          <w:rFonts w:ascii="宋体" w:hAnsi="宋体" w:eastAsia="宋体" w:cs="Times New Roman"/>
        </w:rPr>
        <w:t>第五</w:t>
      </w:r>
      <w:r>
        <w:rPr>
          <w:rFonts w:hint="eastAsia" w:ascii="宋体" w:hAnsi="宋体" w:eastAsia="宋体" w:cs="宋体"/>
        </w:rPr>
        <w:t>，其理念存有</w:t>
      </w:r>
      <w:r>
        <w:rPr>
          <w:rFonts w:hint="eastAsia" w:ascii="宋体" w:hAnsi="宋体" w:eastAsia="宋体" w:cs="Times New Roman"/>
        </w:rPr>
        <w:t>“</w:t>
      </w:r>
      <w:r>
        <w:rPr>
          <w:rFonts w:ascii="宋体" w:hAnsi="宋体" w:eastAsia="宋体" w:cs="Times New Roman"/>
        </w:rPr>
        <w:t>经济－道德”二元悖论。斯密在《国富论》中只确认经济领域的自私自利行为</w:t>
      </w:r>
      <w:r>
        <w:rPr>
          <w:rFonts w:hint="eastAsia" w:ascii="宋体" w:hAnsi="宋体" w:eastAsia="宋体" w:cs="宋体"/>
        </w:rPr>
        <w:t>，</w:t>
      </w:r>
      <w:r>
        <w:rPr>
          <w:rFonts w:ascii="宋体" w:hAnsi="宋体" w:eastAsia="宋体" w:cs="Times New Roman"/>
        </w:rPr>
        <w:t>而在《道德情操论》中</w:t>
      </w:r>
      <w:r>
        <w:rPr>
          <w:rFonts w:hint="eastAsia" w:ascii="宋体" w:hAnsi="宋体" w:eastAsia="宋体" w:cs="宋体"/>
        </w:rPr>
        <w:t>，</w:t>
      </w:r>
      <w:r>
        <w:rPr>
          <w:rFonts w:ascii="宋体" w:hAnsi="宋体" w:eastAsia="宋体" w:cs="Times New Roman"/>
        </w:rPr>
        <w:t>又确认道德领域的人可能有某些同情心和利他行为</w:t>
      </w:r>
      <w:r>
        <w:rPr>
          <w:rFonts w:hint="eastAsia" w:ascii="宋体" w:hAnsi="宋体" w:eastAsia="宋体" w:cs="宋体"/>
        </w:rPr>
        <w:t>，这便形成一个</w:t>
      </w:r>
      <w:r>
        <w:rPr>
          <w:rFonts w:hint="eastAsia" w:ascii="宋体" w:hAnsi="宋体" w:eastAsia="宋体" w:cs="Times New Roman"/>
        </w:rPr>
        <w:t>“</w:t>
      </w:r>
      <w:r>
        <w:rPr>
          <w:rFonts w:ascii="宋体" w:hAnsi="宋体" w:eastAsia="宋体" w:cs="Times New Roman"/>
        </w:rPr>
        <w:t>经济－道德”二元悖论。难道经济活动过程中没有道德和利他问题？完全和永恒的</w:t>
      </w:r>
      <w:r>
        <w:rPr>
          <w:rFonts w:hint="eastAsia" w:ascii="宋体" w:hAnsi="宋体" w:eastAsia="宋体" w:cs="Times New Roman"/>
        </w:rPr>
        <w:t>“</w:t>
      </w:r>
      <w:r>
        <w:rPr>
          <w:rFonts w:ascii="宋体" w:hAnsi="宋体" w:eastAsia="宋体" w:cs="Times New Roman"/>
        </w:rPr>
        <w:t>自私人”与</w:t>
      </w:r>
      <w:r>
        <w:rPr>
          <w:rFonts w:hint="eastAsia" w:ascii="宋体" w:hAnsi="宋体" w:eastAsia="宋体" w:cs="Times New Roman"/>
        </w:rPr>
        <w:t>“</w:t>
      </w:r>
      <w:r>
        <w:rPr>
          <w:rFonts w:ascii="宋体" w:hAnsi="宋体" w:eastAsia="宋体" w:cs="Times New Roman"/>
        </w:rPr>
        <w:t>道德人”或</w:t>
      </w:r>
      <w:r>
        <w:rPr>
          <w:rFonts w:hint="eastAsia" w:ascii="宋体" w:hAnsi="宋体" w:eastAsia="宋体" w:cs="Times New Roman"/>
        </w:rPr>
        <w:t>“</w:t>
      </w:r>
      <w:r>
        <w:rPr>
          <w:rFonts w:ascii="宋体" w:hAnsi="宋体" w:eastAsia="宋体" w:cs="Times New Roman"/>
        </w:rPr>
        <w:t>利他人”行为如何协调？与西方一般经济学家因谈不清而不敢谈经济行为的道德问题不同</w:t>
      </w:r>
      <w:r>
        <w:rPr>
          <w:rFonts w:hint="eastAsia" w:ascii="宋体" w:hAnsi="宋体" w:eastAsia="宋体" w:cs="宋体"/>
        </w:rPr>
        <w:t>，</w:t>
      </w:r>
      <w:r>
        <w:rPr>
          <w:rFonts w:ascii="宋体" w:hAnsi="宋体" w:eastAsia="宋体" w:cs="Times New Roman"/>
        </w:rPr>
        <w:t>贝克尔撇开这一难题</w:t>
      </w:r>
      <w:r>
        <w:rPr>
          <w:rFonts w:hint="eastAsia" w:ascii="宋体" w:hAnsi="宋体" w:eastAsia="宋体" w:cs="宋体"/>
        </w:rPr>
        <w:t>，</w:t>
      </w:r>
      <w:r>
        <w:rPr>
          <w:rFonts w:ascii="宋体" w:hAnsi="宋体" w:eastAsia="宋体" w:cs="Times New Roman"/>
        </w:rPr>
        <w:t>承认在家庭和亲戚范围内有程度不一的利他行为</w:t>
      </w:r>
      <w:r>
        <w:rPr>
          <w:rFonts w:hint="eastAsia" w:ascii="宋体" w:hAnsi="宋体" w:eastAsia="宋体" w:cs="宋体"/>
        </w:rPr>
        <w:t>，即主张</w:t>
      </w:r>
      <w:r>
        <w:rPr>
          <w:rFonts w:hint="eastAsia" w:ascii="宋体" w:hAnsi="宋体" w:eastAsia="宋体" w:cs="Times New Roman"/>
        </w:rPr>
        <w:t>“</w:t>
      </w:r>
      <w:r>
        <w:rPr>
          <w:rFonts w:ascii="宋体" w:hAnsi="宋体" w:eastAsia="宋体" w:cs="Times New Roman"/>
        </w:rPr>
        <w:t>血亲利他主义”。但不管怎样</w:t>
      </w:r>
      <w:r>
        <w:rPr>
          <w:rFonts w:hint="eastAsia" w:ascii="宋体" w:hAnsi="宋体" w:eastAsia="宋体" w:cs="宋体"/>
        </w:rPr>
        <w:t>，只要在经验或实践中存在利他行为（含家庭经济活动），</w:t>
      </w:r>
      <w:r>
        <w:rPr>
          <w:rFonts w:ascii="宋体" w:hAnsi="宋体" w:eastAsia="宋体" w:cs="Times New Roman"/>
        </w:rPr>
        <w:t>完全的</w:t>
      </w:r>
      <w:r>
        <w:rPr>
          <w:rFonts w:hint="eastAsia" w:ascii="宋体" w:hAnsi="宋体" w:eastAsia="宋体" w:cs="Times New Roman"/>
        </w:rPr>
        <w:t>“</w:t>
      </w:r>
      <w:r>
        <w:rPr>
          <w:rFonts w:ascii="宋体" w:hAnsi="宋体" w:eastAsia="宋体" w:cs="Times New Roman"/>
        </w:rPr>
        <w:t>天性利己主义”假说就被证伪了。诚然</w:t>
      </w:r>
      <w:r>
        <w:rPr>
          <w:rFonts w:hint="eastAsia" w:ascii="宋体" w:hAnsi="宋体" w:eastAsia="宋体" w:cs="宋体"/>
        </w:rPr>
        <w:t>，</w:t>
      </w:r>
      <w:r>
        <w:rPr>
          <w:rFonts w:hint="eastAsia" w:ascii="宋体" w:hAnsi="宋体" w:eastAsia="宋体" w:cs="Times New Roman"/>
        </w:rPr>
        <w:t>“</w:t>
      </w:r>
      <w:r>
        <w:rPr>
          <w:rFonts w:ascii="宋体" w:hAnsi="宋体" w:eastAsia="宋体" w:cs="Times New Roman"/>
        </w:rPr>
        <w:t>血亲利他主义”也解不开</w:t>
      </w:r>
      <w:r>
        <w:rPr>
          <w:rFonts w:hint="eastAsia" w:ascii="宋体" w:hAnsi="宋体" w:eastAsia="宋体" w:cs="Times New Roman"/>
        </w:rPr>
        <w:t>“</w:t>
      </w:r>
      <w:r>
        <w:rPr>
          <w:rFonts w:ascii="宋体" w:hAnsi="宋体" w:eastAsia="宋体" w:cs="Times New Roman"/>
        </w:rPr>
        <w:t>经济－道德”二元悖论的矛盾死结</w:t>
      </w:r>
      <w:r>
        <w:rPr>
          <w:rFonts w:hint="eastAsia" w:ascii="宋体" w:hAnsi="宋体" w:eastAsia="宋体" w:cs="宋体"/>
        </w:rPr>
        <w:t>，因为它只是放宽了家庭这一领域的分析，非家庭的广大领域依然笼罩着</w:t>
      </w:r>
      <w:r>
        <w:rPr>
          <w:rFonts w:hint="eastAsia" w:ascii="宋体" w:hAnsi="宋体" w:eastAsia="宋体" w:cs="Times New Roman"/>
        </w:rPr>
        <w:t>“</w:t>
      </w:r>
      <w:r>
        <w:rPr>
          <w:rFonts w:ascii="宋体" w:hAnsi="宋体" w:eastAsia="宋体" w:cs="Times New Roman"/>
        </w:rPr>
        <w:t>自私人”思维。</w:t>
      </w:r>
    </w:p>
    <w:p w14:paraId="282B1855">
      <w:pPr>
        <w:spacing w:line="400" w:lineRule="exact"/>
        <w:ind w:firstLine="440" w:firstLineChars="200"/>
        <w:jc w:val="left"/>
        <w:rPr>
          <w:rFonts w:ascii="宋体" w:hAnsi="宋体" w:eastAsia="宋体" w:cs="Times New Roman"/>
        </w:rPr>
      </w:pPr>
      <w:r>
        <w:rPr>
          <w:rFonts w:ascii="宋体" w:hAnsi="宋体" w:eastAsia="宋体" w:cs="Times New Roman"/>
        </w:rPr>
        <w:t>第六</w:t>
      </w:r>
      <w:r>
        <w:rPr>
          <w:rFonts w:hint="eastAsia" w:ascii="宋体" w:hAnsi="宋体" w:eastAsia="宋体" w:cs="宋体"/>
        </w:rPr>
        <w:t>，其理念奉行唯理论的教条。西方主流经济学所说的理性，</w:t>
      </w:r>
      <w:r>
        <w:rPr>
          <w:rFonts w:ascii="宋体" w:hAnsi="宋体" w:eastAsia="宋体" w:cs="Times New Roman"/>
        </w:rPr>
        <w:t>是指个人谋求自身私利的合理行为</w:t>
      </w:r>
      <w:r>
        <w:rPr>
          <w:rFonts w:hint="eastAsia" w:ascii="宋体" w:hAnsi="宋体" w:eastAsia="宋体" w:cs="宋体"/>
        </w:rPr>
        <w:t>，因而</w:t>
      </w:r>
      <w:r>
        <w:rPr>
          <w:rFonts w:hint="eastAsia" w:ascii="宋体" w:hAnsi="宋体" w:eastAsia="宋体" w:cs="Times New Roman"/>
        </w:rPr>
        <w:t>“</w:t>
      </w:r>
      <w:r>
        <w:rPr>
          <w:rFonts w:ascii="宋体" w:hAnsi="宋体" w:eastAsia="宋体" w:cs="Times New Roman"/>
        </w:rPr>
        <w:t>理性人”也就是</w:t>
      </w:r>
      <w:r>
        <w:rPr>
          <w:rFonts w:hint="eastAsia" w:ascii="宋体" w:hAnsi="宋体" w:eastAsia="宋体" w:cs="Times New Roman"/>
        </w:rPr>
        <w:t>“</w:t>
      </w:r>
      <w:r>
        <w:rPr>
          <w:rFonts w:ascii="宋体" w:hAnsi="宋体" w:eastAsia="宋体" w:cs="Times New Roman"/>
        </w:rPr>
        <w:t>自私人”</w:t>
      </w:r>
      <w:r>
        <w:rPr>
          <w:rFonts w:hint="eastAsia" w:ascii="宋体" w:hAnsi="宋体" w:eastAsia="宋体" w:cs="宋体"/>
        </w:rPr>
        <w:t>，</w:t>
      </w:r>
      <w:r>
        <w:rPr>
          <w:rFonts w:ascii="宋体" w:hAnsi="宋体" w:eastAsia="宋体" w:cs="Times New Roman"/>
        </w:rPr>
        <w:t>甚至合称</w:t>
      </w:r>
      <w:r>
        <w:rPr>
          <w:rFonts w:hint="eastAsia" w:ascii="宋体" w:hAnsi="宋体" w:eastAsia="宋体" w:cs="Times New Roman"/>
        </w:rPr>
        <w:t>“</w:t>
      </w:r>
      <w:r>
        <w:rPr>
          <w:rFonts w:ascii="宋体" w:hAnsi="宋体" w:eastAsia="宋体" w:cs="Times New Roman"/>
        </w:rPr>
        <w:t>理性经济人”。在它们的视野里</w:t>
      </w:r>
      <w:r>
        <w:rPr>
          <w:rFonts w:hint="eastAsia" w:ascii="宋体" w:hAnsi="宋体" w:eastAsia="宋体" w:cs="宋体"/>
        </w:rPr>
        <w:t>，人若不自私，那就属于非理性。这可称</w:t>
      </w:r>
      <w:r>
        <w:rPr>
          <w:rFonts w:hint="eastAsia" w:ascii="宋体" w:hAnsi="宋体" w:eastAsia="宋体" w:cs="Times New Roman"/>
        </w:rPr>
        <w:t>“</w:t>
      </w:r>
      <w:r>
        <w:rPr>
          <w:rFonts w:ascii="宋体" w:hAnsi="宋体" w:eastAsia="宋体" w:cs="Times New Roman"/>
        </w:rPr>
        <w:t>自私拜物教”</w:t>
      </w:r>
      <w:r>
        <w:rPr>
          <w:rFonts w:hint="eastAsia" w:ascii="宋体" w:hAnsi="宋体" w:eastAsia="宋体" w:cs="宋体"/>
        </w:rPr>
        <w:t>，</w:t>
      </w:r>
      <w:r>
        <w:rPr>
          <w:rFonts w:ascii="宋体" w:hAnsi="宋体" w:eastAsia="宋体" w:cs="Times New Roman"/>
        </w:rPr>
        <w:t>是极端片面和夸大理性作用的观点。经验表明</w:t>
      </w:r>
      <w:r>
        <w:rPr>
          <w:rFonts w:hint="eastAsia" w:ascii="宋体" w:hAnsi="宋体" w:eastAsia="宋体" w:cs="宋体"/>
        </w:rPr>
        <w:t>，</w:t>
      </w:r>
      <w:r>
        <w:rPr>
          <w:rFonts w:ascii="宋体" w:hAnsi="宋体" w:eastAsia="宋体" w:cs="Times New Roman"/>
        </w:rPr>
        <w:t>自私不等于理性；某些自私行为属于非理性</w:t>
      </w:r>
      <w:r>
        <w:rPr>
          <w:rFonts w:hint="eastAsia" w:ascii="宋体" w:hAnsi="宋体" w:eastAsia="宋体" w:cs="宋体"/>
        </w:rPr>
        <w:t>，</w:t>
      </w:r>
      <w:r>
        <w:rPr>
          <w:rFonts w:ascii="宋体" w:hAnsi="宋体" w:eastAsia="宋体" w:cs="Times New Roman"/>
        </w:rPr>
        <w:t>如因故一时冲动而签订私人经济合同；某些理性行为属于利他</w:t>
      </w:r>
      <w:r>
        <w:rPr>
          <w:rFonts w:hint="eastAsia" w:ascii="宋体" w:hAnsi="宋体" w:eastAsia="宋体" w:cs="宋体"/>
        </w:rPr>
        <w:t>，</w:t>
      </w:r>
      <w:r>
        <w:rPr>
          <w:rFonts w:ascii="宋体" w:hAnsi="宋体" w:eastAsia="宋体" w:cs="Times New Roman"/>
        </w:rPr>
        <w:t>如有些匿名捐款。事实上</w:t>
      </w:r>
      <w:r>
        <w:rPr>
          <w:rFonts w:hint="eastAsia" w:ascii="宋体" w:hAnsi="宋体" w:eastAsia="宋体" w:cs="宋体"/>
        </w:rPr>
        <w:t>，</w:t>
      </w:r>
      <w:r>
        <w:rPr>
          <w:rFonts w:ascii="宋体" w:hAnsi="宋体" w:eastAsia="宋体" w:cs="Times New Roman"/>
        </w:rPr>
        <w:t>弗洛伊德主义及其心理实验也可印证</w:t>
      </w:r>
      <w:r>
        <w:rPr>
          <w:rFonts w:hint="eastAsia" w:ascii="宋体" w:hAnsi="宋体" w:eastAsia="宋体" w:cs="宋体"/>
        </w:rPr>
        <w:t>，西蒙的</w:t>
      </w:r>
      <w:r>
        <w:rPr>
          <w:rFonts w:hint="eastAsia" w:ascii="宋体" w:hAnsi="宋体" w:eastAsia="宋体" w:cs="Times New Roman"/>
        </w:rPr>
        <w:t>“</w:t>
      </w:r>
      <w:r>
        <w:rPr>
          <w:rFonts w:ascii="宋体" w:hAnsi="宋体" w:eastAsia="宋体" w:cs="Times New Roman"/>
        </w:rPr>
        <w:t>有限理性”假说比</w:t>
      </w:r>
      <w:r>
        <w:rPr>
          <w:rFonts w:hint="eastAsia" w:ascii="宋体" w:hAnsi="宋体" w:eastAsia="宋体" w:cs="Times New Roman"/>
        </w:rPr>
        <w:t>“</w:t>
      </w:r>
      <w:r>
        <w:rPr>
          <w:rFonts w:ascii="宋体" w:hAnsi="宋体" w:eastAsia="宋体" w:cs="Times New Roman"/>
        </w:rPr>
        <w:t>完全理性”或</w:t>
      </w:r>
      <w:r>
        <w:rPr>
          <w:rFonts w:hint="eastAsia" w:ascii="宋体" w:hAnsi="宋体" w:eastAsia="宋体" w:cs="Times New Roman"/>
        </w:rPr>
        <w:t>“</w:t>
      </w:r>
      <w:r>
        <w:rPr>
          <w:rFonts w:ascii="宋体" w:hAnsi="宋体" w:eastAsia="宋体" w:cs="Times New Roman"/>
        </w:rPr>
        <w:t>充分理性”假说要贴近现实。不过</w:t>
      </w:r>
      <w:r>
        <w:rPr>
          <w:rFonts w:hint="eastAsia" w:ascii="宋体" w:hAnsi="宋体" w:eastAsia="宋体" w:cs="宋体"/>
        </w:rPr>
        <w:t>，</w:t>
      </w:r>
      <w:r>
        <w:rPr>
          <w:rFonts w:hint="eastAsia" w:ascii="宋体" w:hAnsi="宋体" w:eastAsia="宋体" w:cs="Times New Roman"/>
        </w:rPr>
        <w:t>“</w:t>
      </w:r>
      <w:r>
        <w:rPr>
          <w:rFonts w:ascii="宋体" w:hAnsi="宋体" w:eastAsia="宋体" w:cs="Times New Roman"/>
        </w:rPr>
        <w:t>有限理性”假说仍是在旧</w:t>
      </w:r>
      <w:r>
        <w:rPr>
          <w:rFonts w:hint="eastAsia" w:ascii="宋体" w:hAnsi="宋体" w:eastAsia="宋体" w:cs="Times New Roman"/>
        </w:rPr>
        <w:t>“</w:t>
      </w:r>
      <w:r>
        <w:rPr>
          <w:rFonts w:ascii="宋体" w:hAnsi="宋体" w:eastAsia="宋体" w:cs="Times New Roman"/>
        </w:rPr>
        <w:t>自私人”理论框架内的改良</w:t>
      </w:r>
      <w:r>
        <w:rPr>
          <w:rFonts w:hint="eastAsia" w:ascii="宋体" w:hAnsi="宋体" w:eastAsia="宋体" w:cs="宋体"/>
        </w:rPr>
        <w:t>，没有本质上的创新，</w:t>
      </w:r>
      <w:r>
        <w:rPr>
          <w:rFonts w:ascii="宋体" w:hAnsi="宋体" w:eastAsia="宋体" w:cs="Times New Roman"/>
        </w:rPr>
        <w:t>因为这一理论改良也无法阐明</w:t>
      </w:r>
      <w:r>
        <w:rPr>
          <w:rFonts w:hint="eastAsia" w:ascii="宋体" w:hAnsi="宋体" w:eastAsia="宋体" w:cs="Times New Roman"/>
        </w:rPr>
        <w:t>“</w:t>
      </w:r>
      <w:r>
        <w:rPr>
          <w:rFonts w:ascii="宋体" w:hAnsi="宋体" w:eastAsia="宋体" w:cs="Times New Roman"/>
        </w:rPr>
        <w:t>抢银行是不是理性的”（博兰的问题）以及</w:t>
      </w:r>
      <w:r>
        <w:rPr>
          <w:rFonts w:hint="eastAsia" w:ascii="宋体" w:hAnsi="宋体" w:eastAsia="宋体" w:cs="Times New Roman"/>
        </w:rPr>
        <w:t>“</w:t>
      </w:r>
      <w:r>
        <w:rPr>
          <w:rFonts w:ascii="宋体" w:hAnsi="宋体" w:eastAsia="宋体" w:cs="Times New Roman"/>
        </w:rPr>
        <w:t>盗窃何害之有”（张五常的主张）等逻辑怪题。</w:t>
      </w:r>
    </w:p>
    <w:p w14:paraId="3FB9EB5D">
      <w:pPr>
        <w:spacing w:line="400" w:lineRule="exact"/>
        <w:ind w:firstLine="440" w:firstLineChars="200"/>
        <w:jc w:val="left"/>
        <w:rPr>
          <w:rFonts w:ascii="宋体" w:hAnsi="宋体" w:eastAsia="宋体" w:cs="宋体"/>
        </w:rPr>
      </w:pPr>
      <w:r>
        <w:rPr>
          <w:rFonts w:ascii="宋体" w:hAnsi="宋体" w:eastAsia="宋体" w:cs="Times New Roman"/>
        </w:rPr>
        <w:t>第七</w:t>
      </w:r>
      <w:r>
        <w:rPr>
          <w:rFonts w:hint="eastAsia" w:ascii="宋体" w:hAnsi="宋体" w:eastAsia="宋体" w:cs="宋体"/>
        </w:rPr>
        <w:t>，其理念崇尚人类低级本能的意识。个人的本能或人类的本能是一切动物所共有的，</w:t>
      </w:r>
      <w:r>
        <w:rPr>
          <w:rFonts w:ascii="宋体" w:hAnsi="宋体" w:eastAsia="宋体" w:cs="Times New Roman"/>
        </w:rPr>
        <w:t>是由生理决定的。而个人的本性或人类的本性则是由特定的社会环境所决定的。旧</w:t>
      </w:r>
      <w:r>
        <w:rPr>
          <w:rFonts w:hint="eastAsia" w:ascii="宋体" w:hAnsi="宋体" w:eastAsia="宋体" w:cs="Times New Roman"/>
        </w:rPr>
        <w:t>“</w:t>
      </w:r>
      <w:r>
        <w:rPr>
          <w:rFonts w:ascii="宋体" w:hAnsi="宋体" w:eastAsia="宋体" w:cs="Times New Roman"/>
        </w:rPr>
        <w:t>自私人”理论却用个人的低级本能及其经济行为与经济心理替代人的多样化社会本性</w:t>
      </w:r>
      <w:r>
        <w:rPr>
          <w:rFonts w:hint="eastAsia" w:ascii="宋体" w:hAnsi="宋体" w:eastAsia="宋体" w:cs="宋体"/>
        </w:rPr>
        <w:t>，形成思维的单一性和呆板性。凯里曾愤怒地指责：穆勒的</w:t>
      </w:r>
      <w:r>
        <w:rPr>
          <w:rFonts w:hint="eastAsia" w:ascii="宋体" w:hAnsi="宋体" w:eastAsia="宋体" w:cs="Times New Roman"/>
        </w:rPr>
        <w:t>“</w:t>
      </w:r>
      <w:r>
        <w:rPr>
          <w:rFonts w:ascii="宋体" w:hAnsi="宋体" w:eastAsia="宋体" w:cs="Times New Roman"/>
        </w:rPr>
        <w:t>政治经济学的对象实际上不是人</w:t>
      </w:r>
      <w:r>
        <w:rPr>
          <w:rFonts w:hint="eastAsia" w:ascii="宋体" w:hAnsi="宋体" w:eastAsia="宋体" w:cs="宋体"/>
        </w:rPr>
        <w:t>，而是受最盲目的情绪驱策的想像的动物</w:t>
      </w:r>
      <w:r>
        <w:rPr>
          <w:rFonts w:ascii="宋体" w:hAnsi="宋体" w:eastAsia="宋体" w:cs="Times New Roman"/>
        </w:rPr>
        <w:t>”</w:t>
      </w:r>
      <w:r>
        <w:rPr>
          <w:rFonts w:hint="eastAsia" w:ascii="宋体" w:hAnsi="宋体" w:eastAsia="宋体" w:cs="宋体"/>
        </w:rPr>
        <w:t>，</w:t>
      </w:r>
      <w:r>
        <w:rPr>
          <w:rFonts w:hint="eastAsia" w:ascii="宋体" w:hAnsi="宋体" w:eastAsia="宋体" w:cs="Times New Roman"/>
        </w:rPr>
        <w:t>“</w:t>
      </w:r>
      <w:r>
        <w:rPr>
          <w:rFonts w:ascii="宋体" w:hAnsi="宋体" w:eastAsia="宋体" w:cs="Times New Roman"/>
        </w:rPr>
        <w:t>他们的理论</w:t>
      </w:r>
      <w:r>
        <w:rPr>
          <w:rFonts w:hint="eastAsia" w:ascii="宋体" w:hAnsi="宋体" w:eastAsia="宋体" w:cs="宋体"/>
        </w:rPr>
        <w:t>，讨论人性的最低级本能，却把人的最高尚利益看作是纯属干扰其理论体</w:t>
      </w:r>
      <w:r>
        <w:rPr>
          <w:rFonts w:ascii="宋体" w:hAnsi="宋体" w:eastAsia="宋体" w:cs="Times New Roman"/>
        </w:rPr>
        <w:t>系的东西”</w:t>
      </w:r>
      <w:r>
        <w:rPr>
          <w:rFonts w:hint="eastAsia" w:ascii="宋体" w:hAnsi="宋体" w:eastAsia="宋体" w:cs="宋体"/>
        </w:rPr>
        <w:t>。</w:t>
      </w:r>
      <w:r>
        <w:rPr>
          <w:rFonts w:ascii="宋体" w:hAnsi="宋体" w:eastAsia="宋体" w:cs="Times New Roman"/>
        </w:rPr>
        <w:t>［6］（P175）因而是亵渎了大写的</w:t>
      </w:r>
      <w:r>
        <w:rPr>
          <w:rFonts w:hint="eastAsia" w:ascii="宋体" w:hAnsi="宋体" w:eastAsia="宋体" w:cs="Times New Roman"/>
        </w:rPr>
        <w:t>“</w:t>
      </w:r>
      <w:r>
        <w:rPr>
          <w:rFonts w:ascii="宋体" w:hAnsi="宋体" w:eastAsia="宋体" w:cs="Times New Roman"/>
        </w:rPr>
        <w:t>人”字。曾是一名儿童教育者的哲学家波普尔指出</w:t>
      </w:r>
      <w:r>
        <w:rPr>
          <w:rFonts w:hint="eastAsia" w:ascii="宋体" w:hAnsi="宋体" w:eastAsia="宋体" w:cs="宋体"/>
        </w:rPr>
        <w:t>，儿童本来是不喜欢暴力的，如果电影上播放危险的情景，他们就会闭上眼睛，但很快就被影响了，变得越来越想看到暴力。</w:t>
      </w:r>
    </w:p>
    <w:p w14:paraId="6807D5BF">
      <w:pPr>
        <w:spacing w:line="400" w:lineRule="exact"/>
        <w:ind w:firstLine="440" w:firstLineChars="200"/>
        <w:jc w:val="left"/>
        <w:rPr>
          <w:rFonts w:ascii="宋体" w:hAnsi="宋体" w:eastAsia="宋体" w:cs="Times New Roman"/>
        </w:rPr>
      </w:pPr>
      <w:r>
        <w:rPr>
          <w:rFonts w:hint="eastAsia" w:ascii="宋体" w:hAnsi="宋体" w:eastAsia="宋体" w:cs="宋体"/>
        </w:rPr>
        <w:t>因为他们那种恐惧和反感已经被习惯所克制了。从波普尔的分析中可以推论出，</w:t>
      </w:r>
      <w:r>
        <w:rPr>
          <w:rFonts w:ascii="宋体" w:hAnsi="宋体" w:eastAsia="宋体" w:cs="Times New Roman"/>
        </w:rPr>
        <w:t>人打人、人杀人或人吃人</w:t>
      </w:r>
      <w:r>
        <w:rPr>
          <w:rFonts w:hint="eastAsia" w:ascii="宋体" w:hAnsi="宋体" w:eastAsia="宋体" w:cs="宋体"/>
        </w:rPr>
        <w:t>，</w:t>
      </w:r>
      <w:r>
        <w:rPr>
          <w:rFonts w:ascii="宋体" w:hAnsi="宋体" w:eastAsia="宋体" w:cs="Times New Roman"/>
        </w:rPr>
        <w:t>都不是现代人的本性或真正理性。弗洛姆甚至把接纳倾向型、剥削倾向型、贮藏倾向型和市场倾向型的人格归于病态</w:t>
      </w:r>
      <w:r>
        <w:rPr>
          <w:rFonts w:hint="eastAsia" w:ascii="宋体" w:hAnsi="宋体" w:eastAsia="宋体" w:cs="宋体"/>
        </w:rPr>
        <w:t>，</w:t>
      </w:r>
      <w:r>
        <w:rPr>
          <w:rFonts w:ascii="宋体" w:hAnsi="宋体" w:eastAsia="宋体" w:cs="Times New Roman"/>
        </w:rPr>
        <w:t>而只把充分发挥自己的潜力</w:t>
      </w:r>
      <w:r>
        <w:rPr>
          <w:rFonts w:hint="eastAsia" w:ascii="宋体" w:hAnsi="宋体" w:eastAsia="宋体" w:cs="宋体"/>
        </w:rPr>
        <w:t>，且不以损人利己来达到自己目的的生产倾向型人格，称作真正健康的人格。即使参照弗洛伊德关于</w:t>
      </w:r>
      <w:r>
        <w:rPr>
          <w:rFonts w:hint="eastAsia" w:ascii="宋体" w:hAnsi="宋体" w:eastAsia="宋体" w:cs="Times New Roman"/>
        </w:rPr>
        <w:t>“</w:t>
      </w:r>
      <w:r>
        <w:rPr>
          <w:rFonts w:ascii="宋体" w:hAnsi="宋体" w:eastAsia="宋体" w:cs="Times New Roman"/>
        </w:rPr>
        <w:t>本我”、</w:t>
      </w:r>
      <w:r>
        <w:rPr>
          <w:rFonts w:hint="eastAsia" w:ascii="宋体" w:hAnsi="宋体" w:eastAsia="宋体" w:cs="Times New Roman"/>
        </w:rPr>
        <w:t>“</w:t>
      </w:r>
      <w:r>
        <w:rPr>
          <w:rFonts w:ascii="宋体" w:hAnsi="宋体" w:eastAsia="宋体" w:cs="Times New Roman"/>
        </w:rPr>
        <w:t>自我”与</w:t>
      </w:r>
      <w:r>
        <w:rPr>
          <w:rFonts w:hint="eastAsia" w:ascii="宋体" w:hAnsi="宋体" w:eastAsia="宋体" w:cs="Times New Roman"/>
        </w:rPr>
        <w:t>“</w:t>
      </w:r>
      <w:r>
        <w:rPr>
          <w:rFonts w:ascii="宋体" w:hAnsi="宋体" w:eastAsia="宋体" w:cs="Times New Roman"/>
        </w:rPr>
        <w:t>超我”的划分</w:t>
      </w:r>
      <w:r>
        <w:rPr>
          <w:rFonts w:hint="eastAsia" w:ascii="宋体" w:hAnsi="宋体" w:eastAsia="宋体" w:cs="宋体"/>
        </w:rPr>
        <w:t>，也不能将天生的、原始的、本能的</w:t>
      </w:r>
      <w:r>
        <w:rPr>
          <w:rFonts w:hint="eastAsia" w:ascii="宋体" w:hAnsi="宋体" w:eastAsia="宋体" w:cs="Times New Roman"/>
        </w:rPr>
        <w:t>“</w:t>
      </w:r>
      <w:r>
        <w:rPr>
          <w:rFonts w:ascii="宋体" w:hAnsi="宋体" w:eastAsia="宋体" w:cs="Times New Roman"/>
        </w:rPr>
        <w:t>本我”等同于道德的、高级的、超个人的</w:t>
      </w:r>
      <w:r>
        <w:rPr>
          <w:rFonts w:hint="eastAsia" w:ascii="宋体" w:hAnsi="宋体" w:eastAsia="宋体" w:cs="Times New Roman"/>
        </w:rPr>
        <w:t>“</w:t>
      </w:r>
      <w:r>
        <w:rPr>
          <w:rFonts w:ascii="宋体" w:hAnsi="宋体" w:eastAsia="宋体" w:cs="Times New Roman"/>
        </w:rPr>
        <w:t>超我”</w:t>
      </w:r>
      <w:r>
        <w:rPr>
          <w:rFonts w:hint="eastAsia" w:ascii="宋体" w:hAnsi="宋体" w:eastAsia="宋体" w:cs="宋体"/>
        </w:rPr>
        <w:t>，</w:t>
      </w:r>
      <w:r>
        <w:rPr>
          <w:rFonts w:ascii="宋体" w:hAnsi="宋体" w:eastAsia="宋体" w:cs="Times New Roman"/>
        </w:rPr>
        <w:t>旧</w:t>
      </w:r>
      <w:r>
        <w:rPr>
          <w:rFonts w:hint="eastAsia" w:ascii="宋体" w:hAnsi="宋体" w:eastAsia="宋体" w:cs="Times New Roman"/>
        </w:rPr>
        <w:t>“</w:t>
      </w:r>
      <w:r>
        <w:rPr>
          <w:rFonts w:ascii="宋体" w:hAnsi="宋体" w:eastAsia="宋体" w:cs="Times New Roman"/>
        </w:rPr>
        <w:t>自私人”理念只相当于</w:t>
      </w:r>
      <w:r>
        <w:rPr>
          <w:rFonts w:hint="eastAsia" w:ascii="宋体" w:hAnsi="宋体" w:eastAsia="宋体" w:cs="Times New Roman"/>
        </w:rPr>
        <w:t>“</w:t>
      </w:r>
      <w:r>
        <w:rPr>
          <w:rFonts w:ascii="宋体" w:hAnsi="宋体" w:eastAsia="宋体" w:cs="Times New Roman"/>
        </w:rPr>
        <w:t>本我”层次和根据一般现实原则行事的理性</w:t>
      </w:r>
      <w:r>
        <w:rPr>
          <w:rFonts w:hint="eastAsia" w:ascii="宋体" w:hAnsi="宋体" w:eastAsia="宋体" w:cs="Times New Roman"/>
        </w:rPr>
        <w:t>“</w:t>
      </w:r>
      <w:r>
        <w:rPr>
          <w:rFonts w:ascii="宋体" w:hAnsi="宋体" w:eastAsia="宋体" w:cs="Times New Roman"/>
        </w:rPr>
        <w:t>自我”层次。</w:t>
      </w:r>
    </w:p>
    <w:p w14:paraId="17DDED81">
      <w:pPr>
        <w:spacing w:line="400" w:lineRule="exact"/>
        <w:ind w:firstLine="440" w:firstLineChars="200"/>
        <w:jc w:val="left"/>
        <w:rPr>
          <w:rFonts w:ascii="宋体" w:hAnsi="宋体" w:eastAsia="宋体" w:cs="Times New Roman"/>
        </w:rPr>
      </w:pPr>
      <w:r>
        <w:rPr>
          <w:rFonts w:ascii="宋体" w:hAnsi="宋体" w:eastAsia="宋体" w:cs="Times New Roman"/>
        </w:rPr>
        <w:t>第八</w:t>
      </w:r>
      <w:r>
        <w:rPr>
          <w:rFonts w:hint="eastAsia" w:ascii="宋体" w:hAnsi="宋体" w:eastAsia="宋体" w:cs="宋体"/>
        </w:rPr>
        <w:t>，其理念局限于</w:t>
      </w:r>
      <w:r>
        <w:rPr>
          <w:rFonts w:hint="eastAsia" w:ascii="宋体" w:hAnsi="宋体" w:eastAsia="宋体" w:cs="Times New Roman"/>
        </w:rPr>
        <w:t>“</w:t>
      </w:r>
      <w:r>
        <w:rPr>
          <w:rFonts w:ascii="宋体" w:hAnsi="宋体" w:eastAsia="宋体" w:cs="Times New Roman"/>
        </w:rPr>
        <w:t>店老板”的狭隘思维和人性异化心理。在近代</w:t>
      </w:r>
      <w:r>
        <w:rPr>
          <w:rFonts w:hint="eastAsia" w:ascii="宋体" w:hAnsi="宋体" w:eastAsia="宋体" w:cs="宋体"/>
        </w:rPr>
        <w:t>，</w:t>
      </w:r>
      <w:r>
        <w:rPr>
          <w:rFonts w:ascii="宋体" w:hAnsi="宋体" w:eastAsia="宋体" w:cs="Times New Roman"/>
        </w:rPr>
        <w:t>过分强调个人主义的经济和哲学思想具有反封建和反禁欲的积极效应</w:t>
      </w:r>
      <w:r>
        <w:rPr>
          <w:rFonts w:hint="eastAsia" w:ascii="宋体" w:hAnsi="宋体" w:eastAsia="宋体" w:cs="宋体"/>
        </w:rPr>
        <w:t>，但属于资产阶级缺乏学术严谨性的意识之一。德国历史学派李斯特在抨击斯密</w:t>
      </w:r>
      <w:r>
        <w:rPr>
          <w:rFonts w:hint="eastAsia" w:ascii="宋体" w:hAnsi="宋体" w:eastAsia="宋体" w:cs="Times New Roman"/>
        </w:rPr>
        <w:t>“</w:t>
      </w:r>
      <w:r>
        <w:rPr>
          <w:rFonts w:ascii="宋体" w:hAnsi="宋体" w:eastAsia="宋体" w:cs="Times New Roman"/>
        </w:rPr>
        <w:t>经济人”的人性假设及其理论体系时就尖锐地指出：</w:t>
      </w:r>
      <w:r>
        <w:rPr>
          <w:rFonts w:hint="eastAsia" w:ascii="宋体" w:hAnsi="宋体" w:eastAsia="宋体" w:cs="Times New Roman"/>
        </w:rPr>
        <w:t>“</w:t>
      </w:r>
      <w:r>
        <w:rPr>
          <w:rFonts w:ascii="宋体" w:hAnsi="宋体" w:eastAsia="宋体" w:cs="Times New Roman"/>
        </w:rPr>
        <w:t>这个学说是以店老板的观点来考虑一切问题的”</w:t>
      </w:r>
      <w:r>
        <w:rPr>
          <w:rFonts w:hint="eastAsia" w:ascii="宋体" w:hAnsi="宋体" w:eastAsia="宋体" w:cs="宋体"/>
        </w:rPr>
        <w:t>，</w:t>
      </w:r>
      <w:r>
        <w:rPr>
          <w:rFonts w:hint="eastAsia" w:ascii="宋体" w:hAnsi="宋体" w:eastAsia="宋体" w:cs="Times New Roman"/>
        </w:rPr>
        <w:t>“</w:t>
      </w:r>
      <w:r>
        <w:rPr>
          <w:rFonts w:ascii="宋体" w:hAnsi="宋体" w:eastAsia="宋体" w:cs="Times New Roman"/>
        </w:rPr>
        <w:t>完全否认了国家和国家利益的存在</w:t>
      </w:r>
      <w:r>
        <w:rPr>
          <w:rFonts w:hint="eastAsia" w:ascii="宋体" w:hAnsi="宋体" w:eastAsia="宋体" w:cs="宋体"/>
        </w:rPr>
        <w:t>，一切都要听任个人安排</w:t>
      </w:r>
      <w:r>
        <w:rPr>
          <w:rFonts w:ascii="宋体" w:hAnsi="宋体" w:eastAsia="宋体" w:cs="Times New Roman"/>
        </w:rPr>
        <w:t>”</w:t>
      </w:r>
      <w:r>
        <w:rPr>
          <w:rFonts w:hint="eastAsia" w:ascii="宋体" w:hAnsi="宋体" w:eastAsia="宋体" w:cs="宋体"/>
        </w:rPr>
        <w:t>，</w:t>
      </w:r>
      <w:r>
        <w:rPr>
          <w:rFonts w:hint="eastAsia" w:ascii="宋体" w:hAnsi="宋体" w:eastAsia="宋体" w:cs="Times New Roman"/>
        </w:rPr>
        <w:t>“</w:t>
      </w:r>
      <w:r>
        <w:rPr>
          <w:rFonts w:ascii="宋体" w:hAnsi="宋体" w:eastAsia="宋体" w:cs="Times New Roman"/>
        </w:rPr>
        <w:t>利己性格抬高到一切效力的创造者的地位”。［4］（P158）该学派认为</w:t>
      </w:r>
      <w:r>
        <w:rPr>
          <w:rFonts w:hint="eastAsia" w:ascii="宋体" w:hAnsi="宋体" w:eastAsia="宋体" w:cs="宋体"/>
        </w:rPr>
        <w:t>，客观存在三种现实人的行为：一是在私人的经济中，</w:t>
      </w:r>
      <w:r>
        <w:rPr>
          <w:rFonts w:ascii="宋体" w:hAnsi="宋体" w:eastAsia="宋体" w:cs="Times New Roman"/>
        </w:rPr>
        <w:t>一切以个人利益为转移；二是在强制的公有经济中</w:t>
      </w:r>
      <w:r>
        <w:rPr>
          <w:rFonts w:hint="eastAsia" w:ascii="宋体" w:hAnsi="宋体" w:eastAsia="宋体" w:cs="宋体"/>
        </w:rPr>
        <w:t>，</w:t>
      </w:r>
      <w:r>
        <w:rPr>
          <w:rFonts w:ascii="宋体" w:hAnsi="宋体" w:eastAsia="宋体" w:cs="Times New Roman"/>
        </w:rPr>
        <w:t>以社会全体利益为行动准则；三是在以慈善福利为目的的经济中</w:t>
      </w:r>
      <w:r>
        <w:rPr>
          <w:rFonts w:hint="eastAsia" w:ascii="宋体" w:hAnsi="宋体" w:eastAsia="宋体" w:cs="宋体"/>
        </w:rPr>
        <w:t>，</w:t>
      </w:r>
      <w:r>
        <w:rPr>
          <w:rFonts w:ascii="宋体" w:hAnsi="宋体" w:eastAsia="宋体" w:cs="Times New Roman"/>
        </w:rPr>
        <w:t>主要以伦理道德为行动规范。历史学派的这一经济哲学的思维逻辑有着深邃的意义。在马尔库塞和弗洛姆的理念里</w:t>
      </w:r>
      <w:r>
        <w:rPr>
          <w:rFonts w:hint="eastAsia" w:ascii="宋体" w:hAnsi="宋体" w:eastAsia="宋体" w:cs="宋体"/>
        </w:rPr>
        <w:t>，</w:t>
      </w:r>
      <w:r>
        <w:rPr>
          <w:rFonts w:ascii="宋体" w:hAnsi="宋体" w:eastAsia="宋体" w:cs="Times New Roman"/>
        </w:rPr>
        <w:t>人性异化是自有人类社会以来就存在的现象</w:t>
      </w:r>
      <w:r>
        <w:rPr>
          <w:rFonts w:hint="eastAsia" w:ascii="宋体" w:hAnsi="宋体" w:eastAsia="宋体" w:cs="宋体"/>
        </w:rPr>
        <w:t>，只是在当代资本主义社会中变得更加突出和严重，并充分表现</w:t>
      </w:r>
      <w:r>
        <w:rPr>
          <w:rFonts w:ascii="宋体" w:hAnsi="宋体" w:eastAsia="宋体" w:cs="Times New Roman"/>
        </w:rPr>
        <w:t>在生产和消费等各个方面。实际上</w:t>
      </w:r>
      <w:r>
        <w:rPr>
          <w:rFonts w:hint="eastAsia" w:ascii="宋体" w:hAnsi="宋体" w:eastAsia="宋体" w:cs="Times New Roman"/>
        </w:rPr>
        <w:t>“</w:t>
      </w:r>
      <w:r>
        <w:rPr>
          <w:rFonts w:ascii="宋体" w:hAnsi="宋体" w:eastAsia="宋体" w:cs="Times New Roman"/>
        </w:rPr>
        <w:t>店老板”的心理就是人性异化心理的重要反映</w:t>
      </w:r>
      <w:r>
        <w:rPr>
          <w:rFonts w:hint="eastAsia" w:ascii="宋体" w:hAnsi="宋体" w:eastAsia="宋体" w:cs="宋体"/>
        </w:rPr>
        <w:t>，而不管西方</w:t>
      </w:r>
      <w:r>
        <w:rPr>
          <w:rFonts w:hint="eastAsia" w:ascii="宋体" w:hAnsi="宋体" w:eastAsia="宋体" w:cs="Times New Roman"/>
        </w:rPr>
        <w:t>“</w:t>
      </w:r>
      <w:r>
        <w:rPr>
          <w:rFonts w:ascii="宋体" w:hAnsi="宋体" w:eastAsia="宋体" w:cs="Times New Roman"/>
        </w:rPr>
        <w:t>自私人”理论披上多么豪华的数学理性的外衣</w:t>
      </w:r>
      <w:r>
        <w:rPr>
          <w:rFonts w:hint="eastAsia" w:ascii="宋体" w:hAnsi="宋体" w:eastAsia="宋体" w:cs="宋体"/>
        </w:rPr>
        <w:t>，也掩饰不了其经</w:t>
      </w:r>
      <w:r>
        <w:rPr>
          <w:rFonts w:ascii="宋体" w:hAnsi="宋体" w:eastAsia="宋体" w:cs="Times New Roman"/>
        </w:rPr>
        <w:t>济哲学思想的某种阶级和社会的印记。</w:t>
      </w:r>
    </w:p>
    <w:p w14:paraId="3ADFF504">
      <w:pPr>
        <w:spacing w:line="400" w:lineRule="exact"/>
        <w:ind w:firstLine="500" w:firstLineChars="200"/>
        <w:jc w:val="center"/>
        <w:rPr>
          <w:rFonts w:ascii="宋体" w:hAnsi="宋体" w:eastAsia="宋体" w:cs="Times New Roman"/>
          <w:b/>
          <w:bCs/>
          <w:sz w:val="24"/>
          <w:szCs w:val="28"/>
        </w:rPr>
      </w:pPr>
      <w:r>
        <w:rPr>
          <w:rFonts w:ascii="宋体" w:hAnsi="宋体" w:eastAsia="宋体" w:cs="Times New Roman"/>
          <w:b/>
          <w:bCs/>
          <w:sz w:val="24"/>
          <w:szCs w:val="28"/>
        </w:rPr>
        <w:t>二</w:t>
      </w:r>
    </w:p>
    <w:p w14:paraId="592A3A93">
      <w:pPr>
        <w:spacing w:line="400" w:lineRule="exact"/>
        <w:ind w:firstLine="440" w:firstLineChars="200"/>
        <w:jc w:val="left"/>
        <w:rPr>
          <w:rFonts w:ascii="宋体" w:hAnsi="宋体" w:eastAsia="宋体" w:cs="Times New Roman"/>
        </w:rPr>
      </w:pPr>
      <w:r>
        <w:rPr>
          <w:rFonts w:ascii="宋体" w:hAnsi="宋体" w:eastAsia="宋体" w:cs="Times New Roman"/>
        </w:rPr>
        <w:t>依据人类实践和问题导向,并受马克思的思想启迪,我认为必须确立一种新</w:t>
      </w:r>
      <w:r>
        <w:rPr>
          <w:rFonts w:hint="eastAsia" w:ascii="宋体" w:hAnsi="宋体" w:eastAsia="宋体" w:cs="Times New Roman"/>
        </w:rPr>
        <w:t>“</w:t>
      </w:r>
      <w:r>
        <w:rPr>
          <w:rFonts w:ascii="宋体" w:hAnsi="宋体" w:eastAsia="宋体" w:cs="Times New Roman"/>
        </w:rPr>
        <w:t>经济人”假说和理论,其方法论是整体主义、唯物主义和现实主义的。这是作为后马克思经济学综合学派的</w:t>
      </w:r>
      <w:r>
        <w:rPr>
          <w:rFonts w:hint="eastAsia" w:ascii="宋体" w:hAnsi="宋体" w:eastAsia="宋体" w:cs="Times New Roman"/>
        </w:rPr>
        <w:t>“</w:t>
      </w:r>
      <w:r>
        <w:rPr>
          <w:rFonts w:ascii="宋体" w:hAnsi="宋体" w:eastAsia="宋体" w:cs="Times New Roman"/>
        </w:rPr>
        <w:t>海派经济学”基本假设和理论之一,也是超越现代西方经济学的</w:t>
      </w:r>
      <w:r>
        <w:rPr>
          <w:rFonts w:hint="eastAsia" w:ascii="宋体" w:hAnsi="宋体" w:eastAsia="宋体" w:cs="Times New Roman"/>
        </w:rPr>
        <w:t>“</w:t>
      </w:r>
      <w:r>
        <w:rPr>
          <w:rFonts w:ascii="宋体" w:hAnsi="宋体" w:eastAsia="宋体" w:cs="Times New Roman"/>
        </w:rPr>
        <w:t>后现代经济学”理论。它包含三个基本命题:1.经济活动中的人有利己和利他两种倾向或性质。2.经济活动中的人具有理性与非理性两种状态。3.良好的制度会使经济活动中的人在增进集体利益或社会利益最大化的过程中实现合理的个人利益最大化。</w:t>
      </w:r>
    </w:p>
    <w:p w14:paraId="44355DDD">
      <w:pPr>
        <w:spacing w:line="400" w:lineRule="exact"/>
        <w:ind w:firstLine="440" w:firstLineChars="200"/>
        <w:jc w:val="left"/>
        <w:rPr>
          <w:rFonts w:ascii="宋体" w:hAnsi="宋体" w:eastAsia="宋体" w:cs="Times New Roman"/>
        </w:rPr>
      </w:pPr>
      <w:r>
        <w:rPr>
          <w:rFonts w:ascii="宋体" w:hAnsi="宋体" w:eastAsia="宋体" w:cs="Times New Roman"/>
        </w:rPr>
        <w:t>关于第一个命题。作为逐渐脱离动物界和超越动物本能的人类,具有及其丰富的情感和理智,不是单纯地表现为完全的自私性。倘若我们摆脱单向度的思维定式,超出大小私有者的眼光去观察人类经历过的社会,便可明显地看到三种情形的利他主义(他人利益泛指除自己利益以外的别人利益、集体利益、国家利益和人类利益等):1.愿意花费自己的时间、精力和财富,来换取某种即刻可见的他人利益;2.愿意花费自己的时间、精力和财富,来换取某种未来的他人利益;3.愿意花费自己的时间、精力和财富,来换取某种实际无效的他人利益,即愿为他人利益而不讲究实际无效的他人利益,即愿为他人利益而不讲究实际效果。除了后一种属于特殊和个别的利他行为之外,前两种利他行为既存在于单位、家庭和社会等各个范围,也存在于经济、军事、文化和政治等各个领域。可见利己与利他是经济人经济主体可能具有的两种行为特性和行为倾向。</w:t>
      </w:r>
    </w:p>
    <w:p w14:paraId="58F8BAE1">
      <w:pPr>
        <w:spacing w:line="400" w:lineRule="exact"/>
        <w:ind w:firstLine="440" w:firstLineChars="200"/>
        <w:jc w:val="left"/>
        <w:rPr>
          <w:rFonts w:ascii="宋体" w:hAnsi="宋体" w:eastAsia="宋体" w:cs="Times New Roman"/>
        </w:rPr>
      </w:pPr>
      <w:r>
        <w:rPr>
          <w:rFonts w:ascii="宋体" w:hAnsi="宋体" w:eastAsia="宋体" w:cs="Times New Roman"/>
        </w:rPr>
        <w:t>至于社会上利己和利他哪种行为特征突出或占主导地位,那就取决于社会制度和各种环境。因为人的利己与利他是一种社会网络中的互动行为,具有交互性的内在机理,总是与特定的社会整体大环境和群体小环境相关联。摩尔根在潜心探究古代印第安人的原始经济生活后描绘道:</w:t>
      </w:r>
      <w:r>
        <w:rPr>
          <w:rFonts w:hint="eastAsia" w:ascii="宋体" w:hAnsi="宋体" w:eastAsia="宋体" w:cs="Times New Roman"/>
        </w:rPr>
        <w:t xml:space="preserve"> “</w:t>
      </w:r>
      <w:r>
        <w:rPr>
          <w:rFonts w:ascii="宋体" w:hAnsi="宋体" w:eastAsia="宋体" w:cs="Times New Roman"/>
        </w:rPr>
        <w:t>在很大程度上生活中的共产制是印第安部落的生活条件的必然结果。……在他们心里还没有产生任何可见程度的个人积蓄的欲望”;</w:t>
      </w:r>
      <w:r>
        <w:rPr>
          <w:rFonts w:hint="eastAsia" w:ascii="宋体" w:hAnsi="宋体" w:eastAsia="宋体" w:cs="Times New Roman"/>
        </w:rPr>
        <w:t xml:space="preserve"> “</w:t>
      </w:r>
      <w:r>
        <w:rPr>
          <w:rFonts w:ascii="宋体" w:hAnsi="宋体" w:eastAsia="宋体" w:cs="Times New Roman"/>
        </w:rPr>
        <w:t>这些风俗习惯展示了他们的生活方式,并且揭示出他们的生活状况与文明社会的生活状况之间,以及没有个体特性的印第安家庭与文明社会高度个性化的家庭之间的巨大差异。”[7](P86,99)毋庸置疑,是以后数千年的多种私有制支配了人类社会,才促使私有经济的活动主体逐渐驱散了利他心态,甚至见利忘义,惟利是图,损人利己。</w:t>
      </w:r>
    </w:p>
    <w:p w14:paraId="4186AE1C">
      <w:pPr>
        <w:spacing w:line="400" w:lineRule="exact"/>
        <w:ind w:firstLine="440" w:firstLineChars="200"/>
        <w:jc w:val="left"/>
        <w:rPr>
          <w:rFonts w:ascii="宋体" w:hAnsi="宋体" w:eastAsia="宋体" w:cs="Times New Roman"/>
        </w:rPr>
      </w:pPr>
      <w:r>
        <w:rPr>
          <w:rFonts w:ascii="宋体" w:hAnsi="宋体" w:eastAsia="宋体" w:cs="Times New Roman"/>
        </w:rPr>
        <w:t>必须指出,把一切利他行为均视为利己行为是不合情理的。旧</w:t>
      </w:r>
      <w:r>
        <w:rPr>
          <w:rFonts w:hint="eastAsia" w:ascii="宋体" w:hAnsi="宋体" w:eastAsia="宋体" w:cs="Times New Roman"/>
        </w:rPr>
        <w:t>“</w:t>
      </w:r>
      <w:r>
        <w:rPr>
          <w:rFonts w:ascii="宋体" w:hAnsi="宋体" w:eastAsia="宋体" w:cs="Times New Roman"/>
        </w:rPr>
        <w:t>经济人”理论认为,和尚救济穷人,雷锋助人为乐,抗洪牺牲者,反法西斯冲锋陷阵者,等等,都是自私的,因为当你觉得助人为乐和牺牲光荣时,已经满足了个人的心理需求和主观欲望。这种用主观欲望的满足来界定自私行为的唯心论方法,混淆了利己与利他的客观行为界限,也混淆了真善美与假恶丑的客观行为界限。事实上,利己与利他、主观与客观之间的典型组合有四种:主观利己,客观利己;主观利他,客观利他;主观利己,客观利他;主观利他,客观利己。</w:t>
      </w:r>
    </w:p>
    <w:p w14:paraId="737DB060">
      <w:pPr>
        <w:spacing w:line="400" w:lineRule="exact"/>
        <w:ind w:firstLine="440" w:firstLineChars="200"/>
        <w:jc w:val="left"/>
        <w:rPr>
          <w:rFonts w:ascii="宋体" w:hAnsi="宋体" w:eastAsia="宋体" w:cs="Times New Roman"/>
        </w:rPr>
      </w:pPr>
      <w:r>
        <w:rPr>
          <w:rFonts w:ascii="宋体" w:hAnsi="宋体" w:eastAsia="宋体" w:cs="Times New Roman"/>
        </w:rPr>
        <w:t>关于第二个命题。与一般自然界的动物相比,人是有理性的动物。人的正常行为是从一定的理性出发,并反映人们对于个人与他人、与社会、与自然的相互关系的思考,决定着行为的形式和内容。广义地说,理性具有纯洁与肮脏、合理与荒唐、正义与邪恶、完善与欠缺、不变与可变、单一与多样、简单与复杂等特性。哲学家尼布尔正是在宽泛的意义上声称,理性归根结底是一种工具,既能服务于善,也能服务于恶。不过,狭义地说,理性是指认识的纯洁、合理、正义和完善,是认识能力强和认识的高级阶段而认识的不纯洁甚至肮脏、不合理甚至荒唐、非正义甚至邪恶以及不完善甚至欠缺,便相对地算作非理性。这就是为何有很多哲学家和经济学家歌颂真正理性的原由。可见,理性与非理性一般呈现出相对性、程度性和历史性。难怪马克思说:</w:t>
      </w:r>
      <w:r>
        <w:rPr>
          <w:rFonts w:hint="eastAsia" w:ascii="宋体" w:hAnsi="宋体" w:eastAsia="宋体" w:cs="Times New Roman"/>
        </w:rPr>
        <w:t xml:space="preserve"> “</w:t>
      </w:r>
      <w:r>
        <w:rPr>
          <w:rFonts w:ascii="宋体" w:hAnsi="宋体" w:eastAsia="宋体" w:cs="Times New Roman"/>
        </w:rPr>
        <w:t>人类理性最不纯洁,因为它只具有不完备的见解,每走一步都要遇到新的待解决的任务。”[8](P151)</w:t>
      </w:r>
    </w:p>
    <w:p w14:paraId="629B3A3C">
      <w:pPr>
        <w:spacing w:line="400" w:lineRule="exact"/>
        <w:ind w:firstLine="440" w:firstLineChars="200"/>
        <w:jc w:val="left"/>
        <w:rPr>
          <w:rFonts w:ascii="宋体" w:hAnsi="宋体" w:eastAsia="宋体" w:cs="Times New Roman"/>
        </w:rPr>
      </w:pPr>
      <w:r>
        <w:rPr>
          <w:rFonts w:ascii="宋体" w:hAnsi="宋体" w:eastAsia="宋体" w:cs="Times New Roman"/>
        </w:rPr>
        <w:t>从狭义角度分析,经济活动中的人具有理性与非理性两种状态。循着上述确立的新观点,就可以合乎逻辑地解答中外学术界争论不休的难题。例如,抢银行是不是理性的?盗窃是不是理性的?卖淫是不是理性的(波斯纳曾分析过)?造假货是不是理性的?抽烟是不是理性的?从新</w:t>
      </w:r>
      <w:r>
        <w:rPr>
          <w:rFonts w:hint="eastAsia" w:ascii="宋体" w:hAnsi="宋体" w:eastAsia="宋体" w:cs="Times New Roman"/>
        </w:rPr>
        <w:t>“</w:t>
      </w:r>
      <w:r>
        <w:rPr>
          <w:rFonts w:ascii="宋体" w:hAnsi="宋体" w:eastAsia="宋体" w:cs="Times New Roman"/>
        </w:rPr>
        <w:t>经济人”的理论来辨析,此类涉及经济的活动均属非理性。尽管他们在行动前一般经过</w:t>
      </w:r>
      <w:r>
        <w:rPr>
          <w:rFonts w:hint="eastAsia" w:ascii="宋体" w:hAnsi="宋体" w:eastAsia="宋体" w:cs="Times New Roman"/>
        </w:rPr>
        <w:t>“</w:t>
      </w:r>
      <w:r>
        <w:rPr>
          <w:rFonts w:ascii="宋体" w:hAnsi="宋体" w:eastAsia="宋体" w:cs="Times New Roman"/>
        </w:rPr>
        <w:t>构成其行为动机的目的”和</w:t>
      </w:r>
      <w:r>
        <w:rPr>
          <w:rFonts w:hint="eastAsia" w:ascii="宋体" w:hAnsi="宋体" w:eastAsia="宋体" w:cs="Times New Roman"/>
        </w:rPr>
        <w:t>“</w:t>
      </w:r>
      <w:r>
        <w:rPr>
          <w:rFonts w:ascii="宋体" w:hAnsi="宋体" w:eastAsia="宋体" w:cs="Times New Roman"/>
        </w:rPr>
        <w:t>限制其达到目标的约束条件”等</w:t>
      </w:r>
      <w:r>
        <w:rPr>
          <w:rFonts w:hint="eastAsia" w:ascii="宋体" w:hAnsi="宋体" w:eastAsia="宋体" w:cs="Times New Roman"/>
        </w:rPr>
        <w:t>“</w:t>
      </w:r>
      <w:r>
        <w:rPr>
          <w:rFonts w:ascii="宋体" w:hAnsi="宋体" w:eastAsia="宋体" w:cs="Times New Roman"/>
        </w:rPr>
        <w:t>理性”的思考(旧</w:t>
      </w:r>
      <w:r>
        <w:rPr>
          <w:rFonts w:hint="eastAsia" w:ascii="宋体" w:hAnsi="宋体" w:eastAsia="宋体" w:cs="Times New Roman"/>
        </w:rPr>
        <w:t>“</w:t>
      </w:r>
      <w:r>
        <w:rPr>
          <w:rFonts w:ascii="宋体" w:hAnsi="宋体" w:eastAsia="宋体" w:cs="Times New Roman"/>
        </w:rPr>
        <w:t>经济人”理论所强调的)。其实,西蒙用</w:t>
      </w:r>
      <w:r>
        <w:rPr>
          <w:rFonts w:hint="eastAsia" w:ascii="宋体" w:hAnsi="宋体" w:eastAsia="宋体" w:cs="Times New Roman"/>
        </w:rPr>
        <w:t>“</w:t>
      </w:r>
      <w:r>
        <w:rPr>
          <w:rFonts w:ascii="宋体" w:hAnsi="宋体" w:eastAsia="宋体" w:cs="Times New Roman"/>
        </w:rPr>
        <w:t>有限理性”否定</w:t>
      </w:r>
      <w:r>
        <w:rPr>
          <w:rFonts w:hint="eastAsia" w:ascii="宋体" w:hAnsi="宋体" w:eastAsia="宋体" w:cs="Times New Roman"/>
        </w:rPr>
        <w:t>“</w:t>
      </w:r>
      <w:r>
        <w:rPr>
          <w:rFonts w:ascii="宋体" w:hAnsi="宋体" w:eastAsia="宋体" w:cs="Times New Roman"/>
        </w:rPr>
        <w:t>最大化的理性”,是难以驳倒旧”经济人”理性的,因为谁又会主张</w:t>
      </w:r>
      <w:r>
        <w:rPr>
          <w:rFonts w:hint="eastAsia" w:ascii="宋体" w:hAnsi="宋体" w:eastAsia="宋体" w:cs="Times New Roman"/>
        </w:rPr>
        <w:t>“</w:t>
      </w:r>
      <w:r>
        <w:rPr>
          <w:rFonts w:ascii="宋体" w:hAnsi="宋体" w:eastAsia="宋体" w:cs="Times New Roman"/>
        </w:rPr>
        <w:t>无限理性”和百分之百的</w:t>
      </w:r>
      <w:r>
        <w:rPr>
          <w:rFonts w:hint="eastAsia" w:ascii="宋体" w:hAnsi="宋体" w:eastAsia="宋体" w:cs="Times New Roman"/>
        </w:rPr>
        <w:t>“</w:t>
      </w:r>
      <w:r>
        <w:rPr>
          <w:rFonts w:ascii="宋体" w:hAnsi="宋体" w:eastAsia="宋体" w:cs="Times New Roman"/>
        </w:rPr>
        <w:t>完全理性”呢?理性上追求约束条件下的最大化,不等于实际经济生活中能实现,但无法因此而否定</w:t>
      </w:r>
      <w:r>
        <w:rPr>
          <w:rFonts w:hint="eastAsia" w:ascii="宋体" w:hAnsi="宋体" w:eastAsia="宋体" w:cs="Times New Roman"/>
        </w:rPr>
        <w:t>“</w:t>
      </w:r>
      <w:r>
        <w:rPr>
          <w:rFonts w:ascii="宋体" w:hAnsi="宋体" w:eastAsia="宋体" w:cs="Times New Roman"/>
        </w:rPr>
        <w:t>最大化的理性”。况且,在约束条件下寻求</w:t>
      </w:r>
      <w:r>
        <w:rPr>
          <w:rFonts w:hint="eastAsia" w:ascii="宋体" w:hAnsi="宋体" w:eastAsia="宋体" w:cs="Times New Roman"/>
        </w:rPr>
        <w:t>“</w:t>
      </w:r>
      <w:r>
        <w:rPr>
          <w:rFonts w:ascii="宋体" w:hAnsi="宋体" w:eastAsia="宋体" w:cs="Times New Roman"/>
        </w:rPr>
        <w:t>满意的利润”和</w:t>
      </w:r>
      <w:r>
        <w:rPr>
          <w:rFonts w:hint="eastAsia" w:ascii="宋体" w:hAnsi="宋体" w:eastAsia="宋体" w:cs="Times New Roman"/>
        </w:rPr>
        <w:t>“</w:t>
      </w:r>
      <w:r>
        <w:rPr>
          <w:rFonts w:ascii="宋体" w:hAnsi="宋体" w:eastAsia="宋体" w:cs="Times New Roman"/>
        </w:rPr>
        <w:t>足够好”,实质上就是理性所寻求的利益相对最大化。</w:t>
      </w:r>
    </w:p>
    <w:p w14:paraId="0D94DEF7">
      <w:pPr>
        <w:spacing w:line="400" w:lineRule="exact"/>
        <w:ind w:firstLine="440" w:firstLineChars="200"/>
        <w:jc w:val="left"/>
        <w:rPr>
          <w:rFonts w:ascii="宋体" w:hAnsi="宋体" w:eastAsia="宋体" w:cs="Times New Roman"/>
        </w:rPr>
      </w:pPr>
      <w:r>
        <w:rPr>
          <w:rFonts w:ascii="宋体" w:hAnsi="宋体" w:eastAsia="宋体" w:cs="Times New Roman"/>
        </w:rPr>
        <w:t>关于第三个命题。在私有经济范围内,个人追求自身利益最大化的自由行动会无意而程度不同地增减社会公共利益,并非如旧</w:t>
      </w:r>
      <w:r>
        <w:rPr>
          <w:rFonts w:hint="eastAsia" w:ascii="宋体" w:hAnsi="宋体" w:eastAsia="宋体" w:cs="Times New Roman"/>
        </w:rPr>
        <w:t>“</w:t>
      </w:r>
      <w:r>
        <w:rPr>
          <w:rFonts w:ascii="宋体" w:hAnsi="宋体" w:eastAsia="宋体" w:cs="Times New Roman"/>
        </w:rPr>
        <w:t>经济人”理论所说的,只要有良好的制度保证,个人追求自身利益最大化的自由行动肯定只会无意而有效地增进社会公共利益。这是因为:根本经济制度与具体经济制度(确切地说是具体经济体制)有紧密的关联,私有制必然从根本上限制良好经济制度或体制的建立和健全;个人一味地优先追求自身利益最大化,经常会同各类群体利益和社会利益发生矛盾与冲突,个人利益的总和不一定等于群体利益或社会利益的总和与潜在的最大化。</w:t>
      </w:r>
    </w:p>
    <w:p w14:paraId="15D0C57C">
      <w:pPr>
        <w:spacing w:line="400" w:lineRule="exact"/>
        <w:ind w:firstLine="440" w:firstLineChars="200"/>
        <w:jc w:val="left"/>
        <w:rPr>
          <w:rFonts w:ascii="宋体" w:hAnsi="宋体" w:eastAsia="宋体" w:cs="Times New Roman"/>
        </w:rPr>
      </w:pPr>
      <w:r>
        <w:rPr>
          <w:rFonts w:ascii="宋体" w:hAnsi="宋体" w:eastAsia="宋体" w:cs="Times New Roman"/>
        </w:rPr>
        <w:t>从理论上分析,在社会公有经济范围内,良好的制度会使经济活动中的人在增进集体利益和社会利益最大化的过程中实现合理的个人利益最大化。这是因为:在良好的制度下,公有经济的基点是为集体或社会谋利益,作为在其中活动的个人及其理性首先要服从集体理性或社会理性,即首先寻求集体利益最大化(类似戴维·米勒等所说的</w:t>
      </w:r>
      <w:r>
        <w:rPr>
          <w:rFonts w:hint="eastAsia" w:ascii="宋体" w:hAnsi="宋体" w:eastAsia="宋体" w:cs="Times New Roman"/>
        </w:rPr>
        <w:t>“</w:t>
      </w:r>
      <w:r>
        <w:rPr>
          <w:rFonts w:ascii="宋体" w:hAnsi="宋体" w:eastAsia="宋体" w:cs="Times New Roman"/>
        </w:rPr>
        <w:t>社群”,但这里不谈社会理性与集体理性的矛盾)或社会利益最大化,否则,就会因个人主义而受到利益制约和利益损失;在良好的制度下,已经取得相对最大化的集体利益或社会利益,必然比较公平地分配到每个人(如按劳分配等),从而最终实现个人利益的最大化。</w:t>
      </w:r>
    </w:p>
    <w:p w14:paraId="08DFC154">
      <w:pPr>
        <w:spacing w:line="400" w:lineRule="exact"/>
        <w:ind w:firstLine="440" w:firstLineChars="200"/>
        <w:jc w:val="left"/>
        <w:rPr>
          <w:rFonts w:ascii="宋体" w:hAnsi="宋体" w:eastAsia="宋体" w:cs="Times New Roman"/>
        </w:rPr>
      </w:pPr>
      <w:r>
        <w:rPr>
          <w:rFonts w:ascii="宋体" w:hAnsi="宋体" w:eastAsia="宋体" w:cs="Times New Roman"/>
        </w:rPr>
        <w:t>现在,直观的流行思维可能会以某些公有企业不景气为理由来非议上述理念,这肯定不能成立。诚然,以上理论探析的正确性有待于详细的逻辑证明和实践检验,尤其是公有制能否实际达到高绩效,须以高水平管理的操作为前提。但迄今为止的公有制实践,已经部分地有力地证实了新</w:t>
      </w:r>
      <w:r>
        <w:rPr>
          <w:rFonts w:hint="eastAsia" w:ascii="宋体" w:hAnsi="宋体" w:eastAsia="宋体" w:cs="Times New Roman"/>
        </w:rPr>
        <w:t>“</w:t>
      </w:r>
      <w:r>
        <w:rPr>
          <w:rFonts w:ascii="宋体" w:hAnsi="宋体" w:eastAsia="宋体" w:cs="Times New Roman"/>
        </w:rPr>
        <w:t>经济人”理论。哲学上的证伪主义有些绝对化。理论不是不能被证实,而是可能一直被不断地或间歇地部分证实。所谓实践是检验真理的标准,也并非单指某一时点上的具体经验或实践。</w:t>
      </w:r>
    </w:p>
    <w:p w14:paraId="58F706A1">
      <w:pPr>
        <w:spacing w:line="400" w:lineRule="exact"/>
        <w:ind w:firstLine="440" w:firstLineChars="200"/>
        <w:jc w:val="left"/>
        <w:rPr>
          <w:rFonts w:ascii="宋体" w:hAnsi="宋体" w:eastAsia="宋体" w:cs="Times New Roman"/>
        </w:rPr>
      </w:pPr>
      <w:r>
        <w:rPr>
          <w:rFonts w:ascii="宋体" w:hAnsi="宋体" w:eastAsia="宋体" w:cs="Times New Roman"/>
        </w:rPr>
        <w:t>20世纪西方最伟大的经济学家凯恩斯曾作出一个经济哲学的重要预言:一旦民众都实现了物质富足,人们就会</w:t>
      </w:r>
      <w:r>
        <w:rPr>
          <w:rFonts w:hint="eastAsia" w:ascii="宋体" w:hAnsi="宋体" w:eastAsia="宋体" w:cs="Times New Roman"/>
        </w:rPr>
        <w:t>“</w:t>
      </w:r>
      <w:r>
        <w:rPr>
          <w:rFonts w:ascii="宋体" w:hAnsi="宋体" w:eastAsia="宋体" w:cs="Times New Roman"/>
        </w:rPr>
        <w:t>再一次把目的看得重于手段,宁愿追求善而不追求实用”;到那时,社会将</w:t>
      </w:r>
      <w:r>
        <w:rPr>
          <w:rFonts w:hint="eastAsia" w:ascii="宋体" w:hAnsi="宋体" w:eastAsia="宋体" w:cs="Times New Roman"/>
        </w:rPr>
        <w:t>“</w:t>
      </w:r>
      <w:r>
        <w:rPr>
          <w:rFonts w:ascii="宋体" w:hAnsi="宋体" w:eastAsia="宋体" w:cs="Times New Roman"/>
        </w:rPr>
        <w:t>回到最稳定可靠的宗教原则与传统原则———即以贪婪为邪恶,以高利贷勒索为不端行为,以爱财为可憎”;</w:t>
      </w:r>
      <w:r>
        <w:rPr>
          <w:rFonts w:hint="eastAsia" w:ascii="宋体" w:hAnsi="宋体" w:eastAsia="宋体" w:cs="Times New Roman"/>
        </w:rPr>
        <w:t>“</w:t>
      </w:r>
      <w:r>
        <w:rPr>
          <w:rFonts w:ascii="宋体" w:hAnsi="宋体" w:eastAsia="宋体" w:cs="Times New Roman"/>
        </w:rPr>
        <w:t>可是,要注意!这样的时候还没有到来。至少在一百年内,我们还必须对己对人扬言美就是恶,恶就是美;因为恶实用,美不实用。我们还会有稍长一段时间要把贪婪、高利贷剥削、防范戒备奉为信条。只有这样,才能把我们从经济必然性的地道里引领出来见到天日”。[9](P9)20世纪最有影响的基督教哲学家尼布尔也作出了杰出的预见社会冲突和不公正的根源建立在人的无知与自私上,资本主义</w:t>
      </w:r>
      <w:r>
        <w:rPr>
          <w:rFonts w:hint="eastAsia" w:ascii="宋体" w:hAnsi="宋体" w:eastAsia="宋体" w:cs="Times New Roman"/>
        </w:rPr>
        <w:t>“</w:t>
      </w:r>
      <w:r>
        <w:rPr>
          <w:rFonts w:ascii="宋体" w:hAnsi="宋体" w:eastAsia="宋体" w:cs="Times New Roman"/>
        </w:rPr>
        <w:t>通过使人的关系带有日益增强的技术性而更清楚地揭示出人类活动的经济动机,它使经济学家亚当·斯密抽象出来的经济人成为活生生的现实。……通过使一个具有特定经济地位的个人更明确地加入一个自觉的社会政治集团并让他们建立起能表达集团共同利益的组织,从而加剧了阶级之间的冲突和对抗。……事实上,马克思主义的社会主义足够正确地说明了产业工人对社会和历史的看法,从而使它成为所有自觉的有政治才智的产业工人可以接受的社会和政治哲学”。[10](P114-115)这两位思想大师都可以佐证新</w:t>
      </w:r>
      <w:r>
        <w:rPr>
          <w:rFonts w:hint="eastAsia" w:ascii="宋体" w:hAnsi="宋体" w:eastAsia="宋体" w:cs="Times New Roman"/>
        </w:rPr>
        <w:t>“</w:t>
      </w:r>
      <w:r>
        <w:rPr>
          <w:rFonts w:ascii="宋体" w:hAnsi="宋体" w:eastAsia="宋体" w:cs="Times New Roman"/>
        </w:rPr>
        <w:t>经济人”的假设和理论,有益于我们在现阶段坚持以公有制为主体的市场经济和共产主义的远大理想。</w:t>
      </w:r>
    </w:p>
    <w:p w14:paraId="6CA06F8B">
      <w:pPr>
        <w:spacing w:line="400" w:lineRule="exact"/>
        <w:ind w:firstLine="440" w:firstLineChars="200"/>
        <w:jc w:val="center"/>
        <w:rPr>
          <w:rFonts w:ascii="宋体" w:hAnsi="宋体" w:eastAsia="宋体" w:cs="Times New Roman"/>
          <w:b/>
          <w:bCs/>
        </w:rPr>
      </w:pPr>
      <w:r>
        <w:rPr>
          <w:rFonts w:ascii="宋体" w:hAnsi="宋体" w:eastAsia="宋体" w:cs="Times New Roman"/>
          <w:b/>
          <w:bCs/>
        </w:rPr>
        <w:t>参考文献：</w:t>
      </w:r>
    </w:p>
    <w:p w14:paraId="3C836A8F">
      <w:pPr>
        <w:spacing w:line="400" w:lineRule="exact"/>
        <w:ind w:firstLine="440" w:firstLineChars="200"/>
        <w:jc w:val="left"/>
        <w:rPr>
          <w:rFonts w:ascii="宋体" w:hAnsi="宋体" w:eastAsia="宋体" w:cs="Times New Roman"/>
        </w:rPr>
      </w:pPr>
      <w:r>
        <w:rPr>
          <w:rFonts w:ascii="宋体" w:hAnsi="宋体" w:eastAsia="宋体" w:cs="Times New Roman"/>
        </w:rPr>
        <w:t>［1］　休谟．人性论［M］．下册．北京：商务印书馆</w:t>
      </w:r>
      <w:r>
        <w:rPr>
          <w:rFonts w:hint="eastAsia" w:ascii="宋体" w:hAnsi="宋体" w:eastAsia="宋体" w:cs="宋体"/>
        </w:rPr>
        <w:t>，</w:t>
      </w:r>
      <w:r>
        <w:rPr>
          <w:rFonts w:ascii="宋体" w:hAnsi="宋体" w:eastAsia="宋体" w:cs="Times New Roman"/>
        </w:rPr>
        <w:t>1997．</w:t>
      </w:r>
    </w:p>
    <w:p w14:paraId="3B2776EC">
      <w:pPr>
        <w:spacing w:line="400" w:lineRule="exact"/>
        <w:ind w:firstLine="440" w:firstLineChars="200"/>
        <w:jc w:val="left"/>
        <w:rPr>
          <w:rFonts w:ascii="宋体" w:hAnsi="宋体" w:eastAsia="宋体" w:cs="Times New Roman"/>
        </w:rPr>
      </w:pPr>
      <w:r>
        <w:rPr>
          <w:rFonts w:ascii="宋体" w:hAnsi="宋体" w:eastAsia="宋体" w:cs="Times New Roman"/>
        </w:rPr>
        <w:t>［2］　米塞斯．经济学的认识论问题［M］．北京：经济科学出版社</w:t>
      </w:r>
      <w:r>
        <w:rPr>
          <w:rFonts w:hint="eastAsia" w:ascii="宋体" w:hAnsi="宋体" w:eastAsia="宋体" w:cs="宋体"/>
        </w:rPr>
        <w:t>，</w:t>
      </w:r>
      <w:r>
        <w:rPr>
          <w:rFonts w:ascii="宋体" w:hAnsi="宋体" w:eastAsia="宋体" w:cs="Times New Roman"/>
        </w:rPr>
        <w:t>2001．</w:t>
      </w:r>
    </w:p>
    <w:p w14:paraId="2B4630CB">
      <w:pPr>
        <w:spacing w:line="400" w:lineRule="exact"/>
        <w:ind w:firstLine="440" w:firstLineChars="200"/>
        <w:jc w:val="left"/>
        <w:rPr>
          <w:rFonts w:ascii="宋体" w:hAnsi="宋体" w:eastAsia="宋体" w:cs="Times New Roman"/>
        </w:rPr>
      </w:pPr>
      <w:r>
        <w:rPr>
          <w:rFonts w:ascii="宋体" w:hAnsi="宋体" w:eastAsia="宋体" w:cs="Times New Roman"/>
        </w:rPr>
        <w:t>［3］　新旧个人主义．载杜威文选［M］．上海：上海社会科学院出版社</w:t>
      </w:r>
      <w:r>
        <w:rPr>
          <w:rFonts w:hint="eastAsia" w:ascii="宋体" w:hAnsi="宋体" w:eastAsia="宋体" w:cs="宋体"/>
        </w:rPr>
        <w:t>，</w:t>
      </w:r>
      <w:r>
        <w:rPr>
          <w:rFonts w:ascii="宋体" w:hAnsi="宋体" w:eastAsia="宋体" w:cs="Times New Roman"/>
        </w:rPr>
        <w:t>1997．</w:t>
      </w:r>
    </w:p>
    <w:p w14:paraId="736C56A0">
      <w:pPr>
        <w:spacing w:line="400" w:lineRule="exact"/>
        <w:ind w:firstLine="440" w:firstLineChars="200"/>
        <w:jc w:val="left"/>
        <w:rPr>
          <w:rFonts w:ascii="宋体" w:hAnsi="宋体" w:eastAsia="宋体" w:cs="Times New Roman"/>
        </w:rPr>
      </w:pPr>
      <w:r>
        <w:rPr>
          <w:rFonts w:ascii="宋体" w:hAnsi="宋体" w:eastAsia="宋体" w:cs="Times New Roman"/>
        </w:rPr>
        <w:t>［4］　程恩富．西方产权理论评析［M］．北京：当代中国出版社</w:t>
      </w:r>
      <w:r>
        <w:rPr>
          <w:rFonts w:hint="eastAsia" w:ascii="宋体" w:hAnsi="宋体" w:eastAsia="宋体" w:cs="宋体"/>
        </w:rPr>
        <w:t>，</w:t>
      </w:r>
      <w:r>
        <w:rPr>
          <w:rFonts w:ascii="宋体" w:hAnsi="宋体" w:eastAsia="宋体" w:cs="Times New Roman"/>
        </w:rPr>
        <w:t>1997．</w:t>
      </w:r>
    </w:p>
    <w:p w14:paraId="00A6185F">
      <w:pPr>
        <w:spacing w:line="400" w:lineRule="exact"/>
        <w:ind w:firstLine="440" w:firstLineChars="200"/>
        <w:jc w:val="left"/>
        <w:rPr>
          <w:rFonts w:ascii="宋体" w:hAnsi="宋体" w:eastAsia="宋体" w:cs="Times New Roman"/>
        </w:rPr>
      </w:pPr>
      <w:r>
        <w:rPr>
          <w:rFonts w:ascii="宋体" w:hAnsi="宋体" w:eastAsia="宋体" w:cs="Times New Roman"/>
        </w:rPr>
        <w:t>［5］　劳伦斯·A·博兰．批判的经济学方法论［M］．北京：经济科学出版社</w:t>
      </w:r>
      <w:r>
        <w:rPr>
          <w:rFonts w:hint="eastAsia" w:ascii="宋体" w:hAnsi="宋体" w:eastAsia="宋体" w:cs="宋体"/>
        </w:rPr>
        <w:t>，</w:t>
      </w:r>
      <w:r>
        <w:rPr>
          <w:rFonts w:ascii="宋体" w:hAnsi="宋体" w:eastAsia="宋体" w:cs="Times New Roman"/>
        </w:rPr>
        <w:t>2000．</w:t>
      </w:r>
    </w:p>
    <w:p w14:paraId="408B06D7">
      <w:pPr>
        <w:spacing w:line="400" w:lineRule="exact"/>
        <w:ind w:firstLine="440" w:firstLineChars="200"/>
        <w:jc w:val="left"/>
        <w:rPr>
          <w:rFonts w:ascii="宋体" w:hAnsi="宋体" w:eastAsia="宋体" w:cs="Times New Roman"/>
        </w:rPr>
      </w:pPr>
      <w:r>
        <w:rPr>
          <w:rFonts w:ascii="宋体" w:hAnsi="宋体" w:eastAsia="宋体" w:cs="Times New Roman"/>
        </w:rPr>
        <w:t>［6］　杨春学．经济人与社会秩序分析［M］．上海：上海三联书店</w:t>
      </w:r>
      <w:r>
        <w:rPr>
          <w:rFonts w:hint="eastAsia" w:ascii="宋体" w:hAnsi="宋体" w:eastAsia="宋体" w:cs="宋体"/>
        </w:rPr>
        <w:t>，</w:t>
      </w:r>
      <w:r>
        <w:rPr>
          <w:rFonts w:ascii="宋体" w:hAnsi="宋体" w:eastAsia="宋体" w:cs="Times New Roman"/>
        </w:rPr>
        <w:t>上海人民出版社</w:t>
      </w:r>
      <w:r>
        <w:rPr>
          <w:rFonts w:hint="eastAsia" w:ascii="宋体" w:hAnsi="宋体" w:eastAsia="宋体" w:cs="宋体"/>
        </w:rPr>
        <w:t>，</w:t>
      </w:r>
      <w:r>
        <w:rPr>
          <w:rFonts w:ascii="宋体" w:hAnsi="宋体" w:eastAsia="宋体" w:cs="Times New Roman"/>
        </w:rPr>
        <w:t>1998．</w:t>
      </w:r>
    </w:p>
    <w:p w14:paraId="18F85649">
      <w:pPr>
        <w:spacing w:line="400" w:lineRule="exact"/>
        <w:ind w:firstLine="440" w:firstLineChars="200"/>
        <w:jc w:val="left"/>
        <w:rPr>
          <w:rFonts w:ascii="宋体" w:hAnsi="宋体" w:eastAsia="宋体" w:cs="Times New Roman"/>
        </w:rPr>
      </w:pPr>
      <w:r>
        <w:rPr>
          <w:rFonts w:ascii="宋体" w:hAnsi="宋体" w:eastAsia="宋体" w:cs="Times New Roman"/>
        </w:rPr>
        <w:t>［7］　摩尔根．印第安人的房屋建筑与家庭生活［M］．北京：文物出版社</w:t>
      </w:r>
      <w:r>
        <w:rPr>
          <w:rFonts w:hint="eastAsia" w:ascii="宋体" w:hAnsi="宋体" w:eastAsia="宋体" w:cs="宋体"/>
        </w:rPr>
        <w:t>，</w:t>
      </w:r>
      <w:r>
        <w:rPr>
          <w:rFonts w:ascii="宋体" w:hAnsi="宋体" w:eastAsia="宋体" w:cs="Times New Roman"/>
        </w:rPr>
        <w:t>1992．</w:t>
      </w:r>
    </w:p>
    <w:p w14:paraId="0694C04E">
      <w:pPr>
        <w:spacing w:line="400" w:lineRule="exact"/>
        <w:ind w:firstLine="440" w:firstLineChars="200"/>
        <w:jc w:val="left"/>
        <w:rPr>
          <w:rFonts w:ascii="宋体" w:hAnsi="宋体" w:eastAsia="宋体" w:cs="Times New Roman"/>
        </w:rPr>
      </w:pPr>
      <w:r>
        <w:rPr>
          <w:rFonts w:ascii="宋体" w:hAnsi="宋体" w:eastAsia="宋体" w:cs="Times New Roman"/>
        </w:rPr>
        <w:t>［8］　马克思恩格斯全集［M］．第4卷．北京：人民出版社</w:t>
      </w:r>
      <w:r>
        <w:rPr>
          <w:rFonts w:hint="eastAsia" w:ascii="宋体" w:hAnsi="宋体" w:eastAsia="宋体" w:cs="宋体"/>
        </w:rPr>
        <w:t>，</w:t>
      </w:r>
      <w:r>
        <w:rPr>
          <w:rFonts w:ascii="宋体" w:hAnsi="宋体" w:eastAsia="宋体" w:cs="Times New Roman"/>
        </w:rPr>
        <w:t>1958．</w:t>
      </w:r>
    </w:p>
    <w:p w14:paraId="5E21F7DB">
      <w:pPr>
        <w:spacing w:line="400" w:lineRule="exact"/>
        <w:ind w:firstLine="440" w:firstLineChars="200"/>
        <w:jc w:val="left"/>
        <w:rPr>
          <w:rFonts w:ascii="宋体" w:hAnsi="宋体" w:eastAsia="宋体" w:cs="Times New Roman"/>
        </w:rPr>
      </w:pPr>
      <w:r>
        <w:rPr>
          <w:rFonts w:ascii="宋体" w:hAnsi="宋体" w:eastAsia="宋体" w:cs="Times New Roman"/>
        </w:rPr>
        <w:t>［9］　舒马赫．小的是美好的［M］．北京：商务印书馆</w:t>
      </w:r>
      <w:r>
        <w:rPr>
          <w:rFonts w:hint="eastAsia" w:ascii="宋体" w:hAnsi="宋体" w:eastAsia="宋体" w:cs="宋体"/>
        </w:rPr>
        <w:t>，</w:t>
      </w:r>
      <w:r>
        <w:rPr>
          <w:rFonts w:ascii="宋体" w:hAnsi="宋体" w:eastAsia="宋体" w:cs="Times New Roman"/>
        </w:rPr>
        <w:t>1984．</w:t>
      </w:r>
    </w:p>
    <w:p w14:paraId="2976D0E4">
      <w:pPr>
        <w:spacing w:line="400" w:lineRule="exact"/>
        <w:ind w:firstLine="440" w:firstLineChars="200"/>
        <w:jc w:val="left"/>
        <w:rPr>
          <w:rFonts w:ascii="宋体" w:hAnsi="宋体" w:eastAsia="宋体" w:cs="Times New Roman"/>
        </w:rPr>
      </w:pPr>
      <w:r>
        <w:rPr>
          <w:rFonts w:ascii="宋体" w:hAnsi="宋体" w:eastAsia="宋体" w:cs="Times New Roman"/>
        </w:rPr>
        <w:t>［10］　尼布尔．道德的人与不道德的社会［M］．贵阳：贵州人民出版社</w:t>
      </w:r>
      <w:r>
        <w:rPr>
          <w:rFonts w:hint="eastAsia" w:ascii="宋体" w:hAnsi="宋体" w:eastAsia="宋体" w:cs="宋体"/>
        </w:rPr>
        <w:t>，</w:t>
      </w:r>
      <w:r>
        <w:rPr>
          <w:rFonts w:ascii="宋体" w:hAnsi="宋体" w:eastAsia="宋体" w:cs="Times New Roman"/>
        </w:rPr>
        <w:t>1998．</w:t>
      </w:r>
    </w:p>
    <w:p w14:paraId="29350AD4">
      <w:pPr>
        <w:spacing w:line="400" w:lineRule="exact"/>
        <w:ind w:firstLine="440" w:firstLineChars="200"/>
        <w:jc w:val="left"/>
        <w:rPr>
          <w:rFonts w:ascii="宋体" w:hAnsi="宋体" w:eastAsia="宋体" w:cs="Times New Roman"/>
        </w:rPr>
      </w:pPr>
      <w:r>
        <w:rPr>
          <w:rFonts w:ascii="宋体" w:hAnsi="宋体" w:eastAsia="宋体" w:cs="Times New Roman"/>
        </w:rPr>
        <w:t>（原载《教学与研究》，2003年第11期）</w:t>
      </w:r>
      <w:r>
        <w:rPr>
          <w:rFonts w:ascii="宋体" w:hAnsi="宋体" w:eastAsia="宋体" w:cs="Times New Roman"/>
        </w:rPr>
        <w:br w:type="page"/>
      </w:r>
    </w:p>
    <w:p w14:paraId="1BD6ADF4">
      <w:pPr>
        <w:spacing w:line="400" w:lineRule="exact"/>
        <w:ind w:firstLine="440" w:firstLineChars="200"/>
        <w:jc w:val="left"/>
        <w:rPr>
          <w:rFonts w:ascii="宋体" w:hAnsi="宋体" w:eastAsia="宋体" w:cs="Times New Roman"/>
        </w:rPr>
      </w:pPr>
    </w:p>
    <w:p w14:paraId="6619B1D2">
      <w:pPr>
        <w:pStyle w:val="2"/>
        <w:spacing w:before="120" w:after="120" w:line="360" w:lineRule="auto"/>
        <w:ind w:firstLine="660" w:firstLineChars="200"/>
        <w:rPr>
          <w:rFonts w:ascii="宋体" w:hAnsi="宋体" w:eastAsia="宋体" w:cs="Times New Roman"/>
          <w:b/>
          <w:bCs w:val="0"/>
        </w:rPr>
      </w:pPr>
      <w:bookmarkStart w:id="275" w:name="_Toc16473"/>
      <w:bookmarkStart w:id="276" w:name="_Toc110957402"/>
      <w:bookmarkStart w:id="277" w:name="_Toc9834"/>
      <w:bookmarkStart w:id="278" w:name="_Toc93074550"/>
      <w:bookmarkStart w:id="279" w:name="_Toc508500546"/>
      <w:bookmarkStart w:id="280" w:name="_Toc362927507"/>
      <w:r>
        <w:rPr>
          <w:rFonts w:ascii="宋体" w:hAnsi="宋体" w:eastAsia="宋体" w:cs="Times New Roman"/>
          <w:bCs w:val="0"/>
        </w:rPr>
        <w:t>2004年</w:t>
      </w:r>
      <w:bookmarkEnd w:id="275"/>
      <w:bookmarkEnd w:id="276"/>
      <w:bookmarkEnd w:id="277"/>
      <w:bookmarkEnd w:id="278"/>
      <w:bookmarkEnd w:id="279"/>
      <w:bookmarkEnd w:id="280"/>
    </w:p>
    <w:p w14:paraId="1F0592F6">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281" w:name="_Toc24836"/>
      <w:bookmarkStart w:id="282" w:name="_Toc13758"/>
      <w:bookmarkStart w:id="283" w:name="_Toc110957403"/>
      <w:bookmarkStart w:id="284" w:name="_Toc1531245209"/>
      <w:bookmarkStart w:id="285" w:name="_Toc869052669"/>
      <w:bookmarkStart w:id="286" w:name="_Toc18951"/>
      <w:bookmarkStart w:id="287" w:name="_Toc15366"/>
      <w:bookmarkStart w:id="288" w:name="_Toc12232"/>
      <w:bookmarkStart w:id="289" w:name="_Toc16830"/>
      <w:bookmarkStart w:id="290" w:name="_Toc93074551"/>
      <w:bookmarkStart w:id="291" w:name="_Toc26094"/>
      <w:r>
        <w:rPr>
          <w:rFonts w:ascii="黑体" w:hAnsi="黑体" w:eastAsia="黑体" w:cs="Times New Roman"/>
          <w:color w:val="000000"/>
          <w:kern w:val="0"/>
          <w:sz w:val="32"/>
          <w:szCs w:val="32"/>
          <w:lang w:bidi="ar"/>
        </w:rPr>
        <w:t>律师保密义务和追诉时效制度的经济分析</w:t>
      </w:r>
      <w:bookmarkEnd w:id="281"/>
      <w:bookmarkStart w:id="292" w:name="_Toc19136"/>
      <w:r>
        <w:rPr>
          <w:rFonts w:ascii="黑体" w:hAnsi="黑体" w:eastAsia="黑体" w:cs="Times New Roman"/>
          <w:color w:val="000000"/>
          <w:kern w:val="0"/>
          <w:sz w:val="32"/>
          <w:szCs w:val="32"/>
          <w:lang w:bidi="ar"/>
        </w:rPr>
        <w:t>——挑战中外法学界主流理论</w:t>
      </w:r>
      <w:bookmarkEnd w:id="282"/>
      <w:bookmarkEnd w:id="283"/>
      <w:bookmarkEnd w:id="284"/>
      <w:bookmarkEnd w:id="285"/>
      <w:bookmarkEnd w:id="292"/>
    </w:p>
    <w:p w14:paraId="3DE4D219">
      <w:pPr>
        <w:spacing w:line="400" w:lineRule="exact"/>
        <w:ind w:firstLine="440" w:firstLineChars="200"/>
        <w:rPr>
          <w:rFonts w:ascii="宋体" w:hAnsi="宋体" w:eastAsia="宋体" w:cs="Times New Roman"/>
          <w:szCs w:val="21"/>
        </w:rPr>
      </w:pPr>
      <w:r>
        <w:rPr>
          <w:rFonts w:ascii="宋体" w:hAnsi="宋体" w:eastAsia="宋体" w:cs="Times New Roman"/>
          <w:szCs w:val="21"/>
        </w:rPr>
        <w:t>内容摘要：本文的研究属于经济学分析法学的范畴,试图以经济学方法探讨律师保密义务和追诉时效制度在确保公正的前提下可能出现的效率问题，从而分析这两项制度安排的合理性。本文通过对两者涉及的各相关主体进行以成本一收益分析为核心的行为分析，发现律师保密义务和追诉时效制度无法在较低的私人成本、社会成本支出水平上实现司法收益的最大化，即这两项制度导致了司法资源配置的低效率。</w:t>
      </w:r>
    </w:p>
    <w:p w14:paraId="14FBBB8E">
      <w:pPr>
        <w:spacing w:line="400" w:lineRule="exact"/>
        <w:ind w:firstLine="440" w:firstLineChars="200"/>
        <w:rPr>
          <w:rFonts w:ascii="宋体" w:hAnsi="宋体" w:eastAsia="宋体" w:cs="Times New Roman"/>
          <w:szCs w:val="21"/>
        </w:rPr>
      </w:pPr>
      <w:r>
        <w:rPr>
          <w:rFonts w:ascii="宋体" w:hAnsi="宋体" w:eastAsia="宋体" w:cs="Times New Roman"/>
          <w:szCs w:val="21"/>
        </w:rPr>
        <w:t>关键词公平效率律师保密义务追诉时效</w:t>
      </w:r>
    </w:p>
    <w:p w14:paraId="5C7DB936">
      <w:pPr>
        <w:spacing w:line="400" w:lineRule="exact"/>
        <w:ind w:firstLine="500" w:firstLineChars="200"/>
        <w:jc w:val="center"/>
        <w:rPr>
          <w:rFonts w:ascii="宋体" w:hAnsi="宋体" w:eastAsia="宋体" w:cs="Times New Roman"/>
          <w:b/>
          <w:bCs/>
          <w:sz w:val="24"/>
          <w:szCs w:val="24"/>
        </w:rPr>
      </w:pPr>
      <w:r>
        <w:rPr>
          <w:rFonts w:ascii="宋体" w:hAnsi="宋体" w:eastAsia="宋体" w:cs="Times New Roman"/>
          <w:b/>
          <w:bCs/>
          <w:sz w:val="24"/>
          <w:szCs w:val="24"/>
        </w:rPr>
        <w:t>一、引言</w:t>
      </w:r>
    </w:p>
    <w:p w14:paraId="526BAD8C">
      <w:pPr>
        <w:spacing w:line="400" w:lineRule="exact"/>
        <w:ind w:firstLine="440" w:firstLineChars="200"/>
        <w:rPr>
          <w:rFonts w:ascii="宋体" w:hAnsi="宋体" w:eastAsia="宋体" w:cs="Times New Roman"/>
          <w:szCs w:val="21"/>
        </w:rPr>
      </w:pPr>
      <w:r>
        <w:rPr>
          <w:rFonts w:ascii="宋体" w:hAnsi="宋体" w:eastAsia="宋体" w:cs="Times New Roman"/>
          <w:szCs w:val="21"/>
        </w:rPr>
        <w:t>经济学分析法学(Economic Analysis of Law),又称法律经济学(The E</w:t>
      </w:r>
      <w:r>
        <w:rPr>
          <w:rFonts w:ascii="宋体" w:hAnsi="宋体" w:eastAsia="宋体" w:cs="Times New Roman"/>
          <w:szCs w:val="21"/>
        </w:rPr>
        <w:softHyphen/>
      </w:r>
      <w:r>
        <w:rPr>
          <w:rFonts w:ascii="宋体" w:hAnsi="宋体" w:eastAsia="宋体" w:cs="Times New Roman"/>
          <w:szCs w:val="21"/>
        </w:rPr>
        <w:t>conomics of Law)、法学与经济学(Law and Economics)，是经济学与法学相互融合、相互交叉产生的一门学科。法学家在运用经济学原理和方法解决法律问题时更关注</w:t>
      </w:r>
      <w:r>
        <w:rPr>
          <w:rFonts w:hint="eastAsia" w:ascii="宋体" w:hAnsi="宋体" w:eastAsia="宋体" w:cs="Times New Roman"/>
          <w:szCs w:val="21"/>
        </w:rPr>
        <w:t>“</w:t>
      </w:r>
      <w:r>
        <w:rPr>
          <w:rFonts w:ascii="宋体" w:hAnsi="宋体" w:eastAsia="宋体" w:cs="Times New Roman"/>
          <w:szCs w:val="21"/>
        </w:rPr>
        <w:t>公正”，而经济学家更多关注于</w:t>
      </w:r>
      <w:r>
        <w:rPr>
          <w:rFonts w:hint="eastAsia" w:ascii="宋体" w:hAnsi="宋体" w:eastAsia="宋体" w:cs="Times New Roman"/>
          <w:szCs w:val="21"/>
        </w:rPr>
        <w:t>“</w:t>
      </w:r>
      <w:r>
        <w:rPr>
          <w:rFonts w:ascii="宋体" w:hAnsi="宋体" w:eastAsia="宋体" w:cs="Times New Roman"/>
          <w:szCs w:val="21"/>
        </w:rPr>
        <w:t>效率”，就同一个法律规则而言,法学家维护的是正义，经济学家维护的是效率……但在绝大多数的情況下，经济方法和法律方法常常是殊途同归”</w:t>
      </w:r>
      <w:r>
        <w:rPr>
          <w:rStyle w:val="20"/>
          <w:rFonts w:ascii="宋体" w:hAnsi="宋体" w:eastAsia="宋体" w:cs="Times New Roman"/>
          <w:szCs w:val="21"/>
        </w:rPr>
        <w:footnoteReference w:id="65"/>
      </w:r>
      <w:r>
        <w:rPr>
          <w:rFonts w:ascii="宋体" w:hAnsi="宋体" w:eastAsia="宋体" w:cs="Times New Roman"/>
          <w:szCs w:val="21"/>
        </w:rPr>
        <w:t>，因为在司法的全过程中，都不可避免面临在司法资源有限的情况下实现司法资源的有效配置、提高法律效率的问题，经济学分析法学最主要的观点就是</w:t>
      </w:r>
      <w:r>
        <w:rPr>
          <w:rFonts w:hint="eastAsia" w:ascii="宋体" w:hAnsi="宋体" w:eastAsia="宋体" w:cs="Times New Roman"/>
          <w:szCs w:val="21"/>
        </w:rPr>
        <w:t>“</w:t>
      </w:r>
      <w:r>
        <w:rPr>
          <w:rFonts w:ascii="宋体" w:hAnsi="宋体" w:eastAsia="宋体" w:cs="Times New Roman"/>
          <w:szCs w:val="21"/>
        </w:rPr>
        <w:t>任何法律的制定和执行都应有利于资源配置的效益最大化”</w:t>
      </w:r>
      <w:r>
        <w:rPr>
          <w:rStyle w:val="20"/>
          <w:rFonts w:ascii="宋体" w:hAnsi="宋体" w:eastAsia="宋体" w:cs="Times New Roman"/>
          <w:szCs w:val="21"/>
        </w:rPr>
        <w:footnoteReference w:id="66"/>
      </w:r>
      <w:r>
        <w:rPr>
          <w:rFonts w:ascii="宋体" w:hAnsi="宋体" w:eastAsia="宋体" w:cs="Times New Roman"/>
          <w:szCs w:val="21"/>
        </w:rPr>
        <w:t>，在这个层面上法学和经济学达到了一定程度的统一。对于公正和效率在具体个案上出现的偏离，借用博登海默的名言:</w:t>
      </w:r>
      <w:r>
        <w:rPr>
          <w:rFonts w:hint="eastAsia" w:ascii="宋体" w:hAnsi="宋体" w:eastAsia="宋体" w:cs="Times New Roman"/>
          <w:szCs w:val="21"/>
        </w:rPr>
        <w:t xml:space="preserve"> “</w:t>
      </w:r>
      <w:r>
        <w:rPr>
          <w:rFonts w:ascii="宋体" w:hAnsi="宋体" w:eastAsia="宋体" w:cs="Times New Roman"/>
          <w:szCs w:val="21"/>
        </w:rPr>
        <w:t>法律是一个带有许多大厅、房间、凹角、拐角的大厦，在同一时间里想用一盏探照灯照亮每一间房间、凹角和拐角是极为困难的，尤其是由于技术知识和经验的局限，照明系统不适当或至少不完备时，情况就更是如此了”</w:t>
      </w:r>
      <w:r>
        <w:rPr>
          <w:rStyle w:val="20"/>
          <w:rFonts w:ascii="宋体" w:hAnsi="宋体" w:eastAsia="宋体" w:cs="Times New Roman"/>
          <w:szCs w:val="21"/>
        </w:rPr>
        <w:footnoteReference w:id="67"/>
      </w:r>
      <w:r>
        <w:rPr>
          <w:rFonts w:ascii="宋体" w:hAnsi="宋体" w:eastAsia="宋体" w:cs="Times New Roman"/>
          <w:szCs w:val="21"/>
        </w:rPr>
        <w:t>。</w:t>
      </w:r>
    </w:p>
    <w:p w14:paraId="2FAF1ABE">
      <w:pPr>
        <w:spacing w:line="400" w:lineRule="exact"/>
        <w:ind w:firstLine="440" w:firstLineChars="200"/>
        <w:rPr>
          <w:rFonts w:ascii="宋体" w:hAnsi="宋体" w:eastAsia="宋体" w:cs="Times New Roman"/>
          <w:szCs w:val="21"/>
        </w:rPr>
      </w:pPr>
      <w:r>
        <w:rPr>
          <w:rFonts w:ascii="宋体" w:hAnsi="宋体" w:eastAsia="宋体" w:cs="Times New Roman"/>
          <w:szCs w:val="21"/>
        </w:rPr>
        <w:t>律师保密义务和追诉时效制度是在法学界内外都存在一定争议的问题,本文试图以经济学的方法对律师保密义务和追诉时效制度进行分析,探讨两者在确保公正的前提下可能出现的效率问题，藉此作为运用经济学分析法学在研究具体制度安排方面的一次尝试。</w:t>
      </w:r>
    </w:p>
    <w:p w14:paraId="07A8E411">
      <w:pPr>
        <w:spacing w:line="400" w:lineRule="exact"/>
        <w:ind w:firstLine="500" w:firstLineChars="200"/>
        <w:jc w:val="center"/>
        <w:rPr>
          <w:rFonts w:ascii="宋体" w:hAnsi="宋体" w:eastAsia="宋体" w:cs="Times New Roman"/>
          <w:b/>
          <w:bCs/>
          <w:sz w:val="24"/>
          <w:szCs w:val="24"/>
        </w:rPr>
      </w:pPr>
      <w:r>
        <w:rPr>
          <w:rFonts w:ascii="宋体" w:hAnsi="宋体" w:eastAsia="宋体" w:cs="Times New Roman"/>
          <w:b/>
          <w:bCs/>
          <w:sz w:val="24"/>
          <w:szCs w:val="24"/>
        </w:rPr>
        <w:t>二、律师保密义务</w:t>
      </w:r>
    </w:p>
    <w:p w14:paraId="2AF472D2">
      <w:pPr>
        <w:spacing w:line="400" w:lineRule="exact"/>
        <w:ind w:firstLine="440" w:firstLineChars="200"/>
        <w:rPr>
          <w:rFonts w:ascii="宋体" w:hAnsi="宋体" w:eastAsia="宋体" w:cs="Times New Roman"/>
          <w:b/>
          <w:bCs/>
          <w:szCs w:val="21"/>
        </w:rPr>
      </w:pPr>
      <w:r>
        <w:rPr>
          <w:rFonts w:ascii="宋体" w:hAnsi="宋体" w:eastAsia="宋体" w:cs="Times New Roman"/>
          <w:b/>
          <w:bCs/>
          <w:szCs w:val="21"/>
        </w:rPr>
        <w:t>(一)律师保密义务释义</w:t>
      </w:r>
    </w:p>
    <w:p w14:paraId="3B2D4A45">
      <w:pPr>
        <w:spacing w:line="400" w:lineRule="exact"/>
        <w:ind w:firstLine="440" w:firstLineChars="200"/>
        <w:rPr>
          <w:rFonts w:ascii="宋体" w:hAnsi="宋体" w:eastAsia="宋体" w:cs="Times New Roman"/>
          <w:szCs w:val="21"/>
        </w:rPr>
      </w:pPr>
      <w:r>
        <w:rPr>
          <w:rFonts w:ascii="宋体" w:hAnsi="宋体" w:eastAsia="宋体" w:cs="Times New Roman"/>
          <w:szCs w:val="21"/>
        </w:rPr>
        <w:t>律师保密义务是指律师应当保守在其职务活动中知悉的与其职务工作有关的秘密,这种秘密与一般意义上的国家机密、商业秘密以及个人隐私不同，它通常指</w:t>
      </w:r>
      <w:r>
        <w:rPr>
          <w:rFonts w:hint="eastAsia" w:ascii="宋体" w:hAnsi="宋体" w:eastAsia="宋体" w:cs="Times New Roman"/>
          <w:szCs w:val="21"/>
        </w:rPr>
        <w:t>“</w:t>
      </w:r>
      <w:r>
        <w:rPr>
          <w:rFonts w:ascii="宋体" w:hAnsi="宋体" w:eastAsia="宋体" w:cs="Times New Roman"/>
          <w:szCs w:val="21"/>
        </w:rPr>
        <w:t>在诉讼活动中或处理法律事务中，不利于被代理人或被告人，且司法机关或相对人尚未掌握，被代理人或者被告人又不愿意透露的事实、证据、情节、线索等。”</w:t>
      </w:r>
      <w:r>
        <w:rPr>
          <w:rStyle w:val="20"/>
          <w:rFonts w:ascii="宋体" w:hAnsi="宋体" w:eastAsia="宋体" w:cs="Times New Roman"/>
          <w:szCs w:val="21"/>
        </w:rPr>
        <w:footnoteReference w:id="68"/>
      </w:r>
    </w:p>
    <w:p w14:paraId="2B6CE37F">
      <w:pPr>
        <w:spacing w:line="400" w:lineRule="exact"/>
        <w:ind w:firstLine="440" w:firstLineChars="200"/>
        <w:rPr>
          <w:rFonts w:ascii="宋体" w:hAnsi="宋体" w:eastAsia="宋体" w:cs="Times New Roman"/>
          <w:szCs w:val="21"/>
        </w:rPr>
      </w:pPr>
      <w:r>
        <w:rPr>
          <w:rFonts w:ascii="宋体" w:hAnsi="宋体" w:eastAsia="宋体" w:cs="Times New Roman"/>
          <w:szCs w:val="21"/>
        </w:rPr>
        <w:t>1.律师保密义务立法例</w:t>
      </w:r>
    </w:p>
    <w:p w14:paraId="4A264C00">
      <w:pPr>
        <w:spacing w:line="400" w:lineRule="exact"/>
        <w:ind w:firstLine="440" w:firstLineChars="200"/>
        <w:rPr>
          <w:rFonts w:ascii="宋体" w:hAnsi="宋体" w:eastAsia="宋体" w:cs="Times New Roman"/>
          <w:szCs w:val="21"/>
        </w:rPr>
      </w:pPr>
      <w:r>
        <w:rPr>
          <w:rFonts w:ascii="宋体" w:hAnsi="宋体" w:eastAsia="宋体" w:cs="Times New Roman"/>
          <w:szCs w:val="21"/>
        </w:rPr>
        <w:t>英美法系和大陆法系在立法权的归属和法的渊源、法的体系、法的分类、司法组织、诉讼活动等诸多方面存在差异,但是两大法系各典型国家在立法上对于律师保密义务都作出了相应规定。如美国《联邦证据法》第503条规定，辩护律师有拒绝作证的特权;德国《刑事诉讼法》第53条规定，被指控人的辩护人对其在行使职务时被信赖告知或所知悉的事项有权拒绝作证；日本《刑事诉讼法》第149条规定，辩护人被法院作为证人传询时，除特别情况外,有拒绝提供证言的权利；我国台湾地区《刑事诉讼法》第182条规定，证人为律师的，就其因业务所知悉有关他人秘密之事项受询问者，除经本人允许者外，得拒绝证言；法国第468号法令第69条规定:律师绝对不得泄露任何职业秘密事项。</w:t>
      </w:r>
    </w:p>
    <w:p w14:paraId="129FBF88">
      <w:pPr>
        <w:spacing w:line="400" w:lineRule="exact"/>
        <w:ind w:firstLine="440" w:firstLineChars="200"/>
        <w:rPr>
          <w:rFonts w:ascii="宋体" w:hAnsi="宋体" w:eastAsia="宋体" w:cs="Times New Roman"/>
          <w:szCs w:val="21"/>
        </w:rPr>
      </w:pPr>
      <w:r>
        <w:rPr>
          <w:rFonts w:ascii="宋体" w:hAnsi="宋体" w:eastAsia="宋体" w:cs="Times New Roman"/>
          <w:szCs w:val="21"/>
        </w:rPr>
        <w:t>类似的规定也在各国律师法或律师道德规范中得以反映。例如，美国偉师协会(ABA)制定的《律师职业行为示范规则》1.6(a)规定，除非与委托人磋商并得到认可，律师不得公开同代理有关的案情；《职业道德准则》第4条规定，律师应当保守当事人的秘密和隐私;《律师职业责任示范守则》之准则第4条规定，律师应当保守委托人的机密和秘密。又如，日本《律师法》第23条规定，律师或曾为律师者，对其在职务上所得知的秘密，有保守的权利和义务；日本《律师道德》第26条规定，律师应严守因接受案件委托而得知的委托人的秘密。再如，意大利《律师和检察官法》第13条规定，律师和检察官不得被要求在任何类型的审判中交代他们因职务原因而被告之或了解到的情况。此外,1990年第八届联合国预防犯罪和罪犯待遇大会通过的《关于律师作用的基本原则》第22条规定，各国政府应确认和尊重律师及其委托人之间在其专业关系内所有联络和磋商均属保密性的。</w:t>
      </w:r>
    </w:p>
    <w:p w14:paraId="31098F5F">
      <w:pPr>
        <w:spacing w:line="400" w:lineRule="exact"/>
        <w:ind w:firstLine="440" w:firstLineChars="200"/>
        <w:rPr>
          <w:rFonts w:ascii="宋体" w:hAnsi="宋体" w:eastAsia="宋体" w:cs="Times New Roman"/>
          <w:szCs w:val="21"/>
        </w:rPr>
      </w:pPr>
      <w:r>
        <w:rPr>
          <w:rFonts w:ascii="宋体" w:hAnsi="宋体" w:eastAsia="宋体" w:cs="Times New Roman"/>
          <w:szCs w:val="21"/>
        </w:rPr>
        <w:t>我国律师保密义务规则的渊源主要存在于两方面：一是律师法上的渊源。《律师法》第33条规定:律师应当保守在执业活动中知悉的国家秘密和当事人的商业秘密，不得泄露当事人的隐私。二是律师职业道德和执业纪律的渊源。1993年，司法部公布的《律师职业道德和执业纪律规范》第14条关于“律师在处理与委托人和对方当事人的关系方面应遵守的执业纪律”第4项规定：（律师）不得泄露在执行职务中知悉的委托人的隐私、秘密和委托人不愿公开的其他事实与材料;1996年全国律师协会通过的《律师职业道德和执业纪律规范》第9条规定:律师应当保守在执业活动中知悉的国家秘密、当事人的商业秘密和当事人的隐私。通过比较可以发现，律师协会规范实际上大大缩小了律师对当事人所负有的保密范围</w:t>
      </w:r>
      <w:r>
        <w:rPr>
          <w:rFonts w:ascii="宋体" w:hAnsi="宋体" w:eastAsia="宋体" w:cs="Times New Roman"/>
        </w:rPr>
        <w:footnoteReference w:id="69"/>
      </w:r>
      <w:r>
        <w:rPr>
          <w:rFonts w:ascii="宋体" w:hAnsi="宋体" w:eastAsia="宋体" w:cs="Times New Roman"/>
          <w:szCs w:val="21"/>
        </w:rPr>
        <w:t>。可以认为，我国在立法上实际已经确立了律师应当保守职业秘密的义务，而对于律师在执业活动中发现的不利于当事人的情况，是否应当保密，诉讼法和律师法尽管没有作出明确规定，但是在一般情况下，律师是在有利于其委托人的前提下作出决定的。</w:t>
      </w:r>
    </w:p>
    <w:p w14:paraId="72010886">
      <w:pPr>
        <w:spacing w:line="400" w:lineRule="exact"/>
        <w:ind w:firstLine="440" w:firstLineChars="200"/>
        <w:rPr>
          <w:rFonts w:ascii="宋体" w:hAnsi="宋体" w:eastAsia="宋体" w:cs="Times New Roman"/>
          <w:szCs w:val="21"/>
        </w:rPr>
      </w:pPr>
      <w:r>
        <w:rPr>
          <w:rFonts w:ascii="宋体" w:hAnsi="宋体" w:eastAsia="宋体" w:cs="Times New Roman"/>
          <w:szCs w:val="21"/>
        </w:rPr>
        <w:t>2.履行义务的法律保障和责任</w:t>
      </w:r>
    </w:p>
    <w:p w14:paraId="72984431">
      <w:pPr>
        <w:spacing w:line="400" w:lineRule="exact"/>
        <w:ind w:firstLine="440" w:firstLineChars="200"/>
        <w:rPr>
          <w:rFonts w:ascii="宋体" w:hAnsi="宋体" w:eastAsia="宋体" w:cs="Times New Roman"/>
          <w:szCs w:val="21"/>
        </w:rPr>
      </w:pPr>
      <w:r>
        <w:rPr>
          <w:rFonts w:ascii="宋体" w:hAnsi="宋体" w:eastAsia="宋体" w:cs="Times New Roman"/>
          <w:szCs w:val="21"/>
        </w:rPr>
        <w:t>律师履行保密义务的法律保障主要体现在拒绝作证权，在各国立法中一般都规定具备法定资格的证人有作证的义务，但是律师作为负有特殊职责的诉讼参与人,有拒绝作证的权利。比如:德国《刑事诉讼法》第53条规定，被指控人的辩护人，对于在行使职务时被信赖告知或所知悉的事项，律师、专利代理人、财会师、宣过誓的查账员、税务顾问和税务全权代表、医生、牙科医生、药剂师和助产士，对于在行使职务时被信赖告之或所知悉的事项，均有权拒绝作证；日本《刑事诉讼法》第179条规定，医师、牙科医师、助产士、护士、律师、代办人、公证人、宗教在职人员或担任过这些职务的人，对由于受业务上的委托而得知的有关他人秘密的事实，可以拒绝证言；荷兰《刑事诉讼法》和《民事诉讼法》作出同样规定，由于其社会地位、职业而负有不泄露信息的义务的人，有权拒绝作证，但仅限于委托给他们的事务。我国没有明确律师享有拒绝作证的权利。</w:t>
      </w:r>
    </w:p>
    <w:p w14:paraId="79899D97">
      <w:pPr>
        <w:spacing w:line="400" w:lineRule="exact"/>
        <w:ind w:firstLine="440" w:firstLineChars="200"/>
        <w:rPr>
          <w:rFonts w:ascii="宋体" w:hAnsi="宋体" w:eastAsia="宋体" w:cs="Times New Roman"/>
          <w:szCs w:val="21"/>
        </w:rPr>
      </w:pPr>
      <w:r>
        <w:rPr>
          <w:rFonts w:ascii="宋体" w:hAnsi="宋体" w:eastAsia="宋体" w:cs="Times New Roman"/>
          <w:szCs w:val="21"/>
        </w:rPr>
        <w:t>保密义务作为一项法律义务，通常是与法律责任相联系的。如荷兰《刑法典》第272条规定，违反保密义务将构成刑事犯罪；日本《刑法典》第134条规定，医师、药剂师、药材商、助产士、律师、辩护人、公证人或曾任此等职务者，无故泄露由于处理业务而知悉的他人秘密者，处6个月以下惩役或10万元以下罚金;我国台湾地区《刑法》第316条规定，律师……或曾任此等职之人无故泄露因业务知悉或持有之他人秘密者，处1年以下有期徒刑、拘役或500元以下罚金。我国虽然没有在《刑法》分则中规定律师违反保密义务的法律责任，但是类似条款在《律师法》和中华全国律师协会的有关章程中得以体现。如《律师法》第44条规定，“律师有下列行为之一的，由省、自治区、直辖市以及设区的市的人民政府司法行政部门给予警告，情节严重的，给予停止执业3个月以上1年以下的处罚，有违法所得的，没收违法所得。……（六）泄露当事人的商业秘密或者个人隐私的……。”</w:t>
      </w:r>
    </w:p>
    <w:p w14:paraId="64E29B29">
      <w:pPr>
        <w:spacing w:line="400" w:lineRule="exact"/>
        <w:ind w:firstLine="440" w:firstLineChars="200"/>
        <w:rPr>
          <w:rFonts w:ascii="宋体" w:hAnsi="宋体" w:eastAsia="宋体" w:cs="Times New Roman"/>
          <w:szCs w:val="21"/>
        </w:rPr>
      </w:pPr>
      <w:r>
        <w:rPr>
          <w:rFonts w:ascii="宋体" w:hAnsi="宋体" w:eastAsia="宋体" w:cs="Times New Roman"/>
          <w:szCs w:val="21"/>
        </w:rPr>
        <w:t>3.保密义务与真实义务的冲突</w:t>
      </w:r>
    </w:p>
    <w:p w14:paraId="2C0072AE">
      <w:pPr>
        <w:spacing w:line="400" w:lineRule="exact"/>
        <w:ind w:firstLine="440" w:firstLineChars="200"/>
        <w:rPr>
          <w:rFonts w:ascii="宋体" w:hAnsi="宋体" w:eastAsia="宋体" w:cs="Times New Roman"/>
          <w:szCs w:val="21"/>
        </w:rPr>
      </w:pPr>
      <w:r>
        <w:rPr>
          <w:rFonts w:ascii="宋体" w:hAnsi="宋体" w:eastAsia="宋体" w:cs="Times New Roman"/>
          <w:szCs w:val="21"/>
        </w:rPr>
        <w:t>与保密义务相对应，律师又应当满足真实义务的要求。如意大利《诉讼法典》第88条规定，诉讼当事人及其辩护律师应当公正、诚实地进行诉讼活动；英国《英格兰和威尔士出庭律师行业准则》第130条规定，出庭律师不得故意欺骗法院或使法院产生误解;美国《律师职业行为示范规则》第3.3节规定了“对法庭的坦诚”；我国《律师法》第35条规定，律师在执业活动中不得提供虚假证据，隐瞒事实或者威胁、利诱他人提供虚假证据，隐瞒事实以及妨碍对方当事人合法取得证据。</w:t>
      </w:r>
    </w:p>
    <w:p w14:paraId="17ECF4F6">
      <w:pPr>
        <w:spacing w:line="400" w:lineRule="exact"/>
        <w:ind w:firstLine="440" w:firstLineChars="200"/>
        <w:rPr>
          <w:rFonts w:ascii="宋体" w:hAnsi="宋体" w:eastAsia="宋体" w:cs="Times New Roman"/>
          <w:szCs w:val="21"/>
        </w:rPr>
      </w:pPr>
      <w:r>
        <w:rPr>
          <w:rFonts w:ascii="宋体" w:hAnsi="宋体" w:eastAsia="宋体" w:cs="Times New Roman"/>
          <w:szCs w:val="21"/>
        </w:rPr>
        <w:t>对于律师保密义务与真实义务的冲突，法理上通常的解释是将保密义务视为一般，而把真实义务看作例外。“一般情况下，律师应当保守职务秘密，这是律师作为辩护人与被指控人达成委托协议的首任基础，也是世界各国律师执业的一项基本准则。但是对于危害国家安全与社会公共利益的重大犯罪预谋,律师也不能熟视无睹，而应告知公安司法机关，但这属于例外情况”</w:t>
      </w:r>
      <w:r>
        <w:rPr>
          <w:rStyle w:val="20"/>
          <w:rFonts w:ascii="宋体" w:hAnsi="宋体" w:eastAsia="宋体" w:cs="Times New Roman"/>
          <w:szCs w:val="21"/>
        </w:rPr>
        <w:footnoteReference w:id="70"/>
      </w:r>
      <w:r>
        <w:rPr>
          <w:rFonts w:ascii="宋体" w:hAnsi="宋体" w:eastAsia="宋体" w:cs="Times New Roman"/>
          <w:szCs w:val="21"/>
        </w:rPr>
        <w:t>。在立法上，律师保密义务中涉及的真实义务通常是用但书的方法加以规定，如日本《偉师法》第23条规定，律师或曾任律师的人，有权利和义务保守其职务上得知的秘密，但法律另有规定时不在此限。美国《律师职业行为示范规则》1.6（b）规定的除外条件包括：（1）为了防止委托人实施犯罪或欺诈行为，且律师有理由认为这种行为可能导致他人的死亡或身体伤害，或给他人的经济利益或财产造成损失；（2）为了纠正委托人犯罪及欺诈行为所引起的后果;（3）在律师同委托人发生争议时，律师为了自身利益准备起诉,或者律师因代理当事人而受到刑事指控、民事起诉、纪律指控时，律师为了替自己辩解；（4）为了遵守其他法律。</w:t>
      </w:r>
    </w:p>
    <w:p w14:paraId="2253151D">
      <w:pPr>
        <w:spacing w:line="400" w:lineRule="exact"/>
        <w:ind w:firstLine="440" w:firstLineChars="200"/>
        <w:rPr>
          <w:rFonts w:ascii="宋体" w:hAnsi="宋体" w:eastAsia="宋体" w:cs="Times New Roman"/>
          <w:szCs w:val="21"/>
        </w:rPr>
      </w:pPr>
      <w:r>
        <w:rPr>
          <w:rFonts w:ascii="宋体" w:hAnsi="宋体" w:eastAsia="宋体" w:cs="Times New Roman"/>
          <w:szCs w:val="21"/>
        </w:rPr>
        <w:t>我国律师在执业活动中不仅将面对上述《律师法》第35条对于真实义务的规定，而且在刑事诉讼中还应当遵守《刑事诉讼法》第48条“凡道案件真实情况的人，都有作证的义务”，第38条辩护律师和其他辩护人，不得帮助犯罪嫌疑人、被告人隐匿、毁灭、伪造证据或者串供，不得威胁、引诱证人改变证言或者作伪证以及进行其他干扰司法机关诉讼活动的行为，但在实际操作中，由于律师的执业活动是由当事人的私人投资引起的,律师和当事人之间往往形成了一种共同利益关系，保密义务通常是凌驾于真实义务之上的，律师发现被告人尚有未被追诉的犯罪事实时，最多“应向被告人宣传、解释有关政策法律，说服被告人正确抉择”</w:t>
      </w:r>
      <w:r>
        <w:rPr>
          <w:rStyle w:val="20"/>
          <w:rFonts w:ascii="宋体" w:hAnsi="宋体" w:eastAsia="宋体" w:cs="Times New Roman"/>
          <w:szCs w:val="21"/>
        </w:rPr>
        <w:footnoteReference w:id="71"/>
      </w:r>
      <w:r>
        <w:rPr>
          <w:rFonts w:ascii="宋体" w:hAnsi="宋体" w:eastAsia="宋体" w:cs="Times New Roman"/>
          <w:szCs w:val="21"/>
        </w:rPr>
        <w:t>。</w:t>
      </w:r>
    </w:p>
    <w:p w14:paraId="7D99197C">
      <w:pPr>
        <w:spacing w:line="400" w:lineRule="exact"/>
        <w:ind w:firstLine="440" w:firstLineChars="200"/>
        <w:rPr>
          <w:rFonts w:ascii="宋体" w:hAnsi="宋体" w:eastAsia="宋体" w:cs="Times New Roman"/>
          <w:b/>
          <w:bCs/>
          <w:szCs w:val="21"/>
        </w:rPr>
      </w:pPr>
      <w:r>
        <w:rPr>
          <w:rFonts w:ascii="宋体" w:hAnsi="宋体" w:eastAsia="宋体" w:cs="Times New Roman"/>
          <w:b/>
          <w:bCs/>
          <w:szCs w:val="21"/>
        </w:rPr>
        <w:t>（二）律师保密义务设定原因</w:t>
      </w:r>
    </w:p>
    <w:p w14:paraId="49884DB4">
      <w:pPr>
        <w:spacing w:line="400" w:lineRule="exact"/>
        <w:ind w:firstLine="440" w:firstLineChars="200"/>
        <w:rPr>
          <w:rFonts w:ascii="宋体" w:hAnsi="宋体" w:eastAsia="宋体" w:cs="Times New Roman"/>
          <w:szCs w:val="21"/>
        </w:rPr>
      </w:pPr>
      <w:r>
        <w:rPr>
          <w:rFonts w:ascii="宋体" w:hAnsi="宋体" w:eastAsia="宋体" w:cs="Times New Roman"/>
          <w:szCs w:val="21"/>
        </w:rPr>
        <w:t>1.法学的观点</w:t>
      </w:r>
    </w:p>
    <w:p w14:paraId="366B557D">
      <w:pPr>
        <w:spacing w:line="400" w:lineRule="exact"/>
        <w:ind w:firstLine="440" w:firstLineChars="200"/>
        <w:rPr>
          <w:rFonts w:ascii="宋体" w:hAnsi="宋体" w:eastAsia="宋体" w:cs="Times New Roman"/>
          <w:szCs w:val="21"/>
        </w:rPr>
      </w:pPr>
      <w:r>
        <w:rPr>
          <w:rFonts w:ascii="宋体" w:hAnsi="宋体" w:eastAsia="宋体" w:cs="Times New Roman"/>
          <w:szCs w:val="21"/>
        </w:rPr>
        <w:t>法学对于律师保守职务秘密的解释，首先是建立在确保律师和当事人之间的信赖关系基础上的。当事人作为在法律知识方面弱势的一方，聘用律师的目的是“在法律和规定的迷宫中确定他们的权利是什么以及什么被认为是合法的、正确的”</w:t>
      </w:r>
      <w:r>
        <w:rPr>
          <w:rStyle w:val="20"/>
          <w:rFonts w:ascii="宋体" w:hAnsi="宋体" w:eastAsia="宋体" w:cs="Times New Roman"/>
          <w:szCs w:val="21"/>
        </w:rPr>
        <w:footnoteReference w:id="72"/>
      </w:r>
      <w:r>
        <w:rPr>
          <w:rFonts w:ascii="宋体" w:hAnsi="宋体" w:eastAsia="宋体" w:cs="Times New Roman"/>
          <w:szCs w:val="21"/>
        </w:rPr>
        <w:t>,而律师为当事人提供法律帮助的前提在于律师和当事人之间存在一种充分的信任关系，从而使“当事人与律师进行充分、坦率的交流，即使是令人尴尬的或在法律上有破坏性的事项”</w:t>
      </w:r>
      <w:r>
        <w:rPr>
          <w:rStyle w:val="20"/>
          <w:rFonts w:ascii="宋体" w:hAnsi="宋体" w:eastAsia="宋体" w:cs="Times New Roman"/>
          <w:szCs w:val="21"/>
        </w:rPr>
        <w:footnoteReference w:id="73"/>
      </w:r>
      <w:r>
        <w:rPr>
          <w:rFonts w:ascii="宋体" w:hAnsi="宋体" w:eastAsia="宋体" w:cs="Times New Roman"/>
          <w:szCs w:val="21"/>
        </w:rPr>
        <w:t>。这种信任关系的重要性在法学上已经上升到辩护制度的高度，如果律师不能恪守保密义务，当事人将不会情愿委托一个可能揭发自己的人担任委托代理人或辩护人，最终“导致辩护制度的衰弱，从根本上说是削弱了国家法制，损害了国家长远利益”</w:t>
      </w:r>
      <w:r>
        <w:rPr>
          <w:rStyle w:val="20"/>
          <w:rFonts w:ascii="宋体" w:hAnsi="宋体" w:eastAsia="宋体" w:cs="Times New Roman"/>
          <w:szCs w:val="21"/>
        </w:rPr>
        <w:footnoteReference w:id="74"/>
      </w:r>
      <w:r>
        <w:rPr>
          <w:rFonts w:ascii="宋体" w:hAnsi="宋体" w:eastAsia="宋体" w:cs="Times New Roman"/>
          <w:szCs w:val="21"/>
        </w:rPr>
        <w:t>，因此, “社会期望通过保守秘密来促进这种关系（信任关系），社会极度重视这种关系，宁愿为捍卫秘密的性虚，甚至不惜失去与案件结局关系重大的情报”</w:t>
      </w:r>
      <w:r>
        <w:rPr>
          <w:rStyle w:val="20"/>
          <w:rFonts w:ascii="宋体" w:hAnsi="宋体" w:eastAsia="宋体" w:cs="Times New Roman"/>
          <w:szCs w:val="21"/>
        </w:rPr>
        <w:footnoteReference w:id="75"/>
      </w:r>
      <w:r>
        <w:rPr>
          <w:rFonts w:ascii="宋体" w:hAnsi="宋体" w:eastAsia="宋体" w:cs="Times New Roman"/>
          <w:szCs w:val="21"/>
        </w:rPr>
        <w:t>。荷兰最高法院也有类似的论述:任何人必须能够自由地获得（被委托而知悉有关秘密信息的人的）帮助和建议，而且无须担心上述信息会被公开，这一社会利益，超过了在法庭上公开有关事实而获得的社会利益。</w:t>
      </w:r>
    </w:p>
    <w:p w14:paraId="65FC0A71">
      <w:pPr>
        <w:spacing w:line="400" w:lineRule="exact"/>
        <w:ind w:firstLine="440" w:firstLineChars="200"/>
        <w:rPr>
          <w:rFonts w:ascii="宋体" w:hAnsi="宋体" w:eastAsia="宋体" w:cs="Times New Roman"/>
          <w:szCs w:val="21"/>
        </w:rPr>
      </w:pPr>
      <w:r>
        <w:rPr>
          <w:rFonts w:ascii="宋体" w:hAnsi="宋体" w:eastAsia="宋体" w:cs="Times New Roman"/>
          <w:szCs w:val="21"/>
        </w:rPr>
        <w:t>法学界也从控辩力量均等的角度分析律师保密义务。在刑事诉讼中，由于控诉方拥有调查取证的专门而足够的权力和人力物力，如果任由被告人诉讼地位先天不足和控诉方力量先天强大的状况的发展，将难以保证诉讼的公正和被追诉人的合法权利，“纠正控辩力量的先天失衡的方法自然是增加辩护方与控诉方相抗衡的力量”</w:t>
      </w:r>
      <w:r>
        <w:rPr>
          <w:rStyle w:val="20"/>
          <w:rFonts w:ascii="宋体" w:hAnsi="宋体" w:eastAsia="宋体" w:cs="Times New Roman"/>
          <w:szCs w:val="21"/>
        </w:rPr>
        <w:footnoteReference w:id="76"/>
      </w:r>
      <w:r>
        <w:rPr>
          <w:rFonts w:ascii="宋体" w:hAnsi="宋体" w:eastAsia="宋体" w:cs="Times New Roman"/>
          <w:szCs w:val="21"/>
        </w:rPr>
        <w:t>，国家不仅设立专门的追诉机关，还建立了律师辩护制度，其目的也正是在于此。“律师服务的本质特征和各项活动的核心问题是维护被告人的利益,在刑事诉讼中，律师应始终处于帮助被告人行使辩护权而与控诉方处于相对立的地位，……不能要求律师像国家追诉机关那样揭露犯罪……否则，国家就无须设立律师辩护制度”</w:t>
      </w:r>
      <w:r>
        <w:rPr>
          <w:rStyle w:val="20"/>
          <w:rFonts w:ascii="宋体" w:hAnsi="宋体" w:eastAsia="宋体" w:cs="Times New Roman"/>
          <w:szCs w:val="21"/>
        </w:rPr>
        <w:footnoteReference w:id="77"/>
      </w:r>
      <w:r>
        <w:rPr>
          <w:rFonts w:ascii="宋体" w:hAnsi="宋体" w:eastAsia="宋体" w:cs="Times New Roman"/>
          <w:szCs w:val="21"/>
        </w:rPr>
        <w:t>。</w:t>
      </w:r>
    </w:p>
    <w:p w14:paraId="08FD9581">
      <w:pPr>
        <w:spacing w:line="400" w:lineRule="exact"/>
        <w:ind w:firstLine="440" w:firstLineChars="200"/>
        <w:rPr>
          <w:rFonts w:ascii="宋体" w:hAnsi="宋体" w:eastAsia="宋体" w:cs="Times New Roman"/>
          <w:szCs w:val="21"/>
        </w:rPr>
      </w:pPr>
      <w:r>
        <w:rPr>
          <w:rFonts w:ascii="宋体" w:hAnsi="宋体" w:eastAsia="宋体" w:cs="Times New Roman"/>
          <w:szCs w:val="21"/>
        </w:rPr>
        <w:t>对于律师保密义务的另一种解释源于法理上代理法的原则，“按照代理法的原则，代理人负有不得使用或传播其在代理过程中由委托人秘密告之的信息的义务，除非为了保护第三方的利益”</w:t>
      </w:r>
      <w:r>
        <w:rPr>
          <w:rStyle w:val="20"/>
          <w:rFonts w:ascii="宋体" w:hAnsi="宋体" w:eastAsia="宋体" w:cs="Times New Roman"/>
          <w:szCs w:val="21"/>
        </w:rPr>
        <w:footnoteReference w:id="78"/>
      </w:r>
      <w:r>
        <w:rPr>
          <w:rFonts w:ascii="宋体" w:hAnsi="宋体" w:eastAsia="宋体" w:cs="Times New Roman"/>
          <w:szCs w:val="21"/>
        </w:rPr>
        <w:t>，律师服务本质上也是一种代理行为，同时由于其工作的特殊性质，在保密责任方面有更为迫切的需要。</w:t>
      </w:r>
    </w:p>
    <w:p w14:paraId="3AC65365">
      <w:pPr>
        <w:spacing w:line="400" w:lineRule="exact"/>
        <w:ind w:firstLine="440" w:firstLineChars="200"/>
        <w:rPr>
          <w:rFonts w:ascii="宋体" w:hAnsi="宋体" w:eastAsia="宋体" w:cs="Times New Roman"/>
          <w:szCs w:val="21"/>
        </w:rPr>
      </w:pPr>
      <w:r>
        <w:rPr>
          <w:rFonts w:ascii="宋体" w:hAnsi="宋体" w:eastAsia="宋体" w:cs="Times New Roman"/>
          <w:szCs w:val="21"/>
        </w:rPr>
        <w:t>2.经济学分析法学的观点</w:t>
      </w:r>
    </w:p>
    <w:p w14:paraId="53AED6C4">
      <w:pPr>
        <w:spacing w:line="400" w:lineRule="exact"/>
        <w:ind w:firstLine="440" w:firstLineChars="200"/>
        <w:rPr>
          <w:rFonts w:ascii="宋体" w:hAnsi="宋体" w:eastAsia="宋体" w:cs="Times New Roman"/>
          <w:szCs w:val="21"/>
        </w:rPr>
      </w:pPr>
      <w:r>
        <w:rPr>
          <w:rFonts w:ascii="宋体" w:hAnsi="宋体" w:eastAsia="宋体" w:cs="Times New Roman"/>
          <w:szCs w:val="21"/>
        </w:rPr>
        <w:t>经济学分析法学对于律师保密义务的研究尚不深入，一般认为“强有力的偏向一方当事人的律师是发现真相的最好保障”</w:t>
      </w:r>
      <w:r>
        <w:rPr>
          <w:rStyle w:val="20"/>
          <w:rFonts w:ascii="宋体" w:hAnsi="宋体" w:eastAsia="宋体" w:cs="Times New Roman"/>
          <w:szCs w:val="21"/>
        </w:rPr>
        <w:footnoteReference w:id="79"/>
      </w:r>
      <w:r>
        <w:rPr>
          <w:rFonts w:ascii="宋体" w:hAnsi="宋体" w:eastAsia="宋体" w:cs="Times New Roman"/>
          <w:szCs w:val="21"/>
        </w:rPr>
        <w:t>。这种观点的前提在于，将律师之间或律师和检察官之间在诉讼中试图说服法官或陪审团的较量，视为一种市场竞争状态。在这样一个市场中，交易的商品是所谓的“事实”或“真相”，商品的需求方是法官或陪审团，而供给不是由一家厂商垄断的，至少存在两方相互竞争的厂商:刑事案件中的律师和检察官、或民事及其他案件中的双方律师，如果诉讼存在多方当事人，那么，供给方的竞争将由于厂商数量的增加而更加激烈。上述前提是在律师完全站在各自当事人的立场上，不惜一切维护当事人利益的基础上建立起来的。律师保守当事人的秘密、特别是保守不利于当事人的秘密，成为这一基础最为关键的组成部分。如果律师不保守职业秘密，在刑事诉讼中，律师实际上就和检察官一样，站在了控诉被告人的一面;在民事诉讼中，双方或多方律师也将不存在相互竞争的态势，而是结成一个为了实现共同利益的卡特尔，那么竞争将让位于垄断。</w:t>
      </w:r>
    </w:p>
    <w:p w14:paraId="0C87626D">
      <w:pPr>
        <w:spacing w:line="400" w:lineRule="exact"/>
        <w:ind w:firstLine="440" w:firstLineChars="200"/>
        <w:rPr>
          <w:rFonts w:ascii="宋体" w:hAnsi="宋体" w:eastAsia="宋体" w:cs="Times New Roman"/>
          <w:szCs w:val="21"/>
        </w:rPr>
      </w:pPr>
      <w:r>
        <w:rPr>
          <w:rFonts w:ascii="宋体" w:hAnsi="宋体" w:eastAsia="宋体" w:cs="Times New Roman"/>
          <w:szCs w:val="21"/>
        </w:rPr>
        <w:t>所谓更好地发现真相，就是更有效率的发现真相，换言之，就是在一定成本支出下实现更高的真相水平，或以最低的成本支出实现一定的真相水平。按照经济学关于供求理论最一般的论述，竞争是比垄断更有效率的市场状态，竞争将更有助于“更好的发现真相”,所以律师应当保守当事人的秘密，以避免出现垄断的因素。</w:t>
      </w:r>
    </w:p>
    <w:p w14:paraId="5B83E53B">
      <w:pPr>
        <w:spacing w:line="400" w:lineRule="exact"/>
        <w:ind w:firstLine="440" w:firstLineChars="200"/>
        <w:rPr>
          <w:rFonts w:ascii="宋体" w:hAnsi="宋体" w:eastAsia="宋体" w:cs="Times New Roman"/>
          <w:szCs w:val="21"/>
        </w:rPr>
      </w:pPr>
      <w:r>
        <w:rPr>
          <w:rFonts w:ascii="宋体" w:hAnsi="宋体" w:eastAsia="宋体" w:cs="Times New Roman"/>
          <w:szCs w:val="21"/>
        </w:rPr>
        <w:t>3.分析的共同点</w:t>
      </w:r>
    </w:p>
    <w:p w14:paraId="064DB356">
      <w:pPr>
        <w:spacing w:line="400" w:lineRule="exact"/>
        <w:ind w:firstLine="440" w:firstLineChars="200"/>
        <w:rPr>
          <w:rFonts w:ascii="宋体" w:hAnsi="宋体" w:eastAsia="宋体" w:cs="Times New Roman"/>
          <w:szCs w:val="21"/>
        </w:rPr>
      </w:pPr>
      <w:r>
        <w:rPr>
          <w:rFonts w:ascii="宋体" w:hAnsi="宋体" w:eastAsia="宋体" w:cs="Times New Roman"/>
          <w:szCs w:val="21"/>
        </w:rPr>
        <w:t>法学和经济学分析法学对于律师保密义务的解释，可以归结为公平和效率两个方面。</w:t>
      </w:r>
    </w:p>
    <w:p w14:paraId="5F0FCD5B">
      <w:pPr>
        <w:spacing w:line="400" w:lineRule="exact"/>
        <w:ind w:firstLine="440" w:firstLineChars="200"/>
        <w:rPr>
          <w:rFonts w:ascii="宋体" w:hAnsi="宋体" w:eastAsia="宋体" w:cs="Times New Roman"/>
          <w:szCs w:val="21"/>
        </w:rPr>
      </w:pPr>
      <w:r>
        <w:rPr>
          <w:rFonts w:ascii="宋体" w:hAnsi="宋体" w:eastAsia="宋体" w:cs="Times New Roman"/>
          <w:szCs w:val="21"/>
        </w:rPr>
        <w:t>从公平的角度考察，法学强调的代理法的原则实际就是指代理人应当站在被代理人的立场，维护被代理人的利益，而经济学分析法学强调的律师服务由私人投资引起,其言下之意无非律师应当全力维护当事人的利益，所有当事人都有付出一定代价获得偏向本方、恪守保密义务的律师服务的权利，这是最为一般的市场规则，同时也是一种形式意义上的公平。</w:t>
      </w:r>
    </w:p>
    <w:p w14:paraId="4DD29F94">
      <w:pPr>
        <w:spacing w:line="400" w:lineRule="exact"/>
        <w:ind w:firstLine="440" w:firstLineChars="200"/>
        <w:rPr>
          <w:rFonts w:ascii="宋体" w:hAnsi="宋体" w:eastAsia="宋体" w:cs="Times New Roman"/>
          <w:szCs w:val="21"/>
        </w:rPr>
      </w:pPr>
      <w:r>
        <w:rPr>
          <w:rFonts w:ascii="宋体" w:hAnsi="宋体" w:eastAsia="宋体" w:cs="Times New Roman"/>
          <w:szCs w:val="21"/>
        </w:rPr>
        <w:t>从效率角度考察，法学强调通过律师保守职业秘密来确保律师和当事人之间信赖关系，是为了维护辩护制度的基础，而辩护制度存在的根本目的就在于实现控辩力量的均等，控辩力量均等的思想和经济学分析法学强调竞争优于垄断的观点是完全一致的。法学和经济学分析法学都认为，力量均等的竞争状态，将能够更好地保障权利（法学）或发现真相（经济学分析法学），换言之，就是更有效率。</w:t>
      </w:r>
    </w:p>
    <w:p w14:paraId="4006BFB9">
      <w:pPr>
        <w:spacing w:line="400" w:lineRule="exact"/>
        <w:ind w:firstLine="440" w:firstLineChars="200"/>
        <w:rPr>
          <w:rFonts w:ascii="宋体" w:hAnsi="宋体" w:eastAsia="宋体" w:cs="Times New Roman"/>
          <w:b/>
          <w:bCs/>
          <w:szCs w:val="21"/>
        </w:rPr>
      </w:pPr>
      <w:r>
        <w:rPr>
          <w:rFonts w:ascii="宋体" w:hAnsi="宋体" w:eastAsia="宋体" w:cs="Times New Roman"/>
          <w:b/>
          <w:bCs/>
          <w:szCs w:val="21"/>
        </w:rPr>
        <w:t>（三）律师保密义务的经济分析</w:t>
      </w:r>
    </w:p>
    <w:p w14:paraId="2294497D">
      <w:pPr>
        <w:spacing w:line="400" w:lineRule="exact"/>
        <w:ind w:firstLine="440" w:firstLineChars="200"/>
        <w:rPr>
          <w:rFonts w:ascii="宋体" w:hAnsi="宋体" w:eastAsia="宋体" w:cs="Times New Roman"/>
          <w:szCs w:val="21"/>
        </w:rPr>
      </w:pPr>
      <w:r>
        <w:rPr>
          <w:rFonts w:ascii="宋体" w:hAnsi="宋体" w:eastAsia="宋体" w:cs="Times New Roman"/>
          <w:szCs w:val="21"/>
        </w:rPr>
        <w:t>1.公平</w:t>
      </w:r>
    </w:p>
    <w:p w14:paraId="3A81C286">
      <w:pPr>
        <w:spacing w:line="400" w:lineRule="exact"/>
        <w:ind w:firstLine="440" w:firstLineChars="200"/>
        <w:rPr>
          <w:rFonts w:ascii="宋体" w:hAnsi="宋体" w:eastAsia="宋体" w:cs="Times New Roman"/>
          <w:szCs w:val="21"/>
        </w:rPr>
      </w:pPr>
      <w:r>
        <w:rPr>
          <w:rFonts w:ascii="宋体" w:hAnsi="宋体" w:eastAsia="宋体" w:cs="Times New Roman"/>
          <w:szCs w:val="21"/>
        </w:rPr>
        <w:t>相对于效率，律师保密义务的公平问题，本文仅作简单分析。</w:t>
      </w:r>
    </w:p>
    <w:p w14:paraId="3BF1C1DD">
      <w:pPr>
        <w:spacing w:line="400" w:lineRule="exact"/>
        <w:ind w:firstLine="440" w:firstLineChars="200"/>
        <w:rPr>
          <w:rFonts w:ascii="宋体" w:hAnsi="宋体" w:eastAsia="宋体" w:cs="Times New Roman"/>
          <w:szCs w:val="21"/>
        </w:rPr>
      </w:pPr>
      <w:r>
        <w:rPr>
          <w:rFonts w:ascii="宋体" w:hAnsi="宋体" w:eastAsia="宋体" w:cs="Times New Roman"/>
          <w:szCs w:val="21"/>
        </w:rPr>
        <w:t>保密义务实际是一种形式意义上的公平。按照罗尔斯对正义的概括，保密义务属于程序公正的范畴。伴随着当事人主义理念的泛滥，诉讼正在逐渐演变成一场战争,“原告武装以诉讼形式，仿佛配上了刀剑，因此，被告要用抗辩装备起来，作为盾牌加以抵抗”</w:t>
      </w:r>
      <w:r>
        <w:rPr>
          <w:rStyle w:val="20"/>
          <w:rFonts w:ascii="宋体" w:hAnsi="宋体" w:eastAsia="宋体" w:cs="Times New Roman"/>
          <w:szCs w:val="21"/>
        </w:rPr>
        <w:footnoteReference w:id="80"/>
      </w:r>
      <w:r>
        <w:rPr>
          <w:rFonts w:ascii="宋体" w:hAnsi="宋体" w:eastAsia="宋体" w:cs="Times New Roman"/>
          <w:szCs w:val="21"/>
        </w:rPr>
        <w:t>。为了确保双方力量的均等，“律师不再是积极协助法院发现事实的法院成员，……律师是被纯化成为了刑事诉讼的一方当事人即被告人设置的武器”，最终否定了律师的真实义务,使律师成为竭尽全力维护当事人利益的“被雇佣的持枪保镖”</w:t>
      </w:r>
      <w:r>
        <w:rPr>
          <w:rStyle w:val="20"/>
          <w:rFonts w:ascii="宋体" w:hAnsi="宋体" w:eastAsia="宋体" w:cs="Times New Roman"/>
          <w:szCs w:val="21"/>
        </w:rPr>
        <w:footnoteReference w:id="81"/>
      </w:r>
      <w:r>
        <w:rPr>
          <w:rFonts w:ascii="宋体" w:hAnsi="宋体" w:eastAsia="宋体" w:cs="Times New Roman"/>
          <w:szCs w:val="21"/>
        </w:rPr>
        <w:t>。但是，程序公正不是最终目标，实质正义才是一种结果价值,设定了保密义务的程序公正是否可以比没有保密义务更能实现实质正义？这一点本身就缺乏足以令人信服的证明。相反，美国一位学者在“日美中三国刑事辩护伦理道德国际研讨会”上提到这样一个案例：几年前的一起杀人案件中，被告人向他的律师透露他还杀死过其他两个人，律师根据该供述发现了尸体并拍照，但他们却拒绝将上述情况告诉警察和法庭,声称如果这样做将严重违反自己的职业道德</w:t>
      </w:r>
      <w:r>
        <w:rPr>
          <w:rStyle w:val="20"/>
          <w:rFonts w:ascii="宋体" w:hAnsi="宋体" w:eastAsia="宋体" w:cs="Times New Roman"/>
          <w:szCs w:val="21"/>
        </w:rPr>
        <w:footnoteReference w:id="82"/>
      </w:r>
      <w:r>
        <w:rPr>
          <w:rFonts w:ascii="宋体" w:hAnsi="宋体" w:eastAsia="宋体" w:cs="Times New Roman"/>
          <w:szCs w:val="21"/>
        </w:rPr>
        <w:t>。面对这样的事实，我们很难作出保密义务妨碍实质公正只是例外情况的简单判断，更难接受“这是一种必要的丧失，其积极的效果是维护了程序正义”</w:t>
      </w:r>
      <w:r>
        <w:rPr>
          <w:rStyle w:val="20"/>
          <w:rFonts w:ascii="宋体" w:hAnsi="宋体" w:eastAsia="宋体" w:cs="Times New Roman"/>
          <w:szCs w:val="21"/>
        </w:rPr>
        <w:footnoteReference w:id="83"/>
      </w:r>
      <w:r>
        <w:rPr>
          <w:rFonts w:ascii="宋体" w:hAnsi="宋体" w:eastAsia="宋体" w:cs="Times New Roman"/>
          <w:szCs w:val="21"/>
        </w:rPr>
        <w:t>的论断。保密义务在保证了一方当事人的公平的同时，也隐含包括了对于对方当事人或受害人的极不公平的可能，要律师自己去权衡利弊并作自由选择是不妥当的，应该由法律明确加以规定，即律师的保密原则不能违反真实这一最高原则，以及对双方当事人都公平这一最高层次的公平。</w:t>
      </w:r>
    </w:p>
    <w:p w14:paraId="4D571A33">
      <w:pPr>
        <w:spacing w:line="400" w:lineRule="exact"/>
        <w:ind w:firstLine="440" w:firstLineChars="200"/>
        <w:rPr>
          <w:rFonts w:ascii="宋体" w:hAnsi="宋体" w:eastAsia="宋体" w:cs="Times New Roman"/>
          <w:szCs w:val="21"/>
        </w:rPr>
      </w:pPr>
      <w:r>
        <w:rPr>
          <w:rFonts w:ascii="宋体" w:hAnsi="宋体" w:eastAsia="宋体" w:cs="Times New Roman"/>
          <w:szCs w:val="21"/>
        </w:rPr>
        <w:t>从信息交流的层面分析，当法律规定律师不再保守违背真实和双方公平原则的职务秘密，或者说律师不再保守对于本方当事人不利的秘密时,律师通常仍然是一般当事人惟一可以依靠的法律知识的拥有者和辩护者，律师制度不仅会继续存在，而且会释放出更具公平和效率的制度潜能，更有效地进行律师和本方当事人以及整个办案过程中的正常信息交流。</w:t>
      </w:r>
    </w:p>
    <w:p w14:paraId="12324FA6">
      <w:pPr>
        <w:spacing w:line="400" w:lineRule="exact"/>
        <w:ind w:firstLine="440" w:firstLineChars="200"/>
        <w:rPr>
          <w:rFonts w:ascii="宋体" w:hAnsi="宋体" w:eastAsia="宋体" w:cs="Times New Roman"/>
          <w:szCs w:val="21"/>
        </w:rPr>
      </w:pPr>
      <w:r>
        <w:rPr>
          <w:rFonts w:ascii="宋体" w:hAnsi="宋体" w:eastAsia="宋体" w:cs="Times New Roman"/>
          <w:szCs w:val="21"/>
        </w:rPr>
        <w:t>2.效率</w:t>
      </w:r>
    </w:p>
    <w:p w14:paraId="113FD663">
      <w:pPr>
        <w:spacing w:line="400" w:lineRule="exact"/>
        <w:ind w:firstLine="440" w:firstLineChars="200"/>
        <w:rPr>
          <w:rFonts w:ascii="宋体" w:hAnsi="宋体" w:eastAsia="宋体" w:cs="Times New Roman"/>
          <w:szCs w:val="21"/>
        </w:rPr>
      </w:pPr>
      <w:r>
        <w:rPr>
          <w:rFonts w:ascii="宋体" w:hAnsi="宋体" w:eastAsia="宋体" w:cs="Times New Roman"/>
          <w:szCs w:val="21"/>
        </w:rPr>
        <w:t>既然保密义务的效率体现在能够“更好地发现真相”，那么笔者用一个简单的模型来观察保密义务是否可以实现低成本水平和高真相水平。</w:t>
      </w:r>
    </w:p>
    <w:p w14:paraId="0D71BD2B">
      <w:pPr>
        <w:spacing w:line="400" w:lineRule="exact"/>
        <w:ind w:firstLine="440" w:firstLineChars="200"/>
        <w:rPr>
          <w:rFonts w:ascii="宋体" w:hAnsi="宋体" w:eastAsia="宋体" w:cs="Times New Roman"/>
          <w:szCs w:val="21"/>
        </w:rPr>
      </w:pPr>
      <w:r>
        <w:rPr>
          <w:rFonts w:ascii="宋体" w:hAnsi="宋体" w:eastAsia="宋体" w:cs="Times New Roman"/>
          <w:szCs w:val="21"/>
        </w:rPr>
        <w:t>假设在一个案例中存在三方主体：当事人A,当事人B,以及法官C。为了发现真相F,各个主体所需的费用支出分别为P</w:t>
      </w:r>
      <w:r>
        <w:rPr>
          <w:rFonts w:ascii="宋体" w:hAnsi="宋体" w:eastAsia="宋体" w:cs="Times New Roman"/>
          <w:szCs w:val="21"/>
          <w:vertAlign w:val="subscript"/>
        </w:rPr>
        <w:t>a</w:t>
      </w:r>
      <w:r>
        <w:rPr>
          <w:rFonts w:ascii="宋体" w:hAnsi="宋体" w:eastAsia="宋体" w:cs="Times New Roman"/>
          <w:szCs w:val="21"/>
        </w:rPr>
        <w:t>、P</w:t>
      </w:r>
      <w:r>
        <w:rPr>
          <w:rFonts w:ascii="宋体" w:hAnsi="宋体" w:eastAsia="宋体" w:cs="Times New Roman"/>
          <w:szCs w:val="21"/>
          <w:vertAlign w:val="subscript"/>
        </w:rPr>
        <w:t>b</w:t>
      </w:r>
      <w:r>
        <w:rPr>
          <w:rFonts w:ascii="宋体" w:hAnsi="宋体" w:eastAsia="宋体" w:cs="Times New Roman"/>
          <w:szCs w:val="21"/>
        </w:rPr>
        <w:t>、P</w:t>
      </w:r>
      <w:r>
        <w:rPr>
          <w:rFonts w:ascii="宋体" w:hAnsi="宋体" w:eastAsia="宋体" w:cs="Times New Roman"/>
          <w:szCs w:val="21"/>
          <w:vertAlign w:val="subscript"/>
        </w:rPr>
        <w:t>c</w:t>
      </w:r>
      <w:r>
        <w:rPr>
          <w:rFonts w:ascii="宋体" w:hAnsi="宋体" w:eastAsia="宋体" w:cs="Times New Roman"/>
          <w:szCs w:val="21"/>
        </w:rPr>
        <w:t>,P=P</w:t>
      </w:r>
      <w:r>
        <w:rPr>
          <w:rFonts w:ascii="宋体" w:hAnsi="宋体" w:eastAsia="宋体" w:cs="Times New Roman"/>
          <w:szCs w:val="21"/>
          <w:vertAlign w:val="subscript"/>
        </w:rPr>
        <w:t>a</w:t>
      </w:r>
      <w:r>
        <w:rPr>
          <w:rFonts w:ascii="宋体" w:hAnsi="宋体" w:eastAsia="宋体" w:cs="Times New Roman"/>
          <w:szCs w:val="21"/>
        </w:rPr>
        <w:t>+P</w:t>
      </w:r>
      <w:r>
        <w:rPr>
          <w:rFonts w:ascii="宋体" w:hAnsi="宋体" w:eastAsia="宋体" w:cs="Times New Roman"/>
          <w:szCs w:val="21"/>
          <w:vertAlign w:val="subscript"/>
        </w:rPr>
        <w:t>b</w:t>
      </w:r>
      <w:r>
        <w:rPr>
          <w:rFonts w:ascii="宋体" w:hAnsi="宋体" w:eastAsia="宋体" w:cs="Times New Roman"/>
          <w:szCs w:val="21"/>
        </w:rPr>
        <w:t>+ P</w:t>
      </w:r>
      <w:r>
        <w:rPr>
          <w:rFonts w:ascii="宋体" w:hAnsi="宋体" w:eastAsia="宋体" w:cs="Times New Roman"/>
          <w:szCs w:val="21"/>
          <w:vertAlign w:val="subscript"/>
        </w:rPr>
        <w:t>c</w:t>
      </w:r>
      <w:r>
        <w:rPr>
          <w:rFonts w:ascii="宋体" w:hAnsi="宋体" w:eastAsia="宋体" w:cs="Times New Roman"/>
          <w:szCs w:val="21"/>
        </w:rPr>
        <w:t>。当事人A掌握了当事人B、法官C不知情的关键信息I,当然P</w:t>
      </w:r>
      <w:r>
        <w:rPr>
          <w:rFonts w:ascii="宋体" w:hAnsi="宋体" w:eastAsia="宋体" w:cs="Times New Roman"/>
          <w:szCs w:val="21"/>
          <w:vertAlign w:val="subscript"/>
        </w:rPr>
        <w:t>a=</w:t>
      </w:r>
      <w:r>
        <w:rPr>
          <w:rFonts w:ascii="宋体" w:hAnsi="宋体" w:eastAsia="宋体" w:cs="Times New Roman"/>
          <w:szCs w:val="21"/>
        </w:rPr>
        <w:t>0。另外，不妨假定真相水平F是费用支出P的增函数:F=F（P）,dP/dF&gt;0</w:t>
      </w:r>
    </w:p>
    <w:p w14:paraId="404B7A2F">
      <w:pPr>
        <w:spacing w:line="400" w:lineRule="exact"/>
        <w:ind w:firstLine="440" w:firstLineChars="200"/>
        <w:rPr>
          <w:rFonts w:ascii="宋体" w:hAnsi="宋体" w:eastAsia="宋体" w:cs="Times New Roman"/>
          <w:szCs w:val="21"/>
        </w:rPr>
      </w:pPr>
      <w:r>
        <w:rPr>
          <w:rFonts w:ascii="宋体" w:hAnsi="宋体" w:eastAsia="宋体" w:cs="Times New Roman"/>
          <w:szCs w:val="21"/>
        </w:rPr>
        <w:t>作为对比,存在律师有无保密义务的三种情况：情况I——当事人A的律师获悉信息I而不披露（当事人主义诉讼模式）；情况Ⅱ——当事人A的律师获悉信息I而不披露（职权主义诉讼模式）；情况Ⅲ——当事人A的律师获悉信息I并披露（本文主张的真实主义诉讼模式）。</w:t>
      </w:r>
    </w:p>
    <w:p w14:paraId="223C145A">
      <w:pPr>
        <w:spacing w:line="400" w:lineRule="exact"/>
        <w:ind w:firstLine="440" w:firstLineChars="200"/>
        <w:rPr>
          <w:rFonts w:ascii="宋体" w:hAnsi="宋体" w:eastAsia="宋体" w:cs="Times New Roman"/>
          <w:szCs w:val="21"/>
        </w:rPr>
      </w:pPr>
      <w:r>
        <w:rPr>
          <w:rFonts w:ascii="宋体" w:hAnsi="宋体" w:eastAsia="宋体" w:cs="Times New Roman"/>
          <w:szCs w:val="21"/>
        </w:rPr>
        <w:t>情况I：在当事人主义的诉讼模式中，当事人方面在整个诉讼中处于主导地位，能够按照自己的意志自由处分自身权利，法官仅仅作为中立的裁判者始终处在被动消极的地位，法官不干涉当事人自由处分自身权利，同时，法官裁判的事实依据通常来自于当事人，法官并不承担发现证据的职能——P</w:t>
      </w:r>
      <w:r>
        <w:rPr>
          <w:rFonts w:ascii="宋体" w:hAnsi="宋体" w:eastAsia="宋体" w:cs="Times New Roman"/>
          <w:szCs w:val="21"/>
          <w:vertAlign w:val="subscript"/>
        </w:rPr>
        <w:t>c</w:t>
      </w:r>
      <w:r>
        <w:rPr>
          <w:rFonts w:ascii="宋体" w:hAnsi="宋体" w:eastAsia="宋体" w:cs="Times New Roman"/>
          <w:szCs w:val="21"/>
        </w:rPr>
        <w:t>=0。当事人B参加诉讼的前提在于诉讼的预期收益大于诉讼成本,这里的诉讼预期收益指诉讼标的额和胜诉概率的乘积，诉讼成本包括当事人在诉讼中的各项费用支出</w:t>
      </w:r>
      <w:r>
        <w:rPr>
          <w:rStyle w:val="20"/>
          <w:rFonts w:ascii="宋体" w:hAnsi="宋体" w:eastAsia="宋体" w:cs="Times New Roman"/>
          <w:szCs w:val="21"/>
        </w:rPr>
        <w:footnoteReference w:id="84"/>
      </w:r>
      <w:r>
        <w:rPr>
          <w:rFonts w:ascii="宋体" w:hAnsi="宋体" w:eastAsia="宋体" w:cs="Times New Roman"/>
          <w:szCs w:val="21"/>
        </w:rPr>
        <w:t>。因此，当事人B为了提高胜诉概率</w:t>
      </w:r>
      <w:r>
        <w:rPr>
          <w:rStyle w:val="20"/>
          <w:rFonts w:ascii="宋体" w:hAnsi="宋体" w:eastAsia="宋体" w:cs="Times New Roman"/>
          <w:szCs w:val="21"/>
        </w:rPr>
        <w:footnoteReference w:id="85"/>
      </w:r>
      <w:r>
        <w:rPr>
          <w:rFonts w:ascii="宋体" w:hAnsi="宋体" w:eastAsia="宋体" w:cs="Times New Roman"/>
          <w:szCs w:val="21"/>
        </w:rPr>
        <w:t>而支出的信息I的调查费用（属于诉讼成本的一部分），应当达到边际诉讼成本等于边际诉讼预期收益的水平。换言之，当事人B在诉讼成本支出和诉讼预期收益之间进行决策，最终选择了一个最经济合理的真相水平F1和费用水平P1。当然，这里是假定决策单位（即当事人）意识到他们最大化的努力，能够条理分明地描述其效用最大化的决策过程。</w:t>
      </w:r>
    </w:p>
    <w:p w14:paraId="6AB7252F">
      <w:pPr>
        <w:spacing w:line="400" w:lineRule="exact"/>
        <w:ind w:firstLine="440" w:firstLineChars="200"/>
        <w:rPr>
          <w:rFonts w:ascii="宋体" w:hAnsi="宋体" w:eastAsia="宋体" w:cs="Times New Roman"/>
          <w:szCs w:val="21"/>
        </w:rPr>
      </w:pPr>
      <w:r>
        <w:rPr>
          <w:rFonts w:ascii="宋体" w:hAnsi="宋体" w:eastAsia="宋体" w:cs="Times New Roman"/>
          <w:szCs w:val="21"/>
        </w:rPr>
        <w:t>情况Ⅱ：在职权主义的诉讼模式中，整个诉讼程序的启动、发展和消灭基本都是由法院的职权来决定，相对于当事人主义诉讼模式中当事人所享有的高度的自由处分权利，职权主义诉讼模式中加入了强烈的法官干预色彩。在职权主义诉讼模式的司法体系中，当事人的举证能力通常被认为是有限的，提出的证据是值得怀疑的，法院负有主动地全面收集证据的权力和责任——P</w:t>
      </w:r>
      <w:r>
        <w:rPr>
          <w:rFonts w:ascii="宋体" w:hAnsi="宋体" w:eastAsia="宋体" w:cs="Times New Roman"/>
          <w:szCs w:val="21"/>
          <w:vertAlign w:val="subscript"/>
        </w:rPr>
        <w:t>b</w:t>
      </w:r>
      <w:r>
        <w:rPr>
          <w:rFonts w:ascii="宋体" w:hAnsi="宋体" w:eastAsia="宋体" w:cs="Times New Roman"/>
          <w:szCs w:val="21"/>
        </w:rPr>
        <w:t>=0。法院承担调查取证责任所需的费用支出是由私人和社会两方面负担的，私人成本表现为诉讼当事人缴纳的诉讼费，社会成本则是通过政府财政拨款的方式实现，其中社会成本是主要的组成部分。法院可以把大量的由个案引起的费用支出通过社会成本转嫁给社会公众，因此，法院比之当事人B可以承担更高的费用水平P2（P2&gt;P1）,同时，按照模型的假设——真相水平F是费用支出P的增函数，法院能够实现更高的真相水平F2（F2&gt;F1）。</w:t>
      </w:r>
    </w:p>
    <w:p w14:paraId="33DCBD50">
      <w:pPr>
        <w:spacing w:line="400" w:lineRule="exact"/>
        <w:ind w:firstLine="440" w:firstLineChars="200"/>
        <w:rPr>
          <w:rFonts w:ascii="宋体" w:hAnsi="宋体" w:eastAsia="宋体" w:cs="Times New Roman"/>
          <w:szCs w:val="21"/>
        </w:rPr>
      </w:pPr>
      <w:r>
        <w:rPr>
          <w:rFonts w:ascii="宋体" w:hAnsi="宋体" w:eastAsia="宋体" w:cs="Times New Roman"/>
          <w:szCs w:val="21"/>
        </w:rPr>
        <w:t>情况Ⅲ：在真实主义诉讼模式中，当事人A的律师知悉信息I并予以披露，有理由认为，当事人A披露信息的成本可以忽略不计，则Pa=0,当事人B、法官C获取信息不需要成本支出，则官Pa=Pb=0,所以,P3=Pa+Pb+Pc=0。而真相水平由于当事人A的信息披露达到其最大值F3。</w:t>
      </w:r>
    </w:p>
    <w:p w14:paraId="55620E4A">
      <w:pPr>
        <w:spacing w:line="400" w:lineRule="exact"/>
        <w:ind w:firstLine="440" w:firstLineChars="200"/>
        <w:rPr>
          <w:rFonts w:ascii="宋体" w:hAnsi="宋体" w:eastAsia="宋体" w:cs="Times New Roman"/>
          <w:szCs w:val="21"/>
        </w:rPr>
      </w:pPr>
      <w:r>
        <w:rPr>
          <w:rFonts w:ascii="宋体" w:hAnsi="宋体" w:eastAsia="宋体" w:cs="Times New Roman"/>
          <w:szCs w:val="21"/>
        </w:rPr>
        <w:t>比较情况I、情况Ⅱ、情况Ⅲ，不难发现：</w:t>
      </w:r>
    </w:p>
    <w:p w14:paraId="1120EBBC">
      <w:pPr>
        <w:spacing w:line="400" w:lineRule="exact"/>
        <w:ind w:firstLine="440" w:firstLineChars="200"/>
        <w:rPr>
          <w:rFonts w:ascii="宋体" w:hAnsi="宋体" w:eastAsia="宋体" w:cs="Times New Roman"/>
          <w:szCs w:val="21"/>
        </w:rPr>
      </w:pPr>
      <w:r>
        <w:rPr>
          <w:rFonts w:ascii="宋体" w:hAnsi="宋体" w:eastAsia="宋体" w:cs="Times New Roman"/>
          <w:szCs w:val="21"/>
        </w:rPr>
        <w:t>F1&lt;F2&lt;F3；P1&gt;P2&gt;P3</w:t>
      </w:r>
    </w:p>
    <w:p w14:paraId="16FA69DB">
      <w:pPr>
        <w:spacing w:line="400" w:lineRule="exact"/>
        <w:ind w:firstLine="440" w:firstLineChars="200"/>
        <w:rPr>
          <w:rFonts w:ascii="宋体" w:hAnsi="宋体" w:eastAsia="宋体" w:cs="Times New Roman"/>
          <w:szCs w:val="21"/>
        </w:rPr>
      </w:pPr>
      <w:r>
        <w:rPr>
          <w:rFonts w:ascii="宋体" w:hAnsi="宋体" w:eastAsia="宋体" w:cs="Times New Roman"/>
          <w:szCs w:val="21"/>
        </w:rPr>
        <w:t>这一研究结果表明，在当事人A的律师不遵循违背真实原则的保密义务，而忠实于法院与事实时，实现了最少费用支出和最大真相收益，实现了效率，而律师保守一切职业秘密导致了低效率或无效率。这个结论恰恰同设定律师保密义务的初衷相反。</w:t>
      </w:r>
    </w:p>
    <w:p w14:paraId="54CD6F63">
      <w:pPr>
        <w:spacing w:line="400" w:lineRule="exact"/>
        <w:ind w:firstLine="440" w:firstLineChars="200"/>
        <w:rPr>
          <w:rFonts w:ascii="宋体" w:hAnsi="宋体" w:eastAsia="宋体" w:cs="Times New Roman"/>
          <w:szCs w:val="21"/>
        </w:rPr>
      </w:pPr>
      <w:r>
        <w:rPr>
          <w:rFonts w:ascii="宋体" w:hAnsi="宋体" w:eastAsia="宋体" w:cs="Times New Roman"/>
          <w:szCs w:val="21"/>
        </w:rPr>
        <w:t>这个模型容易遭致批评的方面可能在于这样的观点：如果不确立律师应当保守职业秘密的原则，律师可能根本就无法和当事人进行信息交流,也就无法获悉模型中所谓的信息1,从而根本就不会存在模型中被认为最优的情况印。这种批评是不成立的。从当事人的角度来看，当事人作为法律专门知识的弱势群体，一般不可能不通过律师来尽量公正或最大限度地实现自己的愿望;况且,聘请律师的目的在于获得法律服务，而法律服务的含义并不是逃避法律责任，帮助当事人逃避法律责任从来就不是律师的工作——当事人应明确或应帮助当事人明确这样的观点。当事人事实上可以通过掌握向律师透露信息的内容，来控制由律师可能予以揭发所带来的风险。在这一点上，当事人是完全拥有自主权的。</w:t>
      </w:r>
    </w:p>
    <w:p w14:paraId="622682ED">
      <w:pPr>
        <w:spacing w:line="400" w:lineRule="exact"/>
        <w:ind w:firstLine="440" w:firstLineChars="200"/>
        <w:rPr>
          <w:rFonts w:ascii="宋体" w:hAnsi="宋体" w:eastAsia="宋体" w:cs="Times New Roman"/>
          <w:szCs w:val="21"/>
        </w:rPr>
      </w:pPr>
      <w:r>
        <w:rPr>
          <w:rFonts w:ascii="宋体" w:hAnsi="宋体" w:eastAsia="宋体" w:cs="Times New Roman"/>
          <w:szCs w:val="21"/>
        </w:rPr>
        <w:t>另外一个问题是：既然情况Ⅱ中的法院调查可以在当事人较低的费用支出水平上实现较高的真相水平，为什么不将情况口这样一种律师强有力保护当事人的状态作为最优选择？笔者认为，情况II中职权主义诉讼模式确实在两方面优于情况I的当事人主义诉讼模式。首先，法院承担调查取证责任，减少了双方律师在相互对抗中取得事实真相所耗费的资源量, “用于对抗程序的资源相互抵消而并没有增加司法判决的准确性，这类似于广告开支”</w:t>
      </w:r>
      <w:r>
        <w:rPr>
          <w:rStyle w:val="20"/>
          <w:rFonts w:ascii="宋体" w:hAnsi="宋体" w:eastAsia="宋体" w:cs="Times New Roman"/>
          <w:szCs w:val="21"/>
        </w:rPr>
        <w:footnoteReference w:id="86"/>
      </w:r>
      <w:r>
        <w:rPr>
          <w:rFonts w:ascii="宋体" w:hAnsi="宋体" w:eastAsia="宋体" w:cs="Times New Roman"/>
          <w:szCs w:val="21"/>
        </w:rPr>
        <w:t>，不过，法院调查取证的费用支出毕竟远远大于当事人或其律师自觉披露证据的情况。其次，法院的费用支出在非常大的比例上是由社会公众承担的，由于“如果法律制度的功能只在于解决纠纷，那么，我们将这种制度的全部成本加于纠纷当事人还是合适的，但是它的另一个重要功能就是建立一套旨在影响现存案件当事人和其他人的未来行为的行为规则”</w:t>
      </w:r>
      <w:r>
        <w:rPr>
          <w:rStyle w:val="20"/>
          <w:rFonts w:ascii="宋体" w:hAnsi="宋体" w:eastAsia="宋体" w:cs="Times New Roman"/>
          <w:szCs w:val="21"/>
        </w:rPr>
        <w:footnoteReference w:id="87"/>
      </w:r>
      <w:r>
        <w:rPr>
          <w:rFonts w:ascii="宋体" w:hAnsi="宋体" w:eastAsia="宋体" w:cs="Times New Roman"/>
          <w:szCs w:val="21"/>
        </w:rPr>
        <w:t>，因而社会公众享受了通过案例制定规则，从而调整预期、选择合理的预防成本支出的利益。不过，完全由社会公众来负担也不合理，因为毕竟涉及到双方当事人的权益。</w:t>
      </w:r>
    </w:p>
    <w:p w14:paraId="445E840E">
      <w:pPr>
        <w:spacing w:line="400" w:lineRule="exact"/>
        <w:ind w:firstLine="440" w:firstLineChars="200"/>
        <w:rPr>
          <w:rFonts w:ascii="宋体" w:hAnsi="宋体" w:eastAsia="宋体" w:cs="Times New Roman"/>
          <w:szCs w:val="21"/>
        </w:rPr>
      </w:pPr>
      <w:r>
        <w:rPr>
          <w:rFonts w:ascii="宋体" w:hAnsi="宋体" w:eastAsia="宋体" w:cs="Times New Roman"/>
          <w:szCs w:val="21"/>
        </w:rPr>
        <w:t>应当指出，上述模型是建立在民事诉讼基础上的，对于刑事诉讼，情况I、情况II可能有所不同，作为控诉方的B有义务尽最大可能发现一切导向真相的信息，但模型的结论将不会有太大差别，情况Ⅲ仍然是费用支出最低、真相收益最高的选择。</w:t>
      </w:r>
    </w:p>
    <w:p w14:paraId="61F23203">
      <w:pPr>
        <w:spacing w:line="400" w:lineRule="exact"/>
        <w:ind w:firstLine="440" w:firstLineChars="200"/>
        <w:rPr>
          <w:rFonts w:ascii="宋体" w:hAnsi="宋体" w:eastAsia="宋体" w:cs="Times New Roman"/>
          <w:szCs w:val="21"/>
        </w:rPr>
      </w:pPr>
      <w:r>
        <w:rPr>
          <w:rFonts w:ascii="宋体" w:hAnsi="宋体" w:eastAsia="宋体" w:cs="Times New Roman"/>
          <w:szCs w:val="21"/>
        </w:rPr>
        <w:t>3.机制设定的思路</w:t>
      </w:r>
    </w:p>
    <w:p w14:paraId="0D1F7B8C">
      <w:pPr>
        <w:spacing w:line="400" w:lineRule="exact"/>
        <w:ind w:firstLine="440" w:firstLineChars="200"/>
        <w:rPr>
          <w:rFonts w:ascii="宋体" w:hAnsi="宋体" w:eastAsia="宋体" w:cs="Times New Roman"/>
          <w:szCs w:val="21"/>
        </w:rPr>
      </w:pPr>
      <w:r>
        <w:rPr>
          <w:rFonts w:ascii="宋体" w:hAnsi="宋体" w:eastAsia="宋体" w:cs="Times New Roman"/>
          <w:szCs w:val="21"/>
        </w:rPr>
        <w:t>在得到了律师不遵循保密义务，忠于法院、忠于事实真相将实现效率并保证了公平的结论后，可以开始探讨实现律师忠于法院和事实真相的机制。</w:t>
      </w:r>
    </w:p>
    <w:p w14:paraId="6576168F">
      <w:pPr>
        <w:spacing w:line="400" w:lineRule="exact"/>
        <w:ind w:firstLine="440" w:firstLineChars="200"/>
        <w:rPr>
          <w:rFonts w:ascii="宋体" w:hAnsi="宋体" w:eastAsia="宋体" w:cs="Times New Roman"/>
          <w:szCs w:val="21"/>
        </w:rPr>
      </w:pPr>
      <w:r>
        <w:rPr>
          <w:rFonts w:ascii="宋体" w:hAnsi="宋体" w:eastAsia="宋体" w:cs="Times New Roman"/>
          <w:szCs w:val="21"/>
        </w:rPr>
        <w:t>虽然存在这样的观点，“律师所提供的服务和技能可以有偿，但他们的人格和政治信仰则不然；因为他们每个人都是有个性的，当事人用金钱换来的忠诚是有限的，因为律师的职业人格中还有为公共事业做贡献的成分”</w:t>
      </w:r>
      <w:r>
        <w:rPr>
          <w:rStyle w:val="20"/>
          <w:rFonts w:ascii="宋体" w:hAnsi="宋体" w:eastAsia="宋体" w:cs="Times New Roman"/>
          <w:szCs w:val="21"/>
        </w:rPr>
        <w:footnoteReference w:id="88"/>
      </w:r>
      <w:r>
        <w:rPr>
          <w:rFonts w:ascii="宋体" w:hAnsi="宋体" w:eastAsia="宋体" w:cs="Times New Roman"/>
          <w:szCs w:val="21"/>
        </w:rPr>
        <w:t>，可是，律师作为“社会的法律工作者”，同国家审判机关、司法监督机关、司法行政机关的决策机制存在极大差异。律师作为独立的个体决策主体,从根本上说很难以社会公共利益作为决策的惟一出发点，主客观上均受到自身利益最大化的极大影响。</w:t>
      </w:r>
    </w:p>
    <w:p w14:paraId="6F221914">
      <w:pPr>
        <w:spacing w:line="400" w:lineRule="exact"/>
        <w:ind w:firstLine="440" w:firstLineChars="200"/>
        <w:rPr>
          <w:rFonts w:ascii="宋体" w:hAnsi="宋体" w:eastAsia="宋体" w:cs="Times New Roman"/>
          <w:szCs w:val="21"/>
        </w:rPr>
      </w:pPr>
      <w:r>
        <w:rPr>
          <w:rFonts w:ascii="宋体" w:hAnsi="宋体" w:eastAsia="宋体" w:cs="Times New Roman"/>
          <w:szCs w:val="21"/>
        </w:rPr>
        <w:t>从直观的角度分析，可以影响律师自身利益最大化,从而决定律师是否保密的决策的因素有以下三个方面：首先，法律规定对于律师隐瞒事实真相的处罚力度。这是律师保守秘密行为的最直接的成本。为了下文阐述的简便，将这种处罚简单地归结为罚金。其次，律师通过隐瞒事实真相、保护委托人而赢得的在当事人中的声望。不可否认一个守口如瓶的、全力保护委托人的律师将能够获得更多的业务委托，从而获得更多的经济利益。“声望”因素也可以用数字化的金额方式衡量。再次，胜诉给律师带来的和委托人的共同利益。律师的法律服务在某种程度上完全是一种市场行为，委托人在律师市场上按照自己的需求和支付能力购买合适的律师服务,律师的劳动完全是由委托人的私人投资引起，因而律师和委托人存在天然的共同利益基础，而胜诉酬金制将这种共同利益关系推向极致。胜诉酬金制规定律师收取的律师费为当事人胜诉金额的1/3,最高的可达50%,而在败诉时不收取律师费。</w:t>
      </w:r>
      <w:r>
        <w:rPr>
          <w:rStyle w:val="20"/>
          <w:rFonts w:ascii="宋体" w:hAnsi="宋体" w:eastAsia="宋体" w:cs="Times New Roman"/>
          <w:szCs w:val="21"/>
        </w:rPr>
        <w:footnoteReference w:id="89"/>
      </w:r>
    </w:p>
    <w:p w14:paraId="6F7A85FB">
      <w:pPr>
        <w:spacing w:line="400" w:lineRule="exact"/>
        <w:ind w:firstLine="440" w:firstLineChars="200"/>
        <w:rPr>
          <w:rFonts w:ascii="宋体" w:hAnsi="宋体" w:eastAsia="宋体" w:cs="Times New Roman"/>
          <w:szCs w:val="21"/>
        </w:rPr>
      </w:pPr>
      <w:r>
        <w:rPr>
          <w:rFonts w:ascii="宋体" w:hAnsi="宋体" w:eastAsia="宋体" w:cs="Times New Roman"/>
          <w:szCs w:val="21"/>
        </w:rPr>
        <w:t>律师是否保守职业秘密的决策，不仅受到以上“罚金”、“声望”、“共同利益”三个因素的影响，还将依赖于对方当事人或控诉方的决策（即是否就对方律师保守的秘密进行调查），这是一个典型的存在相互外部经济条件下的个人选择问题，运用非合作博弈的理论是非常合适的。</w:t>
      </w:r>
    </w:p>
    <w:p w14:paraId="5A1E98C0">
      <w:pPr>
        <w:spacing w:line="400" w:lineRule="exact"/>
        <w:ind w:firstLine="440" w:firstLineChars="200"/>
        <w:rPr>
          <w:rFonts w:ascii="宋体" w:hAnsi="宋体" w:eastAsia="宋体" w:cs="Times New Roman"/>
          <w:szCs w:val="21"/>
        </w:rPr>
      </w:pPr>
      <w:r>
        <w:rPr>
          <w:rFonts w:ascii="宋体" w:hAnsi="宋体" w:eastAsia="宋体" w:cs="Times New Roman"/>
          <w:szCs w:val="21"/>
        </w:rPr>
        <w:t>先建立一个代表现状的基准博弈过程，这个博弈过程是以对律师隐瞒事实的罚金较低（即肯定律师保守职业秘密的义务）、律师保密赢得声望、律师和委托人存在共同利益为前提，同时为了分析的方便，将这一过程视为完全信息静态博弈。</w:t>
      </w:r>
    </w:p>
    <w:p w14:paraId="7832B601">
      <w:pPr>
        <w:spacing w:line="400" w:lineRule="exact"/>
        <w:ind w:firstLine="440" w:firstLineChars="200"/>
        <w:rPr>
          <w:rFonts w:ascii="宋体" w:hAnsi="宋体" w:eastAsia="宋体" w:cs="Times New Roman"/>
          <w:szCs w:val="21"/>
        </w:rPr>
      </w:pPr>
      <w:r>
        <w:rPr>
          <w:rFonts w:ascii="宋体" w:hAnsi="宋体" w:eastAsia="宋体" w:cs="Times New Roman"/>
          <w:szCs w:val="21"/>
        </w:rPr>
        <w:t>假设:存在双方律师A、B,A掌握职业秘密I;</w:t>
      </w:r>
    </w:p>
    <w:p w14:paraId="5213A96D">
      <w:pPr>
        <w:spacing w:line="400" w:lineRule="exact"/>
        <w:ind w:firstLine="440" w:firstLineChars="200"/>
        <w:rPr>
          <w:rFonts w:ascii="宋体" w:hAnsi="宋体" w:eastAsia="宋体" w:cs="Times New Roman"/>
          <w:szCs w:val="21"/>
        </w:rPr>
      </w:pPr>
      <w:r>
        <w:rPr>
          <w:rFonts w:ascii="宋体" w:hAnsi="宋体" w:eastAsia="宋体" w:cs="Times New Roman"/>
          <w:szCs w:val="21"/>
        </w:rPr>
        <w:t>秘密I对于A、B的价值均为v；</w:t>
      </w:r>
    </w:p>
    <w:p w14:paraId="2C21588D">
      <w:pPr>
        <w:spacing w:line="400" w:lineRule="exact"/>
        <w:ind w:firstLine="440" w:firstLineChars="200"/>
        <w:rPr>
          <w:rFonts w:ascii="宋体" w:hAnsi="宋体" w:eastAsia="宋体" w:cs="Times New Roman"/>
          <w:szCs w:val="21"/>
        </w:rPr>
      </w:pPr>
      <w:r>
        <w:rPr>
          <w:rFonts w:ascii="宋体" w:hAnsi="宋体" w:eastAsia="宋体" w:cs="Times New Roman"/>
          <w:szCs w:val="21"/>
        </w:rPr>
        <w:t>B通过调查知悉秘密I的调查成本为c（v&gt;c）；</w:t>
      </w:r>
    </w:p>
    <w:p w14:paraId="3FE4519C">
      <w:pPr>
        <w:spacing w:line="400" w:lineRule="exact"/>
        <w:ind w:firstLine="440" w:firstLineChars="200"/>
        <w:rPr>
          <w:rFonts w:ascii="宋体" w:hAnsi="宋体" w:eastAsia="宋体" w:cs="Times New Roman"/>
          <w:szCs w:val="21"/>
        </w:rPr>
      </w:pPr>
      <w:r>
        <w:rPr>
          <w:rFonts w:ascii="宋体" w:hAnsi="宋体" w:eastAsia="宋体" w:cs="Times New Roman"/>
          <w:szCs w:val="21"/>
        </w:rPr>
        <w:t>A如果保守秘密1（无论B是否调查得知），A将赢得声望r；一旦发现A隐瞒秘密I,A将被课以罚金极小）。</w:t>
      </w:r>
    </w:p>
    <w:p w14:paraId="5CF668E4">
      <w:pPr>
        <w:spacing w:line="400" w:lineRule="exact"/>
        <w:ind w:firstLine="440" w:firstLineChars="200"/>
        <w:rPr>
          <w:rFonts w:ascii="宋体" w:hAnsi="宋体" w:eastAsia="宋体" w:cs="Times New Roman"/>
          <w:szCs w:val="21"/>
        </w:rPr>
      </w:pPr>
      <w:r>
        <w:rPr>
          <w:rFonts w:ascii="宋体" w:hAnsi="宋体" w:eastAsia="宋体" w:cs="Times New Roman"/>
          <w:szCs w:val="21"/>
        </w:rPr>
        <w:t>A存在保密和不保密两种选择，相对应的,B可以选择调查和不调查。在A保密而B进行调查的情况下,A将赢得声望r并遭到罚金f,B将在付出调查成本c的条件下获得秘密的价值u；在A保密而B不调查的情况下,A将赢得声望r和秘密的价值u（可能A因此而胜诉并获得胜诉酬金）而不遭受罚金（因为诉讼过程中秘密仍是秘密，有权对律师进行惩戒的法官并不知晓），B将一无所获;在A不保密而B进行调查的情况下（这种情况并不现实，只是为了分析的完整）,A失去了声望r,B将在付出调查成本c的条件下获得秘密的价值w在A不保密而B也不调查的情况下,A失去声望r,B不需要任何成本就得到秘密的价值化各种情况下的支付矩阵如表1所示：</w:t>
      </w:r>
    </w:p>
    <w:p w14:paraId="3656BD9B">
      <w:pPr>
        <w:ind w:firstLine="440" w:firstLineChars="200"/>
        <w:rPr>
          <w:rFonts w:ascii="宋体" w:hAnsi="宋体" w:eastAsia="宋体" w:cs="Times New Roman"/>
          <w:szCs w:val="21"/>
        </w:rPr>
      </w:pPr>
      <w:r>
        <w:rPr>
          <w:rFonts w:ascii="宋体" w:hAnsi="宋体" w:eastAsia="宋体" w:cs="Times New Roman"/>
          <w:szCs w:val="21"/>
        </w:rPr>
        <w:drawing>
          <wp:inline distT="0" distB="0" distL="114300" distR="114300">
            <wp:extent cx="5271135" cy="1226185"/>
            <wp:effectExtent l="0" t="0" r="12065" b="18415"/>
            <wp:docPr id="95"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1"/>
                    <pic:cNvPicPr>
                      <a:picLocks noChangeAspect="1"/>
                    </pic:cNvPicPr>
                  </pic:nvPicPr>
                  <pic:blipFill>
                    <a:blip r:embed="rId85"/>
                    <a:stretch>
                      <a:fillRect/>
                    </a:stretch>
                  </pic:blipFill>
                  <pic:spPr>
                    <a:xfrm>
                      <a:off x="0" y="0"/>
                      <a:ext cx="5271135" cy="1226185"/>
                    </a:xfrm>
                    <a:prstGeom prst="rect">
                      <a:avLst/>
                    </a:prstGeom>
                    <a:noFill/>
                    <a:ln>
                      <a:noFill/>
                    </a:ln>
                  </pic:spPr>
                </pic:pic>
              </a:graphicData>
            </a:graphic>
          </wp:inline>
        </w:drawing>
      </w:r>
    </w:p>
    <w:p w14:paraId="64D15C5F">
      <w:pPr>
        <w:spacing w:line="400" w:lineRule="exact"/>
        <w:ind w:firstLine="440" w:firstLineChars="200"/>
        <w:rPr>
          <w:rFonts w:ascii="宋体" w:hAnsi="宋体" w:eastAsia="宋体" w:cs="Times New Roman"/>
          <w:szCs w:val="21"/>
        </w:rPr>
      </w:pPr>
      <w:r>
        <w:rPr>
          <w:rFonts w:ascii="宋体" w:hAnsi="宋体" w:eastAsia="宋体" w:cs="Times New Roman"/>
          <w:szCs w:val="21"/>
        </w:rPr>
        <w:t>分析表1,对于A而言，在B进行调查的情况下，由于保密所获的利益大于不保密的利益（r-/&gt;-r）,A将选择保密；在B不调查的情况下，同样由于保密所获的利益大于不保密的利益（u+r&gt;—r）,A将选择保密。对于B而言，在A保密的情况下，由于调查所获的利益大于不调查的利益（u—c&gt;0）,B将选择调查;在A不保密的情况下，由于调查所获的利益小于不调查的利益（V—c&lt;v=将选择不调查）。</w:t>
      </w:r>
    </w:p>
    <w:p w14:paraId="613327F7">
      <w:pPr>
        <w:spacing w:line="400" w:lineRule="exact"/>
        <w:ind w:firstLine="440" w:firstLineChars="200"/>
        <w:rPr>
          <w:rFonts w:ascii="宋体" w:hAnsi="宋体" w:eastAsia="宋体" w:cs="Times New Roman"/>
          <w:szCs w:val="21"/>
        </w:rPr>
      </w:pPr>
      <w:r>
        <w:rPr>
          <w:rFonts w:ascii="宋体" w:hAnsi="宋体" w:eastAsia="宋体" w:cs="Times New Roman"/>
          <w:szCs w:val="21"/>
        </w:rPr>
        <w:t>因此,A的占优战略是（保密，调查）、（保密，不调查）,B的占优战略是（保密，调查），（不保密，不调查），最终由所有参与人的最优战略组成的纳什均衡是（保密，调查）。显然这样一种结果是没有效率的。</w:t>
      </w:r>
    </w:p>
    <w:p w14:paraId="085AE50B">
      <w:pPr>
        <w:spacing w:line="400" w:lineRule="exact"/>
        <w:ind w:firstLine="440" w:firstLineChars="200"/>
        <w:rPr>
          <w:rFonts w:ascii="宋体" w:hAnsi="宋体" w:eastAsia="宋体" w:cs="Times New Roman"/>
          <w:szCs w:val="21"/>
        </w:rPr>
      </w:pPr>
      <w:r>
        <w:rPr>
          <w:rFonts w:ascii="宋体" w:hAnsi="宋体" w:eastAsia="宋体" w:cs="Times New Roman"/>
          <w:szCs w:val="21"/>
        </w:rPr>
        <w:t>为了使A、B两人博弈的结果达到（不保密，不调查）这样一个有效率的状态，考虑分别调整影响律师A决策的“罚金”、 “声望”、“共同利益”三个因素。</w:t>
      </w:r>
    </w:p>
    <w:p w14:paraId="17CED9D2">
      <w:pPr>
        <w:spacing w:line="400" w:lineRule="exact"/>
        <w:ind w:firstLine="440" w:firstLineChars="200"/>
        <w:rPr>
          <w:rFonts w:ascii="宋体" w:hAnsi="宋体" w:eastAsia="宋体" w:cs="Times New Roman"/>
          <w:szCs w:val="21"/>
        </w:rPr>
      </w:pPr>
      <w:r>
        <w:rPr>
          <w:rFonts w:ascii="宋体" w:hAnsi="宋体" w:eastAsia="宋体" w:cs="Times New Roman"/>
          <w:szCs w:val="21"/>
        </w:rPr>
        <w:t>一是加大对于律师隐瞒事实的处罚力度,这也是最简便的一种做法。</w:t>
      </w:r>
    </w:p>
    <w:p w14:paraId="0DA5D814">
      <w:pPr>
        <w:spacing w:line="400" w:lineRule="exact"/>
        <w:ind w:firstLine="440" w:firstLineChars="200"/>
        <w:rPr>
          <w:rFonts w:ascii="宋体" w:hAnsi="宋体" w:eastAsia="宋体" w:cs="Times New Roman"/>
          <w:szCs w:val="21"/>
        </w:rPr>
      </w:pPr>
      <w:r>
        <w:rPr>
          <w:rFonts w:ascii="宋体" w:hAnsi="宋体" w:eastAsia="宋体" w:cs="Times New Roman"/>
          <w:szCs w:val="21"/>
        </w:rPr>
        <w:t>假设：一旦发现A隐瞒秘密I,A将被课以罚金f’（f’&gt;f）;其他条件不变。</w:t>
      </w:r>
    </w:p>
    <w:p w14:paraId="2E2811C9">
      <w:pPr>
        <w:spacing w:line="400" w:lineRule="exact"/>
        <w:ind w:firstLine="440" w:firstLineChars="200"/>
        <w:rPr>
          <w:rFonts w:ascii="宋体" w:hAnsi="宋体" w:eastAsia="宋体" w:cs="Times New Roman"/>
          <w:szCs w:val="21"/>
        </w:rPr>
      </w:pPr>
      <w:r>
        <w:rPr>
          <w:rFonts w:ascii="宋体" w:hAnsi="宋体" w:eastAsia="宋体" w:cs="Times New Roman"/>
          <w:szCs w:val="21"/>
        </w:rPr>
        <w:t>同样按照基准过程的分析方法得出各种情况下的支付矩阵，如表2所示。在表2中，A在B进行调查的情况下，由于保密所获的利益一般将大于不保密可以获得的利益（r-f’&gt;-r）,A将选择保密</w:t>
      </w:r>
      <w:r>
        <w:rPr>
          <w:rStyle w:val="20"/>
          <w:rFonts w:ascii="宋体" w:hAnsi="宋体" w:eastAsia="宋体" w:cs="Times New Roman"/>
          <w:szCs w:val="21"/>
        </w:rPr>
        <w:footnoteReference w:id="90"/>
      </w:r>
      <w:r>
        <w:rPr>
          <w:rFonts w:ascii="宋体" w:hAnsi="宋体" w:eastAsia="宋体" w:cs="Times New Roman"/>
          <w:szCs w:val="21"/>
        </w:rPr>
        <w:t>;其他情况不变。</w:t>
      </w:r>
    </w:p>
    <w:p w14:paraId="3D926739">
      <w:pPr>
        <w:ind w:firstLine="440" w:firstLineChars="200"/>
        <w:rPr>
          <w:rFonts w:ascii="宋体" w:hAnsi="宋体" w:eastAsia="宋体" w:cs="Times New Roman"/>
          <w:szCs w:val="21"/>
        </w:rPr>
      </w:pPr>
      <w:r>
        <w:rPr>
          <w:rFonts w:ascii="宋体" w:hAnsi="宋体" w:eastAsia="宋体" w:cs="Times New Roman"/>
          <w:szCs w:val="21"/>
        </w:rPr>
        <w:drawing>
          <wp:inline distT="0" distB="0" distL="114300" distR="114300">
            <wp:extent cx="5266690" cy="1250315"/>
            <wp:effectExtent l="0" t="0" r="16510" b="19685"/>
            <wp:docPr id="9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12"/>
                    <pic:cNvPicPr>
                      <a:picLocks noChangeAspect="1"/>
                    </pic:cNvPicPr>
                  </pic:nvPicPr>
                  <pic:blipFill>
                    <a:blip r:embed="rId86"/>
                    <a:stretch>
                      <a:fillRect/>
                    </a:stretch>
                  </pic:blipFill>
                  <pic:spPr>
                    <a:xfrm>
                      <a:off x="0" y="0"/>
                      <a:ext cx="5266690" cy="1250315"/>
                    </a:xfrm>
                    <a:prstGeom prst="rect">
                      <a:avLst/>
                    </a:prstGeom>
                    <a:noFill/>
                    <a:ln>
                      <a:noFill/>
                    </a:ln>
                  </pic:spPr>
                </pic:pic>
              </a:graphicData>
            </a:graphic>
          </wp:inline>
        </w:drawing>
      </w:r>
    </w:p>
    <w:p w14:paraId="05C50865">
      <w:pPr>
        <w:spacing w:line="400" w:lineRule="exact"/>
        <w:ind w:firstLine="440" w:firstLineChars="200"/>
        <w:rPr>
          <w:rFonts w:ascii="宋体" w:hAnsi="宋体" w:eastAsia="宋体" w:cs="Times New Roman"/>
          <w:szCs w:val="21"/>
        </w:rPr>
      </w:pPr>
      <w:r>
        <w:rPr>
          <w:rFonts w:ascii="宋体" w:hAnsi="宋体" w:eastAsia="宋体" w:cs="Times New Roman"/>
          <w:szCs w:val="21"/>
        </w:rPr>
        <w:t>因此A的占优战略是（保密，调查）、（保密，不调查），B的占优战略是（保密，调查），（不保密，不调查），最终纳什均衡仍然是（保密，调查），单纯加大罚金无效。</w:t>
      </w:r>
    </w:p>
    <w:p w14:paraId="3B3FD484">
      <w:pPr>
        <w:spacing w:line="400" w:lineRule="exact"/>
        <w:ind w:firstLine="440" w:firstLineChars="200"/>
        <w:rPr>
          <w:rFonts w:ascii="宋体" w:hAnsi="宋体" w:eastAsia="宋体" w:cs="Times New Roman"/>
          <w:szCs w:val="21"/>
        </w:rPr>
      </w:pPr>
      <w:r>
        <w:rPr>
          <w:rFonts w:ascii="宋体" w:hAnsi="宋体" w:eastAsia="宋体" w:cs="Times New Roman"/>
          <w:szCs w:val="21"/>
        </w:rPr>
        <w:t>二是通过固定收费、禁止胜诉酬金制等方式割断律师和委托人的共同利益关系，罚金和声望不变。</w:t>
      </w:r>
    </w:p>
    <w:p w14:paraId="29B8659B">
      <w:pPr>
        <w:spacing w:line="400" w:lineRule="exact"/>
        <w:ind w:firstLine="440" w:firstLineChars="200"/>
        <w:rPr>
          <w:rFonts w:ascii="宋体" w:hAnsi="宋体" w:eastAsia="宋体" w:cs="Times New Roman"/>
          <w:szCs w:val="21"/>
        </w:rPr>
      </w:pPr>
      <w:r>
        <w:rPr>
          <w:rFonts w:ascii="宋体" w:hAnsi="宋体" w:eastAsia="宋体" w:cs="Times New Roman"/>
          <w:szCs w:val="21"/>
        </w:rPr>
        <w:t>由于不存在共同利益，秘密的价值a对于A毫无意义。支付矩阵如表3：</w:t>
      </w:r>
    </w:p>
    <w:p w14:paraId="3456D224">
      <w:pPr>
        <w:spacing w:line="400" w:lineRule="exact"/>
        <w:ind w:firstLine="440" w:firstLineChars="200"/>
        <w:rPr>
          <w:rFonts w:ascii="宋体" w:hAnsi="宋体" w:eastAsia="宋体" w:cs="Times New Roman"/>
          <w:szCs w:val="21"/>
        </w:rPr>
      </w:pPr>
      <w:r>
        <w:rPr>
          <w:rFonts w:ascii="宋体" w:hAnsi="宋体" w:eastAsia="宋体" w:cs="Times New Roman"/>
          <w:szCs w:val="21"/>
        </w:rPr>
        <w:drawing>
          <wp:anchor distT="0" distB="0" distL="114300" distR="114300" simplePos="0" relativeHeight="251691008" behindDoc="0" locked="0" layoutInCell="1" allowOverlap="1">
            <wp:simplePos x="0" y="0"/>
            <wp:positionH relativeFrom="column">
              <wp:posOffset>266700</wp:posOffset>
            </wp:positionH>
            <wp:positionV relativeFrom="paragraph">
              <wp:posOffset>-1015365</wp:posOffset>
            </wp:positionV>
            <wp:extent cx="5271135" cy="1236980"/>
            <wp:effectExtent l="0" t="0" r="12065" b="7620"/>
            <wp:wrapTopAndBottom/>
            <wp:docPr id="9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13"/>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5271135" cy="1236980"/>
                    </a:xfrm>
                    <a:prstGeom prst="rect">
                      <a:avLst/>
                    </a:prstGeom>
                    <a:noFill/>
                    <a:ln>
                      <a:noFill/>
                    </a:ln>
                  </pic:spPr>
                </pic:pic>
              </a:graphicData>
            </a:graphic>
          </wp:anchor>
        </w:drawing>
      </w:r>
      <w:r>
        <w:rPr>
          <w:rFonts w:ascii="宋体" w:hAnsi="宋体" w:eastAsia="宋体" w:cs="Times New Roman"/>
          <w:szCs w:val="21"/>
        </w:rPr>
        <w:t>因此,A的占优战略是（保密，调查）、（保密，不调查），B的占优战略是（保密，调查），（不保密，不调查），纳什均衡还是（保密，调查），单纯切断共同利益关系无效。</w:t>
      </w:r>
    </w:p>
    <w:p w14:paraId="7E4CC1A1">
      <w:pPr>
        <w:spacing w:line="400" w:lineRule="exact"/>
        <w:ind w:firstLine="440" w:firstLineChars="200"/>
        <w:rPr>
          <w:rFonts w:ascii="宋体" w:hAnsi="宋体" w:eastAsia="宋体" w:cs="Times New Roman"/>
          <w:szCs w:val="21"/>
        </w:rPr>
      </w:pPr>
      <w:r>
        <w:rPr>
          <w:rFonts w:ascii="宋体" w:hAnsi="宋体" w:eastAsia="宋体" w:cs="Times New Roman"/>
          <w:szCs w:val="21"/>
        </w:rPr>
        <w:t>三是使律师隐瞒事实不再享有声望</w:t>
      </w:r>
      <w:r>
        <w:rPr>
          <w:rFonts w:ascii="宋体" w:hAnsi="宋体" w:eastAsia="宋体" w:cs="Times New Roman"/>
        </w:rPr>
        <w:footnoteReference w:id="91"/>
      </w:r>
      <w:r>
        <w:rPr>
          <w:rFonts w:ascii="宋体" w:hAnsi="宋体" w:eastAsia="宋体" w:cs="Times New Roman"/>
          <w:szCs w:val="21"/>
        </w:rPr>
        <w:t>，罚金、共同利益关系不变。</w:t>
      </w:r>
    </w:p>
    <w:p w14:paraId="6962C976">
      <w:pPr>
        <w:spacing w:line="400" w:lineRule="exact"/>
        <w:ind w:firstLine="440" w:firstLineChars="200"/>
        <w:rPr>
          <w:rFonts w:ascii="宋体" w:hAnsi="宋体" w:eastAsia="宋体" w:cs="Times New Roman"/>
          <w:szCs w:val="21"/>
        </w:rPr>
      </w:pPr>
      <w:r>
        <w:rPr>
          <w:rFonts w:ascii="宋体" w:hAnsi="宋体" w:eastAsia="宋体" w:cs="Times New Roman"/>
          <w:szCs w:val="21"/>
        </w:rPr>
        <w:t>支付矩阵如表4：</w:t>
      </w:r>
    </w:p>
    <w:p w14:paraId="22A356FD">
      <w:pPr>
        <w:ind w:firstLine="440" w:firstLineChars="200"/>
        <w:rPr>
          <w:rFonts w:ascii="宋体" w:hAnsi="宋体" w:eastAsia="宋体" w:cs="Times New Roman"/>
          <w:szCs w:val="21"/>
        </w:rPr>
      </w:pPr>
      <w:r>
        <w:rPr>
          <w:rFonts w:ascii="宋体" w:hAnsi="宋体" w:eastAsia="宋体" w:cs="Times New Roman"/>
          <w:szCs w:val="21"/>
        </w:rPr>
        <w:drawing>
          <wp:inline distT="0" distB="0" distL="114300" distR="114300">
            <wp:extent cx="5267325" cy="1160780"/>
            <wp:effectExtent l="0" t="0" r="15875" b="7620"/>
            <wp:docPr id="9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14"/>
                    <pic:cNvPicPr>
                      <a:picLocks noChangeAspect="1"/>
                    </pic:cNvPicPr>
                  </pic:nvPicPr>
                  <pic:blipFill>
                    <a:blip r:embed="rId88"/>
                    <a:stretch>
                      <a:fillRect/>
                    </a:stretch>
                  </pic:blipFill>
                  <pic:spPr>
                    <a:xfrm>
                      <a:off x="0" y="0"/>
                      <a:ext cx="5267325" cy="1160780"/>
                    </a:xfrm>
                    <a:prstGeom prst="rect">
                      <a:avLst/>
                    </a:prstGeom>
                    <a:noFill/>
                    <a:ln>
                      <a:noFill/>
                    </a:ln>
                  </pic:spPr>
                </pic:pic>
              </a:graphicData>
            </a:graphic>
          </wp:inline>
        </w:drawing>
      </w:r>
    </w:p>
    <w:p w14:paraId="6C4F520D">
      <w:pPr>
        <w:spacing w:line="400" w:lineRule="exact"/>
        <w:ind w:firstLine="440" w:firstLineChars="200"/>
        <w:rPr>
          <w:rFonts w:ascii="宋体" w:hAnsi="宋体" w:eastAsia="宋体" w:cs="Times New Roman"/>
          <w:szCs w:val="21"/>
        </w:rPr>
      </w:pPr>
      <w:r>
        <w:rPr>
          <w:rFonts w:ascii="宋体" w:hAnsi="宋体" w:eastAsia="宋体" w:cs="Times New Roman"/>
          <w:szCs w:val="21"/>
        </w:rPr>
        <w:t>A的占优战略是（不保密，调查）、（保密，不调查）,B的占优战略是（保密，调查），（不保密，不调查），不存在纳什均衡。</w:t>
      </w:r>
    </w:p>
    <w:p w14:paraId="03D46379">
      <w:pPr>
        <w:spacing w:line="400" w:lineRule="exact"/>
        <w:ind w:firstLine="440" w:firstLineChars="200"/>
        <w:rPr>
          <w:rFonts w:ascii="宋体" w:hAnsi="宋体" w:eastAsia="宋体" w:cs="Times New Roman"/>
          <w:szCs w:val="21"/>
        </w:rPr>
      </w:pPr>
      <w:r>
        <w:rPr>
          <w:rFonts w:ascii="宋体" w:hAnsi="宋体" w:eastAsia="宋体" w:cs="Times New Roman"/>
          <w:szCs w:val="21"/>
        </w:rPr>
        <w:t>不存在纳什均衡表示单纯剥离声望无效或者模型对于该问题无效，不妨进一步尝试同时调整两个决策影响因素。</w:t>
      </w:r>
    </w:p>
    <w:p w14:paraId="1CE004DC">
      <w:pPr>
        <w:spacing w:line="400" w:lineRule="exact"/>
        <w:ind w:firstLine="440" w:firstLineChars="200"/>
        <w:rPr>
          <w:rFonts w:ascii="宋体" w:hAnsi="宋体" w:eastAsia="宋体" w:cs="Times New Roman"/>
          <w:szCs w:val="21"/>
        </w:rPr>
      </w:pPr>
      <w:r>
        <w:rPr>
          <w:rFonts w:ascii="宋体" w:hAnsi="宋体" w:eastAsia="宋体" w:cs="Times New Roman"/>
          <w:szCs w:val="21"/>
        </w:rPr>
        <w:t>首先，考虑同时提高罚金和切断共同利益关系，声望不变。</w:t>
      </w:r>
    </w:p>
    <w:p w14:paraId="6DAA1753">
      <w:pPr>
        <w:spacing w:line="400" w:lineRule="exact"/>
        <w:ind w:firstLine="440" w:firstLineChars="200"/>
        <w:rPr>
          <w:rFonts w:ascii="宋体" w:hAnsi="宋体" w:eastAsia="宋体" w:cs="Times New Roman"/>
          <w:szCs w:val="21"/>
        </w:rPr>
      </w:pPr>
      <w:r>
        <w:rPr>
          <w:rFonts w:ascii="宋体" w:hAnsi="宋体" w:eastAsia="宋体" w:cs="Times New Roman"/>
          <w:szCs w:val="21"/>
        </w:rPr>
        <w:t>这种情况和表3描述的仅切断共同利益的情况类似，只是A在B调查时选择保密所获得的利益减少了，表5所示的支付矩阵正是如此：</w:t>
      </w:r>
    </w:p>
    <w:p w14:paraId="5CC76E1D">
      <w:pPr>
        <w:spacing w:line="400" w:lineRule="exact"/>
        <w:ind w:firstLine="440" w:firstLineChars="200"/>
        <w:rPr>
          <w:rFonts w:ascii="宋体" w:hAnsi="宋体" w:eastAsia="宋体" w:cs="Times New Roman"/>
          <w:szCs w:val="21"/>
        </w:rPr>
      </w:pPr>
      <w:r>
        <w:rPr>
          <w:rFonts w:ascii="宋体" w:hAnsi="宋体" w:eastAsia="宋体" w:cs="Times New Roman"/>
          <w:szCs w:val="21"/>
        </w:rPr>
        <w:drawing>
          <wp:anchor distT="0" distB="0" distL="114300" distR="114300" simplePos="0" relativeHeight="251692032" behindDoc="0" locked="0" layoutInCell="1" allowOverlap="1">
            <wp:simplePos x="0" y="0"/>
            <wp:positionH relativeFrom="column">
              <wp:posOffset>266700</wp:posOffset>
            </wp:positionH>
            <wp:positionV relativeFrom="paragraph">
              <wp:posOffset>-1179830</wp:posOffset>
            </wp:positionV>
            <wp:extent cx="5267960" cy="1384300"/>
            <wp:effectExtent l="0" t="0" r="15240" b="12700"/>
            <wp:wrapSquare wrapText="bothSides"/>
            <wp:docPr id="9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15"/>
                    <pic:cNvPicPr>
                      <a:picLocks noChangeAspect="1"/>
                    </pic:cNvPicPr>
                  </pic:nvPicPr>
                  <pic:blipFill>
                    <a:blip r:embed="rId89">
                      <a:extLst>
                        <a:ext uri="{28A0092B-C50C-407E-A947-70E740481C1C}">
                          <a14:useLocalDpi xmlns:a14="http://schemas.microsoft.com/office/drawing/2010/main" val="0"/>
                        </a:ext>
                      </a:extLst>
                    </a:blip>
                    <a:stretch>
                      <a:fillRect/>
                    </a:stretch>
                  </pic:blipFill>
                  <pic:spPr>
                    <a:xfrm>
                      <a:off x="0" y="0"/>
                      <a:ext cx="5267960" cy="1384300"/>
                    </a:xfrm>
                    <a:prstGeom prst="rect">
                      <a:avLst/>
                    </a:prstGeom>
                    <a:noFill/>
                    <a:ln>
                      <a:noFill/>
                    </a:ln>
                  </pic:spPr>
                </pic:pic>
              </a:graphicData>
            </a:graphic>
          </wp:anchor>
        </w:drawing>
      </w:r>
      <w:r>
        <w:rPr>
          <w:rFonts w:ascii="宋体" w:hAnsi="宋体" w:eastAsia="宋体" w:cs="Times New Roman"/>
          <w:szCs w:val="21"/>
        </w:rPr>
        <w:t>其结果是纳什均衡依然出现在（保密，调查）。</w:t>
      </w:r>
    </w:p>
    <w:p w14:paraId="7AEF777D">
      <w:pPr>
        <w:spacing w:line="400" w:lineRule="exact"/>
        <w:ind w:firstLine="440" w:firstLineChars="200"/>
        <w:rPr>
          <w:rFonts w:ascii="宋体" w:hAnsi="宋体" w:eastAsia="宋体" w:cs="Times New Roman"/>
          <w:szCs w:val="21"/>
        </w:rPr>
      </w:pPr>
      <w:r>
        <w:rPr>
          <w:rFonts w:ascii="宋体" w:hAnsi="宋体" w:eastAsia="宋体" w:cs="Times New Roman"/>
          <w:szCs w:val="21"/>
        </w:rPr>
        <w:t>其次,再观察提高罚金和剥离声望，而共同利益不变，如表6所示。</w:t>
      </w:r>
    </w:p>
    <w:p w14:paraId="301B1334">
      <w:pPr>
        <w:spacing w:line="400" w:lineRule="exact"/>
        <w:ind w:firstLine="440" w:firstLineChars="200"/>
        <w:rPr>
          <w:rFonts w:ascii="宋体" w:hAnsi="宋体" w:eastAsia="宋体" w:cs="Times New Roman"/>
          <w:szCs w:val="21"/>
        </w:rPr>
      </w:pPr>
      <w:r>
        <w:rPr>
          <w:rFonts w:ascii="宋体" w:hAnsi="宋体" w:eastAsia="宋体" w:cs="Times New Roman"/>
          <w:szCs w:val="21"/>
        </w:rPr>
        <w:drawing>
          <wp:anchor distT="0" distB="0" distL="114300" distR="114300" simplePos="0" relativeHeight="251693056" behindDoc="0" locked="0" layoutInCell="1" allowOverlap="1">
            <wp:simplePos x="0" y="0"/>
            <wp:positionH relativeFrom="column">
              <wp:posOffset>266700</wp:posOffset>
            </wp:positionH>
            <wp:positionV relativeFrom="paragraph">
              <wp:posOffset>0</wp:posOffset>
            </wp:positionV>
            <wp:extent cx="5264785" cy="1398270"/>
            <wp:effectExtent l="0" t="0" r="18415" b="24130"/>
            <wp:wrapTopAndBottom/>
            <wp:docPr id="10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6"/>
                    <pic:cNvPicPr>
                      <a:picLocks noChangeAspect="1"/>
                    </pic:cNvPicPr>
                  </pic:nvPicPr>
                  <pic:blipFill>
                    <a:blip r:embed="rId90">
                      <a:extLst>
                        <a:ext uri="{28A0092B-C50C-407E-A947-70E740481C1C}">
                          <a14:useLocalDpi xmlns:a14="http://schemas.microsoft.com/office/drawing/2010/main" val="0"/>
                        </a:ext>
                      </a:extLst>
                    </a:blip>
                    <a:stretch>
                      <a:fillRect/>
                    </a:stretch>
                  </pic:blipFill>
                  <pic:spPr>
                    <a:xfrm>
                      <a:off x="0" y="0"/>
                      <a:ext cx="5264785" cy="1398270"/>
                    </a:xfrm>
                    <a:prstGeom prst="rect">
                      <a:avLst/>
                    </a:prstGeom>
                    <a:noFill/>
                    <a:ln>
                      <a:noFill/>
                    </a:ln>
                  </pic:spPr>
                </pic:pic>
              </a:graphicData>
            </a:graphic>
          </wp:anchor>
        </w:drawing>
      </w:r>
      <w:r>
        <w:rPr>
          <w:rFonts w:ascii="宋体" w:hAnsi="宋体" w:eastAsia="宋体" w:cs="Times New Roman"/>
          <w:szCs w:val="21"/>
        </w:rPr>
        <w:t>其结果是又出现不存在纳什均衡的状态。</w:t>
      </w:r>
    </w:p>
    <w:p w14:paraId="2D40C52E">
      <w:pPr>
        <w:spacing w:line="400" w:lineRule="exact"/>
        <w:ind w:firstLine="440" w:firstLineChars="200"/>
        <w:rPr>
          <w:rFonts w:ascii="宋体" w:hAnsi="宋体" w:eastAsia="宋体" w:cs="Times New Roman"/>
          <w:szCs w:val="21"/>
        </w:rPr>
      </w:pPr>
      <w:r>
        <w:rPr>
          <w:rFonts w:ascii="宋体" w:hAnsi="宋体" w:eastAsia="宋体" w:cs="Times New Roman"/>
          <w:szCs w:val="21"/>
        </w:rPr>
        <w:t>仅仅在同时剥离声望和切断共同利益关系时，才会出现A的占优战略是（不保密，调查）、（保密/不保密，不调查）,B的占优战略是（保密，调查），（不保密，不调查），最终纳什均衡为所期望的（不保密，不调查）的有效率状态。此时无论是低罚金（如表7）还是高罚金（如表8）,均衡的战略组合都不变，即可以认为有效率的最优状态与罚金高低无关（这是个令人有些意外的结论）。</w:t>
      </w:r>
    </w:p>
    <w:p w14:paraId="0A6DEA41">
      <w:pPr>
        <w:ind w:firstLine="440" w:firstLineChars="200"/>
        <w:rPr>
          <w:rFonts w:ascii="宋体" w:hAnsi="宋体" w:eastAsia="宋体" w:cs="Times New Roman"/>
          <w:szCs w:val="21"/>
        </w:rPr>
      </w:pPr>
      <w:r>
        <w:rPr>
          <w:rFonts w:ascii="宋体" w:hAnsi="宋体" w:eastAsia="宋体" w:cs="Times New Roman"/>
          <w:szCs w:val="21"/>
        </w:rPr>
        <w:drawing>
          <wp:inline distT="0" distB="0" distL="114300" distR="114300">
            <wp:extent cx="5265420" cy="1403985"/>
            <wp:effectExtent l="0" t="0" r="17780" b="18415"/>
            <wp:docPr id="10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7"/>
                    <pic:cNvPicPr>
                      <a:picLocks noChangeAspect="1"/>
                    </pic:cNvPicPr>
                  </pic:nvPicPr>
                  <pic:blipFill>
                    <a:blip r:embed="rId91"/>
                    <a:stretch>
                      <a:fillRect/>
                    </a:stretch>
                  </pic:blipFill>
                  <pic:spPr>
                    <a:xfrm>
                      <a:off x="0" y="0"/>
                      <a:ext cx="5265420" cy="1403985"/>
                    </a:xfrm>
                    <a:prstGeom prst="rect">
                      <a:avLst/>
                    </a:prstGeom>
                    <a:noFill/>
                    <a:ln>
                      <a:noFill/>
                    </a:ln>
                  </pic:spPr>
                </pic:pic>
              </a:graphicData>
            </a:graphic>
          </wp:inline>
        </w:drawing>
      </w:r>
    </w:p>
    <w:p w14:paraId="71118AB3">
      <w:pPr>
        <w:ind w:left="440" w:leftChars="200"/>
        <w:rPr>
          <w:rFonts w:ascii="宋体" w:hAnsi="宋体" w:eastAsia="宋体" w:cs="Times New Roman"/>
          <w:szCs w:val="21"/>
        </w:rPr>
      </w:pPr>
      <w:r>
        <w:rPr>
          <w:rFonts w:ascii="宋体" w:hAnsi="宋体" w:eastAsia="宋体" w:cs="Times New Roman"/>
          <w:szCs w:val="21"/>
        </w:rPr>
        <w:drawing>
          <wp:inline distT="0" distB="0" distL="114300" distR="114300">
            <wp:extent cx="5265420" cy="1411605"/>
            <wp:effectExtent l="0" t="0" r="17780" b="10795"/>
            <wp:docPr id="10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8"/>
                    <pic:cNvPicPr>
                      <a:picLocks noChangeAspect="1"/>
                    </pic:cNvPicPr>
                  </pic:nvPicPr>
                  <pic:blipFill>
                    <a:blip r:embed="rId92"/>
                    <a:stretch>
                      <a:fillRect/>
                    </a:stretch>
                  </pic:blipFill>
                  <pic:spPr>
                    <a:xfrm>
                      <a:off x="0" y="0"/>
                      <a:ext cx="5265420" cy="1411605"/>
                    </a:xfrm>
                    <a:prstGeom prst="rect">
                      <a:avLst/>
                    </a:prstGeom>
                    <a:noFill/>
                    <a:ln>
                      <a:noFill/>
                    </a:ln>
                  </pic:spPr>
                </pic:pic>
              </a:graphicData>
            </a:graphic>
          </wp:inline>
        </w:drawing>
      </w:r>
    </w:p>
    <w:p w14:paraId="63D967D1">
      <w:pPr>
        <w:ind w:left="440" w:leftChars="200"/>
        <w:rPr>
          <w:rFonts w:ascii="宋体" w:hAnsi="宋体" w:eastAsia="宋体" w:cs="Times New Roman"/>
          <w:szCs w:val="21"/>
        </w:rPr>
      </w:pPr>
    </w:p>
    <w:p w14:paraId="3F403554">
      <w:pPr>
        <w:spacing w:line="400" w:lineRule="exact"/>
        <w:ind w:firstLine="440" w:firstLineChars="200"/>
        <w:rPr>
          <w:rFonts w:ascii="宋体" w:hAnsi="宋体" w:eastAsia="宋体" w:cs="Times New Roman"/>
          <w:szCs w:val="21"/>
        </w:rPr>
      </w:pPr>
      <w:r>
        <w:rPr>
          <w:rFonts w:ascii="宋体" w:hAnsi="宋体" w:eastAsia="宋体" w:cs="Times New Roman"/>
          <w:szCs w:val="21"/>
        </w:rPr>
        <w:t>综合以上的各种博弈过程，可以总结出以下几点：（1）作为不掌握秘密的B,其占优战略始终不变，都是（保密，调查）和（不保密，不调查）；（2）罚金的方法只影响A在B调查时保密所获得的利益，不可能改变A在B不调查时的战略（永远是保密）；（3）只剥离声望或者仅仅切断共同利益，都不会使得A在B不调查时保密所获利益小于不保密的利益，只有同时调整两者，才可能实现A的利益在保密和不保密时无差别。</w:t>
      </w:r>
    </w:p>
    <w:p w14:paraId="36E46182">
      <w:pPr>
        <w:spacing w:line="400" w:lineRule="exact"/>
        <w:ind w:firstLine="440" w:firstLineChars="200"/>
        <w:rPr>
          <w:rFonts w:ascii="宋体" w:hAnsi="宋体" w:eastAsia="宋体" w:cs="Times New Roman"/>
          <w:szCs w:val="21"/>
        </w:rPr>
      </w:pPr>
      <w:r>
        <w:rPr>
          <w:rFonts w:ascii="宋体" w:hAnsi="宋体" w:eastAsia="宋体" w:cs="Times New Roman"/>
          <w:szCs w:val="21"/>
        </w:rPr>
        <w:t>因此，为了确保律师自觉地在对方实施调查取证的行为前披露其掌握的不利于委托人的事实真相，实现最小费用支出和最大真相收益的最优状态，在规则制定和具体措施中必须贯彻这样的思路:在切断律师与其委托人的共同利益的同时，必须使得保守秘密一一特别是保守不利于委托人的秘密一一不再成为律师吸引委托人的良好声誉，律师不再能藉此获益。</w:t>
      </w:r>
    </w:p>
    <w:p w14:paraId="28956616">
      <w:pPr>
        <w:ind w:firstLine="440" w:firstLineChars="200"/>
        <w:rPr>
          <w:rFonts w:ascii="宋体" w:hAnsi="宋体" w:eastAsia="宋体" w:cs="Times New Roman"/>
          <w:b/>
          <w:bCs/>
          <w:szCs w:val="21"/>
        </w:rPr>
      </w:pPr>
      <w:r>
        <w:rPr>
          <w:rFonts w:ascii="宋体" w:hAnsi="宋体" w:eastAsia="宋体" w:cs="Times New Roman"/>
          <w:b/>
          <w:bCs/>
          <w:szCs w:val="21"/>
        </w:rPr>
        <w:t>（四）结论</w:t>
      </w:r>
    </w:p>
    <w:p w14:paraId="5E2F09EC">
      <w:pPr>
        <w:spacing w:line="400" w:lineRule="exact"/>
        <w:ind w:firstLine="440" w:firstLineChars="200"/>
        <w:rPr>
          <w:rFonts w:ascii="宋体" w:hAnsi="宋体" w:eastAsia="宋体" w:cs="Times New Roman"/>
          <w:szCs w:val="21"/>
        </w:rPr>
      </w:pPr>
      <w:r>
        <w:rPr>
          <w:rFonts w:ascii="宋体" w:hAnsi="宋体" w:eastAsia="宋体" w:cs="Times New Roman"/>
          <w:szCs w:val="21"/>
        </w:rPr>
        <w:t>由16世纪伊丽莎白一世统治时期为英国法律确立的律师一辩护人特权，1947年美国联邦最高法院在希克曼诉泰勒一案中确立的律师工作成果豁免原则，以及律师职业道德上的保密原则等共同组成的律师职业秘密问题，一直在多个方面存在争论，特别是律师保密义务和真实义务之间的冲突，使律师似乎被置于“两个矛盾性的义务之下”和一个“未解决的领域”</w:t>
      </w:r>
      <w:r>
        <w:rPr>
          <w:rFonts w:ascii="宋体" w:hAnsi="宋体" w:eastAsia="宋体" w:cs="Times New Roman"/>
        </w:rPr>
        <w:footnoteReference w:id="92"/>
      </w:r>
      <w:r>
        <w:rPr>
          <w:rFonts w:ascii="宋体" w:hAnsi="宋体" w:eastAsia="宋体" w:cs="Times New Roman"/>
          <w:szCs w:val="21"/>
        </w:rPr>
        <w:t>其往往反映出社会公共道德与职业道德、社会利益与个人利益激烈而持久的碰撞、冲突以至交融的宏大局面，这其中生动地交织着人类的道德与情感、利益与良心”</w:t>
      </w:r>
      <w:r>
        <w:rPr>
          <w:rFonts w:ascii="宋体" w:hAnsi="宋体" w:eastAsia="宋体" w:cs="Times New Roman"/>
        </w:rPr>
        <w:footnoteReference w:id="93"/>
      </w:r>
      <w:r>
        <w:rPr>
          <w:rFonts w:ascii="宋体" w:hAnsi="宋体" w:eastAsia="宋体" w:cs="Times New Roman"/>
          <w:szCs w:val="21"/>
        </w:rPr>
        <w:t>。法国律师色何勒和皮埃尔•拉格特曾经指出：“这与其说是为了律师个人的利益，倒不如说是为了公众和社会的利益”</w:t>
      </w:r>
      <w:r>
        <w:rPr>
          <w:rFonts w:ascii="宋体" w:hAnsi="宋体" w:eastAsia="宋体" w:cs="Times New Roman"/>
        </w:rPr>
        <w:footnoteReference w:id="94"/>
      </w:r>
      <w:r>
        <w:rPr>
          <w:rFonts w:ascii="宋体" w:hAnsi="宋体" w:eastAsia="宋体" w:cs="Times New Roman"/>
          <w:szCs w:val="21"/>
        </w:rPr>
        <w:t>。我国对于律师性质的认识，虽然已经从1980年《律师暂行条例》的“国家法律工作者”，发展为《律师法》中“依法取得执业证书、为社会提供法律服务的执业人员”，但律师是社会的法律工作者这一点一直是毫无疑问的。</w:t>
      </w:r>
    </w:p>
    <w:p w14:paraId="4B1A852B">
      <w:pPr>
        <w:spacing w:line="400" w:lineRule="exact"/>
        <w:ind w:firstLine="440" w:firstLineChars="200"/>
        <w:rPr>
          <w:rFonts w:ascii="宋体" w:hAnsi="宋体" w:eastAsia="宋体" w:cs="Times New Roman"/>
          <w:szCs w:val="21"/>
        </w:rPr>
      </w:pPr>
      <w:r>
        <w:rPr>
          <w:rFonts w:ascii="宋体" w:hAnsi="宋体" w:eastAsia="宋体" w:cs="Times New Roman"/>
          <w:szCs w:val="21"/>
        </w:rPr>
        <w:t>从经济学的角度和从法学的角度分析律师保密义务，其结果产生了微妙的差异，律师保守职业秘密制度是从保障当事人的权利出发制定的，却未必可以如法理分析的那样也保护了社会公众的合法权益，不能实现社会资源的最有效配置。如果能够为律师保密义务的探讨提供一个新的视角，这也许就是本文的价值所在了。</w:t>
      </w:r>
    </w:p>
    <w:p w14:paraId="606BFA8E">
      <w:pPr>
        <w:ind w:firstLine="500" w:firstLineChars="200"/>
        <w:jc w:val="center"/>
        <w:rPr>
          <w:rFonts w:ascii="宋体" w:hAnsi="宋体" w:eastAsia="宋体" w:cs="Times New Roman"/>
          <w:b/>
          <w:bCs/>
          <w:sz w:val="24"/>
          <w:szCs w:val="24"/>
        </w:rPr>
      </w:pPr>
      <w:r>
        <w:rPr>
          <w:rFonts w:ascii="宋体" w:hAnsi="宋体" w:eastAsia="宋体" w:cs="Times New Roman"/>
          <w:b/>
          <w:bCs/>
          <w:sz w:val="24"/>
          <w:szCs w:val="24"/>
        </w:rPr>
        <w:t>三、追诉时效</w:t>
      </w:r>
    </w:p>
    <w:p w14:paraId="192222B1">
      <w:pPr>
        <w:ind w:firstLine="440" w:firstLineChars="200"/>
        <w:rPr>
          <w:rFonts w:ascii="宋体" w:hAnsi="宋体" w:eastAsia="宋体" w:cs="Times New Roman"/>
          <w:b/>
          <w:bCs/>
          <w:szCs w:val="21"/>
        </w:rPr>
      </w:pPr>
      <w:r>
        <w:rPr>
          <w:rFonts w:ascii="宋体" w:hAnsi="宋体" w:eastAsia="宋体" w:cs="Times New Roman"/>
          <w:b/>
          <w:bCs/>
          <w:szCs w:val="21"/>
        </w:rPr>
        <w:t>（一）追诉时效释义</w:t>
      </w:r>
    </w:p>
    <w:p w14:paraId="5C88E41D">
      <w:pPr>
        <w:spacing w:line="400" w:lineRule="exact"/>
        <w:ind w:firstLine="440" w:firstLineChars="200"/>
        <w:rPr>
          <w:rFonts w:ascii="宋体" w:hAnsi="宋体" w:eastAsia="宋体" w:cs="Times New Roman"/>
          <w:szCs w:val="21"/>
        </w:rPr>
      </w:pPr>
      <w:r>
        <w:rPr>
          <w:rFonts w:ascii="宋体" w:hAnsi="宋体" w:eastAsia="宋体" w:cs="Times New Roman"/>
          <w:szCs w:val="21"/>
        </w:rPr>
        <w:t>时效在法律上通常是指民事诉讼权利和刑事责任的有效期限。民事法律中，超过法定诉讼时效，当事人的民事主体的请求权消灭</w:t>
      </w:r>
      <w:r>
        <w:rPr>
          <w:rFonts w:ascii="宋体" w:hAnsi="宋体" w:eastAsia="宋体" w:cs="Times New Roman"/>
        </w:rPr>
        <w:footnoteReference w:id="95"/>
      </w:r>
      <w:r>
        <w:rPr>
          <w:rFonts w:ascii="宋体" w:hAnsi="宋体" w:eastAsia="宋体" w:cs="Times New Roman"/>
          <w:szCs w:val="21"/>
        </w:rPr>
        <w:t>。刑法中的时效涉及追诉时效和行刑时效，行刑时效在我国刑法中没有明确规定,也不是本文探讨的范围。所谓追诉时效，是指刑法规定的对犯罪人追究刑事责任的有效期限，超过追诉时效,求刑权、量刑权即告消灭,刑罚亦随之消灭</w:t>
      </w:r>
      <w:r>
        <w:rPr>
          <w:rFonts w:ascii="宋体" w:hAnsi="宋体" w:eastAsia="宋体" w:cs="Times New Roman"/>
        </w:rPr>
        <w:footnoteReference w:id="96"/>
      </w:r>
      <w:r>
        <w:rPr>
          <w:rFonts w:ascii="宋体" w:hAnsi="宋体" w:eastAsia="宋体" w:cs="Times New Roman"/>
          <w:szCs w:val="21"/>
        </w:rPr>
        <w:t>。</w:t>
      </w:r>
    </w:p>
    <w:p w14:paraId="11A809F2">
      <w:pPr>
        <w:spacing w:line="400" w:lineRule="exact"/>
        <w:ind w:firstLine="440" w:firstLineChars="200"/>
        <w:rPr>
          <w:rFonts w:ascii="宋体" w:hAnsi="宋体" w:eastAsia="宋体" w:cs="Times New Roman"/>
          <w:szCs w:val="21"/>
        </w:rPr>
      </w:pPr>
      <w:r>
        <w:rPr>
          <w:rFonts w:ascii="宋体" w:hAnsi="宋体" w:eastAsia="宋体" w:cs="Times New Roman"/>
          <w:szCs w:val="21"/>
        </w:rPr>
        <w:t>1-追诉时效的多种立法</w:t>
      </w:r>
    </w:p>
    <w:p w14:paraId="605532A8">
      <w:pPr>
        <w:spacing w:line="400" w:lineRule="exact"/>
        <w:ind w:firstLine="440" w:firstLineChars="200"/>
        <w:rPr>
          <w:rFonts w:ascii="宋体" w:hAnsi="宋体" w:eastAsia="宋体" w:cs="Times New Roman"/>
          <w:szCs w:val="21"/>
        </w:rPr>
      </w:pPr>
      <w:r>
        <w:rPr>
          <w:rFonts w:ascii="宋体" w:hAnsi="宋体" w:eastAsia="宋体" w:cs="Times New Roman"/>
          <w:szCs w:val="21"/>
        </w:rPr>
        <w:t>追诉时效制度按照设置追诉期眼的标准不同，存在多种立法方式</w:t>
      </w:r>
      <w:r>
        <w:rPr>
          <w:rFonts w:ascii="宋体" w:hAnsi="宋体" w:eastAsia="宋体" w:cs="Times New Roman"/>
        </w:rPr>
        <w:footnoteReference w:id="97"/>
      </w:r>
      <w:r>
        <w:rPr>
          <w:rFonts w:ascii="宋体" w:hAnsi="宋体" w:eastAsia="宋体" w:cs="Times New Roman"/>
          <w:szCs w:val="21"/>
        </w:rPr>
        <w:t>：</w:t>
      </w:r>
    </w:p>
    <w:p w14:paraId="7C2827C8">
      <w:pPr>
        <w:spacing w:line="400" w:lineRule="exact"/>
        <w:ind w:firstLine="440" w:firstLineChars="200"/>
        <w:rPr>
          <w:rFonts w:ascii="宋体" w:hAnsi="宋体" w:eastAsia="宋体" w:cs="Times New Roman"/>
          <w:szCs w:val="21"/>
        </w:rPr>
      </w:pPr>
      <w:r>
        <w:rPr>
          <w:rFonts w:ascii="宋体" w:hAnsi="宋体" w:eastAsia="宋体" w:cs="Times New Roman"/>
          <w:szCs w:val="21"/>
        </w:rPr>
        <w:t>以罪种为标准设置追诉时效期限，如法国刑事诉讼法第7、第8、第9条规定，重罪的追诉时效为自犯罪发生时起满10年，轻罪的公诉时效为3年，违警罪的公诉时效为1年。</w:t>
      </w:r>
    </w:p>
    <w:p w14:paraId="60A91881">
      <w:pPr>
        <w:spacing w:line="400" w:lineRule="exact"/>
        <w:ind w:firstLine="440" w:firstLineChars="200"/>
        <w:rPr>
          <w:rFonts w:ascii="宋体" w:hAnsi="宋体" w:eastAsia="宋体" w:cs="Times New Roman"/>
          <w:szCs w:val="21"/>
        </w:rPr>
      </w:pPr>
      <w:r>
        <w:rPr>
          <w:rFonts w:ascii="宋体" w:hAnsi="宋体" w:eastAsia="宋体" w:cs="Times New Roman"/>
          <w:szCs w:val="21"/>
        </w:rPr>
        <w:t>以刑种为标准设置追诉时效期限，如瑞士刑法典第70条规定，追诉权在下列期间内不行使使用，即行消灭：犯终身重惩自由刑之罪20年，其他重惩自由刑之罪10年,其他刑罚之罪5年。</w:t>
      </w:r>
    </w:p>
    <w:p w14:paraId="4704118F">
      <w:pPr>
        <w:spacing w:line="400" w:lineRule="exact"/>
        <w:ind w:firstLine="440" w:firstLineChars="200"/>
        <w:rPr>
          <w:rFonts w:ascii="宋体" w:hAnsi="宋体" w:eastAsia="宋体" w:cs="Times New Roman"/>
          <w:szCs w:val="21"/>
        </w:rPr>
      </w:pPr>
      <w:r>
        <w:rPr>
          <w:rFonts w:ascii="宋体" w:hAnsi="宋体" w:eastAsia="宋体" w:cs="Times New Roman"/>
          <w:szCs w:val="21"/>
        </w:rPr>
        <w:t>以刑期为标准设置追诉时效期限，如德国刑法典第78条规定，时效期限如下：判处（1）终身自由刑的，经过30年;（2）最高刑为10年以上自由刑的，经过20年；（3）最高刑为5年以上10年以下自由刑的，经过10年;（4）最高刑为1年以上5年以下自由刑的，经过5年;（5）其他罪经过3年。又如，巴西刑法典第109条规定，在最后判决之前，除第110条的附款规定外，时效应根据剥夺自由的最高刑以下列规定为准：（1）如最高刑超过12年的,20年；（2）如最高刑为8年以上12年以下的，16年；（3）如最高刑为4年以上8年以下的，12年；（4）如最高刑为2年以上4年以下的,8年；（5）如最高刑为1年以上2年以下的,4年；（6）如最高刑为1年以下的,2年。</w:t>
      </w:r>
    </w:p>
    <w:p w14:paraId="72594B38">
      <w:pPr>
        <w:spacing w:line="400" w:lineRule="exact"/>
        <w:ind w:firstLine="440" w:firstLineChars="200"/>
        <w:rPr>
          <w:rFonts w:ascii="宋体" w:hAnsi="宋体" w:eastAsia="宋体" w:cs="Times New Roman"/>
          <w:szCs w:val="21"/>
        </w:rPr>
      </w:pPr>
      <w:r>
        <w:rPr>
          <w:rFonts w:ascii="宋体" w:hAnsi="宋体" w:eastAsia="宋体" w:cs="Times New Roman"/>
          <w:szCs w:val="21"/>
        </w:rPr>
        <w:t>兼采罪种和刑期为标准设置追诉时效期限，如俄罗斯联邦俄刑法典第48条规定，如果自犯罪人犯罪之日起过了下列期限，犯罪人不能被追究刑事责任：（1）犯有本法典第112条第2款、第131、143、158、165、182、192、197、199、200条所规定的罪行，自犯罪之日起已过1年；（2）所犯罪行依照本法典各条规定，可以判处剥夺自由2年以下，或者除前款规定的各罪以外，可以判处与剥夺自由刑无关的刑罚的，自犯罪之日起已过3年；（3）所犯罪行依照本法典各条规定,可以判处剥夺自由权5年以下的，自犯罪之日起已过5年;</w:t>
      </w:r>
      <w:r>
        <w:rPr>
          <w:rFonts w:hint="eastAsia" w:ascii="宋体" w:hAnsi="宋体" w:eastAsia="宋体" w:cs="宋体"/>
          <w:szCs w:val="21"/>
        </w:rPr>
        <w:t>⑷</w:t>
      </w:r>
      <w:r>
        <w:rPr>
          <w:rFonts w:ascii="宋体" w:hAnsi="宋体" w:eastAsia="宋体" w:cs="Times New Roman"/>
          <w:szCs w:val="21"/>
        </w:rPr>
        <w:t>所犯罪行依照本法典各条规定,可以判处剥夺自由权5年以上的，自犯罪之日起已过10年。</w:t>
      </w:r>
    </w:p>
    <w:p w14:paraId="4237A9EA">
      <w:pPr>
        <w:spacing w:line="400" w:lineRule="exact"/>
        <w:ind w:firstLine="440" w:firstLineChars="200"/>
        <w:rPr>
          <w:rFonts w:ascii="宋体" w:hAnsi="宋体" w:eastAsia="宋体" w:cs="Times New Roman"/>
          <w:szCs w:val="21"/>
        </w:rPr>
      </w:pPr>
      <w:r>
        <w:rPr>
          <w:rFonts w:ascii="宋体" w:hAnsi="宋体" w:eastAsia="宋体" w:cs="Times New Roman"/>
          <w:szCs w:val="21"/>
        </w:rPr>
        <w:t>采取罪种和刑期相结合的标准设置追诉时效期限，仅见于越南刑法典第45条，自犯罪实施之日起已超过下述期限，不再追究刑事责任：（1）较轻的罪，其法定最高刑为2年以下有期徒刑或者其他较轻的刑罚，经过5年；（2）较轻的罪，其法定最高刑为2年以上，经过10年；（3）严重的罪，经过15年。其中“严重的罪”见第8条，是指给社会造成巨大危害的犯罪行为，被处最高刑为5年以上有期徒刑、无期徒刑或者死刑的犯罪。</w:t>
      </w:r>
    </w:p>
    <w:p w14:paraId="50B77C61">
      <w:pPr>
        <w:spacing w:line="400" w:lineRule="exact"/>
        <w:ind w:firstLine="440" w:firstLineChars="200"/>
        <w:rPr>
          <w:rFonts w:ascii="宋体" w:hAnsi="宋体" w:eastAsia="宋体" w:cs="Times New Roman"/>
          <w:szCs w:val="21"/>
        </w:rPr>
      </w:pPr>
      <w:r>
        <w:rPr>
          <w:rFonts w:ascii="宋体" w:hAnsi="宋体" w:eastAsia="宋体" w:cs="Times New Roman"/>
          <w:szCs w:val="21"/>
        </w:rPr>
        <w:t>我国刑法采取的是上述第三种按刑期设置追诉时效期限，刑法第87条规定,犯罪经过下列期限不再追诉：（1）法定最高刑为不满5年有期徒刑的，经过5年；（2）法定最高刑为5年以上不满10年有期徒刑的，经过10年；（3）法定最高刑为10年以上有期徒刑的，经过15年；（4）法定最高刑为无期徒刑、死刑的，经过20年。如果20年以后认为必须追诉的，须报请最高人民检察院批准。</w:t>
      </w:r>
    </w:p>
    <w:p w14:paraId="73A3F7F3">
      <w:pPr>
        <w:spacing w:line="400" w:lineRule="exact"/>
        <w:ind w:firstLine="440" w:firstLineChars="200"/>
        <w:rPr>
          <w:rFonts w:ascii="宋体" w:hAnsi="宋体" w:eastAsia="宋体" w:cs="Times New Roman"/>
          <w:szCs w:val="21"/>
        </w:rPr>
      </w:pPr>
      <w:r>
        <w:rPr>
          <w:rFonts w:ascii="宋体" w:hAnsi="宋体" w:eastAsia="宋体" w:cs="Times New Roman"/>
          <w:szCs w:val="21"/>
        </w:rPr>
        <w:t>2.追诉时效的中止、中断和超期追诉</w:t>
      </w:r>
    </w:p>
    <w:p w14:paraId="7F8D2B59">
      <w:pPr>
        <w:spacing w:line="400" w:lineRule="exact"/>
        <w:ind w:firstLine="440" w:firstLineChars="200"/>
        <w:rPr>
          <w:rFonts w:ascii="宋体" w:hAnsi="宋体" w:eastAsia="宋体" w:cs="Times New Roman"/>
          <w:szCs w:val="21"/>
        </w:rPr>
      </w:pPr>
      <w:r>
        <w:rPr>
          <w:rFonts w:ascii="宋体" w:hAnsi="宋体" w:eastAsia="宋体" w:cs="Times New Roman"/>
          <w:szCs w:val="21"/>
        </w:rPr>
        <w:t>追诉时效中止或停止，指在追诉时效进行期间，因发生法律规定事由，使时效的进行暂时停止，当法律规定的事由消除后，追诉时效继续进行的制度</w:t>
      </w:r>
      <w:r>
        <w:rPr>
          <w:rFonts w:ascii="宋体" w:hAnsi="宋体" w:eastAsia="宋体" w:cs="Times New Roman"/>
        </w:rPr>
        <w:footnoteReference w:id="98"/>
      </w:r>
      <w:r>
        <w:rPr>
          <w:rFonts w:ascii="宋体" w:hAnsi="宋体" w:eastAsia="宋体" w:cs="Times New Roman"/>
          <w:szCs w:val="21"/>
        </w:rPr>
        <w:t>。如匈牙利刑法第27条规定，时效期间因负有使命进行刑事诉讼案件的政权对于行为人开始活动而中止，自刑事追诉终止之日，时效期间重新开始计算，凡关于行为人之诉讼程序因解决任何先决问题而停止之时间，不得计入时效期间以内。</w:t>
      </w:r>
    </w:p>
    <w:p w14:paraId="24E55FB5">
      <w:pPr>
        <w:spacing w:line="400" w:lineRule="exact"/>
        <w:ind w:firstLine="440" w:firstLineChars="200"/>
        <w:rPr>
          <w:rFonts w:ascii="宋体" w:hAnsi="宋体" w:eastAsia="宋体" w:cs="Times New Roman"/>
          <w:szCs w:val="21"/>
        </w:rPr>
      </w:pPr>
      <w:r>
        <w:rPr>
          <w:rFonts w:ascii="宋体" w:hAnsi="宋体" w:eastAsia="宋体" w:cs="Times New Roman"/>
          <w:szCs w:val="21"/>
        </w:rPr>
        <w:t>追诉时效中断指追诉时效进行期间，因发生法律规定的事由，使已经经过的时效期间归于失效，追诉期限从法律规定事由发生之日起重新开始计算的制度</w:t>
      </w:r>
      <w:r>
        <w:rPr>
          <w:rFonts w:ascii="宋体" w:hAnsi="宋体" w:eastAsia="宋体" w:cs="Times New Roman"/>
        </w:rPr>
        <w:footnoteReference w:id="99"/>
      </w:r>
      <w:r>
        <w:rPr>
          <w:rFonts w:ascii="宋体" w:hAnsi="宋体" w:eastAsia="宋体" w:cs="Times New Roman"/>
          <w:szCs w:val="21"/>
        </w:rPr>
        <w:t>。如朝鲜刑法第60条规定，犯罪人在前条规定的时效期间内，犯有同类罪行，或犯有更重的罪，或逃避侦查和审判的，或者对案件已进行刑事程序时，时效即行中断。</w:t>
      </w:r>
    </w:p>
    <w:p w14:paraId="3BFC53D2">
      <w:pPr>
        <w:spacing w:line="400" w:lineRule="exact"/>
        <w:ind w:firstLine="440" w:firstLineChars="200"/>
        <w:rPr>
          <w:rFonts w:ascii="宋体" w:hAnsi="宋体" w:eastAsia="宋体" w:cs="Times New Roman"/>
          <w:szCs w:val="21"/>
        </w:rPr>
      </w:pPr>
      <w:r>
        <w:rPr>
          <w:rFonts w:ascii="宋体" w:hAnsi="宋体" w:eastAsia="宋体" w:cs="Times New Roman"/>
          <w:szCs w:val="21"/>
        </w:rPr>
        <w:t>超期追诉指对于某一犯罪而言，在其经过刑事立法所明确规定的追诉时效期限后，由于具备特定的法定情节而导致仍然可以被加以刑事追诉的制度</w:t>
      </w:r>
      <w:r>
        <w:rPr>
          <w:rFonts w:ascii="宋体" w:hAnsi="宋体" w:eastAsia="宋体" w:cs="Times New Roman"/>
        </w:rPr>
        <w:footnoteReference w:id="100"/>
      </w:r>
      <w:r>
        <w:rPr>
          <w:rFonts w:ascii="宋体" w:hAnsi="宋体" w:eastAsia="宋体" w:cs="Times New Roman"/>
          <w:szCs w:val="21"/>
        </w:rPr>
        <w:t>。如越南刑法第45条第2款规定，本条第1款第3项所述的情形，如果有特殊理由，最高人民检察院也可追究刑事责任，最高人民法院可决定不执行期限。</w:t>
      </w:r>
    </w:p>
    <w:p w14:paraId="0A24310D">
      <w:pPr>
        <w:spacing w:line="400" w:lineRule="exact"/>
        <w:ind w:firstLine="440" w:firstLineChars="200"/>
        <w:rPr>
          <w:rFonts w:ascii="宋体" w:hAnsi="宋体" w:eastAsia="宋体" w:cs="Times New Roman"/>
          <w:szCs w:val="21"/>
        </w:rPr>
      </w:pPr>
      <w:r>
        <w:rPr>
          <w:rFonts w:ascii="宋体" w:hAnsi="宋体" w:eastAsia="宋体" w:cs="Times New Roman"/>
          <w:szCs w:val="21"/>
        </w:rPr>
        <w:t>我国没有对追诉时效的中止作出具体规定，刑法第89条第2款规定了追诉时效的中断:在追诉期限以内又犯罪的，前罪追诉的期限从犯后罪之日起计算。我国刑法对于超期追诉的规定见刑法第88条:在人民检察院、公安机关、国家安全机关立案侦查或者在人民法院受理案件以后，逃避侦查或者审判的，不受追诉期限的限制。被害人在追诉期限内提出控告，人民法院、人民检察院、公安机关应当立案而不予立案的，不受追诉期限的限制。</w:t>
      </w:r>
    </w:p>
    <w:p w14:paraId="3BEB1CC9">
      <w:pPr>
        <w:spacing w:line="400" w:lineRule="exact"/>
        <w:ind w:firstLine="440" w:firstLineChars="200"/>
        <w:rPr>
          <w:rFonts w:ascii="宋体" w:hAnsi="宋体" w:eastAsia="宋体" w:cs="Times New Roman"/>
          <w:szCs w:val="21"/>
        </w:rPr>
      </w:pPr>
      <w:r>
        <w:rPr>
          <w:rFonts w:ascii="宋体" w:hAnsi="宋体" w:eastAsia="宋体" w:cs="Times New Roman"/>
          <w:szCs w:val="21"/>
        </w:rPr>
        <w:t>3.追诉时效的例外情况</w:t>
      </w:r>
    </w:p>
    <w:p w14:paraId="3F71BC70">
      <w:pPr>
        <w:spacing w:line="400" w:lineRule="exact"/>
        <w:ind w:firstLine="440" w:firstLineChars="200"/>
        <w:rPr>
          <w:rFonts w:ascii="宋体" w:hAnsi="宋体" w:eastAsia="宋体" w:cs="Times New Roman"/>
          <w:szCs w:val="21"/>
        </w:rPr>
      </w:pPr>
      <w:r>
        <w:rPr>
          <w:rFonts w:ascii="宋体" w:hAnsi="宋体" w:eastAsia="宋体" w:cs="Times New Roman"/>
          <w:szCs w:val="21"/>
        </w:rPr>
        <w:t>追诉时效制度的直接后果是犯罪人不再受到由其犯罪行为引起的法律制裁，为了保护特定利益，通常各国立法中都规定了追诉时效的例外情况。</w:t>
      </w:r>
    </w:p>
    <w:p w14:paraId="1E246190">
      <w:pPr>
        <w:spacing w:line="400" w:lineRule="exact"/>
        <w:ind w:firstLine="440" w:firstLineChars="200"/>
        <w:rPr>
          <w:rFonts w:ascii="宋体" w:hAnsi="宋体" w:eastAsia="宋体" w:cs="Times New Roman"/>
          <w:szCs w:val="21"/>
        </w:rPr>
      </w:pPr>
      <w:r>
        <w:rPr>
          <w:rFonts w:ascii="宋体" w:hAnsi="宋体" w:eastAsia="宋体" w:cs="Times New Roman"/>
          <w:szCs w:val="21"/>
        </w:rPr>
        <w:t>追诉时效的例外情况存在多种类型，首先是对于某些具有严重危害性的特定罪种规定了例外，如德国刑法典第78条第2款规定，第220条A的重罪（灭绝种族罪）和第211条的重罪（谋杀）不受追诉时效的限制；又如俄罗斯联邦刑法典第78条规定，对实施本法第353.357.358条所规定的破坏人类和平和安全罪的人不适用时效。</w:t>
      </w:r>
    </w:p>
    <w:p w14:paraId="17B3E4B9">
      <w:pPr>
        <w:spacing w:line="400" w:lineRule="exact"/>
        <w:ind w:firstLine="440" w:firstLineChars="200"/>
        <w:rPr>
          <w:rFonts w:ascii="宋体" w:hAnsi="宋体" w:eastAsia="宋体" w:cs="Times New Roman"/>
          <w:szCs w:val="21"/>
        </w:rPr>
      </w:pPr>
      <w:r>
        <w:rPr>
          <w:rFonts w:ascii="宋体" w:hAnsi="宋体" w:eastAsia="宋体" w:cs="Times New Roman"/>
          <w:szCs w:val="21"/>
        </w:rPr>
        <w:t>其次是对于将被判处一定刑期或刑种的犯罪规定了例外，如泰国刑法典规定，处无期自由刑或10年以上20年以下有期自由刑与无期自由刑选科之可罚性行为，不适用时效;俄罗斯联邦刑法典第78条第4款规定，对实施应处以死刑或终身剥夺自由的犯罪的人，适用时效期的问题由法院决定，如果法院不认为可以因时效期届满而免除该人的刑事责任，则不再适用死刑或终身剥夺自由。</w:t>
      </w:r>
    </w:p>
    <w:p w14:paraId="45471C04">
      <w:pPr>
        <w:spacing w:line="400" w:lineRule="exact"/>
        <w:ind w:firstLine="440" w:firstLineChars="200"/>
        <w:rPr>
          <w:rFonts w:ascii="宋体" w:hAnsi="宋体" w:eastAsia="宋体" w:cs="Times New Roman"/>
          <w:szCs w:val="21"/>
        </w:rPr>
      </w:pPr>
      <w:r>
        <w:rPr>
          <w:rFonts w:ascii="宋体" w:hAnsi="宋体" w:eastAsia="宋体" w:cs="Times New Roman"/>
          <w:szCs w:val="21"/>
        </w:rPr>
        <w:t>再次是对于发生在特定地点的犯罪行为规定例外，这种情况比较少见。典型的如土耳其刑法典规定，凡本法典第二卷第一篇规定处以死刑、终身监禁或者有期重监禁的重罪，如果在国外所犯，则不受法律规定的时效期限的限制。</w:t>
      </w:r>
    </w:p>
    <w:p w14:paraId="0CB17230">
      <w:pPr>
        <w:spacing w:line="400" w:lineRule="exact"/>
        <w:ind w:firstLine="440" w:firstLineChars="200"/>
        <w:rPr>
          <w:rFonts w:ascii="宋体" w:hAnsi="宋体" w:eastAsia="宋体" w:cs="Times New Roman"/>
          <w:szCs w:val="21"/>
        </w:rPr>
      </w:pPr>
      <w:r>
        <w:rPr>
          <w:rFonts w:ascii="宋体" w:hAnsi="宋体" w:eastAsia="宋体" w:cs="Times New Roman"/>
          <w:szCs w:val="21"/>
        </w:rPr>
        <w:t>最后是基于国际条约产生的追诉时效的例外。联合国大会于1968年11月26日通过的《战争和反人类罪不适用法定时效公约》针对战争罪、灭绝种族罪以及某些重大违反公约行为、不人道行为，规定不论其犯罪期日均不适用时效;另外，欧洲理事会制定的《战争罪和反人类罪不适用法定时效的欧洲公约》规定了类似的内容。以上两个公约表明：战争罪和反人类罪作为国际法上最重大的罪行，不受各国国内刑事立法上的追诉时效制度的约束，应当无限期进行追诉</w:t>
      </w:r>
      <w:r>
        <w:rPr>
          <w:rFonts w:ascii="宋体" w:hAnsi="宋体" w:eastAsia="宋体" w:cs="Times New Roman"/>
        </w:rPr>
        <w:footnoteReference w:id="101"/>
      </w:r>
      <w:r>
        <w:rPr>
          <w:rFonts w:ascii="宋体" w:hAnsi="宋体" w:eastAsia="宋体" w:cs="Times New Roman"/>
          <w:szCs w:val="21"/>
        </w:rPr>
        <w:t>。</w:t>
      </w:r>
    </w:p>
    <w:p w14:paraId="5760DF94">
      <w:pPr>
        <w:spacing w:line="400" w:lineRule="exact"/>
        <w:ind w:firstLine="440" w:firstLineChars="200"/>
        <w:rPr>
          <w:rFonts w:ascii="宋体" w:hAnsi="宋体" w:eastAsia="宋体" w:cs="Times New Roman"/>
          <w:szCs w:val="21"/>
        </w:rPr>
      </w:pPr>
      <w:r>
        <w:rPr>
          <w:rFonts w:ascii="宋体" w:hAnsi="宋体" w:eastAsia="宋体" w:cs="Times New Roman"/>
          <w:szCs w:val="21"/>
        </w:rPr>
        <w:t>我国现行刑法没有规定不受追诉时效制度限制的法定例外情况。</w:t>
      </w:r>
    </w:p>
    <w:p w14:paraId="7A5D949A">
      <w:pPr>
        <w:spacing w:line="400" w:lineRule="exact"/>
        <w:ind w:firstLine="440" w:firstLineChars="200"/>
        <w:rPr>
          <w:rFonts w:ascii="宋体" w:hAnsi="宋体" w:eastAsia="宋体" w:cs="Times New Roman"/>
          <w:b/>
          <w:bCs/>
          <w:szCs w:val="21"/>
        </w:rPr>
      </w:pPr>
      <w:r>
        <w:rPr>
          <w:rFonts w:ascii="宋体" w:hAnsi="宋体" w:eastAsia="宋体" w:cs="Times New Roman"/>
          <w:b/>
          <w:bCs/>
          <w:szCs w:val="21"/>
        </w:rPr>
        <w:t>（二）追诉时效的设定原因</w:t>
      </w:r>
    </w:p>
    <w:p w14:paraId="5757F7A8">
      <w:pPr>
        <w:spacing w:line="400" w:lineRule="exact"/>
        <w:ind w:firstLine="440" w:firstLineChars="200"/>
        <w:rPr>
          <w:rFonts w:ascii="宋体" w:hAnsi="宋体" w:eastAsia="宋体" w:cs="Times New Roman"/>
          <w:szCs w:val="21"/>
        </w:rPr>
      </w:pPr>
      <w:r>
        <w:rPr>
          <w:rFonts w:ascii="宋体" w:hAnsi="宋体" w:eastAsia="宋体" w:cs="Times New Roman"/>
          <w:szCs w:val="21"/>
        </w:rPr>
        <w:t>1.法学的观点</w:t>
      </w:r>
    </w:p>
    <w:p w14:paraId="07133BD2">
      <w:pPr>
        <w:spacing w:line="400" w:lineRule="exact"/>
        <w:ind w:firstLine="440" w:firstLineChars="200"/>
        <w:rPr>
          <w:rFonts w:ascii="宋体" w:hAnsi="宋体" w:eastAsia="宋体" w:cs="Times New Roman"/>
          <w:szCs w:val="21"/>
        </w:rPr>
      </w:pPr>
      <w:r>
        <w:rPr>
          <w:rFonts w:ascii="宋体" w:hAnsi="宋体" w:eastAsia="宋体" w:cs="Times New Roman"/>
          <w:szCs w:val="21"/>
        </w:rPr>
        <w:t>从公元前1世纪古罗马的《儒里亚法》对于奸非罪等犯罪规定了追诉时效以后，关于规定追诉时效的依据历来众说纷纭</w:t>
      </w:r>
      <w:r>
        <w:rPr>
          <w:rFonts w:ascii="宋体" w:hAnsi="宋体" w:eastAsia="宋体" w:cs="Times New Roman"/>
        </w:rPr>
        <w:footnoteReference w:id="102"/>
      </w:r>
      <w:r>
        <w:rPr>
          <w:rFonts w:ascii="宋体" w:hAnsi="宋体" w:eastAsia="宋体" w:cs="Times New Roman"/>
          <w:szCs w:val="21"/>
        </w:rPr>
        <w:t>:德国普通法时代采取的是改善推測说,19世纪的法国采纳证据湮灭说和准受刑说，日本存在规范感情缓和说、尊重事实状态说等。综合各种解释，我国法学界对于设定追诉时效制度的原因主要可以归结为以下七种：</w:t>
      </w:r>
    </w:p>
    <w:p w14:paraId="35C6D34E">
      <w:pPr>
        <w:spacing w:line="400" w:lineRule="exact"/>
        <w:ind w:firstLine="440" w:firstLineChars="200"/>
        <w:rPr>
          <w:rFonts w:ascii="宋体" w:hAnsi="宋体" w:eastAsia="宋体" w:cs="Times New Roman"/>
          <w:szCs w:val="21"/>
        </w:rPr>
      </w:pPr>
      <w:r>
        <w:rPr>
          <w:rFonts w:ascii="宋体" w:hAnsi="宋体" w:eastAsia="宋体" w:cs="Times New Roman"/>
          <w:szCs w:val="21"/>
        </w:rPr>
        <w:t>第一，怠于行使说。因为“国家求刑权代行机关在足够长的时间内不积极、有效、如期地行使追诉权和刑罚权，则可以视为国家求刑权代行机关默示放弃自己的权利，从而导致权利归于消灭”</w:t>
      </w:r>
      <w:r>
        <w:rPr>
          <w:rFonts w:ascii="宋体" w:hAnsi="宋体" w:eastAsia="宋体" w:cs="Times New Roman"/>
        </w:rPr>
        <w:footnoteReference w:id="103"/>
      </w:r>
      <w:r>
        <w:rPr>
          <w:rFonts w:ascii="宋体" w:hAnsi="宋体" w:eastAsia="宋体" w:cs="Times New Roman"/>
          <w:szCs w:val="21"/>
        </w:rPr>
        <w:t>，但是有学者认为，对犯罪人不予追诉在多数情况下''并非国家的疏忽所造成，而是由于种种不能克服的原因，如战争、自然灾害、不能破案等导致的”，因而怠于行使说是”不符合客观实际的”</w:t>
      </w:r>
      <w:r>
        <w:rPr>
          <w:rFonts w:ascii="宋体" w:hAnsi="宋体" w:eastAsia="宋体" w:cs="Times New Roman"/>
        </w:rPr>
        <w:footnoteReference w:id="104"/>
      </w:r>
      <w:r>
        <w:rPr>
          <w:rFonts w:ascii="宋体" w:hAnsi="宋体" w:eastAsia="宋体" w:cs="Times New Roman"/>
          <w:szCs w:val="21"/>
        </w:rPr>
        <w:t>。</w:t>
      </w:r>
    </w:p>
    <w:p w14:paraId="3A0C519E">
      <w:pPr>
        <w:spacing w:line="400" w:lineRule="exact"/>
        <w:ind w:firstLine="440" w:firstLineChars="200"/>
        <w:rPr>
          <w:rFonts w:ascii="宋体" w:hAnsi="宋体" w:eastAsia="宋体" w:cs="Times New Roman"/>
          <w:szCs w:val="21"/>
        </w:rPr>
      </w:pPr>
      <w:r>
        <w:rPr>
          <w:rFonts w:ascii="宋体" w:hAnsi="宋体" w:eastAsia="宋体" w:cs="Times New Roman"/>
          <w:szCs w:val="21"/>
        </w:rPr>
        <w:t>第二,社会遗忘说。社会遗忘说分析的出发点是“承认犯罪的社会危害性和社会影响可以随着时间的消逝而逐步减轻以至消失的客观事实''</w:t>
      </w:r>
      <w:r>
        <w:rPr>
          <w:rFonts w:ascii="宋体" w:hAnsi="宋体" w:eastAsia="宋体" w:cs="Times New Roman"/>
        </w:rPr>
        <w:footnoteReference w:id="105"/>
      </w:r>
      <w:r>
        <w:rPr>
          <w:rFonts w:ascii="宋体" w:hAnsi="宋体" w:eastAsia="宋体" w:cs="Times New Roman"/>
          <w:szCs w:val="21"/>
        </w:rPr>
        <w:t>;或者可以从维护社会稳定的角度解释:犯罪人在犯罪后经过足够长的时间，“社会已逐渐遗忘其犯罪行径，被害人对他的仇恨也因时间的流逝而消解，犯罪人的家庭生活亦已步入正常”</w:t>
      </w:r>
      <w:r>
        <w:rPr>
          <w:rFonts w:ascii="宋体" w:hAnsi="宋体" w:eastAsia="宋体" w:cs="Times New Roman"/>
        </w:rPr>
        <w:footnoteReference w:id="106"/>
      </w:r>
      <w:r>
        <w:rPr>
          <w:rFonts w:ascii="宋体" w:hAnsi="宋体" w:eastAsia="宋体" w:cs="Times New Roman"/>
          <w:szCs w:val="21"/>
        </w:rPr>
        <w:t>;或者可以认为”因犯罪而遭破坏的某一方面社会秩序以及因犯罪而引起的人们心理的矣衡状态已经得到恢复”</w:t>
      </w:r>
      <w:r>
        <w:rPr>
          <w:rFonts w:ascii="宋体" w:hAnsi="宋体" w:eastAsia="宋体" w:cs="Times New Roman"/>
        </w:rPr>
        <w:footnoteReference w:id="107"/>
      </w:r>
      <w:r>
        <w:rPr>
          <w:rFonts w:ascii="宋体" w:hAnsi="宋体" w:eastAsia="宋体" w:cs="Times New Roman"/>
          <w:szCs w:val="21"/>
        </w:rPr>
        <w:t>,如果继续予以追究刑事责任，则会由于“刑法的这种机械干预而使已经恢复正常的社会有序秩序重新遭到破坏，引起新的不安定因素”</w:t>
      </w:r>
      <w:r>
        <w:rPr>
          <w:rFonts w:ascii="宋体" w:hAnsi="宋体" w:eastAsia="宋体" w:cs="Times New Roman"/>
        </w:rPr>
        <w:footnoteReference w:id="108"/>
      </w:r>
      <w:r>
        <w:rPr>
          <w:rFonts w:ascii="宋体" w:hAnsi="宋体" w:eastAsia="宋体" w:cs="Times New Roman"/>
          <w:szCs w:val="21"/>
        </w:rPr>
        <w:t>;也可以从刑法目的来理解社会遗忘说，“刑法的目的在于保护合法权益，包括维护正常的社会秩序，在某种社会秩序遭受破坏后得到了恢复时，适用刑法便失去了目的性”</w:t>
      </w:r>
      <w:r>
        <w:rPr>
          <w:rStyle w:val="20"/>
          <w:rFonts w:ascii="宋体" w:hAnsi="宋体" w:eastAsia="宋体" w:cs="Times New Roman"/>
          <w:szCs w:val="21"/>
        </w:rPr>
        <w:footnoteReference w:id="109"/>
      </w:r>
      <w:r>
        <w:rPr>
          <w:rFonts w:ascii="宋体" w:hAnsi="宋体" w:eastAsia="宋体" w:cs="Times New Roman"/>
          <w:szCs w:val="21"/>
        </w:rPr>
        <w:t>。</w:t>
      </w:r>
    </w:p>
    <w:p w14:paraId="34B98B8A">
      <w:pPr>
        <w:spacing w:line="400" w:lineRule="exact"/>
        <w:ind w:firstLine="440" w:firstLineChars="200"/>
        <w:rPr>
          <w:rFonts w:ascii="宋体" w:hAnsi="宋体" w:eastAsia="宋体" w:cs="Times New Roman"/>
          <w:szCs w:val="21"/>
        </w:rPr>
      </w:pPr>
      <w:r>
        <w:rPr>
          <w:rFonts w:ascii="宋体" w:hAnsi="宋体" w:eastAsia="宋体" w:cs="Times New Roman"/>
          <w:szCs w:val="21"/>
        </w:rPr>
        <w:t>第三，证据湮灭说。“时间的消逝对于诉讼的影响，特别是对于证据的搜集以及证据的证明力保全的影响至关重要,……可能严重妨碍诉讼权的实施，影响定罪处刑的质量”</w:t>
      </w:r>
      <w:r>
        <w:rPr>
          <w:rFonts w:ascii="宋体" w:hAnsi="宋体" w:eastAsia="宋体" w:cs="Times New Roman"/>
          <w:szCs w:val="21"/>
        </w:rPr>
        <w:footnoteReference w:id="110"/>
      </w:r>
      <w:r>
        <w:rPr>
          <w:rFonts w:ascii="宋体" w:hAnsi="宋体" w:eastAsia="宋体" w:cs="Times New Roman"/>
          <w:szCs w:val="21"/>
        </w:rPr>
        <w:t>，不公正裁判的可能性大大增加，因此，“与其增加司法程序上的麻烦，使案件的处理存有疑虑，不如设立时效制度，让刑罚权归于消灭”；同时，时效制度“可以使司法机关放弃陈年旧案的无意义的纠缠，集中精力处理现行犯罪”</w:t>
      </w:r>
      <w:r>
        <w:rPr>
          <w:rFonts w:ascii="宋体" w:hAnsi="宋体" w:eastAsia="宋体" w:cs="Times New Roman"/>
          <w:szCs w:val="21"/>
        </w:rPr>
        <w:footnoteReference w:id="111"/>
      </w:r>
      <w:r>
        <w:rPr>
          <w:rFonts w:ascii="宋体" w:hAnsi="宋体" w:eastAsia="宋体" w:cs="Times New Roman"/>
          <w:szCs w:val="21"/>
        </w:rPr>
        <w:t>。</w:t>
      </w:r>
    </w:p>
    <w:p w14:paraId="3FF76246">
      <w:pPr>
        <w:spacing w:line="400" w:lineRule="exact"/>
        <w:ind w:firstLine="440" w:firstLineChars="200"/>
        <w:rPr>
          <w:rFonts w:ascii="宋体" w:hAnsi="宋体" w:eastAsia="宋体" w:cs="Times New Roman"/>
          <w:szCs w:val="21"/>
        </w:rPr>
      </w:pPr>
      <w:r>
        <w:rPr>
          <w:rFonts w:ascii="宋体" w:hAnsi="宋体" w:eastAsia="宋体" w:cs="Times New Roman"/>
          <w:szCs w:val="21"/>
        </w:rPr>
        <w:t>第四，刑罚同一说。犯罪人实施犯罪后，在逃避国家刑法制裁的长期过程中,昼夜寝食难安、惶惶如丧家之犬，“其无形之痛苦，实不亚于实际适用刑罚”</w:t>
      </w:r>
      <w:r>
        <w:rPr>
          <w:rFonts w:ascii="宋体" w:hAnsi="宋体" w:eastAsia="宋体" w:cs="Times New Roman"/>
          <w:szCs w:val="21"/>
        </w:rPr>
        <w:footnoteReference w:id="112"/>
      </w:r>
      <w:r>
        <w:rPr>
          <w:rFonts w:ascii="宋体" w:hAnsi="宋体" w:eastAsia="宋体" w:cs="Times New Roman"/>
          <w:szCs w:val="21"/>
        </w:rPr>
        <w:t>。虽然犯罪人没有处以刑罚，但“事实上经历了一定的痛苦，而且不执行刑罚便达到了预防犯罪的目的，所以不应再追诉或行刑”</w:t>
      </w:r>
      <w:r>
        <w:rPr>
          <w:rFonts w:ascii="宋体" w:hAnsi="宋体" w:eastAsia="宋体" w:cs="Times New Roman"/>
          <w:szCs w:val="21"/>
        </w:rPr>
        <w:footnoteReference w:id="113"/>
      </w:r>
      <w:r>
        <w:rPr>
          <w:rFonts w:ascii="宋体" w:hAnsi="宋体" w:eastAsia="宋体" w:cs="Times New Roman"/>
          <w:szCs w:val="21"/>
        </w:rPr>
        <w:t>。但是，也有学者认为''这种痛苦与执行刑罚所遭受的痛苦是不能同日而语的，国家并非基于犯罪人为逃避所受痛苦与执行刑罚所受痛苦相同的考虑而规定时效的”</w:t>
      </w:r>
      <w:r>
        <w:rPr>
          <w:rStyle w:val="20"/>
          <w:rFonts w:ascii="宋体" w:hAnsi="宋体" w:eastAsia="宋体" w:cs="Times New Roman"/>
          <w:szCs w:val="21"/>
        </w:rPr>
        <w:footnoteReference w:id="114"/>
      </w:r>
      <w:r>
        <w:rPr>
          <w:rFonts w:ascii="宋体" w:hAnsi="宋体" w:eastAsia="宋体" w:cs="Times New Roman"/>
          <w:szCs w:val="21"/>
        </w:rPr>
        <w:t>。</w:t>
      </w:r>
    </w:p>
    <w:p w14:paraId="7947A0CF">
      <w:pPr>
        <w:spacing w:line="400" w:lineRule="exact"/>
        <w:ind w:firstLine="440" w:firstLineChars="200"/>
        <w:rPr>
          <w:rFonts w:ascii="宋体" w:hAnsi="宋体" w:eastAsia="宋体" w:cs="Times New Roman"/>
          <w:szCs w:val="21"/>
        </w:rPr>
      </w:pPr>
      <w:r>
        <w:rPr>
          <w:rFonts w:ascii="宋体" w:hAnsi="宋体" w:eastAsia="宋体" w:cs="Times New Roman"/>
          <w:szCs w:val="21"/>
        </w:rPr>
        <w:t>第五，改善推测说。犯罪人在实施犯罪以后相当长的时期内没有再犯新罪, “可以推定其主观恶性和人身危险性都已有所改善”</w:t>
      </w:r>
      <w:r>
        <w:rPr>
          <w:rStyle w:val="20"/>
          <w:rFonts w:ascii="宋体" w:hAnsi="宋体" w:eastAsia="宋体" w:cs="Times New Roman"/>
          <w:szCs w:val="21"/>
        </w:rPr>
        <w:footnoteReference w:id="115"/>
      </w:r>
      <w:r>
        <w:rPr>
          <w:rFonts w:ascii="宋体" w:hAnsi="宋体" w:eastAsia="宋体" w:cs="Times New Roman"/>
          <w:szCs w:val="21"/>
        </w:rPr>
        <w:t>，“再犯罪的危险性已经消除”</w:t>
      </w:r>
      <w:r>
        <w:rPr>
          <w:rStyle w:val="20"/>
          <w:rFonts w:ascii="宋体" w:hAnsi="宋体" w:eastAsia="宋体" w:cs="Times New Roman"/>
          <w:szCs w:val="21"/>
        </w:rPr>
        <w:footnoteReference w:id="116"/>
      </w:r>
      <w:r>
        <w:rPr>
          <w:rFonts w:ascii="宋体" w:hAnsi="宋体" w:eastAsia="宋体" w:cs="Times New Roman"/>
          <w:szCs w:val="21"/>
        </w:rPr>
        <w:t>。此时，对于犯罪人已经没有通过处以刑罚进行特殊预防的必要，所以也就没有进行追诉和行刑的必要。如果仍然予以追诉，就有可能“引起（犯罪人）对国家的敌视，拒不接受审判或改造”</w:t>
      </w:r>
      <w:r>
        <w:rPr>
          <w:rStyle w:val="20"/>
          <w:rFonts w:ascii="宋体" w:hAnsi="宋体" w:eastAsia="宋体" w:cs="Times New Roman"/>
          <w:szCs w:val="21"/>
        </w:rPr>
        <w:footnoteReference w:id="117"/>
      </w:r>
      <w:r>
        <w:rPr>
          <w:rFonts w:ascii="宋体" w:hAnsi="宋体" w:eastAsia="宋体" w:cs="Times New Roman"/>
          <w:szCs w:val="21"/>
        </w:rPr>
        <w:t>。</w:t>
      </w:r>
    </w:p>
    <w:p w14:paraId="01F98A0D">
      <w:pPr>
        <w:spacing w:line="400" w:lineRule="exact"/>
        <w:ind w:firstLine="440" w:firstLineChars="200"/>
        <w:rPr>
          <w:rFonts w:ascii="宋体" w:hAnsi="宋体" w:eastAsia="宋体" w:cs="Times New Roman"/>
          <w:szCs w:val="21"/>
        </w:rPr>
      </w:pPr>
      <w:r>
        <w:rPr>
          <w:rFonts w:ascii="宋体" w:hAnsi="宋体" w:eastAsia="宋体" w:cs="Times New Roman"/>
          <w:szCs w:val="21"/>
        </w:rPr>
        <w:t>第六，综合说。综合说的论点实际是上述各种观点的折中与结合，随着社会对犯罪的遗忘、被害人对于犯罪行为的原宥、犯罪人的自我改善等各方面因素的变化,犯罪的可罚性逐渐降低甚至消灭。，</w:t>
      </w:r>
    </w:p>
    <w:p w14:paraId="45769A4B">
      <w:pPr>
        <w:spacing w:line="400" w:lineRule="exact"/>
        <w:ind w:firstLine="440" w:firstLineChars="200"/>
        <w:rPr>
          <w:rFonts w:ascii="宋体" w:hAnsi="宋体" w:eastAsia="宋体" w:cs="Times New Roman"/>
          <w:szCs w:val="21"/>
        </w:rPr>
      </w:pPr>
      <w:r>
        <w:rPr>
          <w:rFonts w:ascii="宋体" w:hAnsi="宋体" w:eastAsia="宋体" w:cs="Times New Roman"/>
          <w:szCs w:val="21"/>
        </w:rPr>
        <w:t>第七，提高办案效率。惩治犯罪是一项耗费大量人力、物力、财力的工作，而在各种犯罪中，现行犯罪的社会危害性特别突出，设定追诉时效“有利于司法机关集中精力打击现行犯罪，化解人民内部矛盾，团结国内外一切可以团结的人”</w:t>
      </w:r>
      <w:r>
        <w:rPr>
          <w:rStyle w:val="20"/>
          <w:rFonts w:ascii="宋体" w:hAnsi="宋体" w:eastAsia="宋体" w:cs="Times New Roman"/>
          <w:szCs w:val="21"/>
        </w:rPr>
        <w:footnoteReference w:id="118"/>
      </w:r>
      <w:r>
        <w:rPr>
          <w:rFonts w:ascii="宋体" w:hAnsi="宋体" w:eastAsia="宋体" w:cs="Times New Roman"/>
          <w:szCs w:val="21"/>
        </w:rPr>
        <w:t>。如果没有时效规定，“司法机关必将为陈年旧案所累，从而影响现行案件的处理，妨碍对犯罪的及时打击和对国家和人民利益的及时保护”</w:t>
      </w:r>
      <w:r>
        <w:rPr>
          <w:rStyle w:val="20"/>
          <w:rFonts w:ascii="宋体" w:hAnsi="宋体" w:eastAsia="宋体" w:cs="Times New Roman"/>
          <w:szCs w:val="21"/>
        </w:rPr>
        <w:footnoteReference w:id="119"/>
      </w:r>
      <w:r>
        <w:rPr>
          <w:rFonts w:ascii="宋体" w:hAnsi="宋体" w:eastAsia="宋体" w:cs="Times New Roman"/>
          <w:szCs w:val="21"/>
        </w:rPr>
        <w:t>。</w:t>
      </w:r>
    </w:p>
    <w:p w14:paraId="67563838">
      <w:pPr>
        <w:spacing w:line="400" w:lineRule="exact"/>
        <w:ind w:firstLine="440" w:firstLineChars="200"/>
        <w:rPr>
          <w:rFonts w:ascii="宋体" w:hAnsi="宋体" w:eastAsia="宋体" w:cs="Times New Roman"/>
          <w:szCs w:val="21"/>
        </w:rPr>
      </w:pPr>
      <w:r>
        <w:rPr>
          <w:rFonts w:ascii="宋体" w:hAnsi="宋体" w:eastAsia="宋体" w:cs="Times New Roman"/>
          <w:szCs w:val="21"/>
        </w:rPr>
        <w:t>以上观点各从一个侧面力图说明追诉时效制度的合理性，但由于其自身的种种局限并不足以全面地科学解释追诉时效制度的原因。例如，社会遗忘说具有很强主观推断的意味，社会是否的确已经遗忘罪行、被害人的仇恨是否的确已经消解，这些判断部分建立在立说人的主观推测上；至于改善推测说从犯罪人实施犯罪后一段时期内没有再犯新罪，得出犯罪人已经没有再犯罪可能的结论，更是完全建立在立说人带有臆想性的假设的基础上,缺乏证明推断的有力依据。因此,追诉时效制度在法理上似乎并不存在一个有充分说服力的解释，对于法学界以外的社会公众来说更难以理解和认同。</w:t>
      </w:r>
    </w:p>
    <w:p w14:paraId="70F0ED2D">
      <w:pPr>
        <w:spacing w:line="400" w:lineRule="exact"/>
        <w:ind w:firstLine="440" w:firstLineChars="200"/>
        <w:rPr>
          <w:rFonts w:ascii="宋体" w:hAnsi="宋体" w:eastAsia="宋体" w:cs="Times New Roman"/>
          <w:szCs w:val="21"/>
        </w:rPr>
      </w:pPr>
      <w:r>
        <w:rPr>
          <w:rFonts w:ascii="宋体" w:hAnsi="宋体" w:eastAsia="宋体" w:cs="Times New Roman"/>
          <w:szCs w:val="21"/>
        </w:rPr>
        <w:t>2.经济学分析法学的观点</w:t>
      </w:r>
    </w:p>
    <w:p w14:paraId="7644F4AD">
      <w:pPr>
        <w:spacing w:line="400" w:lineRule="exact"/>
        <w:ind w:firstLine="440" w:firstLineChars="200"/>
        <w:rPr>
          <w:rFonts w:ascii="宋体" w:hAnsi="宋体" w:eastAsia="宋体" w:cs="Times New Roman"/>
          <w:szCs w:val="21"/>
        </w:rPr>
      </w:pPr>
      <w:r>
        <w:rPr>
          <w:rFonts w:ascii="宋体" w:hAnsi="宋体" w:eastAsia="宋体" w:cs="Times New Roman"/>
          <w:szCs w:val="21"/>
        </w:rPr>
        <w:t>经济学分析法学尚未深入涉及追诉时效这一相对狭窄的领域，目前的研究主要见于贝勒斯的《法律的原则》。贝勒斯的分析集中在两点：首先，“诉讼时效法避免了因难以获得充分而可靠的证据而产生的错误成本”</w:t>
      </w:r>
      <w:r>
        <w:rPr>
          <w:rStyle w:val="20"/>
          <w:rFonts w:ascii="宋体" w:hAnsi="宋体" w:eastAsia="宋体" w:cs="Times New Roman"/>
          <w:szCs w:val="21"/>
        </w:rPr>
        <w:footnoteReference w:id="120"/>
      </w:r>
      <w:r>
        <w:rPr>
          <w:rFonts w:ascii="宋体" w:hAnsi="宋体" w:eastAsia="宋体" w:cs="Times New Roman"/>
          <w:szCs w:val="21"/>
        </w:rPr>
        <w:t>，这种分析和上述证据湮灭说是殊途同归的，只是换由“错误成本”这一经济学分析法学特有的视角切入问题;其次,“法律的主要目的之一是避免诉讼……因为诉讼是负值交互行为，诉讼时效法有助于实现这一目的”,这种论述和贝勒斯的“诉讼纯粹是一种损失”</w:t>
      </w:r>
      <w:r>
        <w:rPr>
          <w:rStyle w:val="20"/>
          <w:rFonts w:ascii="宋体" w:hAnsi="宋体" w:eastAsia="宋体" w:cs="Times New Roman"/>
          <w:szCs w:val="21"/>
        </w:rPr>
        <w:footnoteReference w:id="121"/>
      </w:r>
      <w:r>
        <w:rPr>
          <w:rFonts w:ascii="宋体" w:hAnsi="宋体" w:eastAsia="宋体" w:cs="Times New Roman"/>
          <w:szCs w:val="21"/>
        </w:rPr>
        <w:t>的观点相呼应。</w:t>
      </w:r>
    </w:p>
    <w:p w14:paraId="0F7163F6">
      <w:pPr>
        <w:spacing w:line="400" w:lineRule="exact"/>
        <w:ind w:firstLine="440" w:firstLineChars="200"/>
        <w:rPr>
          <w:rFonts w:ascii="宋体" w:hAnsi="宋体" w:eastAsia="宋体" w:cs="Times New Roman"/>
          <w:szCs w:val="21"/>
        </w:rPr>
      </w:pPr>
      <w:r>
        <w:rPr>
          <w:rFonts w:ascii="宋体" w:hAnsi="宋体" w:eastAsia="宋体" w:cs="Times New Roman"/>
          <w:szCs w:val="21"/>
        </w:rPr>
        <w:t>对于追诉时效制度减少错误成本的观点，还有更为深入的分析。综合德沃金和波斯纳的观点，诉讼程序应该追求直接成本（DC）、经济错误成本（EC）和道德错误成本（MC）总和的最小化min（DC+EC+MC），刑事诉讼中错误成本的发生无非就是让无罪者遭受刑罚（QD和让有罪者逃避刑罚（Q）,而根据贝勒斯的分析，由于在Q情况下，“谁也不能因避免犯罪就能躲避刑罚的损害……损害和不安全因素发生的威胁始终存在，使得目的在于维护安全的制度反而增加了不安全因素”</w:t>
      </w:r>
      <w:r>
        <w:rPr>
          <w:rStyle w:val="20"/>
          <w:rFonts w:ascii="宋体" w:hAnsi="宋体" w:eastAsia="宋体" w:cs="Times New Roman"/>
          <w:szCs w:val="21"/>
        </w:rPr>
        <w:footnoteReference w:id="122"/>
      </w:r>
      <w:r>
        <w:rPr>
          <w:rFonts w:ascii="宋体" w:hAnsi="宋体" w:eastAsia="宋体" w:cs="Times New Roman"/>
          <w:szCs w:val="21"/>
        </w:rPr>
        <w:t>，所以,Qi的错误成本大于Q,错误Q优于错误Q,为此应通过设立追诉时效来避免错误成本的更多支出。</w:t>
      </w:r>
    </w:p>
    <w:p w14:paraId="2BC06B85">
      <w:pPr>
        <w:spacing w:line="400" w:lineRule="exact"/>
        <w:ind w:firstLine="440" w:firstLineChars="200"/>
        <w:rPr>
          <w:rFonts w:ascii="宋体" w:hAnsi="宋体" w:eastAsia="宋体" w:cs="Times New Roman"/>
          <w:szCs w:val="21"/>
        </w:rPr>
      </w:pPr>
      <w:r>
        <w:rPr>
          <w:rFonts w:ascii="宋体" w:hAnsi="宋体" w:eastAsia="宋体" w:cs="Times New Roman"/>
          <w:szCs w:val="21"/>
        </w:rPr>
        <w:t>（三）追诉时效的经济分析</w:t>
      </w:r>
    </w:p>
    <w:p w14:paraId="5CD91B0A">
      <w:pPr>
        <w:spacing w:line="400" w:lineRule="exact"/>
        <w:ind w:firstLine="440" w:firstLineChars="200"/>
        <w:rPr>
          <w:rFonts w:ascii="宋体" w:hAnsi="宋体" w:eastAsia="宋体" w:cs="Times New Roman"/>
          <w:szCs w:val="21"/>
        </w:rPr>
      </w:pPr>
      <w:r>
        <w:rPr>
          <w:rFonts w:ascii="宋体" w:hAnsi="宋体" w:eastAsia="宋体" w:cs="Times New Roman"/>
          <w:szCs w:val="21"/>
        </w:rPr>
        <w:t>1.经济分析的前提</w:t>
      </w:r>
    </w:p>
    <w:p w14:paraId="4D55F707">
      <w:pPr>
        <w:spacing w:line="400" w:lineRule="exact"/>
        <w:ind w:firstLine="440" w:firstLineChars="200"/>
        <w:rPr>
          <w:rFonts w:ascii="宋体" w:hAnsi="宋体" w:eastAsia="宋体" w:cs="Times New Roman"/>
          <w:szCs w:val="21"/>
        </w:rPr>
      </w:pPr>
      <w:r>
        <w:rPr>
          <w:rFonts w:ascii="宋体" w:hAnsi="宋体" w:eastAsia="宋体" w:cs="Times New Roman"/>
          <w:szCs w:val="21"/>
        </w:rPr>
        <w:t>按照经济学分析法学最一般的观点，在自愿交易成本较低的情况下，法律通过创设并保护财产权鼓励人们以市场途径进行交易活动；而在自愿交易的成本过高以至于抑制交易的时候，出现了市场失灵的情况——即市场交易作为资源配置方法不可行时，法律将通过模仿市场给行为定价的方式继续履行市场职能</w:t>
      </w:r>
      <w:r>
        <w:rPr>
          <w:rStyle w:val="20"/>
          <w:rFonts w:ascii="宋体" w:hAnsi="宋体" w:eastAsia="宋体" w:cs="Times New Roman"/>
          <w:szCs w:val="21"/>
        </w:rPr>
        <w:footnoteReference w:id="123"/>
      </w:r>
      <w:r>
        <w:rPr>
          <w:rFonts w:ascii="宋体" w:hAnsi="宋体" w:eastAsia="宋体" w:cs="Times New Roman"/>
          <w:szCs w:val="21"/>
        </w:rPr>
        <w:t>。刑法作为法律体系中主要的部门法之一，也将遵循这样的经济学思路。如果不考虑刑事惩罚，犯罪在多数情况下对于罪犯而言是一种成本投入很低的行为，而其犯罪收益尽管受到犯罪成功概率的制约，但仍然远远高于犯罪成本。对于像杀人罪、伤害罪、强奸罪、诽谤罪等罪行的犯罪收益，虽然不具有财产性，可是罪犯获得的情感满足或发泄，同样作为一种效用而成为高于犯罪成本的犯罪收益，而且这种收益是无法通过公开市场获得的。对于是否实施犯罪，通常倾向于风险的犯罪人作出犯罪的决策将是最经济合理的，刑法正是通过对于犯罪行为施加额外的犯罪成本一一如处死、监禁、罚金等，使得犯罪成为不经济的行为，从而达到阻止犯罪的目的。</w:t>
      </w:r>
    </w:p>
    <w:p w14:paraId="5277EA9A">
      <w:pPr>
        <w:spacing w:line="400" w:lineRule="exact"/>
        <w:ind w:firstLine="440" w:firstLineChars="200"/>
        <w:rPr>
          <w:rFonts w:ascii="宋体" w:hAnsi="宋体" w:eastAsia="宋体" w:cs="Times New Roman"/>
          <w:szCs w:val="21"/>
        </w:rPr>
      </w:pPr>
      <w:r>
        <w:rPr>
          <w:rFonts w:ascii="宋体" w:hAnsi="宋体" w:eastAsia="宋体" w:cs="Times New Roman"/>
          <w:szCs w:val="21"/>
        </w:rPr>
        <w:t>刑法在这样一个作用过程中涉及三方面的经济决策：首先是犯罪人的犯罪决策，即犯罪人或潜在犯罪人决定是否实施犯罪、实施何种犯罪和何时实施犯罪时，通过对其犯罪收益和犯罪成本的对比分析而作出的选择。</w:t>
      </w:r>
      <w:r>
        <w:rPr>
          <w:rStyle w:val="20"/>
          <w:rFonts w:ascii="宋体" w:hAnsi="宋体" w:eastAsia="宋体" w:cs="Times New Roman"/>
          <w:szCs w:val="21"/>
        </w:rPr>
        <w:footnoteReference w:id="124"/>
      </w:r>
      <w:r>
        <w:rPr>
          <w:rFonts w:ascii="宋体" w:hAnsi="宋体" w:eastAsia="宋体" w:cs="Times New Roman"/>
          <w:szCs w:val="21"/>
        </w:rPr>
        <w:t>这一决策中的基本概念是犯罪收益以及包括刑罚和据罪直接成本在内的犯罪成本;其次是社会公众的预防决策，即社会公众按照犯罪造成的预期损失、犯罪发生概率、预防成本函数等因素作出预防成本支出的决策；最后是司法机构的司法资源投入决策，即司法机构在一定的司法资源约束下为了取得最佳的刑罚效益，而在把资源投入到提高刑罚严厉性或提高刑罚确定性之间进行的决策</w:t>
      </w:r>
      <w:r>
        <w:rPr>
          <w:rStyle w:val="20"/>
          <w:rFonts w:ascii="宋体" w:hAnsi="宋体" w:eastAsia="宋体" w:cs="Times New Roman"/>
          <w:szCs w:val="21"/>
        </w:rPr>
        <w:footnoteReference w:id="125"/>
      </w:r>
      <w:r>
        <w:rPr>
          <w:rFonts w:ascii="宋体" w:hAnsi="宋体" w:eastAsia="宋体" w:cs="Times New Roman"/>
          <w:szCs w:val="21"/>
        </w:rPr>
        <w:t>。</w:t>
      </w:r>
    </w:p>
    <w:p w14:paraId="1892CD46">
      <w:pPr>
        <w:spacing w:line="400" w:lineRule="exact"/>
        <w:ind w:firstLine="440" w:firstLineChars="200"/>
        <w:rPr>
          <w:rFonts w:ascii="宋体" w:hAnsi="宋体" w:eastAsia="宋体" w:cs="Times New Roman"/>
          <w:szCs w:val="21"/>
        </w:rPr>
      </w:pPr>
      <w:r>
        <w:rPr>
          <w:rFonts w:ascii="宋体" w:hAnsi="宋体" w:eastAsia="宋体" w:cs="Times New Roman"/>
          <w:szCs w:val="21"/>
        </w:rPr>
        <w:t>上述三个决策过程存在非常紧密的内在联系，犯罪决策中的犯罪成本主要由刑罚的严厉性和刑罚的确定性决定，而刑罚的严厉性和确定性是司法资源投入决策的结果，因而犯罪决策直接受到司法资源投入决策的制约。至于预防决策中的犯罪发生概率是罪犯的犯罪决策的结果,从而预防决策最终也受司法资源投入决策的制约，可见，在三个决策过程中司法资源投入决策是处于主导地位的。</w:t>
      </w:r>
    </w:p>
    <w:p w14:paraId="1C079979">
      <w:pPr>
        <w:spacing w:line="300" w:lineRule="auto"/>
        <w:ind w:firstLine="440" w:firstLineChars="200"/>
        <w:rPr>
          <w:rFonts w:ascii="宋体" w:hAnsi="宋体" w:eastAsia="宋体" w:cs="Times New Roman"/>
          <w:szCs w:val="21"/>
        </w:rPr>
      </w:pPr>
      <w:r>
        <w:rPr>
          <w:rFonts w:ascii="宋体" w:hAnsi="宋体" w:eastAsia="宋体" w:cs="Times New Roman"/>
          <w:szCs w:val="21"/>
        </w:rPr>
        <w:t>是否设定追诉时效，如何设定追诉时效，是一个直接关系刑罚确定性的问题。设定追诉时效、设定严格的追诉时效、设定期限较短的追诉时效，实际意味着国家对于在现有司法资源投入水平下力所不能及,或力所能及而刑罚效益远低于经济水平的一部分犯罪放弃了追诉权和求刑权。这在某种意义上是承认了犯罪黑数和刑罚真空的存在，似乎是国家立法机构的一种“无奈的、不得已而为之的选择”</w:t>
      </w:r>
      <w:r>
        <w:rPr>
          <w:rStyle w:val="20"/>
          <w:rFonts w:ascii="宋体" w:hAnsi="宋体" w:eastAsia="宋体" w:cs="Times New Roman"/>
          <w:szCs w:val="21"/>
        </w:rPr>
        <w:footnoteReference w:id="126"/>
      </w:r>
      <w:r>
        <w:rPr>
          <w:rFonts w:ascii="宋体" w:hAnsi="宋体" w:eastAsia="宋体" w:cs="Times New Roman"/>
          <w:szCs w:val="21"/>
        </w:rPr>
        <w:t>。从经济学分析法学的角度考察,设定追诉时效的经济目的是在一定程度上以牺牲刑罚的确定性为代价的，求得更高的刑罚效益，因而对于追诉时效的经济分析实际上具体化为考察这种刑罚确定性的牺牲是否可以换得更高刑罚效益的问题。</w:t>
      </w:r>
    </w:p>
    <w:p w14:paraId="7970BE97">
      <w:pPr>
        <w:spacing w:line="400" w:lineRule="exact"/>
        <w:ind w:firstLine="440" w:firstLineChars="200"/>
        <w:rPr>
          <w:rFonts w:ascii="宋体" w:hAnsi="宋体" w:eastAsia="宋体" w:cs="Times New Roman"/>
          <w:szCs w:val="21"/>
        </w:rPr>
      </w:pPr>
      <w:r>
        <w:rPr>
          <w:rFonts w:ascii="宋体" w:hAnsi="宋体" w:eastAsia="宋体" w:cs="Times New Roman"/>
          <w:szCs w:val="21"/>
        </w:rPr>
        <w:t>2.追诉时效引起的犯罪决策变动</w:t>
      </w:r>
    </w:p>
    <w:p w14:paraId="28F42246">
      <w:pPr>
        <w:spacing w:line="400" w:lineRule="exact"/>
        <w:ind w:firstLine="440" w:firstLineChars="200"/>
        <w:rPr>
          <w:rFonts w:ascii="宋体" w:hAnsi="宋体" w:eastAsia="宋体" w:cs="Times New Roman"/>
          <w:szCs w:val="21"/>
        </w:rPr>
      </w:pPr>
      <w:r>
        <w:rPr>
          <w:rFonts w:ascii="宋体" w:hAnsi="宋体" w:eastAsia="宋体" w:cs="Times New Roman"/>
          <w:szCs w:val="21"/>
        </w:rPr>
        <w:t>从经济学的观点分析，犯罪是在犯罪人从事犯罪行为的犯罪收益超过刑罚成本、犯罪直接成本等所有犯罪成本时所作出的决策，有人成为罪犯,“不在于他们的基本动机与别人有什么不同，而在于他们的利益同成本之间存在的差异”</w:t>
      </w:r>
      <w:r>
        <w:rPr>
          <w:rStyle w:val="20"/>
          <w:rFonts w:ascii="宋体" w:hAnsi="宋体" w:eastAsia="宋体" w:cs="Times New Roman"/>
          <w:szCs w:val="21"/>
        </w:rPr>
        <w:footnoteReference w:id="127"/>
      </w:r>
      <w:r>
        <w:rPr>
          <w:rFonts w:ascii="宋体" w:hAnsi="宋体" w:eastAsia="宋体" w:cs="Times New Roman"/>
          <w:szCs w:val="21"/>
        </w:rPr>
        <w:t>。简言之，“由于犯罪对他的预期收益超过其预期成本,所以某人才实施犯罪”</w:t>
      </w:r>
      <w:r>
        <w:rPr>
          <w:rStyle w:val="20"/>
          <w:rFonts w:ascii="宋体" w:hAnsi="宋体" w:eastAsia="宋体" w:cs="Times New Roman"/>
          <w:szCs w:val="21"/>
        </w:rPr>
        <w:footnoteReference w:id="128"/>
      </w:r>
      <w:r>
        <w:rPr>
          <w:rFonts w:ascii="宋体" w:hAnsi="宋体" w:eastAsia="宋体" w:cs="Times New Roman"/>
          <w:szCs w:val="21"/>
        </w:rPr>
        <w:t>。</w:t>
      </w:r>
    </w:p>
    <w:p w14:paraId="3D0F63E7">
      <w:pPr>
        <w:spacing w:line="400" w:lineRule="exact"/>
        <w:ind w:firstLine="440" w:firstLineChars="200"/>
        <w:rPr>
          <w:rFonts w:ascii="宋体" w:hAnsi="宋体" w:eastAsia="宋体" w:cs="Times New Roman"/>
          <w:szCs w:val="21"/>
        </w:rPr>
      </w:pPr>
      <w:r>
        <w:rPr>
          <w:rFonts w:ascii="宋体" w:hAnsi="宋体" w:eastAsia="宋体" w:cs="Times New Roman"/>
          <w:szCs w:val="21"/>
        </w:rPr>
        <w:t>对于犯罪人而言，通过犯罪可以取得犯罪收益Y</w:t>
      </w:r>
      <w:r>
        <w:rPr>
          <w:rFonts w:ascii="宋体" w:hAnsi="宋体" w:eastAsia="宋体" w:cs="Times New Roman"/>
          <w:szCs w:val="21"/>
          <w:vertAlign w:val="subscript"/>
        </w:rPr>
        <w:t>i</w:t>
      </w:r>
      <w:r>
        <w:rPr>
          <w:rFonts w:ascii="宋体" w:hAnsi="宋体" w:eastAsia="宋体" w:cs="Times New Roman"/>
          <w:szCs w:val="21"/>
        </w:rPr>
        <w:t>。这种犯罪收益可以是财产性的，如贪污、贿赂等经济犯罪，以及盗窃、抢劫等财产犯罪，而刑事犯罪中也存在很多非财产性的犯罪收益，如杀人、伤害、强奸、遗弃、虐待，等等。出于分析的简化，有必要把各种财产性或非财产性的犯罪收益加以量化，以便与犯罪成本进行比较。</w:t>
      </w:r>
    </w:p>
    <w:p w14:paraId="06D2D9A4">
      <w:pPr>
        <w:spacing w:line="400" w:lineRule="exact"/>
        <w:ind w:firstLine="440" w:firstLineChars="200"/>
        <w:rPr>
          <w:rFonts w:ascii="宋体" w:hAnsi="宋体" w:eastAsia="宋体" w:cs="Times New Roman"/>
          <w:szCs w:val="21"/>
        </w:rPr>
      </w:pPr>
      <w:r>
        <w:rPr>
          <w:rFonts w:ascii="宋体" w:hAnsi="宋体" w:eastAsia="宋体" w:cs="Times New Roman"/>
          <w:szCs w:val="21"/>
        </w:rPr>
        <w:t>犯罪成本是指犯罪人实施犯罪所付出的代价，具体包括两个组成部分：</w:t>
      </w:r>
    </w:p>
    <w:p w14:paraId="0DBBD032">
      <w:pPr>
        <w:spacing w:line="400" w:lineRule="exact"/>
        <w:ind w:firstLine="440" w:firstLineChars="200"/>
        <w:rPr>
          <w:rFonts w:ascii="宋体" w:hAnsi="宋体" w:eastAsia="宋体" w:cs="Times New Roman"/>
          <w:szCs w:val="21"/>
        </w:rPr>
      </w:pPr>
      <w:r>
        <w:rPr>
          <w:rFonts w:ascii="宋体" w:hAnsi="宋体" w:eastAsia="宋体" w:cs="Times New Roman"/>
          <w:szCs w:val="21"/>
        </w:rPr>
        <w:t>第一，刑罚成本C</w:t>
      </w:r>
      <w:r>
        <w:rPr>
          <w:rFonts w:ascii="宋体" w:hAnsi="宋体" w:eastAsia="宋体" w:cs="Times New Roman"/>
          <w:szCs w:val="21"/>
          <w:vertAlign w:val="subscript"/>
        </w:rPr>
        <w:t>i</w:t>
      </w:r>
      <w:r>
        <w:rPr>
          <w:rFonts w:ascii="宋体" w:hAnsi="宋体" w:eastAsia="宋体" w:cs="Times New Roman"/>
          <w:szCs w:val="21"/>
        </w:rPr>
        <w:t>。刑罚本身意味着社会对于犯罪人的负面评价，通过接受刑罚“受到危害的社会迫使犯罪人承受某种痛苦”</w:t>
      </w:r>
      <w:r>
        <w:rPr>
          <w:rStyle w:val="20"/>
          <w:rFonts w:ascii="宋体" w:hAnsi="宋体" w:eastAsia="宋体" w:cs="Times New Roman"/>
          <w:szCs w:val="21"/>
        </w:rPr>
        <w:footnoteReference w:id="129"/>
      </w:r>
      <w:r>
        <w:rPr>
          <w:rFonts w:ascii="宋体" w:hAnsi="宋体" w:eastAsia="宋体" w:cs="Times New Roman"/>
          <w:szCs w:val="21"/>
        </w:rPr>
        <w:t>。首先，犯罪人从简单的罚金到一定时期内失去人身自由（自由刑）直至失去生存权利（生命刑）；其次，这种接受刑罚的过程使犯罪人丧失了有关的可预期收益，如犯罪人受到监禁而导致的监禁期间内预期收入的丧失，这种丧失可以视为机会成本;再次，刑罚意味着犯罪人某种名誉的丧失, “每一刑事处罚都以耻辱的形式实施了非金钱负效用”</w:t>
      </w:r>
      <w:r>
        <w:rPr>
          <w:rStyle w:val="20"/>
          <w:rFonts w:ascii="宋体" w:hAnsi="宋体" w:eastAsia="宋体" w:cs="Times New Roman"/>
          <w:szCs w:val="21"/>
        </w:rPr>
        <w:footnoteReference w:id="130"/>
      </w:r>
      <w:r>
        <w:rPr>
          <w:rFonts w:ascii="宋体" w:hAnsi="宋体" w:eastAsia="宋体" w:cs="Times New Roman"/>
          <w:szCs w:val="21"/>
        </w:rPr>
        <w:t>。刑罚成本在犯罪人进行犯罪决策时是不确定的，某种犯罪的刑罚严厉性可以通过刑事法律中法定刑的规定明确体现，刑罚成本的变数在于具体犯罪遭到追诉和定罪的可能性，即刑罚的确定性。犯罪人据以决策的刑罚成本只能是刑罚严厉性F</w:t>
      </w:r>
      <w:r>
        <w:rPr>
          <w:rFonts w:ascii="宋体" w:hAnsi="宋体" w:eastAsia="宋体" w:cs="Times New Roman"/>
          <w:szCs w:val="21"/>
          <w:vertAlign w:val="subscript"/>
        </w:rPr>
        <w:t>i</w:t>
      </w:r>
      <w:r>
        <w:rPr>
          <w:rFonts w:ascii="宋体" w:hAnsi="宋体" w:eastAsia="宋体" w:cs="Times New Roman"/>
          <w:szCs w:val="21"/>
        </w:rPr>
        <w:t>：和刑罚确定性P</w:t>
      </w:r>
      <w:r>
        <w:rPr>
          <w:rFonts w:ascii="宋体" w:hAnsi="宋体" w:eastAsia="宋体" w:cs="Times New Roman"/>
          <w:szCs w:val="21"/>
          <w:vertAlign w:val="subscript"/>
        </w:rPr>
        <w:t>i</w:t>
      </w:r>
      <w:r>
        <w:rPr>
          <w:rFonts w:ascii="宋体" w:hAnsi="宋体" w:eastAsia="宋体" w:cs="Times New Roman"/>
          <w:szCs w:val="21"/>
        </w:rPr>
        <w:t>,的乘积，即C</w:t>
      </w:r>
      <w:r>
        <w:rPr>
          <w:rFonts w:ascii="宋体" w:hAnsi="宋体" w:eastAsia="宋体" w:cs="Times New Roman"/>
          <w:szCs w:val="21"/>
          <w:vertAlign w:val="subscript"/>
        </w:rPr>
        <w:t>i</w:t>
      </w:r>
      <w:r>
        <w:rPr>
          <w:rFonts w:ascii="宋体" w:hAnsi="宋体" w:eastAsia="宋体" w:cs="Times New Roman"/>
          <w:szCs w:val="21"/>
        </w:rPr>
        <w:t>=F</w:t>
      </w:r>
      <w:r>
        <w:rPr>
          <w:rFonts w:ascii="宋体" w:hAnsi="宋体" w:eastAsia="宋体" w:cs="Times New Roman"/>
          <w:szCs w:val="21"/>
          <w:vertAlign w:val="subscript"/>
        </w:rPr>
        <w:t>i</w:t>
      </w:r>
      <w:r>
        <w:rPr>
          <w:rFonts w:ascii="宋体" w:hAnsi="宋体" w:eastAsia="宋体" w:cs="Times New Roman"/>
          <w:szCs w:val="21"/>
        </w:rPr>
        <w:t>*P</w:t>
      </w:r>
      <w:r>
        <w:rPr>
          <w:rFonts w:ascii="宋体" w:hAnsi="宋体" w:eastAsia="宋体" w:cs="Times New Roman"/>
          <w:szCs w:val="21"/>
          <w:vertAlign w:val="subscript"/>
        </w:rPr>
        <w:t>i</w:t>
      </w:r>
      <w:r>
        <w:rPr>
          <w:rFonts w:ascii="宋体" w:hAnsi="宋体" w:eastAsia="宋体" w:cs="Times New Roman"/>
          <w:szCs w:val="21"/>
        </w:rPr>
        <w:t>：。如果犯罪的法定刑为10年,该罪的定罪可能性为70%,那么犯罪人的预期刑罚成本将是7年。</w:t>
      </w:r>
    </w:p>
    <w:p w14:paraId="10F4EAF6">
      <w:pPr>
        <w:spacing w:line="400" w:lineRule="exact"/>
        <w:ind w:firstLine="440" w:firstLineChars="200"/>
        <w:rPr>
          <w:rFonts w:ascii="宋体" w:hAnsi="宋体" w:eastAsia="宋体" w:cs="Times New Roman"/>
          <w:szCs w:val="21"/>
        </w:rPr>
      </w:pPr>
      <w:r>
        <w:rPr>
          <w:rFonts w:ascii="宋体" w:hAnsi="宋体" w:eastAsia="宋体" w:cs="Times New Roman"/>
          <w:szCs w:val="21"/>
        </w:rPr>
        <w:t>第二，犯罪的直接成本。犯罪人在犯罪前准备工具和制造条件，在犯罪过程中实施犯罪，在犯罪既遂后逃避惩罚这一系列行为中，都会直接导致成本支出。不过，这种成本支出和刑罚成本相比，对于犯罪人犯罪决策的影响是比较小的，犯罪人一般会较多考虑犯罪可能带来的惩罚，较少会因为犯罪过于“昂贵”而放弃犯罪，或者犯罪极为“便宜”而实施犯罪，因此，我们在分析犯罪成本时，仅考虑刑罚成本，而将犯罪的直接成本排除在外。</w:t>
      </w:r>
    </w:p>
    <w:p w14:paraId="5BF39436">
      <w:pPr>
        <w:spacing w:line="400" w:lineRule="exact"/>
        <w:ind w:firstLine="440" w:firstLineChars="200"/>
        <w:rPr>
          <w:rFonts w:ascii="宋体" w:hAnsi="宋体" w:eastAsia="宋体" w:cs="Times New Roman"/>
          <w:szCs w:val="21"/>
        </w:rPr>
      </w:pPr>
      <w:r>
        <w:rPr>
          <w:rFonts w:ascii="宋体" w:hAnsi="宋体" w:eastAsia="宋体" w:cs="Times New Roman"/>
          <w:szCs w:val="21"/>
        </w:rPr>
        <w:t>可见，当犯罪人得出犯罪收益Yi大于犯罪成本的结论时，往往会作出实施犯罪的决策，即犯罪条件为：Y</w:t>
      </w:r>
      <w:r>
        <w:rPr>
          <w:rFonts w:ascii="宋体" w:hAnsi="宋体" w:eastAsia="宋体" w:cs="Times New Roman"/>
          <w:szCs w:val="21"/>
          <w:vertAlign w:val="subscript"/>
        </w:rPr>
        <w:t>i</w:t>
      </w:r>
      <w:r>
        <w:rPr>
          <w:rFonts w:ascii="宋体" w:hAnsi="宋体" w:eastAsia="宋体" w:cs="Times New Roman"/>
          <w:szCs w:val="21"/>
        </w:rPr>
        <w:t>&gt;C</w:t>
      </w:r>
      <w:r>
        <w:rPr>
          <w:rFonts w:ascii="宋体" w:hAnsi="宋体" w:eastAsia="宋体" w:cs="Times New Roman"/>
          <w:szCs w:val="21"/>
          <w:vertAlign w:val="subscript"/>
        </w:rPr>
        <w:t>i</w:t>
      </w:r>
      <w:r>
        <w:rPr>
          <w:rFonts w:ascii="宋体" w:hAnsi="宋体" w:eastAsia="宋体" w:cs="Times New Roman"/>
          <w:szCs w:val="21"/>
        </w:rPr>
        <w:t>=F</w:t>
      </w:r>
      <w:r>
        <w:rPr>
          <w:rFonts w:ascii="宋体" w:hAnsi="宋体" w:eastAsia="宋体" w:cs="Times New Roman"/>
          <w:szCs w:val="21"/>
          <w:vertAlign w:val="subscript"/>
        </w:rPr>
        <w:t>i</w:t>
      </w:r>
      <w:r>
        <w:rPr>
          <w:rFonts w:ascii="宋体" w:hAnsi="宋体" w:eastAsia="宋体" w:cs="Times New Roman"/>
          <w:szCs w:val="21"/>
        </w:rPr>
        <w:t>*P</w:t>
      </w:r>
      <w:r>
        <w:rPr>
          <w:rFonts w:ascii="宋体" w:hAnsi="宋体" w:eastAsia="宋体" w:cs="Times New Roman"/>
          <w:szCs w:val="21"/>
          <w:vertAlign w:val="subscript"/>
        </w:rPr>
        <w:t>i</w:t>
      </w:r>
      <w:r>
        <w:rPr>
          <w:rFonts w:ascii="宋体" w:hAnsi="宋体" w:eastAsia="宋体" w:cs="Times New Roman"/>
          <w:szCs w:val="21"/>
        </w:rPr>
        <w:t>,。</w:t>
      </w:r>
    </w:p>
    <w:p w14:paraId="31CEFE4B">
      <w:pPr>
        <w:spacing w:line="400" w:lineRule="exact"/>
        <w:ind w:firstLine="440" w:firstLineChars="200"/>
        <w:rPr>
          <w:rFonts w:ascii="宋体" w:hAnsi="宋体" w:eastAsia="宋体" w:cs="Times New Roman"/>
          <w:szCs w:val="21"/>
        </w:rPr>
      </w:pPr>
      <w:r>
        <w:rPr>
          <w:rFonts w:ascii="宋体" w:hAnsi="宋体" w:eastAsia="宋体" w:cs="Times New Roman"/>
          <w:szCs w:val="21"/>
        </w:rPr>
        <w:t>犯罪人通过上述决策过程作出的犯罪决策可以按照犯罪的严重程度依次分类，这种严重程度可以是一次犯罪造成的危害后果，也可以是犯罪的次数或频率；同样刑罚按照严厉程度也可以依次分类，刑罚分类的序列是犯罪越严重，刑罚越严厉。</w:t>
      </w:r>
    </w:p>
    <w:p w14:paraId="5DDFBA75">
      <w:pPr>
        <w:ind w:firstLine="440" w:firstLineChars="200"/>
        <w:rPr>
          <w:rFonts w:ascii="宋体" w:hAnsi="宋体" w:eastAsia="宋体" w:cs="Times New Roman"/>
          <w:szCs w:val="21"/>
        </w:rPr>
      </w:pPr>
      <w:r>
        <w:rPr>
          <w:rFonts w:ascii="宋体" w:hAnsi="宋体" w:eastAsia="宋体" w:cs="Times New Roman"/>
          <w:szCs w:val="21"/>
        </w:rPr>
        <w:drawing>
          <wp:inline distT="0" distB="0" distL="114300" distR="114300">
            <wp:extent cx="5269230" cy="4256405"/>
            <wp:effectExtent l="0" t="0" r="13970" b="10795"/>
            <wp:docPr id="10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9"/>
                    <pic:cNvPicPr>
                      <a:picLocks noChangeAspect="1"/>
                    </pic:cNvPicPr>
                  </pic:nvPicPr>
                  <pic:blipFill>
                    <a:blip r:embed="rId93"/>
                    <a:stretch>
                      <a:fillRect/>
                    </a:stretch>
                  </pic:blipFill>
                  <pic:spPr>
                    <a:xfrm>
                      <a:off x="0" y="0"/>
                      <a:ext cx="5269230" cy="4256405"/>
                    </a:xfrm>
                    <a:prstGeom prst="rect">
                      <a:avLst/>
                    </a:prstGeom>
                    <a:noFill/>
                    <a:ln>
                      <a:noFill/>
                    </a:ln>
                  </pic:spPr>
                </pic:pic>
              </a:graphicData>
            </a:graphic>
          </wp:inline>
        </w:drawing>
      </w:r>
    </w:p>
    <w:p w14:paraId="5EF95F03">
      <w:pPr>
        <w:spacing w:line="400" w:lineRule="exact"/>
        <w:ind w:firstLine="440" w:firstLineChars="200"/>
        <w:rPr>
          <w:rFonts w:ascii="宋体" w:hAnsi="宋体" w:eastAsia="宋体" w:cs="Times New Roman"/>
          <w:szCs w:val="21"/>
        </w:rPr>
      </w:pPr>
      <w:r>
        <w:rPr>
          <w:rFonts w:ascii="宋体" w:hAnsi="宋体" w:eastAsia="宋体" w:cs="Times New Roman"/>
          <w:szCs w:val="21"/>
        </w:rPr>
        <w:t>图1表现犯罪严重程度和刑罚严厉性之间的关系</w:t>
      </w:r>
      <w:r>
        <w:rPr>
          <w:rStyle w:val="20"/>
          <w:rFonts w:ascii="宋体" w:hAnsi="宋体" w:eastAsia="宋体" w:cs="Times New Roman"/>
          <w:szCs w:val="21"/>
        </w:rPr>
        <w:footnoteReference w:id="131"/>
      </w:r>
      <w:r>
        <w:rPr>
          <w:rFonts w:ascii="宋体" w:hAnsi="宋体" w:eastAsia="宋体" w:cs="Times New Roman"/>
          <w:szCs w:val="21"/>
        </w:rPr>
        <w:t>。图中呈45°的补偿线代表了如果犯罪的严重性能够与刑罚的严厉性用同一尺度衡量，那么，某种犯罪的严重程度与相应刑罚的严厉程度之间的对应关系。例如，横轴的犯罪X</w:t>
      </w:r>
      <w:r>
        <w:rPr>
          <w:rFonts w:ascii="宋体" w:hAnsi="宋体" w:eastAsia="宋体" w:cs="Times New Roman"/>
          <w:szCs w:val="21"/>
          <w:vertAlign w:val="subscript"/>
        </w:rPr>
        <w:t>0</w:t>
      </w:r>
      <w:r>
        <w:rPr>
          <w:rFonts w:ascii="宋体" w:hAnsi="宋体" w:eastAsia="宋体" w:cs="Times New Roman"/>
          <w:szCs w:val="21"/>
        </w:rPr>
        <w:t>对社会所造成的危害用同一尺度衡量相当于纵轴的刑罚X</w:t>
      </w:r>
      <w:r>
        <w:rPr>
          <w:rFonts w:ascii="宋体" w:hAnsi="宋体" w:eastAsia="宋体" w:cs="Times New Roman"/>
          <w:szCs w:val="21"/>
          <w:vertAlign w:val="subscript"/>
        </w:rPr>
        <w:t>0</w:t>
      </w:r>
      <w:r>
        <w:rPr>
          <w:rFonts w:ascii="宋体" w:hAnsi="宋体" w:eastAsia="宋体" w:cs="Times New Roman"/>
          <w:szCs w:val="21"/>
        </w:rPr>
        <w:t>。对犯罪人的损失。正如边沁所说，“为预防一个犯罪，抑制动机的力量必须超过诱惑动机,作为一个恐惧的刑罚必须超过作为诱惑物的罪行，一个不足的刑罚比严厉的刑罚更坏”</w:t>
      </w:r>
      <w:r>
        <w:rPr>
          <w:rStyle w:val="20"/>
          <w:rFonts w:ascii="宋体" w:hAnsi="宋体" w:eastAsia="宋体" w:cs="Times New Roman"/>
          <w:szCs w:val="21"/>
        </w:rPr>
        <w:footnoteReference w:id="132"/>
      </w:r>
      <w:r>
        <w:rPr>
          <w:rFonts w:ascii="宋体" w:hAnsi="宋体" w:eastAsia="宋体" w:cs="Times New Roman"/>
          <w:szCs w:val="21"/>
        </w:rPr>
        <w:t>，与损害后果相当的刑罚惩罚不可能充分起到警戒犯罪、预防犯罪的作用，因而法定刑罚必然大于与犯罪危害相应的刑罚，法定刑罚曲线如图1所示必然位于补偿线上方，对应于犯罪X</w:t>
      </w:r>
      <w:r>
        <w:rPr>
          <w:rFonts w:ascii="宋体" w:hAnsi="宋体" w:eastAsia="宋体" w:cs="Times New Roman"/>
          <w:szCs w:val="21"/>
          <w:vertAlign w:val="subscript"/>
        </w:rPr>
        <w:t>0</w:t>
      </w:r>
      <w:r>
        <w:rPr>
          <w:rFonts w:ascii="宋体" w:hAnsi="宋体" w:eastAsia="宋体" w:cs="Times New Roman"/>
          <w:szCs w:val="21"/>
        </w:rPr>
        <w:t>的法定刑罚为X</w:t>
      </w:r>
      <w:r>
        <w:rPr>
          <w:rFonts w:ascii="宋体" w:hAnsi="宋体" w:eastAsia="宋体" w:cs="Times New Roman"/>
          <w:szCs w:val="21"/>
          <w:vertAlign w:val="subscript"/>
        </w:rPr>
        <w:t>1</w:t>
      </w:r>
      <w:r>
        <w:rPr>
          <w:rFonts w:ascii="宋体" w:hAnsi="宋体" w:eastAsia="宋体" w:cs="Times New Roman"/>
          <w:szCs w:val="21"/>
        </w:rPr>
        <w:t>。</w:t>
      </w:r>
    </w:p>
    <w:p w14:paraId="55AA8649">
      <w:pPr>
        <w:spacing w:line="400" w:lineRule="exact"/>
        <w:ind w:firstLine="440" w:firstLineChars="200"/>
        <w:rPr>
          <w:rFonts w:ascii="宋体" w:hAnsi="宋体" w:eastAsia="宋体" w:cs="Times New Roman"/>
          <w:szCs w:val="21"/>
        </w:rPr>
      </w:pPr>
      <w:r>
        <w:rPr>
          <w:rFonts w:ascii="宋体" w:hAnsi="宋体" w:eastAsia="宋体" w:cs="Times New Roman"/>
          <w:szCs w:val="21"/>
        </w:rPr>
        <w:t>上述分析是建立在所有犯罪都得到追诉的基础上的。在这种“有罪必罚”的情况下,犯罪人预期的刑罚成本曲线和法定刑罚曲线重合，犯罪成本始终大于犯罪收益（图中的补偿线），从而所有犯罪都是在经济上不合理的决策。</w:t>
      </w:r>
    </w:p>
    <w:p w14:paraId="16A5491B">
      <w:pPr>
        <w:spacing w:line="400" w:lineRule="exact"/>
        <w:ind w:firstLine="440" w:firstLineChars="200"/>
        <w:rPr>
          <w:rFonts w:ascii="宋体" w:hAnsi="宋体" w:eastAsia="宋体" w:cs="Times New Roman"/>
          <w:szCs w:val="21"/>
        </w:rPr>
      </w:pPr>
      <w:r>
        <w:rPr>
          <w:rFonts w:ascii="宋体" w:hAnsi="宋体" w:eastAsia="宋体" w:cs="Times New Roman"/>
          <w:szCs w:val="21"/>
        </w:rPr>
        <w:t>然而，司法机构在现有司法资源条件的限制下，不可能真正做到及时追究每一个犯罪人和毎一个罪行的刑事责任，刑罚确定性P</w:t>
      </w:r>
      <w:r>
        <w:rPr>
          <w:rFonts w:ascii="宋体" w:hAnsi="宋体" w:eastAsia="宋体" w:cs="Times New Roman"/>
          <w:szCs w:val="21"/>
          <w:vertAlign w:val="subscript"/>
        </w:rPr>
        <w:t>i</w:t>
      </w:r>
      <w:r>
        <w:rPr>
          <w:rFonts w:ascii="宋体" w:hAnsi="宋体" w:eastAsia="宋体" w:cs="Times New Roman"/>
          <w:szCs w:val="21"/>
        </w:rPr>
        <w:t>&lt;1,预期刑罚成本C</w:t>
      </w:r>
      <w:r>
        <w:rPr>
          <w:rFonts w:ascii="宋体" w:hAnsi="宋体" w:eastAsia="宋体" w:cs="Times New Roman"/>
          <w:szCs w:val="21"/>
          <w:vertAlign w:val="subscript"/>
        </w:rPr>
        <w:t>i</w:t>
      </w:r>
      <w:r>
        <w:rPr>
          <w:rFonts w:ascii="宋体" w:hAnsi="宋体" w:eastAsia="宋体" w:cs="Times New Roman"/>
          <w:szCs w:val="21"/>
        </w:rPr>
        <w:t>=F</w:t>
      </w:r>
      <w:r>
        <w:rPr>
          <w:rFonts w:ascii="宋体" w:hAnsi="宋体" w:eastAsia="宋体" w:cs="Times New Roman"/>
          <w:szCs w:val="21"/>
          <w:vertAlign w:val="subscript"/>
        </w:rPr>
        <w:t>i</w:t>
      </w:r>
      <w:r>
        <w:rPr>
          <w:rFonts w:ascii="宋体" w:hAnsi="宋体" w:eastAsia="宋体" w:cs="Times New Roman"/>
          <w:szCs w:val="21"/>
        </w:rPr>
        <w:t>*P</w:t>
      </w:r>
      <w:r>
        <w:rPr>
          <w:rFonts w:ascii="宋体" w:hAnsi="宋体" w:eastAsia="宋体" w:cs="Times New Roman"/>
          <w:szCs w:val="21"/>
          <w:vertAlign w:val="subscript"/>
        </w:rPr>
        <w:t>i</w:t>
      </w:r>
      <w:r>
        <w:rPr>
          <w:rFonts w:ascii="宋体" w:hAnsi="宋体" w:eastAsia="宋体" w:cs="Times New Roman"/>
          <w:szCs w:val="21"/>
        </w:rPr>
        <w:t>，于是,C</w:t>
      </w:r>
      <w:r>
        <w:rPr>
          <w:rFonts w:ascii="宋体" w:hAnsi="宋体" w:eastAsia="宋体" w:cs="Times New Roman"/>
          <w:szCs w:val="21"/>
          <w:vertAlign w:val="subscript"/>
        </w:rPr>
        <w:t>i</w:t>
      </w:r>
      <w:r>
        <w:rPr>
          <w:rFonts w:ascii="宋体" w:hAnsi="宋体" w:eastAsia="宋体" w:cs="Times New Roman"/>
          <w:szCs w:val="21"/>
        </w:rPr>
        <w:t>&lt;F</w:t>
      </w:r>
      <w:r>
        <w:rPr>
          <w:rFonts w:ascii="宋体" w:hAnsi="宋体" w:eastAsia="宋体" w:cs="Times New Roman"/>
          <w:szCs w:val="21"/>
          <w:vertAlign w:val="subscript"/>
        </w:rPr>
        <w:t>i</w:t>
      </w:r>
      <w:r>
        <w:rPr>
          <w:rFonts w:ascii="宋体" w:hAnsi="宋体" w:eastAsia="宋体" w:cs="Times New Roman"/>
          <w:szCs w:val="21"/>
        </w:rPr>
        <w:t>,,预期刑罚成本曲线位于法定刑罚曲线下方，与补偿线相交（见图2）。预期刑罚线位于补偿线以下的部分，出现了犯罪成本（刑罚成本）小于犯罪收益的情况，即图2中X</w:t>
      </w:r>
      <w:r>
        <w:rPr>
          <w:rFonts w:ascii="宋体" w:hAnsi="宋体" w:eastAsia="宋体" w:cs="Times New Roman"/>
          <w:szCs w:val="21"/>
          <w:vertAlign w:val="subscript"/>
        </w:rPr>
        <w:t>1</w:t>
      </w:r>
      <w:r>
        <w:rPr>
          <w:rFonts w:ascii="宋体" w:hAnsi="宋体" w:eastAsia="宋体" w:cs="Times New Roman"/>
          <w:szCs w:val="21"/>
        </w:rPr>
        <w:t>至X</w:t>
      </w:r>
      <w:r>
        <w:rPr>
          <w:rFonts w:ascii="宋体" w:hAnsi="宋体" w:eastAsia="宋体" w:cs="Times New Roman"/>
          <w:szCs w:val="21"/>
          <w:vertAlign w:val="subscript"/>
        </w:rPr>
        <w:t>2</w:t>
      </w:r>
      <w:r>
        <w:rPr>
          <w:rFonts w:ascii="宋体" w:hAnsi="宋体" w:eastAsia="宋体" w:cs="Times New Roman"/>
          <w:szCs w:val="21"/>
        </w:rPr>
        <w:t>的部分，此时，理性的犯罪人作出犯罪的决策将是经济合理的，因此，可以将犯罪人可能犯罪的区间（X</w:t>
      </w:r>
      <w:r>
        <w:rPr>
          <w:rFonts w:ascii="宋体" w:hAnsi="宋体" w:eastAsia="宋体" w:cs="Times New Roman"/>
          <w:szCs w:val="21"/>
          <w:vertAlign w:val="subscript"/>
        </w:rPr>
        <w:t>1</w:t>
      </w:r>
      <w:r>
        <w:rPr>
          <w:rFonts w:ascii="宋体" w:hAnsi="宋体" w:eastAsia="宋体" w:cs="Times New Roman"/>
          <w:szCs w:val="21"/>
        </w:rPr>
        <w:t>,X</w:t>
      </w:r>
      <w:r>
        <w:rPr>
          <w:rFonts w:ascii="宋体" w:hAnsi="宋体" w:eastAsia="宋体" w:cs="Times New Roman"/>
          <w:szCs w:val="21"/>
          <w:vertAlign w:val="subscript"/>
        </w:rPr>
        <w:t>2</w:t>
      </w:r>
      <w:r>
        <w:rPr>
          <w:rFonts w:ascii="宋体" w:hAnsi="宋体" w:eastAsia="宋体" w:cs="Times New Roman"/>
          <w:szCs w:val="21"/>
        </w:rPr>
        <w:t>）称为犯罪区间。</w:t>
      </w:r>
    </w:p>
    <w:p w14:paraId="00D91D35">
      <w:pPr>
        <w:spacing w:line="400" w:lineRule="exact"/>
        <w:ind w:firstLine="440" w:firstLineChars="200"/>
        <w:rPr>
          <w:rFonts w:ascii="宋体" w:hAnsi="宋体" w:eastAsia="宋体" w:cs="Times New Roman"/>
          <w:szCs w:val="21"/>
        </w:rPr>
      </w:pPr>
      <w:r>
        <w:rPr>
          <w:rFonts w:ascii="宋体" w:hAnsi="宋体" w:eastAsia="宋体" w:cs="Times New Roman"/>
          <w:szCs w:val="21"/>
        </w:rPr>
        <w:t>犯罪人通过犯罪可以取得的净利益取决于犯罪收益和犯罪成本的差异，在图中表现为预期刑罚线与补偿线之间的纵向距离。直观考察将发现，补偿线的平行线与预期刑罚线相切处的X</w:t>
      </w:r>
      <w:r>
        <w:rPr>
          <w:rFonts w:ascii="宋体" w:hAnsi="宋体" w:eastAsia="宋体" w:cs="Times New Roman"/>
          <w:szCs w:val="21"/>
          <w:vertAlign w:val="superscript"/>
        </w:rPr>
        <w:t>*</w:t>
      </w:r>
      <w:r>
        <w:rPr>
          <w:rFonts w:ascii="宋体" w:hAnsi="宋体" w:eastAsia="宋体" w:cs="Times New Roman"/>
          <w:szCs w:val="21"/>
        </w:rPr>
        <w:t>,点预期刑罚线与补偿线之间的纵向距离最大，即X</w:t>
      </w:r>
      <w:r>
        <w:rPr>
          <w:rFonts w:ascii="宋体" w:hAnsi="宋体" w:eastAsia="宋体" w:cs="Times New Roman"/>
          <w:szCs w:val="21"/>
          <w:vertAlign w:val="superscript"/>
        </w:rPr>
        <w:t>*</w:t>
      </w:r>
      <w:r>
        <w:rPr>
          <w:rFonts w:ascii="宋体" w:hAnsi="宋体" w:eastAsia="宋体" w:cs="Times New Roman"/>
          <w:szCs w:val="21"/>
        </w:rPr>
        <w:t>，是犯罪人净收益的最大值点，X</w:t>
      </w:r>
      <w:r>
        <w:rPr>
          <w:rFonts w:ascii="宋体" w:hAnsi="宋体" w:eastAsia="宋体" w:cs="Times New Roman"/>
          <w:szCs w:val="21"/>
          <w:vertAlign w:val="superscript"/>
        </w:rPr>
        <w:t>*</w:t>
      </w:r>
      <w:r>
        <w:rPr>
          <w:rFonts w:ascii="宋体" w:hAnsi="宋体" w:eastAsia="宋体" w:cs="Times New Roman"/>
          <w:szCs w:val="21"/>
        </w:rPr>
        <w:t>成为犯罪人的最优选择。</w:t>
      </w:r>
    </w:p>
    <w:p w14:paraId="073686E9">
      <w:pPr>
        <w:ind w:firstLine="440" w:firstLineChars="200"/>
        <w:rPr>
          <w:rFonts w:ascii="宋体" w:hAnsi="宋体" w:eastAsia="宋体" w:cs="Times New Roman"/>
          <w:szCs w:val="21"/>
        </w:rPr>
      </w:pPr>
      <w:r>
        <w:rPr>
          <w:rFonts w:ascii="宋体" w:hAnsi="宋体" w:eastAsia="宋体" w:cs="Times New Roman"/>
          <w:szCs w:val="21"/>
        </w:rPr>
        <w:drawing>
          <wp:inline distT="0" distB="0" distL="114300" distR="114300">
            <wp:extent cx="5265420" cy="3947795"/>
            <wp:effectExtent l="0" t="0" r="17780" b="14605"/>
            <wp:docPr id="10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20"/>
                    <pic:cNvPicPr>
                      <a:picLocks noChangeAspect="1"/>
                    </pic:cNvPicPr>
                  </pic:nvPicPr>
                  <pic:blipFill>
                    <a:blip r:embed="rId94"/>
                    <a:stretch>
                      <a:fillRect/>
                    </a:stretch>
                  </pic:blipFill>
                  <pic:spPr>
                    <a:xfrm>
                      <a:off x="0" y="0"/>
                      <a:ext cx="5265420" cy="3947795"/>
                    </a:xfrm>
                    <a:prstGeom prst="rect">
                      <a:avLst/>
                    </a:prstGeom>
                    <a:noFill/>
                    <a:ln>
                      <a:noFill/>
                    </a:ln>
                  </pic:spPr>
                </pic:pic>
              </a:graphicData>
            </a:graphic>
          </wp:inline>
        </w:drawing>
      </w:r>
    </w:p>
    <w:p w14:paraId="5048B0FA">
      <w:pPr>
        <w:spacing w:line="400" w:lineRule="exact"/>
        <w:ind w:firstLine="440" w:firstLineChars="200"/>
        <w:rPr>
          <w:rFonts w:ascii="宋体" w:hAnsi="宋体" w:eastAsia="宋体" w:cs="Times New Roman"/>
          <w:szCs w:val="21"/>
        </w:rPr>
      </w:pPr>
      <w:r>
        <w:rPr>
          <w:rFonts w:ascii="宋体" w:hAnsi="宋体" w:eastAsia="宋体" w:cs="Times New Roman"/>
          <w:szCs w:val="21"/>
        </w:rPr>
        <w:t>以上决策过程可以用数学方式同样加以阐述。假设犯罪严重性为xi，法定刑罚F</w:t>
      </w:r>
      <w:r>
        <w:rPr>
          <w:rFonts w:ascii="宋体" w:hAnsi="宋体" w:eastAsia="宋体" w:cs="Times New Roman"/>
          <w:szCs w:val="21"/>
          <w:vertAlign w:val="subscript"/>
        </w:rPr>
        <w:t>i</w:t>
      </w:r>
      <w:r>
        <w:rPr>
          <w:rFonts w:ascii="宋体" w:hAnsi="宋体" w:eastAsia="宋体" w:cs="Times New Roman"/>
          <w:szCs w:val="21"/>
        </w:rPr>
        <w:t>,和刑罚确定性P</w:t>
      </w:r>
      <w:r>
        <w:rPr>
          <w:rFonts w:ascii="宋体" w:hAnsi="宋体" w:eastAsia="宋体" w:cs="Times New Roman"/>
          <w:szCs w:val="21"/>
          <w:vertAlign w:val="subscript"/>
        </w:rPr>
        <w:t>i</w:t>
      </w:r>
      <w:r>
        <w:rPr>
          <w:rFonts w:ascii="宋体" w:hAnsi="宋体" w:eastAsia="宋体" w:cs="Times New Roman"/>
          <w:szCs w:val="21"/>
        </w:rPr>
        <w:t>,都是xi的增函数（这种F和P与x同方向变动的函数关系可以通过表9得到证明）：</w:t>
      </w:r>
    </w:p>
    <w:p w14:paraId="2BEF9416">
      <w:pPr>
        <w:spacing w:line="400" w:lineRule="exact"/>
        <w:ind w:firstLine="440" w:firstLineChars="200"/>
        <w:rPr>
          <w:rFonts w:ascii="宋体" w:hAnsi="宋体" w:eastAsia="宋体" w:cs="Times New Roman"/>
          <w:szCs w:val="21"/>
        </w:rPr>
      </w:pPr>
      <w:r>
        <w:rPr>
          <w:rFonts w:ascii="宋体" w:hAnsi="宋体" w:eastAsia="宋体" w:cs="Times New Roman"/>
          <w:szCs w:val="21"/>
        </w:rPr>
        <w:t>F</w:t>
      </w:r>
      <w:r>
        <w:rPr>
          <w:rFonts w:ascii="宋体" w:hAnsi="宋体" w:eastAsia="宋体" w:cs="Times New Roman"/>
          <w:szCs w:val="21"/>
          <w:vertAlign w:val="subscript"/>
        </w:rPr>
        <w:t>i</w:t>
      </w:r>
      <w:r>
        <w:rPr>
          <w:rFonts w:ascii="宋体" w:hAnsi="宋体" w:eastAsia="宋体" w:cs="Times New Roman"/>
          <w:szCs w:val="21"/>
        </w:rPr>
        <w:t>=F</w:t>
      </w:r>
      <w:r>
        <w:rPr>
          <w:rFonts w:ascii="宋体" w:hAnsi="宋体" w:eastAsia="宋体" w:cs="Times New Roman"/>
          <w:szCs w:val="21"/>
          <w:vertAlign w:val="subscript"/>
        </w:rPr>
        <w:t>i</w:t>
      </w:r>
      <w:r>
        <w:rPr>
          <w:rFonts w:ascii="宋体" w:hAnsi="宋体" w:eastAsia="宋体" w:cs="Times New Roman"/>
          <w:szCs w:val="21"/>
        </w:rPr>
        <w:t>(xi）,dF</w:t>
      </w:r>
      <w:r>
        <w:rPr>
          <w:rFonts w:ascii="宋体" w:hAnsi="宋体" w:eastAsia="宋体" w:cs="Times New Roman"/>
          <w:szCs w:val="21"/>
          <w:vertAlign w:val="subscript"/>
        </w:rPr>
        <w:t>i</w:t>
      </w:r>
      <w:r>
        <w:rPr>
          <w:rFonts w:ascii="宋体" w:hAnsi="宋体" w:eastAsia="宋体" w:cs="Times New Roman"/>
          <w:szCs w:val="21"/>
        </w:rPr>
        <w:t>,/dxi,&gt;0</w:t>
      </w:r>
    </w:p>
    <w:p w14:paraId="098B5EFA">
      <w:pPr>
        <w:spacing w:line="400" w:lineRule="exact"/>
        <w:ind w:firstLine="440" w:firstLineChars="200"/>
        <w:rPr>
          <w:rFonts w:ascii="宋体" w:hAnsi="宋体" w:eastAsia="宋体" w:cs="Times New Roman"/>
          <w:szCs w:val="21"/>
        </w:rPr>
      </w:pPr>
      <w:r>
        <w:rPr>
          <w:rFonts w:ascii="宋体" w:hAnsi="宋体" w:eastAsia="宋体" w:cs="Times New Roman"/>
          <w:szCs w:val="21"/>
        </w:rPr>
        <w:t>P=P</w:t>
      </w:r>
      <w:r>
        <w:rPr>
          <w:rFonts w:ascii="宋体" w:hAnsi="宋体" w:eastAsia="宋体" w:cs="Times New Roman"/>
          <w:szCs w:val="21"/>
          <w:vertAlign w:val="subscript"/>
        </w:rPr>
        <w:t>i</w:t>
      </w:r>
      <w:r>
        <w:rPr>
          <w:rFonts w:ascii="宋体" w:hAnsi="宋体" w:eastAsia="宋体" w:cs="Times New Roman"/>
          <w:szCs w:val="21"/>
        </w:rPr>
        <w:t>(xi）,dP</w:t>
      </w:r>
      <w:r>
        <w:rPr>
          <w:rFonts w:ascii="宋体" w:hAnsi="宋体" w:eastAsia="宋体" w:cs="Times New Roman"/>
          <w:szCs w:val="21"/>
          <w:vertAlign w:val="subscript"/>
        </w:rPr>
        <w:t>i</w:t>
      </w:r>
      <w:r>
        <w:rPr>
          <w:rFonts w:ascii="宋体" w:hAnsi="宋体" w:eastAsia="宋体" w:cs="Times New Roman"/>
          <w:szCs w:val="21"/>
        </w:rPr>
        <w:t>,/dxi,&gt;0</w:t>
      </w:r>
    </w:p>
    <w:p w14:paraId="44D6EC80">
      <w:pPr>
        <w:spacing w:line="400" w:lineRule="exact"/>
        <w:ind w:firstLine="440" w:firstLineChars="200"/>
        <w:rPr>
          <w:rFonts w:ascii="宋体" w:hAnsi="宋体" w:eastAsia="宋体" w:cs="Times New Roman"/>
          <w:szCs w:val="21"/>
        </w:rPr>
      </w:pPr>
      <w:r>
        <w:rPr>
          <w:rFonts w:ascii="宋体" w:hAnsi="宋体" w:eastAsia="宋体" w:cs="Times New Roman"/>
          <w:szCs w:val="21"/>
        </w:rPr>
        <w:t>则预期刑罚线可以表示为：C</w:t>
      </w:r>
      <w:r>
        <w:rPr>
          <w:rFonts w:ascii="宋体" w:hAnsi="宋体" w:eastAsia="宋体" w:cs="Times New Roman"/>
          <w:szCs w:val="21"/>
          <w:vertAlign w:val="subscript"/>
        </w:rPr>
        <w:t>i</w:t>
      </w:r>
      <w:r>
        <w:rPr>
          <w:rFonts w:ascii="宋体" w:hAnsi="宋体" w:eastAsia="宋体" w:cs="Times New Roman"/>
          <w:szCs w:val="21"/>
        </w:rPr>
        <w:t>=C</w:t>
      </w:r>
      <w:r>
        <w:rPr>
          <w:rFonts w:ascii="宋体" w:hAnsi="宋体" w:eastAsia="宋体" w:cs="Times New Roman"/>
          <w:szCs w:val="21"/>
          <w:vertAlign w:val="subscript"/>
        </w:rPr>
        <w:t>i</w:t>
      </w:r>
      <w:r>
        <w:rPr>
          <w:rFonts w:ascii="宋体" w:hAnsi="宋体" w:eastAsia="宋体" w:cs="Times New Roman"/>
          <w:szCs w:val="21"/>
        </w:rPr>
        <w:t>(xi)=F</w:t>
      </w:r>
      <w:r>
        <w:rPr>
          <w:rFonts w:ascii="宋体" w:hAnsi="宋体" w:eastAsia="宋体" w:cs="Times New Roman"/>
          <w:szCs w:val="21"/>
          <w:vertAlign w:val="subscript"/>
        </w:rPr>
        <w:t>i</w:t>
      </w:r>
      <w:r>
        <w:rPr>
          <w:rFonts w:ascii="宋体" w:hAnsi="宋体" w:eastAsia="宋体" w:cs="Times New Roman"/>
          <w:szCs w:val="21"/>
        </w:rPr>
        <w:t>(xi）*P</w:t>
      </w:r>
      <w:r>
        <w:rPr>
          <w:rFonts w:ascii="宋体" w:hAnsi="宋体" w:eastAsia="宋体" w:cs="Times New Roman"/>
          <w:szCs w:val="21"/>
          <w:vertAlign w:val="subscript"/>
        </w:rPr>
        <w:t>i</w:t>
      </w:r>
      <w:r>
        <w:rPr>
          <w:rFonts w:ascii="宋体" w:hAnsi="宋体" w:eastAsia="宋体" w:cs="Times New Roman"/>
          <w:szCs w:val="21"/>
        </w:rPr>
        <w:t>(xi）,犯罪人的犯罪收益用犯罪严重性xi表示，那么，犯罪人的净收益为：</w:t>
      </w:r>
    </w:p>
    <w:p w14:paraId="168CBC17">
      <w:pPr>
        <w:spacing w:line="400" w:lineRule="exact"/>
        <w:ind w:firstLine="440" w:firstLineChars="200"/>
        <w:rPr>
          <w:rFonts w:ascii="宋体" w:hAnsi="宋体" w:eastAsia="宋体" w:cs="Times New Roman"/>
          <w:szCs w:val="21"/>
        </w:rPr>
      </w:pPr>
      <w:r>
        <w:rPr>
          <w:rFonts w:ascii="宋体" w:hAnsi="宋体" w:eastAsia="宋体" w:cs="Times New Roman"/>
          <w:szCs w:val="21"/>
        </w:rPr>
        <w:t>Y</w:t>
      </w:r>
      <w:r>
        <w:rPr>
          <w:rFonts w:ascii="宋体" w:hAnsi="宋体" w:eastAsia="宋体" w:cs="Times New Roman"/>
          <w:szCs w:val="21"/>
          <w:vertAlign w:val="subscript"/>
        </w:rPr>
        <w:t>i</w:t>
      </w:r>
      <w:r>
        <w:rPr>
          <w:rFonts w:ascii="宋体" w:hAnsi="宋体" w:eastAsia="宋体" w:cs="Times New Roman"/>
          <w:szCs w:val="21"/>
        </w:rPr>
        <w:t>（xi）=xi-C</w:t>
      </w:r>
      <w:r>
        <w:rPr>
          <w:rFonts w:ascii="宋体" w:hAnsi="宋体" w:eastAsia="宋体" w:cs="Times New Roman"/>
          <w:szCs w:val="21"/>
          <w:vertAlign w:val="subscript"/>
        </w:rPr>
        <w:t>i</w:t>
      </w:r>
      <w:r>
        <w:rPr>
          <w:rFonts w:ascii="宋体" w:hAnsi="宋体" w:eastAsia="宋体" w:cs="Times New Roman"/>
          <w:szCs w:val="21"/>
        </w:rPr>
        <w:t>=xi-F</w:t>
      </w:r>
      <w:r>
        <w:rPr>
          <w:rFonts w:ascii="宋体" w:hAnsi="宋体" w:eastAsia="宋体" w:cs="Times New Roman"/>
          <w:szCs w:val="21"/>
          <w:vertAlign w:val="subscript"/>
        </w:rPr>
        <w:t>i</w:t>
      </w:r>
      <w:r>
        <w:rPr>
          <w:rFonts w:ascii="宋体" w:hAnsi="宋体" w:eastAsia="宋体" w:cs="Times New Roman"/>
          <w:szCs w:val="21"/>
        </w:rPr>
        <w:t>(xi）*P</w:t>
      </w:r>
      <w:r>
        <w:rPr>
          <w:rFonts w:ascii="宋体" w:hAnsi="宋体" w:eastAsia="宋体" w:cs="Times New Roman"/>
          <w:szCs w:val="21"/>
          <w:vertAlign w:val="subscript"/>
        </w:rPr>
        <w:t>i</w:t>
      </w:r>
      <w:r>
        <w:rPr>
          <w:rFonts w:ascii="宋体" w:hAnsi="宋体" w:eastAsia="宋体" w:cs="Times New Roman"/>
          <w:szCs w:val="21"/>
        </w:rPr>
        <w:t>(xi）</w:t>
      </w:r>
    </w:p>
    <w:p w14:paraId="3DA8FC1F">
      <w:pPr>
        <w:spacing w:line="400" w:lineRule="exact"/>
        <w:ind w:firstLine="440" w:firstLineChars="200"/>
        <w:rPr>
          <w:rFonts w:ascii="宋体" w:hAnsi="宋体" w:eastAsia="宋体" w:cs="Times New Roman"/>
          <w:szCs w:val="21"/>
        </w:rPr>
      </w:pPr>
      <w:r>
        <w:rPr>
          <w:rFonts w:ascii="宋体" w:hAnsi="宋体" w:eastAsia="宋体" w:cs="Times New Roman"/>
          <w:szCs w:val="21"/>
        </w:rPr>
        <w:t>理性犯罪人追求净收益的最大化，则就上式对”求导：</w:t>
      </w:r>
    </w:p>
    <w:p w14:paraId="49976F4F">
      <w:pPr>
        <w:spacing w:line="400" w:lineRule="exact"/>
        <w:ind w:firstLine="440" w:firstLineChars="200"/>
        <w:rPr>
          <w:rFonts w:ascii="宋体" w:hAnsi="宋体" w:eastAsia="宋体" w:cs="Times New Roman"/>
          <w:szCs w:val="21"/>
        </w:rPr>
      </w:pPr>
      <w:r>
        <w:rPr>
          <w:rFonts w:ascii="宋体" w:hAnsi="宋体" w:eastAsia="宋体" w:cs="Times New Roman"/>
          <w:szCs w:val="21"/>
        </w:rPr>
        <w:t>Y</w:t>
      </w:r>
      <w:r>
        <w:rPr>
          <w:rFonts w:ascii="宋体" w:hAnsi="宋体" w:eastAsia="宋体" w:cs="Times New Roman"/>
          <w:szCs w:val="21"/>
          <w:vertAlign w:val="subscript"/>
        </w:rPr>
        <w:t>i</w:t>
      </w:r>
      <w:r>
        <w:rPr>
          <w:rFonts w:ascii="宋体" w:hAnsi="宋体" w:eastAsia="宋体" w:cs="Times New Roman"/>
          <w:szCs w:val="21"/>
          <w:vertAlign w:val="superscript"/>
        </w:rPr>
        <w:t>’</w:t>
      </w:r>
      <w:r>
        <w:rPr>
          <w:rFonts w:ascii="宋体" w:hAnsi="宋体" w:eastAsia="宋体" w:cs="Times New Roman"/>
          <w:szCs w:val="21"/>
        </w:rPr>
        <w:t>（xi）=1-（F</w:t>
      </w:r>
      <w:r>
        <w:rPr>
          <w:rFonts w:ascii="宋体" w:hAnsi="宋体" w:eastAsia="宋体" w:cs="Times New Roman"/>
          <w:szCs w:val="21"/>
          <w:vertAlign w:val="subscript"/>
        </w:rPr>
        <w:t>i</w:t>
      </w:r>
      <w:r>
        <w:rPr>
          <w:rFonts w:ascii="宋体" w:hAnsi="宋体" w:eastAsia="宋体" w:cs="Times New Roman"/>
          <w:szCs w:val="21"/>
          <w:vertAlign w:val="superscript"/>
        </w:rPr>
        <w:t>’</w:t>
      </w:r>
      <w:r>
        <w:rPr>
          <w:rFonts w:ascii="宋体" w:hAnsi="宋体" w:eastAsia="宋体" w:cs="Times New Roman"/>
          <w:szCs w:val="21"/>
        </w:rPr>
        <w:t>*P</w:t>
      </w:r>
      <w:r>
        <w:rPr>
          <w:rFonts w:ascii="宋体" w:hAnsi="宋体" w:eastAsia="宋体" w:cs="Times New Roman"/>
          <w:szCs w:val="21"/>
          <w:vertAlign w:val="subscript"/>
        </w:rPr>
        <w:t>i</w:t>
      </w:r>
      <w:r>
        <w:rPr>
          <w:rFonts w:ascii="宋体" w:hAnsi="宋体" w:eastAsia="宋体" w:cs="Times New Roman"/>
          <w:szCs w:val="21"/>
        </w:rPr>
        <w:t>+F</w:t>
      </w:r>
      <w:r>
        <w:rPr>
          <w:rFonts w:ascii="宋体" w:hAnsi="宋体" w:eastAsia="宋体" w:cs="Times New Roman"/>
          <w:szCs w:val="21"/>
          <w:vertAlign w:val="subscript"/>
        </w:rPr>
        <w:t>i</w:t>
      </w:r>
      <w:r>
        <w:rPr>
          <w:rFonts w:ascii="宋体" w:hAnsi="宋体" w:eastAsia="宋体" w:cs="Times New Roman"/>
          <w:szCs w:val="21"/>
        </w:rPr>
        <w:t>*P</w:t>
      </w:r>
      <w:r>
        <w:rPr>
          <w:rFonts w:ascii="宋体" w:hAnsi="宋体" w:eastAsia="宋体" w:cs="Times New Roman"/>
          <w:szCs w:val="21"/>
          <w:vertAlign w:val="subscript"/>
        </w:rPr>
        <w:t>i</w:t>
      </w:r>
      <w:r>
        <w:rPr>
          <w:rFonts w:ascii="宋体" w:hAnsi="宋体" w:eastAsia="宋体" w:cs="Times New Roman"/>
          <w:szCs w:val="21"/>
          <w:vertAlign w:val="superscript"/>
        </w:rPr>
        <w:t>’</w:t>
      </w:r>
      <w:r>
        <w:rPr>
          <w:rFonts w:ascii="宋体" w:hAnsi="宋体" w:eastAsia="宋体" w:cs="Times New Roman"/>
          <w:szCs w:val="21"/>
        </w:rPr>
        <w:t>）=0</w:t>
      </w:r>
    </w:p>
    <w:p w14:paraId="0C9DC3C9">
      <w:pPr>
        <w:spacing w:line="400" w:lineRule="exact"/>
        <w:ind w:firstLine="440" w:firstLineChars="200"/>
        <w:rPr>
          <w:rFonts w:ascii="宋体" w:hAnsi="宋体" w:eastAsia="宋体" w:cs="Times New Roman"/>
          <w:szCs w:val="21"/>
        </w:rPr>
      </w:pPr>
      <w:r>
        <w:rPr>
          <w:rFonts w:ascii="宋体" w:hAnsi="宋体" w:eastAsia="宋体" w:cs="Times New Roman"/>
          <w:szCs w:val="21"/>
        </w:rPr>
        <w:t>可见，犯罪人为了实现净收益最大化必然调整X</w:t>
      </w:r>
      <w:r>
        <w:rPr>
          <w:rFonts w:ascii="宋体" w:hAnsi="宋体" w:eastAsia="宋体" w:cs="Times New Roman"/>
          <w:szCs w:val="21"/>
          <w:vertAlign w:val="superscript"/>
        </w:rPr>
        <w:t>*</w:t>
      </w:r>
      <w:r>
        <w:rPr>
          <w:rFonts w:ascii="宋体" w:hAnsi="宋体" w:eastAsia="宋体" w:cs="Times New Roman"/>
          <w:szCs w:val="21"/>
        </w:rPr>
        <w:t>水平，使得F</w:t>
      </w:r>
      <w:r>
        <w:rPr>
          <w:rFonts w:ascii="宋体" w:hAnsi="宋体" w:eastAsia="宋体" w:cs="Times New Roman"/>
          <w:szCs w:val="21"/>
          <w:vertAlign w:val="subscript"/>
        </w:rPr>
        <w:t>i</w:t>
      </w:r>
      <w:r>
        <w:rPr>
          <w:rFonts w:ascii="宋体" w:hAnsi="宋体" w:eastAsia="宋体" w:cs="Times New Roman"/>
          <w:szCs w:val="21"/>
          <w:vertAlign w:val="superscript"/>
        </w:rPr>
        <w:t>’</w:t>
      </w:r>
      <w:r>
        <w:rPr>
          <w:rFonts w:ascii="宋体" w:hAnsi="宋体" w:eastAsia="宋体" w:cs="Times New Roman"/>
          <w:szCs w:val="21"/>
        </w:rPr>
        <w:t>*P</w:t>
      </w:r>
      <w:r>
        <w:rPr>
          <w:rFonts w:ascii="宋体" w:hAnsi="宋体" w:eastAsia="宋体" w:cs="Times New Roman"/>
          <w:szCs w:val="21"/>
          <w:vertAlign w:val="subscript"/>
        </w:rPr>
        <w:t>i</w:t>
      </w:r>
      <w:r>
        <w:rPr>
          <w:rFonts w:ascii="宋体" w:hAnsi="宋体" w:eastAsia="宋体" w:cs="Times New Roman"/>
          <w:szCs w:val="21"/>
        </w:rPr>
        <w:t>+F</w:t>
      </w:r>
      <w:r>
        <w:rPr>
          <w:rFonts w:ascii="宋体" w:hAnsi="宋体" w:eastAsia="宋体" w:cs="Times New Roman"/>
          <w:szCs w:val="21"/>
          <w:vertAlign w:val="subscript"/>
        </w:rPr>
        <w:t>i</w:t>
      </w:r>
      <w:r>
        <w:rPr>
          <w:rFonts w:ascii="宋体" w:hAnsi="宋体" w:eastAsia="宋体" w:cs="Times New Roman"/>
          <w:szCs w:val="21"/>
        </w:rPr>
        <w:t>*P</w:t>
      </w:r>
      <w:r>
        <w:rPr>
          <w:rFonts w:ascii="宋体" w:hAnsi="宋体" w:eastAsia="宋体" w:cs="Times New Roman"/>
          <w:szCs w:val="21"/>
          <w:vertAlign w:val="subscript"/>
        </w:rPr>
        <w:t>i</w:t>
      </w:r>
      <w:r>
        <w:rPr>
          <w:rFonts w:ascii="宋体" w:hAnsi="宋体" w:eastAsia="宋体" w:cs="Times New Roman"/>
          <w:szCs w:val="21"/>
          <w:vertAlign w:val="superscript"/>
        </w:rPr>
        <w:t>’</w:t>
      </w:r>
      <w:r>
        <w:rPr>
          <w:rFonts w:ascii="宋体" w:hAnsi="宋体" w:eastAsia="宋体" w:cs="Times New Roman"/>
          <w:szCs w:val="21"/>
        </w:rPr>
        <w:t>=1,即边际收益等于边际成本。</w:t>
      </w:r>
    </w:p>
    <w:p w14:paraId="61008039">
      <w:pPr>
        <w:spacing w:line="400" w:lineRule="exact"/>
        <w:ind w:firstLine="440" w:firstLineChars="200"/>
        <w:rPr>
          <w:rFonts w:ascii="宋体" w:hAnsi="宋体" w:eastAsia="宋体" w:cs="Times New Roman"/>
          <w:szCs w:val="21"/>
        </w:rPr>
      </w:pPr>
      <w:r>
        <w:rPr>
          <w:rFonts w:ascii="宋体" w:hAnsi="宋体" w:eastAsia="宋体" w:cs="Times New Roman"/>
          <w:szCs w:val="21"/>
        </w:rPr>
        <w:t>表9：1960年美国7中刑事犯罪的定罪可能性与平均服刑期</w:t>
      </w:r>
      <w:r>
        <w:rPr>
          <w:rStyle w:val="20"/>
          <w:rFonts w:ascii="宋体" w:hAnsi="宋体" w:eastAsia="宋体" w:cs="Times New Roman"/>
          <w:szCs w:val="21"/>
        </w:rPr>
        <w:footnoteReference w:id="133"/>
      </w:r>
    </w:p>
    <w:p w14:paraId="4BF9CA8A">
      <w:pPr>
        <w:ind w:firstLine="440" w:firstLineChars="200"/>
        <w:rPr>
          <w:rFonts w:ascii="宋体" w:hAnsi="宋体" w:eastAsia="宋体" w:cs="Times New Roman"/>
          <w:szCs w:val="21"/>
        </w:rPr>
      </w:pPr>
      <w:r>
        <w:rPr>
          <w:rFonts w:ascii="宋体" w:hAnsi="宋体" w:eastAsia="宋体" w:cs="Times New Roman"/>
          <w:szCs w:val="21"/>
        </w:rPr>
        <w:drawing>
          <wp:inline distT="0" distB="0" distL="114300" distR="114300">
            <wp:extent cx="5269865" cy="2270125"/>
            <wp:effectExtent l="0" t="0" r="13335" b="15875"/>
            <wp:docPr id="10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图片 21"/>
                    <pic:cNvPicPr>
                      <a:picLocks noChangeAspect="1"/>
                    </pic:cNvPicPr>
                  </pic:nvPicPr>
                  <pic:blipFill>
                    <a:blip r:embed="rId95"/>
                    <a:stretch>
                      <a:fillRect/>
                    </a:stretch>
                  </pic:blipFill>
                  <pic:spPr>
                    <a:xfrm>
                      <a:off x="0" y="0"/>
                      <a:ext cx="5269865" cy="2270125"/>
                    </a:xfrm>
                    <a:prstGeom prst="rect">
                      <a:avLst/>
                    </a:prstGeom>
                    <a:noFill/>
                    <a:ln>
                      <a:noFill/>
                    </a:ln>
                  </pic:spPr>
                </pic:pic>
              </a:graphicData>
            </a:graphic>
          </wp:inline>
        </w:drawing>
      </w:r>
    </w:p>
    <w:p w14:paraId="5BE8138B">
      <w:pPr>
        <w:ind w:firstLine="440" w:firstLineChars="200"/>
        <w:rPr>
          <w:rFonts w:ascii="宋体" w:hAnsi="宋体" w:eastAsia="宋体" w:cs="Times New Roman"/>
          <w:szCs w:val="21"/>
        </w:rPr>
      </w:pPr>
    </w:p>
    <w:p w14:paraId="38A83E6E">
      <w:pPr>
        <w:spacing w:line="400" w:lineRule="exact"/>
        <w:ind w:firstLine="440" w:firstLineChars="200"/>
        <w:rPr>
          <w:rFonts w:ascii="宋体" w:hAnsi="宋体" w:eastAsia="宋体" w:cs="Times New Roman"/>
          <w:szCs w:val="21"/>
        </w:rPr>
      </w:pPr>
      <w:r>
        <w:rPr>
          <w:rFonts w:ascii="宋体" w:hAnsi="宋体" w:eastAsia="宋体" w:cs="Times New Roman"/>
          <w:szCs w:val="21"/>
        </w:rPr>
        <w:t>当存在追诉时效制度时，对于犯罪人而言，只要在法定的追诉时效期限内没有被提起公诉，司法机构的求刑权、量刑权消灭，犯罪人按其罪行应当课以的刑罚也随之消灭。因此，追诉时效制度对于犯罪人逃避司法机关侦查抓捕、逃避刑事责任产生了强有力的刺激</w:t>
      </w:r>
      <w:r>
        <w:rPr>
          <w:rStyle w:val="20"/>
          <w:rFonts w:ascii="宋体" w:hAnsi="宋体" w:eastAsia="宋体" w:cs="Times New Roman"/>
          <w:szCs w:val="21"/>
        </w:rPr>
        <w:footnoteReference w:id="134"/>
      </w:r>
      <w:r>
        <w:rPr>
          <w:rFonts w:ascii="宋体" w:hAnsi="宋体" w:eastAsia="宋体" w:cs="Times New Roman"/>
          <w:szCs w:val="21"/>
        </w:rPr>
        <w:t>。为此，犯罪人将加大犯罪直接成本的投入，至于这种成本的投入同样遵循边际成本等于边际收益的原则，其中的边际收益就是刑罚确定性P</w:t>
      </w:r>
      <w:r>
        <w:rPr>
          <w:rFonts w:ascii="宋体" w:hAnsi="宋体" w:eastAsia="宋体" w:cs="Times New Roman"/>
          <w:szCs w:val="21"/>
          <w:vertAlign w:val="subscript"/>
        </w:rPr>
        <w:t>i</w:t>
      </w:r>
      <w:r>
        <w:rPr>
          <w:rFonts w:ascii="宋体" w:hAnsi="宋体" w:eastAsia="宋体" w:cs="Times New Roman"/>
          <w:szCs w:val="21"/>
        </w:rPr>
        <w:t>下降所导致的预期刑罚成本C</w:t>
      </w:r>
      <w:r>
        <w:rPr>
          <w:rFonts w:ascii="宋体" w:hAnsi="宋体" w:eastAsia="宋体" w:cs="Times New Roman"/>
          <w:szCs w:val="21"/>
          <w:vertAlign w:val="subscript"/>
        </w:rPr>
        <w:t>i</w:t>
      </w:r>
      <w:r>
        <w:rPr>
          <w:rFonts w:ascii="宋体" w:hAnsi="宋体" w:eastAsia="宋体" w:cs="Times New Roman"/>
          <w:szCs w:val="21"/>
        </w:rPr>
        <w:t>=F</w:t>
      </w:r>
      <w:r>
        <w:rPr>
          <w:rFonts w:ascii="宋体" w:hAnsi="宋体" w:eastAsia="宋体" w:cs="Times New Roman"/>
          <w:szCs w:val="21"/>
          <w:vertAlign w:val="subscript"/>
        </w:rPr>
        <w:t>i</w:t>
      </w:r>
      <w:r>
        <w:rPr>
          <w:rFonts w:ascii="宋体" w:hAnsi="宋体" w:eastAsia="宋体" w:cs="Times New Roman"/>
          <w:szCs w:val="21"/>
        </w:rPr>
        <w:t>*P</w:t>
      </w:r>
      <w:r>
        <w:rPr>
          <w:rFonts w:ascii="宋体" w:hAnsi="宋体" w:eastAsia="宋体" w:cs="Times New Roman"/>
          <w:szCs w:val="21"/>
          <w:vertAlign w:val="subscript"/>
        </w:rPr>
        <w:t>i</w:t>
      </w:r>
      <w:r>
        <w:rPr>
          <w:rFonts w:ascii="宋体" w:hAnsi="宋体" w:eastAsia="宋体" w:cs="Times New Roman"/>
          <w:szCs w:val="21"/>
        </w:rPr>
        <w:t>的降低。当然，用于逃避惩罚的犯罪直接成本的增量不可能无限增加，其上限是由原刑罚确定性决定的犯罪净收益。</w:t>
      </w:r>
    </w:p>
    <w:p w14:paraId="20239725">
      <w:pPr>
        <w:ind w:firstLine="440" w:firstLineChars="200"/>
        <w:rPr>
          <w:rFonts w:ascii="宋体" w:hAnsi="宋体" w:eastAsia="宋体" w:cs="Times New Roman"/>
          <w:szCs w:val="21"/>
        </w:rPr>
      </w:pPr>
      <w:r>
        <w:rPr>
          <w:rFonts w:ascii="宋体" w:hAnsi="宋体" w:eastAsia="宋体" w:cs="Times New Roman"/>
          <w:szCs w:val="21"/>
        </w:rPr>
        <w:drawing>
          <wp:inline distT="0" distB="0" distL="114300" distR="114300">
            <wp:extent cx="5273040" cy="4171950"/>
            <wp:effectExtent l="0" t="0" r="10160" b="19050"/>
            <wp:docPr id="24"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
                    <pic:cNvPicPr>
                      <a:picLocks noChangeAspect="1"/>
                    </pic:cNvPicPr>
                  </pic:nvPicPr>
                  <pic:blipFill>
                    <a:blip r:embed="rId96"/>
                    <a:stretch>
                      <a:fillRect/>
                    </a:stretch>
                  </pic:blipFill>
                  <pic:spPr>
                    <a:xfrm>
                      <a:off x="0" y="0"/>
                      <a:ext cx="5273040" cy="4171950"/>
                    </a:xfrm>
                    <a:prstGeom prst="rect">
                      <a:avLst/>
                    </a:prstGeom>
                    <a:noFill/>
                    <a:ln>
                      <a:noFill/>
                    </a:ln>
                  </pic:spPr>
                </pic:pic>
              </a:graphicData>
            </a:graphic>
          </wp:inline>
        </w:drawing>
      </w:r>
    </w:p>
    <w:p w14:paraId="65890D93">
      <w:pPr>
        <w:spacing w:line="400" w:lineRule="exact"/>
        <w:ind w:firstLine="440" w:firstLineChars="200"/>
        <w:rPr>
          <w:rFonts w:ascii="宋体" w:hAnsi="宋体" w:eastAsia="宋体" w:cs="Times New Roman"/>
          <w:szCs w:val="21"/>
        </w:rPr>
      </w:pPr>
      <w:r>
        <w:rPr>
          <w:rFonts w:ascii="宋体" w:hAnsi="宋体" w:eastAsia="宋体" w:cs="Times New Roman"/>
          <w:szCs w:val="21"/>
        </w:rPr>
        <w:t>追诉时效导致刑罚确定性降低的过程可以通过图3表示，预期刑罚线下移，与补偿线交于X</w:t>
      </w:r>
      <w:r>
        <w:rPr>
          <w:rFonts w:ascii="宋体" w:hAnsi="宋体" w:eastAsia="宋体" w:cs="Times New Roman"/>
          <w:szCs w:val="21"/>
          <w:vertAlign w:val="subscript"/>
        </w:rPr>
        <w:t>1</w:t>
      </w:r>
      <w:r>
        <w:rPr>
          <w:rFonts w:ascii="宋体" w:hAnsi="宋体" w:eastAsia="宋体" w:cs="Times New Roman"/>
          <w:szCs w:val="21"/>
        </w:rPr>
        <w:t>’、X</w:t>
      </w:r>
      <w:r>
        <w:rPr>
          <w:rFonts w:ascii="宋体" w:hAnsi="宋体" w:eastAsia="宋体" w:cs="Times New Roman"/>
          <w:szCs w:val="21"/>
          <w:vertAlign w:val="subscript"/>
        </w:rPr>
        <w:t>2</w:t>
      </w:r>
      <w:r>
        <w:rPr>
          <w:rFonts w:ascii="宋体" w:hAnsi="宋体" w:eastAsia="宋体" w:cs="Times New Roman"/>
          <w:szCs w:val="21"/>
        </w:rPr>
        <w:t>’；,犯罪区间扩大为（X</w:t>
      </w:r>
      <w:r>
        <w:rPr>
          <w:rFonts w:ascii="宋体" w:hAnsi="宋体" w:eastAsia="宋体" w:cs="Times New Roman"/>
          <w:szCs w:val="21"/>
          <w:vertAlign w:val="subscript"/>
        </w:rPr>
        <w:t>1</w:t>
      </w:r>
      <w:r>
        <w:rPr>
          <w:rFonts w:ascii="宋体" w:hAnsi="宋体" w:eastAsia="宋体" w:cs="Times New Roman"/>
          <w:szCs w:val="21"/>
        </w:rPr>
        <w:t>’,X</w:t>
      </w:r>
      <w:r>
        <w:rPr>
          <w:rFonts w:ascii="宋体" w:hAnsi="宋体" w:eastAsia="宋体" w:cs="Times New Roman"/>
          <w:szCs w:val="21"/>
          <w:vertAlign w:val="subscript"/>
        </w:rPr>
        <w:t>2</w:t>
      </w:r>
      <w:r>
        <w:rPr>
          <w:rFonts w:ascii="宋体" w:hAnsi="宋体" w:eastAsia="宋体" w:cs="Times New Roman"/>
          <w:szCs w:val="21"/>
        </w:rPr>
        <w:t>’）,犯罪人的最优选择从X</w:t>
      </w:r>
      <w:r>
        <w:rPr>
          <w:rFonts w:ascii="宋体" w:hAnsi="宋体" w:eastAsia="宋体" w:cs="Times New Roman"/>
          <w:szCs w:val="21"/>
          <w:vertAlign w:val="superscript"/>
        </w:rPr>
        <w:t>*</w:t>
      </w:r>
      <w:r>
        <w:rPr>
          <w:rFonts w:ascii="宋体" w:hAnsi="宋体" w:eastAsia="宋体" w:cs="Times New Roman"/>
          <w:szCs w:val="21"/>
        </w:rPr>
        <w:t>增大为X</w:t>
      </w:r>
      <w:r>
        <w:rPr>
          <w:rFonts w:ascii="宋体" w:hAnsi="宋体" w:eastAsia="宋体" w:cs="Times New Roman"/>
          <w:szCs w:val="21"/>
          <w:vertAlign w:val="superscript"/>
        </w:rPr>
        <w:t>*’</w:t>
      </w:r>
      <w:r>
        <w:rPr>
          <w:rFonts w:ascii="宋体" w:hAnsi="宋体" w:eastAsia="宋体" w:cs="Times New Roman"/>
          <w:szCs w:val="21"/>
        </w:rPr>
        <w:t>。</w:t>
      </w:r>
    </w:p>
    <w:p w14:paraId="66C65652">
      <w:pPr>
        <w:spacing w:line="400" w:lineRule="exact"/>
        <w:ind w:firstLine="440" w:firstLineChars="200"/>
        <w:rPr>
          <w:rFonts w:ascii="宋体" w:hAnsi="宋体" w:eastAsia="宋体" w:cs="Times New Roman"/>
          <w:szCs w:val="21"/>
        </w:rPr>
      </w:pPr>
      <w:r>
        <w:rPr>
          <w:rFonts w:ascii="宋体" w:hAnsi="宋体" w:eastAsia="宋体" w:cs="Times New Roman"/>
          <w:szCs w:val="21"/>
        </w:rPr>
        <w:t>综合上述分析可以发现，追诉时效制度对于犯罪人的犯罪决策最为直接的影响是造成刑罚确定性下降,犯罪人最优选择的犯罪严重性增加，犯罪人可供选择的犯罪区间扩大，而扩大犯罪的范围就等于提高犯罪的可能性”</w:t>
      </w:r>
      <w:r>
        <w:rPr>
          <w:rStyle w:val="20"/>
          <w:rFonts w:ascii="宋体" w:hAnsi="宋体" w:eastAsia="宋体" w:cs="Times New Roman"/>
          <w:szCs w:val="21"/>
        </w:rPr>
        <w:footnoteReference w:id="135"/>
      </w:r>
      <w:r>
        <w:rPr>
          <w:rFonts w:ascii="宋体" w:hAnsi="宋体" w:eastAsia="宋体" w:cs="Times New Roman"/>
          <w:szCs w:val="21"/>
        </w:rPr>
        <w:t>。</w:t>
      </w:r>
    </w:p>
    <w:p w14:paraId="01CB87A8">
      <w:pPr>
        <w:spacing w:line="400" w:lineRule="exact"/>
        <w:ind w:firstLine="440" w:firstLineChars="200"/>
        <w:rPr>
          <w:rFonts w:ascii="宋体" w:hAnsi="宋体" w:eastAsia="宋体" w:cs="Times New Roman"/>
          <w:szCs w:val="21"/>
        </w:rPr>
      </w:pPr>
      <w:r>
        <w:rPr>
          <w:rFonts w:ascii="宋体" w:hAnsi="宋体" w:eastAsia="宋体" w:cs="Times New Roman"/>
          <w:szCs w:val="21"/>
        </w:rPr>
        <w:t>3.追诉时效引起的预防决策变动</w:t>
      </w:r>
    </w:p>
    <w:p w14:paraId="2540ABC2">
      <w:pPr>
        <w:spacing w:line="300" w:lineRule="auto"/>
        <w:ind w:firstLine="440" w:firstLineChars="200"/>
        <w:rPr>
          <w:rFonts w:ascii="宋体" w:hAnsi="宋体" w:eastAsia="宋体" w:cs="Times New Roman"/>
          <w:szCs w:val="21"/>
        </w:rPr>
      </w:pPr>
      <w:r>
        <w:rPr>
          <w:rFonts w:ascii="宋体" w:hAnsi="宋体" w:eastAsia="宋体" w:cs="Times New Roman"/>
          <w:szCs w:val="21"/>
        </w:rPr>
        <w:t>趋利避害是人类心理的共同特征。犯罪人实施犯罪是出于“认为犯罪之乐大于刑罚之苦的侥幸心理”</w:t>
      </w:r>
      <w:r>
        <w:rPr>
          <w:rStyle w:val="20"/>
          <w:rFonts w:ascii="宋体" w:hAnsi="宋体" w:eastAsia="宋体" w:cs="Times New Roman"/>
          <w:szCs w:val="21"/>
        </w:rPr>
        <w:footnoteReference w:id="136"/>
      </w:r>
      <w:r>
        <w:rPr>
          <w:rFonts w:ascii="宋体" w:hAnsi="宋体" w:eastAsia="宋体" w:cs="Times New Roman"/>
          <w:szCs w:val="21"/>
        </w:rPr>
        <w:t>，同样，其他社会公众出于谨慎心理将对迥罪可能造成的损害进行预防。比如，雇请警卫和保安，安装住宅保险装置，乘坐出租汽车代替步行和地铁，增加保险费用的支出和扩大保险范围，聘请财务专家审核账务，雇用律师，等等。在枪支合法化的国家，预防他人侵害也是购买枪支的主要动机之一。据美国统计，仅1965年私人在防盗报警器、警卫、律师以及其他形式的防护措施方面的支出就高达约为20亿美元，而且这个数字很可能被大大低估;2002年私人拥有枪支2亿多支，几乎人均一枪</w:t>
      </w:r>
      <w:r>
        <w:rPr>
          <w:rStyle w:val="20"/>
          <w:rFonts w:ascii="宋体" w:hAnsi="宋体" w:eastAsia="宋体" w:cs="Times New Roman"/>
          <w:szCs w:val="21"/>
        </w:rPr>
        <w:footnoteReference w:id="137"/>
      </w:r>
      <w:r>
        <w:rPr>
          <w:rFonts w:ascii="宋体" w:hAnsi="宋体" w:eastAsia="宋体" w:cs="Times New Roman"/>
          <w:szCs w:val="21"/>
        </w:rPr>
        <w:t>。</w:t>
      </w:r>
    </w:p>
    <w:p w14:paraId="2EB97B9D">
      <w:pPr>
        <w:spacing w:line="400" w:lineRule="exact"/>
        <w:ind w:firstLine="440" w:firstLineChars="200"/>
        <w:rPr>
          <w:rFonts w:ascii="宋体" w:hAnsi="宋体" w:eastAsia="宋体" w:cs="Times New Roman"/>
          <w:szCs w:val="21"/>
        </w:rPr>
      </w:pPr>
      <w:r>
        <w:rPr>
          <w:rFonts w:ascii="宋体" w:hAnsi="宋体" w:eastAsia="宋体" w:cs="Times New Roman"/>
          <w:szCs w:val="21"/>
        </w:rPr>
        <w:t>从广义上分析，预防成本实际包括两个方面:预防自己犯罪的成本和预防他人犯罪侵害的成本。预防自己犯罪的成本主要由刑法的严厉性制约，并伴随着刑罚严厉程度的增加而上升。在刑罚相当严厉时，人们必然会非常谨慎并且釆取足够的措施避免意外触犯刑法。</w:t>
      </w:r>
    </w:p>
    <w:p w14:paraId="50F6D970">
      <w:pPr>
        <w:spacing w:line="400" w:lineRule="exact"/>
        <w:ind w:firstLine="440" w:firstLineChars="200"/>
        <w:rPr>
          <w:rFonts w:ascii="宋体" w:hAnsi="宋体" w:eastAsia="宋体" w:cs="Times New Roman"/>
          <w:szCs w:val="21"/>
        </w:rPr>
      </w:pPr>
      <w:r>
        <w:rPr>
          <w:rFonts w:ascii="宋体" w:hAnsi="宋体" w:eastAsia="宋体" w:cs="Times New Roman"/>
          <w:szCs w:val="21"/>
        </w:rPr>
        <w:t>本文着重讨论的是预防他人犯罪侵害的预防成本支出。对于社会公众而言，预防成本就是指社会公众为了最大限度减小犯罪造成的损失而支出的成本。犯罪侵害造成的损失主要由两部分组成：</w:t>
      </w:r>
    </w:p>
    <w:p w14:paraId="60FDA994">
      <w:pPr>
        <w:spacing w:line="400" w:lineRule="exact"/>
        <w:ind w:firstLine="440" w:firstLineChars="200"/>
        <w:rPr>
          <w:rFonts w:ascii="宋体" w:hAnsi="宋体" w:eastAsia="宋体" w:cs="Times New Roman"/>
          <w:szCs w:val="21"/>
        </w:rPr>
      </w:pPr>
      <w:r>
        <w:rPr>
          <w:rFonts w:ascii="宋体" w:hAnsi="宋体" w:eastAsia="宋体" w:cs="Times New Roman"/>
          <w:szCs w:val="21"/>
        </w:rPr>
        <w:t>首先是犯罪侵害的直接损失D</w:t>
      </w:r>
      <w:r>
        <w:rPr>
          <w:rFonts w:ascii="宋体" w:hAnsi="宋体" w:eastAsia="宋体" w:cs="Times New Roman"/>
          <w:szCs w:val="21"/>
          <w:vertAlign w:val="subscript"/>
        </w:rPr>
        <w:t>i</w:t>
      </w:r>
      <w:r>
        <w:rPr>
          <w:rFonts w:ascii="宋体" w:hAnsi="宋体" w:eastAsia="宋体" w:cs="Times New Roman"/>
          <w:szCs w:val="21"/>
        </w:rPr>
        <w:t>,这也是犯罪损失中最主要的组成部分，包括财物的损毁、将来可得利益的损失、精神上的损害，等等。不妨假定犯罪的直接损失同犯罪可能性P正相关(因为犯罪的直接损失等于犯罪可能性和每次犯罪损失的乘积)，同预防成本的投入水平G</w:t>
      </w:r>
      <w:r>
        <w:rPr>
          <w:rFonts w:ascii="宋体" w:hAnsi="宋体" w:eastAsia="宋体" w:cs="Times New Roman"/>
          <w:szCs w:val="21"/>
          <w:vertAlign w:val="subscript"/>
        </w:rPr>
        <w:t>i</w:t>
      </w:r>
      <w:r>
        <w:rPr>
          <w:rFonts w:ascii="宋体" w:hAnsi="宋体" w:eastAsia="宋体" w:cs="Times New Roman"/>
          <w:szCs w:val="21"/>
        </w:rPr>
        <w:t>负相关(减少犯罪的直接损失是增加预防投入的惟一目的)，因此,D</w:t>
      </w:r>
      <w:r>
        <w:rPr>
          <w:rFonts w:ascii="宋体" w:hAnsi="宋体" w:eastAsia="宋体" w:cs="Times New Roman"/>
          <w:szCs w:val="21"/>
          <w:vertAlign w:val="subscript"/>
        </w:rPr>
        <w:t>i</w:t>
      </w:r>
      <w:r>
        <w:rPr>
          <w:rFonts w:ascii="宋体" w:hAnsi="宋体" w:eastAsia="宋体" w:cs="Times New Roman"/>
          <w:szCs w:val="21"/>
        </w:rPr>
        <w:t>=D</w:t>
      </w:r>
      <w:r>
        <w:rPr>
          <w:rFonts w:ascii="宋体" w:hAnsi="宋体" w:eastAsia="宋体" w:cs="Times New Roman"/>
          <w:szCs w:val="21"/>
          <w:vertAlign w:val="subscript"/>
        </w:rPr>
        <w:t>i</w:t>
      </w:r>
      <w:r>
        <w:rPr>
          <w:rFonts w:ascii="宋体" w:hAnsi="宋体" w:eastAsia="宋体" w:cs="Times New Roman"/>
          <w:szCs w:val="21"/>
        </w:rPr>
        <w:t>(P,G</w:t>
      </w:r>
      <w:r>
        <w:rPr>
          <w:rFonts w:ascii="宋体" w:hAnsi="宋体" w:eastAsia="宋体" w:cs="Times New Roman"/>
          <w:szCs w:val="21"/>
          <w:vertAlign w:val="subscript"/>
        </w:rPr>
        <w:t>i</w:t>
      </w:r>
      <w:r>
        <w:rPr>
          <w:rFonts w:ascii="宋体" w:hAnsi="宋体" w:eastAsia="宋体" w:cs="Times New Roman"/>
          <w:szCs w:val="21"/>
        </w:rPr>
        <w:t>),dD</w:t>
      </w:r>
      <w:r>
        <w:rPr>
          <w:rFonts w:ascii="宋体" w:hAnsi="宋体" w:eastAsia="宋体" w:cs="Times New Roman"/>
          <w:szCs w:val="21"/>
          <w:vertAlign w:val="subscript"/>
        </w:rPr>
        <w:t>i</w:t>
      </w:r>
      <w:r>
        <w:rPr>
          <w:rFonts w:ascii="宋体" w:hAnsi="宋体" w:eastAsia="宋体" w:cs="Times New Roman"/>
          <w:szCs w:val="21"/>
        </w:rPr>
        <w:t>,/dP</w:t>
      </w:r>
      <w:r>
        <w:rPr>
          <w:rFonts w:ascii="宋体" w:hAnsi="宋体" w:eastAsia="宋体" w:cs="Times New Roman"/>
          <w:szCs w:val="21"/>
          <w:vertAlign w:val="subscript"/>
        </w:rPr>
        <w:t>i</w:t>
      </w:r>
      <w:r>
        <w:rPr>
          <w:rFonts w:ascii="宋体" w:hAnsi="宋体" w:eastAsia="宋体" w:cs="Times New Roman"/>
          <w:szCs w:val="21"/>
        </w:rPr>
        <w:t>,&gt;0,dD</w:t>
      </w:r>
      <w:r>
        <w:rPr>
          <w:rFonts w:ascii="宋体" w:hAnsi="宋体" w:eastAsia="宋体" w:cs="Times New Roman"/>
          <w:szCs w:val="21"/>
          <w:vertAlign w:val="subscript"/>
        </w:rPr>
        <w:t>i</w:t>
      </w:r>
      <w:r>
        <w:rPr>
          <w:rFonts w:ascii="宋体" w:hAnsi="宋体" w:eastAsia="宋体" w:cs="Times New Roman"/>
          <w:szCs w:val="21"/>
        </w:rPr>
        <w:t>,/dG</w:t>
      </w:r>
      <w:r>
        <w:rPr>
          <w:rFonts w:ascii="宋体" w:hAnsi="宋体" w:eastAsia="宋体" w:cs="Times New Roman"/>
          <w:szCs w:val="21"/>
          <w:vertAlign w:val="subscript"/>
        </w:rPr>
        <w:t>i</w:t>
      </w:r>
      <w:r>
        <w:rPr>
          <w:rFonts w:ascii="宋体" w:hAnsi="宋体" w:eastAsia="宋体" w:cs="Times New Roman"/>
          <w:szCs w:val="21"/>
        </w:rPr>
        <w:t>,&lt;0。</w:t>
      </w:r>
    </w:p>
    <w:p w14:paraId="5ADF78BE">
      <w:pPr>
        <w:spacing w:line="400" w:lineRule="exact"/>
        <w:ind w:firstLine="440" w:firstLineChars="200"/>
        <w:rPr>
          <w:rFonts w:ascii="宋体" w:hAnsi="宋体" w:eastAsia="宋体" w:cs="Times New Roman"/>
          <w:szCs w:val="21"/>
        </w:rPr>
      </w:pPr>
      <w:r>
        <w:rPr>
          <w:rFonts w:ascii="宋体" w:hAnsi="宋体" w:eastAsia="宋体" w:cs="Times New Roman"/>
          <w:szCs w:val="21"/>
        </w:rPr>
        <w:t>其次是预防成本的支出G</w:t>
      </w:r>
      <w:r>
        <w:rPr>
          <w:rFonts w:ascii="宋体" w:hAnsi="宋体" w:eastAsia="宋体" w:cs="Times New Roman"/>
          <w:szCs w:val="21"/>
          <w:vertAlign w:val="subscript"/>
        </w:rPr>
        <w:t>i*</w:t>
      </w:r>
      <w:r>
        <w:rPr>
          <w:rFonts w:ascii="宋体" w:hAnsi="宋体" w:eastAsia="宋体" w:cs="Times New Roman"/>
          <w:szCs w:val="21"/>
        </w:rPr>
        <w:t>A,即预防成本投入水平G和单位预防成本G</w:t>
      </w:r>
      <w:r>
        <w:rPr>
          <w:rFonts w:ascii="宋体" w:hAnsi="宋体" w:eastAsia="宋体" w:cs="Times New Roman"/>
          <w:szCs w:val="21"/>
          <w:vertAlign w:val="subscript"/>
        </w:rPr>
        <w:t>i</w:t>
      </w:r>
      <w:r>
        <w:rPr>
          <w:rFonts w:ascii="宋体" w:hAnsi="宋体" w:eastAsia="宋体" w:cs="Times New Roman"/>
          <w:szCs w:val="21"/>
        </w:rPr>
        <w:t>的乘积。将预防成本列入犯罪损失，是因为这种支出完全是由可能的犯罪引起的。如果没有犯罪可能性的存在，那么，预防措施上的花费将完全是一种毫无意义的浪费。同时，预防成本支出在数额上远远小于犯罪侵害的直接损失，这一点也是易于理解的:没有人会花90万元去为一幢价值100万元的房子买保险。</w:t>
      </w:r>
    </w:p>
    <w:p w14:paraId="79ED8707">
      <w:pPr>
        <w:spacing w:line="400" w:lineRule="exact"/>
        <w:ind w:firstLine="440" w:firstLineChars="200"/>
        <w:rPr>
          <w:rFonts w:ascii="宋体" w:hAnsi="宋体" w:eastAsia="宋体" w:cs="Times New Roman"/>
          <w:szCs w:val="21"/>
        </w:rPr>
      </w:pPr>
      <w:r>
        <w:rPr>
          <w:rFonts w:ascii="宋体" w:hAnsi="宋体" w:eastAsia="宋体" w:cs="Times New Roman"/>
          <w:szCs w:val="21"/>
        </w:rPr>
        <w:t>由此可知，犯罪侵害造成的总损失L=G</w:t>
      </w:r>
      <w:r>
        <w:rPr>
          <w:rFonts w:ascii="宋体" w:hAnsi="宋体" w:eastAsia="宋体" w:cs="Times New Roman"/>
          <w:szCs w:val="21"/>
          <w:vertAlign w:val="subscript"/>
        </w:rPr>
        <w:t>i</w:t>
      </w:r>
      <w:r>
        <w:rPr>
          <w:rFonts w:ascii="宋体" w:hAnsi="宋体" w:eastAsia="宋体" w:cs="Times New Roman"/>
          <w:szCs w:val="21"/>
        </w:rPr>
        <w:t>A+D</w:t>
      </w:r>
      <w:r>
        <w:rPr>
          <w:rFonts w:ascii="宋体" w:hAnsi="宋体" w:eastAsia="宋体" w:cs="Times New Roman"/>
          <w:szCs w:val="21"/>
          <w:vertAlign w:val="subscript"/>
        </w:rPr>
        <w:t>i</w:t>
      </w:r>
      <w:r>
        <w:rPr>
          <w:rFonts w:ascii="宋体" w:hAnsi="宋体" w:eastAsia="宋体" w:cs="Times New Roman"/>
          <w:szCs w:val="21"/>
        </w:rPr>
        <w:t>(P,G</w:t>
      </w:r>
      <w:r>
        <w:rPr>
          <w:rFonts w:ascii="宋体" w:hAnsi="宋体" w:eastAsia="宋体" w:cs="Times New Roman"/>
          <w:szCs w:val="21"/>
          <w:vertAlign w:val="subscript"/>
        </w:rPr>
        <w:t>i</w:t>
      </w:r>
      <w:r>
        <w:rPr>
          <w:rFonts w:ascii="宋体" w:hAnsi="宋体" w:eastAsia="宋体" w:cs="Times New Roman"/>
          <w:szCs w:val="21"/>
        </w:rPr>
        <w:t>)。在构成L的各个变量(G</w:t>
      </w:r>
      <w:r>
        <w:rPr>
          <w:rFonts w:ascii="宋体" w:hAnsi="宋体" w:eastAsia="宋体" w:cs="Times New Roman"/>
          <w:szCs w:val="21"/>
          <w:vertAlign w:val="subscript"/>
        </w:rPr>
        <w:t>i</w:t>
      </w:r>
      <w:r>
        <w:rPr>
          <w:rFonts w:ascii="宋体" w:hAnsi="宋体" w:eastAsia="宋体" w:cs="Times New Roman"/>
          <w:szCs w:val="21"/>
        </w:rPr>
        <w:t>,A,P)中，作为决策者的社会公众可以控制的变量只有预防成本投入水平G</w:t>
      </w:r>
      <w:r>
        <w:rPr>
          <w:rFonts w:ascii="宋体" w:hAnsi="宋体" w:eastAsia="宋体" w:cs="Times New Roman"/>
          <w:szCs w:val="21"/>
          <w:vertAlign w:val="subscript"/>
        </w:rPr>
        <w:t>i</w:t>
      </w:r>
      <w:r>
        <w:rPr>
          <w:rFonts w:ascii="宋体" w:hAnsi="宋体" w:eastAsia="宋体" w:cs="Times New Roman"/>
          <w:szCs w:val="21"/>
        </w:rPr>
        <w:t>,每个社会公众通过选择G</w:t>
      </w:r>
      <w:r>
        <w:rPr>
          <w:rFonts w:ascii="宋体" w:hAnsi="宋体" w:eastAsia="宋体" w:cs="Times New Roman"/>
          <w:szCs w:val="21"/>
          <w:vertAlign w:val="subscript"/>
        </w:rPr>
        <w:t>i</w:t>
      </w:r>
      <w:r>
        <w:rPr>
          <w:rFonts w:ascii="宋体" w:hAnsi="宋体" w:eastAsia="宋体" w:cs="Times New Roman"/>
          <w:szCs w:val="21"/>
        </w:rPr>
        <w:t>水平实现总损失L的最小化，反映在图4</w:t>
      </w:r>
      <w:r>
        <w:rPr>
          <w:rStyle w:val="20"/>
          <w:rFonts w:ascii="宋体" w:hAnsi="宋体" w:eastAsia="宋体" w:cs="Times New Roman"/>
          <w:szCs w:val="21"/>
        </w:rPr>
        <w:footnoteReference w:id="138"/>
      </w:r>
      <w:r>
        <w:rPr>
          <w:rFonts w:ascii="宋体" w:hAnsi="宋体" w:eastAsia="宋体" w:cs="Times New Roman"/>
          <w:szCs w:val="21"/>
        </w:rPr>
        <w:t>中最优的预防成本投入水平就是G*</w:t>
      </w:r>
      <w:r>
        <w:rPr>
          <w:rFonts w:ascii="宋体" w:hAnsi="宋体" w:eastAsia="宋体" w:cs="Times New Roman"/>
          <w:szCs w:val="21"/>
          <w:vertAlign w:val="subscript"/>
        </w:rPr>
        <w:t>i</w:t>
      </w:r>
      <w:r>
        <w:rPr>
          <w:rFonts w:ascii="宋体" w:hAnsi="宋体" w:eastAsia="宋体" w:cs="Times New Roman"/>
          <w:szCs w:val="21"/>
        </w:rPr>
        <w:t>,(位于L曲线的最低点)。</w:t>
      </w:r>
    </w:p>
    <w:p w14:paraId="79357369">
      <w:pPr>
        <w:spacing w:line="400" w:lineRule="exact"/>
        <w:ind w:firstLine="440" w:firstLineChars="200"/>
        <w:rPr>
          <w:rFonts w:ascii="宋体" w:hAnsi="宋体" w:eastAsia="宋体" w:cs="Times New Roman"/>
          <w:szCs w:val="21"/>
        </w:rPr>
      </w:pPr>
      <w:r>
        <w:rPr>
          <w:rFonts w:ascii="宋体" w:hAnsi="宋体" w:eastAsia="宋体" w:cs="Times New Roman"/>
          <w:szCs w:val="21"/>
        </w:rPr>
        <w:t>但是，依据上一节对于犯罪人犯罪决策的分析，追诉时效制度的存在使得犯罪严重性增加，犯罪人可供选择的犯罪区间扩大，犯罪可能性P上升。再参照本节的假定:犯罪的直接损失和犯罪可能性P正相关，所以，犯罪的直接损失Di(P,Gi)上升，从而犯罪总损失L同样增加。这一系列由追诉时效制度引起的连锁反应，反映在图4中，就是Di(P,Gi)曲线和L曲线分别上移至用虚线表示的Di(P,Gi)和L'。社会公众仍按照总损失最小的标准选择预防成本投入水平，最终产生最优决策G*'（位于L'曲线的最低点），而G*</w:t>
      </w:r>
      <w:r>
        <w:rPr>
          <w:rFonts w:ascii="宋体" w:hAnsi="宋体" w:eastAsia="宋体" w:cs="Times New Roman"/>
          <w:szCs w:val="21"/>
          <w:vertAlign w:val="subscript"/>
        </w:rPr>
        <w:t>I</w:t>
      </w:r>
      <w:r>
        <w:rPr>
          <w:rFonts w:ascii="宋体" w:hAnsi="宋体" w:eastAsia="宋体" w:cs="Times New Roman"/>
          <w:szCs w:val="21"/>
        </w:rPr>
        <w:t>’&gt;G</w:t>
      </w:r>
      <w:r>
        <w:rPr>
          <w:rFonts w:ascii="宋体" w:hAnsi="宋体" w:eastAsia="宋体" w:cs="Times New Roman"/>
          <w:szCs w:val="21"/>
          <w:vertAlign w:val="subscript"/>
        </w:rPr>
        <w:t>I</w:t>
      </w:r>
      <w:r>
        <w:rPr>
          <w:rFonts w:ascii="宋体" w:hAnsi="宋体" w:eastAsia="宋体" w:cs="Times New Roman"/>
          <w:szCs w:val="21"/>
          <w:vertAlign w:val="superscript"/>
        </w:rPr>
        <w:t>*</w:t>
      </w:r>
      <w:r>
        <w:rPr>
          <w:rFonts w:ascii="宋体" w:hAnsi="宋体" w:eastAsia="宋体" w:cs="Times New Roman"/>
          <w:szCs w:val="21"/>
        </w:rPr>
        <w:t>。</w:t>
      </w:r>
    </w:p>
    <w:p w14:paraId="298DFF0C">
      <w:pPr>
        <w:ind w:firstLine="440" w:firstLineChars="200"/>
        <w:rPr>
          <w:rFonts w:ascii="宋体" w:hAnsi="宋体" w:eastAsia="宋体" w:cs="Times New Roman"/>
          <w:szCs w:val="21"/>
        </w:rPr>
      </w:pPr>
      <w:r>
        <w:rPr>
          <w:rFonts w:ascii="宋体" w:hAnsi="宋体" w:eastAsia="宋体" w:cs="Times New Roman"/>
          <w:szCs w:val="21"/>
        </w:rPr>
        <w:drawing>
          <wp:inline distT="0" distB="0" distL="114300" distR="114300">
            <wp:extent cx="5273675" cy="3244850"/>
            <wp:effectExtent l="0" t="0" r="9525" b="6350"/>
            <wp:docPr id="25"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3"/>
                    <pic:cNvPicPr>
                      <a:picLocks noChangeAspect="1"/>
                    </pic:cNvPicPr>
                  </pic:nvPicPr>
                  <pic:blipFill>
                    <a:blip r:embed="rId97"/>
                    <a:stretch>
                      <a:fillRect/>
                    </a:stretch>
                  </pic:blipFill>
                  <pic:spPr>
                    <a:xfrm>
                      <a:off x="0" y="0"/>
                      <a:ext cx="5273675" cy="3244850"/>
                    </a:xfrm>
                    <a:prstGeom prst="rect">
                      <a:avLst/>
                    </a:prstGeom>
                    <a:noFill/>
                    <a:ln>
                      <a:noFill/>
                    </a:ln>
                  </pic:spPr>
                </pic:pic>
              </a:graphicData>
            </a:graphic>
          </wp:inline>
        </w:drawing>
      </w:r>
    </w:p>
    <w:p w14:paraId="2752C92E">
      <w:pPr>
        <w:ind w:firstLine="440" w:firstLineChars="200"/>
        <w:rPr>
          <w:rFonts w:ascii="宋体" w:hAnsi="宋体" w:eastAsia="宋体" w:cs="Times New Roman"/>
          <w:szCs w:val="21"/>
        </w:rPr>
      </w:pPr>
    </w:p>
    <w:p w14:paraId="7C01240A">
      <w:pPr>
        <w:spacing w:line="400" w:lineRule="exact"/>
        <w:ind w:firstLine="440" w:firstLineChars="200"/>
        <w:rPr>
          <w:rFonts w:ascii="宋体" w:hAnsi="宋体" w:eastAsia="宋体" w:cs="Times New Roman"/>
          <w:szCs w:val="21"/>
        </w:rPr>
      </w:pPr>
      <w:r>
        <w:rPr>
          <w:rFonts w:ascii="宋体" w:hAnsi="宋体" w:eastAsia="宋体" w:cs="Times New Roman"/>
          <w:szCs w:val="21"/>
        </w:rPr>
        <w:t>不难发现,追诉时效制度对于社会公众预防决策的影响是：由于犯罪可能性的增加（在社会生活中可以反映为犯罪率的上升），社会公众不得不投入更多的成本用于预防可能遭到的犯罪损失。</w:t>
      </w:r>
    </w:p>
    <w:p w14:paraId="798500F8">
      <w:pPr>
        <w:spacing w:line="400" w:lineRule="exact"/>
        <w:ind w:firstLine="440" w:firstLineChars="200"/>
        <w:rPr>
          <w:rFonts w:ascii="宋体" w:hAnsi="宋体" w:eastAsia="宋体" w:cs="Times New Roman"/>
          <w:szCs w:val="21"/>
        </w:rPr>
      </w:pPr>
      <w:r>
        <w:rPr>
          <w:rFonts w:ascii="宋体" w:hAnsi="宋体" w:eastAsia="宋体" w:cs="Times New Roman"/>
          <w:szCs w:val="21"/>
        </w:rPr>
        <w:t>4.司法资源投入决策分析</w:t>
      </w:r>
    </w:p>
    <w:p w14:paraId="62B9E02D">
      <w:pPr>
        <w:spacing w:line="400" w:lineRule="exact"/>
        <w:ind w:firstLine="440" w:firstLineChars="200"/>
        <w:rPr>
          <w:rFonts w:ascii="宋体" w:hAnsi="宋体" w:eastAsia="宋体" w:cs="Times New Roman"/>
          <w:szCs w:val="21"/>
        </w:rPr>
      </w:pPr>
      <w:r>
        <w:rPr>
          <w:rFonts w:ascii="宋体" w:hAnsi="宋体" w:eastAsia="宋体" w:cs="Times New Roman"/>
          <w:szCs w:val="21"/>
        </w:rPr>
        <w:t>国家的司法机构通过施加刑罚或可能施加刑罚来预防和惩治犯罪。在分析刑罚的效率问题之前,有必要先解释刑罚的含义。刑罚应该是一种包含以下五项因素的惩罚机制：刑罚必须包含痛苦或通常被认为不快的其他后果;刑罚必须适用于违法行为；刑罚必须是违法者实施违法行为的后果;刑罚必须是有意施加的;刑罚必须由法律制度确定的权威机构施加和执行</w:t>
      </w:r>
      <w:r>
        <w:rPr>
          <w:rStyle w:val="20"/>
          <w:rFonts w:ascii="宋体" w:hAnsi="宋体" w:eastAsia="宋体" w:cs="Times New Roman"/>
          <w:szCs w:val="21"/>
        </w:rPr>
        <w:footnoteReference w:id="139"/>
      </w:r>
      <w:r>
        <w:rPr>
          <w:rFonts w:ascii="宋体" w:hAnsi="宋体" w:eastAsia="宋体" w:cs="Times New Roman"/>
          <w:szCs w:val="21"/>
        </w:rPr>
        <w:t>。刑法蕴涵的刑罚机制在其作用过程中将耗费大量司法资源，而一国司法机构掌握的司法资源总是有限的，经济学所说的资源稀缺问题同样存在，所以，司法机构必须从刑罚成本和刑罚收益两方面入手加以权衡，实现有限的司法资源的最有效配置。</w:t>
      </w:r>
    </w:p>
    <w:p w14:paraId="630E737A">
      <w:pPr>
        <w:spacing w:line="400" w:lineRule="exact"/>
        <w:ind w:firstLine="440" w:firstLineChars="200"/>
        <w:rPr>
          <w:rFonts w:ascii="宋体" w:hAnsi="宋体" w:eastAsia="宋体" w:cs="Times New Roman"/>
          <w:szCs w:val="21"/>
        </w:rPr>
      </w:pPr>
      <w:r>
        <w:rPr>
          <w:rFonts w:ascii="宋体" w:hAnsi="宋体" w:eastAsia="宋体" w:cs="Times New Roman"/>
          <w:szCs w:val="21"/>
        </w:rPr>
        <w:t>按照波斯纳的观点，诉讼制度存在两类成本:诉讼制度的运行成本和错误的司法判决的成本</w:t>
      </w:r>
      <w:r>
        <w:rPr>
          <w:rStyle w:val="20"/>
          <w:rFonts w:ascii="宋体" w:hAnsi="宋体" w:eastAsia="宋体" w:cs="Times New Roman"/>
          <w:szCs w:val="21"/>
        </w:rPr>
        <w:footnoteReference w:id="140"/>
      </w:r>
      <w:r>
        <w:rPr>
          <w:rFonts w:ascii="宋体" w:hAnsi="宋体" w:eastAsia="宋体" w:cs="Times New Roman"/>
          <w:szCs w:val="21"/>
        </w:rPr>
        <w:t>。本文也据此将刑罚机制的成本分为直接成本和错误成本。</w:t>
      </w:r>
    </w:p>
    <w:p w14:paraId="6DAAD322">
      <w:pPr>
        <w:spacing w:line="400" w:lineRule="exact"/>
        <w:ind w:firstLine="440" w:firstLineChars="200"/>
        <w:rPr>
          <w:rFonts w:ascii="宋体" w:hAnsi="宋体" w:eastAsia="宋体" w:cs="Times New Roman"/>
          <w:szCs w:val="21"/>
        </w:rPr>
      </w:pPr>
      <w:r>
        <w:rPr>
          <w:rFonts w:ascii="宋体" w:hAnsi="宋体" w:eastAsia="宋体" w:cs="Times New Roman"/>
          <w:szCs w:val="21"/>
        </w:rPr>
        <w:t>刑罚的直接成本源于刑事侦查、审查起诉、定罪量刑、执行刑罚等各个环节。如果撇开直接成本在以上各环节中投入的具体形态，单纯按照直接成本的目的划分，直接成本其实只用于刑罚的严厉性和刑罚的确定性，所有直接成本或者消耗于刑罚的严厉性（用于监狱等刑罚执行机构以便实行更为严厉的惩罚）或者消耗于刑罚的确定性（投入刑事警察、检察官、法官系统力求实现所有犯罪都能得到惩罚）。其中，前者所占的份额不容忽视。据统计，我国为执行刑罚对在押人犯的改造投资每年人均2000-3000元，远远高于国家对中小学的人均投资</w:t>
      </w:r>
      <w:r>
        <w:rPr>
          <w:rStyle w:val="20"/>
          <w:rFonts w:ascii="宋体" w:hAnsi="宋体" w:eastAsia="宋体" w:cs="Times New Roman"/>
          <w:szCs w:val="21"/>
        </w:rPr>
        <w:footnoteReference w:id="141"/>
      </w:r>
      <w:r>
        <w:rPr>
          <w:rFonts w:ascii="宋体" w:hAnsi="宋体" w:eastAsia="宋体" w:cs="Times New Roman"/>
          <w:szCs w:val="21"/>
        </w:rPr>
        <w:t>，而美国每年仅仅用于缓刑考验、假释和教化方面的开支就多达10亿美元</w:t>
      </w:r>
      <w:r>
        <w:rPr>
          <w:rStyle w:val="20"/>
          <w:rFonts w:ascii="宋体" w:hAnsi="宋体" w:eastAsia="宋体" w:cs="Times New Roman"/>
          <w:szCs w:val="21"/>
        </w:rPr>
        <w:footnoteReference w:id="142"/>
      </w:r>
      <w:r>
        <w:rPr>
          <w:rFonts w:ascii="宋体" w:hAnsi="宋体" w:eastAsia="宋体" w:cs="Times New Roman"/>
          <w:szCs w:val="21"/>
        </w:rPr>
        <w:t>。限于资源约束，司法机构只能在提高刑罚的严厉性和刑罚的确定性之间选择一种组合方式，正如边沁所说“刑罚的确定性越小、其严厉性就应该越大……刑罚越确定，所需严厉性越小”</w:t>
      </w:r>
      <w:r>
        <w:rPr>
          <w:rStyle w:val="20"/>
          <w:rFonts w:ascii="宋体" w:hAnsi="宋体" w:eastAsia="宋体" w:cs="Times New Roman"/>
          <w:szCs w:val="21"/>
        </w:rPr>
        <w:footnoteReference w:id="143"/>
      </w:r>
      <w:r>
        <w:rPr>
          <w:rFonts w:ascii="宋体" w:hAnsi="宋体" w:eastAsia="宋体" w:cs="Times New Roman"/>
          <w:szCs w:val="21"/>
        </w:rPr>
        <w:t>。反映在图5中，资源约束线R1、R2分别表示在不同资源约束条件下刑罚严厉性和刑罚确定性的组合,R2代表更高的司法资源投入水平,（X1,Y1）和（X2，Y2）表示在相同的司法资源投入水平下（低严厉性，高确定性）和（高严厉性，低确定性）两种不同组合。设置追诉时效制度以后刑罚的确定性降低，用于对追诉时效以外的犯罪人定罪量刑的司法资源得以节省。在司法资源投入水平不变的情况下，提高刑罚严厉性的直接成本获得增加，直观地描述，就是可以有更多的资源投入监狱等执行机构以便接纳刑期更长的犯罪人，以上过程在图5中可以表现为点（X1,Y1）向点（X2,Y2）的移动。</w:t>
      </w:r>
    </w:p>
    <w:p w14:paraId="530160B2">
      <w:pPr>
        <w:ind w:firstLine="440" w:firstLineChars="200"/>
        <w:rPr>
          <w:rFonts w:ascii="宋体" w:hAnsi="宋体" w:eastAsia="宋体" w:cs="Times New Roman"/>
          <w:szCs w:val="21"/>
        </w:rPr>
      </w:pPr>
      <w:r>
        <w:rPr>
          <w:rFonts w:ascii="宋体" w:hAnsi="宋体" w:eastAsia="宋体" w:cs="Times New Roman"/>
          <w:szCs w:val="21"/>
        </w:rPr>
        <w:drawing>
          <wp:inline distT="0" distB="0" distL="114300" distR="114300">
            <wp:extent cx="5271135" cy="3917950"/>
            <wp:effectExtent l="0" t="0" r="12065" b="19050"/>
            <wp:docPr id="26"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4"/>
                    <pic:cNvPicPr>
                      <a:picLocks noChangeAspect="1"/>
                    </pic:cNvPicPr>
                  </pic:nvPicPr>
                  <pic:blipFill>
                    <a:blip r:embed="rId98"/>
                    <a:stretch>
                      <a:fillRect/>
                    </a:stretch>
                  </pic:blipFill>
                  <pic:spPr>
                    <a:xfrm>
                      <a:off x="0" y="0"/>
                      <a:ext cx="5271135" cy="3917950"/>
                    </a:xfrm>
                    <a:prstGeom prst="rect">
                      <a:avLst/>
                    </a:prstGeom>
                    <a:noFill/>
                    <a:ln>
                      <a:noFill/>
                    </a:ln>
                  </pic:spPr>
                </pic:pic>
              </a:graphicData>
            </a:graphic>
          </wp:inline>
        </w:drawing>
      </w:r>
    </w:p>
    <w:p w14:paraId="19C3FAB5">
      <w:pPr>
        <w:spacing w:line="400" w:lineRule="exact"/>
        <w:ind w:firstLine="440" w:firstLineChars="200"/>
        <w:rPr>
          <w:rFonts w:ascii="宋体" w:hAnsi="宋体" w:eastAsia="宋体" w:cs="Times New Roman"/>
          <w:szCs w:val="21"/>
        </w:rPr>
      </w:pPr>
      <w:r>
        <w:rPr>
          <w:rFonts w:ascii="宋体" w:hAnsi="宋体" w:eastAsia="宋体" w:cs="Times New Roman"/>
          <w:szCs w:val="21"/>
        </w:rPr>
        <w:t>对于错误成本，如前文所述，贝勒斯认为，刑事诉讼中让无罪者遭受刑罚比让有罪者逃避刑罚危害更严重、错误成本更高,追诉时效制度是避免出现无罪者遭受刑罚的有效途径之一,可以减少错误成本的支出。但是，西方经济学分析法学对于错误成本的分析完全是一种纯理性的思考，错误成本不能直观衡量，贝勒斯在“让无罪者遭受刑罚”和“让有罪者逃避刑罚”之间“两害相权取其轻”,本身就是难以取得实践依据的判断，至于追诉时效制度到底可以减少多少错误成本的问题根本无法得到答案；贝勒斯也承认”偶尔惩罚无辜者的刑法制度将增进安全，因为错误在所难免，确保不惩罚无辜者的惟一方法是不惩罚任何人”</w:t>
      </w:r>
      <w:r>
        <w:rPr>
          <w:rStyle w:val="20"/>
          <w:rFonts w:ascii="宋体" w:hAnsi="宋体" w:eastAsia="宋体" w:cs="Times New Roman"/>
          <w:szCs w:val="21"/>
        </w:rPr>
        <w:footnoteReference w:id="144"/>
      </w:r>
      <w:r>
        <w:rPr>
          <w:rFonts w:ascii="宋体" w:hAnsi="宋体" w:eastAsia="宋体" w:cs="Times New Roman"/>
          <w:szCs w:val="21"/>
        </w:rPr>
        <w:t>,这显然又是不可能的，所以，本文的分析只能暂时排除错误成本的因素。</w:t>
      </w:r>
    </w:p>
    <w:p w14:paraId="5707F8D3">
      <w:pPr>
        <w:spacing w:line="400" w:lineRule="exact"/>
        <w:ind w:firstLine="440" w:firstLineChars="200"/>
        <w:rPr>
          <w:rFonts w:ascii="宋体" w:hAnsi="宋体" w:eastAsia="宋体" w:cs="Times New Roman"/>
          <w:szCs w:val="21"/>
        </w:rPr>
      </w:pPr>
      <w:r>
        <w:rPr>
          <w:rFonts w:ascii="宋体" w:hAnsi="宋体" w:eastAsia="宋体" w:cs="Times New Roman"/>
          <w:szCs w:val="21"/>
        </w:rPr>
        <w:t>刑罚收益是, “适用刑罚对于刑罚目的实现所产生的客观结果”</w:t>
      </w:r>
      <w:r>
        <w:rPr>
          <w:rStyle w:val="20"/>
          <w:rFonts w:ascii="宋体" w:hAnsi="宋体" w:eastAsia="宋体" w:cs="Times New Roman"/>
          <w:szCs w:val="21"/>
        </w:rPr>
        <w:footnoteReference w:id="145"/>
      </w:r>
      <w:r>
        <w:rPr>
          <w:rFonts w:ascii="宋体" w:hAnsi="宋体" w:eastAsia="宋体" w:cs="Times New Roman"/>
          <w:szCs w:val="21"/>
        </w:rPr>
        <w:t>,讨论刑罚的收益，无疑将牵涉到刑罚目的这一刑罚理论的重要问题。刑罚目的问题上，长期存在报应刑论与预防刑论之争</w:t>
      </w:r>
      <w:r>
        <w:rPr>
          <w:rStyle w:val="20"/>
          <w:rFonts w:ascii="宋体" w:hAnsi="宋体" w:eastAsia="宋体" w:cs="Times New Roman"/>
          <w:szCs w:val="21"/>
        </w:rPr>
        <w:footnoteReference w:id="146"/>
      </w:r>
      <w:r>
        <w:rPr>
          <w:rFonts w:ascii="宋体" w:hAnsi="宋体" w:eastAsia="宋体" w:cs="Times New Roman"/>
          <w:szCs w:val="21"/>
        </w:rPr>
        <w:t>,从经济学的立场来看，通过“报应犯罪行为的害恶，给犯罪人以惩罚，以其痛苦来均衡犯罪人的罪责，从而实现正义的理念”</w:t>
      </w:r>
      <w:r>
        <w:rPr>
          <w:rStyle w:val="20"/>
          <w:rFonts w:ascii="宋体" w:hAnsi="宋体" w:eastAsia="宋体" w:cs="Times New Roman"/>
          <w:szCs w:val="21"/>
        </w:rPr>
        <w:footnoteReference w:id="147"/>
      </w:r>
      <w:r>
        <w:rPr>
          <w:rFonts w:ascii="宋体" w:hAnsi="宋体" w:eastAsia="宋体" w:cs="Times New Roman"/>
          <w:szCs w:val="21"/>
        </w:rPr>
        <w:t>的报应刑论，更为关注对刑罚的道义解释和法理解释，无助于阐明对社会资源配置的影响，因而我们的立论更倾向于预防刑论。正如贝卡里亚所说的, “刑罚的目的仅仅在于：阻止罪犯再重新侵害公民，并规诫其他人不要重蹈覆辙”</w:t>
      </w:r>
      <w:r>
        <w:rPr>
          <w:rStyle w:val="20"/>
          <w:rFonts w:ascii="宋体" w:hAnsi="宋体" w:eastAsia="宋体" w:cs="Times New Roman"/>
          <w:szCs w:val="21"/>
        </w:rPr>
        <w:footnoteReference w:id="148"/>
      </w:r>
      <w:r>
        <w:rPr>
          <w:rFonts w:ascii="宋体" w:hAnsi="宋体" w:eastAsia="宋体" w:cs="Times New Roman"/>
          <w:szCs w:val="21"/>
        </w:rPr>
        <w:t>,“预防犯罪比惩罚犯罪更高明，这乃是一切优秀立法的主要目的，从全面计量生活的幸福和灾难来讲，立法是一门艺术，它引导人们去享受最大程度的幸福，或者说最大限度地减少人们可能遭遇的不幸”</w:t>
      </w:r>
      <w:r>
        <w:rPr>
          <w:rStyle w:val="20"/>
          <w:rFonts w:ascii="宋体" w:hAnsi="宋体" w:eastAsia="宋体" w:cs="Times New Roman"/>
          <w:szCs w:val="21"/>
        </w:rPr>
        <w:footnoteReference w:id="149"/>
      </w:r>
      <w:r>
        <w:rPr>
          <w:rFonts w:ascii="宋体" w:hAnsi="宋体" w:eastAsia="宋体" w:cs="Times New Roman"/>
          <w:szCs w:val="21"/>
        </w:rPr>
        <w:t>。</w:t>
      </w:r>
    </w:p>
    <w:p w14:paraId="7F818D5B">
      <w:pPr>
        <w:spacing w:line="400" w:lineRule="exact"/>
        <w:ind w:firstLine="440" w:firstLineChars="200"/>
        <w:rPr>
          <w:rFonts w:ascii="宋体" w:hAnsi="宋体" w:eastAsia="宋体" w:cs="Times New Roman"/>
          <w:szCs w:val="21"/>
        </w:rPr>
      </w:pPr>
      <w:r>
        <w:rPr>
          <w:rFonts w:ascii="宋体" w:hAnsi="宋体" w:eastAsia="宋体" w:cs="Times New Roman"/>
          <w:szCs w:val="21"/>
        </w:rPr>
        <w:t>如果以预防犯罪作为实施刑罚的主要目的，那么，刑罚收益可以简单地视为犯罪的减少。取得刑罚收益的途径如前文所述，是通过刑罚严厉性和刑罚确定性两大手段。图6</w:t>
      </w:r>
      <w:r>
        <w:rPr>
          <w:rStyle w:val="20"/>
          <w:rFonts w:ascii="宋体" w:hAnsi="宋体" w:eastAsia="宋体" w:cs="Times New Roman"/>
          <w:szCs w:val="21"/>
        </w:rPr>
        <w:footnoteReference w:id="150"/>
      </w:r>
      <w:r>
        <w:rPr>
          <w:rFonts w:ascii="宋体" w:hAnsi="宋体" w:eastAsia="宋体" w:cs="Times New Roman"/>
          <w:szCs w:val="21"/>
        </w:rPr>
        <w:t>中的等收益线表示刑罚收益保持不变时，刑罚严厉性和刑罚确定性的组合,E1上任何一点的位置移动只是表明刑罚确定性的减少（或增加）被刑罚严厉性的增加（或减少）所替代，而E2代表了比E1更高的刑罚收益水平,耳线上刑罚严厉性与刑罚确定性的组合所减少的犯罪数量多于E1。</w:t>
      </w:r>
    </w:p>
    <w:p w14:paraId="596E970D">
      <w:pPr>
        <w:ind w:firstLine="440" w:firstLineChars="200"/>
        <w:rPr>
          <w:rFonts w:ascii="宋体" w:hAnsi="宋体" w:eastAsia="宋体" w:cs="Times New Roman"/>
          <w:szCs w:val="21"/>
        </w:rPr>
      </w:pPr>
      <w:r>
        <w:rPr>
          <w:rFonts w:ascii="宋体" w:hAnsi="宋体" w:eastAsia="宋体" w:cs="Times New Roman"/>
          <w:szCs w:val="21"/>
        </w:rPr>
        <w:drawing>
          <wp:inline distT="0" distB="0" distL="114300" distR="114300">
            <wp:extent cx="5271770" cy="4163060"/>
            <wp:effectExtent l="0" t="0" r="11430" b="2540"/>
            <wp:docPr id="2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5"/>
                    <pic:cNvPicPr>
                      <a:picLocks noChangeAspect="1"/>
                    </pic:cNvPicPr>
                  </pic:nvPicPr>
                  <pic:blipFill>
                    <a:blip r:embed="rId99"/>
                    <a:stretch>
                      <a:fillRect/>
                    </a:stretch>
                  </pic:blipFill>
                  <pic:spPr>
                    <a:xfrm>
                      <a:off x="0" y="0"/>
                      <a:ext cx="5271770" cy="4163060"/>
                    </a:xfrm>
                    <a:prstGeom prst="rect">
                      <a:avLst/>
                    </a:prstGeom>
                    <a:noFill/>
                    <a:ln>
                      <a:noFill/>
                    </a:ln>
                  </pic:spPr>
                </pic:pic>
              </a:graphicData>
            </a:graphic>
          </wp:inline>
        </w:drawing>
      </w:r>
    </w:p>
    <w:p w14:paraId="269DF338">
      <w:pPr>
        <w:spacing w:line="400" w:lineRule="exact"/>
        <w:ind w:firstLine="440" w:firstLineChars="200"/>
        <w:rPr>
          <w:rFonts w:ascii="宋体" w:hAnsi="宋体" w:eastAsia="宋体" w:cs="Times New Roman"/>
          <w:szCs w:val="21"/>
        </w:rPr>
      </w:pPr>
      <w:r>
        <w:rPr>
          <w:rFonts w:ascii="宋体" w:hAnsi="宋体" w:eastAsia="宋体" w:cs="Times New Roman"/>
          <w:szCs w:val="21"/>
        </w:rPr>
        <w:t>明确了刑罚成本和刑罚收益，就不难判断司法机构在司法资源约束下实现资源有效配置的机制。合并图6和图5如图7所示，在现有司法资源投入水平R</w:t>
      </w:r>
      <w:r>
        <w:rPr>
          <w:rFonts w:ascii="宋体" w:hAnsi="宋体" w:eastAsia="宋体" w:cs="Times New Roman"/>
          <w:szCs w:val="21"/>
          <w:vertAlign w:val="subscript"/>
        </w:rPr>
        <w:t>0</w:t>
      </w:r>
      <w:r>
        <w:rPr>
          <w:rFonts w:ascii="宋体" w:hAnsi="宋体" w:eastAsia="宋体" w:cs="Times New Roman"/>
          <w:szCs w:val="21"/>
        </w:rPr>
        <w:t>下，切点处刑罚严厉性和刑罚确定性的组合（X</w:t>
      </w:r>
      <w:r>
        <w:rPr>
          <w:rFonts w:ascii="宋体" w:hAnsi="宋体" w:eastAsia="宋体" w:cs="Times New Roman"/>
          <w:szCs w:val="21"/>
          <w:vertAlign w:val="superscript"/>
        </w:rPr>
        <w:t>*</w:t>
      </w:r>
      <w:r>
        <w:rPr>
          <w:rFonts w:ascii="宋体" w:hAnsi="宋体" w:eastAsia="宋体" w:cs="Times New Roman"/>
          <w:szCs w:val="21"/>
        </w:rPr>
        <w:t>,Y</w:t>
      </w:r>
      <w:r>
        <w:rPr>
          <w:rFonts w:ascii="宋体" w:hAnsi="宋体" w:eastAsia="宋体" w:cs="Times New Roman"/>
          <w:szCs w:val="21"/>
          <w:vertAlign w:val="superscript"/>
        </w:rPr>
        <w:t>*</w:t>
      </w:r>
      <w:r>
        <w:rPr>
          <w:rFonts w:ascii="宋体" w:hAnsi="宋体" w:eastAsia="宋体" w:cs="Times New Roman"/>
          <w:szCs w:val="21"/>
        </w:rPr>
        <w:t>）无疑是最优的资源配置方式，等收益线E</w:t>
      </w:r>
      <w:r>
        <w:rPr>
          <w:rFonts w:ascii="宋体" w:hAnsi="宋体" w:eastAsia="宋体" w:cs="Times New Roman"/>
          <w:szCs w:val="21"/>
          <w:vertAlign w:val="subscript"/>
        </w:rPr>
        <w:t>0</w:t>
      </w:r>
      <w:r>
        <w:rPr>
          <w:rFonts w:ascii="宋体" w:hAnsi="宋体" w:eastAsia="宋体" w:cs="Times New Roman"/>
          <w:szCs w:val="21"/>
        </w:rPr>
        <w:t>上的其他点如（X1,Y1）虽然可以取得同样的刑罚收益,但是却需要更高的资源水平R1。如前文所述，设置追诉时效使得刑罚严厉性和确定性的组合由（X</w:t>
      </w:r>
      <w:r>
        <w:rPr>
          <w:rFonts w:ascii="宋体" w:hAnsi="宋体" w:eastAsia="宋体" w:cs="Times New Roman"/>
          <w:szCs w:val="21"/>
          <w:vertAlign w:val="superscript"/>
        </w:rPr>
        <w:t>*</w:t>
      </w:r>
      <w:r>
        <w:rPr>
          <w:rFonts w:ascii="宋体" w:hAnsi="宋体" w:eastAsia="宋体" w:cs="Times New Roman"/>
          <w:szCs w:val="21"/>
        </w:rPr>
        <w:t>,Y</w:t>
      </w:r>
      <w:r>
        <w:rPr>
          <w:rFonts w:ascii="宋体" w:hAnsi="宋体" w:eastAsia="宋体" w:cs="Times New Roman"/>
          <w:szCs w:val="21"/>
          <w:vertAlign w:val="superscript"/>
        </w:rPr>
        <w:t>*</w:t>
      </w:r>
      <w:r>
        <w:rPr>
          <w:rFonts w:ascii="宋体" w:hAnsi="宋体" w:eastAsia="宋体" w:cs="Times New Roman"/>
          <w:szCs w:val="21"/>
        </w:rPr>
        <w:t>）沿资源约束线R向（X2,Y2）移动，虽然X</w:t>
      </w:r>
      <w:r>
        <w:rPr>
          <w:rFonts w:ascii="宋体" w:hAnsi="宋体" w:eastAsia="宋体" w:cs="Times New Roman"/>
          <w:szCs w:val="21"/>
          <w:vertAlign w:val="superscript"/>
        </w:rPr>
        <w:t>*</w:t>
      </w:r>
      <w:r>
        <w:rPr>
          <w:rFonts w:ascii="宋体" w:hAnsi="宋体" w:eastAsia="宋体" w:cs="Times New Roman"/>
          <w:szCs w:val="21"/>
        </w:rPr>
        <w:t>,Y</w:t>
      </w:r>
      <w:r>
        <w:rPr>
          <w:rFonts w:ascii="宋体" w:hAnsi="宋体" w:eastAsia="宋体" w:cs="Times New Roman"/>
          <w:szCs w:val="21"/>
          <w:vertAlign w:val="superscript"/>
        </w:rPr>
        <w:t>*</w:t>
      </w:r>
      <w:r>
        <w:rPr>
          <w:rFonts w:ascii="宋体" w:hAnsi="宋体" w:eastAsia="宋体" w:cs="Times New Roman"/>
          <w:szCs w:val="21"/>
        </w:rPr>
        <w:t>所需的资源投入水平不变，但是（X2,Y2）位于等收益线E1上，收益水平低于（X</w:t>
      </w:r>
      <w:r>
        <w:rPr>
          <w:rFonts w:ascii="宋体" w:hAnsi="宋体" w:eastAsia="宋体" w:cs="Times New Roman"/>
          <w:szCs w:val="21"/>
          <w:vertAlign w:val="superscript"/>
        </w:rPr>
        <w:t>*</w:t>
      </w:r>
      <w:r>
        <w:rPr>
          <w:rFonts w:ascii="宋体" w:hAnsi="宋体" w:eastAsia="宋体" w:cs="Times New Roman"/>
          <w:szCs w:val="21"/>
        </w:rPr>
        <w:t>,Y</w:t>
      </w:r>
      <w:r>
        <w:rPr>
          <w:rFonts w:ascii="宋体" w:hAnsi="宋体" w:eastAsia="宋体" w:cs="Times New Roman"/>
          <w:szCs w:val="21"/>
          <w:vertAlign w:val="superscript"/>
        </w:rPr>
        <w:t>*</w:t>
      </w:r>
      <w:r>
        <w:rPr>
          <w:rFonts w:ascii="宋体" w:hAnsi="宋体" w:eastAsia="宋体" w:cs="Times New Roman"/>
          <w:szCs w:val="21"/>
        </w:rPr>
        <w:t>），因此，追诉时效制度降低了司法资源配置的效率。</w:t>
      </w:r>
    </w:p>
    <w:p w14:paraId="1EFC276A">
      <w:pPr>
        <w:spacing w:line="400" w:lineRule="exact"/>
        <w:ind w:firstLine="440" w:firstLineChars="200"/>
        <w:rPr>
          <w:rFonts w:ascii="宋体" w:hAnsi="宋体" w:eastAsia="宋体" w:cs="Times New Roman"/>
          <w:szCs w:val="21"/>
        </w:rPr>
      </w:pPr>
      <w:r>
        <w:rPr>
          <w:rFonts w:ascii="宋体" w:hAnsi="宋体" w:eastAsia="宋体" w:cs="Times New Roman"/>
          <w:szCs w:val="21"/>
        </w:rPr>
        <w:t>在上述分析中隐含了伴随刑罚确定性的降低、刑罚严厉性可以无限提高这样一个假定，这个假定在司法实践中也是不现实的，刑罚严厉性本身存在一个上限。首先，过于严厉的刑罚将使人们“在犯罪活动的边缘时摒弃社会所需要的行为”</w:t>
      </w:r>
      <w:r>
        <w:rPr>
          <w:rStyle w:val="20"/>
          <w:rFonts w:ascii="宋体" w:hAnsi="宋体" w:eastAsia="宋体" w:cs="Times New Roman"/>
          <w:szCs w:val="21"/>
        </w:rPr>
        <w:footnoteReference w:id="151"/>
      </w:r>
      <w:r>
        <w:rPr>
          <w:rFonts w:ascii="宋体" w:hAnsi="宋体" w:eastAsia="宋体" w:cs="Times New Roman"/>
          <w:szCs w:val="21"/>
        </w:rPr>
        <w:t>，或者说“矫枉过正”:假设超速驾车的相应刑罚是死刑，可能绝大多数人会把汽车开得极慢甚至不驾车，以避免巨大的意外违法或错误定罪的风险。其次,过严的刑罚可能促使犯罪人采取更为严重的犯罪行为。比如，盗窃将受到与谋杀同样的惩罚，那么小偷会毫不犹豫地杀死所有证人;又如，未遂和既遂的惩罚相同，那么，开枪未击中受害人的罪犯，还是尽量将受害人打死为好，因为即使受害人死亡，犯罪人也不会受到比未遂更重的刑罚。另外,刑罚严厉性实际效果还需一定的配套条件，单纯依靠过分严厉的刑罚，未必对抑制犯罪真正有效</w:t>
      </w:r>
      <w:r>
        <w:rPr>
          <w:rStyle w:val="20"/>
          <w:rFonts w:ascii="宋体" w:hAnsi="宋体" w:eastAsia="宋体" w:cs="Times New Roman"/>
          <w:szCs w:val="21"/>
        </w:rPr>
        <w:footnoteReference w:id="152"/>
      </w:r>
      <w:r>
        <w:rPr>
          <w:rFonts w:ascii="宋体" w:hAnsi="宋体" w:eastAsia="宋体" w:cs="Times New Roman"/>
          <w:szCs w:val="21"/>
        </w:rPr>
        <w:t>。</w:t>
      </w:r>
    </w:p>
    <w:p w14:paraId="03143FBF">
      <w:pPr>
        <w:spacing w:line="400" w:lineRule="exact"/>
        <w:ind w:firstLine="440" w:firstLineChars="200"/>
        <w:rPr>
          <w:rFonts w:ascii="宋体" w:hAnsi="宋体" w:eastAsia="宋体" w:cs="Times New Roman"/>
          <w:szCs w:val="21"/>
        </w:rPr>
      </w:pPr>
      <w:r>
        <w:rPr>
          <w:rFonts w:ascii="宋体" w:hAnsi="宋体" w:eastAsia="宋体" w:cs="Times New Roman"/>
          <w:szCs w:val="21"/>
        </w:rPr>
        <w:t>（四）结论</w:t>
      </w:r>
    </w:p>
    <w:p w14:paraId="38DEFFDD">
      <w:pPr>
        <w:spacing w:line="400" w:lineRule="exact"/>
        <w:ind w:firstLine="440" w:firstLineChars="200"/>
        <w:rPr>
          <w:rFonts w:ascii="宋体" w:hAnsi="宋体" w:eastAsia="宋体" w:cs="Times New Roman"/>
          <w:szCs w:val="21"/>
        </w:rPr>
      </w:pPr>
      <w:r>
        <w:rPr>
          <w:rFonts w:ascii="宋体" w:hAnsi="宋体" w:eastAsia="宋体" w:cs="Times New Roman"/>
          <w:szCs w:val="21"/>
        </w:rPr>
        <w:t>通过前文对犯罪人的犯罪决策，社会公众的预防决策和司法机构的司法资源投入决策的分析，可以发现设置追诉时效导致的刑罚确定性的降低会引起三方面的结果:犯罪人的犯罪可能性增加;社会公众投入过多的成本用于预防可能遭到的犯罪损失;有限的司法资源配置效率降低。这三种结果都意味着社会的净损失。</w:t>
      </w:r>
    </w:p>
    <w:p w14:paraId="69267154">
      <w:pPr>
        <w:spacing w:line="400" w:lineRule="exact"/>
        <w:ind w:firstLine="440" w:firstLineChars="200"/>
        <w:rPr>
          <w:rFonts w:ascii="宋体" w:hAnsi="宋体" w:eastAsia="宋体" w:cs="Times New Roman"/>
          <w:szCs w:val="21"/>
        </w:rPr>
      </w:pPr>
      <w:r>
        <w:rPr>
          <w:rFonts w:ascii="宋体" w:hAnsi="宋体" w:eastAsia="宋体" w:cs="Times New Roman"/>
          <w:szCs w:val="21"/>
        </w:rPr>
        <w:t>从实证的角度同样可以得到说明，如《法和经济学》中提到经济学家艾萨克•埃里科用1940年、1950年、1960年美国抢劫罪的数据说明其他变量不变时，抢劫行为定罪概率越高，抢劫发生率越低；阿尔弗雷德•布鲁门斯坦和丹尼尔•纳詹对逃避征兵行为得出与艾萨克•埃里科类似的结论；肯尼恩•沃尔宾研究了1894-1967年英格兰和威尔士的时间数列资料发现，犯罪率是刑罚概率与严厉程度的反比函数。</w:t>
      </w:r>
    </w:p>
    <w:p w14:paraId="0E94674A">
      <w:pPr>
        <w:spacing w:line="400" w:lineRule="exact"/>
        <w:ind w:firstLine="440" w:firstLineChars="200"/>
        <w:rPr>
          <w:rFonts w:ascii="宋体" w:hAnsi="宋体" w:eastAsia="宋体" w:cs="Times New Roman"/>
          <w:szCs w:val="21"/>
        </w:rPr>
      </w:pPr>
      <w:r>
        <w:rPr>
          <w:rFonts w:ascii="宋体" w:hAnsi="宋体" w:eastAsia="宋体" w:cs="Times New Roman"/>
          <w:szCs w:val="21"/>
        </w:rPr>
        <w:t>“刑罚的防范作用，决不在于刑罚的残酷，而在于有罪必究。重要的不是对犯罪行为处以重刑，而是要把每一桩罪行都揭发出来”</w:t>
      </w:r>
      <w:r>
        <w:rPr>
          <w:rStyle w:val="20"/>
          <w:rFonts w:ascii="宋体" w:hAnsi="宋体" w:eastAsia="宋体" w:cs="Times New Roman"/>
          <w:szCs w:val="21"/>
        </w:rPr>
        <w:footnoteReference w:id="153"/>
      </w:r>
      <w:r>
        <w:rPr>
          <w:rFonts w:ascii="宋体" w:hAnsi="宋体" w:eastAsia="宋体" w:cs="Times New Roman"/>
          <w:szCs w:val="21"/>
        </w:rPr>
        <w:t>，刑罚的确定性是和刑罚的严厉性同等重要的刑罚制裁手段。</w:t>
      </w:r>
    </w:p>
    <w:p w14:paraId="4ED1E354">
      <w:pPr>
        <w:spacing w:line="400" w:lineRule="exact"/>
        <w:ind w:firstLine="440" w:firstLineChars="200"/>
        <w:rPr>
          <w:rFonts w:ascii="宋体" w:hAnsi="宋体" w:eastAsia="宋体" w:cs="Times New Roman"/>
          <w:szCs w:val="21"/>
        </w:rPr>
      </w:pPr>
      <w:r>
        <w:rPr>
          <w:rFonts w:ascii="宋体" w:hAnsi="宋体" w:eastAsia="宋体" w:cs="Times New Roman"/>
          <w:szCs w:val="21"/>
        </w:rPr>
        <w:t>在司法资源有限的现实环境下，刑罚的确定性与严厉性一样，是提高司法资源配置效率、增进社会福利的重要手段，而在实践中出于种种考虑，刑罚确定性的作用往往被忽视，或者为刑罚严厉性的提高所替代，制定追诉时效制度就是一例。也许追诉时效制度在传统法理上有其存在的必要，但以经济学的视角考察，追诉时效制度并不是一种有效率的制度安排。</w:t>
      </w:r>
    </w:p>
    <w:p w14:paraId="31B38BFA">
      <w:pPr>
        <w:spacing w:line="400" w:lineRule="exact"/>
        <w:ind w:firstLine="440" w:firstLineChars="200"/>
        <w:rPr>
          <w:rFonts w:ascii="宋体" w:hAnsi="宋体" w:eastAsia="宋体" w:cs="Times New Roman"/>
          <w:szCs w:val="21"/>
        </w:rPr>
      </w:pPr>
      <w:r>
        <w:rPr>
          <w:rFonts w:ascii="宋体" w:hAnsi="宋体" w:eastAsia="宋体" w:cs="Times New Roman"/>
          <w:szCs w:val="21"/>
        </w:rPr>
        <w:t>参考文献</w:t>
      </w:r>
    </w:p>
    <w:p w14:paraId="3B224F48">
      <w:pPr>
        <w:spacing w:line="400" w:lineRule="exact"/>
        <w:ind w:firstLine="440" w:firstLineChars="200"/>
        <w:rPr>
          <w:rFonts w:ascii="宋体" w:hAnsi="宋体" w:eastAsia="宋体" w:cs="Times New Roman"/>
          <w:szCs w:val="21"/>
        </w:rPr>
      </w:pPr>
      <w:r>
        <w:rPr>
          <w:rFonts w:ascii="宋体" w:hAnsi="宋体" w:eastAsia="宋体" w:cs="Times New Roman"/>
          <w:szCs w:val="21"/>
        </w:rPr>
        <w:t>[1]程恩富.西方产权理论评析[M].北京：当代中国出版社，1997.</w:t>
      </w:r>
    </w:p>
    <w:p w14:paraId="59FAB437">
      <w:pPr>
        <w:spacing w:line="400" w:lineRule="exact"/>
        <w:ind w:firstLine="440" w:firstLineChars="200"/>
        <w:rPr>
          <w:rFonts w:ascii="宋体" w:hAnsi="宋体" w:eastAsia="宋体" w:cs="Times New Roman"/>
          <w:szCs w:val="21"/>
        </w:rPr>
      </w:pPr>
      <w:r>
        <w:rPr>
          <w:rFonts w:ascii="宋体" w:hAnsi="宋体" w:eastAsia="宋体" w:cs="Times New Roman"/>
          <w:szCs w:val="21"/>
        </w:rPr>
        <w:t>[2]张乃根.经济学分析法学[M].上海:上海三联书店、上海人民出版社,1995.</w:t>
      </w:r>
    </w:p>
    <w:p w14:paraId="4791AB5A">
      <w:pPr>
        <w:spacing w:line="400" w:lineRule="exact"/>
        <w:ind w:firstLine="440" w:firstLineChars="200"/>
        <w:rPr>
          <w:rFonts w:ascii="宋体" w:hAnsi="宋体" w:eastAsia="宋体" w:cs="Times New Roman"/>
          <w:szCs w:val="21"/>
        </w:rPr>
      </w:pPr>
      <w:r>
        <w:rPr>
          <w:rFonts w:ascii="宋体" w:hAnsi="宋体" w:eastAsia="宋体" w:cs="Times New Roman"/>
          <w:szCs w:val="21"/>
        </w:rPr>
        <w:t>[3]（美）博登海默.法理学——法哲学及其方法[M].北京：华夏出版壮,1987.</w:t>
      </w:r>
    </w:p>
    <w:p w14:paraId="184D6933">
      <w:pPr>
        <w:spacing w:line="400" w:lineRule="exact"/>
        <w:ind w:firstLine="440" w:firstLineChars="200"/>
        <w:rPr>
          <w:rFonts w:ascii="宋体" w:hAnsi="宋体" w:eastAsia="宋体" w:cs="Times New Roman"/>
          <w:szCs w:val="21"/>
        </w:rPr>
      </w:pPr>
      <w:r>
        <w:rPr>
          <w:rFonts w:ascii="宋体" w:hAnsi="宋体" w:eastAsia="宋体" w:cs="Times New Roman"/>
          <w:szCs w:val="21"/>
        </w:rPr>
        <w:t>[4]熊秋红.刑事辩护论[M].北京：法律出版社,1998.</w:t>
      </w:r>
    </w:p>
    <w:p w14:paraId="5C36D424">
      <w:pPr>
        <w:spacing w:line="400" w:lineRule="exact"/>
        <w:ind w:firstLine="440" w:firstLineChars="200"/>
        <w:rPr>
          <w:rFonts w:ascii="宋体" w:hAnsi="宋体" w:eastAsia="宋体" w:cs="Times New Roman"/>
          <w:szCs w:val="21"/>
        </w:rPr>
      </w:pPr>
      <w:r>
        <w:rPr>
          <w:rFonts w:ascii="宋体" w:hAnsi="宋体" w:eastAsia="宋体" w:cs="Times New Roman"/>
          <w:szCs w:val="21"/>
        </w:rPr>
        <w:t>[5]宋英辉.刑事诉讼目的论[M].北京：中国人民公安大学，1995.</w:t>
      </w:r>
    </w:p>
    <w:p w14:paraId="4AFB229F">
      <w:pPr>
        <w:spacing w:line="400" w:lineRule="exact"/>
        <w:ind w:firstLine="440" w:firstLineChars="200"/>
        <w:rPr>
          <w:rFonts w:ascii="宋体" w:hAnsi="宋体" w:eastAsia="宋体" w:cs="Times New Roman"/>
          <w:szCs w:val="21"/>
        </w:rPr>
      </w:pPr>
      <w:r>
        <w:rPr>
          <w:rFonts w:ascii="宋体" w:hAnsi="宋体" w:eastAsia="宋体" w:cs="Times New Roman"/>
          <w:szCs w:val="21"/>
        </w:rPr>
        <w:t>[6]（美）华尔兹.刑事证据大全[M].北京：中国人民公安大学,1993.</w:t>
      </w:r>
    </w:p>
    <w:p w14:paraId="3206B5A2">
      <w:pPr>
        <w:spacing w:line="400" w:lineRule="exact"/>
        <w:ind w:firstLine="440" w:firstLineChars="200"/>
        <w:rPr>
          <w:rFonts w:ascii="宋体" w:hAnsi="宋体" w:eastAsia="宋体" w:cs="Times New Roman"/>
          <w:szCs w:val="21"/>
        </w:rPr>
      </w:pPr>
      <w:r>
        <w:rPr>
          <w:rFonts w:ascii="宋体" w:hAnsi="宋体" w:eastAsia="宋体" w:cs="Times New Roman"/>
          <w:szCs w:val="21"/>
        </w:rPr>
        <w:t>[7]（美）波斯纳.法律的经济分析[M].北京：中国大百科全书出版社,1997.</w:t>
      </w:r>
    </w:p>
    <w:p w14:paraId="454C9CE5">
      <w:pPr>
        <w:spacing w:line="400" w:lineRule="exact"/>
        <w:ind w:firstLine="440" w:firstLineChars="200"/>
        <w:rPr>
          <w:rFonts w:ascii="宋体" w:hAnsi="宋体" w:eastAsia="宋体" w:cs="Times New Roman"/>
          <w:szCs w:val="21"/>
        </w:rPr>
      </w:pPr>
      <w:r>
        <w:rPr>
          <w:rFonts w:ascii="宋体" w:hAnsi="宋体" w:eastAsia="宋体" w:cs="Times New Roman"/>
          <w:szCs w:val="21"/>
        </w:rPr>
        <w:t>[8]陈瑞华.刑事审判原理论[M].北京:北京大学出版社,1997.</w:t>
      </w:r>
    </w:p>
    <w:p w14:paraId="0D29FD03">
      <w:pPr>
        <w:spacing w:line="400" w:lineRule="exact"/>
        <w:ind w:firstLine="440" w:firstLineChars="200"/>
        <w:rPr>
          <w:rFonts w:ascii="宋体" w:hAnsi="宋体" w:eastAsia="宋体" w:cs="Times New Roman"/>
          <w:szCs w:val="21"/>
        </w:rPr>
      </w:pPr>
      <w:r>
        <w:rPr>
          <w:rFonts w:ascii="宋体" w:hAnsi="宋体" w:eastAsia="宋体" w:cs="Times New Roman"/>
          <w:szCs w:val="21"/>
        </w:rPr>
        <w:t>[9](美)贝克尔.人类行为的经济分析[M].上海:上海三联书店、上海人民出版社,1995.</w:t>
      </w:r>
    </w:p>
    <w:p w14:paraId="0855FAE7">
      <w:pPr>
        <w:spacing w:line="400" w:lineRule="exact"/>
        <w:ind w:firstLine="440" w:firstLineChars="200"/>
        <w:rPr>
          <w:rFonts w:ascii="宋体" w:hAnsi="宋体" w:eastAsia="宋体" w:cs="Times New Roman"/>
          <w:szCs w:val="21"/>
        </w:rPr>
      </w:pPr>
      <w:r>
        <w:rPr>
          <w:rFonts w:ascii="宋体" w:hAnsi="宋体" w:eastAsia="宋体" w:cs="Times New Roman"/>
          <w:szCs w:val="21"/>
        </w:rPr>
        <w:t>[10](美)戈登.律师独立论[M].北京：中国政法大学出版社,1992.</w:t>
      </w:r>
    </w:p>
    <w:p w14:paraId="5EA4AF25">
      <w:pPr>
        <w:spacing w:line="400" w:lineRule="exact"/>
        <w:ind w:firstLine="440" w:firstLineChars="200"/>
        <w:rPr>
          <w:rFonts w:ascii="宋体" w:hAnsi="宋体" w:eastAsia="宋体" w:cs="Times New Roman"/>
          <w:szCs w:val="21"/>
        </w:rPr>
      </w:pPr>
      <w:r>
        <w:rPr>
          <w:rFonts w:ascii="宋体" w:hAnsi="宋体" w:eastAsia="宋体" w:cs="Times New Roman"/>
          <w:szCs w:val="21"/>
        </w:rPr>
        <w:t>[11]美)考特,尤伦.法和经济学[M].上海:上海三联书店、上海人民出版社,1994.</w:t>
      </w:r>
    </w:p>
    <w:p w14:paraId="4C4D6661">
      <w:pPr>
        <w:spacing w:line="400" w:lineRule="exact"/>
        <w:ind w:firstLine="440" w:firstLineChars="200"/>
        <w:rPr>
          <w:rFonts w:ascii="宋体" w:hAnsi="宋体" w:eastAsia="宋体" w:cs="Times New Roman"/>
          <w:szCs w:val="21"/>
        </w:rPr>
      </w:pPr>
      <w:r>
        <w:rPr>
          <w:rFonts w:ascii="宋体" w:hAnsi="宋体" w:eastAsia="宋体" w:cs="Times New Roman"/>
          <w:szCs w:val="21"/>
        </w:rPr>
        <w:t>[12]陈庚生等译.西欧国家的律师制度[M].吉林：吉林人民出版社,1991-</w:t>
      </w:r>
    </w:p>
    <w:p w14:paraId="242B8647">
      <w:pPr>
        <w:spacing w:line="400" w:lineRule="exact"/>
        <w:ind w:firstLine="440" w:firstLineChars="200"/>
        <w:rPr>
          <w:rFonts w:ascii="宋体" w:hAnsi="宋体" w:eastAsia="宋体" w:cs="Times New Roman"/>
          <w:szCs w:val="21"/>
        </w:rPr>
      </w:pPr>
      <w:r>
        <w:rPr>
          <w:rFonts w:ascii="宋体" w:hAnsi="宋体" w:eastAsia="宋体" w:cs="Times New Roman"/>
          <w:szCs w:val="21"/>
        </w:rPr>
        <w:t>[13]高铭暄，马克昌.刑法学[M].北京:北京大学出版社,2000.</w:t>
      </w:r>
    </w:p>
    <w:p w14:paraId="2EA98D3E">
      <w:pPr>
        <w:spacing w:line="400" w:lineRule="exact"/>
        <w:ind w:firstLine="440" w:firstLineChars="200"/>
        <w:rPr>
          <w:rFonts w:ascii="宋体" w:hAnsi="宋体" w:eastAsia="宋体" w:cs="Times New Roman"/>
          <w:szCs w:val="21"/>
        </w:rPr>
      </w:pPr>
      <w:r>
        <w:rPr>
          <w:rFonts w:ascii="宋体" w:hAnsi="宋体" w:eastAsia="宋体" w:cs="Times New Roman"/>
          <w:szCs w:val="21"/>
        </w:rPr>
        <w:t>[14]于志刚.追诉时效制度比较研究[M].北京：法律出版社,1998.</w:t>
      </w:r>
    </w:p>
    <w:p w14:paraId="4AAABD0B">
      <w:pPr>
        <w:spacing w:line="400" w:lineRule="exact"/>
        <w:ind w:firstLine="440" w:firstLineChars="200"/>
        <w:rPr>
          <w:rFonts w:ascii="宋体" w:hAnsi="宋体" w:eastAsia="宋体" w:cs="Times New Roman"/>
          <w:szCs w:val="21"/>
        </w:rPr>
      </w:pPr>
      <w:r>
        <w:rPr>
          <w:rFonts w:ascii="宋体" w:hAnsi="宋体" w:eastAsia="宋体" w:cs="Times New Roman"/>
          <w:szCs w:val="21"/>
        </w:rPr>
        <w:t>[15]马克昌.刑罚通论[M].武汉：武汉大学出版社,1995.</w:t>
      </w:r>
    </w:p>
    <w:p w14:paraId="4FFEE8FE">
      <w:pPr>
        <w:spacing w:line="400" w:lineRule="exact"/>
        <w:ind w:firstLine="440" w:firstLineChars="200"/>
        <w:rPr>
          <w:rFonts w:ascii="宋体" w:hAnsi="宋体" w:eastAsia="宋体" w:cs="Times New Roman"/>
          <w:szCs w:val="21"/>
        </w:rPr>
      </w:pPr>
      <w:r>
        <w:rPr>
          <w:rFonts w:ascii="宋体" w:hAnsi="宋体" w:eastAsia="宋体" w:cs="Times New Roman"/>
          <w:szCs w:val="21"/>
        </w:rPr>
        <w:t>[16]张明楷.刑法学(上)[M].北京:法律出版社,1997.</w:t>
      </w:r>
    </w:p>
    <w:p w14:paraId="4DC3068D">
      <w:pPr>
        <w:spacing w:line="400" w:lineRule="exact"/>
        <w:ind w:firstLine="440" w:firstLineChars="200"/>
        <w:rPr>
          <w:rFonts w:ascii="宋体" w:hAnsi="宋体" w:eastAsia="宋体" w:cs="Times New Roman"/>
          <w:szCs w:val="21"/>
        </w:rPr>
      </w:pPr>
      <w:r>
        <w:rPr>
          <w:rFonts w:ascii="宋体" w:hAnsi="宋体" w:eastAsia="宋体" w:cs="Times New Roman"/>
          <w:szCs w:val="21"/>
        </w:rPr>
        <w:t>[17]陈浩然.理论刑法学[M].上海：上海人民出版社,2000.</w:t>
      </w:r>
    </w:p>
    <w:p w14:paraId="365C6397">
      <w:pPr>
        <w:spacing w:line="400" w:lineRule="exact"/>
        <w:ind w:firstLine="440" w:firstLineChars="200"/>
        <w:rPr>
          <w:rFonts w:ascii="宋体" w:hAnsi="宋体" w:eastAsia="宋体" w:cs="Times New Roman"/>
          <w:szCs w:val="21"/>
        </w:rPr>
      </w:pPr>
      <w:r>
        <w:rPr>
          <w:rFonts w:ascii="宋体" w:hAnsi="宋体" w:eastAsia="宋体" w:cs="Times New Roman"/>
          <w:szCs w:val="21"/>
        </w:rPr>
        <w:t>[18](美)贝勒斯.法律的原则[M].北京：中国大百科全书出版社,1996.</w:t>
      </w:r>
    </w:p>
    <w:p w14:paraId="6E5BB235">
      <w:pPr>
        <w:spacing w:line="400" w:lineRule="exact"/>
        <w:ind w:firstLine="440" w:firstLineChars="200"/>
        <w:rPr>
          <w:rFonts w:ascii="宋体" w:hAnsi="宋体" w:eastAsia="宋体" w:cs="Times New Roman"/>
          <w:szCs w:val="21"/>
        </w:rPr>
      </w:pPr>
      <w:r>
        <w:rPr>
          <w:rFonts w:ascii="宋体" w:hAnsi="宋体" w:eastAsia="宋体" w:cs="Times New Roman"/>
          <w:szCs w:val="21"/>
        </w:rPr>
        <w:t>[19]陈正云.刑法的经济分析[M].北京：中国法制出版社,1997.</w:t>
      </w:r>
    </w:p>
    <w:p w14:paraId="52025CC7">
      <w:pPr>
        <w:spacing w:line="400" w:lineRule="exact"/>
        <w:ind w:firstLine="440" w:firstLineChars="200"/>
        <w:rPr>
          <w:rFonts w:ascii="宋体" w:hAnsi="宋体" w:eastAsia="宋体" w:cs="Times New Roman"/>
          <w:szCs w:val="21"/>
        </w:rPr>
      </w:pPr>
      <w:r>
        <w:rPr>
          <w:rFonts w:ascii="宋体" w:hAnsi="宋体" w:eastAsia="宋体" w:cs="Times New Roman"/>
          <w:szCs w:val="21"/>
        </w:rPr>
        <w:t>[20](法)斯特法尼.法国刑法总论精义[M].北京：中国政法大学出版社,1998.</w:t>
      </w:r>
    </w:p>
    <w:p w14:paraId="7D173FAF">
      <w:pPr>
        <w:spacing w:line="400" w:lineRule="exact"/>
        <w:ind w:firstLine="440" w:firstLineChars="200"/>
        <w:rPr>
          <w:rFonts w:ascii="宋体" w:hAnsi="宋体" w:eastAsia="宋体" w:cs="Times New Roman"/>
          <w:szCs w:val="21"/>
        </w:rPr>
      </w:pPr>
      <w:r>
        <w:rPr>
          <w:rFonts w:ascii="宋体" w:hAnsi="宋体" w:eastAsia="宋体" w:cs="Times New Roman"/>
          <w:szCs w:val="21"/>
        </w:rPr>
        <w:t>[21](英)边沁.立法理论——刑法典原理[M].北京：中国人民公安大学出版社,1993.</w:t>
      </w:r>
    </w:p>
    <w:p w14:paraId="36B81CA5">
      <w:pPr>
        <w:spacing w:line="400" w:lineRule="exact"/>
        <w:ind w:firstLine="440" w:firstLineChars="200"/>
        <w:rPr>
          <w:rFonts w:ascii="宋体" w:hAnsi="宋体" w:eastAsia="宋体" w:cs="Times New Roman"/>
          <w:szCs w:val="21"/>
        </w:rPr>
      </w:pPr>
      <w:r>
        <w:rPr>
          <w:rFonts w:ascii="宋体" w:hAnsi="宋体" w:eastAsia="宋体" w:cs="Times New Roman"/>
          <w:szCs w:val="21"/>
        </w:rPr>
        <w:t>[22](意)贝卡里亚.论犯罪与刑罚[M].北京：中国大百科全书出版社,1993.</w:t>
      </w:r>
    </w:p>
    <w:p w14:paraId="6222B65D">
      <w:pPr>
        <w:spacing w:line="400" w:lineRule="exact"/>
        <w:ind w:firstLine="440" w:firstLineChars="200"/>
        <w:rPr>
          <w:rFonts w:ascii="宋体" w:hAnsi="宋体" w:eastAsia="宋体" w:cs="Times New Roman"/>
          <w:szCs w:val="21"/>
        </w:rPr>
      </w:pPr>
      <w:r>
        <w:rPr>
          <w:rFonts w:ascii="宋体" w:hAnsi="宋体" w:eastAsia="宋体" w:cs="Times New Roman"/>
          <w:szCs w:val="21"/>
        </w:rPr>
        <w:t>[23](美)哈特.惩罚与责任[M].北京：华夏出版社,1989.</w:t>
      </w:r>
    </w:p>
    <w:p w14:paraId="5F6ED501">
      <w:pPr>
        <w:spacing w:line="400" w:lineRule="exact"/>
        <w:ind w:firstLine="440" w:firstLineChars="200"/>
        <w:rPr>
          <w:rFonts w:ascii="宋体" w:hAnsi="宋体" w:eastAsia="宋体" w:cs="Times New Roman"/>
          <w:szCs w:val="21"/>
        </w:rPr>
      </w:pPr>
      <w:r>
        <w:rPr>
          <w:rFonts w:ascii="宋体" w:hAnsi="宋体" w:eastAsia="宋体" w:cs="Times New Roman"/>
          <w:szCs w:val="21"/>
        </w:rPr>
        <w:t>[24]谢望原.刑罚价值论[M].北京：中国检察出版社,1999.</w:t>
      </w:r>
    </w:p>
    <w:p w14:paraId="6357CE1B">
      <w:pPr>
        <w:spacing w:line="400" w:lineRule="exact"/>
        <w:ind w:firstLine="440" w:firstLineChars="200"/>
        <w:rPr>
          <w:rFonts w:ascii="宋体" w:hAnsi="宋体" w:eastAsia="宋体" w:cs="Times New Roman"/>
          <w:szCs w:val="21"/>
        </w:rPr>
      </w:pPr>
      <w:r>
        <w:rPr>
          <w:rFonts w:ascii="宋体" w:hAnsi="宋体" w:eastAsia="宋体" w:cs="Times New Roman"/>
          <w:szCs w:val="21"/>
        </w:rPr>
        <w:t>[25]樊凤林.刑罚通论[M].北京：中国政法大学出版社,1994.</w:t>
      </w:r>
    </w:p>
    <w:p w14:paraId="7ED55477">
      <w:pPr>
        <w:spacing w:line="400" w:lineRule="exact"/>
        <w:ind w:firstLine="440" w:firstLineChars="200"/>
        <w:rPr>
          <w:rFonts w:ascii="宋体" w:hAnsi="宋体" w:eastAsia="宋体" w:cs="Times New Roman"/>
          <w:szCs w:val="21"/>
        </w:rPr>
      </w:pPr>
      <w:r>
        <w:rPr>
          <w:rFonts w:ascii="宋体" w:hAnsi="宋体" w:eastAsia="宋体" w:cs="Times New Roman"/>
          <w:szCs w:val="21"/>
        </w:rPr>
        <w:t>[26]张文等.刑事责任要义[M」.北京:北京大学出版社,1997.</w:t>
      </w:r>
    </w:p>
    <w:p w14:paraId="182A67E5">
      <w:pPr>
        <w:spacing w:line="400" w:lineRule="exact"/>
        <w:ind w:firstLine="440" w:firstLineChars="200"/>
        <w:rPr>
          <w:rFonts w:ascii="宋体" w:hAnsi="宋体" w:eastAsia="宋体" w:cs="Times New Roman"/>
          <w:szCs w:val="21"/>
        </w:rPr>
      </w:pPr>
      <w:r>
        <w:rPr>
          <w:rFonts w:ascii="宋体" w:hAnsi="宋体" w:eastAsia="宋体" w:cs="Times New Roman"/>
          <w:szCs w:val="21"/>
        </w:rPr>
        <w:t>[27]张建伟.主流范式的危机:法律经济学理论的反思与重整口].海派经济学EM1(季 刊),2003(1).</w:t>
      </w:r>
    </w:p>
    <w:p w14:paraId="1DCA6BFC">
      <w:pPr>
        <w:spacing w:line="400" w:lineRule="exact"/>
        <w:ind w:firstLine="440" w:firstLineChars="200"/>
        <w:rPr>
          <w:rFonts w:ascii="宋体" w:hAnsi="宋体" w:eastAsia="宋体" w:cs="Times New Roman"/>
          <w:szCs w:val="21"/>
        </w:rPr>
      </w:pPr>
      <w:r>
        <w:rPr>
          <w:rFonts w:ascii="宋体" w:hAnsi="宋体" w:eastAsia="宋体" w:cs="Times New Roman"/>
          <w:szCs w:val="21"/>
        </w:rPr>
        <w:t>[28]李玉华.国外律师保守职务秘密原则比较研究口丄河北经贸大学学报EM]. 1999(4).</w:t>
      </w:r>
    </w:p>
    <w:p w14:paraId="1F5A85E5">
      <w:pPr>
        <w:spacing w:line="400" w:lineRule="exact"/>
        <w:ind w:firstLine="440" w:firstLineChars="200"/>
        <w:rPr>
          <w:rFonts w:ascii="宋体" w:hAnsi="宋体" w:eastAsia="宋体" w:cs="Times New Roman"/>
          <w:szCs w:val="21"/>
        </w:rPr>
      </w:pPr>
      <w:r>
        <w:rPr>
          <w:rFonts w:ascii="宋体" w:hAnsi="宋体" w:eastAsia="宋体" w:cs="Times New Roman"/>
          <w:szCs w:val="21"/>
        </w:rPr>
        <w:t>[29]王进喜.律师职业秘密问题研究[J].诉讼法论丛[M].第3卷,北京：法律出版社, 1999.</w:t>
      </w:r>
    </w:p>
    <w:p w14:paraId="0F8B4747">
      <w:pPr>
        <w:spacing w:line="400" w:lineRule="exact"/>
        <w:ind w:firstLine="440" w:firstLineChars="200"/>
        <w:rPr>
          <w:rFonts w:ascii="宋体" w:hAnsi="宋体" w:eastAsia="宋体" w:cs="Times New Roman"/>
          <w:szCs w:val="21"/>
        </w:rPr>
      </w:pPr>
      <w:r>
        <w:rPr>
          <w:rFonts w:ascii="宋体" w:hAnsi="宋体" w:eastAsia="宋体" w:cs="Times New Roman"/>
          <w:szCs w:val="21"/>
        </w:rPr>
        <w:t>[30]马贵翔.刑事诉讼对控辩平等的迫求[J].中国法学[M], 1998(2).</w:t>
      </w:r>
    </w:p>
    <w:p w14:paraId="51BEF2E8">
      <w:pPr>
        <w:spacing w:line="400" w:lineRule="exact"/>
        <w:ind w:firstLine="440" w:firstLineChars="200"/>
        <w:rPr>
          <w:rFonts w:ascii="宋体" w:hAnsi="宋体" w:eastAsia="宋体" w:cs="Times New Roman"/>
          <w:szCs w:val="21"/>
        </w:rPr>
      </w:pPr>
      <w:r>
        <w:rPr>
          <w:rFonts w:ascii="宋体" w:hAnsi="宋体" w:eastAsia="宋体" w:cs="Times New Roman"/>
          <w:szCs w:val="21"/>
        </w:rPr>
        <w:t>[31]肖建国.程序公正的理念及其实现口].法学研究EM]. 1999(3).</w:t>
      </w:r>
    </w:p>
    <w:p w14:paraId="6EE543B5">
      <w:pPr>
        <w:spacing w:line="400" w:lineRule="exact"/>
        <w:ind w:firstLine="440" w:firstLineChars="200"/>
        <w:rPr>
          <w:rFonts w:ascii="宋体" w:hAnsi="宋体" w:eastAsia="宋体" w:cs="Times New Roman"/>
          <w:szCs w:val="21"/>
        </w:rPr>
      </w:pPr>
      <w:r>
        <w:rPr>
          <w:rFonts w:ascii="宋体" w:hAnsi="宋体" w:eastAsia="宋体" w:cs="Times New Roman"/>
          <w:szCs w:val="21"/>
        </w:rPr>
        <w:t>[32](日)村冈启一.辩护人的作用及律师的伦理口].外国法译评[M]. 1998(2).</w:t>
      </w:r>
    </w:p>
    <w:p w14:paraId="3468A362">
      <w:pPr>
        <w:spacing w:line="400" w:lineRule="exact"/>
        <w:ind w:firstLine="440" w:firstLineChars="200"/>
        <w:rPr>
          <w:rFonts w:ascii="宋体" w:hAnsi="宋体" w:eastAsia="宋体" w:cs="Times New Roman"/>
          <w:szCs w:val="21"/>
        </w:rPr>
      </w:pPr>
      <w:r>
        <w:rPr>
          <w:rFonts w:ascii="宋体" w:hAnsi="宋体" w:eastAsia="宋体" w:cs="Times New Roman"/>
          <w:szCs w:val="21"/>
        </w:rPr>
        <w:t>[33](美)费尼.刑事辩护的伦理道德问题口].外国法译评[MJ 1998(2).</w:t>
      </w:r>
    </w:p>
    <w:p w14:paraId="3B38CA34">
      <w:pPr>
        <w:spacing w:line="400" w:lineRule="exact"/>
        <w:ind w:firstLine="440" w:firstLineChars="200"/>
        <w:rPr>
          <w:rFonts w:ascii="宋体" w:hAnsi="宋体" w:eastAsia="宋体" w:cs="Times New Roman"/>
          <w:szCs w:val="21"/>
        </w:rPr>
      </w:pPr>
      <w:r>
        <w:rPr>
          <w:rFonts w:ascii="宋体" w:hAnsi="宋体" w:eastAsia="宋体" w:cs="Times New Roman"/>
          <w:szCs w:val="21"/>
        </w:rPr>
        <w:t>[34]饶世权.论律师胜诉收费制度[J].湖南省政法管理干部学院学报EMJ 2000(5).</w:t>
      </w:r>
    </w:p>
    <w:p w14:paraId="6FA09036">
      <w:pPr>
        <w:spacing w:line="400" w:lineRule="exact"/>
        <w:ind w:firstLine="440" w:firstLineChars="200"/>
        <w:rPr>
          <w:rFonts w:ascii="宋体" w:hAnsi="宋体" w:eastAsia="宋体" w:cs="Times New Roman"/>
          <w:szCs w:val="21"/>
        </w:rPr>
      </w:pPr>
      <w:r>
        <w:rPr>
          <w:rFonts w:ascii="宋体" w:hAnsi="宋体" w:eastAsia="宋体" w:cs="Times New Roman"/>
          <w:szCs w:val="21"/>
        </w:rPr>
        <w:t>[35]周林.我国律师保守职业秘密义务的学理探讨及立法修改建议[J].浙江省政法管理 干部学院学报[M]. 2000(3).</w:t>
      </w:r>
    </w:p>
    <w:p w14:paraId="7D6D211E">
      <w:pPr>
        <w:spacing w:line="400" w:lineRule="exact"/>
        <w:ind w:firstLine="440" w:firstLineChars="200"/>
        <w:rPr>
          <w:rFonts w:ascii="宋体" w:hAnsi="宋体" w:eastAsia="宋体" w:cs="Times New Roman"/>
          <w:szCs w:val="21"/>
        </w:rPr>
      </w:pPr>
      <w:r>
        <w:rPr>
          <w:rFonts w:ascii="宋体" w:hAnsi="宋体" w:eastAsia="宋体" w:cs="Times New Roman"/>
          <w:szCs w:val="21"/>
        </w:rPr>
        <w:t>[36]张驰.论诉讼时效客体[J].法学EMJ 2001(3).</w:t>
      </w:r>
    </w:p>
    <w:p w14:paraId="25326DFB">
      <w:pPr>
        <w:spacing w:line="400" w:lineRule="exact"/>
        <w:ind w:firstLine="440" w:firstLineChars="200"/>
        <w:rPr>
          <w:rFonts w:ascii="宋体" w:hAnsi="宋体" w:eastAsia="宋体" w:cs="Times New Roman"/>
          <w:szCs w:val="21"/>
        </w:rPr>
      </w:pPr>
      <w:r>
        <w:rPr>
          <w:rFonts w:ascii="宋体" w:hAnsi="宋体" w:eastAsia="宋体" w:cs="Times New Roman"/>
          <w:szCs w:val="21"/>
        </w:rPr>
        <w:t>[37]赵秉志，于志刚.论国际刑法中的追诉时效制度[J].华东政法学院学报[M]. 2001 (2).</w:t>
      </w:r>
    </w:p>
    <w:p w14:paraId="5FD499B5">
      <w:pPr>
        <w:spacing w:line="400" w:lineRule="exact"/>
        <w:ind w:firstLine="440" w:firstLineChars="200"/>
        <w:rPr>
          <w:rFonts w:ascii="宋体" w:hAnsi="宋体" w:eastAsia="宋体" w:cs="Times New Roman"/>
          <w:szCs w:val="21"/>
        </w:rPr>
      </w:pPr>
      <w:r>
        <w:rPr>
          <w:rFonts w:ascii="宋体" w:hAnsi="宋体" w:eastAsia="宋体" w:cs="Times New Roman"/>
          <w:szCs w:val="21"/>
        </w:rPr>
        <w:t>[38]蒋兰香.刑法时效延长制度质疑口丄天津市政法管理干部学院学报[M]. 2000(4).</w:t>
      </w:r>
    </w:p>
    <w:p w14:paraId="6D110C14">
      <w:pPr>
        <w:spacing w:line="400" w:lineRule="exact"/>
        <w:ind w:firstLine="440" w:firstLineChars="200"/>
        <w:rPr>
          <w:rFonts w:ascii="宋体" w:hAnsi="宋体" w:eastAsia="宋体" w:cs="Times New Roman"/>
          <w:szCs w:val="21"/>
        </w:rPr>
      </w:pPr>
      <w:r>
        <w:rPr>
          <w:rFonts w:ascii="宋体" w:hAnsi="宋体" w:eastAsia="宋体" w:cs="Times New Roman"/>
          <w:szCs w:val="21"/>
        </w:rPr>
        <w:t>[39]陈兴良.刑罚目的新论[J].华东政法学院学报[M]. 2001(3).</w:t>
      </w:r>
    </w:p>
    <w:p w14:paraId="4B6ED304">
      <w:pPr>
        <w:spacing w:line="400" w:lineRule="exact"/>
        <w:ind w:firstLine="440" w:firstLineChars="200"/>
        <w:rPr>
          <w:rFonts w:ascii="宋体" w:hAnsi="宋体" w:eastAsia="宋体" w:cs="Times New Roman"/>
          <w:szCs w:val="21"/>
        </w:rPr>
      </w:pPr>
      <w:r>
        <w:rPr>
          <w:rFonts w:ascii="宋体" w:hAnsi="宋体" w:eastAsia="宋体" w:cs="Times New Roman"/>
          <w:szCs w:val="21"/>
        </w:rPr>
        <w:t>[40]田宏杰.刑罚目的新论[J].中国政法大学学报[M]. 2000(6).</w:t>
      </w:r>
    </w:p>
    <w:p w14:paraId="34EBF229">
      <w:pPr>
        <w:spacing w:line="400" w:lineRule="exact"/>
        <w:ind w:firstLine="440" w:firstLineChars="200"/>
        <w:rPr>
          <w:rFonts w:ascii="宋体" w:hAnsi="宋体" w:eastAsia="宋体" w:cs="Times New Roman"/>
          <w:szCs w:val="21"/>
        </w:rPr>
      </w:pPr>
      <w:r>
        <w:rPr>
          <w:rFonts w:ascii="宋体" w:hAnsi="宋体" w:eastAsia="宋体" w:cs="Times New Roman"/>
          <w:szCs w:val="21"/>
        </w:rPr>
        <w:t>（原载《海派经济学》2004年第1期，第二作者为管文杰。）</w:t>
      </w:r>
      <w:r>
        <w:rPr>
          <w:rFonts w:ascii="宋体" w:hAnsi="宋体" w:eastAsia="宋体" w:cs="Times New Roman"/>
          <w:szCs w:val="21"/>
        </w:rPr>
        <w:br w:type="page"/>
      </w:r>
    </w:p>
    <w:p w14:paraId="5ED68D8E">
      <w:pPr>
        <w:rPr>
          <w:rFonts w:ascii="宋体" w:hAnsi="宋体" w:eastAsia="宋体" w:cs="Times New Roman"/>
        </w:rPr>
      </w:pPr>
    </w:p>
    <w:p w14:paraId="491DDC27">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293" w:name="_Toc31321"/>
      <w:bookmarkStart w:id="294" w:name="_Toc110957404"/>
      <w:bookmarkStart w:id="295" w:name="_Toc194202015"/>
      <w:bookmarkStart w:id="296" w:name="_Toc1131924636"/>
      <w:r>
        <w:rPr>
          <w:rFonts w:ascii="黑体" w:hAnsi="黑体" w:eastAsia="黑体" w:cs="Times New Roman"/>
          <w:color w:val="000000"/>
          <w:kern w:val="0"/>
          <w:sz w:val="32"/>
          <w:szCs w:val="32"/>
          <w:lang w:bidi="ar"/>
        </w:rPr>
        <w:t>当代外国学者对新保守主义经济思潮的研究</w:t>
      </w:r>
      <w:bookmarkEnd w:id="286"/>
      <w:bookmarkEnd w:id="287"/>
      <w:bookmarkEnd w:id="288"/>
      <w:bookmarkEnd w:id="289"/>
      <w:bookmarkEnd w:id="290"/>
      <w:bookmarkEnd w:id="291"/>
      <w:bookmarkEnd w:id="293"/>
      <w:bookmarkEnd w:id="294"/>
      <w:bookmarkEnd w:id="295"/>
      <w:bookmarkEnd w:id="296"/>
    </w:p>
    <w:p w14:paraId="5AF9744E">
      <w:pPr>
        <w:spacing w:line="300" w:lineRule="auto"/>
        <w:ind w:firstLine="440" w:firstLineChars="200"/>
        <w:rPr>
          <w:rFonts w:ascii="宋体" w:hAnsi="宋体" w:eastAsia="宋体" w:cs="Times New Roman"/>
          <w:szCs w:val="21"/>
        </w:rPr>
      </w:pPr>
      <w:r>
        <w:rPr>
          <w:rFonts w:ascii="宋体" w:hAnsi="宋体" w:eastAsia="宋体" w:cs="Times New Roman"/>
          <w:szCs w:val="21"/>
        </w:rPr>
        <w:t>为了深刻地认识新保守主义及其经济思潮，我们主要阐明当代国外学者关于这一思潮的基本内涵、兴起与思想霸权、实践后果、与全球化关系及如何超越新保守主义的理论，然后对此作一扼要评论。</w:t>
      </w:r>
    </w:p>
    <w:p w14:paraId="1AC9D4D3">
      <w:pPr>
        <w:spacing w:before="156" w:beforeLines="50" w:after="156" w:afterLines="50" w:line="300" w:lineRule="auto"/>
        <w:ind w:firstLine="500" w:firstLineChars="200"/>
        <w:jc w:val="center"/>
        <w:rPr>
          <w:rFonts w:ascii="宋体" w:hAnsi="宋体" w:eastAsia="宋体" w:cs="Times New Roman"/>
          <w:b/>
          <w:bCs/>
          <w:kern w:val="28"/>
          <w:sz w:val="24"/>
          <w:szCs w:val="32"/>
        </w:rPr>
      </w:pPr>
      <w:bookmarkStart w:id="297" w:name="_Toc4543"/>
      <w:bookmarkStart w:id="298" w:name="_Toc18376"/>
      <w:r>
        <w:rPr>
          <w:rFonts w:ascii="宋体" w:hAnsi="宋体" w:eastAsia="宋体" w:cs="Times New Roman"/>
          <w:b/>
          <w:bCs/>
          <w:kern w:val="28"/>
          <w:sz w:val="24"/>
          <w:szCs w:val="32"/>
        </w:rPr>
        <w:t>一、新保守主义经济思潮（新自由主义）的内涵</w:t>
      </w:r>
      <w:bookmarkEnd w:id="297"/>
      <w:bookmarkEnd w:id="298"/>
    </w:p>
    <w:p w14:paraId="41ACDB50">
      <w:pPr>
        <w:spacing w:line="300" w:lineRule="auto"/>
        <w:ind w:firstLine="440" w:firstLineChars="200"/>
        <w:rPr>
          <w:rFonts w:ascii="宋体" w:hAnsi="宋体" w:eastAsia="宋体" w:cs="Times New Roman"/>
          <w:szCs w:val="21"/>
        </w:rPr>
      </w:pPr>
      <w:r>
        <w:rPr>
          <w:rFonts w:ascii="宋体" w:hAnsi="宋体" w:eastAsia="宋体" w:cs="Times New Roman"/>
          <w:szCs w:val="21"/>
        </w:rPr>
        <w:t>为了从总体上把握新保守主义，说明为什么这里把目前国内习称的新自由主义称为新保守主义，我们首先来分析其基本内涵。</w:t>
      </w:r>
    </w:p>
    <w:p w14:paraId="5AF7440B">
      <w:pPr>
        <w:spacing w:line="300" w:lineRule="auto"/>
        <w:ind w:firstLine="440" w:firstLineChars="200"/>
        <w:rPr>
          <w:rFonts w:ascii="宋体" w:hAnsi="宋体" w:eastAsia="宋体" w:cs="Times New Roman"/>
          <w:szCs w:val="21"/>
        </w:rPr>
      </w:pPr>
      <w:r>
        <w:rPr>
          <w:rFonts w:ascii="宋体" w:hAnsi="宋体" w:eastAsia="宋体" w:cs="Times New Roman"/>
          <w:szCs w:val="21"/>
        </w:rPr>
        <w:t>《新自由主义和全球秩序》一书的作者诺姆·乔姆斯基认为：‘新自由主义’，顾名思义，是在古典自由主义思想的基础上建立起来的一个新的理论体系，亚当·斯密被认为是其创始人，该理论体系也称为‘华盛顿共识’，包含了一些有关全球秩序方面的内容……。所谓华盛顿共识，指的是以市场为导向的一系列理论，他们由美国政府及其控制的国际组织所制定，并由他们通过各种方式实施——在经济脆弱的国家，这些理论经常用做严厉的结构调整方案。其基本原则简单地说就是：贸易自由化、价格市场化和私有化。”</w:t>
      </w:r>
      <w:r>
        <w:rPr>
          <w:rFonts w:hint="eastAsia" w:ascii="宋体" w:hAnsi="宋体" w:eastAsia="宋体" w:cs="宋体"/>
          <w:szCs w:val="21"/>
        </w:rPr>
        <w:t>①</w:t>
      </w:r>
      <w:r>
        <w:rPr>
          <w:rFonts w:ascii="宋体" w:hAnsi="宋体" w:eastAsia="宋体" w:cs="Times New Roman"/>
          <w:szCs w:val="21"/>
        </w:rPr>
        <w:t>该书导言的作者罗伯特·迈克切斯尼又对这一定义作了补充说明，他指出：</w:t>
      </w:r>
      <w:r>
        <w:rPr>
          <w:rFonts w:hint="eastAsia" w:ascii="宋体" w:hAnsi="宋体" w:eastAsia="宋体" w:cs="Times New Roman"/>
          <w:szCs w:val="21"/>
        </w:rPr>
        <w:t>“</w:t>
      </w:r>
      <w:r>
        <w:rPr>
          <w:rFonts w:ascii="宋体" w:hAnsi="宋体" w:eastAsia="宋体" w:cs="Times New Roman"/>
          <w:szCs w:val="21"/>
        </w:rPr>
        <w:t>新自由主义是我们这个时代明确的政治、经济范式——它指的是这样一些政策与过程：相当一批私有业者能够得以控制尽可能广的社会层面，从而获取最大的个人利益。新自由主义首先与里根和撒切尔夫人关联，最近20年，它一直是主流政治党派、大多数传统左派和右派所采取的全球政治和经济趋向。这些党派及其实施的政策，代表了极端富裕的投资者和不到1000家庞大公司的直接利益。”</w:t>
      </w:r>
      <w:r>
        <w:rPr>
          <w:rFonts w:hint="eastAsia" w:ascii="宋体" w:hAnsi="宋体" w:eastAsia="宋体" w:cs="宋体"/>
          <w:szCs w:val="21"/>
        </w:rPr>
        <w:t>②</w:t>
      </w:r>
      <w:r>
        <w:rPr>
          <w:rFonts w:ascii="宋体" w:hAnsi="宋体" w:eastAsia="宋体" w:cs="Times New Roman"/>
          <w:szCs w:val="21"/>
        </w:rPr>
        <w:t>法国</w:t>
      </w:r>
      <w:r>
        <w:rPr>
          <w:rFonts w:hint="eastAsia" w:ascii="宋体" w:hAnsi="宋体" w:eastAsia="宋体" w:cs="Times New Roman"/>
          <w:szCs w:val="21"/>
        </w:rPr>
        <w:t>“</w:t>
      </w:r>
      <w:r>
        <w:rPr>
          <w:rFonts w:ascii="宋体" w:hAnsi="宋体" w:eastAsia="宋体" w:cs="Times New Roman"/>
          <w:szCs w:val="21"/>
        </w:rPr>
        <w:t>马克思园地协会”主席科恩·赛阿则从全球化角度对新自由主义作出界定，指出新自由主义是资本主义全球化意识形态的理论表现。</w:t>
      </w:r>
    </w:p>
    <w:p w14:paraId="288A2C71">
      <w:pPr>
        <w:spacing w:line="300" w:lineRule="auto"/>
        <w:ind w:firstLine="440" w:firstLineChars="200"/>
        <w:rPr>
          <w:rFonts w:ascii="宋体" w:hAnsi="宋体" w:eastAsia="宋体" w:cs="Times New Roman"/>
          <w:szCs w:val="21"/>
        </w:rPr>
      </w:pPr>
      <w:r>
        <w:rPr>
          <w:rFonts w:ascii="宋体" w:hAnsi="宋体" w:eastAsia="宋体" w:cs="Times New Roman"/>
          <w:szCs w:val="21"/>
        </w:rPr>
        <w:t>实际上，我们熟知的西方新自由主义经济学家像哈耶克、弗里德曼以及政治支持者里根、撒切尔夫人等人，正是最有名的保守主义者。请看佩利卡尼对新保守主义代表人物及其典型观点的辛辣嘲讽和抨击，他写道：</w:t>
      </w:r>
      <w:r>
        <w:rPr>
          <w:rFonts w:hint="eastAsia" w:ascii="宋体" w:hAnsi="宋体" w:eastAsia="宋体" w:cs="Times New Roman"/>
          <w:szCs w:val="21"/>
        </w:rPr>
        <w:t>“</w:t>
      </w:r>
      <w:r>
        <w:rPr>
          <w:rFonts w:ascii="宋体" w:hAnsi="宋体" w:eastAsia="宋体" w:cs="Times New Roman"/>
          <w:szCs w:val="21"/>
        </w:rPr>
        <w:t>摩根斯·格利斯特图鲁认为‘国家应当重新成为守夜人’，撒切尔夫人公开主张造就‘上百个新的百万富翁’；维尔·杜兰则写道：‘自由与平等，两者永远是誓不两立、不共戴天的敌人’，伊尔文·克里斯托尔洋洋得意地回忆说：‘资本主义——这是一种不管分配而只管经济增长的体系’。弗里德里希·冯·哈耶克甚至认为应当把‘社会公正’这个词本身从政治辞典中删去；罗伯特·诺季克在同约翰·罗维斯辩论时，把征收所得税同强迫人们进习艺所劳动相提并论，主张国家回到只起极有限的社会作用的状态……，上述这些人的言论，仿佛把我们带到胡佛时代，这位美国总统曾宣传，失业会使美国人意志坚强</w:t>
      </w:r>
      <w:r>
        <w:rPr>
          <w:rFonts w:hint="eastAsia" w:ascii="宋体" w:hAnsi="宋体" w:eastAsia="宋体" w:cs="Times New Roman"/>
          <w:szCs w:val="21"/>
        </w:rPr>
        <w:t>。</w:t>
      </w:r>
      <w:r>
        <w:rPr>
          <w:rFonts w:ascii="宋体" w:hAnsi="宋体" w:eastAsia="宋体" w:cs="Times New Roman"/>
          <w:szCs w:val="21"/>
        </w:rPr>
        <w:t>”</w:t>
      </w:r>
      <w:r>
        <w:rPr>
          <w:rFonts w:hint="eastAsia" w:ascii="宋体" w:hAnsi="宋体" w:eastAsia="宋体" w:cs="宋体"/>
          <w:szCs w:val="21"/>
        </w:rPr>
        <w:t>③</w:t>
      </w:r>
    </w:p>
    <w:p w14:paraId="1021B175">
      <w:pPr>
        <w:spacing w:line="300" w:lineRule="auto"/>
        <w:ind w:firstLine="440" w:firstLineChars="200"/>
        <w:rPr>
          <w:rFonts w:ascii="宋体" w:hAnsi="宋体" w:eastAsia="宋体" w:cs="Times New Roman"/>
          <w:szCs w:val="21"/>
        </w:rPr>
      </w:pPr>
      <w:r>
        <w:rPr>
          <w:rFonts w:ascii="宋体" w:hAnsi="宋体" w:eastAsia="宋体" w:cs="Times New Roman"/>
          <w:szCs w:val="21"/>
        </w:rPr>
        <w:t>智利的拉美经济与国际政策研究中心主任S·比塔尔明确指出：</w:t>
      </w:r>
      <w:r>
        <w:rPr>
          <w:rFonts w:hint="eastAsia" w:ascii="宋体" w:hAnsi="宋体" w:eastAsia="宋体" w:cs="Times New Roman"/>
          <w:szCs w:val="21"/>
        </w:rPr>
        <w:t>“</w:t>
      </w:r>
      <w:r>
        <w:rPr>
          <w:rFonts w:ascii="宋体" w:hAnsi="宋体" w:eastAsia="宋体" w:cs="Times New Roman"/>
          <w:szCs w:val="21"/>
        </w:rPr>
        <w:t>在拉美，‘新自由主义’这一术语被用来指实现私有化、放弃管制、减少国家的作用以及在贸易和金融领域中扩大开放度等经济政策。但在英语中，这一政策方法被称作‘新保守主义’。其原因之一是：在拉美，‘自由主义’被理解为与经济问题有关，而在英语中，‘自由主义’与政治考虑的关系更密切。”</w:t>
      </w:r>
      <w:r>
        <w:rPr>
          <w:rFonts w:hint="eastAsia" w:ascii="宋体" w:hAnsi="宋体" w:eastAsia="宋体" w:cs="宋体"/>
          <w:szCs w:val="21"/>
        </w:rPr>
        <w:t>④</w:t>
      </w:r>
      <w:r>
        <w:rPr>
          <w:rFonts w:ascii="宋体" w:hAnsi="宋体" w:eastAsia="宋体" w:cs="Times New Roman"/>
          <w:szCs w:val="21"/>
        </w:rPr>
        <w:t>从哲学基础上说，当代新保守主义信奉的是诺齐克的典型的极端自由主义哲学。自由和平等长期以来被视作自由主义传统中两种相互冲突的要素。德沃金认为，罗尔斯的再分配理论试图通过补不足、救匮乏来促进平等，从而代表了新自由主义中综合自由和平等的方向，带有强烈的折衷色彩，而诺齐克采取了一种极端的立场，一边倒：自由就是一切，而平等什么也不是。</w:t>
      </w:r>
      <w:r>
        <w:rPr>
          <w:rFonts w:hint="eastAsia" w:ascii="宋体" w:hAnsi="宋体" w:eastAsia="宋体" w:cs="宋体"/>
          <w:szCs w:val="21"/>
        </w:rPr>
        <w:t>⑤</w:t>
      </w:r>
      <w:r>
        <w:rPr>
          <w:rFonts w:ascii="宋体" w:hAnsi="宋体" w:eastAsia="宋体" w:cs="Times New Roman"/>
          <w:szCs w:val="21"/>
        </w:rPr>
        <w:t>新保守主义者经常谈论的是</w:t>
      </w:r>
      <w:r>
        <w:rPr>
          <w:rFonts w:hint="eastAsia" w:ascii="宋体" w:hAnsi="宋体" w:eastAsia="宋体" w:cs="Times New Roman"/>
          <w:szCs w:val="21"/>
        </w:rPr>
        <w:t>“</w:t>
      </w:r>
      <w:r>
        <w:rPr>
          <w:rFonts w:ascii="宋体" w:hAnsi="宋体" w:eastAsia="宋体" w:cs="Times New Roman"/>
          <w:szCs w:val="21"/>
        </w:rPr>
        <w:t>自由与个性如何受到平等的威胁”、</w:t>
      </w:r>
      <w:r>
        <w:rPr>
          <w:rFonts w:hint="eastAsia" w:ascii="宋体" w:hAnsi="宋体" w:eastAsia="宋体" w:cs="Times New Roman"/>
          <w:szCs w:val="21"/>
        </w:rPr>
        <w:t>“</w:t>
      </w:r>
      <w:r>
        <w:rPr>
          <w:rFonts w:ascii="宋体" w:hAnsi="宋体" w:eastAsia="宋体" w:cs="Times New Roman"/>
          <w:szCs w:val="21"/>
        </w:rPr>
        <w:t>要自由还是要社会主义”等命题。他们强调由于社会、福利国家偏向有利于社会弱者的社会平衡措施，由于高额累进税和其他措施，个人自由已被摧毁。他们把社会主义解释为弱者、蠢人和懒汉所喜欢的宗教世界观，认为它反映了被社会福利国家宠坏了的社会下层对于事业成功的富人、聪明人、勤奋者的嫉妒心理。新保守主义者辩解说，每个人彼此之间存在着不容否认的差别，主要包括天赋、能力、容貌、体魄、意志力等方面的差异，所以，高收入者的丰厚报酬是</w:t>
      </w:r>
      <w:r>
        <w:rPr>
          <w:rFonts w:hint="eastAsia" w:ascii="宋体" w:hAnsi="宋体" w:eastAsia="宋体" w:cs="Times New Roman"/>
          <w:szCs w:val="21"/>
        </w:rPr>
        <w:t>“</w:t>
      </w:r>
      <w:r>
        <w:rPr>
          <w:rFonts w:ascii="宋体" w:hAnsi="宋体" w:eastAsia="宋体" w:cs="Times New Roman"/>
          <w:szCs w:val="21"/>
        </w:rPr>
        <w:t>挣来的”。</w:t>
      </w:r>
      <w:r>
        <w:rPr>
          <w:rFonts w:hint="eastAsia" w:ascii="宋体" w:hAnsi="宋体" w:eastAsia="宋体" w:cs="宋体"/>
          <w:szCs w:val="21"/>
        </w:rPr>
        <w:t>⑥</w:t>
      </w:r>
      <w:r>
        <w:rPr>
          <w:rFonts w:ascii="宋体" w:hAnsi="宋体" w:eastAsia="宋体" w:cs="Times New Roman"/>
          <w:szCs w:val="21"/>
        </w:rPr>
        <w:t>上述界定大体上揭示了新自由主义经济思潮的本质特征，即它是在凯恩斯主义基础上</w:t>
      </w:r>
      <w:r>
        <w:rPr>
          <w:rFonts w:hint="eastAsia" w:ascii="宋体" w:hAnsi="宋体" w:eastAsia="宋体" w:cs="Times New Roman"/>
          <w:szCs w:val="21"/>
        </w:rPr>
        <w:t>“</w:t>
      </w:r>
      <w:r>
        <w:rPr>
          <w:rFonts w:ascii="宋体" w:hAnsi="宋体" w:eastAsia="宋体" w:cs="Times New Roman"/>
          <w:szCs w:val="21"/>
        </w:rPr>
        <w:t>倒退”、</w:t>
      </w:r>
      <w:r>
        <w:rPr>
          <w:rFonts w:hint="eastAsia" w:ascii="宋体" w:hAnsi="宋体" w:eastAsia="宋体" w:cs="Times New Roman"/>
          <w:szCs w:val="21"/>
        </w:rPr>
        <w:t>“</w:t>
      </w:r>
      <w:r>
        <w:rPr>
          <w:rFonts w:ascii="宋体" w:hAnsi="宋体" w:eastAsia="宋体" w:cs="Times New Roman"/>
          <w:szCs w:val="21"/>
        </w:rPr>
        <w:t>回归”（回归斯密）的现代自由主义。按照英语世界的传统，这就是</w:t>
      </w:r>
      <w:r>
        <w:rPr>
          <w:rFonts w:hint="eastAsia" w:ascii="宋体" w:hAnsi="宋体" w:eastAsia="宋体" w:cs="Times New Roman"/>
          <w:szCs w:val="21"/>
        </w:rPr>
        <w:t>“</w:t>
      </w:r>
      <w:r>
        <w:rPr>
          <w:rFonts w:ascii="宋体" w:hAnsi="宋体" w:eastAsia="宋体" w:cs="Times New Roman"/>
          <w:szCs w:val="21"/>
        </w:rPr>
        <w:t>右”的，</w:t>
      </w:r>
      <w:r>
        <w:rPr>
          <w:rFonts w:hint="eastAsia" w:ascii="宋体" w:hAnsi="宋体" w:eastAsia="宋体" w:cs="Times New Roman"/>
          <w:szCs w:val="21"/>
        </w:rPr>
        <w:t>“</w:t>
      </w:r>
      <w:r>
        <w:rPr>
          <w:rFonts w:ascii="宋体" w:hAnsi="宋体" w:eastAsia="宋体" w:cs="Times New Roman"/>
          <w:szCs w:val="21"/>
        </w:rPr>
        <w:t>保守”的，称之谓新保守主义是更能显示其本质的，也符合英语传统的准确称谓。</w:t>
      </w:r>
    </w:p>
    <w:p w14:paraId="3CE5DEE7">
      <w:pPr>
        <w:spacing w:before="156" w:beforeLines="50" w:after="156" w:afterLines="50" w:line="300" w:lineRule="auto"/>
        <w:ind w:firstLine="500" w:firstLineChars="200"/>
        <w:jc w:val="center"/>
        <w:rPr>
          <w:rFonts w:ascii="宋体" w:hAnsi="宋体" w:eastAsia="宋体" w:cs="Times New Roman"/>
          <w:b/>
          <w:bCs/>
          <w:kern w:val="28"/>
          <w:sz w:val="24"/>
          <w:szCs w:val="32"/>
        </w:rPr>
      </w:pPr>
      <w:bookmarkStart w:id="299" w:name="_Toc11702"/>
      <w:bookmarkStart w:id="300" w:name="_Toc1132"/>
      <w:r>
        <w:rPr>
          <w:rFonts w:ascii="宋体" w:hAnsi="宋体" w:eastAsia="宋体" w:cs="Times New Roman"/>
          <w:b/>
          <w:bCs/>
          <w:kern w:val="28"/>
          <w:sz w:val="24"/>
          <w:szCs w:val="32"/>
        </w:rPr>
        <w:t>二、新保守主义经济思潮的兴起与思想霸权</w:t>
      </w:r>
      <w:bookmarkEnd w:id="299"/>
      <w:bookmarkEnd w:id="300"/>
    </w:p>
    <w:p w14:paraId="5B6D27F2">
      <w:pPr>
        <w:spacing w:line="300" w:lineRule="auto"/>
        <w:ind w:firstLine="440" w:firstLineChars="200"/>
        <w:rPr>
          <w:rFonts w:ascii="宋体" w:hAnsi="宋体" w:eastAsia="宋体" w:cs="Times New Roman"/>
          <w:szCs w:val="21"/>
        </w:rPr>
      </w:pPr>
      <w:r>
        <w:rPr>
          <w:rFonts w:ascii="宋体" w:hAnsi="宋体" w:eastAsia="宋体" w:cs="Times New Roman"/>
          <w:szCs w:val="21"/>
        </w:rPr>
        <w:t>美国俄勒冈大学约翰·贝拉米·福斯特等人对新保守主义的历史背景、发展脉络及其取得思想霸权的过程进行了梳理和揭露。福斯特指出，20世纪40年代，古典的自由放任、自我调节的市场信仰走到了灾难性的尽头。正是在古典自由主义破产的年代，经济自由主义者开始重构一种更不妥协的新自由主义理论。新保守主义的奠基者出自20世纪20年代中期</w:t>
      </w:r>
      <w:r>
        <w:rPr>
          <w:rFonts w:hint="eastAsia" w:ascii="宋体" w:hAnsi="宋体" w:eastAsia="宋体" w:cs="Times New Roman"/>
          <w:szCs w:val="21"/>
        </w:rPr>
        <w:t>“</w:t>
      </w:r>
      <w:r>
        <w:rPr>
          <w:rFonts w:ascii="宋体" w:hAnsi="宋体" w:eastAsia="宋体" w:cs="Times New Roman"/>
          <w:szCs w:val="21"/>
        </w:rPr>
        <w:t>红色维也纳”的环境，为了对抗当时的激进氛围，路德维希·冯·米塞斯在奥地利组织</w:t>
      </w:r>
      <w:r>
        <w:rPr>
          <w:rFonts w:hint="eastAsia" w:ascii="宋体" w:hAnsi="宋体" w:eastAsia="宋体" w:cs="Times New Roman"/>
          <w:szCs w:val="21"/>
        </w:rPr>
        <w:t>“</w:t>
      </w:r>
      <w:r>
        <w:rPr>
          <w:rFonts w:ascii="宋体" w:hAnsi="宋体" w:eastAsia="宋体" w:cs="Times New Roman"/>
          <w:szCs w:val="21"/>
        </w:rPr>
        <w:t>私人讲座”，反对社会主义计划经济和任何中间的社会组织形式，认为资本主义是建立在劳动分工基础之上的惟一可行的社会组织制度。在福斯特看来，1936年美国评论家沃尔特·李普曼为自由主义辩护的著作《良好社会原则的探究》，标志着新自由主义思想发展的转折点。1938年巴黎召开的李普曼著作讨论会的主题是自由主义的危机。这批新自由主义者以</w:t>
      </w:r>
      <w:r>
        <w:rPr>
          <w:rFonts w:hint="eastAsia" w:ascii="宋体" w:hAnsi="宋体" w:eastAsia="宋体" w:cs="Times New Roman"/>
          <w:szCs w:val="21"/>
        </w:rPr>
        <w:t>“</w:t>
      </w:r>
      <w:r>
        <w:rPr>
          <w:rFonts w:ascii="宋体" w:hAnsi="宋体" w:eastAsia="宋体" w:cs="Times New Roman"/>
          <w:szCs w:val="21"/>
        </w:rPr>
        <w:t>竞争性秩序”的观念为基础，反对国家干预。</w:t>
      </w:r>
      <w:r>
        <w:rPr>
          <w:rFonts w:hint="eastAsia" w:ascii="宋体" w:hAnsi="宋体" w:eastAsia="宋体" w:cs="宋体"/>
          <w:szCs w:val="21"/>
        </w:rPr>
        <w:t>⑦</w:t>
      </w:r>
    </w:p>
    <w:p w14:paraId="7CB86877">
      <w:pPr>
        <w:spacing w:line="300" w:lineRule="auto"/>
        <w:ind w:firstLine="440" w:firstLineChars="200"/>
        <w:rPr>
          <w:rFonts w:ascii="宋体" w:hAnsi="宋体" w:eastAsia="宋体" w:cs="Times New Roman"/>
          <w:szCs w:val="21"/>
        </w:rPr>
      </w:pPr>
      <w:r>
        <w:rPr>
          <w:rFonts w:ascii="宋体" w:hAnsi="宋体" w:eastAsia="宋体" w:cs="Times New Roman"/>
          <w:szCs w:val="21"/>
        </w:rPr>
        <w:t>英国著名左翼理论家、《新左派评论》主编佩里·安德森则认为，新自由主义于第二次世界大战后问世，哈耶克的《通往奴役之路》一书是新保守主义的宪章。1947年4月，哈耶克在瑞士沃州贝勒兰山度假村的公园旅馆召集了一次新保守主义者的会议。贝勒兰山学派的宗旨是反对凯恩斯学说和第二次世界大战后占统治地位的社会福利政策，为创建一种不受任何约束的资本主义模式奠定理论基础。</w:t>
      </w:r>
      <w:r>
        <w:rPr>
          <w:rFonts w:hint="eastAsia" w:ascii="宋体" w:hAnsi="宋体" w:eastAsia="宋体" w:cs="宋体"/>
          <w:szCs w:val="21"/>
        </w:rPr>
        <w:t>⑧</w:t>
      </w:r>
    </w:p>
    <w:p w14:paraId="6E223ECE">
      <w:pPr>
        <w:spacing w:line="300" w:lineRule="auto"/>
        <w:ind w:firstLine="440" w:firstLineChars="200"/>
        <w:rPr>
          <w:rFonts w:ascii="宋体" w:hAnsi="宋体" w:eastAsia="宋体" w:cs="Times New Roman"/>
          <w:szCs w:val="21"/>
        </w:rPr>
      </w:pPr>
      <w:r>
        <w:rPr>
          <w:rFonts w:ascii="宋体" w:hAnsi="宋体" w:eastAsia="宋体" w:cs="Times New Roman"/>
          <w:szCs w:val="21"/>
        </w:rPr>
        <w:t>然而，新保守主义在20世纪20年代中期问世后（以奥地利米塞斯1927年发表《自由与繁荣的国度》为标志），不久便遭遇30年代世界经济大萧条，在40年代成型后又恰逢长达20多年的西方经济增长的黄金时代，因而在长达半个世纪之久的时间内一直得不到西方国家统治集团和知识界的肯定。但正如安德森所说，在1974年</w:t>
      </w:r>
      <w:r>
        <w:rPr>
          <w:rFonts w:hint="eastAsia" w:ascii="宋体" w:hAnsi="宋体" w:eastAsia="宋体" w:cs="Times New Roman"/>
          <w:szCs w:val="21"/>
        </w:rPr>
        <w:t>“</w:t>
      </w:r>
      <w:r>
        <w:rPr>
          <w:rFonts w:ascii="宋体" w:hAnsi="宋体" w:eastAsia="宋体" w:cs="Times New Roman"/>
          <w:szCs w:val="21"/>
        </w:rPr>
        <w:t>石油冲击”体现了战后世界经济的严重危机后，西方发达国家全部卷入经济衰退，出现长期滞胀，新保守主义经济学观点开始受到重视。1979年撒切尔夫人出任英国首相和1980年里根当选美国总统，标志着新保守主义意识形态在发达资本主义国家上升为主流经济理论和政策取向。随后，西欧国家的一些左翼政府也逐渐右倾化，相继对新自由主义表现出极大的热情，使贝勒兰山学会的思想在所有经合组织国家取得了全面胜利，并最终确立了理论霸主地位。依安德森所见，尽管1991年曾发生新一轮经济衰退，对新保守主义是一个沉重打击，但是由于前苏联与东欧剧变，西方国家在冷战中的</w:t>
      </w:r>
      <w:r>
        <w:rPr>
          <w:rFonts w:hint="eastAsia" w:ascii="宋体" w:hAnsi="宋体" w:eastAsia="宋体" w:cs="Times New Roman"/>
          <w:szCs w:val="21"/>
        </w:rPr>
        <w:t>“</w:t>
      </w:r>
      <w:r>
        <w:rPr>
          <w:rFonts w:ascii="宋体" w:hAnsi="宋体" w:eastAsia="宋体" w:cs="Times New Roman"/>
          <w:szCs w:val="21"/>
        </w:rPr>
        <w:t>胜利”，给新保守主义的意识形态及时注入了新的活力。东欧后共产主义推行的经济改革在某些方面甚至比新保守主义的鼻祖走得更远。与此同时，拉美又成了新保守主义经济学的第三试验场。</w:t>
      </w:r>
    </w:p>
    <w:p w14:paraId="46CEBFE8">
      <w:pPr>
        <w:spacing w:line="300" w:lineRule="auto"/>
        <w:ind w:firstLine="440" w:firstLineChars="200"/>
        <w:rPr>
          <w:rFonts w:ascii="宋体" w:hAnsi="宋体" w:eastAsia="宋体" w:cs="Times New Roman"/>
          <w:szCs w:val="21"/>
        </w:rPr>
      </w:pPr>
      <w:r>
        <w:rPr>
          <w:rFonts w:ascii="宋体" w:hAnsi="宋体" w:eastAsia="宋体" w:cs="Times New Roman"/>
          <w:szCs w:val="21"/>
        </w:rPr>
        <w:t>美国的大卫·科兹认为，资本主义竞争结构的改变部分地说明了为什么古典自由主义能死灰复燃，但还有三个因素也提升了新保守主义的统治地位，这包括在资本主义国家社会主义运动浪潮的衰退，国家社会主义的终结和资本主义社会长期未爆发严重的经济危机。</w:t>
      </w:r>
      <w:r>
        <w:rPr>
          <w:rFonts w:hint="eastAsia" w:ascii="宋体" w:hAnsi="宋体" w:eastAsia="宋体" w:cs="宋体"/>
          <w:szCs w:val="21"/>
        </w:rPr>
        <w:t>⑨</w:t>
      </w:r>
      <w:r>
        <w:rPr>
          <w:rFonts w:ascii="宋体" w:hAnsi="宋体" w:eastAsia="宋体" w:cs="Times New Roman"/>
          <w:szCs w:val="21"/>
        </w:rPr>
        <w:t>安德森也指出，在1989～1991年前苏联阵营的解体过程中，人们并未预见到这一点，即使它的竞争对手也没有马上看到：不受约束的自由市场资本主义将横扫东西方的壁垒。相反，大多数左派都以为，一旦挣脱斯大林体制，左派就将获得富有希望的再生。然而，新保守主义改变了时代潮流，在全球引起了大规模社会经济变化。从此，西方思想界第一次不再存在任何有意义的对立，即制度性对抗的观点；</w:t>
      </w:r>
      <w:r>
        <w:rPr>
          <w:rFonts w:hint="eastAsia" w:ascii="宋体" w:hAnsi="宋体" w:eastAsia="宋体" w:cs="Times New Roman"/>
          <w:szCs w:val="21"/>
        </w:rPr>
        <w:t>“</w:t>
      </w:r>
      <w:r>
        <w:rPr>
          <w:rFonts w:ascii="宋体" w:hAnsi="宋体" w:eastAsia="宋体" w:cs="Times New Roman"/>
          <w:szCs w:val="21"/>
        </w:rPr>
        <w:t>新自由主义作为一整套原则统治全球，成为世界历史上最为成功的意识形态。”</w:t>
      </w:r>
      <w:r>
        <w:rPr>
          <w:rFonts w:hint="eastAsia" w:ascii="宋体" w:hAnsi="宋体" w:eastAsia="宋体" w:cs="宋体"/>
          <w:szCs w:val="21"/>
        </w:rPr>
        <w:t>⑩</w:t>
      </w:r>
      <w:r>
        <w:rPr>
          <w:rFonts w:ascii="宋体" w:hAnsi="宋体" w:eastAsia="宋体" w:cs="Times New Roman"/>
          <w:szCs w:val="21"/>
        </w:rPr>
        <w:t>法国《外交世界》月刊主编伊西奥·拉莫内认为，在东西方两大阵营的较量中，真正的胜利者却是新保守主义的经济理论。它主张资本的绝对自由，取消关税壁垒和无限制地促进国际贸易，这种经济思想的物质体现就是国际货币基金组织和世界贸易组织。经济自由主义被世界富国推崇为全球化的建设蓝图，而共产主义和社会主义却被贬斥为乌托邦的空想。</w:t>
      </w:r>
    </w:p>
    <w:p w14:paraId="27B4C225">
      <w:pPr>
        <w:spacing w:line="300" w:lineRule="auto"/>
        <w:ind w:firstLine="440" w:firstLineChars="200"/>
        <w:rPr>
          <w:rFonts w:ascii="宋体" w:hAnsi="宋体" w:eastAsia="宋体" w:cs="Times New Roman"/>
          <w:szCs w:val="21"/>
        </w:rPr>
      </w:pPr>
      <w:r>
        <w:rPr>
          <w:rFonts w:ascii="宋体" w:hAnsi="宋体" w:eastAsia="宋体" w:cs="Times New Roman"/>
          <w:szCs w:val="21"/>
        </w:rPr>
        <w:t>法国的皮埃尔·布迪厄指出，新保守主义已成为当代世界居支配地位的</w:t>
      </w:r>
      <w:r>
        <w:rPr>
          <w:rFonts w:hint="eastAsia" w:ascii="宋体" w:hAnsi="宋体" w:eastAsia="宋体" w:cs="Times New Roman"/>
          <w:szCs w:val="21"/>
        </w:rPr>
        <w:t>“</w:t>
      </w:r>
      <w:r>
        <w:rPr>
          <w:rFonts w:ascii="宋体" w:hAnsi="宋体" w:eastAsia="宋体" w:cs="Times New Roman"/>
          <w:szCs w:val="21"/>
        </w:rPr>
        <w:t>强势”话语体系。这种话语在一个由各种强力关系组成的世界中完全站在强力者一边，它通过制裁或中介组织，如国际货币基金组织和经济合作与发展组织展示自已的逻辑。它是一种从方法论上解构集体的纲领。解除金融管制，从而实现一个纯粹和完美的市场。这个新自由派的乌托邦运动是通过采取各种政治措施来达到的。采取这些行动的目的是对任何可能对纯粹的市场法则构成障碍的集体结构提出质疑，这些集体结构包括：民族国家，工作团体，捍卫工人权利的集体组织、工会、协会和合作机构，甚至还有家庭。</w:t>
      </w:r>
    </w:p>
    <w:p w14:paraId="12B5E4E2">
      <w:pPr>
        <w:spacing w:before="156" w:beforeLines="50" w:after="156" w:afterLines="50" w:line="300" w:lineRule="auto"/>
        <w:ind w:firstLine="500" w:firstLineChars="200"/>
        <w:jc w:val="center"/>
        <w:rPr>
          <w:rFonts w:ascii="宋体" w:hAnsi="宋体" w:eastAsia="宋体" w:cs="Times New Roman"/>
          <w:b/>
          <w:bCs/>
          <w:kern w:val="28"/>
          <w:sz w:val="24"/>
          <w:szCs w:val="32"/>
        </w:rPr>
      </w:pPr>
      <w:bookmarkStart w:id="301" w:name="_Toc1469"/>
      <w:bookmarkStart w:id="302" w:name="_Toc7608"/>
      <w:r>
        <w:rPr>
          <w:rFonts w:ascii="宋体" w:hAnsi="宋体" w:eastAsia="宋体" w:cs="Times New Roman"/>
          <w:b/>
          <w:bCs/>
          <w:kern w:val="28"/>
          <w:sz w:val="24"/>
          <w:szCs w:val="32"/>
        </w:rPr>
        <w:t>三、新保守主义的经济实践及其后果</w:t>
      </w:r>
      <w:bookmarkEnd w:id="301"/>
      <w:bookmarkEnd w:id="302"/>
    </w:p>
    <w:p w14:paraId="1850400B">
      <w:pPr>
        <w:spacing w:line="300" w:lineRule="auto"/>
        <w:ind w:firstLine="440" w:firstLineChars="200"/>
        <w:rPr>
          <w:rFonts w:ascii="宋体" w:hAnsi="宋体" w:eastAsia="宋体" w:cs="Times New Roman"/>
          <w:szCs w:val="21"/>
        </w:rPr>
      </w:pPr>
      <w:r>
        <w:rPr>
          <w:rFonts w:ascii="宋体" w:hAnsi="宋体" w:eastAsia="宋体" w:cs="Times New Roman"/>
          <w:szCs w:val="21"/>
        </w:rPr>
        <w:t>新保守主义为世界经济制定的方案有三个基本方面：第一，对国民经济实行私有化和非调控化，使市场作用最大化，国家职能最小化；第二，国家完全取消贸易壁垒，向跨国资本开放经济，实行贸易和金融自由化；第三，压低通货膨胀，从根本上控制财政预算赤字。不同国家在这三个方面具体实施的措施及其重点有很大不同。在发达国家，新保守主义具体实施的政策主要包括：紧缩货币供给，压低工资，抑制通货膨胀；解除政府部门对私人企业的管制，减税刺激投资，削减社会福利支出和打击工会。在拉美、亚非发展中国家和前苏联、东欧等社会主义国家，新保守主义推行的政策主要是私有化、自由化和市场化。在国际贸易和金融领域，新保守主义主张无控制的全球化。</w:t>
      </w:r>
    </w:p>
    <w:p w14:paraId="1DE50F06">
      <w:pPr>
        <w:spacing w:line="300" w:lineRule="auto"/>
        <w:ind w:firstLine="440" w:firstLineChars="200"/>
        <w:rPr>
          <w:rFonts w:ascii="宋体" w:hAnsi="宋体" w:eastAsia="宋体" w:cs="Times New Roman"/>
          <w:szCs w:val="21"/>
        </w:rPr>
      </w:pPr>
      <w:r>
        <w:rPr>
          <w:rFonts w:ascii="宋体" w:hAnsi="宋体" w:eastAsia="宋体" w:cs="Times New Roman"/>
          <w:szCs w:val="21"/>
        </w:rPr>
        <w:t>新保守主义的一系列政策对世界经济产生了重大影响。简单地说，实施新保守主义经济政策的国家，几乎都发生了经济萧条，甚至严重的经济衰退。安德森、阿明、拉莫内、罗伯特·库尔茨等学者具体分析说，一是对美国经济的影响。看起来似乎只有美国在实行新保守主义的供应学派政策后，经济有了相当发展，但如果对美国的统计数字稍加分析，就不难看出这只不过是表面的繁荣，美国推行新保守主义经济政策后，实际也埋下了股市泡沫、私人部门债务膨胀、财政赤字不断扩大等隐患。即使在高科技和经济霸权时代，美国发展速度并不快，且发生经济衰退。二是对其他西方发达国家经济的影响。战后至70年代，由于冷战的需要，美国政府及国际货币基金组织采取了支持西方各国发展的宽松态度，较少干涉各国经济主权和经济决策。全球化、自由化、私有化的结果，使大多数政府控制其国内经济、金融活动的能力被大大削弱了，全球经济的金融泡沫更迅速、更大规模地扩展开来。三是对发展中国家经济的影响。美国用新保守主义理论影响和收买发展中国家知识分子，使他们确信现代化就是西方化或美国化，就是私有化、非调控化和自由化。推行新保守主义</w:t>
      </w:r>
      <w:r>
        <w:rPr>
          <w:rFonts w:hint="eastAsia" w:ascii="宋体" w:hAnsi="宋体" w:eastAsia="宋体" w:cs="Times New Roman"/>
          <w:szCs w:val="21"/>
        </w:rPr>
        <w:t>“</w:t>
      </w:r>
      <w:r>
        <w:rPr>
          <w:rFonts w:ascii="宋体" w:hAnsi="宋体" w:eastAsia="宋体" w:cs="Times New Roman"/>
          <w:szCs w:val="21"/>
        </w:rPr>
        <w:t>结构调整”改革的结果是发展中国家的经济，特别是工业发展的力量遭到了致命的打击，大大削弱了这些国家政府控制国内经济和金融活动的能力，经济安全、民族独立、国家主权不断弱化，国内贫富差距和南北差距不断拉大。前苏联和东欧国家推行破坏性的休克疗法，结果是灾难性的。</w:t>
      </w:r>
    </w:p>
    <w:p w14:paraId="07E59F64">
      <w:pPr>
        <w:spacing w:line="300" w:lineRule="auto"/>
        <w:ind w:firstLine="440" w:firstLineChars="200"/>
        <w:rPr>
          <w:rFonts w:ascii="宋体" w:hAnsi="宋体" w:eastAsia="宋体" w:cs="Times New Roman"/>
          <w:szCs w:val="21"/>
        </w:rPr>
      </w:pPr>
      <w:r>
        <w:rPr>
          <w:rFonts w:ascii="宋体" w:hAnsi="宋体" w:eastAsia="宋体" w:cs="Times New Roman"/>
          <w:szCs w:val="21"/>
        </w:rPr>
        <w:t>对此，乔姆斯基等人指出了新保守主义的双重标准。发达国家在国内从来没有、也不可能实行彻底的保守主义。美国等强国通过政府补贴、非关税壁垒等措施，实行某种程度上的新贸易保护主义。但是，却要求广大发展中国家，特别是社会主义国家推行新自由主义经济政策和经营模式。目前，发达国家的非关税措施已达2700多种。自由贸易理论的一个基本概念就是禁止政府补贴，不过，正如曾任关贸总协定秘书长的经济学家帕特里克·洛评论的那样：</w:t>
      </w:r>
      <w:r>
        <w:rPr>
          <w:rFonts w:hint="eastAsia" w:ascii="宋体" w:hAnsi="宋体" w:eastAsia="宋体" w:cs="Times New Roman"/>
          <w:szCs w:val="21"/>
        </w:rPr>
        <w:t>“</w:t>
      </w:r>
      <w:r>
        <w:rPr>
          <w:rFonts w:ascii="宋体" w:hAnsi="宋体" w:eastAsia="宋体" w:cs="Times New Roman"/>
          <w:szCs w:val="21"/>
        </w:rPr>
        <w:t>正是罗纳德·里根，这位酷爱放任自由、战后国家的最高管理者，领导实现了30年来最大的保护主义转向。他比起半个多世纪以来所有的前任，给予了美国产业界更多的补贴。他领导了有钱有权者自70年代初发起的对自由贸易原则的持续攻击，里根主义者各项措施的限制性影响是其他主要工业国家的三倍。</w:t>
      </w:r>
      <w:r>
        <w:rPr>
          <w:rFonts w:hint="eastAsia" w:ascii="宋体" w:hAnsi="宋体" w:eastAsia="宋体" w:cs="Times New Roman"/>
          <w:szCs w:val="21"/>
        </w:rPr>
        <w:t>“</w:t>
      </w:r>
      <w:r>
        <w:rPr>
          <w:rFonts w:ascii="宋体" w:hAnsi="宋体" w:eastAsia="宋体" w:cs="Times New Roman"/>
          <w:szCs w:val="21"/>
        </w:rPr>
        <w:t>瑏瑣威弗莱德·瑞格洛克和罗·凡·杜德通过对跨国公司的大量研究发现，世界上几乎所有最重要的公司的经营策略及其竞争地位都一直受到政府决策或贸易保护政策的支持，并且1993年世界百强中至少有20家公司，如果没有政府的支撑，是不可能独立生存下来的。瑏瑤这些事实打破了跨国公司</w:t>
      </w:r>
      <w:r>
        <w:rPr>
          <w:rFonts w:hint="eastAsia" w:ascii="宋体" w:hAnsi="宋体" w:eastAsia="宋体" w:cs="Times New Roman"/>
          <w:szCs w:val="21"/>
        </w:rPr>
        <w:t>“</w:t>
      </w:r>
      <w:r>
        <w:rPr>
          <w:rFonts w:ascii="宋体" w:hAnsi="宋体" w:eastAsia="宋体" w:cs="Times New Roman"/>
          <w:szCs w:val="21"/>
        </w:rPr>
        <w:t>中性论”和</w:t>
      </w:r>
      <w:r>
        <w:rPr>
          <w:rFonts w:hint="eastAsia" w:ascii="宋体" w:hAnsi="宋体" w:eastAsia="宋体" w:cs="Times New Roman"/>
          <w:szCs w:val="21"/>
        </w:rPr>
        <w:t>“</w:t>
      </w:r>
      <w:r>
        <w:rPr>
          <w:rFonts w:ascii="宋体" w:hAnsi="宋体" w:eastAsia="宋体" w:cs="Times New Roman"/>
          <w:szCs w:val="21"/>
        </w:rPr>
        <w:t>无国籍论”的假话。新保守主义经济政策明显的功利主义色彩、极大的虚伪性和欺骗性，在对待发达国家和发展中国家所使用的双重标准中，表现得淋漓尽致。</w:t>
      </w:r>
    </w:p>
    <w:p w14:paraId="130465F0">
      <w:pPr>
        <w:spacing w:line="300" w:lineRule="auto"/>
        <w:ind w:firstLine="440" w:firstLineChars="200"/>
        <w:rPr>
          <w:rFonts w:ascii="宋体" w:hAnsi="宋体" w:eastAsia="宋体" w:cs="Times New Roman"/>
          <w:szCs w:val="21"/>
        </w:rPr>
      </w:pPr>
      <w:r>
        <w:rPr>
          <w:rFonts w:ascii="宋体" w:hAnsi="宋体" w:eastAsia="宋体" w:cs="Times New Roman"/>
          <w:szCs w:val="21"/>
        </w:rPr>
        <w:t>世界银行前首席经济学家约瑟夫·斯蒂格利茨也尖锐地批评了新自由主义的结构调整，认为实际上世界银行、国际货币基金组织和世界贸易组织这三个组织都是单一统治秩序下的可互相调换使用的面具，许多规则是由他们共同制定的。它们会在每个国家实施</w:t>
      </w:r>
      <w:r>
        <w:rPr>
          <w:rFonts w:hint="eastAsia" w:ascii="宋体" w:hAnsi="宋体" w:eastAsia="宋体" w:cs="Times New Roman"/>
          <w:szCs w:val="21"/>
        </w:rPr>
        <w:t>“</w:t>
      </w:r>
      <w:r>
        <w:rPr>
          <w:rFonts w:ascii="宋体" w:hAnsi="宋体" w:eastAsia="宋体" w:cs="Times New Roman"/>
          <w:szCs w:val="21"/>
        </w:rPr>
        <w:t>结构调整”的</w:t>
      </w:r>
      <w:r>
        <w:rPr>
          <w:rFonts w:hint="eastAsia" w:ascii="宋体" w:hAnsi="宋体" w:eastAsia="宋体" w:cs="Times New Roman"/>
          <w:szCs w:val="21"/>
        </w:rPr>
        <w:t>“</w:t>
      </w:r>
      <w:r>
        <w:rPr>
          <w:rFonts w:ascii="宋体" w:hAnsi="宋体" w:eastAsia="宋体" w:cs="Times New Roman"/>
          <w:szCs w:val="21"/>
        </w:rPr>
        <w:t>四部曲”：第一步是私有化，准确地说就是腐败化。削价出售国有资产的回扣率会达到10%，而这些资产动辄价值数亿美元。第二步是国际货币基金组织和世界银行的</w:t>
      </w:r>
      <w:r>
        <w:rPr>
          <w:rFonts w:hint="eastAsia" w:ascii="宋体" w:hAnsi="宋体" w:eastAsia="宋体" w:cs="Times New Roman"/>
          <w:szCs w:val="21"/>
        </w:rPr>
        <w:t>“</w:t>
      </w:r>
      <w:r>
        <w:rPr>
          <w:rFonts w:ascii="宋体" w:hAnsi="宋体" w:eastAsia="宋体" w:cs="Times New Roman"/>
          <w:szCs w:val="21"/>
        </w:rPr>
        <w:t>拯救经济计划”——资本市场自由化，即允许资本自由流进流出。投机的</w:t>
      </w:r>
      <w:r>
        <w:rPr>
          <w:rFonts w:hint="eastAsia" w:ascii="宋体" w:hAnsi="宋体" w:eastAsia="宋体" w:cs="Times New Roman"/>
          <w:szCs w:val="21"/>
        </w:rPr>
        <w:t>“</w:t>
      </w:r>
      <w:r>
        <w:rPr>
          <w:rFonts w:ascii="宋体" w:hAnsi="宋体" w:eastAsia="宋体" w:cs="Times New Roman"/>
          <w:szCs w:val="21"/>
        </w:rPr>
        <w:t>热钱”只是单方向不断流出。一个国家的储备在几小时、几天内就流干了。第三步是价格市场化——粮食、水、燃气价格飞涨的时期。它引发骚乱和动荡，进而引起新的资本恐慌性出逃和政府的崩溃，外国公司就趁机以</w:t>
      </w:r>
      <w:r>
        <w:rPr>
          <w:rFonts w:hint="eastAsia" w:ascii="宋体" w:hAnsi="宋体" w:eastAsia="宋体" w:cs="Times New Roman"/>
          <w:szCs w:val="21"/>
        </w:rPr>
        <w:t>“</w:t>
      </w:r>
      <w:r>
        <w:rPr>
          <w:rFonts w:ascii="宋体" w:hAnsi="宋体" w:eastAsia="宋体" w:cs="Times New Roman"/>
          <w:szCs w:val="21"/>
        </w:rPr>
        <w:t>跳楼价”买到那些价值连城的东西。第四步是</w:t>
      </w:r>
      <w:r>
        <w:rPr>
          <w:rFonts w:hint="eastAsia" w:ascii="宋体" w:hAnsi="宋体" w:eastAsia="宋体" w:cs="Times New Roman"/>
          <w:szCs w:val="21"/>
        </w:rPr>
        <w:t>“</w:t>
      </w:r>
      <w:r>
        <w:rPr>
          <w:rFonts w:ascii="宋体" w:hAnsi="宋体" w:eastAsia="宋体" w:cs="Times New Roman"/>
          <w:szCs w:val="21"/>
        </w:rPr>
        <w:t>消灭贫困计划”：自由贸易。斯氏把这种贸易自由化比作以金融和财政手段进行的鸦片战争。所以，他得出结论说：</w:t>
      </w:r>
      <w:r>
        <w:rPr>
          <w:rFonts w:hint="eastAsia" w:ascii="宋体" w:hAnsi="宋体" w:eastAsia="宋体" w:cs="Times New Roman"/>
          <w:szCs w:val="21"/>
        </w:rPr>
        <w:t>“</w:t>
      </w:r>
      <w:r>
        <w:rPr>
          <w:rFonts w:ascii="宋体" w:hAnsi="宋体" w:eastAsia="宋体" w:cs="Times New Roman"/>
          <w:szCs w:val="21"/>
        </w:rPr>
        <w:t>解决这个世界的贫困和危机的办法很简单：消灭剥削者。”</w:t>
      </w:r>
    </w:p>
    <w:p w14:paraId="6AB23623">
      <w:pPr>
        <w:spacing w:line="300" w:lineRule="auto"/>
        <w:ind w:firstLine="440" w:firstLineChars="200"/>
        <w:rPr>
          <w:rFonts w:ascii="宋体" w:hAnsi="宋体" w:eastAsia="宋体" w:cs="Times New Roman"/>
          <w:szCs w:val="21"/>
        </w:rPr>
      </w:pPr>
      <w:r>
        <w:rPr>
          <w:rFonts w:ascii="宋体" w:hAnsi="宋体" w:eastAsia="宋体" w:cs="Times New Roman"/>
          <w:szCs w:val="21"/>
        </w:rPr>
        <w:t>简言之，在库尔茨等一些学者看来，新保守主义经济学一方面承诺</w:t>
      </w:r>
      <w:r>
        <w:rPr>
          <w:rFonts w:hint="eastAsia" w:ascii="宋体" w:hAnsi="宋体" w:eastAsia="宋体" w:cs="Times New Roman"/>
          <w:szCs w:val="21"/>
        </w:rPr>
        <w:t>“</w:t>
      </w:r>
      <w:r>
        <w:rPr>
          <w:rFonts w:ascii="宋体" w:hAnsi="宋体" w:eastAsia="宋体" w:cs="Times New Roman"/>
          <w:szCs w:val="21"/>
        </w:rPr>
        <w:t>看不见的手”具有造福人类、促进繁荣的作用，另一方面又造成世界范围内人为的史无前例的大众贫困。</w:t>
      </w:r>
    </w:p>
    <w:p w14:paraId="6122AF16">
      <w:pPr>
        <w:spacing w:before="156" w:beforeLines="50" w:after="156" w:afterLines="50" w:line="300" w:lineRule="auto"/>
        <w:ind w:firstLine="500" w:firstLineChars="200"/>
        <w:jc w:val="center"/>
        <w:rPr>
          <w:rFonts w:ascii="宋体" w:hAnsi="宋体" w:eastAsia="宋体" w:cs="Times New Roman"/>
          <w:b/>
          <w:bCs/>
          <w:kern w:val="28"/>
          <w:sz w:val="24"/>
          <w:szCs w:val="32"/>
        </w:rPr>
      </w:pPr>
      <w:bookmarkStart w:id="303" w:name="_Toc16724"/>
      <w:bookmarkStart w:id="304" w:name="_Toc20824"/>
      <w:r>
        <w:rPr>
          <w:rFonts w:ascii="宋体" w:hAnsi="宋体" w:eastAsia="宋体" w:cs="Times New Roman"/>
          <w:b/>
          <w:bCs/>
          <w:kern w:val="28"/>
          <w:sz w:val="24"/>
          <w:szCs w:val="32"/>
        </w:rPr>
        <w:t>四、新保守主义经济思潮与全球化</w:t>
      </w:r>
      <w:bookmarkEnd w:id="303"/>
      <w:bookmarkEnd w:id="304"/>
    </w:p>
    <w:p w14:paraId="7A40E641">
      <w:pPr>
        <w:spacing w:line="300" w:lineRule="auto"/>
        <w:ind w:firstLine="440" w:firstLineChars="200"/>
        <w:rPr>
          <w:rFonts w:ascii="宋体" w:hAnsi="宋体" w:eastAsia="宋体" w:cs="Times New Roman"/>
          <w:szCs w:val="21"/>
        </w:rPr>
      </w:pPr>
      <w:r>
        <w:rPr>
          <w:rFonts w:ascii="宋体" w:hAnsi="宋体" w:eastAsia="宋体" w:cs="Times New Roman"/>
          <w:szCs w:val="21"/>
        </w:rPr>
        <w:t>西方左翼学者从诸多层面揭示了新保守主义与全球化的关系，以及在新保守主义主导下经济全球化的性质与特点等。</w:t>
      </w:r>
    </w:p>
    <w:p w14:paraId="77943B22">
      <w:pPr>
        <w:spacing w:line="300" w:lineRule="auto"/>
        <w:ind w:firstLine="440" w:firstLineChars="200"/>
        <w:rPr>
          <w:rFonts w:ascii="宋体" w:hAnsi="宋体" w:eastAsia="宋体" w:cs="Times New Roman"/>
          <w:szCs w:val="21"/>
        </w:rPr>
      </w:pPr>
      <w:r>
        <w:rPr>
          <w:rFonts w:ascii="宋体" w:hAnsi="宋体" w:eastAsia="宋体" w:cs="Times New Roman"/>
          <w:szCs w:val="21"/>
        </w:rPr>
        <w:t>福斯特指出：今天的自由主义将全球化强调为自由市场制度的自发产物，人们现在被告知，除了新保守主义，</w:t>
      </w:r>
      <w:r>
        <w:rPr>
          <w:rFonts w:hint="eastAsia" w:ascii="宋体" w:hAnsi="宋体" w:eastAsia="宋体" w:cs="Times New Roman"/>
          <w:szCs w:val="21"/>
        </w:rPr>
        <w:t>“</w:t>
      </w:r>
      <w:r>
        <w:rPr>
          <w:rFonts w:ascii="宋体" w:hAnsi="宋体" w:eastAsia="宋体" w:cs="Times New Roman"/>
          <w:szCs w:val="21"/>
        </w:rPr>
        <w:t>别无选择”；我们生存于全球的</w:t>
      </w:r>
      <w:r>
        <w:rPr>
          <w:rFonts w:hint="eastAsia" w:ascii="宋体" w:hAnsi="宋体" w:eastAsia="宋体" w:cs="Times New Roman"/>
          <w:szCs w:val="21"/>
        </w:rPr>
        <w:t>“</w:t>
      </w:r>
      <w:r>
        <w:rPr>
          <w:rFonts w:ascii="宋体" w:hAnsi="宋体" w:eastAsia="宋体" w:cs="Times New Roman"/>
          <w:szCs w:val="21"/>
        </w:rPr>
        <w:t>竞争性秩序”中，国家抵挡不住全球化的力量；市场不再是国家的，而是全球的；由此公司也应当变成是全球的，而不仅是多国的和跨国的。其实，他强调当前的新自由主义全球化，只不过以功利主义的方式反映了资本主义普遍化的更为根本的趋势；今天资本主义已经如此普遍，资本主义的矛盾正在以新的积累方式表现出来。</w:t>
      </w:r>
    </w:p>
    <w:p w14:paraId="529F3889">
      <w:pPr>
        <w:spacing w:line="300" w:lineRule="auto"/>
        <w:ind w:firstLine="440" w:firstLineChars="200"/>
        <w:rPr>
          <w:rFonts w:ascii="宋体" w:hAnsi="宋体" w:eastAsia="宋体" w:cs="Times New Roman"/>
          <w:szCs w:val="21"/>
        </w:rPr>
      </w:pPr>
      <w:r>
        <w:rPr>
          <w:rFonts w:ascii="宋体" w:hAnsi="宋体" w:eastAsia="宋体" w:cs="Times New Roman"/>
          <w:szCs w:val="21"/>
        </w:rPr>
        <w:t>跨国公司成为新保守主义全球化进程的主导力量。英国《焦点》月刊2000年8月号刊载题名《全球化》的文章援引联合国人权事务高级官员玛丽·罗宾逊的话指出，如今，500家公司操纵着全球1/3的国民生产总值和3/4的世界贸易，12家公司不久将控制全球食品工业。她担心，权力正在从政治家手中转向董事会会议室。</w:t>
      </w:r>
    </w:p>
    <w:p w14:paraId="0B06BF23">
      <w:pPr>
        <w:spacing w:line="300" w:lineRule="auto"/>
        <w:ind w:firstLine="440" w:firstLineChars="200"/>
        <w:rPr>
          <w:rFonts w:ascii="宋体" w:hAnsi="宋体" w:eastAsia="宋体" w:cs="Times New Roman"/>
          <w:szCs w:val="21"/>
        </w:rPr>
      </w:pPr>
      <w:r>
        <w:rPr>
          <w:rFonts w:ascii="宋体" w:hAnsi="宋体" w:eastAsia="宋体" w:cs="Times New Roman"/>
          <w:szCs w:val="21"/>
        </w:rPr>
        <w:t>金融危机频繁仍是新保守主义全球化后的一个最突出的特点。法国学者法尔内蒂·里查认为，金融自由化和金融全球化导致了</w:t>
      </w:r>
      <w:r>
        <w:rPr>
          <w:rFonts w:hint="eastAsia" w:ascii="宋体" w:hAnsi="宋体" w:eastAsia="宋体" w:cs="Times New Roman"/>
          <w:szCs w:val="21"/>
        </w:rPr>
        <w:t>“</w:t>
      </w:r>
      <w:r>
        <w:rPr>
          <w:rFonts w:ascii="宋体" w:hAnsi="宋体" w:eastAsia="宋体" w:cs="Times New Roman"/>
          <w:szCs w:val="21"/>
        </w:rPr>
        <w:t>国际投机经济”。机构投资者的金融投机造成了国际金融的不稳定性，是20世纪90年代金融危机产生的重要原因。英美的养老基金和互助基金是促进金融自由化、全球化的重要因素。根据保守的估计，截至1998年11月，在亚洲金融危机国家和地区50%以上经济化为乌有的同时，却有7000多亿美元转入美国。</w:t>
      </w:r>
    </w:p>
    <w:p w14:paraId="035D17C1">
      <w:pPr>
        <w:spacing w:line="300" w:lineRule="auto"/>
        <w:ind w:firstLine="440" w:firstLineChars="200"/>
        <w:rPr>
          <w:rFonts w:ascii="宋体" w:hAnsi="宋体" w:eastAsia="宋体" w:cs="Times New Roman"/>
          <w:szCs w:val="21"/>
        </w:rPr>
      </w:pPr>
      <w:r>
        <w:rPr>
          <w:rFonts w:ascii="宋体" w:hAnsi="宋体" w:eastAsia="宋体" w:cs="Times New Roman"/>
          <w:szCs w:val="21"/>
        </w:rPr>
        <w:t>新保守主义全球化对民族国家的权威和经济安全形成了挑战。霍布斯鲍姆指出，在自由市场神学家如日中天的时节，国家观念甚至更遭到进一步的破坏，因为其时兴起了一股大风，使得许多原本在原则上由公共事业从事的活动，均被分解</w:t>
      </w:r>
      <w:r>
        <w:rPr>
          <w:rFonts w:hint="eastAsia" w:ascii="宋体" w:hAnsi="宋体" w:eastAsia="宋体" w:cs="Times New Roman"/>
          <w:szCs w:val="21"/>
        </w:rPr>
        <w:t>“</w:t>
      </w:r>
      <w:r>
        <w:rPr>
          <w:rFonts w:ascii="宋体" w:hAnsi="宋体" w:eastAsia="宋体" w:cs="Times New Roman"/>
          <w:szCs w:val="21"/>
        </w:rPr>
        <w:t>回归”于</w:t>
      </w:r>
      <w:r>
        <w:rPr>
          <w:rFonts w:hint="eastAsia" w:ascii="宋体" w:hAnsi="宋体" w:eastAsia="宋体" w:cs="Times New Roman"/>
          <w:szCs w:val="21"/>
        </w:rPr>
        <w:t>“</w:t>
      </w:r>
      <w:r>
        <w:rPr>
          <w:rFonts w:ascii="宋体" w:hAnsi="宋体" w:eastAsia="宋体" w:cs="Times New Roman"/>
          <w:szCs w:val="21"/>
        </w:rPr>
        <w:t>市场”之手。在西方强国占绝对优势的全球化和国际秩序中，所谓削弱国家职能，就是削弱第三世界国家干预西方资本流动、保障本国主权和民族独立的经济职能。正如美国左翼人士阿兰·伯努瓦指出的，</w:t>
      </w:r>
      <w:r>
        <w:rPr>
          <w:rFonts w:hint="eastAsia" w:ascii="宋体" w:hAnsi="宋体" w:eastAsia="宋体" w:cs="Times New Roman"/>
          <w:szCs w:val="21"/>
        </w:rPr>
        <w:t>“</w:t>
      </w:r>
      <w:r>
        <w:rPr>
          <w:rFonts w:ascii="宋体" w:hAnsi="宋体" w:eastAsia="宋体" w:cs="Times New Roman"/>
          <w:szCs w:val="21"/>
        </w:rPr>
        <w:t>国际组织本身已成为全球化的工具。国际货币基金组织和世界银行的作用就是强制实行解除管制，管理货币的波动，强迫第三世界经济服从于偿还国债的绝对命令”。</w:t>
      </w:r>
    </w:p>
    <w:p w14:paraId="4722B481">
      <w:pPr>
        <w:spacing w:before="156" w:beforeLines="50" w:after="156" w:afterLines="50" w:line="300" w:lineRule="auto"/>
        <w:ind w:firstLine="500" w:firstLineChars="200"/>
        <w:jc w:val="center"/>
        <w:rPr>
          <w:rFonts w:ascii="宋体" w:hAnsi="宋体" w:eastAsia="宋体" w:cs="Times New Roman"/>
          <w:b/>
          <w:bCs/>
          <w:kern w:val="28"/>
          <w:sz w:val="24"/>
          <w:szCs w:val="32"/>
        </w:rPr>
      </w:pPr>
      <w:bookmarkStart w:id="305" w:name="_Toc12383"/>
      <w:bookmarkStart w:id="306" w:name="_Toc11571"/>
      <w:r>
        <w:rPr>
          <w:rFonts w:ascii="宋体" w:hAnsi="宋体" w:eastAsia="宋体" w:cs="Times New Roman"/>
          <w:b/>
          <w:bCs/>
          <w:kern w:val="28"/>
          <w:sz w:val="24"/>
          <w:szCs w:val="32"/>
        </w:rPr>
        <w:t>五、如何超越新保守主义经济思潮</w:t>
      </w:r>
      <w:bookmarkEnd w:id="305"/>
      <w:bookmarkEnd w:id="306"/>
    </w:p>
    <w:p w14:paraId="1821BB8F">
      <w:pPr>
        <w:spacing w:line="300" w:lineRule="auto"/>
        <w:ind w:firstLine="440" w:firstLineChars="200"/>
        <w:rPr>
          <w:rFonts w:ascii="宋体" w:hAnsi="宋体" w:eastAsia="宋体" w:cs="Times New Roman"/>
          <w:szCs w:val="21"/>
        </w:rPr>
      </w:pPr>
      <w:r>
        <w:rPr>
          <w:rFonts w:ascii="宋体" w:hAnsi="宋体" w:eastAsia="宋体" w:cs="Times New Roman"/>
          <w:szCs w:val="21"/>
        </w:rPr>
        <w:t>国外许多人士还提出了超越新保守主义的历史课题，就战胜新保守主义的前景、道路与方法发表自己的看法。</w:t>
      </w:r>
    </w:p>
    <w:p w14:paraId="3C3AA30A">
      <w:pPr>
        <w:spacing w:line="300" w:lineRule="auto"/>
        <w:ind w:firstLine="440" w:firstLineChars="200"/>
        <w:rPr>
          <w:rFonts w:ascii="宋体" w:hAnsi="宋体" w:eastAsia="宋体" w:cs="Times New Roman"/>
          <w:szCs w:val="21"/>
        </w:rPr>
      </w:pPr>
      <w:r>
        <w:rPr>
          <w:rFonts w:ascii="宋体" w:hAnsi="宋体" w:eastAsia="宋体" w:cs="Times New Roman"/>
          <w:szCs w:val="21"/>
        </w:rPr>
        <w:t>德国社会民主党左派领袖、前财政部长奥斯卡·拉封丹撰写了不少论著，发出反对新自由主义的呼吁，指出与里根和撒切尔夫人的名字相联系的保守党的经济革命已在整个世界普及开来，它导致了前苏东集团的瓦解，并带来了一定的发展，而这些发展现在必须加以修正。我们让新保守主义者来支配我们政策的中心概念和内容，这一时间太长了，这种局面必须加以改变。罗伯特·麦克切斯尼说，新保守主义卫道士最后的王牌，是声称除了新保守主义别无选择，共产主义社会、社会民主主义，甚至美国式最温和的福利国家都失败了，新保守主义已被接受为惟一可行的道路；它也许不完美，但却是惟一可行的经济体系。但在实际上，</w:t>
      </w:r>
      <w:r>
        <w:rPr>
          <w:rFonts w:hint="eastAsia" w:ascii="宋体" w:hAnsi="宋体" w:eastAsia="宋体" w:cs="Times New Roman"/>
          <w:szCs w:val="21"/>
        </w:rPr>
        <w:t>“</w:t>
      </w:r>
      <w:r>
        <w:rPr>
          <w:rFonts w:ascii="宋体" w:hAnsi="宋体" w:eastAsia="宋体" w:cs="Times New Roman"/>
          <w:szCs w:val="21"/>
        </w:rPr>
        <w:t>无论在美国还是在世界其他地方，新自由主义都是真正的分享民主制的最直接敌人”，</w:t>
      </w:r>
      <w:r>
        <w:rPr>
          <w:rFonts w:hint="eastAsia" w:ascii="宋体" w:hAnsi="宋体" w:eastAsia="宋体" w:cs="Times New Roman"/>
          <w:szCs w:val="21"/>
        </w:rPr>
        <w:t xml:space="preserve"> “</w:t>
      </w:r>
      <w:r>
        <w:rPr>
          <w:rFonts w:ascii="宋体" w:hAnsi="宋体" w:eastAsia="宋体" w:cs="Times New Roman"/>
          <w:szCs w:val="21"/>
        </w:rPr>
        <w:t>它已造成了巨大的政治、经济危机”。</w:t>
      </w:r>
    </w:p>
    <w:p w14:paraId="1611BAB6">
      <w:pPr>
        <w:spacing w:line="300" w:lineRule="auto"/>
        <w:ind w:firstLine="440" w:firstLineChars="200"/>
        <w:rPr>
          <w:rFonts w:ascii="宋体" w:hAnsi="宋体" w:eastAsia="宋体" w:cs="Times New Roman"/>
          <w:szCs w:val="21"/>
        </w:rPr>
      </w:pPr>
      <w:r>
        <w:rPr>
          <w:rFonts w:ascii="宋体" w:hAnsi="宋体" w:eastAsia="宋体" w:cs="Times New Roman"/>
          <w:szCs w:val="21"/>
        </w:rPr>
        <w:t>乔姆斯基指出，过去有几个时期也被称作</w:t>
      </w:r>
      <w:r>
        <w:rPr>
          <w:rFonts w:hint="eastAsia" w:ascii="宋体" w:hAnsi="宋体" w:eastAsia="宋体" w:cs="Times New Roman"/>
          <w:szCs w:val="21"/>
        </w:rPr>
        <w:t>“</w:t>
      </w:r>
      <w:r>
        <w:rPr>
          <w:rFonts w:ascii="宋体" w:hAnsi="宋体" w:eastAsia="宋体" w:cs="Times New Roman"/>
          <w:szCs w:val="21"/>
        </w:rPr>
        <w:t>历史的终结”，比如20世纪20年代和50年代，但事实已证明此种观点愚蠢之极。现代新保守主义秩序已造成巨大的政治和经济危机，没有理由相信动乱会自动向民主、人道的解决途径发展，一切取决于我们，取决于人民怎样组织、回应和行动。对未来的选择权掌握在我们大家的手中。安德森、乔姆斯基等著名左派都特别强调民主对于战胜新保守主义的作用。安德森指出，如何超越新保守主义的课题，如今已摆在人们的面前。对新保守主义的批判可以从价值、所有权和民主三个方面着手。在价值问题上，我们必须强调平等原则是自由社会的中心准则。在所有权问题上，新自由主义者正是通过私有化，对社会主义发动了一场十字军东征。然而，人们完全可以创造出人民所有制的新形式。这个课题今天不仅在发达国家的左翼人士中展开讨论，而且在中国及其他第三世界国家也已开始了典型试验。瑐瑡乔姆斯基说，民主是人们值得生存其中并为之奋斗的后资本主义社会的基础。那种将资本主义制度等同于民主，或认为资本主义制度会允许人们拥有信息和决策权的想法是何等荒谬。他指出，有组织的政治行动主义造成了我们今天拥有的民主的程度，带来了政治普选权、妇女权利、工会、公民权以及我们享有的自由。我们应把建立基于合作、平等、自治和个人自由原则的政治经济制度作为出发点来思考问题。</w:t>
      </w:r>
    </w:p>
    <w:p w14:paraId="2E12AC6C">
      <w:pPr>
        <w:spacing w:line="300" w:lineRule="auto"/>
        <w:ind w:firstLine="440" w:firstLineChars="200"/>
        <w:rPr>
          <w:rFonts w:ascii="宋体" w:hAnsi="宋体" w:eastAsia="宋体" w:cs="Times New Roman"/>
          <w:szCs w:val="21"/>
        </w:rPr>
      </w:pPr>
      <w:r>
        <w:rPr>
          <w:rFonts w:ascii="宋体" w:hAnsi="宋体" w:eastAsia="宋体" w:cs="Times New Roman"/>
          <w:szCs w:val="21"/>
        </w:rPr>
        <w:t>西方左翼理论家还认识到，要战胜和超越包括经济理论在内的新保守主义，左翼必须重新打造自身的理论基础。安德森提出，要做好与新自由主义进行长期斗争的准备，强调左翼应学习新自由主义右翼在理论上的坚定性，坚持一种激进的和彻底的意识形态；应学习右翼在体制上的灵活性，注重研究当代现实的变化，使理论具有解释时代变化的能力；他甚至希望左翼理论家学习哈耶克、福山等右翼理论家充满信心的、通俗明快的写作风格。</w:t>
      </w:r>
    </w:p>
    <w:p w14:paraId="21BC8184">
      <w:pPr>
        <w:spacing w:before="156" w:beforeLines="50" w:after="156" w:afterLines="50" w:line="300" w:lineRule="auto"/>
        <w:ind w:firstLine="500" w:firstLineChars="200"/>
        <w:jc w:val="center"/>
        <w:rPr>
          <w:rFonts w:ascii="宋体" w:hAnsi="宋体" w:eastAsia="宋体" w:cs="Times New Roman"/>
          <w:b/>
          <w:bCs/>
          <w:kern w:val="28"/>
          <w:sz w:val="24"/>
          <w:szCs w:val="32"/>
        </w:rPr>
      </w:pPr>
      <w:bookmarkStart w:id="307" w:name="_Toc4251"/>
      <w:bookmarkStart w:id="308" w:name="_Toc31815"/>
      <w:r>
        <w:rPr>
          <w:rFonts w:ascii="宋体" w:hAnsi="宋体" w:eastAsia="宋体" w:cs="Times New Roman"/>
          <w:b/>
          <w:bCs/>
          <w:kern w:val="28"/>
          <w:sz w:val="24"/>
          <w:szCs w:val="32"/>
        </w:rPr>
        <w:t>六、简短评论</w:t>
      </w:r>
      <w:bookmarkEnd w:id="307"/>
      <w:bookmarkEnd w:id="308"/>
    </w:p>
    <w:p w14:paraId="40676B55">
      <w:pPr>
        <w:spacing w:line="300" w:lineRule="auto"/>
        <w:ind w:firstLine="440" w:firstLineChars="200"/>
        <w:rPr>
          <w:rFonts w:ascii="宋体" w:hAnsi="宋体" w:eastAsia="宋体" w:cs="Times New Roman"/>
          <w:szCs w:val="21"/>
        </w:rPr>
      </w:pPr>
      <w:r>
        <w:rPr>
          <w:rFonts w:ascii="宋体" w:hAnsi="宋体" w:eastAsia="宋体" w:cs="Times New Roman"/>
          <w:szCs w:val="21"/>
        </w:rPr>
        <w:t>第一，从人类社会经济思想史的演进和世界经济发展的本质趋势察析，相对于马克思主义经济学、西方激进经济学和新老凯恩斯主义经济学来说，新自由主义经济思潮总体上是保守和落后的，尽管它也有某些合理思想颗粒。因此，包括萨缪尔逊在内的西方众多学者，把新自由主义经济学称之为</w:t>
      </w:r>
      <w:r>
        <w:rPr>
          <w:rFonts w:hint="eastAsia" w:ascii="宋体" w:hAnsi="宋体" w:eastAsia="宋体" w:cs="Times New Roman"/>
          <w:szCs w:val="21"/>
        </w:rPr>
        <w:t>“</w:t>
      </w:r>
      <w:r>
        <w:rPr>
          <w:rFonts w:ascii="宋体" w:hAnsi="宋体" w:eastAsia="宋体" w:cs="Times New Roman"/>
          <w:szCs w:val="21"/>
        </w:rPr>
        <w:t>右翼经济学”或新保守主义经济学，是准确地描述了其思想特征的。信奉新自由主义的俄罗斯右翼力量联盟党，英国、日本等国家的保守党，也都是公开自称在经济、政治和文化上处于保守地位。</w:t>
      </w:r>
    </w:p>
    <w:p w14:paraId="66D8D80A">
      <w:pPr>
        <w:spacing w:line="300" w:lineRule="auto"/>
        <w:ind w:firstLine="440" w:firstLineChars="200"/>
        <w:rPr>
          <w:rFonts w:ascii="宋体" w:hAnsi="宋体" w:eastAsia="宋体" w:cs="Times New Roman"/>
          <w:szCs w:val="21"/>
        </w:rPr>
      </w:pPr>
      <w:r>
        <w:rPr>
          <w:rFonts w:ascii="宋体" w:hAnsi="宋体" w:eastAsia="宋体" w:cs="Times New Roman"/>
          <w:szCs w:val="21"/>
        </w:rPr>
        <w:t>第二，在经济全球化和冷战结束的条件下，20世纪80、90年代的西方新保守主义经济学（新自由主义经济学）取代凯恩斯主义，成为当代资本主义的主流经济意识形态，取得了思想</w:t>
      </w:r>
      <w:r>
        <w:rPr>
          <w:rFonts w:hint="eastAsia" w:ascii="宋体" w:hAnsi="宋体" w:eastAsia="宋体" w:cs="Times New Roman"/>
          <w:szCs w:val="21"/>
        </w:rPr>
        <w:t>“</w:t>
      </w:r>
      <w:r>
        <w:rPr>
          <w:rFonts w:ascii="宋体" w:hAnsi="宋体" w:eastAsia="宋体" w:cs="Times New Roman"/>
          <w:szCs w:val="21"/>
        </w:rPr>
        <w:t>霸权”的强势地位。但是，西方左翼和中间派学者（萨缪尔逊自称属于中间派）对新保守主义的批判也一直在进行着，特别是世纪之交的近几年来，形成了一次前苏联与东欧社会主义失败后对新右派（新保守主义、新自由主义）的意识形态批判浪潮。这是具有重大理论意义和进步性的，也是当今国际经济学界的前沿创新。</w:t>
      </w:r>
    </w:p>
    <w:p w14:paraId="06297EE9">
      <w:pPr>
        <w:spacing w:line="300" w:lineRule="auto"/>
        <w:ind w:firstLine="440" w:firstLineChars="200"/>
        <w:rPr>
          <w:rFonts w:ascii="宋体" w:hAnsi="宋体" w:eastAsia="宋体" w:cs="Times New Roman"/>
          <w:szCs w:val="21"/>
        </w:rPr>
      </w:pPr>
      <w:r>
        <w:rPr>
          <w:rFonts w:ascii="宋体" w:hAnsi="宋体" w:eastAsia="宋体" w:cs="Times New Roman"/>
          <w:szCs w:val="21"/>
        </w:rPr>
        <w:t>第三，更可喜的是，随着西方国家的人民在西雅图、布拉格、华盛顿、达沃斯等地不断举行反对新保守主义主导下全球化的大规模抗议示威的发生，思想的、学术的和理论的批判开始转变为实际行动。近年来，委内瑞拉、巴西和阿根廷等南美国家，在推行十多年新保守主义经济政策而碰壁之后改行中左政策，使新保守主义经济理论失去了试验地，缩小了影响。定期在古巴举行的</w:t>
      </w:r>
      <w:r>
        <w:rPr>
          <w:rFonts w:hint="eastAsia" w:ascii="宋体" w:hAnsi="宋体" w:eastAsia="宋体" w:cs="Times New Roman"/>
          <w:szCs w:val="21"/>
        </w:rPr>
        <w:t>“</w:t>
      </w:r>
      <w:r>
        <w:rPr>
          <w:rFonts w:ascii="宋体" w:hAnsi="宋体" w:eastAsia="宋体" w:cs="Times New Roman"/>
          <w:szCs w:val="21"/>
        </w:rPr>
        <w:t>全球化论坛”，以及世界社会论坛等，已日渐成为全世界学者和各界人士批判新保守主义及其经济学的重镇，并将逐步扭转思想和体制的旧局面。</w:t>
      </w:r>
    </w:p>
    <w:p w14:paraId="7F59DAAD">
      <w:pPr>
        <w:spacing w:line="300" w:lineRule="auto"/>
        <w:ind w:firstLine="440" w:firstLineChars="200"/>
        <w:rPr>
          <w:rFonts w:ascii="宋体" w:hAnsi="宋体" w:eastAsia="宋体" w:cs="Times New Roman"/>
          <w:szCs w:val="21"/>
        </w:rPr>
      </w:pPr>
      <w:r>
        <w:rPr>
          <w:rFonts w:ascii="宋体" w:hAnsi="宋体" w:eastAsia="宋体" w:cs="Times New Roman"/>
          <w:szCs w:val="21"/>
        </w:rPr>
        <w:t>第四，对发达国家和发展中国家实行双重标准的新保守主义经济思潮，其目标是建立以发达国家为主导的全球经济新秩序和资本主义的全球扩张。其结果，一方面拓展了资本主义生存和发展的空间，缓和了资本主义的基本矛盾，另一方面又造成了世界资本主义体系新的矛盾和危机，特别是加剧了发达国家内部以及发达国家和发展中国家之间的贫富两极分化，从而引发了国家层面的反对新保守主义经济思潮的斗争。这是反对新保守主义的重要国际态势。</w:t>
      </w:r>
    </w:p>
    <w:p w14:paraId="20A1E644">
      <w:pPr>
        <w:spacing w:line="300" w:lineRule="auto"/>
        <w:ind w:firstLine="440" w:firstLineChars="200"/>
        <w:rPr>
          <w:rFonts w:ascii="宋体" w:hAnsi="宋体" w:eastAsia="宋体" w:cs="Times New Roman"/>
          <w:szCs w:val="21"/>
        </w:rPr>
      </w:pPr>
      <w:r>
        <w:rPr>
          <w:rFonts w:ascii="宋体" w:hAnsi="宋体" w:eastAsia="宋体" w:cs="Times New Roman"/>
          <w:szCs w:val="21"/>
        </w:rPr>
        <w:t>第五，安德森说得好，西方左翼要从新保守主义霸权统治下逆风起飞，必须彻底检讨自身理论的成败得失，根据时代的发展变化建立自身的理论基础，重新制定新世纪的理论战略。当今世界一切马克思主义经济学家、西方激进经济学家必须联合起来，整合成强有力的学术力量，学术批判与学术创新并重，继续全面超越新保守主义经济思想，为人类的健康发展与福利而贡献超前的智慧。</w:t>
      </w:r>
    </w:p>
    <w:p w14:paraId="13F1768A">
      <w:pPr>
        <w:spacing w:line="300" w:lineRule="auto"/>
        <w:ind w:firstLine="440" w:firstLineChars="200"/>
        <w:rPr>
          <w:rFonts w:ascii="宋体" w:hAnsi="宋体" w:eastAsia="宋体" w:cs="Times New Roman"/>
          <w:szCs w:val="21"/>
        </w:rPr>
      </w:pPr>
    </w:p>
    <w:p w14:paraId="59E7B385">
      <w:pPr>
        <w:spacing w:line="276" w:lineRule="auto"/>
        <w:ind w:firstLine="440" w:firstLineChars="200"/>
        <w:rPr>
          <w:rFonts w:ascii="宋体" w:hAnsi="宋体" w:eastAsia="宋体" w:cs="Times New Roman"/>
          <w:b/>
          <w:szCs w:val="21"/>
        </w:rPr>
      </w:pPr>
      <w:r>
        <w:rPr>
          <w:rFonts w:ascii="宋体" w:hAnsi="宋体" w:eastAsia="宋体" w:cs="Times New Roman"/>
          <w:b/>
          <w:szCs w:val="21"/>
        </w:rPr>
        <w:t>注释：</w:t>
      </w:r>
    </w:p>
    <w:p w14:paraId="6A45FBCC">
      <w:pPr>
        <w:spacing w:line="276" w:lineRule="auto"/>
        <w:ind w:firstLine="380" w:firstLineChars="200"/>
        <w:rPr>
          <w:rFonts w:ascii="宋体" w:hAnsi="宋体" w:eastAsia="宋体" w:cs="Times New Roman"/>
          <w:sz w:val="18"/>
          <w:szCs w:val="18"/>
        </w:rPr>
      </w:pPr>
      <w:r>
        <w:rPr>
          <w:rFonts w:hint="eastAsia" w:ascii="宋体" w:hAnsi="宋体" w:eastAsia="宋体" w:cs="宋体"/>
          <w:sz w:val="18"/>
          <w:szCs w:val="18"/>
        </w:rPr>
        <w:t>①②</w:t>
      </w:r>
      <w:r>
        <w:rPr>
          <w:rFonts w:ascii="宋体" w:hAnsi="宋体" w:eastAsia="宋体" w:cs="Times New Roman"/>
          <w:sz w:val="18"/>
          <w:szCs w:val="18"/>
        </w:rPr>
        <w:t>诺姆·乔姆斯基：《新自由主义和全球秩序》，江苏人民出版社2000年版，第3页，第1页，第49页，第23页。</w:t>
      </w:r>
    </w:p>
    <w:p w14:paraId="2CD1AE04">
      <w:pPr>
        <w:spacing w:line="276" w:lineRule="auto"/>
        <w:ind w:firstLine="380" w:firstLineChars="200"/>
        <w:rPr>
          <w:rFonts w:ascii="宋体" w:hAnsi="宋体" w:eastAsia="宋体" w:cs="Times New Roman"/>
          <w:sz w:val="18"/>
          <w:szCs w:val="18"/>
        </w:rPr>
      </w:pPr>
      <w:r>
        <w:rPr>
          <w:rFonts w:hint="eastAsia" w:ascii="宋体" w:hAnsi="宋体" w:eastAsia="宋体" w:cs="宋体"/>
          <w:sz w:val="18"/>
          <w:szCs w:val="18"/>
        </w:rPr>
        <w:t>③</w:t>
      </w:r>
      <w:r>
        <w:rPr>
          <w:rFonts w:ascii="宋体" w:hAnsi="宋体" w:eastAsia="宋体" w:cs="Times New Roman"/>
          <w:sz w:val="18"/>
          <w:szCs w:val="18"/>
        </w:rPr>
        <w:t>卢恰诺·佩利卡尼：《什么是社会主义》，见《未来社会主义》，联邦德国《新社会法兰克福杂志》1990年特刊，第114～115页。</w:t>
      </w:r>
    </w:p>
    <w:p w14:paraId="4E7B6B93">
      <w:pPr>
        <w:spacing w:line="276" w:lineRule="auto"/>
        <w:ind w:firstLine="380" w:firstLineChars="200"/>
        <w:rPr>
          <w:rFonts w:ascii="宋体" w:hAnsi="宋体" w:eastAsia="宋体" w:cs="Times New Roman"/>
          <w:sz w:val="18"/>
          <w:szCs w:val="18"/>
        </w:rPr>
      </w:pPr>
      <w:r>
        <w:rPr>
          <w:rFonts w:hint="eastAsia" w:ascii="宋体" w:hAnsi="宋体" w:eastAsia="宋体" w:cs="宋体"/>
          <w:sz w:val="18"/>
          <w:szCs w:val="18"/>
        </w:rPr>
        <w:t>④</w:t>
      </w:r>
      <w:r>
        <w:rPr>
          <w:rFonts w:ascii="宋体" w:hAnsi="宋体" w:eastAsia="宋体" w:cs="Times New Roman"/>
          <w:sz w:val="18"/>
          <w:szCs w:val="18"/>
        </w:rPr>
        <w:t>S·比塔尔：《新自由主义与拉美的新结构主义之争》，载拉美经委会《拉美经委会评论》，1988年4月，第45页。</w:t>
      </w:r>
    </w:p>
    <w:p w14:paraId="33815280">
      <w:pPr>
        <w:spacing w:line="276" w:lineRule="auto"/>
        <w:ind w:firstLine="380" w:firstLineChars="200"/>
        <w:rPr>
          <w:rFonts w:ascii="宋体" w:hAnsi="宋体" w:eastAsia="宋体" w:cs="Times New Roman"/>
          <w:sz w:val="18"/>
          <w:szCs w:val="18"/>
        </w:rPr>
      </w:pPr>
      <w:r>
        <w:rPr>
          <w:rFonts w:hint="eastAsia" w:ascii="宋体" w:hAnsi="宋体" w:eastAsia="宋体" w:cs="宋体"/>
          <w:sz w:val="18"/>
          <w:szCs w:val="18"/>
        </w:rPr>
        <w:t>⑤</w:t>
      </w:r>
      <w:r>
        <w:rPr>
          <w:rFonts w:ascii="宋体" w:hAnsi="宋体" w:eastAsia="宋体" w:cs="Times New Roman"/>
          <w:sz w:val="18"/>
          <w:szCs w:val="18"/>
        </w:rPr>
        <w:t>R.Dworkin.Taking Rights Seriously.Harvard University Press，1977，273；中国大百科全书出版社1998年中译本，第357页。</w:t>
      </w:r>
    </w:p>
    <w:p w14:paraId="111E861D">
      <w:pPr>
        <w:spacing w:line="276" w:lineRule="auto"/>
        <w:ind w:firstLine="380" w:firstLineChars="200"/>
        <w:rPr>
          <w:rFonts w:ascii="宋体" w:hAnsi="宋体" w:eastAsia="宋体" w:cs="Times New Roman"/>
          <w:sz w:val="18"/>
          <w:szCs w:val="18"/>
        </w:rPr>
      </w:pPr>
      <w:r>
        <w:rPr>
          <w:rFonts w:hint="eastAsia" w:ascii="宋体" w:hAnsi="宋体" w:eastAsia="宋体" w:cs="宋体"/>
          <w:sz w:val="18"/>
          <w:szCs w:val="18"/>
        </w:rPr>
        <w:t>⑥</w:t>
      </w:r>
      <w:r>
        <w:rPr>
          <w:rFonts w:ascii="宋体" w:hAnsi="宋体" w:eastAsia="宋体" w:cs="Times New Roman"/>
          <w:sz w:val="18"/>
          <w:szCs w:val="18"/>
        </w:rPr>
        <w:t>伊林格·费切尔主编：《新保守主义者与”新右派”》，慕尼黑贝克出版社1983年版，第21～26页。</w:t>
      </w:r>
    </w:p>
    <w:p w14:paraId="3B6BE70C">
      <w:pPr>
        <w:spacing w:line="276" w:lineRule="auto"/>
        <w:ind w:firstLine="380" w:firstLineChars="200"/>
        <w:rPr>
          <w:rFonts w:ascii="宋体" w:hAnsi="宋体" w:eastAsia="宋体" w:cs="Times New Roman"/>
          <w:sz w:val="18"/>
          <w:szCs w:val="18"/>
        </w:rPr>
      </w:pPr>
      <w:r>
        <w:rPr>
          <w:rFonts w:hint="eastAsia" w:ascii="宋体" w:hAnsi="宋体" w:eastAsia="宋体" w:cs="宋体"/>
          <w:sz w:val="18"/>
          <w:szCs w:val="18"/>
        </w:rPr>
        <w:t>⑦</w:t>
      </w:r>
      <w:r>
        <w:rPr>
          <w:rFonts w:ascii="宋体" w:hAnsi="宋体" w:eastAsia="宋体" w:cs="Times New Roman"/>
          <w:sz w:val="18"/>
          <w:szCs w:val="18"/>
        </w:rPr>
        <w:t>福斯特：《资本主义普遍性中的矛盾》，美国《每月评论》杂志，1999年4月第50卷第11期。</w:t>
      </w:r>
    </w:p>
    <w:p w14:paraId="67EC57BE">
      <w:pPr>
        <w:spacing w:line="276" w:lineRule="auto"/>
        <w:ind w:firstLine="380" w:firstLineChars="200"/>
        <w:rPr>
          <w:rFonts w:ascii="宋体" w:hAnsi="宋体" w:eastAsia="宋体" w:cs="Times New Roman"/>
          <w:sz w:val="18"/>
          <w:szCs w:val="18"/>
        </w:rPr>
      </w:pPr>
      <w:r>
        <w:rPr>
          <w:rFonts w:hint="eastAsia" w:ascii="宋体" w:hAnsi="宋体" w:eastAsia="宋体" w:cs="宋体"/>
          <w:sz w:val="18"/>
          <w:szCs w:val="18"/>
        </w:rPr>
        <w:t>⑧</w:t>
      </w:r>
      <w:r>
        <w:rPr>
          <w:rFonts w:ascii="宋体" w:hAnsi="宋体" w:eastAsia="宋体" w:cs="Times New Roman"/>
          <w:sz w:val="18"/>
          <w:szCs w:val="18"/>
        </w:rPr>
        <w:t>安德森：《新自由主义的历史和教训》，法国《思想》杂志，1999年10～12月第320期《；国外理论动态》2000年第8期。</w:t>
      </w:r>
    </w:p>
    <w:p w14:paraId="18549750">
      <w:pPr>
        <w:spacing w:line="276" w:lineRule="auto"/>
        <w:ind w:firstLine="380" w:firstLineChars="200"/>
        <w:rPr>
          <w:rFonts w:ascii="宋体" w:hAnsi="宋体" w:eastAsia="宋体" w:cs="Times New Roman"/>
          <w:sz w:val="18"/>
          <w:szCs w:val="18"/>
        </w:rPr>
      </w:pPr>
      <w:r>
        <w:rPr>
          <w:rFonts w:hint="eastAsia" w:ascii="宋体" w:hAnsi="宋体" w:eastAsia="宋体" w:cs="宋体"/>
          <w:sz w:val="18"/>
          <w:szCs w:val="18"/>
        </w:rPr>
        <w:t>⑨</w:t>
      </w:r>
      <w:r>
        <w:rPr>
          <w:rFonts w:ascii="宋体" w:hAnsi="宋体" w:eastAsia="宋体" w:cs="Times New Roman"/>
          <w:sz w:val="18"/>
          <w:szCs w:val="18"/>
        </w:rPr>
        <w:t>科兹：《全球化与新自由主义》《，反思马克思主义》2002年夏季号（第14卷第2期）《当代思潮》2001年第3期。</w:t>
      </w:r>
    </w:p>
    <w:p w14:paraId="4C64E6C2">
      <w:pPr>
        <w:spacing w:line="276" w:lineRule="auto"/>
        <w:ind w:firstLine="380" w:firstLineChars="200"/>
        <w:rPr>
          <w:rFonts w:ascii="宋体" w:hAnsi="宋体" w:eastAsia="宋体" w:cs="Times New Roman"/>
          <w:sz w:val="18"/>
          <w:szCs w:val="18"/>
        </w:rPr>
      </w:pPr>
      <w:r>
        <w:rPr>
          <w:rFonts w:hint="eastAsia" w:ascii="宋体" w:hAnsi="宋体" w:eastAsia="宋体" w:cs="宋体"/>
          <w:sz w:val="18"/>
          <w:szCs w:val="18"/>
        </w:rPr>
        <w:t>⑩</w:t>
      </w:r>
      <w:r>
        <w:rPr>
          <w:rFonts w:ascii="宋体" w:hAnsi="宋体" w:eastAsia="宋体" w:cs="Times New Roman"/>
          <w:sz w:val="18"/>
          <w:szCs w:val="18"/>
        </w:rPr>
        <w:t>安德森：《重建》《，新左派评论》2000年第1期发刊词。</w:t>
      </w:r>
    </w:p>
    <w:p w14:paraId="6B9F324D">
      <w:pPr>
        <w:spacing w:line="276" w:lineRule="auto"/>
        <w:ind w:firstLine="380" w:firstLineChars="200"/>
        <w:rPr>
          <w:rFonts w:ascii="宋体" w:hAnsi="宋体" w:eastAsia="宋体" w:cs="Times New Roman"/>
          <w:sz w:val="18"/>
          <w:szCs w:val="18"/>
        </w:rPr>
      </w:pPr>
      <w:r>
        <w:rPr>
          <w:rFonts w:ascii="Cambria Math" w:hAnsi="Cambria Math" w:eastAsia="宋体" w:cs="Cambria Math"/>
          <w:sz w:val="18"/>
          <w:szCs w:val="18"/>
        </w:rPr>
        <w:t>⑪</w:t>
      </w:r>
      <w:r>
        <w:rPr>
          <w:rFonts w:ascii="宋体" w:hAnsi="宋体" w:eastAsia="宋体" w:cs="Times New Roman"/>
          <w:sz w:val="18"/>
          <w:szCs w:val="18"/>
        </w:rPr>
        <w:t>拉莫内：《另一个世界是可能的——呼唤乌托邦》（纪念《共产党宣言》发表150周年），法</w:t>
      </w:r>
    </w:p>
    <w:p w14:paraId="33C3F688">
      <w:pPr>
        <w:spacing w:line="276" w:lineRule="auto"/>
        <w:ind w:firstLine="380" w:firstLineChars="200"/>
        <w:rPr>
          <w:rFonts w:ascii="宋体" w:hAnsi="宋体" w:eastAsia="宋体" w:cs="Times New Roman"/>
          <w:sz w:val="18"/>
          <w:szCs w:val="18"/>
        </w:rPr>
      </w:pPr>
      <w:r>
        <w:rPr>
          <w:rFonts w:ascii="宋体" w:hAnsi="宋体" w:eastAsia="宋体" w:cs="Times New Roman"/>
          <w:sz w:val="18"/>
          <w:szCs w:val="18"/>
        </w:rPr>
        <w:t>国《外交世界》英文版1998年第5期《；国外理论动态》1999年第4期。</w:t>
      </w:r>
    </w:p>
    <w:p w14:paraId="2F799E8A">
      <w:pPr>
        <w:spacing w:line="276" w:lineRule="auto"/>
        <w:ind w:firstLine="380" w:firstLineChars="200"/>
        <w:rPr>
          <w:rFonts w:ascii="宋体" w:hAnsi="宋体" w:eastAsia="宋体" w:cs="Times New Roman"/>
          <w:sz w:val="18"/>
          <w:szCs w:val="18"/>
        </w:rPr>
      </w:pPr>
      <w:r>
        <w:rPr>
          <w:rFonts w:ascii="Cambria Math" w:hAnsi="Cambria Math" w:eastAsia="宋体" w:cs="Cambria Math"/>
          <w:sz w:val="18"/>
          <w:szCs w:val="18"/>
        </w:rPr>
        <w:t>⑫</w:t>
      </w:r>
      <w:r>
        <w:rPr>
          <w:rFonts w:ascii="宋体" w:hAnsi="宋体" w:eastAsia="宋体" w:cs="Times New Roman"/>
          <w:sz w:val="18"/>
          <w:szCs w:val="18"/>
        </w:rPr>
        <w:t>布迪厄：《无止境剥削的乌托邦——新自由主义的本质》，法国《外交世界》英文版1998</w:t>
      </w:r>
    </w:p>
    <w:p w14:paraId="3851837F">
      <w:pPr>
        <w:spacing w:line="276" w:lineRule="auto"/>
        <w:ind w:firstLine="380" w:firstLineChars="200"/>
        <w:rPr>
          <w:rFonts w:ascii="宋体" w:hAnsi="宋体" w:eastAsia="宋体" w:cs="Times New Roman"/>
          <w:sz w:val="18"/>
          <w:szCs w:val="18"/>
        </w:rPr>
      </w:pPr>
      <w:r>
        <w:rPr>
          <w:rFonts w:ascii="宋体" w:hAnsi="宋体" w:eastAsia="宋体" w:cs="Times New Roman"/>
          <w:sz w:val="18"/>
          <w:szCs w:val="18"/>
        </w:rPr>
        <w:t>年第12期《；国外理论动态》1999年第4期。</w:t>
      </w:r>
    </w:p>
    <w:p w14:paraId="12287BAB">
      <w:pPr>
        <w:spacing w:line="276" w:lineRule="auto"/>
        <w:ind w:firstLine="380" w:firstLineChars="200"/>
        <w:rPr>
          <w:rFonts w:ascii="宋体" w:hAnsi="宋体" w:eastAsia="宋体" w:cs="Times New Roman"/>
          <w:sz w:val="18"/>
          <w:szCs w:val="18"/>
        </w:rPr>
      </w:pPr>
      <w:r>
        <w:rPr>
          <w:rFonts w:ascii="Cambria Math" w:hAnsi="Cambria Math" w:eastAsia="宋体" w:cs="Cambria Math"/>
          <w:color w:val="6D5268"/>
          <w:sz w:val="18"/>
          <w:szCs w:val="18"/>
          <w:shd w:val="clear" w:color="auto" w:fill="FFFFF4"/>
        </w:rPr>
        <w:t>⑬</w:t>
      </w:r>
      <w:r>
        <w:rPr>
          <w:rFonts w:ascii="宋体" w:hAnsi="宋体" w:eastAsia="宋体" w:cs="Times New Roman"/>
          <w:sz w:val="18"/>
          <w:szCs w:val="18"/>
        </w:rPr>
        <w:t>格雷·帕拉斯特：《一个冰凉的世界——国际货币基金组织带你去地狱的四个步骤》，英</w:t>
      </w:r>
    </w:p>
    <w:p w14:paraId="7C0CD676">
      <w:pPr>
        <w:spacing w:line="276" w:lineRule="auto"/>
        <w:ind w:firstLine="380" w:firstLineChars="200"/>
        <w:rPr>
          <w:rFonts w:ascii="宋体" w:hAnsi="宋体" w:eastAsia="宋体" w:cs="Times New Roman"/>
          <w:sz w:val="18"/>
          <w:szCs w:val="18"/>
        </w:rPr>
      </w:pPr>
      <w:r>
        <w:rPr>
          <w:rFonts w:ascii="宋体" w:hAnsi="宋体" w:eastAsia="宋体" w:cs="Times New Roman"/>
          <w:sz w:val="18"/>
          <w:szCs w:val="18"/>
        </w:rPr>
        <w:t>国《观察家》杂志2001年4月《；国外理论动态》2001年第12期。</w:t>
      </w:r>
    </w:p>
    <w:p w14:paraId="3D0B8594">
      <w:pPr>
        <w:spacing w:line="276" w:lineRule="auto"/>
        <w:ind w:firstLine="380" w:firstLineChars="200"/>
        <w:rPr>
          <w:rFonts w:ascii="宋体" w:hAnsi="宋体" w:eastAsia="宋体" w:cs="Times New Roman"/>
          <w:sz w:val="18"/>
          <w:szCs w:val="18"/>
        </w:rPr>
      </w:pPr>
      <w:r>
        <w:rPr>
          <w:rFonts w:ascii="Cambria Math" w:hAnsi="Cambria Math" w:eastAsia="宋体" w:cs="Cambria Math"/>
          <w:color w:val="6D5268"/>
          <w:sz w:val="18"/>
          <w:szCs w:val="18"/>
          <w:shd w:val="clear" w:color="auto" w:fill="FFFFF4"/>
        </w:rPr>
        <w:t>⑭</w:t>
      </w:r>
      <w:r>
        <w:rPr>
          <w:rFonts w:ascii="宋体" w:hAnsi="宋体" w:eastAsia="宋体" w:cs="Times New Roman"/>
          <w:sz w:val="18"/>
          <w:szCs w:val="18"/>
        </w:rPr>
        <w:t>罗伯特·库尔茨：《资本主义黑皮书——自由市场经济的终曲》，社会科学文献出版社，</w:t>
      </w:r>
    </w:p>
    <w:p w14:paraId="48A64F4E">
      <w:pPr>
        <w:spacing w:line="276" w:lineRule="auto"/>
        <w:ind w:firstLine="380" w:firstLineChars="200"/>
        <w:rPr>
          <w:rFonts w:ascii="宋体" w:hAnsi="宋体" w:eastAsia="宋体" w:cs="Times New Roman"/>
          <w:sz w:val="18"/>
          <w:szCs w:val="18"/>
        </w:rPr>
      </w:pPr>
      <w:r>
        <w:rPr>
          <w:rFonts w:ascii="宋体" w:hAnsi="宋体" w:eastAsia="宋体" w:cs="Times New Roman"/>
          <w:sz w:val="18"/>
          <w:szCs w:val="18"/>
        </w:rPr>
        <w:t>参见艾瑞克·霍布斯鲍姆：《极端的年代》（下），江苏人民出版社1998年版，第634～635</w:t>
      </w:r>
    </w:p>
    <w:p w14:paraId="51C60A5B">
      <w:pPr>
        <w:spacing w:line="276" w:lineRule="auto"/>
        <w:ind w:firstLine="380" w:firstLineChars="200"/>
        <w:rPr>
          <w:rFonts w:ascii="宋体" w:hAnsi="宋体" w:eastAsia="宋体" w:cs="Times New Roman"/>
          <w:sz w:val="18"/>
          <w:szCs w:val="18"/>
        </w:rPr>
      </w:pPr>
      <w:r>
        <w:rPr>
          <w:rFonts w:ascii="宋体" w:hAnsi="宋体" w:eastAsia="宋体" w:cs="Times New Roman"/>
          <w:sz w:val="18"/>
          <w:szCs w:val="18"/>
        </w:rPr>
        <w:t>页。</w:t>
      </w:r>
    </w:p>
    <w:p w14:paraId="360E5AAC">
      <w:pPr>
        <w:spacing w:line="276" w:lineRule="auto"/>
        <w:ind w:firstLine="380" w:firstLineChars="200"/>
        <w:rPr>
          <w:rFonts w:ascii="宋体" w:hAnsi="宋体" w:eastAsia="宋体" w:cs="Times New Roman"/>
          <w:sz w:val="18"/>
          <w:szCs w:val="18"/>
        </w:rPr>
      </w:pPr>
      <w:r>
        <w:rPr>
          <w:rFonts w:ascii="Cambria Math" w:hAnsi="Cambria Math" w:eastAsia="宋体" w:cs="Cambria Math"/>
          <w:color w:val="6D5268"/>
          <w:sz w:val="18"/>
          <w:szCs w:val="18"/>
          <w:shd w:val="clear" w:color="auto" w:fill="FFFFF4"/>
        </w:rPr>
        <w:t>⑮</w:t>
      </w:r>
      <w:r>
        <w:rPr>
          <w:rFonts w:ascii="宋体" w:hAnsi="宋体" w:eastAsia="宋体" w:cs="Times New Roman"/>
          <w:sz w:val="18"/>
          <w:szCs w:val="18"/>
        </w:rPr>
        <w:t>阿兰·伯努瓦：《面向全球化》，载《泰勒斯》1996年夏季号。</w:t>
      </w:r>
    </w:p>
    <w:p w14:paraId="2B66B6C6">
      <w:pPr>
        <w:spacing w:line="276" w:lineRule="auto"/>
        <w:ind w:firstLine="380" w:firstLineChars="200"/>
        <w:rPr>
          <w:rFonts w:ascii="宋体" w:hAnsi="宋体" w:eastAsia="宋体" w:cs="Times New Roman"/>
          <w:sz w:val="18"/>
          <w:szCs w:val="18"/>
        </w:rPr>
      </w:pPr>
      <w:r>
        <w:rPr>
          <w:rFonts w:ascii="Cambria Math" w:hAnsi="Cambria Math" w:eastAsia="宋体" w:cs="Cambria Math"/>
          <w:color w:val="6D5268"/>
          <w:sz w:val="18"/>
          <w:szCs w:val="18"/>
          <w:shd w:val="clear" w:color="auto" w:fill="FFFFF4"/>
        </w:rPr>
        <w:t>⑯</w:t>
      </w:r>
      <w:r>
        <w:rPr>
          <w:rFonts w:ascii="宋体" w:hAnsi="宋体" w:eastAsia="宋体" w:cs="Times New Roman"/>
          <w:sz w:val="18"/>
          <w:szCs w:val="18"/>
        </w:rPr>
        <w:t>罗伯特·麦克切斯尼：《诺姆·乔姆斯基和反对新自由主义的斗争》，美国《每月评论》1999</w:t>
      </w:r>
    </w:p>
    <w:p w14:paraId="2D44B12D">
      <w:pPr>
        <w:spacing w:line="276" w:lineRule="auto"/>
        <w:ind w:firstLine="440" w:firstLineChars="200"/>
        <w:rPr>
          <w:rFonts w:ascii="宋体" w:hAnsi="宋体" w:eastAsia="宋体" w:cs="Times New Roman"/>
          <w:b/>
          <w:szCs w:val="21"/>
        </w:rPr>
      </w:pPr>
      <w:r>
        <w:rPr>
          <w:rFonts w:ascii="宋体" w:hAnsi="宋体" w:eastAsia="宋体" w:cs="Times New Roman"/>
          <w:b/>
          <w:szCs w:val="21"/>
        </w:rPr>
        <w:t>参考文献：</w:t>
      </w:r>
    </w:p>
    <w:p w14:paraId="5CE4C375">
      <w:pPr>
        <w:spacing w:line="276" w:lineRule="auto"/>
        <w:ind w:firstLine="380" w:firstLineChars="200"/>
        <w:rPr>
          <w:rFonts w:ascii="宋体" w:hAnsi="宋体" w:eastAsia="宋体" w:cs="Times New Roman"/>
          <w:sz w:val="18"/>
          <w:szCs w:val="18"/>
        </w:rPr>
      </w:pPr>
      <w:r>
        <w:rPr>
          <w:rFonts w:ascii="宋体" w:hAnsi="宋体" w:eastAsia="宋体" w:cs="Times New Roman"/>
          <w:sz w:val="18"/>
          <w:szCs w:val="18"/>
        </w:rPr>
        <w:t>[1]毛增余.与中国著名经济学家对话：顾海良、王振中、林岗、程恩富（第五辑）[M].北京：中国经济出版社，2003.</w:t>
      </w:r>
    </w:p>
    <w:p w14:paraId="5B09A448">
      <w:pPr>
        <w:spacing w:line="276" w:lineRule="auto"/>
        <w:ind w:firstLine="380" w:firstLineChars="200"/>
        <w:rPr>
          <w:rFonts w:ascii="宋体" w:hAnsi="宋体" w:eastAsia="宋体" w:cs="Times New Roman"/>
          <w:sz w:val="18"/>
          <w:szCs w:val="18"/>
        </w:rPr>
      </w:pPr>
      <w:r>
        <w:rPr>
          <w:rFonts w:ascii="宋体" w:hAnsi="宋体" w:eastAsia="宋体" w:cs="Times New Roman"/>
          <w:sz w:val="18"/>
          <w:szCs w:val="18"/>
        </w:rPr>
        <w:t>[2]程恩富.经济全球化与反全球化观析——程恩富教授在复旦大学的讲演[N].文汇报，2003204229.</w:t>
      </w:r>
    </w:p>
    <w:p w14:paraId="63AF9AF0">
      <w:pPr>
        <w:spacing w:line="276" w:lineRule="auto"/>
        <w:ind w:firstLine="380" w:firstLineChars="200"/>
        <w:rPr>
          <w:rFonts w:ascii="宋体" w:hAnsi="宋体" w:eastAsia="宋体" w:cs="Times New Roman"/>
          <w:sz w:val="18"/>
          <w:szCs w:val="18"/>
        </w:rPr>
      </w:pPr>
      <w:r>
        <w:rPr>
          <w:rFonts w:ascii="宋体" w:hAnsi="宋体" w:eastAsia="宋体" w:cs="Times New Roman"/>
          <w:sz w:val="18"/>
          <w:szCs w:val="18"/>
        </w:rPr>
        <w:t>[3]郭宝宏.资本主义基本矛盾之我见[J].海派经济学（季刊），2003，（3）.</w:t>
      </w:r>
    </w:p>
    <w:p w14:paraId="043D008E">
      <w:pPr>
        <w:spacing w:line="276" w:lineRule="auto"/>
        <w:ind w:firstLine="380" w:firstLineChars="200"/>
        <w:rPr>
          <w:rFonts w:ascii="宋体" w:hAnsi="宋体" w:eastAsia="宋体" w:cs="Times New Roman"/>
          <w:sz w:val="18"/>
          <w:szCs w:val="18"/>
        </w:rPr>
      </w:pPr>
      <w:r>
        <w:rPr>
          <w:rFonts w:ascii="宋体" w:hAnsi="宋体" w:eastAsia="宋体" w:cs="Times New Roman"/>
          <w:sz w:val="18"/>
          <w:szCs w:val="18"/>
        </w:rPr>
        <w:t>[4]吴易风.西方经济学与世界经济的发展[M].北京：中国经济出版社，2003.</w:t>
      </w:r>
    </w:p>
    <w:p w14:paraId="6981B66C">
      <w:pPr>
        <w:spacing w:line="300" w:lineRule="auto"/>
        <w:ind w:firstLine="380" w:firstLineChars="200"/>
        <w:rPr>
          <w:rFonts w:ascii="宋体" w:hAnsi="宋体" w:eastAsia="宋体" w:cs="Times New Roman"/>
          <w:kern w:val="0"/>
          <w:sz w:val="18"/>
          <w:szCs w:val="18"/>
        </w:rPr>
      </w:pPr>
    </w:p>
    <w:p w14:paraId="225AD0C3">
      <w:pPr>
        <w:spacing w:line="300" w:lineRule="auto"/>
        <w:ind w:firstLine="440" w:firstLineChars="200"/>
        <w:rPr>
          <w:rFonts w:ascii="宋体" w:hAnsi="宋体" w:eastAsia="宋体" w:cs="Times New Roman"/>
          <w:sz w:val="32"/>
          <w:szCs w:val="24"/>
        </w:rPr>
      </w:pPr>
      <w:r>
        <w:rPr>
          <w:rFonts w:ascii="宋体" w:hAnsi="宋体" w:eastAsia="宋体" w:cs="Times New Roman"/>
          <w:kern w:val="0"/>
          <w:szCs w:val="21"/>
        </w:rPr>
        <w:t>（原载《财经研究》第30卷第2期2004年2月，第二作者为曹雷）</w:t>
      </w:r>
    </w:p>
    <w:p w14:paraId="71C0C9BE">
      <w:pPr>
        <w:spacing w:before="156" w:beforeLines="50" w:after="156" w:afterLines="50" w:line="300" w:lineRule="auto"/>
        <w:ind w:firstLine="440" w:firstLineChars="200"/>
        <w:jc w:val="left"/>
        <w:rPr>
          <w:rFonts w:ascii="宋体" w:hAnsi="宋体" w:eastAsia="宋体" w:cs="Times New Roman"/>
          <w:szCs w:val="21"/>
        </w:rPr>
      </w:pPr>
      <w:r>
        <w:rPr>
          <w:rFonts w:ascii="宋体" w:hAnsi="宋体" w:eastAsia="宋体" w:cs="Times New Roman"/>
          <w:szCs w:val="21"/>
        </w:rPr>
        <w:br w:type="page"/>
      </w:r>
    </w:p>
    <w:p w14:paraId="3ABF59FE">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309" w:name="_Toc9434"/>
      <w:bookmarkStart w:id="310" w:name="_Toc2088"/>
      <w:bookmarkStart w:id="311" w:name="_Toc257922030"/>
      <w:bookmarkStart w:id="312" w:name="_Toc93074556"/>
      <w:bookmarkStart w:id="313" w:name="_Toc110957405"/>
      <w:bookmarkStart w:id="314" w:name="_Toc1925606312"/>
      <w:bookmarkStart w:id="315" w:name="_Toc1847212126"/>
      <w:bookmarkStart w:id="316" w:name="_Toc16332"/>
      <w:bookmarkStart w:id="317" w:name="_Toc31331"/>
      <w:bookmarkStart w:id="318" w:name="_Toc2293"/>
      <w:bookmarkStart w:id="319" w:name="_Toc6532"/>
      <w:bookmarkStart w:id="320" w:name="_Toc93074554"/>
      <w:bookmarkStart w:id="321" w:name="_Toc29443"/>
      <w:r>
        <w:rPr>
          <w:rFonts w:ascii="黑体" w:hAnsi="黑体" w:eastAsia="黑体" w:cs="Times New Roman"/>
          <w:color w:val="000000"/>
          <w:kern w:val="0"/>
          <w:sz w:val="32"/>
          <w:szCs w:val="32"/>
          <w:lang w:bidi="ar"/>
        </w:rPr>
        <w:t>经济学的综合创新与构建海派经济学</w:t>
      </w:r>
      <w:bookmarkEnd w:id="309"/>
      <w:bookmarkEnd w:id="310"/>
      <w:bookmarkEnd w:id="311"/>
      <w:bookmarkEnd w:id="312"/>
      <w:bookmarkEnd w:id="313"/>
      <w:bookmarkEnd w:id="314"/>
      <w:bookmarkEnd w:id="315"/>
    </w:p>
    <w:p w14:paraId="71C8D6A4">
      <w:pPr>
        <w:spacing w:before="156" w:beforeLines="50" w:line="300" w:lineRule="auto"/>
        <w:ind w:firstLine="440" w:firstLineChars="200"/>
        <w:rPr>
          <w:rFonts w:ascii="宋体" w:hAnsi="宋体" w:eastAsia="宋体" w:cs="Times New Roman"/>
          <w:szCs w:val="24"/>
        </w:rPr>
      </w:pPr>
      <w:r>
        <w:rPr>
          <w:rFonts w:hint="eastAsia" w:ascii="宋体" w:hAnsi="宋体" w:eastAsia="宋体" w:cs="Times New Roman"/>
          <w:szCs w:val="24"/>
        </w:rPr>
        <w:t>《中共中央关于进一步繁荣发展哲学社会科学的意见》提出，要努力营造生动活泼、求真务实的学术环境，提倡不同学术观点、学术流派的争鸣和切磋，提倡说理充分的批评与反批评。要用发展着的马克思主义指导哲学社会科学，决不搞指导思想多元化。这是非常及时和正确的。</w:t>
      </w:r>
    </w:p>
    <w:p w14:paraId="4A35CC17">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前几年，英国广播公司在国际互联网上搞民意调查，马克思被评为千年最有影响的思想家榜首。近期，德国由社会公众广泛投票选出本国历史上最有成就和影响的人物，马克思名列第三（在社会科学家中是第一，其他两位是国家元首）。由美国最大连锁书店巴诺创办的《图书》杂志在2003年7-8月合刊中，《共产党宣言》和《就业、利息和货币通论》等被该刊评选为“改变美国的20本书”。</w:t>
      </w:r>
    </w:p>
    <w:p w14:paraId="5D5E9326">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为什么马克思经常被西方人民公认为最有成就的社会科学家，并同凯恩斯一起能共同被发达资本主义国家评选为极有影响的思想家？其缘由在于，他们的整个理论创新实现了范式革命，并深刻地影响了世界。所谓范式，在此概念的提出者美国哲学家库恩看来，就是指科学共同体的共有信念，以及进行科学活动的基础和工具。在外国经济学说演化史上，除了亚当,斯密对重商主义的革命和杰文斯等的“边际革命”以外，就要算创造宏观经济理论和政策的“凯恩斯革命”，以及代表劳动阶级经济利益的“马克思革命”。尽管这些经济学范式革命的内容、性质和方法不同，但都促进了经济理论的论争和繁荣。</w:t>
      </w:r>
    </w:p>
    <w:p w14:paraId="5A66A7D3">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与经济学范式革命和发展直接相关的是三次西方经济理论综合。第一次，针对亚当.斯密革命以后的理论大分化，19世纪中叶约.斯.穆勒综合了当时不同派别的观点，建立了一个折中主义的政治经济学体系，并占支配地位数十年。第二次，主要由马歇尔在微观领域综合古典学派、边际学派的价值论和分配论，确立了局部均衡的价格理论；也可包括由威克塞尔侧重在宏观领域综合李嘉图的货币数量论和庞巴维克的资本论，确立了累积过程理论。20世纪后半叶至今，第三次综合正在从几个角度进行，如萨缪尔逊和希克斯试图把改进的凯恩斯宏观论与新古典的微观论综合起来；新剑桥学派主张在综合中舍弃新古典的价值论和分配论；斯蒂格利茨甚至进行了打破微观经济学和宏观经济学界限的综合性尝试。从马克思主义经济学的方法和观点评议，这些综合和演变也许不够科学，甚至出现某个理论的退步，但也合乎经济思想波浪式前进和螺旋性上升的规律。</w:t>
      </w:r>
    </w:p>
    <w:p w14:paraId="3E1F56E1">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经济思想进程显示，每一次范式革命后总是出现理论分化，而一般经过数十年以后又必然面临某种综合或新的革命。经济理论的不断产生、革命、分化、综合、对立、深化的过程，在库恩看来，并不是波普尔所描述的科学知识成长的“不断革命”，而是范式更替的革命时期与范式扩展的常规时期的不断循环。在常规时期，具有同一范式的科学共同体从事难题探索和充实完善工作，这种发展属于常规理论发展。如果研究中出现与原有范式的核心和基点相冲突的反常现象，并积累到能引起危机，那么，或迟或早会形成颠覆旧范式的科学革命。</w:t>
      </w:r>
    </w:p>
    <w:p w14:paraId="58E3CB57">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就拿社会主义经济学来说。20世纪50年代问世的苏联政治经济学社会主义部分教科书，是人类经济思想史和社会主义经济思想史上的独创和里程碑，可以说一种范式革命。可是，经济学的苏联范式与马克思范式是有联系，又有区别的。就社会主义经济理论来看，马克思的言论很少，更没有给出一套完整的体系。况且，马克思和苏联关于社会主义经济制度的标准本来也不尽相同。总体上说，苏联社会主义经济学范式是冷战背景下传统计划经济体制及其实践的理论反映。因此，改革前，我国经济学界出现照搬苏联经济学范式的，仿苏、倾向是难以避免的。</w:t>
      </w:r>
    </w:p>
    <w:p w14:paraId="479DA4CE">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当前的问题在于，中国从社会主义计划经济体制转型为社会主义市场经济体制，需要维持原有的思维方法和思维定式吗？即哪国强大，就主要照搬哪国经济制度及其主流经济学范式，或者以为市场经济体制只有一种固定的模式，也可以不管市场经济制度的社会主义性质规定和类型，主张照抄照讲，无国度性、“无阶段性”、和“无阶级性”的西方经济学范式。</w:t>
      </w:r>
    </w:p>
    <w:p w14:paraId="4CC75792">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其实，由以前对经济学的“苏联范式”盲目崇拜而现在又简单地倒向“美国范式”，从研究方法观察并无差异，是共同的僵化思想及其惯性在起作用!因而对以美国为代表的现代西方经济学的，范式危机、并无感觉’现代西方经济学的分化并生成众说纷纭的许多流派!恰好表明他们并未探求到共认的经济学体系、核心和方法，我们也不可能无选择地模仿其相互不同甚至对立的主要方法和观点。</w:t>
      </w:r>
    </w:p>
    <w:p w14:paraId="1982F9F9">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诚然，西方经济学的确给中国输送来了市场观念和实证分析(数量分析(边际分析等经济科学的研究方法，开拓了理论研究的视野，但另一方面，它的过度形式主义的方法和理论与中国经济的脱节，也会使中外经济学研究误入歧途。美国的凯恩斯、列昂节夫、科斯、斯蒂格利茨以及许多激进经济学家都曾对此不同程度地批评过。</w:t>
      </w:r>
    </w:p>
    <w:p w14:paraId="3D88ECF3">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面对，21世纪国际学术和文化激烈竞争的中国经济学界，必须依照党中央关于，要构建具有中国特色、中国风格和中国气派的哲学社会科学体系、的战略示意，构建马克思主义经济学的各种，中国范式。这标志着中国经济学家从简单引进和模仿的自在方式到理论创新的自觉或自为方式的转变，也反映了对中外教条主义（包括仿苏或仿美的“洋教条主义”）和修正主义经济思想的摒弃和主体意识的觉醒。</w:t>
      </w:r>
    </w:p>
    <w:p w14:paraId="36664598">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我们正在构建的“海派经济学”，意味着要实现推进和超越；推进马列经典经济学，超越当代西方经济学；要体现两种实践；既体现东西方市场经济实践，又体现中国特色的社会主义实践；要显现两种创新；既要有经济学的某些常规发展，又要有其范式革命。它将是一种科学反思经济现代性的“后现代经济学”，同时也将是一种“后马克思经济学新综合”。因为我们正在创建的海派经济学新范式应具有世界眼光，是在当代国外经济学继续分化和局部综合的基础上去实现全面系统的科学大综合。其中，包括整合马克思经济理论、西方马克思主义经济理论、西方激进经济理论、加尔布雷思和缪尔达尔的制度主义、凯恩斯左翼经济理论、克鲁格曼国际经济理论、发展经济学、比较经济学、国际政治经济学，以及“中心-外围”、“不平等交换”、“依附论”、“世界体系论”、“反全球化论“、“反新帝国论”等发达国家或发展中国家的经济理论；积极汲取当代哲学、伦理学、美学、心理学、法学、政治学、系统学、场态学、生物学、数学等多学科的可用方法和知识。</w:t>
      </w:r>
    </w:p>
    <w:p w14:paraId="5EDD9A99">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下面，以海派经济学主张吸收美学知识来改造传统中外理论经济学为例!来说明理论经济学是有巨大创新空间和潜力的。中外学术界一般认为，经济涉及的是物质生产、分配、交换、消费等问题，而美则涉及艺术创作规律以及艺术作品的欣赏与评价等问题，美是事物具有的某种形式、结构、属性和法则，是一种能产生某种美感的客观性质，因而经济学和美学似乎是两门毫不相干的学科。但实际上，经济与美有着客观的联系，把两者结合起来，进而理论经济学研究引进美学的知识和方法，甚至建立经济美学或美学经济学，都是既有可能性，也是十分必要的。</w:t>
      </w:r>
    </w:p>
    <w:p w14:paraId="14B2482A">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美学主要分为基础美学和实用美学，经济学也分为理论（基础）经济学与应用经济学。目前，国内有的学者已经在实用美学和应用经济学的结合，也就是应用经济美学方面作了一些研究，主要是从美学的角度来探讨商品以及劳动本身的审美问题。例如，商品美学就是研究商品美在交换价值上具有的作用和消费行为中所处的地位的科学，是研究商品美和商品美的审美规律的科学。它主要是商品和人们日常生活的审美关系，研究商品的造型、色彩、装饰、结构、广告、商标等的审美问题。再如劳动美学，是研究人类生产劳动中审美规律的学科，劳动美表现在劳动主体美、劳动工具美、劳动环境美、劳动组织美等各个方面。可以说，这些将实用美学和应用经济学相结合的学科的研究，还只是局限于经济活动的某些侧面与表象层次。而从更高的深层次的理论角度，结合经济学与美学的研究成果，把基础美学和理论经济学结合起来分析经济与美，目前还是一项空白。完整的经济美学应包括应用经济美学和理论经济美学。</w:t>
      </w:r>
    </w:p>
    <w:p w14:paraId="20514F5F">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那么，理论经济学研究中增添美学方法会出现什么新的“理论增长点”和概念呢？笔者认为，应当新构“经济美”与“经济丑”范畴。经济美是属于社会美的范畴。社会美是与自然美、艺术美相提并论的美的存在形式，它不仅根源于实践，而且本身就是实践的最直接表现。同样，经济美也是在实践中产生的，是指人类经济活动中具有制度公正、运行有序和发展和谐的一种属性。它可以在财富分配公平、市场竞争有序、供求总量均衡、产业结构合理、经济规模适度、个人权责对称、管理系统协调、生产主体活跃、劳动环境舒适、生活消费科学等一系列经济事物中显现出来。党的十六大报告从经济和生态等层面描绘的全面建设小康社会的目标，也充分体现了社会主义初级的或较低层次的经济美。</w:t>
      </w:r>
    </w:p>
    <w:p w14:paraId="24EEEB53">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经济美的异化和对立面即为经济丑。什么是丑？马克思、恩格斯在谈到现实中丑的事物时，把“丑”看作是客观事物的一种社会属性，并从历史的发展中说明丑的根源，指出生活中的丑和卑鄙、虚伪、腐朽的事物之间的联系。丑是在内容上包含着一种对生活、对人的本质具有否定意义的东西，丑在形式上则是与均衡、对称、完整、和谐等相对应的概念。就拿美国来说，严重的两极分化、频繁的经济犯罪、过度的市场竞争、极端的利己行为、纵欲的生活方式和贪婪的对外扩张等等，都说明强大美国的经济制度并不美，其经济体制和社会发展是有丑有美的。</w:t>
      </w:r>
    </w:p>
    <w:p w14:paraId="262DA184">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经济活动是一个整体的协调过程，大到整个国民经济的宏观调控，小到企业和个人的生产与消费，都是多种因素相互协调和统一的关系，理应尽力使经济运行和谐、有序、完美。做到这一点，其本身就能引起人的美感，符合美的发展规律；否则，各种丑恶现象便会滋生，如经济生活中的走私贩私、贪污受贿、坑蒙诈骗、偷税漏税、恶意逃债、黄祸泛滥和假冒伪劣等现象。某些地区在改革初期原始资本快速积累过程中大量侵占了国家、消费者及其他地区的权益，也损害了市场化改革和部分先富的声誉。一旦那些经济活动美丑参半的地区在人们心目中成为社会主义市场经济的样板，结果就往往难以扭丑为美，经济丑现象势必在“示范效应”和“乘数效应”影响下蔓延开来，积重难返。社会上流行的种种为资本原始积累和现代大公司作假账等辩护的舆论及其思维方法，都是不利于塑造合乎社会主义市场经济要求的经济美理念和制度规范的。我们应当要按照经济美的规律，健全市场经济的社会信用体系，讲求经济运行的和谐一致，使整个经济领域充满美，进而使人们从生产中、市场上增加美感体验，怡情悦性，振奋精神，更好地为社会主义建设服务。</w:t>
      </w:r>
    </w:p>
    <w:p w14:paraId="31E33C95">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简言之，经济研究中需要吸纳美学的理论与方法。经济学与美学的联盟和有机融合，可以更深、更广地探讨经济行为、经济机制和经济规律。</w:t>
      </w:r>
    </w:p>
    <w:p w14:paraId="0B113D0D">
      <w:pPr>
        <w:spacing w:line="300" w:lineRule="auto"/>
        <w:ind w:firstLine="440" w:firstLineChars="200"/>
        <w:rPr>
          <w:rFonts w:ascii="宋体" w:hAnsi="宋体" w:eastAsia="宋体" w:cs="Times New Roman"/>
          <w:szCs w:val="24"/>
        </w:rPr>
      </w:pPr>
    </w:p>
    <w:p w14:paraId="52F203D7">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（原载《毛泽东邓小平理论研究》2004年第3期）</w:t>
      </w:r>
    </w:p>
    <w:p w14:paraId="46F741ED">
      <w:pPr>
        <w:spacing w:line="300" w:lineRule="auto"/>
        <w:ind w:firstLine="440" w:firstLineChars="200"/>
        <w:jc w:val="center"/>
        <w:rPr>
          <w:rFonts w:ascii="宋体" w:hAnsi="宋体" w:eastAsia="宋体" w:cs="Times New Roman"/>
          <w:szCs w:val="24"/>
        </w:rPr>
      </w:pPr>
    </w:p>
    <w:p w14:paraId="784F0D2C">
      <w:pPr>
        <w:ind w:firstLine="660" w:firstLineChars="200"/>
        <w:rPr>
          <w:rFonts w:ascii="宋体" w:hAnsi="宋体" w:eastAsia="宋体" w:cs="Times New Roman"/>
        </w:rPr>
      </w:pPr>
      <w:r>
        <w:rPr>
          <w:rFonts w:ascii="宋体" w:hAnsi="宋体" w:eastAsia="宋体" w:cs="Times New Roman"/>
          <w:b/>
          <w:sz w:val="32"/>
          <w:szCs w:val="24"/>
        </w:rPr>
        <w:br w:type="page"/>
      </w:r>
    </w:p>
    <w:p w14:paraId="48A9DE8E">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322" w:name="_Toc1905"/>
      <w:bookmarkStart w:id="323" w:name="_Toc93074557"/>
      <w:bookmarkStart w:id="324" w:name="_Toc18512"/>
      <w:bookmarkStart w:id="325" w:name="_Toc329173750"/>
      <w:bookmarkStart w:id="326" w:name="_Toc110957406"/>
      <w:bookmarkStart w:id="327" w:name="_Toc1086725494"/>
      <w:bookmarkStart w:id="328" w:name="_Toc2070600650"/>
      <w:r>
        <w:rPr>
          <w:rFonts w:ascii="黑体" w:hAnsi="黑体" w:eastAsia="黑体" w:cs="Times New Roman"/>
          <w:color w:val="000000"/>
          <w:kern w:val="0"/>
          <w:sz w:val="32"/>
          <w:szCs w:val="32"/>
          <w:lang w:bidi="ar"/>
        </w:rPr>
        <w:t>逐步推行人民币的区域化和国际化</w:t>
      </w:r>
      <w:bookmarkEnd w:id="322"/>
      <w:bookmarkEnd w:id="323"/>
      <w:bookmarkEnd w:id="324"/>
      <w:bookmarkEnd w:id="325"/>
      <w:bookmarkEnd w:id="326"/>
      <w:bookmarkEnd w:id="327"/>
      <w:bookmarkEnd w:id="328"/>
    </w:p>
    <w:p w14:paraId="0A45EEFF">
      <w:pPr>
        <w:spacing w:before="156" w:beforeLines="50"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程恩富：今年（</w:t>
      </w:r>
      <w:r>
        <w:rPr>
          <w:rFonts w:ascii="Times New Roman" w:hAnsi="Times New Roman" w:eastAsia="宋体" w:cs="Times New Roman"/>
          <w:szCs w:val="24"/>
        </w:rPr>
        <w:t>2004</w:t>
      </w:r>
      <w:r>
        <w:rPr>
          <w:rFonts w:hint="eastAsia" w:ascii="Times New Roman" w:hAnsi="Times New Roman" w:eastAsia="宋体" w:cs="Times New Roman"/>
          <w:szCs w:val="24"/>
        </w:rPr>
        <w:t>年）</w:t>
      </w:r>
      <w:r>
        <w:rPr>
          <w:rFonts w:ascii="Times New Roman" w:hAnsi="Times New Roman" w:eastAsia="宋体" w:cs="Times New Roman"/>
          <w:szCs w:val="24"/>
        </w:rPr>
        <w:t>2</w:t>
      </w:r>
      <w:r>
        <w:rPr>
          <w:rFonts w:hint="eastAsia" w:ascii="Times New Roman" w:hAnsi="Times New Roman" w:eastAsia="宋体" w:cs="Times New Roman"/>
          <w:szCs w:val="24"/>
        </w:rPr>
        <w:t>月</w:t>
      </w:r>
      <w:r>
        <w:rPr>
          <w:rFonts w:ascii="Times New Roman" w:hAnsi="Times New Roman" w:eastAsia="宋体" w:cs="Times New Roman"/>
          <w:szCs w:val="24"/>
        </w:rPr>
        <w:t>25</w:t>
      </w:r>
      <w:r>
        <w:rPr>
          <w:rFonts w:hint="eastAsia" w:ascii="Times New Roman" w:hAnsi="Times New Roman" w:eastAsia="宋体" w:cs="Times New Roman"/>
          <w:szCs w:val="24"/>
        </w:rPr>
        <w:t>日，香港银行正式推出存款、汇款、兑换和银行卡等四项个人人民币业务；刚刚编制完成的《推进上海国际金融中心建设行动纲要》又透露，上海规划到</w:t>
      </w:r>
      <w:r>
        <w:rPr>
          <w:rFonts w:ascii="Times New Roman" w:hAnsi="Times New Roman" w:eastAsia="宋体" w:cs="Times New Roman"/>
          <w:szCs w:val="24"/>
        </w:rPr>
        <w:t>2010</w:t>
      </w:r>
      <w:r>
        <w:rPr>
          <w:rFonts w:hint="eastAsia" w:ascii="Times New Roman" w:hAnsi="Times New Roman" w:eastAsia="宋体" w:cs="Times New Roman"/>
          <w:szCs w:val="24"/>
        </w:rPr>
        <w:t>年建成人民币金融产品创新和交易中心。这些振奋人心的信息，再次引起关于人民币要不要逐步推行区域化乃至国际化，以及怎样去实现的议论，成为社会广泛关注的聚焦点之一。</w:t>
      </w:r>
    </w:p>
    <w:p w14:paraId="53A506A5">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我认为，若能实现在与日本平等的基础上建立亚洲货币基金，或者在暂不排斥本国货币存在的前提下规划发行“亚元”，对中国都是利大于弊的。不过，</w:t>
      </w:r>
      <w:r>
        <w:rPr>
          <w:rFonts w:ascii="Times New Roman" w:hAnsi="Times New Roman" w:eastAsia="宋体" w:cs="Times New Roman"/>
          <w:szCs w:val="24"/>
        </w:rPr>
        <w:t xml:space="preserve"> </w:t>
      </w:r>
      <w:r>
        <w:rPr>
          <w:rFonts w:hint="eastAsia" w:ascii="Times New Roman" w:hAnsi="Times New Roman" w:eastAsia="宋体" w:cs="Times New Roman"/>
          <w:szCs w:val="24"/>
        </w:rPr>
        <w:t>即便如此，在此之前和之后的一个较长时期内，中国还是要积极推行人民币的区域化和国际化。所以，根据经济区域化和全球化的客观要求，从理论与实际的结合上探讨人民币走向区域化和国际化的可能性，以及所应采取的相关措施，是非常必要的。</w:t>
      </w:r>
    </w:p>
    <w:p w14:paraId="3CBFE20F">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周肇光：这个观察和意见颇有道理。总体上看，人民币逐步走向区域化和国际化，是提高国际金融竞争力的迫切需要。因为中国加入</w:t>
      </w:r>
      <w:r>
        <w:rPr>
          <w:rFonts w:ascii="Times New Roman" w:hAnsi="Times New Roman" w:eastAsia="宋体" w:cs="Times New Roman"/>
          <w:szCs w:val="24"/>
        </w:rPr>
        <w:t>WTO</w:t>
      </w:r>
      <w:r>
        <w:rPr>
          <w:rFonts w:hint="eastAsia" w:ascii="Times New Roman" w:hAnsi="Times New Roman" w:eastAsia="宋体" w:cs="Times New Roman"/>
          <w:szCs w:val="24"/>
        </w:rPr>
        <w:t>，带来了巨大的机遇与风险，而要充分利用各种机遇和化解市场风险，提高国际金融竞争力，就必须推进人民币的区域化和国际化。这表现在：</w:t>
      </w:r>
    </w:p>
    <w:p w14:paraId="1B67169C">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一是在金融管理的目标上，人民币的区域化和国际化能减少汇价风险，有利于促进对外贸易的更快发展。过去我国对外经济交往都使用外币，汇价风险很大，一旦使用币种不当，就要承受巨大损失；如果人民币成为区域性或国际性货币，我们在国际间往来时就可以争取更多地使用本币，使汇价风险减少到最低限度。</w:t>
      </w:r>
    </w:p>
    <w:p w14:paraId="1433358B">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二是在金融管理的效果上，人民币的区域化和国际化能减少因使用外币所引起的财富流失，并增加财富集聚效应。把本国货币作为区域或全球流通的货币发行，客观上是把别国的资金筹集到本国来，为本国经济注入新的活力。美国战后及近</w:t>
      </w:r>
      <w:r>
        <w:rPr>
          <w:rFonts w:ascii="Times New Roman" w:hAnsi="Times New Roman" w:eastAsia="宋体" w:cs="Times New Roman"/>
          <w:szCs w:val="24"/>
        </w:rPr>
        <w:t>10</w:t>
      </w:r>
      <w:r>
        <w:rPr>
          <w:rFonts w:hint="eastAsia" w:ascii="Times New Roman" w:hAnsi="Times New Roman" w:eastAsia="宋体" w:cs="Times New Roman"/>
          <w:szCs w:val="24"/>
        </w:rPr>
        <w:t>年之所以能维持经济霸权地位，财富有较快的增长，是同美元作为世界货币密切相联的。</w:t>
      </w:r>
    </w:p>
    <w:p w14:paraId="57EB92B0">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这进而带来了金融管理上的要求。人民币的区域化和国际化，要求外资银行进入中国并逐步拓展业务范围，中国的银行要更多地走向世界，这就在资金运用、业务品种、服务手段、工作效率以及利率和汇率的风险管理等方面，对银行业提出了更高的要求。同时，人民币的区域化和国际化还将在更深的层次上沟通本币与外币之间的联系，要求加强对本币供应量的调节，改善中央银行宏观调控能力，建立符合市场经济要求的银行体制和金融市场体系，提高银行的生存和发展能力。</w:t>
      </w:r>
    </w:p>
    <w:p w14:paraId="442D194C">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程恩富：还不止这三条。比如，在金融管理的质量上，人民币的区域化和国际化能提高国际化金融服务水平。因为它客观上要求中资银行必须更多地面向世界，提供符合国际化要求的金融服务。又如，它有利于改善外商的投资和经营环境，减少外商投资利润的汇出风险，保护外商投资者的合法权益，</w:t>
      </w:r>
      <w:r>
        <w:rPr>
          <w:rFonts w:ascii="Times New Roman" w:hAnsi="Times New Roman" w:eastAsia="宋体" w:cs="Times New Roman"/>
          <w:szCs w:val="24"/>
        </w:rPr>
        <w:t xml:space="preserve"> </w:t>
      </w:r>
      <w:r>
        <w:rPr>
          <w:rFonts w:hint="eastAsia" w:ascii="Times New Roman" w:hAnsi="Times New Roman" w:eastAsia="宋体" w:cs="Times New Roman"/>
          <w:szCs w:val="24"/>
        </w:rPr>
        <w:t>增强外国投资者的信心，促进更合理地引进外资，提高产业结构的优化率。</w:t>
      </w:r>
    </w:p>
    <w:p w14:paraId="72B35019">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因此，人民币逐步区域化和国际化，就是日渐掌握一种区域性和世界性货币的发行和调节权，这对于全球经济新秩序的建立以及提高我国经济的国际地位，均至关重要。</w:t>
      </w:r>
    </w:p>
    <w:p w14:paraId="1AC3539D">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周肇光：另外，应当看到，我国经济的发展为人民币逐步走向区域化和国际化创造了日趋良好的条件。从我国当前的经济发展情况看，这些条件主要表现在：</w:t>
      </w:r>
    </w:p>
    <w:p w14:paraId="1D86C222">
      <w:pPr>
        <w:spacing w:line="300" w:lineRule="auto"/>
        <w:ind w:firstLine="440" w:firstLineChars="200"/>
        <w:rPr>
          <w:rFonts w:ascii="Times New Roman" w:hAnsi="Times New Roman" w:eastAsia="宋体" w:cs="Times New Roman"/>
          <w:szCs w:val="24"/>
        </w:rPr>
      </w:pPr>
      <w:r>
        <w:rPr>
          <w:rFonts w:ascii="Times New Roman" w:hAnsi="Times New Roman" w:eastAsia="宋体" w:cs="Times New Roman"/>
          <w:szCs w:val="24"/>
        </w:rPr>
        <w:t>1</w:t>
      </w:r>
      <w:r>
        <w:rPr>
          <w:rFonts w:hint="eastAsia" w:ascii="Times New Roman" w:hAnsi="Times New Roman" w:eastAsia="宋体" w:cs="Times New Roman"/>
          <w:szCs w:val="24"/>
        </w:rPr>
        <w:t>、中国的经济规模和综合国力已有明显提高。目前，中国由</w:t>
      </w:r>
      <w:r>
        <w:rPr>
          <w:rFonts w:ascii="Times New Roman" w:hAnsi="Times New Roman" w:eastAsia="宋体" w:cs="Times New Roman"/>
          <w:szCs w:val="24"/>
        </w:rPr>
        <w:t>GDP</w:t>
      </w:r>
      <w:r>
        <w:rPr>
          <w:rFonts w:hint="eastAsia" w:ascii="Times New Roman" w:hAnsi="Times New Roman" w:eastAsia="宋体" w:cs="Times New Roman"/>
          <w:szCs w:val="24"/>
        </w:rPr>
        <w:t>所显示的经济规模名列世界第六，再有</w:t>
      </w:r>
      <w:r>
        <w:rPr>
          <w:rFonts w:ascii="Times New Roman" w:hAnsi="Times New Roman" w:eastAsia="宋体" w:cs="Times New Roman"/>
          <w:szCs w:val="24"/>
        </w:rPr>
        <w:t>10</w:t>
      </w:r>
      <w:r>
        <w:rPr>
          <w:rFonts w:hint="eastAsia" w:ascii="Times New Roman" w:hAnsi="Times New Roman" w:eastAsia="宋体" w:cs="Times New Roman"/>
          <w:szCs w:val="24"/>
        </w:rPr>
        <w:t>年，将成为仅次于美、日的第三经济大国。我国的综合国力现排名世界第七，今后大体上每</w:t>
      </w:r>
      <w:r>
        <w:rPr>
          <w:rFonts w:ascii="Times New Roman" w:hAnsi="Times New Roman" w:eastAsia="宋体" w:cs="Times New Roman"/>
          <w:szCs w:val="24"/>
        </w:rPr>
        <w:t>10</w:t>
      </w:r>
      <w:r>
        <w:rPr>
          <w:rFonts w:hint="eastAsia" w:ascii="Times New Roman" w:hAnsi="Times New Roman" w:eastAsia="宋体" w:cs="Times New Roman"/>
          <w:szCs w:val="24"/>
        </w:rPr>
        <w:t>年递增一位。</w:t>
      </w:r>
    </w:p>
    <w:p w14:paraId="303307A7">
      <w:pPr>
        <w:spacing w:line="300" w:lineRule="auto"/>
        <w:ind w:firstLine="440" w:firstLineChars="200"/>
        <w:rPr>
          <w:rFonts w:ascii="Times New Roman" w:hAnsi="Times New Roman" w:eastAsia="宋体" w:cs="Times New Roman"/>
          <w:szCs w:val="24"/>
        </w:rPr>
      </w:pPr>
      <w:r>
        <w:rPr>
          <w:rFonts w:ascii="Times New Roman" w:hAnsi="Times New Roman" w:eastAsia="宋体" w:cs="Times New Roman"/>
          <w:szCs w:val="24"/>
        </w:rPr>
        <w:t>2</w:t>
      </w:r>
      <w:r>
        <w:rPr>
          <w:rFonts w:hint="eastAsia" w:ascii="Times New Roman" w:hAnsi="Times New Roman" w:eastAsia="宋体" w:cs="Times New Roman"/>
          <w:szCs w:val="24"/>
        </w:rPr>
        <w:t>、中国对外贸易结构不断优化。“八五”期间，在中国进出口商品结构中，初级产品和制成品各自所占比重，出口约为</w:t>
      </w:r>
      <w:r>
        <w:rPr>
          <w:rFonts w:ascii="Times New Roman" w:hAnsi="Times New Roman" w:eastAsia="宋体" w:cs="Times New Roman"/>
          <w:szCs w:val="24"/>
        </w:rPr>
        <w:t>1:1</w:t>
      </w:r>
      <w:r>
        <w:rPr>
          <w:rFonts w:hint="eastAsia" w:ascii="Times New Roman" w:hAnsi="Times New Roman" w:eastAsia="宋体" w:cs="Times New Roman"/>
          <w:szCs w:val="24"/>
        </w:rPr>
        <w:t>，进口约为</w:t>
      </w:r>
      <w:r>
        <w:rPr>
          <w:rFonts w:ascii="Times New Roman" w:hAnsi="Times New Roman" w:eastAsia="宋体" w:cs="Times New Roman"/>
          <w:szCs w:val="24"/>
        </w:rPr>
        <w:t>1:3</w:t>
      </w:r>
      <w:r>
        <w:rPr>
          <w:rFonts w:hint="eastAsia" w:ascii="Times New Roman" w:hAnsi="Times New Roman" w:eastAsia="宋体" w:cs="Times New Roman"/>
          <w:szCs w:val="24"/>
        </w:rPr>
        <w:t>，</w:t>
      </w:r>
      <w:r>
        <w:rPr>
          <w:rFonts w:ascii="Times New Roman" w:hAnsi="Times New Roman" w:eastAsia="宋体" w:cs="Times New Roman"/>
          <w:szCs w:val="24"/>
        </w:rPr>
        <w:t xml:space="preserve"> </w:t>
      </w:r>
      <w:r>
        <w:rPr>
          <w:rFonts w:hint="eastAsia" w:ascii="Times New Roman" w:hAnsi="Times New Roman" w:eastAsia="宋体" w:cs="Times New Roman"/>
          <w:szCs w:val="24"/>
        </w:rPr>
        <w:t>贸易结构的低级化非常明显。在“九五”期间，尽管在东南亚金融危机时承诺人民币汇率保持稳定的前提下，中国外贸仍保持一定增长，上述比重均变为</w:t>
      </w:r>
      <w:r>
        <w:rPr>
          <w:rFonts w:ascii="Times New Roman" w:hAnsi="Times New Roman" w:eastAsia="宋体" w:cs="Times New Roman"/>
          <w:szCs w:val="24"/>
        </w:rPr>
        <w:t>1:4</w:t>
      </w:r>
      <w:r>
        <w:rPr>
          <w:rFonts w:hint="eastAsia" w:ascii="Times New Roman" w:hAnsi="Times New Roman" w:eastAsia="宋体" w:cs="Times New Roman"/>
          <w:szCs w:val="24"/>
        </w:rPr>
        <w:t>左右，</w:t>
      </w:r>
      <w:r>
        <w:rPr>
          <w:rFonts w:ascii="Times New Roman" w:hAnsi="Times New Roman" w:eastAsia="宋体" w:cs="Times New Roman"/>
          <w:szCs w:val="24"/>
        </w:rPr>
        <w:t xml:space="preserve"> </w:t>
      </w:r>
      <w:r>
        <w:rPr>
          <w:rFonts w:hint="eastAsia" w:ascii="Times New Roman" w:hAnsi="Times New Roman" w:eastAsia="宋体" w:cs="Times New Roman"/>
          <w:szCs w:val="24"/>
        </w:rPr>
        <w:t>标志着中国已基本实现了出口贸易由初级产品和粗加工产品，向工业制成品和精加工产品的结构性转换。“十五”期间，在对外贸易结构优化和外贸交易量方面，都有新的提高。</w:t>
      </w:r>
    </w:p>
    <w:p w14:paraId="1810446D">
      <w:pPr>
        <w:spacing w:line="300" w:lineRule="auto"/>
        <w:ind w:firstLine="440" w:firstLineChars="200"/>
        <w:rPr>
          <w:rFonts w:ascii="Times New Roman" w:hAnsi="Times New Roman" w:eastAsia="宋体" w:cs="Times New Roman"/>
          <w:szCs w:val="24"/>
        </w:rPr>
      </w:pPr>
      <w:r>
        <w:rPr>
          <w:rFonts w:ascii="Times New Roman" w:hAnsi="Times New Roman" w:eastAsia="宋体" w:cs="Times New Roman"/>
          <w:szCs w:val="24"/>
        </w:rPr>
        <w:t>3</w:t>
      </w:r>
      <w:r>
        <w:rPr>
          <w:rFonts w:hint="eastAsia" w:ascii="Times New Roman" w:hAnsi="Times New Roman" w:eastAsia="宋体" w:cs="Times New Roman"/>
          <w:szCs w:val="24"/>
        </w:rPr>
        <w:t>、引进利用外资和对外投资成效显著。按可比汇率计算，我国对外商投资企业的依存度已由</w:t>
      </w:r>
      <w:r>
        <w:rPr>
          <w:rFonts w:ascii="Times New Roman" w:hAnsi="Times New Roman" w:eastAsia="宋体" w:cs="Times New Roman"/>
          <w:szCs w:val="24"/>
        </w:rPr>
        <w:t xml:space="preserve">1990 </w:t>
      </w:r>
      <w:r>
        <w:rPr>
          <w:rFonts w:hint="eastAsia" w:ascii="Times New Roman" w:hAnsi="Times New Roman" w:eastAsia="宋体" w:cs="Times New Roman"/>
          <w:szCs w:val="24"/>
        </w:rPr>
        <w:t>年的</w:t>
      </w:r>
      <w:r>
        <w:rPr>
          <w:rFonts w:ascii="Times New Roman" w:hAnsi="Times New Roman" w:eastAsia="宋体" w:cs="Times New Roman"/>
          <w:szCs w:val="24"/>
        </w:rPr>
        <w:t>4.9%</w:t>
      </w:r>
      <w:r>
        <w:rPr>
          <w:rFonts w:hint="eastAsia" w:ascii="Times New Roman" w:hAnsi="Times New Roman" w:eastAsia="宋体" w:cs="Times New Roman"/>
          <w:szCs w:val="24"/>
        </w:rPr>
        <w:t>，</w:t>
      </w:r>
      <w:r>
        <w:rPr>
          <w:rFonts w:ascii="Times New Roman" w:hAnsi="Times New Roman" w:eastAsia="宋体" w:cs="Times New Roman"/>
          <w:szCs w:val="24"/>
        </w:rPr>
        <w:t xml:space="preserve"> </w:t>
      </w:r>
      <w:r>
        <w:rPr>
          <w:rFonts w:hint="eastAsia" w:ascii="Times New Roman" w:hAnsi="Times New Roman" w:eastAsia="宋体" w:cs="Times New Roman"/>
          <w:szCs w:val="24"/>
        </w:rPr>
        <w:t>上升到</w:t>
      </w:r>
      <w:r>
        <w:rPr>
          <w:rFonts w:ascii="Times New Roman" w:hAnsi="Times New Roman" w:eastAsia="宋体" w:cs="Times New Roman"/>
          <w:szCs w:val="24"/>
        </w:rPr>
        <w:t>2000</w:t>
      </w:r>
      <w:r>
        <w:rPr>
          <w:rFonts w:hint="eastAsia" w:ascii="Times New Roman" w:hAnsi="Times New Roman" w:eastAsia="宋体" w:cs="Times New Roman"/>
          <w:szCs w:val="24"/>
        </w:rPr>
        <w:t>年的</w:t>
      </w:r>
      <w:r>
        <w:rPr>
          <w:rFonts w:ascii="Times New Roman" w:hAnsi="Times New Roman" w:eastAsia="宋体" w:cs="Times New Roman"/>
          <w:szCs w:val="24"/>
        </w:rPr>
        <w:t>30.97%</w:t>
      </w:r>
      <w:r>
        <w:rPr>
          <w:rFonts w:hint="eastAsia" w:ascii="Times New Roman" w:hAnsi="Times New Roman" w:eastAsia="宋体" w:cs="Times New Roman"/>
          <w:szCs w:val="24"/>
        </w:rPr>
        <w:t>；引进和利用外资的规模连续多年居世界前列。</w:t>
      </w:r>
      <w:r>
        <w:rPr>
          <w:rFonts w:ascii="Times New Roman" w:hAnsi="Times New Roman" w:eastAsia="宋体" w:cs="Times New Roman"/>
          <w:szCs w:val="24"/>
        </w:rPr>
        <w:t>20</w:t>
      </w:r>
      <w:r>
        <w:rPr>
          <w:rFonts w:hint="eastAsia" w:ascii="Times New Roman" w:hAnsi="Times New Roman" w:eastAsia="宋体" w:cs="Times New Roman"/>
          <w:szCs w:val="24"/>
        </w:rPr>
        <w:t>世纪末，已有来自</w:t>
      </w:r>
      <w:r>
        <w:rPr>
          <w:rFonts w:ascii="Times New Roman" w:hAnsi="Times New Roman" w:eastAsia="宋体" w:cs="Times New Roman"/>
          <w:szCs w:val="24"/>
        </w:rPr>
        <w:t>40</w:t>
      </w:r>
      <w:r>
        <w:rPr>
          <w:rFonts w:hint="eastAsia" w:ascii="Times New Roman" w:hAnsi="Times New Roman" w:eastAsia="宋体" w:cs="Times New Roman"/>
          <w:szCs w:val="24"/>
        </w:rPr>
        <w:t>多个国家和地区的外资金融机构在中国</w:t>
      </w:r>
      <w:r>
        <w:rPr>
          <w:rFonts w:ascii="Times New Roman" w:hAnsi="Times New Roman" w:eastAsia="宋体" w:cs="Times New Roman"/>
          <w:szCs w:val="24"/>
        </w:rPr>
        <w:t>20</w:t>
      </w:r>
      <w:r>
        <w:rPr>
          <w:rFonts w:hint="eastAsia" w:ascii="Times New Roman" w:hAnsi="Times New Roman" w:eastAsia="宋体" w:cs="Times New Roman"/>
          <w:szCs w:val="24"/>
        </w:rPr>
        <w:t>多个中心城市设立代表处</w:t>
      </w:r>
      <w:r>
        <w:rPr>
          <w:rFonts w:ascii="Times New Roman" w:hAnsi="Times New Roman" w:eastAsia="宋体" w:cs="Times New Roman"/>
          <w:szCs w:val="24"/>
        </w:rPr>
        <w:t>500</w:t>
      </w:r>
      <w:r>
        <w:rPr>
          <w:rFonts w:hint="eastAsia" w:ascii="Times New Roman" w:hAnsi="Times New Roman" w:eastAsia="宋体" w:cs="Times New Roman"/>
          <w:szCs w:val="24"/>
        </w:rPr>
        <w:t>多个，分支行等营业性机构</w:t>
      </w:r>
      <w:r>
        <w:rPr>
          <w:rFonts w:ascii="Times New Roman" w:hAnsi="Times New Roman" w:eastAsia="宋体" w:cs="Times New Roman"/>
          <w:szCs w:val="24"/>
        </w:rPr>
        <w:t>120</w:t>
      </w:r>
      <w:r>
        <w:rPr>
          <w:rFonts w:hint="eastAsia" w:ascii="Times New Roman" w:hAnsi="Times New Roman" w:eastAsia="宋体" w:cs="Times New Roman"/>
          <w:szCs w:val="24"/>
        </w:rPr>
        <w:t>多家，</w:t>
      </w:r>
      <w:r>
        <w:rPr>
          <w:rFonts w:ascii="Times New Roman" w:hAnsi="Times New Roman" w:eastAsia="宋体" w:cs="Times New Roman"/>
          <w:szCs w:val="24"/>
        </w:rPr>
        <w:t xml:space="preserve"> </w:t>
      </w:r>
      <w:r>
        <w:rPr>
          <w:rFonts w:hint="eastAsia" w:ascii="Times New Roman" w:hAnsi="Times New Roman" w:eastAsia="宋体" w:cs="Times New Roman"/>
          <w:szCs w:val="24"/>
        </w:rPr>
        <w:t>在华金融资产总额已超过</w:t>
      </w:r>
      <w:r>
        <w:rPr>
          <w:rFonts w:ascii="Times New Roman" w:hAnsi="Times New Roman" w:eastAsia="宋体" w:cs="Times New Roman"/>
          <w:szCs w:val="24"/>
        </w:rPr>
        <w:t>600</w:t>
      </w:r>
      <w:r>
        <w:rPr>
          <w:rFonts w:hint="eastAsia" w:ascii="Times New Roman" w:hAnsi="Times New Roman" w:eastAsia="宋体" w:cs="Times New Roman"/>
          <w:szCs w:val="24"/>
        </w:rPr>
        <w:t>亿美元。中国有</w:t>
      </w:r>
      <w:r>
        <w:rPr>
          <w:rFonts w:ascii="Times New Roman" w:hAnsi="Times New Roman" w:eastAsia="宋体" w:cs="Times New Roman"/>
          <w:szCs w:val="24"/>
        </w:rPr>
        <w:t>5000</w:t>
      </w:r>
      <w:r>
        <w:rPr>
          <w:rFonts w:hint="eastAsia" w:ascii="Times New Roman" w:hAnsi="Times New Roman" w:eastAsia="宋体" w:cs="Times New Roman"/>
          <w:szCs w:val="24"/>
        </w:rPr>
        <w:t>余家生产和流通企业以积极的姿态到海外投资经营，</w:t>
      </w:r>
      <w:r>
        <w:rPr>
          <w:rFonts w:ascii="Times New Roman" w:hAnsi="Times New Roman" w:eastAsia="宋体" w:cs="Times New Roman"/>
          <w:szCs w:val="24"/>
        </w:rPr>
        <w:t xml:space="preserve"> </w:t>
      </w:r>
      <w:r>
        <w:rPr>
          <w:rFonts w:hint="eastAsia" w:ascii="Times New Roman" w:hAnsi="Times New Roman" w:eastAsia="宋体" w:cs="Times New Roman"/>
          <w:szCs w:val="24"/>
        </w:rPr>
        <w:t>已遍及</w:t>
      </w:r>
      <w:r>
        <w:rPr>
          <w:rFonts w:ascii="Times New Roman" w:hAnsi="Times New Roman" w:eastAsia="宋体" w:cs="Times New Roman"/>
          <w:szCs w:val="24"/>
        </w:rPr>
        <w:t>120</w:t>
      </w:r>
      <w:r>
        <w:rPr>
          <w:rFonts w:hint="eastAsia" w:ascii="Times New Roman" w:hAnsi="Times New Roman" w:eastAsia="宋体" w:cs="Times New Roman"/>
          <w:szCs w:val="24"/>
        </w:rPr>
        <w:t>多个国家和地区，跻身国际经济舞台。我国银行业在海外的分支机构已达</w:t>
      </w:r>
      <w:r>
        <w:rPr>
          <w:rFonts w:ascii="Times New Roman" w:hAnsi="Times New Roman" w:eastAsia="宋体" w:cs="Times New Roman"/>
          <w:szCs w:val="24"/>
        </w:rPr>
        <w:t>584</w:t>
      </w:r>
      <w:r>
        <w:rPr>
          <w:rFonts w:hint="eastAsia" w:ascii="Times New Roman" w:hAnsi="Times New Roman" w:eastAsia="宋体" w:cs="Times New Roman"/>
          <w:szCs w:val="24"/>
        </w:rPr>
        <w:t>个，仅中国银行一家海外分支就遍布</w:t>
      </w:r>
      <w:r>
        <w:rPr>
          <w:rFonts w:ascii="Times New Roman" w:hAnsi="Times New Roman" w:eastAsia="宋体" w:cs="Times New Roman"/>
          <w:szCs w:val="24"/>
        </w:rPr>
        <w:t>19</w:t>
      </w:r>
      <w:r>
        <w:rPr>
          <w:rFonts w:hint="eastAsia" w:ascii="Times New Roman" w:hAnsi="Times New Roman" w:eastAsia="宋体" w:cs="Times New Roman"/>
          <w:szCs w:val="24"/>
        </w:rPr>
        <w:t>个国家和地区，达</w:t>
      </w:r>
      <w:r>
        <w:rPr>
          <w:rFonts w:ascii="Times New Roman" w:hAnsi="Times New Roman" w:eastAsia="宋体" w:cs="Times New Roman"/>
          <w:szCs w:val="24"/>
        </w:rPr>
        <w:t>521</w:t>
      </w:r>
      <w:r>
        <w:rPr>
          <w:rFonts w:hint="eastAsia" w:ascii="Times New Roman" w:hAnsi="Times New Roman" w:eastAsia="宋体" w:cs="Times New Roman"/>
          <w:szCs w:val="24"/>
        </w:rPr>
        <w:t>个，海外机构资产总值、存放款总额大幅度增加。国有工、农、中、建等四大专业银行，均已进入世界最大</w:t>
      </w:r>
      <w:r>
        <w:rPr>
          <w:rFonts w:ascii="Times New Roman" w:hAnsi="Times New Roman" w:eastAsia="宋体" w:cs="Times New Roman"/>
          <w:szCs w:val="24"/>
        </w:rPr>
        <w:t>500</w:t>
      </w:r>
      <w:r>
        <w:rPr>
          <w:rFonts w:hint="eastAsia" w:ascii="Times New Roman" w:hAnsi="Times New Roman" w:eastAsia="宋体" w:cs="Times New Roman"/>
          <w:szCs w:val="24"/>
        </w:rPr>
        <w:t>家之列。</w:t>
      </w:r>
    </w:p>
    <w:p w14:paraId="49131F6F">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程恩富：你是从整个国民经济的角度来分析的，如果从外汇管理和汇率角度观察，也可以说明问题。目前，外汇管理体制改革效果显著。中国外汇交易中心于</w:t>
      </w:r>
      <w:r>
        <w:rPr>
          <w:rFonts w:ascii="Times New Roman" w:hAnsi="Times New Roman" w:eastAsia="宋体" w:cs="Times New Roman"/>
          <w:szCs w:val="24"/>
        </w:rPr>
        <w:t>1994</w:t>
      </w:r>
      <w:r>
        <w:rPr>
          <w:rFonts w:hint="eastAsia" w:ascii="Times New Roman" w:hAnsi="Times New Roman" w:eastAsia="宋体" w:cs="Times New Roman"/>
          <w:szCs w:val="24"/>
        </w:rPr>
        <w:t>年</w:t>
      </w:r>
      <w:r>
        <w:rPr>
          <w:rFonts w:ascii="Times New Roman" w:hAnsi="Times New Roman" w:eastAsia="宋体" w:cs="Times New Roman"/>
          <w:szCs w:val="24"/>
        </w:rPr>
        <w:t>4</w:t>
      </w:r>
      <w:r>
        <w:rPr>
          <w:rFonts w:hint="eastAsia" w:ascii="Times New Roman" w:hAnsi="Times New Roman" w:eastAsia="宋体" w:cs="Times New Roman"/>
          <w:szCs w:val="24"/>
        </w:rPr>
        <w:t>月正式联网运作，</w:t>
      </w:r>
      <w:r>
        <w:rPr>
          <w:rFonts w:ascii="Times New Roman" w:hAnsi="Times New Roman" w:eastAsia="宋体" w:cs="Times New Roman"/>
          <w:szCs w:val="24"/>
        </w:rPr>
        <w:t xml:space="preserve"> </w:t>
      </w:r>
      <w:r>
        <w:rPr>
          <w:rFonts w:hint="eastAsia" w:ascii="Times New Roman" w:hAnsi="Times New Roman" w:eastAsia="宋体" w:cs="Times New Roman"/>
          <w:szCs w:val="24"/>
        </w:rPr>
        <w:t>标志着我国外汇市场进入了规范和发展的新阶段。进入</w:t>
      </w:r>
      <w:r>
        <w:rPr>
          <w:rFonts w:ascii="Times New Roman" w:hAnsi="Times New Roman" w:eastAsia="宋体" w:cs="Times New Roman"/>
          <w:szCs w:val="24"/>
        </w:rPr>
        <w:t xml:space="preserve">1996 </w:t>
      </w:r>
      <w:r>
        <w:rPr>
          <w:rFonts w:hint="eastAsia" w:ascii="Times New Roman" w:hAnsi="Times New Roman" w:eastAsia="宋体" w:cs="Times New Roman"/>
          <w:szCs w:val="24"/>
        </w:rPr>
        <w:t>年，</w:t>
      </w:r>
      <w:r>
        <w:rPr>
          <w:rFonts w:ascii="Times New Roman" w:hAnsi="Times New Roman" w:eastAsia="宋体" w:cs="Times New Roman"/>
          <w:szCs w:val="24"/>
        </w:rPr>
        <w:t xml:space="preserve"> </w:t>
      </w:r>
      <w:r>
        <w:rPr>
          <w:rFonts w:hint="eastAsia" w:ascii="Times New Roman" w:hAnsi="Times New Roman" w:eastAsia="宋体" w:cs="Times New Roman"/>
          <w:szCs w:val="24"/>
        </w:rPr>
        <w:t>全国统一金融拆借市场宣告成立，中央银行进行公开市场炒作，及时推出人民币远期外汇买卖，并实现了人民币经常项目的可兑换。这些举措表明，中国外汇管理和金融市场正朝着有利于人民币区域化和国际化的方向发展。</w:t>
      </w:r>
    </w:p>
    <w:p w14:paraId="0DF07C7A">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从人民币汇率角度分析，它处于基本稳定状态。自从</w:t>
      </w:r>
      <w:r>
        <w:rPr>
          <w:rFonts w:ascii="Times New Roman" w:hAnsi="Times New Roman" w:eastAsia="宋体" w:cs="Times New Roman"/>
          <w:szCs w:val="24"/>
        </w:rPr>
        <w:t>1994</w:t>
      </w:r>
      <w:r>
        <w:rPr>
          <w:rFonts w:hint="eastAsia" w:ascii="Times New Roman" w:hAnsi="Times New Roman" w:eastAsia="宋体" w:cs="Times New Roman"/>
          <w:szCs w:val="24"/>
        </w:rPr>
        <w:t>年外汇管理体制改革以来，</w:t>
      </w:r>
      <w:r>
        <w:rPr>
          <w:rFonts w:ascii="Times New Roman" w:hAnsi="Times New Roman" w:eastAsia="宋体" w:cs="Times New Roman"/>
          <w:szCs w:val="24"/>
        </w:rPr>
        <w:t xml:space="preserve"> </w:t>
      </w:r>
      <w:r>
        <w:rPr>
          <w:rFonts w:hint="eastAsia" w:ascii="Times New Roman" w:hAnsi="Times New Roman" w:eastAsia="宋体" w:cs="Times New Roman"/>
          <w:szCs w:val="24"/>
        </w:rPr>
        <w:t>人民币汇率从波动走向稳定。如</w:t>
      </w:r>
      <w:r>
        <w:rPr>
          <w:rFonts w:ascii="Times New Roman" w:hAnsi="Times New Roman" w:eastAsia="宋体" w:cs="Times New Roman"/>
          <w:szCs w:val="24"/>
        </w:rPr>
        <w:t>1994</w:t>
      </w:r>
      <w:r>
        <w:rPr>
          <w:rFonts w:hint="eastAsia" w:ascii="Times New Roman" w:hAnsi="Times New Roman" w:eastAsia="宋体" w:cs="Times New Roman"/>
          <w:szCs w:val="24"/>
        </w:rPr>
        <w:t>年汇率并轨时为</w:t>
      </w:r>
      <w:r>
        <w:rPr>
          <w:rFonts w:ascii="Times New Roman" w:hAnsi="Times New Roman" w:eastAsia="宋体" w:cs="Times New Roman"/>
          <w:szCs w:val="24"/>
        </w:rPr>
        <w:t>8.7.</w:t>
      </w:r>
      <w:r>
        <w:rPr>
          <w:rFonts w:hint="eastAsia" w:ascii="Times New Roman" w:hAnsi="Times New Roman" w:eastAsia="宋体" w:cs="Times New Roman"/>
          <w:szCs w:val="24"/>
        </w:rPr>
        <w:t>人民币兑</w:t>
      </w:r>
      <w:r>
        <w:rPr>
          <w:rFonts w:ascii="Times New Roman" w:hAnsi="Times New Roman" w:eastAsia="宋体" w:cs="Times New Roman"/>
          <w:szCs w:val="24"/>
        </w:rPr>
        <w:t>1</w:t>
      </w:r>
      <w:r>
        <w:rPr>
          <w:rFonts w:hint="eastAsia" w:ascii="Times New Roman" w:hAnsi="Times New Roman" w:eastAsia="宋体" w:cs="Times New Roman"/>
          <w:szCs w:val="24"/>
        </w:rPr>
        <w:t>美元，近几年来一直保持在</w:t>
      </w:r>
      <w:r>
        <w:rPr>
          <w:rFonts w:ascii="Times New Roman" w:hAnsi="Times New Roman" w:eastAsia="宋体" w:cs="Times New Roman"/>
          <w:szCs w:val="24"/>
        </w:rPr>
        <w:t>8.27</w:t>
      </w:r>
      <w:r>
        <w:rPr>
          <w:rFonts w:hint="eastAsia" w:ascii="Times New Roman" w:hAnsi="Times New Roman" w:eastAsia="宋体" w:cs="Times New Roman"/>
          <w:szCs w:val="24"/>
        </w:rPr>
        <w:t>人民币兑</w:t>
      </w:r>
      <w:r>
        <w:rPr>
          <w:rFonts w:ascii="Times New Roman" w:hAnsi="Times New Roman" w:eastAsia="宋体" w:cs="Times New Roman"/>
          <w:szCs w:val="24"/>
        </w:rPr>
        <w:t>1</w:t>
      </w:r>
      <w:r>
        <w:rPr>
          <w:rFonts w:hint="eastAsia" w:ascii="Times New Roman" w:hAnsi="Times New Roman" w:eastAsia="宋体" w:cs="Times New Roman"/>
          <w:szCs w:val="24"/>
        </w:rPr>
        <w:t>美元的汇率，其原因除了与汇率并轨时人民币汇率定值偏低有关以外，主要在于外汇市场持续供大于求。近年来，我国出口创汇形势较好，外汇储备猛增，到</w:t>
      </w:r>
      <w:r>
        <w:rPr>
          <w:rFonts w:ascii="Times New Roman" w:hAnsi="Times New Roman" w:eastAsia="宋体" w:cs="Times New Roman"/>
          <w:szCs w:val="24"/>
        </w:rPr>
        <w:t>2001</w:t>
      </w:r>
      <w:r>
        <w:rPr>
          <w:rFonts w:hint="eastAsia" w:ascii="Times New Roman" w:hAnsi="Times New Roman" w:eastAsia="宋体" w:cs="Times New Roman"/>
          <w:szCs w:val="24"/>
        </w:rPr>
        <w:t>年底突破</w:t>
      </w:r>
      <w:r>
        <w:rPr>
          <w:rFonts w:ascii="Times New Roman" w:hAnsi="Times New Roman" w:eastAsia="宋体" w:cs="Times New Roman"/>
          <w:szCs w:val="24"/>
        </w:rPr>
        <w:t xml:space="preserve">2000 </w:t>
      </w:r>
      <w:r>
        <w:rPr>
          <w:rFonts w:hint="eastAsia" w:ascii="Times New Roman" w:hAnsi="Times New Roman" w:eastAsia="宋体" w:cs="Times New Roman"/>
          <w:szCs w:val="24"/>
        </w:rPr>
        <w:t>亿美元大关，</w:t>
      </w:r>
      <w:r>
        <w:rPr>
          <w:rFonts w:ascii="Times New Roman" w:hAnsi="Times New Roman" w:eastAsia="宋体" w:cs="Times New Roman"/>
          <w:szCs w:val="24"/>
        </w:rPr>
        <w:t xml:space="preserve"> </w:t>
      </w:r>
      <w:r>
        <w:rPr>
          <w:rFonts w:hint="eastAsia" w:ascii="Times New Roman" w:hAnsi="Times New Roman" w:eastAsia="宋体" w:cs="Times New Roman"/>
          <w:szCs w:val="24"/>
        </w:rPr>
        <w:t>现已超过</w:t>
      </w:r>
      <w:r>
        <w:rPr>
          <w:rFonts w:ascii="Times New Roman" w:hAnsi="Times New Roman" w:eastAsia="宋体" w:cs="Times New Roman"/>
          <w:szCs w:val="24"/>
        </w:rPr>
        <w:t xml:space="preserve">4000 </w:t>
      </w:r>
      <w:r>
        <w:rPr>
          <w:rFonts w:hint="eastAsia" w:ascii="Times New Roman" w:hAnsi="Times New Roman" w:eastAsia="宋体" w:cs="Times New Roman"/>
          <w:szCs w:val="24"/>
        </w:rPr>
        <w:t>亿美元，居世界前列。在世界经济衰退的形势下，中国人民币汇率仍保持不变，经受住了国际金融危机的考验。特别是与周边国家的边贸往来频繁，人民币成了主要的计价流通工具，</w:t>
      </w:r>
      <w:r>
        <w:rPr>
          <w:rFonts w:ascii="Times New Roman" w:hAnsi="Times New Roman" w:eastAsia="宋体" w:cs="Times New Roman"/>
          <w:szCs w:val="24"/>
        </w:rPr>
        <w:t xml:space="preserve"> </w:t>
      </w:r>
      <w:r>
        <w:rPr>
          <w:rFonts w:hint="eastAsia" w:ascii="Times New Roman" w:hAnsi="Times New Roman" w:eastAsia="宋体" w:cs="Times New Roman"/>
          <w:szCs w:val="24"/>
        </w:rPr>
        <w:t>并大量流入周边国家和地区，信誉很好，增强了人们对人民币的信心。</w:t>
      </w:r>
    </w:p>
    <w:p w14:paraId="57615FD4">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最近几个月，西方某些大国给中国施加压力，试图让人民币升值，而我国政府仍坚持继续实行稳定汇率的政策，这是因为这一政策是正确的，有助于继续推行积极的财政政策和稳健的货币政策；而前几年，实施积极的财政政策和稳健的货币政策的效果较为明显。</w:t>
      </w:r>
    </w:p>
    <w:p w14:paraId="518B68C2">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周肇光：当前，推进人民币逐步区域化和国际化应采取若干对策。例如，推进人民币区域化和国际化进程，需要有牢固的微观基础，这就必须加快建立和完善现代企业制度。因为，人民币区域化和国际化进程，将国外与国内两个市场体系融为一体，客观上迫使企业在全球范围内参与国际竞争，在更大范围内实现社会资源的优化配置。在这种情况下，国际市场价格波动将直接影响到国内市场价格波动，影响本国经济的健康发展。</w:t>
      </w:r>
    </w:p>
    <w:p w14:paraId="410E5B6C">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程恩富：是的。为此，一是应当按照市场经济体制的要求，</w:t>
      </w:r>
      <w:r>
        <w:rPr>
          <w:rFonts w:ascii="Times New Roman" w:hAnsi="Times New Roman" w:eastAsia="宋体" w:cs="Times New Roman"/>
          <w:szCs w:val="24"/>
        </w:rPr>
        <w:t xml:space="preserve"> </w:t>
      </w:r>
      <w:r>
        <w:rPr>
          <w:rFonts w:hint="eastAsia" w:ascii="Times New Roman" w:hAnsi="Times New Roman" w:eastAsia="宋体" w:cs="Times New Roman"/>
          <w:szCs w:val="24"/>
        </w:rPr>
        <w:t>深化产权制度改革，建立和完善现代企业制度，切实转变企业经营机制，使企业真正成为依法自主经营、自负盈亏、自我发展和自我约束的法人实体和市场主体。二是应当加速建设“三控型”民族企业集团。所谓“三控”，就是控股（资本）、控牌（品牌）、控技（技术），只有实行了“三控”的企业才是比较全面的民族经济成份。三是从根本上提高企业适应国内外两个市场竞争的能力，以适应人民币区域化和国际化进程中所需要的全方位开放度，切实做好人民币区域化和国际化的基础性工作。</w:t>
      </w:r>
    </w:p>
    <w:p w14:paraId="6D8AFD77">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周肇光：推进人民币区域化和国际化进程，也需要加强和完善以商业银行为中心的信用制度，并加大在国外推行人民币兑换业务。因为，人民币区域化和国际化属于货币经营范围，它包括国内经营和国际经营两个部分，两者都需要通过建立良好的信用制度来协调运行。要把信用视作金融业发展的生命线，不断完善适合国际要求的信用制度。另外，在世界各国经济交往中，要为人民币可兑换创造条件。如在旅游业相互开放的国家中，尤其是在东亚国家推行定额人民币兑换该国货币。现在，在泰国、越南、缅甸、朝鲜、蒙古、俄罗斯和我国的香港和澳门等国家和地区，人民币可以全境或局部通用（缅甸等国已规定中国游客可自由携带</w:t>
      </w:r>
      <w:r>
        <w:rPr>
          <w:rFonts w:ascii="Times New Roman" w:hAnsi="Times New Roman" w:eastAsia="宋体" w:cs="Times New Roman"/>
          <w:szCs w:val="24"/>
        </w:rPr>
        <w:t>6000</w:t>
      </w:r>
      <w:r>
        <w:rPr>
          <w:rFonts w:hint="eastAsia" w:ascii="Times New Roman" w:hAnsi="Times New Roman" w:eastAsia="宋体" w:cs="Times New Roman"/>
          <w:szCs w:val="24"/>
        </w:rPr>
        <w:t>元人民币入境并用此付费）。在整个东南亚地区流通的人民币不过二、三百亿元，而我国人民币总发行量为</w:t>
      </w:r>
      <w:r>
        <w:rPr>
          <w:rFonts w:ascii="Times New Roman" w:hAnsi="Times New Roman" w:eastAsia="宋体" w:cs="Times New Roman"/>
          <w:szCs w:val="24"/>
        </w:rPr>
        <w:t>16000</w:t>
      </w:r>
      <w:r>
        <w:rPr>
          <w:rFonts w:hint="eastAsia" w:ascii="Times New Roman" w:hAnsi="Times New Roman" w:eastAsia="宋体" w:cs="Times New Roman"/>
          <w:szCs w:val="24"/>
        </w:rPr>
        <w:t>亿元，</w:t>
      </w:r>
      <w:r>
        <w:rPr>
          <w:rFonts w:ascii="Times New Roman" w:hAnsi="Times New Roman" w:eastAsia="宋体" w:cs="Times New Roman"/>
          <w:szCs w:val="24"/>
        </w:rPr>
        <w:t xml:space="preserve"> </w:t>
      </w:r>
      <w:r>
        <w:rPr>
          <w:rFonts w:hint="eastAsia" w:ascii="Times New Roman" w:hAnsi="Times New Roman" w:eastAsia="宋体" w:cs="Times New Roman"/>
          <w:szCs w:val="24"/>
        </w:rPr>
        <w:t>只占不到</w:t>
      </w:r>
      <w:r>
        <w:rPr>
          <w:rFonts w:ascii="Times New Roman" w:hAnsi="Times New Roman" w:eastAsia="宋体" w:cs="Times New Roman"/>
          <w:szCs w:val="24"/>
        </w:rPr>
        <w:t>2%</w:t>
      </w:r>
      <w:r>
        <w:rPr>
          <w:rFonts w:hint="eastAsia" w:ascii="Times New Roman" w:hAnsi="Times New Roman" w:eastAsia="宋体" w:cs="Times New Roman"/>
          <w:szCs w:val="24"/>
        </w:rPr>
        <w:t>，</w:t>
      </w:r>
      <w:r>
        <w:rPr>
          <w:rFonts w:ascii="Times New Roman" w:hAnsi="Times New Roman" w:eastAsia="宋体" w:cs="Times New Roman"/>
          <w:szCs w:val="24"/>
        </w:rPr>
        <w:t xml:space="preserve"> </w:t>
      </w:r>
      <w:r>
        <w:rPr>
          <w:rFonts w:hint="eastAsia" w:ascii="Times New Roman" w:hAnsi="Times New Roman" w:eastAsia="宋体" w:cs="Times New Roman"/>
          <w:szCs w:val="24"/>
        </w:rPr>
        <w:t>人民币在一定程度上的区域化也只是国际化的始点。同时，要在发达国家大力推行人民币兑换该国货币的业务（全球大约有</w:t>
      </w:r>
      <w:r>
        <w:rPr>
          <w:rFonts w:ascii="Times New Roman" w:hAnsi="Times New Roman" w:eastAsia="宋体" w:cs="Times New Roman"/>
          <w:szCs w:val="24"/>
        </w:rPr>
        <w:t>1500</w:t>
      </w:r>
      <w:r>
        <w:rPr>
          <w:rFonts w:hint="eastAsia" w:ascii="Times New Roman" w:hAnsi="Times New Roman" w:eastAsia="宋体" w:cs="Times New Roman"/>
          <w:szCs w:val="24"/>
        </w:rPr>
        <w:t>亿元人民币掌握在外国人手中），为提高人民币区域化和国际化提供良好的软环境。</w:t>
      </w:r>
    </w:p>
    <w:p w14:paraId="10B8C601">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程恩富：除此之外，推进人民币区域化和国际化，需要建立一个合理的非对称利率市场化机制。非对称利率市场化是相对于完全自由的利率市场化而言的，是指以中央银行利率为核心、货币市场利率为中介、由市场供求决定存贷利率为基础的市场利率体系。从世界金融发展历史看，利率市场化有两种模式，一种是完全自由的利率市场化，它以发达健全的金融市场体系为基础。从有关国家利率市场化改革的实践看，如果金融市场体系不健全，一旦利率放开，完全由市场决定，利率波动就比较剧烈，就会带来巨大的金融风险，</w:t>
      </w:r>
      <w:r>
        <w:rPr>
          <w:rFonts w:ascii="Times New Roman" w:hAnsi="Times New Roman" w:eastAsia="宋体" w:cs="Times New Roman"/>
          <w:szCs w:val="24"/>
        </w:rPr>
        <w:t>1997</w:t>
      </w:r>
      <w:r>
        <w:rPr>
          <w:rFonts w:hint="eastAsia" w:ascii="Times New Roman" w:hAnsi="Times New Roman" w:eastAsia="宋体" w:cs="Times New Roman"/>
          <w:szCs w:val="24"/>
        </w:rPr>
        <w:t>年东南亚金融危机就是深刻教训。因此，完全自由的利率市场化模式不适合于发展中国家的改革目标。另一种就是非对称利率市场化模式，从上述概念来看，它是以比较健全的金融市场体系为基础，以中央银行利用经济手段进行适度干预为前提的。对发展中国家来说，由于资本的相对稀缺，若通过市场对资源进行配置就无法满足资金的要求，因此，只能通过政府对利率的干预来增加资本积累。可以这么说，非对称利率市场化在一定条件下对发展中国家的金融和经济发展起着其他因素所无法替代的积极作用。从实质上看，它是一个博弈过程。因此，这种利率市场化模式得到了世界上许多发展中国家甚至一些发达国家的认可。</w:t>
      </w:r>
    </w:p>
    <w:p w14:paraId="332D16D0">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周肇光：你说得对，更具体地分析，中国要根据非对称利率市场化模式的要求，</w:t>
      </w:r>
      <w:r>
        <w:rPr>
          <w:rFonts w:ascii="Times New Roman" w:hAnsi="Times New Roman" w:eastAsia="宋体" w:cs="Times New Roman"/>
          <w:szCs w:val="24"/>
        </w:rPr>
        <w:t xml:space="preserve"> </w:t>
      </w:r>
      <w:r>
        <w:rPr>
          <w:rFonts w:hint="eastAsia" w:ascii="Times New Roman" w:hAnsi="Times New Roman" w:eastAsia="宋体" w:cs="Times New Roman"/>
          <w:szCs w:val="24"/>
        </w:rPr>
        <w:t>建立合理的利率市场化机制。（</w:t>
      </w:r>
      <w:r>
        <w:rPr>
          <w:rFonts w:ascii="Times New Roman" w:hAnsi="Times New Roman" w:eastAsia="宋体" w:cs="Times New Roman"/>
          <w:szCs w:val="24"/>
        </w:rPr>
        <w:t>1</w:t>
      </w:r>
      <w:r>
        <w:rPr>
          <w:rFonts w:hint="eastAsia" w:ascii="Times New Roman" w:hAnsi="Times New Roman" w:eastAsia="宋体" w:cs="Times New Roman"/>
          <w:szCs w:val="24"/>
        </w:rPr>
        <w:t>）要尽快完善短期资金市场和长期资金市场，这是建立非对称利率市场化机制的基础。（</w:t>
      </w:r>
      <w:r>
        <w:rPr>
          <w:rFonts w:ascii="Times New Roman" w:hAnsi="Times New Roman" w:eastAsia="宋体" w:cs="Times New Roman"/>
          <w:szCs w:val="24"/>
        </w:rPr>
        <w:t>2</w:t>
      </w:r>
      <w:r>
        <w:rPr>
          <w:rFonts w:hint="eastAsia" w:ascii="Times New Roman" w:hAnsi="Times New Roman" w:eastAsia="宋体" w:cs="Times New Roman"/>
          <w:szCs w:val="24"/>
        </w:rPr>
        <w:t>）</w:t>
      </w:r>
      <w:r>
        <w:rPr>
          <w:rFonts w:ascii="Times New Roman" w:hAnsi="Times New Roman" w:eastAsia="宋体" w:cs="Times New Roman"/>
          <w:szCs w:val="24"/>
        </w:rPr>
        <w:t xml:space="preserve"> </w:t>
      </w:r>
      <w:r>
        <w:rPr>
          <w:rFonts w:hint="eastAsia" w:ascii="Times New Roman" w:hAnsi="Times New Roman" w:eastAsia="宋体" w:cs="Times New Roman"/>
          <w:szCs w:val="24"/>
        </w:rPr>
        <w:t>要规范商业银行的经营行为，提高资金使用效率，实现中央银行间接管理和规范管理的要求，并按照商业银行规范经营的要求进一步公开市场交易，</w:t>
      </w:r>
      <w:r>
        <w:rPr>
          <w:rFonts w:ascii="Times New Roman" w:hAnsi="Times New Roman" w:eastAsia="宋体" w:cs="Times New Roman"/>
          <w:szCs w:val="24"/>
        </w:rPr>
        <w:t xml:space="preserve"> </w:t>
      </w:r>
      <w:r>
        <w:rPr>
          <w:rFonts w:hint="eastAsia" w:ascii="Times New Roman" w:hAnsi="Times New Roman" w:eastAsia="宋体" w:cs="Times New Roman"/>
          <w:szCs w:val="24"/>
        </w:rPr>
        <w:t>这样，才能使利率波动成为一种正常的市场行为。（</w:t>
      </w:r>
      <w:r>
        <w:rPr>
          <w:rFonts w:ascii="Times New Roman" w:hAnsi="Times New Roman" w:eastAsia="宋体" w:cs="Times New Roman"/>
          <w:szCs w:val="24"/>
        </w:rPr>
        <w:t>3</w:t>
      </w:r>
      <w:r>
        <w:rPr>
          <w:rFonts w:hint="eastAsia" w:ascii="Times New Roman" w:hAnsi="Times New Roman" w:eastAsia="宋体" w:cs="Times New Roman"/>
          <w:szCs w:val="24"/>
        </w:rPr>
        <w:t>）要注重利率市场化的实际绩效。一是在放开同业拆借利率的基础上，进一步完善和提高原利率的市场调节机制。主要是降低交易成本，提高结算清算效率，加快资金划转和清算速度，以便及时地反映资金供求状况。同时要增加信息提供，降低交易风险，特别要放宽市场化准入标准，</w:t>
      </w:r>
      <w:r>
        <w:rPr>
          <w:rFonts w:ascii="Times New Roman" w:hAnsi="Times New Roman" w:eastAsia="宋体" w:cs="Times New Roman"/>
          <w:szCs w:val="24"/>
        </w:rPr>
        <w:t xml:space="preserve"> </w:t>
      </w:r>
      <w:r>
        <w:rPr>
          <w:rFonts w:hint="eastAsia" w:ascii="Times New Roman" w:hAnsi="Times New Roman" w:eastAsia="宋体" w:cs="Times New Roman"/>
          <w:szCs w:val="24"/>
        </w:rPr>
        <w:t>将境外资金纳入同业拆借市场，扩大和发挥金融市场的功能作用。二是在国债市场上，进一步完善有利于利率市场化的国债市场联动机制。因为，国债市场利率具有交易量大、信息披露充分等特点。根据利率市场化要求，国债发行可采取全额招标或拍卖等方式，在保留底价和基本承销价的前提下，适当扩大招标或拍卖价格的变动区间，便于投资者自行确定国债发行利率，以此推动其他金融资产</w:t>
      </w:r>
    </w:p>
    <w:p w14:paraId="37A9A5C4">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的利率市场化。三是在银行存贷关系上，进一步实行存贷款利率的动态机制，调节企业和居民的经济行为和消费行为，引导资金按社会经济发展的需要进行流通，使社会资金供求达到动态的平衡，从而避免金融风险，维护社会经济稳定，为人民币区域化和国际化提供内在基础。</w:t>
      </w:r>
    </w:p>
    <w:p w14:paraId="2C83AB96">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程恩富：同时，在推进人民币区域化和国际化的进程中，需要高度重视和改进开放中的金融监管问题。</w:t>
      </w:r>
    </w:p>
    <w:p w14:paraId="641352F9">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第一，积极消除金融隐患，加大金融监管力度。改革开放以来，我国虽然未发生过金融危机，但近年始终存在一些金融隐患，如银行资产质量不高，不良贷款比重较大；某些地方金融秩序混乱，非法集资现象突出；不规范运作的非银行金融机构较多；证券、期货和股份制运行与操作的漏洞较多；金融立法和执法均有疲软之处，致使金融犯罪现象较为严重，影响了金融机构的国际竞争力。因此，必须严格立法和执法，并辅之以诚信教育。</w:t>
      </w:r>
    </w:p>
    <w:p w14:paraId="1CF6F27C">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第二，健全具有中国特色的金融监管体系。为了形成稳定的金融市场秩序，保证货币国际化目标顺利实现，一些国家根据本国的国情，建立了各具特色的金融监管体系。中国过去的金融监管体系是以封闭型为特点的，在中央银行内部没有成立统一的金融监管机构。如中央银行监管一司负责对国有银行进行监管，中央银行监管二司负责对非国有银行进行监管，中央银行合作金融机构司负责对合作金融机构进行监管。尽管职责明确，但监管效果不理想，这是导致当前金融监管疲软的主要原因之一。所以，要改变现行金融监管机构的设置，建立和健全一体化的开放性金融监管体系，对各类金融机构进行统一的有效监管。</w:t>
      </w:r>
    </w:p>
    <w:p w14:paraId="00233623">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第三，健全符合金融监管要求的金融安全网。世界上许多国家都十分重视金融安全网建设，主要是为了防范由于一家银行倒闭，因信息不对称而导致众多储户挤兑，致使其它银行发生连锁倒闭的系统风险现象的出现。金融安全网建设包括两个方面，一是建立银行存款保险制度，即通过设立存款保险公司，向金融机构收取一定的保险金，对在该金融机构的存款实行</w:t>
      </w:r>
    </w:p>
    <w:p w14:paraId="12F26615">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保险，以防止金融机构在经营中所产生的系统风险。二是建立最后贷款制度。中央银行充当最终贷款人，在金融危机期间向有困难的金融机构提供流动资金贷款，以防止银行连锁倒闭和金融危机的爆发。</w:t>
      </w:r>
    </w:p>
    <w:p w14:paraId="487411E6">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第四，面对金融日趋自由化和美国为首的国际金融霸权的新态势，中国既要深化国内金融体制的改革，迅速提升本国金融机构的竞争力，也要循序渐进地适时开放金融领域，强调有理、有利、有节，还要加强对国际游资的防范与管理，严格监督外资金融机构的经营行为。</w:t>
      </w:r>
    </w:p>
    <w:p w14:paraId="2B1ACA52">
      <w:pPr>
        <w:spacing w:line="300" w:lineRule="auto"/>
        <w:ind w:firstLine="440" w:firstLineChars="200"/>
        <w:rPr>
          <w:rFonts w:ascii="Times New Roman" w:hAnsi="Times New Roman" w:eastAsia="宋体" w:cs="Times New Roman"/>
          <w:szCs w:val="24"/>
        </w:rPr>
      </w:pPr>
    </w:p>
    <w:p w14:paraId="4632D29D">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（原载《探索与争鸣》</w:t>
      </w:r>
      <w:r>
        <w:rPr>
          <w:rFonts w:ascii="Times New Roman" w:hAnsi="Times New Roman" w:eastAsia="宋体" w:cs="Times New Roman"/>
          <w:szCs w:val="24"/>
        </w:rPr>
        <w:t>2004</w:t>
      </w:r>
      <w:r>
        <w:rPr>
          <w:rFonts w:hint="eastAsia" w:ascii="Times New Roman" w:hAnsi="Times New Roman" w:eastAsia="宋体" w:cs="Times New Roman"/>
          <w:szCs w:val="24"/>
        </w:rPr>
        <w:t>年第</w:t>
      </w:r>
      <w:r>
        <w:rPr>
          <w:rFonts w:ascii="Times New Roman" w:hAnsi="Times New Roman" w:eastAsia="宋体" w:cs="Times New Roman"/>
          <w:szCs w:val="24"/>
        </w:rPr>
        <w:t>4</w:t>
      </w:r>
      <w:r>
        <w:rPr>
          <w:rFonts w:hint="eastAsia" w:ascii="Times New Roman" w:hAnsi="Times New Roman" w:eastAsia="宋体" w:cs="Times New Roman"/>
          <w:szCs w:val="24"/>
        </w:rPr>
        <w:t>期，第二作者为周肇光）</w:t>
      </w:r>
    </w:p>
    <w:p w14:paraId="5D145011">
      <w:pPr>
        <w:ind w:firstLine="440" w:firstLineChars="200"/>
        <w:rPr>
          <w:rFonts w:ascii="宋体" w:hAnsi="宋体" w:eastAsia="宋体" w:cs="Times New Roman"/>
          <w:b/>
          <w:szCs w:val="21"/>
        </w:rPr>
      </w:pPr>
      <w:r>
        <w:rPr>
          <w:rFonts w:ascii="宋体" w:hAnsi="宋体" w:eastAsia="宋体" w:cs="Times New Roman"/>
          <w:b/>
          <w:szCs w:val="21"/>
        </w:rPr>
        <w:br w:type="page"/>
      </w:r>
    </w:p>
    <w:p w14:paraId="23AA01F1">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329" w:name="_Toc110957407"/>
      <w:bookmarkStart w:id="330" w:name="_Toc15822"/>
      <w:bookmarkStart w:id="331" w:name="_Toc4401"/>
      <w:bookmarkStart w:id="332" w:name="_Toc246959923"/>
      <w:bookmarkStart w:id="333" w:name="_Toc612624915"/>
      <w:r>
        <w:rPr>
          <w:rFonts w:ascii="黑体" w:hAnsi="黑体" w:eastAsia="黑体" w:cs="Times New Roman"/>
          <w:color w:val="000000"/>
          <w:kern w:val="0"/>
          <w:sz w:val="32"/>
          <w:szCs w:val="32"/>
          <w:lang w:bidi="ar"/>
        </w:rPr>
        <w:t>不确定性:经济学的研究及社会管理</w:t>
      </w:r>
      <w:bookmarkEnd w:id="329"/>
      <w:bookmarkEnd w:id="330"/>
      <w:bookmarkEnd w:id="331"/>
      <w:bookmarkEnd w:id="332"/>
      <w:bookmarkEnd w:id="333"/>
    </w:p>
    <w:p w14:paraId="51C8702D">
      <w:pPr>
        <w:spacing w:line="400" w:lineRule="exact"/>
        <w:ind w:firstLine="440" w:firstLineChars="200"/>
        <w:rPr>
          <w:rFonts w:ascii="宋体" w:hAnsi="宋体" w:eastAsia="宋体" w:cs="Times New Roman"/>
        </w:rPr>
      </w:pPr>
      <w:r>
        <w:rPr>
          <w:rFonts w:ascii="宋体" w:hAnsi="宋体" w:eastAsia="宋体" w:cs="Times New Roman"/>
        </w:rPr>
        <w:t>［摘要］本文把SARS作为经济社会发展的一种不确定性对其进行了经济学分析。各门科学尤其是经济学对不确定性的分析表明，一定要强化对不确定性的社会管理，建立起能够有效化解各种各样不确定性危害的社会制度和机制，经济社会才能稳步持续发展。</w:t>
      </w:r>
    </w:p>
    <w:p w14:paraId="4673BE5D">
      <w:pPr>
        <w:spacing w:before="156" w:beforeLines="50" w:after="156" w:afterLines="50" w:line="300" w:lineRule="auto"/>
        <w:ind w:firstLine="440" w:firstLineChars="200"/>
        <w:rPr>
          <w:rFonts w:ascii="宋体" w:hAnsi="宋体" w:eastAsia="宋体" w:cs="Times New Roman"/>
          <w:bCs/>
          <w:szCs w:val="21"/>
        </w:rPr>
      </w:pPr>
      <w:r>
        <w:rPr>
          <w:rFonts w:ascii="宋体" w:hAnsi="宋体" w:eastAsia="宋体" w:cs="Times New Roman"/>
          <w:bCs/>
          <w:szCs w:val="21"/>
        </w:rPr>
        <w:t>［关键词］SARS;不确定性；经济学分析;社会管理</w:t>
      </w:r>
    </w:p>
    <w:p w14:paraId="066F0210">
      <w:pPr>
        <w:spacing w:before="156" w:beforeLines="50" w:after="156" w:afterLines="50" w:line="300" w:lineRule="auto"/>
        <w:ind w:firstLine="500" w:firstLineChars="200"/>
        <w:jc w:val="center"/>
        <w:rPr>
          <w:rFonts w:ascii="宋体" w:hAnsi="宋体" w:eastAsia="宋体" w:cs="Times New Roman"/>
          <w:b/>
          <w:sz w:val="24"/>
          <w:szCs w:val="24"/>
        </w:rPr>
      </w:pPr>
      <w:bookmarkStart w:id="334" w:name="_Toc25258"/>
      <w:bookmarkStart w:id="335" w:name="_Toc9507"/>
      <w:r>
        <w:rPr>
          <w:rFonts w:ascii="宋体" w:hAnsi="宋体" w:eastAsia="宋体" w:cs="Times New Roman"/>
          <w:b/>
          <w:sz w:val="24"/>
          <w:szCs w:val="24"/>
        </w:rPr>
        <w:t>一、SARS对中国经济的影响</w:t>
      </w:r>
      <w:bookmarkEnd w:id="334"/>
      <w:bookmarkEnd w:id="335"/>
    </w:p>
    <w:p w14:paraId="675B7B2D">
      <w:pPr>
        <w:spacing w:line="300" w:lineRule="auto"/>
        <w:ind w:firstLine="440" w:firstLineChars="200"/>
        <w:rPr>
          <w:rFonts w:ascii="宋体" w:hAnsi="宋体" w:eastAsia="宋体" w:cs="Times New Roman"/>
          <w:szCs w:val="21"/>
        </w:rPr>
      </w:pPr>
      <w:bookmarkStart w:id="336" w:name="_Toc5300"/>
      <w:bookmarkStart w:id="337" w:name="_Toc29877"/>
      <w:r>
        <w:rPr>
          <w:rFonts w:ascii="宋体" w:hAnsi="宋体" w:eastAsia="宋体" w:cs="Times New Roman"/>
          <w:szCs w:val="21"/>
        </w:rPr>
        <w:t>中国经济2003年经历了一场SARS灾害的袭击。突如其来的SARS疫情，直接危及人民的身体健康和生命安全，“感染”了我国经济。SARS把我国GDP增长由2003年第一季度的9.9%下拉到前半年的8.2%(第二季度6.7%)。虽然从6月初受SARS影响的部分行业开始恢复元气， 但第三季度疫情滞后效应对拉动经济增长的投资、消费、出口这三驾“马车”还有不同程度的负面影响，实际前三个季度的增长率为8.5%。当时各种宏观经济模型的测算都支持SARS疫情对我国2003年GDP增长的影响在个百分点左右。</w:t>
      </w:r>
    </w:p>
    <w:p w14:paraId="2F3D7D4B">
      <w:pPr>
        <w:spacing w:line="300" w:lineRule="auto"/>
        <w:ind w:firstLine="440" w:firstLineChars="200"/>
        <w:rPr>
          <w:rFonts w:ascii="宋体" w:hAnsi="宋体" w:eastAsia="宋体" w:cs="Times New Roman"/>
          <w:szCs w:val="21"/>
        </w:rPr>
      </w:pPr>
      <w:r>
        <w:rPr>
          <w:rFonts w:ascii="宋体" w:hAnsi="宋体" w:eastAsia="宋体" w:cs="Times New Roman"/>
          <w:szCs w:val="21"/>
        </w:rPr>
        <w:t>当然，SARS不会改变我国经济快速增长的基本态势。我国2003年GDP增长仍维持了较高水平。目前我国正处于经济、政治和社会发展最好的时期，SARS不可能改变这一点。对于中国经济的影响是局部的，也不具有恐怖主义那样的长期负面效应。中央和各级政府的措施是有力的，中国经济发展的基本因素，如巨大的市场和需求、供给能力等也没有改变。特别是自2002年以来开始进人新一轮快速增长期，内生增势强劲。况且，SARS对经济也有直接推动的一面，如医药产业、通信产业， 特别是网络、电子商务等就因SARS而大大受益，加快了发展。</w:t>
      </w:r>
    </w:p>
    <w:p w14:paraId="26665AF1">
      <w:pPr>
        <w:spacing w:line="300" w:lineRule="auto"/>
        <w:ind w:firstLine="440" w:firstLineChars="200"/>
        <w:rPr>
          <w:rFonts w:ascii="宋体" w:hAnsi="宋体" w:eastAsia="宋体" w:cs="Times New Roman"/>
          <w:szCs w:val="21"/>
        </w:rPr>
      </w:pPr>
      <w:r>
        <w:rPr>
          <w:rFonts w:ascii="宋体" w:hAnsi="宋体" w:eastAsia="宋体" w:cs="Times New Roman"/>
          <w:szCs w:val="21"/>
        </w:rPr>
        <w:t>但是， 无论如何，SARS终究是灾害，SARS的存在总的来说还是“坏”的。为了通过SARS事件举一反三，尽量预防类似坏事的发生，或在不可避免时尽量把坏事的不利影响降到最小的程度，甚至把坏事变好事，从而促进我国经济的稳步持续发展，我们在回顾SARS时，就不能囿于狭隘的视角，就SARS论SARS。只有从一个比较科学的角度，进行深人的分析，才能够达到上述目的。</w:t>
      </w:r>
    </w:p>
    <w:p w14:paraId="4F29B635">
      <w:pPr>
        <w:spacing w:line="360" w:lineRule="auto"/>
        <w:ind w:firstLine="500" w:firstLineChars="200"/>
        <w:jc w:val="center"/>
        <w:rPr>
          <w:rFonts w:ascii="宋体" w:hAnsi="宋体" w:eastAsia="宋体" w:cs="Times New Roman"/>
          <w:b/>
          <w:bCs/>
          <w:sz w:val="24"/>
          <w:szCs w:val="28"/>
        </w:rPr>
      </w:pPr>
      <w:r>
        <w:rPr>
          <w:rFonts w:ascii="宋体" w:hAnsi="宋体" w:eastAsia="宋体" w:cs="Times New Roman"/>
          <w:b/>
          <w:bCs/>
          <w:sz w:val="24"/>
          <w:szCs w:val="28"/>
        </w:rPr>
        <w:t>二、不确定性:各学科综合的观点</w:t>
      </w:r>
      <w:bookmarkEnd w:id="336"/>
      <w:bookmarkEnd w:id="337"/>
    </w:p>
    <w:p w14:paraId="3E46515B">
      <w:pPr>
        <w:spacing w:line="300" w:lineRule="auto"/>
        <w:ind w:firstLine="440" w:firstLineChars="200"/>
        <w:rPr>
          <w:rFonts w:ascii="宋体" w:hAnsi="宋体" w:eastAsia="宋体" w:cs="Times New Roman"/>
          <w:szCs w:val="21"/>
        </w:rPr>
      </w:pPr>
      <w:r>
        <w:rPr>
          <w:rFonts w:ascii="宋体" w:hAnsi="宋体" w:eastAsia="宋体" w:cs="Times New Roman"/>
          <w:szCs w:val="21"/>
        </w:rPr>
        <w:t>从经济社会运行发展的角度来看，突如其来的SARS疫情，就是对我国经济社会的一种典型的现实的不确定性冲击。</w:t>
      </w:r>
    </w:p>
    <w:p w14:paraId="41867A40">
      <w:pPr>
        <w:spacing w:line="300" w:lineRule="auto"/>
        <w:ind w:firstLine="440" w:firstLineChars="200"/>
        <w:rPr>
          <w:rFonts w:ascii="宋体" w:hAnsi="宋体" w:eastAsia="宋体" w:cs="Times New Roman"/>
          <w:szCs w:val="21"/>
        </w:rPr>
      </w:pPr>
      <w:r>
        <w:rPr>
          <w:rFonts w:ascii="宋体" w:hAnsi="宋体" w:eastAsia="宋体" w:cs="Times New Roman"/>
          <w:szCs w:val="21"/>
        </w:rPr>
        <w:t>不确定性是指人们对未来可能发生的事件和结果不知道或不完全知道，或者虽然知道可能发生的多种事件和结果，但是不知道或不确切知道其发生的时间和概率。不确定性在本质上是关于未来的未知，它不仅是因为信息问题信息只能顺着时间箭头从过去指向现在而不能从未来指向现在，而且人们掌握的信息总是具有不完整性、不对称性、滞后性</w:t>
      </w:r>
      <w:r>
        <w:rPr>
          <w:rFonts w:hint="eastAsia" w:ascii="宋体" w:hAnsi="宋体" w:eastAsia="宋体" w:cs="Times New Roman"/>
          <w:szCs w:val="21"/>
        </w:rPr>
        <w:t>。</w:t>
      </w:r>
      <w:r>
        <w:rPr>
          <w:rFonts w:ascii="宋体" w:hAnsi="宋体" w:eastAsia="宋体" w:cs="Times New Roman"/>
          <w:szCs w:val="21"/>
        </w:rPr>
        <w:t>它也不只是个无知的问题</w:t>
      </w:r>
      <w:r>
        <w:rPr>
          <w:rFonts w:hint="eastAsia" w:ascii="宋体" w:hAnsi="宋体" w:eastAsia="宋体" w:cs="Times New Roman"/>
          <w:szCs w:val="21"/>
        </w:rPr>
        <w:t>，</w:t>
      </w:r>
      <w:r>
        <w:rPr>
          <w:rFonts w:ascii="宋体" w:hAnsi="宋体" w:eastAsia="宋体" w:cs="Times New Roman"/>
          <w:szCs w:val="21"/>
        </w:rPr>
        <w:t>因为无知可以通过学习得以消除，虽然学习需要过程，也就是无知一般不能在当下的“现在” 就能消除。实践证明，不确定性是世界的本质之一。现代物理学说明，自然界存在不确定性，我们周围的宇宙只是许多“可能”的世界中的一个量子论说明，在原子水平上，事件都是自发地发生，没有什么完全的前因。人类社会发展的历史说明，有着丰富意识和相互影响的不同的人和人群组成的复杂的经济、社会巨系统更是充满着不确定性。</w:t>
      </w:r>
    </w:p>
    <w:p w14:paraId="4E45B1E1">
      <w:pPr>
        <w:spacing w:line="300" w:lineRule="auto"/>
        <w:ind w:firstLine="440" w:firstLineChars="200"/>
        <w:rPr>
          <w:rFonts w:ascii="宋体" w:hAnsi="宋体" w:eastAsia="宋体" w:cs="Times New Roman"/>
          <w:szCs w:val="21"/>
        </w:rPr>
      </w:pPr>
      <w:r>
        <w:rPr>
          <w:rFonts w:ascii="宋体" w:hAnsi="宋体" w:eastAsia="宋体" w:cs="Times New Roman"/>
          <w:szCs w:val="21"/>
        </w:rPr>
        <w:t>一部人类的历史就是一部人类同各种各样绵延不绝的不确定性斗争的历史。人类社会发展中的不确定性多种多样，不仅有像SARS这样的疫病灾害，还有地震等自然灾害、战争、政治危机、经济危机等。仅从近期来说，苏东剧变，东南亚金融危机，我国1998年大洪灾，美国“911”恐怖事件等令人触目惊心的重大不确定性事件可谓一波未平、一波又起。</w:t>
      </w:r>
    </w:p>
    <w:p w14:paraId="22175ED3">
      <w:pPr>
        <w:spacing w:line="300" w:lineRule="auto"/>
        <w:ind w:firstLine="440" w:firstLineChars="200"/>
        <w:rPr>
          <w:rFonts w:ascii="宋体" w:hAnsi="宋体" w:eastAsia="宋体" w:cs="Times New Roman"/>
          <w:szCs w:val="21"/>
        </w:rPr>
      </w:pPr>
      <w:r>
        <w:rPr>
          <w:rFonts w:ascii="宋体" w:hAnsi="宋体" w:eastAsia="宋体" w:cs="Times New Roman"/>
          <w:szCs w:val="21"/>
        </w:rPr>
        <w:t>各种各样的不确定性程度不同地影响着人类经济社会的发展过程。它使经济社会发展表现为非线性发展， 表现为一条充满变数的曲线，而非一条平滑的直线。以上列举的重大不确定性事件，它们对所在国以至世界经济的发展所造成的负面影响之大简直难以估量。如“911”袭击事件，除了给美国本身造成约3000亿美元的损失(不包括双子塔楼损毁)外，给其他国家经济，尤其是航空业和保险业也造成了极大冲击，仅欧洲各大保险公司在此期间的损失就高达600亿欧元。又如疫病灾害，从神话传说到有文字的历史记载可谓举不胜举，仅20世纪就有两例突出的灾害：一是1918年西班牙大流感，造成全球2500万人至1亿人死亡， 远高于第一次世界大战1500多万的死亡人数，在美国，这使其人均年龄下降了12岁</w:t>
      </w:r>
      <w:r>
        <w:rPr>
          <w:rFonts w:hint="eastAsia" w:ascii="宋体" w:hAnsi="宋体" w:eastAsia="宋体" w:cs="Times New Roman"/>
          <w:szCs w:val="21"/>
        </w:rPr>
        <w:t>；</w:t>
      </w:r>
      <w:r>
        <w:rPr>
          <w:rFonts w:ascii="宋体" w:hAnsi="宋体" w:eastAsia="宋体" w:cs="Times New Roman"/>
          <w:szCs w:val="21"/>
        </w:rPr>
        <w:t>二是爱滋病，自1981年发现第一例至今，全世界感染人数已达4200多万，死亡人数超过2000万。</w:t>
      </w:r>
    </w:p>
    <w:p w14:paraId="5A3524A5">
      <w:pPr>
        <w:spacing w:line="300" w:lineRule="auto"/>
        <w:ind w:firstLine="440" w:firstLineChars="200"/>
        <w:rPr>
          <w:rFonts w:ascii="宋体" w:hAnsi="宋体" w:eastAsia="宋体" w:cs="Times New Roman"/>
          <w:szCs w:val="21"/>
        </w:rPr>
      </w:pPr>
      <w:r>
        <w:rPr>
          <w:rFonts w:ascii="宋体" w:hAnsi="宋体" w:eastAsia="宋体" w:cs="Times New Roman"/>
          <w:szCs w:val="21"/>
        </w:rPr>
        <w:t>但不确定性并不等于不可知，不确定性中包含着确定性，确定性由不确定性得以实现。经济和社会的发展演进是有规律的，只是由于不确定性的影响，发展的道路才是曲折的。不确定性强调的：1.事物发展演化的规律性往往太复杂，人们难以把握，无论我们的智慧发达到多么高的程度，也不可能穷尽真理，也不可能对事物的发展演化作完全准确的预测；2.规律性不应该进一步发展到决定论(牛顿式的确定性世界观)，即使我们已经完全认清了内在的规律，经济社会的运行也不会按照确定的轨道运行。所以，承认世界的不确定性并非意味着认为世界“是由掷般子的上帝所支配的，在这个世界里，一切都是荒诞的、非因果的、无法理喻的”。①承认世界的不确定性也并非认为人们对现实世界无能为力。恰恰相反， 不确定性给智者提供了机会，在不确定性中把握确定性，在混乱中抓住规律，在无序中发现秩序，这正是成功者之所以成功的原因，这正是科学发现和社会发展的过程、原因和动力。</w:t>
      </w:r>
    </w:p>
    <w:p w14:paraId="4F5273F1">
      <w:pPr>
        <w:spacing w:line="300" w:lineRule="auto"/>
        <w:ind w:firstLine="440" w:firstLineChars="200"/>
        <w:rPr>
          <w:rFonts w:ascii="宋体" w:hAnsi="宋体" w:eastAsia="宋体" w:cs="Times New Roman"/>
          <w:szCs w:val="21"/>
        </w:rPr>
      </w:pPr>
      <w:r>
        <w:rPr>
          <w:rFonts w:ascii="宋体" w:hAnsi="宋体" w:eastAsia="宋体" w:cs="Times New Roman"/>
          <w:szCs w:val="21"/>
        </w:rPr>
        <w:t>在经济学看来，不确定性是可以管理的，也就是可以预防、规避、应对、处理和化解的。在熊彼特的创新理论中，当熊彼特说企业家的特征是“创新”而普通的厂长、经理们处理的是日常的生产和技术事务时，熊彼待实际上论述了企业家的职能是处理不确定性。现代管理认为高层管理者的管理内容是经营、决策，主要是捕捉市场机会，规避风险，也是处理不确定性。而近代出现的建立在大数定理基础上的保险制度更是人类在专门应对不确定性方面的重大创新。实际上，大而言之，人类历史上存在的各种各样的社会制度，也都是一定时期、一定社会在一定条件下建立的管理不确定性的社会结构。在这个意义上说，一定社会形态的进步性、社会制度的优越性和其文明的高低程度，就体现在它处理不确定性尤其是重大不确定性事件的能力和水平上。</w:t>
      </w:r>
    </w:p>
    <w:p w14:paraId="40BEDD51">
      <w:pPr>
        <w:spacing w:line="300" w:lineRule="auto"/>
        <w:ind w:firstLine="440" w:firstLineChars="200"/>
        <w:rPr>
          <w:rFonts w:ascii="宋体" w:hAnsi="宋体" w:eastAsia="宋体" w:cs="Times New Roman"/>
          <w:szCs w:val="21"/>
        </w:rPr>
      </w:pPr>
      <w:r>
        <w:rPr>
          <w:rFonts w:ascii="宋体" w:hAnsi="宋体" w:eastAsia="宋体" w:cs="Times New Roman"/>
          <w:szCs w:val="21"/>
        </w:rPr>
        <w:t>目前，经济学的现实主义思潮正在兴起，关于复杂性和不确定性的经济学研究处于前沿，如非线性经济学、信息经济学、演进经济学等正处于方兴未艾的发展之中。实际上，早在20世纪30年代，经济学中发生的凯恩斯革命已经将预期、不确定性和不完全信息引人了经济学分析，从而使政府、厂商、个人的决策复杂化和更加现实。而在凯恩斯之前更早，奈特认为不确定性并非风险，它是指经济行为人面临的直接或间接影响经济活动而又无法准确观察、分析和预见的外生或内生因素。凯恩斯吸收了奈特的思想，认为大多数经济决策都是在不确定的条件下作出的。他批评新古典主义赋予不确定性一个确定的和可计算的简化形式，把不确定性转化成了风险。在凯恩斯的理论框架里，不确定性具有核心地位，其理论是以不确定性思想加以建构的(凯恩斯经济学之所以被称为“革命”，可以说很大程度上就与他从不确定性的视角全面改写了经济学有关)。继凯恩斯之后，不确定性分析逐渐向微观经济学各部分渗透。如：1.信息经济学相结合。阿罗分析了不完全市场与经济行为人信息不对称问题，认为只要经济中存在不确定性，就会有通过获取信息减少不确定性的可能性。2.与契约理论相结合。不确定性决定了契约的不完备性，在不确定的世界里，人们在交易中需要一些惯例和制度来处理不确定性，也可能在契约中规定一些条款来规避风险。3.新制度经济学也吸纳了不确定性假设作为其理论体系的基础。诺思指出，由于人们对环境的认识能力与计算能力是有限的，这就使得个人对环境作出的反应不一，而制度就是通过设定一系列规则以减少环境韵不确定性，从而弥补人们的有限理性给有效选择带来的困难。4.20世纪80年代以后，不确定性分析大量融人博弈论。博弈论两个核心假设分别为信息的不完全性和不确定性假设。</w:t>
      </w:r>
    </w:p>
    <w:p w14:paraId="000C2D43">
      <w:pPr>
        <w:spacing w:line="300" w:lineRule="auto"/>
        <w:ind w:firstLine="440" w:firstLineChars="200"/>
        <w:rPr>
          <w:rFonts w:ascii="宋体" w:hAnsi="宋体" w:eastAsia="宋体" w:cs="Times New Roman"/>
          <w:szCs w:val="21"/>
        </w:rPr>
      </w:pPr>
      <w:r>
        <w:rPr>
          <w:rFonts w:ascii="宋体" w:hAnsi="宋体" w:eastAsia="宋体" w:cs="Times New Roman"/>
          <w:szCs w:val="21"/>
        </w:rPr>
        <w:t>经济学对不确定性的类别、原因、结果和机制等进行了日益深人的研究，为不确定性的管理提供了科学依据。不确定性可以从不同的角度分为许多类别，其中最重要的是两种主观不确定性与客观不确定性，可保险不确定性与不可保险不确定性。客观不确定性是客观事物的特征，是认识不能改善和消除的。例如，在抛硬币时，出现正面和反面是随机的，无论实验多少次，也不能改变“下一次抛硬币的结果是不确定的”这一事实。而主观的不确定性是通过人的认识的加强可以改善的。如随着人们素质的提高，一个社会履约的确定性就会提高，而不履约的不确定性就会下降。可保险的不确定性即风险(源自奈特的这种划分，和人们的日常用法不同，但即使经济学中也并非严格遵从)，是可以通过保险把其危害性后果加以抵消的不确定性，它符合大数定理要求，是行为者所面临的能够用具体的、客观的数值概率表述的随机性。如抛硬币，出现正反面的概率均为50%，虽然我们无法准确判断下一次的结果。瓦尔拉斯一般均衡理论体系，正是把所有不确定性都作为风险处理从而通过保险“ 消除”掉而得以建立的。不可保险的不确定性是行为者对可能出现的事件后果不完全知道或没有具体的概率值。如我们无法知道一种新疾病或下一次危机何时爆发，它不宜用保险的方法抵消其危害性后果(保险成本太高或不能)，处理此类不确定性正是企业家和政治家们的职能。</w:t>
      </w:r>
    </w:p>
    <w:p w14:paraId="6240D97E">
      <w:pPr>
        <w:spacing w:line="300" w:lineRule="auto"/>
        <w:ind w:firstLine="440" w:firstLineChars="200"/>
        <w:rPr>
          <w:rFonts w:ascii="宋体" w:hAnsi="宋体" w:eastAsia="宋体" w:cs="Times New Roman"/>
          <w:szCs w:val="21"/>
        </w:rPr>
      </w:pPr>
      <w:r>
        <w:rPr>
          <w:rFonts w:ascii="宋体" w:hAnsi="宋体" w:eastAsia="宋体" w:cs="Times New Roman"/>
          <w:szCs w:val="21"/>
        </w:rPr>
        <w:t>不确定性的原因可以分为人的和非人(黑子)的两方面因素。人的因素又可以从个人和集体两方面来看。个人的不确定性源于无知(包括不自知)、非理性和个人之间的差异。集体的不确定性建立在个人的不确定性之上，但又不是个人行为的简单相加(非加性)，而具有相对独立于个人行为的范式。集体不确定性如囚徒困境、骚乱、抢劫、恐慌、恐怖主义等产生的机理非常复杂，包括了人们之间相互的学习、模仿、同化、情绪传染、信息传递异化等等主客观因素的作用。黑子因素即客观环境的不确定性则根植于事物的客观属性和结构。如微观世界存在测不准的性质，资本主义制度由于其固有的社会结构矛盾而在其经济运行中存在不可避免的周期。不确定性的作用机制非常复杂，如系统的非线性动力作用、自我强化、“洛伦兹效应”、正负反馈等等作用方式不一而足，而且各种不确定性之间也存在复杂的相互作用。</w:t>
      </w:r>
    </w:p>
    <w:p w14:paraId="1B2A42F1">
      <w:pPr>
        <w:spacing w:line="300" w:lineRule="auto"/>
        <w:ind w:firstLine="440" w:firstLineChars="200"/>
        <w:rPr>
          <w:rFonts w:ascii="宋体" w:hAnsi="宋体" w:eastAsia="宋体" w:cs="Times New Roman"/>
          <w:szCs w:val="21"/>
        </w:rPr>
      </w:pPr>
      <w:r>
        <w:rPr>
          <w:rFonts w:ascii="宋体" w:hAnsi="宋体" w:eastAsia="宋体" w:cs="Times New Roman"/>
          <w:szCs w:val="21"/>
        </w:rPr>
        <w:t>不确定性使人们不能准确预测。拉普拉斯妖假设并不存在，“即使自然规律对我们已无秘密可言，我们也只能近似地知道初始状态”②，认为未来包含于过去中、系统的行为可以完全预测的观点完全是幻想，事物的运行有内在规律，但未来并非由外生的上帝早已安排就绪，随机性因素的影响随时随处可见。所以，相当多的经济学家认为对经济进行预测是一件“可怕”的事情。对不确定性冲击不能准确预测，其不良后果是造成混乱、损失和危机，虽然这同时也给智者提供机会。</w:t>
      </w:r>
    </w:p>
    <w:p w14:paraId="43DDD6C2">
      <w:pPr>
        <w:spacing w:line="480" w:lineRule="auto"/>
        <w:ind w:firstLine="500" w:firstLineChars="200"/>
        <w:jc w:val="center"/>
        <w:rPr>
          <w:rFonts w:ascii="宋体" w:hAnsi="宋体" w:eastAsia="宋体" w:cs="Times New Roman"/>
          <w:szCs w:val="21"/>
        </w:rPr>
      </w:pPr>
      <w:r>
        <w:rPr>
          <w:rFonts w:hint="eastAsia" w:ascii="宋体" w:hAnsi="宋体" w:eastAsia="宋体"/>
          <w:b/>
          <w:bCs/>
          <w:sz w:val="24"/>
          <w:szCs w:val="24"/>
        </w:rPr>
        <w:t>三</w:t>
      </w:r>
      <w:r>
        <w:rPr>
          <w:rFonts w:ascii="宋体" w:hAnsi="宋体" w:eastAsia="宋体"/>
          <w:b/>
          <w:bCs/>
          <w:sz w:val="24"/>
          <w:szCs w:val="24"/>
        </w:rPr>
        <w:t>、不确定性的社会管理</w:t>
      </w:r>
    </w:p>
    <w:p w14:paraId="0881961E">
      <w:pPr>
        <w:spacing w:line="300" w:lineRule="auto"/>
        <w:ind w:firstLine="440" w:firstLineChars="200"/>
        <w:rPr>
          <w:rFonts w:ascii="宋体" w:hAnsi="宋体" w:eastAsia="宋体" w:cs="Times New Roman"/>
          <w:szCs w:val="21"/>
        </w:rPr>
      </w:pPr>
      <w:r>
        <w:rPr>
          <w:rFonts w:ascii="宋体" w:hAnsi="宋体" w:eastAsia="宋体" w:cs="Times New Roman"/>
          <w:szCs w:val="21"/>
        </w:rPr>
        <w:t>综上所述，不确定性是可以管理的，而且站在社会高度的管理更有价值，因为这符合规模经济要求，报酬递增。而高级的管理是“经营”、“决策”、“创新”，这就意味着这种应对不是消极的，而是积极进取的，也就是要使坏事变好事。</w:t>
      </w:r>
    </w:p>
    <w:p w14:paraId="1BB74A8A">
      <w:pPr>
        <w:spacing w:line="300" w:lineRule="auto"/>
        <w:ind w:firstLine="440" w:firstLineChars="200"/>
        <w:rPr>
          <w:rFonts w:ascii="宋体" w:hAnsi="宋体" w:eastAsia="宋体" w:cs="Times New Roman"/>
          <w:szCs w:val="21"/>
        </w:rPr>
      </w:pPr>
      <w:r>
        <w:rPr>
          <w:rFonts w:ascii="宋体" w:hAnsi="宋体" w:eastAsia="宋体" w:cs="Times New Roman"/>
          <w:szCs w:val="21"/>
        </w:rPr>
        <w:t>对不确定性的社会管理，从根本上说就是要不断创新、巩固和完善能够有效化解各种各样社会不确定性危害的制度和机制，实质上就是要建立起能够有效抗御各种各样不确定性危机的社会结构。这牵涉到时间、信息、知识、学习、人性、体制、宏观管理和经济政策的根据和目标、经济发展的方式和目标、公平与效率等一系列重大理论问题，需要我们重新审视几乎所有经济学、社会学的概念和理论。仅以公平在应对社会经济不确定性风险中的重要性来说，据报道，在SARS期间，北京的护工纷纷返乡，即使把护工工资从350元提高到4000元也无济于事。对此，我们难道能仅仅假以道德谴责了事吗?而在这一现象中所透露出来的公平问题，也不仅仅止于对待护工、短工或临时工、农民工那么简单。实际上，制度的公正性是有效的、成功的不确定性社会管理的一个内生要求。</w:t>
      </w:r>
    </w:p>
    <w:p w14:paraId="1595439A">
      <w:pPr>
        <w:spacing w:line="300" w:lineRule="auto"/>
        <w:ind w:firstLine="440" w:firstLineChars="200"/>
        <w:rPr>
          <w:rFonts w:ascii="宋体" w:hAnsi="宋体" w:eastAsia="宋体" w:cs="Times New Roman"/>
          <w:szCs w:val="21"/>
        </w:rPr>
      </w:pPr>
      <w:r>
        <w:rPr>
          <w:rFonts w:ascii="宋体" w:hAnsi="宋体" w:eastAsia="宋体" w:cs="Times New Roman"/>
          <w:szCs w:val="21"/>
        </w:rPr>
        <w:t>制度的公正性是指制度涉及的利益相关各方在权利安排上的平等、合理和有关制度本身运行的程序、成本等的经济、合理，其中特别突出对弱势群体的关怀。罗尔斯认为，“正义是社会制度的首要价值”，而理想的符合正义的制度只有通过把人们都放置在“无知之幕”之中才能得到。诺贝尔经济学奖得主布坎南则提出了“不确定性之幕”在形成公正的制度中的作用。不确定性之幕是指人们不知道将来自己的身份、地位和所得财产等将是怎样，于是风险规避者就会在现在作制度选择时未雨绸缪，针对可能落入的“最不幸”的境地，采取预防性措施。所以制度的公正性是应对不确定性的内在要求。我国由历史遗留下来的巫需改革的在所有制、内外资、城乡、地区、户籍等方面的二元、分隔、差别甚至歧视的体制甚多， 制度的公正性建设任重道远。</w:t>
      </w:r>
    </w:p>
    <w:p w14:paraId="31C55A44">
      <w:pPr>
        <w:spacing w:line="300" w:lineRule="auto"/>
        <w:ind w:firstLine="440" w:firstLineChars="200"/>
        <w:rPr>
          <w:rFonts w:ascii="宋体" w:hAnsi="宋体" w:eastAsia="宋体" w:cs="Times New Roman"/>
          <w:szCs w:val="21"/>
        </w:rPr>
      </w:pPr>
      <w:r>
        <w:rPr>
          <w:rFonts w:ascii="宋体" w:hAnsi="宋体" w:eastAsia="宋体" w:cs="Times New Roman"/>
          <w:szCs w:val="21"/>
        </w:rPr>
        <w:t>令人欣喜的是，在SARS危机中，我国政府采取了一系列深具公正性的政策、措施，如，对农民患者免费治疗以及其他一些向农村倾斜的政策，对受SARS影响严重的行业尤其是中小企业实行减免税等优惠措施，特别是从中央到地方的吏治整肃大得民心， 结果是有效地整合和凝聚了全社会、全民族的资源和力量，使抗击SARS的斗争取得了胜利。</w:t>
      </w:r>
    </w:p>
    <w:p w14:paraId="0718E4E4">
      <w:pPr>
        <w:spacing w:line="480" w:lineRule="auto"/>
        <w:ind w:firstLine="500" w:firstLineChars="200"/>
        <w:jc w:val="center"/>
        <w:rPr>
          <w:rFonts w:ascii="宋体" w:hAnsi="宋体" w:eastAsia="宋体"/>
          <w:b/>
          <w:bCs/>
          <w:sz w:val="24"/>
          <w:szCs w:val="24"/>
        </w:rPr>
      </w:pPr>
      <w:r>
        <w:rPr>
          <w:rFonts w:hint="eastAsia" w:ascii="宋体" w:hAnsi="宋体" w:eastAsia="宋体"/>
          <w:b/>
          <w:bCs/>
          <w:sz w:val="24"/>
          <w:szCs w:val="24"/>
        </w:rPr>
        <w:t>四</w:t>
      </w:r>
      <w:r>
        <w:rPr>
          <w:rFonts w:ascii="宋体" w:hAnsi="宋体" w:eastAsia="宋体"/>
          <w:b/>
          <w:bCs/>
          <w:sz w:val="24"/>
          <w:szCs w:val="24"/>
        </w:rPr>
        <w:t>、结论</w:t>
      </w:r>
    </w:p>
    <w:p w14:paraId="372717E6">
      <w:pPr>
        <w:spacing w:line="300" w:lineRule="auto"/>
        <w:ind w:firstLine="440" w:firstLineChars="200"/>
        <w:rPr>
          <w:rFonts w:ascii="宋体" w:hAnsi="宋体" w:eastAsia="宋体" w:cs="Times New Roman"/>
          <w:szCs w:val="21"/>
        </w:rPr>
      </w:pPr>
      <w:r>
        <w:rPr>
          <w:rFonts w:ascii="宋体" w:hAnsi="宋体" w:eastAsia="宋体" w:cs="Times New Roman"/>
          <w:szCs w:val="21"/>
        </w:rPr>
        <w:t>总之，把SARS作为一种不确定性对其进行经济学分析，我们得到的结论是一定要加强对不确定性的社会管理，建立起能够有效化解各种各样不确定性危害的社会制度和机制，而不仅仅是应对突发公共卫生事件的应急机制。只有这样，我们的经济社会发展才能够避免大起大落的折腾，才能够稳步持续发展。作为一个发展中大国，我国实在经不起太多重大不确定性的冲击尤其是更大的带有人为因素的政治、经济和战争的不确定性风险，我们更应该避免，也可以避免。我们既有深刻的</w:t>
      </w:r>
      <w:r>
        <w:rPr>
          <w:rFonts w:hint="eastAsia" w:ascii="宋体" w:hAnsi="宋体" w:eastAsia="宋体" w:cs="Times New Roman"/>
          <w:szCs w:val="21"/>
        </w:rPr>
        <w:t>历史</w:t>
      </w:r>
      <w:r>
        <w:rPr>
          <w:rFonts w:ascii="宋体" w:hAnsi="宋体" w:eastAsia="宋体" w:cs="Times New Roman"/>
          <w:szCs w:val="21"/>
        </w:rPr>
        <w:t>教训，也有改革开放以来诸多的成功经验。我们一定要使我们的社会结构具有内生的有效抗御各种各样不确定性危机的功能。对于中国经济学来说，则要加强针对中国实际的不确定性经济学研究，为我国经济社会的可持续发展提供科学的理论依据和政策对策。</w:t>
      </w:r>
    </w:p>
    <w:p w14:paraId="6944A774">
      <w:pPr>
        <w:spacing w:line="400" w:lineRule="exact"/>
        <w:ind w:firstLine="440" w:firstLineChars="200"/>
        <w:rPr>
          <w:rFonts w:ascii="宋体" w:hAnsi="宋体" w:eastAsia="宋体" w:cs="Times New Roman"/>
        </w:rPr>
      </w:pPr>
      <w:r>
        <w:rPr>
          <w:rFonts w:ascii="宋体" w:hAnsi="宋体" w:eastAsia="宋体" w:cs="Times New Roman"/>
        </w:rPr>
        <w:t>参考文献：</w:t>
      </w:r>
    </w:p>
    <w:p w14:paraId="5FE3B19A">
      <w:pPr>
        <w:spacing w:line="400" w:lineRule="exact"/>
        <w:ind w:firstLine="440" w:firstLineChars="200"/>
        <w:rPr>
          <w:rFonts w:ascii="宋体" w:hAnsi="宋体" w:eastAsia="宋体" w:cs="Times New Roman"/>
        </w:rPr>
      </w:pPr>
      <w:r>
        <w:rPr>
          <w:rFonts w:ascii="宋体" w:hAnsi="宋体" w:eastAsia="宋体" w:cs="Times New Roman"/>
        </w:rPr>
        <w:t>1.蒋伟翔、曹雷:《科学应对社会发展中的不确定性风险》，《解放军报),2003,6,5</w:t>
      </w:r>
    </w:p>
    <w:p w14:paraId="427A4A5F">
      <w:pPr>
        <w:spacing w:line="400" w:lineRule="exact"/>
        <w:ind w:firstLine="440" w:firstLineChars="200"/>
        <w:rPr>
          <w:rFonts w:ascii="宋体" w:hAnsi="宋体" w:eastAsia="宋体" w:cs="Times New Roman"/>
        </w:rPr>
      </w:pPr>
      <w:r>
        <w:rPr>
          <w:rFonts w:ascii="宋体" w:hAnsi="宋体" w:eastAsia="宋体" w:cs="Times New Roman"/>
        </w:rPr>
        <w:t>2.曹雷:《强化对不确定性的社会管理》,《发展导报》,2003,7,15</w:t>
      </w:r>
    </w:p>
    <w:p w14:paraId="315C15AD">
      <w:pPr>
        <w:spacing w:line="400" w:lineRule="exact"/>
        <w:ind w:firstLine="440" w:firstLineChars="200"/>
        <w:rPr>
          <w:rFonts w:ascii="宋体" w:hAnsi="宋体" w:eastAsia="宋体" w:cs="Times New Roman"/>
        </w:rPr>
      </w:pPr>
      <w:r>
        <w:rPr>
          <w:rFonts w:ascii="宋体" w:hAnsi="宋体" w:eastAsia="宋体" w:cs="Times New Roman"/>
        </w:rPr>
        <w:t>3.刘怀仁:《不确定性经济学研究》,上海财经大学出版社,2001</w:t>
      </w:r>
    </w:p>
    <w:p w14:paraId="5F03335C">
      <w:pPr>
        <w:spacing w:line="400" w:lineRule="exact"/>
        <w:ind w:firstLine="440" w:firstLineChars="200"/>
        <w:rPr>
          <w:rFonts w:ascii="宋体" w:hAnsi="宋体" w:eastAsia="宋体" w:cs="Times New Roman"/>
        </w:rPr>
      </w:pPr>
      <w:r>
        <w:rPr>
          <w:rFonts w:ascii="宋体" w:hAnsi="宋体" w:eastAsia="宋体" w:cs="Times New Roman"/>
        </w:rPr>
        <w:t>4.程恩富、胡乐明：《经济学方法论》,上海财经大学出版社,2002</w:t>
      </w:r>
    </w:p>
    <w:p w14:paraId="7BA8E2FF">
      <w:pPr>
        <w:spacing w:line="400" w:lineRule="exact"/>
        <w:ind w:firstLine="440" w:firstLineChars="200"/>
        <w:rPr>
          <w:rFonts w:ascii="宋体" w:hAnsi="宋体" w:eastAsia="宋体" w:cs="Times New Roman"/>
        </w:rPr>
      </w:pPr>
      <w:r>
        <w:rPr>
          <w:rFonts w:ascii="宋体" w:hAnsi="宋体" w:eastAsia="宋体" w:cs="Times New Roman"/>
        </w:rPr>
        <w:t>5.程恩富:《现代政治经济学》，上海财经大学出版社,2000</w:t>
      </w:r>
    </w:p>
    <w:p w14:paraId="78E37F8B">
      <w:pPr>
        <w:spacing w:line="400" w:lineRule="exact"/>
        <w:ind w:firstLine="440" w:firstLineChars="200"/>
        <w:rPr>
          <w:rFonts w:ascii="宋体" w:hAnsi="宋体" w:eastAsia="宋体" w:cs="Times New Roman"/>
        </w:rPr>
      </w:pPr>
      <w:r>
        <w:rPr>
          <w:rFonts w:ascii="宋体" w:hAnsi="宋体" w:eastAsia="宋体" w:cs="Times New Roman"/>
        </w:rPr>
        <w:t>6.约翰•罗尔斯:《正义论》，中国社会科学院出版社,1998</w:t>
      </w:r>
    </w:p>
    <w:p w14:paraId="7677C767">
      <w:pPr>
        <w:spacing w:line="400" w:lineRule="exact"/>
        <w:ind w:firstLine="440" w:firstLineChars="200"/>
        <w:rPr>
          <w:rFonts w:ascii="宋体" w:hAnsi="宋体" w:eastAsia="宋体" w:cs="Times New Roman"/>
        </w:rPr>
      </w:pPr>
      <w:r>
        <w:rPr>
          <w:rFonts w:ascii="宋体" w:hAnsi="宋体" w:eastAsia="宋体" w:cs="Times New Roman"/>
        </w:rPr>
        <w:t>7.凯恩斯:《就业、利息和货币通论》，商务印书馆,1983</w:t>
      </w:r>
    </w:p>
    <w:p w14:paraId="3B9AC568">
      <w:pPr>
        <w:spacing w:line="400" w:lineRule="exact"/>
        <w:ind w:firstLine="440" w:firstLineChars="200"/>
        <w:rPr>
          <w:rFonts w:ascii="宋体" w:hAnsi="宋体" w:eastAsia="宋体" w:cs="Times New Roman"/>
        </w:rPr>
      </w:pPr>
      <w:r>
        <w:rPr>
          <w:rFonts w:ascii="宋体" w:hAnsi="宋体" w:eastAsia="宋体" w:cs="Times New Roman"/>
        </w:rPr>
        <w:t>8.赫伯特•西蒙：《现代决策理论的基础》,北京经济学院出版社,1989</w:t>
      </w:r>
    </w:p>
    <w:p w14:paraId="6ABD12F4">
      <w:pPr>
        <w:spacing w:line="400" w:lineRule="exact"/>
        <w:ind w:firstLine="440" w:firstLineChars="200"/>
        <w:rPr>
          <w:rFonts w:ascii="宋体" w:hAnsi="宋体" w:eastAsia="宋体" w:cs="Times New Roman"/>
        </w:rPr>
      </w:pPr>
      <w:r>
        <w:rPr>
          <w:rFonts w:ascii="宋体" w:hAnsi="宋体" w:eastAsia="宋体" w:cs="Times New Roman"/>
        </w:rPr>
        <w:t>9.AvinashK.Dixit,RobertS.Pindyck:InvestmentUnderUncertainty,Princeton:PrincetonUniversityPress,1994</w:t>
      </w:r>
    </w:p>
    <w:p w14:paraId="08FB197B">
      <w:pPr>
        <w:spacing w:line="400" w:lineRule="exact"/>
        <w:ind w:firstLine="440" w:firstLineChars="200"/>
        <w:rPr>
          <w:rFonts w:ascii="宋体" w:hAnsi="宋体" w:eastAsia="宋体" w:cs="Times New Roman"/>
        </w:rPr>
      </w:pPr>
    </w:p>
    <w:p w14:paraId="54499031">
      <w:pPr>
        <w:spacing w:line="400" w:lineRule="exact"/>
        <w:ind w:firstLine="440" w:firstLineChars="200"/>
        <w:rPr>
          <w:rFonts w:ascii="宋体" w:hAnsi="宋体" w:eastAsia="宋体" w:cs="Times New Roman"/>
        </w:rPr>
      </w:pPr>
      <w:r>
        <w:rPr>
          <w:rFonts w:ascii="宋体" w:hAnsi="宋体" w:eastAsia="宋体" w:cs="Times New Roman"/>
        </w:rPr>
        <w:t>（原载《上海市经济管理干部学院学报》2004年5月第2卷第3期，第一作者为曹雷）</w:t>
      </w:r>
    </w:p>
    <w:p w14:paraId="5A98439E">
      <w:pPr>
        <w:ind w:firstLine="440" w:firstLineChars="200"/>
        <w:rPr>
          <w:rFonts w:ascii="宋体" w:hAnsi="宋体" w:eastAsia="宋体" w:cs="Times New Roman"/>
        </w:rPr>
      </w:pPr>
      <w:r>
        <w:rPr>
          <w:rFonts w:ascii="宋体" w:hAnsi="宋体" w:eastAsia="宋体" w:cs="Times New Roman"/>
        </w:rPr>
        <w:br w:type="page"/>
      </w:r>
    </w:p>
    <w:p w14:paraId="0BE4C6B9">
      <w:pPr>
        <w:ind w:firstLine="440" w:firstLineChars="200"/>
        <w:rPr>
          <w:rFonts w:ascii="宋体" w:hAnsi="宋体" w:eastAsia="宋体" w:cs="Times New Roman"/>
        </w:rPr>
      </w:pPr>
    </w:p>
    <w:p w14:paraId="51740F36">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338" w:name="_Toc110957408"/>
      <w:bookmarkStart w:id="339" w:name="_Toc2098"/>
      <w:bookmarkStart w:id="340" w:name="_Toc232"/>
      <w:bookmarkStart w:id="341" w:name="_Toc93074555"/>
      <w:bookmarkStart w:id="342" w:name="_Toc257922051"/>
      <w:bookmarkStart w:id="343" w:name="_Toc1717019857"/>
      <w:bookmarkStart w:id="344" w:name="_Toc1350342687"/>
      <w:r>
        <w:rPr>
          <w:rFonts w:ascii="黑体" w:hAnsi="黑体" w:eastAsia="黑体" w:cs="Times New Roman"/>
          <w:color w:val="000000"/>
          <w:kern w:val="0"/>
          <w:sz w:val="32"/>
          <w:szCs w:val="32"/>
          <w:lang w:bidi="ar"/>
        </w:rPr>
        <w:t>日本马克思主义经济学与现实问题研究态势</w:t>
      </w:r>
      <w:bookmarkEnd w:id="338"/>
      <w:bookmarkEnd w:id="339"/>
      <w:bookmarkEnd w:id="340"/>
      <w:bookmarkEnd w:id="341"/>
      <w:bookmarkEnd w:id="342"/>
      <w:bookmarkEnd w:id="343"/>
      <w:bookmarkEnd w:id="344"/>
    </w:p>
    <w:p w14:paraId="11627341">
      <w:pPr>
        <w:autoSpaceDE w:val="0"/>
        <w:autoSpaceDN w:val="0"/>
        <w:spacing w:before="156" w:beforeLines="50" w:after="156" w:afterLines="50" w:line="300" w:lineRule="auto"/>
        <w:ind w:firstLine="500" w:firstLineChars="200"/>
        <w:jc w:val="center"/>
        <w:rPr>
          <w:rFonts w:ascii="Calibri" w:hAnsi="Calibri" w:eastAsia="宋体" w:cs="Times New Roman"/>
          <w:b/>
          <w:sz w:val="24"/>
          <w:szCs w:val="18"/>
        </w:rPr>
      </w:pPr>
      <w:r>
        <w:rPr>
          <w:rFonts w:hint="eastAsia" w:ascii="Calibri" w:hAnsi="Calibri" w:eastAsia="宋体" w:cs="Times New Roman"/>
          <w:b/>
          <w:sz w:val="24"/>
          <w:szCs w:val="18"/>
        </w:rPr>
        <w:t>一、日本马克思主义经济理论研究的特点与态势</w:t>
      </w:r>
    </w:p>
    <w:p w14:paraId="2B27AB6D">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在日本</w:t>
      </w:r>
      <w:r>
        <w:rPr>
          <w:rFonts w:ascii="宋体" w:hAnsi="宋体" w:eastAsia="宋体" w:cs="AdobeSongStd-Light"/>
          <w:kern w:val="0"/>
          <w:szCs w:val="21"/>
        </w:rPr>
        <w:t>，</w:t>
      </w:r>
      <w:r>
        <w:rPr>
          <w:rFonts w:hint="eastAsia" w:ascii="宋体" w:hAnsi="宋体" w:eastAsia="宋体" w:cs="AdobeSongStd-Light"/>
          <w:kern w:val="0"/>
          <w:szCs w:val="21"/>
        </w:rPr>
        <w:t>马克思主义经济学的传播和研究起源于</w:t>
      </w:r>
      <w:r>
        <w:rPr>
          <w:rFonts w:ascii="宋体" w:hAnsi="宋体" w:eastAsia="宋体" w:cs="Times New Roman"/>
          <w:kern w:val="0"/>
          <w:szCs w:val="21"/>
        </w:rPr>
        <w:t>19</w:t>
      </w:r>
      <w:r>
        <w:rPr>
          <w:rFonts w:hint="eastAsia" w:ascii="宋体" w:hAnsi="宋体" w:eastAsia="宋体" w:cs="AdobeSongStd-Light"/>
          <w:kern w:val="0"/>
          <w:szCs w:val="21"/>
        </w:rPr>
        <w:t>世纪末</w:t>
      </w:r>
      <w:r>
        <w:rPr>
          <w:rFonts w:ascii="宋体" w:hAnsi="宋体" w:eastAsia="宋体" w:cs="AdobeSongStd-Light"/>
          <w:kern w:val="0"/>
          <w:szCs w:val="21"/>
        </w:rPr>
        <w:t>，</w:t>
      </w:r>
      <w:r>
        <w:rPr>
          <w:rFonts w:hint="eastAsia" w:ascii="宋体" w:hAnsi="宋体" w:eastAsia="宋体" w:cs="AdobeSongStd-Light"/>
          <w:kern w:val="0"/>
          <w:szCs w:val="21"/>
        </w:rPr>
        <w:t>并在</w:t>
      </w:r>
      <w:r>
        <w:rPr>
          <w:rFonts w:ascii="宋体" w:hAnsi="宋体" w:eastAsia="宋体" w:cs="Times New Roman"/>
          <w:kern w:val="0"/>
          <w:szCs w:val="21"/>
        </w:rPr>
        <w:t>20</w:t>
      </w:r>
      <w:r>
        <w:rPr>
          <w:rFonts w:hint="eastAsia" w:ascii="宋体" w:hAnsi="宋体" w:eastAsia="宋体" w:cs="AdobeSongStd-Light"/>
          <w:kern w:val="0"/>
          <w:szCs w:val="21"/>
        </w:rPr>
        <w:t>世纪上半期对留学日本的中国学生和中国学术界产生了重大影响</w:t>
      </w:r>
      <w:r>
        <w:rPr>
          <w:rFonts w:ascii="宋体" w:hAnsi="宋体" w:eastAsia="宋体" w:cs="AdobeSongStd-Light"/>
          <w:kern w:val="0"/>
          <w:szCs w:val="21"/>
        </w:rPr>
        <w:t>，</w:t>
      </w:r>
      <w:r>
        <w:rPr>
          <w:rFonts w:ascii="宋体" w:hAnsi="宋体" w:eastAsia="宋体" w:cs="Times New Roman"/>
          <w:kern w:val="0"/>
          <w:szCs w:val="21"/>
        </w:rPr>
        <w:t>90</w:t>
      </w:r>
      <w:r>
        <w:rPr>
          <w:rFonts w:hint="eastAsia" w:ascii="宋体" w:hAnsi="宋体" w:eastAsia="宋体" w:cs="AdobeSongStd-Light"/>
          <w:kern w:val="0"/>
          <w:szCs w:val="21"/>
        </w:rPr>
        <w:t>年代以来面临苏东社会主义国家瓦解的新形势</w:t>
      </w:r>
      <w:r>
        <w:rPr>
          <w:rFonts w:ascii="宋体" w:hAnsi="宋体" w:eastAsia="宋体" w:cs="AdobeSongStd-Light"/>
          <w:kern w:val="0"/>
          <w:szCs w:val="21"/>
        </w:rPr>
        <w:t>，</w:t>
      </w:r>
      <w:r>
        <w:rPr>
          <w:rFonts w:hint="eastAsia" w:ascii="宋体" w:hAnsi="宋体" w:eastAsia="宋体" w:cs="AdobeSongStd-Light"/>
          <w:kern w:val="0"/>
          <w:szCs w:val="21"/>
        </w:rPr>
        <w:t>日本学术界的马克思主义经济理论探讨又掀起了新热潮。</w:t>
      </w:r>
      <w:r>
        <w:rPr>
          <w:rFonts w:ascii="宋体" w:hAnsi="宋体" w:eastAsia="宋体" w:cs="Times New Roman"/>
          <w:kern w:val="0"/>
          <w:szCs w:val="21"/>
        </w:rPr>
        <w:t>2003</w:t>
      </w:r>
      <w:r>
        <w:rPr>
          <w:rFonts w:hint="eastAsia" w:ascii="宋体" w:hAnsi="宋体" w:eastAsia="宋体" w:cs="AdobeSongStd-Light"/>
          <w:kern w:val="0"/>
          <w:szCs w:val="21"/>
        </w:rPr>
        <w:t>年</w:t>
      </w:r>
      <w:r>
        <w:rPr>
          <w:rFonts w:ascii="宋体" w:hAnsi="宋体" w:eastAsia="宋体" w:cs="Times New Roman"/>
          <w:kern w:val="0"/>
          <w:szCs w:val="21"/>
        </w:rPr>
        <w:t>10</w:t>
      </w:r>
      <w:r>
        <w:rPr>
          <w:rFonts w:hint="eastAsia" w:ascii="宋体" w:hAnsi="宋体" w:eastAsia="宋体" w:cs="AdobeSongStd-Light"/>
          <w:kern w:val="0"/>
          <w:szCs w:val="21"/>
        </w:rPr>
        <w:t>月</w:t>
      </w:r>
      <w:r>
        <w:rPr>
          <w:rFonts w:ascii="宋体" w:hAnsi="宋体" w:eastAsia="宋体" w:cs="Times New Roman"/>
          <w:kern w:val="0"/>
          <w:szCs w:val="21"/>
        </w:rPr>
        <w:t>18</w:t>
      </w:r>
      <w:r>
        <w:rPr>
          <w:rFonts w:hint="eastAsia" w:ascii="宋体" w:hAnsi="宋体" w:eastAsia="宋体" w:cs="AdobeSongStd-Light"/>
          <w:kern w:val="0"/>
          <w:szCs w:val="21"/>
        </w:rPr>
        <w:t>日～</w:t>
      </w:r>
      <w:r>
        <w:rPr>
          <w:rFonts w:ascii="宋体" w:hAnsi="宋体" w:eastAsia="宋体" w:cs="Times New Roman"/>
          <w:kern w:val="0"/>
          <w:szCs w:val="21"/>
        </w:rPr>
        <w:t>19</w:t>
      </w:r>
      <w:r>
        <w:rPr>
          <w:rFonts w:hint="eastAsia" w:ascii="宋体" w:hAnsi="宋体" w:eastAsia="宋体" w:cs="AdobeSongStd-Light"/>
          <w:kern w:val="0"/>
          <w:szCs w:val="21"/>
        </w:rPr>
        <w:t>日</w:t>
      </w:r>
      <w:r>
        <w:rPr>
          <w:rFonts w:ascii="宋体" w:hAnsi="宋体" w:eastAsia="宋体" w:cs="AdobeSongStd-Light"/>
          <w:kern w:val="0"/>
          <w:szCs w:val="21"/>
        </w:rPr>
        <w:t>，</w:t>
      </w:r>
      <w:r>
        <w:rPr>
          <w:rFonts w:hint="eastAsia" w:ascii="宋体" w:hAnsi="宋体" w:eastAsia="宋体" w:cs="AdobeSongStd-Light"/>
          <w:kern w:val="0"/>
          <w:szCs w:val="21"/>
        </w:rPr>
        <w:t>笔者应邀出席在日本经济理论学会第</w:t>
      </w:r>
      <w:r>
        <w:rPr>
          <w:rFonts w:ascii="宋体" w:hAnsi="宋体" w:eastAsia="宋体" w:cs="Times New Roman"/>
          <w:kern w:val="0"/>
          <w:szCs w:val="21"/>
        </w:rPr>
        <w:t>51</w:t>
      </w:r>
      <w:r>
        <w:rPr>
          <w:rFonts w:hint="eastAsia" w:ascii="宋体" w:hAnsi="宋体" w:eastAsia="宋体" w:cs="AdobeSongStd-Light"/>
          <w:kern w:val="0"/>
          <w:szCs w:val="21"/>
        </w:rPr>
        <w:t>届大会期间</w:t>
      </w:r>
      <w:r>
        <w:rPr>
          <w:rFonts w:ascii="宋体" w:hAnsi="宋体" w:eastAsia="宋体" w:cs="AdobeSongStd-Light"/>
          <w:kern w:val="0"/>
          <w:szCs w:val="21"/>
        </w:rPr>
        <w:t>，</w:t>
      </w:r>
      <w:r>
        <w:rPr>
          <w:rFonts w:hint="eastAsia" w:ascii="宋体" w:hAnsi="宋体" w:eastAsia="宋体" w:cs="AdobeSongStd-Light"/>
          <w:kern w:val="0"/>
          <w:szCs w:val="21"/>
        </w:rPr>
        <w:t>就深深地感受到这一浓厚的学术气息。其研究特点和态势表现为：</w:t>
      </w:r>
    </w:p>
    <w:p w14:paraId="2EC9C751">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首先</w:t>
      </w:r>
      <w:r>
        <w:rPr>
          <w:rFonts w:ascii="宋体" w:hAnsi="宋体" w:eastAsia="宋体" w:cs="AdobeSongStd-Light"/>
          <w:kern w:val="0"/>
          <w:szCs w:val="21"/>
        </w:rPr>
        <w:t>，</w:t>
      </w:r>
      <w:r>
        <w:rPr>
          <w:rFonts w:hint="eastAsia" w:ascii="宋体" w:hAnsi="宋体" w:eastAsia="宋体" w:cs="AdobeSongStd-Light"/>
          <w:kern w:val="0"/>
          <w:szCs w:val="21"/>
        </w:rPr>
        <w:t>传承与创新相结合。在日本</w:t>
      </w:r>
      <w:r>
        <w:rPr>
          <w:rFonts w:ascii="宋体" w:hAnsi="宋体" w:eastAsia="宋体" w:cs="AdobeSongStd-Light"/>
          <w:kern w:val="0"/>
          <w:szCs w:val="21"/>
        </w:rPr>
        <w:t>，</w:t>
      </w:r>
      <w:r>
        <w:rPr>
          <w:rFonts w:hint="eastAsia" w:ascii="宋体" w:hAnsi="宋体" w:eastAsia="宋体" w:cs="AdobeSongStd-Light"/>
          <w:kern w:val="0"/>
          <w:szCs w:val="21"/>
        </w:rPr>
        <w:t>一方面继续研究和刊行《资本论》创作史、经典文献阐释和马克思经济学入门的论著</w:t>
      </w:r>
      <w:r>
        <w:rPr>
          <w:rFonts w:ascii="宋体" w:hAnsi="宋体" w:eastAsia="宋体" w:cs="AdobeSongStd-Light"/>
          <w:kern w:val="0"/>
          <w:szCs w:val="21"/>
        </w:rPr>
        <w:t>，</w:t>
      </w:r>
      <w:r>
        <w:rPr>
          <w:rFonts w:hint="eastAsia" w:ascii="宋体" w:hAnsi="宋体" w:eastAsia="宋体" w:cs="AdobeSongStd-Light"/>
          <w:kern w:val="0"/>
          <w:szCs w:val="21"/>
        </w:rPr>
        <w:t>另一方面</w:t>
      </w:r>
      <w:r>
        <w:rPr>
          <w:rFonts w:ascii="宋体" w:hAnsi="宋体" w:eastAsia="宋体" w:cs="AdobeSongStd-Light"/>
          <w:kern w:val="0"/>
          <w:szCs w:val="21"/>
        </w:rPr>
        <w:t>，</w:t>
      </w:r>
      <w:r>
        <w:rPr>
          <w:rFonts w:hint="eastAsia" w:ascii="宋体" w:hAnsi="宋体" w:eastAsia="宋体" w:cs="AdobeSongStd-Light"/>
          <w:kern w:val="0"/>
          <w:szCs w:val="21"/>
        </w:rPr>
        <w:t>国立东京大学和横滨大学、私立武藏大学等众多高校仍继续开设马克思经济学课程以及用马克思经济学来分析的世界经济课程</w:t>
      </w:r>
      <w:r>
        <w:rPr>
          <w:rFonts w:ascii="宋体" w:hAnsi="宋体" w:eastAsia="宋体" w:cs="AdobeSongStd-Light"/>
          <w:kern w:val="0"/>
          <w:szCs w:val="21"/>
        </w:rPr>
        <w:t>，</w:t>
      </w:r>
      <w:r>
        <w:rPr>
          <w:rFonts w:hint="eastAsia" w:ascii="宋体" w:hAnsi="宋体" w:eastAsia="宋体" w:cs="AdobeSongStd-Light"/>
          <w:kern w:val="0"/>
          <w:szCs w:val="21"/>
        </w:rPr>
        <w:t>并作为经济学科研究生入学考试内容和必修课。日本不仅马克思经济学的现代传播和学术传承搞得出色</w:t>
      </w:r>
      <w:r>
        <w:rPr>
          <w:rFonts w:ascii="宋体" w:hAnsi="宋体" w:eastAsia="宋体" w:cs="AdobeSongStd-Light"/>
          <w:kern w:val="0"/>
          <w:szCs w:val="21"/>
        </w:rPr>
        <w:t>，</w:t>
      </w:r>
      <w:r>
        <w:rPr>
          <w:rFonts w:hint="eastAsia" w:ascii="宋体" w:hAnsi="宋体" w:eastAsia="宋体" w:cs="AdobeSongStd-Light"/>
          <w:kern w:val="0"/>
          <w:szCs w:val="21"/>
        </w:rPr>
        <w:t>而且更富有理论创新精神。会长大谷祯之介等教授认为</w:t>
      </w:r>
      <w:r>
        <w:rPr>
          <w:rFonts w:ascii="宋体" w:hAnsi="宋体" w:eastAsia="宋体" w:cs="AdobeSongStd-Light"/>
          <w:kern w:val="0"/>
          <w:szCs w:val="21"/>
        </w:rPr>
        <w:t>，</w:t>
      </w:r>
      <w:r>
        <w:rPr>
          <w:rFonts w:hint="eastAsia" w:ascii="宋体" w:hAnsi="宋体" w:eastAsia="宋体" w:cs="AdobeSongStd-Light"/>
          <w:kern w:val="0"/>
          <w:szCs w:val="21"/>
        </w:rPr>
        <w:t>马克思和新古典经济学都是把市场经济作为研究对象的</w:t>
      </w:r>
      <w:r>
        <w:rPr>
          <w:rFonts w:ascii="宋体" w:hAnsi="宋体" w:eastAsia="宋体" w:cs="AdobeSongStd-Light"/>
          <w:kern w:val="0"/>
          <w:szCs w:val="21"/>
        </w:rPr>
        <w:t>，</w:t>
      </w:r>
      <w:r>
        <w:rPr>
          <w:rFonts w:hint="eastAsia" w:ascii="宋体" w:hAnsi="宋体" w:eastAsia="宋体" w:cs="AdobeSongStd-Light"/>
          <w:kern w:val="0"/>
          <w:szCs w:val="21"/>
        </w:rPr>
        <w:t>但今日多元的诸多现象</w:t>
      </w:r>
      <w:r>
        <w:rPr>
          <w:rFonts w:ascii="宋体" w:hAnsi="宋体" w:eastAsia="宋体" w:cs="AdobeSongStd-Light"/>
          <w:kern w:val="0"/>
          <w:szCs w:val="21"/>
        </w:rPr>
        <w:t>，</w:t>
      </w:r>
      <w:r>
        <w:rPr>
          <w:rFonts w:hint="eastAsia" w:ascii="宋体" w:hAnsi="宋体" w:eastAsia="宋体" w:cs="AdobeSongStd-Light"/>
          <w:kern w:val="0"/>
          <w:szCs w:val="21"/>
        </w:rPr>
        <w:t>有必要扩大研究范围</w:t>
      </w:r>
      <w:r>
        <w:rPr>
          <w:rFonts w:ascii="宋体" w:hAnsi="宋体" w:eastAsia="宋体" w:cs="AdobeSongStd-Light"/>
          <w:kern w:val="0"/>
          <w:szCs w:val="21"/>
        </w:rPr>
        <w:t>，</w:t>
      </w:r>
      <w:r>
        <w:rPr>
          <w:rFonts w:hint="eastAsia" w:ascii="宋体" w:hAnsi="宋体" w:eastAsia="宋体" w:cs="AdobeSongStd-Light"/>
          <w:kern w:val="0"/>
          <w:szCs w:val="21"/>
        </w:rPr>
        <w:t>因而新构建的社会经济学</w:t>
      </w:r>
      <w:r>
        <w:rPr>
          <w:rFonts w:ascii="宋体" w:hAnsi="宋体" w:eastAsia="宋体" w:cs="AdobeSongStd-Light"/>
          <w:kern w:val="0"/>
          <w:szCs w:val="21"/>
        </w:rPr>
        <w:t>（</w:t>
      </w:r>
      <w:r>
        <w:rPr>
          <w:rFonts w:hint="eastAsia" w:ascii="宋体" w:hAnsi="宋体" w:eastAsia="宋体" w:cs="AdobeSongStd-Light"/>
          <w:kern w:val="0"/>
          <w:szCs w:val="21"/>
        </w:rPr>
        <w:t>现代政治经济学</w:t>
      </w:r>
      <w:r>
        <w:rPr>
          <w:rFonts w:ascii="宋体" w:hAnsi="宋体" w:eastAsia="宋体" w:cs="AdobeSongStd-Light"/>
          <w:kern w:val="0"/>
          <w:szCs w:val="21"/>
        </w:rPr>
        <w:t>）</w:t>
      </w:r>
      <w:r>
        <w:rPr>
          <w:rFonts w:hint="eastAsia" w:ascii="宋体" w:hAnsi="宋体" w:eastAsia="宋体" w:cs="AdobeSongStd-Light"/>
          <w:kern w:val="0"/>
          <w:szCs w:val="21"/>
        </w:rPr>
        <w:t>是以马克思经济学为主体或中心的</w:t>
      </w:r>
      <w:r>
        <w:rPr>
          <w:rFonts w:ascii="宋体" w:hAnsi="宋体" w:eastAsia="宋体" w:cs="AdobeSongStd-Light"/>
          <w:kern w:val="0"/>
          <w:szCs w:val="21"/>
        </w:rPr>
        <w:t>，</w:t>
      </w:r>
      <w:r>
        <w:rPr>
          <w:rFonts w:hint="eastAsia" w:ascii="宋体" w:hAnsi="宋体" w:eastAsia="宋体" w:cs="AdobeSongStd-Light"/>
          <w:kern w:val="0"/>
          <w:szCs w:val="21"/>
        </w:rPr>
        <w:t>而现存的非市场领域也须列为重要的分析对象</w:t>
      </w:r>
      <w:r>
        <w:rPr>
          <w:rFonts w:ascii="宋体" w:hAnsi="宋体" w:eastAsia="宋体" w:cs="AdobeSongStd-Light"/>
          <w:kern w:val="0"/>
          <w:szCs w:val="21"/>
        </w:rPr>
        <w:t>，</w:t>
      </w:r>
      <w:r>
        <w:rPr>
          <w:rFonts w:hint="eastAsia" w:ascii="宋体" w:hAnsi="宋体" w:eastAsia="宋体" w:cs="AdobeSongStd-Light"/>
          <w:kern w:val="0"/>
          <w:szCs w:val="21"/>
        </w:rPr>
        <w:t>进而应吸收生态学、性经济学之类的成果</w:t>
      </w:r>
      <w:r>
        <w:rPr>
          <w:rFonts w:ascii="宋体" w:hAnsi="宋体" w:eastAsia="宋体" w:cs="AdobeSongStd-Light"/>
          <w:kern w:val="0"/>
          <w:szCs w:val="21"/>
        </w:rPr>
        <w:t>；</w:t>
      </w:r>
      <w:r>
        <w:rPr>
          <w:rFonts w:hint="eastAsia" w:ascii="宋体" w:hAnsi="宋体" w:eastAsia="宋体" w:cs="AdobeSongStd-Light"/>
          <w:kern w:val="0"/>
          <w:szCs w:val="21"/>
        </w:rPr>
        <w:t>须研究经济体系同自然环境、法律、文化、社会规范的相互影响。学术繁荣的重要标志是形成众多学派</w:t>
      </w:r>
      <w:r>
        <w:rPr>
          <w:rFonts w:ascii="宋体" w:hAnsi="宋体" w:eastAsia="宋体" w:cs="AdobeSongStd-Light"/>
          <w:kern w:val="0"/>
          <w:szCs w:val="21"/>
        </w:rPr>
        <w:t>，</w:t>
      </w:r>
      <w:r>
        <w:rPr>
          <w:rFonts w:hint="eastAsia" w:ascii="宋体" w:hAnsi="宋体" w:eastAsia="宋体" w:cs="AdobeSongStd-Light"/>
          <w:kern w:val="0"/>
          <w:szCs w:val="21"/>
        </w:rPr>
        <w:t>而继承和独创融合的结果必然促进学派的不断产生和流变。目前</w:t>
      </w:r>
      <w:r>
        <w:rPr>
          <w:rFonts w:ascii="宋体" w:hAnsi="宋体" w:eastAsia="宋体" w:cs="AdobeSongStd-Light"/>
          <w:kern w:val="0"/>
          <w:szCs w:val="21"/>
        </w:rPr>
        <w:t>，</w:t>
      </w:r>
      <w:r>
        <w:rPr>
          <w:rFonts w:hint="eastAsia" w:ascii="宋体" w:hAnsi="宋体" w:eastAsia="宋体" w:cs="AdobeSongStd-Light"/>
          <w:kern w:val="0"/>
          <w:szCs w:val="21"/>
        </w:rPr>
        <w:t>日本广义的马克思主义经济学流派</w:t>
      </w:r>
      <w:r>
        <w:rPr>
          <w:rFonts w:ascii="宋体" w:hAnsi="宋体" w:eastAsia="宋体" w:cs="AdobeSongStd-Light"/>
          <w:kern w:val="0"/>
          <w:szCs w:val="21"/>
        </w:rPr>
        <w:t>，</w:t>
      </w:r>
      <w:r>
        <w:rPr>
          <w:rFonts w:hint="eastAsia" w:ascii="宋体" w:hAnsi="宋体" w:eastAsia="宋体" w:cs="AdobeSongStd-Light"/>
          <w:kern w:val="0"/>
          <w:szCs w:val="21"/>
        </w:rPr>
        <w:t>有重视黑格尔逻辑学的见田派、数理马克思主义的置盐派、新的新古典派马克思主义、伊藤诚领衔的宇野派、市民社会派和八木的调节学派等。</w:t>
      </w:r>
    </w:p>
    <w:p w14:paraId="542602DB">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其次</w:t>
      </w:r>
      <w:r>
        <w:rPr>
          <w:rFonts w:ascii="宋体" w:hAnsi="宋体" w:eastAsia="宋体" w:cs="AdobeSongStd-Light"/>
          <w:kern w:val="0"/>
          <w:szCs w:val="21"/>
        </w:rPr>
        <w:t>，</w:t>
      </w:r>
      <w:r>
        <w:rPr>
          <w:rFonts w:hint="eastAsia" w:ascii="宋体" w:hAnsi="宋体" w:eastAsia="宋体" w:cs="AdobeSongStd-Light"/>
          <w:kern w:val="0"/>
          <w:szCs w:val="21"/>
        </w:rPr>
        <w:t>借鉴与批评相结合。与我国相比</w:t>
      </w:r>
      <w:r>
        <w:rPr>
          <w:rFonts w:ascii="宋体" w:hAnsi="宋体" w:eastAsia="宋体" w:cs="AdobeSongStd-Light"/>
          <w:kern w:val="0"/>
          <w:szCs w:val="21"/>
        </w:rPr>
        <w:t>，</w:t>
      </w:r>
      <w:r>
        <w:rPr>
          <w:rFonts w:hint="eastAsia" w:ascii="宋体" w:hAnsi="宋体" w:eastAsia="宋体" w:cs="AdobeSongStd-Light"/>
          <w:kern w:val="0"/>
          <w:szCs w:val="21"/>
        </w:rPr>
        <w:t>马克思主义经济学的数学化属于日本学术前沿和重要主题之一</w:t>
      </w:r>
      <w:r>
        <w:rPr>
          <w:rFonts w:ascii="宋体" w:hAnsi="宋体" w:eastAsia="宋体" w:cs="AdobeSongStd-Light"/>
          <w:kern w:val="0"/>
          <w:szCs w:val="21"/>
        </w:rPr>
        <w:t>，</w:t>
      </w:r>
      <w:r>
        <w:rPr>
          <w:rFonts w:hint="eastAsia" w:ascii="宋体" w:hAnsi="宋体" w:eastAsia="宋体" w:cs="AdobeSongStd-Light"/>
          <w:kern w:val="0"/>
          <w:szCs w:val="21"/>
        </w:rPr>
        <w:t>而借鉴数学工具和现代西方经济学的分析技术</w:t>
      </w:r>
      <w:r>
        <w:rPr>
          <w:rFonts w:ascii="宋体" w:hAnsi="宋体" w:eastAsia="宋体" w:cs="AdobeSongStd-Light"/>
          <w:kern w:val="0"/>
          <w:szCs w:val="21"/>
        </w:rPr>
        <w:t>，</w:t>
      </w:r>
      <w:r>
        <w:rPr>
          <w:rFonts w:hint="eastAsia" w:ascii="宋体" w:hAnsi="宋体" w:eastAsia="宋体" w:cs="AdobeSongStd-Light"/>
          <w:kern w:val="0"/>
          <w:szCs w:val="21"/>
        </w:rPr>
        <w:t>凸现为一个鲜明的特色。大西广关于马克思主义经济学最适宜增长理论的新解释——作为最适宜迂回生产系统的资本主义数学模型</w:t>
      </w:r>
      <w:r>
        <w:rPr>
          <w:rFonts w:ascii="宋体" w:hAnsi="宋体" w:eastAsia="宋体" w:cs="AdobeSongStd-Light"/>
          <w:kern w:val="0"/>
          <w:szCs w:val="21"/>
        </w:rPr>
        <w:t>，</w:t>
      </w:r>
      <w:r>
        <w:rPr>
          <w:rFonts w:hint="eastAsia" w:ascii="宋体" w:hAnsi="宋体" w:eastAsia="宋体" w:cs="AdobeSongStd-Light"/>
          <w:kern w:val="0"/>
          <w:szCs w:val="21"/>
        </w:rPr>
        <w:t>武井博之关于资本主义的模式化和商品数量问题</w:t>
      </w:r>
      <w:r>
        <w:rPr>
          <w:rFonts w:ascii="宋体" w:hAnsi="宋体" w:eastAsia="宋体" w:cs="AdobeSongStd-Light"/>
          <w:kern w:val="0"/>
          <w:szCs w:val="21"/>
        </w:rPr>
        <w:t>，</w:t>
      </w:r>
      <w:r>
        <w:rPr>
          <w:rFonts w:hint="eastAsia" w:ascii="宋体" w:hAnsi="宋体" w:eastAsia="宋体" w:cs="AdobeSongStd-Light"/>
          <w:kern w:val="0"/>
          <w:szCs w:val="21"/>
        </w:rPr>
        <w:t>濑尾崇关于个别资本的进化竞争模型等</w:t>
      </w:r>
      <w:r>
        <w:rPr>
          <w:rFonts w:ascii="宋体" w:hAnsi="宋体" w:eastAsia="宋体" w:cs="AdobeSongStd-Light"/>
          <w:kern w:val="0"/>
          <w:szCs w:val="21"/>
        </w:rPr>
        <w:t>，</w:t>
      </w:r>
      <w:r>
        <w:rPr>
          <w:rFonts w:hint="eastAsia" w:ascii="宋体" w:hAnsi="宋体" w:eastAsia="宋体" w:cs="AdobeSongStd-Light"/>
          <w:kern w:val="0"/>
          <w:szCs w:val="21"/>
        </w:rPr>
        <w:t>均是如此。比如</w:t>
      </w:r>
      <w:r>
        <w:rPr>
          <w:rFonts w:ascii="宋体" w:hAnsi="宋体" w:eastAsia="宋体" w:cs="AdobeSongStd-Light"/>
          <w:kern w:val="0"/>
          <w:szCs w:val="21"/>
        </w:rPr>
        <w:t>，</w:t>
      </w:r>
      <w:r>
        <w:rPr>
          <w:rFonts w:hint="eastAsia" w:ascii="宋体" w:hAnsi="宋体" w:eastAsia="宋体" w:cs="AdobeSongStd-Light"/>
          <w:kern w:val="0"/>
          <w:szCs w:val="21"/>
        </w:rPr>
        <w:t>在贸易和资本转移的克鲁格曼模型与列宁模型及其一般化的研究中</w:t>
      </w:r>
      <w:r>
        <w:rPr>
          <w:rFonts w:ascii="宋体" w:hAnsi="宋体" w:eastAsia="宋体" w:cs="AdobeSongStd-Light"/>
          <w:kern w:val="0"/>
          <w:szCs w:val="21"/>
        </w:rPr>
        <w:t>，</w:t>
      </w:r>
      <w:r>
        <w:rPr>
          <w:rFonts w:hint="eastAsia" w:ascii="宋体" w:hAnsi="宋体" w:eastAsia="宋体" w:cs="AdobeSongStd-Light"/>
          <w:kern w:val="0"/>
          <w:szCs w:val="21"/>
        </w:rPr>
        <w:t>京都大学统计学教授大西广就国际间不均衡经济发展问题</w:t>
      </w:r>
      <w:r>
        <w:rPr>
          <w:rFonts w:ascii="宋体" w:hAnsi="宋体" w:eastAsia="宋体" w:cs="AdobeSongStd-Light"/>
          <w:kern w:val="0"/>
          <w:szCs w:val="21"/>
        </w:rPr>
        <w:t>，</w:t>
      </w:r>
      <w:r>
        <w:rPr>
          <w:rFonts w:hint="eastAsia" w:ascii="宋体" w:hAnsi="宋体" w:eastAsia="宋体" w:cs="AdobeSongStd-Light"/>
          <w:kern w:val="0"/>
          <w:szCs w:val="21"/>
        </w:rPr>
        <w:t>对克鲁格曼的扩散理论与列宁的收敛理论进行了比较</w:t>
      </w:r>
      <w:r>
        <w:rPr>
          <w:rFonts w:ascii="宋体" w:hAnsi="宋体" w:eastAsia="宋体" w:cs="AdobeSongStd-Light"/>
          <w:kern w:val="0"/>
          <w:szCs w:val="21"/>
        </w:rPr>
        <w:t>，</w:t>
      </w:r>
      <w:r>
        <w:rPr>
          <w:rFonts w:hint="eastAsia" w:ascii="宋体" w:hAnsi="宋体" w:eastAsia="宋体" w:cs="AdobeSongStd-Light"/>
          <w:kern w:val="0"/>
          <w:szCs w:val="21"/>
        </w:rPr>
        <w:t>分析了利润率从“克鲁格曼状况”向“列宁状况”的历史转换。对西方经济学的科学批评</w:t>
      </w:r>
      <w:r>
        <w:rPr>
          <w:rFonts w:ascii="宋体" w:hAnsi="宋体" w:eastAsia="宋体" w:cs="AdobeSongStd-Light"/>
          <w:kern w:val="0"/>
          <w:szCs w:val="21"/>
        </w:rPr>
        <w:t>，</w:t>
      </w:r>
      <w:r>
        <w:rPr>
          <w:rFonts w:hint="eastAsia" w:ascii="宋体" w:hAnsi="宋体" w:eastAsia="宋体" w:cs="AdobeSongStd-Light"/>
          <w:kern w:val="0"/>
          <w:szCs w:val="21"/>
        </w:rPr>
        <w:t>仍然是当代日本马克思主义经济学家的学术责任和思想进化的表现。石原洋介在探究伴随着全球经济一体化和资本流动的国际化和短期化问题时指出</w:t>
      </w:r>
      <w:r>
        <w:rPr>
          <w:rFonts w:ascii="宋体" w:hAnsi="宋体" w:eastAsia="宋体" w:cs="AdobeSongStd-Light"/>
          <w:kern w:val="0"/>
          <w:szCs w:val="21"/>
        </w:rPr>
        <w:t>，</w:t>
      </w:r>
      <w:r>
        <w:rPr>
          <w:rFonts w:hint="eastAsia" w:ascii="宋体" w:hAnsi="宋体" w:eastAsia="宋体" w:cs="AdobeSongStd-Light"/>
          <w:kern w:val="0"/>
          <w:szCs w:val="21"/>
        </w:rPr>
        <w:t>其实并非像新自由主义所说的是有效资本的分配和对发展中国家经济成长的保证</w:t>
      </w:r>
      <w:r>
        <w:rPr>
          <w:rFonts w:ascii="宋体" w:hAnsi="宋体" w:eastAsia="宋体" w:cs="AdobeSongStd-Light"/>
          <w:kern w:val="0"/>
          <w:szCs w:val="21"/>
        </w:rPr>
        <w:t>，</w:t>
      </w:r>
      <w:r>
        <w:rPr>
          <w:rFonts w:hint="eastAsia" w:ascii="宋体" w:hAnsi="宋体" w:eastAsia="宋体" w:cs="AdobeSongStd-Light"/>
          <w:kern w:val="0"/>
          <w:szCs w:val="21"/>
        </w:rPr>
        <w:t>而是掠夺了发展中国家经济增长的部分果实</w:t>
      </w:r>
      <w:r>
        <w:rPr>
          <w:rFonts w:ascii="宋体" w:hAnsi="宋体" w:eastAsia="宋体" w:cs="AdobeSongStd-Light"/>
          <w:kern w:val="0"/>
          <w:szCs w:val="21"/>
        </w:rPr>
        <w:t>；</w:t>
      </w:r>
      <w:r>
        <w:rPr>
          <w:rFonts w:hint="eastAsia" w:ascii="宋体" w:hAnsi="宋体" w:eastAsia="宋体" w:cs="AdobeSongStd-Light"/>
          <w:kern w:val="0"/>
          <w:szCs w:val="21"/>
        </w:rPr>
        <w:t>况且</w:t>
      </w:r>
      <w:r>
        <w:rPr>
          <w:rFonts w:ascii="宋体" w:hAnsi="宋体" w:eastAsia="宋体" w:cs="AdobeSongStd-Light"/>
          <w:kern w:val="0"/>
          <w:szCs w:val="21"/>
        </w:rPr>
        <w:t>，</w:t>
      </w:r>
      <w:r>
        <w:rPr>
          <w:rFonts w:hint="eastAsia" w:ascii="宋体" w:hAnsi="宋体" w:eastAsia="宋体" w:cs="AdobeSongStd-Light"/>
          <w:kern w:val="0"/>
          <w:szCs w:val="21"/>
        </w:rPr>
        <w:t>当今全球经济一体化都是保证投资资本及其所有者的富裕阶层的利益为优先</w:t>
      </w:r>
      <w:r>
        <w:rPr>
          <w:rFonts w:ascii="宋体" w:hAnsi="宋体" w:eastAsia="宋体" w:cs="AdobeSongStd-Light"/>
          <w:kern w:val="0"/>
          <w:szCs w:val="21"/>
        </w:rPr>
        <w:t>；</w:t>
      </w:r>
      <w:r>
        <w:rPr>
          <w:rFonts w:hint="eastAsia" w:ascii="宋体" w:hAnsi="宋体" w:eastAsia="宋体" w:cs="AdobeSongStd-Light"/>
          <w:kern w:val="0"/>
          <w:szCs w:val="21"/>
        </w:rPr>
        <w:t>为了纠正这样的不正确性质</w:t>
      </w:r>
      <w:r>
        <w:rPr>
          <w:rFonts w:ascii="宋体" w:hAnsi="宋体" w:eastAsia="宋体" w:cs="AdobeSongStd-Light"/>
          <w:kern w:val="0"/>
          <w:szCs w:val="21"/>
        </w:rPr>
        <w:t>，</w:t>
      </w:r>
      <w:r>
        <w:rPr>
          <w:rFonts w:hint="eastAsia" w:ascii="宋体" w:hAnsi="宋体" w:eastAsia="宋体" w:cs="AdobeSongStd-Light"/>
          <w:kern w:val="0"/>
          <w:szCs w:val="21"/>
        </w:rPr>
        <w:t>至少要以马来西亚的资本限制规定为成功案例</w:t>
      </w:r>
      <w:r>
        <w:rPr>
          <w:rFonts w:ascii="宋体" w:hAnsi="宋体" w:eastAsia="宋体" w:cs="AdobeSongStd-Light"/>
          <w:kern w:val="0"/>
          <w:szCs w:val="21"/>
        </w:rPr>
        <w:t>，</w:t>
      </w:r>
      <w:r>
        <w:rPr>
          <w:rFonts w:hint="eastAsia" w:ascii="宋体" w:hAnsi="宋体" w:eastAsia="宋体" w:cs="AdobeSongStd-Light"/>
          <w:kern w:val="0"/>
          <w:szCs w:val="21"/>
        </w:rPr>
        <w:t>对短期资本流动的作出必要的限制。世界著名经济学家、东京大学伊藤诚教授认为</w:t>
      </w:r>
      <w:r>
        <w:rPr>
          <w:rFonts w:ascii="宋体" w:hAnsi="宋体" w:eastAsia="宋体" w:cs="AdobeSongStd-Light"/>
          <w:kern w:val="0"/>
          <w:szCs w:val="21"/>
        </w:rPr>
        <w:t>，</w:t>
      </w:r>
      <w:r>
        <w:rPr>
          <w:rFonts w:hint="eastAsia" w:ascii="宋体" w:hAnsi="宋体" w:eastAsia="宋体" w:cs="AdobeSongStd-Light"/>
          <w:kern w:val="0"/>
          <w:szCs w:val="21"/>
        </w:rPr>
        <w:t>中国社会主义公有制占主体类型的市场经济发展成就</w:t>
      </w:r>
      <w:r>
        <w:rPr>
          <w:rFonts w:ascii="宋体" w:hAnsi="宋体" w:eastAsia="宋体" w:cs="AdobeSongStd-Light"/>
          <w:kern w:val="0"/>
          <w:szCs w:val="21"/>
        </w:rPr>
        <w:t>，</w:t>
      </w:r>
      <w:r>
        <w:rPr>
          <w:rFonts w:hint="eastAsia" w:ascii="宋体" w:hAnsi="宋体" w:eastAsia="宋体" w:cs="AdobeSongStd-Light"/>
          <w:kern w:val="0"/>
          <w:szCs w:val="21"/>
        </w:rPr>
        <w:t>是对西方新自由主义和新古典主义思潮的驳斥</w:t>
      </w:r>
      <w:r>
        <w:rPr>
          <w:rFonts w:ascii="宋体" w:hAnsi="宋体" w:eastAsia="宋体" w:cs="AdobeSongStd-Light"/>
          <w:kern w:val="0"/>
          <w:szCs w:val="21"/>
        </w:rPr>
        <w:t>，</w:t>
      </w:r>
      <w:r>
        <w:rPr>
          <w:rFonts w:hint="eastAsia" w:ascii="宋体" w:hAnsi="宋体" w:eastAsia="宋体" w:cs="AdobeSongStd-Light"/>
          <w:kern w:val="0"/>
          <w:szCs w:val="21"/>
        </w:rPr>
        <w:t>而进一步巩固和完善社会主义市场经济体制的关键</w:t>
      </w:r>
      <w:r>
        <w:rPr>
          <w:rFonts w:ascii="宋体" w:hAnsi="宋体" w:eastAsia="宋体" w:cs="AdobeSongStd-Light"/>
          <w:kern w:val="0"/>
          <w:szCs w:val="21"/>
        </w:rPr>
        <w:t>，</w:t>
      </w:r>
      <w:r>
        <w:rPr>
          <w:rFonts w:hint="eastAsia" w:ascii="宋体" w:hAnsi="宋体" w:eastAsia="宋体" w:cs="AdobeSongStd-Light"/>
          <w:kern w:val="0"/>
          <w:szCs w:val="21"/>
        </w:rPr>
        <w:t>在于消除西方主流经济意识形态和政策的影响。</w:t>
      </w:r>
    </w:p>
    <w:p w14:paraId="24CB0958">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再次</w:t>
      </w:r>
      <w:r>
        <w:rPr>
          <w:rFonts w:ascii="宋体" w:hAnsi="宋体" w:eastAsia="宋体" w:cs="AdobeSongStd-Light"/>
          <w:kern w:val="0"/>
          <w:szCs w:val="21"/>
        </w:rPr>
        <w:t>，</w:t>
      </w:r>
      <w:r>
        <w:rPr>
          <w:rFonts w:hint="eastAsia" w:ascii="宋体" w:hAnsi="宋体" w:eastAsia="宋体" w:cs="AdobeSongStd-Light"/>
          <w:kern w:val="0"/>
          <w:szCs w:val="21"/>
        </w:rPr>
        <w:t>规范与实证相结合。在立命馆大学松井哓等教授看来</w:t>
      </w:r>
      <w:r>
        <w:rPr>
          <w:rFonts w:ascii="宋体" w:hAnsi="宋体" w:eastAsia="宋体" w:cs="AdobeSongStd-Light"/>
          <w:kern w:val="0"/>
          <w:szCs w:val="21"/>
        </w:rPr>
        <w:t>，</w:t>
      </w:r>
      <w:r>
        <w:rPr>
          <w:rFonts w:hint="eastAsia" w:ascii="宋体" w:hAnsi="宋体" w:eastAsia="宋体" w:cs="AdobeSongStd-Light"/>
          <w:kern w:val="0"/>
          <w:szCs w:val="21"/>
        </w:rPr>
        <w:t>规范理论是实证理论的相反概念</w:t>
      </w:r>
      <w:r>
        <w:rPr>
          <w:rFonts w:ascii="宋体" w:hAnsi="宋体" w:eastAsia="宋体" w:cs="AdobeSongStd-Light"/>
          <w:kern w:val="0"/>
          <w:szCs w:val="21"/>
        </w:rPr>
        <w:t>，</w:t>
      </w:r>
      <w:r>
        <w:rPr>
          <w:rFonts w:hint="eastAsia" w:ascii="宋体" w:hAnsi="宋体" w:eastAsia="宋体" w:cs="AdobeSongStd-Light"/>
          <w:kern w:val="0"/>
          <w:szCs w:val="21"/>
        </w:rPr>
        <w:t>论述该有的体制、制度和伦理的理想</w:t>
      </w:r>
      <w:r>
        <w:rPr>
          <w:rFonts w:ascii="宋体" w:hAnsi="宋体" w:eastAsia="宋体" w:cs="AdobeSongStd-Light"/>
          <w:kern w:val="0"/>
          <w:szCs w:val="21"/>
        </w:rPr>
        <w:t>，</w:t>
      </w:r>
      <w:r>
        <w:rPr>
          <w:rFonts w:hint="eastAsia" w:ascii="宋体" w:hAnsi="宋体" w:eastAsia="宋体" w:cs="AdobeSongStd-Light"/>
          <w:kern w:val="0"/>
          <w:szCs w:val="21"/>
        </w:rPr>
        <w:t>不过</w:t>
      </w:r>
      <w:r>
        <w:rPr>
          <w:rFonts w:ascii="宋体" w:hAnsi="宋体" w:eastAsia="宋体" w:cs="AdobeSongStd-Light"/>
          <w:kern w:val="0"/>
          <w:szCs w:val="21"/>
        </w:rPr>
        <w:t>，</w:t>
      </w:r>
      <w:r>
        <w:rPr>
          <w:rFonts w:hint="eastAsia" w:ascii="宋体" w:hAnsi="宋体" w:eastAsia="宋体" w:cs="AdobeSongStd-Light"/>
          <w:kern w:val="0"/>
          <w:szCs w:val="21"/>
        </w:rPr>
        <w:t>自由主义主导的规范研究是有缺陷的</w:t>
      </w:r>
      <w:r>
        <w:rPr>
          <w:rFonts w:ascii="宋体" w:hAnsi="宋体" w:eastAsia="宋体" w:cs="AdobeSongStd-Light"/>
          <w:kern w:val="0"/>
          <w:szCs w:val="21"/>
        </w:rPr>
        <w:t>，</w:t>
      </w:r>
      <w:r>
        <w:rPr>
          <w:rFonts w:hint="eastAsia" w:ascii="宋体" w:hAnsi="宋体" w:eastAsia="宋体" w:cs="AdobeSongStd-Light"/>
          <w:kern w:val="0"/>
          <w:szCs w:val="21"/>
        </w:rPr>
        <w:t>因为去掉平等原理是不能构成关于社会的规范原理的。他们指出</w:t>
      </w:r>
      <w:r>
        <w:rPr>
          <w:rFonts w:ascii="宋体" w:hAnsi="宋体" w:eastAsia="宋体" w:cs="AdobeSongStd-Light"/>
          <w:kern w:val="0"/>
          <w:szCs w:val="21"/>
        </w:rPr>
        <w:t>，</w:t>
      </w:r>
      <w:r>
        <w:rPr>
          <w:rFonts w:hint="eastAsia" w:ascii="宋体" w:hAnsi="宋体" w:eastAsia="宋体" w:cs="AdobeSongStd-Light"/>
          <w:kern w:val="0"/>
          <w:szCs w:val="21"/>
        </w:rPr>
        <w:t>罗尔斯的正义论中虽有关于制度方面的论述</w:t>
      </w:r>
      <w:r>
        <w:rPr>
          <w:rFonts w:ascii="宋体" w:hAnsi="宋体" w:eastAsia="宋体" w:cs="AdobeSongStd-Light"/>
          <w:kern w:val="0"/>
          <w:szCs w:val="21"/>
        </w:rPr>
        <w:t>，</w:t>
      </w:r>
      <w:r>
        <w:rPr>
          <w:rFonts w:hint="eastAsia" w:ascii="宋体" w:hAnsi="宋体" w:eastAsia="宋体" w:cs="AdobeSongStd-Light"/>
          <w:kern w:val="0"/>
          <w:szCs w:val="21"/>
        </w:rPr>
        <w:t>但关于资本主义体制中榨取和阶级的存在这样的问题却未提及</w:t>
      </w:r>
      <w:r>
        <w:rPr>
          <w:rFonts w:ascii="宋体" w:hAnsi="宋体" w:eastAsia="宋体" w:cs="AdobeSongStd-Light"/>
          <w:kern w:val="0"/>
          <w:szCs w:val="21"/>
        </w:rPr>
        <w:t>，</w:t>
      </w:r>
      <w:r>
        <w:rPr>
          <w:rFonts w:hint="eastAsia" w:ascii="宋体" w:hAnsi="宋体" w:eastAsia="宋体" w:cs="AdobeSongStd-Light"/>
          <w:kern w:val="0"/>
          <w:szCs w:val="21"/>
        </w:rPr>
        <w:t>因而现代马克思主义经济学不能不关心规范理论。面对社会经济的多元化倾向</w:t>
      </w:r>
      <w:r>
        <w:rPr>
          <w:rFonts w:ascii="宋体" w:hAnsi="宋体" w:eastAsia="宋体" w:cs="AdobeSongStd-Light"/>
          <w:kern w:val="0"/>
          <w:szCs w:val="21"/>
        </w:rPr>
        <w:t>，</w:t>
      </w:r>
      <w:r>
        <w:rPr>
          <w:rFonts w:hint="eastAsia" w:ascii="宋体" w:hAnsi="宋体" w:eastAsia="宋体" w:cs="AdobeSongStd-Light"/>
          <w:kern w:val="0"/>
          <w:szCs w:val="21"/>
        </w:rPr>
        <w:t>日本一些马克思主义经济学家试图以规范分析的观点促使马克思主义经济理论的体系化</w:t>
      </w:r>
      <w:r>
        <w:rPr>
          <w:rFonts w:ascii="宋体" w:hAnsi="宋体" w:eastAsia="宋体" w:cs="AdobeSongStd-Light"/>
          <w:kern w:val="0"/>
          <w:szCs w:val="21"/>
        </w:rPr>
        <w:t>，</w:t>
      </w:r>
      <w:r>
        <w:rPr>
          <w:rFonts w:hint="eastAsia" w:ascii="宋体" w:hAnsi="宋体" w:eastAsia="宋体" w:cs="AdobeSongStd-Light"/>
          <w:kern w:val="0"/>
          <w:szCs w:val="21"/>
        </w:rPr>
        <w:t>并努力以自由、平等</w:t>
      </w:r>
      <w:r>
        <w:rPr>
          <w:rFonts w:ascii="宋体" w:hAnsi="宋体" w:eastAsia="宋体" w:cs="AdobeSongStd-Light"/>
          <w:kern w:val="0"/>
          <w:szCs w:val="21"/>
        </w:rPr>
        <w:t>（</w:t>
      </w:r>
      <w:r>
        <w:rPr>
          <w:rFonts w:hint="eastAsia" w:ascii="宋体" w:hAnsi="宋体" w:eastAsia="宋体" w:cs="AdobeSongStd-Light"/>
          <w:kern w:val="0"/>
          <w:szCs w:val="21"/>
        </w:rPr>
        <w:t>含所得和资产的平等</w:t>
      </w:r>
      <w:r>
        <w:rPr>
          <w:rFonts w:ascii="宋体" w:hAnsi="宋体" w:eastAsia="宋体" w:cs="AdobeSongStd-Light"/>
          <w:kern w:val="0"/>
          <w:szCs w:val="21"/>
        </w:rPr>
        <w:t>）</w:t>
      </w:r>
      <w:r>
        <w:rPr>
          <w:rFonts w:hint="eastAsia" w:ascii="宋体" w:hAnsi="宋体" w:eastAsia="宋体" w:cs="AdobeSongStd-Light"/>
          <w:kern w:val="0"/>
          <w:szCs w:val="21"/>
        </w:rPr>
        <w:t>、共同</w:t>
      </w:r>
      <w:r>
        <w:rPr>
          <w:rFonts w:ascii="宋体" w:hAnsi="宋体" w:eastAsia="宋体" w:cs="AdobeSongStd-Light"/>
          <w:kern w:val="0"/>
          <w:szCs w:val="21"/>
        </w:rPr>
        <w:t>（</w:t>
      </w:r>
      <w:r>
        <w:rPr>
          <w:rFonts w:hint="eastAsia" w:ascii="宋体" w:hAnsi="宋体" w:eastAsia="宋体" w:cs="AdobeSongStd-Light"/>
          <w:kern w:val="0"/>
          <w:szCs w:val="21"/>
        </w:rPr>
        <w:t>含合作</w:t>
      </w:r>
      <w:r>
        <w:rPr>
          <w:rFonts w:ascii="宋体" w:hAnsi="宋体" w:eastAsia="宋体" w:cs="AdobeSongStd-Light"/>
          <w:kern w:val="0"/>
          <w:szCs w:val="21"/>
        </w:rPr>
        <w:t>）</w:t>
      </w:r>
      <w:r>
        <w:rPr>
          <w:rFonts w:hint="eastAsia" w:ascii="宋体" w:hAnsi="宋体" w:eastAsia="宋体" w:cs="AdobeSongStd-Light"/>
          <w:kern w:val="0"/>
          <w:szCs w:val="21"/>
        </w:rPr>
        <w:t>这些根本价值的视点为基础评价现代世界社会、福利国家资本主义和现存社会主义以及环境问题</w:t>
      </w:r>
      <w:r>
        <w:rPr>
          <w:rFonts w:ascii="宋体" w:hAnsi="宋体" w:eastAsia="宋体" w:cs="AdobeSongStd-Light"/>
          <w:kern w:val="0"/>
          <w:szCs w:val="21"/>
        </w:rPr>
        <w:t>，</w:t>
      </w:r>
      <w:r>
        <w:rPr>
          <w:rFonts w:hint="eastAsia" w:ascii="宋体" w:hAnsi="宋体" w:eastAsia="宋体" w:cs="AdobeSongStd-Light"/>
          <w:kern w:val="0"/>
          <w:szCs w:val="21"/>
        </w:rPr>
        <w:t>进而形成“后马克思经济学新综合”。在日本</w:t>
      </w:r>
      <w:r>
        <w:rPr>
          <w:rFonts w:ascii="宋体" w:hAnsi="宋体" w:eastAsia="宋体" w:cs="AdobeSongStd-Light"/>
          <w:kern w:val="0"/>
          <w:szCs w:val="21"/>
        </w:rPr>
        <w:t>，</w:t>
      </w:r>
      <w:r>
        <w:rPr>
          <w:rFonts w:hint="eastAsia" w:ascii="宋体" w:hAnsi="宋体" w:eastAsia="宋体" w:cs="AdobeSongStd-Light"/>
          <w:kern w:val="0"/>
          <w:szCs w:val="21"/>
        </w:rPr>
        <w:t>诸如山本二三丸的《人本主义经济学》和对人类经济社会终极关怀之类的规范分析较出色</w:t>
      </w:r>
      <w:r>
        <w:rPr>
          <w:rFonts w:ascii="宋体" w:hAnsi="宋体" w:eastAsia="宋体" w:cs="AdobeSongStd-Light"/>
          <w:kern w:val="0"/>
          <w:szCs w:val="21"/>
        </w:rPr>
        <w:t>，</w:t>
      </w:r>
      <w:r>
        <w:rPr>
          <w:rFonts w:hint="eastAsia" w:ascii="宋体" w:hAnsi="宋体" w:eastAsia="宋体" w:cs="AdobeSongStd-Light"/>
          <w:kern w:val="0"/>
          <w:szCs w:val="21"/>
        </w:rPr>
        <w:t>然而从总体上观察</w:t>
      </w:r>
      <w:r>
        <w:rPr>
          <w:rFonts w:ascii="宋体" w:hAnsi="宋体" w:eastAsia="宋体" w:cs="AdobeSongStd-Light"/>
          <w:kern w:val="0"/>
          <w:szCs w:val="21"/>
        </w:rPr>
        <w:t>，</w:t>
      </w:r>
      <w:r>
        <w:rPr>
          <w:rFonts w:hint="eastAsia" w:ascii="宋体" w:hAnsi="宋体" w:eastAsia="宋体" w:cs="AdobeSongStd-Light"/>
          <w:kern w:val="0"/>
          <w:szCs w:val="21"/>
        </w:rPr>
        <w:t>实证性的研究更多。例如</w:t>
      </w:r>
      <w:r>
        <w:rPr>
          <w:rFonts w:ascii="宋体" w:hAnsi="宋体" w:eastAsia="宋体" w:cs="AdobeSongStd-Light"/>
          <w:kern w:val="0"/>
          <w:szCs w:val="21"/>
        </w:rPr>
        <w:t>，</w:t>
      </w:r>
      <w:r>
        <w:rPr>
          <w:rFonts w:hint="eastAsia" w:ascii="宋体" w:hAnsi="宋体" w:eastAsia="宋体" w:cs="AdobeSongStd-Light"/>
          <w:kern w:val="0"/>
          <w:szCs w:val="21"/>
        </w:rPr>
        <w:t>探讨能源的商品化和电力资源市场化对社会的影响</w:t>
      </w:r>
      <w:r>
        <w:rPr>
          <w:rFonts w:ascii="宋体" w:hAnsi="宋体" w:eastAsia="宋体" w:cs="AdobeSongStd-Light"/>
          <w:kern w:val="0"/>
          <w:szCs w:val="21"/>
        </w:rPr>
        <w:t>，</w:t>
      </w:r>
      <w:r>
        <w:rPr>
          <w:rFonts w:hint="eastAsia" w:ascii="宋体" w:hAnsi="宋体" w:eastAsia="宋体" w:cs="AdobeSongStd-Light"/>
          <w:kern w:val="0"/>
          <w:szCs w:val="21"/>
        </w:rPr>
        <w:t>以日本群马、枥木县制造业空洞化为例的区域经济发展波动</w:t>
      </w:r>
      <w:r>
        <w:rPr>
          <w:rFonts w:ascii="宋体" w:hAnsi="宋体" w:eastAsia="宋体" w:cs="AdobeSongStd-Light"/>
          <w:kern w:val="0"/>
          <w:szCs w:val="21"/>
        </w:rPr>
        <w:t>，</w:t>
      </w:r>
      <w:r>
        <w:rPr>
          <w:rFonts w:hint="eastAsia" w:ascii="宋体" w:hAnsi="宋体" w:eastAsia="宋体" w:cs="AdobeSongStd-Light"/>
          <w:kern w:val="0"/>
          <w:szCs w:val="21"/>
        </w:rPr>
        <w:t>全球化和国际金融市场的不稳定问题</w:t>
      </w:r>
      <w:r>
        <w:rPr>
          <w:rFonts w:ascii="宋体" w:hAnsi="宋体" w:eastAsia="宋体" w:cs="AdobeSongStd-Light"/>
          <w:kern w:val="0"/>
          <w:szCs w:val="21"/>
        </w:rPr>
        <w:t>，</w:t>
      </w:r>
      <w:r>
        <w:rPr>
          <w:rFonts w:hint="eastAsia" w:ascii="宋体" w:hAnsi="宋体" w:eastAsia="宋体" w:cs="AdobeSongStd-Light"/>
          <w:kern w:val="0"/>
          <w:szCs w:val="21"/>
        </w:rPr>
        <w:t>美国的世界战略与全球化</w:t>
      </w:r>
      <w:r>
        <w:rPr>
          <w:rFonts w:ascii="宋体" w:hAnsi="宋体" w:eastAsia="宋体" w:cs="AdobeSongStd-Light"/>
          <w:kern w:val="0"/>
          <w:szCs w:val="21"/>
        </w:rPr>
        <w:t>，</w:t>
      </w:r>
      <w:r>
        <w:rPr>
          <w:rFonts w:hint="eastAsia" w:ascii="宋体" w:hAnsi="宋体" w:eastAsia="宋体" w:cs="AdobeSongStd-Light"/>
          <w:kern w:val="0"/>
          <w:szCs w:val="21"/>
        </w:rPr>
        <w:t>以中国为例的市场经济和劳动力配置的性别歧视问题等等。日本马克思主义经济学家除了高度重视对本国经济的规范和实证分析以外</w:t>
      </w:r>
      <w:r>
        <w:rPr>
          <w:rFonts w:ascii="宋体" w:hAnsi="宋体" w:eastAsia="宋体" w:cs="AdobeSongStd-Light"/>
          <w:kern w:val="0"/>
          <w:szCs w:val="21"/>
        </w:rPr>
        <w:t>，</w:t>
      </w:r>
      <w:r>
        <w:rPr>
          <w:rFonts w:hint="eastAsia" w:ascii="宋体" w:hAnsi="宋体" w:eastAsia="宋体" w:cs="AdobeSongStd-Light"/>
          <w:kern w:val="0"/>
          <w:szCs w:val="21"/>
        </w:rPr>
        <w:t>还特别关注中国和俄罗斯不同性质的经济体制改革。伊藤诚的《市场经济与社会主义》</w:t>
      </w:r>
      <w:r>
        <w:rPr>
          <w:rFonts w:ascii="宋体" w:hAnsi="宋体" w:eastAsia="宋体" w:cs="AdobeSongStd-Light"/>
          <w:kern w:val="0"/>
          <w:szCs w:val="21"/>
        </w:rPr>
        <w:t>，</w:t>
      </w:r>
      <w:r>
        <w:rPr>
          <w:rFonts w:hint="eastAsia" w:ascii="宋体" w:hAnsi="宋体" w:eastAsia="宋体" w:cs="AdobeSongStd-Light"/>
          <w:kern w:val="0"/>
          <w:szCs w:val="21"/>
        </w:rPr>
        <w:t>大西广的《资本主义前后的社会主义》等</w:t>
      </w:r>
      <w:r>
        <w:rPr>
          <w:rFonts w:ascii="宋体" w:hAnsi="宋体" w:eastAsia="宋体" w:cs="AdobeSongStd-Light"/>
          <w:kern w:val="0"/>
          <w:szCs w:val="21"/>
        </w:rPr>
        <w:t>，</w:t>
      </w:r>
      <w:r>
        <w:rPr>
          <w:rFonts w:hint="eastAsia" w:ascii="宋体" w:hAnsi="宋体" w:eastAsia="宋体" w:cs="AdobeSongStd-Light"/>
          <w:kern w:val="0"/>
          <w:szCs w:val="21"/>
        </w:rPr>
        <w:t>便是其代表作。</w:t>
      </w:r>
    </w:p>
    <w:p w14:paraId="564AC660">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第四</w:t>
      </w:r>
      <w:r>
        <w:rPr>
          <w:rFonts w:ascii="宋体" w:hAnsi="宋体" w:eastAsia="宋体" w:cs="AdobeSongStd-Light"/>
          <w:kern w:val="0"/>
          <w:szCs w:val="21"/>
        </w:rPr>
        <w:t>，</w:t>
      </w:r>
      <w:r>
        <w:rPr>
          <w:rFonts w:hint="eastAsia" w:ascii="宋体" w:hAnsi="宋体" w:eastAsia="宋体" w:cs="AdobeSongStd-Light"/>
          <w:kern w:val="0"/>
          <w:szCs w:val="21"/>
        </w:rPr>
        <w:t>原论与应用相结合。在马克思经济学原理与方法的导引下</w:t>
      </w:r>
      <w:r>
        <w:rPr>
          <w:rFonts w:ascii="宋体" w:hAnsi="宋体" w:eastAsia="宋体" w:cs="AdobeSongStd-Light"/>
          <w:kern w:val="0"/>
          <w:szCs w:val="21"/>
        </w:rPr>
        <w:t>，</w:t>
      </w:r>
      <w:r>
        <w:rPr>
          <w:rFonts w:hint="eastAsia" w:ascii="宋体" w:hAnsi="宋体" w:eastAsia="宋体" w:cs="AdobeSongStd-Light"/>
          <w:kern w:val="0"/>
          <w:szCs w:val="21"/>
        </w:rPr>
        <w:t>广泛研究其他理论经济学和应用经济学的学科</w:t>
      </w:r>
      <w:r>
        <w:rPr>
          <w:rFonts w:ascii="宋体" w:hAnsi="宋体" w:eastAsia="宋体" w:cs="AdobeSongStd-Light"/>
          <w:kern w:val="0"/>
          <w:szCs w:val="21"/>
        </w:rPr>
        <w:t>，</w:t>
      </w:r>
      <w:r>
        <w:rPr>
          <w:rFonts w:hint="eastAsia" w:ascii="宋体" w:hAnsi="宋体" w:eastAsia="宋体" w:cs="AdobeSongStd-Light"/>
          <w:kern w:val="0"/>
          <w:szCs w:val="21"/>
        </w:rPr>
        <w:t>深入探究日本和世界经济的多样化具体实践。举例来说</w:t>
      </w:r>
      <w:r>
        <w:rPr>
          <w:rFonts w:ascii="宋体" w:hAnsi="宋体" w:eastAsia="宋体" w:cs="AdobeSongStd-Light"/>
          <w:kern w:val="0"/>
          <w:szCs w:val="21"/>
        </w:rPr>
        <w:t>，</w:t>
      </w:r>
      <w:r>
        <w:rPr>
          <w:rFonts w:hint="eastAsia" w:ascii="宋体" w:hAnsi="宋体" w:eastAsia="宋体" w:cs="AdobeSongStd-Light"/>
          <w:kern w:val="0"/>
          <w:szCs w:val="21"/>
        </w:rPr>
        <w:t>把马克思经济学渗透到产业经济学</w:t>
      </w:r>
      <w:r>
        <w:rPr>
          <w:rFonts w:ascii="宋体" w:hAnsi="宋体" w:eastAsia="宋体" w:cs="AdobeSongStd-Light"/>
          <w:kern w:val="0"/>
          <w:szCs w:val="21"/>
        </w:rPr>
        <w:t>，</w:t>
      </w:r>
      <w:r>
        <w:rPr>
          <w:rFonts w:hint="eastAsia" w:ascii="宋体" w:hAnsi="宋体" w:eastAsia="宋体" w:cs="AdobeSongStd-Light"/>
          <w:kern w:val="0"/>
          <w:szCs w:val="21"/>
        </w:rPr>
        <w:t>探讨日本的产业空洞化和产业结构不合理等问题</w:t>
      </w:r>
      <w:r>
        <w:rPr>
          <w:rFonts w:ascii="宋体" w:hAnsi="宋体" w:eastAsia="宋体" w:cs="AdobeSongStd-Light"/>
          <w:kern w:val="0"/>
          <w:szCs w:val="21"/>
        </w:rPr>
        <w:t>；</w:t>
      </w:r>
      <w:r>
        <w:rPr>
          <w:rFonts w:hint="eastAsia" w:ascii="宋体" w:hAnsi="宋体" w:eastAsia="宋体" w:cs="AdobeSongStd-Light"/>
          <w:kern w:val="0"/>
          <w:szCs w:val="21"/>
        </w:rPr>
        <w:t>渗透到劳动经济学</w:t>
      </w:r>
      <w:r>
        <w:rPr>
          <w:rFonts w:ascii="宋体" w:hAnsi="宋体" w:eastAsia="宋体" w:cs="AdobeSongStd-Light"/>
          <w:kern w:val="0"/>
          <w:szCs w:val="21"/>
        </w:rPr>
        <w:t>，</w:t>
      </w:r>
      <w:r>
        <w:rPr>
          <w:rFonts w:hint="eastAsia" w:ascii="宋体" w:hAnsi="宋体" w:eastAsia="宋体" w:cs="AdobeSongStd-Light"/>
          <w:kern w:val="0"/>
          <w:szCs w:val="21"/>
        </w:rPr>
        <w:t>探讨南北经济不平衡发展条件下的劳资谈判和雇佣以及日本的劳动力自由流动等问题</w:t>
      </w:r>
      <w:r>
        <w:rPr>
          <w:rFonts w:ascii="宋体" w:hAnsi="宋体" w:eastAsia="宋体" w:cs="AdobeSongStd-Light"/>
          <w:kern w:val="0"/>
          <w:szCs w:val="21"/>
        </w:rPr>
        <w:t>；</w:t>
      </w:r>
      <w:r>
        <w:rPr>
          <w:rFonts w:hint="eastAsia" w:ascii="宋体" w:hAnsi="宋体" w:eastAsia="宋体" w:cs="AdobeSongStd-Light"/>
          <w:kern w:val="0"/>
          <w:szCs w:val="21"/>
        </w:rPr>
        <w:t>渗透到金融学</w:t>
      </w:r>
      <w:r>
        <w:rPr>
          <w:rFonts w:ascii="宋体" w:hAnsi="宋体" w:eastAsia="宋体" w:cs="AdobeSongStd-Light"/>
          <w:kern w:val="0"/>
          <w:szCs w:val="21"/>
        </w:rPr>
        <w:t>，</w:t>
      </w:r>
      <w:r>
        <w:rPr>
          <w:rFonts w:hint="eastAsia" w:ascii="宋体" w:hAnsi="宋体" w:eastAsia="宋体" w:cs="AdobeSongStd-Light"/>
          <w:kern w:val="0"/>
          <w:szCs w:val="21"/>
        </w:rPr>
        <w:t>探讨日本、亚洲和世界金融危机和控制等问题</w:t>
      </w:r>
      <w:r>
        <w:rPr>
          <w:rFonts w:ascii="宋体" w:hAnsi="宋体" w:eastAsia="宋体" w:cs="AdobeSongStd-Light"/>
          <w:kern w:val="0"/>
          <w:szCs w:val="21"/>
        </w:rPr>
        <w:t>；</w:t>
      </w:r>
      <w:r>
        <w:rPr>
          <w:rFonts w:hint="eastAsia" w:ascii="宋体" w:hAnsi="宋体" w:eastAsia="宋体" w:cs="AdobeSongStd-Light"/>
          <w:kern w:val="0"/>
          <w:szCs w:val="21"/>
        </w:rPr>
        <w:t>渗透到财政学</w:t>
      </w:r>
      <w:r>
        <w:rPr>
          <w:rFonts w:ascii="宋体" w:hAnsi="宋体" w:eastAsia="宋体" w:cs="AdobeSongStd-Light"/>
          <w:kern w:val="0"/>
          <w:szCs w:val="21"/>
        </w:rPr>
        <w:t>，</w:t>
      </w:r>
      <w:r>
        <w:rPr>
          <w:rFonts w:hint="eastAsia" w:ascii="宋体" w:hAnsi="宋体" w:eastAsia="宋体" w:cs="AdobeSongStd-Light"/>
          <w:kern w:val="0"/>
          <w:szCs w:val="21"/>
        </w:rPr>
        <w:t>探讨日本财政政策及如何激活处于长期低迷的国民经济等问题</w:t>
      </w:r>
      <w:r>
        <w:rPr>
          <w:rFonts w:ascii="宋体" w:hAnsi="宋体" w:eastAsia="宋体" w:cs="AdobeSongStd-Light"/>
          <w:kern w:val="0"/>
          <w:szCs w:val="21"/>
        </w:rPr>
        <w:t>；</w:t>
      </w:r>
      <w:r>
        <w:rPr>
          <w:rFonts w:hint="eastAsia" w:ascii="宋体" w:hAnsi="宋体" w:eastAsia="宋体" w:cs="AdobeSongStd-Light"/>
          <w:kern w:val="0"/>
          <w:szCs w:val="21"/>
        </w:rPr>
        <w:t>渗透到企业组织学</w:t>
      </w:r>
      <w:r>
        <w:rPr>
          <w:rFonts w:ascii="宋体" w:hAnsi="宋体" w:eastAsia="宋体" w:cs="AdobeSongStd-Light"/>
          <w:kern w:val="0"/>
          <w:szCs w:val="21"/>
        </w:rPr>
        <w:t>，</w:t>
      </w:r>
      <w:r>
        <w:rPr>
          <w:rFonts w:hint="eastAsia" w:ascii="宋体" w:hAnsi="宋体" w:eastAsia="宋体" w:cs="AdobeSongStd-Light"/>
          <w:kern w:val="0"/>
          <w:szCs w:val="21"/>
        </w:rPr>
        <w:t>探讨日欧美国家类型不一的企业形态和不断涌现的新业态等问题</w:t>
      </w:r>
      <w:r>
        <w:rPr>
          <w:rFonts w:ascii="宋体" w:hAnsi="宋体" w:eastAsia="宋体" w:cs="AdobeSongStd-Light"/>
          <w:kern w:val="0"/>
          <w:szCs w:val="21"/>
        </w:rPr>
        <w:t>；</w:t>
      </w:r>
      <w:r>
        <w:rPr>
          <w:rFonts w:hint="eastAsia" w:ascii="宋体" w:hAnsi="宋体" w:eastAsia="宋体" w:cs="AdobeSongStd-Light"/>
          <w:kern w:val="0"/>
          <w:szCs w:val="21"/>
        </w:rPr>
        <w:t>渗透到可持续发展经济学</w:t>
      </w:r>
      <w:r>
        <w:rPr>
          <w:rFonts w:ascii="宋体" w:hAnsi="宋体" w:eastAsia="宋体" w:cs="AdobeSongStd-Light"/>
          <w:kern w:val="0"/>
          <w:szCs w:val="21"/>
        </w:rPr>
        <w:t>，</w:t>
      </w:r>
      <w:r>
        <w:rPr>
          <w:rFonts w:hint="eastAsia" w:ascii="宋体" w:hAnsi="宋体" w:eastAsia="宋体" w:cs="AdobeSongStd-Light"/>
          <w:kern w:val="0"/>
          <w:szCs w:val="21"/>
        </w:rPr>
        <w:t>探讨环境、资源和人口之间的良性循环</w:t>
      </w:r>
      <w:r>
        <w:rPr>
          <w:rFonts w:ascii="宋体" w:hAnsi="宋体" w:eastAsia="宋体" w:cs="AdobeSongStd-Light"/>
          <w:kern w:val="0"/>
          <w:szCs w:val="21"/>
        </w:rPr>
        <w:t>，</w:t>
      </w:r>
      <w:r>
        <w:rPr>
          <w:rFonts w:hint="eastAsia" w:ascii="宋体" w:hAnsi="宋体" w:eastAsia="宋体" w:cs="AdobeSongStd-Light"/>
          <w:kern w:val="0"/>
          <w:szCs w:val="21"/>
        </w:rPr>
        <w:t>以及制度和政策怎样去促进等问题</w:t>
      </w:r>
      <w:r>
        <w:rPr>
          <w:rFonts w:ascii="宋体" w:hAnsi="宋体" w:eastAsia="宋体" w:cs="AdobeSongStd-Light"/>
          <w:kern w:val="0"/>
          <w:szCs w:val="21"/>
        </w:rPr>
        <w:t>；</w:t>
      </w:r>
      <w:r>
        <w:rPr>
          <w:rFonts w:hint="eastAsia" w:ascii="宋体" w:hAnsi="宋体" w:eastAsia="宋体" w:cs="AdobeSongStd-Light"/>
          <w:kern w:val="0"/>
          <w:szCs w:val="21"/>
        </w:rPr>
        <w:t>渗透到世界经济学</w:t>
      </w:r>
      <w:r>
        <w:rPr>
          <w:rFonts w:ascii="宋体" w:hAnsi="宋体" w:eastAsia="宋体" w:cs="AdobeSongStd-Light"/>
          <w:kern w:val="0"/>
          <w:szCs w:val="21"/>
        </w:rPr>
        <w:t>，</w:t>
      </w:r>
      <w:r>
        <w:rPr>
          <w:rFonts w:hint="eastAsia" w:ascii="宋体" w:hAnsi="宋体" w:eastAsia="宋体" w:cs="AdobeSongStd-Light"/>
          <w:kern w:val="0"/>
          <w:szCs w:val="21"/>
        </w:rPr>
        <w:t>探讨全球化中的非均衡发展、贫富分化、新旧国际经济秩序及资本主义的“原理像”与“变容</w:t>
      </w:r>
      <w:r>
        <w:rPr>
          <w:rFonts w:ascii="宋体" w:hAnsi="宋体" w:eastAsia="宋体" w:cs="AdobeSongStd-Light"/>
          <w:kern w:val="0"/>
          <w:szCs w:val="21"/>
        </w:rPr>
        <w:t>（</w:t>
      </w:r>
      <w:r>
        <w:rPr>
          <w:rFonts w:hint="eastAsia" w:ascii="宋体" w:hAnsi="宋体" w:eastAsia="宋体" w:cs="AdobeSongStd-Light"/>
          <w:kern w:val="0"/>
          <w:szCs w:val="21"/>
        </w:rPr>
        <w:t>变样</w:t>
      </w:r>
      <w:r>
        <w:rPr>
          <w:rFonts w:ascii="宋体" w:hAnsi="宋体" w:eastAsia="宋体" w:cs="AdobeSongStd-Light"/>
          <w:kern w:val="0"/>
          <w:szCs w:val="21"/>
        </w:rPr>
        <w:t>）</w:t>
      </w:r>
      <w:r>
        <w:rPr>
          <w:rFonts w:hint="eastAsia" w:ascii="宋体" w:hAnsi="宋体" w:eastAsia="宋体" w:cs="AdobeSongStd-Light"/>
          <w:kern w:val="0"/>
          <w:szCs w:val="21"/>
        </w:rPr>
        <w:t>”的差异等问题。这类应用性的经济学和经济管理学的论著日渐增多。在此基础上</w:t>
      </w:r>
      <w:r>
        <w:rPr>
          <w:rFonts w:ascii="宋体" w:hAnsi="宋体" w:eastAsia="宋体" w:cs="AdobeSongStd-Light"/>
          <w:kern w:val="0"/>
          <w:szCs w:val="21"/>
        </w:rPr>
        <w:t>，</w:t>
      </w:r>
      <w:r>
        <w:rPr>
          <w:rFonts w:hint="eastAsia" w:ascii="宋体" w:hAnsi="宋体" w:eastAsia="宋体" w:cs="AdobeSongStd-Light"/>
          <w:kern w:val="0"/>
          <w:szCs w:val="21"/>
        </w:rPr>
        <w:t>日本马克思主义经济学家通过参与政府和财团的课题研究和决策咨询</w:t>
      </w:r>
      <w:r>
        <w:rPr>
          <w:rFonts w:ascii="宋体" w:hAnsi="宋体" w:eastAsia="宋体" w:cs="AdobeSongStd-Light"/>
          <w:kern w:val="0"/>
          <w:szCs w:val="21"/>
        </w:rPr>
        <w:t>，</w:t>
      </w:r>
      <w:r>
        <w:rPr>
          <w:rFonts w:hint="eastAsia" w:ascii="宋体" w:hAnsi="宋体" w:eastAsia="宋体" w:cs="AdobeSongStd-Light"/>
          <w:kern w:val="0"/>
          <w:szCs w:val="21"/>
        </w:rPr>
        <w:t>教育与管理人才的培养等多种途径</w:t>
      </w:r>
      <w:r>
        <w:rPr>
          <w:rFonts w:ascii="宋体" w:hAnsi="宋体" w:eastAsia="宋体" w:cs="AdobeSongStd-Light"/>
          <w:kern w:val="0"/>
          <w:szCs w:val="21"/>
        </w:rPr>
        <w:t>，</w:t>
      </w:r>
      <w:r>
        <w:rPr>
          <w:rFonts w:hint="eastAsia" w:ascii="宋体" w:hAnsi="宋体" w:eastAsia="宋体" w:cs="AdobeSongStd-Light"/>
          <w:kern w:val="0"/>
          <w:szCs w:val="21"/>
        </w:rPr>
        <w:t>来推行其经济理论和政策主张。这不仅从根本和长期对日本和世界经济的发展具有积极的作用</w:t>
      </w:r>
      <w:r>
        <w:rPr>
          <w:rFonts w:ascii="宋体" w:hAnsi="宋体" w:eastAsia="宋体" w:cs="AdobeSongStd-Light"/>
          <w:kern w:val="0"/>
          <w:szCs w:val="21"/>
        </w:rPr>
        <w:t>，</w:t>
      </w:r>
      <w:r>
        <w:rPr>
          <w:rFonts w:hint="eastAsia" w:ascii="宋体" w:hAnsi="宋体" w:eastAsia="宋体" w:cs="AdobeSongStd-Light"/>
          <w:kern w:val="0"/>
          <w:szCs w:val="21"/>
        </w:rPr>
        <w:t>而且推动了本国经济的近期发展。事实上</w:t>
      </w:r>
      <w:r>
        <w:rPr>
          <w:rFonts w:ascii="宋体" w:hAnsi="宋体" w:eastAsia="宋体" w:cs="AdobeSongStd-Light"/>
          <w:kern w:val="0"/>
          <w:szCs w:val="21"/>
        </w:rPr>
        <w:t>，</w:t>
      </w:r>
      <w:r>
        <w:rPr>
          <w:rFonts w:hint="eastAsia" w:ascii="宋体" w:hAnsi="宋体" w:eastAsia="宋体" w:cs="AdobeSongStd-Light"/>
          <w:kern w:val="0"/>
          <w:szCs w:val="21"/>
        </w:rPr>
        <w:t>战后日本经济的快速增长</w:t>
      </w:r>
      <w:r>
        <w:rPr>
          <w:rFonts w:ascii="宋体" w:hAnsi="宋体" w:eastAsia="宋体" w:cs="AdobeSongStd-Light"/>
          <w:kern w:val="0"/>
          <w:szCs w:val="21"/>
        </w:rPr>
        <w:t>，</w:t>
      </w:r>
      <w:r>
        <w:rPr>
          <w:rFonts w:hint="eastAsia" w:ascii="宋体" w:hAnsi="宋体" w:eastAsia="宋体" w:cs="AdobeSongStd-Light"/>
          <w:kern w:val="0"/>
          <w:szCs w:val="21"/>
        </w:rPr>
        <w:t>有效的产业政策</w:t>
      </w:r>
      <w:r>
        <w:rPr>
          <w:rFonts w:ascii="宋体" w:hAnsi="宋体" w:eastAsia="宋体" w:cs="AdobeSongStd-Light"/>
          <w:kern w:val="0"/>
          <w:szCs w:val="21"/>
        </w:rPr>
        <w:t>，</w:t>
      </w:r>
      <w:r>
        <w:rPr>
          <w:rFonts w:hint="eastAsia" w:ascii="宋体" w:hAnsi="宋体" w:eastAsia="宋体" w:cs="AdobeSongStd-Light"/>
          <w:kern w:val="0"/>
          <w:szCs w:val="21"/>
        </w:rPr>
        <w:t>贫富差别小于美国</w:t>
      </w:r>
      <w:r>
        <w:rPr>
          <w:rFonts w:ascii="宋体" w:hAnsi="宋体" w:eastAsia="宋体" w:cs="AdobeSongStd-Light"/>
          <w:kern w:val="0"/>
          <w:szCs w:val="21"/>
        </w:rPr>
        <w:t>，</w:t>
      </w:r>
      <w:r>
        <w:rPr>
          <w:rFonts w:hint="eastAsia" w:ascii="宋体" w:hAnsi="宋体" w:eastAsia="宋体" w:cs="AdobeSongStd-Light"/>
          <w:kern w:val="0"/>
          <w:szCs w:val="21"/>
        </w:rPr>
        <w:t>独特的劳资关系和企业管理模式</w:t>
      </w:r>
      <w:r>
        <w:rPr>
          <w:rFonts w:ascii="宋体" w:hAnsi="宋体" w:eastAsia="宋体" w:cs="AdobeSongStd-Light"/>
          <w:kern w:val="0"/>
          <w:szCs w:val="21"/>
        </w:rPr>
        <w:t>，</w:t>
      </w:r>
      <w:r>
        <w:rPr>
          <w:rFonts w:hint="eastAsia" w:ascii="宋体" w:hAnsi="宋体" w:eastAsia="宋体" w:cs="AdobeSongStd-Light"/>
          <w:kern w:val="0"/>
          <w:szCs w:val="21"/>
        </w:rPr>
        <w:t>均与马克思主义经济理论和政策的研究、宣传或必要的论战密切相关</w:t>
      </w:r>
      <w:r>
        <w:rPr>
          <w:rFonts w:ascii="宋体" w:hAnsi="宋体" w:eastAsia="宋体" w:cs="AdobeSongStd-Light"/>
          <w:kern w:val="0"/>
          <w:szCs w:val="21"/>
        </w:rPr>
        <w:t>，</w:t>
      </w:r>
      <w:r>
        <w:rPr>
          <w:rFonts w:hint="eastAsia" w:ascii="宋体" w:hAnsi="宋体" w:eastAsia="宋体" w:cs="AdobeSongStd-Light"/>
          <w:kern w:val="0"/>
          <w:szCs w:val="21"/>
        </w:rPr>
        <w:t>日本马克思主义经济学家一直为对本国经济的健康发展作出了重要贡献而感到自豪。他们把马克思主义经济学的批判性与建设性灵活地统一起来</w:t>
      </w:r>
      <w:r>
        <w:rPr>
          <w:rFonts w:ascii="宋体" w:hAnsi="宋体" w:eastAsia="宋体" w:cs="AdobeSongStd-Light"/>
          <w:kern w:val="0"/>
          <w:szCs w:val="21"/>
        </w:rPr>
        <w:t>，</w:t>
      </w:r>
      <w:r>
        <w:rPr>
          <w:rFonts w:hint="eastAsia" w:ascii="宋体" w:hAnsi="宋体" w:eastAsia="宋体" w:cs="AdobeSongStd-Light"/>
          <w:kern w:val="0"/>
          <w:szCs w:val="21"/>
        </w:rPr>
        <w:t>颇值得我们借鉴。</w:t>
      </w:r>
    </w:p>
    <w:p w14:paraId="4838E2B6">
      <w:pPr>
        <w:autoSpaceDE w:val="0"/>
        <w:autoSpaceDN w:val="0"/>
        <w:spacing w:before="156" w:beforeLines="50" w:after="156" w:afterLines="50" w:line="300" w:lineRule="auto"/>
        <w:ind w:firstLine="500" w:firstLineChars="200"/>
        <w:jc w:val="center"/>
        <w:rPr>
          <w:rFonts w:ascii="Calibri" w:hAnsi="Calibri" w:eastAsia="宋体" w:cs="Times New Roman"/>
          <w:b/>
          <w:sz w:val="24"/>
          <w:szCs w:val="18"/>
        </w:rPr>
      </w:pPr>
      <w:r>
        <w:rPr>
          <w:rFonts w:hint="eastAsia" w:ascii="Calibri" w:hAnsi="Calibri" w:eastAsia="宋体" w:cs="Times New Roman"/>
          <w:b/>
          <w:sz w:val="24"/>
          <w:szCs w:val="18"/>
        </w:rPr>
        <w:t>二、关于若干经济理论的深入探讨</w:t>
      </w:r>
    </w:p>
    <w:p w14:paraId="2BDA7742">
      <w:pPr>
        <w:autoSpaceDE w:val="0"/>
        <w:autoSpaceDN w:val="0"/>
        <w:spacing w:line="300" w:lineRule="auto"/>
        <w:ind w:firstLine="440" w:firstLineChars="200"/>
        <w:jc w:val="left"/>
        <w:rPr>
          <w:rFonts w:ascii="宋体" w:hAnsi="宋体" w:eastAsia="宋体" w:cs="AdobeSongStd-Light"/>
          <w:b/>
          <w:kern w:val="0"/>
          <w:szCs w:val="21"/>
        </w:rPr>
      </w:pPr>
      <w:r>
        <w:rPr>
          <w:rFonts w:ascii="宋体" w:hAnsi="宋体" w:eastAsia="宋体" w:cs="AdobeSongStd-Light"/>
          <w:b/>
          <w:kern w:val="0"/>
          <w:szCs w:val="21"/>
        </w:rPr>
        <w:t>（</w:t>
      </w:r>
      <w:r>
        <w:rPr>
          <w:rFonts w:hint="eastAsia" w:ascii="宋体" w:hAnsi="宋体" w:eastAsia="宋体" w:cs="AdobeSongStd-Light"/>
          <w:b/>
          <w:kern w:val="0"/>
          <w:szCs w:val="21"/>
        </w:rPr>
        <w:t>一</w:t>
      </w:r>
      <w:r>
        <w:rPr>
          <w:rFonts w:ascii="宋体" w:hAnsi="宋体" w:eastAsia="宋体" w:cs="AdobeSongStd-Light"/>
          <w:b/>
          <w:kern w:val="0"/>
          <w:szCs w:val="21"/>
        </w:rPr>
        <w:t>）</w:t>
      </w:r>
      <w:r>
        <w:rPr>
          <w:rFonts w:hint="eastAsia" w:ascii="宋体" w:hAnsi="宋体" w:eastAsia="宋体" w:cs="AdobeSongStd-Light"/>
          <w:b/>
          <w:kern w:val="0"/>
          <w:szCs w:val="21"/>
        </w:rPr>
        <w:t>社会经济学和规范理论的探讨</w:t>
      </w:r>
    </w:p>
    <w:p w14:paraId="22C0BEF6">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立命馆大学的松井哓教授提出的理论要点如下</w:t>
      </w:r>
      <w:r>
        <w:rPr>
          <w:rFonts w:ascii="宋体" w:hAnsi="宋体" w:eastAsia="宋体" w:cs="AdobeSongStd-Light"/>
          <w:kern w:val="0"/>
          <w:szCs w:val="21"/>
        </w:rPr>
        <w:t>：</w:t>
      </w:r>
      <w:r>
        <w:rPr>
          <w:rFonts w:hint="eastAsia" w:ascii="宋体" w:hAnsi="宋体" w:eastAsia="宋体" w:cs="AdobeSongStd-Light"/>
          <w:kern w:val="0"/>
          <w:szCs w:val="21"/>
        </w:rPr>
        <w:t>社会经济学把马克思经济学作为中心</w:t>
      </w:r>
      <w:r>
        <w:rPr>
          <w:rFonts w:ascii="宋体" w:hAnsi="宋体" w:eastAsia="宋体" w:cs="AdobeSongStd-Light"/>
          <w:kern w:val="0"/>
          <w:szCs w:val="21"/>
        </w:rPr>
        <w:t>，</w:t>
      </w:r>
      <w:r>
        <w:rPr>
          <w:rFonts w:hint="eastAsia" w:ascii="宋体" w:hAnsi="宋体" w:eastAsia="宋体" w:cs="AdobeSongStd-Light"/>
          <w:kern w:val="0"/>
          <w:szCs w:val="21"/>
        </w:rPr>
        <w:t>可是</w:t>
      </w:r>
      <w:r>
        <w:rPr>
          <w:rFonts w:ascii="宋体" w:hAnsi="宋体" w:eastAsia="宋体" w:cs="AdobeSongStd-Light"/>
          <w:kern w:val="0"/>
          <w:szCs w:val="21"/>
        </w:rPr>
        <w:t>，</w:t>
      </w:r>
      <w:r>
        <w:rPr>
          <w:rFonts w:hint="eastAsia" w:ascii="宋体" w:hAnsi="宋体" w:eastAsia="宋体" w:cs="AdobeSongStd-Light"/>
          <w:kern w:val="0"/>
          <w:szCs w:val="21"/>
        </w:rPr>
        <w:t>其方法论、实证分析的对象和规范理论还没有讨论清楚。</w:t>
      </w:r>
    </w:p>
    <w:p w14:paraId="6429F56D">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1.</w:t>
      </w:r>
      <w:r>
        <w:rPr>
          <w:rFonts w:hint="eastAsia" w:ascii="宋体" w:hAnsi="宋体" w:eastAsia="宋体" w:cs="AdobeSongStd-Light"/>
          <w:kern w:val="0"/>
          <w:szCs w:val="21"/>
        </w:rPr>
        <w:t>关于方法论。近年的制度乃至有进化的经济学的兴起</w:t>
      </w:r>
      <w:r>
        <w:rPr>
          <w:rFonts w:ascii="宋体" w:hAnsi="宋体" w:eastAsia="宋体" w:cs="AdobeSongStd-Light"/>
          <w:kern w:val="0"/>
          <w:szCs w:val="21"/>
        </w:rPr>
        <w:t>，</w:t>
      </w:r>
      <w:r>
        <w:rPr>
          <w:rFonts w:hint="eastAsia" w:ascii="宋体" w:hAnsi="宋体" w:eastAsia="宋体" w:cs="AdobeSongStd-Light"/>
          <w:kern w:val="0"/>
          <w:szCs w:val="21"/>
        </w:rPr>
        <w:t>新古典经济学和社会经济学的差异</w:t>
      </w:r>
      <w:r>
        <w:rPr>
          <w:rFonts w:ascii="宋体" w:hAnsi="宋体" w:eastAsia="宋体" w:cs="AdobeSongStd-Light"/>
          <w:kern w:val="0"/>
          <w:szCs w:val="21"/>
        </w:rPr>
        <w:t>，</w:t>
      </w:r>
      <w:r>
        <w:rPr>
          <w:rFonts w:hint="eastAsia" w:ascii="宋体" w:hAnsi="宋体" w:eastAsia="宋体" w:cs="AdobeSongStd-Light"/>
          <w:kern w:val="0"/>
          <w:szCs w:val="21"/>
        </w:rPr>
        <w:t>方法论的个人主义和集团主义。人类经济学和社会经济学</w:t>
      </w:r>
      <w:r>
        <w:rPr>
          <w:rFonts w:ascii="宋体" w:hAnsi="宋体" w:eastAsia="宋体" w:cs="AdobeSongStd-Light"/>
          <w:kern w:val="0"/>
          <w:szCs w:val="21"/>
        </w:rPr>
        <w:t>，</w:t>
      </w:r>
      <w:r>
        <w:rPr>
          <w:rFonts w:hint="eastAsia" w:ascii="宋体" w:hAnsi="宋体" w:eastAsia="宋体" w:cs="AdobeSongStd-Light"/>
          <w:kern w:val="0"/>
          <w:szCs w:val="21"/>
        </w:rPr>
        <w:t>过度倾向于主体合理性、利己性的固定的方法论的一面。确实方法论对于社会经济学的主体性来讲</w:t>
      </w:r>
      <w:r>
        <w:rPr>
          <w:rFonts w:ascii="宋体" w:hAnsi="宋体" w:eastAsia="宋体" w:cs="AdobeSongStd-Light"/>
          <w:kern w:val="0"/>
          <w:szCs w:val="21"/>
        </w:rPr>
        <w:t>，</w:t>
      </w:r>
      <w:r>
        <w:rPr>
          <w:rFonts w:hint="eastAsia" w:ascii="宋体" w:hAnsi="宋体" w:eastAsia="宋体" w:cs="AdobeSongStd-Light"/>
          <w:kern w:val="0"/>
          <w:szCs w:val="21"/>
        </w:rPr>
        <w:t>不用说占有相当大的比重。可是</w:t>
      </w:r>
      <w:r>
        <w:rPr>
          <w:rFonts w:ascii="宋体" w:hAnsi="宋体" w:eastAsia="宋体" w:cs="AdobeSongStd-Light"/>
          <w:kern w:val="0"/>
          <w:szCs w:val="21"/>
        </w:rPr>
        <w:t>，</w:t>
      </w:r>
      <w:r>
        <w:rPr>
          <w:rFonts w:hint="eastAsia" w:ascii="宋体" w:hAnsi="宋体" w:eastAsia="宋体" w:cs="AdobeSongStd-Light"/>
          <w:kern w:val="0"/>
          <w:szCs w:val="21"/>
        </w:rPr>
        <w:t>从恩格斯的《科学社会主义》和分析的马克思主义贡献</w:t>
      </w:r>
      <w:r>
        <w:rPr>
          <w:rFonts w:ascii="宋体" w:hAnsi="宋体" w:eastAsia="宋体" w:cs="AdobeSongStd-Light"/>
          <w:kern w:val="0"/>
          <w:szCs w:val="21"/>
        </w:rPr>
        <w:t>，</w:t>
      </w:r>
      <w:r>
        <w:rPr>
          <w:rFonts w:hint="eastAsia" w:ascii="宋体" w:hAnsi="宋体" w:eastAsia="宋体" w:cs="AdobeSongStd-Light"/>
          <w:kern w:val="0"/>
          <w:szCs w:val="21"/>
        </w:rPr>
        <w:t>能够看得出方法论的个人主义的采用。对于经济学分析来说</w:t>
      </w:r>
      <w:r>
        <w:rPr>
          <w:rFonts w:ascii="宋体" w:hAnsi="宋体" w:eastAsia="宋体" w:cs="AdobeSongStd-Light"/>
          <w:kern w:val="0"/>
          <w:szCs w:val="21"/>
        </w:rPr>
        <w:t>，</w:t>
      </w:r>
      <w:r>
        <w:rPr>
          <w:rFonts w:hint="eastAsia" w:ascii="宋体" w:hAnsi="宋体" w:eastAsia="宋体" w:cs="AdobeSongStd-Light"/>
          <w:kern w:val="0"/>
          <w:szCs w:val="21"/>
        </w:rPr>
        <w:t>说这一方法完全没有意义是过分的。这并不是对资本主义市场经济的支持。方法到底是一种手段</w:t>
      </w:r>
      <w:r>
        <w:rPr>
          <w:rFonts w:ascii="宋体" w:hAnsi="宋体" w:eastAsia="宋体" w:cs="AdobeSongStd-Light"/>
          <w:kern w:val="0"/>
          <w:szCs w:val="21"/>
        </w:rPr>
        <w:t>，</w:t>
      </w:r>
      <w:r>
        <w:rPr>
          <w:rFonts w:hint="eastAsia" w:ascii="宋体" w:hAnsi="宋体" w:eastAsia="宋体" w:cs="AdobeSongStd-Light"/>
          <w:kern w:val="0"/>
          <w:szCs w:val="21"/>
        </w:rPr>
        <w:t>而研究对象更重要。</w:t>
      </w:r>
    </w:p>
    <w:p w14:paraId="1132A988">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2</w:t>
      </w:r>
      <w:r>
        <w:rPr>
          <w:rFonts w:hint="eastAsia" w:ascii="宋体" w:hAnsi="宋体" w:eastAsia="宋体" w:cs="Times New Roman"/>
          <w:kern w:val="0"/>
          <w:szCs w:val="21"/>
        </w:rPr>
        <w:t>.</w:t>
      </w:r>
      <w:r>
        <w:rPr>
          <w:rFonts w:hint="eastAsia" w:ascii="宋体" w:hAnsi="宋体" w:eastAsia="宋体" w:cs="AdobeSongStd-Light"/>
          <w:kern w:val="0"/>
          <w:szCs w:val="21"/>
        </w:rPr>
        <w:t>关于实证分析的对象。</w:t>
      </w:r>
      <w:r>
        <w:rPr>
          <w:rFonts w:ascii="宋体" w:hAnsi="宋体" w:eastAsia="宋体" w:cs="AdobeSongStd-Light"/>
          <w:kern w:val="0"/>
          <w:szCs w:val="21"/>
        </w:rPr>
        <w:t>(1)</w:t>
      </w:r>
      <w:r>
        <w:rPr>
          <w:rFonts w:hint="eastAsia" w:ascii="宋体" w:hAnsi="宋体" w:eastAsia="宋体" w:cs="AdobeSongStd-Light"/>
          <w:kern w:val="0"/>
          <w:szCs w:val="21"/>
        </w:rPr>
        <w:t>新古典经济学的对象</w:t>
      </w:r>
      <w:r>
        <w:rPr>
          <w:rFonts w:ascii="宋体" w:hAnsi="宋体" w:eastAsia="宋体" w:cs="AdobeSongStd-Light"/>
          <w:kern w:val="0"/>
          <w:szCs w:val="21"/>
        </w:rPr>
        <w:t>：</w:t>
      </w:r>
      <w:r>
        <w:rPr>
          <w:rFonts w:hint="eastAsia" w:ascii="宋体" w:hAnsi="宋体" w:eastAsia="宋体" w:cs="AdobeSongStd-Light"/>
          <w:kern w:val="0"/>
          <w:szCs w:val="21"/>
        </w:rPr>
        <w:t>把市场经济作为中心</w:t>
      </w:r>
      <w:r>
        <w:rPr>
          <w:rFonts w:ascii="宋体" w:hAnsi="宋体" w:eastAsia="宋体" w:cs="AdobeSongStd-Light"/>
          <w:kern w:val="0"/>
          <w:szCs w:val="21"/>
        </w:rPr>
        <w:t>，</w:t>
      </w:r>
      <w:r>
        <w:rPr>
          <w:rFonts w:hint="eastAsia" w:ascii="宋体" w:hAnsi="宋体" w:eastAsia="宋体" w:cs="AdobeSongStd-Light"/>
          <w:kern w:val="0"/>
          <w:szCs w:val="21"/>
        </w:rPr>
        <w:t>但并不忽视非市场经济</w:t>
      </w:r>
      <w:r>
        <w:rPr>
          <w:rFonts w:ascii="宋体" w:hAnsi="宋体" w:eastAsia="宋体" w:cs="AdobeSongStd-Light"/>
          <w:kern w:val="0"/>
          <w:szCs w:val="21"/>
        </w:rPr>
        <w:t>，</w:t>
      </w:r>
      <w:r>
        <w:rPr>
          <w:rFonts w:hint="eastAsia" w:ascii="宋体" w:hAnsi="宋体" w:eastAsia="宋体" w:cs="AdobeSongStd-Light"/>
          <w:kern w:val="0"/>
          <w:szCs w:val="21"/>
        </w:rPr>
        <w:t>只是非市场经济被作为市场经济交换的延续来加以理解的。</w:t>
      </w:r>
      <w:r>
        <w:rPr>
          <w:rFonts w:ascii="宋体" w:hAnsi="宋体" w:eastAsia="宋体" w:cs="AdobeSongStd-Light"/>
          <w:kern w:val="0"/>
          <w:szCs w:val="21"/>
        </w:rPr>
        <w:t>(2)</w:t>
      </w:r>
      <w:r>
        <w:rPr>
          <w:rFonts w:hint="eastAsia" w:ascii="宋体" w:hAnsi="宋体" w:eastAsia="宋体" w:cs="AdobeSongStd-Light"/>
          <w:kern w:val="0"/>
          <w:szCs w:val="21"/>
        </w:rPr>
        <w:t>马克思经济学的对象</w:t>
      </w:r>
      <w:r>
        <w:rPr>
          <w:rFonts w:ascii="宋体" w:hAnsi="宋体" w:eastAsia="宋体" w:cs="AdobeSongStd-Light"/>
          <w:kern w:val="0"/>
          <w:szCs w:val="21"/>
        </w:rPr>
        <w:t>：</w:t>
      </w:r>
      <w:r>
        <w:rPr>
          <w:rFonts w:hint="eastAsia" w:ascii="宋体" w:hAnsi="宋体" w:eastAsia="宋体" w:cs="AdobeSongStd-Light"/>
          <w:kern w:val="0"/>
          <w:szCs w:val="21"/>
        </w:rPr>
        <w:t>核心是存在于资本主义中的榨取、阶级和贫困化带来的恐慌</w:t>
      </w:r>
      <w:r>
        <w:rPr>
          <w:rFonts w:ascii="宋体" w:hAnsi="宋体" w:eastAsia="宋体" w:cs="AdobeSongStd-Light"/>
          <w:kern w:val="0"/>
          <w:szCs w:val="21"/>
        </w:rPr>
        <w:t>（</w:t>
      </w:r>
      <w:r>
        <w:rPr>
          <w:rFonts w:hint="eastAsia" w:ascii="宋体" w:hAnsi="宋体" w:eastAsia="宋体" w:cs="AdobeSongStd-Light"/>
          <w:kern w:val="0"/>
          <w:szCs w:val="21"/>
        </w:rPr>
        <w:t>危机</w:t>
      </w:r>
      <w:r>
        <w:rPr>
          <w:rFonts w:ascii="宋体" w:hAnsi="宋体" w:eastAsia="宋体" w:cs="AdobeSongStd-Light"/>
          <w:kern w:val="0"/>
          <w:szCs w:val="21"/>
        </w:rPr>
        <w:t>）</w:t>
      </w:r>
      <w:r>
        <w:rPr>
          <w:rFonts w:hint="eastAsia" w:ascii="宋体" w:hAnsi="宋体" w:eastAsia="宋体" w:cs="AdobeSongStd-Light"/>
          <w:kern w:val="0"/>
          <w:szCs w:val="21"/>
        </w:rPr>
        <w:t>。其根本原因是资本主义的基本矛盾。战争、公害自不必说</w:t>
      </w:r>
      <w:r>
        <w:rPr>
          <w:rFonts w:ascii="宋体" w:hAnsi="宋体" w:eastAsia="宋体" w:cs="AdobeSongStd-Light"/>
          <w:kern w:val="0"/>
          <w:szCs w:val="21"/>
        </w:rPr>
        <w:t>，</w:t>
      </w:r>
      <w:r>
        <w:rPr>
          <w:rFonts w:hint="eastAsia" w:ascii="宋体" w:hAnsi="宋体" w:eastAsia="宋体" w:cs="AdobeSongStd-Light"/>
          <w:kern w:val="0"/>
          <w:szCs w:val="21"/>
        </w:rPr>
        <w:t>就其他方面的问题都归结到资本主义的矛盾。马克思经济学构建了一个整体的理论体系</w:t>
      </w:r>
      <w:r>
        <w:rPr>
          <w:rFonts w:ascii="宋体" w:hAnsi="宋体" w:eastAsia="宋体" w:cs="AdobeSongStd-Light"/>
          <w:kern w:val="0"/>
          <w:szCs w:val="21"/>
        </w:rPr>
        <w:t>，</w:t>
      </w:r>
      <w:r>
        <w:rPr>
          <w:rFonts w:hint="eastAsia" w:ascii="宋体" w:hAnsi="宋体" w:eastAsia="宋体" w:cs="AdobeSongStd-Light"/>
          <w:kern w:val="0"/>
          <w:szCs w:val="21"/>
        </w:rPr>
        <w:t>但为了接近其今日多元的诸多现象</w:t>
      </w:r>
      <w:r>
        <w:rPr>
          <w:rFonts w:ascii="宋体" w:hAnsi="宋体" w:eastAsia="宋体" w:cs="AdobeSongStd-Light"/>
          <w:kern w:val="0"/>
          <w:szCs w:val="21"/>
        </w:rPr>
        <w:t>，</w:t>
      </w:r>
      <w:r>
        <w:rPr>
          <w:rFonts w:hint="eastAsia" w:ascii="宋体" w:hAnsi="宋体" w:eastAsia="宋体" w:cs="AdobeSongStd-Light"/>
          <w:kern w:val="0"/>
          <w:szCs w:val="21"/>
        </w:rPr>
        <w:t>有必要把研究范围扩大。</w:t>
      </w:r>
      <w:r>
        <w:rPr>
          <w:rFonts w:ascii="宋体" w:hAnsi="宋体" w:eastAsia="宋体" w:cs="AdobeSongStd-Light"/>
          <w:kern w:val="0"/>
          <w:szCs w:val="21"/>
        </w:rPr>
        <w:t>(3)</w:t>
      </w:r>
      <w:r>
        <w:rPr>
          <w:rFonts w:hint="eastAsia" w:ascii="宋体" w:hAnsi="宋体" w:eastAsia="宋体" w:cs="AdobeSongStd-Light"/>
          <w:kern w:val="0"/>
          <w:szCs w:val="21"/>
        </w:rPr>
        <w:t>社会经济学的研究对象</w:t>
      </w:r>
      <w:r>
        <w:rPr>
          <w:rFonts w:ascii="宋体" w:hAnsi="宋体" w:eastAsia="宋体" w:cs="AdobeSongStd-Light"/>
          <w:kern w:val="0"/>
          <w:szCs w:val="21"/>
        </w:rPr>
        <w:t>：</w:t>
      </w:r>
      <w:r>
        <w:rPr>
          <w:rFonts w:hint="eastAsia" w:ascii="宋体" w:hAnsi="宋体" w:eastAsia="宋体" w:cs="AdobeSongStd-Light"/>
          <w:kern w:val="0"/>
          <w:szCs w:val="21"/>
        </w:rPr>
        <w:t>超出了《资本论》和现代资本主义理论的范围</w:t>
      </w:r>
      <w:r>
        <w:rPr>
          <w:rFonts w:ascii="宋体" w:hAnsi="宋体" w:eastAsia="宋体" w:cs="AdobeSongStd-Light"/>
          <w:kern w:val="0"/>
          <w:szCs w:val="21"/>
        </w:rPr>
        <w:t>，</w:t>
      </w:r>
      <w:r>
        <w:rPr>
          <w:rFonts w:hint="eastAsia" w:ascii="宋体" w:hAnsi="宋体" w:eastAsia="宋体" w:cs="AdobeSongStd-Light"/>
          <w:kern w:val="0"/>
          <w:szCs w:val="21"/>
        </w:rPr>
        <w:t>有总体把握现代危机的必要。现代社会的四大危机</w:t>
      </w:r>
      <w:r>
        <w:rPr>
          <w:rFonts w:ascii="宋体" w:hAnsi="宋体" w:eastAsia="宋体" w:cs="AdobeSongStd-Light"/>
          <w:kern w:val="0"/>
          <w:szCs w:val="21"/>
        </w:rPr>
        <w:t>：</w:t>
      </w:r>
      <w:r>
        <w:rPr>
          <w:rFonts w:ascii="宋体" w:hAnsi="宋体" w:eastAsia="宋体" w:cs="Times New Roman"/>
          <w:kern w:val="0"/>
          <w:szCs w:val="21"/>
        </w:rPr>
        <w:t>a</w:t>
      </w:r>
      <w:r>
        <w:rPr>
          <w:rFonts w:hint="eastAsia" w:ascii="宋体" w:hAnsi="宋体" w:eastAsia="宋体" w:cs="Times New Roman"/>
          <w:kern w:val="0"/>
          <w:szCs w:val="21"/>
        </w:rPr>
        <w:t>.</w:t>
      </w:r>
      <w:r>
        <w:rPr>
          <w:rFonts w:hint="eastAsia" w:ascii="宋体" w:hAnsi="宋体" w:eastAsia="宋体" w:cs="AdobeSongStd-Light"/>
          <w:kern w:val="0"/>
          <w:szCs w:val="21"/>
        </w:rPr>
        <w:t>贫困、不平等、经济不稳定</w:t>
      </w:r>
      <w:r>
        <w:rPr>
          <w:rFonts w:ascii="宋体" w:hAnsi="宋体" w:eastAsia="宋体" w:cs="AdobeSongStd-Light"/>
          <w:kern w:val="0"/>
          <w:szCs w:val="21"/>
        </w:rPr>
        <w:t>；</w:t>
      </w:r>
      <w:r>
        <w:rPr>
          <w:rFonts w:ascii="宋体" w:hAnsi="宋体" w:eastAsia="宋体" w:cs="Times New Roman"/>
          <w:kern w:val="0"/>
          <w:szCs w:val="21"/>
        </w:rPr>
        <w:t>b</w:t>
      </w:r>
      <w:r>
        <w:rPr>
          <w:rFonts w:hint="eastAsia" w:ascii="宋体" w:hAnsi="宋体" w:eastAsia="宋体" w:cs="Times New Roman"/>
          <w:kern w:val="0"/>
          <w:szCs w:val="21"/>
        </w:rPr>
        <w:t>.</w:t>
      </w:r>
      <w:r>
        <w:rPr>
          <w:rFonts w:hint="eastAsia" w:ascii="宋体" w:hAnsi="宋体" w:eastAsia="宋体" w:cs="AdobeSongStd-Light"/>
          <w:kern w:val="0"/>
          <w:szCs w:val="21"/>
        </w:rPr>
        <w:t>战争、纷争</w:t>
      </w:r>
      <w:r>
        <w:rPr>
          <w:rFonts w:ascii="宋体" w:hAnsi="宋体" w:eastAsia="宋体" w:cs="AdobeSongStd-Light"/>
          <w:kern w:val="0"/>
          <w:szCs w:val="21"/>
        </w:rPr>
        <w:t>；c</w:t>
      </w:r>
      <w:r>
        <w:rPr>
          <w:rFonts w:hint="eastAsia" w:ascii="宋体" w:hAnsi="宋体" w:eastAsia="宋体" w:cs="AdobeSongStd-Light"/>
          <w:kern w:val="0"/>
          <w:szCs w:val="21"/>
        </w:rPr>
        <w:t>.环境、资源问题</w:t>
      </w:r>
      <w:r>
        <w:rPr>
          <w:rFonts w:ascii="宋体" w:hAnsi="宋体" w:eastAsia="宋体" w:cs="AdobeSongStd-Light"/>
          <w:kern w:val="0"/>
          <w:szCs w:val="21"/>
        </w:rPr>
        <w:t>；</w:t>
      </w:r>
      <w:r>
        <w:rPr>
          <w:rFonts w:ascii="宋体" w:hAnsi="宋体" w:eastAsia="宋体" w:cs="Times New Roman"/>
          <w:kern w:val="0"/>
          <w:szCs w:val="21"/>
        </w:rPr>
        <w:t>d</w:t>
      </w:r>
      <w:r>
        <w:rPr>
          <w:rFonts w:hint="eastAsia" w:ascii="宋体" w:hAnsi="宋体" w:eastAsia="宋体" w:cs="Times New Roman"/>
          <w:kern w:val="0"/>
          <w:szCs w:val="21"/>
        </w:rPr>
        <w:t>.</w:t>
      </w:r>
      <w:r>
        <w:rPr>
          <w:rFonts w:hint="eastAsia" w:ascii="宋体" w:hAnsi="宋体" w:eastAsia="宋体" w:cs="AdobeSongStd-Light"/>
          <w:kern w:val="0"/>
          <w:szCs w:val="21"/>
        </w:rPr>
        <w:t>管理社会、人们关系疏远。社会经济学要接触以上诸问题</w:t>
      </w:r>
      <w:r>
        <w:rPr>
          <w:rFonts w:ascii="宋体" w:hAnsi="宋体" w:eastAsia="宋体" w:cs="AdobeSongStd-Light"/>
          <w:kern w:val="0"/>
          <w:szCs w:val="21"/>
        </w:rPr>
        <w:t>，</w:t>
      </w:r>
      <w:r>
        <w:rPr>
          <w:rFonts w:hint="eastAsia" w:ascii="宋体" w:hAnsi="宋体" w:eastAsia="宋体" w:cs="AdobeSongStd-Light"/>
          <w:kern w:val="0"/>
          <w:szCs w:val="21"/>
        </w:rPr>
        <w:t>需具备哪些因素</w:t>
      </w:r>
      <w:r>
        <w:rPr>
          <w:rFonts w:ascii="宋体" w:hAnsi="宋体" w:eastAsia="宋体" w:cs="AdobeSongStd-Light"/>
          <w:kern w:val="0"/>
          <w:szCs w:val="21"/>
        </w:rPr>
        <w:t xml:space="preserve">？ </w:t>
      </w:r>
      <w:r>
        <w:rPr>
          <w:rFonts w:hint="eastAsia" w:ascii="宋体" w:hAnsi="宋体" w:eastAsia="宋体" w:cs="AdobeSongStd-Light"/>
          <w:kern w:val="0"/>
          <w:szCs w:val="21"/>
        </w:rPr>
        <w:t>经济体系对自然环境、法律、政治、文化、社会规范有怎样的影响</w:t>
      </w:r>
      <w:r>
        <w:rPr>
          <w:rFonts w:ascii="宋体" w:hAnsi="宋体" w:eastAsia="宋体" w:cs="AdobeSongStd-Light"/>
          <w:kern w:val="0"/>
          <w:szCs w:val="21"/>
        </w:rPr>
        <w:t>，</w:t>
      </w:r>
      <w:r>
        <w:rPr>
          <w:rFonts w:hint="eastAsia" w:ascii="宋体" w:hAnsi="宋体" w:eastAsia="宋体" w:cs="AdobeSongStd-Light"/>
          <w:kern w:val="0"/>
          <w:szCs w:val="21"/>
        </w:rPr>
        <w:t>还有后者对前者又如何影响</w:t>
      </w:r>
      <w:r>
        <w:rPr>
          <w:rFonts w:ascii="宋体" w:hAnsi="宋体" w:eastAsia="宋体" w:cs="AdobeSongStd-Light"/>
          <w:kern w:val="0"/>
          <w:szCs w:val="21"/>
        </w:rPr>
        <w:t>，</w:t>
      </w:r>
      <w:r>
        <w:rPr>
          <w:rFonts w:hint="eastAsia" w:ascii="宋体" w:hAnsi="宋体" w:eastAsia="宋体" w:cs="AdobeSongStd-Light"/>
          <w:kern w:val="0"/>
          <w:szCs w:val="21"/>
        </w:rPr>
        <w:t>这样相互关联的问题成为视点。</w:t>
      </w:r>
    </w:p>
    <w:p w14:paraId="074FD63D">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不要把研究对象只限定为市场经济。把生产、分配、消费这些超历史的经济哲学范畴作为基础</w:t>
      </w:r>
      <w:r>
        <w:rPr>
          <w:rFonts w:ascii="宋体" w:hAnsi="宋体" w:eastAsia="宋体" w:cs="AdobeSongStd-Light"/>
          <w:kern w:val="0"/>
          <w:szCs w:val="21"/>
        </w:rPr>
        <w:t>，</w:t>
      </w:r>
      <w:r>
        <w:rPr>
          <w:rFonts w:hint="eastAsia" w:ascii="宋体" w:hAnsi="宋体" w:eastAsia="宋体" w:cs="AdobeSongStd-Light"/>
          <w:kern w:val="0"/>
          <w:szCs w:val="21"/>
        </w:rPr>
        <w:t>现存的非市场领域是社会经济学的重要的分析对象。应该吸收生态学、性经济学等的成果。即使在现代</w:t>
      </w:r>
      <w:r>
        <w:rPr>
          <w:rFonts w:ascii="宋体" w:hAnsi="宋体" w:eastAsia="宋体" w:cs="AdobeSongStd-Light"/>
          <w:kern w:val="0"/>
          <w:szCs w:val="21"/>
        </w:rPr>
        <w:t>，</w:t>
      </w:r>
      <w:r>
        <w:rPr>
          <w:rFonts w:hint="eastAsia" w:ascii="宋体" w:hAnsi="宋体" w:eastAsia="宋体" w:cs="AdobeSongStd-Light"/>
          <w:kern w:val="0"/>
          <w:szCs w:val="21"/>
        </w:rPr>
        <w:t>权力仍然是理解经济社会的关键概念</w:t>
      </w:r>
      <w:r>
        <w:rPr>
          <w:rFonts w:ascii="宋体" w:hAnsi="宋体" w:eastAsia="宋体" w:cs="AdobeSongStd-Light"/>
          <w:kern w:val="0"/>
          <w:szCs w:val="21"/>
        </w:rPr>
        <w:t>，</w:t>
      </w:r>
      <w:r>
        <w:rPr>
          <w:rFonts w:hint="eastAsia" w:ascii="宋体" w:hAnsi="宋体" w:eastAsia="宋体" w:cs="AdobeSongStd-Light"/>
          <w:kern w:val="0"/>
          <w:szCs w:val="21"/>
        </w:rPr>
        <w:t>如美国的政策与市场原理相比</w:t>
      </w:r>
      <w:r>
        <w:rPr>
          <w:rFonts w:ascii="宋体" w:hAnsi="宋体" w:eastAsia="宋体" w:cs="AdobeSongStd-Light"/>
          <w:kern w:val="0"/>
          <w:szCs w:val="21"/>
        </w:rPr>
        <w:t>，</w:t>
      </w:r>
      <w:r>
        <w:rPr>
          <w:rFonts w:hint="eastAsia" w:ascii="宋体" w:hAnsi="宋体" w:eastAsia="宋体" w:cs="AdobeSongStd-Light"/>
          <w:kern w:val="0"/>
          <w:szCs w:val="21"/>
        </w:rPr>
        <w:t>是权力本位的自由主义。社会经济学必须追求对象的扩大</w:t>
      </w:r>
      <w:r>
        <w:rPr>
          <w:rFonts w:ascii="宋体" w:hAnsi="宋体" w:eastAsia="宋体" w:cs="AdobeSongStd-Light"/>
          <w:kern w:val="0"/>
          <w:szCs w:val="21"/>
        </w:rPr>
        <w:t>，</w:t>
      </w:r>
      <w:r>
        <w:rPr>
          <w:rFonts w:hint="eastAsia" w:ascii="宋体" w:hAnsi="宋体" w:eastAsia="宋体" w:cs="AdobeSongStd-Light"/>
          <w:kern w:val="0"/>
          <w:szCs w:val="21"/>
        </w:rPr>
        <w:t>可是</w:t>
      </w:r>
      <w:r>
        <w:rPr>
          <w:rFonts w:ascii="宋体" w:hAnsi="宋体" w:eastAsia="宋体" w:cs="AdobeSongStd-Light"/>
          <w:kern w:val="0"/>
          <w:szCs w:val="21"/>
        </w:rPr>
        <w:t>，</w:t>
      </w:r>
      <w:r>
        <w:rPr>
          <w:rFonts w:hint="eastAsia" w:ascii="宋体" w:hAnsi="宋体" w:eastAsia="宋体" w:cs="AdobeSongStd-Light"/>
          <w:kern w:val="0"/>
          <w:szCs w:val="21"/>
        </w:rPr>
        <w:t>怎样处理对象</w:t>
      </w:r>
      <w:r>
        <w:rPr>
          <w:rFonts w:ascii="宋体" w:hAnsi="宋体" w:eastAsia="宋体" w:cs="AdobeSongStd-Light"/>
          <w:kern w:val="0"/>
          <w:szCs w:val="21"/>
        </w:rPr>
        <w:t>，</w:t>
      </w:r>
      <w:r>
        <w:rPr>
          <w:rFonts w:hint="eastAsia" w:ascii="宋体" w:hAnsi="宋体" w:eastAsia="宋体" w:cs="AdobeSongStd-Light"/>
          <w:kern w:val="0"/>
          <w:szCs w:val="21"/>
        </w:rPr>
        <w:t>经济社会应有怎样的状态</w:t>
      </w:r>
      <w:r>
        <w:rPr>
          <w:rFonts w:ascii="宋体" w:hAnsi="宋体" w:eastAsia="宋体" w:cs="AdobeSongStd-Light"/>
          <w:kern w:val="0"/>
          <w:szCs w:val="21"/>
        </w:rPr>
        <w:t>，</w:t>
      </w:r>
      <w:r>
        <w:rPr>
          <w:rFonts w:hint="eastAsia" w:ascii="宋体" w:hAnsi="宋体" w:eastAsia="宋体" w:cs="AdobeSongStd-Light"/>
          <w:kern w:val="0"/>
          <w:szCs w:val="21"/>
        </w:rPr>
        <w:t>这就涉及到规范的观点</w:t>
      </w:r>
      <w:r>
        <w:rPr>
          <w:rFonts w:ascii="宋体" w:hAnsi="宋体" w:eastAsia="宋体" w:cs="AdobeSongStd-Light"/>
          <w:kern w:val="0"/>
          <w:szCs w:val="21"/>
        </w:rPr>
        <w:t>，</w:t>
      </w:r>
      <w:r>
        <w:rPr>
          <w:rFonts w:hint="eastAsia" w:ascii="宋体" w:hAnsi="宋体" w:eastAsia="宋体" w:cs="AdobeSongStd-Light"/>
          <w:kern w:val="0"/>
          <w:szCs w:val="21"/>
        </w:rPr>
        <w:t>于是</w:t>
      </w:r>
      <w:r>
        <w:rPr>
          <w:rFonts w:ascii="宋体" w:hAnsi="宋体" w:eastAsia="宋体" w:cs="AdobeSongStd-Light"/>
          <w:kern w:val="0"/>
          <w:szCs w:val="21"/>
        </w:rPr>
        <w:t>，</w:t>
      </w:r>
      <w:r>
        <w:rPr>
          <w:rFonts w:hint="eastAsia" w:ascii="宋体" w:hAnsi="宋体" w:eastAsia="宋体" w:cs="AdobeSongStd-Light"/>
          <w:kern w:val="0"/>
          <w:szCs w:val="21"/>
        </w:rPr>
        <w:t>有必要追究一下什么是规范理论。</w:t>
      </w:r>
    </w:p>
    <w:p w14:paraId="00D155DE">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3</w:t>
      </w:r>
      <w:r>
        <w:rPr>
          <w:rFonts w:hint="eastAsia" w:ascii="宋体" w:hAnsi="宋体" w:eastAsia="宋体" w:cs="Times New Roman"/>
          <w:kern w:val="0"/>
          <w:szCs w:val="21"/>
        </w:rPr>
        <w:t>.</w:t>
      </w:r>
      <w:r>
        <w:rPr>
          <w:rFonts w:hint="eastAsia" w:ascii="宋体" w:hAnsi="宋体" w:eastAsia="宋体" w:cs="AdobeSongStd-Light"/>
          <w:kern w:val="0"/>
          <w:szCs w:val="21"/>
        </w:rPr>
        <w:t>关于规范理论。规范理论是实证理论的相反概念</w:t>
      </w:r>
      <w:r>
        <w:rPr>
          <w:rFonts w:ascii="宋体" w:hAnsi="宋体" w:eastAsia="宋体" w:cs="AdobeSongStd-Light"/>
          <w:kern w:val="0"/>
          <w:szCs w:val="21"/>
        </w:rPr>
        <w:t>，</w:t>
      </w:r>
      <w:r>
        <w:rPr>
          <w:rFonts w:hint="eastAsia" w:ascii="宋体" w:hAnsi="宋体" w:eastAsia="宋体" w:cs="AdobeSongStd-Light"/>
          <w:kern w:val="0"/>
          <w:szCs w:val="21"/>
        </w:rPr>
        <w:t>论述该有的体制、制度、伦理的理想。有不同的经济学规范</w:t>
      </w:r>
      <w:r>
        <w:rPr>
          <w:rFonts w:ascii="宋体" w:hAnsi="宋体" w:eastAsia="宋体" w:cs="AdobeSongStd-Light"/>
          <w:kern w:val="0"/>
          <w:szCs w:val="21"/>
        </w:rPr>
        <w:t>：</w:t>
      </w:r>
      <w:r>
        <w:rPr>
          <w:rFonts w:hint="eastAsia" w:ascii="宋体" w:hAnsi="宋体" w:eastAsia="宋体" w:cs="AdobeSongStd-Light"/>
          <w:kern w:val="0"/>
          <w:szCs w:val="21"/>
        </w:rPr>
        <w:t>一是自由主义主导的规范。罗尔斯的正义论中虽有关于制度方面的论述</w:t>
      </w:r>
      <w:r>
        <w:rPr>
          <w:rFonts w:ascii="宋体" w:hAnsi="宋体" w:eastAsia="宋体" w:cs="AdobeSongStd-Light"/>
          <w:kern w:val="0"/>
          <w:szCs w:val="21"/>
        </w:rPr>
        <w:t>，</w:t>
      </w:r>
      <w:r>
        <w:rPr>
          <w:rFonts w:hint="eastAsia" w:ascii="宋体" w:hAnsi="宋体" w:eastAsia="宋体" w:cs="AdobeSongStd-Light"/>
          <w:kern w:val="0"/>
          <w:szCs w:val="21"/>
        </w:rPr>
        <w:t>但是</w:t>
      </w:r>
      <w:r>
        <w:rPr>
          <w:rFonts w:ascii="宋体" w:hAnsi="宋体" w:eastAsia="宋体" w:cs="AdobeSongStd-Light"/>
          <w:kern w:val="0"/>
          <w:szCs w:val="21"/>
        </w:rPr>
        <w:t>，</w:t>
      </w:r>
      <w:r>
        <w:rPr>
          <w:rFonts w:hint="eastAsia" w:ascii="宋体" w:hAnsi="宋体" w:eastAsia="宋体" w:cs="AdobeSongStd-Light"/>
          <w:kern w:val="0"/>
          <w:szCs w:val="21"/>
        </w:rPr>
        <w:t>关于资本主义体制中榨取和阶级的存在这样的问题却未提及。一般地超历史的论述规范的诸概念的倾向较强</w:t>
      </w:r>
      <w:r>
        <w:rPr>
          <w:rFonts w:ascii="宋体" w:hAnsi="宋体" w:eastAsia="宋体" w:cs="AdobeSongStd-Light"/>
          <w:kern w:val="0"/>
          <w:szCs w:val="21"/>
        </w:rPr>
        <w:t>，</w:t>
      </w:r>
      <w:r>
        <w:rPr>
          <w:rFonts w:hint="eastAsia" w:ascii="宋体" w:hAnsi="宋体" w:eastAsia="宋体" w:cs="AdobeSongStd-Light"/>
          <w:kern w:val="0"/>
          <w:szCs w:val="21"/>
        </w:rPr>
        <w:t>对于历史的状况和现代社会经济的变化的议论则比较少。纯粹自由主义是特有权力的个人、集体的自由社会</w:t>
      </w:r>
      <w:r>
        <w:rPr>
          <w:rFonts w:ascii="宋体" w:hAnsi="宋体" w:eastAsia="宋体" w:cs="AdobeSongStd-Light"/>
          <w:kern w:val="0"/>
          <w:szCs w:val="21"/>
        </w:rPr>
        <w:t>，</w:t>
      </w:r>
      <w:r>
        <w:rPr>
          <w:rFonts w:hint="eastAsia" w:ascii="宋体" w:hAnsi="宋体" w:eastAsia="宋体" w:cs="AdobeSongStd-Light"/>
          <w:kern w:val="0"/>
          <w:szCs w:val="21"/>
        </w:rPr>
        <w:t>与市场原教旨主义</w:t>
      </w:r>
      <w:r>
        <w:rPr>
          <w:rFonts w:ascii="宋体" w:hAnsi="宋体" w:eastAsia="宋体" w:cs="AdobeSongStd-Light"/>
          <w:kern w:val="0"/>
          <w:szCs w:val="21"/>
        </w:rPr>
        <w:t>（</w:t>
      </w:r>
      <w:r>
        <w:rPr>
          <w:rFonts w:hint="eastAsia" w:ascii="宋体" w:hAnsi="宋体" w:eastAsia="宋体" w:cs="AdobeSongStd-Light"/>
          <w:kern w:val="0"/>
          <w:szCs w:val="21"/>
        </w:rPr>
        <w:t>无政府资本主义</w:t>
      </w:r>
      <w:r>
        <w:rPr>
          <w:rFonts w:ascii="宋体" w:hAnsi="宋体" w:eastAsia="宋体" w:cs="AdobeSongStd-Light"/>
          <w:kern w:val="0"/>
          <w:szCs w:val="21"/>
        </w:rPr>
        <w:t>）</w:t>
      </w:r>
      <w:r>
        <w:rPr>
          <w:rFonts w:hint="eastAsia" w:ascii="宋体" w:hAnsi="宋体" w:eastAsia="宋体" w:cs="AdobeSongStd-Light"/>
          <w:kern w:val="0"/>
          <w:szCs w:val="21"/>
        </w:rPr>
        <w:t>相比</w:t>
      </w:r>
      <w:r>
        <w:rPr>
          <w:rFonts w:ascii="宋体" w:hAnsi="宋体" w:eastAsia="宋体" w:cs="AdobeSongStd-Light"/>
          <w:kern w:val="0"/>
          <w:szCs w:val="21"/>
        </w:rPr>
        <w:t>，</w:t>
      </w:r>
      <w:r>
        <w:rPr>
          <w:rFonts w:hint="eastAsia" w:ascii="宋体" w:hAnsi="宋体" w:eastAsia="宋体" w:cs="AdobeSongStd-Light"/>
          <w:kern w:val="0"/>
          <w:szCs w:val="21"/>
        </w:rPr>
        <w:t>虽更彻底</w:t>
      </w:r>
      <w:r>
        <w:rPr>
          <w:rFonts w:ascii="宋体" w:hAnsi="宋体" w:eastAsia="宋体" w:cs="AdobeSongStd-Light"/>
          <w:kern w:val="0"/>
          <w:szCs w:val="21"/>
        </w:rPr>
        <w:t>，</w:t>
      </w:r>
      <w:r>
        <w:rPr>
          <w:rFonts w:hint="eastAsia" w:ascii="宋体" w:hAnsi="宋体" w:eastAsia="宋体" w:cs="AdobeSongStd-Light"/>
          <w:kern w:val="0"/>
          <w:szCs w:val="21"/>
        </w:rPr>
        <w:t>可是</w:t>
      </w:r>
      <w:r>
        <w:rPr>
          <w:rFonts w:ascii="宋体" w:hAnsi="宋体" w:eastAsia="宋体" w:cs="AdobeSongStd-Light"/>
          <w:kern w:val="0"/>
          <w:szCs w:val="21"/>
        </w:rPr>
        <w:t>，</w:t>
      </w:r>
      <w:r>
        <w:rPr>
          <w:rFonts w:hint="eastAsia" w:ascii="宋体" w:hAnsi="宋体" w:eastAsia="宋体" w:cs="AdobeSongStd-Light"/>
          <w:kern w:val="0"/>
          <w:szCs w:val="21"/>
        </w:rPr>
        <w:t>却不能成为建构社会的规范原理。</w:t>
      </w:r>
    </w:p>
    <w:p w14:paraId="432C510A">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二是马克思经济学和规范理论。以资本主义法则的必然性为基础的规范理论和伦理学是相互轻视的。在严加区别科学和意识形态的宇野学派中也是一样。在冷战时期</w:t>
      </w:r>
      <w:r>
        <w:rPr>
          <w:rFonts w:ascii="宋体" w:hAnsi="宋体" w:eastAsia="宋体" w:cs="AdobeSongStd-Light"/>
          <w:kern w:val="0"/>
          <w:szCs w:val="21"/>
        </w:rPr>
        <w:t>，</w:t>
      </w:r>
      <w:r>
        <w:rPr>
          <w:rFonts w:hint="eastAsia" w:ascii="宋体" w:hAnsi="宋体" w:eastAsia="宋体" w:cs="AdobeSongStd-Light"/>
          <w:kern w:val="0"/>
          <w:szCs w:val="21"/>
        </w:rPr>
        <w:t>维持经济高速增长的是一种功利主义。马克思主义经济学的要点是恐慌等于危机论</w:t>
      </w:r>
      <w:r>
        <w:rPr>
          <w:rFonts w:ascii="宋体" w:hAnsi="宋体" w:eastAsia="宋体" w:cs="AdobeSongStd-Light"/>
          <w:kern w:val="0"/>
          <w:szCs w:val="21"/>
        </w:rPr>
        <w:t>，</w:t>
      </w:r>
      <w:r>
        <w:rPr>
          <w:rFonts w:hint="eastAsia" w:ascii="宋体" w:hAnsi="宋体" w:eastAsia="宋体" w:cs="AdobeSongStd-Light"/>
          <w:kern w:val="0"/>
          <w:szCs w:val="21"/>
        </w:rPr>
        <w:t>经济成长是评价基准。可是在现在</w:t>
      </w:r>
      <w:r>
        <w:rPr>
          <w:rFonts w:ascii="宋体" w:hAnsi="宋体" w:eastAsia="宋体" w:cs="AdobeSongStd-Light"/>
          <w:kern w:val="0"/>
          <w:szCs w:val="21"/>
        </w:rPr>
        <w:t>，</w:t>
      </w:r>
      <w:r>
        <w:rPr>
          <w:rFonts w:hint="eastAsia" w:ascii="宋体" w:hAnsi="宋体" w:eastAsia="宋体" w:cs="AdobeSongStd-Light"/>
          <w:kern w:val="0"/>
          <w:szCs w:val="21"/>
        </w:rPr>
        <w:t>倡导脱离经济成长论在抬头</w:t>
      </w:r>
      <w:r>
        <w:rPr>
          <w:rFonts w:ascii="宋体" w:hAnsi="宋体" w:eastAsia="宋体" w:cs="AdobeSongStd-Light"/>
          <w:kern w:val="0"/>
          <w:szCs w:val="21"/>
        </w:rPr>
        <w:t>，</w:t>
      </w:r>
      <w:r>
        <w:rPr>
          <w:rFonts w:hint="eastAsia" w:ascii="宋体" w:hAnsi="宋体" w:eastAsia="宋体" w:cs="AdobeSongStd-Light"/>
          <w:kern w:val="0"/>
          <w:szCs w:val="21"/>
        </w:rPr>
        <w:t>评价经济体制和制度的规范基础不明确</w:t>
      </w:r>
      <w:r>
        <w:rPr>
          <w:rFonts w:ascii="宋体" w:hAnsi="宋体" w:eastAsia="宋体" w:cs="AdobeSongStd-Light"/>
          <w:kern w:val="0"/>
          <w:szCs w:val="21"/>
        </w:rPr>
        <w:t>，</w:t>
      </w:r>
      <w:r>
        <w:rPr>
          <w:rFonts w:hint="eastAsia" w:ascii="宋体" w:hAnsi="宋体" w:eastAsia="宋体" w:cs="AdobeSongStd-Light"/>
          <w:kern w:val="0"/>
          <w:szCs w:val="21"/>
        </w:rPr>
        <w:t>其结果丢掉了危机论。为了构筑新的危机论</w:t>
      </w:r>
      <w:r>
        <w:rPr>
          <w:rFonts w:ascii="宋体" w:hAnsi="宋体" w:eastAsia="宋体" w:cs="AdobeSongStd-Light"/>
          <w:kern w:val="0"/>
          <w:szCs w:val="21"/>
        </w:rPr>
        <w:t>，</w:t>
      </w:r>
      <w:r>
        <w:rPr>
          <w:rFonts w:hint="eastAsia" w:ascii="宋体" w:hAnsi="宋体" w:eastAsia="宋体" w:cs="AdobeSongStd-Light"/>
          <w:kern w:val="0"/>
          <w:szCs w:val="21"/>
        </w:rPr>
        <w:t>规范的观点很必要。被叫做社会主义的体制中</w:t>
      </w:r>
      <w:r>
        <w:rPr>
          <w:rFonts w:ascii="宋体" w:hAnsi="宋体" w:eastAsia="宋体" w:cs="AdobeSongStd-Light"/>
          <w:kern w:val="0"/>
          <w:szCs w:val="21"/>
        </w:rPr>
        <w:t>，</w:t>
      </w:r>
      <w:r>
        <w:rPr>
          <w:rFonts w:hint="eastAsia" w:ascii="宋体" w:hAnsi="宋体" w:eastAsia="宋体" w:cs="AdobeSongStd-Light"/>
          <w:kern w:val="0"/>
          <w:szCs w:val="21"/>
        </w:rPr>
        <w:t>经济成长也成为中心目标</w:t>
      </w:r>
      <w:r>
        <w:rPr>
          <w:rFonts w:ascii="宋体" w:hAnsi="宋体" w:eastAsia="宋体" w:cs="AdobeSongStd-Light"/>
          <w:kern w:val="0"/>
          <w:szCs w:val="21"/>
        </w:rPr>
        <w:t>，</w:t>
      </w:r>
      <w:r>
        <w:rPr>
          <w:rFonts w:hint="eastAsia" w:ascii="宋体" w:hAnsi="宋体" w:eastAsia="宋体" w:cs="AdobeSongStd-Light"/>
          <w:kern w:val="0"/>
          <w:szCs w:val="21"/>
        </w:rPr>
        <w:t>而正义和权力从属于这个中心目标</w:t>
      </w:r>
      <w:r>
        <w:rPr>
          <w:rFonts w:ascii="宋体" w:hAnsi="宋体" w:eastAsia="宋体" w:cs="AdobeSongStd-Light"/>
          <w:kern w:val="0"/>
          <w:szCs w:val="21"/>
        </w:rPr>
        <w:t>，</w:t>
      </w:r>
      <w:r>
        <w:rPr>
          <w:rFonts w:hint="eastAsia" w:ascii="宋体" w:hAnsi="宋体" w:eastAsia="宋体" w:cs="AdobeSongStd-Light"/>
          <w:kern w:val="0"/>
          <w:szCs w:val="21"/>
        </w:rPr>
        <w:t>这一点上也是一种功利主义的表现。自然环境、资源的制约性——根据生产力的发展</w:t>
      </w:r>
      <w:r>
        <w:rPr>
          <w:rFonts w:ascii="宋体" w:hAnsi="宋体" w:eastAsia="宋体" w:cs="AdobeSongStd-Light"/>
          <w:kern w:val="0"/>
          <w:szCs w:val="21"/>
        </w:rPr>
        <w:t>，</w:t>
      </w:r>
      <w:r>
        <w:rPr>
          <w:rFonts w:hint="eastAsia" w:ascii="宋体" w:hAnsi="宋体" w:eastAsia="宋体" w:cs="AdobeSongStd-Light"/>
          <w:kern w:val="0"/>
          <w:szCs w:val="21"/>
        </w:rPr>
        <w:t>无限富裕是不可能的——正义的环境持续。马克思派也不能不关心规范理论。可是</w:t>
      </w:r>
      <w:r>
        <w:rPr>
          <w:rFonts w:ascii="宋体" w:hAnsi="宋体" w:eastAsia="宋体" w:cs="AdobeSongStd-Light"/>
          <w:kern w:val="0"/>
          <w:szCs w:val="21"/>
        </w:rPr>
        <w:t>，</w:t>
      </w:r>
      <w:r>
        <w:rPr>
          <w:rFonts w:hint="eastAsia" w:ascii="宋体" w:hAnsi="宋体" w:eastAsia="宋体" w:cs="AdobeSongStd-Light"/>
          <w:kern w:val="0"/>
          <w:szCs w:val="21"/>
        </w:rPr>
        <w:t>在自由主义范围内开展的规范论的诸标题</w:t>
      </w:r>
      <w:r>
        <w:rPr>
          <w:rFonts w:ascii="宋体" w:hAnsi="宋体" w:eastAsia="宋体" w:cs="AdobeSongStd-Light"/>
          <w:kern w:val="0"/>
          <w:szCs w:val="21"/>
        </w:rPr>
        <w:t>（</w:t>
      </w:r>
      <w:r>
        <w:rPr>
          <w:rFonts w:hint="eastAsia" w:ascii="宋体" w:hAnsi="宋体" w:eastAsia="宋体" w:cs="AdobeSongStd-Light"/>
          <w:kern w:val="0"/>
          <w:szCs w:val="21"/>
        </w:rPr>
        <w:t>如平等论、共同论</w:t>
      </w:r>
      <w:r>
        <w:rPr>
          <w:rFonts w:ascii="宋体" w:hAnsi="宋体" w:eastAsia="宋体" w:cs="AdobeSongStd-Light"/>
          <w:kern w:val="0"/>
          <w:szCs w:val="21"/>
        </w:rPr>
        <w:t>），</w:t>
      </w:r>
      <w:r>
        <w:rPr>
          <w:rFonts w:hint="eastAsia" w:ascii="宋体" w:hAnsi="宋体" w:eastAsia="宋体" w:cs="AdobeSongStd-Light"/>
          <w:kern w:val="0"/>
          <w:szCs w:val="21"/>
        </w:rPr>
        <w:t>为马克思经济学框架内的充分摄取是可能的</w:t>
      </w:r>
      <w:r>
        <w:rPr>
          <w:rFonts w:ascii="宋体" w:hAnsi="宋体" w:eastAsia="宋体" w:cs="AdobeSongStd-Light"/>
          <w:kern w:val="0"/>
          <w:szCs w:val="21"/>
        </w:rPr>
        <w:t>，</w:t>
      </w:r>
      <w:r>
        <w:rPr>
          <w:rFonts w:hint="eastAsia" w:ascii="宋体" w:hAnsi="宋体" w:eastAsia="宋体" w:cs="AdobeSongStd-Light"/>
          <w:kern w:val="0"/>
          <w:szCs w:val="21"/>
        </w:rPr>
        <w:t>并对马克思经济学本身的发展非常重要。</w:t>
      </w:r>
    </w:p>
    <w:p w14:paraId="6BECCB92">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三是社会经济学和规范理论。</w:t>
      </w:r>
      <w:r>
        <w:rPr>
          <w:rFonts w:ascii="宋体" w:hAnsi="宋体" w:eastAsia="宋体" w:cs="AdobeSongStd-Light"/>
          <w:kern w:val="0"/>
          <w:szCs w:val="21"/>
        </w:rPr>
        <w:t>(1)</w:t>
      </w:r>
      <w:r>
        <w:rPr>
          <w:rFonts w:hint="eastAsia" w:ascii="宋体" w:hAnsi="宋体" w:eastAsia="宋体" w:cs="AdobeSongStd-Light"/>
          <w:kern w:val="0"/>
          <w:szCs w:val="21"/>
        </w:rPr>
        <w:t>多元问题群和规范的观点</w:t>
      </w:r>
      <w:r>
        <w:rPr>
          <w:rFonts w:ascii="宋体" w:hAnsi="宋体" w:eastAsia="宋体" w:cs="AdobeSongStd-Light"/>
          <w:kern w:val="0"/>
          <w:szCs w:val="21"/>
        </w:rPr>
        <w:t>：</w:t>
      </w:r>
      <w:r>
        <w:rPr>
          <w:rFonts w:hint="eastAsia" w:ascii="宋体" w:hAnsi="宋体" w:eastAsia="宋体" w:cs="AdobeSongStd-Light"/>
          <w:kern w:val="0"/>
          <w:szCs w:val="21"/>
        </w:rPr>
        <w:t>面对社会经济的多元化倾向</w:t>
      </w:r>
      <w:r>
        <w:rPr>
          <w:rFonts w:ascii="宋体" w:hAnsi="宋体" w:eastAsia="宋体" w:cs="AdobeSongStd-Light"/>
          <w:kern w:val="0"/>
          <w:szCs w:val="21"/>
        </w:rPr>
        <w:t>，</w:t>
      </w:r>
      <w:r>
        <w:rPr>
          <w:rFonts w:hint="eastAsia" w:ascii="宋体" w:hAnsi="宋体" w:eastAsia="宋体" w:cs="AdobeSongStd-Light"/>
          <w:kern w:val="0"/>
          <w:szCs w:val="21"/>
        </w:rPr>
        <w:t>规范的观点可使其成为体系化具有可能性。例如</w:t>
      </w:r>
      <w:r>
        <w:rPr>
          <w:rFonts w:ascii="宋体" w:hAnsi="宋体" w:eastAsia="宋体" w:cs="AdobeSongStd-Light"/>
          <w:kern w:val="0"/>
          <w:szCs w:val="21"/>
        </w:rPr>
        <w:t>，</w:t>
      </w:r>
      <w:r>
        <w:rPr>
          <w:rFonts w:hint="eastAsia" w:ascii="宋体" w:hAnsi="宋体" w:eastAsia="宋体" w:cs="AdobeSongStd-Light"/>
          <w:kern w:val="0"/>
          <w:szCs w:val="21"/>
        </w:rPr>
        <w:t>把共同体和协会等非市场的经济制度放入视野进行考虑的情况下</w:t>
      </w:r>
      <w:r>
        <w:rPr>
          <w:rFonts w:ascii="宋体" w:hAnsi="宋体" w:eastAsia="宋体" w:cs="AdobeSongStd-Light"/>
          <w:kern w:val="0"/>
          <w:szCs w:val="21"/>
        </w:rPr>
        <w:t>，</w:t>
      </w:r>
      <w:r>
        <w:rPr>
          <w:rFonts w:hint="eastAsia" w:ascii="宋体" w:hAnsi="宋体" w:eastAsia="宋体" w:cs="AdobeSongStd-Light"/>
          <w:kern w:val="0"/>
          <w:szCs w:val="21"/>
        </w:rPr>
        <w:t>讨论效率以外的价值。</w:t>
      </w:r>
      <w:r>
        <w:rPr>
          <w:rFonts w:ascii="宋体" w:hAnsi="宋体" w:eastAsia="宋体" w:cs="AdobeSongStd-Light"/>
          <w:kern w:val="0"/>
          <w:szCs w:val="21"/>
        </w:rPr>
        <w:t>(2)</w:t>
      </w:r>
      <w:r>
        <w:rPr>
          <w:rFonts w:hint="eastAsia" w:ascii="宋体" w:hAnsi="宋体" w:eastAsia="宋体" w:cs="AdobeSongStd-Light"/>
          <w:kern w:val="0"/>
          <w:szCs w:val="21"/>
        </w:rPr>
        <w:t>作为实证分析的基础</w:t>
      </w:r>
      <w:r>
        <w:rPr>
          <w:rFonts w:ascii="宋体" w:hAnsi="宋体" w:eastAsia="宋体" w:cs="AdobeSongStd-Light"/>
          <w:kern w:val="0"/>
          <w:szCs w:val="21"/>
        </w:rPr>
        <w:t>：</w:t>
      </w:r>
      <w:r>
        <w:rPr>
          <w:rFonts w:hint="eastAsia" w:ascii="宋体" w:hAnsi="宋体" w:eastAsia="宋体" w:cs="AdobeSongStd-Light"/>
          <w:kern w:val="0"/>
          <w:szCs w:val="21"/>
        </w:rPr>
        <w:t>提供了什么是对于现代社会来说本质性的危机及什么能为判定重大问题提供基准。根植于市场、国家、中介机构这样的制度立场上的社会主义的诸价值观</w:t>
      </w:r>
      <w:r>
        <w:rPr>
          <w:rFonts w:ascii="宋体" w:hAnsi="宋体" w:eastAsia="宋体" w:cs="AdobeSongStd-Light"/>
          <w:kern w:val="0"/>
          <w:szCs w:val="21"/>
        </w:rPr>
        <w:t>，</w:t>
      </w:r>
      <w:r>
        <w:rPr>
          <w:rFonts w:hint="eastAsia" w:ascii="宋体" w:hAnsi="宋体" w:eastAsia="宋体" w:cs="AdobeSongStd-Light"/>
          <w:kern w:val="0"/>
          <w:szCs w:val="21"/>
        </w:rPr>
        <w:t>怎样被实现的观点受到了重视。应当以自由、平等、共同的根本价值的视点为基础</w:t>
      </w:r>
      <w:r>
        <w:rPr>
          <w:rFonts w:ascii="宋体" w:hAnsi="宋体" w:eastAsia="宋体" w:cs="AdobeSongStd-Light"/>
          <w:kern w:val="0"/>
          <w:szCs w:val="21"/>
        </w:rPr>
        <w:t>，</w:t>
      </w:r>
      <w:r>
        <w:rPr>
          <w:rFonts w:hint="eastAsia" w:ascii="宋体" w:hAnsi="宋体" w:eastAsia="宋体" w:cs="AdobeSongStd-Light"/>
          <w:kern w:val="0"/>
          <w:szCs w:val="21"/>
        </w:rPr>
        <w:t>评价现代世界社会、福利国家资本主义和现存社会主义。</w:t>
      </w:r>
      <w:r>
        <w:rPr>
          <w:rFonts w:ascii="宋体" w:hAnsi="宋体" w:eastAsia="宋体" w:cs="AdobeSongStd-Light"/>
          <w:kern w:val="0"/>
          <w:szCs w:val="21"/>
        </w:rPr>
        <w:t>(3)</w:t>
      </w:r>
      <w:r>
        <w:rPr>
          <w:rFonts w:hint="eastAsia" w:ascii="宋体" w:hAnsi="宋体" w:eastAsia="宋体" w:cs="AdobeSongStd-Light"/>
          <w:kern w:val="0"/>
          <w:szCs w:val="21"/>
        </w:rPr>
        <w:t>历史的变化的视点</w:t>
      </w:r>
      <w:r>
        <w:rPr>
          <w:rFonts w:ascii="宋体" w:hAnsi="宋体" w:eastAsia="宋体" w:cs="AdobeSongStd-Light"/>
          <w:kern w:val="0"/>
          <w:szCs w:val="21"/>
        </w:rPr>
        <w:t>：</w:t>
      </w:r>
      <w:r>
        <w:rPr>
          <w:rFonts w:hint="eastAsia" w:ascii="宋体" w:hAnsi="宋体" w:eastAsia="宋体" w:cs="AdobeSongStd-Light"/>
          <w:kern w:val="0"/>
          <w:szCs w:val="21"/>
        </w:rPr>
        <w:t>和自由主义乃至新古典派的规范理论不同</w:t>
      </w:r>
      <w:r>
        <w:rPr>
          <w:rFonts w:ascii="宋体" w:hAnsi="宋体" w:eastAsia="宋体" w:cs="AdobeSongStd-Light"/>
          <w:kern w:val="0"/>
          <w:szCs w:val="21"/>
        </w:rPr>
        <w:t>，</w:t>
      </w:r>
      <w:r>
        <w:rPr>
          <w:rFonts w:hint="eastAsia" w:ascii="宋体" w:hAnsi="宋体" w:eastAsia="宋体" w:cs="AdobeSongStd-Light"/>
          <w:kern w:val="0"/>
          <w:szCs w:val="21"/>
        </w:rPr>
        <w:t>在社会经济学范围中</w:t>
      </w:r>
      <w:r>
        <w:rPr>
          <w:rFonts w:ascii="宋体" w:hAnsi="宋体" w:eastAsia="宋体" w:cs="AdobeSongStd-Light"/>
          <w:kern w:val="0"/>
          <w:szCs w:val="21"/>
        </w:rPr>
        <w:t>，</w:t>
      </w:r>
      <w:r>
        <w:rPr>
          <w:rFonts w:hint="eastAsia" w:ascii="宋体" w:hAnsi="宋体" w:eastAsia="宋体" w:cs="AdobeSongStd-Light"/>
          <w:kern w:val="0"/>
          <w:szCs w:val="21"/>
        </w:rPr>
        <w:t>与上述的重大危机和经济社会的倾向变化相关联</w:t>
      </w:r>
      <w:r>
        <w:rPr>
          <w:rFonts w:ascii="宋体" w:hAnsi="宋体" w:eastAsia="宋体" w:cs="AdobeSongStd-Light"/>
          <w:kern w:val="0"/>
          <w:szCs w:val="21"/>
        </w:rPr>
        <w:t>，</w:t>
      </w:r>
      <w:r>
        <w:rPr>
          <w:rFonts w:hint="eastAsia" w:ascii="宋体" w:hAnsi="宋体" w:eastAsia="宋体" w:cs="AdobeSongStd-Light"/>
          <w:kern w:val="0"/>
          <w:szCs w:val="21"/>
        </w:rPr>
        <w:t>作为经济结构和上层建筑的社会规范如何互相影响</w:t>
      </w:r>
      <w:r>
        <w:rPr>
          <w:rFonts w:ascii="宋体" w:hAnsi="宋体" w:eastAsia="宋体" w:cs="AdobeSongStd-Light"/>
          <w:kern w:val="0"/>
          <w:szCs w:val="21"/>
        </w:rPr>
        <w:t>，</w:t>
      </w:r>
      <w:r>
        <w:rPr>
          <w:rFonts w:hint="eastAsia" w:ascii="宋体" w:hAnsi="宋体" w:eastAsia="宋体" w:cs="AdobeSongStd-Light"/>
          <w:kern w:val="0"/>
          <w:szCs w:val="21"/>
        </w:rPr>
        <w:t>现在又怎样进行变化等方面的研究受到重视。</w:t>
      </w:r>
      <w:r>
        <w:rPr>
          <w:rFonts w:ascii="宋体" w:hAnsi="宋体" w:eastAsia="宋体" w:cs="AdobeSongStd-Light"/>
          <w:kern w:val="0"/>
          <w:szCs w:val="21"/>
        </w:rPr>
        <w:t>（4）</w:t>
      </w:r>
      <w:r>
        <w:rPr>
          <w:rFonts w:hint="eastAsia" w:ascii="宋体" w:hAnsi="宋体" w:eastAsia="宋体" w:cs="AdobeSongStd-Light"/>
          <w:kern w:val="0"/>
          <w:szCs w:val="21"/>
        </w:rPr>
        <w:t>制定社会经济学的体制、制度和运动的规范的基础。作为经济学</w:t>
      </w:r>
      <w:r>
        <w:rPr>
          <w:rFonts w:ascii="宋体" w:hAnsi="宋体" w:eastAsia="宋体" w:cs="AdobeSongStd-Light"/>
          <w:kern w:val="0"/>
          <w:szCs w:val="21"/>
        </w:rPr>
        <w:t>，</w:t>
      </w:r>
      <w:r>
        <w:rPr>
          <w:rFonts w:hint="eastAsia" w:ascii="宋体" w:hAnsi="宋体" w:eastAsia="宋体" w:cs="AdobeSongStd-Light"/>
          <w:kern w:val="0"/>
          <w:szCs w:val="21"/>
        </w:rPr>
        <w:t>为把存在于现代社会的社会经济学的尝试理论化</w:t>
      </w:r>
      <w:r>
        <w:rPr>
          <w:rFonts w:ascii="宋体" w:hAnsi="宋体" w:eastAsia="宋体" w:cs="AdobeSongStd-Light"/>
          <w:kern w:val="0"/>
          <w:szCs w:val="21"/>
        </w:rPr>
        <w:t>，</w:t>
      </w:r>
      <w:r>
        <w:rPr>
          <w:rFonts w:hint="eastAsia" w:ascii="宋体" w:hAnsi="宋体" w:eastAsia="宋体" w:cs="AdobeSongStd-Light"/>
          <w:kern w:val="0"/>
          <w:szCs w:val="21"/>
        </w:rPr>
        <w:t>根据以下的新的诸理论和实践</w:t>
      </w:r>
      <w:r>
        <w:rPr>
          <w:rFonts w:ascii="宋体" w:hAnsi="宋体" w:eastAsia="宋体" w:cs="AdobeSongStd-Light"/>
          <w:kern w:val="0"/>
          <w:szCs w:val="21"/>
        </w:rPr>
        <w:t>，</w:t>
      </w:r>
      <w:r>
        <w:rPr>
          <w:rFonts w:hint="eastAsia" w:ascii="宋体" w:hAnsi="宋体" w:eastAsia="宋体" w:cs="AdobeSongStd-Light"/>
          <w:kern w:val="0"/>
          <w:szCs w:val="21"/>
        </w:rPr>
        <w:t>并用自由、平等、共同的规范观点作为基础。这些理论分别是</w:t>
      </w:r>
      <w:r>
        <w:rPr>
          <w:rFonts w:ascii="宋体" w:hAnsi="宋体" w:eastAsia="宋体" w:cs="AdobeSongStd-Light"/>
          <w:kern w:val="0"/>
          <w:szCs w:val="21"/>
        </w:rPr>
        <w:t>：</w:t>
      </w:r>
      <w:r>
        <w:rPr>
          <w:rFonts w:hint="eastAsia" w:ascii="宋体" w:hAnsi="宋体" w:eastAsia="宋体" w:cs="AdobeSongStd-Light"/>
          <w:kern w:val="0"/>
          <w:szCs w:val="21"/>
        </w:rPr>
        <w:t>社会民主主义、市场社会主义、自主管理型企业、协会、协同工会、基本所得、新的社会运动和自发的发展论等。</w:t>
      </w:r>
    </w:p>
    <w:p w14:paraId="79857A60">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四是社会主义的规范概念。</w:t>
      </w:r>
      <w:r>
        <w:rPr>
          <w:rFonts w:ascii="宋体" w:hAnsi="宋体" w:eastAsia="宋体" w:cs="AdobeSongStd-Light"/>
          <w:kern w:val="0"/>
          <w:szCs w:val="21"/>
        </w:rPr>
        <w:t>(1)</w:t>
      </w:r>
      <w:r>
        <w:rPr>
          <w:rFonts w:hint="eastAsia" w:ascii="宋体" w:hAnsi="宋体" w:eastAsia="宋体" w:cs="AdobeSongStd-Light"/>
          <w:kern w:val="0"/>
          <w:szCs w:val="21"/>
        </w:rPr>
        <w:t>围绕社会主义的规范理论的课题</w:t>
      </w:r>
      <w:r>
        <w:rPr>
          <w:rFonts w:ascii="宋体" w:hAnsi="宋体" w:eastAsia="宋体" w:cs="AdobeSongStd-Light"/>
          <w:kern w:val="0"/>
          <w:szCs w:val="21"/>
        </w:rPr>
        <w:t>：</w:t>
      </w:r>
      <w:r>
        <w:rPr>
          <w:rFonts w:hint="eastAsia" w:ascii="宋体" w:hAnsi="宋体" w:eastAsia="宋体" w:cs="AdobeSongStd-Light"/>
          <w:kern w:val="0"/>
          <w:szCs w:val="21"/>
        </w:rPr>
        <w:t>在马克思主义里</w:t>
      </w:r>
      <w:r>
        <w:rPr>
          <w:rFonts w:ascii="宋体" w:hAnsi="宋体" w:eastAsia="宋体" w:cs="AdobeSongStd-Light"/>
          <w:kern w:val="0"/>
          <w:szCs w:val="21"/>
        </w:rPr>
        <w:t>，</w:t>
      </w:r>
      <w:r>
        <w:rPr>
          <w:rFonts w:hint="eastAsia" w:ascii="宋体" w:hAnsi="宋体" w:eastAsia="宋体" w:cs="AdobeSongStd-Light"/>
          <w:kern w:val="0"/>
          <w:szCs w:val="21"/>
        </w:rPr>
        <w:t>规范理论道德应该怎样进行定位呢</w:t>
      </w:r>
      <w:r>
        <w:rPr>
          <w:rFonts w:ascii="宋体" w:hAnsi="宋体" w:eastAsia="宋体" w:cs="AdobeSongStd-Light"/>
          <w:kern w:val="0"/>
          <w:szCs w:val="21"/>
        </w:rPr>
        <w:t>？</w:t>
      </w:r>
      <w:r>
        <w:rPr>
          <w:rFonts w:hint="eastAsia" w:ascii="宋体" w:hAnsi="宋体" w:eastAsia="宋体" w:cs="AdobeSongStd-Light"/>
          <w:kern w:val="0"/>
          <w:szCs w:val="21"/>
        </w:rPr>
        <w:t>应当如何看待功利主义、非功利主义呢</w:t>
      </w:r>
      <w:r>
        <w:rPr>
          <w:rFonts w:ascii="宋体" w:hAnsi="宋体" w:eastAsia="宋体" w:cs="AdobeSongStd-Light"/>
          <w:kern w:val="0"/>
          <w:szCs w:val="21"/>
        </w:rPr>
        <w:t>？</w:t>
      </w:r>
      <w:r>
        <w:rPr>
          <w:rFonts w:hint="eastAsia" w:ascii="宋体" w:hAnsi="宋体" w:eastAsia="宋体" w:cs="AdobeSongStd-Light"/>
          <w:kern w:val="0"/>
          <w:szCs w:val="21"/>
        </w:rPr>
        <w:t>共同体主义、生态学</w:t>
      </w:r>
      <w:r>
        <w:rPr>
          <w:rFonts w:ascii="宋体" w:hAnsi="宋体" w:eastAsia="宋体" w:cs="AdobeSongStd-Light"/>
          <w:kern w:val="0"/>
          <w:szCs w:val="21"/>
        </w:rPr>
        <w:t>，</w:t>
      </w:r>
      <w:r>
        <w:rPr>
          <w:rFonts w:hint="eastAsia" w:ascii="宋体" w:hAnsi="宋体" w:eastAsia="宋体" w:cs="AdobeSongStd-Light"/>
          <w:kern w:val="0"/>
          <w:szCs w:val="21"/>
        </w:rPr>
        <w:t>还有历史唯物论和规范论有怎样的关系</w:t>
      </w:r>
      <w:r>
        <w:rPr>
          <w:rFonts w:ascii="宋体" w:hAnsi="宋体" w:eastAsia="宋体" w:cs="AdobeSongStd-Light"/>
          <w:kern w:val="0"/>
          <w:szCs w:val="21"/>
        </w:rPr>
        <w:t>？</w:t>
      </w:r>
      <w:r>
        <w:rPr>
          <w:rFonts w:hint="eastAsia" w:ascii="宋体" w:hAnsi="宋体" w:eastAsia="宋体" w:cs="AdobeSongStd-Light"/>
          <w:kern w:val="0"/>
          <w:szCs w:val="21"/>
        </w:rPr>
        <w:t>社会的正义幻想论与规范论和进化的社会理论有怎样的联系</w:t>
      </w:r>
      <w:r>
        <w:rPr>
          <w:rFonts w:ascii="宋体" w:hAnsi="宋体" w:eastAsia="宋体" w:cs="AdobeSongStd-Light"/>
          <w:kern w:val="0"/>
          <w:szCs w:val="21"/>
        </w:rPr>
        <w:t>？(2)</w:t>
      </w:r>
      <w:r>
        <w:rPr>
          <w:rFonts w:hint="eastAsia" w:ascii="宋体" w:hAnsi="宋体" w:eastAsia="宋体" w:cs="AdobeSongStd-Light"/>
          <w:kern w:val="0"/>
          <w:szCs w:val="21"/>
        </w:rPr>
        <w:t>为了再构社会主义的规范理论</w:t>
      </w:r>
      <w:r>
        <w:rPr>
          <w:rFonts w:ascii="宋体" w:hAnsi="宋体" w:eastAsia="宋体" w:cs="AdobeSongStd-Light"/>
          <w:kern w:val="0"/>
          <w:szCs w:val="21"/>
        </w:rPr>
        <w:t>：</w:t>
      </w:r>
      <w:r>
        <w:rPr>
          <w:rFonts w:hint="eastAsia" w:ascii="宋体" w:hAnsi="宋体" w:eastAsia="宋体" w:cs="AdobeSongStd-Light"/>
          <w:kern w:val="0"/>
          <w:szCs w:val="21"/>
        </w:rPr>
        <w:t>社会主义理念实际上对人类社会来说是自然的理想</w:t>
      </w:r>
      <w:r>
        <w:rPr>
          <w:rFonts w:ascii="宋体" w:hAnsi="宋体" w:eastAsia="宋体" w:cs="AdobeSongStd-Light"/>
          <w:kern w:val="0"/>
          <w:szCs w:val="21"/>
        </w:rPr>
        <w:t>，</w:t>
      </w:r>
      <w:r>
        <w:rPr>
          <w:rFonts w:hint="eastAsia" w:ascii="宋体" w:hAnsi="宋体" w:eastAsia="宋体" w:cs="AdobeSongStd-Light"/>
          <w:kern w:val="0"/>
          <w:szCs w:val="21"/>
        </w:rPr>
        <w:t>社会主义的产生是必然的</w:t>
      </w:r>
      <w:r>
        <w:rPr>
          <w:rFonts w:ascii="宋体" w:hAnsi="宋体" w:eastAsia="宋体" w:cs="AdobeSongStd-Light"/>
          <w:kern w:val="0"/>
          <w:szCs w:val="21"/>
        </w:rPr>
        <w:t>，</w:t>
      </w:r>
      <w:r>
        <w:rPr>
          <w:rFonts w:hint="eastAsia" w:ascii="宋体" w:hAnsi="宋体" w:eastAsia="宋体" w:cs="AdobeSongStd-Light"/>
          <w:kern w:val="0"/>
          <w:szCs w:val="21"/>
        </w:rPr>
        <w:t>不过</w:t>
      </w:r>
      <w:r>
        <w:rPr>
          <w:rFonts w:ascii="宋体" w:hAnsi="宋体" w:eastAsia="宋体" w:cs="AdobeSongStd-Light"/>
          <w:kern w:val="0"/>
          <w:szCs w:val="21"/>
        </w:rPr>
        <w:t>，</w:t>
      </w:r>
      <w:r>
        <w:rPr>
          <w:rFonts w:hint="eastAsia" w:ascii="宋体" w:hAnsi="宋体" w:eastAsia="宋体" w:cs="AdobeSongStd-Light"/>
          <w:kern w:val="0"/>
          <w:szCs w:val="21"/>
        </w:rPr>
        <w:t>我们自身必须体系化</w:t>
      </w:r>
      <w:r>
        <w:rPr>
          <w:rFonts w:ascii="宋体" w:hAnsi="宋体" w:eastAsia="宋体" w:cs="AdobeSongStd-Light"/>
          <w:kern w:val="0"/>
          <w:szCs w:val="21"/>
        </w:rPr>
        <w:t>，</w:t>
      </w:r>
      <w:r>
        <w:rPr>
          <w:rFonts w:hint="eastAsia" w:ascii="宋体" w:hAnsi="宋体" w:eastAsia="宋体" w:cs="AdobeSongStd-Light"/>
          <w:kern w:val="0"/>
          <w:szCs w:val="21"/>
        </w:rPr>
        <w:t>社会主义的理念是自由、平等和共同的实质化</w:t>
      </w:r>
      <w:r>
        <w:rPr>
          <w:rFonts w:ascii="宋体" w:hAnsi="宋体" w:eastAsia="宋体" w:cs="AdobeSongStd-Light"/>
          <w:kern w:val="0"/>
          <w:szCs w:val="21"/>
        </w:rPr>
        <w:t>，</w:t>
      </w:r>
      <w:r>
        <w:rPr>
          <w:rFonts w:hint="eastAsia" w:ascii="宋体" w:hAnsi="宋体" w:eastAsia="宋体" w:cs="AdobeSongStd-Light"/>
          <w:kern w:val="0"/>
          <w:szCs w:val="21"/>
        </w:rPr>
        <w:t>而不是自由的否定。</w:t>
      </w:r>
    </w:p>
    <w:p w14:paraId="2C31AB02">
      <w:pPr>
        <w:autoSpaceDE w:val="0"/>
        <w:autoSpaceDN w:val="0"/>
        <w:spacing w:line="300" w:lineRule="auto"/>
        <w:ind w:firstLine="440" w:firstLineChars="200"/>
        <w:jc w:val="left"/>
        <w:rPr>
          <w:rFonts w:ascii="宋体" w:hAnsi="宋体" w:eastAsia="宋体" w:cs="AdobeSongStd-Light"/>
          <w:b/>
          <w:kern w:val="0"/>
          <w:szCs w:val="21"/>
        </w:rPr>
      </w:pPr>
      <w:r>
        <w:rPr>
          <w:rFonts w:ascii="宋体" w:hAnsi="宋体" w:eastAsia="宋体" w:cs="AdobeSongStd-Light"/>
          <w:b/>
          <w:kern w:val="0"/>
          <w:szCs w:val="21"/>
        </w:rPr>
        <w:t>（</w:t>
      </w:r>
      <w:r>
        <w:rPr>
          <w:rFonts w:hint="eastAsia" w:ascii="宋体" w:hAnsi="宋体" w:eastAsia="宋体" w:cs="AdobeSongStd-Light"/>
          <w:b/>
          <w:kern w:val="0"/>
          <w:szCs w:val="21"/>
        </w:rPr>
        <w:t>二</w:t>
      </w:r>
      <w:r>
        <w:rPr>
          <w:rFonts w:ascii="宋体" w:hAnsi="宋体" w:eastAsia="宋体" w:cs="AdobeSongStd-Light"/>
          <w:b/>
          <w:kern w:val="0"/>
          <w:szCs w:val="21"/>
        </w:rPr>
        <w:t xml:space="preserve">） </w:t>
      </w:r>
      <w:r>
        <w:rPr>
          <w:rFonts w:hint="eastAsia" w:ascii="宋体" w:hAnsi="宋体" w:eastAsia="宋体" w:cs="AdobeSongStd-Light"/>
          <w:b/>
          <w:kern w:val="0"/>
          <w:szCs w:val="21"/>
        </w:rPr>
        <w:t>全球化和元理论的探讨</w:t>
      </w:r>
    </w:p>
    <w:p w14:paraId="110EAB82">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东京大学著名中年教授小幡道昭的具体观点如下</w:t>
      </w:r>
      <w:r>
        <w:rPr>
          <w:rFonts w:ascii="宋体" w:hAnsi="宋体" w:eastAsia="宋体" w:cs="AdobeSongStd-Light"/>
          <w:kern w:val="0"/>
          <w:szCs w:val="21"/>
        </w:rPr>
        <w:t>：</w:t>
      </w:r>
    </w:p>
    <w:p w14:paraId="646AB82E">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1</w:t>
      </w:r>
      <w:r>
        <w:rPr>
          <w:rFonts w:hint="eastAsia" w:ascii="宋体" w:hAnsi="宋体" w:eastAsia="宋体" w:cs="Times New Roman"/>
          <w:kern w:val="0"/>
          <w:szCs w:val="21"/>
        </w:rPr>
        <w:t>.</w:t>
      </w:r>
      <w:r>
        <w:rPr>
          <w:rFonts w:hint="eastAsia" w:ascii="宋体" w:hAnsi="宋体" w:eastAsia="宋体" w:cs="AdobeSongStd-Light"/>
          <w:kern w:val="0"/>
          <w:szCs w:val="21"/>
        </w:rPr>
        <w:t>帝国主义以后。第一个问题</w:t>
      </w:r>
      <w:r>
        <w:rPr>
          <w:rFonts w:ascii="宋体" w:hAnsi="宋体" w:eastAsia="宋体" w:cs="AdobeSongStd-Light"/>
          <w:kern w:val="0"/>
          <w:szCs w:val="21"/>
        </w:rPr>
        <w:t>，</w:t>
      </w:r>
      <w:r>
        <w:rPr>
          <w:rFonts w:hint="eastAsia" w:ascii="宋体" w:hAnsi="宋体" w:eastAsia="宋体" w:cs="AdobeSongStd-Light"/>
          <w:kern w:val="0"/>
          <w:szCs w:val="21"/>
        </w:rPr>
        <w:t>是什么把马克思经济学导引到今天的样式中呢</w:t>
      </w:r>
      <w:r>
        <w:rPr>
          <w:rFonts w:ascii="宋体" w:hAnsi="宋体" w:eastAsia="宋体" w:cs="AdobeSongStd-Light"/>
          <w:kern w:val="0"/>
          <w:szCs w:val="21"/>
        </w:rPr>
        <w:t>？</w:t>
      </w:r>
      <w:r>
        <w:rPr>
          <w:rFonts w:hint="eastAsia" w:ascii="宋体" w:hAnsi="宋体" w:eastAsia="宋体" w:cs="AdobeSongStd-Light"/>
          <w:kern w:val="0"/>
          <w:szCs w:val="21"/>
        </w:rPr>
        <w:t>一般说</w:t>
      </w:r>
      <w:r>
        <w:rPr>
          <w:rFonts w:ascii="宋体" w:hAnsi="宋体" w:eastAsia="宋体" w:cs="AdobeSongStd-Light"/>
          <w:kern w:val="0"/>
          <w:szCs w:val="21"/>
        </w:rPr>
        <w:t>，</w:t>
      </w:r>
      <w:r>
        <w:rPr>
          <w:rFonts w:hint="eastAsia" w:ascii="宋体" w:hAnsi="宋体" w:eastAsia="宋体" w:cs="AdobeSongStd-Light"/>
          <w:kern w:val="0"/>
          <w:szCs w:val="21"/>
        </w:rPr>
        <w:t>马克思经济学是使《资本论》体系中的马克思学说得到发展的经济学说。只是今天的马克思经济学固有的特性是在马克思去世后、伴随后发资本主义的抬头、大规模资本主义变动而形成的。从自由主义阶段向帝国主义过渡之际</w:t>
      </w:r>
      <w:r>
        <w:rPr>
          <w:rFonts w:ascii="宋体" w:hAnsi="宋体" w:eastAsia="宋体" w:cs="AdobeSongStd-Light"/>
          <w:kern w:val="0"/>
          <w:szCs w:val="21"/>
        </w:rPr>
        <w:t>，</w:t>
      </w:r>
      <w:r>
        <w:rPr>
          <w:rFonts w:hint="eastAsia" w:ascii="宋体" w:hAnsi="宋体" w:eastAsia="宋体" w:cs="AdobeSongStd-Light"/>
          <w:kern w:val="0"/>
          <w:szCs w:val="21"/>
        </w:rPr>
        <w:t>马克思以后的马克思经济学家们</w:t>
      </w:r>
      <w:r>
        <w:rPr>
          <w:rFonts w:ascii="宋体" w:hAnsi="宋体" w:eastAsia="宋体" w:cs="AdobeSongStd-Light"/>
          <w:kern w:val="0"/>
          <w:szCs w:val="21"/>
        </w:rPr>
        <w:t>，</w:t>
      </w:r>
      <w:r>
        <w:rPr>
          <w:rFonts w:hint="eastAsia" w:ascii="宋体" w:hAnsi="宋体" w:eastAsia="宋体" w:cs="AdobeSongStd-Light"/>
          <w:kern w:val="0"/>
          <w:szCs w:val="21"/>
        </w:rPr>
        <w:t>一边以《资本论》为基础进行研究</w:t>
      </w:r>
      <w:r>
        <w:rPr>
          <w:rFonts w:ascii="宋体" w:hAnsi="宋体" w:eastAsia="宋体" w:cs="AdobeSongStd-Light"/>
          <w:kern w:val="0"/>
          <w:szCs w:val="21"/>
        </w:rPr>
        <w:t>，</w:t>
      </w:r>
      <w:r>
        <w:rPr>
          <w:rFonts w:hint="eastAsia" w:ascii="宋体" w:hAnsi="宋体" w:eastAsia="宋体" w:cs="AdobeSongStd-Light"/>
          <w:kern w:val="0"/>
          <w:szCs w:val="21"/>
        </w:rPr>
        <w:t>一边关注国家和共同体、制度和习惯、意识形态和宗教、文化等非市场的诸多因素给市场带来的影响</w:t>
      </w:r>
      <w:r>
        <w:rPr>
          <w:rFonts w:ascii="宋体" w:hAnsi="宋体" w:eastAsia="宋体" w:cs="AdobeSongStd-Light"/>
          <w:kern w:val="0"/>
          <w:szCs w:val="21"/>
        </w:rPr>
        <w:t>，</w:t>
      </w:r>
      <w:r>
        <w:rPr>
          <w:rFonts w:hint="eastAsia" w:ascii="宋体" w:hAnsi="宋体" w:eastAsia="宋体" w:cs="AdobeSongStd-Light"/>
          <w:kern w:val="0"/>
          <w:szCs w:val="21"/>
        </w:rPr>
        <w:t>并进行了各种各样的理论化研究尝试。在竞争现象退潮的现实中</w:t>
      </w:r>
      <w:r>
        <w:rPr>
          <w:rFonts w:ascii="宋体" w:hAnsi="宋体" w:eastAsia="宋体" w:cs="AdobeSongStd-Light"/>
          <w:kern w:val="0"/>
          <w:szCs w:val="21"/>
        </w:rPr>
        <w:t>，</w:t>
      </w:r>
      <w:r>
        <w:rPr>
          <w:rFonts w:hint="eastAsia" w:ascii="宋体" w:hAnsi="宋体" w:eastAsia="宋体" w:cs="AdobeSongStd-Light"/>
          <w:kern w:val="0"/>
          <w:szCs w:val="21"/>
        </w:rPr>
        <w:t>把</w:t>
      </w:r>
      <w:r>
        <w:rPr>
          <w:rFonts w:ascii="宋体" w:hAnsi="宋体" w:eastAsia="宋体" w:cs="AdobeSongStd-Light"/>
          <w:kern w:val="0"/>
          <w:szCs w:val="21"/>
        </w:rPr>
        <w:t>19</w:t>
      </w:r>
      <w:r>
        <w:rPr>
          <w:rFonts w:hint="eastAsia" w:ascii="宋体" w:hAnsi="宋体" w:eastAsia="宋体" w:cs="AdobeSongStd-Light"/>
          <w:kern w:val="0"/>
          <w:szCs w:val="21"/>
        </w:rPr>
        <w:t>世纪的政治经济学作为市场经济的一般理论形式化</w:t>
      </w:r>
      <w:r>
        <w:rPr>
          <w:rFonts w:ascii="宋体" w:hAnsi="宋体" w:eastAsia="宋体" w:cs="AdobeSongStd-Light"/>
          <w:kern w:val="0"/>
          <w:szCs w:val="21"/>
        </w:rPr>
        <w:t>，</w:t>
      </w:r>
      <w:r>
        <w:rPr>
          <w:rFonts w:hint="eastAsia" w:ascii="宋体" w:hAnsi="宋体" w:eastAsia="宋体" w:cs="AdobeSongStd-Light"/>
          <w:kern w:val="0"/>
          <w:szCs w:val="21"/>
        </w:rPr>
        <w:t>并且对于被提高到与自然科学并肩高度的后马克思经济学潮流</w:t>
      </w:r>
      <w:r>
        <w:rPr>
          <w:rFonts w:ascii="宋体" w:hAnsi="宋体" w:eastAsia="宋体" w:cs="AdobeSongStd-Light"/>
          <w:kern w:val="0"/>
          <w:szCs w:val="21"/>
        </w:rPr>
        <w:t>，</w:t>
      </w:r>
      <w:r>
        <w:rPr>
          <w:rFonts w:hint="eastAsia" w:ascii="宋体" w:hAnsi="宋体" w:eastAsia="宋体" w:cs="AdobeSongStd-Light"/>
          <w:kern w:val="0"/>
          <w:szCs w:val="21"/>
        </w:rPr>
        <w:t>在正视资本主义的历史现实</w:t>
      </w:r>
      <w:r>
        <w:rPr>
          <w:rFonts w:ascii="宋体" w:hAnsi="宋体" w:eastAsia="宋体" w:cs="AdobeSongStd-Light"/>
          <w:kern w:val="0"/>
          <w:szCs w:val="21"/>
        </w:rPr>
        <w:t>，</w:t>
      </w:r>
      <w:r>
        <w:rPr>
          <w:rFonts w:hint="eastAsia" w:ascii="宋体" w:hAnsi="宋体" w:eastAsia="宋体" w:cs="AdobeSongStd-Light"/>
          <w:kern w:val="0"/>
          <w:szCs w:val="21"/>
        </w:rPr>
        <w:t>对其特殊性进行解释</w:t>
      </w:r>
      <w:r>
        <w:rPr>
          <w:rFonts w:ascii="宋体" w:hAnsi="宋体" w:eastAsia="宋体" w:cs="AdobeSongStd-Light"/>
          <w:kern w:val="0"/>
          <w:szCs w:val="21"/>
        </w:rPr>
        <w:t>，</w:t>
      </w:r>
      <w:r>
        <w:rPr>
          <w:rFonts w:hint="eastAsia" w:ascii="宋体" w:hAnsi="宋体" w:eastAsia="宋体" w:cs="AdobeSongStd-Light"/>
          <w:kern w:val="0"/>
          <w:szCs w:val="21"/>
        </w:rPr>
        <w:t>同时作为综合社会科学的一环</w:t>
      </w:r>
      <w:r>
        <w:rPr>
          <w:rFonts w:ascii="宋体" w:hAnsi="宋体" w:eastAsia="宋体" w:cs="AdobeSongStd-Light"/>
          <w:kern w:val="0"/>
          <w:szCs w:val="21"/>
        </w:rPr>
        <w:t>，</w:t>
      </w:r>
      <w:r>
        <w:rPr>
          <w:rFonts w:hint="eastAsia" w:ascii="宋体" w:hAnsi="宋体" w:eastAsia="宋体" w:cs="AdobeSongStd-Light"/>
          <w:kern w:val="0"/>
          <w:szCs w:val="21"/>
        </w:rPr>
        <w:t>在经济学被定位的潮流中产生了</w:t>
      </w:r>
      <w:r>
        <w:rPr>
          <w:rFonts w:ascii="宋体" w:hAnsi="宋体" w:eastAsia="宋体" w:cs="AdobeSongStd-Light"/>
          <w:kern w:val="0"/>
          <w:szCs w:val="21"/>
        </w:rPr>
        <w:t>，</w:t>
      </w:r>
      <w:r>
        <w:rPr>
          <w:rFonts w:hint="eastAsia" w:ascii="宋体" w:hAnsi="宋体" w:eastAsia="宋体" w:cs="AdobeSongStd-Light"/>
          <w:kern w:val="0"/>
          <w:szCs w:val="21"/>
        </w:rPr>
        <w:t>确立了作为今天的政治经济学的马克思经济学的主体性。</w:t>
      </w:r>
    </w:p>
    <w:p w14:paraId="7F95AC53">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第二个问题</w:t>
      </w:r>
      <w:r>
        <w:rPr>
          <w:rFonts w:ascii="宋体" w:hAnsi="宋体" w:eastAsia="宋体" w:cs="AdobeSongStd-Light"/>
          <w:kern w:val="0"/>
          <w:szCs w:val="21"/>
        </w:rPr>
        <w:t>，</w:t>
      </w:r>
      <w:r>
        <w:rPr>
          <w:rFonts w:hint="eastAsia" w:ascii="宋体" w:hAnsi="宋体" w:eastAsia="宋体" w:cs="AdobeSongStd-Light"/>
          <w:kern w:val="0"/>
          <w:szCs w:val="21"/>
        </w:rPr>
        <w:t>帝国主义阶段的资本主义的特质在哪里呢</w:t>
      </w:r>
      <w:r>
        <w:rPr>
          <w:rFonts w:ascii="宋体" w:hAnsi="宋体" w:eastAsia="宋体" w:cs="AdobeSongStd-Light"/>
          <w:kern w:val="0"/>
          <w:szCs w:val="21"/>
        </w:rPr>
        <w:t>？</w:t>
      </w:r>
      <w:r>
        <w:rPr>
          <w:rFonts w:hint="eastAsia" w:ascii="宋体" w:hAnsi="宋体" w:eastAsia="宋体" w:cs="AdobeSongStd-Light"/>
          <w:kern w:val="0"/>
          <w:szCs w:val="21"/>
        </w:rPr>
        <w:t>简单地说</w:t>
      </w:r>
      <w:r>
        <w:rPr>
          <w:rFonts w:ascii="宋体" w:hAnsi="宋体" w:eastAsia="宋体" w:cs="AdobeSongStd-Light"/>
          <w:kern w:val="0"/>
          <w:szCs w:val="21"/>
        </w:rPr>
        <w:t>，</w:t>
      </w:r>
      <w:r>
        <w:rPr>
          <w:rFonts w:hint="eastAsia" w:ascii="宋体" w:hAnsi="宋体" w:eastAsia="宋体" w:cs="AdobeSongStd-Light"/>
          <w:kern w:val="0"/>
          <w:szCs w:val="21"/>
        </w:rPr>
        <w:t>就是对于资本主义特有</w:t>
      </w:r>
      <w:r>
        <w:rPr>
          <w:rFonts w:ascii="宋体" w:hAnsi="宋体" w:eastAsia="宋体" w:cs="AdobeSongStd-Light"/>
          <w:kern w:val="0"/>
          <w:szCs w:val="21"/>
        </w:rPr>
        <w:t>（</w:t>
      </w:r>
      <w:r>
        <w:rPr>
          <w:rFonts w:hint="eastAsia" w:ascii="宋体" w:hAnsi="宋体" w:eastAsia="宋体" w:cs="AdobeSongStd-Light"/>
          <w:kern w:val="0"/>
          <w:szCs w:val="21"/>
        </w:rPr>
        <w:t>部分性</w:t>
      </w:r>
      <w:r>
        <w:rPr>
          <w:rFonts w:ascii="宋体" w:hAnsi="宋体" w:eastAsia="宋体" w:cs="AdobeSongStd-Light"/>
          <w:kern w:val="0"/>
          <w:szCs w:val="21"/>
        </w:rPr>
        <w:t>）</w:t>
      </w:r>
      <w:r>
        <w:rPr>
          <w:rFonts w:hint="eastAsia" w:ascii="宋体" w:hAnsi="宋体" w:eastAsia="宋体" w:cs="AdobeSongStd-Light"/>
          <w:kern w:val="0"/>
          <w:szCs w:val="21"/>
        </w:rPr>
        <w:t>的认识。向帝国主义阶段的过渡</w:t>
      </w:r>
      <w:r>
        <w:rPr>
          <w:rFonts w:ascii="宋体" w:hAnsi="宋体" w:eastAsia="宋体" w:cs="AdobeSongStd-Light"/>
          <w:kern w:val="0"/>
          <w:szCs w:val="21"/>
        </w:rPr>
        <w:t>，</w:t>
      </w:r>
      <w:r>
        <w:rPr>
          <w:rFonts w:hint="eastAsia" w:ascii="宋体" w:hAnsi="宋体" w:eastAsia="宋体" w:cs="AdobeSongStd-Light"/>
          <w:kern w:val="0"/>
          <w:szCs w:val="21"/>
        </w:rPr>
        <w:t>资本主义国家有快有慢</w:t>
      </w:r>
      <w:r>
        <w:rPr>
          <w:rFonts w:ascii="宋体" w:hAnsi="宋体" w:eastAsia="宋体" w:cs="AdobeSongStd-Light"/>
          <w:kern w:val="0"/>
          <w:szCs w:val="21"/>
        </w:rPr>
        <w:t>，</w:t>
      </w:r>
      <w:r>
        <w:rPr>
          <w:rFonts w:hint="eastAsia" w:ascii="宋体" w:hAnsi="宋体" w:eastAsia="宋体" w:cs="AdobeSongStd-Light"/>
          <w:kern w:val="0"/>
          <w:szCs w:val="21"/>
        </w:rPr>
        <w:t>并不是以同一模式分别扩张</w:t>
      </w:r>
      <w:r>
        <w:rPr>
          <w:rFonts w:ascii="宋体" w:hAnsi="宋体" w:eastAsia="宋体" w:cs="AdobeSongStd-Light"/>
          <w:kern w:val="0"/>
          <w:szCs w:val="21"/>
        </w:rPr>
        <w:t>，</w:t>
      </w:r>
      <w:r>
        <w:rPr>
          <w:rFonts w:hint="eastAsia" w:ascii="宋体" w:hAnsi="宋体" w:eastAsia="宋体" w:cs="AdobeSongStd-Light"/>
          <w:kern w:val="0"/>
          <w:szCs w:val="21"/>
        </w:rPr>
        <w:t>资本主义化的道路把日本关在了最后</w:t>
      </w:r>
      <w:r>
        <w:rPr>
          <w:rFonts w:ascii="宋体" w:hAnsi="宋体" w:eastAsia="宋体" w:cs="AdobeSongStd-Light"/>
          <w:kern w:val="0"/>
          <w:szCs w:val="21"/>
        </w:rPr>
        <w:t>，</w:t>
      </w:r>
      <w:r>
        <w:rPr>
          <w:rFonts w:hint="eastAsia" w:ascii="宋体" w:hAnsi="宋体" w:eastAsia="宋体" w:cs="AdobeSongStd-Light"/>
          <w:kern w:val="0"/>
          <w:szCs w:val="21"/>
        </w:rPr>
        <w:t>资本主义本国和殖民地关系断开明朗化的同时</w:t>
      </w:r>
      <w:r>
        <w:rPr>
          <w:rFonts w:ascii="宋体" w:hAnsi="宋体" w:eastAsia="宋体" w:cs="AdobeSongStd-Light"/>
          <w:kern w:val="0"/>
          <w:szCs w:val="21"/>
        </w:rPr>
        <w:t>，</w:t>
      </w:r>
      <w:r>
        <w:rPr>
          <w:rFonts w:hint="eastAsia" w:ascii="宋体" w:hAnsi="宋体" w:eastAsia="宋体" w:cs="AdobeSongStd-Light"/>
          <w:kern w:val="0"/>
          <w:szCs w:val="21"/>
        </w:rPr>
        <w:t>资本主义各国间尖锐的对立也突出起来了。在对外方面</w:t>
      </w:r>
      <w:r>
        <w:rPr>
          <w:rFonts w:ascii="宋体" w:hAnsi="宋体" w:eastAsia="宋体" w:cs="AdobeSongStd-Light"/>
          <w:kern w:val="0"/>
          <w:szCs w:val="21"/>
        </w:rPr>
        <w:t>，</w:t>
      </w:r>
      <w:r>
        <w:rPr>
          <w:rFonts w:hint="eastAsia" w:ascii="宋体" w:hAnsi="宋体" w:eastAsia="宋体" w:cs="AdobeSongStd-Light"/>
          <w:kern w:val="0"/>
          <w:szCs w:val="21"/>
        </w:rPr>
        <w:t>资本主义关系被抑制的旧有的支配关系被保存强化的同时</w:t>
      </w:r>
      <w:r>
        <w:rPr>
          <w:rFonts w:ascii="宋体" w:hAnsi="宋体" w:eastAsia="宋体" w:cs="AdobeSongStd-Light"/>
          <w:kern w:val="0"/>
          <w:szCs w:val="21"/>
        </w:rPr>
        <w:t>，</w:t>
      </w:r>
      <w:r>
        <w:rPr>
          <w:rFonts w:hint="eastAsia" w:ascii="宋体" w:hAnsi="宋体" w:eastAsia="宋体" w:cs="AdobeSongStd-Light"/>
          <w:kern w:val="0"/>
          <w:szCs w:val="21"/>
        </w:rPr>
        <w:t>在内部通过国家的政策介入和劳资协调的制度调整得以强化</w:t>
      </w:r>
      <w:r>
        <w:rPr>
          <w:rFonts w:ascii="宋体" w:hAnsi="宋体" w:eastAsia="宋体" w:cs="AdobeSongStd-Light"/>
          <w:kern w:val="0"/>
          <w:szCs w:val="21"/>
        </w:rPr>
        <w:t>，</w:t>
      </w:r>
      <w:r>
        <w:rPr>
          <w:rFonts w:hint="eastAsia" w:ascii="宋体" w:hAnsi="宋体" w:eastAsia="宋体" w:cs="AdobeSongStd-Light"/>
          <w:kern w:val="0"/>
          <w:szCs w:val="21"/>
        </w:rPr>
        <w:t>这样的非市场因素的增大</w:t>
      </w:r>
      <w:r>
        <w:rPr>
          <w:rFonts w:ascii="宋体" w:hAnsi="宋体" w:eastAsia="宋体" w:cs="AdobeSongStd-Light"/>
          <w:kern w:val="0"/>
          <w:szCs w:val="21"/>
        </w:rPr>
        <w:t>，</w:t>
      </w:r>
      <w:r>
        <w:rPr>
          <w:rFonts w:hint="eastAsia" w:ascii="宋体" w:hAnsi="宋体" w:eastAsia="宋体" w:cs="AdobeSongStd-Light"/>
          <w:kern w:val="0"/>
          <w:szCs w:val="21"/>
        </w:rPr>
        <w:t>使背离自由主义阶段的各种现象越来越显著。对于此类现象的解释</w:t>
      </w:r>
      <w:r>
        <w:rPr>
          <w:rFonts w:ascii="宋体" w:hAnsi="宋体" w:eastAsia="宋体" w:cs="AdobeSongStd-Light"/>
          <w:kern w:val="0"/>
          <w:szCs w:val="21"/>
        </w:rPr>
        <w:t>，</w:t>
      </w:r>
      <w:r>
        <w:rPr>
          <w:rFonts w:hint="eastAsia" w:ascii="宋体" w:hAnsi="宋体" w:eastAsia="宋体" w:cs="AdobeSongStd-Light"/>
          <w:kern w:val="0"/>
          <w:szCs w:val="21"/>
        </w:rPr>
        <w:t>要把用市场原理说明的可能领域</w:t>
      </w:r>
      <w:r>
        <w:rPr>
          <w:rFonts w:ascii="宋体" w:hAnsi="宋体" w:eastAsia="宋体" w:cs="AdobeSongStd-Light"/>
          <w:kern w:val="0"/>
          <w:szCs w:val="21"/>
        </w:rPr>
        <w:t>，</w:t>
      </w:r>
      <w:r>
        <w:rPr>
          <w:rFonts w:hint="eastAsia" w:ascii="宋体" w:hAnsi="宋体" w:eastAsia="宋体" w:cs="AdobeSongStd-Light"/>
          <w:kern w:val="0"/>
          <w:szCs w:val="21"/>
        </w:rPr>
        <w:t>同对资本主义变化和对立类型多样化的历史文化解释领域区别开</w:t>
      </w:r>
      <w:r>
        <w:rPr>
          <w:rFonts w:ascii="宋体" w:hAnsi="宋体" w:eastAsia="宋体" w:cs="AdobeSongStd-Light"/>
          <w:kern w:val="0"/>
          <w:szCs w:val="21"/>
        </w:rPr>
        <w:t>，</w:t>
      </w:r>
      <w:r>
        <w:rPr>
          <w:rFonts w:hint="eastAsia" w:ascii="宋体" w:hAnsi="宋体" w:eastAsia="宋体" w:cs="AdobeSongStd-Light"/>
          <w:kern w:val="0"/>
          <w:szCs w:val="21"/>
        </w:rPr>
        <w:t>构筑资本主义的元理论将成为必需。“非”市场的诸多因素</w:t>
      </w:r>
      <w:r>
        <w:rPr>
          <w:rFonts w:ascii="宋体" w:hAnsi="宋体" w:eastAsia="宋体" w:cs="AdobeSongStd-Light"/>
          <w:kern w:val="0"/>
          <w:szCs w:val="21"/>
        </w:rPr>
        <w:t>，</w:t>
      </w:r>
      <w:r>
        <w:rPr>
          <w:rFonts w:hint="eastAsia" w:ascii="宋体" w:hAnsi="宋体" w:eastAsia="宋体" w:cs="AdobeSongStd-Light"/>
          <w:kern w:val="0"/>
          <w:szCs w:val="21"/>
        </w:rPr>
        <w:t>暂且把市场的因素作为基准用否定的形式规定之外</w:t>
      </w:r>
      <w:r>
        <w:rPr>
          <w:rFonts w:ascii="宋体" w:hAnsi="宋体" w:eastAsia="宋体" w:cs="AdobeSongStd-Light"/>
          <w:kern w:val="0"/>
          <w:szCs w:val="21"/>
        </w:rPr>
        <w:t>，</w:t>
      </w:r>
      <w:r>
        <w:rPr>
          <w:rFonts w:hint="eastAsia" w:ascii="宋体" w:hAnsi="宋体" w:eastAsia="宋体" w:cs="AdobeSongStd-Light"/>
          <w:kern w:val="0"/>
          <w:szCs w:val="21"/>
        </w:rPr>
        <w:t>没有别的作法。这样</w:t>
      </w:r>
      <w:r>
        <w:rPr>
          <w:rFonts w:ascii="宋体" w:hAnsi="宋体" w:eastAsia="宋体" w:cs="AdobeSongStd-Light"/>
          <w:kern w:val="0"/>
          <w:szCs w:val="21"/>
        </w:rPr>
        <w:t>，</w:t>
      </w:r>
      <w:r>
        <w:rPr>
          <w:rFonts w:hint="eastAsia" w:ascii="宋体" w:hAnsi="宋体" w:eastAsia="宋体" w:cs="AdobeSongStd-Light"/>
          <w:kern w:val="0"/>
          <w:szCs w:val="21"/>
        </w:rPr>
        <w:t>一边把元理论作为基础</w:t>
      </w:r>
      <w:r>
        <w:rPr>
          <w:rFonts w:ascii="宋体" w:hAnsi="宋体" w:eastAsia="宋体" w:cs="AdobeSongStd-Light"/>
          <w:kern w:val="0"/>
          <w:szCs w:val="21"/>
        </w:rPr>
        <w:t>，</w:t>
      </w:r>
      <w:r>
        <w:rPr>
          <w:rFonts w:hint="eastAsia" w:ascii="宋体" w:hAnsi="宋体" w:eastAsia="宋体" w:cs="AdobeSongStd-Light"/>
          <w:kern w:val="0"/>
          <w:szCs w:val="21"/>
        </w:rPr>
        <w:t>同时把多元化的社会的诸要素串连起来的综合观点</w:t>
      </w:r>
      <w:r>
        <w:rPr>
          <w:rFonts w:ascii="宋体" w:hAnsi="宋体" w:eastAsia="宋体" w:cs="AdobeSongStd-Light"/>
          <w:kern w:val="0"/>
          <w:szCs w:val="21"/>
        </w:rPr>
        <w:t>，</w:t>
      </w:r>
      <w:r>
        <w:rPr>
          <w:rFonts w:hint="eastAsia" w:ascii="宋体" w:hAnsi="宋体" w:eastAsia="宋体" w:cs="AdobeSongStd-Light"/>
          <w:kern w:val="0"/>
          <w:szCs w:val="21"/>
        </w:rPr>
        <w:t>成了</w:t>
      </w:r>
      <w:r>
        <w:rPr>
          <w:rFonts w:ascii="宋体" w:hAnsi="宋体" w:eastAsia="宋体" w:cs="AdobeSongStd-Light"/>
          <w:kern w:val="0"/>
          <w:szCs w:val="21"/>
        </w:rPr>
        <w:t xml:space="preserve">20 </w:t>
      </w:r>
      <w:r>
        <w:rPr>
          <w:rFonts w:hint="eastAsia" w:ascii="宋体" w:hAnsi="宋体" w:eastAsia="宋体" w:cs="AdobeSongStd-Light"/>
          <w:kern w:val="0"/>
          <w:szCs w:val="21"/>
        </w:rPr>
        <w:t>世纪日本马克思经济学的特征。在近似面和预测可能性方面</w:t>
      </w:r>
      <w:r>
        <w:rPr>
          <w:rFonts w:ascii="宋体" w:hAnsi="宋体" w:eastAsia="宋体" w:cs="AdobeSongStd-Light"/>
          <w:kern w:val="0"/>
          <w:szCs w:val="21"/>
        </w:rPr>
        <w:t>，</w:t>
      </w:r>
      <w:r>
        <w:rPr>
          <w:rFonts w:hint="eastAsia" w:ascii="宋体" w:hAnsi="宋体" w:eastAsia="宋体" w:cs="AdobeSongStd-Light"/>
          <w:kern w:val="0"/>
          <w:szCs w:val="21"/>
        </w:rPr>
        <w:t>它与追求有效性的西方经济学理论不同。马克思经济学的元理论明确了与现实资本主义的关系</w:t>
      </w:r>
      <w:r>
        <w:rPr>
          <w:rFonts w:ascii="宋体" w:hAnsi="宋体" w:eastAsia="宋体" w:cs="AdobeSongStd-Light"/>
          <w:kern w:val="0"/>
          <w:szCs w:val="21"/>
        </w:rPr>
        <w:t>，</w:t>
      </w:r>
      <w:r>
        <w:rPr>
          <w:rFonts w:hint="eastAsia" w:ascii="宋体" w:hAnsi="宋体" w:eastAsia="宋体" w:cs="AdobeSongStd-Light"/>
          <w:kern w:val="0"/>
          <w:szCs w:val="21"/>
        </w:rPr>
        <w:t>并捕捉其历史阶段和对立类型作为基准而发展起来。</w:t>
      </w:r>
    </w:p>
    <w:p w14:paraId="7BB41AA0">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第三个问题</w:t>
      </w:r>
      <w:r>
        <w:rPr>
          <w:rFonts w:ascii="宋体" w:hAnsi="宋体" w:eastAsia="宋体" w:cs="AdobeSongStd-Light"/>
          <w:kern w:val="0"/>
          <w:szCs w:val="21"/>
        </w:rPr>
        <w:t>，</w:t>
      </w:r>
      <w:r>
        <w:rPr>
          <w:rFonts w:hint="eastAsia" w:ascii="宋体" w:hAnsi="宋体" w:eastAsia="宋体" w:cs="AdobeSongStd-Light"/>
          <w:kern w:val="0"/>
          <w:szCs w:val="21"/>
        </w:rPr>
        <w:t>全球化主义在某种意义可说是资本主义的任务。应该指出的是</w:t>
      </w:r>
      <w:r>
        <w:rPr>
          <w:rFonts w:ascii="宋体" w:hAnsi="宋体" w:eastAsia="宋体" w:cs="AdobeSongStd-Light"/>
          <w:kern w:val="0"/>
          <w:szCs w:val="21"/>
        </w:rPr>
        <w:t>，</w:t>
      </w:r>
      <w:r>
        <w:rPr>
          <w:rFonts w:hint="eastAsia" w:ascii="宋体" w:hAnsi="宋体" w:eastAsia="宋体" w:cs="AdobeSongStd-Light"/>
          <w:kern w:val="0"/>
          <w:szCs w:val="21"/>
        </w:rPr>
        <w:t>从东亚到南亚这一区域</w:t>
      </w:r>
      <w:r>
        <w:rPr>
          <w:rFonts w:ascii="宋体" w:hAnsi="宋体" w:eastAsia="宋体" w:cs="AdobeSongStd-Light"/>
          <w:kern w:val="0"/>
          <w:szCs w:val="21"/>
        </w:rPr>
        <w:t>，</w:t>
      </w:r>
      <w:r>
        <w:rPr>
          <w:rFonts w:hint="eastAsia" w:ascii="宋体" w:hAnsi="宋体" w:eastAsia="宋体" w:cs="AdobeSongStd-Light"/>
          <w:kern w:val="0"/>
          <w:szCs w:val="21"/>
        </w:rPr>
        <w:t>是典型的资本主义的兴起</w:t>
      </w:r>
      <w:r>
        <w:rPr>
          <w:rFonts w:ascii="宋体" w:hAnsi="宋体" w:eastAsia="宋体" w:cs="AdobeSongStd-Light"/>
          <w:kern w:val="0"/>
          <w:szCs w:val="21"/>
        </w:rPr>
        <w:t>，</w:t>
      </w:r>
      <w:r>
        <w:rPr>
          <w:rFonts w:hint="eastAsia" w:ascii="宋体" w:hAnsi="宋体" w:eastAsia="宋体" w:cs="AdobeSongStd-Light"/>
          <w:kern w:val="0"/>
          <w:szCs w:val="21"/>
        </w:rPr>
        <w:t>特别是由中国的市场经济的蓬勃发展决定的。即使在先进资本主义各国的内部</w:t>
      </w:r>
      <w:r>
        <w:rPr>
          <w:rFonts w:ascii="宋体" w:hAnsi="宋体" w:eastAsia="宋体" w:cs="AdobeSongStd-Light"/>
          <w:kern w:val="0"/>
          <w:szCs w:val="21"/>
        </w:rPr>
        <w:t>，</w:t>
      </w:r>
      <w:r>
        <w:rPr>
          <w:rFonts w:hint="eastAsia" w:ascii="宋体" w:hAnsi="宋体" w:eastAsia="宋体" w:cs="AdobeSongStd-Light"/>
          <w:kern w:val="0"/>
          <w:szCs w:val="21"/>
        </w:rPr>
        <w:t>在原来市场外观上进行处理</w:t>
      </w:r>
      <w:r>
        <w:rPr>
          <w:rFonts w:ascii="宋体" w:hAnsi="宋体" w:eastAsia="宋体" w:cs="AdobeSongStd-Light"/>
          <w:kern w:val="0"/>
          <w:szCs w:val="21"/>
        </w:rPr>
        <w:t>，</w:t>
      </w:r>
      <w:r>
        <w:rPr>
          <w:rFonts w:hint="eastAsia" w:ascii="宋体" w:hAnsi="宋体" w:eastAsia="宋体" w:cs="AdobeSongStd-Light"/>
          <w:kern w:val="0"/>
          <w:szCs w:val="21"/>
        </w:rPr>
        <w:t>将以科学知识、生产技术、技能培养、组织管理等新的形式追求资本利润核心的同时</w:t>
      </w:r>
      <w:r>
        <w:rPr>
          <w:rFonts w:ascii="宋体" w:hAnsi="宋体" w:eastAsia="宋体" w:cs="AdobeSongStd-Light"/>
          <w:kern w:val="0"/>
          <w:szCs w:val="21"/>
        </w:rPr>
        <w:t>，</w:t>
      </w:r>
      <w:r>
        <w:rPr>
          <w:rFonts w:hint="eastAsia" w:ascii="宋体" w:hAnsi="宋体" w:eastAsia="宋体" w:cs="AdobeSongStd-Light"/>
          <w:kern w:val="0"/>
          <w:szCs w:val="21"/>
        </w:rPr>
        <w:t>带来了在医疗、教育、保育等各个层面的市场竞争</w:t>
      </w:r>
      <w:r>
        <w:rPr>
          <w:rFonts w:ascii="宋体" w:hAnsi="宋体" w:eastAsia="宋体" w:cs="AdobeSongStd-Light"/>
          <w:kern w:val="0"/>
          <w:szCs w:val="21"/>
        </w:rPr>
        <w:t>，</w:t>
      </w:r>
      <w:r>
        <w:rPr>
          <w:rFonts w:hint="eastAsia" w:ascii="宋体" w:hAnsi="宋体" w:eastAsia="宋体" w:cs="AdobeSongStd-Light"/>
          <w:kern w:val="0"/>
          <w:szCs w:val="21"/>
        </w:rPr>
        <w:t>维持社会生活的各种制度和习惯在不断的解体、重组</w:t>
      </w:r>
      <w:r>
        <w:rPr>
          <w:rFonts w:ascii="宋体" w:hAnsi="宋体" w:eastAsia="宋体" w:cs="AdobeSongStd-Light"/>
          <w:kern w:val="0"/>
          <w:szCs w:val="21"/>
        </w:rPr>
        <w:t>，</w:t>
      </w:r>
      <w:r>
        <w:rPr>
          <w:rFonts w:hint="eastAsia" w:ascii="宋体" w:hAnsi="宋体" w:eastAsia="宋体" w:cs="AdobeSongStd-Light"/>
          <w:kern w:val="0"/>
          <w:szCs w:val="21"/>
        </w:rPr>
        <w:t>于是就产生了宗教文化价值观和意识形态的动摇和对立。应该说</w:t>
      </w:r>
      <w:r>
        <w:rPr>
          <w:rFonts w:ascii="宋体" w:hAnsi="宋体" w:eastAsia="宋体" w:cs="AdobeSongStd-Light"/>
          <w:kern w:val="0"/>
          <w:szCs w:val="21"/>
        </w:rPr>
        <w:t>，</w:t>
      </w:r>
      <w:r>
        <w:rPr>
          <w:rFonts w:hint="eastAsia" w:ascii="宋体" w:hAnsi="宋体" w:eastAsia="宋体" w:cs="AdobeSongStd-Light"/>
          <w:kern w:val="0"/>
          <w:szCs w:val="21"/>
        </w:rPr>
        <w:t>这是与外面的全球化主义相适应而出现的内面的全球化主义。在此变动的基础上</w:t>
      </w:r>
      <w:r>
        <w:rPr>
          <w:rFonts w:ascii="宋体" w:hAnsi="宋体" w:eastAsia="宋体" w:cs="AdobeSongStd-Light"/>
          <w:kern w:val="0"/>
          <w:szCs w:val="21"/>
        </w:rPr>
        <w:t>，</w:t>
      </w:r>
      <w:r>
        <w:rPr>
          <w:rFonts w:hint="eastAsia" w:ascii="宋体" w:hAnsi="宋体" w:eastAsia="宋体" w:cs="AdobeSongStd-Light"/>
          <w:kern w:val="0"/>
          <w:szCs w:val="21"/>
        </w:rPr>
        <w:t>元理论在适应现实的方法和理论的展开方法两方面</w:t>
      </w:r>
      <w:r>
        <w:rPr>
          <w:rFonts w:ascii="宋体" w:hAnsi="宋体" w:eastAsia="宋体" w:cs="AdobeSongStd-Light"/>
          <w:kern w:val="0"/>
          <w:szCs w:val="21"/>
        </w:rPr>
        <w:t>，</w:t>
      </w:r>
      <w:r>
        <w:rPr>
          <w:rFonts w:hint="eastAsia" w:ascii="宋体" w:hAnsi="宋体" w:eastAsia="宋体" w:cs="AdobeSongStd-Light"/>
          <w:kern w:val="0"/>
          <w:szCs w:val="21"/>
        </w:rPr>
        <w:t>不得不进行再思考。</w:t>
      </w:r>
    </w:p>
    <w:p w14:paraId="170A0006">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2</w:t>
      </w:r>
      <w:r>
        <w:rPr>
          <w:rFonts w:hint="eastAsia" w:ascii="宋体" w:hAnsi="宋体" w:eastAsia="宋体" w:cs="Times New Roman"/>
          <w:kern w:val="0"/>
          <w:szCs w:val="21"/>
        </w:rPr>
        <w:t>．</w:t>
      </w:r>
      <w:r>
        <w:rPr>
          <w:rFonts w:hint="eastAsia" w:ascii="宋体" w:hAnsi="宋体" w:eastAsia="宋体" w:cs="AdobeSongStd-Light"/>
          <w:kern w:val="0"/>
          <w:szCs w:val="21"/>
        </w:rPr>
        <w:t>作为变容论的元理论。第一个问题</w:t>
      </w:r>
      <w:r>
        <w:rPr>
          <w:rFonts w:ascii="宋体" w:hAnsi="宋体" w:eastAsia="宋体" w:cs="AdobeSongStd-Light"/>
          <w:kern w:val="0"/>
          <w:szCs w:val="21"/>
        </w:rPr>
        <w:t>，</w:t>
      </w:r>
      <w:r>
        <w:rPr>
          <w:rFonts w:hint="eastAsia" w:ascii="宋体" w:hAnsi="宋体" w:eastAsia="宋体" w:cs="AdobeSongStd-Light"/>
          <w:kern w:val="0"/>
          <w:szCs w:val="21"/>
        </w:rPr>
        <w:t>全球化主义给元理论一个怎样的反省</w:t>
      </w:r>
      <w:r>
        <w:rPr>
          <w:rFonts w:ascii="宋体" w:hAnsi="宋体" w:eastAsia="宋体" w:cs="AdobeSongStd-Light"/>
          <w:kern w:val="0"/>
          <w:szCs w:val="21"/>
        </w:rPr>
        <w:t>（</w:t>
      </w:r>
      <w:r>
        <w:rPr>
          <w:rFonts w:hint="eastAsia" w:ascii="宋体" w:hAnsi="宋体" w:eastAsia="宋体" w:cs="AdobeSongStd-Light"/>
          <w:kern w:val="0"/>
          <w:szCs w:val="21"/>
        </w:rPr>
        <w:t>震撼</w:t>
      </w:r>
      <w:r>
        <w:rPr>
          <w:rFonts w:ascii="宋体" w:hAnsi="宋体" w:eastAsia="宋体" w:cs="AdobeSongStd-Light"/>
          <w:kern w:val="0"/>
          <w:szCs w:val="21"/>
        </w:rPr>
        <w:t>）</w:t>
      </w:r>
      <w:r>
        <w:rPr>
          <w:rFonts w:hint="eastAsia" w:ascii="宋体" w:hAnsi="宋体" w:eastAsia="宋体" w:cs="AdobeSongStd-Light"/>
          <w:kern w:val="0"/>
          <w:szCs w:val="21"/>
        </w:rPr>
        <w:t>呢</w:t>
      </w:r>
      <w:r>
        <w:rPr>
          <w:rFonts w:ascii="宋体" w:hAnsi="宋体" w:eastAsia="宋体" w:cs="AdobeSongStd-Light"/>
          <w:kern w:val="0"/>
          <w:szCs w:val="21"/>
        </w:rPr>
        <w:t>？</w:t>
      </w:r>
      <w:r>
        <w:rPr>
          <w:rFonts w:hint="eastAsia" w:ascii="宋体" w:hAnsi="宋体" w:eastAsia="宋体" w:cs="AdobeSongStd-Light"/>
          <w:kern w:val="0"/>
          <w:szCs w:val="21"/>
        </w:rPr>
        <w:t>目前的元理论是带有帝国主义阶段特征的</w:t>
      </w:r>
      <w:r>
        <w:rPr>
          <w:rFonts w:ascii="宋体" w:hAnsi="宋体" w:eastAsia="宋体" w:cs="AdobeSongStd-Light"/>
          <w:kern w:val="0"/>
          <w:szCs w:val="21"/>
        </w:rPr>
        <w:t>（</w:t>
      </w:r>
      <w:r>
        <w:rPr>
          <w:rFonts w:hint="eastAsia" w:ascii="宋体" w:hAnsi="宋体" w:eastAsia="宋体" w:cs="AdobeSongStd-Light"/>
          <w:kern w:val="0"/>
          <w:szCs w:val="21"/>
        </w:rPr>
        <w:t>部分性</w:t>
      </w:r>
      <w:r>
        <w:rPr>
          <w:rFonts w:ascii="宋体" w:hAnsi="宋体" w:eastAsia="宋体" w:cs="AdobeSongStd-Light"/>
          <w:kern w:val="0"/>
          <w:szCs w:val="21"/>
        </w:rPr>
        <w:t>），</w:t>
      </w:r>
      <w:r>
        <w:rPr>
          <w:rFonts w:hint="eastAsia" w:ascii="宋体" w:hAnsi="宋体" w:eastAsia="宋体" w:cs="AdobeSongStd-Light"/>
          <w:kern w:val="0"/>
          <w:szCs w:val="21"/>
        </w:rPr>
        <w:t>怎样捕捉产生那个结果的资本主义对立的多样性呢</w:t>
      </w:r>
      <w:r>
        <w:rPr>
          <w:rFonts w:ascii="宋体" w:hAnsi="宋体" w:eastAsia="宋体" w:cs="AdobeSongStd-Light"/>
          <w:kern w:val="0"/>
          <w:szCs w:val="21"/>
        </w:rPr>
        <w:t>？</w:t>
      </w:r>
      <w:r>
        <w:rPr>
          <w:rFonts w:hint="eastAsia" w:ascii="宋体" w:hAnsi="宋体" w:eastAsia="宋体" w:cs="AdobeSongStd-Light"/>
          <w:kern w:val="0"/>
          <w:szCs w:val="21"/>
        </w:rPr>
        <w:t>回过头我们看一下</w:t>
      </w:r>
      <w:r>
        <w:rPr>
          <w:rFonts w:ascii="宋体" w:hAnsi="宋体" w:eastAsia="宋体" w:cs="AdobeSongStd-Light"/>
          <w:kern w:val="0"/>
          <w:szCs w:val="21"/>
        </w:rPr>
        <w:t>，</w:t>
      </w:r>
      <w:r>
        <w:rPr>
          <w:rFonts w:hint="eastAsia" w:ascii="宋体" w:hAnsi="宋体" w:eastAsia="宋体" w:cs="AdobeSongStd-Light"/>
          <w:kern w:val="0"/>
          <w:szCs w:val="21"/>
        </w:rPr>
        <w:t>那种没有核心的被认为是类型论的研究方法。这种方法认为只要是资本主义</w:t>
      </w:r>
      <w:r>
        <w:rPr>
          <w:rFonts w:ascii="宋体" w:hAnsi="宋体" w:eastAsia="宋体" w:cs="AdobeSongStd-Light"/>
          <w:kern w:val="0"/>
          <w:szCs w:val="21"/>
        </w:rPr>
        <w:t>，</w:t>
      </w:r>
      <w:r>
        <w:rPr>
          <w:rFonts w:hint="eastAsia" w:ascii="宋体" w:hAnsi="宋体" w:eastAsia="宋体" w:cs="AdobeSongStd-Light"/>
          <w:kern w:val="0"/>
          <w:szCs w:val="21"/>
        </w:rPr>
        <w:t>就会把劳动力商品化等一些不变的条件作为前提</w:t>
      </w:r>
      <w:r>
        <w:rPr>
          <w:rFonts w:ascii="宋体" w:hAnsi="宋体" w:eastAsia="宋体" w:cs="AdobeSongStd-Light"/>
          <w:kern w:val="0"/>
          <w:szCs w:val="21"/>
        </w:rPr>
        <w:t>，</w:t>
      </w:r>
      <w:r>
        <w:rPr>
          <w:rFonts w:hint="eastAsia" w:ascii="宋体" w:hAnsi="宋体" w:eastAsia="宋体" w:cs="AdobeSongStd-Light"/>
          <w:kern w:val="0"/>
          <w:szCs w:val="21"/>
        </w:rPr>
        <w:t>之后再构成只有用市场因素才能说明的资本主义像</w:t>
      </w:r>
      <w:r>
        <w:rPr>
          <w:rFonts w:ascii="宋体" w:hAnsi="宋体" w:eastAsia="宋体" w:cs="AdobeSongStd-Light"/>
          <w:kern w:val="0"/>
          <w:szCs w:val="21"/>
        </w:rPr>
        <w:t>，</w:t>
      </w:r>
      <w:r>
        <w:rPr>
          <w:rFonts w:hint="eastAsia" w:ascii="宋体" w:hAnsi="宋体" w:eastAsia="宋体" w:cs="AdobeSongStd-Light"/>
          <w:kern w:val="0"/>
          <w:szCs w:val="21"/>
        </w:rPr>
        <w:t>以此为基准形成了把构成现实资本主义的非市场因素分割开来的理论方法。现实的资本主义被看成是市场因素和非市场因素的混和经济</w:t>
      </w:r>
      <w:r>
        <w:rPr>
          <w:rFonts w:ascii="宋体" w:hAnsi="宋体" w:eastAsia="宋体" w:cs="AdobeSongStd-Light"/>
          <w:kern w:val="0"/>
          <w:szCs w:val="21"/>
        </w:rPr>
        <w:t>，</w:t>
      </w:r>
      <w:r>
        <w:rPr>
          <w:rFonts w:hint="eastAsia" w:ascii="宋体" w:hAnsi="宋体" w:eastAsia="宋体" w:cs="AdobeSongStd-Light"/>
          <w:kern w:val="0"/>
          <w:szCs w:val="21"/>
        </w:rPr>
        <w:t>其多样性需加入专门的非市场因素才能说明。这种研究方法</w:t>
      </w:r>
      <w:r>
        <w:rPr>
          <w:rFonts w:ascii="宋体" w:hAnsi="宋体" w:eastAsia="宋体" w:cs="AdobeSongStd-Light"/>
          <w:kern w:val="0"/>
          <w:szCs w:val="21"/>
        </w:rPr>
        <w:t>，</w:t>
      </w:r>
      <w:r>
        <w:rPr>
          <w:rFonts w:hint="eastAsia" w:ascii="宋体" w:hAnsi="宋体" w:eastAsia="宋体" w:cs="AdobeSongStd-Light"/>
          <w:kern w:val="0"/>
          <w:szCs w:val="21"/>
        </w:rPr>
        <w:t>只是用单一的资本主义像</w:t>
      </w:r>
      <w:r>
        <w:rPr>
          <w:rFonts w:ascii="宋体" w:hAnsi="宋体" w:eastAsia="宋体" w:cs="AdobeSongStd-Light"/>
          <w:kern w:val="0"/>
          <w:szCs w:val="21"/>
        </w:rPr>
        <w:t>（</w:t>
      </w:r>
      <w:r>
        <w:rPr>
          <w:rFonts w:hint="eastAsia" w:ascii="宋体" w:hAnsi="宋体" w:eastAsia="宋体" w:cs="AdobeSongStd-Light"/>
          <w:kern w:val="0"/>
          <w:szCs w:val="21"/>
        </w:rPr>
        <w:t>图像</w:t>
      </w:r>
      <w:r>
        <w:rPr>
          <w:rFonts w:ascii="宋体" w:hAnsi="宋体" w:eastAsia="宋体" w:cs="AdobeSongStd-Light"/>
          <w:kern w:val="0"/>
          <w:szCs w:val="21"/>
        </w:rPr>
        <w:t>）</w:t>
      </w:r>
      <w:r>
        <w:rPr>
          <w:rFonts w:hint="eastAsia" w:ascii="宋体" w:hAnsi="宋体" w:eastAsia="宋体" w:cs="AdobeSongStd-Light"/>
          <w:kern w:val="0"/>
          <w:szCs w:val="21"/>
        </w:rPr>
        <w:t>回答了“资本主义是什么”的这样一个问题。而《资本论》则认为</w:t>
      </w:r>
      <w:r>
        <w:rPr>
          <w:rFonts w:ascii="宋体" w:hAnsi="宋体" w:eastAsia="宋体" w:cs="AdobeSongStd-Light"/>
          <w:kern w:val="0"/>
          <w:szCs w:val="21"/>
        </w:rPr>
        <w:t>，</w:t>
      </w:r>
      <w:r>
        <w:rPr>
          <w:rFonts w:hint="eastAsia" w:ascii="宋体" w:hAnsi="宋体" w:eastAsia="宋体" w:cs="AdobeSongStd-Light"/>
          <w:kern w:val="0"/>
          <w:szCs w:val="21"/>
        </w:rPr>
        <w:t>资本主义的发展实际上与资本主义像不断接近</w:t>
      </w:r>
      <w:r>
        <w:rPr>
          <w:rFonts w:ascii="宋体" w:hAnsi="宋体" w:eastAsia="宋体" w:cs="AdobeSongStd-Light"/>
          <w:kern w:val="0"/>
          <w:szCs w:val="21"/>
        </w:rPr>
        <w:t>，</w:t>
      </w:r>
      <w:r>
        <w:rPr>
          <w:rFonts w:hint="eastAsia" w:ascii="宋体" w:hAnsi="宋体" w:eastAsia="宋体" w:cs="AdobeSongStd-Light"/>
          <w:kern w:val="0"/>
          <w:szCs w:val="21"/>
        </w:rPr>
        <w:t>这样的收敛说不断浓厚</w:t>
      </w:r>
      <w:r>
        <w:rPr>
          <w:rFonts w:ascii="宋体" w:hAnsi="宋体" w:eastAsia="宋体" w:cs="AdobeSongStd-Light"/>
          <w:kern w:val="0"/>
          <w:szCs w:val="21"/>
        </w:rPr>
        <w:t>，</w:t>
      </w:r>
      <w:r>
        <w:rPr>
          <w:rFonts w:hint="eastAsia" w:ascii="宋体" w:hAnsi="宋体" w:eastAsia="宋体" w:cs="AdobeSongStd-Light"/>
          <w:kern w:val="0"/>
          <w:szCs w:val="21"/>
        </w:rPr>
        <w:t>同时</w:t>
      </w:r>
      <w:r>
        <w:rPr>
          <w:rFonts w:ascii="宋体" w:hAnsi="宋体" w:eastAsia="宋体" w:cs="AdobeSongStd-Light"/>
          <w:kern w:val="0"/>
          <w:szCs w:val="21"/>
        </w:rPr>
        <w:t>，</w:t>
      </w:r>
      <w:r>
        <w:rPr>
          <w:rFonts w:hint="eastAsia" w:ascii="宋体" w:hAnsi="宋体" w:eastAsia="宋体" w:cs="AdobeSongStd-Light"/>
          <w:kern w:val="0"/>
          <w:szCs w:val="21"/>
        </w:rPr>
        <w:t>与由于资本主义内部矛盾积累而自动崩溃这一认识互为表里。资本主义本来以原理像</w:t>
      </w:r>
      <w:r>
        <w:rPr>
          <w:rFonts w:ascii="宋体" w:hAnsi="宋体" w:eastAsia="宋体" w:cs="AdobeSongStd-Light"/>
          <w:kern w:val="0"/>
          <w:szCs w:val="21"/>
        </w:rPr>
        <w:t>（</w:t>
      </w:r>
      <w:r>
        <w:rPr>
          <w:rFonts w:hint="eastAsia" w:ascii="宋体" w:hAnsi="宋体" w:eastAsia="宋体" w:cs="AdobeSongStd-Light"/>
          <w:kern w:val="0"/>
          <w:szCs w:val="21"/>
        </w:rPr>
        <w:t>图像</w:t>
      </w:r>
      <w:r>
        <w:rPr>
          <w:rFonts w:ascii="宋体" w:hAnsi="宋体" w:eastAsia="宋体" w:cs="AdobeSongStd-Light"/>
          <w:kern w:val="0"/>
          <w:szCs w:val="21"/>
        </w:rPr>
        <w:t>）</w:t>
      </w:r>
      <w:r>
        <w:rPr>
          <w:rFonts w:hint="eastAsia" w:ascii="宋体" w:hAnsi="宋体" w:eastAsia="宋体" w:cs="AdobeSongStd-Light"/>
          <w:kern w:val="0"/>
          <w:szCs w:val="21"/>
        </w:rPr>
        <w:t>为基准</w:t>
      </w:r>
      <w:r>
        <w:rPr>
          <w:rFonts w:ascii="宋体" w:hAnsi="宋体" w:eastAsia="宋体" w:cs="AdobeSongStd-Light"/>
          <w:kern w:val="0"/>
          <w:szCs w:val="21"/>
        </w:rPr>
        <w:t>，</w:t>
      </w:r>
      <w:r>
        <w:rPr>
          <w:rFonts w:hint="eastAsia" w:ascii="宋体" w:hAnsi="宋体" w:eastAsia="宋体" w:cs="AdobeSongStd-Light"/>
          <w:kern w:val="0"/>
          <w:szCs w:val="21"/>
        </w:rPr>
        <w:t>现实又始自哪里</w:t>
      </w:r>
      <w:r>
        <w:rPr>
          <w:rFonts w:ascii="宋体" w:hAnsi="宋体" w:eastAsia="宋体" w:cs="AdobeSongStd-Light"/>
          <w:kern w:val="0"/>
          <w:szCs w:val="21"/>
        </w:rPr>
        <w:t>？</w:t>
      </w:r>
      <w:r>
        <w:rPr>
          <w:rFonts w:hint="eastAsia" w:ascii="宋体" w:hAnsi="宋体" w:eastAsia="宋体" w:cs="AdobeSongStd-Light"/>
          <w:kern w:val="0"/>
          <w:szCs w:val="21"/>
        </w:rPr>
        <w:t>目标何处</w:t>
      </w:r>
      <w:r>
        <w:rPr>
          <w:rFonts w:ascii="宋体" w:hAnsi="宋体" w:eastAsia="宋体" w:cs="AdobeSongStd-Light"/>
          <w:kern w:val="0"/>
          <w:szCs w:val="21"/>
        </w:rPr>
        <w:t>？</w:t>
      </w:r>
      <w:r>
        <w:rPr>
          <w:rFonts w:hint="eastAsia" w:ascii="宋体" w:hAnsi="宋体" w:eastAsia="宋体" w:cs="AdobeSongStd-Light"/>
          <w:kern w:val="0"/>
          <w:szCs w:val="21"/>
        </w:rPr>
        <w:t>这样的远近距离来给历史进行定位</w:t>
      </w:r>
      <w:r>
        <w:rPr>
          <w:rFonts w:ascii="宋体" w:hAnsi="宋体" w:eastAsia="宋体" w:cs="AdobeSongStd-Light"/>
          <w:kern w:val="0"/>
          <w:szCs w:val="21"/>
        </w:rPr>
        <w:t>，</w:t>
      </w:r>
      <w:r>
        <w:rPr>
          <w:rFonts w:hint="eastAsia" w:ascii="宋体" w:hAnsi="宋体" w:eastAsia="宋体" w:cs="AdobeSongStd-Light"/>
          <w:kern w:val="0"/>
          <w:szCs w:val="21"/>
        </w:rPr>
        <w:t>从哪个部位看出多少端倪</w:t>
      </w:r>
      <w:r>
        <w:rPr>
          <w:rFonts w:ascii="宋体" w:hAnsi="宋体" w:eastAsia="宋体" w:cs="AdobeSongStd-Light"/>
          <w:kern w:val="0"/>
          <w:szCs w:val="21"/>
        </w:rPr>
        <w:t>，</w:t>
      </w:r>
      <w:r>
        <w:rPr>
          <w:rFonts w:hint="eastAsia" w:ascii="宋体" w:hAnsi="宋体" w:eastAsia="宋体" w:cs="AdobeSongStd-Light"/>
          <w:kern w:val="0"/>
          <w:szCs w:val="21"/>
        </w:rPr>
        <w:t>来捕捉历史的多样性。其中</w:t>
      </w:r>
      <w:r>
        <w:rPr>
          <w:rFonts w:ascii="宋体" w:hAnsi="宋体" w:eastAsia="宋体" w:cs="AdobeSongStd-Light"/>
          <w:kern w:val="0"/>
          <w:szCs w:val="21"/>
        </w:rPr>
        <w:t>，</w:t>
      </w:r>
      <w:r>
        <w:rPr>
          <w:rFonts w:hint="eastAsia" w:ascii="宋体" w:hAnsi="宋体" w:eastAsia="宋体" w:cs="AdobeSongStd-Light"/>
          <w:kern w:val="0"/>
          <w:szCs w:val="21"/>
        </w:rPr>
        <w:t>资本主义自身崩溃说也是被变换继承的</w:t>
      </w:r>
      <w:r>
        <w:rPr>
          <w:rFonts w:ascii="宋体" w:hAnsi="宋体" w:eastAsia="宋体" w:cs="AdobeSongStd-Light"/>
          <w:kern w:val="0"/>
          <w:szCs w:val="21"/>
        </w:rPr>
        <w:t>，</w:t>
      </w:r>
      <w:r>
        <w:rPr>
          <w:rFonts w:hint="eastAsia" w:ascii="宋体" w:hAnsi="宋体" w:eastAsia="宋体" w:cs="AdobeSongStd-Light"/>
          <w:kern w:val="0"/>
          <w:szCs w:val="21"/>
        </w:rPr>
        <w:t>即把帝国主义阶段规定为从其本来形态脱颖而出资本主义没落期形态。</w:t>
      </w:r>
    </w:p>
    <w:p w14:paraId="2F6CE961">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第二个问题</w:t>
      </w:r>
      <w:r>
        <w:rPr>
          <w:rFonts w:ascii="宋体" w:hAnsi="宋体" w:eastAsia="宋体" w:cs="AdobeSongStd-Light"/>
          <w:kern w:val="0"/>
          <w:szCs w:val="21"/>
        </w:rPr>
        <w:t>，</w:t>
      </w:r>
      <w:r>
        <w:rPr>
          <w:rFonts w:hint="eastAsia" w:ascii="宋体" w:hAnsi="宋体" w:eastAsia="宋体" w:cs="AdobeSongStd-Light"/>
          <w:kern w:val="0"/>
          <w:szCs w:val="21"/>
        </w:rPr>
        <w:t>怎么捕捉存在于全球化主义的多样性的特征呢</w:t>
      </w:r>
      <w:r>
        <w:rPr>
          <w:rFonts w:ascii="宋体" w:hAnsi="宋体" w:eastAsia="宋体" w:cs="AdobeSongStd-Light"/>
          <w:kern w:val="0"/>
          <w:szCs w:val="21"/>
        </w:rPr>
        <w:t>？</w:t>
      </w:r>
      <w:r>
        <w:rPr>
          <w:rFonts w:hint="eastAsia" w:ascii="宋体" w:hAnsi="宋体" w:eastAsia="宋体" w:cs="AdobeSongStd-Light"/>
          <w:kern w:val="0"/>
          <w:szCs w:val="21"/>
        </w:rPr>
        <w:t>帝国主义不否定资本主义的多样化</w:t>
      </w:r>
      <w:r>
        <w:rPr>
          <w:rFonts w:ascii="宋体" w:hAnsi="宋体" w:eastAsia="宋体" w:cs="AdobeSongStd-Light"/>
          <w:kern w:val="0"/>
          <w:szCs w:val="21"/>
        </w:rPr>
        <w:t>，</w:t>
      </w:r>
      <w:r>
        <w:rPr>
          <w:rFonts w:hint="eastAsia" w:ascii="宋体" w:hAnsi="宋体" w:eastAsia="宋体" w:cs="AdobeSongStd-Light"/>
          <w:kern w:val="0"/>
          <w:szCs w:val="21"/>
        </w:rPr>
        <w:t>采用怎样的方法把元理论展开</w:t>
      </w:r>
      <w:r>
        <w:rPr>
          <w:rFonts w:ascii="宋体" w:hAnsi="宋体" w:eastAsia="宋体" w:cs="AdobeSongStd-Light"/>
          <w:kern w:val="0"/>
          <w:szCs w:val="21"/>
        </w:rPr>
        <w:t>，</w:t>
      </w:r>
      <w:r>
        <w:rPr>
          <w:rFonts w:hint="eastAsia" w:ascii="宋体" w:hAnsi="宋体" w:eastAsia="宋体" w:cs="AdobeSongStd-Light"/>
          <w:kern w:val="0"/>
          <w:szCs w:val="21"/>
        </w:rPr>
        <w:t>以与现实相联系好呢</w:t>
      </w:r>
      <w:r>
        <w:rPr>
          <w:rFonts w:ascii="宋体" w:hAnsi="宋体" w:eastAsia="宋体" w:cs="AdobeSongStd-Light"/>
          <w:kern w:val="0"/>
          <w:szCs w:val="21"/>
        </w:rPr>
        <w:t>？</w:t>
      </w:r>
      <w:r>
        <w:rPr>
          <w:rFonts w:hint="eastAsia" w:ascii="宋体" w:hAnsi="宋体" w:eastAsia="宋体" w:cs="AdobeSongStd-Light"/>
          <w:kern w:val="0"/>
          <w:szCs w:val="21"/>
        </w:rPr>
        <w:t>要接近多样性的本质</w:t>
      </w:r>
      <w:r>
        <w:rPr>
          <w:rFonts w:ascii="宋体" w:hAnsi="宋体" w:eastAsia="宋体" w:cs="AdobeSongStd-Light"/>
          <w:kern w:val="0"/>
          <w:szCs w:val="21"/>
        </w:rPr>
        <w:t>，</w:t>
      </w:r>
      <w:r>
        <w:rPr>
          <w:rFonts w:hint="eastAsia" w:ascii="宋体" w:hAnsi="宋体" w:eastAsia="宋体" w:cs="AdobeSongStd-Light"/>
          <w:kern w:val="0"/>
          <w:szCs w:val="21"/>
        </w:rPr>
        <w:t>变容论的研究法可谓是新的且必要的方法。通过市场因素的作用与反作用</w:t>
      </w:r>
      <w:r>
        <w:rPr>
          <w:rFonts w:ascii="宋体" w:hAnsi="宋体" w:eastAsia="宋体" w:cs="AdobeSongStd-Light"/>
          <w:kern w:val="0"/>
          <w:szCs w:val="21"/>
        </w:rPr>
        <w:t>，</w:t>
      </w:r>
      <w:r>
        <w:rPr>
          <w:rFonts w:hint="eastAsia" w:ascii="宋体" w:hAnsi="宋体" w:eastAsia="宋体" w:cs="AdobeSongStd-Light"/>
          <w:kern w:val="0"/>
          <w:szCs w:val="21"/>
        </w:rPr>
        <w:t>把资本主义本体情况改变的性质作为本源的着眼点</w:t>
      </w:r>
      <w:r>
        <w:rPr>
          <w:rFonts w:ascii="宋体" w:hAnsi="宋体" w:eastAsia="宋体" w:cs="AdobeSongStd-Light"/>
          <w:kern w:val="0"/>
          <w:szCs w:val="21"/>
        </w:rPr>
        <w:t>，</w:t>
      </w:r>
      <w:r>
        <w:rPr>
          <w:rFonts w:hint="eastAsia" w:ascii="宋体" w:hAnsi="宋体" w:eastAsia="宋体" w:cs="AdobeSongStd-Light"/>
          <w:kern w:val="0"/>
          <w:szCs w:val="21"/>
        </w:rPr>
        <w:t>把资本主义多样性作为变容</w:t>
      </w:r>
      <w:r>
        <w:rPr>
          <w:rFonts w:ascii="宋体" w:hAnsi="宋体" w:eastAsia="宋体" w:cs="AdobeSongStd-Light"/>
          <w:kern w:val="0"/>
          <w:szCs w:val="21"/>
        </w:rPr>
        <w:t>（</w:t>
      </w:r>
      <w:r>
        <w:rPr>
          <w:rFonts w:hint="eastAsia" w:ascii="宋体" w:hAnsi="宋体" w:eastAsia="宋体" w:cs="AdobeSongStd-Light"/>
          <w:kern w:val="0"/>
          <w:szCs w:val="21"/>
        </w:rPr>
        <w:t>变样</w:t>
      </w:r>
      <w:r>
        <w:rPr>
          <w:rFonts w:ascii="宋体" w:hAnsi="宋体" w:eastAsia="宋体" w:cs="AdobeSongStd-Light"/>
          <w:kern w:val="0"/>
          <w:szCs w:val="21"/>
        </w:rPr>
        <w:t>）</w:t>
      </w:r>
      <w:r>
        <w:rPr>
          <w:rFonts w:hint="eastAsia" w:ascii="宋体" w:hAnsi="宋体" w:eastAsia="宋体" w:cs="AdobeSongStd-Light"/>
          <w:kern w:val="0"/>
          <w:szCs w:val="21"/>
        </w:rPr>
        <w:t>结论进行说明的方法。没有这样的方法的转换是不行的。</w:t>
      </w:r>
    </w:p>
    <w:p w14:paraId="1986A516">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第三个问题</w:t>
      </w:r>
      <w:r>
        <w:rPr>
          <w:rFonts w:ascii="宋体" w:hAnsi="宋体" w:eastAsia="宋体" w:cs="AdobeSongStd-Light"/>
          <w:kern w:val="0"/>
          <w:szCs w:val="21"/>
        </w:rPr>
        <w:t>，</w:t>
      </w:r>
      <w:r>
        <w:rPr>
          <w:rFonts w:hint="eastAsia" w:ascii="宋体" w:hAnsi="宋体" w:eastAsia="宋体" w:cs="AdobeSongStd-Light"/>
          <w:kern w:val="0"/>
          <w:szCs w:val="21"/>
        </w:rPr>
        <w:t>多样性的类型化</w:t>
      </w:r>
      <w:r>
        <w:rPr>
          <w:rFonts w:ascii="宋体" w:hAnsi="宋体" w:eastAsia="宋体" w:cs="AdobeSongStd-Light"/>
          <w:kern w:val="0"/>
          <w:szCs w:val="21"/>
        </w:rPr>
        <w:t>，</w:t>
      </w:r>
      <w:r>
        <w:rPr>
          <w:rFonts w:hint="eastAsia" w:ascii="宋体" w:hAnsi="宋体" w:eastAsia="宋体" w:cs="AdobeSongStd-Light"/>
          <w:kern w:val="0"/>
          <w:szCs w:val="21"/>
        </w:rPr>
        <w:t>要求怎样重新认识元理论</w:t>
      </w:r>
      <w:r>
        <w:rPr>
          <w:rFonts w:ascii="宋体" w:hAnsi="宋体" w:eastAsia="宋体" w:cs="AdobeSongStd-Light"/>
          <w:kern w:val="0"/>
          <w:szCs w:val="21"/>
        </w:rPr>
        <w:t>？</w:t>
      </w:r>
      <w:r>
        <w:rPr>
          <w:rFonts w:hint="eastAsia" w:ascii="宋体" w:hAnsi="宋体" w:eastAsia="宋体" w:cs="AdobeSongStd-Light"/>
          <w:kern w:val="0"/>
          <w:szCs w:val="21"/>
        </w:rPr>
        <w:t>以变容论研究法成为主要方法</w:t>
      </w:r>
      <w:r>
        <w:rPr>
          <w:rFonts w:ascii="宋体" w:hAnsi="宋体" w:eastAsia="宋体" w:cs="AdobeSongStd-Light"/>
          <w:kern w:val="0"/>
          <w:szCs w:val="21"/>
        </w:rPr>
        <w:t>，</w:t>
      </w:r>
      <w:r>
        <w:rPr>
          <w:rFonts w:hint="eastAsia" w:ascii="宋体" w:hAnsi="宋体" w:eastAsia="宋体" w:cs="AdobeSongStd-Light"/>
          <w:kern w:val="0"/>
          <w:szCs w:val="21"/>
        </w:rPr>
        <w:t>是元理论中外在条件的处理方法。资本主义是通过市场进行社会化再生产的社会</w:t>
      </w:r>
      <w:r>
        <w:rPr>
          <w:rFonts w:ascii="宋体" w:hAnsi="宋体" w:eastAsia="宋体" w:cs="AdobeSongStd-Light"/>
          <w:kern w:val="0"/>
          <w:szCs w:val="21"/>
        </w:rPr>
        <w:t>，</w:t>
      </w:r>
      <w:r>
        <w:rPr>
          <w:rFonts w:hint="eastAsia" w:ascii="宋体" w:hAnsi="宋体" w:eastAsia="宋体" w:cs="AdobeSongStd-Light"/>
          <w:kern w:val="0"/>
          <w:szCs w:val="21"/>
        </w:rPr>
        <w:t>或多或少会遗留下光靠市场处理不了的窗口。用怎样的非市场因素</w:t>
      </w:r>
      <w:r>
        <w:rPr>
          <w:rFonts w:ascii="宋体" w:hAnsi="宋体" w:eastAsia="宋体" w:cs="AdobeSongStd-Light"/>
          <w:kern w:val="0"/>
          <w:szCs w:val="21"/>
        </w:rPr>
        <w:t>，</w:t>
      </w:r>
      <w:r>
        <w:rPr>
          <w:rFonts w:hint="eastAsia" w:ascii="宋体" w:hAnsi="宋体" w:eastAsia="宋体" w:cs="AdobeSongStd-Light"/>
          <w:kern w:val="0"/>
          <w:szCs w:val="21"/>
        </w:rPr>
        <w:t>去填充这种规定的窗口</w:t>
      </w:r>
      <w:r>
        <w:rPr>
          <w:rFonts w:ascii="宋体" w:hAnsi="宋体" w:eastAsia="宋体" w:cs="AdobeSongStd-Light"/>
          <w:kern w:val="0"/>
          <w:szCs w:val="21"/>
        </w:rPr>
        <w:t>，</w:t>
      </w:r>
      <w:r>
        <w:rPr>
          <w:rFonts w:hint="eastAsia" w:ascii="宋体" w:hAnsi="宋体" w:eastAsia="宋体" w:cs="AdobeSongStd-Light"/>
          <w:kern w:val="0"/>
          <w:szCs w:val="21"/>
        </w:rPr>
        <w:t>资本主义的情况也有大的变化。在窗口部分的变化</w:t>
      </w:r>
      <w:r>
        <w:rPr>
          <w:rFonts w:ascii="宋体" w:hAnsi="宋体" w:eastAsia="宋体" w:cs="AdobeSongStd-Light"/>
          <w:kern w:val="0"/>
          <w:szCs w:val="21"/>
        </w:rPr>
        <w:t>，</w:t>
      </w:r>
      <w:r>
        <w:rPr>
          <w:rFonts w:hint="eastAsia" w:ascii="宋体" w:hAnsi="宋体" w:eastAsia="宋体" w:cs="AdobeSongStd-Light"/>
          <w:kern w:val="0"/>
          <w:szCs w:val="21"/>
        </w:rPr>
        <w:t>会导致整体构造发生变化。</w:t>
      </w:r>
    </w:p>
    <w:p w14:paraId="32C3E204">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3</w:t>
      </w:r>
      <w:r>
        <w:rPr>
          <w:rFonts w:hint="eastAsia" w:ascii="宋体" w:hAnsi="宋体" w:eastAsia="宋体" w:cs="Times New Roman"/>
          <w:kern w:val="0"/>
          <w:szCs w:val="21"/>
        </w:rPr>
        <w:t>．</w:t>
      </w:r>
      <w:r>
        <w:rPr>
          <w:rFonts w:hint="eastAsia" w:ascii="宋体" w:hAnsi="宋体" w:eastAsia="宋体" w:cs="AdobeSongStd-Light"/>
          <w:kern w:val="0"/>
          <w:szCs w:val="21"/>
        </w:rPr>
        <w:t>市场原理和资本的理论。第一个问题</w:t>
      </w:r>
      <w:r>
        <w:rPr>
          <w:rFonts w:ascii="宋体" w:hAnsi="宋体" w:eastAsia="宋体" w:cs="AdobeSongStd-Light"/>
          <w:kern w:val="0"/>
          <w:szCs w:val="21"/>
        </w:rPr>
        <w:t>，</w:t>
      </w:r>
      <w:r>
        <w:rPr>
          <w:rFonts w:hint="eastAsia" w:ascii="宋体" w:hAnsi="宋体" w:eastAsia="宋体" w:cs="AdobeSongStd-Light"/>
          <w:kern w:val="0"/>
          <w:szCs w:val="21"/>
        </w:rPr>
        <w:t>全球化主义是意味着资本主义的收敛性吗</w:t>
      </w:r>
      <w:r>
        <w:rPr>
          <w:rFonts w:ascii="宋体" w:hAnsi="宋体" w:eastAsia="宋体" w:cs="AdobeSongStd-Light"/>
          <w:kern w:val="0"/>
          <w:szCs w:val="21"/>
        </w:rPr>
        <w:t>？</w:t>
      </w:r>
      <w:r>
        <w:rPr>
          <w:rFonts w:hint="eastAsia" w:ascii="宋体" w:hAnsi="宋体" w:eastAsia="宋体" w:cs="AdobeSongStd-Light"/>
          <w:kern w:val="0"/>
          <w:szCs w:val="21"/>
        </w:rPr>
        <w:t>“市场原理”的表现被应用在各种场合。变容论的资本主义像</w:t>
      </w:r>
      <w:r>
        <w:rPr>
          <w:rFonts w:ascii="宋体" w:hAnsi="宋体" w:eastAsia="宋体" w:cs="AdobeSongStd-Light"/>
          <w:kern w:val="0"/>
          <w:szCs w:val="21"/>
        </w:rPr>
        <w:t>，</w:t>
      </w:r>
      <w:r>
        <w:rPr>
          <w:rFonts w:hint="eastAsia" w:ascii="宋体" w:hAnsi="宋体" w:eastAsia="宋体" w:cs="AdobeSongStd-Light"/>
          <w:kern w:val="0"/>
          <w:szCs w:val="21"/>
        </w:rPr>
        <w:t>要求资本主义表层市场合理性扩充</w:t>
      </w:r>
      <w:r>
        <w:rPr>
          <w:rFonts w:ascii="宋体" w:hAnsi="宋体" w:eastAsia="宋体" w:cs="AdobeSongStd-Light"/>
          <w:kern w:val="0"/>
          <w:szCs w:val="21"/>
        </w:rPr>
        <w:t>，</w:t>
      </w:r>
      <w:r>
        <w:rPr>
          <w:rFonts w:hint="eastAsia" w:ascii="宋体" w:hAnsi="宋体" w:eastAsia="宋体" w:cs="AdobeSongStd-Light"/>
          <w:kern w:val="0"/>
          <w:szCs w:val="21"/>
        </w:rPr>
        <w:t>同时在深层填充非市场的因素</w:t>
      </w:r>
      <w:r>
        <w:rPr>
          <w:rFonts w:ascii="宋体" w:hAnsi="宋体" w:eastAsia="宋体" w:cs="AdobeSongStd-Light"/>
          <w:kern w:val="0"/>
          <w:szCs w:val="21"/>
        </w:rPr>
        <w:t>，</w:t>
      </w:r>
      <w:r>
        <w:rPr>
          <w:rFonts w:hint="eastAsia" w:ascii="宋体" w:hAnsi="宋体" w:eastAsia="宋体" w:cs="AdobeSongStd-Light"/>
          <w:kern w:val="0"/>
          <w:szCs w:val="21"/>
        </w:rPr>
        <w:t>也就是</w:t>
      </w:r>
      <w:r>
        <w:rPr>
          <w:rFonts w:ascii="宋体" w:hAnsi="宋体" w:eastAsia="宋体" w:cs="AdobeSongStd-Light"/>
          <w:kern w:val="0"/>
          <w:szCs w:val="21"/>
        </w:rPr>
        <w:t>，</w:t>
      </w:r>
      <w:r>
        <w:rPr>
          <w:rFonts w:hint="eastAsia" w:ascii="宋体" w:hAnsi="宋体" w:eastAsia="宋体" w:cs="AdobeSongStd-Light"/>
          <w:kern w:val="0"/>
          <w:szCs w:val="21"/>
        </w:rPr>
        <w:t>市场原理的同一性和资本主义理论的多样性同时存在。市场覆盖的领域越扩大</w:t>
      </w:r>
      <w:r>
        <w:rPr>
          <w:rFonts w:ascii="宋体" w:hAnsi="宋体" w:eastAsia="宋体" w:cs="AdobeSongStd-Light"/>
          <w:kern w:val="0"/>
          <w:szCs w:val="21"/>
        </w:rPr>
        <w:t>，</w:t>
      </w:r>
      <w:r>
        <w:rPr>
          <w:rFonts w:hint="eastAsia" w:ascii="宋体" w:hAnsi="宋体" w:eastAsia="宋体" w:cs="AdobeSongStd-Light"/>
          <w:kern w:val="0"/>
          <w:szCs w:val="21"/>
        </w:rPr>
        <w:t>补充其界限的国家、制度、观念形态等的作用</w:t>
      </w:r>
      <w:r>
        <w:rPr>
          <w:rFonts w:ascii="宋体" w:hAnsi="宋体" w:eastAsia="宋体" w:cs="AdobeSongStd-Light"/>
          <w:kern w:val="0"/>
          <w:szCs w:val="21"/>
        </w:rPr>
        <w:t>，</w:t>
      </w:r>
      <w:r>
        <w:rPr>
          <w:rFonts w:hint="eastAsia" w:ascii="宋体" w:hAnsi="宋体" w:eastAsia="宋体" w:cs="AdobeSongStd-Light"/>
          <w:kern w:val="0"/>
          <w:szCs w:val="21"/>
        </w:rPr>
        <w:t>也同时越被强化。资本主义新的多元化也随之而诞生。</w:t>
      </w:r>
    </w:p>
    <w:p w14:paraId="15936379">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第二个问题</w:t>
      </w:r>
      <w:r>
        <w:rPr>
          <w:rFonts w:ascii="宋体" w:hAnsi="宋体" w:eastAsia="宋体" w:cs="AdobeSongStd-Light"/>
          <w:kern w:val="0"/>
          <w:szCs w:val="21"/>
        </w:rPr>
        <w:t>，</w:t>
      </w:r>
      <w:r>
        <w:rPr>
          <w:rFonts w:hint="eastAsia" w:ascii="宋体" w:hAnsi="宋体" w:eastAsia="宋体" w:cs="AdobeSongStd-Light"/>
          <w:kern w:val="0"/>
          <w:szCs w:val="21"/>
        </w:rPr>
        <w:t>如何应对新生无政府主义</w:t>
      </w:r>
      <w:r>
        <w:rPr>
          <w:rFonts w:ascii="宋体" w:hAnsi="宋体" w:eastAsia="宋体" w:cs="AdobeSongStd-Light"/>
          <w:kern w:val="0"/>
          <w:szCs w:val="21"/>
        </w:rPr>
        <w:t>？</w:t>
      </w:r>
      <w:r>
        <w:rPr>
          <w:rFonts w:hint="eastAsia" w:ascii="宋体" w:hAnsi="宋体" w:eastAsia="宋体" w:cs="AdobeSongStd-Light"/>
          <w:kern w:val="0"/>
          <w:szCs w:val="21"/>
        </w:rPr>
        <w:t>把资本主义的收敛等同于内部崩溃论和不纯化等同于没落论联成一线的变容论</w:t>
      </w:r>
      <w:r>
        <w:rPr>
          <w:rFonts w:ascii="宋体" w:hAnsi="宋体" w:eastAsia="宋体" w:cs="AdobeSongStd-Light"/>
          <w:kern w:val="0"/>
          <w:szCs w:val="21"/>
        </w:rPr>
        <w:t>，</w:t>
      </w:r>
      <w:r>
        <w:rPr>
          <w:rFonts w:hint="eastAsia" w:ascii="宋体" w:hAnsi="宋体" w:eastAsia="宋体" w:cs="AdobeSongStd-Light"/>
          <w:kern w:val="0"/>
          <w:szCs w:val="21"/>
        </w:rPr>
        <w:t>研究法近似于主张无资本市场的可能性</w:t>
      </w:r>
      <w:r>
        <w:rPr>
          <w:rFonts w:ascii="宋体" w:hAnsi="宋体" w:eastAsia="宋体" w:cs="AdobeSongStd-Light"/>
          <w:kern w:val="0"/>
          <w:szCs w:val="21"/>
        </w:rPr>
        <w:t>，</w:t>
      </w:r>
      <w:r>
        <w:rPr>
          <w:rFonts w:hint="eastAsia" w:ascii="宋体" w:hAnsi="宋体" w:eastAsia="宋体" w:cs="AdobeSongStd-Light"/>
          <w:kern w:val="0"/>
          <w:szCs w:val="21"/>
        </w:rPr>
        <w:t>及把由等价交换带来的公正市场进行理念化</w:t>
      </w:r>
      <w:r>
        <w:rPr>
          <w:rFonts w:ascii="宋体" w:hAnsi="宋体" w:eastAsia="宋体" w:cs="AdobeSongStd-Light"/>
          <w:kern w:val="0"/>
          <w:szCs w:val="21"/>
        </w:rPr>
        <w:t>，</w:t>
      </w:r>
      <w:r>
        <w:rPr>
          <w:rFonts w:hint="eastAsia" w:ascii="宋体" w:hAnsi="宋体" w:eastAsia="宋体" w:cs="AdobeSongStd-Light"/>
          <w:kern w:val="0"/>
          <w:szCs w:val="21"/>
        </w:rPr>
        <w:t>并摸索保证实施的货币、信用制度改革的市场社会主义的无政府主义。</w:t>
      </w:r>
    </w:p>
    <w:p w14:paraId="6136415E">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第三个问题</w:t>
      </w:r>
      <w:r>
        <w:rPr>
          <w:rFonts w:ascii="宋体" w:hAnsi="宋体" w:eastAsia="宋体" w:cs="AdobeSongStd-Light"/>
          <w:kern w:val="0"/>
          <w:szCs w:val="21"/>
        </w:rPr>
        <w:t>，</w:t>
      </w:r>
      <w:r>
        <w:rPr>
          <w:rFonts w:hint="eastAsia" w:ascii="宋体" w:hAnsi="宋体" w:eastAsia="宋体" w:cs="AdobeSongStd-Light"/>
          <w:kern w:val="0"/>
          <w:szCs w:val="21"/>
        </w:rPr>
        <w:t>全球化主义把元理论导向何处</w:t>
      </w:r>
      <w:r>
        <w:rPr>
          <w:rFonts w:ascii="宋体" w:hAnsi="宋体" w:eastAsia="宋体" w:cs="AdobeSongStd-Light"/>
          <w:kern w:val="0"/>
          <w:szCs w:val="21"/>
        </w:rPr>
        <w:t>？</w:t>
      </w:r>
      <w:r>
        <w:rPr>
          <w:rFonts w:hint="eastAsia" w:ascii="宋体" w:hAnsi="宋体" w:eastAsia="宋体" w:cs="AdobeSongStd-Light"/>
          <w:kern w:val="0"/>
          <w:szCs w:val="21"/>
        </w:rPr>
        <w:t>资本主义遗留下单靠市场原理处理不了的窗口部</w:t>
      </w:r>
      <w:r>
        <w:rPr>
          <w:rFonts w:ascii="宋体" w:hAnsi="宋体" w:eastAsia="宋体" w:cs="AdobeSongStd-Light"/>
          <w:kern w:val="0"/>
          <w:szCs w:val="21"/>
        </w:rPr>
        <w:t>，</w:t>
      </w:r>
      <w:r>
        <w:rPr>
          <w:rFonts w:hint="eastAsia" w:ascii="宋体" w:hAnsi="宋体" w:eastAsia="宋体" w:cs="AdobeSongStd-Light"/>
          <w:kern w:val="0"/>
          <w:szCs w:val="21"/>
        </w:rPr>
        <w:t>具有分解外在条件再重新组合的变容作用。变容论的研究法凭借这种作用</w:t>
      </w:r>
      <w:r>
        <w:rPr>
          <w:rFonts w:ascii="宋体" w:hAnsi="宋体" w:eastAsia="宋体" w:cs="AdobeSongStd-Light"/>
          <w:kern w:val="0"/>
          <w:szCs w:val="21"/>
        </w:rPr>
        <w:t>，</w:t>
      </w:r>
      <w:r>
        <w:rPr>
          <w:rFonts w:hint="eastAsia" w:ascii="宋体" w:hAnsi="宋体" w:eastAsia="宋体" w:cs="AdobeSongStd-Light"/>
          <w:kern w:val="0"/>
          <w:szCs w:val="21"/>
        </w:rPr>
        <w:t>今天开拓重建综合的社会科学之路。用社会哲学的更加广博的观点进行再评价</w:t>
      </w:r>
      <w:r>
        <w:rPr>
          <w:rFonts w:ascii="宋体" w:hAnsi="宋体" w:eastAsia="宋体" w:cs="AdobeSongStd-Light"/>
          <w:kern w:val="0"/>
          <w:szCs w:val="21"/>
        </w:rPr>
        <w:t>，</w:t>
      </w:r>
      <w:r>
        <w:rPr>
          <w:rFonts w:hint="eastAsia" w:ascii="宋体" w:hAnsi="宋体" w:eastAsia="宋体" w:cs="AdobeSongStd-Light"/>
          <w:kern w:val="0"/>
          <w:szCs w:val="21"/>
        </w:rPr>
        <w:t>非常之必要。</w:t>
      </w:r>
    </w:p>
    <w:p w14:paraId="005C3EE4">
      <w:pPr>
        <w:autoSpaceDE w:val="0"/>
        <w:autoSpaceDN w:val="0"/>
        <w:spacing w:line="300" w:lineRule="auto"/>
        <w:ind w:firstLine="440" w:firstLineChars="200"/>
        <w:jc w:val="left"/>
        <w:rPr>
          <w:rFonts w:ascii="宋体" w:hAnsi="宋体" w:eastAsia="宋体" w:cs="AdobeSongStd-Light"/>
          <w:b/>
          <w:kern w:val="0"/>
          <w:szCs w:val="21"/>
        </w:rPr>
      </w:pPr>
      <w:r>
        <w:rPr>
          <w:rFonts w:ascii="宋体" w:hAnsi="宋体" w:eastAsia="宋体" w:cs="AdobeSongStd-Light"/>
          <w:b/>
          <w:kern w:val="0"/>
          <w:szCs w:val="21"/>
        </w:rPr>
        <w:t>（</w:t>
      </w:r>
      <w:r>
        <w:rPr>
          <w:rFonts w:hint="eastAsia" w:ascii="宋体" w:hAnsi="宋体" w:eastAsia="宋体" w:cs="AdobeSongStd-Light"/>
          <w:b/>
          <w:kern w:val="0"/>
          <w:szCs w:val="21"/>
        </w:rPr>
        <w:t>三</w:t>
      </w:r>
      <w:r>
        <w:rPr>
          <w:rFonts w:ascii="宋体" w:hAnsi="宋体" w:eastAsia="宋体" w:cs="AdobeSongStd-Light"/>
          <w:b/>
          <w:kern w:val="0"/>
          <w:szCs w:val="21"/>
        </w:rPr>
        <w:t>）</w:t>
      </w:r>
      <w:r>
        <w:rPr>
          <w:rFonts w:hint="eastAsia" w:ascii="宋体" w:hAnsi="宋体" w:eastAsia="宋体" w:cs="AdobeSongStd-Light"/>
          <w:b/>
          <w:kern w:val="0"/>
          <w:szCs w:val="21"/>
        </w:rPr>
        <w:t>评松井哓和小幡道昭观点</w:t>
      </w:r>
      <w:r>
        <w:rPr>
          <w:rFonts w:ascii="宋体" w:hAnsi="宋体" w:eastAsia="宋体" w:cs="AdobeSongStd-Light"/>
          <w:b/>
          <w:kern w:val="0"/>
          <w:szCs w:val="21"/>
        </w:rPr>
        <w:t>，</w:t>
      </w:r>
      <w:r>
        <w:rPr>
          <w:rFonts w:hint="eastAsia" w:ascii="宋体" w:hAnsi="宋体" w:eastAsia="宋体" w:cs="AdobeSongStd-Light"/>
          <w:b/>
          <w:kern w:val="0"/>
          <w:szCs w:val="21"/>
        </w:rPr>
        <w:t>兼论“资本主义能够存在下去吗”</w:t>
      </w:r>
    </w:p>
    <w:p w14:paraId="7E8EEBAA">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立教大学的名誉教授久留间健就此为题进行了阐述</w:t>
      </w:r>
      <w:r>
        <w:rPr>
          <w:rFonts w:ascii="宋体" w:hAnsi="宋体" w:eastAsia="宋体" w:cs="AdobeSongStd-Light"/>
          <w:kern w:val="0"/>
          <w:szCs w:val="21"/>
        </w:rPr>
        <w:t>：</w:t>
      </w:r>
      <w:r>
        <w:rPr>
          <w:rFonts w:hint="eastAsia" w:ascii="宋体" w:hAnsi="宋体" w:eastAsia="宋体" w:cs="AdobeSongStd-Light"/>
          <w:kern w:val="0"/>
          <w:szCs w:val="21"/>
        </w:rPr>
        <w:t>第一</w:t>
      </w:r>
      <w:r>
        <w:rPr>
          <w:rFonts w:ascii="宋体" w:hAnsi="宋体" w:eastAsia="宋体" w:cs="AdobeSongStd-Light"/>
          <w:kern w:val="0"/>
          <w:szCs w:val="21"/>
        </w:rPr>
        <w:t>，</w:t>
      </w:r>
      <w:r>
        <w:rPr>
          <w:rFonts w:hint="eastAsia" w:ascii="宋体" w:hAnsi="宋体" w:eastAsia="宋体" w:cs="AdobeSongStd-Light"/>
          <w:kern w:val="0"/>
          <w:szCs w:val="21"/>
        </w:rPr>
        <w:t>基础马克思主义经济学的评价。松井、小幡在重新讨论</w:t>
      </w:r>
      <w:r>
        <w:rPr>
          <w:rFonts w:ascii="宋体" w:hAnsi="宋体" w:eastAsia="宋体" w:cs="AdobeSongStd-Light"/>
          <w:kern w:val="0"/>
          <w:szCs w:val="21"/>
        </w:rPr>
        <w:t>20</w:t>
      </w:r>
      <w:r>
        <w:rPr>
          <w:rFonts w:hint="eastAsia" w:ascii="宋体" w:hAnsi="宋体" w:eastAsia="宋体" w:cs="AdobeSongStd-Light"/>
          <w:kern w:val="0"/>
          <w:szCs w:val="21"/>
        </w:rPr>
        <w:t>世纪经济学在明确其意义和界限的同时</w:t>
      </w:r>
      <w:r>
        <w:rPr>
          <w:rFonts w:ascii="宋体" w:hAnsi="宋体" w:eastAsia="宋体" w:cs="AdobeSongStd-Light"/>
          <w:kern w:val="0"/>
          <w:szCs w:val="21"/>
        </w:rPr>
        <w:t>，</w:t>
      </w:r>
      <w:r>
        <w:rPr>
          <w:rFonts w:hint="eastAsia" w:ascii="宋体" w:hAnsi="宋体" w:eastAsia="宋体" w:cs="AdobeSongStd-Light"/>
          <w:kern w:val="0"/>
          <w:szCs w:val="21"/>
        </w:rPr>
        <w:t>探讨了</w:t>
      </w:r>
      <w:r>
        <w:rPr>
          <w:rFonts w:ascii="宋体" w:hAnsi="宋体" w:eastAsia="宋体" w:cs="AdobeSongStd-Light"/>
          <w:kern w:val="0"/>
          <w:szCs w:val="21"/>
        </w:rPr>
        <w:t>21</w:t>
      </w:r>
      <w:r>
        <w:rPr>
          <w:rFonts w:hint="eastAsia" w:ascii="宋体" w:hAnsi="宋体" w:eastAsia="宋体" w:cs="AdobeSongStd-Light"/>
          <w:kern w:val="0"/>
          <w:szCs w:val="21"/>
        </w:rPr>
        <w:t>世纪马克思主义经济学的可能性。在总结评论过去的理论基础上</w:t>
      </w:r>
      <w:r>
        <w:rPr>
          <w:rFonts w:ascii="宋体" w:hAnsi="宋体" w:eastAsia="宋体" w:cs="AdobeSongStd-Light"/>
          <w:kern w:val="0"/>
          <w:szCs w:val="21"/>
        </w:rPr>
        <w:t>，</w:t>
      </w:r>
      <w:r>
        <w:rPr>
          <w:rFonts w:hint="eastAsia" w:ascii="宋体" w:hAnsi="宋体" w:eastAsia="宋体" w:cs="AdobeSongStd-Light"/>
          <w:kern w:val="0"/>
          <w:szCs w:val="21"/>
        </w:rPr>
        <w:t>难道不会呈现出一种新的方向性来吗</w:t>
      </w:r>
      <w:r>
        <w:rPr>
          <w:rFonts w:ascii="宋体" w:hAnsi="宋体" w:eastAsia="宋体" w:cs="AdobeSongStd-Light"/>
          <w:kern w:val="0"/>
          <w:szCs w:val="21"/>
        </w:rPr>
        <w:t>？</w:t>
      </w:r>
      <w:r>
        <w:rPr>
          <w:rFonts w:hint="eastAsia" w:ascii="宋体" w:hAnsi="宋体" w:eastAsia="宋体" w:cs="AdobeSongStd-Light"/>
          <w:kern w:val="0"/>
          <w:szCs w:val="21"/>
        </w:rPr>
        <w:t>我未曾怀疑过马克思经济学在现实生活中的有效性和作为长期理论的妥当性。从宏观上看</w:t>
      </w:r>
      <w:r>
        <w:rPr>
          <w:rFonts w:ascii="宋体" w:hAnsi="宋体" w:eastAsia="宋体" w:cs="AdobeSongStd-Light"/>
          <w:kern w:val="0"/>
          <w:szCs w:val="21"/>
        </w:rPr>
        <w:t>，</w:t>
      </w:r>
      <w:r>
        <w:rPr>
          <w:rFonts w:hint="eastAsia" w:ascii="宋体" w:hAnsi="宋体" w:eastAsia="宋体" w:cs="AdobeSongStd-Light"/>
          <w:kern w:val="0"/>
          <w:szCs w:val="21"/>
        </w:rPr>
        <w:t>现实几乎都遵循马克思理论</w:t>
      </w:r>
      <w:r>
        <w:rPr>
          <w:rFonts w:ascii="宋体" w:hAnsi="宋体" w:eastAsia="宋体" w:cs="AdobeSongStd-Light"/>
          <w:kern w:val="0"/>
          <w:szCs w:val="21"/>
        </w:rPr>
        <w:t>，</w:t>
      </w:r>
      <w:r>
        <w:rPr>
          <w:rFonts w:hint="eastAsia" w:ascii="宋体" w:hAnsi="宋体" w:eastAsia="宋体" w:cs="AdobeSongStd-Light"/>
          <w:kern w:val="0"/>
          <w:szCs w:val="21"/>
        </w:rPr>
        <w:t>这是我的实感。这里我所说的马克思经济学</w:t>
      </w:r>
      <w:r>
        <w:rPr>
          <w:rFonts w:ascii="宋体" w:hAnsi="宋体" w:eastAsia="宋体" w:cs="AdobeSongStd-Light"/>
          <w:kern w:val="0"/>
          <w:szCs w:val="21"/>
        </w:rPr>
        <w:t>，</w:t>
      </w:r>
      <w:r>
        <w:rPr>
          <w:rFonts w:hint="eastAsia" w:ascii="宋体" w:hAnsi="宋体" w:eastAsia="宋体" w:cs="AdobeSongStd-Light"/>
          <w:kern w:val="0"/>
          <w:szCs w:val="21"/>
        </w:rPr>
        <w:t>是以《资本论》为代表的马克思理论体系。</w:t>
      </w:r>
    </w:p>
    <w:p w14:paraId="6DD9DB80">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第二</w:t>
      </w:r>
      <w:r>
        <w:rPr>
          <w:rFonts w:ascii="宋体" w:hAnsi="宋体" w:eastAsia="宋体" w:cs="AdobeSongStd-Light"/>
          <w:kern w:val="0"/>
          <w:szCs w:val="21"/>
        </w:rPr>
        <w:t>，</w:t>
      </w:r>
      <w:r>
        <w:rPr>
          <w:rFonts w:hint="eastAsia" w:ascii="宋体" w:hAnsi="宋体" w:eastAsia="宋体" w:cs="AdobeSongStd-Light"/>
          <w:kern w:val="0"/>
          <w:szCs w:val="21"/>
        </w:rPr>
        <w:t>马克思经济学中的非市场的因素定位。松井把这个问题用“社会经济学”范畴考虑</w:t>
      </w:r>
      <w:r>
        <w:rPr>
          <w:rFonts w:ascii="宋体" w:hAnsi="宋体" w:eastAsia="宋体" w:cs="AdobeSongStd-Light"/>
          <w:kern w:val="0"/>
          <w:szCs w:val="21"/>
        </w:rPr>
        <w:t>，</w:t>
      </w:r>
      <w:r>
        <w:rPr>
          <w:rFonts w:hint="eastAsia" w:ascii="宋体" w:hAnsi="宋体" w:eastAsia="宋体" w:cs="AdobeSongStd-Light"/>
          <w:kern w:val="0"/>
          <w:szCs w:val="21"/>
        </w:rPr>
        <w:t>而小幡则认为是“变容论的研究法”</w:t>
      </w:r>
      <w:r>
        <w:rPr>
          <w:rFonts w:ascii="宋体" w:hAnsi="宋体" w:eastAsia="宋体" w:cs="AdobeSongStd-Light"/>
          <w:kern w:val="0"/>
          <w:szCs w:val="21"/>
        </w:rPr>
        <w:t>，</w:t>
      </w:r>
      <w:r>
        <w:rPr>
          <w:rFonts w:hint="eastAsia" w:ascii="宋体" w:hAnsi="宋体" w:eastAsia="宋体" w:cs="AdobeSongStd-Light"/>
          <w:kern w:val="0"/>
          <w:szCs w:val="21"/>
        </w:rPr>
        <w:t>但两人的问题意识相同</w:t>
      </w:r>
      <w:r>
        <w:rPr>
          <w:rFonts w:ascii="宋体" w:hAnsi="宋体" w:eastAsia="宋体" w:cs="AdobeSongStd-Light"/>
          <w:kern w:val="0"/>
          <w:szCs w:val="21"/>
        </w:rPr>
        <w:t>，</w:t>
      </w:r>
      <w:r>
        <w:rPr>
          <w:rFonts w:hint="eastAsia" w:ascii="宋体" w:hAnsi="宋体" w:eastAsia="宋体" w:cs="AdobeSongStd-Light"/>
          <w:kern w:val="0"/>
          <w:szCs w:val="21"/>
        </w:rPr>
        <w:t>即作为现在的政治经济学的马克思主义经济学研究对象</w:t>
      </w:r>
      <w:r>
        <w:rPr>
          <w:rFonts w:ascii="宋体" w:hAnsi="宋体" w:eastAsia="宋体" w:cs="AdobeSongStd-Light"/>
          <w:kern w:val="0"/>
          <w:szCs w:val="21"/>
        </w:rPr>
        <w:t>，</w:t>
      </w:r>
      <w:r>
        <w:rPr>
          <w:rFonts w:hint="eastAsia" w:ascii="宋体" w:hAnsi="宋体" w:eastAsia="宋体" w:cs="AdobeSongStd-Light"/>
          <w:kern w:val="0"/>
          <w:szCs w:val="21"/>
        </w:rPr>
        <w:t>不仅仅是市场经济</w:t>
      </w:r>
      <w:r>
        <w:rPr>
          <w:rFonts w:ascii="宋体" w:hAnsi="宋体" w:eastAsia="宋体" w:cs="AdobeSongStd-Light"/>
          <w:kern w:val="0"/>
          <w:szCs w:val="21"/>
        </w:rPr>
        <w:t>，</w:t>
      </w:r>
      <w:r>
        <w:rPr>
          <w:rFonts w:hint="eastAsia" w:ascii="宋体" w:hAnsi="宋体" w:eastAsia="宋体" w:cs="AdobeSongStd-Light"/>
          <w:kern w:val="0"/>
          <w:szCs w:val="21"/>
        </w:rPr>
        <w:t>还要包含非市场因素。他们两人所说的非市场因素已经很清楚了。</w:t>
      </w:r>
      <w:r>
        <w:rPr>
          <w:rFonts w:ascii="宋体" w:hAnsi="宋体" w:eastAsia="宋体" w:cs="AdobeSongStd-Light"/>
          <w:kern w:val="0"/>
          <w:szCs w:val="21"/>
        </w:rPr>
        <w:t>(1)</w:t>
      </w:r>
      <w:r>
        <w:rPr>
          <w:rFonts w:hint="eastAsia" w:ascii="宋体" w:hAnsi="宋体" w:eastAsia="宋体" w:cs="AdobeSongStd-Light"/>
          <w:kern w:val="0"/>
          <w:szCs w:val="21"/>
        </w:rPr>
        <w:t>马克思经济学是把资本主义市场作为分析的对象</w:t>
      </w:r>
      <w:r>
        <w:rPr>
          <w:rFonts w:ascii="宋体" w:hAnsi="宋体" w:eastAsia="宋体" w:cs="AdobeSongStd-Light"/>
          <w:kern w:val="0"/>
          <w:szCs w:val="21"/>
        </w:rPr>
        <w:t>，</w:t>
      </w:r>
      <w:r>
        <w:rPr>
          <w:rFonts w:hint="eastAsia" w:ascii="宋体" w:hAnsi="宋体" w:eastAsia="宋体" w:cs="AdobeSongStd-Light"/>
          <w:kern w:val="0"/>
          <w:szCs w:val="21"/>
        </w:rPr>
        <w:t>新古典派也是把市场经济作为研究对象</w:t>
      </w:r>
      <w:r>
        <w:rPr>
          <w:rFonts w:ascii="宋体" w:hAnsi="宋体" w:eastAsia="宋体" w:cs="AdobeSongStd-Light"/>
          <w:kern w:val="0"/>
          <w:szCs w:val="21"/>
        </w:rPr>
        <w:t>，</w:t>
      </w:r>
      <w:r>
        <w:rPr>
          <w:rFonts w:hint="eastAsia" w:ascii="宋体" w:hAnsi="宋体" w:eastAsia="宋体" w:cs="AdobeSongStd-Light"/>
          <w:kern w:val="0"/>
          <w:szCs w:val="21"/>
        </w:rPr>
        <w:t>可是</w:t>
      </w:r>
      <w:r>
        <w:rPr>
          <w:rFonts w:ascii="宋体" w:hAnsi="宋体" w:eastAsia="宋体" w:cs="AdobeSongStd-Light"/>
          <w:kern w:val="0"/>
          <w:szCs w:val="21"/>
        </w:rPr>
        <w:t>，</w:t>
      </w:r>
      <w:r>
        <w:rPr>
          <w:rFonts w:hint="eastAsia" w:ascii="宋体" w:hAnsi="宋体" w:eastAsia="宋体" w:cs="AdobeSongStd-Light"/>
          <w:kern w:val="0"/>
          <w:szCs w:val="21"/>
        </w:rPr>
        <w:t>坠入“没有价值论的价格论”的新古典派</w:t>
      </w:r>
      <w:r>
        <w:rPr>
          <w:rFonts w:ascii="宋体" w:hAnsi="宋体" w:eastAsia="宋体" w:cs="AdobeSongStd-Light"/>
          <w:kern w:val="0"/>
          <w:szCs w:val="21"/>
        </w:rPr>
        <w:t>，</w:t>
      </w:r>
      <w:r>
        <w:rPr>
          <w:rFonts w:hint="eastAsia" w:ascii="宋体" w:hAnsi="宋体" w:eastAsia="宋体" w:cs="AdobeSongStd-Light"/>
          <w:kern w:val="0"/>
          <w:szCs w:val="21"/>
        </w:rPr>
        <w:t>只不过认为市场供求决定价格变动</w:t>
      </w:r>
      <w:r>
        <w:rPr>
          <w:rFonts w:ascii="宋体" w:hAnsi="宋体" w:eastAsia="宋体" w:cs="AdobeSongStd-Light"/>
          <w:kern w:val="0"/>
          <w:szCs w:val="21"/>
        </w:rPr>
        <w:t>，</w:t>
      </w:r>
      <w:r>
        <w:rPr>
          <w:rFonts w:hint="eastAsia" w:ascii="宋体" w:hAnsi="宋体" w:eastAsia="宋体" w:cs="AdobeSongStd-Light"/>
          <w:kern w:val="0"/>
          <w:szCs w:val="21"/>
        </w:rPr>
        <w:t>从而主张市场经济的合理性。新古典派把市场经济等同于应有的人类社会。对此</w:t>
      </w:r>
      <w:r>
        <w:rPr>
          <w:rFonts w:ascii="宋体" w:hAnsi="宋体" w:eastAsia="宋体" w:cs="AdobeSongStd-Light"/>
          <w:kern w:val="0"/>
          <w:szCs w:val="21"/>
        </w:rPr>
        <w:t>，</w:t>
      </w:r>
      <w:r>
        <w:rPr>
          <w:rFonts w:hint="eastAsia" w:ascii="宋体" w:hAnsi="宋体" w:eastAsia="宋体" w:cs="AdobeSongStd-Light"/>
          <w:kern w:val="0"/>
          <w:szCs w:val="21"/>
        </w:rPr>
        <w:t>马克思经济学认为</w:t>
      </w:r>
      <w:r>
        <w:rPr>
          <w:rFonts w:ascii="宋体" w:hAnsi="宋体" w:eastAsia="宋体" w:cs="AdobeSongStd-Light"/>
          <w:kern w:val="0"/>
          <w:szCs w:val="21"/>
        </w:rPr>
        <w:t>，</w:t>
      </w:r>
      <w:r>
        <w:rPr>
          <w:rFonts w:hint="eastAsia" w:ascii="宋体" w:hAnsi="宋体" w:eastAsia="宋体" w:cs="AdobeSongStd-Light"/>
          <w:kern w:val="0"/>
          <w:szCs w:val="21"/>
        </w:rPr>
        <w:t>市场经济只是人类社会的存在状态之一。因此</w:t>
      </w:r>
      <w:r>
        <w:rPr>
          <w:rFonts w:ascii="宋体" w:hAnsi="宋体" w:eastAsia="宋体" w:cs="AdobeSongStd-Light"/>
          <w:kern w:val="0"/>
          <w:szCs w:val="21"/>
        </w:rPr>
        <w:t>，</w:t>
      </w:r>
      <w:r>
        <w:rPr>
          <w:rFonts w:hint="eastAsia" w:ascii="宋体" w:hAnsi="宋体" w:eastAsia="宋体" w:cs="AdobeSongStd-Light"/>
          <w:kern w:val="0"/>
          <w:szCs w:val="21"/>
        </w:rPr>
        <w:t>我把“市场理论”和“人类社会伦理”之间的差异作为问题</w:t>
      </w:r>
      <w:r>
        <w:rPr>
          <w:rFonts w:ascii="宋体" w:hAnsi="宋体" w:eastAsia="宋体" w:cs="AdobeSongStd-Light"/>
          <w:kern w:val="0"/>
          <w:szCs w:val="21"/>
        </w:rPr>
        <w:t>，</w:t>
      </w:r>
      <w:r>
        <w:rPr>
          <w:rFonts w:hint="eastAsia" w:ascii="宋体" w:hAnsi="宋体" w:eastAsia="宋体" w:cs="AdobeSongStd-Light"/>
          <w:kern w:val="0"/>
          <w:szCs w:val="21"/>
        </w:rPr>
        <w:t>就是这个原因。马克思经济学把市场经济作为对象时也含有非市场的因素在内。</w:t>
      </w:r>
      <w:r>
        <w:rPr>
          <w:rFonts w:ascii="宋体" w:hAnsi="宋体" w:eastAsia="宋体" w:cs="AdobeSongStd-Light"/>
          <w:kern w:val="0"/>
          <w:szCs w:val="21"/>
        </w:rPr>
        <w:t>(2)</w:t>
      </w:r>
      <w:r>
        <w:rPr>
          <w:rFonts w:hint="eastAsia" w:ascii="宋体" w:hAnsi="宋体" w:eastAsia="宋体" w:cs="AdobeSongStd-Light"/>
          <w:kern w:val="0"/>
          <w:szCs w:val="21"/>
        </w:rPr>
        <w:t>国家和国民经济是历史的产物。现实的世界市场</w:t>
      </w:r>
      <w:r>
        <w:rPr>
          <w:rFonts w:ascii="宋体" w:hAnsi="宋体" w:eastAsia="宋体" w:cs="AdobeSongStd-Light"/>
          <w:kern w:val="0"/>
          <w:szCs w:val="21"/>
        </w:rPr>
        <w:t>，</w:t>
      </w:r>
      <w:r>
        <w:rPr>
          <w:rFonts w:hint="eastAsia" w:ascii="宋体" w:hAnsi="宋体" w:eastAsia="宋体" w:cs="AdobeSongStd-Light"/>
          <w:kern w:val="0"/>
          <w:szCs w:val="21"/>
        </w:rPr>
        <w:t>常带有历史的规定性</w:t>
      </w:r>
      <w:r>
        <w:rPr>
          <w:rFonts w:ascii="宋体" w:hAnsi="宋体" w:eastAsia="宋体" w:cs="AdobeSongStd-Light"/>
          <w:kern w:val="0"/>
          <w:szCs w:val="21"/>
        </w:rPr>
        <w:t>，</w:t>
      </w:r>
      <w:r>
        <w:rPr>
          <w:rFonts w:hint="eastAsia" w:ascii="宋体" w:hAnsi="宋体" w:eastAsia="宋体" w:cs="AdobeSongStd-Light"/>
          <w:kern w:val="0"/>
          <w:szCs w:val="21"/>
        </w:rPr>
        <w:t>能否把这个考虑为非市场因素是问题之一。</w:t>
      </w:r>
      <w:r>
        <w:rPr>
          <w:rFonts w:ascii="宋体" w:hAnsi="宋体" w:eastAsia="宋体" w:cs="AdobeSongStd-Light"/>
          <w:kern w:val="0"/>
          <w:szCs w:val="21"/>
        </w:rPr>
        <w:t>(3)</w:t>
      </w:r>
      <w:r>
        <w:rPr>
          <w:rFonts w:hint="eastAsia" w:ascii="宋体" w:hAnsi="宋体" w:eastAsia="宋体" w:cs="AdobeSongStd-Light"/>
          <w:kern w:val="0"/>
          <w:szCs w:val="21"/>
        </w:rPr>
        <w:t>马克思经济学对象不单是作为下部构造的经济关系</w:t>
      </w:r>
      <w:r>
        <w:rPr>
          <w:rFonts w:ascii="宋体" w:hAnsi="宋体" w:eastAsia="宋体" w:cs="AdobeSongStd-Light"/>
          <w:kern w:val="0"/>
          <w:szCs w:val="21"/>
        </w:rPr>
        <w:t>，</w:t>
      </w:r>
      <w:r>
        <w:rPr>
          <w:rFonts w:hint="eastAsia" w:ascii="宋体" w:hAnsi="宋体" w:eastAsia="宋体" w:cs="AdobeSongStd-Light"/>
          <w:kern w:val="0"/>
          <w:szCs w:val="21"/>
        </w:rPr>
        <w:t>还包括上层建筑的资本主义社会全体</w:t>
      </w:r>
      <w:r>
        <w:rPr>
          <w:rFonts w:ascii="宋体" w:hAnsi="宋体" w:eastAsia="宋体" w:cs="AdobeSongStd-Light"/>
          <w:kern w:val="0"/>
          <w:szCs w:val="21"/>
        </w:rPr>
        <w:t>，</w:t>
      </w:r>
      <w:r>
        <w:rPr>
          <w:rFonts w:hint="eastAsia" w:ascii="宋体" w:hAnsi="宋体" w:eastAsia="宋体" w:cs="AdobeSongStd-Light"/>
          <w:kern w:val="0"/>
          <w:szCs w:val="21"/>
        </w:rPr>
        <w:t>这就意味着原本就含有非市场因素</w:t>
      </w:r>
      <w:r>
        <w:rPr>
          <w:rFonts w:ascii="宋体" w:hAnsi="宋体" w:eastAsia="宋体" w:cs="AdobeSongStd-Light"/>
          <w:kern w:val="0"/>
          <w:szCs w:val="21"/>
        </w:rPr>
        <w:t>，</w:t>
      </w:r>
      <w:r>
        <w:rPr>
          <w:rFonts w:hint="eastAsia" w:ascii="宋体" w:hAnsi="宋体" w:eastAsia="宋体" w:cs="AdobeSongStd-Light"/>
          <w:kern w:val="0"/>
          <w:szCs w:val="21"/>
        </w:rPr>
        <w:t>我认为现代经济学必须同时具有文明论的这一侧面。</w:t>
      </w:r>
    </w:p>
    <w:p w14:paraId="0AC8F686">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第三</w:t>
      </w:r>
      <w:r>
        <w:rPr>
          <w:rFonts w:ascii="宋体" w:hAnsi="宋体" w:eastAsia="宋体" w:cs="AdobeSongStd-Light"/>
          <w:kern w:val="0"/>
          <w:szCs w:val="21"/>
        </w:rPr>
        <w:t>，</w:t>
      </w:r>
      <w:r>
        <w:rPr>
          <w:rFonts w:hint="eastAsia" w:ascii="宋体" w:hAnsi="宋体" w:eastAsia="宋体" w:cs="AdobeSongStd-Light"/>
          <w:kern w:val="0"/>
          <w:szCs w:val="21"/>
        </w:rPr>
        <w:t>现代政治经济学的主体性。松井、小幡都按照共同论题</w:t>
      </w:r>
      <w:r>
        <w:rPr>
          <w:rFonts w:ascii="宋体" w:hAnsi="宋体" w:eastAsia="宋体" w:cs="AdobeSongStd-Light"/>
          <w:kern w:val="0"/>
          <w:szCs w:val="21"/>
        </w:rPr>
        <w:t>，</w:t>
      </w:r>
      <w:r>
        <w:rPr>
          <w:rFonts w:hint="eastAsia" w:ascii="宋体" w:hAnsi="宋体" w:eastAsia="宋体" w:cs="AdobeSongStd-Light"/>
          <w:kern w:val="0"/>
          <w:szCs w:val="21"/>
        </w:rPr>
        <w:t>将马克思经济学定位为现代政治经济学。关于今后的政治经济学的主体性</w:t>
      </w:r>
      <w:r>
        <w:rPr>
          <w:rFonts w:ascii="宋体" w:hAnsi="宋体" w:eastAsia="宋体" w:cs="AdobeSongStd-Light"/>
          <w:kern w:val="0"/>
          <w:szCs w:val="21"/>
        </w:rPr>
        <w:t>，</w:t>
      </w:r>
      <w:r>
        <w:rPr>
          <w:rFonts w:hint="eastAsia" w:ascii="宋体" w:hAnsi="宋体" w:eastAsia="宋体" w:cs="AdobeSongStd-Light"/>
          <w:kern w:val="0"/>
          <w:szCs w:val="21"/>
        </w:rPr>
        <w:t>我认为把马克思经济学看成现代的哲学政治经济学</w:t>
      </w:r>
      <w:r>
        <w:rPr>
          <w:rFonts w:ascii="宋体" w:hAnsi="宋体" w:eastAsia="宋体" w:cs="AdobeSongStd-Light"/>
          <w:kern w:val="0"/>
          <w:szCs w:val="21"/>
        </w:rPr>
        <w:t>，</w:t>
      </w:r>
      <w:r>
        <w:rPr>
          <w:rFonts w:hint="eastAsia" w:ascii="宋体" w:hAnsi="宋体" w:eastAsia="宋体" w:cs="AdobeSongStd-Light"/>
          <w:kern w:val="0"/>
          <w:szCs w:val="21"/>
        </w:rPr>
        <w:t>也许有其合理性</w:t>
      </w:r>
      <w:r>
        <w:rPr>
          <w:rFonts w:ascii="宋体" w:hAnsi="宋体" w:eastAsia="宋体" w:cs="AdobeSongStd-Light"/>
          <w:kern w:val="0"/>
          <w:szCs w:val="21"/>
        </w:rPr>
        <w:t>；</w:t>
      </w:r>
      <w:r>
        <w:rPr>
          <w:rFonts w:hint="eastAsia" w:ascii="宋体" w:hAnsi="宋体" w:eastAsia="宋体" w:cs="AdobeSongStd-Light"/>
          <w:kern w:val="0"/>
          <w:szCs w:val="21"/>
        </w:rPr>
        <w:t>凯恩斯经济学即便可以说成现代政治经济学</w:t>
      </w:r>
      <w:r>
        <w:rPr>
          <w:rFonts w:ascii="宋体" w:hAnsi="宋体" w:eastAsia="宋体" w:cs="AdobeSongStd-Light"/>
          <w:kern w:val="0"/>
          <w:szCs w:val="21"/>
        </w:rPr>
        <w:t>，</w:t>
      </w:r>
      <w:r>
        <w:rPr>
          <w:rFonts w:hint="eastAsia" w:ascii="宋体" w:hAnsi="宋体" w:eastAsia="宋体" w:cs="AdobeSongStd-Light"/>
          <w:kern w:val="0"/>
          <w:szCs w:val="21"/>
        </w:rPr>
        <w:t>但马克思经济学即使在现代还应该是“经济学批判”。</w:t>
      </w:r>
    </w:p>
    <w:p w14:paraId="7B6AC08E">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第四</w:t>
      </w:r>
      <w:r>
        <w:rPr>
          <w:rFonts w:ascii="宋体" w:hAnsi="宋体" w:eastAsia="宋体" w:cs="AdobeSongStd-Light"/>
          <w:kern w:val="0"/>
          <w:szCs w:val="21"/>
        </w:rPr>
        <w:t>，</w:t>
      </w:r>
      <w:r>
        <w:rPr>
          <w:rFonts w:hint="eastAsia" w:ascii="宋体" w:hAnsi="宋体" w:eastAsia="宋体" w:cs="AdobeSongStd-Light"/>
          <w:kern w:val="0"/>
          <w:szCs w:val="21"/>
        </w:rPr>
        <w:t>怎样评价唯物史观。松井、小幡两人都就作为社会变革理论的马克思经济学阐述了自己的看法</w:t>
      </w:r>
      <w:r>
        <w:rPr>
          <w:rFonts w:ascii="宋体" w:hAnsi="宋体" w:eastAsia="宋体" w:cs="AdobeSongStd-Light"/>
          <w:kern w:val="0"/>
          <w:szCs w:val="21"/>
        </w:rPr>
        <w:t>，</w:t>
      </w:r>
      <w:r>
        <w:rPr>
          <w:rFonts w:hint="eastAsia" w:ascii="宋体" w:hAnsi="宋体" w:eastAsia="宋体" w:cs="AdobeSongStd-Light"/>
          <w:kern w:val="0"/>
          <w:szCs w:val="21"/>
        </w:rPr>
        <w:t>只是松井重视马克思经济学的规范理论</w:t>
      </w:r>
      <w:r>
        <w:rPr>
          <w:rFonts w:ascii="宋体" w:hAnsi="宋体" w:eastAsia="宋体" w:cs="AdobeSongStd-Light"/>
          <w:kern w:val="0"/>
          <w:szCs w:val="21"/>
        </w:rPr>
        <w:t>，</w:t>
      </w:r>
      <w:r>
        <w:rPr>
          <w:rFonts w:hint="eastAsia" w:ascii="宋体" w:hAnsi="宋体" w:eastAsia="宋体" w:cs="AdobeSongStd-Light"/>
          <w:kern w:val="0"/>
          <w:szCs w:val="21"/>
        </w:rPr>
        <w:t>小幡重视马克思经济学的历史理论。用生产力和生产关系的矛盾来论述社会变革的必然性</w:t>
      </w:r>
      <w:r>
        <w:rPr>
          <w:rFonts w:ascii="宋体" w:hAnsi="宋体" w:eastAsia="宋体" w:cs="AdobeSongStd-Light"/>
          <w:kern w:val="0"/>
          <w:szCs w:val="21"/>
        </w:rPr>
        <w:t>，</w:t>
      </w:r>
      <w:r>
        <w:rPr>
          <w:rFonts w:hint="eastAsia" w:ascii="宋体" w:hAnsi="宋体" w:eastAsia="宋体" w:cs="AdobeSongStd-Light"/>
          <w:kern w:val="0"/>
          <w:szCs w:val="21"/>
        </w:rPr>
        <w:t>这就是与唯物历史观评价有关联的论点。我用“资本主义能够存在下去吗”来表明明确的唯物史观立场。二战后</w:t>
      </w:r>
      <w:r>
        <w:rPr>
          <w:rFonts w:ascii="宋体" w:hAnsi="宋体" w:eastAsia="宋体" w:cs="AdobeSongStd-Light"/>
          <w:kern w:val="0"/>
          <w:szCs w:val="21"/>
        </w:rPr>
        <w:t>，</w:t>
      </w:r>
      <w:r>
        <w:rPr>
          <w:rFonts w:hint="eastAsia" w:ascii="宋体" w:hAnsi="宋体" w:eastAsia="宋体" w:cs="AdobeSongStd-Light"/>
          <w:kern w:val="0"/>
          <w:szCs w:val="21"/>
        </w:rPr>
        <w:t>资本主义是从成长经济经过低成长时期</w:t>
      </w:r>
      <w:r>
        <w:rPr>
          <w:rFonts w:ascii="宋体" w:hAnsi="宋体" w:eastAsia="宋体" w:cs="AdobeSongStd-Light"/>
          <w:kern w:val="0"/>
          <w:szCs w:val="21"/>
        </w:rPr>
        <w:t>，</w:t>
      </w:r>
      <w:r>
        <w:rPr>
          <w:rFonts w:hint="eastAsia" w:ascii="宋体" w:hAnsi="宋体" w:eastAsia="宋体" w:cs="AdobeSongStd-Light"/>
          <w:kern w:val="0"/>
          <w:szCs w:val="21"/>
        </w:rPr>
        <w:t>避开了长期深刻的破绽发展过来的</w:t>
      </w:r>
      <w:r>
        <w:rPr>
          <w:rFonts w:ascii="宋体" w:hAnsi="宋体" w:eastAsia="宋体" w:cs="AdobeSongStd-Light"/>
          <w:kern w:val="0"/>
          <w:szCs w:val="21"/>
        </w:rPr>
        <w:t>，</w:t>
      </w:r>
      <w:r>
        <w:rPr>
          <w:rFonts w:hint="eastAsia" w:ascii="宋体" w:hAnsi="宋体" w:eastAsia="宋体" w:cs="AdobeSongStd-Light"/>
          <w:kern w:val="0"/>
          <w:szCs w:val="21"/>
        </w:rPr>
        <w:t>但追求无限生产力发展的结果终于遇到了大的界限</w:t>
      </w:r>
      <w:r>
        <w:rPr>
          <w:rFonts w:ascii="宋体" w:hAnsi="宋体" w:eastAsia="宋体" w:cs="AdobeSongStd-Light"/>
          <w:kern w:val="0"/>
          <w:szCs w:val="21"/>
        </w:rPr>
        <w:t>，</w:t>
      </w:r>
      <w:r>
        <w:rPr>
          <w:rFonts w:hint="eastAsia" w:ascii="宋体" w:hAnsi="宋体" w:eastAsia="宋体" w:cs="AdobeSongStd-Light"/>
          <w:kern w:val="0"/>
          <w:szCs w:val="21"/>
        </w:rPr>
        <w:t>其结果扩大了市场理论和人类社会理论之间的冲突</w:t>
      </w:r>
      <w:r>
        <w:rPr>
          <w:rFonts w:ascii="宋体" w:hAnsi="宋体" w:eastAsia="宋体" w:cs="AdobeSongStd-Light"/>
          <w:kern w:val="0"/>
          <w:szCs w:val="21"/>
        </w:rPr>
        <w:t>，</w:t>
      </w:r>
      <w:r>
        <w:rPr>
          <w:rFonts w:hint="eastAsia" w:ascii="宋体" w:hAnsi="宋体" w:eastAsia="宋体" w:cs="AdobeSongStd-Light"/>
          <w:kern w:val="0"/>
          <w:szCs w:val="21"/>
        </w:rPr>
        <w:t>这就是我的基本认识。用单纯的唯物史观说明从远古到现在的人类社会历史是有问题的</w:t>
      </w:r>
      <w:r>
        <w:rPr>
          <w:rFonts w:ascii="宋体" w:hAnsi="宋体" w:eastAsia="宋体" w:cs="AdobeSongStd-Light"/>
          <w:kern w:val="0"/>
          <w:szCs w:val="21"/>
        </w:rPr>
        <w:t>，</w:t>
      </w:r>
      <w:r>
        <w:rPr>
          <w:rFonts w:hint="eastAsia" w:ascii="宋体" w:hAnsi="宋体" w:eastAsia="宋体" w:cs="AdobeSongStd-Light"/>
          <w:kern w:val="0"/>
          <w:szCs w:val="21"/>
        </w:rPr>
        <w:t>不过</w:t>
      </w:r>
      <w:r>
        <w:rPr>
          <w:rFonts w:ascii="宋体" w:hAnsi="宋体" w:eastAsia="宋体" w:cs="AdobeSongStd-Light"/>
          <w:kern w:val="0"/>
          <w:szCs w:val="21"/>
        </w:rPr>
        <w:t>，</w:t>
      </w:r>
      <w:r>
        <w:rPr>
          <w:rFonts w:hint="eastAsia" w:ascii="宋体" w:hAnsi="宋体" w:eastAsia="宋体" w:cs="AdobeSongStd-Light"/>
          <w:kern w:val="0"/>
          <w:szCs w:val="21"/>
        </w:rPr>
        <w:t>以“生产力和生产关系”为基础的唯物史观</w:t>
      </w:r>
      <w:r>
        <w:rPr>
          <w:rFonts w:ascii="宋体" w:hAnsi="宋体" w:eastAsia="宋体" w:cs="AdobeSongStd-Light"/>
          <w:kern w:val="0"/>
          <w:szCs w:val="21"/>
        </w:rPr>
        <w:t>，</w:t>
      </w:r>
      <w:r>
        <w:rPr>
          <w:rFonts w:hint="eastAsia" w:ascii="宋体" w:hAnsi="宋体" w:eastAsia="宋体" w:cs="AdobeSongStd-Light"/>
          <w:kern w:val="0"/>
          <w:szCs w:val="21"/>
        </w:rPr>
        <w:t>来论述资本主义是相当合适的。资本主义追求生产力的无限发展</w:t>
      </w:r>
      <w:r>
        <w:rPr>
          <w:rFonts w:ascii="宋体" w:hAnsi="宋体" w:eastAsia="宋体" w:cs="AdobeSongStd-Light"/>
          <w:kern w:val="0"/>
          <w:szCs w:val="21"/>
        </w:rPr>
        <w:t>，</w:t>
      </w:r>
      <w:r>
        <w:rPr>
          <w:rFonts w:hint="eastAsia" w:ascii="宋体" w:hAnsi="宋体" w:eastAsia="宋体" w:cs="AdobeSongStd-Light"/>
          <w:kern w:val="0"/>
          <w:szCs w:val="21"/>
        </w:rPr>
        <w:t>会带来短时期的生产力的发展</w:t>
      </w:r>
      <w:r>
        <w:rPr>
          <w:rFonts w:ascii="宋体" w:hAnsi="宋体" w:eastAsia="宋体" w:cs="AdobeSongStd-Light"/>
          <w:kern w:val="0"/>
          <w:szCs w:val="21"/>
        </w:rPr>
        <w:t>，</w:t>
      </w:r>
      <w:r>
        <w:rPr>
          <w:rFonts w:hint="eastAsia" w:ascii="宋体" w:hAnsi="宋体" w:eastAsia="宋体" w:cs="AdobeSongStd-Light"/>
          <w:kern w:val="0"/>
          <w:szCs w:val="21"/>
        </w:rPr>
        <w:t>但在这种资本主义的自然力当中</w:t>
      </w:r>
      <w:r>
        <w:rPr>
          <w:rFonts w:ascii="宋体" w:hAnsi="宋体" w:eastAsia="宋体" w:cs="AdobeSongStd-Light"/>
          <w:kern w:val="0"/>
          <w:szCs w:val="21"/>
        </w:rPr>
        <w:t>，</w:t>
      </w:r>
      <w:r>
        <w:rPr>
          <w:rFonts w:hint="eastAsia" w:ascii="宋体" w:hAnsi="宋体" w:eastAsia="宋体" w:cs="AdobeSongStd-Light"/>
          <w:kern w:val="0"/>
          <w:szCs w:val="21"/>
        </w:rPr>
        <w:t>同时其发展界限也被划定了。问题在于</w:t>
      </w:r>
      <w:r>
        <w:rPr>
          <w:rFonts w:ascii="宋体" w:hAnsi="宋体" w:eastAsia="宋体" w:cs="AdobeSongStd-Light"/>
          <w:kern w:val="0"/>
          <w:szCs w:val="21"/>
        </w:rPr>
        <w:t>：</w:t>
      </w:r>
      <w:r>
        <w:rPr>
          <w:rFonts w:hint="eastAsia" w:ascii="宋体" w:hAnsi="宋体" w:eastAsia="宋体" w:cs="AdobeSongStd-Light"/>
          <w:kern w:val="0"/>
          <w:szCs w:val="21"/>
        </w:rPr>
        <w:t>唯物史观是自动崩溃论吗</w:t>
      </w:r>
      <w:r>
        <w:rPr>
          <w:rFonts w:ascii="宋体" w:hAnsi="宋体" w:eastAsia="宋体" w:cs="AdobeSongStd-Light"/>
          <w:kern w:val="0"/>
          <w:szCs w:val="21"/>
        </w:rPr>
        <w:t>？</w:t>
      </w:r>
      <w:r>
        <w:rPr>
          <w:rFonts w:hint="eastAsia" w:ascii="宋体" w:hAnsi="宋体" w:eastAsia="宋体" w:cs="AdobeSongStd-Light"/>
          <w:kern w:val="0"/>
          <w:szCs w:val="21"/>
        </w:rPr>
        <w:t>我不认为唯物史观是“自动崩溃论”。由于市场的界限</w:t>
      </w:r>
      <w:r>
        <w:rPr>
          <w:rFonts w:ascii="宋体" w:hAnsi="宋体" w:eastAsia="宋体" w:cs="AdobeSongStd-Light"/>
          <w:kern w:val="0"/>
          <w:szCs w:val="21"/>
        </w:rPr>
        <w:t>，</w:t>
      </w:r>
      <w:r>
        <w:rPr>
          <w:rFonts w:hint="eastAsia" w:ascii="宋体" w:hAnsi="宋体" w:eastAsia="宋体" w:cs="AdobeSongStd-Light"/>
          <w:kern w:val="0"/>
          <w:szCs w:val="21"/>
        </w:rPr>
        <w:t>资本主义困境不单是资本主义体制的危机</w:t>
      </w:r>
      <w:r>
        <w:rPr>
          <w:rFonts w:ascii="宋体" w:hAnsi="宋体" w:eastAsia="宋体" w:cs="AdobeSongStd-Light"/>
          <w:kern w:val="0"/>
          <w:szCs w:val="21"/>
        </w:rPr>
        <w:t>，</w:t>
      </w:r>
      <w:r>
        <w:rPr>
          <w:rFonts w:hint="eastAsia" w:ascii="宋体" w:hAnsi="宋体" w:eastAsia="宋体" w:cs="AdobeSongStd-Light"/>
          <w:kern w:val="0"/>
          <w:szCs w:val="21"/>
        </w:rPr>
        <w:t>也可能会带来人类社会的危机。</w:t>
      </w:r>
    </w:p>
    <w:p w14:paraId="71D0977C">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第五</w:t>
      </w:r>
      <w:r>
        <w:rPr>
          <w:rFonts w:ascii="宋体" w:hAnsi="宋体" w:eastAsia="宋体" w:cs="AdobeSongStd-Light"/>
          <w:kern w:val="0"/>
          <w:szCs w:val="21"/>
        </w:rPr>
        <w:t>，</w:t>
      </w:r>
      <w:r>
        <w:rPr>
          <w:rFonts w:hint="eastAsia" w:ascii="宋体" w:hAnsi="宋体" w:eastAsia="宋体" w:cs="AdobeSongStd-Light"/>
          <w:kern w:val="0"/>
          <w:szCs w:val="21"/>
        </w:rPr>
        <w:t>社会像论。松井、小幡二氏认为</w:t>
      </w:r>
      <w:r>
        <w:rPr>
          <w:rFonts w:ascii="宋体" w:hAnsi="宋体" w:eastAsia="宋体" w:cs="AdobeSongStd-Light"/>
          <w:kern w:val="0"/>
          <w:szCs w:val="21"/>
        </w:rPr>
        <w:t>，</w:t>
      </w:r>
      <w:r>
        <w:rPr>
          <w:rFonts w:hint="eastAsia" w:ascii="宋体" w:hAnsi="宋体" w:eastAsia="宋体" w:cs="AdobeSongStd-Light"/>
          <w:kern w:val="0"/>
          <w:szCs w:val="21"/>
        </w:rPr>
        <w:t>原来的马克思经济学不能充分提示取代资本主义的社会像。对于资本主义提示怎样的社会像</w:t>
      </w:r>
      <w:r>
        <w:rPr>
          <w:rFonts w:ascii="宋体" w:hAnsi="宋体" w:eastAsia="宋体" w:cs="AdobeSongStd-Light"/>
          <w:kern w:val="0"/>
          <w:szCs w:val="21"/>
        </w:rPr>
        <w:t>，</w:t>
      </w:r>
      <w:r>
        <w:rPr>
          <w:rFonts w:hint="eastAsia" w:ascii="宋体" w:hAnsi="宋体" w:eastAsia="宋体" w:cs="AdobeSongStd-Light"/>
          <w:kern w:val="0"/>
          <w:szCs w:val="21"/>
        </w:rPr>
        <w:t>是个重要的研究课题。在市场经济存在的同时</w:t>
      </w:r>
      <w:r>
        <w:rPr>
          <w:rFonts w:ascii="宋体" w:hAnsi="宋体" w:eastAsia="宋体" w:cs="AdobeSongStd-Light"/>
          <w:kern w:val="0"/>
          <w:szCs w:val="21"/>
        </w:rPr>
        <w:t>，</w:t>
      </w:r>
      <w:r>
        <w:rPr>
          <w:rFonts w:hint="eastAsia" w:ascii="宋体" w:hAnsi="宋体" w:eastAsia="宋体" w:cs="AdobeSongStd-Light"/>
          <w:kern w:val="0"/>
          <w:szCs w:val="21"/>
        </w:rPr>
        <w:t>进行宏观理性调控和探求资本主义的社会像</w:t>
      </w:r>
      <w:r>
        <w:rPr>
          <w:rFonts w:ascii="宋体" w:hAnsi="宋体" w:eastAsia="宋体" w:cs="AdobeSongStd-Light"/>
          <w:kern w:val="0"/>
          <w:szCs w:val="21"/>
        </w:rPr>
        <w:t>，</w:t>
      </w:r>
      <w:r>
        <w:rPr>
          <w:rFonts w:hint="eastAsia" w:ascii="宋体" w:hAnsi="宋体" w:eastAsia="宋体" w:cs="AdobeSongStd-Light"/>
          <w:kern w:val="0"/>
          <w:szCs w:val="21"/>
        </w:rPr>
        <w:t>哪方面存在不同呢</w:t>
      </w:r>
      <w:r>
        <w:rPr>
          <w:rFonts w:ascii="宋体" w:hAnsi="宋体" w:eastAsia="宋体" w:cs="AdobeSongStd-Light"/>
          <w:kern w:val="0"/>
          <w:szCs w:val="21"/>
        </w:rPr>
        <w:t>？</w:t>
      </w:r>
      <w:r>
        <w:rPr>
          <w:rFonts w:hint="eastAsia" w:ascii="宋体" w:hAnsi="宋体" w:eastAsia="宋体" w:cs="AdobeSongStd-Light"/>
          <w:kern w:val="0"/>
          <w:szCs w:val="21"/>
        </w:rPr>
        <w:t>像这种社会像论</w:t>
      </w:r>
      <w:r>
        <w:rPr>
          <w:rFonts w:ascii="宋体" w:hAnsi="宋体" w:eastAsia="宋体" w:cs="AdobeSongStd-Light"/>
          <w:kern w:val="0"/>
          <w:szCs w:val="21"/>
        </w:rPr>
        <w:t>，</w:t>
      </w:r>
      <w:r>
        <w:rPr>
          <w:rFonts w:hint="eastAsia" w:ascii="宋体" w:hAnsi="宋体" w:eastAsia="宋体" w:cs="AdobeSongStd-Light"/>
          <w:kern w:val="0"/>
          <w:szCs w:val="21"/>
        </w:rPr>
        <w:t>似乎是接近于马克思主义否定过的改良主义的研究方法。现在市场的困境倾向在发展</w:t>
      </w:r>
      <w:r>
        <w:rPr>
          <w:rFonts w:ascii="宋体" w:hAnsi="宋体" w:eastAsia="宋体" w:cs="AdobeSongStd-Light"/>
          <w:kern w:val="0"/>
          <w:szCs w:val="21"/>
        </w:rPr>
        <w:t>，</w:t>
      </w:r>
      <w:r>
        <w:rPr>
          <w:rFonts w:hint="eastAsia" w:ascii="宋体" w:hAnsi="宋体" w:eastAsia="宋体" w:cs="AdobeSongStd-Light"/>
          <w:kern w:val="0"/>
          <w:szCs w:val="21"/>
        </w:rPr>
        <w:t>企业社会伦理和人类社会伦理之间的对立在扩大。凭借企业社会伦理就这样扩展的话</w:t>
      </w:r>
      <w:r>
        <w:rPr>
          <w:rFonts w:ascii="宋体" w:hAnsi="宋体" w:eastAsia="宋体" w:cs="AdobeSongStd-Light"/>
          <w:kern w:val="0"/>
          <w:szCs w:val="21"/>
        </w:rPr>
        <w:t>，21</w:t>
      </w:r>
      <w:r>
        <w:rPr>
          <w:rFonts w:hint="eastAsia" w:ascii="宋体" w:hAnsi="宋体" w:eastAsia="宋体" w:cs="AdobeSongStd-Light"/>
          <w:kern w:val="0"/>
          <w:szCs w:val="21"/>
        </w:rPr>
        <w:t>世纪将会成为人类的危机时代。我的主张是在经济社会中组建一种作为抑制企业社会的理论</w:t>
      </w:r>
      <w:r>
        <w:rPr>
          <w:rFonts w:ascii="宋体" w:hAnsi="宋体" w:eastAsia="宋体" w:cs="AdobeSongStd-Light"/>
          <w:kern w:val="0"/>
          <w:szCs w:val="21"/>
        </w:rPr>
        <w:t>，</w:t>
      </w:r>
      <w:r>
        <w:rPr>
          <w:rFonts w:hint="eastAsia" w:ascii="宋体" w:hAnsi="宋体" w:eastAsia="宋体" w:cs="AdobeSongStd-Light"/>
          <w:kern w:val="0"/>
          <w:szCs w:val="21"/>
        </w:rPr>
        <w:t>与之相对抗的理论势在必行。我不主张通过改良来达到理想社会。</w:t>
      </w:r>
    </w:p>
    <w:p w14:paraId="51702754">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第六</w:t>
      </w:r>
      <w:r>
        <w:rPr>
          <w:rFonts w:ascii="宋体" w:hAnsi="宋体" w:eastAsia="宋体" w:cs="AdobeSongStd-Light"/>
          <w:kern w:val="0"/>
          <w:szCs w:val="21"/>
        </w:rPr>
        <w:t>，</w:t>
      </w:r>
      <w:r>
        <w:rPr>
          <w:rFonts w:hint="eastAsia" w:ascii="宋体" w:hAnsi="宋体" w:eastAsia="宋体" w:cs="AdobeSongStd-Light"/>
          <w:kern w:val="0"/>
          <w:szCs w:val="21"/>
        </w:rPr>
        <w:t>迄今研究的问题意识和“资本主义能否存在下去吗</w:t>
      </w:r>
      <w:r>
        <w:rPr>
          <w:rFonts w:ascii="宋体" w:hAnsi="宋体" w:eastAsia="宋体" w:cs="AdobeSongStd-Light"/>
          <w:kern w:val="0"/>
          <w:szCs w:val="21"/>
        </w:rPr>
        <w:t>？</w:t>
      </w:r>
      <w:r>
        <w:rPr>
          <w:rFonts w:hint="eastAsia" w:ascii="宋体" w:hAnsi="宋体" w:eastAsia="宋体" w:cs="AdobeSongStd-Light"/>
          <w:kern w:val="0"/>
          <w:szCs w:val="21"/>
        </w:rPr>
        <w:t>”我从战后还是资本主义危机论流行的时候</w:t>
      </w:r>
      <w:r>
        <w:rPr>
          <w:rFonts w:ascii="宋体" w:hAnsi="宋体" w:eastAsia="宋体" w:cs="AdobeSongStd-Light"/>
          <w:kern w:val="0"/>
          <w:szCs w:val="21"/>
        </w:rPr>
        <w:t>，</w:t>
      </w:r>
      <w:r>
        <w:rPr>
          <w:rFonts w:hint="eastAsia" w:ascii="宋体" w:hAnsi="宋体" w:eastAsia="宋体" w:cs="AdobeSongStd-Light"/>
          <w:kern w:val="0"/>
          <w:szCs w:val="21"/>
        </w:rPr>
        <w:t>就认为日本资本主义已经开始了新的发展</w:t>
      </w:r>
      <w:r>
        <w:rPr>
          <w:rFonts w:ascii="宋体" w:hAnsi="宋体" w:eastAsia="宋体" w:cs="AdobeSongStd-Light"/>
          <w:kern w:val="0"/>
          <w:szCs w:val="21"/>
        </w:rPr>
        <w:t>，</w:t>
      </w:r>
      <w:r>
        <w:rPr>
          <w:rFonts w:hint="eastAsia" w:ascii="宋体" w:hAnsi="宋体" w:eastAsia="宋体" w:cs="AdobeSongStd-Light"/>
          <w:kern w:val="0"/>
          <w:szCs w:val="21"/>
        </w:rPr>
        <w:t>考虑到还要经历相当长的成长时期。维持战后经济成长的各种各样的诸多条件排列着</w:t>
      </w:r>
      <w:r>
        <w:rPr>
          <w:rFonts w:ascii="宋体" w:hAnsi="宋体" w:eastAsia="宋体" w:cs="AdobeSongStd-Light"/>
          <w:kern w:val="0"/>
          <w:szCs w:val="21"/>
        </w:rPr>
        <w:t>，</w:t>
      </w:r>
      <w:r>
        <w:rPr>
          <w:rFonts w:hint="eastAsia" w:ascii="宋体" w:hAnsi="宋体" w:eastAsia="宋体" w:cs="AdobeSongStd-Light"/>
          <w:kern w:val="0"/>
          <w:szCs w:val="21"/>
        </w:rPr>
        <w:t>由于各国的不兑换制度以及国际的美元体制的金融货币的特殊情况</w:t>
      </w:r>
      <w:r>
        <w:rPr>
          <w:rFonts w:ascii="宋体" w:hAnsi="宋体" w:eastAsia="宋体" w:cs="AdobeSongStd-Light"/>
          <w:kern w:val="0"/>
          <w:szCs w:val="21"/>
        </w:rPr>
        <w:t>，</w:t>
      </w:r>
      <w:r>
        <w:rPr>
          <w:rFonts w:hint="eastAsia" w:ascii="宋体" w:hAnsi="宋体" w:eastAsia="宋体" w:cs="AdobeSongStd-Light"/>
          <w:kern w:val="0"/>
          <w:szCs w:val="21"/>
        </w:rPr>
        <w:t>现在的资本主义已经具有了不易露出破绽的体制构造。这是我的基本的问题意识</w:t>
      </w:r>
      <w:r>
        <w:rPr>
          <w:rFonts w:ascii="宋体" w:hAnsi="宋体" w:eastAsia="宋体" w:cs="AdobeSongStd-Light"/>
          <w:kern w:val="0"/>
          <w:szCs w:val="21"/>
        </w:rPr>
        <w:t>，</w:t>
      </w:r>
      <w:r>
        <w:rPr>
          <w:rFonts w:hint="eastAsia" w:ascii="宋体" w:hAnsi="宋体" w:eastAsia="宋体" w:cs="AdobeSongStd-Light"/>
          <w:kern w:val="0"/>
          <w:szCs w:val="21"/>
        </w:rPr>
        <w:t>也是与想弄清凯恩斯政策的意识和界限这样的问题意识相关联的。有关这样问题意识的主要文章是</w:t>
      </w:r>
      <w:r>
        <w:rPr>
          <w:rFonts w:ascii="宋体" w:hAnsi="宋体" w:eastAsia="宋体" w:cs="AdobeSongStd-Light"/>
          <w:kern w:val="0"/>
          <w:szCs w:val="21"/>
        </w:rPr>
        <w:t>2000</w:t>
      </w:r>
      <w:r>
        <w:rPr>
          <w:rFonts w:hint="eastAsia" w:ascii="宋体" w:hAnsi="宋体" w:eastAsia="宋体" w:cs="AdobeSongStd-Light"/>
          <w:kern w:val="0"/>
          <w:szCs w:val="21"/>
        </w:rPr>
        <w:t>年集录的《货币信用论和现代——不换制的理论》一书。现代资本主义不会轻易进入困境</w:t>
      </w:r>
      <w:r>
        <w:rPr>
          <w:rFonts w:ascii="宋体" w:hAnsi="宋体" w:eastAsia="宋体" w:cs="AdobeSongStd-Light"/>
          <w:kern w:val="0"/>
          <w:szCs w:val="21"/>
        </w:rPr>
        <w:t>，</w:t>
      </w:r>
      <w:r>
        <w:rPr>
          <w:rFonts w:hint="eastAsia" w:ascii="宋体" w:hAnsi="宋体" w:eastAsia="宋体" w:cs="AdobeSongStd-Light"/>
          <w:kern w:val="0"/>
          <w:szCs w:val="21"/>
        </w:rPr>
        <w:t>对于想弄清其根由和界限的前后问题意识来说</w:t>
      </w:r>
      <w:r>
        <w:rPr>
          <w:rFonts w:ascii="宋体" w:hAnsi="宋体" w:eastAsia="宋体" w:cs="AdobeSongStd-Light"/>
          <w:kern w:val="0"/>
          <w:szCs w:val="21"/>
        </w:rPr>
        <w:t>，</w:t>
      </w:r>
      <w:r>
        <w:rPr>
          <w:rFonts w:hint="eastAsia" w:ascii="宋体" w:hAnsi="宋体" w:eastAsia="宋体" w:cs="AdobeSongStd-Light"/>
          <w:kern w:val="0"/>
          <w:szCs w:val="21"/>
        </w:rPr>
        <w:t>写“资本主义能否存在下去吗”的背景是战后资本主义发展终于触及了其界限</w:t>
      </w:r>
      <w:r>
        <w:rPr>
          <w:rFonts w:ascii="宋体" w:hAnsi="宋体" w:eastAsia="宋体" w:cs="AdobeSongStd-Light"/>
          <w:kern w:val="0"/>
          <w:szCs w:val="21"/>
        </w:rPr>
        <w:t>，</w:t>
      </w:r>
      <w:r>
        <w:rPr>
          <w:rFonts w:hint="eastAsia" w:ascii="宋体" w:hAnsi="宋体" w:eastAsia="宋体" w:cs="AdobeSongStd-Light"/>
          <w:kern w:val="0"/>
          <w:szCs w:val="21"/>
        </w:rPr>
        <w:t>企业社会的理论和人类社会理论的对立继续快速扩大</w:t>
      </w:r>
      <w:r>
        <w:rPr>
          <w:rFonts w:ascii="宋体" w:hAnsi="宋体" w:eastAsia="宋体" w:cs="AdobeSongStd-Light"/>
          <w:kern w:val="0"/>
          <w:szCs w:val="21"/>
        </w:rPr>
        <w:t>，</w:t>
      </w:r>
      <w:r>
        <w:rPr>
          <w:rFonts w:hint="eastAsia" w:ascii="宋体" w:hAnsi="宋体" w:eastAsia="宋体" w:cs="AdobeSongStd-Light"/>
          <w:kern w:val="0"/>
          <w:szCs w:val="21"/>
        </w:rPr>
        <w:t>通过其冲突开始诞生了对于新的社会的展望。“就要到马克思的时代了”</w:t>
      </w:r>
      <w:r>
        <w:rPr>
          <w:rFonts w:ascii="宋体" w:hAnsi="宋体" w:eastAsia="宋体" w:cs="AdobeSongStd-Light"/>
          <w:kern w:val="0"/>
          <w:szCs w:val="21"/>
        </w:rPr>
        <w:t>，</w:t>
      </w:r>
      <w:r>
        <w:rPr>
          <w:rFonts w:hint="eastAsia" w:ascii="宋体" w:hAnsi="宋体" w:eastAsia="宋体" w:cs="AdobeSongStd-Light"/>
          <w:kern w:val="0"/>
          <w:szCs w:val="21"/>
        </w:rPr>
        <w:t>这是我的实感。这里</w:t>
      </w:r>
      <w:r>
        <w:rPr>
          <w:rFonts w:ascii="宋体" w:hAnsi="宋体" w:eastAsia="宋体" w:cs="AdobeSongStd-Light"/>
          <w:kern w:val="0"/>
          <w:szCs w:val="21"/>
        </w:rPr>
        <w:t>，</w:t>
      </w:r>
      <w:r>
        <w:rPr>
          <w:rFonts w:hint="eastAsia" w:ascii="宋体" w:hAnsi="宋体" w:eastAsia="宋体" w:cs="AdobeSongStd-Light"/>
          <w:kern w:val="0"/>
          <w:szCs w:val="21"/>
        </w:rPr>
        <w:t>称为“马克思时代”指的是</w:t>
      </w:r>
      <w:r>
        <w:rPr>
          <w:rFonts w:ascii="宋体" w:hAnsi="宋体" w:eastAsia="宋体" w:cs="AdobeSongStd-Light"/>
          <w:kern w:val="0"/>
          <w:szCs w:val="21"/>
        </w:rPr>
        <w:t>，</w:t>
      </w:r>
      <w:r>
        <w:rPr>
          <w:rFonts w:hint="eastAsia" w:ascii="宋体" w:hAnsi="宋体" w:eastAsia="宋体" w:cs="AdobeSongStd-Light"/>
          <w:kern w:val="0"/>
          <w:szCs w:val="21"/>
        </w:rPr>
        <w:t>“对于把追求利润作为基本原理</w:t>
      </w:r>
      <w:r>
        <w:rPr>
          <w:rFonts w:ascii="宋体" w:hAnsi="宋体" w:eastAsia="宋体" w:cs="AdobeSongStd-Light"/>
          <w:kern w:val="0"/>
          <w:szCs w:val="21"/>
        </w:rPr>
        <w:t>，</w:t>
      </w:r>
      <w:r>
        <w:rPr>
          <w:rFonts w:hint="eastAsia" w:ascii="宋体" w:hAnsi="宋体" w:eastAsia="宋体" w:cs="AdobeSongStd-Light"/>
          <w:kern w:val="0"/>
          <w:szCs w:val="21"/>
        </w:rPr>
        <w:t>追求经济成长作为资本主义的应有状态</w:t>
      </w:r>
      <w:r>
        <w:rPr>
          <w:rFonts w:ascii="宋体" w:hAnsi="宋体" w:eastAsia="宋体" w:cs="AdobeSongStd-Light"/>
          <w:kern w:val="0"/>
          <w:szCs w:val="21"/>
        </w:rPr>
        <w:t>，</w:t>
      </w:r>
      <w:r>
        <w:rPr>
          <w:rFonts w:hint="eastAsia" w:ascii="宋体" w:hAnsi="宋体" w:eastAsia="宋体" w:cs="AdobeSongStd-Light"/>
          <w:kern w:val="0"/>
          <w:szCs w:val="21"/>
        </w:rPr>
        <w:t>产生质疑的人增加的时代”。</w:t>
      </w:r>
    </w:p>
    <w:p w14:paraId="4DA4E9AA">
      <w:pPr>
        <w:autoSpaceDE w:val="0"/>
        <w:autoSpaceDN w:val="0"/>
        <w:spacing w:line="300" w:lineRule="auto"/>
        <w:ind w:firstLine="440" w:firstLineChars="200"/>
        <w:jc w:val="left"/>
        <w:rPr>
          <w:rFonts w:ascii="宋体" w:hAnsi="宋体" w:eastAsia="宋体" w:cs="AdobeSongStd-Light"/>
          <w:b/>
          <w:kern w:val="0"/>
          <w:szCs w:val="21"/>
        </w:rPr>
      </w:pPr>
      <w:r>
        <w:rPr>
          <w:rFonts w:ascii="宋体" w:hAnsi="宋体" w:eastAsia="宋体" w:cs="AdobeSongStd-Light"/>
          <w:b/>
          <w:kern w:val="0"/>
          <w:szCs w:val="21"/>
        </w:rPr>
        <w:t>（</w:t>
      </w:r>
      <w:r>
        <w:rPr>
          <w:rFonts w:hint="eastAsia" w:ascii="宋体" w:hAnsi="宋体" w:eastAsia="宋体" w:cs="AdobeSongStd-Light"/>
          <w:b/>
          <w:kern w:val="0"/>
          <w:szCs w:val="21"/>
        </w:rPr>
        <w:t>四</w:t>
      </w:r>
      <w:r>
        <w:rPr>
          <w:rFonts w:ascii="宋体" w:hAnsi="宋体" w:eastAsia="宋体" w:cs="AdobeSongStd-Light"/>
          <w:b/>
          <w:kern w:val="0"/>
          <w:szCs w:val="21"/>
        </w:rPr>
        <w:t>）</w:t>
      </w:r>
      <w:r>
        <w:rPr>
          <w:rFonts w:hint="eastAsia" w:ascii="宋体" w:hAnsi="宋体" w:eastAsia="宋体" w:cs="AdobeSongStd-Light"/>
          <w:b/>
          <w:kern w:val="0"/>
          <w:szCs w:val="21"/>
        </w:rPr>
        <w:t>全球一体化和国际金融体系的不稳定化探讨</w:t>
      </w:r>
    </w:p>
    <w:p w14:paraId="6E21003B">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一桥大学研究生院石原洋介对此作了下列几点阐述</w:t>
      </w:r>
      <w:r>
        <w:rPr>
          <w:rFonts w:ascii="宋体" w:hAnsi="宋体" w:eastAsia="宋体" w:cs="AdobeSongStd-Light"/>
          <w:kern w:val="0"/>
          <w:szCs w:val="21"/>
        </w:rPr>
        <w:t>：</w:t>
      </w:r>
    </w:p>
    <w:p w14:paraId="65433307">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1</w:t>
      </w:r>
      <w:r>
        <w:rPr>
          <w:rFonts w:hint="eastAsia" w:ascii="宋体" w:hAnsi="宋体" w:eastAsia="宋体" w:cs="Times New Roman"/>
          <w:kern w:val="0"/>
          <w:szCs w:val="21"/>
        </w:rPr>
        <w:t>．</w:t>
      </w:r>
      <w:r>
        <w:rPr>
          <w:rFonts w:ascii="宋体" w:hAnsi="宋体" w:eastAsia="宋体" w:cs="AdobeSongStd-Light"/>
          <w:kern w:val="0"/>
          <w:szCs w:val="21"/>
        </w:rPr>
        <w:t>20</w:t>
      </w:r>
      <w:r>
        <w:rPr>
          <w:rFonts w:hint="eastAsia" w:ascii="宋体" w:hAnsi="宋体" w:eastAsia="宋体" w:cs="AdobeSongStd-Light"/>
          <w:kern w:val="0"/>
          <w:szCs w:val="21"/>
        </w:rPr>
        <w:t>世纪</w:t>
      </w:r>
      <w:r>
        <w:rPr>
          <w:rFonts w:ascii="宋体" w:hAnsi="宋体" w:eastAsia="宋体" w:cs="AdobeSongStd-Light"/>
          <w:kern w:val="0"/>
          <w:szCs w:val="21"/>
        </w:rPr>
        <w:t>80</w:t>
      </w:r>
      <w:r>
        <w:rPr>
          <w:rFonts w:hint="eastAsia" w:ascii="宋体" w:hAnsi="宋体" w:eastAsia="宋体" w:cs="AdobeSongStd-Light"/>
          <w:kern w:val="0"/>
          <w:szCs w:val="21"/>
        </w:rPr>
        <w:t>年代后期以后的全球金融一体化</w:t>
      </w:r>
      <w:r>
        <w:rPr>
          <w:rFonts w:ascii="宋体" w:hAnsi="宋体" w:eastAsia="宋体" w:cs="AdobeSongStd-Light"/>
          <w:kern w:val="0"/>
          <w:szCs w:val="21"/>
        </w:rPr>
        <w:t>，</w:t>
      </w:r>
      <w:r>
        <w:rPr>
          <w:rFonts w:hint="eastAsia" w:ascii="宋体" w:hAnsi="宋体" w:eastAsia="宋体" w:cs="AdobeSongStd-Light"/>
          <w:kern w:val="0"/>
          <w:szCs w:val="21"/>
        </w:rPr>
        <w:t>体现在国际资本通过投资组合和短期银行融资的形态</w:t>
      </w:r>
      <w:r>
        <w:rPr>
          <w:rFonts w:ascii="宋体" w:hAnsi="宋体" w:eastAsia="宋体" w:cs="AdobeSongStd-Light"/>
          <w:kern w:val="0"/>
          <w:szCs w:val="21"/>
        </w:rPr>
        <w:t>，</w:t>
      </w:r>
      <w:r>
        <w:rPr>
          <w:rFonts w:hint="eastAsia" w:ascii="宋体" w:hAnsi="宋体" w:eastAsia="宋体" w:cs="AdobeSongStd-Light"/>
          <w:kern w:val="0"/>
          <w:szCs w:val="21"/>
        </w:rPr>
        <w:t>加快了国际资本的流动。与某个特定国家的中长期固定资本这类直接投资不同</w:t>
      </w:r>
      <w:r>
        <w:rPr>
          <w:rFonts w:ascii="宋体" w:hAnsi="宋体" w:eastAsia="宋体" w:cs="AdobeSongStd-Light"/>
          <w:kern w:val="0"/>
          <w:szCs w:val="21"/>
        </w:rPr>
        <w:t>，</w:t>
      </w:r>
      <w:r>
        <w:rPr>
          <w:rFonts w:hint="eastAsia" w:ascii="宋体" w:hAnsi="宋体" w:eastAsia="宋体" w:cs="AdobeSongStd-Light"/>
          <w:kern w:val="0"/>
          <w:szCs w:val="21"/>
        </w:rPr>
        <w:t>这样的短期投入资本对被投资国的经济反应敏感</w:t>
      </w:r>
      <w:r>
        <w:rPr>
          <w:rFonts w:ascii="宋体" w:hAnsi="宋体" w:eastAsia="宋体" w:cs="AdobeSongStd-Light"/>
          <w:kern w:val="0"/>
          <w:szCs w:val="21"/>
        </w:rPr>
        <w:t>，</w:t>
      </w:r>
      <w:r>
        <w:rPr>
          <w:rFonts w:hint="eastAsia" w:ascii="宋体" w:hAnsi="宋体" w:eastAsia="宋体" w:cs="AdobeSongStd-Light"/>
          <w:kern w:val="0"/>
          <w:szCs w:val="21"/>
        </w:rPr>
        <w:t>而频繁在被投资国流入或流出</w:t>
      </w:r>
      <w:r>
        <w:rPr>
          <w:rFonts w:ascii="宋体" w:hAnsi="宋体" w:eastAsia="宋体" w:cs="AdobeSongStd-Light"/>
          <w:kern w:val="0"/>
          <w:szCs w:val="21"/>
        </w:rPr>
        <w:t>，</w:t>
      </w:r>
      <w:r>
        <w:rPr>
          <w:rFonts w:hint="eastAsia" w:ascii="宋体" w:hAnsi="宋体" w:eastAsia="宋体" w:cs="AdobeSongStd-Light"/>
          <w:kern w:val="0"/>
          <w:szCs w:val="21"/>
        </w:rPr>
        <w:t>引起该国的经济繁荣或衰退。这个结果体现在</w:t>
      </w:r>
      <w:r>
        <w:rPr>
          <w:rFonts w:ascii="宋体" w:hAnsi="宋体" w:eastAsia="宋体" w:cs="AdobeSongStd-Light"/>
          <w:kern w:val="0"/>
          <w:szCs w:val="21"/>
        </w:rPr>
        <w:t>1997</w:t>
      </w:r>
      <w:r>
        <w:rPr>
          <w:rFonts w:hint="eastAsia" w:ascii="宋体" w:hAnsi="宋体" w:eastAsia="宋体" w:cs="AdobeSongStd-Light"/>
          <w:kern w:val="0"/>
          <w:szCs w:val="21"/>
        </w:rPr>
        <w:t>年的亚洲金融危机中</w:t>
      </w:r>
      <w:r>
        <w:rPr>
          <w:rFonts w:ascii="宋体" w:hAnsi="宋体" w:eastAsia="宋体" w:cs="AdobeSongStd-Light"/>
          <w:kern w:val="0"/>
          <w:szCs w:val="21"/>
        </w:rPr>
        <w:t>，</w:t>
      </w:r>
      <w:r>
        <w:rPr>
          <w:rFonts w:hint="eastAsia" w:ascii="宋体" w:hAnsi="宋体" w:eastAsia="宋体" w:cs="AdobeSongStd-Light"/>
          <w:kern w:val="0"/>
          <w:szCs w:val="21"/>
        </w:rPr>
        <w:t>以及以此为代表的世界金融体系的不稳定。伴随着全球经济一体化和资本流动的国际化和短期化</w:t>
      </w:r>
      <w:r>
        <w:rPr>
          <w:rFonts w:ascii="宋体" w:hAnsi="宋体" w:eastAsia="宋体" w:cs="AdobeSongStd-Light"/>
          <w:kern w:val="0"/>
          <w:szCs w:val="21"/>
        </w:rPr>
        <w:t>，</w:t>
      </w:r>
      <w:r>
        <w:rPr>
          <w:rFonts w:hint="eastAsia" w:ascii="宋体" w:hAnsi="宋体" w:eastAsia="宋体" w:cs="AdobeSongStd-Light"/>
          <w:kern w:val="0"/>
          <w:szCs w:val="21"/>
        </w:rPr>
        <w:t>其实际上并非像新自由主义论所说的</w:t>
      </w:r>
      <w:r>
        <w:rPr>
          <w:rFonts w:ascii="宋体" w:hAnsi="宋体" w:eastAsia="宋体" w:cs="AdobeSongStd-Light"/>
          <w:kern w:val="0"/>
          <w:szCs w:val="21"/>
        </w:rPr>
        <w:t>，</w:t>
      </w:r>
      <w:r>
        <w:rPr>
          <w:rFonts w:hint="eastAsia" w:ascii="宋体" w:hAnsi="宋体" w:eastAsia="宋体" w:cs="AdobeSongStd-Light"/>
          <w:kern w:val="0"/>
          <w:szCs w:val="21"/>
        </w:rPr>
        <w:t>是有效资本的分配和对发展中国家经济成长的保证</w:t>
      </w:r>
      <w:r>
        <w:rPr>
          <w:rFonts w:ascii="宋体" w:hAnsi="宋体" w:eastAsia="宋体" w:cs="AdobeSongStd-Light"/>
          <w:kern w:val="0"/>
          <w:szCs w:val="21"/>
        </w:rPr>
        <w:t>，</w:t>
      </w:r>
      <w:r>
        <w:rPr>
          <w:rFonts w:hint="eastAsia" w:ascii="宋体" w:hAnsi="宋体" w:eastAsia="宋体" w:cs="AdobeSongStd-Light"/>
          <w:kern w:val="0"/>
          <w:szCs w:val="21"/>
        </w:rPr>
        <w:t>而是掠夺了发展中国家经济增长的果实。而且</w:t>
      </w:r>
      <w:r>
        <w:rPr>
          <w:rFonts w:ascii="宋体" w:hAnsi="宋体" w:eastAsia="宋体" w:cs="AdobeSongStd-Light"/>
          <w:kern w:val="0"/>
          <w:szCs w:val="21"/>
        </w:rPr>
        <w:t>，</w:t>
      </w:r>
      <w:r>
        <w:rPr>
          <w:rFonts w:hint="eastAsia" w:ascii="宋体" w:hAnsi="宋体" w:eastAsia="宋体" w:cs="AdobeSongStd-Light"/>
          <w:kern w:val="0"/>
          <w:szCs w:val="21"/>
        </w:rPr>
        <w:t>现在所谓的全球经济一体化</w:t>
      </w:r>
      <w:r>
        <w:rPr>
          <w:rFonts w:ascii="宋体" w:hAnsi="宋体" w:eastAsia="宋体" w:cs="AdobeSongStd-Light"/>
          <w:kern w:val="0"/>
          <w:szCs w:val="21"/>
        </w:rPr>
        <w:t>，</w:t>
      </w:r>
      <w:r>
        <w:rPr>
          <w:rFonts w:hint="eastAsia" w:ascii="宋体" w:hAnsi="宋体" w:eastAsia="宋体" w:cs="AdobeSongStd-Light"/>
          <w:kern w:val="0"/>
          <w:szCs w:val="21"/>
        </w:rPr>
        <w:t>都是保证投资资本及其所有者的富裕阶层的利益为优先</w:t>
      </w:r>
      <w:r>
        <w:rPr>
          <w:rFonts w:ascii="宋体" w:hAnsi="宋体" w:eastAsia="宋体" w:cs="AdobeSongStd-Light"/>
          <w:kern w:val="0"/>
          <w:szCs w:val="21"/>
        </w:rPr>
        <w:t>，</w:t>
      </w:r>
      <w:r>
        <w:rPr>
          <w:rFonts w:hint="eastAsia" w:ascii="宋体" w:hAnsi="宋体" w:eastAsia="宋体" w:cs="AdobeSongStd-Light"/>
          <w:kern w:val="0"/>
          <w:szCs w:val="21"/>
        </w:rPr>
        <w:t>有这样一种不正确的性质。为了纠正这点</w:t>
      </w:r>
      <w:r>
        <w:rPr>
          <w:rFonts w:ascii="宋体" w:hAnsi="宋体" w:eastAsia="宋体" w:cs="AdobeSongStd-Light"/>
          <w:kern w:val="0"/>
          <w:szCs w:val="21"/>
        </w:rPr>
        <w:t>，</w:t>
      </w:r>
      <w:r>
        <w:rPr>
          <w:rFonts w:hint="eastAsia" w:ascii="宋体" w:hAnsi="宋体" w:eastAsia="宋体" w:cs="AdobeSongStd-Light"/>
          <w:kern w:val="0"/>
          <w:szCs w:val="21"/>
        </w:rPr>
        <w:t>我觉得至少要将对短期资本流动的限制规定作为当前紧要的课题。</w:t>
      </w:r>
    </w:p>
    <w:p w14:paraId="363DEAAF">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2</w:t>
      </w:r>
      <w:r>
        <w:rPr>
          <w:rFonts w:hint="eastAsia" w:ascii="宋体" w:hAnsi="宋体" w:eastAsia="宋体" w:cs="Times New Roman"/>
          <w:kern w:val="0"/>
          <w:szCs w:val="21"/>
        </w:rPr>
        <w:t>．</w:t>
      </w:r>
      <w:r>
        <w:rPr>
          <w:rFonts w:hint="eastAsia" w:ascii="宋体" w:hAnsi="宋体" w:eastAsia="宋体" w:cs="AdobeSongStd-Light"/>
          <w:kern w:val="0"/>
          <w:szCs w:val="21"/>
        </w:rPr>
        <w:t>现代经济全球化指什么</w:t>
      </w:r>
      <w:r>
        <w:rPr>
          <w:rFonts w:ascii="宋体" w:hAnsi="宋体" w:eastAsia="宋体" w:cs="AdobeSongStd-Light"/>
          <w:kern w:val="0"/>
          <w:szCs w:val="21"/>
        </w:rPr>
        <w:t>？</w:t>
      </w:r>
      <w:r>
        <w:rPr>
          <w:rFonts w:hint="eastAsia" w:ascii="宋体" w:hAnsi="宋体" w:eastAsia="宋体" w:cs="AdobeSongStd-Light"/>
          <w:kern w:val="0"/>
          <w:szCs w:val="21"/>
        </w:rPr>
        <w:t>根据新自由主义理论和奉行此理论的美国政府和国际货币基金组织称</w:t>
      </w:r>
      <w:r>
        <w:rPr>
          <w:rFonts w:ascii="宋体" w:hAnsi="宋体" w:eastAsia="宋体" w:cs="AdobeSongStd-Light"/>
          <w:kern w:val="0"/>
          <w:szCs w:val="21"/>
        </w:rPr>
        <w:t>，20</w:t>
      </w:r>
      <w:r>
        <w:rPr>
          <w:rFonts w:hint="eastAsia" w:ascii="宋体" w:hAnsi="宋体" w:eastAsia="宋体" w:cs="AdobeSongStd-Light"/>
          <w:kern w:val="0"/>
          <w:szCs w:val="21"/>
        </w:rPr>
        <w:t>世纪</w:t>
      </w:r>
      <w:r>
        <w:rPr>
          <w:rFonts w:ascii="宋体" w:hAnsi="宋体" w:eastAsia="宋体" w:cs="AdobeSongStd-Light"/>
          <w:kern w:val="0"/>
          <w:szCs w:val="21"/>
        </w:rPr>
        <w:t>80</w:t>
      </w:r>
      <w:r>
        <w:rPr>
          <w:rFonts w:hint="eastAsia" w:ascii="宋体" w:hAnsi="宋体" w:eastAsia="宋体" w:cs="AdobeSongStd-Light"/>
          <w:kern w:val="0"/>
          <w:szCs w:val="21"/>
        </w:rPr>
        <w:t>年代后半期以来</w:t>
      </w:r>
      <w:r>
        <w:rPr>
          <w:rFonts w:ascii="宋体" w:hAnsi="宋体" w:eastAsia="宋体" w:cs="AdobeSongStd-Light"/>
          <w:kern w:val="0"/>
          <w:szCs w:val="21"/>
        </w:rPr>
        <w:t>，</w:t>
      </w:r>
      <w:r>
        <w:rPr>
          <w:rFonts w:hint="eastAsia" w:ascii="宋体" w:hAnsi="宋体" w:eastAsia="宋体" w:cs="AdobeSongStd-Light"/>
          <w:kern w:val="0"/>
          <w:szCs w:val="21"/>
        </w:rPr>
        <w:t>包括发展中国家在内的经济全球化进一步发展。东亚各国通过国家调控的方式</w:t>
      </w:r>
      <w:r>
        <w:rPr>
          <w:rFonts w:ascii="宋体" w:hAnsi="宋体" w:eastAsia="宋体" w:cs="AdobeSongStd-Light"/>
          <w:kern w:val="0"/>
          <w:szCs w:val="21"/>
        </w:rPr>
        <w:t>，</w:t>
      </w:r>
      <w:r>
        <w:rPr>
          <w:rFonts w:hint="eastAsia" w:ascii="宋体" w:hAnsi="宋体" w:eastAsia="宋体" w:cs="AdobeSongStd-Light"/>
          <w:kern w:val="0"/>
          <w:szCs w:val="21"/>
        </w:rPr>
        <w:t>相比其他地区经济得到了高速增长。进入</w:t>
      </w:r>
      <w:r>
        <w:rPr>
          <w:rFonts w:ascii="宋体" w:hAnsi="宋体" w:eastAsia="宋体" w:cs="AdobeSongStd-Light"/>
          <w:kern w:val="0"/>
          <w:szCs w:val="21"/>
        </w:rPr>
        <w:t>20</w:t>
      </w:r>
      <w:r>
        <w:rPr>
          <w:rFonts w:hint="eastAsia" w:ascii="宋体" w:hAnsi="宋体" w:eastAsia="宋体" w:cs="AdobeSongStd-Light"/>
          <w:kern w:val="0"/>
          <w:szCs w:val="21"/>
        </w:rPr>
        <w:t>世纪</w:t>
      </w:r>
      <w:r>
        <w:rPr>
          <w:rFonts w:ascii="宋体" w:hAnsi="宋体" w:eastAsia="宋体" w:cs="AdobeSongStd-Light"/>
          <w:kern w:val="0"/>
          <w:szCs w:val="21"/>
        </w:rPr>
        <w:t>90</w:t>
      </w:r>
      <w:r>
        <w:rPr>
          <w:rFonts w:hint="eastAsia" w:ascii="宋体" w:hAnsi="宋体" w:eastAsia="宋体" w:cs="AdobeSongStd-Light"/>
          <w:kern w:val="0"/>
          <w:szCs w:val="21"/>
        </w:rPr>
        <w:t>年代后</w:t>
      </w:r>
      <w:r>
        <w:rPr>
          <w:rFonts w:ascii="宋体" w:hAnsi="宋体" w:eastAsia="宋体" w:cs="AdobeSongStd-Light"/>
          <w:kern w:val="0"/>
          <w:szCs w:val="21"/>
        </w:rPr>
        <w:t>，</w:t>
      </w:r>
      <w:r>
        <w:rPr>
          <w:rFonts w:hint="eastAsia" w:ascii="宋体" w:hAnsi="宋体" w:eastAsia="宋体" w:cs="AdobeSongStd-Light"/>
          <w:kern w:val="0"/>
          <w:szCs w:val="21"/>
        </w:rPr>
        <w:t>由于金融市场转向自由化</w:t>
      </w:r>
      <w:r>
        <w:rPr>
          <w:rFonts w:ascii="宋体" w:hAnsi="宋体" w:eastAsia="宋体" w:cs="AdobeSongStd-Light"/>
          <w:kern w:val="0"/>
          <w:szCs w:val="21"/>
        </w:rPr>
        <w:t>，</w:t>
      </w:r>
      <w:r>
        <w:rPr>
          <w:rFonts w:hint="eastAsia" w:ascii="宋体" w:hAnsi="宋体" w:eastAsia="宋体" w:cs="AdobeSongStd-Light"/>
          <w:kern w:val="0"/>
          <w:szCs w:val="21"/>
        </w:rPr>
        <w:t>消除了各种限制</w:t>
      </w:r>
      <w:r>
        <w:rPr>
          <w:rFonts w:ascii="宋体" w:hAnsi="宋体" w:eastAsia="宋体" w:cs="AdobeSongStd-Light"/>
          <w:kern w:val="0"/>
          <w:szCs w:val="21"/>
        </w:rPr>
        <w:t>，</w:t>
      </w:r>
      <w:r>
        <w:rPr>
          <w:rFonts w:hint="eastAsia" w:ascii="宋体" w:hAnsi="宋体" w:eastAsia="宋体" w:cs="AdobeSongStd-Light"/>
          <w:kern w:val="0"/>
          <w:szCs w:val="21"/>
        </w:rPr>
        <w:t>这些国家都经历短期资本的大量流入与流出。全球化是世界金融市场融为一体</w:t>
      </w:r>
      <w:r>
        <w:rPr>
          <w:rFonts w:ascii="宋体" w:hAnsi="宋体" w:eastAsia="宋体" w:cs="AdobeSongStd-Light"/>
          <w:kern w:val="0"/>
          <w:szCs w:val="21"/>
        </w:rPr>
        <w:t>，</w:t>
      </w:r>
      <w:r>
        <w:rPr>
          <w:rFonts w:hint="eastAsia" w:ascii="宋体" w:hAnsi="宋体" w:eastAsia="宋体" w:cs="AdobeSongStd-Light"/>
          <w:kern w:val="0"/>
          <w:szCs w:val="21"/>
        </w:rPr>
        <w:t>消除了资本流动的障碍。但另一面</w:t>
      </w:r>
      <w:r>
        <w:rPr>
          <w:rFonts w:ascii="宋体" w:hAnsi="宋体" w:eastAsia="宋体" w:cs="AdobeSongStd-Light"/>
          <w:kern w:val="0"/>
          <w:szCs w:val="21"/>
        </w:rPr>
        <w:t>，</w:t>
      </w:r>
      <w:r>
        <w:rPr>
          <w:rFonts w:hint="eastAsia" w:ascii="宋体" w:hAnsi="宋体" w:eastAsia="宋体" w:cs="AdobeSongStd-Light"/>
          <w:kern w:val="0"/>
          <w:szCs w:val="21"/>
        </w:rPr>
        <w:t>在达到全球化的目的时</w:t>
      </w:r>
      <w:r>
        <w:rPr>
          <w:rFonts w:ascii="宋体" w:hAnsi="宋体" w:eastAsia="宋体" w:cs="AdobeSongStd-Light"/>
          <w:kern w:val="0"/>
          <w:szCs w:val="21"/>
        </w:rPr>
        <w:t>，</w:t>
      </w:r>
      <w:r>
        <w:rPr>
          <w:rFonts w:hint="eastAsia" w:ascii="宋体" w:hAnsi="宋体" w:eastAsia="宋体" w:cs="AdobeSongStd-Light"/>
          <w:kern w:val="0"/>
          <w:szCs w:val="21"/>
        </w:rPr>
        <w:t>其完全用了非全球化的手段和经济现象。高利率、廉价劳动力、较低的环保要求、优先的税率制和补贴</w:t>
      </w:r>
      <w:r>
        <w:rPr>
          <w:rFonts w:ascii="宋体" w:hAnsi="宋体" w:eastAsia="宋体" w:cs="AdobeSongStd-Light"/>
          <w:kern w:val="0"/>
          <w:szCs w:val="21"/>
        </w:rPr>
        <w:t>，</w:t>
      </w:r>
      <w:r>
        <w:rPr>
          <w:rFonts w:hint="eastAsia" w:ascii="宋体" w:hAnsi="宋体" w:eastAsia="宋体" w:cs="AdobeSongStd-Light"/>
          <w:kern w:val="0"/>
          <w:szCs w:val="21"/>
        </w:rPr>
        <w:t>在比较借方</w:t>
      </w:r>
      <w:r>
        <w:rPr>
          <w:rFonts w:ascii="宋体" w:hAnsi="宋体" w:eastAsia="宋体" w:cs="AdobeSongStd-Light"/>
          <w:kern w:val="0"/>
          <w:szCs w:val="21"/>
        </w:rPr>
        <w:t>（</w:t>
      </w:r>
      <w:r>
        <w:rPr>
          <w:rFonts w:hint="eastAsia" w:ascii="宋体" w:hAnsi="宋体" w:eastAsia="宋体" w:cs="AdobeSongStd-Light"/>
          <w:kern w:val="0"/>
          <w:szCs w:val="21"/>
        </w:rPr>
        <w:t>被投资国</w:t>
      </w:r>
      <w:r>
        <w:rPr>
          <w:rFonts w:ascii="宋体" w:hAnsi="宋体" w:eastAsia="宋体" w:cs="AdobeSongStd-Light"/>
          <w:kern w:val="0"/>
          <w:szCs w:val="21"/>
        </w:rPr>
        <w:t>）</w:t>
      </w:r>
      <w:r>
        <w:rPr>
          <w:rFonts w:hint="eastAsia" w:ascii="宋体" w:hAnsi="宋体" w:eastAsia="宋体" w:cs="AdobeSongStd-Light"/>
          <w:kern w:val="0"/>
          <w:szCs w:val="21"/>
        </w:rPr>
        <w:t>可出具的各种条件后</w:t>
      </w:r>
      <w:r>
        <w:rPr>
          <w:rFonts w:ascii="宋体" w:hAnsi="宋体" w:eastAsia="宋体" w:cs="AdobeSongStd-Light"/>
          <w:kern w:val="0"/>
          <w:szCs w:val="21"/>
        </w:rPr>
        <w:t>，</w:t>
      </w:r>
      <w:r>
        <w:rPr>
          <w:rFonts w:hint="eastAsia" w:ascii="宋体" w:hAnsi="宋体" w:eastAsia="宋体" w:cs="AdobeSongStd-Light"/>
          <w:kern w:val="0"/>
          <w:szCs w:val="21"/>
        </w:rPr>
        <w:t>投资方将资本投入最符合其条件的投资地。借方为了超过其他竞争对手就必须不断开出更优厚的条件。这样</w:t>
      </w:r>
      <w:r>
        <w:rPr>
          <w:rFonts w:ascii="宋体" w:hAnsi="宋体" w:eastAsia="宋体" w:cs="AdobeSongStd-Light"/>
          <w:kern w:val="0"/>
          <w:szCs w:val="21"/>
        </w:rPr>
        <w:t>，</w:t>
      </w:r>
      <w:r>
        <w:rPr>
          <w:rFonts w:hint="eastAsia" w:ascii="宋体" w:hAnsi="宋体" w:eastAsia="宋体" w:cs="AdobeSongStd-Light"/>
          <w:kern w:val="0"/>
          <w:szCs w:val="21"/>
        </w:rPr>
        <w:t>最终必然导致最富裕的国家和最贫穷的国家之间的差距比全球化前更大。作为掌握经济命脉的投资者</w:t>
      </w:r>
      <w:r>
        <w:rPr>
          <w:rFonts w:ascii="宋体" w:hAnsi="宋体" w:eastAsia="宋体" w:cs="AdobeSongStd-Light"/>
          <w:kern w:val="0"/>
          <w:szCs w:val="21"/>
        </w:rPr>
        <w:t>，</w:t>
      </w:r>
      <w:r>
        <w:rPr>
          <w:rFonts w:hint="eastAsia" w:ascii="宋体" w:hAnsi="宋体" w:eastAsia="宋体" w:cs="AdobeSongStd-Light"/>
          <w:kern w:val="0"/>
          <w:szCs w:val="21"/>
        </w:rPr>
        <w:t>其对发展中国家经济成长成果的掠夺</w:t>
      </w:r>
      <w:r>
        <w:rPr>
          <w:rFonts w:ascii="宋体" w:hAnsi="宋体" w:eastAsia="宋体" w:cs="AdobeSongStd-Light"/>
          <w:kern w:val="0"/>
          <w:szCs w:val="21"/>
        </w:rPr>
        <w:t>，</w:t>
      </w:r>
      <w:r>
        <w:rPr>
          <w:rFonts w:hint="eastAsia" w:ascii="宋体" w:hAnsi="宋体" w:eastAsia="宋体" w:cs="AdobeSongStd-Light"/>
          <w:kern w:val="0"/>
          <w:szCs w:val="21"/>
        </w:rPr>
        <w:t>使资本所有者在现实中和进行生产活动的劳动者相比</w:t>
      </w:r>
      <w:r>
        <w:rPr>
          <w:rFonts w:ascii="宋体" w:hAnsi="宋体" w:eastAsia="宋体" w:cs="AdobeSongStd-Light"/>
          <w:kern w:val="0"/>
          <w:szCs w:val="21"/>
        </w:rPr>
        <w:t>，</w:t>
      </w:r>
      <w:r>
        <w:rPr>
          <w:rFonts w:hint="eastAsia" w:ascii="宋体" w:hAnsi="宋体" w:eastAsia="宋体" w:cs="AdobeSongStd-Light"/>
          <w:kern w:val="0"/>
          <w:szCs w:val="21"/>
        </w:rPr>
        <w:t>有绝对优势。这种资本所有形式和世界大多数人民之间的矛盾激化正是</w:t>
      </w:r>
      <w:r>
        <w:rPr>
          <w:rFonts w:ascii="宋体" w:hAnsi="宋体" w:eastAsia="宋体" w:cs="AdobeSongStd-Light"/>
          <w:kern w:val="0"/>
          <w:szCs w:val="21"/>
        </w:rPr>
        <w:t>21</w:t>
      </w:r>
      <w:r>
        <w:rPr>
          <w:rFonts w:hint="eastAsia" w:ascii="宋体" w:hAnsi="宋体" w:eastAsia="宋体" w:cs="AdobeSongStd-Light"/>
          <w:kern w:val="0"/>
          <w:szCs w:val="21"/>
        </w:rPr>
        <w:t>世纪资本主义</w:t>
      </w:r>
      <w:r>
        <w:rPr>
          <w:rFonts w:ascii="宋体" w:hAnsi="宋体" w:eastAsia="宋体" w:cs="AdobeSongStd-Light"/>
          <w:kern w:val="0"/>
          <w:szCs w:val="21"/>
        </w:rPr>
        <w:t>（</w:t>
      </w:r>
      <w:r>
        <w:rPr>
          <w:rFonts w:hint="eastAsia" w:ascii="宋体" w:hAnsi="宋体" w:eastAsia="宋体" w:cs="AdobeSongStd-Light"/>
          <w:kern w:val="0"/>
          <w:szCs w:val="21"/>
        </w:rPr>
        <w:t>全球化资本主义</w:t>
      </w:r>
      <w:r>
        <w:rPr>
          <w:rFonts w:ascii="宋体" w:hAnsi="宋体" w:eastAsia="宋体" w:cs="AdobeSongStd-Light"/>
          <w:kern w:val="0"/>
          <w:szCs w:val="21"/>
        </w:rPr>
        <w:t xml:space="preserve">） </w:t>
      </w:r>
      <w:r>
        <w:rPr>
          <w:rFonts w:hint="eastAsia" w:ascii="宋体" w:hAnsi="宋体" w:eastAsia="宋体" w:cs="AdobeSongStd-Light"/>
          <w:kern w:val="0"/>
          <w:szCs w:val="21"/>
        </w:rPr>
        <w:t>的最显著特征。</w:t>
      </w:r>
    </w:p>
    <w:p w14:paraId="649BBA77">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3</w:t>
      </w:r>
      <w:r>
        <w:rPr>
          <w:rFonts w:hint="eastAsia" w:ascii="宋体" w:hAnsi="宋体" w:eastAsia="宋体" w:cs="Times New Roman"/>
          <w:kern w:val="0"/>
          <w:szCs w:val="21"/>
        </w:rPr>
        <w:t>．</w:t>
      </w:r>
      <w:r>
        <w:rPr>
          <w:rFonts w:hint="eastAsia" w:ascii="宋体" w:hAnsi="宋体" w:eastAsia="宋体" w:cs="AdobeSongStd-Light"/>
          <w:kern w:val="0"/>
          <w:szCs w:val="21"/>
        </w:rPr>
        <w:t>对短期资本做出限制规定的必要性——以马来西亚的资本限制规定为例。现在分析一下马来西亚成功抑制短期资本增多的措施。马来西亚在</w:t>
      </w:r>
      <w:r>
        <w:rPr>
          <w:rFonts w:ascii="宋体" w:hAnsi="宋体" w:eastAsia="宋体" w:cs="AdobeSongStd-Light"/>
          <w:kern w:val="0"/>
          <w:szCs w:val="21"/>
        </w:rPr>
        <w:t>1994</w:t>
      </w:r>
      <w:r>
        <w:rPr>
          <w:rFonts w:hint="eastAsia" w:ascii="宋体" w:hAnsi="宋体" w:eastAsia="宋体" w:cs="AdobeSongStd-Light"/>
          <w:kern w:val="0"/>
          <w:szCs w:val="21"/>
        </w:rPr>
        <w:t>年经济处于高度增长中</w:t>
      </w:r>
      <w:r>
        <w:rPr>
          <w:rFonts w:ascii="宋体" w:hAnsi="宋体" w:eastAsia="宋体" w:cs="AdobeSongStd-Light"/>
          <w:kern w:val="0"/>
          <w:szCs w:val="21"/>
        </w:rPr>
        <w:t>，</w:t>
      </w:r>
      <w:r>
        <w:rPr>
          <w:rFonts w:hint="eastAsia" w:ascii="宋体" w:hAnsi="宋体" w:eastAsia="宋体" w:cs="AdobeSongStd-Light"/>
          <w:kern w:val="0"/>
          <w:szCs w:val="21"/>
        </w:rPr>
        <w:t>为了抑制不断增长的短期资本的流入</w:t>
      </w:r>
      <w:r>
        <w:rPr>
          <w:rFonts w:ascii="宋体" w:hAnsi="宋体" w:eastAsia="宋体" w:cs="AdobeSongStd-Light"/>
          <w:kern w:val="0"/>
          <w:szCs w:val="21"/>
        </w:rPr>
        <w:t>，</w:t>
      </w:r>
      <w:r>
        <w:rPr>
          <w:rFonts w:hint="eastAsia" w:ascii="宋体" w:hAnsi="宋体" w:eastAsia="宋体" w:cs="AdobeSongStd-Light"/>
          <w:kern w:val="0"/>
          <w:szCs w:val="21"/>
        </w:rPr>
        <w:t>实行了短期的资本流入限制措施。和其他亚洲国家相比</w:t>
      </w:r>
      <w:r>
        <w:rPr>
          <w:rFonts w:ascii="宋体" w:hAnsi="宋体" w:eastAsia="宋体" w:cs="AdobeSongStd-Light"/>
          <w:kern w:val="0"/>
          <w:szCs w:val="21"/>
        </w:rPr>
        <w:t>，</w:t>
      </w:r>
      <w:r>
        <w:rPr>
          <w:rFonts w:hint="eastAsia" w:ascii="宋体" w:hAnsi="宋体" w:eastAsia="宋体" w:cs="AdobeSongStd-Light"/>
          <w:kern w:val="0"/>
          <w:szCs w:val="21"/>
        </w:rPr>
        <w:t>马来西亚的短期资本流入维持在较低水平</w:t>
      </w:r>
      <w:r>
        <w:rPr>
          <w:rFonts w:ascii="宋体" w:hAnsi="宋体" w:eastAsia="宋体" w:cs="AdobeSongStd-Light"/>
          <w:kern w:val="0"/>
          <w:szCs w:val="21"/>
        </w:rPr>
        <w:t>，</w:t>
      </w:r>
      <w:r>
        <w:rPr>
          <w:rFonts w:hint="eastAsia" w:ascii="宋体" w:hAnsi="宋体" w:eastAsia="宋体" w:cs="AdobeSongStd-Light"/>
          <w:kern w:val="0"/>
          <w:szCs w:val="21"/>
        </w:rPr>
        <w:t>使流入国内的投资基本以直接投资为主。在受到亚洲金融危机冲击的东亚各国中</w:t>
      </w:r>
      <w:r>
        <w:rPr>
          <w:rFonts w:ascii="宋体" w:hAnsi="宋体" w:eastAsia="宋体" w:cs="AdobeSongStd-Light"/>
          <w:kern w:val="0"/>
          <w:szCs w:val="21"/>
        </w:rPr>
        <w:t>，</w:t>
      </w:r>
      <w:r>
        <w:rPr>
          <w:rFonts w:hint="eastAsia" w:ascii="宋体" w:hAnsi="宋体" w:eastAsia="宋体" w:cs="AdobeSongStd-Light"/>
          <w:kern w:val="0"/>
          <w:szCs w:val="21"/>
        </w:rPr>
        <w:t>只有马来西亚没有依靠</w:t>
      </w:r>
      <w:r>
        <w:rPr>
          <w:rFonts w:ascii="宋体" w:hAnsi="宋体" w:eastAsia="宋体" w:cs="AdobeSongStd-Light"/>
          <w:kern w:val="0"/>
          <w:szCs w:val="21"/>
        </w:rPr>
        <w:t>IMF</w:t>
      </w:r>
      <w:r>
        <w:rPr>
          <w:rFonts w:hint="eastAsia" w:ascii="宋体" w:hAnsi="宋体" w:eastAsia="宋体" w:cs="AdobeSongStd-Light"/>
          <w:kern w:val="0"/>
          <w:szCs w:val="21"/>
        </w:rPr>
        <w:t>的融资帮助</w:t>
      </w:r>
      <w:r>
        <w:rPr>
          <w:rFonts w:ascii="宋体" w:hAnsi="宋体" w:eastAsia="宋体" w:cs="AdobeSongStd-Light"/>
          <w:kern w:val="0"/>
          <w:szCs w:val="21"/>
        </w:rPr>
        <w:t>，</w:t>
      </w:r>
      <w:r>
        <w:rPr>
          <w:rFonts w:hint="eastAsia" w:ascii="宋体" w:hAnsi="宋体" w:eastAsia="宋体" w:cs="AdobeSongStd-Light"/>
          <w:kern w:val="0"/>
          <w:szCs w:val="21"/>
        </w:rPr>
        <w:t>能进行自身的经济重建。这便是它得益于对短期资本基础进出控制的结果</w:t>
      </w:r>
      <w:r>
        <w:rPr>
          <w:rFonts w:ascii="宋体" w:hAnsi="宋体" w:eastAsia="宋体" w:cs="AdobeSongStd-Light"/>
          <w:kern w:val="0"/>
          <w:szCs w:val="21"/>
        </w:rPr>
        <w:t>，</w:t>
      </w:r>
      <w:r>
        <w:rPr>
          <w:rFonts w:hint="eastAsia" w:ascii="宋体" w:hAnsi="宋体" w:eastAsia="宋体" w:cs="AdobeSongStd-Light"/>
          <w:kern w:val="0"/>
          <w:szCs w:val="21"/>
        </w:rPr>
        <w:t>马来西亚的资本限制措施在当时受到发达国家的强烈批评</w:t>
      </w:r>
      <w:r>
        <w:rPr>
          <w:rFonts w:ascii="宋体" w:hAnsi="宋体" w:eastAsia="宋体" w:cs="AdobeSongStd-Light"/>
          <w:kern w:val="0"/>
          <w:szCs w:val="21"/>
        </w:rPr>
        <w:t>，</w:t>
      </w:r>
      <w:r>
        <w:rPr>
          <w:rFonts w:hint="eastAsia" w:ascii="宋体" w:hAnsi="宋体" w:eastAsia="宋体" w:cs="AdobeSongStd-Light"/>
          <w:kern w:val="0"/>
          <w:szCs w:val="21"/>
        </w:rPr>
        <w:t>其实</w:t>
      </w:r>
      <w:r>
        <w:rPr>
          <w:rFonts w:ascii="宋体" w:hAnsi="宋体" w:eastAsia="宋体" w:cs="AdobeSongStd-Light"/>
          <w:kern w:val="0"/>
          <w:szCs w:val="21"/>
        </w:rPr>
        <w:t>，</w:t>
      </w:r>
      <w:r>
        <w:rPr>
          <w:rFonts w:hint="eastAsia" w:ascii="宋体" w:hAnsi="宋体" w:eastAsia="宋体" w:cs="AdobeSongStd-Light"/>
          <w:kern w:val="0"/>
          <w:szCs w:val="21"/>
        </w:rPr>
        <w:t>限制规定对经济的稳定和恢复经济增长是有效的。但是</w:t>
      </w:r>
      <w:r>
        <w:rPr>
          <w:rFonts w:ascii="宋体" w:hAnsi="宋体" w:eastAsia="宋体" w:cs="AdobeSongStd-Light"/>
          <w:kern w:val="0"/>
          <w:szCs w:val="21"/>
        </w:rPr>
        <w:t>，</w:t>
      </w:r>
      <w:r>
        <w:rPr>
          <w:rFonts w:hint="eastAsia" w:ascii="宋体" w:hAnsi="宋体" w:eastAsia="宋体" w:cs="AdobeSongStd-Light"/>
          <w:kern w:val="0"/>
          <w:szCs w:val="21"/>
        </w:rPr>
        <w:t>实施国家范围内的限制的话</w:t>
      </w:r>
      <w:r>
        <w:rPr>
          <w:rFonts w:ascii="宋体" w:hAnsi="宋体" w:eastAsia="宋体" w:cs="AdobeSongStd-Light"/>
          <w:kern w:val="0"/>
          <w:szCs w:val="21"/>
        </w:rPr>
        <w:t>，</w:t>
      </w:r>
      <w:r>
        <w:rPr>
          <w:rFonts w:hint="eastAsia" w:ascii="宋体" w:hAnsi="宋体" w:eastAsia="宋体" w:cs="AdobeSongStd-Light"/>
          <w:kern w:val="0"/>
          <w:szCs w:val="21"/>
        </w:rPr>
        <w:t>也会导致该国难以吸引到投资的风险。为了让国际资本的流动以直接投资为中心</w:t>
      </w:r>
      <w:r>
        <w:rPr>
          <w:rFonts w:ascii="宋体" w:hAnsi="宋体" w:eastAsia="宋体" w:cs="AdobeSongStd-Light"/>
          <w:kern w:val="0"/>
          <w:szCs w:val="21"/>
        </w:rPr>
        <w:t>，</w:t>
      </w:r>
      <w:r>
        <w:rPr>
          <w:rFonts w:hint="eastAsia" w:ascii="宋体" w:hAnsi="宋体" w:eastAsia="宋体" w:cs="AdobeSongStd-Light"/>
          <w:kern w:val="0"/>
          <w:szCs w:val="21"/>
        </w:rPr>
        <w:t>就要在国际上强调</w:t>
      </w:r>
      <w:r>
        <w:rPr>
          <w:rFonts w:ascii="宋体" w:hAnsi="宋体" w:eastAsia="宋体" w:cs="AdobeSongStd-Light"/>
          <w:kern w:val="0"/>
          <w:szCs w:val="21"/>
        </w:rPr>
        <w:t>，</w:t>
      </w:r>
      <w:r>
        <w:rPr>
          <w:rFonts w:hint="eastAsia" w:ascii="宋体" w:hAnsi="宋体" w:eastAsia="宋体" w:cs="AdobeSongStd-Light"/>
          <w:kern w:val="0"/>
          <w:szCs w:val="21"/>
        </w:rPr>
        <w:t>向短期资本交易收取税金等制度。与此同时</w:t>
      </w:r>
      <w:r>
        <w:rPr>
          <w:rFonts w:ascii="宋体" w:hAnsi="宋体" w:eastAsia="宋体" w:cs="AdobeSongStd-Light"/>
          <w:kern w:val="0"/>
          <w:szCs w:val="21"/>
        </w:rPr>
        <w:t>，</w:t>
      </w:r>
      <w:r>
        <w:rPr>
          <w:rFonts w:hint="eastAsia" w:ascii="宋体" w:hAnsi="宋体" w:eastAsia="宋体" w:cs="AdobeSongStd-Light"/>
          <w:kern w:val="0"/>
          <w:szCs w:val="21"/>
        </w:rPr>
        <w:t>各国也应该针对本国在不同时期的经济状况</w:t>
      </w:r>
      <w:r>
        <w:rPr>
          <w:rFonts w:ascii="宋体" w:hAnsi="宋体" w:eastAsia="宋体" w:cs="AdobeSongStd-Light"/>
          <w:kern w:val="0"/>
          <w:szCs w:val="21"/>
        </w:rPr>
        <w:t>，</w:t>
      </w:r>
      <w:r>
        <w:rPr>
          <w:rFonts w:hint="eastAsia" w:ascii="宋体" w:hAnsi="宋体" w:eastAsia="宋体" w:cs="AdobeSongStd-Light"/>
          <w:kern w:val="0"/>
          <w:szCs w:val="21"/>
        </w:rPr>
        <w:t>在短时间内实行像马来西亚那样的强制性措施</w:t>
      </w:r>
      <w:r>
        <w:rPr>
          <w:rFonts w:ascii="宋体" w:hAnsi="宋体" w:eastAsia="宋体" w:cs="AdobeSongStd-Light"/>
          <w:kern w:val="0"/>
          <w:szCs w:val="21"/>
        </w:rPr>
        <w:t>，</w:t>
      </w:r>
      <w:r>
        <w:rPr>
          <w:rFonts w:hint="eastAsia" w:ascii="宋体" w:hAnsi="宋体" w:eastAsia="宋体" w:cs="AdobeSongStd-Light"/>
          <w:kern w:val="0"/>
          <w:szCs w:val="21"/>
        </w:rPr>
        <w:t>并且相互认同尊重彼此采取措施的权利。</w:t>
      </w:r>
    </w:p>
    <w:p w14:paraId="3B91BBAD">
      <w:pPr>
        <w:autoSpaceDE w:val="0"/>
        <w:autoSpaceDN w:val="0"/>
        <w:spacing w:line="300" w:lineRule="auto"/>
        <w:ind w:firstLine="440" w:firstLineChars="200"/>
        <w:jc w:val="left"/>
        <w:rPr>
          <w:rFonts w:ascii="宋体" w:hAnsi="宋体" w:eastAsia="宋体" w:cs="AdobeSongStd-Light"/>
          <w:b/>
          <w:kern w:val="0"/>
          <w:szCs w:val="21"/>
        </w:rPr>
      </w:pPr>
      <w:r>
        <w:rPr>
          <w:rFonts w:ascii="宋体" w:hAnsi="宋体" w:eastAsia="宋体" w:cs="AdobeSongStd-Light"/>
          <w:b/>
          <w:kern w:val="0"/>
          <w:szCs w:val="21"/>
        </w:rPr>
        <w:t>（</w:t>
      </w:r>
      <w:r>
        <w:rPr>
          <w:rFonts w:hint="eastAsia" w:ascii="宋体" w:hAnsi="宋体" w:eastAsia="宋体" w:cs="AdobeSongStd-Light"/>
          <w:b/>
          <w:kern w:val="0"/>
          <w:szCs w:val="21"/>
        </w:rPr>
        <w:t>五</w:t>
      </w:r>
      <w:r>
        <w:rPr>
          <w:rFonts w:ascii="宋体" w:hAnsi="宋体" w:eastAsia="宋体" w:cs="AdobeSongStd-Light"/>
          <w:b/>
          <w:kern w:val="0"/>
          <w:szCs w:val="21"/>
        </w:rPr>
        <w:t>）</w:t>
      </w:r>
      <w:r>
        <w:rPr>
          <w:rFonts w:hint="eastAsia" w:ascii="宋体" w:hAnsi="宋体" w:eastAsia="宋体" w:cs="AdobeSongStd-Light"/>
          <w:b/>
          <w:kern w:val="0"/>
          <w:szCs w:val="21"/>
        </w:rPr>
        <w:t>全球经济一体化进程与阻碍的探讨</w:t>
      </w:r>
    </w:p>
    <w:p w14:paraId="2F505E39">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立看护大学的长田浩关于经济全球化问题进行了如下分析</w:t>
      </w:r>
      <w:r>
        <w:rPr>
          <w:rFonts w:ascii="宋体" w:hAnsi="宋体" w:eastAsia="宋体" w:cs="AdobeSongStd-Light"/>
          <w:kern w:val="0"/>
          <w:szCs w:val="21"/>
        </w:rPr>
        <w:t>：</w:t>
      </w:r>
    </w:p>
    <w:p w14:paraId="529B56BA">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1</w:t>
      </w:r>
      <w:r>
        <w:rPr>
          <w:rFonts w:hint="eastAsia" w:ascii="宋体" w:hAnsi="宋体" w:eastAsia="宋体" w:cs="Times New Roman"/>
          <w:kern w:val="0"/>
          <w:szCs w:val="21"/>
        </w:rPr>
        <w:t>．</w:t>
      </w:r>
      <w:r>
        <w:rPr>
          <w:rFonts w:hint="eastAsia" w:ascii="宋体" w:hAnsi="宋体" w:eastAsia="宋体" w:cs="AdobeSongStd-Light"/>
          <w:kern w:val="0"/>
          <w:szCs w:val="21"/>
        </w:rPr>
        <w:t>全球经济一体化的概念和基本内容。</w:t>
      </w:r>
      <w:r>
        <w:rPr>
          <w:rFonts w:ascii="宋体" w:hAnsi="宋体" w:eastAsia="宋体" w:cs="AdobeSongStd-Light"/>
          <w:kern w:val="0"/>
          <w:szCs w:val="21"/>
        </w:rPr>
        <w:t>20</w:t>
      </w:r>
      <w:r>
        <w:rPr>
          <w:rFonts w:hint="eastAsia" w:ascii="宋体" w:hAnsi="宋体" w:eastAsia="宋体" w:cs="AdobeSongStd-Light"/>
          <w:kern w:val="0"/>
          <w:szCs w:val="21"/>
        </w:rPr>
        <w:t>世纪</w:t>
      </w:r>
      <w:r>
        <w:rPr>
          <w:rFonts w:ascii="宋体" w:hAnsi="宋体" w:eastAsia="宋体" w:cs="AdobeSongStd-Light"/>
          <w:kern w:val="0"/>
          <w:szCs w:val="21"/>
        </w:rPr>
        <w:t>90</w:t>
      </w:r>
      <w:r>
        <w:rPr>
          <w:rFonts w:hint="eastAsia" w:ascii="宋体" w:hAnsi="宋体" w:eastAsia="宋体" w:cs="AdobeSongStd-Light"/>
          <w:kern w:val="0"/>
          <w:szCs w:val="21"/>
        </w:rPr>
        <w:t>年代以后全球经济一体化加速</w:t>
      </w:r>
      <w:r>
        <w:rPr>
          <w:rFonts w:ascii="宋体" w:hAnsi="宋体" w:eastAsia="宋体" w:cs="AdobeSongStd-Light"/>
          <w:kern w:val="0"/>
          <w:szCs w:val="21"/>
        </w:rPr>
        <w:t>，</w:t>
      </w:r>
      <w:r>
        <w:rPr>
          <w:rFonts w:hint="eastAsia" w:ascii="宋体" w:hAnsi="宋体" w:eastAsia="宋体" w:cs="AdobeSongStd-Light"/>
          <w:kern w:val="0"/>
          <w:szCs w:val="21"/>
        </w:rPr>
        <w:t>其重要原因正如很多分析家指出的那样有以下两点</w:t>
      </w:r>
      <w:r>
        <w:rPr>
          <w:rFonts w:ascii="宋体" w:hAnsi="宋体" w:eastAsia="宋体" w:cs="AdobeSongStd-Light"/>
          <w:kern w:val="0"/>
          <w:szCs w:val="21"/>
        </w:rPr>
        <w:t>：</w:t>
      </w:r>
      <w:r>
        <w:rPr>
          <w:rFonts w:hint="eastAsia" w:ascii="宋体" w:hAnsi="宋体" w:eastAsia="宋体" w:cs="AdobeSongStd-Light"/>
          <w:kern w:val="0"/>
          <w:szCs w:val="21"/>
        </w:rPr>
        <w:t>一是苏联、东欧社会主义阵营的崩溃和东西对立局面的结束</w:t>
      </w:r>
      <w:r>
        <w:rPr>
          <w:rFonts w:ascii="宋体" w:hAnsi="宋体" w:eastAsia="宋体" w:cs="AdobeSongStd-Light"/>
          <w:kern w:val="0"/>
          <w:szCs w:val="21"/>
        </w:rPr>
        <w:t>，</w:t>
      </w:r>
      <w:r>
        <w:rPr>
          <w:rFonts w:hint="eastAsia" w:ascii="宋体" w:hAnsi="宋体" w:eastAsia="宋体" w:cs="AdobeSongStd-Light"/>
          <w:kern w:val="0"/>
          <w:szCs w:val="21"/>
        </w:rPr>
        <w:t>中国和越南引入了社会主义市场经济体制。二是由英特网带来的信息通信技术的发展。</w:t>
      </w:r>
    </w:p>
    <w:p w14:paraId="51E85ED2">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由于这样的变化随之所产生的就是人、财、物和信息都在全世界范围内迅速流动</w:t>
      </w:r>
      <w:r>
        <w:rPr>
          <w:rFonts w:ascii="宋体" w:hAnsi="宋体" w:eastAsia="宋体" w:cs="AdobeSongStd-Light"/>
          <w:kern w:val="0"/>
          <w:szCs w:val="21"/>
        </w:rPr>
        <w:t>，</w:t>
      </w:r>
      <w:r>
        <w:rPr>
          <w:rFonts w:hint="eastAsia" w:ascii="宋体" w:hAnsi="宋体" w:eastAsia="宋体" w:cs="AdobeSongStd-Light"/>
          <w:kern w:val="0"/>
          <w:szCs w:val="21"/>
        </w:rPr>
        <w:t>将世界各国更加紧密地联系在一起</w:t>
      </w:r>
      <w:r>
        <w:rPr>
          <w:rFonts w:ascii="宋体" w:hAnsi="宋体" w:eastAsia="宋体" w:cs="AdobeSongStd-Light"/>
          <w:kern w:val="0"/>
          <w:szCs w:val="21"/>
        </w:rPr>
        <w:t>，</w:t>
      </w:r>
      <w:r>
        <w:rPr>
          <w:rFonts w:hint="eastAsia" w:ascii="宋体" w:hAnsi="宋体" w:eastAsia="宋体" w:cs="AdobeSongStd-Light"/>
          <w:kern w:val="0"/>
          <w:szCs w:val="21"/>
        </w:rPr>
        <w:t>即全球一体化的进程进一步发展。作为加速全球化进程的组织</w:t>
      </w:r>
      <w:r>
        <w:rPr>
          <w:rFonts w:ascii="宋体" w:hAnsi="宋体" w:eastAsia="宋体" w:cs="AdobeSongStd-Light"/>
          <w:kern w:val="0"/>
          <w:szCs w:val="21"/>
        </w:rPr>
        <w:t>，</w:t>
      </w:r>
      <w:r>
        <w:rPr>
          <w:rFonts w:hint="eastAsia" w:ascii="宋体" w:hAnsi="宋体" w:eastAsia="宋体" w:cs="AdobeSongStd-Light"/>
          <w:kern w:val="0"/>
          <w:szCs w:val="21"/>
        </w:rPr>
        <w:t>世贸组织及其前身发挥了很大作用。</w:t>
      </w:r>
    </w:p>
    <w:p w14:paraId="12560D90">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2</w:t>
      </w:r>
      <w:r>
        <w:rPr>
          <w:rFonts w:hint="eastAsia" w:ascii="宋体" w:hAnsi="宋体" w:eastAsia="宋体" w:cs="Times New Roman"/>
          <w:kern w:val="0"/>
          <w:szCs w:val="21"/>
        </w:rPr>
        <w:t>．</w:t>
      </w:r>
      <w:r>
        <w:rPr>
          <w:rFonts w:hint="eastAsia" w:ascii="宋体" w:hAnsi="宋体" w:eastAsia="宋体" w:cs="AdobeSongStd-Light"/>
          <w:kern w:val="0"/>
          <w:szCs w:val="21"/>
        </w:rPr>
        <w:t>经济全球化的影响。上述观点是从发达国家的角度出发的</w:t>
      </w:r>
      <w:r>
        <w:rPr>
          <w:rFonts w:ascii="宋体" w:hAnsi="宋体" w:eastAsia="宋体" w:cs="AdobeSongStd-Light"/>
          <w:kern w:val="0"/>
          <w:szCs w:val="21"/>
        </w:rPr>
        <w:t>，</w:t>
      </w:r>
      <w:r>
        <w:rPr>
          <w:rFonts w:hint="eastAsia" w:ascii="宋体" w:hAnsi="宋体" w:eastAsia="宋体" w:cs="AdobeSongStd-Light"/>
          <w:kern w:val="0"/>
          <w:szCs w:val="21"/>
        </w:rPr>
        <w:t>表现为积极主动的全球经济一体化。但是</w:t>
      </w:r>
      <w:r>
        <w:rPr>
          <w:rFonts w:ascii="宋体" w:hAnsi="宋体" w:eastAsia="宋体" w:cs="AdobeSongStd-Light"/>
          <w:kern w:val="0"/>
          <w:szCs w:val="21"/>
        </w:rPr>
        <w:t>，</w:t>
      </w:r>
      <w:r>
        <w:rPr>
          <w:rFonts w:hint="eastAsia" w:ascii="宋体" w:hAnsi="宋体" w:eastAsia="宋体" w:cs="AdobeSongStd-Light"/>
          <w:kern w:val="0"/>
          <w:szCs w:val="21"/>
        </w:rPr>
        <w:t>很多发展中国家却是被动地被牵扯到这一一体化中来</w:t>
      </w:r>
      <w:r>
        <w:rPr>
          <w:rFonts w:ascii="宋体" w:hAnsi="宋体" w:eastAsia="宋体" w:cs="AdobeSongStd-Light"/>
          <w:kern w:val="0"/>
          <w:szCs w:val="21"/>
        </w:rPr>
        <w:t>，</w:t>
      </w:r>
      <w:r>
        <w:rPr>
          <w:rFonts w:hint="eastAsia" w:ascii="宋体" w:hAnsi="宋体" w:eastAsia="宋体" w:cs="AdobeSongStd-Light"/>
          <w:kern w:val="0"/>
          <w:szCs w:val="21"/>
        </w:rPr>
        <w:t>即使是在发达国家中</w:t>
      </w:r>
      <w:r>
        <w:rPr>
          <w:rFonts w:ascii="宋体" w:hAnsi="宋体" w:eastAsia="宋体" w:cs="AdobeSongStd-Light"/>
          <w:kern w:val="0"/>
          <w:szCs w:val="21"/>
        </w:rPr>
        <w:t>，</w:t>
      </w:r>
      <w:r>
        <w:rPr>
          <w:rFonts w:hint="eastAsia" w:ascii="宋体" w:hAnsi="宋体" w:eastAsia="宋体" w:cs="AdobeSongStd-Light"/>
          <w:kern w:val="0"/>
          <w:szCs w:val="21"/>
        </w:rPr>
        <w:t>也有一些中小企业和消费者是被动地参加到全球一体化中的。这会带来怎样的负面影响呢</w:t>
      </w:r>
      <w:r>
        <w:rPr>
          <w:rFonts w:ascii="宋体" w:hAnsi="宋体" w:eastAsia="宋体" w:cs="AdobeSongStd-Light"/>
          <w:kern w:val="0"/>
          <w:szCs w:val="21"/>
        </w:rPr>
        <w:t>？</w:t>
      </w:r>
      <w:r>
        <w:rPr>
          <w:rFonts w:hint="eastAsia" w:ascii="宋体" w:hAnsi="宋体" w:eastAsia="宋体" w:cs="AdobeSongStd-Light"/>
          <w:kern w:val="0"/>
          <w:szCs w:val="21"/>
        </w:rPr>
        <w:t>只要看看一体化结合作为思想和政治主心骨的“新自由主义”</w:t>
      </w:r>
      <w:r>
        <w:rPr>
          <w:rFonts w:ascii="宋体" w:hAnsi="宋体" w:eastAsia="宋体" w:cs="AdobeSongStd-Light"/>
          <w:kern w:val="0"/>
          <w:szCs w:val="21"/>
        </w:rPr>
        <w:t>，</w:t>
      </w:r>
      <w:r>
        <w:rPr>
          <w:rFonts w:hint="eastAsia" w:ascii="宋体" w:hAnsi="宋体" w:eastAsia="宋体" w:cs="AdobeSongStd-Light"/>
          <w:kern w:val="0"/>
          <w:szCs w:val="21"/>
        </w:rPr>
        <w:t>就能明白了。对于全球一体化的不良影响有</w:t>
      </w:r>
      <w:r>
        <w:rPr>
          <w:rFonts w:ascii="宋体" w:hAnsi="宋体" w:eastAsia="宋体" w:cs="AdobeSongStd-Light"/>
          <w:kern w:val="0"/>
          <w:szCs w:val="21"/>
        </w:rPr>
        <w:t>：</w:t>
      </w:r>
      <w:r>
        <w:rPr>
          <w:rFonts w:ascii="宋体" w:hAnsi="宋体" w:eastAsia="宋体" w:cs="Times New Roman"/>
          <w:kern w:val="0"/>
          <w:szCs w:val="21"/>
        </w:rPr>
        <w:t>A．</w:t>
      </w:r>
      <w:r>
        <w:rPr>
          <w:rFonts w:hint="eastAsia" w:ascii="宋体" w:hAnsi="宋体" w:eastAsia="宋体" w:cs="AdobeSongStd-Light"/>
          <w:kern w:val="0"/>
          <w:szCs w:val="21"/>
        </w:rPr>
        <w:t>区域经济地位下降</w:t>
      </w:r>
      <w:r>
        <w:rPr>
          <w:rFonts w:ascii="宋体" w:hAnsi="宋体" w:eastAsia="宋体" w:cs="AdobeSongStd-Light"/>
          <w:kern w:val="0"/>
          <w:szCs w:val="21"/>
        </w:rPr>
        <w:t>；</w:t>
      </w:r>
      <w:r>
        <w:rPr>
          <w:rFonts w:ascii="宋体" w:hAnsi="宋体" w:eastAsia="宋体" w:cs="Times New Roman"/>
          <w:kern w:val="0"/>
          <w:szCs w:val="21"/>
        </w:rPr>
        <w:t>B．</w:t>
      </w:r>
      <w:r>
        <w:rPr>
          <w:rFonts w:hint="eastAsia" w:ascii="宋体" w:hAnsi="宋体" w:eastAsia="宋体" w:cs="AdobeSongStd-Light"/>
          <w:kern w:val="0"/>
          <w:szCs w:val="21"/>
        </w:rPr>
        <w:t>失业者增多</w:t>
      </w:r>
      <w:r>
        <w:rPr>
          <w:rFonts w:ascii="宋体" w:hAnsi="宋体" w:eastAsia="宋体" w:cs="AdobeSongStd-Light"/>
          <w:kern w:val="0"/>
          <w:szCs w:val="21"/>
        </w:rPr>
        <w:t>；</w:t>
      </w:r>
      <w:r>
        <w:rPr>
          <w:rFonts w:ascii="宋体" w:hAnsi="宋体" w:eastAsia="宋体" w:cs="Times New Roman"/>
          <w:kern w:val="0"/>
          <w:szCs w:val="21"/>
        </w:rPr>
        <w:t xml:space="preserve"> C</w:t>
      </w:r>
      <w:r>
        <w:rPr>
          <w:rFonts w:hint="eastAsia" w:ascii="宋体" w:hAnsi="宋体" w:eastAsia="宋体" w:cs="Times New Roman"/>
          <w:kern w:val="0"/>
          <w:szCs w:val="21"/>
        </w:rPr>
        <w:t>．</w:t>
      </w:r>
      <w:r>
        <w:rPr>
          <w:rFonts w:hint="eastAsia" w:ascii="宋体" w:hAnsi="宋体" w:eastAsia="宋体" w:cs="AdobeSongStd-Light"/>
          <w:kern w:val="0"/>
          <w:szCs w:val="21"/>
        </w:rPr>
        <w:t>贫富差距加大</w:t>
      </w:r>
      <w:r>
        <w:rPr>
          <w:rFonts w:ascii="宋体" w:hAnsi="宋体" w:eastAsia="宋体" w:cs="AdobeSongStd-Light"/>
          <w:kern w:val="0"/>
          <w:szCs w:val="21"/>
        </w:rPr>
        <w:t>；</w:t>
      </w:r>
      <w:r>
        <w:rPr>
          <w:rFonts w:ascii="宋体" w:hAnsi="宋体" w:eastAsia="宋体" w:cs="Times New Roman"/>
          <w:kern w:val="0"/>
          <w:szCs w:val="21"/>
        </w:rPr>
        <w:t>D</w:t>
      </w:r>
      <w:r>
        <w:rPr>
          <w:rFonts w:hint="eastAsia" w:ascii="宋体" w:hAnsi="宋体" w:eastAsia="宋体" w:cs="Times New Roman"/>
          <w:kern w:val="0"/>
          <w:szCs w:val="21"/>
        </w:rPr>
        <w:t>．</w:t>
      </w:r>
      <w:r>
        <w:rPr>
          <w:rFonts w:hint="eastAsia" w:ascii="宋体" w:hAnsi="宋体" w:eastAsia="宋体" w:cs="AdobeSongStd-Light"/>
          <w:kern w:val="0"/>
          <w:szCs w:val="21"/>
        </w:rPr>
        <w:t>对弱势群体的社会服务和保障不足</w:t>
      </w:r>
      <w:r>
        <w:rPr>
          <w:rFonts w:ascii="宋体" w:hAnsi="宋体" w:eastAsia="宋体" w:cs="AdobeSongStd-Light"/>
          <w:kern w:val="0"/>
          <w:szCs w:val="21"/>
        </w:rPr>
        <w:t>；</w:t>
      </w:r>
      <w:r>
        <w:rPr>
          <w:rFonts w:ascii="宋体" w:hAnsi="宋体" w:eastAsia="宋体" w:cs="Times New Roman"/>
          <w:kern w:val="0"/>
          <w:szCs w:val="21"/>
        </w:rPr>
        <w:t>E</w:t>
      </w:r>
      <w:r>
        <w:rPr>
          <w:rFonts w:hint="eastAsia" w:ascii="宋体" w:hAnsi="宋体" w:eastAsia="宋体" w:cs="Times New Roman"/>
          <w:kern w:val="0"/>
          <w:szCs w:val="21"/>
        </w:rPr>
        <w:t>．</w:t>
      </w:r>
      <w:r>
        <w:rPr>
          <w:rFonts w:hint="eastAsia" w:ascii="宋体" w:hAnsi="宋体" w:eastAsia="宋体" w:cs="AdobeSongStd-Light"/>
          <w:kern w:val="0"/>
          <w:szCs w:val="21"/>
        </w:rPr>
        <w:t>粮食自给率下降</w:t>
      </w:r>
      <w:r>
        <w:rPr>
          <w:rFonts w:ascii="宋体" w:hAnsi="宋体" w:eastAsia="宋体" w:cs="AdobeSongStd-Light"/>
          <w:kern w:val="0"/>
          <w:szCs w:val="21"/>
        </w:rPr>
        <w:t>；</w:t>
      </w:r>
      <w:r>
        <w:rPr>
          <w:rFonts w:ascii="宋体" w:hAnsi="宋体" w:eastAsia="宋体" w:cs="Times New Roman"/>
          <w:kern w:val="0"/>
          <w:szCs w:val="21"/>
        </w:rPr>
        <w:t>F</w:t>
      </w:r>
      <w:r>
        <w:rPr>
          <w:rFonts w:hint="eastAsia" w:ascii="宋体" w:hAnsi="宋体" w:eastAsia="宋体" w:cs="Times New Roman"/>
          <w:kern w:val="0"/>
          <w:szCs w:val="21"/>
        </w:rPr>
        <w:t>．</w:t>
      </w:r>
      <w:r>
        <w:rPr>
          <w:rFonts w:hint="eastAsia" w:ascii="宋体" w:hAnsi="宋体" w:eastAsia="宋体" w:cs="AdobeSongStd-Light"/>
          <w:kern w:val="0"/>
          <w:szCs w:val="21"/>
        </w:rPr>
        <w:t>自然环境和生态系统遭到破坏</w:t>
      </w:r>
      <w:r>
        <w:rPr>
          <w:rFonts w:ascii="宋体" w:hAnsi="宋体" w:eastAsia="宋体" w:cs="AdobeSongStd-Light"/>
          <w:kern w:val="0"/>
          <w:szCs w:val="21"/>
        </w:rPr>
        <w:t>；</w:t>
      </w:r>
      <w:r>
        <w:rPr>
          <w:rFonts w:ascii="宋体" w:hAnsi="宋体" w:eastAsia="宋体" w:cs="Times New Roman"/>
          <w:kern w:val="0"/>
          <w:szCs w:val="21"/>
        </w:rPr>
        <w:t>G</w:t>
      </w:r>
      <w:r>
        <w:rPr>
          <w:rFonts w:hint="eastAsia" w:ascii="宋体" w:hAnsi="宋体" w:eastAsia="宋体" w:cs="Times New Roman"/>
          <w:kern w:val="0"/>
          <w:szCs w:val="21"/>
        </w:rPr>
        <w:t>．</w:t>
      </w:r>
      <w:r>
        <w:rPr>
          <w:rFonts w:hint="eastAsia" w:ascii="宋体" w:hAnsi="宋体" w:eastAsia="宋体" w:cs="AdobeSongStd-Light"/>
          <w:kern w:val="0"/>
          <w:szCs w:val="21"/>
        </w:rPr>
        <w:t>资金流动混乱。新自由主义正是引起这些事态的原因所在。世界银行在向发展中国家及中等发达国家贷款时</w:t>
      </w:r>
      <w:r>
        <w:rPr>
          <w:rFonts w:ascii="宋体" w:hAnsi="宋体" w:eastAsia="宋体" w:cs="Times New Roman"/>
          <w:kern w:val="0"/>
          <w:szCs w:val="21"/>
        </w:rPr>
        <w:t>，</w:t>
      </w:r>
      <w:r>
        <w:rPr>
          <w:rFonts w:hint="eastAsia" w:ascii="宋体" w:hAnsi="宋体" w:eastAsia="宋体" w:cs="AdobeSongStd-Light"/>
          <w:kern w:val="0"/>
          <w:szCs w:val="21"/>
        </w:rPr>
        <w:t>作为条件贷款对象国要有相应的政策变化</w:t>
      </w:r>
      <w:r>
        <w:rPr>
          <w:rFonts w:ascii="宋体" w:hAnsi="宋体" w:eastAsia="宋体" w:cs="Times New Roman"/>
          <w:kern w:val="0"/>
          <w:szCs w:val="21"/>
        </w:rPr>
        <w:t>，</w:t>
      </w:r>
      <w:r>
        <w:rPr>
          <w:rFonts w:hint="eastAsia" w:ascii="宋体" w:hAnsi="宋体" w:eastAsia="宋体" w:cs="AdobeSongStd-Light"/>
          <w:kern w:val="0"/>
          <w:szCs w:val="21"/>
        </w:rPr>
        <w:t>即撤消保护关税、废除进口替代、废除外国来此投资的限制、向单一出口农业转变、废除价格体系和强制工资控制、大幅度削减社会和医疗保障、政府机关积极民营化等七条</w:t>
      </w:r>
      <w:r>
        <w:rPr>
          <w:rFonts w:ascii="宋体" w:hAnsi="宋体" w:eastAsia="宋体" w:cs="Times New Roman"/>
          <w:kern w:val="0"/>
          <w:szCs w:val="21"/>
        </w:rPr>
        <w:t>，</w:t>
      </w:r>
      <w:r>
        <w:rPr>
          <w:rFonts w:hint="eastAsia" w:ascii="宋体" w:hAnsi="宋体" w:eastAsia="宋体" w:cs="AdobeSongStd-Light"/>
          <w:kern w:val="0"/>
          <w:szCs w:val="21"/>
        </w:rPr>
        <w:t>无论哪条都是推进全球化进程的因素</w:t>
      </w:r>
      <w:r>
        <w:rPr>
          <w:rFonts w:ascii="宋体" w:hAnsi="宋体" w:eastAsia="宋体" w:cs="Times New Roman"/>
          <w:kern w:val="0"/>
          <w:szCs w:val="21"/>
        </w:rPr>
        <w:t>，</w:t>
      </w:r>
      <w:r>
        <w:rPr>
          <w:rFonts w:hint="eastAsia" w:ascii="宋体" w:hAnsi="宋体" w:eastAsia="宋体" w:cs="AdobeSongStd-Light"/>
          <w:kern w:val="0"/>
          <w:szCs w:val="21"/>
        </w:rPr>
        <w:t>这七条因素导致了前面所说的七个不良影响。</w:t>
      </w:r>
    </w:p>
    <w:p w14:paraId="432EF5DD">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3</w:t>
      </w:r>
      <w:r>
        <w:rPr>
          <w:rFonts w:hint="eastAsia" w:ascii="宋体" w:hAnsi="宋体" w:eastAsia="宋体" w:cs="Times New Roman"/>
          <w:kern w:val="0"/>
          <w:szCs w:val="21"/>
        </w:rPr>
        <w:t>．</w:t>
      </w:r>
      <w:r>
        <w:rPr>
          <w:rFonts w:hint="eastAsia" w:ascii="宋体" w:hAnsi="宋体" w:eastAsia="宋体" w:cs="AdobeSongStd-Light"/>
          <w:kern w:val="0"/>
          <w:szCs w:val="21"/>
        </w:rPr>
        <w:t>全球一体化的抵制。对全球一体化的抵制</w:t>
      </w:r>
      <w:r>
        <w:rPr>
          <w:rFonts w:ascii="宋体" w:hAnsi="宋体" w:eastAsia="宋体" w:cs="Times New Roman"/>
          <w:kern w:val="0"/>
          <w:szCs w:val="21"/>
        </w:rPr>
        <w:t>，</w:t>
      </w:r>
      <w:r>
        <w:rPr>
          <w:rFonts w:hint="eastAsia" w:ascii="宋体" w:hAnsi="宋体" w:eastAsia="宋体" w:cs="AdobeSongStd-Light"/>
          <w:kern w:val="0"/>
          <w:szCs w:val="21"/>
        </w:rPr>
        <w:t>体现在那些受全球化直接影响</w:t>
      </w:r>
      <w:r>
        <w:rPr>
          <w:rFonts w:ascii="宋体" w:hAnsi="宋体" w:eastAsia="宋体" w:cs="Times New Roman"/>
          <w:kern w:val="0"/>
          <w:szCs w:val="21"/>
        </w:rPr>
        <w:t>，</w:t>
      </w:r>
      <w:r>
        <w:rPr>
          <w:rFonts w:hint="eastAsia" w:ascii="宋体" w:hAnsi="宋体" w:eastAsia="宋体" w:cs="AdobeSongStd-Light"/>
          <w:kern w:val="0"/>
          <w:szCs w:val="21"/>
        </w:rPr>
        <w:t>并陷于困境的南方国家中没有土地的农民、小规模农家和渔民对</w:t>
      </w:r>
      <w:r>
        <w:rPr>
          <w:rFonts w:ascii="宋体" w:hAnsi="宋体" w:eastAsia="宋体" w:cs="Times New Roman"/>
          <w:kern w:val="0"/>
          <w:szCs w:val="21"/>
        </w:rPr>
        <w:t>WTO</w:t>
      </w:r>
      <w:r>
        <w:rPr>
          <w:rFonts w:hint="eastAsia" w:ascii="宋体" w:hAnsi="宋体" w:eastAsia="宋体" w:cs="AdobeSongStd-Light"/>
          <w:kern w:val="0"/>
          <w:szCs w:val="21"/>
        </w:rPr>
        <w:t>等组织发起的抗议运动上。这些运动也得到了北部国家支持者的共同参与</w:t>
      </w:r>
      <w:r>
        <w:rPr>
          <w:rFonts w:ascii="宋体" w:hAnsi="宋体" w:eastAsia="宋体" w:cs="Times New Roman"/>
          <w:kern w:val="0"/>
          <w:szCs w:val="21"/>
        </w:rPr>
        <w:t>，</w:t>
      </w:r>
      <w:r>
        <w:rPr>
          <w:rFonts w:hint="eastAsia" w:ascii="宋体" w:hAnsi="宋体" w:eastAsia="宋体" w:cs="AdobeSongStd-Light"/>
          <w:kern w:val="0"/>
          <w:szCs w:val="21"/>
        </w:rPr>
        <w:t>在全球范围内这些人联合起来</w:t>
      </w:r>
      <w:r>
        <w:rPr>
          <w:rFonts w:ascii="宋体" w:hAnsi="宋体" w:eastAsia="宋体" w:cs="Times New Roman"/>
          <w:kern w:val="0"/>
          <w:szCs w:val="21"/>
        </w:rPr>
        <w:t>，</w:t>
      </w:r>
      <w:r>
        <w:rPr>
          <w:rFonts w:hint="eastAsia" w:ascii="宋体" w:hAnsi="宋体" w:eastAsia="宋体" w:cs="AdobeSongStd-Light"/>
          <w:kern w:val="0"/>
          <w:szCs w:val="21"/>
        </w:rPr>
        <w:t>共同倾诉他们的贫困现状</w:t>
      </w:r>
      <w:r>
        <w:rPr>
          <w:rFonts w:ascii="宋体" w:hAnsi="宋体" w:eastAsia="宋体" w:cs="Times New Roman"/>
          <w:kern w:val="0"/>
          <w:szCs w:val="21"/>
        </w:rPr>
        <w:t>，</w:t>
      </w:r>
      <w:r>
        <w:rPr>
          <w:rFonts w:hint="eastAsia" w:ascii="宋体" w:hAnsi="宋体" w:eastAsia="宋体" w:cs="AdobeSongStd-Light"/>
          <w:kern w:val="0"/>
          <w:szCs w:val="21"/>
        </w:rPr>
        <w:t>直接掀起了迫使国际政策做出变革的运动</w:t>
      </w:r>
      <w:r>
        <w:rPr>
          <w:rFonts w:ascii="宋体" w:hAnsi="宋体" w:eastAsia="宋体" w:cs="Times New Roman"/>
          <w:kern w:val="0"/>
          <w:szCs w:val="21"/>
        </w:rPr>
        <w:t>，</w:t>
      </w:r>
      <w:r>
        <w:rPr>
          <w:rFonts w:hint="eastAsia" w:ascii="宋体" w:hAnsi="宋体" w:eastAsia="宋体" w:cs="AdobeSongStd-Light"/>
          <w:kern w:val="0"/>
          <w:szCs w:val="21"/>
        </w:rPr>
        <w:t>形成了“全球一体化的反全球一体化运动”。与此同时</w:t>
      </w:r>
      <w:r>
        <w:rPr>
          <w:rFonts w:ascii="宋体" w:hAnsi="宋体" w:eastAsia="宋体" w:cs="Times New Roman"/>
          <w:kern w:val="0"/>
          <w:szCs w:val="21"/>
        </w:rPr>
        <w:t>，</w:t>
      </w:r>
      <w:r>
        <w:rPr>
          <w:rFonts w:hint="eastAsia" w:ascii="宋体" w:hAnsi="宋体" w:eastAsia="宋体" w:cs="AdobeSongStd-Light"/>
          <w:kern w:val="0"/>
          <w:szCs w:val="21"/>
        </w:rPr>
        <w:t>起着全球化带头作用的北部国家中</w:t>
      </w:r>
      <w:r>
        <w:rPr>
          <w:rFonts w:ascii="宋体" w:hAnsi="宋体" w:eastAsia="宋体" w:cs="Times New Roman"/>
          <w:kern w:val="0"/>
          <w:szCs w:val="21"/>
        </w:rPr>
        <w:t>，</w:t>
      </w:r>
      <w:r>
        <w:rPr>
          <w:rFonts w:hint="eastAsia" w:ascii="宋体" w:hAnsi="宋体" w:eastAsia="宋体" w:cs="AdobeSongStd-Light"/>
          <w:kern w:val="0"/>
          <w:szCs w:val="21"/>
        </w:rPr>
        <w:t>国家间及国家内部也开始出现贫富差距加大</w:t>
      </w:r>
      <w:r>
        <w:rPr>
          <w:rFonts w:ascii="宋体" w:hAnsi="宋体" w:eastAsia="宋体" w:cs="Times New Roman"/>
          <w:kern w:val="0"/>
          <w:szCs w:val="21"/>
        </w:rPr>
        <w:t>，</w:t>
      </w:r>
      <w:r>
        <w:rPr>
          <w:rFonts w:hint="eastAsia" w:ascii="宋体" w:hAnsi="宋体" w:eastAsia="宋体" w:cs="AdobeSongStd-Light"/>
          <w:kern w:val="0"/>
          <w:szCs w:val="21"/>
        </w:rPr>
        <w:t>对环境、健康、安全、平等价值观的颠覆等现实问题</w:t>
      </w:r>
      <w:r>
        <w:rPr>
          <w:rFonts w:ascii="宋体" w:hAnsi="宋体" w:eastAsia="宋体" w:cs="Times New Roman"/>
          <w:kern w:val="0"/>
          <w:szCs w:val="21"/>
        </w:rPr>
        <w:t>，</w:t>
      </w:r>
      <w:r>
        <w:rPr>
          <w:rFonts w:hint="eastAsia" w:ascii="宋体" w:hAnsi="宋体" w:eastAsia="宋体" w:cs="AdobeSongStd-Light"/>
          <w:kern w:val="0"/>
          <w:szCs w:val="21"/>
        </w:rPr>
        <w:t>对此</w:t>
      </w:r>
      <w:r>
        <w:rPr>
          <w:rFonts w:ascii="宋体" w:hAnsi="宋体" w:eastAsia="宋体" w:cs="Times New Roman"/>
          <w:kern w:val="0"/>
          <w:szCs w:val="21"/>
        </w:rPr>
        <w:t>，</w:t>
      </w:r>
      <w:r>
        <w:rPr>
          <w:rFonts w:hint="eastAsia" w:ascii="宋体" w:hAnsi="宋体" w:eastAsia="宋体" w:cs="AdobeSongStd-Light"/>
          <w:kern w:val="0"/>
          <w:szCs w:val="21"/>
        </w:rPr>
        <w:t>人们的反应也很强烈。在全球范围内重复运行的资本的生产</w:t>
      </w:r>
      <w:r>
        <w:rPr>
          <w:rFonts w:ascii="宋体" w:hAnsi="宋体" w:eastAsia="宋体" w:cs="Times New Roman"/>
          <w:kern w:val="0"/>
          <w:szCs w:val="21"/>
        </w:rPr>
        <w:t>，</w:t>
      </w:r>
      <w:r>
        <w:rPr>
          <w:rFonts w:hint="eastAsia" w:ascii="宋体" w:hAnsi="宋体" w:eastAsia="宋体" w:cs="AdobeSongStd-Light"/>
          <w:kern w:val="0"/>
          <w:szCs w:val="21"/>
        </w:rPr>
        <w:t>消费和废弃的加速大大加重了自然环境的负荷</w:t>
      </w:r>
      <w:r>
        <w:rPr>
          <w:rFonts w:ascii="宋体" w:hAnsi="宋体" w:eastAsia="宋体" w:cs="Times New Roman"/>
          <w:kern w:val="0"/>
          <w:szCs w:val="21"/>
        </w:rPr>
        <w:t>，</w:t>
      </w:r>
      <w:r>
        <w:rPr>
          <w:rFonts w:hint="eastAsia" w:ascii="宋体" w:hAnsi="宋体" w:eastAsia="宋体" w:cs="AdobeSongStd-Light"/>
          <w:kern w:val="0"/>
          <w:szCs w:val="21"/>
        </w:rPr>
        <w:t>这一点已为越来越多的人所认识。</w:t>
      </w:r>
    </w:p>
    <w:p w14:paraId="588B5D17">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与直接对抗不同</w:t>
      </w:r>
      <w:r>
        <w:rPr>
          <w:rFonts w:ascii="宋体" w:hAnsi="宋体" w:eastAsia="宋体" w:cs="Times New Roman"/>
          <w:kern w:val="0"/>
          <w:szCs w:val="21"/>
        </w:rPr>
        <w:t>，</w:t>
      </w:r>
      <w:r>
        <w:rPr>
          <w:rFonts w:hint="eastAsia" w:ascii="宋体" w:hAnsi="宋体" w:eastAsia="宋体" w:cs="AdobeSongStd-Light"/>
          <w:kern w:val="0"/>
          <w:szCs w:val="21"/>
        </w:rPr>
        <w:t>也有依靠现有的权威发挥作用的情况。这主要是通过擅长信息收集和分析的</w:t>
      </w:r>
      <w:r>
        <w:rPr>
          <w:rFonts w:ascii="宋体" w:hAnsi="宋体" w:eastAsia="宋体" w:cs="Times New Roman"/>
          <w:kern w:val="0"/>
          <w:szCs w:val="21"/>
        </w:rPr>
        <w:t>NGO（</w:t>
      </w:r>
      <w:r>
        <w:rPr>
          <w:rFonts w:hint="eastAsia" w:ascii="宋体" w:hAnsi="宋体" w:eastAsia="宋体" w:cs="AdobeSongStd-Light"/>
          <w:kern w:val="0"/>
          <w:szCs w:val="21"/>
        </w:rPr>
        <w:t>日本政府援助机关</w:t>
      </w:r>
      <w:r>
        <w:rPr>
          <w:rFonts w:ascii="宋体" w:hAnsi="宋体" w:eastAsia="宋体" w:cs="Times New Roman"/>
          <w:kern w:val="0"/>
          <w:szCs w:val="21"/>
        </w:rPr>
        <w:t>）</w:t>
      </w:r>
      <w:r>
        <w:rPr>
          <w:rFonts w:hint="eastAsia" w:ascii="宋体" w:hAnsi="宋体" w:eastAsia="宋体" w:cs="AdobeSongStd-Light"/>
          <w:kern w:val="0"/>
          <w:szCs w:val="21"/>
        </w:rPr>
        <w:t>专家组所提供的政策批评和变革建议</w:t>
      </w:r>
      <w:r>
        <w:rPr>
          <w:rFonts w:ascii="宋体" w:hAnsi="宋体" w:eastAsia="宋体" w:cs="Times New Roman"/>
          <w:kern w:val="0"/>
          <w:szCs w:val="21"/>
        </w:rPr>
        <w:t>，</w:t>
      </w:r>
      <w:r>
        <w:rPr>
          <w:rFonts w:hint="eastAsia" w:ascii="宋体" w:hAnsi="宋体" w:eastAsia="宋体" w:cs="AdobeSongStd-Light"/>
          <w:kern w:val="0"/>
          <w:szCs w:val="21"/>
        </w:rPr>
        <w:t>以及向媒体和议员们提供各种信息来实现。他们将</w:t>
      </w:r>
      <w:r>
        <w:rPr>
          <w:rFonts w:ascii="宋体" w:hAnsi="宋体" w:eastAsia="宋体" w:cs="Times New Roman"/>
          <w:kern w:val="0"/>
          <w:szCs w:val="21"/>
        </w:rPr>
        <w:t>IT</w:t>
      </w:r>
      <w:r>
        <w:rPr>
          <w:rFonts w:hint="eastAsia" w:ascii="宋体" w:hAnsi="宋体" w:eastAsia="宋体" w:cs="AdobeSongStd-Light"/>
          <w:kern w:val="0"/>
          <w:szCs w:val="21"/>
        </w:rPr>
        <w:t>技术这一全球化的产物反之加以利用到全球一体化抵制中</w:t>
      </w:r>
      <w:r>
        <w:rPr>
          <w:rFonts w:ascii="宋体" w:hAnsi="宋体" w:eastAsia="宋体" w:cs="Times New Roman"/>
          <w:kern w:val="0"/>
          <w:szCs w:val="21"/>
        </w:rPr>
        <w:t>，</w:t>
      </w:r>
      <w:r>
        <w:rPr>
          <w:rFonts w:hint="eastAsia" w:ascii="宋体" w:hAnsi="宋体" w:eastAsia="宋体" w:cs="AdobeSongStd-Light"/>
          <w:kern w:val="0"/>
          <w:szCs w:val="21"/>
        </w:rPr>
        <w:t>将世界各地有着共同价值观和目标的人联系在一起。这种行动有时会凌驾于被国家利益及个人利益所分隔开的国家和企业之上。在</w:t>
      </w:r>
      <w:r>
        <w:rPr>
          <w:rFonts w:ascii="宋体" w:hAnsi="宋体" w:eastAsia="宋体" w:cs="Times New Roman"/>
          <w:kern w:val="0"/>
          <w:szCs w:val="21"/>
        </w:rPr>
        <w:t>NGO</w:t>
      </w:r>
      <w:r>
        <w:rPr>
          <w:rFonts w:hint="eastAsia" w:ascii="宋体" w:hAnsi="宋体" w:eastAsia="宋体" w:cs="AdobeSongStd-Light"/>
          <w:kern w:val="0"/>
          <w:szCs w:val="21"/>
        </w:rPr>
        <w:t>专家组的帮助下</w:t>
      </w:r>
      <w:r>
        <w:rPr>
          <w:rFonts w:ascii="宋体" w:hAnsi="宋体" w:eastAsia="宋体" w:cs="Times New Roman"/>
          <w:kern w:val="0"/>
          <w:szCs w:val="21"/>
        </w:rPr>
        <w:t>，</w:t>
      </w:r>
      <w:r>
        <w:rPr>
          <w:rFonts w:hint="eastAsia" w:ascii="宋体" w:hAnsi="宋体" w:eastAsia="宋体" w:cs="AdobeSongStd-Light"/>
          <w:kern w:val="0"/>
          <w:szCs w:val="21"/>
        </w:rPr>
        <w:t>欧洲的市民对含生长激素的牛肉和转基因食品的安全性提出质疑</w:t>
      </w:r>
      <w:r>
        <w:rPr>
          <w:rFonts w:ascii="宋体" w:hAnsi="宋体" w:eastAsia="宋体" w:cs="Times New Roman"/>
          <w:kern w:val="0"/>
          <w:szCs w:val="21"/>
        </w:rPr>
        <w:t>，</w:t>
      </w:r>
      <w:r>
        <w:rPr>
          <w:rFonts w:hint="eastAsia" w:ascii="宋体" w:hAnsi="宋体" w:eastAsia="宋体" w:cs="AdobeSongStd-Light"/>
          <w:kern w:val="0"/>
          <w:szCs w:val="21"/>
        </w:rPr>
        <w:t>从而反对这两种物品的进口</w:t>
      </w:r>
      <w:r>
        <w:rPr>
          <w:rFonts w:ascii="宋体" w:hAnsi="宋体" w:eastAsia="宋体" w:cs="Times New Roman"/>
          <w:kern w:val="0"/>
          <w:szCs w:val="21"/>
        </w:rPr>
        <w:t>，</w:t>
      </w:r>
      <w:r>
        <w:rPr>
          <w:rFonts w:hint="eastAsia" w:ascii="宋体" w:hAnsi="宋体" w:eastAsia="宋体" w:cs="AdobeSongStd-Light"/>
          <w:kern w:val="0"/>
          <w:szCs w:val="21"/>
        </w:rPr>
        <w:t>影响欧盟的贸易政策。</w:t>
      </w:r>
    </w:p>
    <w:p w14:paraId="39E4119E">
      <w:pPr>
        <w:autoSpaceDE w:val="0"/>
        <w:autoSpaceDN w:val="0"/>
        <w:spacing w:line="300" w:lineRule="auto"/>
        <w:ind w:firstLine="440" w:firstLineChars="200"/>
        <w:jc w:val="left"/>
        <w:rPr>
          <w:rFonts w:ascii="宋体" w:hAnsi="宋体" w:eastAsia="宋体" w:cs="AdobeSongStd-Light"/>
          <w:b/>
          <w:kern w:val="0"/>
          <w:szCs w:val="21"/>
        </w:rPr>
      </w:pPr>
      <w:r>
        <w:rPr>
          <w:rFonts w:ascii="宋体" w:hAnsi="宋体" w:eastAsia="宋体" w:cs="Times New Roman"/>
          <w:b/>
          <w:kern w:val="0"/>
          <w:szCs w:val="21"/>
        </w:rPr>
        <w:t>（</w:t>
      </w:r>
      <w:r>
        <w:rPr>
          <w:rFonts w:hint="eastAsia" w:ascii="宋体" w:hAnsi="宋体" w:eastAsia="宋体" w:cs="AdobeSongStd-Light"/>
          <w:b/>
          <w:kern w:val="0"/>
          <w:szCs w:val="21"/>
        </w:rPr>
        <w:t>六</w:t>
      </w:r>
      <w:r>
        <w:rPr>
          <w:rFonts w:ascii="宋体" w:hAnsi="宋体" w:eastAsia="宋体" w:cs="Times New Roman"/>
          <w:b/>
          <w:kern w:val="0"/>
          <w:szCs w:val="21"/>
        </w:rPr>
        <w:t>）</w:t>
      </w:r>
      <w:r>
        <w:rPr>
          <w:rFonts w:hint="eastAsia" w:ascii="宋体" w:hAnsi="宋体" w:eastAsia="宋体" w:cs="AdobeSongStd-Light"/>
          <w:b/>
          <w:kern w:val="0"/>
          <w:szCs w:val="21"/>
        </w:rPr>
        <w:t>银行衰退论和市场原教旨主义金融行政探讨</w:t>
      </w:r>
    </w:p>
    <w:p w14:paraId="0C68B530">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静冈大学的鸟畑与一教授探究了这一问题</w:t>
      </w:r>
      <w:r>
        <w:rPr>
          <w:rFonts w:ascii="宋体" w:hAnsi="宋体" w:eastAsia="宋体" w:cs="Times New Roman"/>
          <w:kern w:val="0"/>
          <w:szCs w:val="21"/>
        </w:rPr>
        <w:t>，</w:t>
      </w:r>
      <w:r>
        <w:rPr>
          <w:rFonts w:hint="eastAsia" w:ascii="宋体" w:hAnsi="宋体" w:eastAsia="宋体" w:cs="AdobeSongStd-Light"/>
          <w:kern w:val="0"/>
          <w:szCs w:val="21"/>
        </w:rPr>
        <w:t>认为在美国</w:t>
      </w:r>
      <w:r>
        <w:rPr>
          <w:rFonts w:ascii="宋体" w:hAnsi="宋体" w:eastAsia="宋体" w:cs="Times New Roman"/>
          <w:kern w:val="0"/>
          <w:szCs w:val="21"/>
        </w:rPr>
        <w:t>，</w:t>
      </w:r>
      <w:r>
        <w:rPr>
          <w:rFonts w:hint="eastAsia" w:ascii="宋体" w:hAnsi="宋体" w:eastAsia="宋体" w:cs="AdobeSongStd-Light"/>
          <w:kern w:val="0"/>
          <w:szCs w:val="21"/>
        </w:rPr>
        <w:t>以产业银行中资金中介占有率低下等作为背景条件提出来了“银行衰退论”</w:t>
      </w:r>
      <w:r>
        <w:rPr>
          <w:rFonts w:ascii="宋体" w:hAnsi="宋体" w:eastAsia="宋体" w:cs="Times New Roman"/>
          <w:kern w:val="0"/>
          <w:szCs w:val="21"/>
        </w:rPr>
        <w:t>，</w:t>
      </w:r>
      <w:r>
        <w:rPr>
          <w:rFonts w:hint="eastAsia" w:ascii="宋体" w:hAnsi="宋体" w:eastAsia="宋体" w:cs="AdobeSongStd-Light"/>
          <w:kern w:val="0"/>
          <w:szCs w:val="21"/>
        </w:rPr>
        <w:t>被泡沫经济崩溃后的日本作为自醒的真理而接受。</w:t>
      </w:r>
    </w:p>
    <w:p w14:paraId="1E08C8AA">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可是</w:t>
      </w:r>
      <w:r>
        <w:rPr>
          <w:rFonts w:ascii="宋体" w:hAnsi="宋体" w:eastAsia="宋体" w:cs="Times New Roman"/>
          <w:kern w:val="0"/>
          <w:szCs w:val="21"/>
        </w:rPr>
        <w:t>，</w:t>
      </w:r>
      <w:r>
        <w:rPr>
          <w:rFonts w:hint="eastAsia" w:ascii="宋体" w:hAnsi="宋体" w:eastAsia="宋体" w:cs="AdobeSongStd-Light"/>
          <w:kern w:val="0"/>
          <w:szCs w:val="21"/>
        </w:rPr>
        <w:t>以像这样的“银行衰退论”为前提的金融体系改革和金融行政和展开</w:t>
      </w:r>
      <w:r>
        <w:rPr>
          <w:rFonts w:ascii="宋体" w:hAnsi="宋体" w:eastAsia="宋体" w:cs="Times New Roman"/>
          <w:kern w:val="0"/>
          <w:szCs w:val="21"/>
        </w:rPr>
        <w:t>，</w:t>
      </w:r>
      <w:r>
        <w:rPr>
          <w:rFonts w:hint="eastAsia" w:ascii="宋体" w:hAnsi="宋体" w:eastAsia="宋体" w:cs="AdobeSongStd-Light"/>
          <w:kern w:val="0"/>
          <w:szCs w:val="21"/>
        </w:rPr>
        <w:t>引起日本银行制度的深刻危机。向“市场金融典型”转移是加速否定传统银行资本作用的社会经济机能</w:t>
      </w:r>
      <w:r>
        <w:rPr>
          <w:rFonts w:ascii="宋体" w:hAnsi="宋体" w:eastAsia="宋体" w:cs="Times New Roman"/>
          <w:kern w:val="0"/>
          <w:szCs w:val="21"/>
        </w:rPr>
        <w:t>，</w:t>
      </w:r>
      <w:r>
        <w:rPr>
          <w:rFonts w:hint="eastAsia" w:ascii="宋体" w:hAnsi="宋体" w:eastAsia="宋体" w:cs="AdobeSongStd-Light"/>
          <w:kern w:val="0"/>
          <w:szCs w:val="21"/>
        </w:rPr>
        <w:t>使经济危机进一步深刻化。在这里可以肯定的是</w:t>
      </w:r>
      <w:r>
        <w:rPr>
          <w:rFonts w:ascii="宋体" w:hAnsi="宋体" w:eastAsia="宋体" w:cs="Times New Roman"/>
          <w:kern w:val="0"/>
          <w:szCs w:val="21"/>
        </w:rPr>
        <w:t>，</w:t>
      </w:r>
      <w:r>
        <w:rPr>
          <w:rFonts w:hint="eastAsia" w:ascii="宋体" w:hAnsi="宋体" w:eastAsia="宋体" w:cs="AdobeSongStd-Light"/>
          <w:kern w:val="0"/>
          <w:szCs w:val="21"/>
        </w:rPr>
        <w:t>提高个别银行资本的获益性和健全性的所有合理的举措</w:t>
      </w:r>
      <w:r>
        <w:rPr>
          <w:rFonts w:ascii="宋体" w:hAnsi="宋体" w:eastAsia="宋体" w:cs="Times New Roman"/>
          <w:kern w:val="0"/>
          <w:szCs w:val="21"/>
        </w:rPr>
        <w:t>，</w:t>
      </w:r>
      <w:r>
        <w:rPr>
          <w:rFonts w:hint="eastAsia" w:ascii="宋体" w:hAnsi="宋体" w:eastAsia="宋体" w:cs="AdobeSongStd-Light"/>
          <w:kern w:val="0"/>
          <w:szCs w:val="21"/>
        </w:rPr>
        <w:t>维持金融顺利和发挥银行资本的社会经济机能</w:t>
      </w:r>
      <w:r>
        <w:rPr>
          <w:rFonts w:ascii="宋体" w:hAnsi="宋体" w:eastAsia="宋体" w:cs="Times New Roman"/>
          <w:kern w:val="0"/>
          <w:szCs w:val="21"/>
        </w:rPr>
        <w:t>，</w:t>
      </w:r>
      <w:r>
        <w:rPr>
          <w:rFonts w:hint="eastAsia" w:ascii="宋体" w:hAnsi="宋体" w:eastAsia="宋体" w:cs="AdobeSongStd-Light"/>
          <w:kern w:val="0"/>
          <w:szCs w:val="21"/>
        </w:rPr>
        <w:t>全靠“无形的手”。由于银行资本的社会经济机能丧失</w:t>
      </w:r>
      <w:r>
        <w:rPr>
          <w:rFonts w:ascii="宋体" w:hAnsi="宋体" w:eastAsia="宋体" w:cs="Times New Roman"/>
          <w:kern w:val="0"/>
          <w:szCs w:val="21"/>
        </w:rPr>
        <w:t>，</w:t>
      </w:r>
      <w:r>
        <w:rPr>
          <w:rFonts w:hint="eastAsia" w:ascii="宋体" w:hAnsi="宋体" w:eastAsia="宋体" w:cs="AdobeSongStd-Light"/>
          <w:kern w:val="0"/>
          <w:szCs w:val="21"/>
        </w:rPr>
        <w:t>导致经济危机深刻化的今天</w:t>
      </w:r>
      <w:r>
        <w:rPr>
          <w:rFonts w:ascii="宋体" w:hAnsi="宋体" w:eastAsia="宋体" w:cs="Times New Roman"/>
          <w:kern w:val="0"/>
          <w:szCs w:val="21"/>
        </w:rPr>
        <w:t>，</w:t>
      </w:r>
      <w:r>
        <w:rPr>
          <w:rFonts w:hint="eastAsia" w:ascii="宋体" w:hAnsi="宋体" w:eastAsia="宋体" w:cs="AdobeSongStd-Light"/>
          <w:kern w:val="0"/>
          <w:szCs w:val="21"/>
        </w:rPr>
        <w:t>如何把存在于现代资本主义中的银行资本的本质机能和它的运行</w:t>
      </w:r>
      <w:r>
        <w:rPr>
          <w:rFonts w:ascii="宋体" w:hAnsi="宋体" w:eastAsia="宋体" w:cs="Times New Roman"/>
          <w:kern w:val="0"/>
          <w:szCs w:val="21"/>
        </w:rPr>
        <w:t>，</w:t>
      </w:r>
      <w:r>
        <w:rPr>
          <w:rFonts w:hint="eastAsia" w:ascii="宋体" w:hAnsi="宋体" w:eastAsia="宋体" w:cs="AdobeSongStd-Light"/>
          <w:kern w:val="0"/>
          <w:szCs w:val="21"/>
        </w:rPr>
        <w:t>与现实资本的运作科学地联系在一起</w:t>
      </w:r>
      <w:r>
        <w:rPr>
          <w:rFonts w:ascii="宋体" w:hAnsi="宋体" w:eastAsia="宋体" w:cs="Times New Roman"/>
          <w:kern w:val="0"/>
          <w:szCs w:val="21"/>
        </w:rPr>
        <w:t>，</w:t>
      </w:r>
      <w:r>
        <w:rPr>
          <w:rFonts w:hint="eastAsia" w:ascii="宋体" w:hAnsi="宋体" w:eastAsia="宋体" w:cs="AdobeSongStd-Light"/>
          <w:kern w:val="0"/>
          <w:szCs w:val="21"/>
        </w:rPr>
        <w:t>成了燃眉之急的研究课题。</w:t>
      </w:r>
    </w:p>
    <w:p w14:paraId="25D81BF2">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AdobeSongStd-Light"/>
          <w:kern w:val="0"/>
          <w:szCs w:val="21"/>
        </w:rPr>
        <w:t>1</w:t>
      </w:r>
      <w:r>
        <w:rPr>
          <w:rFonts w:hint="eastAsia" w:ascii="宋体" w:hAnsi="宋体" w:eastAsia="宋体" w:cs="AdobeSongStd-Light"/>
          <w:kern w:val="0"/>
          <w:szCs w:val="21"/>
        </w:rPr>
        <w:t>．否定银行的社会机能的银行理论束缚。</w:t>
      </w:r>
      <w:r>
        <w:rPr>
          <w:rFonts w:ascii="宋体" w:hAnsi="宋体" w:eastAsia="宋体" w:cs="AdobeSongStd-Light"/>
          <w:kern w:val="0"/>
          <w:szCs w:val="21"/>
        </w:rPr>
        <w:t>1982</w:t>
      </w:r>
      <w:r>
        <w:rPr>
          <w:rFonts w:hint="eastAsia" w:ascii="宋体" w:hAnsi="宋体" w:eastAsia="宋体" w:cs="AdobeSongStd-Light"/>
          <w:kern w:val="0"/>
          <w:szCs w:val="21"/>
        </w:rPr>
        <w:t>年提出这样一个问题</w:t>
      </w:r>
      <w:r>
        <w:rPr>
          <w:rFonts w:ascii="宋体" w:hAnsi="宋体" w:eastAsia="宋体" w:cs="AdobeSongStd-Light"/>
          <w:kern w:val="0"/>
          <w:szCs w:val="21"/>
        </w:rPr>
        <w:t>，</w:t>
      </w:r>
      <w:r>
        <w:rPr>
          <w:rFonts w:hint="eastAsia" w:ascii="宋体" w:hAnsi="宋体" w:eastAsia="宋体" w:cs="AdobeSongStd-Light"/>
          <w:kern w:val="0"/>
          <w:szCs w:val="21"/>
        </w:rPr>
        <w:t>银行和其他金融中介机构竞争激烈化和同质化进程中</w:t>
      </w:r>
      <w:r>
        <w:rPr>
          <w:rFonts w:ascii="宋体" w:hAnsi="宋体" w:eastAsia="宋体" w:cs="AdobeSongStd-Light"/>
          <w:kern w:val="0"/>
          <w:szCs w:val="21"/>
        </w:rPr>
        <w:t>，</w:t>
      </w:r>
      <w:r>
        <w:rPr>
          <w:rFonts w:hint="eastAsia" w:ascii="宋体" w:hAnsi="宋体" w:eastAsia="宋体" w:cs="AdobeSongStd-Light"/>
          <w:kern w:val="0"/>
          <w:szCs w:val="21"/>
        </w:rPr>
        <w:t>“银行就能特别存在吗</w:t>
      </w:r>
      <w:r>
        <w:rPr>
          <w:rFonts w:ascii="宋体" w:hAnsi="宋体" w:eastAsia="宋体" w:cs="AdobeSongStd-Light"/>
          <w:kern w:val="0"/>
          <w:szCs w:val="21"/>
        </w:rPr>
        <w:t>？</w:t>
      </w:r>
      <w:r>
        <w:rPr>
          <w:rFonts w:hint="eastAsia" w:ascii="宋体" w:hAnsi="宋体" w:eastAsia="宋体" w:cs="AdobeSongStd-Light"/>
          <w:kern w:val="0"/>
          <w:szCs w:val="21"/>
        </w:rPr>
        <w:t>”。属于金融中介机能的银行占有率低的背景下</w:t>
      </w:r>
      <w:r>
        <w:rPr>
          <w:rFonts w:ascii="宋体" w:hAnsi="宋体" w:eastAsia="宋体" w:cs="AdobeSongStd-Light"/>
          <w:kern w:val="0"/>
          <w:szCs w:val="21"/>
        </w:rPr>
        <w:t>，</w:t>
      </w:r>
      <w:r>
        <w:rPr>
          <w:rFonts w:hint="eastAsia" w:ascii="宋体" w:hAnsi="宋体" w:eastAsia="宋体" w:cs="AdobeSongStd-Light"/>
          <w:kern w:val="0"/>
          <w:szCs w:val="21"/>
        </w:rPr>
        <w:t>凯利卡恩总裁提出两点</w:t>
      </w:r>
      <w:r>
        <w:rPr>
          <w:rFonts w:ascii="宋体" w:hAnsi="宋体" w:eastAsia="宋体" w:cs="AdobeSongStd-Light"/>
          <w:kern w:val="0"/>
          <w:szCs w:val="21"/>
        </w:rPr>
        <w:t>：(1)</w:t>
      </w:r>
      <w:r>
        <w:rPr>
          <w:rFonts w:hint="eastAsia" w:ascii="宋体" w:hAnsi="宋体" w:eastAsia="宋体" w:cs="AdobeSongStd-Light"/>
          <w:kern w:val="0"/>
          <w:szCs w:val="21"/>
        </w:rPr>
        <w:t>提供通过决算的结算体系</w:t>
      </w:r>
      <w:r>
        <w:rPr>
          <w:rFonts w:ascii="宋体" w:hAnsi="宋体" w:eastAsia="宋体" w:cs="AdobeSongStd-Light"/>
          <w:kern w:val="0"/>
          <w:szCs w:val="21"/>
        </w:rPr>
        <w:t>；(2)</w:t>
      </w:r>
      <w:r>
        <w:rPr>
          <w:rFonts w:hint="eastAsia" w:ascii="宋体" w:hAnsi="宋体" w:eastAsia="宋体" w:cs="AdobeSongStd-Light"/>
          <w:kern w:val="0"/>
          <w:szCs w:val="21"/>
        </w:rPr>
        <w:t>把以信用为基础的流动性供给机能作为银行资本的普遍本质。在包含贷出的资金方面</w:t>
      </w:r>
      <w:r>
        <w:rPr>
          <w:rFonts w:ascii="宋体" w:hAnsi="宋体" w:eastAsia="宋体" w:cs="AdobeSongStd-Light"/>
          <w:kern w:val="0"/>
          <w:szCs w:val="21"/>
        </w:rPr>
        <w:t>，</w:t>
      </w:r>
      <w:r>
        <w:rPr>
          <w:rFonts w:hint="eastAsia" w:ascii="宋体" w:hAnsi="宋体" w:eastAsia="宋体" w:cs="AdobeSongStd-Light"/>
          <w:kern w:val="0"/>
          <w:szCs w:val="21"/>
        </w:rPr>
        <w:t>和其他的金融机关具有同质性。由于要维持资金运用方面的竞争力</w:t>
      </w:r>
      <w:r>
        <w:rPr>
          <w:rFonts w:ascii="宋体" w:hAnsi="宋体" w:eastAsia="宋体" w:cs="AdobeSongStd-Light"/>
          <w:kern w:val="0"/>
          <w:szCs w:val="21"/>
        </w:rPr>
        <w:t>，</w:t>
      </w:r>
      <w:r>
        <w:rPr>
          <w:rFonts w:hint="eastAsia" w:ascii="宋体" w:hAnsi="宋体" w:eastAsia="宋体" w:cs="AdobeSongStd-Light"/>
          <w:kern w:val="0"/>
          <w:szCs w:val="21"/>
        </w:rPr>
        <w:t>银行经营方面便容易丧失健全性</w:t>
      </w:r>
      <w:r>
        <w:rPr>
          <w:rFonts w:ascii="宋体" w:hAnsi="宋体" w:eastAsia="宋体" w:cs="AdobeSongStd-Light"/>
          <w:kern w:val="0"/>
          <w:szCs w:val="21"/>
        </w:rPr>
        <w:t>，</w:t>
      </w:r>
      <w:r>
        <w:rPr>
          <w:rFonts w:hint="eastAsia" w:ascii="宋体" w:hAnsi="宋体" w:eastAsia="宋体" w:cs="AdobeSongStd-Light"/>
          <w:kern w:val="0"/>
          <w:szCs w:val="21"/>
        </w:rPr>
        <w:t>并且</w:t>
      </w:r>
      <w:r>
        <w:rPr>
          <w:rFonts w:ascii="宋体" w:hAnsi="宋体" w:eastAsia="宋体" w:cs="AdobeSongStd-Light"/>
          <w:kern w:val="0"/>
          <w:szCs w:val="21"/>
        </w:rPr>
        <w:t>，</w:t>
      </w:r>
      <w:r>
        <w:rPr>
          <w:rFonts w:hint="eastAsia" w:ascii="宋体" w:hAnsi="宋体" w:eastAsia="宋体" w:cs="AdobeSongStd-Light"/>
          <w:kern w:val="0"/>
          <w:szCs w:val="21"/>
        </w:rPr>
        <w:t>由于债务的特别性而不能保住银行的特殊地位。美依亚先生于上世纪</w:t>
      </w:r>
      <w:r>
        <w:rPr>
          <w:rFonts w:ascii="宋体" w:hAnsi="宋体" w:eastAsia="宋体" w:cs="AdobeSongStd-Light"/>
          <w:kern w:val="0"/>
          <w:szCs w:val="21"/>
        </w:rPr>
        <w:t xml:space="preserve">70 </w:t>
      </w:r>
      <w:r>
        <w:rPr>
          <w:rFonts w:hint="eastAsia" w:ascii="宋体" w:hAnsi="宋体" w:eastAsia="宋体" w:cs="AdobeSongStd-Light"/>
          <w:kern w:val="0"/>
          <w:szCs w:val="21"/>
        </w:rPr>
        <w:t>年代后半期以来发表了一篇文章</w:t>
      </w:r>
      <w:r>
        <w:rPr>
          <w:rFonts w:ascii="宋体" w:hAnsi="宋体" w:eastAsia="宋体" w:cs="AdobeSongStd-Light"/>
          <w:kern w:val="0"/>
          <w:szCs w:val="21"/>
        </w:rPr>
        <w:t>，</w:t>
      </w:r>
      <w:r>
        <w:rPr>
          <w:rFonts w:hint="eastAsia" w:ascii="宋体" w:hAnsi="宋体" w:eastAsia="宋体" w:cs="AdobeSongStd-Light"/>
          <w:kern w:val="0"/>
          <w:szCs w:val="21"/>
        </w:rPr>
        <w:t>指出“银行变脸已不具有往日容颜”。在金融信息技术革新中</w:t>
      </w:r>
      <w:r>
        <w:rPr>
          <w:rFonts w:ascii="宋体" w:hAnsi="宋体" w:eastAsia="宋体" w:cs="AdobeSongStd-Light"/>
          <w:kern w:val="0"/>
          <w:szCs w:val="21"/>
        </w:rPr>
        <w:t>，</w:t>
      </w:r>
      <w:r>
        <w:rPr>
          <w:rFonts w:hint="eastAsia" w:ascii="宋体" w:hAnsi="宋体" w:eastAsia="宋体" w:cs="AdobeSongStd-Light"/>
          <w:kern w:val="0"/>
          <w:szCs w:val="21"/>
        </w:rPr>
        <w:t>银行资本由于在金融中介方面竞争力的下降而变成了衰退产业</w:t>
      </w:r>
      <w:r>
        <w:rPr>
          <w:rFonts w:ascii="宋体" w:hAnsi="宋体" w:eastAsia="宋体" w:cs="AdobeSongStd-Light"/>
          <w:kern w:val="0"/>
          <w:szCs w:val="21"/>
        </w:rPr>
        <w:t>，</w:t>
      </w:r>
      <w:r>
        <w:rPr>
          <w:rFonts w:hint="eastAsia" w:ascii="宋体" w:hAnsi="宋体" w:eastAsia="宋体" w:cs="AdobeSongStd-Light"/>
          <w:kern w:val="0"/>
          <w:szCs w:val="21"/>
        </w:rPr>
        <w:t>促进了银行资本从传统的银行业务中脱离出来。在这一过程中</w:t>
      </w:r>
      <w:r>
        <w:rPr>
          <w:rFonts w:ascii="宋体" w:hAnsi="宋体" w:eastAsia="宋体" w:cs="AdobeSongStd-Light"/>
          <w:kern w:val="0"/>
          <w:szCs w:val="21"/>
        </w:rPr>
        <w:t>，</w:t>
      </w:r>
      <w:r>
        <w:rPr>
          <w:rFonts w:hint="eastAsia" w:ascii="宋体" w:hAnsi="宋体" w:eastAsia="宋体" w:cs="AdobeSongStd-Light"/>
          <w:kern w:val="0"/>
          <w:szCs w:val="21"/>
        </w:rPr>
        <w:t>把规模以及范围经济性为基础的银行业务、证券业务等所有的金融服务业综合进行开展</w:t>
      </w:r>
      <w:r>
        <w:rPr>
          <w:rFonts w:ascii="宋体" w:hAnsi="宋体" w:eastAsia="宋体" w:cs="AdobeSongStd-Light"/>
          <w:kern w:val="0"/>
          <w:szCs w:val="21"/>
        </w:rPr>
        <w:t>，</w:t>
      </w:r>
      <w:r>
        <w:rPr>
          <w:rFonts w:hint="eastAsia" w:ascii="宋体" w:hAnsi="宋体" w:eastAsia="宋体" w:cs="AdobeSongStd-Light"/>
          <w:kern w:val="0"/>
          <w:szCs w:val="21"/>
        </w:rPr>
        <w:t>而成为金融复合企业和金融服务的专门化。例如</w:t>
      </w:r>
      <w:r>
        <w:rPr>
          <w:rFonts w:ascii="宋体" w:hAnsi="宋体" w:eastAsia="宋体" w:cs="AdobeSongStd-Light"/>
          <w:kern w:val="0"/>
          <w:szCs w:val="21"/>
        </w:rPr>
        <w:t>，</w:t>
      </w:r>
      <w:r>
        <w:rPr>
          <w:rFonts w:hint="eastAsia" w:ascii="宋体" w:hAnsi="宋体" w:eastAsia="宋体" w:cs="AdobeSongStd-Light"/>
          <w:kern w:val="0"/>
          <w:szCs w:val="21"/>
        </w:rPr>
        <w:t>以贷出组成功能、接受风险职能、辐射职能等职能分化为基础的专门金融机关</w:t>
      </w:r>
      <w:r>
        <w:rPr>
          <w:rFonts w:ascii="宋体" w:hAnsi="宋体" w:eastAsia="宋体" w:cs="AdobeSongStd-Light"/>
          <w:kern w:val="0"/>
          <w:szCs w:val="21"/>
        </w:rPr>
        <w:t>，</w:t>
      </w:r>
      <w:r>
        <w:rPr>
          <w:rFonts w:hint="eastAsia" w:ascii="宋体" w:hAnsi="宋体" w:eastAsia="宋体" w:cs="AdobeSongStd-Light"/>
          <w:kern w:val="0"/>
          <w:szCs w:val="21"/>
        </w:rPr>
        <w:t>被认为是全球化金融市场条件下的生存之道</w:t>
      </w:r>
      <w:r>
        <w:rPr>
          <w:rFonts w:ascii="宋体" w:hAnsi="宋体" w:eastAsia="宋体" w:cs="AdobeSongStd-Light"/>
          <w:kern w:val="0"/>
          <w:szCs w:val="21"/>
        </w:rPr>
        <w:t>，</w:t>
      </w:r>
      <w:r>
        <w:rPr>
          <w:rFonts w:hint="eastAsia" w:ascii="宋体" w:hAnsi="宋体" w:eastAsia="宋体" w:cs="AdobeSongStd-Light"/>
          <w:kern w:val="0"/>
          <w:szCs w:val="21"/>
        </w:rPr>
        <w:t>其共同的前提是传统的银行业务落后于时代的“银行衰退论”。</w:t>
      </w:r>
    </w:p>
    <w:p w14:paraId="72C0C6EB">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像这样的传统的银行业务的衰退和向新的商业类型转移被视为当然的过程中</w:t>
      </w:r>
      <w:r>
        <w:rPr>
          <w:rFonts w:ascii="宋体" w:hAnsi="宋体" w:eastAsia="宋体" w:cs="AdobeSongStd-Light"/>
          <w:kern w:val="0"/>
          <w:szCs w:val="21"/>
        </w:rPr>
        <w:t>，</w:t>
      </w:r>
      <w:r>
        <w:rPr>
          <w:rFonts w:hint="eastAsia" w:ascii="宋体" w:hAnsi="宋体" w:eastAsia="宋体" w:cs="AdobeSongStd-Light"/>
          <w:kern w:val="0"/>
          <w:szCs w:val="21"/>
        </w:rPr>
        <w:t>起支持作用的银行理论也在发生着变化。原来在经济学中把金融中介机构的职能分为两类</w:t>
      </w:r>
      <w:r>
        <w:rPr>
          <w:rFonts w:ascii="宋体" w:hAnsi="宋体" w:eastAsia="宋体" w:cs="AdobeSongStd-Light"/>
          <w:kern w:val="0"/>
          <w:szCs w:val="21"/>
        </w:rPr>
        <w:t>：(1)</w:t>
      </w:r>
      <w:r>
        <w:rPr>
          <w:rFonts w:hint="eastAsia" w:ascii="宋体" w:hAnsi="宋体" w:eastAsia="宋体" w:cs="AdobeSongStd-Light"/>
          <w:kern w:val="0"/>
          <w:szCs w:val="21"/>
        </w:rPr>
        <w:t>金融中介职能</w:t>
      </w:r>
      <w:r>
        <w:rPr>
          <w:rFonts w:ascii="宋体" w:hAnsi="宋体" w:eastAsia="宋体" w:cs="AdobeSongStd-Light"/>
          <w:kern w:val="0"/>
          <w:szCs w:val="21"/>
        </w:rPr>
        <w:t>；(2)</w:t>
      </w:r>
      <w:r>
        <w:rPr>
          <w:rFonts w:hint="eastAsia" w:ascii="宋体" w:hAnsi="宋体" w:eastAsia="宋体" w:cs="AdobeSongStd-Light"/>
          <w:kern w:val="0"/>
          <w:szCs w:val="21"/>
        </w:rPr>
        <w:t>通货供给职能</w:t>
      </w:r>
      <w:r>
        <w:rPr>
          <w:rFonts w:ascii="宋体" w:hAnsi="宋体" w:eastAsia="宋体" w:cs="AdobeSongStd-Light"/>
          <w:kern w:val="0"/>
          <w:szCs w:val="21"/>
        </w:rPr>
        <w:t>，</w:t>
      </w:r>
      <w:r>
        <w:rPr>
          <w:rFonts w:hint="eastAsia" w:ascii="宋体" w:hAnsi="宋体" w:eastAsia="宋体" w:cs="AdobeSongStd-Light"/>
          <w:kern w:val="0"/>
          <w:szCs w:val="21"/>
        </w:rPr>
        <w:t>同时</w:t>
      </w:r>
      <w:r>
        <w:rPr>
          <w:rFonts w:ascii="宋体" w:hAnsi="宋体" w:eastAsia="宋体" w:cs="AdobeSongStd-Light"/>
          <w:kern w:val="0"/>
          <w:szCs w:val="21"/>
        </w:rPr>
        <w:t>，</w:t>
      </w:r>
      <w:r>
        <w:rPr>
          <w:rFonts w:hint="eastAsia" w:ascii="宋体" w:hAnsi="宋体" w:eastAsia="宋体" w:cs="AdobeSongStd-Light"/>
          <w:kern w:val="0"/>
          <w:szCs w:val="21"/>
        </w:rPr>
        <w:t>利用作为金融中介机关的银行的独立性</w:t>
      </w:r>
      <w:r>
        <w:rPr>
          <w:rFonts w:ascii="宋体" w:hAnsi="宋体" w:eastAsia="宋体" w:cs="AdobeSongStd-Light"/>
          <w:kern w:val="0"/>
          <w:szCs w:val="21"/>
        </w:rPr>
        <w:t>，</w:t>
      </w:r>
      <w:r>
        <w:rPr>
          <w:rFonts w:hint="eastAsia" w:ascii="宋体" w:hAnsi="宋体" w:eastAsia="宋体" w:cs="AdobeSongStd-Light"/>
          <w:kern w:val="0"/>
          <w:szCs w:val="21"/>
        </w:rPr>
        <w:t>来提供结算账户形成结算业务和创造信用</w:t>
      </w:r>
      <w:r>
        <w:rPr>
          <w:rFonts w:ascii="宋体" w:hAnsi="宋体" w:eastAsia="宋体" w:cs="AdobeSongStd-Light"/>
          <w:kern w:val="0"/>
          <w:szCs w:val="21"/>
        </w:rPr>
        <w:t>，</w:t>
      </w:r>
      <w:r>
        <w:rPr>
          <w:rFonts w:hint="eastAsia" w:ascii="宋体" w:hAnsi="宋体" w:eastAsia="宋体" w:cs="AdobeSongStd-Light"/>
          <w:kern w:val="0"/>
          <w:szCs w:val="21"/>
        </w:rPr>
        <w:t>通过预贷业务以金融中介职能{</w:t>
      </w:r>
      <w:r>
        <w:rPr>
          <w:rFonts w:ascii="宋体" w:hAnsi="宋体" w:eastAsia="宋体" w:cs="AdobeSongStd-Light"/>
          <w:kern w:val="0"/>
          <w:szCs w:val="21"/>
        </w:rPr>
        <w:t>(1)</w:t>
      </w:r>
      <w:r>
        <w:rPr>
          <w:rFonts w:hint="eastAsia" w:ascii="宋体" w:hAnsi="宋体" w:eastAsia="宋体" w:cs="AdobeSongStd-Light"/>
          <w:kern w:val="0"/>
          <w:szCs w:val="21"/>
        </w:rPr>
        <w:t>和</w:t>
      </w:r>
      <w:r>
        <w:rPr>
          <w:rFonts w:ascii="宋体" w:hAnsi="宋体" w:eastAsia="宋体" w:cs="AdobeSongStd-Light"/>
          <w:kern w:val="0"/>
          <w:szCs w:val="21"/>
        </w:rPr>
        <w:t>(2)</w:t>
      </w:r>
      <w:r>
        <w:rPr>
          <w:rFonts w:hint="eastAsia" w:ascii="宋体" w:hAnsi="宋体" w:eastAsia="宋体" w:cs="AdobeSongStd-Light"/>
          <w:kern w:val="0"/>
          <w:szCs w:val="21"/>
        </w:rPr>
        <w:t>合并}</w:t>
      </w:r>
      <w:r>
        <w:rPr>
          <w:rFonts w:ascii="宋体" w:hAnsi="宋体" w:eastAsia="宋体" w:cs="AdobeSongStd-Light"/>
          <w:kern w:val="0"/>
          <w:szCs w:val="21"/>
        </w:rPr>
        <w:t>（</w:t>
      </w:r>
      <w:r>
        <w:rPr>
          <w:rFonts w:hint="eastAsia" w:ascii="宋体" w:hAnsi="宋体" w:eastAsia="宋体" w:cs="AdobeSongStd-Light"/>
          <w:kern w:val="0"/>
          <w:szCs w:val="21"/>
        </w:rPr>
        <w:t>如</w:t>
      </w:r>
      <w:r>
        <w:rPr>
          <w:rFonts w:ascii="宋体" w:hAnsi="宋体" w:eastAsia="宋体" w:cs="AdobeSongStd-Light"/>
          <w:kern w:val="0"/>
          <w:szCs w:val="21"/>
        </w:rPr>
        <w:t>1993</w:t>
      </w:r>
      <w:r>
        <w:rPr>
          <w:rFonts w:hint="eastAsia" w:ascii="宋体" w:hAnsi="宋体" w:eastAsia="宋体" w:cs="AdobeSongStd-Light"/>
          <w:kern w:val="0"/>
          <w:szCs w:val="21"/>
        </w:rPr>
        <w:t>年池尾和人编的《现代银行》</w:t>
      </w:r>
      <w:r>
        <w:rPr>
          <w:rFonts w:ascii="宋体" w:hAnsi="宋体" w:eastAsia="宋体" w:cs="AdobeSongStd-Light"/>
          <w:kern w:val="0"/>
          <w:szCs w:val="21"/>
        </w:rPr>
        <w:t>）</w:t>
      </w:r>
      <w:r>
        <w:rPr>
          <w:rFonts w:hint="eastAsia" w:ascii="宋体" w:hAnsi="宋体" w:eastAsia="宋体" w:cs="AdobeSongStd-Light"/>
          <w:kern w:val="0"/>
          <w:szCs w:val="21"/>
        </w:rPr>
        <w:t>。通过预贷业务</w:t>
      </w:r>
      <w:r>
        <w:rPr>
          <w:rFonts w:ascii="宋体" w:hAnsi="宋体" w:eastAsia="宋体" w:cs="AdobeSongStd-Light"/>
          <w:kern w:val="0"/>
          <w:szCs w:val="21"/>
        </w:rPr>
        <w:t>（</w:t>
      </w:r>
      <w:r>
        <w:rPr>
          <w:rFonts w:hint="eastAsia" w:ascii="宋体" w:hAnsi="宋体" w:eastAsia="宋体" w:cs="AdobeSongStd-Light"/>
          <w:kern w:val="0"/>
          <w:szCs w:val="21"/>
        </w:rPr>
        <w:t>创造信用</w:t>
      </w:r>
      <w:r>
        <w:rPr>
          <w:rFonts w:ascii="宋体" w:hAnsi="宋体" w:eastAsia="宋体" w:cs="AdobeSongStd-Light"/>
          <w:kern w:val="0"/>
          <w:szCs w:val="21"/>
        </w:rPr>
        <w:t>），</w:t>
      </w:r>
      <w:r>
        <w:rPr>
          <w:rFonts w:hint="eastAsia" w:ascii="宋体" w:hAnsi="宋体" w:eastAsia="宋体" w:cs="AdobeSongStd-Light"/>
          <w:kern w:val="0"/>
          <w:szCs w:val="21"/>
        </w:rPr>
        <w:t>金融职能被看成是银行的本质业务</w:t>
      </w:r>
      <w:r>
        <w:rPr>
          <w:rFonts w:ascii="宋体" w:hAnsi="宋体" w:eastAsia="宋体" w:cs="AdobeSongStd-Light"/>
          <w:kern w:val="0"/>
          <w:szCs w:val="21"/>
        </w:rPr>
        <w:t>，</w:t>
      </w:r>
      <w:r>
        <w:rPr>
          <w:rFonts w:hint="eastAsia" w:ascii="宋体" w:hAnsi="宋体" w:eastAsia="宋体" w:cs="AdobeSongStd-Light"/>
          <w:kern w:val="0"/>
          <w:szCs w:val="21"/>
        </w:rPr>
        <w:t>这其中银行资本在以下两种职能中提高竞争力</w:t>
      </w:r>
      <w:r>
        <w:rPr>
          <w:rFonts w:ascii="宋体" w:hAnsi="宋体" w:eastAsia="宋体" w:cs="AdobeSongStd-Light"/>
          <w:kern w:val="0"/>
          <w:szCs w:val="21"/>
        </w:rPr>
        <w:t>：</w:t>
      </w:r>
      <w:r>
        <w:rPr>
          <w:rFonts w:hint="eastAsia" w:ascii="宋体" w:hAnsi="宋体" w:eastAsia="宋体" w:cs="AdobeSongStd-Light"/>
          <w:kern w:val="0"/>
          <w:szCs w:val="21"/>
        </w:rPr>
        <w:t>一是借方的审查和监视系统产生信息的职能</w:t>
      </w:r>
      <w:r>
        <w:rPr>
          <w:rFonts w:ascii="宋体" w:hAnsi="宋体" w:eastAsia="宋体" w:cs="AdobeSongStd-Light"/>
          <w:kern w:val="0"/>
          <w:szCs w:val="21"/>
        </w:rPr>
        <w:t>；</w:t>
      </w:r>
      <w:r>
        <w:rPr>
          <w:rFonts w:hint="eastAsia" w:ascii="宋体" w:hAnsi="宋体" w:eastAsia="宋体" w:cs="AdobeSongStd-Light"/>
          <w:kern w:val="0"/>
          <w:szCs w:val="21"/>
        </w:rPr>
        <w:t>二是分散风险和减少风险的风险管理职能。可是</w:t>
      </w:r>
      <w:r>
        <w:rPr>
          <w:rFonts w:ascii="宋体" w:hAnsi="宋体" w:eastAsia="宋体" w:cs="AdobeSongStd-Light"/>
          <w:kern w:val="0"/>
          <w:szCs w:val="21"/>
        </w:rPr>
        <w:t>，</w:t>
      </w:r>
      <w:r>
        <w:rPr>
          <w:rFonts w:hint="eastAsia" w:ascii="宋体" w:hAnsi="宋体" w:eastAsia="宋体" w:cs="AdobeSongStd-Light"/>
          <w:kern w:val="0"/>
          <w:szCs w:val="21"/>
        </w:rPr>
        <w:t>现在开始注意银行在信息生产职能和风险管理职能中传统业务竞争能力的倒退</w:t>
      </w:r>
      <w:r>
        <w:rPr>
          <w:rFonts w:ascii="宋体" w:hAnsi="宋体" w:eastAsia="宋体" w:cs="AdobeSongStd-Light"/>
          <w:kern w:val="0"/>
          <w:szCs w:val="21"/>
        </w:rPr>
        <w:t>，</w:t>
      </w:r>
      <w:r>
        <w:rPr>
          <w:rFonts w:hint="eastAsia" w:ascii="宋体" w:hAnsi="宋体" w:eastAsia="宋体" w:cs="AdobeSongStd-Light"/>
          <w:kern w:val="0"/>
          <w:szCs w:val="21"/>
        </w:rPr>
        <w:t>及基于市场结构基础上的资本市场的信息生产职能和风险管理职能的优越性。例如</w:t>
      </w:r>
      <w:r>
        <w:rPr>
          <w:rFonts w:ascii="宋体" w:hAnsi="宋体" w:eastAsia="宋体" w:cs="AdobeSongStd-Light"/>
          <w:kern w:val="0"/>
          <w:szCs w:val="21"/>
        </w:rPr>
        <w:t>，</w:t>
      </w:r>
      <w:r>
        <w:rPr>
          <w:rFonts w:hint="eastAsia" w:ascii="宋体" w:hAnsi="宋体" w:eastAsia="宋体" w:cs="AdobeSongStd-Light"/>
          <w:kern w:val="0"/>
          <w:szCs w:val="21"/>
        </w:rPr>
        <w:t>根据把预贷业务作为基准的长期合作关系</w:t>
      </w:r>
      <w:r>
        <w:rPr>
          <w:rFonts w:ascii="宋体" w:hAnsi="宋体" w:eastAsia="宋体" w:cs="AdobeSongStd-Light"/>
          <w:kern w:val="0"/>
          <w:szCs w:val="21"/>
        </w:rPr>
        <w:t>，</w:t>
      </w:r>
      <w:r>
        <w:rPr>
          <w:rFonts w:hint="eastAsia" w:ascii="宋体" w:hAnsi="宋体" w:eastAsia="宋体" w:cs="AdobeSongStd-Light"/>
          <w:kern w:val="0"/>
          <w:szCs w:val="21"/>
        </w:rPr>
        <w:t>银行资本的信息生产职能由于信息技术革新而降低信息的生产成本</w:t>
      </w:r>
      <w:r>
        <w:rPr>
          <w:rFonts w:ascii="宋体" w:hAnsi="宋体" w:eastAsia="宋体" w:cs="AdobeSongStd-Light"/>
          <w:kern w:val="0"/>
          <w:szCs w:val="21"/>
        </w:rPr>
        <w:t>，</w:t>
      </w:r>
      <w:r>
        <w:rPr>
          <w:rFonts w:hint="eastAsia" w:ascii="宋体" w:hAnsi="宋体" w:eastAsia="宋体" w:cs="AdobeSongStd-Light"/>
          <w:kern w:val="0"/>
          <w:szCs w:val="21"/>
        </w:rPr>
        <w:t>及由于机构投资家因风险评价机能的发展而失去优越性的同时</w:t>
      </w:r>
      <w:r>
        <w:rPr>
          <w:rFonts w:ascii="宋体" w:hAnsi="宋体" w:eastAsia="宋体" w:cs="AdobeSongStd-Light"/>
          <w:kern w:val="0"/>
          <w:szCs w:val="21"/>
        </w:rPr>
        <w:t>，</w:t>
      </w:r>
      <w:r>
        <w:rPr>
          <w:rFonts w:hint="eastAsia" w:ascii="宋体" w:hAnsi="宋体" w:eastAsia="宋体" w:cs="AdobeSongStd-Light"/>
          <w:kern w:val="0"/>
          <w:szCs w:val="21"/>
        </w:rPr>
        <w:t>给长期合作带上了枷锁</w:t>
      </w:r>
      <w:r>
        <w:rPr>
          <w:rFonts w:ascii="宋体" w:hAnsi="宋体" w:eastAsia="宋体" w:cs="AdobeSongStd-Light"/>
          <w:kern w:val="0"/>
          <w:szCs w:val="21"/>
        </w:rPr>
        <w:t>，</w:t>
      </w:r>
      <w:r>
        <w:rPr>
          <w:rFonts w:hint="eastAsia" w:ascii="宋体" w:hAnsi="宋体" w:eastAsia="宋体" w:cs="AdobeSongStd-Light"/>
          <w:kern w:val="0"/>
          <w:szCs w:val="21"/>
        </w:rPr>
        <w:t>不能合理地分散管理风险的缺陷大大地增加了。基于与现实资本关系基础上的信息生产和风险管理</w:t>
      </w:r>
      <w:r>
        <w:rPr>
          <w:rFonts w:ascii="宋体" w:hAnsi="宋体" w:eastAsia="宋体" w:cs="AdobeSongStd-Light"/>
          <w:kern w:val="0"/>
          <w:szCs w:val="21"/>
        </w:rPr>
        <w:t>，</w:t>
      </w:r>
      <w:r>
        <w:rPr>
          <w:rFonts w:hint="eastAsia" w:ascii="宋体" w:hAnsi="宋体" w:eastAsia="宋体" w:cs="AdobeSongStd-Light"/>
          <w:kern w:val="0"/>
          <w:szCs w:val="21"/>
        </w:rPr>
        <w:t>一方面会诱导会员交易</w:t>
      </w:r>
      <w:r>
        <w:rPr>
          <w:rFonts w:ascii="宋体" w:hAnsi="宋体" w:eastAsia="宋体" w:cs="AdobeSongStd-Light"/>
          <w:kern w:val="0"/>
          <w:szCs w:val="21"/>
        </w:rPr>
        <w:t>，</w:t>
      </w:r>
      <w:r>
        <w:rPr>
          <w:rFonts w:hint="eastAsia" w:ascii="宋体" w:hAnsi="宋体" w:eastAsia="宋体" w:cs="AdobeSongStd-Light"/>
          <w:kern w:val="0"/>
          <w:szCs w:val="21"/>
        </w:rPr>
        <w:t>一方面因有碍风险的合理分散而被予以否定。由于肯定了资本市场的优越性</w:t>
      </w:r>
      <w:r>
        <w:rPr>
          <w:rFonts w:ascii="宋体" w:hAnsi="宋体" w:eastAsia="宋体" w:cs="AdobeSongStd-Light"/>
          <w:kern w:val="0"/>
          <w:szCs w:val="21"/>
        </w:rPr>
        <w:t>，</w:t>
      </w:r>
      <w:r>
        <w:rPr>
          <w:rFonts w:hint="eastAsia" w:ascii="宋体" w:hAnsi="宋体" w:eastAsia="宋体" w:cs="AdobeSongStd-Light"/>
          <w:kern w:val="0"/>
          <w:szCs w:val="21"/>
        </w:rPr>
        <w:t>凯里卡恩等人认为作为银行本质的结算业务和预贷业务</w:t>
      </w:r>
      <w:r>
        <w:rPr>
          <w:rFonts w:ascii="宋体" w:hAnsi="宋体" w:eastAsia="宋体" w:cs="AdobeSongStd-Light"/>
          <w:kern w:val="0"/>
          <w:szCs w:val="21"/>
        </w:rPr>
        <w:t>，</w:t>
      </w:r>
      <w:r>
        <w:rPr>
          <w:rFonts w:hint="eastAsia" w:ascii="宋体" w:hAnsi="宋体" w:eastAsia="宋体" w:cs="AdobeSongStd-Light"/>
          <w:kern w:val="0"/>
          <w:szCs w:val="21"/>
        </w:rPr>
        <w:t>根据新的商业模式在银行资本中已不再认为是本质的部分。池尾和人解除了传统银行资本金融中介机构一般方向的理论</w:t>
      </w:r>
      <w:r>
        <w:rPr>
          <w:rFonts w:ascii="宋体" w:hAnsi="宋体" w:eastAsia="宋体" w:cs="AdobeSongStd-Light"/>
          <w:kern w:val="0"/>
          <w:szCs w:val="21"/>
        </w:rPr>
        <w:t>，</w:t>
      </w:r>
      <w:r>
        <w:rPr>
          <w:rFonts w:hint="eastAsia" w:ascii="宋体" w:hAnsi="宋体" w:eastAsia="宋体" w:cs="AdobeSongStd-Light"/>
          <w:kern w:val="0"/>
          <w:szCs w:val="21"/>
        </w:rPr>
        <w:t>认为银行资金提供职能不会失去金融中介职能的核心。</w:t>
      </w:r>
    </w:p>
    <w:p w14:paraId="748F8DCF">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2</w:t>
      </w:r>
      <w:r>
        <w:rPr>
          <w:rFonts w:hint="eastAsia" w:ascii="宋体" w:hAnsi="宋体" w:eastAsia="宋体" w:cs="Times New Roman"/>
          <w:kern w:val="0"/>
          <w:szCs w:val="21"/>
        </w:rPr>
        <w:t>．</w:t>
      </w:r>
      <w:r>
        <w:rPr>
          <w:rFonts w:hint="eastAsia" w:ascii="宋体" w:hAnsi="宋体" w:eastAsia="宋体" w:cs="AdobeSongStd-Light"/>
          <w:kern w:val="0"/>
          <w:szCs w:val="21"/>
        </w:rPr>
        <w:t>由于否定了银行的社会职能</w:t>
      </w:r>
      <w:r>
        <w:rPr>
          <w:rFonts w:ascii="宋体" w:hAnsi="宋体" w:eastAsia="宋体" w:cs="AdobeSongStd-Light"/>
          <w:kern w:val="0"/>
          <w:szCs w:val="21"/>
        </w:rPr>
        <w:t>，</w:t>
      </w:r>
      <w:r>
        <w:rPr>
          <w:rFonts w:hint="eastAsia" w:ascii="宋体" w:hAnsi="宋体" w:eastAsia="宋体" w:cs="AdobeSongStd-Light"/>
          <w:kern w:val="0"/>
          <w:szCs w:val="21"/>
        </w:rPr>
        <w:t>导致经济危机爆发。银行资本与其他的金融机构的同一性被理论化的结果</w:t>
      </w:r>
      <w:r>
        <w:rPr>
          <w:rFonts w:ascii="宋体" w:hAnsi="宋体" w:eastAsia="宋体" w:cs="AdobeSongStd-Light"/>
          <w:kern w:val="0"/>
          <w:szCs w:val="21"/>
        </w:rPr>
        <w:t>，</w:t>
      </w:r>
      <w:r>
        <w:rPr>
          <w:rFonts w:hint="eastAsia" w:ascii="宋体" w:hAnsi="宋体" w:eastAsia="宋体" w:cs="AdobeSongStd-Light"/>
          <w:kern w:val="0"/>
          <w:szCs w:val="21"/>
        </w:rPr>
        <w:t>银行资本被看成和在资本市场中的投资银行和投资基金</w:t>
      </w:r>
      <w:r>
        <w:rPr>
          <w:rFonts w:ascii="宋体" w:hAnsi="宋体" w:eastAsia="宋体" w:cs="AdobeSongStd-Light"/>
          <w:kern w:val="0"/>
          <w:szCs w:val="21"/>
        </w:rPr>
        <w:t>，</w:t>
      </w:r>
      <w:r>
        <w:rPr>
          <w:rFonts w:hint="eastAsia" w:ascii="宋体" w:hAnsi="宋体" w:eastAsia="宋体" w:cs="AdobeSongStd-Light"/>
          <w:kern w:val="0"/>
          <w:szCs w:val="21"/>
        </w:rPr>
        <w:t>同样也被看作是各种规避风险确保收益的金融机关。“金融体系将来展望”是作为“金融业承担风险</w:t>
      </w:r>
      <w:r>
        <w:rPr>
          <w:rFonts w:ascii="宋体" w:hAnsi="宋体" w:eastAsia="宋体" w:cs="AdobeSongStd-Light"/>
          <w:kern w:val="0"/>
          <w:szCs w:val="21"/>
        </w:rPr>
        <w:t>，</w:t>
      </w:r>
      <w:r>
        <w:rPr>
          <w:rFonts w:hint="eastAsia" w:ascii="宋体" w:hAnsi="宋体" w:eastAsia="宋体" w:cs="AdobeSongStd-Light"/>
          <w:kern w:val="0"/>
          <w:szCs w:val="21"/>
        </w:rPr>
        <w:t>管理风险获得收益。银行是承担贷款企业信用的风险</w:t>
      </w:r>
      <w:r>
        <w:rPr>
          <w:rFonts w:ascii="宋体" w:hAnsi="宋体" w:eastAsia="宋体" w:cs="AdobeSongStd-Light"/>
          <w:kern w:val="0"/>
          <w:szCs w:val="21"/>
        </w:rPr>
        <w:t>，</w:t>
      </w:r>
      <w:r>
        <w:rPr>
          <w:rFonts w:hint="eastAsia" w:ascii="宋体" w:hAnsi="宋体" w:eastAsia="宋体" w:cs="AdobeSongStd-Light"/>
          <w:kern w:val="0"/>
          <w:szCs w:val="21"/>
        </w:rPr>
        <w:t>管理风险获得利润”。其结果</w:t>
      </w:r>
      <w:r>
        <w:rPr>
          <w:rFonts w:ascii="宋体" w:hAnsi="宋体" w:eastAsia="宋体" w:cs="AdobeSongStd-Light"/>
          <w:kern w:val="0"/>
          <w:szCs w:val="21"/>
        </w:rPr>
        <w:t>，</w:t>
      </w:r>
      <w:r>
        <w:rPr>
          <w:rFonts w:hint="eastAsia" w:ascii="宋体" w:hAnsi="宋体" w:eastAsia="宋体" w:cs="AdobeSongStd-Light"/>
          <w:kern w:val="0"/>
          <w:szCs w:val="21"/>
        </w:rPr>
        <w:t>否定了传统银行业务中被视为合理的银行业务。由于这种传统的银行资本的否定</w:t>
      </w:r>
      <w:r>
        <w:rPr>
          <w:rFonts w:ascii="宋体" w:hAnsi="宋体" w:eastAsia="宋体" w:cs="AdobeSongStd-Light"/>
          <w:kern w:val="0"/>
          <w:szCs w:val="21"/>
        </w:rPr>
        <w:t>，</w:t>
      </w:r>
      <w:r>
        <w:rPr>
          <w:rFonts w:hint="eastAsia" w:ascii="宋体" w:hAnsi="宋体" w:eastAsia="宋体" w:cs="AdobeSongStd-Light"/>
          <w:kern w:val="0"/>
          <w:szCs w:val="21"/>
        </w:rPr>
        <w:t>银行资本通过结算业务和预贷业务成为现实资本</w:t>
      </w:r>
      <w:r>
        <w:rPr>
          <w:rFonts w:ascii="宋体" w:hAnsi="宋体" w:eastAsia="宋体" w:cs="AdobeSongStd-Light"/>
          <w:kern w:val="0"/>
          <w:szCs w:val="21"/>
        </w:rPr>
        <w:t>，</w:t>
      </w:r>
      <w:r>
        <w:rPr>
          <w:rFonts w:hint="eastAsia" w:ascii="宋体" w:hAnsi="宋体" w:eastAsia="宋体" w:cs="AdobeSongStd-Light"/>
          <w:kern w:val="0"/>
          <w:szCs w:val="21"/>
        </w:rPr>
        <w:t>以和现实资本长期商业关系为基础形成的信息生产机能和管理机能</w:t>
      </w:r>
      <w:r>
        <w:rPr>
          <w:rFonts w:ascii="宋体" w:hAnsi="宋体" w:eastAsia="宋体" w:cs="AdobeSongStd-Light"/>
          <w:kern w:val="0"/>
          <w:szCs w:val="21"/>
        </w:rPr>
        <w:t>，</w:t>
      </w:r>
      <w:r>
        <w:rPr>
          <w:rFonts w:hint="eastAsia" w:ascii="宋体" w:hAnsi="宋体" w:eastAsia="宋体" w:cs="AdobeSongStd-Light"/>
          <w:kern w:val="0"/>
          <w:szCs w:val="21"/>
        </w:rPr>
        <w:t>把风险集中到银行资本的这种结果被否定了。通过景气循环</w:t>
      </w:r>
      <w:r>
        <w:rPr>
          <w:rFonts w:ascii="宋体" w:hAnsi="宋体" w:eastAsia="宋体" w:cs="AdobeSongStd-Light"/>
          <w:kern w:val="0"/>
          <w:szCs w:val="21"/>
        </w:rPr>
        <w:t>，</w:t>
      </w:r>
      <w:r>
        <w:rPr>
          <w:rFonts w:hint="eastAsia" w:ascii="宋体" w:hAnsi="宋体" w:eastAsia="宋体" w:cs="AdobeSongStd-Light"/>
          <w:kern w:val="0"/>
          <w:szCs w:val="21"/>
        </w:rPr>
        <w:t>凭长期视野的信息生产和风险评估被否定</w:t>
      </w:r>
      <w:r>
        <w:rPr>
          <w:rFonts w:ascii="宋体" w:hAnsi="宋体" w:eastAsia="宋体" w:cs="AdobeSongStd-Light"/>
          <w:kern w:val="0"/>
          <w:szCs w:val="21"/>
        </w:rPr>
        <w:t>，</w:t>
      </w:r>
      <w:r>
        <w:rPr>
          <w:rFonts w:hint="eastAsia" w:ascii="宋体" w:hAnsi="宋体" w:eastAsia="宋体" w:cs="AdobeSongStd-Light"/>
          <w:kern w:val="0"/>
          <w:szCs w:val="21"/>
        </w:rPr>
        <w:t>银行资本加强了以短期的风险评估为基础的贷方行为</w:t>
      </w:r>
      <w:r>
        <w:rPr>
          <w:rFonts w:ascii="宋体" w:hAnsi="宋体" w:eastAsia="宋体" w:cs="AdobeSongStd-Light"/>
          <w:kern w:val="0"/>
          <w:szCs w:val="21"/>
        </w:rPr>
        <w:t>，</w:t>
      </w:r>
      <w:r>
        <w:rPr>
          <w:rFonts w:hint="eastAsia" w:ascii="宋体" w:hAnsi="宋体" w:eastAsia="宋体" w:cs="AdobeSongStd-Light"/>
          <w:kern w:val="0"/>
          <w:szCs w:val="21"/>
        </w:rPr>
        <w:t>失去了把长期性连续性作为本质的信息生产和风险管理机能。把在资本市场中被称为高风险、高回报的风险和回报的一层关系适用于现实资本的多种信用风险评估</w:t>
      </w:r>
      <w:r>
        <w:rPr>
          <w:rFonts w:ascii="宋体" w:hAnsi="宋体" w:eastAsia="宋体" w:cs="AdobeSongStd-Light"/>
          <w:kern w:val="0"/>
          <w:szCs w:val="21"/>
        </w:rPr>
        <w:t>，</w:t>
      </w:r>
      <w:r>
        <w:rPr>
          <w:rFonts w:hint="eastAsia" w:ascii="宋体" w:hAnsi="宋体" w:eastAsia="宋体" w:cs="AdobeSongStd-Light"/>
          <w:kern w:val="0"/>
          <w:szCs w:val="21"/>
        </w:rPr>
        <w:t>只能是单一的机械的风险评估。在经济不景气的阴影下</w:t>
      </w:r>
      <w:r>
        <w:rPr>
          <w:rFonts w:ascii="宋体" w:hAnsi="宋体" w:eastAsia="宋体" w:cs="AdobeSongStd-Light"/>
          <w:kern w:val="0"/>
          <w:szCs w:val="21"/>
        </w:rPr>
        <w:t>，</w:t>
      </w:r>
      <w:r>
        <w:rPr>
          <w:rFonts w:hint="eastAsia" w:ascii="宋体" w:hAnsi="宋体" w:eastAsia="宋体" w:cs="AdobeSongStd-Light"/>
          <w:kern w:val="0"/>
          <w:szCs w:val="21"/>
        </w:rPr>
        <w:t>对于支付能力低下的企业</w:t>
      </w:r>
      <w:r>
        <w:rPr>
          <w:rFonts w:ascii="宋体" w:hAnsi="宋体" w:eastAsia="宋体" w:cs="AdobeSongStd-Light"/>
          <w:kern w:val="0"/>
          <w:szCs w:val="21"/>
        </w:rPr>
        <w:t>，</w:t>
      </w:r>
      <w:r>
        <w:rPr>
          <w:rFonts w:hint="eastAsia" w:ascii="宋体" w:hAnsi="宋体" w:eastAsia="宋体" w:cs="AdobeSongStd-Light"/>
          <w:kern w:val="0"/>
          <w:szCs w:val="21"/>
        </w:rPr>
        <w:t>机械地停贷或者要求提高利息的行为被看成是合理的。</w:t>
      </w:r>
    </w:p>
    <w:p w14:paraId="7672BFD4">
      <w:pPr>
        <w:autoSpaceDE w:val="0"/>
        <w:autoSpaceDN w:val="0"/>
        <w:spacing w:line="300" w:lineRule="auto"/>
        <w:ind w:firstLine="440" w:firstLineChars="200"/>
        <w:jc w:val="left"/>
        <w:rPr>
          <w:rFonts w:ascii="宋体" w:hAnsi="宋体" w:eastAsia="宋体" w:cs="AdobeSongStd-Light"/>
          <w:kern w:val="0"/>
          <w:szCs w:val="21"/>
        </w:rPr>
      </w:pPr>
      <w:r>
        <w:rPr>
          <w:rFonts w:ascii="宋体" w:hAnsi="宋体" w:eastAsia="宋体" w:cs="Times New Roman"/>
          <w:kern w:val="0"/>
          <w:szCs w:val="21"/>
        </w:rPr>
        <w:t>3</w:t>
      </w:r>
      <w:r>
        <w:rPr>
          <w:rFonts w:hint="eastAsia" w:ascii="宋体" w:hAnsi="宋体" w:eastAsia="宋体" w:cs="Times New Roman"/>
          <w:kern w:val="0"/>
          <w:szCs w:val="21"/>
        </w:rPr>
        <w:t>．</w:t>
      </w:r>
      <w:r>
        <w:rPr>
          <w:rFonts w:hint="eastAsia" w:ascii="宋体" w:hAnsi="宋体" w:eastAsia="宋体" w:cs="AdobeSongStd-Light"/>
          <w:kern w:val="0"/>
          <w:szCs w:val="21"/>
        </w:rPr>
        <w:t>支持持续经济成长的银行体系的展望。美国型的股份资本主义全球化和支持它的美国标准的世界标准化</w:t>
      </w:r>
      <w:r>
        <w:rPr>
          <w:rFonts w:ascii="宋体" w:hAnsi="宋体" w:eastAsia="宋体" w:cs="AdobeSongStd-Light"/>
          <w:kern w:val="0"/>
          <w:szCs w:val="21"/>
        </w:rPr>
        <w:t>，</w:t>
      </w:r>
      <w:r>
        <w:rPr>
          <w:rFonts w:hint="eastAsia" w:ascii="宋体" w:hAnsi="宋体" w:eastAsia="宋体" w:cs="AdobeSongStd-Light"/>
          <w:kern w:val="0"/>
          <w:szCs w:val="21"/>
        </w:rPr>
        <w:t>不适合以间接金融为中心的诸国的实际情况</w:t>
      </w:r>
      <w:r>
        <w:rPr>
          <w:rFonts w:ascii="宋体" w:hAnsi="宋体" w:eastAsia="宋体" w:cs="AdobeSongStd-Light"/>
          <w:kern w:val="0"/>
          <w:szCs w:val="21"/>
        </w:rPr>
        <w:t>，</w:t>
      </w:r>
      <w:r>
        <w:rPr>
          <w:rFonts w:hint="eastAsia" w:ascii="宋体" w:hAnsi="宋体" w:eastAsia="宋体" w:cs="AdobeSongStd-Light"/>
          <w:kern w:val="0"/>
          <w:szCs w:val="21"/>
        </w:rPr>
        <w:t>不能强制进行以直接金融为中心的金融体系的再重组。由于否定了以投资家为核心的、以市场原理为基础的间接金融理论</w:t>
      </w:r>
      <w:r>
        <w:rPr>
          <w:rFonts w:ascii="宋体" w:hAnsi="宋体" w:eastAsia="宋体" w:cs="AdobeSongStd-Light"/>
          <w:kern w:val="0"/>
          <w:szCs w:val="21"/>
        </w:rPr>
        <w:t>，</w:t>
      </w:r>
      <w:r>
        <w:rPr>
          <w:rFonts w:hint="eastAsia" w:ascii="宋体" w:hAnsi="宋体" w:eastAsia="宋体" w:cs="AdobeSongStd-Light"/>
          <w:kern w:val="0"/>
          <w:szCs w:val="21"/>
        </w:rPr>
        <w:t>迫使各国经济危机深刻化起来。可是</w:t>
      </w:r>
      <w:r>
        <w:rPr>
          <w:rFonts w:ascii="宋体" w:hAnsi="宋体" w:eastAsia="宋体" w:cs="AdobeSongStd-Light"/>
          <w:kern w:val="0"/>
          <w:szCs w:val="21"/>
        </w:rPr>
        <w:t>，</w:t>
      </w:r>
      <w:r>
        <w:rPr>
          <w:rFonts w:hint="eastAsia" w:ascii="宋体" w:hAnsi="宋体" w:eastAsia="宋体" w:cs="AdobeSongStd-Light"/>
          <w:kern w:val="0"/>
          <w:szCs w:val="21"/>
        </w:rPr>
        <w:t>对于无视各国经济和企业发展阶段及特性的间接金融理论来说</w:t>
      </w:r>
      <w:r>
        <w:rPr>
          <w:rFonts w:ascii="宋体" w:hAnsi="宋体" w:eastAsia="宋体" w:cs="AdobeSongStd-Light"/>
          <w:kern w:val="0"/>
          <w:szCs w:val="21"/>
        </w:rPr>
        <w:t>，</w:t>
      </w:r>
      <w:r>
        <w:rPr>
          <w:rFonts w:hint="eastAsia" w:ascii="宋体" w:hAnsi="宋体" w:eastAsia="宋体" w:cs="AdobeSongStd-Light"/>
          <w:kern w:val="0"/>
          <w:szCs w:val="21"/>
        </w:rPr>
        <w:t>空论直接金融理论的优劣也是错误的。并且</w:t>
      </w:r>
      <w:r>
        <w:rPr>
          <w:rFonts w:ascii="宋体" w:hAnsi="宋体" w:eastAsia="宋体" w:cs="AdobeSongStd-Light"/>
          <w:kern w:val="0"/>
          <w:szCs w:val="21"/>
        </w:rPr>
        <w:t>，</w:t>
      </w:r>
      <w:r>
        <w:rPr>
          <w:rFonts w:hint="eastAsia" w:ascii="宋体" w:hAnsi="宋体" w:eastAsia="宋体" w:cs="AdobeSongStd-Light"/>
          <w:kern w:val="0"/>
          <w:szCs w:val="21"/>
        </w:rPr>
        <w:t>间接金融理论和直接金融理论具有本质的不同</w:t>
      </w:r>
      <w:r>
        <w:rPr>
          <w:rFonts w:ascii="宋体" w:hAnsi="宋体" w:eastAsia="宋体" w:cs="AdobeSongStd-Light"/>
          <w:kern w:val="0"/>
          <w:szCs w:val="21"/>
        </w:rPr>
        <w:t>，</w:t>
      </w:r>
      <w:r>
        <w:rPr>
          <w:rFonts w:hint="eastAsia" w:ascii="宋体" w:hAnsi="宋体" w:eastAsia="宋体" w:cs="AdobeSongStd-Light"/>
          <w:kern w:val="0"/>
          <w:szCs w:val="21"/>
        </w:rPr>
        <w:t>无视它们的特性一般也是错误的。</w:t>
      </w:r>
    </w:p>
    <w:p w14:paraId="6AF882D0">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投资银行和投资基金等的金融中介机构一般是不能解体的</w:t>
      </w:r>
      <w:r>
        <w:rPr>
          <w:rFonts w:ascii="宋体" w:hAnsi="宋体" w:eastAsia="宋体" w:cs="AdobeSongStd-Light"/>
          <w:kern w:val="0"/>
          <w:szCs w:val="21"/>
        </w:rPr>
        <w:t>，</w:t>
      </w:r>
      <w:r>
        <w:rPr>
          <w:rFonts w:hint="eastAsia" w:ascii="宋体" w:hAnsi="宋体" w:eastAsia="宋体" w:cs="AdobeSongStd-Light"/>
          <w:kern w:val="0"/>
          <w:szCs w:val="21"/>
        </w:rPr>
        <w:t>由于结算业务和预贷业务的有机结合</w:t>
      </w:r>
      <w:r>
        <w:rPr>
          <w:rFonts w:ascii="宋体" w:hAnsi="宋体" w:eastAsia="宋体" w:cs="AdobeSongStd-Light"/>
          <w:kern w:val="0"/>
          <w:szCs w:val="21"/>
        </w:rPr>
        <w:t>，</w:t>
      </w:r>
      <w:r>
        <w:rPr>
          <w:rFonts w:hint="eastAsia" w:ascii="宋体" w:hAnsi="宋体" w:eastAsia="宋体" w:cs="AdobeSongStd-Light"/>
          <w:kern w:val="0"/>
          <w:szCs w:val="21"/>
        </w:rPr>
        <w:t>发挥了银行资本固有的机能作用。银行资本是利息的源泉</w:t>
      </w:r>
      <w:r>
        <w:rPr>
          <w:rFonts w:ascii="宋体" w:hAnsi="宋体" w:eastAsia="宋体" w:cs="AdobeSongStd-Light"/>
          <w:kern w:val="0"/>
          <w:szCs w:val="21"/>
        </w:rPr>
        <w:t>，</w:t>
      </w:r>
      <w:r>
        <w:rPr>
          <w:rFonts w:hint="eastAsia" w:ascii="宋体" w:hAnsi="宋体" w:eastAsia="宋体" w:cs="AdobeSongStd-Light"/>
          <w:kern w:val="0"/>
          <w:szCs w:val="21"/>
        </w:rPr>
        <w:t>关系到维持扩大现实资本的积蓄运动。一方面</w:t>
      </w:r>
      <w:r>
        <w:rPr>
          <w:rFonts w:ascii="宋体" w:hAnsi="宋体" w:eastAsia="宋体" w:cs="AdobeSongStd-Light"/>
          <w:kern w:val="0"/>
          <w:szCs w:val="21"/>
        </w:rPr>
        <w:t>，</w:t>
      </w:r>
      <w:r>
        <w:rPr>
          <w:rFonts w:hint="eastAsia" w:ascii="宋体" w:hAnsi="宋体" w:eastAsia="宋体" w:cs="AdobeSongStd-Light"/>
          <w:kern w:val="0"/>
          <w:szCs w:val="21"/>
        </w:rPr>
        <w:t>利息率基本上适合于现实资本的积蓄水准</w:t>
      </w:r>
      <w:r>
        <w:rPr>
          <w:rFonts w:ascii="宋体" w:hAnsi="宋体" w:eastAsia="宋体" w:cs="AdobeSongStd-Light"/>
          <w:kern w:val="0"/>
          <w:szCs w:val="21"/>
        </w:rPr>
        <w:t>，</w:t>
      </w:r>
      <w:r>
        <w:rPr>
          <w:rFonts w:hint="eastAsia" w:ascii="宋体" w:hAnsi="宋体" w:eastAsia="宋体" w:cs="AdobeSongStd-Light"/>
          <w:kern w:val="0"/>
          <w:szCs w:val="21"/>
        </w:rPr>
        <w:t>而且把社会上零散的货币集中作为基础</w:t>
      </w:r>
      <w:r>
        <w:rPr>
          <w:rFonts w:ascii="宋体" w:hAnsi="宋体" w:eastAsia="宋体" w:cs="AdobeSongStd-Light"/>
          <w:kern w:val="0"/>
          <w:szCs w:val="21"/>
        </w:rPr>
        <w:t>，</w:t>
      </w:r>
      <w:r>
        <w:rPr>
          <w:rFonts w:hint="eastAsia" w:ascii="宋体" w:hAnsi="宋体" w:eastAsia="宋体" w:cs="AdobeSongStd-Light"/>
          <w:kern w:val="0"/>
          <w:szCs w:val="21"/>
        </w:rPr>
        <w:t>通过信用创造</w:t>
      </w:r>
      <w:r>
        <w:rPr>
          <w:rFonts w:ascii="宋体" w:hAnsi="宋体" w:eastAsia="宋体" w:cs="AdobeSongStd-Light"/>
          <w:kern w:val="0"/>
          <w:szCs w:val="21"/>
        </w:rPr>
        <w:t>，</w:t>
      </w:r>
      <w:r>
        <w:rPr>
          <w:rFonts w:hint="eastAsia" w:ascii="宋体" w:hAnsi="宋体" w:eastAsia="宋体" w:cs="AdobeSongStd-Light"/>
          <w:kern w:val="0"/>
          <w:szCs w:val="21"/>
        </w:rPr>
        <w:t>把个别信用用银行的社会信用维持发挥机能作用。像这样</w:t>
      </w:r>
      <w:r>
        <w:rPr>
          <w:rFonts w:ascii="宋体" w:hAnsi="宋体" w:eastAsia="宋体" w:cs="AdobeSongStd-Light"/>
          <w:kern w:val="0"/>
          <w:szCs w:val="21"/>
        </w:rPr>
        <w:t>，</w:t>
      </w:r>
      <w:r>
        <w:rPr>
          <w:rFonts w:hint="eastAsia" w:ascii="宋体" w:hAnsi="宋体" w:eastAsia="宋体" w:cs="AdobeSongStd-Light"/>
          <w:kern w:val="0"/>
          <w:szCs w:val="21"/>
        </w:rPr>
        <w:t>银行资本的社会的经济机能是资本的市场的价格机构不能代替的固有属性。</w:t>
      </w:r>
    </w:p>
    <w:p w14:paraId="594BDD68">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现在</w:t>
      </w:r>
      <w:r>
        <w:rPr>
          <w:rFonts w:ascii="宋体" w:hAnsi="宋体" w:eastAsia="宋体" w:cs="AdobeSongStd-Light"/>
          <w:kern w:val="0"/>
          <w:szCs w:val="21"/>
        </w:rPr>
        <w:t>，</w:t>
      </w:r>
      <w:r>
        <w:rPr>
          <w:rFonts w:hint="eastAsia" w:ascii="宋体" w:hAnsi="宋体" w:eastAsia="宋体" w:cs="AdobeSongStd-Light"/>
          <w:kern w:val="0"/>
          <w:szCs w:val="21"/>
        </w:rPr>
        <w:t>在准备</w:t>
      </w:r>
      <w:r>
        <w:rPr>
          <w:rFonts w:ascii="宋体" w:hAnsi="宋体" w:eastAsia="宋体" w:cs="AdobeSongStd-Light"/>
          <w:kern w:val="0"/>
          <w:szCs w:val="21"/>
        </w:rPr>
        <w:t>2006</w:t>
      </w:r>
      <w:r>
        <w:rPr>
          <w:rFonts w:hint="eastAsia" w:ascii="宋体" w:hAnsi="宋体" w:eastAsia="宋体" w:cs="AdobeSongStd-Light"/>
          <w:kern w:val="0"/>
          <w:szCs w:val="21"/>
        </w:rPr>
        <w:t>年实施的“自我资本约束制度国际协约”的修订工作中</w:t>
      </w:r>
      <w:r>
        <w:rPr>
          <w:rFonts w:ascii="宋体" w:hAnsi="宋体" w:eastAsia="宋体" w:cs="AdobeSongStd-Light"/>
          <w:kern w:val="0"/>
          <w:szCs w:val="21"/>
        </w:rPr>
        <w:t>（</w:t>
      </w:r>
      <w:r>
        <w:rPr>
          <w:rFonts w:hint="eastAsia" w:ascii="宋体" w:hAnsi="宋体" w:eastAsia="宋体" w:cs="AdobeSongStd-Light"/>
          <w:kern w:val="0"/>
          <w:szCs w:val="21"/>
        </w:rPr>
        <w:t>瑞士</w:t>
      </w:r>
      <w:r>
        <w:rPr>
          <w:rFonts w:ascii="宋体" w:hAnsi="宋体" w:eastAsia="宋体" w:cs="AdobeSongStd-Light"/>
          <w:kern w:val="0"/>
          <w:szCs w:val="21"/>
        </w:rPr>
        <w:t>），</w:t>
      </w:r>
      <w:r>
        <w:rPr>
          <w:rFonts w:hint="eastAsia" w:ascii="宋体" w:hAnsi="宋体" w:eastAsia="宋体" w:cs="AdobeSongStd-Light"/>
          <w:kern w:val="0"/>
          <w:szCs w:val="21"/>
        </w:rPr>
        <w:t>根据银行拥有的信用风险等的计算尺度</w:t>
      </w:r>
      <w:r>
        <w:rPr>
          <w:rFonts w:ascii="宋体" w:hAnsi="宋体" w:eastAsia="宋体" w:cs="AdobeSongStd-Light"/>
          <w:kern w:val="0"/>
          <w:szCs w:val="21"/>
        </w:rPr>
        <w:t>，</w:t>
      </w:r>
      <w:r>
        <w:rPr>
          <w:rFonts w:hint="eastAsia" w:ascii="宋体" w:hAnsi="宋体" w:eastAsia="宋体" w:cs="AdobeSongStd-Light"/>
          <w:kern w:val="0"/>
          <w:szCs w:val="21"/>
        </w:rPr>
        <w:t>自有资本、保证金、贷出利息的设定、追求收益的力度将被强化。可是</w:t>
      </w:r>
      <w:r>
        <w:rPr>
          <w:rFonts w:ascii="宋体" w:hAnsi="宋体" w:eastAsia="宋体" w:cs="AdobeSongStd-Light"/>
          <w:kern w:val="0"/>
          <w:szCs w:val="21"/>
        </w:rPr>
        <w:t>，</w:t>
      </w:r>
      <w:r>
        <w:rPr>
          <w:rFonts w:hint="eastAsia" w:ascii="宋体" w:hAnsi="宋体" w:eastAsia="宋体" w:cs="AdobeSongStd-Light"/>
          <w:kern w:val="0"/>
          <w:szCs w:val="21"/>
        </w:rPr>
        <w:t>个别银行的健全性和收益性这样极小的合理性</w:t>
      </w:r>
      <w:r>
        <w:rPr>
          <w:rFonts w:ascii="宋体" w:hAnsi="宋体" w:eastAsia="宋体" w:cs="AdobeSongStd-Light"/>
          <w:kern w:val="0"/>
          <w:szCs w:val="21"/>
        </w:rPr>
        <w:t>，</w:t>
      </w:r>
      <w:r>
        <w:rPr>
          <w:rFonts w:hint="eastAsia" w:ascii="宋体" w:hAnsi="宋体" w:eastAsia="宋体" w:cs="AdobeSongStd-Light"/>
          <w:kern w:val="0"/>
          <w:szCs w:val="21"/>
        </w:rPr>
        <w:t>在经济景气期</w:t>
      </w:r>
      <w:r>
        <w:rPr>
          <w:rFonts w:ascii="宋体" w:hAnsi="宋体" w:eastAsia="宋体" w:cs="AdobeSongStd-Light"/>
          <w:kern w:val="0"/>
          <w:szCs w:val="21"/>
        </w:rPr>
        <w:t>，</w:t>
      </w:r>
      <w:r>
        <w:rPr>
          <w:rFonts w:hint="eastAsia" w:ascii="宋体" w:hAnsi="宋体" w:eastAsia="宋体" w:cs="AdobeSongStd-Light"/>
          <w:kern w:val="0"/>
          <w:szCs w:val="21"/>
        </w:rPr>
        <w:t>使银行资金过剩</w:t>
      </w:r>
      <w:r>
        <w:rPr>
          <w:rFonts w:ascii="宋体" w:hAnsi="宋体" w:eastAsia="宋体" w:cs="AdobeSongStd-Light"/>
          <w:kern w:val="0"/>
          <w:szCs w:val="21"/>
        </w:rPr>
        <w:t>；</w:t>
      </w:r>
      <w:r>
        <w:rPr>
          <w:rFonts w:hint="eastAsia" w:ascii="宋体" w:hAnsi="宋体" w:eastAsia="宋体" w:cs="AdobeSongStd-Light"/>
          <w:kern w:val="0"/>
          <w:szCs w:val="21"/>
        </w:rPr>
        <w:t>在经济不景气时期</w:t>
      </w:r>
      <w:r>
        <w:rPr>
          <w:rFonts w:ascii="宋体" w:hAnsi="宋体" w:eastAsia="宋体" w:cs="AdobeSongStd-Light"/>
          <w:kern w:val="0"/>
          <w:szCs w:val="21"/>
        </w:rPr>
        <w:t>，</w:t>
      </w:r>
      <w:r>
        <w:rPr>
          <w:rFonts w:hint="eastAsia" w:ascii="宋体" w:hAnsi="宋体" w:eastAsia="宋体" w:cs="AdobeSongStd-Light"/>
          <w:kern w:val="0"/>
          <w:szCs w:val="21"/>
        </w:rPr>
        <w:t>促使其停贷</w:t>
      </w:r>
      <w:r>
        <w:rPr>
          <w:rFonts w:ascii="宋体" w:hAnsi="宋体" w:eastAsia="宋体" w:cs="AdobeSongStd-Light"/>
          <w:kern w:val="0"/>
          <w:szCs w:val="21"/>
        </w:rPr>
        <w:t>，</w:t>
      </w:r>
      <w:r>
        <w:rPr>
          <w:rFonts w:hint="eastAsia" w:ascii="宋体" w:hAnsi="宋体" w:eastAsia="宋体" w:cs="AdobeSongStd-Light"/>
          <w:kern w:val="0"/>
          <w:szCs w:val="21"/>
        </w:rPr>
        <w:t>因而造成极大的经济危机</w:t>
      </w:r>
      <w:r>
        <w:rPr>
          <w:rFonts w:ascii="宋体" w:hAnsi="宋体" w:eastAsia="宋体" w:cs="AdobeSongStd-Light"/>
          <w:kern w:val="0"/>
          <w:szCs w:val="21"/>
        </w:rPr>
        <w:t>，</w:t>
      </w:r>
      <w:r>
        <w:rPr>
          <w:rFonts w:hint="eastAsia" w:ascii="宋体" w:hAnsi="宋体" w:eastAsia="宋体" w:cs="AdobeSongStd-Light"/>
          <w:kern w:val="0"/>
          <w:szCs w:val="21"/>
        </w:rPr>
        <w:t>这备受人们关注。解除银行贷出机关的金融监督的理论矛盾深刻化起来了。</w:t>
      </w:r>
    </w:p>
    <w:p w14:paraId="163845DE">
      <w:pPr>
        <w:autoSpaceDE w:val="0"/>
        <w:autoSpaceDN w:val="0"/>
        <w:spacing w:line="300" w:lineRule="auto"/>
        <w:ind w:firstLine="440" w:firstLineChars="200"/>
        <w:jc w:val="left"/>
        <w:rPr>
          <w:rFonts w:ascii="宋体" w:hAnsi="宋体" w:eastAsia="宋体" w:cs="AdobeSongStd-Light"/>
          <w:kern w:val="0"/>
          <w:szCs w:val="21"/>
        </w:rPr>
      </w:pPr>
    </w:p>
    <w:p w14:paraId="6BE71027">
      <w:pPr>
        <w:autoSpaceDE w:val="0"/>
        <w:autoSpaceDN w:val="0"/>
        <w:spacing w:line="300" w:lineRule="auto"/>
        <w:ind w:firstLine="440" w:firstLineChars="200"/>
        <w:jc w:val="left"/>
        <w:rPr>
          <w:rFonts w:ascii="宋体" w:hAnsi="宋体" w:eastAsia="宋体" w:cs="AdobeSongStd-Light"/>
          <w:kern w:val="0"/>
          <w:szCs w:val="21"/>
        </w:rPr>
      </w:pPr>
      <w:r>
        <w:rPr>
          <w:rFonts w:hint="eastAsia" w:ascii="宋体" w:hAnsi="宋体" w:eastAsia="宋体" w:cs="AdobeSongStd-Light"/>
          <w:kern w:val="0"/>
          <w:szCs w:val="21"/>
        </w:rPr>
        <w:t>（原载《经济经纬》</w:t>
      </w:r>
      <w:r>
        <w:rPr>
          <w:rFonts w:ascii="宋体" w:hAnsi="宋体" w:eastAsia="宋体" w:cs="Times New Roman"/>
          <w:kern w:val="0"/>
          <w:szCs w:val="21"/>
        </w:rPr>
        <w:t>2004</w:t>
      </w:r>
      <w:r>
        <w:rPr>
          <w:rFonts w:hint="eastAsia" w:ascii="宋体" w:hAnsi="宋体" w:eastAsia="宋体" w:cs="AdobeSongStd-Light"/>
          <w:kern w:val="0"/>
          <w:szCs w:val="21"/>
        </w:rPr>
        <w:t>年第</w:t>
      </w:r>
      <w:r>
        <w:rPr>
          <w:rFonts w:ascii="宋体" w:hAnsi="宋体" w:eastAsia="宋体" w:cs="Times New Roman"/>
          <w:kern w:val="0"/>
          <w:szCs w:val="21"/>
        </w:rPr>
        <w:t>4</w:t>
      </w:r>
      <w:r>
        <w:rPr>
          <w:rFonts w:hint="eastAsia" w:ascii="宋体" w:hAnsi="宋体" w:eastAsia="宋体" w:cs="AdobeSongStd-Light"/>
          <w:kern w:val="0"/>
          <w:szCs w:val="21"/>
        </w:rPr>
        <w:t>期）</w:t>
      </w:r>
    </w:p>
    <w:p w14:paraId="301BEBC7">
      <w:pPr>
        <w:spacing w:line="300" w:lineRule="auto"/>
        <w:ind w:firstLine="460" w:firstLineChars="200"/>
        <w:rPr>
          <w:rFonts w:ascii="宋体" w:hAnsi="宋体" w:eastAsia="宋体" w:cs="Times New Roman"/>
          <w:sz w:val="22"/>
        </w:rPr>
      </w:pPr>
      <w:r>
        <w:rPr>
          <w:rFonts w:ascii="宋体" w:hAnsi="宋体" w:eastAsia="宋体" w:cs="Times New Roman"/>
          <w:sz w:val="22"/>
        </w:rPr>
        <w:br w:type="page"/>
      </w:r>
    </w:p>
    <w:p w14:paraId="3F764E44">
      <w:pPr>
        <w:keepNext/>
        <w:keepLines/>
        <w:spacing w:before="260" w:after="260" w:line="412" w:lineRule="auto"/>
        <w:ind w:firstLine="660" w:firstLineChars="200"/>
        <w:jc w:val="center"/>
        <w:outlineLvl w:val="1"/>
        <w:rPr>
          <w:rFonts w:ascii="黑体" w:hAnsi="黑体" w:eastAsia="黑体" w:cs="Times New Roman"/>
          <w:color w:val="000000" w:themeColor="text1"/>
          <w:kern w:val="0"/>
          <w:sz w:val="32"/>
          <w:szCs w:val="32"/>
          <w:lang w:bidi="ar"/>
          <w14:textFill>
            <w14:solidFill>
              <w14:schemeClr w14:val="tx1"/>
            </w14:solidFill>
          </w14:textFill>
        </w:rPr>
      </w:pPr>
      <w:bookmarkStart w:id="345" w:name="_Toc110957409"/>
      <w:bookmarkStart w:id="346" w:name="_Toc11252"/>
      <w:bookmarkStart w:id="347" w:name="_Toc67488213"/>
      <w:bookmarkStart w:id="348" w:name="_Toc602358913"/>
      <w:r>
        <w:rPr>
          <w:rFonts w:ascii="黑体" w:hAnsi="黑体" w:eastAsia="黑体" w:cs="Times New Roman"/>
          <w:color w:val="000000" w:themeColor="text1"/>
          <w:kern w:val="0"/>
          <w:sz w:val="32"/>
          <w:szCs w:val="32"/>
          <w:lang w:bidi="ar"/>
          <w14:textFill>
            <w14:solidFill>
              <w14:schemeClr w14:val="tx1"/>
            </w14:solidFill>
          </w14:textFill>
        </w:rPr>
        <w:t>当前社会信用危机的深层原因</w:t>
      </w:r>
      <w:bookmarkEnd w:id="345"/>
      <w:bookmarkEnd w:id="346"/>
      <w:bookmarkEnd w:id="347"/>
      <w:bookmarkEnd w:id="348"/>
    </w:p>
    <w:p w14:paraId="4907BEB3">
      <w:pPr>
        <w:jc w:val="center"/>
        <w:rPr>
          <w:rFonts w:ascii="宋体" w:hAnsi="宋体" w:eastAsia="宋体" w:cs="Times New Roman"/>
          <w:sz w:val="2"/>
          <w:szCs w:val="2"/>
        </w:rPr>
      </w:pPr>
    </w:p>
    <w:p w14:paraId="35D4AFA8">
      <w:pPr>
        <w:spacing w:after="119" w:line="1" w:lineRule="exact"/>
        <w:rPr>
          <w:rFonts w:ascii="宋体" w:hAnsi="宋体" w:eastAsia="宋体" w:cs="Times New Roman"/>
        </w:rPr>
      </w:pPr>
    </w:p>
    <w:p w14:paraId="25B79630">
      <w:pPr>
        <w:pStyle w:val="21"/>
        <w:spacing w:line="400" w:lineRule="exact"/>
        <w:ind w:firstLine="440" w:firstLineChars="200"/>
        <w:jc w:val="both"/>
        <w:rPr>
          <w:rFonts w:cs="Times New Roman"/>
          <w:sz w:val="21"/>
          <w:szCs w:val="21"/>
        </w:rPr>
      </w:pPr>
      <w:r>
        <w:rPr>
          <w:rFonts w:cs="Times New Roman"/>
          <w:color w:val="000000"/>
          <w:sz w:val="21"/>
          <w:szCs w:val="21"/>
        </w:rPr>
        <w:t>有人说，现在高校师生和党内外人士对马克思主义、社会主义和共产主义的理论信仰与</w:t>
      </w:r>
      <w:r>
        <w:rPr>
          <w:rFonts w:cs="Times New Roman"/>
          <w:b/>
          <w:bCs/>
          <w:color w:val="000000"/>
          <w:sz w:val="21"/>
          <w:szCs w:val="21"/>
        </w:rPr>
        <w:t>50</w:t>
      </w:r>
      <w:r>
        <w:rPr>
          <w:rFonts w:cs="Times New Roman"/>
          <w:color w:val="000000"/>
          <w:sz w:val="21"/>
          <w:szCs w:val="21"/>
        </w:rPr>
        <w:t>年代的人相比有较大的减弱趋势；也有人说，信仰的减弱是理论宣传不够所至。而我认为，这种现象的发生，不是对邓小平理论和</w:t>
      </w:r>
      <w:r>
        <w:rPr>
          <w:rFonts w:hint="eastAsia" w:cs="Times New Roman"/>
          <w:color w:val="000000"/>
          <w:sz w:val="21"/>
          <w:szCs w:val="21"/>
          <w:lang w:val="zh-CN" w:eastAsia="zh-CN" w:bidi="zh-CN"/>
        </w:rPr>
        <w:t>“</w:t>
      </w:r>
      <w:r>
        <w:rPr>
          <w:rFonts w:cs="Times New Roman"/>
          <w:color w:val="000000"/>
          <w:sz w:val="21"/>
          <w:szCs w:val="21"/>
          <w:lang w:val="zh-CN" w:eastAsia="zh-CN" w:bidi="zh-CN"/>
        </w:rPr>
        <w:t>三个</w:t>
      </w:r>
      <w:r>
        <w:rPr>
          <w:rFonts w:cs="Times New Roman"/>
          <w:color w:val="000000"/>
          <w:sz w:val="21"/>
          <w:szCs w:val="21"/>
        </w:rPr>
        <w:t>代表”重要思想宣传和学得太少，亦不是基层教育宣传者的个人水平</w:t>
      </w:r>
      <w:r>
        <w:rPr>
          <w:rFonts w:cs="Times New Roman"/>
          <w:i/>
          <w:iCs/>
          <w:color w:val="000000"/>
          <w:sz w:val="21"/>
          <w:szCs w:val="21"/>
        </w:rPr>
        <w:t>燧,</w:t>
      </w:r>
      <w:r>
        <w:rPr>
          <w:rFonts w:cs="Times New Roman"/>
          <w:color w:val="000000"/>
          <w:sz w:val="21"/>
          <w:szCs w:val="21"/>
        </w:rPr>
        <w:t>顚副:的原因在于，理论关节点、所有制、社会生活、宣教效果、州方向、党章和教材内容等多方面存在缺陷。</w:t>
      </w:r>
    </w:p>
    <w:p w14:paraId="7E1DC2A4">
      <w:pPr>
        <w:pStyle w:val="21"/>
        <w:spacing w:line="400" w:lineRule="exact"/>
        <w:ind w:firstLine="440" w:firstLineChars="200"/>
        <w:jc w:val="both"/>
        <w:rPr>
          <w:rFonts w:cs="Times New Roman"/>
          <w:sz w:val="21"/>
          <w:szCs w:val="21"/>
        </w:rPr>
      </w:pPr>
      <w:r>
        <w:rPr>
          <w:rFonts w:cs="Times New Roman"/>
          <w:color w:val="000000"/>
          <w:sz w:val="21"/>
          <w:szCs w:val="21"/>
        </w:rPr>
        <w:t>从经济和社会发展的比较来分析，由于在祖国内地与港台、北朝鲜与南朝鲜、东德与西德、苏联与美日等一些经济比较中存在方法和信息上的问题，因而误认为社会主义不如资本主义，进而怀疑马克思主义。事实上，这些尖端的难题都是可以得到圆满的实证分析和理论解释，从而证明改革前后的社会主义制度均优于资本主义制度，但这类研究成果没有被学术界和官方广泛接受，进而形成对邓小平理论和</w:t>
      </w:r>
      <w:r>
        <w:rPr>
          <w:rFonts w:hint="eastAsia" w:cs="Times New Roman"/>
          <w:color w:val="000000"/>
          <w:sz w:val="21"/>
          <w:szCs w:val="21"/>
          <w:lang w:val="zh-CN" w:eastAsia="zh-CN" w:bidi="zh-CN"/>
        </w:rPr>
        <w:t>“</w:t>
      </w:r>
      <w:r>
        <w:rPr>
          <w:rFonts w:cs="Times New Roman"/>
          <w:color w:val="000000"/>
          <w:sz w:val="21"/>
          <w:szCs w:val="21"/>
          <w:lang w:val="zh-CN" w:eastAsia="zh-CN" w:bidi="zh-CN"/>
        </w:rPr>
        <w:t>三</w:t>
      </w:r>
      <w:r>
        <w:rPr>
          <w:rFonts w:cs="Times New Roman"/>
          <w:color w:val="000000"/>
          <w:sz w:val="21"/>
          <w:szCs w:val="21"/>
        </w:rPr>
        <w:t>个代表”重要思想的认识障碍。</w:t>
      </w:r>
    </w:p>
    <w:p w14:paraId="0528F830">
      <w:pPr>
        <w:pStyle w:val="21"/>
        <w:spacing w:line="400" w:lineRule="exact"/>
        <w:ind w:firstLine="440" w:firstLineChars="200"/>
        <w:jc w:val="both"/>
        <w:rPr>
          <w:rFonts w:cs="Times New Roman"/>
          <w:sz w:val="21"/>
          <w:szCs w:val="21"/>
        </w:rPr>
      </w:pPr>
      <w:r>
        <w:rPr>
          <w:rFonts w:cs="Times New Roman"/>
          <w:color w:val="000000"/>
          <w:sz w:val="21"/>
          <w:szCs w:val="21"/>
        </w:rPr>
        <w:t>就苏联解体的原因来说，党内外和学术界没有形成科学的主导思想。尽管江泽民同志在过去的讲话中曾指出，苏东国家的失败，不是社会主义的失败.而是放弃社会主义的失败。但由于中央没有一个正式文件或一篇文章对此作过系统分析,因而众说纷纭，思想混乱。我赞成中国社科院陈奎元院长在今年</w:t>
      </w:r>
      <w:r>
        <w:rPr>
          <w:rFonts w:cs="Times New Roman"/>
          <w:b/>
          <w:bCs/>
          <w:color w:val="000000"/>
          <w:sz w:val="21"/>
          <w:szCs w:val="21"/>
        </w:rPr>
        <w:t>4</w:t>
      </w:r>
      <w:r>
        <w:rPr>
          <w:rFonts w:cs="Times New Roman"/>
          <w:color w:val="000000"/>
          <w:sz w:val="21"/>
          <w:szCs w:val="21"/>
        </w:rPr>
        <w:t>月</w:t>
      </w:r>
      <w:r>
        <w:rPr>
          <w:rFonts w:cs="Times New Roman"/>
          <w:b/>
          <w:bCs/>
          <w:color w:val="000000"/>
          <w:sz w:val="21"/>
          <w:szCs w:val="21"/>
        </w:rPr>
        <w:t>20</w:t>
      </w:r>
      <w:r>
        <w:rPr>
          <w:rFonts w:cs="Times New Roman"/>
          <w:color w:val="000000"/>
          <w:sz w:val="21"/>
          <w:szCs w:val="21"/>
        </w:rPr>
        <w:t>日《人民日报》的文章所下的结论：</w:t>
      </w:r>
      <w:r>
        <w:rPr>
          <w:rFonts w:hint="eastAsia" w:cs="Times New Roman"/>
          <w:color w:val="000000"/>
          <w:sz w:val="21"/>
          <w:szCs w:val="21"/>
          <w:lang w:val="zh-CN" w:eastAsia="zh-CN" w:bidi="zh-CN"/>
        </w:rPr>
        <w:t>“</w:t>
      </w:r>
      <w:r>
        <w:rPr>
          <w:rFonts w:cs="Times New Roman"/>
          <w:color w:val="000000"/>
          <w:sz w:val="21"/>
          <w:szCs w:val="21"/>
          <w:lang w:val="zh-CN" w:eastAsia="zh-CN" w:bidi="zh-CN"/>
        </w:rPr>
        <w:t>苏共</w:t>
      </w:r>
      <w:r>
        <w:rPr>
          <w:rFonts w:cs="Times New Roman"/>
          <w:color w:val="000000"/>
          <w:sz w:val="21"/>
          <w:szCs w:val="21"/>
        </w:rPr>
        <w:t>丧权、苏联解体，当然有体制僵化、经济缺少活力、决策失误等多方面的原因，但精神信仰的崩溃，在’西化'、资产阶级自由化的冲击下，党和人民的思想陷于混乱，则是更为深刻的根源。”</w:t>
      </w:r>
    </w:p>
    <w:p w14:paraId="16579B4E">
      <w:pPr>
        <w:pStyle w:val="21"/>
        <w:spacing w:line="400" w:lineRule="exact"/>
        <w:ind w:firstLine="440" w:firstLineChars="200"/>
        <w:jc w:val="both"/>
        <w:rPr>
          <w:rFonts w:cs="Times New Roman"/>
          <w:sz w:val="21"/>
          <w:szCs w:val="21"/>
        </w:rPr>
      </w:pPr>
      <w:r>
        <w:rPr>
          <w:rFonts w:cs="Times New Roman"/>
          <w:color w:val="000000"/>
          <w:sz w:val="21"/>
          <w:szCs w:val="21"/>
        </w:rPr>
        <w:t>从存在决定意识,或经济基础决定上层建筑来分析，现在有些地方政府大卖或大送公有企业，而非公有制经济的比重越来越大，再过几年，将达到一半的比例，这自然容易使越来越多的人怀疑坚持以公有制为主体的社会主义的必要性，认为我国即将进入公私对半的</w:t>
      </w:r>
      <w:r>
        <w:rPr>
          <w:rFonts w:hint="eastAsia" w:cs="Times New Roman"/>
          <w:color w:val="000000"/>
          <w:sz w:val="21"/>
          <w:szCs w:val="21"/>
          <w:lang w:val="zh-CN" w:eastAsia="zh-CN" w:bidi="zh-CN"/>
        </w:rPr>
        <w:t>“</w:t>
      </w:r>
      <w:r>
        <w:rPr>
          <w:rFonts w:cs="Times New Roman"/>
          <w:color w:val="000000"/>
          <w:sz w:val="21"/>
          <w:szCs w:val="21"/>
        </w:rPr>
        <w:t>半社会主义、半资本主义”的社会，进而对共产党和马克思主义长期存在的必要性产生怀疑。</w:t>
      </w:r>
    </w:p>
    <w:p w14:paraId="03C5BE15">
      <w:pPr>
        <w:pStyle w:val="21"/>
        <w:spacing w:line="400" w:lineRule="exact"/>
        <w:ind w:firstLine="440" w:firstLineChars="200"/>
        <w:jc w:val="both"/>
        <w:rPr>
          <w:rFonts w:eastAsia="PMingLiU" w:cs="Times New Roman"/>
          <w:sz w:val="21"/>
          <w:szCs w:val="21"/>
        </w:rPr>
      </w:pPr>
      <w:r>
        <w:rPr>
          <w:rFonts w:cs="Times New Roman"/>
          <w:color w:val="000000"/>
          <w:sz w:val="21"/>
          <w:szCs w:val="21"/>
        </w:rPr>
        <w:t>有些善良的同志，以为社会主义初级阶段没有所有制结构的本质规定性，以为意识形态同经济基础没有密切的决定性关联，以为共产党可以长期领导一个以私有制占多数的国家，用这种缺乏历史唯物主义常识的模糊理念去从事改革、宣传和教育工作，势必会加深社会信仰危机的程度。</w:t>
      </w:r>
    </w:p>
    <w:p w14:paraId="7310B680">
      <w:pPr>
        <w:pStyle w:val="21"/>
        <w:spacing w:line="400" w:lineRule="exact"/>
        <w:ind w:firstLine="440" w:firstLineChars="200"/>
        <w:jc w:val="both"/>
        <w:rPr>
          <w:rFonts w:cs="Times New Roman"/>
          <w:sz w:val="21"/>
          <w:szCs w:val="21"/>
        </w:rPr>
      </w:pPr>
      <w:r>
        <w:rPr>
          <w:rFonts w:cs="Times New Roman"/>
          <w:color w:val="000000"/>
          <w:sz w:val="21"/>
          <w:szCs w:val="21"/>
        </w:rPr>
        <w:t>从理论宣传教育的结果来分析，有相当多的人得出</w:t>
      </w:r>
      <w:r>
        <w:rPr>
          <w:rFonts w:hint="eastAsia" w:cs="Times New Roman"/>
          <w:color w:val="000000"/>
          <w:sz w:val="21"/>
          <w:szCs w:val="21"/>
          <w:lang w:val="zh-CN" w:eastAsia="zh-CN" w:bidi="zh-CN"/>
        </w:rPr>
        <w:t>“</w:t>
      </w:r>
      <w:r>
        <w:rPr>
          <w:rFonts w:cs="Times New Roman"/>
          <w:color w:val="000000"/>
          <w:sz w:val="21"/>
          <w:szCs w:val="21"/>
        </w:rPr>
        <w:t>邓小平理论的核心是不姓资、不姓社，只要三个有利于而邓小平在</w:t>
      </w:r>
      <w:r>
        <w:rPr>
          <w:rFonts w:hint="eastAsia" w:cs="Times New Roman"/>
          <w:color w:val="000000"/>
          <w:sz w:val="21"/>
          <w:szCs w:val="21"/>
        </w:rPr>
        <w:t>‘</w:t>
      </w:r>
      <w:r>
        <w:rPr>
          <w:rFonts w:cs="Times New Roman"/>
          <w:color w:val="000000"/>
          <w:sz w:val="21"/>
          <w:szCs w:val="21"/>
        </w:rPr>
        <w:t>三个有利于’前面加的</w:t>
      </w:r>
      <w:r>
        <w:rPr>
          <w:rFonts w:hint="eastAsia" w:cs="Times New Roman"/>
          <w:color w:val="000000"/>
          <w:sz w:val="21"/>
          <w:szCs w:val="21"/>
        </w:rPr>
        <w:t>‘</w:t>
      </w:r>
      <w:r>
        <w:rPr>
          <w:rFonts w:cs="Times New Roman"/>
          <w:color w:val="000000"/>
          <w:sz w:val="21"/>
          <w:szCs w:val="21"/>
        </w:rPr>
        <w:t>社会主义’仅仅是说说而已”,得出”只</w:t>
      </w:r>
      <w:r>
        <w:rPr>
          <w:rFonts w:hint="eastAsia" w:cs="Times New Roman"/>
          <w:color w:val="000000"/>
          <w:sz w:val="21"/>
          <w:szCs w:val="21"/>
        </w:rPr>
        <w:t>要共</w:t>
      </w:r>
      <w:r>
        <w:rPr>
          <w:rFonts w:cs="Times New Roman"/>
          <w:color w:val="000000"/>
          <w:sz w:val="21"/>
          <w:szCs w:val="21"/>
        </w:rPr>
        <w:t>同富裕，而不管</w:t>
      </w:r>
      <w:r>
        <w:rPr>
          <w:rFonts w:hint="eastAsia" w:cs="Times New Roman"/>
          <w:color w:val="000000"/>
          <w:sz w:val="21"/>
          <w:szCs w:val="21"/>
        </w:rPr>
        <w:t>实行</w:t>
      </w:r>
      <w:r>
        <w:rPr>
          <w:rFonts w:cs="Times New Roman"/>
          <w:color w:val="000000"/>
          <w:sz w:val="21"/>
          <w:szCs w:val="21"/>
        </w:rPr>
        <w:t>什么得出</w:t>
      </w:r>
      <w:r>
        <w:rPr>
          <w:rFonts w:hint="eastAsia" w:cs="Times New Roman"/>
          <w:color w:val="000000"/>
          <w:sz w:val="21"/>
          <w:szCs w:val="21"/>
          <w:lang w:val="zh-CN" w:eastAsia="zh-CN" w:bidi="zh-CN"/>
        </w:rPr>
        <w:t>“</w:t>
      </w:r>
      <w:r>
        <w:rPr>
          <w:rFonts w:cs="Times New Roman"/>
          <w:color w:val="000000"/>
          <w:sz w:val="21"/>
          <w:szCs w:val="21"/>
        </w:rPr>
        <w:t>邓小平事实上是要建设有中国特色的资本主义”，甚至得出</w:t>
      </w:r>
      <w:r>
        <w:rPr>
          <w:rFonts w:hint="eastAsia" w:cs="Times New Roman"/>
          <w:color w:val="000000"/>
          <w:sz w:val="21"/>
          <w:szCs w:val="21"/>
          <w:lang w:val="zh-CN" w:eastAsia="zh-CN" w:bidi="zh-CN"/>
        </w:rPr>
        <w:t>“</w:t>
      </w:r>
      <w:r>
        <w:rPr>
          <w:rFonts w:hint="eastAsia" w:cs="Times New Roman"/>
          <w:color w:val="000000"/>
          <w:sz w:val="21"/>
          <w:szCs w:val="21"/>
        </w:rPr>
        <w:t>‘</w:t>
      </w:r>
      <w:r>
        <w:rPr>
          <w:rFonts w:cs="Times New Roman"/>
          <w:color w:val="000000"/>
          <w:sz w:val="21"/>
          <w:szCs w:val="21"/>
          <w:lang w:val="zh-CN" w:eastAsia="zh-CN" w:bidi="zh-CN"/>
        </w:rPr>
        <w:t>三</w:t>
      </w:r>
      <w:r>
        <w:rPr>
          <w:rFonts w:cs="Times New Roman"/>
          <w:color w:val="000000"/>
          <w:sz w:val="21"/>
          <w:szCs w:val="21"/>
        </w:rPr>
        <w:t>个代表’的重要思想同社会党的理论没有本质区别”，他们进而怀疑党的</w:t>
      </w:r>
      <w:r>
        <w:rPr>
          <w:rFonts w:hint="eastAsia" w:cs="Times New Roman"/>
          <w:color w:val="000000"/>
          <w:sz w:val="21"/>
          <w:szCs w:val="21"/>
        </w:rPr>
        <w:t>性质，怀疑</w:t>
      </w:r>
      <w:r>
        <w:rPr>
          <w:rFonts w:cs="Times New Roman"/>
          <w:color w:val="000000"/>
          <w:sz w:val="21"/>
          <w:szCs w:val="21"/>
        </w:rPr>
        <w:t>要建设中国</w:t>
      </w:r>
      <w:r>
        <w:rPr>
          <w:rFonts w:hint="eastAsia" w:cs="Times New Roman"/>
          <w:color w:val="000000"/>
          <w:sz w:val="21"/>
          <w:szCs w:val="21"/>
        </w:rPr>
        <w:t>特色社会主义，怀疑马克思主义。</w:t>
      </w:r>
    </w:p>
    <w:p w14:paraId="66E63B24">
      <w:pPr>
        <w:pStyle w:val="21"/>
        <w:spacing w:line="400" w:lineRule="exact"/>
        <w:ind w:firstLine="440" w:firstLineChars="200"/>
        <w:jc w:val="both"/>
        <w:rPr>
          <w:rFonts w:cs="Times New Roman"/>
          <w:sz w:val="21"/>
          <w:szCs w:val="21"/>
        </w:rPr>
      </w:pPr>
      <w:r>
        <w:rPr>
          <w:rFonts w:cs="Times New Roman"/>
          <w:color w:val="000000"/>
          <w:sz w:val="21"/>
          <w:szCs w:val="21"/>
        </w:rPr>
        <w:t>这就提醒我们应该反思：为什么占用这么多的资源，花费这么多的精力，作了这么长时间的宣传教育，竟然还有日渐增多的重要人士和社会公众形成了截然相反的思想结论。类似的状况并非罕见。其缘由，除了上述所有制结构变动的因素影响之外，与理论宣传教育上的逻辑矛盾性、片面性和空泛性，也有直接的关系。这就提示有关高层部门，必须集思广益、与时俱进地重新审视某些现存理论，重新探究宣传教育的针对性、策略性和有效性。</w:t>
      </w:r>
    </w:p>
    <w:p w14:paraId="4521BAC0">
      <w:pPr>
        <w:pStyle w:val="21"/>
        <w:spacing w:line="400" w:lineRule="exact"/>
        <w:ind w:firstLine="440" w:firstLineChars="200"/>
        <w:jc w:val="both"/>
        <w:rPr>
          <w:rFonts w:cs="Times New Roman"/>
          <w:sz w:val="21"/>
          <w:szCs w:val="21"/>
        </w:rPr>
      </w:pPr>
      <w:r>
        <w:rPr>
          <w:rFonts w:cs="Times New Roman"/>
          <w:color w:val="000000"/>
          <w:sz w:val="21"/>
          <w:szCs w:val="21"/>
        </w:rPr>
        <w:t>从课程和教师的比例来分析，少量的公共理论课宣传了马克思</w:t>
      </w:r>
      <w:r>
        <w:rPr>
          <w:rFonts w:hint="eastAsia" w:cs="Times New Roman"/>
          <w:color w:val="000000"/>
          <w:sz w:val="21"/>
          <w:szCs w:val="21"/>
        </w:rPr>
        <w:t>主义</w:t>
      </w:r>
      <w:r>
        <w:rPr>
          <w:rFonts w:cs="Times New Roman"/>
          <w:color w:val="000000"/>
          <w:sz w:val="21"/>
          <w:szCs w:val="21"/>
        </w:rPr>
        <w:t>、</w:t>
      </w:r>
      <w:r>
        <w:rPr>
          <w:rFonts w:hint="eastAsia" w:cs="Times New Roman"/>
          <w:color w:val="000000"/>
          <w:sz w:val="21"/>
          <w:szCs w:val="21"/>
        </w:rPr>
        <w:t>社会主义和共产党</w:t>
      </w:r>
      <w:r>
        <w:rPr>
          <w:rFonts w:cs="Times New Roman"/>
          <w:color w:val="000000"/>
          <w:sz w:val="21"/>
          <w:szCs w:val="21"/>
        </w:rPr>
        <w:t>的思想和主张，而又有不少</w:t>
      </w:r>
      <w:r>
        <w:rPr>
          <w:rFonts w:hint="eastAsia" w:cs="Times New Roman"/>
          <w:color w:val="000000"/>
          <w:sz w:val="21"/>
          <w:szCs w:val="21"/>
        </w:rPr>
        <w:t>社会科学</w:t>
      </w:r>
      <w:r>
        <w:rPr>
          <w:rFonts w:cs="Times New Roman"/>
          <w:color w:val="000000"/>
          <w:sz w:val="21"/>
          <w:szCs w:val="21"/>
        </w:rPr>
        <w:t>的专业课或多或少地作了反宣传。</w:t>
      </w:r>
      <w:r>
        <w:rPr>
          <w:rFonts w:hint="eastAsia" w:cs="Times New Roman"/>
          <w:color w:val="000000"/>
          <w:sz w:val="21"/>
          <w:szCs w:val="21"/>
        </w:rPr>
        <w:t>譬如</w:t>
      </w:r>
      <w:r>
        <w:rPr>
          <w:rFonts w:cs="Times New Roman"/>
          <w:color w:val="000000"/>
          <w:sz w:val="21"/>
          <w:szCs w:val="21"/>
        </w:rPr>
        <w:t>有些学者在西方学了西方经济学等专业，回国后没有继续学习和掌握马克思主义经济学等课程，而当时使用的西方经济学等教材又是</w:t>
      </w:r>
      <w:r>
        <w:rPr>
          <w:rFonts w:hint="eastAsia" w:cs="Times New Roman"/>
          <w:color w:val="000000"/>
          <w:sz w:val="21"/>
          <w:szCs w:val="21"/>
        </w:rPr>
        <w:t>原版</w:t>
      </w:r>
      <w:r>
        <w:rPr>
          <w:rFonts w:cs="Times New Roman"/>
          <w:color w:val="000000"/>
          <w:sz w:val="21"/>
          <w:szCs w:val="21"/>
        </w:rPr>
        <w:t>的，这样,他们在</w:t>
      </w:r>
      <w:r>
        <w:rPr>
          <w:rFonts w:hint="eastAsia" w:cs="Times New Roman"/>
          <w:color w:val="000000"/>
          <w:sz w:val="21"/>
          <w:szCs w:val="21"/>
        </w:rPr>
        <w:t>给学生上课时</w:t>
      </w:r>
      <w:r>
        <w:rPr>
          <w:rFonts w:cs="Times New Roman"/>
          <w:color w:val="000000"/>
          <w:sz w:val="21"/>
          <w:szCs w:val="21"/>
        </w:rPr>
        <w:t>，便自</w:t>
      </w:r>
      <w:r>
        <w:rPr>
          <w:rFonts w:hint="eastAsia" w:cs="Times New Roman"/>
          <w:color w:val="000000"/>
          <w:sz w:val="21"/>
          <w:szCs w:val="21"/>
        </w:rPr>
        <w:t>觉不自觉的做了</w:t>
      </w:r>
      <w:r>
        <w:rPr>
          <w:rFonts w:cs="Times New Roman"/>
          <w:color w:val="000000"/>
          <w:sz w:val="21"/>
          <w:szCs w:val="21"/>
        </w:rPr>
        <w:t>反教育。这个问题极为</w:t>
      </w:r>
      <w:r>
        <w:rPr>
          <w:rFonts w:hint="eastAsia" w:cs="Times New Roman"/>
          <w:color w:val="000000"/>
          <w:sz w:val="21"/>
          <w:szCs w:val="21"/>
        </w:rPr>
        <w:t>普遍</w:t>
      </w:r>
      <w:r>
        <w:rPr>
          <w:rFonts w:cs="Times New Roman"/>
          <w:color w:val="000000"/>
          <w:sz w:val="21"/>
          <w:szCs w:val="21"/>
        </w:rPr>
        <w:t>。可见,</w:t>
      </w:r>
      <w:r>
        <w:rPr>
          <w:rFonts w:hint="eastAsia" w:cs="Times New Roman"/>
          <w:color w:val="000000"/>
          <w:sz w:val="21"/>
          <w:szCs w:val="21"/>
        </w:rPr>
        <w:t>使用和重用自然科学人才同使用和重用社会科学人才</w:t>
      </w:r>
      <w:r>
        <w:rPr>
          <w:rFonts w:cs="Times New Roman"/>
          <w:color w:val="000000"/>
          <w:sz w:val="21"/>
          <w:szCs w:val="21"/>
        </w:rPr>
        <w:t>，是有不同特点的。如果执政党不掌握这一人才的发展规律，在实施人才强国战略中将有可能自乱阵脚，适得其反。</w:t>
      </w:r>
    </w:p>
    <w:p w14:paraId="5E1F94FC">
      <w:pPr>
        <w:pStyle w:val="21"/>
        <w:spacing w:line="400" w:lineRule="exact"/>
        <w:ind w:firstLine="440" w:firstLineChars="200"/>
        <w:jc w:val="both"/>
        <w:rPr>
          <w:rFonts w:cs="Times New Roman"/>
          <w:sz w:val="21"/>
          <w:szCs w:val="21"/>
        </w:rPr>
      </w:pPr>
      <w:r>
        <w:rPr>
          <w:rFonts w:cs="Times New Roman"/>
          <w:color w:val="000000"/>
          <w:sz w:val="21"/>
          <w:szCs w:val="21"/>
        </w:rPr>
        <w:t>从党章和文科教材来分析，党章和现用教材中都没有关于什么是共产主义的定义及其基本特征的阐述。</w:t>
      </w:r>
      <w:r>
        <w:rPr>
          <w:rFonts w:cs="Times New Roman"/>
          <w:b/>
          <w:bCs/>
          <w:color w:val="000000"/>
          <w:sz w:val="21"/>
          <w:szCs w:val="21"/>
        </w:rPr>
        <w:t>20</w:t>
      </w:r>
      <w:r>
        <w:rPr>
          <w:rFonts w:cs="Times New Roman"/>
          <w:color w:val="000000"/>
          <w:sz w:val="21"/>
          <w:szCs w:val="21"/>
        </w:rPr>
        <w:t>世纪</w:t>
      </w:r>
      <w:r>
        <w:rPr>
          <w:rFonts w:cs="Times New Roman"/>
          <w:b/>
          <w:bCs/>
          <w:color w:val="000000"/>
          <w:sz w:val="21"/>
          <w:szCs w:val="21"/>
        </w:rPr>
        <w:t>80</w:t>
      </w:r>
      <w:r>
        <w:rPr>
          <w:rFonts w:cs="Times New Roman"/>
          <w:color w:val="000000"/>
          <w:sz w:val="21"/>
          <w:szCs w:val="21"/>
        </w:rPr>
        <w:t>年代上半期，政治经济学和</w:t>
      </w:r>
      <w:r>
        <w:rPr>
          <w:rFonts w:cs="Times New Roman"/>
          <w:color w:val="000000"/>
          <w:sz w:val="21"/>
          <w:szCs w:val="21"/>
          <w:lang w:val="zh-CN" w:eastAsia="zh-CN" w:bidi="zh-CN"/>
        </w:rPr>
        <w:t>科轲会</w:t>
      </w:r>
      <w:r>
        <w:rPr>
          <w:rFonts w:cs="Times New Roman"/>
          <w:color w:val="000000"/>
          <w:sz w:val="21"/>
          <w:szCs w:val="21"/>
        </w:rPr>
        <w:t>叡等教材还有关于共产主义基本特征的简短论述，后来几乎将其全部删去，仅仅孤立地阐述社会主义初级阶段。这导致日益增多的教育者和被教育者，认为共产主义的经济制度特征和本质规定是讲不清楚的。如果生产资料的全社会共同所有制和按需分配都不算共产主义经济制度特征和本质规定，而只是追求在物质财富、思想精神和人的发展三个方面的极</w:t>
      </w:r>
      <w:r>
        <w:rPr>
          <w:rFonts w:hint="eastAsia" w:cs="Times New Roman"/>
          <w:color w:val="000000"/>
          <w:sz w:val="21"/>
          <w:szCs w:val="21"/>
        </w:rPr>
        <w:t>大提高</w:t>
      </w:r>
      <w:r>
        <w:rPr>
          <w:rFonts w:cs="Times New Roman"/>
          <w:color w:val="000000"/>
          <w:sz w:val="21"/>
          <w:szCs w:val="21"/>
        </w:rPr>
        <w:t>，这是不是用抽象特征来取代基本特征？脱离马克思文本所规定的经济制度本质特征而单纯谈论这三个抽象特征，又怎么使人清晰地得知将为此奋</w:t>
      </w:r>
      <w:r>
        <w:rPr>
          <w:rFonts w:cs="Times New Roman"/>
          <w:color w:val="000000"/>
          <w:sz w:val="21"/>
          <w:szCs w:val="21"/>
          <w:lang w:val="zh-CN" w:eastAsia="zh-CN" w:bidi="zh-CN"/>
        </w:rPr>
        <w:t>斗一生</w:t>
      </w:r>
      <w:r>
        <w:rPr>
          <w:rFonts w:cs="Times New Roman"/>
          <w:color w:val="000000"/>
          <w:sz w:val="21"/>
          <w:szCs w:val="21"/>
        </w:rPr>
        <w:t>的共产主义目标的确切内容呢？事实上，在马克思原创学说里，关于共产主义的三个抽象特征是以生产资料的全社会共同所有制和按需分配等基本特征为基础来统一描绘的。</w:t>
      </w:r>
    </w:p>
    <w:p w14:paraId="7E97FCE3">
      <w:pPr>
        <w:pStyle w:val="21"/>
        <w:spacing w:line="400" w:lineRule="exact"/>
        <w:ind w:firstLine="440" w:firstLineChars="200"/>
        <w:jc w:val="both"/>
        <w:rPr>
          <w:rFonts w:cs="Times New Roman"/>
          <w:sz w:val="21"/>
          <w:szCs w:val="21"/>
        </w:rPr>
      </w:pPr>
      <w:r>
        <w:rPr>
          <w:rFonts w:cs="Times New Roman"/>
          <w:sz w:val="21"/>
          <w:szCs w:val="21"/>
        </w:rPr>
        <w:t>（原载《社会科学报》，2004年6月24日）</w:t>
      </w:r>
    </w:p>
    <w:p w14:paraId="7BD19E7B">
      <w:pPr>
        <w:spacing w:line="300" w:lineRule="auto"/>
        <w:ind w:firstLine="440" w:firstLineChars="200"/>
        <w:rPr>
          <w:rFonts w:ascii="宋体" w:hAnsi="宋体" w:eastAsia="宋体" w:cs="Times New Roman"/>
          <w:szCs w:val="21"/>
          <w:lang w:eastAsia="zh-TW"/>
        </w:rPr>
      </w:pPr>
      <w:r>
        <w:rPr>
          <w:rFonts w:ascii="宋体" w:hAnsi="宋体" w:eastAsia="宋体" w:cs="Times New Roman"/>
          <w:szCs w:val="21"/>
          <w:lang w:eastAsia="zh-TW"/>
        </w:rPr>
        <w:br w:type="page"/>
      </w:r>
    </w:p>
    <w:p w14:paraId="5CA29303">
      <w:pPr>
        <w:spacing w:line="300" w:lineRule="auto"/>
        <w:ind w:firstLine="440" w:firstLineChars="200"/>
        <w:rPr>
          <w:rFonts w:ascii="宋体" w:hAnsi="宋体" w:eastAsia="宋体" w:cs="Times New Roman"/>
          <w:szCs w:val="21"/>
          <w:lang w:eastAsia="zh-TW"/>
        </w:rPr>
      </w:pPr>
    </w:p>
    <w:p w14:paraId="15F0AE8F">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349" w:name="_Toc7095"/>
      <w:bookmarkStart w:id="350" w:name="_Toc110957410"/>
      <w:bookmarkStart w:id="351" w:name="_Toc27984"/>
      <w:bookmarkStart w:id="352" w:name="_Toc403030275"/>
      <w:bookmarkStart w:id="353" w:name="_Toc608338833"/>
      <w:bookmarkStart w:id="354" w:name="_Toc8585"/>
      <w:bookmarkStart w:id="355" w:name="_Toc329173718"/>
      <w:bookmarkStart w:id="356" w:name="_Toc93074559"/>
      <w:r>
        <w:rPr>
          <w:rFonts w:ascii="黑体" w:hAnsi="黑体" w:eastAsia="黑体" w:cs="Times New Roman"/>
          <w:color w:val="000000" w:themeColor="text1"/>
          <w:kern w:val="0"/>
          <w:sz w:val="32"/>
          <w:szCs w:val="32"/>
          <w:lang w:bidi="ar"/>
          <w14:textFill>
            <w14:solidFill>
              <w14:schemeClr w14:val="tx1"/>
            </w14:solidFill>
          </w14:textFill>
        </w:rPr>
        <w:t>用什么经济理</w:t>
      </w:r>
      <w:r>
        <w:rPr>
          <w:rFonts w:ascii="黑体" w:hAnsi="黑体" w:eastAsia="黑体" w:cs="Times New Roman"/>
          <w:color w:val="000000"/>
          <w:kern w:val="0"/>
          <w:sz w:val="32"/>
          <w:szCs w:val="32"/>
          <w:lang w:bidi="ar"/>
        </w:rPr>
        <w:t>论驾驭中国特色社会主义经济建设</w:t>
      </w:r>
      <w:bookmarkEnd w:id="349"/>
      <w:bookmarkStart w:id="357" w:name="_Toc29602"/>
      <w:r>
        <w:rPr>
          <w:rFonts w:ascii="黑体" w:hAnsi="黑体" w:eastAsia="黑体" w:cs="Times New Roman"/>
          <w:color w:val="000000"/>
          <w:kern w:val="0"/>
          <w:sz w:val="32"/>
          <w:szCs w:val="32"/>
          <w:lang w:bidi="ar"/>
        </w:rPr>
        <w:t>——与王东京教授商榷</w:t>
      </w:r>
      <w:bookmarkEnd w:id="350"/>
      <w:bookmarkEnd w:id="351"/>
      <w:bookmarkEnd w:id="352"/>
      <w:bookmarkEnd w:id="353"/>
      <w:bookmarkEnd w:id="357"/>
    </w:p>
    <w:p w14:paraId="32CB4628">
      <w:pPr>
        <w:spacing w:line="400" w:lineRule="exact"/>
        <w:ind w:firstLine="440" w:firstLineChars="200"/>
        <w:rPr>
          <w:rFonts w:ascii="宋体" w:hAnsi="宋体" w:eastAsia="宋体" w:cs="Times New Roman"/>
        </w:rPr>
      </w:pPr>
      <w:r>
        <w:rPr>
          <w:rFonts w:ascii="宋体" w:hAnsi="宋体" w:eastAsia="宋体" w:cs="Times New Roman"/>
        </w:rPr>
        <w:t>摘要:驾驭中国特色的社会主义经济建设,要用马克思主义,用邓小平理论、</w:t>
      </w:r>
      <w:r>
        <w:rPr>
          <w:rFonts w:hint="eastAsia" w:ascii="宋体" w:hAnsi="宋体" w:eastAsia="宋体" w:cs="Times New Roman"/>
        </w:rPr>
        <w:t>“</w:t>
      </w:r>
      <w:r>
        <w:rPr>
          <w:rFonts w:ascii="宋体" w:hAnsi="宋体" w:eastAsia="宋体" w:cs="Times New Roman"/>
        </w:rPr>
        <w:t>三个代表”重要思想及现代社会主义政治经济学的基本理论,而不能用现代西方经济学的基本理论。现代西方经济学关于经济人的理论、只保护个人产权的理论、资源稀缺的理论是错误的或片面的。社会主义中国的主流经济学不是现代西方经济学,而是以马克思主义为指导的中国现代政治经济学。</w:t>
      </w:r>
      <w:r>
        <w:rPr>
          <w:rFonts w:hint="eastAsia" w:ascii="宋体" w:hAnsi="宋体" w:eastAsia="宋体" w:cs="Times New Roman"/>
        </w:rPr>
        <w:t>“</w:t>
      </w:r>
      <w:r>
        <w:rPr>
          <w:rFonts w:ascii="宋体" w:hAnsi="宋体" w:eastAsia="宋体" w:cs="Times New Roman"/>
        </w:rPr>
        <w:t>以马克思主义为指导”不应成为无用的口号和标签。</w:t>
      </w:r>
    </w:p>
    <w:p w14:paraId="4F6F3386">
      <w:pPr>
        <w:spacing w:line="400" w:lineRule="exact"/>
        <w:ind w:firstLine="440" w:firstLineChars="200"/>
        <w:rPr>
          <w:rFonts w:ascii="宋体" w:hAnsi="宋体" w:eastAsia="宋体" w:cs="Times New Roman"/>
        </w:rPr>
      </w:pPr>
      <w:r>
        <w:rPr>
          <w:rFonts w:ascii="宋体" w:hAnsi="宋体" w:eastAsia="宋体" w:cs="Times New Roman"/>
        </w:rPr>
        <w:t>关键词:马克思主义经济学;现代西方经济学;中国特色社会主义经济</w:t>
      </w:r>
    </w:p>
    <w:p w14:paraId="00B5A0D7">
      <w:pPr>
        <w:spacing w:line="400" w:lineRule="exact"/>
        <w:ind w:firstLine="440" w:firstLineChars="200"/>
        <w:rPr>
          <w:rFonts w:ascii="宋体" w:hAnsi="宋体" w:eastAsia="宋体" w:cs="Times New Roman"/>
        </w:rPr>
      </w:pPr>
    </w:p>
    <w:p w14:paraId="3AE83264">
      <w:pPr>
        <w:spacing w:line="400" w:lineRule="exact"/>
        <w:ind w:firstLine="440" w:firstLineChars="200"/>
        <w:rPr>
          <w:rFonts w:ascii="宋体" w:hAnsi="宋体" w:eastAsia="宋体" w:cs="Times New Roman"/>
        </w:rPr>
      </w:pPr>
      <w:r>
        <w:rPr>
          <w:rFonts w:ascii="宋体" w:hAnsi="宋体" w:eastAsia="宋体" w:cs="Times New Roman"/>
        </w:rPr>
        <w:t>改革开放以来,中国特色社会主义经济建设取得了举世瞩目的成就。我国正在逐步完善社会主义市场经济体制,加速实现全面小康和社会主义现代化,但同时也面临不少问题,如我国经济建设的成就是在什么理论指导下取得的?今后应用什么经济理论来驾驭我国的经济体制改革和经济发展?对这些问题的认识﹐目前经济学界就存在重大分歧。在这些大是大非的基本理论和方向性问题上,笔者不赞成《驾驭经济的理论支点王东京教授在中央党校省部级干部班上的讲演》[1]一文的基本观点。</w:t>
      </w:r>
    </w:p>
    <w:p w14:paraId="3C771D53">
      <w:pPr>
        <w:spacing w:line="400" w:lineRule="exact"/>
        <w:ind w:firstLine="500" w:firstLineChars="200"/>
        <w:jc w:val="center"/>
        <w:rPr>
          <w:rFonts w:ascii="宋体" w:hAnsi="宋体" w:eastAsia="宋体" w:cs="Times New Roman"/>
          <w:b/>
          <w:bCs/>
          <w:sz w:val="24"/>
          <w:szCs w:val="28"/>
        </w:rPr>
      </w:pPr>
      <w:bookmarkStart w:id="358" w:name="_Toc11290"/>
      <w:bookmarkStart w:id="359" w:name="_Toc5892"/>
      <w:r>
        <w:rPr>
          <w:rFonts w:ascii="宋体" w:hAnsi="宋体" w:eastAsia="宋体" w:cs="Times New Roman"/>
          <w:b/>
          <w:bCs/>
          <w:sz w:val="24"/>
          <w:szCs w:val="28"/>
        </w:rPr>
        <w:t>一、用什么理论驾驭社会主义经济改革和发展?</w:t>
      </w:r>
      <w:bookmarkEnd w:id="358"/>
      <w:bookmarkEnd w:id="359"/>
    </w:p>
    <w:p w14:paraId="012A41C7">
      <w:pPr>
        <w:spacing w:line="400" w:lineRule="exact"/>
        <w:ind w:firstLine="440" w:firstLineChars="200"/>
        <w:rPr>
          <w:rFonts w:ascii="宋体" w:hAnsi="宋体" w:eastAsia="宋体" w:cs="Times New Roman"/>
        </w:rPr>
      </w:pPr>
      <w:r>
        <w:rPr>
          <w:rFonts w:ascii="宋体" w:hAnsi="宋体" w:eastAsia="宋体" w:cs="Times New Roman"/>
        </w:rPr>
        <w:t>当前,有人把以往经济体制下的弊端主要归咎于马克思主义和公有产权制度,而把社会主义改革和发展的业绩主要归功于现代西方经济学和私有产权制度,并以此来预言或引领我国下一步的改革和发展。这是有悖于事实和十分危险的思想倾向。我们与这种观点的分歧主要表现在</w:t>
      </w:r>
      <w:r>
        <w:rPr>
          <w:rFonts w:hint="eastAsia" w:ascii="宋体" w:hAnsi="宋体" w:eastAsia="宋体" w:cs="宋体"/>
        </w:rPr>
        <w:t>∶</w:t>
      </w:r>
    </w:p>
    <w:p w14:paraId="52B41BAF">
      <w:pPr>
        <w:spacing w:line="400" w:lineRule="exact"/>
        <w:ind w:firstLine="440" w:firstLineChars="200"/>
        <w:rPr>
          <w:rFonts w:ascii="宋体" w:hAnsi="宋体" w:eastAsia="宋体" w:cs="Times New Roman"/>
        </w:rPr>
      </w:pPr>
      <w:r>
        <w:rPr>
          <w:rFonts w:ascii="宋体" w:hAnsi="宋体" w:eastAsia="宋体" w:cs="Times New Roman"/>
        </w:rPr>
        <w:t>(一)我认为，驾驭中国特色社会主义经济及其各项具体工作，要用马克思主义，用邓小平理论、</w:t>
      </w:r>
      <w:r>
        <w:rPr>
          <w:rFonts w:hint="eastAsia" w:ascii="宋体" w:hAnsi="宋体" w:eastAsia="宋体" w:cs="Times New Roman"/>
        </w:rPr>
        <w:t>“</w:t>
      </w:r>
      <w:r>
        <w:rPr>
          <w:rFonts w:ascii="宋体" w:hAnsi="宋体" w:eastAsia="宋体" w:cs="Times New Roman"/>
        </w:rPr>
        <w:t>三个代表”重要思想，用现代社会主义政治经济学的基本理论，而王东京教授认为要用现代西方经济学的基本理论○他在文中写道:</w:t>
      </w:r>
      <w:r>
        <w:rPr>
          <w:rFonts w:hint="eastAsia" w:ascii="宋体" w:hAnsi="宋体" w:eastAsia="宋体" w:cs="Times New Roman"/>
        </w:rPr>
        <w:t xml:space="preserve"> “</w:t>
      </w:r>
      <w:r>
        <w:rPr>
          <w:rFonts w:ascii="宋体" w:hAnsi="宋体" w:eastAsia="宋体" w:cs="Times New Roman"/>
        </w:rPr>
        <w:t>现代经济学里,真正基本的、管用的理论,我认为就是三个假定、三个原理。这三个假定是:经济人假定、资源稀缺假定和保护个人产权假定;与此大致对应,便是三个原理:利润最大化原理、供求原理和等价交换原理。这六条,简单得令人吃惊,但却是经济学智慧的结晶,用个时髦词语,是精髓。……经济学的基本理论,是自亚当·斯密以来经济学家的共同智慧,是人类社会有用的文明成果。”这里,我们应当讨论和厘清两个关键问题:</w:t>
      </w:r>
    </w:p>
    <w:p w14:paraId="6155C63C">
      <w:pPr>
        <w:spacing w:line="400" w:lineRule="exact"/>
        <w:ind w:firstLine="440" w:firstLineChars="200"/>
        <w:rPr>
          <w:rFonts w:ascii="宋体" w:hAnsi="宋体" w:eastAsia="宋体" w:cs="Times New Roman"/>
        </w:rPr>
      </w:pPr>
      <w:r>
        <w:rPr>
          <w:rFonts w:ascii="宋体" w:hAnsi="宋体" w:eastAsia="宋体" w:cs="Times New Roman"/>
        </w:rPr>
        <w:t>第一,现代西方经济学等于现代经济学吗﹖不少论著人云亦云地把现代西方经济学说成是现代经济学,把与时俱进的马克思主义经济学、社会主义政治经济学说成是传统经济学,不承认政治经济学是一门社会科学,甚至不承认是一种学术。在一本获国家图书奖提名奖的流行读本《经济学是什么》中,在许多取名为《现代经济学》实为现代西方经济学的教材中﹐均可见到此类状况。事实上,即使在美国、欧洲、日本、韩国和发展中的资本主义国家,马克思主义经济学家或左翼经济学家也认为﹐现代经济学包括具有马克思主义倾向的</w:t>
      </w:r>
      <w:r>
        <w:rPr>
          <w:rFonts w:hint="eastAsia" w:ascii="宋体" w:hAnsi="宋体" w:eastAsia="宋体" w:cs="Times New Roman"/>
        </w:rPr>
        <w:t>“</w:t>
      </w:r>
      <w:r>
        <w:rPr>
          <w:rFonts w:ascii="宋体" w:hAnsi="宋体" w:eastAsia="宋体" w:cs="Times New Roman"/>
        </w:rPr>
        <w:t>激进经济学”或</w:t>
      </w:r>
      <w:r>
        <w:rPr>
          <w:rFonts w:hint="eastAsia" w:ascii="宋体" w:hAnsi="宋体" w:eastAsia="宋体" w:cs="Times New Roman"/>
        </w:rPr>
        <w:t>“</w:t>
      </w:r>
      <w:r>
        <w:rPr>
          <w:rFonts w:ascii="宋体" w:hAnsi="宋体" w:eastAsia="宋体" w:cs="Times New Roman"/>
        </w:rPr>
        <w:t>社会经济学”等，他们抨现代西方主流经济学是反映大资产阶级利益的经济意识形态和经济学体系。倘若我们抱着</w:t>
      </w:r>
      <w:r>
        <w:rPr>
          <w:rFonts w:hint="eastAsia" w:ascii="宋体" w:hAnsi="宋体" w:eastAsia="宋体" w:cs="Times New Roman"/>
        </w:rPr>
        <w:t>“</w:t>
      </w:r>
      <w:r>
        <w:rPr>
          <w:rFonts w:ascii="宋体" w:hAnsi="宋体" w:eastAsia="宋体" w:cs="Times New Roman"/>
        </w:rPr>
        <w:t>盲目接轨心态”,稀里糊涂地接受和宣传西方经济学的观点,就必然加重学术信仰危机,并导致政治信仰危机。现代经济学主要分为现代马克思主义经济学和现代资产阶级经济学两大学派,尽管两者都有阐述生产一般和市场经济一般的非阶级利益的内容,有互相沟通和互相吸收的部分。当我们不再经常使用.西方资产阶级经济学</w:t>
      </w:r>
      <w:r>
        <w:rPr>
          <w:rFonts w:hint="eastAsia" w:ascii="宋体" w:hAnsi="宋体" w:eastAsia="宋体" w:cs="Times New Roman"/>
        </w:rPr>
        <w:t>“</w:t>
      </w:r>
      <w:r>
        <w:rPr>
          <w:rFonts w:ascii="宋体" w:hAnsi="宋体" w:eastAsia="宋体" w:cs="Times New Roman"/>
        </w:rPr>
        <w:t>而将其简称.西方经济学”时,不能忘记其含有的资产阶级客观属性和理论特征。</w:t>
      </w:r>
    </w:p>
    <w:p w14:paraId="40956718">
      <w:pPr>
        <w:spacing w:line="400" w:lineRule="exact"/>
        <w:ind w:firstLine="440" w:firstLineChars="200"/>
        <w:rPr>
          <w:rFonts w:ascii="宋体" w:hAnsi="宋体" w:eastAsia="宋体" w:cs="Times New Roman"/>
        </w:rPr>
      </w:pPr>
      <w:r>
        <w:rPr>
          <w:rFonts w:ascii="宋体" w:hAnsi="宋体" w:eastAsia="宋体" w:cs="Times New Roman"/>
        </w:rPr>
        <w:t>第二,现代西方经济学真的如王东京教授所说的那样很</w:t>
      </w:r>
      <w:r>
        <w:rPr>
          <w:rFonts w:hint="eastAsia" w:ascii="宋体" w:hAnsi="宋体" w:eastAsia="宋体" w:cs="Times New Roman"/>
        </w:rPr>
        <w:t>“</w:t>
      </w:r>
      <w:r>
        <w:rPr>
          <w:rFonts w:ascii="宋体" w:hAnsi="宋体" w:eastAsia="宋体" w:cs="Times New Roman"/>
        </w:rPr>
        <w:t>实用”、</w:t>
      </w:r>
      <w:r>
        <w:rPr>
          <w:rFonts w:hint="eastAsia" w:ascii="宋体" w:hAnsi="宋体" w:eastAsia="宋体" w:cs="Times New Roman"/>
        </w:rPr>
        <w:t xml:space="preserve"> “</w:t>
      </w:r>
      <w:r>
        <w:rPr>
          <w:rFonts w:ascii="宋体" w:hAnsi="宋体" w:eastAsia="宋体" w:cs="Times New Roman"/>
        </w:rPr>
        <w:t>管用”吗?现代西方经济学的实用、管用具有双重性,即既有不断调整经济关系和经济政策,缓和资本主义内外经济矛盾,促使资本主义世界的科技和经济总体向前发展的一面;又有维护和延续全球资本主义私有制和经济剥削,控制别国经济和掠夺世界财富,直至运用新自由主义经济学的.华盛顿共识”、</w:t>
      </w:r>
      <w:r>
        <w:rPr>
          <w:rFonts w:hint="eastAsia" w:ascii="宋体" w:hAnsi="宋体" w:eastAsia="宋体" w:cs="Times New Roman"/>
        </w:rPr>
        <w:t xml:space="preserve"> “</w:t>
      </w:r>
      <w:r>
        <w:rPr>
          <w:rFonts w:ascii="宋体" w:hAnsi="宋体" w:eastAsia="宋体" w:cs="Times New Roman"/>
        </w:rPr>
        <w:t>休克疗法”和</w:t>
      </w:r>
      <w:r>
        <w:rPr>
          <w:rFonts w:hint="eastAsia" w:ascii="宋体" w:hAnsi="宋体" w:eastAsia="宋体" w:cs="Times New Roman"/>
        </w:rPr>
        <w:t>“</w:t>
      </w:r>
      <w:r>
        <w:rPr>
          <w:rFonts w:ascii="宋体" w:hAnsi="宋体" w:eastAsia="宋体" w:cs="Times New Roman"/>
        </w:rPr>
        <w:t>.广场协议”等,来搞乱推行其学说及其政策的一大批国家的国民经济这一面。自然,其中反映社会化大生产、市场经济和经济全球化的一般理论、一般政策以及一般研究方法,如王东京教授列举的利益最大化原理、供求原理、等价交换原理(含成本收益分析方法等),从字面上或最一般意义上说确实是有用的。而对于这些问题,经典马克思主义和现代马克思主义政治经济学不也是或多或少、甚至重点阐明过吗9马克思对此的分析难道比资产阶级经济学家如英国的亚当.斯密和穆勒父子、法国的魁奈和萨伊、德国的李斯特和罗雪尔等少吗9</w:t>
      </w:r>
    </w:p>
    <w:p w14:paraId="0B3B6A63">
      <w:pPr>
        <w:spacing w:line="400" w:lineRule="exact"/>
        <w:ind w:firstLine="440" w:firstLineChars="200"/>
        <w:rPr>
          <w:rFonts w:ascii="宋体" w:hAnsi="宋体" w:eastAsia="宋体" w:cs="Times New Roman"/>
        </w:rPr>
      </w:pPr>
      <w:r>
        <w:rPr>
          <w:rFonts w:ascii="宋体" w:hAnsi="宋体" w:eastAsia="宋体" w:cs="Times New Roman"/>
        </w:rPr>
        <w:t>现代西方经济学的</w:t>
      </w:r>
      <w:r>
        <w:rPr>
          <w:rFonts w:hint="eastAsia" w:ascii="宋体" w:hAnsi="宋体" w:eastAsia="宋体" w:cs="Times New Roman"/>
        </w:rPr>
        <w:t>“</w:t>
      </w:r>
      <w:r>
        <w:rPr>
          <w:rFonts w:ascii="宋体" w:hAnsi="宋体" w:eastAsia="宋体" w:cs="Times New Roman"/>
        </w:rPr>
        <w:t>不实用”和</w:t>
      </w:r>
      <w:r>
        <w:rPr>
          <w:rFonts w:hint="eastAsia" w:ascii="宋体" w:hAnsi="宋体" w:eastAsia="宋体" w:cs="Times New Roman"/>
        </w:rPr>
        <w:t>“</w:t>
      </w:r>
      <w:r>
        <w:rPr>
          <w:rFonts w:ascii="宋体" w:hAnsi="宋体" w:eastAsia="宋体" w:cs="Times New Roman"/>
        </w:rPr>
        <w:t>不管用”也有两个主要表现:一是过分依赖多变的或远离现实的假设进行抽象的模型分析和数理推导,大大减弱了理论经济学理应具有的现实性,就连凯恩斯、列昂节夫、加尔布雷思、缪尔达尔、科斯等现代西方经济学大师也确认它是.黑板经济学”、</w:t>
      </w:r>
      <w:r>
        <w:rPr>
          <w:rFonts w:hint="eastAsia" w:ascii="宋体" w:hAnsi="宋体" w:eastAsia="宋体" w:cs="Times New Roman"/>
        </w:rPr>
        <w:t xml:space="preserve"> “</w:t>
      </w:r>
      <w:r>
        <w:rPr>
          <w:rFonts w:ascii="宋体" w:hAnsi="宋体" w:eastAsia="宋体" w:cs="Times New Roman"/>
        </w:rPr>
        <w:t>把读者引导到脱离现实的道路上”。二是不要说对中国特色的社会主义经济,就是对整个世界的资本主义经济,它也难以说根本上管用。否则,被联合国认定的49个最不发达的国家便不会都是资本主义国家,蜕变为资本主义的原苏东国家经济也不会一律衰退,国情相似的资本主义印度也不会在上世纪下半期始终被社会主义中国抛在后面,英国在20世纪整整100年的平均增长速度也不会只有约2%,靠经济霸权和高利军火等暴富的美国更不会出现周期性经济衰退和停滞,精通美欧现代经济学各流派理论和政策的日本也不会历经10年经济都启动不起来..只要放眼20世纪和21世纪初的资本主义世界,谁都不难看到,现代西方经济学管不住由垄断、私有制和贫穷等引发的两次世界大战和无数次大小战争,管不住上个世纪30年代的经济大危机、70年代的严重滞胀和90年代的金融危机的出现,管不住当今经济全球化中.新帝国主义</w:t>
      </w:r>
      <w:r>
        <w:rPr>
          <w:rFonts w:hint="eastAsia" w:ascii="宋体" w:hAnsi="宋体" w:eastAsia="宋体" w:cs="Times New Roman"/>
        </w:rPr>
        <w:t>“</w:t>
      </w:r>
      <w:r>
        <w:rPr>
          <w:rFonts w:ascii="宋体" w:hAnsi="宋体" w:eastAsia="宋体" w:cs="Times New Roman"/>
        </w:rPr>
        <w:t>与由此加剧的恐怖主义并存的局面。直面这一切,有识之士怎么会认定现代西方经济学的基本理论.二百多年来,它反复经过实践检验,颠扑不破”9又怎么能轻易地认同现代西方经济学的基本理论是真正管用的科学体系呢9显然,西方经济学并没有充分地真正揭示出资本主义市场经济的内在规律。</w:t>
      </w:r>
    </w:p>
    <w:p w14:paraId="30974905">
      <w:pPr>
        <w:spacing w:line="400" w:lineRule="exact"/>
        <w:ind w:firstLine="440" w:firstLineChars="200"/>
        <w:rPr>
          <w:rFonts w:ascii="宋体" w:hAnsi="宋体" w:eastAsia="宋体" w:cs="Times New Roman"/>
        </w:rPr>
      </w:pPr>
      <w:r>
        <w:rPr>
          <w:rFonts w:ascii="宋体" w:hAnsi="宋体" w:eastAsia="宋体" w:cs="Times New Roman"/>
        </w:rPr>
        <w:t>(二)我认为,现代西方经济学关于</w:t>
      </w:r>
      <w:r>
        <w:rPr>
          <w:rFonts w:hint="eastAsia" w:ascii="宋体" w:hAnsi="宋体" w:eastAsia="宋体" w:cs="Times New Roman"/>
        </w:rPr>
        <w:t>“</w:t>
      </w:r>
      <w:r>
        <w:rPr>
          <w:rFonts w:ascii="宋体" w:hAnsi="宋体" w:eastAsia="宋体" w:cs="Times New Roman"/>
        </w:rPr>
        <w:t>经济人”的假定和理论是错误的,而王东京教授认为它是正确的。等写道:</w:t>
      </w:r>
      <w:r>
        <w:rPr>
          <w:rFonts w:hint="eastAsia" w:ascii="宋体" w:hAnsi="宋体" w:eastAsia="宋体" w:cs="Times New Roman"/>
        </w:rPr>
        <w:t>“</w:t>
      </w:r>
      <w:r>
        <w:rPr>
          <w:rFonts w:ascii="宋体" w:hAnsi="宋体" w:eastAsia="宋体" w:cs="Times New Roman"/>
        </w:rPr>
        <w:t>因为二百多年来,它(指现代西方经济学的理论—引者注)反复经过实践检验,颠扑不破。比如经济人假定,把人看作是理性的利己主义者,说人是自私的。为什么要这样假定呢</w:t>
      </w:r>
      <w:r>
        <w:rPr>
          <w:rFonts w:hint="eastAsia" w:ascii="宋体" w:hAnsi="宋体" w:eastAsia="宋体" w:cs="Times New Roman"/>
        </w:rPr>
        <w:t>”</w:t>
      </w:r>
      <w:r>
        <w:rPr>
          <w:rFonts w:ascii="宋体" w:hAnsi="宋体" w:eastAsia="宋体" w:cs="Times New Roman"/>
        </w:rPr>
        <w:t>9因为事实即是如此。人们如果不自私,就不会有劳动的积极性,政府也无法通过政策调节经济。既然人是自私的,必然就会谋取自己利益的最大化。中国老百姓有一句俗话:人为财死,鸟为食亡。别看这只是一句俗语,却是千百年来人们对自身经济行为的总结,揭示的是一个浅白而又深刻的经济学原理。”</w:t>
      </w:r>
    </w:p>
    <w:p w14:paraId="7E6379A3">
      <w:pPr>
        <w:spacing w:line="400" w:lineRule="exact"/>
        <w:ind w:firstLine="440" w:firstLineChars="200"/>
        <w:rPr>
          <w:rFonts w:ascii="宋体" w:hAnsi="宋体" w:eastAsia="宋体" w:cs="Times New Roman"/>
        </w:rPr>
      </w:pPr>
      <w:r>
        <w:rPr>
          <w:rFonts w:ascii="宋体" w:hAnsi="宋体" w:eastAsia="宋体" w:cs="Times New Roman"/>
        </w:rPr>
        <w:t>西方经济学的</w:t>
      </w:r>
      <w:r>
        <w:rPr>
          <w:rFonts w:hint="eastAsia" w:ascii="宋体" w:hAnsi="宋体" w:eastAsia="宋体" w:cs="Times New Roman"/>
        </w:rPr>
        <w:t>“</w:t>
      </w:r>
      <w:r>
        <w:rPr>
          <w:rFonts w:ascii="宋体" w:hAnsi="宋体" w:eastAsia="宋体" w:cs="Times New Roman"/>
        </w:rPr>
        <w:t>经济人”理论的确迷惑了一大批人。自近代的亚当.斯密、西尼尔和约翰.穆勒以来,一直到当代的哈耶克、弗里德曼和布坎南,只把</w:t>
      </w:r>
      <w:r>
        <w:rPr>
          <w:rFonts w:hint="eastAsia" w:ascii="宋体" w:hAnsi="宋体" w:eastAsia="宋体" w:cs="Times New Roman"/>
        </w:rPr>
        <w:t>“</w:t>
      </w:r>
      <w:r>
        <w:rPr>
          <w:rFonts w:ascii="宋体" w:hAnsi="宋体" w:eastAsia="宋体" w:cs="Times New Roman"/>
        </w:rPr>
        <w:t>自私人”即</w:t>
      </w:r>
      <w:r>
        <w:rPr>
          <w:rFonts w:hint="eastAsia" w:ascii="宋体" w:hAnsi="宋体" w:eastAsia="宋体" w:cs="Times New Roman"/>
        </w:rPr>
        <w:t>“</w:t>
      </w:r>
      <w:r>
        <w:rPr>
          <w:rFonts w:ascii="宋体" w:hAnsi="宋体" w:eastAsia="宋体" w:cs="Times New Roman"/>
        </w:rPr>
        <w:t>经济人”作为探究人类经济行为和市场经济的始点、基点和定点,并由此推演出整个经济学体系和经济进化史。即使现今某些新自由主义经济学家对传统</w:t>
      </w:r>
      <w:r>
        <w:rPr>
          <w:rFonts w:hint="eastAsia" w:ascii="宋体" w:hAnsi="宋体" w:eastAsia="宋体" w:cs="Times New Roman"/>
        </w:rPr>
        <w:t>“</w:t>
      </w:r>
      <w:r>
        <w:rPr>
          <w:rFonts w:ascii="宋体" w:hAnsi="宋体" w:eastAsia="宋体" w:cs="Times New Roman"/>
        </w:rPr>
        <w:t>经济人”内涵进行修补,把分析范围扩展到非经济领域,增添机会主义行为描述和信息成本约束,或者把其含义扩展界定为可用货币衡量的经济利益与不可用货币衡量的精神利益两个层面,也没有根本摆脱作为.利益最大化行为”的.自私人”的思维模式。这一理论包含三个基本命题:1.经济人是自私的,即追求自身利益是驱策人的经济行为的根本动机。2.经济人在行为上是理性的,具有完备或较完备的知识和计算能力,能视市场和自身状况而使所追求的个人利益最大化。3.只要有良好的制度保证,个人追求自身利益最大化的自由行动会无意而有效地增进社会公共利益。</w:t>
      </w:r>
    </w:p>
    <w:p w14:paraId="5812E098">
      <w:pPr>
        <w:spacing w:line="400" w:lineRule="exact"/>
        <w:ind w:firstLine="440" w:firstLineChars="200"/>
        <w:rPr>
          <w:rFonts w:ascii="宋体" w:hAnsi="宋体" w:eastAsia="宋体" w:cs="Times New Roman"/>
        </w:rPr>
      </w:pPr>
      <w:r>
        <w:rPr>
          <w:rFonts w:ascii="宋体" w:hAnsi="宋体" w:eastAsia="宋体" w:cs="Times New Roman"/>
        </w:rPr>
        <w:t>这种</w:t>
      </w:r>
      <w:r>
        <w:rPr>
          <w:rFonts w:hint="eastAsia" w:ascii="宋体" w:hAnsi="宋体" w:eastAsia="宋体" w:cs="Times New Roman"/>
        </w:rPr>
        <w:t>“</w:t>
      </w:r>
      <w:r>
        <w:rPr>
          <w:rFonts w:ascii="宋体" w:hAnsi="宋体" w:eastAsia="宋体" w:cs="Times New Roman"/>
        </w:rPr>
        <w:t>经济人”理论存在下列错误:</w:t>
      </w:r>
    </w:p>
    <w:p w14:paraId="332DFB2E">
      <w:pPr>
        <w:spacing w:line="400" w:lineRule="exact"/>
        <w:ind w:firstLine="440" w:firstLineChars="200"/>
        <w:rPr>
          <w:rFonts w:ascii="宋体" w:hAnsi="宋体" w:eastAsia="宋体" w:cs="Times New Roman"/>
        </w:rPr>
      </w:pPr>
      <w:r>
        <w:rPr>
          <w:rFonts w:ascii="宋体" w:hAnsi="宋体" w:eastAsia="宋体" w:cs="Times New Roman"/>
        </w:rPr>
        <w:t>其一·它的理念源于功利主义o19世纪,边沁将大小私有者在经济活动中自发产生的功利标准泛推到伦理领域,把最大限度地追求个人利益的自私精神说成是最大多数人获得最大幸福的途径。这也是亚当.斯密经济学及其后继者的主要哲学方法。其实,休谟早先就批判过类似的观念,他写道:</w:t>
      </w:r>
      <w:r>
        <w:rPr>
          <w:rFonts w:hint="eastAsia" w:ascii="宋体" w:hAnsi="宋体" w:eastAsia="宋体" w:cs="Times New Roman"/>
        </w:rPr>
        <w:t xml:space="preserve"> “</w:t>
      </w:r>
      <w:r>
        <w:rPr>
          <w:rFonts w:ascii="宋体" w:hAnsi="宋体" w:eastAsia="宋体" w:cs="Times New Roman"/>
        </w:rPr>
        <w:t>自私这个性质被渲染得太过火了,而且有些哲学家们所乐于尽情描写的人类的自私,就像我们在童话和小说中所遇到的任何有关妖怪的记载一样荒诞不经,与自然离得太远了。”[2](P527)</w:t>
      </w:r>
    </w:p>
    <w:p w14:paraId="33388635">
      <w:pPr>
        <w:spacing w:line="400" w:lineRule="exact"/>
        <w:ind w:firstLine="440" w:firstLineChars="200"/>
        <w:rPr>
          <w:rFonts w:ascii="宋体" w:hAnsi="宋体" w:eastAsia="宋体" w:cs="Times New Roman"/>
        </w:rPr>
      </w:pPr>
      <w:r>
        <w:rPr>
          <w:rFonts w:ascii="宋体" w:hAnsi="宋体" w:eastAsia="宋体" w:cs="Times New Roman"/>
        </w:rPr>
        <w:t>其二·它的理念充斥着历史唯心论的精神</w:t>
      </w:r>
      <w:r>
        <w:rPr>
          <w:rFonts w:hint="eastAsia" w:ascii="宋体" w:hAnsi="宋体" w:eastAsia="宋体" w:cs="Times New Roman"/>
        </w:rPr>
        <w:t>“</w:t>
      </w:r>
      <w:r>
        <w:rPr>
          <w:rFonts w:ascii="宋体" w:hAnsi="宋体" w:eastAsia="宋体" w:cs="Times New Roman"/>
        </w:rPr>
        <w:t>经济人”理念视利己心为与生俱来和一成不变的东西,不分历史时点地把</w:t>
      </w:r>
      <w:r>
        <w:rPr>
          <w:rFonts w:hint="eastAsia" w:ascii="宋体" w:hAnsi="宋体" w:eastAsia="宋体" w:cs="Times New Roman"/>
        </w:rPr>
        <w:t>“</w:t>
      </w:r>
      <w:r>
        <w:rPr>
          <w:rFonts w:ascii="宋体" w:hAnsi="宋体" w:eastAsia="宋体" w:cs="Times New Roman"/>
        </w:rPr>
        <w:t>自私人”抽象化、永恒化和绝对化,无视特定的经济关系和经济制度对人的经济行为与经济心理的作用,这就有意或无意地陷入了历史唯心主义的泥潭。连杜威也认为:</w:t>
      </w:r>
      <w:r>
        <w:rPr>
          <w:rFonts w:hint="eastAsia" w:ascii="宋体" w:hAnsi="宋体" w:eastAsia="宋体" w:cs="Times New Roman"/>
        </w:rPr>
        <w:t xml:space="preserve"> “</w:t>
      </w:r>
      <w:r>
        <w:rPr>
          <w:rFonts w:ascii="宋体" w:hAnsi="宋体" w:eastAsia="宋体" w:cs="Times New Roman"/>
        </w:rPr>
        <w:t>事实上,经济制度与关系乃是人性中最易改变的表现方式。历史便是其变化幅度的活生生的证据。.…如果人性是不可改变的,那么就不存在教育这类事情,我们从事教育的全部努力就注定会失败。”[3](P125)</w:t>
      </w:r>
    </w:p>
    <w:p w14:paraId="700631E1">
      <w:pPr>
        <w:spacing w:line="400" w:lineRule="exact"/>
        <w:ind w:firstLine="440" w:firstLineChars="200"/>
        <w:rPr>
          <w:rFonts w:ascii="宋体" w:hAnsi="宋体" w:eastAsia="宋体" w:cs="Times New Roman"/>
        </w:rPr>
      </w:pPr>
      <w:r>
        <w:rPr>
          <w:rFonts w:ascii="宋体" w:hAnsi="宋体" w:eastAsia="宋体" w:cs="Times New Roman"/>
        </w:rPr>
        <w:t>其三·它的理念渗透着形而上学的偏见</w:t>
      </w:r>
      <w:r>
        <w:rPr>
          <w:rFonts w:hint="eastAsia" w:ascii="宋体" w:hAnsi="宋体" w:eastAsia="宋体" w:cs="Times New Roman"/>
        </w:rPr>
        <w:t>。</w:t>
      </w:r>
      <w:r>
        <w:rPr>
          <w:rFonts w:ascii="宋体" w:hAnsi="宋体" w:eastAsia="宋体" w:cs="Times New Roman"/>
        </w:rPr>
        <w:t>当代西方私有产权学派代表人物张五常曾经透彻地表达了西方经济学的信念:</w:t>
      </w:r>
      <w:r>
        <w:rPr>
          <w:rFonts w:hint="eastAsia" w:ascii="宋体" w:hAnsi="宋体" w:eastAsia="宋体" w:cs="Times New Roman"/>
        </w:rPr>
        <w:t xml:space="preserve"> “</w:t>
      </w:r>
      <w:r>
        <w:rPr>
          <w:rFonts w:ascii="宋体" w:hAnsi="宋体" w:eastAsia="宋体" w:cs="Times New Roman"/>
        </w:rPr>
        <w:t>经济学上最重要的基本假设是:每一个人无论何时何地,都会在局限约束条件下争取他个人最大利益。说得不雅一点,即每个人的行为都是一贯地、永远不变地,以自私为出发点。……在经济学的范畴内,任何行为都是这样看:捐钱、协助他人、上街行动等,都是以·自私,为出发点。”[4](P151)略懂一些唯物辩证法的经济学家和哲学家,大概均不会首肯此类极端片面的、孤立的和静止的理性</w:t>
      </w:r>
      <w:r>
        <w:rPr>
          <w:rFonts w:hint="eastAsia" w:ascii="宋体" w:hAnsi="宋体" w:eastAsia="宋体" w:cs="Times New Roman"/>
        </w:rPr>
        <w:t>“</w:t>
      </w:r>
      <w:r>
        <w:rPr>
          <w:rFonts w:ascii="宋体" w:hAnsi="宋体" w:eastAsia="宋体" w:cs="Times New Roman"/>
        </w:rPr>
        <w:t>自私人”观点。博兰在1997年出版的《批判的经济学方法论》中就指出:”新古典经济学醉心于下述形而上学观点,即:每一位个别决策者都是理性的(至少在个人的行为能用理性的论据加以解释的程度上)。令人遗憾的是,当理性和个人主义联系在一起时,就会产生一种颇为机械的关于决策行为观点—也就是个人被视为一台机器。”[5](P229~230)</w:t>
      </w:r>
    </w:p>
    <w:p w14:paraId="66037506">
      <w:pPr>
        <w:spacing w:line="400" w:lineRule="exact"/>
        <w:ind w:firstLine="440" w:firstLineChars="200"/>
        <w:rPr>
          <w:rFonts w:ascii="宋体" w:hAnsi="宋体" w:eastAsia="宋体" w:cs="Times New Roman"/>
        </w:rPr>
      </w:pPr>
      <w:r>
        <w:rPr>
          <w:rFonts w:ascii="宋体" w:hAnsi="宋体" w:eastAsia="宋体" w:cs="Times New Roman"/>
        </w:rPr>
        <w:t>其四·它的理念已被证伪</w:t>
      </w:r>
      <w:r>
        <w:rPr>
          <w:rFonts w:hint="eastAsia" w:ascii="宋体" w:hAnsi="宋体" w:eastAsia="宋体" w:cs="Times New Roman"/>
        </w:rPr>
        <w:t>。</w:t>
      </w:r>
      <w:r>
        <w:rPr>
          <w:rFonts w:ascii="宋体" w:hAnsi="宋体" w:eastAsia="宋体" w:cs="Times New Roman"/>
        </w:rPr>
        <w:t>与多数西方经济学家因谈不清而不敢谈经济行为的道德问题不同,贝克尔撇开这一难题,承认在家庭和亲戚范围内有程度不一的利他行为,主张</w:t>
      </w:r>
      <w:r>
        <w:rPr>
          <w:rFonts w:hint="eastAsia" w:ascii="宋体" w:hAnsi="宋体" w:eastAsia="宋体" w:cs="Times New Roman"/>
        </w:rPr>
        <w:t>“</w:t>
      </w:r>
      <w:r>
        <w:rPr>
          <w:rFonts w:ascii="宋体" w:hAnsi="宋体" w:eastAsia="宋体" w:cs="Times New Roman"/>
        </w:rPr>
        <w:t>血亲利他主义”。但不管怎样,只要在经验或实践中存在利他行为(含家庭经济活动),完全的</w:t>
      </w:r>
      <w:r>
        <w:rPr>
          <w:rFonts w:hint="eastAsia" w:ascii="宋体" w:hAnsi="宋体" w:eastAsia="宋体" w:cs="Times New Roman"/>
        </w:rPr>
        <w:t>“</w:t>
      </w:r>
      <w:r>
        <w:rPr>
          <w:rFonts w:ascii="宋体" w:hAnsi="宋体" w:eastAsia="宋体" w:cs="Times New Roman"/>
        </w:rPr>
        <w:t>天性利己主义”假说就被证伪了。正如当代法国经济心理学学会创始人阿尔布在批判</w:t>
      </w:r>
      <w:r>
        <w:rPr>
          <w:rFonts w:hint="eastAsia" w:ascii="宋体" w:hAnsi="宋体" w:eastAsia="宋体" w:cs="Times New Roman"/>
        </w:rPr>
        <w:t>“</w:t>
      </w:r>
      <w:r>
        <w:rPr>
          <w:rFonts w:ascii="宋体" w:hAnsi="宋体" w:eastAsia="宋体" w:cs="Times New Roman"/>
        </w:rPr>
        <w:t>经济人</w:t>
      </w:r>
      <w:r>
        <w:rPr>
          <w:rFonts w:hint="eastAsia" w:ascii="宋体" w:hAnsi="宋体" w:eastAsia="宋体" w:cs="Times New Roman"/>
        </w:rPr>
        <w:t>”</w:t>
      </w:r>
      <w:r>
        <w:rPr>
          <w:rFonts w:ascii="宋体" w:hAnsi="宋体" w:eastAsia="宋体" w:cs="Times New Roman"/>
        </w:rPr>
        <w:t>的神话”时所说的,各门人文科学的进步,尤其是心理学、社会学和社会心理学的进步,使我们不难证明有关经济人的某些论点是不够的或不确切的。</w:t>
      </w:r>
    </w:p>
    <w:p w14:paraId="5E9459E8">
      <w:pPr>
        <w:spacing w:line="400" w:lineRule="exact"/>
        <w:ind w:firstLine="440" w:firstLineChars="200"/>
        <w:rPr>
          <w:rFonts w:ascii="宋体" w:hAnsi="宋体" w:eastAsia="宋体" w:cs="Times New Roman"/>
        </w:rPr>
      </w:pPr>
      <w:r>
        <w:rPr>
          <w:rFonts w:ascii="宋体" w:hAnsi="宋体" w:eastAsia="宋体" w:cs="Times New Roman"/>
        </w:rPr>
        <w:t>其五·它的理念奉行唯理论的教条o西方主流经济学所说的理性,是指个人谋求自身私利的合理行为,因而</w:t>
      </w:r>
      <w:r>
        <w:rPr>
          <w:rFonts w:hint="eastAsia" w:ascii="宋体" w:hAnsi="宋体" w:eastAsia="宋体" w:cs="Times New Roman"/>
        </w:rPr>
        <w:t>“</w:t>
      </w:r>
      <w:r>
        <w:rPr>
          <w:rFonts w:ascii="宋体" w:hAnsi="宋体" w:eastAsia="宋体" w:cs="Times New Roman"/>
        </w:rPr>
        <w:t>理性人”也就是</w:t>
      </w:r>
      <w:r>
        <w:rPr>
          <w:rFonts w:hint="eastAsia" w:ascii="宋体" w:hAnsi="宋体" w:eastAsia="宋体" w:cs="Times New Roman"/>
        </w:rPr>
        <w:t>“</w:t>
      </w:r>
      <w:r>
        <w:rPr>
          <w:rFonts w:ascii="宋体" w:hAnsi="宋体" w:eastAsia="宋体" w:cs="Times New Roman"/>
        </w:rPr>
        <w:t>自私人”,甚至合称</w:t>
      </w:r>
      <w:r>
        <w:rPr>
          <w:rFonts w:hint="eastAsia" w:ascii="宋体" w:hAnsi="宋体" w:eastAsia="宋体" w:cs="Times New Roman"/>
        </w:rPr>
        <w:t>“</w:t>
      </w:r>
      <w:r>
        <w:rPr>
          <w:rFonts w:ascii="宋体" w:hAnsi="宋体" w:eastAsia="宋体" w:cs="Times New Roman"/>
        </w:rPr>
        <w:t>理性经济人”。这个学派认为,人若不自私,那就属于非理性。这可称</w:t>
      </w:r>
      <w:r>
        <w:rPr>
          <w:rFonts w:hint="eastAsia" w:ascii="宋体" w:hAnsi="宋体" w:eastAsia="宋体" w:cs="Times New Roman"/>
        </w:rPr>
        <w:t>“</w:t>
      </w:r>
      <w:r>
        <w:rPr>
          <w:rFonts w:ascii="宋体" w:hAnsi="宋体" w:eastAsia="宋体" w:cs="Times New Roman"/>
        </w:rPr>
        <w:t>自私拜物教”,是极端片面和夸大理性作用的观点。经验表明,自私不等于理性。某些自私行为属于非理性,如因故一时冲动而签订私人经济合同:某些理性行为属于利他,如有些匿名捐款。事实上,弗洛伊德主义及其心理实验也可印证,西蒙的</w:t>
      </w:r>
      <w:r>
        <w:rPr>
          <w:rFonts w:hint="eastAsia" w:ascii="宋体" w:hAnsi="宋体" w:eastAsia="宋体" w:cs="Times New Roman"/>
        </w:rPr>
        <w:t>“</w:t>
      </w:r>
      <w:r>
        <w:rPr>
          <w:rFonts w:ascii="宋体" w:hAnsi="宋体" w:eastAsia="宋体" w:cs="Times New Roman"/>
        </w:rPr>
        <w:t>有限理性”假说比</w:t>
      </w:r>
      <w:r>
        <w:rPr>
          <w:rFonts w:hint="eastAsia" w:ascii="宋体" w:hAnsi="宋体" w:eastAsia="宋体" w:cs="Times New Roman"/>
        </w:rPr>
        <w:t>“</w:t>
      </w:r>
      <w:r>
        <w:rPr>
          <w:rFonts w:ascii="宋体" w:hAnsi="宋体" w:eastAsia="宋体" w:cs="Times New Roman"/>
        </w:rPr>
        <w:t>完全理性”或</w:t>
      </w:r>
      <w:r>
        <w:rPr>
          <w:rFonts w:hint="eastAsia" w:ascii="宋体" w:hAnsi="宋体" w:eastAsia="宋体" w:cs="Times New Roman"/>
        </w:rPr>
        <w:t>“</w:t>
      </w:r>
      <w:r>
        <w:rPr>
          <w:rFonts w:ascii="宋体" w:hAnsi="宋体" w:eastAsia="宋体" w:cs="Times New Roman"/>
        </w:rPr>
        <w:t>充分理性”假说要贴近现实。不过,它仍是在</w:t>
      </w:r>
      <w:r>
        <w:rPr>
          <w:rFonts w:hint="eastAsia" w:ascii="宋体" w:hAnsi="宋体" w:eastAsia="宋体" w:cs="Times New Roman"/>
        </w:rPr>
        <w:t>“</w:t>
      </w:r>
      <w:r>
        <w:rPr>
          <w:rFonts w:ascii="宋体" w:hAnsi="宋体" w:eastAsia="宋体" w:cs="Times New Roman"/>
        </w:rPr>
        <w:t>自私人”理论框架内的改良,没有本质上的创新,因为它也无法阐明</w:t>
      </w:r>
      <w:r>
        <w:rPr>
          <w:rFonts w:hint="eastAsia" w:ascii="宋体" w:hAnsi="宋体" w:eastAsia="宋体" w:cs="Times New Roman"/>
        </w:rPr>
        <w:t>“</w:t>
      </w:r>
      <w:r>
        <w:rPr>
          <w:rFonts w:ascii="宋体" w:hAnsi="宋体" w:eastAsia="宋体" w:cs="Times New Roman"/>
        </w:rPr>
        <w:t>抢银行是不是理性的”(博兰的问题),以及</w:t>
      </w:r>
      <w:r>
        <w:rPr>
          <w:rFonts w:hint="eastAsia" w:ascii="宋体" w:hAnsi="宋体" w:eastAsia="宋体" w:cs="Times New Roman"/>
        </w:rPr>
        <w:t>“</w:t>
      </w:r>
      <w:r>
        <w:rPr>
          <w:rFonts w:ascii="宋体" w:hAnsi="宋体" w:eastAsia="宋体" w:cs="Times New Roman"/>
        </w:rPr>
        <w:t>盗窃何害之有”(张五常的主张)等逻辑怪题。</w:t>
      </w:r>
    </w:p>
    <w:p w14:paraId="553086B1">
      <w:pPr>
        <w:spacing w:line="400" w:lineRule="exact"/>
        <w:ind w:firstLine="440" w:firstLineChars="200"/>
        <w:rPr>
          <w:rFonts w:ascii="宋体" w:hAnsi="宋体" w:eastAsia="宋体" w:cs="Times New Roman"/>
        </w:rPr>
      </w:pPr>
      <w:r>
        <w:rPr>
          <w:rFonts w:ascii="宋体" w:hAnsi="宋体" w:eastAsia="宋体" w:cs="Times New Roman"/>
        </w:rPr>
        <w:t>其六·它的理念崇尚人类低级的本能o个人的本能或人类的本能是一切动物所共有的,是由生理条件决定的。而现实的人的本性则是由特定的社会环境所决定的。</w:t>
      </w:r>
      <w:r>
        <w:rPr>
          <w:rFonts w:hint="eastAsia" w:ascii="宋体" w:hAnsi="宋体" w:eastAsia="宋体" w:cs="Times New Roman"/>
        </w:rPr>
        <w:t>“</w:t>
      </w:r>
      <w:r>
        <w:rPr>
          <w:rFonts w:ascii="宋体" w:hAnsi="宋体" w:eastAsia="宋体" w:cs="Times New Roman"/>
        </w:rPr>
        <w:t>自私人”理论却用个人的低级本能及其经济行为与经济心理替代人的多样化社会本性,形成思维的单一性和呆板性。美国学者凯里曾愤怒地指责:穆勒的</w:t>
      </w:r>
      <w:r>
        <w:rPr>
          <w:rFonts w:hint="eastAsia" w:ascii="宋体" w:hAnsi="宋体" w:eastAsia="宋体" w:cs="Times New Roman"/>
        </w:rPr>
        <w:t>“</w:t>
      </w:r>
      <w:r>
        <w:rPr>
          <w:rFonts w:ascii="宋体" w:hAnsi="宋体" w:eastAsia="宋体" w:cs="Times New Roman"/>
        </w:rPr>
        <w:t>政治经济学的对象实际上不是人,而是受最盲目的情绪驱策的想象的动物”,</w:t>
      </w:r>
      <w:r>
        <w:rPr>
          <w:rFonts w:hint="eastAsia" w:ascii="宋体" w:hAnsi="宋体" w:eastAsia="宋体" w:cs="Times New Roman"/>
        </w:rPr>
        <w:t xml:space="preserve"> “</w:t>
      </w:r>
      <w:r>
        <w:rPr>
          <w:rFonts w:ascii="宋体" w:hAnsi="宋体" w:eastAsia="宋体" w:cs="Times New Roman"/>
        </w:rPr>
        <w:t>他们的理论,讨论人性的最低级本能,却把人的最高尚利益看作是纯属干扰其理论体系的东西”,因而是亵渎了大写的</w:t>
      </w:r>
      <w:r>
        <w:rPr>
          <w:rFonts w:hint="eastAsia" w:ascii="宋体" w:hAnsi="宋体" w:eastAsia="宋体" w:cs="Times New Roman"/>
        </w:rPr>
        <w:t>“</w:t>
      </w:r>
      <w:r>
        <w:rPr>
          <w:rFonts w:ascii="宋体" w:hAnsi="宋体" w:eastAsia="宋体" w:cs="Times New Roman"/>
        </w:rPr>
        <w:t>人”字。[6](P175)即使参照弗洛伊德关于</w:t>
      </w:r>
      <w:r>
        <w:rPr>
          <w:rFonts w:hint="eastAsia" w:ascii="宋体" w:hAnsi="宋体" w:eastAsia="宋体" w:cs="Times New Roman"/>
        </w:rPr>
        <w:t>“</w:t>
      </w:r>
      <w:r>
        <w:rPr>
          <w:rFonts w:ascii="宋体" w:hAnsi="宋体" w:eastAsia="宋体" w:cs="Times New Roman"/>
        </w:rPr>
        <w:t>本我”、</w:t>
      </w:r>
      <w:r>
        <w:rPr>
          <w:rFonts w:hint="eastAsia" w:ascii="宋体" w:hAnsi="宋体" w:eastAsia="宋体" w:cs="Times New Roman"/>
        </w:rPr>
        <w:t xml:space="preserve"> “</w:t>
      </w:r>
      <w:r>
        <w:rPr>
          <w:rFonts w:ascii="宋体" w:hAnsi="宋体" w:eastAsia="宋体" w:cs="Times New Roman"/>
        </w:rPr>
        <w:t>自我”与</w:t>
      </w:r>
      <w:r>
        <w:rPr>
          <w:rFonts w:hint="eastAsia" w:ascii="宋体" w:hAnsi="宋体" w:eastAsia="宋体" w:cs="Times New Roman"/>
        </w:rPr>
        <w:t>“</w:t>
      </w:r>
      <w:r>
        <w:rPr>
          <w:rFonts w:ascii="宋体" w:hAnsi="宋体" w:eastAsia="宋体" w:cs="Times New Roman"/>
        </w:rPr>
        <w:t>超我”的划分,也不能将天生的、原始的、本能的</w:t>
      </w:r>
      <w:r>
        <w:rPr>
          <w:rFonts w:hint="eastAsia" w:ascii="宋体" w:hAnsi="宋体" w:eastAsia="宋体" w:cs="Times New Roman"/>
        </w:rPr>
        <w:t>“</w:t>
      </w:r>
      <w:r>
        <w:rPr>
          <w:rFonts w:ascii="宋体" w:hAnsi="宋体" w:eastAsia="宋体" w:cs="Times New Roman"/>
        </w:rPr>
        <w:t>本我”等同于道德的、高级的、超个人的</w:t>
      </w:r>
      <w:r>
        <w:rPr>
          <w:rFonts w:hint="eastAsia" w:ascii="宋体" w:hAnsi="宋体" w:eastAsia="宋体" w:cs="Times New Roman"/>
        </w:rPr>
        <w:t>“</w:t>
      </w:r>
      <w:r>
        <w:rPr>
          <w:rFonts w:ascii="宋体" w:hAnsi="宋体" w:eastAsia="宋体" w:cs="Times New Roman"/>
        </w:rPr>
        <w:t>超我”,</w:t>
      </w:r>
      <w:r>
        <w:rPr>
          <w:rFonts w:hint="eastAsia" w:ascii="宋体" w:hAnsi="宋体" w:eastAsia="宋体" w:cs="Times New Roman"/>
        </w:rPr>
        <w:t xml:space="preserve"> “</w:t>
      </w:r>
      <w:r>
        <w:rPr>
          <w:rFonts w:ascii="宋体" w:hAnsi="宋体" w:eastAsia="宋体" w:cs="Times New Roman"/>
        </w:rPr>
        <w:t>自私人”理念只相当于</w:t>
      </w:r>
      <w:r>
        <w:rPr>
          <w:rFonts w:hint="eastAsia" w:ascii="宋体" w:hAnsi="宋体" w:eastAsia="宋体" w:cs="Times New Roman"/>
        </w:rPr>
        <w:t>“</w:t>
      </w:r>
      <w:r>
        <w:rPr>
          <w:rFonts w:ascii="宋体" w:hAnsi="宋体" w:eastAsia="宋体" w:cs="Times New Roman"/>
        </w:rPr>
        <w:t>本我”层次和根据一般现实原则行事的理性</w:t>
      </w:r>
      <w:r>
        <w:rPr>
          <w:rFonts w:hint="eastAsia" w:ascii="宋体" w:hAnsi="宋体" w:eastAsia="宋体" w:cs="Times New Roman"/>
        </w:rPr>
        <w:t>“</w:t>
      </w:r>
      <w:r>
        <w:rPr>
          <w:rFonts w:ascii="宋体" w:hAnsi="宋体" w:eastAsia="宋体" w:cs="Times New Roman"/>
        </w:rPr>
        <w:t>自我”层次。</w:t>
      </w:r>
    </w:p>
    <w:p w14:paraId="5FC63B2B">
      <w:pPr>
        <w:spacing w:line="400" w:lineRule="exact"/>
        <w:ind w:firstLine="440" w:firstLineChars="200"/>
        <w:rPr>
          <w:rFonts w:ascii="宋体" w:hAnsi="宋体" w:eastAsia="宋体" w:cs="Times New Roman"/>
        </w:rPr>
      </w:pPr>
      <w:r>
        <w:rPr>
          <w:rFonts w:ascii="宋体" w:hAnsi="宋体" w:eastAsia="宋体" w:cs="Times New Roman"/>
        </w:rPr>
        <w:t>其七·它的理念局限于</w:t>
      </w:r>
      <w:r>
        <w:rPr>
          <w:rFonts w:hint="eastAsia" w:ascii="宋体" w:hAnsi="宋体" w:eastAsia="宋体" w:cs="Times New Roman"/>
        </w:rPr>
        <w:t>“</w:t>
      </w:r>
      <w:r>
        <w:rPr>
          <w:rFonts w:ascii="宋体" w:hAnsi="宋体" w:eastAsia="宋体" w:cs="Times New Roman"/>
        </w:rPr>
        <w:t>店老板”的狭隘思维和人性异化心理。德国历史学派学者李斯特在抨击斯密</w:t>
      </w:r>
      <w:r>
        <w:rPr>
          <w:rFonts w:hint="eastAsia" w:ascii="宋体" w:hAnsi="宋体" w:eastAsia="宋体" w:cs="Times New Roman"/>
        </w:rPr>
        <w:t>“</w:t>
      </w:r>
      <w:r>
        <w:rPr>
          <w:rFonts w:ascii="宋体" w:hAnsi="宋体" w:eastAsia="宋体" w:cs="Times New Roman"/>
        </w:rPr>
        <w:t>经济人”的人性假设及其理论体系时尖锐地指出:</w:t>
      </w:r>
      <w:r>
        <w:rPr>
          <w:rFonts w:hint="eastAsia" w:ascii="宋体" w:hAnsi="宋体" w:eastAsia="宋体" w:cs="Times New Roman"/>
        </w:rPr>
        <w:t xml:space="preserve"> “</w:t>
      </w:r>
      <w:r>
        <w:rPr>
          <w:rFonts w:ascii="宋体" w:hAnsi="宋体" w:eastAsia="宋体" w:cs="Times New Roman"/>
        </w:rPr>
        <w:t>这个学说是以店老板的观点来考虑一切问题的”</w:t>
      </w:r>
      <w:r>
        <w:rPr>
          <w:rFonts w:hint="eastAsia" w:ascii="宋体" w:hAnsi="宋体" w:eastAsia="宋体" w:cs="Times New Roman"/>
        </w:rPr>
        <w:t>，“</w:t>
      </w:r>
      <w:r>
        <w:rPr>
          <w:rFonts w:ascii="宋体" w:hAnsi="宋体" w:eastAsia="宋体" w:cs="Times New Roman"/>
        </w:rPr>
        <w:t>完全否认了国家和国家利益的存在,一切都要听任个人安排”,</w:t>
      </w:r>
      <w:r>
        <w:rPr>
          <w:rFonts w:hint="eastAsia" w:ascii="宋体" w:hAnsi="宋体" w:eastAsia="宋体" w:cs="Times New Roman"/>
        </w:rPr>
        <w:t xml:space="preserve"> “</w:t>
      </w:r>
      <w:r>
        <w:rPr>
          <w:rFonts w:ascii="宋体" w:hAnsi="宋体" w:eastAsia="宋体" w:cs="Times New Roman"/>
        </w:rPr>
        <w:t>利己性格抬高到一切效力的创造者的地位”。[7](P64)该学派认为,客观存在着三种现实人的行为与</w:t>
      </w:r>
      <w:r>
        <w:rPr>
          <w:rFonts w:hint="eastAsia" w:ascii="宋体" w:hAnsi="宋体" w:eastAsia="宋体" w:cs="Times New Roman"/>
        </w:rPr>
        <w:t>“</w:t>
      </w:r>
      <w:r>
        <w:rPr>
          <w:rFonts w:ascii="宋体" w:hAnsi="宋体" w:eastAsia="宋体" w:cs="Times New Roman"/>
        </w:rPr>
        <w:t>自私人”理论相悖:一是在私人的经济中,一切以个人利益为转移;二是在强制的公有经济中,以社会全体利益为行动准则;三是在以慈善福利为目的的经济中,主要以伦理道德为行动规范。历史学派的这一经济哲学的思维逻辑有着深邃的意义。不管西方</w:t>
      </w:r>
      <w:r>
        <w:rPr>
          <w:rFonts w:hint="eastAsia" w:ascii="宋体" w:hAnsi="宋体" w:eastAsia="宋体" w:cs="Times New Roman"/>
        </w:rPr>
        <w:t>“</w:t>
      </w:r>
      <w:r>
        <w:rPr>
          <w:rFonts w:ascii="宋体" w:hAnsi="宋体" w:eastAsia="宋体" w:cs="Times New Roman"/>
        </w:rPr>
        <w:t>自私人”理论披上多么豪华的数学理性的外衣,也掩饰不了其无法避免的缺陷。</w:t>
      </w:r>
    </w:p>
    <w:p w14:paraId="3A5266FD">
      <w:pPr>
        <w:spacing w:line="400" w:lineRule="exact"/>
        <w:ind w:firstLine="440" w:firstLineChars="200"/>
        <w:rPr>
          <w:rFonts w:ascii="宋体" w:hAnsi="宋体" w:eastAsia="宋体" w:cs="Times New Roman"/>
        </w:rPr>
      </w:pPr>
      <w:r>
        <w:rPr>
          <w:rFonts w:ascii="宋体" w:hAnsi="宋体" w:eastAsia="宋体" w:cs="Times New Roman"/>
        </w:rPr>
        <w:tab/>
      </w:r>
      <w:r>
        <w:rPr>
          <w:rFonts w:ascii="宋体" w:hAnsi="宋体" w:eastAsia="宋体" w:cs="Times New Roman"/>
        </w:rPr>
        <w:t>(三)我认为,现代西方经济学关于保护个人产权的假定和理论是片面的,而王东京教授认为它是正确的。他写道:</w:t>
      </w:r>
      <w:r>
        <w:rPr>
          <w:rFonts w:hint="eastAsia" w:ascii="宋体" w:hAnsi="宋体" w:eastAsia="宋体" w:cs="Times New Roman"/>
        </w:rPr>
        <w:t xml:space="preserve"> “</w:t>
      </w:r>
      <w:r>
        <w:rPr>
          <w:rFonts w:ascii="宋体" w:hAnsi="宋体" w:eastAsia="宋体" w:cs="Times New Roman"/>
        </w:rPr>
        <w:t>保护个人产权的假定,主要是基于效率的原因。假如我所有的财产得不到法律保护,你可以随便拿,那我也不是傻瓜,也不会努力工作,更不会积累财富,需要时到别人家里去拿好了。可是大家都这么想,谁会积攒财富呢?若如此,社会怎么进步?经济怎么发展?所以保护个人产权,实在是社会经济发展所必需。”</w:t>
      </w:r>
    </w:p>
    <w:p w14:paraId="0B8C94C3">
      <w:pPr>
        <w:spacing w:line="400" w:lineRule="exact"/>
        <w:ind w:firstLine="440" w:firstLineChars="200"/>
        <w:rPr>
          <w:rFonts w:ascii="宋体" w:hAnsi="宋体" w:eastAsia="宋体" w:cs="Times New Roman"/>
        </w:rPr>
      </w:pPr>
      <w:r>
        <w:rPr>
          <w:rFonts w:ascii="宋体" w:hAnsi="宋体" w:eastAsia="宋体" w:cs="Times New Roman"/>
        </w:rPr>
        <w:t>其实,不提保护公有产权而只保护个人产权肯定是片面的,对现代西方经济学关于私人产权的理论也决不是这么简单理解就可以完事的。现代西方经济学包含着私有产权学派的一整套理论。其核心理论有两个:一是只作保护个人产权的假定,认为资产只有量化到私人所有,企业主只有拥有剩余索取权,才能有效地实行监督,防止职工偷懒和”机会主义行为”,产生高效率。二是认为公有制与市场经济不相容。</w:t>
      </w:r>
    </w:p>
    <w:p w14:paraId="3A9790D4">
      <w:pPr>
        <w:spacing w:line="400" w:lineRule="exact"/>
        <w:ind w:firstLine="440" w:firstLineChars="200"/>
        <w:rPr>
          <w:rFonts w:ascii="宋体" w:hAnsi="宋体" w:eastAsia="宋体" w:cs="Times New Roman"/>
        </w:rPr>
      </w:pPr>
      <w:r>
        <w:rPr>
          <w:rFonts w:ascii="宋体" w:hAnsi="宋体" w:eastAsia="宋体" w:cs="Times New Roman"/>
        </w:rPr>
        <w:t>喜欢在国内</w:t>
      </w:r>
      <w:r>
        <w:rPr>
          <w:rFonts w:hint="eastAsia" w:ascii="宋体" w:hAnsi="宋体" w:eastAsia="宋体" w:cs="Times New Roman"/>
        </w:rPr>
        <w:t>“</w:t>
      </w:r>
      <w:r>
        <w:rPr>
          <w:rFonts w:ascii="宋体" w:hAnsi="宋体" w:eastAsia="宋体" w:cs="Times New Roman"/>
        </w:rPr>
        <w:t>造势”而非实证分析的张五常教授,就表达过西方经济学有关个人产权的这两个核心主流意识,提出</w:t>
      </w:r>
      <w:r>
        <w:rPr>
          <w:rFonts w:hint="eastAsia" w:ascii="宋体" w:hAnsi="宋体" w:eastAsia="宋体" w:cs="Times New Roman"/>
        </w:rPr>
        <w:t>“</w:t>
      </w:r>
      <w:r>
        <w:rPr>
          <w:rFonts w:ascii="宋体" w:hAnsi="宋体" w:eastAsia="宋体" w:cs="Times New Roman"/>
        </w:rPr>
        <w:t>从历史的经验看,没有其他成功的制度,而经济理论也没有其他可取的办法。私有产权是独步单方。”中国大陆的共产经验一败涂地,而又不愿意行私产制度,那怎么办呢?这是经济学上一个极为湛深的问题。中国要坚持社会主义的形象,但又要有私产与自由市场的经济活力,而这二者并驾齐驱,又要搞得像样,不至于挂羊头卖狗肉。说实话,我想不到哪一位曾获诺贝尔奖的经济学家能有可行的答案。”“一方面坚持共产的优越,另一方面支持自由市场,这其中不是有很大的矛盾吗?”[8](P18、28)</w:t>
      </w:r>
    </w:p>
    <w:p w14:paraId="40B4914E">
      <w:pPr>
        <w:spacing w:line="400" w:lineRule="exact"/>
        <w:ind w:firstLine="440" w:firstLineChars="200"/>
        <w:rPr>
          <w:rFonts w:ascii="宋体" w:hAnsi="宋体" w:eastAsia="宋体" w:cs="Times New Roman"/>
        </w:rPr>
      </w:pPr>
      <w:r>
        <w:rPr>
          <w:rFonts w:ascii="宋体" w:hAnsi="宋体" w:eastAsia="宋体" w:cs="Times New Roman"/>
        </w:rPr>
        <w:t>纵观人类近现代经济思想演化的历史,可以看到有两种思潮曾长期主宰世界经济运动:一种思潮认为,市场经济只能与资产私有制相容;另一种思潮则认为,资产公有制只能与计划经济相容。但中国的经济体制改革经验,已同时突破了支配东西方传统主流经济学的两种教条,确立了</w:t>
      </w:r>
      <w:r>
        <w:rPr>
          <w:rFonts w:hint="eastAsia" w:ascii="宋体" w:hAnsi="宋体" w:eastAsia="宋体" w:cs="Times New Roman"/>
        </w:rPr>
        <w:t>“</w:t>
      </w:r>
      <w:r>
        <w:rPr>
          <w:rFonts w:ascii="宋体" w:hAnsi="宋体" w:eastAsia="宋体" w:cs="Times New Roman"/>
        </w:rPr>
        <w:t>社会主义与市场经济可以兼容”的新命题。可是,国内外仍有许多经济学家停留在传统思想领域,不断地抨击该命题,强调公有资本控股的集体所有制和国家所有制同市场经济肯定无法兼容,产生高绩效。实际上,中国的改革成功经验已经部分地证明:初级阶段社会主义经济=公有主体型产权结构+劳动主体型分配结构+国家主导型市场结构。也就是说,现阶段的中国经济制度,是由两个主体和一个主导的</w:t>
      </w:r>
      <w:r>
        <w:rPr>
          <w:rFonts w:hint="eastAsia" w:ascii="宋体" w:hAnsi="宋体" w:eastAsia="宋体" w:cs="Times New Roman"/>
        </w:rPr>
        <w:t>“</w:t>
      </w:r>
      <w:r>
        <w:rPr>
          <w:rFonts w:ascii="宋体" w:hAnsi="宋体" w:eastAsia="宋体" w:cs="Times New Roman"/>
        </w:rPr>
        <w:t>三主制度”组成的,是当代解决公平与效率、计划与市场、公有与私有三大世界性基本经济矛盾(世界各国均不同程度地存在)的最佳模式。操作得法,可以优于私有主体型的市场经济制度。</w:t>
      </w:r>
    </w:p>
    <w:p w14:paraId="4C3996CF">
      <w:pPr>
        <w:spacing w:line="400" w:lineRule="exact"/>
        <w:ind w:firstLine="440" w:firstLineChars="200"/>
        <w:rPr>
          <w:rFonts w:ascii="宋体" w:hAnsi="宋体" w:eastAsia="宋体" w:cs="Times New Roman"/>
        </w:rPr>
      </w:pPr>
      <w:r>
        <w:rPr>
          <w:rFonts w:ascii="宋体" w:hAnsi="宋体" w:eastAsia="宋体" w:cs="Times New Roman"/>
        </w:rPr>
        <w:t>中国传统的国有企业一律由国家经济管理部门直接来经营,这与要求自由经营的市场经济天性必然存在冲突,这也是西方某些国有企业效率较低的缘由之一。不过,世界上已有越来越多的经济学家和政治家认识到,只要遵循客观经济规律和真正依法实行国有股份制,使企业真正按照市场竞争原则和效益极大化目标自主决策、自由经营,那么,它就不会同市场经济发生根本的冲突,进而实现高效率。据有关资料介绍,新加坡和香港的国有企业都是办得很有效益的;以色列的合作经济也普遍办得颇有生气。整个20世纪,各国广泛发展的合作化运动和数次出现的国有化浪潮(尽管目前暂处低潮,但仍保持相当的数量)可以部分地表明:在一个国家调节主导作用发挥得较好的社会里,各种公有产权也可以与市场经济相融合,产生较高的整体经济效益和社会效益。</w:t>
      </w:r>
    </w:p>
    <w:p w14:paraId="0344AC37">
      <w:pPr>
        <w:spacing w:line="400" w:lineRule="exact"/>
        <w:ind w:firstLine="440" w:firstLineChars="200"/>
        <w:rPr>
          <w:rFonts w:ascii="宋体" w:hAnsi="宋体" w:eastAsia="宋体" w:cs="Times New Roman"/>
        </w:rPr>
      </w:pPr>
      <w:r>
        <w:rPr>
          <w:rFonts w:ascii="宋体" w:hAnsi="宋体" w:eastAsia="宋体" w:cs="Times New Roman"/>
        </w:rPr>
        <w:t>与上述认识有关,王东京教授还强调了如下的结论:</w:t>
      </w:r>
      <w:r>
        <w:rPr>
          <w:rFonts w:hint="eastAsia" w:ascii="宋体" w:hAnsi="宋体" w:eastAsia="宋体" w:cs="Times New Roman"/>
        </w:rPr>
        <w:t xml:space="preserve"> “</w:t>
      </w:r>
      <w:r>
        <w:rPr>
          <w:rFonts w:ascii="宋体" w:hAnsi="宋体" w:eastAsia="宋体" w:cs="Times New Roman"/>
        </w:rPr>
        <w:t>所以,是社会分工与个人产权的保护,导致了等价交换。</w:t>
      </w:r>
      <w:r>
        <w:rPr>
          <w:rFonts w:hint="eastAsia" w:ascii="宋体" w:hAnsi="宋体" w:eastAsia="宋体" w:cs="Times New Roman"/>
        </w:rPr>
        <w:t>”</w:t>
      </w:r>
      <w:r>
        <w:rPr>
          <w:rFonts w:ascii="宋体" w:hAnsi="宋体" w:eastAsia="宋体" w:cs="Times New Roman"/>
        </w:rPr>
        <w:t>这也是不全面不完整的等价交换理论。个人产权或私有产权与市场经济(交易)究竟是何种关系?假如是说,资产私有制或私有权是市场交易和市场经济产生的先决条件,这属于近现代西方经济学的教条,中国和越南的社会主义市场经济实践和现代马克思主义政治经济学早已超越了此种</w:t>
      </w:r>
      <w:r>
        <w:rPr>
          <w:rFonts w:hint="eastAsia" w:ascii="宋体" w:hAnsi="宋体" w:eastAsia="宋体" w:cs="Times New Roman"/>
        </w:rPr>
        <w:t>“</w:t>
      </w:r>
      <w:r>
        <w:rPr>
          <w:rFonts w:ascii="宋体" w:hAnsi="宋体" w:eastAsia="宋体" w:cs="Times New Roman"/>
        </w:rPr>
        <w:t>西教条”;假如说,撇开资产终极所有权,由资产的使用权、收入享受权和自由转让权组成的私有产权,是市场交易和市场经济存在的先决条件,这显得不够全面。原因在于,由资产的使用权、收入享受权和自由转让权耦合的产权,不一定只可采取</w:t>
      </w:r>
      <w:r>
        <w:rPr>
          <w:rFonts w:hint="eastAsia" w:ascii="宋体" w:hAnsi="宋体" w:eastAsia="宋体" w:cs="Times New Roman"/>
        </w:rPr>
        <w:t>“</w:t>
      </w:r>
      <w:r>
        <w:rPr>
          <w:rFonts w:ascii="宋体" w:hAnsi="宋体" w:eastAsia="宋体" w:cs="Times New Roman"/>
        </w:rPr>
        <w:t>私人或私营机构”的</w:t>
      </w:r>
      <w:r>
        <w:rPr>
          <w:rFonts w:hint="eastAsia" w:ascii="宋体" w:hAnsi="宋体" w:eastAsia="宋体" w:cs="Times New Roman"/>
        </w:rPr>
        <w:t>“</w:t>
      </w:r>
      <w:r>
        <w:rPr>
          <w:rFonts w:ascii="宋体" w:hAnsi="宋体" w:eastAsia="宋体" w:cs="Times New Roman"/>
        </w:rPr>
        <w:t>私有产权”的形式。它也可采取合作组织、集体组织或国有民营组织的”共有产权”和</w:t>
      </w:r>
      <w:r>
        <w:rPr>
          <w:rFonts w:hint="eastAsia" w:ascii="宋体" w:hAnsi="宋体" w:eastAsia="宋体" w:cs="Times New Roman"/>
        </w:rPr>
        <w:t>“</w:t>
      </w:r>
      <w:r>
        <w:rPr>
          <w:rFonts w:ascii="宋体" w:hAnsi="宋体" w:eastAsia="宋体" w:cs="Times New Roman"/>
        </w:rPr>
        <w:t>公有产权”的形式,甚至可采取</w:t>
      </w:r>
      <w:r>
        <w:rPr>
          <w:rFonts w:hint="eastAsia" w:ascii="宋体" w:hAnsi="宋体" w:eastAsia="宋体" w:cs="Times New Roman"/>
        </w:rPr>
        <w:t>“</w:t>
      </w:r>
      <w:r>
        <w:rPr>
          <w:rFonts w:ascii="宋体" w:hAnsi="宋体" w:eastAsia="宋体" w:cs="Times New Roman"/>
        </w:rPr>
        <w:t>国有产权”的形式,自然还可采取多种</w:t>
      </w:r>
      <w:r>
        <w:rPr>
          <w:rFonts w:hint="eastAsia" w:ascii="宋体" w:hAnsi="宋体" w:eastAsia="宋体" w:cs="Times New Roman"/>
        </w:rPr>
        <w:t>“</w:t>
      </w:r>
      <w:r>
        <w:rPr>
          <w:rFonts w:ascii="宋体" w:hAnsi="宋体" w:eastAsia="宋体" w:cs="Times New Roman"/>
        </w:rPr>
        <w:t>混合产权”的形式。换句话讲,产权的类型会呈现多样化,决非</w:t>
      </w:r>
      <w:r>
        <w:rPr>
          <w:rFonts w:hint="eastAsia" w:ascii="宋体" w:hAnsi="宋体" w:eastAsia="宋体" w:cs="Times New Roman"/>
        </w:rPr>
        <w:t>“</w:t>
      </w:r>
      <w:r>
        <w:rPr>
          <w:rFonts w:ascii="宋体" w:hAnsi="宋体" w:eastAsia="宋体" w:cs="Times New Roman"/>
        </w:rPr>
        <w:t>私有产权”一种。从数百年市场经济的变迁史来看,各种产权形式在不同层次上均能同社会生产力和市场制度互相依存、互相适应,只有个人产权或私有产权才是等价交换和市场经济的先决条件这一论点,显然难以成立。</w:t>
      </w:r>
    </w:p>
    <w:p w14:paraId="771A5D63">
      <w:pPr>
        <w:spacing w:line="400" w:lineRule="exact"/>
        <w:ind w:firstLine="440" w:firstLineChars="200"/>
        <w:rPr>
          <w:rFonts w:ascii="宋体" w:hAnsi="宋体" w:eastAsia="宋体" w:cs="Times New Roman"/>
        </w:rPr>
      </w:pPr>
      <w:r>
        <w:rPr>
          <w:rFonts w:ascii="宋体" w:hAnsi="宋体" w:eastAsia="宋体" w:cs="Times New Roman"/>
        </w:rPr>
        <w:t>(四)我认为,现代西方经济学关于资源稀缺的假定和理论是有缺陷的,而王东京教授认为这一理论是正确的。他说:</w:t>
      </w:r>
      <w:r>
        <w:rPr>
          <w:rFonts w:hint="eastAsia" w:ascii="宋体" w:hAnsi="宋体" w:eastAsia="宋体" w:cs="Times New Roman"/>
        </w:rPr>
        <w:t xml:space="preserve"> “</w:t>
      </w:r>
      <w:r>
        <w:rPr>
          <w:rFonts w:ascii="宋体" w:hAnsi="宋体" w:eastAsia="宋体" w:cs="Times New Roman"/>
        </w:rPr>
        <w:t>关于资源稀缺假定和保护个人产权的假定,我想争议不大。市场经济所以强调要合理配置资源,就是因为资源稀缺,资源如若不稀缺,能敞开供应,需要多少有多少,那么还要我们研究资源配置做什么?现在有一种观点,说随着科技进步,资源将不再稀缺。比如煤烧完了可以烧油,油烧完了,还会有新的能源出现。而我要问的是,既然有煤烧,当初何必去勘探石油,现在有了石油,人们还何苦劳神费力地去开发新能源呢?答案不言自明,因为每一种资源都是有限的。科技再发达,恐怕也改变不了这个事实。至少资源无限的说法,至今尚未得到实践的检验与支持。”</w:t>
      </w:r>
    </w:p>
    <w:p w14:paraId="10E2AE8C">
      <w:pPr>
        <w:spacing w:line="400" w:lineRule="exact"/>
        <w:ind w:firstLine="440" w:firstLineChars="200"/>
        <w:rPr>
          <w:rFonts w:ascii="宋体" w:hAnsi="宋体" w:eastAsia="宋体" w:cs="Times New Roman"/>
        </w:rPr>
      </w:pPr>
      <w:r>
        <w:rPr>
          <w:rFonts w:ascii="宋体" w:hAnsi="宋体" w:eastAsia="宋体" w:cs="Times New Roman"/>
        </w:rPr>
        <w:t>从辩证思维和假定的一致性或对称性来分析,尽管西方经济学对资源与需求相互关系的描述有相当的道理,但仍然存在明显的逻辑缺陷。这是因为,当假定资源有限时,暗含着以一定的时点和条件为前提,而假定需求或需要无限时,并没有以一定的时点和条件为前提。把两个前提不一致或不对称的事物和概念放在一起加以比较,显然过于简单化和绝对化,缺乏完整的逻辑性和辩证性。从资源利用方面看,资源在一定条件下或在某个时点上是有限的,但又是无限的,因为包含资源在内的整个宇宙本身是无限的,科技发展也是无限的。从需求欲望方面看,需求在一定条件下或在某个时点上也是有限的,而且在商品经济中实际的需求,还是指有货币支付能力的需求,并非指人们脱离现实生产力和货币状况的空想性需要。合理需要本身也是受到一定约束和限制的。</w:t>
      </w:r>
    </w:p>
    <w:p w14:paraId="5A5872EC">
      <w:pPr>
        <w:spacing w:line="400" w:lineRule="exact"/>
        <w:ind w:firstLine="440" w:firstLineChars="200"/>
        <w:rPr>
          <w:rFonts w:ascii="宋体" w:hAnsi="宋体" w:eastAsia="宋体" w:cs="Times New Roman"/>
        </w:rPr>
      </w:pPr>
      <w:r>
        <w:rPr>
          <w:rFonts w:ascii="宋体" w:hAnsi="宋体" w:eastAsia="宋体" w:cs="Times New Roman"/>
        </w:rPr>
        <w:t>因此,我们作这样的假定可能更全面和科学,即假定资源和需求都是有约束的,简称</w:t>
      </w:r>
      <w:r>
        <w:rPr>
          <w:rFonts w:hint="eastAsia" w:ascii="宋体" w:hAnsi="宋体" w:eastAsia="宋体" w:cs="Times New Roman"/>
        </w:rPr>
        <w:t>“</w:t>
      </w:r>
      <w:r>
        <w:rPr>
          <w:rFonts w:ascii="宋体" w:hAnsi="宋体" w:eastAsia="宋体" w:cs="Times New Roman"/>
        </w:rPr>
        <w:t>资源和需求双约束假定”。经济学真正要掌握和处理的矛盾,在于各种资源与各种需求在某种条件下不同的选择性组合,使资源得到最佳配置,需求得到最佳满足。这是经济学要研究和操作的任务之一。可见,无论是现代马克思主义经济学,还是现代西方经济学,均要表达资源稀缺、需求满足、选择效益和节约资源等一般经济学含义,问题在于如何科学地加以理论抽象和表述。诚然,现代西方经济学有关资源与需求的这一假定,并不涉及社会根本经济制度和阶级利益,属于技术层面和思维方法的歧见,不属于我们要重点讨论的问题。</w:t>
      </w:r>
    </w:p>
    <w:p w14:paraId="3E5ED26B">
      <w:pPr>
        <w:spacing w:line="400" w:lineRule="exact"/>
        <w:ind w:firstLine="440" w:firstLineChars="200"/>
        <w:rPr>
          <w:rFonts w:ascii="宋体" w:hAnsi="宋体" w:eastAsia="宋体" w:cs="Times New Roman"/>
        </w:rPr>
      </w:pPr>
      <w:r>
        <w:rPr>
          <w:rFonts w:ascii="宋体" w:hAnsi="宋体" w:eastAsia="宋体" w:cs="Times New Roman"/>
        </w:rPr>
        <w:t>综上,资产阶级经济学具有的虚伪性、片面性与合理性、正确性是混杂在一起的,需要有当年马克思的坚定立场、高度智慧和锐利眼光,才能逐渐作出准确判断,并有扬有弃地推动经济学的与时俱进,避免倒退至马克思以前的亚当.斯密和西尼尔等鼓吹过的所谓</w:t>
      </w:r>
      <w:r>
        <w:rPr>
          <w:rFonts w:hint="eastAsia" w:ascii="宋体" w:hAnsi="宋体" w:eastAsia="宋体" w:cs="Times New Roman"/>
        </w:rPr>
        <w:t>“</w:t>
      </w:r>
      <w:r>
        <w:rPr>
          <w:rFonts w:ascii="宋体" w:hAnsi="宋体" w:eastAsia="宋体" w:cs="Times New Roman"/>
        </w:rPr>
        <w:t>自私经济人”公理及其私有产权等理论境地。</w:t>
      </w:r>
    </w:p>
    <w:p w14:paraId="161CF0AC">
      <w:pPr>
        <w:spacing w:line="400" w:lineRule="exact"/>
        <w:ind w:firstLine="500" w:firstLineChars="200"/>
        <w:jc w:val="center"/>
        <w:rPr>
          <w:rFonts w:ascii="宋体" w:hAnsi="宋体" w:eastAsia="宋体" w:cs="Times New Roman"/>
          <w:b/>
          <w:bCs/>
          <w:sz w:val="24"/>
          <w:szCs w:val="28"/>
        </w:rPr>
      </w:pPr>
      <w:bookmarkStart w:id="360" w:name="_Toc31479"/>
      <w:bookmarkStart w:id="361" w:name="_Toc12005"/>
      <w:r>
        <w:rPr>
          <w:rFonts w:ascii="宋体" w:hAnsi="宋体" w:eastAsia="宋体" w:cs="Times New Roman"/>
          <w:b/>
          <w:bCs/>
          <w:sz w:val="24"/>
          <w:szCs w:val="28"/>
        </w:rPr>
        <w:t>二、用什么理论教育干部尤其是省部级干部?</w:t>
      </w:r>
      <w:bookmarkEnd w:id="360"/>
      <w:bookmarkEnd w:id="361"/>
    </w:p>
    <w:p w14:paraId="488E4713">
      <w:pPr>
        <w:spacing w:line="400" w:lineRule="exact"/>
        <w:ind w:firstLine="440" w:firstLineChars="200"/>
        <w:rPr>
          <w:rFonts w:ascii="宋体" w:hAnsi="宋体" w:eastAsia="宋体" w:cs="Times New Roman"/>
        </w:rPr>
      </w:pPr>
      <w:r>
        <w:rPr>
          <w:rFonts w:ascii="宋体" w:hAnsi="宋体" w:eastAsia="宋体" w:cs="Times New Roman"/>
        </w:rPr>
        <w:t>王东京教授在肯定现代西方经济学基本理论是</w:t>
      </w:r>
      <w:r>
        <w:rPr>
          <w:rFonts w:hint="eastAsia" w:ascii="宋体" w:hAnsi="宋体" w:eastAsia="宋体" w:cs="Times New Roman"/>
        </w:rPr>
        <w:t>“</w:t>
      </w:r>
      <w:r>
        <w:rPr>
          <w:rFonts w:ascii="宋体" w:hAnsi="宋体" w:eastAsia="宋体" w:cs="Times New Roman"/>
        </w:rPr>
        <w:t>反复经过实践检验,颠扑不破”的真理的基础上,强调用这一经济学体系的基本理论来教育干部,尤其是</w:t>
      </w:r>
      <w:r>
        <w:rPr>
          <w:rFonts w:hint="eastAsia" w:ascii="宋体" w:hAnsi="宋体" w:eastAsia="宋体" w:cs="Times New Roman"/>
        </w:rPr>
        <w:t>“</w:t>
      </w:r>
      <w:r>
        <w:rPr>
          <w:rFonts w:ascii="宋体" w:hAnsi="宋体" w:eastAsia="宋体" w:cs="Times New Roman"/>
        </w:rPr>
        <w:t>省部级干部”、</w:t>
      </w:r>
      <w:r>
        <w:rPr>
          <w:rFonts w:hint="eastAsia" w:ascii="宋体" w:hAnsi="宋体" w:eastAsia="宋体" w:cs="Times New Roman"/>
        </w:rPr>
        <w:t xml:space="preserve"> “</w:t>
      </w:r>
      <w:r>
        <w:rPr>
          <w:rFonts w:ascii="宋体" w:hAnsi="宋体" w:eastAsia="宋体" w:cs="Times New Roman"/>
        </w:rPr>
        <w:t>主管经济工作的领导同志”和</w:t>
      </w:r>
      <w:r>
        <w:rPr>
          <w:rFonts w:hint="eastAsia" w:ascii="宋体" w:hAnsi="宋体" w:eastAsia="宋体" w:cs="Times New Roman"/>
        </w:rPr>
        <w:t>“</w:t>
      </w:r>
      <w:r>
        <w:rPr>
          <w:rFonts w:ascii="宋体" w:hAnsi="宋体" w:eastAsia="宋体" w:cs="Times New Roman"/>
        </w:rPr>
        <w:t>政策制定者”。他写道:</w:t>
      </w:r>
      <w:r>
        <w:rPr>
          <w:rFonts w:hint="eastAsia" w:ascii="宋体" w:hAnsi="宋体" w:eastAsia="宋体" w:cs="Times New Roman"/>
        </w:rPr>
        <w:t xml:space="preserve"> “</w:t>
      </w:r>
      <w:r>
        <w:rPr>
          <w:rFonts w:ascii="宋体" w:hAnsi="宋体" w:eastAsia="宋体" w:cs="Times New Roman"/>
        </w:rPr>
        <w:t>对于我们主管经济工作的领导同志来讲,天天与政策打交道,或是制定政策,或是执行政策,但如果没有掌握必要经济理论,难免会乱打仗,事倍功半不说,很多时候还会弄巧成拙。”“经济生活千变万化,而经济理论万变不离其宗,只要把握了它,就都就有了看家的本领。”王文中所说的”基本的经济学原理”、</w:t>
      </w:r>
      <w:r>
        <w:rPr>
          <w:rFonts w:hint="eastAsia" w:ascii="宋体" w:hAnsi="宋体" w:eastAsia="宋体" w:cs="Times New Roman"/>
        </w:rPr>
        <w:t xml:space="preserve"> “</w:t>
      </w:r>
      <w:r>
        <w:rPr>
          <w:rFonts w:ascii="宋体" w:hAnsi="宋体" w:eastAsia="宋体" w:cs="Times New Roman"/>
        </w:rPr>
        <w:t>必要经济理论”和</w:t>
      </w:r>
      <w:r>
        <w:rPr>
          <w:rFonts w:hint="eastAsia" w:ascii="宋体" w:hAnsi="宋体" w:eastAsia="宋体" w:cs="Times New Roman"/>
        </w:rPr>
        <w:t>“</w:t>
      </w:r>
      <w:r>
        <w:rPr>
          <w:rFonts w:ascii="宋体" w:hAnsi="宋体" w:eastAsia="宋体" w:cs="Times New Roman"/>
        </w:rPr>
        <w:t>经济理论”,均特指西方经济学的基本理论。</w:t>
      </w:r>
    </w:p>
    <w:p w14:paraId="6F2AADFD">
      <w:pPr>
        <w:spacing w:line="400" w:lineRule="exact"/>
        <w:ind w:firstLine="440" w:firstLineChars="200"/>
        <w:rPr>
          <w:rFonts w:ascii="宋体" w:hAnsi="宋体" w:eastAsia="宋体" w:cs="Times New Roman"/>
        </w:rPr>
      </w:pPr>
      <w:r>
        <w:rPr>
          <w:rFonts w:ascii="宋体" w:hAnsi="宋体" w:eastAsia="宋体" w:cs="Times New Roman"/>
        </w:rPr>
        <w:t>各级干部,特别是党政高级干部,应当学习一些现代西方经济学知识,但首先还是要用马列主义、毛泽东思想、邓小平理论和</w:t>
      </w:r>
      <w:r>
        <w:rPr>
          <w:rFonts w:hint="eastAsia" w:ascii="宋体" w:hAnsi="宋体" w:eastAsia="宋体" w:cs="Times New Roman"/>
        </w:rPr>
        <w:t>“</w:t>
      </w:r>
      <w:r>
        <w:rPr>
          <w:rFonts w:ascii="宋体" w:hAnsi="宋体" w:eastAsia="宋体" w:cs="Times New Roman"/>
        </w:rPr>
        <w:t>三个代表”重要思想,用与时俱进的马克思主义现代政治经济学理论来教育干部。因为只有在认真学习和真正掌握这些科学理论的基础上,才能搞清和借鉴现代西方经济学中的积极因素,求真务实地做好实际经济工作。倘若不用创新的马克思主义和社会主义政治经济学基本理论教育干部,特别是省部级干部,而是以教条主义的态度,直接用食洋不化的现代西方经济学基本理论来教育省部级干部,那就会导致中国社科院院长陈奎元同志最近指出的</w:t>
      </w:r>
      <w:r>
        <w:rPr>
          <w:rFonts w:hint="eastAsia" w:ascii="宋体" w:hAnsi="宋体" w:eastAsia="宋体" w:cs="Times New Roman"/>
        </w:rPr>
        <w:t>“</w:t>
      </w:r>
      <w:r>
        <w:rPr>
          <w:rFonts w:ascii="宋体" w:hAnsi="宋体" w:eastAsia="宋体" w:cs="Times New Roman"/>
        </w:rPr>
        <w:t>另一种教条主义”,即</w:t>
      </w:r>
      <w:r>
        <w:rPr>
          <w:rFonts w:hint="eastAsia" w:ascii="宋体" w:hAnsi="宋体" w:eastAsia="宋体" w:cs="Times New Roman"/>
        </w:rPr>
        <w:t>“</w:t>
      </w:r>
      <w:r>
        <w:rPr>
          <w:rFonts w:ascii="宋体" w:hAnsi="宋体" w:eastAsia="宋体" w:cs="Times New Roman"/>
        </w:rPr>
        <w:t>迷信西方发达国家反映资产阶级主流意识形态的思想理论,把西方某些资产阶级学派的理论甚至把发达资本主义国家的政策主张奉作教条”。确如陈文所说,</w:t>
      </w:r>
      <w:r>
        <w:rPr>
          <w:rFonts w:hint="eastAsia" w:ascii="宋体" w:hAnsi="宋体" w:eastAsia="宋体" w:cs="Times New Roman"/>
        </w:rPr>
        <w:t xml:space="preserve"> “</w:t>
      </w:r>
      <w:r>
        <w:rPr>
          <w:rFonts w:ascii="宋体" w:hAnsi="宋体" w:eastAsia="宋体" w:cs="Times New Roman"/>
        </w:rPr>
        <w:t>这种倾向在意识形态领域以及经济社会变革中的影响力正在上升。”[9]下面,我们以王东京教授文章中讲述较多的</w:t>
      </w:r>
      <w:r>
        <w:rPr>
          <w:rFonts w:hint="eastAsia" w:ascii="宋体" w:hAnsi="宋体" w:eastAsia="宋体" w:cs="Times New Roman"/>
        </w:rPr>
        <w:t>“</w:t>
      </w:r>
      <w:r>
        <w:rPr>
          <w:rFonts w:ascii="宋体" w:hAnsi="宋体" w:eastAsia="宋体" w:cs="Times New Roman"/>
        </w:rPr>
        <w:t>经济人”理论为例进行具体分析。</w:t>
      </w:r>
    </w:p>
    <w:p w14:paraId="02F989B8">
      <w:pPr>
        <w:spacing w:line="400" w:lineRule="exact"/>
        <w:ind w:firstLine="440" w:firstLineChars="200"/>
        <w:rPr>
          <w:rFonts w:ascii="宋体" w:hAnsi="宋体" w:eastAsia="宋体" w:cs="Times New Roman"/>
        </w:rPr>
      </w:pPr>
      <w:r>
        <w:rPr>
          <w:rFonts w:ascii="宋体" w:hAnsi="宋体" w:eastAsia="宋体" w:cs="Times New Roman"/>
        </w:rPr>
        <w:t>(一)不能用</w:t>
      </w:r>
      <w:r>
        <w:rPr>
          <w:rFonts w:hint="eastAsia" w:ascii="宋体" w:hAnsi="宋体" w:eastAsia="宋体" w:cs="Times New Roman"/>
        </w:rPr>
        <w:t>“</w:t>
      </w:r>
      <w:r>
        <w:rPr>
          <w:rFonts w:ascii="宋体" w:hAnsi="宋体" w:eastAsia="宋体" w:cs="Times New Roman"/>
        </w:rPr>
        <w:t>经济人”理论教育干部。马克思主义经典作家没有全面阐述</w:t>
      </w:r>
      <w:r>
        <w:rPr>
          <w:rFonts w:hint="eastAsia" w:ascii="宋体" w:hAnsi="宋体" w:eastAsia="宋体" w:cs="Times New Roman"/>
        </w:rPr>
        <w:t>“</w:t>
      </w:r>
      <w:r>
        <w:rPr>
          <w:rFonts w:ascii="宋体" w:hAnsi="宋体" w:eastAsia="宋体" w:cs="Times New Roman"/>
        </w:rPr>
        <w:t>经济人”理论,近现代西方经济学的</w:t>
      </w:r>
      <w:r>
        <w:rPr>
          <w:rFonts w:hint="eastAsia" w:ascii="宋体" w:hAnsi="宋体" w:eastAsia="宋体" w:cs="Times New Roman"/>
        </w:rPr>
        <w:t>“</w:t>
      </w:r>
      <w:r>
        <w:rPr>
          <w:rFonts w:ascii="宋体" w:hAnsi="宋体" w:eastAsia="宋体" w:cs="Times New Roman"/>
        </w:rPr>
        <w:t>经济人”理论又有严重错误。依据人类实践和问题导向,并受马克思主义的思想启迪,我认为应该用一种新</w:t>
      </w:r>
      <w:r>
        <w:rPr>
          <w:rFonts w:hint="eastAsia" w:ascii="宋体" w:hAnsi="宋体" w:eastAsia="宋体" w:cs="Times New Roman"/>
        </w:rPr>
        <w:t>“</w:t>
      </w:r>
      <w:r>
        <w:rPr>
          <w:rFonts w:ascii="宋体" w:hAnsi="宋体" w:eastAsia="宋体" w:cs="Times New Roman"/>
        </w:rPr>
        <w:t>经济人”假说和理论来为社会主义市场经济奠定基本假设。其方法论是整体主义、唯物主义和现实主义的,具体也包含三个基本命题:1.经济活动中的人有利己和利他两种倾向或性质。2.经济活动中的人具有理性与非理性两种状态。3.良好的制度会使经济活动中的人在增进集体利益或社会利益最大化的过程中实现合理的个人利益最大化。</w:t>
      </w:r>
    </w:p>
    <w:p w14:paraId="7F1EA565">
      <w:pPr>
        <w:spacing w:line="400" w:lineRule="exact"/>
        <w:ind w:firstLine="440" w:firstLineChars="200"/>
        <w:rPr>
          <w:rFonts w:ascii="宋体" w:hAnsi="宋体" w:eastAsia="宋体" w:cs="Times New Roman"/>
        </w:rPr>
      </w:pPr>
      <w:r>
        <w:rPr>
          <w:rFonts w:ascii="宋体" w:hAnsi="宋体" w:eastAsia="宋体" w:cs="Times New Roman"/>
        </w:rPr>
        <w:t>关于第一个命题</w:t>
      </w:r>
      <w:r>
        <w:rPr>
          <w:rFonts w:hint="eastAsia" w:ascii="宋体" w:hAnsi="宋体" w:eastAsia="宋体" w:cs="Times New Roman"/>
        </w:rPr>
        <w:t>。</w:t>
      </w:r>
      <w:r>
        <w:rPr>
          <w:rFonts w:ascii="宋体" w:hAnsi="宋体" w:eastAsia="宋体" w:cs="Times New Roman"/>
        </w:rPr>
        <w:t>作为逐渐脱离动物界和超越动物本能的人类,具有极其丰富的情感和理智,而不是表现为完全的自私性。倘若我们摆脱单向度的思维定式,超越大小私有者的眼光去观察人类经历过的社会,便可明显地看到三种情形的利他主义(他人利益泛指除自己利益以外的别人利益、集体利益、国家利益和人类利益等):(1)愿意花费自己的时间、精力和财富,来换取某种即刻可见的他人利益;(2)愿意花费自己的时间、精力和财富,来换取某种未来的他人利益;(3)愿意花费自己的时间、精力和财富,来换取某种实际无效的他人利益,即愿为他人利益付出而不讲求实际效果。除了后一种属于特殊和个别的利他行为之外,前两种利他行为既存在于单位、家庭和社会等各个范围,也存在于经济、军事、文化和政治等各个领域。可见,利己与利他是</w:t>
      </w:r>
      <w:r>
        <w:rPr>
          <w:rFonts w:hint="eastAsia" w:ascii="宋体" w:hAnsi="宋体" w:eastAsia="宋体" w:cs="Times New Roman"/>
        </w:rPr>
        <w:t>“</w:t>
      </w:r>
      <w:r>
        <w:rPr>
          <w:rFonts w:ascii="宋体" w:hAnsi="宋体" w:eastAsia="宋体" w:cs="Times New Roman"/>
        </w:rPr>
        <w:t>经济人”(经济主体)可能具有的两种行为特性和行为倾向。</w:t>
      </w:r>
    </w:p>
    <w:p w14:paraId="7830BB8A">
      <w:pPr>
        <w:spacing w:line="400" w:lineRule="exact"/>
        <w:ind w:firstLine="440" w:firstLineChars="200"/>
        <w:rPr>
          <w:rFonts w:ascii="宋体" w:hAnsi="宋体" w:eastAsia="宋体" w:cs="Times New Roman"/>
        </w:rPr>
      </w:pPr>
      <w:r>
        <w:rPr>
          <w:rFonts w:ascii="宋体" w:hAnsi="宋体" w:eastAsia="宋体" w:cs="Times New Roman"/>
        </w:rPr>
        <w:t>至于利己和利他哪种行为特征更突出或占主导地位,那就取决于社会制度和各种环境。因为人的利己与利他是一种社会网络中的互动行为,具有交互性的内在机理,总是与特定的社会整体大环境和群体小环境相关联。摩尔根在潜心探究古代印第安人的原始经济生活后描绘道:</w:t>
      </w:r>
      <w:r>
        <w:rPr>
          <w:rFonts w:hint="eastAsia" w:ascii="宋体" w:hAnsi="宋体" w:eastAsia="宋体" w:cs="Times New Roman"/>
        </w:rPr>
        <w:t xml:space="preserve"> “</w:t>
      </w:r>
      <w:r>
        <w:rPr>
          <w:rFonts w:ascii="宋体" w:hAnsi="宋体" w:eastAsia="宋体" w:cs="Times New Roman"/>
        </w:rPr>
        <w:t>在很大程度上生活中的共产制是印第安部落的生活条件的必然结果。……在他们心里还没有产生任何可见程度的个人积蓄的欲望”;</w:t>
      </w:r>
      <w:r>
        <w:rPr>
          <w:rFonts w:hint="eastAsia" w:ascii="宋体" w:hAnsi="宋体" w:eastAsia="宋体" w:cs="Times New Roman"/>
        </w:rPr>
        <w:t xml:space="preserve"> “</w:t>
      </w:r>
      <w:r>
        <w:rPr>
          <w:rFonts w:ascii="宋体" w:hAnsi="宋体" w:eastAsia="宋体" w:cs="Times New Roman"/>
        </w:rPr>
        <w:t>这些风俗习惯展示了他们的生活方式,并且揭示出他们的生活状况与文明社会的生活状况之间,以及没有个体特性的印第安家庭与文明社会高度个性化的家庭之间的巨大差异。”[10](P86、99)毋庸置疑,是以后数千年的多种私有制支配了人类社会,才促使私有经济的活动主体逐渐驱散了利他心态,甚至见利忘义,惟利是图,损人利己。</w:t>
      </w:r>
    </w:p>
    <w:p w14:paraId="0C546C04">
      <w:pPr>
        <w:spacing w:line="400" w:lineRule="exact"/>
        <w:ind w:firstLine="440" w:firstLineChars="200"/>
        <w:rPr>
          <w:rFonts w:ascii="宋体" w:hAnsi="宋体" w:eastAsia="宋体" w:cs="Times New Roman"/>
        </w:rPr>
      </w:pPr>
      <w:r>
        <w:rPr>
          <w:rFonts w:ascii="宋体" w:hAnsi="宋体" w:eastAsia="宋体" w:cs="Times New Roman"/>
        </w:rPr>
        <w:t>必须指出,把一切利他行为均视为利己行为,是不合情理的。西方经济学</w:t>
      </w:r>
      <w:r>
        <w:rPr>
          <w:rFonts w:hint="eastAsia" w:ascii="宋体" w:hAnsi="宋体" w:eastAsia="宋体" w:cs="Times New Roman"/>
        </w:rPr>
        <w:t>“</w:t>
      </w:r>
      <w:r>
        <w:rPr>
          <w:rFonts w:ascii="宋体" w:hAnsi="宋体" w:eastAsia="宋体" w:cs="Times New Roman"/>
        </w:rPr>
        <w:t>经济人”理论的解释者认为,和尚救济穷人,雷锋助人为乐,抗洪牺牲者,反法西斯者冲锋陷阵等等,都是自私的,因为当你觉得助人为乐和牺牲光荣时,已经满足了个人的心理需求和主观欲望。这种用主观欲望的满足来界定自私行为的唯心论方法,混淆了利己与利他的客观行为界限,也混淆了真善美与假恶丑的客观行为界限。我们不能不切实际地要求人们产生</w:t>
      </w:r>
      <w:r>
        <w:rPr>
          <w:rFonts w:hint="eastAsia" w:ascii="宋体" w:hAnsi="宋体" w:eastAsia="宋体" w:cs="Times New Roman"/>
        </w:rPr>
        <w:t>“</w:t>
      </w:r>
      <w:r>
        <w:rPr>
          <w:rFonts w:ascii="宋体" w:hAnsi="宋体" w:eastAsia="宋体" w:cs="Times New Roman"/>
        </w:rPr>
        <w:t>助人为悲”、</w:t>
      </w:r>
      <w:r>
        <w:rPr>
          <w:rFonts w:hint="eastAsia" w:ascii="宋体" w:hAnsi="宋体" w:eastAsia="宋体" w:cs="Times New Roman"/>
        </w:rPr>
        <w:t xml:space="preserve"> “</w:t>
      </w:r>
      <w:r>
        <w:rPr>
          <w:rFonts w:ascii="宋体" w:hAnsi="宋体" w:eastAsia="宋体" w:cs="Times New Roman"/>
        </w:rPr>
        <w:t>牺牲可耻”的心理感觉之后,才算其为利他。事实上,利己与利他、主观与客观之间的典型组合有四种:主观利己,客观利己;主观利他,客观利他;主观利己,客观利他;主观利他,客观利己。自然,其中舍去了利己的同时也可能利他、利他的同时也可能利己等复杂因素。</w:t>
      </w:r>
    </w:p>
    <w:p w14:paraId="75931797">
      <w:pPr>
        <w:spacing w:line="400" w:lineRule="exact"/>
        <w:ind w:firstLine="440" w:firstLineChars="200"/>
        <w:rPr>
          <w:rFonts w:ascii="宋体" w:hAnsi="宋体" w:eastAsia="宋体" w:cs="Times New Roman"/>
        </w:rPr>
      </w:pPr>
      <w:r>
        <w:rPr>
          <w:rFonts w:ascii="宋体" w:hAnsi="宋体" w:eastAsia="宋体" w:cs="Times New Roman"/>
        </w:rPr>
        <w:t>关于第二个命题</w:t>
      </w:r>
      <w:r>
        <w:rPr>
          <w:rFonts w:hint="eastAsia" w:ascii="宋体" w:hAnsi="宋体" w:eastAsia="宋体" w:cs="Times New Roman"/>
        </w:rPr>
        <w:t>。</w:t>
      </w:r>
      <w:r>
        <w:rPr>
          <w:rFonts w:ascii="宋体" w:hAnsi="宋体" w:eastAsia="宋体" w:cs="Times New Roman"/>
        </w:rPr>
        <w:t>与一般自然界的动物相比,人是有理性的动物。人的正常行为是从一定的理性出发,并反映人们对于个人与他人、与社会、与自然的相互关系的思考,这种思考决定着行为的形式和内容。广义地说,理性具有纯洁与肮脏、合理与荒唐、正义与邪恶、完善与欠缺、不变与可变、单一与多样、简单与复杂等特性。哲学家尼布尔正是在宽泛的意义上声称,理性归根结底是一种工具,既能服务于善,也能服务于恶。不过,狭义地说,理性是指认识的纯洁、合理、正义和完善,是认识能力强和认识的高级阶段,而认识的不纯洁甚至肮脏、不合理甚至荒唐、不正义甚至邪恶以及不完善甚至欠缺,便相对地算作非理性。这就是为何很多哲学家和经济学家歌颂真正理性的缘由。可见,理性与非理性一般呈现出相对性、程度性和历史性。难怪马克思说:</w:t>
      </w:r>
      <w:r>
        <w:rPr>
          <w:rFonts w:hint="eastAsia" w:ascii="宋体" w:hAnsi="宋体" w:eastAsia="宋体" w:cs="Times New Roman"/>
        </w:rPr>
        <w:t xml:space="preserve"> “</w:t>
      </w:r>
      <w:r>
        <w:rPr>
          <w:rFonts w:ascii="宋体" w:hAnsi="宋体" w:eastAsia="宋体" w:cs="Times New Roman"/>
        </w:rPr>
        <w:t>人类理性最不纯洁,因为它只具有不完备的见解,每走一步要遇到新的待解决的任务”。[11](Р151)</w:t>
      </w:r>
    </w:p>
    <w:p w14:paraId="37B2306A">
      <w:pPr>
        <w:spacing w:line="400" w:lineRule="exact"/>
        <w:ind w:firstLine="440" w:firstLineChars="200"/>
        <w:rPr>
          <w:rFonts w:ascii="宋体" w:hAnsi="宋体" w:eastAsia="宋体" w:cs="Times New Roman"/>
        </w:rPr>
      </w:pPr>
      <w:r>
        <w:rPr>
          <w:rFonts w:ascii="宋体" w:hAnsi="宋体" w:eastAsia="宋体" w:cs="Times New Roman"/>
        </w:rPr>
        <w:t>从狭义角度分析,经济活动中的人具有理性与非理性两种状态。循着上述确立的新观点,就可以合乎逻辑地解答中外学术界争论不休的难题。例如,抢银行是不是理性的?盗窃是不是理性的?卖淫是不是理性的(波斯纳曾分析过)?造假货是不是理性的?抽烟是不是理性的?从新</w:t>
      </w:r>
      <w:r>
        <w:rPr>
          <w:rFonts w:hint="eastAsia" w:ascii="宋体" w:hAnsi="宋体" w:eastAsia="宋体" w:cs="Times New Roman"/>
        </w:rPr>
        <w:t>“</w:t>
      </w:r>
      <w:r>
        <w:rPr>
          <w:rFonts w:ascii="宋体" w:hAnsi="宋体" w:eastAsia="宋体" w:cs="Times New Roman"/>
        </w:rPr>
        <w:t>经济人”的理论来辨析,此类经济活动均属非理性,尽管他们在行动前一般经过关于构成其行为动机的目的和限制其达到目标的约束条件等</w:t>
      </w:r>
      <w:r>
        <w:rPr>
          <w:rFonts w:hint="eastAsia" w:ascii="宋体" w:hAnsi="宋体" w:eastAsia="宋体" w:cs="Times New Roman"/>
        </w:rPr>
        <w:t>“</w:t>
      </w:r>
      <w:r>
        <w:rPr>
          <w:rFonts w:ascii="宋体" w:hAnsi="宋体" w:eastAsia="宋体" w:cs="Times New Roman"/>
        </w:rPr>
        <w:t>理性”的思考(这是西方经济学的</w:t>
      </w:r>
      <w:r>
        <w:rPr>
          <w:rFonts w:hint="eastAsia" w:ascii="宋体" w:hAnsi="宋体" w:eastAsia="宋体" w:cs="Times New Roman"/>
        </w:rPr>
        <w:t>“</w:t>
      </w:r>
      <w:r>
        <w:rPr>
          <w:rFonts w:ascii="宋体" w:hAnsi="宋体" w:eastAsia="宋体" w:cs="Times New Roman"/>
        </w:rPr>
        <w:t>经济人”理论所强调的)。其实,西蒙以企业家只能寻求</w:t>
      </w:r>
      <w:r>
        <w:rPr>
          <w:rFonts w:hint="eastAsia" w:ascii="宋体" w:hAnsi="宋体" w:eastAsia="宋体" w:cs="Times New Roman"/>
        </w:rPr>
        <w:t>“</w:t>
      </w:r>
      <w:r>
        <w:rPr>
          <w:rFonts w:ascii="宋体" w:hAnsi="宋体" w:eastAsia="宋体" w:cs="Times New Roman"/>
        </w:rPr>
        <w:t>满意的利润”和</w:t>
      </w:r>
      <w:r>
        <w:rPr>
          <w:rFonts w:hint="eastAsia" w:ascii="宋体" w:hAnsi="宋体" w:eastAsia="宋体" w:cs="Times New Roman"/>
        </w:rPr>
        <w:t>“</w:t>
      </w:r>
      <w:r>
        <w:rPr>
          <w:rFonts w:ascii="宋体" w:hAnsi="宋体" w:eastAsia="宋体" w:cs="Times New Roman"/>
        </w:rPr>
        <w:t>足够好”为例,来用</w:t>
      </w:r>
      <w:r>
        <w:rPr>
          <w:rFonts w:hint="eastAsia" w:ascii="宋体" w:hAnsi="宋体" w:eastAsia="宋体" w:cs="Times New Roman"/>
        </w:rPr>
        <w:t>“</w:t>
      </w:r>
      <w:r>
        <w:rPr>
          <w:rFonts w:ascii="宋体" w:hAnsi="宋体" w:eastAsia="宋体" w:cs="Times New Roman"/>
        </w:rPr>
        <w:t>有限理性”否定</w:t>
      </w:r>
      <w:r>
        <w:rPr>
          <w:rFonts w:hint="eastAsia" w:ascii="宋体" w:hAnsi="宋体" w:eastAsia="宋体" w:cs="Times New Roman"/>
        </w:rPr>
        <w:t>“</w:t>
      </w:r>
      <w:r>
        <w:rPr>
          <w:rFonts w:ascii="宋体" w:hAnsi="宋体" w:eastAsia="宋体" w:cs="Times New Roman"/>
        </w:rPr>
        <w:t>最大化的理性”,是不能推翻西方经济学的</w:t>
      </w:r>
      <w:r>
        <w:rPr>
          <w:rFonts w:hint="eastAsia" w:ascii="宋体" w:hAnsi="宋体" w:eastAsia="宋体" w:cs="Times New Roman"/>
        </w:rPr>
        <w:t>“</w:t>
      </w:r>
      <w:r>
        <w:rPr>
          <w:rFonts w:ascii="宋体" w:hAnsi="宋体" w:eastAsia="宋体" w:cs="Times New Roman"/>
        </w:rPr>
        <w:t>经济人”理论的,因为谁又会主张</w:t>
      </w:r>
      <w:r>
        <w:rPr>
          <w:rFonts w:hint="eastAsia" w:ascii="宋体" w:hAnsi="宋体" w:eastAsia="宋体" w:cs="Times New Roman"/>
        </w:rPr>
        <w:t>“</w:t>
      </w:r>
      <w:r>
        <w:rPr>
          <w:rFonts w:ascii="宋体" w:hAnsi="宋体" w:eastAsia="宋体" w:cs="Times New Roman"/>
        </w:rPr>
        <w:t>无限理性”和百分之百的</w:t>
      </w:r>
      <w:r>
        <w:rPr>
          <w:rFonts w:hint="eastAsia" w:ascii="宋体" w:hAnsi="宋体" w:eastAsia="宋体" w:cs="Times New Roman"/>
        </w:rPr>
        <w:t>“</w:t>
      </w:r>
      <w:r>
        <w:rPr>
          <w:rFonts w:ascii="宋体" w:hAnsi="宋体" w:eastAsia="宋体" w:cs="Times New Roman"/>
        </w:rPr>
        <w:t>完全理性”呢?理性上追求约束条件下的利润最大化,不等于实际经济生活中能实现,但无法因此而否定</w:t>
      </w:r>
      <w:r>
        <w:rPr>
          <w:rFonts w:hint="eastAsia" w:ascii="宋体" w:hAnsi="宋体" w:eastAsia="宋体" w:cs="Times New Roman"/>
        </w:rPr>
        <w:t>“</w:t>
      </w:r>
      <w:r>
        <w:rPr>
          <w:rFonts w:ascii="宋体" w:hAnsi="宋体" w:eastAsia="宋体" w:cs="Times New Roman"/>
        </w:rPr>
        <w:t>最大化的理性”。况且,在约束条件下寻求</w:t>
      </w:r>
      <w:r>
        <w:rPr>
          <w:rFonts w:hint="eastAsia" w:ascii="宋体" w:hAnsi="宋体" w:eastAsia="宋体" w:cs="Times New Roman"/>
        </w:rPr>
        <w:t>“</w:t>
      </w:r>
      <w:r>
        <w:rPr>
          <w:rFonts w:ascii="宋体" w:hAnsi="宋体" w:eastAsia="宋体" w:cs="Times New Roman"/>
        </w:rPr>
        <w:t>满意的利润”和</w:t>
      </w:r>
      <w:r>
        <w:rPr>
          <w:rFonts w:hint="eastAsia" w:ascii="宋体" w:hAnsi="宋体" w:eastAsia="宋体" w:cs="Times New Roman"/>
        </w:rPr>
        <w:t>“</w:t>
      </w:r>
      <w:r>
        <w:rPr>
          <w:rFonts w:ascii="宋体" w:hAnsi="宋体" w:eastAsia="宋体" w:cs="Times New Roman"/>
        </w:rPr>
        <w:t>足够好”,实质上就是理性所寻求的利益相对最大化。</w:t>
      </w:r>
    </w:p>
    <w:p w14:paraId="10040AE2">
      <w:pPr>
        <w:spacing w:line="400" w:lineRule="exact"/>
        <w:ind w:firstLine="440" w:firstLineChars="200"/>
        <w:rPr>
          <w:rFonts w:ascii="宋体" w:hAnsi="宋体" w:eastAsia="宋体" w:cs="Times New Roman"/>
        </w:rPr>
      </w:pPr>
      <w:r>
        <w:rPr>
          <w:rFonts w:ascii="宋体" w:hAnsi="宋体" w:eastAsia="宋体" w:cs="Times New Roman"/>
        </w:rPr>
        <w:t>关于第三个命题O在私有经济范围内,个人追求自身利益最大化的自由行动会无意而程度不同地增减社会公共利益,并非如西方经济学的</w:t>
      </w:r>
      <w:r>
        <w:rPr>
          <w:rFonts w:hint="eastAsia" w:ascii="宋体" w:hAnsi="宋体" w:eastAsia="宋体" w:cs="Times New Roman"/>
        </w:rPr>
        <w:t>“</w:t>
      </w:r>
      <w:r>
        <w:rPr>
          <w:rFonts w:ascii="宋体" w:hAnsi="宋体" w:eastAsia="宋体" w:cs="Times New Roman"/>
        </w:rPr>
        <w:t>经济人”理论所说的,只要有良好的制度保证,个人追求自身利益最大化的自由行动肯定会无意而有效地增进社会公共利益。这是因为:根本经济制度与具体经济制度(确切地说是具体经济体制)有紧密的关联,私有制必然从根本上限制良好经济制度或体制的建立和健全﹔个人一味地优先追求自身利益最大化,经常会同各类群体利益和社会利益发生矛盾与冲突,个人利益的总和不一定等于群体利益或社会利益的总和与潜在的最大化。</w:t>
      </w:r>
    </w:p>
    <w:p w14:paraId="7C6F10AB">
      <w:pPr>
        <w:spacing w:line="400" w:lineRule="exact"/>
        <w:ind w:firstLine="440" w:firstLineChars="200"/>
        <w:rPr>
          <w:rFonts w:ascii="宋体" w:hAnsi="宋体" w:eastAsia="宋体" w:cs="Times New Roman"/>
        </w:rPr>
      </w:pPr>
      <w:r>
        <w:rPr>
          <w:rFonts w:ascii="宋体" w:hAnsi="宋体" w:eastAsia="宋体" w:cs="Times New Roman"/>
        </w:rPr>
        <w:t>从理论上分析,在社会公有经济范围内,良好的制度会使经济活动中的人在增进集体利益和社会利益最大化的过程中实现合理的个人利益最大化。这是因为:在良好的制度下,公有经济的基点是为集体或社会谋利益,作为在其中活动的个人及其理性首先要服从集体理性或社会理性,即首先寻求集体利益最大化(类似戴维·米勒等所说的</w:t>
      </w:r>
      <w:r>
        <w:rPr>
          <w:rFonts w:hint="eastAsia" w:ascii="宋体" w:hAnsi="宋体" w:eastAsia="宋体" w:cs="Times New Roman"/>
        </w:rPr>
        <w:t>“</w:t>
      </w:r>
      <w:r>
        <w:rPr>
          <w:rFonts w:ascii="宋体" w:hAnsi="宋体" w:eastAsia="宋体" w:cs="Times New Roman"/>
        </w:rPr>
        <w:t>社群”,但这里不谈社会理性与集体理性的矛盾)或社会利益最大化,否则,就会因个人主义而受到利益制约和利益损失﹔在良好的制度下,已经取得相对最大化的集体利益或社会利益,必然较公平地分配到每个人(如按劳分配等),从而最终实现个人利益的最大化。可见,现代政治经济学与现代西方经济学在</w:t>
      </w:r>
      <w:r>
        <w:rPr>
          <w:rFonts w:hint="eastAsia" w:ascii="宋体" w:hAnsi="宋体" w:eastAsia="宋体" w:cs="Times New Roman"/>
        </w:rPr>
        <w:t>“</w:t>
      </w:r>
      <w:r>
        <w:rPr>
          <w:rFonts w:ascii="宋体" w:hAnsi="宋体" w:eastAsia="宋体" w:cs="Times New Roman"/>
        </w:rPr>
        <w:t>产权保护理论”和</w:t>
      </w:r>
      <w:r>
        <w:rPr>
          <w:rFonts w:hint="eastAsia" w:ascii="宋体" w:hAnsi="宋体" w:eastAsia="宋体" w:cs="Times New Roman"/>
        </w:rPr>
        <w:t>“</w:t>
      </w:r>
      <w:r>
        <w:rPr>
          <w:rFonts w:ascii="宋体" w:hAnsi="宋体" w:eastAsia="宋体" w:cs="Times New Roman"/>
        </w:rPr>
        <w:t>利益最大化原理”的实质性诠释上,也是有重要区别的。</w:t>
      </w:r>
    </w:p>
    <w:p w14:paraId="78A32DF3">
      <w:pPr>
        <w:spacing w:line="400" w:lineRule="exact"/>
        <w:ind w:firstLine="440" w:firstLineChars="200"/>
        <w:rPr>
          <w:rFonts w:ascii="宋体" w:hAnsi="宋体" w:eastAsia="宋体" w:cs="Times New Roman"/>
        </w:rPr>
      </w:pPr>
      <w:r>
        <w:rPr>
          <w:rFonts w:ascii="宋体" w:hAnsi="宋体" w:eastAsia="宋体" w:cs="Times New Roman"/>
        </w:rPr>
        <w:t>现在,直观的流行思维可能会以某些公有企业不景气为理由来非议上述理念,这肯定不能成立。诚然,以上理论探析的正确性有待于详细的逻辑证明和实践检验,尤其是公有制能否实际达到高绩效,须以高水平管理的操作为前提。但迄今为止的公有制实践,已经部分地有力证实了新</w:t>
      </w:r>
      <w:r>
        <w:rPr>
          <w:rFonts w:hint="eastAsia" w:ascii="宋体" w:hAnsi="宋体" w:eastAsia="宋体" w:cs="Times New Roman"/>
        </w:rPr>
        <w:t>“</w:t>
      </w:r>
      <w:r>
        <w:rPr>
          <w:rFonts w:ascii="宋体" w:hAnsi="宋体" w:eastAsia="宋体" w:cs="Times New Roman"/>
        </w:rPr>
        <w:t>经济人”理论。20世纪最有影响的基督教哲学家尼布尔作出了杰出的预见:</w:t>
      </w:r>
      <w:r>
        <w:rPr>
          <w:rFonts w:hint="eastAsia" w:ascii="宋体" w:hAnsi="宋体" w:eastAsia="宋体" w:cs="Times New Roman"/>
        </w:rPr>
        <w:t xml:space="preserve"> “</w:t>
      </w:r>
      <w:r>
        <w:rPr>
          <w:rFonts w:ascii="宋体" w:hAnsi="宋体" w:eastAsia="宋体" w:cs="Times New Roman"/>
        </w:rPr>
        <w:t>社会冲突和不公正的根源建立在人的无知与自私上”,资本主义</w:t>
      </w:r>
      <w:r>
        <w:rPr>
          <w:rFonts w:hint="eastAsia" w:ascii="宋体" w:hAnsi="宋体" w:eastAsia="宋体" w:cs="Times New Roman"/>
        </w:rPr>
        <w:t>“</w:t>
      </w:r>
      <w:r>
        <w:rPr>
          <w:rFonts w:ascii="宋体" w:hAnsi="宋体" w:eastAsia="宋体" w:cs="Times New Roman"/>
        </w:rPr>
        <w:t>通过使人的关系带有日益增强的技术性而更清楚地揭示出人类活动的经济动机,它使经济学家亚当·斯密抽象出来的经济人成为活生生的现实。……通过使一个具有特定经济地位的个人更明确地加入一个自觉的社会政治集团并让他们建立起能表达集团共同利益的组织,从而加剧了阶级之间的冲突和对抗。……事实上,马克思主义的社会主义足够正确地说明了产业工人对社会和历史的看法,从而使它成为所有自觉的有政治才智的产业工人可以接受的社会和政治哲学。”[12](Р19、114~115)这位思想大师的论述,可以在某种程度上佐证新</w:t>
      </w:r>
      <w:r>
        <w:rPr>
          <w:rFonts w:hint="eastAsia" w:ascii="宋体" w:hAnsi="宋体" w:eastAsia="宋体" w:cs="Times New Roman"/>
        </w:rPr>
        <w:t>“</w:t>
      </w:r>
      <w:r>
        <w:rPr>
          <w:rFonts w:ascii="宋体" w:hAnsi="宋体" w:eastAsia="宋体" w:cs="Times New Roman"/>
        </w:rPr>
        <w:t>经济人”的假设和理论,有益于我们在现阶段坚持以公有制为主体的市场经济和共产主义的远大信念。</w:t>
      </w:r>
    </w:p>
    <w:p w14:paraId="1F6ED6ED">
      <w:pPr>
        <w:spacing w:line="400" w:lineRule="exact"/>
        <w:ind w:firstLine="440" w:firstLineChars="200"/>
        <w:rPr>
          <w:rFonts w:ascii="宋体" w:hAnsi="宋体" w:eastAsia="宋体" w:cs="Times New Roman"/>
        </w:rPr>
      </w:pPr>
      <w:r>
        <w:rPr>
          <w:rFonts w:ascii="宋体" w:hAnsi="宋体" w:eastAsia="宋体" w:cs="Times New Roman"/>
        </w:rPr>
        <w:t>(二)不能用</w:t>
      </w:r>
      <w:r>
        <w:rPr>
          <w:rFonts w:hint="eastAsia" w:ascii="宋体" w:hAnsi="宋体" w:eastAsia="宋体" w:cs="Times New Roman"/>
        </w:rPr>
        <w:t>“</w:t>
      </w:r>
      <w:r>
        <w:rPr>
          <w:rFonts w:ascii="宋体" w:hAnsi="宋体" w:eastAsia="宋体" w:cs="Times New Roman"/>
        </w:rPr>
        <w:t>经济人”理论分析和解决干部中存在的问题。我们还是从王东京教授对现代西方经济学</w:t>
      </w:r>
      <w:r>
        <w:rPr>
          <w:rFonts w:hint="eastAsia" w:ascii="宋体" w:hAnsi="宋体" w:eastAsia="宋体" w:cs="Times New Roman"/>
        </w:rPr>
        <w:t>“</w:t>
      </w:r>
      <w:r>
        <w:rPr>
          <w:rFonts w:ascii="宋体" w:hAnsi="宋体" w:eastAsia="宋体" w:cs="Times New Roman"/>
        </w:rPr>
        <w:t>经济人”理论的阐发说起。王教授写道:</w:t>
      </w:r>
      <w:r>
        <w:rPr>
          <w:rFonts w:hint="eastAsia" w:ascii="宋体" w:hAnsi="宋体" w:eastAsia="宋体" w:cs="Times New Roman"/>
        </w:rPr>
        <w:t xml:space="preserve"> “</w:t>
      </w:r>
      <w:r>
        <w:rPr>
          <w:rFonts w:ascii="宋体" w:hAnsi="宋体" w:eastAsia="宋体" w:cs="Times New Roman"/>
        </w:rPr>
        <w:t>我们为什么要提倡无私奉献?因为人们客观上都是自私的,能做到无私不容易,所以对能做到无私的先进人物,理所当然要予以鼓励。但鼓励是一回事,客观存在又是另一回事,假如我们把要鼓励的东西,当作已经存在的,那就大错特错了。这方面我们有过教训,最典型的就是把政府官员都当作无私奉献的圣人,所以长期实行低工资制度。结果如何呢?一是政府效率低,二是腐败屡禁不止。各国经验表明,高薪未必一定养廉,但低薪肯定导致腐败。”对此我们作三点评析:1.人有利己与利他两重性,在不同的社会环境和教育中会有不同程度的表现,并非”客观上都是自私的”,因而可以通过改进社会环境和教育来普遍提升人的利他性。2.社会主义国家的政府官员应是”新经济人”即公共利益与个人利益相结合的”公共人”,其行为要服从社会利益最大化,而非个人利益第一。3.高薪与低薪是相对的,要具体放到特定时期的社会各个群体中加以比较分析,但现有的各国实证资料,均没有一致证明官员薪水的高低与效率和腐败有”肯定”的方向性和比例性的变动。</w:t>
      </w:r>
    </w:p>
    <w:p w14:paraId="367301CB">
      <w:pPr>
        <w:spacing w:line="400" w:lineRule="exact"/>
        <w:ind w:firstLine="440" w:firstLineChars="200"/>
        <w:rPr>
          <w:rFonts w:ascii="宋体" w:hAnsi="宋体" w:eastAsia="宋体" w:cs="Times New Roman"/>
        </w:rPr>
      </w:pPr>
      <w:r>
        <w:rPr>
          <w:rFonts w:ascii="宋体" w:hAnsi="宋体" w:eastAsia="宋体" w:cs="Times New Roman"/>
        </w:rPr>
        <w:t>王教授强调:</w:t>
      </w:r>
      <w:r>
        <w:rPr>
          <w:rFonts w:hint="eastAsia" w:ascii="宋体" w:hAnsi="宋体" w:eastAsia="宋体" w:cs="Times New Roman"/>
        </w:rPr>
        <w:t>“</w:t>
      </w:r>
      <w:r>
        <w:rPr>
          <w:rFonts w:ascii="宋体" w:hAnsi="宋体" w:eastAsia="宋体" w:cs="Times New Roman"/>
        </w:rPr>
        <w:t>国有企业效益为什么不好?因为它只追求产值最大化,不讲求利润最大化。.…所以国企改革最根本的问题,是要确立企业的市场主体</w:t>
      </w:r>
      <w:r>
        <w:rPr>
          <w:rFonts w:hint="eastAsia" w:ascii="宋体" w:hAnsi="宋体" w:eastAsia="宋体" w:cs="Times New Roman"/>
        </w:rPr>
        <w:t>“</w:t>
      </w:r>
      <w:r>
        <w:rPr>
          <w:rFonts w:ascii="宋体" w:hAnsi="宋体" w:eastAsia="宋体" w:cs="Times New Roman"/>
        </w:rPr>
        <w:t>经济人</w:t>
      </w:r>
      <w:r>
        <w:rPr>
          <w:rFonts w:hint="eastAsia" w:ascii="宋体" w:hAnsi="宋体" w:eastAsia="宋体" w:cs="Times New Roman"/>
        </w:rPr>
        <w:t>”</w:t>
      </w:r>
      <w:r>
        <w:rPr>
          <w:rFonts w:ascii="宋体" w:hAnsi="宋体" w:eastAsia="宋体" w:cs="Times New Roman"/>
        </w:rPr>
        <w:t>(地位,承认经营者和员工是经济人)承包制也好,股份制也罢,其实都是为了把企业变成有独立经济利益的经济实体,迫使它追求利润最大化。……因为经营者还是国家干部,职工还是国家职工,他们还不是真正意义上的</w:t>
      </w:r>
      <w:r>
        <w:rPr>
          <w:rFonts w:hint="eastAsia" w:ascii="宋体" w:hAnsi="宋体" w:eastAsia="宋体" w:cs="Times New Roman"/>
        </w:rPr>
        <w:t>“</w:t>
      </w:r>
      <w:r>
        <w:rPr>
          <w:rFonts w:ascii="宋体" w:hAnsi="宋体" w:eastAsia="宋体" w:cs="Times New Roman"/>
        </w:rPr>
        <w:t>经济人</w:t>
      </w:r>
      <w:r>
        <w:rPr>
          <w:rFonts w:hint="eastAsia" w:ascii="宋体" w:hAnsi="宋体" w:eastAsia="宋体" w:cs="Times New Roman"/>
        </w:rPr>
        <w:t>”</w:t>
      </w:r>
      <w:r>
        <w:rPr>
          <w:rFonts w:ascii="宋体" w:hAnsi="宋体" w:eastAsia="宋体" w:cs="Times New Roman"/>
        </w:rPr>
        <w:t>。所以下一步的改革,就得取消企业的行政级别,取消经营者的干部身份,取消职工的国家身份。经营者和职工一旦成为</w:t>
      </w:r>
      <w:r>
        <w:rPr>
          <w:rFonts w:hint="eastAsia" w:ascii="宋体" w:hAnsi="宋体" w:eastAsia="宋体" w:cs="Times New Roman"/>
        </w:rPr>
        <w:t>“</w:t>
      </w:r>
      <w:r>
        <w:rPr>
          <w:rFonts w:ascii="宋体" w:hAnsi="宋体" w:eastAsia="宋体" w:cs="Times New Roman"/>
        </w:rPr>
        <w:t>经济人</w:t>
      </w:r>
      <w:r>
        <w:rPr>
          <w:rFonts w:hint="eastAsia" w:ascii="宋体" w:hAnsi="宋体" w:eastAsia="宋体" w:cs="Times New Roman"/>
        </w:rPr>
        <w:t>”</w:t>
      </w:r>
      <w:r>
        <w:rPr>
          <w:rFonts w:ascii="宋体" w:hAnsi="宋体" w:eastAsia="宋体" w:cs="Times New Roman"/>
        </w:rPr>
        <w:t>,必然要追求自身利益的最大化,那么怎样把个人对利益最大化的追求,转变为企业追求利益最大化的动力呢?这里的关键,在于建立和完善企业内部的激励约束机制。”我们认为,西方经济学及马克思主义经济学都认为,私有制经济中的人都是自私经济人,包括雇主与雇员,但在公有经济中,德国历史学派强调要</w:t>
      </w:r>
      <w:r>
        <w:rPr>
          <w:rFonts w:hint="eastAsia" w:ascii="宋体" w:hAnsi="宋体" w:eastAsia="宋体" w:cs="Times New Roman"/>
        </w:rPr>
        <w:t>“</w:t>
      </w:r>
      <w:r>
        <w:rPr>
          <w:rFonts w:ascii="宋体" w:hAnsi="宋体" w:eastAsia="宋体" w:cs="Times New Roman"/>
        </w:rPr>
        <w:t>以社会全体利益为行动准则”,</w:t>
      </w:r>
      <w:r>
        <w:rPr>
          <w:rFonts w:hint="eastAsia" w:ascii="宋体" w:hAnsi="宋体" w:eastAsia="宋体" w:cs="Times New Roman"/>
        </w:rPr>
        <w:t xml:space="preserve"> “</w:t>
      </w:r>
      <w:r>
        <w:rPr>
          <w:rFonts w:ascii="宋体" w:hAnsi="宋体" w:eastAsia="宋体" w:cs="Times New Roman"/>
        </w:rPr>
        <w:t>新经济人”论则主张经营者和职工不能都成为千方百计只追求个人利益的自私经济人,其个人利益的充分实现要纳入集体利益和社会利益的轨道)然而,由于学界日益在理论和实践上大力推崇</w:t>
      </w:r>
      <w:r>
        <w:rPr>
          <w:rFonts w:hint="eastAsia" w:ascii="宋体" w:hAnsi="宋体" w:eastAsia="宋体" w:cs="Times New Roman"/>
        </w:rPr>
        <w:t>“</w:t>
      </w:r>
      <w:r>
        <w:rPr>
          <w:rFonts w:ascii="宋体" w:hAnsi="宋体" w:eastAsia="宋体" w:cs="Times New Roman"/>
        </w:rPr>
        <w:t>人为财死,鸟为食亡”的自私精神及其做法,因而加重了公有企业的种种问题,加大了其改革难度和成本,使激励和约束机制无法圆满实现)</w:t>
      </w:r>
    </w:p>
    <w:p w14:paraId="6E734852">
      <w:pPr>
        <w:spacing w:line="400" w:lineRule="exact"/>
        <w:ind w:firstLine="440" w:firstLineChars="200"/>
        <w:rPr>
          <w:rFonts w:ascii="宋体" w:hAnsi="宋体" w:eastAsia="宋体" w:cs="Times New Roman"/>
        </w:rPr>
      </w:pPr>
      <w:r>
        <w:rPr>
          <w:rFonts w:ascii="宋体" w:hAnsi="宋体" w:eastAsia="宋体" w:cs="Times New Roman"/>
        </w:rPr>
        <w:t>王教授提出:</w:t>
      </w:r>
      <w:r>
        <w:rPr>
          <w:rFonts w:hint="eastAsia" w:ascii="宋体" w:hAnsi="宋体" w:eastAsia="宋体" w:cs="Times New Roman"/>
        </w:rPr>
        <w:t xml:space="preserve"> “</w:t>
      </w:r>
      <w:r>
        <w:rPr>
          <w:rFonts w:ascii="宋体" w:hAnsi="宋体" w:eastAsia="宋体" w:cs="Times New Roman"/>
        </w:rPr>
        <w:t>关于重复建设问题,中央近些年是三令五申,可为什么地方政府还是对重复建设乐此不疲?原因是地方政府也是经济人,要追求地方利益最大化)……所以解决重复建设问题,关键不是要反对地方利益与地方保护主义,而是要运用经济规律,摆平地方利益)如果地方政府都不追求地方利益;保护地方利益,全国经济发展的动力从哪里来?这样的地方政府,老百姓会拥护吗?”对此也作两点评析:1.在社会主义国家,地方政府及其官员不应不顾国家利益和人民利益,只</w:t>
      </w:r>
      <w:r>
        <w:rPr>
          <w:rFonts w:hint="eastAsia" w:ascii="宋体" w:hAnsi="宋体" w:eastAsia="宋体" w:cs="Times New Roman"/>
        </w:rPr>
        <w:t>“</w:t>
      </w:r>
      <w:r>
        <w:rPr>
          <w:rFonts w:ascii="宋体" w:hAnsi="宋体" w:eastAsia="宋体" w:cs="Times New Roman"/>
        </w:rPr>
        <w:t>追求地方利益最大化”和</w:t>
      </w:r>
      <w:r>
        <w:rPr>
          <w:rFonts w:hint="eastAsia" w:ascii="宋体" w:hAnsi="宋体" w:eastAsia="宋体" w:cs="Times New Roman"/>
        </w:rPr>
        <w:t>“</w:t>
      </w:r>
      <w:r>
        <w:rPr>
          <w:rFonts w:ascii="宋体" w:hAnsi="宋体" w:eastAsia="宋体" w:cs="Times New Roman"/>
        </w:rPr>
        <w:t>个人利益最大化”。目前,我国地方政府存在的不计成本和风险的重复建设,违反市场竞争原则的保护主义,放松打击损害国家;人民和其他地方利益的假冒伪劣商品和经济违法现象等等,已经触目惊心,难道我们还能在学理上对此予以支持吗?2.既</w:t>
      </w:r>
      <w:r>
        <w:rPr>
          <w:rFonts w:hint="eastAsia" w:ascii="宋体" w:hAnsi="宋体" w:eastAsia="宋体" w:cs="Times New Roman"/>
        </w:rPr>
        <w:t>“</w:t>
      </w:r>
      <w:r>
        <w:rPr>
          <w:rFonts w:ascii="宋体" w:hAnsi="宋体" w:eastAsia="宋体" w:cs="Times New Roman"/>
        </w:rPr>
        <w:t>要运用经济规律,摆平地方利益”,也要在学理上批驳地方政府只追求地方利益最大化的合理性和正当性,更要严格立法和执法,运用经济;法律;教育;行政和组织等多种手段加以综合治理,确保国家宏观调控的有效性,促进科学发展观;科学改革观;科学开放观和正确政绩观的真正确立与充分实现。</w:t>
      </w:r>
    </w:p>
    <w:p w14:paraId="37BE6A95">
      <w:pPr>
        <w:spacing w:line="400" w:lineRule="exact"/>
        <w:ind w:firstLine="500" w:firstLineChars="200"/>
        <w:jc w:val="center"/>
        <w:rPr>
          <w:rFonts w:ascii="宋体" w:hAnsi="宋体" w:eastAsia="宋体" w:cs="Times New Roman"/>
          <w:b/>
          <w:bCs/>
          <w:sz w:val="24"/>
          <w:szCs w:val="28"/>
        </w:rPr>
      </w:pPr>
      <w:bookmarkStart w:id="362" w:name="_Toc11567"/>
      <w:bookmarkStart w:id="363" w:name="_Toc15044"/>
      <w:r>
        <w:rPr>
          <w:rFonts w:ascii="宋体" w:hAnsi="宋体" w:eastAsia="宋体" w:cs="Times New Roman"/>
          <w:b/>
          <w:bCs/>
          <w:sz w:val="24"/>
          <w:szCs w:val="28"/>
        </w:rPr>
        <w:t>三、结论:</w:t>
      </w:r>
      <w:r>
        <w:rPr>
          <w:rFonts w:hint="eastAsia" w:ascii="宋体" w:hAnsi="宋体" w:eastAsia="宋体" w:cs="Times New Roman"/>
          <w:b/>
          <w:bCs/>
          <w:sz w:val="24"/>
          <w:szCs w:val="28"/>
        </w:rPr>
        <w:t xml:space="preserve"> “</w:t>
      </w:r>
      <w:r>
        <w:rPr>
          <w:rFonts w:ascii="宋体" w:hAnsi="宋体" w:eastAsia="宋体" w:cs="Times New Roman"/>
          <w:b/>
          <w:bCs/>
          <w:sz w:val="24"/>
          <w:szCs w:val="28"/>
        </w:rPr>
        <w:t>以马克思主义为指导”不应成为无用的口号和标签</w:t>
      </w:r>
      <w:bookmarkEnd w:id="362"/>
      <w:bookmarkEnd w:id="363"/>
    </w:p>
    <w:p w14:paraId="6227D37D">
      <w:pPr>
        <w:spacing w:line="400" w:lineRule="exact"/>
        <w:ind w:firstLine="440" w:firstLineChars="200"/>
        <w:rPr>
          <w:rFonts w:ascii="宋体" w:hAnsi="宋体" w:eastAsia="宋体" w:cs="Times New Roman"/>
        </w:rPr>
      </w:pPr>
      <w:r>
        <w:rPr>
          <w:rFonts w:ascii="宋体" w:hAnsi="宋体" w:eastAsia="宋体" w:cs="Times New Roman"/>
        </w:rPr>
        <w:t>诚然,我们在王教授文章的最后也读到:”经济学的基本理论,是自亚当.斯密以来经济学家的共同智慧,是人类社会有用的文明成果。我们强调要掌握这些基本的理论原理,并不是说人们无需学习高深的经济理论。在我看来,基本的经济学原理,对领导干部来说,要更简捷;更实用一些。不过我们在应用这些原理时,还必须以马克思主义的立场;观点与方法为指导,以中国的国情为基础,这一点尤为重要,务必提请大家注意。”</w:t>
      </w:r>
    </w:p>
    <w:p w14:paraId="53D24F16">
      <w:pPr>
        <w:spacing w:line="400" w:lineRule="exact"/>
        <w:ind w:firstLine="440" w:firstLineChars="200"/>
        <w:rPr>
          <w:rFonts w:ascii="宋体" w:hAnsi="宋体" w:eastAsia="宋体" w:cs="Times New Roman"/>
        </w:rPr>
      </w:pPr>
      <w:r>
        <w:rPr>
          <w:rFonts w:ascii="宋体" w:hAnsi="宋体" w:eastAsia="宋体" w:cs="Times New Roman"/>
        </w:rPr>
        <w:t>作者所说的</w:t>
      </w:r>
      <w:r>
        <w:rPr>
          <w:rFonts w:hint="eastAsia" w:ascii="宋体" w:hAnsi="宋体" w:eastAsia="宋体" w:cs="Times New Roman"/>
        </w:rPr>
        <w:t>“</w:t>
      </w:r>
      <w:r>
        <w:rPr>
          <w:rFonts w:ascii="宋体" w:hAnsi="宋体" w:eastAsia="宋体" w:cs="Times New Roman"/>
        </w:rPr>
        <w:t>驾驭”就是</w:t>
      </w:r>
      <w:r>
        <w:rPr>
          <w:rFonts w:hint="eastAsia" w:ascii="宋体" w:hAnsi="宋体" w:eastAsia="宋体" w:cs="Times New Roman"/>
        </w:rPr>
        <w:t>“</w:t>
      </w:r>
      <w:r>
        <w:rPr>
          <w:rFonts w:ascii="宋体" w:hAnsi="宋体" w:eastAsia="宋体" w:cs="Times New Roman"/>
        </w:rPr>
        <w:t>指导”,他说:</w:t>
      </w:r>
      <w:r>
        <w:rPr>
          <w:rFonts w:hint="eastAsia" w:ascii="宋体" w:hAnsi="宋体" w:eastAsia="宋体" w:cs="Times New Roman"/>
        </w:rPr>
        <w:t xml:space="preserve"> “</w:t>
      </w:r>
      <w:r>
        <w:rPr>
          <w:rFonts w:ascii="宋体" w:hAnsi="宋体" w:eastAsia="宋体" w:cs="Times New Roman"/>
        </w:rPr>
        <w:t>经济工作需要理论指导,可是有人会说,经济学如此复杂,各种学派多如牛毛,对同一个问题,三个经济学家,可能拿出四种答案,你让我听谁的?……现代经济学里,真正基本的;管用的理论,我认为就是三个假定;三个原理。”“以上我们是运用经济学的基本理论,分析中国的企业;价格;分配等体制性问题,其实,我们也可以同样用这些理论原理,来指导制定或评价经济政策。”“学习经济理论,就是为了驾驭经济工作。那么如何运用理论指导实际经济工作呢?”对此,我们仍然可以作最好的理解:作者丝毫没有抛弃马克思主义的意思,其本意是为了提升马克思主义的地位,把它放在崇高的政治或学术地位上,也就是主张用现代西方经济学的基本假设;基本原理和基本方法来直接指导我国的实际经济工作,而马克思主义及其经济学的基本假设;基本原理和基本方法更高一层,是指导现代西方经济学的。</w:t>
      </w:r>
    </w:p>
    <w:p w14:paraId="18E20D19">
      <w:pPr>
        <w:spacing w:line="400" w:lineRule="exact"/>
        <w:ind w:firstLine="440" w:firstLineChars="200"/>
        <w:rPr>
          <w:rFonts w:ascii="宋体" w:hAnsi="宋体" w:eastAsia="宋体" w:cs="Times New Roman"/>
        </w:rPr>
      </w:pPr>
      <w:r>
        <w:rPr>
          <w:rFonts w:ascii="宋体" w:hAnsi="宋体" w:eastAsia="宋体" w:cs="Times New Roman"/>
        </w:rPr>
        <w:t>但是,这样一来,又产生了一个新问题,即当代中国的马克思主义及其经济学理论能不能指导经济工作呢?如果邓小平理论和</w:t>
      </w:r>
      <w:r>
        <w:rPr>
          <w:rFonts w:hint="eastAsia" w:ascii="宋体" w:hAnsi="宋体" w:eastAsia="宋体" w:cs="Times New Roman"/>
        </w:rPr>
        <w:t>“</w:t>
      </w:r>
      <w:r>
        <w:rPr>
          <w:rFonts w:ascii="宋体" w:hAnsi="宋体" w:eastAsia="宋体" w:cs="Times New Roman"/>
        </w:rPr>
        <w:t>三个代表”重要思想都不能驾驭和指导包括经济改革和经济发展在内的经济工作,那么,马克思主义及其经济理论即使不被否定和抛弃,也容易被束之高阁或架空,成为纯粹的政治口号和标签</w:t>
      </w:r>
      <w:r>
        <w:rPr>
          <w:rFonts w:hint="eastAsia" w:ascii="宋体" w:hAnsi="宋体" w:eastAsia="宋体" w:cs="Times New Roman"/>
        </w:rPr>
        <w:t>。</w:t>
      </w:r>
      <w:r>
        <w:rPr>
          <w:rFonts w:ascii="宋体" w:hAnsi="宋体" w:eastAsia="宋体" w:cs="Times New Roman"/>
        </w:rPr>
        <w:t>况且,在整个长篇文章中,尽管我们力图寻找作者是想用马克思主义及其经济理论来指导现代西方经济学的研究和应用的,可是十分遗憾,从头到尾始终没有找到类似的含义和词句</w:t>
      </w:r>
      <w:r>
        <w:rPr>
          <w:rFonts w:hint="eastAsia" w:ascii="宋体" w:hAnsi="宋体" w:eastAsia="宋体" w:cs="Times New Roman"/>
        </w:rPr>
        <w:t>。</w:t>
      </w:r>
    </w:p>
    <w:p w14:paraId="232CEED7">
      <w:pPr>
        <w:spacing w:line="400" w:lineRule="exact"/>
        <w:ind w:firstLine="440" w:firstLineChars="200"/>
        <w:rPr>
          <w:rFonts w:ascii="宋体" w:hAnsi="宋体" w:eastAsia="宋体" w:cs="Times New Roman"/>
        </w:rPr>
      </w:pPr>
      <w:r>
        <w:rPr>
          <w:rFonts w:ascii="宋体" w:hAnsi="宋体" w:eastAsia="宋体" w:cs="Times New Roman"/>
        </w:rPr>
        <w:t>我们再作另外一种理解,即作者主张现代马克思主义经济学基本理论与非马克思主义的现代西方经济学基本理论都是经济改革、经济发展和经济工作的指导性和驾驭性理论o不过,这就会陷入指导理论或思想的</w:t>
      </w:r>
      <w:r>
        <w:rPr>
          <w:rFonts w:hint="eastAsia" w:ascii="宋体" w:hAnsi="宋体" w:eastAsia="宋体" w:cs="Times New Roman"/>
        </w:rPr>
        <w:t>“</w:t>
      </w:r>
      <w:r>
        <w:rPr>
          <w:rFonts w:ascii="宋体" w:hAnsi="宋体" w:eastAsia="宋体" w:cs="Times New Roman"/>
        </w:rPr>
        <w:t>二元论”或</w:t>
      </w:r>
      <w:r>
        <w:rPr>
          <w:rFonts w:hint="eastAsia" w:ascii="宋体" w:hAnsi="宋体" w:eastAsia="宋体" w:cs="Times New Roman"/>
        </w:rPr>
        <w:t>“</w:t>
      </w:r>
      <w:r>
        <w:rPr>
          <w:rFonts w:ascii="宋体" w:hAnsi="宋体" w:eastAsia="宋体" w:cs="Times New Roman"/>
        </w:rPr>
        <w:t>多元化”</w:t>
      </w:r>
      <w:r>
        <w:rPr>
          <w:rFonts w:hint="eastAsia" w:ascii="宋体" w:hAnsi="宋体" w:eastAsia="宋体" w:cs="Times New Roman"/>
        </w:rPr>
        <w:t>。</w:t>
      </w:r>
      <w:r>
        <w:rPr>
          <w:rFonts w:ascii="宋体" w:hAnsi="宋体" w:eastAsia="宋体" w:cs="Times New Roman"/>
        </w:rPr>
        <w:t>中宣部副部长雒树刚同志在《繁荣发展哲学社会科学的纲领性文献》一文中说</w:t>
      </w:r>
      <w:r>
        <w:rPr>
          <w:rFonts w:hint="eastAsia" w:ascii="宋体" w:hAnsi="宋体" w:eastAsia="宋体" w:cs="宋体"/>
        </w:rPr>
        <w:t>∶</w:t>
      </w:r>
      <w:r>
        <w:rPr>
          <w:rFonts w:hint="eastAsia" w:ascii="宋体" w:hAnsi="宋体" w:eastAsia="宋体" w:cs="Times New Roman"/>
        </w:rPr>
        <w:t>“</w:t>
      </w:r>
      <w:r>
        <w:rPr>
          <w:rFonts w:ascii="宋体" w:hAnsi="宋体" w:eastAsia="宋体" w:cs="Times New Roman"/>
        </w:rPr>
        <w:t>繁荣发展哲学社会科学必须坚持以马克思主义为指导,决不能搞指导思想多元化o正如江泽民同志所指出的</w:t>
      </w:r>
      <w:r>
        <w:rPr>
          <w:rFonts w:hint="eastAsia" w:ascii="宋体" w:hAnsi="宋体" w:eastAsia="宋体" w:cs="宋体"/>
        </w:rPr>
        <w:t>∶</w:t>
      </w:r>
      <w:r>
        <w:rPr>
          <w:rFonts w:ascii="宋体" w:hAnsi="宋体" w:eastAsia="宋体" w:cs="Times New Roman"/>
        </w:rPr>
        <w:t>‘在社会科学理论方面,你可以有这样或那样的观点,但有一条是不能变的,是要统一的,就是都要用马克思主义的立场、观点、方法观察问题</w:t>
      </w:r>
      <w:r>
        <w:rPr>
          <w:rFonts w:hint="eastAsia" w:ascii="宋体" w:hAnsi="宋体" w:eastAsia="宋体" w:cs="Times New Roman"/>
        </w:rPr>
        <w:t>。</w:t>
      </w:r>
      <w:r>
        <w:rPr>
          <w:rFonts w:ascii="宋体" w:hAnsi="宋体" w:eastAsia="宋体" w:cs="Times New Roman"/>
        </w:rPr>
        <w:t>”[13]</w:t>
      </w:r>
    </w:p>
    <w:p w14:paraId="24D1CE60">
      <w:pPr>
        <w:spacing w:line="400" w:lineRule="exact"/>
        <w:ind w:firstLine="440" w:firstLineChars="200"/>
        <w:rPr>
          <w:rFonts w:ascii="宋体" w:hAnsi="宋体" w:eastAsia="宋体" w:cs="Times New Roman"/>
        </w:rPr>
      </w:pPr>
      <w:r>
        <w:rPr>
          <w:rFonts w:ascii="宋体" w:hAnsi="宋体" w:eastAsia="宋体" w:cs="Times New Roman"/>
        </w:rPr>
        <w:t>社会主义中国的主流经济学不是世界主流经济学即现代西方经济学,而是以马克思主义为指导的中国现代政治经济学</w:t>
      </w:r>
      <w:r>
        <w:rPr>
          <w:rFonts w:hint="eastAsia" w:ascii="宋体" w:hAnsi="宋体" w:eastAsia="宋体" w:cs="Times New Roman"/>
        </w:rPr>
        <w:t>。</w:t>
      </w:r>
    </w:p>
    <w:p w14:paraId="0FCE0231">
      <w:pPr>
        <w:spacing w:line="400" w:lineRule="exact"/>
        <w:ind w:firstLine="440" w:firstLineChars="200"/>
        <w:rPr>
          <w:rFonts w:ascii="宋体" w:hAnsi="宋体" w:eastAsia="宋体" w:cs="Times New Roman"/>
        </w:rPr>
      </w:pPr>
      <w:r>
        <w:rPr>
          <w:rFonts w:ascii="宋体" w:hAnsi="宋体" w:eastAsia="宋体" w:cs="Times New Roman"/>
        </w:rPr>
        <w:t>由此看来,学界不仅要重新出版用马克思主义立场、观点和方法编写的《与官员谈西方经济学》,更要出版《与官员谈政治经济学》</w:t>
      </w:r>
      <w:r>
        <w:rPr>
          <w:rFonts w:hint="eastAsia" w:ascii="宋体" w:hAnsi="宋体" w:eastAsia="宋体" w:cs="Times New Roman"/>
        </w:rPr>
        <w:t>。</w:t>
      </w:r>
      <w:r>
        <w:rPr>
          <w:rFonts w:ascii="宋体" w:hAnsi="宋体" w:eastAsia="宋体" w:cs="Times New Roman"/>
        </w:rPr>
        <w:t>可见,中央实施马克思主义理论研究和建设工程,编写马克思主义政治经济学、马克思主义哲学、科学社会主义,以及在马克思主义指导下编写政治学、社会学、法学、史学、文学和新闻学等教材,意义重大,刻不容缓</w:t>
      </w:r>
      <w:r>
        <w:rPr>
          <w:rFonts w:hint="eastAsia" w:ascii="宋体" w:hAnsi="宋体" w:eastAsia="宋体" w:cs="Times New Roman"/>
        </w:rPr>
        <w:t>。</w:t>
      </w:r>
    </w:p>
    <w:p w14:paraId="60E00472">
      <w:pPr>
        <w:spacing w:line="400" w:lineRule="exact"/>
        <w:ind w:firstLine="440" w:firstLineChars="200"/>
        <w:rPr>
          <w:rFonts w:ascii="宋体" w:hAnsi="宋体" w:eastAsia="宋体" w:cs="Times New Roman"/>
        </w:rPr>
      </w:pPr>
      <w:r>
        <w:rPr>
          <w:rFonts w:ascii="宋体" w:hAnsi="宋体" w:eastAsia="宋体" w:cs="Times New Roman"/>
        </w:rPr>
        <w:t>总之,在马克思、列宁生活的时代,不能因为亚当·斯密、李嘉图、西斯蒙第和霍布森等资产阶级和小资产阶级经济学家阐述了某些正确的道理,我们就直接提出用他们的基本理论和基本方法来认识资本主义社会,驾驭和指导工人阶级的革命斗争,而应该用批判地吸收了西方经济学理论的合理成分并创新了的马克思列宁主义来驾驭和指导这一伟大实践;同样,在现阶段,要用发展了的马克思主义,包括扬弃和超越了现代西方经济学的现代政治经济学理论,来驾驭和指导社会主义经济改革、开放和发展这就是我的结论。</w:t>
      </w:r>
    </w:p>
    <w:p w14:paraId="65C99F77">
      <w:pPr>
        <w:spacing w:line="400" w:lineRule="exact"/>
        <w:ind w:firstLine="440" w:firstLineChars="200"/>
        <w:rPr>
          <w:rFonts w:ascii="宋体" w:hAnsi="宋体" w:eastAsia="宋体" w:cs="Times New Roman"/>
        </w:rPr>
      </w:pPr>
      <w:r>
        <w:rPr>
          <w:rFonts w:ascii="宋体" w:hAnsi="宋体" w:eastAsia="宋体" w:cs="Times New Roman"/>
        </w:rPr>
        <w:t>最后,我还想引用陈奎元院长的话作为结束语,他指出,对于</w:t>
      </w:r>
      <w:r>
        <w:rPr>
          <w:rFonts w:hint="eastAsia" w:ascii="宋体" w:hAnsi="宋体" w:eastAsia="宋体" w:cs="Times New Roman"/>
        </w:rPr>
        <w:t>“</w:t>
      </w:r>
      <w:r>
        <w:rPr>
          <w:rFonts w:ascii="宋体" w:hAnsi="宋体" w:eastAsia="宋体" w:cs="Times New Roman"/>
        </w:rPr>
        <w:t>迷信西方发达国家反映资产阶级主流意识形态的思想理论”的</w:t>
      </w:r>
      <w:r>
        <w:rPr>
          <w:rFonts w:hint="eastAsia" w:ascii="宋体" w:hAnsi="宋体" w:eastAsia="宋体" w:cs="Times New Roman"/>
        </w:rPr>
        <w:t>“</w:t>
      </w:r>
      <w:r>
        <w:rPr>
          <w:rFonts w:ascii="宋体" w:hAnsi="宋体" w:eastAsia="宋体" w:cs="Times New Roman"/>
        </w:rPr>
        <w:t>第二种教条主义,理论工作者中早有质疑,党的领导人也有告诚,但是至今还未引起思想理论界应有的反响,没有进行认真的鉴别,有的甚至还充作理论创新的成果,向思想、政治、经济和文化教育等各个领域渗透。假如我们忽视这种教条主义的危害,全盘西化的威胁就会向我们逼近,改革的方向、共产党的执政地位、劳动人民的切身利益都将受到挑战,我们党难免步他人的后尘,犯下历史性的错误。”[9]这是一切头脑清醒的马克思主义者和共产党人都不愿看到的情形。</w:t>
      </w:r>
    </w:p>
    <w:p w14:paraId="2AE68A6A">
      <w:pPr>
        <w:spacing w:line="400" w:lineRule="exact"/>
        <w:ind w:firstLine="440" w:firstLineChars="200"/>
        <w:rPr>
          <w:rFonts w:ascii="宋体" w:hAnsi="宋体" w:eastAsia="宋体" w:cs="Times New Roman"/>
        </w:rPr>
      </w:pPr>
      <w:r>
        <w:rPr>
          <w:rFonts w:ascii="宋体" w:hAnsi="宋体" w:eastAsia="宋体" w:cs="Times New Roman"/>
        </w:rPr>
        <w:t>参考文献</w:t>
      </w:r>
    </w:p>
    <w:p w14:paraId="450D193D">
      <w:pPr>
        <w:spacing w:line="400" w:lineRule="exact"/>
        <w:ind w:firstLine="440" w:firstLineChars="200"/>
        <w:rPr>
          <w:rFonts w:ascii="宋体" w:hAnsi="宋体" w:eastAsia="宋体" w:cs="Times New Roman"/>
        </w:rPr>
      </w:pPr>
      <w:r>
        <w:rPr>
          <w:rFonts w:ascii="宋体" w:hAnsi="宋体" w:eastAsia="宋体" w:cs="Times New Roman"/>
        </w:rPr>
        <w:t>[1]王东京:《驾驭经济的理论支点一王东京教授在中央党校省部级干部班上的讲演》,《文汇报》2004年6月6日。以下引语除另外注明之外,均出自该文.</w:t>
      </w:r>
    </w:p>
    <w:p w14:paraId="32203F63">
      <w:pPr>
        <w:spacing w:line="400" w:lineRule="exact"/>
        <w:ind w:firstLine="440" w:firstLineChars="200"/>
        <w:rPr>
          <w:rFonts w:ascii="宋体" w:hAnsi="宋体" w:eastAsia="宋体" w:cs="Times New Roman"/>
        </w:rPr>
      </w:pPr>
      <w:r>
        <w:rPr>
          <w:rFonts w:ascii="宋体" w:hAnsi="宋体" w:eastAsia="宋体" w:cs="Times New Roman"/>
        </w:rPr>
        <w:t>[2]休谟:《人性论》下册,商务印书馆,1997.</w:t>
      </w:r>
    </w:p>
    <w:p w14:paraId="6FC61A12">
      <w:pPr>
        <w:spacing w:line="400" w:lineRule="exact"/>
        <w:ind w:firstLine="440" w:firstLineChars="200"/>
        <w:rPr>
          <w:rFonts w:ascii="宋体" w:hAnsi="宋体" w:eastAsia="宋体" w:cs="Times New Roman"/>
        </w:rPr>
      </w:pPr>
      <w:r>
        <w:rPr>
          <w:rFonts w:ascii="宋体" w:hAnsi="宋体" w:eastAsia="宋体" w:cs="Times New Roman"/>
        </w:rPr>
        <w:t>[3]杜威:《新旧个人主义》,上海社会科学院出版社,1997.</w:t>
      </w:r>
    </w:p>
    <w:p w14:paraId="1E73BA9A">
      <w:pPr>
        <w:spacing w:line="400" w:lineRule="exact"/>
        <w:ind w:firstLine="440" w:firstLineChars="200"/>
        <w:rPr>
          <w:rFonts w:ascii="宋体" w:hAnsi="宋体" w:eastAsia="宋体" w:cs="Times New Roman"/>
        </w:rPr>
      </w:pPr>
      <w:r>
        <w:rPr>
          <w:rFonts w:ascii="宋体" w:hAnsi="宋体" w:eastAsia="宋体" w:cs="Times New Roman"/>
        </w:rPr>
        <w:t>[4]转引自程恩富:《西方产权理论评析》,当代中国出版社,1997.</w:t>
      </w:r>
    </w:p>
    <w:p w14:paraId="2649B0D9">
      <w:pPr>
        <w:spacing w:line="400" w:lineRule="exact"/>
        <w:ind w:firstLine="440" w:firstLineChars="200"/>
        <w:rPr>
          <w:rFonts w:ascii="宋体" w:hAnsi="宋体" w:eastAsia="宋体" w:cs="Times New Roman"/>
        </w:rPr>
      </w:pPr>
      <w:r>
        <w:rPr>
          <w:rFonts w:ascii="宋体" w:hAnsi="宋体" w:eastAsia="宋体" w:cs="Times New Roman"/>
        </w:rPr>
        <w:t>[5]博兰:《批判的经济学方法论》,经济科学出版社,2000.</w:t>
      </w:r>
    </w:p>
    <w:p w14:paraId="486E7C36">
      <w:pPr>
        <w:spacing w:line="400" w:lineRule="exact"/>
        <w:ind w:firstLine="440" w:firstLineChars="200"/>
        <w:rPr>
          <w:rFonts w:ascii="宋体" w:hAnsi="宋体" w:eastAsia="宋体" w:cs="Times New Roman"/>
        </w:rPr>
      </w:pPr>
      <w:r>
        <w:rPr>
          <w:rFonts w:ascii="宋体" w:hAnsi="宋体" w:eastAsia="宋体" w:cs="Times New Roman"/>
        </w:rPr>
        <w:t>[6]转引自杨春学:《经济人与社会秩序分析》,上海三联书店、上海人民出版社,1998.</w:t>
      </w:r>
    </w:p>
    <w:p w14:paraId="2C9BB4A0">
      <w:pPr>
        <w:spacing w:line="400" w:lineRule="exact"/>
        <w:ind w:firstLine="440" w:firstLineChars="200"/>
        <w:rPr>
          <w:rFonts w:ascii="宋体" w:hAnsi="宋体" w:eastAsia="宋体" w:cs="Times New Roman"/>
        </w:rPr>
      </w:pPr>
      <w:r>
        <w:rPr>
          <w:rFonts w:ascii="宋体" w:hAnsi="宋体" w:eastAsia="宋体" w:cs="Times New Roman"/>
        </w:rPr>
        <w:t>[7]转引自程恩富、黄允成主编:《11位知名教授批评张五常》,中国经济出版社,2003.</w:t>
      </w:r>
    </w:p>
    <w:p w14:paraId="7E492AAB">
      <w:pPr>
        <w:spacing w:line="400" w:lineRule="exact"/>
        <w:ind w:firstLine="440" w:firstLineChars="200"/>
        <w:rPr>
          <w:rFonts w:ascii="宋体" w:hAnsi="宋体" w:eastAsia="宋体" w:cs="Times New Roman"/>
        </w:rPr>
      </w:pPr>
      <w:r>
        <w:rPr>
          <w:rFonts w:ascii="宋体" w:hAnsi="宋体" w:eastAsia="宋体" w:cs="Times New Roman"/>
        </w:rPr>
        <w:t>[8]转引自程恩富:《十问张五常》,香港经世文化出版有限公司,2004.</w:t>
      </w:r>
    </w:p>
    <w:p w14:paraId="6E8ED54C">
      <w:pPr>
        <w:spacing w:line="400" w:lineRule="exact"/>
        <w:ind w:firstLine="440" w:firstLineChars="200"/>
        <w:rPr>
          <w:rFonts w:ascii="宋体" w:hAnsi="宋体" w:eastAsia="宋体" w:cs="Times New Roman"/>
        </w:rPr>
      </w:pPr>
      <w:r>
        <w:rPr>
          <w:rFonts w:ascii="宋体" w:hAnsi="宋体" w:eastAsia="宋体" w:cs="Times New Roman"/>
        </w:rPr>
        <w:t>[9]陈奎元:《繁荣发展中国特色的哲学社会科学》,载《人民日报》2004年4月20日.</w:t>
      </w:r>
    </w:p>
    <w:p w14:paraId="30405FAF">
      <w:pPr>
        <w:spacing w:line="400" w:lineRule="exact"/>
        <w:ind w:firstLine="440" w:firstLineChars="200"/>
        <w:rPr>
          <w:rFonts w:ascii="宋体" w:hAnsi="宋体" w:eastAsia="宋体" w:cs="Times New Roman"/>
        </w:rPr>
      </w:pPr>
      <w:r>
        <w:rPr>
          <w:rFonts w:ascii="宋体" w:hAnsi="宋体" w:eastAsia="宋体" w:cs="Times New Roman"/>
        </w:rPr>
        <w:t>[10]摩尔根:《印第安人的房屋建筑与家庭生活》,文物出版社,1992.</w:t>
      </w:r>
    </w:p>
    <w:p w14:paraId="6ECDF6B2">
      <w:pPr>
        <w:spacing w:line="400" w:lineRule="exact"/>
        <w:ind w:firstLine="440" w:firstLineChars="200"/>
        <w:rPr>
          <w:rFonts w:ascii="宋体" w:hAnsi="宋体" w:eastAsia="宋体" w:cs="Times New Roman"/>
        </w:rPr>
      </w:pPr>
      <w:r>
        <w:rPr>
          <w:rFonts w:ascii="宋体" w:hAnsi="宋体" w:eastAsia="宋体" w:cs="Times New Roman"/>
        </w:rPr>
        <w:t>[11]《马克思恩格斯全集》第4卷,人民出版社,1958.</w:t>
      </w:r>
    </w:p>
    <w:p w14:paraId="63D24D8B">
      <w:pPr>
        <w:spacing w:line="400" w:lineRule="exact"/>
        <w:ind w:firstLine="440" w:firstLineChars="200"/>
        <w:rPr>
          <w:rFonts w:ascii="宋体" w:hAnsi="宋体" w:eastAsia="宋体" w:cs="Times New Roman"/>
        </w:rPr>
      </w:pPr>
      <w:r>
        <w:rPr>
          <w:rFonts w:ascii="宋体" w:hAnsi="宋体" w:eastAsia="宋体" w:cs="Times New Roman"/>
        </w:rPr>
        <w:t>[12]尼布尔:《道德的人与不道德的社会》,贵州人民出版社,1998.</w:t>
      </w:r>
    </w:p>
    <w:p w14:paraId="233474CB">
      <w:pPr>
        <w:spacing w:line="400" w:lineRule="exact"/>
        <w:ind w:firstLine="440" w:firstLineChars="200"/>
        <w:rPr>
          <w:rFonts w:ascii="宋体" w:hAnsi="宋体" w:eastAsia="宋体" w:cs="Times New Roman"/>
        </w:rPr>
      </w:pPr>
      <w:r>
        <w:rPr>
          <w:rFonts w:ascii="宋体" w:hAnsi="宋体" w:eastAsia="宋体" w:cs="Times New Roman"/>
        </w:rPr>
        <w:t>[13]雒树刚:《繁荣发展哲学社会科学的纲领性文献》,《人民日报》2004年4月27日.</w:t>
      </w:r>
    </w:p>
    <w:p w14:paraId="6C191A99">
      <w:pPr>
        <w:spacing w:line="400" w:lineRule="exact"/>
        <w:ind w:firstLine="440" w:firstLineChars="200"/>
        <w:rPr>
          <w:rFonts w:ascii="宋体" w:hAnsi="宋体" w:eastAsia="宋体" w:cs="Times New Roman"/>
        </w:rPr>
      </w:pPr>
      <w:r>
        <w:rPr>
          <w:rFonts w:ascii="宋体" w:hAnsi="宋体" w:eastAsia="宋体" w:cs="Times New Roman"/>
        </w:rPr>
        <w:t>（原载《高校理论战线》2004年第9期。）</w:t>
      </w:r>
      <w:r>
        <w:rPr>
          <w:rFonts w:ascii="宋体" w:hAnsi="宋体" w:eastAsia="宋体" w:cs="Times New Roman"/>
        </w:rPr>
        <w:br w:type="page"/>
      </w:r>
    </w:p>
    <w:p w14:paraId="484FC3CC">
      <w:pPr>
        <w:spacing w:line="400" w:lineRule="exact"/>
        <w:ind w:firstLine="440" w:firstLineChars="200"/>
        <w:rPr>
          <w:rFonts w:ascii="宋体" w:hAnsi="宋体" w:eastAsia="宋体" w:cs="Times New Roman"/>
        </w:rPr>
      </w:pPr>
    </w:p>
    <w:p w14:paraId="6CCCD2F2">
      <w:pPr>
        <w:spacing w:line="400" w:lineRule="exact"/>
        <w:ind w:firstLine="440" w:firstLineChars="200"/>
        <w:rPr>
          <w:rFonts w:ascii="宋体" w:hAnsi="宋体" w:eastAsia="宋体" w:cs="Times New Roman"/>
        </w:rPr>
      </w:pPr>
    </w:p>
    <w:bookmarkEnd w:id="316"/>
    <w:bookmarkEnd w:id="317"/>
    <w:bookmarkEnd w:id="318"/>
    <w:bookmarkEnd w:id="319"/>
    <w:bookmarkEnd w:id="320"/>
    <w:bookmarkEnd w:id="321"/>
    <w:bookmarkEnd w:id="354"/>
    <w:bookmarkEnd w:id="355"/>
    <w:bookmarkEnd w:id="356"/>
    <w:p w14:paraId="2F2A02F3">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364" w:name="_Toc110957411"/>
      <w:bookmarkStart w:id="365" w:name="_Toc3721"/>
      <w:bookmarkStart w:id="366" w:name="_Toc20307"/>
      <w:bookmarkStart w:id="367" w:name="_Toc93074560"/>
      <w:bookmarkStart w:id="368" w:name="_Toc566409287"/>
      <w:bookmarkStart w:id="369" w:name="_Toc181122864"/>
      <w:bookmarkStart w:id="370" w:name="_Toc257922055"/>
      <w:r>
        <w:rPr>
          <w:rFonts w:ascii="黑体" w:hAnsi="黑体" w:eastAsia="黑体" w:cs="Times New Roman"/>
          <w:color w:val="000000"/>
          <w:kern w:val="0"/>
          <w:sz w:val="32"/>
          <w:szCs w:val="32"/>
          <w:lang w:bidi="ar"/>
        </w:rPr>
        <w:t>新制度经济学派的成因、特点与总体评价</w:t>
      </w:r>
      <w:bookmarkEnd w:id="364"/>
      <w:bookmarkEnd w:id="365"/>
      <w:bookmarkEnd w:id="366"/>
      <w:bookmarkEnd w:id="367"/>
      <w:bookmarkEnd w:id="368"/>
      <w:bookmarkEnd w:id="369"/>
    </w:p>
    <w:p w14:paraId="3B461E35">
      <w:pPr>
        <w:spacing w:line="300" w:lineRule="auto"/>
        <w:ind w:firstLine="500" w:firstLineChars="200"/>
        <w:jc w:val="center"/>
        <w:rPr>
          <w:rFonts w:ascii="宋体" w:hAnsi="宋体" w:eastAsia="宋体" w:cs="Times New Roman"/>
          <w:b/>
          <w:sz w:val="24"/>
          <w:szCs w:val="24"/>
        </w:rPr>
      </w:pPr>
      <w:r>
        <w:rPr>
          <w:rFonts w:ascii="宋体" w:hAnsi="宋体" w:eastAsia="宋体" w:cs="Times New Roman"/>
          <w:b/>
          <w:sz w:val="24"/>
          <w:szCs w:val="24"/>
        </w:rPr>
        <w:t>——从海派经济学的角度来观察</w:t>
      </w:r>
      <w:bookmarkEnd w:id="370"/>
    </w:p>
    <w:p w14:paraId="1811E19D">
      <w:pPr>
        <w:spacing w:before="156" w:beforeLines="50" w:line="300" w:lineRule="auto"/>
        <w:ind w:firstLine="440" w:firstLineChars="200"/>
        <w:rPr>
          <w:rFonts w:ascii="宋体" w:hAnsi="宋体" w:eastAsia="宋体" w:cs="Times New Roman"/>
          <w:szCs w:val="24"/>
        </w:rPr>
      </w:pPr>
      <w:r>
        <w:rPr>
          <w:rFonts w:ascii="宋体" w:hAnsi="宋体" w:eastAsia="宋体" w:cs="Times New Roman"/>
          <w:szCs w:val="24"/>
        </w:rPr>
        <w:t>本文从海派经济学即新马克思经济学综合学派的角度来观察，主要阐述新制度经济学的形成与西方主流经济学忽视制度分析的严重弊端，与反凯恩斯主义，以及与发展中国家和经济转型国家的改革密切相关，分析同旧制度经济学和新制度主义有学术渊源关系的新制度经济学的主要特点，并总体评论该学派的学术进展与理论误区。</w:t>
      </w:r>
    </w:p>
    <w:p w14:paraId="7C74FDCA">
      <w:pPr>
        <w:spacing w:before="156" w:beforeLines="50" w:after="156" w:afterLines="50" w:line="300" w:lineRule="auto"/>
        <w:ind w:firstLine="500" w:firstLineChars="200"/>
        <w:jc w:val="center"/>
        <w:rPr>
          <w:rFonts w:ascii="宋体" w:hAnsi="宋体" w:eastAsia="宋体" w:cs="Times New Roman"/>
          <w:b/>
          <w:sz w:val="24"/>
          <w:szCs w:val="24"/>
        </w:rPr>
      </w:pPr>
      <w:bookmarkStart w:id="371" w:name="_Toc20406"/>
      <w:bookmarkStart w:id="372" w:name="_Toc2204"/>
      <w:r>
        <w:rPr>
          <w:rFonts w:ascii="宋体" w:hAnsi="宋体" w:eastAsia="宋体" w:cs="Times New Roman"/>
          <w:b/>
          <w:sz w:val="24"/>
          <w:szCs w:val="24"/>
        </w:rPr>
        <w:t>一、新制度经济学派的形成、渊源和特点</w:t>
      </w:r>
      <w:bookmarkEnd w:id="371"/>
      <w:bookmarkEnd w:id="372"/>
    </w:p>
    <w:p w14:paraId="0C97BF4B">
      <w:pPr>
        <w:spacing w:line="300" w:lineRule="auto"/>
        <w:ind w:firstLine="440" w:firstLineChars="200"/>
        <w:rPr>
          <w:rFonts w:ascii="宋体" w:hAnsi="宋体" w:eastAsia="宋体" w:cs="Times New Roman"/>
          <w:b/>
          <w:szCs w:val="24"/>
        </w:rPr>
      </w:pPr>
      <w:bookmarkStart w:id="373" w:name="_Toc22849"/>
      <w:bookmarkStart w:id="374" w:name="_Toc16919"/>
      <w:r>
        <w:rPr>
          <w:rFonts w:ascii="宋体" w:hAnsi="宋体" w:eastAsia="宋体" w:cs="Times New Roman"/>
          <w:b/>
          <w:szCs w:val="24"/>
        </w:rPr>
        <w:t>（一）新制度经济学派的成因</w:t>
      </w:r>
      <w:bookmarkEnd w:id="373"/>
      <w:bookmarkEnd w:id="374"/>
    </w:p>
    <w:p w14:paraId="0BDE7816">
      <w:pPr>
        <w:spacing w:line="300" w:lineRule="auto"/>
        <w:ind w:firstLine="440" w:firstLineChars="200"/>
        <w:rPr>
          <w:rFonts w:ascii="宋体" w:hAnsi="宋体" w:eastAsia="宋体" w:cs="Times New Roman"/>
          <w:szCs w:val="24"/>
        </w:rPr>
      </w:pPr>
      <w:r>
        <w:rPr>
          <w:rFonts w:ascii="宋体" w:hAnsi="宋体" w:eastAsia="宋体" w:cs="Times New Roman"/>
          <w:szCs w:val="24"/>
        </w:rPr>
        <w:t>新制度经济学是怎么产生的？其学术背景和时代背景又是什么？这是中外学界关注和有争议的问题。依本人所见，第一，其形成与西方主流经济学忽视制度分析的严重弊端有关。在模仿科学方面，新古典经济学做得比较突出。它按照科学的规范建立了自己的语言和分析工具，在一系列严格的假设前提下构筑起看似严谨的理论框架。其精品范例是瓦尔拉斯一般均衡模型。在那个理想世界中，市场是完全的，交易费用为零，价格机制的作用会将资源配置调整到帕累托最优状态，但事实上，那个广为流传的主流经济学所描述的世界，与人们生活于其中的经济社会并不存在太多的真实联系。在很大程度上，它只是从新古典经济学家的头脑中产生的乌托邦世界，具有突出的非现实特征。第二，其形成与反凯恩斯主义密切相关。20世纪30年代西方出现经济大危机以后，以强调国家干预为特征的凯恩斯主义盛行，其主张混合经济的政策为许多西方国家的政府所采用。但70年代西方呈现经济</w:t>
      </w:r>
      <w:r>
        <w:rPr>
          <w:rFonts w:hint="eastAsia" w:ascii="宋体" w:hAnsi="宋体" w:eastAsia="宋体" w:cs="Times New Roman"/>
          <w:szCs w:val="24"/>
        </w:rPr>
        <w:t>“</w:t>
      </w:r>
      <w:r>
        <w:rPr>
          <w:rFonts w:ascii="宋体" w:hAnsi="宋体" w:eastAsia="宋体" w:cs="Times New Roman"/>
          <w:szCs w:val="24"/>
        </w:rPr>
        <w:t>滞胀”等新危机和新问题，促使形形色色的新自由主义经济思潮泛滥。以科斯和张五常等为代表的新制度经济学，主张国家干预越少越好，强调只要私有产权界定清晰，交易费用就会减少，资源配置的效率便会自动达到最大化。第三，其形成与发展中国家和经济转型国家的改革有关。二战后，发展中国家纷纷独立，大搞国有化和计划化，但多数国家长期的整体经济绩效并不十分突出；同时，原来的社会主义国家大都转型为社会性质不同的市场经济国家，并在发展程度不一的私有经济。在这种新的世界经济背景下，以宣扬私有化和自由市场化为核心观点之一的新制度经济学，就有了大发展的机会。与发达国家不同，新制度经济学在发展中国家，尤其是社会主义经济转型国家，传播和影响都较大。</w:t>
      </w:r>
    </w:p>
    <w:p w14:paraId="0C6A52DF">
      <w:pPr>
        <w:spacing w:line="300" w:lineRule="auto"/>
        <w:ind w:firstLine="440" w:firstLineChars="200"/>
        <w:rPr>
          <w:rFonts w:ascii="宋体" w:hAnsi="宋体" w:eastAsia="宋体" w:cs="Times New Roman"/>
          <w:b/>
          <w:szCs w:val="24"/>
        </w:rPr>
      </w:pPr>
      <w:bookmarkStart w:id="375" w:name="_Toc15516"/>
      <w:bookmarkStart w:id="376" w:name="_Toc19796"/>
      <w:r>
        <w:rPr>
          <w:rFonts w:ascii="宋体" w:hAnsi="宋体" w:eastAsia="宋体" w:cs="Times New Roman"/>
          <w:b/>
          <w:szCs w:val="24"/>
        </w:rPr>
        <w:t>（二）新制度经济学派的学术渊源</w:t>
      </w:r>
      <w:bookmarkEnd w:id="375"/>
      <w:bookmarkEnd w:id="376"/>
    </w:p>
    <w:p w14:paraId="7F20E588">
      <w:pPr>
        <w:spacing w:line="300" w:lineRule="auto"/>
        <w:ind w:firstLine="440" w:firstLineChars="200"/>
        <w:rPr>
          <w:rFonts w:ascii="宋体" w:hAnsi="宋体" w:eastAsia="宋体" w:cs="Times New Roman"/>
          <w:szCs w:val="24"/>
        </w:rPr>
      </w:pPr>
      <w:r>
        <w:rPr>
          <w:rFonts w:ascii="宋体" w:hAnsi="宋体" w:eastAsia="宋体" w:cs="Times New Roman"/>
          <w:szCs w:val="24"/>
        </w:rPr>
        <w:t>众所周知，强调制度因素对于经济生活的重要性并非始于20世纪60年代，也非科斯和新制度经济学首创，而是有着悠久的历史。</w:t>
      </w:r>
    </w:p>
    <w:p w14:paraId="5F0CFAE8">
      <w:pPr>
        <w:spacing w:line="300" w:lineRule="auto"/>
        <w:ind w:firstLine="440" w:firstLineChars="200"/>
        <w:rPr>
          <w:rFonts w:ascii="宋体" w:hAnsi="宋体" w:eastAsia="宋体" w:cs="Times New Roman"/>
          <w:b/>
          <w:szCs w:val="24"/>
        </w:rPr>
      </w:pPr>
      <w:r>
        <w:rPr>
          <w:rFonts w:ascii="宋体" w:hAnsi="宋体" w:eastAsia="宋体" w:cs="Times New Roman"/>
          <w:b/>
          <w:szCs w:val="24"/>
        </w:rPr>
        <w:t>1.旧制度经济学提供了关于制度的重要研究视角和观点</w:t>
      </w:r>
    </w:p>
    <w:p w14:paraId="58C9F18C">
      <w:pPr>
        <w:spacing w:line="300" w:lineRule="auto"/>
        <w:ind w:firstLine="440" w:firstLineChars="200"/>
        <w:rPr>
          <w:rFonts w:ascii="宋体" w:hAnsi="宋体" w:eastAsia="宋体" w:cs="Times New Roman"/>
          <w:szCs w:val="24"/>
        </w:rPr>
      </w:pPr>
      <w:r>
        <w:rPr>
          <w:rFonts w:ascii="宋体" w:hAnsi="宋体" w:eastAsia="宋体" w:cs="Times New Roman"/>
          <w:szCs w:val="24"/>
        </w:rPr>
        <w:t>应当看到，包括亚当·斯密在内的西方近代资产阶级古典经济学，在一定程度上重视阶级关系和经济制度的探讨，是边际学派和马歇尔在综合中逐步抛弃了这一重要分析视角。后来，具有一定进步性的凡勃伦，正式开创了制度经济学的研究。</w:t>
      </w:r>
    </w:p>
    <w:p w14:paraId="314BDBE4">
      <w:pPr>
        <w:spacing w:line="300" w:lineRule="auto"/>
        <w:ind w:firstLine="440" w:firstLineChars="200"/>
        <w:rPr>
          <w:rFonts w:ascii="宋体" w:hAnsi="宋体" w:eastAsia="宋体" w:cs="Times New Roman"/>
          <w:szCs w:val="24"/>
        </w:rPr>
      </w:pPr>
      <w:r>
        <w:rPr>
          <w:rFonts w:ascii="宋体" w:hAnsi="宋体" w:eastAsia="宋体" w:cs="Times New Roman"/>
          <w:szCs w:val="24"/>
        </w:rPr>
        <w:t>以凡勃伦、康芒斯等为主要代表人物的旧制度经济学认为，经济学研究的对象应该是人类经济生活中借以实现的各种制度。</w:t>
      </w:r>
    </w:p>
    <w:p w14:paraId="556ED6F2">
      <w:pPr>
        <w:spacing w:line="300" w:lineRule="auto"/>
        <w:ind w:firstLine="440" w:firstLineChars="200"/>
        <w:rPr>
          <w:rFonts w:ascii="宋体" w:hAnsi="宋体" w:eastAsia="宋体" w:cs="Times New Roman"/>
          <w:szCs w:val="24"/>
        </w:rPr>
      </w:pPr>
      <w:r>
        <w:rPr>
          <w:rFonts w:ascii="宋体" w:hAnsi="宋体" w:eastAsia="宋体" w:cs="Times New Roman"/>
          <w:szCs w:val="24"/>
        </w:rPr>
        <w:t>凡勃伦是从社会心理学角度来研究制度，将制度定义为大多数人所共有的一些固定的思维习惯。因此，从心理学的方面来说，可以概括地把制度看成是一种流行的生活理论。制度必须随环境的变化而变化，因为就制度的性质而言，它是对环境引起的刺激发生反映的一种习惯方式。</w:t>
      </w:r>
    </w:p>
    <w:p w14:paraId="04E6086E">
      <w:pPr>
        <w:spacing w:line="300" w:lineRule="auto"/>
        <w:ind w:firstLine="440" w:firstLineChars="200"/>
        <w:rPr>
          <w:rFonts w:ascii="宋体" w:hAnsi="宋体" w:eastAsia="宋体" w:cs="Times New Roman"/>
          <w:szCs w:val="24"/>
        </w:rPr>
      </w:pPr>
      <w:r>
        <w:rPr>
          <w:rFonts w:ascii="宋体" w:hAnsi="宋体" w:eastAsia="宋体" w:cs="Times New Roman"/>
          <w:szCs w:val="24"/>
        </w:rPr>
        <w:t>他还认为，由于生物的进化是逐渐演变的，因此，制度的进化也是逐渐演变的，而不是突变的。制度的演变是一个永不结束的过程，而且变化的趋向和进化的将来形态都是不能预期的。</w:t>
      </w:r>
    </w:p>
    <w:p w14:paraId="6ACF060A">
      <w:pPr>
        <w:spacing w:line="300" w:lineRule="auto"/>
        <w:ind w:firstLine="440" w:firstLineChars="200"/>
        <w:rPr>
          <w:rFonts w:ascii="宋体" w:hAnsi="宋体" w:eastAsia="宋体" w:cs="Times New Roman"/>
          <w:szCs w:val="24"/>
        </w:rPr>
      </w:pPr>
      <w:r>
        <w:rPr>
          <w:rFonts w:ascii="宋体" w:hAnsi="宋体" w:eastAsia="宋体" w:cs="Times New Roman"/>
          <w:szCs w:val="24"/>
        </w:rPr>
        <w:t>康芒斯以法律的观点来解释社会经济关系。他认为，经济关系的本质是交易，整个社会是由无数种交易所组成的一种有机组织。由于参加交易的任何一方都有自己的利益，所以在交易过程中会有双方的利益冲突，这种冲突只有依靠法律制度才能解决。康芒斯特别强调法律制度对于经济制度变化所起的作用，并以此为基础，构建起他的制度经济理论。</w:t>
      </w:r>
    </w:p>
    <w:p w14:paraId="3D2691EF">
      <w:pPr>
        <w:spacing w:line="300" w:lineRule="auto"/>
        <w:ind w:firstLine="440" w:firstLineChars="200"/>
        <w:rPr>
          <w:rFonts w:ascii="宋体" w:hAnsi="宋体" w:eastAsia="宋体" w:cs="Times New Roman"/>
          <w:szCs w:val="24"/>
        </w:rPr>
      </w:pPr>
      <w:r>
        <w:rPr>
          <w:rFonts w:ascii="宋体" w:hAnsi="宋体" w:eastAsia="宋体" w:cs="Times New Roman"/>
          <w:szCs w:val="24"/>
        </w:rPr>
        <w:t>20世纪初广泛发展起来的旧制度经济学，到了30年代以后影响趋于衰落，这是由于凯恩斯主义对经济发展的影响日益增大；同时，制度学派没有花大的力气去分析现存的经济政治制度的性质和功能。这就大大降低了制度经济理论在这一时期经济发展实践中的影响。</w:t>
      </w:r>
    </w:p>
    <w:p w14:paraId="75928578">
      <w:pPr>
        <w:spacing w:line="300" w:lineRule="auto"/>
        <w:ind w:firstLine="440" w:firstLineChars="200"/>
        <w:rPr>
          <w:rFonts w:ascii="宋体" w:hAnsi="宋体" w:eastAsia="宋体" w:cs="Times New Roman"/>
          <w:szCs w:val="24"/>
        </w:rPr>
      </w:pPr>
      <w:r>
        <w:rPr>
          <w:rFonts w:ascii="宋体" w:hAnsi="宋体" w:eastAsia="宋体" w:cs="Times New Roman"/>
          <w:szCs w:val="24"/>
        </w:rPr>
        <w:t>在此期间，艾尔斯、贝利和米恩斯等人为制度学派的发展起到了承前启后的作用。艾尔斯根据技术进步和社会评价标准的变化分析了工业社会的演进趋势。贝利和米恩斯则从社会和企业结构的角度分析了资本主义社会的经济问题，着重分析了所有权和管理权的分离及其对资本主义权力结构的影响。</w:t>
      </w:r>
    </w:p>
    <w:p w14:paraId="15D9B30A">
      <w:pPr>
        <w:spacing w:line="300" w:lineRule="auto"/>
        <w:ind w:firstLine="440" w:firstLineChars="200"/>
        <w:rPr>
          <w:rFonts w:ascii="宋体" w:hAnsi="宋体" w:eastAsia="宋体" w:cs="Times New Roman"/>
          <w:b/>
          <w:szCs w:val="24"/>
        </w:rPr>
      </w:pPr>
      <w:r>
        <w:rPr>
          <w:rFonts w:ascii="宋体" w:hAnsi="宋体" w:eastAsia="宋体" w:cs="Times New Roman"/>
          <w:b/>
          <w:szCs w:val="24"/>
        </w:rPr>
        <w:t>2.新制度主义关于制度的广泛探讨和学术批评具有启示作用</w:t>
      </w:r>
    </w:p>
    <w:p w14:paraId="701F599D">
      <w:pPr>
        <w:spacing w:line="300" w:lineRule="auto"/>
        <w:ind w:firstLine="440" w:firstLineChars="200"/>
        <w:rPr>
          <w:rFonts w:ascii="宋体" w:hAnsi="宋体" w:eastAsia="宋体" w:cs="Times New Roman"/>
          <w:szCs w:val="24"/>
        </w:rPr>
      </w:pPr>
      <w:r>
        <w:rPr>
          <w:rFonts w:ascii="宋体" w:hAnsi="宋体" w:eastAsia="宋体" w:cs="Times New Roman"/>
          <w:szCs w:val="24"/>
        </w:rPr>
        <w:t>20世纪50年代起，美国制度学派在加尔布雷斯的倡导下重振旗鼓，并名为</w:t>
      </w:r>
      <w:r>
        <w:rPr>
          <w:rFonts w:hint="eastAsia" w:ascii="宋体" w:hAnsi="宋体" w:eastAsia="宋体" w:cs="Times New Roman"/>
          <w:szCs w:val="24"/>
        </w:rPr>
        <w:t>“</w:t>
      </w:r>
      <w:r>
        <w:rPr>
          <w:rFonts w:ascii="宋体" w:hAnsi="宋体" w:eastAsia="宋体" w:cs="Times New Roman"/>
          <w:szCs w:val="24"/>
        </w:rPr>
        <w:t>新制度主义”。需要注意的是，它与以科斯为代表的新制度经济学有着明显的区别，具有较多的学术和历史进步性。前者强烈批评社会现实和新古典方法，是凡勃伦传统的新发展，后者则热衷于考察制度非中性环境下如何实现制度分析与新古典理论的祸合。加尔布雷斯沿着凡勃伦—艾尔斯传统，分析了市场与社会组织制度和权力结构的整合，社会经济组织中抗衡力量的存在和种种表现及国家对协调双方力量的作用，反映了应用政治模式处理解决问题的尝试。</w:t>
      </w:r>
    </w:p>
    <w:p w14:paraId="692E991A">
      <w:pPr>
        <w:spacing w:line="300" w:lineRule="auto"/>
        <w:ind w:firstLine="440" w:firstLineChars="200"/>
        <w:rPr>
          <w:rFonts w:ascii="宋体" w:hAnsi="宋体" w:eastAsia="宋体" w:cs="Times New Roman"/>
          <w:szCs w:val="24"/>
        </w:rPr>
      </w:pPr>
      <w:r>
        <w:rPr>
          <w:rFonts w:ascii="宋体" w:hAnsi="宋体" w:eastAsia="宋体" w:cs="Times New Roman"/>
          <w:szCs w:val="24"/>
        </w:rPr>
        <w:t>但是，对于西方传统的制度分析，科斯（1994）曾尖刻地指出，新制度经济学与美国制度学派没有任何理论上的渊源关系，在某种程度上二者在理论上还是对立的。制度学派不是理论性，而是反理论的。这种说法显然有欠公允。事实上，以科斯和威廉姆森等人为代表的新制度经济学在相当程度上继承了康芒斯的理论传统。</w:t>
      </w:r>
    </w:p>
    <w:p w14:paraId="43B70830">
      <w:pPr>
        <w:spacing w:line="300" w:lineRule="auto"/>
        <w:ind w:firstLine="440" w:firstLineChars="200"/>
        <w:rPr>
          <w:rFonts w:ascii="宋体" w:hAnsi="宋体" w:eastAsia="宋体" w:cs="Times New Roman"/>
          <w:szCs w:val="24"/>
        </w:rPr>
      </w:pPr>
      <w:r>
        <w:rPr>
          <w:rFonts w:ascii="宋体" w:hAnsi="宋体" w:eastAsia="宋体" w:cs="Times New Roman"/>
          <w:szCs w:val="24"/>
        </w:rPr>
        <w:t>此外，诺斯关于制度及其变迁的理论，还明显地受到马克思经济学的影响（青年时曾信奉马克思理论），如强调产权制度、国家和意识形态这三者对经济发展的重大作用。</w:t>
      </w:r>
    </w:p>
    <w:p w14:paraId="2C89A0B9">
      <w:pPr>
        <w:spacing w:line="300" w:lineRule="auto"/>
        <w:ind w:firstLine="440" w:firstLineChars="200"/>
        <w:rPr>
          <w:rFonts w:ascii="宋体" w:hAnsi="宋体" w:eastAsia="宋体" w:cs="Times New Roman"/>
          <w:b/>
          <w:szCs w:val="24"/>
        </w:rPr>
      </w:pPr>
      <w:bookmarkStart w:id="377" w:name="_Toc3459"/>
      <w:bookmarkStart w:id="378" w:name="_Toc29387"/>
      <w:r>
        <w:rPr>
          <w:rFonts w:ascii="宋体" w:hAnsi="宋体" w:eastAsia="宋体" w:cs="Times New Roman"/>
          <w:b/>
          <w:szCs w:val="24"/>
        </w:rPr>
        <w:t>（三）新制度经济学派的主要特点</w:t>
      </w:r>
      <w:bookmarkEnd w:id="377"/>
      <w:bookmarkEnd w:id="378"/>
    </w:p>
    <w:p w14:paraId="7C61AADD">
      <w:pPr>
        <w:spacing w:line="300" w:lineRule="auto"/>
        <w:ind w:firstLine="440" w:firstLineChars="200"/>
        <w:rPr>
          <w:rFonts w:ascii="宋体" w:hAnsi="宋体" w:eastAsia="宋体" w:cs="Times New Roman"/>
          <w:szCs w:val="24"/>
        </w:rPr>
      </w:pPr>
      <w:r>
        <w:rPr>
          <w:rFonts w:ascii="宋体" w:hAnsi="宋体" w:eastAsia="宋体" w:cs="Times New Roman"/>
          <w:szCs w:val="24"/>
        </w:rPr>
        <w:t>第一，新制度经济学十分强调制度及其功能。关于制度范畴的定义和理解，并不完全一致。其中，诺斯的理解较有典型性和普遍意义，为大家所认同。制度的特征和内涵可以概括为以下几点：一是制度是社会的游戏规则，它们能够约束人们的行为；二是制度包括外在的带有强制和惩罚性的规则，也包括内在带有自我约束性的规则；三是制度的功能在于它可以将人们的行为导入可合理预期的轨道。他们对制度的理解是包括法律和道德两个层面，把前者看成是</w:t>
      </w:r>
      <w:r>
        <w:rPr>
          <w:rFonts w:hint="eastAsia" w:ascii="宋体" w:hAnsi="宋体" w:eastAsia="宋体" w:cs="Times New Roman"/>
          <w:szCs w:val="24"/>
        </w:rPr>
        <w:t>“</w:t>
      </w:r>
      <w:r>
        <w:rPr>
          <w:rFonts w:ascii="宋体" w:hAnsi="宋体" w:eastAsia="宋体" w:cs="Times New Roman"/>
          <w:szCs w:val="24"/>
        </w:rPr>
        <w:t>正规约束”，把后者看成是</w:t>
      </w:r>
      <w:r>
        <w:rPr>
          <w:rFonts w:hint="eastAsia" w:ascii="宋体" w:hAnsi="宋体" w:eastAsia="宋体" w:cs="Times New Roman"/>
          <w:szCs w:val="24"/>
        </w:rPr>
        <w:t>“</w:t>
      </w:r>
      <w:r>
        <w:rPr>
          <w:rFonts w:ascii="宋体" w:hAnsi="宋体" w:eastAsia="宋体" w:cs="Times New Roman"/>
          <w:szCs w:val="24"/>
        </w:rPr>
        <w:t>非正规约束”。这两个层面的制度从外部和内部两个方面来约束人们的行为。</w:t>
      </w:r>
    </w:p>
    <w:p w14:paraId="0F40F97A">
      <w:pPr>
        <w:spacing w:line="300" w:lineRule="auto"/>
        <w:ind w:firstLine="440" w:firstLineChars="200"/>
        <w:rPr>
          <w:rFonts w:ascii="宋体" w:hAnsi="宋体" w:eastAsia="宋体" w:cs="Times New Roman"/>
          <w:szCs w:val="24"/>
        </w:rPr>
      </w:pPr>
      <w:r>
        <w:rPr>
          <w:rFonts w:ascii="宋体" w:hAnsi="宋体" w:eastAsia="宋体" w:cs="Times New Roman"/>
          <w:szCs w:val="24"/>
        </w:rPr>
        <w:t>第二，新制度经济学对新古典经济学的方法是批评与运用并存。既批评新古典经济学忽视制度因素的不切实际的做法，但又部分地利用新古典理论和方法去分析制度的构成和运行，因而能较快地被西方主流经济学所接受。如关于企业规模扩张的边界使用了均衡分析方法。由此，新制度经济学主张利用新古典经济学的某些方法去分析、解释制度的构成和运行，并发现制度因素在经济体系运行中的地位和作用，寻求制度分析与新古典经济学分析的藕合，以建立一个涵盖资源、技术、偏好和制度，包括各种重要经济变量的经济学分析体系。</w:t>
      </w:r>
    </w:p>
    <w:p w14:paraId="162DCF0C">
      <w:pPr>
        <w:spacing w:line="300" w:lineRule="auto"/>
        <w:ind w:firstLine="440" w:firstLineChars="200"/>
        <w:rPr>
          <w:rFonts w:ascii="宋体" w:hAnsi="宋体" w:eastAsia="宋体" w:cs="Times New Roman"/>
          <w:szCs w:val="24"/>
        </w:rPr>
      </w:pPr>
      <w:r>
        <w:rPr>
          <w:rFonts w:ascii="宋体" w:hAnsi="宋体" w:eastAsia="宋体" w:cs="Times New Roman"/>
          <w:szCs w:val="24"/>
        </w:rPr>
        <w:t>第三，新制度经济学主要是在较一般意义上研究制度。他们把制度与劳动、土地、资本一起视为影响生产与交易成本的稀缺资源，比较重视制度与人们利益的关系，并认为生产要素私有制和市场制度是永恒优越的，把所有制的具体表现—产权制度作为核心制度，强调其他制度的性质与特征主要是取决于产权制度的社会性质，没有科学揭示技术（生产力）与经济制度（生产关系）以及经济制度与国家制度和意识形态（上层建筑）的辩证关系，没有揭示阶级社会中各种根本制度背后的阶级关系及其利益。</w:t>
      </w:r>
    </w:p>
    <w:p w14:paraId="05D4DA59">
      <w:pPr>
        <w:spacing w:before="156" w:beforeLines="50" w:after="156" w:afterLines="50" w:line="300" w:lineRule="auto"/>
        <w:ind w:firstLine="500" w:firstLineChars="200"/>
        <w:jc w:val="center"/>
        <w:rPr>
          <w:rFonts w:ascii="宋体" w:hAnsi="宋体" w:eastAsia="宋体" w:cs="Times New Roman"/>
          <w:b/>
          <w:sz w:val="24"/>
          <w:szCs w:val="24"/>
        </w:rPr>
      </w:pPr>
      <w:bookmarkStart w:id="379" w:name="_Toc19566"/>
      <w:bookmarkStart w:id="380" w:name="_Toc20204"/>
      <w:r>
        <w:rPr>
          <w:rFonts w:ascii="宋体" w:hAnsi="宋体" w:eastAsia="宋体" w:cs="Times New Roman"/>
          <w:b/>
          <w:sz w:val="24"/>
          <w:szCs w:val="24"/>
        </w:rPr>
        <w:t>二、主要理论的总体评论</w:t>
      </w:r>
      <w:bookmarkEnd w:id="379"/>
      <w:bookmarkEnd w:id="380"/>
    </w:p>
    <w:p w14:paraId="0851FC35">
      <w:pPr>
        <w:spacing w:line="300" w:lineRule="auto"/>
        <w:ind w:firstLine="440" w:firstLineChars="200"/>
        <w:rPr>
          <w:rFonts w:ascii="宋体" w:hAnsi="宋体" w:eastAsia="宋体" w:cs="Times New Roman"/>
          <w:szCs w:val="24"/>
        </w:rPr>
      </w:pPr>
      <w:r>
        <w:rPr>
          <w:rFonts w:ascii="宋体" w:hAnsi="宋体" w:eastAsia="宋体" w:cs="Times New Roman"/>
          <w:szCs w:val="24"/>
        </w:rPr>
        <w:t>现在，我们来深一步地分析和评价产权和交易费用以及制度理论的学术进展，探讨其学术局限和谬误所在。</w:t>
      </w:r>
    </w:p>
    <w:p w14:paraId="5DC933CC">
      <w:pPr>
        <w:spacing w:line="300" w:lineRule="auto"/>
        <w:ind w:firstLine="440" w:firstLineChars="200"/>
        <w:rPr>
          <w:rFonts w:ascii="宋体" w:hAnsi="宋体" w:eastAsia="宋体" w:cs="Times New Roman"/>
          <w:b/>
          <w:szCs w:val="24"/>
        </w:rPr>
      </w:pPr>
      <w:bookmarkStart w:id="381" w:name="_Toc25009"/>
      <w:bookmarkStart w:id="382" w:name="_Toc8242"/>
      <w:r>
        <w:rPr>
          <w:rFonts w:ascii="宋体" w:hAnsi="宋体" w:eastAsia="宋体" w:cs="Times New Roman"/>
          <w:b/>
          <w:szCs w:val="24"/>
        </w:rPr>
        <w:t>（一）产权和交易费用理论的学术意义与误区</w:t>
      </w:r>
      <w:bookmarkEnd w:id="381"/>
      <w:bookmarkEnd w:id="382"/>
    </w:p>
    <w:p w14:paraId="74D84EE9">
      <w:pPr>
        <w:spacing w:line="300" w:lineRule="auto"/>
        <w:ind w:firstLine="440" w:firstLineChars="200"/>
        <w:rPr>
          <w:rFonts w:ascii="宋体" w:hAnsi="宋体" w:eastAsia="宋体" w:cs="Times New Roman"/>
          <w:b/>
          <w:szCs w:val="24"/>
        </w:rPr>
      </w:pPr>
      <w:r>
        <w:rPr>
          <w:rFonts w:ascii="宋体" w:hAnsi="宋体" w:eastAsia="宋体" w:cs="Times New Roman"/>
          <w:b/>
          <w:szCs w:val="24"/>
        </w:rPr>
        <w:t>1.产权和交易费用理论的意义与贡献</w:t>
      </w:r>
    </w:p>
    <w:p w14:paraId="6874678F">
      <w:pPr>
        <w:spacing w:line="300" w:lineRule="auto"/>
        <w:ind w:firstLine="440" w:firstLineChars="200"/>
        <w:rPr>
          <w:rFonts w:ascii="宋体" w:hAnsi="宋体" w:eastAsia="宋体" w:cs="Times New Roman"/>
          <w:szCs w:val="24"/>
        </w:rPr>
      </w:pPr>
      <w:r>
        <w:rPr>
          <w:rFonts w:ascii="宋体" w:hAnsi="宋体" w:eastAsia="宋体" w:cs="Times New Roman"/>
          <w:szCs w:val="24"/>
        </w:rPr>
        <w:t>第一，科斯等人把</w:t>
      </w:r>
      <w:r>
        <w:rPr>
          <w:rFonts w:hint="eastAsia" w:ascii="宋体" w:hAnsi="宋体" w:eastAsia="宋体" w:cs="Times New Roman"/>
          <w:szCs w:val="24"/>
        </w:rPr>
        <w:t>“</w:t>
      </w:r>
      <w:r>
        <w:rPr>
          <w:rFonts w:ascii="宋体" w:hAnsi="宋体" w:eastAsia="宋体" w:cs="Times New Roman"/>
          <w:szCs w:val="24"/>
        </w:rPr>
        <w:t>产权”引人经济活动和经济行为的分析，是对当代西方正统经济学的批判，具有重要的学术贡献。传统西方微观经济学忽略生产和交换过程中的产权问题，在决策者的效用函数分析里没有产权的应有地位。西方产权学派以反现行潮流的勇气，</w:t>
      </w:r>
      <w:r>
        <w:rPr>
          <w:rFonts w:hint="eastAsia" w:ascii="宋体" w:hAnsi="宋体" w:eastAsia="宋体" w:cs="Times New Roman"/>
          <w:szCs w:val="24"/>
        </w:rPr>
        <w:t>“</w:t>
      </w:r>
      <w:r>
        <w:rPr>
          <w:rFonts w:ascii="宋体" w:hAnsi="宋体" w:eastAsia="宋体" w:cs="Times New Roman"/>
          <w:szCs w:val="24"/>
        </w:rPr>
        <w:t>复活”人类经济学说史上重视财产权利的科学精神，并在剖析企业、经济的外部效应、土地租约等问题上有所发展和创新，这是值得肯定的。科斯关于权利的初始界定先于权利转让和重组的市场交易的观点，关于权利的法律界定和法院直接影响着经济行为的观点；登姆塞茨关于产权包括受益或受损的权利的观点，关于产权的主要功能是导引人们实现将外部性较大地内在化的激励的观点，关于新的产权的形成是人们对新的收益一成本的可能渴望进行调整的回应的观点；阿尔钦关于产权是一个社会所强制实施的选择一种经济品的使用的权利的观点；张五常关于合约的选择是由风险分散所带来的收益与不同合约相关联的交易费用的加权来决定的观点；菲吕博腾和配杰威齐关于产权学说拓展了传统的生产与交换理论的观点；等等。从一般的意义上看，这些论述都是较为客观的，丰富了人们对产权内含和功能的认识。</w:t>
      </w:r>
    </w:p>
    <w:p w14:paraId="200A9A99">
      <w:pPr>
        <w:spacing w:line="300" w:lineRule="auto"/>
        <w:ind w:firstLine="440" w:firstLineChars="200"/>
        <w:rPr>
          <w:rFonts w:ascii="宋体" w:hAnsi="宋体" w:eastAsia="宋体" w:cs="Times New Roman"/>
          <w:szCs w:val="24"/>
        </w:rPr>
      </w:pPr>
      <w:r>
        <w:rPr>
          <w:rFonts w:ascii="宋体" w:hAnsi="宋体" w:eastAsia="宋体" w:cs="Times New Roman"/>
          <w:szCs w:val="24"/>
        </w:rPr>
        <w:t>第二，科斯和阿尔钦从产权角度重新阐释和界定经济学，对于过度数学化的当代西方主流经济理论来说，具有合理的修正意义。科斯指出，当代制度经济学应该从人的实际出发来研究人，实际的人在由现实制度所赋予的制约条件中活动。当代制度经济学是</w:t>
      </w:r>
      <w:r>
        <w:rPr>
          <w:rFonts w:hint="eastAsia" w:ascii="宋体" w:hAnsi="宋体" w:eastAsia="宋体" w:cs="Times New Roman"/>
          <w:szCs w:val="24"/>
        </w:rPr>
        <w:t>“</w:t>
      </w:r>
      <w:r>
        <w:rPr>
          <w:rFonts w:ascii="宋体" w:hAnsi="宋体" w:eastAsia="宋体" w:cs="Times New Roman"/>
          <w:szCs w:val="24"/>
        </w:rPr>
        <w:t>经济学”本来就应该是的那种经济学。科斯讽刺性地写道：听说傻得难以启齿的话可以唱，在现代经济学中，这样的话可以放在数学之中。</w:t>
      </w:r>
    </w:p>
    <w:p w14:paraId="6D486B6E">
      <w:pPr>
        <w:spacing w:line="300" w:lineRule="auto"/>
        <w:ind w:firstLine="440" w:firstLineChars="200"/>
        <w:rPr>
          <w:rFonts w:ascii="宋体" w:hAnsi="宋体" w:eastAsia="宋体" w:cs="Times New Roman"/>
          <w:szCs w:val="24"/>
        </w:rPr>
      </w:pPr>
      <w:r>
        <w:rPr>
          <w:rFonts w:ascii="宋体" w:hAnsi="宋体" w:eastAsia="宋体" w:cs="Times New Roman"/>
          <w:szCs w:val="24"/>
        </w:rPr>
        <w:t>第三，科斯等人提出</w:t>
      </w:r>
      <w:r>
        <w:rPr>
          <w:rFonts w:hint="eastAsia" w:ascii="宋体" w:hAnsi="宋体" w:eastAsia="宋体" w:cs="Times New Roman"/>
          <w:szCs w:val="24"/>
        </w:rPr>
        <w:t>“</w:t>
      </w:r>
      <w:r>
        <w:rPr>
          <w:rFonts w:ascii="宋体" w:hAnsi="宋体" w:eastAsia="宋体" w:cs="Times New Roman"/>
          <w:szCs w:val="24"/>
        </w:rPr>
        <w:t>交易费用”范畴，拓展了康芒斯的理论，对深化产权等问题的分析具有创新的观察价值。科斯实际上发扬了美国制度学派的某些学术精神（不过，他和施蒂格勒有失公允地全盘否认这一点），把交易费用看成是西方产权经济学的核心范畴和理论基础。比如：科斯和威廉姆森运用交易费用的概念，解析企业的产生和规模变动，论证交易费用、产权安排与资源配置效率之间的相关性；登姆塞茨运用交易费用的概念，解析产权的功能和变动，研究所有制作为外生现象和内生现象的状况；诺思和托马斯运用交易费用的概念，解析经济史中的产权制度变迁、制度创新和经济增长；等等。他们在这些方面的探讨均取得了不少成果。尽管在交易费用这一范畴的科学界定和运用上还有许多重大缺陷和错误，但它毕竟继承和扩展了一种合理的经济分析视角，并提供了相当可观的思想素材和实例，是值得肯定的。</w:t>
      </w:r>
    </w:p>
    <w:p w14:paraId="117148EF">
      <w:pPr>
        <w:spacing w:line="300" w:lineRule="auto"/>
        <w:ind w:firstLine="440" w:firstLineChars="200"/>
        <w:rPr>
          <w:rFonts w:ascii="宋体" w:hAnsi="宋体" w:eastAsia="宋体" w:cs="Times New Roman"/>
          <w:b/>
          <w:szCs w:val="24"/>
        </w:rPr>
      </w:pPr>
      <w:r>
        <w:rPr>
          <w:rFonts w:ascii="宋体" w:hAnsi="宋体" w:eastAsia="宋体" w:cs="Times New Roman"/>
          <w:b/>
          <w:szCs w:val="24"/>
        </w:rPr>
        <w:t>2.产权和交易费用理论的缺陷与误区</w:t>
      </w:r>
    </w:p>
    <w:p w14:paraId="4963DE8F">
      <w:pPr>
        <w:spacing w:line="300" w:lineRule="auto"/>
        <w:ind w:firstLine="440" w:firstLineChars="200"/>
        <w:rPr>
          <w:rFonts w:ascii="宋体" w:hAnsi="宋体" w:eastAsia="宋体" w:cs="Times New Roman"/>
          <w:szCs w:val="24"/>
        </w:rPr>
      </w:pPr>
      <w:r>
        <w:rPr>
          <w:rFonts w:ascii="宋体" w:hAnsi="宋体" w:eastAsia="宋体" w:cs="Times New Roman"/>
          <w:szCs w:val="24"/>
        </w:rPr>
        <w:t>在国际学术界，科斯等人的产权理论受到萨缪尔森、布坎南、库特、舒尔茨等一些著名经济学家的批评。在中国，一些学术造诣很深的学者，如高鸿业、吴易风、吴宣恭等也持不同程度的批评意见。</w:t>
      </w:r>
    </w:p>
    <w:p w14:paraId="4C483B24">
      <w:pPr>
        <w:spacing w:line="300" w:lineRule="auto"/>
        <w:ind w:firstLine="440" w:firstLineChars="200"/>
        <w:rPr>
          <w:rFonts w:ascii="宋体" w:hAnsi="宋体" w:eastAsia="宋体" w:cs="Times New Roman"/>
          <w:szCs w:val="24"/>
        </w:rPr>
      </w:pPr>
      <w:r>
        <w:rPr>
          <w:rFonts w:ascii="宋体" w:hAnsi="宋体" w:eastAsia="宋体" w:cs="Times New Roman"/>
          <w:szCs w:val="24"/>
        </w:rPr>
        <w:t>一是有关</w:t>
      </w:r>
      <w:r>
        <w:rPr>
          <w:rFonts w:hint="eastAsia" w:ascii="宋体" w:hAnsi="宋体" w:eastAsia="宋体" w:cs="Times New Roman"/>
          <w:szCs w:val="24"/>
        </w:rPr>
        <w:t>“</w:t>
      </w:r>
      <w:r>
        <w:rPr>
          <w:rFonts w:ascii="宋体" w:hAnsi="宋体" w:eastAsia="宋体" w:cs="Times New Roman"/>
          <w:szCs w:val="24"/>
        </w:rPr>
        <w:t>科斯第一定理”的主要缺陷。被学术界公认的，用科斯自己的语言所表述的</w:t>
      </w:r>
      <w:r>
        <w:rPr>
          <w:rFonts w:hint="eastAsia" w:ascii="宋体" w:hAnsi="宋体" w:eastAsia="宋体" w:cs="Times New Roman"/>
          <w:szCs w:val="24"/>
        </w:rPr>
        <w:t>“</w:t>
      </w:r>
      <w:r>
        <w:rPr>
          <w:rFonts w:ascii="宋体" w:hAnsi="宋体" w:eastAsia="宋体" w:cs="Times New Roman"/>
          <w:szCs w:val="24"/>
        </w:rPr>
        <w:t>科斯第一定理”是这样的：如果定价制度的运行毫无成本，最终的结果（产值最大化）是不受法律状况影响的。威廉姆森等人将这一定理改述为：只要交易成本为零，那么初始的合法的权利配置对于资源配置的有效性是无关的。颇具权威的（新帕尔格雷夫经济学辞典》表述为：只要交易成本为零，财产的法定所有权的分配不影响经济运行的效率。</w:t>
      </w:r>
    </w:p>
    <w:p w14:paraId="1E9FDFFD">
      <w:pPr>
        <w:spacing w:line="300" w:lineRule="auto"/>
        <w:ind w:firstLine="440" w:firstLineChars="200"/>
        <w:rPr>
          <w:rFonts w:ascii="宋体" w:hAnsi="宋体" w:eastAsia="宋体" w:cs="Times New Roman"/>
          <w:szCs w:val="24"/>
        </w:rPr>
      </w:pPr>
      <w:r>
        <w:rPr>
          <w:rFonts w:ascii="宋体" w:hAnsi="宋体" w:eastAsia="宋体" w:cs="Times New Roman"/>
          <w:szCs w:val="24"/>
        </w:rPr>
        <w:t>“科斯第一定理”存在的问题是：其一，逻辑上的同义反复。科斯的效率观是</w:t>
      </w:r>
      <w:r>
        <w:rPr>
          <w:rFonts w:hint="eastAsia" w:ascii="宋体" w:hAnsi="宋体" w:eastAsia="宋体" w:cs="Times New Roman"/>
          <w:szCs w:val="24"/>
        </w:rPr>
        <w:t>“</w:t>
      </w:r>
      <w:r>
        <w:rPr>
          <w:rFonts w:ascii="宋体" w:hAnsi="宋体" w:eastAsia="宋体" w:cs="Times New Roman"/>
          <w:szCs w:val="24"/>
        </w:rPr>
        <w:t>帕累托最优”，而这一最优状态原本就是在没有交易磨擦的假定下得出的。该定理实际上是帕累托最优的同义反复。其二，零交易费用的假设不现实。其三，忽略收人分配的效应。</w:t>
      </w:r>
      <w:r>
        <w:rPr>
          <w:rFonts w:hint="eastAsia" w:ascii="宋体" w:hAnsi="宋体" w:eastAsia="宋体" w:cs="Times New Roman"/>
          <w:szCs w:val="24"/>
        </w:rPr>
        <w:t>“</w:t>
      </w:r>
      <w:r>
        <w:rPr>
          <w:rFonts w:ascii="宋体" w:hAnsi="宋体" w:eastAsia="宋体" w:cs="Times New Roman"/>
          <w:szCs w:val="24"/>
        </w:rPr>
        <w:t>科斯第一定理”试图表明的是，在零交易费用的假设下，任何产权分配方式都会导致帕累托最优。事实上，即使在该假设下，产权的初始界定通过影响财富分配状况（甚至如许多西方经济学家所指出的，进一步影响对物品和服务的需求变化），也必然会影响资源配置效率。其四，忽视机会主义行为和信息不充分的存在。即使交易费用为零，当人们在谈判等交易活动中采取利己的机会主义策略或信息不充分时，很可能出现谈判破裂或各自采取行动等某些不利于资源最优配置的现象，从而无法实现科斯定理所预期的最佳状态。其五，混淆权利的最佳初始配置与资源的最佳配置的关系。产权的初始界定和配置可能是由法律规定的，也可能不是，但不管怎样，即使在零交易费用的情况下，由于某种缘故，最佳的权利初始分配并不等于（或绝对保证）最佳的资源配置。</w:t>
      </w:r>
    </w:p>
    <w:p w14:paraId="4214D9A3">
      <w:pPr>
        <w:spacing w:line="300" w:lineRule="auto"/>
        <w:ind w:firstLine="440" w:firstLineChars="200"/>
        <w:rPr>
          <w:rFonts w:ascii="宋体" w:hAnsi="宋体" w:eastAsia="宋体" w:cs="Times New Roman"/>
          <w:szCs w:val="24"/>
        </w:rPr>
      </w:pPr>
      <w:r>
        <w:rPr>
          <w:rFonts w:ascii="宋体" w:hAnsi="宋体" w:eastAsia="宋体" w:cs="Times New Roman"/>
          <w:szCs w:val="24"/>
        </w:rPr>
        <w:t>二是有关</w:t>
      </w:r>
      <w:r>
        <w:rPr>
          <w:rFonts w:hint="eastAsia" w:ascii="宋体" w:hAnsi="宋体" w:eastAsia="宋体" w:cs="Times New Roman"/>
          <w:szCs w:val="24"/>
        </w:rPr>
        <w:t>“</w:t>
      </w:r>
      <w:r>
        <w:rPr>
          <w:rFonts w:ascii="宋体" w:hAnsi="宋体" w:eastAsia="宋体" w:cs="Times New Roman"/>
          <w:szCs w:val="24"/>
        </w:rPr>
        <w:t>科斯第二定理”的主要缺陷。被学术界公认的，用科斯自己的语言来表述的</w:t>
      </w:r>
      <w:r>
        <w:rPr>
          <w:rFonts w:hint="eastAsia" w:ascii="宋体" w:hAnsi="宋体" w:eastAsia="宋体" w:cs="Times New Roman"/>
          <w:szCs w:val="24"/>
        </w:rPr>
        <w:t>“</w:t>
      </w:r>
      <w:r>
        <w:rPr>
          <w:rFonts w:ascii="宋体" w:hAnsi="宋体" w:eastAsia="宋体" w:cs="Times New Roman"/>
          <w:szCs w:val="24"/>
        </w:rPr>
        <w:t>科斯第二定理”如下：当交易费用为正时，权利的初始界定和调整会影响资源配置的效率。从字面上看，</w:t>
      </w:r>
      <w:r>
        <w:rPr>
          <w:rFonts w:hint="eastAsia" w:ascii="宋体" w:hAnsi="宋体" w:eastAsia="宋体" w:cs="Times New Roman"/>
          <w:szCs w:val="24"/>
        </w:rPr>
        <w:t>“</w:t>
      </w:r>
      <w:r>
        <w:rPr>
          <w:rFonts w:ascii="宋体" w:hAnsi="宋体" w:eastAsia="宋体" w:cs="Times New Roman"/>
          <w:szCs w:val="24"/>
        </w:rPr>
        <w:t>科斯第二定理”讲的话难以否定。但重视权利、制度或法律对资源配置的影响，并非科斯首创，包括亚当.斯密、马克思和康芒斯在内的不少经济学家和法学家等等，早就从多方面无数次地阐述过了。如果撇开</w:t>
      </w:r>
      <w:r>
        <w:rPr>
          <w:rFonts w:hint="eastAsia" w:ascii="宋体" w:hAnsi="宋体" w:eastAsia="宋体" w:cs="Times New Roman"/>
          <w:szCs w:val="24"/>
        </w:rPr>
        <w:t>“</w:t>
      </w:r>
      <w:r>
        <w:rPr>
          <w:rFonts w:ascii="宋体" w:hAnsi="宋体" w:eastAsia="宋体" w:cs="Times New Roman"/>
          <w:szCs w:val="24"/>
        </w:rPr>
        <w:t>科斯第一定理”，单就把这一常识性的道理拔高为发现了一个伟大的</w:t>
      </w:r>
      <w:r>
        <w:rPr>
          <w:rFonts w:hint="eastAsia" w:ascii="宋体" w:hAnsi="宋体" w:eastAsia="宋体" w:cs="Times New Roman"/>
          <w:szCs w:val="24"/>
        </w:rPr>
        <w:t>“</w:t>
      </w:r>
      <w:r>
        <w:rPr>
          <w:rFonts w:ascii="宋体" w:hAnsi="宋体" w:eastAsia="宋体" w:cs="Times New Roman"/>
          <w:szCs w:val="24"/>
        </w:rPr>
        <w:t>定理”，似乎显得当代人的思维也太贫乏了。另外，倘若</w:t>
      </w:r>
      <w:r>
        <w:rPr>
          <w:rFonts w:hint="eastAsia" w:ascii="宋体" w:hAnsi="宋体" w:eastAsia="宋体" w:cs="Times New Roman"/>
          <w:szCs w:val="24"/>
        </w:rPr>
        <w:t>“</w:t>
      </w:r>
      <w:r>
        <w:rPr>
          <w:rFonts w:ascii="宋体" w:hAnsi="宋体" w:eastAsia="宋体" w:cs="Times New Roman"/>
          <w:szCs w:val="24"/>
        </w:rPr>
        <w:t>科斯第二定理”仅仅要表明，可从交易费用最小化出发，任意选择市场交易、企业组织和政府管制三种方式，来解决外部效应和资源配置的问题，这显然与科斯重点强调的和精神实质相矛盾。</w:t>
      </w:r>
    </w:p>
    <w:p w14:paraId="0BED4090">
      <w:pPr>
        <w:spacing w:line="300" w:lineRule="auto"/>
        <w:ind w:firstLine="440" w:firstLineChars="200"/>
        <w:rPr>
          <w:rFonts w:ascii="宋体" w:hAnsi="宋体" w:eastAsia="宋体" w:cs="Times New Roman"/>
          <w:szCs w:val="24"/>
        </w:rPr>
      </w:pPr>
      <w:r>
        <w:rPr>
          <w:rFonts w:ascii="宋体" w:hAnsi="宋体" w:eastAsia="宋体" w:cs="Times New Roman"/>
          <w:szCs w:val="24"/>
        </w:rPr>
        <w:t>三是有关交易费用理论的主要缺陷。交易费用范畴是西方产权理论的核心和支柱。几十年来，这一概念被许多产权学派的经济学家和同行界定过，但至今仍有重要疑点或误点。其一，交易费用的定义和范围不清晰。例如，张五常曾估计交易费用占香港国民生产总值的80%。这似乎包括了全部第三产业以及第一、第二产业的量度和监管费用。疑点在于，交易费用是否应当作如此宽泛的解释。还有，交易费用是否包括运输费用，也是该学派没有解释清楚的问题。其二，交易费用的作用被夸大。科斯单纯从交易费用角度阐释企业的起源和规模，显然是有所夸大。应当看到，在有些经济活动和经济行为中，交易费用是主要因素，但在很多情况下并不是主要或主导因素，因此，不能将交易费用始终放在经济分析重要性的首位。滥用概念反而糟蹋了概念内含的科学精神，且不能圆满地解释经济现实。其三，交易费用尚未得到定量分析。虽然威廉姆森等个别学者也试图将交易费用作数学处理，但由于交易费用概念及其范围至今歧见甚多，也由于作为制度意义上的费用本身难以计量（有的费用可用货币度量，而谈判等交易过程中的努力程度和心理能量消耗就很难准确度量），因而该学派还没有在交易费用这一概念的精确化上获得成功。四是有关产权其他理论的主要缺陷。其一，主张只有私有制才是产权明晰和高效率的观点，违背了分析逻辑和实践经验。其实，在逻辑上，只要产权的界定或分割是明确而无争议的，那就属于产权清晰之列，而不一定非要界定给个人才算清晰。对于集体所有制和国家所有制及其他公共所有制，完全可以通过多种产权配置和界定的方法，包括完善各种管理规则，来细化和明晰它的权利。至于私有制能否都达到高效率，公有制是否都属于低效率，各国经济发展的历史和业绩已经提供了经验。任何正直和客观的学者均可以轻而易举地用事实去证伪这一论断。其二，主张只要产权明晰就会自动实现资源最优配置的观点，违背了经济发展的本质趋势。由于人的机会主义动机和信息障碍等，即使私有产权清晰，市场机制也未必调节到帕累托最优状态。当出现外部经济效应时，必须视具体情况作国家的或市场的具体处理办法，而不应该固执地坚持某一种思维方式和解决方案。在许多情况下，包括处理外部经济效应在内的国家的各种管理和干预，反映了经济社会化和国际化的必要进程和本质趋势。</w:t>
      </w:r>
    </w:p>
    <w:p w14:paraId="4F720877">
      <w:pPr>
        <w:spacing w:line="300" w:lineRule="auto"/>
        <w:ind w:firstLine="440" w:firstLineChars="200"/>
        <w:rPr>
          <w:rFonts w:ascii="宋体" w:hAnsi="宋体" w:eastAsia="宋体" w:cs="Times New Roman"/>
          <w:b/>
          <w:szCs w:val="24"/>
        </w:rPr>
      </w:pPr>
      <w:bookmarkStart w:id="383" w:name="_Toc31373"/>
      <w:bookmarkStart w:id="384" w:name="_Toc5712"/>
      <w:r>
        <w:rPr>
          <w:rFonts w:ascii="宋体" w:hAnsi="宋体" w:eastAsia="宋体" w:cs="Times New Roman"/>
          <w:b/>
          <w:szCs w:val="24"/>
        </w:rPr>
        <w:t>（二）企业理论的学术意义与误区</w:t>
      </w:r>
      <w:bookmarkEnd w:id="383"/>
      <w:bookmarkEnd w:id="384"/>
    </w:p>
    <w:p w14:paraId="149F3E07">
      <w:pPr>
        <w:spacing w:line="300" w:lineRule="auto"/>
        <w:ind w:firstLine="440" w:firstLineChars="200"/>
        <w:rPr>
          <w:rFonts w:ascii="宋体" w:hAnsi="宋体" w:eastAsia="宋体" w:cs="Times New Roman"/>
          <w:b/>
          <w:szCs w:val="24"/>
        </w:rPr>
      </w:pPr>
      <w:r>
        <w:rPr>
          <w:rFonts w:ascii="宋体" w:hAnsi="宋体" w:eastAsia="宋体" w:cs="Times New Roman"/>
          <w:b/>
          <w:szCs w:val="24"/>
        </w:rPr>
        <w:t>1.企业理论的意义与贡献</w:t>
      </w:r>
    </w:p>
    <w:p w14:paraId="20B03580">
      <w:pPr>
        <w:spacing w:line="300" w:lineRule="auto"/>
        <w:ind w:firstLine="440" w:firstLineChars="200"/>
        <w:rPr>
          <w:rFonts w:ascii="宋体" w:hAnsi="宋体" w:eastAsia="宋体" w:cs="Times New Roman"/>
          <w:szCs w:val="24"/>
        </w:rPr>
      </w:pPr>
      <w:r>
        <w:rPr>
          <w:rFonts w:ascii="宋体" w:hAnsi="宋体" w:eastAsia="宋体" w:cs="Times New Roman"/>
          <w:szCs w:val="24"/>
        </w:rPr>
        <w:t>科斯关于企业组织的成因和规模界限的理论，是对西方主流微观经济学的一种批评性补充，有着积极的理论和现实的意义。的确，从西方经济学说的发展史和社会生产的实际状况来说，利用价格机制或市场的运行是有成本的，企业的存在与减少市场交易成本有关，企业规模的大小同内部组织的交易成本与公开市场的交易成本比较有关，尽管科斯提出这些论点较为粗糙，但他首次明确把交易费用纳人经济学分析领域，体现出一种创新精神。</w:t>
      </w:r>
    </w:p>
    <w:p w14:paraId="7EE0C895">
      <w:pPr>
        <w:spacing w:line="300" w:lineRule="auto"/>
        <w:ind w:firstLine="440" w:firstLineChars="200"/>
        <w:rPr>
          <w:rFonts w:ascii="宋体" w:hAnsi="宋体" w:eastAsia="宋体" w:cs="Times New Roman"/>
          <w:szCs w:val="24"/>
        </w:rPr>
      </w:pPr>
      <w:r>
        <w:rPr>
          <w:rFonts w:ascii="宋体" w:hAnsi="宋体" w:eastAsia="宋体" w:cs="Times New Roman"/>
          <w:szCs w:val="24"/>
        </w:rPr>
        <w:t>阿尔钦和登姆塞茨关于古典资本主义企业的团队分析，充实了科斯的理论，具有常识性的意义。阿氏和登氏写道：</w:t>
      </w:r>
      <w:r>
        <w:rPr>
          <w:rFonts w:hint="eastAsia" w:ascii="宋体" w:hAnsi="宋体" w:eastAsia="宋体" w:cs="Times New Roman"/>
          <w:szCs w:val="24"/>
        </w:rPr>
        <w:t>“</w:t>
      </w:r>
      <w:r>
        <w:rPr>
          <w:rFonts w:ascii="宋体" w:hAnsi="宋体" w:eastAsia="宋体" w:cs="Times New Roman"/>
          <w:szCs w:val="24"/>
        </w:rPr>
        <w:t>我们所提出的古典企业理论是逐渐退出科斯所指引的路径来达到这一目标的。在我们的解释中，对队生产、队组织计量产出的困难，以及偷懒问题的考虑都是很重要的。但至此我们可以肯定的是，这些方面都是科斯理论所没有的。”</w:t>
      </w:r>
      <w:r>
        <w:rPr>
          <w:rFonts w:ascii="宋体" w:hAnsi="宋体" w:eastAsia="宋体" w:cs="Times New Roman"/>
          <w:szCs w:val="24"/>
          <w:vertAlign w:val="superscript"/>
        </w:rPr>
        <w:footnoteReference w:id="154"/>
      </w:r>
      <w:r>
        <w:rPr>
          <w:rFonts w:ascii="宋体" w:hAnsi="宋体" w:eastAsia="宋体" w:cs="Times New Roman"/>
          <w:szCs w:val="24"/>
        </w:rPr>
        <w:t>如果同威廉姆森相比，阿尔钦和登姆塞茨退出科斯路径而作的分析，就其主要思想来说是常识性的。</w:t>
      </w:r>
    </w:p>
    <w:p w14:paraId="6203DE11">
      <w:pPr>
        <w:spacing w:line="300" w:lineRule="auto"/>
        <w:ind w:firstLine="440" w:firstLineChars="200"/>
        <w:rPr>
          <w:rFonts w:ascii="宋体" w:hAnsi="宋体" w:eastAsia="宋体" w:cs="Times New Roman"/>
          <w:szCs w:val="24"/>
        </w:rPr>
      </w:pPr>
      <w:r>
        <w:rPr>
          <w:rFonts w:ascii="宋体" w:hAnsi="宋体" w:eastAsia="宋体" w:cs="Times New Roman"/>
          <w:szCs w:val="24"/>
        </w:rPr>
        <w:t>威廉姆森关于现代公司组织和治理结构的理论，大大地深化了科斯的企业理论，形成一种独特的有价值的分析体系。科斯只是提出了传统微观经济学所忽视的交易费用问题，分析经济资源配置的二元机制，并得出企业存在的原因或起源是由于内部组织协调比公开市场协调更为有效或交易费用更低，而没有提出企业存在的总费用的结构及其比较问题。威廉姆森明确区分企业的生产费用与组织管理费用，通过给出的经济模型来说明企业成长边界或效率边界取决于总费用的大小，而非单纯计量生产费用或单纯计量组织管理费用。这就比科斯的单角度论述显得相对全面和精确一点。此外，威廉姆森有关资产专用性与企业治理结构的界说，撇开名牌商标资产的专用性，其实质是要说明生产力中物的要素和人的要素的特性，客观上如何影响或决定企业内部和市场的组织行为和交易行为，即生产力如何决定生产方式和生产关系。这无疑具有理论意义。</w:t>
      </w:r>
    </w:p>
    <w:p w14:paraId="34978208">
      <w:pPr>
        <w:spacing w:line="300" w:lineRule="auto"/>
        <w:ind w:firstLine="440" w:firstLineChars="200"/>
        <w:rPr>
          <w:rFonts w:ascii="宋体" w:hAnsi="宋体" w:eastAsia="宋体" w:cs="Times New Roman"/>
          <w:b/>
          <w:szCs w:val="24"/>
        </w:rPr>
      </w:pPr>
      <w:r>
        <w:rPr>
          <w:rFonts w:ascii="宋体" w:hAnsi="宋体" w:eastAsia="宋体" w:cs="Times New Roman"/>
          <w:b/>
          <w:szCs w:val="24"/>
        </w:rPr>
        <w:t>2.企业理论的局限与误区</w:t>
      </w:r>
    </w:p>
    <w:p w14:paraId="36EAE30B">
      <w:pPr>
        <w:spacing w:line="300" w:lineRule="auto"/>
        <w:ind w:firstLine="440" w:firstLineChars="200"/>
        <w:rPr>
          <w:rFonts w:ascii="宋体" w:hAnsi="宋体" w:eastAsia="宋体" w:cs="Times New Roman"/>
          <w:szCs w:val="24"/>
        </w:rPr>
      </w:pPr>
      <w:r>
        <w:rPr>
          <w:rFonts w:ascii="宋体" w:hAnsi="宋体" w:eastAsia="宋体" w:cs="Times New Roman"/>
          <w:szCs w:val="24"/>
        </w:rPr>
        <w:t>单纯从交易费用的存在和大小来说明企业的存在和规模界限，不免含有片面性。试间：假如交易费用为零，企业还可能产生吗？事实上，企业与市场的根本区别，在于企业具有生产的功能，而这一功能是市场无法取代的。企业可以把公开市场交易内部化，从而可能节约交易费用，但交易费用的存在与否及其大小，并不一定是企业存在的根本原因。</w:t>
      </w:r>
    </w:p>
    <w:p w14:paraId="2CAE7AE1">
      <w:pPr>
        <w:spacing w:line="300" w:lineRule="auto"/>
        <w:ind w:firstLine="440" w:firstLineChars="200"/>
        <w:rPr>
          <w:rFonts w:ascii="宋体" w:hAnsi="宋体" w:eastAsia="宋体" w:cs="Times New Roman"/>
          <w:szCs w:val="24"/>
        </w:rPr>
      </w:pPr>
      <w:r>
        <w:rPr>
          <w:rFonts w:ascii="宋体" w:hAnsi="宋体" w:eastAsia="宋体" w:cs="Times New Roman"/>
          <w:szCs w:val="24"/>
        </w:rPr>
        <w:t>忽略具有垄断因素的市场结构可以导致企业界限的变化，是缺乏现实性的。科斯等人的</w:t>
      </w:r>
      <w:r>
        <w:rPr>
          <w:rFonts w:hint="eastAsia" w:ascii="宋体" w:hAnsi="宋体" w:eastAsia="宋体" w:cs="Times New Roman"/>
          <w:szCs w:val="24"/>
        </w:rPr>
        <w:t>“</w:t>
      </w:r>
      <w:r>
        <w:rPr>
          <w:rFonts w:ascii="宋体" w:hAnsi="宋体" w:eastAsia="宋体" w:cs="Times New Roman"/>
          <w:szCs w:val="24"/>
        </w:rPr>
        <w:t>企业替代市场说”是以新古典经济学的纯粹竞争假设为前提条件的，而现实经济生活中的市场往往偏离纯粹竞争。假定交易费用为零，市场的垄断结构仍。{导致企业的生死存亡和扩张收缩。即使交易费用为零，在类似垄断结构中的各种企业依然可以赚钱并扩大生产经营规模；反之，垄断结构被竞争逐渐冲消，该种垄断企业也可能亏损甚至破产。</w:t>
      </w:r>
    </w:p>
    <w:p w14:paraId="19C57C24">
      <w:pPr>
        <w:spacing w:line="300" w:lineRule="auto"/>
        <w:ind w:firstLine="440" w:firstLineChars="200"/>
        <w:rPr>
          <w:rFonts w:ascii="宋体" w:hAnsi="宋体" w:eastAsia="宋体" w:cs="Times New Roman"/>
          <w:szCs w:val="24"/>
        </w:rPr>
      </w:pPr>
      <w:r>
        <w:rPr>
          <w:rFonts w:ascii="宋体" w:hAnsi="宋体" w:eastAsia="宋体" w:cs="Times New Roman"/>
          <w:szCs w:val="24"/>
        </w:rPr>
        <w:t>忽视和淡化从总体上追求长期利润极大化这一企业起源和成长的内在动力或深层动因，是不深刻和不充分的。节省交易费用只是企业决策的一个重要层面，只有假定由技术和市场等因素决定的生产费用为零或不变时，交易费用才是唯一的决定因素，而现实经济中生产费用与交易费用是交叉在一起的，哪种费用的变化占主要地位或成为主导因素，完全要视技术、市场和组织等不同的组合状况而定。况且，节省交易费用和生产费用的最终目的，都是为了从总体上获取长期利润极大化。脱离了预付资本与总利润的分析，企业起源和成长的根基发掘就显得不很深刻、不很充分。</w:t>
      </w:r>
    </w:p>
    <w:p w14:paraId="2D1634A0">
      <w:pPr>
        <w:spacing w:line="300" w:lineRule="auto"/>
        <w:ind w:firstLine="440" w:firstLineChars="200"/>
        <w:rPr>
          <w:rFonts w:ascii="宋体" w:hAnsi="宋体" w:eastAsia="宋体" w:cs="Times New Roman"/>
          <w:szCs w:val="24"/>
        </w:rPr>
      </w:pPr>
      <w:r>
        <w:rPr>
          <w:rFonts w:ascii="宋体" w:hAnsi="宋体" w:eastAsia="宋体" w:cs="Times New Roman"/>
          <w:szCs w:val="24"/>
        </w:rPr>
        <w:t>强调雇主监督雇员并应拥有剩余索取权是天经地义的，完全出于阶级偏见。阿尔钦和登姆塞茨的企业理论则是最明显地突出了这一资产阶级立场和学术观点。明明是资本家凭借生产资料的所有权或资本的所有权（收益权或剩余索取权是终极所有权的一种实现和完整所有权的一项权能），无偿占有雇佣劳动者的剩余劳动及其价值，但在西方企业理论中，这一生产资料与劳动者的特殊结合方式却被歪曲为团队生产或协作群生产的一般和必然的结合方式，而且是雇员向雇主</w:t>
      </w:r>
      <w:r>
        <w:rPr>
          <w:rFonts w:hint="eastAsia" w:ascii="宋体" w:hAnsi="宋体" w:eastAsia="宋体" w:cs="Times New Roman"/>
          <w:szCs w:val="24"/>
        </w:rPr>
        <w:t>“</w:t>
      </w:r>
      <w:r>
        <w:rPr>
          <w:rFonts w:ascii="宋体" w:hAnsi="宋体" w:eastAsia="宋体" w:cs="Times New Roman"/>
          <w:szCs w:val="24"/>
        </w:rPr>
        <w:t>分派”剩余索取权。可见，经济学的分析方法和社会立场不同，得出的企业理论自然有很大的差别。</w:t>
      </w:r>
    </w:p>
    <w:p w14:paraId="040A90DE">
      <w:pPr>
        <w:spacing w:line="300" w:lineRule="auto"/>
        <w:ind w:firstLine="440" w:firstLineChars="200"/>
        <w:rPr>
          <w:rFonts w:ascii="宋体" w:hAnsi="宋体" w:eastAsia="宋体" w:cs="Times New Roman"/>
          <w:szCs w:val="24"/>
        </w:rPr>
      </w:pPr>
      <w:r>
        <w:rPr>
          <w:rFonts w:ascii="宋体" w:hAnsi="宋体" w:eastAsia="宋体" w:cs="Times New Roman"/>
          <w:szCs w:val="24"/>
        </w:rPr>
        <w:t>模糊私有企业资本与雇佣劳动的本质关系，缺乏深层分析的科学精神。一个事物可以从不同的角度被认识，企业和私有企业也是如此。可是，在检索和研究了西方企业理论的主要经典文献后，发现私有企业最本质的契约关系并没有被揭示，反而被</w:t>
      </w:r>
      <w:r>
        <w:rPr>
          <w:rFonts w:hint="eastAsia" w:ascii="宋体" w:hAnsi="宋体" w:eastAsia="宋体" w:cs="Times New Roman"/>
          <w:szCs w:val="24"/>
        </w:rPr>
        <w:t>“</w:t>
      </w:r>
      <w:r>
        <w:rPr>
          <w:rFonts w:ascii="宋体" w:hAnsi="宋体" w:eastAsia="宋体" w:cs="Times New Roman"/>
          <w:szCs w:val="24"/>
        </w:rPr>
        <w:t>科学地”歪曲和掩盖。资本家不付费用而占有雇佣劳动者创造的剩余财富，是一种有别于奴隶制和封建制的新型契约关系，不过，这种</w:t>
      </w:r>
      <w:r>
        <w:rPr>
          <w:rFonts w:hint="eastAsia" w:ascii="宋体" w:hAnsi="宋体" w:eastAsia="宋体" w:cs="Times New Roman"/>
          <w:szCs w:val="24"/>
        </w:rPr>
        <w:t>“</w:t>
      </w:r>
      <w:r>
        <w:rPr>
          <w:rFonts w:ascii="宋体" w:hAnsi="宋体" w:eastAsia="宋体" w:cs="Times New Roman"/>
          <w:szCs w:val="24"/>
        </w:rPr>
        <w:t>自由”、</w:t>
      </w:r>
      <w:r>
        <w:rPr>
          <w:rFonts w:hint="eastAsia" w:ascii="宋体" w:hAnsi="宋体" w:eastAsia="宋体" w:cs="Times New Roman"/>
          <w:szCs w:val="24"/>
        </w:rPr>
        <w:t xml:space="preserve"> “</w:t>
      </w:r>
      <w:r>
        <w:rPr>
          <w:rFonts w:ascii="宋体" w:hAnsi="宋体" w:eastAsia="宋体" w:cs="Times New Roman"/>
          <w:szCs w:val="24"/>
        </w:rPr>
        <w:t>平等”的契约关系的实质是一种新型的</w:t>
      </w:r>
      <w:r>
        <w:rPr>
          <w:rFonts w:hint="eastAsia" w:ascii="宋体" w:hAnsi="宋体" w:eastAsia="宋体" w:cs="Times New Roman"/>
          <w:szCs w:val="24"/>
        </w:rPr>
        <w:t>“</w:t>
      </w:r>
      <w:r>
        <w:rPr>
          <w:rFonts w:ascii="宋体" w:hAnsi="宋体" w:eastAsia="宋体" w:cs="Times New Roman"/>
          <w:szCs w:val="24"/>
        </w:rPr>
        <w:t>剥削一被剥削”。西方学者大量描述过的</w:t>
      </w:r>
      <w:r>
        <w:rPr>
          <w:rFonts w:hint="eastAsia" w:ascii="宋体" w:hAnsi="宋体" w:eastAsia="宋体" w:cs="Times New Roman"/>
          <w:szCs w:val="24"/>
        </w:rPr>
        <w:t>“</w:t>
      </w:r>
      <w:r>
        <w:rPr>
          <w:rFonts w:ascii="宋体" w:hAnsi="宋体" w:eastAsia="宋体" w:cs="Times New Roman"/>
          <w:szCs w:val="24"/>
        </w:rPr>
        <w:t>偷懒一监督”、</w:t>
      </w:r>
      <w:r>
        <w:rPr>
          <w:rFonts w:hint="eastAsia" w:ascii="宋体" w:hAnsi="宋体" w:eastAsia="宋体" w:cs="Times New Roman"/>
          <w:szCs w:val="24"/>
        </w:rPr>
        <w:t xml:space="preserve"> “</w:t>
      </w:r>
      <w:r>
        <w:rPr>
          <w:rFonts w:ascii="宋体" w:hAnsi="宋体" w:eastAsia="宋体" w:cs="Times New Roman"/>
          <w:szCs w:val="24"/>
        </w:rPr>
        <w:t>委托一代理”、</w:t>
      </w:r>
      <w:r>
        <w:rPr>
          <w:rFonts w:hint="eastAsia" w:ascii="宋体" w:hAnsi="宋体" w:eastAsia="宋体" w:cs="Times New Roman"/>
          <w:szCs w:val="24"/>
        </w:rPr>
        <w:t xml:space="preserve"> “</w:t>
      </w:r>
      <w:r>
        <w:rPr>
          <w:rFonts w:ascii="宋体" w:hAnsi="宋体" w:eastAsia="宋体" w:cs="Times New Roman"/>
          <w:szCs w:val="24"/>
        </w:rPr>
        <w:t>组织一市场”和”交易费用高低”等一系列机制和关系，有程度不一的意义，但并未完整地、深刻地勾画出私有企业的全貌。</w:t>
      </w:r>
    </w:p>
    <w:p w14:paraId="5C99772E">
      <w:pPr>
        <w:spacing w:line="300" w:lineRule="auto"/>
        <w:ind w:firstLine="440" w:firstLineChars="200"/>
        <w:rPr>
          <w:rFonts w:ascii="宋体" w:hAnsi="宋体" w:eastAsia="宋体" w:cs="Times New Roman"/>
          <w:b/>
          <w:szCs w:val="24"/>
        </w:rPr>
      </w:pPr>
      <w:bookmarkStart w:id="385" w:name="_Toc25937"/>
      <w:bookmarkStart w:id="386" w:name="_Toc31230"/>
      <w:r>
        <w:rPr>
          <w:rFonts w:ascii="宋体" w:hAnsi="宋体" w:eastAsia="宋体" w:cs="Times New Roman"/>
          <w:b/>
          <w:szCs w:val="24"/>
        </w:rPr>
        <w:t>（三）制度理论的学术意义与误区</w:t>
      </w:r>
      <w:bookmarkEnd w:id="385"/>
      <w:bookmarkEnd w:id="386"/>
    </w:p>
    <w:p w14:paraId="6662028A">
      <w:pPr>
        <w:spacing w:line="300" w:lineRule="auto"/>
        <w:ind w:firstLine="440" w:firstLineChars="200"/>
        <w:rPr>
          <w:rFonts w:ascii="宋体" w:hAnsi="宋体" w:eastAsia="宋体" w:cs="Times New Roman"/>
          <w:b/>
          <w:szCs w:val="24"/>
        </w:rPr>
      </w:pPr>
      <w:r>
        <w:rPr>
          <w:rFonts w:ascii="宋体" w:hAnsi="宋体" w:eastAsia="宋体" w:cs="Times New Roman"/>
          <w:b/>
          <w:szCs w:val="24"/>
        </w:rPr>
        <w:t>1.关于制度理论的意义与贡献</w:t>
      </w:r>
    </w:p>
    <w:p w14:paraId="7382DD22">
      <w:pPr>
        <w:spacing w:line="300" w:lineRule="auto"/>
        <w:ind w:firstLine="440" w:firstLineChars="200"/>
        <w:rPr>
          <w:rFonts w:ascii="宋体" w:hAnsi="宋体" w:eastAsia="宋体" w:cs="Times New Roman"/>
          <w:szCs w:val="24"/>
        </w:rPr>
      </w:pPr>
      <w:r>
        <w:rPr>
          <w:rFonts w:ascii="宋体" w:hAnsi="宋体" w:eastAsia="宋体" w:cs="Times New Roman"/>
          <w:szCs w:val="24"/>
        </w:rPr>
        <w:t>新制度经济学关于制度的起源在于资源的稀缺性的见解，有一定的道理。因为在一个资源稀缺的世界上，如果不存在对于人力资本、非人力资本和自然资源的自由使用进行约束的制度安排，便没有任何社会能够生存。为了生存，为了更好地使资源发挥效率，便产生了约束人们行为的各种制度安排。从这种意义上说，制度是内生的。</w:t>
      </w:r>
    </w:p>
    <w:p w14:paraId="5900A3D7">
      <w:pPr>
        <w:spacing w:line="300" w:lineRule="auto"/>
        <w:ind w:firstLine="440" w:firstLineChars="200"/>
        <w:rPr>
          <w:rFonts w:ascii="宋体" w:hAnsi="宋体" w:eastAsia="宋体" w:cs="Times New Roman"/>
          <w:szCs w:val="24"/>
        </w:rPr>
      </w:pPr>
      <w:r>
        <w:rPr>
          <w:rFonts w:ascii="宋体" w:hAnsi="宋体" w:eastAsia="宋体" w:cs="Times New Roman"/>
          <w:szCs w:val="24"/>
        </w:rPr>
        <w:t>新制度经济学关于制度均衡与非均衡的分析，合乎辩证法的思维。显然，在社会经济发展过程中，制度均衡只是一种理想状态或瞬时状态，而制度非均衡才是一种</w:t>
      </w:r>
      <w:r>
        <w:rPr>
          <w:rFonts w:hint="eastAsia" w:ascii="宋体" w:hAnsi="宋体" w:eastAsia="宋体" w:cs="Times New Roman"/>
          <w:szCs w:val="24"/>
        </w:rPr>
        <w:t>“</w:t>
      </w:r>
      <w:r>
        <w:rPr>
          <w:rFonts w:ascii="宋体" w:hAnsi="宋体" w:eastAsia="宋体" w:cs="Times New Roman"/>
          <w:szCs w:val="24"/>
        </w:rPr>
        <w:t>常态”，制度变迁也就是对制度非均衡的一种反应。但是，需要注意，制度非均衡是制度变迁的必要条件，却非充分条件。制度变迁只可能在制度非均衡状态下发生，而制度非均衡却不一定导致、更不等于制度变迁。</w:t>
      </w:r>
    </w:p>
    <w:p w14:paraId="26A66EDD">
      <w:pPr>
        <w:spacing w:line="300" w:lineRule="auto"/>
        <w:ind w:firstLine="440" w:firstLineChars="200"/>
        <w:rPr>
          <w:rFonts w:ascii="宋体" w:hAnsi="宋体" w:eastAsia="宋体" w:cs="Times New Roman"/>
          <w:szCs w:val="24"/>
        </w:rPr>
      </w:pPr>
      <w:r>
        <w:rPr>
          <w:rFonts w:ascii="宋体" w:hAnsi="宋体" w:eastAsia="宋体" w:cs="Times New Roman"/>
          <w:szCs w:val="24"/>
        </w:rPr>
        <w:t>新制度经济学关于路径依赖的概念，具有积极的学术和现实意义。路径依赖理论在某种程度上有助于理解长期的社会经济变化，理解不同地区、不同国家的发展差异。诺斯通过对一些贫困国家的分析认为，正是由于缺少进人现代法律约束和其他制度化社会的机会，才造成了现今发展中国家的经济长期停滞不前。尽管这种解释并不全面，甚至并非关键，但仍值得重视。因此，对于发达国家、落后国家和转轨国家，摆脱不良的路径依赖显然都是十分重要的。渐进式制度变迁和突变式制度变迁，也都有如何摆脱妨碍进一步实现高公平与高效率的路径依赖问题。</w:t>
      </w:r>
    </w:p>
    <w:p w14:paraId="4E7C4AE2">
      <w:pPr>
        <w:spacing w:line="300" w:lineRule="auto"/>
        <w:ind w:firstLine="440" w:firstLineChars="200"/>
        <w:rPr>
          <w:rFonts w:ascii="宋体" w:hAnsi="宋体" w:eastAsia="宋体" w:cs="Times New Roman"/>
          <w:b/>
          <w:szCs w:val="24"/>
        </w:rPr>
      </w:pPr>
      <w:r>
        <w:rPr>
          <w:rFonts w:ascii="宋体" w:hAnsi="宋体" w:eastAsia="宋体" w:cs="Times New Roman"/>
          <w:b/>
          <w:szCs w:val="24"/>
        </w:rPr>
        <w:t>2.关于制度理论的局限与误区</w:t>
      </w:r>
    </w:p>
    <w:p w14:paraId="6836F846">
      <w:pPr>
        <w:spacing w:line="300" w:lineRule="auto"/>
        <w:ind w:firstLine="440" w:firstLineChars="200"/>
        <w:rPr>
          <w:rFonts w:ascii="宋体" w:hAnsi="宋体" w:eastAsia="宋体" w:cs="Times New Roman"/>
          <w:szCs w:val="24"/>
        </w:rPr>
      </w:pPr>
      <w:r>
        <w:rPr>
          <w:rFonts w:ascii="宋体" w:hAnsi="宋体" w:eastAsia="宋体" w:cs="Times New Roman"/>
          <w:szCs w:val="24"/>
        </w:rPr>
        <w:t>新制度经济学关于制度的定义不很准确。他们对制度的理解不仅包括</w:t>
      </w:r>
      <w:r>
        <w:rPr>
          <w:rFonts w:hint="eastAsia" w:ascii="宋体" w:hAnsi="宋体" w:eastAsia="宋体" w:cs="Times New Roman"/>
          <w:szCs w:val="24"/>
        </w:rPr>
        <w:t>“</w:t>
      </w:r>
      <w:r>
        <w:rPr>
          <w:rFonts w:ascii="宋体" w:hAnsi="宋体" w:eastAsia="宋体" w:cs="Times New Roman"/>
          <w:szCs w:val="24"/>
        </w:rPr>
        <w:t>正规约束”的法律规范，而且还包括</w:t>
      </w:r>
      <w:r>
        <w:rPr>
          <w:rFonts w:hint="eastAsia" w:ascii="宋体" w:hAnsi="宋体" w:eastAsia="宋体" w:cs="Times New Roman"/>
          <w:szCs w:val="24"/>
        </w:rPr>
        <w:t>“</w:t>
      </w:r>
      <w:r>
        <w:rPr>
          <w:rFonts w:ascii="宋体" w:hAnsi="宋体" w:eastAsia="宋体" w:cs="Times New Roman"/>
          <w:szCs w:val="24"/>
        </w:rPr>
        <w:t>非正规约束”的伦理道德规范。而事实上应当只是把制度界定为社会经济关系的法律规范，并不应包括属于意识形态的伦理道德规范。在这一点上，马克思主义关于制度的界定更明确，也更准确。</w:t>
      </w:r>
    </w:p>
    <w:p w14:paraId="1373D6F3">
      <w:pPr>
        <w:spacing w:line="300" w:lineRule="auto"/>
        <w:ind w:firstLine="440" w:firstLineChars="200"/>
        <w:rPr>
          <w:rFonts w:ascii="宋体" w:hAnsi="宋体" w:eastAsia="宋体" w:cs="Times New Roman"/>
          <w:szCs w:val="24"/>
        </w:rPr>
      </w:pPr>
      <w:r>
        <w:rPr>
          <w:rFonts w:ascii="宋体" w:hAnsi="宋体" w:eastAsia="宋体" w:cs="Times New Roman"/>
          <w:szCs w:val="24"/>
        </w:rPr>
        <w:t>新制度经济学关于制度变迁主体的理论有一定的片面性。客观地说，制度变迁既是有主体的，又不完全取决于主体的偏好，而是取决于客观因素。这是因为，任何制度都是由人设计或选择的，即使非正式规则，也是由人加以选择并内化到人们的意识中的。制度变迁无非是人否定、扬弃某些规则，制订或选择新的规则，所以，制度变迁总是有主体的。但是，任何主体的良性制度变迁行为和变迁方案，最终都不是由主体的意志而是由客观条件决定的。在这方面，马克思既强调客观因素—生产力对制度变迁的决定作用，也强调人的主观能动作用，强调人民群众创造历史和伟人决策的重大作用。</w:t>
      </w:r>
    </w:p>
    <w:p w14:paraId="60B86611">
      <w:pPr>
        <w:spacing w:line="300" w:lineRule="auto"/>
        <w:ind w:firstLine="440" w:firstLineChars="200"/>
        <w:rPr>
          <w:rFonts w:ascii="宋体" w:hAnsi="宋体" w:eastAsia="宋体" w:cs="Times New Roman"/>
          <w:szCs w:val="24"/>
        </w:rPr>
      </w:pPr>
      <w:r>
        <w:rPr>
          <w:rFonts w:ascii="宋体" w:hAnsi="宋体" w:eastAsia="宋体" w:cs="Times New Roman"/>
          <w:szCs w:val="24"/>
        </w:rPr>
        <w:t>新制度经济学缺乏关于制度本质的阶级分析理论与方法。马克思侧重于从不同的社会经济形态和阶级关系上揭示制度的特征，而新制度经济学只是在抽象意义上界定制度，认为制度与劳动、土地、资本一样，是一种影响生产与交易成本的稀缺资源，只关注制度与人们利益的关系，不研究制度的社会性质，没有揭示制度背后支配人们的思想和行为并进而决定制度的特殊性质的阶级关系。</w:t>
      </w:r>
    </w:p>
    <w:p w14:paraId="3990A84C">
      <w:pPr>
        <w:spacing w:line="300" w:lineRule="auto"/>
        <w:ind w:firstLine="440" w:firstLineChars="200"/>
        <w:rPr>
          <w:rFonts w:ascii="宋体" w:hAnsi="宋体" w:eastAsia="宋体" w:cs="Times New Roman"/>
          <w:szCs w:val="24"/>
        </w:rPr>
      </w:pPr>
      <w:r>
        <w:rPr>
          <w:rFonts w:ascii="宋体" w:hAnsi="宋体" w:eastAsia="宋体" w:cs="Times New Roman"/>
          <w:szCs w:val="24"/>
        </w:rPr>
        <w:t>新制度经济学没有科学揭示制度的层次性及其相互关系。马克思主义制度经济理论指出研究的重点是经济制度，并且这种经济制度是有层次的。反映社会基本经济关系的制度是第一层次的制度，反映社会经济运行关系的制度是第二层次的制度，反映社会微观层次经济运行关系的制度是第三层次的制度，从不同的层次来揭示制度范畴的内涵并进行深人的研究，这就使马克思主义制度经济理论具有显著的深刻性。而西方制度经济学对制度的研究在许多方面也是比较深人的，如对企业制度、产权制度的研究包含着众多深刻的思想，但在对制度研究中没有明确的层次性，更多的只是从社会经济运行和微观层次来研究制度问题，以及从经济活动的效率方面来研究经济行为。因此，西方学者只能从某些制度安排已经到位的状态出发，通过一些真实的或虚构的案例，在理性世界构想制度的源流，这难以真正逼近历史的真实。况且，仅从一般意义上分析制度，对于各类制度没有做出本质性的划分，也不能正确揭示社会经济制度大系统中各子系统之间的内在关系。在这个问题看法上，笔者与吴宣恭、林岗、顾钮民等教授具有相同的认知。</w:t>
      </w:r>
    </w:p>
    <w:p w14:paraId="2B2D2220">
      <w:pPr>
        <w:spacing w:line="300" w:lineRule="auto"/>
        <w:ind w:firstLine="440" w:firstLineChars="200"/>
        <w:rPr>
          <w:rFonts w:ascii="宋体" w:hAnsi="宋体" w:eastAsia="宋体" w:cs="Times New Roman"/>
          <w:szCs w:val="24"/>
        </w:rPr>
      </w:pPr>
    </w:p>
    <w:p w14:paraId="59A46C00">
      <w:pPr>
        <w:ind w:firstLine="440" w:firstLineChars="200"/>
        <w:rPr>
          <w:rFonts w:ascii="宋体" w:hAnsi="宋体" w:eastAsia="宋体" w:cs="Times New Roman"/>
          <w:b/>
          <w:szCs w:val="24"/>
        </w:rPr>
      </w:pPr>
      <w:r>
        <w:rPr>
          <w:rFonts w:ascii="宋体" w:hAnsi="宋体" w:eastAsia="宋体" w:cs="Times New Roman"/>
          <w:b/>
          <w:szCs w:val="24"/>
        </w:rPr>
        <w:t>参考文献：</w:t>
      </w:r>
    </w:p>
    <w:p w14:paraId="559DEAE1">
      <w:pPr>
        <w:ind w:firstLine="380" w:firstLineChars="200"/>
        <w:rPr>
          <w:rFonts w:ascii="宋体" w:hAnsi="宋体" w:eastAsia="宋体" w:cs="Times New Roman"/>
          <w:sz w:val="18"/>
          <w:szCs w:val="18"/>
        </w:rPr>
      </w:pPr>
      <w:r>
        <w:rPr>
          <w:rFonts w:ascii="宋体" w:hAnsi="宋体" w:eastAsia="宋体" w:cs="Times New Roman"/>
          <w:sz w:val="18"/>
          <w:szCs w:val="18"/>
        </w:rPr>
        <w:t>[1][美〕科斯.论生产的制度结构[M].上海：上海三联书店，1994.</w:t>
      </w:r>
    </w:p>
    <w:p w14:paraId="602D358C">
      <w:pPr>
        <w:ind w:firstLine="380" w:firstLineChars="200"/>
        <w:rPr>
          <w:rFonts w:ascii="宋体" w:hAnsi="宋体" w:eastAsia="宋体" w:cs="Times New Roman"/>
          <w:sz w:val="18"/>
          <w:szCs w:val="18"/>
        </w:rPr>
      </w:pPr>
      <w:r>
        <w:rPr>
          <w:rFonts w:ascii="宋体" w:hAnsi="宋体" w:eastAsia="宋体" w:cs="Times New Roman"/>
          <w:sz w:val="18"/>
          <w:szCs w:val="18"/>
        </w:rPr>
        <w:t>[2][美]科斯，诺斯等.财产权利与制度变迁—产权学派与新制度学派译文集[M].上海，上海三联书店，1991.</w:t>
      </w:r>
    </w:p>
    <w:p w14:paraId="373EBC34">
      <w:pPr>
        <w:ind w:firstLine="380" w:firstLineChars="200"/>
        <w:rPr>
          <w:rFonts w:ascii="宋体" w:hAnsi="宋体" w:eastAsia="宋体" w:cs="Times New Roman"/>
          <w:sz w:val="18"/>
          <w:szCs w:val="18"/>
        </w:rPr>
      </w:pPr>
      <w:r>
        <w:rPr>
          <w:rFonts w:ascii="宋体" w:hAnsi="宋体" w:eastAsia="宋体" w:cs="Times New Roman"/>
          <w:sz w:val="18"/>
          <w:szCs w:val="18"/>
        </w:rPr>
        <w:t>[3][美]康芒斯.制度经济学[M].北京：商务印书馆，1962.</w:t>
      </w:r>
    </w:p>
    <w:p w14:paraId="777176D2">
      <w:pPr>
        <w:ind w:firstLine="380" w:firstLineChars="200"/>
        <w:jc w:val="left"/>
        <w:rPr>
          <w:rFonts w:ascii="宋体" w:hAnsi="宋体" w:eastAsia="宋体" w:cs="Times New Roman"/>
          <w:sz w:val="18"/>
          <w:szCs w:val="18"/>
        </w:rPr>
      </w:pPr>
      <w:r>
        <w:rPr>
          <w:rFonts w:ascii="宋体" w:hAnsi="宋体" w:eastAsia="宋体" w:cs="Times New Roman"/>
          <w:sz w:val="18"/>
          <w:szCs w:val="18"/>
        </w:rPr>
        <w:t>[4]Wiliamson,0.E.，1975,Markets and Hierarchies：Analysis，andAntitrustImplication.New5'orkTheFreePress；1981,TheModernCorporation：Origins,Evolution,Attributes；1985,TheEconomicInstitutionsofCapitalism：Films,Markets,RelationalContracting.NewYork；TheFreePress.</w:t>
      </w:r>
    </w:p>
    <w:p w14:paraId="288F24F9">
      <w:pPr>
        <w:ind w:firstLine="380" w:firstLineChars="200"/>
        <w:rPr>
          <w:rFonts w:ascii="宋体" w:hAnsi="宋体" w:eastAsia="宋体" w:cs="Times New Roman"/>
          <w:sz w:val="18"/>
          <w:szCs w:val="18"/>
        </w:rPr>
      </w:pPr>
      <w:r>
        <w:rPr>
          <w:rFonts w:ascii="宋体" w:hAnsi="宋体" w:eastAsia="宋体" w:cs="Times New Roman"/>
          <w:sz w:val="18"/>
          <w:szCs w:val="18"/>
        </w:rPr>
        <w:t>[5][美]诺斯.制度、制度变迁与经济绩效[M]土海：上海三联书店，1994.</w:t>
      </w:r>
    </w:p>
    <w:p w14:paraId="42F4F095">
      <w:pPr>
        <w:ind w:firstLine="380" w:firstLineChars="200"/>
        <w:rPr>
          <w:rFonts w:ascii="宋体" w:hAnsi="宋体" w:eastAsia="宋体" w:cs="Times New Roman"/>
          <w:sz w:val="18"/>
          <w:szCs w:val="18"/>
        </w:rPr>
      </w:pPr>
      <w:r>
        <w:rPr>
          <w:rFonts w:ascii="宋体" w:hAnsi="宋体" w:eastAsia="宋体" w:cs="Times New Roman"/>
          <w:sz w:val="18"/>
          <w:szCs w:val="18"/>
        </w:rPr>
        <w:t>[6][美]诺斯.经济史中的结构与变迁「M].上海：上海三联书店，1991.</w:t>
      </w:r>
    </w:p>
    <w:p w14:paraId="02FD4BE6">
      <w:pPr>
        <w:ind w:firstLine="380" w:firstLineChars="200"/>
        <w:rPr>
          <w:rFonts w:ascii="宋体" w:hAnsi="宋体" w:eastAsia="宋体" w:cs="Times New Roman"/>
          <w:sz w:val="18"/>
          <w:szCs w:val="18"/>
        </w:rPr>
      </w:pPr>
      <w:r>
        <w:rPr>
          <w:rFonts w:ascii="宋体" w:hAnsi="宋体" w:eastAsia="宋体" w:cs="Times New Roman"/>
          <w:sz w:val="18"/>
          <w:szCs w:val="18"/>
        </w:rPr>
        <w:t>[7]胡乐明，张建伟，朱富强.真实世界的经济学丁一新制度经济学纵览[M].北京：当代中国出版社，2002.</w:t>
      </w:r>
    </w:p>
    <w:p w14:paraId="7AC25C45">
      <w:pPr>
        <w:ind w:firstLine="380" w:firstLineChars="200"/>
        <w:rPr>
          <w:rFonts w:ascii="宋体" w:hAnsi="宋体" w:eastAsia="宋体" w:cs="Times New Roman"/>
          <w:sz w:val="18"/>
          <w:szCs w:val="18"/>
        </w:rPr>
      </w:pPr>
      <w:r>
        <w:rPr>
          <w:rFonts w:ascii="宋体" w:hAnsi="宋体" w:eastAsia="宋体" w:cs="Times New Roman"/>
          <w:sz w:val="18"/>
          <w:szCs w:val="18"/>
        </w:rPr>
        <w:t>[8]吴宣恭等.产权理论比较—马克思主义与西方现代产权学派[M].北京：经济科学出版社，2000.</w:t>
      </w:r>
    </w:p>
    <w:p w14:paraId="0E754B1C">
      <w:pPr>
        <w:ind w:firstLine="380" w:firstLineChars="200"/>
        <w:rPr>
          <w:rFonts w:ascii="宋体" w:hAnsi="宋体" w:eastAsia="宋体" w:cs="Times New Roman"/>
          <w:sz w:val="18"/>
          <w:szCs w:val="18"/>
        </w:rPr>
      </w:pPr>
      <w:r>
        <w:rPr>
          <w:rFonts w:ascii="宋体" w:hAnsi="宋体" w:eastAsia="宋体" w:cs="Times New Roman"/>
          <w:sz w:val="18"/>
          <w:szCs w:val="18"/>
        </w:rPr>
        <w:t>[9]林岗，张宇主编.马克思主义与制度分析[M].北京：经济科学出版社，2001.</w:t>
      </w:r>
    </w:p>
    <w:p w14:paraId="31A48EF5">
      <w:pPr>
        <w:ind w:firstLine="380" w:firstLineChars="200"/>
        <w:rPr>
          <w:rFonts w:ascii="宋体" w:hAnsi="宋体" w:eastAsia="宋体" w:cs="Times New Roman"/>
          <w:sz w:val="18"/>
          <w:szCs w:val="18"/>
        </w:rPr>
      </w:pPr>
    </w:p>
    <w:p w14:paraId="1D17632F">
      <w:pPr>
        <w:ind w:firstLine="440" w:firstLineChars="200"/>
        <w:rPr>
          <w:rFonts w:ascii="宋体" w:hAnsi="宋体" w:eastAsia="宋体" w:cs="Times New Roman"/>
          <w:szCs w:val="24"/>
        </w:rPr>
      </w:pPr>
      <w:r>
        <w:rPr>
          <w:rFonts w:ascii="宋体" w:hAnsi="宋体" w:eastAsia="宋体" w:cs="Times New Roman"/>
          <w:szCs w:val="24"/>
        </w:rPr>
        <w:t>（原载《当代经济研究》2004年第9期，第二作者为徐惠平）</w:t>
      </w:r>
      <w:r>
        <w:rPr>
          <w:rFonts w:ascii="宋体" w:hAnsi="宋体" w:eastAsia="宋体" w:cs="Times New Roman"/>
          <w:szCs w:val="24"/>
        </w:rPr>
        <w:br w:type="page"/>
      </w:r>
    </w:p>
    <w:p w14:paraId="0CEC7A70">
      <w:pPr>
        <w:ind w:firstLine="440" w:firstLineChars="200"/>
        <w:rPr>
          <w:rFonts w:ascii="宋体" w:hAnsi="宋体" w:eastAsia="宋体" w:cs="Times New Roman"/>
          <w:szCs w:val="24"/>
        </w:rPr>
      </w:pPr>
    </w:p>
    <w:p w14:paraId="324C0272">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387" w:name="_Toc31078"/>
      <w:bookmarkStart w:id="388" w:name="_Toc32120"/>
      <w:bookmarkStart w:id="389" w:name="_Toc110957412"/>
      <w:bookmarkStart w:id="390" w:name="_Toc1993363105"/>
      <w:bookmarkStart w:id="391" w:name="_Toc1147647449"/>
      <w:bookmarkStart w:id="392" w:name="_Toc93074561"/>
      <w:bookmarkStart w:id="393" w:name="_Toc25039"/>
      <w:bookmarkStart w:id="394" w:name="_Toc329173716"/>
      <w:r>
        <w:rPr>
          <w:rFonts w:ascii="黑体" w:hAnsi="黑体" w:eastAsia="黑体" w:cs="Times New Roman"/>
          <w:color w:val="000000"/>
          <w:kern w:val="0"/>
          <w:sz w:val="32"/>
          <w:szCs w:val="32"/>
          <w:lang w:bidi="ar"/>
        </w:rPr>
        <w:t>MBO绩效不比管理有序的国有模式强</w:t>
      </w:r>
      <w:bookmarkEnd w:id="387"/>
      <w:bookmarkEnd w:id="388"/>
      <w:bookmarkEnd w:id="389"/>
      <w:bookmarkEnd w:id="390"/>
      <w:bookmarkEnd w:id="391"/>
    </w:p>
    <w:p w14:paraId="3112D58A">
      <w:pPr>
        <w:spacing w:line="400" w:lineRule="exact"/>
        <w:ind w:firstLine="440" w:firstLineChars="200"/>
        <w:rPr>
          <w:rFonts w:ascii="宋体" w:hAnsi="宋体" w:eastAsia="宋体" w:cs="Times New Roman"/>
        </w:rPr>
      </w:pPr>
      <w:r>
        <w:rPr>
          <w:rFonts w:ascii="宋体" w:hAnsi="宋体" w:eastAsia="宋体" w:cs="Times New Roman"/>
        </w:rPr>
        <w:t>实施MBO后，有些公司非但没有激发活力，反而出现了经营不善、业绩大幅滑坡甚至虚假业绩等情况。从这一点来讲，实行MBO的企业绩效远远比不上管理有序的国有模式。</w:t>
      </w:r>
    </w:p>
    <w:p w14:paraId="371BF492">
      <w:pPr>
        <w:spacing w:line="400" w:lineRule="exact"/>
        <w:ind w:firstLine="440" w:firstLineChars="200"/>
        <w:rPr>
          <w:rFonts w:ascii="宋体" w:hAnsi="宋体" w:eastAsia="宋体" w:cs="Times New Roman"/>
        </w:rPr>
      </w:pPr>
      <w:r>
        <w:rPr>
          <w:rFonts w:ascii="宋体" w:hAnsi="宋体" w:eastAsia="宋体" w:cs="Times New Roman"/>
        </w:rPr>
        <w:t>香港中文大学教授郎咸平对国内的MBO率先发难：目前的现状是只要打着产权改革的口号，任何侵害股东权益的事都可以做。现在国内所谓的MBO是用银行的钱收购国家的资产，收购不能流通的国有股，而且还自己制订价格。简单地讲，MBO就是一个掠夺国有资产的最好方法。</w:t>
      </w:r>
    </w:p>
    <w:p w14:paraId="57B1E096">
      <w:pPr>
        <w:spacing w:line="400" w:lineRule="exact"/>
        <w:ind w:firstLine="440" w:firstLineChars="200"/>
        <w:rPr>
          <w:rFonts w:ascii="宋体" w:hAnsi="宋体" w:eastAsia="宋体" w:cs="Times New Roman"/>
        </w:rPr>
      </w:pPr>
      <w:r>
        <w:rPr>
          <w:rFonts w:ascii="宋体" w:hAnsi="宋体" w:eastAsia="宋体" w:cs="Times New Roman"/>
        </w:rPr>
        <w:t>郎咸平的抨击掀起了一层社会热浪。近年来，MBO被</w:t>
      </w:r>
      <w:r>
        <w:rPr>
          <w:rFonts w:hint="eastAsia" w:ascii="宋体" w:hAnsi="宋体" w:eastAsia="宋体" w:cs="Times New Roman"/>
          <w:szCs w:val="24"/>
        </w:rPr>
        <w:t>“</w:t>
      </w:r>
      <w:r>
        <w:rPr>
          <w:rFonts w:ascii="宋体" w:hAnsi="宋体" w:eastAsia="宋体" w:cs="Times New Roman"/>
        </w:rPr>
        <w:t>国有经济无效率”的鼓吹者作为国有企业产权改革的主要途径及提高国有企业效率的最好模式之一。2002年1。月，国家颁布《上市公司收购管理办法》，首次明确对员工持股和MBO做出规定。但《办法》公布不到半年，财政部便叫停MBO模式，并表示在相关法规未完善之前，暂停受理和审批上市及非上市公司的管理层收购（MBO）.学术界认为MBO叫停，主要原因是在国有资产出资人监管角色尚未到位的情况下，大规模实行管理层持股非但未形成</w:t>
      </w:r>
      <w:r>
        <w:rPr>
          <w:rFonts w:hint="eastAsia" w:ascii="宋体" w:hAnsi="宋体" w:eastAsia="宋体" w:cs="Times New Roman"/>
        </w:rPr>
        <w:t>所谓</w:t>
      </w:r>
      <w:r>
        <w:rPr>
          <w:rFonts w:ascii="宋体" w:hAnsi="宋体" w:eastAsia="宋体" w:cs="Times New Roman"/>
        </w:rPr>
        <w:t>的独特</w:t>
      </w:r>
      <w:r>
        <w:rPr>
          <w:rFonts w:hint="eastAsia" w:ascii="宋体" w:hAnsi="宋体" w:eastAsia="宋体" w:cs="Times New Roman"/>
          <w:szCs w:val="24"/>
        </w:rPr>
        <w:t>“</w:t>
      </w:r>
      <w:r>
        <w:rPr>
          <w:rFonts w:ascii="宋体" w:hAnsi="宋体" w:eastAsia="宋体" w:cs="Times New Roman"/>
        </w:rPr>
        <w:t>优势”，反而带来五大风险：一是定价环节中的风险，如行政干预，协议转让等；二是信息不对称，暗箱操作的风险；三是收购者融资渠道不明的风险；四是运作风险；五是收购主体合法性不能保证的风险。</w:t>
      </w:r>
    </w:p>
    <w:p w14:paraId="39E0A405">
      <w:pPr>
        <w:spacing w:line="400" w:lineRule="exact"/>
        <w:ind w:firstLine="440" w:firstLineChars="200"/>
        <w:rPr>
          <w:rFonts w:ascii="宋体" w:hAnsi="宋体" w:eastAsia="宋体" w:cs="Times New Roman"/>
        </w:rPr>
      </w:pPr>
      <w:r>
        <w:rPr>
          <w:rFonts w:ascii="宋体" w:hAnsi="宋体" w:eastAsia="宋体" w:cs="Times New Roman"/>
        </w:rPr>
        <w:t>笔者认为，MBO叫停是因为它不符合现阶段中国国有企业状况，目前看来，高管人员接管的国有企业私有化带来的绩效并不比原来公有制管理绩效强。</w:t>
      </w:r>
    </w:p>
    <w:p w14:paraId="6A443269">
      <w:pPr>
        <w:spacing w:line="400" w:lineRule="exact"/>
        <w:ind w:firstLine="500" w:firstLineChars="200"/>
        <w:jc w:val="center"/>
        <w:rPr>
          <w:rFonts w:ascii="宋体" w:hAnsi="宋体" w:eastAsia="宋体" w:cs="Times New Roman"/>
          <w:b/>
          <w:bCs/>
          <w:sz w:val="24"/>
          <w:szCs w:val="28"/>
        </w:rPr>
      </w:pPr>
      <w:r>
        <w:rPr>
          <w:rFonts w:ascii="宋体" w:hAnsi="宋体" w:eastAsia="宋体" w:cs="Times New Roman"/>
          <w:b/>
          <w:bCs/>
          <w:sz w:val="24"/>
          <w:szCs w:val="28"/>
        </w:rPr>
        <w:t>MBO企业并未创造更高的绩效</w:t>
      </w:r>
    </w:p>
    <w:p w14:paraId="74882251">
      <w:pPr>
        <w:spacing w:line="400" w:lineRule="exact"/>
        <w:ind w:firstLine="440" w:firstLineChars="200"/>
        <w:rPr>
          <w:rFonts w:ascii="宋体" w:hAnsi="宋体" w:eastAsia="宋体" w:cs="Times New Roman"/>
        </w:rPr>
      </w:pPr>
      <w:r>
        <w:rPr>
          <w:rFonts w:ascii="宋体" w:hAnsi="宋体" w:eastAsia="宋体" w:cs="Times New Roman"/>
        </w:rPr>
        <w:t>MBO企业业绩值得推敲。2002年10月23日，宇通客车因在中报中</w:t>
      </w:r>
      <w:r>
        <w:rPr>
          <w:rFonts w:hint="eastAsia" w:ascii="宋体" w:hAnsi="宋体" w:eastAsia="宋体" w:cs="Times New Roman"/>
          <w:szCs w:val="24"/>
        </w:rPr>
        <w:t>“</w:t>
      </w:r>
      <w:r>
        <w:rPr>
          <w:rFonts w:ascii="宋体" w:hAnsi="宋体" w:eastAsia="宋体" w:cs="Times New Roman"/>
        </w:rPr>
        <w:t>虚减资产”遭到证监会处罚。笔者为此研究了宇通客车案例。据证监会调查表明，宇通客车1999年年报虚减两项资产1.35亿元，包括虚减银行存款4500万元，虚减短期投资9000万元。这本来已经存在却被人为”虚减”掉的L35亿元资产又是从哪里来的呢？一是银行贷款</w:t>
      </w:r>
      <w:r>
        <w:rPr>
          <w:rFonts w:hint="eastAsia" w:ascii="宋体" w:hAnsi="宋体" w:eastAsia="宋体" w:cs="Times New Roman"/>
          <w:szCs w:val="24"/>
        </w:rPr>
        <w:t>“</w:t>
      </w:r>
      <w:r>
        <w:rPr>
          <w:rFonts w:ascii="宋体" w:hAnsi="宋体" w:eastAsia="宋体" w:cs="Times New Roman"/>
        </w:rPr>
        <w:t>虚减”6500万元（包括短期贷款4000万元和长期贷款2500万元），二是应付账款</w:t>
      </w:r>
      <w:r>
        <w:rPr>
          <w:rFonts w:hint="eastAsia" w:ascii="宋体" w:hAnsi="宋体" w:eastAsia="宋体" w:cs="Times New Roman"/>
          <w:szCs w:val="24"/>
        </w:rPr>
        <w:t>“</w:t>
      </w:r>
      <w:r>
        <w:rPr>
          <w:rFonts w:ascii="宋体" w:hAnsi="宋体" w:eastAsia="宋体" w:cs="Times New Roman"/>
        </w:rPr>
        <w:t>虚减”7000万元。宇通客车将1.35亿元负债（其中包括6500万元银行贷款）拿去炒股。1999年年报显示'宇通客车曾委托国泰君安＞39000万元，当年获投资收益1100万元。除此之外，宇通客车还有9000万元的短期投资。在如此高负债的情况下，2002年宇通公司为掩饰不良运作,获得更高利润，推出每10股派现6元（含税）的高派现分配方案。</w:t>
      </w:r>
    </w:p>
    <w:p w14:paraId="34FE7E3E">
      <w:pPr>
        <w:spacing w:line="400" w:lineRule="exact"/>
        <w:ind w:firstLine="440" w:firstLineChars="200"/>
        <w:rPr>
          <w:rFonts w:ascii="宋体" w:hAnsi="宋体" w:eastAsia="宋体" w:cs="Times New Roman"/>
        </w:rPr>
      </w:pPr>
      <w:r>
        <w:rPr>
          <w:rFonts w:ascii="宋体" w:hAnsi="宋体" w:eastAsia="宋体" w:cs="Times New Roman"/>
        </w:rPr>
        <w:t>由宇通案例推广开来：1、由于我国管理层收购大多以融资的方式进行，已实施MBO所需资金中仅有5%至10%来自公司高管的个人出资，其余大部分是公司以固定资产作抵押的银行贷款，借债成为融资的主要途径。在债务压力下，高现金分派已经成为内在需求。2,宇通客车实行MBQ后，并没有使企业驶上发展的快车道，相反，他们仅用5%的个人出资就换取了对国家资产100%的使用权，固定资产抵押到银行，形成事实上的低价购买国有股、高价套现，造成资不抵债、国有资产大量流失。</w:t>
      </w:r>
    </w:p>
    <w:p w14:paraId="3C200798">
      <w:pPr>
        <w:spacing w:line="400" w:lineRule="exact"/>
        <w:ind w:firstLine="440" w:firstLineChars="200"/>
        <w:rPr>
          <w:rFonts w:ascii="宋体" w:hAnsi="宋体" w:eastAsia="宋体" w:cs="Times New Roman"/>
        </w:rPr>
      </w:pPr>
      <w:r>
        <w:rPr>
          <w:rFonts w:ascii="宋体" w:hAnsi="宋体" w:eastAsia="宋体" w:cs="Times New Roman"/>
        </w:rPr>
        <w:t>3、银行贷款未投入扩大再生产，而是进行短期投资，实质是用国家的钱来发自己的财。4、管理层利用信息不对称，通过某些操作使得上市公司净值下跌，压低收购价格，再通过调账使公司盈利，并通过分红缓解收购带来的资金压力。5、融资和分红风险高，影响公司的持续经营能力。这不仅是宇通客车一家出现的情况，较早推行MBO的深圳方大2002年业绩也已经告亏。从目前13家已经完成MBO的上市公司来看，其信息尤其是交易价格等重要信息，均未得到及时披露。更有甚者，一旦MBO完成，高管人员再通过调账等方式使隐藏的利润合法出现，从而实现年底大量现金分红以缓解管理层融资收购带来的巨大财务压力。</w:t>
      </w:r>
    </w:p>
    <w:p w14:paraId="29A4F79B">
      <w:pPr>
        <w:spacing w:line="400" w:lineRule="exact"/>
        <w:ind w:firstLine="440" w:firstLineChars="200"/>
        <w:rPr>
          <w:rFonts w:ascii="宋体" w:hAnsi="宋体" w:eastAsia="宋体" w:cs="Times New Roman"/>
        </w:rPr>
      </w:pPr>
      <w:r>
        <w:rPr>
          <w:rFonts w:ascii="宋体" w:hAnsi="宋体" w:eastAsia="宋体" w:cs="Times New Roman"/>
        </w:rPr>
        <w:t>实施MBO后，有些公司非但没有激发活力，反而出现了经营不善、业绩大幅滑坡甚至虚假业绩等情况。可见，企业活力并不见得会因为产权如此</w:t>
      </w:r>
      <w:r>
        <w:rPr>
          <w:rFonts w:hint="eastAsia" w:ascii="宋体" w:hAnsi="宋体" w:eastAsia="宋体" w:cs="Times New Roman"/>
          <w:szCs w:val="24"/>
        </w:rPr>
        <w:t>“</w:t>
      </w:r>
      <w:r>
        <w:rPr>
          <w:rFonts w:ascii="宋体" w:hAnsi="宋体" w:eastAsia="宋体" w:cs="Times New Roman"/>
        </w:rPr>
        <w:t>明确”而改善，反而对公司的经营决策起到负作用，从这一点来讲，实行MBO的企业绩效远远比不上管理有序的国有模式。</w:t>
      </w:r>
    </w:p>
    <w:p w14:paraId="3BF73671">
      <w:pPr>
        <w:spacing w:line="400" w:lineRule="exact"/>
        <w:ind w:firstLine="440" w:firstLineChars="200"/>
        <w:rPr>
          <w:rFonts w:ascii="宋体" w:hAnsi="宋体" w:eastAsia="宋体" w:cs="Times New Roman"/>
        </w:rPr>
      </w:pPr>
      <w:r>
        <w:rPr>
          <w:rFonts w:ascii="宋体" w:hAnsi="宋体" w:eastAsia="宋体" w:cs="Times New Roman"/>
        </w:rPr>
        <w:t>MBO企业虚假繁荣背后的深层次原因。截至MBO叫停，在去年16家已经实施MBO的企业（其中13家上市、3家非上市企业）当中，也有一些呈现出欣欣向荣的景象。但这种繁华其实是建立在实行MBO企业极低的转让价格基础之上。MBO实施过程中，国有资产法人股转让价格往往在净资产基础上进行折让，国家股转让价格也只是略高于或等于净资产。两种股权转让一般都按照最低标准进行（一般以离财政部批复最近一期的中报或年报的每股净资产为依据）。如实施MBO的胜利股份，国有股在转让时，未经评估就直接以净资产出售给管理层，而管理层注册的收购公司中，原国有股持股机构中的高管赫然列于股东名册之中。至于早期的粤美的、深方大、佛塑股份、特变电工等，无一不是低于净资产转让。</w:t>
      </w:r>
    </w:p>
    <w:p w14:paraId="68D558EA">
      <w:pPr>
        <w:spacing w:line="400" w:lineRule="exact"/>
        <w:ind w:firstLine="440" w:firstLineChars="200"/>
        <w:rPr>
          <w:rFonts w:ascii="宋体" w:hAnsi="宋体" w:eastAsia="宋体" w:cs="Times New Roman"/>
        </w:rPr>
      </w:pPr>
      <w:r>
        <w:rPr>
          <w:rFonts w:ascii="宋体" w:hAnsi="宋体" w:eastAsia="宋体" w:cs="Times New Roman"/>
        </w:rPr>
        <w:t>此外，作为MBO收购主体的大部分壳公司的投资额都超过了注册资本的50%,这与《公司法》中对外累计投资额不得超过公司净资产50%的规定相违背。据统计，除了胜利股份MBO壳公司投资额低于注册资本的50%外，其它MBO壳公司的投资额都远远超过了注册资本的50%„上市公司的高管们凭借特权，在MBO操作中既充当国有股卖家的角色，又充当买家的角色，很难保证协议双方的</w:t>
      </w:r>
      <w:r>
        <w:rPr>
          <w:rFonts w:hint="eastAsia" w:ascii="宋体" w:hAnsi="宋体" w:eastAsia="宋体" w:cs="Times New Roman"/>
          <w:szCs w:val="24"/>
        </w:rPr>
        <w:t>“</w:t>
      </w:r>
      <w:r>
        <w:rPr>
          <w:rFonts w:ascii="宋体" w:hAnsi="宋体" w:eastAsia="宋体" w:cs="Times New Roman"/>
        </w:rPr>
        <w:t>台底交易”。企业高管难免瞒报企业资产，先压低资产取得股权再去资本市场套现，最终形成国有资产大量流失。</w:t>
      </w:r>
    </w:p>
    <w:p w14:paraId="1CB4C076">
      <w:pPr>
        <w:spacing w:line="400" w:lineRule="exact"/>
        <w:ind w:firstLine="500" w:firstLineChars="200"/>
        <w:jc w:val="center"/>
        <w:rPr>
          <w:rFonts w:ascii="宋体" w:hAnsi="宋体" w:eastAsia="宋体" w:cs="Times New Roman"/>
          <w:b/>
          <w:bCs/>
          <w:sz w:val="24"/>
          <w:szCs w:val="28"/>
        </w:rPr>
      </w:pPr>
      <w:r>
        <w:rPr>
          <w:rFonts w:ascii="宋体" w:hAnsi="宋体" w:eastAsia="宋体" w:cs="Times New Roman"/>
          <w:b/>
          <w:bCs/>
          <w:sz w:val="24"/>
          <w:szCs w:val="28"/>
        </w:rPr>
        <w:t>现阶段企业实行MBO隐患重重</w:t>
      </w:r>
    </w:p>
    <w:p w14:paraId="7B69D756">
      <w:pPr>
        <w:spacing w:line="400" w:lineRule="exact"/>
        <w:ind w:firstLine="440" w:firstLineChars="200"/>
        <w:rPr>
          <w:rFonts w:ascii="宋体" w:hAnsi="宋体" w:eastAsia="宋体" w:cs="Times New Roman"/>
        </w:rPr>
      </w:pPr>
      <w:bookmarkStart w:id="395" w:name="_Toc30315"/>
      <w:bookmarkStart w:id="396" w:name="_Toc3749"/>
      <w:r>
        <w:rPr>
          <w:rFonts w:ascii="宋体" w:hAnsi="宋体" w:eastAsia="宋体" w:cs="Times New Roman"/>
          <w:b/>
          <w:bCs/>
        </w:rPr>
        <w:t>第一大隐患，奖励有意做亏企业者和腐败行为</w:t>
      </w:r>
      <w:r>
        <w:rPr>
          <w:rFonts w:ascii="宋体" w:hAnsi="宋体" w:eastAsia="宋体" w:cs="Times New Roman"/>
        </w:rPr>
        <w:t>。</w:t>
      </w:r>
      <w:bookmarkEnd w:id="395"/>
      <w:bookmarkEnd w:id="396"/>
    </w:p>
    <w:p w14:paraId="54C550AA">
      <w:pPr>
        <w:spacing w:line="400" w:lineRule="exact"/>
        <w:ind w:firstLine="440" w:firstLineChars="200"/>
        <w:rPr>
          <w:rFonts w:ascii="宋体" w:hAnsi="宋体" w:eastAsia="宋体" w:cs="Times New Roman"/>
        </w:rPr>
      </w:pPr>
      <w:r>
        <w:rPr>
          <w:rFonts w:ascii="宋体" w:hAnsi="宋体" w:eastAsia="宋体" w:cs="Times New Roman"/>
        </w:rPr>
        <w:t>MBO企业从考虑管理层历史贡献的角度出发，将国有股权定向出售给管理层，不少地方甚至下发</w:t>
      </w:r>
      <w:r>
        <w:rPr>
          <w:rFonts w:hint="eastAsia" w:ascii="宋体" w:hAnsi="宋体" w:eastAsia="宋体" w:cs="Times New Roman"/>
          <w:szCs w:val="24"/>
        </w:rPr>
        <w:t>“</w:t>
      </w:r>
      <w:r>
        <w:rPr>
          <w:rFonts w:ascii="宋体" w:hAnsi="宋体" w:eastAsia="宋体" w:cs="Times New Roman"/>
        </w:rPr>
        <w:t>转制应当让经营者持大股，经营中让法人代表持大股”的红头文件。但这一措施存在着极大的不合理性。假如原来的企业资不抵债，其经营者能因为所有权、使用权的统一让企业</w:t>
      </w:r>
      <w:r>
        <w:rPr>
          <w:rFonts w:hint="eastAsia" w:ascii="宋体" w:hAnsi="宋体" w:eastAsia="宋体" w:cs="Times New Roman"/>
          <w:szCs w:val="24"/>
        </w:rPr>
        <w:t>“</w:t>
      </w:r>
      <w:r>
        <w:rPr>
          <w:rFonts w:ascii="宋体" w:hAnsi="宋体" w:eastAsia="宋体" w:cs="Times New Roman"/>
        </w:rPr>
        <w:t>通过产权变更，完善企业治理结构，盘活存量资产，增加就业和税收，使国家、管理层和市场实现’三赢’”，那么，经营者的道德水平将令人置疑，即这些经营者过去没有认真经营，而是有意做亏企业便于以后低价收购。而且由于历史的原因，国有控股的上市公司管理层通常与政府有着密切渊源，实施MBO很难保证其中不会出现腐败。在非流通股和流通股存在着巨大价差的情况下，由MBO引发的产权制度改革将带来对财富的重新分配，有可能形成一个新的食利阶层。</w:t>
      </w:r>
    </w:p>
    <w:p w14:paraId="6FA8D463">
      <w:pPr>
        <w:spacing w:line="400" w:lineRule="exact"/>
        <w:ind w:firstLine="440" w:firstLineChars="200"/>
        <w:rPr>
          <w:rFonts w:ascii="宋体" w:hAnsi="宋体" w:eastAsia="宋体" w:cs="Times New Roman"/>
          <w:b/>
          <w:bCs/>
        </w:rPr>
      </w:pPr>
      <w:bookmarkStart w:id="397" w:name="_Toc21450"/>
      <w:bookmarkStart w:id="398" w:name="_Toc10493"/>
      <w:r>
        <w:rPr>
          <w:rFonts w:ascii="宋体" w:hAnsi="宋体" w:eastAsia="宋体" w:cs="Times New Roman"/>
          <w:b/>
          <w:bCs/>
        </w:rPr>
        <w:t>第二大隐患，变相鼓励高管人员的经营惰性。</w:t>
      </w:r>
      <w:bookmarkEnd w:id="397"/>
      <w:bookmarkEnd w:id="398"/>
    </w:p>
    <w:p w14:paraId="4287B9B9">
      <w:pPr>
        <w:spacing w:line="400" w:lineRule="exact"/>
        <w:ind w:firstLine="440" w:firstLineChars="200"/>
        <w:rPr>
          <w:rFonts w:ascii="宋体" w:hAnsi="宋体" w:eastAsia="宋体" w:cs="Times New Roman"/>
        </w:rPr>
      </w:pPr>
      <w:r>
        <w:rPr>
          <w:rFonts w:ascii="宋体" w:hAnsi="宋体" w:eastAsia="宋体" w:cs="Times New Roman"/>
        </w:rPr>
        <w:t>退一步而言，即使实行MBO是对管理层贡献的承认，但管理层为MBO必须拿出自有巨额资金时，我们就必须面对这样两个现实问题：1、由于管理层卓越不凡的表现，国有资产在过去20年里得到了巨大而快速的增值；2、由于管理层卓越不凡的表现，现在他们必须为MBO支付更多的代价。为了将问题阐释清楚，现假设有甲、乙、丙三家同类型企业，20年前国有资产净值同为100万元。再假设20年来三家企业的净资产回报率分别为5%、16%、48%,投资率均为100%，根据复利原则，20年后三个公司的国有资产净值为：</w:t>
      </w:r>
    </w:p>
    <w:p w14:paraId="3B6EE7CE">
      <w:pPr>
        <w:spacing w:line="400" w:lineRule="exact"/>
        <w:ind w:firstLine="440" w:firstLineChars="200"/>
        <w:rPr>
          <w:rFonts w:ascii="宋体" w:hAnsi="宋体" w:eastAsia="宋体" w:cs="Times New Roman"/>
        </w:rPr>
      </w:pPr>
      <w:r>
        <w:rPr>
          <w:rFonts w:ascii="宋体" w:hAnsi="宋体" w:eastAsia="宋体" w:cs="Times New Roman"/>
        </w:rPr>
        <w:t>甲：100万(1+5%)20=265万元乙：100万(1+15%)組1637万元丙：100万(1+48%)”=25.42亿元现在假设三家企业管理层均提出</w:t>
      </w:r>
    </w:p>
    <w:p w14:paraId="1A87F07F">
      <w:pPr>
        <w:spacing w:line="400" w:lineRule="exact"/>
        <w:ind w:firstLine="440" w:firstLineChars="200"/>
        <w:rPr>
          <w:rFonts w:ascii="宋体" w:hAnsi="宋体" w:eastAsia="宋体" w:cs="Times New Roman"/>
        </w:rPr>
      </w:pPr>
      <w:r>
        <w:rPr>
          <w:rFonts w:ascii="宋体" w:hAnsi="宋体" w:eastAsia="宋体" w:cs="Times New Roman"/>
        </w:rPr>
        <w:t>MBO收购计划，收购比例同为30%,并均按资产净值收购，各方支付的收购成本如下：</w:t>
      </w:r>
    </w:p>
    <w:p w14:paraId="5394A237">
      <w:pPr>
        <w:spacing w:line="400" w:lineRule="exact"/>
        <w:ind w:firstLine="440" w:firstLineChars="200"/>
        <w:rPr>
          <w:rFonts w:ascii="宋体" w:hAnsi="宋体" w:eastAsia="宋体" w:cs="Times New Roman"/>
        </w:rPr>
      </w:pPr>
      <w:r>
        <w:rPr>
          <w:rFonts w:ascii="宋体" w:hAnsi="宋体" w:eastAsia="宋体" w:cs="Times New Roman"/>
        </w:rPr>
        <w:t>甲：265万x30%=79.5万元乙：1637万x30%=491万元丙：16.87亿、30%=7.06亿元由于丙企业管理层表现突出，他们现在必须为MB。支付多达960倍的收购溢价。如果推行MBO,势必造成变相鼓励高层管理人员经营惰性，出现逞能奖庸，乃至惩廉奖贪的怪状。</w:t>
      </w:r>
    </w:p>
    <w:p w14:paraId="062D3999">
      <w:pPr>
        <w:spacing w:line="400" w:lineRule="exact"/>
        <w:ind w:firstLine="440" w:firstLineChars="200"/>
        <w:rPr>
          <w:rFonts w:ascii="宋体" w:hAnsi="宋体" w:eastAsia="宋体" w:cs="Times New Roman"/>
          <w:b/>
          <w:bCs/>
        </w:rPr>
      </w:pPr>
      <w:bookmarkStart w:id="399" w:name="_Toc21055"/>
      <w:bookmarkStart w:id="400" w:name="_Toc15157"/>
      <w:r>
        <w:rPr>
          <w:rFonts w:ascii="宋体" w:hAnsi="宋体" w:eastAsia="宋体" w:cs="Times New Roman"/>
          <w:b/>
          <w:bCs/>
        </w:rPr>
        <w:t>第三大隐患，造成中外私有制的</w:t>
      </w:r>
      <w:r>
        <w:rPr>
          <w:rFonts w:hint="eastAsia" w:ascii="宋体" w:hAnsi="宋体" w:eastAsia="宋体" w:cs="Times New Roman"/>
          <w:b/>
          <w:bCs/>
          <w:szCs w:val="24"/>
        </w:rPr>
        <w:t>“</w:t>
      </w:r>
      <w:r>
        <w:rPr>
          <w:rFonts w:ascii="宋体" w:hAnsi="宋体" w:eastAsia="宋体" w:cs="Times New Roman"/>
          <w:b/>
          <w:bCs/>
        </w:rPr>
        <w:t>一股独大”。</w:t>
      </w:r>
      <w:bookmarkEnd w:id="399"/>
      <w:bookmarkEnd w:id="400"/>
    </w:p>
    <w:p w14:paraId="1A414A4D">
      <w:pPr>
        <w:spacing w:line="400" w:lineRule="exact"/>
        <w:ind w:firstLine="440" w:firstLineChars="200"/>
        <w:rPr>
          <w:rFonts w:ascii="宋体" w:hAnsi="宋体" w:eastAsia="宋体" w:cs="Times New Roman"/>
        </w:rPr>
      </w:pPr>
      <w:r>
        <w:rPr>
          <w:rFonts w:ascii="宋体" w:hAnsi="宋体" w:eastAsia="宋体" w:cs="Times New Roman"/>
        </w:rPr>
        <w:t>MBO在客观上会导致管理层新的</w:t>
      </w:r>
      <w:r>
        <w:rPr>
          <w:rFonts w:hint="eastAsia" w:ascii="宋体" w:hAnsi="宋体" w:eastAsia="宋体" w:cs="Times New Roman"/>
          <w:szCs w:val="24"/>
        </w:rPr>
        <w:t>“</w:t>
      </w:r>
      <w:r>
        <w:rPr>
          <w:rFonts w:ascii="宋体" w:hAnsi="宋体" w:eastAsia="宋体" w:cs="Times New Roman"/>
        </w:rPr>
        <w:t>一股独大”。由于管理层收购后通常只持有一部分股份，中小股东的代理成本并没有降低。而管理层变成大股东之后，由于大股东和内部人的利益趋于一致，内部人控制的情况有可能愈演愈烈，其侵害小股东的动机和条件将更加直接。从这个角度讲，实施MBO未必比聘请职业经理人制度好。同时，因为中国债券市场极不发达，银行贷款的相关监督政策又不允许利用投资贷款进行股权投资，中国MBO融资通道相当狭窄，外资由此对中国企业的MB。虎视眈眈。通过MBO,他们可以获得很好的进入中国企业的机会：</w:t>
      </w:r>
      <w:r>
        <w:rPr>
          <w:rFonts w:hint="eastAsia" w:ascii="宋体" w:hAnsi="宋体" w:eastAsia="宋体" w:cs="Times New Roman"/>
          <w:szCs w:val="24"/>
        </w:rPr>
        <w:t>“</w:t>
      </w:r>
      <w:r>
        <w:rPr>
          <w:rFonts w:ascii="宋体" w:hAnsi="宋体" w:eastAsia="宋体" w:cs="Times New Roman"/>
        </w:rPr>
        <w:t>自己创办一个企业不如收购一个企业，外部收购不如和管理层一起收购。”外资企业全面介入中国国有企业后，很容易实现对中国民族企业的</w:t>
      </w:r>
      <w:r>
        <w:rPr>
          <w:rFonts w:hint="eastAsia" w:ascii="宋体" w:hAnsi="宋体" w:eastAsia="宋体" w:cs="Times New Roman"/>
          <w:szCs w:val="24"/>
        </w:rPr>
        <w:t>“</w:t>
      </w:r>
      <w:r>
        <w:rPr>
          <w:rFonts w:ascii="宋体" w:hAnsi="宋体" w:eastAsia="宋体" w:cs="Times New Roman"/>
        </w:rPr>
        <w:t>控股、控技术、控品牌”的垄断战略。</w:t>
      </w:r>
    </w:p>
    <w:p w14:paraId="01ED280E">
      <w:pPr>
        <w:spacing w:line="400" w:lineRule="exact"/>
        <w:ind w:firstLine="440" w:firstLineChars="200"/>
        <w:rPr>
          <w:rFonts w:ascii="宋体" w:hAnsi="宋体" w:eastAsia="宋体" w:cs="Times New Roman"/>
        </w:rPr>
      </w:pPr>
      <w:r>
        <w:rPr>
          <w:rFonts w:ascii="宋体" w:hAnsi="宋体" w:eastAsia="宋体" w:cs="Times New Roman"/>
        </w:rPr>
        <w:t>笔者认为.只要真正遵循《中共中央关于完善社会主义市场经济体制若干问题的决定》精神，像抓</w:t>
      </w:r>
      <w:r>
        <w:rPr>
          <w:rFonts w:hint="eastAsia" w:ascii="宋体" w:hAnsi="宋体" w:eastAsia="宋体" w:cs="Times New Roman"/>
          <w:szCs w:val="24"/>
        </w:rPr>
        <w:t>“</w:t>
      </w:r>
      <w:r>
        <w:rPr>
          <w:rFonts w:ascii="宋体" w:hAnsi="宋体" w:eastAsia="宋体" w:cs="Times New Roman"/>
        </w:rPr>
        <w:t>非典”那样抓公有制企业的改革和发展，切实建立政府与企业及其相互之间的权责利制度，那么企业产权的国有化将创造出比产权私有化更高的经济公平和经济效率。</w:t>
      </w:r>
    </w:p>
    <w:p w14:paraId="18928957">
      <w:pPr>
        <w:spacing w:line="400" w:lineRule="exact"/>
        <w:ind w:firstLine="440" w:firstLineChars="200"/>
        <w:rPr>
          <w:rFonts w:ascii="宋体" w:hAnsi="宋体" w:eastAsia="宋体" w:cs="Times New Roman"/>
        </w:rPr>
      </w:pPr>
      <w:r>
        <w:rPr>
          <w:rFonts w:ascii="宋体" w:hAnsi="宋体" w:eastAsia="宋体" w:cs="Times New Roman"/>
        </w:rPr>
        <w:t>（原载《上海国资》2004年第9期，第二作者为邓屏）</w:t>
      </w:r>
      <w:r>
        <w:rPr>
          <w:rFonts w:ascii="宋体" w:hAnsi="宋体" w:eastAsia="宋体" w:cs="Times New Roman"/>
        </w:rPr>
        <w:br w:type="page"/>
      </w:r>
    </w:p>
    <w:p w14:paraId="417C9E84">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401" w:name="_Toc110957413"/>
      <w:bookmarkStart w:id="402" w:name="_Toc4578"/>
      <w:bookmarkStart w:id="403" w:name="_Toc1708812535"/>
      <w:bookmarkStart w:id="404" w:name="_Toc1960041636"/>
      <w:r>
        <w:rPr>
          <w:rFonts w:ascii="黑体" w:hAnsi="黑体" w:eastAsia="黑体" w:cs="Times New Roman"/>
          <w:color w:val="000000"/>
          <w:kern w:val="0"/>
          <w:sz w:val="32"/>
          <w:szCs w:val="32"/>
          <w:lang w:bidi="ar"/>
        </w:rPr>
        <w:t>邓小平的辩证经济思维及其现实意义</w:t>
      </w:r>
      <w:bookmarkEnd w:id="392"/>
      <w:bookmarkEnd w:id="393"/>
      <w:bookmarkEnd w:id="394"/>
      <w:bookmarkEnd w:id="401"/>
      <w:bookmarkEnd w:id="402"/>
      <w:bookmarkEnd w:id="403"/>
      <w:bookmarkEnd w:id="404"/>
    </w:p>
    <w:p w14:paraId="3855720D">
      <w:pPr>
        <w:spacing w:before="156" w:beforeLines="50" w:line="300" w:lineRule="auto"/>
        <w:ind w:firstLine="440" w:firstLineChars="200"/>
        <w:rPr>
          <w:rFonts w:ascii="宋体" w:hAnsi="宋体" w:eastAsia="宋体" w:cs="Times New Roman"/>
          <w:szCs w:val="21"/>
        </w:rPr>
      </w:pPr>
      <w:r>
        <w:rPr>
          <w:rFonts w:hint="eastAsia" w:ascii="宋体" w:hAnsi="宋体" w:eastAsia="宋体" w:cs="Times New Roman"/>
          <w:szCs w:val="21"/>
        </w:rPr>
        <w:t>邓小平关于社会主义初级阶段的经济发展、改革和开放有一系列的重要设计和论述，全面准确地把握其中的辩证观点，能逐步统一人们的思想认识，积极推动当前全而建设小康社会和现代化建设进程以及科学发展观的落实。</w:t>
      </w:r>
    </w:p>
    <w:p w14:paraId="1AC9D962">
      <w:pPr>
        <w:spacing w:line="300" w:lineRule="auto"/>
        <w:ind w:firstLine="500" w:firstLineChars="200"/>
        <w:rPr>
          <w:rFonts w:ascii="宋体" w:hAnsi="宋体" w:eastAsia="宋体" w:cs="Times New Roman"/>
          <w:b/>
          <w:sz w:val="24"/>
          <w:szCs w:val="24"/>
        </w:rPr>
      </w:pPr>
      <w:r>
        <w:rPr>
          <w:rFonts w:hint="eastAsia" w:ascii="宋体" w:hAnsi="宋体" w:eastAsia="宋体" w:cs="Times New Roman"/>
          <w:b/>
          <w:sz w:val="24"/>
          <w:szCs w:val="24"/>
        </w:rPr>
        <w:t>一、既强调推进市场经济，又强调坚持社会主义，指出“社会主义和市场经济不存在根本矛盾”；这就从总体上否定了将二者截然对立。</w:t>
      </w:r>
    </w:p>
    <w:p w14:paraId="69A47A4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综观中外近现代经济学说的演进，可以看到一种长期支配世界经济运动的思潮，即认为市场经济只能与资产私有制相容，资产公有制只能与计划经济相容。我国市场化取向的经济体制改革打破了这一教条。邓小平指出：“不要以为，一说计划经济就是社会主义，一说市场经济就是资本主义，不是那么回事，两者都是手段，市场也可以为社会主义服务。”他多次重申：“计划多一点还是市场多一点，不是社会主义与资本主义的本质区别。计划经济不等于社会主义，资本主义也有计划；市场经济不等于资本主义，社会主义也有市场。计划和市场都是经济手段。”在社会主义初级阶段，生产力的水平和人的素质及管理能力决定了纯粹的计划经济难以行得通，而只能和必然选择市场经济模式。</w:t>
      </w:r>
    </w:p>
    <w:p w14:paraId="13F67CC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社会主义经济制度的产生是为了满足生产力发展的内在要求，通过市场（与国家宏观调控有机结合）来发展生产力，与坚持和完善社会主义经济制度的原则并不矛盾，二者是相互促进的。经济体制从传统的计划经济向新型的市场经济转变，属于社会主义性质的生产关系及其制度的自我调整与完善，在更大的程度上适应生产力发展的需要。邓小平精辟地阐述了必须坚持社会主义经济制度与道路：“过去行之有效的东西，我们必须坚持，特别是根本制度，社会主义制度，社会主义公有制，那是不能动摇的”；“现在我们搞经济改革，仍然要坚持社会主义道路，坚持共产主义的远大理想，年青一代尤其要懂得这一点。”</w:t>
      </w:r>
    </w:p>
    <w:p w14:paraId="7CB84CA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总之，改革中要继续坚定地走邓小平指引的社会主义市场经济道路，不断地调整和完善市场经济制度和社会主义根本经济制度—公有制及其实现形式。不能重蹈原苏东国家放弃社会主义制度的覆辙，不能用市场经济的共性来否定其特性，以抽象的“社会公正”观念来描述社会主义本质，进而否定“社会主义市场经济”这一科学用语。市场与社会主义的日益亲和（美国经济学家罗默和巴德汉均认为“市场社会主义”是可行的），将克服资本主义市场经济的重大弊端，并成为高于它的先进社会经济形态，从经济制度上促进“二个代表”的充分实现。</w:t>
      </w:r>
    </w:p>
    <w:p w14:paraId="56DFFCBC">
      <w:pPr>
        <w:spacing w:line="300" w:lineRule="auto"/>
        <w:ind w:firstLine="500" w:firstLineChars="200"/>
        <w:rPr>
          <w:rFonts w:ascii="宋体" w:hAnsi="宋体" w:eastAsia="宋体" w:cs="Times New Roman"/>
          <w:b/>
          <w:sz w:val="24"/>
          <w:szCs w:val="24"/>
        </w:rPr>
      </w:pPr>
      <w:r>
        <w:rPr>
          <w:rFonts w:hint="eastAsia" w:ascii="宋体" w:hAnsi="宋体" w:eastAsia="宋体" w:cs="Times New Roman"/>
          <w:b/>
          <w:sz w:val="24"/>
          <w:szCs w:val="24"/>
        </w:rPr>
        <w:t>二、既强调发展各种非公有制成份，又强调公有制为主体原则，认为“吸收外资也好，允许个体经济的存在和发展也好，归根到底，是要更有力地发展生产力，加强公有制经济”；这就清楚地规定了“主体与辅体”的社会所有制结构，有助于继续围绕发展生产力和加强公有制而不断调整结构。</w:t>
      </w:r>
    </w:p>
    <w:p w14:paraId="4B482CF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邓小平指出，“我们允许个体经济发展，还允许中外合资经营和外资独营的企业发展，但是始终以社会主义公有制为主体”；他还特别说明，“我们吸收外资，允许个体经济发展，不会影响以公有制为主体这一基本点。相反地，吸收外资也好，允许个体经济的存在和发展也好，归根到底，是要更有力地发展生产力，加强公有制经济。”</w:t>
      </w:r>
    </w:p>
    <w:p w14:paraId="035EA10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邓小平主张实行“主体一辅体”的社会所有制结构是极为重要的。我国经济改革的目标是构建社会主义市场经济体制，即公有制主体型的市场经济模式，而不是私有制主体型的市场经济模式。这就是说，在迈向市场经济的改革中，不放弃含国有经济和集体经济及合作经济在内的公有制主体地位，而是要将公有产权与市场经济有效地融合在一起，实现一种以公有法人型联合劳动为基础的经济制度。这种具有中国特色的社会主义，鼓励个体、私营和外资等其他经济成份的发展，作为公有制经济的辅体或重要组成部分及社会主义初级阶段基本经济制度的有机构成内容，但公有资产在社会总资产和经营性资产中要占质与量的优势，国有经济要控制国家的经济命脉，并真正体现对整个国民经济发展的各种主导作用。</w:t>
      </w:r>
      <w:r>
        <w:rPr>
          <w:rFonts w:ascii="宋体" w:hAnsi="宋体" w:eastAsia="宋体" w:cs="Times New Roman"/>
          <w:szCs w:val="21"/>
          <w:vertAlign w:val="superscript"/>
        </w:rPr>
        <w:footnoteReference w:id="155"/>
      </w:r>
    </w:p>
    <w:p w14:paraId="54268B0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因此，把公有制贬为可用可不用的经济手段，主张国有经济缩减到西方国家所占的比重；或者主张国有制不能与股份制相融合，所有股份制企业应完全放弃国家资本和集体资本控股权等等，都是不明世界经济发展趋势本质的悲观思维，不利于在深化企业改革中发展和壮大公有制经济及实行“主体-辅体”的社会所有制结构。我们应当在不断探索公有制的多种实现形式和多种经济成分有序发展规律的基础上，继续完善社会主义社会初级阶段的基本制度结构。</w:t>
      </w:r>
    </w:p>
    <w:p w14:paraId="49328CB3">
      <w:pPr>
        <w:spacing w:line="300" w:lineRule="auto"/>
        <w:ind w:firstLine="500" w:firstLineChars="200"/>
        <w:rPr>
          <w:rFonts w:ascii="宋体" w:hAnsi="宋体" w:eastAsia="宋体" w:cs="Times New Roman"/>
          <w:b/>
          <w:sz w:val="24"/>
          <w:szCs w:val="24"/>
        </w:rPr>
      </w:pPr>
      <w:r>
        <w:rPr>
          <w:rFonts w:hint="eastAsia" w:ascii="宋体" w:hAnsi="宋体" w:eastAsia="宋体" w:cs="Times New Roman"/>
          <w:b/>
          <w:sz w:val="24"/>
          <w:szCs w:val="24"/>
        </w:rPr>
        <w:t>三、既强调市场的重要性，又强调计划的优越性，主张“计划和市场都得要”；这就在根本上明确了需建立市场调节与国家调节的双重调节机制，有助于继续视实际情况而灵活运用市场和国家调节手段。</w:t>
      </w:r>
    </w:p>
    <w:p w14:paraId="4F5B785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市场与计划是现代社会经济的基本矛盾之一。从邓小平关于经济运行或经济调节的很多言论中可以清晰地看到，其辩证思想的真正特点在于：一是不断发展、完善，从赞成“计划经济为主，结合市场经济”，到肯定“社会主义计划经济是有计划的商品经济”，又演变为“计划经济和市场经济相结合”，再发展为“计划经济与市场调节相结合”，最后赞成“建立社会主义市场经济体制”；二是概念同一，在泛指的意义上，将计划与市场、计划调节与市场调节、计划经济与市场经济二组范畴等同使用，并视其为非制度本质的经济手段或经济方法；二是有机结合，始终如一地强调计划、计划调节应同市场、市场调节有效地相结合，视目标和时点的不同而灵活地配组。</w:t>
      </w:r>
    </w:p>
    <w:p w14:paraId="416FDC5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可见，针对我国以往高度集权式的计划经济体制的弊端，邓小平主张“社会主义也可以搞市场经济”，其核心思想是强调计划与市场、计划调节与市场调节的结合，并非主张实行单纯的市场调节或新自由主义的市场经济。根据邓小平的思想精髓和我国转型期的经济实况，当前那种不赞成国家宏观调控，主张政府的作用仅限于“守夜人”，只认定市场调节的基础地位而放弃国家调节的主导地位（学术界公认高速发展期的日本和韩国为“政府主导型”），企盼在经济发展和对外开放中实行完全自由放任的政策（如美国弗里德曼等曾作此建议）等等观点，实质上都是国际新自由主义保守思潮的某种反映，偏离了经济国际化和社会化的内在趋势。今年以来，国家针对经济整体开始过热和某些产业供求较严重失衡的态势，及时实施强有力的调控措施，已取得了明显的成效，这再次证明邓小平这一辩证经济思维的正确性。</w:t>
      </w:r>
    </w:p>
    <w:p w14:paraId="0C1A5901">
      <w:pPr>
        <w:spacing w:line="300" w:lineRule="auto"/>
        <w:ind w:firstLine="500" w:firstLineChars="200"/>
        <w:rPr>
          <w:rFonts w:ascii="宋体" w:hAnsi="宋体" w:eastAsia="宋体" w:cs="Times New Roman"/>
          <w:b/>
          <w:sz w:val="24"/>
          <w:szCs w:val="24"/>
        </w:rPr>
      </w:pPr>
      <w:r>
        <w:rPr>
          <w:rFonts w:hint="eastAsia" w:ascii="宋体" w:hAnsi="宋体" w:eastAsia="宋体" w:cs="Times New Roman"/>
          <w:b/>
          <w:sz w:val="24"/>
          <w:szCs w:val="24"/>
        </w:rPr>
        <w:t>四、既强调部分地区和部分人可以先富起来，又强调按劳分配原则，提出“发展经济要走共同富裕的道路，始终避免两极分化”；这就清晰地勾画了现阶段的基本分配格局，有助于继续协调经济公平与经济效率的分配机制和统筹区域经济的发展。</w:t>
      </w:r>
    </w:p>
    <w:p w14:paraId="3D967B9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邓小平主张实行以按劳分配为主体的“先富一共富”的社会分配结构。在他的设想中，“一部分地区、一部分人可以先富起来，带动和帮助其他地区、其他的人，逐步达到共同富裕。”他强调“我们坚持了社会主义公有制和按劳分配的原则”，认为“社会主义发展生产力，成果是属于人民的。就是说，在我们的发展过程中不会产生资产阶级，因为我们的分配原则是按劳分配。当然分配中还会有差别，但我们的目的是共同富裕。”</w:t>
      </w:r>
    </w:p>
    <w:p w14:paraId="52AC2FC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邓小平还说：“社会主义不是少数人富起来、大多数人穷，不是那个样子。社会主义最大的优越性就是共同富裕，这是体现社会主义本质的一个东西。如果搞两极分化，情况就不同了，民族矛盾、区域间矛盾、阶级矛盾都会发展，相应地中央和地方的矛盾也会发展，就可能出乱子。”又说：“我们的政策是不使社会导致两极分化，就是说，不会导致富的越富，贫的越贫。坦率地说，我们不会容许产生新的资产阶级”。他精辟地总结道：“社会主义的本质，是解放生产力，发展生产力，消灭剥削，消除两极分化，最终达到共同富裕。”</w:t>
      </w:r>
    </w:p>
    <w:p w14:paraId="7AEF6D9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当前，我们必须遵循邓小平这一辩证思维，确立科学发展观和正确的政绩观，继续促进“先富一共富”这一“非均衡一均衡”变动的有序发展，预防社会两极分化的形成。政府要在分配领域运用工资、奖金、税收、公共福利、社会保障等手段和机制，事先主动防止某些分配不公的产生，事后积极纠正某些分配不公的现象，使个人之间、单位之间、产业之间、地区之间、民族之间、群体之间、阶层（阶级）之间及各自内部的分配差距日趋合理化，并确保按劳分配的主体格局，同时鼓励各种生产要素凭产权关系和实际贡献参与分配。即使在目前国家宏观调控的新形势下，也不能放松有序开发西部和协调区域经济共同发展的进程。</w:t>
      </w:r>
    </w:p>
    <w:p w14:paraId="1DD430F2">
      <w:pPr>
        <w:spacing w:line="300" w:lineRule="auto"/>
        <w:ind w:firstLine="500" w:firstLineChars="200"/>
        <w:rPr>
          <w:rFonts w:ascii="宋体" w:hAnsi="宋体" w:eastAsia="宋体" w:cs="Times New Roman"/>
          <w:b/>
          <w:sz w:val="24"/>
          <w:szCs w:val="24"/>
        </w:rPr>
      </w:pPr>
      <w:r>
        <w:rPr>
          <w:rFonts w:hint="eastAsia" w:ascii="宋体" w:hAnsi="宋体" w:eastAsia="宋体" w:cs="Times New Roman"/>
          <w:b/>
          <w:sz w:val="24"/>
          <w:szCs w:val="24"/>
        </w:rPr>
        <w:t>五、既强调发展是硬道理，又强调效益和质量，指出“不是鼓励不切实际的高速度，还是要扎扎实实，讲究效益，稳步协调地发展”；这就摆正了速度、效益与质量之间的关系，有助于继续推动经济增长方式从粗放型向集约型转变和科学发展观的落实。</w:t>
      </w:r>
    </w:p>
    <w:p w14:paraId="1A32925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发展”是当今世界的主题之一，对于一个经济文化相对落后的发展中社会主义国家来说，尤为重要。改革前30年，尽管国民生产总值年均增长6%多，初步建立了一个独立的国民经济体系，社会生产、综合国力和生活水平都有了较大的提高，但由于人口激增、体制弊端和政策失误等多种缘故（对外援助和备战开支也较多），使生产不能满足人民和国家需要的迅速增长，因而“发展”或“高速发展”就成为改革以来的硬道理和政策体系的轴心。邓小平曾先后从确保“翻两番”，经济波浪式前进和上台阶，国家政治和人民生活稳定，避免经济相对滑坡或落后，借鉴日本等国际经验，充分利用和平时间和国际斗争等几个层面，揭示为何要把“发展”作为硬道理。</w:t>
      </w:r>
    </w:p>
    <w:p w14:paraId="2B887AE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另一方面，速度、效益、质量和结构是紧密关联的几个核心问题，必须正确处理和安排这些主要经济关系。这在我国经济建设的历史上有过许多宝贵的经验教训。邓小平在强调经济增长速度的同时，也阐述了效益、质量和结构的重要性，提出要持续、稳定和协调地发展。他突出如下几个观点：首先，要按照经济规律办事，不能蛮干，注意理顺各种经济关系；其次，要首先抓好管理和质量，讲求效益；再次，要持续、稳定和协调地发展，不要有不切实际的高速度；最后，要突出战略重点，调整产业结构。简言之，“要采取有力的步骤，使我们的发展能够持续、有后劲。”</w:t>
      </w:r>
    </w:p>
    <w:p w14:paraId="4BCBBB4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依上所述，正确地系统地掌握邓小平关于速度与效益等关系的辩证思想，就要记住他所希望的“出现若干个发展速度比较快、效益比较好的阶段”的教导，反对那种“增长就是一切”，不惜损害自然和社会环境，或搞破坏性的资源开发和高耗资源，或片面追求有缺陷的国民生产总值指标，或维持以数量扩张为特征的粗放型增长方式，或单纯地引进外资数量多少论政绩等的一些错误观点和做法，确立可持续发展及经济与社会全而发展的新观念，走新型工业化的道路，不断提高整个国民经济的素质和效益，尽快实现以高科技和科学管理为主的集约型增长方式，并在高效益和高层次产业结构的基础上保持高速度，圆满实现科学发展观。</w:t>
      </w:r>
    </w:p>
    <w:p w14:paraId="518863B9">
      <w:pPr>
        <w:spacing w:line="300" w:lineRule="auto"/>
        <w:ind w:firstLine="500" w:firstLineChars="200"/>
        <w:rPr>
          <w:rFonts w:ascii="宋体" w:hAnsi="宋体" w:eastAsia="宋体" w:cs="Times New Roman"/>
          <w:b/>
          <w:sz w:val="24"/>
          <w:szCs w:val="24"/>
        </w:rPr>
      </w:pPr>
      <w:r>
        <w:rPr>
          <w:rFonts w:hint="eastAsia" w:ascii="宋体" w:hAnsi="宋体" w:eastAsia="宋体" w:cs="Times New Roman"/>
          <w:b/>
          <w:sz w:val="24"/>
          <w:szCs w:val="24"/>
        </w:rPr>
        <w:t>六、既强调充分调动个人、基层、地方和部门的积极性，又强调中央要有权威即中央说话能够算数，“必须把国家、集体和个人利益结合起来”；这就廓清了不合乎现代市场经济发展规律的各种自由主义模糊观念，有助于继续促进企业与政府以及各级政府之间的权力界定和角色转型，提高党的综合执政能力。</w:t>
      </w:r>
    </w:p>
    <w:p w14:paraId="16DA91C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邓小平赞成通过实行家庭联产承包责任制和统分结合的双层经营制，来调动农村基层组织的积极性和促进农业的产业化进程；提出“用多种形式把所有权和经营权分开，以调动企业积极性”；主张应该有计划地大胆下放权力，让地方有更多的自主权；指出要在改革开放中搞活银行等经济部门。同时，邓小平又说：“改革要成功，就必须有领导有秩序地进行。没有这一条，就是乱哄哄，各行其是，怎么行呢?”“我们要定一个方针，就是要在中央统一领导下深化改革。”他强调“该集中的要集中”，“中央必须保证某些集中”，“中央如果不掌握一定数额的资金，好多应该办的地方无力办的大事情，就办不了，一些关键性的只能由中央投资的项目会受到影响”。概言之，邓小平认为要“充分发挥国家、地方、企业和劳动者个人四个方而的积极性”；“必须把国家、集体和个人利益结合起来，才能调动积极性，才能发展社会主义的生产。”</w:t>
      </w:r>
    </w:p>
    <w:p w14:paraId="79E89BB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遵照邓小平的上述辩证思想，我们既要建立政策性计划、金融和财政为核心的国家宏观调控系统，维护全局利益的统一性，又要在集中指导下赋予个人、基层、地方和部门必要的权力，形成有统一指导下兼顾局部利益的灵活性。在存有个人选择、法人选择、市场选择和社会选择的复杂条件下，中央要学会在“博弈”中（所谓上有政策、下有对策，就是一种博弈）完善各项政策和机制，树立应有的领导权威。参考我国历史上成功的经验及日本、德国和韩国等“跳跃式”发展的做法，有必要在廉洁、廉价、民主和科学管理的前提下确立“小而强的政府”主导地位或主脑地位（萨缪尔森认为市场没有心脏和大脑），建立强市场和强政府互补性功能的“双强”格局，使我国的国家经济职能和作用略大于资本主义国家。这是因为，我国的情况是：一个相对落后的社会，要赶超最发达的西方国家和实现跨越式发展；一个经济转型的社会，要尽快实现向市场体制的有序过渡；一个以公有为主体的社会，要充分发挥国有经济的主导功能。为了在市场经济的基础上更好地施展国家的作用和调控效应，需要加快调整政府机构，转变政府职能，彻底解决政资不分、政企不分、政事不分和党政不分的现象，不断提高执政能力。</w:t>
      </w:r>
    </w:p>
    <w:p w14:paraId="7848DA6B">
      <w:pPr>
        <w:spacing w:line="300" w:lineRule="auto"/>
        <w:ind w:firstLine="500" w:firstLineChars="200"/>
        <w:rPr>
          <w:rFonts w:ascii="宋体" w:hAnsi="宋体" w:eastAsia="宋体" w:cs="Times New Roman"/>
          <w:b/>
          <w:sz w:val="24"/>
          <w:szCs w:val="24"/>
        </w:rPr>
      </w:pPr>
      <w:r>
        <w:rPr>
          <w:rFonts w:hint="eastAsia" w:ascii="宋体" w:hAnsi="宋体" w:eastAsia="宋体" w:cs="Times New Roman"/>
          <w:b/>
          <w:sz w:val="24"/>
          <w:szCs w:val="24"/>
        </w:rPr>
        <w:t>七、既强调积极利用外国的资金和技术及对外开放，又强调独立自主和自力更生，主张“自力更生为主、争取外援为辅”；这就科学地阐明了现代化建设的一个基本方针，有助于统筹国内发展与对外开放。</w:t>
      </w:r>
    </w:p>
    <w:p w14:paraId="50BAA80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在邓小平看来，“我国的对外开放、吸引外资的政策，是一项长期持久的政策。”他主张兴办经济特区和开发区，主张向发达国家和第三世界国家都开放，主张积极发展对外贸易，主张引进国外资金、技术和人才。与此同时，邓小平指出“要继续在独立自主、自力更生的前提下，执行一系列已定的对外开放的经济政策，并总结经验，加以改进”；“独立自主，自力更生，无论过去、现在和将来，都是我们的立足点”；“归根到底，我们的建设方针还是毛主席过去制定的自力更生为主、争取外援为辅的方针。”</w:t>
      </w:r>
    </w:p>
    <w:p w14:paraId="15D5E9C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在整个现代化建设过程中，要坚定不移地实行邓小平关于“有计划地利用外资”和“有计划、有选择地引进资本主义国家的先进技术”及整个对外开放路线，切实“统筹国内发展与对外开放”，努力把对外开放提高到新的水平。其中包括要精心调控引进技术和资本的战略与策略，增强自主知识产权创新的程度。</w:t>
      </w:r>
      <w:r>
        <w:rPr>
          <w:rFonts w:ascii="宋体" w:hAnsi="宋体" w:eastAsia="宋体" w:cs="Times New Roman"/>
          <w:szCs w:val="21"/>
          <w:vertAlign w:val="superscript"/>
        </w:rPr>
        <w:footnoteReference w:id="156"/>
      </w:r>
      <w:r>
        <w:rPr>
          <w:rFonts w:hint="eastAsia" w:ascii="宋体" w:hAnsi="宋体" w:eastAsia="宋体" w:cs="Times New Roman"/>
          <w:szCs w:val="21"/>
        </w:rPr>
        <w:t>例如，引进技术和设备应同时引进先进的管理方法，吸收与创新相结合；加强谈判、商检和征税等方而的管理，消除外商的某些不法行为；防止国际资本在某些部门形成垄断，切实维护国家经济安全，促使外商活动符合国家产业导向；实行双向开放战略和民族品牌战略，大力推动中国企业“走出去”；不能单纯以引进外资和外国技术的数量多少论政绩，应不断提升对外开放的综合质量和国民经济整体效益，促进自主式经济发展。</w:t>
      </w:r>
    </w:p>
    <w:p w14:paraId="5EDA6EDD">
      <w:pPr>
        <w:spacing w:line="300" w:lineRule="auto"/>
        <w:ind w:firstLine="500" w:firstLineChars="200"/>
        <w:rPr>
          <w:rFonts w:ascii="宋体" w:hAnsi="宋体" w:eastAsia="宋体" w:cs="Times New Roman"/>
          <w:b/>
          <w:sz w:val="24"/>
          <w:szCs w:val="24"/>
        </w:rPr>
      </w:pPr>
      <w:r>
        <w:rPr>
          <w:rFonts w:hint="eastAsia" w:ascii="宋体" w:hAnsi="宋体" w:eastAsia="宋体" w:cs="Times New Roman"/>
          <w:b/>
          <w:sz w:val="24"/>
          <w:szCs w:val="24"/>
        </w:rPr>
        <w:t>八、既强调吸收和借鉴当今世界各国一切反映现代社会化生产规律的先进经营方式和管理方法，又强调不能照搬西方资本主义国家的做法，指出“要有中国的特色”，“建立起充满生机和活力的社会主义经济体制”；这就可以择优地学习外国先进的经济管理等方而的成果，有助于推进中国特色的社会主义经济的建设。</w:t>
      </w:r>
    </w:p>
    <w:p w14:paraId="6212CD2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邓小平多次提出：“资本主义己经有了几百年历史，各国人民在资本主义制度下所发展的科学和技术，所积累的各种有益的知识和经验，都是我们必须继承和学习的。”“社会主义要赢得与资本主义相比较的优势，就必须大胆吸收和借鉴人类社会创造的一切文明成果，吸收和借鉴当今世界各国包括资本主义发达国家的一切反映现代社会化生产规律的先进经营方式、管理方法。”不过，邓小平也指出：“改革开放必须从各国自己的条件出发。每个国家的基础不同，历史不同，所处的环境不同，左邻右舍不同，还有其他许多不同。别人的经验可以参考，但是不能照搬。”“我们既不能照搬西方资本主义国家的做法，也不能照搬其他社会主义国家的做法，更不能丢掉我们制度的优越性。”他强调“我们决不学习和引进资本主义制度，决不学习和引进各种丑恶颓废的东西。”</w:t>
      </w:r>
    </w:p>
    <w:p w14:paraId="352F0D6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以邓小平“建设中国特色的社会主义”为旗帜，我们就必须在通晓中外历史和现状的前提下探索发展生产力的新路子，重构生产关系的新体制，制定上层建筑的新法规，确立意识形态的新观念。一切背离社会主义初级阶段质的经济规定性、经济伦理观、基本国情和人民意愿的种种言行，尽管也以“初级阶段”和“中国特色”的面貌出现，但都不会合乎建设中国特色社会主义的客观规律。应当在继续反对新自由主义（日本东京大学伊藤诚教授认为前苏东国家的悲剧是西方新自由主义的失败</w:t>
      </w:r>
      <w:r>
        <w:rPr>
          <w:rFonts w:ascii="宋体" w:hAnsi="宋体" w:eastAsia="宋体" w:cs="Times New Roman"/>
          <w:szCs w:val="21"/>
          <w:vertAlign w:val="superscript"/>
        </w:rPr>
        <w:footnoteReference w:id="157"/>
      </w:r>
      <w:r>
        <w:rPr>
          <w:rFonts w:hint="eastAsia" w:ascii="宋体" w:hAnsi="宋体" w:eastAsia="宋体" w:cs="Times New Roman"/>
          <w:szCs w:val="21"/>
        </w:rPr>
        <w:t>）、资产阶级自由化和思想僵化的基础上，把建设中国特色的社会主义事业全而推向新的阶段。而且还要反对迷信西方的教条主义倾向，当前的重点应反对西方理论和政策的教条主义，正如中国社科院院长陈奎元指出的：“那种把马克思主义著作的一些词句和个别结论当作教条的倾向，在党内和社会变革中的影响日渐式微，”而“迷信西方发达国家反映资产阶级主流意识形态的思想理论，把西方某些资产阶级学派的理论甚至把发达资本主义国家的政策主张奉作教条。这种倾向在意识形态领域以及经济社会变革中的影响力正在上升。……对于第一种教条主义，理论工作者中早有质疑，党的领导人也有告诫，但是至今还未引起思想理论界应有的反响，没有进行认真的鉴别，有的甚至还充作理论创新的成果，向思想、政治、经济和文化教育等各个领域渗透。假如我们忽视这种教条主义的危害，‘全盘西化’的威胁就会向我们逼近，改革的方向、共产党的执政地位、劳动人民的切身利益都将受到挑战，我们党难免步他人的后尘，犯下历史性的错误。”</w:t>
      </w:r>
      <w:r>
        <w:rPr>
          <w:rFonts w:ascii="宋体" w:hAnsi="宋体" w:eastAsia="宋体" w:cs="Times New Roman"/>
          <w:szCs w:val="21"/>
          <w:vertAlign w:val="superscript"/>
        </w:rPr>
        <w:footnoteReference w:id="158"/>
      </w:r>
      <w:r>
        <w:rPr>
          <w:rFonts w:hint="eastAsia" w:ascii="宋体" w:hAnsi="宋体" w:eastAsia="宋体" w:cs="Times New Roman"/>
          <w:szCs w:val="21"/>
        </w:rPr>
        <w:t>这是合乎邓小平一贯倡导的关于反“左”与反右都要实事求是的正确判断。</w:t>
      </w:r>
    </w:p>
    <w:p w14:paraId="730D63F9">
      <w:pPr>
        <w:spacing w:line="300" w:lineRule="auto"/>
        <w:ind w:firstLine="440" w:firstLineChars="200"/>
        <w:rPr>
          <w:rFonts w:ascii="宋体" w:hAnsi="宋体" w:eastAsia="宋体" w:cs="Times New Roman"/>
          <w:szCs w:val="21"/>
        </w:rPr>
      </w:pPr>
    </w:p>
    <w:p w14:paraId="6874FBD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（原载《毛泽东邓小平理论研究》2004年第9期，第二作者为徐惠平）</w:t>
      </w:r>
    </w:p>
    <w:p w14:paraId="56E2CA51">
      <w:pPr>
        <w:spacing w:line="300" w:lineRule="auto"/>
        <w:ind w:firstLine="440" w:firstLineChars="200"/>
        <w:rPr>
          <w:rFonts w:ascii="宋体" w:hAnsi="宋体" w:eastAsia="宋体" w:cs="Times New Roman"/>
          <w:szCs w:val="21"/>
        </w:rPr>
      </w:pPr>
    </w:p>
    <w:p w14:paraId="0045C641">
      <w:pPr>
        <w:ind w:firstLine="440" w:firstLineChars="200"/>
        <w:rPr>
          <w:rFonts w:ascii="宋体" w:hAnsi="宋体" w:eastAsia="宋体" w:cs="Times New Roman"/>
        </w:rPr>
      </w:pPr>
      <w:r>
        <w:rPr>
          <w:rFonts w:ascii="宋体" w:hAnsi="宋体" w:eastAsia="宋体" w:cs="Times New Roman"/>
          <w:kern w:val="0"/>
          <w:szCs w:val="24"/>
        </w:rPr>
        <w:br w:type="page"/>
      </w:r>
    </w:p>
    <w:p w14:paraId="6081ED25">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405" w:name="_Toc29751"/>
      <w:bookmarkStart w:id="406" w:name="_Toc3963"/>
      <w:bookmarkStart w:id="407" w:name="_Toc12068"/>
      <w:bookmarkStart w:id="408" w:name="_Toc93074562"/>
      <w:bookmarkStart w:id="409" w:name="_Toc27482"/>
      <w:bookmarkStart w:id="410" w:name="_Toc110957414"/>
      <w:bookmarkStart w:id="411" w:name="_Toc15416"/>
      <w:bookmarkStart w:id="412" w:name="_Toc31114"/>
      <w:bookmarkStart w:id="413" w:name="_Toc1713464414"/>
      <w:bookmarkStart w:id="414" w:name="_Toc20631272"/>
      <w:r>
        <w:rPr>
          <w:rFonts w:ascii="黑体" w:hAnsi="黑体" w:eastAsia="黑体" w:cs="Times New Roman"/>
          <w:color w:val="000000"/>
          <w:kern w:val="0"/>
          <w:sz w:val="32"/>
          <w:szCs w:val="32"/>
          <w:lang w:bidi="ar"/>
        </w:rPr>
        <w:t>新马克思经济学综合学派的两个主要假设</w:t>
      </w:r>
      <w:bookmarkEnd w:id="405"/>
      <w:bookmarkEnd w:id="406"/>
      <w:bookmarkEnd w:id="407"/>
      <w:bookmarkEnd w:id="408"/>
      <w:bookmarkEnd w:id="409"/>
      <w:bookmarkEnd w:id="410"/>
      <w:bookmarkEnd w:id="411"/>
      <w:bookmarkEnd w:id="412"/>
      <w:bookmarkEnd w:id="413"/>
      <w:bookmarkEnd w:id="414"/>
    </w:p>
    <w:p w14:paraId="21809A06">
      <w:pPr>
        <w:spacing w:line="336" w:lineRule="auto"/>
        <w:ind w:firstLine="440" w:firstLineChars="200"/>
        <w:rPr>
          <w:rFonts w:ascii="宋体" w:hAnsi="宋体" w:eastAsia="宋体" w:cs="宋体"/>
        </w:rPr>
      </w:pPr>
      <w:r>
        <w:rPr>
          <w:rFonts w:hint="eastAsia" w:ascii="宋体" w:hAnsi="宋体" w:eastAsia="宋体" w:cs="宋体"/>
        </w:rPr>
        <w:t>创立中的新马克思经济学综合学派，力图既超越马克思经济学，又超越西方经济学，具有后现代经济学的性质。其中，有一系列理论假设，本文只阐述以下两个假设和理论。</w:t>
      </w:r>
    </w:p>
    <w:p w14:paraId="56E4DAD9">
      <w:pPr>
        <w:spacing w:line="336" w:lineRule="auto"/>
        <w:ind w:firstLine="500" w:firstLineChars="200"/>
        <w:jc w:val="center"/>
        <w:rPr>
          <w:rFonts w:ascii="宋体" w:hAnsi="宋体" w:eastAsia="宋体" w:cstheme="majorBidi"/>
          <w:b/>
          <w:bCs/>
          <w:kern w:val="28"/>
          <w:sz w:val="24"/>
          <w:szCs w:val="32"/>
        </w:rPr>
      </w:pPr>
      <w:r>
        <w:rPr>
          <w:rFonts w:hint="eastAsia" w:ascii="宋体" w:hAnsi="宋体" w:eastAsia="宋体" w:cstheme="majorBidi"/>
          <w:b/>
          <w:bCs/>
          <w:kern w:val="28"/>
          <w:sz w:val="24"/>
          <w:szCs w:val="32"/>
        </w:rPr>
        <w:t>一、经济人新假设</w:t>
      </w:r>
    </w:p>
    <w:p w14:paraId="0CBF50A7">
      <w:pPr>
        <w:spacing w:line="336" w:lineRule="auto"/>
        <w:ind w:firstLine="440" w:firstLineChars="200"/>
        <w:rPr>
          <w:rFonts w:ascii="宋体" w:hAnsi="宋体" w:eastAsia="宋体" w:cs="宋体"/>
        </w:rPr>
      </w:pPr>
      <w:r>
        <w:rPr>
          <w:rFonts w:hint="eastAsia" w:ascii="宋体" w:hAnsi="宋体" w:eastAsia="宋体" w:cs="宋体"/>
        </w:rPr>
        <w:t>1、西方经济学的“经济人”假设</w:t>
      </w:r>
    </w:p>
    <w:p w14:paraId="73282436">
      <w:pPr>
        <w:spacing w:line="336" w:lineRule="auto"/>
        <w:ind w:firstLine="440" w:firstLineChars="200"/>
        <w:rPr>
          <w:rFonts w:ascii="宋体" w:hAnsi="宋体" w:eastAsia="宋体" w:cs="宋体"/>
        </w:rPr>
      </w:pPr>
      <w:r>
        <w:rPr>
          <w:rFonts w:hint="eastAsia" w:ascii="宋体" w:hAnsi="宋体" w:eastAsia="宋体" w:cs="宋体"/>
        </w:rPr>
        <w:t>西方经济学自英国近代亚当·斯密、西尼尔和约翰·穆勒以来，一直到当代美国哈耶克、弗里德曼和布坎南，只把“自私人”即“经济人”作为探究人类经济行为和市场经济的始点、基点和定点，并由此推演出整个经济学体系和经济进化史。即使现今某些新自由主义经济学家对传统“经济人”内涵进行修补，把分析范围扩展到非经济领域，增添机会主义行为描述和信息成本约束，或者把含义扩展界定为可用货币衡量的经济利益与不可用货币衡量的精神利益两个层面，也没有根本摆脱作为“最大化行为”的“自私人”的思维模式。旧“经济人”假设和理论包含三个基本命题：（1）经济人是自私的，即追求自身利益是驱策人的经济行为的根本动机。（2）经济人在行为上是理性的，具有完备或较完备的知识和计算能力，能视市场和自身状况而使所追求的个人利益最大化。（3）只要有良好的制度保证，个人追求自身利益最大化的自由行动会无意而有效地增进社会公共利益。正如当代法国经济心理学学会创始人阿尔布在批判“经济人的神话”时所说的，各门人文科学的进步，尤其是心理学、社会学和社会心理学的进步，使我们不难证明有关经济人的这些论点是不够的或不确切的。具体说来自私的旧经济人理念存在下列误点：</w:t>
      </w:r>
    </w:p>
    <w:p w14:paraId="58F6E55D">
      <w:pPr>
        <w:spacing w:line="336" w:lineRule="auto"/>
        <w:ind w:firstLine="440" w:firstLineChars="200"/>
        <w:rPr>
          <w:rFonts w:ascii="宋体" w:hAnsi="宋体" w:eastAsia="宋体" w:cs="宋体"/>
          <w:spacing w:val="-6"/>
        </w:rPr>
      </w:pPr>
      <w:r>
        <w:rPr>
          <w:rFonts w:hint="eastAsia" w:ascii="宋体" w:hAnsi="宋体" w:eastAsia="宋体" w:cs="宋体"/>
        </w:rPr>
        <w:t>其一，理念源于功利主义。19世纪，边沁将大小私有者在经济活动中自发产生的功利标准泛推到伦理领域，把最大限度地追求个人利益的自私精神说成是最大多数人的最大幸福的途径这是亚当·斯密经济学及其后继者的主要哲学方法。其实，休谟早就批判过类似的观点，写道：“自私这个性质被渲染得太过火了，而且有些哲学家们所乐于尽情描写的人类的自私，就像我们在童话和小说</w:t>
      </w:r>
      <w:r>
        <w:rPr>
          <w:rFonts w:hint="eastAsia" w:ascii="宋体" w:hAnsi="宋体" w:eastAsia="宋体" w:cs="宋体"/>
          <w:spacing w:val="-6"/>
        </w:rPr>
        <w:t>中所遇到的任何有关妖怪的记载一样荒诞不经，与自然离得太远了。”</w:t>
      </w:r>
      <w:r>
        <w:rPr>
          <w:rFonts w:ascii="宋体" w:hAnsi="宋体" w:eastAsia="宋体" w:cs="宋体"/>
          <w:spacing w:val="-6"/>
          <w:vertAlign w:val="superscript"/>
        </w:rPr>
        <w:footnoteReference w:id="159"/>
      </w:r>
    </w:p>
    <w:p w14:paraId="40B162DF">
      <w:pPr>
        <w:spacing w:line="336" w:lineRule="auto"/>
        <w:ind w:firstLine="440" w:firstLineChars="200"/>
        <w:rPr>
          <w:rFonts w:ascii="宋体" w:hAnsi="宋体" w:eastAsia="宋体" w:cs="宋体"/>
        </w:rPr>
      </w:pPr>
      <w:r>
        <w:rPr>
          <w:rFonts w:hint="eastAsia" w:ascii="宋体" w:hAnsi="宋体" w:eastAsia="宋体" w:cs="宋体"/>
        </w:rPr>
        <w:t>其二，理念同预设主义相吻合。现代科学哲学的预设主义认为，在科学发展中，存在某种预设的、超历史的、不变的、不可违背的方法、基本假设、推理原则和“元科学”概念。而“自私的经济人”理论恰恰强调，不管人在历史上和现实中是不是完全自私的，经济学必须以理性的“自私人”为不变的假设或预设，这是不可违背的分析方法和推理原则。被称之为经济哲学家的奥地利米塞斯在《经济学的认识论问题》一书中，就完全排斥经验的方法和历史的方法及实证主义方法，反对新康德主义者文德尔班和李凯尔特关于经济学是说明个别性的历史科学这一观点，而宣称经济学是以原子式个人主义为基础的规律化的先验理论，“先验的理论并不是来自经验”</w:t>
      </w:r>
      <w:r>
        <w:rPr>
          <w:rFonts w:ascii="宋体" w:hAnsi="宋体" w:eastAsia="宋体" w:cs="宋体"/>
          <w:vertAlign w:val="superscript"/>
        </w:rPr>
        <w:footnoteReference w:id="160"/>
      </w:r>
      <w:r>
        <w:rPr>
          <w:rFonts w:hint="eastAsia" w:ascii="宋体" w:hAnsi="宋体" w:eastAsia="宋体" w:cs="宋体"/>
        </w:rPr>
        <w:t>。显然，这又沿袭了康德先验论的思维方法。</w:t>
      </w:r>
    </w:p>
    <w:p w14:paraId="6406AE55">
      <w:pPr>
        <w:spacing w:line="336" w:lineRule="auto"/>
        <w:ind w:firstLine="440" w:firstLineChars="200"/>
        <w:rPr>
          <w:rFonts w:ascii="宋体" w:hAnsi="宋体" w:eastAsia="宋体" w:cs="宋体"/>
        </w:rPr>
      </w:pPr>
      <w:r>
        <w:rPr>
          <w:rFonts w:hint="eastAsia" w:ascii="宋体" w:hAnsi="宋体" w:eastAsia="宋体" w:cs="宋体"/>
        </w:rPr>
        <w:t>其三，理念充斥历史唯心论的精神。“旧经济人”理念视利己心与生俱来和一成不变的东西，不分历史时点地把“自私人”抽象化、永恒化和绝对化，无视特定的经济关系和经济制度对人的经济行为与经济心理的作用，这就有意或无意地陷入了历史唯心主义的泥潭。连杜威也不赞同，他说：“事实上，经济制度与关系乃是人性中最易改变的表现方式。历史便是其变化幅度的活生生的证据。……如果人性是不可改变的，那么就不存在教育这类事情，我们从事教育的全部努力就注定会失败。”</w:t>
      </w:r>
      <w:r>
        <w:rPr>
          <w:rFonts w:ascii="宋体" w:hAnsi="宋体" w:eastAsia="宋体" w:cs="宋体"/>
          <w:vertAlign w:val="superscript"/>
        </w:rPr>
        <w:footnoteReference w:id="161"/>
      </w:r>
    </w:p>
    <w:p w14:paraId="1629DB75">
      <w:pPr>
        <w:spacing w:line="336" w:lineRule="auto"/>
        <w:ind w:firstLine="440" w:firstLineChars="200"/>
        <w:rPr>
          <w:rFonts w:ascii="宋体" w:hAnsi="宋体" w:eastAsia="宋体" w:cs="宋体"/>
        </w:rPr>
      </w:pPr>
      <w:r>
        <w:rPr>
          <w:rFonts w:hint="eastAsia" w:ascii="宋体" w:hAnsi="宋体" w:eastAsia="宋体" w:cs="宋体"/>
        </w:rPr>
        <w:t>其四，理念渗透着形而上学的偏见。当代西方私有产权学派代表人物张五常曾经透彻地表达了主流经济学的信念：“经济学上最重要的基本假设是：每一个人无论何时何地，都会在局限约束条件下争取他个人最大利益。说得不雅一点，即每个人的行为都是一贯地、永远不变地，以自私为出发点。……在经济学的范畴内，任何行为都是这样看：捐钱、协助他人、上街行动等，都是以‘自私’为出发点。”</w:t>
      </w:r>
      <w:r>
        <w:rPr>
          <w:rFonts w:ascii="宋体" w:hAnsi="宋体" w:eastAsia="宋体" w:cs="宋体"/>
          <w:vertAlign w:val="superscript"/>
        </w:rPr>
        <w:footnoteReference w:id="162"/>
      </w:r>
      <w:r>
        <w:rPr>
          <w:rFonts w:hint="eastAsia" w:ascii="宋体" w:hAnsi="宋体" w:eastAsia="宋体" w:cs="宋体"/>
        </w:rPr>
        <w:t>略懂唯物辩证法的经济学家和哲学家，大概均不会首肯此类极端片面的、孤立的和静止的理性“自私人”观点。还是博兰在1997年出版的《批判的经济学方法论》中写得对：“新古典经济学醉心于下述形而上学观点，即：每一位个别决策者都是理性的（至少在个人的行为能用理性的论据加以解释的程度上）。令人遗憾的是，当理性和个人主义联系在一起时，就会产生一种颇为机械的关于决策行为的观点——也就是个人被视为一台机器。”</w:t>
      </w:r>
      <w:r>
        <w:rPr>
          <w:rFonts w:ascii="宋体" w:hAnsi="宋体" w:eastAsia="宋体" w:cs="宋体"/>
          <w:vertAlign w:val="superscript"/>
        </w:rPr>
        <w:footnoteReference w:id="163"/>
      </w:r>
    </w:p>
    <w:p w14:paraId="5447868E">
      <w:pPr>
        <w:spacing w:line="336" w:lineRule="auto"/>
        <w:ind w:firstLine="440" w:firstLineChars="200"/>
        <w:rPr>
          <w:rFonts w:ascii="宋体" w:hAnsi="宋体" w:eastAsia="宋体" w:cs="宋体"/>
        </w:rPr>
      </w:pPr>
      <w:r>
        <w:rPr>
          <w:rFonts w:hint="eastAsia" w:ascii="宋体" w:hAnsi="宋体" w:eastAsia="宋体" w:cs="宋体"/>
        </w:rPr>
        <w:t>其五，理念存有“经济—道德”二元悖论。斯密在《国富论》中只确认经济领域的自私自利</w:t>
      </w:r>
    </w:p>
    <w:p w14:paraId="58D94D6A">
      <w:pPr>
        <w:spacing w:line="336" w:lineRule="auto"/>
        <w:ind w:firstLine="440" w:firstLineChars="200"/>
        <w:rPr>
          <w:rFonts w:ascii="宋体" w:hAnsi="宋体" w:eastAsia="宋体" w:cs="宋体"/>
        </w:rPr>
      </w:pPr>
      <w:r>
        <w:rPr>
          <w:rFonts w:hint="eastAsia" w:ascii="宋体" w:hAnsi="宋体" w:eastAsia="宋体" w:cs="宋体"/>
        </w:rPr>
        <w:t>行为，而在《道德情操论》中，又确认道德领域的人可能有某些同情心和利他行为，这便形成一个“经济—道德”二元悖论。难道经济活动过程中没有道德和利他问题？完全和永恒的“自私人”与“道德人”或“利他人”行为如何协调？与西方一般经济学家因谈不清而不敢谈经济行为的道德问题不同，贝克尔撇开这一难题，承认在家庭和亲戚范围内有程度不一的利他行为，即主张“血亲利他主义”。但不管怎样，只要在经验或实践中存在利他行为（含家庭经济活动），完全的“天性利己主义”假说就被证伪了。诚然，“血亲利他主义”也解不开“经济—道德”二元悖论的矛盾死结，因为它只是放宽了家庭这一领域的分析，非家庭的广大领域依然笼罩着“自私人”思维。</w:t>
      </w:r>
    </w:p>
    <w:p w14:paraId="2F86C920">
      <w:pPr>
        <w:spacing w:line="336" w:lineRule="auto"/>
        <w:ind w:firstLine="440" w:firstLineChars="200"/>
        <w:rPr>
          <w:rFonts w:ascii="宋体" w:hAnsi="宋体" w:eastAsia="宋体" w:cs="宋体"/>
        </w:rPr>
      </w:pPr>
      <w:r>
        <w:rPr>
          <w:rFonts w:hint="eastAsia" w:ascii="宋体" w:hAnsi="宋体" w:eastAsia="宋体" w:cs="宋体"/>
        </w:rPr>
        <w:t>其六，理念奉行唯理论的教条。西方主流经济学所说的理性，是指个人谋求自身私利的合理行为，因而“理性人”也就是“自私人”，甚至合称“理性经济人”。在他们的视野里，人若不自私，那就属于非理性。这可称“自私拜物教”，是极端片面和夸大理性作用的观点。经验表明，自私不等于理性；某些自私行为属于非理性，如因故一时冲动而签订私人经济合同；某些理性行为属于利他，如有些匿名捐款。事实上，弗洛伊德主义及其心理实验也可印证，西蒙的“有限理性”假说比“完全理性”或“充分理性”假说要贴近现实。不过，“有限理性”假说仍是在旧“自私人”理论框架内的改良，没有本质上的创新，因为这一理论改良也无法阐明“抢银行是不是理性的”（博兰的问题），以及“盗窃何害之有”（张五常的主张）等逻辑怪题。</w:t>
      </w:r>
    </w:p>
    <w:p w14:paraId="1A697E42">
      <w:pPr>
        <w:spacing w:line="336" w:lineRule="auto"/>
        <w:ind w:firstLine="440" w:firstLineChars="200"/>
        <w:rPr>
          <w:rFonts w:ascii="宋体" w:hAnsi="宋体" w:eastAsia="宋体" w:cs="宋体"/>
        </w:rPr>
      </w:pPr>
      <w:r>
        <w:rPr>
          <w:rFonts w:hint="eastAsia" w:ascii="宋体" w:hAnsi="宋体" w:eastAsia="宋体" w:cs="宋体"/>
        </w:rPr>
        <w:t>其七，理念崇尚人类低级本能的意识。个人的本能或人类的本能是一切动物所共有的，是由生理决定的。而个人的本性或人类的本性则是由特定的社会环境所决定的。旧“自私人”理论却用个人的低级本能及其经济行为与经济心理替代人的多样化社会本性，形成思维的单一性和呆板性。美国的凯里曾愤怒地指责：穆勒的“政治经济学的对象实际上不是人，而是受最盲目的情绪驱策的想象的动物”，“他们的理论，讨论人性的最低级本能，却把人的最高尚利益看作是纯属干扰其理论体系的东西”，因而是亵渎了大写的“人”字</w:t>
      </w:r>
      <w:r>
        <w:rPr>
          <w:rFonts w:ascii="宋体" w:hAnsi="宋体" w:eastAsia="宋体" w:cs="宋体"/>
          <w:vertAlign w:val="superscript"/>
        </w:rPr>
        <w:footnoteReference w:id="164"/>
      </w:r>
      <w:r>
        <w:rPr>
          <w:rFonts w:hint="eastAsia" w:ascii="宋体" w:hAnsi="宋体" w:eastAsia="宋体" w:cs="宋体"/>
        </w:rPr>
        <w:t>。曾是一名儿童教育者的哲学家波普尔指出，儿童本来是不喜欢暴力的，如果电影上播放危险的情景，他们就会闭上眼睛，但很快就被影响了，变得越来越想看到暴力，因为他们那种恐惧和反感已经被习惯所克制了。从波普尔的分析中可以推论出，人打人、人杀人或人吃人，都不是现代人的本性或真正理性。弗洛姆甚至把接纳倾向型、剥削倾向型、贮藏倾向型和市场倾向型的人格归于病态，而只把充分发挥自己的潜力，且不以损人利己来达到自己目的的生产倾向型人格，称作真正健康的人格。即使参照弗洛伊德关于“本我”、“自我”与“超我”的划分，也不能将天生的、原始的、本能的“本我”等同于道德的、高级的、超个人的“超我”，旧“自私人”理念只相当于“本我”层次和根据一般现实原则行事的理性“自我”层次。</w:t>
      </w:r>
    </w:p>
    <w:p w14:paraId="534B7932">
      <w:pPr>
        <w:spacing w:line="336" w:lineRule="auto"/>
        <w:ind w:firstLine="440" w:firstLineChars="200"/>
        <w:rPr>
          <w:rFonts w:ascii="宋体" w:hAnsi="宋体" w:eastAsia="宋体" w:cs="宋体"/>
        </w:rPr>
      </w:pPr>
      <w:r>
        <w:rPr>
          <w:rFonts w:hint="eastAsia" w:ascii="宋体" w:hAnsi="宋体" w:eastAsia="宋体" w:cs="宋体"/>
        </w:rPr>
        <w:t>其八，理念局限于“店老板”的狭隘思维和人性异化心理。在近代，过分强调个人主义的经济和哲学思想具有反封建和反禁欲的积极效应，但属于资产阶级缺乏学术严谨性的意识之一。德国历史学派李斯特在抨击斯密“经济人”的人性假设及其理论体系时就尖锐地指出：“这个学说是以店老板的观点来考虑一切问题的”，“完全否认了国家和国家利益的存在，一切都要听任个人安排”，“利己性格抬高到一切效力的创造者的地位”</w:t>
      </w:r>
      <w:r>
        <w:rPr>
          <w:rFonts w:ascii="宋体" w:hAnsi="宋体" w:eastAsia="宋体" w:cs="宋体"/>
          <w:vertAlign w:val="superscript"/>
        </w:rPr>
        <w:footnoteReference w:id="165"/>
      </w:r>
      <w:r>
        <w:rPr>
          <w:rFonts w:hint="eastAsia" w:ascii="宋体" w:hAnsi="宋体" w:eastAsia="宋体" w:cs="宋体"/>
        </w:rPr>
        <w:t>。该学派认为，客观存在三种现实人的行为：一是在私人的经济中，一切以个人利益为转移；二是在强制的公有经济中，以社会全体利益为行动准则；三是在以慈善福利为目的的经济中，主要以伦理道德为行动规范。历史学派的这一经济哲学的思维逻辑有着深邃的意义。在马尔库塞和弗洛姆的理念里，人性异化是自有人类社会以来就存在的现象，只是在当代资本主义社会中变得更加突出和严重，并充分表现在生产和消费等各个方面。实际上，“店老板”的心理就是人性异化心理的重要反映，而不管西方“自私人”理论披上多么豪华的数学理性的外衣，也掩饰不了其经济哲学思想的某种阶级和社会的印记。</w:t>
      </w:r>
    </w:p>
    <w:p w14:paraId="6AF572C9">
      <w:pPr>
        <w:spacing w:line="336" w:lineRule="auto"/>
        <w:ind w:firstLine="440" w:firstLineChars="200"/>
        <w:rPr>
          <w:rFonts w:ascii="宋体" w:hAnsi="宋体" w:eastAsia="宋体" w:cs="宋体"/>
        </w:rPr>
      </w:pPr>
      <w:r>
        <w:rPr>
          <w:rFonts w:hint="eastAsia" w:ascii="宋体" w:hAnsi="宋体" w:eastAsia="宋体" w:cs="宋体"/>
        </w:rPr>
        <w:t>2、“经济人”新假设</w:t>
      </w:r>
    </w:p>
    <w:p w14:paraId="42651751">
      <w:pPr>
        <w:spacing w:line="336" w:lineRule="auto"/>
        <w:ind w:firstLine="440" w:firstLineChars="200"/>
        <w:rPr>
          <w:rFonts w:ascii="宋体" w:hAnsi="宋体" w:eastAsia="宋体" w:cs="宋体"/>
        </w:rPr>
      </w:pPr>
      <w:r>
        <w:rPr>
          <w:rFonts w:hint="eastAsia" w:ascii="宋体" w:hAnsi="宋体" w:eastAsia="宋体" w:cs="宋体"/>
        </w:rPr>
        <w:t>依据人类实践和问题导向，并受马克思的思想启迪，我认为必须确立一种新“经济人”假说和理论，其方法论是整体主义、唯物主义和现实主义的。这是作为后马克思经济学综合学派的“海派经济学”基本假设和理论之一，也是超越现代西方经济学的“后现代经济学”理论。它包含三个基本命题：（1）经济活动中的人有利己和利他两种倾向或性质。（2）经济活动中的人具有理性与非理性两种状态。（3）良好的制度会使经济活动中的人在增进集体利益或社会利益最大化的过程中实现合理的个人利益最大化。</w:t>
      </w:r>
    </w:p>
    <w:p w14:paraId="7105062A">
      <w:pPr>
        <w:spacing w:line="336" w:lineRule="auto"/>
        <w:ind w:firstLine="440" w:firstLineChars="200"/>
        <w:rPr>
          <w:rFonts w:ascii="宋体" w:hAnsi="宋体" w:eastAsia="宋体" w:cs="宋体"/>
        </w:rPr>
      </w:pPr>
      <w:r>
        <w:rPr>
          <w:rFonts w:hint="eastAsia" w:ascii="宋体" w:hAnsi="宋体" w:eastAsia="宋体" w:cs="宋体"/>
        </w:rPr>
        <w:t>关于第一个命题。作为逐渐脱离动物界和超越动物本能的人类，具有及其丰富的情感和理智，不是单纯地表现为完全的自私性。倘若我们摆脱单向度的思维定式，超出大小私有者的眼光去观察人类经历过的社会，便可明显地看到三种情形的利他主义（他人利益泛指除自己利益以外的别人利益、集体利益、国家利益和人类利益等）：（1）愿意花费自己的时间、精力和财富，来换取某种即刻可见的他人利益；（2）愿意花费自己的时间、精力和财富，来换取某种未来的他人利益；（3）愿意花费自己的时间、精力和财富，来换取某种实际无效的他人利益，即愿为他人利益而不讲究实际效果。除了后一种属于特殊和个别的利他行为之外，前两种利他行为既存在于单位、家庭和社会等各个范围，也存在于经济、军事、文化和政治等各个领域。可见，利己与利他是“经济人”（经济主体）可能具有的两种行为特性和行为倾向。</w:t>
      </w:r>
    </w:p>
    <w:p w14:paraId="247A55AE">
      <w:pPr>
        <w:spacing w:line="336" w:lineRule="auto"/>
        <w:ind w:firstLine="440" w:firstLineChars="200"/>
        <w:rPr>
          <w:rFonts w:ascii="宋体" w:hAnsi="宋体" w:eastAsia="宋体" w:cs="宋体"/>
        </w:rPr>
      </w:pPr>
      <w:r>
        <w:rPr>
          <w:rFonts w:hint="eastAsia" w:ascii="宋体" w:hAnsi="宋体" w:eastAsia="宋体" w:cs="宋体"/>
        </w:rPr>
        <w:t>至于社会上利己和利他哪种行为特征突出或占主导地位，那就取决于社会制度和各种环境因为人的利己与利他是一种社会网络中的互动行为，具有交互性的内在机理，总是与特定的社会整体大环境和群体小环境相关联。摩尔根在潜心探究古代印第安人的原始经济生活后描绘道：“在很大程度上生活中的共产制是印第安部落的生活条件的必然结果。……在他们心里还没有产生任何可见程度的个人积蓄的欲望”；“这些风俗习惯展示了他们的生活方式，并且揭示出他们的生活状况与文明社会的生活状况之间，以及没有个体特性的印第安家庭与文明社会高度个性化的家庭之间的巨大差异。”</w:t>
      </w:r>
      <w:r>
        <w:rPr>
          <w:rFonts w:ascii="宋体" w:hAnsi="宋体" w:eastAsia="宋体" w:cs="宋体"/>
          <w:vertAlign w:val="superscript"/>
        </w:rPr>
        <w:footnoteReference w:id="166"/>
      </w:r>
      <w:r>
        <w:rPr>
          <w:rFonts w:hint="eastAsia" w:ascii="宋体" w:hAnsi="宋体" w:eastAsia="宋体" w:cs="宋体"/>
        </w:rPr>
        <w:t>毋容置疑，是以后数千年的多种私有制支配了人类社会，才促使私</w:t>
      </w:r>
    </w:p>
    <w:p w14:paraId="3C7501DC">
      <w:pPr>
        <w:spacing w:line="336" w:lineRule="auto"/>
        <w:ind w:firstLine="440" w:firstLineChars="200"/>
        <w:rPr>
          <w:rFonts w:ascii="宋体" w:hAnsi="宋体" w:eastAsia="宋体" w:cs="宋体"/>
        </w:rPr>
      </w:pPr>
      <w:r>
        <w:rPr>
          <w:rFonts w:hint="eastAsia" w:ascii="宋体" w:hAnsi="宋体" w:eastAsia="宋体" w:cs="宋体"/>
        </w:rPr>
        <w:t>有经济的活动主体逐渐驱散了利他心态，甚至见利忘义，惟利是图，损人利己。</w:t>
      </w:r>
    </w:p>
    <w:p w14:paraId="56C460BA">
      <w:pPr>
        <w:spacing w:line="336" w:lineRule="auto"/>
        <w:ind w:firstLine="440" w:firstLineChars="200"/>
        <w:rPr>
          <w:rFonts w:ascii="宋体" w:hAnsi="宋体" w:eastAsia="宋体" w:cs="宋体"/>
        </w:rPr>
      </w:pPr>
      <w:r>
        <w:rPr>
          <w:rFonts w:hint="eastAsia" w:ascii="宋体" w:hAnsi="宋体" w:eastAsia="宋体" w:cs="宋体"/>
        </w:rPr>
        <w:t>必须指出，把一切利他行为均视为利己行为，是不合情理的。旧“经济人”理论的解释者认为，和尚救济穷人，雷锋助人为乐，抗洪牺牲者，反法西斯冲锋陷阵者等等，都是自私的，因为当你觉得助人为乐和牺牲光荣时，已经满足了个人的心理需求和主观欲望。这种用主观欲望的满足来界定自私行为的唯心论方法，混淆了利己与利他的客观行为界限，也混淆了真善美与假恶丑的客观行为界限。事实上，利己与利他、主观与客观之间的典型组合有四种：主观利己，客观利己；主观利他，客观利他；主观利己，客观利他；主观利他，客观利己。自然，其中舍去了利己的同时也可能利他、利他的同时也可能利己等复杂因素。</w:t>
      </w:r>
    </w:p>
    <w:p w14:paraId="628352A0">
      <w:pPr>
        <w:spacing w:line="336" w:lineRule="auto"/>
        <w:ind w:firstLine="440" w:firstLineChars="200"/>
        <w:rPr>
          <w:rFonts w:ascii="宋体" w:hAnsi="宋体" w:eastAsia="宋体" w:cs="宋体"/>
        </w:rPr>
      </w:pPr>
      <w:r>
        <w:rPr>
          <w:rFonts w:hint="eastAsia" w:ascii="宋体" w:hAnsi="宋体" w:eastAsia="宋体" w:cs="宋体"/>
        </w:rPr>
        <w:t>关于第二个命题。与一般自然界的动物相比，人是有理性的动物。人的正常行为是从一定的理性出发，并反映人们对于个人与他人、与社会、与自然的相互关系的思考，决定着行为的形式和内容。广义地说，理性具有纯洁与肮脏、合理与荒唐、正义与邪恶、完善与欠缺、不变与可变、单一与多样、简单与复杂等特性。哲学家尼布尔正是在宽泛的意义上声称，理性归根结底是一种工具，既能服务于善，也能服务于恶。不过，狭义地说，理性是指认识的纯洁、合理、正义和完善，是认识能力强和认识的高级阶段，而认识的不纯洁甚至肮脏、不合理甚至荒唐、不正义甚至邪恶以及不完善甚至欠缺，便相对地算作非理性。这就是有很多哲学家和经济学家歌颂真正理性的原由。可见，理性与非理性一般呈现出相对性、程度性和历史性。马克思说：“人类理性最不纯洁，因为它只具有不完备的见解，每走一步都要遇到新的待解决的任务”</w:t>
      </w:r>
      <w:r>
        <w:rPr>
          <w:rFonts w:ascii="宋体" w:hAnsi="宋体" w:eastAsia="宋体" w:cs="宋体"/>
          <w:vertAlign w:val="superscript"/>
        </w:rPr>
        <w:footnoteReference w:id="167"/>
      </w:r>
      <w:r>
        <w:rPr>
          <w:rFonts w:hint="eastAsia" w:ascii="宋体" w:hAnsi="宋体" w:eastAsia="宋体" w:cs="宋体"/>
        </w:rPr>
        <w:t>。</w:t>
      </w:r>
    </w:p>
    <w:p w14:paraId="3651D9DD">
      <w:pPr>
        <w:spacing w:line="336" w:lineRule="auto"/>
        <w:ind w:firstLine="440" w:firstLineChars="200"/>
        <w:rPr>
          <w:rFonts w:ascii="宋体" w:hAnsi="宋体" w:eastAsia="宋体" w:cs="宋体"/>
        </w:rPr>
      </w:pPr>
      <w:r>
        <w:rPr>
          <w:rFonts w:hint="eastAsia" w:ascii="宋体" w:hAnsi="宋体" w:eastAsia="宋体" w:cs="宋体"/>
        </w:rPr>
        <w:t>从狭义角度分析，经济活动中的人具有理性与非理性两种状态。循着上述确立的新观点，就可以合乎逻辑地解答中外学术界争论不休的难题。例如，抢银行是不是理性的？盗窃是不是理性的？卖淫是不是理性的（波斯纳曾分析过）？造假货是不是理性的？抽烟是不是理性的？从新“经济人”理论来辨析，此类涉及到经济的活动均属非理性，尽管他们在行动前一般经过“构成其行为动机的目的”和“限制其达到目标的约束条件”等“理性”的思考（旧“经济人”理论所强调）。其实，西蒙以企业家只能寻求“满意的利润”和“足够好”为例，来用“有限理性”否定“最大化的理性”，是难以驳倒旧“经济人”理性的，因为谁又会主张“无限理性”和百分之百的“完全理性”呢？理性上追究约束条件下的最大化，不等于实际经济生活中能实现，但无法因此而否定“最大化的理性”。况且，在约束条件下寻求“满意的利润”和“足够好”，实质上就是理性所寻求的利益相对最大化。</w:t>
      </w:r>
    </w:p>
    <w:p w14:paraId="31F95EC9">
      <w:pPr>
        <w:spacing w:line="336" w:lineRule="auto"/>
        <w:ind w:firstLine="440" w:firstLineChars="200"/>
        <w:rPr>
          <w:rFonts w:ascii="宋体" w:hAnsi="宋体" w:eastAsia="宋体" w:cs="宋体"/>
        </w:rPr>
      </w:pPr>
      <w:r>
        <w:rPr>
          <w:rFonts w:hint="eastAsia" w:ascii="宋体" w:hAnsi="宋体" w:eastAsia="宋体" w:cs="宋体"/>
        </w:rPr>
        <w:t>关于第三个命题。在私有经济范围内，个人追求自身利益最大化的自由行动会无意而正负效应程度不同地增减社会公共利益，并非如旧“经济人”理论所说的，只要有良好的制度保证，个人追求自身利益最大化的自由行动肯定会无意而有效地增进社会公共利益。这是因为：根本经济制度与具体经济制度（确切地说是具体经济体制）有紧密的关联，私有制必然从根本上限制良好经济制度或体制的建立和健全；个人一味地优先追求自身利益最大化，经常会同各类群体利益和社会利益发生矛盾与冲突，个人利益的总和不一定等于群体利益或社会利益的总和与潜在的最大化。</w:t>
      </w:r>
    </w:p>
    <w:p w14:paraId="365258F1">
      <w:pPr>
        <w:spacing w:line="336" w:lineRule="auto"/>
        <w:ind w:firstLine="440" w:firstLineChars="200"/>
        <w:rPr>
          <w:rFonts w:ascii="宋体" w:hAnsi="宋体" w:eastAsia="宋体" w:cs="宋体"/>
        </w:rPr>
      </w:pPr>
      <w:r>
        <w:rPr>
          <w:rFonts w:hint="eastAsia" w:ascii="宋体" w:hAnsi="宋体" w:eastAsia="宋体" w:cs="宋体"/>
        </w:rPr>
        <w:t>从理论上分析，在社会公有经济范围内，良好的制度会使经济活动中的人在增进集体利益和社会利益最大化的过程中实现合理的个人利益最大化。这是因为：在良好的制度下，公有经济的基点是为集体或社会谋利益，作为在其中活动的个人及其理性首先要服从集体理性或社会理性，即首先寻求集体利益最大化（类似戴维·米勒等所说的“社群”，但这里不谈社会理性与集体理性的矛盾）或社会利益最大化，否则，就会因个人主义而受到利益制约和利益损失；在良好的制度下，已经取得相对最大化的集体利益或社会利益，必然较公平地分配到每个人（如按劳分配等），从而最终实现个人利益的最大化。</w:t>
      </w:r>
    </w:p>
    <w:p w14:paraId="09E5B437">
      <w:pPr>
        <w:spacing w:line="336" w:lineRule="auto"/>
        <w:ind w:firstLine="440" w:firstLineChars="200"/>
        <w:rPr>
          <w:rFonts w:ascii="宋体" w:hAnsi="宋体" w:eastAsia="宋体" w:cs="宋体"/>
        </w:rPr>
      </w:pPr>
      <w:r>
        <w:rPr>
          <w:rFonts w:hint="eastAsia" w:ascii="宋体" w:hAnsi="宋体" w:eastAsia="宋体" w:cs="宋体"/>
        </w:rPr>
        <w:t>现在，直观的流行思维可能会以某些公有企业不景气为理由来非议上述理念，这肯定不能成立。诚然，以上理论探析的正确性有待于详细的逻辑证明和实践检验，尤其是公有制能否实际达到高绩效，须以高水平管理的操作为前提。但迄今为止的公有制实践，已经部分地有力证实了新“经济人”理论。哲学上的证伪主义有些绝对化。理论不是不能被证实，而是可能一直被不断地或间歇地部分证实。所谓实践是检验真理的标准，也并非单指某一时点上的具体经验或实践。</w:t>
      </w:r>
    </w:p>
    <w:p w14:paraId="7D4CF345">
      <w:pPr>
        <w:spacing w:line="336" w:lineRule="auto"/>
        <w:ind w:firstLine="440" w:firstLineChars="200"/>
        <w:rPr>
          <w:rFonts w:ascii="宋体" w:hAnsi="宋体" w:eastAsia="宋体" w:cs="宋体"/>
        </w:rPr>
      </w:pPr>
      <w:r>
        <w:rPr>
          <w:rFonts w:hint="eastAsia" w:ascii="宋体" w:hAnsi="宋体" w:eastAsia="宋体" w:cs="宋体"/>
        </w:rPr>
        <w:t>20世纪西方最伟大的经济学家凯恩斯曾作出一个经济哲学的重要预言：一旦民众都实现了物质富足，人们就会“再一次把目的看得重于手段，宁愿追求善而不追求实用”；到那时，社会将“回到最稳定可靠的宗教原则与传统原则——即以贪婪为邪恶，以高利贷勒索为不端行为，以爱财为可憎”；“可是，要注意!这样的时候还没有到来。至少在一百年内，我们还必须对己对人扬言美就是恶，恶就是美；因为恶实用，美不实用。我们还会有稍长一段时间要把贪婪、高利贷剥削、防范戒备奉为信条。只有这样，才能把我们从经济必然性的地道里引领出来见到天日。”</w:t>
      </w:r>
      <w:r>
        <w:rPr>
          <w:rFonts w:ascii="宋体" w:hAnsi="宋体" w:eastAsia="宋体" w:cs="宋体"/>
          <w:vertAlign w:val="superscript"/>
        </w:rPr>
        <w:footnoteReference w:id="168"/>
      </w:r>
      <w:r>
        <w:rPr>
          <w:rFonts w:hint="eastAsia" w:ascii="宋体" w:hAnsi="宋体" w:eastAsia="宋体" w:cs="宋体"/>
        </w:rPr>
        <w:t>20世纪最有影响的基督教哲学家尼布尔也作出了杰出的预见：“社会冲突和不公正的根源建立在人的无知与自私上”，资本主义“通过使人的关系带有日益增强的技术性而更清楚地揭示出人类活动的经济动机，它使经济学家亚当·斯密抽象出来的经济人成为活生生的现实……通过使一个具有特定经济地位的个人更明确地加入一个自觉的社会政治集团并让他们建立起能表达集团共同利益的组织，从而加剧了阶级之间的冲突和对抗。……事实上，马克思主义的社会主义足够正确地说明了产业工人对社会和历史的看法，从而使它成为所有自觉的有政治才智的产业工人可以接受的社会和政治哲学。”</w:t>
      </w:r>
      <w:r>
        <w:rPr>
          <w:rFonts w:ascii="宋体" w:hAnsi="宋体" w:eastAsia="宋体" w:cs="宋体"/>
          <w:vertAlign w:val="superscript"/>
        </w:rPr>
        <w:footnoteReference w:id="169"/>
      </w:r>
      <w:r>
        <w:rPr>
          <w:rFonts w:hint="eastAsia" w:ascii="宋体" w:hAnsi="宋体" w:eastAsia="宋体" w:cs="宋体"/>
        </w:rPr>
        <w:t>这两位思想大师都可以佐证新“经济人”的假设和理论，有益于我们在现阶段坚持以公有制为主体的市场经济和共产主义的远大理念。</w:t>
      </w:r>
    </w:p>
    <w:p w14:paraId="55CDDF45">
      <w:pPr>
        <w:spacing w:line="336" w:lineRule="auto"/>
        <w:ind w:firstLine="500" w:firstLineChars="200"/>
        <w:jc w:val="center"/>
        <w:rPr>
          <w:rFonts w:ascii="宋体" w:hAnsi="宋体" w:eastAsia="宋体" w:cstheme="majorBidi"/>
          <w:b/>
          <w:bCs/>
          <w:kern w:val="28"/>
          <w:sz w:val="24"/>
          <w:szCs w:val="32"/>
        </w:rPr>
      </w:pPr>
      <w:r>
        <w:rPr>
          <w:rFonts w:hint="eastAsia" w:ascii="宋体" w:hAnsi="宋体" w:eastAsia="宋体" w:cstheme="majorBidi"/>
          <w:b/>
          <w:bCs/>
          <w:kern w:val="28"/>
          <w:sz w:val="24"/>
          <w:szCs w:val="32"/>
        </w:rPr>
        <w:t>二、活劳动创造价值新假设</w:t>
      </w:r>
    </w:p>
    <w:p w14:paraId="50366EF7">
      <w:pPr>
        <w:spacing w:line="336" w:lineRule="auto"/>
        <w:ind w:firstLine="440" w:firstLineChars="200"/>
        <w:rPr>
          <w:rFonts w:ascii="宋体" w:hAnsi="宋体" w:eastAsia="宋体" w:cs="宋体"/>
        </w:rPr>
      </w:pPr>
      <w:r>
        <w:rPr>
          <w:rFonts w:hint="eastAsia" w:ascii="宋体" w:hAnsi="宋体" w:eastAsia="宋体" w:cs="宋体"/>
        </w:rPr>
        <w:t>1、活劳动创造价值的新假设</w:t>
      </w:r>
    </w:p>
    <w:p w14:paraId="20A8A0A6">
      <w:pPr>
        <w:spacing w:line="336" w:lineRule="auto"/>
        <w:ind w:firstLine="440" w:firstLineChars="200"/>
        <w:rPr>
          <w:rFonts w:ascii="宋体" w:hAnsi="宋体" w:eastAsia="宋体" w:cs="宋体"/>
        </w:rPr>
      </w:pPr>
      <w:r>
        <w:rPr>
          <w:rFonts w:hint="eastAsia" w:ascii="宋体" w:hAnsi="宋体" w:eastAsia="宋体" w:cs="宋体"/>
        </w:rPr>
        <w:t>依据马克思关于活劳动创造为市场交换而生产的商品价值，以及纯粹为商品价值形态转换服务的流通不创造价值的科学精神，我认为，凡是直接为市场交换而生产物质商品和精神商品，以及直接为劳动力商品的生产和再生产服务的劳动，其中包括自然人和法人实体的内部管理劳动和科技劳动，都属于创造价值的劳动或生产劳动。这一活劳动创造价值的新假设或新的“活劳动价值说”，不仅没有否定马克思的核心思想和方法，恰恰是遵循了马克思研究物质生产领域价值创造的思路，并把它扩展到一切社会经济部门后所形成的必然结论。具体说来：</w:t>
      </w:r>
    </w:p>
    <w:p w14:paraId="52FF6455">
      <w:pPr>
        <w:spacing w:line="336" w:lineRule="auto"/>
        <w:ind w:firstLine="440" w:firstLineChars="200"/>
        <w:rPr>
          <w:rFonts w:ascii="宋体" w:hAnsi="宋体" w:eastAsia="宋体" w:cs="宋体"/>
        </w:rPr>
      </w:pPr>
      <w:r>
        <w:rPr>
          <w:rFonts w:hint="eastAsia" w:ascii="宋体" w:hAnsi="宋体" w:eastAsia="宋体" w:cs="宋体"/>
        </w:rPr>
        <w:t>第一，生产物质商品的劳动是创造价值的生产性劳动。如为市场提供物质商品的农业、工业、建筑业、物质技术业等领域中的生产性劳动。这是马克思早已阐明的。</w:t>
      </w:r>
    </w:p>
    <w:p w14:paraId="3AABA048">
      <w:pPr>
        <w:spacing w:line="336" w:lineRule="auto"/>
        <w:ind w:firstLine="440" w:firstLineChars="200"/>
        <w:rPr>
          <w:rFonts w:ascii="宋体" w:hAnsi="宋体" w:eastAsia="宋体" w:cs="宋体"/>
        </w:rPr>
      </w:pPr>
      <w:r>
        <w:rPr>
          <w:rFonts w:hint="eastAsia" w:ascii="宋体" w:hAnsi="宋体" w:eastAsia="宋体" w:cs="宋体"/>
        </w:rPr>
        <w:t>第二，从事有形和无形商品场所变更的劳动是创造价值的生产性劳动。如为市场提供货物和人员空间位移的运输劳动，提供书信、消息、电报、电话等各种信息传递的邮电劳动。场所变更或信息传递就是广义交通劳动产生的效用，它们是可以发生在流通领域内的特殊生产性部门。这也是马克思基本阐明的观点。</w:t>
      </w:r>
    </w:p>
    <w:p w14:paraId="0C144016">
      <w:pPr>
        <w:spacing w:line="336" w:lineRule="auto"/>
        <w:ind w:firstLine="440" w:firstLineChars="200"/>
        <w:rPr>
          <w:rFonts w:ascii="宋体" w:hAnsi="宋体" w:eastAsia="宋体" w:cs="宋体"/>
        </w:rPr>
      </w:pPr>
      <w:r>
        <w:rPr>
          <w:rFonts w:hint="eastAsia" w:ascii="宋体" w:hAnsi="宋体" w:eastAsia="宋体" w:cs="宋体"/>
        </w:rPr>
        <w:t>第三，生产有形和无形精神商品的劳动是创造价值的生产性劳动。如为市场提供精神商品的教育、社会科学、自然科学、文化技术、文学艺术、广播影视、新闻出版、图书馆、博物馆等领域中的生产性劳动，其中包括讲课、表演等无形商品或服务劳动。应当突破价值创造仅局限于物质劳动，确认生产有形和无形精神商品的劳动同样创造价值。</w:t>
      </w:r>
    </w:p>
    <w:p w14:paraId="1B52640B">
      <w:pPr>
        <w:spacing w:line="336" w:lineRule="auto"/>
        <w:ind w:firstLine="440" w:firstLineChars="200"/>
        <w:rPr>
          <w:rFonts w:ascii="宋体" w:hAnsi="宋体" w:eastAsia="宋体" w:cs="宋体"/>
        </w:rPr>
      </w:pPr>
      <w:r>
        <w:rPr>
          <w:rFonts w:hint="eastAsia" w:ascii="宋体" w:hAnsi="宋体" w:eastAsia="宋体" w:cs="宋体"/>
        </w:rPr>
        <w:t>第四，从事劳动力商品生产的服务劳动是创造价值的生产性劳动。直接涉及劳动力这一特殊商品的生产和再生产的部门，除了包括上述有关人们生活的生产性部门以外，还包括医疗、卫生、体育、美发、美容、沐浴等等。</w:t>
      </w:r>
    </w:p>
    <w:p w14:paraId="0F7268A5">
      <w:pPr>
        <w:spacing w:line="336" w:lineRule="auto"/>
        <w:ind w:firstLine="440" w:firstLineChars="200"/>
        <w:rPr>
          <w:rFonts w:ascii="宋体" w:hAnsi="宋体" w:eastAsia="宋体" w:cs="宋体"/>
        </w:rPr>
      </w:pPr>
      <w:r>
        <w:rPr>
          <w:rFonts w:hint="eastAsia" w:ascii="宋体" w:hAnsi="宋体" w:eastAsia="宋体" w:cs="宋体"/>
        </w:rPr>
        <w:t>第五，生产性企业私营业主的经营管理活动是创造价值的。我国传统的政治经济学承认，在公有制企业内，厂长经理从事生产性管理活动是创造商品价值的生产劳动，而对于资本主义私营企业内，从事生产性经营管理的活动能不能创造价值的问题，则持完全否定或回避的态度。这在分析逻辑上就形成一种难以自圆其说的矛盾：本来属于创造价值的生产性管理活动，一旦与该企业的财产私有权相结合，便全部丧失其创造价值的生产劳动属性。其实，倘若生产性私营企业的主要投资者或所有者，同时又是该企业的实际经营管理者，那么，这种管理活动具有两重性：一是从社会劳动协作的必要管理中而产生的劳动职能，客观上会创造商品的新价值；二是从财产所有权获利的必要管理中而产生的剥削职能，客观上又会无偿占有他有的剩余劳动。在现实经济生活中，这两种职能交织在一起，并由一个人来承担，并不妨碍在科学分析进程中加以定性区别。</w:t>
      </w:r>
    </w:p>
    <w:p w14:paraId="63B886CC">
      <w:pPr>
        <w:spacing w:line="336" w:lineRule="auto"/>
        <w:ind w:firstLine="440" w:firstLineChars="200"/>
        <w:rPr>
          <w:rFonts w:ascii="宋体" w:hAnsi="宋体" w:eastAsia="宋体" w:cs="宋体"/>
        </w:rPr>
      </w:pPr>
      <w:r>
        <w:rPr>
          <w:rFonts w:hint="eastAsia" w:ascii="宋体" w:hAnsi="宋体" w:eastAsia="宋体" w:cs="宋体"/>
        </w:rPr>
        <w:t>第六，劳动生产力变化，可能引起劳动复杂程度和社会必要劳动量的变化，从而引起商品价值量的变化。马克思在阐述商品价值量与劳动生产率变化规律时舍掉了劳动的主观条件对劳动生产率的影响作用，而认定劳动的客观条件和自然条件变动引起的劳动生产率提高只引起使用价值量变动，不会影响价值总量，所以就得出了商品价值量与劳动生产率反向变化规律。但是，就一般意义而言，引起劳动生产率变化的重要因素是科技的进步，而它会引致劳动复杂程度、熟练程度和强度的提高，进而增大商品的价值量。（1）如果劳动生产率变动是由劳动的客观条件变动而引起的，劳动的主观劳动条件没有发生变化，那么劳动生产率与价值量是反向变动关系，这种情况在一定条件下和一定时期是存在的。（2）如果劳动生产率变动是由劳动的主观条件变动引起的，劳动客观条件没有变动，那么，劳动生产率与价值量变动是正向变动。（3）如果劳动生产率变动是由劳动的主观和客观条件共同变动引起的，劳动生产率与价值量变动方向不确定，也可能是正方向变动也可能是反方向变动，也可能不变。（4）就社会价值总量而言，随着劳动生产率的提高，由于商品的价值量总会出现增加的趋势，因此作为价值的总量也具有一种向上变动的趋势，而不是不变。我们对马克思的商品价值量与劳动生产率的规律作了如上的界定和新理解，就可以科学地说明科技劳动和管理劳动等在价值创造中的作用与事实。</w:t>
      </w:r>
    </w:p>
    <w:p w14:paraId="56CFD3D3">
      <w:pPr>
        <w:spacing w:line="336" w:lineRule="auto"/>
        <w:ind w:firstLine="440" w:firstLineChars="200"/>
        <w:rPr>
          <w:rFonts w:ascii="宋体" w:hAnsi="宋体" w:eastAsia="宋体" w:cs="宋体"/>
        </w:rPr>
      </w:pPr>
      <w:r>
        <w:rPr>
          <w:rFonts w:hint="eastAsia" w:ascii="宋体" w:hAnsi="宋体" w:eastAsia="宋体" w:cs="宋体"/>
        </w:rPr>
        <w:t>学术界现对于价值的源泉问题仍有不同的看法。有的学者认为，商品价值的源泉问题也就是商品使用价值的源泉问题，认为人的劳动与大自然、各种生产资料、科学技术和管理经验的结合，乃是商品价值的源泉和创造者，其实就是认为商品价值是由各种生产要素创造的。也有的学者主张，只要承认劳动生产力或生产函数是多元的，最终也会得出非劳动要素参与价值决定的结论。还有的学者把创造价值和增加价值两个概念加以区别，认为从单个企业来看物化劳动是创造价值的，是创造剩余价值的主要源泉。甚至有的学者把由资本的使用所决定的生产力称之为劳动的资本生产力，把由土地的使用所决定的生产力称之为劳动的土地生产力，这种生产力也创造价值。此外，还有诸如广义价值论、资源贡献价值论等等。</w:t>
      </w:r>
    </w:p>
    <w:p w14:paraId="76A1462E">
      <w:pPr>
        <w:spacing w:line="336" w:lineRule="auto"/>
        <w:ind w:firstLine="440" w:firstLineChars="200"/>
        <w:rPr>
          <w:rFonts w:ascii="宋体" w:hAnsi="宋体" w:eastAsia="宋体" w:cs="宋体"/>
        </w:rPr>
      </w:pPr>
      <w:r>
        <w:rPr>
          <w:rFonts w:hint="eastAsia" w:ascii="宋体" w:hAnsi="宋体" w:eastAsia="宋体" w:cs="宋体"/>
        </w:rPr>
        <w:t>虽然看起来各种价值理论竞相争艳，但实质上只有两类，即各种宽窄范围不同的活劳动价值论与要素价值论。除了活劳动价值论以外，其他价值论都是生产要素价值论或折中主义价值论的不同概括。比如，主张物化劳动也创造价值，事实上主张生产资料也创造价值，亦即要素价值论；主张劳动的土地生产力和劳动的资本生产力创造价值，实际上是肯定土地和资本（生产资料）也创造价值。</w:t>
      </w:r>
    </w:p>
    <w:p w14:paraId="204053EA">
      <w:pPr>
        <w:spacing w:line="336" w:lineRule="auto"/>
        <w:ind w:firstLine="440" w:firstLineChars="200"/>
        <w:rPr>
          <w:rFonts w:ascii="宋体" w:hAnsi="宋体" w:eastAsia="宋体" w:cs="宋体"/>
        </w:rPr>
      </w:pPr>
      <w:r>
        <w:rPr>
          <w:rFonts w:hint="eastAsia" w:ascii="宋体" w:hAnsi="宋体" w:eastAsia="宋体" w:cs="宋体"/>
        </w:rPr>
        <w:t>各种要素价值论和折中主义价值论在理论上是不能成立的。首先，它们并不区别抽象劳动和具体劳动，而是将二者混同，因而混淆价值和使用价值。把劳动过程与价值增殖过程混为一团，逻辑上把两个不同角度的东西拼接在一起，因为要素是针对劳动过程而言的，资本（不变资本、可变资本）是针对价值增值过程而言的。其次，它们还混淆了价值形成和价值增殖的区别。前者是关于价值是如何形成的理论。在生产过程中，通过劳动，一方面将不变资本的价值逐渐转移到新商品价值中去，另一方面劳动力的发挥使用形成新价值，一起形成商品的价值C+V+M。后者是关于价值是如何增殖的理论。任何企业决不满足于转移旧价值和生产出补偿劳动力的价值为止，如果是这样的话，就纯粹是价值形成过程。价值增殖过程是除转移旧价值C和生产劳动力价值V后，还要取得一个余额——剩余价值。至于这个剩余价值由哪个主体占有，是表现为私人剩余价值，还是集体剩余价值或国家剩余价值，那是由产权制度决定的另一个问题。</w:t>
      </w:r>
    </w:p>
    <w:p w14:paraId="26087C87">
      <w:pPr>
        <w:spacing w:line="336" w:lineRule="auto"/>
        <w:ind w:firstLine="440" w:firstLineChars="200"/>
        <w:rPr>
          <w:rFonts w:ascii="宋体" w:hAnsi="宋体" w:eastAsia="宋体" w:cs="宋体"/>
        </w:rPr>
      </w:pPr>
      <w:r>
        <w:rPr>
          <w:rFonts w:hint="eastAsia" w:ascii="宋体" w:hAnsi="宋体" w:eastAsia="宋体" w:cs="宋体"/>
        </w:rPr>
        <w:t>2、全要素财富说和按贡分配形质说</w:t>
      </w:r>
    </w:p>
    <w:p w14:paraId="03995057">
      <w:pPr>
        <w:spacing w:line="336" w:lineRule="auto"/>
        <w:ind w:firstLine="440" w:firstLineChars="200"/>
        <w:rPr>
          <w:rFonts w:ascii="宋体" w:hAnsi="宋体" w:eastAsia="宋体" w:cs="宋体"/>
        </w:rPr>
      </w:pPr>
      <w:r>
        <w:rPr>
          <w:rFonts w:hint="eastAsia" w:ascii="宋体" w:hAnsi="宋体" w:eastAsia="宋体" w:cs="宋体"/>
        </w:rPr>
        <w:t>与上述“活劳动创造价值”新假设相关的是“全要素财富说”和“按贡分配形质说”。必须指出，活劳动是价值的惟一源泉，但就劳动过程而言，显然，仅有活劳动是远远不够的。人们还必须拥有除劳动之外的其他生产要素才能进行现实的生产和服务活动，提供能满足人们各种需要的使用价值或效用。其中，包括土地、资本、技术、信息，以及自然资源和生态环境等。因而，财富、效用或使用价值的源泉是多元的，是所有或全部相关生产要素直接创造和构成的。同一些人随意批评马克思经济学忽视财富及其生产要素的观点相反，马克思是一贯高度重视财富及其各种生产要素作用的。</w:t>
      </w:r>
    </w:p>
    <w:p w14:paraId="3923E44F">
      <w:pPr>
        <w:spacing w:line="336" w:lineRule="auto"/>
        <w:ind w:firstLine="440" w:firstLineChars="200"/>
        <w:rPr>
          <w:rFonts w:ascii="宋体" w:hAnsi="宋体" w:eastAsia="宋体" w:cs="宋体"/>
        </w:rPr>
      </w:pPr>
      <w:r>
        <w:rPr>
          <w:rFonts w:hint="eastAsia" w:ascii="宋体" w:hAnsi="宋体" w:eastAsia="宋体" w:cs="宋体"/>
        </w:rPr>
        <w:t>十分明显，这里的与“活劳动价值说”不仅不矛盾，而且是相辅相成的，共同构成了关于创造商品和财富的完整理论。前者说明的是作为具体劳动过程的生产要素与社会财富（商品使用价值或效用）之间的关系，其目的主要是揭示在创造使用价值的具体劳动过程中人与物之间的关系和物与物之间的关系，在这个层面上，财富的源泉必然是多元的。后者说明的是作为抽象劳动的活劳动与商品价值之间的关系，其目的主要是揭示在特定的社会生产方式下新价值创造过程中人与人之间的关系，在这个层面上，价值的源泉又必然是一元的。</w:t>
      </w:r>
    </w:p>
    <w:p w14:paraId="2D91D9F5">
      <w:pPr>
        <w:spacing w:line="336" w:lineRule="auto"/>
        <w:ind w:firstLine="440" w:firstLineChars="200"/>
        <w:rPr>
          <w:rFonts w:ascii="宋体" w:hAnsi="宋体" w:eastAsia="宋体" w:cs="宋体"/>
        </w:rPr>
      </w:pPr>
      <w:r>
        <w:rPr>
          <w:rFonts w:hint="eastAsia" w:ascii="宋体" w:hAnsi="宋体" w:eastAsia="宋体" w:cs="宋体"/>
        </w:rPr>
        <w:t>同时，二者的内在联系又表明：作为劳动主体的活劳动，既是价值的源泉，也是财富的源泉；作为劳动客体的有形或无形生产资料，既是财富的源泉，也是价值创造的必要经济条件或基础。但是，要素价值论者声称财富的源泉就是商品价值的源泉，既然劳动不是财富的惟一源泉，那么劳动也不是价值的惟一源泉，其他生产要素的劳动一起共同创造价值。在这里，他们混淆了财富与价值、具体劳动与抽象劳动、不变资本与可变资本、劳动过程与价值创造过程等一系列区别。</w:t>
      </w:r>
    </w:p>
    <w:p w14:paraId="6B09AE33">
      <w:pPr>
        <w:spacing w:line="336" w:lineRule="auto"/>
        <w:ind w:firstLine="440" w:firstLineChars="200"/>
        <w:rPr>
          <w:rFonts w:ascii="宋体" w:hAnsi="宋体" w:eastAsia="宋体" w:cs="宋体"/>
        </w:rPr>
      </w:pPr>
      <w:r>
        <w:rPr>
          <w:rFonts w:hint="eastAsia" w:ascii="宋体" w:hAnsi="宋体" w:eastAsia="宋体" w:cs="宋体"/>
        </w:rPr>
        <w:t>最后，还有一个重要问题也必须指出，我国现行的收入分配制度是以按劳分配为主体，多种分配方式并存的制度，把按劳分配与按生产要素分配结合起来，这是社会主义市场经济的一项基本制度。广义上看，按生产要素分配中自然包括按劳动力这一主体性要素分配（在了解劳动与劳动力的严格区别后，不妨碍我们说劳动是一个独立的生产要素），而市场型按劳分配，首先表明的是要视劳动力同其他生产要素一样，可凭借自身的所有权参与分配，其次才表明要根据劳动力的实际有效支出或贡献，即有效劳动的数量和质量，来具体确定可分配的价值量或金额。这不会否定我们经常从狭义上将按劳分配从按生产要素分配中独立出来，并分别加以阐明。</w:t>
      </w:r>
    </w:p>
    <w:p w14:paraId="3BD455E1">
      <w:pPr>
        <w:spacing w:line="336" w:lineRule="auto"/>
        <w:ind w:firstLine="440" w:firstLineChars="200"/>
        <w:rPr>
          <w:rFonts w:ascii="宋体" w:hAnsi="宋体" w:eastAsia="宋体" w:cs="宋体"/>
        </w:rPr>
      </w:pPr>
      <w:r>
        <w:rPr>
          <w:rFonts w:hint="eastAsia" w:ascii="宋体" w:hAnsi="宋体" w:eastAsia="宋体" w:cs="宋体"/>
        </w:rPr>
        <w:t>马克思在《资本论》中全面系统地论述了生产要素的多种产权状态与生产成果的多种分配状态及其相互关系，这启发我们从国民收入初次分配的角度可以提炼出“多产权分配说”，即多种产权关系决定了按资和按劳等多种分配方式。无论是资本主义市场经济，还是社会主义市场经济，其多种分配形式都直接取决于生产要素的所有权或产权</w:t>
      </w:r>
      <w:r>
        <w:rPr>
          <w:rFonts w:ascii="宋体" w:hAnsi="宋体" w:eastAsia="宋体" w:cs="宋体"/>
          <w:vertAlign w:val="superscript"/>
        </w:rPr>
        <w:footnoteReference w:id="170"/>
      </w:r>
      <w:r>
        <w:rPr>
          <w:rFonts w:hint="eastAsia" w:ascii="宋体" w:hAnsi="宋体" w:eastAsia="宋体" w:cs="宋体"/>
        </w:rPr>
        <w:t>。</w:t>
      </w:r>
    </w:p>
    <w:p w14:paraId="6182CC8D">
      <w:pPr>
        <w:spacing w:line="336" w:lineRule="auto"/>
        <w:ind w:firstLine="440" w:firstLineChars="200"/>
        <w:rPr>
          <w:rFonts w:ascii="宋体" w:hAnsi="宋体" w:eastAsia="宋体" w:cs="宋体"/>
        </w:rPr>
      </w:pPr>
      <w:r>
        <w:rPr>
          <w:rFonts w:hint="eastAsia" w:ascii="宋体" w:hAnsi="宋体" w:eastAsia="宋体" w:cs="宋体"/>
        </w:rPr>
        <w:t>事实上，劳动价值论是一切市场经济的理论基石，所揭示的是市场经济条件下劳动与商品之间的一般规律以及劳动机制和价值机制，指出价值是由活劳动创造的，生产资料的价值只是转移到商品价值中去保存旧价值；而马克思描述经典社会主义的按劳分配是没有商品货币关系和市场经济的，因而劳动价值论不可能成为马克思设想的社会主义按劳分配的直接依据。不过，在现阶段我国社会主义市场经济的运行中，劳动价值论同市场型按劳分配有了一定的联系，因为分配的是商品出售后的价值，又由企业自主分配并完全货币化。尽管市场化按劳分配的直接依据是生产资料的公有制和劳动力的个人所有制，但从宽泛的意义上说，公有制范围内的工资既是劳动力价值或价格的转化形式，也是市场型按劳分配的实现形式。</w:t>
      </w:r>
    </w:p>
    <w:p w14:paraId="1B65CAB7">
      <w:pPr>
        <w:spacing w:line="336" w:lineRule="auto"/>
        <w:ind w:firstLine="440" w:firstLineChars="200"/>
        <w:rPr>
          <w:rFonts w:ascii="宋体" w:hAnsi="宋体" w:eastAsia="宋体" w:cs="宋体"/>
        </w:rPr>
      </w:pPr>
      <w:r>
        <w:rPr>
          <w:rFonts w:hint="eastAsia" w:ascii="宋体" w:hAnsi="宋体" w:eastAsia="宋体" w:cs="宋体"/>
        </w:rPr>
        <w:t>进一步说，按生产要素贡献分配的表现形式，是按生产要素所有者在自身创造财富和价值过程中的具体贡献来分配的，而其经济实质是按生产要素所有者在要素创造财富和活劳动创造价值过程中所贡献或提供的要素数量及其产权关系来分配的。这就是按生产要素贡献分配的形式与实质，用哲学上的形质来表达，可简称为“按贡分配形质说”。</w:t>
      </w:r>
    </w:p>
    <w:p w14:paraId="0F51349A">
      <w:pPr>
        <w:spacing w:line="336" w:lineRule="auto"/>
        <w:ind w:firstLine="440" w:firstLineChars="200"/>
        <w:rPr>
          <w:rFonts w:ascii="宋体" w:hAnsi="宋体" w:eastAsia="宋体" w:cs="宋体"/>
        </w:rPr>
      </w:pPr>
      <w:r>
        <w:rPr>
          <w:rFonts w:hint="eastAsia" w:ascii="宋体" w:hAnsi="宋体" w:eastAsia="宋体" w:cs="宋体"/>
        </w:rPr>
        <w:t>有的学者以为只要承认“按贡献分配”的用语，就等于承认生产要素所有者都亲自创造或贡献了财富和价值，并据此进行分配。这是有误的论证。其理由在于：当我们使用“按贡献分配”一词时，只是承认在特定的经济制度下要素所有者拿出了一定数量的土地、资本等非劳动性质的要素同劳动力相结合，进而由劳动者运用非劳动生产要素实际创造财富和价值。从产业资本循环的三个阶段来分析，要素所有者只是在实际生产财富和价值之前的购买阶段从“预付”、“拿出”或“提供”的意义上“贡献”了非劳动生产要素，而所有的财富和价值都是在生产阶段由劳动者运用非劳动生产要素进行实际创造和生产的，并在生产阶段结束后（若是商品则在销售阶段后），由购买阶段的各个要素所有者依据“预付”要素的数量及其所有权进行生产成果的分割或分配。可见，是要素本身成为财富的源泉，而非主体性要素所有者成为财富的源泉；是要素本身对财富的实际构成作出了生产性的贡献，而非主体性要素所有者对财富的实际构成作出了生产性的贡献；从一般劳动过程考察，劳动者运用各种生产要素实际生产或贡献出财富或价值，只与各类生产要素的数量和质量有关，而同要素的所有权状况（私人所有、集体所有、国家所有或公私混合所有）没有直接的关系。</w:t>
      </w:r>
    </w:p>
    <w:p w14:paraId="50657B16">
      <w:pPr>
        <w:spacing w:line="336" w:lineRule="auto"/>
        <w:ind w:firstLine="440" w:firstLineChars="200"/>
        <w:rPr>
          <w:rFonts w:ascii="宋体" w:hAnsi="宋体" w:eastAsia="宋体" w:cs="宋体"/>
        </w:rPr>
      </w:pPr>
      <w:r>
        <w:rPr>
          <w:rFonts w:hint="eastAsia" w:ascii="宋体" w:hAnsi="宋体" w:eastAsia="宋体" w:cs="宋体"/>
        </w:rPr>
        <w:t>其实，“按贡分配”归根到底可以分解为劳动所得或按劳分配与资本所得或按资分配。当把管理、技术、信息等作为劳动来看待并参与实际分配时，它们属于劳动所得或按劳分配的范畴；当把管理、技术、信息等作为资本来看待并实际参与分配时，它们属于资本所得或按资分配的范畴。例如，科技人员因技术发明而获得收入，属于劳动所得或按劳分配；科技人员再把这项技术发明折合成一定数量的技术股并参与分配，则明显地属于技术资本所得或按资分配。又如，让某个名人在企业挂名并给予一定数量的干股，而他不为该企业从事任何工作，则是将名人的无形资产转化为资本，全部属于资本所得或按资分配。再如，对实际在企业工作的某个管理者或员工实行部分工资加部分干股的总收入分配方式，则其总收入都属于劳动所得或按劳分配。其他生产要素均可作以此类推的分析。</w:t>
      </w:r>
    </w:p>
    <w:p w14:paraId="0A86C2BE">
      <w:pPr>
        <w:spacing w:line="336" w:lineRule="auto"/>
        <w:ind w:firstLine="440" w:firstLineChars="200"/>
        <w:rPr>
          <w:rFonts w:ascii="宋体" w:hAnsi="宋体" w:eastAsia="宋体" w:cs="宋体"/>
        </w:rPr>
      </w:pPr>
      <w:r>
        <w:rPr>
          <w:rFonts w:hint="eastAsia" w:ascii="宋体" w:hAnsi="宋体" w:eastAsia="宋体" w:cs="宋体"/>
        </w:rPr>
        <w:t>那么，各种要素收益的量的规定是由什么规律和机制进行调节的呢？要素价值论者认为用边际分析法可准确测定其各自应得的实际贡献额。事实上，各种要素所有者参与分配的量的多少，其依据和分割规律是不同的。工资收入是劳动力价值或价格的货币表现，工资的多少并不影响商品的价值，其实际数量多少取决于全体或部分劳动者的谈判和博弈状态，而不是劳动者的边际贡献</w:t>
      </w:r>
      <w:r>
        <w:rPr>
          <w:rFonts w:ascii="宋体" w:hAnsi="宋体" w:eastAsia="宋体" w:cs="宋体"/>
          <w:vertAlign w:val="superscript"/>
        </w:rPr>
        <w:footnoteReference w:id="171"/>
      </w:r>
      <w:r>
        <w:rPr>
          <w:rFonts w:hint="eastAsia" w:ascii="宋体" w:hAnsi="宋体" w:eastAsia="宋体" w:cs="宋体"/>
        </w:rPr>
        <w:t>。非劳动的生产要素所有者在竞争规律和平均利润率规律的作用下等量资本大体获取等量收益，并具体表现为地租、利息和利润等形式。这一趋势性的收益分割规律和机制，并不排除各种垄断、产业地位、交易能力和博弈智慧等主客观因素会影响其实际收益数量。当前，我们要高度重视和发挥劳动、科技、信息、管理和资本等各种生产要素的作用，切实保障一切要素所有者的合法权益，促使国民经济和人民生活快速而又健康地发展。这是“活劳动创造价值新假设”，以及与此有关的“全要素财富说”和“按贡分配形质说”的政策思想之一。</w:t>
      </w:r>
    </w:p>
    <w:p w14:paraId="216E2FFA">
      <w:pPr>
        <w:snapToGrid w:val="0"/>
        <w:spacing w:line="336" w:lineRule="auto"/>
        <w:ind w:firstLine="440" w:firstLineChars="200"/>
        <w:jc w:val="left"/>
        <w:rPr>
          <w:rFonts w:ascii="宋体" w:hAnsi="宋体" w:eastAsia="宋体" w:cs="宋体"/>
        </w:rPr>
      </w:pPr>
    </w:p>
    <w:p w14:paraId="69410F0D">
      <w:pPr>
        <w:spacing w:line="336" w:lineRule="auto"/>
        <w:ind w:firstLine="440" w:firstLineChars="200"/>
        <w:rPr>
          <w:rFonts w:ascii="宋体" w:hAnsi="宋体" w:eastAsia="宋体" w:cs="宋体"/>
        </w:rPr>
      </w:pPr>
      <w:r>
        <w:rPr>
          <w:rFonts w:hint="eastAsia" w:ascii="宋体" w:hAnsi="宋体" w:eastAsia="宋体" w:cs="宋体"/>
        </w:rPr>
        <w:t>参考文献：</w:t>
      </w:r>
    </w:p>
    <w:p w14:paraId="7DF0C046">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rPr>
        <w:t>[1]阿尔布·经济心理学[M]·上海：上海译文出版社，1992·</w:t>
      </w:r>
    </w:p>
    <w:p w14:paraId="4F8E9913">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rPr>
        <w:t>[2]程恩富·用科学的产权理论分析中国经济变革[J]·经济学动态，1996，(8)·</w:t>
      </w:r>
    </w:p>
    <w:p w14:paraId="1AE62B9E">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rPr>
        <w:t>[3]程恩富·充分认识哲学对经济行为分析的积极效应[J]·中国社会科学，1999，(2)·</w:t>
      </w:r>
    </w:p>
    <w:p w14:paraId="5167F4DD">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rPr>
        <w:t>[4]程恩富，等·经济学方法论———马克思、西方主流与多学科视角[M]·上海：上海财经大学出版社，2002·</w:t>
      </w:r>
    </w:p>
    <w:p w14:paraId="5ADC0C62">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rPr>
        <w:t>[5]程恩富·盗窃者与雷锋：不同经济人理论的阐释[N]·文汇报，2002(06(09·</w:t>
      </w:r>
    </w:p>
    <w:p w14:paraId="3767209E">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rPr>
        <w:t>[6]程恩富·文化经济学[M]·中国经济出版社，1993·</w:t>
      </w:r>
    </w:p>
    <w:p w14:paraId="62CE6708">
      <w:pPr>
        <w:spacing w:line="336" w:lineRule="auto"/>
        <w:ind w:firstLine="380" w:firstLineChars="200"/>
        <w:rPr>
          <w:rFonts w:ascii="宋体" w:hAnsi="宋体" w:eastAsia="宋体" w:cs="宋体"/>
          <w:sz w:val="18"/>
          <w:szCs w:val="18"/>
        </w:rPr>
      </w:pPr>
      <w:r>
        <w:rPr>
          <w:rFonts w:hint="eastAsia" w:ascii="宋体" w:hAnsi="宋体" w:eastAsia="宋体" w:cs="宋体"/>
          <w:sz w:val="18"/>
          <w:szCs w:val="18"/>
        </w:rPr>
        <w:t>[7]程恩富·生产性管理活动都是创造价值的生产劳动[J]·社会科学，1995，(7)·</w:t>
      </w:r>
    </w:p>
    <w:p w14:paraId="043703A2">
      <w:pPr>
        <w:spacing w:line="336" w:lineRule="auto"/>
        <w:ind w:firstLine="380" w:firstLineChars="200"/>
        <w:rPr>
          <w:rFonts w:ascii="宋体" w:hAnsi="宋体" w:eastAsia="宋体" w:cs="宋体"/>
          <w:sz w:val="18"/>
          <w:szCs w:val="18"/>
        </w:rPr>
      </w:pPr>
      <w:r>
        <w:rPr>
          <w:rFonts w:hint="eastAsia" w:ascii="宋体" w:hAnsi="宋体" w:eastAsia="宋体" w:cs="宋体"/>
          <w:sz w:val="18"/>
          <w:szCs w:val="18"/>
        </w:rPr>
        <w:t>[8]程恩富，樊建新，周肇光·劳动·价值·分配[M]·安徽：安徽大学出版社，2003·</w:t>
      </w:r>
    </w:p>
    <w:p w14:paraId="7796B9A7">
      <w:pPr>
        <w:spacing w:line="336" w:lineRule="auto"/>
        <w:ind w:firstLine="380" w:firstLineChars="200"/>
        <w:rPr>
          <w:rFonts w:ascii="宋体" w:hAnsi="宋体" w:eastAsia="宋体" w:cs="宋体"/>
          <w:sz w:val="18"/>
          <w:szCs w:val="18"/>
        </w:rPr>
      </w:pPr>
      <w:r>
        <w:rPr>
          <w:rFonts w:hint="eastAsia" w:ascii="宋体" w:hAnsi="宋体" w:eastAsia="宋体" w:cs="宋体"/>
          <w:sz w:val="18"/>
          <w:szCs w:val="18"/>
        </w:rPr>
        <w:t>[9]毛增余·与中国著名经济学家对话(第五辑)[M]·北京：中国经济出版社，2003·</w:t>
      </w:r>
    </w:p>
    <w:p w14:paraId="2EB1137D">
      <w:pPr>
        <w:snapToGrid w:val="0"/>
        <w:spacing w:line="336" w:lineRule="auto"/>
        <w:ind w:firstLine="440" w:firstLineChars="200"/>
        <w:jc w:val="left"/>
        <w:rPr>
          <w:rFonts w:ascii="宋体" w:hAnsi="宋体" w:eastAsia="宋体" w:cs="Times New Roman"/>
        </w:rPr>
      </w:pPr>
    </w:p>
    <w:p w14:paraId="26926F19">
      <w:pPr>
        <w:spacing w:line="336" w:lineRule="auto"/>
        <w:ind w:firstLine="440" w:firstLineChars="200"/>
        <w:rPr>
          <w:rFonts w:ascii="宋体" w:hAnsi="宋体" w:eastAsia="宋体" w:cs="Times New Roman"/>
        </w:rPr>
      </w:pPr>
      <w:r>
        <w:rPr>
          <w:rFonts w:ascii="宋体" w:hAnsi="宋体" w:eastAsia="宋体" w:cs="Times New Roman"/>
        </w:rPr>
        <w:t>（原载于《上海财经大学学报》，2004年10月）</w:t>
      </w:r>
      <w:r>
        <w:rPr>
          <w:rFonts w:ascii="宋体" w:hAnsi="宋体" w:eastAsia="宋体" w:cs="Times New Roman"/>
        </w:rPr>
        <w:br w:type="page"/>
      </w:r>
    </w:p>
    <w:p w14:paraId="6F02CFCC">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415" w:name="_Toc30367"/>
      <w:bookmarkStart w:id="416" w:name="_Toc3440"/>
      <w:bookmarkStart w:id="417" w:name="_Toc110957415"/>
      <w:bookmarkStart w:id="418" w:name="_Toc440699828"/>
      <w:bookmarkStart w:id="419" w:name="_Toc1004921337"/>
      <w:bookmarkStart w:id="420" w:name="_Toc23117"/>
      <w:bookmarkStart w:id="421" w:name="_Toc93074563"/>
      <w:bookmarkStart w:id="422" w:name="_Toc257922003"/>
      <w:r>
        <w:rPr>
          <w:rFonts w:ascii="黑体" w:hAnsi="黑体" w:eastAsia="黑体" w:cs="Times New Roman"/>
          <w:color w:val="000000"/>
          <w:kern w:val="0"/>
          <w:sz w:val="32"/>
          <w:szCs w:val="32"/>
          <w:lang w:bidi="ar"/>
        </w:rPr>
        <w:t>比较优势、竞争优势与知识产权优势理论新探</w:t>
      </w:r>
      <w:bookmarkEnd w:id="415"/>
      <w:bookmarkStart w:id="423" w:name="_Toc30813"/>
      <w:r>
        <w:rPr>
          <w:rFonts w:ascii="黑体" w:hAnsi="黑体" w:eastAsia="黑体" w:cs="Times New Roman"/>
          <w:color w:val="000000"/>
          <w:kern w:val="0"/>
          <w:sz w:val="32"/>
          <w:szCs w:val="32"/>
          <w:lang w:bidi="ar"/>
        </w:rPr>
        <w:t>——海派经济学的一个基本原理</w:t>
      </w:r>
      <w:bookmarkEnd w:id="416"/>
      <w:bookmarkEnd w:id="417"/>
      <w:bookmarkEnd w:id="418"/>
      <w:bookmarkEnd w:id="419"/>
      <w:bookmarkEnd w:id="423"/>
    </w:p>
    <w:p w14:paraId="5EACF198">
      <w:pPr>
        <w:autoSpaceDE w:val="0"/>
        <w:autoSpaceDN w:val="0"/>
        <w:adjustRightInd w:val="0"/>
        <w:spacing w:line="300" w:lineRule="auto"/>
        <w:ind w:firstLine="440" w:firstLineChars="200"/>
        <w:jc w:val="left"/>
        <w:rPr>
          <w:rFonts w:ascii="宋体" w:hAnsi="宋体" w:eastAsia="宋体" w:cs="Times New Roman"/>
          <w:kern w:val="0"/>
          <w:szCs w:val="21"/>
        </w:rPr>
      </w:pPr>
      <w:r>
        <w:rPr>
          <w:rFonts w:ascii="宋体" w:hAnsi="宋体" w:eastAsia="宋体" w:cs="Times New Roman"/>
          <w:kern w:val="0"/>
          <w:szCs w:val="21"/>
        </w:rPr>
        <w:t>摘要：许多学者在为我国参与国际竞争时应依据比较优势还是竞争优势理论而争论不已，但事实上此两种理论均存在一些缺陷。文章在分析比较优势和竞争优势理论在我国的应用和发展的基础上结合知识经济的时代特点和我国的现实国情，分析了其局限性及在我国的不适应性提出应综合这两种理论，培育和发展知识产权优势的理论和战略。</w:t>
      </w:r>
    </w:p>
    <w:p w14:paraId="15A99BFD">
      <w:pPr>
        <w:autoSpaceDE w:val="0"/>
        <w:autoSpaceDN w:val="0"/>
        <w:adjustRightInd w:val="0"/>
        <w:spacing w:line="300" w:lineRule="auto"/>
        <w:ind w:firstLine="440" w:firstLineChars="200"/>
        <w:jc w:val="left"/>
        <w:rPr>
          <w:rFonts w:ascii="宋体" w:hAnsi="宋体" w:eastAsia="宋体" w:cs="Times New Roman"/>
          <w:kern w:val="0"/>
          <w:szCs w:val="21"/>
        </w:rPr>
      </w:pPr>
      <w:r>
        <w:rPr>
          <w:rFonts w:ascii="宋体" w:hAnsi="宋体" w:eastAsia="宋体" w:cs="Times New Roman"/>
          <w:kern w:val="0"/>
          <w:szCs w:val="21"/>
        </w:rPr>
        <w:t>关键词：比较优势；竞争优势；知识产权优势；海派经济学</w:t>
      </w:r>
    </w:p>
    <w:p w14:paraId="535B20E9">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国际分工和国际竞争要以比较优势为基础，这是古典经济学的传统观点。到了20世纪90年代出现了竞争优势理论，然而随着时代的发展，比较优势和竞争优势的局限性越来越明显，应发展更符合实际要求的理论来解释并引导国际竞争和国家经济发展。知识产权优势是指培育和发挥拥有以自主核心技术和自主名牌为主要内容的自主知识产权的经济优势，是相对于比较优势、竞争优势而言的第三种优势。本文并不是简单地否定比较优势理论和竞争优势理论，而是认为知识产权优势理论是与前两者有联系的一种新发展。</w:t>
      </w:r>
    </w:p>
    <w:p w14:paraId="4B6938CB">
      <w:pPr>
        <w:widowControl/>
        <w:spacing w:before="156" w:beforeLines="50" w:after="156" w:afterLines="50" w:line="300" w:lineRule="auto"/>
        <w:ind w:firstLine="500" w:firstLineChars="200"/>
        <w:jc w:val="center"/>
        <w:rPr>
          <w:rFonts w:ascii="宋体" w:hAnsi="宋体" w:eastAsia="宋体" w:cs="宋体"/>
          <w:b/>
          <w:sz w:val="24"/>
        </w:rPr>
      </w:pPr>
      <w:r>
        <w:rPr>
          <w:rFonts w:hint="eastAsia" w:ascii="宋体" w:hAnsi="宋体" w:eastAsia="宋体" w:cs="宋体"/>
          <w:b/>
          <w:sz w:val="24"/>
        </w:rPr>
        <w:t>一、比较优势理论在我国的发展及其局限性</w:t>
      </w:r>
    </w:p>
    <w:p w14:paraId="2DA755B2">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长期以来，指导我国参与国际分工和交换的是比较优势理论，即劳动生产率及各国资源禀赋的不同能影响世界贸易的方向和贸易利得，通过国际分工可以使贸易双方(甚至是具有绝对劣势的一方)都获得更大的福利。直至现在，许多学者和实务工作者依然强调要发挥我国的资源比较优势。事实上，我们应该看到比较优势是有很大的局限性和对于我国的不适应性的。</w:t>
      </w:r>
    </w:p>
    <w:p w14:paraId="0EFC2E1E">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随着国际贸易的发展，比较优势理论越来越不能充分合理地解释新的现象。具体表现在以下几点：(1)比较利益理论的一些前提条件在当今世界已经不存在。无论是以劳动生产率差异为基础的比较成本说，还是以生产要素供给为基础的资源禀赋说，其比较利益的前提是各国的供给条件、生产条件不可改变，资源、生产要素不能在国际间流动。在这种假设条件下，具有比较优势的资源及其产品才可能具有垄断优势。但当今生产要素和资源可以在国际间加快流动，自然资源可以被改良和再造，也可以被新材料所替代，劳动力的技能和素质的提高，又可克服劳动力数量不足的矛盾。(2)比较利益理论所讲的比较成本是对本国的产品进行比较而言的，不意味着本国比较成本低的产品在国际竞争中就一定具有竞争优势。(3)比较利益理论只注意了经济因素而忽略了非经济因素，忽视了经济安全。(4)比较优势仅仅注重了静态的比较利益，而忽略了动态发展优势。(5)比较优势理论片面地强调了资金的重要性，认为只要积累了足够的资金，就能自动地内生出一个发展高科技产业的机制，而忽略了信息、知识、人力资本的培养，实际上这些因素对于IT技术创新更为重要。(6)比较优势论证了在自由贸易条件下如果充分发挥市场价格机制的作用，就已实现稀缺资源在国际范围内的最优配置。这一概念强调了“看不见的手”的作用。只要市场机制起作用，只要存在资源的稀缺性，比较优势就会客观地发生作用，国家的发展战略也要顺应比较优势原理的要求。但是，它忽视了“看得见的手”——企业作为竞争主体的作用。事实上，现代企业可以通过有意识的战略选择来配置稀缺资源，进行人为比较优势的创造。再结合我国情况来分析，作为发展中国家的大国，其所拥有的资源比较优势不外乎是大量廉价的劳动力和绝对量不小、但人均占有量较低的自然资源。中国选择与资源禀赋决定的比较优势相符合的产业和技术结构，不外乎是大力发展劳动密集的技术含量低的产业，这样中国将陷入“比较优势陷阱”，因为劳动密集型产品的市场需求缺乏弹性，其未来市场的容量小，市场扩张难度大，</w:t>
      </w:r>
    </w:p>
    <w:p w14:paraId="4CCBE8DC">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贸易摩擦会加剧，导致贸易条件恶化。在科技创新突飞猛进的情况下，劳动密集型产品的比较优势最终会失去竞争优势，而且大力发展劳动密集型产业还会导致进口漏出和储蓄漏出。前者指发展中国家需要以一部分收入从国外进口技术密集型产品用于消费，后者指因国内缺乏投资品工业，国内的储蓄还要漏到国外去购买投资品。这样的产业结构安排和贸易格局很难起到带动本国经济发展的效应，这使得劳动密集型产业不能成为带动产业升级的领头产业(杨叔进，1983)。</w:t>
      </w:r>
    </w:p>
    <w:p w14:paraId="7405F06E">
      <w:pPr>
        <w:widowControl/>
        <w:spacing w:line="300" w:lineRule="auto"/>
        <w:ind w:firstLine="440" w:firstLineChars="200"/>
        <w:rPr>
          <w:rFonts w:ascii="宋体" w:hAnsi="宋体" w:eastAsia="宋体" w:cs="宋体"/>
          <w:b/>
          <w:bCs/>
          <w:szCs w:val="21"/>
        </w:rPr>
      </w:pPr>
      <w:r>
        <w:rPr>
          <w:rFonts w:hint="eastAsia" w:ascii="宋体" w:hAnsi="宋体" w:eastAsia="宋体" w:cs="宋体"/>
          <w:b/>
          <w:bCs/>
          <w:szCs w:val="21"/>
        </w:rPr>
        <w:t>（一）缺乏技术优势和竞争优势的资源禀赋比较优势难以为继</w:t>
      </w:r>
    </w:p>
    <w:p w14:paraId="4912C8ED">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按照比较优势理论，中国拥有几乎取之不尽的廉价劳动力，这对于中国而言，发展劳动密集型产业在国际贸易中具有强大的竞争优势。然而，一旦考虑到生产率的差异，偏重劳动密集型产品的中国在出口方面的低工资优势就不太明显，甚至较之某些国家还处于劣势。以1998年的数据为例，美国的平均工资是中国的47.8倍，但考虑到生产因素，创造同样多的制造业增加值，美国的劳动力成本只是中国的1.3倍；日本的这两个数字是29.9和1.2；菲律宾和玻利维亚的工资约4倍于中国，而单位劳动力成本比中国低30-40%。因此，考虑到技术因素，我们发展劳动密集型产业根本无优势可言，更不用说依赖劳动密集型产业带动产业结构的升级换代，实现与发达国家的收敛</w:t>
      </w:r>
      <w:r>
        <w:rPr>
          <w:rFonts w:ascii="宋体" w:hAnsi="宋体" w:eastAsia="宋体" w:cs="宋体"/>
          <w:szCs w:val="21"/>
          <w:vertAlign w:val="superscript"/>
        </w:rPr>
        <w:footnoteReference w:id="172"/>
      </w:r>
      <w:r>
        <w:rPr>
          <w:rFonts w:hint="eastAsia" w:ascii="宋体" w:hAnsi="宋体" w:eastAsia="宋体" w:cs="宋体"/>
          <w:szCs w:val="21"/>
        </w:rPr>
        <w:t>。在现实的贸易中，一国潜在的比较优势能否实现，贸易利润能否获得，取决于一国具有比较优势的产品是否具备竞争优势。如果不具备竞争优势，产品将被排除在国际交换之外，比较利益就无法实现。而比较优势是相对于本国的资源和另一国的情况，在世界范围内就不一定具有价格竞争力了，加上受到国际金融体制的影响及其他非价格因素如产品质量、性能、款式、包装、运输费用、品牌偏好、文化内涵、售后服务、差异化等的影响，使得产品在国际市场上的竞争力由价格竞争力和非价格竞争力共同决定。如果发展中国家在非价格方面的竞争力太弱，它们即使具有低价格的比较优势，也会丧失竞争优势。</w:t>
      </w:r>
    </w:p>
    <w:p w14:paraId="03DC047E">
      <w:pPr>
        <w:widowControl/>
        <w:spacing w:line="300" w:lineRule="auto"/>
        <w:ind w:firstLine="440" w:firstLineChars="200"/>
        <w:rPr>
          <w:rFonts w:ascii="宋体" w:hAnsi="宋体" w:eastAsia="宋体" w:cs="宋体"/>
          <w:b/>
          <w:bCs/>
          <w:szCs w:val="21"/>
        </w:rPr>
      </w:pPr>
      <w:r>
        <w:rPr>
          <w:rFonts w:hint="eastAsia" w:ascii="宋体" w:hAnsi="宋体" w:eastAsia="宋体" w:cs="宋体"/>
          <w:b/>
          <w:bCs/>
          <w:szCs w:val="21"/>
        </w:rPr>
        <w:t>(二)按照比较优势选择产业结构会带来一些严重的后果</w:t>
      </w:r>
    </w:p>
    <w:p w14:paraId="156963C6">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可以看出，除了上面所分析的比较优势理论的局限性之外，如果单纯按照比较优势指导我国的贸易和经济发展战略，可能具有比较优势的劳动密集型产业也不一定就能在世界上具有竞争优势。如果一味坚持按照由比较优势选择产业和技术结构，大力发展劳动密集型产业，出口劳动密集产业，会带来一系列后果。</w:t>
      </w:r>
    </w:p>
    <w:p w14:paraId="620AD77F">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一是贸易条件的恶化。按照比较优势发展我国的劳动密集型产业可能会带来贸易条件的恶化，这可以从供给和需求两个角度来分析。从供给方面看，发展中国家根据现有的比较优势参与国际分工，进行的生产主要在于初级产品和劳动密集型的工业制成品方面，随着越来越多的发展中国家加入到全球化过程中来，劳动密集型产品的供给也越来越多，形成所谓的“合成谬误”，从而使得这类产品在国际上竞争激烈，贸易条件不断恶化。从需求方面看，更是发展中国家贸易条件恶化的重要原因，因为各国经济的发展和人均收入的提高，国际市场上劳动密集型产品的国际需求日益减少。再深入到从需求结构分析，传统的劳动和资源密集型产品日趋饱和，国际消费需求结构以及相应的投资需求结构已向更高层次转换。我国出口的劳动密集型产品加工程度低、技术含量少、产品质量不高，这种中低档次劳动密集型产品出口面对的只能是日益缩小的国际市场和日益下降的价格水平，形成与发达国家高新技术产品交换的贸易条件越来越恶化。这方面普雷维什(Prebisch，1950)和辛格(Singer，1950)在上个世纪50年代针对初级产品，沙克和辛格(SarkerandSinger，1991)在90年代对劳动密集型制成品都作过理论和实证分析。</w:t>
      </w:r>
    </w:p>
    <w:p w14:paraId="63B22307">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考虑贸易条件的恶化，许多有比较优势和竞争优势的产业其实并不一定适合中国参与。就拿大多数人都看好的纺织工业来说吧，由于全球市场的扩张非常有限，而且知识与技术含量较高的设计与面料后续加工又不是中国的强项，因此，尽管该产业是个典型的劳动密集型产业，但不大可能成为中国参与国际分工的最佳选择。诸如此类的例子还很多。</w:t>
      </w:r>
    </w:p>
    <w:p w14:paraId="12A3C226">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二是劳动密集型产品的需求弹性小、附加值低，易出现出口的“贫困化增长”，同时，我国劳动密集型产品的出口市场过于集中，生产地区分布也不均衡，使我国产品极易遭受国际经济波动的影响和冲击。正如发展经济学家托达罗(1991)所说：赋有充裕的非技术劳动供给的第三世界国家，由于专门生产密集使用非技术劳动且世界需求前景和贸易条件十分不佳的产品，从而陷入一种使其在非技术、非生产性活动上的“比较利益”永久存在的停滞的环境中，这将会抑制该国资本、企业精神和技术技能在国内的增长。</w:t>
      </w:r>
    </w:p>
    <w:p w14:paraId="67C0543F">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三是发达国家对发展中国家歧视性的贸易政策，使我国的劳动密集型产品受到了诸多的贸易壁垒的阻碍，在国际市场上发展的空间越来越有限。它使我国的以劳动密集型产品为主的出口贸易在国际分工中处于从属和被动的不利地位，极易落入“比较优势陷阱”。在目前社会人类社会空间中，落后国家拥有竞争优势的劳动密集型产品只占很小的一部分。当众多资源禀赋相似的落后国家都来瓜分这些产品上的竞争优势时，每个国家所能占有的产品种类就更少了。况且，我国又是发展中大国，不可能像小国一样，仅靠有限的几种劳动密集型产品就能实现持续的快速发展。假如中国不顾自己是大国这一事实，去从事专业化生产，那么，世界绝不可能为中国提供如此巨大的市场。与此同时，国内各个地区客观存在的、具有较大差别的资源禀赋优势，也将无法得到充分的发挥。</w:t>
      </w:r>
    </w:p>
    <w:p w14:paraId="4DDCA6D7">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由上述分析可见，仅靠比较优势是难以实现我国经济发展的重任的。不过，比较优势理论就过时、没有价值了呢？答案是否定的。有丰富的天然资源和较低的劳动成本，是经济发展的有利条件。许多发达国家的发展最初就是由资源禀赋的产业带动的。只是如果仅仅满足于这些因素，往往就会陷入“比较优势陷阱”。针对传统比较优势的局限性，一些学者指出，以竞争优势为基础，提高我国竞争力。更多的学者认为，比较优势与竞争优势不是非此即彼的关系，二者有一定的相容性。重要的是应寻求由潜在比较优势向竞争优势转化的途径。其实，我们深入分析就会发现，这种途径就是创新和技术。如果发展中国家注重技术进步，则可以防止贸易条件的恶化，促进经济发展。尹翔硕、许建斌(2002)通过模型证明发展中国家如果专业化生产和出口低技术产品，其贸易条件长期来看会恶化。这种恶化会导致它们原来的比较优势降低，从而使它们有可能实施进口替代，转而使国内生产一部分高技术产品。但是如果仅仅有这样一个市场过程，并不能使发展中国家的贸易条件改善，从而也不会使发展中国家的福利水平提高，与发达国家的差距缩小。但是，如果发展中国家以此为契机，通过政府教育和技术政策，一方面发展教育，提高人力资本，另一方面推动科研，提高技术水平，最终会缩小与发达国家的差距</w:t>
      </w:r>
      <w:r>
        <w:rPr>
          <w:rFonts w:ascii="宋体" w:hAnsi="宋体" w:eastAsia="宋体" w:cs="宋体"/>
          <w:szCs w:val="21"/>
          <w:vertAlign w:val="superscript"/>
        </w:rPr>
        <w:footnoteReference w:id="173"/>
      </w:r>
      <w:r>
        <w:rPr>
          <w:rFonts w:hint="eastAsia" w:ascii="宋体" w:hAnsi="宋体" w:eastAsia="宋体" w:cs="宋体"/>
          <w:szCs w:val="21"/>
        </w:rPr>
        <w:t>。而且，发展中国家不一定要等到贸易条件恶化后才实施教育和科技政策，推动高技术产业的发展。如果发展中国家从一开始就推动技术进步，那么在贸易条件恶化前就可能影响世界产品价格，防止贸易条件的恶化和差距的拉大。</w:t>
      </w:r>
    </w:p>
    <w:p w14:paraId="7B2233B0">
      <w:pPr>
        <w:widowControl/>
        <w:spacing w:before="156" w:beforeLines="50" w:after="156" w:afterLines="50" w:line="300" w:lineRule="auto"/>
        <w:ind w:firstLine="500" w:firstLineChars="200"/>
        <w:jc w:val="center"/>
        <w:rPr>
          <w:rFonts w:ascii="宋体" w:hAnsi="宋体" w:eastAsia="宋体" w:cs="宋体"/>
          <w:b/>
          <w:sz w:val="24"/>
        </w:rPr>
      </w:pPr>
      <w:r>
        <w:rPr>
          <w:rFonts w:hint="eastAsia" w:ascii="宋体" w:hAnsi="宋体" w:eastAsia="宋体" w:cs="宋体"/>
          <w:b/>
          <w:sz w:val="24"/>
        </w:rPr>
        <w:t>二、竞争优势理论在我国的发展及其缺陷</w:t>
      </w:r>
    </w:p>
    <w:p w14:paraId="1A1442D5">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20世纪80年代以来，波特相继发表了他的著名的三部曲：《竞争战略》(1980年)、《竞争优势》(1985年)和《国家竞争优势》(1990年)，提出并完善了竞争优势理论。波特认为，一个国家之所以能够兴旺发达，其根本原因在于这个国家在国际市场上具有竞争优势，这种竞争优势源于这个国家的主导产业具有竞争优势，而主导产业的竞争优势又源于企业由于具有创新机制而提高了生产效率。波特所指的一个国家的竞争优势也就是企业、行业的竞争优势，具体包括六个方面的因素：生产要素、国内需求、相关支撑产业、企业的战略结构和竞争、政府的作用、机会(包括重要发明、技术突破、生产要素与供求状况的重大变动以及其他突发事件等)。</w:t>
      </w:r>
    </w:p>
    <w:p w14:paraId="0DB7FA4A">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我国学者20世纪90年代初引进介绍波特的国家竞争优势理论</w:t>
      </w:r>
      <w:r>
        <w:rPr>
          <w:rFonts w:ascii="宋体" w:hAnsi="宋体" w:eastAsia="宋体" w:cs="宋体"/>
          <w:szCs w:val="21"/>
          <w:vertAlign w:val="superscript"/>
        </w:rPr>
        <w:footnoteReference w:id="174"/>
      </w:r>
      <w:r>
        <w:rPr>
          <w:rFonts w:hint="eastAsia" w:ascii="宋体" w:hAnsi="宋体" w:eastAsia="宋体" w:cs="宋体"/>
          <w:szCs w:val="21"/>
        </w:rPr>
        <w:t>，至90年代中后期兴起了研究竞争优势的高潮。一些学者将比较优势与竞争优势理论并列，认为比较优势已经过时，应当强调竞争优势，而越来越多的学者认识到不能割裂二者的联系，应当寻求从比较优势到竞争优势的途径，但归根结底还是推崇竞争优势</w:t>
      </w:r>
      <w:r>
        <w:rPr>
          <w:rFonts w:ascii="宋体" w:hAnsi="宋体" w:eastAsia="宋体" w:cs="宋体"/>
          <w:szCs w:val="21"/>
          <w:vertAlign w:val="superscript"/>
        </w:rPr>
        <w:footnoteReference w:id="175"/>
      </w:r>
      <w:r>
        <w:rPr>
          <w:rFonts w:hint="eastAsia" w:ascii="宋体" w:hAnsi="宋体" w:eastAsia="宋体" w:cs="宋体"/>
          <w:szCs w:val="21"/>
        </w:rPr>
        <w:t>。而竞争优势理论的缺陷却很少提及或一笔带过。事实上，波特理论也有其局限性和对中国的不适应性。</w:t>
      </w:r>
    </w:p>
    <w:p w14:paraId="3F891556">
      <w:pPr>
        <w:widowControl/>
        <w:spacing w:line="300" w:lineRule="auto"/>
        <w:ind w:firstLine="440" w:firstLineChars="200"/>
        <w:rPr>
          <w:rFonts w:ascii="宋体" w:hAnsi="宋体" w:eastAsia="宋体" w:cs="宋体"/>
          <w:szCs w:val="21"/>
        </w:rPr>
      </w:pPr>
      <w:r>
        <w:rPr>
          <w:rFonts w:hint="eastAsia" w:ascii="宋体" w:hAnsi="宋体" w:eastAsia="宋体" w:cs="宋体"/>
          <w:b/>
          <w:bCs/>
          <w:szCs w:val="21"/>
        </w:rPr>
        <w:t>(一)竞争优势的许多结论不适合解释发展中国家的情况</w:t>
      </w:r>
      <w:r>
        <w:rPr>
          <w:rFonts w:hint="eastAsia" w:ascii="宋体" w:hAnsi="宋体" w:eastAsia="宋体" w:cs="宋体"/>
          <w:szCs w:val="21"/>
        </w:rPr>
        <w:t>，钻石模型主要是根据发达国家尤其是美、日的成长过程所总结出来的，波特认为市场需求越苛刻、越高级，产业的竞争力就越高，但在大多数发展中国家，目前许多产业的发展还处于起步或成长阶段，并没有能力来满足苛刻、高级的市场需求。如果发展中国家将苛刻的、高级的市场需求用法律的形式确定下来(如通过严格的环境保护法律或产品质量法律)，则在国际竞争中，发展中国家的相关产业的企业将难以和发达国家的企业竞争，并最终使其丧失国际竞争力。</w:t>
      </w:r>
    </w:p>
    <w:p w14:paraId="005E834C">
      <w:pPr>
        <w:widowControl/>
        <w:spacing w:line="300" w:lineRule="auto"/>
        <w:ind w:firstLine="440" w:firstLineChars="200"/>
        <w:rPr>
          <w:rFonts w:ascii="宋体" w:hAnsi="宋体" w:eastAsia="宋体" w:cs="宋体"/>
          <w:szCs w:val="21"/>
        </w:rPr>
      </w:pPr>
      <w:r>
        <w:rPr>
          <w:rFonts w:hint="eastAsia" w:ascii="宋体" w:hAnsi="宋体" w:eastAsia="宋体" w:cs="宋体"/>
          <w:b/>
          <w:bCs/>
          <w:szCs w:val="21"/>
        </w:rPr>
        <w:t>(二)竞争优势理论的隐含前提假设在于：资本是充裕的，企业可以轻易获得先进的技术和管理经验。</w:t>
      </w:r>
      <w:r>
        <w:rPr>
          <w:rFonts w:hint="eastAsia" w:ascii="宋体" w:hAnsi="宋体" w:eastAsia="宋体" w:cs="宋体"/>
          <w:szCs w:val="21"/>
        </w:rPr>
        <w:t>这与现实条件并不完全符合。国际范围内的资本流动仍然受到诸多限制，一些穷国自身的积累能力也有限；尤其对一些发展中国家来说，技术落后和管理经验不足的情况更严重。因此，在扶持自己的幼稚产业时，一定程度的垄断和贸易保护是必需的，自由竞争只会造成打击民族工业的后果。在对日本的经验进行分析时，大多数经济学家都把日本通产省实行的产业扶持政策作为日本经济成功的一个重要原因，而竞争优势理论对这点的忽视显然构成了它的一个根本缺陷。</w:t>
      </w:r>
    </w:p>
    <w:p w14:paraId="78C26426">
      <w:pPr>
        <w:widowControl/>
        <w:spacing w:line="300" w:lineRule="auto"/>
        <w:ind w:firstLine="440" w:firstLineChars="200"/>
        <w:rPr>
          <w:rFonts w:ascii="宋体" w:hAnsi="宋体" w:eastAsia="宋体" w:cs="宋体"/>
          <w:szCs w:val="21"/>
        </w:rPr>
      </w:pPr>
      <w:r>
        <w:rPr>
          <w:rFonts w:hint="eastAsia" w:ascii="宋体" w:hAnsi="宋体" w:eastAsia="宋体" w:cs="宋体"/>
          <w:b/>
          <w:bCs/>
          <w:szCs w:val="21"/>
        </w:rPr>
        <w:t>(三)钻石体系包括的特质有好几项，而简化的答案往往会把问题内部一些最重要的部分掩盖掉。</w:t>
      </w:r>
      <w:r>
        <w:rPr>
          <w:rFonts w:hint="eastAsia" w:ascii="宋体" w:hAnsi="宋体" w:eastAsia="宋体" w:cs="宋体"/>
          <w:szCs w:val="21"/>
        </w:rPr>
        <w:t>这反映了战后影响国际竞争和国家经济发展的因素的复杂性，一国经济发展是受多个方面影响，甚至不同的国家影响因素也不相同。但是考虑的因素过多又使其步入另一个极端：如果把所有凡是有影响的因素都考虑进去，却往往也会掩盖了真正的关键因子。科学研究就是要从复杂的现象中抽象出其中的规律或决定性因素，而不能凡是影响的因子都一一列出。</w:t>
      </w:r>
    </w:p>
    <w:p w14:paraId="0CCC7496">
      <w:pPr>
        <w:widowControl/>
        <w:spacing w:line="300" w:lineRule="auto"/>
        <w:ind w:firstLine="440" w:firstLineChars="200"/>
        <w:rPr>
          <w:rFonts w:ascii="宋体" w:hAnsi="宋体" w:eastAsia="宋体" w:cs="宋体"/>
          <w:szCs w:val="21"/>
        </w:rPr>
      </w:pPr>
      <w:r>
        <w:rPr>
          <w:rFonts w:hint="eastAsia" w:ascii="宋体" w:hAnsi="宋体" w:eastAsia="宋体" w:cs="宋体"/>
          <w:b/>
          <w:bCs/>
          <w:szCs w:val="21"/>
        </w:rPr>
        <w:t>(四)波特的分析没有考虑跨国公司的作用，而明显的例证表明，跨国公司在国际贸易和国际分工中的作用不可忽视。</w:t>
      </w:r>
      <w:r>
        <w:rPr>
          <w:rFonts w:hint="eastAsia" w:ascii="宋体" w:hAnsi="宋体" w:eastAsia="宋体" w:cs="宋体"/>
          <w:szCs w:val="21"/>
        </w:rPr>
        <w:t>同时也使得产业竞争优势有时不完全取决于国内因素。</w:t>
      </w:r>
    </w:p>
    <w:p w14:paraId="15B0BE86">
      <w:pPr>
        <w:widowControl/>
        <w:spacing w:line="300" w:lineRule="auto"/>
        <w:ind w:firstLine="440" w:firstLineChars="200"/>
        <w:rPr>
          <w:rFonts w:ascii="宋体" w:hAnsi="宋体" w:eastAsia="宋体" w:cs="宋体"/>
          <w:szCs w:val="21"/>
        </w:rPr>
      </w:pPr>
      <w:r>
        <w:rPr>
          <w:rFonts w:hint="eastAsia" w:ascii="宋体" w:hAnsi="宋体" w:eastAsia="宋体" w:cs="宋体"/>
          <w:b/>
          <w:bCs/>
          <w:szCs w:val="21"/>
        </w:rPr>
        <w:t>(五)波特模型的逻辑是国家的竞争力取决于企业和产业的竞争力，因而他的分析从企业的竞争战略出发。</w:t>
      </w:r>
      <w:r>
        <w:rPr>
          <w:rFonts w:hint="eastAsia" w:ascii="宋体" w:hAnsi="宋体" w:eastAsia="宋体" w:cs="宋体"/>
          <w:szCs w:val="21"/>
        </w:rPr>
        <w:t>但是他又几乎完全将企业竞争优势归因于企业外部的市场力量，并假设这一力量与企业进行市场定位，构筑进入和退出市场壁垒的能力相一致。企业所处的外部环境的确很重要，但过分强调国内市场、相关产业、同业竞争、机会和政府等外部因素而忽视企业自身的因素也是难以有说服力的。</w:t>
      </w:r>
    </w:p>
    <w:p w14:paraId="49FADD72">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尤其是对于我国，竞争优势所含因素太多，而我国一时是很难具备全部要素的，如果没有重点地制定战略，发展的质量将会受到影响。波特自己也承认，国家的竞争优势倒也不需要齐备所有的关键要素，国家缺少两个关键要素也不会妨碍它寻求竞争优势，但他没能指出到底如何从仅拥有一两种要素(如自然资源)发展到拥有互动的整体竞争优势。而我们知道，要想持续发展，拥有持久的竞争力，必须拥有垄断性的资源，而自然资源如上分析是可以替代和跨国流动的，因而难以是垄断性的。只有无形的资源——知识，才是国家最大的的财富。拥有自主知识产权优势，是一个企业和国家能取得垄断利润的关键。</w:t>
      </w:r>
    </w:p>
    <w:p w14:paraId="20750837">
      <w:pPr>
        <w:widowControl/>
        <w:spacing w:before="156" w:beforeLines="50" w:after="156" w:afterLines="50" w:line="300" w:lineRule="auto"/>
        <w:ind w:firstLine="440" w:firstLineChars="200"/>
        <w:jc w:val="center"/>
        <w:rPr>
          <w:rFonts w:ascii="宋体" w:hAnsi="宋体" w:eastAsia="宋体" w:cs="宋体"/>
          <w:b/>
          <w:szCs w:val="21"/>
        </w:rPr>
      </w:pPr>
      <w:r>
        <w:rPr>
          <w:rFonts w:hint="eastAsia" w:ascii="宋体" w:hAnsi="宋体" w:eastAsia="宋体" w:cs="宋体"/>
          <w:b/>
          <w:szCs w:val="21"/>
        </w:rPr>
        <w:t>三、构建知识产权优势理论与战略</w:t>
      </w:r>
    </w:p>
    <w:p w14:paraId="463B0CF0">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比较优势理论的缺陷使得我们认识到，不仅不能指望单纯发展比较优势产业来推动国家经济的选择性赶超和高效益发展，而且满足于比较优势还可能造成贸易条件恶化，陷入比较优势陷阱；竞争优势综合因素太多，而且并不十分适合发展中国家的现实要求；进入新世纪，知识、名牌和核心技术越来越发挥着重大作用，对于企业参与世界竞争、提升综合国力、维护国家安全都有重要意义，因而重视和培育知识产权优势是提高后发国家核心竞争力的必然和迫切要求。有些论著认为，现在知识和技术已没有国界，落后国家可以模仿或买进先进技术。但是，对于企业乃至国家而言，最先进的技术和名牌往往是买不来。没有自主独立的科技创新体系和名牌开发体系，就只能受制于人。</w:t>
      </w:r>
    </w:p>
    <w:p w14:paraId="6ED78EC0">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当前，针对比较优势和竞争优势的理论和实践缺陷，我国应大力培育和发展“第三种优势”，即“知识产权优势”</w:t>
      </w:r>
      <w:r>
        <w:rPr>
          <w:rFonts w:ascii="宋体" w:hAnsi="宋体" w:eastAsia="宋体" w:cs="宋体"/>
          <w:szCs w:val="21"/>
          <w:vertAlign w:val="superscript"/>
        </w:rPr>
        <w:footnoteReference w:id="176"/>
      </w:r>
      <w:r>
        <w:rPr>
          <w:rFonts w:hint="eastAsia" w:ascii="宋体" w:hAnsi="宋体" w:eastAsia="宋体" w:cs="宋体"/>
          <w:szCs w:val="21"/>
        </w:rPr>
        <w:t>。所谓知识产权优势，是指通过逐步拥有以自主核心技术和自主名牌为主要内容的自主知识产权的经济优势，是相对于比较优势、竞争优势而言的第三种优势。</w:t>
      </w:r>
    </w:p>
    <w:p w14:paraId="49D03C0F">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知识产权优势不是同比较优势和竞争优势完全对立的，而是与它们既有区别又有联系的。知识产权优势不能脱离比较优势和竞争优势基础，是在既定的比较优势和竞争优势基础上的更核心层次的国家优势。它避免了笼统的竞争优势的理论缺陷，而突出了以核心技术和名牌为核心的经济优势或竞争优势。它不仅应体现在我国的高新技术产业部门及具有战略意义的产业部门，这些必须逐步掌握自主研究、自主开发、具有自主知识产权的核心技术和名牌，建立以自主知识产权为基础的技术标准体系，而且还应体现在我国传统的民族产业或低端产品部门，包括劳动密集型产业部门，也必须塑造在国际上具有一定影响力的民族名牌，拥有自主知识产权的中低级关键技术。</w:t>
      </w:r>
    </w:p>
    <w:p w14:paraId="311938CD">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比较优势是由一国资源禀赋和交易条件所决定的静态优势，是获取竞争优势的条件；竞争优势是一种将潜在优势转化为现实优势的综合能力的作用结果；比较优势作为一种潜在优势，只有最终转化为竞争优势，才能形成真正的出口竞争力。现在要实现我国出口产品的结构升级，就必须以国际经济综合竞争为导向，将现有的比较优势转化为竞争优势，而其中的关键就在于创造和培育我国的知识产权优势。</w:t>
      </w:r>
    </w:p>
    <w:p w14:paraId="05B341F0">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只有具有自主知识产权的优势，企业和产业的竞争优势才有可能形成并长期保持。或者说，知识产权优势是持久高端竞争优势的必要性条件。波特在钻石体系的第一项中特别强调高级人力资本和研发的重要性。具有较高物资资本水平国家的企业，必须雇佣具有高人力资本的人才，强调研发和新产品开发的重要性，这是这些企业利用本国的比较优势，在国际市场上取得竞争优势的必然要求和表现。</w:t>
      </w:r>
    </w:p>
    <w:p w14:paraId="791EDB28">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另外，相对于比较优势和竞争优势，知识产权优势更恰当地反映了时代特点和经济发展的要求。比较优势、竞争优势往往都是用进出口值或净出口值来衡量，但进出口值不一定能代表真正的国际竞争力，也不一定代表这一产业在国内的产业结构和产业升级中的地位及对GDP的贡献，因为它受到很多因素的影响，如国家的对外政策、经济波动等。同样，对GDP作出重大贡献的也不一定是出口量大的，国内需求也是不容忽视的重要方面。所以，比较优势、竞争优势的一些数据可能并没反映问题的实质。而新时期的知识产权的作用是具有决定性的，合适的技术发展路径才能缩短与发达国家的差距，促进经济有选择性的赶超或跨越。</w:t>
      </w:r>
    </w:p>
    <w:p w14:paraId="168746AE">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知识产权优势的培育，是一个综合而需要长期努力的过程。我国与发达国家相比，知识产权方面存在很大的优劣势差距，这就要求我们要认清趋势，加快发展，制定持久而全面的选择性赶超战略。这里要强调的是，知识产权优势并不等于高新技术，而是应针对不同的时期、不同行业和不同的研究机构，有不同的含义和重点。就短期战略而言，制造业要注意“干中学”，发展实用技术，企业为技术创新的主体，国家提高技术标准；就中期战略而言，要认清世界产业发展的趋势，促进生化、电子、信息等技术的研发，以多体系科研机构为主体，国家促进合作协调和加强知识产权保护；就长期战略而言，要加强基础研究，以国家和高校的研究机构为主体，加大资本和人力投资，提高国民素质，创立和发展国家科技创新体系。另外，各地各部门都要注重打造名牌，保护原有民族名牌，鼓励新名牌在国内外的拓展。</w:t>
      </w:r>
    </w:p>
    <w:p w14:paraId="4BFF93B0">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在我们海派经济学家看来，面对这个既充满机遇又充满挑战的新时代，我国要最大限度地获取贸易发展的动态利益，更好地通过对外贸易促进产业结构的良性调整，必须拥有自主知识产权的核心技术和打造自主知识产权的国际品牌，就必须以知识产权优势理论作为应对经济全球化和发展对外贸易的战略思想，并在结合比较优势与竞争优势的基础上，大力发展控股、控技(尤其是核心技术)和控牌(尤其是名牌)的“三控型”民族企业集团，突出培育和发挥知识产权优势，早日真正打造出中国的世界工厂而非世界加工厂，从而尽快完成从贸易大国向贸易强国和经济大国向经济强国的转型。那种只强调保护国内外知识产权，不强调创造自主知识产权的做法，那种主要寄希望于依赖不断引进外资、外技和外牌的策略，那种看不到跨国公司在华研发机构的正负双面效应而一味欢迎强国推行“殖民地科技”的开放式爬行主义思维，都是不高明的科技发展“线路图”和开放理念。</w:t>
      </w:r>
      <w:r>
        <w:rPr>
          <w:rFonts w:ascii="宋体" w:hAnsi="宋体" w:eastAsia="宋体" w:cs="宋体"/>
          <w:szCs w:val="21"/>
        </w:rPr>
        <w:cr/>
      </w:r>
    </w:p>
    <w:p w14:paraId="086596C5">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（原载于《求是学刊》2004年第6期，第二作者为廉淑）</w:t>
      </w:r>
    </w:p>
    <w:p w14:paraId="78C73F08">
      <w:pPr>
        <w:ind w:firstLine="440" w:firstLineChars="200"/>
        <w:rPr>
          <w:rFonts w:ascii="宋体" w:hAnsi="宋体" w:eastAsia="宋体" w:cs="Times New Roman"/>
          <w:kern w:val="0"/>
          <w:szCs w:val="21"/>
        </w:rPr>
      </w:pPr>
      <w:r>
        <w:rPr>
          <w:rFonts w:ascii="宋体" w:hAnsi="宋体" w:eastAsia="宋体" w:cs="Times New Roman"/>
          <w:kern w:val="0"/>
          <w:szCs w:val="21"/>
        </w:rPr>
        <w:br w:type="page"/>
      </w:r>
    </w:p>
    <w:p w14:paraId="385D9A85">
      <w:pPr>
        <w:ind w:firstLine="440" w:firstLineChars="200"/>
        <w:rPr>
          <w:rFonts w:ascii="宋体" w:hAnsi="宋体" w:eastAsia="宋体" w:cs="Times New Roman"/>
        </w:rPr>
      </w:pPr>
    </w:p>
    <w:p w14:paraId="525CF612">
      <w:pPr>
        <w:ind w:firstLine="440" w:firstLineChars="200"/>
        <w:rPr>
          <w:rFonts w:ascii="宋体" w:hAnsi="宋体" w:eastAsia="宋体" w:cs="Times New Roman"/>
        </w:rPr>
      </w:pPr>
    </w:p>
    <w:p w14:paraId="304E837C">
      <w:pPr>
        <w:ind w:firstLine="440" w:firstLineChars="200"/>
        <w:rPr>
          <w:rFonts w:ascii="宋体" w:hAnsi="宋体" w:eastAsia="宋体" w:cs="Times New Roman"/>
        </w:rPr>
      </w:pPr>
    </w:p>
    <w:p w14:paraId="1029B77B">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424" w:name="_Toc93074565"/>
      <w:bookmarkStart w:id="425" w:name="_Toc257922002"/>
      <w:bookmarkStart w:id="426" w:name="_Toc26681"/>
      <w:bookmarkStart w:id="427" w:name="_Toc20934"/>
      <w:bookmarkStart w:id="428" w:name="_Toc110957416"/>
      <w:bookmarkStart w:id="429" w:name="_Toc170910693"/>
      <w:bookmarkStart w:id="430" w:name="_Toc1901510951"/>
      <w:r>
        <w:rPr>
          <w:rFonts w:ascii="黑体" w:hAnsi="黑体" w:eastAsia="黑体" w:cs="Times New Roman"/>
          <w:color w:val="000000"/>
          <w:kern w:val="0"/>
          <w:sz w:val="32"/>
          <w:szCs w:val="32"/>
          <w:lang w:bidi="ar"/>
        </w:rPr>
        <w:t>中外哲学社会科学发展的历史脉络</w:t>
      </w:r>
      <w:bookmarkEnd w:id="424"/>
      <w:bookmarkEnd w:id="425"/>
      <w:bookmarkEnd w:id="426"/>
      <w:bookmarkEnd w:id="427"/>
      <w:bookmarkEnd w:id="428"/>
      <w:bookmarkEnd w:id="429"/>
      <w:bookmarkEnd w:id="430"/>
    </w:p>
    <w:p w14:paraId="4515CCCA">
      <w:pPr>
        <w:autoSpaceDE w:val="0"/>
        <w:autoSpaceDN w:val="0"/>
        <w:adjustRightInd w:val="0"/>
        <w:spacing w:before="156" w:beforeLines="50"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哲学社会科学是人们认识世界、改造世界的重要工具，是推动历史发展和社会进步的重要力量。哲学社会科学的研究能力和成果是综合国力的重要组成部分。建设中国特色社会主义离不开以马克思主义为指导的哲学社会科学的繁荣发展。从中外哲学社会科学发展的历史脉络，可以清晰地看到哲学社会科学的属性、特点和重要性。</w:t>
      </w:r>
    </w:p>
    <w:p w14:paraId="27AB6F8B">
      <w:pPr>
        <w:autoSpaceDE w:val="0"/>
        <w:autoSpaceDN w:val="0"/>
        <w:adjustRightInd w:val="0"/>
        <w:spacing w:before="156" w:beforeLines="50" w:after="156" w:afterLines="50" w:line="300" w:lineRule="auto"/>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一</w:t>
      </w:r>
    </w:p>
    <w:p w14:paraId="7A6D690D">
      <w:pPr>
        <w:autoSpaceDE w:val="0"/>
        <w:autoSpaceDN w:val="0"/>
        <w:adjustRightInd w:val="0"/>
        <w:spacing w:line="300" w:lineRule="auto"/>
        <w:ind w:firstLine="440" w:firstLineChars="200"/>
        <w:jc w:val="left"/>
        <w:rPr>
          <w:rFonts w:ascii="宋体" w:hAnsi="宋体" w:eastAsia="宋体" w:cs="宋体"/>
          <w:b/>
          <w:kern w:val="0"/>
          <w:szCs w:val="21"/>
        </w:rPr>
      </w:pPr>
      <w:r>
        <w:rPr>
          <w:rFonts w:hint="eastAsia" w:ascii="宋体" w:hAnsi="宋体" w:eastAsia="宋体" w:cs="宋体"/>
          <w:b/>
          <w:kern w:val="0"/>
          <w:szCs w:val="21"/>
        </w:rPr>
        <w:t>（一）西方哲学社会科学发展的主要阶段</w:t>
      </w:r>
    </w:p>
    <w:p w14:paraId="19FD3719">
      <w:pPr>
        <w:autoSpaceDE w:val="0"/>
        <w:autoSpaceDN w:val="0"/>
        <w:adjustRightInd w:val="0"/>
        <w:spacing w:line="300" w:lineRule="auto"/>
        <w:ind w:firstLine="440" w:firstLineChars="200"/>
        <w:jc w:val="left"/>
        <w:rPr>
          <w:rFonts w:ascii="宋体" w:hAnsi="宋体" w:eastAsia="宋体" w:cs="宋体"/>
          <w:b/>
          <w:kern w:val="0"/>
          <w:szCs w:val="21"/>
        </w:rPr>
      </w:pPr>
      <w:r>
        <w:rPr>
          <w:rFonts w:hint="eastAsia" w:ascii="宋体" w:hAnsi="宋体" w:eastAsia="宋体" w:cs="宋体"/>
          <w:kern w:val="0"/>
          <w:szCs w:val="21"/>
        </w:rPr>
        <w:t>西方哲学社会科学的发展大体经历了四个阶段：</w:t>
      </w:r>
    </w:p>
    <w:p w14:paraId="74E2BE5E">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第一阶段，古希腊、罗马时期。</w:t>
      </w:r>
      <w:r>
        <w:rPr>
          <w:rFonts w:hint="eastAsia" w:ascii="宋体" w:hAnsi="宋体" w:eastAsia="宋体" w:cs="宋体"/>
          <w:kern w:val="0"/>
          <w:szCs w:val="21"/>
        </w:rPr>
        <w:t>在这一时期形成了哲学、历史学、文学等学科的雏形，出现了许多重要的思想家，如苏格拉底、柏拉图、亚里士多德等。但在这个时期，人们对各门知识的认识基本上还是浑然一体的，没有把自然科学知识与哲学社会科学知识完全区分开来。在研究方法上，也多以直观、猜测、思辨为主。</w:t>
      </w:r>
    </w:p>
    <w:p w14:paraId="7D2668A4">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第二阶段，文艺复兴时期。</w:t>
      </w:r>
      <w:r>
        <w:rPr>
          <w:rFonts w:hint="eastAsia" w:ascii="宋体" w:hAnsi="宋体" w:eastAsia="宋体" w:cs="宋体"/>
          <w:kern w:val="0"/>
          <w:szCs w:val="21"/>
        </w:rPr>
        <w:t>在漫长的中世纪，基督教神学统治着西方的精神领域，反对任何独立的关于人和社会的研究，把一切关于人和社会的学问纳入神学的轨道。文艺复兴运动高扬人文主义旗帜，提倡人性、反对神性，崇尚理性、反对神启，极大地促进了以人自身为核心的人文学科的发展，使关于人的知识从神学和哲学中分离出来，成为独立的学科。</w:t>
      </w:r>
    </w:p>
    <w:p w14:paraId="3AF29109">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第三阶段，17-19世纪。</w:t>
      </w:r>
      <w:r>
        <w:rPr>
          <w:rFonts w:hint="eastAsia" w:ascii="宋体" w:hAnsi="宋体" w:eastAsia="宋体" w:cs="宋体"/>
          <w:kern w:val="0"/>
          <w:szCs w:val="21"/>
        </w:rPr>
        <w:t>在这个时期，一方面，资本主义迅速发展，近代社会分工日渐成熟，为从多侧面、多视角对人类社会进行分门别类的科学研究提供了可能。另一方面，科学技术的迅速发展，为哲学社会科学研究提供了新的方法，哲学社会科学越来越注重经验概括、实验比较、数量分析和定量统计等各种科学研究的方法。这就推动了研究具体社会运动的政治学、经济学、社会学、法学等从哲学和其他人文学科中分离出来，取得了相对独立的学科地位，并在19世纪下半期至20世纪初形成了现代哲学社会科学的学科框架，尤其是在大学扎了根。1857年，一批英国政界人士和学者成立了“全国社会科学促进协会”。“社会科学”一词从此得到广泛运用。</w:t>
      </w:r>
    </w:p>
    <w:p w14:paraId="79D8F15D">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第四阶段，20世纪以来。</w:t>
      </w:r>
      <w:r>
        <w:rPr>
          <w:rFonts w:hint="eastAsia" w:ascii="宋体" w:hAnsi="宋体" w:eastAsia="宋体" w:cs="宋体"/>
          <w:kern w:val="0"/>
          <w:szCs w:val="21"/>
        </w:rPr>
        <w:t>在这一时期，哲学社会科学得到了更加全面的发展和更为广泛的运用。进入20世纪，资本主义发展到垄断阶段，西方国家的社会结构发生了深刻变化，由此产生了一系列的社会问题，如劳资冲突激烈，种族矛盾和民族矛盾尖锐，社会两极分化加剧，生态和环境恶化，疾病和犯罪现象严重。同时，国际政治格局也发生深刻变动。两次世界大战，社会主义制度的出现，民族解放运动的兴起，两极对峙到冷战结束，世界多极化和经济全球化的趋势在曲折中发展，局部战争此起彼伏，南北贫富矛盾突出等等，标志着世界进入了一个“空前大发展”的时期，也进入了一个“社会问题骤然增多”的时期。这使得研究和解决社会问题成为一种巨大的社会需求，也为哲学社会科学的发展提供了更加广阔的舞台，并产生了一些对经济社会发展有重大影响的思潮和流派。比如凯恩斯主义、新自由主义、民主社会主义、实证主义、实用主义、精神分析学、存在主义、西方马克思主义、后现代主义等。其中，凯恩斯主义主导西方国家宏观经济运行长达40年之久；新自由主义则以90年代初“华盛顿共识”的出笼为标志，由经济学理论嬗变为西方发达国家的意识形态和主流价值观念。</w:t>
      </w:r>
    </w:p>
    <w:p w14:paraId="2071B957">
      <w:pPr>
        <w:autoSpaceDE w:val="0"/>
        <w:autoSpaceDN w:val="0"/>
        <w:adjustRightInd w:val="0"/>
        <w:spacing w:line="300" w:lineRule="auto"/>
        <w:ind w:firstLine="440" w:firstLineChars="200"/>
        <w:jc w:val="left"/>
        <w:rPr>
          <w:rFonts w:ascii="宋体" w:hAnsi="宋体" w:eastAsia="宋体" w:cs="宋体"/>
          <w:b/>
          <w:kern w:val="0"/>
          <w:szCs w:val="21"/>
        </w:rPr>
      </w:pPr>
      <w:r>
        <w:rPr>
          <w:rFonts w:hint="eastAsia" w:ascii="宋体" w:hAnsi="宋体" w:eastAsia="宋体" w:cs="宋体"/>
          <w:b/>
          <w:kern w:val="0"/>
          <w:szCs w:val="21"/>
        </w:rPr>
        <w:t>（二）马克思列宁主义的诞生使哲学社会科学发生了根本变化</w:t>
      </w:r>
    </w:p>
    <w:p w14:paraId="01AB43BC">
      <w:pPr>
        <w:autoSpaceDE w:val="0"/>
        <w:autoSpaceDN w:val="0"/>
        <w:adjustRightInd w:val="0"/>
        <w:spacing w:line="300" w:lineRule="auto"/>
        <w:ind w:firstLine="440" w:firstLineChars="200"/>
        <w:jc w:val="left"/>
        <w:rPr>
          <w:rFonts w:ascii="宋体" w:hAnsi="宋体" w:eastAsia="宋体" w:cs="宋体"/>
          <w:b/>
          <w:kern w:val="0"/>
          <w:szCs w:val="21"/>
        </w:rPr>
      </w:pPr>
      <w:r>
        <w:rPr>
          <w:rFonts w:hint="eastAsia" w:ascii="宋体" w:hAnsi="宋体" w:eastAsia="宋体" w:cs="宋体"/>
          <w:kern w:val="0"/>
          <w:szCs w:val="21"/>
        </w:rPr>
        <w:t>随着资本主义生产方式的发展，资本主义的固有矛盾空前尖锐，无产阶级反对资产阶级的斗争蓬勃发展，迫切需要科学的思想理论武器。马克思、恩格斯批判地继承了德国的古典哲学、英国的古典政治经济学和法国的空想社会主义学说，吸取当时的经济社会发展和科技发展的成果，总结国际工人运动经验，创立了马克思主义的科学理论体系。马克思主义科学地揭示了人类社会的发展规律，为我们认识世界和改造世界提供了强大的思想理论武器。马克思主义的创始人在哲学、政治经济学、科学社会主义以及政治学、社会学、法学、历史学、人类学、文学等多方面形成了系统思想，为马克思主义的哲学社会科学的发展开辟了方向。马克思、恩格斯逝世后，列宁继承和发展了马克思主义。他在领导俄国革命和推进社会主义建设过程中，回答和解决了一系列重大的课题，丰富和发展了马克思主义，把马克思主义发展到一个新的阶段，创立了列宁主义。马克思列宁主义为哲学社会科学奠定了坚实的理论基础，提供了正确的立场、观点和方法。列宁以后，各国马克思主义者继续丰富和发展马克思主义理论，取得了程度不同的进展。</w:t>
      </w:r>
    </w:p>
    <w:p w14:paraId="012D78D5">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马克思主义对社会发展的影响巨大。马克思主义不仅影响了西方哲学社会科学的发展，在许多国家的意识形态中占有重要地位，而且在20世纪催生了一批社会主义国家，虽然目前世界范围内的社会主义运动处于低潮，但中国的社会主义事业却充满了勃勃生机，这意味着马克思主义依然具有旺盛的生命力。</w:t>
      </w:r>
    </w:p>
    <w:p w14:paraId="51F88EB8">
      <w:pPr>
        <w:autoSpaceDE w:val="0"/>
        <w:autoSpaceDN w:val="0"/>
        <w:adjustRightInd w:val="0"/>
        <w:spacing w:line="300" w:lineRule="auto"/>
        <w:ind w:firstLine="440" w:firstLineChars="200"/>
        <w:jc w:val="left"/>
        <w:rPr>
          <w:rFonts w:ascii="宋体" w:hAnsi="宋体" w:eastAsia="宋体" w:cs="宋体"/>
          <w:b/>
          <w:kern w:val="0"/>
          <w:szCs w:val="21"/>
        </w:rPr>
      </w:pPr>
      <w:r>
        <w:rPr>
          <w:rFonts w:hint="eastAsia" w:ascii="宋体" w:hAnsi="宋体" w:eastAsia="宋体" w:cs="宋体"/>
          <w:b/>
          <w:kern w:val="0"/>
          <w:szCs w:val="21"/>
        </w:rPr>
        <w:t>（三）当代西方哲学社会科学发展的主要趋势</w:t>
      </w:r>
    </w:p>
    <w:p w14:paraId="51820D85">
      <w:pPr>
        <w:autoSpaceDE w:val="0"/>
        <w:autoSpaceDN w:val="0"/>
        <w:adjustRightInd w:val="0"/>
        <w:spacing w:line="300" w:lineRule="auto"/>
        <w:ind w:firstLine="440" w:firstLineChars="200"/>
        <w:jc w:val="left"/>
        <w:rPr>
          <w:rFonts w:ascii="宋体" w:hAnsi="宋体" w:eastAsia="宋体" w:cs="宋体"/>
          <w:b/>
          <w:kern w:val="0"/>
          <w:szCs w:val="21"/>
        </w:rPr>
      </w:pPr>
      <w:r>
        <w:rPr>
          <w:rFonts w:hint="eastAsia" w:ascii="宋体" w:hAnsi="宋体" w:eastAsia="宋体" w:cs="宋体"/>
          <w:kern w:val="0"/>
          <w:szCs w:val="21"/>
        </w:rPr>
        <w:t>20世纪特别是二战结束以来，西方国家哲学社会科学的发展呈现出以下一些趋势：</w:t>
      </w:r>
    </w:p>
    <w:p w14:paraId="59CAF8CE">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第一，西方各国越来越重视哲学社会科学。</w:t>
      </w:r>
      <w:r>
        <w:rPr>
          <w:rFonts w:hint="eastAsia" w:ascii="宋体" w:hAnsi="宋体" w:eastAsia="宋体" w:cs="宋体"/>
          <w:kern w:val="0"/>
          <w:szCs w:val="21"/>
        </w:rPr>
        <w:t>各国政府都把哲学社会科学作为经济发展和社会管理的重要基础。例如，1969年，美国科学署所属的“社会科学特别委员会”，提出了一个题为《化知识为行动：改进国家对社会科学的利用》的报告，认为社会科学要比其他科学更密切地关系到许多最急切的国内政策问题。报告要求美国政府更加重视社会科学的研究，增加资助，在白宫增加社会科学家等。同时，西方国家政党非常重视利用哲学社会科学为其提供执政理念、政策咨询。美国有上千个思想库，如兰德公司、企业研究所等，主要为政府的内外政策和重大决策提供形式多样和观点不一的咨询。</w:t>
      </w:r>
    </w:p>
    <w:p w14:paraId="061A5540">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第二，西方国家进一步加强对哲学社会科学的引导和管理。</w:t>
      </w:r>
      <w:r>
        <w:rPr>
          <w:rFonts w:hint="eastAsia" w:ascii="宋体" w:hAnsi="宋体" w:eastAsia="宋体" w:cs="宋体"/>
          <w:kern w:val="0"/>
          <w:szCs w:val="21"/>
        </w:rPr>
        <w:t>一是通过财政拨款来影响和调控研究的方向。对从事为政府服务的课题研究提供充足的研究经费，否则就不予资助。二是通过巧妙的又有明显倾向性的行政和学术手段，排斥和限制左翼哲学社会科学研究。如美国政府就有法律规定，凡是加入共产党的人，一律不准在教育系统和公务员系统任职，从根本上把具有马克思主义立场的人士排除在哲学社会科学教学和研究的重要机构之外。</w:t>
      </w:r>
    </w:p>
    <w:p w14:paraId="42838818">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第三，哲学社会科学在进一步分化的同时，综合化趋势不断加强。</w:t>
      </w:r>
      <w:r>
        <w:rPr>
          <w:rFonts w:hint="eastAsia" w:ascii="宋体" w:hAnsi="宋体" w:eastAsia="宋体" w:cs="宋体"/>
          <w:kern w:val="0"/>
          <w:szCs w:val="21"/>
        </w:rPr>
        <w:t>当代许多经济问题、社会问题，都需要进行更为深入细致、分门别类的研究，由此产生了一些新的学科。例如，经济学当前已分化为80多门学科，社会学已分化为60多门学科。据统计，目前西方国家自然科学和哲学社会科学共有2500个学科（包括一、二、三级学科），哲学社会科学约占科学学科总数的2/5。在哲学社会科学学科进一步分化的同时，学科综合化趋势也明显增强。</w:t>
      </w:r>
    </w:p>
    <w:p w14:paraId="13D00C3A">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第四，哲学社会科学研究方法日益丰富和多样化。随着科学技术的发展，大量引入了现代科学方法。各种方法相互渗透，交叉融汇，数量庞大。据粗略统计，在西方国家哲学社会科学主要学科中，正在使用的研究方法多达1500多种。其中哲学、经济学、社会学、语言学和心理学等学科产生的方法最为丰富，向其他学科渗透、移植的方法也最多。</w:t>
      </w:r>
    </w:p>
    <w:p w14:paraId="7D60DD83">
      <w:pPr>
        <w:autoSpaceDE w:val="0"/>
        <w:autoSpaceDN w:val="0"/>
        <w:adjustRightInd w:val="0"/>
        <w:spacing w:before="156" w:beforeLines="50" w:after="156" w:afterLines="50" w:line="300" w:lineRule="auto"/>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二</w:t>
      </w:r>
    </w:p>
    <w:p w14:paraId="14FB32DA">
      <w:pPr>
        <w:autoSpaceDE w:val="0"/>
        <w:autoSpaceDN w:val="0"/>
        <w:adjustRightInd w:val="0"/>
        <w:spacing w:line="300" w:lineRule="auto"/>
        <w:ind w:firstLine="440" w:firstLineChars="200"/>
        <w:jc w:val="left"/>
        <w:rPr>
          <w:rFonts w:ascii="宋体" w:hAnsi="宋体" w:eastAsia="宋体" w:cs="宋体"/>
          <w:b/>
          <w:kern w:val="0"/>
          <w:szCs w:val="21"/>
        </w:rPr>
      </w:pPr>
      <w:r>
        <w:rPr>
          <w:rFonts w:hint="eastAsia" w:ascii="宋体" w:hAnsi="宋体" w:eastAsia="宋体" w:cs="宋体"/>
          <w:b/>
          <w:kern w:val="0"/>
          <w:szCs w:val="21"/>
        </w:rPr>
        <w:t>（一）我国哲学社会科学发展的历史过程</w:t>
      </w:r>
    </w:p>
    <w:p w14:paraId="4C9A30C3">
      <w:pPr>
        <w:autoSpaceDE w:val="0"/>
        <w:autoSpaceDN w:val="0"/>
        <w:adjustRightInd w:val="0"/>
        <w:spacing w:line="300" w:lineRule="auto"/>
        <w:ind w:firstLine="440" w:firstLineChars="200"/>
        <w:jc w:val="left"/>
        <w:rPr>
          <w:rFonts w:ascii="宋体" w:hAnsi="宋体" w:eastAsia="宋体" w:cs="宋体"/>
          <w:b/>
          <w:kern w:val="0"/>
          <w:szCs w:val="21"/>
        </w:rPr>
      </w:pPr>
      <w:r>
        <w:rPr>
          <w:rFonts w:hint="eastAsia" w:ascii="宋体" w:hAnsi="宋体" w:eastAsia="宋体" w:cs="宋体"/>
          <w:kern w:val="0"/>
          <w:szCs w:val="21"/>
        </w:rPr>
        <w:t>我国哲学社会科学的发展大致可以分为三个阶段：</w:t>
      </w:r>
    </w:p>
    <w:p w14:paraId="42B6519D">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第一阶段可称之为古代时期（19世纪之前）。</w:t>
      </w:r>
      <w:r>
        <w:rPr>
          <w:rFonts w:hint="eastAsia" w:ascii="宋体" w:hAnsi="宋体" w:eastAsia="宋体" w:cs="宋体"/>
          <w:kern w:val="0"/>
          <w:szCs w:val="21"/>
        </w:rPr>
        <w:t>我国是世界四大文明古国之一，创造了灿烂的古代思想文化。尤其是关于人和社会的知识方面，其深刻和丰富是其他许多民族所不能相比的。春秋战国时期，诸子蜂起、百家争鸣，形成了中国思想文化发展的一个高峰。当时最具影响的学派有：儒、道、墨、名、法、阴阳、农、杂、兵等，它们分别就天道与人道、名实关系、伦理道德、礼法制度、经济政策、军事以及各种治国主张等问题展开了热烈的思想争论和政治实践，留下了丰富的遗产。自汉代开始，随着汉武帝实行“罢黜百家，独尊儒术”政策，儒学一枝独秀，经学和理学等得到很大发展，儒、释、道三家也逐渐融合，对中国思想文化产生了深远影响。在这个过程中，古代思想家提出了许多很有价值的关于哲学、经济、政治、法律、科技、军事、教育等方面的思想和学说，这些都是中华民族珍贵的思想文化成果。</w:t>
      </w:r>
    </w:p>
    <w:p w14:paraId="124B0D20">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第二阶段为近代时期（19世纪到新中国成立）。</w:t>
      </w:r>
      <w:r>
        <w:rPr>
          <w:rFonts w:hint="eastAsia" w:ascii="宋体" w:hAnsi="宋体" w:eastAsia="宋体" w:cs="宋体"/>
          <w:kern w:val="0"/>
          <w:szCs w:val="21"/>
        </w:rPr>
        <w:t>我国现代意义的哲学社会科学是近代以后随着中国国门的打开而形成和发展起来的。1840年鸦片战争后，魏源写了《海国图志》等著作，介绍世界地理和社会历史知识。19世纪60年代清政府设立“同文馆”，开始大量翻译西方著作。甲午战争之后，有识之士认识到仅学西方的科学技术不能解决中国的问题，所以开始把学习西方的重点转向哲学社会科学领域。以1897年严复翻译发表《天演论》为标志，中国出现了学习传播西方哲学社会科学知识的热潮。亚当·斯密的经济学著作《国民财富的性质和原因的研究》、卢梭的《社会契约论》、孟德斯鸠的《论法的精神》等一大批哲学社会科学名著被翻译出版。据统计，京师大学堂从1898年到1911年翻译、出版了西方教科书约60余部100多册，其中属于哲学社会科学的占62%。在大量翻译西方著作的同时，中国学者开始撰写自己的有现代意义的哲学社会科学著作，如1902年梁启超发表的《新史学》等。与此同时，学校开始设立现代哲学社会科学课程。1905年8月，清政府下令废止科举考试制度，代之以新式学堂。京师大学堂1903年首次开设了“政治科”，政治学进入中国的大学。1912年，北京大学成立哲学门，这是中国最早的哲学系；同年，设立了最早的经济学系——“商学科”。1913年，北京大学又开设了社会学专业。</w:t>
      </w:r>
    </w:p>
    <w:p w14:paraId="0870E625">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我国现代意义的哲学社会科学体系是从1915年新文化运动开始逐渐形成的。其标志有以下几个方面：一是形成了以白话文为表达方式的话语系统，为现代哲学社会科学的形成和发展提供了前提和保证。二是爱国、进步、民主、科学的“五四”精神成为现代哲学社会科学的强大精神武器。三是引入了现代的哲学社会科学方法，如唯物辩证法、科学实证方法等。四是我国哲学社会科学的主要学科纷纷兴起，如哲学、经济学、政治学、法学、社会学、史学、文学、美学、心理学等，并出现了一批有影响的力作，如鲁迅的《中国小说史略》、蔡元培的《中国伦理学史》、马寅初的《经济学概论》、冯友兰的《中国哲学史》等。</w:t>
      </w:r>
    </w:p>
    <w:p w14:paraId="527F4F88">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早在19世纪末，马克思、恩格斯的名字及其学说就开始在中国的一些报刊和著作中出现。最早系统介绍马克思主义的，是1898年出版的《泰西民法志》一书。俄国十月革命的胜利，使深受帝国主义、封建主义和官僚资本主义压迫的中国人民看到了希望，开始接受马克思主义。“五四”时期，陈独秀、李大钊等人通过《新青年》等刊物，大力宣传介绍马列主义学说，推动了马克思列宁主义的广泛传播。1921年中国共产党成立以后，研究马克思列宁主义逐渐成为进步知识界的风气。据统计，20世纪20年代到30年代初，我国翻译出版的马克思、恩格斯、列宁、斯大林的著作达150多种。1930年中国社会科学家联盟成立，标志着左翼哲学社会科学界形成了有组织的力量。一大批学者以马克思主义为指导，围绕中国的社会性质、社会史等问题，撰写了许多重要的哲学社会科学著作（如李达的《社会学大纲》，艾思奇的《大众哲学》等），建立和发展了新的哲学社会科学理论。</w:t>
      </w:r>
    </w:p>
    <w:p w14:paraId="069308AB">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第三阶段是现代时期（建国后至今）。</w:t>
      </w:r>
      <w:r>
        <w:rPr>
          <w:rFonts w:hint="eastAsia" w:ascii="宋体" w:hAnsi="宋体" w:eastAsia="宋体" w:cs="宋体"/>
          <w:kern w:val="0"/>
          <w:szCs w:val="21"/>
        </w:rPr>
        <w:t>新中国成立以后，</w:t>
      </w:r>
      <w:r>
        <w:rPr>
          <w:rFonts w:ascii="宋体" w:hAnsi="宋体" w:eastAsia="宋体" w:cs="宋体"/>
          <w:kern w:val="0"/>
          <w:szCs w:val="21"/>
        </w:rPr>
        <w:t xml:space="preserve"> </w:t>
      </w:r>
      <w:r>
        <w:rPr>
          <w:rFonts w:hint="eastAsia" w:ascii="宋体" w:hAnsi="宋体" w:eastAsia="宋体" w:cs="宋体"/>
          <w:kern w:val="0"/>
          <w:szCs w:val="21"/>
        </w:rPr>
        <w:t>我们党大力促进哲学社会科学的发展。1950年成立了新中国第一所文科大学——中国人民大学，1955</w:t>
      </w:r>
      <w:r>
        <w:rPr>
          <w:rFonts w:ascii="宋体" w:hAnsi="宋体" w:eastAsia="宋体" w:cs="宋体"/>
          <w:kern w:val="0"/>
          <w:szCs w:val="21"/>
        </w:rPr>
        <w:t xml:space="preserve"> </w:t>
      </w:r>
      <w:r>
        <w:rPr>
          <w:rFonts w:hint="eastAsia" w:ascii="宋体" w:hAnsi="宋体" w:eastAsia="宋体" w:cs="宋体"/>
          <w:kern w:val="0"/>
          <w:szCs w:val="21"/>
        </w:rPr>
        <w:t>年成立了中国科学院哲学社会科学部，各大学和研究机构逐步形成了哲学社会科学教学和研究体系。1956年毛泽东同志提出了“百花齐放，百家争鸣”的方针，对指导我国哲学社会科学的繁荣发展产生了深远的影响。同年，国务院规划委员会制定了我国哲学社会科学研究工作十二年远景规划（1956—1967年），第一次用规划形式提出了我国哲学社会科学发展的主要任务。从1949</w:t>
      </w:r>
      <w:r>
        <w:rPr>
          <w:rFonts w:ascii="宋体" w:hAnsi="宋体" w:eastAsia="宋体" w:cs="宋体"/>
          <w:kern w:val="0"/>
          <w:szCs w:val="21"/>
        </w:rPr>
        <w:t xml:space="preserve"> </w:t>
      </w:r>
      <w:r>
        <w:rPr>
          <w:rFonts w:hint="eastAsia" w:ascii="宋体" w:hAnsi="宋体" w:eastAsia="宋体" w:cs="宋体"/>
          <w:kern w:val="0"/>
          <w:szCs w:val="21"/>
        </w:rPr>
        <w:t>年至“文化大革命”前的17年，中国科学院哲学社会科学部先后建立了15个研究所，有22个省、自治区、直辖市共设立了37个哲学社会科学研究机构。这期间出版了一批有影响的著作，仅编著出版的大学文科教材就达100多种。这些使我国哲学社会科学发生了质的飞跃，奠定了我国哲学社会科学发展的坚实基础。这一时期我国哲学社会科学的发展也有过偏差和曲折，特别是在“文化大革命”期间，哲学社会科学事业遭到了严重破坏。</w:t>
      </w:r>
    </w:p>
    <w:p w14:paraId="52F6C9DA">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1978年开始的“实践是检验真理的唯一标准”的大讨论，极大地促进了哲学社会科学界的思想解放，极大地调动了哲学社会科学界的积极性。党的十一届三中全会以后，我国哲学社会科学进入了一个事业快速发展、学术气氛日益活跃、研究队伍不断壮大、研究成果日渐丰硕的新的历史时期。在党中央的重视和关怀下，全国各级哲学社会科学研究机构逐步恢复或成立，各文科或综合性高等院校加强和完善了哲学社会科学基本学科专业和课程。党中央决定在原中国科学院哲学社会科学部的基础上组建中国社会科学院。1983年，成立了全国哲学社会科学规划领导小组，负责制定哲学社会科学研究规划。1986年，设立了国家哲学社会科学研究基金。</w:t>
      </w:r>
    </w:p>
    <w:p w14:paraId="04926860">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党的十三届四中全会以来，哲学社会科学呈现更加繁荣发展的局面。特别是江泽民同志在2001年8月和2002年4月、7月三次就繁荣发展哲学社会科学发表重要讲话。党的十六大以后，以胡锦涛同志为总书记的党中央专门颁发了繁荣发展哲学社会科学的文件。这些极大地鼓舞和振奋了广大哲学社会科学工作者，为哲学社会科学的进一步繁荣发展创造了良好的条件。</w:t>
      </w:r>
    </w:p>
    <w:p w14:paraId="07EC4126">
      <w:pPr>
        <w:autoSpaceDE w:val="0"/>
        <w:autoSpaceDN w:val="0"/>
        <w:adjustRightInd w:val="0"/>
        <w:spacing w:line="300" w:lineRule="auto"/>
        <w:ind w:firstLine="440" w:firstLineChars="200"/>
        <w:jc w:val="left"/>
        <w:rPr>
          <w:rFonts w:ascii="宋体" w:hAnsi="宋体" w:eastAsia="宋体" w:cs="宋体"/>
          <w:b/>
          <w:kern w:val="0"/>
          <w:szCs w:val="21"/>
        </w:rPr>
      </w:pPr>
      <w:r>
        <w:rPr>
          <w:rFonts w:hint="eastAsia" w:ascii="宋体" w:hAnsi="宋体" w:eastAsia="宋体" w:cs="宋体"/>
          <w:b/>
          <w:kern w:val="0"/>
          <w:szCs w:val="21"/>
        </w:rPr>
        <w:t>（二）我国近现代哲学社会科学发展的主要特点</w:t>
      </w:r>
    </w:p>
    <w:p w14:paraId="1DAD71D3">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第一，马克思主义在我国哲学社会科学的主导地位是通过反复比较、选择实现的。</w:t>
      </w:r>
      <w:r>
        <w:rPr>
          <w:rFonts w:hint="eastAsia" w:ascii="宋体" w:hAnsi="宋体" w:eastAsia="宋体" w:cs="宋体"/>
          <w:kern w:val="0"/>
          <w:szCs w:val="21"/>
        </w:rPr>
        <w:t>在我国现代哲学社会科学开始形成时，马克思主义并不占优势，许多知名学者信奉的是西方其他学说，比如社会达尔文主义、唯意志论等。西化派学者胡适用杜威的实用主义哲学反对马克思主义在中国传播，挑起了中国近代历史上有名的“问题”与“主义”的论战。但马克思主义凭借其客观真理性，最终被我国哲学社会科学界所接受，确立起在我国哲学社会科学发展中的指导地位。</w:t>
      </w:r>
    </w:p>
    <w:p w14:paraId="3784292D">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第二，我国哲学社会科学发展始终同党的思想理论建设紧密联系在一起。</w:t>
      </w:r>
      <w:r>
        <w:rPr>
          <w:rFonts w:hint="eastAsia" w:ascii="宋体" w:hAnsi="宋体" w:eastAsia="宋体" w:cs="宋体"/>
          <w:kern w:val="0"/>
          <w:szCs w:val="21"/>
        </w:rPr>
        <w:t>我国现代意义的哲学社会科学的形成过程，是马克思主义在中国广泛传播的过程，也是马克思主义与中国实际相结合的过程，是马克思主义不断中国化的过程。毛泽东思想、邓小平理论和“三个代表”重要思想正是在这一过程中产生的。</w:t>
      </w:r>
    </w:p>
    <w:p w14:paraId="1A5D96FF">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b/>
          <w:kern w:val="0"/>
          <w:szCs w:val="21"/>
        </w:rPr>
        <w:t>第三，我国哲学社会科学的发展过程是中西两种思想文化相互影响和交融的过程。</w:t>
      </w:r>
      <w:r>
        <w:rPr>
          <w:rFonts w:hint="eastAsia" w:ascii="宋体" w:hAnsi="宋体" w:eastAsia="宋体" w:cs="宋体"/>
          <w:kern w:val="0"/>
          <w:szCs w:val="21"/>
        </w:rPr>
        <w:t>我国现代意义的哲学社会科学是从学习引进西方的理论、思想和方法开始起步的。在早期的哲学社会科学研究过程中，有的学者对西方哲学社会科学采取完全排斥的态度，有些学者则主张“全盘西化”，但实践证明，不论采取简单照搬还是简单排斥的态度，都不利于我国哲学社会科学的发展，都是不可取的。所以，越来越多的学者主张立足中国，放眼世界，在积极吸纳古今中外各种学术的合理成分的基础上，创造具有中国特色、中国风格和中国气派的哲学社会科学体系。这是发展我国哲学社会科学的唯一正确道路。</w:t>
      </w:r>
    </w:p>
    <w:p w14:paraId="4A8B7E78">
      <w:pPr>
        <w:autoSpaceDE w:val="0"/>
        <w:autoSpaceDN w:val="0"/>
        <w:adjustRightInd w:val="0"/>
        <w:spacing w:line="300" w:lineRule="auto"/>
        <w:ind w:firstLine="440" w:firstLineChars="200"/>
        <w:jc w:val="left"/>
        <w:rPr>
          <w:rFonts w:ascii="宋体" w:hAnsi="宋体" w:eastAsia="宋体" w:cs="宋体"/>
          <w:kern w:val="0"/>
          <w:szCs w:val="21"/>
        </w:rPr>
      </w:pPr>
    </w:p>
    <w:p w14:paraId="1742EB32">
      <w:pPr>
        <w:autoSpaceDE w:val="0"/>
        <w:autoSpaceDN w:val="0"/>
        <w:adjustRightInd w:val="0"/>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（原载《求是》2004年第22期）</w:t>
      </w:r>
    </w:p>
    <w:p w14:paraId="545CC289">
      <w:pPr>
        <w:autoSpaceDE w:val="0"/>
        <w:autoSpaceDN w:val="0"/>
        <w:adjustRightInd w:val="0"/>
        <w:spacing w:line="300" w:lineRule="auto"/>
        <w:ind w:firstLine="440" w:firstLineChars="200"/>
        <w:jc w:val="left"/>
        <w:rPr>
          <w:rFonts w:ascii="宋体" w:hAnsi="宋体" w:eastAsia="宋体" w:cs="Times New Roman"/>
          <w:kern w:val="0"/>
          <w:szCs w:val="21"/>
        </w:rPr>
      </w:pPr>
    </w:p>
    <w:p w14:paraId="7CCBA98C">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431" w:name="_Toc93074564"/>
      <w:bookmarkStart w:id="432" w:name="_Toc257922004"/>
      <w:bookmarkStart w:id="433" w:name="_Toc110957417"/>
      <w:bookmarkStart w:id="434" w:name="_Toc8898"/>
      <w:bookmarkStart w:id="435" w:name="_Toc1631"/>
      <w:bookmarkStart w:id="436" w:name="_Toc1310381212"/>
      <w:bookmarkStart w:id="437" w:name="_Toc1990402450"/>
      <w:r>
        <w:rPr>
          <w:rFonts w:ascii="黑体" w:hAnsi="黑体" w:eastAsia="黑体" w:cs="Times New Roman"/>
          <w:color w:val="000000"/>
          <w:kern w:val="0"/>
          <w:sz w:val="32"/>
          <w:szCs w:val="32"/>
          <w:lang w:bidi="ar"/>
        </w:rPr>
        <w:t>注重原创繁荣学派推动中国学术发展</w:t>
      </w:r>
      <w:bookmarkEnd w:id="431"/>
      <w:bookmarkEnd w:id="432"/>
      <w:bookmarkEnd w:id="433"/>
      <w:bookmarkEnd w:id="434"/>
      <w:bookmarkEnd w:id="435"/>
      <w:bookmarkEnd w:id="436"/>
      <w:bookmarkEnd w:id="437"/>
    </w:p>
    <w:p w14:paraId="7AF393FB">
      <w:pPr>
        <w:spacing w:before="156" w:beforeLines="50" w:line="300" w:lineRule="auto"/>
        <w:ind w:firstLine="440" w:firstLineChars="200"/>
        <w:rPr>
          <w:rFonts w:ascii="宋体" w:hAnsi="宋体" w:eastAsia="宋体" w:cs="Times New Roman"/>
          <w:szCs w:val="24"/>
        </w:rPr>
      </w:pPr>
      <w:r>
        <w:rPr>
          <w:rFonts w:hint="eastAsia" w:ascii="宋体" w:hAnsi="宋体" w:eastAsia="宋体" w:cs="Times New Roman"/>
          <w:szCs w:val="24"/>
        </w:rPr>
        <w:t>我们知道，在2001年和2002年，江泽民同志有三次关于繁荣发展我国哲学社会科学的讲话。新一届中央领导也高度重视这个问题，今年1月5日颁发了中共中央3号文件《关于进一步繁荣发展哲学社会科学的意见》，1月9日中共中央办公厅又颁发了中办5号文件《关于实施马克思主义理论研究和建设工程的意见》；此后，还有落实性的会议等。中央政治局第13次集体学习又以“繁荣和发展我国的哲学社会科学”为题，这本身就是中央对这个问题高度重视的又一次体现。</w:t>
      </w:r>
    </w:p>
    <w:p w14:paraId="0288DAA7">
      <w:pPr>
        <w:spacing w:before="156" w:beforeLines="50" w:after="156" w:afterLines="50" w:line="300" w:lineRule="auto"/>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中华民族和平发展的必然要求</w:t>
      </w:r>
    </w:p>
    <w:p w14:paraId="0162A4B1">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最近几年中央一再强调要繁荣发展哲学社会科学。为什么要在现在这个时候强调这个问题？从新中国、中华民族和世界的发展史上，这有什么样的背景？在我看来，一个民族要全面发展，就必须要有哲学社会科学的指导。发展技术靠自然科学，发展经济、政治、思想文化等就主要靠社会科学。在一定意义上，社会科学的作用还更重要些。因为在社会变革、进步的过程中，制度、体制、机制的作用可能会更为重要些，在实践基础上的社会科学理论创新是社会发展和变革的先导。社会科学担负着“认识世界、传承文明、创新理论、咨政育人、服务社会”的职责，繁荣发展社会科学与提高我国综合国力、社会主义三个文明建设、弘扬和培育民族精神、促进人的全面发展等都紧密地联系在一起。</w:t>
      </w:r>
    </w:p>
    <w:p w14:paraId="01A42588">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目前，社会科学领域内一种新的教条主义的危害日益严重。全国政协副主席、中国社科院陈奎元院长在4月20日《人民日报》的一篇重要文章中提到两种教条主义：对空谈马克思主义的教条主义，经过多年的斗争，现在我们已经有比较清楚的认识，在党内和社会变革中的影响日渐式微。另一种，是迷信西方发达国家的那些反映资产阶级主流意识形态的思想理论，把西方某些资产阶级学派的理论甚至把发达资本主义国家的政策主张奉作教条。这种倾向在意识形态领域以及经济社会变革中的影响正在上升。对这种教条主义，理论工作者中早有质疑，党的领导人也有告诫，但是至今还未引起思想理论界应有的反响，没有进行认真的鉴别，有的甚至还充作理论创新的成果，向思想、政治、经济和文化教育等各个领域渗透。</w:t>
      </w:r>
    </w:p>
    <w:p w14:paraId="6CAE9B2E">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陈奎元院长的这些论断，对真正坚持马克思主义指导下的社会科学发展，具有重要的导向意义，反映了党内外有识之士的观点。我的看法也是如此。假如我们忽视这种教条主义的危害，“全盘西化”的威胁就会向我们逼近，改革的方向、共产党的执政地位、劳动人民的切身利益都将受到挑战，我们难免步他人的后尘，犯下历史性的错误。如果任凭西方资产阶级的理论替代马克思主义或把马克思主义边缘化，中国共产党就将丧失维系自身团结统一的思想纽带，同时必将失去号召群众、引导群众的精神力量，自然的结局就是脱离几代共产党人选择的正确道路，滑进西方敌对势力的陷阱，使我们的国家陷入动乱、停滞和倒退，使中华民族重新沦为西方的附庸。</w:t>
      </w:r>
    </w:p>
    <w:p w14:paraId="3034B731">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邓小平在上个世纪80年代说，我们要反“左”防右，反“左”是主要的，这是有道理的；但在90年代后已经变成西化、右是主要的了，我们还在一味地反“左”，这也是教条主义。就像大跃进的时候，明明已经“左”了，还在一味反右。反右过头必出“左”，反“左”过头必出右。现在反“左”往往无的放矢，而一些鼓吹中国要搞私有化、多党制和非马克思主义化的言行，却日渐增多。中国搞私有化、多党制，必然民族分裂、经济衰退、政局混乱。对此，我有一个使用“路径依赖”的理论分析；经济学家左大培、余斌、简新华、许兴亚，政治学家王一程、房宁，新闻学家尹韵公，哲学家陈学明等一批著名中青年学者，均有类似的看法。</w:t>
      </w:r>
    </w:p>
    <w:p w14:paraId="322DC188">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作为超级大国的苏联，其自然科学和技术不可谓不发达，可是在社会科学方面的教育宣传却失败了。对待马克思主义，先是搞僵化的教条主义，后来逐步转向公开反对和取消，这就使其社会意识形态陷于极端混乱的状态中，导致了社会主义在苏联的失败。正如江泽民同志所说，苏东国家的失败，不是社会主义的失败，而是放弃社会主义的失败。因此，如果一个国家的社会科学的研究、宣传和教育不搞好，其民族兴旺、经济发达、社会协调等，都会出大问题。</w:t>
      </w:r>
    </w:p>
    <w:p w14:paraId="0805134C">
      <w:pPr>
        <w:spacing w:before="156" w:beforeLines="50" w:after="156" w:afterLines="50" w:line="300" w:lineRule="auto"/>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我国社会科学研究水平在世界上处于什么地位</w:t>
      </w:r>
    </w:p>
    <w:p w14:paraId="3FCC672E">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依我所见，第一，由于社会科学有政治性和阶级性，无法直接套用衡量自然科学的方法来衡量一个国家社会科学的研究质量和所处国际地位。邓小平同志把社会科学分为可比与不可比两个方面是有道理的。比如，自然科学可以用在国际权威刊物发表论文的数量来衡量，但用马克思主义观点来探讨现实问题的经济学等学科的论文，是不可能在西方主流学术刊物通过匿名评审的。所以，现在有些人主张用我们在《美国经济评论》等所谓西方7大经济学杂志上发表的论文来衡量我国经济学发展的水平，这是根本不懂社会科学。就像诺贝尔经济学奖，除非我们搞数量经济学的，那有可能，苏联曾得过一个计量经济学研究方面的奖；如果照有的人说的那样，我们把发展经济学搞好了，去获诺贝尔奖，这就是不懂经济学了，尤其是不懂马克思主义经济学。作为一个社会主义国家，发展强大了，资本主义国家可能遏制不住你，这是没有办法，其实他是希望你搞得差，所以你的理论再正确，他也不会承认，也不会给你社会科学领域的某些诺贝尔奖。像罗宾逊夫人等就是很好的证明，她还在西方经济学圈子内部，就是观点稍“左”一点，她理论影响多大，就是不给嘛。</w:t>
      </w:r>
    </w:p>
    <w:p w14:paraId="21FB176D">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第二，苏东蜕变后，特别是我国改革以来真正实行双百方针，我国用马克思主义方法、观点研究的那部分社会科学发展迅速，处于世界第一的地位。不过，科学地整合西方现代理论和系统的独创还不够，也没有在马克思主义内部形成学派。至于对西方理论的研究方面，比如产权经济学，在世界上就排不上号，世界上讲来讲去就是科斯啊、诺思啊。我把这种现象称为“殖民地”经济学，有些人在经济学“殖民地”范围里可能很有名，但放到世界上就轮不到你了。因为你无非是用现代西方理论来研究中国问题，并无真正的学术原创和中国学派。</w:t>
      </w:r>
    </w:p>
    <w:p w14:paraId="4C5383F5">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第三，在某些应用性和操作性较强的社会科学学科，在某些研究方法和研究规范方面，倒是可比的，不过，我们相对落后。我们往往跟随多，独创的很少。</w:t>
      </w:r>
    </w:p>
    <w:p w14:paraId="7AF4A918">
      <w:pPr>
        <w:spacing w:before="156" w:beforeLines="50" w:after="156" w:afterLines="50" w:line="300" w:lineRule="auto"/>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用社会科学最新成果解决信仰危机</w:t>
      </w:r>
    </w:p>
    <w:p w14:paraId="54E84898">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为什么有不少人会对社会主义和马克思主义产生怀疑？最近，胡锦涛总书记、刘云山同志、雒树刚同志十分关心公共理论课的问题，李长春、陈至立等领导同志也在江苏和上海等地进行考察和调研，表明中央非常重视。不过，由于存在以下6个方面的社会信仰危机的深层次原因，教育界、学术界和党内外还需要继续做大量的关键性改进工作，才能根本扭转局面。</w:t>
      </w:r>
    </w:p>
    <w:p w14:paraId="4C553EFD">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1、从经济和社会发展的比较来分析，存在方法和信息上的问题，导致误认为社会主义不如资本主义，进而怀疑马克思主义。中国和印度有可比性，但即使在传统体制下我们也搞得比印度好；我们在传统体制下的发展速度也是世界一流的，世界上有几个国家连续30年以6%以上的速度增长？何况我们还是在别国围堵封锁的情况下取得的。日本、亚洲四小龙发展起来，正是冷战这个特殊因素起了很大的作用，是帝国主义国家为了包围社会主义国家而造成的环境使然。我们的改革是为了好上加好。</w:t>
      </w:r>
    </w:p>
    <w:p w14:paraId="13BA58EC">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2、从存在决定意识，或经济基础决定上层建筑来分析，现在一些地区大卖、大送公有企业，而非公有制经济的比重越来越大，这容易使一些人认为我国还是要渐进式地走到苏东国家已经到达的、以私有制为主体的资本主义，进而怀疑共产党和马克思主义。马克思主义、社会主义、共产党是三位一体的，只要怀疑一点就会连带怀疑另外两点。社会制度的核心是经济基础，经济基础的核心是所有制，所以，有些善良的人认为只要公有制控制几个经济领域就行了，认为只要是共产党领导，私有化也没问题，这是不懂历史唯物主义。全国都以私有制为主体了，共产党就领导不了啦。事实上，个别以私有制为主体的地区，人们的思想倾向已经发生了明显的变化。</w:t>
      </w:r>
    </w:p>
    <w:p w14:paraId="65DCF9D9">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3、从现实社会生活中分析，腐败、民主制度的缺陷等问题的存在，使一些人怀疑“共产党一党领导”的制度，进而怀疑马克思主义、社会主义。尽管日本、韩国、印度等资产阶级国家多党制也存在较严重的腐败，美国、英国、菲律宾等都存在明显的资本垄断式资产阶级民主制的严重弊端，那都是发生在外国的事情；解放前资产阶级性质的国民党腐败和现在我国台湾地区的黑金政治等，也是过去和境外的事情。而主要生活在改革时期的我国中青年，只看到身边存在的腐败现象，以及社会生活中存在的不民主现象，极可能直观地得出“共产党一党领导”的制度就必然腐败和不民主的结论。倘若我们求真务实地使腐败越反越少，党内外民主制度大幅度地明显改善，由此造成的社会信仰问题便自然消失，否则，单靠宣传教育，事倍功半，难以根本做好人们的思想政治工作。某些党校教授也赞成西方经济学的自私人假设，还请美国籍的张五常教授来宣传和“造势”，这只能加重人们的思想混乱。问题就在于，干部和学科带头人中有的人不坚持马克思主义了。有很多人就是这样想的：反正要搞资本主义、搞私有化，我就趁早把企业做亏，然后我再便宜地买下来；或者我能腐败就腐败，趁早捞一把。所以，搞腐败的人固然不好，但鼓吹导致腐败的理论的人和这些错误理论观点更应该批评。比如张五常等人主张，不要全力反腐败，甚至宣传腐败有功论。还有人误导说，只要市场化，腐败就少了，关键是要反国家干预，国家没有管制就没有腐败啦。这不对嘛，市场化和腐败没有很大关联。因为按照这种说法，2003年的腐败应该比1993年的少，1993年的应该比1983年的少，事实却并非如此，而是随着市场化程度越来越高，腐败仍屡反不绝。当然，我们的市场化搞得还不够好。事实上，私有制和腐败密切相关，是随着私有化程度越来越高，腐败越来越多。中纪委的调研报告用统计数字指出：官员与私企相互勾结和利用，是当前经济类案件的突出特征。</w:t>
      </w:r>
    </w:p>
    <w:p w14:paraId="2F75C8B4">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4、从理论宣传教育的结果来分析，有一部分人宣传“邓小平理论的核心是不姓资、不姓社，不管什么‘主义’，只要三个有利于”；甚至认为“‘三个代表’重要思想同社会党的理论没有本质区别”。他们进而怀疑党的性质，怀疑要建设中国特色的社会主义和马克思主义。这就提醒我们反思：为什么占用这么多的资源，花费这么多的精力，作了这么长的时间的宣传教育，竟然有不少重要人士和社会公众形成了截然相反的感觉和思想结论。长期接受党的教育和重用的胡长青就曾对在美国的儿子说过，社会主义搞不下去了，我迟早也要到美国去（在他家和办公室里，竟找不到一本马列原著，而被禁的香港书籍倒有好几本）。类似的状况并非罕见。其缘由，除了上述所有制结构变动的因素影响之外，与理论宣传教育上的逻辑矛盾性、片面性和空泛性，也有直接的关系。这就提示有关高层领导部门，必须集思广益，与时俱进地重新审视某些现存理论，重新探究宣传教育的针对性、策略性和有效性。中宣部去年组织编写的《干部群众关心的25个理论问题》一书，解决了不少思想理论问题。</w:t>
      </w:r>
    </w:p>
    <w:p w14:paraId="0C5F7C3B">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5、从课程和教师的比例来分析，高校少量的公共理论课在宣传马克思主义、社会主义和共产党，而不少社会科学的专业课却或多或少地作了反宣传，这就使部分学生觉得有相当部分的老师并不真正赞成马克思主义，进而妨碍了学生最终选择马克思主义。比如，有些学者在西方学了西方经济学理论，回国后不学习和掌握马克思主义经济学，又使用西方经济学原版教材，并以基本肯定的态度予以介绍，这样，就自觉或不自觉地作了反教育。可见，使用和重用自然科学人才同使用和重用社会科学人才，是有不同特点的。如果执政党不掌握这一人才发展规律，在实施人才强国战略中将可能自挖阵脚，适得其反。</w:t>
      </w:r>
    </w:p>
    <w:p w14:paraId="7CA349C0">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6、从文科教材来分析，都没有关于什么是共产主义的定义和基本特征的阐述。20世纪80年代上半期，政治经济学和科学社会主义等教材还有关于共产主义基本特征的简短论述，后来几乎全部删去，仅仅阐述社会主义初级阶段。日益增多的教育者，从而更多的被教育者，认为共产主义的经济制度特征和本质规定是讲不清楚的。如果生产资料的全社会共同所有制和按需分配都不算共产主义经济特征和本质规定，而只是物质财富、思想精神和人的发展三个方面的极大提高，这是不是用抽象特征来取代基本特征？脱离马克思文本所规定的经济制度本质特征而单纯谈论这三个抽象特征，资产阶级政党及其主义会对此加以否定吗？近20年教育出来的党内外中青年及其骨干，从哪里可以清晰地得知将为此奋斗一生的共产主义及其目标有哪些确切的内容呢？它同国民党、美国共和党、英国工党等资产阶级政党的终极目标有何本质区别呢？事实上，在马克思原创学说里，关于共产主义的三个抽象特征是以生产资料的全社会共同所有制和按需分配等基本特征为基础来统一描绘的。诚然，其具体模式是没有必要去预测或描述的。</w:t>
      </w:r>
    </w:p>
    <w:p w14:paraId="1486217C">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那么，这些信仰危机问题能够缓解吗？我看如果认识到位，研究到位，措施到位，是可以逐步解决的。其中，大力运用已有的社会科学研究成果，继续进行有针对性的难题探索，是重要方略。在大变革时期，如果不用广义马克思主义为指导，不主动拿起科学的哲学社会科学理论的武器，就难以从根本上缓解普遍的社会信仰问题。</w:t>
      </w:r>
    </w:p>
    <w:p w14:paraId="5A298D21">
      <w:pPr>
        <w:spacing w:before="156" w:beforeLines="50" w:after="156" w:afterLines="50" w:line="300" w:lineRule="auto"/>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繁荣马克思主义及其学派</w:t>
      </w:r>
    </w:p>
    <w:p w14:paraId="5388B6EC">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中央决定实施的马克思主义理论研究和建设工程，是直接为我国繁荣发展社会科学的总体目标，也就是建设三个面向、具有中国特色的社会科学而服务的。实施中需要注意的是：对于马克思主义中国化的理论成果，我们要搞清政界（官方）马克思主义与学界马克思主义的区别和联系。对于马克思主义经典著作的编译和研究，经典怎么说，一定要如实翻译，不能以实用主义的方法随便修订，这会丧失权威性。因为有人会看原文，来否定这个翻译。对于社会科学的管理来说，要学习西方有益经验。西方怎么管社会科学的？主要通过学科带头人，通过聘任制来管理。你是马克思主义者，我不聘你，一切都结束了。并不是哪个党政部门来管这个观点不能说，那个观点不能讲。现在我们很多理论宣传的纪律和意见，不传达到基层单位和学科带头人，引导社会科学发展的效果不佳。</w:t>
      </w:r>
    </w:p>
    <w:p w14:paraId="04E135CE">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要逐步搞清和建立政界（官方）马克思主义与学界马克思主义的良性互动机制。社会主义国家只有真正实行“双百”方针，允许马克思主义内部各个学派的大发展，才能出现马克思主义类型的社会科学大师。学术真正繁荣的一个重要标志是形成众多学派。许多马克思主义观点在党的文件里是第一次提，但从整个学术界来看就不一定是首创，所以，不能用政界马克思主义代替学界马克思主义。这是我的一个重要观点，是总结国际共运、执政党管理社会科学的经验得出的，在学界已经广为流传，得到赞同。在今年4月11日《文汇报》的一篇讲演文章中，我也已经用文字的形式提过了。要借鉴西方官方和学界的关系，官方是从学术界选择、综合某些理论和政策主张来丰富自己，双方也可以互相讨论、批评，真正辩明到底什么对什么错，当初的真理标准大讨论就做得较好。不然，中国的马克思主义学界就会无所作为，不敢想、不敢讲，也就没有学术地位，而非马克思主义学者却可以随便讲，扩大在社会上的影响。目前，这种格局还需改变。非马克思主义学术，完全可以存在和适当发展，但不能占主流地位。</w:t>
      </w:r>
    </w:p>
    <w:p w14:paraId="431DB383">
      <w:pPr>
        <w:spacing w:before="156" w:beforeLines="50" w:after="156" w:afterLines="50" w:line="300" w:lineRule="auto"/>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海派经济学：强调综合创新与走出去</w:t>
      </w:r>
    </w:p>
    <w:p w14:paraId="2574E83F">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海派经济学是什么？一般人的确容易误解，以为海派经济学是研究上海的或者上海所有的学者都共同赞成的经济学。其实，海派经济学是以地域来称呼的一个学派，学术史上这样称的很多，主要是为了简便。但学派是开放的，其人员并不以地域为限，只是该学派的领衔者是上海人。若从主义角度来描述，其名称是新马克思主义经济学综合学派，是中国化马克思主义学界内的一个经济学派。它的理论特征是以马克思主义经济学为基点，综合古今中外合理思想，包括综合、借鉴、运用各种社会科学和自然科学的方法，在此基础上综合创新，构建既超越马克思主义经济学又超越西方经济学的新范式。其学术风格是海纳百川、推陈出新、探求真理。我和同济大学顾钰民、上海金融学院周肇光、中共上海市委党校冯金华、华东师范大学陈承明等教授提出了一系列原创性的理论观点。比如，关于公平与效率的关系上，我们提出二者之间的“正反同向交促互补变动论”。再如，“四主型”的市场经济改革观，提出中国特色社会主义初级阶段的经济公式是“四主型”的：公有主体型的多种类产权改革观，劳动主体型的多要素分配改革观，国家主导型的多结构市场改革观，自力主导型的多方位开放改革观。其他的原创性观点还有“新的活劳动价值一元论”、“市场型公有高绩效论”、“一府两系三层分类的国有资产管理新体系论”、“社会主义三阶段论”、“当代全球基本经济矛盾论”等。海派经济学已经形成了自己独特的学术理论体系，也就是系统的经济学方法、基本假设、基本原理和政策主张，这样，也就受到广泛的关注。</w:t>
      </w:r>
    </w:p>
    <w:p w14:paraId="201576C6">
      <w:pPr>
        <w:spacing w:line="300" w:lineRule="auto"/>
        <w:ind w:firstLine="440" w:firstLineChars="200"/>
        <w:rPr>
          <w:rFonts w:ascii="宋体" w:hAnsi="宋体" w:eastAsia="宋体" w:cs="Times New Roman"/>
          <w:szCs w:val="24"/>
        </w:rPr>
      </w:pPr>
    </w:p>
    <w:p w14:paraId="2AA93399">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（原载《探索与争鸣》2004年第11期）</w:t>
      </w:r>
    </w:p>
    <w:p w14:paraId="3E490CC8">
      <w:pPr>
        <w:spacing w:line="300" w:lineRule="auto"/>
        <w:ind w:firstLine="660" w:firstLineChars="200"/>
        <w:rPr>
          <w:rFonts w:ascii="宋体" w:hAnsi="宋体" w:eastAsia="宋体" w:cs="Times New Roman"/>
          <w:szCs w:val="21"/>
        </w:rPr>
      </w:pPr>
      <w:r>
        <w:rPr>
          <w:rFonts w:ascii="宋体" w:hAnsi="宋体" w:eastAsia="宋体" w:cs="Times New Roman"/>
          <w:b/>
          <w:sz w:val="32"/>
          <w:szCs w:val="24"/>
        </w:rPr>
        <w:br w:type="page"/>
      </w:r>
    </w:p>
    <w:p w14:paraId="605D5DD9">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438" w:name="_Toc25282"/>
      <w:bookmarkStart w:id="439" w:name="_Toc110957418"/>
      <w:bookmarkStart w:id="440" w:name="_Toc1132230099"/>
      <w:bookmarkStart w:id="441" w:name="_Toc1341207831"/>
      <w:r>
        <w:rPr>
          <w:rFonts w:ascii="黑体" w:hAnsi="黑体" w:eastAsia="黑体" w:cs="Times New Roman"/>
          <w:color w:val="000000"/>
          <w:kern w:val="0"/>
          <w:sz w:val="32"/>
          <w:szCs w:val="32"/>
          <w:lang w:bidi="ar"/>
        </w:rPr>
        <w:t>繁荣发展哲学社会科学推动政治经济学的全面创新</w:t>
      </w:r>
      <w:bookmarkEnd w:id="420"/>
      <w:bookmarkEnd w:id="421"/>
      <w:bookmarkEnd w:id="438"/>
      <w:bookmarkEnd w:id="439"/>
      <w:bookmarkEnd w:id="440"/>
      <w:bookmarkEnd w:id="441"/>
    </w:p>
    <w:p w14:paraId="6E85B27E">
      <w:pPr>
        <w:spacing w:line="300" w:lineRule="auto"/>
        <w:ind w:firstLine="500" w:firstLineChars="200"/>
        <w:contextualSpacing/>
        <w:jc w:val="center"/>
        <w:rPr>
          <w:rFonts w:ascii="宋体" w:hAnsi="宋体" w:eastAsia="宋体" w:cs="Times New Roman"/>
          <w:b/>
          <w:sz w:val="24"/>
          <w:szCs w:val="24"/>
        </w:rPr>
      </w:pPr>
      <w:r>
        <w:rPr>
          <w:rFonts w:ascii="宋体" w:hAnsi="宋体" w:eastAsia="宋体" w:cs="Times New Roman"/>
          <w:b/>
          <w:sz w:val="24"/>
          <w:szCs w:val="24"/>
        </w:rPr>
        <w:t>——学习《关于进一步繁荣发展哲学社会科学的意见》体会</w:t>
      </w:r>
      <w:bookmarkEnd w:id="422"/>
    </w:p>
    <w:p w14:paraId="507D511C">
      <w:pPr>
        <w:spacing w:before="156" w:beforeLines="50" w:line="300" w:lineRule="auto"/>
        <w:ind w:firstLine="440" w:firstLineChars="200"/>
        <w:rPr>
          <w:rFonts w:ascii="宋体" w:hAnsi="宋体" w:eastAsia="宋体" w:cs="Times New Roman"/>
          <w:szCs w:val="24"/>
        </w:rPr>
      </w:pPr>
      <w:r>
        <w:rPr>
          <w:rFonts w:hint="eastAsia" w:ascii="宋体" w:hAnsi="宋体" w:eastAsia="宋体" w:cs="Times New Roman"/>
          <w:szCs w:val="24"/>
        </w:rPr>
        <w:t>在我国进入全面建设小康社会和加快推进社会主义现代化建设与发展的新形势下，党中央出台了（2004）3号文件，提出了《关于进一步繁荣发展哲学社会科学的意见》（以下简称《意见》）全面和系统地阐述了新世纪、新阶段哲学社会科学的任务、方针和目标，是一份繁荣发展哲学社会科学的纲领性文件，充分说明了哲学社会科学已经进入了全党重视和社会需要的历史时期为我们理论工作者营造了宽松的研究环境。</w:t>
      </w:r>
    </w:p>
    <w:p w14:paraId="332A7535">
      <w:pPr>
        <w:autoSpaceDE w:val="0"/>
        <w:autoSpaceDN w:val="0"/>
        <w:adjustRightInd w:val="0"/>
        <w:spacing w:before="156" w:beforeLines="50" w:after="156" w:afterLines="50" w:line="300" w:lineRule="auto"/>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一、繁荣发展哲学社会科学需要关注的问题</w:t>
      </w:r>
    </w:p>
    <w:p w14:paraId="338AC0C8">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《意见》内容很丰富，其中有以下九个问题需要我们特别关注并深刻领会其精神实质</w:t>
      </w:r>
    </w:p>
    <w:p w14:paraId="4FDCDFE1">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主要是：</w:t>
      </w:r>
    </w:p>
    <w:p w14:paraId="255A8420">
      <w:pPr>
        <w:spacing w:line="300" w:lineRule="auto"/>
        <w:ind w:firstLine="440" w:firstLineChars="200"/>
        <w:rPr>
          <w:rFonts w:ascii="宋体" w:hAnsi="宋体" w:eastAsia="宋体" w:cs="Times New Roman"/>
          <w:szCs w:val="24"/>
        </w:rPr>
      </w:pPr>
      <w:r>
        <w:rPr>
          <w:rFonts w:hint="eastAsia" w:ascii="宋体" w:hAnsi="宋体" w:eastAsia="宋体" w:cs="Times New Roman"/>
          <w:b/>
          <w:szCs w:val="24"/>
        </w:rPr>
        <w:t>第一，《意见》明确了哲学社会科学的历史地位。</w:t>
      </w:r>
      <w:r>
        <w:rPr>
          <w:rFonts w:hint="eastAsia" w:ascii="宋体" w:hAnsi="宋体" w:eastAsia="宋体" w:cs="Times New Roman"/>
          <w:szCs w:val="24"/>
        </w:rPr>
        <w:t>指出：“哲学社会科学是人们认识世界、改造世界的重要工具，是推动历史发展和社会进步的重要力量。哲学社会科学的研究能力和成果是综合国力的重要组成部分。建设中国特色社会主义离不开以马克思主义为指导的哲学社会科学的繁荣发展。实施科教兴国战略包括繁荣发展自然科学和社会科学两个方面。”</w:t>
      </w:r>
    </w:p>
    <w:p w14:paraId="0AAD2EC1">
      <w:pPr>
        <w:spacing w:line="300" w:lineRule="auto"/>
        <w:ind w:firstLine="440" w:firstLineChars="200"/>
        <w:rPr>
          <w:rFonts w:ascii="宋体" w:hAnsi="宋体" w:eastAsia="宋体" w:cs="Times New Roman"/>
          <w:szCs w:val="24"/>
        </w:rPr>
      </w:pPr>
      <w:r>
        <w:rPr>
          <w:rFonts w:hint="eastAsia" w:ascii="宋体" w:hAnsi="宋体" w:eastAsia="宋体" w:cs="Times New Roman"/>
          <w:b/>
          <w:szCs w:val="24"/>
        </w:rPr>
        <w:t>第二，《意见》肯定了哲学社会科学的现实作用。</w:t>
      </w:r>
      <w:r>
        <w:rPr>
          <w:rFonts w:hint="eastAsia" w:ascii="宋体" w:hAnsi="宋体" w:eastAsia="宋体" w:cs="Times New Roman"/>
          <w:szCs w:val="24"/>
        </w:rPr>
        <w:t>指出：“十一届三中全会以来，哲学社会科学对于党的思想路线的重新确立和指导思想的丰富发展，对于用马克思列宁主义、毛泽东思想、邓小平理论和‘三个代表’重要思想武装全党、教育干部和人民，对于深化共产党执政规律、社会主义建设规律、人类社会发展规律的认识，对于推动改革开放和促进社会主义物质文明、政治文明、精神文明协调发展，对于弘扬和培育民族精神，引导人们树立有利于中国特色社会主义事业发展的思想观念，作出了重要贡献。”</w:t>
      </w:r>
    </w:p>
    <w:p w14:paraId="797169FB">
      <w:pPr>
        <w:spacing w:line="300" w:lineRule="auto"/>
        <w:ind w:firstLine="440" w:firstLineChars="200"/>
        <w:rPr>
          <w:rFonts w:ascii="宋体" w:hAnsi="宋体" w:eastAsia="宋体" w:cs="Times New Roman"/>
          <w:szCs w:val="24"/>
        </w:rPr>
      </w:pPr>
      <w:r>
        <w:rPr>
          <w:rFonts w:hint="eastAsia" w:ascii="宋体" w:hAnsi="宋体" w:eastAsia="宋体" w:cs="Times New Roman"/>
          <w:b/>
          <w:szCs w:val="24"/>
        </w:rPr>
        <w:t>第三，《意见》指出了哲学社会科学面临的问题</w:t>
      </w:r>
      <w:r>
        <w:rPr>
          <w:rFonts w:hint="eastAsia" w:ascii="宋体" w:hAnsi="宋体" w:eastAsia="宋体" w:cs="Times New Roman"/>
          <w:szCs w:val="24"/>
        </w:rPr>
        <w:t>。认为“哲学社会科学需要的战略地位还没有受到普遍重视，哲学社会科学基础理论研究特别是反映当代马克思主义最新成果的理论研究和教材及学科建设亟待加强。”因此，要做到四个“进一步”，即“进一步改革哲学社会科学管理体制，进一步改善创新环境，进一步健全成果转化机制，进一步加大经费投入。”</w:t>
      </w:r>
    </w:p>
    <w:p w14:paraId="0B06CB93">
      <w:pPr>
        <w:spacing w:line="300" w:lineRule="auto"/>
        <w:ind w:firstLine="440" w:firstLineChars="200"/>
        <w:rPr>
          <w:rFonts w:ascii="宋体" w:hAnsi="宋体" w:eastAsia="宋体" w:cs="Times New Roman"/>
          <w:szCs w:val="24"/>
        </w:rPr>
      </w:pPr>
      <w:r>
        <w:rPr>
          <w:rFonts w:hint="eastAsia" w:ascii="宋体" w:hAnsi="宋体" w:eastAsia="宋体" w:cs="Times New Roman"/>
          <w:b/>
          <w:szCs w:val="24"/>
        </w:rPr>
        <w:t>第四，《意见》强调了哲学社会科学的基本要求。</w:t>
      </w:r>
      <w:r>
        <w:rPr>
          <w:rFonts w:hint="eastAsia" w:ascii="宋体" w:hAnsi="宋体" w:eastAsia="宋体" w:cs="Times New Roman"/>
          <w:szCs w:val="24"/>
        </w:rPr>
        <w:t>具体表现为“三个着眼于”、“三个解放”、“三个贴近”和“两个立足”。“三个着眼于”是指“以我国改革开放和现代化建设的实际问题、以我们正在做的事情为中心，着眼于马克思主义理论的运用，着眼于对实际问题的理论思考，着眼于新的实践和新的发展”；“三个解放”是指“要自觉地把思想认识从那些不合时宜的观念、做法和体制的束缚中解放出来，从对马克思主义的错误的和教条式的理解中解放出来，从主观主义和形而上学的桎梏中解放出来”；“三个贴近”是指“贴近实际、贴近生活、贴近群众”；“两个立足”是指要“立足当代又继承民族优秀文化传统，立足本国又充分吸收世界文化优秀成果，准确把握当今世界的发展趋势”。其目的就是要“深刻认识当代中国经济社会发展的规律，努力建设哲学社会科学理论创新体系”，包括学术观点创新、学科体系创新和科研方法创新。</w:t>
      </w:r>
    </w:p>
    <w:p w14:paraId="48FDD856">
      <w:pPr>
        <w:spacing w:line="300" w:lineRule="auto"/>
        <w:ind w:firstLine="440" w:firstLineChars="200"/>
        <w:rPr>
          <w:rFonts w:ascii="宋体" w:hAnsi="宋体" w:eastAsia="宋体" w:cs="Times New Roman"/>
          <w:szCs w:val="24"/>
        </w:rPr>
      </w:pPr>
      <w:r>
        <w:rPr>
          <w:rFonts w:hint="eastAsia" w:ascii="宋体" w:hAnsi="宋体" w:eastAsia="宋体" w:cs="Times New Roman"/>
          <w:b/>
          <w:szCs w:val="24"/>
        </w:rPr>
        <w:t>第五，《意见》明确了哲学社会科学三个机制的互动性。</w:t>
      </w:r>
      <w:r>
        <w:rPr>
          <w:rFonts w:hint="eastAsia" w:ascii="宋体" w:hAnsi="宋体" w:eastAsia="宋体" w:cs="Times New Roman"/>
          <w:szCs w:val="24"/>
        </w:rPr>
        <w:t>即“形成既能把握正确方向，又有利于激发哲学社会科学发展活力的引导机制；形成既能有效整合资源，又能充分发挥各方面积极性的调控机制：形成创新能力和自我发展能力强的运行机制。”</w:t>
      </w:r>
    </w:p>
    <w:p w14:paraId="5FBED867">
      <w:pPr>
        <w:spacing w:line="300" w:lineRule="auto"/>
        <w:ind w:firstLine="440" w:firstLineChars="200"/>
        <w:rPr>
          <w:rFonts w:ascii="宋体" w:hAnsi="宋体" w:eastAsia="宋体" w:cs="Times New Roman"/>
          <w:szCs w:val="24"/>
        </w:rPr>
      </w:pPr>
      <w:r>
        <w:rPr>
          <w:rFonts w:hint="eastAsia" w:ascii="宋体" w:hAnsi="宋体" w:eastAsia="宋体" w:cs="Times New Roman"/>
          <w:b/>
          <w:szCs w:val="24"/>
        </w:rPr>
        <w:t>第六，《意见》提倡哲学社会科学的对外交流。</w:t>
      </w:r>
      <w:r>
        <w:rPr>
          <w:rFonts w:hint="eastAsia" w:ascii="宋体" w:hAnsi="宋体" w:eastAsia="宋体" w:cs="Times New Roman"/>
          <w:szCs w:val="24"/>
        </w:rPr>
        <w:t>在对外交流中，必须做到“三要”，即要大力实施哲学社会科学“走出去”战略来扩大我国哲学社会科学在世界上的影响，要翻译介绍一批我国哲学社会科学的优秀成果，要注意防止照抄照搬、食洋不化的现象，坚决抵制反动、腐朽的思想文化的侵蚀。</w:t>
      </w:r>
    </w:p>
    <w:p w14:paraId="18CEEE57">
      <w:pPr>
        <w:spacing w:line="300" w:lineRule="auto"/>
        <w:ind w:firstLine="440" w:firstLineChars="200"/>
        <w:rPr>
          <w:rFonts w:ascii="宋体" w:hAnsi="宋体" w:eastAsia="宋体" w:cs="Times New Roman"/>
          <w:szCs w:val="24"/>
        </w:rPr>
      </w:pPr>
      <w:r>
        <w:rPr>
          <w:rFonts w:hint="eastAsia" w:ascii="宋体" w:hAnsi="宋体" w:eastAsia="宋体" w:cs="Times New Roman"/>
          <w:b/>
          <w:szCs w:val="24"/>
        </w:rPr>
        <w:t>第七，《意见》明确了哲学社会科学的研究任务就是“七个深入”。</w:t>
      </w:r>
      <w:r>
        <w:rPr>
          <w:rFonts w:hint="eastAsia" w:ascii="宋体" w:hAnsi="宋体" w:eastAsia="宋体" w:cs="Times New Roman"/>
          <w:szCs w:val="24"/>
        </w:rPr>
        <w:t>即要深入研究马克思主义发展史，深入研究马克思主义基本原理，深入研究马克思主义的立场、观点和方法，深入研究马克思主义与时俱进的理论品质，深入研究马克思主义中国化的历史进程和毛泽东思想、邓小平理论、“三个代表”重要思想这三大理论成果，深入研究邓小平理论和“三个代表”重要思想对马克思列宁主义、毛泽东思想的继承和发展，深入研究邓小平理论和“三个代表”重要思想在什么是社会主义、怎样建设社会主义和建设什么样的党、怎样建设党的问题上提出的新思想、新观点、新论断。</w:t>
      </w:r>
    </w:p>
    <w:p w14:paraId="0BCC0AF1">
      <w:pPr>
        <w:spacing w:line="300" w:lineRule="auto"/>
        <w:ind w:firstLine="440" w:firstLineChars="200"/>
        <w:rPr>
          <w:rFonts w:ascii="宋体" w:hAnsi="宋体" w:eastAsia="宋体" w:cs="Times New Roman"/>
          <w:szCs w:val="24"/>
        </w:rPr>
      </w:pPr>
      <w:r>
        <w:rPr>
          <w:rFonts w:hint="eastAsia" w:ascii="宋体" w:hAnsi="宋体" w:eastAsia="宋体" w:cs="Times New Roman"/>
          <w:b/>
          <w:szCs w:val="24"/>
        </w:rPr>
        <w:t>第八，《意见》提出了哲学社会科学人才培养方向。</w:t>
      </w:r>
      <w:r>
        <w:rPr>
          <w:rFonts w:hint="eastAsia" w:ascii="宋体" w:hAnsi="宋体" w:eastAsia="宋体" w:cs="Times New Roman"/>
          <w:szCs w:val="24"/>
        </w:rPr>
        <w:t>主要表现为“三个造就”，即要按照政治强、业务精、作风正的要求，“造就一批用马克思主义武装起来、立足中国、面向世界、学贯中西的思想家和理论家，造就一批理论功底扎实、勇于开拓创新的学科带头人，造就一批年富力强、政治和业务素质良好、锐意进取的青年理论骨干。”同时，还要做到“两个坚持”，即要坚持党管干部和党管人才的原则，坚持“把那些忠诚于马克思主义、坚定走中国特色社会主义道路、熟悉哲学社会科学工作的人选拔到领导岗位上来”。</w:t>
      </w:r>
    </w:p>
    <w:p w14:paraId="6EF1C478">
      <w:pPr>
        <w:spacing w:line="300" w:lineRule="auto"/>
        <w:ind w:firstLine="440" w:firstLineChars="200"/>
        <w:rPr>
          <w:rFonts w:ascii="宋体" w:hAnsi="宋体" w:eastAsia="宋体" w:cs="Times New Roman"/>
          <w:szCs w:val="24"/>
        </w:rPr>
      </w:pPr>
      <w:r>
        <w:rPr>
          <w:rFonts w:hint="eastAsia" w:ascii="宋体" w:hAnsi="宋体" w:eastAsia="宋体" w:cs="Times New Roman"/>
          <w:b/>
          <w:szCs w:val="24"/>
        </w:rPr>
        <w:t>第九，《意见》重申了哲学社会科学的宣传纪律。</w:t>
      </w:r>
      <w:r>
        <w:rPr>
          <w:rFonts w:hint="eastAsia" w:ascii="宋体" w:hAnsi="宋体" w:eastAsia="宋体" w:cs="Times New Roman"/>
          <w:szCs w:val="24"/>
        </w:rPr>
        <w:t>主要表现在：一是要注意区分学术问题和政治问题的界限，不要把学术探讨中出现的问题当作政治问题，也不要把政治倾向性问题当作一般学术问题。二是学术问题的研究和讨论没有禁区，理论宣传和教学要有纪律。三是在事关政治方向和根本原则问题上，要旗帜鲜明。四是要重视加强对哲学社会科学宣传阵地和学术活动的管理。</w:t>
      </w:r>
    </w:p>
    <w:p w14:paraId="4F6AE39D">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通过学习，我们深深感到，这是党和国家在新时期赋予我们理论工作者的历史使命，我们要认真学习，掌握其精神实质，为繁荣发展哲学社会科学做出新贡献。</w:t>
      </w:r>
    </w:p>
    <w:p w14:paraId="3E0F3270">
      <w:pPr>
        <w:spacing w:before="156" w:beforeLines="50" w:after="156" w:afterLines="50" w:line="300" w:lineRule="auto"/>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二、要求真务实地推动现代政治经济学的创新</w:t>
      </w:r>
    </w:p>
    <w:p w14:paraId="4C6BFE88">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意见》中有许多地方提到理论创新问题，为政治经济学理论创新与发展指明了方向。政治经济学是研究社会经济形态的结构和运行的基础理论。政治经济学课程是高等学校马克思主义理论课和经济学类各专业的基础核心课程。政治经济学不是教条和封闭的科学，它必须不断地概括和总结不断发生着的经济实践经验，进行理论探索，并随着实践的发展而不断发展。但是，传统政治经济学体系存在着明显的缺陷：一是教条式地搬用《资本论》的逻辑体系结构，并将政治经济学分割为逻辑和内容不连贯的资本主义部分和社会主义部分两块。二是经济理论脱离经济实践。传统政治经济学不注重对实践经验的概括和总结，多半停留在对经典经济学理论的教条式的分类、注解和表述上。三是在政治经济学体系结构、研究方法和理论观点等诸多方面缺乏创新。</w:t>
      </w:r>
    </w:p>
    <w:p w14:paraId="20491416">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新中国成立以来，我国的政治经济学总体上是以马克思主义为指导思想，以中外经济发展为实践源泉，应该说取得了经济学说发展史上的重大成果，并对高绩效的中国经济发展作出了巨大贡献。然而其研究也存在值得注意和改进的方面，它包括，在规范分析层面上，单纯进行社会主义与资本主义的范畴和规律的对比，缺乏研究深度；在实证描述层面，没有继承马克思经济学高度重视数学方法的优良传统，缺乏定量分析；在政策研究层面，一味地“唯上”和“跟风”，缺乏反思意识；在学科重构层面，以社会主义市场经济学取代社会主义理论经济学，缺乏本质揭示。在方法变革层面，简单照搬西方经济学的范畴和理论，缺乏创新精神。在政治经济学的讲授和研究中，也存在着两种需要改进的方面：一是只重视对实际问题的研究，忽视对政治经济学基本原理、基本观点、基本方法的研究。二是只重视理论的研究，重视书本知识，忽视理论联系实际，因而不能进行理论创新，面对中国和世界经济发展中出现的新情况、新问题，提不出解决问题方法和政策建议。</w:t>
      </w:r>
    </w:p>
    <w:p w14:paraId="5BBA978F">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当前，政治经济学的重新建构就是对理论发展和实践呼唤的有力回应。由笔者之一程恩富主编的《现代政治经济学》（新世纪高校经济学管理学核心课程教材，上海财经大学出版社2000年版），突破了传统政治经济学的“二分法”（即将政治经济学分为社会主义部分和资本主义部分），在运用马克思主义基本原理、基本观点、基本方法的基础上，结合不断发展的实践进行理论创新，发展了马克思主义政治经济学，并在体系结构、分析方法和理论观点等一系列方面进行了创新。这一创新，除了具有方法新、观点新和资料新等特点之外，其突出地表现在体系结构和内容的创新上。该教材真正打破了传统的政治经济学“二分法”，却综合阐述了资本主义和社会主义市场经济的马克思主义政治经济学。依据马克思《资本论》体系和政治经济学六分册体系（设想分册研究资本、土地所有制、雇用劳动、国家、对外贸易和世界市场）的精神，在学术界首创“五过程体系”。除了导论和尾论之外，第一篇分析直接生产过程，第二篇分析流通过程，第三篇分析生产的总过程，第四篇分析国家经济过程，第五篇分析国际经济过程。应该说，这种体系结构的设计既秉承了马克思政治经济学的逻辑体系，使其具有内在的逻辑一致性。从方法论上说，本书首创在每章内部均按照“范畴一般与范畴特殊分析”来阐述，如在国家垄断经济一章，先谈国家垄断经济一般，再谈国家垄断资本主义，接着谈社会主义条件下的国家垄断，在市场经济一章，先谈市场经济共性，再分别谈市场经济的资本主义和社会主义特性。此外，除了主要运用历史唯物主义和唯物辩证法之外，还采用了新制度经济学分析法、博弈论分析方法和投入产出分析方法等；在体系内容方面，该书积极吸收国内外政治经济学关于资本主义和社会主义的最新研究成果，有扬弃地借鉴当代西方经济学的某些理论，强调原理的科学性、稳定性和预见性，坚持“不唯书、不唯上、不唯风”的精神，主张“思想应当解放而不僵化，学风应当严谨而不风化”。最近，我们还编写和出版了与教材相配套的《现代政治经济学案例》和《现代政治经济学习题》两本书，以弥补该教材侧重经济学原理分析而没有进行大量的经验实证描述等不足。暨南大学经济学院等不少高校使用这本教材（越南还出版了越文版），对于政治经济学的教学改革和学科建设，起了重要的作用。</w:t>
      </w:r>
    </w:p>
    <w:p w14:paraId="62BAE44B">
      <w:pPr>
        <w:spacing w:line="300" w:lineRule="auto"/>
        <w:ind w:firstLine="440" w:firstLineChars="200"/>
        <w:rPr>
          <w:rFonts w:ascii="宋体" w:hAnsi="宋体" w:eastAsia="宋体" w:cs="Times New Roman"/>
          <w:szCs w:val="24"/>
        </w:rPr>
      </w:pPr>
      <w:r>
        <w:rPr>
          <w:rFonts w:hint="eastAsia" w:ascii="宋体" w:hAnsi="宋体" w:eastAsia="宋体" w:cs="Times New Roman"/>
          <w:szCs w:val="24"/>
        </w:rPr>
        <w:t>目前，我们依据中央关于马克思主义理论研究和建设工程的精神，正在认真编写《现代政治经济学教参》，制作多媒体课件等，将全面完善政治经济学的现代化课程建设。同时，积极从事政治经济学专题的数量分析和模型研究，使现代政治经济学的教学和研究所具有的数学程度不低于现代西方经济学，而理论含量和学术深度大大超过现代西方经济学，从而与时俱进、求真务实地实现学术原创，真正做到既超越经典的马克思主义经济学，又超越现代西方经济学，形成具有中国特色、中国风格和中国气派的理论经济学范式，繁荣和发展我国的哲学社会科学。</w:t>
      </w:r>
    </w:p>
    <w:p w14:paraId="3C121DC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（原载《探求》2004年第6期第二作者为周肇光）</w:t>
      </w:r>
    </w:p>
    <w:p w14:paraId="75E4252B">
      <w:pPr>
        <w:widowControl/>
        <w:ind w:firstLine="440" w:firstLineChars="200"/>
        <w:jc w:val="left"/>
        <w:rPr>
          <w:rFonts w:ascii="宋体" w:hAnsi="宋体" w:eastAsia="宋体" w:cs="Times New Roman"/>
          <w:szCs w:val="21"/>
        </w:rPr>
      </w:pPr>
      <w:r>
        <w:rPr>
          <w:rFonts w:ascii="宋体" w:hAnsi="宋体" w:eastAsia="宋体" w:cs="Times New Roman"/>
          <w:szCs w:val="21"/>
        </w:rPr>
        <w:br w:type="page"/>
      </w:r>
    </w:p>
    <w:p w14:paraId="30720ABD">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442" w:name="_Toc110957419"/>
      <w:bookmarkStart w:id="443" w:name="_Toc8981"/>
      <w:bookmarkStart w:id="444" w:name="_Toc538677826"/>
      <w:bookmarkStart w:id="445" w:name="_Toc1691656705"/>
      <w:r>
        <w:rPr>
          <w:rFonts w:ascii="黑体" w:hAnsi="黑体" w:eastAsia="黑体" w:cs="Times New Roman"/>
          <w:color w:val="000000"/>
          <w:kern w:val="0"/>
          <w:sz w:val="32"/>
          <w:szCs w:val="32"/>
          <w:lang w:bidi="ar"/>
        </w:rPr>
        <w:t>国企改革不要神化</w:t>
      </w:r>
      <w:r>
        <w:rPr>
          <w:rFonts w:hint="eastAsia" w:ascii="黑体" w:hAnsi="黑体" w:eastAsia="黑体" w:cs="Times New Roman"/>
          <w:color w:val="000000"/>
          <w:kern w:val="0"/>
          <w:sz w:val="32"/>
          <w:szCs w:val="32"/>
          <w:lang w:bidi="ar"/>
        </w:rPr>
        <w:t>“</w:t>
      </w:r>
      <w:r>
        <w:rPr>
          <w:rFonts w:ascii="黑体" w:hAnsi="黑体" w:eastAsia="黑体" w:cs="Times New Roman"/>
          <w:color w:val="000000"/>
          <w:kern w:val="0"/>
          <w:sz w:val="32"/>
          <w:szCs w:val="32"/>
          <w:lang w:bidi="ar"/>
        </w:rPr>
        <w:t>私有产权作用”</w:t>
      </w:r>
      <w:bookmarkEnd w:id="442"/>
      <w:bookmarkEnd w:id="443"/>
      <w:bookmarkEnd w:id="444"/>
      <w:bookmarkEnd w:id="445"/>
    </w:p>
    <w:p w14:paraId="4987017C">
      <w:pPr>
        <w:pStyle w:val="21"/>
        <w:spacing w:line="400" w:lineRule="exact"/>
        <w:ind w:firstLine="440" w:firstLineChars="200"/>
        <w:jc w:val="both"/>
        <w:rPr>
          <w:rFonts w:cs="Times New Roman"/>
          <w:sz w:val="21"/>
          <w:szCs w:val="21"/>
        </w:rPr>
      </w:pPr>
      <w:r>
        <w:rPr>
          <w:rFonts w:cs="Times New Roman"/>
          <w:color w:val="000000"/>
          <w:sz w:val="21"/>
          <w:szCs w:val="21"/>
        </w:rPr>
        <w:t>各种社会主义市场经济改革的</w:t>
      </w:r>
      <w:bookmarkStart w:id="446" w:name="_Hlk110597190"/>
      <w:r>
        <w:rPr>
          <w:rFonts w:hint="eastAsia" w:cs="Times New Roman"/>
          <w:color w:val="000000"/>
          <w:sz w:val="21"/>
          <w:szCs w:val="21"/>
          <w:lang w:val="zh-CN" w:eastAsia="zh-CN" w:bidi="zh-CN"/>
        </w:rPr>
        <w:t>“</w:t>
      </w:r>
      <w:bookmarkEnd w:id="446"/>
      <w:r>
        <w:rPr>
          <w:rFonts w:cs="Times New Roman"/>
          <w:color w:val="000000"/>
          <w:sz w:val="21"/>
          <w:szCs w:val="21"/>
          <w:lang w:val="zh-CN" w:eastAsia="zh-CN" w:bidi="zh-CN"/>
        </w:rPr>
        <w:t>同</w:t>
      </w:r>
      <w:r>
        <w:rPr>
          <w:rFonts w:cs="Times New Roman"/>
          <w:color w:val="000000"/>
          <w:sz w:val="21"/>
          <w:szCs w:val="21"/>
        </w:rPr>
        <w:t>路人”即自由派人士，经常指责社会主义的真正改革家</w:t>
      </w:r>
      <w:r>
        <w:rPr>
          <w:rFonts w:hint="eastAsia" w:cs="Times New Roman"/>
          <w:color w:val="000000"/>
          <w:sz w:val="21"/>
          <w:szCs w:val="21"/>
          <w:lang w:val="zh-CN" w:eastAsia="zh-CN" w:bidi="zh-CN"/>
        </w:rPr>
        <w:t>“</w:t>
      </w:r>
      <w:r>
        <w:rPr>
          <w:rFonts w:cs="Times New Roman"/>
          <w:color w:val="000000"/>
          <w:sz w:val="21"/>
          <w:szCs w:val="21"/>
          <w:lang w:val="zh-CN" w:eastAsia="zh-CN" w:bidi="zh-CN"/>
        </w:rPr>
        <w:t>只会</w:t>
      </w:r>
      <w:r>
        <w:rPr>
          <w:rFonts w:cs="Times New Roman"/>
          <w:color w:val="000000"/>
          <w:sz w:val="21"/>
          <w:szCs w:val="21"/>
        </w:rPr>
        <w:t>批判，不会建设”，这是没有依据的。自由派的改革路线很简单，就是</w:t>
      </w:r>
      <w:r>
        <w:rPr>
          <w:rFonts w:hint="eastAsia" w:cs="Times New Roman"/>
          <w:color w:val="000000"/>
          <w:sz w:val="21"/>
          <w:szCs w:val="21"/>
          <w:lang w:val="zh-CN" w:eastAsia="zh-CN" w:bidi="zh-CN"/>
        </w:rPr>
        <w:t>“</w:t>
      </w:r>
      <w:r>
        <w:rPr>
          <w:rFonts w:cs="Times New Roman"/>
          <w:color w:val="000000"/>
          <w:sz w:val="21"/>
          <w:szCs w:val="21"/>
          <w:lang w:val="zh-CN" w:eastAsia="zh-CN" w:bidi="zh-CN"/>
        </w:rPr>
        <w:t>一卖</w:t>
      </w:r>
      <w:r>
        <w:rPr>
          <w:rFonts w:cs="Times New Roman"/>
          <w:color w:val="000000"/>
          <w:sz w:val="21"/>
          <w:szCs w:val="21"/>
        </w:rPr>
        <w:t>了之”、私有化</w:t>
      </w:r>
      <w:r>
        <w:rPr>
          <w:rFonts w:hint="eastAsia" w:cs="Times New Roman"/>
          <w:color w:val="000000"/>
          <w:sz w:val="21"/>
          <w:szCs w:val="21"/>
          <w:lang w:val="zh-CN" w:eastAsia="zh-CN" w:bidi="zh-CN"/>
        </w:rPr>
        <w:t>“</w:t>
      </w:r>
      <w:r>
        <w:rPr>
          <w:rFonts w:cs="Times New Roman"/>
          <w:color w:val="000000"/>
          <w:sz w:val="21"/>
          <w:szCs w:val="21"/>
          <w:lang w:val="zh-CN" w:eastAsia="zh-CN" w:bidi="zh-CN"/>
        </w:rPr>
        <w:t>改</w:t>
      </w:r>
      <w:r>
        <w:rPr>
          <w:rFonts w:cs="Times New Roman"/>
          <w:color w:val="000000"/>
          <w:sz w:val="21"/>
          <w:szCs w:val="21"/>
        </w:rPr>
        <w:t>向”，因而用不着动脑筋，只要渐进式地步俄罗斯的后尘即可，最多在口头上反对一下</w:t>
      </w:r>
      <w:r>
        <w:rPr>
          <w:rFonts w:hint="eastAsia" w:cs="Times New Roman"/>
          <w:color w:val="000000"/>
          <w:sz w:val="21"/>
          <w:szCs w:val="21"/>
          <w:lang w:val="zh-CN" w:eastAsia="zh-CN" w:bidi="zh-CN"/>
        </w:rPr>
        <w:t>“</w:t>
      </w:r>
      <w:r>
        <w:rPr>
          <w:rFonts w:cs="Times New Roman"/>
          <w:color w:val="000000"/>
          <w:sz w:val="21"/>
          <w:szCs w:val="21"/>
          <w:lang w:val="zh-CN" w:eastAsia="zh-CN" w:bidi="zh-CN"/>
        </w:rPr>
        <w:t>权</w:t>
      </w:r>
      <w:r>
        <w:rPr>
          <w:rFonts w:cs="Times New Roman"/>
          <w:color w:val="000000"/>
          <w:sz w:val="21"/>
          <w:szCs w:val="21"/>
        </w:rPr>
        <w:t>贵资本主义”和抽象地赞成搞</w:t>
      </w:r>
      <w:r>
        <w:rPr>
          <w:rFonts w:hint="eastAsia" w:cs="Times New Roman"/>
          <w:color w:val="000000"/>
          <w:sz w:val="21"/>
          <w:szCs w:val="21"/>
          <w:lang w:val="zh-CN" w:eastAsia="zh-CN" w:bidi="zh-CN"/>
        </w:rPr>
        <w:t>“</w:t>
      </w:r>
      <w:r>
        <w:rPr>
          <w:rFonts w:cs="Times New Roman"/>
          <w:color w:val="000000"/>
          <w:sz w:val="21"/>
          <w:szCs w:val="21"/>
          <w:lang w:val="zh-CN" w:eastAsia="zh-CN" w:bidi="zh-CN"/>
        </w:rPr>
        <w:t>好</w:t>
      </w:r>
      <w:r>
        <w:rPr>
          <w:rFonts w:cs="Times New Roman"/>
          <w:color w:val="000000"/>
          <w:sz w:val="21"/>
          <w:szCs w:val="21"/>
        </w:rPr>
        <w:t>的市场经济”。而要真正坚持社会主义方向的改革，那就必须动脑筋，所以，不可能在大众媒体上发表随心所欲和哗众取宠的</w:t>
      </w:r>
      <w:r>
        <w:rPr>
          <w:rFonts w:hint="eastAsia" w:cs="Times New Roman"/>
          <w:color w:val="000000"/>
          <w:sz w:val="21"/>
          <w:szCs w:val="21"/>
          <w:lang w:val="zh-CN" w:eastAsia="zh-CN" w:bidi="zh-CN"/>
        </w:rPr>
        <w:t>“</w:t>
      </w:r>
      <w:r>
        <w:rPr>
          <w:rFonts w:cs="Times New Roman"/>
          <w:color w:val="000000"/>
          <w:sz w:val="21"/>
          <w:szCs w:val="21"/>
          <w:lang w:val="zh-CN" w:eastAsia="zh-CN" w:bidi="zh-CN"/>
        </w:rPr>
        <w:t>改</w:t>
      </w:r>
      <w:r>
        <w:rPr>
          <w:rFonts w:cs="Times New Roman"/>
          <w:color w:val="000000"/>
          <w:sz w:val="21"/>
          <w:szCs w:val="21"/>
        </w:rPr>
        <w:t>革言论”，其社会知名度自然难以提高。媒体往往追求</w:t>
      </w:r>
      <w:r>
        <w:rPr>
          <w:rFonts w:hint="eastAsia" w:cs="Times New Roman"/>
          <w:color w:val="000000"/>
          <w:sz w:val="21"/>
          <w:szCs w:val="21"/>
          <w:lang w:val="zh-CN" w:eastAsia="zh-CN" w:bidi="zh-CN"/>
        </w:rPr>
        <w:t>“</w:t>
      </w:r>
      <w:r>
        <w:rPr>
          <w:rFonts w:cs="Times New Roman"/>
          <w:color w:val="000000"/>
          <w:sz w:val="21"/>
          <w:szCs w:val="21"/>
          <w:lang w:val="zh-CN" w:eastAsia="zh-CN" w:bidi="zh-CN"/>
        </w:rPr>
        <w:t>新论</w:t>
      </w:r>
      <w:r>
        <w:rPr>
          <w:rFonts w:cs="Times New Roman"/>
          <w:color w:val="000000"/>
          <w:sz w:val="21"/>
          <w:szCs w:val="21"/>
          <w:lang w:val="en-US" w:eastAsia="zh-CN" w:bidi="en-US"/>
        </w:rPr>
        <w:t>”</w:t>
      </w:r>
      <w:r>
        <w:rPr>
          <w:rFonts w:cs="Times New Roman"/>
          <w:color w:val="000000"/>
          <w:sz w:val="21"/>
          <w:szCs w:val="21"/>
        </w:rPr>
        <w:t>，这样就给很多</w:t>
      </w:r>
      <w:r>
        <w:rPr>
          <w:rFonts w:hint="eastAsia" w:cs="Times New Roman"/>
          <w:color w:val="000000"/>
          <w:sz w:val="21"/>
          <w:szCs w:val="21"/>
          <w:lang w:val="zh-CN" w:eastAsia="zh-CN" w:bidi="zh-CN"/>
        </w:rPr>
        <w:t>“</w:t>
      </w:r>
      <w:r>
        <w:rPr>
          <w:rFonts w:cs="Times New Roman"/>
          <w:color w:val="000000"/>
          <w:sz w:val="21"/>
          <w:szCs w:val="21"/>
          <w:lang w:val="zh-CN" w:eastAsia="zh-CN" w:bidi="zh-CN"/>
        </w:rPr>
        <w:t>新的</w:t>
      </w:r>
      <w:r>
        <w:rPr>
          <w:rFonts w:cs="Times New Roman"/>
          <w:color w:val="000000"/>
          <w:sz w:val="21"/>
          <w:szCs w:val="21"/>
        </w:rPr>
        <w:t>误论”提供了市场。难怪许多学生说：</w:t>
      </w:r>
      <w:r>
        <w:rPr>
          <w:rFonts w:cs="Times New Roman"/>
          <w:color w:val="000000"/>
          <w:sz w:val="21"/>
          <w:szCs w:val="21"/>
          <w:lang w:val="zh-CN" w:eastAsia="zh-CN" w:bidi="zh-CN"/>
        </w:rPr>
        <w:t>”怎</w:t>
      </w:r>
      <w:r>
        <w:rPr>
          <w:rFonts w:cs="Times New Roman"/>
          <w:color w:val="000000"/>
          <w:sz w:val="21"/>
          <w:szCs w:val="21"/>
        </w:rPr>
        <w:t>么著名经济学家大都主张民营化即私有化？”</w:t>
      </w:r>
    </w:p>
    <w:p w14:paraId="482EA02D">
      <w:pPr>
        <w:pStyle w:val="21"/>
        <w:spacing w:line="400" w:lineRule="exact"/>
        <w:ind w:firstLine="440" w:firstLineChars="200"/>
        <w:jc w:val="both"/>
        <w:rPr>
          <w:rFonts w:cs="Times New Roman"/>
          <w:sz w:val="21"/>
          <w:szCs w:val="21"/>
        </w:rPr>
      </w:pPr>
      <w:r>
        <w:rPr>
          <w:rFonts w:cs="Times New Roman"/>
          <w:color w:val="000000"/>
          <w:sz w:val="21"/>
          <w:szCs w:val="21"/>
        </w:rPr>
        <w:t>其实，从历史上看，资本主义私有化的言论是最陈腐的陈词滥调，中国自鸦片战争一直到解放前，世界自资产阶级革命一直到苏联东欧社会主义国家</w:t>
      </w:r>
      <w:r>
        <w:rPr>
          <w:rFonts w:hint="eastAsia" w:cs="Times New Roman"/>
          <w:color w:val="000000"/>
          <w:sz w:val="21"/>
          <w:szCs w:val="21"/>
          <w:lang w:val="zh-CN" w:eastAsia="zh-CN" w:bidi="zh-CN"/>
        </w:rPr>
        <w:t>“</w:t>
      </w:r>
      <w:r>
        <w:rPr>
          <w:rFonts w:cs="Times New Roman"/>
          <w:color w:val="000000"/>
          <w:sz w:val="21"/>
          <w:szCs w:val="21"/>
          <w:lang w:val="zh-CN" w:eastAsia="zh-CN" w:bidi="zh-CN"/>
        </w:rPr>
        <w:t>改</w:t>
      </w:r>
      <w:r>
        <w:rPr>
          <w:rFonts w:cs="Times New Roman"/>
          <w:color w:val="000000"/>
          <w:sz w:val="21"/>
          <w:szCs w:val="21"/>
        </w:rPr>
        <w:t>向”，流行了上百年，并非真正的</w:t>
      </w:r>
      <w:r>
        <w:rPr>
          <w:rFonts w:hint="eastAsia" w:cs="Times New Roman"/>
          <w:color w:val="000000"/>
          <w:sz w:val="21"/>
          <w:szCs w:val="21"/>
          <w:lang w:val="zh-CN" w:eastAsia="zh-CN" w:bidi="zh-CN"/>
        </w:rPr>
        <w:t>“</w:t>
      </w:r>
      <w:r>
        <w:rPr>
          <w:rFonts w:cs="Times New Roman"/>
          <w:color w:val="000000"/>
          <w:sz w:val="21"/>
          <w:szCs w:val="21"/>
          <w:lang w:val="zh-CN" w:eastAsia="zh-CN" w:bidi="zh-CN"/>
        </w:rPr>
        <w:t>历</w:t>
      </w:r>
      <w:r>
        <w:rPr>
          <w:rFonts w:cs="Times New Roman"/>
          <w:color w:val="000000"/>
          <w:sz w:val="21"/>
          <w:szCs w:val="21"/>
        </w:rPr>
        <w:t>史新论”。</w:t>
      </w:r>
    </w:p>
    <w:p w14:paraId="73E019E7">
      <w:pPr>
        <w:pStyle w:val="21"/>
        <w:spacing w:line="400" w:lineRule="exact"/>
        <w:ind w:firstLine="440" w:firstLineChars="200"/>
        <w:jc w:val="both"/>
        <w:rPr>
          <w:rFonts w:cs="Times New Roman"/>
          <w:sz w:val="21"/>
          <w:szCs w:val="21"/>
          <w:lang w:val="zh-CN" w:eastAsia="zh-CN" w:bidi="zh-CN"/>
        </w:rPr>
      </w:pPr>
      <w:r>
        <w:rPr>
          <w:rFonts w:cs="Times New Roman"/>
          <w:color w:val="000000"/>
          <w:sz w:val="21"/>
          <w:szCs w:val="21"/>
        </w:rPr>
        <w:t>近年.不仅原克林顿总统经济顾问委员会主席斯蒂格利茨批评俄罗斯及</w:t>
      </w:r>
      <w:r>
        <w:rPr>
          <w:rFonts w:hint="eastAsia" w:cs="Times New Roman"/>
          <w:color w:val="000000"/>
          <w:sz w:val="21"/>
          <w:szCs w:val="21"/>
          <w:lang w:val="zh-CN" w:eastAsia="zh-CN" w:bidi="zh-CN"/>
        </w:rPr>
        <w:t>“</w:t>
      </w:r>
      <w:r>
        <w:rPr>
          <w:rFonts w:cs="Times New Roman"/>
          <w:color w:val="000000"/>
          <w:sz w:val="21"/>
          <w:szCs w:val="21"/>
          <w:lang w:val="zh-CN" w:eastAsia="zh-CN" w:bidi="zh-CN"/>
        </w:rPr>
        <w:t>私</w:t>
      </w:r>
      <w:r>
        <w:rPr>
          <w:rFonts w:cs="Times New Roman"/>
          <w:color w:val="000000"/>
          <w:sz w:val="21"/>
          <w:szCs w:val="21"/>
        </w:rPr>
        <w:t>有产权神化”，就是</w:t>
      </w:r>
      <w:r>
        <w:rPr>
          <w:rFonts w:hint="eastAsia" w:cs="Times New Roman"/>
          <w:color w:val="000000"/>
          <w:sz w:val="21"/>
          <w:szCs w:val="21"/>
          <w:lang w:val="zh-CN" w:eastAsia="zh-CN" w:bidi="zh-CN"/>
        </w:rPr>
        <w:t>“</w:t>
      </w:r>
      <w:r>
        <w:rPr>
          <w:rFonts w:cs="Times New Roman"/>
          <w:color w:val="000000"/>
          <w:sz w:val="21"/>
          <w:szCs w:val="21"/>
          <w:lang w:val="zh-CN" w:eastAsia="zh-CN" w:bidi="zh-CN"/>
        </w:rPr>
        <w:t>休克</w:t>
      </w:r>
      <w:r>
        <w:rPr>
          <w:rFonts w:cs="Times New Roman"/>
          <w:color w:val="000000"/>
          <w:sz w:val="21"/>
          <w:szCs w:val="21"/>
        </w:rPr>
        <w:t>疗法”首倡者、哈佛大学萨克斯教授</w:t>
      </w:r>
      <w:r>
        <w:rPr>
          <w:rFonts w:cs="Times New Roman"/>
          <w:b/>
          <w:bCs/>
          <w:color w:val="000000"/>
          <w:sz w:val="21"/>
          <w:szCs w:val="21"/>
        </w:rPr>
        <w:t>1999</w:t>
      </w:r>
      <w:r>
        <w:rPr>
          <w:rFonts w:cs="Times New Roman"/>
          <w:color w:val="000000"/>
          <w:sz w:val="21"/>
          <w:szCs w:val="21"/>
        </w:rPr>
        <w:t>年</w:t>
      </w:r>
      <w:r>
        <w:rPr>
          <w:rFonts w:cs="Times New Roman"/>
          <w:b/>
          <w:bCs/>
          <w:color w:val="000000"/>
          <w:sz w:val="21"/>
          <w:szCs w:val="21"/>
        </w:rPr>
        <w:t>11</w:t>
      </w:r>
      <w:r>
        <w:rPr>
          <w:rFonts w:cs="Times New Roman"/>
          <w:color w:val="000000"/>
          <w:sz w:val="21"/>
          <w:szCs w:val="21"/>
        </w:rPr>
        <w:t>月</w:t>
      </w:r>
      <w:r>
        <w:rPr>
          <w:rFonts w:cs="Times New Roman"/>
          <w:b/>
          <w:bCs/>
          <w:color w:val="000000"/>
          <w:sz w:val="21"/>
          <w:szCs w:val="21"/>
        </w:rPr>
        <w:t>7</w:t>
      </w:r>
      <w:r>
        <w:rPr>
          <w:rFonts w:cs="Times New Roman"/>
          <w:color w:val="000000"/>
          <w:sz w:val="21"/>
          <w:szCs w:val="21"/>
        </w:rPr>
        <w:t>日在《华尔街日报》也写到，</w:t>
      </w:r>
      <w:r>
        <w:rPr>
          <w:rFonts w:cs="Times New Roman"/>
          <w:color w:val="000000"/>
          <w:sz w:val="21"/>
          <w:szCs w:val="21"/>
          <w:lang w:val="zh-CN" w:eastAsia="zh-CN" w:bidi="zh-CN"/>
        </w:rPr>
        <w:t>”我过</w:t>
      </w:r>
      <w:r>
        <w:rPr>
          <w:rFonts w:cs="Times New Roman"/>
          <w:color w:val="000000"/>
          <w:sz w:val="21"/>
          <w:szCs w:val="21"/>
        </w:rPr>
        <w:t>去对于大众私有化是过度乐观了。</w:t>
      </w:r>
      <w:r>
        <w:rPr>
          <w:rFonts w:cs="Times New Roman"/>
          <w:b/>
          <w:bCs/>
          <w:color w:val="000000"/>
          <w:sz w:val="21"/>
          <w:szCs w:val="21"/>
        </w:rPr>
        <w:t>1991</w:t>
      </w:r>
      <w:r>
        <w:rPr>
          <w:rFonts w:cs="Times New Roman"/>
          <w:color w:val="000000"/>
          <w:sz w:val="21"/>
          <w:szCs w:val="21"/>
        </w:rPr>
        <w:t>年捷克和</w:t>
      </w:r>
      <w:r>
        <w:rPr>
          <w:rFonts w:cs="Times New Roman"/>
          <w:b/>
          <w:bCs/>
          <w:color w:val="000000"/>
          <w:sz w:val="21"/>
          <w:szCs w:val="21"/>
        </w:rPr>
        <w:t>1993</w:t>
      </w:r>
      <w:r>
        <w:rPr>
          <w:rFonts w:cs="Times New Roman"/>
          <w:color w:val="000000"/>
          <w:sz w:val="21"/>
          <w:szCs w:val="21"/>
        </w:rPr>
        <w:t>年俄国的证券私有化，很快就变成了腐败性的资产掠夺。管理者侵吞资产，而证券持有人到头来往往一无所有</w:t>
      </w:r>
      <w:r>
        <w:rPr>
          <w:rFonts w:cs="Times New Roman"/>
          <w:color w:val="000000"/>
          <w:sz w:val="21"/>
          <w:szCs w:val="21"/>
          <w:lang w:val="zh-CN" w:eastAsia="zh-CN" w:bidi="zh-CN"/>
        </w:rPr>
        <w:t>”，他</w:t>
      </w:r>
      <w:r>
        <w:rPr>
          <w:rFonts w:cs="Times New Roman"/>
          <w:color w:val="000000"/>
          <w:sz w:val="21"/>
          <w:szCs w:val="21"/>
        </w:rPr>
        <w:t>甚至反悔式地提出，应当有选择地重新国有化，将一些严重腐败的私有化交易推翻重来。原苏联经济学家亚夫林斯基曾是</w:t>
      </w:r>
      <w:r>
        <w:rPr>
          <w:rFonts w:hint="eastAsia" w:cs="Times New Roman"/>
          <w:color w:val="000000"/>
          <w:sz w:val="21"/>
          <w:szCs w:val="21"/>
          <w:lang w:val="zh-CN" w:eastAsia="zh-CN" w:bidi="zh-CN"/>
        </w:rPr>
        <w:t>“</w:t>
      </w:r>
      <w:r>
        <w:rPr>
          <w:rFonts w:cs="Times New Roman"/>
          <w:color w:val="000000"/>
          <w:sz w:val="21"/>
          <w:szCs w:val="21"/>
          <w:lang w:val="zh-CN" w:eastAsia="zh-CN" w:bidi="zh-CN"/>
        </w:rPr>
        <w:t>转向</w:t>
      </w:r>
      <w:r>
        <w:rPr>
          <w:rFonts w:cs="Times New Roman"/>
          <w:color w:val="000000"/>
          <w:sz w:val="21"/>
          <w:szCs w:val="21"/>
        </w:rPr>
        <w:t>市场经济的方针和纲领”（即主张私有化的</w:t>
      </w:r>
      <w:r>
        <w:rPr>
          <w:rFonts w:hint="eastAsia" w:cs="Times New Roman"/>
          <w:color w:val="000000"/>
          <w:sz w:val="21"/>
          <w:szCs w:val="21"/>
          <w:lang w:val="zh-CN" w:eastAsia="zh-CN" w:bidi="zh-CN"/>
        </w:rPr>
        <w:t>“</w:t>
      </w:r>
      <w:r>
        <w:rPr>
          <w:rFonts w:cs="Times New Roman"/>
          <w:b/>
          <w:bCs/>
          <w:color w:val="000000"/>
          <w:sz w:val="21"/>
          <w:szCs w:val="21"/>
        </w:rPr>
        <w:t>500</w:t>
      </w:r>
      <w:r>
        <w:rPr>
          <w:rFonts w:cs="Times New Roman"/>
          <w:color w:val="000000"/>
          <w:sz w:val="21"/>
          <w:szCs w:val="21"/>
        </w:rPr>
        <w:t>天纲领”）的主要起草者之一，当时声名大噪。但是，十年之后，他却在《激励与制度：俄国向市场经济的过渡》的新著中明确表示，以</w:t>
      </w:r>
      <w:r>
        <w:rPr>
          <w:rFonts w:hint="eastAsia" w:cs="Times New Roman"/>
          <w:color w:val="000000"/>
          <w:sz w:val="21"/>
          <w:szCs w:val="21"/>
          <w:lang w:val="zh-CN" w:eastAsia="zh-CN" w:bidi="zh-CN"/>
        </w:rPr>
        <w:t>“</w:t>
      </w:r>
      <w:r>
        <w:rPr>
          <w:rFonts w:cs="Times New Roman"/>
          <w:color w:val="000000"/>
          <w:sz w:val="21"/>
          <w:szCs w:val="21"/>
          <w:lang w:val="zh-CN" w:eastAsia="zh-CN" w:bidi="zh-CN"/>
        </w:rPr>
        <w:t>休克</w:t>
      </w:r>
      <w:r>
        <w:rPr>
          <w:rFonts w:cs="Times New Roman"/>
          <w:color w:val="000000"/>
          <w:sz w:val="21"/>
          <w:szCs w:val="21"/>
        </w:rPr>
        <w:t>疗法”和大规模私有化为标志的俄国经济改革，彻底失败了。郎咸平、左大培、王志伟、崔之元等人的观点，同张五常、张维迎、周其仁等人的观点，谁对谁错，不是一目了然吗？</w:t>
      </w:r>
    </w:p>
    <w:p w14:paraId="48D89356">
      <w:pPr>
        <w:pStyle w:val="21"/>
        <w:spacing w:line="400" w:lineRule="exact"/>
        <w:ind w:firstLine="440" w:firstLineChars="200"/>
        <w:jc w:val="both"/>
        <w:rPr>
          <w:rFonts w:cs="Times New Roman"/>
          <w:sz w:val="21"/>
          <w:szCs w:val="21"/>
        </w:rPr>
      </w:pPr>
      <w:r>
        <w:rPr>
          <w:rFonts w:cs="Times New Roman"/>
          <w:color w:val="000000"/>
          <w:sz w:val="21"/>
          <w:szCs w:val="21"/>
        </w:rPr>
        <w:t>除了我在</w:t>
      </w:r>
      <w:r>
        <w:rPr>
          <w:rFonts w:cs="Times New Roman"/>
          <w:b/>
          <w:bCs/>
          <w:color w:val="000000"/>
          <w:sz w:val="21"/>
          <w:szCs w:val="21"/>
        </w:rPr>
        <w:t>2004</w:t>
      </w:r>
      <w:r>
        <w:rPr>
          <w:rFonts w:cs="Times New Roman"/>
          <w:color w:val="000000"/>
          <w:sz w:val="21"/>
          <w:szCs w:val="21"/>
        </w:rPr>
        <w:t>年</w:t>
      </w:r>
      <w:r>
        <w:rPr>
          <w:rFonts w:cs="Times New Roman"/>
          <w:b/>
          <w:bCs/>
          <w:color w:val="000000"/>
          <w:sz w:val="21"/>
          <w:szCs w:val="21"/>
        </w:rPr>
        <w:t>5</w:t>
      </w:r>
      <w:r>
        <w:rPr>
          <w:rFonts w:cs="Times New Roman"/>
          <w:color w:val="000000"/>
          <w:sz w:val="21"/>
          <w:szCs w:val="21"/>
        </w:rPr>
        <w:t>月中共中央政治局第</w:t>
      </w:r>
      <w:r>
        <w:rPr>
          <w:rFonts w:cs="Times New Roman"/>
          <w:b/>
          <w:bCs/>
          <w:color w:val="000000"/>
          <w:sz w:val="21"/>
          <w:szCs w:val="21"/>
        </w:rPr>
        <w:t>13</w:t>
      </w:r>
      <w:r>
        <w:rPr>
          <w:rFonts w:cs="Times New Roman"/>
          <w:color w:val="000000"/>
          <w:sz w:val="21"/>
          <w:szCs w:val="21"/>
        </w:rPr>
        <w:t>次集体学习会上讲解时批评</w:t>
      </w:r>
      <w:r>
        <w:rPr>
          <w:rFonts w:hint="eastAsia" w:cs="Times New Roman"/>
          <w:color w:val="000000"/>
          <w:sz w:val="21"/>
          <w:szCs w:val="21"/>
          <w:lang w:val="zh-CN" w:eastAsia="zh-CN" w:bidi="zh-CN"/>
        </w:rPr>
        <w:t>“</w:t>
      </w:r>
      <w:r>
        <w:rPr>
          <w:rFonts w:cs="Times New Roman"/>
          <w:color w:val="000000"/>
          <w:sz w:val="21"/>
          <w:szCs w:val="21"/>
          <w:lang w:val="zh-CN" w:eastAsia="zh-CN" w:bidi="zh-CN"/>
        </w:rPr>
        <w:t>不</w:t>
      </w:r>
      <w:r>
        <w:rPr>
          <w:rFonts w:cs="Times New Roman"/>
          <w:color w:val="000000"/>
          <w:sz w:val="21"/>
          <w:szCs w:val="21"/>
        </w:rPr>
        <w:t>少地方大卖公有企业”之外；</w:t>
      </w:r>
      <w:r>
        <w:rPr>
          <w:rFonts w:cs="Times New Roman"/>
          <w:b/>
          <w:bCs/>
          <w:color w:val="000000"/>
          <w:sz w:val="21"/>
          <w:szCs w:val="21"/>
        </w:rPr>
        <w:t>2002</w:t>
      </w:r>
      <w:r>
        <w:rPr>
          <w:rFonts w:cs="Times New Roman"/>
          <w:color w:val="000000"/>
          <w:sz w:val="21"/>
          <w:szCs w:val="21"/>
        </w:rPr>
        <w:t>年</w:t>
      </w:r>
      <w:r>
        <w:rPr>
          <w:rFonts w:cs="Times New Roman"/>
          <w:b/>
          <w:bCs/>
          <w:color w:val="000000"/>
          <w:sz w:val="21"/>
          <w:szCs w:val="21"/>
        </w:rPr>
        <w:t>2</w:t>
      </w:r>
      <w:r>
        <w:rPr>
          <w:rFonts w:cs="Times New Roman"/>
          <w:color w:val="000000"/>
          <w:sz w:val="21"/>
          <w:szCs w:val="21"/>
        </w:rPr>
        <w:t>月，我先在当时上海市委领导主持的改革座谈会上，专门汇报了国有经济的改革和发展思路；接着同月，又应邀在当时由江泽民同志主持的改革座谈会上，再次重复汇报了一些新建议。因为学界和政界并未达成共识并有效实施，因而现再作阐述。</w:t>
      </w:r>
    </w:p>
    <w:p w14:paraId="366CFE8B">
      <w:pPr>
        <w:pStyle w:val="21"/>
        <w:spacing w:line="400" w:lineRule="exact"/>
        <w:ind w:firstLine="440" w:firstLineChars="200"/>
        <w:jc w:val="both"/>
        <w:rPr>
          <w:rFonts w:cs="Times New Roman"/>
          <w:sz w:val="21"/>
          <w:szCs w:val="21"/>
        </w:rPr>
      </w:pPr>
      <w:r>
        <w:rPr>
          <w:rFonts w:cs="Times New Roman"/>
          <w:color w:val="000000"/>
          <w:sz w:val="21"/>
          <w:szCs w:val="21"/>
        </w:rPr>
        <w:t>我认为，国企的改革与重振，是我国社会主义经济体制改革的最重要任务。目前，由于多种因素，国有经济的发展绩效没有得到根本提高，国企改革和发展的任务仍很艰巨。但是，决不能因此对国企改革丧失信心，更不能放弃中央关于国企改革和发展的决定以及”十六大”完善社会主义市场经济体制的精神。</w:t>
      </w:r>
    </w:p>
    <w:p w14:paraId="289A5239">
      <w:pPr>
        <w:pStyle w:val="21"/>
        <w:spacing w:line="400" w:lineRule="exact"/>
        <w:ind w:firstLine="440" w:firstLineChars="200"/>
        <w:jc w:val="both"/>
        <w:rPr>
          <w:rFonts w:cs="Times New Roman"/>
          <w:sz w:val="21"/>
          <w:szCs w:val="21"/>
        </w:rPr>
      </w:pPr>
      <w:r>
        <w:rPr>
          <w:rFonts w:cs="Times New Roman"/>
          <w:color w:val="000000"/>
          <w:sz w:val="21"/>
          <w:szCs w:val="21"/>
        </w:rPr>
        <w:t>第一，从建立社会主义市场经济和巩固社会主义根本经济制度的髙度出发，充分认识改革好国有企业的重要意义。十六大指出：</w:t>
      </w:r>
      <w:r>
        <w:rPr>
          <w:rFonts w:hint="eastAsia" w:cs="Times New Roman"/>
          <w:color w:val="000000"/>
          <w:sz w:val="21"/>
          <w:szCs w:val="21"/>
          <w:lang w:val="zh-CN" w:eastAsia="zh-CN" w:bidi="zh-CN"/>
        </w:rPr>
        <w:t>“</w:t>
      </w:r>
      <w:r>
        <w:rPr>
          <w:rFonts w:cs="Times New Roman"/>
          <w:color w:val="000000"/>
          <w:sz w:val="21"/>
          <w:szCs w:val="21"/>
          <w:lang w:val="zh-CN" w:eastAsia="zh-CN" w:bidi="zh-CN"/>
        </w:rPr>
        <w:t>发</w:t>
      </w:r>
      <w:r>
        <w:rPr>
          <w:rFonts w:cs="Times New Roman"/>
          <w:color w:val="000000"/>
          <w:sz w:val="21"/>
          <w:szCs w:val="21"/>
        </w:rPr>
        <w:t>展壮大国有经济，国有经济控制国民经济命脉，对于发挥社会主义制度的优越性，增强我国的经济实力、国防实力和民族凝聚力，具有关键性作用。”</w:t>
      </w:r>
      <w:r>
        <w:rPr>
          <w:rFonts w:cs="Times New Roman"/>
          <w:color w:val="000000"/>
          <w:sz w:val="21"/>
          <w:szCs w:val="21"/>
          <w:lang w:val="zh-CN" w:eastAsia="zh-CN" w:bidi="zh-CN"/>
        </w:rPr>
        <w:t>“国</w:t>
      </w:r>
      <w:r>
        <w:rPr>
          <w:rFonts w:cs="Times New Roman"/>
          <w:color w:val="000000"/>
          <w:sz w:val="21"/>
          <w:szCs w:val="21"/>
        </w:rPr>
        <w:t>有企业是我国国民经济的支柱”，</w:t>
      </w:r>
      <w:r>
        <w:rPr>
          <w:rFonts w:hint="eastAsia" w:cs="Times New Roman"/>
          <w:color w:val="000000"/>
          <w:sz w:val="21"/>
          <w:szCs w:val="21"/>
          <w:lang w:val="zh-CN" w:eastAsia="zh-CN" w:bidi="zh-CN"/>
        </w:rPr>
        <w:t>“</w:t>
      </w:r>
      <w:r>
        <w:rPr>
          <w:rFonts w:cs="Times New Roman"/>
          <w:color w:val="000000"/>
          <w:sz w:val="21"/>
          <w:szCs w:val="21"/>
          <w:lang w:val="zh-CN" w:eastAsia="zh-CN" w:bidi="zh-CN"/>
        </w:rPr>
        <w:t>重</w:t>
      </w:r>
      <w:r>
        <w:rPr>
          <w:rFonts w:cs="Times New Roman"/>
          <w:color w:val="000000"/>
          <w:sz w:val="21"/>
          <w:szCs w:val="21"/>
        </w:rPr>
        <w:t>要的企业由国家控股”。国家有必要利用全民所有制性质的国有经济，支持集体经济的不断壮大，并与集体所有制一起巩固社会主义的生产关系，确保市场经济的社会主义性质（公有制性质）。同时，国有经济以自身的雄厚实力和优势，通过竞争、投资和信贷等市场行为与机制，从企业内外部影响和制约非公有制经济，扬利抑弊，使其为社会主义服务。那种固守传统国有制模式，或者认为国有制也存在于私有制社会，与社会主义根本经济制度无关，搞不搞好国有企业无关大局的观点是片面的。</w:t>
      </w:r>
    </w:p>
    <w:p w14:paraId="5B6D06E4">
      <w:pPr>
        <w:pStyle w:val="21"/>
        <w:spacing w:line="400" w:lineRule="exact"/>
        <w:ind w:firstLine="440" w:firstLineChars="200"/>
        <w:jc w:val="both"/>
        <w:rPr>
          <w:rFonts w:cs="Times New Roman"/>
          <w:sz w:val="21"/>
          <w:szCs w:val="21"/>
        </w:rPr>
      </w:pPr>
      <w:r>
        <w:rPr>
          <w:rFonts w:cs="Times New Roman"/>
          <w:color w:val="000000"/>
          <w:sz w:val="21"/>
          <w:szCs w:val="21"/>
        </w:rPr>
        <w:t>第二，充分认识现代企业制度的基本特征是一个统一整体，同时搞好产权改革和内部管理。</w:t>
      </w:r>
      <w:r>
        <w:rPr>
          <w:rFonts w:hint="eastAsia" w:cs="Times New Roman"/>
          <w:color w:val="000000"/>
          <w:sz w:val="21"/>
          <w:szCs w:val="21"/>
          <w:lang w:val="zh-CN" w:eastAsia="zh-CN" w:bidi="zh-CN"/>
        </w:rPr>
        <w:t>“</w:t>
      </w:r>
      <w:r>
        <w:rPr>
          <w:rFonts w:cs="Times New Roman"/>
          <w:color w:val="000000"/>
          <w:sz w:val="21"/>
          <w:szCs w:val="21"/>
          <w:lang w:val="zh-CN" w:eastAsia="zh-CN" w:bidi="zh-CN"/>
        </w:rPr>
        <w:t>产权</w:t>
      </w:r>
      <w:r>
        <w:rPr>
          <w:rFonts w:cs="Times New Roman"/>
          <w:color w:val="000000"/>
          <w:sz w:val="21"/>
          <w:szCs w:val="21"/>
        </w:rPr>
        <w:t>清晰、权责明确、政企分开、管理科学”是现代企业制度的四个基本</w:t>
      </w:r>
      <w:r>
        <w:rPr>
          <w:rFonts w:cs="Times New Roman"/>
          <w:color w:val="000000"/>
          <w:sz w:val="21"/>
          <w:szCs w:val="21"/>
          <w:lang w:val="zh-CN" w:eastAsia="zh-CN" w:bidi="zh-CN"/>
        </w:rPr>
        <w:t>特征.</w:t>
      </w:r>
      <w:r>
        <w:rPr>
          <w:rFonts w:cs="Times New Roman"/>
          <w:color w:val="000000"/>
          <w:sz w:val="21"/>
          <w:szCs w:val="21"/>
        </w:rPr>
        <w:t>也是企业改革的四个基本要素。只有按照中央关于国企改革决定的主要精神，全面按照现代企业制度的四大基本特征，推行企业法人制度、有限责任制度和组织管理制度，方能在整体上塑造岀国有企业的现代法人形象。那种不赞成产权改革，以及以为只有财产私有化和国有资产量化到个人，产权才能清晰，或者割裂政企分开与产权清晰之间的内在联系，单纯强调产权改革或政企分开或市场环境的见解，是不妥当的。</w:t>
      </w:r>
    </w:p>
    <w:p w14:paraId="20A0B174">
      <w:pPr>
        <w:pStyle w:val="21"/>
        <w:spacing w:line="400" w:lineRule="exact"/>
        <w:ind w:firstLine="440" w:firstLineChars="200"/>
        <w:jc w:val="both"/>
        <w:rPr>
          <w:rFonts w:cs="Times New Roman"/>
          <w:sz w:val="21"/>
          <w:szCs w:val="21"/>
        </w:rPr>
      </w:pPr>
      <w:r>
        <w:rPr>
          <w:rFonts w:cs="Times New Roman"/>
          <w:color w:val="000000"/>
          <w:sz w:val="21"/>
          <w:szCs w:val="21"/>
        </w:rPr>
        <w:t>第三，从改革与改组、改造、加强管理相结合的方针出发，全面整治和重振国有经济。由于较大规模地设立国有企业本身是新生事物，国内外均缺乏一套十分成熟的经验和模式，因而其改革具有艰巨性和长期性，需要锲而不舍地化大力气解决各种困难和问题，其中包括制度改革（改制）、产业和企业改组、技术改造和加强企业管理</w:t>
      </w:r>
      <w:r>
        <w:rPr>
          <w:rFonts w:hint="eastAsia" w:cs="Times New Roman"/>
          <w:color w:val="000000"/>
          <w:sz w:val="21"/>
          <w:szCs w:val="21"/>
          <w:lang w:val="zh-CN" w:eastAsia="zh-CN" w:bidi="zh-CN"/>
        </w:rPr>
        <w:t>“</w:t>
      </w:r>
      <w:r>
        <w:rPr>
          <w:rFonts w:cs="Times New Roman"/>
          <w:color w:val="000000"/>
          <w:sz w:val="21"/>
          <w:szCs w:val="21"/>
          <w:lang w:val="zh-CN" w:eastAsia="zh-CN" w:bidi="zh-CN"/>
        </w:rPr>
        <w:t>三</w:t>
      </w:r>
      <w:r>
        <w:rPr>
          <w:rFonts w:cs="Times New Roman"/>
          <w:color w:val="000000"/>
          <w:sz w:val="21"/>
          <w:szCs w:val="21"/>
        </w:rPr>
        <w:t>改一加强”，以及各项配套改革。基于新科技革命之上的所谓自然垄断性行业和竞争性行业的说法只具有相对意义，国有经济必须在重要行业和高盈利行业的优胜劣汰式市场竞争中，实行</w:t>
      </w:r>
      <w:r>
        <w:rPr>
          <w:rFonts w:cs="Times New Roman"/>
          <w:color w:val="000000"/>
          <w:sz w:val="21"/>
          <w:szCs w:val="21"/>
          <w:lang w:val="zh-CN" w:eastAsia="zh-CN" w:bidi="zh-CN"/>
        </w:rPr>
        <w:t>”有</w:t>
      </w:r>
      <w:r>
        <w:rPr>
          <w:rFonts w:cs="Times New Roman"/>
          <w:color w:val="000000"/>
          <w:sz w:val="21"/>
          <w:szCs w:val="21"/>
        </w:rPr>
        <w:t>进有退”的战略和战术调整。那种完全否定国有企业的改革成效，断言国有制企业和国有经济无出路，或者轻浮急躁地试图一举成功，不扎扎实实地下苦功夫去细化</w:t>
      </w:r>
      <w:r>
        <w:rPr>
          <w:rFonts w:hint="eastAsia" w:cs="Times New Roman"/>
          <w:color w:val="000000"/>
          <w:sz w:val="21"/>
          <w:szCs w:val="21"/>
          <w:lang w:val="zh-CN" w:eastAsia="zh-CN" w:bidi="zh-CN"/>
        </w:rPr>
        <w:t>“</w:t>
      </w:r>
      <w:r>
        <w:rPr>
          <w:rFonts w:cs="Times New Roman"/>
          <w:color w:val="000000"/>
          <w:sz w:val="21"/>
          <w:szCs w:val="21"/>
          <w:lang w:val="zh-CN" w:eastAsia="zh-CN" w:bidi="zh-CN"/>
        </w:rPr>
        <w:t>三</w:t>
      </w:r>
      <w:r>
        <w:rPr>
          <w:rFonts w:cs="Times New Roman"/>
          <w:color w:val="000000"/>
          <w:sz w:val="21"/>
          <w:szCs w:val="21"/>
        </w:rPr>
        <w:t>改一加强”的言行，不符合中央改革精神。</w:t>
      </w:r>
    </w:p>
    <w:p w14:paraId="5E9E90CC">
      <w:pPr>
        <w:pStyle w:val="21"/>
        <w:spacing w:line="400" w:lineRule="exact"/>
        <w:ind w:firstLine="440" w:firstLineChars="200"/>
        <w:jc w:val="both"/>
        <w:rPr>
          <w:rFonts w:cs="Times New Roman"/>
          <w:sz w:val="21"/>
          <w:szCs w:val="21"/>
        </w:rPr>
      </w:pPr>
      <w:r>
        <w:rPr>
          <w:rFonts w:cs="Times New Roman"/>
          <w:color w:val="000000"/>
          <w:sz w:val="21"/>
          <w:szCs w:val="21"/>
        </w:rPr>
        <w:t>第四，从对国有企业实施大改组和布局调整及形成</w:t>
      </w:r>
      <w:r>
        <w:rPr>
          <w:rFonts w:hint="eastAsia" w:cs="Times New Roman"/>
          <w:color w:val="000000"/>
          <w:sz w:val="21"/>
          <w:szCs w:val="21"/>
          <w:lang w:val="zh-CN" w:eastAsia="zh-CN" w:bidi="zh-CN"/>
        </w:rPr>
        <w:t>“</w:t>
      </w:r>
      <w:r>
        <w:rPr>
          <w:rFonts w:cs="Times New Roman"/>
          <w:color w:val="000000"/>
          <w:sz w:val="21"/>
          <w:szCs w:val="21"/>
          <w:lang w:val="zh-CN" w:eastAsia="zh-CN" w:bidi="zh-CN"/>
        </w:rPr>
        <w:t>四</w:t>
      </w:r>
      <w:r>
        <w:rPr>
          <w:rFonts w:cs="Times New Roman"/>
          <w:color w:val="000000"/>
          <w:sz w:val="21"/>
          <w:szCs w:val="21"/>
        </w:rPr>
        <w:t>跨”企业集团的战略出发，深化国有资产管理体制改革，大力发展国有控股公司。党的十六大报告关于国有资产管理体制改革的阐述有三个突出的新意：一是从意义上强调</w:t>
      </w:r>
      <w:r>
        <w:rPr>
          <w:rFonts w:hint="eastAsia" w:cs="Times New Roman"/>
          <w:color w:val="000000"/>
          <w:sz w:val="21"/>
          <w:szCs w:val="21"/>
          <w:lang w:val="zh-CN" w:eastAsia="zh-CN" w:bidi="zh-CN"/>
        </w:rPr>
        <w:t>“</w:t>
      </w:r>
      <w:r>
        <w:rPr>
          <w:rFonts w:cs="Times New Roman"/>
          <w:color w:val="000000"/>
          <w:sz w:val="21"/>
          <w:szCs w:val="21"/>
          <w:lang w:val="zh-CN" w:eastAsia="zh-CN" w:bidi="zh-CN"/>
        </w:rPr>
        <w:t>改革</w:t>
      </w:r>
      <w:r>
        <w:rPr>
          <w:rFonts w:cs="Times New Roman"/>
          <w:color w:val="000000"/>
          <w:sz w:val="21"/>
          <w:szCs w:val="21"/>
        </w:rPr>
        <w:t>国有资产管理体制，是深化经济体制改革的重大任务”；二是从组织上指出</w:t>
      </w:r>
      <w:r>
        <w:rPr>
          <w:rFonts w:hint="eastAsia" w:cs="Times New Roman"/>
          <w:color w:val="000000"/>
          <w:sz w:val="21"/>
          <w:szCs w:val="21"/>
          <w:lang w:val="zh-CN" w:eastAsia="zh-CN" w:bidi="zh-CN"/>
        </w:rPr>
        <w:t>“</w:t>
      </w:r>
      <w:r>
        <w:rPr>
          <w:rFonts w:cs="Times New Roman"/>
          <w:color w:val="000000"/>
          <w:sz w:val="21"/>
          <w:szCs w:val="21"/>
          <w:lang w:val="zh-CN" w:eastAsia="zh-CN" w:bidi="zh-CN"/>
        </w:rPr>
        <w:t>中</w:t>
      </w:r>
      <w:r>
        <w:rPr>
          <w:rFonts w:cs="Times New Roman"/>
          <w:color w:val="000000"/>
          <w:sz w:val="21"/>
          <w:szCs w:val="21"/>
        </w:rPr>
        <w:t>央政府和省、市（地）两级地方政府设立国有资产管理机构”；三是从原则（方针）上提出</w:t>
      </w:r>
      <w:r>
        <w:rPr>
          <w:rFonts w:hint="eastAsia" w:cs="Times New Roman"/>
          <w:color w:val="000000"/>
          <w:sz w:val="21"/>
          <w:szCs w:val="21"/>
          <w:lang w:val="zh-CN" w:eastAsia="zh-CN" w:bidi="zh-CN"/>
        </w:rPr>
        <w:t>“</w:t>
      </w:r>
      <w:r>
        <w:rPr>
          <w:rFonts w:cs="Times New Roman"/>
          <w:color w:val="000000"/>
          <w:sz w:val="21"/>
          <w:szCs w:val="21"/>
          <w:lang w:val="zh-CN" w:eastAsia="zh-CN" w:bidi="zh-CN"/>
        </w:rPr>
        <w:t>国</w:t>
      </w:r>
      <w:r>
        <w:rPr>
          <w:rFonts w:cs="Times New Roman"/>
          <w:color w:val="000000"/>
          <w:sz w:val="21"/>
          <w:szCs w:val="21"/>
        </w:rPr>
        <w:t>家要制定法律法规，建立中央政府和地方政府分别代表国家履行出资人职责，享有所有者权益，权利、义务和责任相统一，管资产和管人、管事相结合的国有资产管理体制”。国有控股公司是指通过持有其他公司达到决定性表决权的股份，进而对该公司进行经营控制，并主要从事资本经营及其他生产经营的国有公司。若以世界各国的控股公司内部结构为参照系，我国的国有控股公司内部产权关联的基本模式可发展成两种，即垂直型和相互持股型。为了应对经济全球化和跨国公司的涌入，应当以资本为纽带，通过市场竞争和政策导向，形成具有较强竞争力和控制力的跨地区、跨行业、跨所有制和跨国经营的大企业集团，即大力推进以国有控股公司构造为目标模式的大企业集团的快速发展，实现中央关于国企改革决定和</w:t>
      </w:r>
      <w:r>
        <w:rPr>
          <w:rFonts w:hint="eastAsia" w:cs="Times New Roman"/>
          <w:color w:val="000000"/>
          <w:sz w:val="21"/>
          <w:szCs w:val="21"/>
          <w:lang w:val="zh-CN" w:eastAsia="zh-CN" w:bidi="zh-CN"/>
        </w:rPr>
        <w:t>“</w:t>
      </w:r>
      <w:r>
        <w:rPr>
          <w:rFonts w:cs="Times New Roman"/>
          <w:color w:val="000000"/>
          <w:sz w:val="21"/>
          <w:szCs w:val="21"/>
          <w:lang w:val="zh-CN" w:eastAsia="zh-CN" w:bidi="zh-CN"/>
        </w:rPr>
        <w:t>十五</w:t>
      </w:r>
      <w:r>
        <w:rPr>
          <w:rFonts w:cs="Times New Roman"/>
          <w:color w:val="000000"/>
          <w:sz w:val="21"/>
          <w:szCs w:val="21"/>
        </w:rPr>
        <w:t>计划”中所说的</w:t>
      </w:r>
      <w:r>
        <w:rPr>
          <w:rFonts w:hint="eastAsia" w:cs="Times New Roman"/>
          <w:color w:val="000000"/>
          <w:sz w:val="21"/>
          <w:szCs w:val="21"/>
          <w:lang w:val="zh-CN" w:eastAsia="zh-CN" w:bidi="zh-CN"/>
        </w:rPr>
        <w:t>“</w:t>
      </w:r>
      <w:r>
        <w:rPr>
          <w:rFonts w:cs="Times New Roman"/>
          <w:color w:val="000000"/>
          <w:sz w:val="21"/>
          <w:szCs w:val="21"/>
          <w:lang w:val="zh-CN" w:eastAsia="zh-CN" w:bidi="zh-CN"/>
        </w:rPr>
        <w:t>重要</w:t>
      </w:r>
      <w:r>
        <w:rPr>
          <w:rFonts w:cs="Times New Roman"/>
          <w:color w:val="000000"/>
          <w:sz w:val="21"/>
          <w:szCs w:val="21"/>
        </w:rPr>
        <w:t>的企业由国家控股”。那种不赞成股份制改造，或者否认国有控股公司是国有制的有效实现形式，声称国家控股的公司永远不可能办好的舆论，显然是站不住脚的。</w:t>
      </w:r>
    </w:p>
    <w:p w14:paraId="6E22BF9C">
      <w:pPr>
        <w:pStyle w:val="21"/>
        <w:spacing w:line="400" w:lineRule="exact"/>
        <w:ind w:firstLine="440" w:firstLineChars="200"/>
        <w:jc w:val="both"/>
        <w:rPr>
          <w:rFonts w:cs="Times New Roman"/>
          <w:sz w:val="21"/>
          <w:szCs w:val="21"/>
        </w:rPr>
      </w:pPr>
      <w:r>
        <w:rPr>
          <w:rFonts w:cs="Times New Roman"/>
          <w:color w:val="000000"/>
          <w:sz w:val="21"/>
          <w:szCs w:val="21"/>
        </w:rPr>
        <w:t>第五，从企业改革多样化的方式出发，加快搞活国有中小企业和国有资产重组的步伐。改革国有企业的方式是多种多样的，尤其是国有小企业，可以实行改组、联合、兼并、租赁和承包经营，有一部分小企业也可通过合作制和股份合作制及出售等方式转化为非国有企业，但国有资产出卖给非国有单位或个人必须向社会公开招标，原单位的主要经营者不得参与招标。那种极端误解</w:t>
      </w:r>
      <w:r>
        <w:rPr>
          <w:rFonts w:hint="eastAsia" w:cs="Times New Roman"/>
          <w:color w:val="000000"/>
          <w:sz w:val="21"/>
          <w:szCs w:val="21"/>
          <w:lang w:val="zh-CN" w:eastAsia="zh-CN" w:bidi="zh-CN"/>
        </w:rPr>
        <w:t>“</w:t>
      </w:r>
      <w:r>
        <w:rPr>
          <w:rFonts w:cs="Times New Roman"/>
          <w:color w:val="000000"/>
          <w:sz w:val="21"/>
          <w:szCs w:val="21"/>
          <w:lang w:val="zh-CN" w:eastAsia="zh-CN" w:bidi="zh-CN"/>
        </w:rPr>
        <w:t>十</w:t>
      </w:r>
      <w:r>
        <w:rPr>
          <w:rFonts w:cs="Times New Roman"/>
          <w:color w:val="000000"/>
          <w:sz w:val="21"/>
          <w:szCs w:val="21"/>
        </w:rPr>
        <w:t>六大”的精神.主张</w:t>
      </w:r>
      <w:r>
        <w:rPr>
          <w:rFonts w:hint="eastAsia" w:cs="Times New Roman"/>
          <w:color w:val="000000"/>
          <w:sz w:val="21"/>
          <w:szCs w:val="21"/>
          <w:lang w:val="zh-CN" w:eastAsia="zh-CN" w:bidi="zh-CN"/>
        </w:rPr>
        <w:t>“</w:t>
      </w:r>
      <w:r>
        <w:rPr>
          <w:rFonts w:cs="Times New Roman"/>
          <w:color w:val="000000"/>
          <w:sz w:val="21"/>
          <w:szCs w:val="21"/>
          <w:lang w:val="zh-CN" w:eastAsia="zh-CN" w:bidi="zh-CN"/>
        </w:rPr>
        <w:t>一卖</w:t>
      </w:r>
      <w:r>
        <w:rPr>
          <w:rFonts w:cs="Times New Roman"/>
          <w:color w:val="000000"/>
          <w:sz w:val="21"/>
          <w:szCs w:val="21"/>
        </w:rPr>
        <w:t>了之”的想法対做法，都属于传统思维和搞运动定式在改革中的重现，必须加以纠正。</w:t>
      </w:r>
    </w:p>
    <w:p w14:paraId="2807478A">
      <w:pPr>
        <w:pStyle w:val="21"/>
        <w:spacing w:line="400" w:lineRule="exact"/>
        <w:ind w:firstLine="440" w:firstLineChars="200"/>
        <w:jc w:val="both"/>
        <w:rPr>
          <w:rFonts w:cs="Times New Roman"/>
          <w:sz w:val="21"/>
          <w:szCs w:val="21"/>
        </w:rPr>
      </w:pPr>
      <w:r>
        <w:rPr>
          <w:rFonts w:cs="Times New Roman"/>
          <w:color w:val="000000"/>
          <w:sz w:val="21"/>
          <w:szCs w:val="21"/>
        </w:rPr>
        <w:t>第六</w:t>
      </w:r>
      <w:r>
        <w:rPr>
          <w:rFonts w:cs="Times New Roman"/>
          <w:b/>
          <w:bCs/>
          <w:sz w:val="21"/>
          <w:szCs w:val="21"/>
          <w:lang w:val="en-US" w:eastAsia="zh-CN" w:bidi="en-US"/>
        </w:rPr>
        <w:t>，</w:t>
      </w:r>
      <w:r>
        <w:rPr>
          <w:rFonts w:cs="Times New Roman"/>
          <w:color w:val="000000"/>
          <w:sz w:val="21"/>
          <w:szCs w:val="21"/>
        </w:rPr>
        <w:t>从消除</w:t>
      </w:r>
      <w:r>
        <w:rPr>
          <w:rFonts w:hint="eastAsia" w:cs="Times New Roman"/>
          <w:color w:val="000000"/>
          <w:sz w:val="21"/>
          <w:szCs w:val="21"/>
          <w:lang w:val="zh-CN" w:eastAsia="zh-CN" w:bidi="zh-CN"/>
        </w:rPr>
        <w:t>“</w:t>
      </w:r>
      <w:r>
        <w:rPr>
          <w:rFonts w:cs="Times New Roman"/>
          <w:color w:val="000000"/>
          <w:sz w:val="21"/>
          <w:szCs w:val="21"/>
          <w:lang w:val="zh-CN" w:eastAsia="zh-CN" w:bidi="zh-CN"/>
        </w:rPr>
        <w:t>内</w:t>
      </w:r>
      <w:r>
        <w:rPr>
          <w:rFonts w:cs="Times New Roman"/>
          <w:color w:val="000000"/>
          <w:sz w:val="21"/>
          <w:szCs w:val="21"/>
        </w:rPr>
        <w:t>部人控制”的现实出发，逐步形成有效的企业内部激励和制约机制。国有企业内部需重建的机制很多，其中有争议而最重要的有两个：一是讎过市场公开招聘等措施，建立以个人财产抵押为基础的经营者年薪制。这是階收入、财产、职位和荣誉等多重制约膈一体的基本制度要素。二是通过</w:t>
      </w:r>
      <w:r>
        <w:rPr>
          <w:rFonts w:hint="eastAsia" w:cs="Times New Roman"/>
          <w:color w:val="000000"/>
          <w:sz w:val="21"/>
          <w:szCs w:val="21"/>
          <w:lang w:val="zh-CN" w:eastAsia="zh-CN" w:bidi="zh-CN"/>
        </w:rPr>
        <w:t>“</w:t>
      </w:r>
      <w:r>
        <w:rPr>
          <w:rFonts w:cs="Times New Roman"/>
          <w:color w:val="000000"/>
          <w:sz w:val="21"/>
          <w:szCs w:val="21"/>
          <w:lang w:val="zh-CN" w:eastAsia="zh-CN" w:bidi="zh-CN"/>
        </w:rPr>
        <w:t>双向</w:t>
      </w:r>
      <w:r>
        <w:rPr>
          <w:rFonts w:cs="Times New Roman"/>
          <w:color w:val="000000"/>
          <w:sz w:val="21"/>
          <w:szCs w:val="21"/>
        </w:rPr>
        <w:t>进入”等措施，建立以党政干部互相兼职为特征的法人治理结构。这项制度性要素涉及到企业内部股东会、董事会、监事会、经理会（经理层）与党委会、职代会、工会之间的关系。可以按照现代公司制度运行的规律、惯例及效率原则，界定各种组织的权利与职责，防止</w:t>
      </w:r>
      <w:r>
        <w:rPr>
          <w:rFonts w:hint="eastAsia" w:cs="Times New Roman"/>
          <w:color w:val="000000"/>
          <w:sz w:val="21"/>
          <w:szCs w:val="21"/>
          <w:lang w:val="zh-CN" w:eastAsia="zh-CN" w:bidi="zh-CN"/>
        </w:rPr>
        <w:t>“</w:t>
      </w:r>
      <w:r>
        <w:rPr>
          <w:rFonts w:cs="Times New Roman"/>
          <w:color w:val="000000"/>
          <w:sz w:val="21"/>
          <w:szCs w:val="21"/>
          <w:lang w:val="zh-CN" w:eastAsia="zh-CN" w:bidi="zh-CN"/>
        </w:rPr>
        <w:t>组</w:t>
      </w:r>
      <w:r>
        <w:rPr>
          <w:rFonts w:cs="Times New Roman"/>
          <w:color w:val="000000"/>
          <w:sz w:val="21"/>
          <w:szCs w:val="21"/>
        </w:rPr>
        <w:t>织摩擦”、</w:t>
      </w:r>
      <w:r>
        <w:rPr>
          <w:rFonts w:hint="eastAsia" w:cs="Times New Roman"/>
          <w:color w:val="000000"/>
          <w:sz w:val="21"/>
          <w:szCs w:val="21"/>
          <w:lang w:val="zh-CN" w:eastAsia="zh-CN" w:bidi="zh-CN"/>
        </w:rPr>
        <w:t xml:space="preserve"> “</w:t>
      </w:r>
      <w:r>
        <w:rPr>
          <w:rFonts w:cs="Times New Roman"/>
          <w:color w:val="000000"/>
          <w:sz w:val="21"/>
          <w:szCs w:val="21"/>
          <w:lang w:val="zh-CN" w:eastAsia="zh-CN" w:bidi="zh-CN"/>
        </w:rPr>
        <w:t>机</w:t>
      </w:r>
      <w:r>
        <w:rPr>
          <w:rFonts w:cs="Times New Roman"/>
          <w:color w:val="000000"/>
          <w:sz w:val="21"/>
          <w:szCs w:val="21"/>
        </w:rPr>
        <w:t>制扯皮”和</w:t>
      </w:r>
      <w:r>
        <w:rPr>
          <w:rFonts w:hint="eastAsia" w:cs="Times New Roman"/>
          <w:color w:val="000000"/>
          <w:sz w:val="21"/>
          <w:szCs w:val="21"/>
          <w:lang w:val="zh-CN" w:eastAsia="zh-CN" w:bidi="zh-CN"/>
        </w:rPr>
        <w:t>“</w:t>
      </w:r>
      <w:r>
        <w:rPr>
          <w:rFonts w:cs="Times New Roman"/>
          <w:color w:val="000000"/>
          <w:sz w:val="21"/>
          <w:szCs w:val="21"/>
          <w:lang w:val="zh-CN" w:eastAsia="zh-CN" w:bidi="zh-CN"/>
        </w:rPr>
        <w:t>人力</w:t>
      </w:r>
      <w:r>
        <w:rPr>
          <w:rFonts w:cs="Times New Roman"/>
          <w:color w:val="000000"/>
          <w:sz w:val="21"/>
          <w:szCs w:val="21"/>
        </w:rPr>
        <w:t>内耗”导致内部组织费用过高一切固守传统的企业领导体制、政治思想教育及依赖股份私有化的做法，均!难以合乎市场经济条件下国有企业的内在机制要求，也与中央关于国企改革决定的基本精神相悖。</w:t>
      </w:r>
    </w:p>
    <w:p w14:paraId="2D61EF0D">
      <w:pPr>
        <w:pStyle w:val="21"/>
        <w:spacing w:line="400" w:lineRule="exact"/>
        <w:ind w:firstLine="440" w:firstLineChars="200"/>
        <w:jc w:val="both"/>
        <w:rPr>
          <w:rFonts w:cs="Times New Roman"/>
          <w:sz w:val="21"/>
          <w:szCs w:val="21"/>
        </w:rPr>
      </w:pPr>
      <w:r>
        <w:rPr>
          <w:rFonts w:cs="Times New Roman"/>
          <w:color w:val="000000"/>
          <w:sz w:val="21"/>
          <w:szCs w:val="21"/>
        </w:rPr>
        <w:t>第七，从国有企业改革是一项复杂的社会系统工程的思想出发，必须同步进行各项配套改革。例如：尽快颁布《国有幽产法》，重构</w:t>
      </w:r>
      <w:r>
        <w:rPr>
          <w:rFonts w:hint="eastAsia" w:cs="Times New Roman"/>
          <w:color w:val="000000"/>
          <w:sz w:val="21"/>
          <w:szCs w:val="21"/>
          <w:lang w:val="zh-CN" w:eastAsia="zh-CN" w:bidi="zh-CN"/>
        </w:rPr>
        <w:t>“</w:t>
      </w:r>
      <w:r>
        <w:rPr>
          <w:rFonts w:cs="Times New Roman"/>
          <w:color w:val="000000"/>
          <w:sz w:val="21"/>
          <w:szCs w:val="21"/>
          <w:lang w:val="zh-CN" w:eastAsia="zh-CN" w:bidi="zh-CN"/>
        </w:rPr>
        <w:t>政资</w:t>
      </w:r>
      <w:r>
        <w:rPr>
          <w:rFonts w:cs="Times New Roman"/>
          <w:color w:val="000000"/>
          <w:sz w:val="21"/>
          <w:szCs w:val="21"/>
        </w:rPr>
        <w:t>分离”（政府的行政调控权与国有资产出资权应分离）|的国有资产管理系统，强化国有资产函管理和监督；尽快建立和完善以养老、失业和医疗保险制度为主要内容的社会保障体系；尽快视不同情况采取多种方式，切实缓解国有企业的债务包袱；尽快运用产业引导、强化税收、反走私、反倾销和反制裁等经济外交手段，积融提高对外开放的水平和素质，为国有企业改革和发展创造良好的外部环境等等。</w:t>
      </w:r>
    </w:p>
    <w:p w14:paraId="3F5A9D78">
      <w:pPr>
        <w:pStyle w:val="21"/>
        <w:spacing w:line="400" w:lineRule="exact"/>
        <w:ind w:firstLine="440" w:firstLineChars="200"/>
        <w:jc w:val="both"/>
        <w:rPr>
          <w:rFonts w:cs="Times New Roman"/>
          <w:sz w:val="21"/>
          <w:szCs w:val="21"/>
        </w:rPr>
      </w:pPr>
      <w:r>
        <w:rPr>
          <w:rFonts w:cs="Times New Roman"/>
          <w:sz w:val="21"/>
          <w:szCs w:val="21"/>
        </w:rPr>
        <w:t>（原文载《上海国资》2004年第12期）</w:t>
      </w:r>
    </w:p>
    <w:p w14:paraId="7A980A64">
      <w:pPr>
        <w:spacing w:line="300" w:lineRule="auto"/>
        <w:ind w:firstLine="440" w:firstLineChars="200"/>
        <w:rPr>
          <w:rFonts w:ascii="宋体" w:hAnsi="宋体" w:eastAsia="宋体" w:cs="Times New Roman"/>
          <w:szCs w:val="24"/>
          <w:lang w:eastAsia="zh-TW"/>
        </w:rPr>
      </w:pPr>
      <w:r>
        <w:rPr>
          <w:rFonts w:ascii="宋体" w:hAnsi="宋体" w:eastAsia="宋体" w:cs="Times New Roman"/>
          <w:szCs w:val="24"/>
          <w:lang w:eastAsia="zh-TW"/>
        </w:rPr>
        <w:br w:type="page"/>
      </w:r>
    </w:p>
    <w:p w14:paraId="75858124">
      <w:pPr>
        <w:keepNext/>
        <w:keepLines/>
        <w:spacing w:before="260" w:after="260" w:line="412" w:lineRule="auto"/>
        <w:ind w:firstLine="660" w:firstLineChars="200"/>
        <w:jc w:val="center"/>
        <w:outlineLvl w:val="1"/>
        <w:rPr>
          <w:rFonts w:ascii="黑体" w:hAnsi="黑体" w:eastAsia="黑体" w:cs="Times New Roman"/>
          <w:color w:val="000000"/>
          <w:kern w:val="0"/>
          <w:sz w:val="32"/>
          <w:szCs w:val="32"/>
          <w:lang w:bidi="ar"/>
        </w:rPr>
      </w:pPr>
      <w:bookmarkStart w:id="447" w:name="_Toc21909"/>
      <w:bookmarkStart w:id="448" w:name="_Toc110957420"/>
      <w:bookmarkStart w:id="449" w:name="_Toc1914649477"/>
      <w:bookmarkStart w:id="450" w:name="_Toc1138238302"/>
      <w:r>
        <w:rPr>
          <w:rFonts w:ascii="黑体" w:hAnsi="黑体" w:eastAsia="黑体" w:cs="Times New Roman"/>
          <w:color w:val="000000"/>
          <w:kern w:val="0"/>
          <w:sz w:val="32"/>
          <w:szCs w:val="32"/>
          <w:lang w:bidi="ar"/>
        </w:rPr>
        <w:t>第六次产业革命”预见”的内核、意义与不足</w:t>
      </w:r>
      <w:bookmarkEnd w:id="447"/>
      <w:bookmarkEnd w:id="448"/>
      <w:bookmarkEnd w:id="449"/>
      <w:bookmarkEnd w:id="450"/>
    </w:p>
    <w:p w14:paraId="4375672C">
      <w:pPr>
        <w:spacing w:before="156" w:beforeLines="50"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自</w:t>
      </w:r>
      <w:r>
        <w:rPr>
          <w:rFonts w:ascii="Times New Roman" w:hAnsi="Times New Roman" w:eastAsia="宋体" w:cs="Times New Roman"/>
          <w:szCs w:val="24"/>
        </w:rPr>
        <w:t>2003</w:t>
      </w:r>
      <w:r>
        <w:rPr>
          <w:rFonts w:hint="eastAsia" w:ascii="Times New Roman" w:hAnsi="Times New Roman" w:eastAsia="宋体" w:cs="Times New Roman"/>
          <w:szCs w:val="24"/>
        </w:rPr>
        <w:t>年</w:t>
      </w:r>
      <w:r>
        <w:rPr>
          <w:rFonts w:ascii="Times New Roman" w:hAnsi="Times New Roman" w:eastAsia="宋体" w:cs="Times New Roman"/>
          <w:szCs w:val="24"/>
        </w:rPr>
        <w:t>1</w:t>
      </w:r>
      <w:r>
        <w:rPr>
          <w:rFonts w:hint="eastAsia" w:ascii="Times New Roman" w:hAnsi="Times New Roman" w:eastAsia="宋体" w:cs="Times New Roman"/>
          <w:szCs w:val="24"/>
        </w:rPr>
        <w:t>月</w:t>
      </w:r>
      <w:r>
        <w:rPr>
          <w:rFonts w:ascii="Times New Roman" w:hAnsi="Times New Roman" w:eastAsia="宋体" w:cs="Times New Roman"/>
          <w:szCs w:val="24"/>
        </w:rPr>
        <w:t>28</w:t>
      </w:r>
      <w:r>
        <w:rPr>
          <w:rFonts w:hint="eastAsia" w:ascii="Times New Roman" w:hAnsi="Times New Roman" w:eastAsia="宋体" w:cs="Times New Roman"/>
          <w:szCs w:val="24"/>
        </w:rPr>
        <w:t>日，《光明日报》记者访中国国际经济研究会副会长、成都大学副校长、经济学家张其佐博士《第六次产业革命是否已曙光初现》一文发表后</w:t>
      </w:r>
      <w:r>
        <w:rPr>
          <w:rFonts w:ascii="Times New Roman" w:hAnsi="Times New Roman" w:eastAsia="宋体" w:cs="Times New Roman"/>
          <w:szCs w:val="24"/>
          <w:vertAlign w:val="superscript"/>
        </w:rPr>
        <w:footnoteReference w:id="177"/>
      </w:r>
      <w:r>
        <w:rPr>
          <w:rFonts w:hint="eastAsia" w:ascii="Times New Roman" w:hAnsi="Times New Roman" w:eastAsia="宋体" w:cs="Times New Roman"/>
          <w:szCs w:val="24"/>
        </w:rPr>
        <w:t>，仁者见仁、智者见智。该文所提出的原创性和开创性的观点，引发了《光明日报》组织的一场参与面广、争论激烈、备受经济学界关注的争鸣。《第六次产业革命是否已曙光初现》，涉及的面很广，要研究的问题很多，本文对它的内核、意义与不足进行了分析。</w:t>
      </w:r>
    </w:p>
    <w:p w14:paraId="427BBDBE">
      <w:pPr>
        <w:spacing w:before="156" w:beforeLines="50" w:after="156" w:afterLines="50" w:line="300" w:lineRule="auto"/>
        <w:ind w:firstLine="500" w:firstLineChars="200"/>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rPr>
        <w:t>一、第六次产业革命“预见”的科学内核</w:t>
      </w:r>
    </w:p>
    <w:p w14:paraId="0DEBD1B4">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一个新学术观点的提出，或是一个新的科学体系的建立，判断它的正确与否，不能从它的枝节、表层上作答案，而应深入它的内层，从它的本质特征，从它的核心内容上进行分析。以此出发，我们认为第六次产业革命“预见”的内核是应予肯定的。</w:t>
      </w:r>
    </w:p>
    <w:p w14:paraId="09F6EC2B">
      <w:pPr>
        <w:spacing w:line="300" w:lineRule="auto"/>
        <w:ind w:firstLine="440" w:firstLineChars="200"/>
        <w:rPr>
          <w:rFonts w:ascii="Times New Roman" w:hAnsi="Times New Roman" w:eastAsia="宋体" w:cs="Times New Roman"/>
          <w:b/>
          <w:szCs w:val="24"/>
        </w:rPr>
      </w:pPr>
      <w:r>
        <w:rPr>
          <w:rFonts w:ascii="Times New Roman" w:hAnsi="Times New Roman" w:eastAsia="宋体" w:cs="Times New Roman"/>
          <w:b/>
          <w:szCs w:val="24"/>
        </w:rPr>
        <w:t>1.</w:t>
      </w:r>
      <w:r>
        <w:rPr>
          <w:rFonts w:hint="eastAsia" w:ascii="Times New Roman" w:hAnsi="Times New Roman" w:eastAsia="宋体" w:cs="Times New Roman"/>
          <w:b/>
          <w:szCs w:val="24"/>
        </w:rPr>
        <w:t>分析的方法是科学的</w:t>
      </w:r>
    </w:p>
    <w:p w14:paraId="55A0EB14">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方法虽不能直接反映对事物分析的正确与否，但分析的方法是否正确却能直接决定对事物分析的正确与否。因而判断第六次产业革命预见的是否正确，有必要研究张其佐教授的分析方法。</w:t>
      </w:r>
    </w:p>
    <w:p w14:paraId="164AEA06">
      <w:pPr>
        <w:spacing w:line="300" w:lineRule="auto"/>
        <w:ind w:firstLine="440" w:firstLineChars="200"/>
        <w:rPr>
          <w:rFonts w:ascii="Times New Roman" w:hAnsi="Times New Roman" w:eastAsia="宋体" w:cs="Times New Roman"/>
          <w:b/>
          <w:szCs w:val="24"/>
        </w:rPr>
      </w:pPr>
      <w:r>
        <w:rPr>
          <w:rFonts w:hint="eastAsia" w:ascii="Times New Roman" w:hAnsi="Times New Roman" w:eastAsia="宋体" w:cs="Times New Roman"/>
          <w:b/>
          <w:szCs w:val="24"/>
        </w:rPr>
        <w:t>（</w:t>
      </w:r>
      <w:r>
        <w:rPr>
          <w:rFonts w:ascii="Times New Roman" w:hAnsi="Times New Roman" w:eastAsia="宋体" w:cs="Times New Roman"/>
          <w:b/>
          <w:szCs w:val="24"/>
        </w:rPr>
        <w:t>1</w:t>
      </w:r>
      <w:r>
        <w:rPr>
          <w:rFonts w:hint="eastAsia" w:ascii="Times New Roman" w:hAnsi="Times New Roman" w:eastAsia="宋体" w:cs="Times New Roman"/>
          <w:b/>
          <w:szCs w:val="24"/>
        </w:rPr>
        <w:t>）以技术革命为出发点分析产业革命发展趋势是正确的</w:t>
      </w:r>
    </w:p>
    <w:p w14:paraId="5727469F">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张文提出，自工业革命至今，世界已经历了五次产业革命。这些产业革命是怎样引起和发展的呢？是由技术革命所引起的，技术革命和技术创新必然会演变为产业革命：</w:t>
      </w:r>
      <w:r>
        <w:rPr>
          <w:rFonts w:ascii="Times New Roman" w:hAnsi="Times New Roman" w:eastAsia="宋体" w:cs="Times New Roman"/>
          <w:szCs w:val="24"/>
        </w:rPr>
        <w:t>18</w:t>
      </w:r>
      <w:r>
        <w:rPr>
          <w:rFonts w:hint="eastAsia" w:ascii="Times New Roman" w:hAnsi="Times New Roman" w:eastAsia="宋体" w:cs="Times New Roman"/>
          <w:szCs w:val="24"/>
        </w:rPr>
        <w:t>世纪的“早期机械化”技术革命，引发了以纺织工业为主导产业的第一次产业革命；“蒸汽动力和铁路”技术革命，引发了以钢铁工业为主导产业的第二次产业革命；“电力和重型工程”的技术革命，引发了以石油和重化工业及电力工业为主导产业的第三次产业革命；“福特制和大生产”式的技术革命，引发了以汽车工业为主导产业的第四次产业革命；“信息和通讯”的技术革命，引发了以</w:t>
      </w:r>
      <w:r>
        <w:rPr>
          <w:rFonts w:ascii="Times New Roman" w:hAnsi="Times New Roman" w:eastAsia="宋体" w:cs="Times New Roman"/>
          <w:szCs w:val="24"/>
        </w:rPr>
        <w:t>IT</w:t>
      </w:r>
      <w:r>
        <w:rPr>
          <w:rFonts w:hint="eastAsia" w:ascii="Times New Roman" w:hAnsi="Times New Roman" w:eastAsia="宋体" w:cs="Times New Roman"/>
          <w:szCs w:val="24"/>
        </w:rPr>
        <w:t>为主导产业的第五次产业革命。在此基础上，张文又提出在未来将要爆发的第六次产业革命中，最有可能成为主导产业的，将是与延长人类的生命周期密切相关的生物、生命和基因产业。</w:t>
      </w:r>
    </w:p>
    <w:p w14:paraId="34583466">
      <w:pPr>
        <w:spacing w:line="300" w:lineRule="auto"/>
        <w:ind w:firstLine="440" w:firstLineChars="200"/>
        <w:rPr>
          <w:rFonts w:ascii="宋体" w:hAnsi="宋体" w:eastAsia="宋体" w:cs="Times New Roman"/>
          <w:szCs w:val="24"/>
        </w:rPr>
      </w:pPr>
      <w:r>
        <w:rPr>
          <w:rFonts w:hint="eastAsia" w:ascii="Times New Roman" w:hAnsi="Times New Roman" w:eastAsia="宋体" w:cs="Times New Roman"/>
          <w:szCs w:val="24"/>
        </w:rPr>
        <w:t>自工业革命至今，发生过几次产业革命？有人对张文提出不同的看法：“综览工业革命至今的技术发展过程，各类突破性的技术创新演进为真正意义上的产业革命，其实只有三次。</w:t>
      </w:r>
      <w:r>
        <w:rPr>
          <w:rFonts w:ascii="Times New Roman" w:hAnsi="Times New Roman" w:eastAsia="宋体" w:cs="Times New Roman"/>
          <w:szCs w:val="24"/>
        </w:rPr>
        <w:t>18</w:t>
      </w:r>
      <w:r>
        <w:rPr>
          <w:rFonts w:hint="eastAsia" w:ascii="Times New Roman" w:hAnsi="Times New Roman" w:eastAsia="宋体" w:cs="Times New Roman"/>
          <w:szCs w:val="24"/>
        </w:rPr>
        <w:t>世纪中叶以牛顿力学以及机械技术为基础的科技创新引发了一系列的技术发明和创新，出现了第一次产业革命。</w:t>
      </w:r>
      <w:r>
        <w:rPr>
          <w:rFonts w:ascii="Times New Roman" w:hAnsi="Times New Roman" w:eastAsia="宋体" w:cs="Times New Roman"/>
          <w:szCs w:val="24"/>
        </w:rPr>
        <w:t>19</w:t>
      </w:r>
      <w:r>
        <w:rPr>
          <w:rFonts w:hint="eastAsia" w:ascii="Times New Roman" w:hAnsi="Times New Roman" w:eastAsia="宋体" w:cs="Times New Roman"/>
          <w:szCs w:val="24"/>
        </w:rPr>
        <w:t>世纪</w:t>
      </w:r>
      <w:r>
        <w:rPr>
          <w:rFonts w:ascii="Times New Roman" w:hAnsi="Times New Roman" w:eastAsia="宋体" w:cs="Times New Roman"/>
          <w:szCs w:val="24"/>
        </w:rPr>
        <w:t>70</w:t>
      </w:r>
      <w:r>
        <w:rPr>
          <w:rFonts w:hint="eastAsia" w:ascii="Times New Roman" w:hAnsi="Times New Roman" w:eastAsia="宋体" w:cs="Times New Roman"/>
          <w:szCs w:val="24"/>
        </w:rPr>
        <w:t>年代开始的以电磁理论和电力技术为基础的科技创新引发了能源技术和运输技术的革命，并带动了以电气、有机化学、内燃机为代表的第二次产业革命，其特点是人类进入了电气化时代。</w:t>
      </w:r>
      <w:r>
        <w:rPr>
          <w:rFonts w:ascii="Times New Roman" w:hAnsi="Times New Roman" w:eastAsia="宋体" w:cs="Times New Roman"/>
          <w:szCs w:val="24"/>
        </w:rPr>
        <w:t>20</w:t>
      </w:r>
      <w:r>
        <w:rPr>
          <w:rFonts w:hint="eastAsia" w:ascii="Times New Roman" w:hAnsi="Times New Roman" w:eastAsia="宋体" w:cs="Times New Roman"/>
          <w:szCs w:val="24"/>
        </w:rPr>
        <w:t>世纪中叶以现代物理学、计算机和微电子技术为基础的重大技术突破引发了第三次产业革命即当代产业革命，人类进入了信息化时代。由此，张其佐博士关于工业革命以来的五次产业革命的划分法值得商榷。</w:t>
      </w:r>
      <w:r>
        <w:rPr>
          <w:rFonts w:hint="eastAsia" w:ascii="宋体" w:hAnsi="宋体" w:eastAsia="宋体" w:cs="Times New Roman"/>
          <w:szCs w:val="24"/>
        </w:rPr>
        <w:t>”</w:t>
      </w:r>
      <w:r>
        <w:rPr>
          <w:rFonts w:ascii="宋体" w:hAnsi="宋体" w:eastAsia="宋体" w:cs="Times New Roman"/>
          <w:szCs w:val="24"/>
          <w:vertAlign w:val="superscript"/>
        </w:rPr>
        <w:footnoteReference w:id="178"/>
      </w:r>
    </w:p>
    <w:p w14:paraId="4E3A5077">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自工业革命以来，到底发生过几次产业革命历来有着不同的划分，把它划得粗一点，则为三次；把它划得细一点，则为五次。是三次正确、还是五次正确，可以另作研究，这对张文提出的第六次产业革命的预见来说，并没有多大关系。</w:t>
      </w:r>
    </w:p>
    <w:p w14:paraId="14D2C3CC">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这里的关键在于，张文以技术革命为出发点分析产业革命的发展趋势，这种分析方法是否正确，这是应予回答并有着决定意义的问题。</w:t>
      </w:r>
    </w:p>
    <w:p w14:paraId="4A638087">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从生产力发展的观点来说，技术革命是引起社会生产力巨大发展并带动生产关系变革的物质条件。它体现在两个方面：在人和自然之间，技术是人们调节和控制自身和自然之间相互作用的一种手段，是物质生产的前提条件和衡量生产力水平的尺度；在人和社会之间，技术作为劳动资料，不仅是人类劳动力的测量器，而且是劳动借以进行的社会关系的指示器。每一次重大的技术革命，引发起一次大的产业革命，同时，也把社会制度向前推进一步。因而张文以技术革命为出发点分析产业革命的发展趋势，这种分析方法是符合生产力发展规律的。</w:t>
      </w:r>
    </w:p>
    <w:p w14:paraId="7C2D55E6">
      <w:pPr>
        <w:spacing w:line="300" w:lineRule="auto"/>
        <w:ind w:firstLine="440" w:firstLineChars="200"/>
        <w:rPr>
          <w:rFonts w:ascii="Times New Roman" w:hAnsi="Times New Roman" w:eastAsia="宋体" w:cs="Times New Roman"/>
          <w:b/>
          <w:szCs w:val="24"/>
        </w:rPr>
      </w:pPr>
      <w:r>
        <w:rPr>
          <w:rFonts w:hint="eastAsia" w:ascii="Times New Roman" w:hAnsi="Times New Roman" w:eastAsia="宋体" w:cs="Times New Roman"/>
          <w:b/>
          <w:szCs w:val="24"/>
        </w:rPr>
        <w:t>（</w:t>
      </w:r>
      <w:r>
        <w:rPr>
          <w:rFonts w:ascii="Times New Roman" w:hAnsi="Times New Roman" w:eastAsia="宋体" w:cs="Times New Roman"/>
          <w:b/>
          <w:szCs w:val="24"/>
        </w:rPr>
        <w:t>2</w:t>
      </w:r>
      <w:r>
        <w:rPr>
          <w:rFonts w:hint="eastAsia" w:ascii="Times New Roman" w:hAnsi="Times New Roman" w:eastAsia="宋体" w:cs="Times New Roman"/>
          <w:b/>
          <w:szCs w:val="24"/>
        </w:rPr>
        <w:t>）以全球经济供需矛盾为切入点分析产业革命发展趋势是客观的</w:t>
      </w:r>
    </w:p>
    <w:p w14:paraId="3473B91F">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技术革命又是怎样兴起的呢？张文说：“技术革命对经济发展过程具有两重性：它在产业结构升级过程中创造投资高潮和生产高潮……周期的主导产品供不应求；另一方面又同时制造着投资低潮和生产低潮的潜在可能性……周期的主导产品供过于求……全社会总供给和总需求呈现相对平衡到严重失衡的状态。”面对这种形势，“一部分企业为提高利润和扩大销售，必然要进行技术创新，等到大部分企业都采用新技术摆脱困境时，便会形成一个新的投资高潮，随之而来的是生产高潮。因此，每个长周期的涨潮时期都伴随着技术革命。”</w:t>
      </w:r>
    </w:p>
    <w:p w14:paraId="34AB3927">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张文的这一分析，以经济增长长周期理论为基础，以全球经济发展为出发点，并以供需矛盾作为分析的基本点。由此，他分析未来产业革命发展的趋势，明确提出：“从全球经济的供给与需求来分析，在未来将要爆发的第六次产业革命中，最有可能成为该周期主导产业的，将是与延长人类的生命周期密切相关的生物产业和基因产业。”</w:t>
      </w:r>
    </w:p>
    <w:p w14:paraId="41009423">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有些学者为什么不同意张文的分析，产生分析的基本点在于是从一个国家的国情出发，还是从全球的供需矛盾出发。如中央党校研究室副主任周天勇博士认为：“我们应当积极迎接第六次产业革命浪潮的到来，但总体而言，中国的产业变革只能属于混合型的模式，既要打基础，补四、五次产业革命的课，积极提升已有的产业，还要在新兴产业上有所突破，从而整体推进。”国资委经济研究中心副主任白津夫博士认为：中国的产业革命只能是混合模式。从发展的区域看，台湾、香港、上海、深圳等地，可能要推进第五次和第六次产业革命；中部则要推进第三次和第四次产业革命；西部可能要花大力气补第一次和第二次产业革命的课</w:t>
      </w:r>
      <w:r>
        <w:rPr>
          <w:rFonts w:hint="eastAsia" w:ascii="宋体" w:hAnsi="宋体" w:eastAsia="宋体" w:cs="Times New Roman"/>
          <w:szCs w:val="24"/>
        </w:rPr>
        <w:t>。</w:t>
      </w:r>
      <w:r>
        <w:rPr>
          <w:rFonts w:ascii="宋体" w:hAnsi="宋体" w:eastAsia="宋体" w:cs="Times New Roman"/>
          <w:szCs w:val="24"/>
          <w:vertAlign w:val="superscript"/>
        </w:rPr>
        <w:footnoteReference w:id="179"/>
      </w:r>
      <w:r>
        <w:rPr>
          <w:rFonts w:hint="eastAsia" w:ascii="Times New Roman" w:hAnsi="Times New Roman" w:eastAsia="宋体" w:cs="Times New Roman"/>
          <w:szCs w:val="24"/>
        </w:rPr>
        <w:t>上述学者的分析显然是以中国为基点，不是以全球经济供需矛盾为出发点。</w:t>
      </w:r>
    </w:p>
    <w:p w14:paraId="3AC6A5C8">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产业革命分析的基本点应放在哪里？我们认为它作为全球经济发展的转折和社会生产力发展的标志，应该是从全球出发的。自工业革命以来，不论是“三次产业革命”的划分，还是“五次产业革命”的划分，都是从全球分析出发的。由此分析第六次产业革命的到来，当然也应从全球出发，因而张文的这种分析方法是正确的。</w:t>
      </w:r>
    </w:p>
    <w:p w14:paraId="5E7BD96E">
      <w:pPr>
        <w:spacing w:line="300" w:lineRule="auto"/>
        <w:ind w:firstLine="440" w:firstLineChars="200"/>
        <w:rPr>
          <w:rFonts w:ascii="Times New Roman" w:hAnsi="Times New Roman" w:eastAsia="宋体" w:cs="Times New Roman"/>
          <w:b/>
          <w:szCs w:val="24"/>
        </w:rPr>
      </w:pPr>
      <w:r>
        <w:rPr>
          <w:rFonts w:hint="eastAsia" w:ascii="Times New Roman" w:hAnsi="Times New Roman" w:eastAsia="宋体" w:cs="Times New Roman"/>
          <w:b/>
          <w:szCs w:val="24"/>
        </w:rPr>
        <w:t>（</w:t>
      </w:r>
      <w:r>
        <w:rPr>
          <w:rFonts w:ascii="Times New Roman" w:hAnsi="Times New Roman" w:eastAsia="宋体" w:cs="Times New Roman"/>
          <w:b/>
          <w:szCs w:val="24"/>
        </w:rPr>
        <w:t>3</w:t>
      </w:r>
      <w:r>
        <w:rPr>
          <w:rFonts w:hint="eastAsia" w:ascii="Times New Roman" w:hAnsi="Times New Roman" w:eastAsia="宋体" w:cs="Times New Roman"/>
          <w:b/>
          <w:szCs w:val="24"/>
        </w:rPr>
        <w:t>）以主导产业为标志分析产业革命发展趋势是合理的</w:t>
      </w:r>
    </w:p>
    <w:p w14:paraId="65684B96">
      <w:pPr>
        <w:spacing w:line="300" w:lineRule="auto"/>
        <w:ind w:firstLine="440" w:firstLineChars="200"/>
        <w:rPr>
          <w:rFonts w:ascii="宋体" w:hAnsi="宋体" w:eastAsia="宋体" w:cs="Times New Roman"/>
          <w:szCs w:val="24"/>
        </w:rPr>
      </w:pPr>
      <w:r>
        <w:rPr>
          <w:rFonts w:hint="eastAsia" w:ascii="Times New Roman" w:hAnsi="Times New Roman" w:eastAsia="宋体" w:cs="Times New Roman"/>
          <w:szCs w:val="24"/>
        </w:rPr>
        <w:t>怎样分析未来产业革命的内容，是以主导性产业为分析的基点，还是以综合性产业为分析的基点，这是与张文的又一分歧点。张文以前者为分析的基点，提出在“第六次产业革命中，最有可能成为该周期主导产业的，将是与延长人类的生命周期密切相关的生物产业和基因产业。”有的学者则是以综合性为出发点，不同意张文的分析。如韩民青说：“目前正在兴起的新科技革命和新产业革命具有突出的综合性，这表明它不是单一领域的革命而是多领域的全面革命，”它“表现在诸多方面。首先，引发新产业革命的可能是一系列新科技革命，而不是单一领域的科技革命。目前，信息科技、生物科技、纳米科技、新能源科技、新材料科技、环保科技、太空科技等众多领域都在发生重大突破。这充分显示了目前新科技革命的高度综合性。其次，由新科技革命引发的新产业革命也在众多的领域同时发生，例如信息产业、生物工程产业、纳米产业、新能源产业、新材料产业、环保产业、太空产业等新兴产业不断崛起，已充分说明这一点。</w:t>
      </w:r>
      <w:r>
        <w:rPr>
          <w:rFonts w:hint="eastAsia" w:ascii="宋体" w:hAnsi="宋体" w:eastAsia="宋体" w:cs="Times New Roman"/>
          <w:szCs w:val="24"/>
        </w:rPr>
        <w:t>”</w:t>
      </w:r>
      <w:r>
        <w:rPr>
          <w:rFonts w:ascii="宋体" w:hAnsi="宋体" w:eastAsia="宋体" w:cs="Times New Roman"/>
          <w:szCs w:val="24"/>
          <w:vertAlign w:val="superscript"/>
        </w:rPr>
        <w:footnoteReference w:id="180"/>
      </w:r>
    </w:p>
    <w:p w14:paraId="759A3EF0">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这两种分析哪一种比较正确呢？我们认为需要以分析的要求为依据，是要了解某一时期产业革命的“量”还是“质”。如果要了解某一时期发生了哪些产业革命，那么不管其作用大小如何，应采用韩文的方法。但如果要了解某一时期产业革命的“质”或者具有划时代意义的产业，则需采用主要矛盾和矛盾主导方面的分析方法，因为只有这样才能认识事物的本质，才能区别这一时期产业革命与那一时期产业革命质的不同。因此，在对产业革命历史时期的划分上，人们历来总是把某一时期的主导产业作为这一时代的标志。由此，我们认为张文对第六次产业革命作了单一性的分析是合理的。</w:t>
      </w:r>
    </w:p>
    <w:p w14:paraId="0333E9F5">
      <w:pPr>
        <w:spacing w:line="300" w:lineRule="auto"/>
        <w:ind w:firstLine="440" w:firstLineChars="200"/>
        <w:rPr>
          <w:rFonts w:ascii="Times New Roman" w:hAnsi="Times New Roman" w:eastAsia="宋体" w:cs="Times New Roman"/>
          <w:b/>
          <w:szCs w:val="24"/>
        </w:rPr>
      </w:pPr>
      <w:r>
        <w:rPr>
          <w:rFonts w:ascii="Times New Roman" w:hAnsi="Times New Roman" w:eastAsia="宋体" w:cs="Times New Roman"/>
          <w:b/>
          <w:szCs w:val="24"/>
        </w:rPr>
        <w:t>2.</w:t>
      </w:r>
      <w:r>
        <w:rPr>
          <w:rFonts w:hint="eastAsia" w:ascii="Times New Roman" w:hAnsi="Times New Roman" w:eastAsia="宋体" w:cs="Times New Roman"/>
          <w:b/>
          <w:szCs w:val="24"/>
        </w:rPr>
        <w:t>基本判断是正确的</w:t>
      </w:r>
    </w:p>
    <w:p w14:paraId="07BC3063">
      <w:pPr>
        <w:spacing w:line="300" w:lineRule="auto"/>
        <w:ind w:firstLine="440" w:firstLineChars="200"/>
        <w:rPr>
          <w:rFonts w:ascii="Times New Roman" w:hAnsi="Times New Roman" w:eastAsia="宋体" w:cs="Times New Roman"/>
          <w:b/>
          <w:szCs w:val="24"/>
        </w:rPr>
      </w:pPr>
      <w:r>
        <w:rPr>
          <w:rFonts w:hint="eastAsia" w:ascii="Times New Roman" w:hAnsi="Times New Roman" w:eastAsia="宋体" w:cs="Times New Roman"/>
          <w:b/>
          <w:szCs w:val="24"/>
        </w:rPr>
        <w:t>（</w:t>
      </w:r>
      <w:r>
        <w:rPr>
          <w:rFonts w:ascii="Times New Roman" w:hAnsi="Times New Roman" w:eastAsia="宋体" w:cs="Times New Roman"/>
          <w:b/>
          <w:szCs w:val="24"/>
        </w:rPr>
        <w:t>1</w:t>
      </w:r>
      <w:r>
        <w:rPr>
          <w:rFonts w:hint="eastAsia" w:ascii="Times New Roman" w:hAnsi="Times New Roman" w:eastAsia="宋体" w:cs="Times New Roman"/>
          <w:b/>
          <w:szCs w:val="24"/>
        </w:rPr>
        <w:t>）从生产力发展规律看，延长人类生命周期的产业是主体对客体的必然要求</w:t>
      </w:r>
    </w:p>
    <w:p w14:paraId="1FAD241D">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研究生产力理论的专家原道谋教授提出，在某些假设条件下，社会生产力发展历程可划分为三个大阶段：第一阶段，原始生产力；第二阶段，农业生产力；第三阶段，工业生产力；第四阶段，亦即未来发展是什么生产力呢？他说：</w:t>
      </w:r>
      <w:r>
        <w:rPr>
          <w:rFonts w:ascii="Times New Roman" w:hAnsi="Times New Roman" w:eastAsia="宋体" w:cs="Times New Roman"/>
          <w:szCs w:val="24"/>
        </w:rPr>
        <w:t>21</w:t>
      </w:r>
      <w:r>
        <w:rPr>
          <w:rFonts w:hint="eastAsia" w:ascii="Times New Roman" w:hAnsi="Times New Roman" w:eastAsia="宋体" w:cs="Times New Roman"/>
          <w:szCs w:val="24"/>
        </w:rPr>
        <w:t>世纪生产力发展的主题是环保生产</w:t>
      </w:r>
      <w:r>
        <w:rPr>
          <w:rFonts w:hint="eastAsia" w:ascii="宋体" w:hAnsi="宋体" w:eastAsia="宋体" w:cs="Times New Roman"/>
          <w:szCs w:val="24"/>
        </w:rPr>
        <w:t>力</w:t>
      </w:r>
      <w:r>
        <w:rPr>
          <w:rFonts w:ascii="宋体" w:hAnsi="宋体" w:eastAsia="宋体" w:cs="Times New Roman"/>
          <w:szCs w:val="24"/>
          <w:vertAlign w:val="superscript"/>
        </w:rPr>
        <w:footnoteReference w:id="181"/>
      </w:r>
      <w:r>
        <w:rPr>
          <w:rFonts w:hint="eastAsia" w:ascii="Times New Roman" w:hAnsi="Times New Roman" w:eastAsia="宋体" w:cs="Times New Roman"/>
          <w:szCs w:val="24"/>
        </w:rPr>
        <w:t>。在四个阶段的生产力中，人作为主体对客体有着完全不同的要求：</w:t>
      </w:r>
    </w:p>
    <w:p w14:paraId="05E34508">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在原始生产力阶段：由于人类刚从动物中划分出来，生产力水平十分低下，无法摆脱自然的奴役，向客体只能提出最低的要求。</w:t>
      </w:r>
    </w:p>
    <w:p w14:paraId="7A42350B">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在农业生产力阶段：由于铁器的使用、农具的产生，生产力水平有所提高向客体就提出了较高的要求：吃要有粮、住要有屋、穿要有衣，追求五谷丰登、六畜兴旺。</w:t>
      </w:r>
    </w:p>
    <w:p w14:paraId="6944E4CB">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在工业生产力阶段：由于机械化的大量使用，生产力水平有了很大的提高。但由于人们对于自然界认识的不足，导致出现了双重效应：一面创造了工业文明，另一面则使生态遭到了严重破坏。严重的工业污染、生活污染和环境污染，促使了人们的觉醒。</w:t>
      </w:r>
    </w:p>
    <w:p w14:paraId="736519FF">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在环保生产力阶段：这是一个方向目标明确、路径和措施尚在探索的阶段。所谓方向目标明确，既生产力的发展再不能走过去历史的老路，而必须走一条以有利于人们身心健康、延长生命为中心的新路，使人与自然即主体与客体处于最佳的状态。熊映梧教授把人类与自然关系状态分为五个等级：</w:t>
      </w:r>
    </w:p>
    <w:p w14:paraId="0773DEC8">
      <w:pPr>
        <w:spacing w:line="300" w:lineRule="auto"/>
        <w:ind w:firstLine="440" w:firstLineChars="200"/>
        <w:rPr>
          <w:rFonts w:ascii="Times New Roman" w:hAnsi="Times New Roman" w:eastAsia="宋体" w:cs="Times New Roman"/>
          <w:szCs w:val="24"/>
        </w:rPr>
      </w:pPr>
      <w:r>
        <w:rPr>
          <w:rFonts w:ascii="Times New Roman" w:hAnsi="Times New Roman" w:eastAsia="宋体" w:cs="Times New Roman"/>
          <w:szCs w:val="24"/>
        </w:rPr>
        <w:t>A</w:t>
      </w:r>
      <w:r>
        <w:rPr>
          <w:rFonts w:hint="eastAsia" w:ascii="Times New Roman" w:hAnsi="Times New Roman" w:eastAsia="宋体" w:cs="Times New Roman"/>
          <w:szCs w:val="24"/>
        </w:rPr>
        <w:t>级——最佳状态。人类与自然和谐相处，人类的一切经济活动顺乎自然，不破坏生态平衡，不污染环境。</w:t>
      </w:r>
    </w:p>
    <w:p w14:paraId="730FA739">
      <w:pPr>
        <w:spacing w:line="300" w:lineRule="auto"/>
        <w:ind w:firstLine="440" w:firstLineChars="200"/>
        <w:rPr>
          <w:rFonts w:ascii="Times New Roman" w:hAnsi="Times New Roman" w:eastAsia="宋体" w:cs="Times New Roman"/>
          <w:szCs w:val="24"/>
        </w:rPr>
      </w:pPr>
      <w:r>
        <w:rPr>
          <w:rFonts w:ascii="Times New Roman" w:hAnsi="Times New Roman" w:eastAsia="宋体" w:cs="Times New Roman"/>
          <w:szCs w:val="24"/>
        </w:rPr>
        <w:t>B</w:t>
      </w:r>
      <w:r>
        <w:rPr>
          <w:rFonts w:hint="eastAsia" w:ascii="Times New Roman" w:hAnsi="Times New Roman" w:eastAsia="宋体" w:cs="Times New Roman"/>
          <w:szCs w:val="24"/>
        </w:rPr>
        <w:t>级——人类与自然关系的次佳状态。人类比较了解自然，社会经济活动比较注意生态平衡与环境保护。一旦出现这方面的问题，能及时加以处理。可以基本实现“生态环境——社会经济”的良性互动。这是</w:t>
      </w:r>
      <w:r>
        <w:rPr>
          <w:rFonts w:ascii="Times New Roman" w:hAnsi="Times New Roman" w:eastAsia="宋体" w:cs="Times New Roman"/>
          <w:szCs w:val="24"/>
        </w:rPr>
        <w:t>21</w:t>
      </w:r>
      <w:r>
        <w:rPr>
          <w:rFonts w:hint="eastAsia" w:ascii="Times New Roman" w:hAnsi="Times New Roman" w:eastAsia="宋体" w:cs="Times New Roman"/>
          <w:szCs w:val="24"/>
        </w:rPr>
        <w:t>世纪人类可以争取达到的目标。</w:t>
      </w:r>
    </w:p>
    <w:p w14:paraId="3A1A1E37">
      <w:pPr>
        <w:spacing w:line="300" w:lineRule="auto"/>
        <w:ind w:firstLine="440" w:firstLineChars="200"/>
        <w:rPr>
          <w:rFonts w:ascii="Times New Roman" w:hAnsi="Times New Roman" w:eastAsia="宋体" w:cs="Times New Roman"/>
          <w:szCs w:val="24"/>
        </w:rPr>
      </w:pPr>
      <w:r>
        <w:rPr>
          <w:rFonts w:ascii="Times New Roman" w:hAnsi="Times New Roman" w:eastAsia="宋体" w:cs="Times New Roman"/>
          <w:szCs w:val="24"/>
        </w:rPr>
        <w:t>C</w:t>
      </w:r>
      <w:r>
        <w:rPr>
          <w:rFonts w:hint="eastAsia" w:ascii="Times New Roman" w:hAnsi="Times New Roman" w:eastAsia="宋体" w:cs="Times New Roman"/>
          <w:szCs w:val="24"/>
        </w:rPr>
        <w:t>级——勉强维持人类与自然的共处关系。</w:t>
      </w:r>
    </w:p>
    <w:p w14:paraId="0F67FF57">
      <w:pPr>
        <w:spacing w:line="300" w:lineRule="auto"/>
        <w:ind w:firstLine="440" w:firstLineChars="200"/>
        <w:rPr>
          <w:rFonts w:ascii="Times New Roman" w:hAnsi="Times New Roman" w:eastAsia="宋体" w:cs="Times New Roman"/>
          <w:szCs w:val="24"/>
        </w:rPr>
      </w:pPr>
      <w:r>
        <w:rPr>
          <w:rFonts w:ascii="Times New Roman" w:hAnsi="Times New Roman" w:eastAsia="宋体" w:cs="Times New Roman"/>
          <w:szCs w:val="24"/>
        </w:rPr>
        <w:t>D</w:t>
      </w:r>
      <w:r>
        <w:rPr>
          <w:rFonts w:hint="eastAsia" w:ascii="Times New Roman" w:hAnsi="Times New Roman" w:eastAsia="宋体" w:cs="Times New Roman"/>
          <w:szCs w:val="24"/>
        </w:rPr>
        <w:t>级——人类与自然的关系处于危险状态，人类生存受到威胁。</w:t>
      </w:r>
    </w:p>
    <w:p w14:paraId="704BDA8C">
      <w:pPr>
        <w:spacing w:line="300" w:lineRule="auto"/>
        <w:ind w:firstLine="440" w:firstLineChars="200"/>
        <w:rPr>
          <w:rFonts w:ascii="Times New Roman" w:hAnsi="Times New Roman" w:eastAsia="宋体" w:cs="Times New Roman"/>
          <w:szCs w:val="24"/>
        </w:rPr>
      </w:pPr>
      <w:r>
        <w:rPr>
          <w:rFonts w:ascii="Times New Roman" w:hAnsi="Times New Roman" w:eastAsia="宋体" w:cs="Times New Roman"/>
          <w:szCs w:val="24"/>
        </w:rPr>
        <w:t>E</w:t>
      </w:r>
      <w:r>
        <w:rPr>
          <w:rFonts w:hint="eastAsia" w:ascii="Times New Roman" w:hAnsi="Times New Roman" w:eastAsia="宋体" w:cs="Times New Roman"/>
          <w:szCs w:val="24"/>
        </w:rPr>
        <w:t>级——人类无法生存的状态。</w:t>
      </w:r>
    </w:p>
    <w:p w14:paraId="5813EB7D">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对此，有论著指出：纵观世界各国，今日处于</w:t>
      </w:r>
      <w:r>
        <w:rPr>
          <w:rFonts w:ascii="Times New Roman" w:hAnsi="Times New Roman" w:eastAsia="宋体" w:cs="Times New Roman"/>
          <w:szCs w:val="24"/>
        </w:rPr>
        <w:t>B</w:t>
      </w:r>
      <w:r>
        <w:rPr>
          <w:rFonts w:hint="eastAsia" w:ascii="Times New Roman" w:hAnsi="Times New Roman" w:eastAsia="宋体" w:cs="Times New Roman"/>
          <w:szCs w:val="24"/>
        </w:rPr>
        <w:t>级状态者只有少数几个发达的小国，处于</w:t>
      </w:r>
      <w:r>
        <w:rPr>
          <w:rFonts w:ascii="Times New Roman" w:hAnsi="Times New Roman" w:eastAsia="宋体" w:cs="Times New Roman"/>
          <w:szCs w:val="24"/>
        </w:rPr>
        <w:t>D</w:t>
      </w:r>
      <w:r>
        <w:rPr>
          <w:rFonts w:hint="eastAsia" w:ascii="Times New Roman" w:hAnsi="Times New Roman" w:eastAsia="宋体" w:cs="Times New Roman"/>
          <w:szCs w:val="24"/>
        </w:rPr>
        <w:t>级状态的也有不少国家和地区，多数国家处于</w:t>
      </w:r>
      <w:r>
        <w:rPr>
          <w:rFonts w:ascii="Times New Roman" w:hAnsi="Times New Roman" w:eastAsia="宋体" w:cs="Times New Roman"/>
          <w:szCs w:val="24"/>
        </w:rPr>
        <w:t>C</w:t>
      </w:r>
      <w:r>
        <w:rPr>
          <w:rFonts w:hint="eastAsia" w:ascii="Times New Roman" w:hAnsi="Times New Roman" w:eastAsia="宋体" w:cs="Times New Roman"/>
          <w:szCs w:val="24"/>
        </w:rPr>
        <w:t>级状态。向</w:t>
      </w:r>
      <w:r>
        <w:rPr>
          <w:rFonts w:ascii="Times New Roman" w:hAnsi="Times New Roman" w:eastAsia="宋体" w:cs="Times New Roman"/>
          <w:szCs w:val="24"/>
        </w:rPr>
        <w:t>B</w:t>
      </w:r>
      <w:r>
        <w:rPr>
          <w:rFonts w:hint="eastAsia" w:ascii="Times New Roman" w:hAnsi="Times New Roman" w:eastAsia="宋体" w:cs="Times New Roman"/>
          <w:szCs w:val="24"/>
        </w:rPr>
        <w:t>级状态前进，还是向</w:t>
      </w:r>
      <w:r>
        <w:rPr>
          <w:rFonts w:ascii="Times New Roman" w:hAnsi="Times New Roman" w:eastAsia="宋体" w:cs="Times New Roman"/>
          <w:szCs w:val="24"/>
        </w:rPr>
        <w:t>D</w:t>
      </w:r>
      <w:r>
        <w:rPr>
          <w:rFonts w:hint="eastAsia" w:ascii="Times New Roman" w:hAnsi="Times New Roman" w:eastAsia="宋体" w:cs="Times New Roman"/>
          <w:szCs w:val="24"/>
        </w:rPr>
        <w:t>级状态后退，这是</w:t>
      </w:r>
      <w:r>
        <w:rPr>
          <w:rFonts w:ascii="Times New Roman" w:hAnsi="Times New Roman" w:eastAsia="宋体" w:cs="Times New Roman"/>
          <w:szCs w:val="24"/>
        </w:rPr>
        <w:t>21</w:t>
      </w:r>
      <w:r>
        <w:rPr>
          <w:rFonts w:hint="eastAsia" w:ascii="Times New Roman" w:hAnsi="Times New Roman" w:eastAsia="宋体" w:cs="Times New Roman"/>
          <w:szCs w:val="24"/>
        </w:rPr>
        <w:t>世纪（也是下一个千年）全球性的大问题</w:t>
      </w:r>
      <w:r>
        <w:rPr>
          <w:rFonts w:hint="eastAsia" w:ascii="宋体" w:hAnsi="宋体" w:eastAsia="宋体" w:cs="Times New Roman"/>
          <w:szCs w:val="24"/>
        </w:rPr>
        <w:t>。</w:t>
      </w:r>
      <w:r>
        <w:rPr>
          <w:rFonts w:ascii="宋体" w:hAnsi="宋体" w:eastAsia="宋体" w:cs="Times New Roman"/>
          <w:szCs w:val="24"/>
          <w:vertAlign w:val="superscript"/>
        </w:rPr>
        <w:footnoteReference w:id="182"/>
      </w:r>
    </w:p>
    <w:p w14:paraId="05235241">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上述两位是中国最早研究生产力理论的著名专家。不论是原道谋教授提出的环保生产力（有人称之谓绿色生产力），还是熊映梧教授提出的“人类与自然关系”的五个等级，都揭示了生产力发展的一个新方向，即应以人为中心、以人与自然最佳状态为目标。而这一点与张其佐教授提出的未来第六次产业革命的内涵是相一致的。</w:t>
      </w:r>
    </w:p>
    <w:p w14:paraId="214434A3">
      <w:pPr>
        <w:spacing w:line="300" w:lineRule="auto"/>
        <w:ind w:firstLine="440" w:firstLineChars="200"/>
        <w:rPr>
          <w:rFonts w:ascii="Times New Roman" w:hAnsi="Times New Roman" w:eastAsia="宋体" w:cs="Times New Roman"/>
          <w:b/>
          <w:szCs w:val="24"/>
        </w:rPr>
      </w:pPr>
      <w:r>
        <w:rPr>
          <w:rFonts w:hint="eastAsia" w:ascii="Times New Roman" w:hAnsi="Times New Roman" w:eastAsia="宋体" w:cs="Times New Roman"/>
          <w:b/>
          <w:szCs w:val="24"/>
        </w:rPr>
        <w:t>（</w:t>
      </w:r>
      <w:r>
        <w:rPr>
          <w:rFonts w:ascii="Times New Roman" w:hAnsi="Times New Roman" w:eastAsia="宋体" w:cs="Times New Roman"/>
          <w:b/>
          <w:szCs w:val="24"/>
        </w:rPr>
        <w:t>2</w:t>
      </w:r>
      <w:r>
        <w:rPr>
          <w:rFonts w:hint="eastAsia" w:ascii="Times New Roman" w:hAnsi="Times New Roman" w:eastAsia="宋体" w:cs="Times New Roman"/>
          <w:b/>
          <w:szCs w:val="24"/>
        </w:rPr>
        <w:t>）从社会发展过程看，延长人类生命周期的产业是自然结果</w:t>
      </w:r>
    </w:p>
    <w:p w14:paraId="41775B0C">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从工业革命以来，人类对社会的追求大致可分为三个时期，即</w:t>
      </w:r>
      <w:r>
        <w:rPr>
          <w:rFonts w:ascii="Times New Roman" w:hAnsi="Times New Roman" w:eastAsia="宋体" w:cs="Times New Roman"/>
          <w:szCs w:val="24"/>
        </w:rPr>
        <w:t>GDP</w:t>
      </w:r>
      <w:r>
        <w:rPr>
          <w:rFonts w:hint="eastAsia" w:ascii="Times New Roman" w:hAnsi="Times New Roman" w:eastAsia="宋体" w:cs="Times New Roman"/>
          <w:szCs w:val="24"/>
        </w:rPr>
        <w:t>时期、</w:t>
      </w:r>
      <w:r>
        <w:rPr>
          <w:rFonts w:ascii="Times New Roman" w:hAnsi="Times New Roman" w:eastAsia="宋体" w:cs="Times New Roman"/>
          <w:szCs w:val="24"/>
        </w:rPr>
        <w:t>HDI</w:t>
      </w:r>
      <w:r>
        <w:rPr>
          <w:rFonts w:hint="eastAsia" w:ascii="Times New Roman" w:hAnsi="Times New Roman" w:eastAsia="宋体" w:cs="Times New Roman"/>
          <w:szCs w:val="24"/>
        </w:rPr>
        <w:t>时期和</w:t>
      </w:r>
      <w:r>
        <w:rPr>
          <w:rFonts w:ascii="Times New Roman" w:hAnsi="Times New Roman" w:eastAsia="宋体" w:cs="Times New Roman"/>
          <w:szCs w:val="24"/>
        </w:rPr>
        <w:t>GGDP</w:t>
      </w:r>
      <w:r>
        <w:rPr>
          <w:rFonts w:hint="eastAsia" w:ascii="Times New Roman" w:hAnsi="Times New Roman" w:eastAsia="宋体" w:cs="Times New Roman"/>
          <w:szCs w:val="24"/>
        </w:rPr>
        <w:t>时期。</w:t>
      </w:r>
    </w:p>
    <w:p w14:paraId="2A2EC412">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在</w:t>
      </w:r>
      <w:r>
        <w:rPr>
          <w:rFonts w:ascii="Times New Roman" w:hAnsi="Times New Roman" w:eastAsia="宋体" w:cs="Times New Roman"/>
          <w:szCs w:val="24"/>
        </w:rPr>
        <w:t>GDP</w:t>
      </w:r>
      <w:r>
        <w:rPr>
          <w:rFonts w:hint="eastAsia" w:ascii="Times New Roman" w:hAnsi="Times New Roman" w:eastAsia="宋体" w:cs="Times New Roman"/>
          <w:szCs w:val="24"/>
        </w:rPr>
        <w:t>时期：</w:t>
      </w:r>
      <w:r>
        <w:rPr>
          <w:rFonts w:ascii="Times New Roman" w:hAnsi="Times New Roman" w:eastAsia="宋体" w:cs="Times New Roman"/>
          <w:szCs w:val="24"/>
        </w:rPr>
        <w:t>GDP</w:t>
      </w:r>
      <w:r>
        <w:rPr>
          <w:rFonts w:hint="eastAsia" w:ascii="Times New Roman" w:hAnsi="Times New Roman" w:eastAsia="宋体" w:cs="Times New Roman"/>
          <w:szCs w:val="24"/>
        </w:rPr>
        <w:t>或是</w:t>
      </w:r>
      <w:r>
        <w:rPr>
          <w:rFonts w:ascii="Times New Roman" w:hAnsi="Times New Roman" w:eastAsia="宋体" w:cs="Times New Roman"/>
          <w:szCs w:val="24"/>
        </w:rPr>
        <w:t>GNP</w:t>
      </w:r>
      <w:r>
        <w:rPr>
          <w:rFonts w:hint="eastAsia" w:ascii="Times New Roman" w:hAnsi="Times New Roman" w:eastAsia="宋体" w:cs="Times New Roman"/>
          <w:szCs w:val="24"/>
        </w:rPr>
        <w:t>作为一项衡量一个国家经济增长的综合指标，有它的合理性，也反映了人类认识的一个进步。这个时期的基本特征是：完全建立在物质产品的生产、流通、分配和消费基础之上，以满足人类生存与发展对物质产品的需求为主要目的。由此，有的学者称之为这是以物质资源为本的“物质经济”</w:t>
      </w:r>
      <w:r>
        <w:rPr>
          <w:rFonts w:hint="eastAsia" w:ascii="宋体" w:hAnsi="宋体" w:eastAsia="宋体" w:cs="Times New Roman"/>
          <w:szCs w:val="24"/>
        </w:rPr>
        <w:t>。</w:t>
      </w:r>
      <w:r>
        <w:rPr>
          <w:rFonts w:ascii="宋体" w:hAnsi="宋体" w:eastAsia="宋体" w:cs="Times New Roman"/>
          <w:szCs w:val="24"/>
          <w:vertAlign w:val="superscript"/>
        </w:rPr>
        <w:footnoteReference w:id="183"/>
      </w:r>
      <w:r>
        <w:rPr>
          <w:rFonts w:hint="eastAsia" w:ascii="Times New Roman" w:hAnsi="Times New Roman" w:eastAsia="宋体" w:cs="Times New Roman"/>
          <w:szCs w:val="24"/>
        </w:rPr>
        <w:t>这一时期最大的弊端在于，为了实现</w:t>
      </w:r>
      <w:r>
        <w:rPr>
          <w:rFonts w:ascii="Times New Roman" w:hAnsi="Times New Roman" w:eastAsia="宋体" w:cs="Times New Roman"/>
          <w:szCs w:val="24"/>
        </w:rPr>
        <w:t>GDP</w:t>
      </w:r>
      <w:r>
        <w:rPr>
          <w:rFonts w:hint="eastAsia" w:ascii="Times New Roman" w:hAnsi="Times New Roman" w:eastAsia="宋体" w:cs="Times New Roman"/>
          <w:szCs w:val="24"/>
        </w:rPr>
        <w:t>的增长，人们不惜大量开采和过度消耗各种自然资源，不惜污染和破坏环境，结果导致资源逐渐枯竭甚至全部枯竭；环境恶化、自然灾害频繁（如水灾、旱灾、沙尘暴、泥石流、水质污染等）。</w:t>
      </w:r>
    </w:p>
    <w:p w14:paraId="0B4EE34C">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在</w:t>
      </w:r>
      <w:r>
        <w:rPr>
          <w:rFonts w:ascii="Times New Roman" w:hAnsi="Times New Roman" w:eastAsia="宋体" w:cs="Times New Roman"/>
          <w:szCs w:val="24"/>
        </w:rPr>
        <w:t>HDI</w:t>
      </w:r>
      <w:r>
        <w:rPr>
          <w:rFonts w:hint="eastAsia" w:ascii="Times New Roman" w:hAnsi="Times New Roman" w:eastAsia="宋体" w:cs="Times New Roman"/>
          <w:szCs w:val="24"/>
        </w:rPr>
        <w:t>时期：进入</w:t>
      </w:r>
      <w:r>
        <w:rPr>
          <w:rFonts w:ascii="Times New Roman" w:hAnsi="Times New Roman" w:eastAsia="宋体" w:cs="Times New Roman"/>
          <w:szCs w:val="24"/>
        </w:rPr>
        <w:t>20</w:t>
      </w:r>
      <w:r>
        <w:rPr>
          <w:rFonts w:hint="eastAsia" w:ascii="Times New Roman" w:hAnsi="Times New Roman" w:eastAsia="宋体" w:cs="Times New Roman"/>
          <w:szCs w:val="24"/>
        </w:rPr>
        <w:t>世纪中期以后，出现了两个光辉思想：一是人类应该摈弃把物质看成最重要经济资源的传统认识，而应充分重视人力资源的开发、配置和利用；二是人类应该摈弃传统的发展观，走可持续发展道路。这一时期具有标志性的事件是联合国制定第二个</w:t>
      </w:r>
      <w:r>
        <w:rPr>
          <w:rFonts w:ascii="Times New Roman" w:hAnsi="Times New Roman" w:eastAsia="宋体" w:cs="Times New Roman"/>
          <w:szCs w:val="24"/>
        </w:rPr>
        <w:t>10</w:t>
      </w:r>
      <w:r>
        <w:rPr>
          <w:rFonts w:hint="eastAsia" w:ascii="Times New Roman" w:hAnsi="Times New Roman" w:eastAsia="宋体" w:cs="Times New Roman"/>
          <w:szCs w:val="24"/>
        </w:rPr>
        <w:t>年（</w:t>
      </w:r>
      <w:r>
        <w:rPr>
          <w:rFonts w:ascii="Times New Roman" w:hAnsi="Times New Roman" w:eastAsia="宋体" w:cs="Times New Roman"/>
          <w:szCs w:val="24"/>
        </w:rPr>
        <w:t>197</w:t>
      </w:r>
      <w:r>
        <w:rPr>
          <w:rFonts w:hint="eastAsia" w:ascii="宋体" w:hAnsi="宋体" w:eastAsia="宋体" w:cs="Times New Roman"/>
          <w:szCs w:val="24"/>
        </w:rPr>
        <w:t>0～1980</w:t>
      </w:r>
      <w:r>
        <w:rPr>
          <w:rFonts w:hint="eastAsia" w:ascii="Times New Roman" w:hAnsi="Times New Roman" w:eastAsia="宋体" w:cs="Times New Roman"/>
          <w:szCs w:val="24"/>
        </w:rPr>
        <w:t>）国际发展战略，把发展概括为“经济增长加上社会变革”。联合国开发计划署（</w:t>
      </w:r>
      <w:r>
        <w:rPr>
          <w:rFonts w:ascii="Times New Roman" w:hAnsi="Times New Roman" w:eastAsia="宋体" w:cs="Times New Roman"/>
          <w:szCs w:val="24"/>
        </w:rPr>
        <w:t>UNDP</w:t>
      </w:r>
      <w:r>
        <w:rPr>
          <w:rFonts w:hint="eastAsia" w:ascii="Times New Roman" w:hAnsi="Times New Roman" w:eastAsia="宋体" w:cs="Times New Roman"/>
          <w:szCs w:val="24"/>
        </w:rPr>
        <w:t>）推出了人类发展指数</w:t>
      </w:r>
      <w:r>
        <w:rPr>
          <w:rFonts w:ascii="Times New Roman" w:hAnsi="Times New Roman" w:eastAsia="宋体" w:cs="Times New Roman"/>
          <w:szCs w:val="24"/>
        </w:rPr>
        <w:t>(HDI)</w:t>
      </w:r>
      <w:r>
        <w:rPr>
          <w:rFonts w:hint="eastAsia" w:ascii="Times New Roman" w:hAnsi="Times New Roman" w:eastAsia="宋体" w:cs="Times New Roman"/>
          <w:szCs w:val="24"/>
        </w:rPr>
        <w:t>，从三个方面的平均成就，来衡量一个国家的发展：健康长寿的生活——用出生时预期寿命来表示；知识——用成人识字率、小学中学大学生入学率加权平均来表示；体面的生活水平——用人均</w:t>
      </w:r>
      <w:r>
        <w:rPr>
          <w:rFonts w:ascii="Times New Roman" w:hAnsi="Times New Roman" w:eastAsia="宋体" w:cs="Times New Roman"/>
          <w:szCs w:val="24"/>
        </w:rPr>
        <w:t>GDP</w:t>
      </w:r>
      <w:r>
        <w:rPr>
          <w:rFonts w:hint="eastAsia" w:ascii="Times New Roman" w:hAnsi="Times New Roman" w:eastAsia="宋体" w:cs="Times New Roman"/>
          <w:szCs w:val="24"/>
        </w:rPr>
        <w:t>来表示。</w:t>
      </w:r>
      <w:r>
        <w:rPr>
          <w:rFonts w:ascii="Times New Roman" w:hAnsi="Times New Roman" w:eastAsia="宋体" w:cs="Times New Roman"/>
          <w:szCs w:val="24"/>
          <w:vertAlign w:val="superscript"/>
        </w:rPr>
        <w:footnoteReference w:id="184"/>
      </w:r>
      <w:r>
        <w:rPr>
          <w:rFonts w:hint="eastAsia" w:ascii="Times New Roman" w:hAnsi="Times New Roman" w:eastAsia="宋体" w:cs="Times New Roman"/>
          <w:szCs w:val="24"/>
        </w:rPr>
        <w:t>⑧这一变革，反映了人类对社会发展认识的提高，开始认识到经济增长是经济发展的基本动力，但是经济增长并不意味着经济发展。发展经济并不单是为了经济，而是为了保障人的健康和全面发展。</w:t>
      </w:r>
    </w:p>
    <w:p w14:paraId="26664F97">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在</w:t>
      </w:r>
      <w:r>
        <w:rPr>
          <w:rFonts w:ascii="Times New Roman" w:hAnsi="Times New Roman" w:eastAsia="宋体" w:cs="Times New Roman"/>
          <w:szCs w:val="24"/>
        </w:rPr>
        <w:t>GGDP</w:t>
      </w:r>
      <w:r>
        <w:rPr>
          <w:rFonts w:hint="eastAsia" w:ascii="Times New Roman" w:hAnsi="Times New Roman" w:eastAsia="宋体" w:cs="Times New Roman"/>
          <w:szCs w:val="24"/>
        </w:rPr>
        <w:t>时一期：亦即绿色</w:t>
      </w:r>
      <w:r>
        <w:rPr>
          <w:rFonts w:ascii="Times New Roman" w:hAnsi="Times New Roman" w:eastAsia="宋体" w:cs="Times New Roman"/>
          <w:szCs w:val="24"/>
        </w:rPr>
        <w:t>GDP</w:t>
      </w:r>
      <w:r>
        <w:rPr>
          <w:rFonts w:hint="eastAsia" w:ascii="Times New Roman" w:hAnsi="Times New Roman" w:eastAsia="宋体" w:cs="Times New Roman"/>
          <w:szCs w:val="24"/>
        </w:rPr>
        <w:t>时期。它是对传统</w:t>
      </w:r>
      <w:r>
        <w:rPr>
          <w:rFonts w:ascii="Times New Roman" w:hAnsi="Times New Roman" w:eastAsia="宋体" w:cs="Times New Roman"/>
          <w:szCs w:val="24"/>
        </w:rPr>
        <w:t>GDP</w:t>
      </w:r>
      <w:r>
        <w:rPr>
          <w:rFonts w:hint="eastAsia" w:ascii="Times New Roman" w:hAnsi="Times New Roman" w:eastAsia="宋体" w:cs="Times New Roman"/>
          <w:szCs w:val="24"/>
        </w:rPr>
        <w:t>指标的调整，是扣除经济活动中投入的环境成本后的国内生产总值。绿色</w:t>
      </w:r>
      <w:r>
        <w:rPr>
          <w:rFonts w:ascii="Times New Roman" w:hAnsi="Times New Roman" w:eastAsia="宋体" w:cs="Times New Roman"/>
          <w:szCs w:val="24"/>
        </w:rPr>
        <w:t>GDP</w:t>
      </w:r>
      <w:r>
        <w:rPr>
          <w:rFonts w:hint="eastAsia" w:ascii="Times New Roman" w:hAnsi="Times New Roman" w:eastAsia="宋体" w:cs="Times New Roman"/>
          <w:szCs w:val="24"/>
        </w:rPr>
        <w:t>的基本点是“以人为本”，发展准则是坚持可持续发展。“以人为本”，就要在经济、政治、科技、文化、教育等各个方面都要以人民的利益、愿望和需求为出发点，都要以有利于人们的健康长寿为落脚点，都要以有利于子孙后代的生产、生活、提高生命质量为着眼点，全力建设好三大系统：（</w:t>
      </w:r>
      <w:r>
        <w:rPr>
          <w:rFonts w:ascii="Times New Roman" w:hAnsi="Times New Roman" w:eastAsia="宋体" w:cs="Times New Roman"/>
          <w:szCs w:val="24"/>
        </w:rPr>
        <w:t>1</w:t>
      </w:r>
      <w:r>
        <w:rPr>
          <w:rFonts w:hint="eastAsia" w:ascii="Times New Roman" w:hAnsi="Times New Roman" w:eastAsia="宋体" w:cs="Times New Roman"/>
          <w:szCs w:val="24"/>
        </w:rPr>
        <w:t>）生态文明系统，它包括建设科学的生态文明模式、生态文明制度和生态文明意识，杜绝人类对自然环境的破坏，实现人与自然的和谐发展；（</w:t>
      </w:r>
      <w:r>
        <w:rPr>
          <w:rFonts w:ascii="Times New Roman" w:hAnsi="Times New Roman" w:eastAsia="宋体" w:cs="Times New Roman"/>
          <w:szCs w:val="24"/>
        </w:rPr>
        <w:t>2</w:t>
      </w:r>
      <w:r>
        <w:rPr>
          <w:rFonts w:hint="eastAsia" w:ascii="Times New Roman" w:hAnsi="Times New Roman" w:eastAsia="宋体" w:cs="Times New Roman"/>
          <w:szCs w:val="24"/>
        </w:rPr>
        <w:t>）社会文明系统，它包括建设社会物质文明系统、制度文明系统和精神文明系统，促进人的全面发展和解放；（</w:t>
      </w:r>
      <w:r>
        <w:rPr>
          <w:rFonts w:ascii="Times New Roman" w:hAnsi="Times New Roman" w:eastAsia="宋体" w:cs="Times New Roman"/>
          <w:szCs w:val="24"/>
        </w:rPr>
        <w:t>3</w:t>
      </w:r>
      <w:r>
        <w:rPr>
          <w:rFonts w:hint="eastAsia" w:ascii="Times New Roman" w:hAnsi="Times New Roman" w:eastAsia="宋体" w:cs="Times New Roman"/>
          <w:szCs w:val="24"/>
        </w:rPr>
        <w:t>）主体文明系统，，它包括主体的思想文化建设、道德文化建设和医疗卫生建设，使人的素质和体质得到全面提高。</w:t>
      </w:r>
    </w:p>
    <w:p w14:paraId="1B732032">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社会发展的三个时一期充分展示了人们追求的一条基本轨迹，即发展经济，人们并不是以经济为目的；促进社会发展，人们也并不是以社会为归宿，而所要追求的是人们生活的仁福和生命的延长。这恰与张文所提出的第六次产业革命的内涵相一致。</w:t>
      </w:r>
    </w:p>
    <w:p w14:paraId="786551F3">
      <w:pPr>
        <w:spacing w:line="300" w:lineRule="auto"/>
        <w:ind w:firstLine="440" w:firstLineChars="200"/>
        <w:rPr>
          <w:rFonts w:ascii="Times New Roman" w:hAnsi="Times New Roman" w:eastAsia="宋体" w:cs="Times New Roman"/>
          <w:b/>
          <w:szCs w:val="24"/>
        </w:rPr>
      </w:pPr>
      <w:r>
        <w:rPr>
          <w:rFonts w:hint="eastAsia" w:ascii="Times New Roman" w:hAnsi="Times New Roman" w:eastAsia="宋体" w:cs="Times New Roman"/>
          <w:b/>
          <w:szCs w:val="24"/>
        </w:rPr>
        <w:t>（</w:t>
      </w:r>
      <w:r>
        <w:rPr>
          <w:rFonts w:ascii="Times New Roman" w:hAnsi="Times New Roman" w:eastAsia="宋体" w:cs="Times New Roman"/>
          <w:b/>
          <w:szCs w:val="24"/>
        </w:rPr>
        <w:t>3</w:t>
      </w:r>
      <w:r>
        <w:rPr>
          <w:rFonts w:hint="eastAsia" w:ascii="Times New Roman" w:hAnsi="Times New Roman" w:eastAsia="宋体" w:cs="Times New Roman"/>
          <w:b/>
          <w:szCs w:val="24"/>
        </w:rPr>
        <w:t>）从人们的需求看，延长人类生命周期的产业是追求的最终需求</w:t>
      </w:r>
    </w:p>
    <w:p w14:paraId="334DA593">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研究马克思主义经济学的学者把人们的需求，一般分为三个层次，即生存需求、享受需求和发展与表现需求。所谓生存需求，就是在一定的自然和社会条件下维持生命的基本需求。所谓享受需求，是在满足生存需求的基础上，提高物质和精神生活的舒适程度的需求。所谓发展与表现需求，是更高层次的要求。它可分为现时的发展需求和最终的发展需求两个阶段。现时发展与表现需求，如接受教育，以发展与展不自己的智力；参加各种锻炼，以发展与表现自己的体力；参与音乐、舞蹈、戏曲等各种文娱活动，以发展与显示自己的艺术力，等等。最终发展与表现需求，既然是要在现时需求的基础上更上一层楼，那么就必然通过延长青春、延长寿命，增加在世逗留的时间和质量来体现。从生存需求、享受需求到发展与表现需求的发展序列，是人们需求追求的必然结果和最终要求。诚然，在不同的自然和社会条件下，其衡量标准不尽一致。</w:t>
      </w:r>
    </w:p>
    <w:p w14:paraId="7C9BE105">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1"/>
        </w:rPr>
        <w:t>英国心理学家马斯洛把人们的需求分为五个层次</w:t>
      </w:r>
      <w:r>
        <w:rPr>
          <w:rFonts w:hint="eastAsia" w:ascii="Times New Roman" w:hAnsi="Times New Roman" w:eastAsia="宋体" w:cs="Times New Roman"/>
          <w:szCs w:val="24"/>
        </w:rPr>
        <w:t>，即生理需求、安全需求、社交需求、尊币需求和自我成就（实现</w:t>
      </w:r>
      <w:r>
        <w:rPr>
          <w:rFonts w:ascii="Times New Roman" w:hAnsi="Times New Roman" w:eastAsia="宋体" w:cs="Times New Roman"/>
          <w:szCs w:val="24"/>
        </w:rPr>
        <w:t>)</w:t>
      </w:r>
      <w:r>
        <w:rPr>
          <w:rFonts w:hint="eastAsia" w:ascii="Times New Roman" w:hAnsi="Times New Roman" w:eastAsia="宋体" w:cs="Times New Roman"/>
          <w:szCs w:val="24"/>
        </w:rPr>
        <w:t>需求。马斯洛把人们的需求分为五个层次是否准确，虽有不同的看法，但他对人们需求的揭不由低向高发展，即人们通常是先满足低层次的需求，然后才追求较高层次的需求，一级一级向上攀登，这一规律是为人们所共识的。</w:t>
      </w:r>
    </w:p>
    <w:p w14:paraId="4BA0147F">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从马克思主义学者把人们的追求分为三类需求，到马斯洛把人们的需求分为五个层次，撇开他们研究的指导思想和研究目的，就他们所揭示的人们需求的追求来看，方向和目标是相似的，即有了生存要享受，满足了享受要发展，要自我表现或实现，在不断提升享受、发展和表现之过程中，追求延长自身的生命周期就成了必然的最高追求。</w:t>
      </w:r>
    </w:p>
    <w:p w14:paraId="1DB6186E">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上述三个方面：从生产力发展的规律、社会发展的过程和人们对需求的追求的分析，概括为一句话：张其佐教授提出的在未来将要爆发的第六次产业革命中，最有可能成为该周期主导产业的，将是与延长人类的生命周期密切相关的生物产业和基因产业”的判断，我们认为是正确的。</w:t>
      </w:r>
    </w:p>
    <w:p w14:paraId="000C0D71">
      <w:pPr>
        <w:spacing w:before="156" w:beforeLines="50" w:after="156" w:afterLines="50" w:line="300" w:lineRule="auto"/>
        <w:ind w:firstLine="500" w:firstLineChars="200"/>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rPr>
        <w:t>二、第六次产业革命“预见”的现实意义</w:t>
      </w:r>
    </w:p>
    <w:p w14:paraId="38713EC3">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张文发表后，为何能备受国内外经济学界的关注，并有百余人直接书写参与讨论，这是因为张文从理论到实践提出了许多富有挑战性和思考意义的问题。</w:t>
      </w:r>
    </w:p>
    <w:p w14:paraId="1E081B49">
      <w:pPr>
        <w:spacing w:line="300" w:lineRule="auto"/>
        <w:ind w:firstLine="440" w:firstLineChars="200"/>
        <w:rPr>
          <w:rFonts w:ascii="Times New Roman" w:hAnsi="Times New Roman" w:eastAsia="宋体" w:cs="Times New Roman"/>
          <w:b/>
          <w:szCs w:val="24"/>
        </w:rPr>
      </w:pPr>
      <w:r>
        <w:rPr>
          <w:rFonts w:ascii="Times New Roman" w:hAnsi="Times New Roman" w:eastAsia="宋体" w:cs="Times New Roman"/>
          <w:b/>
          <w:szCs w:val="24"/>
        </w:rPr>
        <w:t>1.</w:t>
      </w:r>
      <w:r>
        <w:rPr>
          <w:rFonts w:hint="eastAsia" w:ascii="Times New Roman" w:hAnsi="Times New Roman" w:eastAsia="宋体" w:cs="Times New Roman"/>
          <w:b/>
          <w:szCs w:val="24"/>
        </w:rPr>
        <w:t>“预见”的理论意义：丰富了分析经济周期的理论内容</w:t>
      </w:r>
    </w:p>
    <w:p w14:paraId="670D0462">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引起经济周期变动的根本原因在于技术创新等因素，这一点，张文是继承了前人的理论。张文的创见在于对技术革命进行了较为全面而系统的分析：</w:t>
      </w:r>
    </w:p>
    <w:p w14:paraId="0D7D9571">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丰富了技术革命的内容。以往谈技术革命一般局限在设备更新、工业改革、技术进步等方面。而张文提出“技术革命包括新的关键技术和新能源、新材料、新产品、新产业、新的基础设施及其新的制度和管理的创新”，拓展了技术革命的范围，这就更为符合现代经济周期变动的实际。</w:t>
      </w:r>
    </w:p>
    <w:p w14:paraId="08AD3538">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提出了技术革命的二重性。以往分析技术革命对经济周期的变动，主要是分析其对经济增长的推动，很少分析其对经济增长的阻碍。张文则明确提出“技术革命经济发展过程具有二重性”：它在产业结构升级过程中创造投资高潮和生产高潮，此时经济周期处于繁荣阶段，创新占据主导地位，周期的主导产品供不应求；另一面又同时制造着投资低潮和生产低潮的潜在性，此时经济周期处于衰退阶段，重要的创新活动已经衰竭，周期的主导产品供过十求，全社会总供给与总需求呈现由相对平衡到严重失衡饿状态。综观世界经济近几百年发展的历史，每个经济长周期，具体的时间可能会有长短，而每一次的技术革命从产生到消亡的确都遵循着这一规律。“技术二重性”是对马克思主义唯物辩证法的具体运用。</w:t>
      </w:r>
    </w:p>
    <w:p w14:paraId="21AB757B">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论述了技术革命、技术创新和产业革命的关系。以往对这三者关系的论述，较为复杂而繁琐，而张文则以最简洁的语言进行了概括：技术革命具有丰富的内容，而每一重大的技术突破才是技术革命的基础，产业革命是技术革命大规模集中的浪潮，由技术创新和技术革命演变为产业革命。在原有技术创新逐渐衰落时，新的技术创新周期又孕育并导致新的产业革命，新的经济周期又被启动，“世界经济发展就是这样循环往复，不断推向前进”。</w:t>
      </w:r>
    </w:p>
    <w:p w14:paraId="06184E5C">
      <w:pPr>
        <w:spacing w:line="300" w:lineRule="auto"/>
        <w:ind w:firstLine="440" w:firstLineChars="200"/>
        <w:rPr>
          <w:rFonts w:ascii="Times New Roman" w:hAnsi="Times New Roman" w:eastAsia="宋体" w:cs="Times New Roman"/>
          <w:b/>
          <w:szCs w:val="24"/>
        </w:rPr>
      </w:pPr>
      <w:r>
        <w:rPr>
          <w:rFonts w:ascii="Times New Roman" w:hAnsi="Times New Roman" w:eastAsia="宋体" w:cs="Times New Roman"/>
          <w:b/>
          <w:szCs w:val="24"/>
        </w:rPr>
        <w:t>2.</w:t>
      </w:r>
      <w:r>
        <w:rPr>
          <w:rFonts w:hint="eastAsia" w:ascii="Times New Roman" w:hAnsi="Times New Roman" w:eastAsia="宋体" w:cs="Times New Roman"/>
          <w:b/>
          <w:szCs w:val="24"/>
        </w:rPr>
        <w:t>“预见”的方法论意义：经济理论研究要敢于探索</w:t>
      </w:r>
    </w:p>
    <w:p w14:paraId="1AC1181A">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张文发表后，之所以能引起经济学术界众多学者的关注，受其研究方法的启迪，不能不说是其重要原因之一。</w:t>
      </w:r>
    </w:p>
    <w:p w14:paraId="11AABF48">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启迪之一：对经济需币视前瞻性的研究。张其佐教授对第六次产业革命的研究，就是前瞻性研究的示范。虽然对第六次产业革命是什么，存在不同的看法，但需要重视对未来产业革命的研究，则是完全一致的。对经济需要作前瞻性的研究，不仅是当前我国经济建设和深化经济体制改革的需要，而且更是经济理论本身的需要。</w:t>
      </w:r>
    </w:p>
    <w:p w14:paraId="636BE285">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启迪之二：对经济需注重规律性的研究。张文对产业革命进行了规律性研究，对经济长周期进行了规律性研究，对技术革命与经济发展的作用进行了规律性研究等等。至于他的这些研究，是否真正把握了规律或可商榷，但他研究的目的和方法是清楚和明了的。只有对经济进行一系列的规律性研究，才能认识事物发展的全过程，不犯以偏概全错误；才能把握事物的本质，不为表面现象所迷惑；才能上升到理论的高度，不犯就事论事的错误。</w:t>
      </w:r>
    </w:p>
    <w:p w14:paraId="6A0B9CF8">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启迪之三：对经济需进行创造性的研究。张文具有独创性和新颖性，明确提出“第六次产业革命中，最有可能成为该周期主导产业的，将是与延长人类的生命周期密切相关的生物产业和基因产业。”尽管对此存在个别不同看法，但对未来产业是什么却引起了人们极大的兴趣。求真务实，与时俱进地进行创造性研究，既是个人提高学术素养的关键，也是当前繁荣发展经济学的迫切需要。</w:t>
      </w:r>
    </w:p>
    <w:p w14:paraId="160F4934">
      <w:pPr>
        <w:spacing w:line="300" w:lineRule="auto"/>
        <w:ind w:firstLine="440" w:firstLineChars="200"/>
        <w:rPr>
          <w:rFonts w:ascii="Times New Roman" w:hAnsi="Times New Roman" w:eastAsia="宋体" w:cs="Times New Roman"/>
          <w:b/>
          <w:szCs w:val="24"/>
        </w:rPr>
      </w:pPr>
      <w:r>
        <w:rPr>
          <w:rFonts w:ascii="Times New Roman" w:hAnsi="Times New Roman" w:eastAsia="宋体" w:cs="Times New Roman"/>
          <w:b/>
          <w:szCs w:val="24"/>
        </w:rPr>
        <w:t>3.</w:t>
      </w:r>
      <w:r>
        <w:rPr>
          <w:rFonts w:hint="eastAsia" w:ascii="Times New Roman" w:hAnsi="Times New Roman" w:eastAsia="宋体" w:cs="Times New Roman"/>
          <w:b/>
          <w:szCs w:val="24"/>
        </w:rPr>
        <w:t>“预见”的实践意义：集中体现在两个方面</w:t>
      </w:r>
    </w:p>
    <w:p w14:paraId="40E05DB7">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w:t>
      </w:r>
      <w:r>
        <w:rPr>
          <w:rFonts w:ascii="Times New Roman" w:hAnsi="Times New Roman" w:eastAsia="宋体" w:cs="Times New Roman"/>
          <w:szCs w:val="24"/>
        </w:rPr>
        <w:t>1</w:t>
      </w:r>
      <w:r>
        <w:rPr>
          <w:rFonts w:hint="eastAsia" w:ascii="Times New Roman" w:hAnsi="Times New Roman" w:eastAsia="宋体" w:cs="Times New Roman"/>
          <w:szCs w:val="24"/>
        </w:rPr>
        <w:t>）抓住现有机遇，促进产业结构的优化升级</w:t>
      </w:r>
    </w:p>
    <w:p w14:paraId="6BD03FD9">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张文指出：“我国要充分发挥自己的后发优势，顺应产业革命所具有扩散、辐射、示范和加速效应的规律，促进产业结构再次优化升级。”这是一个富有实践意义的命题。促进我国产业结构的优化升级，必须从我国国情出发，抓住三个环节：</w:t>
      </w:r>
    </w:p>
    <w:p w14:paraId="5F6B1F26">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首先，要不要振兴制造业，这是当前战略产业选择问题的焦点。按照有些人的看法，认为制造业是夕阳产业，应予逐步退化、消亡，把主要资源集中投入到网络经济、信息产业等新兴产业上。对此，我们有不同的看法。综观世界主要国家经济发展的过程，可以得出这样一个结论：几乎所有的经济大国都是借助工业化起步的，没有工业化，特别是制造业的支撑，就不可能有经济大国和强国的地位。今天，中国要发展，也不能违背这个规律。把制造业作为发展战略产业，丝毫不是要放弃新兴产业，我们在经济发展的战略选择上，应当毫不犹豫地把振兴制造业作为一个重要的发展战略。</w:t>
      </w:r>
    </w:p>
    <w:p w14:paraId="4AB8ACAD">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其次，在产业政策上，要强化宏观调控，严防重复建设。产业结构的优化升级不容许产业结构的雷同，雷同了，不论是低水平重复、还是高水平的重复，就都谈不上产业结构的优化。可是回顾我国制造业发展的历程，致命的一大顽症就是重复建设。在宏观政策的调控上，如果不能解决重复建设的顽症，就不可能有产业结构的优化升级。</w:t>
      </w:r>
    </w:p>
    <w:p w14:paraId="0AC05E0F">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再次，在实施部署上，要正确处理好高新产业与传统产业的关系。实行产业结构的优化升级，应以两条腿走路：一条积极创造条件，抓住机遇培育和发展高新产业。另一条需要继续发挥传统产业在国际分土中低成本、低价格的优势，把它做大做强。如果不顾国情、片面追求高新产业，放松或过早放弃传统产业，则不仅会欲速而不达，而且还会造成大批工人失业，引起诸多社会问题。提倡两条腿走路，决不能把高新产业与传统产业理解为是两股道上跑的车，各管各的发展，而是要求正确处理好高新产业与传统产业的关系。就一般国际经验来看，发展高新技术产业，培育和发展新的主导产业是产业升级的主线。从这一点出发，要毫不动摇地积极培养和发展高新产业；另一方面，又必须坚持用高新技术对传统产业进行改造，或是传统企业将引入的高新技术与传统技术相结合，形成新的复合性技术，或是投入新的生产要素、新的技术生产高新技术产品，从而提高高新技术在企业技术结构中的比重，加速企业从传统技术向高新技术过渡。</w:t>
      </w:r>
    </w:p>
    <w:p w14:paraId="5654BB46">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w:t>
      </w:r>
      <w:r>
        <w:rPr>
          <w:rFonts w:ascii="Times New Roman" w:hAnsi="Times New Roman" w:eastAsia="宋体" w:cs="Times New Roman"/>
          <w:szCs w:val="24"/>
        </w:rPr>
        <w:t>2)</w:t>
      </w:r>
      <w:r>
        <w:rPr>
          <w:rFonts w:hint="eastAsia" w:ascii="Times New Roman" w:hAnsi="Times New Roman" w:eastAsia="宋体" w:cs="Times New Roman"/>
          <w:szCs w:val="24"/>
        </w:rPr>
        <w:t>立足跨越式发展，抢先占领科技制高点</w:t>
      </w:r>
    </w:p>
    <w:p w14:paraId="5416C855">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新的产业革命和新的核心技术兴起之时，也给各个国家提供了一个重新“洗牌”的机会，它使后进国家通过发展新的主导产业实现经济和技术跨越式发展成为可能。而这正是张文的深息所在。</w:t>
      </w:r>
    </w:p>
    <w:p w14:paraId="174738F4">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新周期的到来，是一次难得的机遇。尽管对</w:t>
      </w:r>
      <w:r>
        <w:rPr>
          <w:rFonts w:ascii="Times New Roman" w:hAnsi="Times New Roman" w:eastAsia="宋体" w:cs="Times New Roman"/>
          <w:szCs w:val="24"/>
        </w:rPr>
        <w:t>IT</w:t>
      </w:r>
      <w:r>
        <w:rPr>
          <w:rFonts w:hint="eastAsia" w:ascii="Times New Roman" w:hAnsi="Times New Roman" w:eastAsia="宋体" w:cs="Times New Roman"/>
          <w:szCs w:val="24"/>
        </w:rPr>
        <w:t>产业是否进入相对成熟期，是</w:t>
      </w:r>
      <w:r>
        <w:rPr>
          <w:rFonts w:ascii="Times New Roman" w:hAnsi="Times New Roman" w:eastAsia="宋体" w:cs="Times New Roman"/>
          <w:szCs w:val="24"/>
        </w:rPr>
        <w:t>IT</w:t>
      </w:r>
      <w:r>
        <w:rPr>
          <w:rFonts w:hint="eastAsia" w:ascii="Times New Roman" w:hAnsi="Times New Roman" w:eastAsia="宋体" w:cs="Times New Roman"/>
          <w:szCs w:val="24"/>
        </w:rPr>
        <w:t>的硬件成熟还是整体成熟，存有不同的认识，但有一点参与讨论的人们认识却是一致的，即新的周期的确是曙光初现，摆在中国人民面前的一个重大的课题，就是怎样迎接新周期，抓住新机遇。回顾中国近几百年来在世界经济赛跑中的落伍，原因固然很多，而其中一大原因就是不懂世界经济周期性的发展，不懂每次产业革命带来的机遇，结果导致屡错良机。张文提出“新的周期有可能即将到来”，这是富有战略启示作用的。</w:t>
      </w:r>
    </w:p>
    <w:p w14:paraId="20942CFC">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跨越式发展，是时代赋予中国历史使命。而对即将到来的新周期，中国应如何应对？实施跨越式发展，是张文又一立意所在。世界经济近二百年发展的历程，揭示了一个规律：每一次科学技术的革命性突破或重大进步都会导致一次大的产业革命和结构的调整，从而推动一国经济乃至世界经济大发展和大跨越；新的产业革命和新的核心技术兴起之时，也是后进国家赶超先进国家的绝好时机，它给各个国家提供了一个赶超机会，使落后国家通过发展新的主导产业实现经济和技术跨越式发展成为可能。中国作为一个发展中的大国，实行跨越式发展，既有它的必要性，也有它的可能性。所谓必要性，就是中国要全面实现小康目标，并向富裕社会发展，不实行跨越式发展，就无法实现目标，永远只能在贫困线上徘徊；中国作为一个社会主义大国，不可能从发达资本主义国家那里得到无私援助，只有依靠自己的力量奋发拼搏，否则将永远处于被人欺凌的弱国或“躯国”地位，而非“脑国”地位。所谓可能性，就是中国经过五十多年的奋斗，条件初具，可以说，中国的科学技术目前正处十一个赶超期”和自主创新期”。只要我们紧紧抓住新周期这一机遇，全力从事技术创新和产业革命，完全是有条件实现跨越式和自主式，而非依赖式发展的。</w:t>
      </w:r>
    </w:p>
    <w:p w14:paraId="105E89B8">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充分发挥后发优势，抢占科技革命制高点。这不仅是张文提出的又一重要命题，而且他还从多方面论证了后进国家抢占科技革命制高点的战略息义：因为只有占领科技革命制高点，才能在新一轮经济周期中赢得竞争先机；因为只有占领科技革命制高点，才能形成强大的垄断优势和进入门槛，阻止其他国家和地区进入；因为只有占领了科技革命的制高点，才能获得高额利润，并避免平均利润下降的厄运。中国有哪些后发优势，本文不再赘述，仅就怎样抢占科技革命制高点谈一点看法：</w:t>
      </w:r>
    </w:p>
    <w:p w14:paraId="0129DC38">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第一，统一思想为先，自主创新为主。从这次争鸣来看，存在着两种不同思路或看法。一种认为在有可能引发新产业革命的生物工程等新技术方面，我们与发达国家的距离并不大，基本上处于同一起跑线上，我们应当加强相关技术研发，实施以技术进步为核心的科技战略创新，大力提高自主创新能力，依靠自主创新的力量去抢占科技革命的制高点；另一种观点则认为，我们没有必要也没有实力去和发达国家一争高低。如果一个发展中国家想要靠自己的研发取得新技术，在最前沿的技术和发达国家竞争，成功和失败的概率顶多和发达国家一样。如果发展中国家依靠引进技术，最贵的方式是买专利，所花费用一般也只要这项专项技术研发成本的三分之一，而日避免自主研发所可能遭遇</w:t>
      </w:r>
      <w:r>
        <w:rPr>
          <w:rFonts w:ascii="Times New Roman" w:hAnsi="Times New Roman" w:eastAsia="宋体" w:cs="Times New Roman"/>
          <w:szCs w:val="24"/>
        </w:rPr>
        <w:t>99%</w:t>
      </w:r>
      <w:r>
        <w:rPr>
          <w:rFonts w:hint="eastAsia" w:ascii="Times New Roman" w:hAnsi="Times New Roman" w:eastAsia="宋体" w:cs="Times New Roman"/>
          <w:szCs w:val="24"/>
        </w:rPr>
        <w:t>的失败。我们主张前一种思路和看法，坚决反对后一种思路和看法。理由非常简单，靠引进为主而抢科技制高点的既没有先例，也不可能有后例，更不可能在中国这样的大国中发生。自主创新的资金巨大、风险颇大，这是事实，但对中国来说，经济人均量虽低，而经济总量已有相当水平，只要下定决心，是可以挤出较多的资金搞科技开发的。能不能统一这个思想，这是抢占科技革命制高点的前提条件和思想基础。</w:t>
      </w:r>
    </w:p>
    <w:p w14:paraId="4690A870">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第二，划分两类技术，建立两条发展路径。主张自主创新为主，绝不是要排斥技术引进，而是说对技术要进行分类，因类而宜。在关系国家安全的战略技术领域、关系国家核心竞争力的关键产业技术领域，我们必须不惜代价，立足于自主研发。因为对于这些技术即使出最大的高价也是买不到、引不进的。对一般技术领域，只要有条件，则尽可能通过技术贸易，合资合作等多种形式，能引则引，能买则买，完全可以采用“拿来主义”为我们所用。</w:t>
      </w:r>
    </w:p>
    <w:p w14:paraId="6E1FBE52">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第三，加速制度创新，调整创新主体。战后经济强国的盛衰揭示了一个规律，即只有通过技术与制度创新相结合，才能抢占科技革命的制高点。英国率先实现第一次科技革命和工业革命，是由于它深化了土地制度改革，进行了“圈地运动”，从而为制造业和产业革命的进一步发展提供了条件。美国所以超过英国，其根本原因就是选择了独特的“制度创新”的产业革命路径。如创建现代工厂制度、标准化流水线生产、股份制等现代企业制度等。由此，中国要抢占科技革命的制高点，加速制度创新是极为重要的。与科技创新关系最直接、最密切的除了建立现代企业制度外，就是要明确企业是技术创新的主体。政府从主体地位转为服务地位，企业从附属地位转为主体地位。有此制度创新，不仅有了抢占科技革命的制高点的“千军万马”，而且增强了取胜的力度。</w:t>
      </w:r>
    </w:p>
    <w:p w14:paraId="6E31A17E">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第四，健全扶持政策，构筑良好“创新”环境。美国近百年来所以在科技创新上能一路领先，决非偶然，在于它建立了一个良好的“创新”环境。如果没有对知识产权有效的法律保护，就不可能有巨大的科技投资，也就不可能有领先的科技产业；如果没有创新投资的融资渠道，就不可能出现象微软一类创新企业。因此，中国要在第六次产业革命中抢占科技革命的制高点，从中央政府到地方政府必须有一套保护和促进科技创新的扶持政策。</w:t>
      </w:r>
    </w:p>
    <w:p w14:paraId="543BB42F">
      <w:pPr>
        <w:spacing w:before="156" w:beforeLines="50" w:after="156" w:afterLines="50" w:line="300" w:lineRule="auto"/>
        <w:ind w:firstLine="500" w:firstLineChars="200"/>
        <w:jc w:val="center"/>
        <w:rPr>
          <w:rFonts w:ascii="Times New Roman" w:hAnsi="Times New Roman" w:eastAsia="宋体" w:cs="Times New Roman"/>
          <w:b/>
          <w:sz w:val="24"/>
          <w:szCs w:val="24"/>
        </w:rPr>
      </w:pPr>
      <w:r>
        <w:rPr>
          <w:rFonts w:hint="eastAsia" w:ascii="Times New Roman" w:hAnsi="Times New Roman" w:eastAsia="宋体" w:cs="Times New Roman"/>
          <w:b/>
          <w:sz w:val="24"/>
          <w:szCs w:val="24"/>
        </w:rPr>
        <w:t>三、第六次产业革命“预见”的不足</w:t>
      </w:r>
    </w:p>
    <w:p w14:paraId="7743B9F5">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理论需要在争鸣中繁荣，文章需在讨论中完美。正是从此出发，我们认为张文也有某些不足之处：经济长周期时一间的划分过十机械。</w:t>
      </w:r>
    </w:p>
    <w:p w14:paraId="381C4BEA">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张文说：每个长经济周期从产生到消亡的时间一般约</w:t>
      </w:r>
      <w:r>
        <w:rPr>
          <w:rFonts w:ascii="Times New Roman" w:hAnsi="Times New Roman" w:eastAsia="宋体" w:cs="Times New Roman"/>
          <w:szCs w:val="24"/>
        </w:rPr>
        <w:t>50</w:t>
      </w:r>
      <w:r>
        <w:rPr>
          <w:rFonts w:hint="eastAsia" w:ascii="Times New Roman" w:hAnsi="Times New Roman" w:eastAsia="宋体" w:cs="Times New Roman"/>
          <w:szCs w:val="24"/>
        </w:rPr>
        <w:t>年（其中前</w:t>
      </w:r>
      <w:r>
        <w:rPr>
          <w:rFonts w:ascii="Times New Roman" w:hAnsi="Times New Roman" w:eastAsia="宋体" w:cs="Times New Roman"/>
          <w:szCs w:val="24"/>
        </w:rPr>
        <w:t>25</w:t>
      </w:r>
      <w:r>
        <w:rPr>
          <w:rFonts w:hint="eastAsia" w:ascii="Times New Roman" w:hAnsi="Times New Roman" w:eastAsia="宋体" w:cs="Times New Roman"/>
          <w:szCs w:val="24"/>
        </w:rPr>
        <w:t>年为周期的繁荣期，后</w:t>
      </w:r>
      <w:r>
        <w:rPr>
          <w:rFonts w:ascii="Times New Roman" w:hAnsi="Times New Roman" w:eastAsia="宋体" w:cs="Times New Roman"/>
          <w:szCs w:val="24"/>
        </w:rPr>
        <w:t>25</w:t>
      </w:r>
      <w:r>
        <w:rPr>
          <w:rFonts w:hint="eastAsia" w:ascii="Times New Roman" w:hAnsi="Times New Roman" w:eastAsia="宋体" w:cs="Times New Roman"/>
          <w:szCs w:val="24"/>
        </w:rPr>
        <w:t>年为周期衰退期</w:t>
      </w:r>
      <w:r>
        <w:rPr>
          <w:rFonts w:ascii="Times New Roman" w:hAnsi="Times New Roman" w:eastAsia="宋体" w:cs="Times New Roman"/>
          <w:szCs w:val="24"/>
        </w:rPr>
        <w:t>)</w:t>
      </w:r>
      <w:r>
        <w:rPr>
          <w:rFonts w:hint="eastAsia" w:ascii="Times New Roman" w:hAnsi="Times New Roman" w:eastAsia="宋体" w:cs="Times New Roman"/>
          <w:szCs w:val="24"/>
        </w:rPr>
        <w:t>。虽然他是借用世界主流经济周期学派的观点，并用了“约”的字眼，但基本上他是予以肯定的，如果说这只是对过去四个长周期时一间的判断，并不能完全代表张教授的观点，那么，对第五长周期时一间的判断，则应该说完全是张教授的观点了。张说：第五次长周期发端于</w:t>
      </w:r>
      <w:r>
        <w:rPr>
          <w:rFonts w:ascii="Times New Roman" w:hAnsi="Times New Roman" w:eastAsia="宋体" w:cs="Times New Roman"/>
          <w:szCs w:val="24"/>
        </w:rPr>
        <w:t>20</w:t>
      </w:r>
      <w:r>
        <w:rPr>
          <w:rFonts w:hint="eastAsia" w:ascii="Times New Roman" w:hAnsi="Times New Roman" w:eastAsia="宋体" w:cs="Times New Roman"/>
          <w:szCs w:val="24"/>
        </w:rPr>
        <w:t>世纪</w:t>
      </w:r>
      <w:r>
        <w:rPr>
          <w:rFonts w:ascii="Times New Roman" w:hAnsi="Times New Roman" w:eastAsia="宋体" w:cs="Times New Roman"/>
          <w:szCs w:val="24"/>
        </w:rPr>
        <w:t>80</w:t>
      </w:r>
      <w:r>
        <w:rPr>
          <w:rFonts w:hint="eastAsia" w:ascii="Times New Roman" w:hAnsi="Times New Roman" w:eastAsia="宋体" w:cs="Times New Roman"/>
          <w:szCs w:val="24"/>
        </w:rPr>
        <w:t>年代中期，经过</w:t>
      </w:r>
      <w:r>
        <w:rPr>
          <w:rFonts w:ascii="Times New Roman" w:hAnsi="Times New Roman" w:eastAsia="宋体" w:cs="Times New Roman"/>
          <w:szCs w:val="24"/>
        </w:rPr>
        <w:t>20</w:t>
      </w:r>
      <w:r>
        <w:rPr>
          <w:rFonts w:hint="eastAsia" w:ascii="Times New Roman" w:hAnsi="Times New Roman" w:eastAsia="宋体" w:cs="Times New Roman"/>
          <w:szCs w:val="24"/>
        </w:rPr>
        <w:t>多年的发展，预计这一长周期大约持续时一间还有</w:t>
      </w:r>
      <w:r>
        <w:rPr>
          <w:rFonts w:ascii="Times New Roman" w:hAnsi="Times New Roman" w:eastAsia="宋体" w:cs="Times New Roman"/>
          <w:szCs w:val="24"/>
        </w:rPr>
        <w:t>30</w:t>
      </w:r>
      <w:r>
        <w:rPr>
          <w:rFonts w:hint="eastAsia" w:ascii="Times New Roman" w:hAnsi="Times New Roman" w:eastAsia="宋体" w:cs="Times New Roman"/>
          <w:szCs w:val="24"/>
        </w:rPr>
        <w:t>年左右。</w:t>
      </w:r>
    </w:p>
    <w:p w14:paraId="39B9FA43">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我们认为对经济长周期的划分过十机械，表现在两个方面：</w:t>
      </w:r>
    </w:p>
    <w:p w14:paraId="2343073F">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一是对过去长周期的划分。每个长周期时间为多少年</w:t>
      </w:r>
      <w:r>
        <w:rPr>
          <w:rFonts w:ascii="Times New Roman" w:hAnsi="Times New Roman" w:eastAsia="宋体" w:cs="Times New Roman"/>
          <w:szCs w:val="24"/>
        </w:rPr>
        <w:t>?</w:t>
      </w:r>
      <w:r>
        <w:rPr>
          <w:rFonts w:hint="eastAsia" w:ascii="Times New Roman" w:hAnsi="Times New Roman" w:eastAsia="宋体" w:cs="Times New Roman"/>
          <w:szCs w:val="24"/>
        </w:rPr>
        <w:t>过去就有不同的看法。一说为</w:t>
      </w:r>
      <w:r>
        <w:rPr>
          <w:rFonts w:ascii="Times New Roman" w:hAnsi="Times New Roman" w:eastAsia="宋体" w:cs="Times New Roman"/>
          <w:szCs w:val="24"/>
        </w:rPr>
        <w:t>50</w:t>
      </w:r>
      <w:r>
        <w:rPr>
          <w:rFonts w:hint="eastAsia" w:ascii="Times New Roman" w:hAnsi="Times New Roman" w:eastAsia="宋体" w:cs="Times New Roman"/>
          <w:szCs w:val="24"/>
        </w:rPr>
        <w:t>年，另一说则为</w:t>
      </w:r>
      <w:r>
        <w:rPr>
          <w:rFonts w:ascii="Times New Roman" w:hAnsi="Times New Roman" w:eastAsia="宋体" w:cs="Times New Roman"/>
          <w:szCs w:val="24"/>
        </w:rPr>
        <w:t>20</w:t>
      </w:r>
      <w:r>
        <w:rPr>
          <w:rFonts w:hint="eastAsia" w:ascii="Times New Roman" w:hAnsi="Times New Roman" w:eastAsia="宋体" w:cs="Times New Roman"/>
          <w:szCs w:val="24"/>
        </w:rPr>
        <w:t>年。</w:t>
      </w:r>
      <w:r>
        <w:rPr>
          <w:rFonts w:ascii="Times New Roman" w:hAnsi="Times New Roman" w:eastAsia="宋体" w:cs="Times New Roman"/>
          <w:szCs w:val="24"/>
        </w:rPr>
        <w:t>50</w:t>
      </w:r>
      <w:r>
        <w:rPr>
          <w:rFonts w:hint="eastAsia" w:ascii="Times New Roman" w:hAnsi="Times New Roman" w:eastAsia="宋体" w:cs="Times New Roman"/>
          <w:szCs w:val="24"/>
        </w:rPr>
        <w:t>年是康德拉捷夫的说法，</w:t>
      </w:r>
      <w:r>
        <w:rPr>
          <w:rFonts w:ascii="Times New Roman" w:hAnsi="Times New Roman" w:eastAsia="宋体" w:cs="Times New Roman"/>
          <w:szCs w:val="24"/>
        </w:rPr>
        <w:t>20</w:t>
      </w:r>
      <w:r>
        <w:rPr>
          <w:rFonts w:hint="eastAsia" w:ascii="Times New Roman" w:hAnsi="Times New Roman" w:eastAsia="宋体" w:cs="Times New Roman"/>
          <w:szCs w:val="24"/>
        </w:rPr>
        <w:t>年则是库兹涅茨的说法。西蒙·库兹涅茨在</w:t>
      </w:r>
      <w:r>
        <w:rPr>
          <w:rFonts w:ascii="Times New Roman" w:hAnsi="Times New Roman" w:eastAsia="宋体" w:cs="Times New Roman"/>
          <w:szCs w:val="24"/>
        </w:rPr>
        <w:t>1930</w:t>
      </w:r>
      <w:r>
        <w:rPr>
          <w:rFonts w:hint="eastAsia" w:ascii="Times New Roman" w:hAnsi="Times New Roman" w:eastAsia="宋体" w:cs="Times New Roman"/>
          <w:szCs w:val="24"/>
        </w:rPr>
        <w:t>年出版的《生产和价格的长期运动》一书中，考查了美、英、德、法、比利时一等国从</w:t>
      </w:r>
      <w:r>
        <w:rPr>
          <w:rFonts w:ascii="Times New Roman" w:hAnsi="Times New Roman" w:eastAsia="宋体" w:cs="Times New Roman"/>
          <w:szCs w:val="24"/>
        </w:rPr>
        <w:t>19</w:t>
      </w:r>
      <w:r>
        <w:rPr>
          <w:rFonts w:hint="eastAsia" w:ascii="Times New Roman" w:hAnsi="Times New Roman" w:eastAsia="宋体" w:cs="Times New Roman"/>
          <w:szCs w:val="24"/>
        </w:rPr>
        <w:t>世纪初叶或中叶到</w:t>
      </w:r>
      <w:r>
        <w:rPr>
          <w:rFonts w:ascii="Times New Roman" w:hAnsi="Times New Roman" w:eastAsia="宋体" w:cs="Times New Roman"/>
          <w:szCs w:val="24"/>
        </w:rPr>
        <w:t>20</w:t>
      </w:r>
      <w:r>
        <w:rPr>
          <w:rFonts w:hint="eastAsia" w:ascii="Times New Roman" w:hAnsi="Times New Roman" w:eastAsia="宋体" w:cs="Times New Roman"/>
          <w:szCs w:val="24"/>
        </w:rPr>
        <w:t>世纪初期，</w:t>
      </w:r>
      <w:r>
        <w:rPr>
          <w:rFonts w:ascii="Times New Roman" w:hAnsi="Times New Roman" w:eastAsia="宋体" w:cs="Times New Roman"/>
          <w:szCs w:val="24"/>
        </w:rPr>
        <w:t>60</w:t>
      </w:r>
      <w:r>
        <w:rPr>
          <w:rFonts w:hint="eastAsia" w:ascii="Times New Roman" w:hAnsi="Times New Roman" w:eastAsia="宋体" w:cs="Times New Roman"/>
          <w:szCs w:val="24"/>
        </w:rPr>
        <w:t>种工、农业主要产品的产量和</w:t>
      </w:r>
      <w:r>
        <w:rPr>
          <w:rFonts w:ascii="Times New Roman" w:hAnsi="Times New Roman" w:eastAsia="宋体" w:cs="Times New Roman"/>
          <w:szCs w:val="24"/>
        </w:rPr>
        <w:t>35</w:t>
      </w:r>
      <w:r>
        <w:rPr>
          <w:rFonts w:hint="eastAsia" w:ascii="Times New Roman" w:hAnsi="Times New Roman" w:eastAsia="宋体" w:cs="Times New Roman"/>
          <w:szCs w:val="24"/>
        </w:rPr>
        <w:t>种工、农业主要产品的价格变动时一间数列。他在剔除了这一时期的“短程”和“中程”周期变动，而着重分析了有关数列的长期稍长过程以后，提出了在主要资本主义国家存在着长度从</w:t>
      </w:r>
      <w:r>
        <w:rPr>
          <w:rFonts w:ascii="Times New Roman" w:hAnsi="Times New Roman" w:eastAsia="宋体" w:cs="Times New Roman"/>
          <w:szCs w:val="24"/>
        </w:rPr>
        <w:t>15</w:t>
      </w:r>
      <w:r>
        <w:rPr>
          <w:rFonts w:hint="eastAsia" w:ascii="Times New Roman" w:hAnsi="Times New Roman" w:eastAsia="宋体" w:cs="Times New Roman"/>
          <w:szCs w:val="24"/>
        </w:rPr>
        <w:t>年到</w:t>
      </w:r>
      <w:r>
        <w:rPr>
          <w:rFonts w:ascii="Times New Roman" w:hAnsi="Times New Roman" w:eastAsia="宋体" w:cs="Times New Roman"/>
          <w:szCs w:val="24"/>
        </w:rPr>
        <w:t>25</w:t>
      </w:r>
      <w:r>
        <w:rPr>
          <w:rFonts w:hint="eastAsia" w:ascii="Times New Roman" w:hAnsi="Times New Roman" w:eastAsia="宋体" w:cs="Times New Roman"/>
          <w:szCs w:val="24"/>
        </w:rPr>
        <w:t>年不等，而平均长度约为</w:t>
      </w:r>
      <w:r>
        <w:rPr>
          <w:rFonts w:ascii="Times New Roman" w:hAnsi="Times New Roman" w:eastAsia="宋体" w:cs="Times New Roman"/>
          <w:szCs w:val="24"/>
        </w:rPr>
        <w:t>20</w:t>
      </w:r>
      <w:r>
        <w:rPr>
          <w:rFonts w:hint="eastAsia" w:ascii="Times New Roman" w:hAnsi="Times New Roman" w:eastAsia="宋体" w:cs="Times New Roman"/>
          <w:szCs w:val="24"/>
        </w:rPr>
        <w:t>年的“长波”或“长期稍长”的论点。其实，在第二次世界大战以后，库兹涅茨关于经济增长的为期约</w:t>
      </w:r>
      <w:r>
        <w:rPr>
          <w:rFonts w:ascii="Times New Roman" w:hAnsi="Times New Roman" w:eastAsia="宋体" w:cs="Times New Roman"/>
          <w:szCs w:val="24"/>
        </w:rPr>
        <w:t>20</w:t>
      </w:r>
      <w:r>
        <w:rPr>
          <w:rFonts w:hint="eastAsia" w:ascii="Times New Roman" w:hAnsi="Times New Roman" w:eastAsia="宋体" w:cs="Times New Roman"/>
          <w:szCs w:val="24"/>
        </w:rPr>
        <w:t>年的“长波”或“长期稍长”的论点，比康德拉捷夫的为期约</w:t>
      </w:r>
      <w:r>
        <w:rPr>
          <w:rFonts w:ascii="Times New Roman" w:hAnsi="Times New Roman" w:eastAsia="宋体" w:cs="Times New Roman"/>
          <w:szCs w:val="24"/>
        </w:rPr>
        <w:t>50</w:t>
      </w:r>
      <w:r>
        <w:rPr>
          <w:rFonts w:hint="eastAsia" w:ascii="Times New Roman" w:hAnsi="Times New Roman" w:eastAsia="宋体" w:cs="Times New Roman"/>
          <w:szCs w:val="24"/>
        </w:rPr>
        <w:t>年的“长周期”论点，更为受人重视，被称为“库兹涅茨周期”。因此，张文肯定</w:t>
      </w:r>
      <w:r>
        <w:rPr>
          <w:rFonts w:ascii="Times New Roman" w:hAnsi="Times New Roman" w:eastAsia="宋体" w:cs="Times New Roman"/>
          <w:szCs w:val="24"/>
        </w:rPr>
        <w:t>50</w:t>
      </w:r>
      <w:r>
        <w:rPr>
          <w:rFonts w:hint="eastAsia" w:ascii="Times New Roman" w:hAnsi="Times New Roman" w:eastAsia="宋体" w:cs="Times New Roman"/>
          <w:szCs w:val="24"/>
        </w:rPr>
        <w:t>年一说，就有点偏颇了。</w:t>
      </w:r>
    </w:p>
    <w:p w14:paraId="76996696">
      <w:pPr>
        <w:spacing w:line="300" w:lineRule="auto"/>
        <w:ind w:firstLine="440" w:firstLineChars="200"/>
        <w:rPr>
          <w:rFonts w:ascii="宋体" w:hAnsi="宋体" w:eastAsia="宋体" w:cs="Times New Roman"/>
          <w:szCs w:val="24"/>
        </w:rPr>
      </w:pPr>
      <w:r>
        <w:rPr>
          <w:rFonts w:hint="eastAsia" w:ascii="Times New Roman" w:hAnsi="Times New Roman" w:eastAsia="宋体" w:cs="Times New Roman"/>
          <w:szCs w:val="24"/>
        </w:rPr>
        <w:t>二是对第五次长周期时间的划分，张文仍肯定约为</w:t>
      </w:r>
      <w:r>
        <w:rPr>
          <w:rFonts w:ascii="Times New Roman" w:hAnsi="Times New Roman" w:eastAsia="宋体" w:cs="Times New Roman"/>
          <w:szCs w:val="24"/>
        </w:rPr>
        <w:t>50</w:t>
      </w:r>
      <w:r>
        <w:rPr>
          <w:rFonts w:hint="eastAsia" w:ascii="Times New Roman" w:hAnsi="Times New Roman" w:eastAsia="宋体" w:cs="Times New Roman"/>
          <w:szCs w:val="24"/>
        </w:rPr>
        <w:t>年，这是有不足的。它的不足在于没有考虑近代科技传播速度的加快。据张塞分析：近代科学技术成果的传播大大加速：</w:t>
      </w:r>
      <w:r>
        <w:rPr>
          <w:rFonts w:ascii="Times New Roman" w:hAnsi="Times New Roman" w:eastAsia="宋体" w:cs="Times New Roman"/>
          <w:szCs w:val="24"/>
        </w:rPr>
        <w:t>19</w:t>
      </w:r>
      <w:r>
        <w:rPr>
          <w:rFonts w:hint="eastAsia" w:ascii="Times New Roman" w:hAnsi="Times New Roman" w:eastAsia="宋体" w:cs="Times New Roman"/>
          <w:szCs w:val="24"/>
        </w:rPr>
        <w:t>世纪需</w:t>
      </w:r>
      <w:r>
        <w:rPr>
          <w:rFonts w:ascii="Times New Roman" w:hAnsi="Times New Roman" w:eastAsia="宋体" w:cs="Times New Roman"/>
          <w:szCs w:val="24"/>
        </w:rPr>
        <w:t>40-50</w:t>
      </w:r>
      <w:r>
        <w:rPr>
          <w:rFonts w:hint="eastAsia" w:ascii="Times New Roman" w:hAnsi="Times New Roman" w:eastAsia="宋体" w:cs="Times New Roman"/>
          <w:szCs w:val="24"/>
        </w:rPr>
        <w:t>年，</w:t>
      </w:r>
      <w:r>
        <w:rPr>
          <w:rFonts w:ascii="Times New Roman" w:hAnsi="Times New Roman" w:eastAsia="宋体" w:cs="Times New Roman"/>
          <w:szCs w:val="24"/>
        </w:rPr>
        <w:t>20</w:t>
      </w:r>
      <w:r>
        <w:rPr>
          <w:rFonts w:hint="eastAsia" w:ascii="Times New Roman" w:hAnsi="Times New Roman" w:eastAsia="宋体" w:cs="Times New Roman"/>
          <w:szCs w:val="24"/>
        </w:rPr>
        <w:t>世纪初叶需</w:t>
      </w:r>
      <w:r>
        <w:rPr>
          <w:rFonts w:ascii="Times New Roman" w:hAnsi="Times New Roman" w:eastAsia="宋体" w:cs="Times New Roman"/>
          <w:szCs w:val="24"/>
        </w:rPr>
        <w:t>30-40</w:t>
      </w:r>
      <w:r>
        <w:rPr>
          <w:rFonts w:hint="eastAsia" w:ascii="Times New Roman" w:hAnsi="Times New Roman" w:eastAsia="宋体" w:cs="Times New Roman"/>
          <w:szCs w:val="24"/>
        </w:rPr>
        <w:t>年，中叶需</w:t>
      </w:r>
      <w:r>
        <w:rPr>
          <w:rFonts w:ascii="Times New Roman" w:hAnsi="Times New Roman" w:eastAsia="宋体" w:cs="Times New Roman"/>
          <w:szCs w:val="24"/>
        </w:rPr>
        <w:t>10</w:t>
      </w:r>
      <w:r>
        <w:rPr>
          <w:rFonts w:hint="eastAsia" w:ascii="Times New Roman" w:hAnsi="Times New Roman" w:eastAsia="宋体" w:cs="Times New Roman"/>
          <w:szCs w:val="24"/>
        </w:rPr>
        <w:t>年，下半叶约需</w:t>
      </w:r>
      <w:r>
        <w:rPr>
          <w:rFonts w:ascii="Times New Roman" w:hAnsi="Times New Roman" w:eastAsia="宋体" w:cs="Times New Roman"/>
          <w:szCs w:val="24"/>
        </w:rPr>
        <w:t>4-5</w:t>
      </w:r>
      <w:r>
        <w:rPr>
          <w:rFonts w:hint="eastAsia" w:ascii="Times New Roman" w:hAnsi="Times New Roman" w:eastAsia="宋体" w:cs="Times New Roman"/>
          <w:szCs w:val="24"/>
        </w:rPr>
        <w:t>年；而近</w:t>
      </w:r>
      <w:r>
        <w:rPr>
          <w:rFonts w:ascii="Times New Roman" w:hAnsi="Times New Roman" w:eastAsia="宋体" w:cs="Times New Roman"/>
          <w:szCs w:val="24"/>
        </w:rPr>
        <w:t>20</w:t>
      </w:r>
      <w:r>
        <w:rPr>
          <w:rFonts w:hint="eastAsia" w:ascii="Times New Roman" w:hAnsi="Times New Roman" w:eastAsia="宋体" w:cs="Times New Roman"/>
          <w:szCs w:val="24"/>
        </w:rPr>
        <w:t>年来只需</w:t>
      </w:r>
      <w:r>
        <w:rPr>
          <w:rFonts w:ascii="Times New Roman" w:hAnsi="Times New Roman" w:eastAsia="宋体" w:cs="Times New Roman"/>
          <w:szCs w:val="24"/>
        </w:rPr>
        <w:t>3-4</w:t>
      </w:r>
      <w:r>
        <w:rPr>
          <w:rFonts w:hint="eastAsia" w:ascii="Times New Roman" w:hAnsi="Times New Roman" w:eastAsia="宋体" w:cs="Times New Roman"/>
          <w:szCs w:val="24"/>
        </w:rPr>
        <w:t>年</w:t>
      </w:r>
      <w:r>
        <w:rPr>
          <w:rFonts w:hint="eastAsia" w:ascii="宋体" w:hAnsi="宋体" w:eastAsia="宋体" w:cs="Times New Roman"/>
          <w:szCs w:val="24"/>
        </w:rPr>
        <w:t>。</w:t>
      </w:r>
      <w:r>
        <w:rPr>
          <w:rFonts w:ascii="宋体" w:hAnsi="宋体" w:eastAsia="宋体" w:cs="Times New Roman"/>
          <w:szCs w:val="24"/>
          <w:vertAlign w:val="superscript"/>
        </w:rPr>
        <w:footnoteReference w:id="185"/>
      </w:r>
    </w:p>
    <w:p w14:paraId="462C681F">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科学技术传播速度的加快，当然会影响经济长周期时一间的变动。从趋势看，应是周期时一间的缩短，这是应当给予充分估计并做好准备的。</w:t>
      </w:r>
    </w:p>
    <w:p w14:paraId="4032E4E5">
      <w:pPr>
        <w:spacing w:line="300" w:lineRule="auto"/>
        <w:ind w:firstLine="440" w:firstLineChars="200"/>
        <w:rPr>
          <w:rFonts w:ascii="Times New Roman" w:hAnsi="Times New Roman" w:eastAsia="宋体" w:cs="Times New Roman"/>
          <w:szCs w:val="24"/>
        </w:rPr>
      </w:pPr>
    </w:p>
    <w:p w14:paraId="4E957101">
      <w:pPr>
        <w:spacing w:line="300" w:lineRule="auto"/>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（原载《经济学家》</w:t>
      </w:r>
      <w:r>
        <w:rPr>
          <w:rFonts w:ascii="Times New Roman" w:hAnsi="Times New Roman" w:eastAsia="宋体" w:cs="Times New Roman"/>
          <w:szCs w:val="24"/>
        </w:rPr>
        <w:t>2004</w:t>
      </w:r>
      <w:r>
        <w:rPr>
          <w:rFonts w:hint="eastAsia" w:ascii="Times New Roman" w:hAnsi="Times New Roman" w:eastAsia="宋体" w:cs="Times New Roman"/>
          <w:szCs w:val="24"/>
        </w:rPr>
        <w:t>年第</w:t>
      </w:r>
      <w:r>
        <w:rPr>
          <w:rFonts w:ascii="Times New Roman" w:hAnsi="Times New Roman" w:eastAsia="宋体" w:cs="Times New Roman"/>
          <w:szCs w:val="24"/>
        </w:rPr>
        <w:t>6</w:t>
      </w:r>
      <w:r>
        <w:rPr>
          <w:rFonts w:hint="eastAsia" w:ascii="Times New Roman" w:hAnsi="Times New Roman" w:eastAsia="宋体" w:cs="Times New Roman"/>
          <w:szCs w:val="24"/>
        </w:rPr>
        <w:t>期，第二作者为陶友之，第三作者为孙明泉）</w:t>
      </w:r>
    </w:p>
    <w:p w14:paraId="44AF1549">
      <w:pPr>
        <w:keepNext w:val="0"/>
        <w:keepLines w:val="0"/>
        <w:pageBreakBefore w:val="0"/>
        <w:widowControl w:val="0"/>
        <w:kinsoku/>
        <w:wordWrap/>
        <w:overflowPunct/>
        <w:topLinePunct w:val="0"/>
        <w:autoSpaceDE/>
        <w:autoSpaceDN/>
        <w:bidi w:val="0"/>
        <w:adjustRightInd/>
        <w:snapToGrid/>
        <w:ind w:right="0"/>
        <w:jc w:val="center"/>
        <w:textAlignment w:val="auto"/>
        <w:outlineLvl w:val="1"/>
        <w:rPr>
          <w:rFonts w:hint="eastAsia" w:ascii="宋体" w:hAnsi="宋体" w:eastAsia="宋体" w:cs="宋体"/>
          <w:b/>
          <w:color w:val="000000"/>
          <w:sz w:val="32"/>
          <w:szCs w:val="32"/>
        </w:rPr>
      </w:pPr>
      <w:bookmarkStart w:id="451" w:name="_Toc18009"/>
      <w:bookmarkStart w:id="452" w:name="_Toc1618793291"/>
      <w:bookmarkStart w:id="453" w:name="_Toc586814238"/>
      <w:r>
        <w:rPr>
          <w:rFonts w:hint="eastAsia" w:ascii="宋体" w:hAnsi="宋体" w:eastAsia="宋体" w:cs="宋体"/>
          <w:b/>
          <w:color w:val="000000"/>
          <w:sz w:val="32"/>
          <w:szCs w:val="32"/>
        </w:rPr>
        <w:t>资本主义和社会主义如何利用股制——兼论国有经济的六项基本功能</w:t>
      </w:r>
      <w:bookmarkEnd w:id="451"/>
      <w:bookmarkEnd w:id="452"/>
      <w:bookmarkEnd w:id="453"/>
    </w:p>
    <w:p w14:paraId="0757E81D">
      <w:pPr>
        <w:ind w:firstLine="550" w:firstLineChars="250"/>
        <w:rPr>
          <w:rFonts w:eastAsia="宋体" w:cs="Times New Roman"/>
          <w:color w:val="000000"/>
          <w:sz w:val="21"/>
          <w:szCs w:val="21"/>
        </w:rPr>
      </w:pPr>
    </w:p>
    <w:p w14:paraId="4F5179DF">
      <w:pPr>
        <w:ind w:firstLine="550" w:firstLineChars="250"/>
        <w:rPr>
          <w:rFonts w:eastAsia="宋体" w:cs="Times New Roman"/>
          <w:color w:val="000000"/>
          <w:sz w:val="21"/>
          <w:szCs w:val="21"/>
        </w:rPr>
      </w:pPr>
      <w:r>
        <w:rPr>
          <w:rFonts w:hint="eastAsia" w:eastAsia="宋体" w:cs="Times New Roman"/>
          <w:color w:val="000000"/>
          <w:sz w:val="21"/>
          <w:szCs w:val="21"/>
        </w:rPr>
        <w:t>完善社会主义市场经济体制的关键， 是健全和巩固以公有制为主体、多种所有制经济共同发展的所有制结构。发挥国有经济的主导作用， 又是迅速提升我国综合国力和全面建设小康社会的重要基础。因此， 我们有必要深人探讨下列问题：资本主义究竟是怎样利用作为社会化组织方式的股份制的？社会主义又应当如何利用股份制？国有经济在改革和发展中要发挥哪些基本功能?本文结合中外学术界的讨论和实践变化作一扼要的阐释。</w:t>
      </w:r>
    </w:p>
    <w:p w14:paraId="0E9CA2E1">
      <w:pPr>
        <w:ind w:firstLine="538" w:firstLineChars="245"/>
        <w:rPr>
          <w:rFonts w:eastAsia="宋体" w:cs="Times New Roman"/>
          <w:b/>
          <w:color w:val="000000"/>
          <w:sz w:val="21"/>
          <w:szCs w:val="21"/>
        </w:rPr>
      </w:pPr>
      <w:r>
        <w:rPr>
          <w:rFonts w:hint="eastAsia" w:eastAsia="宋体" w:cs="Times New Roman"/>
          <w:b/>
          <w:color w:val="000000"/>
          <w:sz w:val="21"/>
          <w:szCs w:val="21"/>
        </w:rPr>
        <w:t>一、资本主义如何利用股份制</w:t>
      </w:r>
    </w:p>
    <w:p w14:paraId="59678451">
      <w:pPr>
        <w:ind w:firstLine="550" w:firstLineChars="250"/>
        <w:rPr>
          <w:rFonts w:eastAsia="宋体" w:cs="Times New Roman"/>
          <w:color w:val="000000"/>
          <w:sz w:val="21"/>
          <w:szCs w:val="21"/>
        </w:rPr>
      </w:pPr>
      <w:r>
        <w:rPr>
          <w:rFonts w:hint="eastAsia" w:eastAsia="宋体" w:cs="Times New Roman"/>
          <w:color w:val="000000"/>
          <w:sz w:val="21"/>
          <w:szCs w:val="21"/>
        </w:rPr>
        <w:t>在资本主义社会， 股份制起源于筹资和承担有限责任等需要， 经过不断演变， 现已形成两种基本模式——美国从以个人直接持股为主体与多种机构持股并存， 逐渐转变为以机构持股为主体与个人投资持股并存的股份制度；日本实行以法人相互持股为主体、个人直接持股和机构持股并存的股份制度。</w:t>
      </w:r>
    </w:p>
    <w:p w14:paraId="0D53384F">
      <w:pPr>
        <w:ind w:firstLine="550" w:firstLineChars="250"/>
        <w:rPr>
          <w:rFonts w:eastAsia="宋体" w:cs="Times New Roman"/>
          <w:color w:val="000000"/>
          <w:sz w:val="21"/>
          <w:szCs w:val="21"/>
        </w:rPr>
      </w:pPr>
      <w:r>
        <w:rPr>
          <w:rFonts w:hint="eastAsia" w:eastAsia="宋体" w:cs="Times New Roman"/>
          <w:color w:val="000000"/>
          <w:sz w:val="21"/>
          <w:szCs w:val="21"/>
        </w:rPr>
        <w:t>（一）美国模式：美国从以个人直接持股为主体与多种机构持股并存， 逐渐转变为以机构持股为主体与个人投资持股并存的股份制度</w:t>
      </w:r>
    </w:p>
    <w:p w14:paraId="645249C8">
      <w:pPr>
        <w:ind w:firstLine="550" w:firstLineChars="250"/>
        <w:rPr>
          <w:rFonts w:eastAsia="宋体" w:cs="Times New Roman"/>
          <w:color w:val="000000"/>
          <w:sz w:val="21"/>
          <w:szCs w:val="21"/>
        </w:rPr>
      </w:pPr>
      <w:r>
        <w:rPr>
          <w:rFonts w:hint="eastAsia" w:eastAsia="宋体" w:cs="Times New Roman"/>
          <w:color w:val="000000"/>
          <w:sz w:val="21"/>
          <w:szCs w:val="21"/>
        </w:rPr>
        <w:t>美国实行以股份制为主体的资本主义企业制度。在20世纪90年代， 美国按企业户数计， 业主制占73.7%， 合伙制占7.7%， 股份制占18.5%，似乎古典企业占多数；但是， 按全美国销售收入计算， 股份制占90%， 业主制占6%， 合伙制占4%。可见， 按实际经济实力所表现的财产关系来看， 股份制占绝对优势。</w:t>
      </w:r>
    </w:p>
    <w:p w14:paraId="0E114244">
      <w:pPr>
        <w:ind w:firstLine="550" w:firstLineChars="250"/>
        <w:rPr>
          <w:rFonts w:eastAsia="宋体" w:cs="Times New Roman"/>
          <w:color w:val="000000"/>
          <w:sz w:val="21"/>
          <w:szCs w:val="21"/>
        </w:rPr>
      </w:pPr>
      <w:r>
        <w:rPr>
          <w:rFonts w:hint="eastAsia" w:eastAsia="宋体" w:cs="Times New Roman"/>
          <w:color w:val="000000"/>
          <w:sz w:val="21"/>
          <w:szCs w:val="21"/>
        </w:rPr>
        <w:t>1、在1990年以前， 美国主要实行以个人直接持股为主体与多种机构持股并存的股份制度。</w:t>
      </w:r>
    </w:p>
    <w:p w14:paraId="250D6389">
      <w:pPr>
        <w:ind w:firstLine="550" w:firstLineChars="250"/>
        <w:rPr>
          <w:rFonts w:eastAsia="宋体" w:cs="Times New Roman"/>
          <w:color w:val="000000"/>
          <w:sz w:val="21"/>
          <w:szCs w:val="21"/>
        </w:rPr>
      </w:pPr>
      <w:r>
        <w:rPr>
          <w:rFonts w:hint="eastAsia" w:eastAsia="宋体" w:cs="Times New Roman"/>
          <w:color w:val="000000"/>
          <w:sz w:val="21"/>
          <w:szCs w:val="21"/>
        </w:rPr>
        <w:t>例如， 美国大多数大中型公司均属上市公司，尽管1985年上市公司在公司总数中只占1%， 但其资产份额却占75%。美国个人持有公众化公司股票的人数一直在增加， 1920年为1200万，1928年为1800万， 1975年为2520万， 1982年为3200万， 假如把以股票经纪人的名义登记和持有股票的人计算在内， 则高达13300万， 约占总人口的60%， 1990年约占总人口的56%。</w:t>
      </w:r>
    </w:p>
    <w:p w14:paraId="31A071A9">
      <w:pPr>
        <w:ind w:firstLine="550" w:firstLineChars="250"/>
        <w:rPr>
          <w:rFonts w:eastAsia="宋体" w:cs="Times New Roman"/>
          <w:color w:val="000000"/>
          <w:sz w:val="21"/>
          <w:szCs w:val="21"/>
        </w:rPr>
      </w:pPr>
      <w:r>
        <w:rPr>
          <w:rFonts w:hint="eastAsia" w:eastAsia="宋体" w:cs="Times New Roman"/>
          <w:color w:val="000000"/>
          <w:sz w:val="21"/>
          <w:szCs w:val="21"/>
        </w:rPr>
        <w:t>同时， 美国各种机构投资者的持股比重略有上升。1973年（以亿美元为单位）， 非保险型年金为905， 占9.8%；修切尔基金为433， 占4.7%；其他投资公司为66， 占0.7%；人寿保险为263， 占2.8%；损害保险为196， 占2.1%；共同基金信托为63， 占0.7%；个人信托基金为955， 占10.3%；互助储蓄银行为40， 占0.4%；地方退职年金为186， 占2.0%；财团为245， 占2.6%；学校基金为88， 占1.0%。上述投资者组织合计为3440， 占37.1%。此外， 外国人为355， 占3.8%；国内个人为5479， 占59.1%。上市股份合计为9274， 为100%。1990年， 各类投资者组织的持股比重约占40%多。</w:t>
      </w:r>
    </w:p>
    <w:p w14:paraId="05835134">
      <w:pPr>
        <w:ind w:firstLine="550" w:firstLineChars="250"/>
        <w:rPr>
          <w:rFonts w:eastAsia="宋体" w:cs="Times New Roman"/>
          <w:color w:val="000000"/>
          <w:sz w:val="21"/>
          <w:szCs w:val="21"/>
        </w:rPr>
      </w:pPr>
      <w:r>
        <w:rPr>
          <w:rFonts w:hint="eastAsia" w:eastAsia="宋体" w:cs="Times New Roman"/>
          <w:color w:val="000000"/>
          <w:sz w:val="21"/>
          <w:szCs w:val="21"/>
        </w:rPr>
        <w:t>2、1990年以来， 美国逐渐转变为以机构持股为主体与个人投资持股并存的股份制度。</w:t>
      </w:r>
    </w:p>
    <w:p w14:paraId="19AA406A">
      <w:pPr>
        <w:ind w:firstLine="550" w:firstLineChars="250"/>
        <w:rPr>
          <w:rFonts w:eastAsia="宋体" w:cs="Times New Roman"/>
          <w:color w:val="000000"/>
          <w:sz w:val="21"/>
          <w:szCs w:val="21"/>
        </w:rPr>
      </w:pPr>
      <w:r>
        <w:rPr>
          <w:rFonts w:hint="eastAsia" w:eastAsia="宋体" w:cs="Times New Roman"/>
          <w:color w:val="000000"/>
          <w:sz w:val="21"/>
          <w:szCs w:val="21"/>
        </w:rPr>
        <w:t>这种股份制度的变化和特点如下：</w:t>
      </w:r>
    </w:p>
    <w:p w14:paraId="4F409790">
      <w:pPr>
        <w:ind w:firstLine="550" w:firstLineChars="250"/>
        <w:rPr>
          <w:rFonts w:eastAsia="宋体" w:cs="Times New Roman"/>
          <w:color w:val="000000"/>
          <w:sz w:val="21"/>
          <w:szCs w:val="21"/>
        </w:rPr>
      </w:pPr>
      <w:r>
        <w:rPr>
          <w:rFonts w:hint="eastAsia" w:eastAsia="宋体" w:cs="Times New Roman"/>
          <w:color w:val="000000"/>
          <w:sz w:val="21"/>
          <w:szCs w:val="21"/>
        </w:rPr>
        <w:t>第一， 美国股票市场以机构投资者为主导。美国机构投资者占美国总股本的比重由1950年的7.2%上升到2001年三季度末的46.7%。其中， 养老基金由0.8%上升到19.8%， 共同基金由2%上升到17.9%， 保险基金由3.3%上升到7.3%。</w:t>
      </w:r>
    </w:p>
    <w:p w14:paraId="58E4F27C">
      <w:pPr>
        <w:ind w:firstLine="550" w:firstLineChars="250"/>
        <w:rPr>
          <w:rFonts w:eastAsia="宋体" w:cs="Times New Roman"/>
          <w:color w:val="000000"/>
          <w:sz w:val="21"/>
          <w:szCs w:val="21"/>
        </w:rPr>
      </w:pPr>
      <w:r>
        <w:rPr>
          <w:rFonts w:hint="eastAsia" w:eastAsia="宋体" w:cs="Times New Roman"/>
          <w:color w:val="000000"/>
          <w:sz w:val="21"/>
          <w:szCs w:val="21"/>
        </w:rPr>
        <w:t>第二， 养老基金是美国最大的机构投资者。截至2001年三季度末， 养老基金持股规模为26916亿美元， 为美国股票市场最大的机构投资者。其中， 私人养老基金持股15913亿美元， 政府养老基金持股11003亿美元。从1990年至2000年十年间养老基金持股规模增长了2.1倍。</w:t>
      </w:r>
    </w:p>
    <w:p w14:paraId="6948A57B">
      <w:pPr>
        <w:ind w:firstLine="550" w:firstLineChars="250"/>
        <w:rPr>
          <w:rFonts w:eastAsia="宋体" w:cs="Times New Roman"/>
          <w:color w:val="000000"/>
          <w:sz w:val="21"/>
          <w:szCs w:val="21"/>
        </w:rPr>
      </w:pPr>
      <w:r>
        <w:rPr>
          <w:rFonts w:hint="eastAsia" w:eastAsia="宋体" w:cs="Times New Roman"/>
          <w:color w:val="000000"/>
          <w:sz w:val="21"/>
          <w:szCs w:val="21"/>
        </w:rPr>
        <w:t>第三， 共同基金持股规模增长速度最快。截至2001年三季度末， 美国共同基金持股24420亿美元， 仅次于养老基金， 为美国第二大股市机构投资者。近十年来共同基金发展异常迅速， 共同基金持股规模由1990年的2332亿美元增长到2000年的32508亿美元， 增长了12.9倍。</w:t>
      </w:r>
    </w:p>
    <w:p w14:paraId="7373E489">
      <w:pPr>
        <w:ind w:firstLine="550" w:firstLineChars="250"/>
        <w:rPr>
          <w:rFonts w:eastAsia="宋体" w:cs="Times New Roman"/>
          <w:color w:val="000000"/>
          <w:sz w:val="21"/>
          <w:szCs w:val="21"/>
        </w:rPr>
      </w:pPr>
      <w:r>
        <w:rPr>
          <w:rFonts w:hint="eastAsia" w:eastAsia="宋体" w:cs="Times New Roman"/>
          <w:color w:val="000000"/>
          <w:sz w:val="21"/>
          <w:szCs w:val="21"/>
        </w:rPr>
        <w:t>第四， 个人投资者比重呈下降趋势。在美国股票市场上， 个人投资者持股比重呈明显的逐年下降趋势。美国个人和非营利组织持股比重由1950年的90.2%下降为2001年三季度末的40.2%。另外， 截至1998年末， 美国通过共同基金、养老基金以及退休储蓄账户等进行持股的个人投资者共有8400万， 约占美国总人口的30.2%；而个人直接持股的投资者只有3380万人， 仅占美国总人口的12.1%左右。从1989年至1998年的十年间， 美国全部个人股票投资者增长了60.6%， 而个人直接投资者仅增长了25.2%，这说明美国居民通过基金等方式间接投资的增长明显快于直接投资。而2001年三季度末， 外国投资者持有美国股票15244亿美元， 占美国总股本的11.2%。</w:t>
      </w:r>
    </w:p>
    <w:p w14:paraId="6EADE294">
      <w:pPr>
        <w:ind w:firstLine="550" w:firstLineChars="250"/>
        <w:rPr>
          <w:rFonts w:eastAsia="宋体" w:cs="Times New Roman"/>
          <w:color w:val="000000"/>
          <w:sz w:val="21"/>
          <w:szCs w:val="21"/>
        </w:rPr>
      </w:pPr>
      <w:r>
        <w:rPr>
          <w:rFonts w:hint="eastAsia" w:eastAsia="宋体" w:cs="Times New Roman"/>
          <w:color w:val="000000"/>
          <w:sz w:val="21"/>
          <w:szCs w:val="21"/>
        </w:rPr>
        <w:t>从总体上看， 美国个人投资持股仍占较大比重， 但机构投资者持股稍强。例如， 1999年机构投资者持股比重为50.5%， 个人投资持股比重为42.4%， 公共部门持股比重为0.7%， 外国投资者持股比重为6.4%。</w:t>
      </w:r>
    </w:p>
    <w:p w14:paraId="6BBDAA80">
      <w:pPr>
        <w:ind w:firstLine="550" w:firstLineChars="250"/>
        <w:rPr>
          <w:rFonts w:eastAsia="宋体" w:cs="Times New Roman"/>
          <w:color w:val="000000"/>
          <w:sz w:val="21"/>
          <w:szCs w:val="21"/>
        </w:rPr>
      </w:pPr>
      <w:r>
        <w:rPr>
          <w:rFonts w:hint="eastAsia" w:eastAsia="宋体" w:cs="Times New Roman"/>
          <w:color w:val="000000"/>
          <w:sz w:val="21"/>
          <w:szCs w:val="21"/>
        </w:rPr>
        <w:t>(二)日本模式日本实行以法人相互持股为主体、个人直接持股和机构持股并存的股份制度</w:t>
      </w:r>
    </w:p>
    <w:p w14:paraId="11D1757D">
      <w:pPr>
        <w:ind w:firstLine="550" w:firstLineChars="250"/>
        <w:rPr>
          <w:rFonts w:eastAsia="宋体" w:cs="Times New Roman"/>
          <w:color w:val="000000"/>
          <w:sz w:val="21"/>
          <w:szCs w:val="21"/>
        </w:rPr>
      </w:pPr>
      <w:r>
        <w:rPr>
          <w:rFonts w:hint="eastAsia" w:eastAsia="宋体" w:cs="Times New Roman"/>
          <w:color w:val="000000"/>
          <w:sz w:val="21"/>
          <w:szCs w:val="21"/>
        </w:rPr>
        <w:t>日本也是实行以股份制为主体的资本主义企业制度。2001年私人企业为6138312个， 其中，个人业主制企业为3166719个， 公司制企业为2665350个， 合伙制企业为306243个；公共团体为211789个；企业总数为6350101个。日本1990年上市公司共有2071个， 2000年2561个，2001年2471个。</w:t>
      </w:r>
    </w:p>
    <w:p w14:paraId="388DBDDC">
      <w:pPr>
        <w:ind w:firstLine="550" w:firstLineChars="250"/>
        <w:rPr>
          <w:rFonts w:eastAsia="宋体" w:cs="Times New Roman"/>
          <w:color w:val="000000"/>
          <w:sz w:val="21"/>
          <w:szCs w:val="21"/>
        </w:rPr>
      </w:pPr>
      <w:r>
        <w:rPr>
          <w:rFonts w:hint="eastAsia" w:eastAsia="宋体" w:cs="Times New Roman"/>
          <w:color w:val="000000"/>
          <w:sz w:val="21"/>
          <w:szCs w:val="21"/>
        </w:rPr>
        <w:t>但是， 日本的股份制模式与美国有重要区别。根据1990年日本国税厅对全国现存196万家公司的结构性统计， 全国共有101万家股份公司， 占公司总数的51.5%（其中2071家上市公司， 占股份公司总数的0.2%）；90万家有限公司， 占46%；0.7万家无限公司， 占0.3%；3万家两合公司， 占1.5%；1.3万家其他公司， 占0.6%。与美国不同， 三得利等有名的股份公司并不上市。</w:t>
      </w:r>
    </w:p>
    <w:p w14:paraId="77FD8BA4">
      <w:pPr>
        <w:ind w:firstLine="550" w:firstLineChars="250"/>
        <w:rPr>
          <w:rFonts w:eastAsia="宋体" w:cs="Times New Roman"/>
          <w:color w:val="000000"/>
          <w:sz w:val="21"/>
          <w:szCs w:val="21"/>
        </w:rPr>
      </w:pPr>
      <w:r>
        <w:rPr>
          <w:rFonts w:hint="eastAsia" w:eastAsia="宋体" w:cs="Times New Roman"/>
          <w:color w:val="000000"/>
          <w:sz w:val="21"/>
          <w:szCs w:val="21"/>
        </w:rPr>
        <w:t>日本个人持股和法人持股的比例有一个变化过程。1945年一1949年， 个人持股比例从53.6%上升到69.1%， 而以财团为首的法人持股（绝大多数属于单方面持股）比例由38.6%下降到15.5%。1972年法人持股比例达2/3， 1986年按市值计算的法人持股与个人持股的比例是70.8%和22.2%。1989年上市公司股票持有者的结构如下：在股票总数为384422377千股中的比重（%）， 中央和地方为0.7（1993年为0.6）， 金融机构（主要指银行和保险公司）为46.0， 事业法人（核心是大企业， 也包括少数其他机构投资者）为24.8， 证券公司为2.0， 个人为22.6， 外国人（包括法人和自然人）为3.9。与美国相异， 日本机构投资者持股的比重并不高， 即使按照比重有所增加的1993年统计， 年金基金占上市股份的比重只有1.4%， 最具有机构投资者特性的投资信托所持股份的比重也只有3%。另外， 目前90%以上的上市公司内部职工持股的比重已达到1%左右。</w:t>
      </w:r>
    </w:p>
    <w:p w14:paraId="740CBDBE">
      <w:pPr>
        <w:ind w:firstLine="550" w:firstLineChars="250"/>
        <w:rPr>
          <w:rFonts w:eastAsia="宋体" w:cs="Times New Roman"/>
          <w:color w:val="000000"/>
          <w:sz w:val="21"/>
          <w:szCs w:val="21"/>
        </w:rPr>
      </w:pPr>
      <w:r>
        <w:rPr>
          <w:rFonts w:hint="eastAsia" w:eastAsia="宋体" w:cs="Times New Roman"/>
          <w:color w:val="000000"/>
          <w:sz w:val="21"/>
          <w:szCs w:val="21"/>
        </w:rPr>
        <w:t>从总体上看， 日本实行以法人相互持股为主体、个人直接持股和机构持股并存的股份制。1999年个人投资持股占26.4%， 公共部门持股占0.5%， 外国投资者持股占12.4%， 其余均为法人相互持股和机构持股。</w:t>
      </w:r>
    </w:p>
    <w:p w14:paraId="0C6625ED">
      <w:pPr>
        <w:ind w:firstLine="550" w:firstLineChars="250"/>
        <w:rPr>
          <w:rFonts w:eastAsia="宋体" w:cs="Times New Roman"/>
          <w:color w:val="000000"/>
          <w:sz w:val="21"/>
          <w:szCs w:val="21"/>
        </w:rPr>
      </w:pPr>
      <w:r>
        <w:rPr>
          <w:rFonts w:hint="eastAsia" w:eastAsia="宋体" w:cs="Times New Roman"/>
          <w:color w:val="000000"/>
          <w:sz w:val="21"/>
          <w:szCs w:val="21"/>
        </w:rPr>
        <w:t>（三）三类投资组织的形式与实质</w:t>
      </w:r>
    </w:p>
    <w:p w14:paraId="1D08F46E">
      <w:pPr>
        <w:ind w:firstLine="550" w:firstLineChars="250"/>
        <w:rPr>
          <w:rFonts w:eastAsia="宋体" w:cs="Times New Roman"/>
          <w:color w:val="000000"/>
          <w:sz w:val="21"/>
          <w:szCs w:val="21"/>
        </w:rPr>
      </w:pPr>
      <w:r>
        <w:rPr>
          <w:rFonts w:hint="eastAsia" w:eastAsia="宋体" w:cs="Times New Roman"/>
          <w:color w:val="000000"/>
          <w:sz w:val="21"/>
          <w:szCs w:val="21"/>
        </w:rPr>
        <w:t xml:space="preserve">上述两种典型的股份制模式总体上都属于资本主义制度范畴或私有制的实现形式⑴， 而不是所谓的“公有制形式”或“公有制已经占据了主导地位”⑵（p157） </w:t>
      </w:r>
    </w:p>
    <w:p w14:paraId="3C7AE95D">
      <w:pPr>
        <w:ind w:firstLine="550" w:firstLineChars="250"/>
        <w:rPr>
          <w:rFonts w:eastAsia="宋体" w:cs="Times New Roman"/>
          <w:color w:val="000000"/>
          <w:sz w:val="21"/>
          <w:szCs w:val="21"/>
        </w:rPr>
      </w:pPr>
      <w:r>
        <w:rPr>
          <w:rFonts w:hint="eastAsia" w:eastAsia="宋体" w:cs="Times New Roman"/>
          <w:color w:val="000000"/>
          <w:sz w:val="21"/>
          <w:szCs w:val="21"/>
        </w:rPr>
        <w:t>先看个人分散持股的公众公司。假定股票全部由个人持有， 这类股份公司的性质与个人业主制的古典私人企业有些差异， 是以社会企业形态出现的私有制， 或者说是带有产权复合性的私有制。马克思界定得十分准确：“这种向股份形式的转化本身， 还是局限在资本主义界限之内；因此， 这种转化并没有克服财富作为社会财富的性质和作为私人财富的性质之间的对立， 而只是在新的形态上发展了这种对立”。“ 对立是消极地扬弃的”，“ 这是作为私人财产的资本在资本主义生产方式本身范围内的扬弃”。⑶（497）（498）（493）那种认为个人分散持股的公众公司都是社会主义性质的“新的集体所有制或共有制”或“新公有制企业”⑷， 是不符合所有制的基本定义和内涵的。</w:t>
      </w:r>
    </w:p>
    <w:p w14:paraId="427C7189">
      <w:pPr>
        <w:ind w:firstLine="550" w:firstLineChars="250"/>
        <w:rPr>
          <w:rFonts w:eastAsia="宋体" w:cs="Times New Roman"/>
          <w:color w:val="000000"/>
          <w:sz w:val="21"/>
          <w:szCs w:val="21"/>
        </w:rPr>
      </w:pPr>
      <w:r>
        <w:rPr>
          <w:rFonts w:hint="eastAsia" w:eastAsia="宋体" w:cs="Times New Roman"/>
          <w:color w:val="000000"/>
          <w:sz w:val="21"/>
          <w:szCs w:val="21"/>
        </w:rPr>
        <w:t>再看法人相互持股的股份公司。假定两家以上的股份公司（含股份银行）各自有一部分由个人持股， 而另一部分甚至大部分由它们相互持股，这类公司的本质同完全由个人持股的公众公司一样， 只不过是更具有社会企业性质的私有制， 或者说是带有更多产权复合性和社会性的私有制。日本研究“法人资本主义”的著名学者奥村宏写道：“人们看到的是三菱、三井或日立、丰田那样的大企业的楼房或工厂。可是， 看不到究竟是谁控制着这些大公司， 公司法人出现在前面， 而自然人却掩蔽在法人影子之下。这样一来， 人们凭自身感受是很难认清其实质的。”⑸（p92）他通过剖析后明确指出：“资金在10亿日元以上的大企业经营者无疑仍有2万——3万人。到底是谁统治日本？从我们的观点来说， 就是这2万——3万人的大企业经营者。在这里， 我们把大企业经营者分为所有主型（或家族控制型）经营者和薪给人员型经营者。” ⑸</w:t>
      </w:r>
      <w:r>
        <w:rPr>
          <w:rFonts w:hint="eastAsia" w:ascii="宋体" w:hAnsi="宋体" w:eastAsia="宋体" w:cs="Times New Roman"/>
          <w:color w:val="000000"/>
          <w:sz w:val="21"/>
          <w:szCs w:val="21"/>
        </w:rPr>
        <w:t>（p95</w:t>
      </w:r>
      <w:r>
        <w:rPr>
          <w:rFonts w:ascii="宋体" w:hAnsi="宋体" w:eastAsia="宋体" w:cs="Times New Roman"/>
          <w:color w:val="000000"/>
          <w:sz w:val="21"/>
          <w:szCs w:val="21"/>
        </w:rPr>
        <w:t>）</w:t>
      </w:r>
    </w:p>
    <w:p w14:paraId="006D678A">
      <w:pPr>
        <w:ind w:firstLine="550" w:firstLineChars="250"/>
        <w:rPr>
          <w:rFonts w:eastAsia="宋体" w:cs="Times New Roman"/>
          <w:color w:val="000000"/>
          <w:sz w:val="21"/>
          <w:szCs w:val="21"/>
        </w:rPr>
      </w:pPr>
      <w:r>
        <w:rPr>
          <w:rFonts w:hint="eastAsia" w:eastAsia="宋体" w:cs="Times New Roman"/>
          <w:color w:val="000000"/>
          <w:sz w:val="21"/>
          <w:szCs w:val="21"/>
        </w:rPr>
        <w:t>最后看各类机构投资者。多种由个人投资构成的共同基金， 或共同基金信托， 或个人信托基金等， 它们通过迂回的途径即一定的社会组织形式来持股， 其实质仍然是带有社会共同性的私有制。保险类股份有限公司（日本有4家）持股性质与别的公众公司没有区别。至于人寿保险等多种个人投保的保险基金或生保互济公司(日本有16家)， 它们在资本主义国家不占支配地位， 属于协助私有制利用股份制的某种形式。对此， 日本著名经济学家小宫隆太郎评析道：“对生保互济公司来说， 成为‘所有者’的‘社员’同时又是流动性高的顾客”，“股份有限公司型的生保与互济公司型的生保在实际状况上并没有太大差别。”⑹可见， 从整个社会生产关系考察， 仍应将多数机构投资者视为私人或私有制利用股份制的社会经济组织。⑺（p42—49）那种以为私人所有、企业或某种机构共同支配和使用的所有制都是社会主义性质的“新公有制”的观点⑷， 显然是不合乎经验和逻辑的， 并很容易得出日、美等资本主义社会已比中国更早地进人了社会主义初级阶段性质的社会经济形态了。除了西方社会党人的理论家， 整个西方经济学的主流学派没有人会赞成类似的观点。</w:t>
      </w:r>
    </w:p>
    <w:p w14:paraId="503CB5A0">
      <w:pPr>
        <w:ind w:firstLine="660" w:firstLineChars="300"/>
        <w:rPr>
          <w:rFonts w:eastAsia="宋体" w:cs="Times New Roman"/>
          <w:b/>
          <w:color w:val="000000"/>
          <w:sz w:val="21"/>
          <w:szCs w:val="21"/>
        </w:rPr>
      </w:pPr>
      <w:r>
        <w:rPr>
          <w:rFonts w:hint="eastAsia" w:eastAsia="宋体" w:cs="Times New Roman"/>
          <w:b/>
          <w:color w:val="000000"/>
          <w:sz w:val="21"/>
          <w:szCs w:val="21"/>
        </w:rPr>
        <w:t>二、社会主义应当如何利用股份制</w:t>
      </w:r>
    </w:p>
    <w:p w14:paraId="1FC0C6D2">
      <w:pPr>
        <w:ind w:firstLine="550" w:firstLineChars="250"/>
        <w:rPr>
          <w:rFonts w:eastAsia="宋体" w:cs="Times New Roman"/>
          <w:color w:val="000000"/>
          <w:sz w:val="21"/>
          <w:szCs w:val="21"/>
        </w:rPr>
      </w:pPr>
      <w:r>
        <w:rPr>
          <w:rFonts w:hint="eastAsia" w:eastAsia="宋体" w:cs="Times New Roman"/>
          <w:color w:val="000000"/>
          <w:sz w:val="21"/>
          <w:szCs w:val="21"/>
        </w:rPr>
        <w:t>中国经济体制改革的目标是构建社会主义市场经济体制， 即公有制主体型市场经济模式， 而不是私有制主体型市场经济模式。这就是说， 在迈向市场经济的改革中， 决不应放弃含国有经济和集体经济在内的公有制主体地位， 而要将公有产权与市场经济有效地融合在一起， 实现一种以法人型联合劳动为基础的“市场社会主义”。这种具有中国特色的社会主义混合经济， 允许个体、私营和外资等其他经济成份的适度发展， 但公有资产在社会总资产中一定要占大多数或优势， 国有经济一定要控制国家的经济命脉， 并体现对整个国民经济发展的主导作用。显然， 这里所说的“主导”， 是指国有经济占一定数量比例基础上的功能、作用和地位所说的“主体”， 是指公有经济具有一定功能、作用和地位基础上的数量比例。主体涵盖主导。如果国有经济占的比重太小， 便不能充分施展其主导作用；如果公有经济占的比重较小， 便不能保持其主体地位。因此， 把国有制和公有制贬为纯粹是可用可不用的经济手段， 主张国有制不能与股份制相融合而必须放弃所有股份制企业的国家控股权等， 都是不明世界经济发展趋势本质的悲观思维， 不利于在推行股份制改革中发展和壮大公有制经济。</w:t>
      </w:r>
    </w:p>
    <w:p w14:paraId="41838EBE">
      <w:pPr>
        <w:ind w:firstLine="550" w:firstLineChars="250"/>
        <w:rPr>
          <w:rFonts w:eastAsia="宋体" w:cs="Times New Roman"/>
          <w:color w:val="000000"/>
          <w:sz w:val="21"/>
          <w:szCs w:val="21"/>
        </w:rPr>
      </w:pPr>
      <w:r>
        <w:rPr>
          <w:rFonts w:hint="eastAsia" w:eastAsia="宋体" w:cs="Times New Roman"/>
          <w:color w:val="000000"/>
          <w:sz w:val="21"/>
          <w:szCs w:val="21"/>
        </w:rPr>
        <w:t>依据各国发展经验和市场运行规律， 社会主义国有经济可利用的股份制的内在基本制度要素有以下四个（至于破产制度、社会保障制度、技术改造制度等是一切企业发展所需供给的重要制度， 非国有经济所特有， 这里略而不谈）⑼：</w:t>
      </w:r>
    </w:p>
    <w:p w14:paraId="53755865">
      <w:pPr>
        <w:ind w:firstLine="550" w:firstLineChars="250"/>
        <w:rPr>
          <w:rFonts w:eastAsia="宋体" w:cs="Times New Roman"/>
          <w:color w:val="000000"/>
          <w:sz w:val="21"/>
          <w:szCs w:val="21"/>
        </w:rPr>
      </w:pPr>
      <w:r>
        <w:rPr>
          <w:rFonts w:hint="eastAsia" w:eastAsia="宋体" w:cs="Times New Roman"/>
          <w:color w:val="000000"/>
          <w:sz w:val="21"/>
          <w:szCs w:val="21"/>
        </w:rPr>
        <w:t>第一， 建立以政资职能分离为目标的国资管理系统， 这是推行股份制和重塑国有企业制度的大前提。在该管理系统内设置三个层次：国有资产所有权的立法管理和最终监管归各级人民代表大会及其机构；国有资产所有权的行政管理归各级人民政府及其机构（国有资产管理局或国有资产管理委员会）；国有资产所有权的商务管理或产权管理归各种国有资产产权经营机构（国有资产的集团控股公司、开发总公司等）。如果实施过去国家体改委颁布的指导意见， 在现存国有资产行政管理部门以外再设置国有资产营运决策会议及其秘书处， 而作为国有资产最高决策管理的这一组织， 既不是立法和行政机构， 又不是法人组织， 那就难以避免与现有政府所属国有资产管理机构的产权矛盾。目前规范企业行为的法律和条例有多个， 但缺少一个规范政府行为的国有资产管理母法。应当尽快颁布《国有资产法》， 从根本上确立国有资产管理的制度性架构。在全国重要的竞争性行业分别组建若干个相互竞争的大公司或企业集团， 并使各级政府的国资管理机构真正承担起国有资产或国有资本的出资者职能。</w:t>
      </w:r>
    </w:p>
    <w:p w14:paraId="2646121F">
      <w:pPr>
        <w:ind w:firstLine="550" w:firstLineChars="250"/>
        <w:rPr>
          <w:rFonts w:eastAsia="宋体" w:cs="Times New Roman"/>
          <w:color w:val="000000"/>
          <w:sz w:val="21"/>
          <w:szCs w:val="21"/>
        </w:rPr>
      </w:pPr>
      <w:r>
        <w:rPr>
          <w:rFonts w:hint="eastAsia" w:eastAsia="宋体" w:cs="Times New Roman"/>
          <w:color w:val="000000"/>
          <w:sz w:val="21"/>
          <w:szCs w:val="21"/>
        </w:rPr>
        <w:t>第二， 建立以公有法人相互持股为主体的现代企业制度， 它是社会主义利用股份制的一个关键性制度要素。与国外自然人和私有法人为主的持股方式不同， 初级阶段社会主义的经济性质， 客观上要求持股以国有资本和集体资本等公有资本或公有法人单位为主要方式（不是那种挂着股份合作制招牌的私有主体型企业）， 其股份应占大多数。与此相关， 企业融资要以间接方式为主（日本、德国就是以间接融资为主的， 同美国直接融资为主的模式有很大的不同）。这也是处理好经济公平与经济效率的长久之计。其缘由在于，那种个人和私有法人持股占多数的社会， 无法根本消除贫富两极分化。显而易见， 尽管资本主义和社会主义都可以利用股份制， 因为它是财产的社会组织方式， 其本身并无姓资姓社的区别， 但投资主体和资本结构的性质会使每个股份制企业的财产性质或混合特性凸现出来。要么是纯粹公有制股份制或纯粹私有制股份制， 要么是公有主体型股份制或私有主体型股份制， 要么是半公半私型股份制。我国不可能像资本主义那样利用股份制， 让自然人持股或由私人资本构成的公众公司和机构持股及互相持股。如前所述， 这种股份制的性质属于具有社会形态的私人企业， 而根本不是马克思所说的“社会所有制”、“重建个人所有制”和公有制。在市场经济条件下， 我们不必否定能促进企业集团和自主经营的股份制的一般形式， 而只需力避前苏东国家“股大卖小”的特殊私有化道路有学者视它为“新公有化道路”。</w:t>
      </w:r>
    </w:p>
    <w:p w14:paraId="04FFC25A">
      <w:pPr>
        <w:ind w:firstLine="550" w:firstLineChars="250"/>
        <w:rPr>
          <w:rFonts w:eastAsia="宋体" w:cs="Times New Roman"/>
          <w:color w:val="000000"/>
          <w:sz w:val="21"/>
          <w:szCs w:val="21"/>
        </w:rPr>
      </w:pPr>
      <w:r>
        <w:rPr>
          <w:rFonts w:hint="eastAsia" w:eastAsia="宋体" w:cs="Times New Roman"/>
          <w:color w:val="000000"/>
          <w:sz w:val="21"/>
          <w:szCs w:val="21"/>
        </w:rPr>
        <w:t>第三， 建立以个人财产抵押为基础的经营者年薪制， 这是集收人、财产、职位和荣誉等多重制约为一体的第三个制度要素， 是具有中国社会主义特色的股份制内涵之一。我们既不能大规模搞股份私有化和经营者大量持股， 又要充分激励国有企业法人代表和主要经营者。在这两难抉择中， 只能以此来模拟而不是照搬私有产权的机制与功能。搞活国有企业的关节点在于搞活法人代表（韩国早已颁布公营企业实行“专门经验人机制”的改革方案）。必须废止传统的封闭式经营者任免方式， 代之以市场型的人才招聘方式。可由投资者、企业内外专家和职工代表等组成招聘委员会， 对社会上的应聘者进行经营能力和素质的多种考核然后， 被选中的法人代表须以一定数量的个人财产（金融资产、住房和借款等）为抵押来经营， 其收人和聘期与经营绩效密切挂钩， 并用多种指标控制可能出现的短期行为。这要比股份制企业经营者少量持股的盈亏责任更大。对一些先行企业的验证表明， 由上述多重制度制约下的公有企业法人代表的积极性和责任心， 不亚于私人企业和经营者持股较多的股份制企业。在转型期内， 这项制度应在股份制企业中迅速推行。</w:t>
      </w:r>
    </w:p>
    <w:p w14:paraId="50691441">
      <w:pPr>
        <w:ind w:firstLine="550" w:firstLineChars="250"/>
        <w:rPr>
          <w:rFonts w:eastAsia="宋体" w:cs="Times New Roman"/>
          <w:color w:val="000000"/>
          <w:sz w:val="21"/>
          <w:szCs w:val="21"/>
        </w:rPr>
      </w:pPr>
      <w:r>
        <w:rPr>
          <w:rFonts w:hint="eastAsia" w:eastAsia="宋体" w:cs="Times New Roman"/>
          <w:color w:val="000000"/>
          <w:sz w:val="21"/>
          <w:szCs w:val="21"/>
        </w:rPr>
        <w:t>第四， 建立以党政互相兼职为特征的法人治理结构。这一股份制基本制度要素涉及到企业内部股东会、董事会、监事会、经理会（经理层）与党委会、职代会、工会之间的关系。这是社会主义国家推行股份制需要处理好的一个特殊矛盾。可以按照现代公司制度运行的规律和惯例及效率原则来界定各种组织的权利与职责， 防止“组织摩擦”、“机制扯皮”和“人力内耗”而导致内部制度费用（组织费用）过高。执政党的成员在非政权性质的基层经营单位均应有行政岗位， 党政干部要互相兼职， 使党组织的领导人直接进入董事会、监事会和经理层等行政班子， 在法人治理结构的机制内发挥应有的作用。党组织必须监督自己的党员， 充分发挥先进模范作用。这既有利于改善和强化执政党的领导和政治思想工作， 也有利于理顺国有企业内部多种组织的权利关系， 从而确立和完善公有制企业的现代法人治理结构。</w:t>
      </w:r>
    </w:p>
    <w:p w14:paraId="097A61C8">
      <w:pPr>
        <w:ind w:firstLine="550" w:firstLineChars="250"/>
        <w:rPr>
          <w:rFonts w:eastAsia="宋体" w:cs="Times New Roman"/>
          <w:b/>
          <w:color w:val="000000"/>
          <w:sz w:val="21"/>
          <w:szCs w:val="21"/>
        </w:rPr>
      </w:pPr>
      <w:r>
        <w:rPr>
          <w:rFonts w:hint="eastAsia" w:eastAsia="宋体" w:cs="Times New Roman"/>
          <w:b/>
          <w:color w:val="000000"/>
          <w:sz w:val="21"/>
          <w:szCs w:val="21"/>
        </w:rPr>
        <w:t>三、股份制国有经济要注重发挥哪些基本功能</w:t>
      </w:r>
    </w:p>
    <w:p w14:paraId="01B02B1D">
      <w:pPr>
        <w:ind w:firstLine="550" w:firstLineChars="250"/>
        <w:rPr>
          <w:rFonts w:eastAsia="宋体" w:cs="Times New Roman"/>
          <w:color w:val="000000"/>
          <w:sz w:val="21"/>
          <w:szCs w:val="21"/>
        </w:rPr>
      </w:pPr>
      <w:r>
        <w:rPr>
          <w:rFonts w:hint="eastAsia" w:eastAsia="宋体" w:cs="Times New Roman"/>
          <w:color w:val="000000"/>
          <w:sz w:val="21"/>
          <w:szCs w:val="21"/>
        </w:rPr>
        <w:t>按照现代西方经济学的“混合经济”理论， 国有企业的存在是为了弥补“市场缺陷”， 即在垄断性行业、公益性行业和某些特殊行业可以发展国有经济， 除此之外， 应由私人经济支配。这是基于资产阶级的经济利益集团立场和思维定式而得出的理论和政策， 并不合乎社会生产力的现代性质。即使在现阶段的社会主义社会， 股份制的国有经济也不应局限在为非国有经济拾遗补缺的范围，而应充分发挥其主导作用。完整地说， 在社会主义股份制改造中国有经济要注重发挥以下六个基本功能：</w:t>
      </w:r>
    </w:p>
    <w:p w14:paraId="4125051D">
      <w:pPr>
        <w:ind w:firstLine="550" w:firstLineChars="250"/>
        <w:rPr>
          <w:rFonts w:eastAsia="宋体" w:cs="Times New Roman"/>
          <w:color w:val="000000"/>
          <w:sz w:val="21"/>
          <w:szCs w:val="21"/>
        </w:rPr>
      </w:pPr>
      <w:r>
        <w:rPr>
          <w:rFonts w:hint="eastAsia" w:eastAsia="宋体" w:cs="Times New Roman"/>
          <w:color w:val="000000"/>
          <w:sz w:val="21"/>
          <w:szCs w:val="21"/>
        </w:rPr>
        <w:t>（—）基础服务功能。交通、邮电、供水、供电、供煤等基础设施和公用设施， 各种能源生产、矿山开发和整治山河等基础工业和基础环保的建设， 一般所需投资大， 回收速度慢， 且生产的社会化程度很高， 服务面极广。在这些部门发展国有独资公司和国有控股公司等， 可以为整个国民经济的初始启动和良性发展奠定产业关联的基础。其经济效益往往是通过别的部门的发展效益来间接实现的， 即隐性效益较大。</w:t>
      </w:r>
    </w:p>
    <w:p w14:paraId="080ACE82">
      <w:pPr>
        <w:ind w:firstLine="550" w:firstLineChars="250"/>
        <w:rPr>
          <w:rFonts w:eastAsia="宋体" w:cs="Times New Roman"/>
          <w:color w:val="000000"/>
          <w:sz w:val="21"/>
          <w:szCs w:val="21"/>
        </w:rPr>
      </w:pPr>
      <w:r>
        <w:rPr>
          <w:rFonts w:hint="eastAsia" w:eastAsia="宋体" w:cs="Times New Roman"/>
          <w:color w:val="000000"/>
          <w:sz w:val="21"/>
          <w:szCs w:val="21"/>
        </w:rPr>
        <w:t>（二）支柱构筑功能。尽管各国的资源禀赋、技术水平和发展层次不同， 支柱产业的项目可以有所不同， 但必定要构筑少数在国民经济中处于举足轻重地位而产值又在国民生产总值中占有较大比重的支柱产业。这些产业在特定时期往往是国际市场激烈竞争的部门。显然， 我国在钢铁、重化工业、汽车制造和军工等部门积极发展和壮大股份制国有经济系统， 可以巩固整个国民经济的支柱地位， 大幅度提高国际竞争力。</w:t>
      </w:r>
    </w:p>
    <w:p w14:paraId="62924DE5">
      <w:pPr>
        <w:ind w:firstLine="550" w:firstLineChars="250"/>
        <w:rPr>
          <w:rFonts w:eastAsia="宋体" w:cs="Times New Roman"/>
          <w:color w:val="000000"/>
          <w:sz w:val="21"/>
          <w:szCs w:val="21"/>
        </w:rPr>
      </w:pPr>
      <w:r>
        <w:rPr>
          <w:rFonts w:hint="eastAsia" w:eastAsia="宋体" w:cs="Times New Roman"/>
          <w:color w:val="000000"/>
          <w:sz w:val="21"/>
          <w:szCs w:val="21"/>
        </w:rPr>
        <w:t>（三）流通调节功能。货币流通是经济运行的总枢纽。国家要保持对国民经济整体的快速而有效的灵活调节， 需要掌握由中央银行、商业银行和政策性银行构成的银行系统及其他重要金融机构， 以免被小团体或私人操纵而损害社会和公众的利益。商品流通对生产有巨大的反作用， 发挥多种股份制国有商业的主渠道效应， 也是国家调节流通所不可忽视的基本层面。</w:t>
      </w:r>
    </w:p>
    <w:p w14:paraId="3A0CB492">
      <w:pPr>
        <w:ind w:firstLine="550" w:firstLineChars="250"/>
        <w:rPr>
          <w:rFonts w:eastAsia="宋体" w:cs="Times New Roman"/>
          <w:color w:val="000000"/>
          <w:sz w:val="21"/>
          <w:szCs w:val="21"/>
        </w:rPr>
      </w:pPr>
      <w:r>
        <w:rPr>
          <w:rFonts w:hint="eastAsia" w:eastAsia="宋体" w:cs="Times New Roman"/>
          <w:color w:val="000000"/>
          <w:sz w:val="21"/>
          <w:szCs w:val="21"/>
        </w:rPr>
        <w:t>（四）技术示范功能。重大科学技术的研究与开发， 需要大量的超前投入和联合攻关， 经济落后国家规模较小的非国有经济难以胜任。由拥有较强的研制实力和信息网络的国有经济组织（含国有科研单位）承担主要科技项目的基础研究和应用开发， 可以较快推动社会科技的进步、产业素质的提高、经济结构的改造和国际竞争力的增强，从而在高新技术和重要技术的普及上起示范作用。</w:t>
      </w:r>
    </w:p>
    <w:p w14:paraId="7FCD637F">
      <w:pPr>
        <w:ind w:firstLine="550" w:firstLineChars="250"/>
        <w:rPr>
          <w:rFonts w:eastAsia="宋体" w:cs="Times New Roman"/>
          <w:color w:val="000000"/>
          <w:sz w:val="21"/>
          <w:szCs w:val="21"/>
        </w:rPr>
      </w:pPr>
      <w:r>
        <w:rPr>
          <w:rFonts w:hint="eastAsia" w:eastAsia="宋体" w:cs="Times New Roman"/>
          <w:color w:val="000000"/>
          <w:sz w:val="21"/>
          <w:szCs w:val="21"/>
        </w:rPr>
        <w:t>（五）社会创利功能。私人经济的基点是为个人盈利；集体经济的基点是为群体盈利；国有经济的基点是为社会盈利。它们之间有联系， 但又有明显的区别。假如国有经济全部退出显性效益大、盈利率较高或获利较容易的竞争性行业， 专门在一些盈利较低或易亏损的行业发展， 无疑会形成和加剧社会分配不公（西方所谓“国家不与民争利”， 实质是要求不与私人垄断组织和资本家争利）。可见， 各种股份制国有经济有必要在商业、日用工业品、耐用消费品、旅游等某些竞争性领域适度发展， 以便直接为社会整体和劳动者整体谋利益， 真正实现共同富裕。</w:t>
      </w:r>
    </w:p>
    <w:p w14:paraId="07CEEAF6">
      <w:pPr>
        <w:ind w:firstLine="550" w:firstLineChars="250"/>
        <w:rPr>
          <w:rFonts w:eastAsia="宋体" w:cs="Times New Roman"/>
          <w:color w:val="000000"/>
          <w:sz w:val="21"/>
          <w:szCs w:val="21"/>
        </w:rPr>
      </w:pPr>
      <w:r>
        <w:rPr>
          <w:rFonts w:hint="eastAsia" w:eastAsia="宋体" w:cs="Times New Roman"/>
          <w:color w:val="000000"/>
          <w:sz w:val="21"/>
          <w:szCs w:val="21"/>
        </w:rPr>
        <w:t>（六）产权导向功能。国家利用全民所有制性质的国有经济， 支持集体经济的不断壮大， 并与集体所有制一起巩固社会主义的生产关系， 确保市场经济的社会主义性质（公有制性质）。同时，股份制国有经济系统以自身的雄厚实力和优势，通过竞争、投资和信贷等市场行为与机制， 从企业内外部影响和制约非公有制经济， 扬利抑弊， 使其为社会主义服务并成为有益的经济补充。一个强大的股份制国有经济在社会所有制结构和产权制度变迁的导向方面， 具有重要的静态和动态功能。</w:t>
      </w:r>
    </w:p>
    <w:p w14:paraId="2BD19120">
      <w:pPr>
        <w:ind w:firstLine="550" w:firstLineChars="250"/>
        <w:rPr>
          <w:rFonts w:eastAsia="宋体" w:cs="Times New Roman"/>
          <w:color w:val="000000"/>
          <w:sz w:val="21"/>
          <w:szCs w:val="21"/>
        </w:rPr>
      </w:pPr>
      <w:r>
        <w:rPr>
          <w:rFonts w:hint="eastAsia" w:eastAsia="宋体" w:cs="Times New Roman"/>
          <w:color w:val="000000"/>
          <w:sz w:val="21"/>
          <w:szCs w:val="21"/>
        </w:rPr>
        <w:t>总之， 在当前的股份制改革中， 国有经济采用全股（独资）、控股和参股及相互持股等形式， 完全可以视国民经济各部门和行业的不同特点灵活进出， 从而抑制国有经济相对较快萎缩的势头， 重振国有经济的雄风， 充分释放其支配或主导能量。</w:t>
      </w:r>
    </w:p>
    <w:p w14:paraId="6936D05E">
      <w:pPr>
        <w:ind w:firstLine="360"/>
        <w:rPr>
          <w:rFonts w:eastAsia="宋体" w:cs="Times New Roman"/>
          <w:b/>
          <w:color w:val="000000"/>
          <w:sz w:val="21"/>
          <w:szCs w:val="21"/>
        </w:rPr>
      </w:pPr>
      <w:r>
        <w:rPr>
          <w:rFonts w:hint="eastAsia" w:eastAsia="宋体" w:cs="Times New Roman"/>
          <w:b/>
          <w:color w:val="000000"/>
          <w:sz w:val="21"/>
          <w:szCs w:val="21"/>
        </w:rPr>
        <w:t>参考文献</w:t>
      </w:r>
    </w:p>
    <w:p w14:paraId="423D8916">
      <w:pPr>
        <w:ind w:firstLine="330" w:firstLineChars="150"/>
        <w:rPr>
          <w:rFonts w:eastAsia="宋体" w:cs="Times New Roman"/>
          <w:color w:val="000000"/>
          <w:sz w:val="21"/>
          <w:szCs w:val="21"/>
        </w:rPr>
      </w:pPr>
      <w:r>
        <w:rPr>
          <w:rFonts w:hint="eastAsia" w:eastAsia="宋体" w:cs="Times New Roman"/>
          <w:color w:val="000000"/>
          <w:sz w:val="21"/>
          <w:szCs w:val="21"/>
        </w:rPr>
        <w:t>⑴注重研究和借鉴外国比较经济理——访经济学家程恩富教授（J）企业家报， 1996一08一08</w:t>
      </w:r>
    </w:p>
    <w:p w14:paraId="2147246C">
      <w:pPr>
        <w:ind w:firstLine="220" w:firstLineChars="100"/>
        <w:rPr>
          <w:rFonts w:eastAsia="宋体" w:cs="Times New Roman"/>
          <w:color w:val="000000"/>
          <w:sz w:val="21"/>
          <w:szCs w:val="21"/>
        </w:rPr>
      </w:pPr>
      <w:r>
        <w:rPr>
          <w:rFonts w:hint="eastAsia" w:eastAsia="宋体" w:cs="Times New Roman"/>
          <w:color w:val="000000"/>
          <w:sz w:val="21"/>
          <w:szCs w:val="21"/>
        </w:rPr>
        <w:t>〔2〕与总书记谈心〔M〕北京：中国社会科学出版社，</w:t>
      </w:r>
    </w:p>
    <w:p w14:paraId="333C7BA8">
      <w:pPr>
        <w:ind w:firstLine="220" w:firstLineChars="100"/>
        <w:rPr>
          <w:rFonts w:eastAsia="宋体" w:cs="Times New Roman"/>
          <w:color w:val="000000"/>
          <w:sz w:val="21"/>
          <w:szCs w:val="21"/>
        </w:rPr>
      </w:pPr>
      <w:r>
        <w:rPr>
          <w:rFonts w:hint="eastAsia" w:eastAsia="宋体" w:cs="Times New Roman"/>
          <w:color w:val="000000"/>
          <w:sz w:val="21"/>
          <w:szCs w:val="21"/>
        </w:rPr>
        <w:t>（3）马克思恩格斯全集：第25卷（M）北京：人民出版社，</w:t>
      </w:r>
    </w:p>
    <w:p w14:paraId="2D5364FE">
      <w:pPr>
        <w:ind w:firstLine="220" w:firstLineChars="100"/>
        <w:rPr>
          <w:rFonts w:eastAsia="宋体" w:cs="Times New Roman"/>
          <w:color w:val="000000"/>
          <w:sz w:val="21"/>
          <w:szCs w:val="21"/>
        </w:rPr>
      </w:pPr>
      <w:r>
        <w:rPr>
          <w:rFonts w:hint="eastAsia" w:eastAsia="宋体" w:cs="Times New Roman"/>
          <w:color w:val="000000"/>
          <w:sz w:val="21"/>
          <w:szCs w:val="21"/>
        </w:rPr>
        <w:t>（4）厉以宁 新公有制企业(J) 经济学动态， 2004(1)</w:t>
      </w:r>
    </w:p>
    <w:p w14:paraId="3D7E830B">
      <w:pPr>
        <w:ind w:firstLine="440" w:firstLineChars="200"/>
        <w:rPr>
          <w:rFonts w:eastAsia="宋体" w:cs="Times New Roman"/>
          <w:color w:val="000000"/>
          <w:sz w:val="21"/>
          <w:szCs w:val="21"/>
        </w:rPr>
      </w:pPr>
      <w:r>
        <w:rPr>
          <w:rFonts w:hint="eastAsia" w:eastAsia="宋体" w:cs="Times New Roman"/>
          <w:color w:val="000000"/>
          <w:sz w:val="21"/>
          <w:szCs w:val="21"/>
        </w:rPr>
        <w:t>(5)奥村宏 法人资本主义(M)  上海：上海三联书店，1990</w:t>
      </w:r>
    </w:p>
    <w:p w14:paraId="16E8277F">
      <w:pPr>
        <w:ind w:firstLine="220" w:firstLineChars="100"/>
        <w:rPr>
          <w:rFonts w:eastAsia="宋体" w:cs="Times New Roman"/>
          <w:color w:val="000000"/>
          <w:sz w:val="21"/>
          <w:szCs w:val="21"/>
        </w:rPr>
      </w:pPr>
      <w:r>
        <w:rPr>
          <w:rFonts w:hint="eastAsia" w:eastAsia="宋体" w:cs="Times New Roman"/>
          <w:color w:val="000000"/>
          <w:sz w:val="21"/>
          <w:szCs w:val="21"/>
        </w:rPr>
        <w:t>（6）小宫隆太郎 作为企业的生命保险公司〔A〕现代日本企业制度(C) 北京 ：经济科学出版社，1995</w:t>
      </w:r>
    </w:p>
    <w:p w14:paraId="5891A127">
      <w:pPr>
        <w:ind w:firstLine="220" w:firstLineChars="100"/>
        <w:rPr>
          <w:rFonts w:eastAsia="宋体" w:cs="Times New Roman"/>
          <w:color w:val="000000"/>
          <w:sz w:val="21"/>
          <w:szCs w:val="21"/>
        </w:rPr>
      </w:pPr>
      <w:r>
        <w:rPr>
          <w:rFonts w:hint="eastAsia" w:eastAsia="宋体" w:cs="Times New Roman"/>
          <w:color w:val="000000"/>
          <w:sz w:val="21"/>
          <w:szCs w:val="21"/>
        </w:rPr>
        <w:t>（7）项启源 改革与发展的经济理论探索（M）北京：经济科学出版社，1996</w:t>
      </w:r>
    </w:p>
    <w:p w14:paraId="36DCB3B2">
      <w:pPr>
        <w:ind w:firstLine="220" w:firstLineChars="100"/>
        <w:rPr>
          <w:rFonts w:eastAsia="宋体" w:cs="Times New Roman"/>
          <w:color w:val="000000"/>
          <w:sz w:val="21"/>
          <w:szCs w:val="21"/>
        </w:rPr>
      </w:pPr>
      <w:r>
        <w:rPr>
          <w:rFonts w:hint="eastAsia" w:eastAsia="宋体" w:cs="Times New Roman"/>
          <w:color w:val="000000"/>
          <w:sz w:val="21"/>
          <w:szCs w:val="21"/>
        </w:rPr>
        <w:t>（8）程恩富 西方产权理论评析——兼论中国企业改革（M）北京：当代中国出版社，1997； 程恩富 国家主导型市场经济论（M），上海：上海远东出版社，1995</w:t>
      </w:r>
    </w:p>
    <w:p w14:paraId="14940A33">
      <w:pPr>
        <w:ind w:firstLine="440" w:firstLineChars="200"/>
        <w:rPr>
          <w:rFonts w:eastAsia="宋体" w:cs="Times New Roman"/>
          <w:color w:val="000000"/>
          <w:sz w:val="21"/>
          <w:szCs w:val="21"/>
        </w:rPr>
      </w:pPr>
    </w:p>
    <w:p w14:paraId="6AFC55D0">
      <w:pPr>
        <w:rPr>
          <w:rFonts w:hint="eastAsia" w:eastAsia="宋体" w:cs="Times New Roman"/>
          <w:color w:val="000000"/>
          <w:sz w:val="21"/>
          <w:szCs w:val="21"/>
        </w:rPr>
      </w:pPr>
      <w:r>
        <w:rPr>
          <w:rFonts w:hint="eastAsia" w:eastAsia="宋体" w:cs="Times New Roman"/>
          <w:color w:val="000000"/>
          <w:sz w:val="21"/>
          <w:szCs w:val="21"/>
        </w:rPr>
        <w:t xml:space="preserve">（原载《江苏行政学院学报 》2004年第4期 </w:t>
      </w:r>
    </w:p>
    <w:p w14:paraId="74C3B0EB">
      <w:pPr>
        <w:pStyle w:val="2"/>
        <w:widowControl/>
        <w:spacing w:before="120" w:after="120" w:line="360" w:lineRule="auto"/>
        <w:ind w:firstLine="660" w:firstLineChars="200"/>
        <w:rPr>
          <w:rFonts w:hint="default"/>
        </w:rPr>
      </w:pPr>
      <w:bookmarkStart w:id="454" w:name="_Toc29486"/>
      <w:bookmarkStart w:id="455" w:name="_Toc111148938"/>
      <w:bookmarkStart w:id="456" w:name="_Toc588517994"/>
      <w:bookmarkStart w:id="457" w:name="_Toc1341991042"/>
      <w:r>
        <w:t>2005</w:t>
      </w:r>
      <w:r>
        <w:rPr>
          <w:rFonts w:cs="黑体"/>
        </w:rPr>
        <w:t>年</w:t>
      </w:r>
      <w:bookmarkEnd w:id="454"/>
      <w:bookmarkEnd w:id="455"/>
      <w:bookmarkEnd w:id="456"/>
      <w:bookmarkEnd w:id="457"/>
    </w:p>
    <w:p w14:paraId="73E5DAEC">
      <w:pPr>
        <w:pStyle w:val="3"/>
        <w:widowControl/>
        <w:spacing w:before="0" w:after="0" w:line="360" w:lineRule="auto"/>
        <w:jc w:val="center"/>
        <w:rPr>
          <w:rFonts w:hint="default" w:ascii="黑体" w:hAnsi="黑体" w:eastAsia="黑体"/>
          <w:b w:val="0"/>
          <w:bCs w:val="0"/>
        </w:rPr>
      </w:pPr>
      <w:bookmarkStart w:id="458" w:name="_Toc26495"/>
      <w:bookmarkStart w:id="459" w:name="_Toc111148939"/>
      <w:bookmarkStart w:id="460" w:name="_Toc2059730723"/>
      <w:bookmarkStart w:id="461" w:name="_Toc1970182100"/>
      <w:bookmarkStart w:id="462" w:name="_Toc257922062"/>
      <w:r>
        <w:rPr>
          <w:rFonts w:ascii="黑体" w:hAnsi="黑体" w:eastAsia="黑体"/>
          <w:b w:val="0"/>
          <w:bCs w:val="0"/>
        </w:rPr>
        <w:t>1比较优势、竞争优势与知识产权优势理论新探</w:t>
      </w:r>
      <w:bookmarkEnd w:id="458"/>
      <w:bookmarkEnd w:id="459"/>
      <w:bookmarkEnd w:id="460"/>
      <w:bookmarkEnd w:id="461"/>
    </w:p>
    <w:p w14:paraId="0DBCBB15">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摘要：许多学者在为我国参与国际竞争时应依据比较优势还是竞争优势理论而争论不已，但事实上此两种理论均存在一些缺陷。本文在分析比较优势和竞争优势理论在我国的应用和发展的基础上，结合知识经济的时代特点和我国的现实国情，分析了其局限性及在我国的不适应性，提出应综合这两种理论，培育和发展知识产权优势的理论和战略。</w:t>
      </w:r>
    </w:p>
    <w:p w14:paraId="4CC6B604">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关键词：比较优势；竞争优势；知识产权优势</w:t>
      </w:r>
    </w:p>
    <w:p w14:paraId="2A7E6DF5">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国际分工和国际竞争要以比较优势为基础，这是古典经济学的传统观点。到了20世3|纪90年代出现了竞争优势理论，然而随着时代的发展，比较优势和竞争优势的局限性越来越明显，应发展更符合实际要求的理论来解释并引导国际竞争和国家经济发展。知识产权优势是指培育和发挥拥有以自主核心技术和自主名牌为主要内容的自主知识产权的经济优势，是相对于比较优势、竞争优势而言的第三种优势。本文并不是简单地否定比较优势理论和竞争优势理论，而是认为知识产权优势理论是与前两者有联系的一种新发展。</w:t>
      </w:r>
    </w:p>
    <w:p w14:paraId="28431E69">
      <w:pPr>
        <w:spacing w:line="400" w:lineRule="exact"/>
        <w:jc w:val="center"/>
        <w:rPr>
          <w:rFonts w:ascii="宋体" w:hAnsi="宋体" w:eastAsia="宋体" w:cs="宋体"/>
          <w:b/>
          <w:bCs/>
          <w:sz w:val="24"/>
        </w:rPr>
      </w:pPr>
      <w:r>
        <w:rPr>
          <w:rFonts w:hint="eastAsia" w:ascii="宋体" w:hAnsi="宋体" w:eastAsia="宋体" w:cs="宋体"/>
          <w:b/>
          <w:bCs/>
          <w:color w:val="000000"/>
          <w:kern w:val="0"/>
          <w:sz w:val="24"/>
          <w:lang w:bidi="ar"/>
        </w:rPr>
        <w:t>一、比较优势理论在我国的发展及其局限性</w:t>
      </w:r>
    </w:p>
    <w:p w14:paraId="2BE743C7">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长期以来，指导我国参与国际分工和交换的是比较优势理论，即劳动生产率及各国资源禀赋的不同能影响世界贸易的方向和贸易利得，通过国际分工可以使贸易双方（甚至是具有绝对劣势的一方）都获得更大的福利。直至现在，许多学者和实务工作者依然强调要发挥我国的资源比较优势。事实上，我们应该看到比较优势是有很大的局限性和对于我国的不适应性的。</w:t>
      </w:r>
    </w:p>
    <w:p w14:paraId="40325303">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随着国际贸易的发展，比较优势理论越来越不能充分合理地解释新的现象。具体表现在以下几点：（1）比较利益理论的一些前提条件在当今世界已经不存在。无论是以劳动生产率差异为基础的比较成本说，还是以生产要素供给为基础的资源禀赋说，其比较利益的前提是各国的供给条件、生产条件不可改变，资源、生产要素不能在国际间流动。在这种假设条件下，具有比较优势的资源及其产品才可能具有垄断优势。但当今生产要素和资源可以在国际间加快流动，自然资源可以被改良和再造，也可以被新材料所替代，劳动力的技能和素质的提高，又可克服劳动力数量不足的矛盾。（2）比较利益理论所讲的比较成本是对本国的产品进行比较而言的，不意味着本国比较成本低的产品在国际竞争中就一定具有竞争优势。（3）比较利益理论只注意了经济因素而忽略了非经济因素，忽视了经济安全。（4）比较优势仅仅注重了静态的比较利益，而忽略了动态发展优势。（5）比较优势理论片面地强调了资金的重要性，认为只要积累了足够的资金，就能自动地内生出一个发展高科技产业的机制，而忽略了信息、知识、人力资本的培养，实际上这些因素对于IT技术创新更为重要。（6）比较优势论证了在自由贸易条件下如果充分发挥市场价格机制的作用，就以实现稀缺资源在国际范围内的最优配置。这一概念强调了“看不见的手”的作用。只要市场机制起作用，只要存在资源的稀缺性，比较优势就会客观的发生作用，国家的发展战略也要顺应比较优势原理的要求。但是，它忽视了“看得见的手”一一企业作为竞争主体的作用。事实上，现代企业可以通过有意识的战略选择来配置稀缺资源，进行人为比较优势的创造。</w:t>
      </w:r>
    </w:p>
    <w:p w14:paraId="2E2C3DE3">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再结合我国情况来分析，作为发展中国家的大国，其所拥有的资源比较优势不外乎是大量廉价的劳动力和绝对量不小、但人均占有量较低的自然资源。中国选择与资源禀赋决定的比较优势相符合的产业和技术结构，不外乎是大力发展劳动密集的技术含量低的产业，这样中国将陷入“比较优势陷阱”，因为劳动密集型产品的市场需求缺乏弹性，其未来市场的容量小，市场扩张难度大，贸易摩擦会加剧，导致贸易条件恶化。在科技创新突飞猛进的情况下，劳动密集型产品的比较优势最终会失去竞争优势，而且大力发展劳动密集型产业还会导致进口漏出和储蓄漏出。前者指发展中国家需要以一部分收入从国外进口技术密集型产品用于消费，后者指因国内缺乏投资品工业，国内的储蓄还要漏到国外去购买投资品。这样的产业结构安排和贸易格局很难起到带动本国经济发展的效应，这使得劳动密集型产业不能成为带动产业升级的领头产业（杨叔进，1983）。</w:t>
      </w:r>
    </w:p>
    <w:p w14:paraId="0E8B0E37">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首先，缺乏技术优势和竞争优势的资源禀赋比较优势难以为继。按照比较优势理论，中国拥有凡乎取之不尽的廉价劳动力，这对于中国而言，发展劳动密集型产业在国际贸易中具有强大的竞争优势。然而，一旦考虑到生产率的差异，偏重劳动密集型产品的中国在出口方面的低工资优势就不太明显，甚至较之某些国家还处于劣势。以1998年的数据为例，美国的平均工资是中国的47.8倍，但考虑到生产因素，创造同样多的制造业增加值，美国的劳动力成本只是中国的1.3倍；日本的这两国数字是29.9和1.2；菲律宾和玻利维亚的工资约4倍于中国，而单位劳动力成本比中低30-40%。因此，考虑到技术因素，我们发展劳动密集型产业根本无优势可言，更不用说依赖劳动密集型产业带动产业结构的升级换代，实现与发达国家的收敛。</w:t>
      </w:r>
    </w:p>
    <w:p w14:paraId="267D7441">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在现实的贸易中，一国潜在的比较优势能否实现，贸易利润能否获得，取决于一国具有比较优势的产品是否具备竞争优势。如果不具备竞争优势，产品将被排除在国际交换之外，比较利益就无法实现。而比较优势是相对于本国的资源和另-国的情况，在世界范围内就不一定具有价格竞争力了，加上受到国际金融体制的影响及其他非价格因素如产品质量、性能、款式、包装、运输费用、品牌偏好、文化内涵、售后服务、差异化等的影响，使得产品在国际市场上的竞争力由价格竞争力和非价格竞争力共同决定。如果发展中国家在非价格方面的竞争力太弱，它们即使具有低价格的比较优势，也会丧失竞争优势。</w:t>
      </w:r>
    </w:p>
    <w:p w14:paraId="70F5BE0F">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其次，按照比较优势选择产业结构会带来一些严重的后果。可以看出，除了上面所分析的比较优势理论的局限性之外，如果单纯按照比较优势指导我国的贸易和经济发展战略，可能具有比较优势的劳动密集型产业也不一定就能在世界上具有竞争优势。如果一味坚持按照由比较优势选择产业和技术结构，大力发展劳动密集型产业，出口劳动密集产业，会带来一系列后果。</w:t>
      </w:r>
    </w:p>
    <w:p w14:paraId="21D2FC79">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1、贸易条件的恶化。按照比较优势发展我国的劳动密集型产业可能会带来贸易条件的恶化，这可以从供给和需求两个角度来分析。从供给方面看，发展中国家根据现有的比较优势参与国际分工，进行的生产主要在于初级产品和劳动密集型的工业制成品方面，随着越来越多的发展中国家加入到全球化过程中来，劳动密集型产品的供给也越来越多，形成所谓的“合成谬误”，从而使得这类产品在国际上竞争激烈，贸易条件不断恶化。从需求方面看，更是发展中国家贸易条件恶化的重要原因，因为各国经济的发展和人均收入的提高，国际市场上劳动密集型产品的国际需求日益减少。再深入到从需求结构分析，传统的劳动和资源密集型产品日趋饱和，国际消费需求结构以及相应的投资需求结构已向更高层次转换。我国出口的劳动密集型产品加工程度低、技术含量少、产品质量不高，这种中低档次劳动密集型产品出口面对的只能是日益缩小的国际市场和日益下降的价格水平，形成与发达国家高新技术产品交换的贸易条件越来越恶化。这方面普雷维什（Prebisch，1950）和辛格〈Singer，1950）在上个世纪50年代针对初级产品，沙克和辛格（SarkerandSinger，1991）在90年代对劳动密集型制成品都作过理论和实证分析。考虑贸易条件的恶化，许多估计中有比较优势和竞争优势的产业其实并不一定适合中国参与。就拿大多数人都看好的纺织工业来说吧，由于全球市场的扩张非常有限，而且知识与技术含量较高的设计与面料后续加工又不是中国的强项，因此，尽管该产业是个典型的劳动密集型产业，但不大可能成为中国参与国际分工的最佳选择。诸如此类的例子还很多。</w:t>
      </w:r>
    </w:p>
    <w:p w14:paraId="220446E7">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2、</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劳动密集型产品的需求弹性小、附加值低，易出现岀口的“贫困化增长”，同时，我国劳动密集型产品的出口市场过于集中，生产地区分布也不均衡，使我国产品极易遭受国际经济波动的影响和冲击。正如发展经济学家托达罗（1991）所说：赋有充裕的非技术劳动供给的第三世界国家，由于专门生产密集使用非技术劳动且世界需求前景和贸易条件十分不佳的产品，从而陷入一种使其在非技术、非生产性活动上的“比较利益”永久存在的停滞的环境中，这将会抑制该国资本、企业精神和技术技能在国内的增长。</w:t>
      </w:r>
    </w:p>
    <w:p w14:paraId="7F6D98FA">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3、</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发达国家对发展中国家歧视性的贸易政策，使我国的劳动密集型产品受到了诸多的贸易壁垒的阻碍，在国际市场上发展的空间越来越有限。它使我国的以劳动密集型产品为主的出口贸易在国际分工中处于从属和被动的不利地位，极易落入“比较优势陷阱”。</w:t>
      </w:r>
    </w:p>
    <w:p w14:paraId="07D1EA8D">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在目前人类社会的社会空间中，落后国家拥有竞争优势的劳动密集型产品只占很小的一部分。当众多资源禀赋相似的落后国家都来瓜分这些产品上的竞争优势吋，每个国家所能占有的产品种类就更少了。况且，我国又是发展中大国，不可能像小国一样，仅靠有限的几种劳动密集型产品就能实现持续的快速发展。假如中国不顾自己是大国这一事实，去从事专业化生产，那么，世界绝不可能为中国提供如此巨大的市场。与此同时，国内各个地区客观存在的、具有较大差别的资源禀赋优势，也将无法得到充分的发挥。</w:t>
      </w:r>
    </w:p>
    <w:p w14:paraId="5F2BAB28">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由上述分析可见，仅靠比较优势是难以实现我国经济发展的重任的。不过，比较优势理论就过时、没有价值了呢？答案是否定的。有丰富的天然资源和较低的劳动成本，是经济发展的有利条件。许多发达国家的发展最初就是由资源禀赋的产业带动的。只是如果仅仅满足于这些因素，往往就会陷入“比较优势陷阱”。</w:t>
      </w:r>
    </w:p>
    <w:p w14:paraId="58C37C90">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针对传统比较优势的局限性，一些学者指出，应以竞争优势为基础，提高我国竞争力。更多的学者认为，比较优势与竞争优势不是非此即彼的关系，二者有一定的相容性。重要的是应寻求由潜在比较优势向竞争优势转化的途径。其实，我们深入分析就会发现，这种途径就是创新和技术。</w:t>
      </w:r>
    </w:p>
    <w:p w14:paraId="39AEAA9D">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如果发展中国家注重技术进步，则可以防止贸易条件的恶化，促进经济发展。尹翔硕、许建斌（2002）通过模型证明，发展中国家如果专业化生产和出口低技术产品，其贸易条件长期来看会恶化。这种恶化会导致它们原来的比较优势降低，从而使它们有可能实施进口替代，转而使国内生产一部分高技术产品。但是如果仅仅有这样一个市场过程，并不能使发展中国家的贸易条件改善，从而也不会使发展中国家的福利水平提高，与发达国家的差距缩小。但是，如果发展中国家以此为契机，通过政府教育和技术政策，一方面发展教育，提高人力资本，另一方面推动科研，提高技术水平，最终会缩小与发达国家的差距。而且，发展中国家不一定要等到贸易条件恶化后才实施教育和科技政策，推动高技术产业的发展。如果发展中国家从一开始就推动技术进步，那么在贸易条件恶化前就可能影响世界产品价格，防止贸易条件的恶化和差距的拉大。</w:t>
      </w:r>
    </w:p>
    <w:p w14:paraId="6F3B4782">
      <w:pPr>
        <w:spacing w:line="400" w:lineRule="exact"/>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二、竞争优势理论在我国的发展及其缺陷</w:t>
      </w:r>
    </w:p>
    <w:p w14:paraId="488B5D5E">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20世纪80年代以来，波特相继发表了他的著名的3部曲：《竞争战略》（1980年）、《竞争优势》（1985年）和《国家竞争优势》（1990年），提出并完善了竞争优势理论。波特认为，一个国家之所以能够兴旺发达，其根本原因在于这个国家在国际市场上只有竞争优势，这种竞争优势源十这个国家的主导产业具有竞争优势，而主导产业的竞争优势又源于企业由于具有创新机制而提高了生产效率。波特所指的一个国家的竞争优势也就是企业、行业的竞争优势，具体包括6个方面的因素：生产要素、国内需求、相关支撑产业、企业的战略结构和竞争、政府的作用、机会（包括重要发明、技术突破、生产要素与供求状况的重大变动以及其他突发事件等）。</w:t>
      </w:r>
    </w:p>
    <w:p w14:paraId="07624CDC">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我国学者20世纪90年代初引进介绍波特的国家竞争优势理论，至90年代中后期兴起了研究竞争优势的高潮。一些学者将比较优势与竞争优势理论并列，认为比较优势已经过时，应当强调竞争优势，而越来越多的学者认识到不能割裂二者的联系，应当寻求从比较优势到竞争优势的途径，但归根结底还是推崇竞争优势。而竞争优势理论的缺陷却很少提及或一笔带过。事实上，波特理论也有其局限性和对中国的不适应性。</w:t>
      </w:r>
    </w:p>
    <w:p w14:paraId="1AC6872A">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1、</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竞争优势的许多结论不适合解释发展中国家的情况，钻石模型主要是根据发达国家尤其是美、日的成长过程所总结出来的，波特认为市场需求越苛刻、越高级，产业的竞争力就越高，但在大多数发展中国家，目前许多产业的发展还处于起步或成长阶段，并没有能力来满足苛刻、高级的市场需求。如果发展中国家将苛刻的、高级的市场需求用法律的形势确定下来（如通过严格的环境保护法律或产品质量法律），则在国际竞争中，发展中国家的相关产业的企业将难以和发达国家的企业竞争，并最终使其丧失国际竞争力。</w:t>
      </w:r>
    </w:p>
    <w:p w14:paraId="10D48000">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2、</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竞争优势理论的隐含前提假设在于：资本是充裕的，企业可以轻易获得先进的技术和管理经验。这与现实条件并不完全符合。国际范围内的资本流动仍然受到诸多限制，一些穷国自身的积累能力也有限；尤其对一些发展中国家来说，技术与落后及管理经验不足情况更严重。因此，在扶持自己的幼稚产业时，一定程度的垄断和贸易保护是必需的，自由竞争只会造成打击民族工业的后果。在对日本的经验进行分析时，大多数经济学家都把日本通产省实行的产业扶持政策作为日本经济成功的一个重要原因，而竞争优势理论对这点的忽视显然构成了它的一个根本缺陷。</w:t>
      </w:r>
    </w:p>
    <w:p w14:paraId="23C8BEC6">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3、</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钻石体系包括的特质有好几项，而简化的答案往往会把问题内部一些最重要的部分掩盖掉。这反映了战后影响国际竞争和国家经济发展因素的复杂性，一国经济发展是受多个方面影响，甚至不同的国家影响因素也不相同。但是考虑的因素过多又使其步入另一个极端：如果把所有凡是有影响的因素都考虑进去，却往往也会掩盖了真正的关键因子。科学研究就是要从复杂的现象中抽象出其中的规律或决定性因素，而不能凡是影响的因子都一一列出。</w:t>
      </w:r>
    </w:p>
    <w:p w14:paraId="61B2EEB1">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4、波特的分析没有考虑跨国公司的作用，而明显的例证表明，跨国公司在国际贸易和国际分工中的作用不可忽视。同时也使得产业竞争优势有时不完全取决于国内因素。</w:t>
      </w:r>
    </w:p>
    <w:p w14:paraId="5AB34395">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5、波特的模型的逻辑是国家的竞争力取决于企业和产业的竞争力，因而他的分析从企业的竞争战略出发。但是他又几乎完全将企业竞争优势归因于企业外部的市场力量，并假设这一力量与企业进行市场定位，构筑进入和退出市场壁垒的能力相一致。企业所处的外部环境的确很重要，但过分强调国内市场、相关产业、同业竞争、机会和政府等外部因素而忽视企业自身的因素也是难以有说服力的。</w:t>
      </w:r>
    </w:p>
    <w:p w14:paraId="236733AD">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尤其是对于我国，竞争优势所含因素太多，而我国一时是很难具备全部要素的，如果不有重点地制定战略，发展的质量将会受到影响。波特自己也承认，国家的竞争优势倒也不需要齐备所有的关键要素，国家缺少两个关键要素也不会妨碍它寻求竞争优势，但.他没能指出到底如何从仅拥有一两种要素（如自然资源）发展到拥有互动的整体竞争优势。而我们知道，要想持续发展，拥有持久的竞争力，必须拥有垄断性的资源，而自然资源如上分析是可以替代和跨国流动的，因而难以是垄断性的。只有无形的资源一一知识，才是国家最大的的财富。拥有自主知识产权优势，是一个企业和国家能取得垄断利润的关键。</w:t>
      </w:r>
    </w:p>
    <w:p w14:paraId="45882279">
      <w:pPr>
        <w:spacing w:line="400" w:lineRule="exact"/>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三、构建知识产权优势理论与战略</w:t>
      </w:r>
    </w:p>
    <w:p w14:paraId="4EFF3B53">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比较优势理论的缺陷使得我们认识到，不仅不能指望单纯发展比较优势产业来推动国家经济的选择性赶超和高效益发展，而且满足于比较优势还可能造成贸易条件恶化，陷入比较优势陷阱；竞争优势综合因素太多，而且并不十分适合发展中国家的现实要求；进入新世纪，知识、名牌和核心技术越来越发挥着重大作用，对于企业参与世界竞争、提升综合国力、维护国家安全都有重要意义，因而重视和培育知识产权优势是提高后发国家核心竞争力的必然和迫切要求。有些论著认为，现在知识和技术已没有国界，落后国家可以模仿或买进先进技术。但是，对于企业乃至国家而言，最先进的技术和名牌往往是买不来的。没有自主独立的科技创新体系和名牌开发体系，就只能受制于人。</w:t>
      </w:r>
    </w:p>
    <w:p w14:paraId="788F112F">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当前，针对比较优势和竞争优势的理论和实践缺陷，我国应大力培育和发展“第三种优势”，即“知识产权优势”。所谓知识产权优势，是指通过逐步拥有以自主核心技术和自主名牌为主要内容的自主知识产权的经济优势，是相对于比较优势、竞争优势而言的第三种优势。</w:t>
      </w:r>
    </w:p>
    <w:p w14:paraId="79DC0D78">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知识产权优势不是同比较优势和竞争优势完全对立的，而是与它们既有区别又有联系的。知识产权优势不能脱离比较优势和竞争优势基础，是在既定的比较优势和竞争优势基础上的更核心层次的国家优势。它避免了笼统的竞争优势的理论缺陷，而突出了以核心技术和名牌为核心的经济优势或竞争优势。它不仅应体现在我国的高新技术产业部门及具有战略意义的产业部门，这些必须逐步掌握自主研究、自主开发、具有自主知识产权的核心技术和名牌，建立以自主知识产权为基础的技术标准体系，而且还应体现在我国传统的民族产业或低端产品部门，包括劳动密集型产业部门，也必须塑造在国际上具有一定影响力的民族名牌，拥有自主知识产权的中低级关键技术。</w:t>
      </w:r>
    </w:p>
    <w:p w14:paraId="35F3A669">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比较优势是由一国资源禀赋和交易条件所决定的静态优势，是获取竞争优势的条件；竞争优势是一种将潜在优势转化为现实优势的综合能力的作用结果；比较优势作为一种潜在优势，只有最终转化为竞争优势，才能形成真正的出口竞争力。现在要实现我国出口产品的结构升级，就必须以国际经济综合竞争为导向，将现有的比较优势转化为竞争优势，而其中的关键就在于创造和培育我国的知识产权优势。</w:t>
      </w:r>
    </w:p>
    <w:p w14:paraId="2B2985E1">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只有具有自主知识产权的优势，企业和产业的竞争优势才有可能形成并长期保持。或者说，知识产权优势是持久高端竞争优势的必要性条件。波特在钻石体系的第一项中特别强调高级人力资本和研发的重要性。具有较高物资资本水平国家的企业，必须雇佣具有高人力资本的人才，强调研发和新产品开发的重要性，这是这些企业利用本国的比较优势，在国际市场上取得竞争优势的必然要求和表现。</w:t>
      </w:r>
    </w:p>
    <w:p w14:paraId="6C96B1B5">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另外，相对于比较优势和竞争优势，知识产权优势更恰当地反映了时代特点和经济发展的要求。比较优势、竞争优势往往都是用进出口值或净出口值来衡量，但进出口值不一定能代表真正的国际竞争力，也不一定代表这一产业在国内的产业结构和产业升级中的地位及对GDP的贡献，因为它受到很多因素的影响，如国家的对外政策、经济波动等。同样，对GDP做出重大贡献的也不一定是出口量大的，国内需求也是不容忽视的重要方面。所以，比较优势、竞争优势的一些数据可能并没反映问题的实质。而新时期的知识产权的作用是具有决定性的，合适的技术发展路径才能缩短与发达国家差距，促进经济有选择性的赶超或跨越。</w:t>
      </w:r>
    </w:p>
    <w:p w14:paraId="04B1E32D">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知识产权优势的培育，是一个综合而需要长期努力的过程。我国与发达国家相比，知识产权方面存在很大的优劣势差距，这就要求我们要认清趋势，加快发展，制定持久而全面的选择性赶超战略。这里要强调的是，知识产权优势并不等于高新技术，而是应针对不同的时期、不同行业和不同的研究机构，有不同的含义和重点。就短期战略而言，制造业要注意“干中学”，发展实用技术，企业为技术创新的主体，国家提高技术标准；就中期战略而言，要认清世界产业发展的趋势，促进生化、电子、信息等技术的研发，多体系科研机构为主体，国家促进合作协调和加强知识产权保护；就长期战略而言，要加强基础研究，以国家和高校的研究机构为主体，加大资本和人力投资，提高国民素质，创立和发展国家科技创新体系。另外，各地各部门都要注重打造名牌，保护原有民族名牌，鼓励新名牌在国内外的拓展。</w:t>
      </w:r>
    </w:p>
    <w:p w14:paraId="5A8C74FE">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在我们海派经济学家看来，面对这个既充满机遇又充满挑战的新时代，我国要最大限度地获取贸易发展的动态利益，更好地通过对外贸易促进产业结构的良性调整，必须拥有自主知识产权的核心技术和打造自主知识产权的国际品牌，就必须以知识产权优势理论作为应对经济全球化和发展对外贸易的战略思想，并在结合比较优势与竞争优势的基础上，大力发展控股、控技（尤其是核心技术）和控牌（尤其是名牌）的“三控型”民族企业集团，突出培育和发挥知识产权优势，早日真正打造出中国的世界工厂而非世界加工厂，从而尽快完成从贸易大国向贸易强国和经济大国向经济强国的转型。那种只强调保护国内外知识产权，不强调创造自主知识产权的做法；那种主要寄希望于依赖式不断引进外资、外技和外牌的策略；那种看不到跨国公司在华研发机构的正负双面效应而一味欢迎强国推行“殖民地科技”的开放式爬行主义思维，都是不高明的科技发展“线路图”和开放理念。</w:t>
      </w:r>
    </w:p>
    <w:p w14:paraId="0C7B1DE4">
      <w:pPr>
        <w:spacing w:line="400" w:lineRule="exact"/>
        <w:jc w:val="left"/>
        <w:rPr>
          <w:rFonts w:ascii="宋体" w:hAnsi="宋体" w:eastAsia="宋体" w:cs="宋体"/>
          <w:szCs w:val="21"/>
        </w:rPr>
      </w:pPr>
      <w:r>
        <w:rPr>
          <w:rFonts w:hint="eastAsia" w:ascii="宋体" w:hAnsi="宋体" w:eastAsia="宋体" w:cs="宋体"/>
          <w:color w:val="000000"/>
          <w:kern w:val="0"/>
          <w:szCs w:val="21"/>
          <w:lang w:bidi="ar"/>
        </w:rPr>
        <w:t>参考文献：</w:t>
      </w:r>
    </w:p>
    <w:p w14:paraId="5B0844D8">
      <w:pPr>
        <w:spacing w:line="400" w:lineRule="exact"/>
        <w:jc w:val="left"/>
        <w:rPr>
          <w:rFonts w:ascii="宋体" w:hAnsi="宋体" w:eastAsia="宋体" w:cs="宋体"/>
          <w:szCs w:val="21"/>
        </w:rPr>
      </w:pPr>
      <w:r>
        <w:rPr>
          <w:rFonts w:hint="eastAsia" w:ascii="宋体" w:hAnsi="宋体" w:eastAsia="宋体" w:cs="宋体"/>
          <w:color w:val="000000"/>
          <w:kern w:val="0"/>
          <w:szCs w:val="21"/>
          <w:lang w:bidi="ar"/>
        </w:rPr>
        <w:t>1、廖国民.：“入世后中国的贸易战略：比较优势还是选择性赶超？”《上海经济研究》，2003年（5）</w:t>
      </w:r>
    </w:p>
    <w:p w14:paraId="11BEDE8A">
      <w:pPr>
        <w:spacing w:line="400" w:lineRule="exact"/>
        <w:jc w:val="left"/>
        <w:rPr>
          <w:rFonts w:ascii="宋体" w:hAnsi="宋体" w:eastAsia="宋体" w:cs="宋体"/>
          <w:szCs w:val="21"/>
        </w:rPr>
      </w:pPr>
      <w:r>
        <w:rPr>
          <w:rFonts w:hint="eastAsia" w:ascii="宋体" w:hAnsi="宋体" w:eastAsia="宋体" w:cs="宋体"/>
          <w:color w:val="000000"/>
          <w:kern w:val="0"/>
          <w:szCs w:val="21"/>
          <w:lang w:bidi="ar"/>
        </w:rPr>
        <w:t>2、</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尹翔硕、许建斌：“论落后国家的贸易条件、比较优势与技术进步”，世界经济文汇，2002年（6）。</w:t>
      </w:r>
    </w:p>
    <w:p w14:paraId="0CC2FCBA">
      <w:pPr>
        <w:spacing w:line="400" w:lineRule="exact"/>
        <w:jc w:val="left"/>
        <w:rPr>
          <w:rFonts w:ascii="宋体" w:hAnsi="宋体" w:eastAsia="宋体" w:cs="宋体"/>
          <w:szCs w:val="21"/>
        </w:rPr>
      </w:pPr>
      <w:r>
        <w:rPr>
          <w:rFonts w:hint="eastAsia" w:ascii="宋体" w:hAnsi="宋体" w:eastAsia="宋体" w:cs="宋体"/>
          <w:color w:val="000000"/>
          <w:kern w:val="0"/>
          <w:szCs w:val="21"/>
          <w:lang w:bidi="ar"/>
        </w:rPr>
        <w:t>3、</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本文作者搜集到的最早介绍波特模型的是《经济社会体制比较》1991年第五期上的一篇介绍性文章《波特理论模式：发挥国家竞争优势》。-</w:t>
      </w:r>
    </w:p>
    <w:p w14:paraId="405C8652">
      <w:pPr>
        <w:spacing w:line="400" w:lineRule="exact"/>
        <w:jc w:val="left"/>
        <w:rPr>
          <w:rFonts w:ascii="宋体" w:hAnsi="宋体" w:eastAsia="宋体" w:cs="宋体"/>
          <w:szCs w:val="21"/>
        </w:rPr>
      </w:pPr>
      <w:r>
        <w:rPr>
          <w:rFonts w:hint="eastAsia" w:ascii="宋体" w:hAnsi="宋体" w:eastAsia="宋体" w:cs="宋体"/>
          <w:color w:val="000000"/>
          <w:kern w:val="0"/>
          <w:szCs w:val="21"/>
          <w:lang w:bidi="ar"/>
        </w:rPr>
        <w:t>4、</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参见陶然、周巨泰：“从比较优势到竞争优势——国际经济理论的新视角”，《国际贸易冋题》1996年（3）；洪银兴“从比较优势到竞争优势：兼论国际贸易的比较优势理论的缺陷”，《经济研究》1997年（6）；鲍晓华“从比较优势到竞争优势”，《财贸经济》，2001年（4）。</w:t>
      </w:r>
    </w:p>
    <w:p w14:paraId="17740F33">
      <w:pPr>
        <w:spacing w:line="400" w:lineRule="exact"/>
        <w:jc w:val="left"/>
        <w:rPr>
          <w:rFonts w:ascii="宋体" w:hAnsi="宋体" w:eastAsia="宋体" w:cs="宋体"/>
          <w:szCs w:val="21"/>
        </w:rPr>
      </w:pPr>
      <w:r>
        <w:rPr>
          <w:rFonts w:hint="eastAsia" w:ascii="宋体" w:hAnsi="宋体" w:eastAsia="宋体" w:cs="宋体"/>
          <w:color w:val="000000"/>
          <w:kern w:val="0"/>
          <w:szCs w:val="21"/>
          <w:lang w:bidi="ar"/>
        </w:rPr>
        <w:t>5、</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程恩富：“构建知识产杈优势理论与战略”，《当代经济研究》，2003年（9）。</w:t>
      </w:r>
    </w:p>
    <w:p w14:paraId="688E741C">
      <w:pPr>
        <w:spacing w:line="400" w:lineRule="exact"/>
        <w:jc w:val="left"/>
        <w:rPr>
          <w:rFonts w:ascii="宋体" w:hAnsi="宋体" w:eastAsia="宋体" w:cs="宋体"/>
          <w:szCs w:val="21"/>
        </w:rPr>
      </w:pPr>
      <w:r>
        <w:rPr>
          <w:rFonts w:hint="eastAsia" w:ascii="宋体" w:hAnsi="宋体" w:eastAsia="宋体" w:cs="宋体"/>
          <w:szCs w:val="21"/>
        </w:rPr>
        <w:t>（原载《经济前沿》，2</w:t>
      </w:r>
      <w:r>
        <w:rPr>
          <w:rFonts w:ascii="宋体" w:hAnsi="宋体" w:eastAsia="宋体" w:cs="宋体"/>
          <w:szCs w:val="21"/>
        </w:rPr>
        <w:t>005</w:t>
      </w:r>
      <w:r>
        <w:rPr>
          <w:rFonts w:hint="eastAsia" w:ascii="宋体" w:hAnsi="宋体" w:eastAsia="宋体" w:cs="宋体"/>
          <w:szCs w:val="21"/>
        </w:rPr>
        <w:t>年第1期，第二作者为</w:t>
      </w:r>
      <w:r>
        <w:rPr>
          <w:rFonts w:ascii="宋体" w:hAnsi="宋体" w:eastAsia="宋体"/>
        </w:rPr>
        <w:t>廉淑</w:t>
      </w:r>
      <w:r>
        <w:rPr>
          <w:rFonts w:hint="eastAsia" w:ascii="宋体" w:hAnsi="宋体" w:eastAsia="宋体" w:cs="宋体"/>
          <w:szCs w:val="21"/>
        </w:rPr>
        <w:t>）</w:t>
      </w:r>
      <w:r>
        <w:rPr>
          <w:rFonts w:ascii="宋体" w:hAnsi="宋体" w:eastAsia="宋体" w:cs="宋体"/>
          <w:szCs w:val="21"/>
        </w:rPr>
        <w:br w:type="page"/>
      </w:r>
    </w:p>
    <w:p w14:paraId="1D8CB9D9">
      <w:pPr>
        <w:spacing w:line="400" w:lineRule="exact"/>
        <w:jc w:val="left"/>
        <w:rPr>
          <w:rFonts w:ascii="宋体" w:hAnsi="宋体" w:eastAsia="宋体" w:cs="宋体"/>
          <w:szCs w:val="21"/>
        </w:rPr>
      </w:pPr>
    </w:p>
    <w:p w14:paraId="399E0473">
      <w:pPr>
        <w:pStyle w:val="3"/>
        <w:widowControl/>
        <w:spacing w:before="0" w:after="0" w:line="360" w:lineRule="auto"/>
        <w:jc w:val="center"/>
        <w:rPr>
          <w:rFonts w:hint="default" w:ascii="黑体" w:hAnsi="黑体" w:eastAsia="黑体"/>
          <w:b w:val="0"/>
          <w:bCs w:val="0"/>
        </w:rPr>
      </w:pPr>
      <w:bookmarkStart w:id="463" w:name="_Toc29071"/>
      <w:bookmarkStart w:id="464" w:name="_Toc111148940"/>
      <w:bookmarkStart w:id="465" w:name="_Toc457871821"/>
      <w:bookmarkStart w:id="466" w:name="_Toc800201607"/>
      <w:r>
        <w:rPr>
          <w:rFonts w:ascii="黑体" w:hAnsi="黑体" w:eastAsia="黑体"/>
          <w:b w:val="0"/>
          <w:bCs w:val="0"/>
        </w:rPr>
        <w:t>2日本马克思主义经济学研究的特点与近况</w:t>
      </w:r>
      <w:bookmarkEnd w:id="463"/>
      <w:bookmarkEnd w:id="464"/>
      <w:bookmarkEnd w:id="465"/>
      <w:bookmarkEnd w:id="466"/>
    </w:p>
    <w:p w14:paraId="5924139A">
      <w:pPr>
        <w:pStyle w:val="27"/>
        <w:widowControl/>
        <w:spacing w:line="400" w:lineRule="exact"/>
        <w:ind w:left="0" w:firstLine="420"/>
        <w:jc w:val="both"/>
        <w:rPr>
          <w:rFonts w:hint="default"/>
          <w:sz w:val="21"/>
          <w:szCs w:val="21"/>
          <w:lang w:eastAsia="zh-TW"/>
        </w:rPr>
      </w:pPr>
      <w:r>
        <w:rPr>
          <w:sz w:val="21"/>
          <w:szCs w:val="21"/>
          <w:lang w:eastAsia="zh-TW"/>
        </w:rPr>
        <w:t>在日本，马克思主义经济学的传播和研究起源于19世纪末，并在20世纪上半期对留学日本的中国学生和学术界产生了重大影响，而90年代以来面临苏东社会主义国家瓦解的新形势，日本学术界的马克思主义经济理论探讨又掀起了热潮。</w:t>
      </w:r>
    </w:p>
    <w:p w14:paraId="6D1D8F1B">
      <w:pPr>
        <w:pStyle w:val="27"/>
        <w:widowControl/>
        <w:spacing w:line="400" w:lineRule="exact"/>
        <w:ind w:left="0" w:firstLine="420"/>
        <w:jc w:val="both"/>
        <w:rPr>
          <w:rFonts w:hint="default" w:eastAsia="PMingLiU"/>
          <w:sz w:val="21"/>
          <w:szCs w:val="21"/>
          <w:lang w:eastAsia="zh-TW"/>
        </w:rPr>
      </w:pPr>
      <w:r>
        <w:rPr>
          <w:sz w:val="21"/>
          <w:szCs w:val="21"/>
          <w:lang w:eastAsia="zh-TW"/>
        </w:rPr>
        <w:t>目前，日本广义的马克思主义经济学流派，有重视黑格尔逻辑学的见田派、数理马克思主义的置盐派、新的新古典派马克思主义、伊藤诚领衔的宇野派、市民社会派和八木的调节学派等。</w:t>
      </w:r>
    </w:p>
    <w:p w14:paraId="401DAC21">
      <w:pPr>
        <w:pStyle w:val="27"/>
        <w:widowControl/>
        <w:spacing w:line="400" w:lineRule="exact"/>
        <w:ind w:left="0" w:firstLine="420"/>
        <w:jc w:val="both"/>
        <w:rPr>
          <w:rFonts w:hint="default"/>
          <w:sz w:val="21"/>
          <w:szCs w:val="21"/>
          <w:lang w:eastAsia="zh-TW"/>
        </w:rPr>
      </w:pPr>
      <w:r>
        <w:rPr>
          <w:sz w:val="21"/>
          <w:szCs w:val="21"/>
          <w:lang w:eastAsia="zh-TW"/>
        </w:rPr>
        <w:t>政治经济学或社会经济学不是把研究对象只限定为市场经济，而是把生产、分配、消费这些超历史的经济哲学范畴作为基础，现存的非市场领城是政治经济学或社会经济学的重要的分析对象。</w:t>
      </w:r>
    </w:p>
    <w:p w14:paraId="21F86435">
      <w:pPr>
        <w:pStyle w:val="27"/>
        <w:widowControl/>
        <w:spacing w:line="400" w:lineRule="exact"/>
        <w:ind w:left="0" w:firstLine="440"/>
        <w:jc w:val="both"/>
        <w:rPr>
          <w:rFonts w:hint="default"/>
          <w:sz w:val="21"/>
          <w:szCs w:val="21"/>
          <w:lang w:eastAsia="zh-TW"/>
        </w:rPr>
      </w:pPr>
      <w:r>
        <w:rPr>
          <w:sz w:val="21"/>
          <w:szCs w:val="21"/>
          <w:lang w:eastAsia="zh-TW"/>
        </w:rPr>
        <w:t>[关键词]现代政治经济学；日本经济理论；马克思主义经济学；当代资本主义经济</w:t>
      </w:r>
    </w:p>
    <w:p w14:paraId="0F58B566">
      <w:pPr>
        <w:spacing w:line="360" w:lineRule="auto"/>
        <w:jc w:val="center"/>
        <w:rPr>
          <w:rFonts w:ascii="宋体" w:hAnsi="宋体" w:eastAsia="宋体" w:cs="宋体"/>
          <w:b/>
          <w:bCs/>
          <w:color w:val="000000"/>
          <w:kern w:val="0"/>
          <w:sz w:val="24"/>
          <w:lang w:bidi="ar"/>
        </w:rPr>
      </w:pPr>
      <w:r>
        <w:rPr>
          <w:rFonts w:ascii="宋体" w:hAnsi="宋体" w:eastAsia="宋体" w:cs="宋体"/>
          <w:b/>
          <w:bCs/>
          <w:color w:val="000000"/>
          <w:kern w:val="0"/>
          <w:sz w:val="24"/>
          <w:lang w:bidi="ar"/>
        </w:rPr>
        <w:t>一、马克思主义经济理论研究的特点与态势</w:t>
      </w:r>
    </w:p>
    <w:p w14:paraId="508F1BE9">
      <w:pPr>
        <w:pStyle w:val="27"/>
        <w:widowControl/>
        <w:spacing w:line="400" w:lineRule="exact"/>
        <w:ind w:left="0" w:firstLine="440"/>
        <w:jc w:val="both"/>
        <w:rPr>
          <w:rFonts w:hint="default"/>
          <w:sz w:val="21"/>
          <w:szCs w:val="21"/>
          <w:lang w:eastAsia="zh-TW"/>
        </w:rPr>
      </w:pPr>
      <w:r>
        <w:rPr>
          <w:sz w:val="21"/>
          <w:szCs w:val="21"/>
          <w:lang w:eastAsia="zh-TW"/>
        </w:rPr>
        <w:t>在西方资本主义国家，日本的马克思主义经济学研究力量是最强的，学术的研究成果也最显著。在日本，马克思主义经济学的传播和研究起源于19世纪末，并在20世纪上半期对留学日本的中国学生和学术界产生了重大影响，而90年代以来面临苏东社会主义国家瓦解的新形势，日本学术界的马克思主义经济理论探讨又掀起了新热潮。50多年前，日本的马克思主义经济学家成立了</w:t>
      </w:r>
      <w:r>
        <w:rPr>
          <w:sz w:val="21"/>
          <w:szCs w:val="21"/>
          <w:lang w:val="zh-CN" w:bidi="zh-CN"/>
        </w:rPr>
        <w:t>“日本</w:t>
      </w:r>
      <w:r>
        <w:rPr>
          <w:sz w:val="21"/>
          <w:szCs w:val="21"/>
          <w:lang w:eastAsia="zh-TW"/>
        </w:rPr>
        <w:t>经济理论学会</w:t>
      </w:r>
      <w:r>
        <w:rPr>
          <w:sz w:val="21"/>
          <w:szCs w:val="21"/>
          <w:lang w:val="zh-CN" w:bidi="zh-CN"/>
        </w:rPr>
        <w:t>”，它</w:t>
      </w:r>
      <w:r>
        <w:rPr>
          <w:sz w:val="21"/>
          <w:szCs w:val="21"/>
          <w:lang w:eastAsia="zh-TW"/>
        </w:rPr>
        <w:t>是日本惟一的拥有800多名学者的马克思主义经济学学术研究组织。截至2004年，已召开过52届学术大会，笔者也曾出席过，深深地感受到了其浓厚的学术气息。其研究特点和态势表现为：</w:t>
      </w:r>
    </w:p>
    <w:p w14:paraId="3BAB453E">
      <w:pPr>
        <w:pStyle w:val="21"/>
        <w:widowControl/>
        <w:spacing w:line="400" w:lineRule="exact"/>
        <w:ind w:firstLine="460"/>
        <w:jc w:val="both"/>
        <w:rPr>
          <w:rFonts w:hint="default"/>
          <w:sz w:val="21"/>
          <w:szCs w:val="21"/>
          <w:lang w:eastAsia="zh-TW"/>
        </w:rPr>
      </w:pPr>
      <w:r>
        <w:rPr>
          <w:sz w:val="21"/>
          <w:szCs w:val="21"/>
          <w:lang w:eastAsia="zh-TW"/>
        </w:rPr>
        <w:t>（一）传承与创新相结合。在日本，一方面继续研究和刊行《资本论》创作史、经典文献阐释和马克思经济学入门的论著；另一方面，国立东京大学和横滨大学、私立武蔵大学等众多髙校仍继续开设马克思经济学课程（称为经济学I，或经济原论，或社会经济学，而把西方微观和宏观经济学称为经济学II，或近代经济学），以及用马克思经济学进行分析的世界经济课程（称为现代经济体系课程等），并将其作为经济学科研究生入学考试的必修课。日本不仅马克思经济学的现代传播和学术传承搞得出色，而且更富有理论创新精神。会长大谷祯之介等教授认为，马克思和新古典经济学都是把市场经济作为研究对象的，但今日多元的诸多现象，有必要扩大研究范围，因而新构建的社会经济学（现代政治经济学）是以马克思经济学为主体或中心的，而现存的非市场领域也须列为重要的分析对象，进而应吸收生态学之类的成果；研究经济体系同自然环境、法律、文化、社会规范的相互影响；即使研究现代危机，也要从总体上把握现代社会的四大危机，即贫困、不平等与经济不稳定，战争与纷争，环境与资源，以及管理社会与人们关系疏远等问题。学术繁荣的重要标志是形成学派，而继承和独创融合的结果必然促进学派的不断产生和流变。目前，日本广义的马克思主义经济学流派，有重视黑格尔逻辑学的见田派、数理马克思主义的置盐派、新的新古典派马克思主义、伊藤诚领衔的宇野派、市民社会派和八木的</w:t>
      </w:r>
      <w:r>
        <w:rPr>
          <w:rStyle w:val="28"/>
          <w:sz w:val="21"/>
          <w:szCs w:val="21"/>
        </w:rPr>
        <w:t>调节学派等。</w:t>
      </w:r>
    </w:p>
    <w:p w14:paraId="5FE71AE8">
      <w:pPr>
        <w:pStyle w:val="21"/>
        <w:widowControl/>
        <w:tabs>
          <w:tab w:val="left" w:pos="937"/>
        </w:tabs>
        <w:spacing w:line="400" w:lineRule="exact"/>
        <w:ind w:firstLine="480"/>
        <w:jc w:val="both"/>
        <w:rPr>
          <w:rFonts w:hint="default"/>
          <w:sz w:val="21"/>
          <w:szCs w:val="21"/>
          <w:lang w:eastAsia="zh-TW"/>
        </w:rPr>
      </w:pPr>
      <w:r>
        <w:rPr>
          <w:sz w:val="21"/>
          <w:szCs w:val="21"/>
          <w:lang w:eastAsia="zh-TW"/>
        </w:rPr>
        <w:t>（二）</w:t>
      </w:r>
      <w:r>
        <w:rPr>
          <w:sz w:val="21"/>
          <w:szCs w:val="21"/>
          <w:lang w:eastAsia="zh-TW"/>
        </w:rPr>
        <w:tab/>
      </w:r>
      <w:r>
        <w:rPr>
          <w:sz w:val="21"/>
          <w:szCs w:val="21"/>
          <w:lang w:eastAsia="zh-TW"/>
        </w:rPr>
        <w:t>借鉴与批评相结合。与我国相比，马克思主义经济学的数学化属于日本学术前沿的重要主题之一，而借鉴数学工具和现代西方经济学的分析技术，凸现为一个鲜明的特色。比如，在贸易和资本转移的克鲁格曼模型与列宁模型及其一般化的研究中，京都大学统计学教授大西广就国际间不均衡经济发展问题，对克鲁格曼的扩散理论与列宁的收敛理论进行了比较，分析了利润率从</w:t>
      </w:r>
      <w:r>
        <w:rPr>
          <w:sz w:val="21"/>
          <w:szCs w:val="21"/>
          <w:lang w:val="zh-CN" w:bidi="zh-CN"/>
        </w:rPr>
        <w:t>“克</w:t>
      </w:r>
      <w:r>
        <w:rPr>
          <w:sz w:val="21"/>
          <w:szCs w:val="21"/>
          <w:lang w:eastAsia="zh-TW"/>
        </w:rPr>
        <w:t>鲁格曼状况”向“列宁状况</w:t>
      </w:r>
      <w:r>
        <w:rPr>
          <w:sz w:val="21"/>
          <w:szCs w:val="21"/>
          <w:lang w:val="zh-CN" w:bidi="zh-CN"/>
        </w:rPr>
        <w:t>”的历</w:t>
      </w:r>
      <w:r>
        <w:rPr>
          <w:sz w:val="21"/>
          <w:szCs w:val="21"/>
          <w:lang w:eastAsia="zh-TW"/>
        </w:rPr>
        <w:t>史转换。对西方经济学的科学批评，仍然是当代日本马克思主义经济学家的学术责任和思想进化的表现。石原洋介指岀，全球经济一体化和资本流动的国际化和短期化并非像新自由主义所说的它是有效资本的分配和对发展中国家经济成长的保证，事实是掠夺了发展中国家经济增长的部分果实；况且，当今全球经济一体化都是保证投资资本及其所有者的富裕阶层的利益为优先；为了纠正这样的不正确性质，至少要以马来西亚的资本限制规定为成功案例，对短期资本流动作出必要的限制。东京大学伊藤诚教授认为，中国社会主义公有制占主体类型的市场经济发展成就，是对西方新自由主义和新古典主义思潮的驳斥，而进一步巩固和完善社会主义市场经济体制的关键，在于消除西方主流经济意识形态和政策的影响。</w:t>
      </w:r>
    </w:p>
    <w:p w14:paraId="40E71EA3">
      <w:pPr>
        <w:pStyle w:val="21"/>
        <w:widowControl/>
        <w:tabs>
          <w:tab w:val="left" w:pos="937"/>
        </w:tabs>
        <w:spacing w:line="400" w:lineRule="exact"/>
        <w:ind w:firstLine="480"/>
        <w:jc w:val="both"/>
        <w:rPr>
          <w:rFonts w:hint="default"/>
          <w:sz w:val="21"/>
          <w:szCs w:val="21"/>
          <w:lang w:eastAsia="zh-TW"/>
        </w:rPr>
      </w:pPr>
      <w:r>
        <w:rPr>
          <w:sz w:val="21"/>
          <w:szCs w:val="21"/>
          <w:lang w:eastAsia="zh-TW"/>
        </w:rPr>
        <w:t>（三）</w:t>
      </w:r>
      <w:r>
        <w:rPr>
          <w:sz w:val="21"/>
          <w:szCs w:val="21"/>
          <w:lang w:eastAsia="zh-TW"/>
        </w:rPr>
        <w:tab/>
      </w:r>
      <w:r>
        <w:rPr>
          <w:sz w:val="21"/>
          <w:szCs w:val="21"/>
          <w:lang w:eastAsia="zh-TW"/>
        </w:rPr>
        <w:t>规范与实证相结合。在立命馆大学松井哓等教授看来，规范理论是实证理论的相反概念，不过，自由主义主导的规范研究是有缺陷的，因为去掉平等原理是不能构成关于社会的规范原理的。他们指岀，罗尔斯的正义论中虽有关于制度方面的论述，但关于资本主义体制中榨取和阶级的存在这样的问题却未提及，因而现代马克思主义经济学不能不关心规范理论。面对社会经济的多元化倾向，日本一些马克思主义经济学家试图以规范分析的观点促使马克思主义经济理论的体系化，并努力以自由（含消极的和积极的自由）、平等（含所得和资产的平等）、共同（含合作）这些根本价值的视点为基础评价现代世界社会、福利国家资本主义和现存社会主义以及环境问题，进而形成</w:t>
      </w:r>
      <w:r>
        <w:rPr>
          <w:sz w:val="21"/>
          <w:szCs w:val="21"/>
          <w:lang w:val="zh-CN" w:bidi="zh-CN"/>
        </w:rPr>
        <w:t>“后马</w:t>
      </w:r>
      <w:r>
        <w:rPr>
          <w:sz w:val="21"/>
          <w:szCs w:val="21"/>
          <w:lang w:eastAsia="zh-TW"/>
        </w:rPr>
        <w:t>克思经济学新综合”。在日本，诸如山本二三丸的《人本主义经济学》和对人类经济社会终极关怀之类的规范分析较岀色，然而从总体上观察，实证性的研究更多。例如，探讨能源的商品化和电力资源市场化对社会的影响，以日本群马、栃木县制造业空洞化为例的区域经济发展波动，全球化和国际金融市场的不稳定问题，美国的世界战略与全球化，以中国为例的市场经济和劳动力配置的性别歧视问题等等。日本马克思主义经济学家除了高度重视对本国经济的规范和实证分析以外，还特别关注中国和俄罗斯不同性质的经济体制改革。伊藤诚的《市场经济与社会主义》，大西广的《资本主义前后的社会主义》等，便是其代表作。</w:t>
      </w:r>
    </w:p>
    <w:p w14:paraId="09B0C6A5">
      <w:pPr>
        <w:pStyle w:val="21"/>
        <w:widowControl/>
        <w:tabs>
          <w:tab w:val="left" w:pos="951"/>
        </w:tabs>
        <w:spacing w:line="400" w:lineRule="exact"/>
        <w:ind w:firstLine="480"/>
        <w:jc w:val="both"/>
        <w:rPr>
          <w:rFonts w:hint="default"/>
          <w:sz w:val="21"/>
          <w:szCs w:val="21"/>
          <w:lang w:eastAsia="zh-TW"/>
        </w:rPr>
      </w:pPr>
      <w:r>
        <w:rPr>
          <w:sz w:val="21"/>
          <w:szCs w:val="21"/>
          <w:lang w:eastAsia="zh-TW"/>
        </w:rPr>
        <w:t>（四）</w:t>
      </w:r>
      <w:r>
        <w:rPr>
          <w:sz w:val="21"/>
          <w:szCs w:val="21"/>
          <w:lang w:eastAsia="zh-TW"/>
        </w:rPr>
        <w:tab/>
      </w:r>
      <w:r>
        <w:rPr>
          <w:sz w:val="21"/>
          <w:szCs w:val="21"/>
          <w:lang w:eastAsia="zh-TW"/>
        </w:rPr>
        <w:t>原论与应用相结合。在马克思经济学原理与方法的导引下，广泛研究其他理论经济学和应用经济学的学科，深入探究日本和世界经济的多样化具体实践，这又是一个鲜活的学术局面，比欧美国家大为岀色。举例来说，把马克思经济学渗透到产业经济学，探讨日本的产业空洞化和产业结构不合理等问题；渗透到劳动经济学，探讨南北经济不平衡发展条件下的劳资谈判和雇佣以及日本的劳动力自由流动等问题；渗透到金融学，探讨日本、亚洲和世界金融危机和控制等问题；渗透到财政学，探讨日本财政政策及如何激活处于长期低迷的国民经济等问题；渗透到企业组织学，探讨日欧美国家类型不一的企业形态和不断涌现的新形态等问题；渗透到可持续发展经济学，探讨环境、资源和人口之间的良性循环，以及制度和政策怎样去促进等问题；渗透到世界经济学，探讨全球化中的非均衡发展、贫富分化、新旧国际经济秩序及资本主义的</w:t>
      </w:r>
      <w:r>
        <w:rPr>
          <w:sz w:val="21"/>
          <w:szCs w:val="21"/>
          <w:lang w:val="zh-CN" w:bidi="zh-CN"/>
        </w:rPr>
        <w:t>“原理</w:t>
      </w:r>
      <w:r>
        <w:rPr>
          <w:sz w:val="21"/>
          <w:szCs w:val="21"/>
          <w:lang w:eastAsia="zh-TW"/>
        </w:rPr>
        <w:t>像”与</w:t>
      </w:r>
      <w:r>
        <w:rPr>
          <w:sz w:val="21"/>
          <w:szCs w:val="21"/>
          <w:lang w:val="zh-CN" w:bidi="zh-CN"/>
        </w:rPr>
        <w:t>“变容</w:t>
      </w:r>
      <w:r>
        <w:rPr>
          <w:sz w:val="21"/>
          <w:szCs w:val="21"/>
          <w:lang w:eastAsia="zh-TW"/>
        </w:rPr>
        <w:t>（变样）</w:t>
      </w:r>
      <w:r>
        <w:rPr>
          <w:sz w:val="21"/>
          <w:szCs w:val="21"/>
          <w:lang w:val="zh-CN" w:bidi="zh-CN"/>
        </w:rPr>
        <w:t>”的</w:t>
      </w:r>
      <w:r>
        <w:rPr>
          <w:sz w:val="21"/>
          <w:szCs w:val="21"/>
          <w:lang w:eastAsia="zh-TW"/>
        </w:rPr>
        <w:t>差异等问题。这类应用性的经济学和经济管理学的论著日渐增多。在此基础上，日本马克思主义经济学家通过参与政府和财团的课题研究和决策咨询，教育与管理人才的培养等多种途径，来推行其经济理论和政策主张。这不仅从根本上和长期地对日本和世界经济的发展具有积极的作用，而且标本兼治地推动了本国经济的近期发展。事实上，战后日本经济的快速增长，有效的产业政策，小于美国的贫富差别，较少的军费开支，较大的科教投入，以及独特的劳资关系和企业管理模式，均与马克思主义经济理论和政策的研究、宣传或必要的论战密切相关，日本马克思主义经济学家一直为对本国经济的健康发展作岀了重要贡献而感到自豪。他们把马克思主义经济学的批判性与建设性灵活地统一起来，颇值得我们借鉴。</w:t>
      </w:r>
    </w:p>
    <w:p w14:paraId="6363B53B">
      <w:pPr>
        <w:spacing w:line="360" w:lineRule="auto"/>
        <w:jc w:val="center"/>
        <w:rPr>
          <w:szCs w:val="21"/>
          <w:lang w:eastAsia="zh-TW"/>
        </w:rPr>
      </w:pPr>
      <w:r>
        <w:rPr>
          <w:rFonts w:ascii="宋体" w:hAnsi="宋体" w:eastAsia="宋体" w:cs="宋体"/>
          <w:b/>
          <w:bCs/>
          <w:color w:val="000000"/>
          <w:kern w:val="0"/>
          <w:sz w:val="24"/>
          <w:lang w:bidi="ar"/>
        </w:rPr>
        <w:t>二、三个重要理论新探</w:t>
      </w:r>
    </w:p>
    <w:p w14:paraId="06E35AAE">
      <w:pPr>
        <w:pStyle w:val="21"/>
        <w:widowControl/>
        <w:spacing w:line="400" w:lineRule="exact"/>
        <w:ind w:firstLine="420"/>
        <w:jc w:val="both"/>
        <w:rPr>
          <w:rFonts w:hint="default"/>
          <w:b/>
          <w:bCs/>
          <w:sz w:val="21"/>
          <w:szCs w:val="21"/>
          <w:lang w:eastAsia="zh-TW"/>
        </w:rPr>
      </w:pPr>
      <w:r>
        <w:rPr>
          <w:b/>
          <w:bCs/>
          <w:sz w:val="21"/>
          <w:szCs w:val="21"/>
          <w:lang w:eastAsia="zh-TW"/>
        </w:rPr>
        <w:t>（一）社会经济学和规范理论的探讨</w:t>
      </w:r>
    </w:p>
    <w:p w14:paraId="4774EF41">
      <w:pPr>
        <w:pStyle w:val="21"/>
        <w:widowControl/>
        <w:spacing w:line="400" w:lineRule="exact"/>
        <w:ind w:firstLine="460"/>
        <w:jc w:val="both"/>
        <w:rPr>
          <w:rFonts w:hint="default"/>
          <w:sz w:val="21"/>
          <w:szCs w:val="21"/>
          <w:lang w:eastAsia="zh-TW"/>
        </w:rPr>
      </w:pPr>
      <w:r>
        <w:rPr>
          <w:sz w:val="21"/>
          <w:szCs w:val="21"/>
          <w:lang w:eastAsia="zh-TW"/>
        </w:rPr>
        <w:t>立命馆大学的松井哓教授提出的理论要点如下:社会经济学把马克思经济学作为中心，可是，其方法论、实证分析的对象和规范理论还没有讨论清楚。</w:t>
      </w:r>
    </w:p>
    <w:p w14:paraId="29593A75">
      <w:pPr>
        <w:pStyle w:val="21"/>
        <w:widowControl/>
        <w:tabs>
          <w:tab w:val="left" w:pos="843"/>
        </w:tabs>
        <w:spacing w:line="400" w:lineRule="exact"/>
        <w:ind w:firstLine="460"/>
        <w:jc w:val="both"/>
        <w:rPr>
          <w:rFonts w:hint="default"/>
          <w:sz w:val="21"/>
          <w:szCs w:val="21"/>
          <w:lang w:eastAsia="zh-TW"/>
        </w:rPr>
      </w:pPr>
      <w:r>
        <w:rPr>
          <w:sz w:val="21"/>
          <w:szCs w:val="21"/>
          <w:lang w:eastAsia="zh-TW"/>
        </w:rPr>
        <w:t>（1）</w:t>
      </w:r>
      <w:r>
        <w:rPr>
          <w:sz w:val="21"/>
          <w:szCs w:val="21"/>
          <w:lang w:eastAsia="zh-TW"/>
        </w:rPr>
        <w:tab/>
      </w:r>
      <w:r>
        <w:rPr>
          <w:sz w:val="21"/>
          <w:szCs w:val="21"/>
          <w:lang w:eastAsia="zh-TW"/>
        </w:rPr>
        <w:t>关于方法论。方法论对于社会经济学的主体性来讲，占有相当大的比重。人类经济学和社会经济学，过度倾向于主体合理性、利己性的固定的方法论的一面。可是，能够看得出方法论的个人主义的采用。</w:t>
      </w:r>
    </w:p>
    <w:p w14:paraId="52C72138">
      <w:pPr>
        <w:pStyle w:val="21"/>
        <w:widowControl/>
        <w:tabs>
          <w:tab w:val="left" w:pos="862"/>
        </w:tabs>
        <w:spacing w:line="400" w:lineRule="exact"/>
        <w:ind w:firstLine="460"/>
        <w:jc w:val="both"/>
        <w:rPr>
          <w:rFonts w:hint="default"/>
          <w:sz w:val="21"/>
          <w:szCs w:val="21"/>
          <w:lang w:eastAsia="zh-TW"/>
        </w:rPr>
      </w:pPr>
      <w:r>
        <w:rPr>
          <w:sz w:val="21"/>
          <w:szCs w:val="21"/>
          <w:lang w:eastAsia="zh-TW"/>
        </w:rPr>
        <w:t>（2）</w:t>
      </w:r>
      <w:r>
        <w:rPr>
          <w:sz w:val="21"/>
          <w:szCs w:val="21"/>
          <w:lang w:eastAsia="zh-TW"/>
        </w:rPr>
        <w:tab/>
      </w:r>
      <w:r>
        <w:rPr>
          <w:sz w:val="21"/>
          <w:szCs w:val="21"/>
          <w:lang w:eastAsia="zh-TW"/>
        </w:rPr>
        <w:t>关于实证分析的对象。①新古典经济学的对象:把市场经济作为中心，但并不忽视非市场经济，只是非市场经济被作为市场经济交换的延续来加以理解。②马克思经济学的对象:核心是存在于资本主义中的榨取、阶级和贫困化带来的恐慌（危机）。其根本原因是资本主义的基本矛盾</w:t>
      </w:r>
      <w:r>
        <w:rPr>
          <w:sz w:val="21"/>
          <w:szCs w:val="21"/>
          <w:lang w:val="zh-CN" w:bidi="zh-CN"/>
        </w:rPr>
        <w:t>。战争</w:t>
      </w:r>
      <w:r>
        <w:rPr>
          <w:sz w:val="21"/>
          <w:szCs w:val="21"/>
          <w:lang w:eastAsia="zh-TW"/>
        </w:rPr>
        <w:t>、公害自不必说，它方面的问题都归结到资本主义的矛盾。马克思经济学构建了一个整体的理论体系，但为了接近其今日多元的诸多现象，有必要把研究范围扩大。③社会经济学的研究对象:超出了《资本论》和现代资本主义理论的范围，有总体把握现代危机的必要。现代社会的四大危机:</w:t>
      </w:r>
      <w:r>
        <w:rPr>
          <w:sz w:val="21"/>
          <w:szCs w:val="21"/>
          <w:lang w:bidi="en-US"/>
        </w:rPr>
        <w:t>a</w:t>
      </w:r>
      <w:r>
        <w:rPr>
          <w:rFonts w:eastAsia="PMingLiU"/>
          <w:sz w:val="21"/>
          <w:szCs w:val="21"/>
          <w:lang w:eastAsia="zh-TW"/>
        </w:rPr>
        <w:t>.</w:t>
      </w:r>
      <w:r>
        <w:rPr>
          <w:sz w:val="21"/>
          <w:szCs w:val="21"/>
          <w:lang w:eastAsia="zh-TW"/>
        </w:rPr>
        <w:t>贫困、不平等、经济不稳定；</w:t>
      </w:r>
      <w:r>
        <w:rPr>
          <w:sz w:val="21"/>
          <w:szCs w:val="21"/>
          <w:lang w:bidi="en-US"/>
        </w:rPr>
        <w:t>b.</w:t>
      </w:r>
      <w:r>
        <w:rPr>
          <w:sz w:val="21"/>
          <w:szCs w:val="21"/>
          <w:lang w:eastAsia="zh-TW"/>
        </w:rPr>
        <w:t>战争、纷争；</w:t>
      </w:r>
      <w:r>
        <w:rPr>
          <w:sz w:val="21"/>
          <w:szCs w:val="21"/>
          <w:lang w:bidi="en-US"/>
        </w:rPr>
        <w:t>c.</w:t>
      </w:r>
      <w:r>
        <w:rPr>
          <w:sz w:val="21"/>
          <w:szCs w:val="21"/>
          <w:lang w:eastAsia="zh-TW"/>
        </w:rPr>
        <w:t>环境、资源问题；</w:t>
      </w:r>
      <w:r>
        <w:rPr>
          <w:sz w:val="21"/>
          <w:szCs w:val="21"/>
          <w:lang w:bidi="en-US"/>
        </w:rPr>
        <w:t>d.</w:t>
      </w:r>
      <w:r>
        <w:rPr>
          <w:sz w:val="21"/>
          <w:szCs w:val="21"/>
          <w:lang w:eastAsia="zh-TW"/>
        </w:rPr>
        <w:t>管理社会、人们关系疏远。社会经济学要接触以上诸问题，需具备哪些因素？经济体系对自然环境、法律、政治、文化、社会规范有怎样的影响？还有后者对前者又如何影响等相互关联的问题成为视点。</w:t>
      </w:r>
    </w:p>
    <w:p w14:paraId="096BB393">
      <w:pPr>
        <w:pStyle w:val="21"/>
        <w:widowControl/>
        <w:tabs>
          <w:tab w:val="left" w:pos="843"/>
        </w:tabs>
        <w:spacing w:line="400" w:lineRule="exact"/>
        <w:ind w:firstLine="460"/>
        <w:jc w:val="both"/>
        <w:rPr>
          <w:rFonts w:hint="default"/>
          <w:sz w:val="21"/>
          <w:szCs w:val="21"/>
          <w:lang w:eastAsia="zh-TW"/>
        </w:rPr>
      </w:pPr>
      <w:bookmarkStart w:id="467" w:name="bookmark18"/>
      <w:r>
        <w:rPr>
          <w:sz w:val="21"/>
          <w:szCs w:val="21"/>
          <w:lang w:eastAsia="zh-TW"/>
        </w:rPr>
        <w:t>（</w:t>
      </w:r>
      <w:bookmarkEnd w:id="467"/>
      <w:r>
        <w:rPr>
          <w:sz w:val="21"/>
          <w:szCs w:val="21"/>
          <w:lang w:eastAsia="zh-TW"/>
        </w:rPr>
        <w:t>3）</w:t>
      </w:r>
      <w:r>
        <w:rPr>
          <w:sz w:val="21"/>
          <w:szCs w:val="21"/>
          <w:lang w:eastAsia="zh-TW"/>
        </w:rPr>
        <w:tab/>
      </w:r>
      <w:r>
        <w:rPr>
          <w:sz w:val="21"/>
          <w:szCs w:val="21"/>
          <w:lang w:eastAsia="zh-TW"/>
        </w:rPr>
        <w:t>关于规范理论。有不同的经济学规范:一是自由主义主导的规范。罗尔斯的正义论中虽有关于制度方面的论述，但是，关于资本主义体制中榨取和阶级的存在这样的问题却未提及。一般地超历史的论述规范的诸概念的倾向较强，对于历史的状况和现代社会经济的变化的议论则比较少。</w:t>
      </w:r>
    </w:p>
    <w:p w14:paraId="6511F445">
      <w:pPr>
        <w:pStyle w:val="21"/>
        <w:widowControl/>
        <w:spacing w:line="400" w:lineRule="exact"/>
        <w:ind w:firstLine="460"/>
        <w:jc w:val="both"/>
        <w:rPr>
          <w:rFonts w:hint="default"/>
          <w:sz w:val="21"/>
          <w:szCs w:val="21"/>
          <w:lang w:eastAsia="zh-TW"/>
        </w:rPr>
      </w:pPr>
      <w:r>
        <w:rPr>
          <w:sz w:val="21"/>
          <w:szCs w:val="21"/>
          <w:lang w:eastAsia="zh-TW"/>
        </w:rPr>
        <w:t>二是马克思经济学和规范理论。以资本主义法则的必然性为基础的规范理论和伦理学是相互轻视的。在严加区别科学和意识形态的宇野学派中也是一样。马克思派也不能不关心规范理论。可是，在自由主义范围内开展的规范论的诸标题（如平等论、共同论），为马克思经济学框架内的充分摄取是可能的，并对马克思经济学本身的发展非常重要。</w:t>
      </w:r>
    </w:p>
    <w:p w14:paraId="7AAD633C">
      <w:pPr>
        <w:pStyle w:val="21"/>
        <w:widowControl/>
        <w:spacing w:line="400" w:lineRule="exact"/>
        <w:ind w:firstLine="460"/>
        <w:jc w:val="both"/>
        <w:rPr>
          <w:rFonts w:hint="default"/>
          <w:sz w:val="21"/>
          <w:szCs w:val="21"/>
          <w:lang w:eastAsia="zh-TW"/>
        </w:rPr>
      </w:pPr>
      <w:r>
        <w:rPr>
          <w:sz w:val="21"/>
          <w:szCs w:val="21"/>
          <w:lang w:eastAsia="zh-TW"/>
        </w:rPr>
        <w:t>三是眸经济学和规范理论。①多元问题群和规范的观点:面对社会经济的多元化倾向，规范的观点使其成为体系化具有可能性。例如，把共同体和协会等非市场的经济制度放入视野进行考虑的情况下，讨论效率以外的价值。②作为实证分析的基础:提供了什么是对于现代社会来说本质性的危机，及什么能为判定重大问题提供基准。根植于市场、国家、中介机构这样的制度立场上的社会主义的诸价值观怎样实现的观点受到了重视。③历史的变化的视点：和自由主义乃至新古典派的规范理论不同，在社会经济学范围中，与上述的重大危机和经济社会的倾向变化（例如，信息化、全球化、少子、高龄化等）相关联，作为经济结构和上层建筑的社会规范如何互相影响，现在又怎样进行变化等方面的研究受到重视。④制定社会经济学的体制、制度和运动的规范的基础。为把存在于现代社会的社会经济学的尝试理论化，并用自由、平等、共同的规范观点作为基础，所根据的诸理论分别是:社会民主主义、市场社会主义、自主管理型企业、协会、协同工会、基本所得、新的社会运动和自发的发展论等。</w:t>
      </w:r>
    </w:p>
    <w:p w14:paraId="6BF12151">
      <w:pPr>
        <w:pStyle w:val="21"/>
        <w:widowControl/>
        <w:spacing w:line="400" w:lineRule="exact"/>
        <w:ind w:firstLine="460"/>
        <w:jc w:val="both"/>
        <w:rPr>
          <w:rFonts w:hint="default"/>
          <w:sz w:val="21"/>
          <w:szCs w:val="21"/>
          <w:lang w:eastAsia="zh-TW"/>
        </w:rPr>
      </w:pPr>
      <w:r>
        <w:rPr>
          <w:sz w:val="21"/>
          <w:szCs w:val="21"/>
          <w:lang w:eastAsia="zh-TW"/>
        </w:rPr>
        <w:t>四是社会主义的规范概念。①围绕社会主义的规范理论的课题:在马克思主义中，规范理论道德应该怎样进行定位呢？应当如何看待功利主义、非功利主义呢？共同体主义、生态学，还有历史唯物论和规范论有怎样的关系？社会的正义幻想论与规范论和进化的社会理论有怎样的联系?②为了再构筑社会主义的规范理论:社会主义理念实际上对人类社会来说是自然的理想，作为近代的理念，社会主义的产生是必然的，不过，我们自身必须体系化，社会主义的理念是自由、平等和共同的实质化，而不是对自由的否定。</w:t>
      </w:r>
    </w:p>
    <w:p w14:paraId="54316A97">
      <w:pPr>
        <w:pStyle w:val="21"/>
        <w:widowControl/>
        <w:spacing w:line="400" w:lineRule="exact"/>
        <w:ind w:firstLine="460"/>
        <w:jc w:val="both"/>
        <w:rPr>
          <w:rFonts w:hint="default"/>
          <w:b/>
          <w:bCs/>
          <w:sz w:val="21"/>
          <w:szCs w:val="21"/>
          <w:lang w:eastAsia="zh-TW"/>
        </w:rPr>
      </w:pPr>
      <w:r>
        <w:rPr>
          <w:b/>
          <w:bCs/>
          <w:sz w:val="21"/>
          <w:szCs w:val="21"/>
          <w:lang w:eastAsia="zh-TW"/>
        </w:rPr>
        <w:t>（二）全球化和元理论的探讨</w:t>
      </w:r>
    </w:p>
    <w:p w14:paraId="2F4A751A">
      <w:pPr>
        <w:pStyle w:val="21"/>
        <w:widowControl/>
        <w:spacing w:line="400" w:lineRule="exact"/>
        <w:ind w:firstLine="460"/>
        <w:jc w:val="both"/>
        <w:rPr>
          <w:rFonts w:hint="default"/>
          <w:sz w:val="21"/>
          <w:szCs w:val="21"/>
          <w:lang w:eastAsia="zh-TW"/>
        </w:rPr>
      </w:pPr>
      <w:r>
        <w:rPr>
          <w:sz w:val="21"/>
          <w:szCs w:val="21"/>
          <w:lang w:eastAsia="zh-TW"/>
        </w:rPr>
        <w:t>东京大学教授小幡道昭分析的具体观点如下：</w:t>
      </w:r>
    </w:p>
    <w:p w14:paraId="697F1643">
      <w:pPr>
        <w:pStyle w:val="21"/>
        <w:widowControl/>
        <w:tabs>
          <w:tab w:val="left" w:pos="730"/>
        </w:tabs>
        <w:spacing w:line="400" w:lineRule="exact"/>
        <w:ind w:firstLine="460"/>
        <w:jc w:val="both"/>
        <w:rPr>
          <w:rFonts w:hint="default"/>
          <w:sz w:val="21"/>
          <w:szCs w:val="21"/>
          <w:lang w:eastAsia="zh-TW"/>
        </w:rPr>
      </w:pPr>
      <w:bookmarkStart w:id="468" w:name="bookmark19"/>
      <w:r>
        <w:rPr>
          <w:sz w:val="21"/>
          <w:szCs w:val="21"/>
          <w:lang w:eastAsia="zh-TW"/>
        </w:rPr>
        <w:t>1</w:t>
      </w:r>
      <w:bookmarkEnd w:id="468"/>
      <w:r>
        <w:rPr>
          <w:sz w:val="21"/>
          <w:szCs w:val="21"/>
          <w:lang w:eastAsia="zh-TW"/>
        </w:rPr>
        <w:t>、</w:t>
      </w:r>
      <w:r>
        <w:rPr>
          <w:sz w:val="21"/>
          <w:szCs w:val="21"/>
          <w:lang w:eastAsia="zh-TW"/>
        </w:rPr>
        <w:tab/>
      </w:r>
      <w:r>
        <w:rPr>
          <w:sz w:val="21"/>
          <w:szCs w:val="21"/>
          <w:lang w:eastAsia="zh-TW"/>
        </w:rPr>
        <w:t>帝国主义以后。第一个问题，是什么把马克思经济学导引到今天的样式中呢？一般说，马克思经济学是使《资本论》体系中的马克思学说得到发展的经济学说。只是今天的马克思经济学固有的特性是在马克思去世后，伴随后发资本主义的抬头，大规模资本主义变动而形成的。从自由主义阶段向帝国主义过渡之际，马克思以后的马克思经济学家们，一边以《资本论》为基础进行研究，一边关注国家和共同体、制度和习惯、意识形态和宗教、文化等非市场的诸多因素给市场带来的影响，并进行了各种各样的理论化研究尝试。在竞争现象退潮的现实中，19世纪的政治经济学被作为市场经济的一般理论形式化，被提高到与自然科学并肩高度的后马克思经济学潮流，确立了作为今天的政治经济学的马克思经济学的主体性。</w:t>
      </w:r>
    </w:p>
    <w:p w14:paraId="6A3E4A89">
      <w:pPr>
        <w:pStyle w:val="21"/>
        <w:widowControl/>
        <w:spacing w:line="400" w:lineRule="exact"/>
        <w:ind w:firstLine="460"/>
        <w:jc w:val="both"/>
        <w:rPr>
          <w:rFonts w:hint="default"/>
          <w:sz w:val="21"/>
          <w:szCs w:val="21"/>
          <w:lang w:eastAsia="zh-TW"/>
        </w:rPr>
      </w:pPr>
      <w:r>
        <w:rPr>
          <w:sz w:val="21"/>
          <w:szCs w:val="21"/>
          <w:lang w:eastAsia="zh-TW"/>
        </w:rPr>
        <w:t>第二个问题，帝国主义阶段的资本主义的特质在哪里呢？简单地说，就是对于资本主义特有（部分性）的认识。向帝国主义阶段的过渡，资本主义国家有快有慢，并不是以同一模式分别扩张，资本主义化的道路把日本关在了最后，资本主义本国和殖民地关系明显断开的同时，资本主义各国间尖锐的对立关系也突出地表现了起来。在对外方面，资本主义关系被抑制的旧有的支配关系在被保存强化的同时，在内部通过国家的政策介入和劳资协调的制度调整得以强化，这样的非市场因素的增大，使背离自由主义阶段的各种现象变得越来越显著。对于此类现象的解释，要把用市场原理说明的可能领域，同对资本主义变化和对立类型多样化的历史文化解释领域区别开，构筑资本主义的元理论将成为必需。“非”市场的诸多因素，除了暂且把市场的因素作为基准用否定的形式规定之外，没有别的作法。这样，一边把元理论作为基础，同时把多元化的社会的诸要素串连起来的综合观点，成了20世纪的马克思经济学的特征。在近似面和预测可能性方面，它与追求有效性的西方经济学理论不同。马克思经济学的元理论明确了与现实资本主义的关系，并通过捕捉其历史阶段和对立类型作为基准而发展起来。</w:t>
      </w:r>
    </w:p>
    <w:p w14:paraId="146726BA">
      <w:pPr>
        <w:pStyle w:val="21"/>
        <w:widowControl/>
        <w:spacing w:line="400" w:lineRule="exact"/>
        <w:ind w:firstLine="460"/>
        <w:jc w:val="both"/>
        <w:rPr>
          <w:rFonts w:hint="default"/>
          <w:sz w:val="21"/>
          <w:szCs w:val="21"/>
          <w:lang w:eastAsia="zh-TW"/>
        </w:rPr>
      </w:pPr>
      <w:r>
        <w:rPr>
          <w:sz w:val="21"/>
          <w:szCs w:val="21"/>
          <w:lang w:eastAsia="zh-TW"/>
        </w:rPr>
        <w:t>第三个问题，全球化主义在某种意义上可说是资本主义的任务。应该指出的是，从东亚到申亚这一区域，是典型的资本主义的兴起，特别是由中国的市场经济的蓬勃发展决定的。即使在先进咨本主义各国的内部，在原来市场外观上进行处理，在以科学知识、生产技术、技能培养、组织管理等新的形式追求资本利润核心的同时，带来了在医疗、教育、保育等各个层面的市场竞争，维持社会生活的各种制度和习惯在不断地解体、重组，于是就产生了宗教文化价值观和意识形态的动摇和对立。应该说，这是与外面的全球化主义相适应而出现的内面的全球化主义。在这种变动的基础上，元理论在适应现实的方法和理论的展开方法两方面，不得不进行再思考。</w:t>
      </w:r>
    </w:p>
    <w:p w14:paraId="44FCEAF7">
      <w:pPr>
        <w:pStyle w:val="21"/>
        <w:widowControl/>
        <w:tabs>
          <w:tab w:val="left" w:pos="726"/>
        </w:tabs>
        <w:spacing w:line="400" w:lineRule="exact"/>
        <w:ind w:firstLine="460"/>
        <w:jc w:val="both"/>
        <w:rPr>
          <w:rFonts w:hint="default"/>
          <w:sz w:val="21"/>
          <w:szCs w:val="21"/>
          <w:lang w:eastAsia="zh-TW"/>
        </w:rPr>
      </w:pPr>
      <w:r>
        <w:rPr>
          <w:sz w:val="21"/>
          <w:szCs w:val="21"/>
          <w:lang w:eastAsia="zh-TW"/>
        </w:rPr>
        <w:t>2、</w:t>
      </w:r>
      <w:r>
        <w:rPr>
          <w:sz w:val="21"/>
          <w:szCs w:val="21"/>
          <w:lang w:eastAsia="zh-TW"/>
        </w:rPr>
        <w:tab/>
      </w:r>
      <w:r>
        <w:rPr>
          <w:sz w:val="21"/>
          <w:szCs w:val="21"/>
          <w:lang w:eastAsia="zh-TW"/>
        </w:rPr>
        <w:t>作为变容论的元理论。第一个问题，全球化主义给元理论一个怎样的反省（震撼）呢？目前的元理论是带有帝国主义阶段特征的（部分性），怎样捕捉产生这一结果的资本主义中对立的多样性呢？回过头我们看一下那种没有核心的被认为是类型论的研究方法。这种方法认为只要是资本主义，就会把劳动力商品化等一些不变的条件作为前提，之后再构成只有用市场因素才能说明的资本主义像，以此为基准形成了把构成现实资本主义的非市场因素分割开来的理论方法。现实的资本主义被看成是市场因素和非市场因素的混和经济，其多样性需加入专门的非市场因素才能说明。</w:t>
      </w:r>
    </w:p>
    <w:p w14:paraId="6184CC4A">
      <w:pPr>
        <w:pStyle w:val="21"/>
        <w:widowControl/>
        <w:spacing w:line="400" w:lineRule="exact"/>
        <w:ind w:firstLine="460"/>
        <w:jc w:val="both"/>
        <w:rPr>
          <w:rFonts w:hint="default"/>
          <w:sz w:val="21"/>
          <w:szCs w:val="21"/>
          <w:lang w:eastAsia="zh-TW"/>
        </w:rPr>
      </w:pPr>
      <w:r>
        <w:rPr>
          <w:sz w:val="21"/>
          <w:szCs w:val="21"/>
          <w:lang w:eastAsia="zh-TW"/>
        </w:rPr>
        <w:t>这种研究方法，只是用单一的资本主义像（图像）回答</w:t>
      </w:r>
      <w:r>
        <w:rPr>
          <w:sz w:val="21"/>
          <w:szCs w:val="21"/>
          <w:lang w:val="zh-CN" w:bidi="zh-CN"/>
        </w:rPr>
        <w:t>“资</w:t>
      </w:r>
      <w:r>
        <w:rPr>
          <w:sz w:val="21"/>
          <w:szCs w:val="21"/>
          <w:lang w:eastAsia="zh-TW"/>
        </w:rPr>
        <w:t>本主义是什么</w:t>
      </w:r>
      <w:r>
        <w:rPr>
          <w:sz w:val="21"/>
          <w:szCs w:val="21"/>
          <w:lang w:val="zh-CN" w:bidi="zh-CN"/>
        </w:rPr>
        <w:t>”这</w:t>
      </w:r>
      <w:r>
        <w:rPr>
          <w:sz w:val="21"/>
          <w:szCs w:val="21"/>
          <w:lang w:eastAsia="zh-TW"/>
        </w:rPr>
        <w:t>样一个问题。而《资本论》则认为，资本主义的发展实际上与资本主义像不断接近，这样的收敛说不断浓厚，同时，与由于资本主义内部矛盾积累而自动崩溃这一认识互为表里。资本主义本来以原理像（图像）为基准，现实用始自哪里、目标何处这样的远近距离来给历史进行定位，来捕捉历史的多样性。其中，资本主义自身崩溃说也是被变换继承的，即把帝国主义阶段规定为从其本来形态脱颖而岀资本主义没落期形态。</w:t>
      </w:r>
    </w:p>
    <w:p w14:paraId="7D4F0F76">
      <w:pPr>
        <w:pStyle w:val="21"/>
        <w:widowControl/>
        <w:spacing w:line="400" w:lineRule="exact"/>
        <w:ind w:firstLine="460"/>
        <w:jc w:val="both"/>
        <w:rPr>
          <w:rFonts w:hint="default"/>
          <w:sz w:val="21"/>
          <w:szCs w:val="21"/>
          <w:lang w:eastAsia="zh-TW"/>
        </w:rPr>
      </w:pPr>
      <w:r>
        <w:rPr>
          <w:sz w:val="21"/>
          <w:szCs w:val="21"/>
          <w:lang w:eastAsia="zh-TW"/>
        </w:rPr>
        <w:t>第二个问题，怎么捕捉存在于全球化主义的多样性的特征呢？帝国主义不否定资本主义的多样化。采用怎样的方法把元理论展开，以与现实相联系呢？要接近多样性的本质，变容论的研究法可谓是新的且必要的方法。它是通过市场因素的作用与反作用，把资本主义本体情况改变的性质作为本源的着眼点，把资本主义多样性作为变容（变样）结论进行说明的方法。没有这样的方法的转换是不行的。</w:t>
      </w:r>
    </w:p>
    <w:p w14:paraId="5803B6B3">
      <w:pPr>
        <w:pStyle w:val="21"/>
        <w:widowControl/>
        <w:spacing w:line="400" w:lineRule="exact"/>
        <w:ind w:firstLine="440"/>
        <w:jc w:val="both"/>
        <w:rPr>
          <w:rFonts w:hint="default"/>
          <w:sz w:val="21"/>
          <w:szCs w:val="21"/>
          <w:lang w:eastAsia="zh-TW"/>
        </w:rPr>
      </w:pPr>
      <w:r>
        <w:rPr>
          <w:sz w:val="21"/>
          <w:szCs w:val="21"/>
          <w:lang w:eastAsia="zh-TW"/>
        </w:rPr>
        <w:t>第三个问题，多样性的类型化，要求怎样重新认识元理论？以变容论研究法为主要方法，是元理论中外在条件的处理方法。资本主义是通过市场进行社会化再生产的社会，或多或少会遗留下光靠市场处理不了的窗口。用怎样的非市场因素，去填充这种规定的窗口，资本主义的情况也有大的变化。窗口部分的变化，会导致整体构造发生变化。</w:t>
      </w:r>
    </w:p>
    <w:p w14:paraId="59CCBFEF">
      <w:pPr>
        <w:pStyle w:val="21"/>
        <w:widowControl/>
        <w:spacing w:line="400" w:lineRule="exact"/>
        <w:ind w:firstLine="440"/>
        <w:jc w:val="both"/>
        <w:rPr>
          <w:rFonts w:hint="default"/>
          <w:sz w:val="21"/>
          <w:szCs w:val="21"/>
          <w:lang w:eastAsia="zh-TW"/>
        </w:rPr>
      </w:pPr>
      <w:r>
        <w:rPr>
          <w:sz w:val="21"/>
          <w:szCs w:val="21"/>
          <w:lang w:eastAsia="zh-TW"/>
        </w:rPr>
        <w:t>3、市场原理和资本的理论。第一个问题，全球化主义是意味着资本主义的收敛性吗？</w:t>
      </w:r>
      <w:r>
        <w:rPr>
          <w:sz w:val="21"/>
          <w:szCs w:val="21"/>
          <w:lang w:val="zh-CN" w:bidi="zh-CN"/>
        </w:rPr>
        <w:t>“市场</w:t>
      </w:r>
      <w:r>
        <w:rPr>
          <w:sz w:val="21"/>
          <w:szCs w:val="21"/>
          <w:lang w:eastAsia="zh-TW"/>
        </w:rPr>
        <w:t>原理”的表现被应用在各种场合。变容论的资本主义像，要求资本主义表层市场合理性扩充，同时在深层填充非市场的因素，也就是，市场原理的同一性和资本主义理论的多样性同时存在。市场覆盖的领域越扩大，补充其界限的国家、制度、观念形态等的作用，也同时越被强化。资本主义新的多元化也随之而诞生起来。</w:t>
      </w:r>
    </w:p>
    <w:p w14:paraId="3B6A70A9">
      <w:pPr>
        <w:pStyle w:val="21"/>
        <w:widowControl/>
        <w:spacing w:line="400" w:lineRule="exact"/>
        <w:ind w:firstLine="440"/>
        <w:jc w:val="both"/>
        <w:rPr>
          <w:rFonts w:hint="default"/>
          <w:sz w:val="21"/>
          <w:szCs w:val="21"/>
          <w:lang w:eastAsia="zh-TW"/>
        </w:rPr>
      </w:pPr>
      <w:r>
        <w:rPr>
          <w:sz w:val="21"/>
          <w:szCs w:val="21"/>
          <w:lang w:eastAsia="zh-TW"/>
        </w:rPr>
        <w:t>第二个问题，如何应对新生无政府主义？把资本主义的收敛等同于内部崩溃论和把不纯化等同于没落论联成一线的变容论，研究法近似于主张无资本市场的可能性，及把由等价交换带来的公正市场进行理念化，并摸索保证实施的货币、信用制度改革的市场社会主义的无政府主义。</w:t>
      </w:r>
    </w:p>
    <w:p w14:paraId="57106644">
      <w:pPr>
        <w:pStyle w:val="21"/>
        <w:widowControl/>
        <w:spacing w:line="400" w:lineRule="exact"/>
        <w:ind w:firstLine="440"/>
        <w:jc w:val="both"/>
        <w:rPr>
          <w:rFonts w:hint="default"/>
          <w:sz w:val="21"/>
          <w:szCs w:val="21"/>
          <w:lang w:eastAsia="zh-TW"/>
        </w:rPr>
      </w:pPr>
      <w:r>
        <w:rPr>
          <w:sz w:val="21"/>
          <w:szCs w:val="21"/>
          <w:lang w:eastAsia="zh-TW"/>
        </w:rPr>
        <w:t>第三个问题，全球化主义把元理论导向何处？资本主义遗留下单靠市场原理处理不了的窗口部，具有分解外在条件再重新组合的变成作用。变容论的研究法凭借这种作用，开拓重建综合的社会科学之路。用社会哲学的更加广博的观点进行再评价，非常之必要。</w:t>
      </w:r>
    </w:p>
    <w:p w14:paraId="5EF11B38">
      <w:pPr>
        <w:pStyle w:val="21"/>
        <w:widowControl/>
        <w:spacing w:line="400" w:lineRule="exact"/>
        <w:ind w:firstLine="440"/>
        <w:jc w:val="both"/>
        <w:rPr>
          <w:rFonts w:hint="default"/>
          <w:b/>
          <w:bCs/>
          <w:sz w:val="21"/>
          <w:szCs w:val="21"/>
          <w:lang w:eastAsia="zh-TW"/>
        </w:rPr>
      </w:pPr>
      <w:r>
        <w:rPr>
          <w:b/>
          <w:bCs/>
          <w:sz w:val="21"/>
          <w:szCs w:val="21"/>
          <w:lang w:eastAsia="zh-TW"/>
        </w:rPr>
        <w:t>（三）资本主义是否能存在下去的探讨</w:t>
      </w:r>
    </w:p>
    <w:p w14:paraId="4D7AC80E">
      <w:pPr>
        <w:pStyle w:val="21"/>
        <w:widowControl/>
        <w:spacing w:line="400" w:lineRule="exact"/>
        <w:ind w:firstLine="440"/>
        <w:jc w:val="both"/>
        <w:rPr>
          <w:rFonts w:hint="default"/>
          <w:sz w:val="21"/>
          <w:szCs w:val="21"/>
          <w:lang w:eastAsia="zh-TW"/>
        </w:rPr>
      </w:pPr>
      <w:r>
        <w:rPr>
          <w:sz w:val="21"/>
          <w:szCs w:val="21"/>
          <w:lang w:eastAsia="zh-TW"/>
        </w:rPr>
        <w:t>立教大学的名誉教授久留间健就此为题进行了阐述:第一，基础马克思主义经济学的评价。松井、小幡在重新讨论20世纪经济学在明确其意义和界限的同时，探讨了21世纪马克思主义经济学的可能性。在总结评论过去的理论基础上，难道不会呈现出一种新的方向性来吗？马克思经济学在现实生活中的有效性和作为长期理论的妥当性未曾受到过怀疑。从宏观上看，现实几乎都遵循马克思理论，这是实感。这里所说的马克思经济学，是以《资本论》为代表的马克思理论体系。</w:t>
      </w:r>
    </w:p>
    <w:p w14:paraId="2B0D6CA5">
      <w:pPr>
        <w:pStyle w:val="21"/>
        <w:widowControl/>
        <w:spacing w:line="400" w:lineRule="exact"/>
        <w:ind w:firstLine="440"/>
        <w:jc w:val="both"/>
        <w:rPr>
          <w:rFonts w:hint="default"/>
          <w:sz w:val="21"/>
          <w:szCs w:val="21"/>
          <w:lang w:eastAsia="zh-TW"/>
        </w:rPr>
      </w:pPr>
      <w:r>
        <w:rPr>
          <w:sz w:val="21"/>
          <w:szCs w:val="21"/>
          <w:lang w:eastAsia="zh-TW"/>
        </w:rPr>
        <w:t>第二，马克思经济学中的非市场的因素定位。松井把这个问题用</w:t>
      </w:r>
      <w:r>
        <w:rPr>
          <w:sz w:val="21"/>
          <w:szCs w:val="21"/>
          <w:lang w:val="zh-CN" w:bidi="zh-CN"/>
        </w:rPr>
        <w:t>“社会</w:t>
      </w:r>
      <w:r>
        <w:rPr>
          <w:sz w:val="21"/>
          <w:szCs w:val="21"/>
          <w:lang w:eastAsia="zh-TW"/>
        </w:rPr>
        <w:t>经济学</w:t>
      </w:r>
      <w:r>
        <w:rPr>
          <w:sz w:val="21"/>
          <w:szCs w:val="21"/>
          <w:lang w:val="zh-CN" w:bidi="zh-CN"/>
        </w:rPr>
        <w:t>”范畴</w:t>
      </w:r>
      <w:r>
        <w:rPr>
          <w:sz w:val="21"/>
          <w:szCs w:val="21"/>
          <w:lang w:eastAsia="zh-TW"/>
        </w:rPr>
        <w:t>考虑，而小幡则认为是“变容论的研究法</w:t>
      </w:r>
      <w:r>
        <w:rPr>
          <w:sz w:val="21"/>
          <w:szCs w:val="21"/>
          <w:lang w:val="zh-CN" w:bidi="zh-CN"/>
        </w:rPr>
        <w:t>”，但</w:t>
      </w:r>
      <w:r>
        <w:rPr>
          <w:sz w:val="21"/>
          <w:szCs w:val="21"/>
          <w:lang w:eastAsia="zh-TW"/>
        </w:rPr>
        <w:t>两人的问题意识相同，即作为现在的政治经济学的马克思主义经济学研究对象，不仅仅是市场经济，还要包含非市场因素。他们两人所说的非市场因素已经很清楚了。（1）马克思经济学是把资本主义市场作为分析的对象，新古典派也是把市场经济作为研究对象，可是，坠入“没有价值论的价格论</w:t>
      </w:r>
      <w:r>
        <w:rPr>
          <w:sz w:val="21"/>
          <w:szCs w:val="21"/>
          <w:lang w:val="zh-CN" w:bidi="zh-CN"/>
        </w:rPr>
        <w:t>”的新</w:t>
      </w:r>
      <w:r>
        <w:rPr>
          <w:sz w:val="21"/>
          <w:szCs w:val="21"/>
          <w:lang w:eastAsia="zh-TW"/>
        </w:rPr>
        <w:t>古典派，只不过认为市场供求决定价格变动，从而主张市场经济的合理性。新古典派把市场经济等同于应有的人类社会。对此，马克思经济学认为，市场经济只是人类社会的存在状态之一。因此，这里把“市场理论</w:t>
      </w:r>
      <w:r>
        <w:rPr>
          <w:sz w:val="21"/>
          <w:szCs w:val="21"/>
          <w:lang w:val="zh-CN" w:bidi="zh-CN"/>
        </w:rPr>
        <w:t>”和“人类</w:t>
      </w:r>
      <w:r>
        <w:rPr>
          <w:sz w:val="21"/>
          <w:szCs w:val="21"/>
          <w:lang w:eastAsia="zh-TW"/>
        </w:rPr>
        <w:t>社会伦理”之间的差异作为问题，就是这个原因。马克思经济学把市场经济作为对象时也含有非市场的因素在内。（2）国家和国民经济是历史的产物。现实的世界市场，经常带有历史的规定性，能否把这个考虑为非市场因素是问题之一。（3）马克思经济学对象不单是作为下部构造的经济关系，还包括上层建筑的资本主义社会全体，这就意味着原本就含有非市场因素，现代经济学必须同时具有文明论的这一侧面。</w:t>
      </w:r>
    </w:p>
    <w:p w14:paraId="51F6C8D2">
      <w:pPr>
        <w:pStyle w:val="21"/>
        <w:widowControl/>
        <w:spacing w:line="400" w:lineRule="exact"/>
        <w:ind w:firstLine="440"/>
        <w:jc w:val="both"/>
        <w:rPr>
          <w:rFonts w:hint="default"/>
          <w:sz w:val="21"/>
          <w:szCs w:val="21"/>
          <w:lang w:eastAsia="zh-TW"/>
        </w:rPr>
      </w:pPr>
      <w:r>
        <w:rPr>
          <w:sz w:val="21"/>
          <w:szCs w:val="21"/>
          <w:lang w:eastAsia="zh-TW"/>
        </w:rPr>
        <w:t>第三，现代政治经济学的主体性。松井、小幡都按照共同论题，将马克思经济学定位为现代政治经济学。关于今后的政治经济学的主体性，把马克思经济学看成现代哲学政治经济学，也许有其合理性；凯恩斯经济学即便可以说成现代政治经济学，但马克思经济学即使在现代还应该是</w:t>
      </w:r>
      <w:r>
        <w:rPr>
          <w:sz w:val="21"/>
          <w:szCs w:val="21"/>
          <w:lang w:val="zh-CN" w:bidi="zh-CN"/>
        </w:rPr>
        <w:t>“经</w:t>
      </w:r>
      <w:r>
        <w:rPr>
          <w:sz w:val="21"/>
          <w:szCs w:val="21"/>
          <w:lang w:eastAsia="zh-TW"/>
        </w:rPr>
        <w:t>济学批判”。</w:t>
      </w:r>
    </w:p>
    <w:p w14:paraId="6997ACCC">
      <w:pPr>
        <w:pStyle w:val="21"/>
        <w:widowControl/>
        <w:spacing w:line="400" w:lineRule="exact"/>
        <w:ind w:firstLine="440"/>
        <w:jc w:val="both"/>
        <w:rPr>
          <w:rFonts w:hint="default"/>
          <w:sz w:val="21"/>
          <w:szCs w:val="21"/>
          <w:lang w:eastAsia="zh-TW"/>
        </w:rPr>
      </w:pPr>
      <w:r>
        <w:rPr>
          <w:sz w:val="21"/>
          <w:szCs w:val="21"/>
          <w:lang w:eastAsia="zh-TW"/>
        </w:rPr>
        <w:t>第四，怎样评价唯物史观。松井、小幡两人都就作为社会变革理论的马克思经济学阐述了自己的看法，只是松井重视规范理论，小幡重视历史理论。用生产力和生产关系的矛盾来论述社会变革的必然性，这就是与唯物历史观评价有关联的论点。这里用</w:t>
      </w:r>
      <w:r>
        <w:rPr>
          <w:sz w:val="21"/>
          <w:szCs w:val="21"/>
          <w:lang w:val="zh-CN" w:bidi="zh-CN"/>
        </w:rPr>
        <w:t>“资本</w:t>
      </w:r>
      <w:r>
        <w:rPr>
          <w:sz w:val="21"/>
          <w:szCs w:val="21"/>
          <w:lang w:eastAsia="zh-TW"/>
        </w:rPr>
        <w:t>主义能够存在下去吗</w:t>
      </w:r>
      <w:r>
        <w:rPr>
          <w:sz w:val="21"/>
          <w:szCs w:val="21"/>
          <w:lang w:val="zh-CN" w:bidi="zh-CN"/>
        </w:rPr>
        <w:t>”来表</w:t>
      </w:r>
      <w:r>
        <w:rPr>
          <w:sz w:val="21"/>
          <w:szCs w:val="21"/>
          <w:lang w:eastAsia="zh-TW"/>
        </w:rPr>
        <w:t>明明确的唯物史观立场。二战后，资本主义是从成长经济经过低成长时期，避开了长期深刻的破绽发展过来的，但追求无限生产力发展的结果终于遇到了大的界限，其结果扩大了市场理论和人类社会理论之间的冲突，这是基本认识。用单纯的唯物史观说明从远古到现在的人类社会历史是有问题的，不过，以</w:t>
      </w:r>
      <w:r>
        <w:rPr>
          <w:sz w:val="21"/>
          <w:szCs w:val="21"/>
          <w:lang w:val="zh-CN" w:bidi="zh-CN"/>
        </w:rPr>
        <w:t>“生</w:t>
      </w:r>
      <w:r>
        <w:rPr>
          <w:sz w:val="21"/>
          <w:szCs w:val="21"/>
          <w:lang w:eastAsia="zh-TW"/>
        </w:rPr>
        <w:t>产力和</w:t>
      </w:r>
      <w:r>
        <w:rPr>
          <w:rStyle w:val="28"/>
          <w:sz w:val="21"/>
          <w:szCs w:val="21"/>
        </w:rPr>
        <w:t>生产关系</w:t>
      </w:r>
      <w:r>
        <w:rPr>
          <w:rStyle w:val="28"/>
          <w:sz w:val="21"/>
          <w:szCs w:val="21"/>
          <w:lang w:val="zh-CN" w:eastAsia="zh-CN" w:bidi="zh-CN"/>
        </w:rPr>
        <w:t>”为基</w:t>
      </w:r>
      <w:r>
        <w:rPr>
          <w:rStyle w:val="28"/>
          <w:sz w:val="21"/>
          <w:szCs w:val="21"/>
        </w:rPr>
        <w:t>础的唯物史观，来论述资本主义是相当合适的。资本主义追求生产力的无限发展，会带来短时期的生产力的发展，但在这种资本主义的自然力当中，同时其发展界限也被划定了。唯物史观不是</w:t>
      </w:r>
      <w:r>
        <w:rPr>
          <w:rStyle w:val="28"/>
          <w:sz w:val="21"/>
          <w:szCs w:val="21"/>
          <w:lang w:val="zh-CN" w:eastAsia="zh-CN" w:bidi="zh-CN"/>
        </w:rPr>
        <w:t>“自</w:t>
      </w:r>
      <w:r>
        <w:rPr>
          <w:rStyle w:val="28"/>
          <w:sz w:val="21"/>
          <w:szCs w:val="21"/>
        </w:rPr>
        <w:t>动崩溃论”。由于市场的界限，资本主义困境不单是资本主义体制的危机，也可能会带来人类社会的危机。因此，社会朝怎样的方式前进，就与人这样的主体息息相关。</w:t>
      </w:r>
    </w:p>
    <w:p w14:paraId="58DB324B">
      <w:pPr>
        <w:pStyle w:val="21"/>
        <w:widowControl/>
        <w:spacing w:line="400" w:lineRule="exact"/>
        <w:ind w:firstLine="440"/>
        <w:jc w:val="both"/>
        <w:rPr>
          <w:rFonts w:hint="default"/>
          <w:sz w:val="21"/>
          <w:szCs w:val="21"/>
          <w:lang w:eastAsia="zh-TW"/>
        </w:rPr>
      </w:pPr>
      <w:r>
        <w:rPr>
          <w:sz w:val="21"/>
          <w:szCs w:val="21"/>
          <w:lang w:eastAsia="zh-TW"/>
        </w:rPr>
        <w:t>第五，社会像论。松井、小幡二氏认为，原来的马克思经济学不能充分提示取代资本主义社会像。对于资本主义提示怎样的社会像，是个重要的研究课题。在市场经济存在的同时，进行宏观理性调控和探求资本主义的社会像，似乎是接近马克思主义否定过的改良主义研究方法。主张是在经济社会中组建一种作为抑制企业社会的理论，与之相对抗的理论事在必行。不主张通过改良来达到理想社会。</w:t>
      </w:r>
    </w:p>
    <w:p w14:paraId="06D5A310">
      <w:pPr>
        <w:pStyle w:val="21"/>
        <w:widowControl/>
        <w:spacing w:line="400" w:lineRule="exact"/>
        <w:ind w:firstLine="440"/>
        <w:jc w:val="both"/>
        <w:rPr>
          <w:rFonts w:hint="default"/>
          <w:sz w:val="21"/>
          <w:szCs w:val="21"/>
          <w:lang w:eastAsia="zh-TW"/>
        </w:rPr>
      </w:pPr>
      <w:r>
        <w:rPr>
          <w:sz w:val="21"/>
          <w:szCs w:val="21"/>
          <w:lang w:eastAsia="zh-TW"/>
        </w:rPr>
        <w:t>第六，迄今研究的问题意识和“资本主义能否存在下去吗？</w:t>
      </w:r>
      <w:r>
        <w:rPr>
          <w:sz w:val="21"/>
          <w:szCs w:val="21"/>
          <w:lang w:val="zh-CN" w:bidi="zh-CN"/>
        </w:rPr>
        <w:t>”从</w:t>
      </w:r>
      <w:r>
        <w:rPr>
          <w:sz w:val="21"/>
          <w:szCs w:val="21"/>
          <w:lang w:eastAsia="zh-TW"/>
        </w:rPr>
        <w:t>战后资本主义危机论流行的时候，就看出日本资本主义已经开始了新的发展，但还要经历相当长的成长时期。维持战后经济成长的各种各样的诸多条件排列着，由于各国的不兑换制度以及国际的美元体制的金融货币的特殊情况，现在的资本主义已经具有了不易露出破绽的体制构造。这是基本的问题意识，也是与想弄清凯恩斯政策的意识和界限这样的问题意识相关联的。有关这样问题意识的主要文章是2000年集录的《货币信用论和现代——不换制的理论》一书。写</w:t>
      </w:r>
      <w:r>
        <w:rPr>
          <w:sz w:val="21"/>
          <w:szCs w:val="21"/>
          <w:lang w:val="zh-CN" w:bidi="zh-CN"/>
        </w:rPr>
        <w:t>“资本</w:t>
      </w:r>
      <w:r>
        <w:rPr>
          <w:sz w:val="21"/>
          <w:szCs w:val="21"/>
          <w:lang w:eastAsia="zh-TW"/>
        </w:rPr>
        <w:t>主义能否存在下去吗</w:t>
      </w:r>
      <w:r>
        <w:rPr>
          <w:sz w:val="21"/>
          <w:szCs w:val="21"/>
          <w:lang w:val="zh-CN" w:bidi="zh-CN"/>
        </w:rPr>
        <w:t>”的背</w:t>
      </w:r>
      <w:r>
        <w:rPr>
          <w:sz w:val="21"/>
          <w:szCs w:val="21"/>
          <w:lang w:eastAsia="zh-TW"/>
        </w:rPr>
        <w:t>景是战后资本主义发展终于触及了其界限，企业社会的理论和人类社会理论的对立继续快速扩大，通过其冲突开始诞生了对于新的社会的展望</w:t>
      </w:r>
      <w:r>
        <w:rPr>
          <w:sz w:val="21"/>
          <w:szCs w:val="21"/>
          <w:lang w:val="zh-CN" w:bidi="zh-CN"/>
        </w:rPr>
        <w:t>。“就</w:t>
      </w:r>
      <w:r>
        <w:rPr>
          <w:sz w:val="21"/>
          <w:szCs w:val="21"/>
          <w:lang w:eastAsia="zh-TW"/>
        </w:rPr>
        <w:t>要到马克思的时代了</w:t>
      </w:r>
      <w:r>
        <w:rPr>
          <w:sz w:val="21"/>
          <w:szCs w:val="21"/>
          <w:lang w:val="zh-CN" w:bidi="zh-CN"/>
        </w:rPr>
        <w:t>”，这</w:t>
      </w:r>
      <w:r>
        <w:rPr>
          <w:sz w:val="21"/>
          <w:szCs w:val="21"/>
          <w:lang w:eastAsia="zh-TW"/>
        </w:rPr>
        <w:t>是实感。这里，称为</w:t>
      </w:r>
      <w:r>
        <w:rPr>
          <w:sz w:val="21"/>
          <w:szCs w:val="21"/>
          <w:lang w:val="zh-CN" w:bidi="zh-CN"/>
        </w:rPr>
        <w:t>“马克</w:t>
      </w:r>
      <w:r>
        <w:rPr>
          <w:sz w:val="21"/>
          <w:szCs w:val="21"/>
          <w:lang w:eastAsia="zh-TW"/>
        </w:rPr>
        <w:t>思时代</w:t>
      </w:r>
      <w:r>
        <w:rPr>
          <w:sz w:val="21"/>
          <w:szCs w:val="21"/>
          <w:lang w:val="zh-CN" w:bidi="zh-CN"/>
        </w:rPr>
        <w:t>”指</w:t>
      </w:r>
      <w:r>
        <w:rPr>
          <w:sz w:val="21"/>
          <w:szCs w:val="21"/>
          <w:lang w:eastAsia="zh-TW"/>
        </w:rPr>
        <w:t>的是</w:t>
      </w:r>
      <w:r>
        <w:rPr>
          <w:sz w:val="21"/>
          <w:szCs w:val="21"/>
          <w:lang w:val="zh-CN" w:bidi="zh-CN"/>
        </w:rPr>
        <w:t>，“对</w:t>
      </w:r>
      <w:r>
        <w:rPr>
          <w:sz w:val="21"/>
          <w:szCs w:val="21"/>
          <w:lang w:eastAsia="zh-TW"/>
        </w:rPr>
        <w:t>于把追求利润作为基本原理，追求经济成长作为资本主义的应有状态，产生质疑的人增加的时代”。</w:t>
      </w:r>
    </w:p>
    <w:p w14:paraId="62A786AC">
      <w:pPr>
        <w:pStyle w:val="21"/>
        <w:widowControl/>
        <w:spacing w:line="400" w:lineRule="exact"/>
        <w:ind w:firstLine="0"/>
        <w:jc w:val="both"/>
        <w:rPr>
          <w:rFonts w:hint="default"/>
          <w:sz w:val="21"/>
          <w:szCs w:val="21"/>
          <w:lang w:eastAsia="zh-TW"/>
        </w:rPr>
      </w:pPr>
      <w:r>
        <w:rPr>
          <w:sz w:val="21"/>
          <w:szCs w:val="21"/>
          <w:lang w:eastAsia="zh-TW"/>
        </w:rPr>
        <w:t>本地还是外地的现实和潜在的创意人才投身创意产业领域，创意人才大量集聚必将有力地推动创意产业的发展壮大。</w:t>
      </w:r>
    </w:p>
    <w:p w14:paraId="3D5DE9F6">
      <w:pPr>
        <w:pStyle w:val="21"/>
        <w:widowControl/>
        <w:spacing w:line="400" w:lineRule="exact"/>
        <w:ind w:firstLine="440"/>
        <w:jc w:val="both"/>
        <w:rPr>
          <w:rFonts w:hint="default"/>
          <w:sz w:val="21"/>
          <w:szCs w:val="21"/>
          <w:lang w:eastAsia="zh-TW"/>
        </w:rPr>
      </w:pPr>
      <w:r>
        <w:rPr>
          <w:sz w:val="21"/>
          <w:szCs w:val="21"/>
          <w:lang w:eastAsia="zh-TW"/>
        </w:rPr>
        <w:t>四是从功能开发的角度加快创意产业领域重点行业的培育。创意产业以新产品、新工艺开发渗透和介入其他产业，重组产业的生产流程，提高产业生产的技术水平，并通过技术创新、分工深化和生产流程重组进一步扩大生产所需的要素资源。作为新兴服务业，创意产业正是以这一产业特点来带动和促进其他产业的发展。我国正处在产业结构大调整时期，充分发挥创意产业的先导作用，对于进一步扩大我国民族基础产业和战略产业的发展空间，使其在世界范围内成为强势产业，尤其迅速做大做强电子及通信、机械、钢铁、化工、生物医药、航天航空、文化、农业等大类产业，使中国尽快成为制造业强国，具有事半功倍的效果。</w:t>
      </w:r>
    </w:p>
    <w:p w14:paraId="1A6BBE09">
      <w:pPr>
        <w:pStyle w:val="21"/>
        <w:widowControl/>
        <w:spacing w:line="400" w:lineRule="exact"/>
        <w:ind w:firstLine="0"/>
        <w:jc w:val="center"/>
        <w:rPr>
          <w:rFonts w:hint="default"/>
          <w:sz w:val="21"/>
          <w:szCs w:val="21"/>
          <w:lang w:eastAsia="zh-TW"/>
        </w:rPr>
      </w:pPr>
      <w:r>
        <w:rPr>
          <w:b/>
          <w:bCs/>
          <w:sz w:val="21"/>
          <w:szCs w:val="21"/>
          <w:lang w:eastAsia="zh-TW"/>
        </w:rPr>
        <w:t>［参考文献］</w:t>
      </w:r>
    </w:p>
    <w:p w14:paraId="660D34C6">
      <w:pPr>
        <w:pStyle w:val="27"/>
        <w:widowControl/>
        <w:tabs>
          <w:tab w:val="left" w:pos="654"/>
        </w:tabs>
        <w:spacing w:line="400" w:lineRule="exact"/>
        <w:ind w:left="0" w:firstLine="320"/>
        <w:jc w:val="both"/>
        <w:rPr>
          <w:rFonts w:hint="default"/>
          <w:sz w:val="21"/>
          <w:szCs w:val="21"/>
          <w:lang w:eastAsia="zh-TW"/>
        </w:rPr>
      </w:pPr>
      <w:r>
        <w:rPr>
          <w:sz w:val="21"/>
          <w:szCs w:val="21"/>
          <w:lang w:bidi="en-US"/>
        </w:rPr>
        <w:t>［1］</w:t>
      </w:r>
      <w:r>
        <w:rPr>
          <w:sz w:val="21"/>
          <w:szCs w:val="21"/>
          <w:lang w:bidi="en-US"/>
        </w:rPr>
        <w:tab/>
      </w:r>
      <w:r>
        <w:rPr>
          <w:sz w:val="21"/>
          <w:szCs w:val="21"/>
          <w:lang w:eastAsia="zh-TW"/>
        </w:rPr>
        <w:t>参见［澳］斯图亚特•坎宁安</w:t>
      </w:r>
      <w:r>
        <w:rPr>
          <w:sz w:val="21"/>
          <w:szCs w:val="21"/>
          <w:lang w:bidi="en-US"/>
        </w:rPr>
        <w:t>.</w:t>
      </w:r>
      <w:r>
        <w:rPr>
          <w:sz w:val="21"/>
          <w:szCs w:val="21"/>
          <w:lang w:eastAsia="zh-TW"/>
        </w:rPr>
        <w:t>从文化产业到创意产业：理论、产业和政策的涵义</w:t>
      </w:r>
      <w:r>
        <w:rPr>
          <w:sz w:val="21"/>
          <w:szCs w:val="21"/>
          <w:lang w:bidi="en-US"/>
        </w:rPr>
        <w:t>.</w:t>
      </w:r>
      <w:r>
        <w:rPr>
          <w:sz w:val="21"/>
          <w:szCs w:val="21"/>
          <w:lang w:eastAsia="zh-TW"/>
        </w:rPr>
        <w:t>载林拓、李惠斌、薜晓源主编</w:t>
      </w:r>
      <w:r>
        <w:rPr>
          <w:sz w:val="21"/>
          <w:szCs w:val="21"/>
          <w:lang w:bidi="en-US"/>
        </w:rPr>
        <w:t>.</w:t>
      </w:r>
      <w:r>
        <w:rPr>
          <w:sz w:val="21"/>
          <w:szCs w:val="21"/>
          <w:lang w:eastAsia="zh-TW"/>
        </w:rPr>
        <w:t>世界文化产业发展前沿报告</w:t>
      </w:r>
      <w:r>
        <w:rPr>
          <w:sz w:val="21"/>
          <w:szCs w:val="21"/>
          <w:lang w:bidi="en-US"/>
        </w:rPr>
        <w:t>（2003-2004）.</w:t>
      </w:r>
      <w:r>
        <w:rPr>
          <w:sz w:val="21"/>
          <w:szCs w:val="21"/>
          <w:lang w:eastAsia="zh-TW"/>
        </w:rPr>
        <w:t>社会科学文献出版社</w:t>
      </w:r>
      <w:r>
        <w:rPr>
          <w:sz w:val="21"/>
          <w:szCs w:val="21"/>
          <w:lang w:bidi="en-US"/>
        </w:rPr>
        <w:t>，2004.4.</w:t>
      </w:r>
    </w:p>
    <w:p w14:paraId="0CAC6E94">
      <w:pPr>
        <w:pStyle w:val="27"/>
        <w:widowControl/>
        <w:tabs>
          <w:tab w:val="left" w:pos="642"/>
        </w:tabs>
        <w:spacing w:line="400" w:lineRule="exact"/>
        <w:ind w:left="0" w:firstLine="320"/>
        <w:jc w:val="both"/>
        <w:rPr>
          <w:rFonts w:hint="default"/>
          <w:sz w:val="21"/>
          <w:szCs w:val="21"/>
          <w:lang w:eastAsia="zh-TW"/>
        </w:rPr>
      </w:pPr>
      <w:r>
        <w:rPr>
          <w:sz w:val="21"/>
          <w:szCs w:val="21"/>
          <w:lang w:bidi="en-US"/>
        </w:rPr>
        <w:t>［2］</w:t>
      </w:r>
      <w:r>
        <w:rPr>
          <w:sz w:val="21"/>
          <w:szCs w:val="21"/>
          <w:lang w:bidi="en-US"/>
        </w:rPr>
        <w:tab/>
      </w:r>
      <w:r>
        <w:rPr>
          <w:sz w:val="21"/>
          <w:szCs w:val="21"/>
          <w:lang w:eastAsia="zh-TW"/>
        </w:rPr>
        <w:t>参见周振华.信息化与产业融合</w:t>
      </w:r>
      <w:r>
        <w:rPr>
          <w:sz w:val="21"/>
          <w:szCs w:val="21"/>
          <w:lang w:bidi="en-US"/>
        </w:rPr>
        <w:t>.</w:t>
      </w:r>
      <w:r>
        <w:rPr>
          <w:sz w:val="21"/>
          <w:szCs w:val="21"/>
          <w:lang w:eastAsia="zh-TW"/>
        </w:rPr>
        <w:t>上海三联书店、上海人民出版社</w:t>
      </w:r>
      <w:r>
        <w:rPr>
          <w:sz w:val="21"/>
          <w:szCs w:val="21"/>
          <w:lang w:bidi="en-US"/>
        </w:rPr>
        <w:t>，2003.12.</w:t>
      </w:r>
    </w:p>
    <w:p w14:paraId="58B488E3">
      <w:pPr>
        <w:pStyle w:val="27"/>
        <w:widowControl/>
        <w:tabs>
          <w:tab w:val="left" w:pos="647"/>
        </w:tabs>
        <w:spacing w:line="400" w:lineRule="exact"/>
        <w:ind w:left="0" w:firstLine="320"/>
        <w:jc w:val="both"/>
        <w:rPr>
          <w:rFonts w:hint="default"/>
          <w:sz w:val="21"/>
          <w:szCs w:val="21"/>
          <w:lang w:eastAsia="zh-TW"/>
        </w:rPr>
      </w:pPr>
      <w:r>
        <w:rPr>
          <w:sz w:val="21"/>
          <w:szCs w:val="21"/>
          <w:lang w:bidi="en-US"/>
        </w:rPr>
        <w:t>［3］</w:t>
      </w:r>
      <w:r>
        <w:rPr>
          <w:sz w:val="21"/>
          <w:szCs w:val="21"/>
          <w:lang w:bidi="en-US"/>
        </w:rPr>
        <w:tab/>
      </w:r>
      <w:r>
        <w:rPr>
          <w:sz w:val="21"/>
          <w:szCs w:val="21"/>
          <w:lang w:eastAsia="zh-TW"/>
        </w:rPr>
        <w:t>李连仲、李连第</w:t>
      </w:r>
      <w:r>
        <w:rPr>
          <w:sz w:val="21"/>
          <w:szCs w:val="21"/>
          <w:lang w:bidi="en-US"/>
        </w:rPr>
        <w:t>.</w:t>
      </w:r>
      <w:r>
        <w:rPr>
          <w:sz w:val="21"/>
          <w:szCs w:val="21"/>
          <w:lang w:eastAsia="zh-TW"/>
        </w:rPr>
        <w:t>当代跨国公司的发展和我国的对策</w:t>
      </w:r>
      <w:r>
        <w:rPr>
          <w:sz w:val="21"/>
          <w:szCs w:val="21"/>
          <w:lang w:bidi="en-US"/>
        </w:rPr>
        <w:t>.</w:t>
      </w:r>
      <w:r>
        <w:rPr>
          <w:sz w:val="21"/>
          <w:szCs w:val="21"/>
          <w:lang w:eastAsia="zh-TW"/>
        </w:rPr>
        <w:t>经济研究参考</w:t>
      </w:r>
      <w:r>
        <w:rPr>
          <w:sz w:val="21"/>
          <w:szCs w:val="21"/>
          <w:lang w:bidi="en-US"/>
        </w:rPr>
        <w:t>.2003.58.</w:t>
      </w:r>
    </w:p>
    <w:p w14:paraId="233B837F">
      <w:pPr>
        <w:pStyle w:val="27"/>
        <w:widowControl/>
        <w:tabs>
          <w:tab w:val="left" w:pos="647"/>
        </w:tabs>
        <w:spacing w:line="400" w:lineRule="exact"/>
        <w:ind w:left="0" w:firstLine="320"/>
        <w:jc w:val="both"/>
        <w:rPr>
          <w:rFonts w:hint="default"/>
          <w:sz w:val="21"/>
          <w:szCs w:val="21"/>
          <w:lang w:eastAsia="zh-TW"/>
        </w:rPr>
      </w:pPr>
      <w:r>
        <w:rPr>
          <w:sz w:val="21"/>
          <w:szCs w:val="21"/>
          <w:lang w:bidi="en-US"/>
        </w:rPr>
        <w:t>［4］</w:t>
      </w:r>
      <w:r>
        <w:rPr>
          <w:sz w:val="21"/>
          <w:szCs w:val="21"/>
          <w:lang w:bidi="en-US"/>
        </w:rPr>
        <w:tab/>
      </w:r>
      <w:r>
        <w:rPr>
          <w:sz w:val="21"/>
          <w:szCs w:val="21"/>
          <w:lang w:eastAsia="zh-TW"/>
        </w:rPr>
        <w:t>参见张士铤</w:t>
      </w:r>
      <w:r>
        <w:rPr>
          <w:sz w:val="21"/>
          <w:szCs w:val="21"/>
          <w:lang w:bidi="en-US"/>
        </w:rPr>
        <w:t>，</w:t>
      </w:r>
      <w:r>
        <w:rPr>
          <w:sz w:val="21"/>
          <w:szCs w:val="21"/>
          <w:lang w:eastAsia="zh-TW"/>
        </w:rPr>
        <w:t>跨国公司对我国制造业直接投资新动向研究</w:t>
      </w:r>
      <w:r>
        <w:rPr>
          <w:sz w:val="21"/>
          <w:szCs w:val="21"/>
          <w:lang w:bidi="en-US"/>
        </w:rPr>
        <w:t>.</w:t>
      </w:r>
      <w:r>
        <w:rPr>
          <w:sz w:val="21"/>
          <w:szCs w:val="21"/>
          <w:lang w:eastAsia="zh-TW"/>
        </w:rPr>
        <w:t>经济研究参考.</w:t>
      </w:r>
      <w:r>
        <w:rPr>
          <w:sz w:val="21"/>
          <w:szCs w:val="21"/>
          <w:lang w:bidi="en-US"/>
        </w:rPr>
        <w:t>2003.58.</w:t>
      </w:r>
    </w:p>
    <w:p w14:paraId="00654C0C">
      <w:pPr>
        <w:pStyle w:val="27"/>
        <w:widowControl/>
        <w:tabs>
          <w:tab w:val="left" w:pos="668"/>
        </w:tabs>
        <w:spacing w:line="400" w:lineRule="exact"/>
        <w:ind w:left="0" w:firstLine="320"/>
        <w:jc w:val="both"/>
        <w:rPr>
          <w:rFonts w:hint="default"/>
          <w:sz w:val="21"/>
          <w:szCs w:val="21"/>
          <w:lang w:eastAsia="zh-TW"/>
        </w:rPr>
      </w:pPr>
      <w:r>
        <w:rPr>
          <w:sz w:val="21"/>
          <w:szCs w:val="21"/>
          <w:lang w:bidi="en-US"/>
        </w:rPr>
        <w:t>［5］</w:t>
      </w:r>
      <w:r>
        <w:rPr>
          <w:sz w:val="21"/>
          <w:szCs w:val="21"/>
          <w:lang w:bidi="en-US"/>
        </w:rPr>
        <w:tab/>
      </w:r>
      <w:r>
        <w:rPr>
          <w:sz w:val="21"/>
          <w:szCs w:val="21"/>
          <w:lang w:eastAsia="zh-TW"/>
        </w:rPr>
        <w:t>参见杜德斌.跨国公司在上海的</w:t>
      </w:r>
      <w:r>
        <w:rPr>
          <w:sz w:val="21"/>
          <w:szCs w:val="21"/>
          <w:lang w:bidi="en-US"/>
        </w:rPr>
        <w:t>R&amp;D</w:t>
      </w:r>
      <w:r>
        <w:rPr>
          <w:sz w:val="21"/>
          <w:szCs w:val="21"/>
          <w:lang w:eastAsia="zh-TW"/>
        </w:rPr>
        <w:t>投资.载周振华、陈向明、黄建富主编.世界城市一国际经验与上海发展.上海社会科学院出版社</w:t>
      </w:r>
      <w:r>
        <w:rPr>
          <w:sz w:val="21"/>
          <w:szCs w:val="21"/>
          <w:lang w:bidi="en-US"/>
        </w:rPr>
        <w:t>，2004.5.</w:t>
      </w:r>
    </w:p>
    <w:p w14:paraId="2E055668">
      <w:pPr>
        <w:pStyle w:val="27"/>
        <w:widowControl/>
        <w:tabs>
          <w:tab w:val="left" w:pos="647"/>
        </w:tabs>
        <w:spacing w:line="400" w:lineRule="exact"/>
        <w:ind w:left="0" w:firstLine="320"/>
        <w:jc w:val="both"/>
        <w:rPr>
          <w:rFonts w:hint="default"/>
          <w:sz w:val="21"/>
          <w:szCs w:val="21"/>
          <w:lang w:eastAsia="zh-TW"/>
        </w:rPr>
      </w:pPr>
      <w:r>
        <w:rPr>
          <w:sz w:val="21"/>
          <w:szCs w:val="21"/>
          <w:lang w:bidi="en-US"/>
        </w:rPr>
        <w:t>［6］</w:t>
      </w:r>
      <w:r>
        <w:rPr>
          <w:sz w:val="21"/>
          <w:szCs w:val="21"/>
          <w:lang w:bidi="en-US"/>
        </w:rPr>
        <w:tab/>
      </w:r>
      <w:r>
        <w:rPr>
          <w:sz w:val="21"/>
          <w:szCs w:val="21"/>
          <w:lang w:eastAsia="zh-TW"/>
        </w:rPr>
        <w:t>上海市人民政府发展研究中心</w:t>
      </w:r>
      <w:r>
        <w:rPr>
          <w:sz w:val="21"/>
          <w:szCs w:val="21"/>
          <w:lang w:bidi="en-US"/>
        </w:rPr>
        <w:t>.</w:t>
      </w:r>
      <w:r>
        <w:rPr>
          <w:sz w:val="21"/>
          <w:szCs w:val="21"/>
          <w:lang w:eastAsia="zh-TW"/>
        </w:rPr>
        <w:t>2004±</w:t>
      </w:r>
      <w:r>
        <w:rPr>
          <w:i/>
          <w:iCs/>
          <w:sz w:val="21"/>
          <w:szCs w:val="21"/>
          <w:lang w:eastAsia="zh-TW"/>
        </w:rPr>
        <w:t>海经济年鉴</w:t>
      </w:r>
      <w:r>
        <w:rPr>
          <w:i/>
          <w:iCs/>
          <w:sz w:val="21"/>
          <w:szCs w:val="21"/>
          <w:lang w:bidi="en-US"/>
        </w:rPr>
        <w:t>.</w:t>
      </w:r>
      <w:r>
        <w:rPr>
          <w:sz w:val="21"/>
          <w:szCs w:val="21"/>
          <w:lang w:eastAsia="zh-TW"/>
        </w:rPr>
        <w:t>上海经济年鉴社</w:t>
      </w:r>
      <w:r>
        <w:rPr>
          <w:sz w:val="21"/>
          <w:szCs w:val="21"/>
          <w:lang w:bidi="en-US"/>
        </w:rPr>
        <w:t>，2004.6.</w:t>
      </w:r>
    </w:p>
    <w:p w14:paraId="5B5E9813">
      <w:pPr>
        <w:pStyle w:val="27"/>
        <w:widowControl/>
        <w:tabs>
          <w:tab w:val="left" w:pos="647"/>
        </w:tabs>
        <w:spacing w:line="400" w:lineRule="exact"/>
        <w:ind w:left="0" w:firstLine="320"/>
        <w:jc w:val="both"/>
        <w:rPr>
          <w:rFonts w:hint="default"/>
          <w:sz w:val="21"/>
          <w:szCs w:val="21"/>
          <w:lang w:eastAsia="zh-TW"/>
        </w:rPr>
      </w:pPr>
      <w:r>
        <w:rPr>
          <w:sz w:val="21"/>
          <w:szCs w:val="21"/>
          <w:lang w:bidi="en-US"/>
        </w:rPr>
        <w:t>［7］</w:t>
      </w:r>
      <w:r>
        <w:rPr>
          <w:sz w:val="21"/>
          <w:szCs w:val="21"/>
          <w:lang w:bidi="en-US"/>
        </w:rPr>
        <w:tab/>
      </w:r>
      <w:r>
        <w:rPr>
          <w:sz w:val="21"/>
          <w:szCs w:val="21"/>
          <w:lang w:eastAsia="zh-TW"/>
        </w:rPr>
        <w:t>参见殷醒民</w:t>
      </w:r>
      <w:r>
        <w:rPr>
          <w:sz w:val="21"/>
          <w:szCs w:val="21"/>
          <w:lang w:bidi="en-US"/>
        </w:rPr>
        <w:t>.</w:t>
      </w:r>
      <w:r>
        <w:rPr>
          <w:sz w:val="21"/>
          <w:szCs w:val="21"/>
          <w:lang w:eastAsia="zh-TW"/>
        </w:rPr>
        <w:t>论上海技术创新中的产业集聚性</w:t>
      </w:r>
      <w:r>
        <w:rPr>
          <w:sz w:val="21"/>
          <w:szCs w:val="21"/>
          <w:lang w:bidi="en-US"/>
        </w:rPr>
        <w:t>.</w:t>
      </w:r>
      <w:r>
        <w:rPr>
          <w:sz w:val="21"/>
          <w:szCs w:val="21"/>
          <w:lang w:eastAsia="zh-TW"/>
        </w:rPr>
        <w:t>复旦学报</w:t>
      </w:r>
      <w:r>
        <w:rPr>
          <w:sz w:val="21"/>
          <w:szCs w:val="21"/>
          <w:lang w:bidi="en-US"/>
        </w:rPr>
        <w:t>.2004.4.</w:t>
      </w:r>
    </w:p>
    <w:p w14:paraId="7336419D">
      <w:pPr>
        <w:pStyle w:val="29"/>
        <w:widowControl/>
        <w:spacing w:after="0" w:line="400" w:lineRule="exact"/>
        <w:ind w:right="0" w:firstLine="0"/>
        <w:jc w:val="both"/>
        <w:rPr>
          <w:rFonts w:hint="default" w:ascii="宋体" w:hAnsi="宋体" w:eastAsia="宋体" w:cs="宋体"/>
          <w:sz w:val="21"/>
          <w:szCs w:val="21"/>
          <w:lang w:eastAsia="zh-TW"/>
        </w:rPr>
      </w:pPr>
      <w:r>
        <w:rPr>
          <w:rFonts w:ascii="宋体" w:hAnsi="宋体" w:eastAsia="宋体" w:cs="宋体"/>
          <w:sz w:val="21"/>
          <w:szCs w:val="21"/>
          <w:lang w:eastAsia="zh-TW"/>
        </w:rPr>
        <w:t>（原载《毛泽东邓小平理论研究》，</w:t>
      </w:r>
      <w:r>
        <w:rPr>
          <w:rFonts w:ascii="宋体" w:hAnsi="宋体" w:eastAsia="宋体" w:cs="宋体"/>
          <w:sz w:val="21"/>
          <w:szCs w:val="21"/>
        </w:rPr>
        <w:t>2</w:t>
      </w:r>
      <w:r>
        <w:rPr>
          <w:rFonts w:hint="default" w:ascii="宋体" w:hAnsi="宋体" w:eastAsia="宋体" w:cs="宋体"/>
          <w:sz w:val="21"/>
          <w:szCs w:val="21"/>
        </w:rPr>
        <w:t>005</w:t>
      </w:r>
      <w:r>
        <w:rPr>
          <w:rFonts w:ascii="宋体" w:hAnsi="宋体" w:eastAsia="宋体" w:cs="宋体"/>
          <w:sz w:val="21"/>
          <w:szCs w:val="21"/>
        </w:rPr>
        <w:t>年第1期</w:t>
      </w:r>
      <w:r>
        <w:rPr>
          <w:rFonts w:ascii="宋体" w:hAnsi="宋体" w:eastAsia="宋体" w:cs="宋体"/>
          <w:sz w:val="21"/>
          <w:szCs w:val="21"/>
          <w:lang w:eastAsia="zh-TW"/>
        </w:rPr>
        <w:t>）</w:t>
      </w:r>
      <w:r>
        <w:rPr>
          <w:rFonts w:hint="default" w:ascii="宋体" w:hAnsi="宋体" w:eastAsia="宋体" w:cs="宋体"/>
          <w:sz w:val="21"/>
          <w:szCs w:val="21"/>
          <w:lang w:eastAsia="zh-TW"/>
        </w:rPr>
        <w:br w:type="page"/>
      </w:r>
    </w:p>
    <w:p w14:paraId="7485A780">
      <w:pPr>
        <w:pStyle w:val="29"/>
        <w:widowControl/>
        <w:spacing w:after="0" w:line="400" w:lineRule="exact"/>
        <w:ind w:right="0" w:firstLine="0"/>
        <w:jc w:val="both"/>
        <w:rPr>
          <w:rFonts w:hint="default" w:ascii="宋体" w:hAnsi="宋体" w:eastAsia="宋体" w:cs="宋体"/>
          <w:sz w:val="21"/>
          <w:szCs w:val="21"/>
          <w:lang w:eastAsia="zh-TW"/>
        </w:rPr>
      </w:pPr>
    </w:p>
    <w:p w14:paraId="0AE3968A">
      <w:pPr>
        <w:pStyle w:val="3"/>
        <w:widowControl/>
        <w:spacing w:before="0" w:after="0" w:line="360" w:lineRule="auto"/>
        <w:jc w:val="center"/>
        <w:rPr>
          <w:rFonts w:ascii="黑体" w:hAnsi="黑体" w:eastAsia="黑体"/>
          <w:b w:val="0"/>
          <w:bCs w:val="0"/>
        </w:rPr>
      </w:pPr>
      <w:bookmarkStart w:id="469" w:name="_Toc22533"/>
      <w:bookmarkStart w:id="470" w:name="_Toc257922061"/>
      <w:bookmarkStart w:id="471" w:name="_Toc111148941"/>
      <w:bookmarkStart w:id="472" w:name="_Toc1017788346"/>
      <w:bookmarkStart w:id="473" w:name="_Toc1445811335"/>
      <w:r>
        <w:rPr>
          <w:rFonts w:ascii="黑体" w:hAnsi="黑体" w:eastAsia="黑体"/>
          <w:b w:val="0"/>
          <w:bCs w:val="0"/>
        </w:rPr>
        <w:t>3新自由主义的起源、发展及其影响</w:t>
      </w:r>
      <w:bookmarkEnd w:id="469"/>
      <w:bookmarkEnd w:id="470"/>
      <w:bookmarkEnd w:id="471"/>
      <w:bookmarkEnd w:id="472"/>
      <w:bookmarkEnd w:id="473"/>
    </w:p>
    <w:p w14:paraId="58F57C02">
      <w:pPr>
        <w:spacing w:before="147" w:beforeLines="50" w:line="300" w:lineRule="auto"/>
        <w:ind w:firstLine="440" w:firstLineChars="200"/>
        <w:rPr>
          <w:rFonts w:ascii="宋体" w:hAnsi="宋体" w:eastAsia="宋体" w:cs="Times New Roman"/>
        </w:rPr>
      </w:pPr>
      <w:r>
        <w:rPr>
          <w:rFonts w:hint="eastAsia" w:ascii="宋体" w:hAnsi="宋体" w:eastAsia="宋体" w:cs="Times New Roman"/>
          <w:lang w:bidi="ar"/>
        </w:rPr>
        <w:t>新自由主义经济思潮也称新保守主义经济思潮，是20世纪30年代后在反凯恩斯主义的过程中逐渐形成和发展起来的当代西方经济学说。1929—1933年，资本主义世界经济危机对古典自由主义经济学形成了巨大的冲击，古典自由主义经济学的统治地位被凯恩斯主义所取代。然而，仍有少数经济学家坚持自由主义经济的信条，同凯恩斯主义对抗，主张回到自由放任的市场经济，反对国家干预。到了70年代，特别是在1974-1975年的经济危机以后，资本主义国家普遍出现了失业与通货膨胀并存的滞胀局面，使凯恩斯主义陷于重重矛盾的境地。正是在这样的背景下，新自由主义的经济思潮又重新抬头，并获得一定的市场。</w:t>
      </w:r>
    </w:p>
    <w:p w14:paraId="0193F836">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新自由主义经济思潮的内涵与特点</w:t>
      </w:r>
    </w:p>
    <w:p w14:paraId="1DFCD654">
      <w:pPr>
        <w:spacing w:line="300" w:lineRule="auto"/>
        <w:ind w:firstLine="440" w:firstLineChars="200"/>
        <w:rPr>
          <w:rFonts w:ascii="宋体" w:hAnsi="宋体" w:eastAsia="宋体" w:cs="Times New Roman"/>
        </w:rPr>
      </w:pPr>
      <w:r>
        <w:rPr>
          <w:rFonts w:hint="eastAsia" w:ascii="宋体" w:hAnsi="宋体" w:eastAsia="宋体" w:cs="Times New Roman"/>
          <w:lang w:bidi="ar"/>
        </w:rPr>
        <w:t>新自由主义经济思潮包括的学派主要有：伦敦学派、现代货币学派、理性预期学派、供给学派、弗莱堡学派、公共选择学派、产权经济学派。其中，伦敦学派是最彻底的自由主义，现代货币学派是新自由主义中影响最大的学派。这些学派之所以都归入新自由主义的学说范围，是因为它们在一些基本思想方面具有共同点。</w:t>
      </w:r>
    </w:p>
    <w:p w14:paraId="4F80510B">
      <w:pPr>
        <w:spacing w:line="300" w:lineRule="auto"/>
        <w:ind w:firstLine="440" w:firstLineChars="200"/>
        <w:rPr>
          <w:rFonts w:ascii="宋体" w:hAnsi="宋体" w:eastAsia="宋体" w:cs="Times New Roman"/>
          <w:b/>
        </w:rPr>
      </w:pPr>
      <w:r>
        <w:rPr>
          <w:rFonts w:hint="eastAsia" w:ascii="宋体" w:hAnsi="宋体" w:eastAsia="宋体" w:cs="Times New Roman"/>
          <w:b/>
          <w:lang w:bidi="ar"/>
        </w:rPr>
        <w:t>第一，主张非调控化：推崇市场原教旨主义，反对国家干预。</w:t>
      </w:r>
    </w:p>
    <w:p w14:paraId="72126410">
      <w:pPr>
        <w:spacing w:line="300" w:lineRule="auto"/>
        <w:ind w:firstLine="440" w:firstLineChars="200"/>
        <w:rPr>
          <w:rFonts w:ascii="宋体" w:hAnsi="宋体" w:eastAsia="宋体" w:cs="Times New Roman"/>
        </w:rPr>
      </w:pPr>
      <w:r>
        <w:rPr>
          <w:rFonts w:hint="eastAsia" w:ascii="宋体" w:hAnsi="宋体" w:eastAsia="宋体" w:cs="Times New Roman"/>
          <w:lang w:bidi="ar"/>
        </w:rPr>
        <w:t>尽管新自由主义经济学家不可能完全拒绝利用国家干预来稳定现代市场经济运行，但推崇“市场万能”的市场机制作用，强调国家对经济运行和经济活动的调控与干预越少越好，一切顺从自由市场的利润最大化原则，这是新自由主义理论的核心内容。他们确立这一基本观点的依据有以下两点。</w:t>
      </w:r>
    </w:p>
    <w:p w14:paraId="2D44A7D1">
      <w:pPr>
        <w:spacing w:line="300" w:lineRule="auto"/>
        <w:ind w:firstLine="440" w:firstLineChars="200"/>
        <w:rPr>
          <w:rFonts w:ascii="宋体" w:hAnsi="宋体" w:eastAsia="宋体" w:cs="Times New Roman"/>
        </w:rPr>
      </w:pPr>
      <w:r>
        <w:rPr>
          <w:rFonts w:hint="eastAsia" w:ascii="宋体" w:hAnsi="宋体" w:eastAsia="宋体" w:cs="Times New Roman"/>
          <w:lang w:bidi="ar"/>
        </w:rPr>
        <w:t>一是经济活动是有规律的，国家调控是造成经济不稳定的主要根源。新自由主义者坚信，只有实行市场竞争制度，充分发挥市场机制的作用，才能提供为技术进步所需的多样性、复杂性和灵活性，而国家的宏观管理和干预恰恰阻碍了技术进步。国家采取的任何干预经济的政策和措施，归根到底都是徒劳无益的。管得最少的政府是最好的政府，国家不干预经济是对经济最好的管理。要使经济保持稳定，唯一有效的办法是国家听任经济自然发展。</w:t>
      </w:r>
    </w:p>
    <w:p w14:paraId="27E7AD4B">
      <w:pPr>
        <w:spacing w:line="300" w:lineRule="auto"/>
        <w:ind w:firstLine="440" w:firstLineChars="200"/>
        <w:rPr>
          <w:rFonts w:ascii="宋体" w:hAnsi="宋体" w:eastAsia="宋体" w:cs="Times New Roman"/>
        </w:rPr>
      </w:pPr>
      <w:r>
        <w:rPr>
          <w:rFonts w:hint="eastAsia" w:ascii="宋体" w:hAnsi="宋体" w:eastAsia="宋体" w:cs="Times New Roman"/>
          <w:lang w:bidi="ar"/>
        </w:rPr>
        <w:t>二是个人自由主义。新自由主义认为，个人自由主义是自由市场制度存在的基础，也是经济自由的基本出发点。社会是由单个自由人构成的，社会财富的增加源于自由人的经济活动。个人有了自由选择的权利，才能保证社会的进步和创造。尊重个人自由，就要让个人在市场中自由选择，国家不应该进行干预。这种以个人自由为基础的自由市场制度，是效率最高的，因而也是最好的制度。新自由主义的代表人物哈耶克说：“人类的主要问题是，这些有限的关心（事实上它的确决定了人们的行动）是怎样能够产生有效的刺激以使他们自愿尽其所能为那些他们不了解的需要作出贡献。经济学家们认为发展完善的市场是一种使得人们加入比他们所理解的更为广泛深入的一种过程的有效方式，正是通过市场才使得他们能够为‘与自己毫不相干’的目标贡献力量。”（《个人主义与经济秩序》第15页，北京经济学院出版社1989年版）在自由市场制度下，个人在为自己利益进行努力的同时，可以自动地为别人和社会的利益作出贡献。</w:t>
      </w:r>
    </w:p>
    <w:p w14:paraId="324670AA">
      <w:pPr>
        <w:spacing w:line="300" w:lineRule="auto"/>
        <w:ind w:firstLine="440" w:firstLineChars="200"/>
        <w:rPr>
          <w:rFonts w:ascii="宋体" w:hAnsi="宋体" w:eastAsia="宋体" w:cs="Times New Roman"/>
          <w:b/>
        </w:rPr>
      </w:pPr>
      <w:r>
        <w:rPr>
          <w:rFonts w:hint="eastAsia" w:ascii="宋体" w:hAnsi="宋体" w:eastAsia="宋体" w:cs="Times New Roman"/>
          <w:b/>
          <w:lang w:bidi="ar"/>
        </w:rPr>
        <w:t>第二，主张私有化：宣扬“私有产权神话”的永恒作用，反对公有制。</w:t>
      </w:r>
    </w:p>
    <w:p w14:paraId="1A03FDC6">
      <w:pPr>
        <w:spacing w:line="300" w:lineRule="auto"/>
        <w:ind w:firstLine="440" w:firstLineChars="200"/>
        <w:rPr>
          <w:rFonts w:ascii="宋体" w:hAnsi="宋体" w:eastAsia="宋体" w:cs="Times New Roman"/>
        </w:rPr>
      </w:pPr>
      <w:r>
        <w:rPr>
          <w:rFonts w:hint="eastAsia" w:ascii="宋体" w:hAnsi="宋体" w:eastAsia="宋体" w:cs="Times New Roman"/>
          <w:lang w:bidi="ar"/>
        </w:rPr>
        <w:t>新自由主义经济学家是私有化的狂热拥护者，认为私有制经济具有自身内在的稳定性，在市场这只“看不见的手”的调节下，私有经济能够自动地实现经济的均衡，使经济稳定在可接受的失业水平上。私有制经济的这种优势是公有制经济所没有的。新自由主义还认为，私有制经济的最大好处在于它保证了个人的自由，私有制不仅是有产者个人自由的最重要保证，也是无产者个人自由的最重要保证。这是因为，穷人通过个人努力就可能致富，而且穷人致富的努力不会受到任何人的阻碍。包括穷人在内的任何人，都有选择职业的自由，都能够通过施展才华和努力工作致富。虽然在私有制社会里，富人在机会方面受到的限制要比穷人少得多，从而人们收入可能不均等，但每一个人致富的机会是均等的。</w:t>
      </w:r>
    </w:p>
    <w:p w14:paraId="2E9BD007">
      <w:pPr>
        <w:spacing w:line="300" w:lineRule="auto"/>
        <w:ind w:firstLine="440" w:firstLineChars="200"/>
        <w:rPr>
          <w:rFonts w:ascii="宋体" w:hAnsi="宋体" w:eastAsia="宋体" w:cs="Times New Roman"/>
        </w:rPr>
      </w:pPr>
      <w:r>
        <w:rPr>
          <w:rFonts w:hint="eastAsia" w:ascii="宋体" w:hAnsi="宋体" w:eastAsia="宋体" w:cs="Times New Roman"/>
          <w:lang w:bidi="ar"/>
        </w:rPr>
        <w:t>新自由主义又认为，私有制能够给人们自由选择的权利，应当用个人自由高于一切的观念来支配个人的行动。由于生产资料归个人所有，个人愿意生产什么就生产什么，没有人加以限制。企业主可以在不受任何束缚的条件下充分发挥积极性，从而使价格下降，国民收入上升，需求增加，有效地推动经济发展。</w:t>
      </w:r>
    </w:p>
    <w:p w14:paraId="6A64BB4F">
      <w:pPr>
        <w:spacing w:line="300" w:lineRule="auto"/>
        <w:ind w:firstLine="440" w:firstLineChars="200"/>
        <w:rPr>
          <w:rFonts w:ascii="宋体" w:hAnsi="宋体" w:eastAsia="宋体" w:cs="Times New Roman"/>
        </w:rPr>
      </w:pPr>
      <w:r>
        <w:rPr>
          <w:rFonts w:hint="eastAsia" w:ascii="宋体" w:hAnsi="宋体" w:eastAsia="宋体" w:cs="Times New Roman"/>
          <w:lang w:bidi="ar"/>
        </w:rPr>
        <w:t>新自由主义在鼓吹“私有产权神话”的同时，还极力反对公有制。他们认为，在废除了私有制的公有制社会里，穷人名义上成了公有财产的主人翁，但同时却不得不服从于拥有极大的垄断权的国家管理机构，完全受这个庞大的管理体制所支配。他们得出的结论是：私有制社会是一个富人得势的社会，公有制社会是一个得了势的人才能致富的社会，而一个富人得势的世界要比一个只有得了势的人才能致富的世界更好些。依哈耶克所见：“正是由于生产资料掌握在许多个独立行动的人的手里这个唯一的缘故，才没有人来控制我们的全权，我们才能够以个人的身份来决定我们要做的事情。如果所有的生产资料都落在一个人手里，不管它在名义上是属于整个‘社会’，或是属于独裁者，谁操有这个管理权，谁就有全权管制我们。”（《通向奴役的道路》第101页，中国社会科学出版社1997年版）</w:t>
      </w:r>
    </w:p>
    <w:p w14:paraId="3A633DC6">
      <w:pPr>
        <w:spacing w:line="300" w:lineRule="auto"/>
        <w:ind w:firstLine="440" w:firstLineChars="200"/>
        <w:rPr>
          <w:rFonts w:ascii="宋体" w:hAnsi="宋体" w:eastAsia="宋体" w:cs="Times New Roman"/>
          <w:b/>
        </w:rPr>
      </w:pPr>
      <w:r>
        <w:rPr>
          <w:rFonts w:hint="eastAsia" w:ascii="宋体" w:hAnsi="宋体" w:eastAsia="宋体" w:cs="Times New Roman"/>
          <w:b/>
          <w:lang w:bidi="ar"/>
        </w:rPr>
        <w:t>第三，主张全球自由化：维护美国主导下的自由经济，反对建立国际经济新秩序。</w:t>
      </w:r>
    </w:p>
    <w:p w14:paraId="5B897472">
      <w:pPr>
        <w:spacing w:line="300" w:lineRule="auto"/>
        <w:ind w:firstLine="440" w:firstLineChars="200"/>
        <w:rPr>
          <w:rFonts w:ascii="宋体" w:hAnsi="宋体" w:eastAsia="宋体" w:cs="Times New Roman"/>
        </w:rPr>
      </w:pPr>
      <w:r>
        <w:rPr>
          <w:rFonts w:hint="eastAsia" w:ascii="宋体" w:hAnsi="宋体" w:eastAsia="宋体" w:cs="Times New Roman"/>
          <w:lang w:bidi="ar"/>
        </w:rPr>
        <w:t>新自由主义把市场原教旨主义推广到世界范围，从理论和政策上推行私人跨国公司支配下的全球自由贸易和自由金融，颂扬实行霸权主义和单边主义的美国通过控制国际经济组织来主导世界经济运行，不赞成许多国家要求重新建立或健全国际经济新秩序的合理意见。</w:t>
      </w:r>
    </w:p>
    <w:p w14:paraId="74C0D5CB">
      <w:pPr>
        <w:spacing w:line="300" w:lineRule="auto"/>
        <w:ind w:firstLine="440" w:firstLineChars="200"/>
        <w:rPr>
          <w:rFonts w:ascii="宋体" w:hAnsi="宋体" w:eastAsia="宋体" w:cs="Times New Roman"/>
        </w:rPr>
      </w:pPr>
      <w:r>
        <w:rPr>
          <w:rFonts w:hint="eastAsia" w:ascii="宋体" w:hAnsi="宋体" w:eastAsia="宋体" w:cs="Times New Roman"/>
          <w:lang w:bidi="ar"/>
        </w:rPr>
        <w:t>在新自由主义看来，各国取消任何经济保护，让各种生产要素和资源)除了劳动力要素，在国家之间自由流动，实现贸易和金融的完全自由化与国际化，最有利于资源的高效配置和比较优势的充分发挥。他们重点向不发达国家推销其经济理论和政策，要求这些国家不顾本国经济发展水平、国际贸易和国际金融等国内外条件是否成熟，尽快实行完全的利率自由浮动。外汇自由交易等金融自由化，尽快取消关税和对外资的产业限制政策等贸易自由化。</w:t>
      </w:r>
    </w:p>
    <w:p w14:paraId="648EB053">
      <w:pPr>
        <w:spacing w:line="300" w:lineRule="auto"/>
        <w:ind w:firstLine="440" w:firstLineChars="200"/>
        <w:rPr>
          <w:rFonts w:ascii="宋体" w:hAnsi="宋体" w:eastAsia="宋体" w:cs="Times New Roman"/>
        </w:rPr>
      </w:pPr>
      <w:r>
        <w:rPr>
          <w:rFonts w:hint="eastAsia" w:ascii="宋体" w:hAnsi="宋体" w:eastAsia="宋体" w:cs="Times New Roman"/>
          <w:lang w:bidi="ar"/>
        </w:rPr>
        <w:t>与此同时，新自由主义经济学家站在美国等发达资本主义国家的立场，赞扬它们凭借其所控制的国际货币基金组织、世界银行、国际清算银行、世界贸易组织、国际会计准则的一系列组织和行业规则来控制世界各国，实行美国模式的世界经济一体化。世界银行前首席经济学家、新凯恩斯主义的代表人物约瑟夫·斯蒂格利茨尖锐批评了新自由主义的结构调整。 他说，实际上世界银行、国际货币基金组织和世界贸易组织这三个组织都是单一统治秩序下的可互相调换使用的面具，许多规则是由他们共同制定的。它们会在每个国家都实施“结构调整”的“四部曲”：第一步是私有化，准确说就是腐败化。在这个过程中，削价出售国有资产的回扣率会达到10%，而这些资产动辄价值数亿美元。第二步是国际货币基金组织和世行的“拯救经济计划”——资本市场自由化，即允许资本自由流进流出。投机的“热钱”只是单方向不断流出。一个国家的储备在几小时、几天内就流干了。第三步是价格市场化。 在粮食、水、燃气价格飞涨的时期，它引发骚乱和动荡，进而引起新的资本恐慌性出逃和政府的崩溃，外国公司就趁机以“跳楼价”买到那些价值连城的东西。第四步是“消灭贫困计划”——自由贸易。约瑟夫·斯蒂格利茨把这种贸易自由化比作以金融和财政手段进行的鸦片战争。（参见《一个冰凉的世界——国际货币基金组织带你去地狱的四个步骤》，英国《观察家》杂志2001年7月号；《国外理论动态》2001年第12期）</w:t>
      </w:r>
    </w:p>
    <w:p w14:paraId="4C0C1832">
      <w:pPr>
        <w:spacing w:line="300" w:lineRule="auto"/>
        <w:ind w:firstLine="440" w:firstLineChars="200"/>
        <w:rPr>
          <w:rFonts w:ascii="宋体" w:hAnsi="宋体" w:eastAsia="宋体" w:cs="Times New Roman"/>
          <w:b/>
        </w:rPr>
      </w:pPr>
      <w:r>
        <w:rPr>
          <w:rFonts w:hint="eastAsia" w:ascii="宋体" w:hAnsi="宋体" w:eastAsia="宋体" w:cs="Times New Roman"/>
          <w:b/>
          <w:lang w:bidi="ar"/>
        </w:rPr>
        <w:t>第四，主张福利个人化。强调保障的责任由国家向个人转移，反对福利国家。</w:t>
      </w:r>
    </w:p>
    <w:p w14:paraId="06382B6B">
      <w:pPr>
        <w:spacing w:line="300" w:lineRule="auto"/>
        <w:ind w:firstLine="440" w:firstLineChars="200"/>
        <w:rPr>
          <w:rFonts w:ascii="宋体" w:hAnsi="宋体" w:eastAsia="宋体" w:cs="Times New Roman"/>
        </w:rPr>
      </w:pPr>
      <w:r>
        <w:rPr>
          <w:rFonts w:hint="eastAsia" w:ascii="宋体" w:hAnsi="宋体" w:eastAsia="宋体" w:cs="Times New Roman"/>
          <w:lang w:bidi="ar"/>
        </w:rPr>
        <w:t>新自由主义认为，基于高税收政策的“福利国家”导致经济上的低效率，弱化了人们工作、储蓄和投资的动机；“充分就业”政策减少了私营部门的劳动力供应，使经济发展缺乏弹性；以养老、就业和医疗等为主要内容的全民福利，摧毁了个人自我照顾的能力，增加了个人依赖国家的惰性。在哈耶克看来，福利国家是一种人为的设计而不是单纯的人类行动，完全忽视了一个自由市场经济社会中建立“自发秩序”的必要条件。</w:t>
      </w:r>
    </w:p>
    <w:p w14:paraId="157C8581">
      <w:pPr>
        <w:spacing w:line="300" w:lineRule="auto"/>
        <w:ind w:firstLine="440" w:firstLineChars="200"/>
        <w:rPr>
          <w:rFonts w:ascii="宋体" w:hAnsi="宋体" w:eastAsia="宋体" w:cs="Times New Roman"/>
        </w:rPr>
      </w:pPr>
      <w:r>
        <w:rPr>
          <w:rFonts w:hint="eastAsia" w:ascii="宋体" w:hAnsi="宋体" w:eastAsia="宋体" w:cs="Times New Roman"/>
          <w:lang w:bidi="ar"/>
        </w:rPr>
        <w:t>综上所述，新自由主义经济思潮的本质特征，就是在凯恩斯主义基础上“倒退”、“回归”（回归斯密）的现代自由主义。按照英语世界的传统，这就是“右”的，“保守”的，称之为新保守主义经济思潮更能显示其本质，也符合英语传统的准确称谓。正如智利的拉美经济与国际政策研究中心主任S·比塔尔所指出的：“在拉美，‘新自由主义’这一术语被用来指实现私有化、放弃管制、减少国家的作用以及在贸易和金融领域中扩大开放度等经济政策。 但在英语中，这一政策方法被称作‘新保守主义’。”（ 《新自由主义与拉美的新结构主义之争》，《拉美经委会评论》1998年4月号）</w:t>
      </w:r>
    </w:p>
    <w:p w14:paraId="7D81F978">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新自由主义经济实践的后果</w:t>
      </w:r>
    </w:p>
    <w:p w14:paraId="5F6561BE">
      <w:pPr>
        <w:spacing w:line="300" w:lineRule="auto"/>
        <w:ind w:firstLine="440" w:firstLineChars="200"/>
        <w:rPr>
          <w:rFonts w:ascii="宋体" w:hAnsi="宋体" w:eastAsia="宋体" w:cs="Times New Roman"/>
        </w:rPr>
      </w:pPr>
      <w:r>
        <w:rPr>
          <w:rFonts w:hint="eastAsia" w:ascii="宋体" w:hAnsi="宋体" w:eastAsia="宋体" w:cs="Times New Roman"/>
          <w:lang w:bidi="ar"/>
        </w:rPr>
        <w:t>新自由主义为世界经济制定的方案有三个基本方面：第一，对国民经济实行私有化和非调控化，使市场作用最大化，国家职能最小化；第二，国家完全取消贸易壁垒，向跨国资本开放经济，实行贸易和金融自由化；第三，压低通货膨胀，从根本上控制财政预算赤字。但在不同国家，这三个方面具体实施的措施及其重点则有很大不同。</w:t>
      </w:r>
    </w:p>
    <w:p w14:paraId="73C0FB6F">
      <w:pPr>
        <w:spacing w:line="300" w:lineRule="auto"/>
        <w:ind w:firstLine="440" w:firstLineChars="200"/>
        <w:rPr>
          <w:rFonts w:ascii="宋体" w:hAnsi="宋体" w:eastAsia="宋体" w:cs="Times New Roman"/>
        </w:rPr>
      </w:pPr>
      <w:r>
        <w:rPr>
          <w:rFonts w:hint="eastAsia" w:ascii="宋体" w:hAnsi="宋体" w:eastAsia="宋体" w:cs="Times New Roman"/>
          <w:lang w:bidi="ar"/>
        </w:rPr>
        <w:t>在发达国家，新自由主义具体实施的经济政策主要包括：紧缩货币供给，压低工资，抑制通货膨胀；解除政府部门对私人企业的管制，减税刺激投资，削减社会福利支出和打击工会。在拉美、亚非发展中国家和前苏联、东欧等社会主义国家，新自由主义推行的经济政策主要是私有化、自由化和非调控化。在国际贸易和国际金融领域，新自由主义最主要的观点是主张解除对国际商品贸易、服务和资本流动的一切障碍，实现世界范围的自由贸易和自由资本流动。新自由主义的这一系列政策对世界经济产生了重大影响。凡是实施了新自由主义经济政策的国家，几乎都发生了经济萧条，甚至严重的经济衰退。</w:t>
      </w:r>
    </w:p>
    <w:p w14:paraId="4E8A9619">
      <w:pPr>
        <w:spacing w:line="300" w:lineRule="auto"/>
        <w:ind w:firstLine="440" w:firstLineChars="200"/>
        <w:rPr>
          <w:rFonts w:ascii="宋体" w:hAnsi="宋体" w:eastAsia="宋体" w:cs="Times New Roman"/>
        </w:rPr>
      </w:pPr>
      <w:r>
        <w:rPr>
          <w:rFonts w:hint="eastAsia" w:ascii="宋体" w:hAnsi="宋体" w:eastAsia="宋体" w:cs="Times New Roman"/>
          <w:lang w:bidi="ar"/>
        </w:rPr>
        <w:t>新自由主义并没有促进发达资本主义国家的经济增长。在1979年撒切尔夫人担任英国首相，1980年里根担任美国总统以后，新自由主义开始占据西方国家经济政策取向的主流地位，公共部门企业和服务的私有化、削减税率、减少公共开支和社会福利支出、放松市场管制等一系列自由化改革相继进行。然而，从1973年到90年代初，美国和英国领导的新自由主义经济调整并没有表现出良好的业绩。1973-1992年，人均真实国内生产总值年增长率，西欧为1.8%,，美国为1.4%，均分别低于1950-1973年的3.9%、2.4%。被誉为“新经济”的美国，在克林顿时代连续近10年的持续低通胀增长，实际上并不是历史上最好的时期。1991-2000年，美国年均真实GDP增长率仅比商业周期1980-1981年的2.5%高，为3.7%，低于1961-1969年的4.9%、1970—1973年的4.8%、1975-1979年的4.7%和1982-1990年的4.0%。克林顿时代进行的相对国家干预、信息技术革命，以及通过对工会力量的打击和限制来压低工资、降低边际税率对资本投资的刺激，用消费信贷拉动超前消费等，远没有使美国经济达到新自由主义描绘的神话境地。美国工业生产能力的利用率已从上个周期末2000年的历史最低水平80.7%下降到2002年12月的73.6%。这就是说，美国在实行新自由主义的经济政策后，似乎经济有了相当发展，但只要对美国的统计数字稍加分析，就不难看出这只不过是表面的繁荣，实际上还埋下了股市泡沫、私人部门债务膨胀、财政赤字不断扩大等隐患。即使在高科技、高利军火和经济霸权时代，美国经济的发展速度也并不快，而且发生过经济衰退。</w:t>
      </w:r>
    </w:p>
    <w:p w14:paraId="20A90761">
      <w:pPr>
        <w:spacing w:line="300" w:lineRule="auto"/>
        <w:ind w:firstLine="440" w:firstLineChars="200"/>
        <w:rPr>
          <w:rFonts w:ascii="宋体" w:hAnsi="宋体" w:eastAsia="宋体" w:cs="Times New Roman"/>
        </w:rPr>
      </w:pPr>
      <w:r>
        <w:rPr>
          <w:rFonts w:hint="eastAsia" w:ascii="宋体" w:hAnsi="宋体" w:eastAsia="宋体" w:cs="Times New Roman"/>
          <w:lang w:bidi="ar"/>
        </w:rPr>
        <w:t>二战后至70年代，由于冷战的需要，美国政府及国际货币基金组织等采取了支持西方各国发展的宽松态度，较少干涉各国经济主权和经济决策。但是，自美英向世界各国推销“华盛顿共识”以后，日本、德国等发达国家重视工业生产、重视国家干预经济的政策开始受到美国政府的阻挠，结果大大削弱了政府控制国民经济活动的能力，全球金融泡沫更迅速、更大规模地扩展开来。即使是在精通美欧新自由主义经济学各流派理论和政策的日本，虽然推行了10多年新自由主义经济政策，但依然不能启动和繁荣整个国民经济。</w:t>
      </w:r>
    </w:p>
    <w:p w14:paraId="50D68719">
      <w:pPr>
        <w:spacing w:line="300" w:lineRule="auto"/>
        <w:ind w:firstLine="440" w:firstLineChars="200"/>
        <w:rPr>
          <w:rFonts w:ascii="宋体" w:hAnsi="宋体" w:eastAsia="宋体" w:cs="Times New Roman"/>
        </w:rPr>
      </w:pPr>
      <w:r>
        <w:rPr>
          <w:rFonts w:hint="eastAsia" w:ascii="宋体" w:hAnsi="宋体" w:eastAsia="宋体" w:cs="Times New Roman"/>
          <w:lang w:bidi="ar"/>
        </w:rPr>
        <w:t>新自由主义也未能促进发展中资本主义国家的经济发展。以新自由主义经济学在拉美国家的试验为例。20世纪70年代以来，在新自由主义影响下，智利、阿根廷、乌拉圭等国先后实行了对外开放的贸易自由化政策，加快进行国营企业私有化，减少甚至取消国家对价格、汇率、利率、租金、工资等的全面干预和控制，开放金融市场，放宽对外资的限制。 但是，阿根廷、乌拉圭的新自由主义改革“试验”，均以失败告终。智利的新自由主义改革虽取得了一定成效，但也付出了高昂代价。1976—1983年，破产企业增加了7倍，银行业几乎崩溃，失业率达30%，特别是金融政策的失误，导致国家在80年代初几乎无法偿还外债，国家用80%的出口收入偿债，经济陷入了严重的危机之中。20 世纪90年代10年间，整个拉美地区贫困人数上升到总人口数的44%，拉美占世界贸易的份额1970年为8%，1980年降为5%，1990年只有3%。1982-1991年，拉美地区经济增长率仅为1.8%，大大低于世界3.3%的平均增长率，甚至低于2.25%的非洲地区的经济增长率。2002年，斯蒂格利茨指出，最近10年拉美的经济增长率，仅是60年代和70年代的一半。从1982年墨西哥金融危机引发的拉美债务危机，到1994年墨西哥再次爆发金融危机，到1999年巴西发生金融危机。再到2001年阿根廷爆发金融危机，实行新自由主义改革的拉美地区社会经济危机不断。</w:t>
      </w:r>
    </w:p>
    <w:p w14:paraId="78F6BE40">
      <w:pPr>
        <w:spacing w:line="300" w:lineRule="auto"/>
        <w:ind w:firstLine="440" w:firstLineChars="200"/>
        <w:rPr>
          <w:rFonts w:ascii="宋体" w:hAnsi="宋体" w:eastAsia="宋体" w:cs="Times New Roman"/>
        </w:rPr>
      </w:pPr>
      <w:r>
        <w:rPr>
          <w:rFonts w:hint="eastAsia" w:ascii="宋体" w:hAnsi="宋体" w:eastAsia="宋体" w:cs="Times New Roman"/>
          <w:lang w:bidi="ar"/>
        </w:rPr>
        <w:t>大多数发展中国家推行新自由主义“结构调整”改革的结果，都是民族工业的发展遭到了致命的打击，政府控制国内经济和金融活动的能力大大削弱，经济安全、民族独立和国家主权不断弱化，与发达国家的经济差距越来越大。</w:t>
      </w:r>
    </w:p>
    <w:p w14:paraId="38D11F8F">
      <w:pPr>
        <w:spacing w:line="360" w:lineRule="auto"/>
        <w:ind w:firstLine="420"/>
        <w:rPr>
          <w:rFonts w:ascii="宋体" w:hAnsi="宋体" w:eastAsia="宋体" w:cs="宋体"/>
          <w:b/>
          <w:bCs/>
          <w:color w:val="000000"/>
          <w:kern w:val="0"/>
          <w:sz w:val="24"/>
          <w:lang w:bidi="ar"/>
        </w:rPr>
      </w:pPr>
      <w:r>
        <w:rPr>
          <w:rFonts w:hint="eastAsia" w:ascii="宋体" w:hAnsi="宋体" w:eastAsia="宋体" w:cs="Times New Roman"/>
          <w:lang w:bidi="ar"/>
        </w:rPr>
        <w:t>综观近10年左右的新自由主义经济实践，可以清晰地看到：苏东是倒退的十年，拉美是失去的十年，日本是爬行的十年，美欧是缓升的十年。被联合国认定的49个最不发达的国家（亦称第四世界）也没有通过私有化等新自由主义途径富强起来，有的反而更加贫穷。全球经济迫切需要在反思和超越新自由主义的保守经济理念中振兴和健康发展。</w:t>
      </w:r>
    </w:p>
    <w:p w14:paraId="7D35D791">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简要评论</w:t>
      </w:r>
    </w:p>
    <w:p w14:paraId="4AF82C03">
      <w:pPr>
        <w:spacing w:line="300" w:lineRule="auto"/>
        <w:ind w:firstLine="440" w:firstLineChars="200"/>
        <w:rPr>
          <w:rFonts w:ascii="宋体" w:hAnsi="宋体" w:eastAsia="宋体" w:cs="Times New Roman"/>
        </w:rPr>
      </w:pPr>
      <w:r>
        <w:rPr>
          <w:rFonts w:hint="eastAsia" w:ascii="宋体" w:hAnsi="宋体" w:eastAsia="宋体" w:cs="Times New Roman"/>
          <w:lang w:bidi="ar"/>
        </w:rPr>
        <w:t>从人类社会经济思想史的演进和世界经济发展的趋势察析，相对于马克思主义经济学、西方激进经济学和新老凯恩斯主义经济学来说，新自由主义经济思潮尽管也有某些合理的思想颗粒，但总体上、本质上是保守和落后的。包括萨缪尔逊在内的西方众多学者。都把新自由主义经济学称之为“右翼经济学”或新保守主义经济学。应当说，这些称谓准确地描述了它的思想特征。在经济全球化和冷战结束的条件下，20世纪八九十年代的新自由主义经济学取代凯恩斯主义，成为当代资本主义的主流经济意识形态，取得了思想“霸权”的强势地位。西方左翼学者、中间派学者和新凯恩斯主义者，都对新自由主义经济学持批判态度。法国“马克思园地协会”主席科恩·赛阿就明确指出，新自由主义是资本主义全球化意识形态的右翼理论表现。特别是世纪之交的近几年来，形成了一次自东欧剧变、苏联解体以后对新自由主义经济思潮及其产物——“华盛顿共识”的批判浪潮。这是具有重大理论意义和进步性的，也是当今国际经济学界的前沿创新。</w:t>
      </w:r>
    </w:p>
    <w:p w14:paraId="5A5C6564">
      <w:pPr>
        <w:spacing w:line="300" w:lineRule="auto"/>
        <w:ind w:firstLine="440" w:firstLineChars="200"/>
        <w:rPr>
          <w:rFonts w:ascii="宋体" w:hAnsi="宋体" w:eastAsia="宋体" w:cs="Times New Roman"/>
        </w:rPr>
      </w:pPr>
      <w:r>
        <w:rPr>
          <w:rFonts w:hint="eastAsia" w:ascii="宋体" w:hAnsi="宋体" w:eastAsia="宋体" w:cs="Times New Roman"/>
          <w:lang w:bidi="ar"/>
        </w:rPr>
        <w:t>更可喜的是，随着西方国家的人民在西雅图、布拉格、华盛顿、达沃斯等地不断举行大规模抗议示威，反对新自由主义主导下的全球化，对新自由主义思想的、学术的和理论的批判开始转变为实际行动。近年来，委内瑞拉、巴西和阿根廷等南美国家，在推行了10年新自由主义经济政策而碰壁之后，改行中左政策，使新自由主义经济理论失去了试验地，缩小了影响。定期在纽约举行的“世界社会主义学者大会”和在古巴举行的“全球化论坛”，以及影响巨大的“世界社会论坛”等，已日渐成为全世界学者和各界人士批判新自由主义及其经济学的重要阵地，它将逐步扭转思想和体制的旧局面。</w:t>
      </w:r>
    </w:p>
    <w:p w14:paraId="20E29EDD">
      <w:pPr>
        <w:spacing w:line="300" w:lineRule="auto"/>
        <w:ind w:firstLine="440" w:firstLineChars="200"/>
        <w:rPr>
          <w:rFonts w:ascii="宋体" w:hAnsi="宋体" w:eastAsia="宋体" w:cs="Times New Roman"/>
        </w:rPr>
      </w:pPr>
      <w:r>
        <w:rPr>
          <w:rFonts w:hint="eastAsia" w:ascii="宋体" w:hAnsi="宋体" w:eastAsia="宋体" w:cs="Times New Roman"/>
          <w:lang w:bidi="ar"/>
        </w:rPr>
        <w:t>对发达国家和发展中国家实行双重标准的新自由主义经济思潮，其目标是建立以发达国家为主导的全球经济秩序和资本主义的全球扩张。其结果是，一方面拓展了资本主义生存和发展的空间，在一定程度上使资本主义的基本矛盾有所缓和；另一方面又造成了世界资本主义体系新的矛盾和危机，特别是加剧了发达国家内部以及发达国家和发展中国家之间的贫富两极分化，引发了国家层面的反对新自由主义经济思潮的斗争。这是反对新自由主义的重要国际态势。</w:t>
      </w:r>
    </w:p>
    <w:p w14:paraId="427FCF3A">
      <w:pPr>
        <w:spacing w:line="300" w:lineRule="auto"/>
        <w:ind w:firstLine="440" w:firstLineChars="200"/>
        <w:rPr>
          <w:rFonts w:ascii="宋体" w:hAnsi="宋体" w:eastAsia="宋体" w:cs="Times New Roman"/>
        </w:rPr>
      </w:pPr>
      <w:r>
        <w:rPr>
          <w:rFonts w:hint="eastAsia" w:ascii="宋体" w:hAnsi="宋体" w:eastAsia="宋体" w:cs="Times New Roman"/>
          <w:lang w:bidi="ar"/>
        </w:rPr>
        <w:t>世界著名思想家安德森说得好，西方左翼要从新自由主义霸权统治下逆风起飞，必须彻底检讨自身理论的成败得失，根据时代的发展变化建立自身的理论基础，重新制定新世纪的理论战略。当前，世界各国的马克思主义经济学家和西方激进的经济学家正在联合，将逐渐整合成强有力的理论力量。在他们那里，理论批评与理论创新并重并举，必将全面超越新自由主义经济思想，为人类的经济和社会良性发展作出积极的贡献。</w:t>
      </w:r>
    </w:p>
    <w:p w14:paraId="38B27C58">
      <w:pPr>
        <w:spacing w:line="300" w:lineRule="auto"/>
        <w:ind w:firstLine="440" w:firstLineChars="200"/>
        <w:rPr>
          <w:rFonts w:ascii="宋体" w:hAnsi="宋体" w:eastAsia="宋体" w:cs="Times New Roman"/>
        </w:rPr>
      </w:pPr>
      <w:r>
        <w:rPr>
          <w:rFonts w:hint="eastAsia" w:ascii="宋体" w:hAnsi="宋体" w:eastAsia="宋体" w:cs="Times New Roman"/>
          <w:lang w:bidi="ar"/>
        </w:rPr>
        <w:t>日本著名马克思主义经济学家伊藤诚强调，中国完善社会主义市场经济体制的关键，在于克服新自由主义的思想障碍，这是颇有见地的。国内外许多有识之士纷纷指出，在中国社会主义市场经济健康发展的同时，也有少数经济学家著书立说，宣传私有制的效率比公有制高而主张私有化，认为公平与效率是替代关系而贬低社会公平，神化自由市场而轻视国家宏观调控。这些理论主张对于完善社会主义市场经济体制，全面落实科学发展观，早日实现跨越式发展和社会主义现代化，都是不利的，应当旗帜鲜明地予以抵制和反对，尽快消除其影响。</w:t>
      </w:r>
    </w:p>
    <w:p w14:paraId="615EAFC8">
      <w:pPr>
        <w:spacing w:line="300" w:lineRule="auto"/>
        <w:ind w:firstLine="440" w:firstLineChars="200"/>
        <w:rPr>
          <w:rFonts w:ascii="宋体" w:hAnsi="宋体" w:eastAsia="宋体" w:cs="Times New Roman"/>
        </w:rPr>
      </w:pPr>
    </w:p>
    <w:p w14:paraId="25A81C1B">
      <w:pPr>
        <w:spacing w:line="300" w:lineRule="auto"/>
        <w:ind w:firstLine="440" w:firstLineChars="200"/>
        <w:rPr>
          <w:rFonts w:ascii="宋体" w:hAnsi="宋体" w:eastAsia="宋体" w:cs="Times New Roman"/>
        </w:rPr>
      </w:pPr>
      <w:r>
        <w:rPr>
          <w:rFonts w:hint="eastAsia" w:ascii="宋体" w:hAnsi="宋体" w:eastAsia="宋体" w:cs="Times New Roman"/>
          <w:lang w:bidi="ar"/>
        </w:rPr>
        <w:t>（原载《求是杂志》 2005年第3期）</w:t>
      </w:r>
    </w:p>
    <w:p w14:paraId="188549F2">
      <w:pPr>
        <w:spacing w:line="300" w:lineRule="auto"/>
        <w:ind w:firstLine="440" w:firstLineChars="200"/>
        <w:rPr>
          <w:rFonts w:ascii="宋体" w:hAnsi="宋体" w:eastAsia="宋体" w:cs="Times New Roman"/>
        </w:rPr>
      </w:pPr>
    </w:p>
    <w:p w14:paraId="67A4BDBF">
      <w:pPr>
        <w:spacing w:line="300" w:lineRule="auto"/>
        <w:ind w:firstLine="440" w:firstLineChars="200"/>
        <w:rPr>
          <w:rFonts w:ascii="宋体" w:hAnsi="宋体" w:eastAsia="宋体" w:cs="Times New Roman"/>
        </w:rPr>
      </w:pPr>
    </w:p>
    <w:p w14:paraId="7D4FC446">
      <w:pPr>
        <w:bidi w:val="0"/>
      </w:pPr>
      <w:r>
        <w:br w:type="page"/>
      </w:r>
    </w:p>
    <w:p w14:paraId="0D05678C">
      <w:pPr>
        <w:pStyle w:val="3"/>
        <w:widowControl/>
        <w:spacing w:before="0" w:after="0" w:line="360" w:lineRule="auto"/>
        <w:jc w:val="center"/>
        <w:rPr>
          <w:rFonts w:ascii="黑体" w:hAnsi="宋体" w:eastAsia="黑体"/>
          <w:b w:val="0"/>
          <w:bCs w:val="0"/>
        </w:rPr>
      </w:pPr>
      <w:bookmarkStart w:id="474" w:name="_Toc111148942"/>
      <w:bookmarkStart w:id="475" w:name="_Toc257922031"/>
      <w:bookmarkStart w:id="476" w:name="_Toc10652"/>
      <w:bookmarkStart w:id="477" w:name="_Toc1261482867"/>
      <w:bookmarkStart w:id="478" w:name="_Toc973641540"/>
      <w:r>
        <w:rPr>
          <w:rFonts w:ascii="黑体" w:hAnsi="宋体" w:eastAsia="黑体"/>
          <w:b w:val="0"/>
          <w:bCs w:val="0"/>
          <w:spacing w:val="-2"/>
          <w:lang w:bidi="ar"/>
        </w:rPr>
        <w:t>4海</w:t>
      </w:r>
      <w:r>
        <w:rPr>
          <w:rFonts w:ascii="黑体" w:hAnsi="宋体" w:eastAsia="黑体"/>
          <w:b w:val="0"/>
          <w:bCs w:val="0"/>
          <w:lang w:bidi="ar"/>
        </w:rPr>
        <w:t>派经</w:t>
      </w:r>
      <w:r>
        <w:rPr>
          <w:rFonts w:ascii="黑体" w:hAnsi="宋体" w:eastAsia="黑体"/>
          <w:b w:val="0"/>
          <w:bCs w:val="0"/>
          <w:spacing w:val="-2"/>
          <w:lang w:bidi="ar"/>
        </w:rPr>
        <w:t>济</w:t>
      </w:r>
      <w:r>
        <w:rPr>
          <w:rFonts w:ascii="黑体" w:hAnsi="宋体" w:eastAsia="黑体"/>
          <w:b w:val="0"/>
          <w:bCs w:val="0"/>
          <w:lang w:bidi="ar"/>
        </w:rPr>
        <w:t>学</w:t>
      </w:r>
      <w:r>
        <w:rPr>
          <w:rFonts w:ascii="黑体" w:hAnsi="宋体" w:eastAsia="黑体"/>
          <w:b w:val="0"/>
          <w:bCs w:val="0"/>
          <w:spacing w:val="-2"/>
          <w:lang w:bidi="ar"/>
        </w:rPr>
        <w:t>方</w:t>
      </w:r>
      <w:r>
        <w:rPr>
          <w:rFonts w:ascii="黑体" w:hAnsi="宋体" w:eastAsia="黑体"/>
          <w:b w:val="0"/>
          <w:bCs w:val="0"/>
          <w:lang w:bidi="ar"/>
        </w:rPr>
        <w:t>法论</w:t>
      </w:r>
      <w:r>
        <w:rPr>
          <w:rFonts w:ascii="黑体" w:hAnsi="宋体" w:eastAsia="黑体"/>
          <w:b w:val="0"/>
          <w:bCs w:val="0"/>
          <w:spacing w:val="17"/>
          <w:w w:val="102"/>
          <w:lang w:bidi="ar"/>
        </w:rPr>
        <w:t>：</w:t>
      </w:r>
      <w:r>
        <w:rPr>
          <w:rFonts w:ascii="黑体" w:hAnsi="宋体" w:eastAsia="黑体"/>
          <w:b w:val="0"/>
          <w:bCs w:val="0"/>
          <w:lang w:bidi="ar"/>
        </w:rPr>
        <w:t>综合</w:t>
      </w:r>
      <w:r>
        <w:rPr>
          <w:rFonts w:ascii="黑体" w:hAnsi="宋体" w:eastAsia="黑体"/>
          <w:b w:val="0"/>
          <w:bCs w:val="0"/>
          <w:spacing w:val="-2"/>
          <w:lang w:bidi="ar"/>
        </w:rPr>
        <w:t>创</w:t>
      </w:r>
      <w:r>
        <w:rPr>
          <w:rFonts w:ascii="黑体" w:hAnsi="宋体" w:eastAsia="黑体"/>
          <w:b w:val="0"/>
          <w:bCs w:val="0"/>
          <w:lang w:bidi="ar"/>
        </w:rPr>
        <w:t>新</w:t>
      </w:r>
      <w:r>
        <w:rPr>
          <w:rFonts w:ascii="黑体" w:hAnsi="宋体" w:eastAsia="黑体"/>
          <w:b w:val="0"/>
          <w:bCs w:val="0"/>
          <w:spacing w:val="-2"/>
          <w:lang w:bidi="ar"/>
        </w:rPr>
        <w:t>的</w:t>
      </w:r>
      <w:r>
        <w:rPr>
          <w:rFonts w:ascii="黑体" w:hAnsi="宋体" w:eastAsia="黑体"/>
          <w:b w:val="0"/>
          <w:bCs w:val="0"/>
          <w:lang w:bidi="ar"/>
        </w:rPr>
        <w:t>若干</w:t>
      </w:r>
      <w:r>
        <w:rPr>
          <w:rFonts w:ascii="黑体" w:hAnsi="黑体" w:eastAsia="黑体"/>
          <w:b w:val="0"/>
          <w:bCs w:val="0"/>
        </w:rPr>
        <w:t>思考</w:t>
      </w:r>
      <w:bookmarkEnd w:id="474"/>
      <w:bookmarkEnd w:id="475"/>
      <w:bookmarkEnd w:id="476"/>
      <w:bookmarkEnd w:id="477"/>
      <w:bookmarkEnd w:id="478"/>
    </w:p>
    <w:p w14:paraId="79219E27">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一、范式革命与常规理论发展：经济学的分化与综合</w:t>
      </w:r>
    </w:p>
    <w:p w14:paraId="2D6206E3">
      <w:pPr>
        <w:autoSpaceDE w:val="0"/>
        <w:autoSpaceDN w:val="0"/>
        <w:spacing w:line="300" w:lineRule="auto"/>
        <w:ind w:firstLine="416" w:firstLineChars="200"/>
        <w:rPr>
          <w:rFonts w:ascii="宋体" w:hAnsi="宋体" w:eastAsia="宋体" w:cs="Arial Unicode MS"/>
          <w:spacing w:val="-6"/>
          <w:szCs w:val="21"/>
        </w:rPr>
      </w:pPr>
      <w:r>
        <w:rPr>
          <w:rFonts w:hint="eastAsia" w:ascii="宋体" w:hAnsi="宋体" w:eastAsia="宋体" w:cs="Arial Unicode MS"/>
          <w:spacing w:val="-6"/>
          <w:szCs w:val="21"/>
          <w:lang w:bidi="ar"/>
        </w:rPr>
        <w:t>一个规范的较大的经济学学派的形成，离不开经济学方法论的创新。2003年，由美国最大连锁书店巴诺创办的《图书》杂志在7-8月合刊中，《共产党宣言》和《就业、利息和货币通论》等被该刊评选为“改变美国的20本书”。这是继英国广播公司2002年在国际互联网上搞民意调查，马克思被评为千年最有影响的思想家榜首之后又一重要信息。</w:t>
      </w:r>
    </w:p>
    <w:p w14:paraId="4DCB4D08">
      <w:pPr>
        <w:autoSpaceDE w:val="0"/>
        <w:autoSpaceDN w:val="0"/>
        <w:spacing w:line="300" w:lineRule="auto"/>
        <w:ind w:firstLine="416" w:firstLineChars="200"/>
        <w:rPr>
          <w:rFonts w:ascii="宋体" w:hAnsi="宋体" w:eastAsia="宋体" w:cs="Arial Unicode MS"/>
          <w:spacing w:val="-6"/>
          <w:szCs w:val="21"/>
        </w:rPr>
      </w:pPr>
      <w:r>
        <w:rPr>
          <w:rFonts w:hint="eastAsia" w:ascii="宋体" w:hAnsi="宋体" w:eastAsia="宋体" w:cs="Arial Unicode MS"/>
          <w:spacing w:val="-6"/>
          <w:szCs w:val="21"/>
          <w:lang w:bidi="ar"/>
        </w:rPr>
        <w:t>为何马克思和凯恩斯能共同被西方发达资本主义国家评选为极有影响的思想家？其缘由在于，他们的整个理论创新实现了范式革命，并深刻地影响了世界。所谓范式，在此概念提出者即美国哲学家库恩看来，就是指科学共同体的共有信念，以及共同进行科学活动的基础和工具。在外国经济学说演化史上，除了亚当·斯密对重商主义的革命和杰文斯等的“边际革命”以外，就要算创造宏观经济理论和政策的“凯恩斯革命”，以及代表劳动阶级经济利益的“马克思革命”。尽管这些经济学范式革命的内容、性质和方法不同，但总是促进了经济理论的论争和繁荣。</w:t>
      </w:r>
    </w:p>
    <w:p w14:paraId="20762ADC">
      <w:pPr>
        <w:autoSpaceDE w:val="0"/>
        <w:autoSpaceDN w:val="0"/>
        <w:spacing w:line="300" w:lineRule="auto"/>
        <w:ind w:firstLine="416" w:firstLineChars="200"/>
        <w:rPr>
          <w:rFonts w:ascii="宋体" w:hAnsi="宋体" w:eastAsia="宋体" w:cs="Arial Unicode MS"/>
          <w:spacing w:val="-6"/>
          <w:szCs w:val="21"/>
        </w:rPr>
      </w:pPr>
      <w:r>
        <w:rPr>
          <w:rFonts w:hint="eastAsia" w:ascii="宋体" w:hAnsi="宋体" w:eastAsia="宋体" w:cs="Arial Unicode MS"/>
          <w:spacing w:val="-6"/>
          <w:szCs w:val="21"/>
          <w:lang w:bidi="ar"/>
        </w:rPr>
        <w:t>以社会主义经济学为例。20世纪50年代问世的苏联政治经济学社会主义部分教科书，是人类经济思想史和社会主义经济思想史上的独创和里程碑，可以说是一种范式革命。可是，经济学的前苏联范式与马克思范式既是有联系，又有区别的。就社会主义经济理论来看，马克思的言论很少，更没有给出一套完整的体系。况且，马克思和前苏联关于社会主义经济制度的标准本来也不尽相同。总体上说，苏联社会主义经济学范式是冷战背景下传统计划经济体制及其实践的理论反映。因此，改革前，我国经济学界出现照搬前苏联经济学范式的“仿苏”倾向是难以避免的。</w:t>
      </w:r>
    </w:p>
    <w:p w14:paraId="38A655A1">
      <w:pPr>
        <w:autoSpaceDE w:val="0"/>
        <w:autoSpaceDN w:val="0"/>
        <w:spacing w:line="300" w:lineRule="auto"/>
        <w:ind w:firstLine="416" w:firstLineChars="200"/>
        <w:rPr>
          <w:rFonts w:ascii="宋体" w:hAnsi="宋体" w:eastAsia="宋体" w:cs="Arial Unicode MS"/>
          <w:spacing w:val="-6"/>
          <w:szCs w:val="21"/>
        </w:rPr>
      </w:pPr>
      <w:r>
        <w:rPr>
          <w:rFonts w:hint="eastAsia" w:ascii="宋体" w:hAnsi="宋体" w:eastAsia="宋体" w:cs="Arial Unicode MS"/>
          <w:spacing w:val="-6"/>
          <w:szCs w:val="21"/>
          <w:lang w:bidi="ar"/>
        </w:rPr>
        <w:t>当前的问题在于，中国从社会主义计划经济体制转型为社会主义市场经济体制，需要维持原有的思维方法和思维定式吗？即哪国强大，就主要照搬哪国经济制度及其主流经济学范式；或者以为市场经济体制只有一种固定的模式，也可以不管市场经济制度的社会主义性质规定和类型，主张照抄照讲“无国度性”“、无阶段性”和“无阶级性”的西方经济学范式。</w:t>
      </w:r>
    </w:p>
    <w:p w14:paraId="34A297E3">
      <w:pPr>
        <w:autoSpaceDE w:val="0"/>
        <w:autoSpaceDN w:val="0"/>
        <w:spacing w:line="300" w:lineRule="auto"/>
        <w:ind w:firstLine="432" w:firstLineChars="200"/>
        <w:rPr>
          <w:rFonts w:ascii="宋体" w:hAnsi="宋体" w:eastAsia="宋体" w:cs="Arial Unicode MS"/>
          <w:szCs w:val="21"/>
        </w:rPr>
      </w:pPr>
      <w:r>
        <w:rPr>
          <w:rFonts w:hint="eastAsia" w:ascii="宋体" w:hAnsi="宋体" w:eastAsia="宋体" w:cs="Arial Unicode MS"/>
          <w:spacing w:val="-2"/>
          <w:szCs w:val="21"/>
          <w:lang w:bidi="ar"/>
        </w:rPr>
        <w:t>其</w:t>
      </w:r>
      <w:r>
        <w:rPr>
          <w:rFonts w:hint="eastAsia" w:ascii="宋体" w:hAnsi="宋体" w:eastAsia="宋体" w:cs="Arial Unicode MS"/>
          <w:szCs w:val="21"/>
          <w:lang w:bidi="ar"/>
        </w:rPr>
        <w:t>实</w:t>
      </w:r>
      <w:r>
        <w:rPr>
          <w:rFonts w:hint="eastAsia" w:ascii="宋体" w:hAnsi="宋体" w:eastAsia="宋体" w:cs="Times New Roman"/>
          <w:spacing w:val="2"/>
          <w:szCs w:val="21"/>
          <w:lang w:bidi="ar"/>
        </w:rPr>
        <w:t>，</w:t>
      </w:r>
      <w:r>
        <w:rPr>
          <w:rFonts w:hint="eastAsia" w:ascii="宋体" w:hAnsi="宋体" w:eastAsia="宋体" w:cs="Arial Unicode MS"/>
          <w:spacing w:val="-2"/>
          <w:szCs w:val="21"/>
          <w:lang w:bidi="ar"/>
        </w:rPr>
        <w:t>由</w:t>
      </w:r>
      <w:r>
        <w:rPr>
          <w:rFonts w:hint="eastAsia" w:ascii="宋体" w:hAnsi="宋体" w:eastAsia="宋体" w:cs="Arial Unicode MS"/>
          <w:szCs w:val="21"/>
          <w:lang w:bidi="ar"/>
        </w:rPr>
        <w:t>以前</w:t>
      </w:r>
      <w:r>
        <w:rPr>
          <w:rFonts w:hint="eastAsia" w:ascii="宋体" w:hAnsi="宋体" w:eastAsia="宋体" w:cs="Arial Unicode MS"/>
          <w:spacing w:val="-6"/>
          <w:szCs w:val="21"/>
          <w:lang w:bidi="ar"/>
        </w:rPr>
        <w:t>对经济学的“苏联范式”盲目崇拜而现在又简单地倒向“美国范式”，从研究方法观察并无差异，是共同的僵化思想及其惯性在起作用，因而对以美国为代表的现代西方经济</w:t>
      </w:r>
      <w:r>
        <w:rPr>
          <w:rFonts w:hint="eastAsia" w:ascii="宋体" w:hAnsi="宋体" w:eastAsia="宋体" w:cs="Arial Unicode MS"/>
          <w:szCs w:val="21"/>
          <w:lang w:bidi="ar"/>
        </w:rPr>
        <w:t>学的“范式危机”并无感觉</w:t>
      </w:r>
      <w:r>
        <w:rPr>
          <w:rFonts w:hint="eastAsia" w:ascii="宋体" w:hAnsi="宋体" w:eastAsia="宋体" w:cs="Arial Unicode MS"/>
          <w:spacing w:val="-28"/>
          <w:szCs w:val="21"/>
          <w:lang w:bidi="ar"/>
        </w:rPr>
        <w:t>。</w:t>
      </w:r>
      <w:r>
        <w:rPr>
          <w:rFonts w:hint="eastAsia" w:ascii="宋体" w:hAnsi="宋体" w:eastAsia="宋体" w:cs="Arial Unicode MS"/>
          <w:szCs w:val="21"/>
          <w:lang w:bidi="ar"/>
        </w:rPr>
        <w:t>现代西方</w:t>
      </w:r>
      <w:r>
        <w:rPr>
          <w:rFonts w:hint="eastAsia" w:ascii="宋体" w:hAnsi="宋体" w:eastAsia="宋体" w:cs="Arial Unicode MS"/>
          <w:spacing w:val="-2"/>
          <w:szCs w:val="21"/>
          <w:lang w:bidi="ar"/>
        </w:rPr>
        <w:t>经</w:t>
      </w:r>
      <w:r>
        <w:rPr>
          <w:rFonts w:hint="eastAsia" w:ascii="宋体" w:hAnsi="宋体" w:eastAsia="宋体" w:cs="Arial Unicode MS"/>
          <w:szCs w:val="21"/>
          <w:lang w:bidi="ar"/>
        </w:rPr>
        <w:t>济学</w:t>
      </w:r>
      <w:r>
        <w:rPr>
          <w:rFonts w:hint="eastAsia" w:ascii="宋体" w:hAnsi="宋体" w:eastAsia="宋体" w:cs="Arial Unicode MS"/>
          <w:spacing w:val="4"/>
          <w:szCs w:val="21"/>
          <w:lang w:bidi="ar"/>
        </w:rPr>
        <w:t>的分</w:t>
      </w:r>
      <w:r>
        <w:rPr>
          <w:rFonts w:hint="eastAsia" w:ascii="宋体" w:hAnsi="宋体" w:eastAsia="宋体" w:cs="Arial Unicode MS"/>
          <w:spacing w:val="2"/>
          <w:szCs w:val="21"/>
          <w:lang w:bidi="ar"/>
        </w:rPr>
        <w:t>化</w:t>
      </w:r>
      <w:r>
        <w:rPr>
          <w:rFonts w:hint="eastAsia" w:ascii="宋体" w:hAnsi="宋体" w:eastAsia="宋体" w:cs="Arial Unicode MS"/>
          <w:spacing w:val="6"/>
          <w:szCs w:val="21"/>
          <w:lang w:bidi="ar"/>
        </w:rPr>
        <w:t>并生</w:t>
      </w:r>
      <w:r>
        <w:rPr>
          <w:rFonts w:hint="eastAsia" w:ascii="宋体" w:hAnsi="宋体" w:eastAsia="宋体" w:cs="Arial Unicode MS"/>
          <w:spacing w:val="4"/>
          <w:szCs w:val="21"/>
          <w:lang w:bidi="ar"/>
        </w:rPr>
        <w:t>成</w:t>
      </w:r>
      <w:r>
        <w:rPr>
          <w:rFonts w:hint="eastAsia" w:ascii="宋体" w:hAnsi="宋体" w:eastAsia="宋体" w:cs="Arial Unicode MS"/>
          <w:spacing w:val="6"/>
          <w:szCs w:val="21"/>
          <w:lang w:bidi="ar"/>
        </w:rPr>
        <w:t>众说纷</w:t>
      </w:r>
      <w:r>
        <w:rPr>
          <w:rFonts w:hint="eastAsia" w:ascii="宋体" w:hAnsi="宋体" w:eastAsia="宋体" w:cs="Arial Unicode MS"/>
          <w:spacing w:val="4"/>
          <w:szCs w:val="21"/>
          <w:lang w:bidi="ar"/>
        </w:rPr>
        <w:t>纭</w:t>
      </w:r>
      <w:r>
        <w:rPr>
          <w:rFonts w:hint="eastAsia" w:ascii="宋体" w:hAnsi="宋体" w:eastAsia="宋体" w:cs="Arial Unicode MS"/>
          <w:spacing w:val="6"/>
          <w:szCs w:val="21"/>
          <w:lang w:bidi="ar"/>
        </w:rPr>
        <w:t>的许</w:t>
      </w:r>
      <w:r>
        <w:rPr>
          <w:rFonts w:hint="eastAsia" w:ascii="宋体" w:hAnsi="宋体" w:eastAsia="宋体" w:cs="Arial Unicode MS"/>
          <w:spacing w:val="4"/>
          <w:szCs w:val="21"/>
          <w:lang w:bidi="ar"/>
        </w:rPr>
        <w:t>多</w:t>
      </w:r>
      <w:r>
        <w:rPr>
          <w:rFonts w:hint="eastAsia" w:ascii="宋体" w:hAnsi="宋体" w:eastAsia="宋体" w:cs="Arial Unicode MS"/>
          <w:spacing w:val="6"/>
          <w:szCs w:val="21"/>
          <w:lang w:bidi="ar"/>
        </w:rPr>
        <w:t>流</w:t>
      </w:r>
      <w:r>
        <w:rPr>
          <w:rFonts w:hint="eastAsia" w:ascii="宋体" w:hAnsi="宋体" w:eastAsia="宋体" w:cs="Arial Unicode MS"/>
          <w:szCs w:val="21"/>
          <w:lang w:bidi="ar"/>
        </w:rPr>
        <w:t>派</w:t>
      </w:r>
      <w:r>
        <w:rPr>
          <w:rFonts w:hint="eastAsia" w:ascii="宋体" w:hAnsi="宋体" w:eastAsia="宋体" w:cs="Times New Roman"/>
          <w:spacing w:val="6"/>
          <w:szCs w:val="21"/>
          <w:lang w:bidi="ar"/>
        </w:rPr>
        <w:t>，</w:t>
      </w:r>
      <w:r>
        <w:rPr>
          <w:rFonts w:hint="eastAsia" w:ascii="宋体" w:hAnsi="宋体" w:eastAsia="宋体" w:cs="Arial Unicode MS"/>
          <w:spacing w:val="6"/>
          <w:szCs w:val="21"/>
          <w:lang w:bidi="ar"/>
        </w:rPr>
        <w:t>恰好</w:t>
      </w:r>
      <w:r>
        <w:rPr>
          <w:rFonts w:hint="eastAsia" w:ascii="宋体" w:hAnsi="宋体" w:eastAsia="宋体" w:cs="Arial Unicode MS"/>
          <w:spacing w:val="4"/>
          <w:szCs w:val="21"/>
          <w:lang w:bidi="ar"/>
        </w:rPr>
        <w:t>表</w:t>
      </w:r>
      <w:r>
        <w:rPr>
          <w:rFonts w:hint="eastAsia" w:ascii="宋体" w:hAnsi="宋体" w:eastAsia="宋体" w:cs="Arial Unicode MS"/>
          <w:spacing w:val="6"/>
          <w:szCs w:val="21"/>
          <w:lang w:bidi="ar"/>
        </w:rPr>
        <w:t>明</w:t>
      </w:r>
      <w:r>
        <w:rPr>
          <w:rFonts w:hint="eastAsia" w:ascii="宋体" w:hAnsi="宋体" w:eastAsia="宋体" w:cs="Arial Unicode MS"/>
          <w:szCs w:val="21"/>
          <w:lang w:bidi="ar"/>
        </w:rPr>
        <w:t>他们并</w:t>
      </w:r>
      <w:r>
        <w:rPr>
          <w:rFonts w:hint="eastAsia" w:ascii="宋体" w:hAnsi="宋体" w:eastAsia="宋体" w:cs="Arial Unicode MS"/>
          <w:spacing w:val="-2"/>
          <w:szCs w:val="21"/>
          <w:lang w:bidi="ar"/>
        </w:rPr>
        <w:t>未</w:t>
      </w:r>
      <w:r>
        <w:rPr>
          <w:rFonts w:hint="eastAsia" w:ascii="宋体" w:hAnsi="宋体" w:eastAsia="宋体" w:cs="Arial Unicode MS"/>
          <w:szCs w:val="21"/>
          <w:lang w:bidi="ar"/>
        </w:rPr>
        <w:t>探求到共</w:t>
      </w:r>
      <w:r>
        <w:rPr>
          <w:rFonts w:hint="eastAsia" w:ascii="宋体" w:hAnsi="宋体" w:eastAsia="宋体" w:cs="Arial Unicode MS"/>
          <w:spacing w:val="-2"/>
          <w:szCs w:val="21"/>
          <w:lang w:bidi="ar"/>
        </w:rPr>
        <w:t>认</w:t>
      </w:r>
      <w:r>
        <w:rPr>
          <w:rFonts w:hint="eastAsia" w:ascii="宋体" w:hAnsi="宋体" w:eastAsia="宋体" w:cs="Arial Unicode MS"/>
          <w:szCs w:val="21"/>
          <w:lang w:bidi="ar"/>
        </w:rPr>
        <w:t>的经济</w:t>
      </w:r>
      <w:r>
        <w:rPr>
          <w:rFonts w:hint="eastAsia" w:ascii="宋体" w:hAnsi="宋体" w:eastAsia="宋体" w:cs="Arial Unicode MS"/>
          <w:spacing w:val="-2"/>
          <w:szCs w:val="21"/>
          <w:lang w:bidi="ar"/>
        </w:rPr>
        <w:t>学</w:t>
      </w:r>
      <w:r>
        <w:rPr>
          <w:rFonts w:hint="eastAsia" w:ascii="宋体" w:hAnsi="宋体" w:eastAsia="宋体" w:cs="Arial Unicode MS"/>
          <w:szCs w:val="21"/>
          <w:lang w:bidi="ar"/>
        </w:rPr>
        <w:t>体系、核心和方法，我们也不可能无选择地模仿其相互不同甚至对立的一切方法和观点。诚然，西方经</w:t>
      </w:r>
      <w:r>
        <w:rPr>
          <w:rFonts w:hint="eastAsia" w:ascii="宋体" w:hAnsi="宋体" w:eastAsia="宋体" w:cs="Arial Unicode MS"/>
          <w:spacing w:val="8"/>
          <w:szCs w:val="21"/>
          <w:lang w:bidi="ar"/>
        </w:rPr>
        <w:t>济学</w:t>
      </w:r>
      <w:r>
        <w:rPr>
          <w:rFonts w:hint="eastAsia" w:ascii="宋体" w:hAnsi="宋体" w:eastAsia="宋体" w:cs="Arial Unicode MS"/>
          <w:spacing w:val="6"/>
          <w:szCs w:val="21"/>
          <w:lang w:bidi="ar"/>
        </w:rPr>
        <w:t>的</w:t>
      </w:r>
      <w:r>
        <w:rPr>
          <w:rFonts w:hint="eastAsia" w:ascii="宋体" w:hAnsi="宋体" w:eastAsia="宋体" w:cs="Arial Unicode MS"/>
          <w:spacing w:val="8"/>
          <w:szCs w:val="21"/>
          <w:lang w:bidi="ar"/>
        </w:rPr>
        <w:t>确</w:t>
      </w:r>
      <w:r>
        <w:rPr>
          <w:rFonts w:hint="eastAsia" w:ascii="宋体" w:hAnsi="宋体" w:eastAsia="宋体" w:cs="Arial Unicode MS"/>
          <w:spacing w:val="10"/>
          <w:szCs w:val="21"/>
          <w:lang w:bidi="ar"/>
        </w:rPr>
        <w:t>给</w:t>
      </w:r>
      <w:r>
        <w:rPr>
          <w:rFonts w:hint="eastAsia" w:ascii="宋体" w:hAnsi="宋体" w:eastAsia="宋体" w:cs="Arial Unicode MS"/>
          <w:spacing w:val="8"/>
          <w:szCs w:val="21"/>
          <w:lang w:bidi="ar"/>
        </w:rPr>
        <w:t>中</w:t>
      </w:r>
      <w:r>
        <w:rPr>
          <w:rFonts w:hint="eastAsia" w:ascii="宋体" w:hAnsi="宋体" w:eastAsia="宋体" w:cs="Arial Unicode MS"/>
          <w:spacing w:val="10"/>
          <w:szCs w:val="21"/>
          <w:lang w:bidi="ar"/>
        </w:rPr>
        <w:t>国输</w:t>
      </w:r>
      <w:r>
        <w:rPr>
          <w:rFonts w:hint="eastAsia" w:ascii="宋体" w:hAnsi="宋体" w:eastAsia="宋体" w:cs="Arial Unicode MS"/>
          <w:spacing w:val="8"/>
          <w:szCs w:val="21"/>
          <w:lang w:bidi="ar"/>
        </w:rPr>
        <w:t>送</w:t>
      </w:r>
      <w:r>
        <w:rPr>
          <w:rFonts w:hint="eastAsia" w:ascii="宋体" w:hAnsi="宋体" w:eastAsia="宋体" w:cs="Arial Unicode MS"/>
          <w:spacing w:val="10"/>
          <w:szCs w:val="21"/>
          <w:lang w:bidi="ar"/>
        </w:rPr>
        <w:t>来了</w:t>
      </w:r>
      <w:r>
        <w:rPr>
          <w:rFonts w:hint="eastAsia" w:ascii="宋体" w:hAnsi="宋体" w:eastAsia="宋体" w:cs="Arial Unicode MS"/>
          <w:spacing w:val="8"/>
          <w:szCs w:val="21"/>
          <w:lang w:bidi="ar"/>
        </w:rPr>
        <w:t>市</w:t>
      </w:r>
      <w:r>
        <w:rPr>
          <w:rFonts w:hint="eastAsia" w:ascii="宋体" w:hAnsi="宋体" w:eastAsia="宋体" w:cs="Arial Unicode MS"/>
          <w:spacing w:val="10"/>
          <w:szCs w:val="21"/>
          <w:lang w:bidi="ar"/>
        </w:rPr>
        <w:t>场</w:t>
      </w:r>
      <w:r>
        <w:rPr>
          <w:rFonts w:hint="eastAsia" w:ascii="宋体" w:hAnsi="宋体" w:eastAsia="宋体" w:cs="Arial Unicode MS"/>
          <w:spacing w:val="8"/>
          <w:szCs w:val="21"/>
          <w:lang w:bidi="ar"/>
        </w:rPr>
        <w:t>观</w:t>
      </w:r>
      <w:r>
        <w:rPr>
          <w:rFonts w:hint="eastAsia" w:ascii="宋体" w:hAnsi="宋体" w:eastAsia="宋体" w:cs="Arial Unicode MS"/>
          <w:spacing w:val="10"/>
          <w:szCs w:val="21"/>
          <w:lang w:bidi="ar"/>
        </w:rPr>
        <w:t>念和</w:t>
      </w:r>
      <w:r>
        <w:rPr>
          <w:rFonts w:hint="eastAsia" w:ascii="宋体" w:hAnsi="宋体" w:eastAsia="宋体" w:cs="Arial Unicode MS"/>
          <w:spacing w:val="8"/>
          <w:szCs w:val="21"/>
          <w:lang w:bidi="ar"/>
        </w:rPr>
        <w:t>实</w:t>
      </w:r>
      <w:r>
        <w:rPr>
          <w:rFonts w:hint="eastAsia" w:ascii="宋体" w:hAnsi="宋体" w:eastAsia="宋体" w:cs="Arial Unicode MS"/>
          <w:spacing w:val="10"/>
          <w:szCs w:val="21"/>
          <w:lang w:bidi="ar"/>
        </w:rPr>
        <w:t>证分</w:t>
      </w:r>
      <w:r>
        <w:rPr>
          <w:rFonts w:hint="eastAsia" w:ascii="宋体" w:hAnsi="宋体" w:eastAsia="宋体" w:cs="Arial Unicode MS"/>
          <w:szCs w:val="21"/>
          <w:lang w:bidi="ar"/>
        </w:rPr>
        <w:t>析、数量分析、边际分析等经济</w:t>
      </w:r>
      <w:r>
        <w:rPr>
          <w:rFonts w:hint="eastAsia" w:ascii="宋体" w:hAnsi="宋体" w:eastAsia="宋体" w:cs="Arial Unicode MS"/>
          <w:spacing w:val="-2"/>
          <w:szCs w:val="21"/>
          <w:lang w:bidi="ar"/>
        </w:rPr>
        <w:t>科</w:t>
      </w:r>
      <w:r>
        <w:rPr>
          <w:rFonts w:hint="eastAsia" w:ascii="宋体" w:hAnsi="宋体" w:eastAsia="宋体" w:cs="Arial Unicode MS"/>
          <w:szCs w:val="21"/>
          <w:lang w:bidi="ar"/>
        </w:rPr>
        <w:t>学的研究</w:t>
      </w:r>
      <w:r>
        <w:rPr>
          <w:rFonts w:hint="eastAsia" w:ascii="宋体" w:hAnsi="宋体" w:eastAsia="宋体" w:cs="Arial Unicode MS"/>
          <w:spacing w:val="-2"/>
          <w:szCs w:val="21"/>
          <w:lang w:bidi="ar"/>
        </w:rPr>
        <w:t>方</w:t>
      </w:r>
      <w:r>
        <w:rPr>
          <w:rFonts w:hint="eastAsia" w:ascii="宋体" w:hAnsi="宋体" w:eastAsia="宋体" w:cs="Arial Unicode MS"/>
          <w:szCs w:val="21"/>
          <w:lang w:bidi="ar"/>
        </w:rPr>
        <w:t>法</w:t>
      </w:r>
      <w:r>
        <w:rPr>
          <w:rFonts w:hint="eastAsia" w:ascii="宋体" w:hAnsi="宋体" w:eastAsia="宋体" w:cs="Times New Roman"/>
          <w:spacing w:val="2"/>
          <w:szCs w:val="21"/>
          <w:lang w:bidi="ar"/>
        </w:rPr>
        <w:t>，</w:t>
      </w:r>
      <w:r>
        <w:rPr>
          <w:rFonts w:hint="eastAsia" w:ascii="宋体" w:hAnsi="宋体" w:eastAsia="宋体" w:cs="Arial Unicode MS"/>
          <w:spacing w:val="-2"/>
          <w:szCs w:val="21"/>
          <w:lang w:bidi="ar"/>
        </w:rPr>
        <w:t>开</w:t>
      </w:r>
      <w:r>
        <w:rPr>
          <w:rFonts w:hint="eastAsia" w:ascii="宋体" w:hAnsi="宋体" w:eastAsia="宋体" w:cs="Arial Unicode MS"/>
          <w:szCs w:val="21"/>
          <w:lang w:bidi="ar"/>
        </w:rPr>
        <w:t>拓了理论</w:t>
      </w:r>
      <w:r>
        <w:rPr>
          <w:rFonts w:hint="eastAsia" w:ascii="宋体" w:hAnsi="宋体" w:eastAsia="宋体" w:cs="Arial Unicode MS"/>
          <w:spacing w:val="-2"/>
          <w:szCs w:val="21"/>
          <w:lang w:bidi="ar"/>
        </w:rPr>
        <w:t>研</w:t>
      </w:r>
      <w:r>
        <w:rPr>
          <w:rFonts w:hint="eastAsia" w:ascii="宋体" w:hAnsi="宋体" w:eastAsia="宋体" w:cs="Arial Unicode MS"/>
          <w:szCs w:val="21"/>
          <w:lang w:bidi="ar"/>
        </w:rPr>
        <w:t>究的视野</w:t>
      </w:r>
      <w:r>
        <w:rPr>
          <w:rFonts w:hint="eastAsia" w:ascii="宋体" w:hAnsi="宋体" w:eastAsia="宋体" w:cs="Times New Roman"/>
          <w:szCs w:val="21"/>
          <w:lang w:bidi="ar"/>
        </w:rPr>
        <w:t>，</w:t>
      </w:r>
      <w:r>
        <w:rPr>
          <w:rFonts w:hint="eastAsia" w:ascii="宋体" w:hAnsi="宋体" w:eastAsia="宋体" w:cs="Arial Unicode MS"/>
          <w:szCs w:val="21"/>
          <w:lang w:bidi="ar"/>
        </w:rPr>
        <w:t>但另</w:t>
      </w:r>
      <w:r>
        <w:rPr>
          <w:rFonts w:hint="eastAsia" w:ascii="宋体" w:hAnsi="宋体" w:eastAsia="宋体" w:cs="Arial Unicode MS"/>
          <w:spacing w:val="-2"/>
          <w:szCs w:val="21"/>
          <w:lang w:bidi="ar"/>
        </w:rPr>
        <w:t>一</w:t>
      </w:r>
      <w:r>
        <w:rPr>
          <w:rFonts w:hint="eastAsia" w:ascii="宋体" w:hAnsi="宋体" w:eastAsia="宋体" w:cs="Arial Unicode MS"/>
          <w:szCs w:val="21"/>
          <w:lang w:bidi="ar"/>
        </w:rPr>
        <w:t>方面</w:t>
      </w:r>
      <w:r>
        <w:rPr>
          <w:rFonts w:hint="eastAsia" w:ascii="宋体" w:hAnsi="宋体" w:eastAsia="宋体" w:cs="Times New Roman"/>
          <w:szCs w:val="21"/>
          <w:lang w:bidi="ar"/>
        </w:rPr>
        <w:t>，</w:t>
      </w:r>
      <w:r>
        <w:rPr>
          <w:rFonts w:hint="eastAsia" w:ascii="宋体" w:hAnsi="宋体" w:eastAsia="宋体" w:cs="Arial Unicode MS"/>
          <w:szCs w:val="21"/>
          <w:lang w:bidi="ar"/>
        </w:rPr>
        <w:t>它的过度</w:t>
      </w:r>
      <w:r>
        <w:rPr>
          <w:rFonts w:hint="eastAsia" w:ascii="宋体" w:hAnsi="宋体" w:eastAsia="宋体" w:cs="Arial Unicode MS"/>
          <w:spacing w:val="-2"/>
          <w:szCs w:val="21"/>
          <w:lang w:bidi="ar"/>
        </w:rPr>
        <w:t>形</w:t>
      </w:r>
      <w:r>
        <w:rPr>
          <w:rFonts w:hint="eastAsia" w:ascii="宋体" w:hAnsi="宋体" w:eastAsia="宋体" w:cs="Arial Unicode MS"/>
          <w:szCs w:val="21"/>
          <w:lang w:bidi="ar"/>
        </w:rPr>
        <w:t>式主义方法</w:t>
      </w:r>
      <w:r>
        <w:rPr>
          <w:rFonts w:hint="eastAsia" w:ascii="宋体" w:hAnsi="宋体" w:eastAsia="宋体" w:cs="Arial Unicode MS"/>
          <w:spacing w:val="-2"/>
          <w:szCs w:val="21"/>
          <w:lang w:bidi="ar"/>
        </w:rPr>
        <w:t>和</w:t>
      </w:r>
      <w:r>
        <w:rPr>
          <w:rFonts w:hint="eastAsia" w:ascii="宋体" w:hAnsi="宋体" w:eastAsia="宋体" w:cs="Arial Unicode MS"/>
          <w:szCs w:val="21"/>
          <w:lang w:bidi="ar"/>
        </w:rPr>
        <w:t>理论与中</w:t>
      </w:r>
      <w:r>
        <w:rPr>
          <w:rFonts w:hint="eastAsia" w:ascii="宋体" w:hAnsi="宋体" w:eastAsia="宋体" w:cs="Arial Unicode MS"/>
          <w:spacing w:val="-2"/>
          <w:szCs w:val="21"/>
          <w:lang w:bidi="ar"/>
        </w:rPr>
        <w:t>国</w:t>
      </w:r>
      <w:r>
        <w:rPr>
          <w:rFonts w:hint="eastAsia" w:ascii="宋体" w:hAnsi="宋体" w:eastAsia="宋体" w:cs="Arial Unicode MS"/>
          <w:szCs w:val="21"/>
          <w:lang w:bidi="ar"/>
        </w:rPr>
        <w:t>经济的</w:t>
      </w:r>
      <w:r>
        <w:rPr>
          <w:rFonts w:hint="eastAsia" w:ascii="宋体" w:hAnsi="宋体" w:eastAsia="宋体" w:cs="Arial Unicode MS"/>
          <w:spacing w:val="-2"/>
          <w:szCs w:val="21"/>
          <w:lang w:bidi="ar"/>
        </w:rPr>
        <w:t>脱</w:t>
      </w:r>
      <w:r>
        <w:rPr>
          <w:rFonts w:hint="eastAsia" w:ascii="宋体" w:hAnsi="宋体" w:eastAsia="宋体" w:cs="Arial Unicode MS"/>
          <w:szCs w:val="21"/>
          <w:lang w:bidi="ar"/>
        </w:rPr>
        <w:t>节</w:t>
      </w:r>
      <w:r>
        <w:rPr>
          <w:rFonts w:hint="eastAsia" w:ascii="宋体" w:hAnsi="宋体" w:eastAsia="宋体" w:cs="Times New Roman"/>
          <w:spacing w:val="2"/>
          <w:szCs w:val="21"/>
          <w:lang w:bidi="ar"/>
        </w:rPr>
        <w:t>，</w:t>
      </w:r>
      <w:r>
        <w:rPr>
          <w:rFonts w:hint="eastAsia" w:ascii="宋体" w:hAnsi="宋体" w:eastAsia="宋体" w:cs="Arial Unicode MS"/>
          <w:spacing w:val="-2"/>
          <w:szCs w:val="21"/>
          <w:lang w:bidi="ar"/>
        </w:rPr>
        <w:t>也</w:t>
      </w:r>
      <w:r>
        <w:rPr>
          <w:rFonts w:hint="eastAsia" w:ascii="宋体" w:hAnsi="宋体" w:eastAsia="宋体" w:cs="Arial Unicode MS"/>
          <w:szCs w:val="21"/>
          <w:lang w:bidi="ar"/>
        </w:rPr>
        <w:t>会使中外</w:t>
      </w:r>
      <w:r>
        <w:rPr>
          <w:rFonts w:hint="eastAsia" w:ascii="宋体" w:hAnsi="宋体" w:eastAsia="宋体" w:cs="Arial Unicode MS"/>
          <w:spacing w:val="-2"/>
          <w:szCs w:val="21"/>
          <w:lang w:bidi="ar"/>
        </w:rPr>
        <w:t>经</w:t>
      </w:r>
      <w:r>
        <w:rPr>
          <w:rFonts w:hint="eastAsia" w:ascii="宋体" w:hAnsi="宋体" w:eastAsia="宋体" w:cs="Arial Unicode MS"/>
          <w:szCs w:val="21"/>
          <w:lang w:bidi="ar"/>
        </w:rPr>
        <w:t>济学研究</w:t>
      </w:r>
      <w:r>
        <w:rPr>
          <w:rFonts w:hint="eastAsia" w:ascii="宋体" w:hAnsi="宋体" w:eastAsia="宋体" w:cs="Arial Unicode MS"/>
          <w:spacing w:val="-2"/>
          <w:szCs w:val="21"/>
          <w:lang w:bidi="ar"/>
        </w:rPr>
        <w:t>误</w:t>
      </w:r>
      <w:r>
        <w:rPr>
          <w:rFonts w:hint="eastAsia" w:ascii="宋体" w:hAnsi="宋体" w:eastAsia="宋体" w:cs="Arial Unicode MS"/>
          <w:szCs w:val="21"/>
          <w:lang w:bidi="ar"/>
        </w:rPr>
        <w:t>入歧途。</w:t>
      </w:r>
    </w:p>
    <w:p w14:paraId="12F87D22">
      <w:pPr>
        <w:autoSpaceDE w:val="0"/>
        <w:autoSpaceDN w:val="0"/>
        <w:spacing w:line="300" w:lineRule="auto"/>
        <w:ind w:firstLine="432" w:firstLineChars="200"/>
        <w:rPr>
          <w:rFonts w:ascii="宋体" w:hAnsi="宋体" w:eastAsia="宋体" w:cs="Arial Unicode MS"/>
          <w:b/>
          <w:bCs/>
          <w:szCs w:val="21"/>
        </w:rPr>
      </w:pPr>
      <w:r>
        <w:rPr>
          <w:rFonts w:hint="eastAsia" w:ascii="宋体" w:hAnsi="宋体" w:eastAsia="宋体" w:cs="Arial Unicode MS"/>
          <w:spacing w:val="-2"/>
          <w:szCs w:val="21"/>
          <w:lang w:bidi="ar"/>
        </w:rPr>
        <w:t>面</w:t>
      </w:r>
      <w:r>
        <w:rPr>
          <w:rFonts w:hint="eastAsia" w:ascii="宋体" w:hAnsi="宋体" w:eastAsia="宋体" w:cs="Arial Unicode MS"/>
          <w:szCs w:val="21"/>
          <w:lang w:bidi="ar"/>
        </w:rPr>
        <w:t>对</w:t>
      </w:r>
      <w:r>
        <w:rPr>
          <w:rFonts w:hint="eastAsia" w:ascii="宋体" w:hAnsi="宋体" w:eastAsia="宋体" w:cs="Times New Roman"/>
          <w:spacing w:val="6"/>
          <w:szCs w:val="21"/>
          <w:lang w:bidi="ar"/>
        </w:rPr>
        <w:t>2</w:t>
      </w:r>
      <w:r>
        <w:rPr>
          <w:rFonts w:hint="eastAsia" w:ascii="宋体" w:hAnsi="宋体" w:eastAsia="宋体" w:cs="Times New Roman"/>
          <w:szCs w:val="21"/>
          <w:lang w:bidi="ar"/>
        </w:rPr>
        <w:t>1</w:t>
      </w:r>
      <w:r>
        <w:rPr>
          <w:rFonts w:hint="eastAsia" w:ascii="宋体" w:hAnsi="宋体" w:eastAsia="宋体" w:cs="Arial Unicode MS"/>
          <w:szCs w:val="21"/>
          <w:lang w:bidi="ar"/>
        </w:rPr>
        <w:t>世纪国</w:t>
      </w:r>
      <w:r>
        <w:rPr>
          <w:rFonts w:hint="eastAsia" w:ascii="宋体" w:hAnsi="宋体" w:eastAsia="宋体" w:cs="Arial Unicode MS"/>
          <w:spacing w:val="-2"/>
          <w:szCs w:val="21"/>
          <w:lang w:bidi="ar"/>
        </w:rPr>
        <w:t>际</w:t>
      </w:r>
      <w:r>
        <w:rPr>
          <w:rFonts w:hint="eastAsia" w:ascii="宋体" w:hAnsi="宋体" w:eastAsia="宋体" w:cs="Arial Unicode MS"/>
          <w:szCs w:val="21"/>
          <w:lang w:bidi="ar"/>
        </w:rPr>
        <w:t>学术和文</w:t>
      </w:r>
      <w:r>
        <w:rPr>
          <w:rFonts w:hint="eastAsia" w:ascii="宋体" w:hAnsi="宋体" w:eastAsia="宋体" w:cs="Arial Unicode MS"/>
          <w:spacing w:val="-2"/>
          <w:szCs w:val="21"/>
          <w:lang w:bidi="ar"/>
        </w:rPr>
        <w:t>化</w:t>
      </w:r>
      <w:r>
        <w:rPr>
          <w:rFonts w:hint="eastAsia" w:ascii="宋体" w:hAnsi="宋体" w:eastAsia="宋体" w:cs="Arial Unicode MS"/>
          <w:szCs w:val="21"/>
          <w:lang w:bidi="ar"/>
        </w:rPr>
        <w:t>激烈竞争的</w:t>
      </w:r>
      <w:r>
        <w:rPr>
          <w:rFonts w:hint="eastAsia" w:ascii="宋体" w:hAnsi="宋体" w:eastAsia="宋体" w:cs="Arial Unicode MS"/>
          <w:spacing w:val="4"/>
          <w:szCs w:val="21"/>
          <w:lang w:bidi="ar"/>
        </w:rPr>
        <w:t>中国经济</w:t>
      </w:r>
      <w:r>
        <w:rPr>
          <w:rFonts w:hint="eastAsia" w:ascii="宋体" w:hAnsi="宋体" w:eastAsia="宋体" w:cs="Arial Unicode MS"/>
          <w:spacing w:val="6"/>
          <w:szCs w:val="21"/>
          <w:lang w:bidi="ar"/>
        </w:rPr>
        <w:t>学</w:t>
      </w:r>
      <w:r>
        <w:rPr>
          <w:rFonts w:hint="eastAsia" w:ascii="宋体" w:hAnsi="宋体" w:eastAsia="宋体" w:cs="Arial Unicode MS"/>
          <w:szCs w:val="21"/>
          <w:lang w:bidi="ar"/>
        </w:rPr>
        <w:t>界</w:t>
      </w:r>
      <w:r>
        <w:rPr>
          <w:rFonts w:hint="eastAsia" w:ascii="宋体" w:hAnsi="宋体" w:eastAsia="宋体" w:cs="Times New Roman"/>
          <w:spacing w:val="6"/>
          <w:szCs w:val="21"/>
          <w:lang w:bidi="ar"/>
        </w:rPr>
        <w:t>，</w:t>
      </w:r>
      <w:r>
        <w:rPr>
          <w:rFonts w:hint="eastAsia" w:ascii="宋体" w:hAnsi="宋体" w:eastAsia="宋体" w:cs="Arial Unicode MS"/>
          <w:spacing w:val="6"/>
          <w:szCs w:val="21"/>
          <w:lang w:bidi="ar"/>
        </w:rPr>
        <w:t>必须</w:t>
      </w:r>
      <w:r>
        <w:rPr>
          <w:rFonts w:hint="eastAsia" w:ascii="宋体" w:hAnsi="宋体" w:eastAsia="宋体" w:cs="Arial Unicode MS"/>
          <w:szCs w:val="21"/>
          <w:lang w:bidi="ar"/>
        </w:rPr>
        <w:t>依照党中央关于“要构建具有中国特色、中国风格和中国气派的哲学社会科学体系”的战略示意，着手构建经济学的“中国范式</w:t>
      </w:r>
      <w:r>
        <w:rPr>
          <w:rFonts w:hint="eastAsia" w:ascii="宋体" w:hAnsi="宋体" w:eastAsia="宋体" w:cs="Arial Unicode MS"/>
          <w:spacing w:val="-80"/>
          <w:szCs w:val="21"/>
          <w:lang w:bidi="ar"/>
        </w:rPr>
        <w:t>”</w:t>
      </w:r>
      <w:r>
        <w:rPr>
          <w:rFonts w:hint="eastAsia" w:ascii="宋体" w:hAnsi="宋体" w:eastAsia="宋体" w:cs="Arial Unicode MS"/>
          <w:spacing w:val="-26"/>
          <w:szCs w:val="21"/>
          <w:lang w:bidi="ar"/>
        </w:rPr>
        <w:t>。</w:t>
      </w:r>
      <w:r>
        <w:rPr>
          <w:rFonts w:hint="eastAsia" w:ascii="宋体" w:hAnsi="宋体" w:eastAsia="宋体" w:cs="Arial Unicode MS"/>
          <w:szCs w:val="21"/>
          <w:lang w:bidi="ar"/>
        </w:rPr>
        <w:t>这</w:t>
      </w:r>
      <w:r>
        <w:rPr>
          <w:rFonts w:hint="eastAsia" w:ascii="宋体" w:hAnsi="宋体" w:eastAsia="宋体" w:cs="Arial Unicode MS"/>
          <w:spacing w:val="-2"/>
          <w:szCs w:val="21"/>
          <w:lang w:bidi="ar"/>
        </w:rPr>
        <w:t>标</w:t>
      </w:r>
      <w:r>
        <w:rPr>
          <w:rFonts w:hint="eastAsia" w:ascii="宋体" w:hAnsi="宋体" w:eastAsia="宋体" w:cs="Arial Unicode MS"/>
          <w:szCs w:val="21"/>
          <w:lang w:bidi="ar"/>
        </w:rPr>
        <w:t>志着中</w:t>
      </w:r>
      <w:r>
        <w:rPr>
          <w:rFonts w:hint="eastAsia" w:ascii="宋体" w:hAnsi="宋体" w:eastAsia="宋体" w:cs="Arial Unicode MS"/>
          <w:spacing w:val="-2"/>
          <w:szCs w:val="21"/>
          <w:lang w:bidi="ar"/>
        </w:rPr>
        <w:t>国</w:t>
      </w:r>
      <w:r>
        <w:rPr>
          <w:rFonts w:hint="eastAsia" w:ascii="宋体" w:hAnsi="宋体" w:eastAsia="宋体" w:cs="Arial Unicode MS"/>
          <w:szCs w:val="21"/>
          <w:lang w:bidi="ar"/>
        </w:rPr>
        <w:t>经济学家</w:t>
      </w:r>
      <w:r>
        <w:rPr>
          <w:rFonts w:hint="eastAsia" w:ascii="宋体" w:hAnsi="宋体" w:eastAsia="宋体" w:cs="Arial Unicode MS"/>
          <w:spacing w:val="-2"/>
          <w:szCs w:val="21"/>
          <w:lang w:bidi="ar"/>
        </w:rPr>
        <w:t>从</w:t>
      </w:r>
      <w:r>
        <w:rPr>
          <w:rFonts w:hint="eastAsia" w:ascii="宋体" w:hAnsi="宋体" w:eastAsia="宋体" w:cs="Arial Unicode MS"/>
          <w:szCs w:val="21"/>
          <w:lang w:bidi="ar"/>
        </w:rPr>
        <w:t>简单引进</w:t>
      </w:r>
      <w:r>
        <w:rPr>
          <w:rFonts w:hint="eastAsia" w:ascii="宋体" w:hAnsi="宋体" w:eastAsia="宋体" w:cs="Arial Unicode MS"/>
          <w:spacing w:val="-2"/>
          <w:szCs w:val="21"/>
          <w:lang w:bidi="ar"/>
        </w:rPr>
        <w:t>和</w:t>
      </w:r>
      <w:r>
        <w:rPr>
          <w:rFonts w:hint="eastAsia" w:ascii="宋体" w:hAnsi="宋体" w:eastAsia="宋体" w:cs="Arial Unicode MS"/>
          <w:spacing w:val="4"/>
          <w:szCs w:val="21"/>
          <w:lang w:bidi="ar"/>
        </w:rPr>
        <w:t>模仿的自</w:t>
      </w:r>
      <w:r>
        <w:rPr>
          <w:rFonts w:hint="eastAsia" w:ascii="宋体" w:hAnsi="宋体" w:eastAsia="宋体" w:cs="Arial Unicode MS"/>
          <w:spacing w:val="6"/>
          <w:szCs w:val="21"/>
          <w:lang w:bidi="ar"/>
        </w:rPr>
        <w:t>在方式</w:t>
      </w:r>
      <w:r>
        <w:rPr>
          <w:rFonts w:hint="eastAsia" w:ascii="宋体" w:hAnsi="宋体" w:eastAsia="宋体" w:cs="Arial Unicode MS"/>
          <w:spacing w:val="4"/>
          <w:szCs w:val="21"/>
          <w:lang w:bidi="ar"/>
        </w:rPr>
        <w:t>到</w:t>
      </w:r>
      <w:r>
        <w:rPr>
          <w:rFonts w:hint="eastAsia" w:ascii="宋体" w:hAnsi="宋体" w:eastAsia="宋体" w:cs="Arial Unicode MS"/>
          <w:spacing w:val="6"/>
          <w:szCs w:val="21"/>
          <w:lang w:bidi="ar"/>
        </w:rPr>
        <w:t>理论</w:t>
      </w:r>
      <w:r>
        <w:rPr>
          <w:rFonts w:hint="eastAsia" w:ascii="宋体" w:hAnsi="宋体" w:eastAsia="宋体" w:cs="Arial Unicode MS"/>
          <w:spacing w:val="4"/>
          <w:szCs w:val="21"/>
          <w:lang w:bidi="ar"/>
        </w:rPr>
        <w:t>创</w:t>
      </w:r>
      <w:r>
        <w:rPr>
          <w:rFonts w:hint="eastAsia" w:ascii="宋体" w:hAnsi="宋体" w:eastAsia="宋体" w:cs="Arial Unicode MS"/>
          <w:spacing w:val="6"/>
          <w:szCs w:val="21"/>
          <w:lang w:bidi="ar"/>
        </w:rPr>
        <w:t>新的</w:t>
      </w:r>
      <w:r>
        <w:rPr>
          <w:rFonts w:hint="eastAsia" w:ascii="宋体" w:hAnsi="宋体" w:eastAsia="宋体" w:cs="Arial Unicode MS"/>
          <w:spacing w:val="4"/>
          <w:szCs w:val="21"/>
          <w:lang w:bidi="ar"/>
        </w:rPr>
        <w:t>自</w:t>
      </w:r>
      <w:r>
        <w:rPr>
          <w:rFonts w:hint="eastAsia" w:ascii="宋体" w:hAnsi="宋体" w:eastAsia="宋体" w:cs="Arial Unicode MS"/>
          <w:spacing w:val="6"/>
          <w:szCs w:val="21"/>
          <w:lang w:bidi="ar"/>
        </w:rPr>
        <w:t>觉或自</w:t>
      </w:r>
      <w:r>
        <w:rPr>
          <w:rFonts w:hint="eastAsia" w:ascii="宋体" w:hAnsi="宋体" w:eastAsia="宋体" w:cs="Arial Unicode MS"/>
          <w:spacing w:val="4"/>
          <w:szCs w:val="21"/>
          <w:lang w:bidi="ar"/>
        </w:rPr>
        <w:t>为</w:t>
      </w:r>
      <w:r>
        <w:rPr>
          <w:rFonts w:hint="eastAsia" w:ascii="宋体" w:hAnsi="宋体" w:eastAsia="宋体" w:cs="Arial Unicode MS"/>
          <w:spacing w:val="6"/>
          <w:szCs w:val="21"/>
          <w:lang w:bidi="ar"/>
        </w:rPr>
        <w:t>方</w:t>
      </w:r>
      <w:r>
        <w:rPr>
          <w:rFonts w:hint="eastAsia" w:ascii="宋体" w:hAnsi="宋体" w:eastAsia="宋体" w:cs="Arial Unicode MS"/>
          <w:szCs w:val="21"/>
          <w:lang w:bidi="ar"/>
        </w:rPr>
        <w:t>式的转变</w:t>
      </w:r>
      <w:r>
        <w:rPr>
          <w:rFonts w:hint="eastAsia" w:ascii="宋体" w:hAnsi="宋体" w:eastAsia="宋体" w:cs="Times New Roman"/>
          <w:spacing w:val="2"/>
          <w:szCs w:val="21"/>
          <w:lang w:bidi="ar"/>
        </w:rPr>
        <w:t>，</w:t>
      </w:r>
      <w:r>
        <w:rPr>
          <w:rFonts w:hint="eastAsia" w:ascii="宋体" w:hAnsi="宋体" w:eastAsia="宋体" w:cs="Arial Unicode MS"/>
          <w:szCs w:val="21"/>
          <w:lang w:bidi="ar"/>
        </w:rPr>
        <w:t>也</w:t>
      </w:r>
      <w:r>
        <w:rPr>
          <w:rFonts w:hint="eastAsia" w:ascii="宋体" w:hAnsi="宋体" w:eastAsia="宋体" w:cs="Arial Unicode MS"/>
          <w:spacing w:val="-2"/>
          <w:szCs w:val="21"/>
          <w:lang w:bidi="ar"/>
        </w:rPr>
        <w:t>反</w:t>
      </w:r>
      <w:r>
        <w:rPr>
          <w:rFonts w:hint="eastAsia" w:ascii="宋体" w:hAnsi="宋体" w:eastAsia="宋体" w:cs="Arial Unicode MS"/>
          <w:szCs w:val="21"/>
          <w:lang w:bidi="ar"/>
        </w:rPr>
        <w:t>映了对</w:t>
      </w:r>
      <w:r>
        <w:rPr>
          <w:rFonts w:hint="eastAsia" w:ascii="宋体" w:hAnsi="宋体" w:eastAsia="宋体" w:cs="Arial Unicode MS"/>
          <w:spacing w:val="-2"/>
          <w:szCs w:val="21"/>
          <w:lang w:bidi="ar"/>
        </w:rPr>
        <w:t>洋</w:t>
      </w:r>
      <w:r>
        <w:rPr>
          <w:rFonts w:hint="eastAsia" w:ascii="宋体" w:hAnsi="宋体" w:eastAsia="宋体" w:cs="Arial Unicode MS"/>
          <w:szCs w:val="21"/>
          <w:lang w:bidi="ar"/>
        </w:rPr>
        <w:t>教条主义</w:t>
      </w:r>
      <w:r>
        <w:rPr>
          <w:rFonts w:hint="eastAsia" w:ascii="宋体" w:hAnsi="宋体" w:eastAsia="宋体" w:cs="Arial Unicode MS"/>
          <w:spacing w:val="-2"/>
          <w:szCs w:val="21"/>
          <w:lang w:bidi="ar"/>
        </w:rPr>
        <w:t>的</w:t>
      </w:r>
      <w:r>
        <w:rPr>
          <w:rFonts w:hint="eastAsia" w:ascii="宋体" w:hAnsi="宋体" w:eastAsia="宋体" w:cs="Arial Unicode MS"/>
          <w:szCs w:val="21"/>
          <w:lang w:bidi="ar"/>
        </w:rPr>
        <w:t>摒弃和主</w:t>
      </w:r>
      <w:r>
        <w:rPr>
          <w:rFonts w:hint="eastAsia" w:ascii="宋体" w:hAnsi="宋体" w:eastAsia="宋体" w:cs="Arial Unicode MS"/>
          <w:spacing w:val="2"/>
          <w:szCs w:val="21"/>
          <w:lang w:bidi="ar"/>
        </w:rPr>
        <w:t>体</w:t>
      </w:r>
      <w:r>
        <w:rPr>
          <w:rFonts w:hint="eastAsia" w:ascii="宋体" w:hAnsi="宋体" w:eastAsia="宋体" w:cs="Arial Unicode MS"/>
          <w:spacing w:val="4"/>
          <w:szCs w:val="21"/>
          <w:lang w:bidi="ar"/>
        </w:rPr>
        <w:t>意</w:t>
      </w:r>
      <w:r>
        <w:rPr>
          <w:rFonts w:hint="eastAsia" w:ascii="宋体" w:hAnsi="宋体" w:eastAsia="宋体" w:cs="Arial Unicode MS"/>
          <w:spacing w:val="6"/>
          <w:szCs w:val="21"/>
          <w:lang w:bidi="ar"/>
        </w:rPr>
        <w:t>识的</w:t>
      </w:r>
      <w:r>
        <w:rPr>
          <w:rFonts w:hint="eastAsia" w:ascii="宋体" w:hAnsi="宋体" w:eastAsia="宋体" w:cs="Arial Unicode MS"/>
          <w:spacing w:val="4"/>
          <w:szCs w:val="21"/>
          <w:lang w:bidi="ar"/>
        </w:rPr>
        <w:t>觉</w:t>
      </w:r>
      <w:r>
        <w:rPr>
          <w:rFonts w:hint="eastAsia" w:ascii="宋体" w:hAnsi="宋体" w:eastAsia="宋体" w:cs="Arial Unicode MS"/>
          <w:szCs w:val="21"/>
          <w:lang w:bidi="ar"/>
        </w:rPr>
        <w:t>醒</w:t>
      </w:r>
      <w:r>
        <w:rPr>
          <w:rFonts w:hint="eastAsia" w:ascii="宋体" w:hAnsi="宋体" w:eastAsia="宋体" w:cs="Arial Unicode MS"/>
          <w:spacing w:val="-24"/>
          <w:szCs w:val="21"/>
          <w:lang w:bidi="ar"/>
        </w:rPr>
        <w:t>。</w:t>
      </w:r>
      <w:r>
        <w:rPr>
          <w:rFonts w:hint="eastAsia" w:ascii="宋体" w:hAnsi="宋体" w:eastAsia="宋体" w:cs="Arial Unicode MS"/>
          <w:spacing w:val="6"/>
          <w:szCs w:val="21"/>
          <w:lang w:bidi="ar"/>
        </w:rPr>
        <w:t>我</w:t>
      </w:r>
      <w:r>
        <w:rPr>
          <w:rFonts w:hint="eastAsia" w:ascii="宋体" w:hAnsi="宋体" w:eastAsia="宋体" w:cs="Arial Unicode MS"/>
          <w:spacing w:val="4"/>
          <w:szCs w:val="21"/>
          <w:lang w:bidi="ar"/>
        </w:rPr>
        <w:t>国</w:t>
      </w:r>
      <w:r>
        <w:rPr>
          <w:rFonts w:hint="eastAsia" w:ascii="宋体" w:hAnsi="宋体" w:eastAsia="宋体" w:cs="Arial Unicode MS"/>
          <w:spacing w:val="6"/>
          <w:szCs w:val="21"/>
          <w:lang w:bidi="ar"/>
        </w:rPr>
        <w:t>学者</w:t>
      </w:r>
      <w:r>
        <w:rPr>
          <w:rFonts w:hint="eastAsia" w:ascii="宋体" w:hAnsi="宋体" w:eastAsia="宋体" w:cs="Arial Unicode MS"/>
          <w:spacing w:val="4"/>
          <w:szCs w:val="21"/>
          <w:lang w:bidi="ar"/>
        </w:rPr>
        <w:t>构</w:t>
      </w:r>
      <w:r>
        <w:rPr>
          <w:rFonts w:hint="eastAsia" w:ascii="宋体" w:hAnsi="宋体" w:eastAsia="宋体" w:cs="Arial Unicode MS"/>
          <w:spacing w:val="6"/>
          <w:szCs w:val="21"/>
          <w:lang w:bidi="ar"/>
        </w:rPr>
        <w:t>建的</w:t>
      </w:r>
      <w:r>
        <w:rPr>
          <w:rFonts w:hint="eastAsia" w:ascii="宋体" w:hAnsi="宋体" w:eastAsia="宋体" w:cs="Arial Unicode MS"/>
          <w:spacing w:val="4"/>
          <w:szCs w:val="21"/>
          <w:lang w:bidi="ar"/>
        </w:rPr>
        <w:t>经</w:t>
      </w:r>
      <w:r>
        <w:rPr>
          <w:rFonts w:hint="eastAsia" w:ascii="宋体" w:hAnsi="宋体" w:eastAsia="宋体" w:cs="Arial Unicode MS"/>
          <w:spacing w:val="6"/>
          <w:szCs w:val="21"/>
          <w:lang w:bidi="ar"/>
        </w:rPr>
        <w:t>济学意</w:t>
      </w:r>
      <w:r>
        <w:rPr>
          <w:rFonts w:hint="eastAsia" w:ascii="宋体" w:hAnsi="宋体" w:eastAsia="宋体" w:cs="Arial Unicode MS"/>
          <w:spacing w:val="4"/>
          <w:szCs w:val="21"/>
          <w:lang w:bidi="ar"/>
        </w:rPr>
        <w:t>味</w:t>
      </w:r>
      <w:r>
        <w:rPr>
          <w:rFonts w:hint="eastAsia" w:ascii="宋体" w:hAnsi="宋体" w:eastAsia="宋体" w:cs="Arial Unicode MS"/>
          <w:spacing w:val="6"/>
          <w:szCs w:val="21"/>
          <w:lang w:bidi="ar"/>
        </w:rPr>
        <w:t>着</w:t>
      </w:r>
      <w:r>
        <w:rPr>
          <w:rFonts w:hint="eastAsia" w:ascii="宋体" w:hAnsi="宋体" w:eastAsia="宋体" w:cs="Arial Unicode MS"/>
          <w:szCs w:val="21"/>
          <w:lang w:bidi="ar"/>
        </w:rPr>
        <w:t>要实现</w:t>
      </w:r>
      <w:r>
        <w:rPr>
          <w:rFonts w:hint="eastAsia" w:ascii="宋体" w:hAnsi="宋体" w:eastAsia="宋体" w:cs="Arial Unicode MS"/>
          <w:spacing w:val="-2"/>
          <w:szCs w:val="21"/>
          <w:lang w:bidi="ar"/>
        </w:rPr>
        <w:t>两</w:t>
      </w:r>
      <w:r>
        <w:rPr>
          <w:rFonts w:hint="eastAsia" w:ascii="宋体" w:hAnsi="宋体" w:eastAsia="宋体" w:cs="Arial Unicode MS"/>
          <w:szCs w:val="21"/>
          <w:lang w:bidi="ar"/>
        </w:rPr>
        <w:t>个超越</w:t>
      </w:r>
      <w:r>
        <w:rPr>
          <w:rFonts w:hint="eastAsia" w:ascii="宋体" w:hAnsi="宋体" w:eastAsia="宋体" w:cs="Times New Roman"/>
          <w:spacing w:val="8"/>
          <w:szCs w:val="21"/>
          <w:lang w:bidi="ar"/>
        </w:rPr>
        <w:t>：</w:t>
      </w:r>
      <w:r>
        <w:rPr>
          <w:rFonts w:hint="eastAsia" w:ascii="宋体" w:hAnsi="宋体" w:eastAsia="宋体" w:cs="Arial Unicode MS"/>
          <w:szCs w:val="21"/>
          <w:lang w:bidi="ar"/>
        </w:rPr>
        <w:t>既超</w:t>
      </w:r>
      <w:r>
        <w:rPr>
          <w:rFonts w:hint="eastAsia" w:ascii="宋体" w:hAnsi="宋体" w:eastAsia="宋体" w:cs="Arial Unicode MS"/>
          <w:spacing w:val="-2"/>
          <w:szCs w:val="21"/>
          <w:lang w:bidi="ar"/>
        </w:rPr>
        <w:t>越</w:t>
      </w:r>
      <w:r>
        <w:rPr>
          <w:rFonts w:hint="eastAsia" w:ascii="宋体" w:hAnsi="宋体" w:eastAsia="宋体" w:cs="Arial Unicode MS"/>
          <w:szCs w:val="21"/>
          <w:lang w:bidi="ar"/>
        </w:rPr>
        <w:t>马列经典</w:t>
      </w:r>
      <w:r>
        <w:rPr>
          <w:rFonts w:hint="eastAsia" w:ascii="宋体" w:hAnsi="宋体" w:eastAsia="宋体" w:cs="Arial Unicode MS"/>
          <w:spacing w:val="-2"/>
          <w:szCs w:val="21"/>
          <w:lang w:bidi="ar"/>
        </w:rPr>
        <w:t>经</w:t>
      </w:r>
      <w:r>
        <w:rPr>
          <w:rFonts w:hint="eastAsia" w:ascii="宋体" w:hAnsi="宋体" w:eastAsia="宋体" w:cs="Arial Unicode MS"/>
          <w:szCs w:val="21"/>
          <w:lang w:bidi="ar"/>
        </w:rPr>
        <w:t>济学</w:t>
      </w:r>
      <w:r>
        <w:rPr>
          <w:rFonts w:hint="eastAsia" w:ascii="宋体" w:hAnsi="宋体" w:eastAsia="宋体" w:cs="Times New Roman"/>
          <w:szCs w:val="21"/>
          <w:lang w:bidi="ar"/>
        </w:rPr>
        <w:t>，</w:t>
      </w:r>
      <w:r>
        <w:rPr>
          <w:rFonts w:hint="eastAsia" w:ascii="宋体" w:hAnsi="宋体" w:eastAsia="宋体" w:cs="Arial Unicode MS"/>
          <w:szCs w:val="21"/>
          <w:lang w:bidi="ar"/>
        </w:rPr>
        <w:t>又超越当</w:t>
      </w:r>
      <w:r>
        <w:rPr>
          <w:rFonts w:hint="eastAsia" w:ascii="宋体" w:hAnsi="宋体" w:eastAsia="宋体" w:cs="Arial Unicode MS"/>
          <w:spacing w:val="-2"/>
          <w:szCs w:val="21"/>
          <w:lang w:bidi="ar"/>
        </w:rPr>
        <w:t>代</w:t>
      </w:r>
      <w:r>
        <w:rPr>
          <w:rFonts w:hint="eastAsia" w:ascii="宋体" w:hAnsi="宋体" w:eastAsia="宋体" w:cs="Arial Unicode MS"/>
          <w:szCs w:val="21"/>
          <w:lang w:bidi="ar"/>
        </w:rPr>
        <w:t>西方经济学</w:t>
      </w:r>
      <w:r>
        <w:rPr>
          <w:rFonts w:hint="eastAsia" w:ascii="宋体" w:hAnsi="宋体" w:eastAsia="宋体" w:cs="Times New Roman"/>
          <w:spacing w:val="8"/>
          <w:szCs w:val="21"/>
          <w:lang w:bidi="ar"/>
        </w:rPr>
        <w:t>；</w:t>
      </w:r>
      <w:r>
        <w:rPr>
          <w:rFonts w:hint="eastAsia" w:ascii="宋体" w:hAnsi="宋体" w:eastAsia="宋体" w:cs="Arial Unicode MS"/>
          <w:szCs w:val="21"/>
          <w:lang w:bidi="ar"/>
        </w:rPr>
        <w:t>要</w:t>
      </w:r>
      <w:r>
        <w:rPr>
          <w:rFonts w:hint="eastAsia" w:ascii="宋体" w:hAnsi="宋体" w:eastAsia="宋体" w:cs="Arial Unicode MS"/>
          <w:spacing w:val="-2"/>
          <w:szCs w:val="21"/>
          <w:lang w:bidi="ar"/>
        </w:rPr>
        <w:t>体</w:t>
      </w:r>
      <w:r>
        <w:rPr>
          <w:rFonts w:hint="eastAsia" w:ascii="宋体" w:hAnsi="宋体" w:eastAsia="宋体" w:cs="Arial Unicode MS"/>
          <w:szCs w:val="21"/>
          <w:lang w:bidi="ar"/>
        </w:rPr>
        <w:t>现两种实践</w:t>
      </w:r>
      <w:r>
        <w:rPr>
          <w:rFonts w:hint="eastAsia" w:ascii="宋体" w:hAnsi="宋体" w:eastAsia="宋体" w:cs="Times New Roman"/>
          <w:spacing w:val="8"/>
          <w:szCs w:val="21"/>
          <w:lang w:bidi="ar"/>
        </w:rPr>
        <w:t>：</w:t>
      </w:r>
      <w:r>
        <w:rPr>
          <w:rFonts w:hint="eastAsia" w:ascii="宋体" w:hAnsi="宋体" w:eastAsia="宋体" w:cs="Arial Unicode MS"/>
          <w:szCs w:val="21"/>
          <w:lang w:bidi="ar"/>
        </w:rPr>
        <w:t>既</w:t>
      </w:r>
      <w:r>
        <w:rPr>
          <w:rFonts w:hint="eastAsia" w:ascii="宋体" w:hAnsi="宋体" w:eastAsia="宋体" w:cs="Arial Unicode MS"/>
          <w:spacing w:val="-2"/>
          <w:szCs w:val="21"/>
          <w:lang w:bidi="ar"/>
        </w:rPr>
        <w:t>体</w:t>
      </w:r>
      <w:r>
        <w:rPr>
          <w:rFonts w:hint="eastAsia" w:ascii="宋体" w:hAnsi="宋体" w:eastAsia="宋体" w:cs="Arial Unicode MS"/>
          <w:szCs w:val="21"/>
          <w:lang w:bidi="ar"/>
        </w:rPr>
        <w:t>现东西方市</w:t>
      </w:r>
      <w:r>
        <w:rPr>
          <w:rFonts w:hint="eastAsia" w:ascii="宋体" w:hAnsi="宋体" w:eastAsia="宋体" w:cs="Arial Unicode MS"/>
          <w:spacing w:val="-2"/>
          <w:szCs w:val="21"/>
          <w:lang w:bidi="ar"/>
        </w:rPr>
        <w:t>场</w:t>
      </w:r>
      <w:r>
        <w:rPr>
          <w:rFonts w:hint="eastAsia" w:ascii="宋体" w:hAnsi="宋体" w:eastAsia="宋体" w:cs="Arial Unicode MS"/>
          <w:szCs w:val="21"/>
          <w:lang w:bidi="ar"/>
        </w:rPr>
        <w:t>经济实践</w:t>
      </w:r>
      <w:r>
        <w:rPr>
          <w:rFonts w:hint="eastAsia" w:ascii="宋体" w:hAnsi="宋体" w:eastAsia="宋体" w:cs="Times New Roman"/>
          <w:szCs w:val="21"/>
          <w:lang w:bidi="ar"/>
        </w:rPr>
        <w:t>，</w:t>
      </w:r>
      <w:r>
        <w:rPr>
          <w:rFonts w:hint="eastAsia" w:ascii="宋体" w:hAnsi="宋体" w:eastAsia="宋体" w:cs="Arial Unicode MS"/>
          <w:szCs w:val="21"/>
          <w:lang w:bidi="ar"/>
        </w:rPr>
        <w:t>又</w:t>
      </w:r>
      <w:r>
        <w:rPr>
          <w:rFonts w:hint="eastAsia" w:ascii="宋体" w:hAnsi="宋体" w:eastAsia="宋体" w:cs="Arial Unicode MS"/>
          <w:spacing w:val="-2"/>
          <w:szCs w:val="21"/>
          <w:lang w:bidi="ar"/>
        </w:rPr>
        <w:t>体</w:t>
      </w:r>
      <w:r>
        <w:rPr>
          <w:rFonts w:hint="eastAsia" w:ascii="宋体" w:hAnsi="宋体" w:eastAsia="宋体" w:cs="Arial Unicode MS"/>
          <w:szCs w:val="21"/>
          <w:lang w:bidi="ar"/>
        </w:rPr>
        <w:t>现有中国</w:t>
      </w:r>
      <w:r>
        <w:rPr>
          <w:rFonts w:hint="eastAsia" w:ascii="宋体" w:hAnsi="宋体" w:eastAsia="宋体" w:cs="Arial Unicode MS"/>
          <w:spacing w:val="-2"/>
          <w:szCs w:val="21"/>
          <w:lang w:bidi="ar"/>
        </w:rPr>
        <w:t>特</w:t>
      </w:r>
      <w:r>
        <w:rPr>
          <w:rFonts w:hint="eastAsia" w:ascii="宋体" w:hAnsi="宋体" w:eastAsia="宋体" w:cs="Arial Unicode MS"/>
          <w:szCs w:val="21"/>
          <w:lang w:bidi="ar"/>
        </w:rPr>
        <w:t>色的社会主</w:t>
      </w:r>
      <w:r>
        <w:rPr>
          <w:rFonts w:hint="eastAsia" w:ascii="宋体" w:hAnsi="宋体" w:eastAsia="宋体" w:cs="Arial Unicode MS"/>
          <w:spacing w:val="4"/>
          <w:szCs w:val="21"/>
          <w:lang w:bidi="ar"/>
        </w:rPr>
        <w:t>义</w:t>
      </w:r>
      <w:r>
        <w:rPr>
          <w:rFonts w:hint="eastAsia" w:ascii="宋体" w:hAnsi="宋体" w:eastAsia="宋体" w:cs="Arial Unicode MS"/>
          <w:spacing w:val="6"/>
          <w:szCs w:val="21"/>
          <w:lang w:bidi="ar"/>
        </w:rPr>
        <w:t>实</w:t>
      </w:r>
      <w:r>
        <w:rPr>
          <w:rFonts w:hint="eastAsia" w:ascii="宋体" w:hAnsi="宋体" w:eastAsia="宋体" w:cs="Arial Unicode MS"/>
          <w:szCs w:val="21"/>
          <w:lang w:bidi="ar"/>
        </w:rPr>
        <w:t>践</w:t>
      </w:r>
      <w:r>
        <w:rPr>
          <w:rFonts w:hint="eastAsia" w:ascii="宋体" w:hAnsi="宋体" w:eastAsia="宋体" w:cs="Times New Roman"/>
          <w:szCs w:val="21"/>
          <w:lang w:bidi="ar"/>
        </w:rPr>
        <w:t>；</w:t>
      </w:r>
      <w:r>
        <w:rPr>
          <w:rFonts w:hint="eastAsia" w:ascii="宋体" w:hAnsi="宋体" w:eastAsia="宋体" w:cs="Arial Unicode MS"/>
          <w:spacing w:val="6"/>
          <w:szCs w:val="21"/>
          <w:lang w:bidi="ar"/>
        </w:rPr>
        <w:t>要</w:t>
      </w:r>
      <w:r>
        <w:rPr>
          <w:rFonts w:hint="eastAsia" w:ascii="宋体" w:hAnsi="宋体" w:eastAsia="宋体" w:cs="Arial Unicode MS"/>
          <w:spacing w:val="4"/>
          <w:szCs w:val="21"/>
          <w:lang w:bidi="ar"/>
        </w:rPr>
        <w:t>显</w:t>
      </w:r>
      <w:r>
        <w:rPr>
          <w:rFonts w:hint="eastAsia" w:ascii="宋体" w:hAnsi="宋体" w:eastAsia="宋体" w:cs="Arial Unicode MS"/>
          <w:spacing w:val="6"/>
          <w:szCs w:val="21"/>
          <w:lang w:bidi="ar"/>
        </w:rPr>
        <w:t>现两种</w:t>
      </w:r>
      <w:r>
        <w:rPr>
          <w:rFonts w:hint="eastAsia" w:ascii="宋体" w:hAnsi="宋体" w:eastAsia="宋体" w:cs="Arial Unicode MS"/>
          <w:spacing w:val="4"/>
          <w:szCs w:val="21"/>
          <w:lang w:bidi="ar"/>
        </w:rPr>
        <w:t>创</w:t>
      </w:r>
      <w:r>
        <w:rPr>
          <w:rFonts w:hint="eastAsia" w:ascii="宋体" w:hAnsi="宋体" w:eastAsia="宋体" w:cs="Arial Unicode MS"/>
          <w:szCs w:val="21"/>
          <w:lang w:bidi="ar"/>
        </w:rPr>
        <w:t>新</w:t>
      </w:r>
      <w:r>
        <w:rPr>
          <w:rFonts w:hint="eastAsia" w:ascii="宋体" w:hAnsi="宋体" w:eastAsia="宋体" w:cs="Times New Roman"/>
          <w:szCs w:val="21"/>
          <w:lang w:bidi="ar"/>
        </w:rPr>
        <w:t>：</w:t>
      </w:r>
      <w:r>
        <w:rPr>
          <w:rFonts w:hint="eastAsia" w:ascii="宋体" w:hAnsi="宋体" w:eastAsia="宋体" w:cs="Arial Unicode MS"/>
          <w:spacing w:val="6"/>
          <w:szCs w:val="21"/>
          <w:lang w:bidi="ar"/>
        </w:rPr>
        <w:t>既要</w:t>
      </w:r>
      <w:r>
        <w:rPr>
          <w:rFonts w:hint="eastAsia" w:ascii="宋体" w:hAnsi="宋体" w:eastAsia="宋体" w:cs="Arial Unicode MS"/>
          <w:spacing w:val="4"/>
          <w:szCs w:val="21"/>
          <w:lang w:bidi="ar"/>
        </w:rPr>
        <w:t>有</w:t>
      </w:r>
      <w:r>
        <w:rPr>
          <w:rFonts w:hint="eastAsia" w:ascii="宋体" w:hAnsi="宋体" w:eastAsia="宋体" w:cs="Arial Unicode MS"/>
          <w:spacing w:val="6"/>
          <w:szCs w:val="21"/>
          <w:lang w:bidi="ar"/>
        </w:rPr>
        <w:t>经济学</w:t>
      </w:r>
      <w:r>
        <w:rPr>
          <w:rFonts w:hint="eastAsia" w:ascii="宋体" w:hAnsi="宋体" w:eastAsia="宋体" w:cs="Arial Unicode MS"/>
          <w:spacing w:val="4"/>
          <w:szCs w:val="21"/>
          <w:lang w:bidi="ar"/>
        </w:rPr>
        <w:t>的</w:t>
      </w:r>
      <w:r>
        <w:rPr>
          <w:rFonts w:hint="eastAsia" w:ascii="宋体" w:hAnsi="宋体" w:eastAsia="宋体" w:cs="Arial Unicode MS"/>
          <w:spacing w:val="6"/>
          <w:szCs w:val="21"/>
          <w:lang w:bidi="ar"/>
        </w:rPr>
        <w:t>某</w:t>
      </w:r>
      <w:r>
        <w:rPr>
          <w:rFonts w:hint="eastAsia" w:ascii="宋体" w:hAnsi="宋体" w:eastAsia="宋体" w:cs="Arial Unicode MS"/>
          <w:szCs w:val="21"/>
          <w:lang w:bidi="ar"/>
        </w:rPr>
        <w:t>些常规</w:t>
      </w:r>
      <w:r>
        <w:rPr>
          <w:rFonts w:hint="eastAsia" w:ascii="宋体" w:hAnsi="宋体" w:eastAsia="宋体" w:cs="Arial Unicode MS"/>
          <w:spacing w:val="-2"/>
          <w:szCs w:val="21"/>
          <w:lang w:bidi="ar"/>
        </w:rPr>
        <w:t>发</w:t>
      </w:r>
      <w:r>
        <w:rPr>
          <w:rFonts w:hint="eastAsia" w:ascii="宋体" w:hAnsi="宋体" w:eastAsia="宋体" w:cs="Arial Unicode MS"/>
          <w:szCs w:val="21"/>
          <w:lang w:bidi="ar"/>
        </w:rPr>
        <w:t>展</w:t>
      </w:r>
      <w:r>
        <w:rPr>
          <w:rFonts w:hint="eastAsia" w:ascii="宋体" w:hAnsi="宋体" w:eastAsia="宋体" w:cs="Times New Roman"/>
          <w:spacing w:val="2"/>
          <w:szCs w:val="21"/>
          <w:lang w:bidi="ar"/>
        </w:rPr>
        <w:t>，</w:t>
      </w:r>
      <w:r>
        <w:rPr>
          <w:rFonts w:hint="eastAsia" w:ascii="宋体" w:hAnsi="宋体" w:eastAsia="宋体" w:cs="Arial Unicode MS"/>
          <w:spacing w:val="-2"/>
          <w:szCs w:val="21"/>
          <w:lang w:bidi="ar"/>
        </w:rPr>
        <w:t>又</w:t>
      </w:r>
      <w:r>
        <w:rPr>
          <w:rFonts w:hint="eastAsia" w:ascii="宋体" w:hAnsi="宋体" w:eastAsia="宋体" w:cs="Arial Unicode MS"/>
          <w:szCs w:val="21"/>
          <w:lang w:bidi="ar"/>
        </w:rPr>
        <w:t>要有其</w:t>
      </w:r>
      <w:r>
        <w:rPr>
          <w:rFonts w:hint="eastAsia" w:ascii="宋体" w:hAnsi="宋体" w:eastAsia="宋体" w:cs="Arial Unicode MS"/>
          <w:spacing w:val="-2"/>
          <w:szCs w:val="21"/>
          <w:lang w:bidi="ar"/>
        </w:rPr>
        <w:t>范</w:t>
      </w:r>
      <w:r>
        <w:rPr>
          <w:rFonts w:hint="eastAsia" w:ascii="宋体" w:hAnsi="宋体" w:eastAsia="宋体" w:cs="Arial Unicode MS"/>
          <w:szCs w:val="21"/>
          <w:lang w:bidi="ar"/>
        </w:rPr>
        <w:t>式革命</w:t>
      </w:r>
      <w:r>
        <w:rPr>
          <w:rFonts w:hint="eastAsia" w:ascii="宋体" w:hAnsi="宋体" w:eastAsia="宋体" w:cs="Arial Unicode MS"/>
          <w:spacing w:val="-26"/>
          <w:szCs w:val="21"/>
          <w:lang w:bidi="ar"/>
        </w:rPr>
        <w:t>。</w:t>
      </w:r>
      <w:r>
        <w:rPr>
          <w:rFonts w:hint="eastAsia" w:ascii="宋体" w:hAnsi="宋体" w:eastAsia="宋体" w:cs="Arial Unicode MS"/>
          <w:spacing w:val="-2"/>
          <w:szCs w:val="21"/>
          <w:lang w:bidi="ar"/>
        </w:rPr>
        <w:t>它</w:t>
      </w:r>
      <w:r>
        <w:rPr>
          <w:rFonts w:hint="eastAsia" w:ascii="宋体" w:hAnsi="宋体" w:eastAsia="宋体" w:cs="Arial Unicode MS"/>
          <w:szCs w:val="21"/>
          <w:lang w:bidi="ar"/>
        </w:rPr>
        <w:t>将是一种</w:t>
      </w:r>
      <w:r>
        <w:rPr>
          <w:rFonts w:hint="eastAsia" w:ascii="宋体" w:hAnsi="宋体" w:eastAsia="宋体" w:cs="Arial Unicode MS"/>
          <w:spacing w:val="-2"/>
          <w:szCs w:val="21"/>
          <w:lang w:bidi="ar"/>
        </w:rPr>
        <w:t>科</w:t>
      </w:r>
      <w:r>
        <w:rPr>
          <w:rFonts w:hint="eastAsia" w:ascii="宋体" w:hAnsi="宋体" w:eastAsia="宋体" w:cs="Arial Unicode MS"/>
          <w:szCs w:val="21"/>
          <w:lang w:bidi="ar"/>
        </w:rPr>
        <w:t>学反思经</w:t>
      </w:r>
      <w:r>
        <w:rPr>
          <w:rFonts w:hint="eastAsia" w:ascii="宋体" w:hAnsi="宋体" w:eastAsia="宋体" w:cs="Arial Unicode MS"/>
          <w:spacing w:val="-2"/>
          <w:szCs w:val="21"/>
          <w:lang w:bidi="ar"/>
        </w:rPr>
        <w:t>济</w:t>
      </w:r>
      <w:r>
        <w:rPr>
          <w:rFonts w:hint="eastAsia" w:ascii="宋体" w:hAnsi="宋体" w:eastAsia="宋体" w:cs="Arial Unicode MS"/>
          <w:szCs w:val="21"/>
          <w:lang w:bidi="ar"/>
        </w:rPr>
        <w:t>现代性的“后现代经济学”，同时也将是一种“后马克思经济学新综合”。因为海派经济学家等新马克思主义经</w:t>
      </w:r>
      <w:r>
        <w:rPr>
          <w:rFonts w:hint="eastAsia" w:ascii="宋体" w:hAnsi="宋体" w:eastAsia="宋体" w:cs="Arial Unicode MS"/>
          <w:spacing w:val="-2"/>
          <w:szCs w:val="21"/>
          <w:lang w:bidi="ar"/>
        </w:rPr>
        <w:t>济</w:t>
      </w:r>
      <w:r>
        <w:rPr>
          <w:rFonts w:hint="eastAsia" w:ascii="宋体" w:hAnsi="宋体" w:eastAsia="宋体" w:cs="Arial Unicode MS"/>
          <w:szCs w:val="21"/>
          <w:lang w:bidi="ar"/>
        </w:rPr>
        <w:t>学学者正</w:t>
      </w:r>
      <w:r>
        <w:rPr>
          <w:rFonts w:hint="eastAsia" w:ascii="宋体" w:hAnsi="宋体" w:eastAsia="宋体" w:cs="Arial Unicode MS"/>
          <w:spacing w:val="-2"/>
          <w:szCs w:val="21"/>
          <w:lang w:bidi="ar"/>
        </w:rPr>
        <w:t>在</w:t>
      </w:r>
      <w:r>
        <w:rPr>
          <w:rFonts w:hint="eastAsia" w:ascii="宋体" w:hAnsi="宋体" w:eastAsia="宋体" w:cs="Arial Unicode MS"/>
          <w:szCs w:val="21"/>
          <w:lang w:bidi="ar"/>
        </w:rPr>
        <w:t>创建的经济</w:t>
      </w:r>
      <w:r>
        <w:rPr>
          <w:rFonts w:hint="eastAsia" w:ascii="宋体" w:hAnsi="宋体" w:eastAsia="宋体" w:cs="Arial Unicode MS"/>
          <w:spacing w:val="-2"/>
          <w:szCs w:val="21"/>
          <w:lang w:bidi="ar"/>
        </w:rPr>
        <w:t>学</w:t>
      </w:r>
      <w:r>
        <w:rPr>
          <w:rFonts w:hint="eastAsia" w:ascii="宋体" w:hAnsi="宋体" w:eastAsia="宋体" w:cs="Arial Unicode MS"/>
          <w:szCs w:val="21"/>
          <w:lang w:bidi="ar"/>
        </w:rPr>
        <w:t>新范式必</w:t>
      </w:r>
      <w:r>
        <w:rPr>
          <w:rFonts w:hint="eastAsia" w:ascii="宋体" w:hAnsi="宋体" w:eastAsia="宋体" w:cs="Arial Unicode MS"/>
          <w:spacing w:val="-2"/>
          <w:szCs w:val="21"/>
          <w:lang w:bidi="ar"/>
        </w:rPr>
        <w:t>然</w:t>
      </w:r>
      <w:r>
        <w:rPr>
          <w:rFonts w:hint="eastAsia" w:ascii="宋体" w:hAnsi="宋体" w:eastAsia="宋体" w:cs="Arial Unicode MS"/>
          <w:szCs w:val="21"/>
          <w:lang w:bidi="ar"/>
        </w:rPr>
        <w:t>具有世界眼光，是在当代国外经济学继续分化和局部综合的基础上去实现全面系统的科学大综合。其中包括整合马克思经济理论、西方马克思主义经济理论、西方激进经济理论、加尔布雷思和缪尔达尔的制度主义、凯恩斯左翼经济理论、克鲁格曼国际经济理论、发展经济学、比较经济学以及“中心—外围”等发展中国家经济理论，积极汲取当代哲学、伦理学、美学、心理学、法学、政治学、系统学、生物学、数学等多学科的可用方法。</w:t>
      </w:r>
    </w:p>
    <w:p w14:paraId="16785A81">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二、经济学的假设方法</w:t>
      </w:r>
    </w:p>
    <w:p w14:paraId="7A8AAB9E">
      <w:pPr>
        <w:autoSpaceDE w:val="0"/>
        <w:autoSpaceDN w:val="0"/>
        <w:spacing w:line="300" w:lineRule="auto"/>
        <w:ind w:firstLine="464" w:firstLineChars="200"/>
        <w:rPr>
          <w:rFonts w:ascii="宋体" w:hAnsi="宋体" w:eastAsia="宋体" w:cs="Arial Unicode MS"/>
          <w:szCs w:val="21"/>
        </w:rPr>
      </w:pPr>
      <w:r>
        <w:rPr>
          <w:rFonts w:hint="eastAsia" w:ascii="宋体" w:hAnsi="宋体" w:eastAsia="宋体" w:cs="Times New Roman"/>
          <w:spacing w:val="6"/>
          <w:szCs w:val="21"/>
          <w:lang w:bidi="ar"/>
        </w:rPr>
        <w:t>2</w:t>
      </w:r>
      <w:r>
        <w:rPr>
          <w:rFonts w:hint="eastAsia" w:ascii="宋体" w:hAnsi="宋体" w:eastAsia="宋体" w:cs="Times New Roman"/>
          <w:spacing w:val="4"/>
          <w:szCs w:val="21"/>
          <w:lang w:bidi="ar"/>
        </w:rPr>
        <w:t>0</w:t>
      </w:r>
      <w:r>
        <w:rPr>
          <w:rFonts w:hint="eastAsia" w:ascii="宋体" w:hAnsi="宋体" w:eastAsia="宋体" w:cs="Times New Roman"/>
          <w:spacing w:val="6"/>
          <w:szCs w:val="21"/>
          <w:lang w:bidi="ar"/>
        </w:rPr>
        <w:t>0</w:t>
      </w:r>
      <w:r>
        <w:rPr>
          <w:rFonts w:hint="eastAsia" w:ascii="宋体" w:hAnsi="宋体" w:eastAsia="宋体" w:cs="Times New Roman"/>
          <w:szCs w:val="21"/>
          <w:lang w:bidi="ar"/>
        </w:rPr>
        <w:t>3</w:t>
      </w:r>
      <w:r>
        <w:rPr>
          <w:rFonts w:hint="eastAsia" w:ascii="宋体" w:hAnsi="宋体" w:eastAsia="宋体" w:cs="Arial Unicode MS"/>
          <w:szCs w:val="21"/>
          <w:lang w:bidi="ar"/>
        </w:rPr>
        <w:t>年6月，国内17家重要媒体共同推出“20世纪文化偶像”大型公众调查的结果，雷锋也被选为“十大文化偶像”之一，引起众说纷纭。有学者提出：不能否定盗窃者和逃税者的自私理念与行为；雷锋的助人为乐行为是最大的自私。这些在公众看来也难以接受的言论，其根源出自18世纪以来的西方主流经济理论。他们只把“自私人”及其假设作为分析人类经济行为和市场经济的始点或公理，并由此推演出整个经济学体系和经济发展趋势。</w:t>
      </w:r>
    </w:p>
    <w:p w14:paraId="346C2C64">
      <w:pPr>
        <w:autoSpaceDE w:val="0"/>
        <w:autoSpaceDN w:val="0"/>
        <w:spacing w:line="300" w:lineRule="auto"/>
        <w:ind w:firstLine="440" w:firstLineChars="200"/>
        <w:rPr>
          <w:rFonts w:ascii="宋体" w:hAnsi="宋体" w:eastAsia="宋体" w:cs="Arial Unicode MS"/>
          <w:spacing w:val="-54"/>
          <w:szCs w:val="21"/>
        </w:rPr>
      </w:pPr>
      <w:r>
        <w:rPr>
          <w:rFonts w:hint="eastAsia" w:ascii="宋体" w:hAnsi="宋体" w:eastAsia="宋体" w:cs="Arial Unicode MS"/>
          <w:szCs w:val="21"/>
          <w:lang w:bidi="ar"/>
        </w:rPr>
        <w:t>按照西方“自私人”假设和思维逻辑可以类推：逃税何害有之？作假账何害有之？以权谋私何害有之？若把盗窃和逃税等非法行为均看成同“生产”一样，就会像张五常教授那样，强调“利己损人对社会可能有利也可能有害。问题是损人所得的利益是否大过他人蒙受的损失。”</w:t>
      </w:r>
      <w:r>
        <w:rPr>
          <w:rFonts w:hint="eastAsia" w:ascii="宋体" w:hAnsi="宋体" w:eastAsia="宋体" w:cs="Arial Unicode MS"/>
          <w:szCs w:val="21"/>
          <w:vertAlign w:val="superscript"/>
          <w:lang w:bidi="ar"/>
        </w:rPr>
        <w:t>①</w:t>
      </w:r>
      <w:r>
        <w:rPr>
          <w:rFonts w:hint="eastAsia" w:ascii="宋体" w:hAnsi="宋体" w:eastAsia="宋体" w:cs="Arial Unicode MS"/>
          <w:szCs w:val="21"/>
          <w:lang w:bidi="ar"/>
        </w:rPr>
        <w:t>难怪此类</w:t>
      </w:r>
      <w:r>
        <w:rPr>
          <w:rFonts w:hint="eastAsia" w:ascii="宋体" w:hAnsi="宋体" w:eastAsia="宋体" w:cs="Arial Unicode MS"/>
          <w:spacing w:val="-2"/>
          <w:szCs w:val="21"/>
          <w:lang w:bidi="ar"/>
        </w:rPr>
        <w:t>经</w:t>
      </w:r>
      <w:r>
        <w:rPr>
          <w:rFonts w:hint="eastAsia" w:ascii="宋体" w:hAnsi="宋体" w:eastAsia="宋体" w:cs="Arial Unicode MS"/>
          <w:szCs w:val="21"/>
          <w:lang w:bidi="ar"/>
        </w:rPr>
        <w:t>济学假</w:t>
      </w:r>
      <w:r>
        <w:rPr>
          <w:rFonts w:hint="eastAsia" w:ascii="宋体" w:hAnsi="宋体" w:eastAsia="宋体" w:cs="Arial Unicode MS"/>
          <w:spacing w:val="-2"/>
          <w:szCs w:val="21"/>
          <w:lang w:bidi="ar"/>
        </w:rPr>
        <w:t>设</w:t>
      </w:r>
      <w:r>
        <w:rPr>
          <w:rFonts w:hint="eastAsia" w:ascii="宋体" w:hAnsi="宋体" w:eastAsia="宋体" w:cs="Arial Unicode MS"/>
          <w:szCs w:val="21"/>
          <w:lang w:bidi="ar"/>
        </w:rPr>
        <w:t>和经</w:t>
      </w:r>
      <w:r>
        <w:rPr>
          <w:rFonts w:hint="eastAsia" w:ascii="宋体" w:hAnsi="宋体" w:eastAsia="宋体" w:cs="Arial Unicode MS"/>
          <w:spacing w:val="4"/>
          <w:szCs w:val="21"/>
          <w:lang w:bidi="ar"/>
        </w:rPr>
        <w:t>济</w:t>
      </w:r>
      <w:r>
        <w:rPr>
          <w:rFonts w:hint="eastAsia" w:ascii="宋体" w:hAnsi="宋体" w:eastAsia="宋体" w:cs="Arial Unicode MS"/>
          <w:spacing w:val="6"/>
          <w:szCs w:val="21"/>
          <w:lang w:bidi="ar"/>
        </w:rPr>
        <w:t>思</w:t>
      </w:r>
      <w:r>
        <w:rPr>
          <w:rFonts w:hint="eastAsia" w:ascii="宋体" w:hAnsi="宋体" w:eastAsia="宋体" w:cs="Arial Unicode MS"/>
          <w:spacing w:val="4"/>
          <w:szCs w:val="21"/>
          <w:lang w:bidi="ar"/>
        </w:rPr>
        <w:t>潮</w:t>
      </w:r>
      <w:r>
        <w:rPr>
          <w:rFonts w:hint="eastAsia" w:ascii="宋体" w:hAnsi="宋体" w:eastAsia="宋体" w:cs="Arial Unicode MS"/>
          <w:spacing w:val="6"/>
          <w:szCs w:val="21"/>
          <w:lang w:bidi="ar"/>
        </w:rPr>
        <w:t>流行</w:t>
      </w:r>
      <w:r>
        <w:rPr>
          <w:rFonts w:hint="eastAsia" w:ascii="宋体" w:hAnsi="宋体" w:eastAsia="宋体" w:cs="Arial Unicode MS"/>
          <w:spacing w:val="4"/>
          <w:szCs w:val="21"/>
          <w:lang w:bidi="ar"/>
        </w:rPr>
        <w:t>的</w:t>
      </w:r>
      <w:r>
        <w:rPr>
          <w:rFonts w:hint="eastAsia" w:ascii="宋体" w:hAnsi="宋体" w:eastAsia="宋体" w:cs="Arial Unicode MS"/>
          <w:spacing w:val="6"/>
          <w:szCs w:val="21"/>
          <w:lang w:bidi="ar"/>
        </w:rPr>
        <w:t>国</w:t>
      </w:r>
      <w:r>
        <w:rPr>
          <w:rFonts w:hint="eastAsia" w:ascii="宋体" w:hAnsi="宋体" w:eastAsia="宋体" w:cs="Arial Unicode MS"/>
          <w:szCs w:val="21"/>
          <w:lang w:bidi="ar"/>
        </w:rPr>
        <w:t>家</w:t>
      </w:r>
      <w:r>
        <w:rPr>
          <w:rFonts w:hint="eastAsia" w:ascii="宋体" w:hAnsi="宋体" w:eastAsia="宋体" w:cs="Times New Roman"/>
          <w:spacing w:val="8"/>
          <w:szCs w:val="21"/>
          <w:lang w:bidi="ar"/>
        </w:rPr>
        <w:t>，</w:t>
      </w:r>
      <w:r>
        <w:rPr>
          <w:rFonts w:hint="eastAsia" w:ascii="宋体" w:hAnsi="宋体" w:eastAsia="宋体" w:cs="Arial Unicode MS"/>
          <w:spacing w:val="8"/>
          <w:szCs w:val="21"/>
          <w:lang w:bidi="ar"/>
        </w:rPr>
        <w:t>往往</w:t>
      </w:r>
      <w:r>
        <w:rPr>
          <w:rFonts w:hint="eastAsia" w:ascii="宋体" w:hAnsi="宋体" w:eastAsia="宋体" w:cs="Arial Unicode MS"/>
          <w:spacing w:val="6"/>
          <w:szCs w:val="21"/>
          <w:lang w:bidi="ar"/>
        </w:rPr>
        <w:t>含</w:t>
      </w:r>
      <w:r>
        <w:rPr>
          <w:rFonts w:hint="eastAsia" w:ascii="宋体" w:hAnsi="宋体" w:eastAsia="宋体" w:cs="Arial Unicode MS"/>
          <w:spacing w:val="8"/>
          <w:szCs w:val="21"/>
          <w:lang w:bidi="ar"/>
        </w:rPr>
        <w:t>经济</w:t>
      </w:r>
      <w:r>
        <w:rPr>
          <w:rFonts w:hint="eastAsia" w:ascii="宋体" w:hAnsi="宋体" w:eastAsia="宋体" w:cs="Arial Unicode MS"/>
          <w:spacing w:val="6"/>
          <w:szCs w:val="21"/>
          <w:lang w:bidi="ar"/>
        </w:rPr>
        <w:t>犯</w:t>
      </w:r>
      <w:r>
        <w:rPr>
          <w:rFonts w:hint="eastAsia" w:ascii="宋体" w:hAnsi="宋体" w:eastAsia="宋体" w:cs="Arial Unicode MS"/>
          <w:spacing w:val="8"/>
          <w:szCs w:val="21"/>
          <w:lang w:bidi="ar"/>
        </w:rPr>
        <w:t>罪在</w:t>
      </w:r>
      <w:r>
        <w:rPr>
          <w:rFonts w:hint="eastAsia" w:ascii="宋体" w:hAnsi="宋体" w:eastAsia="宋体" w:cs="Arial Unicode MS"/>
          <w:spacing w:val="6"/>
          <w:szCs w:val="21"/>
          <w:lang w:bidi="ar"/>
        </w:rPr>
        <w:t>内</w:t>
      </w:r>
      <w:r>
        <w:rPr>
          <w:rFonts w:hint="eastAsia" w:ascii="宋体" w:hAnsi="宋体" w:eastAsia="宋体" w:cs="Arial Unicode MS"/>
          <w:spacing w:val="8"/>
          <w:szCs w:val="21"/>
          <w:lang w:bidi="ar"/>
        </w:rPr>
        <w:t>的各</w:t>
      </w:r>
      <w:r>
        <w:rPr>
          <w:rFonts w:hint="eastAsia" w:ascii="宋体" w:hAnsi="宋体" w:eastAsia="宋体" w:cs="Arial Unicode MS"/>
          <w:spacing w:val="6"/>
          <w:szCs w:val="21"/>
          <w:lang w:bidi="ar"/>
        </w:rPr>
        <w:t>种</w:t>
      </w:r>
      <w:r>
        <w:rPr>
          <w:rFonts w:hint="eastAsia" w:ascii="宋体" w:hAnsi="宋体" w:eastAsia="宋体" w:cs="Arial Unicode MS"/>
          <w:spacing w:val="8"/>
          <w:szCs w:val="21"/>
          <w:lang w:bidi="ar"/>
        </w:rPr>
        <w:t>社会</w:t>
      </w:r>
      <w:r>
        <w:rPr>
          <w:rFonts w:hint="eastAsia" w:ascii="宋体" w:hAnsi="宋体" w:eastAsia="宋体" w:cs="Arial Unicode MS"/>
          <w:spacing w:val="6"/>
          <w:szCs w:val="21"/>
          <w:lang w:bidi="ar"/>
        </w:rPr>
        <w:t>犯</w:t>
      </w:r>
      <w:r>
        <w:rPr>
          <w:rFonts w:hint="eastAsia" w:ascii="宋体" w:hAnsi="宋体" w:eastAsia="宋体" w:cs="Arial Unicode MS"/>
          <w:spacing w:val="8"/>
          <w:szCs w:val="21"/>
          <w:lang w:bidi="ar"/>
        </w:rPr>
        <w:t>罪</w:t>
      </w:r>
      <w:r>
        <w:rPr>
          <w:rFonts w:hint="eastAsia" w:ascii="宋体" w:hAnsi="宋体" w:eastAsia="宋体" w:cs="Arial Unicode MS"/>
          <w:szCs w:val="21"/>
          <w:lang w:bidi="ar"/>
        </w:rPr>
        <w:t>率极高</w:t>
      </w:r>
      <w:r>
        <w:rPr>
          <w:rFonts w:hint="eastAsia" w:ascii="宋体" w:hAnsi="宋体" w:eastAsia="宋体" w:cs="Times New Roman"/>
          <w:szCs w:val="21"/>
          <w:lang w:bidi="ar"/>
        </w:rPr>
        <w:t>，</w:t>
      </w:r>
      <w:r>
        <w:rPr>
          <w:rFonts w:hint="eastAsia" w:ascii="宋体" w:hAnsi="宋体" w:eastAsia="宋体" w:cs="Arial Unicode MS"/>
          <w:szCs w:val="21"/>
          <w:lang w:bidi="ar"/>
        </w:rPr>
        <w:t>非法</w:t>
      </w:r>
      <w:r>
        <w:rPr>
          <w:rFonts w:hint="eastAsia" w:ascii="宋体" w:hAnsi="宋体" w:eastAsia="宋体" w:cs="Arial Unicode MS"/>
          <w:spacing w:val="-2"/>
          <w:szCs w:val="21"/>
          <w:lang w:bidi="ar"/>
        </w:rPr>
        <w:t>竞</w:t>
      </w:r>
      <w:r>
        <w:rPr>
          <w:rFonts w:hint="eastAsia" w:ascii="宋体" w:hAnsi="宋体" w:eastAsia="宋体" w:cs="Arial Unicode MS"/>
          <w:szCs w:val="21"/>
          <w:lang w:bidi="ar"/>
        </w:rPr>
        <w:t>争和地</w:t>
      </w:r>
      <w:r>
        <w:rPr>
          <w:rFonts w:hint="eastAsia" w:ascii="宋体" w:hAnsi="宋体" w:eastAsia="宋体" w:cs="Arial Unicode MS"/>
          <w:spacing w:val="-2"/>
          <w:szCs w:val="21"/>
          <w:lang w:bidi="ar"/>
        </w:rPr>
        <w:t>下</w:t>
      </w:r>
      <w:r>
        <w:rPr>
          <w:rFonts w:hint="eastAsia" w:ascii="宋体" w:hAnsi="宋体" w:eastAsia="宋体" w:cs="Arial Unicode MS"/>
          <w:szCs w:val="21"/>
          <w:lang w:bidi="ar"/>
        </w:rPr>
        <w:t>经济极为</w:t>
      </w:r>
      <w:r>
        <w:rPr>
          <w:rFonts w:hint="eastAsia" w:ascii="宋体" w:hAnsi="宋体" w:eastAsia="宋体" w:cs="Arial Unicode MS"/>
          <w:spacing w:val="-2"/>
          <w:szCs w:val="21"/>
          <w:lang w:bidi="ar"/>
        </w:rPr>
        <w:t>普</w:t>
      </w:r>
      <w:r>
        <w:rPr>
          <w:rFonts w:hint="eastAsia" w:ascii="宋体" w:hAnsi="宋体" w:eastAsia="宋体" w:cs="Arial Unicode MS"/>
          <w:szCs w:val="21"/>
          <w:lang w:bidi="ar"/>
        </w:rPr>
        <w:t>遍。</w:t>
      </w:r>
    </w:p>
    <w:p w14:paraId="0E67DD43">
      <w:pPr>
        <w:autoSpaceDE w:val="0"/>
        <w:autoSpaceDN w:val="0"/>
        <w:spacing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这就进一步提出一个深刻的难题：如何科学地假设和分析人类的经济行为？怎样全面地观察市场经济条件下人的活动？被法国经济心理学学会创始人阿尔布等不少西方学者批判的“旧经济人假设”包含三个基本命题：(1)经济人是自私的，即追究自身利益是经济人的经济行为的根本动机。(2)经济人在行为上是理性的，具有完备或较完备的知识和计算能力，能视市场和自身状况而使所追求的个人利益最大化。(3)只要有良好的制度保证，个人追求自身利益最大化的自由行动，会无意而有效地增进社会公共利益。</w:t>
      </w:r>
    </w:p>
    <w:p w14:paraId="4F4826C1">
      <w:pPr>
        <w:autoSpaceDE w:val="0"/>
        <w:autoSpaceDN w:val="0"/>
        <w:spacing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依据人类实践和问题导向，我认为与时俱进的创新经济学以及管理学，必须确立一种“新经济人假设”，其方法论是整体主义、唯物主义和现实主义的。它也包含三个基本命题：(1)经济活动中的人有利己和利他两种倾向或性质。(2)经济活动中的人具有理性与非理性两种状态。(3)良好的制度会使经济活动中的人，在增进集体利益或社会利益最大化的过程中实现合理的个人利益最大化。这种“新经济人假设”是海派经济学的基本假设之一。</w:t>
      </w:r>
    </w:p>
    <w:p w14:paraId="296AD059">
      <w:pPr>
        <w:autoSpaceDE w:val="0"/>
        <w:autoSpaceDN w:val="0"/>
        <w:spacing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科学的经济理论假说，是以现有的经济事实和经济科学知识为依据的，但包含确实可靠与真实性尚未判定的两部分内容，因而具有推测成份，是经济思维接近客观真理的有效方式。经济学假设的验证则是一个历史过程，并且具有实践的相对性。</w:t>
      </w:r>
    </w:p>
    <w:p w14:paraId="6F795DF9">
      <w:pPr>
        <w:autoSpaceDE w:val="0"/>
        <w:autoSpaceDN w:val="0"/>
        <w:spacing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不过，经济学的严禁和有效的研究不能随意假设，因而需要对它们进行分类，它至少包括：(1)根据假设与现实的关系，可分为接近现实的或远离现实的假设；(2)根据假设的科学性程度，可分为较科学的或不科学的假设；(3)根据假设的覆盖面，可分为全面的或片面的假设；(4)根据假设的抽象程度，可分为基本的或具体的假设。</w:t>
      </w:r>
    </w:p>
    <w:p w14:paraId="6C622D93">
      <w:pPr>
        <w:autoSpaceDE w:val="0"/>
        <w:autoSpaceDN w:val="0"/>
        <w:spacing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假设方法和内容的不同，会显示出经济学的不同派别和体系。当前，构建多种具有中国特色、中国风格、中国气派的经济学新范式，要求务实地科学塑造不同经济学的独特方法论和原理。同样，海派经济学迫切需要进行包括“新经济人假设”在内的多种合理假设的创新和探究。</w:t>
      </w:r>
    </w:p>
    <w:p w14:paraId="04824566">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三、经济学的证实和证伪方法</w:t>
      </w:r>
    </w:p>
    <w:p w14:paraId="656417B1">
      <w:pPr>
        <w:autoSpaceDE w:val="0"/>
        <w:autoSpaceDN w:val="0"/>
        <w:spacing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天下乌鸦一般黑”，或“一切乌鸦皆黑”，这句话能够被证实吗？其实，即便人们亲眼观察到1万只乌鸦是黑的，都不能证实这个全称命题。然而，只要看到一只白乌鸦就足以证伪此命题。证伪主义倡导者波普尔认为，理论并不来源于观察，因为通过归纳法不能得到普遍性的理论；理论是大胆的猜测，一个猜测要尽可能的丰富，所以猜测需要依靠由观察和实验所提供的经验的检验，但理论不能被证实，只能被证伪。波普尔反对实证主义对经验作现象主义的解释，因为实证主义主张从经验或直接所予出发，拒绝通过理性把握感觉材料，只认为通过对现象的归纳就可以得到科学定律，强调经验上的证实对于科学理论的重要性，因此实证主义又是一种证实主义。波普尔的证伪主义批评证实主义的某些观点有一定的道理，不过，过分强调真理的相对性而否定其绝对性，进而否认历史发展的规律性及其预言，则是片面的。</w:t>
      </w:r>
    </w:p>
    <w:p w14:paraId="74F33445">
      <w:pPr>
        <w:autoSpaceDE w:val="0"/>
        <w:autoSpaceDN w:val="0"/>
        <w:spacing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以社会主义与市场经济的关系为例。有人认为，除了极个别例外，世界上绝大多数国家均搞资本主义市场经济，这就证实了社会主义与市场经济是不相容的。以批判传统计划经济出名的匈牙利经济学家科尔奈，在苏东国家剧变后跑到美国大学任教，很快便出版了一本积蓄已久的《迈向自由经济之路》一书，也声称社会主义国家的改革，只搞市场化而不搞私有化是行不通的，已被改革实践证实了。</w:t>
      </w:r>
    </w:p>
    <w:p w14:paraId="14B7F88F">
      <w:pPr>
        <w:autoSpaceDE w:val="0"/>
        <w:autoSpaceDN w:val="0"/>
        <w:spacing w:line="300" w:lineRule="auto"/>
        <w:ind w:firstLine="432" w:firstLineChars="200"/>
        <w:rPr>
          <w:rFonts w:ascii="宋体" w:hAnsi="宋体" w:eastAsia="宋体" w:cs="Arial Unicode MS"/>
          <w:szCs w:val="21"/>
        </w:rPr>
      </w:pPr>
      <w:r>
        <w:rPr>
          <w:rFonts w:hint="eastAsia" w:ascii="宋体" w:hAnsi="宋体" w:eastAsia="宋体" w:cs="Arial Unicode MS"/>
          <w:spacing w:val="-2"/>
          <w:szCs w:val="21"/>
          <w:lang w:bidi="ar"/>
        </w:rPr>
        <w:t>从</w:t>
      </w:r>
      <w:r>
        <w:rPr>
          <w:rFonts w:hint="eastAsia" w:ascii="宋体" w:hAnsi="宋体" w:eastAsia="宋体" w:cs="Arial Unicode MS"/>
          <w:szCs w:val="21"/>
          <w:lang w:bidi="ar"/>
        </w:rPr>
        <w:t>经济制度</w:t>
      </w:r>
      <w:r>
        <w:rPr>
          <w:rFonts w:hint="eastAsia" w:ascii="宋体" w:hAnsi="宋体" w:eastAsia="宋体" w:cs="Arial Unicode MS"/>
          <w:spacing w:val="-2"/>
          <w:szCs w:val="21"/>
          <w:lang w:bidi="ar"/>
        </w:rPr>
        <w:t>层</w:t>
      </w:r>
      <w:r>
        <w:rPr>
          <w:rFonts w:hint="eastAsia" w:ascii="宋体" w:hAnsi="宋体" w:eastAsia="宋体" w:cs="Arial Unicode MS"/>
          <w:szCs w:val="21"/>
          <w:lang w:bidi="ar"/>
        </w:rPr>
        <w:t>面界定</w:t>
      </w:r>
      <w:r>
        <w:rPr>
          <w:rFonts w:hint="eastAsia" w:ascii="宋体" w:hAnsi="宋体" w:eastAsia="宋体" w:cs="Times New Roman"/>
          <w:szCs w:val="21"/>
          <w:lang w:bidi="ar"/>
        </w:rPr>
        <w:t>，</w:t>
      </w:r>
      <w:r>
        <w:rPr>
          <w:rFonts w:hint="eastAsia" w:ascii="宋体" w:hAnsi="宋体" w:eastAsia="宋体" w:cs="Arial Unicode MS"/>
          <w:szCs w:val="21"/>
          <w:lang w:bidi="ar"/>
        </w:rPr>
        <w:t>初级</w:t>
      </w:r>
      <w:r>
        <w:rPr>
          <w:rFonts w:hint="eastAsia" w:ascii="宋体" w:hAnsi="宋体" w:eastAsia="宋体" w:cs="Arial Unicode MS"/>
          <w:spacing w:val="-2"/>
          <w:szCs w:val="21"/>
          <w:lang w:bidi="ar"/>
        </w:rPr>
        <w:t>阶</w:t>
      </w:r>
      <w:r>
        <w:rPr>
          <w:rFonts w:hint="eastAsia" w:ascii="宋体" w:hAnsi="宋体" w:eastAsia="宋体" w:cs="Arial Unicode MS"/>
          <w:szCs w:val="21"/>
          <w:lang w:bidi="ar"/>
        </w:rPr>
        <w:t>段的社会</w:t>
      </w:r>
      <w:r>
        <w:rPr>
          <w:rFonts w:hint="eastAsia" w:ascii="宋体" w:hAnsi="宋体" w:eastAsia="宋体" w:cs="Arial Unicode MS"/>
          <w:spacing w:val="-2"/>
          <w:szCs w:val="21"/>
          <w:lang w:bidi="ar"/>
        </w:rPr>
        <w:t>主</w:t>
      </w:r>
      <w:r>
        <w:rPr>
          <w:rFonts w:hint="eastAsia" w:ascii="宋体" w:hAnsi="宋体" w:eastAsia="宋体" w:cs="Arial Unicode MS"/>
          <w:szCs w:val="21"/>
          <w:lang w:bidi="ar"/>
        </w:rPr>
        <w:t>义市场经</w:t>
      </w:r>
      <w:r>
        <w:rPr>
          <w:rFonts w:hint="eastAsia" w:ascii="宋体" w:hAnsi="宋体" w:eastAsia="宋体" w:cs="Arial Unicode MS"/>
          <w:spacing w:val="-2"/>
          <w:szCs w:val="21"/>
          <w:lang w:bidi="ar"/>
        </w:rPr>
        <w:t>济</w:t>
      </w:r>
      <w:r>
        <w:rPr>
          <w:rFonts w:hint="eastAsia" w:ascii="宋体" w:hAnsi="宋体" w:eastAsia="宋体" w:cs="Arial Unicode MS"/>
          <w:szCs w:val="21"/>
          <w:lang w:bidi="ar"/>
        </w:rPr>
        <w:t>就是以公</w:t>
      </w:r>
      <w:r>
        <w:rPr>
          <w:rFonts w:hint="eastAsia" w:ascii="宋体" w:hAnsi="宋体" w:eastAsia="宋体" w:cs="Arial Unicode MS"/>
          <w:spacing w:val="-2"/>
          <w:szCs w:val="21"/>
          <w:lang w:bidi="ar"/>
        </w:rPr>
        <w:t>有</w:t>
      </w:r>
      <w:r>
        <w:rPr>
          <w:rFonts w:hint="eastAsia" w:ascii="宋体" w:hAnsi="宋体" w:eastAsia="宋体" w:cs="Arial Unicode MS"/>
          <w:szCs w:val="21"/>
          <w:lang w:bidi="ar"/>
        </w:rPr>
        <w:t>制为主体</w:t>
      </w:r>
      <w:r>
        <w:rPr>
          <w:rFonts w:hint="eastAsia" w:ascii="宋体" w:hAnsi="宋体" w:eastAsia="宋体" w:cs="Arial Unicode MS"/>
          <w:spacing w:val="-2"/>
          <w:szCs w:val="21"/>
          <w:lang w:bidi="ar"/>
        </w:rPr>
        <w:t>的</w:t>
      </w:r>
      <w:r>
        <w:rPr>
          <w:rFonts w:hint="eastAsia" w:ascii="宋体" w:hAnsi="宋体" w:eastAsia="宋体" w:cs="Arial Unicode MS"/>
          <w:szCs w:val="21"/>
          <w:lang w:bidi="ar"/>
        </w:rPr>
        <w:t>市场经济</w:t>
      </w:r>
      <w:r>
        <w:rPr>
          <w:rFonts w:hint="eastAsia" w:ascii="宋体" w:hAnsi="宋体" w:eastAsia="宋体" w:cs="Times New Roman"/>
          <w:szCs w:val="21"/>
          <w:lang w:bidi="ar"/>
        </w:rPr>
        <w:t>，</w:t>
      </w:r>
      <w:r>
        <w:rPr>
          <w:rFonts w:hint="eastAsia" w:ascii="宋体" w:hAnsi="宋体" w:eastAsia="宋体" w:cs="Arial Unicode MS"/>
          <w:szCs w:val="21"/>
          <w:lang w:bidi="ar"/>
        </w:rPr>
        <w:t>因而社</w:t>
      </w:r>
      <w:r>
        <w:rPr>
          <w:rFonts w:hint="eastAsia" w:ascii="宋体" w:hAnsi="宋体" w:eastAsia="宋体" w:cs="Arial Unicode MS"/>
          <w:spacing w:val="-2"/>
          <w:szCs w:val="21"/>
          <w:lang w:bidi="ar"/>
        </w:rPr>
        <w:t>会</w:t>
      </w:r>
      <w:r>
        <w:rPr>
          <w:rFonts w:hint="eastAsia" w:ascii="宋体" w:hAnsi="宋体" w:eastAsia="宋体" w:cs="Arial Unicode MS"/>
          <w:szCs w:val="21"/>
          <w:lang w:bidi="ar"/>
        </w:rPr>
        <w:t>主义市场</w:t>
      </w:r>
      <w:r>
        <w:rPr>
          <w:rFonts w:hint="eastAsia" w:ascii="宋体" w:hAnsi="宋体" w:eastAsia="宋体" w:cs="Arial Unicode MS"/>
          <w:spacing w:val="-2"/>
          <w:szCs w:val="21"/>
          <w:lang w:bidi="ar"/>
        </w:rPr>
        <w:t>经</w:t>
      </w:r>
      <w:r>
        <w:rPr>
          <w:rFonts w:hint="eastAsia" w:ascii="宋体" w:hAnsi="宋体" w:eastAsia="宋体" w:cs="Arial Unicode MS"/>
          <w:szCs w:val="21"/>
          <w:lang w:bidi="ar"/>
        </w:rPr>
        <w:t>济可以</w:t>
      </w:r>
      <w:r>
        <w:rPr>
          <w:rFonts w:hint="eastAsia" w:ascii="宋体" w:hAnsi="宋体" w:eastAsia="宋体" w:cs="Arial Unicode MS"/>
          <w:spacing w:val="-2"/>
          <w:szCs w:val="21"/>
          <w:lang w:bidi="ar"/>
        </w:rPr>
        <w:t>简</w:t>
      </w:r>
      <w:r>
        <w:rPr>
          <w:rFonts w:hint="eastAsia" w:ascii="宋体" w:hAnsi="宋体" w:eastAsia="宋体" w:cs="Arial Unicode MS"/>
          <w:szCs w:val="21"/>
          <w:lang w:bidi="ar"/>
        </w:rPr>
        <w:t>称为公有</w:t>
      </w:r>
      <w:r>
        <w:rPr>
          <w:rFonts w:hint="eastAsia" w:ascii="宋体" w:hAnsi="宋体" w:eastAsia="宋体" w:cs="Arial Unicode MS"/>
          <w:spacing w:val="-2"/>
          <w:szCs w:val="21"/>
          <w:lang w:bidi="ar"/>
        </w:rPr>
        <w:t>主</w:t>
      </w:r>
      <w:r>
        <w:rPr>
          <w:rFonts w:hint="eastAsia" w:ascii="宋体" w:hAnsi="宋体" w:eastAsia="宋体" w:cs="Arial Unicode MS"/>
          <w:szCs w:val="21"/>
          <w:lang w:bidi="ar"/>
        </w:rPr>
        <w:t>体</w:t>
      </w:r>
      <w:r>
        <w:rPr>
          <w:rFonts w:hint="eastAsia" w:ascii="宋体" w:hAnsi="宋体" w:eastAsia="宋体" w:cs="Arial Unicode MS"/>
          <w:spacing w:val="4"/>
          <w:szCs w:val="21"/>
          <w:lang w:bidi="ar"/>
        </w:rPr>
        <w:t>型市场</w:t>
      </w:r>
      <w:r>
        <w:rPr>
          <w:rFonts w:hint="eastAsia" w:ascii="宋体" w:hAnsi="宋体" w:eastAsia="宋体" w:cs="Arial Unicode MS"/>
          <w:spacing w:val="6"/>
          <w:szCs w:val="21"/>
          <w:lang w:bidi="ar"/>
        </w:rPr>
        <w:t>经</w:t>
      </w:r>
      <w:r>
        <w:rPr>
          <w:rFonts w:hint="eastAsia" w:ascii="宋体" w:hAnsi="宋体" w:eastAsia="宋体" w:cs="Arial Unicode MS"/>
          <w:szCs w:val="21"/>
          <w:lang w:bidi="ar"/>
        </w:rPr>
        <w:t>济</w:t>
      </w:r>
      <w:r>
        <w:rPr>
          <w:rFonts w:hint="eastAsia" w:ascii="宋体" w:hAnsi="宋体" w:eastAsia="宋体" w:cs="Times New Roman"/>
          <w:spacing w:val="6"/>
          <w:szCs w:val="21"/>
          <w:lang w:bidi="ar"/>
        </w:rPr>
        <w:t>，</w:t>
      </w:r>
      <w:r>
        <w:rPr>
          <w:rFonts w:hint="eastAsia" w:ascii="宋体" w:hAnsi="宋体" w:eastAsia="宋体" w:cs="Arial Unicode MS"/>
          <w:spacing w:val="6"/>
          <w:szCs w:val="21"/>
          <w:lang w:bidi="ar"/>
        </w:rPr>
        <w:t>其他</w:t>
      </w:r>
      <w:r>
        <w:rPr>
          <w:rFonts w:hint="eastAsia" w:ascii="宋体" w:hAnsi="宋体" w:eastAsia="宋体" w:cs="Arial Unicode MS"/>
          <w:spacing w:val="4"/>
          <w:szCs w:val="21"/>
          <w:lang w:bidi="ar"/>
        </w:rPr>
        <w:t>解</w:t>
      </w:r>
      <w:r>
        <w:rPr>
          <w:rFonts w:hint="eastAsia" w:ascii="宋体" w:hAnsi="宋体" w:eastAsia="宋体" w:cs="Arial Unicode MS"/>
          <w:spacing w:val="6"/>
          <w:szCs w:val="21"/>
          <w:lang w:bidi="ar"/>
        </w:rPr>
        <w:t>释都难</w:t>
      </w:r>
      <w:r>
        <w:rPr>
          <w:rFonts w:hint="eastAsia" w:ascii="宋体" w:hAnsi="宋体" w:eastAsia="宋体" w:cs="Arial Unicode MS"/>
          <w:spacing w:val="4"/>
          <w:szCs w:val="21"/>
          <w:lang w:bidi="ar"/>
        </w:rPr>
        <w:t>以</w:t>
      </w:r>
      <w:r>
        <w:rPr>
          <w:rFonts w:hint="eastAsia" w:ascii="宋体" w:hAnsi="宋体" w:eastAsia="宋体" w:cs="Arial Unicode MS"/>
          <w:spacing w:val="6"/>
          <w:szCs w:val="21"/>
          <w:lang w:bidi="ar"/>
        </w:rPr>
        <w:t>说</w:t>
      </w:r>
      <w:r>
        <w:rPr>
          <w:rFonts w:hint="eastAsia" w:ascii="宋体" w:hAnsi="宋体" w:eastAsia="宋体" w:cs="Arial Unicode MS"/>
          <w:szCs w:val="21"/>
          <w:lang w:bidi="ar"/>
        </w:rPr>
        <w:t>清</w:t>
      </w:r>
      <w:r>
        <w:rPr>
          <w:rFonts w:hint="eastAsia" w:ascii="宋体" w:hAnsi="宋体" w:eastAsia="宋体" w:cs="Arial Unicode MS"/>
          <w:spacing w:val="-24"/>
          <w:szCs w:val="21"/>
          <w:lang w:bidi="ar"/>
        </w:rPr>
        <w:t>。</w:t>
      </w:r>
      <w:r>
        <w:rPr>
          <w:rFonts w:hint="eastAsia" w:ascii="宋体" w:hAnsi="宋体" w:eastAsia="宋体" w:cs="Arial Unicode MS"/>
          <w:spacing w:val="6"/>
          <w:szCs w:val="21"/>
          <w:lang w:bidi="ar"/>
        </w:rPr>
        <w:t>古今中</w:t>
      </w:r>
      <w:r>
        <w:rPr>
          <w:rFonts w:hint="eastAsia" w:ascii="宋体" w:hAnsi="宋体" w:eastAsia="宋体" w:cs="Arial Unicode MS"/>
          <w:spacing w:val="4"/>
          <w:szCs w:val="21"/>
          <w:lang w:bidi="ar"/>
        </w:rPr>
        <w:t>外</w:t>
      </w:r>
      <w:r>
        <w:rPr>
          <w:rFonts w:hint="eastAsia" w:ascii="宋体" w:hAnsi="宋体" w:eastAsia="宋体" w:cs="Arial Unicode MS"/>
          <w:spacing w:val="6"/>
          <w:szCs w:val="21"/>
          <w:lang w:bidi="ar"/>
        </w:rPr>
        <w:t>没</w:t>
      </w:r>
      <w:r>
        <w:rPr>
          <w:rFonts w:hint="eastAsia" w:ascii="宋体" w:hAnsi="宋体" w:eastAsia="宋体" w:cs="Arial Unicode MS"/>
          <w:szCs w:val="21"/>
          <w:lang w:bidi="ar"/>
        </w:rPr>
        <w:t>有一个国家搞成功社会主义市场经济，而我国史无前例地第一个正式实行社会主义市场经济体制，难道是违反了实证原则和实践标准了吗？科斯说得较为客观，他在北京一次演讲时答听众道：“已有的经验是关于私有制与市场经济的结合，而关于公有制与市场经济能否结合这一点，现在还不能被证伪。”</w:t>
      </w:r>
      <w:r>
        <w:rPr>
          <w:rFonts w:hint="eastAsia" w:ascii="宋体" w:hAnsi="宋体" w:eastAsia="宋体" w:cs="Arial Unicode MS"/>
          <w:szCs w:val="21"/>
          <w:vertAlign w:val="superscript"/>
          <w:lang w:bidi="ar"/>
        </w:rPr>
        <w:t>②</w:t>
      </w:r>
    </w:p>
    <w:p w14:paraId="15F84391">
      <w:pPr>
        <w:autoSpaceDE w:val="0"/>
        <w:autoSpaceDN w:val="0"/>
        <w:spacing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进一步分析，尽管中外都有不少证伪“公有制可以与市场经济兼容”这一理论“硬核”的实例，但用证伪主义者拉卡托斯的方法来阐释，就会明白在此理论“硬核”的周围，有一个由一系列辅助性假说构成的“保护带”，如市场机制和国家调节机制较为完善，公有制的实现形式和管理体制较为合理等等。因为所有赞成这个命题和理论“硬核”的人都不会认为，不需要理论假设和现实环境，公有制可以无条件地与市场经济相容并产生出高效率(据西方激进经济学家分析，私有制可以实现高效率这一理论“硬核”也需要17个理论假设或现实条件)。</w:t>
      </w:r>
    </w:p>
    <w:p w14:paraId="7C238DA5">
      <w:pPr>
        <w:autoSpaceDE w:val="0"/>
        <w:autoSpaceDN w:val="0"/>
        <w:spacing w:before="2" w:line="300" w:lineRule="auto"/>
        <w:ind w:firstLine="432" w:firstLineChars="200"/>
        <w:rPr>
          <w:rFonts w:ascii="宋体" w:hAnsi="宋体" w:eastAsia="宋体" w:cs="Arial Unicode MS"/>
          <w:szCs w:val="21"/>
        </w:rPr>
      </w:pPr>
      <w:r>
        <w:rPr>
          <w:rFonts w:hint="eastAsia" w:ascii="宋体" w:hAnsi="宋体" w:eastAsia="宋体" w:cs="Arial Unicode MS"/>
          <w:spacing w:val="-2"/>
          <w:szCs w:val="21"/>
          <w:lang w:bidi="ar"/>
        </w:rPr>
        <w:t>况</w:t>
      </w:r>
      <w:r>
        <w:rPr>
          <w:rFonts w:hint="eastAsia" w:ascii="宋体" w:hAnsi="宋体" w:eastAsia="宋体" w:cs="Arial Unicode MS"/>
          <w:szCs w:val="21"/>
          <w:lang w:bidi="ar"/>
        </w:rPr>
        <w:t>且</w:t>
      </w:r>
      <w:r>
        <w:rPr>
          <w:rFonts w:hint="eastAsia" w:ascii="宋体" w:hAnsi="宋体" w:eastAsia="宋体" w:cs="Times New Roman"/>
          <w:spacing w:val="2"/>
          <w:szCs w:val="21"/>
          <w:lang w:bidi="ar"/>
        </w:rPr>
        <w:t>，</w:t>
      </w:r>
      <w:r>
        <w:rPr>
          <w:rFonts w:hint="eastAsia" w:ascii="宋体" w:hAnsi="宋体" w:eastAsia="宋体" w:cs="Arial Unicode MS"/>
          <w:spacing w:val="-2"/>
          <w:szCs w:val="21"/>
          <w:lang w:bidi="ar"/>
        </w:rPr>
        <w:t>实</w:t>
      </w:r>
      <w:r>
        <w:rPr>
          <w:rFonts w:hint="eastAsia" w:ascii="宋体" w:hAnsi="宋体" w:eastAsia="宋体" w:cs="Arial Unicode MS"/>
          <w:szCs w:val="21"/>
          <w:lang w:bidi="ar"/>
        </w:rPr>
        <w:t>践对认</w:t>
      </w:r>
      <w:r>
        <w:rPr>
          <w:rFonts w:hint="eastAsia" w:ascii="宋体" w:hAnsi="宋体" w:eastAsia="宋体" w:cs="Arial Unicode MS"/>
          <w:spacing w:val="-2"/>
          <w:szCs w:val="21"/>
          <w:lang w:bidi="ar"/>
        </w:rPr>
        <w:t>识</w:t>
      </w:r>
      <w:r>
        <w:rPr>
          <w:rFonts w:hint="eastAsia" w:ascii="宋体" w:hAnsi="宋体" w:eastAsia="宋体" w:cs="Arial Unicode MS"/>
          <w:szCs w:val="21"/>
          <w:lang w:bidi="ar"/>
        </w:rPr>
        <w:t>的每一次</w:t>
      </w:r>
      <w:r>
        <w:rPr>
          <w:rFonts w:hint="eastAsia" w:ascii="宋体" w:hAnsi="宋体" w:eastAsia="宋体" w:cs="Arial Unicode MS"/>
          <w:spacing w:val="-2"/>
          <w:szCs w:val="21"/>
          <w:lang w:bidi="ar"/>
        </w:rPr>
        <w:t>具</w:t>
      </w:r>
      <w:r>
        <w:rPr>
          <w:rFonts w:hint="eastAsia" w:ascii="宋体" w:hAnsi="宋体" w:eastAsia="宋体" w:cs="Arial Unicode MS"/>
          <w:szCs w:val="21"/>
          <w:lang w:bidi="ar"/>
        </w:rPr>
        <w:t>体的检验又</w:t>
      </w:r>
      <w:r>
        <w:rPr>
          <w:rFonts w:hint="eastAsia" w:ascii="宋体" w:hAnsi="宋体" w:eastAsia="宋体" w:cs="Arial Unicode MS"/>
          <w:spacing w:val="4"/>
          <w:szCs w:val="21"/>
          <w:lang w:bidi="ar"/>
        </w:rPr>
        <w:t>都</w:t>
      </w:r>
      <w:r>
        <w:rPr>
          <w:rFonts w:hint="eastAsia" w:ascii="宋体" w:hAnsi="宋体" w:eastAsia="宋体" w:cs="Arial Unicode MS"/>
          <w:spacing w:val="6"/>
          <w:szCs w:val="21"/>
          <w:lang w:bidi="ar"/>
        </w:rPr>
        <w:t>具有</w:t>
      </w:r>
      <w:r>
        <w:rPr>
          <w:rFonts w:hint="eastAsia" w:ascii="宋体" w:hAnsi="宋体" w:eastAsia="宋体" w:cs="Arial Unicode MS"/>
          <w:spacing w:val="4"/>
          <w:szCs w:val="21"/>
          <w:lang w:bidi="ar"/>
        </w:rPr>
        <w:t>局</w:t>
      </w:r>
      <w:r>
        <w:rPr>
          <w:rFonts w:hint="eastAsia" w:ascii="宋体" w:hAnsi="宋体" w:eastAsia="宋体" w:cs="Arial Unicode MS"/>
          <w:spacing w:val="6"/>
          <w:szCs w:val="21"/>
          <w:lang w:bidi="ar"/>
        </w:rPr>
        <w:t>部</w:t>
      </w:r>
      <w:r>
        <w:rPr>
          <w:rFonts w:hint="eastAsia" w:ascii="宋体" w:hAnsi="宋体" w:eastAsia="宋体" w:cs="Arial Unicode MS"/>
          <w:szCs w:val="21"/>
          <w:lang w:bidi="ar"/>
        </w:rPr>
        <w:t>的、未</w:t>
      </w:r>
      <w:r>
        <w:rPr>
          <w:rFonts w:hint="eastAsia" w:ascii="宋体" w:hAnsi="宋体" w:eastAsia="宋体" w:cs="Arial Unicode MS"/>
          <w:spacing w:val="6"/>
          <w:szCs w:val="21"/>
          <w:lang w:bidi="ar"/>
        </w:rPr>
        <w:t>能</w:t>
      </w:r>
      <w:r>
        <w:rPr>
          <w:rFonts w:hint="eastAsia" w:ascii="宋体" w:hAnsi="宋体" w:eastAsia="宋体" w:cs="Arial Unicode MS"/>
          <w:spacing w:val="4"/>
          <w:szCs w:val="21"/>
          <w:lang w:bidi="ar"/>
        </w:rPr>
        <w:t>最</w:t>
      </w:r>
      <w:r>
        <w:rPr>
          <w:rFonts w:hint="eastAsia" w:ascii="宋体" w:hAnsi="宋体" w:eastAsia="宋体" w:cs="Arial Unicode MS"/>
          <w:spacing w:val="6"/>
          <w:szCs w:val="21"/>
          <w:lang w:bidi="ar"/>
        </w:rPr>
        <w:t>终完</w:t>
      </w:r>
      <w:r>
        <w:rPr>
          <w:rFonts w:hint="eastAsia" w:ascii="宋体" w:hAnsi="宋体" w:eastAsia="宋体" w:cs="Arial Unicode MS"/>
          <w:spacing w:val="4"/>
          <w:szCs w:val="21"/>
          <w:lang w:bidi="ar"/>
        </w:rPr>
        <w:t>成</w:t>
      </w:r>
      <w:r>
        <w:rPr>
          <w:rFonts w:hint="eastAsia" w:ascii="宋体" w:hAnsi="宋体" w:eastAsia="宋体" w:cs="Arial Unicode MS"/>
          <w:spacing w:val="6"/>
          <w:szCs w:val="21"/>
          <w:lang w:bidi="ar"/>
        </w:rPr>
        <w:t>的性</w:t>
      </w:r>
      <w:r>
        <w:rPr>
          <w:rFonts w:hint="eastAsia" w:ascii="宋体" w:hAnsi="宋体" w:eastAsia="宋体" w:cs="Arial Unicode MS"/>
          <w:szCs w:val="21"/>
          <w:lang w:bidi="ar"/>
        </w:rPr>
        <w:t>质</w:t>
      </w:r>
      <w:r>
        <w:rPr>
          <w:rFonts w:hint="eastAsia" w:ascii="宋体" w:hAnsi="宋体" w:eastAsia="宋体" w:cs="Times New Roman"/>
          <w:spacing w:val="6"/>
          <w:szCs w:val="21"/>
          <w:lang w:bidi="ar"/>
        </w:rPr>
        <w:t>，</w:t>
      </w:r>
      <w:r>
        <w:rPr>
          <w:rFonts w:hint="eastAsia" w:ascii="宋体" w:hAnsi="宋体" w:eastAsia="宋体" w:cs="Arial Unicode MS"/>
          <w:spacing w:val="6"/>
          <w:szCs w:val="21"/>
          <w:lang w:bidi="ar"/>
        </w:rPr>
        <w:t>因</w:t>
      </w:r>
      <w:r>
        <w:rPr>
          <w:rFonts w:hint="eastAsia" w:ascii="宋体" w:hAnsi="宋体" w:eastAsia="宋体" w:cs="Arial Unicode MS"/>
          <w:spacing w:val="4"/>
          <w:szCs w:val="21"/>
          <w:lang w:bidi="ar"/>
        </w:rPr>
        <w:t>而</w:t>
      </w:r>
      <w:r>
        <w:rPr>
          <w:rFonts w:hint="eastAsia" w:ascii="宋体" w:hAnsi="宋体" w:eastAsia="宋体" w:cs="Arial Unicode MS"/>
          <w:spacing w:val="6"/>
          <w:szCs w:val="21"/>
          <w:lang w:bidi="ar"/>
        </w:rPr>
        <w:t>实</w:t>
      </w:r>
      <w:r>
        <w:rPr>
          <w:rFonts w:hint="eastAsia" w:ascii="宋体" w:hAnsi="宋体" w:eastAsia="宋体" w:cs="Arial Unicode MS"/>
          <w:szCs w:val="21"/>
          <w:lang w:bidi="ar"/>
        </w:rPr>
        <w:t>践标准</w:t>
      </w:r>
      <w:r>
        <w:rPr>
          <w:rFonts w:hint="eastAsia" w:ascii="宋体" w:hAnsi="宋体" w:eastAsia="宋体" w:cs="Arial Unicode MS"/>
          <w:spacing w:val="-2"/>
          <w:szCs w:val="21"/>
          <w:lang w:bidi="ar"/>
        </w:rPr>
        <w:t>具</w:t>
      </w:r>
      <w:r>
        <w:rPr>
          <w:rFonts w:hint="eastAsia" w:ascii="宋体" w:hAnsi="宋体" w:eastAsia="宋体" w:cs="Arial Unicode MS"/>
          <w:szCs w:val="21"/>
          <w:lang w:bidi="ar"/>
        </w:rPr>
        <w:t>有不确定性</w:t>
      </w:r>
      <w:r>
        <w:rPr>
          <w:rFonts w:hint="eastAsia" w:ascii="宋体" w:hAnsi="宋体" w:eastAsia="宋体" w:cs="Arial Unicode MS"/>
          <w:spacing w:val="-28"/>
          <w:szCs w:val="21"/>
          <w:lang w:bidi="ar"/>
        </w:rPr>
        <w:t>。</w:t>
      </w:r>
      <w:r>
        <w:rPr>
          <w:rFonts w:hint="eastAsia" w:ascii="宋体" w:hAnsi="宋体" w:eastAsia="宋体" w:cs="Arial Unicode MS"/>
          <w:szCs w:val="21"/>
          <w:lang w:bidi="ar"/>
        </w:rPr>
        <w:t>实践</w:t>
      </w:r>
      <w:r>
        <w:rPr>
          <w:rFonts w:hint="eastAsia" w:ascii="宋体" w:hAnsi="宋体" w:eastAsia="宋体" w:cs="Arial Unicode MS"/>
          <w:spacing w:val="-2"/>
          <w:szCs w:val="21"/>
          <w:lang w:bidi="ar"/>
        </w:rPr>
        <w:t>标</w:t>
      </w:r>
      <w:r>
        <w:rPr>
          <w:rFonts w:hint="eastAsia" w:ascii="宋体" w:hAnsi="宋体" w:eastAsia="宋体" w:cs="Arial Unicode MS"/>
          <w:szCs w:val="21"/>
          <w:lang w:bidi="ar"/>
        </w:rPr>
        <w:t>准的确定</w:t>
      </w:r>
      <w:r>
        <w:rPr>
          <w:rFonts w:hint="eastAsia" w:ascii="宋体" w:hAnsi="宋体" w:eastAsia="宋体" w:cs="Arial Unicode MS"/>
          <w:spacing w:val="-2"/>
          <w:szCs w:val="21"/>
          <w:lang w:bidi="ar"/>
        </w:rPr>
        <w:t>性</w:t>
      </w:r>
      <w:r>
        <w:rPr>
          <w:rFonts w:hint="eastAsia" w:ascii="宋体" w:hAnsi="宋体" w:eastAsia="宋体" w:cs="Arial Unicode MS"/>
          <w:szCs w:val="21"/>
          <w:lang w:bidi="ar"/>
        </w:rPr>
        <w:t>和不</w:t>
      </w:r>
      <w:r>
        <w:rPr>
          <w:rFonts w:hint="eastAsia" w:ascii="宋体" w:hAnsi="宋体" w:eastAsia="宋体" w:cs="Arial Unicode MS"/>
          <w:spacing w:val="2"/>
          <w:szCs w:val="21"/>
          <w:lang w:bidi="ar"/>
        </w:rPr>
        <w:t>确</w:t>
      </w:r>
      <w:r>
        <w:rPr>
          <w:rFonts w:hint="eastAsia" w:ascii="宋体" w:hAnsi="宋体" w:eastAsia="宋体" w:cs="Arial Unicode MS"/>
          <w:spacing w:val="4"/>
          <w:szCs w:val="21"/>
          <w:lang w:bidi="ar"/>
        </w:rPr>
        <w:t>定性</w:t>
      </w:r>
      <w:r>
        <w:rPr>
          <w:rFonts w:hint="eastAsia" w:ascii="宋体" w:hAnsi="宋体" w:eastAsia="宋体" w:cs="Arial Unicode MS"/>
          <w:spacing w:val="6"/>
          <w:szCs w:val="21"/>
          <w:lang w:bidi="ar"/>
        </w:rPr>
        <w:t>的矛</w:t>
      </w:r>
      <w:r>
        <w:rPr>
          <w:rFonts w:hint="eastAsia" w:ascii="宋体" w:hAnsi="宋体" w:eastAsia="宋体" w:cs="Arial Unicode MS"/>
          <w:szCs w:val="21"/>
          <w:lang w:bidi="ar"/>
        </w:rPr>
        <w:t>盾</w:t>
      </w:r>
      <w:r>
        <w:rPr>
          <w:rFonts w:hint="eastAsia" w:ascii="宋体" w:hAnsi="宋体" w:eastAsia="宋体" w:cs="Times New Roman"/>
          <w:spacing w:val="6"/>
          <w:szCs w:val="21"/>
          <w:lang w:bidi="ar"/>
        </w:rPr>
        <w:t>，</w:t>
      </w:r>
      <w:r>
        <w:rPr>
          <w:rFonts w:hint="eastAsia" w:ascii="宋体" w:hAnsi="宋体" w:eastAsia="宋体" w:cs="Arial Unicode MS"/>
          <w:spacing w:val="6"/>
          <w:szCs w:val="21"/>
          <w:lang w:bidi="ar"/>
        </w:rPr>
        <w:t>是</w:t>
      </w:r>
      <w:r>
        <w:rPr>
          <w:rFonts w:hint="eastAsia" w:ascii="宋体" w:hAnsi="宋体" w:eastAsia="宋体" w:cs="Arial Unicode MS"/>
          <w:spacing w:val="4"/>
          <w:szCs w:val="21"/>
          <w:lang w:bidi="ar"/>
        </w:rPr>
        <w:t>在</w:t>
      </w:r>
      <w:r>
        <w:rPr>
          <w:rFonts w:hint="eastAsia" w:ascii="宋体" w:hAnsi="宋体" w:eastAsia="宋体" w:cs="Arial Unicode MS"/>
          <w:spacing w:val="6"/>
          <w:szCs w:val="21"/>
          <w:lang w:bidi="ar"/>
        </w:rPr>
        <w:t>实践</w:t>
      </w:r>
      <w:r>
        <w:rPr>
          <w:rFonts w:hint="eastAsia" w:ascii="宋体" w:hAnsi="宋体" w:eastAsia="宋体" w:cs="Arial Unicode MS"/>
          <w:spacing w:val="4"/>
          <w:szCs w:val="21"/>
          <w:lang w:bidi="ar"/>
        </w:rPr>
        <w:t>的</w:t>
      </w:r>
      <w:r>
        <w:rPr>
          <w:rFonts w:hint="eastAsia" w:ascii="宋体" w:hAnsi="宋体" w:eastAsia="宋体" w:cs="Arial Unicode MS"/>
          <w:spacing w:val="6"/>
          <w:szCs w:val="21"/>
          <w:lang w:bidi="ar"/>
        </w:rPr>
        <w:t>历史</w:t>
      </w:r>
      <w:r>
        <w:rPr>
          <w:rFonts w:hint="eastAsia" w:ascii="宋体" w:hAnsi="宋体" w:eastAsia="宋体" w:cs="Arial Unicode MS"/>
          <w:spacing w:val="4"/>
          <w:szCs w:val="21"/>
          <w:lang w:bidi="ar"/>
        </w:rPr>
        <w:t>发</w:t>
      </w:r>
      <w:r>
        <w:rPr>
          <w:rFonts w:hint="eastAsia" w:ascii="宋体" w:hAnsi="宋体" w:eastAsia="宋体" w:cs="Arial Unicode MS"/>
          <w:spacing w:val="6"/>
          <w:szCs w:val="21"/>
          <w:lang w:bidi="ar"/>
        </w:rPr>
        <w:t>展中不</w:t>
      </w:r>
      <w:r>
        <w:rPr>
          <w:rFonts w:hint="eastAsia" w:ascii="宋体" w:hAnsi="宋体" w:eastAsia="宋体" w:cs="Arial Unicode MS"/>
          <w:spacing w:val="4"/>
          <w:szCs w:val="21"/>
          <w:lang w:bidi="ar"/>
        </w:rPr>
        <w:t>断</w:t>
      </w:r>
      <w:r>
        <w:rPr>
          <w:rFonts w:hint="eastAsia" w:ascii="宋体" w:hAnsi="宋体" w:eastAsia="宋体" w:cs="Arial Unicode MS"/>
          <w:spacing w:val="6"/>
          <w:szCs w:val="21"/>
          <w:lang w:bidi="ar"/>
        </w:rPr>
        <w:t>地</w:t>
      </w:r>
      <w:r>
        <w:rPr>
          <w:rFonts w:hint="eastAsia" w:ascii="宋体" w:hAnsi="宋体" w:eastAsia="宋体" w:cs="Arial Unicode MS"/>
          <w:szCs w:val="21"/>
          <w:lang w:bidi="ar"/>
        </w:rPr>
        <w:t>解决的</w:t>
      </w:r>
      <w:r>
        <w:rPr>
          <w:rFonts w:hint="eastAsia" w:ascii="宋体" w:hAnsi="宋体" w:eastAsia="宋体" w:cs="Times New Roman"/>
          <w:szCs w:val="21"/>
          <w:lang w:bidi="ar"/>
        </w:rPr>
        <w:t>，</w:t>
      </w:r>
      <w:r>
        <w:rPr>
          <w:rFonts w:hint="eastAsia" w:ascii="宋体" w:hAnsi="宋体" w:eastAsia="宋体" w:cs="Arial Unicode MS"/>
          <w:szCs w:val="21"/>
          <w:lang w:bidi="ar"/>
        </w:rPr>
        <w:t>这也</w:t>
      </w:r>
      <w:r>
        <w:rPr>
          <w:rFonts w:hint="eastAsia" w:ascii="宋体" w:hAnsi="宋体" w:eastAsia="宋体" w:cs="Arial Unicode MS"/>
          <w:spacing w:val="-2"/>
          <w:szCs w:val="21"/>
          <w:lang w:bidi="ar"/>
        </w:rPr>
        <w:t>决</w:t>
      </w:r>
      <w:r>
        <w:rPr>
          <w:rFonts w:hint="eastAsia" w:ascii="宋体" w:hAnsi="宋体" w:eastAsia="宋体" w:cs="Arial Unicode MS"/>
          <w:szCs w:val="21"/>
          <w:lang w:bidi="ar"/>
        </w:rPr>
        <w:t>定和推</w:t>
      </w:r>
      <w:r>
        <w:rPr>
          <w:rFonts w:hint="eastAsia" w:ascii="宋体" w:hAnsi="宋体" w:eastAsia="宋体" w:cs="Arial Unicode MS"/>
          <w:spacing w:val="-2"/>
          <w:szCs w:val="21"/>
          <w:lang w:bidi="ar"/>
        </w:rPr>
        <w:t>动</w:t>
      </w:r>
      <w:r>
        <w:rPr>
          <w:rFonts w:hint="eastAsia" w:ascii="宋体" w:hAnsi="宋体" w:eastAsia="宋体" w:cs="Arial Unicode MS"/>
          <w:szCs w:val="21"/>
          <w:lang w:bidi="ar"/>
        </w:rPr>
        <w:t>真理不断</w:t>
      </w:r>
      <w:r>
        <w:rPr>
          <w:rFonts w:hint="eastAsia" w:ascii="宋体" w:hAnsi="宋体" w:eastAsia="宋体" w:cs="Arial Unicode MS"/>
          <w:spacing w:val="-2"/>
          <w:szCs w:val="21"/>
          <w:lang w:bidi="ar"/>
        </w:rPr>
        <w:t>从</w:t>
      </w:r>
      <w:r>
        <w:rPr>
          <w:rFonts w:hint="eastAsia" w:ascii="宋体" w:hAnsi="宋体" w:eastAsia="宋体" w:cs="Arial Unicode MS"/>
          <w:szCs w:val="21"/>
          <w:lang w:bidi="ar"/>
        </w:rPr>
        <w:t>相对走向</w:t>
      </w:r>
      <w:r>
        <w:rPr>
          <w:rFonts w:hint="eastAsia" w:ascii="宋体" w:hAnsi="宋体" w:eastAsia="宋体" w:cs="Arial Unicode MS"/>
          <w:spacing w:val="2"/>
          <w:szCs w:val="21"/>
          <w:lang w:bidi="ar"/>
        </w:rPr>
        <w:t>绝</w:t>
      </w:r>
      <w:r>
        <w:rPr>
          <w:rFonts w:hint="eastAsia" w:ascii="宋体" w:hAnsi="宋体" w:eastAsia="宋体" w:cs="Arial Unicode MS"/>
          <w:szCs w:val="21"/>
          <w:lang w:bidi="ar"/>
        </w:rPr>
        <w:t>对</w:t>
      </w:r>
      <w:r>
        <w:rPr>
          <w:rFonts w:hint="eastAsia" w:ascii="宋体" w:hAnsi="宋体" w:eastAsia="宋体" w:cs="Arial Unicode MS"/>
          <w:spacing w:val="-26"/>
          <w:szCs w:val="21"/>
          <w:lang w:bidi="ar"/>
        </w:rPr>
        <w:t>。</w:t>
      </w:r>
      <w:r>
        <w:rPr>
          <w:rFonts w:hint="eastAsia" w:ascii="宋体" w:hAnsi="宋体" w:eastAsia="宋体" w:cs="Arial Unicode MS"/>
          <w:spacing w:val="6"/>
          <w:szCs w:val="21"/>
          <w:lang w:bidi="ar"/>
        </w:rPr>
        <w:t>列</w:t>
      </w:r>
      <w:r>
        <w:rPr>
          <w:rFonts w:hint="eastAsia" w:ascii="宋体" w:hAnsi="宋体" w:eastAsia="宋体" w:cs="Arial Unicode MS"/>
          <w:spacing w:val="4"/>
          <w:szCs w:val="21"/>
          <w:lang w:bidi="ar"/>
        </w:rPr>
        <w:t>宁</w:t>
      </w:r>
      <w:r>
        <w:rPr>
          <w:rFonts w:hint="eastAsia" w:ascii="宋体" w:hAnsi="宋体" w:eastAsia="宋体" w:cs="Arial Unicode MS"/>
          <w:spacing w:val="6"/>
          <w:szCs w:val="21"/>
          <w:lang w:bidi="ar"/>
        </w:rPr>
        <w:t>关于实</w:t>
      </w:r>
      <w:r>
        <w:rPr>
          <w:rFonts w:hint="eastAsia" w:ascii="宋体" w:hAnsi="宋体" w:eastAsia="宋体" w:cs="Arial Unicode MS"/>
          <w:spacing w:val="4"/>
          <w:szCs w:val="21"/>
          <w:lang w:bidi="ar"/>
        </w:rPr>
        <w:t>践</w:t>
      </w:r>
      <w:r>
        <w:rPr>
          <w:rFonts w:hint="eastAsia" w:ascii="宋体" w:hAnsi="宋体" w:eastAsia="宋体" w:cs="Arial Unicode MS"/>
          <w:spacing w:val="6"/>
          <w:szCs w:val="21"/>
          <w:lang w:bidi="ar"/>
        </w:rPr>
        <w:t>标准</w:t>
      </w:r>
      <w:r>
        <w:rPr>
          <w:rFonts w:hint="eastAsia" w:ascii="宋体" w:hAnsi="宋体" w:eastAsia="宋体" w:cs="Arial Unicode MS"/>
          <w:spacing w:val="4"/>
          <w:szCs w:val="21"/>
          <w:lang w:bidi="ar"/>
        </w:rPr>
        <w:t>的</w:t>
      </w:r>
      <w:r>
        <w:rPr>
          <w:rFonts w:hint="eastAsia" w:ascii="宋体" w:hAnsi="宋体" w:eastAsia="宋体" w:cs="Arial Unicode MS"/>
          <w:spacing w:val="6"/>
          <w:szCs w:val="21"/>
          <w:lang w:bidi="ar"/>
        </w:rPr>
        <w:t>确定</w:t>
      </w:r>
      <w:r>
        <w:rPr>
          <w:rFonts w:hint="eastAsia" w:ascii="宋体" w:hAnsi="宋体" w:eastAsia="宋体" w:cs="Arial Unicode MS"/>
          <w:spacing w:val="4"/>
          <w:szCs w:val="21"/>
          <w:lang w:bidi="ar"/>
        </w:rPr>
        <w:t>性</w:t>
      </w:r>
      <w:r>
        <w:rPr>
          <w:rFonts w:hint="eastAsia" w:ascii="宋体" w:hAnsi="宋体" w:eastAsia="宋体" w:cs="Arial Unicode MS"/>
          <w:spacing w:val="6"/>
          <w:szCs w:val="21"/>
          <w:lang w:bidi="ar"/>
        </w:rPr>
        <w:t>和不确</w:t>
      </w:r>
      <w:r>
        <w:rPr>
          <w:rFonts w:hint="eastAsia" w:ascii="宋体" w:hAnsi="宋体" w:eastAsia="宋体" w:cs="Arial Unicode MS"/>
          <w:spacing w:val="4"/>
          <w:szCs w:val="21"/>
          <w:lang w:bidi="ar"/>
        </w:rPr>
        <w:t>定</w:t>
      </w:r>
      <w:r>
        <w:rPr>
          <w:rFonts w:hint="eastAsia" w:ascii="宋体" w:hAnsi="宋体" w:eastAsia="宋体" w:cs="Arial Unicode MS"/>
          <w:spacing w:val="6"/>
          <w:szCs w:val="21"/>
          <w:lang w:bidi="ar"/>
        </w:rPr>
        <w:t>性</w:t>
      </w:r>
      <w:r>
        <w:rPr>
          <w:rFonts w:hint="eastAsia" w:ascii="宋体" w:hAnsi="宋体" w:eastAsia="宋体" w:cs="Arial Unicode MS"/>
          <w:szCs w:val="21"/>
          <w:lang w:bidi="ar"/>
        </w:rPr>
        <w:t>辩</w:t>
      </w:r>
      <w:r>
        <w:rPr>
          <w:rFonts w:hint="eastAsia" w:ascii="宋体" w:hAnsi="宋体" w:eastAsia="宋体" w:cs="Arial Unicode MS"/>
          <w:position w:val="-2"/>
          <w:szCs w:val="21"/>
          <w:lang w:bidi="ar"/>
        </w:rPr>
        <w:t>证统</w:t>
      </w:r>
      <w:r>
        <w:rPr>
          <w:rFonts w:hint="eastAsia" w:ascii="宋体" w:hAnsi="宋体" w:eastAsia="宋体" w:cs="Arial Unicode MS"/>
          <w:spacing w:val="-2"/>
          <w:position w:val="-2"/>
          <w:szCs w:val="21"/>
          <w:lang w:bidi="ar"/>
        </w:rPr>
        <w:t>一</w:t>
      </w:r>
      <w:r>
        <w:rPr>
          <w:rFonts w:hint="eastAsia" w:ascii="宋体" w:hAnsi="宋体" w:eastAsia="宋体" w:cs="Arial Unicode MS"/>
          <w:position w:val="-2"/>
          <w:szCs w:val="21"/>
          <w:lang w:bidi="ar"/>
        </w:rPr>
        <w:t>的论</w:t>
      </w:r>
      <w:r>
        <w:rPr>
          <w:rFonts w:hint="eastAsia" w:ascii="宋体" w:hAnsi="宋体" w:eastAsia="宋体" w:cs="Arial Unicode MS"/>
          <w:szCs w:val="21"/>
          <w:lang w:bidi="ar"/>
        </w:rPr>
        <w:t>述，深刻地揭示了这种意义：“在这里不要忘记，实践标准实质上决不能完全地证实或驳倒人类的任何表象。这个标准是这样的‘不确定’，以便不至于使人的知识变成‘绝对’，同时它又是这样的确定，以便同唯心主义和不可知论的一切变种进行无情的斗争，……遵循着马克思的理论的道路前进，我们将愈来愈接近客观真理(但绝不会穷尽它)；而遵循着任何其他的道路前进，除了混乱和谬误之外，我们什么也得不到。”</w:t>
      </w:r>
      <w:r>
        <w:rPr>
          <w:rFonts w:hint="eastAsia" w:ascii="宋体" w:hAnsi="宋体" w:eastAsia="宋体" w:cs="Arial Unicode MS"/>
          <w:szCs w:val="21"/>
          <w:vertAlign w:val="superscript"/>
          <w:lang w:bidi="ar"/>
        </w:rPr>
        <w:t>③</w:t>
      </w:r>
      <w:r>
        <w:rPr>
          <w:rFonts w:hint="eastAsia" w:ascii="宋体" w:hAnsi="宋体" w:eastAsia="宋体" w:cs="Arial Unicode MS"/>
          <w:szCs w:val="21"/>
          <w:lang w:bidi="ar"/>
        </w:rPr>
        <w:t>可见，中外流行的一种观点，即用一些办得好的私有企业事例来完全“证实”资本主义市场经济的优越性，再用一些办不好的公有制企业事例来说明实践标准以“驳倒”社会主义市场经济的可行性和优越性，都是对证实和证伪方法及实践标准的误用。</w:t>
      </w:r>
    </w:p>
    <w:p w14:paraId="392F00FD">
      <w:pPr>
        <w:autoSpaceDE w:val="0"/>
        <w:autoSpaceDN w:val="0"/>
        <w:spacing w:before="2"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确实，任何个别事例都不能证实一个理论体系，但每一个反例都在一定程度上揭示出原有理论体系不够完善或错误的地方，都是一次相对证伪或弱证伪。而当反例越来越多，对“保护带”的修改已不能解决问题的时候，理论体系就有可能被强证伪。再扩展地说，作为一个历史过程的总趋势，西方主流经济学也许正面临着一次强证伪(套用哈耶克的话，这是由“致命的自负”引起的)，而海派经济学及整个世界马克思主义经济学和西方某些非主流经济学正在重整和创新中发出更大的光芒。</w:t>
      </w:r>
    </w:p>
    <w:p w14:paraId="6F84A3AE">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四、经济学的美学方法</w:t>
      </w:r>
    </w:p>
    <w:p w14:paraId="5DED13B0">
      <w:pPr>
        <w:autoSpaceDE w:val="0"/>
        <w:autoSpaceDN w:val="0"/>
        <w:spacing w:before="2"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我国的汉字“美”，在《说文解字》中写道“美，甘也。从羊从大。羊在六蓄主给膳。美在善同意。”羊成为美的对象和社会生活中畜牧业的出现是分不开的。羊作为驯养的动物是当时人们生活资料的重要来源，对人类来说是可亲的对象。处于人类低生理需要动机阶段的原始人类来说，还有什么东西比又肥又大的羊能使其感到美呢？从“美”字可以看出，美是与经济实践密不可分的。</w:t>
      </w:r>
    </w:p>
    <w:p w14:paraId="2B4504DD">
      <w:pPr>
        <w:autoSpaceDE w:val="0"/>
        <w:autoSpaceDN w:val="0"/>
        <w:spacing w:before="2" w:line="300" w:lineRule="auto"/>
        <w:ind w:firstLine="432" w:firstLineChars="200"/>
        <w:rPr>
          <w:rFonts w:ascii="宋体" w:hAnsi="宋体" w:eastAsia="宋体" w:cs="Arial Unicode MS"/>
          <w:spacing w:val="-54"/>
          <w:szCs w:val="21"/>
        </w:rPr>
      </w:pPr>
      <w:r>
        <w:rPr>
          <w:rFonts w:hint="eastAsia" w:ascii="宋体" w:hAnsi="宋体" w:eastAsia="宋体" w:cs="Arial Unicode MS"/>
          <w:spacing w:val="-2"/>
          <w:position w:val="-1"/>
          <w:szCs w:val="21"/>
          <w:lang w:bidi="ar"/>
        </w:rPr>
        <w:t>随</w:t>
      </w:r>
      <w:r>
        <w:rPr>
          <w:rFonts w:hint="eastAsia" w:ascii="宋体" w:hAnsi="宋体" w:eastAsia="宋体" w:cs="Arial Unicode MS"/>
          <w:position w:val="-1"/>
          <w:szCs w:val="21"/>
          <w:lang w:bidi="ar"/>
        </w:rPr>
        <w:t>着生产实</w:t>
      </w:r>
      <w:r>
        <w:rPr>
          <w:rFonts w:hint="eastAsia" w:ascii="宋体" w:hAnsi="宋体" w:eastAsia="宋体" w:cs="Arial Unicode MS"/>
          <w:spacing w:val="-2"/>
          <w:position w:val="-1"/>
          <w:szCs w:val="21"/>
          <w:lang w:bidi="ar"/>
        </w:rPr>
        <w:t>践</w:t>
      </w:r>
      <w:r>
        <w:rPr>
          <w:rFonts w:hint="eastAsia" w:ascii="宋体" w:hAnsi="宋体" w:eastAsia="宋体" w:cs="Arial Unicode MS"/>
          <w:position w:val="-1"/>
          <w:szCs w:val="21"/>
          <w:lang w:bidi="ar"/>
        </w:rPr>
        <w:t>的发展</w:t>
      </w:r>
      <w:r>
        <w:rPr>
          <w:rFonts w:hint="eastAsia" w:ascii="宋体" w:hAnsi="宋体" w:eastAsia="宋体" w:cs="Times New Roman"/>
          <w:position w:val="-1"/>
          <w:szCs w:val="21"/>
          <w:lang w:bidi="ar"/>
        </w:rPr>
        <w:t>，</w:t>
      </w:r>
      <w:r>
        <w:rPr>
          <w:rFonts w:hint="eastAsia" w:ascii="宋体" w:hAnsi="宋体" w:eastAsia="宋体" w:cs="Arial Unicode MS"/>
          <w:position w:val="-1"/>
          <w:szCs w:val="21"/>
          <w:lang w:bidi="ar"/>
        </w:rPr>
        <w:t>原始</w:t>
      </w:r>
      <w:r>
        <w:rPr>
          <w:rFonts w:hint="eastAsia" w:ascii="宋体" w:hAnsi="宋体" w:eastAsia="宋体" w:cs="Arial Unicode MS"/>
          <w:spacing w:val="-2"/>
          <w:position w:val="-1"/>
          <w:szCs w:val="21"/>
          <w:lang w:bidi="ar"/>
        </w:rPr>
        <w:t>人</w:t>
      </w:r>
      <w:r>
        <w:rPr>
          <w:rFonts w:hint="eastAsia" w:ascii="宋体" w:hAnsi="宋体" w:eastAsia="宋体" w:cs="Arial Unicode MS"/>
          <w:position w:val="-1"/>
          <w:szCs w:val="21"/>
          <w:lang w:bidi="ar"/>
        </w:rPr>
        <w:t>的身体和</w:t>
      </w:r>
      <w:r>
        <w:rPr>
          <w:rFonts w:hint="eastAsia" w:ascii="宋体" w:hAnsi="宋体" w:eastAsia="宋体" w:cs="Arial Unicode MS"/>
          <w:spacing w:val="-2"/>
          <w:position w:val="-1"/>
          <w:szCs w:val="21"/>
          <w:lang w:bidi="ar"/>
        </w:rPr>
        <w:t>头</w:t>
      </w:r>
      <w:r>
        <w:rPr>
          <w:rFonts w:hint="eastAsia" w:ascii="宋体" w:hAnsi="宋体" w:eastAsia="宋体" w:cs="Arial Unicode MS"/>
          <w:position w:val="-1"/>
          <w:szCs w:val="21"/>
          <w:lang w:bidi="ar"/>
        </w:rPr>
        <w:t>脑在劳动</w:t>
      </w:r>
      <w:r>
        <w:rPr>
          <w:rFonts w:hint="eastAsia" w:ascii="宋体" w:hAnsi="宋体" w:eastAsia="宋体" w:cs="Arial Unicode MS"/>
          <w:spacing w:val="-2"/>
          <w:position w:val="-1"/>
          <w:szCs w:val="21"/>
          <w:lang w:bidi="ar"/>
        </w:rPr>
        <w:t>中</w:t>
      </w:r>
      <w:r>
        <w:rPr>
          <w:rFonts w:hint="eastAsia" w:ascii="宋体" w:hAnsi="宋体" w:eastAsia="宋体" w:cs="Arial Unicode MS"/>
          <w:position w:val="-1"/>
          <w:szCs w:val="21"/>
          <w:lang w:bidi="ar"/>
        </w:rPr>
        <w:t>不断发达</w:t>
      </w:r>
      <w:r>
        <w:rPr>
          <w:rFonts w:hint="eastAsia" w:ascii="宋体" w:hAnsi="宋体" w:eastAsia="宋体" w:cs="Times New Roman"/>
          <w:position w:val="-1"/>
          <w:szCs w:val="21"/>
          <w:lang w:bidi="ar"/>
        </w:rPr>
        <w:t>，</w:t>
      </w:r>
      <w:r>
        <w:rPr>
          <w:rFonts w:hint="eastAsia" w:ascii="宋体" w:hAnsi="宋体" w:eastAsia="宋体" w:cs="Arial Unicode MS"/>
          <w:spacing w:val="4"/>
          <w:position w:val="-1"/>
          <w:szCs w:val="21"/>
          <w:lang w:bidi="ar"/>
        </w:rPr>
        <w:t>人</w:t>
      </w:r>
      <w:r>
        <w:rPr>
          <w:rFonts w:hint="eastAsia" w:ascii="宋体" w:hAnsi="宋体" w:eastAsia="宋体" w:cs="Arial Unicode MS"/>
          <w:spacing w:val="2"/>
          <w:position w:val="-1"/>
          <w:szCs w:val="21"/>
          <w:lang w:bidi="ar"/>
        </w:rPr>
        <w:t>类</w:t>
      </w:r>
      <w:r>
        <w:rPr>
          <w:rFonts w:hint="eastAsia" w:ascii="宋体" w:hAnsi="宋体" w:eastAsia="宋体" w:cs="Arial Unicode MS"/>
          <w:spacing w:val="4"/>
          <w:position w:val="-1"/>
          <w:szCs w:val="21"/>
          <w:lang w:bidi="ar"/>
        </w:rPr>
        <w:t>的需求</w:t>
      </w:r>
      <w:r>
        <w:rPr>
          <w:rFonts w:hint="eastAsia" w:ascii="宋体" w:hAnsi="宋体" w:eastAsia="宋体" w:cs="Arial Unicode MS"/>
          <w:spacing w:val="2"/>
          <w:position w:val="-1"/>
          <w:szCs w:val="21"/>
          <w:lang w:bidi="ar"/>
        </w:rPr>
        <w:t>开</w:t>
      </w:r>
      <w:r>
        <w:rPr>
          <w:rFonts w:hint="eastAsia" w:ascii="宋体" w:hAnsi="宋体" w:eastAsia="宋体" w:cs="Arial Unicode MS"/>
          <w:spacing w:val="4"/>
          <w:position w:val="-1"/>
          <w:szCs w:val="21"/>
          <w:lang w:bidi="ar"/>
        </w:rPr>
        <w:t>始多样</w:t>
      </w:r>
      <w:r>
        <w:rPr>
          <w:rFonts w:hint="eastAsia" w:ascii="宋体" w:hAnsi="宋体" w:eastAsia="宋体" w:cs="Arial Unicode MS"/>
          <w:position w:val="-1"/>
          <w:szCs w:val="21"/>
          <w:lang w:bidi="ar"/>
        </w:rPr>
        <w:t>化</w:t>
      </w:r>
      <w:r>
        <w:rPr>
          <w:rFonts w:hint="eastAsia" w:ascii="宋体" w:hAnsi="宋体" w:eastAsia="宋体" w:cs="Times New Roman"/>
          <w:position w:val="-1"/>
          <w:szCs w:val="21"/>
          <w:lang w:bidi="ar"/>
        </w:rPr>
        <w:t>，</w:t>
      </w:r>
      <w:r>
        <w:rPr>
          <w:rFonts w:hint="eastAsia" w:ascii="宋体" w:hAnsi="宋体" w:eastAsia="宋体" w:cs="Arial Unicode MS"/>
          <w:spacing w:val="-2"/>
          <w:szCs w:val="21"/>
          <w:lang w:bidi="ar"/>
        </w:rPr>
        <w:t>从</w:t>
      </w:r>
      <w:r>
        <w:rPr>
          <w:rFonts w:hint="eastAsia" w:ascii="宋体" w:hAnsi="宋体" w:eastAsia="宋体" w:cs="Arial Unicode MS"/>
          <w:szCs w:val="21"/>
          <w:lang w:bidi="ar"/>
        </w:rPr>
        <w:t>中</w:t>
      </w:r>
      <w:r>
        <w:rPr>
          <w:rFonts w:hint="eastAsia" w:ascii="宋体" w:hAnsi="宋体" w:eastAsia="宋体" w:cs="Arial Unicode MS"/>
          <w:spacing w:val="-2"/>
          <w:szCs w:val="21"/>
          <w:lang w:bidi="ar"/>
        </w:rPr>
        <w:t>便</w:t>
      </w:r>
      <w:r>
        <w:rPr>
          <w:rFonts w:hint="eastAsia" w:ascii="宋体" w:hAnsi="宋体" w:eastAsia="宋体" w:cs="Arial Unicode MS"/>
          <w:szCs w:val="21"/>
          <w:lang w:bidi="ar"/>
        </w:rPr>
        <w:t>萌生了有</w:t>
      </w:r>
      <w:r>
        <w:rPr>
          <w:rFonts w:hint="eastAsia" w:ascii="宋体" w:hAnsi="宋体" w:eastAsia="宋体" w:cs="Arial Unicode MS"/>
          <w:spacing w:val="-2"/>
          <w:szCs w:val="21"/>
          <w:lang w:bidi="ar"/>
        </w:rPr>
        <w:t>意</w:t>
      </w:r>
      <w:r>
        <w:rPr>
          <w:rFonts w:hint="eastAsia" w:ascii="宋体" w:hAnsi="宋体" w:eastAsia="宋体" w:cs="Arial Unicode MS"/>
          <w:szCs w:val="21"/>
          <w:lang w:bidi="ar"/>
        </w:rPr>
        <w:t>识地</w:t>
      </w:r>
      <w:r>
        <w:rPr>
          <w:rFonts w:hint="eastAsia" w:ascii="宋体" w:hAnsi="宋体" w:eastAsia="宋体" w:cs="Arial Unicode MS"/>
          <w:spacing w:val="8"/>
          <w:szCs w:val="21"/>
          <w:lang w:bidi="ar"/>
        </w:rPr>
        <w:t>创</w:t>
      </w:r>
      <w:r>
        <w:rPr>
          <w:rFonts w:hint="eastAsia" w:ascii="宋体" w:hAnsi="宋体" w:eastAsia="宋体" w:cs="Arial Unicode MS"/>
          <w:spacing w:val="6"/>
          <w:szCs w:val="21"/>
          <w:lang w:bidi="ar"/>
        </w:rPr>
        <w:t>造</w:t>
      </w:r>
      <w:r>
        <w:rPr>
          <w:rFonts w:hint="eastAsia" w:ascii="宋体" w:hAnsi="宋体" w:eastAsia="宋体" w:cs="Arial Unicode MS"/>
          <w:spacing w:val="8"/>
          <w:szCs w:val="21"/>
          <w:lang w:bidi="ar"/>
        </w:rPr>
        <w:t>美的</w:t>
      </w:r>
      <w:r>
        <w:rPr>
          <w:rFonts w:hint="eastAsia" w:ascii="宋体" w:hAnsi="宋体" w:eastAsia="宋体" w:cs="Arial Unicode MS"/>
          <w:spacing w:val="6"/>
          <w:szCs w:val="21"/>
          <w:lang w:bidi="ar"/>
        </w:rPr>
        <w:t>活</w:t>
      </w:r>
      <w:r>
        <w:rPr>
          <w:rFonts w:hint="eastAsia" w:ascii="宋体" w:hAnsi="宋体" w:eastAsia="宋体" w:cs="Arial Unicode MS"/>
          <w:szCs w:val="21"/>
          <w:lang w:bidi="ar"/>
        </w:rPr>
        <w:t>动</w:t>
      </w:r>
      <w:r>
        <w:rPr>
          <w:rFonts w:hint="eastAsia" w:ascii="宋体" w:hAnsi="宋体" w:eastAsia="宋体" w:cs="Times New Roman"/>
          <w:spacing w:val="10"/>
          <w:szCs w:val="21"/>
          <w:lang w:bidi="ar"/>
        </w:rPr>
        <w:t>，</w:t>
      </w:r>
      <w:r>
        <w:rPr>
          <w:rFonts w:hint="eastAsia" w:ascii="宋体" w:hAnsi="宋体" w:eastAsia="宋体" w:cs="Arial Unicode MS"/>
          <w:spacing w:val="8"/>
          <w:szCs w:val="21"/>
          <w:lang w:bidi="ar"/>
        </w:rPr>
        <w:t>而这</w:t>
      </w:r>
      <w:r>
        <w:rPr>
          <w:rFonts w:hint="eastAsia" w:ascii="宋体" w:hAnsi="宋体" w:eastAsia="宋体" w:cs="Arial Unicode MS"/>
          <w:spacing w:val="6"/>
          <w:szCs w:val="21"/>
          <w:lang w:bidi="ar"/>
        </w:rPr>
        <w:t>种</w:t>
      </w:r>
      <w:r>
        <w:rPr>
          <w:rFonts w:hint="eastAsia" w:ascii="宋体" w:hAnsi="宋体" w:eastAsia="宋体" w:cs="Arial Unicode MS"/>
          <w:spacing w:val="8"/>
          <w:szCs w:val="21"/>
          <w:lang w:bidi="ar"/>
        </w:rPr>
        <w:t>美的</w:t>
      </w:r>
      <w:r>
        <w:rPr>
          <w:rFonts w:hint="eastAsia" w:ascii="宋体" w:hAnsi="宋体" w:eastAsia="宋体" w:cs="Arial Unicode MS"/>
          <w:spacing w:val="6"/>
          <w:szCs w:val="21"/>
          <w:lang w:bidi="ar"/>
        </w:rPr>
        <w:t>创</w:t>
      </w:r>
      <w:r>
        <w:rPr>
          <w:rFonts w:hint="eastAsia" w:ascii="宋体" w:hAnsi="宋体" w:eastAsia="宋体" w:cs="Arial Unicode MS"/>
          <w:spacing w:val="8"/>
          <w:szCs w:val="21"/>
          <w:lang w:bidi="ar"/>
        </w:rPr>
        <w:t>造始</w:t>
      </w:r>
      <w:r>
        <w:rPr>
          <w:rFonts w:hint="eastAsia" w:ascii="宋体" w:hAnsi="宋体" w:eastAsia="宋体" w:cs="Arial Unicode MS"/>
          <w:spacing w:val="6"/>
          <w:szCs w:val="21"/>
          <w:lang w:bidi="ar"/>
        </w:rPr>
        <w:t>终</w:t>
      </w:r>
      <w:r>
        <w:rPr>
          <w:rFonts w:hint="eastAsia" w:ascii="宋体" w:hAnsi="宋体" w:eastAsia="宋体" w:cs="Arial Unicode MS"/>
          <w:spacing w:val="8"/>
          <w:szCs w:val="21"/>
          <w:lang w:bidi="ar"/>
        </w:rPr>
        <w:t>没有同</w:t>
      </w:r>
      <w:r>
        <w:rPr>
          <w:rFonts w:hint="eastAsia" w:ascii="宋体" w:hAnsi="宋体" w:eastAsia="宋体" w:cs="Arial Unicode MS"/>
          <w:spacing w:val="6"/>
          <w:szCs w:val="21"/>
          <w:lang w:bidi="ar"/>
        </w:rPr>
        <w:t>物</w:t>
      </w:r>
      <w:r>
        <w:rPr>
          <w:rFonts w:hint="eastAsia" w:ascii="宋体" w:hAnsi="宋体" w:eastAsia="宋体" w:cs="Arial Unicode MS"/>
          <w:spacing w:val="8"/>
          <w:szCs w:val="21"/>
          <w:lang w:bidi="ar"/>
        </w:rPr>
        <w:t>质生</w:t>
      </w:r>
      <w:r>
        <w:rPr>
          <w:rFonts w:hint="eastAsia" w:ascii="宋体" w:hAnsi="宋体" w:eastAsia="宋体" w:cs="Arial Unicode MS"/>
          <w:spacing w:val="6"/>
          <w:szCs w:val="21"/>
          <w:lang w:bidi="ar"/>
        </w:rPr>
        <w:t>产</w:t>
      </w:r>
      <w:r>
        <w:rPr>
          <w:rFonts w:hint="eastAsia" w:ascii="宋体" w:hAnsi="宋体" w:eastAsia="宋体" w:cs="Arial Unicode MS"/>
          <w:spacing w:val="8"/>
          <w:szCs w:val="21"/>
          <w:lang w:bidi="ar"/>
        </w:rPr>
        <w:t>与生</w:t>
      </w:r>
      <w:r>
        <w:rPr>
          <w:rFonts w:hint="eastAsia" w:ascii="宋体" w:hAnsi="宋体" w:eastAsia="宋体" w:cs="Arial Unicode MS"/>
          <w:spacing w:val="6"/>
          <w:szCs w:val="21"/>
          <w:lang w:bidi="ar"/>
        </w:rPr>
        <w:t>活</w:t>
      </w:r>
      <w:r>
        <w:rPr>
          <w:rFonts w:hint="eastAsia" w:ascii="宋体" w:hAnsi="宋体" w:eastAsia="宋体" w:cs="Arial Unicode MS"/>
          <w:spacing w:val="8"/>
          <w:szCs w:val="21"/>
          <w:lang w:bidi="ar"/>
        </w:rPr>
        <w:t>相分</w:t>
      </w:r>
      <w:r>
        <w:rPr>
          <w:rFonts w:hint="eastAsia" w:ascii="宋体" w:hAnsi="宋体" w:eastAsia="宋体" w:cs="Arial Unicode MS"/>
          <w:szCs w:val="21"/>
          <w:lang w:bidi="ar"/>
        </w:rPr>
        <w:t>离。古希</w:t>
      </w:r>
      <w:r>
        <w:rPr>
          <w:rFonts w:hint="eastAsia" w:ascii="宋体" w:hAnsi="宋体" w:eastAsia="宋体" w:cs="Arial Unicode MS"/>
          <w:spacing w:val="-2"/>
          <w:szCs w:val="21"/>
          <w:lang w:bidi="ar"/>
        </w:rPr>
        <w:t>腊</w:t>
      </w:r>
      <w:r>
        <w:rPr>
          <w:rFonts w:hint="eastAsia" w:ascii="宋体" w:hAnsi="宋体" w:eastAsia="宋体" w:cs="Arial Unicode MS"/>
          <w:szCs w:val="21"/>
          <w:lang w:bidi="ar"/>
        </w:rPr>
        <w:t>学者苏格</w:t>
      </w:r>
      <w:r>
        <w:rPr>
          <w:rFonts w:hint="eastAsia" w:ascii="宋体" w:hAnsi="宋体" w:eastAsia="宋体" w:cs="Arial Unicode MS"/>
          <w:spacing w:val="-2"/>
          <w:szCs w:val="21"/>
          <w:lang w:bidi="ar"/>
        </w:rPr>
        <w:t>拉</w:t>
      </w:r>
      <w:r>
        <w:rPr>
          <w:rFonts w:hint="eastAsia" w:ascii="宋体" w:hAnsi="宋体" w:eastAsia="宋体" w:cs="Arial Unicode MS"/>
          <w:szCs w:val="21"/>
          <w:lang w:bidi="ar"/>
        </w:rPr>
        <w:t>底说过</w:t>
      </w:r>
      <w:r>
        <w:rPr>
          <w:rFonts w:hint="eastAsia" w:ascii="宋体" w:hAnsi="宋体" w:eastAsia="宋体" w:cs="Times New Roman"/>
          <w:szCs w:val="21"/>
          <w:lang w:bidi="ar"/>
        </w:rPr>
        <w:t>，</w:t>
      </w:r>
      <w:r>
        <w:rPr>
          <w:rFonts w:hint="eastAsia" w:ascii="宋体" w:hAnsi="宋体" w:eastAsia="宋体" w:cs="Arial Unicode MS"/>
          <w:szCs w:val="21"/>
          <w:lang w:bidi="ar"/>
        </w:rPr>
        <w:t>任何</w:t>
      </w:r>
      <w:r>
        <w:rPr>
          <w:rFonts w:hint="eastAsia" w:ascii="宋体" w:hAnsi="宋体" w:eastAsia="宋体" w:cs="Arial Unicode MS"/>
          <w:spacing w:val="-2"/>
          <w:szCs w:val="21"/>
          <w:lang w:bidi="ar"/>
        </w:rPr>
        <w:t>一</w:t>
      </w:r>
      <w:r>
        <w:rPr>
          <w:rFonts w:hint="eastAsia" w:ascii="宋体" w:hAnsi="宋体" w:eastAsia="宋体" w:cs="Arial Unicode MS"/>
          <w:szCs w:val="21"/>
          <w:lang w:bidi="ar"/>
        </w:rPr>
        <w:t>种东西如</w:t>
      </w:r>
      <w:r>
        <w:rPr>
          <w:rFonts w:hint="eastAsia" w:ascii="宋体" w:hAnsi="宋体" w:eastAsia="宋体" w:cs="Arial Unicode MS"/>
          <w:spacing w:val="-2"/>
          <w:szCs w:val="21"/>
          <w:lang w:bidi="ar"/>
        </w:rPr>
        <w:t>果</w:t>
      </w:r>
      <w:r>
        <w:rPr>
          <w:rFonts w:hint="eastAsia" w:ascii="宋体" w:hAnsi="宋体" w:eastAsia="宋体" w:cs="Arial Unicode MS"/>
          <w:szCs w:val="21"/>
          <w:lang w:bidi="ar"/>
        </w:rPr>
        <w:t>它能很好</w:t>
      </w:r>
      <w:r>
        <w:rPr>
          <w:rFonts w:hint="eastAsia" w:ascii="宋体" w:hAnsi="宋体" w:eastAsia="宋体" w:cs="Arial Unicode MS"/>
          <w:spacing w:val="-2"/>
          <w:szCs w:val="21"/>
          <w:lang w:bidi="ar"/>
        </w:rPr>
        <w:t>地</w:t>
      </w:r>
      <w:r>
        <w:rPr>
          <w:rFonts w:hint="eastAsia" w:ascii="宋体" w:hAnsi="宋体" w:eastAsia="宋体" w:cs="Arial Unicode MS"/>
          <w:szCs w:val="21"/>
          <w:lang w:bidi="ar"/>
        </w:rPr>
        <w:t>实现在功</w:t>
      </w:r>
      <w:r>
        <w:rPr>
          <w:rFonts w:hint="eastAsia" w:ascii="宋体" w:hAnsi="宋体" w:eastAsia="宋体" w:cs="Arial Unicode MS"/>
          <w:spacing w:val="-2"/>
          <w:szCs w:val="21"/>
          <w:lang w:bidi="ar"/>
        </w:rPr>
        <w:t>用</w:t>
      </w:r>
      <w:r>
        <w:rPr>
          <w:rFonts w:hint="eastAsia" w:ascii="宋体" w:hAnsi="宋体" w:eastAsia="宋体" w:cs="Arial Unicode MS"/>
          <w:szCs w:val="21"/>
          <w:lang w:bidi="ar"/>
        </w:rPr>
        <w:t>方面的目的</w:t>
      </w:r>
      <w:r>
        <w:rPr>
          <w:rFonts w:hint="eastAsia" w:ascii="宋体" w:hAnsi="宋体" w:eastAsia="宋体" w:cs="Times New Roman"/>
          <w:szCs w:val="21"/>
          <w:lang w:bidi="ar"/>
        </w:rPr>
        <w:t>，</w:t>
      </w:r>
      <w:r>
        <w:rPr>
          <w:rFonts w:hint="eastAsia" w:ascii="宋体" w:hAnsi="宋体" w:eastAsia="宋体" w:cs="Arial Unicode MS"/>
          <w:szCs w:val="21"/>
          <w:lang w:bidi="ar"/>
        </w:rPr>
        <w:t>它</w:t>
      </w:r>
      <w:r>
        <w:rPr>
          <w:rFonts w:hint="eastAsia" w:ascii="宋体" w:hAnsi="宋体" w:eastAsia="宋体" w:cs="Arial Unicode MS"/>
          <w:spacing w:val="-2"/>
          <w:szCs w:val="21"/>
          <w:lang w:bidi="ar"/>
        </w:rPr>
        <w:t>就</w:t>
      </w:r>
      <w:r>
        <w:rPr>
          <w:rFonts w:hint="eastAsia" w:ascii="宋体" w:hAnsi="宋体" w:eastAsia="宋体" w:cs="Arial Unicode MS"/>
          <w:szCs w:val="21"/>
          <w:lang w:bidi="ar"/>
        </w:rPr>
        <w:t>同时是善的</w:t>
      </w:r>
      <w:r>
        <w:rPr>
          <w:rFonts w:hint="eastAsia" w:ascii="宋体" w:hAnsi="宋体" w:eastAsia="宋体" w:cs="Arial Unicode MS"/>
          <w:spacing w:val="-2"/>
          <w:szCs w:val="21"/>
          <w:lang w:bidi="ar"/>
        </w:rPr>
        <w:t>又</w:t>
      </w:r>
      <w:r>
        <w:rPr>
          <w:rFonts w:hint="eastAsia" w:ascii="宋体" w:hAnsi="宋体" w:eastAsia="宋体" w:cs="Arial Unicode MS"/>
          <w:szCs w:val="21"/>
          <w:lang w:bidi="ar"/>
        </w:rPr>
        <w:t>是美的</w:t>
      </w:r>
      <w:r>
        <w:rPr>
          <w:rFonts w:hint="eastAsia" w:ascii="宋体" w:hAnsi="宋体" w:eastAsia="宋体" w:cs="Arial Unicode MS"/>
          <w:spacing w:val="-26"/>
          <w:szCs w:val="21"/>
          <w:lang w:bidi="ar"/>
        </w:rPr>
        <w:t>。</w:t>
      </w:r>
      <w:r>
        <w:rPr>
          <w:rFonts w:hint="eastAsia" w:ascii="宋体" w:hAnsi="宋体" w:eastAsia="宋体" w:cs="Arial Unicode MS"/>
          <w:spacing w:val="-2"/>
          <w:szCs w:val="21"/>
          <w:lang w:bidi="ar"/>
        </w:rPr>
        <w:t>因</w:t>
      </w:r>
      <w:r>
        <w:rPr>
          <w:rFonts w:hint="eastAsia" w:ascii="宋体" w:hAnsi="宋体" w:eastAsia="宋体" w:cs="Arial Unicode MS"/>
          <w:szCs w:val="21"/>
          <w:lang w:bidi="ar"/>
        </w:rPr>
        <w:t>此</w:t>
      </w:r>
      <w:r>
        <w:rPr>
          <w:rFonts w:hint="eastAsia" w:ascii="宋体" w:hAnsi="宋体" w:eastAsia="宋体" w:cs="Times New Roman"/>
          <w:szCs w:val="21"/>
          <w:lang w:bidi="ar"/>
        </w:rPr>
        <w:t>，</w:t>
      </w:r>
      <w:r>
        <w:rPr>
          <w:rFonts w:hint="eastAsia" w:ascii="宋体" w:hAnsi="宋体" w:eastAsia="宋体" w:cs="Arial Unicode MS"/>
          <w:szCs w:val="21"/>
          <w:lang w:bidi="ar"/>
        </w:rPr>
        <w:t>只有当人</w:t>
      </w:r>
      <w:r>
        <w:rPr>
          <w:rFonts w:hint="eastAsia" w:ascii="宋体" w:hAnsi="宋体" w:eastAsia="宋体" w:cs="Arial Unicode MS"/>
          <w:spacing w:val="-2"/>
          <w:szCs w:val="21"/>
          <w:lang w:bidi="ar"/>
        </w:rPr>
        <w:t>类</w:t>
      </w:r>
      <w:r>
        <w:rPr>
          <w:rFonts w:hint="eastAsia" w:ascii="宋体" w:hAnsi="宋体" w:eastAsia="宋体" w:cs="Arial Unicode MS"/>
          <w:szCs w:val="21"/>
          <w:lang w:bidi="ar"/>
        </w:rPr>
        <w:t>社会出现</w:t>
      </w:r>
      <w:r>
        <w:rPr>
          <w:rFonts w:hint="eastAsia" w:ascii="宋体" w:hAnsi="宋体" w:eastAsia="宋体" w:cs="Arial Unicode MS"/>
          <w:spacing w:val="-2"/>
          <w:szCs w:val="21"/>
          <w:lang w:bidi="ar"/>
        </w:rPr>
        <w:t>以</w:t>
      </w:r>
      <w:r>
        <w:rPr>
          <w:rFonts w:hint="eastAsia" w:ascii="宋体" w:hAnsi="宋体" w:eastAsia="宋体" w:cs="Arial Unicode MS"/>
          <w:szCs w:val="21"/>
          <w:lang w:bidi="ar"/>
        </w:rPr>
        <w:t>后</w:t>
      </w:r>
      <w:r>
        <w:rPr>
          <w:rFonts w:hint="eastAsia" w:ascii="宋体" w:hAnsi="宋体" w:eastAsia="宋体" w:cs="Times New Roman"/>
          <w:spacing w:val="8"/>
          <w:szCs w:val="21"/>
          <w:lang w:bidi="ar"/>
        </w:rPr>
        <w:t>，</w:t>
      </w:r>
      <w:r>
        <w:rPr>
          <w:rFonts w:hint="eastAsia" w:ascii="宋体" w:hAnsi="宋体" w:eastAsia="宋体" w:cs="Arial Unicode MS"/>
          <w:spacing w:val="4"/>
          <w:szCs w:val="21"/>
          <w:lang w:bidi="ar"/>
        </w:rPr>
        <w:t>随</w:t>
      </w:r>
      <w:r>
        <w:rPr>
          <w:rFonts w:hint="eastAsia" w:ascii="宋体" w:hAnsi="宋体" w:eastAsia="宋体" w:cs="Arial Unicode MS"/>
          <w:spacing w:val="6"/>
          <w:szCs w:val="21"/>
          <w:lang w:bidi="ar"/>
        </w:rPr>
        <w:t>着人</w:t>
      </w:r>
      <w:r>
        <w:rPr>
          <w:rFonts w:hint="eastAsia" w:ascii="宋体" w:hAnsi="宋体" w:eastAsia="宋体" w:cs="Arial Unicode MS"/>
          <w:spacing w:val="4"/>
          <w:szCs w:val="21"/>
          <w:lang w:bidi="ar"/>
        </w:rPr>
        <w:t>的</w:t>
      </w:r>
      <w:r>
        <w:rPr>
          <w:rFonts w:hint="eastAsia" w:ascii="宋体" w:hAnsi="宋体" w:eastAsia="宋体" w:cs="Arial Unicode MS"/>
          <w:spacing w:val="6"/>
          <w:szCs w:val="21"/>
          <w:lang w:bidi="ar"/>
        </w:rPr>
        <w:t>社会实</w:t>
      </w:r>
      <w:r>
        <w:rPr>
          <w:rFonts w:hint="eastAsia" w:ascii="宋体" w:hAnsi="宋体" w:eastAsia="宋体" w:cs="Arial Unicode MS"/>
          <w:spacing w:val="4"/>
          <w:szCs w:val="21"/>
          <w:lang w:bidi="ar"/>
        </w:rPr>
        <w:t>践</w:t>
      </w:r>
      <w:r>
        <w:rPr>
          <w:rFonts w:hint="eastAsia" w:ascii="宋体" w:hAnsi="宋体" w:eastAsia="宋体" w:cs="Arial Unicode MS"/>
          <w:spacing w:val="6"/>
          <w:szCs w:val="21"/>
          <w:lang w:bidi="ar"/>
        </w:rPr>
        <w:t>的发</w:t>
      </w:r>
      <w:r>
        <w:rPr>
          <w:rFonts w:hint="eastAsia" w:ascii="宋体" w:hAnsi="宋体" w:eastAsia="宋体" w:cs="Arial Unicode MS"/>
          <w:szCs w:val="21"/>
          <w:lang w:bidi="ar"/>
        </w:rPr>
        <w:t>展</w:t>
      </w:r>
      <w:r>
        <w:rPr>
          <w:rFonts w:hint="eastAsia" w:ascii="宋体" w:hAnsi="宋体" w:eastAsia="宋体" w:cs="Times New Roman"/>
          <w:spacing w:val="6"/>
          <w:szCs w:val="21"/>
          <w:lang w:bidi="ar"/>
        </w:rPr>
        <w:t>，</w:t>
      </w:r>
      <w:r>
        <w:rPr>
          <w:rFonts w:hint="eastAsia" w:ascii="宋体" w:hAnsi="宋体" w:eastAsia="宋体" w:cs="Arial Unicode MS"/>
          <w:spacing w:val="4"/>
          <w:szCs w:val="21"/>
          <w:lang w:bidi="ar"/>
        </w:rPr>
        <w:t>劳</w:t>
      </w:r>
      <w:r>
        <w:rPr>
          <w:rFonts w:hint="eastAsia" w:ascii="宋体" w:hAnsi="宋体" w:eastAsia="宋体" w:cs="Arial Unicode MS"/>
          <w:spacing w:val="6"/>
          <w:szCs w:val="21"/>
          <w:lang w:bidi="ar"/>
        </w:rPr>
        <w:t>动对象</w:t>
      </w:r>
      <w:r>
        <w:rPr>
          <w:rFonts w:hint="eastAsia" w:ascii="宋体" w:hAnsi="宋体" w:eastAsia="宋体" w:cs="Arial Unicode MS"/>
          <w:spacing w:val="4"/>
          <w:szCs w:val="21"/>
          <w:lang w:bidi="ar"/>
        </w:rPr>
        <w:t>成</w:t>
      </w:r>
      <w:r>
        <w:rPr>
          <w:rFonts w:hint="eastAsia" w:ascii="宋体" w:hAnsi="宋体" w:eastAsia="宋体" w:cs="Arial Unicode MS"/>
          <w:spacing w:val="6"/>
          <w:szCs w:val="21"/>
          <w:lang w:bidi="ar"/>
        </w:rPr>
        <w:t>为</w:t>
      </w:r>
      <w:r>
        <w:rPr>
          <w:rFonts w:hint="eastAsia" w:ascii="宋体" w:hAnsi="宋体" w:eastAsia="宋体" w:cs="Arial Unicode MS"/>
          <w:szCs w:val="21"/>
          <w:lang w:bidi="ar"/>
        </w:rPr>
        <w:t>美的对象</w:t>
      </w:r>
      <w:r>
        <w:rPr>
          <w:rFonts w:hint="eastAsia" w:ascii="宋体" w:hAnsi="宋体" w:eastAsia="宋体" w:cs="Arial Unicode MS"/>
          <w:spacing w:val="-28"/>
          <w:szCs w:val="21"/>
          <w:lang w:bidi="ar"/>
        </w:rPr>
        <w:t>。</w:t>
      </w:r>
      <w:r>
        <w:rPr>
          <w:rFonts w:hint="eastAsia" w:ascii="宋体" w:hAnsi="宋体" w:eastAsia="宋体" w:cs="Arial Unicode MS"/>
          <w:szCs w:val="21"/>
          <w:lang w:bidi="ar"/>
        </w:rPr>
        <w:t>只有人</w:t>
      </w:r>
      <w:r>
        <w:rPr>
          <w:rFonts w:hint="eastAsia" w:ascii="宋体" w:hAnsi="宋体" w:eastAsia="宋体" w:cs="Arial Unicode MS"/>
          <w:spacing w:val="-2"/>
          <w:szCs w:val="21"/>
          <w:lang w:bidi="ar"/>
        </w:rPr>
        <w:t>才</w:t>
      </w:r>
      <w:r>
        <w:rPr>
          <w:rFonts w:hint="eastAsia" w:ascii="宋体" w:hAnsi="宋体" w:eastAsia="宋体" w:cs="Arial Unicode MS"/>
          <w:szCs w:val="21"/>
          <w:lang w:bidi="ar"/>
        </w:rPr>
        <w:t>能在劳</w:t>
      </w:r>
      <w:r>
        <w:rPr>
          <w:rFonts w:hint="eastAsia" w:ascii="宋体" w:hAnsi="宋体" w:eastAsia="宋体" w:cs="Arial Unicode MS"/>
          <w:spacing w:val="-2"/>
          <w:szCs w:val="21"/>
          <w:lang w:bidi="ar"/>
        </w:rPr>
        <w:t>动</w:t>
      </w:r>
      <w:r>
        <w:rPr>
          <w:rFonts w:hint="eastAsia" w:ascii="宋体" w:hAnsi="宋体" w:eastAsia="宋体" w:cs="Arial Unicode MS"/>
          <w:szCs w:val="21"/>
          <w:lang w:bidi="ar"/>
        </w:rPr>
        <w:t>实践中</w:t>
      </w:r>
      <w:r>
        <w:rPr>
          <w:rFonts w:hint="eastAsia" w:ascii="宋体" w:hAnsi="宋体" w:eastAsia="宋体" w:cs="Times New Roman"/>
          <w:szCs w:val="21"/>
          <w:lang w:bidi="ar"/>
        </w:rPr>
        <w:t>，</w:t>
      </w:r>
      <w:r>
        <w:rPr>
          <w:rFonts w:hint="eastAsia" w:ascii="宋体" w:hAnsi="宋体" w:eastAsia="宋体" w:cs="Arial Unicode MS"/>
          <w:szCs w:val="21"/>
          <w:lang w:bidi="ar"/>
        </w:rPr>
        <w:t>不仅可</w:t>
      </w:r>
      <w:r>
        <w:rPr>
          <w:rFonts w:hint="eastAsia" w:ascii="宋体" w:hAnsi="宋体" w:eastAsia="宋体" w:cs="Arial Unicode MS"/>
          <w:spacing w:val="-2"/>
          <w:szCs w:val="21"/>
          <w:lang w:bidi="ar"/>
        </w:rPr>
        <w:t>以</w:t>
      </w:r>
      <w:r>
        <w:rPr>
          <w:rFonts w:hint="eastAsia" w:ascii="宋体" w:hAnsi="宋体" w:eastAsia="宋体" w:cs="Arial Unicode MS"/>
          <w:spacing w:val="6"/>
          <w:szCs w:val="21"/>
          <w:lang w:bidi="ar"/>
        </w:rPr>
        <w:t>把产品</w:t>
      </w:r>
      <w:r>
        <w:rPr>
          <w:rFonts w:hint="eastAsia" w:ascii="宋体" w:hAnsi="宋体" w:eastAsia="宋体" w:cs="Arial Unicode MS"/>
          <w:spacing w:val="4"/>
          <w:szCs w:val="21"/>
          <w:lang w:bidi="ar"/>
        </w:rPr>
        <w:t>作</w:t>
      </w:r>
      <w:r>
        <w:rPr>
          <w:rFonts w:hint="eastAsia" w:ascii="宋体" w:hAnsi="宋体" w:eastAsia="宋体" w:cs="Arial Unicode MS"/>
          <w:spacing w:val="6"/>
          <w:szCs w:val="21"/>
          <w:lang w:bidi="ar"/>
        </w:rPr>
        <w:t>为美</w:t>
      </w:r>
      <w:r>
        <w:rPr>
          <w:rFonts w:hint="eastAsia" w:ascii="宋体" w:hAnsi="宋体" w:eastAsia="宋体" w:cs="Arial Unicode MS"/>
          <w:spacing w:val="4"/>
          <w:szCs w:val="21"/>
          <w:lang w:bidi="ar"/>
        </w:rPr>
        <w:t>的</w:t>
      </w:r>
      <w:r>
        <w:rPr>
          <w:rFonts w:hint="eastAsia" w:ascii="宋体" w:hAnsi="宋体" w:eastAsia="宋体" w:cs="Arial Unicode MS"/>
          <w:spacing w:val="6"/>
          <w:szCs w:val="21"/>
          <w:lang w:bidi="ar"/>
        </w:rPr>
        <w:t>对</w:t>
      </w:r>
      <w:r>
        <w:rPr>
          <w:rFonts w:hint="eastAsia" w:ascii="宋体" w:hAnsi="宋体" w:eastAsia="宋体" w:cs="Arial Unicode MS"/>
          <w:szCs w:val="21"/>
          <w:lang w:bidi="ar"/>
        </w:rPr>
        <w:t>象</w:t>
      </w:r>
      <w:r>
        <w:rPr>
          <w:rFonts w:hint="eastAsia" w:ascii="宋体" w:hAnsi="宋体" w:eastAsia="宋体" w:cs="Times New Roman"/>
          <w:spacing w:val="6"/>
          <w:szCs w:val="21"/>
          <w:lang w:bidi="ar"/>
        </w:rPr>
        <w:t>，</w:t>
      </w:r>
      <w:r>
        <w:rPr>
          <w:rFonts w:hint="eastAsia" w:ascii="宋体" w:hAnsi="宋体" w:eastAsia="宋体" w:cs="Arial Unicode MS"/>
          <w:spacing w:val="6"/>
          <w:szCs w:val="21"/>
          <w:lang w:bidi="ar"/>
        </w:rPr>
        <w:t>而且</w:t>
      </w:r>
      <w:r>
        <w:rPr>
          <w:rFonts w:hint="eastAsia" w:ascii="宋体" w:hAnsi="宋体" w:eastAsia="宋体" w:cs="Arial Unicode MS"/>
          <w:spacing w:val="4"/>
          <w:szCs w:val="21"/>
          <w:lang w:bidi="ar"/>
        </w:rPr>
        <w:t>人</w:t>
      </w:r>
      <w:r>
        <w:rPr>
          <w:rFonts w:hint="eastAsia" w:ascii="宋体" w:hAnsi="宋体" w:eastAsia="宋体" w:cs="Arial Unicode MS"/>
          <w:spacing w:val="6"/>
          <w:szCs w:val="21"/>
          <w:lang w:bidi="ar"/>
        </w:rPr>
        <w:t>的生命</w:t>
      </w:r>
      <w:r>
        <w:rPr>
          <w:rFonts w:hint="eastAsia" w:ascii="宋体" w:hAnsi="宋体" w:eastAsia="宋体" w:cs="Arial Unicode MS"/>
          <w:spacing w:val="4"/>
          <w:szCs w:val="21"/>
          <w:lang w:bidi="ar"/>
        </w:rPr>
        <w:t>活</w:t>
      </w:r>
      <w:r>
        <w:rPr>
          <w:rFonts w:hint="eastAsia" w:ascii="宋体" w:hAnsi="宋体" w:eastAsia="宋体" w:cs="Arial Unicode MS"/>
          <w:spacing w:val="6"/>
          <w:szCs w:val="21"/>
          <w:lang w:bidi="ar"/>
        </w:rPr>
        <w:t>动本</w:t>
      </w:r>
      <w:r>
        <w:rPr>
          <w:rFonts w:hint="eastAsia" w:ascii="宋体" w:hAnsi="宋体" w:eastAsia="宋体" w:cs="Arial Unicode MS"/>
          <w:szCs w:val="21"/>
          <w:lang w:bidi="ar"/>
        </w:rPr>
        <w:t>身</w:t>
      </w:r>
      <w:r>
        <w:rPr>
          <w:rFonts w:hint="eastAsia" w:ascii="宋体" w:hAnsi="宋体" w:eastAsia="宋体" w:cs="Times New Roman"/>
          <w:szCs w:val="21"/>
          <w:lang w:bidi="ar"/>
        </w:rPr>
        <w:t>，</w:t>
      </w:r>
      <w:r>
        <w:rPr>
          <w:rFonts w:hint="eastAsia" w:ascii="宋体" w:hAnsi="宋体" w:eastAsia="宋体" w:cs="Arial Unicode MS"/>
          <w:szCs w:val="21"/>
          <w:lang w:bidi="ar"/>
        </w:rPr>
        <w:t>即劳</w:t>
      </w:r>
      <w:r>
        <w:rPr>
          <w:rFonts w:hint="eastAsia" w:ascii="宋体" w:hAnsi="宋体" w:eastAsia="宋体" w:cs="Arial Unicode MS"/>
          <w:spacing w:val="-2"/>
          <w:szCs w:val="21"/>
          <w:lang w:bidi="ar"/>
        </w:rPr>
        <w:t>动</w:t>
      </w:r>
      <w:r>
        <w:rPr>
          <w:rFonts w:hint="eastAsia" w:ascii="宋体" w:hAnsi="宋体" w:eastAsia="宋体" w:cs="Arial Unicode MS"/>
          <w:szCs w:val="21"/>
          <w:lang w:bidi="ar"/>
        </w:rPr>
        <w:t>活动和生</w:t>
      </w:r>
      <w:r>
        <w:rPr>
          <w:rFonts w:hint="eastAsia" w:ascii="宋体" w:hAnsi="宋体" w:eastAsia="宋体" w:cs="Arial Unicode MS"/>
          <w:spacing w:val="-2"/>
          <w:szCs w:val="21"/>
          <w:lang w:bidi="ar"/>
        </w:rPr>
        <w:t>活</w:t>
      </w:r>
      <w:r>
        <w:rPr>
          <w:rFonts w:hint="eastAsia" w:ascii="宋体" w:hAnsi="宋体" w:eastAsia="宋体" w:cs="Arial Unicode MS"/>
          <w:szCs w:val="21"/>
          <w:lang w:bidi="ar"/>
        </w:rPr>
        <w:t>本身也</w:t>
      </w:r>
      <w:r>
        <w:rPr>
          <w:rFonts w:hint="eastAsia" w:ascii="宋体" w:hAnsi="宋体" w:eastAsia="宋体" w:cs="Arial Unicode MS"/>
          <w:spacing w:val="-2"/>
          <w:szCs w:val="21"/>
          <w:lang w:bidi="ar"/>
        </w:rPr>
        <w:t>可</w:t>
      </w:r>
      <w:r>
        <w:rPr>
          <w:rFonts w:hint="eastAsia" w:ascii="宋体" w:hAnsi="宋体" w:eastAsia="宋体" w:cs="Arial Unicode MS"/>
          <w:szCs w:val="21"/>
          <w:lang w:bidi="ar"/>
        </w:rPr>
        <w:t>以成为美</w:t>
      </w:r>
      <w:r>
        <w:rPr>
          <w:rFonts w:hint="eastAsia" w:ascii="宋体" w:hAnsi="宋体" w:eastAsia="宋体" w:cs="Arial Unicode MS"/>
          <w:spacing w:val="-2"/>
          <w:szCs w:val="21"/>
          <w:lang w:bidi="ar"/>
        </w:rPr>
        <w:t>的</w:t>
      </w:r>
      <w:r>
        <w:rPr>
          <w:rFonts w:hint="eastAsia" w:ascii="宋体" w:hAnsi="宋体" w:eastAsia="宋体" w:cs="Arial Unicode MS"/>
          <w:szCs w:val="21"/>
          <w:lang w:bidi="ar"/>
        </w:rPr>
        <w:t>对象</w:t>
      </w:r>
      <w:r>
        <w:rPr>
          <w:rFonts w:hint="eastAsia" w:ascii="宋体" w:hAnsi="宋体" w:eastAsia="宋体" w:cs="Times New Roman"/>
          <w:szCs w:val="21"/>
          <w:lang w:bidi="ar"/>
        </w:rPr>
        <w:t>，</w:t>
      </w:r>
      <w:r>
        <w:rPr>
          <w:rFonts w:hint="eastAsia" w:ascii="宋体" w:hAnsi="宋体" w:eastAsia="宋体" w:cs="Arial Unicode MS"/>
          <w:spacing w:val="4"/>
          <w:szCs w:val="21"/>
          <w:lang w:bidi="ar"/>
        </w:rPr>
        <w:t>从而美的</w:t>
      </w:r>
      <w:r>
        <w:rPr>
          <w:rFonts w:hint="eastAsia" w:ascii="宋体" w:hAnsi="宋体" w:eastAsia="宋体" w:cs="Arial Unicode MS"/>
          <w:spacing w:val="6"/>
          <w:szCs w:val="21"/>
          <w:lang w:bidi="ar"/>
        </w:rPr>
        <w:t>领域在</w:t>
      </w:r>
      <w:r>
        <w:rPr>
          <w:rFonts w:hint="eastAsia" w:ascii="宋体" w:hAnsi="宋体" w:eastAsia="宋体" w:cs="Arial Unicode MS"/>
          <w:spacing w:val="4"/>
          <w:szCs w:val="21"/>
          <w:lang w:bidi="ar"/>
        </w:rPr>
        <w:t>自</w:t>
      </w:r>
      <w:r>
        <w:rPr>
          <w:rFonts w:hint="eastAsia" w:ascii="宋体" w:hAnsi="宋体" w:eastAsia="宋体" w:cs="Arial Unicode MS"/>
          <w:spacing w:val="6"/>
          <w:szCs w:val="21"/>
          <w:lang w:bidi="ar"/>
        </w:rPr>
        <w:t>由创</w:t>
      </w:r>
      <w:r>
        <w:rPr>
          <w:rFonts w:hint="eastAsia" w:ascii="宋体" w:hAnsi="宋体" w:eastAsia="宋体" w:cs="Arial Unicode MS"/>
          <w:spacing w:val="4"/>
          <w:szCs w:val="21"/>
          <w:lang w:bidi="ar"/>
        </w:rPr>
        <w:t>造</w:t>
      </w:r>
      <w:r>
        <w:rPr>
          <w:rFonts w:hint="eastAsia" w:ascii="宋体" w:hAnsi="宋体" w:eastAsia="宋体" w:cs="Arial Unicode MS"/>
          <w:spacing w:val="6"/>
          <w:szCs w:val="21"/>
          <w:lang w:bidi="ar"/>
        </w:rPr>
        <w:t>的实</w:t>
      </w:r>
      <w:r>
        <w:rPr>
          <w:rFonts w:hint="eastAsia" w:ascii="宋体" w:hAnsi="宋体" w:eastAsia="宋体" w:cs="Arial Unicode MS"/>
          <w:spacing w:val="4"/>
          <w:szCs w:val="21"/>
          <w:lang w:bidi="ar"/>
        </w:rPr>
        <w:t>践</w:t>
      </w:r>
      <w:r>
        <w:rPr>
          <w:rFonts w:hint="eastAsia" w:ascii="宋体" w:hAnsi="宋体" w:eastAsia="宋体" w:cs="Arial Unicode MS"/>
          <w:spacing w:val="6"/>
          <w:szCs w:val="21"/>
          <w:lang w:bidi="ar"/>
        </w:rPr>
        <w:t>中便逐</w:t>
      </w:r>
      <w:r>
        <w:rPr>
          <w:rFonts w:hint="eastAsia" w:ascii="宋体" w:hAnsi="宋体" w:eastAsia="宋体" w:cs="Arial Unicode MS"/>
          <w:spacing w:val="4"/>
          <w:szCs w:val="21"/>
          <w:lang w:bidi="ar"/>
        </w:rPr>
        <w:t>渐</w:t>
      </w:r>
      <w:r>
        <w:rPr>
          <w:rFonts w:hint="eastAsia" w:ascii="宋体" w:hAnsi="宋体" w:eastAsia="宋体" w:cs="Arial Unicode MS"/>
          <w:spacing w:val="6"/>
          <w:szCs w:val="21"/>
          <w:lang w:bidi="ar"/>
        </w:rPr>
        <w:t>展</w:t>
      </w:r>
      <w:r>
        <w:rPr>
          <w:rFonts w:hint="eastAsia" w:ascii="宋体" w:hAnsi="宋体" w:eastAsia="宋体" w:cs="Arial Unicode MS"/>
          <w:szCs w:val="21"/>
          <w:lang w:bidi="ar"/>
        </w:rPr>
        <w:t>现</w:t>
      </w:r>
      <w:r>
        <w:rPr>
          <w:rFonts w:hint="eastAsia" w:ascii="宋体" w:hAnsi="宋体" w:eastAsia="宋体" w:cs="Arial Unicode MS"/>
          <w:position w:val="-1"/>
          <w:szCs w:val="21"/>
          <w:lang w:bidi="ar"/>
        </w:rPr>
        <w:t>和扩</w:t>
      </w:r>
      <w:r>
        <w:rPr>
          <w:rFonts w:hint="eastAsia" w:ascii="宋体" w:hAnsi="宋体" w:eastAsia="宋体" w:cs="Arial Unicode MS"/>
          <w:spacing w:val="-2"/>
          <w:position w:val="-1"/>
          <w:szCs w:val="21"/>
          <w:lang w:bidi="ar"/>
        </w:rPr>
        <w:t>大</w:t>
      </w:r>
      <w:r>
        <w:rPr>
          <w:rFonts w:hint="eastAsia" w:ascii="宋体" w:hAnsi="宋体" w:eastAsia="宋体" w:cs="Arial Unicode MS"/>
          <w:position w:val="-1"/>
          <w:szCs w:val="21"/>
          <w:lang w:bidi="ar"/>
        </w:rPr>
        <w:t>起来</w:t>
      </w:r>
      <w:r>
        <w:rPr>
          <w:rFonts w:hint="eastAsia" w:ascii="宋体" w:hAnsi="宋体" w:eastAsia="宋体" w:cs="Arial Unicode MS"/>
          <w:spacing w:val="-26"/>
          <w:position w:val="-1"/>
          <w:szCs w:val="21"/>
          <w:lang w:bidi="ar"/>
        </w:rPr>
        <w:t>。</w:t>
      </w:r>
      <w:r>
        <w:rPr>
          <w:rFonts w:hint="eastAsia" w:ascii="宋体" w:hAnsi="宋体" w:eastAsia="宋体" w:cs="Arial Unicode MS"/>
          <w:position w:val="-1"/>
          <w:szCs w:val="21"/>
          <w:lang w:bidi="ar"/>
        </w:rPr>
        <w:t>从</w:t>
      </w:r>
      <w:r>
        <w:rPr>
          <w:rFonts w:hint="eastAsia" w:ascii="宋体" w:hAnsi="宋体" w:eastAsia="宋体" w:cs="Arial Unicode MS"/>
          <w:spacing w:val="-2"/>
          <w:position w:val="-1"/>
          <w:szCs w:val="21"/>
          <w:lang w:bidi="ar"/>
        </w:rPr>
        <w:t>这</w:t>
      </w:r>
      <w:r>
        <w:rPr>
          <w:rFonts w:hint="eastAsia" w:ascii="宋体" w:hAnsi="宋体" w:eastAsia="宋体" w:cs="Arial Unicode MS"/>
          <w:position w:val="-1"/>
          <w:szCs w:val="21"/>
          <w:lang w:bidi="ar"/>
        </w:rPr>
        <w:t>个意义上</w:t>
      </w:r>
      <w:r>
        <w:rPr>
          <w:rFonts w:hint="eastAsia" w:ascii="宋体" w:hAnsi="宋体" w:eastAsia="宋体" w:cs="Times New Roman"/>
          <w:position w:val="-1"/>
          <w:szCs w:val="21"/>
          <w:lang w:bidi="ar"/>
        </w:rPr>
        <w:t>，</w:t>
      </w:r>
      <w:r>
        <w:rPr>
          <w:rFonts w:hint="eastAsia" w:ascii="宋体" w:hAnsi="宋体" w:eastAsia="宋体" w:cs="Arial Unicode MS"/>
          <w:position w:val="-1"/>
          <w:szCs w:val="21"/>
          <w:lang w:bidi="ar"/>
        </w:rPr>
        <w:t>马</w:t>
      </w:r>
      <w:r>
        <w:rPr>
          <w:rFonts w:hint="eastAsia" w:ascii="宋体" w:hAnsi="宋体" w:eastAsia="宋体" w:cs="Arial Unicode MS"/>
          <w:spacing w:val="-2"/>
          <w:position w:val="-1"/>
          <w:szCs w:val="21"/>
          <w:lang w:bidi="ar"/>
        </w:rPr>
        <w:t>克</w:t>
      </w:r>
      <w:r>
        <w:rPr>
          <w:rFonts w:hint="eastAsia" w:ascii="宋体" w:hAnsi="宋体" w:eastAsia="宋体" w:cs="Arial Unicode MS"/>
          <w:position w:val="-1"/>
          <w:szCs w:val="21"/>
          <w:lang w:bidi="ar"/>
        </w:rPr>
        <w:t>思强调劳</w:t>
      </w:r>
      <w:r>
        <w:rPr>
          <w:rFonts w:hint="eastAsia" w:ascii="宋体" w:hAnsi="宋体" w:eastAsia="宋体" w:cs="Arial Unicode MS"/>
          <w:spacing w:val="-2"/>
          <w:position w:val="-1"/>
          <w:szCs w:val="21"/>
          <w:lang w:bidi="ar"/>
        </w:rPr>
        <w:t>动</w:t>
      </w:r>
      <w:r>
        <w:rPr>
          <w:rFonts w:hint="eastAsia" w:ascii="宋体" w:hAnsi="宋体" w:eastAsia="宋体" w:cs="Arial Unicode MS"/>
          <w:position w:val="-1"/>
          <w:szCs w:val="21"/>
          <w:lang w:bidi="ar"/>
        </w:rPr>
        <w:t>创造了美。</w:t>
      </w:r>
    </w:p>
    <w:p w14:paraId="717EC620">
      <w:pPr>
        <w:autoSpaceDE w:val="0"/>
        <w:autoSpaceDN w:val="0"/>
        <w:spacing w:before="2" w:line="300" w:lineRule="auto"/>
        <w:ind w:firstLine="432" w:firstLineChars="200"/>
        <w:rPr>
          <w:rFonts w:ascii="宋体" w:hAnsi="宋体" w:eastAsia="宋体" w:cs="Arial Unicode MS"/>
          <w:spacing w:val="-54"/>
          <w:szCs w:val="21"/>
        </w:rPr>
      </w:pPr>
      <w:r>
        <w:rPr>
          <w:rFonts w:hint="eastAsia" w:ascii="宋体" w:hAnsi="宋体" w:eastAsia="宋体" w:cs="Arial Unicode MS"/>
          <w:spacing w:val="-2"/>
          <w:szCs w:val="21"/>
          <w:lang w:bidi="ar"/>
        </w:rPr>
        <w:t>不</w:t>
      </w:r>
      <w:r>
        <w:rPr>
          <w:rFonts w:hint="eastAsia" w:ascii="宋体" w:hAnsi="宋体" w:eastAsia="宋体" w:cs="Arial Unicode MS"/>
          <w:szCs w:val="21"/>
          <w:lang w:bidi="ar"/>
        </w:rPr>
        <w:t>过</w:t>
      </w:r>
      <w:r>
        <w:rPr>
          <w:rFonts w:hint="eastAsia" w:ascii="宋体" w:hAnsi="宋体" w:eastAsia="宋体" w:cs="Times New Roman"/>
          <w:spacing w:val="2"/>
          <w:szCs w:val="21"/>
          <w:lang w:bidi="ar"/>
        </w:rPr>
        <w:t>，</w:t>
      </w:r>
      <w:r>
        <w:rPr>
          <w:rFonts w:hint="eastAsia" w:ascii="宋体" w:hAnsi="宋体" w:eastAsia="宋体" w:cs="Arial Unicode MS"/>
          <w:spacing w:val="-2"/>
          <w:szCs w:val="21"/>
          <w:lang w:bidi="ar"/>
        </w:rPr>
        <w:t>一</w:t>
      </w:r>
      <w:r>
        <w:rPr>
          <w:rFonts w:hint="eastAsia" w:ascii="宋体" w:hAnsi="宋体" w:eastAsia="宋体" w:cs="Arial Unicode MS"/>
          <w:szCs w:val="21"/>
          <w:lang w:bidi="ar"/>
        </w:rPr>
        <w:t>般认为</w:t>
      </w:r>
      <w:r>
        <w:rPr>
          <w:rFonts w:hint="eastAsia" w:ascii="宋体" w:hAnsi="宋体" w:eastAsia="宋体" w:cs="Times New Roman"/>
          <w:szCs w:val="21"/>
          <w:lang w:bidi="ar"/>
        </w:rPr>
        <w:t>，</w:t>
      </w:r>
      <w:r>
        <w:rPr>
          <w:rFonts w:hint="eastAsia" w:ascii="宋体" w:hAnsi="宋体" w:eastAsia="宋体" w:cs="Arial Unicode MS"/>
          <w:szCs w:val="21"/>
          <w:lang w:bidi="ar"/>
        </w:rPr>
        <w:t>经济</w:t>
      </w:r>
      <w:r>
        <w:rPr>
          <w:rFonts w:hint="eastAsia" w:ascii="宋体" w:hAnsi="宋体" w:eastAsia="宋体" w:cs="Arial Unicode MS"/>
          <w:spacing w:val="-2"/>
          <w:szCs w:val="21"/>
          <w:lang w:bidi="ar"/>
        </w:rPr>
        <w:t>涉</w:t>
      </w:r>
      <w:r>
        <w:rPr>
          <w:rFonts w:hint="eastAsia" w:ascii="宋体" w:hAnsi="宋体" w:eastAsia="宋体" w:cs="Arial Unicode MS"/>
          <w:szCs w:val="21"/>
          <w:lang w:bidi="ar"/>
        </w:rPr>
        <w:t>及的是物</w:t>
      </w:r>
      <w:r>
        <w:rPr>
          <w:rFonts w:hint="eastAsia" w:ascii="宋体" w:hAnsi="宋体" w:eastAsia="宋体" w:cs="Arial Unicode MS"/>
          <w:spacing w:val="-2"/>
          <w:szCs w:val="21"/>
          <w:lang w:bidi="ar"/>
        </w:rPr>
        <w:t>质生产、分配、交换、消费等问</w:t>
      </w:r>
      <w:r>
        <w:rPr>
          <w:rFonts w:hint="eastAsia" w:ascii="宋体" w:hAnsi="宋体" w:eastAsia="宋体" w:cs="Arial Unicode MS"/>
          <w:szCs w:val="21"/>
          <w:lang w:bidi="ar"/>
        </w:rPr>
        <w:t>题</w:t>
      </w:r>
      <w:r>
        <w:rPr>
          <w:rFonts w:hint="eastAsia" w:ascii="宋体" w:hAnsi="宋体" w:eastAsia="宋体" w:cs="Times New Roman"/>
          <w:szCs w:val="21"/>
          <w:lang w:bidi="ar"/>
        </w:rPr>
        <w:t>，</w:t>
      </w:r>
      <w:r>
        <w:rPr>
          <w:rFonts w:hint="eastAsia" w:ascii="宋体" w:hAnsi="宋体" w:eastAsia="宋体" w:cs="Arial Unicode MS"/>
          <w:szCs w:val="21"/>
          <w:lang w:bidi="ar"/>
        </w:rPr>
        <w:t>而</w:t>
      </w:r>
      <w:r>
        <w:rPr>
          <w:rFonts w:hint="eastAsia" w:ascii="宋体" w:hAnsi="宋体" w:eastAsia="宋体" w:cs="Arial Unicode MS"/>
          <w:spacing w:val="-2"/>
          <w:szCs w:val="21"/>
          <w:lang w:bidi="ar"/>
        </w:rPr>
        <w:t>美</w:t>
      </w:r>
      <w:r>
        <w:rPr>
          <w:rFonts w:hint="eastAsia" w:ascii="宋体" w:hAnsi="宋体" w:eastAsia="宋体" w:cs="Arial Unicode MS"/>
          <w:szCs w:val="21"/>
          <w:lang w:bidi="ar"/>
        </w:rPr>
        <w:t>则涉及艺</w:t>
      </w:r>
      <w:r>
        <w:rPr>
          <w:rFonts w:hint="eastAsia" w:ascii="宋体" w:hAnsi="宋体" w:eastAsia="宋体" w:cs="Arial Unicode MS"/>
          <w:spacing w:val="-2"/>
          <w:szCs w:val="21"/>
          <w:lang w:bidi="ar"/>
        </w:rPr>
        <w:t>术</w:t>
      </w:r>
      <w:r>
        <w:rPr>
          <w:rFonts w:hint="eastAsia" w:ascii="宋体" w:hAnsi="宋体" w:eastAsia="宋体" w:cs="Arial Unicode MS"/>
          <w:szCs w:val="21"/>
          <w:lang w:bidi="ar"/>
        </w:rPr>
        <w:t>创作规律以</w:t>
      </w:r>
      <w:r>
        <w:rPr>
          <w:rFonts w:hint="eastAsia" w:ascii="宋体" w:hAnsi="宋体" w:eastAsia="宋体" w:cs="Arial Unicode MS"/>
          <w:spacing w:val="-2"/>
          <w:szCs w:val="21"/>
          <w:lang w:bidi="ar"/>
        </w:rPr>
        <w:t>及</w:t>
      </w:r>
      <w:r>
        <w:rPr>
          <w:rFonts w:hint="eastAsia" w:ascii="宋体" w:hAnsi="宋体" w:eastAsia="宋体" w:cs="Arial Unicode MS"/>
          <w:szCs w:val="21"/>
          <w:lang w:bidi="ar"/>
        </w:rPr>
        <w:t>艺术作品</w:t>
      </w:r>
      <w:r>
        <w:rPr>
          <w:rFonts w:hint="eastAsia" w:ascii="宋体" w:hAnsi="宋体" w:eastAsia="宋体" w:cs="Arial Unicode MS"/>
          <w:spacing w:val="-2"/>
          <w:szCs w:val="21"/>
          <w:lang w:bidi="ar"/>
        </w:rPr>
        <w:t>的</w:t>
      </w:r>
      <w:r>
        <w:rPr>
          <w:rFonts w:hint="eastAsia" w:ascii="宋体" w:hAnsi="宋体" w:eastAsia="宋体" w:cs="Arial Unicode MS"/>
          <w:szCs w:val="21"/>
          <w:lang w:bidi="ar"/>
        </w:rPr>
        <w:t>欣赏与</w:t>
      </w:r>
      <w:r>
        <w:rPr>
          <w:rFonts w:hint="eastAsia" w:ascii="宋体" w:hAnsi="宋体" w:eastAsia="宋体" w:cs="Arial Unicode MS"/>
          <w:spacing w:val="-2"/>
          <w:szCs w:val="21"/>
          <w:lang w:bidi="ar"/>
        </w:rPr>
        <w:t>评</w:t>
      </w:r>
      <w:r>
        <w:rPr>
          <w:rFonts w:hint="eastAsia" w:ascii="宋体" w:hAnsi="宋体" w:eastAsia="宋体" w:cs="Arial Unicode MS"/>
          <w:szCs w:val="21"/>
          <w:lang w:bidi="ar"/>
        </w:rPr>
        <w:t>价等问题</w:t>
      </w:r>
      <w:r>
        <w:rPr>
          <w:rFonts w:hint="eastAsia" w:ascii="宋体" w:hAnsi="宋体" w:eastAsia="宋体" w:cs="Times New Roman"/>
          <w:szCs w:val="21"/>
          <w:lang w:bidi="ar"/>
        </w:rPr>
        <w:t>，</w:t>
      </w:r>
      <w:r>
        <w:rPr>
          <w:rFonts w:hint="eastAsia" w:ascii="宋体" w:hAnsi="宋体" w:eastAsia="宋体" w:cs="Arial Unicode MS"/>
          <w:szCs w:val="21"/>
          <w:lang w:bidi="ar"/>
        </w:rPr>
        <w:t>美是</w:t>
      </w:r>
      <w:r>
        <w:rPr>
          <w:rFonts w:hint="eastAsia" w:ascii="宋体" w:hAnsi="宋体" w:eastAsia="宋体" w:cs="Arial Unicode MS"/>
          <w:spacing w:val="-2"/>
          <w:szCs w:val="21"/>
          <w:lang w:bidi="ar"/>
        </w:rPr>
        <w:t>事</w:t>
      </w:r>
      <w:r>
        <w:rPr>
          <w:rFonts w:hint="eastAsia" w:ascii="宋体" w:hAnsi="宋体" w:eastAsia="宋体" w:cs="Arial Unicode MS"/>
          <w:szCs w:val="21"/>
          <w:lang w:bidi="ar"/>
        </w:rPr>
        <w:t>物具有的</w:t>
      </w:r>
      <w:r>
        <w:rPr>
          <w:rFonts w:hint="eastAsia" w:ascii="宋体" w:hAnsi="宋体" w:eastAsia="宋体" w:cs="Arial Unicode MS"/>
          <w:spacing w:val="-2"/>
          <w:szCs w:val="21"/>
          <w:lang w:bidi="ar"/>
        </w:rPr>
        <w:t>某</w:t>
      </w:r>
      <w:r>
        <w:rPr>
          <w:rFonts w:hint="eastAsia" w:ascii="宋体" w:hAnsi="宋体" w:eastAsia="宋体" w:cs="Arial Unicode MS"/>
          <w:szCs w:val="21"/>
          <w:lang w:bidi="ar"/>
        </w:rPr>
        <w:t>种</w:t>
      </w:r>
      <w:r>
        <w:rPr>
          <w:rFonts w:hint="eastAsia" w:ascii="宋体" w:hAnsi="宋体" w:eastAsia="宋体" w:cs="Times New Roman"/>
          <w:szCs w:val="21"/>
          <w:lang w:bidi="ar"/>
        </w:rPr>
        <w:t>形式、结构、属性和法则，是</w:t>
      </w:r>
      <w:r>
        <w:rPr>
          <w:rFonts w:hint="eastAsia" w:ascii="宋体" w:hAnsi="宋体" w:eastAsia="宋体" w:cs="Arial Unicode MS"/>
          <w:szCs w:val="21"/>
          <w:lang w:bidi="ar"/>
        </w:rPr>
        <w:t>一种能产生</w:t>
      </w:r>
      <w:r>
        <w:rPr>
          <w:rFonts w:hint="eastAsia" w:ascii="宋体" w:hAnsi="宋体" w:eastAsia="宋体" w:cs="Arial Unicode MS"/>
          <w:spacing w:val="-2"/>
          <w:szCs w:val="21"/>
          <w:lang w:bidi="ar"/>
        </w:rPr>
        <w:t>某</w:t>
      </w:r>
      <w:r>
        <w:rPr>
          <w:rFonts w:hint="eastAsia" w:ascii="宋体" w:hAnsi="宋体" w:eastAsia="宋体" w:cs="Arial Unicode MS"/>
          <w:szCs w:val="21"/>
          <w:lang w:bidi="ar"/>
        </w:rPr>
        <w:t>种美感的</w:t>
      </w:r>
      <w:r>
        <w:rPr>
          <w:rFonts w:hint="eastAsia" w:ascii="宋体" w:hAnsi="宋体" w:eastAsia="宋体" w:cs="Arial Unicode MS"/>
          <w:spacing w:val="-2"/>
          <w:szCs w:val="21"/>
          <w:lang w:bidi="ar"/>
        </w:rPr>
        <w:t>客</w:t>
      </w:r>
      <w:r>
        <w:rPr>
          <w:rFonts w:hint="eastAsia" w:ascii="宋体" w:hAnsi="宋体" w:eastAsia="宋体" w:cs="Arial Unicode MS"/>
          <w:szCs w:val="21"/>
          <w:lang w:bidi="ar"/>
        </w:rPr>
        <w:t>观性质</w:t>
      </w:r>
      <w:r>
        <w:rPr>
          <w:rFonts w:hint="eastAsia" w:ascii="宋体" w:hAnsi="宋体" w:eastAsia="宋体" w:cs="Times New Roman"/>
          <w:szCs w:val="21"/>
          <w:lang w:bidi="ar"/>
        </w:rPr>
        <w:t>，</w:t>
      </w:r>
      <w:r>
        <w:rPr>
          <w:rFonts w:hint="eastAsia" w:ascii="宋体" w:hAnsi="宋体" w:eastAsia="宋体" w:cs="Arial Unicode MS"/>
          <w:szCs w:val="21"/>
          <w:lang w:bidi="ar"/>
        </w:rPr>
        <w:t>因而</w:t>
      </w:r>
      <w:r>
        <w:rPr>
          <w:rFonts w:hint="eastAsia" w:ascii="宋体" w:hAnsi="宋体" w:eastAsia="宋体" w:cs="Arial Unicode MS"/>
          <w:spacing w:val="-2"/>
          <w:szCs w:val="21"/>
          <w:lang w:bidi="ar"/>
        </w:rPr>
        <w:t>经</w:t>
      </w:r>
      <w:r>
        <w:rPr>
          <w:rFonts w:hint="eastAsia" w:ascii="宋体" w:hAnsi="宋体" w:eastAsia="宋体" w:cs="Arial Unicode MS"/>
          <w:szCs w:val="21"/>
          <w:lang w:bidi="ar"/>
        </w:rPr>
        <w:t>济学和美</w:t>
      </w:r>
      <w:r>
        <w:rPr>
          <w:rFonts w:hint="eastAsia" w:ascii="宋体" w:hAnsi="宋体" w:eastAsia="宋体" w:cs="Arial Unicode MS"/>
          <w:spacing w:val="-2"/>
          <w:szCs w:val="21"/>
          <w:lang w:bidi="ar"/>
        </w:rPr>
        <w:t>学</w:t>
      </w:r>
      <w:r>
        <w:rPr>
          <w:rFonts w:hint="eastAsia" w:ascii="宋体" w:hAnsi="宋体" w:eastAsia="宋体" w:cs="Arial Unicode MS"/>
          <w:szCs w:val="21"/>
          <w:lang w:bidi="ar"/>
        </w:rPr>
        <w:t>似乎是两</w:t>
      </w:r>
      <w:r>
        <w:rPr>
          <w:rFonts w:hint="eastAsia" w:ascii="宋体" w:hAnsi="宋体" w:eastAsia="宋体" w:cs="Arial Unicode MS"/>
          <w:spacing w:val="-2"/>
          <w:szCs w:val="21"/>
          <w:lang w:bidi="ar"/>
        </w:rPr>
        <w:t>门</w:t>
      </w:r>
      <w:r>
        <w:rPr>
          <w:rFonts w:hint="eastAsia" w:ascii="宋体" w:hAnsi="宋体" w:eastAsia="宋体" w:cs="Arial Unicode MS"/>
          <w:szCs w:val="21"/>
          <w:lang w:bidi="ar"/>
        </w:rPr>
        <w:t>毫不相干</w:t>
      </w:r>
      <w:r>
        <w:rPr>
          <w:rFonts w:hint="eastAsia" w:ascii="宋体" w:hAnsi="宋体" w:eastAsia="宋体" w:cs="Arial Unicode MS"/>
          <w:spacing w:val="-2"/>
          <w:szCs w:val="21"/>
          <w:lang w:bidi="ar"/>
        </w:rPr>
        <w:t>的</w:t>
      </w:r>
      <w:r>
        <w:rPr>
          <w:rFonts w:hint="eastAsia" w:ascii="宋体" w:hAnsi="宋体" w:eastAsia="宋体" w:cs="Arial Unicode MS"/>
          <w:szCs w:val="21"/>
          <w:lang w:bidi="ar"/>
        </w:rPr>
        <w:t>学科</w:t>
      </w:r>
      <w:r>
        <w:rPr>
          <w:rFonts w:hint="eastAsia" w:ascii="宋体" w:hAnsi="宋体" w:eastAsia="宋体" w:cs="Arial Unicode MS"/>
          <w:spacing w:val="-28"/>
          <w:szCs w:val="21"/>
          <w:lang w:bidi="ar"/>
        </w:rPr>
        <w:t>。</w:t>
      </w:r>
      <w:r>
        <w:rPr>
          <w:rFonts w:hint="eastAsia" w:ascii="宋体" w:hAnsi="宋体" w:eastAsia="宋体" w:cs="Arial Unicode MS"/>
          <w:szCs w:val="21"/>
          <w:lang w:bidi="ar"/>
        </w:rPr>
        <w:t>但</w:t>
      </w:r>
      <w:r>
        <w:rPr>
          <w:rFonts w:hint="eastAsia" w:ascii="宋体" w:hAnsi="宋体" w:eastAsia="宋体" w:cs="Arial Unicode MS"/>
          <w:spacing w:val="-2"/>
          <w:szCs w:val="21"/>
          <w:lang w:bidi="ar"/>
        </w:rPr>
        <w:t>实</w:t>
      </w:r>
      <w:r>
        <w:rPr>
          <w:rFonts w:hint="eastAsia" w:ascii="宋体" w:hAnsi="宋体" w:eastAsia="宋体" w:cs="Arial Unicode MS"/>
          <w:szCs w:val="21"/>
          <w:lang w:bidi="ar"/>
        </w:rPr>
        <w:t>际上</w:t>
      </w:r>
      <w:r>
        <w:rPr>
          <w:rFonts w:hint="eastAsia" w:ascii="宋体" w:hAnsi="宋体" w:eastAsia="宋体" w:cs="Times New Roman"/>
          <w:szCs w:val="21"/>
          <w:lang w:bidi="ar"/>
        </w:rPr>
        <w:t>，</w:t>
      </w:r>
      <w:r>
        <w:rPr>
          <w:rFonts w:hint="eastAsia" w:ascii="宋体" w:hAnsi="宋体" w:eastAsia="宋体" w:cs="Arial Unicode MS"/>
          <w:szCs w:val="21"/>
          <w:lang w:bidi="ar"/>
        </w:rPr>
        <w:t>经济与美有</w:t>
      </w:r>
      <w:r>
        <w:rPr>
          <w:rFonts w:hint="eastAsia" w:ascii="宋体" w:hAnsi="宋体" w:eastAsia="宋体" w:cs="Arial Unicode MS"/>
          <w:spacing w:val="-2"/>
          <w:szCs w:val="21"/>
          <w:lang w:bidi="ar"/>
        </w:rPr>
        <w:t>着</w:t>
      </w:r>
      <w:r>
        <w:rPr>
          <w:rFonts w:hint="eastAsia" w:ascii="宋体" w:hAnsi="宋体" w:eastAsia="宋体" w:cs="Arial Unicode MS"/>
          <w:szCs w:val="21"/>
          <w:lang w:bidi="ar"/>
        </w:rPr>
        <w:t>客观的联系</w:t>
      </w:r>
      <w:r>
        <w:rPr>
          <w:rFonts w:hint="eastAsia" w:ascii="宋体" w:hAnsi="宋体" w:eastAsia="宋体" w:cs="Times New Roman"/>
          <w:spacing w:val="2"/>
          <w:szCs w:val="21"/>
          <w:lang w:bidi="ar"/>
        </w:rPr>
        <w:t>，</w:t>
      </w:r>
      <w:r>
        <w:rPr>
          <w:rFonts w:hint="eastAsia" w:ascii="宋体" w:hAnsi="宋体" w:eastAsia="宋体" w:cs="Arial Unicode MS"/>
          <w:spacing w:val="-2"/>
          <w:szCs w:val="21"/>
          <w:lang w:bidi="ar"/>
        </w:rPr>
        <w:t>把</w:t>
      </w:r>
      <w:r>
        <w:rPr>
          <w:rFonts w:hint="eastAsia" w:ascii="宋体" w:hAnsi="宋体" w:eastAsia="宋体" w:cs="Arial Unicode MS"/>
          <w:szCs w:val="21"/>
          <w:lang w:bidi="ar"/>
        </w:rPr>
        <w:t>两者结合</w:t>
      </w:r>
      <w:r>
        <w:rPr>
          <w:rFonts w:hint="eastAsia" w:ascii="宋体" w:hAnsi="宋体" w:eastAsia="宋体" w:cs="Arial Unicode MS"/>
          <w:spacing w:val="-2"/>
          <w:szCs w:val="21"/>
          <w:lang w:bidi="ar"/>
        </w:rPr>
        <w:t>起</w:t>
      </w:r>
      <w:r>
        <w:rPr>
          <w:rFonts w:hint="eastAsia" w:ascii="宋体" w:hAnsi="宋体" w:eastAsia="宋体" w:cs="Arial Unicode MS"/>
          <w:szCs w:val="21"/>
          <w:lang w:bidi="ar"/>
        </w:rPr>
        <w:t>来</w:t>
      </w:r>
      <w:r>
        <w:rPr>
          <w:rFonts w:hint="eastAsia" w:ascii="宋体" w:hAnsi="宋体" w:eastAsia="宋体" w:cs="Times New Roman"/>
          <w:spacing w:val="2"/>
          <w:szCs w:val="21"/>
          <w:lang w:bidi="ar"/>
        </w:rPr>
        <w:t>，</w:t>
      </w:r>
      <w:r>
        <w:rPr>
          <w:rFonts w:hint="eastAsia" w:ascii="宋体" w:hAnsi="宋体" w:eastAsia="宋体" w:cs="Arial Unicode MS"/>
          <w:spacing w:val="-2"/>
          <w:szCs w:val="21"/>
          <w:lang w:bidi="ar"/>
        </w:rPr>
        <w:t>进</w:t>
      </w:r>
      <w:r>
        <w:rPr>
          <w:rFonts w:hint="eastAsia" w:ascii="宋体" w:hAnsi="宋体" w:eastAsia="宋体" w:cs="Arial Unicode MS"/>
          <w:szCs w:val="21"/>
          <w:lang w:bidi="ar"/>
        </w:rPr>
        <w:t>而经</w:t>
      </w:r>
      <w:r>
        <w:rPr>
          <w:rFonts w:hint="eastAsia" w:ascii="宋体" w:hAnsi="宋体" w:eastAsia="宋体" w:cs="Arial Unicode MS"/>
          <w:spacing w:val="2"/>
          <w:szCs w:val="21"/>
          <w:lang w:bidi="ar"/>
        </w:rPr>
        <w:t>济</w:t>
      </w:r>
      <w:r>
        <w:rPr>
          <w:rFonts w:hint="eastAsia" w:ascii="宋体" w:hAnsi="宋体" w:eastAsia="宋体" w:cs="Arial Unicode MS"/>
          <w:spacing w:val="4"/>
          <w:szCs w:val="21"/>
          <w:lang w:bidi="ar"/>
        </w:rPr>
        <w:t>学研</w:t>
      </w:r>
      <w:r>
        <w:rPr>
          <w:rFonts w:hint="eastAsia" w:ascii="宋体" w:hAnsi="宋体" w:eastAsia="宋体" w:cs="Arial Unicode MS"/>
          <w:spacing w:val="6"/>
          <w:szCs w:val="21"/>
          <w:lang w:bidi="ar"/>
        </w:rPr>
        <w:t>究引</w:t>
      </w:r>
      <w:r>
        <w:rPr>
          <w:rFonts w:hint="eastAsia" w:ascii="宋体" w:hAnsi="宋体" w:eastAsia="宋体" w:cs="Arial Unicode MS"/>
          <w:spacing w:val="4"/>
          <w:szCs w:val="21"/>
          <w:lang w:bidi="ar"/>
        </w:rPr>
        <w:t>进</w:t>
      </w:r>
      <w:r>
        <w:rPr>
          <w:rFonts w:hint="eastAsia" w:ascii="宋体" w:hAnsi="宋体" w:eastAsia="宋体" w:cs="Arial Unicode MS"/>
          <w:spacing w:val="6"/>
          <w:szCs w:val="21"/>
          <w:lang w:bidi="ar"/>
        </w:rPr>
        <w:t>美学的</w:t>
      </w:r>
      <w:r>
        <w:rPr>
          <w:rFonts w:hint="eastAsia" w:ascii="宋体" w:hAnsi="宋体" w:eastAsia="宋体" w:cs="Arial Unicode MS"/>
          <w:spacing w:val="4"/>
          <w:szCs w:val="21"/>
          <w:lang w:bidi="ar"/>
        </w:rPr>
        <w:t>知</w:t>
      </w:r>
      <w:r>
        <w:rPr>
          <w:rFonts w:hint="eastAsia" w:ascii="宋体" w:hAnsi="宋体" w:eastAsia="宋体" w:cs="Arial Unicode MS"/>
          <w:spacing w:val="6"/>
          <w:szCs w:val="21"/>
          <w:lang w:bidi="ar"/>
        </w:rPr>
        <w:t>识和</w:t>
      </w:r>
      <w:r>
        <w:rPr>
          <w:rFonts w:hint="eastAsia" w:ascii="宋体" w:hAnsi="宋体" w:eastAsia="宋体" w:cs="Arial Unicode MS"/>
          <w:spacing w:val="4"/>
          <w:szCs w:val="21"/>
          <w:lang w:bidi="ar"/>
        </w:rPr>
        <w:t>方</w:t>
      </w:r>
      <w:r>
        <w:rPr>
          <w:rFonts w:hint="eastAsia" w:ascii="宋体" w:hAnsi="宋体" w:eastAsia="宋体" w:cs="Arial Unicode MS"/>
          <w:szCs w:val="21"/>
          <w:lang w:bidi="ar"/>
        </w:rPr>
        <w:t>法</w:t>
      </w:r>
      <w:r>
        <w:rPr>
          <w:rFonts w:hint="eastAsia" w:ascii="宋体" w:hAnsi="宋体" w:eastAsia="宋体" w:cs="Times New Roman"/>
          <w:spacing w:val="6"/>
          <w:szCs w:val="21"/>
          <w:lang w:bidi="ar"/>
        </w:rPr>
        <w:t>，</w:t>
      </w:r>
      <w:r>
        <w:rPr>
          <w:rFonts w:hint="eastAsia" w:ascii="宋体" w:hAnsi="宋体" w:eastAsia="宋体" w:cs="Arial Unicode MS"/>
          <w:spacing w:val="6"/>
          <w:szCs w:val="21"/>
          <w:lang w:bidi="ar"/>
        </w:rPr>
        <w:t>甚至建</w:t>
      </w:r>
      <w:r>
        <w:rPr>
          <w:rFonts w:hint="eastAsia" w:ascii="宋体" w:hAnsi="宋体" w:eastAsia="宋体" w:cs="Arial Unicode MS"/>
          <w:spacing w:val="4"/>
          <w:szCs w:val="21"/>
          <w:lang w:bidi="ar"/>
        </w:rPr>
        <w:t>立</w:t>
      </w:r>
      <w:r>
        <w:rPr>
          <w:rFonts w:hint="eastAsia" w:ascii="宋体" w:hAnsi="宋体" w:eastAsia="宋体" w:cs="Arial Unicode MS"/>
          <w:spacing w:val="6"/>
          <w:szCs w:val="21"/>
          <w:lang w:bidi="ar"/>
        </w:rPr>
        <w:t>经</w:t>
      </w:r>
      <w:r>
        <w:rPr>
          <w:rFonts w:hint="eastAsia" w:ascii="宋体" w:hAnsi="宋体" w:eastAsia="宋体" w:cs="Arial Unicode MS"/>
          <w:szCs w:val="21"/>
          <w:lang w:bidi="ar"/>
        </w:rPr>
        <w:t>济</w:t>
      </w:r>
      <w:r>
        <w:rPr>
          <w:rFonts w:hint="eastAsia" w:ascii="宋体" w:hAnsi="宋体" w:eastAsia="宋体" w:cs="Arial Unicode MS"/>
          <w:position w:val="-1"/>
          <w:szCs w:val="21"/>
          <w:lang w:bidi="ar"/>
        </w:rPr>
        <w:t>美学</w:t>
      </w:r>
      <w:r>
        <w:rPr>
          <w:rFonts w:hint="eastAsia" w:ascii="宋体" w:hAnsi="宋体" w:eastAsia="宋体" w:cs="Times New Roman"/>
          <w:position w:val="-1"/>
          <w:szCs w:val="21"/>
          <w:lang w:bidi="ar"/>
        </w:rPr>
        <w:t>，</w:t>
      </w:r>
      <w:r>
        <w:rPr>
          <w:rFonts w:hint="eastAsia" w:ascii="宋体" w:hAnsi="宋体" w:eastAsia="宋体" w:cs="Arial Unicode MS"/>
          <w:position w:val="-1"/>
          <w:szCs w:val="21"/>
          <w:lang w:bidi="ar"/>
        </w:rPr>
        <w:t>都是</w:t>
      </w:r>
      <w:r>
        <w:rPr>
          <w:rFonts w:hint="eastAsia" w:ascii="宋体" w:hAnsi="宋体" w:eastAsia="宋体" w:cs="Arial Unicode MS"/>
          <w:spacing w:val="-2"/>
          <w:position w:val="-1"/>
          <w:szCs w:val="21"/>
          <w:lang w:bidi="ar"/>
        </w:rPr>
        <w:t>既</w:t>
      </w:r>
      <w:r>
        <w:rPr>
          <w:rFonts w:hint="eastAsia" w:ascii="宋体" w:hAnsi="宋体" w:eastAsia="宋体" w:cs="Arial Unicode MS"/>
          <w:position w:val="-1"/>
          <w:szCs w:val="21"/>
          <w:lang w:bidi="ar"/>
        </w:rPr>
        <w:t>有可能性</w:t>
      </w:r>
      <w:r>
        <w:rPr>
          <w:rFonts w:hint="eastAsia" w:ascii="宋体" w:hAnsi="宋体" w:eastAsia="宋体" w:cs="Times New Roman"/>
          <w:position w:val="-1"/>
          <w:szCs w:val="21"/>
          <w:lang w:bidi="ar"/>
        </w:rPr>
        <w:t>，</w:t>
      </w:r>
      <w:r>
        <w:rPr>
          <w:rFonts w:hint="eastAsia" w:ascii="宋体" w:hAnsi="宋体" w:eastAsia="宋体" w:cs="Arial Unicode MS"/>
          <w:position w:val="-1"/>
          <w:szCs w:val="21"/>
          <w:lang w:bidi="ar"/>
        </w:rPr>
        <w:t>也</w:t>
      </w:r>
      <w:r>
        <w:rPr>
          <w:rFonts w:hint="eastAsia" w:ascii="宋体" w:hAnsi="宋体" w:eastAsia="宋体" w:cs="Arial Unicode MS"/>
          <w:spacing w:val="-2"/>
          <w:position w:val="-1"/>
          <w:szCs w:val="21"/>
          <w:lang w:bidi="ar"/>
        </w:rPr>
        <w:t>是</w:t>
      </w:r>
      <w:r>
        <w:rPr>
          <w:rFonts w:hint="eastAsia" w:ascii="宋体" w:hAnsi="宋体" w:eastAsia="宋体" w:cs="Arial Unicode MS"/>
          <w:position w:val="-1"/>
          <w:szCs w:val="21"/>
          <w:lang w:bidi="ar"/>
        </w:rPr>
        <w:t>十分必要的。</w:t>
      </w:r>
    </w:p>
    <w:p w14:paraId="1BE25A74">
      <w:pPr>
        <w:autoSpaceDE w:val="0"/>
        <w:autoSpaceDN w:val="0"/>
        <w:spacing w:before="2" w:line="300" w:lineRule="auto"/>
        <w:ind w:firstLine="432" w:firstLineChars="200"/>
        <w:rPr>
          <w:rFonts w:ascii="宋体" w:hAnsi="宋体" w:eastAsia="宋体" w:cs="Arial Unicode MS"/>
          <w:spacing w:val="-54"/>
          <w:szCs w:val="21"/>
        </w:rPr>
      </w:pPr>
      <w:r>
        <w:rPr>
          <w:rFonts w:hint="eastAsia" w:ascii="宋体" w:hAnsi="宋体" w:eastAsia="宋体" w:cs="Arial Unicode MS"/>
          <w:spacing w:val="-2"/>
          <w:szCs w:val="21"/>
          <w:lang w:bidi="ar"/>
        </w:rPr>
        <w:t>美</w:t>
      </w:r>
      <w:r>
        <w:rPr>
          <w:rFonts w:hint="eastAsia" w:ascii="宋体" w:hAnsi="宋体" w:eastAsia="宋体" w:cs="Arial Unicode MS"/>
          <w:szCs w:val="21"/>
          <w:lang w:bidi="ar"/>
        </w:rPr>
        <w:t>学主要分</w:t>
      </w:r>
      <w:r>
        <w:rPr>
          <w:rFonts w:hint="eastAsia" w:ascii="宋体" w:hAnsi="宋体" w:eastAsia="宋体" w:cs="Arial Unicode MS"/>
          <w:spacing w:val="-2"/>
          <w:szCs w:val="21"/>
          <w:lang w:bidi="ar"/>
        </w:rPr>
        <w:t>为</w:t>
      </w:r>
      <w:r>
        <w:rPr>
          <w:rFonts w:hint="eastAsia" w:ascii="宋体" w:hAnsi="宋体" w:eastAsia="宋体" w:cs="Arial Unicode MS"/>
          <w:szCs w:val="21"/>
          <w:lang w:bidi="ar"/>
        </w:rPr>
        <w:t>基础美</w:t>
      </w:r>
      <w:r>
        <w:rPr>
          <w:rFonts w:hint="eastAsia" w:ascii="宋体" w:hAnsi="宋体" w:eastAsia="宋体" w:cs="Arial Unicode MS"/>
          <w:spacing w:val="-2"/>
          <w:szCs w:val="21"/>
          <w:lang w:bidi="ar"/>
        </w:rPr>
        <w:t>学</w:t>
      </w:r>
      <w:r>
        <w:rPr>
          <w:rFonts w:hint="eastAsia" w:ascii="宋体" w:hAnsi="宋体" w:eastAsia="宋体" w:cs="Arial Unicode MS"/>
          <w:szCs w:val="21"/>
          <w:lang w:bidi="ar"/>
        </w:rPr>
        <w:t>和实用美学</w:t>
      </w:r>
      <w:r>
        <w:rPr>
          <w:rFonts w:hint="eastAsia" w:ascii="宋体" w:hAnsi="宋体" w:eastAsia="宋体" w:cs="Times New Roman"/>
          <w:szCs w:val="21"/>
          <w:lang w:bidi="ar"/>
        </w:rPr>
        <w:t>，</w:t>
      </w:r>
      <w:r>
        <w:rPr>
          <w:rFonts w:hint="eastAsia" w:ascii="宋体" w:hAnsi="宋体" w:eastAsia="宋体" w:cs="Arial Unicode MS"/>
          <w:spacing w:val="2"/>
          <w:szCs w:val="21"/>
          <w:lang w:bidi="ar"/>
        </w:rPr>
        <w:t>经济</w:t>
      </w:r>
      <w:r>
        <w:rPr>
          <w:rFonts w:hint="eastAsia" w:ascii="宋体" w:hAnsi="宋体" w:eastAsia="宋体" w:cs="Arial Unicode MS"/>
          <w:spacing w:val="4"/>
          <w:szCs w:val="21"/>
          <w:lang w:bidi="ar"/>
        </w:rPr>
        <w:t>学也分为</w:t>
      </w:r>
      <w:r>
        <w:rPr>
          <w:rFonts w:hint="eastAsia" w:ascii="宋体" w:hAnsi="宋体" w:eastAsia="宋体" w:cs="Arial Unicode MS"/>
          <w:spacing w:val="6"/>
          <w:szCs w:val="21"/>
          <w:lang w:bidi="ar"/>
        </w:rPr>
        <w:t>理</w:t>
      </w:r>
      <w:r>
        <w:rPr>
          <w:rFonts w:hint="eastAsia" w:ascii="宋体" w:hAnsi="宋体" w:eastAsia="宋体" w:cs="Arial Unicode MS"/>
          <w:szCs w:val="21"/>
          <w:lang w:bidi="ar"/>
        </w:rPr>
        <w:t>论</w:t>
      </w:r>
      <w:r>
        <w:rPr>
          <w:rFonts w:hint="eastAsia" w:ascii="宋体" w:hAnsi="宋体" w:eastAsia="宋体" w:cs="Times New Roman"/>
          <w:position w:val="1"/>
          <w:szCs w:val="21"/>
          <w:lang w:bidi="ar"/>
        </w:rPr>
        <w:t>(</w:t>
      </w:r>
      <w:r>
        <w:rPr>
          <w:rFonts w:hint="eastAsia" w:ascii="宋体" w:hAnsi="宋体" w:eastAsia="宋体" w:cs="Arial Unicode MS"/>
          <w:spacing w:val="6"/>
          <w:szCs w:val="21"/>
          <w:lang w:bidi="ar"/>
        </w:rPr>
        <w:t>基</w:t>
      </w:r>
      <w:r>
        <w:rPr>
          <w:rFonts w:hint="eastAsia" w:ascii="宋体" w:hAnsi="宋体" w:eastAsia="宋体" w:cs="Arial Unicode MS"/>
          <w:spacing w:val="4"/>
          <w:szCs w:val="21"/>
          <w:lang w:bidi="ar"/>
        </w:rPr>
        <w:t>础</w:t>
      </w:r>
      <w:r>
        <w:rPr>
          <w:rFonts w:hint="eastAsia" w:ascii="宋体" w:hAnsi="宋体" w:eastAsia="宋体" w:cs="Times New Roman"/>
          <w:position w:val="1"/>
          <w:szCs w:val="21"/>
          <w:lang w:bidi="ar"/>
        </w:rPr>
        <w:t>)</w:t>
      </w:r>
      <w:r>
        <w:rPr>
          <w:rFonts w:hint="eastAsia" w:ascii="宋体" w:hAnsi="宋体" w:eastAsia="宋体" w:cs="Arial Unicode MS"/>
          <w:spacing w:val="6"/>
          <w:szCs w:val="21"/>
          <w:lang w:bidi="ar"/>
        </w:rPr>
        <w:t>经</w:t>
      </w:r>
      <w:r>
        <w:rPr>
          <w:rFonts w:hint="eastAsia" w:ascii="宋体" w:hAnsi="宋体" w:eastAsia="宋体" w:cs="Arial Unicode MS"/>
          <w:spacing w:val="4"/>
          <w:szCs w:val="21"/>
          <w:lang w:bidi="ar"/>
        </w:rPr>
        <w:t>济</w:t>
      </w:r>
      <w:r>
        <w:rPr>
          <w:rFonts w:hint="eastAsia" w:ascii="宋体" w:hAnsi="宋体" w:eastAsia="宋体" w:cs="Arial Unicode MS"/>
          <w:spacing w:val="6"/>
          <w:szCs w:val="21"/>
          <w:lang w:bidi="ar"/>
        </w:rPr>
        <w:t>学与</w:t>
      </w:r>
      <w:r>
        <w:rPr>
          <w:rFonts w:hint="eastAsia" w:ascii="宋体" w:hAnsi="宋体" w:eastAsia="宋体" w:cs="Arial Unicode MS"/>
          <w:spacing w:val="4"/>
          <w:szCs w:val="21"/>
          <w:lang w:bidi="ar"/>
        </w:rPr>
        <w:t>应</w:t>
      </w:r>
      <w:r>
        <w:rPr>
          <w:rFonts w:hint="eastAsia" w:ascii="宋体" w:hAnsi="宋体" w:eastAsia="宋体" w:cs="Arial Unicode MS"/>
          <w:spacing w:val="6"/>
          <w:szCs w:val="21"/>
          <w:lang w:bidi="ar"/>
        </w:rPr>
        <w:t>用经</w:t>
      </w:r>
      <w:r>
        <w:rPr>
          <w:rFonts w:hint="eastAsia" w:ascii="宋体" w:hAnsi="宋体" w:eastAsia="宋体" w:cs="Arial Unicode MS"/>
          <w:spacing w:val="4"/>
          <w:szCs w:val="21"/>
          <w:lang w:bidi="ar"/>
        </w:rPr>
        <w:t>济</w:t>
      </w:r>
      <w:r>
        <w:rPr>
          <w:rFonts w:hint="eastAsia" w:ascii="宋体" w:hAnsi="宋体" w:eastAsia="宋体" w:cs="Arial Unicode MS"/>
          <w:szCs w:val="21"/>
          <w:lang w:bidi="ar"/>
        </w:rPr>
        <w:t>学</w:t>
      </w:r>
      <w:r>
        <w:rPr>
          <w:rFonts w:hint="eastAsia" w:ascii="宋体" w:hAnsi="宋体" w:eastAsia="宋体" w:cs="Arial Unicode MS"/>
          <w:spacing w:val="-24"/>
          <w:szCs w:val="21"/>
          <w:lang w:bidi="ar"/>
        </w:rPr>
        <w:t>。</w:t>
      </w:r>
      <w:r>
        <w:rPr>
          <w:rFonts w:hint="eastAsia" w:ascii="宋体" w:hAnsi="宋体" w:eastAsia="宋体" w:cs="Arial Unicode MS"/>
          <w:szCs w:val="21"/>
          <w:lang w:bidi="ar"/>
        </w:rPr>
        <w:t>目前</w:t>
      </w:r>
      <w:r>
        <w:rPr>
          <w:rFonts w:hint="eastAsia" w:ascii="宋体" w:hAnsi="宋体" w:eastAsia="宋体" w:cs="Times New Roman"/>
          <w:szCs w:val="21"/>
          <w:lang w:bidi="ar"/>
        </w:rPr>
        <w:t>，</w:t>
      </w:r>
      <w:r>
        <w:rPr>
          <w:rFonts w:hint="eastAsia" w:ascii="宋体" w:hAnsi="宋体" w:eastAsia="宋体" w:cs="Arial Unicode MS"/>
          <w:szCs w:val="21"/>
          <w:lang w:bidi="ar"/>
        </w:rPr>
        <w:t>国内有</w:t>
      </w:r>
      <w:r>
        <w:rPr>
          <w:rFonts w:hint="eastAsia" w:ascii="宋体" w:hAnsi="宋体" w:eastAsia="宋体" w:cs="Arial Unicode MS"/>
          <w:spacing w:val="-2"/>
          <w:szCs w:val="21"/>
          <w:lang w:bidi="ar"/>
        </w:rPr>
        <w:t>的</w:t>
      </w:r>
      <w:r>
        <w:rPr>
          <w:rFonts w:hint="eastAsia" w:ascii="宋体" w:hAnsi="宋体" w:eastAsia="宋体" w:cs="Arial Unicode MS"/>
          <w:szCs w:val="21"/>
          <w:lang w:bidi="ar"/>
        </w:rPr>
        <w:t>学者已</w:t>
      </w:r>
      <w:r>
        <w:rPr>
          <w:rFonts w:hint="eastAsia" w:ascii="宋体" w:hAnsi="宋体" w:eastAsia="宋体" w:cs="Arial Unicode MS"/>
          <w:spacing w:val="-2"/>
          <w:szCs w:val="21"/>
          <w:lang w:bidi="ar"/>
        </w:rPr>
        <w:t>经</w:t>
      </w:r>
      <w:r>
        <w:rPr>
          <w:rFonts w:hint="eastAsia" w:ascii="宋体" w:hAnsi="宋体" w:eastAsia="宋体" w:cs="Arial Unicode MS"/>
          <w:szCs w:val="21"/>
          <w:lang w:bidi="ar"/>
        </w:rPr>
        <w:t>在实用美</w:t>
      </w:r>
      <w:r>
        <w:rPr>
          <w:rFonts w:hint="eastAsia" w:ascii="宋体" w:hAnsi="宋体" w:eastAsia="宋体" w:cs="Arial Unicode MS"/>
          <w:spacing w:val="-2"/>
          <w:szCs w:val="21"/>
          <w:lang w:bidi="ar"/>
        </w:rPr>
        <w:t>学</w:t>
      </w:r>
      <w:r>
        <w:rPr>
          <w:rFonts w:hint="eastAsia" w:ascii="宋体" w:hAnsi="宋体" w:eastAsia="宋体" w:cs="Arial Unicode MS"/>
          <w:szCs w:val="21"/>
          <w:lang w:bidi="ar"/>
        </w:rPr>
        <w:t>和应用经济学</w:t>
      </w:r>
      <w:r>
        <w:rPr>
          <w:rFonts w:hint="eastAsia" w:ascii="宋体" w:hAnsi="宋体" w:eastAsia="宋体" w:cs="Times New Roman"/>
          <w:spacing w:val="6"/>
          <w:szCs w:val="21"/>
          <w:lang w:bidi="ar"/>
        </w:rPr>
        <w:t>，</w:t>
      </w:r>
      <w:r>
        <w:rPr>
          <w:rFonts w:hint="eastAsia" w:ascii="宋体" w:hAnsi="宋体" w:eastAsia="宋体" w:cs="Arial Unicode MS"/>
          <w:spacing w:val="4"/>
          <w:szCs w:val="21"/>
          <w:lang w:bidi="ar"/>
        </w:rPr>
        <w:t>也</w:t>
      </w:r>
      <w:r>
        <w:rPr>
          <w:rFonts w:hint="eastAsia" w:ascii="宋体" w:hAnsi="宋体" w:eastAsia="宋体" w:cs="Arial Unicode MS"/>
          <w:spacing w:val="6"/>
          <w:szCs w:val="21"/>
          <w:lang w:bidi="ar"/>
        </w:rPr>
        <w:t>就是</w:t>
      </w:r>
      <w:r>
        <w:rPr>
          <w:rFonts w:hint="eastAsia" w:ascii="宋体" w:hAnsi="宋体" w:eastAsia="宋体" w:cs="Arial Unicode MS"/>
          <w:spacing w:val="4"/>
          <w:szCs w:val="21"/>
          <w:lang w:bidi="ar"/>
        </w:rPr>
        <w:t>应</w:t>
      </w:r>
      <w:r>
        <w:rPr>
          <w:rFonts w:hint="eastAsia" w:ascii="宋体" w:hAnsi="宋体" w:eastAsia="宋体" w:cs="Arial Unicode MS"/>
          <w:spacing w:val="6"/>
          <w:szCs w:val="21"/>
          <w:lang w:bidi="ar"/>
        </w:rPr>
        <w:t>用经济</w:t>
      </w:r>
      <w:r>
        <w:rPr>
          <w:rFonts w:hint="eastAsia" w:ascii="宋体" w:hAnsi="宋体" w:eastAsia="宋体" w:cs="Arial Unicode MS"/>
          <w:spacing w:val="4"/>
          <w:szCs w:val="21"/>
          <w:lang w:bidi="ar"/>
        </w:rPr>
        <w:t>美</w:t>
      </w:r>
      <w:r>
        <w:rPr>
          <w:rFonts w:hint="eastAsia" w:ascii="宋体" w:hAnsi="宋体" w:eastAsia="宋体" w:cs="Arial Unicode MS"/>
          <w:spacing w:val="6"/>
          <w:szCs w:val="21"/>
          <w:lang w:bidi="ar"/>
        </w:rPr>
        <w:t>学方</w:t>
      </w:r>
      <w:r>
        <w:rPr>
          <w:rFonts w:hint="eastAsia" w:ascii="宋体" w:hAnsi="宋体" w:eastAsia="宋体" w:cs="Arial Unicode MS"/>
          <w:spacing w:val="4"/>
          <w:szCs w:val="21"/>
          <w:lang w:bidi="ar"/>
        </w:rPr>
        <w:t>面</w:t>
      </w:r>
      <w:r>
        <w:rPr>
          <w:rFonts w:hint="eastAsia" w:ascii="宋体" w:hAnsi="宋体" w:eastAsia="宋体" w:cs="Arial Unicode MS"/>
          <w:spacing w:val="6"/>
          <w:szCs w:val="21"/>
          <w:lang w:bidi="ar"/>
        </w:rPr>
        <w:t>作了一</w:t>
      </w:r>
      <w:r>
        <w:rPr>
          <w:rFonts w:hint="eastAsia" w:ascii="宋体" w:hAnsi="宋体" w:eastAsia="宋体" w:cs="Arial Unicode MS"/>
          <w:spacing w:val="4"/>
          <w:szCs w:val="21"/>
          <w:lang w:bidi="ar"/>
        </w:rPr>
        <w:t>些</w:t>
      </w:r>
      <w:r>
        <w:rPr>
          <w:rFonts w:hint="eastAsia" w:ascii="宋体" w:hAnsi="宋体" w:eastAsia="宋体" w:cs="Arial Unicode MS"/>
          <w:spacing w:val="6"/>
          <w:szCs w:val="21"/>
          <w:lang w:bidi="ar"/>
        </w:rPr>
        <w:t>研</w:t>
      </w:r>
      <w:r>
        <w:rPr>
          <w:rFonts w:hint="eastAsia" w:ascii="宋体" w:hAnsi="宋体" w:eastAsia="宋体" w:cs="Arial Unicode MS"/>
          <w:szCs w:val="21"/>
          <w:lang w:bidi="ar"/>
        </w:rPr>
        <w:t>究</w:t>
      </w:r>
      <w:r>
        <w:rPr>
          <w:rFonts w:hint="eastAsia" w:ascii="宋体" w:hAnsi="宋体" w:eastAsia="宋体" w:cs="Times New Roman"/>
          <w:spacing w:val="6"/>
          <w:szCs w:val="21"/>
          <w:lang w:bidi="ar"/>
        </w:rPr>
        <w:t>，</w:t>
      </w:r>
      <w:r>
        <w:rPr>
          <w:rFonts w:hint="eastAsia" w:ascii="宋体" w:hAnsi="宋体" w:eastAsia="宋体" w:cs="Arial Unicode MS"/>
          <w:szCs w:val="21"/>
          <w:lang w:bidi="ar"/>
        </w:rPr>
        <w:t>主要是</w:t>
      </w:r>
      <w:r>
        <w:rPr>
          <w:rFonts w:hint="eastAsia" w:ascii="宋体" w:hAnsi="宋体" w:eastAsia="宋体" w:cs="Arial Unicode MS"/>
          <w:spacing w:val="-2"/>
          <w:szCs w:val="21"/>
          <w:lang w:bidi="ar"/>
        </w:rPr>
        <w:t>从</w:t>
      </w:r>
      <w:r>
        <w:rPr>
          <w:rFonts w:hint="eastAsia" w:ascii="宋体" w:hAnsi="宋体" w:eastAsia="宋体" w:cs="Arial Unicode MS"/>
          <w:szCs w:val="21"/>
          <w:lang w:bidi="ar"/>
        </w:rPr>
        <w:t>美学的角</w:t>
      </w:r>
      <w:r>
        <w:rPr>
          <w:rFonts w:hint="eastAsia" w:ascii="宋体" w:hAnsi="宋体" w:eastAsia="宋体" w:cs="Arial Unicode MS"/>
          <w:spacing w:val="-2"/>
          <w:szCs w:val="21"/>
          <w:lang w:bidi="ar"/>
        </w:rPr>
        <w:t>度</w:t>
      </w:r>
      <w:r>
        <w:rPr>
          <w:rFonts w:hint="eastAsia" w:ascii="宋体" w:hAnsi="宋体" w:eastAsia="宋体" w:cs="Arial Unicode MS"/>
          <w:szCs w:val="21"/>
          <w:lang w:bidi="ar"/>
        </w:rPr>
        <w:t>来探讨</w:t>
      </w:r>
      <w:r>
        <w:rPr>
          <w:rFonts w:hint="eastAsia" w:ascii="宋体" w:hAnsi="宋体" w:eastAsia="宋体" w:cs="Arial Unicode MS"/>
          <w:spacing w:val="-2"/>
          <w:szCs w:val="21"/>
          <w:lang w:bidi="ar"/>
        </w:rPr>
        <w:t>商</w:t>
      </w:r>
      <w:r>
        <w:rPr>
          <w:rFonts w:hint="eastAsia" w:ascii="宋体" w:hAnsi="宋体" w:eastAsia="宋体" w:cs="Arial Unicode MS"/>
          <w:szCs w:val="21"/>
          <w:lang w:bidi="ar"/>
        </w:rPr>
        <w:t>品以及劳</w:t>
      </w:r>
      <w:r>
        <w:rPr>
          <w:rFonts w:hint="eastAsia" w:ascii="宋体" w:hAnsi="宋体" w:eastAsia="宋体" w:cs="Arial Unicode MS"/>
          <w:spacing w:val="-2"/>
          <w:szCs w:val="21"/>
          <w:lang w:bidi="ar"/>
        </w:rPr>
        <w:t>动</w:t>
      </w:r>
      <w:r>
        <w:rPr>
          <w:rFonts w:hint="eastAsia" w:ascii="宋体" w:hAnsi="宋体" w:eastAsia="宋体" w:cs="Arial Unicode MS"/>
          <w:szCs w:val="21"/>
          <w:lang w:bidi="ar"/>
        </w:rPr>
        <w:t>本</w:t>
      </w:r>
      <w:r>
        <w:rPr>
          <w:rFonts w:hint="eastAsia" w:ascii="宋体" w:hAnsi="宋体" w:eastAsia="宋体" w:cs="Arial Unicode MS"/>
          <w:spacing w:val="4"/>
          <w:szCs w:val="21"/>
          <w:lang w:bidi="ar"/>
        </w:rPr>
        <w:t>身的审</w:t>
      </w:r>
      <w:r>
        <w:rPr>
          <w:rFonts w:hint="eastAsia" w:ascii="宋体" w:hAnsi="宋体" w:eastAsia="宋体" w:cs="Arial Unicode MS"/>
          <w:spacing w:val="6"/>
          <w:szCs w:val="21"/>
          <w:lang w:bidi="ar"/>
        </w:rPr>
        <w:t>美问</w:t>
      </w:r>
      <w:r>
        <w:rPr>
          <w:rFonts w:hint="eastAsia" w:ascii="宋体" w:hAnsi="宋体" w:eastAsia="宋体" w:cs="Arial Unicode MS"/>
          <w:szCs w:val="21"/>
          <w:lang w:bidi="ar"/>
        </w:rPr>
        <w:t>题</w:t>
      </w:r>
      <w:r>
        <w:rPr>
          <w:rFonts w:hint="eastAsia" w:ascii="宋体" w:hAnsi="宋体" w:eastAsia="宋体" w:cs="Arial Unicode MS"/>
          <w:spacing w:val="-24"/>
          <w:szCs w:val="21"/>
          <w:lang w:bidi="ar"/>
        </w:rPr>
        <w:t>。</w:t>
      </w:r>
      <w:r>
        <w:rPr>
          <w:rFonts w:hint="eastAsia" w:ascii="宋体" w:hAnsi="宋体" w:eastAsia="宋体" w:cs="Arial Unicode MS"/>
          <w:spacing w:val="6"/>
          <w:szCs w:val="21"/>
          <w:lang w:bidi="ar"/>
        </w:rPr>
        <w:t>例</w:t>
      </w:r>
      <w:r>
        <w:rPr>
          <w:rFonts w:hint="eastAsia" w:ascii="宋体" w:hAnsi="宋体" w:eastAsia="宋体" w:cs="Arial Unicode MS"/>
          <w:szCs w:val="21"/>
          <w:lang w:bidi="ar"/>
        </w:rPr>
        <w:t>如</w:t>
      </w:r>
      <w:r>
        <w:rPr>
          <w:rFonts w:hint="eastAsia" w:ascii="宋体" w:hAnsi="宋体" w:eastAsia="宋体" w:cs="Times New Roman"/>
          <w:spacing w:val="6"/>
          <w:szCs w:val="21"/>
          <w:lang w:bidi="ar"/>
        </w:rPr>
        <w:t>，</w:t>
      </w:r>
      <w:r>
        <w:rPr>
          <w:rFonts w:hint="eastAsia" w:ascii="宋体" w:hAnsi="宋体" w:eastAsia="宋体" w:cs="Arial Unicode MS"/>
          <w:spacing w:val="6"/>
          <w:szCs w:val="21"/>
          <w:lang w:bidi="ar"/>
        </w:rPr>
        <w:t>商品</w:t>
      </w:r>
      <w:r>
        <w:rPr>
          <w:rFonts w:hint="eastAsia" w:ascii="宋体" w:hAnsi="宋体" w:eastAsia="宋体" w:cs="Arial Unicode MS"/>
          <w:spacing w:val="4"/>
          <w:szCs w:val="21"/>
          <w:lang w:bidi="ar"/>
        </w:rPr>
        <w:t>美</w:t>
      </w:r>
      <w:r>
        <w:rPr>
          <w:rFonts w:hint="eastAsia" w:ascii="宋体" w:hAnsi="宋体" w:eastAsia="宋体" w:cs="Arial Unicode MS"/>
          <w:spacing w:val="6"/>
          <w:szCs w:val="21"/>
          <w:lang w:bidi="ar"/>
        </w:rPr>
        <w:t>学就</w:t>
      </w:r>
      <w:r>
        <w:rPr>
          <w:rFonts w:hint="eastAsia" w:ascii="宋体" w:hAnsi="宋体" w:eastAsia="宋体" w:cs="Arial Unicode MS"/>
          <w:spacing w:val="4"/>
          <w:szCs w:val="21"/>
          <w:lang w:bidi="ar"/>
        </w:rPr>
        <w:t>是</w:t>
      </w:r>
      <w:r>
        <w:rPr>
          <w:rFonts w:hint="eastAsia" w:ascii="宋体" w:hAnsi="宋体" w:eastAsia="宋体" w:cs="Arial Unicode MS"/>
          <w:spacing w:val="6"/>
          <w:szCs w:val="21"/>
          <w:lang w:bidi="ar"/>
        </w:rPr>
        <w:t>研究商</w:t>
      </w:r>
      <w:r>
        <w:rPr>
          <w:rFonts w:hint="eastAsia" w:ascii="宋体" w:hAnsi="宋体" w:eastAsia="宋体" w:cs="Arial Unicode MS"/>
          <w:spacing w:val="4"/>
          <w:szCs w:val="21"/>
          <w:lang w:bidi="ar"/>
        </w:rPr>
        <w:t>品</w:t>
      </w:r>
      <w:r>
        <w:rPr>
          <w:rFonts w:hint="eastAsia" w:ascii="宋体" w:hAnsi="宋体" w:eastAsia="宋体" w:cs="Arial Unicode MS"/>
          <w:spacing w:val="6"/>
          <w:szCs w:val="21"/>
          <w:lang w:bidi="ar"/>
        </w:rPr>
        <w:t>美</w:t>
      </w:r>
      <w:r>
        <w:rPr>
          <w:rFonts w:hint="eastAsia" w:ascii="宋体" w:hAnsi="宋体" w:eastAsia="宋体" w:cs="Arial Unicode MS"/>
          <w:szCs w:val="21"/>
          <w:lang w:bidi="ar"/>
        </w:rPr>
        <w:t>在交换</w:t>
      </w:r>
      <w:r>
        <w:rPr>
          <w:rFonts w:hint="eastAsia" w:ascii="宋体" w:hAnsi="宋体" w:eastAsia="宋体" w:cs="Arial Unicode MS"/>
          <w:spacing w:val="-2"/>
          <w:szCs w:val="21"/>
          <w:lang w:bidi="ar"/>
        </w:rPr>
        <w:t>价</w:t>
      </w:r>
      <w:r>
        <w:rPr>
          <w:rFonts w:hint="eastAsia" w:ascii="宋体" w:hAnsi="宋体" w:eastAsia="宋体" w:cs="Arial Unicode MS"/>
          <w:szCs w:val="21"/>
          <w:lang w:bidi="ar"/>
        </w:rPr>
        <w:t>值上具有</w:t>
      </w:r>
      <w:r>
        <w:rPr>
          <w:rFonts w:hint="eastAsia" w:ascii="宋体" w:hAnsi="宋体" w:eastAsia="宋体" w:cs="Arial Unicode MS"/>
          <w:spacing w:val="-2"/>
          <w:szCs w:val="21"/>
          <w:lang w:bidi="ar"/>
        </w:rPr>
        <w:t>的</w:t>
      </w:r>
      <w:r>
        <w:rPr>
          <w:rFonts w:hint="eastAsia" w:ascii="宋体" w:hAnsi="宋体" w:eastAsia="宋体" w:cs="Arial Unicode MS"/>
          <w:szCs w:val="21"/>
          <w:lang w:bidi="ar"/>
        </w:rPr>
        <w:t>作用和</w:t>
      </w:r>
      <w:r>
        <w:rPr>
          <w:rFonts w:hint="eastAsia" w:ascii="宋体" w:hAnsi="宋体" w:eastAsia="宋体" w:cs="Arial Unicode MS"/>
          <w:spacing w:val="-2"/>
          <w:szCs w:val="21"/>
          <w:lang w:bidi="ar"/>
        </w:rPr>
        <w:t>消</w:t>
      </w:r>
      <w:r>
        <w:rPr>
          <w:rFonts w:hint="eastAsia" w:ascii="宋体" w:hAnsi="宋体" w:eastAsia="宋体" w:cs="Arial Unicode MS"/>
          <w:szCs w:val="21"/>
          <w:lang w:bidi="ar"/>
        </w:rPr>
        <w:t>费行为中</w:t>
      </w:r>
      <w:r>
        <w:rPr>
          <w:rFonts w:hint="eastAsia" w:ascii="宋体" w:hAnsi="宋体" w:eastAsia="宋体" w:cs="Arial Unicode MS"/>
          <w:spacing w:val="-2"/>
          <w:szCs w:val="21"/>
          <w:lang w:bidi="ar"/>
        </w:rPr>
        <w:t>所</w:t>
      </w:r>
      <w:r>
        <w:rPr>
          <w:rFonts w:hint="eastAsia" w:ascii="宋体" w:hAnsi="宋体" w:eastAsia="宋体" w:cs="Arial Unicode MS"/>
          <w:szCs w:val="21"/>
          <w:lang w:bidi="ar"/>
        </w:rPr>
        <w:t>处的</w:t>
      </w:r>
      <w:r>
        <w:rPr>
          <w:rFonts w:hint="eastAsia" w:ascii="宋体" w:hAnsi="宋体" w:eastAsia="宋体" w:cs="Arial Unicode MS"/>
          <w:spacing w:val="4"/>
          <w:szCs w:val="21"/>
          <w:lang w:bidi="ar"/>
        </w:rPr>
        <w:t>地位</w:t>
      </w:r>
      <w:r>
        <w:rPr>
          <w:rFonts w:hint="eastAsia" w:ascii="宋体" w:hAnsi="宋体" w:eastAsia="宋体" w:cs="Arial Unicode MS"/>
          <w:spacing w:val="2"/>
          <w:szCs w:val="21"/>
          <w:lang w:bidi="ar"/>
        </w:rPr>
        <w:t>的</w:t>
      </w:r>
      <w:r>
        <w:rPr>
          <w:rFonts w:hint="eastAsia" w:ascii="宋体" w:hAnsi="宋体" w:eastAsia="宋体" w:cs="Arial Unicode MS"/>
          <w:spacing w:val="6"/>
          <w:szCs w:val="21"/>
          <w:lang w:bidi="ar"/>
        </w:rPr>
        <w:t>科</w:t>
      </w:r>
      <w:r>
        <w:rPr>
          <w:rFonts w:hint="eastAsia" w:ascii="宋体" w:hAnsi="宋体" w:eastAsia="宋体" w:cs="Arial Unicode MS"/>
          <w:szCs w:val="21"/>
          <w:lang w:bidi="ar"/>
        </w:rPr>
        <w:t>学</w:t>
      </w:r>
      <w:r>
        <w:rPr>
          <w:rFonts w:hint="eastAsia" w:ascii="宋体" w:hAnsi="宋体" w:eastAsia="宋体" w:cs="Times New Roman"/>
          <w:spacing w:val="6"/>
          <w:szCs w:val="21"/>
          <w:lang w:bidi="ar"/>
        </w:rPr>
        <w:t>，</w:t>
      </w:r>
      <w:r>
        <w:rPr>
          <w:rFonts w:hint="eastAsia" w:ascii="宋体" w:hAnsi="宋体" w:eastAsia="宋体" w:cs="Arial Unicode MS"/>
          <w:spacing w:val="6"/>
          <w:szCs w:val="21"/>
          <w:lang w:bidi="ar"/>
        </w:rPr>
        <w:t>是研</w:t>
      </w:r>
      <w:r>
        <w:rPr>
          <w:rFonts w:hint="eastAsia" w:ascii="宋体" w:hAnsi="宋体" w:eastAsia="宋体" w:cs="Arial Unicode MS"/>
          <w:spacing w:val="4"/>
          <w:szCs w:val="21"/>
          <w:lang w:bidi="ar"/>
        </w:rPr>
        <w:t>究</w:t>
      </w:r>
      <w:r>
        <w:rPr>
          <w:rFonts w:hint="eastAsia" w:ascii="宋体" w:hAnsi="宋体" w:eastAsia="宋体" w:cs="Arial Unicode MS"/>
          <w:spacing w:val="6"/>
          <w:szCs w:val="21"/>
          <w:lang w:bidi="ar"/>
        </w:rPr>
        <w:t>商品</w:t>
      </w:r>
      <w:r>
        <w:rPr>
          <w:rFonts w:hint="eastAsia" w:ascii="宋体" w:hAnsi="宋体" w:eastAsia="宋体" w:cs="Arial Unicode MS"/>
          <w:spacing w:val="4"/>
          <w:szCs w:val="21"/>
          <w:lang w:bidi="ar"/>
        </w:rPr>
        <w:t>美</w:t>
      </w:r>
      <w:r>
        <w:rPr>
          <w:rFonts w:hint="eastAsia" w:ascii="宋体" w:hAnsi="宋体" w:eastAsia="宋体" w:cs="Arial Unicode MS"/>
          <w:spacing w:val="6"/>
          <w:szCs w:val="21"/>
          <w:lang w:bidi="ar"/>
        </w:rPr>
        <w:t>和商</w:t>
      </w:r>
      <w:r>
        <w:rPr>
          <w:rFonts w:hint="eastAsia" w:ascii="宋体" w:hAnsi="宋体" w:eastAsia="宋体" w:cs="Arial Unicode MS"/>
          <w:spacing w:val="4"/>
          <w:szCs w:val="21"/>
          <w:lang w:bidi="ar"/>
        </w:rPr>
        <w:t>品</w:t>
      </w:r>
      <w:r>
        <w:rPr>
          <w:rFonts w:hint="eastAsia" w:ascii="宋体" w:hAnsi="宋体" w:eastAsia="宋体" w:cs="Arial Unicode MS"/>
          <w:spacing w:val="6"/>
          <w:szCs w:val="21"/>
          <w:lang w:bidi="ar"/>
        </w:rPr>
        <w:t>美的审</w:t>
      </w:r>
      <w:r>
        <w:rPr>
          <w:rFonts w:hint="eastAsia" w:ascii="宋体" w:hAnsi="宋体" w:eastAsia="宋体" w:cs="Arial Unicode MS"/>
          <w:spacing w:val="4"/>
          <w:szCs w:val="21"/>
          <w:lang w:bidi="ar"/>
        </w:rPr>
        <w:t>美</w:t>
      </w:r>
      <w:r>
        <w:rPr>
          <w:rFonts w:hint="eastAsia" w:ascii="宋体" w:hAnsi="宋体" w:eastAsia="宋体" w:cs="Arial Unicode MS"/>
          <w:spacing w:val="6"/>
          <w:szCs w:val="21"/>
          <w:lang w:bidi="ar"/>
        </w:rPr>
        <w:t>规</w:t>
      </w:r>
      <w:r>
        <w:rPr>
          <w:rFonts w:hint="eastAsia" w:ascii="宋体" w:hAnsi="宋体" w:eastAsia="宋体" w:cs="Arial Unicode MS"/>
          <w:szCs w:val="21"/>
          <w:lang w:bidi="ar"/>
        </w:rPr>
        <w:t>律的科学</w:t>
      </w:r>
      <w:r>
        <w:rPr>
          <w:rFonts w:hint="eastAsia" w:ascii="宋体" w:hAnsi="宋体" w:eastAsia="宋体" w:cs="Arial Unicode MS"/>
          <w:spacing w:val="-28"/>
          <w:szCs w:val="21"/>
          <w:lang w:bidi="ar"/>
        </w:rPr>
        <w:t>。</w:t>
      </w:r>
      <w:r>
        <w:rPr>
          <w:rFonts w:hint="eastAsia" w:ascii="宋体" w:hAnsi="宋体" w:eastAsia="宋体" w:cs="Arial Unicode MS"/>
          <w:szCs w:val="21"/>
          <w:lang w:bidi="ar"/>
        </w:rPr>
        <w:t>它主要</w:t>
      </w:r>
      <w:r>
        <w:rPr>
          <w:rFonts w:hint="eastAsia" w:ascii="宋体" w:hAnsi="宋体" w:eastAsia="宋体" w:cs="Arial Unicode MS"/>
          <w:spacing w:val="-2"/>
          <w:szCs w:val="21"/>
          <w:lang w:bidi="ar"/>
        </w:rPr>
        <w:t>是</w:t>
      </w:r>
      <w:r>
        <w:rPr>
          <w:rFonts w:hint="eastAsia" w:ascii="宋体" w:hAnsi="宋体" w:eastAsia="宋体" w:cs="Arial Unicode MS"/>
          <w:szCs w:val="21"/>
          <w:lang w:bidi="ar"/>
        </w:rPr>
        <w:t>商品和</w:t>
      </w:r>
      <w:r>
        <w:rPr>
          <w:rFonts w:hint="eastAsia" w:ascii="宋体" w:hAnsi="宋体" w:eastAsia="宋体" w:cs="Arial Unicode MS"/>
          <w:spacing w:val="-2"/>
          <w:szCs w:val="21"/>
          <w:lang w:bidi="ar"/>
        </w:rPr>
        <w:t>人</w:t>
      </w:r>
      <w:r>
        <w:rPr>
          <w:rFonts w:hint="eastAsia" w:ascii="宋体" w:hAnsi="宋体" w:eastAsia="宋体" w:cs="Arial Unicode MS"/>
          <w:szCs w:val="21"/>
          <w:lang w:bidi="ar"/>
        </w:rPr>
        <w:t>们日常生</w:t>
      </w:r>
      <w:r>
        <w:rPr>
          <w:rFonts w:hint="eastAsia" w:ascii="宋体" w:hAnsi="宋体" w:eastAsia="宋体" w:cs="Arial Unicode MS"/>
          <w:spacing w:val="-2"/>
          <w:szCs w:val="21"/>
          <w:lang w:bidi="ar"/>
        </w:rPr>
        <w:t>活</w:t>
      </w:r>
      <w:r>
        <w:rPr>
          <w:rFonts w:hint="eastAsia" w:ascii="宋体" w:hAnsi="宋体" w:eastAsia="宋体" w:cs="Arial Unicode MS"/>
          <w:szCs w:val="21"/>
          <w:lang w:bidi="ar"/>
        </w:rPr>
        <w:t>的</w:t>
      </w:r>
      <w:r>
        <w:rPr>
          <w:rFonts w:hint="eastAsia" w:ascii="宋体" w:hAnsi="宋体" w:eastAsia="宋体" w:cs="Arial Unicode MS"/>
          <w:position w:val="-1"/>
          <w:szCs w:val="21"/>
          <w:lang w:bidi="ar"/>
        </w:rPr>
        <w:t>审美关系，研究商品的造型、色彩、装饰、结构、广告、商标等的审美问题。再如劳动美学，是研究人类生产劳动中审美规律的学科，劳动</w:t>
      </w:r>
      <w:r>
        <w:rPr>
          <w:rFonts w:hint="eastAsia" w:ascii="宋体" w:hAnsi="宋体" w:eastAsia="宋体" w:cs="Arial Unicode MS"/>
          <w:szCs w:val="21"/>
          <w:lang w:bidi="ar"/>
        </w:rPr>
        <w:t>美</w:t>
      </w:r>
      <w:r>
        <w:rPr>
          <w:rFonts w:hint="eastAsia" w:ascii="宋体" w:hAnsi="宋体" w:eastAsia="宋体" w:cs="Arial Unicode MS"/>
          <w:spacing w:val="-2"/>
          <w:szCs w:val="21"/>
          <w:lang w:bidi="ar"/>
        </w:rPr>
        <w:t>表</w:t>
      </w:r>
      <w:r>
        <w:rPr>
          <w:rFonts w:hint="eastAsia" w:ascii="宋体" w:hAnsi="宋体" w:eastAsia="宋体" w:cs="Arial Unicode MS"/>
          <w:szCs w:val="21"/>
          <w:lang w:bidi="ar"/>
        </w:rPr>
        <w:t>现在劳动主</w:t>
      </w:r>
      <w:r>
        <w:rPr>
          <w:rFonts w:hint="eastAsia" w:ascii="宋体" w:hAnsi="宋体" w:eastAsia="宋体" w:cs="Arial Unicode MS"/>
          <w:spacing w:val="-2"/>
          <w:szCs w:val="21"/>
          <w:lang w:bidi="ar"/>
        </w:rPr>
        <w:t>体</w:t>
      </w:r>
      <w:r>
        <w:rPr>
          <w:rFonts w:hint="eastAsia" w:ascii="宋体" w:hAnsi="宋体" w:eastAsia="宋体" w:cs="Arial Unicode MS"/>
          <w:szCs w:val="21"/>
          <w:lang w:bidi="ar"/>
        </w:rPr>
        <w:t>美、劳动工具美、劳动环境</w:t>
      </w:r>
      <w:r>
        <w:rPr>
          <w:rFonts w:hint="eastAsia" w:ascii="宋体" w:hAnsi="宋体" w:eastAsia="宋体" w:cs="Arial Unicode MS"/>
          <w:position w:val="-1"/>
          <w:szCs w:val="21"/>
          <w:lang w:bidi="ar"/>
        </w:rPr>
        <w:t>美、劳动</w:t>
      </w:r>
      <w:r>
        <w:rPr>
          <w:rFonts w:hint="eastAsia" w:ascii="宋体" w:hAnsi="宋体" w:eastAsia="宋体" w:cs="Arial Unicode MS"/>
          <w:szCs w:val="21"/>
          <w:lang w:bidi="ar"/>
        </w:rPr>
        <w:t>组</w:t>
      </w:r>
      <w:r>
        <w:rPr>
          <w:rFonts w:hint="eastAsia" w:ascii="宋体" w:hAnsi="宋体" w:eastAsia="宋体" w:cs="Arial Unicode MS"/>
          <w:spacing w:val="-2"/>
          <w:szCs w:val="21"/>
          <w:lang w:bidi="ar"/>
        </w:rPr>
        <w:t>织</w:t>
      </w:r>
      <w:r>
        <w:rPr>
          <w:rFonts w:hint="eastAsia" w:ascii="宋体" w:hAnsi="宋体" w:eastAsia="宋体" w:cs="Arial Unicode MS"/>
          <w:szCs w:val="21"/>
          <w:lang w:bidi="ar"/>
        </w:rPr>
        <w:t>美等各个</w:t>
      </w:r>
      <w:r>
        <w:rPr>
          <w:rFonts w:hint="eastAsia" w:ascii="宋体" w:hAnsi="宋体" w:eastAsia="宋体" w:cs="Arial Unicode MS"/>
          <w:spacing w:val="-2"/>
          <w:szCs w:val="21"/>
          <w:lang w:bidi="ar"/>
        </w:rPr>
        <w:t>方</w:t>
      </w:r>
      <w:r>
        <w:rPr>
          <w:rFonts w:hint="eastAsia" w:ascii="宋体" w:hAnsi="宋体" w:eastAsia="宋体" w:cs="Arial Unicode MS"/>
          <w:szCs w:val="21"/>
          <w:lang w:bidi="ar"/>
        </w:rPr>
        <w:t>面</w:t>
      </w:r>
      <w:r>
        <w:rPr>
          <w:rFonts w:hint="eastAsia" w:ascii="宋体" w:hAnsi="宋体" w:eastAsia="宋体" w:cs="Arial Unicode MS"/>
          <w:spacing w:val="-28"/>
          <w:szCs w:val="21"/>
          <w:lang w:bidi="ar"/>
        </w:rPr>
        <w:t>。</w:t>
      </w:r>
      <w:r>
        <w:rPr>
          <w:rFonts w:hint="eastAsia" w:ascii="宋体" w:hAnsi="宋体" w:eastAsia="宋体" w:cs="Arial Unicode MS"/>
          <w:szCs w:val="21"/>
          <w:lang w:bidi="ar"/>
        </w:rPr>
        <w:t>可以说</w:t>
      </w:r>
      <w:r>
        <w:rPr>
          <w:rFonts w:hint="eastAsia" w:ascii="宋体" w:hAnsi="宋体" w:eastAsia="宋体" w:cs="Times New Roman"/>
          <w:szCs w:val="21"/>
          <w:lang w:bidi="ar"/>
        </w:rPr>
        <w:t>，</w:t>
      </w:r>
      <w:r>
        <w:rPr>
          <w:rFonts w:hint="eastAsia" w:ascii="宋体" w:hAnsi="宋体" w:eastAsia="宋体" w:cs="Arial Unicode MS"/>
          <w:szCs w:val="21"/>
          <w:lang w:bidi="ar"/>
        </w:rPr>
        <w:t>这</w:t>
      </w:r>
      <w:r>
        <w:rPr>
          <w:rFonts w:hint="eastAsia" w:ascii="宋体" w:hAnsi="宋体" w:eastAsia="宋体" w:cs="Arial Unicode MS"/>
          <w:spacing w:val="-2"/>
          <w:szCs w:val="21"/>
          <w:lang w:bidi="ar"/>
        </w:rPr>
        <w:t>些</w:t>
      </w:r>
      <w:r>
        <w:rPr>
          <w:rFonts w:hint="eastAsia" w:ascii="宋体" w:hAnsi="宋体" w:eastAsia="宋体" w:cs="Arial Unicode MS"/>
          <w:szCs w:val="21"/>
          <w:lang w:bidi="ar"/>
        </w:rPr>
        <w:t>将实用美</w:t>
      </w:r>
      <w:r>
        <w:rPr>
          <w:rFonts w:hint="eastAsia" w:ascii="宋体" w:hAnsi="宋体" w:eastAsia="宋体" w:cs="Arial Unicode MS"/>
          <w:spacing w:val="-2"/>
          <w:szCs w:val="21"/>
          <w:lang w:bidi="ar"/>
        </w:rPr>
        <w:t>学</w:t>
      </w:r>
      <w:r>
        <w:rPr>
          <w:rFonts w:hint="eastAsia" w:ascii="宋体" w:hAnsi="宋体" w:eastAsia="宋体" w:cs="Arial Unicode MS"/>
          <w:szCs w:val="21"/>
          <w:lang w:bidi="ar"/>
        </w:rPr>
        <w:t>和应用经济</w:t>
      </w:r>
      <w:r>
        <w:rPr>
          <w:rFonts w:hint="eastAsia" w:ascii="宋体" w:hAnsi="宋体" w:eastAsia="宋体" w:cs="Arial Unicode MS"/>
          <w:spacing w:val="-2"/>
          <w:szCs w:val="21"/>
          <w:lang w:bidi="ar"/>
        </w:rPr>
        <w:t>学</w:t>
      </w:r>
      <w:r>
        <w:rPr>
          <w:rFonts w:hint="eastAsia" w:ascii="宋体" w:hAnsi="宋体" w:eastAsia="宋体" w:cs="Arial Unicode MS"/>
          <w:szCs w:val="21"/>
          <w:lang w:bidi="ar"/>
        </w:rPr>
        <w:t>相结合的</w:t>
      </w:r>
      <w:r>
        <w:rPr>
          <w:rFonts w:hint="eastAsia" w:ascii="宋体" w:hAnsi="宋体" w:eastAsia="宋体" w:cs="Arial Unicode MS"/>
          <w:spacing w:val="-2"/>
          <w:szCs w:val="21"/>
          <w:lang w:bidi="ar"/>
        </w:rPr>
        <w:t>学</w:t>
      </w:r>
      <w:r>
        <w:rPr>
          <w:rFonts w:hint="eastAsia" w:ascii="宋体" w:hAnsi="宋体" w:eastAsia="宋体" w:cs="Arial Unicode MS"/>
          <w:szCs w:val="21"/>
          <w:lang w:bidi="ar"/>
        </w:rPr>
        <w:t>科的研究</w:t>
      </w:r>
      <w:r>
        <w:rPr>
          <w:rFonts w:hint="eastAsia" w:ascii="宋体" w:hAnsi="宋体" w:eastAsia="宋体" w:cs="Times New Roman"/>
          <w:szCs w:val="21"/>
          <w:lang w:bidi="ar"/>
        </w:rPr>
        <w:t>，</w:t>
      </w:r>
      <w:r>
        <w:rPr>
          <w:rFonts w:hint="eastAsia" w:ascii="宋体" w:hAnsi="宋体" w:eastAsia="宋体" w:cs="Arial Unicode MS"/>
          <w:szCs w:val="21"/>
          <w:lang w:bidi="ar"/>
        </w:rPr>
        <w:t>还</w:t>
      </w:r>
      <w:r>
        <w:rPr>
          <w:rFonts w:hint="eastAsia" w:ascii="宋体" w:hAnsi="宋体" w:eastAsia="宋体" w:cs="Arial Unicode MS"/>
          <w:spacing w:val="-2"/>
          <w:szCs w:val="21"/>
          <w:lang w:bidi="ar"/>
        </w:rPr>
        <w:t>只</w:t>
      </w:r>
      <w:r>
        <w:rPr>
          <w:rFonts w:hint="eastAsia" w:ascii="宋体" w:hAnsi="宋体" w:eastAsia="宋体" w:cs="Arial Unicode MS"/>
          <w:szCs w:val="21"/>
          <w:lang w:bidi="ar"/>
        </w:rPr>
        <w:t>是局限于</w:t>
      </w:r>
      <w:r>
        <w:rPr>
          <w:rFonts w:hint="eastAsia" w:ascii="宋体" w:hAnsi="宋体" w:eastAsia="宋体" w:cs="Arial Unicode MS"/>
          <w:spacing w:val="2"/>
          <w:szCs w:val="21"/>
          <w:lang w:bidi="ar"/>
        </w:rPr>
        <w:t>经</w:t>
      </w:r>
      <w:r>
        <w:rPr>
          <w:rFonts w:hint="eastAsia" w:ascii="宋体" w:hAnsi="宋体" w:eastAsia="宋体" w:cs="Arial Unicode MS"/>
          <w:spacing w:val="4"/>
          <w:szCs w:val="21"/>
          <w:lang w:bidi="ar"/>
        </w:rPr>
        <w:t>济</w:t>
      </w:r>
      <w:r>
        <w:rPr>
          <w:rFonts w:hint="eastAsia" w:ascii="宋体" w:hAnsi="宋体" w:eastAsia="宋体" w:cs="Arial Unicode MS"/>
          <w:spacing w:val="6"/>
          <w:szCs w:val="21"/>
          <w:lang w:bidi="ar"/>
        </w:rPr>
        <w:t>活动</w:t>
      </w:r>
      <w:r>
        <w:rPr>
          <w:rFonts w:hint="eastAsia" w:ascii="宋体" w:hAnsi="宋体" w:eastAsia="宋体" w:cs="Arial Unicode MS"/>
          <w:spacing w:val="4"/>
          <w:szCs w:val="21"/>
          <w:lang w:bidi="ar"/>
        </w:rPr>
        <w:t>的</w:t>
      </w:r>
      <w:r>
        <w:rPr>
          <w:rFonts w:hint="eastAsia" w:ascii="宋体" w:hAnsi="宋体" w:eastAsia="宋体" w:cs="Arial Unicode MS"/>
          <w:spacing w:val="6"/>
          <w:szCs w:val="21"/>
          <w:lang w:bidi="ar"/>
        </w:rPr>
        <w:t>某些</w:t>
      </w:r>
      <w:r>
        <w:rPr>
          <w:rFonts w:hint="eastAsia" w:ascii="宋体" w:hAnsi="宋体" w:eastAsia="宋体" w:cs="Arial Unicode MS"/>
          <w:spacing w:val="4"/>
          <w:szCs w:val="21"/>
          <w:lang w:bidi="ar"/>
        </w:rPr>
        <w:t>侧</w:t>
      </w:r>
      <w:r>
        <w:rPr>
          <w:rFonts w:hint="eastAsia" w:ascii="宋体" w:hAnsi="宋体" w:eastAsia="宋体" w:cs="Arial Unicode MS"/>
          <w:spacing w:val="6"/>
          <w:szCs w:val="21"/>
          <w:lang w:bidi="ar"/>
        </w:rPr>
        <w:t>面与表</w:t>
      </w:r>
      <w:r>
        <w:rPr>
          <w:rFonts w:hint="eastAsia" w:ascii="宋体" w:hAnsi="宋体" w:eastAsia="宋体" w:cs="Arial Unicode MS"/>
          <w:spacing w:val="4"/>
          <w:szCs w:val="21"/>
          <w:lang w:bidi="ar"/>
        </w:rPr>
        <w:t>象</w:t>
      </w:r>
      <w:r>
        <w:rPr>
          <w:rFonts w:hint="eastAsia" w:ascii="宋体" w:hAnsi="宋体" w:eastAsia="宋体" w:cs="Arial Unicode MS"/>
          <w:spacing w:val="6"/>
          <w:szCs w:val="21"/>
          <w:lang w:bidi="ar"/>
        </w:rPr>
        <w:t>层</w:t>
      </w:r>
      <w:r>
        <w:rPr>
          <w:rFonts w:hint="eastAsia" w:ascii="宋体" w:hAnsi="宋体" w:eastAsia="宋体" w:cs="Arial Unicode MS"/>
          <w:szCs w:val="21"/>
          <w:lang w:bidi="ar"/>
        </w:rPr>
        <w:t>次</w:t>
      </w:r>
      <w:r>
        <w:rPr>
          <w:rFonts w:hint="eastAsia" w:ascii="宋体" w:hAnsi="宋体" w:eastAsia="宋体" w:cs="Arial Unicode MS"/>
          <w:spacing w:val="-24"/>
          <w:szCs w:val="21"/>
          <w:lang w:bidi="ar"/>
        </w:rPr>
        <w:t>。</w:t>
      </w:r>
      <w:r>
        <w:rPr>
          <w:rFonts w:hint="eastAsia" w:ascii="宋体" w:hAnsi="宋体" w:eastAsia="宋体" w:cs="Arial Unicode MS"/>
          <w:spacing w:val="6"/>
          <w:szCs w:val="21"/>
          <w:lang w:bidi="ar"/>
        </w:rPr>
        <w:t>而从更</w:t>
      </w:r>
      <w:r>
        <w:rPr>
          <w:rFonts w:hint="eastAsia" w:ascii="宋体" w:hAnsi="宋体" w:eastAsia="宋体" w:cs="Arial Unicode MS"/>
          <w:spacing w:val="4"/>
          <w:szCs w:val="21"/>
          <w:lang w:bidi="ar"/>
        </w:rPr>
        <w:t>高</w:t>
      </w:r>
      <w:r>
        <w:rPr>
          <w:rFonts w:hint="eastAsia" w:ascii="宋体" w:hAnsi="宋体" w:eastAsia="宋体" w:cs="Arial Unicode MS"/>
          <w:spacing w:val="6"/>
          <w:szCs w:val="21"/>
          <w:lang w:bidi="ar"/>
        </w:rPr>
        <w:t>的</w:t>
      </w:r>
      <w:r>
        <w:rPr>
          <w:rFonts w:hint="eastAsia" w:ascii="宋体" w:hAnsi="宋体" w:eastAsia="宋体" w:cs="Arial Unicode MS"/>
          <w:szCs w:val="21"/>
          <w:lang w:bidi="ar"/>
        </w:rPr>
        <w:t>深层次</w:t>
      </w:r>
      <w:r>
        <w:rPr>
          <w:rFonts w:hint="eastAsia" w:ascii="宋体" w:hAnsi="宋体" w:eastAsia="宋体" w:cs="Arial Unicode MS"/>
          <w:spacing w:val="-2"/>
          <w:szCs w:val="21"/>
          <w:lang w:bidi="ar"/>
        </w:rPr>
        <w:t>的</w:t>
      </w:r>
      <w:r>
        <w:rPr>
          <w:rFonts w:hint="eastAsia" w:ascii="宋体" w:hAnsi="宋体" w:eastAsia="宋体" w:cs="Arial Unicode MS"/>
          <w:szCs w:val="21"/>
          <w:lang w:bidi="ar"/>
        </w:rPr>
        <w:t>理论角度</w:t>
      </w:r>
      <w:r>
        <w:rPr>
          <w:rFonts w:hint="eastAsia" w:ascii="宋体" w:hAnsi="宋体" w:eastAsia="宋体" w:cs="Times New Roman"/>
          <w:szCs w:val="21"/>
          <w:lang w:bidi="ar"/>
        </w:rPr>
        <w:t>，</w:t>
      </w:r>
      <w:r>
        <w:rPr>
          <w:rFonts w:hint="eastAsia" w:ascii="宋体" w:hAnsi="宋体" w:eastAsia="宋体" w:cs="Arial Unicode MS"/>
          <w:szCs w:val="21"/>
          <w:lang w:bidi="ar"/>
        </w:rPr>
        <w:t>结</w:t>
      </w:r>
      <w:r>
        <w:rPr>
          <w:rFonts w:hint="eastAsia" w:ascii="宋体" w:hAnsi="宋体" w:eastAsia="宋体" w:cs="Arial Unicode MS"/>
          <w:spacing w:val="-2"/>
          <w:szCs w:val="21"/>
          <w:lang w:bidi="ar"/>
        </w:rPr>
        <w:t>合</w:t>
      </w:r>
      <w:r>
        <w:rPr>
          <w:rFonts w:hint="eastAsia" w:ascii="宋体" w:hAnsi="宋体" w:eastAsia="宋体" w:cs="Arial Unicode MS"/>
          <w:szCs w:val="21"/>
          <w:lang w:bidi="ar"/>
        </w:rPr>
        <w:t>经济学与</w:t>
      </w:r>
      <w:r>
        <w:rPr>
          <w:rFonts w:hint="eastAsia" w:ascii="宋体" w:hAnsi="宋体" w:eastAsia="宋体" w:cs="Arial Unicode MS"/>
          <w:spacing w:val="-2"/>
          <w:szCs w:val="21"/>
          <w:lang w:bidi="ar"/>
        </w:rPr>
        <w:t>美</w:t>
      </w:r>
      <w:r>
        <w:rPr>
          <w:rFonts w:hint="eastAsia" w:ascii="宋体" w:hAnsi="宋体" w:eastAsia="宋体" w:cs="Arial Unicode MS"/>
          <w:szCs w:val="21"/>
          <w:lang w:bidi="ar"/>
        </w:rPr>
        <w:t>学的研究</w:t>
      </w:r>
      <w:r>
        <w:rPr>
          <w:rFonts w:hint="eastAsia" w:ascii="宋体" w:hAnsi="宋体" w:eastAsia="宋体" w:cs="Arial Unicode MS"/>
          <w:spacing w:val="-2"/>
          <w:szCs w:val="21"/>
          <w:lang w:bidi="ar"/>
        </w:rPr>
        <w:t>成</w:t>
      </w:r>
      <w:r>
        <w:rPr>
          <w:rFonts w:hint="eastAsia" w:ascii="宋体" w:hAnsi="宋体" w:eastAsia="宋体" w:cs="Arial Unicode MS"/>
          <w:szCs w:val="21"/>
          <w:lang w:bidi="ar"/>
        </w:rPr>
        <w:t>果</w:t>
      </w:r>
      <w:r>
        <w:rPr>
          <w:rFonts w:hint="eastAsia" w:ascii="宋体" w:hAnsi="宋体" w:eastAsia="宋体" w:cs="Times New Roman"/>
          <w:spacing w:val="2"/>
          <w:szCs w:val="21"/>
          <w:lang w:bidi="ar"/>
        </w:rPr>
        <w:t>，</w:t>
      </w:r>
      <w:r>
        <w:rPr>
          <w:rFonts w:hint="eastAsia" w:ascii="宋体" w:hAnsi="宋体" w:eastAsia="宋体" w:cs="Arial Unicode MS"/>
          <w:spacing w:val="-2"/>
          <w:szCs w:val="21"/>
          <w:lang w:bidi="ar"/>
        </w:rPr>
        <w:t>把</w:t>
      </w:r>
      <w:r>
        <w:rPr>
          <w:rFonts w:hint="eastAsia" w:ascii="宋体" w:hAnsi="宋体" w:eastAsia="宋体" w:cs="Arial Unicode MS"/>
          <w:szCs w:val="21"/>
          <w:lang w:bidi="ar"/>
        </w:rPr>
        <w:t>基础美学</w:t>
      </w:r>
      <w:r>
        <w:rPr>
          <w:rFonts w:hint="eastAsia" w:ascii="宋体" w:hAnsi="宋体" w:eastAsia="宋体" w:cs="Arial Unicode MS"/>
          <w:spacing w:val="-2"/>
          <w:szCs w:val="21"/>
          <w:lang w:bidi="ar"/>
        </w:rPr>
        <w:t>和</w:t>
      </w:r>
      <w:r>
        <w:rPr>
          <w:rFonts w:hint="eastAsia" w:ascii="宋体" w:hAnsi="宋体" w:eastAsia="宋体" w:cs="Arial Unicode MS"/>
          <w:szCs w:val="21"/>
          <w:lang w:bidi="ar"/>
        </w:rPr>
        <w:t>理论经济</w:t>
      </w:r>
      <w:r>
        <w:rPr>
          <w:rFonts w:hint="eastAsia" w:ascii="宋体" w:hAnsi="宋体" w:eastAsia="宋体" w:cs="Arial Unicode MS"/>
          <w:spacing w:val="-2"/>
          <w:szCs w:val="21"/>
          <w:lang w:bidi="ar"/>
        </w:rPr>
        <w:t>学</w:t>
      </w:r>
      <w:r>
        <w:rPr>
          <w:rFonts w:hint="eastAsia" w:ascii="宋体" w:hAnsi="宋体" w:eastAsia="宋体" w:cs="Arial Unicode MS"/>
          <w:szCs w:val="21"/>
          <w:lang w:bidi="ar"/>
        </w:rPr>
        <w:t>结合起来</w:t>
      </w:r>
      <w:r>
        <w:rPr>
          <w:rFonts w:hint="eastAsia" w:ascii="宋体" w:hAnsi="宋体" w:eastAsia="宋体" w:cs="Arial Unicode MS"/>
          <w:spacing w:val="-2"/>
          <w:szCs w:val="21"/>
          <w:lang w:bidi="ar"/>
        </w:rPr>
        <w:t>分</w:t>
      </w:r>
      <w:r>
        <w:rPr>
          <w:rFonts w:hint="eastAsia" w:ascii="宋体" w:hAnsi="宋体" w:eastAsia="宋体" w:cs="Arial Unicode MS"/>
          <w:szCs w:val="21"/>
          <w:lang w:bidi="ar"/>
        </w:rPr>
        <w:t>析经济与美</w:t>
      </w:r>
      <w:r>
        <w:rPr>
          <w:rFonts w:hint="eastAsia" w:ascii="宋体" w:hAnsi="宋体" w:eastAsia="宋体" w:cs="Times New Roman"/>
          <w:szCs w:val="21"/>
          <w:lang w:bidi="ar"/>
        </w:rPr>
        <w:t>，</w:t>
      </w:r>
      <w:r>
        <w:rPr>
          <w:rFonts w:hint="eastAsia" w:ascii="宋体" w:hAnsi="宋体" w:eastAsia="宋体" w:cs="Arial Unicode MS"/>
          <w:szCs w:val="21"/>
          <w:lang w:bidi="ar"/>
        </w:rPr>
        <w:t>目前</w:t>
      </w:r>
      <w:r>
        <w:rPr>
          <w:rFonts w:hint="eastAsia" w:ascii="宋体" w:hAnsi="宋体" w:eastAsia="宋体" w:cs="Arial Unicode MS"/>
          <w:spacing w:val="-2"/>
          <w:szCs w:val="21"/>
          <w:lang w:bidi="ar"/>
        </w:rPr>
        <w:t>还</w:t>
      </w:r>
      <w:r>
        <w:rPr>
          <w:rFonts w:hint="eastAsia" w:ascii="宋体" w:hAnsi="宋体" w:eastAsia="宋体" w:cs="Arial Unicode MS"/>
          <w:szCs w:val="21"/>
          <w:lang w:bidi="ar"/>
        </w:rPr>
        <w:t>是一项</w:t>
      </w:r>
      <w:r>
        <w:rPr>
          <w:rFonts w:hint="eastAsia" w:ascii="宋体" w:hAnsi="宋体" w:eastAsia="宋体" w:cs="Arial Unicode MS"/>
          <w:spacing w:val="-2"/>
          <w:szCs w:val="21"/>
          <w:lang w:bidi="ar"/>
        </w:rPr>
        <w:t>空</w:t>
      </w:r>
      <w:r>
        <w:rPr>
          <w:rFonts w:hint="eastAsia" w:ascii="宋体" w:hAnsi="宋体" w:eastAsia="宋体" w:cs="Arial Unicode MS"/>
          <w:szCs w:val="21"/>
          <w:lang w:bidi="ar"/>
        </w:rPr>
        <w:t>白</w:t>
      </w:r>
      <w:r>
        <w:rPr>
          <w:rFonts w:hint="eastAsia" w:ascii="宋体" w:hAnsi="宋体" w:eastAsia="宋体" w:cs="Arial Unicode MS"/>
          <w:spacing w:val="-28"/>
          <w:szCs w:val="21"/>
          <w:lang w:bidi="ar"/>
        </w:rPr>
        <w:t>。</w:t>
      </w:r>
      <w:r>
        <w:rPr>
          <w:rFonts w:hint="eastAsia" w:ascii="宋体" w:hAnsi="宋体" w:eastAsia="宋体" w:cs="Arial Unicode MS"/>
          <w:szCs w:val="21"/>
          <w:lang w:bidi="ar"/>
        </w:rPr>
        <w:t>完整</w:t>
      </w:r>
      <w:r>
        <w:rPr>
          <w:rFonts w:hint="eastAsia" w:ascii="宋体" w:hAnsi="宋体" w:eastAsia="宋体" w:cs="Arial Unicode MS"/>
          <w:spacing w:val="-2"/>
          <w:szCs w:val="21"/>
          <w:lang w:bidi="ar"/>
        </w:rPr>
        <w:t>的</w:t>
      </w:r>
      <w:r>
        <w:rPr>
          <w:rFonts w:hint="eastAsia" w:ascii="宋体" w:hAnsi="宋体" w:eastAsia="宋体" w:cs="Arial Unicode MS"/>
          <w:szCs w:val="21"/>
          <w:lang w:bidi="ar"/>
        </w:rPr>
        <w:t>经济美学</w:t>
      </w:r>
      <w:r>
        <w:rPr>
          <w:rFonts w:hint="eastAsia" w:ascii="宋体" w:hAnsi="宋体" w:eastAsia="宋体" w:cs="Arial Unicode MS"/>
          <w:spacing w:val="-2"/>
          <w:szCs w:val="21"/>
          <w:lang w:bidi="ar"/>
        </w:rPr>
        <w:t>应</w:t>
      </w:r>
      <w:r>
        <w:rPr>
          <w:rFonts w:hint="eastAsia" w:ascii="宋体" w:hAnsi="宋体" w:eastAsia="宋体" w:cs="Arial Unicode MS"/>
          <w:szCs w:val="21"/>
          <w:lang w:bidi="ar"/>
        </w:rPr>
        <w:t>包括应用</w:t>
      </w:r>
      <w:r>
        <w:rPr>
          <w:rFonts w:hint="eastAsia" w:ascii="宋体" w:hAnsi="宋体" w:eastAsia="宋体" w:cs="Arial Unicode MS"/>
          <w:spacing w:val="-2"/>
          <w:szCs w:val="21"/>
          <w:lang w:bidi="ar"/>
        </w:rPr>
        <w:t>经</w:t>
      </w:r>
      <w:r>
        <w:rPr>
          <w:rFonts w:hint="eastAsia" w:ascii="宋体" w:hAnsi="宋体" w:eastAsia="宋体" w:cs="Arial Unicode MS"/>
          <w:szCs w:val="21"/>
          <w:lang w:bidi="ar"/>
        </w:rPr>
        <w:t>济美学和</w:t>
      </w:r>
      <w:r>
        <w:rPr>
          <w:rFonts w:hint="eastAsia" w:ascii="宋体" w:hAnsi="宋体" w:eastAsia="宋体" w:cs="Arial Unicode MS"/>
          <w:spacing w:val="-2"/>
          <w:szCs w:val="21"/>
          <w:lang w:bidi="ar"/>
        </w:rPr>
        <w:t>理</w:t>
      </w:r>
      <w:r>
        <w:rPr>
          <w:rFonts w:hint="eastAsia" w:ascii="宋体" w:hAnsi="宋体" w:eastAsia="宋体" w:cs="Arial Unicode MS"/>
          <w:szCs w:val="21"/>
          <w:lang w:bidi="ar"/>
        </w:rPr>
        <w:t>论经济美学。</w:t>
      </w:r>
    </w:p>
    <w:p w14:paraId="24436076">
      <w:pPr>
        <w:autoSpaceDE w:val="0"/>
        <w:autoSpaceDN w:val="0"/>
        <w:spacing w:before="2" w:line="300" w:lineRule="auto"/>
        <w:ind w:firstLine="432" w:firstLineChars="200"/>
        <w:rPr>
          <w:rFonts w:ascii="宋体" w:hAnsi="宋体" w:eastAsia="宋体" w:cs="Arial Unicode MS"/>
          <w:spacing w:val="-54"/>
          <w:szCs w:val="21"/>
        </w:rPr>
      </w:pPr>
      <w:r>
        <w:rPr>
          <w:rFonts w:hint="eastAsia" w:ascii="宋体" w:hAnsi="宋体" w:eastAsia="宋体" w:cs="Arial Unicode MS"/>
          <w:spacing w:val="-2"/>
          <w:szCs w:val="21"/>
          <w:lang w:bidi="ar"/>
        </w:rPr>
        <w:t>那</w:t>
      </w:r>
      <w:r>
        <w:rPr>
          <w:rFonts w:hint="eastAsia" w:ascii="宋体" w:hAnsi="宋体" w:eastAsia="宋体" w:cs="Arial Unicode MS"/>
          <w:szCs w:val="21"/>
          <w:lang w:bidi="ar"/>
        </w:rPr>
        <w:t>么</w:t>
      </w:r>
      <w:r>
        <w:rPr>
          <w:rFonts w:hint="eastAsia" w:ascii="宋体" w:hAnsi="宋体" w:eastAsia="宋体" w:cs="Times New Roman"/>
          <w:spacing w:val="2"/>
          <w:szCs w:val="21"/>
          <w:lang w:bidi="ar"/>
        </w:rPr>
        <w:t>，</w:t>
      </w:r>
      <w:r>
        <w:rPr>
          <w:rFonts w:hint="eastAsia" w:ascii="宋体" w:hAnsi="宋体" w:eastAsia="宋体" w:cs="Arial Unicode MS"/>
          <w:szCs w:val="21"/>
          <w:lang w:bidi="ar"/>
        </w:rPr>
        <w:t>海派经济学研究中增添美学方法会出现什么新的“理论增长点”和概念呢？笔者认为，应当新构“经济美”与“经济丑”范畴</w:t>
      </w:r>
      <w:r>
        <w:rPr>
          <w:rFonts w:hint="eastAsia" w:ascii="宋体" w:hAnsi="宋体" w:eastAsia="宋体" w:cs="Arial Unicode MS"/>
          <w:spacing w:val="-28"/>
          <w:szCs w:val="21"/>
          <w:lang w:bidi="ar"/>
        </w:rPr>
        <w:t>。</w:t>
      </w:r>
      <w:r>
        <w:rPr>
          <w:rFonts w:hint="eastAsia" w:ascii="宋体" w:hAnsi="宋体" w:eastAsia="宋体" w:cs="Arial Unicode MS"/>
          <w:szCs w:val="21"/>
          <w:lang w:bidi="ar"/>
        </w:rPr>
        <w:t>经</w:t>
      </w:r>
      <w:r>
        <w:rPr>
          <w:rFonts w:hint="eastAsia" w:ascii="宋体" w:hAnsi="宋体" w:eastAsia="宋体" w:cs="Arial Unicode MS"/>
          <w:spacing w:val="-2"/>
          <w:szCs w:val="21"/>
          <w:lang w:bidi="ar"/>
        </w:rPr>
        <w:t>济</w:t>
      </w:r>
      <w:r>
        <w:rPr>
          <w:rFonts w:hint="eastAsia" w:ascii="宋体" w:hAnsi="宋体" w:eastAsia="宋体" w:cs="Arial Unicode MS"/>
          <w:szCs w:val="21"/>
          <w:lang w:bidi="ar"/>
        </w:rPr>
        <w:t>美是属于</w:t>
      </w:r>
      <w:r>
        <w:rPr>
          <w:rFonts w:hint="eastAsia" w:ascii="宋体" w:hAnsi="宋体" w:eastAsia="宋体" w:cs="Arial Unicode MS"/>
          <w:spacing w:val="-2"/>
          <w:szCs w:val="21"/>
          <w:lang w:bidi="ar"/>
        </w:rPr>
        <w:t>社</w:t>
      </w:r>
      <w:r>
        <w:rPr>
          <w:rFonts w:hint="eastAsia" w:ascii="宋体" w:hAnsi="宋体" w:eastAsia="宋体" w:cs="Arial Unicode MS"/>
          <w:szCs w:val="21"/>
          <w:lang w:bidi="ar"/>
        </w:rPr>
        <w:t>会美的范畴</w:t>
      </w:r>
      <w:r>
        <w:rPr>
          <w:rFonts w:hint="eastAsia" w:ascii="宋体" w:hAnsi="宋体" w:eastAsia="宋体" w:cs="Arial Unicode MS"/>
          <w:spacing w:val="-28"/>
          <w:szCs w:val="21"/>
          <w:lang w:bidi="ar"/>
        </w:rPr>
        <w:t>。</w:t>
      </w:r>
      <w:r>
        <w:rPr>
          <w:rFonts w:hint="eastAsia" w:ascii="宋体" w:hAnsi="宋体" w:eastAsia="宋体" w:cs="Arial Unicode MS"/>
          <w:szCs w:val="21"/>
          <w:lang w:bidi="ar"/>
        </w:rPr>
        <w:t>社会美</w:t>
      </w:r>
      <w:r>
        <w:rPr>
          <w:rFonts w:hint="eastAsia" w:ascii="宋体" w:hAnsi="宋体" w:eastAsia="宋体" w:cs="Arial Unicode MS"/>
          <w:spacing w:val="-2"/>
          <w:szCs w:val="21"/>
          <w:lang w:bidi="ar"/>
        </w:rPr>
        <w:t>是</w:t>
      </w:r>
      <w:r>
        <w:rPr>
          <w:rFonts w:hint="eastAsia" w:ascii="宋体" w:hAnsi="宋体" w:eastAsia="宋体" w:cs="Arial Unicode MS"/>
          <w:szCs w:val="21"/>
          <w:lang w:bidi="ar"/>
        </w:rPr>
        <w:t>与自然美、艺术美相提并论的美的存在形式，它不仅根源于实践，而且本身就是实践的最直接表现。同样，经济美也是在实践中产生的，是指人类经济活动中具有制度公正、运行有序和发展和谐的一种属性。它可以在财富分配公平、市场竞争有序、供求总量均衡、产业结构合理、经济规模适度、个人权责对称、管理系统协调、生产主体活跃、劳动环境舒适、生活消费科学等一系列经济事物中显现出来。党的十六大报告从经济和生态等层面描绘的全面建设小康社会的目标，也充分体现了社会主义初级的或较低层次的经济美。</w:t>
      </w:r>
    </w:p>
    <w:p w14:paraId="64DE54BD">
      <w:pPr>
        <w:autoSpaceDE w:val="0"/>
        <w:autoSpaceDN w:val="0"/>
        <w:spacing w:before="2"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经济美的异化和对立面即为经济丑。什么是丑？马克思、恩格斯在谈到现实中丑的事物时，把“丑”看作是客观事物的一种社会属性，并从历史的发展中说明丑的根源，指出生活中的丑和卑鄙、虚伪、腐朽的事物之间的联系。丑是在内容上包含着一种对生活、对人的本质具有否定意义的东西，丑在形式上则是与均衡、对称、完整、和谐等相对应的概念。就拿美国来说，严重的两极分化、频繁的经济犯罪、过度的市场竞争、极端的利己行为、纵欲的生活方式和贪婪的对外扩张等等，都说明强大美国的经济制度并不美，其经济体制和社会发展是有丑有美的。</w:t>
      </w:r>
    </w:p>
    <w:p w14:paraId="20CAC790">
      <w:pPr>
        <w:autoSpaceDE w:val="0"/>
        <w:autoSpaceDN w:val="0"/>
        <w:spacing w:before="2"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经济活动是一个整体的协调过程，大到整个国民经济的宏观调控，小到企业和个人的生产与消费，都是多种因素相互协调和统一的关系，理应尽力使经济运行和谐、有序、完美。做到这一点，其本身就能引起人的美感，符合美的发展规律；否则，各种丑恶现象便会滋生。我们应当要按照经济美的规律，健全市场经济的社会信用体系，讲求经济运行的和谐一致，使整个经济领域充满美，进而使人们从生产中、市场上增加美感体验，怡情悦性，振奋精神，更好地为社会主义建设服务。</w:t>
      </w:r>
    </w:p>
    <w:p w14:paraId="3EC8F9DC">
      <w:pPr>
        <w:autoSpaceDE w:val="0"/>
        <w:autoSpaceDN w:val="0"/>
        <w:spacing w:before="2"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总之，海派经济学研究中需要吸纳美学的理论与方法。经济学与美学的联盟和有机融合，可以更深、更广地探讨经济行为、经济机制和经济规律。</w:t>
      </w:r>
    </w:p>
    <w:p w14:paraId="4989291F">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五、生物学方法在经济学中的运用</w:t>
      </w:r>
    </w:p>
    <w:p w14:paraId="33F3515E">
      <w:pPr>
        <w:autoSpaceDE w:val="0"/>
        <w:autoSpaceDN w:val="0"/>
        <w:spacing w:before="2"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菌藻共生的地衣可以抵御极为严酷的环境，而珊瑚与藻类共生则使珊瑚礁成为生产力最高的生物群落之一。反刍动物胃中的微生物帮助分解草中纤维素，为宿主提供糖源。这种相依为命的互利叫做专性共生，它与双方互利而又尚未达到相依为命程度的初级合作或兼性共生有差别。按照德国生物学家德贝里的定义，共生是相互性活体营养性联系，是一起生活的生物体的某种程度的永久性的物质联系。生物的共生同竞争一样，是一个普遍的现象。</w:t>
      </w:r>
    </w:p>
    <w:p w14:paraId="08172B18">
      <w:pPr>
        <w:autoSpaceDE w:val="0"/>
        <w:autoSpaceDN w:val="0"/>
        <w:spacing w:before="2" w:line="300" w:lineRule="auto"/>
        <w:ind w:firstLine="440" w:firstLineChars="200"/>
        <w:rPr>
          <w:rFonts w:ascii="宋体" w:hAnsi="宋体" w:eastAsia="宋体" w:cs="Arial Unicode MS"/>
          <w:szCs w:val="21"/>
        </w:rPr>
      </w:pPr>
      <w:r>
        <w:rPr>
          <w:rFonts w:hint="eastAsia" w:ascii="宋体" w:hAnsi="宋体" w:eastAsia="宋体" w:cs="Arial Unicode MS"/>
          <w:szCs w:val="21"/>
          <w:lang w:bidi="ar"/>
        </w:rPr>
        <w:t>那么，市场经济条件下，人类的经济活动除了激烈的竞争，还有没有共生现象？就小型企业来讲，其共生关系主要包括两大类：一类是小—小共生关系，另一类是大—小共生关系，前者反映的是小型经济内部的共生情况，后者反映的是小型经济外部的情况；就产业共生关系而言，包括产业内共生关系和产业间的共生关系。因此，小型经济的产业共生关系呈现四种典型组合：产业内小型经济的共生关系；产业间小型经济的共生关系；产业内大型经济与小型经济的共生关系；产业间大型经济与小型经济的共生关系。我们可以看到，在长江三角洲和珠江三角洲等发达地区，类似生物的多种共生，大小企业共生、多类产业共生和多元产权共生等现象，构成了一道道特别靓丽的风景线。</w:t>
      </w:r>
    </w:p>
    <w:p w14:paraId="60A43553">
      <w:pPr>
        <w:autoSpaceDE w:val="0"/>
        <w:autoSpaceDN w:val="0"/>
        <w:spacing w:before="2" w:line="300" w:lineRule="auto"/>
        <w:ind w:firstLine="432" w:firstLineChars="200"/>
        <w:rPr>
          <w:rFonts w:ascii="宋体" w:hAnsi="宋体" w:eastAsia="宋体" w:cs="Arial Unicode MS"/>
          <w:szCs w:val="21"/>
        </w:rPr>
      </w:pPr>
      <w:r>
        <w:rPr>
          <w:rFonts w:hint="eastAsia" w:ascii="宋体" w:hAnsi="宋体" w:eastAsia="宋体" w:cs="Arial Unicode MS"/>
          <w:spacing w:val="-2"/>
          <w:szCs w:val="21"/>
          <w:lang w:bidi="ar"/>
        </w:rPr>
        <w:t>生</w:t>
      </w:r>
      <w:r>
        <w:rPr>
          <w:rFonts w:hint="eastAsia" w:ascii="宋体" w:hAnsi="宋体" w:eastAsia="宋体" w:cs="Arial Unicode MS"/>
          <w:szCs w:val="21"/>
          <w:lang w:bidi="ar"/>
        </w:rPr>
        <w:t>物学中的</w:t>
      </w:r>
      <w:r>
        <w:rPr>
          <w:rFonts w:hint="eastAsia" w:ascii="宋体" w:hAnsi="宋体" w:eastAsia="宋体" w:cs="Arial Unicode MS"/>
          <w:spacing w:val="-2"/>
          <w:szCs w:val="21"/>
          <w:lang w:bidi="ar"/>
        </w:rPr>
        <w:t>进</w:t>
      </w:r>
      <w:r>
        <w:rPr>
          <w:rFonts w:hint="eastAsia" w:ascii="宋体" w:hAnsi="宋体" w:eastAsia="宋体" w:cs="Arial Unicode MS"/>
          <w:szCs w:val="21"/>
          <w:lang w:bidi="ar"/>
        </w:rPr>
        <w:t>化</w:t>
      </w:r>
      <w:r>
        <w:rPr>
          <w:rFonts w:hint="eastAsia" w:ascii="宋体" w:hAnsi="宋体" w:eastAsia="宋体" w:cs="Times New Roman"/>
          <w:szCs w:val="21"/>
          <w:lang w:bidi="ar"/>
        </w:rPr>
        <w:t>，</w:t>
      </w:r>
      <w:r>
        <w:rPr>
          <w:rFonts w:hint="eastAsia" w:ascii="宋体" w:hAnsi="宋体" w:eastAsia="宋体" w:cs="Arial Unicode MS"/>
          <w:szCs w:val="21"/>
          <w:lang w:bidi="ar"/>
        </w:rPr>
        <w:t>在其他场</w:t>
      </w:r>
      <w:r>
        <w:rPr>
          <w:rFonts w:hint="eastAsia" w:ascii="宋体" w:hAnsi="宋体" w:eastAsia="宋体" w:cs="Arial Unicode MS"/>
          <w:spacing w:val="-2"/>
          <w:szCs w:val="21"/>
          <w:lang w:bidi="ar"/>
        </w:rPr>
        <w:t>合</w:t>
      </w:r>
      <w:r>
        <w:rPr>
          <w:rFonts w:hint="eastAsia" w:ascii="宋体" w:hAnsi="宋体" w:eastAsia="宋体" w:cs="Arial Unicode MS"/>
          <w:szCs w:val="21"/>
          <w:lang w:bidi="ar"/>
        </w:rPr>
        <w:t>常被称之</w:t>
      </w:r>
      <w:r>
        <w:rPr>
          <w:rFonts w:hint="eastAsia" w:ascii="宋体" w:hAnsi="宋体" w:eastAsia="宋体" w:cs="Arial Unicode MS"/>
          <w:spacing w:val="-2"/>
          <w:szCs w:val="21"/>
          <w:lang w:bidi="ar"/>
        </w:rPr>
        <w:t>为</w:t>
      </w:r>
      <w:r>
        <w:rPr>
          <w:rFonts w:hint="eastAsia" w:ascii="宋体" w:hAnsi="宋体" w:eastAsia="宋体" w:cs="Arial Unicode MS"/>
          <w:szCs w:val="21"/>
          <w:lang w:bidi="ar"/>
        </w:rPr>
        <w:t>演化</w:t>
      </w:r>
      <w:r>
        <w:rPr>
          <w:rFonts w:hint="eastAsia" w:ascii="宋体" w:hAnsi="宋体" w:eastAsia="宋体" w:cs="Arial Unicode MS"/>
          <w:spacing w:val="-28"/>
          <w:szCs w:val="21"/>
          <w:lang w:bidi="ar"/>
        </w:rPr>
        <w:t>。</w:t>
      </w:r>
      <w:r>
        <w:rPr>
          <w:rFonts w:hint="eastAsia" w:ascii="宋体" w:hAnsi="宋体" w:eastAsia="宋体" w:cs="Arial Unicode MS"/>
          <w:szCs w:val="21"/>
          <w:lang w:bidi="ar"/>
        </w:rPr>
        <w:t>而</w:t>
      </w:r>
      <w:r>
        <w:rPr>
          <w:rFonts w:hint="eastAsia" w:ascii="宋体" w:hAnsi="宋体" w:eastAsia="宋体" w:cs="Arial Unicode MS"/>
          <w:spacing w:val="-2"/>
          <w:szCs w:val="21"/>
          <w:lang w:bidi="ar"/>
        </w:rPr>
        <w:t>演</w:t>
      </w:r>
      <w:r>
        <w:rPr>
          <w:rFonts w:hint="eastAsia" w:ascii="宋体" w:hAnsi="宋体" w:eastAsia="宋体" w:cs="Arial Unicode MS"/>
          <w:szCs w:val="21"/>
          <w:lang w:bidi="ar"/>
        </w:rPr>
        <w:t>化一词作</w:t>
      </w:r>
      <w:r>
        <w:rPr>
          <w:rFonts w:hint="eastAsia" w:ascii="宋体" w:hAnsi="宋体" w:eastAsia="宋体" w:cs="Arial Unicode MS"/>
          <w:spacing w:val="-2"/>
          <w:szCs w:val="21"/>
          <w:lang w:bidi="ar"/>
        </w:rPr>
        <w:t>为</w:t>
      </w:r>
      <w:r>
        <w:rPr>
          <w:rFonts w:hint="eastAsia" w:ascii="宋体" w:hAnsi="宋体" w:eastAsia="宋体" w:cs="Arial Unicode MS"/>
          <w:szCs w:val="21"/>
          <w:lang w:bidi="ar"/>
        </w:rPr>
        <w:t>广义的概念</w:t>
      </w:r>
      <w:r>
        <w:rPr>
          <w:rFonts w:hint="eastAsia" w:ascii="宋体" w:hAnsi="宋体" w:eastAsia="宋体" w:cs="Times New Roman"/>
          <w:szCs w:val="21"/>
          <w:lang w:bidi="ar"/>
        </w:rPr>
        <w:t>，</w:t>
      </w:r>
      <w:r>
        <w:rPr>
          <w:rFonts w:hint="eastAsia" w:ascii="宋体" w:hAnsi="宋体" w:eastAsia="宋体" w:cs="Arial Unicode MS"/>
          <w:szCs w:val="21"/>
          <w:lang w:bidi="ar"/>
        </w:rPr>
        <w:t>越</w:t>
      </w:r>
      <w:r>
        <w:rPr>
          <w:rFonts w:hint="eastAsia" w:ascii="宋体" w:hAnsi="宋体" w:eastAsia="宋体" w:cs="Arial Unicode MS"/>
          <w:spacing w:val="-2"/>
          <w:szCs w:val="21"/>
          <w:lang w:bidi="ar"/>
        </w:rPr>
        <w:t>来</w:t>
      </w:r>
      <w:r>
        <w:rPr>
          <w:rFonts w:hint="eastAsia" w:ascii="宋体" w:hAnsi="宋体" w:eastAsia="宋体" w:cs="Arial Unicode MS"/>
          <w:szCs w:val="21"/>
          <w:lang w:bidi="ar"/>
        </w:rPr>
        <w:t>越多地应用</w:t>
      </w:r>
      <w:r>
        <w:rPr>
          <w:rFonts w:hint="eastAsia" w:ascii="宋体" w:hAnsi="宋体" w:eastAsia="宋体" w:cs="Arial Unicode MS"/>
          <w:spacing w:val="-2"/>
          <w:szCs w:val="21"/>
          <w:lang w:bidi="ar"/>
        </w:rPr>
        <w:t>于</w:t>
      </w:r>
      <w:r>
        <w:rPr>
          <w:rFonts w:hint="eastAsia" w:ascii="宋体" w:hAnsi="宋体" w:eastAsia="宋体" w:cs="Arial Unicode MS"/>
          <w:szCs w:val="21"/>
          <w:lang w:bidi="ar"/>
        </w:rPr>
        <w:t>非生物学</w:t>
      </w:r>
      <w:r>
        <w:rPr>
          <w:rFonts w:hint="eastAsia" w:ascii="宋体" w:hAnsi="宋体" w:eastAsia="宋体" w:cs="Arial Unicode MS"/>
          <w:spacing w:val="-2"/>
          <w:szCs w:val="21"/>
          <w:lang w:bidi="ar"/>
        </w:rPr>
        <w:t>领</w:t>
      </w:r>
      <w:r>
        <w:rPr>
          <w:rFonts w:hint="eastAsia" w:ascii="宋体" w:hAnsi="宋体" w:eastAsia="宋体" w:cs="Arial Unicode MS"/>
          <w:szCs w:val="21"/>
          <w:lang w:bidi="ar"/>
        </w:rPr>
        <w:t>域</w:t>
      </w:r>
      <w:r>
        <w:rPr>
          <w:rFonts w:hint="eastAsia" w:ascii="宋体" w:hAnsi="宋体" w:eastAsia="宋体" w:cs="Times New Roman"/>
          <w:szCs w:val="21"/>
          <w:lang w:bidi="ar"/>
        </w:rPr>
        <w:t>，</w:t>
      </w:r>
      <w:r>
        <w:rPr>
          <w:rFonts w:hint="eastAsia" w:ascii="宋体" w:hAnsi="宋体" w:eastAsia="宋体" w:cs="Arial Unicode MS"/>
          <w:szCs w:val="21"/>
          <w:lang w:bidi="ar"/>
        </w:rPr>
        <w:t>如天文学、地质学和经济学等。因为在生物进化和经济演化之间有着许多特性，生物学方法也越来越受到经济学家的重视和亲睐。就在凡勃伦1898年发表《为什么经济学不是一门进化的科学》一文前8年，马歇尔的《经济学原理》面世。他不同于其同时代的杰文斯和瓦尔拉等人，是宣称推崇生物学模拟的。他的名言是：“经济学家的圣地在于经济生物学，而不在于经济动态学”</w:t>
      </w:r>
      <w:r>
        <w:rPr>
          <w:rFonts w:hint="eastAsia" w:ascii="宋体" w:hAnsi="宋体" w:eastAsia="宋体" w:cs="Arial Unicode MS"/>
          <w:szCs w:val="21"/>
          <w:vertAlign w:val="superscript"/>
          <w:lang w:bidi="ar"/>
        </w:rPr>
        <w:t>④</w:t>
      </w:r>
      <w:r>
        <w:rPr>
          <w:rFonts w:hint="eastAsia" w:ascii="宋体" w:hAnsi="宋体" w:eastAsia="宋体" w:cs="Arial Unicode MS"/>
          <w:szCs w:val="21"/>
          <w:lang w:bidi="ar"/>
        </w:rPr>
        <w:t>。不过，一般认为马歇尔之援引生物学模拟是局部的、不完全的，而且主要受到哲学家、社会学家、早期进化论者斯宾塞而非达尔文的启发。话虽如此，帮助使“经济生物学”的一种变体存在至今的无疑还是马歇尔传统的一部分。</w:t>
      </w:r>
    </w:p>
    <w:p w14:paraId="74EAF00B">
      <w:pPr>
        <w:autoSpaceDE w:val="0"/>
        <w:autoSpaceDN w:val="0"/>
        <w:spacing w:before="6" w:line="300" w:lineRule="auto"/>
        <w:ind w:firstLine="464" w:firstLineChars="200"/>
        <w:rPr>
          <w:rFonts w:ascii="宋体" w:hAnsi="宋体" w:eastAsia="宋体" w:cs="Arial Unicode MS"/>
          <w:szCs w:val="21"/>
        </w:rPr>
      </w:pPr>
      <w:r>
        <w:rPr>
          <w:rFonts w:hint="eastAsia" w:ascii="宋体" w:hAnsi="宋体" w:eastAsia="宋体" w:cs="Times New Roman"/>
          <w:spacing w:val="6"/>
          <w:szCs w:val="21"/>
          <w:lang w:bidi="ar"/>
        </w:rPr>
        <w:t>2</w:t>
      </w:r>
      <w:r>
        <w:rPr>
          <w:rFonts w:hint="eastAsia" w:ascii="宋体" w:hAnsi="宋体" w:eastAsia="宋体" w:cs="Times New Roman"/>
          <w:szCs w:val="21"/>
          <w:lang w:bidi="ar"/>
        </w:rPr>
        <w:t>0</w:t>
      </w:r>
      <w:r>
        <w:rPr>
          <w:rFonts w:hint="eastAsia" w:ascii="宋体" w:hAnsi="宋体" w:eastAsia="宋体" w:cs="Arial Unicode MS"/>
          <w:spacing w:val="-2"/>
          <w:szCs w:val="21"/>
          <w:lang w:bidi="ar"/>
        </w:rPr>
        <w:t>世</w:t>
      </w:r>
      <w:r>
        <w:rPr>
          <w:rFonts w:hint="eastAsia" w:ascii="宋体" w:hAnsi="宋体" w:eastAsia="宋体" w:cs="Arial Unicode MS"/>
          <w:szCs w:val="21"/>
          <w:lang w:bidi="ar"/>
        </w:rPr>
        <w:t>纪</w:t>
      </w:r>
      <w:r>
        <w:rPr>
          <w:rFonts w:hint="eastAsia" w:ascii="宋体" w:hAnsi="宋体" w:eastAsia="宋体" w:cs="Times New Roman"/>
          <w:spacing w:val="6"/>
          <w:szCs w:val="21"/>
          <w:lang w:bidi="ar"/>
        </w:rPr>
        <w:t>7</w:t>
      </w:r>
      <w:r>
        <w:rPr>
          <w:rFonts w:hint="eastAsia" w:ascii="宋体" w:hAnsi="宋体" w:eastAsia="宋体" w:cs="Times New Roman"/>
          <w:szCs w:val="21"/>
          <w:lang w:bidi="ar"/>
        </w:rPr>
        <w:t>0</w:t>
      </w:r>
      <w:r>
        <w:rPr>
          <w:rFonts w:hint="eastAsia" w:ascii="宋体" w:hAnsi="宋体" w:eastAsia="宋体" w:cs="Arial Unicode MS"/>
          <w:szCs w:val="21"/>
          <w:lang w:bidi="ar"/>
        </w:rPr>
        <w:t>年代晚期</w:t>
      </w:r>
      <w:r>
        <w:rPr>
          <w:rFonts w:hint="eastAsia" w:ascii="宋体" w:hAnsi="宋体" w:eastAsia="宋体" w:cs="Times New Roman"/>
          <w:spacing w:val="8"/>
          <w:szCs w:val="21"/>
          <w:lang w:bidi="ar"/>
        </w:rPr>
        <w:t>，</w:t>
      </w:r>
      <w:r>
        <w:rPr>
          <w:rFonts w:hint="eastAsia" w:ascii="宋体" w:hAnsi="宋体" w:eastAsia="宋体" w:cs="Arial Unicode MS"/>
          <w:spacing w:val="8"/>
          <w:szCs w:val="21"/>
          <w:lang w:bidi="ar"/>
        </w:rPr>
        <w:t>芝</w:t>
      </w:r>
      <w:r>
        <w:rPr>
          <w:rFonts w:hint="eastAsia" w:ascii="宋体" w:hAnsi="宋体" w:eastAsia="宋体" w:cs="Arial Unicode MS"/>
          <w:szCs w:val="21"/>
          <w:lang w:bidi="ar"/>
        </w:rPr>
        <w:t>加哥学派的经济学家贝克尔、赫什利弗和塔洛克等抓住新兴的“社会生物学”，并视之为对其个人主义假设的证实和对跨越生物学和经济学两个领域的普遍“规律”的确认，分别发表了《利他主义、利己主义和遗传合理性：经济学与社会生物学》《、从生物学观点来看的经济学》和《社会生物学与经济学》等论文。他们把稀缺性和个体竞争等现象看成是在经济学和生物学两个领域相通现象。在20世纪80年代初，随着纳尔逊和温特的重要著作《经济变迁的进化论》的出版，经济学援引生物学思想呈现新趋势。该书有对基因(企业的程序)、变异(企业寻求新技术)和淘汰(赢利企业获得发展)等的明确说明。1993年，霍奇逊出版了演化经济学思想史的力作《经济学与演化》，并于1998年又编辑出版了《演化经济学的基础(1890-1973)》一书。争论的结果是进化论模拟</w:t>
      </w:r>
      <w:r>
        <w:rPr>
          <w:rFonts w:hint="eastAsia" w:ascii="宋体" w:hAnsi="宋体" w:eastAsia="宋体" w:cs="Arial Unicode MS"/>
          <w:spacing w:val="4"/>
          <w:szCs w:val="21"/>
          <w:lang w:bidi="ar"/>
        </w:rPr>
        <w:t>和</w:t>
      </w:r>
      <w:r>
        <w:rPr>
          <w:rFonts w:hint="eastAsia" w:ascii="宋体" w:hAnsi="宋体" w:eastAsia="宋体" w:cs="Arial Unicode MS"/>
          <w:spacing w:val="6"/>
          <w:szCs w:val="21"/>
          <w:lang w:bidi="ar"/>
        </w:rPr>
        <w:t>模型在</w:t>
      </w:r>
      <w:r>
        <w:rPr>
          <w:rFonts w:hint="eastAsia" w:ascii="宋体" w:hAnsi="宋体" w:eastAsia="宋体" w:cs="Arial Unicode MS"/>
          <w:spacing w:val="4"/>
          <w:szCs w:val="21"/>
          <w:lang w:bidi="ar"/>
        </w:rPr>
        <w:t>经</w:t>
      </w:r>
      <w:r>
        <w:rPr>
          <w:rFonts w:hint="eastAsia" w:ascii="宋体" w:hAnsi="宋体" w:eastAsia="宋体" w:cs="Arial Unicode MS"/>
          <w:spacing w:val="6"/>
          <w:szCs w:val="21"/>
          <w:lang w:bidi="ar"/>
        </w:rPr>
        <w:t>济学</w:t>
      </w:r>
      <w:r>
        <w:rPr>
          <w:rFonts w:hint="eastAsia" w:ascii="宋体" w:hAnsi="宋体" w:eastAsia="宋体" w:cs="Arial Unicode MS"/>
          <w:spacing w:val="4"/>
          <w:szCs w:val="21"/>
          <w:lang w:bidi="ar"/>
        </w:rPr>
        <w:t>中</w:t>
      </w:r>
      <w:r>
        <w:rPr>
          <w:rFonts w:hint="eastAsia" w:ascii="宋体" w:hAnsi="宋体" w:eastAsia="宋体" w:cs="Arial Unicode MS"/>
          <w:spacing w:val="6"/>
          <w:szCs w:val="21"/>
          <w:lang w:bidi="ar"/>
        </w:rPr>
        <w:t>的使</w:t>
      </w:r>
      <w:r>
        <w:rPr>
          <w:rFonts w:hint="eastAsia" w:ascii="宋体" w:hAnsi="宋体" w:eastAsia="宋体" w:cs="Arial Unicode MS"/>
          <w:spacing w:val="4"/>
          <w:szCs w:val="21"/>
          <w:lang w:bidi="ar"/>
        </w:rPr>
        <w:t>用</w:t>
      </w:r>
      <w:r>
        <w:rPr>
          <w:rFonts w:hint="eastAsia" w:ascii="宋体" w:hAnsi="宋体" w:eastAsia="宋体" w:cs="Arial Unicode MS"/>
          <w:spacing w:val="6"/>
          <w:szCs w:val="21"/>
          <w:lang w:bidi="ar"/>
        </w:rPr>
        <w:t>出现了</w:t>
      </w:r>
      <w:r>
        <w:rPr>
          <w:rFonts w:hint="eastAsia" w:ascii="宋体" w:hAnsi="宋体" w:eastAsia="宋体" w:cs="Arial Unicode MS"/>
          <w:spacing w:val="4"/>
          <w:szCs w:val="21"/>
          <w:lang w:bidi="ar"/>
        </w:rPr>
        <w:t>指</w:t>
      </w:r>
      <w:r>
        <w:rPr>
          <w:rFonts w:hint="eastAsia" w:ascii="宋体" w:hAnsi="宋体" w:eastAsia="宋体" w:cs="Arial Unicode MS"/>
          <w:spacing w:val="6"/>
          <w:szCs w:val="21"/>
          <w:lang w:bidi="ar"/>
        </w:rPr>
        <w:t>数</w:t>
      </w:r>
      <w:r>
        <w:rPr>
          <w:rFonts w:hint="eastAsia" w:ascii="宋体" w:hAnsi="宋体" w:eastAsia="宋体" w:cs="Arial Unicode MS"/>
          <w:szCs w:val="21"/>
          <w:lang w:bidi="ar"/>
        </w:rPr>
        <w:t>式的增长</w:t>
      </w:r>
      <w:r>
        <w:rPr>
          <w:rFonts w:hint="eastAsia" w:ascii="宋体" w:hAnsi="宋体" w:eastAsia="宋体" w:cs="Arial Unicode MS"/>
          <w:spacing w:val="-28"/>
          <w:szCs w:val="21"/>
          <w:lang w:bidi="ar"/>
        </w:rPr>
        <w:t>。</w:t>
      </w:r>
      <w:r>
        <w:rPr>
          <w:rFonts w:hint="eastAsia" w:ascii="宋体" w:hAnsi="宋体" w:eastAsia="宋体" w:cs="Arial Unicode MS"/>
          <w:szCs w:val="21"/>
          <w:lang w:bidi="ar"/>
        </w:rPr>
        <w:t>为了推</w:t>
      </w:r>
      <w:r>
        <w:rPr>
          <w:rFonts w:hint="eastAsia" w:ascii="宋体" w:hAnsi="宋体" w:eastAsia="宋体" w:cs="Arial Unicode MS"/>
          <w:spacing w:val="-2"/>
          <w:szCs w:val="21"/>
          <w:lang w:bidi="ar"/>
        </w:rPr>
        <w:t>动</w:t>
      </w:r>
      <w:r>
        <w:rPr>
          <w:rFonts w:hint="eastAsia" w:ascii="宋体" w:hAnsi="宋体" w:eastAsia="宋体" w:cs="Arial Unicode MS"/>
          <w:szCs w:val="21"/>
          <w:lang w:bidi="ar"/>
        </w:rPr>
        <w:t>经济演</w:t>
      </w:r>
      <w:r>
        <w:rPr>
          <w:rFonts w:hint="eastAsia" w:ascii="宋体" w:hAnsi="宋体" w:eastAsia="宋体" w:cs="Arial Unicode MS"/>
          <w:spacing w:val="-2"/>
          <w:szCs w:val="21"/>
          <w:lang w:bidi="ar"/>
        </w:rPr>
        <w:t>化</w:t>
      </w:r>
      <w:r>
        <w:rPr>
          <w:rFonts w:hint="eastAsia" w:ascii="宋体" w:hAnsi="宋体" w:eastAsia="宋体" w:cs="Arial Unicode MS"/>
          <w:szCs w:val="21"/>
          <w:lang w:bidi="ar"/>
        </w:rPr>
        <w:t>的探讨</w:t>
      </w:r>
      <w:r>
        <w:rPr>
          <w:rFonts w:hint="eastAsia" w:ascii="宋体" w:hAnsi="宋体" w:eastAsia="宋体" w:cs="Times New Roman"/>
          <w:spacing w:val="2"/>
          <w:szCs w:val="21"/>
          <w:lang w:bidi="ar"/>
        </w:rPr>
        <w:t>，</w:t>
      </w:r>
      <w:r>
        <w:rPr>
          <w:rFonts w:hint="eastAsia" w:ascii="宋体" w:hAnsi="宋体" w:eastAsia="宋体" w:cs="Times New Roman"/>
          <w:spacing w:val="6"/>
          <w:szCs w:val="21"/>
          <w:lang w:bidi="ar"/>
        </w:rPr>
        <w:t>1</w:t>
      </w:r>
      <w:r>
        <w:rPr>
          <w:rFonts w:hint="eastAsia" w:ascii="宋体" w:hAnsi="宋体" w:eastAsia="宋体" w:cs="Times New Roman"/>
          <w:spacing w:val="4"/>
          <w:szCs w:val="21"/>
          <w:lang w:bidi="ar"/>
        </w:rPr>
        <w:t>96</w:t>
      </w:r>
      <w:r>
        <w:rPr>
          <w:rFonts w:hint="eastAsia" w:ascii="宋体" w:hAnsi="宋体" w:eastAsia="宋体" w:cs="Times New Roman"/>
          <w:szCs w:val="21"/>
          <w:lang w:bidi="ar"/>
        </w:rPr>
        <w:t>5</w:t>
      </w:r>
      <w:r>
        <w:rPr>
          <w:rFonts w:hint="eastAsia" w:ascii="宋体" w:hAnsi="宋体" w:eastAsia="宋体" w:cs="Arial Unicode MS"/>
          <w:szCs w:val="21"/>
          <w:lang w:bidi="ar"/>
        </w:rPr>
        <w:t>年</w:t>
      </w:r>
      <w:r>
        <w:rPr>
          <w:rFonts w:hint="eastAsia" w:ascii="宋体" w:hAnsi="宋体" w:eastAsia="宋体" w:cs="Arial Unicode MS"/>
          <w:spacing w:val="2"/>
          <w:szCs w:val="21"/>
          <w:lang w:bidi="ar"/>
        </w:rPr>
        <w:t>在</w:t>
      </w:r>
      <w:r>
        <w:rPr>
          <w:rFonts w:hint="eastAsia" w:ascii="宋体" w:hAnsi="宋体" w:eastAsia="宋体" w:cs="Arial Unicode MS"/>
          <w:spacing w:val="4"/>
          <w:szCs w:val="21"/>
          <w:lang w:bidi="ar"/>
        </w:rPr>
        <w:t>美</w:t>
      </w:r>
      <w:r>
        <w:rPr>
          <w:rFonts w:hint="eastAsia" w:ascii="宋体" w:hAnsi="宋体" w:eastAsia="宋体" w:cs="Arial Unicode MS"/>
          <w:spacing w:val="6"/>
          <w:szCs w:val="21"/>
          <w:lang w:bidi="ar"/>
        </w:rPr>
        <w:t>国成</w:t>
      </w:r>
      <w:r>
        <w:rPr>
          <w:rFonts w:hint="eastAsia" w:ascii="宋体" w:hAnsi="宋体" w:eastAsia="宋体" w:cs="Arial Unicode MS"/>
          <w:spacing w:val="4"/>
          <w:szCs w:val="21"/>
          <w:lang w:bidi="ar"/>
        </w:rPr>
        <w:t>立</w:t>
      </w:r>
      <w:r>
        <w:rPr>
          <w:rFonts w:hint="eastAsia" w:ascii="宋体" w:hAnsi="宋体" w:eastAsia="宋体" w:cs="Arial Unicode MS"/>
          <w:spacing w:val="6"/>
          <w:szCs w:val="21"/>
          <w:lang w:bidi="ar"/>
        </w:rPr>
        <w:t>了演化</w:t>
      </w:r>
      <w:r>
        <w:rPr>
          <w:rFonts w:hint="eastAsia" w:ascii="宋体" w:hAnsi="宋体" w:eastAsia="宋体" w:cs="Arial Unicode MS"/>
          <w:spacing w:val="4"/>
          <w:szCs w:val="21"/>
          <w:lang w:bidi="ar"/>
        </w:rPr>
        <w:t>经</w:t>
      </w:r>
      <w:r>
        <w:rPr>
          <w:rFonts w:hint="eastAsia" w:ascii="宋体" w:hAnsi="宋体" w:eastAsia="宋体" w:cs="Arial Unicode MS"/>
          <w:spacing w:val="6"/>
          <w:szCs w:val="21"/>
          <w:lang w:bidi="ar"/>
        </w:rPr>
        <w:t>济学</w:t>
      </w:r>
      <w:r>
        <w:rPr>
          <w:rFonts w:hint="eastAsia" w:ascii="宋体" w:hAnsi="宋体" w:eastAsia="宋体" w:cs="Arial Unicode MS"/>
          <w:spacing w:val="4"/>
          <w:szCs w:val="21"/>
          <w:lang w:bidi="ar"/>
        </w:rPr>
        <w:t>学</w:t>
      </w:r>
      <w:r>
        <w:rPr>
          <w:rFonts w:hint="eastAsia" w:ascii="宋体" w:hAnsi="宋体" w:eastAsia="宋体" w:cs="Arial Unicode MS"/>
          <w:szCs w:val="21"/>
          <w:lang w:bidi="ar"/>
        </w:rPr>
        <w:t>会</w:t>
      </w:r>
      <w:r>
        <w:rPr>
          <w:rFonts w:hint="eastAsia" w:ascii="宋体" w:hAnsi="宋体" w:eastAsia="宋体" w:cs="Times New Roman"/>
          <w:spacing w:val="10"/>
          <w:szCs w:val="21"/>
          <w:lang w:bidi="ar"/>
        </w:rPr>
        <w:t>，</w:t>
      </w:r>
      <w:r>
        <w:rPr>
          <w:rFonts w:hint="eastAsia" w:ascii="宋体" w:hAnsi="宋体" w:eastAsia="宋体" w:cs="Times New Roman"/>
          <w:spacing w:val="6"/>
          <w:szCs w:val="21"/>
          <w:lang w:bidi="ar"/>
        </w:rPr>
        <w:t>1</w:t>
      </w:r>
      <w:r>
        <w:rPr>
          <w:rFonts w:hint="eastAsia" w:ascii="宋体" w:hAnsi="宋体" w:eastAsia="宋体" w:cs="Times New Roman"/>
          <w:spacing w:val="4"/>
          <w:szCs w:val="21"/>
          <w:lang w:bidi="ar"/>
        </w:rPr>
        <w:t>9</w:t>
      </w:r>
      <w:r>
        <w:rPr>
          <w:rFonts w:hint="eastAsia" w:ascii="宋体" w:hAnsi="宋体" w:eastAsia="宋体" w:cs="Times New Roman"/>
          <w:spacing w:val="6"/>
          <w:szCs w:val="21"/>
          <w:lang w:bidi="ar"/>
        </w:rPr>
        <w:t>8</w:t>
      </w:r>
      <w:r>
        <w:rPr>
          <w:rFonts w:hint="eastAsia" w:ascii="宋体" w:hAnsi="宋体" w:eastAsia="宋体" w:cs="Times New Roman"/>
          <w:szCs w:val="21"/>
          <w:lang w:bidi="ar"/>
        </w:rPr>
        <w:t>9</w:t>
      </w:r>
      <w:r>
        <w:rPr>
          <w:rFonts w:hint="eastAsia" w:ascii="宋体" w:hAnsi="宋体" w:eastAsia="宋体" w:cs="Arial Unicode MS"/>
          <w:spacing w:val="6"/>
          <w:szCs w:val="21"/>
          <w:lang w:bidi="ar"/>
        </w:rPr>
        <w:t>年又</w:t>
      </w:r>
      <w:r>
        <w:rPr>
          <w:rFonts w:hint="eastAsia" w:ascii="宋体" w:hAnsi="宋体" w:eastAsia="宋体" w:cs="Arial Unicode MS"/>
          <w:spacing w:val="4"/>
          <w:szCs w:val="21"/>
          <w:lang w:bidi="ar"/>
        </w:rPr>
        <w:t>成</w:t>
      </w:r>
      <w:r>
        <w:rPr>
          <w:rFonts w:hint="eastAsia" w:ascii="宋体" w:hAnsi="宋体" w:eastAsia="宋体" w:cs="Arial Unicode MS"/>
          <w:spacing w:val="6"/>
          <w:szCs w:val="21"/>
          <w:lang w:bidi="ar"/>
        </w:rPr>
        <w:t>立</w:t>
      </w:r>
      <w:r>
        <w:rPr>
          <w:rFonts w:hint="eastAsia" w:ascii="宋体" w:hAnsi="宋体" w:eastAsia="宋体" w:cs="Arial Unicode MS"/>
          <w:szCs w:val="21"/>
          <w:lang w:bidi="ar"/>
        </w:rPr>
        <w:t>了欧洲</w:t>
      </w:r>
      <w:r>
        <w:rPr>
          <w:rFonts w:hint="eastAsia" w:ascii="宋体" w:hAnsi="宋体" w:eastAsia="宋体" w:cs="Arial Unicode MS"/>
          <w:spacing w:val="-2"/>
          <w:szCs w:val="21"/>
          <w:lang w:bidi="ar"/>
        </w:rPr>
        <w:t>演</w:t>
      </w:r>
      <w:r>
        <w:rPr>
          <w:rFonts w:hint="eastAsia" w:ascii="宋体" w:hAnsi="宋体" w:eastAsia="宋体" w:cs="Arial Unicode MS"/>
          <w:szCs w:val="21"/>
          <w:lang w:bidi="ar"/>
        </w:rPr>
        <w:t>化政治经</w:t>
      </w:r>
      <w:r>
        <w:rPr>
          <w:rFonts w:hint="eastAsia" w:ascii="宋体" w:hAnsi="宋体" w:eastAsia="宋体" w:cs="Arial Unicode MS"/>
          <w:spacing w:val="-2"/>
          <w:szCs w:val="21"/>
          <w:lang w:bidi="ar"/>
        </w:rPr>
        <w:t>济</w:t>
      </w:r>
      <w:r>
        <w:rPr>
          <w:rFonts w:hint="eastAsia" w:ascii="宋体" w:hAnsi="宋体" w:eastAsia="宋体" w:cs="Arial Unicode MS"/>
          <w:szCs w:val="21"/>
          <w:lang w:bidi="ar"/>
        </w:rPr>
        <w:t>学协会，并创办《演化经济学杂志》。</w:t>
      </w:r>
    </w:p>
    <w:p w14:paraId="48B33FFC">
      <w:pPr>
        <w:autoSpaceDE w:val="0"/>
        <w:autoSpaceDN w:val="0"/>
        <w:spacing w:before="6" w:line="300" w:lineRule="auto"/>
        <w:ind w:firstLine="432" w:firstLineChars="200"/>
        <w:rPr>
          <w:rFonts w:ascii="宋体" w:hAnsi="宋体" w:eastAsia="宋体" w:cs="Arial Unicode MS"/>
          <w:spacing w:val="-54"/>
          <w:szCs w:val="21"/>
        </w:rPr>
      </w:pPr>
      <w:r>
        <w:rPr>
          <w:rFonts w:hint="eastAsia" w:ascii="宋体" w:hAnsi="宋体" w:eastAsia="宋体" w:cs="Arial Unicode MS"/>
          <w:spacing w:val="-2"/>
          <w:szCs w:val="21"/>
          <w:lang w:bidi="ar"/>
        </w:rPr>
        <w:t>生</w:t>
      </w:r>
      <w:r>
        <w:rPr>
          <w:rFonts w:hint="eastAsia" w:ascii="宋体" w:hAnsi="宋体" w:eastAsia="宋体" w:cs="Arial Unicode MS"/>
          <w:szCs w:val="21"/>
          <w:lang w:bidi="ar"/>
        </w:rPr>
        <w:t>物学中有</w:t>
      </w:r>
      <w:r>
        <w:rPr>
          <w:rFonts w:hint="eastAsia" w:ascii="宋体" w:hAnsi="宋体" w:eastAsia="宋体" w:cs="Arial Unicode MS"/>
          <w:spacing w:val="-2"/>
          <w:szCs w:val="21"/>
          <w:lang w:bidi="ar"/>
        </w:rPr>
        <w:t>许</w:t>
      </w:r>
      <w:r>
        <w:rPr>
          <w:rFonts w:hint="eastAsia" w:ascii="宋体" w:hAnsi="宋体" w:eastAsia="宋体" w:cs="Arial Unicode MS"/>
          <w:szCs w:val="21"/>
          <w:lang w:bidi="ar"/>
        </w:rPr>
        <w:t>多理论</w:t>
      </w:r>
      <w:r>
        <w:rPr>
          <w:rFonts w:hint="eastAsia" w:ascii="宋体" w:hAnsi="宋体" w:eastAsia="宋体" w:cs="Arial Unicode MS"/>
          <w:spacing w:val="-2"/>
          <w:szCs w:val="21"/>
          <w:lang w:bidi="ar"/>
        </w:rPr>
        <w:t>都</w:t>
      </w:r>
      <w:r>
        <w:rPr>
          <w:rFonts w:hint="eastAsia" w:ascii="宋体" w:hAnsi="宋体" w:eastAsia="宋体" w:cs="Arial Unicode MS"/>
          <w:szCs w:val="21"/>
          <w:lang w:bidi="ar"/>
        </w:rPr>
        <w:t>是经济学</w:t>
      </w:r>
      <w:r>
        <w:rPr>
          <w:rFonts w:hint="eastAsia" w:ascii="宋体" w:hAnsi="宋体" w:eastAsia="宋体" w:cs="Arial Unicode MS"/>
          <w:spacing w:val="-2"/>
          <w:szCs w:val="21"/>
          <w:lang w:bidi="ar"/>
        </w:rPr>
        <w:t>可</w:t>
      </w:r>
      <w:r>
        <w:rPr>
          <w:rFonts w:hint="eastAsia" w:ascii="宋体" w:hAnsi="宋体" w:eastAsia="宋体" w:cs="Arial Unicode MS"/>
          <w:szCs w:val="21"/>
          <w:lang w:bidi="ar"/>
        </w:rPr>
        <w:t>借鉴的</w:t>
      </w:r>
      <w:r>
        <w:rPr>
          <w:rFonts w:hint="eastAsia" w:ascii="宋体" w:hAnsi="宋体" w:eastAsia="宋体" w:cs="Times New Roman"/>
          <w:spacing w:val="4"/>
          <w:szCs w:val="21"/>
          <w:lang w:bidi="ar"/>
        </w:rPr>
        <w:t>，</w:t>
      </w:r>
      <w:r>
        <w:rPr>
          <w:rFonts w:hint="eastAsia" w:ascii="宋体" w:hAnsi="宋体" w:eastAsia="宋体" w:cs="Arial Unicode MS"/>
          <w:spacing w:val="4"/>
          <w:szCs w:val="21"/>
          <w:lang w:bidi="ar"/>
        </w:rPr>
        <w:t>如动物</w:t>
      </w:r>
      <w:r>
        <w:rPr>
          <w:rFonts w:hint="eastAsia" w:ascii="宋体" w:hAnsi="宋体" w:eastAsia="宋体" w:cs="Arial Unicode MS"/>
          <w:spacing w:val="6"/>
          <w:szCs w:val="21"/>
          <w:lang w:bidi="ar"/>
        </w:rPr>
        <w:t>的利他</w:t>
      </w:r>
      <w:r>
        <w:rPr>
          <w:rFonts w:hint="eastAsia" w:ascii="宋体" w:hAnsi="宋体" w:eastAsia="宋体" w:cs="Arial Unicode MS"/>
          <w:spacing w:val="4"/>
          <w:szCs w:val="21"/>
          <w:lang w:bidi="ar"/>
        </w:rPr>
        <w:t>主</w:t>
      </w:r>
      <w:r>
        <w:rPr>
          <w:rFonts w:hint="eastAsia" w:ascii="宋体" w:hAnsi="宋体" w:eastAsia="宋体" w:cs="Arial Unicode MS"/>
          <w:spacing w:val="6"/>
          <w:szCs w:val="21"/>
          <w:lang w:bidi="ar"/>
        </w:rPr>
        <w:t>义对</w:t>
      </w:r>
      <w:r>
        <w:rPr>
          <w:rFonts w:hint="eastAsia" w:ascii="宋体" w:hAnsi="宋体" w:eastAsia="宋体" w:cs="Arial Unicode MS"/>
          <w:spacing w:val="4"/>
          <w:szCs w:val="21"/>
          <w:lang w:bidi="ar"/>
        </w:rPr>
        <w:t>西</w:t>
      </w:r>
      <w:r>
        <w:rPr>
          <w:rFonts w:hint="eastAsia" w:ascii="宋体" w:hAnsi="宋体" w:eastAsia="宋体" w:cs="Arial Unicode MS"/>
          <w:spacing w:val="6"/>
          <w:szCs w:val="21"/>
          <w:lang w:bidi="ar"/>
        </w:rPr>
        <w:t>方主</w:t>
      </w:r>
      <w:r>
        <w:rPr>
          <w:rFonts w:hint="eastAsia" w:ascii="宋体" w:hAnsi="宋体" w:eastAsia="宋体" w:cs="Arial Unicode MS"/>
          <w:spacing w:val="4"/>
          <w:szCs w:val="21"/>
          <w:lang w:bidi="ar"/>
        </w:rPr>
        <w:t>流</w:t>
      </w:r>
      <w:r>
        <w:rPr>
          <w:rFonts w:hint="eastAsia" w:ascii="宋体" w:hAnsi="宋体" w:eastAsia="宋体" w:cs="Arial Unicode MS"/>
          <w:spacing w:val="6"/>
          <w:szCs w:val="21"/>
          <w:lang w:bidi="ar"/>
        </w:rPr>
        <w:t>经济学</w:t>
      </w:r>
      <w:r>
        <w:rPr>
          <w:rFonts w:hint="eastAsia" w:ascii="宋体" w:hAnsi="宋体" w:eastAsia="宋体" w:cs="Arial Unicode MS"/>
          <w:spacing w:val="4"/>
          <w:szCs w:val="21"/>
          <w:lang w:bidi="ar"/>
        </w:rPr>
        <w:t>基</w:t>
      </w:r>
      <w:r>
        <w:rPr>
          <w:rFonts w:hint="eastAsia" w:ascii="宋体" w:hAnsi="宋体" w:eastAsia="宋体" w:cs="Arial Unicode MS"/>
          <w:spacing w:val="6"/>
          <w:szCs w:val="21"/>
          <w:lang w:bidi="ar"/>
        </w:rPr>
        <w:t>石</w:t>
      </w:r>
      <w:r>
        <w:rPr>
          <w:rFonts w:hint="eastAsia" w:ascii="宋体" w:hAnsi="宋体" w:eastAsia="宋体" w:cs="Arial Unicode MS"/>
          <w:szCs w:val="21"/>
          <w:lang w:bidi="ar"/>
        </w:rPr>
        <w:t>的“自私人假设”的反驳，动物的“拟态行为”和博弈论中的学习理论，动物的社群关系和产业组织理论中产业布局以及进化稳定战略等，这些都是值得研究的</w:t>
      </w:r>
      <w:r>
        <w:rPr>
          <w:rFonts w:hint="eastAsia" w:ascii="宋体" w:hAnsi="宋体" w:eastAsia="宋体" w:cs="Arial Unicode MS"/>
          <w:spacing w:val="4"/>
          <w:szCs w:val="21"/>
          <w:lang w:bidi="ar"/>
        </w:rPr>
        <w:t>课</w:t>
      </w:r>
      <w:r>
        <w:rPr>
          <w:rFonts w:hint="eastAsia" w:ascii="宋体" w:hAnsi="宋体" w:eastAsia="宋体" w:cs="Arial Unicode MS"/>
          <w:szCs w:val="21"/>
          <w:lang w:bidi="ar"/>
        </w:rPr>
        <w:t>题</w:t>
      </w:r>
      <w:r>
        <w:rPr>
          <w:rFonts w:hint="eastAsia" w:ascii="宋体" w:hAnsi="宋体" w:eastAsia="宋体" w:cs="Arial Unicode MS"/>
          <w:spacing w:val="-24"/>
          <w:szCs w:val="21"/>
          <w:lang w:bidi="ar"/>
        </w:rPr>
        <w:t>。</w:t>
      </w:r>
      <w:r>
        <w:rPr>
          <w:rFonts w:hint="eastAsia" w:ascii="宋体" w:hAnsi="宋体" w:eastAsia="宋体" w:cs="Arial Unicode MS"/>
          <w:spacing w:val="6"/>
          <w:szCs w:val="21"/>
          <w:lang w:bidi="ar"/>
        </w:rPr>
        <w:t>经</w:t>
      </w:r>
      <w:r>
        <w:rPr>
          <w:rFonts w:hint="eastAsia" w:ascii="宋体" w:hAnsi="宋体" w:eastAsia="宋体" w:cs="Arial Unicode MS"/>
          <w:spacing w:val="4"/>
          <w:szCs w:val="21"/>
          <w:lang w:bidi="ar"/>
        </w:rPr>
        <w:t>济</w:t>
      </w:r>
      <w:r>
        <w:rPr>
          <w:rFonts w:hint="eastAsia" w:ascii="宋体" w:hAnsi="宋体" w:eastAsia="宋体" w:cs="Arial Unicode MS"/>
          <w:spacing w:val="6"/>
          <w:szCs w:val="21"/>
          <w:lang w:bidi="ar"/>
        </w:rPr>
        <w:t>系统</w:t>
      </w:r>
      <w:r>
        <w:rPr>
          <w:rFonts w:hint="eastAsia" w:ascii="宋体" w:hAnsi="宋体" w:eastAsia="宋体" w:cs="Arial Unicode MS"/>
          <w:spacing w:val="4"/>
          <w:szCs w:val="21"/>
          <w:lang w:bidi="ar"/>
        </w:rPr>
        <w:t>和</w:t>
      </w:r>
      <w:r>
        <w:rPr>
          <w:rFonts w:hint="eastAsia" w:ascii="宋体" w:hAnsi="宋体" w:eastAsia="宋体" w:cs="Arial Unicode MS"/>
          <w:spacing w:val="6"/>
          <w:szCs w:val="21"/>
          <w:lang w:bidi="ar"/>
        </w:rPr>
        <w:t>生物系</w:t>
      </w:r>
      <w:r>
        <w:rPr>
          <w:rFonts w:hint="eastAsia" w:ascii="宋体" w:hAnsi="宋体" w:eastAsia="宋体" w:cs="Arial Unicode MS"/>
          <w:spacing w:val="4"/>
          <w:szCs w:val="21"/>
          <w:lang w:bidi="ar"/>
        </w:rPr>
        <w:t>统</w:t>
      </w:r>
      <w:r>
        <w:rPr>
          <w:rFonts w:hint="eastAsia" w:ascii="宋体" w:hAnsi="宋体" w:eastAsia="宋体" w:cs="Arial Unicode MS"/>
          <w:spacing w:val="6"/>
          <w:szCs w:val="21"/>
          <w:lang w:bidi="ar"/>
        </w:rPr>
        <w:t>都</w:t>
      </w:r>
      <w:r>
        <w:rPr>
          <w:rFonts w:hint="eastAsia" w:ascii="宋体" w:hAnsi="宋体" w:eastAsia="宋体" w:cs="Arial Unicode MS"/>
          <w:szCs w:val="21"/>
          <w:lang w:bidi="ar"/>
        </w:rPr>
        <w:t>是极复</w:t>
      </w:r>
      <w:r>
        <w:rPr>
          <w:rFonts w:hint="eastAsia" w:ascii="宋体" w:hAnsi="宋体" w:eastAsia="宋体" w:cs="Arial Unicode MS"/>
          <w:spacing w:val="-2"/>
          <w:szCs w:val="21"/>
          <w:lang w:bidi="ar"/>
        </w:rPr>
        <w:t>杂</w:t>
      </w:r>
      <w:r>
        <w:rPr>
          <w:rFonts w:hint="eastAsia" w:ascii="宋体" w:hAnsi="宋体" w:eastAsia="宋体" w:cs="Arial Unicode MS"/>
          <w:szCs w:val="21"/>
          <w:lang w:bidi="ar"/>
        </w:rPr>
        <w:t>的</w:t>
      </w:r>
      <w:r>
        <w:rPr>
          <w:rFonts w:hint="eastAsia" w:ascii="宋体" w:hAnsi="宋体" w:eastAsia="宋体" w:cs="Times New Roman"/>
          <w:spacing w:val="2"/>
          <w:szCs w:val="21"/>
          <w:lang w:bidi="ar"/>
        </w:rPr>
        <w:t>，</w:t>
      </w:r>
      <w:r>
        <w:rPr>
          <w:rFonts w:hint="eastAsia" w:ascii="宋体" w:hAnsi="宋体" w:eastAsia="宋体" w:cs="Arial Unicode MS"/>
          <w:spacing w:val="-2"/>
          <w:szCs w:val="21"/>
          <w:lang w:bidi="ar"/>
        </w:rPr>
        <w:t>这</w:t>
      </w:r>
      <w:r>
        <w:rPr>
          <w:rFonts w:hint="eastAsia" w:ascii="宋体" w:hAnsi="宋体" w:eastAsia="宋体" w:cs="Arial Unicode MS"/>
          <w:szCs w:val="21"/>
          <w:lang w:bidi="ar"/>
        </w:rPr>
        <w:t>是生物</w:t>
      </w:r>
      <w:r>
        <w:rPr>
          <w:rFonts w:hint="eastAsia" w:ascii="宋体" w:hAnsi="宋体" w:eastAsia="宋体" w:cs="Arial Unicode MS"/>
          <w:spacing w:val="-2"/>
          <w:szCs w:val="21"/>
          <w:lang w:bidi="ar"/>
        </w:rPr>
        <w:t>学</w:t>
      </w:r>
      <w:r>
        <w:rPr>
          <w:rFonts w:hint="eastAsia" w:ascii="宋体" w:hAnsi="宋体" w:eastAsia="宋体" w:cs="Arial Unicode MS"/>
          <w:szCs w:val="21"/>
          <w:lang w:bidi="ar"/>
        </w:rPr>
        <w:t>思想之所</w:t>
      </w:r>
      <w:r>
        <w:rPr>
          <w:rFonts w:hint="eastAsia" w:ascii="宋体" w:hAnsi="宋体" w:eastAsia="宋体" w:cs="Arial Unicode MS"/>
          <w:spacing w:val="-2"/>
          <w:szCs w:val="21"/>
          <w:lang w:bidi="ar"/>
        </w:rPr>
        <w:t>以</w:t>
      </w:r>
      <w:r>
        <w:rPr>
          <w:rFonts w:hint="eastAsia" w:ascii="宋体" w:hAnsi="宋体" w:eastAsia="宋体" w:cs="Arial Unicode MS"/>
          <w:szCs w:val="21"/>
          <w:lang w:bidi="ar"/>
        </w:rPr>
        <w:t>对经济学</w:t>
      </w:r>
      <w:r>
        <w:rPr>
          <w:rFonts w:hint="eastAsia" w:ascii="宋体" w:hAnsi="宋体" w:eastAsia="宋体" w:cs="Arial Unicode MS"/>
          <w:spacing w:val="2"/>
          <w:szCs w:val="21"/>
          <w:lang w:bidi="ar"/>
        </w:rPr>
        <w:t>有</w:t>
      </w:r>
      <w:r>
        <w:rPr>
          <w:rFonts w:hint="eastAsia" w:ascii="宋体" w:hAnsi="宋体" w:eastAsia="宋体" w:cs="Arial Unicode MS"/>
          <w:spacing w:val="4"/>
          <w:szCs w:val="21"/>
          <w:lang w:bidi="ar"/>
        </w:rPr>
        <w:t>重</w:t>
      </w:r>
      <w:r>
        <w:rPr>
          <w:rFonts w:hint="eastAsia" w:ascii="宋体" w:hAnsi="宋体" w:eastAsia="宋体" w:cs="Arial Unicode MS"/>
          <w:spacing w:val="6"/>
          <w:szCs w:val="21"/>
          <w:lang w:bidi="ar"/>
        </w:rPr>
        <w:t>大意</w:t>
      </w:r>
      <w:r>
        <w:rPr>
          <w:rFonts w:hint="eastAsia" w:ascii="宋体" w:hAnsi="宋体" w:eastAsia="宋体" w:cs="Arial Unicode MS"/>
          <w:spacing w:val="4"/>
          <w:szCs w:val="21"/>
          <w:lang w:bidi="ar"/>
        </w:rPr>
        <w:t>义</w:t>
      </w:r>
      <w:r>
        <w:rPr>
          <w:rFonts w:hint="eastAsia" w:ascii="宋体" w:hAnsi="宋体" w:eastAsia="宋体" w:cs="Arial Unicode MS"/>
          <w:spacing w:val="6"/>
          <w:szCs w:val="21"/>
          <w:lang w:bidi="ar"/>
        </w:rPr>
        <w:t>的一</w:t>
      </w:r>
      <w:r>
        <w:rPr>
          <w:rFonts w:hint="eastAsia" w:ascii="宋体" w:hAnsi="宋体" w:eastAsia="宋体" w:cs="Arial Unicode MS"/>
          <w:spacing w:val="4"/>
          <w:szCs w:val="21"/>
          <w:lang w:bidi="ar"/>
        </w:rPr>
        <w:t>个</w:t>
      </w:r>
      <w:r>
        <w:rPr>
          <w:rFonts w:hint="eastAsia" w:ascii="宋体" w:hAnsi="宋体" w:eastAsia="宋体" w:cs="Arial Unicode MS"/>
          <w:spacing w:val="6"/>
          <w:szCs w:val="21"/>
          <w:lang w:bidi="ar"/>
        </w:rPr>
        <w:t>缘</w:t>
      </w:r>
      <w:r>
        <w:rPr>
          <w:rFonts w:hint="eastAsia" w:ascii="宋体" w:hAnsi="宋体" w:eastAsia="宋体" w:cs="Arial Unicode MS"/>
          <w:szCs w:val="21"/>
          <w:lang w:bidi="ar"/>
        </w:rPr>
        <w:t>由</w:t>
      </w:r>
      <w:r>
        <w:rPr>
          <w:rFonts w:hint="eastAsia" w:ascii="宋体" w:hAnsi="宋体" w:eastAsia="宋体" w:cs="Arial Unicode MS"/>
          <w:spacing w:val="-22"/>
          <w:szCs w:val="21"/>
          <w:lang w:bidi="ar"/>
        </w:rPr>
        <w:t>。</w:t>
      </w:r>
      <w:r>
        <w:rPr>
          <w:rFonts w:hint="eastAsia" w:ascii="宋体" w:hAnsi="宋体" w:eastAsia="宋体" w:cs="Arial Unicode MS"/>
          <w:spacing w:val="4"/>
          <w:szCs w:val="21"/>
          <w:lang w:bidi="ar"/>
        </w:rPr>
        <w:t>经</w:t>
      </w:r>
      <w:r>
        <w:rPr>
          <w:rFonts w:hint="eastAsia" w:ascii="宋体" w:hAnsi="宋体" w:eastAsia="宋体" w:cs="Arial Unicode MS"/>
          <w:spacing w:val="6"/>
          <w:szCs w:val="21"/>
          <w:lang w:bidi="ar"/>
        </w:rPr>
        <w:t>济学</w:t>
      </w:r>
      <w:r>
        <w:rPr>
          <w:rFonts w:hint="eastAsia" w:ascii="宋体" w:hAnsi="宋体" w:eastAsia="宋体" w:cs="Arial Unicode MS"/>
          <w:spacing w:val="4"/>
          <w:szCs w:val="21"/>
          <w:lang w:bidi="ar"/>
        </w:rPr>
        <w:t>研</w:t>
      </w:r>
      <w:r>
        <w:rPr>
          <w:rFonts w:hint="eastAsia" w:ascii="宋体" w:hAnsi="宋体" w:eastAsia="宋体" w:cs="Arial Unicode MS"/>
          <w:spacing w:val="6"/>
          <w:szCs w:val="21"/>
          <w:lang w:bidi="ar"/>
        </w:rPr>
        <w:t>究借助</w:t>
      </w:r>
      <w:r>
        <w:rPr>
          <w:rFonts w:hint="eastAsia" w:ascii="宋体" w:hAnsi="宋体" w:eastAsia="宋体" w:cs="Arial Unicode MS"/>
          <w:spacing w:val="4"/>
          <w:szCs w:val="21"/>
          <w:lang w:bidi="ar"/>
        </w:rPr>
        <w:t>于</w:t>
      </w:r>
      <w:r>
        <w:rPr>
          <w:rFonts w:hint="eastAsia" w:ascii="宋体" w:hAnsi="宋体" w:eastAsia="宋体" w:cs="Arial Unicode MS"/>
          <w:spacing w:val="6"/>
          <w:szCs w:val="21"/>
          <w:lang w:bidi="ar"/>
        </w:rPr>
        <w:t>生</w:t>
      </w:r>
      <w:r>
        <w:rPr>
          <w:rFonts w:hint="eastAsia" w:ascii="宋体" w:hAnsi="宋体" w:eastAsia="宋体" w:cs="Arial Unicode MS"/>
          <w:szCs w:val="21"/>
          <w:lang w:bidi="ar"/>
        </w:rPr>
        <w:t>物学思想</w:t>
      </w:r>
      <w:r>
        <w:rPr>
          <w:rFonts w:hint="eastAsia" w:ascii="宋体" w:hAnsi="宋体" w:eastAsia="宋体" w:cs="Times New Roman"/>
          <w:spacing w:val="2"/>
          <w:szCs w:val="21"/>
          <w:lang w:bidi="ar"/>
        </w:rPr>
        <w:t>，</w:t>
      </w:r>
      <w:r>
        <w:rPr>
          <w:rFonts w:hint="eastAsia" w:ascii="宋体" w:hAnsi="宋体" w:eastAsia="宋体" w:cs="Arial Unicode MS"/>
          <w:szCs w:val="21"/>
          <w:lang w:bidi="ar"/>
        </w:rPr>
        <w:t>这</w:t>
      </w:r>
      <w:r>
        <w:rPr>
          <w:rFonts w:hint="eastAsia" w:ascii="宋体" w:hAnsi="宋体" w:eastAsia="宋体" w:cs="Arial Unicode MS"/>
          <w:spacing w:val="-2"/>
          <w:szCs w:val="21"/>
          <w:lang w:bidi="ar"/>
        </w:rPr>
        <w:t>在</w:t>
      </w:r>
      <w:r>
        <w:rPr>
          <w:rFonts w:hint="eastAsia" w:ascii="宋体" w:hAnsi="宋体" w:eastAsia="宋体" w:cs="Arial Unicode MS"/>
          <w:szCs w:val="21"/>
          <w:lang w:bidi="ar"/>
        </w:rPr>
        <w:t>某种程</w:t>
      </w:r>
      <w:r>
        <w:rPr>
          <w:rFonts w:hint="eastAsia" w:ascii="宋体" w:hAnsi="宋体" w:eastAsia="宋体" w:cs="Arial Unicode MS"/>
          <w:spacing w:val="-2"/>
          <w:szCs w:val="21"/>
          <w:lang w:bidi="ar"/>
        </w:rPr>
        <w:t>度</w:t>
      </w:r>
      <w:r>
        <w:rPr>
          <w:rFonts w:hint="eastAsia" w:ascii="宋体" w:hAnsi="宋体" w:eastAsia="宋体" w:cs="Arial Unicode MS"/>
          <w:szCs w:val="21"/>
          <w:lang w:bidi="ar"/>
        </w:rPr>
        <w:t>上是因为</w:t>
      </w:r>
      <w:r>
        <w:rPr>
          <w:rFonts w:hint="eastAsia" w:ascii="宋体" w:hAnsi="宋体" w:eastAsia="宋体" w:cs="Arial Unicode MS"/>
          <w:spacing w:val="-2"/>
          <w:szCs w:val="21"/>
          <w:lang w:bidi="ar"/>
        </w:rPr>
        <w:t>有</w:t>
      </w:r>
      <w:r>
        <w:rPr>
          <w:rFonts w:hint="eastAsia" w:ascii="宋体" w:hAnsi="宋体" w:eastAsia="宋体" w:cs="Arial Unicode MS"/>
          <w:szCs w:val="21"/>
          <w:lang w:bidi="ar"/>
        </w:rPr>
        <w:t>这样一种</w:t>
      </w:r>
      <w:r>
        <w:rPr>
          <w:rFonts w:hint="eastAsia" w:ascii="宋体" w:hAnsi="宋体" w:eastAsia="宋体" w:cs="Arial Unicode MS"/>
          <w:spacing w:val="-2"/>
          <w:szCs w:val="21"/>
          <w:lang w:bidi="ar"/>
        </w:rPr>
        <w:t>信</w:t>
      </w:r>
      <w:r>
        <w:rPr>
          <w:rFonts w:hint="eastAsia" w:ascii="宋体" w:hAnsi="宋体" w:eastAsia="宋体" w:cs="Arial Unicode MS"/>
          <w:szCs w:val="21"/>
          <w:lang w:bidi="ar"/>
        </w:rPr>
        <w:t>念</w:t>
      </w:r>
      <w:r>
        <w:rPr>
          <w:rFonts w:hint="eastAsia" w:ascii="宋体" w:hAnsi="宋体" w:eastAsia="宋体" w:cs="Times New Roman"/>
          <w:spacing w:val="8"/>
          <w:szCs w:val="21"/>
          <w:lang w:bidi="ar"/>
        </w:rPr>
        <w:t>：</w:t>
      </w:r>
      <w:r>
        <w:rPr>
          <w:rFonts w:hint="eastAsia" w:ascii="宋体" w:hAnsi="宋体" w:eastAsia="宋体" w:cs="Arial Unicode MS"/>
          <w:spacing w:val="-2"/>
          <w:szCs w:val="21"/>
          <w:lang w:bidi="ar"/>
        </w:rPr>
        <w:t>现</w:t>
      </w:r>
      <w:r>
        <w:rPr>
          <w:rFonts w:hint="eastAsia" w:ascii="宋体" w:hAnsi="宋体" w:eastAsia="宋体" w:cs="Arial Unicode MS"/>
          <w:szCs w:val="21"/>
          <w:lang w:bidi="ar"/>
        </w:rPr>
        <w:t>实世界的</w:t>
      </w:r>
      <w:r>
        <w:rPr>
          <w:rFonts w:hint="eastAsia" w:ascii="宋体" w:hAnsi="宋体" w:eastAsia="宋体" w:cs="Arial Unicode MS"/>
          <w:spacing w:val="-2"/>
          <w:szCs w:val="21"/>
          <w:lang w:bidi="ar"/>
        </w:rPr>
        <w:t>经</w:t>
      </w:r>
      <w:r>
        <w:rPr>
          <w:rFonts w:hint="eastAsia" w:ascii="宋体" w:hAnsi="宋体" w:eastAsia="宋体" w:cs="Arial Unicode MS"/>
          <w:szCs w:val="21"/>
          <w:lang w:bidi="ar"/>
        </w:rPr>
        <w:t>济现象与</w:t>
      </w:r>
      <w:r>
        <w:rPr>
          <w:rFonts w:hint="eastAsia" w:ascii="宋体" w:hAnsi="宋体" w:eastAsia="宋体" w:cs="Arial Unicode MS"/>
          <w:spacing w:val="-2"/>
          <w:szCs w:val="21"/>
          <w:lang w:bidi="ar"/>
        </w:rPr>
        <w:t>生</w:t>
      </w:r>
      <w:r>
        <w:rPr>
          <w:rFonts w:hint="eastAsia" w:ascii="宋体" w:hAnsi="宋体" w:eastAsia="宋体" w:cs="Arial Unicode MS"/>
          <w:szCs w:val="21"/>
          <w:lang w:bidi="ar"/>
        </w:rPr>
        <w:t>物有机体</w:t>
      </w:r>
      <w:r>
        <w:rPr>
          <w:rFonts w:hint="eastAsia" w:ascii="宋体" w:hAnsi="宋体" w:eastAsia="宋体" w:cs="Arial Unicode MS"/>
          <w:spacing w:val="-2"/>
          <w:szCs w:val="21"/>
          <w:lang w:bidi="ar"/>
        </w:rPr>
        <w:t>和</w:t>
      </w:r>
      <w:r>
        <w:rPr>
          <w:rFonts w:hint="eastAsia" w:ascii="宋体" w:hAnsi="宋体" w:eastAsia="宋体" w:cs="Arial Unicode MS"/>
          <w:szCs w:val="21"/>
          <w:lang w:bidi="ar"/>
        </w:rPr>
        <w:t>生物过程的</w:t>
      </w:r>
      <w:r>
        <w:rPr>
          <w:rFonts w:hint="eastAsia" w:ascii="宋体" w:hAnsi="宋体" w:eastAsia="宋体" w:cs="Arial Unicode MS"/>
          <w:spacing w:val="-2"/>
          <w:szCs w:val="21"/>
          <w:lang w:bidi="ar"/>
        </w:rPr>
        <w:t>共</w:t>
      </w:r>
      <w:r>
        <w:rPr>
          <w:rFonts w:hint="eastAsia" w:ascii="宋体" w:hAnsi="宋体" w:eastAsia="宋体" w:cs="Arial Unicode MS"/>
          <w:szCs w:val="21"/>
          <w:lang w:bidi="ar"/>
        </w:rPr>
        <w:t>同之处</w:t>
      </w:r>
      <w:r>
        <w:rPr>
          <w:rFonts w:hint="eastAsia" w:ascii="宋体" w:hAnsi="宋体" w:eastAsia="宋体" w:cs="Times New Roman"/>
          <w:szCs w:val="21"/>
          <w:lang w:bidi="ar"/>
        </w:rPr>
        <w:t>，</w:t>
      </w:r>
      <w:r>
        <w:rPr>
          <w:rFonts w:hint="eastAsia" w:ascii="宋体" w:hAnsi="宋体" w:eastAsia="宋体" w:cs="Arial Unicode MS"/>
          <w:szCs w:val="21"/>
          <w:lang w:bidi="ar"/>
        </w:rPr>
        <w:t>比它</w:t>
      </w:r>
      <w:r>
        <w:rPr>
          <w:rFonts w:hint="eastAsia" w:ascii="宋体" w:hAnsi="宋体" w:eastAsia="宋体" w:cs="Arial Unicode MS"/>
          <w:spacing w:val="-2"/>
          <w:szCs w:val="21"/>
          <w:lang w:bidi="ar"/>
        </w:rPr>
        <w:t>们</w:t>
      </w:r>
      <w:r>
        <w:rPr>
          <w:rFonts w:hint="eastAsia" w:ascii="宋体" w:hAnsi="宋体" w:eastAsia="宋体" w:cs="Arial Unicode MS"/>
          <w:szCs w:val="21"/>
          <w:lang w:bidi="ar"/>
        </w:rPr>
        <w:t>与行星等</w:t>
      </w:r>
      <w:r>
        <w:rPr>
          <w:rFonts w:hint="eastAsia" w:ascii="宋体" w:hAnsi="宋体" w:eastAsia="宋体" w:cs="Arial Unicode MS"/>
          <w:spacing w:val="-2"/>
          <w:szCs w:val="21"/>
          <w:lang w:bidi="ar"/>
        </w:rPr>
        <w:t>的</w:t>
      </w:r>
      <w:r>
        <w:rPr>
          <w:rFonts w:hint="eastAsia" w:ascii="宋体" w:hAnsi="宋体" w:eastAsia="宋体" w:cs="Arial Unicode MS"/>
          <w:szCs w:val="21"/>
          <w:lang w:bidi="ar"/>
        </w:rPr>
        <w:t>共同之处</w:t>
      </w:r>
      <w:r>
        <w:rPr>
          <w:rFonts w:hint="eastAsia" w:ascii="宋体" w:hAnsi="宋体" w:eastAsia="宋体" w:cs="Arial Unicode MS"/>
          <w:spacing w:val="-2"/>
          <w:szCs w:val="21"/>
          <w:lang w:bidi="ar"/>
        </w:rPr>
        <w:t>要</w:t>
      </w:r>
      <w:r>
        <w:rPr>
          <w:rFonts w:hint="eastAsia" w:ascii="宋体" w:hAnsi="宋体" w:eastAsia="宋体" w:cs="Arial Unicode MS"/>
          <w:szCs w:val="21"/>
          <w:lang w:bidi="ar"/>
        </w:rPr>
        <w:t>多得多</w:t>
      </w:r>
      <w:r>
        <w:rPr>
          <w:rFonts w:hint="eastAsia" w:ascii="宋体" w:hAnsi="宋体" w:eastAsia="宋体" w:cs="Arial Unicode MS"/>
          <w:spacing w:val="-26"/>
          <w:szCs w:val="21"/>
          <w:lang w:bidi="ar"/>
        </w:rPr>
        <w:t>。</w:t>
      </w:r>
      <w:r>
        <w:rPr>
          <w:rFonts w:hint="eastAsia" w:ascii="宋体" w:hAnsi="宋体" w:eastAsia="宋体" w:cs="Arial Unicode MS"/>
          <w:spacing w:val="-2"/>
          <w:szCs w:val="21"/>
          <w:lang w:bidi="ar"/>
        </w:rPr>
        <w:t>经</w:t>
      </w:r>
      <w:r>
        <w:rPr>
          <w:rFonts w:hint="eastAsia" w:ascii="宋体" w:hAnsi="宋体" w:eastAsia="宋体" w:cs="Arial Unicode MS"/>
          <w:szCs w:val="21"/>
          <w:lang w:bidi="ar"/>
        </w:rPr>
        <w:t>济毕竟涉</w:t>
      </w:r>
      <w:r>
        <w:rPr>
          <w:rFonts w:hint="eastAsia" w:ascii="宋体" w:hAnsi="宋体" w:eastAsia="宋体" w:cs="Arial Unicode MS"/>
          <w:spacing w:val="-2"/>
          <w:szCs w:val="21"/>
          <w:lang w:bidi="ar"/>
        </w:rPr>
        <w:t>及</w:t>
      </w:r>
      <w:r>
        <w:rPr>
          <w:rFonts w:hint="eastAsia" w:ascii="宋体" w:hAnsi="宋体" w:eastAsia="宋体" w:cs="Arial Unicode MS"/>
          <w:szCs w:val="21"/>
          <w:lang w:bidi="ar"/>
        </w:rPr>
        <w:t>活生生的</w:t>
      </w:r>
      <w:r>
        <w:rPr>
          <w:rFonts w:hint="eastAsia" w:ascii="宋体" w:hAnsi="宋体" w:eastAsia="宋体" w:cs="Arial Unicode MS"/>
          <w:spacing w:val="-2"/>
          <w:szCs w:val="21"/>
          <w:lang w:bidi="ar"/>
        </w:rPr>
        <w:t>人</w:t>
      </w:r>
      <w:r>
        <w:rPr>
          <w:rFonts w:hint="eastAsia" w:ascii="宋体" w:hAnsi="宋体" w:eastAsia="宋体" w:cs="Arial Unicode MS"/>
          <w:szCs w:val="21"/>
          <w:lang w:bidi="ar"/>
        </w:rPr>
        <w:t>类，而不仅仅涉及粒子、力和能。</w:t>
      </w:r>
      <w:r>
        <w:rPr>
          <w:rFonts w:hint="eastAsia" w:ascii="宋体" w:hAnsi="宋体" w:eastAsia="宋体" w:cs="Arial Unicode MS"/>
          <w:spacing w:val="-2"/>
          <w:position w:val="-1"/>
          <w:szCs w:val="21"/>
          <w:lang w:bidi="ar"/>
        </w:rPr>
        <w:t>进</w:t>
      </w:r>
      <w:r>
        <w:rPr>
          <w:rFonts w:hint="eastAsia" w:ascii="宋体" w:hAnsi="宋体" w:eastAsia="宋体" w:cs="Arial Unicode MS"/>
          <w:position w:val="-1"/>
          <w:szCs w:val="21"/>
          <w:lang w:bidi="ar"/>
        </w:rPr>
        <w:t>化论应用</w:t>
      </w:r>
      <w:r>
        <w:rPr>
          <w:rFonts w:hint="eastAsia" w:ascii="宋体" w:hAnsi="宋体" w:eastAsia="宋体" w:cs="Arial Unicode MS"/>
          <w:spacing w:val="-2"/>
          <w:position w:val="-1"/>
          <w:szCs w:val="21"/>
          <w:lang w:bidi="ar"/>
        </w:rPr>
        <w:t>于</w:t>
      </w:r>
      <w:r>
        <w:rPr>
          <w:rFonts w:hint="eastAsia" w:ascii="宋体" w:hAnsi="宋体" w:eastAsia="宋体" w:cs="Arial Unicode MS"/>
          <w:position w:val="-1"/>
          <w:szCs w:val="21"/>
          <w:lang w:bidi="ar"/>
        </w:rPr>
        <w:t>经济学较</w:t>
      </w:r>
      <w:r>
        <w:rPr>
          <w:rFonts w:hint="eastAsia" w:ascii="宋体" w:hAnsi="宋体" w:eastAsia="宋体" w:cs="Arial Unicode MS"/>
          <w:spacing w:val="-2"/>
          <w:position w:val="-1"/>
          <w:szCs w:val="21"/>
          <w:lang w:bidi="ar"/>
        </w:rPr>
        <w:t>之</w:t>
      </w:r>
      <w:r>
        <w:rPr>
          <w:rFonts w:hint="eastAsia" w:ascii="宋体" w:hAnsi="宋体" w:eastAsia="宋体" w:cs="Arial Unicode MS"/>
          <w:position w:val="-1"/>
          <w:szCs w:val="21"/>
          <w:lang w:bidi="ar"/>
        </w:rPr>
        <w:t>采用力学</w:t>
      </w:r>
      <w:r>
        <w:rPr>
          <w:rFonts w:hint="eastAsia" w:ascii="宋体" w:hAnsi="宋体" w:eastAsia="宋体" w:cs="Arial Unicode MS"/>
          <w:spacing w:val="-2"/>
          <w:position w:val="-1"/>
          <w:szCs w:val="21"/>
          <w:lang w:bidi="ar"/>
        </w:rPr>
        <w:t>模</w:t>
      </w:r>
      <w:r>
        <w:rPr>
          <w:rFonts w:hint="eastAsia" w:ascii="宋体" w:hAnsi="宋体" w:eastAsia="宋体" w:cs="Arial Unicode MS"/>
          <w:position w:val="-1"/>
          <w:szCs w:val="21"/>
          <w:lang w:bidi="ar"/>
        </w:rPr>
        <w:t>拟</w:t>
      </w:r>
      <w:r>
        <w:rPr>
          <w:rFonts w:hint="eastAsia" w:ascii="宋体" w:hAnsi="宋体" w:eastAsia="宋体" w:cs="Times New Roman"/>
          <w:spacing w:val="2"/>
          <w:position w:val="-1"/>
          <w:szCs w:val="21"/>
          <w:lang w:bidi="ar"/>
        </w:rPr>
        <w:t>，</w:t>
      </w:r>
      <w:r>
        <w:rPr>
          <w:rFonts w:hint="eastAsia" w:ascii="宋体" w:hAnsi="宋体" w:eastAsia="宋体" w:cs="Arial Unicode MS"/>
          <w:spacing w:val="-2"/>
          <w:position w:val="-1"/>
          <w:szCs w:val="21"/>
          <w:lang w:bidi="ar"/>
        </w:rPr>
        <w:t>显</w:t>
      </w:r>
      <w:r>
        <w:rPr>
          <w:rFonts w:hint="eastAsia" w:ascii="宋体" w:hAnsi="宋体" w:eastAsia="宋体" w:cs="Arial Unicode MS"/>
          <w:position w:val="-1"/>
          <w:szCs w:val="21"/>
          <w:lang w:bidi="ar"/>
        </w:rPr>
        <w:t>然具有更</w:t>
      </w:r>
      <w:r>
        <w:rPr>
          <w:rFonts w:hint="eastAsia" w:ascii="宋体" w:hAnsi="宋体" w:eastAsia="宋体" w:cs="Arial Unicode MS"/>
          <w:spacing w:val="-2"/>
          <w:position w:val="-1"/>
          <w:szCs w:val="21"/>
          <w:lang w:bidi="ar"/>
        </w:rPr>
        <w:t>大</w:t>
      </w:r>
      <w:r>
        <w:rPr>
          <w:rFonts w:hint="eastAsia" w:ascii="宋体" w:hAnsi="宋体" w:eastAsia="宋体" w:cs="Arial Unicode MS"/>
          <w:position w:val="-1"/>
          <w:szCs w:val="21"/>
          <w:lang w:bidi="ar"/>
        </w:rPr>
        <w:t>的方法论</w:t>
      </w:r>
      <w:r>
        <w:rPr>
          <w:rFonts w:hint="eastAsia" w:ascii="宋体" w:hAnsi="宋体" w:eastAsia="宋体" w:cs="Arial Unicode MS"/>
          <w:spacing w:val="-2"/>
          <w:position w:val="-1"/>
          <w:szCs w:val="21"/>
          <w:lang w:bidi="ar"/>
        </w:rPr>
        <w:t>优</w:t>
      </w:r>
      <w:r>
        <w:rPr>
          <w:rFonts w:hint="eastAsia" w:ascii="宋体" w:hAnsi="宋体" w:eastAsia="宋体" w:cs="Arial Unicode MS"/>
          <w:position w:val="-1"/>
          <w:szCs w:val="21"/>
          <w:lang w:bidi="ar"/>
        </w:rPr>
        <w:t>势。</w:t>
      </w:r>
    </w:p>
    <w:p w14:paraId="51D9409D">
      <w:pPr>
        <w:autoSpaceDE w:val="0"/>
        <w:autoSpaceDN w:val="0"/>
        <w:spacing w:before="6" w:line="300" w:lineRule="auto"/>
        <w:ind w:firstLine="432" w:firstLineChars="200"/>
        <w:rPr>
          <w:rFonts w:ascii="宋体" w:hAnsi="宋体" w:eastAsia="宋体" w:cs="Arial Unicode MS"/>
          <w:position w:val="-1"/>
          <w:szCs w:val="21"/>
        </w:rPr>
      </w:pPr>
      <w:r>
        <w:rPr>
          <w:rFonts w:hint="eastAsia" w:ascii="宋体" w:hAnsi="宋体" w:eastAsia="宋体" w:cs="Arial Unicode MS"/>
          <w:spacing w:val="-2"/>
          <w:szCs w:val="21"/>
          <w:lang w:bidi="ar"/>
        </w:rPr>
        <w:t>不</w:t>
      </w:r>
      <w:r>
        <w:rPr>
          <w:rFonts w:hint="eastAsia" w:ascii="宋体" w:hAnsi="宋体" w:eastAsia="宋体" w:cs="Arial Unicode MS"/>
          <w:szCs w:val="21"/>
          <w:lang w:bidi="ar"/>
        </w:rPr>
        <w:t>过</w:t>
      </w:r>
      <w:r>
        <w:rPr>
          <w:rFonts w:hint="eastAsia" w:ascii="宋体" w:hAnsi="宋体" w:eastAsia="宋体" w:cs="Times New Roman"/>
          <w:spacing w:val="2"/>
          <w:szCs w:val="21"/>
          <w:lang w:bidi="ar"/>
        </w:rPr>
        <w:t>，</w:t>
      </w:r>
      <w:r>
        <w:rPr>
          <w:rFonts w:hint="eastAsia" w:ascii="宋体" w:hAnsi="宋体" w:eastAsia="宋体" w:cs="Arial Unicode MS"/>
          <w:spacing w:val="-2"/>
          <w:szCs w:val="21"/>
          <w:lang w:bidi="ar"/>
        </w:rPr>
        <w:t>生</w:t>
      </w:r>
      <w:r>
        <w:rPr>
          <w:rFonts w:hint="eastAsia" w:ascii="宋体" w:hAnsi="宋体" w:eastAsia="宋体" w:cs="Arial Unicode MS"/>
          <w:szCs w:val="21"/>
          <w:lang w:bidi="ar"/>
        </w:rPr>
        <w:t>物学过</w:t>
      </w:r>
      <w:r>
        <w:rPr>
          <w:rFonts w:hint="eastAsia" w:ascii="宋体" w:hAnsi="宋体" w:eastAsia="宋体" w:cs="Arial Unicode MS"/>
          <w:spacing w:val="-2"/>
          <w:szCs w:val="21"/>
          <w:lang w:bidi="ar"/>
        </w:rPr>
        <w:t>去</w:t>
      </w:r>
      <w:r>
        <w:rPr>
          <w:rFonts w:hint="eastAsia" w:ascii="宋体" w:hAnsi="宋体" w:eastAsia="宋体" w:cs="Arial Unicode MS"/>
          <w:szCs w:val="21"/>
          <w:lang w:bidi="ar"/>
        </w:rPr>
        <w:t>曾被社会</w:t>
      </w:r>
      <w:r>
        <w:rPr>
          <w:rFonts w:hint="eastAsia" w:ascii="宋体" w:hAnsi="宋体" w:eastAsia="宋体" w:cs="Arial Unicode MS"/>
          <w:spacing w:val="-2"/>
          <w:szCs w:val="21"/>
          <w:lang w:bidi="ar"/>
        </w:rPr>
        <w:t>科</w:t>
      </w:r>
      <w:r>
        <w:rPr>
          <w:rFonts w:hint="eastAsia" w:ascii="宋体" w:hAnsi="宋体" w:eastAsia="宋体" w:cs="Arial Unicode MS"/>
          <w:szCs w:val="21"/>
          <w:lang w:bidi="ar"/>
        </w:rPr>
        <w:t>学</w:t>
      </w:r>
      <w:r>
        <w:rPr>
          <w:rFonts w:hint="eastAsia" w:ascii="宋体" w:hAnsi="宋体" w:eastAsia="宋体" w:cs="Arial Unicode MS"/>
          <w:position w:val="-1"/>
          <w:szCs w:val="21"/>
          <w:lang w:bidi="ar"/>
        </w:rPr>
        <w:t>家严重滥用过，传统“社会达尔文主义”以及后来出现过生物学思想与亲贵族主义、种族主义或性别歧视等思想意识和政治运动可悲联姻的插曲；现在也还有人误以为，基于“适者生存”这个概念的进化论思想是含有拒绝任何一种国家补或干预之意的。应该说，进化论并不总是意指竞争结果最佳或进化“进步”规律或自由无懈可击。然而尽管如此，生物学方法在经济学中的运用已经成为一种客观趋势，这确实应验了凯恩斯的名言——经济学家的“麦加”是在生物学。西方正统经济学家哈恩也曾预言，21世纪，该学科将恢复其亲生物学的马歇尔传统。</w:t>
      </w:r>
    </w:p>
    <w:p w14:paraId="15C1BD55">
      <w:pPr>
        <w:autoSpaceDE w:val="0"/>
        <w:autoSpaceDN w:val="0"/>
        <w:spacing w:before="6" w:line="300" w:lineRule="auto"/>
        <w:ind w:firstLine="440" w:firstLineChars="200"/>
        <w:rPr>
          <w:rFonts w:ascii="宋体" w:hAnsi="宋体" w:eastAsia="宋体" w:cs="Arial Unicode MS"/>
          <w:position w:val="-1"/>
          <w:szCs w:val="21"/>
        </w:rPr>
      </w:pPr>
      <w:r>
        <w:rPr>
          <w:rFonts w:hint="eastAsia" w:ascii="宋体" w:hAnsi="宋体" w:eastAsia="宋体" w:cs="Arial Unicode MS"/>
          <w:position w:val="-1"/>
          <w:szCs w:val="21"/>
          <w:lang w:bidi="ar"/>
        </w:rPr>
        <w:t>经济演化理论强调演化过程中的新奇性和创造力，强调不确定性、路径依赖和时间不可逆，强调在渐变与突变的双重作用等等，深化了对人类经济活动及其演化的认识，具有显著的学术价值。演化经济学的熊彼特学派和法国调节学派均较推崇马克思，作为全球现代马克思主义政治经济学的学派之一即海派经济学，理应积极汲取生物学和社会生物学的合理思想和方法，去实现马克思学术传统的创造性转化和真正科学的理论创新。</w:t>
      </w:r>
    </w:p>
    <w:p w14:paraId="2644D6B2">
      <w:pPr>
        <w:autoSpaceDE w:val="0"/>
        <w:autoSpaceDN w:val="0"/>
        <w:adjustRightInd w:val="0"/>
        <w:ind w:firstLine="440" w:firstLineChars="200"/>
        <w:rPr>
          <w:rFonts w:ascii="宋体" w:hAnsi="宋体" w:eastAsia="宋体" w:cs="Arial Unicode MS"/>
          <w:b/>
          <w:bCs/>
          <w:szCs w:val="21"/>
        </w:rPr>
      </w:pPr>
    </w:p>
    <w:p w14:paraId="667B13A7">
      <w:pPr>
        <w:autoSpaceDE w:val="0"/>
        <w:autoSpaceDN w:val="0"/>
        <w:adjustRightInd w:val="0"/>
        <w:ind w:firstLine="440" w:firstLineChars="200"/>
        <w:rPr>
          <w:rFonts w:ascii="宋体" w:hAnsi="宋体" w:eastAsia="宋体" w:cs="Arial Unicode MS"/>
          <w:spacing w:val="-46"/>
          <w:position w:val="-1"/>
          <w:szCs w:val="21"/>
        </w:rPr>
      </w:pPr>
      <w:r>
        <w:rPr>
          <w:rFonts w:hint="eastAsia" w:ascii="宋体" w:hAnsi="宋体" w:eastAsia="宋体" w:cs="Arial Unicode MS"/>
          <w:b/>
          <w:bCs/>
          <w:szCs w:val="21"/>
          <w:lang w:bidi="ar"/>
        </w:rPr>
        <w:t>注释</w:t>
      </w:r>
      <w:r>
        <w:rPr>
          <w:rFonts w:hint="eastAsia" w:ascii="宋体" w:hAnsi="宋体" w:eastAsia="宋体" w:cs="Times New Roman"/>
          <w:w w:val="101"/>
          <w:szCs w:val="21"/>
          <w:lang w:bidi="ar"/>
        </w:rPr>
        <w:t>：</w:t>
      </w:r>
    </w:p>
    <w:p w14:paraId="7C992956">
      <w:pPr>
        <w:autoSpaceDE w:val="0"/>
        <w:autoSpaceDN w:val="0"/>
        <w:adjustRightInd w:val="0"/>
        <w:ind w:firstLine="380" w:firstLineChars="200"/>
        <w:rPr>
          <w:rFonts w:ascii="宋体" w:hAnsi="宋体" w:eastAsia="宋体" w:cs="Arial Unicode MS"/>
          <w:spacing w:val="-46"/>
          <w:position w:val="-1"/>
          <w:sz w:val="18"/>
          <w:szCs w:val="18"/>
        </w:rPr>
      </w:pPr>
      <w:r>
        <w:rPr>
          <w:rFonts w:hint="eastAsia" w:ascii="宋体" w:hAnsi="宋体" w:eastAsia="宋体" w:cs="Arial Unicode MS"/>
          <w:position w:val="-1"/>
          <w:sz w:val="18"/>
          <w:szCs w:val="18"/>
          <w:vertAlign w:val="superscript"/>
          <w:lang w:bidi="ar"/>
        </w:rPr>
        <w:t>①</w:t>
      </w:r>
      <w:r>
        <w:rPr>
          <w:rFonts w:hint="eastAsia" w:ascii="宋体" w:hAnsi="宋体" w:eastAsia="宋体" w:cs="Arial Unicode MS"/>
          <w:position w:val="-1"/>
          <w:sz w:val="18"/>
          <w:szCs w:val="18"/>
          <w:lang w:bidi="ar"/>
        </w:rPr>
        <w:t>转引自程恩</w:t>
      </w:r>
      <w:r>
        <w:rPr>
          <w:rFonts w:hint="eastAsia" w:ascii="宋体" w:hAnsi="宋体" w:eastAsia="宋体" w:cs="Arial Unicode MS"/>
          <w:spacing w:val="10"/>
          <w:position w:val="-1"/>
          <w:sz w:val="18"/>
          <w:szCs w:val="18"/>
          <w:lang w:bidi="ar"/>
        </w:rPr>
        <w:t>富</w:t>
      </w:r>
      <w:r>
        <w:rPr>
          <w:rFonts w:hint="eastAsia" w:ascii="宋体" w:hAnsi="宋体" w:eastAsia="宋体" w:cs="Arial Unicode MS"/>
          <w:spacing w:val="-154"/>
          <w:position w:val="-1"/>
          <w:sz w:val="18"/>
          <w:szCs w:val="18"/>
          <w:lang w:bidi="ar"/>
        </w:rPr>
        <w:t>《</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西方</w:t>
      </w:r>
      <w:r>
        <w:rPr>
          <w:rFonts w:hint="eastAsia" w:ascii="宋体" w:hAnsi="宋体" w:eastAsia="宋体" w:cs="Arial Unicode MS"/>
          <w:spacing w:val="2"/>
          <w:position w:val="-1"/>
          <w:sz w:val="18"/>
          <w:szCs w:val="18"/>
          <w:lang w:bidi="ar"/>
        </w:rPr>
        <w:t>产</w:t>
      </w:r>
      <w:r>
        <w:rPr>
          <w:rFonts w:hint="eastAsia" w:ascii="宋体" w:hAnsi="宋体" w:eastAsia="宋体" w:cs="Arial Unicode MS"/>
          <w:position w:val="-1"/>
          <w:sz w:val="18"/>
          <w:szCs w:val="18"/>
          <w:lang w:bidi="ar"/>
        </w:rPr>
        <w:t>权理论</w:t>
      </w:r>
      <w:r>
        <w:rPr>
          <w:rFonts w:hint="eastAsia" w:ascii="宋体" w:hAnsi="宋体" w:eastAsia="宋体" w:cs="Arial Unicode MS"/>
          <w:spacing w:val="2"/>
          <w:position w:val="-1"/>
          <w:sz w:val="18"/>
          <w:szCs w:val="18"/>
          <w:lang w:bidi="ar"/>
        </w:rPr>
        <w:t>评析</w:t>
      </w:r>
      <w:r>
        <w:rPr>
          <w:rFonts w:hint="eastAsia" w:ascii="宋体" w:hAnsi="宋体" w:eastAsia="宋体" w:cs="Arial Unicode MS"/>
          <w:spacing w:val="-46"/>
          <w:position w:val="-1"/>
          <w:sz w:val="18"/>
          <w:szCs w:val="18"/>
          <w:lang w:bidi="ar"/>
        </w:rPr>
        <w:t>》</w:t>
      </w:r>
      <w:r>
        <w:rPr>
          <w:rFonts w:hint="eastAsia" w:ascii="宋体" w:hAnsi="宋体" w:eastAsia="宋体" w:cs="Times New Roman"/>
          <w:spacing w:val="-1"/>
          <w:position w:val="-1"/>
          <w:sz w:val="18"/>
          <w:szCs w:val="18"/>
          <w:lang w:bidi="ar"/>
        </w:rPr>
        <w:t>，</w:t>
      </w:r>
      <w:r>
        <w:rPr>
          <w:rFonts w:hint="eastAsia" w:ascii="宋体" w:hAnsi="宋体" w:eastAsia="宋体" w:cs="Arial Unicode MS"/>
          <w:position w:val="-1"/>
          <w:sz w:val="18"/>
          <w:szCs w:val="18"/>
          <w:lang w:bidi="ar"/>
        </w:rPr>
        <w:t>当</w:t>
      </w:r>
      <w:r>
        <w:rPr>
          <w:rFonts w:hint="eastAsia" w:ascii="宋体" w:hAnsi="宋体" w:eastAsia="宋体" w:cs="Arial Unicode MS"/>
          <w:spacing w:val="2"/>
          <w:position w:val="-1"/>
          <w:sz w:val="18"/>
          <w:szCs w:val="18"/>
          <w:lang w:bidi="ar"/>
        </w:rPr>
        <w:t>代</w:t>
      </w:r>
      <w:r>
        <w:rPr>
          <w:rFonts w:hint="eastAsia" w:ascii="宋体" w:hAnsi="宋体" w:eastAsia="宋体" w:cs="Arial Unicode MS"/>
          <w:position w:val="-1"/>
          <w:sz w:val="18"/>
          <w:szCs w:val="18"/>
          <w:lang w:bidi="ar"/>
        </w:rPr>
        <w:t>中国出</w:t>
      </w:r>
      <w:r>
        <w:rPr>
          <w:rFonts w:hint="eastAsia" w:ascii="宋体" w:hAnsi="宋体" w:eastAsia="宋体" w:cs="Arial Unicode MS"/>
          <w:spacing w:val="2"/>
          <w:position w:val="-1"/>
          <w:sz w:val="18"/>
          <w:szCs w:val="18"/>
          <w:lang w:bidi="ar"/>
        </w:rPr>
        <w:t>版</w:t>
      </w:r>
      <w:r>
        <w:rPr>
          <w:rFonts w:hint="eastAsia" w:ascii="宋体" w:hAnsi="宋体" w:eastAsia="宋体" w:cs="Arial Unicode MS"/>
          <w:position w:val="-1"/>
          <w:sz w:val="18"/>
          <w:szCs w:val="18"/>
          <w:lang w:bidi="ar"/>
        </w:rPr>
        <w:t>社</w:t>
      </w:r>
      <w:r>
        <w:rPr>
          <w:rFonts w:hint="eastAsia" w:ascii="宋体" w:hAnsi="宋体" w:eastAsia="宋体" w:cs="Times New Roman"/>
          <w:spacing w:val="4"/>
          <w:position w:val="-1"/>
          <w:sz w:val="18"/>
          <w:szCs w:val="18"/>
          <w:lang w:bidi="ar"/>
        </w:rPr>
        <w:t>1</w:t>
      </w:r>
      <w:r>
        <w:rPr>
          <w:rFonts w:hint="eastAsia" w:ascii="宋体" w:hAnsi="宋体" w:eastAsia="宋体" w:cs="Times New Roman"/>
          <w:spacing w:val="2"/>
          <w:position w:val="-1"/>
          <w:sz w:val="18"/>
          <w:szCs w:val="18"/>
          <w:lang w:bidi="ar"/>
        </w:rPr>
        <w:t>9</w:t>
      </w:r>
      <w:r>
        <w:rPr>
          <w:rFonts w:hint="eastAsia" w:ascii="宋体" w:hAnsi="宋体" w:eastAsia="宋体" w:cs="Times New Roman"/>
          <w:spacing w:val="4"/>
          <w:position w:val="-1"/>
          <w:sz w:val="18"/>
          <w:szCs w:val="18"/>
          <w:lang w:bidi="ar"/>
        </w:rPr>
        <w:t>9</w:t>
      </w:r>
      <w:r>
        <w:rPr>
          <w:rFonts w:hint="eastAsia" w:ascii="宋体" w:hAnsi="宋体" w:eastAsia="宋体" w:cs="Times New Roman"/>
          <w:position w:val="-1"/>
          <w:sz w:val="18"/>
          <w:szCs w:val="18"/>
          <w:lang w:bidi="ar"/>
        </w:rPr>
        <w:t>7</w:t>
      </w:r>
      <w:r>
        <w:rPr>
          <w:rFonts w:hint="eastAsia" w:ascii="宋体" w:hAnsi="宋体" w:eastAsia="宋体" w:cs="Arial Unicode MS"/>
          <w:position w:val="-1"/>
          <w:sz w:val="18"/>
          <w:szCs w:val="18"/>
          <w:lang w:bidi="ar"/>
        </w:rPr>
        <w:t>年版</w:t>
      </w:r>
      <w:r>
        <w:rPr>
          <w:rFonts w:hint="eastAsia" w:ascii="宋体" w:hAnsi="宋体" w:eastAsia="宋体" w:cs="Times New Roman"/>
          <w:spacing w:val="-1"/>
          <w:position w:val="-1"/>
          <w:sz w:val="18"/>
          <w:szCs w:val="18"/>
          <w:lang w:bidi="ar"/>
        </w:rPr>
        <w:t>，</w:t>
      </w:r>
      <w:r>
        <w:rPr>
          <w:rFonts w:hint="eastAsia" w:ascii="宋体" w:hAnsi="宋体" w:eastAsia="宋体" w:cs="Arial Unicode MS"/>
          <w:position w:val="-1"/>
          <w:sz w:val="18"/>
          <w:szCs w:val="18"/>
          <w:lang w:bidi="ar"/>
        </w:rPr>
        <w:t>第</w:t>
      </w:r>
      <w:r>
        <w:rPr>
          <w:rFonts w:hint="eastAsia" w:ascii="宋体" w:hAnsi="宋体" w:eastAsia="宋体" w:cs="Times New Roman"/>
          <w:spacing w:val="2"/>
          <w:position w:val="-1"/>
          <w:sz w:val="18"/>
          <w:szCs w:val="18"/>
          <w:lang w:bidi="ar"/>
        </w:rPr>
        <w:t>1</w:t>
      </w:r>
      <w:r>
        <w:rPr>
          <w:rFonts w:hint="eastAsia" w:ascii="宋体" w:hAnsi="宋体" w:eastAsia="宋体" w:cs="Times New Roman"/>
          <w:spacing w:val="4"/>
          <w:position w:val="-1"/>
          <w:sz w:val="18"/>
          <w:szCs w:val="18"/>
          <w:lang w:bidi="ar"/>
        </w:rPr>
        <w:t>5</w:t>
      </w:r>
      <w:r>
        <w:rPr>
          <w:rFonts w:hint="eastAsia" w:ascii="宋体" w:hAnsi="宋体" w:eastAsia="宋体" w:cs="Times New Roman"/>
          <w:position w:val="-1"/>
          <w:sz w:val="18"/>
          <w:szCs w:val="18"/>
          <w:lang w:bidi="ar"/>
        </w:rPr>
        <w:t>1</w:t>
      </w:r>
      <w:r>
        <w:rPr>
          <w:rFonts w:hint="eastAsia" w:ascii="宋体" w:hAnsi="宋体" w:eastAsia="宋体" w:cs="Arial Unicode MS"/>
          <w:position w:val="-1"/>
          <w:sz w:val="18"/>
          <w:szCs w:val="18"/>
          <w:lang w:bidi="ar"/>
        </w:rPr>
        <w:t>页。</w:t>
      </w:r>
    </w:p>
    <w:p w14:paraId="2B5A8D87">
      <w:pPr>
        <w:autoSpaceDE w:val="0"/>
        <w:autoSpaceDN w:val="0"/>
        <w:adjustRightInd w:val="0"/>
        <w:ind w:firstLine="380" w:firstLineChars="200"/>
        <w:rPr>
          <w:rFonts w:ascii="宋体" w:hAnsi="宋体" w:eastAsia="宋体" w:cs="Arial Unicode MS"/>
          <w:spacing w:val="-46"/>
          <w:position w:val="-1"/>
          <w:sz w:val="18"/>
          <w:szCs w:val="18"/>
        </w:rPr>
      </w:pPr>
      <w:r>
        <w:rPr>
          <w:rFonts w:hint="eastAsia" w:ascii="宋体" w:hAnsi="宋体" w:eastAsia="宋体" w:cs="Arial Unicode MS"/>
          <w:position w:val="-1"/>
          <w:sz w:val="18"/>
          <w:szCs w:val="18"/>
          <w:vertAlign w:val="superscript"/>
          <w:lang w:bidi="ar"/>
        </w:rPr>
        <w:t>②</w:t>
      </w:r>
      <w:r>
        <w:rPr>
          <w:rFonts w:hint="eastAsia" w:ascii="宋体" w:hAnsi="宋体" w:eastAsia="宋体" w:cs="Arial Unicode MS"/>
          <w:position w:val="-1"/>
          <w:sz w:val="18"/>
          <w:szCs w:val="18"/>
          <w:lang w:bidi="ar"/>
        </w:rPr>
        <w:t>转</w:t>
      </w:r>
      <w:r>
        <w:rPr>
          <w:rFonts w:hint="eastAsia" w:ascii="宋体" w:hAnsi="宋体" w:eastAsia="宋体" w:cs="Arial Unicode MS"/>
          <w:spacing w:val="2"/>
          <w:position w:val="-1"/>
          <w:sz w:val="18"/>
          <w:szCs w:val="18"/>
          <w:lang w:bidi="ar"/>
        </w:rPr>
        <w:t>引</w:t>
      </w:r>
      <w:r>
        <w:rPr>
          <w:rFonts w:hint="eastAsia" w:ascii="宋体" w:hAnsi="宋体" w:eastAsia="宋体" w:cs="Arial Unicode MS"/>
          <w:position w:val="-1"/>
          <w:sz w:val="18"/>
          <w:szCs w:val="18"/>
          <w:lang w:bidi="ar"/>
        </w:rPr>
        <w:t>自程恩</w:t>
      </w:r>
      <w:r>
        <w:rPr>
          <w:rFonts w:hint="eastAsia" w:ascii="宋体" w:hAnsi="宋体" w:eastAsia="宋体" w:cs="Arial Unicode MS"/>
          <w:spacing w:val="10"/>
          <w:position w:val="-1"/>
          <w:sz w:val="18"/>
          <w:szCs w:val="18"/>
          <w:lang w:bidi="ar"/>
        </w:rPr>
        <w:t>富</w:t>
      </w:r>
      <w:r>
        <w:rPr>
          <w:rFonts w:hint="eastAsia" w:ascii="宋体" w:hAnsi="宋体" w:eastAsia="宋体" w:cs="Arial Unicode MS"/>
          <w:spacing w:val="-154"/>
          <w:position w:val="-1"/>
          <w:sz w:val="18"/>
          <w:szCs w:val="18"/>
          <w:lang w:bidi="ar"/>
        </w:rPr>
        <w:t>《</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重建</w:t>
      </w:r>
      <w:r>
        <w:rPr>
          <w:rFonts w:hint="eastAsia" w:ascii="宋体" w:hAnsi="宋体" w:eastAsia="宋体" w:cs="Arial Unicode MS"/>
          <w:spacing w:val="2"/>
          <w:position w:val="-1"/>
          <w:sz w:val="18"/>
          <w:szCs w:val="18"/>
          <w:lang w:bidi="ar"/>
        </w:rPr>
        <w:t>中</w:t>
      </w:r>
      <w:r>
        <w:rPr>
          <w:rFonts w:hint="eastAsia" w:ascii="宋体" w:hAnsi="宋体" w:eastAsia="宋体" w:cs="Arial Unicode MS"/>
          <w:position w:val="-1"/>
          <w:sz w:val="18"/>
          <w:szCs w:val="18"/>
          <w:lang w:bidi="ar"/>
        </w:rPr>
        <w:t>国经济学</w:t>
      </w:r>
      <w:r>
        <w:rPr>
          <w:rFonts w:hint="eastAsia" w:ascii="宋体" w:hAnsi="宋体" w:eastAsia="宋体" w:cs="Times New Roman"/>
          <w:spacing w:val="6"/>
          <w:position w:val="-1"/>
          <w:sz w:val="18"/>
          <w:szCs w:val="18"/>
          <w:lang w:bidi="ar"/>
        </w:rPr>
        <w:t>：</w:t>
      </w:r>
      <w:r>
        <w:rPr>
          <w:rFonts w:hint="eastAsia" w:ascii="宋体" w:hAnsi="宋体" w:eastAsia="宋体" w:cs="Arial Unicode MS"/>
          <w:position w:val="-1"/>
          <w:sz w:val="18"/>
          <w:szCs w:val="18"/>
          <w:lang w:bidi="ar"/>
        </w:rPr>
        <w:t>超</w:t>
      </w:r>
      <w:r>
        <w:rPr>
          <w:rFonts w:hint="eastAsia" w:ascii="宋体" w:hAnsi="宋体" w:eastAsia="宋体" w:cs="Arial Unicode MS"/>
          <w:spacing w:val="2"/>
          <w:position w:val="-1"/>
          <w:sz w:val="18"/>
          <w:szCs w:val="18"/>
          <w:lang w:bidi="ar"/>
        </w:rPr>
        <w:t>越</w:t>
      </w:r>
      <w:r>
        <w:rPr>
          <w:rFonts w:hint="eastAsia" w:ascii="宋体" w:hAnsi="宋体" w:eastAsia="宋体" w:cs="Arial Unicode MS"/>
          <w:position w:val="-1"/>
          <w:sz w:val="18"/>
          <w:szCs w:val="18"/>
          <w:lang w:bidi="ar"/>
        </w:rPr>
        <w:t>马克思</w:t>
      </w:r>
      <w:r>
        <w:rPr>
          <w:rFonts w:hint="eastAsia" w:ascii="宋体" w:hAnsi="宋体" w:eastAsia="宋体" w:cs="Arial Unicode MS"/>
          <w:spacing w:val="2"/>
          <w:position w:val="-1"/>
          <w:sz w:val="18"/>
          <w:szCs w:val="18"/>
          <w:lang w:bidi="ar"/>
        </w:rPr>
        <w:t>与</w:t>
      </w:r>
      <w:r>
        <w:rPr>
          <w:rFonts w:hint="eastAsia" w:ascii="宋体" w:hAnsi="宋体" w:eastAsia="宋体" w:cs="Arial Unicode MS"/>
          <w:position w:val="-1"/>
          <w:sz w:val="18"/>
          <w:szCs w:val="18"/>
          <w:lang w:bidi="ar"/>
        </w:rPr>
        <w:t>西方经</w:t>
      </w:r>
      <w:r>
        <w:rPr>
          <w:rFonts w:hint="eastAsia" w:ascii="宋体" w:hAnsi="宋体" w:eastAsia="宋体" w:cs="Arial Unicode MS"/>
          <w:spacing w:val="2"/>
          <w:position w:val="-1"/>
          <w:sz w:val="18"/>
          <w:szCs w:val="18"/>
          <w:lang w:bidi="ar"/>
        </w:rPr>
        <w:t>济学</w:t>
      </w:r>
      <w:r>
        <w:rPr>
          <w:rFonts w:hint="eastAsia" w:ascii="宋体" w:hAnsi="宋体" w:eastAsia="宋体" w:cs="Arial Unicode MS"/>
          <w:spacing w:val="-84"/>
          <w:position w:val="-1"/>
          <w:sz w:val="18"/>
          <w:szCs w:val="18"/>
          <w:lang w:bidi="ar"/>
        </w:rPr>
        <w:t>》</w:t>
      </w:r>
      <w:r>
        <w:rPr>
          <w:rFonts w:hint="eastAsia" w:ascii="宋体" w:hAnsi="宋体" w:eastAsia="宋体" w:cs="Arial Unicode MS"/>
          <w:spacing w:val="-142"/>
          <w:position w:val="-1"/>
          <w:sz w:val="18"/>
          <w:szCs w:val="18"/>
          <w:lang w:bidi="ar"/>
        </w:rPr>
        <w:t>《</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学术</w:t>
      </w:r>
      <w:r>
        <w:rPr>
          <w:rFonts w:hint="eastAsia" w:ascii="宋体" w:hAnsi="宋体" w:eastAsia="宋体" w:cs="Times New Roman"/>
          <w:position w:val="-1"/>
          <w:sz w:val="18"/>
          <w:szCs w:val="18"/>
          <w:lang w:bidi="ar"/>
        </w:rPr>
        <w:t>月刊》2000年第2</w:t>
      </w:r>
      <w:r>
        <w:rPr>
          <w:rFonts w:hint="eastAsia" w:ascii="宋体" w:hAnsi="宋体" w:eastAsia="宋体" w:cs="Arial Unicode MS"/>
          <w:position w:val="-1"/>
          <w:sz w:val="18"/>
          <w:szCs w:val="18"/>
          <w:lang w:bidi="ar"/>
        </w:rPr>
        <w:t>期。</w:t>
      </w:r>
    </w:p>
    <w:p w14:paraId="3171B2C0">
      <w:pPr>
        <w:autoSpaceDE w:val="0"/>
        <w:autoSpaceDN w:val="0"/>
        <w:adjustRightInd w:val="0"/>
        <w:ind w:firstLine="380" w:firstLineChars="200"/>
        <w:rPr>
          <w:rFonts w:ascii="宋体" w:hAnsi="宋体" w:eastAsia="宋体" w:cs="Arial Unicode MS"/>
          <w:spacing w:val="-46"/>
          <w:position w:val="-1"/>
          <w:sz w:val="18"/>
          <w:szCs w:val="18"/>
        </w:rPr>
      </w:pPr>
      <w:r>
        <w:rPr>
          <w:rFonts w:hint="eastAsia" w:ascii="宋体" w:hAnsi="宋体" w:eastAsia="宋体" w:cs="Arial Unicode MS"/>
          <w:position w:val="-1"/>
          <w:sz w:val="18"/>
          <w:szCs w:val="18"/>
          <w:vertAlign w:val="superscript"/>
          <w:lang w:bidi="ar"/>
        </w:rPr>
        <w:t>③</w:t>
      </w:r>
      <w:r>
        <w:rPr>
          <w:rFonts w:hint="eastAsia" w:ascii="宋体" w:hAnsi="宋体" w:eastAsia="宋体" w:cs="Arial Unicode MS"/>
          <w:position w:val="-1"/>
          <w:sz w:val="18"/>
          <w:szCs w:val="18"/>
          <w:lang w:bidi="ar"/>
        </w:rPr>
        <w:t>列</w:t>
      </w:r>
      <w:r>
        <w:rPr>
          <w:rFonts w:hint="eastAsia" w:ascii="宋体" w:hAnsi="宋体" w:eastAsia="宋体" w:cs="Arial Unicode MS"/>
          <w:spacing w:val="10"/>
          <w:position w:val="-1"/>
          <w:sz w:val="18"/>
          <w:szCs w:val="18"/>
          <w:lang w:bidi="ar"/>
        </w:rPr>
        <w:t>宁</w:t>
      </w:r>
      <w:r>
        <w:rPr>
          <w:rFonts w:hint="eastAsia" w:ascii="宋体" w:hAnsi="宋体" w:eastAsia="宋体" w:cs="Arial Unicode MS"/>
          <w:spacing w:val="-154"/>
          <w:position w:val="-1"/>
          <w:sz w:val="18"/>
          <w:szCs w:val="18"/>
          <w:lang w:bidi="ar"/>
        </w:rPr>
        <w:t>《</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唯物</w:t>
      </w:r>
      <w:r>
        <w:rPr>
          <w:rFonts w:hint="eastAsia" w:ascii="宋体" w:hAnsi="宋体" w:eastAsia="宋体" w:cs="Arial Unicode MS"/>
          <w:spacing w:val="2"/>
          <w:position w:val="-1"/>
          <w:sz w:val="18"/>
          <w:szCs w:val="18"/>
          <w:lang w:bidi="ar"/>
        </w:rPr>
        <w:t>主</w:t>
      </w:r>
      <w:r>
        <w:rPr>
          <w:rFonts w:hint="eastAsia" w:ascii="宋体" w:hAnsi="宋体" w:eastAsia="宋体" w:cs="Arial Unicode MS"/>
          <w:position w:val="-1"/>
          <w:sz w:val="18"/>
          <w:szCs w:val="18"/>
          <w:lang w:bidi="ar"/>
        </w:rPr>
        <w:t>义和经</w:t>
      </w:r>
      <w:r>
        <w:rPr>
          <w:rFonts w:hint="eastAsia" w:ascii="宋体" w:hAnsi="宋体" w:eastAsia="宋体" w:cs="Arial Unicode MS"/>
          <w:spacing w:val="2"/>
          <w:position w:val="-1"/>
          <w:sz w:val="18"/>
          <w:szCs w:val="18"/>
          <w:lang w:bidi="ar"/>
        </w:rPr>
        <w:t>验</w:t>
      </w:r>
      <w:r>
        <w:rPr>
          <w:rFonts w:hint="eastAsia" w:ascii="宋体" w:hAnsi="宋体" w:eastAsia="宋体" w:cs="Arial Unicode MS"/>
          <w:position w:val="-1"/>
          <w:sz w:val="18"/>
          <w:szCs w:val="18"/>
          <w:lang w:bidi="ar"/>
        </w:rPr>
        <w:t>批判主</w:t>
      </w:r>
      <w:r>
        <w:rPr>
          <w:rFonts w:hint="eastAsia" w:ascii="宋体" w:hAnsi="宋体" w:eastAsia="宋体" w:cs="Times New Roman"/>
          <w:spacing w:val="4"/>
          <w:position w:val="-1"/>
          <w:sz w:val="18"/>
          <w:szCs w:val="18"/>
          <w:lang w:bidi="ar"/>
        </w:rPr>
        <w:t>义》第2章，第1</w:t>
      </w:r>
      <w:r>
        <w:rPr>
          <w:rFonts w:hint="eastAsia" w:ascii="宋体" w:hAnsi="宋体" w:eastAsia="宋体" w:cs="Times New Roman"/>
          <w:spacing w:val="2"/>
          <w:position w:val="-1"/>
          <w:sz w:val="18"/>
          <w:szCs w:val="18"/>
          <w:lang w:bidi="ar"/>
        </w:rPr>
        <w:t>4</w:t>
      </w:r>
      <w:r>
        <w:rPr>
          <w:rFonts w:hint="eastAsia" w:ascii="宋体" w:hAnsi="宋体" w:eastAsia="宋体" w:cs="Times New Roman"/>
          <w:position w:val="-1"/>
          <w:sz w:val="18"/>
          <w:szCs w:val="18"/>
          <w:lang w:bidi="ar"/>
        </w:rPr>
        <w:t>2-</w:t>
      </w:r>
      <w:r>
        <w:rPr>
          <w:rFonts w:hint="eastAsia" w:ascii="宋体" w:hAnsi="宋体" w:eastAsia="宋体" w:cs="Times New Roman"/>
          <w:spacing w:val="4"/>
          <w:position w:val="-1"/>
          <w:sz w:val="18"/>
          <w:szCs w:val="18"/>
          <w:lang w:bidi="ar"/>
        </w:rPr>
        <w:t>14</w:t>
      </w:r>
      <w:r>
        <w:rPr>
          <w:rFonts w:hint="eastAsia" w:ascii="宋体" w:hAnsi="宋体" w:eastAsia="宋体" w:cs="Times New Roman"/>
          <w:position w:val="-1"/>
          <w:sz w:val="18"/>
          <w:szCs w:val="18"/>
          <w:lang w:bidi="ar"/>
        </w:rPr>
        <w:t>3</w:t>
      </w:r>
      <w:r>
        <w:rPr>
          <w:rFonts w:hint="eastAsia" w:ascii="宋体" w:hAnsi="宋体" w:eastAsia="宋体" w:cs="Arial Unicode MS"/>
          <w:spacing w:val="10"/>
          <w:position w:val="-1"/>
          <w:sz w:val="18"/>
          <w:szCs w:val="18"/>
          <w:lang w:bidi="ar"/>
        </w:rPr>
        <w:t>页</w:t>
      </w:r>
      <w:r>
        <w:rPr>
          <w:rFonts w:hint="eastAsia" w:ascii="宋体" w:hAnsi="宋体" w:eastAsia="宋体" w:cs="Arial Unicode MS"/>
          <w:spacing w:val="-144"/>
          <w:position w:val="-1"/>
          <w:sz w:val="18"/>
          <w:szCs w:val="18"/>
          <w:lang w:bidi="ar"/>
        </w:rPr>
        <w:t>《</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列</w:t>
      </w:r>
      <w:r>
        <w:rPr>
          <w:rFonts w:hint="eastAsia" w:ascii="宋体" w:hAnsi="宋体" w:eastAsia="宋体" w:cs="Times New Roman"/>
          <w:spacing w:val="4"/>
          <w:position w:val="-1"/>
          <w:sz w:val="18"/>
          <w:szCs w:val="18"/>
          <w:lang w:bidi="ar"/>
        </w:rPr>
        <w:t>宁选集》第2卷1960年版</w:t>
      </w:r>
      <w:r>
        <w:rPr>
          <w:rFonts w:hint="eastAsia" w:ascii="宋体" w:hAnsi="宋体" w:eastAsia="宋体" w:cs="Arial Unicode MS"/>
          <w:position w:val="-1"/>
          <w:sz w:val="18"/>
          <w:szCs w:val="18"/>
          <w:lang w:bidi="ar"/>
        </w:rPr>
        <w:t>。</w:t>
      </w:r>
    </w:p>
    <w:p w14:paraId="2A8976BC">
      <w:pPr>
        <w:autoSpaceDE w:val="0"/>
        <w:autoSpaceDN w:val="0"/>
        <w:adjustRightInd w:val="0"/>
        <w:ind w:firstLine="380" w:firstLineChars="200"/>
        <w:rPr>
          <w:rFonts w:ascii="宋体" w:hAnsi="宋体" w:eastAsia="宋体" w:cs="Arial Unicode MS"/>
          <w:b/>
          <w:bCs/>
          <w:position w:val="-1"/>
          <w:sz w:val="18"/>
          <w:szCs w:val="18"/>
        </w:rPr>
      </w:pPr>
      <w:r>
        <w:rPr>
          <w:rFonts w:hint="eastAsia" w:ascii="宋体" w:hAnsi="宋体" w:eastAsia="宋体" w:cs="Arial Unicode MS"/>
          <w:position w:val="-1"/>
          <w:sz w:val="18"/>
          <w:szCs w:val="18"/>
          <w:vertAlign w:val="superscript"/>
          <w:lang w:bidi="ar"/>
        </w:rPr>
        <w:t>④</w:t>
      </w:r>
      <w:r>
        <w:rPr>
          <w:rFonts w:hint="eastAsia" w:ascii="宋体" w:hAnsi="宋体" w:eastAsia="宋体" w:cs="Arial Unicode MS"/>
          <w:position w:val="-1"/>
          <w:sz w:val="18"/>
          <w:szCs w:val="18"/>
          <w:lang w:bidi="ar"/>
        </w:rPr>
        <w:t>转</w:t>
      </w:r>
      <w:r>
        <w:rPr>
          <w:rFonts w:hint="eastAsia" w:ascii="宋体" w:hAnsi="宋体" w:eastAsia="宋体" w:cs="Arial Unicode MS"/>
          <w:spacing w:val="2"/>
          <w:position w:val="-1"/>
          <w:sz w:val="18"/>
          <w:szCs w:val="18"/>
          <w:lang w:bidi="ar"/>
        </w:rPr>
        <w:t>引</w:t>
      </w:r>
      <w:r>
        <w:rPr>
          <w:rFonts w:hint="eastAsia" w:ascii="宋体" w:hAnsi="宋体" w:eastAsia="宋体" w:cs="Arial Unicode MS"/>
          <w:position w:val="-1"/>
          <w:sz w:val="18"/>
          <w:szCs w:val="18"/>
          <w:lang w:bidi="ar"/>
        </w:rPr>
        <w:t>自程恩富</w:t>
      </w:r>
      <w:r>
        <w:rPr>
          <w:rFonts w:hint="eastAsia" w:ascii="宋体" w:hAnsi="宋体" w:eastAsia="宋体" w:cs="Arial Unicode MS"/>
          <w:spacing w:val="-114"/>
          <w:position w:val="-1"/>
          <w:sz w:val="18"/>
          <w:szCs w:val="18"/>
          <w:lang w:bidi="ar"/>
        </w:rPr>
        <w:t>、</w:t>
      </w:r>
      <w:r>
        <w:rPr>
          <w:rFonts w:hint="eastAsia" w:ascii="宋体" w:hAnsi="宋体" w:eastAsia="宋体" w:cs="Arial Unicode MS"/>
          <w:position w:val="-1"/>
          <w:sz w:val="18"/>
          <w:szCs w:val="18"/>
          <w:lang w:bidi="ar"/>
        </w:rPr>
        <w:t>胡</w:t>
      </w:r>
      <w:r>
        <w:rPr>
          <w:rFonts w:hint="eastAsia" w:ascii="宋体" w:hAnsi="宋体" w:eastAsia="宋体" w:cs="Arial Unicode MS"/>
          <w:spacing w:val="2"/>
          <w:position w:val="-1"/>
          <w:sz w:val="18"/>
          <w:szCs w:val="18"/>
          <w:lang w:bidi="ar"/>
        </w:rPr>
        <w:t>乐</w:t>
      </w:r>
      <w:r>
        <w:rPr>
          <w:rFonts w:hint="eastAsia" w:ascii="宋体" w:hAnsi="宋体" w:eastAsia="宋体" w:cs="Arial Unicode MS"/>
          <w:position w:val="-1"/>
          <w:sz w:val="18"/>
          <w:szCs w:val="18"/>
          <w:lang w:bidi="ar"/>
        </w:rPr>
        <w:t>明主</w:t>
      </w:r>
      <w:r>
        <w:rPr>
          <w:rFonts w:hint="eastAsia" w:ascii="宋体" w:hAnsi="宋体" w:eastAsia="宋体" w:cs="Arial Unicode MS"/>
          <w:spacing w:val="10"/>
          <w:position w:val="-1"/>
          <w:sz w:val="18"/>
          <w:szCs w:val="18"/>
          <w:lang w:bidi="ar"/>
        </w:rPr>
        <w:t>编</w:t>
      </w:r>
      <w:r>
        <w:rPr>
          <w:rFonts w:hint="eastAsia" w:ascii="宋体" w:hAnsi="宋体" w:eastAsia="宋体" w:cs="Arial Unicode MS"/>
          <w:spacing w:val="-154"/>
          <w:position w:val="-1"/>
          <w:sz w:val="18"/>
          <w:szCs w:val="18"/>
          <w:lang w:bidi="ar"/>
        </w:rPr>
        <w:t>《</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经济学</w:t>
      </w:r>
      <w:r>
        <w:rPr>
          <w:rFonts w:hint="eastAsia" w:ascii="宋体" w:hAnsi="宋体" w:eastAsia="宋体" w:cs="Arial Unicode MS"/>
          <w:spacing w:val="2"/>
          <w:position w:val="-1"/>
          <w:sz w:val="18"/>
          <w:szCs w:val="18"/>
          <w:lang w:bidi="ar"/>
        </w:rPr>
        <w:t>方</w:t>
      </w:r>
      <w:r>
        <w:rPr>
          <w:rFonts w:hint="eastAsia" w:ascii="宋体" w:hAnsi="宋体" w:eastAsia="宋体" w:cs="Arial Unicode MS"/>
          <w:position w:val="-1"/>
          <w:sz w:val="18"/>
          <w:szCs w:val="18"/>
          <w:lang w:bidi="ar"/>
        </w:rPr>
        <w:t>法</w:t>
      </w:r>
      <w:r>
        <w:rPr>
          <w:rFonts w:hint="eastAsia" w:ascii="宋体" w:hAnsi="宋体" w:eastAsia="宋体" w:cs="Arial Unicode MS"/>
          <w:spacing w:val="2"/>
          <w:position w:val="-1"/>
          <w:sz w:val="18"/>
          <w:szCs w:val="18"/>
          <w:lang w:bidi="ar"/>
        </w:rPr>
        <w:t>论</w:t>
      </w:r>
      <w:r>
        <w:rPr>
          <w:rFonts w:hint="eastAsia" w:ascii="宋体" w:hAnsi="宋体" w:eastAsia="宋体" w:cs="Arial Unicode MS"/>
          <w:spacing w:val="-46"/>
          <w:position w:val="-1"/>
          <w:sz w:val="18"/>
          <w:szCs w:val="18"/>
          <w:lang w:bidi="ar"/>
        </w:rPr>
        <w:t>》</w:t>
      </w:r>
      <w:r>
        <w:rPr>
          <w:rFonts w:hint="eastAsia" w:ascii="宋体" w:hAnsi="宋体" w:eastAsia="宋体" w:cs="Times New Roman"/>
          <w:spacing w:val="-1"/>
          <w:position w:val="-1"/>
          <w:sz w:val="18"/>
          <w:szCs w:val="18"/>
          <w:lang w:bidi="ar"/>
        </w:rPr>
        <w:t>，</w:t>
      </w:r>
      <w:r>
        <w:rPr>
          <w:rFonts w:hint="eastAsia" w:ascii="宋体" w:hAnsi="宋体" w:eastAsia="宋体" w:cs="Arial Unicode MS"/>
          <w:spacing w:val="2"/>
          <w:position w:val="-1"/>
          <w:sz w:val="18"/>
          <w:szCs w:val="18"/>
          <w:lang w:bidi="ar"/>
        </w:rPr>
        <w:t>上</w:t>
      </w:r>
      <w:r>
        <w:rPr>
          <w:rFonts w:hint="eastAsia" w:ascii="宋体" w:hAnsi="宋体" w:eastAsia="宋体" w:cs="Arial Unicode MS"/>
          <w:position w:val="-1"/>
          <w:sz w:val="18"/>
          <w:szCs w:val="18"/>
          <w:lang w:bidi="ar"/>
        </w:rPr>
        <w:t>海财经</w:t>
      </w:r>
      <w:r>
        <w:rPr>
          <w:rFonts w:hint="eastAsia" w:ascii="宋体" w:hAnsi="宋体" w:eastAsia="宋体" w:cs="Arial Unicode MS"/>
          <w:spacing w:val="2"/>
          <w:position w:val="-1"/>
          <w:sz w:val="18"/>
          <w:szCs w:val="18"/>
          <w:lang w:bidi="ar"/>
        </w:rPr>
        <w:t>大</w:t>
      </w:r>
      <w:r>
        <w:rPr>
          <w:rFonts w:hint="eastAsia" w:ascii="宋体" w:hAnsi="宋体" w:eastAsia="宋体" w:cs="Arial Unicode MS"/>
          <w:position w:val="-1"/>
          <w:sz w:val="18"/>
          <w:szCs w:val="18"/>
          <w:lang w:bidi="ar"/>
        </w:rPr>
        <w:t>学出版社</w:t>
      </w:r>
      <w:r>
        <w:rPr>
          <w:rFonts w:hint="eastAsia" w:ascii="宋体" w:hAnsi="宋体" w:eastAsia="宋体" w:cs="Times New Roman"/>
          <w:spacing w:val="4"/>
          <w:position w:val="-1"/>
          <w:sz w:val="18"/>
          <w:szCs w:val="18"/>
          <w:lang w:bidi="ar"/>
        </w:rPr>
        <w:t>2</w:t>
      </w:r>
      <w:r>
        <w:rPr>
          <w:rFonts w:hint="eastAsia" w:ascii="宋体" w:hAnsi="宋体" w:eastAsia="宋体" w:cs="Times New Roman"/>
          <w:spacing w:val="2"/>
          <w:position w:val="-1"/>
          <w:sz w:val="18"/>
          <w:szCs w:val="18"/>
          <w:lang w:bidi="ar"/>
        </w:rPr>
        <w:t>0</w:t>
      </w:r>
      <w:r>
        <w:rPr>
          <w:rFonts w:hint="eastAsia" w:ascii="宋体" w:hAnsi="宋体" w:eastAsia="宋体" w:cs="Times New Roman"/>
          <w:spacing w:val="4"/>
          <w:position w:val="-1"/>
          <w:sz w:val="18"/>
          <w:szCs w:val="18"/>
          <w:lang w:bidi="ar"/>
        </w:rPr>
        <w:t>0</w:t>
      </w:r>
      <w:r>
        <w:rPr>
          <w:rFonts w:hint="eastAsia" w:ascii="宋体" w:hAnsi="宋体" w:eastAsia="宋体" w:cs="Times New Roman"/>
          <w:position w:val="-1"/>
          <w:sz w:val="18"/>
          <w:szCs w:val="18"/>
          <w:lang w:bidi="ar"/>
        </w:rPr>
        <w:t>2</w:t>
      </w:r>
      <w:r>
        <w:rPr>
          <w:rFonts w:hint="eastAsia" w:ascii="宋体" w:hAnsi="宋体" w:eastAsia="宋体" w:cs="Arial Unicode MS"/>
          <w:position w:val="-1"/>
          <w:sz w:val="18"/>
          <w:szCs w:val="18"/>
          <w:lang w:bidi="ar"/>
        </w:rPr>
        <w:t>年版</w:t>
      </w:r>
      <w:r>
        <w:rPr>
          <w:rFonts w:hint="eastAsia" w:ascii="宋体" w:hAnsi="宋体" w:eastAsia="宋体" w:cs="Times New Roman"/>
          <w:spacing w:val="-1"/>
          <w:position w:val="-1"/>
          <w:sz w:val="18"/>
          <w:szCs w:val="18"/>
          <w:lang w:bidi="ar"/>
        </w:rPr>
        <w:t>，</w:t>
      </w:r>
      <w:r>
        <w:rPr>
          <w:rFonts w:hint="eastAsia" w:ascii="宋体" w:hAnsi="宋体" w:eastAsia="宋体" w:cs="Arial Unicode MS"/>
          <w:position w:val="-1"/>
          <w:sz w:val="18"/>
          <w:szCs w:val="18"/>
          <w:lang w:bidi="ar"/>
        </w:rPr>
        <w:t>第</w:t>
      </w:r>
      <w:r>
        <w:rPr>
          <w:rFonts w:hint="eastAsia" w:ascii="宋体" w:hAnsi="宋体" w:eastAsia="宋体" w:cs="Times New Roman"/>
          <w:spacing w:val="4"/>
          <w:position w:val="-1"/>
          <w:sz w:val="18"/>
          <w:szCs w:val="18"/>
          <w:lang w:bidi="ar"/>
        </w:rPr>
        <w:t>65</w:t>
      </w:r>
      <w:r>
        <w:rPr>
          <w:rFonts w:hint="eastAsia" w:ascii="宋体" w:hAnsi="宋体" w:eastAsia="宋体" w:cs="Times New Roman"/>
          <w:position w:val="-1"/>
          <w:sz w:val="18"/>
          <w:szCs w:val="18"/>
          <w:lang w:bidi="ar"/>
        </w:rPr>
        <w:t>0</w:t>
      </w:r>
      <w:r>
        <w:rPr>
          <w:rFonts w:hint="eastAsia" w:ascii="宋体" w:hAnsi="宋体" w:eastAsia="宋体" w:cs="Arial Unicode MS"/>
          <w:position w:val="-1"/>
          <w:sz w:val="18"/>
          <w:szCs w:val="18"/>
          <w:lang w:bidi="ar"/>
        </w:rPr>
        <w:t>页。</w:t>
      </w:r>
    </w:p>
    <w:p w14:paraId="46AA867D">
      <w:pPr>
        <w:autoSpaceDE w:val="0"/>
        <w:autoSpaceDN w:val="0"/>
        <w:adjustRightInd w:val="0"/>
        <w:ind w:firstLine="440" w:firstLineChars="200"/>
        <w:rPr>
          <w:rFonts w:ascii="宋体" w:hAnsi="宋体" w:eastAsia="宋体" w:cs="Times New Roman"/>
          <w:w w:val="101"/>
          <w:position w:val="-1"/>
          <w:szCs w:val="21"/>
        </w:rPr>
      </w:pPr>
      <w:r>
        <w:rPr>
          <w:rFonts w:hint="eastAsia" w:ascii="宋体" w:hAnsi="宋体" w:eastAsia="宋体" w:cs="Arial Unicode MS"/>
          <w:b/>
          <w:bCs/>
          <w:position w:val="-1"/>
          <w:szCs w:val="21"/>
          <w:lang w:bidi="ar"/>
        </w:rPr>
        <w:t>参考</w:t>
      </w:r>
      <w:r>
        <w:rPr>
          <w:rFonts w:hint="eastAsia" w:ascii="宋体" w:hAnsi="宋体" w:eastAsia="宋体" w:cs="Arial Unicode MS"/>
          <w:b/>
          <w:bCs/>
          <w:spacing w:val="2"/>
          <w:position w:val="-1"/>
          <w:szCs w:val="21"/>
          <w:lang w:bidi="ar"/>
        </w:rPr>
        <w:t>文</w:t>
      </w:r>
      <w:r>
        <w:rPr>
          <w:rFonts w:hint="eastAsia" w:ascii="宋体" w:hAnsi="宋体" w:eastAsia="宋体" w:cs="Arial Unicode MS"/>
          <w:b/>
          <w:bCs/>
          <w:position w:val="-1"/>
          <w:szCs w:val="21"/>
          <w:lang w:bidi="ar"/>
        </w:rPr>
        <w:t>献</w:t>
      </w:r>
      <w:r>
        <w:rPr>
          <w:rFonts w:hint="eastAsia" w:ascii="宋体" w:hAnsi="宋体" w:eastAsia="宋体" w:cs="Times New Roman"/>
          <w:w w:val="101"/>
          <w:position w:val="-1"/>
          <w:szCs w:val="21"/>
          <w:lang w:bidi="ar"/>
        </w:rPr>
        <w:t>：</w:t>
      </w:r>
    </w:p>
    <w:p w14:paraId="4F47D0C3">
      <w:pPr>
        <w:autoSpaceDE w:val="0"/>
        <w:autoSpaceDN w:val="0"/>
        <w:adjustRightInd w:val="0"/>
        <w:ind w:firstLine="382" w:firstLineChars="200"/>
        <w:rPr>
          <w:rFonts w:ascii="宋体" w:hAnsi="宋体" w:eastAsia="宋体" w:cs="Times New Roman"/>
          <w:w w:val="101"/>
          <w:position w:val="-1"/>
          <w:sz w:val="18"/>
          <w:szCs w:val="18"/>
        </w:rPr>
      </w:pPr>
      <w:r>
        <w:rPr>
          <w:rFonts w:hint="eastAsia" w:ascii="宋体" w:hAnsi="宋体" w:eastAsia="宋体" w:cs="Times New Roman"/>
          <w:w w:val="101"/>
          <w:position w:val="-1"/>
          <w:sz w:val="18"/>
          <w:szCs w:val="18"/>
          <w:lang w:bidi="ar"/>
        </w:rPr>
        <w:t>[</w:t>
      </w:r>
      <w:r>
        <w:rPr>
          <w:rFonts w:hint="eastAsia" w:ascii="宋体" w:hAnsi="宋体" w:eastAsia="宋体" w:cs="Times New Roman"/>
          <w:position w:val="-1"/>
          <w:sz w:val="18"/>
          <w:szCs w:val="18"/>
          <w:lang w:bidi="ar"/>
        </w:rPr>
        <w:t>1</w:t>
      </w:r>
      <w:r>
        <w:rPr>
          <w:rFonts w:hint="eastAsia" w:ascii="宋体" w:hAnsi="宋体" w:eastAsia="宋体" w:cs="Times New Roman"/>
          <w:spacing w:val="7"/>
          <w:position w:val="-1"/>
          <w:sz w:val="18"/>
          <w:szCs w:val="18"/>
          <w:lang w:bidi="ar"/>
        </w:rPr>
        <w:t>]</w:t>
      </w:r>
      <w:r>
        <w:rPr>
          <w:rFonts w:hint="eastAsia" w:ascii="宋体" w:hAnsi="宋体" w:eastAsia="宋体" w:cs="Arial Unicode MS"/>
          <w:position w:val="-1"/>
          <w:sz w:val="18"/>
          <w:szCs w:val="18"/>
          <w:lang w:bidi="ar"/>
        </w:rPr>
        <w:t>程恩富</w:t>
      </w:r>
      <w:r>
        <w:rPr>
          <w:rFonts w:hint="eastAsia" w:ascii="宋体" w:hAnsi="宋体" w:eastAsia="宋体" w:cs="Times New Roman"/>
          <w:spacing w:val="-1"/>
          <w:w w:val="101"/>
          <w:position w:val="-1"/>
          <w:sz w:val="18"/>
          <w:szCs w:val="18"/>
          <w:lang w:bidi="ar"/>
        </w:rPr>
        <w:t>，</w:t>
      </w:r>
      <w:r>
        <w:rPr>
          <w:rFonts w:hint="eastAsia" w:ascii="宋体" w:hAnsi="宋体" w:eastAsia="宋体" w:cs="Arial Unicode MS"/>
          <w:position w:val="-1"/>
          <w:sz w:val="18"/>
          <w:szCs w:val="18"/>
          <w:lang w:bidi="ar"/>
        </w:rPr>
        <w:t>顾</w:t>
      </w:r>
      <w:r>
        <w:rPr>
          <w:rFonts w:hint="eastAsia" w:ascii="宋体" w:hAnsi="宋体" w:eastAsia="宋体" w:cs="Arial Unicode MS"/>
          <w:spacing w:val="2"/>
          <w:position w:val="-1"/>
          <w:sz w:val="18"/>
          <w:szCs w:val="18"/>
          <w:lang w:bidi="ar"/>
        </w:rPr>
        <w:t>海</w:t>
      </w:r>
      <w:r>
        <w:rPr>
          <w:rFonts w:hint="eastAsia" w:ascii="宋体" w:hAnsi="宋体" w:eastAsia="宋体" w:cs="Arial Unicode MS"/>
          <w:position w:val="-1"/>
          <w:sz w:val="18"/>
          <w:szCs w:val="18"/>
          <w:lang w:bidi="ar"/>
        </w:rPr>
        <w:t>良</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海</w:t>
      </w:r>
      <w:r>
        <w:rPr>
          <w:rFonts w:hint="eastAsia" w:ascii="宋体" w:hAnsi="宋体" w:eastAsia="宋体" w:cs="Arial Unicode MS"/>
          <w:spacing w:val="2"/>
          <w:position w:val="-1"/>
          <w:sz w:val="18"/>
          <w:szCs w:val="18"/>
          <w:lang w:bidi="ar"/>
        </w:rPr>
        <w:t>派</w:t>
      </w:r>
      <w:r>
        <w:rPr>
          <w:rFonts w:hint="eastAsia" w:ascii="宋体" w:hAnsi="宋体" w:eastAsia="宋体" w:cs="Arial Unicode MS"/>
          <w:position w:val="-1"/>
          <w:sz w:val="18"/>
          <w:szCs w:val="18"/>
          <w:lang w:bidi="ar"/>
        </w:rPr>
        <w:t>经济学</w:t>
      </w:r>
      <w:r>
        <w:rPr>
          <w:rFonts w:hint="eastAsia" w:ascii="宋体" w:hAnsi="宋体" w:eastAsia="宋体" w:cs="Times New Roman"/>
          <w:spacing w:val="7"/>
          <w:sz w:val="18"/>
          <w:szCs w:val="18"/>
          <w:lang w:bidi="ar"/>
        </w:rPr>
        <w:t>(</w:t>
      </w:r>
      <w:r>
        <w:rPr>
          <w:rFonts w:hint="eastAsia" w:ascii="宋体" w:hAnsi="宋体" w:eastAsia="宋体" w:cs="Arial Unicode MS"/>
          <w:position w:val="-1"/>
          <w:sz w:val="18"/>
          <w:szCs w:val="18"/>
          <w:lang w:bidi="ar"/>
        </w:rPr>
        <w:t>第</w:t>
      </w:r>
      <w:r>
        <w:rPr>
          <w:rFonts w:hint="eastAsia" w:ascii="宋体" w:hAnsi="宋体" w:eastAsia="宋体" w:cs="Times New Roman"/>
          <w:position w:val="-1"/>
          <w:sz w:val="18"/>
          <w:szCs w:val="18"/>
          <w:lang w:bidi="ar"/>
        </w:rPr>
        <w:t>1-6</w:t>
      </w:r>
      <w:r>
        <w:rPr>
          <w:rFonts w:hint="eastAsia" w:ascii="宋体" w:hAnsi="宋体" w:eastAsia="宋体" w:cs="Arial Unicode MS"/>
          <w:spacing w:val="4"/>
          <w:position w:val="-1"/>
          <w:sz w:val="18"/>
          <w:szCs w:val="18"/>
          <w:lang w:bidi="ar"/>
        </w:rPr>
        <w:t>辑</w:t>
      </w:r>
      <w:r>
        <w:rPr>
          <w:rFonts w:hint="eastAsia" w:ascii="宋体" w:hAnsi="宋体" w:eastAsia="宋体" w:cs="Times New Roman"/>
          <w:sz w:val="18"/>
          <w:szCs w:val="18"/>
          <w:lang w:bidi="ar"/>
        </w:rPr>
        <w:t>)</w:t>
      </w:r>
      <w:r>
        <w:rPr>
          <w:rFonts w:hint="eastAsia" w:ascii="宋体" w:hAnsi="宋体" w:eastAsia="宋体" w:cs="Times New Roman"/>
          <w:position w:val="-1"/>
          <w:sz w:val="18"/>
          <w:szCs w:val="18"/>
          <w:lang w:bidi="ar"/>
        </w:rPr>
        <w:t>[M</w:t>
      </w:r>
      <w:r>
        <w:rPr>
          <w:rFonts w:hint="eastAsia" w:ascii="宋体" w:hAnsi="宋体" w:eastAsia="宋体" w:cs="Times New Roman"/>
          <w:spacing w:val="-13"/>
          <w:position w:val="-1"/>
          <w:sz w:val="18"/>
          <w:szCs w:val="18"/>
          <w:lang w:bidi="ar"/>
        </w:rPr>
        <w:t>]</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上海</w:t>
      </w:r>
      <w:r>
        <w:rPr>
          <w:rFonts w:hint="eastAsia" w:ascii="宋体" w:hAnsi="宋体" w:eastAsia="宋体" w:cs="Times New Roman"/>
          <w:spacing w:val="6"/>
          <w:position w:val="-1"/>
          <w:sz w:val="18"/>
          <w:szCs w:val="18"/>
          <w:lang w:bidi="ar"/>
        </w:rPr>
        <w:t>：</w:t>
      </w:r>
      <w:r>
        <w:rPr>
          <w:rFonts w:hint="eastAsia" w:ascii="宋体" w:hAnsi="宋体" w:eastAsia="宋体" w:cs="Arial Unicode MS"/>
          <w:position w:val="-1"/>
          <w:sz w:val="18"/>
          <w:szCs w:val="18"/>
          <w:lang w:bidi="ar"/>
        </w:rPr>
        <w:t>上</w:t>
      </w:r>
      <w:r>
        <w:rPr>
          <w:rFonts w:hint="eastAsia" w:ascii="宋体" w:hAnsi="宋体" w:eastAsia="宋体" w:cs="Arial Unicode MS"/>
          <w:spacing w:val="2"/>
          <w:position w:val="-1"/>
          <w:sz w:val="18"/>
          <w:szCs w:val="18"/>
          <w:lang w:bidi="ar"/>
        </w:rPr>
        <w:t>海</w:t>
      </w:r>
      <w:r>
        <w:rPr>
          <w:rFonts w:hint="eastAsia" w:ascii="宋体" w:hAnsi="宋体" w:eastAsia="宋体" w:cs="Arial Unicode MS"/>
          <w:position w:val="-1"/>
          <w:sz w:val="18"/>
          <w:szCs w:val="18"/>
          <w:lang w:bidi="ar"/>
        </w:rPr>
        <w:t>财经大</w:t>
      </w:r>
      <w:r>
        <w:rPr>
          <w:rFonts w:hint="eastAsia" w:ascii="宋体" w:hAnsi="宋体" w:eastAsia="宋体" w:cs="Arial Unicode MS"/>
          <w:spacing w:val="2"/>
          <w:position w:val="-1"/>
          <w:sz w:val="18"/>
          <w:szCs w:val="18"/>
          <w:lang w:bidi="ar"/>
        </w:rPr>
        <w:t>学</w:t>
      </w:r>
      <w:r>
        <w:rPr>
          <w:rFonts w:hint="eastAsia" w:ascii="宋体" w:hAnsi="宋体" w:eastAsia="宋体" w:cs="Arial Unicode MS"/>
          <w:position w:val="-1"/>
          <w:sz w:val="18"/>
          <w:szCs w:val="18"/>
          <w:lang w:bidi="ar"/>
        </w:rPr>
        <w:t>出版社</w:t>
      </w:r>
      <w:r>
        <w:rPr>
          <w:rFonts w:hint="eastAsia" w:ascii="宋体" w:hAnsi="宋体" w:eastAsia="宋体" w:cs="Times New Roman"/>
          <w:spacing w:val="1"/>
          <w:w w:val="101"/>
          <w:position w:val="-1"/>
          <w:sz w:val="18"/>
          <w:szCs w:val="18"/>
          <w:lang w:bidi="ar"/>
        </w:rPr>
        <w:t>，</w:t>
      </w:r>
      <w:r>
        <w:rPr>
          <w:rFonts w:hint="eastAsia" w:ascii="宋体" w:hAnsi="宋体" w:eastAsia="宋体" w:cs="Times New Roman"/>
          <w:spacing w:val="4"/>
          <w:w w:val="101"/>
          <w:position w:val="-1"/>
          <w:sz w:val="18"/>
          <w:szCs w:val="18"/>
          <w:lang w:bidi="ar"/>
        </w:rPr>
        <w:t>2</w:t>
      </w:r>
      <w:r>
        <w:rPr>
          <w:rFonts w:hint="eastAsia" w:ascii="宋体" w:hAnsi="宋体" w:eastAsia="宋体" w:cs="Times New Roman"/>
          <w:spacing w:val="2"/>
          <w:w w:val="101"/>
          <w:position w:val="-1"/>
          <w:sz w:val="18"/>
          <w:szCs w:val="18"/>
          <w:lang w:bidi="ar"/>
        </w:rPr>
        <w:t>0</w:t>
      </w:r>
      <w:r>
        <w:rPr>
          <w:rFonts w:hint="eastAsia" w:ascii="宋体" w:hAnsi="宋体" w:eastAsia="宋体" w:cs="Times New Roman"/>
          <w:spacing w:val="4"/>
          <w:w w:val="101"/>
          <w:position w:val="-1"/>
          <w:sz w:val="18"/>
          <w:szCs w:val="18"/>
          <w:lang w:bidi="ar"/>
        </w:rPr>
        <w:t>0</w:t>
      </w:r>
      <w:r>
        <w:rPr>
          <w:rFonts w:hint="eastAsia" w:ascii="宋体" w:hAnsi="宋体" w:eastAsia="宋体" w:cs="Times New Roman"/>
          <w:spacing w:val="2"/>
          <w:w w:val="101"/>
          <w:position w:val="-1"/>
          <w:sz w:val="18"/>
          <w:szCs w:val="18"/>
          <w:lang w:bidi="ar"/>
        </w:rPr>
        <w:t>3</w:t>
      </w:r>
      <w:r>
        <w:rPr>
          <w:rFonts w:hint="eastAsia" w:ascii="宋体" w:hAnsi="宋体" w:eastAsia="宋体" w:cs="Arial Unicode MS"/>
          <w:spacing w:val="2"/>
          <w:position w:val="-1"/>
          <w:sz w:val="18"/>
          <w:szCs w:val="18"/>
          <w:lang w:bidi="ar"/>
        </w:rPr>
        <w:t>～</w:t>
      </w:r>
      <w:r>
        <w:rPr>
          <w:rFonts w:hint="eastAsia" w:ascii="宋体" w:hAnsi="宋体" w:eastAsia="宋体" w:cs="Times New Roman"/>
          <w:spacing w:val="2"/>
          <w:w w:val="101"/>
          <w:position w:val="-1"/>
          <w:sz w:val="18"/>
          <w:szCs w:val="18"/>
          <w:lang w:bidi="ar"/>
        </w:rPr>
        <w:t>2</w:t>
      </w:r>
      <w:r>
        <w:rPr>
          <w:rFonts w:hint="eastAsia" w:ascii="宋体" w:hAnsi="宋体" w:eastAsia="宋体" w:cs="Times New Roman"/>
          <w:spacing w:val="4"/>
          <w:w w:val="101"/>
          <w:position w:val="-1"/>
          <w:sz w:val="18"/>
          <w:szCs w:val="18"/>
          <w:lang w:bidi="ar"/>
        </w:rPr>
        <w:t>00</w:t>
      </w:r>
      <w:r>
        <w:rPr>
          <w:rFonts w:hint="eastAsia" w:ascii="宋体" w:hAnsi="宋体" w:eastAsia="宋体" w:cs="Times New Roman"/>
          <w:spacing w:val="-18"/>
          <w:w w:val="101"/>
          <w:position w:val="-1"/>
          <w:sz w:val="18"/>
          <w:szCs w:val="18"/>
          <w:lang w:bidi="ar"/>
        </w:rPr>
        <w:t>4</w:t>
      </w:r>
      <w:r>
        <w:rPr>
          <w:rFonts w:hint="eastAsia" w:ascii="宋体" w:hAnsi="宋体" w:eastAsia="宋体" w:cs="Times New Roman"/>
          <w:position w:val="-1"/>
          <w:sz w:val="18"/>
          <w:szCs w:val="18"/>
          <w:lang w:bidi="ar"/>
        </w:rPr>
        <w:t>.</w:t>
      </w:r>
    </w:p>
    <w:p w14:paraId="6C3FAF10">
      <w:pPr>
        <w:autoSpaceDE w:val="0"/>
        <w:autoSpaceDN w:val="0"/>
        <w:adjustRightInd w:val="0"/>
        <w:ind w:firstLine="382" w:firstLineChars="200"/>
        <w:rPr>
          <w:rFonts w:ascii="宋体" w:hAnsi="宋体" w:eastAsia="宋体" w:cs="Times New Roman"/>
          <w:w w:val="101"/>
          <w:position w:val="-1"/>
          <w:sz w:val="18"/>
          <w:szCs w:val="18"/>
        </w:rPr>
      </w:pPr>
      <w:r>
        <w:rPr>
          <w:rFonts w:hint="eastAsia" w:ascii="宋体" w:hAnsi="宋体" w:eastAsia="宋体" w:cs="Times New Roman"/>
          <w:w w:val="101"/>
          <w:position w:val="-1"/>
          <w:sz w:val="18"/>
          <w:szCs w:val="18"/>
          <w:lang w:bidi="ar"/>
        </w:rPr>
        <w:t>[</w:t>
      </w:r>
      <w:r>
        <w:rPr>
          <w:rFonts w:hint="eastAsia" w:ascii="宋体" w:hAnsi="宋体" w:eastAsia="宋体" w:cs="Times New Roman"/>
          <w:position w:val="-1"/>
          <w:sz w:val="18"/>
          <w:szCs w:val="18"/>
          <w:lang w:bidi="ar"/>
        </w:rPr>
        <w:t>2</w:t>
      </w:r>
      <w:r>
        <w:rPr>
          <w:rFonts w:hint="eastAsia" w:ascii="宋体" w:hAnsi="宋体" w:eastAsia="宋体" w:cs="Times New Roman"/>
          <w:spacing w:val="7"/>
          <w:w w:val="101"/>
          <w:position w:val="-1"/>
          <w:sz w:val="18"/>
          <w:szCs w:val="18"/>
          <w:lang w:bidi="ar"/>
        </w:rPr>
        <w:t>]</w:t>
      </w:r>
      <w:r>
        <w:rPr>
          <w:rFonts w:hint="eastAsia" w:ascii="宋体" w:hAnsi="宋体" w:eastAsia="宋体" w:cs="Arial Unicode MS"/>
          <w:position w:val="-1"/>
          <w:sz w:val="18"/>
          <w:szCs w:val="18"/>
          <w:lang w:bidi="ar"/>
        </w:rPr>
        <w:t>毛增余</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与中</w:t>
      </w:r>
      <w:r>
        <w:rPr>
          <w:rFonts w:hint="eastAsia" w:ascii="宋体" w:hAnsi="宋体" w:eastAsia="宋体" w:cs="Arial Unicode MS"/>
          <w:spacing w:val="2"/>
          <w:position w:val="-1"/>
          <w:sz w:val="18"/>
          <w:szCs w:val="18"/>
          <w:lang w:bidi="ar"/>
        </w:rPr>
        <w:t>国</w:t>
      </w:r>
      <w:r>
        <w:rPr>
          <w:rFonts w:hint="eastAsia" w:ascii="宋体" w:hAnsi="宋体" w:eastAsia="宋体" w:cs="Arial Unicode MS"/>
          <w:position w:val="-1"/>
          <w:sz w:val="18"/>
          <w:szCs w:val="18"/>
          <w:lang w:bidi="ar"/>
        </w:rPr>
        <w:t>著名经</w:t>
      </w:r>
      <w:r>
        <w:rPr>
          <w:rFonts w:hint="eastAsia" w:ascii="宋体" w:hAnsi="宋体" w:eastAsia="宋体" w:cs="Arial Unicode MS"/>
          <w:spacing w:val="2"/>
          <w:position w:val="-1"/>
          <w:sz w:val="18"/>
          <w:szCs w:val="18"/>
          <w:lang w:bidi="ar"/>
        </w:rPr>
        <w:t>济</w:t>
      </w:r>
      <w:r>
        <w:rPr>
          <w:rFonts w:hint="eastAsia" w:ascii="宋体" w:hAnsi="宋体" w:eastAsia="宋体" w:cs="Arial Unicode MS"/>
          <w:position w:val="-1"/>
          <w:sz w:val="18"/>
          <w:szCs w:val="18"/>
          <w:lang w:bidi="ar"/>
        </w:rPr>
        <w:t>学家对话</w:t>
      </w:r>
      <w:r>
        <w:rPr>
          <w:rFonts w:hint="eastAsia" w:ascii="宋体" w:hAnsi="宋体" w:eastAsia="宋体" w:cs="Times New Roman"/>
          <w:spacing w:val="6"/>
          <w:w w:val="101"/>
          <w:position w:val="-1"/>
          <w:sz w:val="18"/>
          <w:szCs w:val="18"/>
          <w:lang w:bidi="ar"/>
        </w:rPr>
        <w:t>：</w:t>
      </w:r>
      <w:r>
        <w:rPr>
          <w:rFonts w:hint="eastAsia" w:ascii="宋体" w:hAnsi="宋体" w:eastAsia="宋体" w:cs="Arial Unicode MS"/>
          <w:position w:val="-1"/>
          <w:sz w:val="18"/>
          <w:szCs w:val="18"/>
          <w:lang w:bidi="ar"/>
        </w:rPr>
        <w:t>顾</w:t>
      </w:r>
      <w:r>
        <w:rPr>
          <w:rFonts w:hint="eastAsia" w:ascii="宋体" w:hAnsi="宋体" w:eastAsia="宋体" w:cs="Arial Unicode MS"/>
          <w:spacing w:val="2"/>
          <w:position w:val="-1"/>
          <w:sz w:val="18"/>
          <w:szCs w:val="18"/>
          <w:lang w:bidi="ar"/>
        </w:rPr>
        <w:t>海</w:t>
      </w:r>
      <w:r>
        <w:rPr>
          <w:rFonts w:hint="eastAsia" w:ascii="宋体" w:hAnsi="宋体" w:eastAsia="宋体" w:cs="Arial Unicode MS"/>
          <w:position w:val="-1"/>
          <w:sz w:val="18"/>
          <w:szCs w:val="18"/>
          <w:lang w:bidi="ar"/>
        </w:rPr>
        <w:t>良</w:t>
      </w:r>
      <w:r>
        <w:rPr>
          <w:rFonts w:hint="eastAsia" w:ascii="宋体" w:hAnsi="宋体" w:eastAsia="宋体" w:cs="Arial Unicode MS"/>
          <w:spacing w:val="-116"/>
          <w:position w:val="-1"/>
          <w:sz w:val="18"/>
          <w:szCs w:val="18"/>
          <w:lang w:bidi="ar"/>
        </w:rPr>
        <w:t>、</w:t>
      </w:r>
      <w:r>
        <w:rPr>
          <w:rFonts w:hint="eastAsia" w:ascii="宋体" w:hAnsi="宋体" w:eastAsia="宋体" w:cs="Arial Unicode MS"/>
          <w:spacing w:val="2"/>
          <w:position w:val="-1"/>
          <w:sz w:val="18"/>
          <w:szCs w:val="18"/>
          <w:lang w:bidi="ar"/>
        </w:rPr>
        <w:t>王</w:t>
      </w:r>
      <w:r>
        <w:rPr>
          <w:rFonts w:hint="eastAsia" w:ascii="宋体" w:hAnsi="宋体" w:eastAsia="宋体" w:cs="Arial Unicode MS"/>
          <w:position w:val="-1"/>
          <w:sz w:val="18"/>
          <w:szCs w:val="18"/>
          <w:lang w:bidi="ar"/>
        </w:rPr>
        <w:t>振中</w:t>
      </w:r>
      <w:r>
        <w:rPr>
          <w:rFonts w:hint="eastAsia" w:ascii="宋体" w:hAnsi="宋体" w:eastAsia="宋体" w:cs="Arial Unicode MS"/>
          <w:spacing w:val="-114"/>
          <w:position w:val="-1"/>
          <w:sz w:val="18"/>
          <w:szCs w:val="18"/>
          <w:lang w:bidi="ar"/>
        </w:rPr>
        <w:t>、</w:t>
      </w:r>
      <w:r>
        <w:rPr>
          <w:rFonts w:hint="eastAsia" w:ascii="宋体" w:hAnsi="宋体" w:eastAsia="宋体" w:cs="Arial Unicode MS"/>
          <w:position w:val="-1"/>
          <w:sz w:val="18"/>
          <w:szCs w:val="18"/>
          <w:lang w:bidi="ar"/>
        </w:rPr>
        <w:t>林岗</w:t>
      </w:r>
      <w:r>
        <w:rPr>
          <w:rFonts w:hint="eastAsia" w:ascii="宋体" w:hAnsi="宋体" w:eastAsia="宋体" w:cs="Arial Unicode MS"/>
          <w:spacing w:val="-114"/>
          <w:position w:val="-1"/>
          <w:sz w:val="18"/>
          <w:szCs w:val="18"/>
          <w:lang w:bidi="ar"/>
        </w:rPr>
        <w:t>、</w:t>
      </w:r>
      <w:r>
        <w:rPr>
          <w:rFonts w:hint="eastAsia" w:ascii="宋体" w:hAnsi="宋体" w:eastAsia="宋体" w:cs="Arial Unicode MS"/>
          <w:position w:val="-1"/>
          <w:sz w:val="18"/>
          <w:szCs w:val="18"/>
          <w:lang w:bidi="ar"/>
        </w:rPr>
        <w:t>程恩富</w:t>
      </w:r>
      <w:r>
        <w:rPr>
          <w:rFonts w:hint="eastAsia" w:ascii="宋体" w:hAnsi="宋体" w:eastAsia="宋体" w:cs="Times New Roman"/>
          <w:w w:val="101"/>
          <w:sz w:val="18"/>
          <w:szCs w:val="18"/>
          <w:lang w:bidi="ar"/>
        </w:rPr>
        <w:t>(</w:t>
      </w:r>
      <w:r>
        <w:rPr>
          <w:rFonts w:hint="eastAsia" w:ascii="宋体" w:hAnsi="宋体" w:eastAsia="宋体" w:cs="Arial Unicode MS"/>
          <w:spacing w:val="4"/>
          <w:position w:val="-1"/>
          <w:sz w:val="18"/>
          <w:szCs w:val="18"/>
          <w:lang w:bidi="ar"/>
        </w:rPr>
        <w:t>第</w:t>
      </w:r>
      <w:r>
        <w:rPr>
          <w:rFonts w:hint="eastAsia" w:ascii="宋体" w:hAnsi="宋体" w:eastAsia="宋体" w:cs="Arial Unicode MS"/>
          <w:spacing w:val="6"/>
          <w:position w:val="-1"/>
          <w:sz w:val="18"/>
          <w:szCs w:val="18"/>
          <w:lang w:bidi="ar"/>
        </w:rPr>
        <w:t>五辑</w:t>
      </w:r>
      <w:r>
        <w:rPr>
          <w:rFonts w:hint="eastAsia" w:ascii="宋体" w:hAnsi="宋体" w:eastAsia="宋体" w:cs="Times New Roman"/>
          <w:sz w:val="18"/>
          <w:szCs w:val="18"/>
          <w:lang w:bidi="ar"/>
        </w:rPr>
        <w:t>)</w:t>
      </w:r>
      <w:r>
        <w:rPr>
          <w:rFonts w:hint="eastAsia" w:ascii="宋体" w:hAnsi="宋体" w:eastAsia="宋体" w:cs="Times New Roman"/>
          <w:position w:val="-1"/>
          <w:sz w:val="18"/>
          <w:szCs w:val="18"/>
          <w:lang w:bidi="ar"/>
        </w:rPr>
        <w:t>[M</w:t>
      </w:r>
      <w:r>
        <w:rPr>
          <w:rFonts w:hint="eastAsia" w:ascii="宋体" w:hAnsi="宋体" w:eastAsia="宋体" w:cs="Times New Roman"/>
          <w:spacing w:val="-9"/>
          <w:position w:val="-1"/>
          <w:sz w:val="18"/>
          <w:szCs w:val="18"/>
          <w:lang w:bidi="ar"/>
        </w:rPr>
        <w:t>]</w:t>
      </w:r>
      <w:r>
        <w:rPr>
          <w:rFonts w:hint="eastAsia" w:ascii="宋体" w:hAnsi="宋体" w:eastAsia="宋体" w:cs="Times New Roman"/>
          <w:position w:val="-1"/>
          <w:sz w:val="18"/>
          <w:szCs w:val="18"/>
          <w:lang w:bidi="ar"/>
        </w:rPr>
        <w:t>.</w:t>
      </w:r>
      <w:r>
        <w:rPr>
          <w:rFonts w:hint="eastAsia" w:ascii="宋体" w:hAnsi="宋体" w:eastAsia="宋体" w:cs="Arial Unicode MS"/>
          <w:spacing w:val="4"/>
          <w:position w:val="-1"/>
          <w:sz w:val="18"/>
          <w:szCs w:val="18"/>
          <w:lang w:bidi="ar"/>
        </w:rPr>
        <w:t>北</w:t>
      </w:r>
      <w:r>
        <w:rPr>
          <w:rFonts w:hint="eastAsia" w:ascii="宋体" w:hAnsi="宋体" w:eastAsia="宋体" w:cs="Arial Unicode MS"/>
          <w:position w:val="-1"/>
          <w:sz w:val="18"/>
          <w:szCs w:val="18"/>
          <w:lang w:bidi="ar"/>
        </w:rPr>
        <w:t>京</w:t>
      </w:r>
      <w:r>
        <w:rPr>
          <w:rFonts w:hint="eastAsia" w:ascii="宋体" w:hAnsi="宋体" w:eastAsia="宋体" w:cs="Times New Roman"/>
          <w:spacing w:val="10"/>
          <w:position w:val="-1"/>
          <w:sz w:val="18"/>
          <w:szCs w:val="18"/>
          <w:lang w:bidi="ar"/>
        </w:rPr>
        <w:t>：</w:t>
      </w:r>
      <w:r>
        <w:rPr>
          <w:rFonts w:hint="eastAsia" w:ascii="宋体" w:hAnsi="宋体" w:eastAsia="宋体" w:cs="Arial Unicode MS"/>
          <w:spacing w:val="4"/>
          <w:position w:val="-1"/>
          <w:sz w:val="18"/>
          <w:szCs w:val="18"/>
          <w:lang w:bidi="ar"/>
        </w:rPr>
        <w:t>中国经</w:t>
      </w:r>
      <w:r>
        <w:rPr>
          <w:rFonts w:hint="eastAsia" w:ascii="宋体" w:hAnsi="宋体" w:eastAsia="宋体" w:cs="Arial Unicode MS"/>
          <w:spacing w:val="6"/>
          <w:position w:val="-1"/>
          <w:sz w:val="18"/>
          <w:szCs w:val="18"/>
          <w:lang w:bidi="ar"/>
        </w:rPr>
        <w:t>济</w:t>
      </w:r>
      <w:r>
        <w:rPr>
          <w:rFonts w:hint="eastAsia" w:ascii="宋体" w:hAnsi="宋体" w:eastAsia="宋体" w:cs="Arial Unicode MS"/>
          <w:spacing w:val="4"/>
          <w:position w:val="-1"/>
          <w:sz w:val="18"/>
          <w:szCs w:val="18"/>
          <w:lang w:bidi="ar"/>
        </w:rPr>
        <w:t>出版</w:t>
      </w:r>
      <w:r>
        <w:rPr>
          <w:rFonts w:hint="eastAsia" w:ascii="宋体" w:hAnsi="宋体" w:eastAsia="宋体" w:cs="Arial Unicode MS"/>
          <w:position w:val="-1"/>
          <w:sz w:val="18"/>
          <w:szCs w:val="18"/>
          <w:lang w:bidi="ar"/>
        </w:rPr>
        <w:t>社</w:t>
      </w:r>
      <w:r>
        <w:rPr>
          <w:rFonts w:hint="eastAsia" w:ascii="宋体" w:hAnsi="宋体" w:eastAsia="宋体" w:cs="Times New Roman"/>
          <w:w w:val="101"/>
          <w:position w:val="-1"/>
          <w:sz w:val="18"/>
          <w:szCs w:val="18"/>
          <w:lang w:bidi="ar"/>
        </w:rPr>
        <w:t>，</w:t>
      </w:r>
      <w:r>
        <w:rPr>
          <w:rFonts w:hint="eastAsia" w:ascii="宋体" w:hAnsi="宋体" w:eastAsia="宋体" w:cs="Times New Roman"/>
          <w:spacing w:val="2"/>
          <w:w w:val="101"/>
          <w:sz w:val="18"/>
          <w:szCs w:val="18"/>
          <w:lang w:bidi="ar"/>
        </w:rPr>
        <w:t>2</w:t>
      </w:r>
      <w:r>
        <w:rPr>
          <w:rFonts w:hint="eastAsia" w:ascii="宋体" w:hAnsi="宋体" w:eastAsia="宋体" w:cs="Times New Roman"/>
          <w:spacing w:val="4"/>
          <w:w w:val="101"/>
          <w:sz w:val="18"/>
          <w:szCs w:val="18"/>
          <w:lang w:bidi="ar"/>
        </w:rPr>
        <w:t>00</w:t>
      </w:r>
      <w:r>
        <w:rPr>
          <w:rFonts w:hint="eastAsia" w:ascii="宋体" w:hAnsi="宋体" w:eastAsia="宋体" w:cs="Times New Roman"/>
          <w:spacing w:val="-18"/>
          <w:w w:val="101"/>
          <w:sz w:val="18"/>
          <w:szCs w:val="18"/>
          <w:lang w:bidi="ar"/>
        </w:rPr>
        <w:t>3</w:t>
      </w:r>
      <w:r>
        <w:rPr>
          <w:rFonts w:hint="eastAsia" w:ascii="宋体" w:hAnsi="宋体" w:eastAsia="宋体" w:cs="Times New Roman"/>
          <w:sz w:val="18"/>
          <w:szCs w:val="18"/>
          <w:lang w:bidi="ar"/>
        </w:rPr>
        <w:t>.</w:t>
      </w:r>
    </w:p>
    <w:p w14:paraId="191C7F52">
      <w:pPr>
        <w:autoSpaceDE w:val="0"/>
        <w:autoSpaceDN w:val="0"/>
        <w:adjustRightInd w:val="0"/>
        <w:ind w:firstLine="382" w:firstLineChars="200"/>
        <w:rPr>
          <w:rFonts w:ascii="宋体" w:hAnsi="宋体" w:eastAsia="宋体" w:cs="Times New Roman"/>
          <w:w w:val="101"/>
          <w:position w:val="-1"/>
          <w:sz w:val="18"/>
          <w:szCs w:val="18"/>
        </w:rPr>
      </w:pPr>
      <w:r>
        <w:rPr>
          <w:rFonts w:hint="eastAsia" w:ascii="宋体" w:hAnsi="宋体" w:eastAsia="宋体" w:cs="Times New Roman"/>
          <w:w w:val="101"/>
          <w:position w:val="-1"/>
          <w:sz w:val="18"/>
          <w:szCs w:val="18"/>
          <w:lang w:bidi="ar"/>
        </w:rPr>
        <w:t>[</w:t>
      </w:r>
      <w:r>
        <w:rPr>
          <w:rFonts w:hint="eastAsia" w:ascii="宋体" w:hAnsi="宋体" w:eastAsia="宋体" w:cs="Times New Roman"/>
          <w:position w:val="-1"/>
          <w:sz w:val="18"/>
          <w:szCs w:val="18"/>
          <w:lang w:bidi="ar"/>
        </w:rPr>
        <w:t>3</w:t>
      </w:r>
      <w:r>
        <w:rPr>
          <w:rFonts w:hint="eastAsia" w:ascii="宋体" w:hAnsi="宋体" w:eastAsia="宋体" w:cs="Times New Roman"/>
          <w:spacing w:val="7"/>
          <w:w w:val="101"/>
          <w:position w:val="-1"/>
          <w:sz w:val="18"/>
          <w:szCs w:val="18"/>
          <w:lang w:bidi="ar"/>
        </w:rPr>
        <w:t>]</w:t>
      </w:r>
      <w:r>
        <w:rPr>
          <w:rFonts w:hint="eastAsia" w:ascii="宋体" w:hAnsi="宋体" w:eastAsia="宋体" w:cs="Arial Unicode MS"/>
          <w:position w:val="-1"/>
          <w:sz w:val="18"/>
          <w:szCs w:val="18"/>
          <w:lang w:bidi="ar"/>
        </w:rPr>
        <w:t>程恩富</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国外</w:t>
      </w:r>
      <w:r>
        <w:rPr>
          <w:rFonts w:hint="eastAsia" w:ascii="宋体" w:hAnsi="宋体" w:eastAsia="宋体" w:cs="Arial Unicode MS"/>
          <w:spacing w:val="2"/>
          <w:position w:val="-1"/>
          <w:sz w:val="18"/>
          <w:szCs w:val="18"/>
          <w:lang w:bidi="ar"/>
        </w:rPr>
        <w:t>经</w:t>
      </w:r>
      <w:r>
        <w:rPr>
          <w:rFonts w:hint="eastAsia" w:ascii="宋体" w:hAnsi="宋体" w:eastAsia="宋体" w:cs="Arial Unicode MS"/>
          <w:position w:val="-1"/>
          <w:sz w:val="18"/>
          <w:szCs w:val="18"/>
          <w:lang w:bidi="ar"/>
        </w:rPr>
        <w:t>济学与</w:t>
      </w:r>
      <w:r>
        <w:rPr>
          <w:rFonts w:hint="eastAsia" w:ascii="宋体" w:hAnsi="宋体" w:eastAsia="宋体" w:cs="Arial Unicode MS"/>
          <w:spacing w:val="2"/>
          <w:position w:val="-1"/>
          <w:sz w:val="18"/>
          <w:szCs w:val="18"/>
          <w:lang w:bidi="ar"/>
        </w:rPr>
        <w:t>当</w:t>
      </w:r>
      <w:r>
        <w:rPr>
          <w:rFonts w:hint="eastAsia" w:ascii="宋体" w:hAnsi="宋体" w:eastAsia="宋体" w:cs="Arial Unicode MS"/>
          <w:position w:val="-1"/>
          <w:sz w:val="18"/>
          <w:szCs w:val="18"/>
          <w:lang w:bidi="ar"/>
        </w:rPr>
        <w:t>代中国经济</w:t>
      </w:r>
      <w:r>
        <w:rPr>
          <w:rFonts w:hint="eastAsia" w:ascii="宋体" w:hAnsi="宋体" w:eastAsia="宋体" w:cs="Times New Roman"/>
          <w:position w:val="-1"/>
          <w:sz w:val="18"/>
          <w:szCs w:val="18"/>
          <w:lang w:bidi="ar"/>
        </w:rPr>
        <w:t>[M</w:t>
      </w:r>
      <w:r>
        <w:rPr>
          <w:rFonts w:hint="eastAsia" w:ascii="宋体" w:hAnsi="宋体" w:eastAsia="宋体" w:cs="Times New Roman"/>
          <w:spacing w:val="-11"/>
          <w:position w:val="-1"/>
          <w:sz w:val="18"/>
          <w:szCs w:val="18"/>
          <w:lang w:bidi="ar"/>
        </w:rPr>
        <w:t>]</w:t>
      </w:r>
      <w:r>
        <w:rPr>
          <w:rFonts w:hint="eastAsia" w:ascii="宋体" w:hAnsi="宋体" w:eastAsia="宋体" w:cs="Times New Roman"/>
          <w:position w:val="-1"/>
          <w:sz w:val="18"/>
          <w:szCs w:val="18"/>
          <w:lang w:bidi="ar"/>
        </w:rPr>
        <w:t>.</w:t>
      </w:r>
      <w:r>
        <w:rPr>
          <w:rFonts w:hint="eastAsia" w:ascii="宋体" w:hAnsi="宋体" w:eastAsia="宋体" w:cs="Arial Unicode MS"/>
          <w:spacing w:val="2"/>
          <w:position w:val="-1"/>
          <w:sz w:val="18"/>
          <w:szCs w:val="18"/>
          <w:lang w:bidi="ar"/>
        </w:rPr>
        <w:t>北</w:t>
      </w:r>
      <w:r>
        <w:rPr>
          <w:rFonts w:hint="eastAsia" w:ascii="宋体" w:hAnsi="宋体" w:eastAsia="宋体" w:cs="Arial Unicode MS"/>
          <w:position w:val="-1"/>
          <w:sz w:val="18"/>
          <w:szCs w:val="18"/>
          <w:lang w:bidi="ar"/>
        </w:rPr>
        <w:t>京</w:t>
      </w:r>
      <w:r>
        <w:rPr>
          <w:rFonts w:hint="eastAsia" w:ascii="宋体" w:hAnsi="宋体" w:eastAsia="宋体" w:cs="Times New Roman"/>
          <w:spacing w:val="8"/>
          <w:position w:val="-1"/>
          <w:sz w:val="18"/>
          <w:szCs w:val="18"/>
          <w:lang w:bidi="ar"/>
        </w:rPr>
        <w:t>：</w:t>
      </w:r>
      <w:r>
        <w:rPr>
          <w:rFonts w:hint="eastAsia" w:ascii="宋体" w:hAnsi="宋体" w:eastAsia="宋体" w:cs="Arial Unicode MS"/>
          <w:position w:val="-1"/>
          <w:sz w:val="18"/>
          <w:szCs w:val="18"/>
          <w:lang w:bidi="ar"/>
        </w:rPr>
        <w:t>当代中</w:t>
      </w:r>
      <w:r>
        <w:rPr>
          <w:rFonts w:hint="eastAsia" w:ascii="宋体" w:hAnsi="宋体" w:eastAsia="宋体" w:cs="Arial Unicode MS"/>
          <w:spacing w:val="2"/>
          <w:position w:val="-1"/>
          <w:sz w:val="18"/>
          <w:szCs w:val="18"/>
          <w:lang w:bidi="ar"/>
        </w:rPr>
        <w:t>国</w:t>
      </w:r>
      <w:r>
        <w:rPr>
          <w:rFonts w:hint="eastAsia" w:ascii="宋体" w:hAnsi="宋体" w:eastAsia="宋体" w:cs="Arial Unicode MS"/>
          <w:position w:val="-1"/>
          <w:sz w:val="18"/>
          <w:szCs w:val="18"/>
          <w:lang w:bidi="ar"/>
        </w:rPr>
        <w:t>经济出</w:t>
      </w:r>
      <w:r>
        <w:rPr>
          <w:rFonts w:hint="eastAsia" w:ascii="宋体" w:hAnsi="宋体" w:eastAsia="宋体" w:cs="Arial Unicode MS"/>
          <w:spacing w:val="2"/>
          <w:position w:val="-1"/>
          <w:sz w:val="18"/>
          <w:szCs w:val="18"/>
          <w:lang w:bidi="ar"/>
        </w:rPr>
        <w:t>版</w:t>
      </w:r>
      <w:r>
        <w:rPr>
          <w:rFonts w:hint="eastAsia" w:ascii="宋体" w:hAnsi="宋体" w:eastAsia="宋体" w:cs="Arial Unicode MS"/>
          <w:position w:val="-1"/>
          <w:sz w:val="18"/>
          <w:szCs w:val="18"/>
          <w:lang w:bidi="ar"/>
        </w:rPr>
        <w:t>社</w:t>
      </w:r>
      <w:r>
        <w:rPr>
          <w:rFonts w:hint="eastAsia" w:ascii="宋体" w:hAnsi="宋体" w:eastAsia="宋体" w:cs="Times New Roman"/>
          <w:spacing w:val="1"/>
          <w:w w:val="101"/>
          <w:position w:val="-1"/>
          <w:sz w:val="18"/>
          <w:szCs w:val="18"/>
          <w:lang w:bidi="ar"/>
        </w:rPr>
        <w:t>，</w:t>
      </w:r>
      <w:r>
        <w:rPr>
          <w:rFonts w:hint="eastAsia" w:ascii="宋体" w:hAnsi="宋体" w:eastAsia="宋体" w:cs="Times New Roman"/>
          <w:spacing w:val="4"/>
          <w:w w:val="101"/>
          <w:position w:val="-1"/>
          <w:sz w:val="18"/>
          <w:szCs w:val="18"/>
          <w:lang w:bidi="ar"/>
        </w:rPr>
        <w:t>20</w:t>
      </w:r>
      <w:r>
        <w:rPr>
          <w:rFonts w:hint="eastAsia" w:ascii="宋体" w:hAnsi="宋体" w:eastAsia="宋体" w:cs="Times New Roman"/>
          <w:spacing w:val="2"/>
          <w:w w:val="101"/>
          <w:position w:val="-1"/>
          <w:sz w:val="18"/>
          <w:szCs w:val="18"/>
          <w:lang w:bidi="ar"/>
        </w:rPr>
        <w:t>0</w:t>
      </w:r>
      <w:r>
        <w:rPr>
          <w:rFonts w:hint="eastAsia" w:ascii="宋体" w:hAnsi="宋体" w:eastAsia="宋体" w:cs="Times New Roman"/>
          <w:spacing w:val="-18"/>
          <w:w w:val="101"/>
          <w:position w:val="-1"/>
          <w:sz w:val="18"/>
          <w:szCs w:val="18"/>
          <w:lang w:bidi="ar"/>
        </w:rPr>
        <w:t>2</w:t>
      </w:r>
      <w:r>
        <w:rPr>
          <w:rFonts w:hint="eastAsia" w:ascii="宋体" w:hAnsi="宋体" w:eastAsia="宋体" w:cs="Times New Roman"/>
          <w:position w:val="-1"/>
          <w:sz w:val="18"/>
          <w:szCs w:val="18"/>
          <w:lang w:bidi="ar"/>
        </w:rPr>
        <w:t>.</w:t>
      </w:r>
    </w:p>
    <w:p w14:paraId="74CF5665">
      <w:pPr>
        <w:autoSpaceDE w:val="0"/>
        <w:autoSpaceDN w:val="0"/>
        <w:adjustRightInd w:val="0"/>
        <w:ind w:firstLine="382" w:firstLineChars="200"/>
        <w:rPr>
          <w:rFonts w:ascii="宋体" w:hAnsi="宋体" w:eastAsia="宋体" w:cs="Times New Roman"/>
          <w:w w:val="101"/>
          <w:position w:val="-1"/>
          <w:sz w:val="18"/>
          <w:szCs w:val="18"/>
        </w:rPr>
      </w:pPr>
      <w:r>
        <w:rPr>
          <w:rFonts w:hint="eastAsia" w:ascii="宋体" w:hAnsi="宋体" w:eastAsia="宋体" w:cs="Times New Roman"/>
          <w:w w:val="101"/>
          <w:position w:val="-1"/>
          <w:sz w:val="18"/>
          <w:szCs w:val="18"/>
          <w:lang w:bidi="ar"/>
        </w:rPr>
        <w:t>[</w:t>
      </w:r>
      <w:r>
        <w:rPr>
          <w:rFonts w:hint="eastAsia" w:ascii="宋体" w:hAnsi="宋体" w:eastAsia="宋体" w:cs="Times New Roman"/>
          <w:position w:val="-1"/>
          <w:sz w:val="18"/>
          <w:szCs w:val="18"/>
          <w:lang w:bidi="ar"/>
        </w:rPr>
        <w:t>4</w:t>
      </w:r>
      <w:r>
        <w:rPr>
          <w:rFonts w:hint="eastAsia" w:ascii="宋体" w:hAnsi="宋体" w:eastAsia="宋体" w:cs="Times New Roman"/>
          <w:spacing w:val="7"/>
          <w:w w:val="101"/>
          <w:position w:val="-1"/>
          <w:sz w:val="18"/>
          <w:szCs w:val="18"/>
          <w:lang w:bidi="ar"/>
        </w:rPr>
        <w:t>]</w:t>
      </w:r>
      <w:r>
        <w:rPr>
          <w:rFonts w:hint="eastAsia" w:ascii="宋体" w:hAnsi="宋体" w:eastAsia="宋体" w:cs="Arial Unicode MS"/>
          <w:position w:val="-1"/>
          <w:sz w:val="18"/>
          <w:szCs w:val="18"/>
          <w:lang w:bidi="ar"/>
        </w:rPr>
        <w:t>王振中</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政治</w:t>
      </w:r>
      <w:r>
        <w:rPr>
          <w:rFonts w:hint="eastAsia" w:ascii="宋体" w:hAnsi="宋体" w:eastAsia="宋体" w:cs="Arial Unicode MS"/>
          <w:spacing w:val="2"/>
          <w:position w:val="-1"/>
          <w:sz w:val="18"/>
          <w:szCs w:val="18"/>
          <w:lang w:bidi="ar"/>
        </w:rPr>
        <w:t>经</w:t>
      </w:r>
      <w:r>
        <w:rPr>
          <w:rFonts w:hint="eastAsia" w:ascii="宋体" w:hAnsi="宋体" w:eastAsia="宋体" w:cs="Arial Unicode MS"/>
          <w:position w:val="-1"/>
          <w:sz w:val="18"/>
          <w:szCs w:val="18"/>
          <w:lang w:bidi="ar"/>
        </w:rPr>
        <w:t>济学研</w:t>
      </w:r>
      <w:r>
        <w:rPr>
          <w:rFonts w:hint="eastAsia" w:ascii="宋体" w:hAnsi="宋体" w:eastAsia="宋体" w:cs="Arial Unicode MS"/>
          <w:spacing w:val="2"/>
          <w:position w:val="-1"/>
          <w:sz w:val="18"/>
          <w:szCs w:val="18"/>
          <w:lang w:bidi="ar"/>
        </w:rPr>
        <w:t>究</w:t>
      </w:r>
      <w:r>
        <w:rPr>
          <w:rFonts w:hint="eastAsia" w:ascii="宋体" w:hAnsi="宋体" w:eastAsia="宋体" w:cs="Arial Unicode MS"/>
          <w:position w:val="-1"/>
          <w:sz w:val="18"/>
          <w:szCs w:val="18"/>
          <w:lang w:bidi="ar"/>
        </w:rPr>
        <w:t>报告</w:t>
      </w:r>
      <w:r>
        <w:rPr>
          <w:rFonts w:hint="eastAsia" w:ascii="宋体" w:hAnsi="宋体" w:eastAsia="宋体" w:cs="Times New Roman"/>
          <w:spacing w:val="7"/>
          <w:sz w:val="18"/>
          <w:szCs w:val="18"/>
          <w:lang w:bidi="ar"/>
        </w:rPr>
        <w:t>(</w:t>
      </w:r>
      <w:r>
        <w:rPr>
          <w:rFonts w:hint="eastAsia" w:ascii="宋体" w:hAnsi="宋体" w:eastAsia="宋体" w:cs="Arial Unicode MS"/>
          <w:position w:val="-1"/>
          <w:sz w:val="18"/>
          <w:szCs w:val="18"/>
          <w:lang w:bidi="ar"/>
        </w:rPr>
        <w:t>第</w:t>
      </w:r>
      <w:r>
        <w:rPr>
          <w:rFonts w:hint="eastAsia" w:ascii="宋体" w:hAnsi="宋体" w:eastAsia="宋体" w:cs="Times New Roman"/>
          <w:position w:val="-1"/>
          <w:sz w:val="18"/>
          <w:szCs w:val="18"/>
          <w:lang w:bidi="ar"/>
        </w:rPr>
        <w:t>1-5</w:t>
      </w:r>
      <w:r>
        <w:rPr>
          <w:rFonts w:hint="eastAsia" w:ascii="宋体" w:hAnsi="宋体" w:eastAsia="宋体" w:cs="Arial Unicode MS"/>
          <w:spacing w:val="2"/>
          <w:position w:val="-1"/>
          <w:sz w:val="18"/>
          <w:szCs w:val="18"/>
          <w:lang w:bidi="ar"/>
        </w:rPr>
        <w:t>辑</w:t>
      </w:r>
      <w:r>
        <w:rPr>
          <w:rFonts w:hint="eastAsia" w:ascii="宋体" w:hAnsi="宋体" w:eastAsia="宋体" w:cs="Times New Roman"/>
          <w:sz w:val="18"/>
          <w:szCs w:val="18"/>
          <w:lang w:bidi="ar"/>
        </w:rPr>
        <w:t>)</w:t>
      </w:r>
      <w:r>
        <w:rPr>
          <w:rFonts w:hint="eastAsia" w:ascii="宋体" w:hAnsi="宋体" w:eastAsia="宋体" w:cs="Times New Roman"/>
          <w:position w:val="-1"/>
          <w:sz w:val="18"/>
          <w:szCs w:val="18"/>
          <w:lang w:bidi="ar"/>
        </w:rPr>
        <w:t>[M</w:t>
      </w:r>
      <w:r>
        <w:rPr>
          <w:rFonts w:hint="eastAsia" w:ascii="宋体" w:hAnsi="宋体" w:eastAsia="宋体" w:cs="Times New Roman"/>
          <w:spacing w:val="-13"/>
          <w:position w:val="-1"/>
          <w:sz w:val="18"/>
          <w:szCs w:val="18"/>
          <w:lang w:bidi="ar"/>
        </w:rPr>
        <w:t>]</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北京</w:t>
      </w:r>
      <w:r>
        <w:rPr>
          <w:rFonts w:hint="eastAsia" w:ascii="宋体" w:hAnsi="宋体" w:eastAsia="宋体" w:cs="Times New Roman"/>
          <w:spacing w:val="6"/>
          <w:position w:val="-1"/>
          <w:sz w:val="18"/>
          <w:szCs w:val="18"/>
          <w:lang w:bidi="ar"/>
        </w:rPr>
        <w:t>：</w:t>
      </w:r>
      <w:r>
        <w:rPr>
          <w:rFonts w:hint="eastAsia" w:ascii="宋体" w:hAnsi="宋体" w:eastAsia="宋体" w:cs="Arial Unicode MS"/>
          <w:position w:val="-1"/>
          <w:sz w:val="18"/>
          <w:szCs w:val="18"/>
          <w:lang w:bidi="ar"/>
        </w:rPr>
        <w:t>社会</w:t>
      </w:r>
      <w:r>
        <w:rPr>
          <w:rFonts w:hint="eastAsia" w:ascii="宋体" w:hAnsi="宋体" w:eastAsia="宋体" w:cs="Arial Unicode MS"/>
          <w:spacing w:val="2"/>
          <w:position w:val="-1"/>
          <w:sz w:val="18"/>
          <w:szCs w:val="18"/>
          <w:lang w:bidi="ar"/>
        </w:rPr>
        <w:t>科</w:t>
      </w:r>
      <w:r>
        <w:rPr>
          <w:rFonts w:hint="eastAsia" w:ascii="宋体" w:hAnsi="宋体" w:eastAsia="宋体" w:cs="Arial Unicode MS"/>
          <w:position w:val="-1"/>
          <w:sz w:val="18"/>
          <w:szCs w:val="18"/>
          <w:lang w:bidi="ar"/>
        </w:rPr>
        <w:t>学文献出</w:t>
      </w:r>
      <w:r>
        <w:rPr>
          <w:rFonts w:hint="eastAsia" w:ascii="宋体" w:hAnsi="宋体" w:eastAsia="宋体" w:cs="Arial Unicode MS"/>
          <w:spacing w:val="2"/>
          <w:position w:val="-1"/>
          <w:sz w:val="18"/>
          <w:szCs w:val="18"/>
          <w:lang w:bidi="ar"/>
        </w:rPr>
        <w:t>版</w:t>
      </w:r>
      <w:r>
        <w:rPr>
          <w:rFonts w:hint="eastAsia" w:ascii="宋体" w:hAnsi="宋体" w:eastAsia="宋体" w:cs="Arial Unicode MS"/>
          <w:position w:val="-1"/>
          <w:sz w:val="18"/>
          <w:szCs w:val="18"/>
          <w:lang w:bidi="ar"/>
        </w:rPr>
        <w:t>社</w:t>
      </w:r>
      <w:r>
        <w:rPr>
          <w:rFonts w:hint="eastAsia" w:ascii="宋体" w:hAnsi="宋体" w:eastAsia="宋体" w:cs="Times New Roman"/>
          <w:spacing w:val="3"/>
          <w:w w:val="101"/>
          <w:position w:val="-1"/>
          <w:sz w:val="18"/>
          <w:szCs w:val="18"/>
          <w:lang w:bidi="ar"/>
        </w:rPr>
        <w:t>，</w:t>
      </w:r>
      <w:r>
        <w:rPr>
          <w:rFonts w:hint="eastAsia" w:ascii="宋体" w:hAnsi="宋体" w:eastAsia="宋体" w:cs="Times New Roman"/>
          <w:spacing w:val="2"/>
          <w:w w:val="101"/>
          <w:position w:val="-1"/>
          <w:sz w:val="18"/>
          <w:szCs w:val="18"/>
          <w:lang w:bidi="ar"/>
        </w:rPr>
        <w:t>2</w:t>
      </w:r>
      <w:r>
        <w:rPr>
          <w:rFonts w:hint="eastAsia" w:ascii="宋体" w:hAnsi="宋体" w:eastAsia="宋体" w:cs="Times New Roman"/>
          <w:spacing w:val="4"/>
          <w:w w:val="101"/>
          <w:position w:val="-1"/>
          <w:sz w:val="18"/>
          <w:szCs w:val="18"/>
          <w:lang w:bidi="ar"/>
        </w:rPr>
        <w:t>0</w:t>
      </w:r>
      <w:r>
        <w:rPr>
          <w:rFonts w:hint="eastAsia" w:ascii="宋体" w:hAnsi="宋体" w:eastAsia="宋体" w:cs="Times New Roman"/>
          <w:spacing w:val="2"/>
          <w:w w:val="101"/>
          <w:position w:val="-1"/>
          <w:sz w:val="18"/>
          <w:szCs w:val="18"/>
          <w:lang w:bidi="ar"/>
        </w:rPr>
        <w:t>00</w:t>
      </w:r>
      <w:r>
        <w:rPr>
          <w:rFonts w:hint="eastAsia" w:ascii="宋体" w:hAnsi="宋体" w:eastAsia="宋体" w:cs="Arial Unicode MS"/>
          <w:spacing w:val="2"/>
          <w:position w:val="-1"/>
          <w:sz w:val="18"/>
          <w:szCs w:val="18"/>
          <w:lang w:bidi="ar"/>
        </w:rPr>
        <w:t>～</w:t>
      </w:r>
      <w:r>
        <w:rPr>
          <w:rFonts w:hint="eastAsia" w:ascii="宋体" w:hAnsi="宋体" w:eastAsia="宋体" w:cs="Times New Roman"/>
          <w:spacing w:val="4"/>
          <w:w w:val="101"/>
          <w:position w:val="-1"/>
          <w:sz w:val="18"/>
          <w:szCs w:val="18"/>
          <w:lang w:bidi="ar"/>
        </w:rPr>
        <w:t>20</w:t>
      </w:r>
      <w:r>
        <w:rPr>
          <w:rFonts w:hint="eastAsia" w:ascii="宋体" w:hAnsi="宋体" w:eastAsia="宋体" w:cs="Times New Roman"/>
          <w:spacing w:val="2"/>
          <w:w w:val="101"/>
          <w:position w:val="-1"/>
          <w:sz w:val="18"/>
          <w:szCs w:val="18"/>
          <w:lang w:bidi="ar"/>
        </w:rPr>
        <w:t>0</w:t>
      </w:r>
      <w:r>
        <w:rPr>
          <w:rFonts w:hint="eastAsia" w:ascii="宋体" w:hAnsi="宋体" w:eastAsia="宋体" w:cs="Times New Roman"/>
          <w:spacing w:val="-18"/>
          <w:w w:val="101"/>
          <w:position w:val="-1"/>
          <w:sz w:val="18"/>
          <w:szCs w:val="18"/>
          <w:lang w:bidi="ar"/>
        </w:rPr>
        <w:t>4</w:t>
      </w:r>
      <w:r>
        <w:rPr>
          <w:rFonts w:hint="eastAsia" w:ascii="宋体" w:hAnsi="宋体" w:eastAsia="宋体" w:cs="Times New Roman"/>
          <w:position w:val="-1"/>
          <w:sz w:val="18"/>
          <w:szCs w:val="18"/>
          <w:lang w:bidi="ar"/>
        </w:rPr>
        <w:t>.</w:t>
      </w:r>
    </w:p>
    <w:p w14:paraId="7C37DAA4">
      <w:pPr>
        <w:autoSpaceDE w:val="0"/>
        <w:autoSpaceDN w:val="0"/>
        <w:adjustRightInd w:val="0"/>
        <w:ind w:firstLine="382" w:firstLineChars="200"/>
        <w:rPr>
          <w:rFonts w:ascii="宋体" w:hAnsi="宋体" w:eastAsia="宋体" w:cs="Times New Roman"/>
          <w:position w:val="-1"/>
          <w:sz w:val="18"/>
          <w:szCs w:val="18"/>
        </w:rPr>
      </w:pPr>
      <w:r>
        <w:rPr>
          <w:rFonts w:hint="eastAsia" w:ascii="宋体" w:hAnsi="宋体" w:eastAsia="宋体" w:cs="Times New Roman"/>
          <w:w w:val="101"/>
          <w:position w:val="-1"/>
          <w:sz w:val="18"/>
          <w:szCs w:val="18"/>
          <w:lang w:bidi="ar"/>
        </w:rPr>
        <w:t>[</w:t>
      </w:r>
      <w:r>
        <w:rPr>
          <w:rFonts w:hint="eastAsia" w:ascii="宋体" w:hAnsi="宋体" w:eastAsia="宋体" w:cs="Times New Roman"/>
          <w:position w:val="-1"/>
          <w:sz w:val="18"/>
          <w:szCs w:val="18"/>
          <w:lang w:bidi="ar"/>
        </w:rPr>
        <w:t>5</w:t>
      </w:r>
      <w:r>
        <w:rPr>
          <w:rFonts w:hint="eastAsia" w:ascii="宋体" w:hAnsi="宋体" w:eastAsia="宋体" w:cs="Times New Roman"/>
          <w:spacing w:val="7"/>
          <w:w w:val="101"/>
          <w:position w:val="-1"/>
          <w:sz w:val="18"/>
          <w:szCs w:val="18"/>
          <w:lang w:bidi="ar"/>
        </w:rPr>
        <w:t>]</w:t>
      </w:r>
      <w:r>
        <w:rPr>
          <w:rFonts w:hint="eastAsia" w:ascii="宋体" w:hAnsi="宋体" w:eastAsia="宋体" w:cs="Arial Unicode MS"/>
          <w:position w:val="-1"/>
          <w:sz w:val="18"/>
          <w:szCs w:val="18"/>
          <w:lang w:bidi="ar"/>
        </w:rPr>
        <w:t>何干强</w:t>
      </w:r>
      <w:r>
        <w:rPr>
          <w:rFonts w:hint="eastAsia" w:ascii="宋体" w:hAnsi="宋体" w:eastAsia="宋体" w:cs="Times New Roman"/>
          <w:spacing w:val="-60"/>
          <w:position w:val="-1"/>
          <w:sz w:val="18"/>
          <w:szCs w:val="18"/>
          <w:lang w:bidi="ar"/>
        </w:rPr>
        <w:t>.</w:t>
      </w:r>
      <w:r>
        <w:rPr>
          <w:rFonts w:hint="eastAsia" w:ascii="宋体" w:hAnsi="宋体" w:eastAsia="宋体" w:cs="Arial Unicode MS"/>
          <w:spacing w:val="-12"/>
          <w:position w:val="-1"/>
          <w:sz w:val="18"/>
          <w:szCs w:val="18"/>
          <w:lang w:bidi="ar"/>
        </w:rPr>
        <w:t>《</w:t>
      </w:r>
      <w:r>
        <w:rPr>
          <w:rFonts w:hint="eastAsia" w:ascii="宋体" w:hAnsi="宋体" w:eastAsia="宋体" w:cs="Arial Unicode MS"/>
          <w:position w:val="-1"/>
          <w:sz w:val="18"/>
          <w:szCs w:val="18"/>
          <w:lang w:bidi="ar"/>
        </w:rPr>
        <w:t>资</w:t>
      </w:r>
      <w:r>
        <w:rPr>
          <w:rFonts w:hint="eastAsia" w:ascii="宋体" w:hAnsi="宋体" w:eastAsia="宋体" w:cs="Arial Unicode MS"/>
          <w:spacing w:val="2"/>
          <w:position w:val="-1"/>
          <w:sz w:val="18"/>
          <w:szCs w:val="18"/>
          <w:lang w:bidi="ar"/>
        </w:rPr>
        <w:t>本论</w:t>
      </w:r>
      <w:r>
        <w:rPr>
          <w:rFonts w:hint="eastAsia" w:ascii="宋体" w:hAnsi="宋体" w:eastAsia="宋体" w:cs="Arial Unicode MS"/>
          <w:spacing w:val="-92"/>
          <w:position w:val="-1"/>
          <w:sz w:val="18"/>
          <w:szCs w:val="18"/>
          <w:lang w:bidi="ar"/>
        </w:rPr>
        <w:t>》</w:t>
      </w:r>
      <w:r>
        <w:rPr>
          <w:rFonts w:hint="eastAsia" w:ascii="宋体" w:hAnsi="宋体" w:eastAsia="宋体" w:cs="Arial Unicode MS"/>
          <w:position w:val="-1"/>
          <w:sz w:val="18"/>
          <w:szCs w:val="18"/>
          <w:lang w:bidi="ar"/>
        </w:rPr>
        <w:t>的基本思</w:t>
      </w:r>
      <w:r>
        <w:rPr>
          <w:rFonts w:hint="eastAsia" w:ascii="宋体" w:hAnsi="宋体" w:eastAsia="宋体" w:cs="Arial Unicode MS"/>
          <w:spacing w:val="2"/>
          <w:position w:val="-1"/>
          <w:sz w:val="18"/>
          <w:szCs w:val="18"/>
          <w:lang w:bidi="ar"/>
        </w:rPr>
        <w:t>想</w:t>
      </w:r>
      <w:r>
        <w:rPr>
          <w:rFonts w:hint="eastAsia" w:ascii="宋体" w:hAnsi="宋体" w:eastAsia="宋体" w:cs="Arial Unicode MS"/>
          <w:position w:val="-1"/>
          <w:sz w:val="18"/>
          <w:szCs w:val="18"/>
          <w:lang w:bidi="ar"/>
        </w:rPr>
        <w:t>与理论</w:t>
      </w:r>
      <w:r>
        <w:rPr>
          <w:rFonts w:hint="eastAsia" w:ascii="宋体" w:hAnsi="宋体" w:eastAsia="宋体" w:cs="Arial Unicode MS"/>
          <w:spacing w:val="2"/>
          <w:position w:val="-1"/>
          <w:sz w:val="18"/>
          <w:szCs w:val="18"/>
          <w:lang w:bidi="ar"/>
        </w:rPr>
        <w:t>逻</w:t>
      </w:r>
      <w:r>
        <w:rPr>
          <w:rFonts w:hint="eastAsia" w:ascii="宋体" w:hAnsi="宋体" w:eastAsia="宋体" w:cs="Arial Unicode MS"/>
          <w:position w:val="-1"/>
          <w:sz w:val="18"/>
          <w:szCs w:val="18"/>
          <w:lang w:bidi="ar"/>
        </w:rPr>
        <w:t>辑</w:t>
      </w:r>
      <w:r>
        <w:rPr>
          <w:rFonts w:hint="eastAsia" w:ascii="宋体" w:hAnsi="宋体" w:eastAsia="宋体" w:cs="Times New Roman"/>
          <w:position w:val="-1"/>
          <w:sz w:val="18"/>
          <w:szCs w:val="18"/>
          <w:lang w:bidi="ar"/>
        </w:rPr>
        <w:t>[M</w:t>
      </w:r>
      <w:r>
        <w:rPr>
          <w:rFonts w:hint="eastAsia" w:ascii="宋体" w:hAnsi="宋体" w:eastAsia="宋体" w:cs="Times New Roman"/>
          <w:spacing w:val="-13"/>
          <w:position w:val="-1"/>
          <w:sz w:val="18"/>
          <w:szCs w:val="18"/>
          <w:lang w:bidi="ar"/>
        </w:rPr>
        <w:t>]</w:t>
      </w:r>
      <w:r>
        <w:rPr>
          <w:rFonts w:hint="eastAsia" w:ascii="宋体" w:hAnsi="宋体" w:eastAsia="宋体" w:cs="Times New Roman"/>
          <w:position w:val="-1"/>
          <w:sz w:val="18"/>
          <w:szCs w:val="18"/>
          <w:lang w:bidi="ar"/>
        </w:rPr>
        <w:t>.</w:t>
      </w:r>
      <w:r>
        <w:rPr>
          <w:rFonts w:hint="eastAsia" w:ascii="宋体" w:hAnsi="宋体" w:eastAsia="宋体" w:cs="Arial Unicode MS"/>
          <w:position w:val="-1"/>
          <w:sz w:val="18"/>
          <w:szCs w:val="18"/>
          <w:lang w:bidi="ar"/>
        </w:rPr>
        <w:t>北京</w:t>
      </w:r>
      <w:r>
        <w:rPr>
          <w:rFonts w:hint="eastAsia" w:ascii="宋体" w:hAnsi="宋体" w:eastAsia="宋体" w:cs="Times New Roman"/>
          <w:spacing w:val="6"/>
          <w:position w:val="-1"/>
          <w:sz w:val="18"/>
          <w:szCs w:val="18"/>
          <w:lang w:bidi="ar"/>
        </w:rPr>
        <w:t>：</w:t>
      </w:r>
      <w:r>
        <w:rPr>
          <w:rFonts w:hint="eastAsia" w:ascii="宋体" w:hAnsi="宋体" w:eastAsia="宋体" w:cs="Arial Unicode MS"/>
          <w:position w:val="-1"/>
          <w:sz w:val="18"/>
          <w:szCs w:val="18"/>
          <w:lang w:bidi="ar"/>
        </w:rPr>
        <w:t>中国</w:t>
      </w:r>
      <w:r>
        <w:rPr>
          <w:rFonts w:hint="eastAsia" w:ascii="宋体" w:hAnsi="宋体" w:eastAsia="宋体" w:cs="Arial Unicode MS"/>
          <w:spacing w:val="2"/>
          <w:position w:val="-1"/>
          <w:sz w:val="18"/>
          <w:szCs w:val="18"/>
          <w:lang w:bidi="ar"/>
        </w:rPr>
        <w:t>经</w:t>
      </w:r>
      <w:r>
        <w:rPr>
          <w:rFonts w:hint="eastAsia" w:ascii="宋体" w:hAnsi="宋体" w:eastAsia="宋体" w:cs="Arial Unicode MS"/>
          <w:position w:val="-1"/>
          <w:sz w:val="18"/>
          <w:szCs w:val="18"/>
          <w:lang w:bidi="ar"/>
        </w:rPr>
        <w:t>济出版社</w:t>
      </w:r>
      <w:r>
        <w:rPr>
          <w:rFonts w:hint="eastAsia" w:ascii="宋体" w:hAnsi="宋体" w:eastAsia="宋体" w:cs="Times New Roman"/>
          <w:spacing w:val="1"/>
          <w:w w:val="101"/>
          <w:position w:val="-1"/>
          <w:sz w:val="18"/>
          <w:szCs w:val="18"/>
          <w:lang w:bidi="ar"/>
        </w:rPr>
        <w:t>，</w:t>
      </w:r>
      <w:r>
        <w:rPr>
          <w:rFonts w:hint="eastAsia" w:ascii="宋体" w:hAnsi="宋体" w:eastAsia="宋体" w:cs="Times New Roman"/>
          <w:spacing w:val="4"/>
          <w:w w:val="101"/>
          <w:position w:val="-1"/>
          <w:sz w:val="18"/>
          <w:szCs w:val="18"/>
          <w:lang w:bidi="ar"/>
        </w:rPr>
        <w:t>2</w:t>
      </w:r>
      <w:r>
        <w:rPr>
          <w:rFonts w:hint="eastAsia" w:ascii="宋体" w:hAnsi="宋体" w:eastAsia="宋体" w:cs="Times New Roman"/>
          <w:spacing w:val="2"/>
          <w:w w:val="101"/>
          <w:position w:val="-1"/>
          <w:sz w:val="18"/>
          <w:szCs w:val="18"/>
          <w:lang w:bidi="ar"/>
        </w:rPr>
        <w:t>0</w:t>
      </w:r>
      <w:r>
        <w:rPr>
          <w:rFonts w:hint="eastAsia" w:ascii="宋体" w:hAnsi="宋体" w:eastAsia="宋体" w:cs="Times New Roman"/>
          <w:spacing w:val="4"/>
          <w:w w:val="101"/>
          <w:position w:val="-1"/>
          <w:sz w:val="18"/>
          <w:szCs w:val="18"/>
          <w:lang w:bidi="ar"/>
        </w:rPr>
        <w:t>0</w:t>
      </w:r>
      <w:r>
        <w:rPr>
          <w:rFonts w:hint="eastAsia" w:ascii="宋体" w:hAnsi="宋体" w:eastAsia="宋体" w:cs="Times New Roman"/>
          <w:spacing w:val="-18"/>
          <w:w w:val="101"/>
          <w:position w:val="-1"/>
          <w:sz w:val="18"/>
          <w:szCs w:val="18"/>
          <w:lang w:bidi="ar"/>
        </w:rPr>
        <w:t>0</w:t>
      </w:r>
      <w:r>
        <w:rPr>
          <w:rFonts w:hint="eastAsia" w:ascii="宋体" w:hAnsi="宋体" w:eastAsia="宋体" w:cs="Times New Roman"/>
          <w:position w:val="-1"/>
          <w:sz w:val="18"/>
          <w:szCs w:val="18"/>
          <w:lang w:bidi="ar"/>
        </w:rPr>
        <w:t>.</w:t>
      </w:r>
    </w:p>
    <w:p w14:paraId="5B19320C">
      <w:pPr>
        <w:autoSpaceDE w:val="0"/>
        <w:autoSpaceDN w:val="0"/>
        <w:adjustRightInd w:val="0"/>
        <w:ind w:firstLine="440" w:firstLineChars="200"/>
        <w:rPr>
          <w:rFonts w:ascii="宋体" w:hAnsi="宋体" w:eastAsia="宋体" w:cs="Arial Unicode MS"/>
          <w:position w:val="-3"/>
          <w:szCs w:val="21"/>
        </w:rPr>
      </w:pPr>
    </w:p>
    <w:p w14:paraId="0B3BAD02">
      <w:pPr>
        <w:autoSpaceDE w:val="0"/>
        <w:autoSpaceDN w:val="0"/>
        <w:adjustRightInd w:val="0"/>
        <w:ind w:firstLine="440" w:firstLineChars="200"/>
        <w:rPr>
          <w:rFonts w:ascii="宋体" w:hAnsi="宋体" w:eastAsia="宋体" w:cs="Arial Unicode MS"/>
          <w:position w:val="-3"/>
          <w:szCs w:val="21"/>
        </w:rPr>
      </w:pPr>
      <w:r>
        <w:rPr>
          <w:rFonts w:hint="eastAsia" w:ascii="宋体" w:hAnsi="宋体" w:eastAsia="宋体" w:cs="Arial Unicode MS"/>
          <w:position w:val="-3"/>
          <w:szCs w:val="21"/>
          <w:lang w:bidi="ar"/>
        </w:rPr>
        <w:t>（原载《上海</w:t>
      </w:r>
      <w:r>
        <w:rPr>
          <w:rFonts w:hint="eastAsia" w:ascii="宋体" w:hAnsi="宋体" w:eastAsia="宋体" w:cs="Arial Unicode MS"/>
          <w:spacing w:val="2"/>
          <w:position w:val="-3"/>
          <w:szCs w:val="21"/>
          <w:lang w:bidi="ar"/>
        </w:rPr>
        <w:t>财</w:t>
      </w:r>
      <w:r>
        <w:rPr>
          <w:rFonts w:hint="eastAsia" w:ascii="宋体" w:hAnsi="宋体" w:eastAsia="宋体" w:cs="Arial Unicode MS"/>
          <w:position w:val="-3"/>
          <w:szCs w:val="21"/>
          <w:lang w:bidi="ar"/>
        </w:rPr>
        <w:t>经大学</w:t>
      </w:r>
      <w:r>
        <w:rPr>
          <w:rFonts w:hint="eastAsia" w:ascii="宋体" w:hAnsi="宋体" w:eastAsia="宋体" w:cs="Arial Unicode MS"/>
          <w:spacing w:val="2"/>
          <w:position w:val="-3"/>
          <w:szCs w:val="21"/>
          <w:lang w:bidi="ar"/>
        </w:rPr>
        <w:t>学</w:t>
      </w:r>
      <w:r>
        <w:rPr>
          <w:rFonts w:hint="eastAsia" w:ascii="宋体" w:hAnsi="宋体" w:eastAsia="宋体" w:cs="Arial Unicode MS"/>
          <w:position w:val="-3"/>
          <w:szCs w:val="21"/>
          <w:lang w:bidi="ar"/>
        </w:rPr>
        <w:t>报》2005年第1期）</w:t>
      </w:r>
    </w:p>
    <w:p w14:paraId="517015F3">
      <w:pPr>
        <w:autoSpaceDE w:val="0"/>
        <w:autoSpaceDN w:val="0"/>
        <w:adjustRightInd w:val="0"/>
        <w:ind w:firstLine="264" w:firstLineChars="200"/>
        <w:rPr>
          <w:rFonts w:ascii="宋体" w:hAnsi="宋体" w:eastAsia="宋体" w:cs="Times New Roman"/>
          <w:b/>
          <w:bCs/>
          <w:spacing w:val="-45"/>
          <w:w w:val="101"/>
          <w:szCs w:val="21"/>
        </w:rPr>
      </w:pPr>
    </w:p>
    <w:p w14:paraId="2321AFC1">
      <w:pPr>
        <w:ind w:firstLine="660" w:firstLineChars="200"/>
      </w:pPr>
      <w:r>
        <w:rPr>
          <w:rFonts w:ascii="Times New Roman" w:hAnsi="Times New Roman" w:eastAsia="宋体" w:cs="Times New Roman"/>
          <w:b/>
          <w:sz w:val="32"/>
          <w:lang w:bidi="ar"/>
        </w:rPr>
        <w:br w:type="page"/>
      </w:r>
    </w:p>
    <w:p w14:paraId="71E20638">
      <w:pPr>
        <w:ind w:firstLine="440" w:firstLineChars="200"/>
      </w:pPr>
    </w:p>
    <w:p w14:paraId="0499DD9B">
      <w:pPr>
        <w:spacing w:before="147" w:beforeLines="50" w:after="147" w:afterLines="50" w:line="300" w:lineRule="auto"/>
        <w:ind w:firstLine="660" w:firstLineChars="200"/>
        <w:jc w:val="center"/>
        <w:outlineLvl w:val="1"/>
        <w:rPr>
          <w:rFonts w:ascii="黑体" w:hAnsi="宋体" w:eastAsia="黑体" w:cs="Times New Roman"/>
          <w:sz w:val="32"/>
        </w:rPr>
      </w:pPr>
      <w:bookmarkStart w:id="479" w:name="_Toc111148943"/>
      <w:bookmarkStart w:id="480" w:name="_Toc11553"/>
      <w:bookmarkStart w:id="481" w:name="_Toc1783982485"/>
      <w:bookmarkStart w:id="482" w:name="_Toc167972640"/>
      <w:r>
        <w:rPr>
          <w:rFonts w:hint="eastAsia" w:ascii="黑体" w:hAnsi="宋体" w:eastAsia="黑体" w:cs="Times New Roman"/>
          <w:sz w:val="32"/>
          <w:lang w:bidi="ar"/>
        </w:rPr>
        <w:t>5外国学者对新保守主义经济思潮的批判</w:t>
      </w:r>
      <w:bookmarkEnd w:id="479"/>
      <w:bookmarkEnd w:id="480"/>
      <w:bookmarkEnd w:id="481"/>
      <w:bookmarkEnd w:id="482"/>
    </w:p>
    <w:p w14:paraId="57087B7C">
      <w:pPr>
        <w:spacing w:line="300" w:lineRule="auto"/>
        <w:ind w:firstLine="500" w:firstLineChars="200"/>
        <w:jc w:val="center"/>
        <w:rPr>
          <w:rFonts w:ascii="Times New Roman" w:hAnsi="Times New Roman" w:eastAsia="宋体" w:cs="Times New Roman"/>
          <w:b/>
          <w:sz w:val="24"/>
        </w:rPr>
      </w:pPr>
      <w:r>
        <w:rPr>
          <w:rFonts w:hint="eastAsia" w:ascii="Times New Roman" w:hAnsi="Times New Roman" w:eastAsia="宋体" w:cs="Times New Roman"/>
          <w:b/>
          <w:sz w:val="24"/>
          <w:lang w:bidi="ar"/>
        </w:rPr>
        <w:t>——兼论中国经济改革三大流派</w:t>
      </w:r>
      <w:bookmarkEnd w:id="462"/>
    </w:p>
    <w:p w14:paraId="3A077AB9">
      <w:pPr>
        <w:spacing w:before="147" w:beforeLines="50" w:line="300" w:lineRule="auto"/>
        <w:ind w:firstLine="440" w:firstLineChars="200"/>
        <w:rPr>
          <w:rFonts w:ascii="宋体" w:hAnsi="宋体" w:eastAsia="宋体" w:cs="Times New Roman"/>
        </w:rPr>
      </w:pPr>
      <w:r>
        <w:rPr>
          <w:rFonts w:hint="eastAsia" w:ascii="宋体" w:hAnsi="宋体" w:eastAsia="宋体" w:cs="Times New Roman"/>
          <w:lang w:bidi="ar"/>
        </w:rPr>
        <w:t>为了深刻地认识新保守主义及其经济思潮，我们主要阐明当代国外学者关于这一思潮的基本内涵、兴起与思想霸权、实践后果、与全球化关系及如何超越新保守主义的理论，然后对此作一扼要评论。</w:t>
      </w:r>
    </w:p>
    <w:p w14:paraId="2D31197D">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一、新保守主义经济思潮新自由主义的内涵</w:t>
      </w:r>
    </w:p>
    <w:p w14:paraId="1024B28E">
      <w:pPr>
        <w:spacing w:line="300" w:lineRule="auto"/>
        <w:ind w:firstLine="440" w:firstLineChars="200"/>
        <w:rPr>
          <w:rFonts w:ascii="宋体" w:hAnsi="宋体" w:eastAsia="宋体" w:cs="Times New Roman"/>
        </w:rPr>
      </w:pPr>
      <w:r>
        <w:rPr>
          <w:rFonts w:hint="eastAsia" w:ascii="宋体" w:hAnsi="宋体" w:eastAsia="宋体" w:cs="Times New Roman"/>
          <w:lang w:bidi="ar"/>
        </w:rPr>
        <w:t>为了从总体上把握新保守主义，以及说明为什么把目前国内习称的新自由主义称为新保守主义，我们首先来分析其基本内涵。</w:t>
      </w:r>
    </w:p>
    <w:p w14:paraId="4F2E68CF">
      <w:pPr>
        <w:spacing w:line="300" w:lineRule="auto"/>
        <w:ind w:firstLine="440" w:firstLineChars="200"/>
        <w:rPr>
          <w:rFonts w:ascii="宋体" w:hAnsi="宋体" w:eastAsia="宋体" w:cs="Times New Roman"/>
        </w:rPr>
      </w:pPr>
      <w:r>
        <w:rPr>
          <w:rFonts w:hint="eastAsia" w:ascii="宋体" w:hAnsi="宋体" w:eastAsia="宋体" w:cs="Times New Roman"/>
          <w:lang w:bidi="ar"/>
        </w:rPr>
        <w:t>《新自由主义和全球秩序》一书的作者诺姆·乔姆斯基认为：“‘新自由主义’，顾名思义，是在古典自由主义思想的基础上建立起来的一个新的理论体系，亚当·斯密被认为是其创始人，该理论体系也称为‘华盛顿共识’，包含了一些有关全球秩序方面的内容</w:t>
      </w:r>
      <w:r>
        <w:rPr>
          <w:rFonts w:hint="eastAsia" w:ascii="宋体" w:hAnsi="宋体" w:eastAsia="宋体" w:cs="MS Gothic"/>
          <w:lang w:bidi="ar"/>
        </w:rPr>
        <w:t>……</w:t>
      </w:r>
      <w:r>
        <w:rPr>
          <w:rFonts w:hint="eastAsia" w:ascii="宋体" w:hAnsi="宋体" w:eastAsia="宋体" w:cs="Times New Roman"/>
          <w:lang w:bidi="ar"/>
        </w:rPr>
        <w:t>。所谓华盛顿共识，指的是以市场为导向的一系列理论，他们由美国政府及其控制的国际组织所制定，并由他们通过各种方式实施——在经济脆弱的国家，这些理论经常用作严厉的结构调整方案，其基本原则简单地说就是贸易自由化、价格市场化和私有化。”</w:t>
      </w:r>
      <w:r>
        <w:rPr>
          <w:rFonts w:hint="eastAsia" w:ascii="宋体" w:hAnsi="宋体" w:eastAsia="宋体" w:cs="Times New Roman"/>
          <w:vertAlign w:val="superscript"/>
          <w:lang w:bidi="ar"/>
        </w:rPr>
        <w:footnoteReference w:id="186"/>
      </w:r>
      <w:r>
        <w:rPr>
          <w:rFonts w:hint="eastAsia" w:ascii="宋体" w:hAnsi="宋体" w:eastAsia="宋体" w:cs="Times New Roman"/>
        </w:rPr>
        <w:t xml:space="preserve"> 该书导言的作者罗伯特·迈克切斯尼又对这一定义做了补充说明，他指出：“新自由主义是我们这个时代明确的政治、经济范式——它指的是这样一些政策与过程：相当一批私有业者能够得以控制尽可能广的社会层面，从而获取最大的个人利益。新自由主义首先与里根和撒切尔关联，最近20年，它一直是主流政治党派、大多数传统左派和右派所采取的全球政治和经济趋向。这些党派及其实施的政策，代表了极端富裕的投资者和不到1000家庞大公司的直接利益。”</w:t>
      </w:r>
      <w:r>
        <w:rPr>
          <w:rFonts w:hint="eastAsia" w:ascii="宋体" w:hAnsi="宋体" w:eastAsia="宋体" w:cs="Times New Roman"/>
          <w:vertAlign w:val="superscript"/>
        </w:rPr>
        <w:footnoteReference w:id="187"/>
      </w:r>
      <w:r>
        <w:rPr>
          <w:rFonts w:hint="eastAsia" w:ascii="宋体" w:hAnsi="宋体" w:eastAsia="宋体" w:cs="Times New Roman"/>
        </w:rPr>
        <w:t xml:space="preserve"> 法国“马克思园地协会”主席科恩·赛阿则从全球化角度对新自由主义作出界定，指出新自由主义是资本主义全球化意识形态的理论表现。</w:t>
      </w:r>
    </w:p>
    <w:p w14:paraId="6E8D114C">
      <w:pPr>
        <w:spacing w:line="300" w:lineRule="auto"/>
        <w:ind w:firstLine="440" w:firstLineChars="200"/>
        <w:rPr>
          <w:rFonts w:ascii="宋体" w:hAnsi="宋体" w:eastAsia="宋体" w:cs="Times New Roman"/>
        </w:rPr>
      </w:pPr>
      <w:r>
        <w:rPr>
          <w:rFonts w:hint="eastAsia" w:ascii="宋体" w:hAnsi="宋体" w:eastAsia="宋体" w:cs="Times New Roman"/>
          <w:lang w:bidi="ar"/>
        </w:rPr>
        <w:t>实际上，我们熟知的西方新自由主义经济学名角哈耶克、弗里德曼以及政治支持者里根、撒切尔夫人等人，正是最有名的保守主义者。请看佩利卡尼对新保守主义代表人物及其典型观点的辛辣嘲讽和抨击，他写道：“摩根斯·格利斯特图鲁认为‘国家应当重新成为守夜人’，撒切尔夫人公开主张造就‘上百个新的百万富翁’；维尔·杜兰则写道：‘自由与平等，两者永远是誓不两立、不共戴天的敌人’，伊尔文·克里斯托尔洋洋得意地回忆说：‘资本主义——这是一种不管分配而只管经济增长的体系’。弗里德里希·冯·哈耶克甚至认为应当把‘社会公正’这个词本身从政治辞典中删去；罗伯特·诺季克在同约翰·罗维斯辩论时，把征收所得税同强迫人们进习艺所劳动相提并论，主张国家回到只起极有限的社会作用的状态</w:t>
      </w:r>
      <w:r>
        <w:rPr>
          <w:rFonts w:hint="eastAsia" w:ascii="宋体" w:hAnsi="宋体" w:eastAsia="宋体" w:cs="MS Gothic"/>
          <w:lang w:bidi="ar"/>
        </w:rPr>
        <w:t>……</w:t>
      </w:r>
      <w:r>
        <w:rPr>
          <w:rFonts w:hint="eastAsia" w:ascii="宋体" w:hAnsi="宋体" w:eastAsia="宋体" w:cs="Times New Roman"/>
          <w:lang w:bidi="ar"/>
        </w:rPr>
        <w:t>，上述这些人的言论，仿佛把我们带到胡佛时代，这位美国总统曾宣传，失业会使美国人意志坚强”</w:t>
      </w:r>
      <w:r>
        <w:rPr>
          <w:rFonts w:hint="eastAsia" w:ascii="宋体" w:hAnsi="宋体" w:eastAsia="宋体" w:cs="Times New Roman"/>
          <w:vertAlign w:val="superscript"/>
          <w:lang w:bidi="ar"/>
        </w:rPr>
        <w:footnoteReference w:id="188"/>
      </w:r>
      <w:r>
        <w:rPr>
          <w:rFonts w:hint="eastAsia" w:ascii="宋体" w:hAnsi="宋体" w:eastAsia="宋体" w:cs="Times New Roman"/>
        </w:rPr>
        <w:t xml:space="preserve"> </w:t>
      </w:r>
    </w:p>
    <w:p w14:paraId="6808A564">
      <w:pPr>
        <w:spacing w:line="300" w:lineRule="auto"/>
        <w:ind w:firstLine="440" w:firstLineChars="200"/>
        <w:rPr>
          <w:rFonts w:ascii="宋体" w:hAnsi="宋体" w:eastAsia="宋体" w:cs="Times New Roman"/>
        </w:rPr>
      </w:pPr>
      <w:r>
        <w:rPr>
          <w:rFonts w:hint="eastAsia" w:ascii="宋体" w:hAnsi="宋体" w:eastAsia="宋体" w:cs="Times New Roman"/>
          <w:lang w:bidi="ar"/>
        </w:rPr>
        <w:t>智利的拉美经济与国际政策研究中心主任比塔尔明确指出“在拉美，‘新自由主义’ 这一术语被用来指实现私有化、放弃管制、减少国家的作用以及在贸易和金融领域中扩大开放度等经济政策。但在英语中，这一政策方法被称作‘新保守主义’。其原因之一是在拉美，‘自由主义’被理解为与经济问题有关，而在英语中，‘自由主义’与政治考虑的关系更密切。”</w:t>
      </w:r>
      <w:r>
        <w:rPr>
          <w:rFonts w:hint="eastAsia" w:ascii="宋体" w:hAnsi="宋体" w:eastAsia="宋体" w:cs="Times New Roman"/>
          <w:vertAlign w:val="superscript"/>
          <w:lang w:bidi="ar"/>
        </w:rPr>
        <w:footnoteReference w:id="189"/>
      </w:r>
      <w:r>
        <w:rPr>
          <w:rFonts w:hint="eastAsia" w:ascii="宋体" w:hAnsi="宋体" w:eastAsia="宋体" w:cs="Times New Roman"/>
        </w:rPr>
        <w:t>从哲学基础上说，当代新保守主义信奉的是诺齐克的典型的极端自由主义哲学。自由和平等长期以来被视作自由主义传统中两种相互冲突的要素。德沃金认为，罗尔斯的再分配理论试图通过补不足、救匾乏来促进平等，从而代表了新自由主义中综合自由和平等的方向，带有强烈的折中色彩，而诺齐克采取了一种极端的立场，一边倒了：自由就是一切，而平等什么也不是。</w:t>
      </w:r>
      <w:r>
        <w:rPr>
          <w:rFonts w:hint="eastAsia" w:ascii="宋体" w:hAnsi="宋体" w:eastAsia="宋体" w:cs="Times New Roman"/>
          <w:vertAlign w:val="superscript"/>
        </w:rPr>
        <w:footnoteReference w:id="190"/>
      </w:r>
      <w:r>
        <w:rPr>
          <w:rFonts w:hint="eastAsia" w:ascii="宋体" w:hAnsi="宋体" w:eastAsia="宋体" w:cs="Times New Roman"/>
        </w:rPr>
        <w:t>新保守主义者正是经常谈论“自由与个性如何受到平等的威胁”、“要自由还是要社会主义”等命题。他们强调由于社会、福利国家偏向有利于社会弱者的社会平衡措施，由于高额累进税和其他措施，已使个人自由被摧毁。他们把社会主义解释为弱者、蠢人和懒汉所喜欢的宗教世界观，认为它反映了被社会福利国家宠坏了的社会下层对于事业成功的富人、聪明人、勤奋者的嫉妒心理。新保守主义者辩解说，每个人彼此之间存在着不容否认的差别，主要包括天赋、能力、容貌、体魄、意志力等方面的差异。所以高收人者的丰厚报酬是“挣来的”。</w:t>
      </w:r>
      <w:r>
        <w:rPr>
          <w:rFonts w:hint="eastAsia" w:ascii="宋体" w:hAnsi="宋体" w:eastAsia="宋体" w:cs="Times New Roman"/>
          <w:vertAlign w:val="superscript"/>
        </w:rPr>
        <w:footnoteReference w:id="191"/>
      </w:r>
    </w:p>
    <w:p w14:paraId="62DB9BF8">
      <w:pPr>
        <w:spacing w:line="300" w:lineRule="auto"/>
        <w:ind w:firstLine="440" w:firstLineChars="200"/>
        <w:rPr>
          <w:rFonts w:ascii="宋体" w:hAnsi="宋体" w:eastAsia="宋体" w:cs="Times New Roman"/>
        </w:rPr>
      </w:pPr>
      <w:r>
        <w:rPr>
          <w:rFonts w:hint="eastAsia" w:ascii="宋体" w:hAnsi="宋体" w:eastAsia="宋体" w:cs="Times New Roman"/>
          <w:lang w:bidi="ar"/>
        </w:rPr>
        <w:t>上述界定大体上揭示了新自由主义经济思潮的本质特征，即它是在凯恩斯主义基础上“倒退”、“回归”（回归斯密）的现代自由主义。按照英语世界的传统，这就是“右”的，“保守”的，称之谓新保守主义是更能显示其本质的，也符合英语传统的准确称谓。</w:t>
      </w:r>
    </w:p>
    <w:p w14:paraId="5CD7ED13">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二、新保守主义经济思潮的兴起与思想霸权</w:t>
      </w:r>
    </w:p>
    <w:p w14:paraId="69F6B376">
      <w:pPr>
        <w:spacing w:line="300" w:lineRule="auto"/>
        <w:ind w:firstLine="440" w:firstLineChars="200"/>
        <w:rPr>
          <w:rFonts w:ascii="宋体" w:hAnsi="宋体" w:eastAsia="宋体" w:cs="Times New Roman"/>
        </w:rPr>
      </w:pPr>
      <w:r>
        <w:rPr>
          <w:rFonts w:hint="eastAsia" w:ascii="宋体" w:hAnsi="宋体" w:eastAsia="宋体" w:cs="Times New Roman"/>
          <w:lang w:bidi="ar"/>
        </w:rPr>
        <w:t>美国俄勒冈大学的约翰·贝拉米·福斯特等人对新保守主义的历史背景、发展脉络及其取得思想霸权的过程进行了梳理和揭露。福斯特指出，20世纪40年代，对于古典的自由放任、自我调节的市场的信仰走到了灾难性的尽头。正是在古典自由主义破产的年代，经济自由主义者开始重构一种更不妥的新自由主义理论。新保守主义的奠基者出自20世纪20年代中期“红色维也纳”的环境中，为了对抗当时的激进氛围，路德维希·冯·米塞斯在奥地利组织“私人讲座”，反对社会主义计划经济和任何中间的社会组织形式，认为资本主义是建立在劳动分工基础之上的惟一可行的社会组织制度。在福斯特看来，1936年美国评论家沃尔特·李普曼为自由主义辩护的著作《良好社会原则的探究》，标志着新自由主义思想发展的转折点。1938年巴黎召开的李普曼著作讨论会的主题是自由主义的危机。这批新自由主义者以“竞争性秩序”的观念为基础，反对国家干预。</w:t>
      </w:r>
      <w:r>
        <w:rPr>
          <w:rFonts w:hint="eastAsia" w:ascii="宋体" w:hAnsi="宋体" w:eastAsia="宋体" w:cs="Times New Roman"/>
          <w:vertAlign w:val="superscript"/>
          <w:lang w:bidi="ar"/>
        </w:rPr>
        <w:footnoteReference w:id="192"/>
      </w:r>
    </w:p>
    <w:p w14:paraId="370A8B7B">
      <w:pPr>
        <w:spacing w:line="300" w:lineRule="auto"/>
        <w:ind w:firstLine="440" w:firstLineChars="200"/>
        <w:rPr>
          <w:rFonts w:ascii="宋体" w:hAnsi="宋体" w:eastAsia="宋体" w:cs="Times New Roman"/>
        </w:rPr>
      </w:pPr>
      <w:r>
        <w:rPr>
          <w:rFonts w:hint="eastAsia" w:ascii="宋体" w:hAnsi="宋体" w:eastAsia="宋体" w:cs="Times New Roman"/>
          <w:lang w:bidi="ar"/>
        </w:rPr>
        <w:t>英国著名左翼理论家、《新左派评论》主编佩里·安德森则认为，新自由主义于第二次世界大战后问世，哈耶克的《通往奴役之路》一书是新保守主义的宪章。1947年4月，哈耶克在瑞士沃州贝勒兰山度假村的公园旅馆召集了一次新保守主义者的会议。贝勒兰山学派的宗旨是反对凯恩斯学说和二战后占统治地位的社会福利政策，为创建一种不受任何约束的资本主义模式奠定理论基础。</w:t>
      </w:r>
      <w:r>
        <w:rPr>
          <w:rFonts w:hint="eastAsia" w:ascii="宋体" w:hAnsi="宋体" w:eastAsia="宋体" w:cs="Times New Roman"/>
          <w:vertAlign w:val="superscript"/>
          <w:lang w:bidi="ar"/>
        </w:rPr>
        <w:footnoteReference w:id="193"/>
      </w:r>
    </w:p>
    <w:p w14:paraId="6C9C2CD4">
      <w:pPr>
        <w:spacing w:line="300" w:lineRule="auto"/>
        <w:ind w:firstLine="440" w:firstLineChars="200"/>
        <w:rPr>
          <w:rFonts w:ascii="宋体" w:hAnsi="宋体" w:eastAsia="宋体" w:cs="Times New Roman"/>
        </w:rPr>
      </w:pPr>
      <w:r>
        <w:rPr>
          <w:rFonts w:hint="eastAsia" w:ascii="宋体" w:hAnsi="宋体" w:eastAsia="宋体" w:cs="Times New Roman"/>
          <w:lang w:bidi="ar"/>
        </w:rPr>
        <w:t>然而，新保守主义在20世纪20年代中期问世后（以奥地利米塞斯1927年发表《自由与繁荣的国度》为标志），不久便遭遇年代世界经济大萧条，在40年代成型后又恰逢长达20多年的西方经济增长的黄金时代，因而在长达半个世纪之久的时间内一直得不到西方国家统治集团和知识界的肯定。但正如安德森所说，在1974年“石油冲击” 体现了战后世界经济的严重危机后，西方发达国家全部卷入经济衰退，出现长期滞胀，新保守主义经济学观点开始受到重视。1979年撒切尔夫人出任英国首相和年里根当选美国总统，标志着新保守主义意识形态在发达资本主义国家上升为主流经济理论和政策取向。随后，西欧国家的一些左翼政府也逐渐右倾化，相继对新自由主义表现出极大的热情，使贝勒兰山学会的思想在所有经合组织国家取得了全面胜利，并最终确立了理论霸主地位，依安德森所见，尽管1991年曾发生新一轮经济衰退，对新保守主义是一个沉重的打击，但是由于苏东剧变，西方国家在冷战中的“胜利”给新保守主义的意识形态及时注人了新的活力。东欧后共产主义推行的经济改革在某些方面甚至比新保守主义的鼻祖走得更远。与此同时，拉美又成了新保守主义经济学的第三试验场。</w:t>
      </w:r>
    </w:p>
    <w:p w14:paraId="3DC45C53">
      <w:pPr>
        <w:spacing w:line="300" w:lineRule="auto"/>
        <w:ind w:firstLine="440" w:firstLineChars="200"/>
        <w:rPr>
          <w:rFonts w:ascii="宋体" w:hAnsi="宋体" w:eastAsia="宋体" w:cs="Times New Roman"/>
        </w:rPr>
      </w:pPr>
      <w:r>
        <w:rPr>
          <w:rFonts w:hint="eastAsia" w:ascii="宋体" w:hAnsi="宋体" w:eastAsia="宋体" w:cs="Times New Roman"/>
          <w:lang w:bidi="ar"/>
        </w:rPr>
        <w:t>美国的大卫·科兹说明，资本主义竞争结构的改变部分地说明了为什么古典自由主义能死灰复燃，但还有三个因素也提升了新保守主义的统治地位，这包括在资本主义国家社会主义运动浪潮的衰退，国家社会主义的终结和资本主义社会长期未爆发严重的经济危机。</w:t>
      </w:r>
      <w:r>
        <w:rPr>
          <w:rFonts w:hint="eastAsia" w:ascii="宋体" w:hAnsi="宋体" w:eastAsia="宋体" w:cs="Times New Roman"/>
          <w:vertAlign w:val="superscript"/>
          <w:lang w:bidi="ar"/>
        </w:rPr>
        <w:footnoteReference w:id="194"/>
      </w:r>
      <w:r>
        <w:rPr>
          <w:rFonts w:hint="eastAsia" w:ascii="宋体" w:hAnsi="宋体" w:eastAsia="宋体" w:cs="Times New Roman"/>
        </w:rPr>
        <w:t xml:space="preserve"> 安德森也指出，在1989—1991年苏联阵营的解体过程中，人们并未预见到这一点，即使它的竞争对手也没有马上看到：不受约束的自由市场资本主义将横扫东西方的壁垒。相反，大多数左派都以为，一旦挣脱斯大林体制，左派就将获得富有希望的再生。然而，新保守主义改变了时代潮流，在全球引起了大规模社会经济变化。从此，第一次，西方思想界不再存在任何有意义的对立，即制度性对抗的观点；“新自由主义作为一整套原则统治全球，成为世界历史上最为成功的意识形态。”</w:t>
      </w:r>
      <w:r>
        <w:rPr>
          <w:rFonts w:hint="eastAsia" w:ascii="宋体" w:hAnsi="宋体" w:eastAsia="宋体" w:cs="Times New Roman"/>
          <w:vertAlign w:val="superscript"/>
        </w:rPr>
        <w:footnoteReference w:id="195"/>
      </w:r>
      <w:r>
        <w:rPr>
          <w:rFonts w:hint="eastAsia" w:ascii="宋体" w:hAnsi="宋体" w:eastAsia="宋体" w:cs="Times New Roman"/>
        </w:rPr>
        <w:t xml:space="preserve"> 法国《外交世界》月刊主编伊西奥·拉莫内认为，在东西方两大阵营的较量中，真正的胜利者却是新保守主义的经济理论。它主张资本的绝对自由，取消关税壁垒和无限制地促进国际贸易，这种经济思想的物质体现就是国际货币基金组织和世界贸易组织。经济自由主义被世界富国推祟为全球化的建设蓝图，而共产主义和社会主义却被贬斥为乌托邦的空想。</w:t>
      </w:r>
      <w:r>
        <w:rPr>
          <w:rFonts w:hint="eastAsia" w:ascii="宋体" w:hAnsi="宋体" w:eastAsia="宋体" w:cs="Times New Roman"/>
          <w:vertAlign w:val="superscript"/>
        </w:rPr>
        <w:footnoteReference w:id="196"/>
      </w:r>
    </w:p>
    <w:p w14:paraId="3168F216">
      <w:pPr>
        <w:spacing w:line="300" w:lineRule="auto"/>
        <w:ind w:firstLine="440" w:firstLineChars="200"/>
        <w:rPr>
          <w:rFonts w:ascii="宋体" w:hAnsi="宋体" w:eastAsia="宋体" w:cs="Times New Roman"/>
        </w:rPr>
      </w:pPr>
      <w:r>
        <w:rPr>
          <w:rFonts w:hint="eastAsia" w:ascii="宋体" w:hAnsi="宋体" w:eastAsia="宋体" w:cs="Times New Roman"/>
          <w:lang w:bidi="ar"/>
        </w:rPr>
        <w:t>法国学术界首领皮埃尔·布迪厄正确地指出，新保守主义已成为当代世界居支配地位的“强势”话语体系。这种话语在一个由各种强力关系组成的世界中完全站在强力者一边，它通过制裁或中介组织，如国际货币基金组织和经济合作与发展组织展示自己的逻辑。它是一种从方法论上解构集体的纲领。解除金融管制，从而实现一个纯粹和完美的市场，这个新自由派的乌托邦运动是通过采取各种政治措施来达到的。采取这些行动的目的是对任何可能对纯粹的市场法则构成障碍的集体结构提出质疑，这些集体结构包括：民族国家；工作团体；捍卫工人权利的集体组织、工会、协会和合作机构；甚至还有家庭。</w:t>
      </w:r>
      <w:r>
        <w:rPr>
          <w:rFonts w:hint="eastAsia" w:ascii="宋体" w:hAnsi="宋体" w:eastAsia="宋体" w:cs="Times New Roman"/>
          <w:vertAlign w:val="superscript"/>
          <w:lang w:bidi="ar"/>
        </w:rPr>
        <w:footnoteReference w:id="197"/>
      </w:r>
    </w:p>
    <w:p w14:paraId="2B6214FD">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三、新保守主义的经济实践及其后果</w:t>
      </w:r>
    </w:p>
    <w:p w14:paraId="12E099B2">
      <w:pPr>
        <w:spacing w:line="300" w:lineRule="auto"/>
        <w:ind w:firstLine="440" w:firstLineChars="200"/>
        <w:rPr>
          <w:rFonts w:ascii="宋体" w:hAnsi="宋体" w:eastAsia="宋体" w:cs="Times New Roman"/>
        </w:rPr>
      </w:pPr>
      <w:r>
        <w:rPr>
          <w:rFonts w:hint="eastAsia" w:ascii="宋体" w:hAnsi="宋体" w:eastAsia="宋体" w:cs="Times New Roman"/>
          <w:lang w:bidi="ar"/>
        </w:rPr>
        <w:t>新保守主义为世界经济制定的方案有三个基本方面：第一，市场作用最大化，国家职能最小化对国民经济实行私有化和非调控化，使市场作用最大化，国家只能最小化；第二，国家完全取消贸易壁垒，向跨国资本开放经济融自由化；第三，压低通货膨胀，从根本上控制财政预算赤字。不同国家在这三个方面具体实施的措施及其重点有很大不同。在发达国家，新保守主义具体实施的政策主要包括：紧缩货币供给，压低工资，抑制通货膨胀；解除政府部门对私人企业的管制，减税刺激投资，削减社会福利支出和打击工会。在拉美、亚非发展中国家和前苏联、东欧等社会主义国家，新保守主义推行的政策主要是私有化、自由化和市场化。在国际贸易和国际金融领域，新保守主义最主要的主张在于全球化，就是解除对国际商品贸易、服务和资本流动的一切障碍，实现世界范围的自由贸易和自由资本流动。</w:t>
      </w:r>
    </w:p>
    <w:p w14:paraId="2A4319FB">
      <w:pPr>
        <w:spacing w:line="300" w:lineRule="auto"/>
        <w:ind w:firstLine="440" w:firstLineChars="200"/>
        <w:rPr>
          <w:rFonts w:ascii="宋体" w:hAnsi="宋体" w:eastAsia="宋体" w:cs="Times New Roman"/>
        </w:rPr>
      </w:pPr>
      <w:r>
        <w:rPr>
          <w:rFonts w:hint="eastAsia" w:ascii="宋体" w:hAnsi="宋体" w:eastAsia="宋体" w:cs="Times New Roman"/>
          <w:lang w:bidi="ar"/>
        </w:rPr>
        <w:t>新保守主义的这一系列政策对世界经济产生了重大影响。简单地说，实施新保守主义经济政策的国家，几乎都发生了经济萧条，甚至严重的经济衰退。安德森、拉莫内、罗伯特· 库尔茨等学者具体分析说，一是对美国经济的影响。看起来似乎只有美国在实行新保守主义的供应学派政策后，经济有了相当发展，但如果对美国的统计数字稍加分析，就不难看出这只不过是表面的繁荣，美国推行新保守主义经济政策后，实际也埋下了股市泡沫、私人部门债务膨胀、财政赤字不断扩大等隐患。即使在高科技和经济霸权时代，美国发展速度并不快，且发生经济衰退。二是对其他西方发达国家经济的影响。战后至70年代，由于冷战的需要，美国政府及国际货币基金组织采取了支持西方各国发展的宽松态度，较少干涉各国经济主权和经济决策。自美英向世界各国推销“华盛顿共识”后，日本、德国等西方发达国家重视工业生产、国家于预经济的政策，开始受到美国政府的阻挠。对于新保守主义理论及政策，西方政治家和战略家虽然深谙其弊端，但他们出于推进经济全球化进程的需要，仍以之为旗帜，对货币、资本和商品市场进行了进一步自由化，对相当的国有工业和基础进行了私有化。全球化、自由化、私有化的结果，使大多数政府控制其国内的经济、金融活动的能力被大大削弱了，全球经济的金融泡沫更迅速、更大规模扩展开来。三是对发展中国家经济的影响。美国用新保守主义理论影响和收买发展中国家知识分子，使他们确信现代化就是西方化或美国化，就是私有化、非调控化和自由化。推行新保守主义“结构调整”改革的结果，发展中国家的经济，特别是工业发展的力量遭到了致命的打击，大大削弱了这些国家政府控制国内经济和金融活动的能力，经济安全、民族独立、国家主权不断弱化，南北差距不断拉大。苏东国家推行破坏性的休克疗法，结果更是灾难性的。</w:t>
      </w:r>
    </w:p>
    <w:p w14:paraId="3D2E1A1A">
      <w:pPr>
        <w:spacing w:line="300" w:lineRule="auto"/>
        <w:ind w:firstLine="440" w:firstLineChars="200"/>
        <w:rPr>
          <w:rFonts w:ascii="宋体" w:hAnsi="宋体" w:eastAsia="宋体" w:cs="Times New Roman"/>
        </w:rPr>
      </w:pPr>
      <w:r>
        <w:rPr>
          <w:rFonts w:hint="eastAsia" w:ascii="宋体" w:hAnsi="宋体" w:eastAsia="宋体" w:cs="Times New Roman"/>
          <w:lang w:bidi="ar"/>
        </w:rPr>
        <w:t>对此，乔姆斯基等人指出了新保守主义的双重标准：发达国家在国内从来没有、也不可能实行彻底的保守主义，美国等强国通过政府补贴、非关税壁垒等措施，实行某种程度上的新贸易保护主义。但是，却要求广大发展中国，特别是社会主义国家推行新自由经济政策和经营模式。目前，发达国家的非关税措施已达2700多种。自由贸易理论的一个基本概念就是禁止政府补贴，不过，曾任关贸总协定秘书长的经济学家帕特里克·洛评论道：“正是罗纳德·里根，这位酷爱放任自由战后国家的最高管理者，领导实现了30年来最大的保护主义转向。他比起半个多世纪以来所有的前任，给予了美国产业界更多的补贴。他领导了有钱有权者自70年代初发起的对自由贸易原则的持续攻击，里根主义者各项措施的限制性影响是其他主要工业国家的三倍。”</w:t>
      </w:r>
      <w:r>
        <w:rPr>
          <w:rFonts w:hint="eastAsia" w:ascii="宋体" w:hAnsi="宋体" w:eastAsia="宋体" w:cs="Times New Roman"/>
          <w:vertAlign w:val="superscript"/>
          <w:lang w:bidi="ar"/>
        </w:rPr>
        <w:footnoteReference w:id="198"/>
      </w:r>
      <w:r>
        <w:rPr>
          <w:rFonts w:hint="eastAsia" w:ascii="宋体" w:hAnsi="宋体" w:eastAsia="宋体" w:cs="Times New Roman"/>
        </w:rPr>
        <w:t>威弗莱德·瑞格洛克和罗·凡·杜德通过对跨国公司的大量研究发现，世界上几乎所有最重要的公司的经营策略及其竞争地位都一直受到政府决策或贸易保护政策的支持，并且1993年世界百强中至少有20家公司，如果没有政府的支撑，是不可能独立生存下来的。</w:t>
      </w:r>
      <w:r>
        <w:rPr>
          <w:rFonts w:hint="eastAsia" w:ascii="宋体" w:hAnsi="宋体" w:eastAsia="宋体" w:cs="Times New Roman"/>
          <w:vertAlign w:val="superscript"/>
        </w:rPr>
        <w:footnoteReference w:id="199"/>
      </w:r>
      <w:r>
        <w:rPr>
          <w:rFonts w:hint="eastAsia" w:ascii="宋体" w:hAnsi="宋体" w:eastAsia="宋体" w:cs="Times New Roman"/>
        </w:rPr>
        <w:t xml:space="preserve"> 这些事实打破了跨国公司“中性论”和“无国籍论”的假话。新保守主义经济政策明显的功利主义色彩、极大的虚伪性和欺骗性，在对待发达国家和发展中国家所使用的双重标准中，表现得淋漓尽致。</w:t>
      </w:r>
    </w:p>
    <w:p w14:paraId="0A10ACAD">
      <w:pPr>
        <w:spacing w:line="300" w:lineRule="auto"/>
        <w:ind w:firstLine="440" w:firstLineChars="200"/>
        <w:rPr>
          <w:rFonts w:ascii="宋体" w:hAnsi="宋体" w:eastAsia="宋体" w:cs="Times New Roman"/>
        </w:rPr>
      </w:pPr>
      <w:r>
        <w:rPr>
          <w:rFonts w:hint="eastAsia" w:ascii="宋体" w:hAnsi="宋体" w:eastAsia="宋体" w:cs="Times New Roman"/>
          <w:lang w:bidi="ar"/>
        </w:rPr>
        <w:t>世界银行前首席经济学家约瑟夫·斯蒂格利茨也尖锐批评了新自由主义的结构调整，认为实际上世界银行、国际货币基金组织和世界贸易组织这三个组织都是单一统治秩序下的可互相调换使用的面具，许多规则是由他们共同制定的。它们会在每个国家实施“结构调整” 的“四部曲”：第一步是私有化，准确说就是腐败化。削价出售国有资产的回扣率会达到10%，而这些资产动辄价值数亿美元。第二步是国际货币基金组织和世行的“拯救经济计划”——资本市场自由化，即允许资本自由流进流出。投机的“热线”只是单方向不断流出。一个国家的储备在几小时、几天内就流干了。第三步是价格市场化——粮食、水、燃气价格飞涨的时期。它引发骚乱和动荡，进而引起新的资本恐慌性出逃和政府的崩溃，外国公司就趁机以“跳楼价”买到那些价值连城的东西。第四步是“消灭贫困计划”：自由贸易。斯氏把这种贸易自由化比作金融和财政手段进行的鸦片战争。所以，他得出结论说：“解决这个世界的贫困和危机的办法很简单：消灭剥削者。”</w:t>
      </w:r>
      <w:r>
        <w:rPr>
          <w:rFonts w:hint="eastAsia" w:ascii="宋体" w:hAnsi="宋体" w:eastAsia="宋体" w:cs="Times New Roman"/>
          <w:vertAlign w:val="superscript"/>
          <w:lang w:bidi="ar"/>
        </w:rPr>
        <w:footnoteReference w:id="200"/>
      </w:r>
    </w:p>
    <w:p w14:paraId="34F27D9F">
      <w:pPr>
        <w:spacing w:line="300" w:lineRule="auto"/>
        <w:ind w:firstLine="440" w:firstLineChars="200"/>
        <w:rPr>
          <w:rFonts w:ascii="宋体" w:hAnsi="宋体" w:eastAsia="宋体" w:cs="Times New Roman"/>
        </w:rPr>
      </w:pPr>
      <w:r>
        <w:rPr>
          <w:rFonts w:hint="eastAsia" w:ascii="宋体" w:hAnsi="宋体" w:eastAsia="宋体" w:cs="Times New Roman"/>
          <w:lang w:bidi="ar"/>
        </w:rPr>
        <w:t xml:space="preserve">简言之，在库尔茨看来，新保守主义经济学“一方面承诺‘看不见的手’具有造福人类、促进繁荣的作用，另一方面又造成世界范围内人为的史无前例的大众贫困。” </w:t>
      </w:r>
      <w:r>
        <w:rPr>
          <w:rFonts w:hint="eastAsia" w:ascii="宋体" w:hAnsi="宋体" w:eastAsia="宋体" w:cs="Times New Roman"/>
          <w:vertAlign w:val="superscript"/>
          <w:lang w:bidi="ar"/>
        </w:rPr>
        <w:footnoteReference w:id="201"/>
      </w:r>
    </w:p>
    <w:p w14:paraId="794EFE62">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四、新保守主义经济思潮与全球化</w:t>
      </w:r>
    </w:p>
    <w:p w14:paraId="671C8051">
      <w:pPr>
        <w:spacing w:line="300" w:lineRule="auto"/>
        <w:ind w:firstLine="440" w:firstLineChars="200"/>
        <w:rPr>
          <w:rFonts w:ascii="宋体" w:hAnsi="宋体" w:eastAsia="宋体" w:cs="Times New Roman"/>
        </w:rPr>
      </w:pPr>
      <w:r>
        <w:rPr>
          <w:rFonts w:hint="eastAsia" w:ascii="宋体" w:hAnsi="宋体" w:eastAsia="宋体" w:cs="Times New Roman"/>
          <w:lang w:bidi="ar"/>
        </w:rPr>
        <w:t>西方左翼学者从诸多层面揭示了新保守主义与全球化的关系，以及在新保守主义主导下经济全球化的性质与特点等。</w:t>
      </w:r>
    </w:p>
    <w:p w14:paraId="4F706032">
      <w:pPr>
        <w:spacing w:line="300" w:lineRule="auto"/>
        <w:ind w:firstLine="440" w:firstLineChars="200"/>
        <w:rPr>
          <w:rFonts w:ascii="宋体" w:hAnsi="宋体" w:eastAsia="宋体" w:cs="Times New Roman"/>
        </w:rPr>
      </w:pPr>
      <w:r>
        <w:rPr>
          <w:rFonts w:hint="eastAsia" w:ascii="宋体" w:hAnsi="宋体" w:eastAsia="宋体" w:cs="Times New Roman"/>
          <w:lang w:bidi="ar"/>
        </w:rPr>
        <w:t>福斯特指出：今天的自由主义将全球化强调为自由市场制度的自发产物，人们现在被告知，除了新保守主义，“别无选择”；我们生存于全球的“竞争性秩序”中，国家抵挡不住全球化的力量；市场不再是国家的，而是全球的；由此公司也应当变成是全球的，而不仅是多国的和跨国的。其实，他强调当前的新自由主义全球化，只不过以功利主义的方式反映了资本主义普遍化的更为根本的趋势，今天资本主义已经如此普遍，资本主义的矛盾正在以新的积极方式表现出来。</w:t>
      </w:r>
      <w:r>
        <w:rPr>
          <w:rFonts w:hint="eastAsia" w:ascii="宋体" w:hAnsi="宋体" w:eastAsia="宋体" w:cs="Times New Roman"/>
          <w:vertAlign w:val="superscript"/>
          <w:lang w:bidi="ar"/>
        </w:rPr>
        <w:footnoteReference w:id="202"/>
      </w:r>
    </w:p>
    <w:p w14:paraId="14C3DE4F">
      <w:pPr>
        <w:spacing w:line="300" w:lineRule="auto"/>
        <w:ind w:firstLine="440" w:firstLineChars="200"/>
        <w:rPr>
          <w:rFonts w:ascii="宋体" w:hAnsi="宋体" w:eastAsia="宋体" w:cs="Times New Roman"/>
        </w:rPr>
      </w:pPr>
      <w:r>
        <w:rPr>
          <w:rFonts w:hint="eastAsia" w:ascii="宋体" w:hAnsi="宋体" w:eastAsia="宋体" w:cs="Times New Roman"/>
          <w:lang w:bidi="ar"/>
        </w:rPr>
        <w:t>跨国公司成为新保守主义全球化进程的主导力量。英国《焦点》月刊2000年8月号刊载题名《全球化》的文章援引联合国人权事务高级官员玛丽·罗宾逊的话指出，如今，500家公司操纵着全球1/3的国民生产总值和3/4的世界贸易，12家公司不久后将控制全球食品工业。她担心，权力正在从政治家手中转向董事会会议室。跨国公司主宰的全球化扩大了世界经济的不平等状况，造成了严重后果：世界最富有的三个家族的财富总和比最不发达国家6亿人口的年收入还要多。</w:t>
      </w:r>
    </w:p>
    <w:p w14:paraId="0B10F6B3">
      <w:pPr>
        <w:spacing w:line="300" w:lineRule="auto"/>
        <w:ind w:firstLine="440" w:firstLineChars="200"/>
        <w:rPr>
          <w:rFonts w:ascii="宋体" w:hAnsi="宋体" w:eastAsia="宋体" w:cs="Times New Roman"/>
        </w:rPr>
      </w:pPr>
      <w:r>
        <w:rPr>
          <w:rFonts w:hint="eastAsia" w:ascii="宋体" w:hAnsi="宋体" w:eastAsia="宋体" w:cs="Times New Roman"/>
          <w:lang w:bidi="ar"/>
        </w:rPr>
        <w:t>金融危机频繁是新保守主义全球化后最突出的特点。法国学者法尔内蒂·里查认为，金融自由化和金融全球化导致了“国际投机经济”。机构投资者的金融投机造成了国际金融的不稳定性，是20世纪90年代金融危机的重要原因。英美的养老基金和互助基金是促进金融自由化、全球化的重要因素。根据保守的估计，截至1998年11月，在金融危机中，亚洲危机国家和地区50%以上经济化为乌有的同时，7000多亿美元转入美国。</w:t>
      </w:r>
      <w:r>
        <w:rPr>
          <w:rFonts w:hint="eastAsia" w:ascii="宋体" w:hAnsi="宋体" w:eastAsia="宋体" w:cs="Times New Roman"/>
          <w:vertAlign w:val="superscript"/>
          <w:lang w:bidi="ar"/>
        </w:rPr>
        <w:footnoteReference w:id="203"/>
      </w:r>
    </w:p>
    <w:p w14:paraId="20888371">
      <w:pPr>
        <w:spacing w:line="300" w:lineRule="auto"/>
        <w:ind w:firstLine="440" w:firstLineChars="200"/>
        <w:rPr>
          <w:rFonts w:ascii="宋体" w:hAnsi="宋体" w:eastAsia="宋体" w:cs="Times New Roman"/>
        </w:rPr>
      </w:pPr>
      <w:r>
        <w:rPr>
          <w:rFonts w:hint="eastAsia" w:ascii="宋体" w:hAnsi="宋体" w:eastAsia="宋体" w:cs="Times New Roman"/>
          <w:lang w:bidi="ar"/>
        </w:rPr>
        <w:t>新保守主义全球化对民族国家的权威和经济安全形成了挑战，霍布斯鲍姆指出，在自由市场神学家如日中天的时节，国家观念甚至更遭到进一步的破坏，因为其时兴起了一股大风，使得原本在原则上由公共事业从事的活动，均被分解“回归”于“市场”之手。在西方强国占绝对优势的全球化和国际秩序中，所谓削弱国家职能，就是削弱第三世界国家干预西方资本流动、保障本国主权和民族独立的经济职能。正如美国左翼人士阿兰·伯努瓦指出的，“国际组织本身已成为全球化的工具。国际货币基金组织和世界银行的作用就是强制实行解除管制、管理货币的波动、强迫第三世界经济服从于偿还国债的绝对命令”。</w:t>
      </w:r>
      <w:r>
        <w:rPr>
          <w:rFonts w:hint="eastAsia" w:ascii="宋体" w:hAnsi="宋体" w:eastAsia="宋体" w:cs="Times New Roman"/>
          <w:vertAlign w:val="superscript"/>
          <w:lang w:bidi="ar"/>
        </w:rPr>
        <w:footnoteReference w:id="204"/>
      </w:r>
    </w:p>
    <w:p w14:paraId="1BFC6290">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五、如何超越新保守主义经济思潮</w:t>
      </w:r>
    </w:p>
    <w:p w14:paraId="4ED93CB1">
      <w:pPr>
        <w:spacing w:line="300" w:lineRule="auto"/>
        <w:ind w:firstLine="440" w:firstLineChars="200"/>
        <w:rPr>
          <w:rFonts w:ascii="宋体" w:hAnsi="宋体" w:eastAsia="宋体" w:cs="Times New Roman"/>
        </w:rPr>
      </w:pPr>
      <w:r>
        <w:rPr>
          <w:rFonts w:hint="eastAsia" w:ascii="宋体" w:hAnsi="宋体" w:eastAsia="宋体" w:cs="Times New Roman"/>
          <w:lang w:bidi="ar"/>
        </w:rPr>
        <w:t>国外许多人士还提出了超越保守主义的历史课题，就战胜新保守主义的前景、道路与方法发表自己的看法。</w:t>
      </w:r>
    </w:p>
    <w:p w14:paraId="57BCE77F">
      <w:pPr>
        <w:spacing w:line="300" w:lineRule="auto"/>
        <w:ind w:firstLine="440" w:firstLineChars="200"/>
        <w:rPr>
          <w:rFonts w:ascii="宋体" w:hAnsi="宋体" w:eastAsia="宋体" w:cs="Times New Roman"/>
        </w:rPr>
      </w:pPr>
      <w:r>
        <w:rPr>
          <w:rFonts w:hint="eastAsia" w:ascii="宋体" w:hAnsi="宋体" w:eastAsia="宋体" w:cs="Times New Roman"/>
          <w:lang w:bidi="ar"/>
        </w:rPr>
        <w:t>德国社会民主党左派领袖、前财政部长奥斯卡·拉封丹撰写了不少论著，发出反对新自由主义的呼吁，指出与里根和撒切尔的名字相联系的保守党的经济革命已在整个世界普及开来，它导致了苏东集团的瓦解，并带来了一定的发展，而这些发展现在必须加以修正。我们让新保守主义者来支配我们政策的中心概念和内容，这一时间太长了。这种局面必须加以改变。</w:t>
      </w:r>
      <w:r>
        <w:rPr>
          <w:rFonts w:hint="eastAsia" w:ascii="宋体" w:hAnsi="宋体" w:eastAsia="宋体" w:cs="Times New Roman"/>
          <w:vertAlign w:val="superscript"/>
          <w:lang w:bidi="ar"/>
        </w:rPr>
        <w:footnoteReference w:id="205"/>
      </w:r>
      <w:r>
        <w:rPr>
          <w:rFonts w:hint="eastAsia" w:ascii="宋体" w:hAnsi="宋体" w:eastAsia="宋体" w:cs="Times New Roman"/>
        </w:rPr>
        <w:t>罗伯特·麦克切斯尼说，新保守主义卫道士最后的王牌，是声称除了新保守主义别无选择，共产主义社会、社会民主主义，甚至美国式最温和的福利国家都失败了，新保守主义已被接受为惟一可行的道路；它也许不完美，但却是惟一可行的经济体系。但在实际上，“无论在美国还是在世界其他地方，新自由主义都是真正的分享民主制的最直接敌人”，“它己造成了巨大的政治、经济危机”。</w:t>
      </w:r>
      <w:r>
        <w:rPr>
          <w:rFonts w:hint="eastAsia" w:ascii="宋体" w:hAnsi="宋体" w:eastAsia="宋体" w:cs="Times New Roman"/>
          <w:vertAlign w:val="superscript"/>
        </w:rPr>
        <w:footnoteReference w:id="206"/>
      </w:r>
    </w:p>
    <w:p w14:paraId="0A3CEFBF">
      <w:pPr>
        <w:spacing w:line="300" w:lineRule="auto"/>
        <w:ind w:firstLine="440" w:firstLineChars="200"/>
        <w:rPr>
          <w:rFonts w:ascii="宋体" w:hAnsi="宋体" w:eastAsia="宋体" w:cs="Times New Roman"/>
        </w:rPr>
      </w:pPr>
      <w:r>
        <w:rPr>
          <w:rFonts w:hint="eastAsia" w:ascii="宋体" w:hAnsi="宋体" w:eastAsia="宋体" w:cs="Times New Roman"/>
          <w:lang w:bidi="ar"/>
        </w:rPr>
        <w:t>乔姆斯基指出，过去有几个时期也被称作“历史的终结” ，比如20世纪20年代和50。年代，但事实已证明此种观点愚蠢之极。现代新保守主义秩序已造成巨大的政治和经济危机，没有理由相信动乱会自动向民主、人道的解决途径发展，一切取决于我们，取决于人民怎样组织、回应和行动。对未来的选择权掌握在我们大家的手中。</w:t>
      </w:r>
      <w:r>
        <w:rPr>
          <w:rFonts w:hint="eastAsia" w:ascii="宋体" w:hAnsi="宋体" w:eastAsia="宋体" w:cs="Times New Roman"/>
          <w:vertAlign w:val="superscript"/>
          <w:lang w:bidi="ar"/>
        </w:rPr>
        <w:footnoteReference w:id="207"/>
      </w:r>
      <w:r>
        <w:rPr>
          <w:rFonts w:hint="eastAsia" w:ascii="宋体" w:hAnsi="宋体" w:eastAsia="宋体" w:cs="Times New Roman"/>
        </w:rPr>
        <w:t xml:space="preserve"> 安德森、乔姆斯基等著名左派都特别强调民主对于战胜新保守主义的作用。安德森指出，如何超越新保守主义的课题，如今已摆在人们的面前，对新保守主义的批判可以从价值、所有权和民主三方面着手。在价值问题，我们必须强调平等原则是自由社会的中心准则在所有权问题，新自由主义者正是通过私有化，对社会主义发动了一场十字军东征。然而，人们完全可以创造出人民所有制的新形式。这个课题今天不仅在发达国家的左翼人士中展开讨论，而且在中国及其他第三世界国家也已开始了典型试验。</w:t>
      </w:r>
      <w:r>
        <w:rPr>
          <w:rFonts w:hint="eastAsia" w:ascii="宋体" w:hAnsi="宋体" w:eastAsia="宋体" w:cs="Times New Roman"/>
          <w:vertAlign w:val="superscript"/>
        </w:rPr>
        <w:footnoteReference w:id="208"/>
      </w:r>
      <w:r>
        <w:rPr>
          <w:rFonts w:hint="eastAsia" w:ascii="宋体" w:hAnsi="宋体" w:eastAsia="宋体" w:cs="Times New Roman"/>
        </w:rPr>
        <w:t xml:space="preserve"> 乔姆斯基说，民主是人们值得生存并为之奋斗的后资本主义社会的基础。那种将资本主义制度等同于民主，或认为资本主义制度会允许人们拥有信息和决策权的想法是何等荒谬。他指出，有组织的政治行动主义造成了我们拥有的民主的程度，带来了政治普选权、妇女权利、工会、公民权以及我们享有的自由。我们应把建立基于合作、平等、自治和个人自由原则的政治经济制度作为出发点来思考问题。</w:t>
      </w:r>
      <w:r>
        <w:rPr>
          <w:rFonts w:hint="eastAsia" w:ascii="宋体" w:hAnsi="宋体" w:eastAsia="宋体" w:cs="Times New Roman"/>
          <w:vertAlign w:val="superscript"/>
        </w:rPr>
        <w:footnoteReference w:id="209"/>
      </w:r>
    </w:p>
    <w:p w14:paraId="4BB79733">
      <w:pPr>
        <w:spacing w:line="300" w:lineRule="auto"/>
        <w:ind w:firstLine="440" w:firstLineChars="200"/>
        <w:rPr>
          <w:rFonts w:ascii="宋体" w:hAnsi="宋体" w:eastAsia="宋体" w:cs="Times New Roman"/>
        </w:rPr>
      </w:pPr>
      <w:r>
        <w:rPr>
          <w:rFonts w:hint="eastAsia" w:ascii="宋体" w:hAnsi="宋体" w:eastAsia="宋体" w:cs="Times New Roman"/>
          <w:lang w:bidi="ar"/>
        </w:rPr>
        <w:t>西方左翼理论家还认识到，要战胜和越超包括经济理论在内的新保守主义，左翼必须重新打造自身的理论基础。安德森提出，要做好与新自由主义进行长期斗争的准备，强调左翼应学习新自由主义右翼在理论上的坚定性，坚持一种激进的和彻底的意识形态应学习右翼在体制上的灵活性，注重研究当代现实的变化，使理论具有解释时代变化的能力他甚至希望左翼理论家学习哈耶克、福山等右翼理论家充满信心的和通俗明快的写作风格。</w:t>
      </w:r>
      <w:r>
        <w:rPr>
          <w:rFonts w:hint="eastAsia" w:ascii="宋体" w:hAnsi="宋体" w:eastAsia="宋体" w:cs="Times New Roman"/>
          <w:vertAlign w:val="superscript"/>
          <w:lang w:bidi="ar"/>
        </w:rPr>
        <w:footnoteReference w:id="210"/>
      </w:r>
    </w:p>
    <w:p w14:paraId="295D0B4F">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六、简短评论</w:t>
      </w:r>
    </w:p>
    <w:p w14:paraId="6A432194">
      <w:pPr>
        <w:spacing w:line="300" w:lineRule="auto"/>
        <w:ind w:firstLine="440" w:firstLineChars="200"/>
        <w:rPr>
          <w:rFonts w:ascii="宋体" w:hAnsi="宋体" w:eastAsia="宋体" w:cs="Times New Roman"/>
        </w:rPr>
      </w:pPr>
      <w:r>
        <w:rPr>
          <w:rFonts w:hint="eastAsia" w:ascii="宋体" w:hAnsi="宋体" w:eastAsia="宋体" w:cs="Times New Roman"/>
          <w:lang w:bidi="ar"/>
        </w:rPr>
        <w:t>第一，从人类社会经济思想史的演讲和世界经济发展的本质趋势察析，相对于马克思主义经济学、西方激进经济学和新老凯恩斯主义经济学来说，新自由主义经济思潮总体上是保守和落后的，尽管它也有某些合理思想颗粒。因此，包括萨缪尔逊在内的西方众多学者，把新自由主义经济学称之为“右翼经济学”或新保守主义经济学，是准确地描述了其思想特征。信奉新自由主义的俄罗斯右翼力量联盟党，英国、日本等国家的保守党，也都是公开自称在经济、政治和文化上处于保守地位的。</w:t>
      </w:r>
    </w:p>
    <w:p w14:paraId="0B90AC4A">
      <w:pPr>
        <w:spacing w:line="300" w:lineRule="auto"/>
        <w:ind w:firstLine="440" w:firstLineChars="200"/>
        <w:rPr>
          <w:rFonts w:ascii="宋体" w:hAnsi="宋体" w:eastAsia="宋体" w:cs="Times New Roman"/>
        </w:rPr>
      </w:pPr>
      <w:r>
        <w:rPr>
          <w:rFonts w:hint="eastAsia" w:ascii="宋体" w:hAnsi="宋体" w:eastAsia="宋体" w:cs="Times New Roman"/>
          <w:lang w:bidi="ar"/>
        </w:rPr>
        <w:t>第二，在经济全球化和冷战结束的条件下，20世纪八九十年代的西方新保守主义经济学（新自由主义经济学）取代凯恩斯主义，成为当代资本主义的主流经济意识形态，取得了思想“霸权”的强势地位，但是，西方左翼和中间派学者（萨缪尔逊自称属于中间派）对新保守主义的批判也一直在进行着，特别是世纪之交的近几年来，形成了一次苏东社会主义失败后对新右派（新保守主义、新自由主义）的意识形态批判浪潮。这是具有重大理论意义和进步性的，也是当今国际经济学界的前沿创新。</w:t>
      </w:r>
    </w:p>
    <w:p w14:paraId="08EDC6C2">
      <w:pPr>
        <w:spacing w:line="300" w:lineRule="auto"/>
        <w:ind w:firstLine="440" w:firstLineChars="200"/>
        <w:rPr>
          <w:rFonts w:ascii="宋体" w:hAnsi="宋体" w:eastAsia="宋体" w:cs="Times New Roman"/>
        </w:rPr>
      </w:pPr>
      <w:r>
        <w:rPr>
          <w:rFonts w:hint="eastAsia" w:ascii="宋体" w:hAnsi="宋体" w:eastAsia="宋体" w:cs="Times New Roman"/>
          <w:lang w:bidi="ar"/>
        </w:rPr>
        <w:t>第三，更可喜的是，随着西方国家的人民在西雅图、布拉格、华盛顿、达沃斯等地不断举行反对新保守主义主导下全球化的大规模抗议示威的发生，思想的、学术的和理论的批判开始转变为实际行动。近年来，委内瑞拉、巴西和阿根廷等南美国家，在推行十多年新保守主义经济政策而碰壁之后，改行中左政策，使新保守主义经济理论失去了试验地，缩小了影响。定期在古巴举行的“全球化论坛”，以及世界社会论坛等，已日渐成为全世界学者和各界人士批判新保守主义及其经济学的重镇，并将逐步扭转思想和体制的旧局面。</w:t>
      </w:r>
    </w:p>
    <w:p w14:paraId="00251971">
      <w:pPr>
        <w:spacing w:line="300" w:lineRule="auto"/>
        <w:ind w:firstLine="440" w:firstLineChars="200"/>
        <w:rPr>
          <w:rFonts w:ascii="宋体" w:hAnsi="宋体" w:eastAsia="宋体" w:cs="Times New Roman"/>
        </w:rPr>
      </w:pPr>
      <w:r>
        <w:rPr>
          <w:rFonts w:hint="eastAsia" w:ascii="宋体" w:hAnsi="宋体" w:eastAsia="宋体" w:cs="Times New Roman"/>
          <w:lang w:bidi="ar"/>
        </w:rPr>
        <w:t>第四，对发达国家和发展中国家实行双重标准的新保守主义经济思潮，其目标是建立发达国家为主导的全球经济新秩序和资本主义的全球扩张。其结果，一方面拓展了资本主义生存和发展的空间，缓和了资本主义的基本矛盾，另一方面又造成了世界资本主义体系新的矛盾和危机，特别是加剧了发达国家内部以及发达国家和发展中国家之间的贫富两极分化，从而还引发了国家层面的反对新保守主义经济思潮的斗争。这是反对新保守主义的重要国际态势。</w:t>
      </w:r>
    </w:p>
    <w:p w14:paraId="1C0A4BBC">
      <w:pPr>
        <w:spacing w:line="300" w:lineRule="auto"/>
        <w:ind w:firstLine="440" w:firstLineChars="200"/>
        <w:rPr>
          <w:rFonts w:ascii="宋体" w:hAnsi="宋体" w:eastAsia="宋体" w:cs="Times New Roman"/>
        </w:rPr>
      </w:pPr>
      <w:r>
        <w:rPr>
          <w:rFonts w:hint="eastAsia" w:ascii="宋体" w:hAnsi="宋体" w:eastAsia="宋体" w:cs="Times New Roman"/>
          <w:lang w:bidi="ar"/>
        </w:rPr>
        <w:t>第五，日本著名马克思主义经济学家伊藤诚强调，中国完善社会主义市场经济体制关键在于克服新自由主义的思想障碍，这是颇有见地的。</w:t>
      </w:r>
      <w:r>
        <w:rPr>
          <w:rFonts w:hint="eastAsia" w:ascii="宋体" w:hAnsi="宋体" w:eastAsia="宋体" w:cs="Times New Roman"/>
          <w:vertAlign w:val="superscript"/>
          <w:lang w:bidi="ar"/>
        </w:rPr>
        <w:footnoteReference w:id="211"/>
      </w:r>
      <w:r>
        <w:rPr>
          <w:rFonts w:hint="eastAsia" w:ascii="宋体" w:hAnsi="宋体" w:eastAsia="宋体" w:cs="Times New Roman"/>
        </w:rPr>
        <w:t xml:space="preserve"> 国内外许多有识之士看到，甚至指出：中国有日渐增多的学者和官员，因主张私有制的效率比公有制高而依赖私有化，因强调公平与效率是替代关系而贬低社会公平，因神化自由市场而轻视国家科学的经济调控，因崇拜美欧日的技术和学术而产生民族自卑（“被殖民心态”），这对真正完善各项体制和实现跨越式协调发展都是不利的，应当尽快加以消除。</w:t>
      </w:r>
    </w:p>
    <w:p w14:paraId="4210AE1B">
      <w:pPr>
        <w:spacing w:line="300" w:lineRule="auto"/>
        <w:ind w:firstLine="440" w:firstLineChars="200"/>
        <w:rPr>
          <w:rFonts w:ascii="宋体" w:hAnsi="宋体" w:eastAsia="宋体" w:cs="Times New Roman"/>
        </w:rPr>
      </w:pPr>
      <w:r>
        <w:rPr>
          <w:rFonts w:hint="eastAsia" w:ascii="宋体" w:hAnsi="宋体" w:eastAsia="宋体" w:cs="Times New Roman"/>
          <w:lang w:bidi="ar"/>
        </w:rPr>
        <w:t>第六，安德森说得好，西方左翼要从新保守主义霸权统治下逆风起飞，必须彻底检讨自身理论的成败得失，根据时代的发展变化建立自身的理论基础，重新制定新世纪的理论战略。当今世界一切马克思主义经济学家、西方激进经济学家必须联合起来，整合成强有力的学术力量，学术批判与学术创新并重，继续全面超越新保守主义经济思想，为人类的健康发展与福利而贡献超前的智慧和终极关怀。</w:t>
      </w:r>
    </w:p>
    <w:p w14:paraId="7FF26D71">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七、中国日渐成型的三大改革理论流派</w:t>
      </w:r>
    </w:p>
    <w:p w14:paraId="15DAA3B3">
      <w:pPr>
        <w:spacing w:line="300" w:lineRule="auto"/>
        <w:ind w:firstLine="440" w:firstLineChars="200"/>
        <w:rPr>
          <w:rFonts w:ascii="宋体" w:hAnsi="宋体" w:eastAsia="宋体" w:cs="Times New Roman"/>
        </w:rPr>
      </w:pPr>
      <w:r>
        <w:rPr>
          <w:rFonts w:hint="eastAsia" w:ascii="宋体" w:hAnsi="宋体" w:eastAsia="宋体" w:cs="Times New Roman"/>
          <w:lang w:bidi="ar"/>
        </w:rPr>
        <w:t>我国经济发展和改革的成就与问题都是明显的，对于下一步如何发展和改革，国内不同的学者有着差别较大的思路，从而日渐形成了三大改革理论流派。学术繁荣的重要标志是各种学派的存在和发展，可以供决策层科学选择或综合采用，也可由国内外公众自由评说。</w:t>
      </w:r>
    </w:p>
    <w:p w14:paraId="5970F884">
      <w:pPr>
        <w:spacing w:line="300" w:lineRule="auto"/>
        <w:ind w:firstLine="440" w:firstLineChars="200"/>
        <w:rPr>
          <w:rFonts w:ascii="宋体" w:hAnsi="宋体" w:eastAsia="宋体" w:cs="Times New Roman"/>
          <w:b/>
        </w:rPr>
      </w:pPr>
      <w:r>
        <w:rPr>
          <w:rFonts w:hint="eastAsia" w:ascii="宋体" w:hAnsi="宋体" w:eastAsia="宋体" w:cs="Times New Roman"/>
          <w:b/>
          <w:lang w:bidi="ar"/>
        </w:rPr>
        <w:t>第一种：激进的市场经济改革观</w:t>
      </w:r>
    </w:p>
    <w:p w14:paraId="516E680B">
      <w:pPr>
        <w:spacing w:line="300" w:lineRule="auto"/>
        <w:ind w:firstLine="440" w:firstLineChars="200"/>
        <w:rPr>
          <w:rFonts w:ascii="宋体" w:hAnsi="宋体" w:eastAsia="宋体" w:cs="Times New Roman"/>
        </w:rPr>
      </w:pPr>
      <w:r>
        <w:rPr>
          <w:rFonts w:hint="eastAsia" w:ascii="宋体" w:hAnsi="宋体" w:eastAsia="宋体" w:cs="Times New Roman"/>
          <w:lang w:bidi="ar"/>
        </w:rPr>
        <w:t>有一批学者以西方资产阶级保守党和新保守主义经济学为导向，以美国为发展楷模，主张走俄罗斯右翼激进改革道路，建立资本主义的自由市场经济制度：1．私有化的所有制改革观。主张应迅速把公有资产低价或卖或送给私人。2．多要素创造价伎的分配观。否定活劳动创造新价值和私有制具有经济剥削性，认为贫富两极分化是高效率的前提和正常现象。3．完全否定国家计划的市场经济改革观，把国家的作用仅限于“守夜巡警”的范围，反对马克思主义和新老凯恩斯主义的国家千预理论。4．完全开放观。主张中国的一切产业都无需保护，高新技术和建设资金也完全或主要从外国引进，比较赞赏拉美国家的新自由主义发展路子。</w:t>
      </w:r>
    </w:p>
    <w:p w14:paraId="5BD5B74F">
      <w:pPr>
        <w:spacing w:line="300" w:lineRule="auto"/>
        <w:ind w:firstLine="440" w:firstLineChars="200"/>
        <w:rPr>
          <w:rFonts w:ascii="宋体" w:hAnsi="宋体" w:eastAsia="宋体" w:cs="Times New Roman"/>
          <w:b/>
        </w:rPr>
      </w:pPr>
      <w:r>
        <w:rPr>
          <w:rFonts w:hint="eastAsia" w:ascii="宋体" w:hAnsi="宋体" w:eastAsia="宋体" w:cs="Times New Roman"/>
          <w:b/>
          <w:lang w:bidi="ar"/>
        </w:rPr>
        <w:t>第二种：社会公正的市场经济改革观</w:t>
      </w:r>
    </w:p>
    <w:p w14:paraId="3CF94DFF">
      <w:pPr>
        <w:spacing w:line="300" w:lineRule="auto"/>
        <w:ind w:firstLine="440" w:firstLineChars="200"/>
        <w:rPr>
          <w:rFonts w:ascii="宋体" w:hAnsi="宋体" w:eastAsia="宋体" w:cs="Times New Roman"/>
        </w:rPr>
      </w:pPr>
      <w:r>
        <w:rPr>
          <w:rFonts w:hint="eastAsia" w:ascii="宋体" w:hAnsi="宋体" w:eastAsia="宋体" w:cs="Times New Roman"/>
          <w:lang w:bidi="ar"/>
        </w:rPr>
        <w:t>也有一些学者以国际社会党的民主社会主义（社会民主主义）为指导，以北欧国家为心目的样板，主张“社会公正+市场经济”的社会主义公式，即：1．公退私进的社会所有制改革观，认为公有制为主体不是社会主义的制度标志，且不可能同市场经济相容的。2．市场竞争收人均为合理的改革观，强调凡是通过市场获得的财富和收人都是合理的，贫富两极分化只要进行税收调节即可解决。3．一味淡化国家的市场化改革观，认为市场的作用越大越好，国家调控的作用越小越好，否定日本和韩国战后高速发展的国家主导作用和经验。4．全球化完全有利于中国的开放观，认为加人世贸组织是有百利而无一害，否认发展民族企业和民族经济的重要性。</w:t>
      </w:r>
    </w:p>
    <w:p w14:paraId="49537C36">
      <w:pPr>
        <w:spacing w:line="300" w:lineRule="auto"/>
        <w:ind w:firstLine="440" w:firstLineChars="200"/>
        <w:rPr>
          <w:rFonts w:ascii="宋体" w:hAnsi="宋体" w:eastAsia="宋体" w:cs="Times New Roman"/>
          <w:b/>
        </w:rPr>
      </w:pPr>
      <w:r>
        <w:rPr>
          <w:rFonts w:hint="eastAsia" w:ascii="宋体" w:hAnsi="宋体" w:eastAsia="宋体" w:cs="Times New Roman"/>
          <w:b/>
          <w:lang w:bidi="ar"/>
        </w:rPr>
        <w:t>第三种：“四主型”的市场经济改革观</w:t>
      </w:r>
    </w:p>
    <w:p w14:paraId="4B8F29DD">
      <w:pPr>
        <w:spacing w:line="300" w:lineRule="auto"/>
        <w:ind w:firstLine="440" w:firstLineChars="200"/>
        <w:rPr>
          <w:rFonts w:ascii="宋体" w:hAnsi="宋体" w:eastAsia="宋体" w:cs="Times New Roman"/>
        </w:rPr>
      </w:pPr>
      <w:r>
        <w:rPr>
          <w:rFonts w:hint="eastAsia" w:ascii="宋体" w:hAnsi="宋体" w:eastAsia="宋体" w:cs="Times New Roman"/>
          <w:lang w:bidi="ar"/>
        </w:rPr>
        <w:t>还有“海派经济学”或“新马克思经济学综合学派”等许多学者主张，必须完善社会主义性质或类型的市场经济体制，建设中国特色的社会主义，其初级社会主义经济公式是“四主型”的，也就是说：1．公有主体型的多种类产权改革观，强调在公有制为主体的前提下，发展中外私有制经济。2．劳动主体型的多要素分配改革观，主张按劳分配为主体，多要素所有者可凭产权参与分配，经济公平与经济效率是交互同向和并重关系。3．国家主导型的多结构市场改革观，提出多结构地发展市场体系和发挥市场的基础性配置资源的作用，同时在廉洁、廉价、民主和高效的基础土发挥国家调节的主导型作用。4．自力主导型的多方位开放改革观，主张处理好多方位开放、引进国外技术和资本，同自力更生地发展自主知识产权、高效利用本国资本和经济超越等关系。</w:t>
      </w:r>
    </w:p>
    <w:p w14:paraId="3116F711">
      <w:pPr>
        <w:spacing w:line="300" w:lineRule="auto"/>
        <w:ind w:firstLine="440" w:firstLineChars="200"/>
        <w:rPr>
          <w:rFonts w:ascii="宋体" w:hAnsi="宋体" w:eastAsia="宋体" w:cs="Times New Roman"/>
        </w:rPr>
      </w:pPr>
    </w:p>
    <w:p w14:paraId="24447919">
      <w:pPr>
        <w:ind w:firstLine="440" w:firstLineChars="200"/>
        <w:rPr>
          <w:rFonts w:ascii="宋体" w:hAnsi="宋体" w:eastAsia="宋体" w:cs="Times New Roman"/>
        </w:rPr>
      </w:pPr>
      <w:r>
        <w:rPr>
          <w:rFonts w:hint="eastAsia" w:ascii="宋体" w:hAnsi="宋体" w:eastAsia="宋体" w:cs="Times New Roman"/>
          <w:lang w:bidi="ar"/>
        </w:rPr>
        <w:t>参考文献</w:t>
      </w:r>
    </w:p>
    <w:p w14:paraId="54365709">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[1]毛增余主编：《与中国著名经济学家对话：顾海良、王振中、林岗、程恩富》（第五辑），中国经济出版社，2003年版。</w:t>
      </w:r>
    </w:p>
    <w:p w14:paraId="7FE5FF3E">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[2]程恩富：《经济全球化与反全球化观析——程恩富教授在复旦大学的讲演》，《文汇报》，2003年4月29日。</w:t>
      </w:r>
    </w:p>
    <w:p w14:paraId="5E4868E7">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[3]郭宝宏：《资本主义基本矛盾之我见》，载《海派经济学（季刊）》，2003年第3期。</w:t>
      </w:r>
    </w:p>
    <w:p w14:paraId="37F4D02D">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[4]吴易风等：《西方经济学与世界经济的发展》，中国经济出版社，2003年版。</w:t>
      </w:r>
    </w:p>
    <w:p w14:paraId="0D791AFC">
      <w:pPr>
        <w:ind w:firstLine="440" w:firstLineChars="200"/>
        <w:rPr>
          <w:rFonts w:ascii="宋体" w:hAnsi="宋体" w:eastAsia="宋体" w:cs="Times New Roman"/>
        </w:rPr>
      </w:pPr>
    </w:p>
    <w:p w14:paraId="263A50E9">
      <w:pPr>
        <w:ind w:firstLine="440" w:firstLineChars="200"/>
        <w:rPr>
          <w:rFonts w:ascii="宋体" w:hAnsi="宋体" w:eastAsia="宋体" w:cs="Times New Roman"/>
        </w:rPr>
      </w:pPr>
      <w:r>
        <w:rPr>
          <w:rFonts w:hint="eastAsia" w:ascii="宋体" w:hAnsi="宋体" w:eastAsia="宋体" w:cs="Times New Roman"/>
          <w:lang w:bidi="ar"/>
        </w:rPr>
        <w:t>（原载《马克思主义研究》2005年第1期，第二作者为曹雷）</w:t>
      </w:r>
    </w:p>
    <w:p w14:paraId="6BB036BD">
      <w:pPr>
        <w:bidi w:val="0"/>
      </w:pPr>
      <w:r>
        <w:rPr>
          <w:rFonts w:hint="eastAsia"/>
        </w:rPr>
        <w:br w:type="page"/>
      </w:r>
    </w:p>
    <w:p w14:paraId="1C89681D">
      <w:pPr>
        <w:pStyle w:val="3"/>
        <w:widowControl/>
        <w:spacing w:before="0" w:after="0" w:line="360" w:lineRule="auto"/>
        <w:jc w:val="center"/>
        <w:rPr>
          <w:rFonts w:hint="default" w:ascii="黑体" w:hAnsi="宋体" w:eastAsia="黑体"/>
          <w:b w:val="0"/>
          <w:bCs w:val="0"/>
          <w:spacing w:val="-2"/>
          <w:lang w:bidi="ar"/>
        </w:rPr>
      </w:pPr>
      <w:bookmarkStart w:id="483" w:name="_Toc25642"/>
      <w:bookmarkStart w:id="484" w:name="_Toc111148944"/>
      <w:bookmarkStart w:id="485" w:name="_Toc226945981"/>
      <w:bookmarkStart w:id="486" w:name="_Toc1322648322"/>
      <w:bookmarkStart w:id="487" w:name="_Toc257922098"/>
      <w:r>
        <w:rPr>
          <w:rFonts w:ascii="黑体" w:hAnsi="宋体" w:eastAsia="黑体"/>
          <w:b w:val="0"/>
          <w:bCs w:val="0"/>
          <w:spacing w:val="-2"/>
          <w:lang w:bidi="ar"/>
        </w:rPr>
        <w:t>6国有企业实行MBO将带来重重隐患</w:t>
      </w:r>
      <w:bookmarkEnd w:id="483"/>
      <w:bookmarkEnd w:id="484"/>
      <w:bookmarkEnd w:id="485"/>
      <w:bookmarkEnd w:id="486"/>
    </w:p>
    <w:p w14:paraId="36AE11EC">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国有资产大量流失。MBO中，国有资产法人股转让价格往往在净资产基础上进行折让，国家股转让价格也只是略高于或等于净资产（其主要原因是国有资产转让有一条硬性规定，必须按照不低于净资产的价格转让），如果进一步推行MBO，上市公司的高管们在MBO操作中既充当国有股卖家的角色，又充当买家的角色，企业高管难免会先压低资产取得股权再去资本市场套现，最终是国有资产大量流失。</w:t>
      </w:r>
    </w:p>
    <w:p w14:paraId="66632304">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奖励有意做亏企业者和腐败行为。从考虑管理层历史贡献的角度出发，将国有股权定向出售给管理层，不少地方甚至下发“转制应当让经营者持大股，经营中让法人代表持大股”的红头文件。这一措施存在极大的不合理性。假如原来企业资不抵债，其经营者如果能因为所有权、使用权的统一让企业起死回生，那么，经营者的道德水平将令人质疑，即这些经营者过去没有认真经营。而且国有控股的上市公司管理层通常与政府有着密切渊源，在非流通股和流通股存在巨大价差的情况下，由MBO引发的产权制度改革将带来对财富的重新分配，很难保证其中不会出现腐败。</w:t>
      </w:r>
    </w:p>
    <w:p w14:paraId="352F6B46">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退一步而言，即使实行MBO是对管理层贡献的承认，但当管理层为MBO必须拿出自有巨额资金时，我们就必须面对这样一个现实问题：由于管理层卓越不凡的表现，国有资产在过去20年里得到了巨大而快速的增值，导致现在他们必须为MBO支付更多的代价。换言之，如果推行MBO，势必造成变相鼓励高层管理人员经营惰性，出现惩能奖庸，乃至惩廉奖贪。</w:t>
      </w:r>
    </w:p>
    <w:p w14:paraId="4DDFA6E2">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导致管理层新的“一股独大”。由于管理层收购后通常只持有一部分股份，中小股东的代理成本并没有降低。相反管理层变成大股东之后，由于大股东和内部人的利益趋于一致，内部人控制有可能愈演愈烈，其侵害小股东的动机和条件将更加直接。从这个角度讲，实施MBO未必比聘请职业经理人制度好。</w:t>
      </w:r>
    </w:p>
    <w:p w14:paraId="1E6EC5A7">
      <w:pPr>
        <w:spacing w:line="400" w:lineRule="exact"/>
        <w:ind w:firstLine="440" w:firstLineChars="200"/>
        <w:jc w:val="left"/>
        <w:rPr>
          <w:rFonts w:ascii="宋体" w:hAnsi="宋体" w:eastAsia="宋体" w:cs="宋体"/>
          <w:color w:val="000000"/>
          <w:kern w:val="0"/>
          <w:szCs w:val="21"/>
          <w:lang w:bidi="ar"/>
        </w:rPr>
      </w:pPr>
      <w:r>
        <w:rPr>
          <w:rFonts w:hint="eastAsia" w:ascii="宋体" w:hAnsi="宋体" w:eastAsia="宋体" w:cs="宋体"/>
          <w:color w:val="000000"/>
          <w:kern w:val="0"/>
          <w:szCs w:val="21"/>
          <w:lang w:bidi="ar"/>
        </w:rPr>
        <w:t>成为外资进入国企的暗道。因为中国债券市场极不发达，银行贷款的相关监督政策又不允许利用投资贷款进行股权投资，中国MBO融资通道相当狭窄，外资由此对中国企业的MBO虎视耽眈。通过MBO，他们可以获得非常好的进入中国企业的机会：自己创办一个企业不如收购一个企业，外部收购不如和管理层一起收购。外资企业全面介入中国国有企业后，很容易实现对中国民族企业的“控股、控技术、控品牌”的垄断战略。</w:t>
      </w:r>
    </w:p>
    <w:p w14:paraId="7AF4B40B">
      <w:pPr>
        <w:spacing w:line="400" w:lineRule="exact"/>
        <w:ind w:firstLine="440" w:firstLineChars="200"/>
        <w:jc w:val="left"/>
        <w:rPr>
          <w:rFonts w:ascii="宋体" w:hAnsi="宋体" w:eastAsia="宋体" w:cs="宋体"/>
          <w:color w:val="000000"/>
          <w:kern w:val="0"/>
          <w:szCs w:val="21"/>
          <w:lang w:bidi="ar"/>
        </w:rPr>
      </w:pPr>
      <w:r>
        <w:rPr>
          <w:rFonts w:hint="eastAsia" w:ascii="宋体" w:hAnsi="宋体" w:eastAsia="宋体" w:cs="宋体"/>
          <w:color w:val="000000"/>
          <w:kern w:val="0"/>
          <w:szCs w:val="21"/>
          <w:lang w:bidi="ar"/>
        </w:rPr>
        <w:t>（原载《中华魂》2</w:t>
      </w:r>
      <w:r>
        <w:rPr>
          <w:rFonts w:ascii="宋体" w:hAnsi="宋体" w:eastAsia="宋体" w:cs="宋体"/>
          <w:color w:val="000000"/>
          <w:kern w:val="0"/>
          <w:szCs w:val="21"/>
          <w:lang w:bidi="ar"/>
        </w:rPr>
        <w:t>005</w:t>
      </w:r>
      <w:r>
        <w:rPr>
          <w:rFonts w:hint="eastAsia" w:ascii="宋体" w:hAnsi="宋体" w:eastAsia="宋体" w:cs="宋体"/>
          <w:color w:val="000000"/>
          <w:kern w:val="0"/>
          <w:szCs w:val="21"/>
          <w:lang w:bidi="ar"/>
        </w:rPr>
        <w:t>年第3期，第二作者为邓屏）</w:t>
      </w:r>
      <w:r>
        <w:rPr>
          <w:rFonts w:ascii="宋体" w:hAnsi="宋体" w:eastAsia="宋体" w:cs="宋体"/>
          <w:color w:val="000000"/>
          <w:kern w:val="0"/>
          <w:szCs w:val="21"/>
          <w:lang w:bidi="ar"/>
        </w:rPr>
        <w:br w:type="page"/>
      </w:r>
    </w:p>
    <w:p w14:paraId="11634DA4">
      <w:pPr>
        <w:spacing w:line="400" w:lineRule="exact"/>
        <w:ind w:firstLine="440" w:firstLineChars="200"/>
        <w:jc w:val="left"/>
        <w:rPr>
          <w:rFonts w:ascii="宋体" w:hAnsi="宋体" w:eastAsia="宋体" w:cs="宋体"/>
          <w:szCs w:val="21"/>
        </w:rPr>
      </w:pPr>
    </w:p>
    <w:p w14:paraId="35488E75">
      <w:pPr>
        <w:spacing w:line="400" w:lineRule="exact"/>
        <w:ind w:firstLine="440" w:firstLineChars="200"/>
        <w:jc w:val="left"/>
        <w:rPr>
          <w:rFonts w:ascii="宋体" w:hAnsi="宋体" w:eastAsia="宋体" w:cs="宋体"/>
          <w:szCs w:val="21"/>
        </w:rPr>
      </w:pPr>
    </w:p>
    <w:p w14:paraId="7FC55499">
      <w:pPr>
        <w:spacing w:before="147" w:beforeLines="50" w:after="147" w:afterLines="50" w:line="300" w:lineRule="auto"/>
        <w:ind w:firstLine="660" w:firstLineChars="200"/>
        <w:jc w:val="center"/>
        <w:outlineLvl w:val="1"/>
        <w:rPr>
          <w:rFonts w:ascii="黑体" w:hAnsi="宋体" w:eastAsia="黑体" w:cs="Times New Roman"/>
          <w:sz w:val="32"/>
        </w:rPr>
      </w:pPr>
      <w:bookmarkStart w:id="488" w:name="_Toc15091"/>
      <w:bookmarkStart w:id="489" w:name="_Toc111148945"/>
      <w:bookmarkStart w:id="490" w:name="_Toc350145595"/>
      <w:bookmarkStart w:id="491" w:name="_Toc1147117757"/>
      <w:r>
        <w:rPr>
          <w:rFonts w:hint="eastAsia" w:ascii="黑体" w:hAnsi="宋体" w:eastAsia="黑体" w:cs="Times New Roman"/>
          <w:sz w:val="32"/>
          <w:lang w:bidi="ar"/>
        </w:rPr>
        <w:t>7经济全球化与新自由主义的范式危机</w:t>
      </w:r>
      <w:bookmarkEnd w:id="487"/>
      <w:bookmarkEnd w:id="488"/>
      <w:bookmarkEnd w:id="489"/>
      <w:bookmarkEnd w:id="490"/>
      <w:bookmarkEnd w:id="491"/>
    </w:p>
    <w:p w14:paraId="2FD735D5">
      <w:pPr>
        <w:autoSpaceDE w:val="0"/>
        <w:autoSpaceDN w:val="0"/>
        <w:spacing w:before="147" w:beforeLines="50" w:line="300" w:lineRule="auto"/>
        <w:ind w:firstLine="440" w:firstLineChars="200"/>
        <w:rPr>
          <w:rFonts w:ascii="宋体" w:hAnsi="宋体" w:eastAsia="宋体" w:cs="Times New Roman"/>
        </w:rPr>
      </w:pPr>
      <w:r>
        <w:rPr>
          <w:rFonts w:hint="eastAsia" w:ascii="宋体" w:hAnsi="宋体" w:eastAsia="宋体" w:cs="Times New Roman"/>
          <w:lang w:bidi="ar"/>
        </w:rPr>
        <w:t>在20世纪70年代以后经济全球化的过程中，经济变革的新自由主义范式得以萌芽、发展和扩张。1929-1933年席卷资本主义世界的经济大危机宣布古典自由主义走进了死胡同，凯恩斯主义伴随罗斯福新政而产生。然而，1974年由“石油危机”引发的战后资本主义最严重的经济危机，正式宣告了凯恩斯主义时代的结束和新自由主义的兴起。</w:t>
      </w:r>
    </w:p>
    <w:p w14:paraId="25952B72">
      <w:pPr>
        <w:autoSpaceDE w:val="0"/>
        <w:autoSpaceDN w:val="0"/>
        <w:spacing w:line="300" w:lineRule="auto"/>
        <w:ind w:firstLine="440" w:firstLineChars="200"/>
        <w:rPr>
          <w:rFonts w:ascii="宋体" w:hAnsi="宋体" w:eastAsia="宋体" w:cs="Times New Roman"/>
        </w:rPr>
      </w:pPr>
      <w:r>
        <w:rPr>
          <w:rFonts w:hint="eastAsia" w:ascii="宋体" w:hAnsi="宋体" w:eastAsia="宋体" w:cs="Times New Roman"/>
          <w:lang w:bidi="ar"/>
        </w:rPr>
        <w:t>新自由主义作为凯恩斯主义的对立面，继承了古典自由主义的核心理念，涵盖了货币主义、供给学派、理性预期学派、伦敦学派和新制度学派等的政策主张。“以米尔顿·弗里德曼的货币主义思想为主要内容的经济新自由主义在70年代确定了它解决危机、适应资本主义扩展新要求的属性。”（1）资本主义保守党的上台对新自由主义的发展起到了推波助澜的作用，首先是智利的皮诺切特和英国的撒切尔夫人；几年后，里根在美国的推动起了决定性的作用。日趋成熟的新自由主义发展范式首先在拉丁美洲国家得到实践，并扩展到东南亚和东亚各国，且在80年代末90年代初得益于东欧和苏联社会主义的垮台，使其在世界范围内的扩张得到了巩固。时至今日，美国仍不遗余力向发展中国家推销新自由主义的改革范式。</w:t>
      </w:r>
    </w:p>
    <w:p w14:paraId="34751AE3">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一、新自由主义经济改革的理论基础和范式主张</w:t>
      </w:r>
    </w:p>
    <w:p w14:paraId="3C9D0367">
      <w:pPr>
        <w:autoSpaceDE w:val="0"/>
        <w:autoSpaceDN w:val="0"/>
        <w:spacing w:before="147" w:beforeLines="50" w:line="300" w:lineRule="auto"/>
        <w:ind w:firstLine="440" w:firstLineChars="200"/>
        <w:rPr>
          <w:rFonts w:ascii="宋体" w:hAnsi="宋体" w:eastAsia="宋体" w:cs="Times New Roman"/>
        </w:rPr>
      </w:pPr>
      <w:r>
        <w:rPr>
          <w:rFonts w:hint="eastAsia" w:ascii="宋体" w:hAnsi="宋体" w:eastAsia="宋体" w:cs="Times New Roman"/>
          <w:lang w:bidi="ar"/>
        </w:rPr>
        <w:t>新自由主义推崇古典自由主义的信条——市场自然秩序论和市场万能论，提出政府失灵论和政府无效论，反对国家干预。他们认为，个人在追求自身利益最大化的同时，可以实现社会利益最大化，政府只是社会经济发展的“守夜人”，“看不见的手”会自动协调经济发展。“对于每个人而言，他通常既不打算促进公共的利益，也不知道是在什么程度上促进那种利益。……他所盘算的也只是他自己的利益。在这场合，像在其他场合一样，他受到一只看不见的手的指导，去尽力达到一个并非他本意想要达到的目的。……他追求自己的利益往往使他能比在真正出于本意的情况下更有效地促进社会的利益。”（2）</w:t>
      </w:r>
    </w:p>
    <w:p w14:paraId="26181FBC">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货币主义以货币数量论和自然率假说为基础，提出单一货币政策规则。在货币主义看来，凯恩斯主义所主张的扩张性财政政策无助于刺激经济增长，降低失业率，反而会引起通货膨胀，降低国民经济增长率。因此，弗里德曼不赞成对宏观经济运行进行“微调”，认为权衡的经济政策弊大于利。供给学派则否定凯恩斯定律，肯定萨伊定律，信奉商品和劳务的供给能够创造自己的需求。由此，供给学派主张减税、削减社会福利支出、减少限制性的条例规章。供给学派认为，“政府管制越少，私人经济运行就越有效率，他们敦促政府要撤销限制价格、最低工资法等法令，放宽关于环境污染、生产安全、商品检验等规定的标准，让企业尽量自由地经营，让企业家精神得以充分发挥。”（3）以卢卡斯为代表的理性预期学派认为，由于参与经济活动主体的理性预期，宏观经济政策长期都是无效的。</w:t>
      </w:r>
    </w:p>
    <w:p w14:paraId="4FE9FCC3">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新自由主义推崇的市场机制是建立在私有制基础上的，极力反对公有制。雅赛指出，新自由主义的基石之一就是所有权都是私有的。（4）新自由主义认为，财产私有的经济主体，在充分竞争的自由市场上可以达到完美的瓦尔拉斯均衡，并且只有私有的财产权才是完整的，“在集体所有权之下，根本就不需要，实践上也不可能满足这个做出决定者、承受代价者和受益者三位一体的条件。”（5）新自由主义还认为，私有产权才能给予人们选择的权利和经济自由。伦敦学派的代表人物哈耶克认为：“正是由于生产资料掌握在许多独立行动的人的手里这个唯一的缘故，才没有人来控制我们的全权，我们才能够以个人的身份来决定我们要做的事情。如果所有的生产资料都落在一个人手里，不管它在名义上是属于整个‘社会’，或是属于独裁者，谁操有这个管理权，谁就有全权控制我们。”（6）新自由主义认为，自由的市场经济中信息和知识必然是分散的，而且人们的知识都是有限的，因此个人根据市场价格机制来分散决策是最有效的，反对中央集中决策和计划经济。</w:t>
      </w:r>
    </w:p>
    <w:p w14:paraId="01079054">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新自由主义包含了众多流派，理论纷繁不一，缺乏完整的体系，但是他们共同的准则是，市场决定论、经济非调节论、政府功能的重新定位、削减社会福利、抑制工会的发展等。他们一系列的政策主张不仅在发达国家如美国、英国得到实施，而且得到世界银行、国际货币基金组织和世界贸易组织的参与和推动。借助美国的霸权和实力，“并在20年的时间里，传播到几乎整个地球，被越来越多的政府表述为不同的经济政策，并在不同的层次上以不同的色彩得到贯彻执行，”（7）形成了新自由主义的经济改革范式。“今天的新自由主义将全球化强调为自由市场制度的自发产物。人们现在被告知：除了新自由主义，‘别无选择’；我们生存于全球的‘竞争性秩序’中，国家抵挡不住全球化的力量；市场不再是国家的，而是全球的；由此公司也应当变成全球的，而不仅是多国的或跨国的。”（8）</w:t>
      </w:r>
    </w:p>
    <w:p w14:paraId="6A7D3693">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诺姆·乔姆斯基指出，“‘新自由主义’，顾名思义，是在古典自由主义思想的基础上建立起来的一个新的理论体系，亚当·斯密被认为是其创始人，该理论体系也称‘华盛顿共识’，包含了一些有关全球秩序的内容……所谓华盛顿共识指的是以市场为导向的一系列理论，他们由美国政府及其控制的国际组织所制定，并由他们通过各种方式实施——在经济最弱的国家，这些理论经常用做严厉的结构调整方案。其基本原则简单地说就是：贸易自由化、价格市场化和私有化。”（9）这正道出了新自由主义的经济改革范式的实质。具体说来新自由主义的经济改革的范式主张包括：(1)经济自由化。新自由主义要求商品、服务和资本完全自由流通，在绝对开放的条件下，任其在世界市场上展开竞争。在10条“华盛顿共识”中有4条改革是要求经济自由化的，（10）其中金融自由化首当其冲，要求由市场机制决定利率和汇率，消除非关税壁垒且实行低关税，取消各种障碍，对国外直接投资实行开放。(2) 国有资产和服务项目的非国有化和私有化。“华盛顿共识”的第8条明确指出实行国有企业的私有化，第10条要求确保资产的所有权。(3)调整国家和政府的职能。“华盛顿共识”的第9条要求政府必须取消对企业的管制和对竞争的限制，实行紧缩的财政和货币政策，降低税率和削减社会福利，限制工会的作用，让工资自由浮动。</w:t>
      </w:r>
    </w:p>
    <w:p w14:paraId="5EA93A29">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曾任世界银行首席经济学家和美国前总统克林顿的经济顾问团主席，并在2001年荣获诺贝尔经济学奖的约瑟夫·斯蒂格利茨把新自由主义的经济改革范式形象地概括为“四步曲”：第一步是私有化，更准确地说就是腐败化。削价出售国有资产的回扣率会达到10%，而这些资产动辄价值数亿美元。私有化之后，第二步是国际货币基金组织和世行的“拯救经济计划”——资本市场自由化。就是对资本市场解除管制，允许资本自由流进流出。在这关头，国际货币基金组织把这些国家拖入第三步：价格市场化——一个粮食、水、燃气价格飞涨的时期，它引发骚乱和动荡，进而引起新的资本恐慌性出逃和政府的崩溃，外国公司趁机以“跳楼价”买到那些价值连城的东西。现在就轮到第四步：国际货币基金组织和世界银行把这一步叫做“消灭贫困计划”：自由贸易。（11）</w:t>
      </w:r>
    </w:p>
    <w:p w14:paraId="3E0D7B45">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二、新自由主义经济改革的实践悖论和范式危机</w:t>
      </w:r>
    </w:p>
    <w:p w14:paraId="6ADE9542">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新自由主义的范式主张从20世纪70年代以来首先在拉丁美洲得以试验和全面实施，从智利、阿根廷到墨西哥、巴西、委内瑞拉、乌拉圭等无疑都接受并进行了新自由主义范式改革和实践。虽然某些国家在开始或中间的个别年份经济曾经出现短暂的繁荣，但是从长期和整体来看，却给拉美大多数国家和人民带来了深重的灾难。委内瑞拉《分析报》2002年10月22日刊文指出：“国际货币基金组织最近十年中在本大陆推行的方针政策造成的后果是经济增长率下降、民族工业倒闭、失业率上升、外债增加和社会不公平等现象加剧”。乌拉圭《第三世界经济》月刊2002年11月也著文说：“拉丁美洲进行的新自由主义改革在拉美大部分地区造成不平等、贫困和增长率低下。”（12）新自由主义在拉美的实践并没有带来新自由主义所宣称的经济快速持续增长、就业率提高、通货膨胀率降低、负债率减少和人民生活水平的大幅提高及社会经济稳定，而是相反。</w:t>
      </w:r>
    </w:p>
    <w:p w14:paraId="062057C3">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20世纪70年代以来，在新自由主义影响下，智利、阿根廷、乌拉圭等国先后都实行对外开放的贸易自由化政策，加快进行了国营企业私有化，减少甚至取消国家对价格、汇率、利率、租金、工资等的全面干预和控制，开放金融市场，放宽对外资的限制。但是“阿根廷、乌拉圭的新自由主义改革‘试验’以失败告终。智利的新自由主义改革虽取得了一定成效，但也付出了高昂代价。1976-1983年，破产企业增加了7倍，银行业几乎崩溃，失业率达30%，特别是金融政策的失误，导致国家在80年代初几乎无法偿还外债，国家用80%的出口收入偿债，经济陷入了严重的危机之中。”（13）阿根廷的外债从1976年的70亿美元增加到1983年的430亿美元，1989年的消费价格上涨率为5000%，1995年登记在案的“公开失业”率达1816%。两极分化严重，1974年全国人口中最富的10%得到国民收入的2812%，最穷的10%只得到国民收入的213%，到1997年，前者和后者分别得到3711%和116%；1974年约有717%的家庭处于贫困之列，1996年这一数字变为了20%。（14）从1992-2001年的10年中，拉美和加勒比地区19个国家被迫支付的利息就达4830亿美元，同时债务总额增加了2380亿美元，达7090亿美元。2001年，尼加拉瓜是外债负担最重的国家，外债相当于当年出口总额的706%；其次是阿根廷，相当于当年出口总额的452%；第三是巴西，相当于当年出口总额的336%，都大大超过国际安全债务率警戒线100%。20世纪90年代的10年内，拉美地区贫困人数上升到人口总数的44%。（15）1970年拉美占世界贸易的份额为8%，1980年降为5%，1990年只有3%。（16）1982-1991年，拉美地区经济增长率仅为118%，大大低于世界313%的平均增长率，甚至低于非洲地区2125%的经济增长率。（17）2002年，约瑟夫·斯蒂格利茨指出：“最近10年拉美的经济增长率，仅是六十年代和七十年代的一半。”（18）从1982年墨西哥金融危机引发的拉美债务危机，到1994年墨西哥再次爆发金融危机，再到1999年巴西发生金融危机，再到2001年阿根廷爆发金融危机，实行新自由主义改革的拉美地区社会经济危机不断。</w:t>
      </w:r>
    </w:p>
    <w:p w14:paraId="7599676C">
      <w:pPr>
        <w:autoSpaceDE w:val="0"/>
        <w:autoSpaceDN w:val="0"/>
        <w:spacing w:before="2" w:line="300" w:lineRule="auto"/>
        <w:ind w:firstLine="476" w:firstLineChars="200"/>
        <w:rPr>
          <w:rFonts w:ascii="宋体" w:hAnsi="宋体" w:eastAsia="宋体" w:cs="Arial Unicode MS"/>
          <w:spacing w:val="9"/>
          <w:szCs w:val="21"/>
        </w:rPr>
      </w:pPr>
      <w:r>
        <w:rPr>
          <w:rFonts w:hint="eastAsia" w:ascii="宋体" w:hAnsi="宋体" w:eastAsia="宋体" w:cs="Arial Unicode MS"/>
          <w:spacing w:val="9"/>
          <w:szCs w:val="21"/>
          <w:lang w:bidi="ar"/>
        </w:rPr>
        <w:t>表1发达资本主义国家人均真实国内生产总值增长率(1820-1992年)</w:t>
      </w:r>
    </w:p>
    <w:tbl>
      <w:tblPr>
        <w:tblStyle w:val="17"/>
        <w:tblW w:w="4178" w:type="dxa"/>
        <w:jc w:val="center"/>
        <w:tblLayout w:type="fixed"/>
        <w:tblCellMar>
          <w:top w:w="0" w:type="dxa"/>
          <w:left w:w="0" w:type="dxa"/>
          <w:bottom w:w="0" w:type="dxa"/>
          <w:right w:w="0" w:type="dxa"/>
        </w:tblCellMar>
      </w:tblPr>
      <w:tblGrid>
        <w:gridCol w:w="755"/>
        <w:gridCol w:w="603"/>
        <w:gridCol w:w="539"/>
        <w:gridCol w:w="625"/>
        <w:gridCol w:w="533"/>
        <w:gridCol w:w="1123"/>
      </w:tblGrid>
      <w:tr w14:paraId="361DD81E">
        <w:trPr>
          <w:trHeight w:val="270" w:hRule="exact"/>
          <w:jc w:val="center"/>
        </w:trPr>
        <w:tc>
          <w:tcPr>
            <w:tcW w:w="1516" w:type="dxa"/>
            <w:tcBorders>
              <w:top w:val="single" w:color="000000" w:sz="6" w:space="0"/>
              <w:left w:val="nil"/>
              <w:bottom w:val="single" w:color="000000" w:sz="6" w:space="0"/>
              <w:right w:val="single" w:color="000000" w:sz="6" w:space="0"/>
            </w:tcBorders>
            <w:shd w:val="clear" w:color="auto" w:fill="auto"/>
          </w:tcPr>
          <w:p w14:paraId="7ECE11AA">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时期</w:t>
            </w:r>
          </w:p>
        </w:tc>
        <w:tc>
          <w:tcPr>
            <w:tcW w:w="1199" w:type="dxa"/>
            <w:tcBorders>
              <w:top w:val="single" w:color="000000" w:sz="6" w:space="0"/>
              <w:left w:val="single" w:color="000000" w:sz="6" w:space="0"/>
              <w:bottom w:val="single" w:color="000000" w:sz="6" w:space="0"/>
              <w:right w:val="single" w:color="000000" w:sz="6" w:space="0"/>
            </w:tcBorders>
            <w:shd w:val="clear" w:color="auto" w:fill="auto"/>
          </w:tcPr>
          <w:p w14:paraId="6C0B907D">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1820-1870</w:t>
            </w:r>
          </w:p>
        </w:tc>
        <w:tc>
          <w:tcPr>
            <w:tcW w:w="1067" w:type="dxa"/>
            <w:tcBorders>
              <w:top w:val="single" w:color="000000" w:sz="6" w:space="0"/>
              <w:left w:val="single" w:color="000000" w:sz="6" w:space="0"/>
              <w:bottom w:val="single" w:color="000000" w:sz="6" w:space="0"/>
              <w:right w:val="single" w:color="000000" w:sz="6" w:space="0"/>
            </w:tcBorders>
            <w:shd w:val="clear" w:color="auto" w:fill="auto"/>
          </w:tcPr>
          <w:p w14:paraId="402EF332">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1870-913</w:t>
            </w:r>
          </w:p>
        </w:tc>
        <w:tc>
          <w:tcPr>
            <w:tcW w:w="1244" w:type="dxa"/>
            <w:tcBorders>
              <w:top w:val="single" w:color="000000" w:sz="6" w:space="0"/>
              <w:left w:val="single" w:color="000000" w:sz="6" w:space="0"/>
              <w:bottom w:val="single" w:color="000000" w:sz="6" w:space="0"/>
              <w:right w:val="single" w:color="000000" w:sz="6" w:space="0"/>
            </w:tcBorders>
            <w:shd w:val="clear" w:color="auto" w:fill="auto"/>
          </w:tcPr>
          <w:p w14:paraId="74199250">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1913-1950</w:t>
            </w:r>
          </w:p>
        </w:tc>
        <w:tc>
          <w:tcPr>
            <w:tcW w:w="1056" w:type="dxa"/>
            <w:tcBorders>
              <w:top w:val="single" w:color="000000" w:sz="6" w:space="0"/>
              <w:left w:val="single" w:color="000000" w:sz="6" w:space="0"/>
              <w:bottom w:val="single" w:color="000000" w:sz="6" w:space="0"/>
              <w:right w:val="single" w:color="000000" w:sz="6" w:space="0"/>
            </w:tcBorders>
            <w:shd w:val="clear" w:color="auto" w:fill="auto"/>
          </w:tcPr>
          <w:p w14:paraId="0712E581">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1950-1973</w:t>
            </w:r>
          </w:p>
        </w:tc>
        <w:tc>
          <w:tcPr>
            <w:tcW w:w="2270" w:type="dxa"/>
            <w:tcBorders>
              <w:top w:val="single" w:color="000000" w:sz="6" w:space="0"/>
              <w:left w:val="single" w:color="000000" w:sz="6" w:space="0"/>
              <w:bottom w:val="single" w:color="000000" w:sz="6" w:space="0"/>
              <w:right w:val="nil"/>
            </w:tcBorders>
            <w:shd w:val="clear" w:color="auto" w:fill="auto"/>
          </w:tcPr>
          <w:p w14:paraId="375D0B28">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1973-1992</w:t>
            </w:r>
          </w:p>
        </w:tc>
      </w:tr>
      <w:tr w14:paraId="7161BD08">
        <w:trPr>
          <w:trHeight w:val="272" w:hRule="exact"/>
          <w:jc w:val="center"/>
        </w:trPr>
        <w:tc>
          <w:tcPr>
            <w:tcW w:w="1516" w:type="dxa"/>
            <w:tcBorders>
              <w:top w:val="single" w:color="000000" w:sz="6" w:space="0"/>
              <w:left w:val="nil"/>
              <w:bottom w:val="single" w:color="000000" w:sz="6" w:space="0"/>
              <w:right w:val="single" w:color="000000" w:sz="6" w:space="0"/>
            </w:tcBorders>
            <w:shd w:val="clear" w:color="auto" w:fill="auto"/>
          </w:tcPr>
          <w:p w14:paraId="447278B9">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西欧</w:t>
            </w:r>
          </w:p>
        </w:tc>
        <w:tc>
          <w:tcPr>
            <w:tcW w:w="1199" w:type="dxa"/>
            <w:tcBorders>
              <w:top w:val="single" w:color="000000" w:sz="6" w:space="0"/>
              <w:left w:val="single" w:color="000000" w:sz="6" w:space="0"/>
              <w:bottom w:val="single" w:color="000000" w:sz="6" w:space="0"/>
              <w:right w:val="single" w:color="000000" w:sz="6" w:space="0"/>
            </w:tcBorders>
            <w:shd w:val="clear" w:color="auto" w:fill="auto"/>
          </w:tcPr>
          <w:p w14:paraId="3AA17524">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1.0</w:t>
            </w:r>
          </w:p>
        </w:tc>
        <w:tc>
          <w:tcPr>
            <w:tcW w:w="1067" w:type="dxa"/>
            <w:tcBorders>
              <w:top w:val="single" w:color="000000" w:sz="6" w:space="0"/>
              <w:left w:val="single" w:color="000000" w:sz="6" w:space="0"/>
              <w:bottom w:val="single" w:color="000000" w:sz="6" w:space="0"/>
              <w:right w:val="single" w:color="000000" w:sz="6" w:space="0"/>
            </w:tcBorders>
            <w:shd w:val="clear" w:color="auto" w:fill="auto"/>
          </w:tcPr>
          <w:p w14:paraId="3A76A028">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1.3</w:t>
            </w:r>
          </w:p>
        </w:tc>
        <w:tc>
          <w:tcPr>
            <w:tcW w:w="1244" w:type="dxa"/>
            <w:tcBorders>
              <w:top w:val="single" w:color="000000" w:sz="6" w:space="0"/>
              <w:left w:val="single" w:color="000000" w:sz="6" w:space="0"/>
              <w:bottom w:val="single" w:color="000000" w:sz="6" w:space="0"/>
              <w:right w:val="single" w:color="000000" w:sz="6" w:space="0"/>
            </w:tcBorders>
            <w:shd w:val="clear" w:color="auto" w:fill="auto"/>
          </w:tcPr>
          <w:p w14:paraId="28DCEF17">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0.9</w:t>
            </w:r>
          </w:p>
        </w:tc>
        <w:tc>
          <w:tcPr>
            <w:tcW w:w="1056" w:type="dxa"/>
            <w:tcBorders>
              <w:top w:val="single" w:color="000000" w:sz="6" w:space="0"/>
              <w:left w:val="single" w:color="000000" w:sz="6" w:space="0"/>
              <w:bottom w:val="single" w:color="000000" w:sz="6" w:space="0"/>
              <w:right w:val="single" w:color="000000" w:sz="6" w:space="0"/>
            </w:tcBorders>
            <w:shd w:val="clear" w:color="auto" w:fill="auto"/>
          </w:tcPr>
          <w:p w14:paraId="5DE23545">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3.9</w:t>
            </w:r>
          </w:p>
        </w:tc>
        <w:tc>
          <w:tcPr>
            <w:tcW w:w="2270" w:type="dxa"/>
            <w:tcBorders>
              <w:top w:val="single" w:color="000000" w:sz="6" w:space="0"/>
              <w:left w:val="single" w:color="000000" w:sz="6" w:space="0"/>
              <w:bottom w:val="single" w:color="000000" w:sz="6" w:space="0"/>
              <w:right w:val="nil"/>
            </w:tcBorders>
            <w:shd w:val="clear" w:color="auto" w:fill="auto"/>
          </w:tcPr>
          <w:p w14:paraId="17ADB3CB">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1.8</w:t>
            </w:r>
          </w:p>
        </w:tc>
      </w:tr>
      <w:tr w14:paraId="6951F7CF">
        <w:trPr>
          <w:trHeight w:val="270" w:hRule="exact"/>
          <w:jc w:val="center"/>
        </w:trPr>
        <w:tc>
          <w:tcPr>
            <w:tcW w:w="1516" w:type="dxa"/>
            <w:tcBorders>
              <w:top w:val="single" w:color="000000" w:sz="6" w:space="0"/>
              <w:left w:val="nil"/>
              <w:bottom w:val="single" w:color="000000" w:sz="6" w:space="0"/>
              <w:right w:val="single" w:color="000000" w:sz="6" w:space="0"/>
            </w:tcBorders>
            <w:shd w:val="clear" w:color="auto" w:fill="auto"/>
          </w:tcPr>
          <w:p w14:paraId="07095E67">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美国</w:t>
            </w:r>
          </w:p>
        </w:tc>
        <w:tc>
          <w:tcPr>
            <w:tcW w:w="1199" w:type="dxa"/>
            <w:tcBorders>
              <w:top w:val="single" w:color="000000" w:sz="6" w:space="0"/>
              <w:left w:val="single" w:color="000000" w:sz="6" w:space="0"/>
              <w:bottom w:val="single" w:color="000000" w:sz="6" w:space="0"/>
              <w:right w:val="single" w:color="000000" w:sz="6" w:space="0"/>
            </w:tcBorders>
            <w:shd w:val="clear" w:color="auto" w:fill="auto"/>
          </w:tcPr>
          <w:p w14:paraId="73A4E666">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1.3</w:t>
            </w:r>
          </w:p>
        </w:tc>
        <w:tc>
          <w:tcPr>
            <w:tcW w:w="1067" w:type="dxa"/>
            <w:tcBorders>
              <w:top w:val="single" w:color="000000" w:sz="6" w:space="0"/>
              <w:left w:val="single" w:color="000000" w:sz="6" w:space="0"/>
              <w:bottom w:val="single" w:color="000000" w:sz="6" w:space="0"/>
              <w:right w:val="single" w:color="000000" w:sz="6" w:space="0"/>
            </w:tcBorders>
            <w:shd w:val="clear" w:color="auto" w:fill="auto"/>
          </w:tcPr>
          <w:p w14:paraId="2FFA50FB">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1.8</w:t>
            </w:r>
          </w:p>
        </w:tc>
        <w:tc>
          <w:tcPr>
            <w:tcW w:w="1244" w:type="dxa"/>
            <w:tcBorders>
              <w:top w:val="single" w:color="000000" w:sz="6" w:space="0"/>
              <w:left w:val="single" w:color="000000" w:sz="6" w:space="0"/>
              <w:bottom w:val="single" w:color="000000" w:sz="6" w:space="0"/>
              <w:right w:val="single" w:color="000000" w:sz="6" w:space="0"/>
            </w:tcBorders>
            <w:shd w:val="clear" w:color="auto" w:fill="auto"/>
          </w:tcPr>
          <w:p w14:paraId="2B7B799A">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1.6</w:t>
            </w:r>
          </w:p>
        </w:tc>
        <w:tc>
          <w:tcPr>
            <w:tcW w:w="1056" w:type="dxa"/>
            <w:tcBorders>
              <w:top w:val="single" w:color="000000" w:sz="6" w:space="0"/>
              <w:left w:val="single" w:color="000000" w:sz="6" w:space="0"/>
              <w:bottom w:val="single" w:color="000000" w:sz="6" w:space="0"/>
              <w:right w:val="single" w:color="000000" w:sz="6" w:space="0"/>
            </w:tcBorders>
            <w:shd w:val="clear" w:color="auto" w:fill="auto"/>
          </w:tcPr>
          <w:p w14:paraId="555BB66F">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2.4</w:t>
            </w:r>
          </w:p>
        </w:tc>
        <w:tc>
          <w:tcPr>
            <w:tcW w:w="2270" w:type="dxa"/>
            <w:tcBorders>
              <w:top w:val="single" w:color="000000" w:sz="6" w:space="0"/>
              <w:left w:val="single" w:color="000000" w:sz="6" w:space="0"/>
              <w:bottom w:val="single" w:color="000000" w:sz="6" w:space="0"/>
              <w:right w:val="nil"/>
            </w:tcBorders>
            <w:shd w:val="clear" w:color="auto" w:fill="auto"/>
          </w:tcPr>
          <w:p w14:paraId="7D275459">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1.4</w:t>
            </w:r>
          </w:p>
        </w:tc>
      </w:tr>
    </w:tbl>
    <w:p w14:paraId="320F1AED">
      <w:pPr>
        <w:autoSpaceDE w:val="0"/>
        <w:autoSpaceDN w:val="0"/>
        <w:spacing w:before="2"/>
        <w:ind w:firstLine="416" w:firstLineChars="200"/>
        <w:rPr>
          <w:rFonts w:ascii="宋体" w:hAnsi="宋体" w:eastAsia="宋体" w:cs="Arial Unicode MS"/>
          <w:spacing w:val="9"/>
          <w:szCs w:val="21"/>
        </w:rPr>
      </w:pPr>
      <w:r>
        <w:rPr>
          <w:rFonts w:hint="eastAsia" w:ascii="宋体" w:hAnsi="宋体" w:eastAsia="宋体" w:cs="Arial Unicode MS"/>
          <w:spacing w:val="9"/>
          <w:sz w:val="18"/>
          <w:szCs w:val="18"/>
          <w:lang w:bidi="ar"/>
        </w:rPr>
        <w:t>注：各时期内均为年平均增长率</w:t>
      </w:r>
      <w:r>
        <w:rPr>
          <w:rFonts w:hint="eastAsia" w:ascii="宋体" w:hAnsi="宋体" w:eastAsia="宋体" w:cs="Arial Unicode MS"/>
          <w:spacing w:val="9"/>
          <w:szCs w:val="21"/>
          <w:lang w:bidi="ar"/>
        </w:rPr>
        <w:t>。</w:t>
      </w:r>
    </w:p>
    <w:p w14:paraId="51A80447">
      <w:pPr>
        <w:autoSpaceDE w:val="0"/>
        <w:autoSpaceDN w:val="0"/>
        <w:spacing w:before="2"/>
        <w:ind w:firstLine="416" w:firstLineChars="200"/>
        <w:rPr>
          <w:rFonts w:ascii="宋体" w:hAnsi="宋体" w:eastAsia="宋体" w:cs="Arial Unicode MS"/>
          <w:spacing w:val="9"/>
          <w:sz w:val="18"/>
          <w:szCs w:val="18"/>
        </w:rPr>
      </w:pPr>
      <w:r>
        <w:rPr>
          <w:rFonts w:hint="eastAsia" w:ascii="宋体" w:hAnsi="宋体" w:eastAsia="宋体" w:cs="Arial Unicode MS"/>
          <w:spacing w:val="9"/>
          <w:sz w:val="18"/>
          <w:szCs w:val="18"/>
          <w:lang w:bidi="ar"/>
        </w:rPr>
        <w:t>资料来源：Angus Madison，Monitoring the World Economy 1820-1992(Paris， Organization for Economic Co-operation and Development，1995)，pp160，196-971</w:t>
      </w:r>
    </w:p>
    <w:p w14:paraId="46AFF146">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从1973年以来，美国也经历了深刻的新自由主义的调整。1979年撒切尔夫人担任英国首相和1980年里根担任美国总统后，确立了新自由主义占据西方国家经济政策取向的主流地位，实施公共部门企业和服务的私有化、削减税率、减少公共开支和社会福利支出、放松市场管制等一系列自由化改革。然而从1973年到90年代初，美国和英国领导的新自由重建并没有表现出良好的业绩。比如1950-1973年美国和西欧的经济增长业绩好于它以后和以前的所有时期(见表1（19）)。到90年代后半期，新自由主义终于发现了新自由主义成功的样板——美国。被誉为“新经济”的美国在克林顿时代连续近10年持续低通胀增长，而实际上90年代的美国经济增长也并不是历史上的最好时期(见表2（20）)。</w:t>
      </w:r>
    </w:p>
    <w:p w14:paraId="56D96090">
      <w:pPr>
        <w:autoSpaceDE w:val="0"/>
        <w:autoSpaceDN w:val="0"/>
        <w:spacing w:before="2" w:line="300" w:lineRule="auto"/>
        <w:ind w:firstLine="476" w:firstLineChars="200"/>
        <w:rPr>
          <w:rFonts w:ascii="宋体" w:hAnsi="宋体" w:eastAsia="宋体" w:cs="Arial Unicode MS"/>
          <w:spacing w:val="9"/>
          <w:szCs w:val="21"/>
        </w:rPr>
      </w:pPr>
      <w:r>
        <w:rPr>
          <w:rFonts w:hint="eastAsia" w:ascii="宋体" w:hAnsi="宋体" w:eastAsia="宋体" w:cs="Arial Unicode MS"/>
          <w:spacing w:val="9"/>
          <w:szCs w:val="21"/>
          <w:lang w:bidi="ar"/>
        </w:rPr>
        <w:t>表2美国的商业周期</w:t>
      </w:r>
    </w:p>
    <w:tbl>
      <w:tblPr>
        <w:tblStyle w:val="17"/>
        <w:tblW w:w="4328" w:type="dxa"/>
        <w:jc w:val="center"/>
        <w:tblLayout w:type="fixed"/>
        <w:tblCellMar>
          <w:top w:w="0" w:type="dxa"/>
          <w:left w:w="0" w:type="dxa"/>
          <w:bottom w:w="0" w:type="dxa"/>
          <w:right w:w="0" w:type="dxa"/>
        </w:tblCellMar>
      </w:tblPr>
      <w:tblGrid>
        <w:gridCol w:w="886"/>
        <w:gridCol w:w="575"/>
        <w:gridCol w:w="853"/>
        <w:gridCol w:w="644"/>
        <w:gridCol w:w="1370"/>
      </w:tblGrid>
      <w:tr w14:paraId="7EC10018">
        <w:trPr>
          <w:trHeight w:val="722" w:hRule="exact"/>
          <w:jc w:val="center"/>
        </w:trPr>
        <w:tc>
          <w:tcPr>
            <w:tcW w:w="1777" w:type="dxa"/>
            <w:tcBorders>
              <w:top w:val="single" w:color="000000" w:sz="6" w:space="0"/>
              <w:left w:val="nil"/>
              <w:bottom w:val="single" w:color="000000" w:sz="6" w:space="0"/>
              <w:right w:val="single" w:color="000000" w:sz="6" w:space="0"/>
            </w:tcBorders>
            <w:shd w:val="clear" w:color="auto" w:fill="auto"/>
          </w:tcPr>
          <w:p w14:paraId="743B3476">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商业周期的年份</w:t>
            </w:r>
          </w:p>
        </w:tc>
        <w:tc>
          <w:tcPr>
            <w:tcW w:w="1135" w:type="dxa"/>
            <w:tcBorders>
              <w:top w:val="single" w:color="000000" w:sz="6" w:space="0"/>
              <w:left w:val="single" w:color="000000" w:sz="6" w:space="0"/>
              <w:bottom w:val="single" w:color="000000" w:sz="6" w:space="0"/>
              <w:right w:val="single" w:color="000000" w:sz="6" w:space="0"/>
            </w:tcBorders>
            <w:shd w:val="clear" w:color="auto" w:fill="auto"/>
          </w:tcPr>
          <w:p w14:paraId="321E384C">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真实GDP年增长率①</w:t>
            </w:r>
          </w:p>
        </w:tc>
        <w:tc>
          <w:tcPr>
            <w:tcW w:w="1702" w:type="dxa"/>
            <w:tcBorders>
              <w:top w:val="single" w:color="000000" w:sz="6" w:space="0"/>
              <w:left w:val="single" w:color="000000" w:sz="6" w:space="0"/>
              <w:bottom w:val="single" w:color="000000" w:sz="6" w:space="0"/>
              <w:right w:val="single" w:color="000000" w:sz="6" w:space="0"/>
            </w:tcBorders>
            <w:shd w:val="clear" w:color="auto" w:fill="auto"/>
          </w:tcPr>
          <w:p w14:paraId="05A0F9FE">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单位小时劳动的产出量年增长率②</w:t>
            </w:r>
          </w:p>
        </w:tc>
        <w:tc>
          <w:tcPr>
            <w:tcW w:w="1275" w:type="dxa"/>
            <w:tcBorders>
              <w:top w:val="single" w:color="000000" w:sz="6" w:space="0"/>
              <w:left w:val="single" w:color="000000" w:sz="6" w:space="0"/>
              <w:bottom w:val="single" w:color="000000" w:sz="6" w:space="0"/>
              <w:right w:val="single" w:color="000000" w:sz="6" w:space="0"/>
            </w:tcBorders>
            <w:shd w:val="clear" w:color="auto" w:fill="auto"/>
          </w:tcPr>
          <w:p w14:paraId="2D87F15D">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最后一年的失业率③</w:t>
            </w:r>
          </w:p>
        </w:tc>
        <w:tc>
          <w:tcPr>
            <w:tcW w:w="2763" w:type="dxa"/>
            <w:tcBorders>
              <w:top w:val="single" w:color="000000" w:sz="6" w:space="0"/>
              <w:left w:val="single" w:color="000000" w:sz="6" w:space="0"/>
              <w:bottom w:val="single" w:color="000000" w:sz="6" w:space="0"/>
              <w:right w:val="nil"/>
            </w:tcBorders>
            <w:shd w:val="clear" w:color="auto" w:fill="auto"/>
          </w:tcPr>
          <w:p w14:paraId="073D3DA3">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最后一年的通胀率④</w:t>
            </w:r>
          </w:p>
        </w:tc>
      </w:tr>
      <w:tr w14:paraId="6138FC37">
        <w:trPr>
          <w:trHeight w:val="270" w:hRule="exact"/>
          <w:jc w:val="center"/>
        </w:trPr>
        <w:tc>
          <w:tcPr>
            <w:tcW w:w="1777" w:type="dxa"/>
            <w:tcBorders>
              <w:top w:val="single" w:color="000000" w:sz="6" w:space="0"/>
              <w:left w:val="nil"/>
              <w:bottom w:val="single" w:color="000000" w:sz="6" w:space="0"/>
              <w:right w:val="single" w:color="000000" w:sz="6" w:space="0"/>
            </w:tcBorders>
            <w:shd w:val="clear" w:color="auto" w:fill="auto"/>
          </w:tcPr>
          <w:p w14:paraId="6A904B85">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1961-1669</w:t>
            </w:r>
          </w:p>
        </w:tc>
        <w:tc>
          <w:tcPr>
            <w:tcW w:w="1135" w:type="dxa"/>
            <w:tcBorders>
              <w:top w:val="single" w:color="000000" w:sz="6" w:space="0"/>
              <w:left w:val="single" w:color="000000" w:sz="6" w:space="0"/>
              <w:bottom w:val="single" w:color="000000" w:sz="6" w:space="0"/>
              <w:right w:val="single" w:color="000000" w:sz="6" w:space="0"/>
            </w:tcBorders>
            <w:shd w:val="clear" w:color="auto" w:fill="auto"/>
          </w:tcPr>
          <w:p w14:paraId="42E756F5">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4.9</w:t>
            </w:r>
          </w:p>
        </w:tc>
        <w:tc>
          <w:tcPr>
            <w:tcW w:w="1702" w:type="dxa"/>
            <w:tcBorders>
              <w:top w:val="single" w:color="000000" w:sz="6" w:space="0"/>
              <w:left w:val="single" w:color="000000" w:sz="6" w:space="0"/>
              <w:bottom w:val="single" w:color="000000" w:sz="6" w:space="0"/>
              <w:right w:val="single" w:color="000000" w:sz="6" w:space="0"/>
            </w:tcBorders>
            <w:shd w:val="clear" w:color="auto" w:fill="auto"/>
          </w:tcPr>
          <w:p w14:paraId="40591881">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3.0</w:t>
            </w:r>
          </w:p>
        </w:tc>
        <w:tc>
          <w:tcPr>
            <w:tcW w:w="1275" w:type="dxa"/>
            <w:tcBorders>
              <w:top w:val="single" w:color="000000" w:sz="6" w:space="0"/>
              <w:left w:val="single" w:color="000000" w:sz="6" w:space="0"/>
              <w:bottom w:val="single" w:color="000000" w:sz="6" w:space="0"/>
              <w:right w:val="single" w:color="000000" w:sz="6" w:space="0"/>
            </w:tcBorders>
            <w:shd w:val="clear" w:color="auto" w:fill="auto"/>
          </w:tcPr>
          <w:p w14:paraId="13B7C427">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3.5</w:t>
            </w:r>
          </w:p>
        </w:tc>
        <w:tc>
          <w:tcPr>
            <w:tcW w:w="2763" w:type="dxa"/>
            <w:tcBorders>
              <w:top w:val="single" w:color="000000" w:sz="6" w:space="0"/>
              <w:left w:val="single" w:color="000000" w:sz="6" w:space="0"/>
              <w:bottom w:val="single" w:color="000000" w:sz="6" w:space="0"/>
              <w:right w:val="nil"/>
            </w:tcBorders>
            <w:shd w:val="clear" w:color="auto" w:fill="auto"/>
          </w:tcPr>
          <w:p w14:paraId="1F3BD036">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5.5</w:t>
            </w:r>
          </w:p>
        </w:tc>
      </w:tr>
      <w:tr w14:paraId="718416E6">
        <w:trPr>
          <w:trHeight w:val="272" w:hRule="exact"/>
          <w:jc w:val="center"/>
        </w:trPr>
        <w:tc>
          <w:tcPr>
            <w:tcW w:w="1777" w:type="dxa"/>
            <w:tcBorders>
              <w:top w:val="single" w:color="000000" w:sz="6" w:space="0"/>
              <w:left w:val="nil"/>
              <w:bottom w:val="single" w:color="000000" w:sz="6" w:space="0"/>
              <w:right w:val="single" w:color="000000" w:sz="6" w:space="0"/>
            </w:tcBorders>
            <w:shd w:val="clear" w:color="auto" w:fill="auto"/>
          </w:tcPr>
          <w:p w14:paraId="110EF53B">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1970-1973</w:t>
            </w:r>
          </w:p>
        </w:tc>
        <w:tc>
          <w:tcPr>
            <w:tcW w:w="1135" w:type="dxa"/>
            <w:tcBorders>
              <w:top w:val="single" w:color="000000" w:sz="6" w:space="0"/>
              <w:left w:val="single" w:color="000000" w:sz="6" w:space="0"/>
              <w:bottom w:val="single" w:color="000000" w:sz="6" w:space="0"/>
              <w:right w:val="single" w:color="000000" w:sz="6" w:space="0"/>
            </w:tcBorders>
            <w:shd w:val="clear" w:color="auto" w:fill="auto"/>
          </w:tcPr>
          <w:p w14:paraId="53063330">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4.8</w:t>
            </w:r>
          </w:p>
        </w:tc>
        <w:tc>
          <w:tcPr>
            <w:tcW w:w="1702" w:type="dxa"/>
            <w:tcBorders>
              <w:top w:val="single" w:color="000000" w:sz="6" w:space="0"/>
              <w:left w:val="single" w:color="000000" w:sz="6" w:space="0"/>
              <w:bottom w:val="single" w:color="000000" w:sz="6" w:space="0"/>
              <w:right w:val="single" w:color="000000" w:sz="6" w:space="0"/>
            </w:tcBorders>
            <w:shd w:val="clear" w:color="auto" w:fill="auto"/>
          </w:tcPr>
          <w:p w14:paraId="6242C397">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3.6</w:t>
            </w:r>
          </w:p>
        </w:tc>
        <w:tc>
          <w:tcPr>
            <w:tcW w:w="1275" w:type="dxa"/>
            <w:tcBorders>
              <w:top w:val="single" w:color="000000" w:sz="6" w:space="0"/>
              <w:left w:val="single" w:color="000000" w:sz="6" w:space="0"/>
              <w:bottom w:val="single" w:color="000000" w:sz="6" w:space="0"/>
              <w:right w:val="single" w:color="000000" w:sz="6" w:space="0"/>
            </w:tcBorders>
            <w:shd w:val="clear" w:color="auto" w:fill="auto"/>
          </w:tcPr>
          <w:p w14:paraId="237A0C72">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4.9</w:t>
            </w:r>
          </w:p>
        </w:tc>
        <w:tc>
          <w:tcPr>
            <w:tcW w:w="2763" w:type="dxa"/>
            <w:tcBorders>
              <w:top w:val="single" w:color="000000" w:sz="6" w:space="0"/>
              <w:left w:val="single" w:color="000000" w:sz="6" w:space="0"/>
              <w:bottom w:val="single" w:color="000000" w:sz="6" w:space="0"/>
              <w:right w:val="nil"/>
            </w:tcBorders>
            <w:shd w:val="clear" w:color="auto" w:fill="auto"/>
          </w:tcPr>
          <w:p w14:paraId="23B78E98">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6.2</w:t>
            </w:r>
          </w:p>
        </w:tc>
      </w:tr>
      <w:tr w14:paraId="5C1AD3A3">
        <w:trPr>
          <w:trHeight w:val="270" w:hRule="exact"/>
          <w:jc w:val="center"/>
        </w:trPr>
        <w:tc>
          <w:tcPr>
            <w:tcW w:w="1777" w:type="dxa"/>
            <w:tcBorders>
              <w:top w:val="single" w:color="000000" w:sz="6" w:space="0"/>
              <w:left w:val="nil"/>
              <w:bottom w:val="single" w:color="000000" w:sz="6" w:space="0"/>
              <w:right w:val="single" w:color="000000" w:sz="6" w:space="0"/>
            </w:tcBorders>
            <w:shd w:val="clear" w:color="auto" w:fill="auto"/>
          </w:tcPr>
          <w:p w14:paraId="2A98335B">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1975-1979</w:t>
            </w:r>
          </w:p>
        </w:tc>
        <w:tc>
          <w:tcPr>
            <w:tcW w:w="1135" w:type="dxa"/>
            <w:tcBorders>
              <w:top w:val="single" w:color="000000" w:sz="6" w:space="0"/>
              <w:left w:val="single" w:color="000000" w:sz="6" w:space="0"/>
              <w:bottom w:val="single" w:color="000000" w:sz="6" w:space="0"/>
              <w:right w:val="single" w:color="000000" w:sz="6" w:space="0"/>
            </w:tcBorders>
            <w:shd w:val="clear" w:color="auto" w:fill="auto"/>
          </w:tcPr>
          <w:p w14:paraId="5FC477F6">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4.7</w:t>
            </w:r>
          </w:p>
        </w:tc>
        <w:tc>
          <w:tcPr>
            <w:tcW w:w="1702" w:type="dxa"/>
            <w:tcBorders>
              <w:top w:val="single" w:color="000000" w:sz="6" w:space="0"/>
              <w:left w:val="single" w:color="000000" w:sz="6" w:space="0"/>
              <w:bottom w:val="single" w:color="000000" w:sz="6" w:space="0"/>
              <w:right w:val="single" w:color="000000" w:sz="6" w:space="0"/>
            </w:tcBorders>
            <w:shd w:val="clear" w:color="auto" w:fill="auto"/>
          </w:tcPr>
          <w:p w14:paraId="1891071B">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1.5</w:t>
            </w:r>
          </w:p>
        </w:tc>
        <w:tc>
          <w:tcPr>
            <w:tcW w:w="1275" w:type="dxa"/>
            <w:tcBorders>
              <w:top w:val="single" w:color="000000" w:sz="6" w:space="0"/>
              <w:left w:val="single" w:color="000000" w:sz="6" w:space="0"/>
              <w:bottom w:val="single" w:color="000000" w:sz="6" w:space="0"/>
              <w:right w:val="single" w:color="000000" w:sz="6" w:space="0"/>
            </w:tcBorders>
            <w:shd w:val="clear" w:color="auto" w:fill="auto"/>
          </w:tcPr>
          <w:p w14:paraId="4F33D884">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5.8</w:t>
            </w:r>
          </w:p>
        </w:tc>
        <w:tc>
          <w:tcPr>
            <w:tcW w:w="2763" w:type="dxa"/>
            <w:tcBorders>
              <w:top w:val="single" w:color="000000" w:sz="6" w:space="0"/>
              <w:left w:val="single" w:color="000000" w:sz="6" w:space="0"/>
              <w:bottom w:val="single" w:color="000000" w:sz="6" w:space="0"/>
              <w:right w:val="nil"/>
            </w:tcBorders>
            <w:shd w:val="clear" w:color="auto" w:fill="auto"/>
          </w:tcPr>
          <w:p w14:paraId="7E845A6A">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11.3</w:t>
            </w:r>
          </w:p>
        </w:tc>
      </w:tr>
      <w:tr w14:paraId="20EC85ED">
        <w:trPr>
          <w:trHeight w:val="272" w:hRule="exact"/>
          <w:jc w:val="center"/>
        </w:trPr>
        <w:tc>
          <w:tcPr>
            <w:tcW w:w="1777" w:type="dxa"/>
            <w:tcBorders>
              <w:top w:val="single" w:color="000000" w:sz="6" w:space="0"/>
              <w:left w:val="nil"/>
              <w:bottom w:val="single" w:color="000000" w:sz="6" w:space="0"/>
              <w:right w:val="single" w:color="000000" w:sz="6" w:space="0"/>
            </w:tcBorders>
            <w:shd w:val="clear" w:color="auto" w:fill="auto"/>
          </w:tcPr>
          <w:p w14:paraId="558C7FC8">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1980-1981</w:t>
            </w:r>
          </w:p>
        </w:tc>
        <w:tc>
          <w:tcPr>
            <w:tcW w:w="1135" w:type="dxa"/>
            <w:tcBorders>
              <w:top w:val="single" w:color="000000" w:sz="6" w:space="0"/>
              <w:left w:val="single" w:color="000000" w:sz="6" w:space="0"/>
              <w:bottom w:val="single" w:color="000000" w:sz="6" w:space="0"/>
              <w:right w:val="single" w:color="000000" w:sz="6" w:space="0"/>
            </w:tcBorders>
            <w:shd w:val="clear" w:color="auto" w:fill="auto"/>
          </w:tcPr>
          <w:p w14:paraId="3AC877C1">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2.5</w:t>
            </w:r>
          </w:p>
        </w:tc>
        <w:tc>
          <w:tcPr>
            <w:tcW w:w="1702" w:type="dxa"/>
            <w:tcBorders>
              <w:top w:val="single" w:color="000000" w:sz="6" w:space="0"/>
              <w:left w:val="single" w:color="000000" w:sz="6" w:space="0"/>
              <w:bottom w:val="single" w:color="000000" w:sz="6" w:space="0"/>
              <w:right w:val="single" w:color="000000" w:sz="6" w:space="0"/>
            </w:tcBorders>
            <w:shd w:val="clear" w:color="auto" w:fill="auto"/>
          </w:tcPr>
          <w:p w14:paraId="51EBC68B">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1.3</w:t>
            </w:r>
          </w:p>
        </w:tc>
        <w:tc>
          <w:tcPr>
            <w:tcW w:w="1275" w:type="dxa"/>
            <w:tcBorders>
              <w:top w:val="single" w:color="000000" w:sz="6" w:space="0"/>
              <w:left w:val="single" w:color="000000" w:sz="6" w:space="0"/>
              <w:bottom w:val="single" w:color="000000" w:sz="6" w:space="0"/>
              <w:right w:val="single" w:color="000000" w:sz="6" w:space="0"/>
            </w:tcBorders>
            <w:shd w:val="clear" w:color="auto" w:fill="auto"/>
          </w:tcPr>
          <w:p w14:paraId="5EB147F2">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7.1</w:t>
            </w:r>
          </w:p>
        </w:tc>
        <w:tc>
          <w:tcPr>
            <w:tcW w:w="2763" w:type="dxa"/>
            <w:tcBorders>
              <w:top w:val="single" w:color="000000" w:sz="6" w:space="0"/>
              <w:left w:val="single" w:color="000000" w:sz="6" w:space="0"/>
              <w:bottom w:val="single" w:color="000000" w:sz="6" w:space="0"/>
              <w:right w:val="nil"/>
            </w:tcBorders>
            <w:shd w:val="clear" w:color="auto" w:fill="auto"/>
          </w:tcPr>
          <w:p w14:paraId="0ED72ED9">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10.3</w:t>
            </w:r>
          </w:p>
        </w:tc>
      </w:tr>
      <w:tr w14:paraId="30A45F51">
        <w:trPr>
          <w:trHeight w:val="268" w:hRule="exact"/>
          <w:jc w:val="center"/>
        </w:trPr>
        <w:tc>
          <w:tcPr>
            <w:tcW w:w="1777" w:type="dxa"/>
            <w:tcBorders>
              <w:top w:val="single" w:color="000000" w:sz="6" w:space="0"/>
              <w:left w:val="nil"/>
              <w:bottom w:val="single" w:color="000000" w:sz="6" w:space="0"/>
              <w:right w:val="single" w:color="000000" w:sz="6" w:space="0"/>
            </w:tcBorders>
            <w:shd w:val="clear" w:color="auto" w:fill="auto"/>
          </w:tcPr>
          <w:p w14:paraId="7B22C5E1">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1982-1990</w:t>
            </w:r>
          </w:p>
        </w:tc>
        <w:tc>
          <w:tcPr>
            <w:tcW w:w="1135" w:type="dxa"/>
            <w:tcBorders>
              <w:top w:val="single" w:color="000000" w:sz="6" w:space="0"/>
              <w:left w:val="single" w:color="000000" w:sz="6" w:space="0"/>
              <w:bottom w:val="single" w:color="000000" w:sz="6" w:space="0"/>
              <w:right w:val="single" w:color="000000" w:sz="6" w:space="0"/>
            </w:tcBorders>
            <w:shd w:val="clear" w:color="auto" w:fill="auto"/>
          </w:tcPr>
          <w:p w14:paraId="6E51F3F9">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4.0</w:t>
            </w:r>
          </w:p>
        </w:tc>
        <w:tc>
          <w:tcPr>
            <w:tcW w:w="1702" w:type="dxa"/>
            <w:tcBorders>
              <w:top w:val="single" w:color="000000" w:sz="6" w:space="0"/>
              <w:left w:val="single" w:color="000000" w:sz="6" w:space="0"/>
              <w:bottom w:val="single" w:color="000000" w:sz="6" w:space="0"/>
              <w:right w:val="single" w:color="000000" w:sz="6" w:space="0"/>
            </w:tcBorders>
            <w:shd w:val="clear" w:color="auto" w:fill="auto"/>
          </w:tcPr>
          <w:p w14:paraId="2252DAA1">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1.8</w:t>
            </w:r>
          </w:p>
        </w:tc>
        <w:tc>
          <w:tcPr>
            <w:tcW w:w="1275" w:type="dxa"/>
            <w:tcBorders>
              <w:top w:val="single" w:color="000000" w:sz="6" w:space="0"/>
              <w:left w:val="single" w:color="000000" w:sz="6" w:space="0"/>
              <w:bottom w:val="single" w:color="000000" w:sz="6" w:space="0"/>
              <w:right w:val="single" w:color="000000" w:sz="6" w:space="0"/>
            </w:tcBorders>
            <w:shd w:val="clear" w:color="auto" w:fill="auto"/>
          </w:tcPr>
          <w:p w14:paraId="26AF6270">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5.3</w:t>
            </w:r>
          </w:p>
        </w:tc>
        <w:tc>
          <w:tcPr>
            <w:tcW w:w="2763" w:type="dxa"/>
            <w:tcBorders>
              <w:top w:val="single" w:color="000000" w:sz="6" w:space="0"/>
              <w:left w:val="single" w:color="000000" w:sz="6" w:space="0"/>
              <w:bottom w:val="single" w:color="000000" w:sz="6" w:space="0"/>
              <w:right w:val="nil"/>
            </w:tcBorders>
            <w:shd w:val="clear" w:color="auto" w:fill="auto"/>
          </w:tcPr>
          <w:p w14:paraId="5533F4AD">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5.4</w:t>
            </w:r>
          </w:p>
        </w:tc>
      </w:tr>
      <w:tr w14:paraId="5D69B2A8">
        <w:trPr>
          <w:trHeight w:val="272" w:hRule="exact"/>
          <w:jc w:val="center"/>
        </w:trPr>
        <w:tc>
          <w:tcPr>
            <w:tcW w:w="1777" w:type="dxa"/>
            <w:tcBorders>
              <w:top w:val="single" w:color="000000" w:sz="6" w:space="0"/>
              <w:left w:val="nil"/>
              <w:bottom w:val="single" w:color="000000" w:sz="6" w:space="0"/>
              <w:right w:val="single" w:color="000000" w:sz="6" w:space="0"/>
            </w:tcBorders>
            <w:shd w:val="clear" w:color="auto" w:fill="auto"/>
          </w:tcPr>
          <w:p w14:paraId="74F836AA">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1991-2000</w:t>
            </w:r>
          </w:p>
        </w:tc>
        <w:tc>
          <w:tcPr>
            <w:tcW w:w="1135" w:type="dxa"/>
            <w:tcBorders>
              <w:top w:val="single" w:color="000000" w:sz="6" w:space="0"/>
              <w:left w:val="single" w:color="000000" w:sz="6" w:space="0"/>
              <w:bottom w:val="single" w:color="000000" w:sz="6" w:space="0"/>
              <w:right w:val="single" w:color="000000" w:sz="6" w:space="0"/>
            </w:tcBorders>
            <w:shd w:val="clear" w:color="auto" w:fill="auto"/>
          </w:tcPr>
          <w:p w14:paraId="7FAAE15C">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3.7</w:t>
            </w:r>
          </w:p>
        </w:tc>
        <w:tc>
          <w:tcPr>
            <w:tcW w:w="1702" w:type="dxa"/>
            <w:tcBorders>
              <w:top w:val="single" w:color="000000" w:sz="6" w:space="0"/>
              <w:left w:val="single" w:color="000000" w:sz="6" w:space="0"/>
              <w:bottom w:val="single" w:color="000000" w:sz="6" w:space="0"/>
              <w:right w:val="single" w:color="000000" w:sz="6" w:space="0"/>
            </w:tcBorders>
            <w:shd w:val="clear" w:color="auto" w:fill="auto"/>
          </w:tcPr>
          <w:p w14:paraId="72E62430">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2.1</w:t>
            </w:r>
          </w:p>
        </w:tc>
        <w:tc>
          <w:tcPr>
            <w:tcW w:w="1275" w:type="dxa"/>
            <w:tcBorders>
              <w:top w:val="single" w:color="000000" w:sz="6" w:space="0"/>
              <w:left w:val="single" w:color="000000" w:sz="6" w:space="0"/>
              <w:bottom w:val="single" w:color="000000" w:sz="6" w:space="0"/>
              <w:right w:val="single" w:color="000000" w:sz="6" w:space="0"/>
            </w:tcBorders>
            <w:shd w:val="clear" w:color="auto" w:fill="auto"/>
          </w:tcPr>
          <w:p w14:paraId="7D0F76FA">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4.0</w:t>
            </w:r>
          </w:p>
        </w:tc>
        <w:tc>
          <w:tcPr>
            <w:tcW w:w="2763" w:type="dxa"/>
            <w:tcBorders>
              <w:top w:val="single" w:color="000000" w:sz="6" w:space="0"/>
              <w:left w:val="single" w:color="000000" w:sz="6" w:space="0"/>
              <w:bottom w:val="single" w:color="000000" w:sz="6" w:space="0"/>
              <w:right w:val="nil"/>
            </w:tcBorders>
            <w:shd w:val="clear" w:color="auto" w:fill="auto"/>
          </w:tcPr>
          <w:p w14:paraId="4CC9C02C">
            <w:pPr>
              <w:autoSpaceDE w:val="0"/>
              <w:autoSpaceDN w:val="0"/>
              <w:spacing w:before="2"/>
              <w:ind w:firstLine="356" w:firstLineChars="200"/>
              <w:jc w:val="center"/>
              <w:rPr>
                <w:rFonts w:ascii="宋体" w:hAnsi="宋体" w:eastAsia="宋体" w:cs="Arial Unicode MS"/>
                <w:spacing w:val="9"/>
                <w:sz w:val="15"/>
                <w:szCs w:val="15"/>
              </w:rPr>
            </w:pPr>
            <w:r>
              <w:rPr>
                <w:rFonts w:hint="eastAsia" w:ascii="宋体" w:hAnsi="宋体" w:eastAsia="宋体" w:cs="Arial Unicode MS"/>
                <w:spacing w:val="9"/>
                <w:sz w:val="15"/>
                <w:szCs w:val="15"/>
                <w:lang w:bidi="ar"/>
              </w:rPr>
              <w:t>3.5</w:t>
            </w:r>
          </w:p>
        </w:tc>
      </w:tr>
    </w:tbl>
    <w:p w14:paraId="56207CB6">
      <w:pPr>
        <w:autoSpaceDE w:val="0"/>
        <w:autoSpaceDN w:val="0"/>
        <w:spacing w:before="2"/>
        <w:ind w:firstLine="416" w:firstLineChars="200"/>
        <w:rPr>
          <w:rFonts w:ascii="宋体" w:hAnsi="宋体" w:eastAsia="宋体" w:cs="Arial Unicode MS"/>
          <w:spacing w:val="9"/>
          <w:sz w:val="18"/>
          <w:szCs w:val="18"/>
        </w:rPr>
      </w:pPr>
      <w:r>
        <w:rPr>
          <w:rFonts w:hint="eastAsia" w:ascii="宋体" w:hAnsi="宋体" w:eastAsia="宋体" w:cs="Arial Unicode MS"/>
          <w:spacing w:val="9"/>
          <w:sz w:val="18"/>
          <w:szCs w:val="18"/>
          <w:lang w:bidi="ar"/>
        </w:rPr>
        <w:t>注：①年均增长率以1996年为基准。②指非农产业的单位小时劳动的产出量增长率。③指该周期最后一年的失业率。④指该周期消费价格指数增长的百分比。</w:t>
      </w:r>
    </w:p>
    <w:p w14:paraId="03945E94">
      <w:pPr>
        <w:autoSpaceDE w:val="0"/>
        <w:autoSpaceDN w:val="0"/>
        <w:snapToGrid w:val="0"/>
        <w:ind w:firstLine="416" w:firstLineChars="200"/>
        <w:rPr>
          <w:rFonts w:ascii="Times New Roman" w:hAnsi="Times New Roman" w:eastAsia="宋体" w:cs="Times New Roman"/>
          <w:spacing w:val="9"/>
          <w:sz w:val="18"/>
          <w:szCs w:val="18"/>
        </w:rPr>
      </w:pPr>
      <w:r>
        <w:rPr>
          <w:rFonts w:hint="eastAsia" w:ascii="宋体" w:hAnsi="宋体" w:eastAsia="宋体" w:cs="Arial Unicode MS"/>
          <w:spacing w:val="9"/>
          <w:sz w:val="18"/>
          <w:szCs w:val="18"/>
          <w:lang w:bidi="ar"/>
        </w:rPr>
        <w:t>资料来源：</w:t>
      </w:r>
      <w:r>
        <w:rPr>
          <w:rFonts w:ascii="Times New Roman" w:hAnsi="Times New Roman" w:eastAsia="宋体" w:cs="Times New Roman"/>
          <w:spacing w:val="9"/>
          <w:sz w:val="18"/>
          <w:szCs w:val="18"/>
          <w:lang w:bidi="ar"/>
        </w:rPr>
        <w:t>U. S. Bureau of Economic Analysis</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National Incomeand Product Accounts</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August 29 and November 30</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2001</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U.S. Bureau of Labor Statistics</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Major Sector Productivity and Costs Index</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Series IDPRS85006093</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September 27</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2001</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U.S. Bureau of Labor Statistics</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Consumer Price Index</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Series IDCWUR0000SA0</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December 15</w:t>
      </w:r>
      <w:r>
        <w:rPr>
          <w:rFonts w:hint="eastAsia" w:ascii="Times New Roman" w:hAnsi="Times New Roman" w:eastAsia="宋体" w:cs="Times New Roman"/>
          <w:spacing w:val="9"/>
          <w:sz w:val="18"/>
          <w:szCs w:val="18"/>
          <w:lang w:bidi="ar"/>
        </w:rPr>
        <w:t>，</w:t>
      </w:r>
      <w:r>
        <w:rPr>
          <w:rFonts w:ascii="Times New Roman" w:hAnsi="Times New Roman" w:eastAsia="宋体" w:cs="Times New Roman"/>
          <w:spacing w:val="9"/>
          <w:sz w:val="18"/>
          <w:szCs w:val="18"/>
          <w:lang w:bidi="ar"/>
        </w:rPr>
        <w:t>2001.</w:t>
      </w:r>
    </w:p>
    <w:p w14:paraId="0F3CF60F">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1991-2000年年均真实GDP增长率仅高于商业周期1980-1981年，位居倒数第二。姑且不说克林顿时代采取的相对国家干预，信息技术革命，通过对工会力量的打击和限制压低工资、降低边际税率从而对资本投资的刺激等举措，以及由消费信贷引起的超前消费的拉动等，数据显示，美国经济仍然远没有达到新自由主义的神话。美国工业生产能力的利用率已从上个周期末2000年的历史最低水平8017%下降到2002年12月的7316%。美国现在已经感受到新自由主义的恶果，“数百万的工人已经丢掉了工作，另一些人也失去了退休保障。地方政府已不能从以前的水平维持基本的公共服务。……而是要以满足人类需要的生产制度来取代唯利是图的生产制度。”（21）</w:t>
      </w:r>
    </w:p>
    <w:p w14:paraId="76499A71">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20世纪80年代末90年代初，东欧和前苏联也采取了新自由主义的激进式改革方案，但这些国家都没有摆脱经济衰退、社会两极分化、社会经济动荡的命运；接受新自由主义改革的日本从此一蹶不振；被国际货币基金组织(IMF)鼓吹为新自由主义改革“奇迹”的韩国实际上是个骗局；（22）东南亚各国在1997年的金融危机中深刻接受了新自由主义的教训，菲律宾在东南亚危机中受打击较小，是因为菲律宾实行新自由主义政策以来一直处于危机之中。（23）“新自由主义的经济后果到处都一样：社会经济不平等程度的大幅度提高，对世界最贫穷国家和人民的剥削的明显加剧，灾难性的全球环境，动荡的全球经济和对富人而言前所未有的发财机会。面对这些事实，新自由主义秩序的捍卫者却仍宣称，只要新自由主义政策不受干涉，最终大多数人都会享有幸福生活。总之，新自由主义的支持者不能也没有给予他们所建造的世界以经验的证明。相反，他们要求人们虔诚相信不受管制的市场永无谬误。”（24）</w:t>
      </w:r>
    </w:p>
    <w:p w14:paraId="50742D9E">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新自由主义经济改革范式的实践悖论，让人们不得不反思和认识新自由主义的实质。发达国家今天要求发展中国家开放门户，实行贸易和投资自由化，实行政府非调控化，解除金融管制，实行市场化和私有化，正是为了发达国家资本输出和获取高额利润的需要。今天发展中国家拥有的资本自然不能与发达国家相比，但考察美英经济的历史，它们无不是利用了关税保护和国家资助自主产业的发展政策。而今天新自由主义却要求“踢翻它们借以爬到经济金字塔顶峰的梯子”（25），要求别国自由化。“然而新自由主义已经成功地作为资本的阶级工具。”（26）实际上“这些政党及其所实施的政策代表着极富有的投资者和不足千家的大公司的直接利益。”（27）“但是，战胜新自由主义的热情和做出有别于它的选择，是一项艰巨的任务。为完成这项任务，人们必须从另外的角度去审视它：对比它公开宣称的目的和它实际所做的一切；识别它的种种奇谈怪论和矛盾，以便面对它，在它最脆弱的地方击败它；确认它行不通的理由，设法预防它的实际潜力。”（28）</w:t>
      </w:r>
    </w:p>
    <w:p w14:paraId="478C6FD5">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三、简短评论</w:t>
      </w:r>
    </w:p>
    <w:p w14:paraId="34786A29">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第一，从人类社会经济思想史的演进和世界经济发展的本质趋势察析，相对于马克思主义经济学、西方激进经济学和新老凯恩斯主义经济学来说，新自由主义经济思潮总体上是保守和落后的，尽管它也有某些合理思想颗粒。因此，包括萨缪尔逊在内的西方众多学者，把新自由主义经济学称之为“右翼经济学”或新保守主义经济学，实属准确地描述了其思想特征。信奉新自由主义的俄罗斯右翼力量联盟党，英国、日本等国家的保守党，也都是公开自称在经济、政治和文化上处于保守地位的。</w:t>
      </w:r>
    </w:p>
    <w:p w14:paraId="78675D94">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第二，在经济全球化和冷战结束的条件下，20世纪80、90年代的西方新保守主义经济学(新自由主义经济学)取代凯恩斯主义，成为当代资本主义的主流经济意识形态，取得了思想“霸权”的强势地位。但是，西方左翼和中间派学者(萨缪尔逊自称属于中间派)对新保守主义的批判也一直在进行着，特别是近几年来，形成了一次自苏东社会主义失败后对新右派(新保守主义、新自由主义)意识形态的批判浪潮。这是具有重大理论意义和进步性的，也是当今国际经济学界的前沿创新。</w:t>
      </w:r>
    </w:p>
    <w:p w14:paraId="3468856C">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第三，更可喜的是，随着西方国家的人民在西雅图、布拉格、华盛顿、达沃斯等地不断举行反对新保守主义主导下的全球化为主题的大规模抗议示威事件的发生，思想的、学术的和理论的批判开始转变为实际行动。近年来，委内瑞拉、巴西和阿根廷等南美国家，在推行了10多年新保守主义经济政策碰壁之后，也改行中左政策，使新保守主义经济理论失去了试验地，缩小了影响。定期在古巴举行的“全球化论坛”以及世界社会论坛等，日渐成为全世界学者和各界人士批判新保守主义及其经济学的重镇，并将逐步扭转思想和体制的旧局面。</w:t>
      </w:r>
    </w:p>
    <w:p w14:paraId="0EF7D5CB">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第四，对发达国家和发展中国家实行双重标准的新保守主义经济思潮，其目标是建立以发达国家为主导的全球经济新秩序和资本主义的全球扩张。其结果，一方面拓展了资本主义的生存和发展空间，缓和了资本主义的基本矛盾；另一方面又造成了世界资本主义体系新的矛盾和危机，特别是加剧了发达国家内部以及发达国家和发展中国家之间的贫富两极分化，从而还引发了国家层面的反对新保守主义经济思潮的斗争。这是反对新保守主义的重要国际态势。</w:t>
      </w:r>
    </w:p>
    <w:p w14:paraId="010353BE">
      <w:pPr>
        <w:autoSpaceDE w:val="0"/>
        <w:autoSpaceDN w:val="0"/>
        <w:spacing w:before="2" w:line="300" w:lineRule="auto"/>
        <w:ind w:firstLine="440" w:firstLineChars="200"/>
        <w:rPr>
          <w:rFonts w:ascii="宋体" w:hAnsi="宋体" w:eastAsia="宋体" w:cs="Times New Roman"/>
        </w:rPr>
      </w:pPr>
      <w:r>
        <w:rPr>
          <w:rFonts w:hint="eastAsia" w:ascii="宋体" w:hAnsi="宋体" w:eastAsia="宋体" w:cs="Times New Roman"/>
          <w:lang w:bidi="ar"/>
        </w:rPr>
        <w:t>第五，安德森说得好，西方左翼要从新保守主义霸权统治下逆风起飞，必须彻底检讨自身理论的成败得失，根据时代的发展变化建立自身的理论基础，重新制定新世纪的理论战略。当今世界一切马克思主义经济学家、西方激进经济学家必须联合起来，整合成强有力的学术力量，将学术批判与学术创新并重，继续全面超越新保守主义经济思想，为人类的健康发展与福利而贡献超前的智慧和终极关怀。</w:t>
      </w:r>
    </w:p>
    <w:p w14:paraId="22235E27">
      <w:pPr>
        <w:autoSpaceDE w:val="0"/>
        <w:autoSpaceDN w:val="0"/>
        <w:spacing w:before="2" w:line="300" w:lineRule="auto"/>
        <w:ind w:firstLine="476" w:firstLineChars="200"/>
        <w:rPr>
          <w:rFonts w:ascii="宋体" w:hAnsi="宋体" w:eastAsia="宋体" w:cs="Arial Unicode MS"/>
          <w:spacing w:val="9"/>
          <w:szCs w:val="21"/>
        </w:rPr>
      </w:pPr>
    </w:p>
    <w:p w14:paraId="72AB9468">
      <w:pPr>
        <w:autoSpaceDE w:val="0"/>
        <w:autoSpaceDN w:val="0"/>
        <w:spacing w:before="2"/>
        <w:ind w:firstLine="476" w:firstLineChars="200"/>
        <w:rPr>
          <w:rFonts w:ascii="宋体" w:hAnsi="宋体" w:eastAsia="宋体" w:cs="Arial Unicode MS"/>
          <w:b/>
          <w:spacing w:val="9"/>
          <w:szCs w:val="21"/>
        </w:rPr>
      </w:pPr>
      <w:r>
        <w:rPr>
          <w:rFonts w:hint="eastAsia" w:ascii="宋体" w:hAnsi="宋体" w:eastAsia="宋体" w:cs="Arial Unicode MS"/>
          <w:b/>
          <w:spacing w:val="9"/>
          <w:szCs w:val="21"/>
          <w:lang w:bidi="ar"/>
        </w:rPr>
        <w:t>参考文献</w:t>
      </w:r>
    </w:p>
    <w:p w14:paraId="03F37B2E">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（1）（7）（28）赫尔曼·桑切斯.新自由主义的进攻（A）.塞格雷拉主编.全球化与世界体系（C）.社会科学文献出版社，2003.125，127，124.</w:t>
      </w:r>
    </w:p>
    <w:p w14:paraId="64507005">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（2）亚当·斯密.国民财富的性质和原因的研究：下卷（M）.商务印书馆，1974.27.</w:t>
      </w:r>
    </w:p>
    <w:p w14:paraId="4102B046">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（3）高鸿业.西方经济学（M）.中国经济出版社，1996.669.</w:t>
      </w:r>
    </w:p>
    <w:p w14:paraId="36B6C70B">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（4）（5）安东尼·德·雅赛.重申自由主义（M）.中国社会科学出版社，1997.75，95.</w:t>
      </w:r>
    </w:p>
    <w:p w14:paraId="530DCCA9">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（6）哈耶克.通向奴役之路（M）.中国社会科学出版社，1997.101.</w:t>
      </w:r>
    </w:p>
    <w:p w14:paraId="0157F449">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（8）卫华.新自由主义及其批判（J）国外理论动态，1999，(12)：4.</w:t>
      </w:r>
    </w:p>
    <w:p w14:paraId="4E7D69C2">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（9）诺姆·乔姆斯基.新自由主义和全球秩序（M）.江苏人民出版社，2000.1.转引自程恩富，曹雷.当代外国学者对全球新保守主义的批判（A）.中国海派经济论坛第17次研讨会论文集（C）.</w:t>
      </w:r>
    </w:p>
    <w:p w14:paraId="66CE0D5A">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（10）李珍.“华盛顿共识”与发展中国家“新自由主义”改革（J）.世界经济与政治，2002，(5)：71.</w:t>
      </w:r>
    </w:p>
    <w:p w14:paraId="641754CB">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（11）格雷·帕拉斯特.一个冰凉的世界——国际货币基金组织带你去地狱的四步骤（J）.国外理论动态，2001，(12).</w:t>
      </w:r>
    </w:p>
    <w:p w14:paraId="5EAA0F9E">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（12）（15）（18）转引自詹武.新自由主义是怎样给拉美人民带来灾难的（J）.当代思潮，2003，(2)：35，37，36.</w:t>
      </w:r>
    </w:p>
    <w:p w14:paraId="100DCC5D">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（13）陈才兴.新自由主义在拉美的发展变化及其前景（J）.经济学动态，1999，(2)：56.</w:t>
      </w:r>
    </w:p>
    <w:p w14:paraId="09E31656">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（14）牛晋芳.阿根廷：新自由主义的结构调整与社会脱节(下)（J）.国外理论动态，2001，(11)：19.</w:t>
      </w:r>
    </w:p>
    <w:p w14:paraId="30362740">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（16）转引自李珍.新自由主义与拉美发展模式（J）.拉丁美洲研究，2003，(3)：39.</w:t>
      </w:r>
    </w:p>
    <w:p w14:paraId="6FBF237A">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（17）赵汇.新自由主义政策的苦果（J）.高校理论战线，2002，(6)：52.</w:t>
      </w:r>
    </w:p>
    <w:p w14:paraId="71A0145C">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（19）（20）转引自David Kotz. Neoliberalism and the U.S. Economics Expansion of the 90’s，Monthly Review，2003，(4)：p.19.</w:t>
      </w:r>
    </w:p>
    <w:p w14:paraId="68E9FA8F">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（21）David Kotz. Neoliberalism and the U.S. Economics Expansion of the 90’s，Monthly Review，2003，(4)：p.16，32.</w:t>
      </w:r>
    </w:p>
    <w:p w14:paraId="4A825962">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（22）吉姆·克罗蒂，康库克·李.韩国的新自由主义结构调整——奇迹还是灾难（J）.开放导报，2002，(1).</w:t>
      </w:r>
    </w:p>
    <w:p w14:paraId="31B4C625">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（23）刘金婧.新自由主义经济模式在菲律宾的失败（J）.国外理论动态，2000，(8)：8.</w:t>
      </w:r>
    </w:p>
    <w:p w14:paraId="15B898B7">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（24）（27）汤韫琛.诺姆·乔姆斯基和反对新自由主义的斗争（J）.国外理论动态，1999，(12)：5，5.</w:t>
      </w:r>
    </w:p>
    <w:p w14:paraId="6AF8E02D">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（25）Ha-Joon Chang. Kicking Away the Ladder： Neolibsrals Rewrite History，Monthly Review，2003，(1)：p.9.</w:t>
      </w:r>
    </w:p>
    <w:p w14:paraId="4B72C169">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（26）WilliamK1Tabb.AfterNeoliberalism?MonthlyReview，2003，(6)：p.25.</w:t>
      </w:r>
      <w:r>
        <w:rPr>
          <w:rFonts w:hint="eastAsia" w:ascii="宋体" w:hAnsi="宋体" w:eastAsia="宋体" w:cs="Times New Roman"/>
          <w:sz w:val="18"/>
          <w:szCs w:val="18"/>
          <w:lang w:bidi="ar"/>
        </w:rPr>
        <w:tab/>
      </w:r>
    </w:p>
    <w:p w14:paraId="467A3592">
      <w:pPr>
        <w:ind w:firstLine="380" w:firstLineChars="200"/>
        <w:rPr>
          <w:rFonts w:ascii="宋体" w:hAnsi="宋体" w:eastAsia="宋体" w:cs="Times New Roman"/>
          <w:sz w:val="18"/>
          <w:szCs w:val="18"/>
        </w:rPr>
      </w:pPr>
    </w:p>
    <w:p w14:paraId="2782D4DA">
      <w:pPr>
        <w:autoSpaceDE w:val="0"/>
        <w:autoSpaceDN w:val="0"/>
        <w:spacing w:before="2" w:line="300" w:lineRule="auto"/>
        <w:ind w:firstLine="476" w:firstLineChars="200"/>
        <w:rPr>
          <w:rFonts w:ascii="宋体" w:hAnsi="宋体" w:eastAsia="宋体" w:cs="Arial Unicode MS"/>
          <w:spacing w:val="9"/>
          <w:szCs w:val="21"/>
        </w:rPr>
      </w:pPr>
      <w:r>
        <w:rPr>
          <w:rFonts w:hint="eastAsia" w:ascii="宋体" w:hAnsi="宋体" w:eastAsia="宋体" w:cs="Arial Unicode MS"/>
          <w:spacing w:val="9"/>
          <w:szCs w:val="21"/>
          <w:lang w:bidi="ar"/>
        </w:rPr>
        <w:t>（原载《社会科学研究》2005年第2期，第二作者为王中保）</w:t>
      </w:r>
    </w:p>
    <w:p w14:paraId="6F2885F3">
      <w:pPr>
        <w:bidi w:val="0"/>
      </w:pPr>
      <w:r>
        <w:br w:type="page"/>
      </w:r>
    </w:p>
    <w:p w14:paraId="3B16E5F8">
      <w:pPr>
        <w:pStyle w:val="3"/>
        <w:widowControl/>
        <w:spacing w:before="0" w:after="0" w:line="360" w:lineRule="auto"/>
        <w:jc w:val="center"/>
        <w:rPr>
          <w:rFonts w:hint="default" w:ascii="黑体" w:hAnsi="宋体" w:eastAsia="黑体"/>
          <w:b w:val="0"/>
          <w:bCs w:val="0"/>
          <w:spacing w:val="-2"/>
          <w:lang w:bidi="ar"/>
        </w:rPr>
      </w:pPr>
      <w:bookmarkStart w:id="492" w:name="_Toc111148946"/>
      <w:bookmarkStart w:id="493" w:name="_Toc16597"/>
      <w:bookmarkStart w:id="494" w:name="_Toc791822385"/>
      <w:bookmarkStart w:id="495" w:name="_Toc1647442780"/>
      <w:bookmarkStart w:id="496" w:name="_Toc257922113"/>
      <w:r>
        <w:rPr>
          <w:rFonts w:ascii="黑体" w:hAnsi="宋体" w:eastAsia="黑体"/>
          <w:b w:val="0"/>
          <w:bCs w:val="0"/>
          <w:spacing w:val="-2"/>
          <w:lang w:bidi="ar"/>
        </w:rPr>
        <w:t>8国企改革绝非大卖大送</w:t>
      </w:r>
      <w:bookmarkEnd w:id="492"/>
      <w:bookmarkEnd w:id="493"/>
      <w:bookmarkEnd w:id="494"/>
      <w:bookmarkEnd w:id="495"/>
    </w:p>
    <w:p w14:paraId="0F367594">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一味宣传民营化，认为卖国有企业就是产权改革的大方向，这是片面的、形而上学的观点。</w:t>
      </w:r>
    </w:p>
    <w:p w14:paraId="0E346F70">
      <w:pPr>
        <w:spacing w:line="400" w:lineRule="exact"/>
        <w:ind w:firstLine="420"/>
        <w:jc w:val="left"/>
        <w:rPr>
          <w:rFonts w:ascii="宋体" w:hAnsi="宋体" w:eastAsia="宋体" w:cs="宋体"/>
          <w:szCs w:val="21"/>
        </w:rPr>
      </w:pPr>
      <w:r>
        <w:rPr>
          <w:rFonts w:hint="eastAsia" w:ascii="宋体" w:hAnsi="宋体" w:eastAsia="宋体" w:cs="宋体"/>
          <w:color w:val="000000"/>
          <w:kern w:val="0"/>
          <w:szCs w:val="21"/>
          <w:lang w:bidi="ar"/>
        </w:rPr>
        <w:t>中国经济改革的尖端问题——产权改革，是中国当前社会在经济、政治、文化等方面不协调的总根源之一。</w:t>
      </w:r>
    </w:p>
    <w:p w14:paraId="31BD54D5">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在郎咸平教授提出这个问题之前，学术界已经进行了大量讨论，他讲的问题实际上是“公开的秘密”郎教授讲了三个案例，其实类似的案例到处都是，只是他的案例引发了争论，于是大家开始探讨为什么会普遍出现这些问题，我们的改革应该是向社会主义市场经济方向发展，还是向资本主义新自由主义市场经济方向发展？后来，讨论变成了对立的两种意见，在利益问题上，中间派还是比较少的。</w:t>
      </w:r>
    </w:p>
    <w:p w14:paraId="62787944">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应当看到，在支持郎咸平和反对新自由主义式大卖大送公共财产的学者中，不仅有新马克思主义经济学家，而且还有非马克思主义经济学家•例如，清华大学历史学教授秦辉认为，对盈利的大型国企实行靓女先嫁的MBO是不对的，没有一个国家搞私有化像中国这样，把全体人民的资产主要送给现在一些在位的企业负责人。</w:t>
      </w:r>
    </w:p>
    <w:p w14:paraId="6A362D43">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国有资产是辛辛苦苦积累起来的，千百万干部、知识分子、工人经历了过去长期的低工资，农民做出了极大的牺牲，目标都是为了发展全民所有制经济，使国家的整体实力能够快速上升•即便现在要处理国有资产，也涉及到一个公正的问题，而恰恰在这一点上，很多地方都没有做好•有一阵子甚至突然刮风：国有企业赶快卖、赶快送，彻底卖、彻底送。有的地区搞国企改制，一家企业原本有七、八千万的资产，结果评估下来只有一两千万，然后就卖了，这就是社会上通常说的“空手套白狼”，这样的改制极不合理，一是评估价格实在太低，二是企业负责人等于没花钱就得到了企业的产权。</w:t>
      </w:r>
    </w:p>
    <w:p w14:paraId="0BEBB68A">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中国政法大学的杨帆教授也指出，不能把管理问题简单地归咎于所有制问题，纳入私有化万能的轨道，对经营不善的经理不但不惩处，还要把股份送给他，这是极不正常的.日前有报道说，吉林准备对搞亏国企的负责人实行撤职，其实早该实行了，但报纸却把它当成新闻报道。</w:t>
      </w:r>
    </w:p>
    <w:p w14:paraId="1EA73BFD">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对于国企改制的大卖大送，网民的反映如何呢？截止去年9月20日21:47时，新浪网调查的90580人，认为郎咸平分析精辟、一针见血的占90.66%，认为是否有理尚待检验的占6.56%，认为郎咸平毫无依据、纯属猜测的占2.78%，截止同一时间，搜狐网财经频道“如何看待郎咸平关于国有资产流失”的调查，支持郎咸平的占85.77%，认为郎咸平一针见血的分析可能会招致报复的占9.55%，认为国资流失与我无关的占4.67%，可见，九成的网民支持郎咸平，社会对“大卖大送”痛恨之深可想而知，在这个问题上，以中青年为主的网民的态度，也在某种程度上代表了人民群众的态度，履行“三个代表”，建设和谐社会，我们不能不考虑这些意见。</w:t>
      </w:r>
    </w:p>
    <w:p w14:paraId="5AAC016A">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胡鞍钢也曾撰文指出，1995年前的改制对工人来说基本还是“双赢”，1995年以后，尤其是1997年后的改制，工人的利益受到了损害，因此需要纠正这个问题。</w:t>
      </w:r>
    </w:p>
    <w:p w14:paraId="7CDC9CE7">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广大人民和新马克思主义经济学家一致认为，应当继续推行实质性改革，但另一派主张民营化即私有化，国资监管部门的不少人也基本倾向于后者，所以，现在争论依旧在持续.但我认为，按照现实和马克思主义的基本原理，私有化程度越高，社会就越不和谐。</w:t>
      </w:r>
    </w:p>
    <w:p w14:paraId="16592114">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搞好国有企业的关键是，要深刻认识社会主义市场经济是公有制占主体的市场经济。公有制可以比私有制更好地与市场经济实行结合，现在的问题是操作失误，又用失误来否定“公有制高绩效论七产权改革和企业管理是有联系的两个方面，并不是产权改革后企业就搞好了。企业管理和产权问题都是重要的，关键是要施行党政问责制，特别是对国有资产的管理部门实行问责制，采用引咎辞职的制度。中央要像抓“非典”那样抓国企改革，这项工作肯定可以搞好。</w:t>
      </w:r>
    </w:p>
    <w:p w14:paraId="3FC7FFD3">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改革以来，我们没有采取这样的政策，而釆取的某些政策则有严重的问题.比如制定政策的部门认为“国资控股公司的主要负责人的基本年薪是8万、10万、12万”，我当时就指出，如果把企业搞亏损，还是这个标准吗？把国企搞亏损了，给2万维持基本生活就已经很好了。北京有位经济学家说，过去是好人掌权没搞好，现在有的部门是笨蛋掌权，接着选了一个坏蛋经营国有企业，这样怎么可能搞好国有企业呢？所以，要立即实行市场化招聘国企主要代理人和经营者，并尽快推广个人财产风险抵押制，政资分离，企业内部要严格推行行政一元化的法人治理结构。</w:t>
      </w:r>
    </w:p>
    <w:p w14:paraId="72B4356F">
      <w:pPr>
        <w:spacing w:line="400" w:lineRule="exact"/>
        <w:ind w:firstLine="440" w:firstLineChars="200"/>
        <w:jc w:val="left"/>
        <w:rPr>
          <w:rFonts w:ascii="宋体" w:hAnsi="宋体" w:eastAsia="宋体" w:cs="宋体"/>
          <w:color w:val="000000"/>
          <w:kern w:val="0"/>
          <w:szCs w:val="21"/>
          <w:lang w:bidi="ar"/>
        </w:rPr>
      </w:pPr>
      <w:r>
        <w:rPr>
          <w:rFonts w:hint="eastAsia" w:ascii="宋体" w:hAnsi="宋体" w:eastAsia="宋体" w:cs="宋体"/>
          <w:color w:val="000000"/>
          <w:kern w:val="0"/>
          <w:szCs w:val="21"/>
          <w:lang w:bidi="ar"/>
        </w:rPr>
        <w:t>现在有些人有意把国有企业搞亏损，然后国企就可以顺利地成为个人的企业。去年5月我在中共中央政治局讲课时就谈到，从存在决定意识、经济基础决定上层建筑的角度分析，不少地区大卖公有企业，再过几年，私有制企业所占比重将过半，中国将进入半资本主义半社会主义社会。有人认为，可能再过几年，我们会走上原苏联东欧已经实现的、以私有制为主体的当代资本主义社会这一条道路，建设具有中国特色、全面小康的社会主义社会将成为空话。</w:t>
      </w:r>
    </w:p>
    <w:p w14:paraId="61603BB0">
      <w:pPr>
        <w:spacing w:line="400" w:lineRule="exact"/>
        <w:ind w:firstLine="440" w:firstLineChars="200"/>
        <w:jc w:val="left"/>
        <w:rPr>
          <w:rFonts w:ascii="宋体" w:hAnsi="宋体" w:eastAsia="宋体" w:cs="宋体"/>
          <w:color w:val="000000"/>
          <w:kern w:val="0"/>
          <w:szCs w:val="21"/>
          <w:lang w:bidi="ar"/>
        </w:rPr>
      </w:pPr>
      <w:r>
        <w:rPr>
          <w:rFonts w:hint="eastAsia" w:ascii="宋体" w:hAnsi="宋体" w:eastAsia="宋体" w:cs="宋体"/>
          <w:color w:val="000000"/>
          <w:kern w:val="0"/>
          <w:szCs w:val="21"/>
          <w:lang w:bidi="ar"/>
        </w:rPr>
        <w:t>（原载《上海国资》2</w:t>
      </w:r>
      <w:r>
        <w:rPr>
          <w:rFonts w:ascii="宋体" w:hAnsi="宋体" w:eastAsia="宋体" w:cs="宋体"/>
          <w:color w:val="000000"/>
          <w:kern w:val="0"/>
          <w:szCs w:val="21"/>
          <w:lang w:bidi="ar"/>
        </w:rPr>
        <w:t>005</w:t>
      </w:r>
      <w:r>
        <w:rPr>
          <w:rFonts w:hint="eastAsia" w:ascii="宋体" w:hAnsi="宋体" w:eastAsia="宋体" w:cs="宋体"/>
          <w:color w:val="000000"/>
          <w:kern w:val="0"/>
          <w:szCs w:val="21"/>
          <w:lang w:bidi="ar"/>
        </w:rPr>
        <w:t>年第</w:t>
      </w:r>
      <w:r>
        <w:rPr>
          <w:rFonts w:ascii="宋体" w:hAnsi="宋体" w:eastAsia="宋体" w:cs="宋体"/>
          <w:color w:val="000000"/>
          <w:kern w:val="0"/>
          <w:szCs w:val="21"/>
          <w:lang w:bidi="ar"/>
        </w:rPr>
        <w:t>5</w:t>
      </w:r>
      <w:r>
        <w:rPr>
          <w:rFonts w:hint="eastAsia" w:ascii="宋体" w:hAnsi="宋体" w:eastAsia="宋体" w:cs="宋体"/>
          <w:color w:val="000000"/>
          <w:kern w:val="0"/>
          <w:szCs w:val="21"/>
          <w:lang w:bidi="ar"/>
        </w:rPr>
        <w:t>期）</w:t>
      </w:r>
      <w:r>
        <w:rPr>
          <w:rFonts w:ascii="宋体" w:hAnsi="宋体" w:eastAsia="宋体" w:cs="宋体"/>
          <w:color w:val="000000"/>
          <w:kern w:val="0"/>
          <w:szCs w:val="21"/>
          <w:lang w:bidi="ar"/>
        </w:rPr>
        <w:br w:type="page"/>
      </w:r>
    </w:p>
    <w:p w14:paraId="57759EE3">
      <w:pPr>
        <w:spacing w:line="400" w:lineRule="exact"/>
        <w:ind w:firstLine="440" w:firstLineChars="200"/>
        <w:jc w:val="left"/>
        <w:rPr>
          <w:rFonts w:ascii="宋体" w:hAnsi="宋体" w:eastAsia="宋体" w:cs="宋体"/>
          <w:szCs w:val="21"/>
        </w:rPr>
      </w:pPr>
    </w:p>
    <w:p w14:paraId="77EE364E">
      <w:pPr>
        <w:spacing w:line="400" w:lineRule="exact"/>
        <w:jc w:val="left"/>
        <w:rPr>
          <w:szCs w:val="21"/>
          <w:lang w:eastAsia="zh-TW"/>
        </w:rPr>
      </w:pPr>
    </w:p>
    <w:p w14:paraId="62D6A283">
      <w:pPr>
        <w:widowControl/>
        <w:jc w:val="left"/>
        <w:rPr>
          <w:rFonts w:ascii="等线" w:hAnsi="等线" w:eastAsia="等线" w:cs="Times New Roman"/>
          <w:kern w:val="0"/>
          <w:sz w:val="20"/>
          <w:szCs w:val="20"/>
        </w:rPr>
      </w:pPr>
    </w:p>
    <w:p w14:paraId="1D5DD6B0">
      <w:pPr>
        <w:spacing w:before="147" w:beforeLines="50" w:after="147" w:afterLines="50" w:line="300" w:lineRule="auto"/>
        <w:ind w:firstLine="660" w:firstLineChars="200"/>
        <w:jc w:val="center"/>
        <w:outlineLvl w:val="1"/>
        <w:rPr>
          <w:rFonts w:ascii="黑体" w:hAnsi="宋体" w:eastAsia="黑体" w:cs="Times New Roman"/>
          <w:sz w:val="32"/>
        </w:rPr>
      </w:pPr>
      <w:bookmarkStart w:id="497" w:name="_Toc22190"/>
      <w:bookmarkStart w:id="498" w:name="_Toc111148947"/>
      <w:bookmarkStart w:id="499" w:name="_Toc202664236"/>
      <w:bookmarkStart w:id="500" w:name="_Toc1064142689"/>
      <w:r>
        <w:rPr>
          <w:rFonts w:hint="eastAsia" w:ascii="黑体" w:hAnsi="宋体" w:eastAsia="黑体" w:cs="Times New Roman"/>
          <w:sz w:val="32"/>
          <w:lang w:bidi="ar"/>
        </w:rPr>
        <w:t>9市场经济中若干经济心理与行为探究</w:t>
      </w:r>
      <w:bookmarkEnd w:id="496"/>
      <w:bookmarkEnd w:id="497"/>
      <w:bookmarkEnd w:id="498"/>
      <w:bookmarkEnd w:id="499"/>
      <w:bookmarkEnd w:id="500"/>
    </w:p>
    <w:p w14:paraId="2A6B3BD2">
      <w:pPr>
        <w:spacing w:before="147" w:beforeLines="50" w:line="300" w:lineRule="auto"/>
        <w:ind w:firstLine="440" w:firstLineChars="200"/>
        <w:rPr>
          <w:rFonts w:ascii="宋体" w:hAnsi="宋体" w:eastAsia="宋体" w:cs="Times New Roman"/>
          <w:b/>
          <w:szCs w:val="21"/>
        </w:rPr>
      </w:pPr>
      <w:r>
        <w:rPr>
          <w:rFonts w:hint="eastAsia" w:ascii="宋体" w:hAnsi="宋体" w:eastAsia="宋体" w:cs="Times New Roman"/>
          <w:szCs w:val="21"/>
          <w:lang w:bidi="ar"/>
        </w:rPr>
        <w:t>经济心理是指心理因素对经济变动的影响，经济心理的外在表现就是经济行为，而经济行为又有着诸多的表现形式。可以依据一定的标准，先划分为若干种类型再予以研究。倘若参照社会学家乔治·古尔维奇的多元类型分类法，那么，按照不同的划分标准可将经济行为予以分类。如根据行为的发生频度可划分为重复行为（如习惯或定期储蓄）和偶然行为（如冲动性购买）；根据功能可划分为生产行为、投资行为、交换行为、消费行为和储蓄行为；根据时间长短可划分为长期行为、短期行为和限时行为；根据行为者的数目可划分为个体行为与群体行为；根据行为发生的不同领域可划分为金融市场、产品市场、劳动力市场和家庭中的经济行为；根据行为的不同层面又可划分为宏观、中观和微观层次的经济行为。下面，我们就市场经济发展中的若干经济心理与行为问题进行简略的解析。</w:t>
      </w:r>
    </w:p>
    <w:p w14:paraId="1198C1F5">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一、金融市场中的经济心理与行为</w:t>
      </w:r>
    </w:p>
    <w:p w14:paraId="1045A4D0">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1.关于投资心理与行为.投资行为是一种以获得未来资产增值为目的的经济行为，具有联系的广泛性、规模的扩充性、过程的连续性和劳动的多耗性等特征，在全球经济发展和整个国民经济运行中均占有极其重要的地位。上世纪发生的东南亚金融危机、俄罗斯金融风波以及我国掀起的“实业投资热”、“股票热”、“房地产热”和“期货热”，无不是投资行为，使投资者在奉献与收益之间作出选择。其中，投资者的动机、需要、情绪、偏好、预期、对信息的认知与加工能力，以及对风险的知觉与态度等，都将对投资决策与行为产生举足轻重的影响。因此，投资既是利润的函数，又是经济心理的函数。经济心理学家研究发现，无论是企业，还是个人，都有回避风险和追求稳定的心理偏好，只有在两种情况下企业家或个人才可能冒险:一是选择的货币期望值大到足以弥补所冒风险时，值得去冒险；二是结局呈负性，直接威胁或损害企业家和个人的利益时，只能去冒险。德里曼分析了股市投资中的依从、感情、非理性等心理问题，并推断解释了许多职业投资者的缺陷。近来，对投资行为尤其是金融市场中的投资行为的研究，已成为经济心理学和经济学研究的新亮点，并在此基础上产生了一门新的学科——行为金融学。</w:t>
      </w:r>
    </w:p>
    <w:p w14:paraId="53AD65F5">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2.关于税收心理和逃税行为.税收是国家财政制度的重要组成部分和国家财政收入的主要支柱。就其实质而言，税收是纳税人为了改善经济环境和必要条件并能得到相应的保护，向国家支付的一笔“社会成本”，因而具有整体的有偿性。同时，税收也是国家执行经济调控职能和实现经济发展目标的重要手段。国家通过税收政策来影响社会的需求和收入，调节财富的分配和控制国民经济的运行。</w:t>
      </w:r>
    </w:p>
    <w:p w14:paraId="745363EA">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传统经济学认为，增加税收必然导致减少等量的消费，削减税收则会带来消费量的增加。但这并不是客观情况的准确表达。经济心理学通过研究社会纳税心理发现，这是一个或然性事件，人们在增税情祝下可能减少消费，也可能减少储蓄量来补充消费；在减税情况下，人们也可能增加储蓄节制消费。无论税收是增还是减，人们都可以通过自我调节保持生活水平不变。税收变化到底是刺激消费，还是遏止消费，取决于人们对经济状况的理解，对政府的信任感和满意度，以及与之相关的对政府的税收政策的态度、评价和心理期望。非经济学的考虑，如对政府的信任和信心的程度，对于经济行为的影响与税收政策本身所具有的影响同样重要。美国前总统尼克松1970年2月在向国会所作的经济报告中指出:我们已经懂得，在经济事务中存在着人的因素—习惯、信心、恐惧等。近年来，“理性预期”也成为经济学家包括经济心理学家关注的焦点之一。另外，税收和逃税漏税行为也引起了学者们的研究兴趣。刘易斯1982年研究个体纳税心理时还发现，只有在纳税人感到就他的收入而言税收政策是公平合理的，才可能自觉地交纳税款，否则就逃税，产生“搭便车”行为，因而公平是纳税的心理前提。罗宾等人对逃税行为进行了模拟试验，认为社会比较对模拟的逃税行为是没有影响的。</w:t>
      </w:r>
    </w:p>
    <w:p w14:paraId="4DAE2AB1">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3.关于地下经济行为.地下经济行为是指那些广泛存在的防止和逃避政府的管制、税收和稽查的经济活动，其主要特点是隐蔽性。它侵蚀了政府的税收基础，非法地将收入从诚实公民的手中重新分配到不诚实公民的手中；同时由于它对国家宏观经济数据体系的精确性的扭曲和损害，使得根据这些作为“经济温度计”的数据信息制定的宏观经济政策失去原有的效力与意义，并形成恶性循环，破坏使经济能够恢复到稳定状态的“看不见的手”，最终导致经济的不稳定。从经济理论上讲，这种经济信息的扭曲和失真，也致使经济学界对经济病症根源的认识偏离经济生活的现实，对相应治理对策的寻求亦往往困难重重、无功而终。正因为此，美国国会联合经济委员会也把地下经济行为描述为他们考察过的最有兴趣和最令人困惑的课题之一。</w:t>
      </w:r>
    </w:p>
    <w:p w14:paraId="0BF4C2DD">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在当今社会，地下经济行为的规模不断增大，如对美国、英国、加拿大等国的研究表明，地下经济已占整体经济的5%-25%。目前，地下经济已成为一个全球性的问题，并已引起各国政府的广泛关注，为此还产生了一门新的经济学分支即地下经济学。经济心理学也已开始涉及这些问题，研究者们认识到:地下经济行为的错误导向会引发更多的社会心理后果，如使更多的公民产生过度悲观的经济预期、减少奉公守法的意愿以及对政府权威和公信力的逐步丧失，其最终结果是侵蚀社会秩序的基础。因此，对地下经济行为的深入系统研究，可以通过有效地减少其收益，增加其进入成本，同时疏导和防范其负面心理影响，来最终为遏止地下经济提供科学的理论依据和实际可行的对策。</w:t>
      </w:r>
    </w:p>
    <w:p w14:paraId="77F47D03">
      <w:pPr>
        <w:spacing w:line="300" w:lineRule="auto"/>
        <w:ind w:firstLine="440" w:firstLineChars="200"/>
        <w:rPr>
          <w:rFonts w:ascii="宋体" w:hAnsi="宋体" w:eastAsia="宋体" w:cs="Times New Roman"/>
          <w:b/>
          <w:szCs w:val="21"/>
        </w:rPr>
      </w:pPr>
      <w:r>
        <w:rPr>
          <w:rFonts w:hint="eastAsia" w:ascii="宋体" w:hAnsi="宋体" w:eastAsia="宋体" w:cs="Times New Roman"/>
          <w:szCs w:val="21"/>
          <w:lang w:bidi="ar"/>
        </w:rPr>
        <w:t>4.关于通货膨胀的经济心理与行为。通货膨胀和经济停滞是西方资本主义市场经济的弊病，即所谓“滞胀”。一些社会主义国家改革中出现的严重通货膨胀，如我国1988年的通货膨胀，同样是亟待经济学家苦苦思索，以期发现良方诊治的问题。传统理论将通货膨胀主要归因于求大于供，而过量的需求起因于货币膨胀和政府的财政赤字。由长期工资上涨趋势引起的成本变化，也被认为是通货膨胀的原因之一。另外，传统观点还在一定程度上承认人们心理上对于价格上涨的预期引起需求的增长。经济心理学对通货膨胀的研究开始于这样一个现实观察，即第二次世界大战后，虽然大多数美国人士视通货膨胀为恶魔，认为它制造了不稳定，暗中降低了自己的收入，但是他们在面临通货膨胀时，其行为不是超需要的购买，而是采取观望等待的态度。经济心理学家们研究发现:人们对通货膨胀的行为反映也受心理预期的支配。当价格上涨并且人们预计今后还将继续小幅度上涨时，人们往往维持消费，或降低消费，增加储蓄。只有在预期物价将会大幅度上涨或通货膨胀的初期，人们才可能采用囤积和贮藏的方式来保护自己，以对付通货膨胀。坎普对个体的过去价格回忆与通货膨胀的关系进行了实验研究，从而对通货膨胀的预期提供了理论上和经验上的事实支持。对欧共体成员国的通胀研究结果表明，人们对通货膨胀率的敏感性是随通胀率的上升而下降的，证明了人们对通胀有着适应性。同样，关于通货紧缩的经济心理，也值得深入研究，这里不再详述。</w:t>
      </w:r>
    </w:p>
    <w:p w14:paraId="11815642">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二、企业中的决策经济心理与行为</w:t>
      </w:r>
    </w:p>
    <w:p w14:paraId="3B9E642F">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尽管在经济情境中企业家行为极为常见，管理中也对企业家的激励问题关注颇多，但经济学教科书中几乎没有关于企业家的理论，其中一个原因是因为企业家的行为是独特和难以预测的。心理学对企业家行为的研究主要是麦克利兰关于成就动机的研究以及在此基础上的对控制点概念的研究。而经济心理学对这方面的研究重点是企业家的决策行为。其中，经济学家熊彼特研究过企业家的创新行为，管理学家西蒙研究过企业家的决策行为。</w:t>
      </w:r>
    </w:p>
    <w:p w14:paraId="26E3B3C7">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熊彼特认为，企业家就是把各种生产要素组合起来和实行技术革新的人。传统经济学则把企业家的行为抽象为自私的理性经济人的行为，以此作为经济分析的前提，认为经济人的行为有着完全的理性，决策时所追求的是“以最小的耗费获得最大的价值”的“最大化”满足。经济心理学家采纳了西蒙的“有限合理性”思想，认为企业家在解决简单问题时的方式可能与最大化原则很接近，但企业家活动的行为环境特点为不确定性和不完全竟争性，他的决策行为可以细分为获得行为和选择行为。前者由于受信息不完全性制约，企业家往往无法获得关于最大收益或最小成本的信息，只能在优先信息的基础上寻求收益与成本的最大差距，即寻求令人满意的决策。影响后者的因素除信息外，还有企业家本人的经验因素、人格因素和人际因素。在同样的可取信息中，企业家选择作为决策依据的信息也不尽相同。即使选择了相同的信息，不同企业家根据各自的效用函数作出的决策还是可能不同。受这些因素的制约，企业家的选择行为只具有“有限满意性”。</w:t>
      </w:r>
    </w:p>
    <w:p w14:paraId="7992CEEF">
      <w:pPr>
        <w:spacing w:line="300" w:lineRule="auto"/>
        <w:ind w:firstLine="440" w:firstLineChars="200"/>
        <w:rPr>
          <w:rFonts w:ascii="宋体" w:hAnsi="宋体" w:eastAsia="宋体" w:cs="Times New Roman"/>
          <w:b/>
          <w:szCs w:val="21"/>
        </w:rPr>
      </w:pPr>
      <w:r>
        <w:rPr>
          <w:rFonts w:hint="eastAsia" w:ascii="宋体" w:hAnsi="宋体" w:eastAsia="宋体" w:cs="Times New Roman"/>
          <w:szCs w:val="21"/>
          <w:lang w:bidi="ar"/>
        </w:rPr>
        <w:t>从比较来看，企业家行为同消费者行为具有一定的相似性，尤其是商人的购买与投资行为，但经济心理学对企业家行为的研究范围更广，如西蒙就曾运用“满意”和期望水准的概念来考察企业家的决策。瑞典经济心理学家戴维生的研究表明，小企业中连续的企业家行为可以通过客观指标，以及对于企业家的职位和能力等需求的主观知觉来理解。韦尔纳利德认为，对于企业家行为的研究，应将心理测量和诸如客观指标系统变量等其他变量的评估结合起来，同时还应选择适当的有代表性的样本。</w:t>
      </w:r>
    </w:p>
    <w:p w14:paraId="6C3C7F18">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三、劳动力市场中的经济心理与行为</w:t>
      </w:r>
    </w:p>
    <w:p w14:paraId="2CA899F9">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此间题的中心是就业者和失业者的经济心理与行为。经济心理学家认为，工作的价值不仅体现在工资上，而且是个人发挥积极性、创造性和达到一种征服欲和支配感等多方面自我实现的途径。工作充实了个人时间，提供了社会交往的机会，给人一种认同感和目的性。如何促使工作中的个人努力工作是现代经济学和企业管理长久以来关注的问题，而如何通过制度性的安排与改革激励企业中的个体、群体和组织行为更高效和富有创造性，也是经济心理学研究的内容之一。</w:t>
      </w:r>
    </w:p>
    <w:p w14:paraId="7767B24E">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失业是原职业活动及相应经济条件的丧失。经济心理学对失业研究主要侧重于个人失业后的心理体验、工作期望、消费行为特点，以及失业者的心理健康、失业与离婚率、失业与犯罪之间的关系等问题。高失业率问题是西方社会的一个顽症，而在中国，随着市场化和私有化程度的提高，各类失业问题也日渐突出。失业后，个人的经济状况和社会地位都发生了很大的变化。雇方按能力标准挑选职工，执业状况往往成为个人能力的无形测验。因此，失业者更可能出现心理失调、家庭生活兴趣减退、成就期望值降低以及对社会的满足感、对国家的信任感、对前途的自信心下降，长期失业者尤为严重。个人失业后的心理反应存在着个别差异。内向型的人往往倾向于自我归因，把失业的原因归结于自己缺乏能力，因而具有更强烈的失落感和挫折感；外向型的人则倾向于把失业的原因归结为社会政治因素或经济因素，因而发生心理疾病的概率相对小些。在全社会高失业率的情况下，也更容易恢复心理平衡。失业时间越长，失业者对工作的挑选越少，寻找工作的特点是“饥不择食”，随之而来更容易出现对新工作缺乏兴趣，动机水平不高。</w:t>
      </w:r>
    </w:p>
    <w:p w14:paraId="3A0C0277">
      <w:pPr>
        <w:spacing w:line="300" w:lineRule="auto"/>
        <w:ind w:firstLine="440" w:firstLineChars="200"/>
        <w:rPr>
          <w:rFonts w:ascii="宋体" w:hAnsi="宋体" w:eastAsia="宋体" w:cs="Times New Roman"/>
          <w:b/>
          <w:szCs w:val="21"/>
        </w:rPr>
      </w:pPr>
      <w:r>
        <w:rPr>
          <w:rFonts w:hint="eastAsia" w:ascii="宋体" w:hAnsi="宋体" w:eastAsia="宋体" w:cs="Times New Roman"/>
          <w:szCs w:val="21"/>
          <w:lang w:bidi="ar"/>
        </w:rPr>
        <w:t>当前，在完善社会主义市场经济体制、全面落实科学发展观的过程中，必须注重缓解失业及其负面心理，这是构建和谐社会的重要工作。</w:t>
      </w:r>
    </w:p>
    <w:p w14:paraId="4B466A15">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四、家庭中的经济心理与行为</w:t>
      </w:r>
    </w:p>
    <w:p w14:paraId="5F592992">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美国经济学家贝克尔在所著的《家庭论》中从经济学观点研究了婚姻、生育率和家庭中的利他行为等间题，给研究提供了新的思路和启发。不过，家务劳动仍是经济心理学研究的薄弱环节。目前，学者们认识到家务劳动是一种非正式的经济活动形式，在社会经济总体运转中有着重要作用。家务劳动间接地产生经济效益和“隐性GDP”（应当确立“隐性GDP”的概念和进行统计），尤其在高失业时期，家务劳动常常缓解了劳动力对社会的巨大压力。</w:t>
      </w:r>
    </w:p>
    <w:p w14:paraId="136B4D45">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家庭经济行为中一项重要的内容就是储蓄行为。储蓄是一种待实现的消费，经济学家把它界定为货币收入巾扣除消费后的剩余部分。储蓄行为与消费行为相辅相成，都是人类经济行为的重要组成部分。经济学原有观点认为，人们的储蓄倾向与收入水平同方向变化。在经济繁荣时期或收入增加的情况下，人们通常将很多的钱存入银行，增加储蓄；经济萧条时期或收入减少的情况下，人们将更多的钱用于消费，减少储蓄。卡托纳等人1975年在调查了消费者储蓄偏好后得出了与之相反的结论。他们发现，收入与储蓄量之间缺乏绝对的正相关联系，并非储蓄能力越强，储蓄数量一定就越多。对储蓄行为起决定作用的除收入外还有两个重要的经济心理因素:</w:t>
      </w:r>
    </w:p>
    <w:p w14:paraId="2C860634">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其一，储蓄动机。研究发现，低收入者比高收入者具有更强烈的储蓄动机。尽管前者在储蓄总量上可能远不及后者，但他们是“坚定的储蓄者”，会持续不断地把钱存入银行，储蓄行为的稳定性程度大大高于后者。正因为如此，调整利率对二者的影响也不尽相同。一般情况下，上调利率，能调动起高收入者的储蓄动机，将更多的钱存入银行；而下调利率则可能使高收入者减少银行储蓄兴趣，将存款取出转向其他更为有利可图的投资，如证券、期货等。但无论利率是升是降，都很少引起低收入者储蓄行为的明显变化。其原因在于持币量的限制和与高收入者不同的储蓄动机，低收入者储蓄的主要目的并不在于谋求增值，而是保障目前及今后日常生活之需的“非生产性储蓄”。</w:t>
      </w:r>
    </w:p>
    <w:p w14:paraId="7D84845D">
      <w:pPr>
        <w:spacing w:line="300" w:lineRule="auto"/>
        <w:ind w:firstLine="440" w:firstLineChars="200"/>
        <w:rPr>
          <w:rFonts w:ascii="宋体" w:hAnsi="宋体" w:eastAsia="宋体" w:cs="Times New Roman"/>
          <w:b/>
          <w:szCs w:val="21"/>
        </w:rPr>
      </w:pPr>
      <w:r>
        <w:rPr>
          <w:rFonts w:hint="eastAsia" w:ascii="宋体" w:hAnsi="宋体" w:eastAsia="宋体" w:cs="Times New Roman"/>
          <w:szCs w:val="21"/>
          <w:lang w:bidi="ar"/>
        </w:rPr>
        <w:t>其二，对社会经济状况的理解与期望。经济萧条时期人们的储蓄动机大多高于经济繁荣时期，因为萧条的经济具有紧迫感和威胁性，往往带来普遍的社会恐慌，使人们感到前途未卜，迫切需要有一个能够帮助自己抵御风险和渡过难关的经济缓冲器—笔足够保障当下及今后一段时期基本生活需要的储蓄金，于是尽可能少消费多储蓄；而在经济繁荣时期则通常是乐观主义情绪占上风，于是，更多的资金被转向购买耐用消费品和满足旅游、度假等其他享乐型需要，储蓄量就相对减少。因此，20世纪70年代美国经济衰退期间会出现创纪录的个人储蓄率，而近两年来我国央行先后几次调低利率以期扩大内需，拉动消费，带动宏观经济增长，但均收效不大。究其原因，也正是由于我国储蓄者普遍注重储蓄资产的保值功能、今后的长期消费预算以及对当前经济状况的不确定期望所致。</w:t>
      </w:r>
    </w:p>
    <w:p w14:paraId="24C18850">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五、宏观经济运行中的经济心理与行为</w:t>
      </w:r>
    </w:p>
    <w:p w14:paraId="4680A24C">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在建立社会主义市场经济体制过程中，心理因素已经在很大程度上制约着宏观经济的变动。而解决属于精神范畴的心理因素问题，单纯靠经济手段未必能够奏效，还要从意识形态入手，采取精神的、思想的办法。如果不这样做，听凭人们对经济变动的心理自由发展，也就等于对由心理因素而引发的经济变化放任不管，也就等于放弃了对此的调控。</w:t>
      </w:r>
    </w:p>
    <w:p w14:paraId="28CD01ED">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经济心理与宏观经济生活的关系表现在诸多方面，具体来讲可以归纳为以下几点:（人们对经济生活中通货膨胀的预期。这是一个重要的经济心理因素。当人们预期物价可能较快上升时，有时增加购买，进而使物价加速上升。（2）企业对市场销售情况的预期，会影响着投资、生产和流通，进而对宏观经济构成影响，如果多数企业家认为市场销售情况不好，就会相应地减少投资，从而使宏观经济有可能出现过冷的现象；相反，如果认为市场销售情况看好，就会相应地增加投资，进而促使宏观经济趋热。生产和流通领域的心态都是如此。近10年来粮食等农副产品一多就多得不得了，一少就四处告急，在很大程度上不能不说是因为心理预期导致的抛售或囤积所致。1994年前后，在国家严格控制基建规模的情况下，钢材期货价格看涨，就主要是不少企业预期未来钢材价格上涨，集中购进钢材所致。（3）某些民族习惯反映在居民心理，便会对市场产生影响。例如，我国的生肖吉凶就影响结婚和生育的时间选择，进而影响市场的供求。（4）社会各阶层对政治形势的估计，会影响其经济决策和宏观经济的变化。（5）人们对消费需求的偏好，从某一个个人或阶层来看，属于微观经济，但如果某种偏好一旦成为一种心理和社会时尚，也会影响经济生活的变动。①</w:t>
      </w:r>
    </w:p>
    <w:p w14:paraId="30FFD02D">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在市场经济条件下，经济心理宏观调节有以下领域:</w:t>
      </w:r>
    </w:p>
    <w:p w14:paraId="4E991122">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第一，对经济发展速度或者说经济冷热的预期的心理调节。西方有些国家的政府经常发表专家对经济趋势的预测，有年度的也有季度的，尽管意见不一致，由于集中了多方面的智慧，这些预测有一定的可信度，对企业和居民的心理有很大影响。从预测国民经济发展趋势来调节企业和居民对宏观经济的预期，显然是非常重要的。中国社科院数量经济与技术经济研究所运用宏观经济模型，对国民经济发展进行计量分析后，发表的年度经济预测报告等，就是一种做法。</w:t>
      </w:r>
    </w:p>
    <w:p w14:paraId="23EA3687">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第二，对重要经济指标的心理调节。重要的经济指标是人们判断经济生活未来变化的基本坐标，对人们的经济心理的变化起着关键的作用，因而引导好企业和居民对这些重要经济指标的正确判断，是经济心理宏观调控的一个重要内容。重要的经济指标如股市、外汇、粮油、钢材的指标等，引导企业和居民对这些重要指标做出正确判断，可通过在报刊上、期货市场上定期搞专家预测或研讨会等形式，加以引导。</w:t>
      </w:r>
    </w:p>
    <w:p w14:paraId="1A3A22B2">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第三，对资本市场的资金流的心理调节。鉴于前述对家庭中经济心理与行为的分析可知，低收入者的储蓄动机远远强于高收入者，因而对于中小股民、散户而言，降低利率达不到政策预期的效果；对于大户、高收入者而言，在经济衰退和股市低迷的时期，降息会使大户资金转移至海外市场，故有可能陷入不良循环。利用经济心理因素，从一定层面上（如政策、媒体宣传等）一致给予投资者信心，冲破不良循环的瓶颈，有利于开始新的经济周期循环。</w:t>
      </w:r>
    </w:p>
    <w:p w14:paraId="08DDA6AA">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第四，对重大经济事件进行导向性的述评。媒体和专家的述评能够在一定程度上左右人们的经济心理。要研究报道经济问题中的宣传艺术。在经济报道中，必须遵循新闻的真实性，但也不能教条，选材报道还应懂得群众的经济心理，讲究艺术性。假若有关部门或团体对群众的问卷调查表明，群众对物价上涨的感受强烈，这时，单纯公布调查情况，就会进一步加强群众对物价上涨的认同，那么，就可以同时报道有关专家对物价变动趋势和群众心理的深入分析，以确立更客观和准确的走势判断。</w:t>
      </w:r>
    </w:p>
    <w:p w14:paraId="1E4E1B1C">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除上面所述的几个问题之外，经济心理学涉及的论题还有:人们对国家财政政策的反应特征、耐用消费品周期性波动的心理规律、国民生产总值的经济指数和生活质量的社会心理指数的统一性、储蓄与借贷的关系及工资和价格的变化率、社会经济发展预测、国际经济关系等。当然，经济心理学家目前并没有就经济心理学的研究范围取得一致意见，他们似乎比较多地通过“研究什么”去发现和思考“应该研究什么”，这种状况反映了这门新生科学的发展现状。</w:t>
      </w:r>
    </w:p>
    <w:p w14:paraId="74CEF584">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笔者从20世纪80年代初就一直强调，心理学是一切哲学社会科学的基础性学科，任何研究人的社会科学，不运用心理学的方法和知识，是不可能完美的；应当构建涵盖各个经济领域和市场主体（个人、企业与政府等）的经济心理学体系；要借鉴现代心理学的方法和知识，吸收消费心理学、管理心理学和商业心理学基本理论层面的东西，改造西方经济学使用的“心理预期”、“心理偏好”和“主观效用”等范畴，并以现代心理学和社会心理学的知识去拓展马克思主义理论经济学，其中包括确立海派经济学“新经济人论”的核心范畴。）1992年，我国出版法国经济心理学会会长阿尔布的《经济心理学》一书；2002年，诺贝尔经济学奖颁给了美国丹尼尔·卡尼曼和弗农·史密斯，以表彰他们在心理和实验经济学研究方面所做的开创性工作，再次证明我们这一研究思路的超前性和经济心理学的极端重要性。</w:t>
      </w:r>
    </w:p>
    <w:p w14:paraId="43272113">
      <w:pPr>
        <w:ind w:firstLine="440" w:firstLineChars="200"/>
        <w:rPr>
          <w:rFonts w:ascii="宋体" w:hAnsi="宋体" w:eastAsia="宋体" w:cs="Times New Roman"/>
          <w:szCs w:val="21"/>
        </w:rPr>
      </w:pPr>
    </w:p>
    <w:p w14:paraId="63157439">
      <w:pPr>
        <w:ind w:firstLine="440" w:firstLineChars="200"/>
        <w:rPr>
          <w:rFonts w:ascii="宋体" w:hAnsi="宋体" w:eastAsia="宋体" w:cs="Times New Roman"/>
          <w:b/>
          <w:szCs w:val="21"/>
        </w:rPr>
      </w:pPr>
      <w:r>
        <w:rPr>
          <w:rFonts w:hint="eastAsia" w:ascii="宋体" w:hAnsi="宋体" w:eastAsia="宋体" w:cs="Times New Roman"/>
          <w:b/>
          <w:szCs w:val="21"/>
          <w:lang w:bidi="ar"/>
        </w:rPr>
        <w:t>注释:</w:t>
      </w:r>
    </w:p>
    <w:p w14:paraId="4921EE34">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①参见葛建营:《经济心理宏观调控论》，《经济研究》,1996.4</w:t>
      </w:r>
    </w:p>
    <w:p w14:paraId="58F02BD1">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②参见程恩富:《重建中国经济学:超越马克思与西方经济学》，《学术月刊》,2000.2；日本经济理论学会主办:《经济理论研究》，2004.1</w:t>
      </w:r>
    </w:p>
    <w:p w14:paraId="72CF1392">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③阿尔布:《经济心理学》，上海译文出版社，1998</w:t>
      </w:r>
    </w:p>
    <w:p w14:paraId="14C503E1">
      <w:pPr>
        <w:ind w:firstLine="440" w:firstLineChars="200"/>
        <w:rPr>
          <w:rFonts w:ascii="宋体" w:hAnsi="宋体" w:eastAsia="宋体" w:cs="Times New Roman"/>
          <w:szCs w:val="21"/>
        </w:rPr>
      </w:pPr>
    </w:p>
    <w:p w14:paraId="4D3F555D">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（原载《上海市经济管理干部学报》2005年第3期，第二作者为胡艳）</w:t>
      </w:r>
    </w:p>
    <w:p w14:paraId="3CB6A5C3">
      <w:pPr>
        <w:bidi w:val="0"/>
      </w:pPr>
      <w:r>
        <w:rPr>
          <w:rFonts w:hint="eastAsia"/>
        </w:rPr>
        <w:br w:type="page"/>
      </w:r>
    </w:p>
    <w:p w14:paraId="57912DA1">
      <w:pPr>
        <w:pStyle w:val="3"/>
        <w:widowControl/>
        <w:spacing w:before="0" w:after="0" w:line="360" w:lineRule="auto"/>
        <w:jc w:val="center"/>
        <w:rPr>
          <w:rFonts w:hint="default" w:ascii="黑体" w:hAnsi="宋体" w:eastAsia="黑体"/>
          <w:b w:val="0"/>
          <w:bCs w:val="0"/>
          <w:spacing w:val="-2"/>
          <w:lang w:bidi="ar"/>
        </w:rPr>
      </w:pPr>
      <w:bookmarkStart w:id="501" w:name="_Toc3100"/>
      <w:bookmarkStart w:id="502" w:name="_Toc111148948"/>
      <w:bookmarkStart w:id="503" w:name="_Toc268750310"/>
      <w:bookmarkStart w:id="504" w:name="_Toc802361807"/>
      <w:r>
        <w:rPr>
          <w:rFonts w:ascii="黑体" w:hAnsi="宋体" w:eastAsia="黑体"/>
          <w:b w:val="0"/>
          <w:bCs w:val="0"/>
          <w:spacing w:val="-2"/>
          <w:lang w:bidi="ar"/>
        </w:rPr>
        <w:t>1</w:t>
      </w:r>
      <w:r>
        <w:rPr>
          <w:rFonts w:hint="default" w:ascii="黑体" w:hAnsi="宋体" w:eastAsia="黑体"/>
          <w:b w:val="0"/>
          <w:bCs w:val="0"/>
          <w:spacing w:val="-2"/>
          <w:lang w:bidi="ar"/>
        </w:rPr>
        <w:t>0</w:t>
      </w:r>
      <w:r>
        <w:rPr>
          <w:rFonts w:ascii="黑体" w:hAnsi="宋体" w:eastAsia="黑体"/>
          <w:b w:val="0"/>
          <w:bCs w:val="0"/>
          <w:spacing w:val="-2"/>
          <w:lang w:bidi="ar"/>
        </w:rPr>
        <w:t>用什么经济理论驾驭社会主义市场经济——与吴敬琏、王东京教授商榷</w:t>
      </w:r>
      <w:bookmarkEnd w:id="501"/>
      <w:bookmarkEnd w:id="502"/>
      <w:bookmarkEnd w:id="503"/>
      <w:bookmarkEnd w:id="504"/>
    </w:p>
    <w:p w14:paraId="2A98BEC7">
      <w:pPr>
        <w:spacing w:line="400" w:lineRule="exact"/>
        <w:ind w:firstLine="420"/>
        <w:jc w:val="left"/>
        <w:rPr>
          <w:rFonts w:ascii="宋体" w:hAnsi="宋体" w:eastAsia="宋体" w:cs="宋体"/>
          <w:szCs w:val="21"/>
        </w:rPr>
      </w:pPr>
      <w:r>
        <w:rPr>
          <w:rFonts w:hint="eastAsia" w:ascii="宋体" w:hAnsi="宋体" w:eastAsia="宋体" w:cs="宋体"/>
          <w:color w:val="000000"/>
          <w:kern w:val="0"/>
          <w:szCs w:val="21"/>
          <w:lang w:bidi="ar"/>
        </w:rPr>
        <w:t>摘要：不断提高党的执政能力，驾驭社会主义市场经济的指导思想和经济理论，应该是包括马克思列宁主义、毛泽东思想、邓小平理论和“三个代表”重要思想在内的广义马克思主义及其经济理论，而不是现代西方经济学思想。</w:t>
      </w:r>
    </w:p>
    <w:p w14:paraId="38A2A76F">
      <w:pPr>
        <w:spacing w:line="400" w:lineRule="exact"/>
        <w:jc w:val="left"/>
        <w:rPr>
          <w:rFonts w:ascii="宋体" w:hAnsi="宋体" w:eastAsia="宋体" w:cs="宋体"/>
          <w:szCs w:val="21"/>
        </w:rPr>
      </w:pPr>
      <w:r>
        <w:rPr>
          <w:rFonts w:hint="eastAsia" w:ascii="宋体" w:hAnsi="宋体" w:eastAsia="宋体" w:cs="宋体"/>
          <w:color w:val="000000"/>
          <w:kern w:val="0"/>
          <w:szCs w:val="21"/>
          <w:lang w:bidi="ar"/>
        </w:rPr>
        <w:t>关键词：党的执政能力；现代马克思主义；政治经济学；西方经济学；市场经济</w:t>
      </w:r>
    </w:p>
    <w:p w14:paraId="5812CFCF">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中共中央关于加强党的执政能力建设的决定》指出：“必须坚持党在指导思想上的与时俱进，用发展着的马克思主义指导新的实践。马克思主义是我们立党立国的根本指导思想。必须坚持以马克思列宁主义、毛泽东思想、邓小平理论和三个代表重要思想为指导，立足于新的实践和新的发展，着眼于对重大问题的理论思考，解放思想、实事求是、与时俱进，不断开拓马克思主义理论发展的新境界，不断开创社会主义事业发展的新局面。”这就是说，不断提高党的执政能力，驾驭社会主义市场经济的指导思想和经济理论，是包括马克思列宁主义、毛泽东思想、邓小平理论和“三个代表”重要思想在内的广义马克思主义及其经济理论。目前，在这个大是大非的基本理论和方向性问题上，经济学界存在重大分歧。吴敬琏研究员说：“现代市场制度是一种经过几百年演变形成的巨大而复杂的系统，如果按传统的某种理论指引来进行，它的建立和建设是不可能的，没有对反映这一系统运动规律的现代经济学的深切把握，没有以西方的理论为指导，这一艰巨的历史任务是不能完成的。”又说：“一些经济学家冲破`左'的束缚，逐渐恢复了与世界经济学界的联系，开始运用现代经济学的基本理论和基本分析工具用以指导中国市场化改革。”王东京教授在《驾驭经济的理论支点—王东京教授在中央党校省部级干部班上的讲演》一文说：“学习经济理论，就是为了驾驭经济工作。那么如何运用理论指导实际经济工作呢？”他在文中写道：“经济工作需要理论指导，可是有人会说，经济学如此复杂，各种学派多如牛毛，对同一个问题，三个经济学家，可能拿出四种答案，你让我听谁的？……现代经济学里，真正基本的、管用的理论，我认为就是三个假定、三个原理。这三个假定是：经济人假定、资源稀缺假定和保护个人产权假定；与此大致对应，便是三个原理：利润最大化原理、供求原理和等价交换原理。这六条，简单得令人吃惊，但却是经济学智慧的结晶，用个时髦词语，是精髓。……经济学的基本理论，是自亚当·斯密以来经济学家的共同智慧，是人类社会有用的文明成果。我们强调要掌握这些基本的理论原理，并不是说人们无须学习高深的经济理论。在我看来，基本的经济学原理，对领导干部来说，要更简捷、更实用一些。”笔者不赞成上述观点，现提出商榷意见。</w:t>
      </w:r>
    </w:p>
    <w:p w14:paraId="5EAC7452">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一、用什么理论驾驭社会主义经济改革和发展</w:t>
      </w:r>
    </w:p>
    <w:p w14:paraId="35A8A080">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当前，中外学界和政界有日渐增多的人，把以往传统经济体制下的弊端主要归咎于马克思主义和公有产权制度，而把社会主义改革和发展的业绩主要归功于现代西方经济学和私有产权制度，并以此来预言或引领我国下一步的改革和发展。这是有悖于事实和十分危险的思想倾向。即使在从事马克思主义理论教育和研究的队伍中，有些同志也可能觉得对此难以反驳，认识模糊，于是，就会产生一些分歧。</w:t>
      </w:r>
    </w:p>
    <w:p w14:paraId="47B9D4B1">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一)分歧之一。我认为，驾驭中国特色的社会主义经济及其工作，要用邓小平理论、“三个代表”重要思想和现代政治经济学的基本理论，而他们认为要用现代(西方)经济学的基本理论。我们应当讨论和厘清这样两个关键问题：</w:t>
      </w:r>
    </w:p>
    <w:p w14:paraId="3BA350E8">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第一，现代西方经济学等于现代经济学吗？不少论著把现代西方经济学说成是现代经济学，把与时俱进的马克思主义经济学和社会主义政治经济学说成是传统经济学，不承认政治经济学是一门社会科学，甚至不承认是一种学术。在一本获国家图书奖的流行读本《经济学是什么》中，在许多取名为《现代经济学》实为现代西方经济学的教材中，均属此类状况。这发生在西方资本主义国家和蜕变后的原苏联东欧国家很正常，而普遍存在于共产党还在领导的社会主义国家，是正常情况吗？即使在美国、欧洲、日本、韩国和发展中的资本主义国家，马克思主义经济学家或左翼经济学家也不认可现代西方经济学就是现代经济学，而认为现代经济学包括具有马克思主义倾向的“激进经济学”或“社会经济学”等，抨击现代西方主流经济学是反映大资产阶级利益的经济意识形态和经济学体系。倘若我们抱着“被殖民心态”和“盲目接轨心态”，稀里糊涂地接受和宣传西方经济学家的这类观点，就必然加重学术信仰危机，并导致政治信仰危机。现代经济学主要分为现代马克思主义经济学和现代西方资产阶级经济学两大学派，尽管其中都有阐述生产一般和市场经济一般的非阶级利益的内容，其中都有互相沟通和互相吸收的内容。当我们不再经常使用“西方资产阶级经济学”而简称“西方经济学”时，别忘了其含有的资产阶级客观属性和理论特征。这是中外所有马克思主义经济学家的共识。</w:t>
      </w:r>
    </w:p>
    <w:p w14:paraId="439CB428">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第二，现代西方经济学真的很实用并管用吗？它的实用和管用具有双重性，既有不断调整经济关系和经济政策，缓和资本主义内外经济矛盾，促使资本主义世界的科技和经济总体向前发展双重性；又有维护和延续全球资本主义私有制和经济剥削，控制别国经济和掠夺世界财富，直至运用新自由主义经济学的“华盛顿共识”、“休克疗法”和“广场协议”等，来搞乱崇拜其学说及其政策的一大批国家的国民经济双重性。自然，其中反映社会化大生产、市场经济和经济全球化的一般理论、一般政策以及一般研究方法，如王东京教授列举的利益最大化原理、供求原理、等价交换原理(含成本收益分析方法等)，从字面和最一般意义上说确实是有用的，经典马克思主义和现代马克思主义政治经济学也不是或多或少、甚至重点阐明过吗？马克思对此的分析难道比同时代和之前的英国的亚当·斯密和父子穆勒、法国的魁奈和萨伊、德国的李斯特和罗雪尔等少吗？</w:t>
      </w:r>
    </w:p>
    <w:p w14:paraId="0915C029">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它不实用和不管用的一面有两个主要表现，一是过分依赖多变的或远离现实的假设进行抽象的模型分析和数理推导，大大减弱了理论经济学理应赋有的现实性，就连凯恩斯、列昂节夫、加尔布雷思、缪尔达尔、科斯等某些现代西方经济学大师也确认它是“黑板经济学”、“把读者引导到脱离现实的道路上”等；二是甭说对中国特色的社会主义经济了，就是对整个世界的资本主义经济，也难以说根本上管用，否则，被联合国认定的49个最不发达的国家便不会都是资本主义国家了，蜕变为资本主义的原苏联东欧等国家经济也不会一律衰退了，国情相似的资本主义印度也不会在20世纪后半叶始终被社会主义中国抛在后面了，英国在20世纪整整100年的平均GDP增长速度也不会只有约2了，美国靠经济霸权和高利军火等暴富更不会出现周期性经济衰退和停滞了，精通美欧现代经济学各流派理论和政策的日本又怎么会十年经济都启动不起来？只要放眼20世纪和21世纪初的资本主义世界，谁都可以轻而易举地看到，现代西方经济学管不住由垄断、私有制和贫穷等引发的两次世界大战和无数次大小规模战争，管不住20世纪30年代的经济大危机、70年代的严重滞胀和90年代的金融危机的出现，管不住当今经济全球化中“新帝国主义”与由此加剧的恐怖主义并存的局面。直面这一切，马克思主义经济学家和有识之士怎么会认定现代西方经济学的基本理论“二百多年来，它反复经过实践检验，颠扑不破”？又怎么能轻易地认同现代西方经济学的基本理论是“真正管用”的科学体系呢？显然，西方经济学没有充分地真正揭示出资本主义市场经济的内在规律。</w:t>
      </w:r>
    </w:p>
    <w:p w14:paraId="2003F72C">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二)分歧之二。我认为，现代西方经济学关于经济人的假定和理论是错误的，而他们认为是正确的。如王东京教授写道：“因为二百多年来，它(指现代西方经济学的理论)反复经过实践检验，颠扑不破。比如经济人假定，把人看作是理性的利己主义者，说人是自私的。为什么要这样假定呢？因为事实即是如此。人们如果不自私，就不会有劳动的积极性，政府也无法通过政策调节经济。……既然人是自私的，必然就会谋取自己利益的最大化。中国老百姓有一句俗话：人为财死，鸟为食亡。别看这只是一句俗语，却是千百年来人们对自身经济行为的总结，揭示的是一个浅白而又深刻的经济学原理。”</w:t>
      </w:r>
    </w:p>
    <w:p w14:paraId="35A7A24F">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西方经济学的“经济人”理论的确迷惑了一大批马克思主义者，它的内涵和错误是什么呢？自英国近代亚当·斯密、西尼尔和约翰·穆勒以来，一直到当代美国哈耶克、弗里德曼和布坎南，只把“自私人”即“经济人”作为探究人类经济行为和市场经济的始点、基点和定点，并由此推演出整个经济学体系和经济进化史。即使现今某些新自由主义经济学家对传统“经济人”内涵进行修补，把分析范围扩展到非经济领域，增添机会主义行为描述和信息成本约束，或者把含义扩展界定为可用货币衡量的经济利益与不可用货币衡量的精神利益两个层面，也没有根本摆脱作为“利益最大化行为”的“自私人”的思维模式。</w:t>
      </w:r>
    </w:p>
    <w:p w14:paraId="3E5E5B0C">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具体说来，近现代西方经济学一贯宣传的自私“经济人”理念是一种陈旧的理论，它存在下列误点：其一，理念源于功利主义。19世纪，边沁将大小私有者在经济活动中自发产生的功利标准泛推到伦理领域，把最大限度地追求个人利益的自私精神说成是最大多数人的最大幸福的途径。这是亚当·斯密经济学及其后继者的主要哲学方法。其实，休谟早先就批判过类似的观念，写道：“自私这个性质被渲染得太过火了，而且有些哲学家们所乐于尽情描写的人类的自私，就像我们在童话和小说中所遇到的任何有关妖怪的记载一样荒诞不经，与自然离得太远了。”[3](P527)</w:t>
      </w:r>
    </w:p>
    <w:p w14:paraId="1C44B2F7">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其二，理念充斥历史唯心论的精神。“旧经济人”理念视利己为与生俱来和一成不变的东西，不分历史时点地把“自私人”抽象化、永恒化和绝对化，无视特定的经济关系和经济制度对人的经济行为与经济心理的作用，这就有意或无意地陷入了历史唯心主义的泥潭。连杜威也不赞同，他说：“事实上，经济制</w:t>
      </w:r>
    </w:p>
    <w:p w14:paraId="19734A0B">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度与关系乃是人性中最易改变的表现方式。历史便是其变化幅度的活生生的证据。……如果人性是不可改变的，那么就不存在教育这类事情，我们从事教育的全部努力就注定会失败。”[4](P125)</w:t>
      </w:r>
    </w:p>
    <w:p w14:paraId="252A531C">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与上述有关，王东京教授还强调过：“所以，是社会分工与个人产权的保护，导致了等价交换。”这也是不全面和完整的等价交换理论。个人产权或私有产权与市场经济(交易)究竟是何种关系？假如资产私有制或私有权是市场交易和市场经济产生的先决条件，这属于近现代西方经济学的教条，中国和越南的社会主义市场经济实践和现代马克思主义政治经济学早已超越了此种“西教条”。假如撇开资产终极所有权，由资产的使用权、收入享受权和自由转让权组成的私有产权，是市场交易和市场经济存在的先决条件，这显得不够全面。原因在于，由资产的使用权、收入享受权和自由转让权耦合的产权，不一定只可采取“私人或私营机构”的“私有产权”的形式。它也可采取合作组织、集体组织或国有民营组织的“共有产权”和“公有产权”的形式，甚至可采取“国有产权”的形式，自然还可采取多种“混合产权”的形式。换句话讲，产权的类型会呈现多样化，决非“私有产权”一种。从数百年市场经济的变迁史来看，各种产权形式在不同层次上均能同社会生产力和市场制度互相依存、互相适应，那种主张只有个人的产权或私有产权才是等价交换和市场经济的先决条件这一论点，显然难以成立。</w:t>
      </w:r>
    </w:p>
    <w:p w14:paraId="08E2C486">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(三)分歧之三。我认为，社会主义的本质和特征是包括消灭私有制及其剥削的，而他们是否定的。</w:t>
      </w:r>
    </w:p>
    <w:p w14:paraId="24D2422A">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吴敬琏研究员在其论著中强调：“社会主义的基本特征是社会公正+市场经济，而不是其他思想。”[5]</w:t>
      </w:r>
    </w:p>
    <w:p w14:paraId="02CB6760">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邓小平同志在回答什么是社会主义时，特别强调指出：“社会主义有两个非常重要的方面，一是公有制为主体，二是不搞两极分化”[6](P1069)。应该说，两个方面是密切相关的，而其最根本的则是坚持公有制的主体地位。然而在吴敬琏先生的社会主义公式里却恰恰相反，根本否定了这个“非常重要”的“公有制为主体”的问题。</w:t>
      </w:r>
    </w:p>
    <w:p w14:paraId="19CEEE71">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那么，社会主义的基本经济特征是什么呢？马克思、恩格斯在《共产党宣言》中回答究竟什么是共产主义特征时，已明确共产党人可以把自己的理论用一句话表示出来：消灭私有制。列宁在说到社会主义基本特征时，主要提了两条，一是生产资料公有制，二是按劳分配。邓小平在社会主义本质的定义中也强调要消灭剥削和消除两极分化。如果在社会主义及其根本经济制度的认识上失误，那么，股份制、市场经济和和谐社会等一系列理论和实践上都会出问题。所以，要真正提高党在社会主义社会的执政能力，完善社会主义市场经济体制，构建社会主义和谐社会，必须首先搞清社会主义的本质特征。</w:t>
      </w:r>
    </w:p>
    <w:p w14:paraId="28522842">
      <w:pPr>
        <w:spacing w:line="360" w:lineRule="auto"/>
        <w:jc w:val="center"/>
        <w:rPr>
          <w:rFonts w:ascii="宋体" w:hAnsi="宋体" w:eastAsia="宋体" w:cs="宋体"/>
          <w:b/>
          <w:bCs/>
          <w:color w:val="000000"/>
          <w:kern w:val="0"/>
          <w:sz w:val="24"/>
          <w:lang w:bidi="ar"/>
        </w:rPr>
      </w:pPr>
      <w:r>
        <w:rPr>
          <w:rFonts w:hint="eastAsia" w:ascii="宋体" w:hAnsi="宋体" w:eastAsia="宋体" w:cs="宋体"/>
          <w:b/>
          <w:bCs/>
          <w:color w:val="000000"/>
          <w:kern w:val="0"/>
          <w:sz w:val="24"/>
          <w:lang w:bidi="ar"/>
        </w:rPr>
        <w:t>二、用什么理论教育干部尤其是省部级干部</w:t>
      </w:r>
    </w:p>
    <w:p w14:paraId="232FF36D">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王东京教授在肯定现代西方经济学基本理论是“二百多年来，它反复经过实践检验，颠扑不破”真理的基础上，强调用这一经济学体系的基本理论来教育干部，尤其是“省部级干部”、“主管经济工作的领导同志”和“政策制定者”。他写道：“在我看来，基本的经济学原理，对领导干部来说，要更简捷、更实用一些。”“对于我们主管经济工作的领导同志来讲，天天与政策打交道，或是制定政策，或是执行政策，但如果没有掌握必要经济理论，难免会乱打仗，事倍功半不说，很多时候还会弄巧成拙。”“经济生活千变万化，而经济理论万变不离其宗，只要把握了它，就都有了看家的本领。”王所说的“基本的经济学原理”、“必要经济理论”和“经济理论”，均特指西方经济学的基本理论。这没有断章取义，曲解作者的本意。诚然，我们在文章的最后也读到：“经济学的基本理论，是自亚当·斯密以来经济学家的共同智慧，是人类社会有用的文明成果。我们强调要掌握这些基本的理论原理，并不是说人们无须学习高深的经济理论。在我看来，基本的经济学原理，对领导干部来说，要更简捷、更实用一些。不过我们在应用这些原理时，还必须以马克思主义的立场、观点与方法为指导，以中国的国情为基础，这一点尤为重要，务必提醒大家注意。”王东京教授所说的“驾驭”就是“指导”，因为从其下面的文语清晰可见，他说：“经济工作需要理论指导，可是有人会说，经济学如此复杂，各种学派多如牛毛，对同一个问题，三个经济学家，可能拿出四种答案，你让我听谁的？……现代经济学里，真正基本的、管用的理论，我认为就是三个假定、三个原理。”“以上我们是运用经济学的基本理论，分析中国的企业、价格、分配等体制性问题，其实，我们也可以同样用这些理论原理，来指导制定或评价经济政策。”“学习经济理论，就是为了驾驭经济工作。那么如何运用理论指导实际经济工作呢”？对此，我们仍然作最好的理解，即作者丝毫没有抛弃马克思主义的意思，其本意是为了提升马克思主义的地位，把它放在崇高的政治或学术地位，也就是主张用现代西方经济学的基本假设、基本原理和基本方法来直接指导我国的实际经济工作，而马克思主义及其经济学的基本假设、基本原理和基本方法更高一层，是指导现代西方经济学的。</w:t>
      </w:r>
    </w:p>
    <w:p w14:paraId="35C548B4">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但是，这样一来，又产生一个新问题，当代中国的马克思主义及其经济学理论能不能指导经济工作呢？如果邓小平理论和“三个代表”重要思想都不能驾驭和指导包括经济改革和经济发展在内的经济工作，而只能指导现代西方经济学，那么，马克思主义及其经济理论即使不被否定和抛弃，也容易被束之高阁或架空，成为无用的“指导”即纯粹的政治口号和标签。况且，在整个长篇文章中，尽管我们力图寻找作者是想用马克思主义及其经济理论来指导现代西方经济学的研究和应用的，可是十分遗憾，从头到尾始终没有找到类似的含义和词句。但愿作者心里是这么认知的。</w:t>
      </w:r>
    </w:p>
    <w:p w14:paraId="77639996">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我们再作另外一种理解，即作者主张现代马克思主义经济学基本理论与非马克思主义的现代西方经济学基本理论都是经济改革、经济发展和经济工作的指导性和驾驭性理论。不过，这就会陷入指导理论或思想的“二元论”或“多元化”。必须指出，社会主义中国的主流经济学不是世界主流经济学，即现代西方经济学，而是以马克思主义为指导的中国现代政治经济学。</w:t>
      </w:r>
    </w:p>
    <w:p w14:paraId="5B736EA0">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在现阶段，我们要用发展了的马克思主义，包括扬弃和超越了现代西方经济学的现代政治经济学理论，来驾驭和指导社会主义经济改革、开放和发展，并切实提高党的执政能力。</w:t>
      </w:r>
    </w:p>
    <w:p w14:paraId="28927606">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参考文献：</w:t>
      </w:r>
    </w:p>
    <w:p w14:paraId="0E513321">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[1]</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胡钧.社会主义市场经济的理论依据是马克思主义政治经济学还是西方经济学？[J].高校理论战线，2004，(8).</w:t>
      </w:r>
    </w:p>
    <w:p w14:paraId="0DFA372B">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[2]</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王东京.驾驭经济的理论支点——王东京教授在中央党校省部级干部班上的讲演[N].文汇报，2004-06-06(本文引语除另外注明之外，均出自该文).</w:t>
      </w:r>
    </w:p>
    <w:p w14:paraId="4AE53570">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[3]</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休谟.人性论(下册)[M].北京：商务印书馆，1997.</w:t>
      </w:r>
    </w:p>
    <w:p w14:paraId="62BE275E">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[4]</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杜威.新旧个人主义[M].上海：上海社会科学院出版社，1997.</w:t>
      </w:r>
    </w:p>
    <w:p w14:paraId="4EC8A007">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[5]</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吴敬琏.社会主义基本特征是社会公正+市场经济[N].中国经济日报，1997-08-05.</w:t>
      </w:r>
    </w:p>
    <w:p w14:paraId="5696A276">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[6]</w:t>
      </w:r>
      <w:r>
        <w:rPr>
          <w:rFonts w:hint="eastAsia" w:ascii="宋体" w:hAnsi="宋体" w:eastAsia="宋体" w:cs="宋体"/>
          <w:color w:val="000000"/>
          <w:kern w:val="0"/>
          <w:szCs w:val="21"/>
          <w:lang w:bidi="ar"/>
        </w:rPr>
        <w:tab/>
      </w:r>
      <w:r>
        <w:rPr>
          <w:rFonts w:hint="eastAsia" w:ascii="宋体" w:hAnsi="宋体" w:eastAsia="宋体" w:cs="宋体"/>
          <w:color w:val="000000"/>
          <w:kern w:val="0"/>
          <w:szCs w:val="21"/>
          <w:lang w:bidi="ar"/>
        </w:rPr>
        <w:t>中共中央文献研究室.邓小平年谱[M].北京：中央文献出版社，2004.</w:t>
      </w:r>
    </w:p>
    <w:p w14:paraId="7138E393">
      <w:pPr>
        <w:spacing w:line="400" w:lineRule="exact"/>
        <w:ind w:firstLine="440" w:firstLineChars="200"/>
        <w:jc w:val="left"/>
        <w:rPr>
          <w:rFonts w:ascii="宋体" w:hAnsi="宋体" w:eastAsia="宋体" w:cs="宋体"/>
          <w:szCs w:val="21"/>
        </w:rPr>
      </w:pPr>
    </w:p>
    <w:p w14:paraId="3C163622">
      <w:pPr>
        <w:spacing w:line="400" w:lineRule="exact"/>
        <w:ind w:firstLine="440" w:firstLineChars="200"/>
        <w:jc w:val="left"/>
        <w:rPr>
          <w:rFonts w:ascii="宋体" w:hAnsi="宋体" w:eastAsia="宋体" w:cs="宋体"/>
          <w:szCs w:val="21"/>
        </w:rPr>
      </w:pPr>
      <w:r>
        <w:rPr>
          <w:rFonts w:hint="eastAsia" w:ascii="宋体" w:hAnsi="宋体" w:eastAsia="宋体" w:cs="宋体"/>
          <w:szCs w:val="21"/>
        </w:rPr>
        <w:t>（原载《学习与探索》2</w:t>
      </w:r>
      <w:r>
        <w:rPr>
          <w:rFonts w:ascii="宋体" w:hAnsi="宋体" w:eastAsia="宋体" w:cs="宋体"/>
          <w:szCs w:val="21"/>
        </w:rPr>
        <w:t>005</w:t>
      </w:r>
      <w:r>
        <w:rPr>
          <w:rFonts w:hint="eastAsia" w:ascii="宋体" w:hAnsi="宋体" w:eastAsia="宋体" w:cs="宋体"/>
          <w:szCs w:val="21"/>
        </w:rPr>
        <w:t>年第4期）</w:t>
      </w:r>
      <w:r>
        <w:rPr>
          <w:rFonts w:ascii="宋体" w:hAnsi="宋体" w:eastAsia="宋体" w:cs="宋体"/>
          <w:szCs w:val="21"/>
        </w:rPr>
        <w:br w:type="page"/>
      </w:r>
    </w:p>
    <w:p w14:paraId="1A6484D1">
      <w:pPr>
        <w:spacing w:line="400" w:lineRule="exact"/>
        <w:ind w:firstLine="440" w:firstLineChars="200"/>
        <w:jc w:val="left"/>
        <w:rPr>
          <w:rFonts w:ascii="宋体" w:hAnsi="宋体" w:eastAsia="宋体" w:cs="宋体"/>
          <w:szCs w:val="21"/>
        </w:rPr>
      </w:pPr>
    </w:p>
    <w:p w14:paraId="2693FA9A">
      <w:pPr>
        <w:spacing w:before="147" w:beforeLines="50" w:after="147" w:afterLines="50" w:line="300" w:lineRule="auto"/>
        <w:ind w:firstLine="660" w:firstLineChars="200"/>
        <w:jc w:val="center"/>
        <w:outlineLvl w:val="1"/>
        <w:rPr>
          <w:rFonts w:ascii="黑体" w:hAnsi="宋体" w:eastAsia="黑体" w:cs="Times New Roman"/>
          <w:sz w:val="32"/>
        </w:rPr>
      </w:pPr>
      <w:bookmarkStart w:id="505" w:name="_Toc32402"/>
      <w:bookmarkStart w:id="506" w:name="_Toc257922089"/>
      <w:bookmarkStart w:id="507" w:name="_Toc111148949"/>
      <w:bookmarkStart w:id="508" w:name="_Toc728350529"/>
      <w:bookmarkStart w:id="509" w:name="_Toc1245070736"/>
      <w:r>
        <w:rPr>
          <w:rFonts w:hint="eastAsia" w:ascii="黑体" w:hAnsi="宋体" w:eastAsia="黑体" w:cs="Times New Roman"/>
          <w:sz w:val="32"/>
          <w:lang w:bidi="ar"/>
        </w:rPr>
        <w:t>1</w:t>
      </w:r>
      <w:r>
        <w:rPr>
          <w:rFonts w:ascii="黑体" w:hAnsi="宋体" w:eastAsia="黑体" w:cs="Times New Roman"/>
          <w:sz w:val="32"/>
          <w:lang w:bidi="ar"/>
        </w:rPr>
        <w:t>1</w:t>
      </w:r>
      <w:r>
        <w:rPr>
          <w:rFonts w:hint="eastAsia" w:ascii="黑体" w:hAnsi="宋体" w:eastAsia="黑体" w:cs="Times New Roman"/>
          <w:sz w:val="32"/>
          <w:lang w:bidi="ar"/>
        </w:rPr>
        <w:t>加快海峡经济区的合作和发展</w:t>
      </w:r>
      <w:bookmarkEnd w:id="505"/>
      <w:bookmarkEnd w:id="506"/>
      <w:bookmarkEnd w:id="507"/>
      <w:bookmarkEnd w:id="508"/>
      <w:bookmarkEnd w:id="509"/>
    </w:p>
    <w:p w14:paraId="440CF638">
      <w:pPr>
        <w:spacing w:line="300" w:lineRule="auto"/>
        <w:ind w:firstLine="500" w:firstLineChars="200"/>
        <w:jc w:val="center"/>
        <w:rPr>
          <w:rFonts w:ascii="Times New Roman" w:hAnsi="Times New Roman" w:eastAsia="宋体" w:cs="Times New Roman"/>
          <w:b/>
          <w:sz w:val="24"/>
        </w:rPr>
      </w:pPr>
      <w:bookmarkStart w:id="510" w:name="_Toc257922090"/>
      <w:r>
        <w:rPr>
          <w:rFonts w:hint="eastAsia" w:ascii="Times New Roman" w:hAnsi="Times New Roman" w:eastAsia="宋体" w:cs="Times New Roman"/>
          <w:b/>
          <w:sz w:val="24"/>
          <w:lang w:bidi="ar"/>
        </w:rPr>
        <w:t>——兼与长三角、珠三角、环渤海经济区比较</w:t>
      </w:r>
      <w:bookmarkEnd w:id="510"/>
    </w:p>
    <w:p w14:paraId="498393F1">
      <w:pPr>
        <w:spacing w:before="147" w:beforeLines="50" w:line="300" w:lineRule="auto"/>
        <w:ind w:firstLine="440" w:firstLineChars="200"/>
        <w:rPr>
          <w:rFonts w:ascii="宋体" w:hAnsi="宋体" w:eastAsia="宋体" w:cs="Times New Roman"/>
          <w:b/>
        </w:rPr>
      </w:pPr>
      <w:r>
        <w:rPr>
          <w:rFonts w:hint="eastAsia" w:ascii="宋体" w:hAnsi="宋体" w:eastAsia="宋体" w:cs="Times New Roman"/>
          <w:lang w:bidi="ar"/>
        </w:rPr>
        <w:t>自20世纪80年代以来，区域经济合作和发展成为我国经济发展的主旋律，先后形成了多个经济区域。首先是80年代造就的珠江三角洲经济区，接着是90年代开发浦东带动的长江三角洲经济区，然后是本世纪初首都效应形成的环渤海经济区等。当前，基于经济和政治形势的新发展，迫切需要大力推动台湾海峡经济区域的建设（以下简称海峡经济区）。本文将研究海峡经济区的发展，并与长三角、珠三角和环渤海三大经济区进行比较分析。</w:t>
      </w:r>
    </w:p>
    <w:p w14:paraId="1E1E9A92">
      <w:pPr>
        <w:spacing w:before="147" w:beforeLines="50" w:after="147" w:afterLines="50" w:line="300" w:lineRule="auto"/>
        <w:ind w:firstLine="500" w:firstLineChars="200"/>
        <w:jc w:val="center"/>
        <w:rPr>
          <w:rFonts w:ascii="等线 Light" w:hAnsi="等线 Light" w:eastAsia="宋体" w:cs="Times New Roman"/>
          <w:b/>
          <w:bCs/>
          <w:kern w:val="28"/>
          <w:sz w:val="24"/>
          <w:szCs w:val="32"/>
        </w:rPr>
      </w:pPr>
      <w:r>
        <w:rPr>
          <w:rFonts w:hint="eastAsia" w:ascii="等线 Light" w:hAnsi="等线 Light" w:eastAsia="宋体" w:cs="Times New Roman"/>
          <w:b/>
          <w:bCs/>
          <w:kern w:val="28"/>
          <w:sz w:val="24"/>
          <w:szCs w:val="32"/>
          <w:lang w:bidi="ar"/>
        </w:rPr>
        <w:t>一、海峡经济区的范围和形成的必然性、重要性</w:t>
      </w:r>
    </w:p>
    <w:p w14:paraId="45E55D3F">
      <w:pPr>
        <w:spacing w:line="300" w:lineRule="auto"/>
        <w:ind w:firstLine="440" w:firstLineChars="200"/>
        <w:rPr>
          <w:rFonts w:ascii="宋体" w:hAnsi="宋体" w:eastAsia="宋体" w:cs="Times New Roman"/>
          <w:b/>
        </w:rPr>
      </w:pPr>
      <w:r>
        <w:rPr>
          <w:rFonts w:hint="eastAsia" w:ascii="宋体" w:hAnsi="宋体" w:eastAsia="宋体" w:cs="Times New Roman"/>
          <w:b/>
          <w:lang w:bidi="ar"/>
        </w:rPr>
        <w:t>1、关于海峡经济区的空间范围界定</w:t>
      </w:r>
    </w:p>
    <w:p w14:paraId="5A95DF95">
      <w:pPr>
        <w:spacing w:line="300" w:lineRule="auto"/>
        <w:ind w:firstLine="440" w:firstLineChars="200"/>
        <w:rPr>
          <w:rFonts w:ascii="宋体" w:hAnsi="宋体" w:eastAsia="宋体" w:cs="Times New Roman"/>
        </w:rPr>
      </w:pPr>
      <w:r>
        <w:rPr>
          <w:rFonts w:hint="eastAsia" w:ascii="宋体" w:hAnsi="宋体" w:eastAsia="宋体" w:cs="Times New Roman"/>
          <w:lang w:bidi="ar"/>
        </w:rPr>
        <w:t>台湾海峡区域，从地理角度来看，一般认为是指台湾海峡两岸毗邻的闽台两省及粤东、赣南和浙南的部分地区所组成的地域。[1]本文认为，海峡经济区的范围具体是台湾和福建两个省份，其他属于辐射和波及范围。之所以把范围界定在这样一个相对较小的空间内，一是突出经济区的核心实力，强调中心城市的地位；二是考虑到现实行政区划的作用；三是为了数据分析的可获得性。2、海峡经济区形成的客观必然性海峡经济区的形成属于区域经济整合的过程。国内外实践表明，区域经济整合的最佳条件是：</w:t>
      </w:r>
      <w:r>
        <w:rPr>
          <w:rFonts w:hint="eastAsia" w:ascii="宋体" w:hAnsi="宋体" w:eastAsia="宋体" w:cs="Times New Roman"/>
          <w:lang w:bidi="ar"/>
        </w:rPr>
        <w:fldChar w:fldCharType="begin"/>
      </w:r>
      <w:r>
        <w:rPr>
          <w:rFonts w:hint="eastAsia" w:ascii="宋体" w:hAnsi="宋体" w:eastAsia="宋体" w:cs="Times New Roman"/>
          <w:lang w:bidi="ar"/>
        </w:rPr>
        <w:instrText xml:space="preserve"> eq \o\ac(○,</w:instrText>
      </w:r>
      <w:r>
        <w:rPr>
          <w:rFonts w:hint="eastAsia" w:ascii="宋体" w:hAnsi="宋体" w:eastAsia="宋体" w:cs="Times New Roman"/>
          <w:position w:val="3"/>
          <w:sz w:val="15"/>
          <w:lang w:bidi="ar"/>
        </w:rPr>
        <w:instrText xml:space="preserve">1</w:instrText>
      </w:r>
      <w:r>
        <w:rPr>
          <w:rFonts w:hint="eastAsia" w:ascii="宋体" w:hAnsi="宋体" w:eastAsia="宋体" w:cs="Times New Roman"/>
          <w:lang w:bidi="ar"/>
        </w:rPr>
        <w:instrText xml:space="preserve">)</w:instrText>
      </w:r>
      <w:r>
        <w:rPr>
          <w:rFonts w:hint="eastAsia" w:ascii="宋体" w:hAnsi="宋体" w:eastAsia="宋体" w:cs="Times New Roman"/>
          <w:lang w:bidi="ar"/>
        </w:rPr>
        <w:fldChar w:fldCharType="end"/>
      </w:r>
      <w:r>
        <w:rPr>
          <w:rFonts w:hint="eastAsia" w:ascii="宋体" w:hAnsi="宋体" w:eastAsia="宋体" w:cs="Times New Roman"/>
          <w:lang w:bidi="ar"/>
        </w:rPr>
        <w:t>地理与民族文化渊源；</w:t>
      </w:r>
      <w:r>
        <w:rPr>
          <w:rFonts w:hint="eastAsia" w:ascii="宋体" w:hAnsi="宋体" w:eastAsia="宋体" w:cs="Times New Roman"/>
          <w:lang w:bidi="ar"/>
        </w:rPr>
        <w:fldChar w:fldCharType="begin"/>
      </w:r>
      <w:r>
        <w:rPr>
          <w:rFonts w:hint="eastAsia" w:ascii="宋体" w:hAnsi="宋体" w:eastAsia="宋体" w:cs="Times New Roman"/>
          <w:lang w:bidi="ar"/>
        </w:rPr>
        <w:instrText xml:space="preserve"> eq \o\ac(○,</w:instrText>
      </w:r>
      <w:r>
        <w:rPr>
          <w:rFonts w:hint="eastAsia" w:ascii="宋体" w:hAnsi="宋体" w:eastAsia="宋体" w:cs="Times New Roman"/>
          <w:position w:val="3"/>
          <w:sz w:val="15"/>
          <w:lang w:bidi="ar"/>
        </w:rPr>
        <w:instrText xml:space="preserve">2</w:instrText>
      </w:r>
      <w:r>
        <w:rPr>
          <w:rFonts w:hint="eastAsia" w:ascii="宋体" w:hAnsi="宋体" w:eastAsia="宋体" w:cs="Times New Roman"/>
          <w:lang w:bidi="ar"/>
        </w:rPr>
        <w:instrText xml:space="preserve">)</w:instrText>
      </w:r>
      <w:r>
        <w:rPr>
          <w:rFonts w:hint="eastAsia" w:ascii="宋体" w:hAnsi="宋体" w:eastAsia="宋体" w:cs="Times New Roman"/>
          <w:lang w:bidi="ar"/>
        </w:rPr>
        <w:fldChar w:fldCharType="end"/>
      </w:r>
      <w:r>
        <w:rPr>
          <w:rFonts w:hint="eastAsia" w:ascii="宋体" w:hAnsi="宋体" w:eastAsia="宋体" w:cs="Times New Roman"/>
          <w:lang w:bidi="ar"/>
        </w:rPr>
        <w:t>资源禀赋和产业结构的互补性；</w:t>
      </w:r>
      <w:r>
        <w:rPr>
          <w:rFonts w:hint="eastAsia" w:ascii="宋体" w:hAnsi="宋体" w:eastAsia="宋体" w:cs="Times New Roman"/>
          <w:lang w:bidi="ar"/>
        </w:rPr>
        <w:fldChar w:fldCharType="begin"/>
      </w:r>
      <w:r>
        <w:rPr>
          <w:rFonts w:hint="eastAsia" w:ascii="宋体" w:hAnsi="宋体" w:eastAsia="宋体" w:cs="Times New Roman"/>
          <w:lang w:bidi="ar"/>
        </w:rPr>
        <w:instrText xml:space="preserve"> eq \o\ac(○,</w:instrText>
      </w:r>
      <w:r>
        <w:rPr>
          <w:rFonts w:hint="eastAsia" w:ascii="宋体" w:hAnsi="宋体" w:eastAsia="宋体" w:cs="Times New Roman"/>
          <w:position w:val="3"/>
          <w:sz w:val="15"/>
          <w:lang w:bidi="ar"/>
        </w:rPr>
        <w:instrText xml:space="preserve">3</w:instrText>
      </w:r>
      <w:r>
        <w:rPr>
          <w:rFonts w:hint="eastAsia" w:ascii="宋体" w:hAnsi="宋体" w:eastAsia="宋体" w:cs="Times New Roman"/>
          <w:lang w:bidi="ar"/>
        </w:rPr>
        <w:instrText xml:space="preserve">)</w:instrText>
      </w:r>
      <w:r>
        <w:rPr>
          <w:rFonts w:hint="eastAsia" w:ascii="宋体" w:hAnsi="宋体" w:eastAsia="宋体" w:cs="Times New Roman"/>
          <w:lang w:bidi="ar"/>
        </w:rPr>
        <w:fldChar w:fldCharType="end"/>
      </w:r>
      <w:r>
        <w:rPr>
          <w:rFonts w:hint="eastAsia" w:ascii="宋体" w:hAnsi="宋体" w:eastAsia="宋体" w:cs="Times New Roman"/>
          <w:lang w:bidi="ar"/>
        </w:rPr>
        <w:t>商品和生产要素的自然转移；</w:t>
      </w:r>
      <w:r>
        <w:rPr>
          <w:rFonts w:hint="eastAsia" w:ascii="宋体" w:hAnsi="宋体" w:eastAsia="宋体" w:cs="Times New Roman"/>
          <w:lang w:bidi="ar"/>
        </w:rPr>
        <w:fldChar w:fldCharType="begin"/>
      </w:r>
      <w:r>
        <w:rPr>
          <w:rFonts w:hint="eastAsia" w:ascii="宋体" w:hAnsi="宋体" w:eastAsia="宋体" w:cs="Times New Roman"/>
          <w:lang w:bidi="ar"/>
        </w:rPr>
        <w:instrText xml:space="preserve"> eq \o\ac(○,</w:instrText>
      </w:r>
      <w:r>
        <w:rPr>
          <w:rFonts w:hint="eastAsia" w:ascii="宋体" w:hAnsi="宋体" w:eastAsia="宋体" w:cs="Times New Roman"/>
          <w:position w:val="3"/>
          <w:sz w:val="15"/>
          <w:lang w:bidi="ar"/>
        </w:rPr>
        <w:instrText xml:space="preserve">4</w:instrText>
      </w:r>
      <w:r>
        <w:rPr>
          <w:rFonts w:hint="eastAsia" w:ascii="宋体" w:hAnsi="宋体" w:eastAsia="宋体" w:cs="Times New Roman"/>
          <w:lang w:bidi="ar"/>
        </w:rPr>
        <w:instrText xml:space="preserve">)</w:instrText>
      </w:r>
      <w:r>
        <w:rPr>
          <w:rFonts w:hint="eastAsia" w:ascii="宋体" w:hAnsi="宋体" w:eastAsia="宋体" w:cs="Times New Roman"/>
          <w:lang w:bidi="ar"/>
        </w:rPr>
        <w:fldChar w:fldCharType="end"/>
      </w:r>
      <w:r>
        <w:rPr>
          <w:rFonts w:hint="eastAsia" w:ascii="宋体" w:hAnsi="宋体" w:eastAsia="宋体" w:cs="Times New Roman"/>
          <w:lang w:bidi="ar"/>
        </w:rPr>
        <w:t>开放的政策环境或相同的政策、法律体系；</w:t>
      </w:r>
      <w:r>
        <w:rPr>
          <w:rFonts w:hint="eastAsia" w:ascii="宋体" w:hAnsi="宋体" w:eastAsia="宋体" w:cs="Times New Roman"/>
          <w:lang w:bidi="ar"/>
        </w:rPr>
        <w:fldChar w:fldCharType="begin"/>
      </w:r>
      <w:r>
        <w:rPr>
          <w:rFonts w:hint="eastAsia" w:ascii="宋体" w:hAnsi="宋体" w:eastAsia="宋体" w:cs="Times New Roman"/>
          <w:lang w:bidi="ar"/>
        </w:rPr>
        <w:instrText xml:space="preserve"> eq \o\ac(○,</w:instrText>
      </w:r>
      <w:r>
        <w:rPr>
          <w:rFonts w:hint="eastAsia" w:ascii="宋体" w:hAnsi="宋体" w:eastAsia="宋体" w:cs="Times New Roman"/>
          <w:position w:val="3"/>
          <w:sz w:val="15"/>
          <w:lang w:bidi="ar"/>
        </w:rPr>
        <w:instrText xml:space="preserve">5</w:instrText>
      </w:r>
      <w:r>
        <w:rPr>
          <w:rFonts w:hint="eastAsia" w:ascii="宋体" w:hAnsi="宋体" w:eastAsia="宋体" w:cs="Times New Roman"/>
          <w:lang w:bidi="ar"/>
        </w:rPr>
        <w:instrText xml:space="preserve">)</w:instrText>
      </w:r>
      <w:r>
        <w:rPr>
          <w:rFonts w:hint="eastAsia" w:ascii="宋体" w:hAnsi="宋体" w:eastAsia="宋体" w:cs="Times New Roman"/>
          <w:lang w:bidi="ar"/>
        </w:rPr>
        <w:fldChar w:fldCharType="end"/>
      </w:r>
      <w:r>
        <w:rPr>
          <w:rFonts w:hint="eastAsia" w:ascii="宋体" w:hAnsi="宋体" w:eastAsia="宋体" w:cs="Times New Roman"/>
          <w:lang w:bidi="ar"/>
        </w:rPr>
        <w:t>类似或相同的经济体制和运行机制。[2]</w:t>
      </w:r>
    </w:p>
    <w:p w14:paraId="53933AFF">
      <w:pPr>
        <w:spacing w:line="300" w:lineRule="auto"/>
        <w:ind w:firstLine="440" w:firstLineChars="200"/>
        <w:rPr>
          <w:rFonts w:ascii="宋体" w:hAnsi="宋体" w:eastAsia="宋体" w:cs="Times New Roman"/>
          <w:b/>
        </w:rPr>
      </w:pPr>
      <w:r>
        <w:rPr>
          <w:rFonts w:hint="eastAsia" w:ascii="宋体" w:hAnsi="宋体" w:eastAsia="宋体" w:cs="Times New Roman"/>
          <w:b/>
          <w:lang w:bidi="ar"/>
        </w:rPr>
        <w:t>2.海峡经济区形成的客观必然性</w:t>
      </w:r>
    </w:p>
    <w:p w14:paraId="3EDFD01D">
      <w:pPr>
        <w:spacing w:line="300" w:lineRule="auto"/>
        <w:ind w:firstLine="440" w:firstLineChars="200"/>
        <w:rPr>
          <w:rFonts w:ascii="宋体" w:hAnsi="宋体" w:eastAsia="宋体" w:cs="Times New Roman"/>
        </w:rPr>
      </w:pPr>
      <w:r>
        <w:rPr>
          <w:rFonts w:hint="eastAsia" w:ascii="宋体" w:hAnsi="宋体" w:eastAsia="宋体" w:cs="Times New Roman"/>
          <w:lang w:bidi="ar"/>
        </w:rPr>
        <w:t>由闽台两省构成的海峡经济区域，虽然还存在着政治因素的限制，但客观存在的自然、社会和经济因素决定了其形成的必然性。</w:t>
      </w:r>
    </w:p>
    <w:p w14:paraId="074CD37E">
      <w:pPr>
        <w:spacing w:line="300" w:lineRule="auto"/>
        <w:ind w:firstLine="440" w:firstLineChars="200"/>
        <w:rPr>
          <w:rFonts w:ascii="宋体" w:hAnsi="宋体" w:eastAsia="宋体" w:cs="Times New Roman"/>
        </w:rPr>
      </w:pPr>
      <w:r>
        <w:rPr>
          <w:rFonts w:hint="eastAsia" w:ascii="宋体" w:hAnsi="宋体" w:eastAsia="宋体" w:cs="Times New Roman"/>
          <w:lang w:bidi="ar"/>
        </w:rPr>
        <w:t>第一，自然地理、历史文化、亲情血缘等因素，使海峡经济区具有特殊的自然和文化背景。海峡两岸一水之隔，平均距离仅190公里，最窄处只有130公里，可谓咫尺相望。从历史角度看，闽台关系源远流长。两岸的自然气候、海岸地貌、地质植被都有相同之处，语言相通，习俗也相近，更有血浓于水的亲缘、血缘关系，历代往来密切。现今台湾80%人口祖藉在福建。所以，虽然两省的政治和经济的根本制度不同，但其经济整合的自然地理和人文社会基础是牢固的。</w:t>
      </w:r>
    </w:p>
    <w:p w14:paraId="331ACB44">
      <w:pPr>
        <w:spacing w:line="300" w:lineRule="auto"/>
        <w:ind w:firstLine="440" w:firstLineChars="200"/>
        <w:rPr>
          <w:rFonts w:ascii="宋体" w:hAnsi="宋体" w:eastAsia="宋体" w:cs="Times New Roman"/>
        </w:rPr>
      </w:pPr>
      <w:r>
        <w:rPr>
          <w:rFonts w:hint="eastAsia" w:ascii="宋体" w:hAnsi="宋体" w:eastAsia="宋体" w:cs="Times New Roman"/>
          <w:lang w:bidi="ar"/>
        </w:rPr>
        <w:t>第二，改革开放和“ 一国两制”构想，为海峡经济区奠定了方针和体制条件。自“ 和平统一、一国两制”方针确立以来，中央政府在推动大陆与港澳台地区的经济和文化交流方面做了许多工作，在政策上给予支持，对粤闽实行“ 特殊政策，灵活措施”。随着改革开放的深入，我国大陆与港澳台的经济合作日益密切，呈共生共荣的局面。自两岸关系缓和以来，闽台由于地理和历史原因，经贸合作一直居全国前列，并已形成良性互动之势，为进一步进行经济整合奠定了坚实基础。</w:t>
      </w:r>
    </w:p>
    <w:p w14:paraId="37D19244">
      <w:pPr>
        <w:spacing w:line="300" w:lineRule="auto"/>
        <w:ind w:firstLine="440" w:firstLineChars="200"/>
        <w:rPr>
          <w:rFonts w:ascii="宋体" w:hAnsi="宋体" w:eastAsia="宋体" w:cs="Times New Roman"/>
        </w:rPr>
      </w:pPr>
      <w:r>
        <w:rPr>
          <w:rFonts w:hint="eastAsia" w:ascii="宋体" w:hAnsi="宋体" w:eastAsia="宋体" w:cs="Times New Roman"/>
          <w:lang w:bidi="ar"/>
        </w:rPr>
        <w:t>第三，资源禀赋和经贸优势的较强互补性，是海峡经济区的产业耦合和互利的经济基础。一方面，廉价的土地、劳动力和自然资源，广阔的腹地市场，较完整的工业和国民经济体系，是台湾所短缺和摆脱经济困境的可用要素，而福建可以在一定程度上予以提供；另一方面，台湾岛屿经济的特点使得其较早地融入了经济全球化进程中，在世界市场竞争中得到一定的发展，已进入新兴工业化地区之列，其中某些高科技产业较发达，形成了以电子信息产业为主的对外投资模式，其中某些资金、技术和管理是福建经济发展所需要的条件。这在客观上便形成产业结构等领域的互补合作之态势。</w:t>
      </w:r>
    </w:p>
    <w:p w14:paraId="5C7F9A35">
      <w:pPr>
        <w:spacing w:line="300" w:lineRule="auto"/>
        <w:ind w:firstLine="440" w:firstLineChars="200"/>
        <w:rPr>
          <w:rFonts w:ascii="宋体" w:hAnsi="宋体" w:eastAsia="宋体" w:cs="Times New Roman"/>
          <w:b/>
        </w:rPr>
      </w:pPr>
      <w:r>
        <w:rPr>
          <w:rFonts w:hint="eastAsia" w:ascii="宋体" w:hAnsi="宋体" w:eastAsia="宋体" w:cs="Times New Roman"/>
          <w:b/>
          <w:lang w:bidi="ar"/>
        </w:rPr>
        <w:t>3、海峡经济区的战略重要性</w:t>
      </w:r>
    </w:p>
    <w:p w14:paraId="4070F212">
      <w:pPr>
        <w:spacing w:line="300" w:lineRule="auto"/>
        <w:ind w:firstLine="440" w:firstLineChars="200"/>
        <w:rPr>
          <w:rFonts w:ascii="宋体" w:hAnsi="宋体" w:eastAsia="宋体" w:cs="Times New Roman"/>
        </w:rPr>
      </w:pPr>
      <w:r>
        <w:rPr>
          <w:rFonts w:hint="eastAsia" w:ascii="宋体" w:hAnsi="宋体" w:eastAsia="宋体" w:cs="Times New Roman"/>
          <w:lang w:bidi="ar"/>
        </w:rPr>
        <w:t>从世界版图上看，台湾海峡经济区东临太平洋、内含台湾海峡，是我国内陆地区进入西太平洋的捷径，既是东北亚与东南亚，也是祖国大陆与欧美等太平洋各国往来的战略交通要道，因而地理位置得天独厚。</w:t>
      </w:r>
    </w:p>
    <w:p w14:paraId="62E9F968">
      <w:pPr>
        <w:spacing w:line="300" w:lineRule="auto"/>
        <w:ind w:firstLine="440" w:firstLineChars="200"/>
        <w:rPr>
          <w:rFonts w:ascii="宋体" w:hAnsi="宋体" w:eastAsia="宋体" w:cs="Times New Roman"/>
        </w:rPr>
      </w:pPr>
      <w:r>
        <w:rPr>
          <w:rFonts w:hint="eastAsia" w:ascii="宋体" w:hAnsi="宋体" w:eastAsia="宋体" w:cs="Times New Roman"/>
          <w:lang w:bidi="ar"/>
        </w:rPr>
        <w:t>从国内沿海经济发展看，海峡经济区北接长江三角洲经济区，南连珠江三角洲，是国内最大的经济区的联结点。同时福州、厦门、泉州等港口是我国广大的内陆腹地与港澳台地区往来最频繁的口岸。1996年的福州、厦门对台直航试点，充分说明了此区域作为两岸贸易、货物和人员往来“ 通道”的重要经济地位。</w:t>
      </w:r>
    </w:p>
    <w:p w14:paraId="5F1CB934">
      <w:pPr>
        <w:spacing w:line="300" w:lineRule="auto"/>
        <w:ind w:firstLine="440" w:firstLineChars="200"/>
        <w:rPr>
          <w:rFonts w:ascii="宋体" w:hAnsi="宋体" w:eastAsia="宋体" w:cs="Times New Roman"/>
          <w:b/>
        </w:rPr>
      </w:pPr>
      <w:r>
        <w:rPr>
          <w:rFonts w:hint="eastAsia" w:ascii="宋体" w:hAnsi="宋体" w:eastAsia="宋体" w:cs="Times New Roman"/>
          <w:lang w:bidi="ar"/>
        </w:rPr>
        <w:t>简言之，海峡经济区的积极构建和发展，既可以促进其自身的经济高速发展，推动大中华整体经济的进一步提升，又可以加深互信、互动和互利，最终实现和平统一的民族团结。</w:t>
      </w:r>
    </w:p>
    <w:p w14:paraId="59CEC0A5">
      <w:pPr>
        <w:spacing w:before="147" w:beforeLines="50" w:after="147" w:afterLines="50" w:line="300" w:lineRule="auto"/>
        <w:ind w:firstLine="500" w:firstLineChars="200"/>
        <w:jc w:val="center"/>
        <w:rPr>
          <w:rFonts w:ascii="等线 Light" w:hAnsi="等线 Light" w:eastAsia="宋体" w:cs="Times New Roman"/>
          <w:b/>
          <w:bCs/>
          <w:kern w:val="28"/>
          <w:sz w:val="24"/>
          <w:szCs w:val="32"/>
          <w:lang w:bidi="ar"/>
        </w:rPr>
      </w:pPr>
      <w:r>
        <w:rPr>
          <w:rFonts w:hint="eastAsia" w:ascii="等线 Light" w:hAnsi="等线 Light" w:eastAsia="宋体" w:cs="Times New Roman"/>
          <w:b/>
          <w:bCs/>
          <w:kern w:val="28"/>
          <w:sz w:val="24"/>
          <w:szCs w:val="32"/>
          <w:lang w:bidi="ar"/>
        </w:rPr>
        <w:t>二、海峡经济区的发展现状</w:t>
      </w:r>
    </w:p>
    <w:p w14:paraId="4C004B0A">
      <w:pPr>
        <w:spacing w:line="300" w:lineRule="auto"/>
        <w:ind w:firstLine="440" w:firstLineChars="200"/>
        <w:rPr>
          <w:rFonts w:ascii="宋体" w:hAnsi="宋体" w:eastAsia="宋体" w:cs="Times New Roman"/>
        </w:rPr>
      </w:pPr>
      <w:r>
        <w:rPr>
          <w:rFonts w:hint="eastAsia" w:ascii="宋体" w:hAnsi="宋体" w:eastAsia="宋体" w:cs="Times New Roman"/>
          <w:lang w:bidi="ar"/>
        </w:rPr>
        <w:t>福建省的经济发展一直居于全国前列。其综合实力数据见表1。</w:t>
      </w:r>
    </w:p>
    <w:p w14:paraId="633156BC">
      <w:pPr>
        <w:spacing w:line="300" w:lineRule="auto"/>
        <w:ind w:firstLine="440" w:firstLineChars="200"/>
        <w:rPr>
          <w:rFonts w:ascii="宋体" w:hAnsi="宋体" w:eastAsia="宋体" w:cs="Times New Roman"/>
        </w:rPr>
      </w:pPr>
      <w:r>
        <w:rPr>
          <w:rFonts w:hint="eastAsia" w:ascii="宋体" w:hAnsi="宋体" w:eastAsia="宋体" w:cs="Times New Roman"/>
          <w:lang w:bidi="ar"/>
        </w:rPr>
        <w:t>表1：福建省若干重要经济指标</w:t>
      </w:r>
    </w:p>
    <w:tbl>
      <w:tblPr>
        <w:tblStyle w:val="17"/>
        <w:tblW w:w="1020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4"/>
        <w:gridCol w:w="1134"/>
        <w:gridCol w:w="1134"/>
        <w:gridCol w:w="1134"/>
        <w:gridCol w:w="1134"/>
        <w:gridCol w:w="1134"/>
        <w:gridCol w:w="1134"/>
        <w:gridCol w:w="1134"/>
        <w:gridCol w:w="1134"/>
      </w:tblGrid>
      <w:tr w14:paraId="137AE7D7">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0DC5A6">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年份</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EDCB5">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GDP（100亿）</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93DB5">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较上年增长%</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B77D47">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人均GDP（元）</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A869A">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进出口总额（亿美元）</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6B0F6">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出口额</w:t>
            </w:r>
          </w:p>
          <w:p w14:paraId="541722A0">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（亿美元）</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F9B23">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第一产业（%）</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3270E">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第二产业（%）</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F366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第三产业（%）</w:t>
            </w:r>
          </w:p>
        </w:tc>
      </w:tr>
      <w:tr w14:paraId="32542572">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7620B">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1998</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B65B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3286.56</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F0BB9C">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9.5</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5AA08">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9962</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4A658">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171.61</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06685">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99.64</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7BC6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18.6</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333560">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42.6</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A1350">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38.8</w:t>
            </w:r>
          </w:p>
        </w:tc>
      </w:tr>
      <w:tr w14:paraId="3AEB381E">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86367">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1999</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223B02">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3550.24</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0FD02">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8.0</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BF56C4">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10706</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E65F0">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176.20</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62E93C">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103.52</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3D08EB">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17.7</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141C45">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42.5</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0A260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39.8</w:t>
            </w:r>
          </w:p>
        </w:tc>
      </w:tr>
      <w:tr w14:paraId="2D3EEC17">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80E9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2000</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9D3004">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3920.07</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51E55D">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10.4</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986735">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11601</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4FED7">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212.23</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085B5A">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129.08</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2FFF66">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16.3</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8A2C1">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43.7</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49E26">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40.0</w:t>
            </w:r>
          </w:p>
        </w:tc>
      </w:tr>
      <w:tr w14:paraId="55D4F0EF">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A8A0AD">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2001</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B6D77">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4253.68</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9D4CB7">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8.5</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588EE">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12362</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5019A">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226.26</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76FD6">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139.22</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A58EBC">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15.3</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23757">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44.8</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3A7FA">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39.9</w:t>
            </w:r>
          </w:p>
        </w:tc>
      </w:tr>
      <w:tr w14:paraId="71E326CE">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8A1FB2">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2002</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CA98CF">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4682.01</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6002A0">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10.1</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E5565D">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13497</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5DCB5A">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283.99</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D6340">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173.71</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1ED40">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14.3</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729AA6">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46.1</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E1A78">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39.7</w:t>
            </w:r>
          </w:p>
        </w:tc>
      </w:tr>
      <w:tr w14:paraId="28749438">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F6617">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2003</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EF51EA">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5232.17</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0A56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11.8</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57A34">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14979</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B3301B">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353.26</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13028">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211.32</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59FC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13.3</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9332B">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47.6</w:t>
            </w:r>
          </w:p>
        </w:tc>
        <w:tc>
          <w:tcPr>
            <w:tcW w:w="11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A1930B">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39.1</w:t>
            </w:r>
          </w:p>
        </w:tc>
      </w:tr>
    </w:tbl>
    <w:p w14:paraId="64D000DF">
      <w:pPr>
        <w:spacing w:line="300" w:lineRule="auto"/>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注：数据来源于《福建省统计年鉴2004》，中国统计出版社2004年版</w:t>
      </w:r>
    </w:p>
    <w:p w14:paraId="5E68B147">
      <w:pPr>
        <w:spacing w:line="300" w:lineRule="auto"/>
        <w:ind w:firstLine="440" w:firstLineChars="200"/>
        <w:rPr>
          <w:rFonts w:ascii="宋体" w:hAnsi="宋体" w:eastAsia="宋体" w:cs="Times New Roman"/>
        </w:rPr>
      </w:pPr>
      <w:r>
        <w:rPr>
          <w:rFonts w:hint="eastAsia" w:ascii="宋体" w:hAnsi="宋体" w:eastAsia="宋体" w:cs="Times New Roman"/>
          <w:lang w:bidi="ar"/>
        </w:rPr>
        <w:t>GDP总量在全国排第11位，其增长速度一般在10%左右，仅&amp;1999年和2001年相对略低，在8%左右。2003年人均GDP指标14979元，合1813美元位居全国第7位，而1997年时为9962元，年均增长率达8.4%。外贸出口额从1997年的99.64亿美元上升到2003年的211.32亿美元，年均增长率达到18.68。另外2003年福建省实际利用外资总额为45.33亿美元，在全国省市排名第四。</w:t>
      </w:r>
    </w:p>
    <w:p w14:paraId="4D1E6C7C">
      <w:pPr>
        <w:spacing w:line="300" w:lineRule="auto"/>
        <w:ind w:firstLine="440" w:firstLineChars="200"/>
        <w:rPr>
          <w:rFonts w:ascii="宋体" w:hAnsi="宋体" w:eastAsia="宋体" w:cs="Times New Roman"/>
        </w:rPr>
      </w:pPr>
      <w:r>
        <w:rPr>
          <w:rFonts w:hint="eastAsia" w:ascii="宋体" w:hAnsi="宋体" w:eastAsia="宋体" w:cs="Times New Roman"/>
          <w:lang w:bidi="ar"/>
        </w:rPr>
        <w:t>接着我们来看一下台湾的相关综合实力，见表2。</w:t>
      </w:r>
    </w:p>
    <w:p w14:paraId="552ED106">
      <w:pPr>
        <w:spacing w:line="300" w:lineRule="auto"/>
        <w:ind w:firstLine="440" w:firstLineChars="200"/>
        <w:rPr>
          <w:rFonts w:ascii="宋体" w:hAnsi="宋体" w:eastAsia="宋体" w:cs="Times New Roman"/>
        </w:rPr>
      </w:pPr>
      <w:r>
        <w:rPr>
          <w:rFonts w:hint="eastAsia" w:ascii="宋体" w:hAnsi="宋体" w:eastAsia="宋体" w:cs="Times New Roman"/>
          <w:lang w:bidi="ar"/>
        </w:rPr>
        <w:t>表2：台湾若干重要经济指标</w:t>
      </w:r>
    </w:p>
    <w:tbl>
      <w:tblPr>
        <w:tblStyle w:val="17"/>
        <w:tblW w:w="1020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4"/>
        <w:gridCol w:w="1134"/>
        <w:gridCol w:w="1134"/>
        <w:gridCol w:w="1134"/>
        <w:gridCol w:w="1134"/>
        <w:gridCol w:w="1134"/>
        <w:gridCol w:w="1134"/>
        <w:gridCol w:w="1134"/>
        <w:gridCol w:w="1134"/>
      </w:tblGrid>
      <w:tr w14:paraId="7496A86F">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FDF7D0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年份</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B9A05B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GDP（100亿）</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8F8C5D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较上年增长%</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242AAF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人均GDP（美元）</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254432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进出口总额</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E1BCAF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出口额（亿美元）</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A8FFB5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第一产业（%）</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363744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第二产业（%）</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81F46C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第三产业（%）</w:t>
            </w:r>
          </w:p>
        </w:tc>
      </w:tr>
      <w:tr w14:paraId="29411CC5">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858BCC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1998</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C728A9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98389.7</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09EEC5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4.3</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92FAF9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12360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015168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2160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7AB494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1110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BBF95A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2770E2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34.6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39C8FA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62.96</w:t>
            </w:r>
          </w:p>
        </w:tc>
      </w:tr>
      <w:tr w14:paraId="4554BF43">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EA5431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1999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9F9821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92899.3</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71CC07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5.6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88475D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13235</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CF9E4D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2330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6790BA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1220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3FE6AF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F9CE46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23.2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1E8D5D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64.26</w:t>
            </w:r>
          </w:p>
        </w:tc>
      </w:tr>
      <w:tr w14:paraId="288DABEA">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6A6E07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2000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C0F9E8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96633.9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F6DD76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023E2B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14188</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FF926E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2880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EBE7B0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1480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526B92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BDB184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32.4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E27CBA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65.53</w:t>
            </w:r>
          </w:p>
        </w:tc>
      </w:tr>
      <w:tr w14:paraId="5D5DCB71">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C4D73A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2001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3B3A75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95066.2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5F1D9E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D3412F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12876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2A9095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2300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DEDAC8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1320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E44AF2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C936A9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31.1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2BE3D0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66.96</w:t>
            </w:r>
          </w:p>
        </w:tc>
      </w:tr>
      <w:tr w14:paraId="279D1E38">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BD6C0C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2002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C8E2E4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97343.5</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3C7834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BAC107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12900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D7567F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2431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7623AA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1306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A2DE28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8EE47E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31.0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5FCF3A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67.11</w:t>
            </w:r>
          </w:p>
        </w:tc>
      </w:tr>
      <w:tr w14:paraId="61379521">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B64311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2003</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DE29AC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98475.6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24F29A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1.8</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35F2CC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13157</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504714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2714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B1E157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1442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D205F5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1.8</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7034E6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30.4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8F3EC7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76.79</w:t>
            </w:r>
          </w:p>
        </w:tc>
      </w:tr>
    </w:tbl>
    <w:p w14:paraId="4B8FCF12">
      <w:pPr>
        <w:spacing w:line="300" w:lineRule="auto"/>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注：数据来源于《福建省统计年鉴2004》，中国统计出版社2004年版</w:t>
      </w:r>
    </w:p>
    <w:p w14:paraId="678BC85F">
      <w:pPr>
        <w:spacing w:line="300" w:lineRule="auto"/>
        <w:ind w:firstLine="440" w:firstLineChars="200"/>
        <w:rPr>
          <w:rFonts w:ascii="宋体" w:hAnsi="宋体" w:eastAsia="宋体" w:cs="Times New Roman"/>
        </w:rPr>
      </w:pPr>
      <w:r>
        <w:rPr>
          <w:rFonts w:hint="eastAsia" w:ascii="宋体" w:hAnsi="宋体" w:eastAsia="宋体" w:cs="Times New Roman"/>
          <w:lang w:bidi="ar"/>
        </w:rPr>
        <w:t>台湾除了2001年11%的负增长外，其他各年的增长率均在3%以上。人均) GDP直在1万美元以上，2003年为1.32万美元。在外贸出口上，尽管2001年下降较大，但2002年开始回升，虽然增长率只有3.13%,，可是其基数比较大，而且高附加值的科技产品比重较大。在利用外资方面，其外资主要来源于美国和日本，由于近年来台湾岛内的投资环境相对恶化，外资流入较少。而台湾对外，尤其是对中国大陆的投资一直处于增长状态。</w:t>
      </w:r>
    </w:p>
    <w:p w14:paraId="7703CAF8">
      <w:pPr>
        <w:spacing w:line="300" w:lineRule="auto"/>
        <w:ind w:firstLine="440" w:firstLineChars="200"/>
        <w:rPr>
          <w:rFonts w:ascii="宋体" w:hAnsi="宋体" w:eastAsia="宋体" w:cs="Times New Roman"/>
        </w:rPr>
      </w:pPr>
      <w:r>
        <w:rPr>
          <w:rFonts w:hint="eastAsia" w:ascii="宋体" w:hAnsi="宋体" w:eastAsia="宋体" w:cs="Times New Roman"/>
          <w:lang w:bidi="ar"/>
        </w:rPr>
        <w:t>2003年福建人口3488万人，台湾22605万人，约为1.5倍，这一倍数接近实际劳动力人数比。在三大产业结构上，福建为133.3:47.6:39.1， 较之于台湾的1.8:30.4:76.79，两地的产业构成差异明显反映出处于经济发展的不同阶段和不同层次。</w:t>
      </w:r>
    </w:p>
    <w:p w14:paraId="07B03EFE">
      <w:pPr>
        <w:spacing w:line="300" w:lineRule="auto"/>
        <w:ind w:firstLine="440" w:firstLineChars="200"/>
        <w:rPr>
          <w:rFonts w:ascii="宋体" w:hAnsi="宋体" w:eastAsia="宋体" w:cs="Times New Roman"/>
        </w:rPr>
      </w:pPr>
      <w:r>
        <w:rPr>
          <w:rFonts w:hint="eastAsia" w:ascii="宋体" w:hAnsi="宋体" w:eastAsia="宋体" w:cs="Times New Roman"/>
          <w:lang w:bidi="ar"/>
        </w:rPr>
        <w:t>在闽台经济交往和关系上，有一个突出的情况：</w:t>
      </w:r>
    </w:p>
    <w:p w14:paraId="7A235F9F">
      <w:pPr>
        <w:spacing w:line="300" w:lineRule="auto"/>
        <w:ind w:firstLine="440" w:firstLineChars="200"/>
        <w:rPr>
          <w:rFonts w:ascii="宋体" w:hAnsi="宋体" w:eastAsia="宋体" w:cs="Times New Roman"/>
        </w:rPr>
      </w:pPr>
      <w:r>
        <w:rPr>
          <w:rFonts w:hint="eastAsia" w:ascii="宋体" w:hAnsi="宋体" w:eastAsia="宋体" w:cs="Times New Roman"/>
          <w:lang w:bidi="ar"/>
        </w:rPr>
        <w:t>第一，贸易发展较快。据福州海关提供的资料，2004年闽台贸易额达43.56亿美元，增长22.03%；其中进口36.8亿美元，增长20.63%,，出口6.76亿美元，增长30%,。同年福建自台进口依旧高速增长，对台出口速度加快。台湾是福建最大的货物来源地，2004年福建自台进口增幅始终稳定在两位数；福建对台出口增幅超过30%,，高出进口增幅9.7个百分点。自2002年11月开始，大陆取代美国成为台湾最大的出口目的地，其中65%的出口额来自于大陆台商的回岛采购。</w:t>
      </w:r>
    </w:p>
    <w:p w14:paraId="7E7A5327">
      <w:pPr>
        <w:spacing w:line="300" w:lineRule="auto"/>
        <w:ind w:firstLine="440" w:firstLineChars="200"/>
        <w:rPr>
          <w:rFonts w:ascii="宋体" w:hAnsi="宋体" w:eastAsia="宋体" w:cs="Times New Roman"/>
        </w:rPr>
      </w:pPr>
      <w:r>
        <w:rPr>
          <w:rFonts w:hint="eastAsia" w:ascii="宋体" w:hAnsi="宋体" w:eastAsia="宋体" w:cs="Times New Roman"/>
          <w:lang w:bidi="ar"/>
        </w:rPr>
        <w:t>福建沿海设有13个对台小额贸易口岸，许多地方还设有对台贸易市场和保税仓库。两岸民间小额贸易由海上到陆上，由以物易物到货币交易，已形成福建通往金、马、澎、台的民间桥梁，其势不可阻挡。</w:t>
      </w:r>
    </w:p>
    <w:p w14:paraId="2E8C2EE1">
      <w:pPr>
        <w:spacing w:line="300" w:lineRule="auto"/>
        <w:ind w:firstLine="440" w:firstLineChars="200"/>
        <w:rPr>
          <w:rFonts w:ascii="宋体" w:hAnsi="宋体" w:eastAsia="宋体" w:cs="Times New Roman"/>
        </w:rPr>
      </w:pPr>
      <w:r>
        <w:rPr>
          <w:rFonts w:hint="eastAsia" w:ascii="宋体" w:hAnsi="宋体" w:eastAsia="宋体" w:cs="Times New Roman"/>
          <w:lang w:bidi="ar"/>
        </w:rPr>
        <w:t>第二，投资增幅较大。据台湾“ 经济部投审会”公布的数据，2002年台湾对大陆投资金额为38.59亿美元，较上年增长38.6%，占整体岛外投资金额53.98%。2003年全年台湾核准赴祖国大陆投资金额为45.95亿美元，较上年增长19.07%，约占大陆所有外来直接投资的8.59%。其中至2003年底，福建批准台资项目累计7600余项，合同利用台资&amp;%#/!亿美元，实际到资额达到100亿美元以上。台资占福建利用外资的22%同一数据在1996年末为33.3%，成为仅次于港澳的第二大外资来源。台资企业已涉足工、农、科、教、文、卫、金融（ 股票）、基础设施建设等各个领域。闽台两地已形成“ 台湾接单，福建生产；台湾开单，福建提货；福建资源，台湾加工”的密切关系。以台资投资为主的电子、石化、汽车等产业，已经成为福建省的主导产业。</w:t>
      </w:r>
    </w:p>
    <w:p w14:paraId="5EA9CF17">
      <w:pPr>
        <w:spacing w:line="300" w:lineRule="auto"/>
        <w:ind w:firstLine="440" w:firstLineChars="200"/>
        <w:rPr>
          <w:rFonts w:ascii="宋体" w:hAnsi="宋体" w:eastAsia="宋体" w:cs="Times New Roman"/>
        </w:rPr>
      </w:pPr>
      <w:r>
        <w:rPr>
          <w:rFonts w:hint="eastAsia" w:ascii="宋体" w:hAnsi="宋体" w:eastAsia="宋体" w:cs="Times New Roman"/>
          <w:lang w:bidi="ar"/>
        </w:rPr>
        <w:t>近年外商投资企业在闽台贸易中仍占主导地位，但比重有所下降。2004年外资企业对台进出口33.4亿美元，增长17.71%，占闽台贸易的比重为76.7%；国有企业和私营企业对台进出口有较快增长。</w:t>
      </w:r>
    </w:p>
    <w:p w14:paraId="08AA249F">
      <w:pPr>
        <w:spacing w:line="300" w:lineRule="auto"/>
        <w:ind w:firstLine="440" w:firstLineChars="200"/>
        <w:rPr>
          <w:rFonts w:ascii="宋体" w:hAnsi="宋体" w:eastAsia="宋体" w:cs="Times New Roman"/>
        </w:rPr>
      </w:pPr>
      <w:r>
        <w:rPr>
          <w:rFonts w:hint="eastAsia" w:ascii="宋体" w:hAnsi="宋体" w:eastAsia="宋体" w:cs="Times New Roman"/>
          <w:lang w:bidi="ar"/>
        </w:rPr>
        <w:t>据统计，台湾对大陆的投资不仅改善了其岛内的经济结构，即台湾大批劳动密集型工业和一部分技术密集、资金密集工业相继转移到福建，而且给其带来了巨大的投资回报。</w:t>
      </w:r>
    </w:p>
    <w:p w14:paraId="45C6DB85">
      <w:pPr>
        <w:spacing w:line="300" w:lineRule="auto"/>
        <w:ind w:firstLine="440" w:firstLineChars="200"/>
        <w:rPr>
          <w:rFonts w:ascii="宋体" w:hAnsi="宋体" w:eastAsia="宋体" w:cs="Times New Roman"/>
        </w:rPr>
      </w:pPr>
      <w:r>
        <w:rPr>
          <w:rFonts w:hint="eastAsia" w:ascii="宋体" w:hAnsi="宋体" w:eastAsia="宋体" w:cs="Times New Roman"/>
          <w:lang w:bidi="ar"/>
        </w:rPr>
        <w:t>第三，人员来往较多。据统计，2004年福建省赴台交流项目达389批4454人次。2004年1月至11月间，来闽台胞达4157万人次。伴随着2004年12月7日福建省居民赴金门旅游的正式启动，使闽台民间的交流和交往实现了新的突破。</w:t>
      </w:r>
    </w:p>
    <w:p w14:paraId="79C5078F">
      <w:pPr>
        <w:spacing w:line="300" w:lineRule="auto"/>
        <w:ind w:firstLine="440" w:firstLineChars="200"/>
        <w:rPr>
          <w:rFonts w:ascii="宋体" w:hAnsi="宋体" w:eastAsia="宋体" w:cs="Times New Roman"/>
          <w:b/>
        </w:rPr>
      </w:pPr>
      <w:r>
        <w:rPr>
          <w:rFonts w:hint="eastAsia" w:ascii="宋体" w:hAnsi="宋体" w:eastAsia="宋体" w:cs="Times New Roman"/>
          <w:lang w:bidi="ar"/>
        </w:rPr>
        <w:t>第四，农业合作密切。20世纪80年代以来，台商率先在福建沿海地区通过民间渠道，从单向试探性投资到向种植业、养殖业、加工业全面投资发展。截止2002年底，福建省累计批准农业台资项目1500多家，合同利用台资18亿美元，实际到资11亿美元。</w:t>
      </w:r>
    </w:p>
    <w:p w14:paraId="178990E6">
      <w:pPr>
        <w:spacing w:before="147" w:beforeLines="50" w:after="147" w:afterLines="50" w:line="300" w:lineRule="auto"/>
        <w:ind w:firstLine="500" w:firstLineChars="200"/>
        <w:jc w:val="center"/>
        <w:rPr>
          <w:rFonts w:ascii="等线 Light" w:hAnsi="等线 Light" w:eastAsia="宋体" w:cs="Times New Roman"/>
          <w:b/>
          <w:bCs/>
          <w:kern w:val="28"/>
          <w:sz w:val="24"/>
          <w:szCs w:val="32"/>
        </w:rPr>
      </w:pPr>
      <w:r>
        <w:rPr>
          <w:rFonts w:hint="eastAsia" w:ascii="等线 Light" w:hAnsi="等线 Light" w:eastAsia="宋体" w:cs="Times New Roman"/>
          <w:b/>
          <w:bCs/>
          <w:kern w:val="28"/>
          <w:sz w:val="24"/>
          <w:szCs w:val="32"/>
          <w:lang w:bidi="ar"/>
        </w:rPr>
        <w:t>三、与长三角、珠三角和环渤海三大经济区的比较分析</w:t>
      </w:r>
    </w:p>
    <w:p w14:paraId="5D315FC6">
      <w:pPr>
        <w:spacing w:line="300" w:lineRule="auto"/>
        <w:ind w:firstLine="440" w:firstLineChars="200"/>
        <w:rPr>
          <w:rFonts w:ascii="宋体" w:hAnsi="宋体" w:eastAsia="宋体" w:cs="Times New Roman"/>
          <w:b/>
        </w:rPr>
      </w:pPr>
      <w:r>
        <w:rPr>
          <w:rFonts w:hint="eastAsia" w:ascii="宋体" w:hAnsi="宋体" w:eastAsia="宋体" w:cs="Times New Roman"/>
          <w:b/>
          <w:lang w:bidi="ar"/>
        </w:rPr>
        <w:t>（一）各经济区空间地域范围的界定</w:t>
      </w:r>
    </w:p>
    <w:p w14:paraId="2E9D2C5B">
      <w:pPr>
        <w:spacing w:line="300" w:lineRule="auto"/>
        <w:ind w:firstLine="440" w:firstLineChars="200"/>
        <w:rPr>
          <w:rFonts w:ascii="宋体" w:hAnsi="宋体" w:eastAsia="宋体" w:cs="Times New Roman"/>
        </w:rPr>
      </w:pPr>
      <w:r>
        <w:rPr>
          <w:rFonts w:hint="eastAsia" w:ascii="宋体" w:hAnsi="宋体" w:eastAsia="宋体" w:cs="Times New Roman"/>
          <w:lang w:bidi="ar"/>
        </w:rPr>
        <w:t>以往一般认为，长江三角洲经济区涉及两省一个直辖市，其中包括一个直辖市：上海；四个副省级市：杭州、宁波、南京、苏州；10个地级市：浙江的湖州、嘉兴、绍兴、舟山和江苏的无锡、常州、镇江、南通、扬州、泰州，一共15个城市，其核心区域是沪苏锡常杭嘉湖*个。笔者认为，考虑到省级行政区划的相对稳定性，地方政府对区域经济发展的重要影响，以及统计和研究的便利，长江三角洲应该包括江苏、浙江两省的全部和上海，即大长江三角洲的概念。</w:t>
      </w:r>
    </w:p>
    <w:p w14:paraId="522EFE83">
      <w:pPr>
        <w:spacing w:line="300" w:lineRule="auto"/>
        <w:ind w:firstLine="440" w:firstLineChars="200"/>
        <w:rPr>
          <w:rFonts w:ascii="宋体" w:hAnsi="宋体" w:eastAsia="宋体" w:cs="Times New Roman"/>
        </w:rPr>
      </w:pPr>
      <w:r>
        <w:rPr>
          <w:rFonts w:hint="eastAsia" w:ascii="宋体" w:hAnsi="宋体" w:eastAsia="宋体" w:cs="Times New Roman"/>
          <w:lang w:bidi="ar"/>
        </w:rPr>
        <w:t>对于珠江三角洲经济区的覆盖范围，其中包括两个副省级市：广州、深圳；*个地级市：珠海、佛山、江门、东莞、中山、肇庆和惠州。</w:t>
      </w:r>
    </w:p>
    <w:p w14:paraId="5EAEBD7E">
      <w:pPr>
        <w:spacing w:line="300" w:lineRule="auto"/>
        <w:ind w:firstLine="440" w:firstLineChars="200"/>
        <w:rPr>
          <w:rFonts w:ascii="宋体" w:hAnsi="宋体" w:eastAsia="宋体" w:cs="Times New Roman"/>
        </w:rPr>
      </w:pPr>
      <w:r>
        <w:rPr>
          <w:rFonts w:hint="eastAsia" w:ascii="宋体" w:hAnsi="宋体" w:eastAsia="宋体" w:cs="Times New Roman"/>
          <w:lang w:bidi="ar"/>
        </w:rPr>
        <w:t>对于环渤海经济区的范围争议较多，最广义的观点认为包括北京、天津两个直辖市和河北、辽宁、山东三个省的全部以及山西、内蒙的部分地区。这一范围过于广泛，并不符合经济区域概念。本文所指的环渤海经济区，包括北京、天津、河北省的廊坊、保定、唐山、秦皇岛、张家口、承德、沧州。[3]</w:t>
      </w:r>
    </w:p>
    <w:p w14:paraId="70EB90A0">
      <w:pPr>
        <w:spacing w:line="300" w:lineRule="auto"/>
        <w:ind w:firstLine="440" w:firstLineChars="200"/>
        <w:rPr>
          <w:rFonts w:ascii="宋体" w:hAnsi="宋体" w:eastAsia="宋体" w:cs="Times New Roman"/>
          <w:b/>
        </w:rPr>
      </w:pPr>
      <w:r>
        <w:rPr>
          <w:rFonts w:hint="eastAsia" w:ascii="宋体" w:hAnsi="宋体" w:eastAsia="宋体" w:cs="Times New Roman"/>
          <w:b/>
          <w:lang w:bidi="ar"/>
        </w:rPr>
        <w:t>（二）四大经济区横向指标比较</w:t>
      </w:r>
    </w:p>
    <w:p w14:paraId="73B71D78">
      <w:pPr>
        <w:spacing w:line="300" w:lineRule="auto"/>
        <w:ind w:firstLine="440" w:firstLineChars="200"/>
        <w:rPr>
          <w:rFonts w:ascii="宋体" w:hAnsi="宋体" w:eastAsia="宋体" w:cs="Times New Roman"/>
        </w:rPr>
      </w:pPr>
      <w:r>
        <w:rPr>
          <w:rFonts w:hint="eastAsia" w:ascii="宋体" w:hAnsi="宋体" w:eastAsia="宋体" w:cs="Times New Roman"/>
          <w:lang w:bidi="ar"/>
        </w:rPr>
        <w:t>1、综合实力的相关指标的比较，见表3。</w:t>
      </w:r>
    </w:p>
    <w:p w14:paraId="47462EF7">
      <w:pPr>
        <w:spacing w:line="300" w:lineRule="auto"/>
        <w:ind w:firstLine="440" w:firstLineChars="200"/>
        <w:rPr>
          <w:rFonts w:ascii="宋体" w:hAnsi="宋体" w:eastAsia="宋体" w:cs="Times New Roman"/>
        </w:rPr>
      </w:pPr>
      <w:r>
        <w:rPr>
          <w:rFonts w:hint="eastAsia" w:ascii="宋体" w:hAnsi="宋体" w:eastAsia="宋体" w:cs="Times New Roman"/>
          <w:lang w:bidi="ar"/>
        </w:rPr>
        <w:t>表3：四大经济区总量经济指标</w:t>
      </w:r>
    </w:p>
    <w:tbl>
      <w:tblPr>
        <w:tblStyle w:val="17"/>
        <w:tblW w:w="9072"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4"/>
        <w:gridCol w:w="1134"/>
        <w:gridCol w:w="1134"/>
        <w:gridCol w:w="1134"/>
        <w:gridCol w:w="1134"/>
        <w:gridCol w:w="1134"/>
        <w:gridCol w:w="1134"/>
        <w:gridCol w:w="1134"/>
      </w:tblGrid>
      <w:tr w14:paraId="226509BD">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4DBAB6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267311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面积（万平方公里）</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3A3553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人口（万人）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46FC54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GDP（亿元）</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275508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占全国（包括台湾）</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1DD57E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固定资产投资总额（亿元）</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ADB3F6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进出口总额（亿美元）</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FD68BD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实际利用外资（亿美元）</w:t>
            </w:r>
          </w:p>
        </w:tc>
      </w:tr>
      <w:tr w14:paraId="3342B36D">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2FCCAA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海峡经济区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5FF011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15.54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14CF43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4619.5</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FDBBD0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28593.11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9D862C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22.64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48F4E8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8C285C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2784.26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26C1E1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w:t>
            </w:r>
          </w:p>
        </w:tc>
      </w:tr>
      <w:tr w14:paraId="480B1A63">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EFB796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长三角经济区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04E46C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10.02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5AE102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7570.58</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2DFB8A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19124.98</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9712B6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15.14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F9A8A1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6419.96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81B46E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1572.17</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5FEBEF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178.51</w:t>
            </w:r>
          </w:p>
        </w:tc>
      </w:tr>
      <w:tr w14:paraId="3AE04DE9">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516DD0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珠三角经济区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D393E8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2.21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9031FA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2624.92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DFE9A9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9565.29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D449AB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7.57</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AD2C8E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2758.62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DF2170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2118.65</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A00EF8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150.21</w:t>
            </w:r>
          </w:p>
        </w:tc>
      </w:tr>
      <w:tr w14:paraId="7CF6379B">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807662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环渤海经济区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297751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3.25</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84CEC3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2762.34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B3AB41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6552.63</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32E37D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5.19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A28CEF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3011.21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DA69C1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820.03</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373C6D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92.32</w:t>
            </w:r>
          </w:p>
        </w:tc>
      </w:tr>
    </w:tbl>
    <w:p w14:paraId="7E34066A">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资料来源：《2003上海统计年鉴》、《2003江苏统计年鉴》、《2003浙江统计年鉴》和《2003广东统计年鉴》、《2003北京统计年鉴》、《2003河北统计年鉴》，中国统计出版社2004年版。根据相关数据简单加总所得。海峡经济区的数据经过计算得到。</w:t>
      </w:r>
    </w:p>
    <w:p w14:paraId="5A0E8B97">
      <w:pPr>
        <w:spacing w:line="300" w:lineRule="auto"/>
        <w:ind w:firstLine="440" w:firstLineChars="200"/>
        <w:rPr>
          <w:rFonts w:ascii="宋体" w:hAnsi="宋体" w:eastAsia="宋体" w:cs="Times New Roman"/>
        </w:rPr>
      </w:pPr>
      <w:r>
        <w:rPr>
          <w:rFonts w:hint="eastAsia" w:ascii="宋体" w:hAnsi="宋体" w:eastAsia="宋体" w:cs="Times New Roman"/>
          <w:lang w:bidi="ar"/>
        </w:rPr>
        <w:t>从总量指标来看，海峡经济区在地域上更加广阔，GDP总量远远高于其他三个经济区，在全国总量中所占的百分比绝对高出，在进出口总额上也有优势。</w:t>
      </w:r>
    </w:p>
    <w:p w14:paraId="6149427B">
      <w:pPr>
        <w:spacing w:line="300" w:lineRule="auto"/>
        <w:ind w:firstLine="440" w:firstLineChars="200"/>
        <w:rPr>
          <w:rFonts w:ascii="宋体" w:hAnsi="宋体" w:eastAsia="宋体" w:cs="Times New Roman"/>
        </w:rPr>
      </w:pPr>
      <w:r>
        <w:rPr>
          <w:rFonts w:hint="eastAsia" w:ascii="宋体" w:hAnsi="宋体" w:eastAsia="宋体" w:cs="Times New Roman"/>
          <w:lang w:bidi="ar"/>
        </w:rPr>
        <w:t>长三角地区较之珠三角经济区拥有更大的固定资产投资额，但是在进出口总额上低于后者。在近乎5倍的地域面积上，其利用外资总额并没有绝对优势。这说明珠三角经济区具有更为开放的外向型经济。相对而言，环渤海经济区各项指标较为落后。</w:t>
      </w:r>
    </w:p>
    <w:p w14:paraId="0248D09A">
      <w:pPr>
        <w:spacing w:line="300" w:lineRule="auto"/>
        <w:ind w:firstLine="440" w:firstLineChars="200"/>
        <w:rPr>
          <w:rFonts w:ascii="宋体" w:hAnsi="宋体" w:eastAsia="宋体" w:cs="Times New Roman"/>
        </w:rPr>
      </w:pPr>
      <w:r>
        <w:rPr>
          <w:rFonts w:hint="eastAsia" w:ascii="宋体" w:hAnsi="宋体" w:eastAsia="宋体" w:cs="Times New Roman"/>
          <w:lang w:bidi="ar"/>
        </w:rPr>
        <w:t>2、人均指标的比较。</w:t>
      </w:r>
    </w:p>
    <w:p w14:paraId="11844C15">
      <w:pPr>
        <w:spacing w:line="300" w:lineRule="auto"/>
        <w:ind w:firstLine="440" w:firstLineChars="200"/>
        <w:rPr>
          <w:rFonts w:ascii="宋体" w:hAnsi="宋体" w:eastAsia="宋体" w:cs="Times New Roman"/>
        </w:rPr>
      </w:pPr>
      <w:r>
        <w:rPr>
          <w:rFonts w:hint="eastAsia" w:ascii="宋体" w:hAnsi="宋体" w:eastAsia="宋体" w:cs="Times New Roman"/>
          <w:lang w:bidi="ar"/>
        </w:rPr>
        <w:t>由于各个区域的人口，面积等均不一样，采用总量进行比较，不足以说明实力的真实情况，所以表%列出各项人均指标。</w:t>
      </w:r>
    </w:p>
    <w:p w14:paraId="6CB11848">
      <w:pPr>
        <w:spacing w:line="300" w:lineRule="auto"/>
        <w:ind w:firstLine="440" w:firstLineChars="200"/>
        <w:jc w:val="center"/>
        <w:rPr>
          <w:rFonts w:ascii="宋体" w:hAnsi="宋体" w:eastAsia="宋体" w:cs="Times New Roman"/>
        </w:rPr>
      </w:pPr>
      <w:r>
        <w:rPr>
          <w:rFonts w:hint="eastAsia" w:ascii="宋体" w:hAnsi="宋体" w:eastAsia="宋体" w:cs="Times New Roman"/>
          <w:lang w:bidi="ar"/>
        </w:rPr>
        <w:t>表4：四大经济区若干人均经济指标</w:t>
      </w:r>
    </w:p>
    <w:tbl>
      <w:tblPr>
        <w:tblStyle w:val="17"/>
        <w:tblW w:w="5670"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4"/>
        <w:gridCol w:w="1134"/>
        <w:gridCol w:w="1134"/>
        <w:gridCol w:w="1134"/>
        <w:gridCol w:w="1134"/>
      </w:tblGrid>
      <w:tr w14:paraId="3A5E01F2">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45AAD2B">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E3D38C1">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人均GDP（元）</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117E45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人均固定资产投资</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CF0E55D">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人均进出口额</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81479F8">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人均实际利用外资</w:t>
            </w:r>
          </w:p>
        </w:tc>
      </w:tr>
      <w:tr w14:paraId="6D4070B2">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3E0F763">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海峡经济区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962B8C6">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61897</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29B4EE0">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FDCF9C8">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6027</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D9E3EB1">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w:t>
            </w:r>
          </w:p>
        </w:tc>
      </w:tr>
      <w:tr w14:paraId="5F9D30A4">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ED4B51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长三角经济区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B1BDD68">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25262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34AE3BC">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8480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4DCC45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2314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3B55DC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236</w:t>
            </w:r>
          </w:p>
        </w:tc>
      </w:tr>
      <w:tr w14:paraId="0579906D">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A6A7C9A">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珠三角经济区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1026628">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36440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F4A8E43">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10590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9CDFF42">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8071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4D61019">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572</w:t>
            </w:r>
          </w:p>
        </w:tc>
      </w:tr>
      <w:tr w14:paraId="0C36295B">
        <w:trPr>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4D218F0">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环渤海经济区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CC73D4E">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23720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E215A9F">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10901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4B39DF6">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2969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450D8F7">
            <w:pPr>
              <w:ind w:firstLine="320" w:firstLineChars="200"/>
              <w:rPr>
                <w:rFonts w:ascii="宋体" w:hAnsi="宋体" w:eastAsia="宋体" w:cs="Times New Roman"/>
                <w:sz w:val="15"/>
                <w:szCs w:val="15"/>
              </w:rPr>
            </w:pPr>
            <w:r>
              <w:rPr>
                <w:rFonts w:hint="eastAsia" w:ascii="宋体" w:hAnsi="宋体" w:eastAsia="宋体" w:cs="Times New Roman"/>
                <w:sz w:val="15"/>
                <w:szCs w:val="15"/>
                <w:lang w:bidi="ar"/>
              </w:rPr>
              <w:t>334</w:t>
            </w:r>
          </w:p>
        </w:tc>
      </w:tr>
    </w:tbl>
    <w:p w14:paraId="24A974C1">
      <w:pPr>
        <w:spacing w:line="300" w:lineRule="auto"/>
        <w:ind w:firstLine="440" w:firstLineChars="200"/>
        <w:rPr>
          <w:rFonts w:ascii="宋体" w:hAnsi="宋体" w:eastAsia="宋体" w:cs="Times New Roman"/>
        </w:rPr>
      </w:pPr>
      <w:r>
        <w:rPr>
          <w:rFonts w:hint="eastAsia" w:ascii="宋体" w:hAnsi="宋体" w:eastAsia="宋体" w:cs="Times New Roman"/>
          <w:lang w:bidi="ar"/>
        </w:rPr>
        <w:t>从表4中的数据来看，海峡经济区的人均指标要高于其他三个经济区。</w:t>
      </w:r>
    </w:p>
    <w:p w14:paraId="408C254F">
      <w:pPr>
        <w:spacing w:line="300" w:lineRule="auto"/>
        <w:ind w:firstLine="440" w:firstLineChars="200"/>
        <w:rPr>
          <w:rFonts w:ascii="宋体" w:hAnsi="宋体" w:eastAsia="宋体" w:cs="Times New Roman"/>
        </w:rPr>
      </w:pPr>
      <w:r>
        <w:rPr>
          <w:rFonts w:hint="eastAsia" w:ascii="宋体" w:hAnsi="宋体" w:eastAsia="宋体" w:cs="Times New Roman"/>
          <w:lang w:bidi="ar"/>
        </w:rPr>
        <w:t>3、三大产业结构比较，见表5。</w:t>
      </w:r>
    </w:p>
    <w:p w14:paraId="2E861365">
      <w:pPr>
        <w:spacing w:line="300" w:lineRule="auto"/>
        <w:ind w:firstLine="440" w:firstLineChars="200"/>
        <w:jc w:val="center"/>
        <w:rPr>
          <w:rFonts w:ascii="宋体" w:hAnsi="宋体" w:eastAsia="宋体" w:cs="Times New Roman"/>
        </w:rPr>
      </w:pPr>
      <w:r>
        <w:rPr>
          <w:rFonts w:hint="eastAsia" w:ascii="宋体" w:hAnsi="宋体" w:eastAsia="宋体" w:cs="Times New Roman"/>
          <w:lang w:bidi="ar"/>
        </w:rPr>
        <w:t>表5：四大经济区三大产业结构比重</w:t>
      </w:r>
    </w:p>
    <w:tbl>
      <w:tblPr>
        <w:tblStyle w:val="17"/>
        <w:tblW w:w="4536"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4"/>
        <w:gridCol w:w="1134"/>
        <w:gridCol w:w="1134"/>
        <w:gridCol w:w="1134"/>
      </w:tblGrid>
      <w:tr w14:paraId="5827C2C9">
        <w:trPr>
          <w:cantSplit/>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3C9024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26E1BE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第一产业</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F7B481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第二产业</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975AFE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第三产业</w:t>
            </w:r>
          </w:p>
        </w:tc>
      </w:tr>
      <w:tr w14:paraId="624AFA5B">
        <w:trPr>
          <w:cantSplit/>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520233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海峡经济区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F4A79B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5CA58C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33.5</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287B4A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62.6</w:t>
            </w:r>
          </w:p>
        </w:tc>
      </w:tr>
      <w:tr w14:paraId="6EB652E4">
        <w:trPr>
          <w:cantSplit/>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009570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长三角经济区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80332D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5.8</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75E404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51.9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3CE5A7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42.3</w:t>
            </w:r>
          </w:p>
        </w:tc>
      </w:tr>
      <w:tr w14:paraId="32C16797">
        <w:trPr>
          <w:cantSplit/>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A0EE54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珠三角经济区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A5B983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5.6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4A0045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49.3</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5C19A5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45.1</w:t>
            </w:r>
          </w:p>
        </w:tc>
      </w:tr>
      <w:tr w14:paraId="2A818482">
        <w:trPr>
          <w:cantSplit/>
          <w:jc w:val="center"/>
        </w:trPr>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D46B7B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环渤海经济区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773C1D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41C130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42.3</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DE4D86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53.7</w:t>
            </w:r>
          </w:p>
        </w:tc>
      </w:tr>
    </w:tbl>
    <w:p w14:paraId="63095D1D">
      <w:pPr>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注：海峡经济区的指标来自于林珊：《海峡经济区在东南沿海经济带中的战略地位》，《亚太经济》2004年第4期。其他三个经济区的指标来自于洪银兴、刘志彪主编《长江三角洲地区经济发展的模式和机制》，清华大学出版社2003年版，第10-12页。</w:t>
      </w:r>
    </w:p>
    <w:p w14:paraId="2925EED9">
      <w:pPr>
        <w:spacing w:line="300" w:lineRule="auto"/>
        <w:ind w:firstLine="440" w:firstLineChars="200"/>
        <w:rPr>
          <w:rFonts w:ascii="宋体" w:hAnsi="宋体" w:eastAsia="宋体" w:cs="Times New Roman"/>
        </w:rPr>
      </w:pPr>
      <w:r>
        <w:rPr>
          <w:rFonts w:hint="eastAsia" w:ascii="宋体" w:hAnsi="宋体" w:eastAsia="宋体" w:cs="Times New Roman"/>
          <w:lang w:bidi="ar"/>
        </w:rPr>
        <w:t>我们可以看出，在四个经济区的比较中，虽然数据来源不同，可能在计算口径上有所差别，但总体表现出海峡经济区的第一产业比重最低，第三产业比重最高，其农业、工业和服务业的发展水平最为发达。</w:t>
      </w:r>
    </w:p>
    <w:p w14:paraId="2C548D3C">
      <w:pPr>
        <w:spacing w:line="300" w:lineRule="auto"/>
        <w:ind w:firstLine="440" w:firstLineChars="200"/>
        <w:rPr>
          <w:rFonts w:ascii="宋体" w:hAnsi="宋体" w:eastAsia="宋体" w:cs="Times New Roman"/>
        </w:rPr>
      </w:pPr>
      <w:r>
        <w:rPr>
          <w:rFonts w:hint="eastAsia" w:ascii="宋体" w:hAnsi="宋体" w:eastAsia="宋体" w:cs="Times New Roman"/>
          <w:lang w:bidi="ar"/>
        </w:rPr>
        <w:t>4、外资来源的结构比较，见表6。</w:t>
      </w:r>
    </w:p>
    <w:p w14:paraId="37CB25E8">
      <w:pPr>
        <w:spacing w:line="300" w:lineRule="auto"/>
        <w:ind w:firstLine="440" w:firstLineChars="200"/>
        <w:jc w:val="center"/>
        <w:rPr>
          <w:rFonts w:ascii="宋体" w:hAnsi="宋体" w:eastAsia="宋体" w:cs="Times New Roman"/>
        </w:rPr>
      </w:pPr>
      <w:r>
        <w:rPr>
          <w:rFonts w:hint="eastAsia" w:ascii="宋体" w:hAnsi="宋体" w:eastAsia="宋体" w:cs="Times New Roman"/>
          <w:lang w:bidi="ar"/>
        </w:rPr>
        <w:t>表6</w:t>
      </w:r>
    </w:p>
    <w:tbl>
      <w:tblPr>
        <w:tblStyle w:val="17"/>
        <w:tblW w:w="10206" w:type="dxa"/>
        <w:tblInd w:w="25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4"/>
        <w:gridCol w:w="1134"/>
        <w:gridCol w:w="1134"/>
        <w:gridCol w:w="1134"/>
        <w:gridCol w:w="1134"/>
        <w:gridCol w:w="1134"/>
        <w:gridCol w:w="1134"/>
        <w:gridCol w:w="1134"/>
        <w:gridCol w:w="1134"/>
      </w:tblGrid>
      <w:tr w14:paraId="77340744">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B5C601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7917B4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核心省市</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CD4117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实际利用外资总额（万美元）</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A4E130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台湾%</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ABE111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香港澳门%</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F9AABF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日本%</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09FBEA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新加坡%</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BFFBB2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美国%</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8B78D1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英德法意%</w:t>
            </w:r>
          </w:p>
        </w:tc>
      </w:tr>
      <w:tr w14:paraId="1E9AC56D">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68C13A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海峡经济区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0F1474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福建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C81366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407506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9D5349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22.0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6E269B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48.71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914E88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4.28</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7B8EDB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3.78</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AF06DF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6.57</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848A82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2.12</w:t>
            </w:r>
          </w:p>
        </w:tc>
      </w:tr>
      <w:tr w14:paraId="0BB191C3">
        <w:tc>
          <w:tcPr>
            <w:tcW w:w="1134" w:type="dxa"/>
            <w:vMerge w:val="restart"/>
            <w:tcBorders>
              <w:top w:val="single" w:color="000000" w:sz="4" w:space="0"/>
              <w:left w:val="single" w:color="000000" w:sz="4" w:space="0"/>
              <w:bottom w:val="single" w:color="000000" w:sz="4" w:space="0"/>
              <w:right w:val="single" w:color="000000" w:sz="4" w:space="0"/>
            </w:tcBorders>
            <w:shd w:val="clear" w:color="auto" w:fill="auto"/>
          </w:tcPr>
          <w:p w14:paraId="203D561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长三角经济区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CFE73E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上海</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345D93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4626500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57AD9A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5.46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4EC6D9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29.62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5F539B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13.54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ABEE1C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4.20</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2B8323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12.04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52E422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7.55</w:t>
            </w:r>
          </w:p>
        </w:tc>
      </w:tr>
      <w:tr w14:paraId="59855413">
        <w:tc>
          <w:tcPr>
            <w:tcW w:w="1134" w:type="dxa"/>
            <w:vMerge w:val="continue"/>
            <w:tcBorders>
              <w:top w:val="single" w:color="000000" w:sz="4" w:space="0"/>
              <w:left w:val="single" w:color="000000" w:sz="4" w:space="0"/>
              <w:bottom w:val="single" w:color="000000" w:sz="4" w:space="0"/>
              <w:right w:val="single" w:color="000000" w:sz="4" w:space="0"/>
            </w:tcBorders>
            <w:shd w:val="clear" w:color="auto" w:fill="auto"/>
          </w:tcPr>
          <w:p w14:paraId="1AFC93E1">
            <w:pPr>
              <w:rPr>
                <w:rFonts w:ascii="等线" w:hAnsi="等线" w:eastAsia="等线" w:cs="等线"/>
                <w:szCs w:val="22"/>
              </w:rPr>
            </w:pP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8E0261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江苏</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BD912B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7765365</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CA435B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10.12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BFDF08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25.42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907E94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10.72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FB59F2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11.19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E63369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18.92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C414BE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6.97</w:t>
            </w:r>
          </w:p>
        </w:tc>
      </w:tr>
      <w:tr w14:paraId="12287D1E">
        <w:tc>
          <w:tcPr>
            <w:tcW w:w="1134" w:type="dxa"/>
            <w:vMerge w:val="continue"/>
            <w:tcBorders>
              <w:top w:val="single" w:color="000000" w:sz="4" w:space="0"/>
              <w:left w:val="single" w:color="000000" w:sz="4" w:space="0"/>
              <w:bottom w:val="single" w:color="000000" w:sz="4" w:space="0"/>
              <w:right w:val="single" w:color="000000" w:sz="4" w:space="0"/>
            </w:tcBorders>
            <w:shd w:val="clear" w:color="auto" w:fill="auto"/>
          </w:tcPr>
          <w:p w14:paraId="1F07E83E">
            <w:pPr>
              <w:rPr>
                <w:rFonts w:ascii="等线" w:hAnsi="等线" w:eastAsia="等线" w:cs="等线"/>
                <w:szCs w:val="22"/>
              </w:rPr>
            </w:pP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C63566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浙江2002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9D72BE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316002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7979A2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9.29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578DE2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34.71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2ACB7D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10.11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BF380D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2.18</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5C6D0B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9.24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D4B0E6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4.76</w:t>
            </w:r>
          </w:p>
        </w:tc>
      </w:tr>
      <w:tr w14:paraId="7BF03202">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BADC33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珠三角经济区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95DC62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广东</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0086081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265299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560F3C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2.56</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C17395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58.89</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39A7E68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6.04</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3BF378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1.32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A717E9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1.95</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619E4E2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1.02</w:t>
            </w:r>
          </w:p>
        </w:tc>
      </w:tr>
      <w:tr w14:paraId="6C51E49F">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7032151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环渤海经济区</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2B50FD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北京</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52A391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214675</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1B00606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1.15</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A5BC52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24.03</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5381B21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11.31</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4517200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6.55</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73B7C9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8.32</w:t>
            </w:r>
          </w:p>
        </w:tc>
        <w:tc>
          <w:tcPr>
            <w:tcW w:w="1134" w:type="dxa"/>
            <w:tcBorders>
              <w:top w:val="single" w:color="000000" w:sz="4" w:space="0"/>
              <w:left w:val="single" w:color="000000" w:sz="4" w:space="0"/>
              <w:bottom w:val="single" w:color="000000" w:sz="4" w:space="0"/>
              <w:right w:val="single" w:color="000000" w:sz="4" w:space="0"/>
            </w:tcBorders>
            <w:shd w:val="clear" w:color="auto" w:fill="auto"/>
          </w:tcPr>
          <w:p w14:paraId="298F7F2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lang w:bidi="ar"/>
              </w:rPr>
              <w:t>5.20</w:t>
            </w:r>
          </w:p>
        </w:tc>
      </w:tr>
    </w:tbl>
    <w:p w14:paraId="3F9099FD">
      <w:pPr>
        <w:ind w:firstLine="380" w:firstLineChars="200"/>
        <w:rPr>
          <w:rFonts w:ascii="宋体" w:hAnsi="宋体" w:eastAsia="宋体" w:cs="宋体"/>
          <w:sz w:val="18"/>
          <w:szCs w:val="18"/>
        </w:rPr>
      </w:pPr>
      <w:r>
        <w:rPr>
          <w:rFonts w:hint="eastAsia" w:ascii="宋体" w:hAnsi="宋体" w:eastAsia="宋体" w:cs="DY10 ZJAGDe-10"/>
          <w:sz w:val="18"/>
          <w:szCs w:val="18"/>
          <w:lang w:bidi="ar"/>
        </w:rPr>
        <w:t>注：</w:t>
      </w:r>
      <w:r>
        <w:rPr>
          <w:rFonts w:hint="eastAsia" w:ascii="宋体" w:hAnsi="宋体" w:eastAsia="宋体" w:cs="宋体"/>
          <w:sz w:val="18"/>
          <w:szCs w:val="18"/>
          <w:lang w:bidi="ar"/>
        </w:rPr>
        <w:t>没有特别指明的数据均是</w:t>
      </w:r>
      <w:r>
        <w:rPr>
          <w:rFonts w:hint="eastAsia" w:ascii="宋体" w:hAnsi="宋体" w:eastAsia="宋体" w:cs="DY10 ZJAGDe-10"/>
          <w:sz w:val="18"/>
          <w:szCs w:val="18"/>
          <w:lang w:bidi="ar"/>
        </w:rPr>
        <w:t>2003</w:t>
      </w:r>
      <w:r>
        <w:rPr>
          <w:rFonts w:hint="eastAsia" w:ascii="宋体" w:hAnsi="宋体" w:eastAsia="宋体" w:cs="宋体"/>
          <w:sz w:val="18"/>
          <w:szCs w:val="18"/>
          <w:lang w:bidi="ar"/>
        </w:rPr>
        <w:t>年统计数据。在图表中的后三个省市的数据是当年的实际利用外资情况，前三个省份是截至</w:t>
      </w:r>
      <w:r>
        <w:rPr>
          <w:rFonts w:hint="eastAsia" w:ascii="宋体" w:hAnsi="宋体" w:eastAsia="宋体" w:cs="DY10 ZJAGDe-10"/>
          <w:sz w:val="18"/>
          <w:szCs w:val="18"/>
          <w:lang w:bidi="ar"/>
        </w:rPr>
        <w:t>2003</w:t>
      </w:r>
      <w:r>
        <w:rPr>
          <w:rFonts w:hint="eastAsia" w:ascii="宋体" w:hAnsi="宋体" w:eastAsia="宋体" w:cs="宋体"/>
          <w:sz w:val="18"/>
          <w:szCs w:val="18"/>
          <w:lang w:bidi="ar"/>
        </w:rPr>
        <w:t>年底累计利用外资总额。由于数据获得的问题，浙江和北京的港澳比重实际上只是香港地区投资比重，没有包括澳门；福建、北京的英德法意中没有包含意大利，而浙江的同一指标中没有包含德国。</w:t>
      </w:r>
    </w:p>
    <w:p w14:paraId="61B2ABE2">
      <w:pPr>
        <w:spacing w:line="300" w:lineRule="auto"/>
        <w:ind w:firstLine="440" w:firstLineChars="200"/>
        <w:rPr>
          <w:rFonts w:ascii="宋体" w:hAnsi="宋体" w:eastAsia="宋体" w:cs="Times New Roman"/>
        </w:rPr>
      </w:pPr>
      <w:r>
        <w:rPr>
          <w:rFonts w:hint="eastAsia" w:ascii="宋体" w:hAnsi="宋体" w:eastAsia="宋体" w:cs="Times New Roman"/>
          <w:lang w:bidi="ar"/>
        </w:rPr>
        <w:t>我们从表中的数据可以了解到，各经济区核心省市虽然利用外资的来源有所不同，但总的来看，港澳台的投资比重最大。广东省利用外资大量的集中在港澳地区，这与其地理位置密切相关。而福建吸引台资的比重较高，截至2000年底，福建吸收的台资已占祖国大陆实际利用台资总量的三分之一。长三角地区来自欧美的外商直接投资比重较高，不同国家和地区的外资比例相对比较均衡，没有特别依赖某一个国家或地区。</w:t>
      </w:r>
    </w:p>
    <w:p w14:paraId="3F534C5D">
      <w:pPr>
        <w:spacing w:line="300" w:lineRule="auto"/>
        <w:ind w:firstLine="440" w:firstLineChars="200"/>
        <w:rPr>
          <w:rFonts w:ascii="宋体" w:hAnsi="宋体" w:eastAsia="宋体" w:cs="Times New Roman"/>
          <w:b/>
        </w:rPr>
      </w:pPr>
      <w:r>
        <w:rPr>
          <w:rFonts w:hint="eastAsia" w:ascii="宋体" w:hAnsi="宋体" w:eastAsia="宋体" w:cs="Times New Roman"/>
          <w:b/>
          <w:lang w:bidi="ar"/>
        </w:rPr>
        <w:t>（三）四个经济区产业发展模式的描述</w:t>
      </w:r>
    </w:p>
    <w:p w14:paraId="42CADC7D">
      <w:pPr>
        <w:spacing w:line="300" w:lineRule="auto"/>
        <w:ind w:firstLine="440" w:firstLineChars="200"/>
        <w:rPr>
          <w:rFonts w:ascii="宋体" w:hAnsi="宋体" w:eastAsia="宋体" w:cs="Times New Roman"/>
        </w:rPr>
      </w:pPr>
      <w:r>
        <w:rPr>
          <w:rFonts w:hint="eastAsia" w:ascii="宋体" w:hAnsi="宋体" w:eastAsia="宋体" w:cs="Times New Roman"/>
          <w:lang w:bidi="ar"/>
        </w:rPr>
        <w:t>长三角经济区——混合企业主导型，以高科技知识密集型产业为支撑，现代制造业、包括金融在内的现代服务业较发达。以上海为龙头的长三角经济区，以其占全国1%的国土面积创造了全国19%的GDP*和15%的地方财政收入。该经济区的16个主要城市构成了“ 世界第六大城市群”（ 其他为美国东北部、日本东京、英国伦敦、法国巴黎和加拿大多伦多的城市群），拥有我国最大的港口群和城市群，是“ 总部经济”和跨国公司的主要集中地。在全国经济实力最强的35个城市中，长江三角洲地区占了10个；在全国综合经济实力百强县中，这一地区占有一半；在最新选出的全国综合竞争力10强市中，这一地区占了4个。</w:t>
      </w:r>
    </w:p>
    <w:p w14:paraId="250172AA">
      <w:pPr>
        <w:spacing w:line="300" w:lineRule="auto"/>
        <w:ind w:firstLine="440" w:firstLineChars="200"/>
        <w:rPr>
          <w:rFonts w:ascii="宋体" w:hAnsi="宋体" w:eastAsia="宋体" w:cs="Times New Roman"/>
        </w:rPr>
      </w:pPr>
      <w:r>
        <w:rPr>
          <w:rFonts w:hint="eastAsia" w:ascii="宋体" w:hAnsi="宋体" w:eastAsia="宋体" w:cs="Times New Roman"/>
          <w:lang w:bidi="ar"/>
        </w:rPr>
        <w:t>珠三角经济区——外资企业主导型，是全国最大的高新技术产业带和世界级电子、电器产品制造基地。该经济区在外资企业推动下，以轻纺等劳动密集型产业为支撑，市场化程度较高。与长江三角洲地区不同，珠江三角洲地区的外资主要是香港、东南亚以及海外的华资，真正的西方资本并不占明显优势，而且“三来一补”和贴牌生产的现象突出。</w:t>
      </w:r>
    </w:p>
    <w:p w14:paraId="536A831C">
      <w:pPr>
        <w:spacing w:line="300" w:lineRule="auto"/>
        <w:ind w:firstLine="440" w:firstLineChars="200"/>
        <w:rPr>
          <w:rFonts w:ascii="宋体" w:hAnsi="宋体" w:eastAsia="宋体" w:cs="Times New Roman"/>
        </w:rPr>
      </w:pPr>
      <w:r>
        <w:rPr>
          <w:rFonts w:hint="eastAsia" w:ascii="宋体" w:hAnsi="宋体" w:eastAsia="宋体" w:cs="Times New Roman"/>
          <w:lang w:bidi="ar"/>
        </w:rPr>
        <w:t>环渤海经济区——国有企业主导型。涵盖北京、天津、河北等多省市，国有企业比重大。在该地区外商投资来源中，日本、欧美、韩国等外商投资的比重较高。该经济区是我国最重要的以矿产资源加工、重型装备制造和轻纺加工为主导的综合型工业基地，是全国重要的能源、原材料生产基地。尤其是拥有中关村科技园区、天津新技术产业园区等国家级高新技术开发区。其中，中关村电子信息产业的科研、贸易、生产和天津开发区的电子通讯设备、液晶显示器等均已经发展成为全国最大的产业基地。</w:t>
      </w:r>
    </w:p>
    <w:p w14:paraId="1CEEB58E">
      <w:pPr>
        <w:spacing w:line="300" w:lineRule="auto"/>
        <w:ind w:firstLine="440" w:firstLineChars="200"/>
        <w:rPr>
          <w:rFonts w:ascii="宋体" w:hAnsi="宋体" w:eastAsia="宋体" w:cs="Times New Roman"/>
        </w:rPr>
      </w:pPr>
      <w:r>
        <w:rPr>
          <w:rFonts w:hint="eastAsia" w:ascii="宋体" w:hAnsi="宋体" w:eastAsia="宋体" w:cs="Times New Roman"/>
          <w:lang w:bidi="ar"/>
        </w:rPr>
        <w:t>台湾海峡经济区——产业分工合作推动型。产业合作是海峡区域经济合作的核心。充分尊重两省处于工业化发展的不同阶段和不同层次的现实，结合资源禀赋的特色，合理分工协作，以高新技术产业为重点，着重推进两岸电子通讯、机械、石化、核电、金融和现代农业等领域的合作，加快闽东南高新技术产业带建设，不断提高两岸的产业分工水平，促进本区高速发展。</w:t>
      </w:r>
    </w:p>
    <w:p w14:paraId="292A3D53">
      <w:pPr>
        <w:spacing w:line="300" w:lineRule="auto"/>
        <w:ind w:firstLine="440" w:firstLineChars="200"/>
        <w:rPr>
          <w:rFonts w:ascii="宋体" w:hAnsi="宋体" w:eastAsia="宋体" w:cs="Times New Roman"/>
          <w:b/>
        </w:rPr>
      </w:pPr>
      <w:r>
        <w:rPr>
          <w:rFonts w:hint="eastAsia" w:ascii="宋体" w:hAnsi="宋体" w:eastAsia="宋体" w:cs="Times New Roman"/>
          <w:b/>
          <w:lang w:bidi="ar"/>
        </w:rPr>
        <w:t>（四）经济区发展中的一些问题</w:t>
      </w:r>
    </w:p>
    <w:p w14:paraId="7A4D2F45">
      <w:pPr>
        <w:spacing w:line="300" w:lineRule="auto"/>
        <w:ind w:firstLine="440" w:firstLineChars="200"/>
        <w:rPr>
          <w:rFonts w:ascii="宋体" w:hAnsi="宋体" w:eastAsia="宋体" w:cs="Times New Roman"/>
        </w:rPr>
      </w:pPr>
      <w:r>
        <w:rPr>
          <w:rFonts w:hint="eastAsia" w:ascii="宋体" w:hAnsi="宋体" w:eastAsia="宋体" w:cs="Times New Roman"/>
          <w:lang w:bidi="ar"/>
        </w:rPr>
        <w:t>我国的各个经济区的总体发展态势快速，但也存在着一些共同的问题：首先，存在地方保护与市场分割。地方政府通过行政手段，借用规划、技术标准等名义，限制外地产品进入本地市场，借以保护本地商家的利益，而且在投资及产权交易市场方面，地方政府从自身利益最大化的角度出发，会通过种种方式阻止产权的跨区交易。</w:t>
      </w:r>
    </w:p>
    <w:p w14:paraId="2521571E">
      <w:pPr>
        <w:spacing w:line="300" w:lineRule="auto"/>
        <w:ind w:firstLine="440" w:firstLineChars="200"/>
        <w:rPr>
          <w:rFonts w:ascii="宋体" w:hAnsi="宋体" w:eastAsia="宋体" w:cs="Times New Roman"/>
        </w:rPr>
      </w:pPr>
      <w:r>
        <w:rPr>
          <w:rFonts w:hint="eastAsia" w:ascii="宋体" w:hAnsi="宋体" w:eastAsia="宋体" w:cs="Times New Roman"/>
          <w:lang w:bidi="ar"/>
        </w:rPr>
        <w:t>其次，对外资实行过度的“ 超国民待遇”，自主创新能力较差。在吸引外资方面，地方政府从税收、土地价格等多方面给予外资企业以“超国民待遇”的优惠，打击了民族企业和民族经济，并扭曲了各地在市场自然条件下所具备的比较优势。长期没有推行自主知识产权战略，自主名牌和自主核心技术的创造水平很低。再次，无序竞争导致重复建设现象严重。长三角地区从长江南京港向下，一直到上海，规模性的大港口已达10多处，而且都在争相扩建。上海在建的集成电路生产线多达13条，但赢利的只有!家。在长三角地区的14个城市中，“十五”规划排在前四位的支柱产业都是电子信息、汽车、新材料、生物医药工程，趋同率达70%。在珠三角地区较小的地域范围内，同时在深圳、珠海、广州建几个大型机场。另外港口也过于密集，如有广州黄埔港、深圳盐田港、珠海高栏港、中山南沙港等港口，存在资源的浪费，影响经济效益。</w:t>
      </w:r>
    </w:p>
    <w:p w14:paraId="0697C338">
      <w:pPr>
        <w:spacing w:line="300" w:lineRule="auto"/>
        <w:ind w:firstLine="440" w:firstLineChars="200"/>
        <w:rPr>
          <w:rFonts w:ascii="宋体" w:hAnsi="宋体" w:eastAsia="宋体" w:cs="Times New Roman"/>
        </w:rPr>
      </w:pPr>
      <w:r>
        <w:rPr>
          <w:rFonts w:hint="eastAsia" w:ascii="宋体" w:hAnsi="宋体" w:eastAsia="宋体" w:cs="Times New Roman"/>
          <w:lang w:bidi="ar"/>
        </w:rPr>
        <w:t>最后，对内陆地区经济发展的扩散效应较弱。沿海相对发达的经济区域一直以来注重“ 外联”，忽视了对内陆市场的大力开拓，包括自身区域和其他内陆地区。如珠江三角洲地区，加工贸易出口的原料和市场两头在外，为其交易和物流、资金流、信息流的服务也大都发生在境外，一定程度上抑制了当地服务业的发展。珠三角对内扩散至今仍停留在吸引廉价劳动力，向国内出口转内销等较低层次上。在长江三角洲地区集聚效应要远大于扩散效应，资金、人才等生产要素主要是向上海集聚，而上海企业主动走向全国去合作和并购均相对较少。</w:t>
      </w:r>
    </w:p>
    <w:p w14:paraId="799CC55B">
      <w:pPr>
        <w:spacing w:before="147" w:beforeLines="50" w:after="147" w:afterLines="50" w:line="300" w:lineRule="auto"/>
        <w:ind w:firstLine="500" w:firstLineChars="200"/>
        <w:jc w:val="center"/>
        <w:rPr>
          <w:rFonts w:ascii="等线 Light" w:hAnsi="等线 Light" w:eastAsia="宋体" w:cs="Times New Roman"/>
          <w:b/>
          <w:bCs/>
          <w:kern w:val="28"/>
          <w:sz w:val="24"/>
          <w:szCs w:val="32"/>
          <w:lang w:bidi="ar"/>
        </w:rPr>
      </w:pPr>
      <w:r>
        <w:rPr>
          <w:rFonts w:hint="eastAsia" w:ascii="等线 Light" w:hAnsi="等线 Light" w:eastAsia="宋体" w:cs="Times New Roman"/>
          <w:b/>
          <w:bCs/>
          <w:kern w:val="28"/>
          <w:sz w:val="24"/>
          <w:szCs w:val="32"/>
          <w:lang w:bidi="ar"/>
        </w:rPr>
        <w:t>四、若干建议</w:t>
      </w:r>
    </w:p>
    <w:p w14:paraId="3F03E6D4">
      <w:pPr>
        <w:spacing w:line="300" w:lineRule="auto"/>
        <w:ind w:firstLine="440" w:firstLineChars="200"/>
        <w:rPr>
          <w:rFonts w:ascii="宋体" w:hAnsi="宋体" w:eastAsia="宋体" w:cs="Times New Roman"/>
        </w:rPr>
      </w:pPr>
      <w:r>
        <w:rPr>
          <w:rFonts w:hint="eastAsia" w:ascii="宋体" w:hAnsi="宋体" w:eastAsia="宋体" w:cs="Times New Roman"/>
          <w:lang w:bidi="ar"/>
        </w:rPr>
        <w:t>面对国内外不断变化的经济形势，当前海峡经济区域的发展需注重以下几点：</w:t>
      </w:r>
    </w:p>
    <w:p w14:paraId="10F80739">
      <w:pPr>
        <w:spacing w:line="300" w:lineRule="auto"/>
        <w:ind w:firstLine="440" w:firstLineChars="200"/>
        <w:rPr>
          <w:rFonts w:ascii="宋体" w:hAnsi="宋体" w:eastAsia="宋体" w:cs="Times New Roman"/>
        </w:rPr>
      </w:pPr>
      <w:r>
        <w:rPr>
          <w:rFonts w:hint="eastAsia" w:ascii="宋体" w:hAnsi="宋体" w:eastAsia="宋体" w:cs="Times New Roman"/>
          <w:lang w:bidi="ar"/>
        </w:rPr>
        <w:t>1、大力推行自主知识产权优势战略，尽快提高自主创新能力。中央和经济区的地方政府应加强规划与引导，给予必要的利益诱导、统筹与协调，但要防止用行政手段干预企业的区位决策。政府的规划重点不是经济增长和产业投资，而是投资环境规划和区域功能规划。政府必须推动从引资和引技（ 数量）导向型的旧开放模式转向引资和引技质量（ 效益）导向型的新开放模式，在比较优势、竞争优势的基础上实施自主知识产权优势，大力发展中方“ 控股、控牌、控技”的三控型民族中小企业和跨国公司，逐步变“ 中国制造”为“ 中国创造”，变贸易大省和大区为贸易强省和强区，变经济大省和大区为经济强省和强区。</w:t>
      </w:r>
    </w:p>
    <w:p w14:paraId="76156ACB">
      <w:pPr>
        <w:spacing w:line="300" w:lineRule="auto"/>
        <w:ind w:firstLine="440" w:firstLineChars="200"/>
        <w:rPr>
          <w:rFonts w:ascii="宋体" w:hAnsi="宋体" w:eastAsia="宋体" w:cs="Times New Roman"/>
        </w:rPr>
      </w:pPr>
      <w:r>
        <w:rPr>
          <w:rFonts w:hint="eastAsia" w:ascii="宋体" w:hAnsi="宋体" w:eastAsia="宋体" w:cs="Times New Roman"/>
          <w:lang w:bidi="ar"/>
        </w:rPr>
        <w:t>2、不断扩大对台对外开放的强度和范围，营造良好的政策和商务环境。全面实施厦门自由港政策，充分发挥厦门特区的龙头作用；在已建的沿海对台贸易口岸中有重点地选择建立一批对台自由贸易区，推动两岸民间贸易；认真搞好各种类型、各个层次的台商投资区、开发区、农业合作试验区，特别是要把多形式的对台开放开发区扩大到内地山区，加快山区资源的开发，扩大合作空间。切实落实和灵活运用中央赋予福建的对台优先政策，搞好对台对外开放服务，简化办事程序，规范行政行为，降低商务成本，稳定社会治安，创造和谐融洽的社会经济环境。</w:t>
      </w:r>
    </w:p>
    <w:p w14:paraId="00D6E59A">
      <w:pPr>
        <w:spacing w:line="300" w:lineRule="auto"/>
        <w:ind w:firstLine="440" w:firstLineChars="200"/>
        <w:rPr>
          <w:rFonts w:ascii="宋体" w:hAnsi="宋体" w:eastAsia="宋体" w:cs="Times New Roman"/>
        </w:rPr>
      </w:pPr>
      <w:r>
        <w:rPr>
          <w:rFonts w:hint="eastAsia" w:ascii="宋体" w:hAnsi="宋体" w:eastAsia="宋体" w:cs="Times New Roman"/>
          <w:lang w:bidi="ar"/>
        </w:rPr>
        <w:t>3、重视开展教卫文体等领域的交流与合作。我们不仅要强调经济和科技的交往，而且要积极开拓教卫文体等领域的项目交流与合作。如最近，福州闽江学院与台湾中华大学签订校际交流合作意向书，两校结为姐妹学校。这是连、宋访问大陆之后，两岸高校之间的首次校际合作。两校的合作意向包括：双方每年选送部分学生到对方学校学习一年或一学期，学分互认，也可进行短期培训；互相交流教学科研成果，合作开展机械、电子、信息技术、管理等相关课题研究；双方联合办学，在福州建立含机械、电讯、汽车工程等专业的工学院，可在大陆和台湾同时招生。</w:t>
      </w:r>
    </w:p>
    <w:p w14:paraId="62275832">
      <w:pPr>
        <w:spacing w:line="300" w:lineRule="auto"/>
        <w:ind w:firstLine="440" w:firstLineChars="200"/>
        <w:rPr>
          <w:rFonts w:ascii="宋体" w:hAnsi="宋体" w:eastAsia="宋体" w:cs="Times New Roman"/>
        </w:rPr>
      </w:pPr>
      <w:r>
        <w:rPr>
          <w:rFonts w:hint="eastAsia" w:ascii="宋体" w:hAnsi="宋体" w:eastAsia="宋体" w:cs="Times New Roman"/>
          <w:lang w:bidi="ar"/>
        </w:rPr>
        <w:t>4、加强基础设施建设，同时开展海峡西岸经济区的构建。从推动区域经济整合的角度出发，本着承接南北、进出东西、内联外引、沟通海外、强化区域竞争力的原则，建设畅通便捷的海、陆、空交通网络，打开出省出海通道，以及建立稳定可靠的能源保障体系。处理好闽台海峡经济区与海峡西岸经济区建设的关系，形成交互和互动的格局，为最终克服政治阻碍而融合成一个“ 大海峡经济区”创造经济条件。</w:t>
      </w:r>
    </w:p>
    <w:p w14:paraId="2A09E3DB">
      <w:pPr>
        <w:spacing w:line="300" w:lineRule="auto"/>
        <w:ind w:firstLine="440" w:firstLineChars="200"/>
        <w:rPr>
          <w:rFonts w:ascii="宋体" w:hAnsi="宋体" w:eastAsia="宋体" w:cs="Times New Roman"/>
        </w:rPr>
      </w:pPr>
      <w:r>
        <w:rPr>
          <w:rFonts w:hint="eastAsia" w:ascii="宋体" w:hAnsi="宋体" w:eastAsia="宋体" w:cs="Times New Roman"/>
          <w:lang w:bidi="ar"/>
        </w:rPr>
        <w:t>5、突出产业合作这一两省经济合作核心。要以高新技术产业为重点，着重推进双方电子通讯、农业、机械、石化、核电、金融等领域的合作，加快闽东南高新技术产业带建设，不断提高产业分工水平。</w:t>
      </w:r>
    </w:p>
    <w:p w14:paraId="5E96060F">
      <w:pPr>
        <w:spacing w:line="300" w:lineRule="auto"/>
        <w:ind w:firstLine="440" w:firstLineChars="200"/>
        <w:rPr>
          <w:rFonts w:ascii="宋体" w:hAnsi="宋体" w:eastAsia="宋体" w:cs="Times New Roman"/>
        </w:rPr>
      </w:pPr>
      <w:r>
        <w:rPr>
          <w:rFonts w:hint="eastAsia" w:ascii="宋体" w:hAnsi="宋体" w:eastAsia="宋体" w:cs="Times New Roman"/>
          <w:lang w:bidi="ar"/>
        </w:rPr>
        <w:t>6、调整福建对外资的吸收情况，强调多来源，优化引资和引技的结构。一方面，继续加强海峡经济区内部的经济联合，吸引更多的台资和台技；另一方面积极开拓对其他国家或地区的经济合作，以不断提升产业水准，反过来也有利于两省在更高层次的互补互利。</w:t>
      </w:r>
    </w:p>
    <w:p w14:paraId="3908145C">
      <w:pPr>
        <w:spacing w:line="300" w:lineRule="auto"/>
        <w:ind w:firstLine="440" w:firstLineChars="200"/>
        <w:rPr>
          <w:rFonts w:ascii="宋体" w:hAnsi="宋体" w:eastAsia="宋体" w:cs="Times New Roman"/>
        </w:rPr>
      </w:pPr>
      <w:r>
        <w:rPr>
          <w:rFonts w:hint="eastAsia" w:ascii="宋体" w:hAnsi="宋体" w:eastAsia="宋体" w:cs="Times New Roman"/>
          <w:lang w:bidi="ar"/>
        </w:rPr>
        <w:t>7、密切与其他区域经济体之间的合作。目前，长江三角洲是我国和东亚的重要经济、金融和贸易区，特别是先进制造业和先进服务业基地，而珠江三角洲是全球性的外向型制造业基地和广深高新技术产业带，福建和海峡经济区应加强同这些地区的合作。同样是发展电子信息产业，依据现有优势，北京是侧重发挥科技和人才优势，逐步建成为我国电子信息产业的主要研发基地，而珠江三角洲是在加强研发和孵化的基础上着重发展电子产品的生产制造，长江三角洲则是发挥其综合优势，逐步建成为集研发、生产和孵化基地为一体的电子信息产业带，福建和海峡经济区应有自己的目标定位，并加强同这些地区的合作。</w:t>
      </w:r>
    </w:p>
    <w:p w14:paraId="30CF0C54">
      <w:pPr>
        <w:spacing w:line="300" w:lineRule="auto"/>
        <w:ind w:firstLine="440" w:firstLineChars="200"/>
        <w:rPr>
          <w:rFonts w:ascii="宋体" w:hAnsi="宋体" w:eastAsia="宋体" w:cs="Times New Roman"/>
        </w:rPr>
      </w:pPr>
    </w:p>
    <w:p w14:paraId="72594B55">
      <w:pPr>
        <w:ind w:firstLine="440" w:firstLineChars="200"/>
        <w:rPr>
          <w:rFonts w:ascii="宋体" w:hAnsi="宋体" w:eastAsia="宋体" w:cs="Times New Roman"/>
          <w:b/>
        </w:rPr>
      </w:pPr>
      <w:r>
        <w:rPr>
          <w:rFonts w:hint="eastAsia" w:ascii="宋体" w:hAnsi="宋体" w:eastAsia="宋体" w:cs="Times New Roman"/>
          <w:b/>
          <w:lang w:bidi="ar"/>
        </w:rPr>
        <w:t>注释：</w:t>
      </w:r>
    </w:p>
    <w:p w14:paraId="3A4BBE66">
      <w:pPr>
        <w:rPr>
          <w:rFonts w:ascii="宋体" w:hAnsi="宋体" w:eastAsia="宋体" w:cs="Times New Roman"/>
          <w:sz w:val="18"/>
          <w:szCs w:val="18"/>
        </w:rPr>
      </w:pPr>
      <w:r>
        <w:rPr>
          <w:rFonts w:hint="eastAsia" w:ascii="宋体" w:hAnsi="宋体" w:eastAsia="宋体" w:cs="Times New Roman"/>
          <w:sz w:val="18"/>
          <w:szCs w:val="18"/>
          <w:lang w:bidi="ar"/>
        </w:rPr>
        <w:t>[1]对于台湾海峡经济区的空间范围，还有一种更广的界定：包括以厦门、福州港口城市为中心，以闽东南为主体，北起浙江温州、南至广东汕头的台湾海峡海域和陆地，包括浙赣线以南、大京九线以东的广大腹地。</w:t>
      </w:r>
    </w:p>
    <w:p w14:paraId="292F923D">
      <w:pPr>
        <w:rPr>
          <w:rFonts w:ascii="宋体" w:hAnsi="宋体" w:eastAsia="宋体" w:cs="Times New Roman"/>
          <w:sz w:val="18"/>
          <w:szCs w:val="18"/>
        </w:rPr>
      </w:pPr>
      <w:r>
        <w:rPr>
          <w:rFonts w:hint="eastAsia" w:ascii="宋体" w:hAnsi="宋体" w:eastAsia="宋体" w:cs="Times New Roman"/>
          <w:sz w:val="18"/>
          <w:szCs w:val="18"/>
          <w:lang w:bidi="ar"/>
        </w:rPr>
        <w:t>[2]刘克辉、单玉丽：《区域经济整合与台湾海峡经济区的构想》，《福建学刊》，1998年第2期。</w:t>
      </w:r>
    </w:p>
    <w:p w14:paraId="7E2A8BF7">
      <w:pPr>
        <w:rPr>
          <w:rFonts w:ascii="宋体" w:hAnsi="宋体" w:eastAsia="宋体" w:cs="Times New Roman"/>
          <w:sz w:val="18"/>
          <w:szCs w:val="18"/>
        </w:rPr>
      </w:pPr>
      <w:r>
        <w:rPr>
          <w:rFonts w:hint="eastAsia" w:ascii="宋体" w:hAnsi="宋体" w:eastAsia="宋体" w:cs="Times New Roman"/>
          <w:sz w:val="18"/>
          <w:szCs w:val="18"/>
          <w:lang w:bidi="ar"/>
        </w:rPr>
        <w:t>[3]对于这种界定有“京津唐地区”的说法。其实，也可以把辽宁的大连，山东的青岛、威海包含在内，但由于跨省分太多，分析时数据难以获得，因而只能把范围缩小。</w:t>
      </w:r>
    </w:p>
    <w:p w14:paraId="58AA8E18">
      <w:pPr>
        <w:rPr>
          <w:rFonts w:ascii="宋体" w:hAnsi="宋体" w:eastAsia="宋体" w:cs="Times New Roman"/>
          <w:sz w:val="18"/>
          <w:szCs w:val="18"/>
        </w:rPr>
      </w:pPr>
      <w:r>
        <w:rPr>
          <w:rFonts w:hint="eastAsia" w:ascii="宋体" w:hAnsi="宋体" w:eastAsia="宋体" w:cs="Times New Roman"/>
          <w:sz w:val="18"/>
          <w:szCs w:val="18"/>
          <w:lang w:bidi="ar"/>
        </w:rPr>
        <w:t>[4]采用福建省加台湾省的相应数据，台湾省的相关数据采用的是美元单位，用当年美元兑换人民币比率折算。</w:t>
      </w:r>
    </w:p>
    <w:p w14:paraId="14D16E19">
      <w:pPr>
        <w:rPr>
          <w:rFonts w:ascii="宋体" w:hAnsi="宋体" w:eastAsia="宋体" w:cs="Times New Roman"/>
        </w:rPr>
      </w:pPr>
      <w:r>
        <w:rPr>
          <w:rFonts w:hint="eastAsia" w:ascii="宋体" w:hAnsi="宋体" w:eastAsia="宋体" w:cs="Times New Roman"/>
          <w:lang w:bidi="ar"/>
        </w:rPr>
        <w:tab/>
      </w:r>
      <w:r>
        <w:rPr>
          <w:rFonts w:hint="eastAsia" w:ascii="宋体" w:hAnsi="宋体" w:eastAsia="宋体" w:cs="Times New Roman"/>
          <w:lang w:bidi="ar"/>
        </w:rPr>
        <w:t>参考文献：</w:t>
      </w:r>
    </w:p>
    <w:p w14:paraId="05755314">
      <w:pPr>
        <w:rPr>
          <w:rFonts w:ascii="宋体" w:hAnsi="宋体" w:eastAsia="宋体" w:cs="Times New Roman"/>
          <w:sz w:val="18"/>
          <w:szCs w:val="18"/>
        </w:rPr>
      </w:pPr>
      <w:r>
        <w:rPr>
          <w:rFonts w:hint="eastAsia" w:ascii="宋体" w:hAnsi="宋体" w:eastAsia="宋体" w:cs="Times New Roman"/>
          <w:sz w:val="18"/>
          <w:szCs w:val="18"/>
          <w:lang w:bidi="ar"/>
        </w:rPr>
        <w:t>[1]程恩富主编：《当代中国经济理论探索》，上海财经大学出版社，2000年版。</w:t>
      </w:r>
    </w:p>
    <w:p w14:paraId="5956B45C">
      <w:pPr>
        <w:rPr>
          <w:rFonts w:ascii="宋体" w:hAnsi="宋体" w:eastAsia="宋体" w:cs="Times New Roman"/>
          <w:sz w:val="18"/>
          <w:szCs w:val="18"/>
        </w:rPr>
      </w:pPr>
      <w:r>
        <w:rPr>
          <w:rFonts w:hint="eastAsia" w:ascii="宋体" w:hAnsi="宋体" w:eastAsia="宋体" w:cs="Times New Roman"/>
          <w:sz w:val="18"/>
          <w:szCs w:val="18"/>
          <w:lang w:bidi="ar"/>
        </w:rPr>
        <w:t>[2]程恩富：《比较优势、竞争优势与知识产权优势理论新探——海派经济学的一个基本原理》，《求是学刊》2004年第6期。</w:t>
      </w:r>
    </w:p>
    <w:p w14:paraId="30C85777">
      <w:pPr>
        <w:rPr>
          <w:rFonts w:ascii="宋体" w:hAnsi="宋体" w:eastAsia="宋体" w:cs="Times New Roman"/>
          <w:sz w:val="18"/>
          <w:szCs w:val="18"/>
        </w:rPr>
      </w:pPr>
      <w:r>
        <w:rPr>
          <w:rFonts w:hint="eastAsia" w:ascii="宋体" w:hAnsi="宋体" w:eastAsia="宋体" w:cs="Times New Roman"/>
          <w:sz w:val="18"/>
          <w:szCs w:val="18"/>
          <w:lang w:bidi="ar"/>
        </w:rPr>
        <w:t>[3] 丁晓钦：《世界工厂与知识产权优势——著名经济学家程恩富访谈》，《社会科学家》2003年第3期。</w:t>
      </w:r>
    </w:p>
    <w:p w14:paraId="33E0D355">
      <w:pPr>
        <w:rPr>
          <w:rFonts w:ascii="宋体" w:hAnsi="宋体" w:eastAsia="宋体" w:cs="Times New Roman"/>
          <w:sz w:val="18"/>
          <w:szCs w:val="18"/>
        </w:rPr>
      </w:pPr>
      <w:r>
        <w:rPr>
          <w:rFonts w:hint="eastAsia" w:ascii="宋体" w:hAnsi="宋体" w:eastAsia="宋体" w:cs="Times New Roman"/>
          <w:sz w:val="18"/>
          <w:szCs w:val="18"/>
          <w:lang w:bidi="ar"/>
        </w:rPr>
        <w:t>[4]王晓鲁、樊纲主编：《中国地区差距：20年变化趋势和影响因素》，经济科学出版社，2004年版。</w:t>
      </w:r>
    </w:p>
    <w:p w14:paraId="0991A980">
      <w:pPr>
        <w:rPr>
          <w:rFonts w:ascii="宋体" w:hAnsi="宋体" w:eastAsia="宋体" w:cs="Times New Roman"/>
          <w:sz w:val="18"/>
          <w:szCs w:val="18"/>
        </w:rPr>
      </w:pPr>
      <w:r>
        <w:rPr>
          <w:rFonts w:hint="eastAsia" w:ascii="宋体" w:hAnsi="宋体" w:eastAsia="宋体" w:cs="Times New Roman"/>
          <w:sz w:val="18"/>
          <w:szCs w:val="18"/>
          <w:lang w:bidi="ar"/>
        </w:rPr>
        <w:t>[5]张利民等：《近代环渤海地区经济与社会研究》，天津社会科学院出版社，2002年版。</w:t>
      </w:r>
    </w:p>
    <w:p w14:paraId="0959923A">
      <w:pPr>
        <w:rPr>
          <w:rFonts w:ascii="宋体" w:hAnsi="宋体" w:eastAsia="宋体" w:cs="Times New Roman"/>
          <w:sz w:val="18"/>
          <w:szCs w:val="18"/>
        </w:rPr>
      </w:pPr>
      <w:r>
        <w:rPr>
          <w:rFonts w:hint="eastAsia" w:ascii="宋体" w:hAnsi="宋体" w:eastAsia="宋体" w:cs="Times New Roman"/>
          <w:sz w:val="18"/>
          <w:szCs w:val="18"/>
          <w:lang w:bidi="ar"/>
        </w:rPr>
        <w:t>[6]方鸣：《比拼三大都市经济圈》，《中国对外贸易》2003年3期。</w:t>
      </w:r>
    </w:p>
    <w:p w14:paraId="155A4F79">
      <w:pPr>
        <w:rPr>
          <w:rFonts w:ascii="宋体" w:hAnsi="宋体" w:eastAsia="宋体" w:cs="Times New Roman"/>
          <w:sz w:val="18"/>
          <w:szCs w:val="18"/>
        </w:rPr>
      </w:pPr>
      <w:r>
        <w:rPr>
          <w:rFonts w:hint="eastAsia" w:ascii="宋体" w:hAnsi="宋体" w:eastAsia="宋体" w:cs="Times New Roman"/>
          <w:sz w:val="18"/>
          <w:szCs w:val="18"/>
          <w:lang w:bidi="ar"/>
        </w:rPr>
        <w:t>[7]林珊：《海峡经济区在东南沿海经济带中的战略地位》，《亚太经济》2004年04期。</w:t>
      </w:r>
    </w:p>
    <w:p w14:paraId="5BFD6152">
      <w:pPr>
        <w:rPr>
          <w:rFonts w:ascii="宋体" w:hAnsi="宋体" w:eastAsia="宋体" w:cs="Times New Roman"/>
          <w:sz w:val="18"/>
          <w:szCs w:val="18"/>
        </w:rPr>
      </w:pPr>
      <w:r>
        <w:rPr>
          <w:rFonts w:hint="eastAsia" w:ascii="宋体" w:hAnsi="宋体" w:eastAsia="宋体" w:cs="Times New Roman"/>
          <w:sz w:val="18"/>
          <w:szCs w:val="18"/>
          <w:lang w:bidi="ar"/>
        </w:rPr>
        <w:t>[8]陈耀：《中国三大城市经济圈及其发展前景》，《企业研究》2003年19期。</w:t>
      </w:r>
    </w:p>
    <w:p w14:paraId="3FBA7A02">
      <w:pPr>
        <w:rPr>
          <w:rFonts w:ascii="宋体" w:hAnsi="宋体" w:eastAsia="宋体" w:cs="Times New Roman"/>
          <w:sz w:val="18"/>
          <w:szCs w:val="18"/>
        </w:rPr>
      </w:pPr>
      <w:r>
        <w:rPr>
          <w:rFonts w:hint="eastAsia" w:ascii="宋体" w:hAnsi="宋体" w:eastAsia="宋体" w:cs="Times New Roman"/>
          <w:sz w:val="18"/>
          <w:szCs w:val="18"/>
          <w:lang w:bidi="ar"/>
        </w:rPr>
        <w:t>[9]陈栋生主编：《中国区域经济新论》，经济科学出版社，2004年版。</w:t>
      </w:r>
    </w:p>
    <w:p w14:paraId="0EED7D24">
      <w:pPr>
        <w:rPr>
          <w:rFonts w:ascii="宋体" w:hAnsi="宋体" w:eastAsia="宋体" w:cs="Times New Roman"/>
          <w:sz w:val="18"/>
          <w:szCs w:val="18"/>
        </w:rPr>
      </w:pPr>
      <w:r>
        <w:rPr>
          <w:rFonts w:hint="eastAsia" w:ascii="宋体" w:hAnsi="宋体" w:eastAsia="宋体" w:cs="Times New Roman"/>
          <w:sz w:val="18"/>
          <w:szCs w:val="18"/>
          <w:lang w:bidi="ar"/>
        </w:rPr>
        <w:t>[10]《中国城市竞争力报告》，社会科学文献出版社，2003年版。</w:t>
      </w:r>
    </w:p>
    <w:p w14:paraId="52BA1BD3">
      <w:pPr>
        <w:rPr>
          <w:rFonts w:ascii="宋体" w:hAnsi="宋体" w:eastAsia="宋体" w:cs="Times New Roman"/>
          <w:sz w:val="18"/>
          <w:szCs w:val="18"/>
        </w:rPr>
      </w:pPr>
      <w:r>
        <w:rPr>
          <w:rFonts w:hint="eastAsia" w:ascii="宋体" w:hAnsi="宋体" w:eastAsia="宋体" w:cs="Times New Roman"/>
          <w:sz w:val="18"/>
          <w:szCs w:val="18"/>
          <w:lang w:bidi="ar"/>
        </w:rPr>
        <w:t>[11] 杨荫凯：《我国大都市经济圈的发展与规划》，《宏观经济管理》2003年12期。</w:t>
      </w:r>
    </w:p>
    <w:p w14:paraId="3C64D957">
      <w:pPr>
        <w:rPr>
          <w:rFonts w:ascii="宋体" w:hAnsi="宋体" w:eastAsia="宋体" w:cs="Times New Roman"/>
          <w:sz w:val="18"/>
          <w:szCs w:val="18"/>
        </w:rPr>
      </w:pPr>
      <w:r>
        <w:rPr>
          <w:rFonts w:hint="eastAsia" w:ascii="宋体" w:hAnsi="宋体" w:eastAsia="宋体" w:cs="Times New Roman"/>
          <w:sz w:val="18"/>
          <w:szCs w:val="18"/>
          <w:lang w:bidi="ar"/>
        </w:rPr>
        <w:t>[12]李非主编：《加入WTO与两岸经贸发展》，厦门大学出版社，2003年版。</w:t>
      </w:r>
    </w:p>
    <w:p w14:paraId="30D61B4A">
      <w:pPr>
        <w:rPr>
          <w:rFonts w:ascii="宋体" w:hAnsi="宋体" w:eastAsia="宋体" w:cs="Times New Roman"/>
          <w:sz w:val="18"/>
          <w:szCs w:val="18"/>
        </w:rPr>
      </w:pPr>
      <w:r>
        <w:rPr>
          <w:rFonts w:hint="eastAsia" w:ascii="宋体" w:hAnsi="宋体" w:eastAsia="宋体" w:cs="Times New Roman"/>
          <w:sz w:val="18"/>
          <w:szCs w:val="18"/>
          <w:lang w:bidi="ar"/>
        </w:rPr>
        <w:t>[13]李非：《台湾高科技产业与两岸产业合作趋势》，《厦门大学学报·哲社版》2003年1期。</w:t>
      </w:r>
    </w:p>
    <w:p w14:paraId="18743C6E">
      <w:pPr>
        <w:rPr>
          <w:rFonts w:ascii="宋体" w:hAnsi="宋体" w:eastAsia="宋体" w:cs="Times New Roman"/>
          <w:sz w:val="18"/>
          <w:szCs w:val="18"/>
        </w:rPr>
      </w:pPr>
      <w:r>
        <w:rPr>
          <w:rFonts w:hint="eastAsia" w:ascii="宋体" w:hAnsi="宋体" w:eastAsia="宋体" w:cs="Times New Roman"/>
          <w:sz w:val="18"/>
          <w:szCs w:val="18"/>
          <w:lang w:bidi="ar"/>
        </w:rPr>
        <w:t>[14]福建特色研究会课题组：《建立台湾海峡经济区的战略构想》，《福建学刊》1997年5期。</w:t>
      </w:r>
    </w:p>
    <w:p w14:paraId="0871DD09">
      <w:pPr>
        <w:rPr>
          <w:rFonts w:ascii="宋体" w:hAnsi="宋体" w:eastAsia="宋体" w:cs="Times New Roman"/>
          <w:sz w:val="18"/>
          <w:szCs w:val="18"/>
        </w:rPr>
      </w:pPr>
      <w:r>
        <w:rPr>
          <w:rFonts w:hint="eastAsia" w:ascii="宋体" w:hAnsi="宋体" w:eastAsia="宋体" w:cs="Times New Roman"/>
          <w:sz w:val="18"/>
          <w:szCs w:val="18"/>
          <w:lang w:bidi="ar"/>
        </w:rPr>
        <w:t>[15]景体华主编：《中国区域经济发展报告（2003-2004）》，社会科学文献出版社，2004年版。</w:t>
      </w:r>
    </w:p>
    <w:p w14:paraId="67737337">
      <w:pPr>
        <w:rPr>
          <w:rFonts w:ascii="宋体" w:hAnsi="宋体" w:eastAsia="宋体" w:cs="Times New Roman"/>
        </w:rPr>
      </w:pPr>
      <w:r>
        <w:rPr>
          <w:rFonts w:hint="eastAsia" w:ascii="宋体" w:hAnsi="宋体" w:eastAsia="宋体" w:cs="Times New Roman"/>
          <w:sz w:val="18"/>
          <w:szCs w:val="18"/>
          <w:lang w:bidi="ar"/>
        </w:rPr>
        <w:t>[16]中国统计年鉴2004、2003， 及各地方统计年鉴2004、2003</w:t>
      </w:r>
    </w:p>
    <w:p w14:paraId="135905DC">
      <w:pPr>
        <w:rPr>
          <w:rFonts w:ascii="宋体" w:hAnsi="宋体" w:eastAsia="宋体" w:cs="Times New Roman"/>
        </w:rPr>
      </w:pPr>
    </w:p>
    <w:p w14:paraId="5A9B5A80">
      <w:pPr>
        <w:spacing w:line="300" w:lineRule="auto"/>
        <w:ind w:firstLine="440" w:firstLineChars="200"/>
        <w:rPr>
          <w:rFonts w:ascii="宋体" w:hAnsi="宋体" w:eastAsia="宋体" w:cs="Times New Roman"/>
          <w:b/>
        </w:rPr>
      </w:pPr>
      <w:r>
        <w:rPr>
          <w:rFonts w:hint="eastAsia" w:ascii="宋体" w:hAnsi="宋体" w:eastAsia="宋体" w:cs="Times New Roman"/>
          <w:lang w:bidi="ar"/>
        </w:rPr>
        <w:t>（原载《福建论坛·人文社会科学版》2005年第8期，第二作者为蒋爱洁）</w:t>
      </w:r>
    </w:p>
    <w:p w14:paraId="0B8062A2">
      <w:pPr>
        <w:bidi w:val="0"/>
      </w:pPr>
      <w:r>
        <w:br w:type="page"/>
      </w:r>
    </w:p>
    <w:p w14:paraId="7DD16DF4">
      <w:pPr>
        <w:pStyle w:val="3"/>
        <w:widowControl/>
        <w:spacing w:before="0" w:after="0" w:line="360" w:lineRule="auto"/>
        <w:jc w:val="center"/>
        <w:rPr>
          <w:rFonts w:hint="default" w:ascii="黑体" w:hAnsi="宋体" w:eastAsia="黑体"/>
          <w:b w:val="0"/>
          <w:bCs w:val="0"/>
          <w:spacing w:val="-2"/>
          <w:lang w:bidi="ar"/>
        </w:rPr>
      </w:pPr>
      <w:bookmarkStart w:id="511" w:name="_Toc16174"/>
      <w:bookmarkStart w:id="512" w:name="_Toc111148950"/>
      <w:bookmarkStart w:id="513" w:name="_Toc730553003"/>
      <w:bookmarkStart w:id="514" w:name="_Toc823203584"/>
      <w:r>
        <w:rPr>
          <w:rFonts w:ascii="黑体" w:hAnsi="宋体" w:eastAsia="黑体"/>
          <w:b w:val="0"/>
          <w:bCs w:val="0"/>
          <w:spacing w:val="-2"/>
          <w:lang w:bidi="ar"/>
        </w:rPr>
        <w:t>1</w:t>
      </w:r>
      <w:r>
        <w:rPr>
          <w:rFonts w:hint="default" w:ascii="黑体" w:hAnsi="宋体" w:eastAsia="黑体"/>
          <w:b w:val="0"/>
          <w:bCs w:val="0"/>
          <w:spacing w:val="-2"/>
          <w:lang w:bidi="ar"/>
        </w:rPr>
        <w:t>2</w:t>
      </w:r>
      <w:r>
        <w:rPr>
          <w:rFonts w:ascii="黑体" w:hAnsi="宋体" w:eastAsia="黑体"/>
          <w:b w:val="0"/>
          <w:bCs w:val="0"/>
          <w:spacing w:val="-2"/>
          <w:lang w:bidi="ar"/>
        </w:rPr>
        <w:t>“马学”为体，“西学”为用:重建中国主流经济学范式</w:t>
      </w:r>
      <w:bookmarkEnd w:id="511"/>
      <w:bookmarkEnd w:id="512"/>
      <w:bookmarkEnd w:id="513"/>
      <w:bookmarkEnd w:id="514"/>
    </w:p>
    <w:p w14:paraId="06BAC5EF">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最近，有中央领导指出:哲学社会科学的现状整体看来也处于一个关键阶段，苏联的蓝本有很多不适应。具有中国风格、中国气派的哲学社会科学尚未形成。西方教材乘虚而入，正确的态度应是批判地接受。哲学社会科学具有鲜明的意识形态属性……中国在和平崛起，这是一个奇迹，我们有资格、有条件形成我们自身的哲学社会科学体系。要编写当代的马克思主义基础理论，要编写充分体现马克思主义中国化最新成果的哲学社会科学体系。这一哲学社会科学发展战略的总体精神是正确的。</w:t>
      </w:r>
    </w:p>
    <w:p w14:paraId="29E553B2">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就理论经济学来说，世界主流经济学是西方资产阶级经济学，而中外马克思主义经济学则是非主流经济学；社会主义中国的主流经济学是现代马克思主义经济学，而西方经济学则是非主流经济学。共产党执政的社会主义国家，是不可能将资产阶级执政党奉为主流的经济学作为本国主流经济学的。①同西方经济学一样，马克思主义政治经济学既是学术体系，又是一种理论信仰和意识形态，应当在学术和意识形态两个领域都发挥指导作用。如果只赞成马克思主义经济学作为意识形态的指导地位，而不赞成它在社会科学中的学术指导地位，则会架空马克思主义经济学。</w:t>
      </w:r>
    </w:p>
    <w:p w14:paraId="6DBBED07">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不过，要搞清各国政界马克思主义经济理论和学界马克思主义经济理论的本质联系与某种差别。日本学界马克思主义经济学有几个学派，与日本共产党的马克思主义经济理论就存在异同点（展开说，日本的官方经济学与学界多学派的经济学就有一种互动和互补的交互关系，罗斯福新政、里根经济学和布什经济学同凯恩斯主义、新自由主义经济学也有某种选用和综合的关系，而主要不是学界经济学拥护和赞美官方经济学）。理论经济学研究对象的特殊性决定了它与一定的意识形态相结合，但不能仅仅是对官方意识形态的注释和解说。同时，繁荣与发展理论经济学，需要创立不同的学派，马克思主义经济学内部也应形成不同的学派。学派的形成是学术繁荣的重要标志之一。学界的马克思主义及其经济理论必须多学派地发展。在西方资产阶级“话语霸权”和学术强势的新形势下，最不明智的学术和意识形态引导和评价，是管死马克思主义多学派的发展，放活非马克思主义多元化的扩张，视在西方主流理论经济学刊物上发表文章为最高学术水平，并给予重奖，而不支持甚至贬低在西方马克思主义经济学刊物上发表文章。这是提高党的执政能力迫切需要改进的最重要措施之一。</w:t>
      </w:r>
    </w:p>
    <w:p w14:paraId="7F1C1B06">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2000年，笔者在学界提出“马学为体，西学为用”，即以中外马克思主义经济学为体，现代西方经济学为用。①2004年以来，中国社科院刘国光教授也使用此提法，并严肃指出：“部分传播西方'主流'经济学的人士.力求使它在中国也居于'主流'地位，取代马克思主义经济学，这种情况需要注。”②这与后来河南财经学院杨承训教授强调的“马学为魂，中学为体，西学为用”（马克思经济学为魂，中国特色的现代政治经济学为体，现代西方经济学为用）的观点，也非常相似①，但与主张“西学为体，马学为用或中学为用”的观点反差较大。北京大已故经济学家陈岱孙教授生前为笔者的《西方产权理论评析》一书题词所说的“弘扬马列锐意求新借鉴西学体察国情”②，也是一个科学处理现代政治经济学与现代西方经济学关系的指向。近年，除了胡代光、陶大镭、高鸿业、吴易风、丁冰等资深教授和“老海归”，又涌现出中国社科院左大培和许建康、北京大学王志伟、西南财经大学任治君、日本岛根县立大学张忠任、华南师范大学方兴起等知名教授和“中年海归”，以及中国人民大学孟捷、北京大学余斌、上海财经大学朱奎和薛宇峰等经济学博士和“青年海归”，这些专门研究西方经济学的老中青学者也基本持上述观点，同专门研究政治经济学的老中青学者一起，形成了日益壮大的现代新马克思主义经济学家学术阵容。</w:t>
      </w:r>
    </w:p>
    <w:p w14:paraId="4840DB43">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那么，我们究竟应当怎样科学地重建中国社会主义政治经济学，也就是说，依据什么思想方法和理论原则来创新呢？或者说，笔者和复旦大学张薰华教授等创立的“海派经济学”即“新马克思经济学综合学派”的发展思路是什么？我们主张，以中外社会主义经济实践为思想源泉，以马克思主义经济学的主要假设为基点，积极吸纳古今中外各种经济思想的合理成分，广泛借鉴相关社会科学和自然科学的可用方法，构造既超越马克思经济学范式和苏联经济学范式，又超越现代西方经济学范式的新范式，即新建在世界经济大环境中主要反映中国社会主义市场经济独特性的经济学范式。它本质上是一种马克思主义的后现代经济学。</w:t>
      </w:r>
    </w:p>
    <w:p w14:paraId="70F76929">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第一，中外社会主义经济多种实践是思想源泉经济实践是经济认识的基础和检验经济学真理的唯一标准，科学的经济学理论永远是在经济实践的基础上产生，并随着经济实践的发展而发展。经济实践的内涵丰富多彩，并非单指一国一时一地的具体经济活动或实践。然而，人们在辨别某一经济理论的正确与否时，往往固执地引用某一时空范围内具体经济实践的案例来确立检验其真理性。局部的或短期的经济实践并不能全面检验某一经济学原理的正确性。从这个角度说，当代西方哲学中关于理论只能被“证伪”而不能被“证实”的认知方法有一定道理。即使是科学的经济学理论，也只能不断地被部分证实下去，而不可能通过一次或若干次具体实践就得到全面和永远的证实，但证伪只需一次，也许这一证伪只具有个别或局部意义。</w:t>
      </w:r>
    </w:p>
    <w:p w14:paraId="32298FF2">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以社会主义与市场经济能否有效结合的重要命题为例。国内外许多学者对此都持否定意见，并援引西方资本主义市场经济制度、苏东国家改革后的蜕变和我国公有经济比重下降来佐证。其实，与西方产权学派张五常在此问题上混乱的逻辑相比，该学派的创始人科斯讲得比较客观，指出过去已有私有制与市场经济相结合的经验，至于社会主义与市场经济能否相结合，这一点目前不能证伪。观察中外现有市场经济实践的表象和本质，可以部分地得到实证的说明，即社会主义或公有制与市场经济能有效结合，而苏东国家的经济大倒退和西方国家的金融危机等，恰恰表明资本主义或私有制与市场经济的冲突和某种不相容。</w:t>
      </w:r>
    </w:p>
    <w:p w14:paraId="026CF616">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重建社会主义理论经济学，必须以世界经济和人类经济的发展历史为大背景，与资本主义市场经济的多类模式相对照，重点从中外社会主义经济的多种实践中实证地描述出经济事物变动的基本现象，科学地提炼和抽象出合乎经济事物本质的规律性范畴和原理。尽管恩格斯揭示过不成熟的经济关系与不成熟的经济理论之间的内在联系，但这并不妨碍社会主义经济理论的某种前瞻研究。事实上，社会主义市场经济的良性运转及其体制的不断完善，正有赖于社会主义理论经济学的变革与创新。即使是作为中国经济史的计划经济实践，也需要继续进行客观的实证分析和辩证的规范定性，以便成为新经济学的经济史基础。</w:t>
      </w:r>
    </w:p>
    <w:p w14:paraId="51C56EA2">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第二，马克思经济学的主要假设是理论基点在19世纪和20世纪，社会主义的定义有100多种。其中有资产阶级右翼和左翼的社会主义、小资产阶级的激进社会主义、空想或批判的社会主义，也有马克思主义的科学社会主义。中国社会主义理论经济学既然要从根本上反映作为先进生产力和生产关系代表的工人阶级利益，那就必定要以马克思主义经济学为理论指南。如果对以往“左”的教条主义釆取矫枉过正的学术态度，便容易形成一种善意的折中主义或保守的右倾思潮，以为社会主义理论经济学只应进行“问题”的实证分析，而无需进行含有“主义”的价值判断；或者以为当代西方经济学教科书都是普遍真理，只要加点中国经济实例即为创新的社会主义理论经济学。其实，每个经济学流派均或多或少地确立了特定“主义”的价值判断。斯密主义与李斯特主义、凯恩斯主义与货币主义等等，难道没有价值判断的“主义”之争？所以，症结不在于要不要“主义”一类的价值判断和思辨，而在于其客观性和科学性如何。</w:t>
      </w:r>
    </w:p>
    <w:p w14:paraId="5F105078">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过去，由于人们强调马克思主义经济学的真理性和现实性，因而一律偏好使用“普遍原理”或“基本原理”之类的词汇，不愿或不敢退一步，把其某些经济思想同时也视为一种“理论假设”，似乎假设都是脱离实际的或无意义的空想和幻想①，进而贬低了马克思主义经济学原理的重要性。出于同当代西方经济学对话或论战的需要，应当改变近代西方经济学和马克思经济学的用语习惯，经常釆用“理论假设”一词及其逻辑叙述方法。如同西方经济学同时把“生产三要素”、“私有高绩效”、“经济人”等说成是原理、公理和假设一样，我们也可以把“劳动二重性”、“公有高绩效”、“利益人”等说成是原理、公理和假设。在某一经济学理论假设算不算作公理的问题上，渗透着研究者主体的不同价值判断。基于不同的方法和立场，即使马克思主义者拿出再硬的实证史料和逻辑证据，资产阶级经济学家也不一定承认马克思主义经济学的一些基本理论是正确的，但会确认其为理论假设，这有益于讨论的简化和深化。</w:t>
      </w:r>
    </w:p>
    <w:p w14:paraId="2ABD7E78">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此外，马克思经济学、列宁经济学中某些被资本主义或前资本主义经济实践证明是正确的理论，以及属于对向社会主义过渡或社会主义的理论分析，均必须在中外社会主义经济实践中进行检验及展开逻辑体系的完善。从这个意义上说，那些原理、公理或理论预见，不妨都可称之为理论假设。</w:t>
      </w:r>
    </w:p>
    <w:p w14:paraId="5F0810DF">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简言之，采用马列主义经济学的“劳动二重性”、“公有高绩效”和“利益人”（与西方经济学的“经济人”或“自私人”不同，“利益人”是利己与利他相结合的）等主要假设为理论基点，积极包容古今中外合理的经济思想，并由此构筑社会主义理论经济学的新假设和新范式，便能实现超越马克思经济学、苏联经济学和西方经济学的创新目标。</w:t>
      </w:r>
    </w:p>
    <w:p w14:paraId="1E9D6401">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例如，从马克思经济学中概括出来的“公有高绩效”假设，是指生产资料归全社会成员共同所有的公有制体系能达到社会绩效最大化；从邓小平经济理论中概括出来的“公有高绩效”假设，是指生产资料全民所有制和集体所有制能达到社会绩效最大化。但其中均存在多种复杂的假设前提，如不存在严重的社会腐败、委托代理双方权责是合理的、国企承担额外社会义务须另行核算、政府政策和操作没出现大失误、选聘的经营者有较高素质，等等。只有大体同时具备这些前提条件，社会主义公有制与市场经济的结合才能呈现高绩效。倘若过去或现实生活中搞好社会主义公有制的假设条件不存在而导致低绩效，这并不能证明计划经济或市场经济的条件下公有制经济不可行。可见，重建中的社会主义理论经济学，必须借鉴西方经济学表述“科斯定理”、“帕累托最优”或“市场效率假设”等方式，精心研究马克思主义经济学经典和社会主义新经济理论所必然涉及到的这类假设及其前提条件，大幅度提高理论的科学解释力和预见力。</w:t>
      </w:r>
    </w:p>
    <w:p w14:paraId="195BDD03">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第三，古今中外经济学说的合理成分是学术渊源。广义地说，沿用式的继承、批判式的发展和否定式的槟弃等，均呈现出某种学术渊源联系。狭义地理解，也可将学术渊源界定为一种学术与另一种学术相互继承和发展的来源关系。重建中的中国社会主义理论经济学，不能采取传统的做法，只强调马孟思主义经济学经典作家的学术地位和渊源关系，而盲目排斥其他；或者反过来，只强调西方资产阶级经济学经典作品的学术作用。经典是必须拥有和重视的，但仅仅拥有经典是远远不够的。</w:t>
      </w:r>
    </w:p>
    <w:p w14:paraId="75EF81A8">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综观人类经济理论变迁的历史，任何一种新的经济学术体系均难以彻底抛弃前人的思想，而往往是将超越和创新同继承有机地结合起来，在不同程度上有扬有弃。不仅穆勒、马歇尔、萨缪尔森等近现代经济学说的综合经济学家，李嘉图、弗里德曼、诺思等创立了新学派的西方经济学家，而且马克思、恩格斯、列宁、斯大林、毛泽东和邓小平创立和发展的科学社会主义经济理论，都一概如此。中国社会主义理论经济学的重建，应在保持与马克思主义经济学的主要学术渊源关系之外，放眼世界，综观历史，积极汲取古今中外一切经济学说的合理成分，并实现某些理论原创。其重点有两个：首先，创新的中国社会主义理论经济学，必须科学地汲取当代外国经济思想。现代主流西方经济学的理论和西方诺贝尔经济学奖得主的理论，自然要高度重视，但也不能轻视发达国家非主流经济学和发展中国家的经济学说。例如，美国的激进政治经济学和加尔布雷思的制度主义，英国的凯恩斯左派经济学，发展中国家的“中心一外围”、“依附”和“不平等交换”等国际贸易理论，日本的非正统马克思主义经济学说，以及关于经济全球化悖论的经济思想，等等。其中，西方各国激进政治经济学家和左翼经济学家关于“市场社会主义”的各种经济理论和政策主张，对我国完善社会主义市场经济理论与实践具有较直接的借鉴意义。</w:t>
      </w:r>
    </w:p>
    <w:p w14:paraId="059513D3">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其次，创新的中国社会主义理论经济学，必须科学地汲取中国古近代经济思想。我国古代的消费思想、人口思想、财政思想、生态经济思想，康有为的“大同”经济学说，孙中山的“三民主义”经济理论等，均有一定的合理颗粒。台湾学者构建的“新儒学经济与管理”思想体系、加拿大华人学者倡导的“中庸经济学”理论，也值得高度关注。</w:t>
      </w:r>
    </w:p>
    <w:p w14:paraId="27639966">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第四，相关社会科学和自然科学的可用知识是新颖方法。</w:t>
      </w:r>
    </w:p>
    <w:p w14:paraId="69B75ABC">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马克思精通资产阶级政治经济学，但在最后构建《资本论》三卷本政治经济学新体系时，并未主要沿用当时西方经济学的一套方法，尽管这些经济学方法也曾被视为学术前沿和最新工具。这是因为，马克思要实现对传统政治经济学的充分革命和全新超越，决不能囿于资产阶级或小资产阶级政治经济学那套新方法。事实上，马克思在重视以往经济学方法论的同时，重点是批判地借鉴了黑格尔的辩证法和费尔巴哈的唯物论，釆用原创的唯物辩证法和历史唯物主义来改造政治经济学旧程式的。</w:t>
      </w:r>
    </w:p>
    <w:p w14:paraId="7987D80E">
      <w:pPr>
        <w:spacing w:line="400" w:lineRule="exact"/>
        <w:ind w:firstLine="440" w:firstLineChars="200"/>
        <w:jc w:val="left"/>
        <w:rPr>
          <w:rFonts w:ascii="宋体" w:hAnsi="宋体" w:eastAsia="宋体" w:cs="宋体"/>
          <w:szCs w:val="21"/>
        </w:rPr>
      </w:pPr>
      <w:r>
        <w:rPr>
          <w:rFonts w:hint="eastAsia" w:ascii="宋体" w:hAnsi="宋体" w:eastAsia="宋体" w:cs="宋体"/>
          <w:color w:val="000000"/>
          <w:kern w:val="0"/>
          <w:szCs w:val="21"/>
          <w:lang w:bidi="ar"/>
        </w:rPr>
        <w:t>要真正实现同时超越马克思经济学和现代西方经济学，必须学习马克思的这一独创精神，突破中外政治经济学说史上的某些方法局限，在重建中国社会主义理论经济学的过程中广泛借鉴和采用相关社会科学和自然科学的可用知识，做到经济学方法论体系的有机整合。例如，借鉴现代哲学的方法和知识。在整个社会科学领域，包括科学哲学在内的哲学方法对理论经济学的功用将逐渐凸现为最大和全面性的。人本主义、解释学、总体异化论和范式说等，具有不可忽视的影响。又如，借鉴现代政治学的方法和知识。尽管政治经济学名称中的“政治”原意并非指现代意义的政治（目前西方建立的新政治经济学又属于另一种含义），然而，理论经济学不是不要汲取政治学的营养。关于市场与国家或政府的关系，关于经济周期与行政推动或政治选举的关系，关于经济全球化与政治霸权主义的关系，无不需要结合一定的政治学方法和观点去透彻地解释之。再如，借鉴现代美学的方法和知识。美是事物具有的某种形式、结构、属性和法则，是一种能产生某种美感的客观性质。经济活动中存在美与丑的现象，也有股市这类“野兽之美”的状态。“经济美”可归属为与自然美相并列的社会美范畴，是指人类经济活动中具有制度公正、运行有序和发展和谐等属性，对于当前落实科学发展观和构建社会主义和谐社会，具有极其重要的意义。“经济学美”是指经济学理论体系形式上的完整和谐与该理论所揭示的内容上的完整和谐。应当用中外美学的某些思想来提高理论经济学的科学抽象度和学术品位。此外，要借鉴系统论、信息论和场态论之类的方法和知识。依据系统优于非系统的特性，将经济对象和经济行为作系统化分析；依据层次系统优于非层次系统的特性，将经济系统作层次化分析；依据开放系统优于封闭系统的特性，将经济系统作开放状态分析。不确定性、风险、信息的对称与不对称等信息学观点，“场”等物理学观点和“社会场”的观点，均对经济改革与经济发展的理论层面考察具有方法论的新价值。</w:t>
      </w:r>
    </w:p>
    <w:p w14:paraId="28DF35A1">
      <w:pPr>
        <w:spacing w:line="400" w:lineRule="exact"/>
        <w:ind w:firstLine="440" w:firstLineChars="200"/>
        <w:jc w:val="left"/>
        <w:rPr>
          <w:rFonts w:ascii="宋体" w:hAnsi="宋体" w:eastAsia="宋体" w:cs="宋体"/>
          <w:szCs w:val="21"/>
        </w:rPr>
      </w:pPr>
      <w:r>
        <w:rPr>
          <w:rFonts w:hint="eastAsia" w:ascii="宋体" w:hAnsi="宋体" w:eastAsia="宋体" w:cs="宋体"/>
          <w:szCs w:val="21"/>
        </w:rPr>
        <w:t>（原载《华南师范大学学报》（社会科学版），2</w:t>
      </w:r>
      <w:r>
        <w:rPr>
          <w:rFonts w:ascii="宋体" w:hAnsi="宋体" w:eastAsia="宋体" w:cs="宋体"/>
          <w:szCs w:val="21"/>
        </w:rPr>
        <w:t>005</w:t>
      </w:r>
      <w:r>
        <w:rPr>
          <w:rFonts w:hint="eastAsia" w:ascii="宋体" w:hAnsi="宋体" w:eastAsia="宋体" w:cs="宋体"/>
          <w:szCs w:val="21"/>
        </w:rPr>
        <w:t>年第4期）</w:t>
      </w:r>
      <w:r>
        <w:rPr>
          <w:rFonts w:ascii="宋体" w:hAnsi="宋体" w:eastAsia="宋体" w:cs="宋体"/>
          <w:szCs w:val="21"/>
        </w:rPr>
        <w:br w:type="page"/>
      </w:r>
    </w:p>
    <w:p w14:paraId="3E253C52">
      <w:pPr>
        <w:spacing w:line="400" w:lineRule="exact"/>
        <w:ind w:firstLine="440" w:firstLineChars="200"/>
        <w:jc w:val="left"/>
        <w:rPr>
          <w:rFonts w:ascii="宋体" w:hAnsi="宋体" w:eastAsia="宋体" w:cs="宋体"/>
          <w:szCs w:val="21"/>
        </w:rPr>
      </w:pPr>
    </w:p>
    <w:p w14:paraId="12DBBEBD">
      <w:pPr>
        <w:pStyle w:val="3"/>
        <w:widowControl/>
        <w:spacing w:before="0" w:after="0" w:line="360" w:lineRule="auto"/>
        <w:jc w:val="center"/>
        <w:rPr>
          <w:rFonts w:hint="default" w:ascii="黑体" w:hAnsi="宋体" w:eastAsia="黑体"/>
          <w:b w:val="0"/>
          <w:bCs w:val="0"/>
          <w:spacing w:val="-2"/>
          <w:lang w:bidi="ar"/>
        </w:rPr>
      </w:pPr>
      <w:bookmarkStart w:id="515" w:name="_Toc29"/>
      <w:bookmarkStart w:id="516" w:name="_Toc111148951"/>
      <w:bookmarkStart w:id="517" w:name="_Toc1240311522"/>
      <w:bookmarkStart w:id="518" w:name="_Toc1492982314"/>
      <w:r>
        <w:rPr>
          <w:rFonts w:ascii="黑体" w:hAnsi="宋体" w:eastAsia="黑体"/>
          <w:b w:val="0"/>
          <w:bCs w:val="0"/>
          <w:spacing w:val="-2"/>
          <w:lang w:bidi="ar"/>
        </w:rPr>
        <w:t>1</w:t>
      </w:r>
      <w:r>
        <w:rPr>
          <w:rFonts w:hint="default" w:ascii="黑体" w:hAnsi="宋体" w:eastAsia="黑体"/>
          <w:b w:val="0"/>
          <w:bCs w:val="0"/>
          <w:spacing w:val="-2"/>
          <w:lang w:bidi="ar"/>
        </w:rPr>
        <w:t>3</w:t>
      </w:r>
      <w:r>
        <w:rPr>
          <w:rFonts w:ascii="黑体" w:hAnsi="宋体" w:eastAsia="黑体"/>
          <w:b w:val="0"/>
          <w:bCs w:val="0"/>
          <w:spacing w:val="-2"/>
          <w:lang w:bidi="ar"/>
        </w:rPr>
        <w:t>国企改革:不同思路的碰撞</w:t>
      </w:r>
      <w:bookmarkEnd w:id="515"/>
      <w:bookmarkEnd w:id="516"/>
      <w:bookmarkEnd w:id="517"/>
      <w:bookmarkEnd w:id="518"/>
    </w:p>
    <w:p w14:paraId="74F72DE4">
      <w:pPr>
        <w:pStyle w:val="21"/>
        <w:widowControl/>
        <w:spacing w:line="400" w:lineRule="exact"/>
        <w:ind w:firstLine="460"/>
        <w:jc w:val="both"/>
        <w:rPr>
          <w:rFonts w:hint="default"/>
          <w:sz w:val="21"/>
          <w:szCs w:val="21"/>
          <w:lang w:eastAsia="zh-TW"/>
        </w:rPr>
      </w:pPr>
      <w:r>
        <w:rPr>
          <w:sz w:val="21"/>
          <w:szCs w:val="21"/>
          <w:lang w:eastAsia="zh-TW"/>
        </w:rPr>
        <w:t>中国经济改革的尖端问题——产权改革，是中国当前社会在经济、政治、文化等方面不协调的总根源之一。</w:t>
      </w:r>
    </w:p>
    <w:p w14:paraId="3C6E8674">
      <w:pPr>
        <w:pStyle w:val="21"/>
        <w:widowControl/>
        <w:spacing w:line="400" w:lineRule="exact"/>
        <w:ind w:firstLine="460"/>
        <w:jc w:val="both"/>
        <w:rPr>
          <w:rFonts w:hint="default"/>
          <w:sz w:val="21"/>
          <w:szCs w:val="21"/>
          <w:lang w:eastAsia="zh-TW"/>
        </w:rPr>
      </w:pPr>
      <w:r>
        <w:rPr>
          <w:sz w:val="21"/>
          <w:szCs w:val="21"/>
          <w:lang w:eastAsia="zh-TW"/>
        </w:rPr>
        <w:t>在郎咸平教授提出这个问题之前，学术界已经进行了大量的讨论。他讲的问题实际上是“公开的秘密”，而且不少学者和官员是反对他的观点的。但因为他是</w:t>
      </w:r>
      <w:r>
        <w:rPr>
          <w:sz w:val="21"/>
          <w:szCs w:val="21"/>
          <w:lang w:val="zh-CN" w:bidi="zh-CN"/>
        </w:rPr>
        <w:t>“海</w:t>
      </w:r>
      <w:r>
        <w:rPr>
          <w:sz w:val="21"/>
          <w:szCs w:val="21"/>
          <w:lang w:eastAsia="zh-TW"/>
        </w:rPr>
        <w:t>归派”，所以媒体愿意报道，于是促成了中国去年主要的社会热点</w:t>
      </w:r>
      <w:r>
        <w:rPr>
          <w:sz w:val="21"/>
          <w:szCs w:val="21"/>
          <w:lang w:bidi="en-US"/>
        </w:rPr>
        <w:t>O</w:t>
      </w:r>
      <w:r>
        <w:rPr>
          <w:sz w:val="21"/>
          <w:szCs w:val="21"/>
          <w:lang w:eastAsia="zh-TW"/>
        </w:rPr>
        <w:t>其实，郎咸平教授所讲的三个案例，我们没有去深究，因为类似案例到处都是。他的案例引发了争论，于是大家开始探讨为什么会普遍岀现这些问题，我们改革的方向应如何——•是向社会主义市场经济方向发展，还是向资本主义新自由主义市场经济方向发展？后来，讨论变成了对立的两种意见，在利益问题上，中间派还是比较少的。</w:t>
      </w:r>
    </w:p>
    <w:p w14:paraId="62EEC194">
      <w:pPr>
        <w:spacing w:before="147" w:beforeLines="50" w:after="147" w:afterLines="50" w:line="300" w:lineRule="auto"/>
        <w:ind w:firstLine="500" w:firstLineChars="200"/>
        <w:jc w:val="center"/>
        <w:rPr>
          <w:rFonts w:ascii="等线 Light" w:hAnsi="等线 Light" w:eastAsia="宋体" w:cs="Times New Roman"/>
          <w:b/>
          <w:bCs/>
          <w:kern w:val="28"/>
          <w:sz w:val="24"/>
          <w:szCs w:val="32"/>
          <w:lang w:bidi="ar"/>
        </w:rPr>
      </w:pPr>
      <w:r>
        <w:rPr>
          <w:rFonts w:ascii="等线 Light" w:hAnsi="等线 Light" w:eastAsia="宋体" w:cs="Times New Roman"/>
          <w:b/>
          <w:bCs/>
          <w:kern w:val="28"/>
          <w:sz w:val="24"/>
          <w:szCs w:val="32"/>
          <w:lang w:bidi="ar"/>
        </w:rPr>
        <w:t>一、"反郎派”的主要观点</w:t>
      </w:r>
    </w:p>
    <w:p w14:paraId="5C4A3CFF">
      <w:pPr>
        <w:pStyle w:val="21"/>
        <w:widowControl/>
        <w:spacing w:line="400" w:lineRule="exact"/>
        <w:ind w:firstLine="460"/>
        <w:jc w:val="both"/>
        <w:rPr>
          <w:rFonts w:hint="default"/>
          <w:sz w:val="21"/>
          <w:szCs w:val="21"/>
          <w:lang w:eastAsia="zh-TW"/>
        </w:rPr>
      </w:pPr>
      <w:r>
        <w:rPr>
          <w:sz w:val="21"/>
          <w:szCs w:val="21"/>
          <w:lang w:eastAsia="zh-TW"/>
        </w:rPr>
        <w:t>有一份关于郎咸平观点争论的文摘，从中我们看到一些主要人物的观点。其中</w:t>
      </w:r>
      <w:r>
        <w:rPr>
          <w:sz w:val="21"/>
          <w:szCs w:val="21"/>
          <w:lang w:val="zh-CN" w:bidi="zh-CN"/>
        </w:rPr>
        <w:t>，“反</w:t>
      </w:r>
      <w:r>
        <w:rPr>
          <w:sz w:val="21"/>
          <w:szCs w:val="21"/>
          <w:lang w:eastAsia="zh-TW"/>
        </w:rPr>
        <w:t>郎派”有这样一些说法：</w:t>
      </w:r>
    </w:p>
    <w:p w14:paraId="28FEFA4F">
      <w:pPr>
        <w:pStyle w:val="21"/>
        <w:widowControl/>
        <w:numPr>
          <w:ilvl w:val="0"/>
          <w:numId w:val="8"/>
        </w:numPr>
        <w:tabs>
          <w:tab w:val="left" w:pos="752"/>
        </w:tabs>
        <w:spacing w:line="400" w:lineRule="exact"/>
        <w:ind w:firstLine="460"/>
        <w:jc w:val="both"/>
        <w:rPr>
          <w:rFonts w:hint="default"/>
          <w:sz w:val="21"/>
          <w:szCs w:val="21"/>
          <w:lang w:eastAsia="zh-TW"/>
        </w:rPr>
      </w:pPr>
      <w:r>
        <w:rPr>
          <w:sz w:val="21"/>
          <w:szCs w:val="21"/>
          <w:lang w:eastAsia="zh-TW"/>
        </w:rPr>
        <w:t>国资委研究中心副主任李保民认为，在国有股减持的过程中，对国有资产流失、私有化等这些意识形态的障碍不破除，什么事情都做不下去。国家国资委有的官员指出，如果郎咸平不能对国有资产流失给岀解决方案，就难辞其咎。</w:t>
      </w:r>
    </w:p>
    <w:p w14:paraId="7673057A">
      <w:pPr>
        <w:pStyle w:val="21"/>
        <w:widowControl/>
        <w:numPr>
          <w:ilvl w:val="0"/>
          <w:numId w:val="8"/>
        </w:numPr>
        <w:tabs>
          <w:tab w:val="left" w:pos="762"/>
        </w:tabs>
        <w:spacing w:line="400" w:lineRule="exact"/>
        <w:ind w:firstLine="460"/>
        <w:jc w:val="both"/>
        <w:rPr>
          <w:rFonts w:hint="default"/>
          <w:sz w:val="21"/>
          <w:szCs w:val="21"/>
          <w:lang w:eastAsia="zh-TW"/>
        </w:rPr>
      </w:pPr>
      <w:r>
        <w:rPr>
          <w:sz w:val="21"/>
          <w:szCs w:val="21"/>
          <w:lang w:eastAsia="zh-TW"/>
        </w:rPr>
        <w:t>张维迎和国家国资委的张文魁认为，郎咸平演讲从题目到内容都有强烈的价值和政治取向，只是为了自己知名度的最大化，迎合大众的流行舆论，是滥用学术自由和学术尊严。张维迎还认为，很难有一个客观标准来判断国有资产是否流失。</w:t>
      </w:r>
    </w:p>
    <w:p w14:paraId="0944DE95">
      <w:pPr>
        <w:pStyle w:val="21"/>
        <w:widowControl/>
        <w:numPr>
          <w:ilvl w:val="0"/>
          <w:numId w:val="8"/>
        </w:numPr>
        <w:tabs>
          <w:tab w:val="left" w:pos="752"/>
        </w:tabs>
        <w:spacing w:line="400" w:lineRule="exact"/>
        <w:ind w:firstLine="460"/>
        <w:jc w:val="both"/>
        <w:rPr>
          <w:rFonts w:hint="default"/>
          <w:sz w:val="21"/>
          <w:szCs w:val="21"/>
          <w:lang w:eastAsia="zh-TW"/>
        </w:rPr>
      </w:pPr>
      <w:bookmarkStart w:id="519" w:name="bookmark9"/>
      <w:bookmarkEnd w:id="519"/>
      <w:r>
        <w:rPr>
          <w:sz w:val="21"/>
          <w:szCs w:val="21"/>
          <w:lang w:eastAsia="zh-TW"/>
        </w:rPr>
        <w:t>吴敬琏对郎咸平提出的立即停止国有企业改制的观点表示反对，也不赞成郎咸平认为的国有企业境况不错。其实，郎咸平并没有说要停止国有企业改制，而是要停止目前国有企业改制的一些做法，本质上是停止国有企业“大送大卖”。说郎咸平要停止国企改制，这是吴敬琏给他的一顶</w:t>
      </w:r>
      <w:r>
        <w:rPr>
          <w:sz w:val="21"/>
          <w:szCs w:val="21"/>
          <w:lang w:val="zh-CN" w:bidi="zh-CN"/>
        </w:rPr>
        <w:t>“帽</w:t>
      </w:r>
      <w:r>
        <w:rPr>
          <w:sz w:val="21"/>
          <w:szCs w:val="21"/>
          <w:lang w:eastAsia="zh-TW"/>
        </w:rPr>
        <w:t>子”。</w:t>
      </w:r>
    </w:p>
    <w:p w14:paraId="712188CD">
      <w:pPr>
        <w:pStyle w:val="21"/>
        <w:widowControl/>
        <w:numPr>
          <w:ilvl w:val="0"/>
          <w:numId w:val="8"/>
        </w:numPr>
        <w:tabs>
          <w:tab w:val="left" w:pos="757"/>
        </w:tabs>
        <w:spacing w:line="400" w:lineRule="exact"/>
        <w:ind w:firstLine="460"/>
        <w:jc w:val="both"/>
        <w:rPr>
          <w:rFonts w:hint="default"/>
          <w:sz w:val="21"/>
          <w:szCs w:val="21"/>
          <w:lang w:eastAsia="zh-TW"/>
        </w:rPr>
      </w:pPr>
      <w:bookmarkStart w:id="520" w:name="bookmark10"/>
      <w:bookmarkEnd w:id="520"/>
      <w:r>
        <w:rPr>
          <w:sz w:val="21"/>
          <w:szCs w:val="21"/>
          <w:lang w:eastAsia="zh-TW"/>
        </w:rPr>
        <w:t>樊刚认为，变卖国有资产并不是私有化，而是资产形态转换，变成了现金和非经营性的资产。这个说法在学术界流行是比较广的，但我认为是错误的。我们一直强调，社会主义公有资产要占主体，即公有的经营性资产要在量上和质上占优势</w:t>
      </w:r>
      <w:r>
        <w:rPr>
          <w:sz w:val="21"/>
          <w:szCs w:val="21"/>
          <w:lang w:val="zh-CN" w:bidi="zh-CN"/>
        </w:rPr>
        <w:t>，“十</w:t>
      </w:r>
      <w:r>
        <w:rPr>
          <w:sz w:val="21"/>
          <w:szCs w:val="21"/>
          <w:lang w:eastAsia="zh-TW"/>
        </w:rPr>
        <w:t>五大</w:t>
      </w:r>
      <w:r>
        <w:rPr>
          <w:sz w:val="21"/>
          <w:szCs w:val="21"/>
          <w:lang w:val="zh-CN" w:bidi="zh-CN"/>
        </w:rPr>
        <w:t>”报</w:t>
      </w:r>
      <w:r>
        <w:rPr>
          <w:sz w:val="21"/>
          <w:szCs w:val="21"/>
          <w:lang w:eastAsia="zh-TW"/>
        </w:rPr>
        <w:t>告中明确地指出过这一点。</w:t>
      </w:r>
    </w:p>
    <w:p w14:paraId="1471E847">
      <w:pPr>
        <w:pStyle w:val="21"/>
        <w:widowControl/>
        <w:numPr>
          <w:ilvl w:val="0"/>
          <w:numId w:val="8"/>
        </w:numPr>
        <w:tabs>
          <w:tab w:val="left" w:pos="767"/>
        </w:tabs>
        <w:spacing w:line="400" w:lineRule="exact"/>
        <w:ind w:firstLine="460"/>
        <w:jc w:val="both"/>
        <w:rPr>
          <w:rFonts w:hint="default"/>
          <w:sz w:val="21"/>
          <w:szCs w:val="21"/>
          <w:lang w:eastAsia="zh-TW"/>
        </w:rPr>
      </w:pPr>
      <w:bookmarkStart w:id="521" w:name="bookmark11"/>
      <w:bookmarkEnd w:id="521"/>
      <w:r>
        <w:rPr>
          <w:sz w:val="21"/>
          <w:szCs w:val="21"/>
          <w:lang w:eastAsia="zh-TW"/>
        </w:rPr>
        <w:t>清华大学的魏杰认为，国有资产就像夏天里的冰棍，不送掉就融化了。但我认为，冰棍在冰箱中（即好的体制下）是不会化的。</w:t>
      </w:r>
    </w:p>
    <w:p w14:paraId="77E9BEFD">
      <w:pPr>
        <w:pStyle w:val="21"/>
        <w:widowControl/>
        <w:numPr>
          <w:ilvl w:val="0"/>
          <w:numId w:val="8"/>
        </w:numPr>
        <w:tabs>
          <w:tab w:val="left" w:pos="757"/>
        </w:tabs>
        <w:spacing w:line="400" w:lineRule="exact"/>
        <w:ind w:firstLine="460"/>
        <w:jc w:val="both"/>
        <w:rPr>
          <w:rFonts w:hint="default"/>
          <w:sz w:val="21"/>
          <w:szCs w:val="21"/>
          <w:lang w:eastAsia="zh-TW"/>
        </w:rPr>
      </w:pPr>
      <w:r>
        <w:rPr>
          <w:sz w:val="21"/>
          <w:szCs w:val="21"/>
          <w:lang w:eastAsia="zh-TW"/>
        </w:rPr>
        <w:t>樊钢认为，中国要搞市场经济应该更多地建立在私人资本的基础上，而不是更多地建立在国有资本的基础上。国资委研究中心主任王忠明指出，未来国有企业在数量上还要有相当规模的战略退岀。</w:t>
      </w:r>
    </w:p>
    <w:p w14:paraId="5F28A496">
      <w:pPr>
        <w:spacing w:before="147" w:beforeLines="50" w:after="147" w:afterLines="50" w:line="300" w:lineRule="auto"/>
        <w:ind w:firstLine="500" w:firstLineChars="200"/>
        <w:jc w:val="center"/>
        <w:rPr>
          <w:rFonts w:ascii="等线 Light" w:hAnsi="等线 Light" w:eastAsia="宋体" w:cs="Times New Roman"/>
          <w:b/>
          <w:bCs/>
          <w:kern w:val="28"/>
          <w:sz w:val="24"/>
          <w:szCs w:val="32"/>
          <w:lang w:bidi="ar"/>
        </w:rPr>
      </w:pPr>
      <w:r>
        <w:rPr>
          <w:rFonts w:ascii="等线 Light" w:hAnsi="等线 Light" w:eastAsia="宋体" w:cs="Times New Roman"/>
          <w:b/>
          <w:bCs/>
          <w:kern w:val="28"/>
          <w:sz w:val="24"/>
          <w:szCs w:val="32"/>
          <w:lang w:bidi="ar"/>
        </w:rPr>
        <w:t>二、“挺朗派"的主要观点</w:t>
      </w:r>
    </w:p>
    <w:p w14:paraId="1F25412F">
      <w:pPr>
        <w:pStyle w:val="21"/>
        <w:widowControl/>
        <w:spacing w:line="400" w:lineRule="exact"/>
        <w:ind w:firstLine="440" w:firstLineChars="200"/>
        <w:jc w:val="both"/>
        <w:rPr>
          <w:rFonts w:hint="default"/>
          <w:sz w:val="21"/>
          <w:szCs w:val="21"/>
          <w:lang w:eastAsia="zh-TW"/>
        </w:rPr>
      </w:pPr>
      <w:r>
        <w:rPr>
          <w:sz w:val="21"/>
          <w:szCs w:val="21"/>
          <w:lang w:eastAsia="zh-TW"/>
        </w:rPr>
        <w:t>支持郎咸平教授的观点我也来选取一些，并略加评论。</w:t>
      </w:r>
    </w:p>
    <w:p w14:paraId="016116B1">
      <w:pPr>
        <w:pStyle w:val="21"/>
        <w:widowControl/>
        <w:numPr>
          <w:ilvl w:val="0"/>
          <w:numId w:val="9"/>
        </w:numPr>
        <w:tabs>
          <w:tab w:val="left" w:pos="702"/>
        </w:tabs>
        <w:spacing w:line="400" w:lineRule="exact"/>
        <w:ind w:firstLine="440"/>
        <w:jc w:val="both"/>
        <w:rPr>
          <w:rFonts w:hint="default"/>
          <w:sz w:val="21"/>
          <w:szCs w:val="21"/>
          <w:lang w:eastAsia="zh-TW"/>
        </w:rPr>
      </w:pPr>
      <w:r>
        <w:rPr>
          <w:sz w:val="21"/>
          <w:szCs w:val="21"/>
          <w:lang w:eastAsia="zh-TW"/>
        </w:rPr>
        <w:t>清华大学的</w:t>
      </w:r>
      <w:r>
        <w:rPr>
          <w:sz w:val="21"/>
          <w:szCs w:val="21"/>
          <w:lang w:val="zh-CN" w:bidi="zh-CN"/>
        </w:rPr>
        <w:t>“海</w:t>
      </w:r>
      <w:r>
        <w:rPr>
          <w:sz w:val="21"/>
          <w:szCs w:val="21"/>
          <w:lang w:eastAsia="zh-TW"/>
        </w:rPr>
        <w:t>归派</w:t>
      </w:r>
      <w:r>
        <w:rPr>
          <w:sz w:val="21"/>
          <w:szCs w:val="21"/>
          <w:lang w:val="zh-CN" w:bidi="zh-CN"/>
        </w:rPr>
        <w:t>”崔之</w:t>
      </w:r>
      <w:r>
        <w:rPr>
          <w:sz w:val="21"/>
          <w:szCs w:val="21"/>
          <w:lang w:eastAsia="zh-TW"/>
        </w:rPr>
        <w:t>元认为，很多人把郎咸平提岀的</w:t>
      </w:r>
      <w:r>
        <w:rPr>
          <w:sz w:val="21"/>
          <w:szCs w:val="21"/>
          <w:lang w:val="zh-CN" w:bidi="zh-CN"/>
        </w:rPr>
        <w:t>“停止</w:t>
      </w:r>
      <w:r>
        <w:rPr>
          <w:sz w:val="21"/>
          <w:szCs w:val="21"/>
          <w:lang w:bidi="en-US"/>
        </w:rPr>
        <w:t>MBO</w:t>
      </w:r>
      <w:r>
        <w:rPr>
          <w:sz w:val="21"/>
          <w:szCs w:val="21"/>
          <w:lang w:eastAsia="zh-TW"/>
        </w:rPr>
        <w:t>改革</w:t>
      </w:r>
      <w:r>
        <w:rPr>
          <w:sz w:val="21"/>
          <w:szCs w:val="21"/>
          <w:lang w:val="zh-CN" w:bidi="zh-CN"/>
        </w:rPr>
        <w:t>”等</w:t>
      </w:r>
      <w:r>
        <w:rPr>
          <w:sz w:val="21"/>
          <w:szCs w:val="21"/>
          <w:lang w:eastAsia="zh-TW"/>
        </w:rPr>
        <w:t>同于停止国企改革，这是扣了一顶大帽子。对于张文魁认为的国有资产减让的主要形式是协议转让，并且83%转给了非国有经济和外国企业是一个十分可喜的现象，而崔之元则认为，国有土地不能再以协议的形式转让，那么国府股为什么却可以呢？改革以来有几次腐败高潮，很多干部被拖下了水，原因之一就是釆纳了私有化派的主张。比如土地问题，复旦大学经济学家张薰华老教授早就指出，土地应该通过市场招标，可在现实中仍大搞协议批租，结果导致几十万干部腐败。所以，一般我不批评腐败的干部的，因为他们身处一个腐败的环境。我不理解的是政府为什么要这么做，以及某些经济学家为什么要误导政府。国有股也通过协议转让给私有企业和外资企业，这又会导致一次大规模的腐败，现在已经开始了。中央民族大学经济学院院长刘永佶认为，要实行暂停、立法、改革三步曲。</w:t>
      </w:r>
    </w:p>
    <w:p w14:paraId="3706E75C">
      <w:pPr>
        <w:pStyle w:val="21"/>
        <w:widowControl/>
        <w:numPr>
          <w:ilvl w:val="0"/>
          <w:numId w:val="9"/>
        </w:numPr>
        <w:tabs>
          <w:tab w:val="left" w:pos="692"/>
        </w:tabs>
        <w:spacing w:line="400" w:lineRule="exact"/>
        <w:ind w:firstLine="440"/>
        <w:jc w:val="both"/>
        <w:rPr>
          <w:rFonts w:hint="default"/>
          <w:sz w:val="21"/>
          <w:szCs w:val="21"/>
          <w:lang w:eastAsia="zh-TW"/>
        </w:rPr>
      </w:pPr>
      <w:r>
        <w:rPr>
          <w:sz w:val="21"/>
          <w:szCs w:val="21"/>
          <w:lang w:eastAsia="zh-TW"/>
        </w:rPr>
        <w:t>有报道引用了我们的观点:“上海财经大学程恩富、首都经贸大学丁冰、中国社科院左大培等十位经济学家发表学术声明指岀，在改革中不坚持社会主义经济制度的方向，就会步原苏东国家的后尘，葬送党和人民半个多世纪来的全部经济成果。我们需要力避前苏东国家的特殊私有化道路，更不能鼓励主要通过国企内部管理层收购，推行一种比俄罗斯更不公正的私有化。国有企业是全民共同形成并影响社会主义经济发展方向的经济成分，也是历次国家宏观调控迅速产生效力的所有制基础，应予以特别的扶植，促其加快发展，而不能釆取'国退私进'的政策。</w:t>
      </w:r>
      <w:r>
        <w:rPr>
          <w:sz w:val="21"/>
          <w:szCs w:val="21"/>
          <w:lang w:val="zh-CN" w:bidi="zh-CN"/>
        </w:rPr>
        <w:t>”这</w:t>
      </w:r>
      <w:r>
        <w:rPr>
          <w:sz w:val="21"/>
          <w:szCs w:val="21"/>
          <w:lang w:eastAsia="zh-TW"/>
        </w:rPr>
        <w:t>是发表在上海《社会科学报》上的报道，后来国家发改委的《中国改革报》作了全文转载。</w:t>
      </w:r>
    </w:p>
    <w:p w14:paraId="4583DEE8">
      <w:pPr>
        <w:pStyle w:val="21"/>
        <w:widowControl/>
        <w:numPr>
          <w:ilvl w:val="0"/>
          <w:numId w:val="9"/>
        </w:numPr>
        <w:tabs>
          <w:tab w:val="left" w:pos="682"/>
        </w:tabs>
        <w:spacing w:line="400" w:lineRule="exact"/>
        <w:ind w:firstLine="440"/>
        <w:jc w:val="both"/>
        <w:rPr>
          <w:rFonts w:hint="default"/>
          <w:sz w:val="21"/>
          <w:szCs w:val="21"/>
          <w:lang w:eastAsia="zh-TW"/>
        </w:rPr>
      </w:pPr>
      <w:r>
        <w:rPr>
          <w:sz w:val="21"/>
          <w:szCs w:val="21"/>
          <w:lang w:eastAsia="zh-TW"/>
        </w:rPr>
        <w:t>这场争论也引起了其他学科教授的共同关注和反响。中国社科院政治学所的副所长房宁认为，郎咸平观点的背后是社会情绪，不应该被忽视。中国社科院社会学所的邵道生认为，一些与既得利益集团密切相关的人不去企业做基础调查，只是大谈不合实际的洋理论，以影响高层决策，这是非常危险的。</w:t>
      </w:r>
    </w:p>
    <w:p w14:paraId="722F088F">
      <w:pPr>
        <w:pStyle w:val="21"/>
        <w:widowControl/>
        <w:spacing w:line="400" w:lineRule="exact"/>
        <w:ind w:firstLine="440"/>
        <w:jc w:val="both"/>
        <w:rPr>
          <w:rFonts w:hint="default"/>
          <w:sz w:val="21"/>
          <w:szCs w:val="21"/>
          <w:lang w:eastAsia="zh-TW"/>
        </w:rPr>
      </w:pPr>
      <w:r>
        <w:rPr>
          <w:sz w:val="21"/>
          <w:szCs w:val="21"/>
          <w:lang w:eastAsia="zh-TW"/>
        </w:rPr>
        <w:t>华东师大王晓明先于我在网上发表了一些看法，认为国有资产是全国人民的资产，任意处置是极不合理的。</w:t>
      </w:r>
    </w:p>
    <w:p w14:paraId="2A530FA9">
      <w:pPr>
        <w:pStyle w:val="21"/>
        <w:widowControl/>
        <w:spacing w:line="400" w:lineRule="exact"/>
        <w:ind w:firstLine="440"/>
        <w:jc w:val="both"/>
        <w:rPr>
          <w:rFonts w:hint="default"/>
          <w:sz w:val="21"/>
          <w:szCs w:val="21"/>
          <w:lang w:eastAsia="zh-TW"/>
        </w:rPr>
      </w:pPr>
      <w:r>
        <w:rPr>
          <w:sz w:val="21"/>
          <w:szCs w:val="21"/>
          <w:lang w:eastAsia="zh-TW"/>
        </w:rPr>
        <w:t>南开大学哲学系韩强认为，一味宣传民营化，认为卖国有企业就是产权改革，大方向是片面的，是形而上学的观点。</w:t>
      </w:r>
    </w:p>
    <w:p w14:paraId="76757B40">
      <w:pPr>
        <w:spacing w:before="147" w:beforeLines="50" w:after="147" w:afterLines="50" w:line="300" w:lineRule="auto"/>
        <w:ind w:firstLine="500" w:firstLineChars="200"/>
        <w:jc w:val="center"/>
        <w:rPr>
          <w:rFonts w:ascii="等线 Light" w:hAnsi="等线 Light" w:eastAsia="宋体" w:cs="Times New Roman"/>
          <w:b/>
          <w:bCs/>
          <w:kern w:val="28"/>
          <w:sz w:val="24"/>
          <w:szCs w:val="32"/>
          <w:lang w:bidi="ar"/>
        </w:rPr>
      </w:pPr>
      <w:r>
        <w:rPr>
          <w:rFonts w:ascii="等线 Light" w:hAnsi="等线 Light" w:eastAsia="宋体" w:cs="Times New Roman"/>
          <w:b/>
          <w:bCs/>
          <w:kern w:val="28"/>
          <w:sz w:val="24"/>
          <w:szCs w:val="32"/>
          <w:lang w:bidi="ar"/>
        </w:rPr>
        <w:t>三、绝大多数人都反对新自由主义式的大卖大送</w:t>
      </w:r>
    </w:p>
    <w:p w14:paraId="331B3DD1">
      <w:pPr>
        <w:pStyle w:val="21"/>
        <w:widowControl/>
        <w:spacing w:line="400" w:lineRule="exact"/>
        <w:ind w:firstLine="440"/>
        <w:jc w:val="both"/>
        <w:rPr>
          <w:rFonts w:hint="default"/>
          <w:sz w:val="21"/>
          <w:szCs w:val="21"/>
          <w:lang w:eastAsia="zh-TW"/>
        </w:rPr>
      </w:pPr>
      <w:r>
        <w:rPr>
          <w:sz w:val="21"/>
          <w:szCs w:val="21"/>
          <w:lang w:eastAsia="zh-TW"/>
        </w:rPr>
        <w:t>应当看到，在支持郎咸平和反对新自由主义式大卖大送公共财产的学者中，不仅有新马克思主义经济学家，而且还有非马克思主义经济学家。例如，崔之元在芝加哥大学政治学系获得博士学位，曾在网上发表过一篇名为《小资产阶级社会主义宣言》的文章，不赞成资产阶级理论和马克思主义。再如，清华大学历史学教授秦辉认为，对盈利的大型国企实行靓女先嫁的私有化，实行</w:t>
      </w:r>
      <w:r>
        <w:rPr>
          <w:sz w:val="21"/>
          <w:szCs w:val="21"/>
          <w:lang w:bidi="en-US"/>
        </w:rPr>
        <w:t>MBO</w:t>
      </w:r>
      <w:r>
        <w:rPr>
          <w:sz w:val="21"/>
          <w:szCs w:val="21"/>
          <w:lang w:eastAsia="zh-TW"/>
        </w:rPr>
        <w:t>是不对的，没有一个国家搞私有化像中国这样的，把全中国人民的资产主要送给现在一些在位的企业负责人。</w:t>
      </w:r>
    </w:p>
    <w:p w14:paraId="1445E35E">
      <w:pPr>
        <w:pStyle w:val="21"/>
        <w:widowControl/>
        <w:spacing w:line="400" w:lineRule="exact"/>
        <w:ind w:firstLine="440"/>
        <w:jc w:val="both"/>
        <w:rPr>
          <w:rFonts w:hint="default"/>
          <w:sz w:val="21"/>
          <w:szCs w:val="21"/>
          <w:lang w:eastAsia="zh-TW"/>
        </w:rPr>
      </w:pPr>
      <w:r>
        <w:rPr>
          <w:sz w:val="21"/>
          <w:szCs w:val="21"/>
          <w:lang w:eastAsia="zh-TW"/>
        </w:rPr>
        <w:t>非马克思主义学者中国政法大学的扬帆教授也指岀，不能把管理问题简单地归咎于所有制问题，纳入私有化万能的轨道，对经营不善的经理不但不惩处，而且还要把股份送给他，这是极不正常的。</w:t>
      </w:r>
    </w:p>
    <w:p w14:paraId="1D27BA8B">
      <w:pPr>
        <w:pStyle w:val="21"/>
        <w:widowControl/>
        <w:spacing w:line="400" w:lineRule="exact"/>
        <w:ind w:firstLine="440"/>
        <w:jc w:val="both"/>
        <w:rPr>
          <w:rFonts w:hint="default"/>
          <w:sz w:val="21"/>
          <w:szCs w:val="21"/>
          <w:lang w:eastAsia="zh-TW"/>
        </w:rPr>
      </w:pPr>
      <w:r>
        <w:rPr>
          <w:sz w:val="21"/>
          <w:szCs w:val="21"/>
          <w:lang w:eastAsia="zh-TW"/>
        </w:rPr>
        <w:t>90高龄、原国务院发展中心副主任马宾上书中央，报告名为《为保卫中国国有企业改革的社会主义性质而斗争》，希望中央立即停止</w:t>
      </w:r>
      <w:r>
        <w:rPr>
          <w:sz w:val="21"/>
          <w:szCs w:val="21"/>
          <w:lang w:bidi="en-US"/>
        </w:rPr>
        <w:t>MBO，</w:t>
      </w:r>
      <w:r>
        <w:rPr>
          <w:sz w:val="21"/>
          <w:szCs w:val="21"/>
          <w:lang w:eastAsia="zh-TW"/>
        </w:rPr>
        <w:t>组织专门委员会进行全面深入的社会调查，总结国有和集体经济的</w:t>
      </w:r>
      <w:r>
        <w:rPr>
          <w:rStyle w:val="28"/>
          <w:sz w:val="21"/>
          <w:szCs w:val="21"/>
        </w:rPr>
        <w:t>改革状况。在马宾之前，左大培、杨帆、韩德强三人在</w:t>
      </w:r>
      <w:r>
        <w:rPr>
          <w:rStyle w:val="28"/>
          <w:rFonts w:cs="Times New Roman"/>
          <w:sz w:val="21"/>
          <w:szCs w:val="21"/>
        </w:rPr>
        <w:t>2004</w:t>
      </w:r>
      <w:r>
        <w:rPr>
          <w:rStyle w:val="28"/>
          <w:sz w:val="21"/>
          <w:szCs w:val="21"/>
        </w:rPr>
        <w:t>年</w:t>
      </w:r>
      <w:r>
        <w:rPr>
          <w:rStyle w:val="28"/>
          <w:rFonts w:cs="Times New Roman"/>
          <w:sz w:val="21"/>
          <w:szCs w:val="21"/>
        </w:rPr>
        <w:t>8</w:t>
      </w:r>
      <w:r>
        <w:rPr>
          <w:rStyle w:val="28"/>
          <w:sz w:val="21"/>
          <w:szCs w:val="21"/>
        </w:rPr>
        <w:t>月底就上书全国人大，希望人大干涉国企改革的非法现象。海派经济学南京研究所的</w:t>
      </w:r>
      <w:r>
        <w:rPr>
          <w:rStyle w:val="28"/>
          <w:rFonts w:cs="Times New Roman"/>
          <w:sz w:val="21"/>
          <w:szCs w:val="21"/>
        </w:rPr>
        <w:t>42</w:t>
      </w:r>
      <w:r>
        <w:rPr>
          <w:rStyle w:val="28"/>
          <w:sz w:val="21"/>
          <w:szCs w:val="21"/>
        </w:rPr>
        <w:t>位学者曾经于去年</w:t>
      </w:r>
      <w:r>
        <w:rPr>
          <w:rStyle w:val="28"/>
          <w:rFonts w:cs="Times New Roman"/>
          <w:sz w:val="21"/>
          <w:szCs w:val="21"/>
        </w:rPr>
        <w:t>9</w:t>
      </w:r>
      <w:r>
        <w:rPr>
          <w:rStyle w:val="28"/>
          <w:sz w:val="21"/>
          <w:szCs w:val="21"/>
        </w:rPr>
        <w:t>月初在网上发表研讨声明，接若，以北京大学法学博导巩献田为首的北京</w:t>
      </w:r>
      <w:r>
        <w:rPr>
          <w:rStyle w:val="28"/>
          <w:rFonts w:cs="Times New Roman"/>
          <w:sz w:val="21"/>
          <w:szCs w:val="21"/>
        </w:rPr>
        <w:t>185</w:t>
      </w:r>
      <w:r>
        <w:rPr>
          <w:rStyle w:val="28"/>
          <w:sz w:val="21"/>
          <w:szCs w:val="21"/>
        </w:rPr>
        <w:t>位法学学者联名上书胡锦涛总书记、温家宝总理和吴邦国委员长，希望停止目前严重违反宪法、违反法律的改制，深入调查研究，重新讨论改革事务。</w:t>
      </w:r>
    </w:p>
    <w:p w14:paraId="77A7B7E4">
      <w:pPr>
        <w:pStyle w:val="21"/>
        <w:widowControl/>
        <w:spacing w:line="400" w:lineRule="exact"/>
        <w:ind w:firstLine="440"/>
        <w:jc w:val="both"/>
        <w:rPr>
          <w:rFonts w:hint="default"/>
          <w:sz w:val="21"/>
          <w:szCs w:val="21"/>
          <w:lang w:eastAsia="zh-TW"/>
        </w:rPr>
      </w:pPr>
      <w:r>
        <w:rPr>
          <w:sz w:val="21"/>
          <w:szCs w:val="21"/>
          <w:lang w:eastAsia="zh-TW"/>
        </w:rPr>
        <w:t>网民的反映如何？截止2004年9月20日21：47，新浪网的调查共有90580人参加，认为郎咸平分析精辟、一针见血的占90.66%，认为是否有理尚待检验的占6.56%，认为郎咸平毫无依据、纯属猜测的占2.78%。截止同一时间，搜狐网财经频道的</w:t>
      </w:r>
      <w:r>
        <w:rPr>
          <w:sz w:val="21"/>
          <w:szCs w:val="21"/>
          <w:lang w:val="zh-CN" w:bidi="zh-CN"/>
        </w:rPr>
        <w:t>“如</w:t>
      </w:r>
      <w:r>
        <w:rPr>
          <w:sz w:val="21"/>
          <w:szCs w:val="21"/>
          <w:lang w:eastAsia="zh-TW"/>
        </w:rPr>
        <w:t>何看待郎咸平关于国有资产流失”的调查，支持郎咸平的占85.77%，认为郎咸平一针见血的分析可能会招致报复的占9.55%，认为国资流失与我无关的占4.67%。可见，九成的网民是支持郎咸平的，问题之严重可想而知。在这个问题上，广大以中青年为主的网民的态度就是最广大人民群众的态度。我们践行“三个代表</w:t>
      </w:r>
      <w:r>
        <w:rPr>
          <w:sz w:val="21"/>
          <w:szCs w:val="21"/>
          <w:lang w:val="zh-CN" w:bidi="zh-CN"/>
        </w:rPr>
        <w:t>”重</w:t>
      </w:r>
      <w:r>
        <w:rPr>
          <w:sz w:val="21"/>
          <w:szCs w:val="21"/>
          <w:lang w:eastAsia="zh-TW"/>
        </w:rPr>
        <w:t>要思想，就应考虑这个意见。</w:t>
      </w:r>
    </w:p>
    <w:p w14:paraId="538A0812">
      <w:pPr>
        <w:pStyle w:val="21"/>
        <w:widowControl/>
        <w:spacing w:line="400" w:lineRule="exact"/>
        <w:ind w:firstLine="440"/>
        <w:jc w:val="both"/>
        <w:rPr>
          <w:rFonts w:hint="default"/>
          <w:sz w:val="21"/>
          <w:szCs w:val="21"/>
          <w:lang w:eastAsia="zh-TW"/>
        </w:rPr>
      </w:pPr>
      <w:r>
        <w:rPr>
          <w:sz w:val="21"/>
          <w:szCs w:val="21"/>
          <w:lang w:eastAsia="zh-TW"/>
        </w:rPr>
        <w:t>国家国资委在争论中布置各省自查，调查结果未公开，但没有一个省市承认自己在国有资产流失方面有严重问题。2004年9月下旬，中宣部等请国家国资委主任李荣融就国企改制问题作讲演，大致意思为，大型国有企业不卖，国有中小企业继续探索施行改制和出售。2004年10月8日，上海社科院请我去作讲演时，我当着国资委法规司一位副司长的面说</w:t>
      </w:r>
      <w:r>
        <w:rPr>
          <w:sz w:val="21"/>
          <w:szCs w:val="21"/>
          <w:lang w:val="zh-CN" w:bidi="zh-CN"/>
        </w:rPr>
        <w:t>，“李</w:t>
      </w:r>
      <w:r>
        <w:rPr>
          <w:sz w:val="21"/>
          <w:szCs w:val="21"/>
          <w:lang w:eastAsia="zh-TW"/>
        </w:rPr>
        <w:t>荣融主任的说法不是事实</w:t>
      </w:r>
      <w:r>
        <w:rPr>
          <w:sz w:val="21"/>
          <w:szCs w:val="21"/>
          <w:lang w:val="zh-CN" w:bidi="zh-CN"/>
        </w:rPr>
        <w:t>”，因</w:t>
      </w:r>
      <w:r>
        <w:rPr>
          <w:sz w:val="21"/>
          <w:szCs w:val="21"/>
          <w:lang w:eastAsia="zh-TW"/>
        </w:rPr>
        <w:t>为各个省在前几年分别制定了严格的条例，把中小国企</w:t>
      </w:r>
      <w:r>
        <w:rPr>
          <w:sz w:val="21"/>
          <w:szCs w:val="21"/>
          <w:lang w:val="zh-CN" w:bidi="zh-CN"/>
        </w:rPr>
        <w:t>“送给”在</w:t>
      </w:r>
      <w:r>
        <w:rPr>
          <w:sz w:val="21"/>
          <w:szCs w:val="21"/>
          <w:lang w:eastAsia="zh-TW"/>
        </w:rPr>
        <w:t>岗位的企业负责人，现在60%~80%已经</w:t>
      </w:r>
      <w:r>
        <w:rPr>
          <w:sz w:val="21"/>
          <w:szCs w:val="21"/>
          <w:lang w:val="zh-CN" w:bidi="zh-CN"/>
        </w:rPr>
        <w:t>“送”了</w:t>
      </w:r>
      <w:r>
        <w:rPr>
          <w:sz w:val="21"/>
          <w:szCs w:val="21"/>
          <w:lang w:eastAsia="zh-TW"/>
        </w:rPr>
        <w:t>，而他还在说</w:t>
      </w:r>
      <w:r>
        <w:rPr>
          <w:sz w:val="21"/>
          <w:szCs w:val="21"/>
          <w:lang w:val="zh-CN" w:bidi="zh-CN"/>
        </w:rPr>
        <w:t>“继</w:t>
      </w:r>
      <w:r>
        <w:rPr>
          <w:sz w:val="21"/>
          <w:szCs w:val="21"/>
          <w:lang w:eastAsia="zh-TW"/>
        </w:rPr>
        <w:t>续探索试行</w:t>
      </w:r>
      <w:r>
        <w:rPr>
          <w:sz w:val="21"/>
          <w:szCs w:val="21"/>
          <w:lang w:val="zh-CN" w:bidi="zh-CN"/>
        </w:rPr>
        <w:t>”，其</w:t>
      </w:r>
      <w:r>
        <w:rPr>
          <w:sz w:val="21"/>
          <w:szCs w:val="21"/>
          <w:lang w:eastAsia="zh-TW"/>
        </w:rPr>
        <w:t>实早就大范围实施了。</w:t>
      </w:r>
    </w:p>
    <w:p w14:paraId="0616BC19">
      <w:pPr>
        <w:pStyle w:val="21"/>
        <w:widowControl/>
        <w:spacing w:line="400" w:lineRule="exact"/>
        <w:ind w:firstLine="440"/>
        <w:jc w:val="both"/>
        <w:rPr>
          <w:rFonts w:hint="default"/>
          <w:sz w:val="21"/>
          <w:szCs w:val="21"/>
          <w:lang w:eastAsia="zh-TW"/>
        </w:rPr>
      </w:pPr>
      <w:r>
        <w:rPr>
          <w:sz w:val="21"/>
          <w:szCs w:val="21"/>
          <w:lang w:eastAsia="zh-TW"/>
        </w:rPr>
        <w:t>最近，我看到胡鞍钢在《人民日报》内参上的一篇文章，认为1995年前的改制对工人来说基本还是</w:t>
      </w:r>
      <w:r>
        <w:rPr>
          <w:sz w:val="21"/>
          <w:szCs w:val="21"/>
          <w:lang w:val="zh-CN" w:bidi="zh-CN"/>
        </w:rPr>
        <w:t>“双赢”的</w:t>
      </w:r>
      <w:r>
        <w:rPr>
          <w:sz w:val="21"/>
          <w:szCs w:val="21"/>
          <w:lang w:eastAsia="zh-TW"/>
        </w:rPr>
        <w:t>，1995年以后，尤其是1997年后的改制则严重损害了工人群众的利益，导致工人大规模下岗，于是他指出，建设和谐社会就要纠正这个问题。上海的《学术月刊》和《文汇报》等评出的2004年十大学术热点中也有关于郎咸平的争论，当时的20多位由主要文科教授构成的评委一致认为，这个热点才是夏正的学术热点，由学者提出，再在学术界讨论，最后波及开去。</w:t>
      </w:r>
    </w:p>
    <w:p w14:paraId="12DA5F9B">
      <w:pPr>
        <w:pStyle w:val="21"/>
        <w:widowControl/>
        <w:spacing w:line="400" w:lineRule="exact"/>
        <w:ind w:firstLine="440"/>
        <w:jc w:val="both"/>
        <w:rPr>
          <w:rFonts w:hint="default"/>
          <w:sz w:val="21"/>
          <w:szCs w:val="21"/>
          <w:lang w:eastAsia="zh-TW"/>
        </w:rPr>
      </w:pPr>
      <w:r>
        <w:rPr>
          <w:sz w:val="21"/>
          <w:szCs w:val="21"/>
          <w:lang w:eastAsia="zh-TW"/>
        </w:rPr>
        <w:t>我有个问题，为什么大量的经济学“海归派”中只有郎咸平和北大的林毅夫认为国有企业是可以搞好的呢？我发现，这两个人都在台湾的大学正规接受过</w:t>
      </w:r>
      <w:r>
        <w:rPr>
          <w:sz w:val="21"/>
          <w:szCs w:val="21"/>
          <w:lang w:val="zh-CN" w:bidi="zh-CN"/>
        </w:rPr>
        <w:t>“三</w:t>
      </w:r>
      <w:r>
        <w:rPr>
          <w:sz w:val="21"/>
          <w:szCs w:val="21"/>
          <w:lang w:eastAsia="zh-TW"/>
        </w:rPr>
        <w:t>民主义</w:t>
      </w:r>
      <w:r>
        <w:rPr>
          <w:sz w:val="21"/>
          <w:szCs w:val="21"/>
          <w:lang w:val="zh-CN" w:bidi="zh-CN"/>
        </w:rPr>
        <w:t>”教育，“三</w:t>
      </w:r>
      <w:r>
        <w:rPr>
          <w:sz w:val="21"/>
          <w:szCs w:val="21"/>
          <w:lang w:eastAsia="zh-TW"/>
        </w:rPr>
        <w:t>民主义</w:t>
      </w:r>
      <w:r>
        <w:rPr>
          <w:sz w:val="21"/>
          <w:szCs w:val="21"/>
          <w:lang w:val="zh-CN" w:bidi="zh-CN"/>
        </w:rPr>
        <w:t>”的</w:t>
      </w:r>
      <w:r>
        <w:rPr>
          <w:sz w:val="21"/>
          <w:szCs w:val="21"/>
          <w:lang w:eastAsia="zh-TW"/>
        </w:rPr>
        <w:t>经济纲领有个</w:t>
      </w:r>
      <w:r>
        <w:rPr>
          <w:sz w:val="21"/>
          <w:szCs w:val="21"/>
          <w:lang w:val="zh-CN" w:bidi="zh-CN"/>
        </w:rPr>
        <w:t>“抑止</w:t>
      </w:r>
      <w:r>
        <w:rPr>
          <w:sz w:val="21"/>
          <w:szCs w:val="21"/>
          <w:lang w:eastAsia="zh-TW"/>
        </w:rPr>
        <w:t>私人大资本</w:t>
      </w:r>
      <w:r>
        <w:rPr>
          <w:sz w:val="21"/>
          <w:szCs w:val="21"/>
          <w:lang w:val="zh-CN" w:bidi="zh-CN"/>
        </w:rPr>
        <w:t>”的核</w:t>
      </w:r>
      <w:r>
        <w:rPr>
          <w:sz w:val="21"/>
          <w:szCs w:val="21"/>
          <w:lang w:eastAsia="zh-TW"/>
        </w:rPr>
        <w:t>心理论和政策，主张大资本应当是国有的。台湾的学校有一门必修课，名为</w:t>
      </w:r>
      <w:r>
        <w:rPr>
          <w:sz w:val="21"/>
          <w:szCs w:val="21"/>
          <w:lang w:val="zh-CN" w:bidi="zh-CN"/>
        </w:rPr>
        <w:t>“国</w:t>
      </w:r>
      <w:r>
        <w:rPr>
          <w:sz w:val="21"/>
          <w:szCs w:val="21"/>
          <w:lang w:eastAsia="zh-TW"/>
        </w:rPr>
        <w:t>父思想”，相当于我们的邓小平理论，认为国有大企业是可以搞好的。</w:t>
      </w:r>
    </w:p>
    <w:p w14:paraId="6468BEB7">
      <w:pPr>
        <w:pStyle w:val="21"/>
        <w:widowControl/>
        <w:spacing w:line="400" w:lineRule="exact"/>
        <w:ind w:firstLine="440"/>
        <w:jc w:val="both"/>
        <w:rPr>
          <w:rFonts w:hint="default"/>
          <w:sz w:val="21"/>
          <w:szCs w:val="21"/>
          <w:lang w:eastAsia="zh-TW"/>
        </w:rPr>
      </w:pPr>
      <w:r>
        <w:rPr>
          <w:sz w:val="21"/>
          <w:szCs w:val="21"/>
          <w:lang w:eastAsia="zh-TW"/>
        </w:rPr>
        <w:t>2002年2月，时任总书记的江泽民同志在西郊宾馆召集理论工作者座谈，讨论改革思路，上海市委指定我汇报国企改革问题。我当时在发言中临时插了一段话，提岀十六大应该搞清邓小平理论和</w:t>
      </w:r>
      <w:r>
        <w:rPr>
          <w:sz w:val="21"/>
          <w:szCs w:val="21"/>
          <w:lang w:val="zh-CN" w:bidi="zh-CN"/>
        </w:rPr>
        <w:t>“三民</w:t>
      </w:r>
      <w:r>
        <w:rPr>
          <w:sz w:val="21"/>
          <w:szCs w:val="21"/>
          <w:lang w:eastAsia="zh-TW"/>
        </w:rPr>
        <w:t>主义”的区别，即邓小平理论强调公有制必须占主体，而</w:t>
      </w:r>
      <w:r>
        <w:rPr>
          <w:sz w:val="21"/>
          <w:szCs w:val="21"/>
          <w:lang w:val="zh-CN" w:bidi="zh-CN"/>
        </w:rPr>
        <w:t>“三</w:t>
      </w:r>
      <w:r>
        <w:rPr>
          <w:sz w:val="21"/>
          <w:szCs w:val="21"/>
          <w:lang w:eastAsia="zh-TW"/>
        </w:rPr>
        <w:t>民主义”没有这个观点。我的潜台词就是，改革的结果不要把邓小平理论变成了</w:t>
      </w:r>
      <w:r>
        <w:rPr>
          <w:sz w:val="21"/>
          <w:szCs w:val="21"/>
          <w:lang w:val="zh-CN" w:bidi="zh-CN"/>
        </w:rPr>
        <w:t>“三民</w:t>
      </w:r>
      <w:r>
        <w:rPr>
          <w:sz w:val="21"/>
          <w:szCs w:val="21"/>
          <w:lang w:eastAsia="zh-TW"/>
        </w:rPr>
        <w:t>主义”，甚至还不如</w:t>
      </w:r>
      <w:r>
        <w:rPr>
          <w:sz w:val="21"/>
          <w:szCs w:val="21"/>
          <w:lang w:val="zh-CN" w:bidi="zh-CN"/>
        </w:rPr>
        <w:t>“三民</w:t>
      </w:r>
      <w:r>
        <w:rPr>
          <w:sz w:val="21"/>
          <w:szCs w:val="21"/>
          <w:lang w:eastAsia="zh-TW"/>
        </w:rPr>
        <w:t>主义”。我前不久去北京开会，听说黑龙江省的领导已经宣布，要把所有的大型国企一起卖给外国战略投资者，即跨国公司，这就是所谓的“靓女先嫁”。</w:t>
      </w:r>
    </w:p>
    <w:p w14:paraId="5D2171BC">
      <w:pPr>
        <w:pStyle w:val="21"/>
        <w:widowControl/>
        <w:spacing w:line="400" w:lineRule="exact"/>
        <w:ind w:firstLine="440"/>
        <w:jc w:val="both"/>
        <w:rPr>
          <w:rFonts w:hint="default" w:eastAsia="PMingLiU"/>
          <w:sz w:val="21"/>
          <w:szCs w:val="21"/>
          <w:lang w:eastAsia="zh-TW"/>
        </w:rPr>
      </w:pPr>
      <w:r>
        <w:rPr>
          <w:sz w:val="21"/>
          <w:szCs w:val="21"/>
          <w:lang w:eastAsia="zh-TW"/>
        </w:rPr>
        <w:t>现在有些人有意把国有企业弄亏损，然后就可以顺利成为个人的企业了。去年5月我在中共中央政治局讲课时，就借回答中央领导提岀的信仰问题谈了五点，从政治到经济各个方面，其中在说到国企改革时我是这样说的:从存在决定意识、经济基础决定上层建筑来分析，不少地区大卖公有企业，再过几年，私有制企业所占比重将过半，从而进入半资本主义半社会主义社会。有人认为，可能再过几年，我们会走上苏东已经实现的、以私有制为主体的、当代资本主义社会，从而怀疑马克思主义和共产主义。后来，《上海社科报》发了我的讲话，《求是内参》总编觉得不错，让我把文章再充实一下，我把五个现象变成了七个深层原因，措辞比较重。《求是内参》加了编者按，直接报送给了政治局和书记处。</w:t>
      </w:r>
    </w:p>
    <w:p w14:paraId="6D286D2B">
      <w:pPr>
        <w:pStyle w:val="21"/>
        <w:widowControl/>
        <w:spacing w:line="400" w:lineRule="exact"/>
        <w:ind w:firstLine="440"/>
        <w:jc w:val="both"/>
        <w:rPr>
          <w:rFonts w:hint="default" w:eastAsia="PMingLiU"/>
          <w:sz w:val="21"/>
          <w:szCs w:val="21"/>
          <w:lang w:eastAsia="zh-TW"/>
        </w:rPr>
      </w:pPr>
      <w:r>
        <w:rPr>
          <w:rFonts w:asciiTheme="minorEastAsia" w:hAnsiTheme="minorEastAsia" w:eastAsiaTheme="minorEastAsia"/>
          <w:sz w:val="21"/>
          <w:szCs w:val="21"/>
          <w:lang w:eastAsia="zh-TW"/>
        </w:rPr>
        <w:t>（原载《探求》</w:t>
      </w:r>
      <w:r>
        <w:rPr>
          <w:rFonts w:asciiTheme="minorEastAsia" w:hAnsiTheme="minorEastAsia" w:eastAsiaTheme="minorEastAsia"/>
          <w:sz w:val="21"/>
          <w:szCs w:val="21"/>
        </w:rPr>
        <w:t>2</w:t>
      </w:r>
      <w:r>
        <w:rPr>
          <w:rFonts w:hint="default" w:asciiTheme="minorEastAsia" w:hAnsiTheme="minorEastAsia" w:eastAsiaTheme="minorEastAsia"/>
          <w:sz w:val="21"/>
          <w:szCs w:val="21"/>
        </w:rPr>
        <w:t>005</w:t>
      </w:r>
      <w:r>
        <w:rPr>
          <w:rFonts w:asciiTheme="minorEastAsia" w:hAnsiTheme="minorEastAsia" w:eastAsiaTheme="minorEastAsia"/>
          <w:sz w:val="21"/>
          <w:szCs w:val="21"/>
        </w:rPr>
        <w:t>年第5期</w:t>
      </w:r>
      <w:r>
        <w:rPr>
          <w:rFonts w:asciiTheme="minorEastAsia" w:hAnsiTheme="minorEastAsia" w:eastAsiaTheme="minorEastAsia"/>
          <w:sz w:val="21"/>
          <w:szCs w:val="21"/>
          <w:lang w:eastAsia="zh-TW"/>
        </w:rPr>
        <w:t>）</w:t>
      </w:r>
    </w:p>
    <w:p w14:paraId="704EF19A">
      <w:pPr>
        <w:pStyle w:val="30"/>
        <w:widowControl/>
        <w:spacing w:after="0" w:line="400" w:lineRule="exact"/>
        <w:jc w:val="both"/>
        <w:rPr>
          <w:rFonts w:hint="default" w:ascii="宋体" w:hAnsi="宋体" w:eastAsia="宋体" w:cs="宋体"/>
          <w:sz w:val="21"/>
          <w:szCs w:val="21"/>
          <w:lang w:eastAsia="zh-TW"/>
        </w:rPr>
      </w:pPr>
    </w:p>
    <w:p w14:paraId="5AC863C2">
      <w:pPr>
        <w:pStyle w:val="3"/>
        <w:widowControl/>
        <w:spacing w:before="0" w:after="0" w:line="360" w:lineRule="auto"/>
        <w:jc w:val="center"/>
        <w:rPr>
          <w:rFonts w:ascii="黑体" w:hAnsi="宋体" w:eastAsia="黑体"/>
          <w:b w:val="0"/>
          <w:bCs w:val="0"/>
          <w:spacing w:val="-2"/>
          <w:lang w:bidi="ar"/>
        </w:rPr>
      </w:pPr>
      <w:bookmarkStart w:id="522" w:name="_Toc257922046"/>
      <w:bookmarkStart w:id="523" w:name="_Toc111148952"/>
      <w:bookmarkStart w:id="524" w:name="_Toc10056"/>
      <w:bookmarkStart w:id="525" w:name="_Toc291988825"/>
      <w:bookmarkStart w:id="526" w:name="_Toc1354819850"/>
      <w:r>
        <w:rPr>
          <w:rFonts w:ascii="黑体" w:hAnsi="宋体" w:eastAsia="黑体"/>
          <w:b w:val="0"/>
          <w:bCs w:val="0"/>
          <w:spacing w:val="-2"/>
          <w:lang w:bidi="ar"/>
        </w:rPr>
        <w:t>14当前理论经济学研究和教学的若干问题</w:t>
      </w:r>
      <w:bookmarkEnd w:id="522"/>
      <w:bookmarkEnd w:id="523"/>
      <w:bookmarkEnd w:id="524"/>
      <w:bookmarkEnd w:id="525"/>
      <w:bookmarkEnd w:id="526"/>
    </w:p>
    <w:p w14:paraId="75242D59">
      <w:pPr>
        <w:spacing w:before="147" w:beforeLines="50" w:line="300" w:lineRule="auto"/>
        <w:ind w:firstLine="440" w:firstLineChars="200"/>
        <w:rPr>
          <w:rFonts w:ascii="宋体" w:hAnsi="宋体" w:eastAsia="宋体" w:cs="Times New Roman"/>
          <w:b/>
        </w:rPr>
      </w:pPr>
      <w:r>
        <w:rPr>
          <w:rFonts w:hint="eastAsia" w:ascii="宋体" w:hAnsi="宋体" w:eastAsia="宋体" w:cs="Times New Roman"/>
          <w:lang w:bidi="ar"/>
        </w:rPr>
        <w:t>在中央的正确领导下，近年高教事业发展很快，总体形势很好。不过，1990年代后期以来，各个高校在政治经济学和西方经济学的课程设置、教材内容、考研科目、师资政治素质和学科建设等方针上一直有重大分歧和争论。许多忠诚于马克思主义的校院领导和教师对于“以马克思主义政治经济学为核心的教学体系和研究体系不断被排斥和贬低，而以西方经济学为核心的教学体系和研究体系不断被误升和渲染”，极为忧虑。最近，著名经济学家刘国光教授批评教育界和经济学界的这一流弊，是深刻和正确的，应当引起我们高度重视并切实加以改进。</w:t>
      </w:r>
    </w:p>
    <w:p w14:paraId="4A461C75">
      <w:pPr>
        <w:spacing w:before="147" w:beforeLines="50" w:after="147" w:afterLines="50" w:line="300" w:lineRule="auto"/>
        <w:ind w:firstLine="500" w:firstLineChars="200"/>
        <w:jc w:val="center"/>
        <w:rPr>
          <w:rFonts w:ascii="等线 Light" w:hAnsi="等线 Light" w:eastAsia="宋体" w:cs="Times New Roman"/>
          <w:b/>
          <w:bCs/>
          <w:kern w:val="28"/>
          <w:sz w:val="24"/>
          <w:szCs w:val="32"/>
          <w:lang w:bidi="ar"/>
        </w:rPr>
      </w:pPr>
      <w:r>
        <w:rPr>
          <w:rFonts w:hint="eastAsia" w:ascii="等线 Light" w:hAnsi="等线 Light" w:eastAsia="宋体" w:cs="Times New Roman"/>
          <w:b/>
          <w:bCs/>
          <w:kern w:val="28"/>
          <w:sz w:val="24"/>
          <w:szCs w:val="32"/>
          <w:lang w:bidi="ar"/>
        </w:rPr>
        <w:t>一、问题表现</w:t>
      </w:r>
    </w:p>
    <w:p w14:paraId="79F62974">
      <w:pPr>
        <w:spacing w:line="300" w:lineRule="auto"/>
        <w:ind w:firstLine="440" w:firstLineChars="200"/>
        <w:rPr>
          <w:rFonts w:ascii="宋体" w:hAnsi="宋体" w:eastAsia="宋体" w:cs="Times New Roman"/>
        </w:rPr>
      </w:pPr>
      <w:r>
        <w:rPr>
          <w:rFonts w:hint="eastAsia" w:ascii="宋体" w:hAnsi="宋体" w:eastAsia="宋体" w:cs="Times New Roman"/>
          <w:lang w:bidi="ar"/>
        </w:rPr>
        <w:t>1、在理论经济学专业本科和研究生的课程体系中，西方微观经济学与宏观经济学的总课时均大大超过政治经济学资本主义部分与社会主义部分，普遍多达1-3倍。</w:t>
      </w:r>
    </w:p>
    <w:p w14:paraId="7FFC6A82">
      <w:pPr>
        <w:spacing w:line="300" w:lineRule="auto"/>
        <w:ind w:firstLine="440" w:firstLineChars="200"/>
        <w:rPr>
          <w:rFonts w:ascii="宋体" w:hAnsi="宋体" w:eastAsia="宋体" w:cs="Times New Roman"/>
        </w:rPr>
      </w:pPr>
      <w:r>
        <w:rPr>
          <w:rFonts w:hint="eastAsia" w:ascii="宋体" w:hAnsi="宋体" w:eastAsia="宋体" w:cs="Times New Roman"/>
          <w:lang w:bidi="ar"/>
        </w:rPr>
        <w:t>2、在非理论经济学的所有经济类和经济管理类的专业中，或者只在思想理论课模块中，占有并讲授有关马克思主义经济理论和社会主义经济理论共30总课时或者在思想理论课模块中不讲授，另外开设政治经济学资本主义部分和社会主义部分40总课时。这样，政治经济学的教学根本无法进行案例教学、实证分析与数理模型推导等一系列改革和创新教学，严重影响革新和教学效果。</w:t>
      </w:r>
    </w:p>
    <w:p w14:paraId="53FF10C7">
      <w:pPr>
        <w:spacing w:line="300" w:lineRule="auto"/>
        <w:ind w:firstLine="440" w:firstLineChars="200"/>
        <w:rPr>
          <w:rFonts w:ascii="宋体" w:hAnsi="宋体" w:eastAsia="宋体" w:cs="Times New Roman"/>
        </w:rPr>
      </w:pPr>
      <w:r>
        <w:rPr>
          <w:rFonts w:hint="eastAsia" w:ascii="宋体" w:hAnsi="宋体" w:eastAsia="宋体" w:cs="Times New Roman"/>
          <w:lang w:bidi="ar"/>
        </w:rPr>
        <w:t>3、在非理论经济学的所有经济类和经济管理类专业的硕士和博士研究生人学考试中，均不考政治经济学，不承认政治经济学是学术，连政治经济学同西方经济学在考试中平起平坐都不承认。就算硕士生人学政治课考试中含有20总分的政治经济学内容，那么，在财经类统考“经济学”的150总分中，也不应当全部归于西方经济学而没有政治经济学1分的比例。</w:t>
      </w:r>
    </w:p>
    <w:p w14:paraId="0AFBCA8E">
      <w:pPr>
        <w:spacing w:line="300" w:lineRule="auto"/>
        <w:ind w:firstLine="440" w:firstLineChars="200"/>
        <w:rPr>
          <w:rFonts w:ascii="宋体" w:hAnsi="宋体" w:eastAsia="宋体" w:cs="Times New Roman"/>
        </w:rPr>
      </w:pPr>
      <w:r>
        <w:rPr>
          <w:rFonts w:hint="eastAsia" w:ascii="宋体" w:hAnsi="宋体" w:eastAsia="宋体" w:cs="Times New Roman"/>
          <w:lang w:bidi="ar"/>
        </w:rPr>
        <w:t>4、普遍采用未经科学分析的西方经济学原版教材，并以基本肯定其核心理论的方式向学生作传授和宣传，包括宣扬“自私经济人”、“公有制不如私有制”、“资本主义优于社会主义”、“市场原教旨主义”、“私有制无剥削”等基本原理，导致学生和中青年教师的理论倾向与政治信仰问题突出。</w:t>
      </w:r>
    </w:p>
    <w:p w14:paraId="00BE0528">
      <w:pPr>
        <w:spacing w:line="300" w:lineRule="auto"/>
        <w:ind w:firstLine="440" w:firstLineChars="200"/>
        <w:rPr>
          <w:rFonts w:ascii="宋体" w:hAnsi="宋体" w:eastAsia="宋体" w:cs="Times New Roman"/>
        </w:rPr>
      </w:pPr>
      <w:r>
        <w:rPr>
          <w:rFonts w:hint="eastAsia" w:ascii="宋体" w:hAnsi="宋体" w:eastAsia="宋体" w:cs="Times New Roman"/>
          <w:lang w:bidi="ar"/>
        </w:rPr>
        <w:t>5、从事专搞西方经济学教学和研究的教师，尤其是在西方非马克思主义教授培养并获得学位的人中间，有日渐增多的人不赞成或坚决反对马克思主义及其经济学，但被选聘为学术单位的领导和学科带头人，甚至违反国际惯例而用紧缺的国家教育经费，超中国院士甚至国际大学标准地高薪聘任这类海外社科学者，使广大师生感到不少重点大学是支持和重用反马克思主义经济学的学者的。</w:t>
      </w:r>
    </w:p>
    <w:p w14:paraId="26CA3D23">
      <w:pPr>
        <w:spacing w:line="300" w:lineRule="auto"/>
        <w:ind w:firstLine="440" w:firstLineChars="200"/>
        <w:rPr>
          <w:rFonts w:ascii="宋体" w:hAnsi="宋体" w:eastAsia="宋体" w:cs="Times New Roman"/>
        </w:rPr>
      </w:pPr>
      <w:r>
        <w:rPr>
          <w:rFonts w:hint="eastAsia" w:ascii="宋体" w:hAnsi="宋体" w:eastAsia="宋体" w:cs="Times New Roman"/>
          <w:lang w:bidi="ar"/>
        </w:rPr>
        <w:t>上述问题导致财经类和经济管理类的广大师生认为，社会主义大学要与西方大学接轨，现在只应重视和强调西方经济学，政治经济学不是财经类和经济管理类专业的共同基础知识，也不是学术，更不用说指导西方经济学的科学教学和研究了，这就严重影响了还坚持马克思主义的政治经济学教师和西方经济学教师的积极性，导致越来越多的中青年学科带头人主动或被迫选择资产阶级自由化学术道路。</w:t>
      </w:r>
    </w:p>
    <w:p w14:paraId="4C0C1743">
      <w:pPr>
        <w:spacing w:before="147" w:beforeLines="50" w:after="147" w:afterLines="50" w:line="300" w:lineRule="auto"/>
        <w:ind w:firstLine="500" w:firstLineChars="200"/>
        <w:jc w:val="center"/>
        <w:rPr>
          <w:rFonts w:ascii="Calibri" w:hAnsi="Calibri" w:eastAsia="宋体" w:cs="Times New Roman"/>
          <w:b/>
          <w:sz w:val="24"/>
          <w:szCs w:val="18"/>
        </w:rPr>
      </w:pPr>
      <w:r>
        <w:rPr>
          <w:rFonts w:hint="eastAsia" w:ascii="Calibri" w:hAnsi="Calibri" w:eastAsia="宋体" w:cs="Times New Roman"/>
          <w:b/>
          <w:sz w:val="24"/>
          <w:szCs w:val="18"/>
          <w:lang w:bidi="ar"/>
        </w:rPr>
        <w:t>二、具体建议</w:t>
      </w:r>
    </w:p>
    <w:p w14:paraId="2382955C">
      <w:pPr>
        <w:spacing w:line="300" w:lineRule="auto"/>
        <w:ind w:firstLine="440" w:firstLineChars="200"/>
        <w:rPr>
          <w:rFonts w:ascii="宋体" w:hAnsi="宋体" w:eastAsia="宋体" w:cs="Times New Roman"/>
        </w:rPr>
      </w:pPr>
      <w:r>
        <w:rPr>
          <w:rFonts w:hint="eastAsia" w:ascii="宋体" w:hAnsi="宋体" w:eastAsia="宋体" w:cs="Times New Roman"/>
          <w:lang w:bidi="ar"/>
        </w:rPr>
        <w:t>上述问题与《中共中央关于进一步繁荣发展我国哲学社会科学的意见》、《实施国家马克思主义理论研究与建设工程》以及正在开展“三项教育”的文件精神，以及教育部原来的规定，都是违背的。近年的情况日趋严重，广大教师和学生极有意见，强烈要求教育部采取有效措施，进行纠正并作出新的明确规定。为此，我们建议</w:t>
      </w:r>
    </w:p>
    <w:p w14:paraId="34C7624D">
      <w:pPr>
        <w:spacing w:line="300" w:lineRule="auto"/>
        <w:ind w:firstLine="440" w:firstLineChars="200"/>
        <w:rPr>
          <w:rFonts w:ascii="宋体" w:hAnsi="宋体" w:eastAsia="宋体" w:cs="Times New Roman"/>
        </w:rPr>
      </w:pPr>
      <w:r>
        <w:rPr>
          <w:rFonts w:hint="eastAsia" w:ascii="宋体" w:hAnsi="宋体" w:eastAsia="宋体" w:cs="Times New Roman"/>
          <w:lang w:bidi="ar"/>
        </w:rPr>
        <w:t>第一，坚持马克思主义为办学指导思想，以中国特色的社会主义为办学方向，重新强调以不断创新的马克思主义经济学为指导，讲授和研究现代西方经济学，科学借鉴与批判并重。</w:t>
      </w:r>
    </w:p>
    <w:p w14:paraId="3D8EFABF">
      <w:pPr>
        <w:spacing w:line="300" w:lineRule="auto"/>
        <w:ind w:firstLine="440" w:firstLineChars="200"/>
        <w:rPr>
          <w:rFonts w:ascii="宋体" w:hAnsi="宋体" w:eastAsia="宋体" w:cs="Times New Roman"/>
        </w:rPr>
      </w:pPr>
      <w:r>
        <w:rPr>
          <w:rFonts w:hint="eastAsia" w:ascii="宋体" w:hAnsi="宋体" w:eastAsia="宋体" w:cs="Times New Roman"/>
          <w:lang w:bidi="ar"/>
        </w:rPr>
        <w:t>第二，认真落实党中央关于学术单位的领导权要掌握在忠诚于马克思主义的学者手中的精神，凡是通过学习和教育，仍不赞成马克思主义经济学的学者，不能担任各级学术单位的领导和学科带头人，要坚决地逐步撤换。</w:t>
      </w:r>
    </w:p>
    <w:p w14:paraId="40DD45F8">
      <w:pPr>
        <w:spacing w:line="300" w:lineRule="auto"/>
        <w:ind w:firstLine="440" w:firstLineChars="200"/>
        <w:rPr>
          <w:rFonts w:ascii="宋体" w:hAnsi="宋体" w:eastAsia="宋体" w:cs="Times New Roman"/>
        </w:rPr>
      </w:pPr>
      <w:r>
        <w:rPr>
          <w:rFonts w:hint="eastAsia" w:ascii="宋体" w:hAnsi="宋体" w:eastAsia="宋体" w:cs="Times New Roman"/>
          <w:lang w:bidi="ar"/>
        </w:rPr>
        <w:t>第三，非常欢迎海归学者，但要通过领导谈话、集中学习（正在开展的“三项教育”不能流于形式）和研讨等多种方式，使他们认同和掌握马克思主义经济学，并自觉运用到西方经济学的教学和研究之中。</w:t>
      </w:r>
    </w:p>
    <w:p w14:paraId="2E547271">
      <w:pPr>
        <w:spacing w:line="300" w:lineRule="auto"/>
        <w:ind w:firstLine="440" w:firstLineChars="200"/>
        <w:rPr>
          <w:rFonts w:ascii="宋体" w:hAnsi="宋体" w:eastAsia="宋体" w:cs="Times New Roman"/>
        </w:rPr>
      </w:pPr>
      <w:r>
        <w:rPr>
          <w:rFonts w:hint="eastAsia" w:ascii="宋体" w:hAnsi="宋体" w:eastAsia="宋体" w:cs="Times New Roman"/>
          <w:lang w:bidi="ar"/>
        </w:rPr>
        <w:t>第四，坚持“同工同酬”的分配原则和国内外高校惯例，正确处理好本国和西方国家培养的博士和教授的学术评价、劳动报酬与工作待遇。不能滥用教育经费，超过中国最高学术水平的院士和资深教授的最高报酬标准来招聘海归学者，人为制造矛盾，真正做好高校的和谐与统筹工作。</w:t>
      </w:r>
    </w:p>
    <w:p w14:paraId="7F8850CF">
      <w:pPr>
        <w:spacing w:line="300" w:lineRule="auto"/>
        <w:ind w:firstLine="440" w:firstLineChars="200"/>
        <w:rPr>
          <w:rFonts w:ascii="宋体" w:hAnsi="宋体" w:eastAsia="宋体" w:cs="Times New Roman"/>
          <w:b/>
        </w:rPr>
      </w:pPr>
      <w:r>
        <w:rPr>
          <w:rFonts w:hint="eastAsia" w:ascii="宋体" w:hAnsi="宋体" w:eastAsia="宋体" w:cs="Times New Roman"/>
          <w:lang w:bidi="ar"/>
        </w:rPr>
        <w:t>第五，在财经类和经济管理类本科、硕士、博士的课程设置中，应规定分别开设初级政治经济学、中级政治经济学、高级政治经济学，与初级西方经济学、中级西方经济学、高级西方经济学相对应。两类课程的课时相同。第六，在财经类和经济管理类的硕士、博士的考试科目中，应有包括政治经济学和西方经济学各占一半在内的“经济学”科目，而不能只考西方经济学。</w:t>
      </w:r>
    </w:p>
    <w:p w14:paraId="46670461">
      <w:pPr>
        <w:spacing w:before="147" w:beforeLines="50" w:after="147" w:afterLines="50" w:line="300" w:lineRule="auto"/>
        <w:ind w:firstLine="500" w:firstLineChars="200"/>
        <w:jc w:val="center"/>
        <w:rPr>
          <w:rFonts w:ascii="Calibri" w:hAnsi="Calibri" w:eastAsia="宋体" w:cs="Times New Roman"/>
          <w:b/>
          <w:sz w:val="24"/>
          <w:szCs w:val="18"/>
        </w:rPr>
      </w:pPr>
      <w:r>
        <w:rPr>
          <w:rFonts w:hint="eastAsia" w:ascii="Calibri" w:hAnsi="Calibri" w:eastAsia="宋体" w:cs="Times New Roman"/>
          <w:b/>
          <w:sz w:val="24"/>
          <w:szCs w:val="18"/>
          <w:lang w:bidi="ar"/>
        </w:rPr>
        <w:t>三、发展方向重建中国主流经济学范式</w:t>
      </w:r>
    </w:p>
    <w:p w14:paraId="198204D5">
      <w:pPr>
        <w:spacing w:line="300" w:lineRule="auto"/>
        <w:ind w:firstLine="440" w:firstLineChars="200"/>
        <w:rPr>
          <w:rFonts w:ascii="宋体" w:hAnsi="宋体" w:eastAsia="宋体" w:cs="Times New Roman"/>
        </w:rPr>
      </w:pPr>
      <w:r>
        <w:rPr>
          <w:rFonts w:hint="eastAsia" w:ascii="宋体" w:hAnsi="宋体" w:eastAsia="宋体" w:cs="Times New Roman"/>
          <w:lang w:bidi="ar"/>
        </w:rPr>
        <w:t>上述问题和改进离不开理论经济学发展方向的认知与共识。不久前，中央领导再次明确指出“哲学社会科学的现状整体看来也处于一个关键阶段，前苏联的蓝本有很多不适应。具有中国风格、中国气派的哲学社会科学尚未形成。西方教材乘虚而人，正确的态度应是批判地接受。哲学社会科学具有鲜明的意识形态属性。……中国在和平崛起，这是一个奇迹，我们有资格、有条件形成我们自身的哲学社会科学体系。要编写当代的马克思主义基础理论，要编写充分体现马克思主义中国化最新成果的哲学社会科学体系。”</w:t>
      </w:r>
      <w:r>
        <w:rPr>
          <w:rFonts w:hint="eastAsia" w:ascii="宋体" w:hAnsi="宋体" w:eastAsia="宋体" w:cs="Times New Roman"/>
          <w:vertAlign w:val="superscript"/>
          <w:lang w:bidi="ar"/>
        </w:rPr>
        <w:footnoteReference w:id="212"/>
      </w:r>
      <w:r>
        <w:rPr>
          <w:rFonts w:hint="eastAsia" w:ascii="宋体" w:hAnsi="宋体" w:eastAsia="宋体" w:cs="Times New Roman"/>
        </w:rPr>
        <w:t>哪这一哲学社会科学发展战略的总体精神是正确的。</w:t>
      </w:r>
    </w:p>
    <w:p w14:paraId="411B6034">
      <w:pPr>
        <w:spacing w:line="300" w:lineRule="auto"/>
        <w:ind w:firstLine="440" w:firstLineChars="200"/>
        <w:rPr>
          <w:rFonts w:ascii="宋体" w:hAnsi="宋体" w:eastAsia="宋体" w:cs="Times New Roman"/>
        </w:rPr>
      </w:pPr>
      <w:r>
        <w:rPr>
          <w:rFonts w:hint="eastAsia" w:ascii="宋体" w:hAnsi="宋体" w:eastAsia="宋体" w:cs="Times New Roman"/>
          <w:lang w:bidi="ar"/>
        </w:rPr>
        <w:t>就理论经济学来说，世界主流经济学是西方经济学，而马克思主义经济学则是非主流经济学社会主义中国的主流经济学是现代马克思主义经济学，而西方经济学则是非主流经济学。共产党执政的社会主义国家，是不可能将资产阶级执政党奉为主流的经济学作为本国主流经济学的。</w:t>
      </w:r>
      <w:r>
        <w:rPr>
          <w:rFonts w:hint="eastAsia" w:ascii="宋体" w:hAnsi="宋体" w:eastAsia="宋体" w:cs="Times New Roman"/>
          <w:vertAlign w:val="superscript"/>
          <w:lang w:bidi="ar"/>
        </w:rPr>
        <w:footnoteReference w:id="213"/>
      </w:r>
      <w:r>
        <w:rPr>
          <w:rFonts w:hint="eastAsia" w:ascii="宋体" w:hAnsi="宋体" w:eastAsia="宋体" w:cs="Times New Roman"/>
        </w:rPr>
        <w:t>同西方经济学一样，马克思主义政治经济学既是学术体系，又是一种理论信仰和意识形态，应当在学术和意识形态两个领域都发挥指导作用。如果只赞成马克思主义经济学作为意识形态的指导地位，而不赞成它在社会科学中的学术指导地位，则会架空马克思主义经济学。</w:t>
      </w:r>
    </w:p>
    <w:p w14:paraId="538C4576">
      <w:pPr>
        <w:spacing w:line="300" w:lineRule="auto"/>
        <w:ind w:firstLine="440" w:firstLineChars="200"/>
        <w:rPr>
          <w:rFonts w:ascii="宋体" w:hAnsi="宋体" w:eastAsia="宋体" w:cs="Times New Roman"/>
        </w:rPr>
      </w:pPr>
      <w:r>
        <w:rPr>
          <w:rFonts w:hint="eastAsia" w:ascii="宋体" w:hAnsi="宋体" w:eastAsia="宋体" w:cs="Times New Roman"/>
          <w:lang w:bidi="ar"/>
        </w:rPr>
        <w:t>不过，要搞清各国政界马克思主义经济理论和学界马克思主义经济理论的本质联系与某种差别。日本学界马克思主义经济学有几个学派，与日本共产党的马克思主义经济理论就存在异同点（展开地说，日本的官方经济学与学界多学派的经济学就有一种互动和互补的交互关系，罗斯福新政、里根经济学和布什经济学同凯恩斯主义、新自由主义经济学也有某种选用和综合的关系，而主要不是学界经济学拥护和赞美官方经济学）。理论经济学研究对象的特殊性决定了它与一定的意识形态相结合，但不能仅仅是对官方意识形态的注释和解说。同时，繁荣与发展理论经济学，需要创立不同的学派，马克思主义经济学内部也应形成不同的学派，学派的形成是学术繁荣的重要标志之一。学界的马克思主义及其经济理论必须多学派地发展。在西方资本主义发达国家“话语霸权”和学术强势的新形势下，最不明智的学术和意识形态管理，是管死马克思主义多学派的发展，放活非马克思主义多元化的扩张，并视在西方发达资本主义国家主流经济学刊物上发表文章为最高学术水平，而不支持和贬低在西方马克思主义经济学刊物上发表文章。这是在这一领域提高党的执政能力迫切需要改进的最重要措施之一。</w:t>
      </w:r>
    </w:p>
    <w:p w14:paraId="21134B64">
      <w:pPr>
        <w:spacing w:line="300" w:lineRule="auto"/>
        <w:ind w:firstLine="440" w:firstLineChars="200"/>
        <w:rPr>
          <w:rFonts w:ascii="宋体" w:hAnsi="宋体" w:eastAsia="宋体" w:cs="Times New Roman"/>
        </w:rPr>
      </w:pPr>
      <w:r>
        <w:rPr>
          <w:rFonts w:hint="eastAsia" w:ascii="宋体" w:hAnsi="宋体" w:eastAsia="宋体" w:cs="Times New Roman"/>
          <w:lang w:bidi="ar"/>
        </w:rPr>
        <w:t>2000年，我在学界提出“马学为体，西学为用”，即以中外马克思主义经济学为体，现代西方经济学为用。</w:t>
      </w:r>
      <w:r>
        <w:rPr>
          <w:rFonts w:hint="eastAsia" w:ascii="宋体" w:hAnsi="宋体" w:eastAsia="宋体" w:cs="Times New Roman"/>
          <w:vertAlign w:val="superscript"/>
          <w:lang w:bidi="ar"/>
        </w:rPr>
        <w:footnoteReference w:id="214"/>
      </w:r>
      <w:r>
        <w:rPr>
          <w:rFonts w:hint="eastAsia" w:ascii="宋体" w:hAnsi="宋体" w:eastAsia="宋体" w:cs="Times New Roman"/>
        </w:rPr>
        <w:t>去年以来，中国社科院刘国光教授也使用此提法，并严肃指出“部分传播西方‘主流’经济学的人士，力求使它在中国也居于‘主流’地位，取代马克思主义经济学，这种情况需要关注。”。</w:t>
      </w:r>
      <w:r>
        <w:rPr>
          <w:rFonts w:hint="eastAsia" w:ascii="宋体" w:hAnsi="宋体" w:eastAsia="宋体" w:cs="Times New Roman"/>
          <w:vertAlign w:val="superscript"/>
        </w:rPr>
        <w:footnoteReference w:id="215"/>
      </w:r>
      <w:r>
        <w:rPr>
          <w:rFonts w:hint="eastAsia" w:ascii="宋体" w:hAnsi="宋体" w:eastAsia="宋体" w:cs="Times New Roman"/>
        </w:rPr>
        <w:t>这与后来河南财经学院资深教师杨承训强调的“马学为魂，中学为体，西学为用”马克思经济学为魂，中国特色的现代政治经济学为体，现代西方经济学为用的观点，也非常相似，</w:t>
      </w:r>
      <w:r>
        <w:rPr>
          <w:rFonts w:hint="eastAsia" w:ascii="宋体" w:hAnsi="宋体" w:eastAsia="宋体" w:cs="Times New Roman"/>
          <w:vertAlign w:val="superscript"/>
        </w:rPr>
        <w:footnoteReference w:id="216"/>
      </w:r>
      <w:r>
        <w:rPr>
          <w:rFonts w:hint="eastAsia" w:ascii="宋体" w:hAnsi="宋体" w:eastAsia="宋体" w:cs="Times New Roman"/>
        </w:rPr>
        <w:t>但与主张“西学为体，马学为用或中学为用”的观点，反差较大。北京大学己故经济学家陈岱孙教授生前为我的《西方产权理论评析》一书题词所说的“弘扬马列，锐意求新，借鉴西学，体察国情”</w:t>
      </w:r>
      <w:r>
        <w:rPr>
          <w:rFonts w:hint="eastAsia" w:ascii="宋体" w:hAnsi="宋体" w:eastAsia="宋体" w:cs="Times New Roman"/>
          <w:vertAlign w:val="superscript"/>
        </w:rPr>
        <w:footnoteReference w:id="217"/>
      </w:r>
      <w:r>
        <w:rPr>
          <w:rFonts w:hint="eastAsia" w:ascii="宋体" w:hAnsi="宋体" w:eastAsia="宋体" w:cs="Times New Roman"/>
        </w:rPr>
        <w:t>，也是一个科学处理现代政治经济学与现代西方经济学关系的指向。近年，除了胡代光、陶大墉、高鸿业、吴易风、丁冰等资深教授和“老海归”，又涌现出中国社科院左大培和许建康、北京大学王志伟、西南财经大学任治君、日本岛根县立大学张忠任、华南师范大学方兴起等知名教授和“中年海归”，以及中国人民大学孟捷、北京大学余斌、上海财经大学朱奎和薛宇峰等经济学博士和“青年海归”，这些专门研究西方经济学的老中青学者也基本持上述观点，同专门研究政治经济学的老中青学者一起，形成了日益壮大的现代新马克思主义经济学家学术阵容。</w:t>
      </w:r>
    </w:p>
    <w:p w14:paraId="5DDCA5F6">
      <w:pPr>
        <w:spacing w:line="300" w:lineRule="auto"/>
        <w:ind w:firstLine="440" w:firstLineChars="200"/>
        <w:rPr>
          <w:rFonts w:ascii="宋体" w:hAnsi="宋体" w:eastAsia="宋体" w:cs="Times New Roman"/>
        </w:rPr>
      </w:pPr>
      <w:r>
        <w:rPr>
          <w:rFonts w:hint="eastAsia" w:ascii="宋体" w:hAnsi="宋体" w:eastAsia="宋体" w:cs="Times New Roman"/>
          <w:lang w:bidi="ar"/>
        </w:rPr>
        <w:t>那么，我们究竟应当怎样科学地重建中国的主流经济学即现代马克思主义政治经济学，也就是说，依据什么思想方法和理论原则来创新呢？或者说，我同复旦大学张薰华教授、上海财经大学冯金华教授、上海金融学院周肇光教授、同济大学顾饪民教授等创立的“海派经济学”即“新马克思经济学综合学派”的发展思路是什么？我们主张，以当代中外市场经济实践为思想源泉，以传承和创新的马克思主义经济学主要假设为基点，积极吸纳古今中外各种经济思想的合理成分，广泛借鉴相关社会科学和自然科学的可用方法，构造既超越苏联经济学范式，又超越西方经济学范式的新范式，即新建在世界经济大环境中反映经济全球化和中国初级社会主义市场经济独特性的经济学范式。它本质上是一种马克思主义性质的“后现代经济学”。</w:t>
      </w:r>
    </w:p>
    <w:p w14:paraId="00EF1CCC">
      <w:pPr>
        <w:spacing w:line="300" w:lineRule="auto"/>
        <w:ind w:firstLine="440" w:firstLineChars="200"/>
        <w:rPr>
          <w:rFonts w:ascii="宋体" w:hAnsi="宋体" w:eastAsia="宋体" w:cs="Times New Roman"/>
        </w:rPr>
      </w:pPr>
    </w:p>
    <w:p w14:paraId="27C161E5">
      <w:pPr>
        <w:spacing w:line="300" w:lineRule="auto"/>
        <w:ind w:firstLine="440" w:firstLineChars="200"/>
        <w:rPr>
          <w:rFonts w:ascii="宋体" w:hAnsi="宋体" w:eastAsia="宋体" w:cs="Times New Roman"/>
        </w:rPr>
      </w:pPr>
      <w:r>
        <w:rPr>
          <w:rFonts w:hint="eastAsia" w:ascii="宋体" w:hAnsi="宋体" w:eastAsia="宋体" w:cs="Times New Roman"/>
          <w:lang w:bidi="ar"/>
        </w:rPr>
        <w:t>（原载《毛泽东邓小平理论研究》2005年第9期）</w:t>
      </w:r>
    </w:p>
    <w:p w14:paraId="01FFFFEC">
      <w:pPr>
        <w:ind w:firstLine="440" w:firstLineChars="200"/>
      </w:pPr>
    </w:p>
    <w:p w14:paraId="7A799397">
      <w:pPr>
        <w:spacing w:before="147" w:beforeLines="50" w:after="147" w:afterLines="50" w:line="300" w:lineRule="auto"/>
        <w:ind w:firstLine="660" w:firstLineChars="200"/>
        <w:jc w:val="center"/>
        <w:outlineLvl w:val="1"/>
        <w:rPr>
          <w:rFonts w:ascii="黑体" w:hAnsi="宋体" w:eastAsia="黑体" w:cs="Times New Roman"/>
          <w:sz w:val="32"/>
        </w:rPr>
      </w:pPr>
      <w:bookmarkStart w:id="527" w:name="_Toc111148953"/>
      <w:bookmarkStart w:id="528" w:name="_Toc257922012"/>
      <w:bookmarkStart w:id="529" w:name="_Toc6096"/>
      <w:bookmarkStart w:id="530" w:name="_Toc456048380"/>
      <w:bookmarkStart w:id="531" w:name="_Toc688109809"/>
      <w:r>
        <w:rPr>
          <w:rFonts w:hint="eastAsia" w:ascii="黑体" w:hAnsi="宋体" w:eastAsia="黑体" w:cs="Times New Roman"/>
          <w:sz w:val="32"/>
          <w:lang w:bidi="ar"/>
        </w:rPr>
        <w:t>1</w:t>
      </w:r>
      <w:r>
        <w:rPr>
          <w:rFonts w:ascii="黑体" w:hAnsi="宋体" w:eastAsia="黑体" w:cs="Times New Roman"/>
          <w:sz w:val="32"/>
          <w:lang w:bidi="ar"/>
        </w:rPr>
        <w:t>5</w:t>
      </w:r>
      <w:r>
        <w:rPr>
          <w:rFonts w:hint="eastAsia" w:ascii="黑体" w:hAnsi="宋体" w:eastAsia="黑体" w:cs="Times New Roman"/>
          <w:sz w:val="32"/>
          <w:lang w:bidi="ar"/>
        </w:rPr>
        <w:t>论党的先进性及其建设</w:t>
      </w:r>
      <w:bookmarkEnd w:id="527"/>
      <w:bookmarkEnd w:id="528"/>
      <w:bookmarkEnd w:id="529"/>
      <w:bookmarkEnd w:id="530"/>
      <w:bookmarkEnd w:id="531"/>
    </w:p>
    <w:p w14:paraId="4E6007FA">
      <w:pPr>
        <w:spacing w:before="147" w:beforeLines="50" w:line="300" w:lineRule="auto"/>
        <w:ind w:firstLine="440" w:firstLineChars="200"/>
        <w:rPr>
          <w:rFonts w:ascii="宋体" w:hAnsi="宋体" w:eastAsia="宋体" w:cs="Times New Roman"/>
          <w:b/>
          <w:szCs w:val="21"/>
        </w:rPr>
      </w:pPr>
      <w:r>
        <w:rPr>
          <w:rFonts w:hint="eastAsia" w:ascii="宋体" w:hAnsi="宋体" w:eastAsia="宋体" w:cs="Times New Roman"/>
          <w:szCs w:val="21"/>
          <w:lang w:bidi="ar"/>
        </w:rPr>
        <w:t>社会主义市场经济的建立完善和全面建设小康社会的伟大实践，对中国共产党的执政能力提出了更高的要求；党能否在新的历史条件下为人民掌好权、执好政，从根本上说取决于党能否始终保持先进性，坚强有力地承担起中国社会主义现代化建设事业领导核心的历史重任。本文将集中对党的先进性的科学内涵、表现以及党的先进性建设的重要意义、举措等进行分析，以进一步明确党的先进性建设的目标和着力点。</w:t>
      </w:r>
    </w:p>
    <w:p w14:paraId="4EA1EF2E">
      <w:pPr>
        <w:spacing w:before="147" w:beforeLines="50" w:after="147" w:afterLines="50" w:line="300" w:lineRule="auto"/>
        <w:ind w:firstLine="500" w:firstLineChars="200"/>
        <w:jc w:val="center"/>
        <w:rPr>
          <w:rFonts w:cs="Times New Roman" w:asciiTheme="minorEastAsia" w:hAnsiTheme="minorEastAsia"/>
          <w:b/>
          <w:sz w:val="24"/>
          <w:szCs w:val="18"/>
        </w:rPr>
      </w:pPr>
      <w:r>
        <w:rPr>
          <w:rFonts w:hint="eastAsia" w:cs="Times New Roman" w:asciiTheme="minorEastAsia" w:hAnsiTheme="minorEastAsia"/>
          <w:b/>
          <w:sz w:val="24"/>
          <w:szCs w:val="18"/>
          <w:lang w:bidi="ar"/>
        </w:rPr>
        <w:t>一、党的先进性的科学内涵及其主要表现</w:t>
      </w:r>
    </w:p>
    <w:p w14:paraId="1885F1D0">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党的“先进性”是指党的理论、路线、纲领、政策等符合历史发展规律和前进趋势；党通过发挥其政治领导的功能充分反映最广大人民的意愿，代表广大劳动人民的根本利益，对社会发展起重大推动作用。</w:t>
      </w:r>
    </w:p>
    <w:p w14:paraId="6EFFB8E7">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自共产党创建至今150多年来，从马克思、恩格斯、列宁到毛泽东、邓小平、江泽民、胡锦涛，他们始终从马克思主义政党与其它政党的根本区别，从马克思主义政党立党之本的高度对党的先进性予以深切关注。</w:t>
      </w:r>
    </w:p>
    <w:p w14:paraId="1731CFE3">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早在1848年，马克思和恩格斯在《共产党宣言》中就指出：“共产党人同其他无产阶级政党不同的地方只是：一方面，在无产者不同的民族的斗争中，共产党人强调和坚持整个无产阶级共同的不分民族的利益；另一方面，在无产阶级和资产阶级的斗争所经历的各个发展阶段上，共产党人始终代表整个运动的利益。因此，在实践方面，共产党人是各国工人政党中最坚决的、始终起推动作用的部分；在理论方面，他们胜过其余无产阶级群众的地方在于他们了解无产阶级运动的条件、进程和一般结果。”</w:t>
      </w:r>
      <w:r>
        <w:rPr>
          <w:rFonts w:hint="eastAsia" w:ascii="宋体" w:hAnsi="宋体" w:eastAsia="宋体" w:cs="Times New Roman"/>
          <w:szCs w:val="21"/>
          <w:vertAlign w:val="superscript"/>
          <w:lang w:bidi="ar"/>
        </w:rPr>
        <w:t>①</w:t>
      </w:r>
      <w:r>
        <w:rPr>
          <w:rFonts w:hint="eastAsia" w:ascii="宋体" w:hAnsi="宋体" w:eastAsia="宋体" w:cs="Times New Roman"/>
          <w:szCs w:val="21"/>
          <w:lang w:bidi="ar"/>
        </w:rPr>
        <w:t>共产党是无产阶级与资产阶级之间的斗争发展到一定阶段的产物。无产阶级在斗争实践中逐渐认识到：无产阶级革命运动只有在由工人阶级先进分子组成的政党的领导、组织下，才能取得革命的成功，工人阶级才能使自己由自在的阶级转变为自为的阶级，由分散的力量转变为统一的力量，由自发的斗争转变为自觉的斗争，最终完成无产阶级的历史使命。但是共产党不同于一般的无产阶级政治组织，它是无产阶级的先进政党，与一般的工人阶级政治组织有着显著区别，马克思、恩格斯将这种区别归结为共产党的特殊性质——“共产党人强调和坚持整个无产阶级共同的不分民族的利益”即无产阶级的国际主义精神，争取全人类的彻底解放；“始终代表整个运动的利益”即没有本阶级的狭隘私利；与一般工人政党比较，共产党在实践上“最坚决”，在理论上“了解无产阶级运动的条件，进程和一般结果”，即反映时代的方向和历史前进的规律。</w:t>
      </w:r>
    </w:p>
    <w:p w14:paraId="3665E206">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列宁在领导俄国社会主义革命和社会主义建设实践中，发展了马克思主义建党学说，对马克思主义政党的先进性给予了更加明确的论述。他指出：“党是阶级的先进觉悟阶层，是阶级的先锋队。”</w:t>
      </w:r>
      <w:r>
        <w:rPr>
          <w:rFonts w:hint="eastAsia" w:ascii="宋体" w:hAnsi="宋体" w:eastAsia="宋体" w:cs="Times New Roman"/>
          <w:szCs w:val="21"/>
          <w:vertAlign w:val="superscript"/>
          <w:lang w:bidi="ar"/>
        </w:rPr>
        <w:t>②</w:t>
      </w:r>
      <w:r>
        <w:rPr>
          <w:rFonts w:hint="eastAsia" w:ascii="宋体" w:hAnsi="宋体" w:eastAsia="宋体" w:cs="Times New Roman"/>
          <w:szCs w:val="21"/>
          <w:lang w:bidi="ar"/>
        </w:rPr>
        <w:t>十月革命胜利后，俄共成为执政党，列宁又强调：“党是直接执政的无产阶级先锋队，是领导者。”</w:t>
      </w:r>
      <w:r>
        <w:rPr>
          <w:rFonts w:hint="eastAsia" w:ascii="宋体" w:hAnsi="宋体" w:eastAsia="宋体" w:cs="Times New Roman"/>
          <w:szCs w:val="21"/>
          <w:vertAlign w:val="superscript"/>
          <w:lang w:bidi="ar"/>
        </w:rPr>
        <w:t>③</w:t>
      </w:r>
      <w:r>
        <w:rPr>
          <w:rFonts w:hint="eastAsia" w:ascii="宋体" w:hAnsi="宋体" w:eastAsia="宋体" w:cs="Times New Roman"/>
          <w:szCs w:val="21"/>
          <w:lang w:bidi="ar"/>
        </w:rPr>
        <w:t>列宁使用党是“工人阶级先锋队”的概念寓意党的先进性，更加具体形象。</w:t>
      </w:r>
    </w:p>
    <w:p w14:paraId="5FA3E032">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毛泽东在领导中国新民主主义革命和社会主义革命和建设的过程中，对党的先进性作过精辟论述。1937年3月，毛泽东指出：“共产党人决不将自己的观点束缚于一阶级与一时的利益上面，而是十分热忱地关心全国全民族的利害，并且关心其永久的利害。”</w:t>
      </w:r>
      <w:r>
        <w:rPr>
          <w:rFonts w:hint="eastAsia" w:ascii="宋体" w:hAnsi="宋体" w:eastAsia="宋体" w:cs="Times New Roman"/>
          <w:szCs w:val="21"/>
          <w:vertAlign w:val="superscript"/>
          <w:lang w:bidi="ar"/>
        </w:rPr>
        <w:t>④</w:t>
      </w:r>
      <w:r>
        <w:rPr>
          <w:rFonts w:hint="eastAsia" w:ascii="宋体" w:hAnsi="宋体" w:eastAsia="宋体" w:cs="Times New Roman"/>
          <w:szCs w:val="21"/>
          <w:lang w:bidi="ar"/>
        </w:rPr>
        <w:t>同年10月，毛泽东在《论鲁迅》一文中指出：“我们共产党是无产阶级的先锋队，同时又是最彻底的民族解放的先锋队。”</w:t>
      </w:r>
      <w:r>
        <w:rPr>
          <w:rFonts w:hint="eastAsia" w:ascii="宋体" w:hAnsi="宋体" w:eastAsia="宋体" w:cs="Times New Roman"/>
          <w:szCs w:val="21"/>
          <w:vertAlign w:val="superscript"/>
          <w:lang w:bidi="ar"/>
        </w:rPr>
        <w:t>⑤</w:t>
      </w:r>
      <w:r>
        <w:rPr>
          <w:rFonts w:hint="eastAsia" w:ascii="宋体" w:hAnsi="宋体" w:eastAsia="宋体" w:cs="Times New Roman"/>
          <w:szCs w:val="21"/>
          <w:lang w:bidi="ar"/>
        </w:rPr>
        <w:t>在党的七大上，毛泽东指出：“中国共产党是无产阶级的政党。无产阶级里头出了那样一部分比较先进的人，组织成一个政治性质的团体，叫共产党。”</w:t>
      </w:r>
      <w:r>
        <w:rPr>
          <w:rFonts w:hint="eastAsia" w:ascii="宋体" w:hAnsi="宋体" w:eastAsia="宋体" w:cs="Times New Roman"/>
          <w:szCs w:val="21"/>
          <w:vertAlign w:val="superscript"/>
          <w:lang w:bidi="ar"/>
        </w:rPr>
        <w:t>⑥</w:t>
      </w:r>
      <w:r>
        <w:rPr>
          <w:rFonts w:hint="eastAsia" w:ascii="宋体" w:hAnsi="宋体" w:eastAsia="宋体" w:cs="Times New Roman"/>
          <w:szCs w:val="21"/>
          <w:lang w:bidi="ar"/>
        </w:rPr>
        <w:t>在社会主义建设时期，毛泽东又指出：“我们的党是无产阶级政党，是无产阶级的先进部队，是用马克思列宁主义武装起来的战斗部队。”</w:t>
      </w:r>
      <w:r>
        <w:rPr>
          <w:rFonts w:hint="eastAsia" w:ascii="宋体" w:hAnsi="宋体" w:eastAsia="宋体" w:cs="Times New Roman"/>
          <w:szCs w:val="21"/>
          <w:vertAlign w:val="superscript"/>
          <w:lang w:bidi="ar"/>
        </w:rPr>
        <w:t>⑦</w:t>
      </w:r>
      <w:r>
        <w:rPr>
          <w:rFonts w:hint="eastAsia" w:ascii="宋体" w:hAnsi="宋体" w:eastAsia="宋体" w:cs="Times New Roman"/>
          <w:szCs w:val="21"/>
          <w:lang w:bidi="ar"/>
        </w:rPr>
        <w:t>概括以上的论述，可以看到：毛泽东继承了马克思、恩格斯、列宁关于共产党先进性的思想，结合中国新民主主义革命的性质和任务，创造性地提出中国共产党“是无产阶级的先锋队，同时又是最彻底的民族解放的先锋队”。在社会主义建设时期，毛泽东指出党“是无产阶级的先进部队，是用马克思列宁主义武装起来的战斗部队”，明确了党的性质和党的理论基础，同时也明确了党的宗旨和党的崇高历史使命，更充分地论证了我们党的先进性。</w:t>
      </w:r>
    </w:p>
    <w:p w14:paraId="58178015">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邓小平在改革开放的新时期深刻总结了建国以来我党领导社会主义建设的经验教训，根据新时期党的历史任务以及党所面临的国际、国内环境的深刻变化，对党的先进性提出了新的观点。改革开放的初期，邓小平领导全党通过批判“两个凡是”、开展关于“真理标准”问题的大讨论，重新确立并发展了党的“解放思想、实事求是”的思想路线，制订了新时期党的政治路线和组织路线。早在1980年2月在党的十一届五中全会上，邓小平就要求全党思考“执政党应该是一个什么样的党”的问题。1983年10月，在党的十二届二中全会上，邓小平又明确提出了新时期党的建设的目标：“把我们党建设成为有战斗力的马克思主义政党，成为领导全国人民进行社会主义物质文明和精神文明建设的坚强核心。”</w:t>
      </w:r>
      <w:r>
        <w:rPr>
          <w:rFonts w:hint="eastAsia" w:ascii="宋体" w:hAnsi="宋体" w:eastAsia="宋体" w:cs="Times New Roman"/>
          <w:szCs w:val="21"/>
          <w:vertAlign w:val="superscript"/>
          <w:lang w:bidi="ar"/>
        </w:rPr>
        <w:t>⑧</w:t>
      </w:r>
      <w:r>
        <w:rPr>
          <w:rFonts w:hint="eastAsia" w:ascii="宋体" w:hAnsi="宋体" w:eastAsia="宋体" w:cs="Times New Roman"/>
          <w:szCs w:val="21"/>
          <w:lang w:bidi="ar"/>
        </w:rPr>
        <w:t>邓小平总是把保持党的先进性与坚持党对社会主义现代化建设的领导紧密联系在一起，有力地回答了在执政、改革和开放的条件下，如何保持中国共产党的先进性这一重大的历史课题。在1992年春邓小平的南方谈话中，他总结历史经验，高瞻远瞩地提出了判断和衡量党的一切工作是非得失的“三个有利于”标准：“有利于发展社会主义生产力，有利于增强国家的综合国力，有利于提高人民的生活水平”。这为评价新时期我党的先进性确定了客观标准，也为保持党的先进性指明了方向。</w:t>
      </w:r>
    </w:p>
    <w:p w14:paraId="1B0514CA">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江泽民深刻总结党的十一届三中全会以来的成功经验，把抓好党建作为推进中国社会主义现代化建设的关键。1989年12月，他在一次讲话中明确提出：党建的指导思想“就是一定要坚持把我们党建设成为马列主义、毛泽东思想武装起来的更加坚强的中国工人阶级的先锋队。”</w:t>
      </w:r>
      <w:r>
        <w:rPr>
          <w:rFonts w:hint="eastAsia" w:ascii="宋体" w:hAnsi="宋体" w:eastAsia="宋体" w:cs="Times New Roman"/>
          <w:szCs w:val="21"/>
          <w:vertAlign w:val="superscript"/>
          <w:lang w:bidi="ar"/>
        </w:rPr>
        <w:t>⑨</w:t>
      </w:r>
      <w:r>
        <w:rPr>
          <w:rFonts w:hint="eastAsia" w:ascii="宋体" w:hAnsi="宋体" w:eastAsia="宋体" w:cs="Times New Roman"/>
          <w:szCs w:val="21"/>
          <w:lang w:bidi="ar"/>
        </w:rPr>
        <w:t>2001年7月1日，江泽民在庆祝中国共产党成立80周年大会上指出：“看一个政党是否先进，是不是工人阶级先锋队，主要应看它的理论和纲领是不是马克思主义的，是不是代表社会发展的正确方向，是不是代表最广大人民的根本利益”。在这次重要讲话中，江泽民还指出：“‘三个代表’要求，是我们党保持先进性、始终成为建设有中国特色社会主义坚强领导核心的基本要求”。2002年5月31日，江泽民发表了重要讲话，在“5.31”讲话中，江泽民指出：“党的先进性是具体的历史的，必须放到推动当代中国先进生产力和先进文化的发展中去考察，放到维护和实现最广大人民的根本利益的奋斗中去考察，归根到底要看党在推动历史前进中的实际作用。”江泽民不仅指明了党的先进性的科学内涵，而且创造性地提出了衡量党的先进性的客观标准；提出了“党的先进性是具体的历史的”重要观点，把党的先进性与“三个代表”的基本要求有机地结合在一起。</w:t>
      </w:r>
    </w:p>
    <w:p w14:paraId="312CBD70">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党的十六大以来，以胡锦涛为总书记的党中央总结我党加强先进性建设的历史经验，对党的先进性建设的意义、作用、措施等重大理论问题，作了系统深刻的阐述。胡锦涛总书记在2005年1月14日中共中央举行的新时期保持共产党员先进性专题报告会上深刻总结：“先进性是马克思主义政党的根本特征，也是马克思主义政党的生命所系、力量所在”。</w:t>
      </w:r>
    </w:p>
    <w:p w14:paraId="1614FA19">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回顾共产党创立150多年来，特别是中国共产党成立80多年来关于党的先进性的理论发展，我们可以看到：理论和实践的先进性是马克思主义政党的根本特征，即党忠实地反映和代表广大劳动人民的根本利益，党的理论路线、纲领、方针、政策符合社会历史的发展规律，始终站在时代的最前列，对社会经济、政治、文化的发展，对人的全面和自由发展起着十分重要的关键性引领作用。</w:t>
      </w:r>
    </w:p>
    <w:p w14:paraId="3A4C4F38">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lang w:bidi="ar"/>
        </w:rPr>
        <w:t>第一，马克思主义政党的先进性表现在党具有科学的指导思想。</w:t>
      </w:r>
    </w:p>
    <w:p w14:paraId="49F84D92">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中国共产党从诞生之日起就申明党的活动以马克思主义为指导。在总结第一次国内革命战争时期的经验教训，在反对党内“左”的或右的各种错误思想、错误路线的过程中，在集中全党智慧的基础上，以毛泽东为代表的中国共产党人将马克思主义的基本原理同中国革命的具体实际相结合，创立了马克思主义中国化的第一个伟大成果——毛泽东思想。在毛泽东思想的指引下，我党领导全国各族人民取得了新民主主义革命和社会主义革命、社会主义建设的伟大胜利。在总结我国的社会主义建设的以及其他国家社会主义建设的经验教训的基础上，以邓小平为代表的中国共产党人集中全党智慧，创立了马克思主义中国化的第二个伟大成果——邓小平理论。在邓小平理论的指引下，我党领导全国各族人民取得了改革、开放、社会主义现代化建设的伟大胜利。进入21世纪，在我国社会主义现代化建设的新阶段，江泽民提出的“三个代表”重要思想进一步回答了什么是社会主义，怎样建设社会主义的问题，创造性地回答了建设什么样的党，怎样建设党的问题，表明我们党对共产党执政规律，社会主义建设规律和人类社会发展规律的认识达到了新的理论高度，开辟了马克思主义发展的新境界。党的十六大把“三个代表”重要思想同马克思列宁主义、毛泽东思想、邓小平理论一道确立为党必须长期坚持的指导思想，这对于新世纪新阶段全党全国人民努力实现社会主义现代化的宏伟蓝图，对于我党永葆马克思主义政党的先进性，都具有非常重大而深远的意义。</w:t>
      </w:r>
    </w:p>
    <w:p w14:paraId="2AE3D289">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综上所述，判断一个政党是不是先进的，非常重要的一点是看它的指导思想是不是科学的；同时要看党的指导思想能否随着时代的变化，不断地得到丰富和发展，始终反映时代特征和社会历史前进的趋势。</w:t>
      </w:r>
    </w:p>
    <w:p w14:paraId="4600702E">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lang w:bidi="ar"/>
        </w:rPr>
        <w:t>第二，马克思主义政党的先进性表现在党的阶级基础是代表现代先进生产力的工人阶级。</w:t>
      </w:r>
    </w:p>
    <w:p w14:paraId="24197554">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中国共产党从诞生之日起，始终是中国工人阶级的先锋队，同时是中国人民和中华民族的先锋队。无论是中国革命时期还是中国社会主义建设时期，中国工人阶级始终是中国最先进最有战斗力的阶级，是中国革命和社会主义建设的领导力量。</w:t>
      </w:r>
    </w:p>
    <w:p w14:paraId="04166421">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工人阶级是现代大工业的产物，它代表着人类社会进步的要求，有着严明的组织性纪律性，共产党是由工人阶级中最有觉悟、最有奉献精神的先进分子组成的工人阶级先锋队，是阶级的先进觉悟阶层，不谋求本阶级狭隘的私利，始终代表整个运动的利益。自从有了共产党，工人阶级就由“自在的阶级”转变为“自为的阶级”，工人阶级的实践活动也由自发的行动转变为自觉的、有组织的运动。</w:t>
      </w:r>
    </w:p>
    <w:p w14:paraId="7F834C1E">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随着中国社会的变化，我国工人阶级的状况也发生了深刻的变化。在社会主义现代化建设时期，中国知识分子已经成为工人阶级的组成部分，工人阶级的内部构成、思想观念、劳动方式、科学文化素质都发生了深刻的变化。在新世纪、新阶段，中国工人阶级仍然是社会主义劳动者和建设者中的主力军和中坚力量，我们党始终全心全意地依靠工人阶级，巩固工农联盟，团结一切可以团结的力量，不断增强党的阶级基础。</w:t>
      </w:r>
    </w:p>
    <w:p w14:paraId="2844B3EA">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在增强党的阶级基础的同时，党还要不断扩大群众基础。党在坚持来自工人、农民、知识分子、军人、干部的党员作为党的队伍最基本的组成部分和骨干力量的同时，还要把自觉为党的路线、纲领奋斗，经过长期考验，符合党员条件的社会其他方面的优秀分子吸收入党。吸收工人阶级以外的其它社会阶级的阶层的优秀分子入党，并不改变我们党是中国工人阶级先锋队的性质，因为他们首先必须符合工人阶级先锋队战士的各项要求，才能加入党的组织。吸收其它阶层的符合党员条件的优秀分子入党，有利于扩大党的群众基础，增强党在全社会的影响力和凝聚力。</w:t>
      </w:r>
    </w:p>
    <w:p w14:paraId="1FC4B8CB">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lang w:bidi="ar"/>
        </w:rPr>
        <w:t>第三，马克思主义政党的先进性还表现在党的实践活动具有时代性和先进性。</w:t>
      </w:r>
    </w:p>
    <w:p w14:paraId="681DE3AC">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马克思主义政党的先进性归根结底要落实到党的实践活动之中，才能产生历史推动作用。在社会主义建设时期，我们党的实践活动表现为党的各项领导活动，具体表现为党通过政治领导，通过制订和推广科学的理论、路线、纲领、方针、政策，把党的主张通过立法、执法、决策、行政以及宣传、教育、文体等活动，影响作用于社会经济、政治和文化事业；通过广大党员在各个部门、单位的日常工作中发挥先锋模范作用，团结带领广大群众，为实现代表着中国最广大人民根本利益的社会主义现代化目标而奋斗。党的实践活动的时代性指的是：党始终紧紧把握时代脉膊，根据当今时代的特征以及国际国内形势的变化，审时度势，不断推动理论、制度、科学技术、文化等方面的创新，在党的领导体制、领导方式上不断创新，从而促进党的执政能力不断提高。</w:t>
      </w:r>
    </w:p>
    <w:p w14:paraId="2BCC26C4">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党的实践活动的先进性指的是：党的实践活动对中国先进生产力和先进文化的发展起着重要的推动作用，从而不断满足人民群众日益增长的物质和精神需要，努力维护人民群众经济、政治、文化等方面的权益，全心全意为广大人民群众服务。因此，党的实践活动的先进性就集中体现为“立党为公，执政为民”。</w:t>
      </w:r>
    </w:p>
    <w:p w14:paraId="5C53E185">
      <w:pPr>
        <w:spacing w:line="300" w:lineRule="auto"/>
        <w:ind w:firstLine="440" w:firstLineChars="200"/>
        <w:rPr>
          <w:rFonts w:ascii="宋体" w:hAnsi="宋体" w:eastAsia="宋体" w:cs="Times New Roman"/>
          <w:b/>
          <w:szCs w:val="21"/>
        </w:rPr>
      </w:pPr>
      <w:r>
        <w:rPr>
          <w:rFonts w:hint="eastAsia" w:ascii="宋体" w:hAnsi="宋体" w:eastAsia="宋体" w:cs="Times New Roman"/>
          <w:szCs w:val="21"/>
          <w:lang w:bidi="ar"/>
        </w:rPr>
        <w:t>党的实践活动的时代性和先进性总是密切联系、不可分割的辩证统一关系：时代性要求党始终要走在时代的最前列，党的理论和实践必须具备与时俱进的创新性；先进性则体现为在实践中党植根于广大群众中的先锋队作用和共产党员所发挥的模范带头作用，党必须始终成为中国社会主义现代化建设的领导核心。时代性是先进性的重要条件，先进性又是时代性的出发点和归宿点。总之，党的实践活动从根本上说要团结，领导广大人民群众投身于社会主义现代化建设，全力推动中国经济发展和社会进步，构建社会主义和谐社会，完成祖国统一的大业，促进社会主义的物质文明、政治文明和精神文明全面发展，促进人的全面发展。同时，在国际舞台上发挥社会主义大国的作用，维护世界和平，反对霸权主义和恐怖主义，致力于建立国际经济、政治新秩序，促进世界共同发展。</w:t>
      </w:r>
    </w:p>
    <w:p w14:paraId="2E1F782F">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二、党的先进性建设是党建的根本</w:t>
      </w:r>
    </w:p>
    <w:p w14:paraId="004C8134">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党的先进性建设是指：党的理论、路线方针、政策顺应历史前进的趋势，符合社会发展的潮流，代表中国最广大人民的根本利益；党的各级组织发挥创造力、凝聚力和战斗力，发挥领导核心和战斗堡垒作用；广大共产党员发挥先锋模范作用，成为社会主义建设的中坚、骨干力量；我们党始终坚持与时俱进，不断提高执政能力，实现党的纲领和各项奋斗目标。</w:t>
      </w:r>
    </w:p>
    <w:p w14:paraId="004DB702">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胡锦涛总书记在今年1月14日中共中央召开的新时期保持共产党先进性专题报告会上所作的重要报告中，提出了“加强党的先进性建设”的重要思想，这是在深刻总结我们党80多年历史经验基础上，面向新世纪新阶段向全党提出的重要历史任务。正如胡锦涛总书记所说：“加强党的先进性建设，在执政特别是长期执政的条件下任务更为艰巨”，“加强党的先进性建设，是加强和改进党的建设的长期任务和永恒课题”。党中央提出这一重大任务，具有十分重要的理论和实践意义：</w:t>
      </w:r>
    </w:p>
    <w:p w14:paraId="03804A93">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lang w:bidi="ar"/>
        </w:rPr>
        <w:t>1、指明了先进性建设是党建的根本任务，进一步明确了党建的总目标和总要求</w:t>
      </w:r>
    </w:p>
    <w:p w14:paraId="63C32E1E">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先进性是马克思主义政党力量所在，生存发展之本；如果失去了先进性，马克思主义政党也就失去了存在的根基。因此，马克思主义政党自身建设的根本任务就是永葆党的先进性，永远保持工人阶级先锋队的性质，始终符合“三个代表”的要求；唯有如此，党才能担负起领导各族人民实现国家富强民族振兴的崇高历史使命。</w:t>
      </w:r>
    </w:p>
    <w:p w14:paraId="2118EFAC">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在新世纪新阶段的社会主义建设中，我们党担负着领导全国人民基本实现社会主义现代化、实现祖国的完全统一、维护世界和平和促进共同发展的三大历史任务，这对我们党的建设提出了新的时代要求；党必须不断加强自身的思想建设、组织建设、作风建设，不断加强党的执政能力建设，才能应对国际国内的复杂形势，才能科学认识和掌握经济社会发展的客观规律，不断取得改革开放的新成就，党的建设的各项具体任务，都是紧紧围绕着保持党的先进性这个总目标总任务展开的。</w:t>
      </w:r>
    </w:p>
    <w:p w14:paraId="6E783EFC">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lang w:bidi="ar"/>
        </w:rPr>
        <w:t>2、指明了保持党的先进性是马克思主义党建理论中一个带根本性的重大课题</w:t>
      </w:r>
    </w:p>
    <w:p w14:paraId="08C30B96">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在执政、特别是长期执政的条件下，如何继续保持党的先进性，使党更好地承担起领导我国社会主义现代化建设的历史重任，这是现阶段党建研究的根本课题。早在建国前夕，党的七届二中全会上，毛泽东就谆谆告诫全党要“务必使同志们继续地保持谦虚谨慎、不骄不躁的作风，务必使同志们继续地保持艰苦奋斗的作风”，要经受住党在和平建设时期处于执政地位所面对的新考验，永远保持党的工人阶级先锋队性质，保持党的生机活力。为此，我们党对如何始终保持先进性的课题进行了长期艰苦的探索，以毛泽东、邓小平、江泽民为核心的三代中央领导集体对加强党的先进性建设的理论和实践，为我们党开展先进性建设积累了宝贵经验。党的十六大以来，以胡锦涛同志为总书记的党中央作出一系列重大决策，包括进一步掀起学习“三个代表”重要思想新高潮；全面落实科学发展观；大兴求真务实之风，坚持立党为公执政为民；对加强党的执政能力建设作出全面部署以及目前正在开展的保持共产党员先进性的教育活动等，都是为了进一步推进党的先进性建设。</w:t>
      </w:r>
    </w:p>
    <w:p w14:paraId="33D711FD">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围绕着党的先进性建设这个根本课题，我们必须从理论和实践的结合上，认真研究党建所面临的一系列重大问题，这包括：我党当前所处的国际国内的环境以及党在新的历史条件下所面对的新情况新问题，全面分析我们党的现状；从我们党所肩负的历史使命出发，深入研究在新形势下进一步加强党的思想建设、组织建设、作风建设，将党的制度建设贯穿其中，不断加强和改善党的领导，改进党的领导体制和领导方式，提高党的领导能力，以更好地适应新的形势和任务对党的建设所提出的新要求。党必须坚持党要管党、从严治党的方针，不断提高在新的历史条件下拒腐防变的能力，从源头上防止腐败现象的滋生。</w:t>
      </w:r>
    </w:p>
    <w:p w14:paraId="622CDEF3">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lang w:bidi="ar"/>
        </w:rPr>
        <w:t>3、指明了党的先进性建设与共产党员先进性之间的关系</w:t>
      </w:r>
    </w:p>
    <w:p w14:paraId="5F23E838">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马克思主义政党的先进性离不开广大党员的先进性。我们党的先进性要通过广大共产党员的先锋模范行动去体现。在民主革命时期，共产党员的先进性集中表现为：在反抗帝国主义、封建主义和官僚资本主义的艰苦卓绝的斗争中，为中华民族的独立和中国人民解放事业而英勇奋斗；在社会主义改革开放的新时期，共产党员的先进性集中表现为：努力贯彻执行党的基本路线和基本纲领，在社会主义现代化建设的伟大实践中发挥共产党员先锋模范作用，全心全意为广大人民群众谋利益。</w:t>
      </w:r>
    </w:p>
    <w:p w14:paraId="3812FC23">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在全面建设小康社会的新形势下，党所处的环境、党所肩负的任务和党员队伍的状况都发生了重大变化：大批新党员加入党的队伍，大量年轻党员干部走上各级岗位，各种社会思潮也会或多或少地对党员队伍产生影响；如何用“三个代表”重要思想武装党员队伍，如何进一步贯彻科学发展观，这对党的思想、组织、作风建设都提出新的要求；驾驭经济全球化对我国经济社会的影响，深化改革扩大开放，构建社会主义和谐社会等重大任务都要求进一步提高党的执政能力，同时对保持共产党员先进性也提出了更高的要求。</w:t>
      </w:r>
    </w:p>
    <w:p w14:paraId="68C658CB">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胡锦涛总书记在今年1月14日的重要报告中将新时期新阶段对共产党员的基本要求科学地概括为“六个坚持”：一是要坚持理想信念，坚定不移地为建设中国特色社会主义而奋斗。二是要坚持勤奋学习，扎扎实实地提高实践“三个代表”重要思想的本领。三是要坚持党的根本宗旨，始终不渝地做到立党为公，执政为民。四是要坚持勤奋工作，兢兢业业地创造一流的工作业绩。五是要坚持遵守党的纪律，身体力行地维护党的团结统一。六是要坚持“两个务必”，永葆共产党人的政治本色。胡锦涛同志的讲话为在现阶段保持共产党员先进性、发挥党员的先锋模范作用进一步指明了方向，共产党员要认真地学习领会，努力履行自己的义务和责任。</w:t>
      </w:r>
    </w:p>
    <w:p w14:paraId="7820E92B">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当前，全国各地各级党组织的广大共产党员正在按照中央部署，广泛深入地开展保持共产党员先进性教育活动。我们必须充分认识这一活动的重大意义，充分认识在全面建设小康社会的新阶段，不断加强党的先进性建设的重大意义，切实把这一活动扎扎实实地搞好、搞深、搞出成效。通过全体党员的集中教育活动，进一步增强共产党员的党的意识和执政意识，树立全心全意为人民服务的思想，始终保持解放思想、实事求是、与时俱进的精神状态，树立勇于开拓创新的精神；进一步增强大局意识和全局意识，具备宽广的胸怀；进一步增强自觉遵守党纪党规的意识，严格自律，自觉与党中央保持一致，自觉维护党的团结统一，坚决与违反党纪党规的各种错误言行作斗争，拒腐蚀永不沾，为政清廉，永葆共产党员本色；不断增强各级党组织的战斗力、凝聚力和创造力，不断提高党的执政能力，为实现党的历史任务而奋斗。</w:t>
      </w:r>
    </w:p>
    <w:p w14:paraId="2830315F">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lang w:bidi="ar"/>
        </w:rPr>
        <w:t>4、指明了党的先进性建设与党的历史任务的关系</w:t>
      </w:r>
    </w:p>
    <w:p w14:paraId="1AA7ECD2">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党的先进性是与党的各项历史任务紧密联系的。在新世纪新阶段，党的先进性必须体现在党的执政实践活动中。胡锦涛同志在今年1月14日的重要讲话中指出：“加强党的先进性建设，需要同实现党的历史任务紧密联系起来。”</w:t>
      </w:r>
    </w:p>
    <w:p w14:paraId="6E12F6DE">
      <w:pPr>
        <w:spacing w:line="300" w:lineRule="auto"/>
        <w:ind w:firstLine="440" w:firstLineChars="200"/>
        <w:rPr>
          <w:rFonts w:ascii="宋体" w:hAnsi="宋体" w:eastAsia="宋体" w:cs="Times New Roman"/>
          <w:szCs w:val="21"/>
        </w:rPr>
      </w:pPr>
      <w:r>
        <w:rPr>
          <w:rFonts w:hint="eastAsia" w:ascii="宋体" w:hAnsi="宋体" w:eastAsia="宋体" w:cs="Times New Roman"/>
          <w:szCs w:val="21"/>
          <w:lang w:bidi="ar"/>
        </w:rPr>
        <w:t>党的先进性是历史的、具体的。在新世纪新阶段，党的先进性集中表现为我们党完全有能力承担起领导全国各族人民实现全面建设小康社会宏伟目标这一历史任务。因此，全党要聚精会神搞建设，一心一意谋发展，把发展作为党执政兴国的第一要务，为中国最广大人民群众谋利益。科学总结我国改革开放二十多年的经验，依据国内形势的新变化，党中央英明及时地提出科学发展观，提出要加强党的执政能力建设，发展社会主义的经济、政治、文化，构建社会主义和谐社会；紧密结合党在新世纪新阶段的各项历史任务，努力推进社会主义现代化建设的全面发展，在完成党的各项历史任务的伟大实践中，党的先进性建设才能落在实处，先进性建设的成效才能得到充分体现，我们的党才能锤炼得更加团结，更加坚强，更加有凝聚力和创造力。</w:t>
      </w:r>
    </w:p>
    <w:p w14:paraId="5330D24D">
      <w:pPr>
        <w:ind w:firstLine="440" w:firstLineChars="200"/>
        <w:rPr>
          <w:rFonts w:ascii="宋体" w:hAnsi="宋体" w:eastAsia="宋体" w:cs="Times New Roman"/>
          <w:szCs w:val="21"/>
        </w:rPr>
      </w:pPr>
    </w:p>
    <w:p w14:paraId="2F700A87">
      <w:pPr>
        <w:snapToGrid w:val="0"/>
        <w:ind w:firstLine="440" w:firstLineChars="200"/>
        <w:rPr>
          <w:rFonts w:ascii="宋体" w:hAnsi="宋体" w:eastAsia="宋体" w:cs="Times New Roman"/>
          <w:b/>
          <w:szCs w:val="21"/>
        </w:rPr>
      </w:pPr>
      <w:r>
        <w:rPr>
          <w:rFonts w:hint="eastAsia" w:ascii="宋体" w:hAnsi="宋体" w:eastAsia="宋体" w:cs="Times New Roman"/>
          <w:b/>
          <w:szCs w:val="21"/>
          <w:lang w:bidi="ar"/>
        </w:rPr>
        <w:t>注释：</w:t>
      </w:r>
    </w:p>
    <w:p w14:paraId="2E044708">
      <w:pPr>
        <w:snapToGrid w:val="0"/>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①《马克思恩格斯选集》第1卷，人民出版社1995年第2版，第285页。</w:t>
      </w:r>
    </w:p>
    <w:p w14:paraId="6A87FE67">
      <w:pPr>
        <w:snapToGrid w:val="0"/>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②《列宁全集》第24卷，人民出版社1990年第2版，第38页。</w:t>
      </w:r>
    </w:p>
    <w:p w14:paraId="5F3E5157">
      <w:pPr>
        <w:snapToGrid w:val="0"/>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③《列宁选集》第4卷，人民出版社1995年第3版，第423页。</w:t>
      </w:r>
    </w:p>
    <w:p w14:paraId="0F559C40">
      <w:pPr>
        <w:snapToGrid w:val="0"/>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④《毛泽东文集》第1卷，人民出版社1993年第1版，第483页。</w:t>
      </w:r>
    </w:p>
    <w:p w14:paraId="77EA50E9">
      <w:pPr>
        <w:snapToGrid w:val="0"/>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⑤《毛泽东文集》第2卷，第42页。</w:t>
      </w:r>
    </w:p>
    <w:p w14:paraId="3DF90815">
      <w:pPr>
        <w:snapToGrid w:val="0"/>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⑥《毛泽东文集》第3卷，人民出版社1996年第1版，第305页。</w:t>
      </w:r>
    </w:p>
    <w:p w14:paraId="37644AC5">
      <w:pPr>
        <w:snapToGrid w:val="0"/>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⑦《毛泽东文集》第8卷，人民出版社1999年第1版，第307页。</w:t>
      </w:r>
    </w:p>
    <w:p w14:paraId="6EFFD9F9">
      <w:pPr>
        <w:snapToGrid w:val="0"/>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⑧《邓小平文选》第3卷，人民出版社1993年第1版，第39页。</w:t>
      </w:r>
    </w:p>
    <w:p w14:paraId="3BCA767F">
      <w:pPr>
        <w:snapToGrid w:val="0"/>
        <w:ind w:firstLine="380" w:firstLineChars="200"/>
        <w:rPr>
          <w:rFonts w:ascii="宋体" w:hAnsi="宋体" w:eastAsia="宋体" w:cs="Times New Roman"/>
          <w:sz w:val="18"/>
          <w:szCs w:val="18"/>
        </w:rPr>
      </w:pPr>
      <w:r>
        <w:rPr>
          <w:rFonts w:hint="eastAsia" w:ascii="宋体" w:hAnsi="宋体" w:eastAsia="宋体" w:cs="Times New Roman"/>
          <w:sz w:val="18"/>
          <w:szCs w:val="18"/>
          <w:lang w:bidi="ar"/>
        </w:rPr>
        <w:t>⑨江泽民《论党的建设》，中央文献出版社2001年第1版，第4页。</w:t>
      </w:r>
    </w:p>
    <w:p w14:paraId="11B016A4">
      <w:pPr>
        <w:spacing w:line="336" w:lineRule="auto"/>
        <w:ind w:firstLine="440" w:firstLineChars="200"/>
        <w:rPr>
          <w:rFonts w:ascii="宋体" w:hAnsi="宋体" w:eastAsia="宋体" w:cs="Times New Roman"/>
          <w:szCs w:val="21"/>
        </w:rPr>
      </w:pPr>
    </w:p>
    <w:p w14:paraId="573B0A99">
      <w:pPr>
        <w:spacing w:line="336" w:lineRule="auto"/>
        <w:ind w:firstLine="440" w:firstLineChars="200"/>
        <w:rPr>
          <w:rFonts w:ascii="宋体" w:hAnsi="宋体" w:eastAsia="宋体" w:cs="Times New Roman"/>
          <w:szCs w:val="21"/>
        </w:rPr>
      </w:pPr>
      <w:r>
        <w:rPr>
          <w:rFonts w:hint="eastAsia" w:ascii="宋体" w:hAnsi="宋体" w:eastAsia="宋体" w:cs="Times New Roman"/>
          <w:szCs w:val="21"/>
          <w:lang w:bidi="ar"/>
        </w:rPr>
        <w:t>（原载《上海党史与党建》2005年第10期，第一作者为毛荣生）</w:t>
      </w:r>
    </w:p>
    <w:p w14:paraId="5DC4BB86">
      <w:pPr>
        <w:spacing w:line="336" w:lineRule="auto"/>
        <w:ind w:firstLine="440" w:firstLineChars="200"/>
        <w:rPr>
          <w:rFonts w:ascii="宋体" w:hAnsi="宋体" w:eastAsia="宋体" w:cs="Times New Roman"/>
          <w:szCs w:val="21"/>
        </w:rPr>
      </w:pPr>
    </w:p>
    <w:p w14:paraId="6F41A2BD">
      <w:pPr>
        <w:ind w:firstLine="660" w:firstLineChars="200"/>
      </w:pPr>
      <w:r>
        <w:rPr>
          <w:rFonts w:ascii="Times New Roman" w:hAnsi="Times New Roman" w:eastAsia="宋体" w:cs="Times New Roman"/>
          <w:b/>
          <w:sz w:val="32"/>
          <w:lang w:bidi="ar"/>
        </w:rPr>
        <w:br w:type="page"/>
      </w:r>
    </w:p>
    <w:p w14:paraId="58782D98">
      <w:pPr>
        <w:spacing w:before="147" w:beforeLines="50" w:after="147" w:afterLines="50" w:line="300" w:lineRule="auto"/>
        <w:ind w:firstLine="660" w:firstLineChars="200"/>
        <w:jc w:val="center"/>
        <w:outlineLvl w:val="1"/>
        <w:rPr>
          <w:rFonts w:ascii="宋体" w:hAnsi="宋体" w:eastAsia="宋体" w:cs="宋体"/>
          <w:b/>
          <w:sz w:val="32"/>
          <w:szCs w:val="22"/>
        </w:rPr>
      </w:pPr>
      <w:bookmarkStart w:id="532" w:name="_Toc111148954"/>
      <w:bookmarkStart w:id="533" w:name="_Toc21486"/>
      <w:bookmarkStart w:id="534" w:name="_Toc435986517"/>
      <w:bookmarkStart w:id="535" w:name="_Toc862120768"/>
      <w:r>
        <w:rPr>
          <w:rFonts w:hint="eastAsia" w:ascii="宋体" w:hAnsi="宋体" w:eastAsia="宋体" w:cs="宋体"/>
          <w:b/>
          <w:sz w:val="32"/>
          <w:szCs w:val="22"/>
          <w:lang w:bidi="ar"/>
        </w:rPr>
        <w:t>1</w:t>
      </w:r>
      <w:r>
        <w:rPr>
          <w:rFonts w:ascii="宋体" w:hAnsi="宋体" w:eastAsia="宋体" w:cs="宋体"/>
          <w:b/>
          <w:sz w:val="32"/>
          <w:szCs w:val="22"/>
          <w:lang w:bidi="ar"/>
        </w:rPr>
        <w:t>6</w:t>
      </w:r>
      <w:r>
        <w:rPr>
          <w:rFonts w:hint="eastAsia" w:ascii="宋体" w:hAnsi="宋体" w:eastAsia="宋体" w:cs="宋体"/>
          <w:b/>
          <w:sz w:val="32"/>
          <w:szCs w:val="22"/>
          <w:lang w:bidi="ar"/>
        </w:rPr>
        <w:t>法律追诉时效制度的经济分析</w:t>
      </w:r>
      <w:bookmarkEnd w:id="532"/>
      <w:bookmarkEnd w:id="533"/>
      <w:bookmarkEnd w:id="534"/>
      <w:bookmarkEnd w:id="535"/>
    </w:p>
    <w:p w14:paraId="70ABCF09">
      <w:pPr>
        <w:ind w:firstLine="500" w:firstLineChars="200"/>
        <w:jc w:val="center"/>
        <w:rPr>
          <w:rFonts w:ascii="宋体" w:hAnsi="宋体" w:eastAsia="宋体" w:cs="宋体"/>
          <w:b/>
          <w:sz w:val="24"/>
          <w:szCs w:val="22"/>
        </w:rPr>
      </w:pPr>
      <w:bookmarkStart w:id="536" w:name="_Toc11666"/>
      <w:bookmarkStart w:id="537" w:name="_Toc11953"/>
      <w:bookmarkStart w:id="538" w:name="_Toc24221"/>
      <w:bookmarkStart w:id="539" w:name="_Toc31151"/>
      <w:r>
        <w:rPr>
          <w:rFonts w:hint="eastAsia" w:ascii="宋体" w:hAnsi="宋体" w:eastAsia="宋体" w:cs="宋体"/>
          <w:b/>
          <w:sz w:val="24"/>
          <w:szCs w:val="22"/>
          <w:lang w:bidi="ar"/>
        </w:rPr>
        <w:t>——挑战中外法学界主流观点</w:t>
      </w:r>
      <w:bookmarkEnd w:id="536"/>
      <w:bookmarkEnd w:id="537"/>
      <w:bookmarkEnd w:id="538"/>
      <w:bookmarkEnd w:id="539"/>
    </w:p>
    <w:p w14:paraId="20F90B66">
      <w:pPr>
        <w:spacing w:before="147" w:beforeLines="50" w:line="336" w:lineRule="auto"/>
        <w:ind w:firstLine="440" w:firstLineChars="200"/>
        <w:rPr>
          <w:rFonts w:ascii="宋体" w:hAnsi="宋体" w:eastAsia="宋体" w:cs="宋体"/>
          <w:szCs w:val="21"/>
        </w:rPr>
      </w:pPr>
      <w:r>
        <w:rPr>
          <w:rFonts w:hint="eastAsia" w:ascii="宋体" w:hAnsi="宋体" w:eastAsia="宋体" w:cs="宋体"/>
          <w:szCs w:val="21"/>
          <w:lang w:bidi="ar"/>
        </w:rPr>
        <w:t>经济学分析法学(Economic Analysis of Law)，又称法律经济学(The Economics of Law)、法学与经济学(Law and Economics)，是经济学与法学相互融合、相互交叉产生的一门学科。</w:t>
      </w:r>
    </w:p>
    <w:p w14:paraId="5191315F">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法学家在运用经济学原理和方法解决法律问题时更关注“公正”，而经济学家更多关注于“效率”，“就同一个法律规则而言，法学家维护的是正义，经济学家维护的是效率</w:t>
      </w:r>
      <w:r>
        <w:rPr>
          <w:rFonts w:hint="eastAsia" w:ascii="MS Gothic" w:hAnsi="MS Gothic" w:eastAsia="MS Gothic" w:cs="MS Gothic"/>
          <w:szCs w:val="21"/>
          <w:lang w:bidi="ar"/>
        </w:rPr>
        <w:t>⋯⋯</w:t>
      </w:r>
      <w:r>
        <w:rPr>
          <w:rFonts w:hint="eastAsia" w:ascii="宋体" w:hAnsi="宋体" w:eastAsia="宋体" w:cs="宋体"/>
          <w:szCs w:val="21"/>
          <w:lang w:bidi="ar"/>
        </w:rPr>
        <w:t>但在绝大多数的情况下，经济方法和法律方法常常是殊途同归”[1](P5)，因为在司法的全过程中，都不可避免面临在司法资源有限的情况下实现司法资源的有效配置、提高法律效率的问题，经济学分析法学最主要的观点就是“任何法律的制定和执行都应有利于资源配置的效益最大化”[2]，在这个层面上法学和经济学达到了一定程度的统一。对于公正和效率在具体个案上出现的偏离，借用博登海默的名言：“法律是一个带有许多大厅、房间、凹角、拐角的大厦，在同一时间里想用一盏探照灯照亮每一间房间、凹角和拐角是极为困难的，尤其是由于技术知识和经验的局限，照明系统不适当或至少不完备时，情况就更是如此了”[3]。</w:t>
      </w:r>
    </w:p>
    <w:p w14:paraId="0210D98E">
      <w:pPr>
        <w:spacing w:line="336" w:lineRule="auto"/>
        <w:ind w:firstLine="440" w:firstLineChars="200"/>
        <w:rPr>
          <w:rFonts w:ascii="宋体" w:hAnsi="宋体" w:eastAsia="宋体" w:cs="宋体"/>
          <w:b/>
          <w:szCs w:val="21"/>
        </w:rPr>
      </w:pPr>
      <w:r>
        <w:rPr>
          <w:rFonts w:hint="eastAsia" w:ascii="宋体" w:hAnsi="宋体" w:eastAsia="宋体" w:cs="宋体"/>
          <w:szCs w:val="21"/>
          <w:lang w:bidi="ar"/>
        </w:rPr>
        <w:t>法律追诉时效制度是在法学界内外都存在一定争议的问题，本文试图以经济学的方法对追诉时效制度进行分析，探讨在确保公正的前提下可能出现的效率问题，借此作为运用经济学分析法学在研究具体制度安排方面的一次尝试。</w:t>
      </w:r>
    </w:p>
    <w:p w14:paraId="15415D9F">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一、追诉时效释义</w:t>
      </w:r>
    </w:p>
    <w:p w14:paraId="4E8CEED7">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时效在法律上通常是指民事诉讼权利和刑事责任的有效期限。民事法律中，超过法定诉讼时效，当事人的民事主体的请求权消灭</w:t>
      </w:r>
      <w:r>
        <w:rPr>
          <w:rFonts w:hint="eastAsia" w:ascii="宋体" w:hAnsi="宋体" w:eastAsia="宋体" w:cs="宋体"/>
          <w:szCs w:val="21"/>
          <w:vertAlign w:val="superscript"/>
          <w:lang w:bidi="ar"/>
        </w:rPr>
        <w:footnoteReference w:id="218"/>
      </w:r>
      <w:r>
        <w:rPr>
          <w:rFonts w:hint="eastAsia" w:ascii="宋体" w:hAnsi="宋体" w:eastAsia="宋体" w:cs="宋体"/>
          <w:szCs w:val="21"/>
        </w:rPr>
        <w:t>。刑法中的时效涉及追诉时效和行刑时效，行刑时效在我国刑法中没有明确规定，也不是本文探讨的范围。所谓追诉时效，是指刑法规定的对犯罪人追究刑事责任的有效期限，超过追诉时效，求刑权、量刑权即告消灭，刑罚亦随之消灭[4]。</w:t>
      </w:r>
    </w:p>
    <w:p w14:paraId="1D587A43">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1.追诉时效的多种立法</w:t>
      </w:r>
    </w:p>
    <w:p w14:paraId="190FB07C">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追诉时效制度按照设置追诉期限的标准不同，存在多种立法方式[5](P123～129)：</w:t>
      </w:r>
    </w:p>
    <w:p w14:paraId="776B734A">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以罪种为标准设置追诉时效期限，如法国刑事诉讼法第7、8、9条规定，重罪的追诉时效为自犯罪发生时起满10年，轻罪的公诉时效为3年，违警罪的公诉时效为1年。以刑种为标准设置追诉时效期限，如瑞士刑法典第70条规定，追诉权在下列期间内不行使，即行消灭：犯终身重惩自由刑之罪20年，其他重惩自由刑之罪10年，其他刑罚之罪5年。以刑期为标准设置追诉时效期限，如德国刑法典第78条规定，时效期限如下：判处(1)终身自由刑的，经过30年；(2)最高刑为10年以上自由刑的，经过20年；(3)最高刑为5年以上10年以下自由刑的，经过10年；(4)最高刑为1年以上5年以下自由刑的，经过5年；(5)其他罪经过3年。又如巴西刑法典第109条规定，在最后判决之前，除第110条的附款规定外，时效应根据剥夺自由的最高刑以下列规定为准：(1)如最高刑超过12年的，20年；(2)如最高刑为8年以上12年以下的，16年；(3)如最高刑为4年以上8年以下的，12年；(4)如最高刑为2年以上4年以下的，8年；(5)如最高刑为1年以上2年以下的，4年；(6)如最高刑为1年以下的，2年。</w:t>
      </w:r>
    </w:p>
    <w:p w14:paraId="32FB2AA3">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兼采罪种和刑期为标准设置追诉时效期限，如俄罗斯联邦俄刑法典第48条规定，如果自犯罪人犯罪之日起过了下列期限，犯罪人不能被追究刑事责任：(1)犯有本法典第112条第2款、第131、143、158、165、182、192、197、199、200条所规定的罪行的，自犯罪之日起已过1年；(2)所犯罪行依照本法典各条规定，可以判处剥夺自由2年以下，或者除前款规定的各罪以外，可以判处与剥夺自由刑无关的刑罚的，自犯罪之日起已过3年；(3)所犯罪行依照本法典各条规定，可以判处剥夺自由5年以下的，自犯罪之日起已过5年；(4)所犯罪行依照本法典各条规定，可以判处剥夺自由5年以上的，自犯罪之日起已过10年。</w:t>
      </w:r>
    </w:p>
    <w:p w14:paraId="7EE6D662">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采取罪种和刑期相结合的标准设置追诉时效期限，仅见于越南刑法典第45条，自犯罪实施之日起已超过下述期限，不再追究刑事责任：(1)较轻的罪，其法定最高刑为2年以下有期徒刑或者其他较轻的刑罚，经过5年；(2)较轻的罪，其法定最高刑为2年以上，经过10年；(3)严重的罪，经过15年。其中“严重的罪”见第8条，指给社会造成巨大危害的犯罪行为，被处最高刑为5年以上有期徒刑、无期徒刑或者死刑的犯罪。</w:t>
      </w:r>
    </w:p>
    <w:p w14:paraId="6C7ADE70">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我国刑法采取的是上述第三种按刑期设置追诉时效期限，刑法第87条规定，犯罪经过下列期限不再追诉：(1)法定最高刑为不满5年有期徒刑的，经过5年；(2)法定最高刑为5年以上不满10年有期徒刑的，经过10年；(3)法定最高刑为10年以上有期徒刑的，经过15年；(4)法定最高刑为无期徒刑、死刑的，经过20年。如果20年以后认为必须追诉的，须报请最高人民检察院批准。</w:t>
      </w:r>
    </w:p>
    <w:p w14:paraId="040E59E0">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2.追诉时效的中止、中断和超期追诉追诉时效中止或停止，指称在追诉时效进行期间，因发生法律规定事由，使时效的进行暂时停止，当法律规定的事由消除后，追诉时效继续进行的制度[6](P680)。如匈牙利刑法第27条规定，时效期间因负有使命进行刑事诉讼案件的政权对于行为人开始活动而中止，自刑事追诉终止之日，时效期间重新开始计算，凡关于行为人之诉讼程序因解决任何先决问题而停止之时间，不得计入时效期间以内。</w:t>
      </w:r>
    </w:p>
    <w:p w14:paraId="21C0EBB1">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追诉时效中断指追诉时效进行期间，因发生法律规定的事由，使已经经过的时效期间归于失效，追诉期限从法律规定事由发生之日起重新开始计算的制度[6](P679)。如朝鲜刑法第60条规定，犯罪人在前条规定的时效期间内，犯有同类罪行，或犯有更重的罪，或逃避侦查和审判的，或者对案件已进行刑事程序时，时效即行中断。</w:t>
      </w:r>
    </w:p>
    <w:p w14:paraId="52C32FE4">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超期追诉指对于某一犯罪而言，在其经过刑事立法所明确规定的追诉时效期限后，由于具备特定的法定情节而导致仍然可以被加以刑事追诉的制度[5](P169)。如越南刑法第45条第2款规定，本条第1款第3项所述的情形，如果有特殊理由，最高人民检察院也可追究刑事责任，最高人民法院可决定不执行期限。</w:t>
      </w:r>
    </w:p>
    <w:p w14:paraId="3F17C7DE">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我国没有对追诉时效的中止作出具体规定，刑法第89条第2款规定了追诉时效的中断：在追诉期限以内又犯罪的，前罪追诉的期限从犯后罪之日起计算。我国刑法对于超期追诉的规定见刑法88条：在人民检察院、公安机关、国家安全机关立案侦查或者在人民法院受理案件以后，逃避侦查或者审判的，不受追诉期限的限制。被害人在追诉期限内提出控告，人民法院、人民检察院、公安机关应当立案而不予立案的，不受追诉期限的限制。</w:t>
      </w:r>
    </w:p>
    <w:p w14:paraId="206C97F2">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3.追诉时效的例外情况</w:t>
      </w:r>
    </w:p>
    <w:p w14:paraId="0820C988">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追诉时效制度的直接后果是犯罪人不再受到由其犯罪行为引起的法律制裁，为了保护特定利益，通常各国立法中都规定了追诉时效的例外情况。</w:t>
      </w:r>
    </w:p>
    <w:p w14:paraId="12A49A55">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追诉时效的例外情况存在多种类型，首先是对于某些具有严重危害性的特定罪种规定了例外，如德国刑法典第78条第2款规定，第220条A的重罪(灭绝种族罪)和第211条的重罪(谋杀)不受追诉时效的限制；又如俄罗斯联邦刑法典第78条规定，对实施本法第353、357、358条所规定的破坏人类和平和安全罪的人不适用时效。</w:t>
      </w:r>
    </w:p>
    <w:p w14:paraId="66FC4429">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其次是对于将被判处一定刑期或刑种的犯罪规定了例外，如泰国刑法典规定，处无期自由刑或10年以上20年以下有期自由刑与无期自由刑选科之可罚性行为，不适用时效；俄罗斯联邦刑法典第78条第4款规定，对实施应处以死刑或终身剥夺自由的犯罪人，适用时效期的问题由法院决定，如果法院不认为可以因时效期届满而免除该人的刑事责任，则不再适用死刑或终身剥夺自由。</w:t>
      </w:r>
    </w:p>
    <w:p w14:paraId="5B3F18AA">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再次是对于发生在特定地点的犯罪行为规定例外，这种情况比较少见。典型的如土耳其刑法典规定，凡本法典第二卷第一篇规定处以死刑、终身监禁或者有期重监禁的重罪，如果在国外所犯，则不受法律规定的时效期限的限制。</w:t>
      </w:r>
    </w:p>
    <w:p w14:paraId="7FE587D9">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最后是基于国际条约产生的追诉时效的例外。联合国大会1968年11月26日通过的《战争和反人类罪不适用法定时效公约》针对战争罪、灭绝种族罪以及某些重大违反公约行为、不人道行为，规定不论其犯罪期日均不适用时效；另外，欧洲理事会制定的《战争罪和反人类罪不适用法定时效的欧洲公约》规定了类似的内容。以上两个公约表明：战争罪和反人类罪作为国际法上最重大的罪行，不受各国国内刑事立法上的追诉时效制度的约束，应当无限期进行追诉[7]。</w:t>
      </w:r>
    </w:p>
    <w:p w14:paraId="3852AD9A">
      <w:pPr>
        <w:spacing w:line="336" w:lineRule="auto"/>
        <w:ind w:firstLine="440" w:firstLineChars="200"/>
        <w:rPr>
          <w:rFonts w:ascii="宋体" w:hAnsi="宋体" w:eastAsia="宋体" w:cs="宋体"/>
          <w:b/>
          <w:szCs w:val="21"/>
        </w:rPr>
      </w:pPr>
      <w:r>
        <w:rPr>
          <w:rFonts w:hint="eastAsia" w:ascii="宋体" w:hAnsi="宋体" w:eastAsia="宋体" w:cs="宋体"/>
          <w:szCs w:val="21"/>
          <w:lang w:bidi="ar"/>
        </w:rPr>
        <w:t>我国现行刑法没有规定不受追诉时效制度限制的法定例外情况。</w:t>
      </w:r>
    </w:p>
    <w:p w14:paraId="700D349F">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二、追诉时效的设定原因</w:t>
      </w:r>
    </w:p>
    <w:p w14:paraId="35A43D04">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1.法学的观点</w:t>
      </w:r>
    </w:p>
    <w:p w14:paraId="34909ADA">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从公元前1世纪古罗马的《儒里亚法》对于奸非罪等犯罪规定了追诉时效以后，关于规定追诉时效的依据历来众说纷纭[8](P500)：德国普通法时代采取的是改善推测说，19世纪的法国采纳证据湮灭说和准受刑说，日本存在规范感情缓和说、尊重事实状态说等。综合各种解释，我国法学界对于设定追诉时效制度的原因主要可以归结为以下七种：</w:t>
      </w:r>
    </w:p>
    <w:p w14:paraId="46406C42">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第一，怠于行使说。因为“国家求刑权代行机关在足够长的时间内不积极、有效、如期地行使追诉权和刑罚权，则可以视为国家求刑权代行机关默示放弃自己的权利，从而导致权利归于消灭”[5](P6～7)，但是有学者认为，对犯罪人不予追诉在多数情况下“并非国家的疏忽所造成，而是由于种种不能克服的原因，如战争、自然灾害、不能破案等导致的”，因而怠于行使说是“不符合客观实际的”[6](P668)。</w:t>
      </w:r>
    </w:p>
    <w:p w14:paraId="4D1ED4A6">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第二，社会遗忘说。社会遗忘说分析的出发点是“承认犯罪的社会危害性和社会影响可以随着时间的消逝而逐步减轻以至消失的客观事实”[9](P55)；或者可以从维护社会稳定的角度解释：犯罪人在犯罪后经过足够长的时间，“社会已逐渐遗忘其犯罪行经，被害人对他的仇恨也因时间的流逝而消解，犯罪人的家庭生活亦已步入正常”[4](P321～322)；或者可以认为“因犯罪而遭破坏的某一方面社会秩序以及因犯罪而引起的人们心理的失衡状态已经得到恢复”[8](P669)，如果继续予以追究刑事责任，则会由于“刑法的这种机械干预而使已经恢复正常的社会有序秩序重新遭到破坏，引起新的不安定因素”[6](P669)；也可以从刑法目的来理解社会遗忘说，“刑法的目的在于保护合法权益，包括维护正常的社会秩序，在某种社会秩序遭受破坏后得到了恢复时，适用刑法便失去了目的性”[8](P501)。</w:t>
      </w:r>
    </w:p>
    <w:p w14:paraId="55408F5C">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第三，证据湮灭说。“时间的消逝对于诉讼的影响，特别是对于证据的搜集以及证据的证明力保全的影响至关重要，</w:t>
      </w:r>
      <w:r>
        <w:rPr>
          <w:rFonts w:hint="eastAsia" w:ascii="MS Gothic" w:hAnsi="MS Gothic" w:eastAsia="MS Gothic" w:cs="MS Gothic"/>
          <w:szCs w:val="21"/>
          <w:lang w:bidi="ar"/>
        </w:rPr>
        <w:t>⋯⋯</w:t>
      </w:r>
      <w:r>
        <w:rPr>
          <w:rFonts w:hint="eastAsia" w:ascii="宋体" w:hAnsi="宋体" w:eastAsia="宋体" w:cs="宋体"/>
          <w:szCs w:val="21"/>
          <w:lang w:bidi="ar"/>
        </w:rPr>
        <w:t>可能严重妨碍诉讼权的实施，影响定罪处刑的质量”[6](P501)， 不公正裁判的可能性大大增加，因此，与其增加司法程序上的麻烦，使案件的处理存有疑虑，不如设立时效制度，让刑罚权归于消灭；同时，时效制度可以使司法机关放弃陈年旧案的无意义的纠缠，集中精力处理现行犯罪。</w:t>
      </w:r>
    </w:p>
    <w:p w14:paraId="0FF0E64C">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第四，刑罚同一说。犯罪人实施犯罪后，在逃避国家刑法制裁的长期过程中，昼夜寝食难安、惶惶如丧家之犬，“其无形之痛苦，实不亚于实际适用刑罚”[5](P7)。虽然犯罪人没有处以刑罚，但“事实上经历了一定的痛苦，而且不执行刑罚便达到了预防犯罪的目的，所以不应再追诉或行刑”[8](P501)。但是，也有学者认为“这种痛苦与执行刑罚所遭受的痛苦是不能同日而语的，国家并非基于犯罪人为逃避所受痛苦与执行刑罚所受痛苦相同的考虑而规定时效的”[6](P668)。</w:t>
      </w:r>
    </w:p>
    <w:p w14:paraId="314AA2C1">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第五，改善推测说。犯罪人在实施犯罪后相当长的时期内没有再犯新罪，“可以推定其主观恶性和人身危险性都已有所改善”[5](P7)，“再犯罪的危险性已经消除”[4](P321)。此时，对于犯罪人已经没有通过处以刑罚进行特殊预防的必要，所以也就没有进行追诉和行刑的必要。如果仍然予以追诉，就有可能“引起(犯罪人)对国家的敌视，拒不接受审判或改造”[6](P668)。</w:t>
      </w:r>
    </w:p>
    <w:p w14:paraId="140BD11D">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第六，综合说。综合说的论点实际是上述各种观点的折中与结合，随着社会对犯罪的遗忘、被害人对于犯罪行为的原宥、犯罪人的自我改善等等各方面因素的变化，犯罪的可罚性逐渐降低甚至消灭。</w:t>
      </w:r>
    </w:p>
    <w:p w14:paraId="323EEBE2">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第七，提高办案效率。惩治犯罪是一项耗费大量人力、物力、财力的工作，而在各种犯罪中，现行犯罪的社会危害性特别突出，设定追诉时效“有利于司法机关集中精力打击现行犯罪，化解人民内部矛盾，团结国内外一切可以团结的人”[9]。如果没有时效规定，“司法机关必将为陈年旧案所累，从而影响现行案件的处理，妨碍对犯罪的及时打击和对国家和人民利益的及时保护”[4](P321～322)。</w:t>
      </w:r>
    </w:p>
    <w:p w14:paraId="363D2812">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以上观点各从一个侧面力图说明追诉时效制度的合理性，但由于其自身的种种局限并不足以全面地科学解释追诉时效制度的原因。例如，社会遗忘说具有很强主观推断的意味，社会是否的确已经遗忘罪行、被害人的仇恨是否的确已经消解，这些判断部分建立在立说人的主观推测上；至于改善推测说从犯罪人实施犯罪后一段时期内没有再犯新罪，得出犯罪人已经没有再犯罪可能的结论，更是完全建立在立说人带有臆想性的假设的基础上，缺乏证明推断的有力依据。因此，追诉时效制度在法理上似乎并不存在一个有充分说服力的解释，对于法学界以外的社会公众来说更难以理解和认同。</w:t>
      </w:r>
    </w:p>
    <w:p w14:paraId="27B1B06F">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2.经济学分析法学的观点</w:t>
      </w:r>
    </w:p>
    <w:p w14:paraId="3046B32C">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经济学分析法学尚未深入涉及追诉时效这一相对狭窄的领域，目前的研究主要见于贝勒斯的《法律的原则》。贝勒斯的分析集中在两点：首先，“诉讼时效法避免了因难以获得充分而可靠的证据而产生的错误成本”[10](P85)，这种分析和上述证据湮灭说是殊途同归的，只是换由“错误成本”这一经济学分析法学特有的视角切入问题；其次，“法律的主要目的之一是避免诉讼，</w:t>
      </w:r>
      <w:r>
        <w:rPr>
          <w:rFonts w:hint="eastAsia" w:ascii="MS Gothic" w:hAnsi="MS Gothic" w:eastAsia="MS Gothic" w:cs="MS Gothic"/>
          <w:szCs w:val="21"/>
          <w:lang w:bidi="ar"/>
        </w:rPr>
        <w:t>⋯⋯</w:t>
      </w:r>
      <w:r>
        <w:rPr>
          <w:rFonts w:hint="eastAsia" w:ascii="宋体" w:hAnsi="宋体" w:eastAsia="宋体" w:cs="宋体"/>
          <w:szCs w:val="21"/>
          <w:lang w:bidi="ar"/>
        </w:rPr>
        <w:t>因为诉讼是负值交互行为，诉讼时效法有助于实现这一目的”[10](P37)，这种论述和贝勒斯的“诉讼纯粹是一种损失”[10](P35)的观点相呼应。</w:t>
      </w:r>
    </w:p>
    <w:p w14:paraId="54B0AF9E">
      <w:pPr>
        <w:spacing w:line="336" w:lineRule="auto"/>
        <w:ind w:firstLine="440" w:firstLineChars="200"/>
        <w:rPr>
          <w:rFonts w:ascii="宋体" w:hAnsi="宋体" w:eastAsia="宋体" w:cs="宋体"/>
          <w:b/>
          <w:szCs w:val="21"/>
        </w:rPr>
      </w:pPr>
      <w:r>
        <w:rPr>
          <w:rFonts w:hint="eastAsia" w:ascii="宋体" w:hAnsi="宋体" w:eastAsia="宋体" w:cs="宋体"/>
          <w:szCs w:val="21"/>
          <w:lang w:bidi="ar"/>
        </w:rPr>
        <w:t>对于追诉时效制度减少错误成本的观点，还有更为深入的分析。综合德沃金和波斯纳的观点，诉讼程序应该追求直接成本(DC)、经济错误成本(EC)和道德错误成本(MC)总和的最小化min(DC+EC+MC)，刑事诉讼中错误成本的发生无非就是让无罪者遭受刑罚(Q1)和让有罪者逃避刑罚(Q2)，而根据贝勒斯的分析，由于在Q1情况下，“谁也不能因避免犯罪就能躲避刑罚的损害</w:t>
      </w:r>
      <w:r>
        <w:rPr>
          <w:rFonts w:hint="eastAsia" w:ascii="MS Gothic" w:hAnsi="MS Gothic" w:eastAsia="MS Gothic" w:cs="MS Gothic"/>
          <w:szCs w:val="21"/>
          <w:lang w:bidi="ar"/>
        </w:rPr>
        <w:t>⋯⋯</w:t>
      </w:r>
      <w:r>
        <w:rPr>
          <w:rFonts w:hint="eastAsia" w:ascii="宋体" w:hAnsi="宋体" w:eastAsia="宋体" w:cs="宋体"/>
          <w:szCs w:val="21"/>
          <w:lang w:bidi="ar"/>
        </w:rPr>
        <w:t>损害和不安全因素发生的威胁始终存在，使得目的在于维护安全的制度反而增加了不安全因素”[10](P336)，所以，Q1的错误成本大于Q2，错误Q2优于错误Q1，为此应通过设立追诉时效来避免错误成本的更多支出。</w:t>
      </w:r>
    </w:p>
    <w:p w14:paraId="7B797C86">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三、追诉时效的经济分析</w:t>
      </w:r>
    </w:p>
    <w:p w14:paraId="57F0F724">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1.经济分析的前提</w:t>
      </w:r>
    </w:p>
    <w:p w14:paraId="21C2F0F9">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按照经济学分析法学最一般的观点，在自愿交易成本较低的情况下，法律通过创设并保护财产权鼓励人们以市场途径进行交易活动；而在自愿交易的成本过高以至于抑制交易的时候，出现了市场失灵的情况——即市场交易作为资源配置方法不可行时，法律将通过模仿市场给行为定价的方式继续履行市场职能[11](P329～330)。刑法作为法律体系中主要的部门法之一，也将遵循这样的经济学思路。如果不考虑刑事惩罚，犯罪在多数情况下对于罪犯而言是一种成本投入很低的行为，而其犯罪收益尽管受到犯罪成功概率的制约，但仍然远远高于犯罪成本。对于像杀人罪、伤害罪、强奸罪、诽谤罪等罪行的犯罪收益，虽然不具有财产性，可是罪犯获得的情感满足或发泄，同样作为一种效用而成为高于犯罪成本的犯罪收益，而且这种收益是无法通过公开市场获得的。对于是否实施犯罪，通常倾向于风险的犯罪人作出犯罪的决策将是最经济合理的，刑法正是通过对于犯罪行为施加额外的犯罪成本——如处死、监禁、罚金等等，使得犯罪成为不经济的行为，从而达到阻止犯罪的目的。</w:t>
      </w:r>
    </w:p>
    <w:p w14:paraId="45A15FD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刑法在这样一个作用过程中涉及三方面的经济决策：首先是犯罪人的犯罪决策，即犯罪人或潜在犯罪人决定是否实施犯罪、实施何种犯罪和何时实施犯罪时，通过对其犯罪收益和犯罪成本的对比分析而作出的选择[12](P284～285)，这一决策中的基本概念是犯罪收益以及包括刑罚和犯罪直接成本在内的犯罪成本；其次是社会公众的预防决策，即社会公众按照犯罪造成的预期损失、犯罪发生概率、预防成本函数等等因素作出预防成本支出的决策；最后是司法机构的司法资源投入决策，即司法机构在一定的司法资源约束下为了取得最佳的刑罚效益，而在把资源投入到提高刑罚严厉性或提高刑罚确定性之间进行的决策[12](P294)。</w:t>
      </w:r>
    </w:p>
    <w:p w14:paraId="368103A8">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上述三个决策过程存在非常紧密的内在联系，犯罪决策中的犯罪成本主要由刑罚的严厉性和刑罚的确定性决定，而刑罚的严厉性和确定性是司法资源投入决策的结果，因而犯罪决策直接受到司法资源投入决策的制约。至于预防决策中的犯罪发生概率是罪犯的犯罪决策的结果，从而预防决策最终也受司法资源投入决策的制约，可见，在三个决策过程中司法资源投入决策是处于主导地位的。</w:t>
      </w:r>
    </w:p>
    <w:p w14:paraId="49163935">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是否设定追诉时效，如何设定追诉时效，是一个直接关系刑罚确定性的问题。设定追诉时效、设定严格的追诉时效、设定期限较短的追诉时效，实际意味着国家对于在现有司法资源投入水平下力不能及，或力可能及而刑罚效益远低于经济水平的一部分犯罪放弃了追诉权和求刑权。这在某种意义上是承认了犯罪黑数和刑罚真空的存在，似乎是国家立法机构的一种“无奈的、不得已而为之的选择”[5](P3)。从经济学分析法学的角度考察，设定追诉时效的经济目的是在一定程度上以牺牲刑罚的确定性为代价，求得更高的刑罚效益，因而对于追诉时效的经济分析实际上具体化为考察这种刑罚确定性的牺牲是否可以换得更高刑罚效益的问题。</w:t>
      </w:r>
    </w:p>
    <w:p w14:paraId="244C024F">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2.追诉时效引起的犯罪决策变动</w:t>
      </w:r>
    </w:p>
    <w:p w14:paraId="5098B92B">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从经济学的观点分析，犯罪是在犯罪人从事犯罪行为的犯罪收益超过刑罚成本、犯罪直接成本等等所有犯罪成本时所作出的决策，有人成为罪犯“不在于他们的基本动机与别人有什么不同，而在于他们的利益同成本之间存在的差异”[13](P63)。简而言之，“由于犯罪对他的预期收益超过其预期成本，所以某人才实施犯罪”[11](P292)。</w:t>
      </w:r>
    </w:p>
    <w:p w14:paraId="17B702F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对于犯罪人而言，通过犯罪可以取得犯罪收益Yi。这种犯罪收益可以是财产性的，如贪污、贿赂等经济犯罪，以及盗窃、抢劫等财产犯罪，而刑事犯罪中也存在很多非财产性的犯罪收益，如杀人、伤害、强奸、遗弃、虐待等等。出于分析的简化，有必要把各种财产性或非财产性的犯罪收益加以量化，以便与犯罪成本进行比较。</w:t>
      </w:r>
    </w:p>
    <w:p w14:paraId="210015AA">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犯罪成本是指犯罪人实施犯罪所付出的代价，具体包括两个组成部分：</w:t>
      </w:r>
    </w:p>
    <w:p w14:paraId="69A44864">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刑罚成本Ci。刑罚本身意味着社会对于犯罪人的负面评价，通过接受刑罚“受到危害的社会迫使犯罪人承受某种痛苦”[14](P28)。首先，犯罪人从简单的罚金到一定时期内失去人身自由(自由刑)直至失去生存权利(生命刑)；其次，这种接受刑罚的过程使犯罪人丧失了有关的可预期收益，如犯罪人受到监禁而导致的监禁期间内预期收入的丧失，这种丧失可以视为机会成本；再次，刑罚意味着犯罪人某种名誉的丧失，“每一刑事处罚都以耻辱的形式实施了非金钱负效用”[11](P292)。刑罚成本在犯罪人进行犯罪决策时是不确定的，某种犯罪的刑罚严厉性可以通过刑事法律中法定刑的规定明确体现，刑罚成本的变数在于具体犯罪遭到追诉和定罪的可能性，即刑罚的确定性。犯罪人据以决策的刑罚成本只能是刑罚严厉性Fi和刑罚确定性Pi的乘积，即Ci=Fi×Pi。如果犯罪的法定刑为10年，该罪的定罪可能性为70%，那么犯罪人的预期刑罚成本将是7年。</w:t>
      </w:r>
    </w:p>
    <w:p w14:paraId="09DA7025">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犯罪的直接成本。犯罪人在犯罪前准备工具和制造条件，在犯罪过程中实施犯罪，在犯罪及遂后逃避惩罚这一系列行为中，都会直接导致成本支出。不过，这种成本支出和刑罚成本相比，对于犯罪人犯罪决策的影响是比较小的，犯罪人一般会较多考虑犯罪可能带来的惩罚，较少会因为犯罪过于“昂贵”而放弃犯罪，或者犯罪极为“便宜”而实施犯罪，因此，我们在分析犯罪成本时，仅考虑刑罚成本，而将犯罪的直接成本排除在外。</w:t>
      </w:r>
    </w:p>
    <w:p w14:paraId="0C4E2524">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可见，当犯罪人得出犯罪收益Yi大于犯罪成本的结论时，往往会作出实施犯罪的决策，即犯罪条件为：Yi&gt;Ci=Fi×Pi。</w:t>
      </w:r>
    </w:p>
    <w:p w14:paraId="792420F2">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犯罪人通过上述决策过程作出的犯罪决策可以按照犯罪的严重程度依次分类，这种严重程度可以是一次犯罪造成的危害后果，也可以是犯罪的次数或频度；同样刑罚按照严厉程度也可以依次分类，刑罚分类的序列是犯罪越严重，刑罚越严厉。</w:t>
      </w:r>
    </w:p>
    <w:p w14:paraId="0F3E4BC2">
      <w:pPr>
        <w:spacing w:line="300" w:lineRule="auto"/>
        <w:ind w:firstLine="440" w:firstLineChars="200"/>
        <w:rPr>
          <w:rFonts w:ascii="宋体" w:hAnsi="宋体" w:eastAsia="宋体" w:cs="宋体"/>
          <w:szCs w:val="21"/>
        </w:rPr>
      </w:pPr>
      <w:r>
        <w:rPr>
          <w:rFonts w:hint="eastAsia" w:ascii="宋体" w:hAnsi="宋体" w:eastAsia="宋体" w:cs="宋体"/>
          <w:szCs w:val="21"/>
          <w:lang w:bidi="ar"/>
        </w:rPr>
        <w:drawing>
          <wp:inline distT="0" distB="0" distL="114300" distR="114300">
            <wp:extent cx="3072130" cy="2243455"/>
            <wp:effectExtent l="0" t="0" r="1270" b="17145"/>
            <wp:docPr id="28"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39"/>
                    <pic:cNvPicPr>
                      <a:picLocks noChangeAspect="1"/>
                    </pic:cNvPicPr>
                  </pic:nvPicPr>
                  <pic:blipFill>
                    <a:blip r:embed="rId100"/>
                    <a:stretch>
                      <a:fillRect/>
                    </a:stretch>
                  </pic:blipFill>
                  <pic:spPr>
                    <a:xfrm>
                      <a:off x="0" y="0"/>
                      <a:ext cx="3072130" cy="2243455"/>
                    </a:xfrm>
                    <a:prstGeom prst="rect">
                      <a:avLst/>
                    </a:prstGeom>
                    <a:noFill/>
                    <a:ln>
                      <a:noFill/>
                    </a:ln>
                  </pic:spPr>
                </pic:pic>
              </a:graphicData>
            </a:graphic>
          </wp:inline>
        </w:drawing>
      </w:r>
    </w:p>
    <w:p w14:paraId="3B36C7E4">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 xml:space="preserve">   </w:t>
      </w:r>
      <w:r>
        <w:rPr>
          <w:rFonts w:hint="eastAsia" w:ascii="宋体" w:hAnsi="宋体" w:eastAsia="宋体" w:cs="宋体"/>
          <w:sz w:val="18"/>
          <w:szCs w:val="18"/>
          <w:lang w:bidi="ar"/>
        </w:rPr>
        <w:t>图1刑罚严厉性与犯罪的关系</w:t>
      </w:r>
    </w:p>
    <w:p w14:paraId="734BCF28">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图1表现犯罪严重程度和刑罚严厉性之间的关系[1](P713～722)。图中呈45°的补偿线代表了如果犯罪的严重性能够与刑罚的严厉性用同一尺度衡量，那么某种犯罪的严重程度与相应刑罚的严厉程度之间的对应关系。例如，横轴的犯罪X0对社会所造成的危害用同一尺度衡量相当于纵轴的刑罚X0对犯罪人的损失。正如边沁所说，“为预防一个犯罪，抑制动机的力量必须超过诱惑动机，作为一个恐惧的刑罚必须超过作为诱惑物的罪行，一个不足的刑罚比严厉的刑罚更坏”[15](P69)，与损害后果相当的刑罚惩罚不可能充分起到警戒犯罪、预防犯罪的作用，因而法定刑罚必然大于与犯罪危害相应的刑罚，法定刑罚曲线如图所示必然位于补偿线上方，对应于犯罪X0的法定刑罚为X1。</w:t>
      </w:r>
    </w:p>
    <w:p w14:paraId="4B37D17D">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上述分析是建立在所有犯罪都得到追诉的基础上的。在这种“有罪必罚”的情况下，犯罪人预期的刑罚成本曲线和法定刑罚曲线重合，犯罪成本始终大于犯罪收益(图中的补偿线)，从而所有犯罪都是在经济上不合理的决策。</w:t>
      </w:r>
    </w:p>
    <w:p w14:paraId="3543CFFB">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然而，司法机构在现有司法资源条件的限制下，不可能真正做到及时追究每一个犯罪人和每一个罪行的刑事责任，刑罚确定性Pi&lt;1，预期刑罚成本Ci=Fi×Pi，于是，Ci&lt;Fi，预期刑罚成本曲线位于法定刑罚曲线下方，与补偿线相交(见图2)。预期刑罚线位于补偿线以下的部分，出现了犯罪成本(刑罚成本)小于犯罪收益的情况，即图2中X1至X2的部分，此时，理性的犯罪人作出犯罪的决策将是经济合理的，因此，可以将犯罪人可能犯罪的区间(X1，X2)称为犯罪区间。</w:t>
      </w:r>
    </w:p>
    <w:p w14:paraId="51D6992E">
      <w:pPr>
        <w:spacing w:line="300" w:lineRule="auto"/>
        <w:ind w:firstLine="440" w:firstLineChars="200"/>
        <w:rPr>
          <w:rFonts w:ascii="宋体" w:hAnsi="宋体" w:eastAsia="宋体" w:cs="宋体"/>
          <w:szCs w:val="21"/>
        </w:rPr>
      </w:pPr>
      <w:r>
        <w:rPr>
          <w:rFonts w:hint="eastAsia" w:ascii="宋体" w:hAnsi="宋体" w:eastAsia="宋体" w:cs="宋体"/>
          <w:szCs w:val="21"/>
          <w:lang w:bidi="ar"/>
        </w:rPr>
        <w:drawing>
          <wp:inline distT="0" distB="0" distL="114300" distR="114300">
            <wp:extent cx="2662555" cy="1828800"/>
            <wp:effectExtent l="0" t="0" r="4445" b="0"/>
            <wp:docPr id="29"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38"/>
                    <pic:cNvPicPr>
                      <a:picLocks noChangeAspect="1"/>
                    </pic:cNvPicPr>
                  </pic:nvPicPr>
                  <pic:blipFill>
                    <a:blip r:embed="rId101"/>
                    <a:stretch>
                      <a:fillRect/>
                    </a:stretch>
                  </pic:blipFill>
                  <pic:spPr>
                    <a:xfrm>
                      <a:off x="0" y="0"/>
                      <a:ext cx="2662555" cy="1828800"/>
                    </a:xfrm>
                    <a:prstGeom prst="rect">
                      <a:avLst/>
                    </a:prstGeom>
                    <a:noFill/>
                    <a:ln>
                      <a:noFill/>
                    </a:ln>
                  </pic:spPr>
                </pic:pic>
              </a:graphicData>
            </a:graphic>
          </wp:inline>
        </w:drawing>
      </w:r>
    </w:p>
    <w:p w14:paraId="6C0F8755">
      <w:pPr>
        <w:spacing w:line="300" w:lineRule="auto"/>
        <w:ind w:firstLine="440" w:firstLineChars="200"/>
        <w:rPr>
          <w:rFonts w:ascii="宋体" w:hAnsi="宋体" w:eastAsia="宋体" w:cs="宋体"/>
          <w:sz w:val="18"/>
          <w:szCs w:val="18"/>
        </w:rPr>
      </w:pPr>
      <w:r>
        <w:rPr>
          <w:rFonts w:hint="eastAsia" w:ascii="宋体" w:hAnsi="宋体" w:eastAsia="宋体" w:cs="宋体"/>
          <w:szCs w:val="21"/>
          <w:lang w:bidi="ar"/>
        </w:rPr>
        <w:t xml:space="preserve">   </w:t>
      </w:r>
      <w:r>
        <w:rPr>
          <w:rFonts w:hint="eastAsia" w:ascii="宋体" w:hAnsi="宋体" w:eastAsia="宋体" w:cs="宋体"/>
          <w:sz w:val="18"/>
          <w:szCs w:val="18"/>
          <w:lang w:bidi="ar"/>
        </w:rPr>
        <w:t>图2预期刑罚与犯罪决策</w:t>
      </w:r>
    </w:p>
    <w:p w14:paraId="34632C1A">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犯罪人通过犯罪可以取得的净利益取决于犯罪收益和犯罪成本的差异，在图中表现为预期刑罚线与补偿线之间的纵向距离。直观考察将发现，补偿线的平行线与预期刑罚线相切处的X*点预期刑罚线与补偿线之间的纵向距离最大，即X*是犯罪人净收益的最大值点，X*成为犯罪人的最优选择。</w:t>
      </w:r>
    </w:p>
    <w:p w14:paraId="0380CBDA">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以上决策过程可以用数学方式同样加以阐述。假设犯罪严重性为xi，法定刑罚Fi和刑罚确定性Pi都是xi的增函数(这种F和P与x同方向变动的函数关系可以通过表1得到证明)：</w:t>
      </w:r>
    </w:p>
    <w:p w14:paraId="542245E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Fi=Fi(xi)，dFi/dxi&gt;0</w:t>
      </w:r>
    </w:p>
    <w:p w14:paraId="492562DA">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Pi=Pi(xi)，dPi/dxi&gt;0</w:t>
      </w:r>
    </w:p>
    <w:p w14:paraId="26D39E4C">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则预期刑罚线可以表示为：Ci=Ci(xi)=Fi(xi)×Pi(xi)，犯罪人的犯罪收益用犯罪严重性xi表示，那么，犯罪人的净收益为：</w:t>
      </w:r>
    </w:p>
    <w:p w14:paraId="2B1F80A4">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Yi(xi)=xi-Ci=xi-Fi(xi)×Pi(xi)理性犯罪人追求净收益的最大化，则就上式对xi求导：Yi′  =1-(Fi′×Pi+Fi×Pi′)=0可见，犯罪人为了实现净收益最大化必然调整X*水平，使得Fi′×Pi+Fi×Pi′=1，即边际收益等于边际成本。</w:t>
      </w:r>
    </w:p>
    <w:p w14:paraId="17E8C55F">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表1[13](P77)1960年美国7种刑事犯罪的定罪可能性与平均服刑期</w:t>
      </w:r>
    </w:p>
    <w:p w14:paraId="2723BD7C">
      <w:pPr>
        <w:spacing w:line="300" w:lineRule="auto"/>
        <w:ind w:firstLine="440" w:firstLineChars="200"/>
        <w:rPr>
          <w:rFonts w:ascii="宋体" w:hAnsi="宋体" w:eastAsia="宋体" w:cs="宋体"/>
          <w:szCs w:val="21"/>
        </w:rPr>
      </w:pPr>
    </w:p>
    <w:tbl>
      <w:tblPr>
        <w:tblStyle w:val="1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3438"/>
        <w:gridCol w:w="810"/>
        <w:gridCol w:w="720"/>
        <w:gridCol w:w="900"/>
        <w:gridCol w:w="720"/>
        <w:gridCol w:w="900"/>
        <w:gridCol w:w="720"/>
        <w:gridCol w:w="630"/>
        <w:gridCol w:w="738"/>
      </w:tblGrid>
      <w:tr w14:paraId="60EEE300">
        <w:tc>
          <w:tcPr>
            <w:tcW w:w="3438" w:type="dxa"/>
            <w:tcBorders>
              <w:top w:val="single" w:color="000000" w:sz="4" w:space="0"/>
              <w:left w:val="single" w:color="000000" w:sz="4" w:space="0"/>
              <w:bottom w:val="single" w:color="000000" w:sz="4" w:space="0"/>
              <w:right w:val="single" w:color="000000" w:sz="4" w:space="0"/>
            </w:tcBorders>
            <w:shd w:val="clear" w:color="auto" w:fill="auto"/>
          </w:tcPr>
          <w:p w14:paraId="6A4A13BE">
            <w:pPr>
              <w:spacing w:line="300" w:lineRule="auto"/>
              <w:ind w:firstLine="440" w:firstLineChars="200"/>
              <w:rPr>
                <w:rFonts w:ascii="宋体" w:hAnsi="宋体" w:eastAsia="宋体" w:cs="宋体"/>
                <w:szCs w:val="21"/>
              </w:rPr>
            </w:pP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14:paraId="1FC7C61B">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故意杀人</w:t>
            </w:r>
          </w:p>
        </w:tc>
        <w:tc>
          <w:tcPr>
            <w:tcW w:w="720" w:type="dxa"/>
            <w:tcBorders>
              <w:top w:val="single" w:color="000000" w:sz="4" w:space="0"/>
              <w:left w:val="single" w:color="000000" w:sz="4" w:space="0"/>
              <w:bottom w:val="single" w:color="000000" w:sz="4" w:space="0"/>
              <w:right w:val="single" w:color="000000" w:sz="4" w:space="0"/>
            </w:tcBorders>
            <w:shd w:val="clear" w:color="auto" w:fill="auto"/>
          </w:tcPr>
          <w:p w14:paraId="356598F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暴力强奸</w:t>
            </w:r>
          </w:p>
        </w:tc>
        <w:tc>
          <w:tcPr>
            <w:tcW w:w="900" w:type="dxa"/>
            <w:tcBorders>
              <w:top w:val="single" w:color="000000" w:sz="4" w:space="0"/>
              <w:left w:val="single" w:color="000000" w:sz="4" w:space="0"/>
              <w:bottom w:val="single" w:color="000000" w:sz="4" w:space="0"/>
              <w:right w:val="single" w:color="000000" w:sz="4" w:space="0"/>
            </w:tcBorders>
            <w:shd w:val="clear" w:color="auto" w:fill="auto"/>
          </w:tcPr>
          <w:p w14:paraId="757697A5">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抢劫</w:t>
            </w:r>
          </w:p>
        </w:tc>
        <w:tc>
          <w:tcPr>
            <w:tcW w:w="720" w:type="dxa"/>
            <w:tcBorders>
              <w:top w:val="single" w:color="000000" w:sz="4" w:space="0"/>
              <w:left w:val="single" w:color="000000" w:sz="4" w:space="0"/>
              <w:bottom w:val="single" w:color="000000" w:sz="4" w:space="0"/>
              <w:right w:val="single" w:color="000000" w:sz="4" w:space="0"/>
            </w:tcBorders>
            <w:shd w:val="clear" w:color="auto" w:fill="auto"/>
          </w:tcPr>
          <w:p w14:paraId="4BFC0C28">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严重暴力伤害人身</w:t>
            </w:r>
          </w:p>
        </w:tc>
        <w:tc>
          <w:tcPr>
            <w:tcW w:w="900" w:type="dxa"/>
            <w:tcBorders>
              <w:top w:val="single" w:color="000000" w:sz="4" w:space="0"/>
              <w:left w:val="single" w:color="000000" w:sz="4" w:space="0"/>
              <w:bottom w:val="single" w:color="000000" w:sz="4" w:space="0"/>
              <w:right w:val="single" w:color="000000" w:sz="4" w:space="0"/>
            </w:tcBorders>
            <w:shd w:val="clear" w:color="auto" w:fill="auto"/>
          </w:tcPr>
          <w:p w14:paraId="684B8073">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入室盗窃</w:t>
            </w:r>
          </w:p>
        </w:tc>
        <w:tc>
          <w:tcPr>
            <w:tcW w:w="720" w:type="dxa"/>
            <w:tcBorders>
              <w:top w:val="single" w:color="000000" w:sz="4" w:space="0"/>
              <w:left w:val="single" w:color="000000" w:sz="4" w:space="0"/>
              <w:bottom w:val="single" w:color="000000" w:sz="4" w:space="0"/>
              <w:right w:val="single" w:color="000000" w:sz="4" w:space="0"/>
            </w:tcBorders>
            <w:shd w:val="clear" w:color="auto" w:fill="auto"/>
          </w:tcPr>
          <w:p w14:paraId="7C62ADA6">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一般盗窃</w:t>
            </w:r>
          </w:p>
        </w:tc>
        <w:tc>
          <w:tcPr>
            <w:tcW w:w="630" w:type="dxa"/>
            <w:tcBorders>
              <w:top w:val="single" w:color="000000" w:sz="4" w:space="0"/>
              <w:left w:val="single" w:color="000000" w:sz="4" w:space="0"/>
              <w:bottom w:val="single" w:color="000000" w:sz="4" w:space="0"/>
              <w:right w:val="single" w:color="000000" w:sz="4" w:space="0"/>
            </w:tcBorders>
            <w:shd w:val="clear" w:color="auto" w:fill="auto"/>
          </w:tcPr>
          <w:p w14:paraId="1A18E0DB">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汽车盗窃</w:t>
            </w:r>
          </w:p>
        </w:tc>
        <w:tc>
          <w:tcPr>
            <w:tcW w:w="738" w:type="dxa"/>
            <w:tcBorders>
              <w:top w:val="single" w:color="000000" w:sz="4" w:space="0"/>
              <w:left w:val="single" w:color="000000" w:sz="4" w:space="0"/>
              <w:bottom w:val="single" w:color="000000" w:sz="4" w:space="0"/>
              <w:right w:val="single" w:color="000000" w:sz="4" w:space="0"/>
            </w:tcBorders>
            <w:shd w:val="clear" w:color="auto" w:fill="auto"/>
          </w:tcPr>
          <w:p w14:paraId="51E3399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加权平均值</w:t>
            </w:r>
          </w:p>
        </w:tc>
      </w:tr>
      <w:tr w14:paraId="0F7FB4AB">
        <w:trPr>
          <w:trHeight w:val="980" w:hRule="atLeast"/>
        </w:trPr>
        <w:tc>
          <w:tcPr>
            <w:tcW w:w="3438" w:type="dxa"/>
            <w:tcBorders>
              <w:top w:val="single" w:color="000000" w:sz="4" w:space="0"/>
              <w:left w:val="single" w:color="000000" w:sz="4" w:space="0"/>
              <w:bottom w:val="single" w:color="000000" w:sz="4" w:space="0"/>
              <w:right w:val="single" w:color="000000" w:sz="4" w:space="0"/>
            </w:tcBorders>
            <w:shd w:val="clear" w:color="auto" w:fill="auto"/>
          </w:tcPr>
          <w:p w14:paraId="44F8F70C">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1.首次释放前平均服刑月</w:t>
            </w:r>
          </w:p>
          <w:p w14:paraId="50047CE3">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(1)联邦机构</w:t>
            </w:r>
          </w:p>
          <w:p w14:paraId="1D7B1BB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(2)州立机构</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14:paraId="508B04B2">
            <w:pPr>
              <w:spacing w:line="300" w:lineRule="auto"/>
              <w:ind w:firstLine="440" w:firstLineChars="200"/>
              <w:rPr>
                <w:rFonts w:ascii="宋体" w:hAnsi="宋体" w:eastAsia="宋体" w:cs="宋体"/>
                <w:szCs w:val="21"/>
              </w:rPr>
            </w:pPr>
          </w:p>
          <w:p w14:paraId="056A852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111.0</w:t>
            </w:r>
          </w:p>
          <w:p w14:paraId="1DEA7C88">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121.4</w:t>
            </w:r>
          </w:p>
        </w:tc>
        <w:tc>
          <w:tcPr>
            <w:tcW w:w="720" w:type="dxa"/>
            <w:tcBorders>
              <w:top w:val="single" w:color="000000" w:sz="4" w:space="0"/>
              <w:left w:val="single" w:color="000000" w:sz="4" w:space="0"/>
              <w:bottom w:val="single" w:color="000000" w:sz="4" w:space="0"/>
              <w:right w:val="single" w:color="000000" w:sz="4" w:space="0"/>
            </w:tcBorders>
            <w:shd w:val="clear" w:color="auto" w:fill="auto"/>
          </w:tcPr>
          <w:p w14:paraId="4AE40703">
            <w:pPr>
              <w:spacing w:line="300" w:lineRule="auto"/>
              <w:ind w:firstLine="440" w:firstLineChars="200"/>
              <w:rPr>
                <w:rFonts w:ascii="宋体" w:hAnsi="宋体" w:eastAsia="宋体" w:cs="宋体"/>
                <w:szCs w:val="21"/>
              </w:rPr>
            </w:pPr>
          </w:p>
          <w:p w14:paraId="5D0A461E">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63.6</w:t>
            </w:r>
          </w:p>
          <w:p w14:paraId="14325425">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44.8</w:t>
            </w:r>
          </w:p>
        </w:tc>
        <w:tc>
          <w:tcPr>
            <w:tcW w:w="900" w:type="dxa"/>
            <w:tcBorders>
              <w:top w:val="single" w:color="000000" w:sz="4" w:space="0"/>
              <w:left w:val="single" w:color="000000" w:sz="4" w:space="0"/>
              <w:bottom w:val="single" w:color="000000" w:sz="4" w:space="0"/>
              <w:right w:val="single" w:color="000000" w:sz="4" w:space="0"/>
            </w:tcBorders>
            <w:shd w:val="clear" w:color="auto" w:fill="auto"/>
          </w:tcPr>
          <w:p w14:paraId="7C33F887">
            <w:pPr>
              <w:spacing w:line="300" w:lineRule="auto"/>
              <w:ind w:firstLine="440" w:firstLineChars="200"/>
              <w:rPr>
                <w:rFonts w:ascii="宋体" w:hAnsi="宋体" w:eastAsia="宋体" w:cs="宋体"/>
                <w:szCs w:val="21"/>
              </w:rPr>
            </w:pPr>
          </w:p>
          <w:p w14:paraId="6099848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56.1</w:t>
            </w:r>
          </w:p>
          <w:p w14:paraId="0207B3B4">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42.4</w:t>
            </w:r>
          </w:p>
        </w:tc>
        <w:tc>
          <w:tcPr>
            <w:tcW w:w="720" w:type="dxa"/>
            <w:tcBorders>
              <w:top w:val="single" w:color="000000" w:sz="4" w:space="0"/>
              <w:left w:val="single" w:color="000000" w:sz="4" w:space="0"/>
              <w:bottom w:val="single" w:color="000000" w:sz="4" w:space="0"/>
              <w:right w:val="single" w:color="000000" w:sz="4" w:space="0"/>
            </w:tcBorders>
            <w:shd w:val="clear" w:color="auto" w:fill="auto"/>
          </w:tcPr>
          <w:p w14:paraId="1A1E7B9D">
            <w:pPr>
              <w:spacing w:line="300" w:lineRule="auto"/>
              <w:ind w:firstLine="440" w:firstLineChars="200"/>
              <w:rPr>
                <w:rFonts w:ascii="宋体" w:hAnsi="宋体" w:eastAsia="宋体" w:cs="宋体"/>
                <w:szCs w:val="21"/>
              </w:rPr>
            </w:pPr>
          </w:p>
          <w:p w14:paraId="44A1DB1E">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27.1</w:t>
            </w:r>
          </w:p>
          <w:p w14:paraId="3491B5B6">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25.0</w:t>
            </w:r>
          </w:p>
        </w:tc>
        <w:tc>
          <w:tcPr>
            <w:tcW w:w="900" w:type="dxa"/>
            <w:tcBorders>
              <w:top w:val="single" w:color="000000" w:sz="4" w:space="0"/>
              <w:left w:val="single" w:color="000000" w:sz="4" w:space="0"/>
              <w:bottom w:val="single" w:color="000000" w:sz="4" w:space="0"/>
              <w:right w:val="single" w:color="000000" w:sz="4" w:space="0"/>
            </w:tcBorders>
            <w:shd w:val="clear" w:color="auto" w:fill="auto"/>
          </w:tcPr>
          <w:p w14:paraId="5F0D1010">
            <w:pPr>
              <w:spacing w:line="300" w:lineRule="auto"/>
              <w:ind w:firstLine="440" w:firstLineChars="200"/>
              <w:rPr>
                <w:rFonts w:ascii="宋体" w:hAnsi="宋体" w:eastAsia="宋体" w:cs="宋体"/>
                <w:szCs w:val="21"/>
              </w:rPr>
            </w:pPr>
          </w:p>
          <w:p w14:paraId="4DD287A9">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26.2</w:t>
            </w:r>
          </w:p>
          <w:p w14:paraId="443EBC02">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24.6</w:t>
            </w:r>
          </w:p>
        </w:tc>
        <w:tc>
          <w:tcPr>
            <w:tcW w:w="720" w:type="dxa"/>
            <w:tcBorders>
              <w:top w:val="single" w:color="000000" w:sz="4" w:space="0"/>
              <w:left w:val="single" w:color="000000" w:sz="4" w:space="0"/>
              <w:bottom w:val="single" w:color="000000" w:sz="4" w:space="0"/>
              <w:right w:val="single" w:color="000000" w:sz="4" w:space="0"/>
            </w:tcBorders>
            <w:shd w:val="clear" w:color="auto" w:fill="auto"/>
          </w:tcPr>
          <w:p w14:paraId="03BEEECF">
            <w:pPr>
              <w:spacing w:line="300" w:lineRule="auto"/>
              <w:ind w:firstLine="440" w:firstLineChars="200"/>
              <w:rPr>
                <w:rFonts w:ascii="宋体" w:hAnsi="宋体" w:eastAsia="宋体" w:cs="宋体"/>
                <w:szCs w:val="21"/>
              </w:rPr>
            </w:pPr>
          </w:p>
          <w:p w14:paraId="277C1AD6">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16.2</w:t>
            </w:r>
          </w:p>
          <w:p w14:paraId="40E7F4F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19.8</w:t>
            </w:r>
          </w:p>
        </w:tc>
        <w:tc>
          <w:tcPr>
            <w:tcW w:w="630" w:type="dxa"/>
            <w:tcBorders>
              <w:top w:val="single" w:color="000000" w:sz="4" w:space="0"/>
              <w:left w:val="single" w:color="000000" w:sz="4" w:space="0"/>
              <w:bottom w:val="single" w:color="000000" w:sz="4" w:space="0"/>
              <w:right w:val="single" w:color="000000" w:sz="4" w:space="0"/>
            </w:tcBorders>
            <w:shd w:val="clear" w:color="auto" w:fill="auto"/>
          </w:tcPr>
          <w:p w14:paraId="6C2BF80D">
            <w:pPr>
              <w:spacing w:line="300" w:lineRule="auto"/>
              <w:ind w:firstLine="440" w:firstLineChars="200"/>
              <w:rPr>
                <w:rFonts w:ascii="宋体" w:hAnsi="宋体" w:eastAsia="宋体" w:cs="宋体"/>
                <w:szCs w:val="21"/>
              </w:rPr>
            </w:pPr>
          </w:p>
          <w:p w14:paraId="6B61B09B">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20.6</w:t>
            </w:r>
          </w:p>
          <w:p w14:paraId="71048492">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21.4</w:t>
            </w:r>
          </w:p>
        </w:tc>
        <w:tc>
          <w:tcPr>
            <w:tcW w:w="738" w:type="dxa"/>
            <w:tcBorders>
              <w:top w:val="single" w:color="000000" w:sz="4" w:space="0"/>
              <w:left w:val="single" w:color="000000" w:sz="4" w:space="0"/>
              <w:bottom w:val="single" w:color="000000" w:sz="4" w:space="0"/>
              <w:right w:val="single" w:color="000000" w:sz="4" w:space="0"/>
            </w:tcBorders>
            <w:shd w:val="clear" w:color="auto" w:fill="auto"/>
          </w:tcPr>
          <w:p w14:paraId="68F3D868">
            <w:pPr>
              <w:spacing w:line="300" w:lineRule="auto"/>
              <w:ind w:firstLine="440" w:firstLineChars="200"/>
              <w:rPr>
                <w:rFonts w:ascii="宋体" w:hAnsi="宋体" w:eastAsia="宋体" w:cs="宋体"/>
                <w:szCs w:val="21"/>
              </w:rPr>
            </w:pPr>
          </w:p>
          <w:p w14:paraId="18776CC9">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18.8</w:t>
            </w:r>
          </w:p>
          <w:p w14:paraId="31D09CC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28.4</w:t>
            </w:r>
          </w:p>
        </w:tc>
      </w:tr>
      <w:tr w14:paraId="0B084CAA">
        <w:tc>
          <w:tcPr>
            <w:tcW w:w="3438" w:type="dxa"/>
            <w:tcBorders>
              <w:top w:val="single" w:color="000000" w:sz="4" w:space="0"/>
              <w:left w:val="single" w:color="000000" w:sz="4" w:space="0"/>
              <w:bottom w:val="single" w:color="000000" w:sz="4" w:space="0"/>
              <w:right w:val="single" w:color="000000" w:sz="4" w:space="0"/>
            </w:tcBorders>
            <w:shd w:val="clear" w:color="auto" w:fill="auto"/>
          </w:tcPr>
          <w:p w14:paraId="6153E07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2.逮捕与定罪可能性(%)</w:t>
            </w:r>
          </w:p>
          <w:p w14:paraId="3353DE7D">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(1)已知的违法</w:t>
            </w:r>
          </w:p>
          <w:p w14:paraId="7AB4CDF8">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(2)指控的违法</w:t>
            </w:r>
          </w:p>
          <w:p w14:paraId="7C129DBF">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(3)入狱者(不计许多少年犯)</w:t>
            </w:r>
          </w:p>
        </w:tc>
        <w:tc>
          <w:tcPr>
            <w:tcW w:w="810" w:type="dxa"/>
            <w:tcBorders>
              <w:top w:val="single" w:color="000000" w:sz="4" w:space="0"/>
              <w:left w:val="single" w:color="000000" w:sz="4" w:space="0"/>
              <w:bottom w:val="single" w:color="000000" w:sz="4" w:space="0"/>
              <w:right w:val="single" w:color="000000" w:sz="4" w:space="0"/>
            </w:tcBorders>
            <w:shd w:val="clear" w:color="auto" w:fill="auto"/>
          </w:tcPr>
          <w:p w14:paraId="798831AF">
            <w:pPr>
              <w:spacing w:line="300" w:lineRule="auto"/>
              <w:ind w:firstLine="440" w:firstLineChars="200"/>
              <w:rPr>
                <w:rFonts w:ascii="宋体" w:hAnsi="宋体" w:eastAsia="宋体" w:cs="宋体"/>
                <w:szCs w:val="21"/>
              </w:rPr>
            </w:pPr>
          </w:p>
          <w:p w14:paraId="663F8032">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57.9</w:t>
            </w:r>
          </w:p>
          <w:p w14:paraId="37F56E7A">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40.7</w:t>
            </w:r>
          </w:p>
          <w:p w14:paraId="5595CA18">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39.8</w:t>
            </w:r>
          </w:p>
        </w:tc>
        <w:tc>
          <w:tcPr>
            <w:tcW w:w="720" w:type="dxa"/>
            <w:tcBorders>
              <w:top w:val="single" w:color="000000" w:sz="4" w:space="0"/>
              <w:left w:val="single" w:color="000000" w:sz="4" w:space="0"/>
              <w:bottom w:val="single" w:color="000000" w:sz="4" w:space="0"/>
              <w:right w:val="single" w:color="000000" w:sz="4" w:space="0"/>
            </w:tcBorders>
            <w:shd w:val="clear" w:color="auto" w:fill="auto"/>
          </w:tcPr>
          <w:p w14:paraId="75AC5166">
            <w:pPr>
              <w:spacing w:line="300" w:lineRule="auto"/>
              <w:ind w:firstLine="440" w:firstLineChars="200"/>
              <w:rPr>
                <w:rFonts w:ascii="宋体" w:hAnsi="宋体" w:eastAsia="宋体" w:cs="宋体"/>
                <w:szCs w:val="21"/>
              </w:rPr>
            </w:pPr>
          </w:p>
          <w:p w14:paraId="47EDADCD">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37.726.922.7</w:t>
            </w:r>
          </w:p>
        </w:tc>
        <w:tc>
          <w:tcPr>
            <w:tcW w:w="900" w:type="dxa"/>
            <w:tcBorders>
              <w:top w:val="single" w:color="000000" w:sz="4" w:space="0"/>
              <w:left w:val="single" w:color="000000" w:sz="4" w:space="0"/>
              <w:bottom w:val="single" w:color="000000" w:sz="4" w:space="0"/>
              <w:right w:val="single" w:color="000000" w:sz="4" w:space="0"/>
            </w:tcBorders>
            <w:shd w:val="clear" w:color="auto" w:fill="auto"/>
          </w:tcPr>
          <w:p w14:paraId="1A1A82F4">
            <w:pPr>
              <w:spacing w:line="300" w:lineRule="auto"/>
              <w:ind w:firstLine="440" w:firstLineChars="200"/>
              <w:rPr>
                <w:rFonts w:ascii="宋体" w:hAnsi="宋体" w:eastAsia="宋体" w:cs="宋体"/>
                <w:szCs w:val="21"/>
              </w:rPr>
            </w:pPr>
          </w:p>
          <w:p w14:paraId="0315F344">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25.1</w:t>
            </w:r>
          </w:p>
          <w:p w14:paraId="5F421F76">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17.8</w:t>
            </w:r>
          </w:p>
          <w:p w14:paraId="14B19C32">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8.4</w:t>
            </w:r>
          </w:p>
        </w:tc>
        <w:tc>
          <w:tcPr>
            <w:tcW w:w="720" w:type="dxa"/>
            <w:tcBorders>
              <w:top w:val="single" w:color="000000" w:sz="4" w:space="0"/>
              <w:left w:val="single" w:color="000000" w:sz="4" w:space="0"/>
              <w:bottom w:val="single" w:color="000000" w:sz="4" w:space="0"/>
              <w:right w:val="single" w:color="000000" w:sz="4" w:space="0"/>
            </w:tcBorders>
            <w:shd w:val="clear" w:color="auto" w:fill="auto"/>
          </w:tcPr>
          <w:p w14:paraId="52BFF432">
            <w:pPr>
              <w:spacing w:line="300" w:lineRule="auto"/>
              <w:ind w:firstLine="440" w:firstLineChars="200"/>
              <w:rPr>
                <w:rFonts w:ascii="宋体" w:hAnsi="宋体" w:eastAsia="宋体" w:cs="宋体"/>
                <w:szCs w:val="21"/>
              </w:rPr>
            </w:pPr>
          </w:p>
          <w:p w14:paraId="29E0F7EE">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27.3</w:t>
            </w:r>
          </w:p>
          <w:p w14:paraId="6567B24E">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16.1</w:t>
            </w:r>
          </w:p>
          <w:p w14:paraId="2A4D085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3.0</w:t>
            </w:r>
          </w:p>
        </w:tc>
        <w:tc>
          <w:tcPr>
            <w:tcW w:w="900" w:type="dxa"/>
            <w:tcBorders>
              <w:top w:val="single" w:color="000000" w:sz="4" w:space="0"/>
              <w:left w:val="single" w:color="000000" w:sz="4" w:space="0"/>
              <w:bottom w:val="single" w:color="000000" w:sz="4" w:space="0"/>
              <w:right w:val="single" w:color="000000" w:sz="4" w:space="0"/>
            </w:tcBorders>
            <w:shd w:val="clear" w:color="auto" w:fill="auto"/>
          </w:tcPr>
          <w:p w14:paraId="5CD655EE">
            <w:pPr>
              <w:spacing w:line="300" w:lineRule="auto"/>
              <w:ind w:firstLine="440" w:firstLineChars="200"/>
              <w:rPr>
                <w:rFonts w:ascii="宋体" w:hAnsi="宋体" w:eastAsia="宋体" w:cs="宋体"/>
                <w:szCs w:val="21"/>
              </w:rPr>
            </w:pPr>
          </w:p>
          <w:p w14:paraId="7502A9B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13.0</w:t>
            </w:r>
          </w:p>
          <w:p w14:paraId="5359352A">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10.2</w:t>
            </w:r>
          </w:p>
          <w:p w14:paraId="5114D27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2.4</w:t>
            </w:r>
          </w:p>
        </w:tc>
        <w:tc>
          <w:tcPr>
            <w:tcW w:w="720" w:type="dxa"/>
            <w:tcBorders>
              <w:top w:val="single" w:color="000000" w:sz="4" w:space="0"/>
              <w:left w:val="single" w:color="000000" w:sz="4" w:space="0"/>
              <w:bottom w:val="single" w:color="000000" w:sz="4" w:space="0"/>
              <w:right w:val="single" w:color="000000" w:sz="4" w:space="0"/>
            </w:tcBorders>
            <w:shd w:val="clear" w:color="auto" w:fill="auto"/>
          </w:tcPr>
          <w:p w14:paraId="12B6E0F7">
            <w:pPr>
              <w:spacing w:line="300" w:lineRule="auto"/>
              <w:ind w:firstLine="440" w:firstLineChars="200"/>
              <w:rPr>
                <w:rFonts w:ascii="宋体" w:hAnsi="宋体" w:eastAsia="宋体" w:cs="宋体"/>
                <w:szCs w:val="21"/>
              </w:rPr>
            </w:pPr>
          </w:p>
          <w:p w14:paraId="69027C5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10.7</w:t>
            </w:r>
          </w:p>
          <w:p w14:paraId="2B953067">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9.8</w:t>
            </w:r>
          </w:p>
          <w:p w14:paraId="084D5BDC">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2.2</w:t>
            </w:r>
          </w:p>
        </w:tc>
        <w:tc>
          <w:tcPr>
            <w:tcW w:w="630" w:type="dxa"/>
            <w:tcBorders>
              <w:top w:val="single" w:color="000000" w:sz="4" w:space="0"/>
              <w:left w:val="single" w:color="000000" w:sz="4" w:space="0"/>
              <w:bottom w:val="single" w:color="000000" w:sz="4" w:space="0"/>
              <w:right w:val="single" w:color="000000" w:sz="4" w:space="0"/>
            </w:tcBorders>
            <w:shd w:val="clear" w:color="auto" w:fill="auto"/>
          </w:tcPr>
          <w:p w14:paraId="2A84197C">
            <w:pPr>
              <w:spacing w:line="300" w:lineRule="auto"/>
              <w:ind w:firstLine="440" w:firstLineChars="200"/>
              <w:rPr>
                <w:rFonts w:ascii="宋体" w:hAnsi="宋体" w:eastAsia="宋体" w:cs="宋体"/>
                <w:szCs w:val="21"/>
              </w:rPr>
            </w:pPr>
          </w:p>
          <w:p w14:paraId="42C15F6E">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13.7</w:t>
            </w:r>
          </w:p>
          <w:p w14:paraId="4B6E3248">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11.5</w:t>
            </w:r>
          </w:p>
          <w:p w14:paraId="54330A1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2.1</w:t>
            </w:r>
          </w:p>
        </w:tc>
        <w:tc>
          <w:tcPr>
            <w:tcW w:w="738" w:type="dxa"/>
            <w:tcBorders>
              <w:top w:val="single" w:color="000000" w:sz="4" w:space="0"/>
              <w:left w:val="single" w:color="000000" w:sz="4" w:space="0"/>
              <w:bottom w:val="single" w:color="000000" w:sz="4" w:space="0"/>
              <w:right w:val="single" w:color="000000" w:sz="4" w:space="0"/>
            </w:tcBorders>
            <w:shd w:val="clear" w:color="auto" w:fill="auto"/>
          </w:tcPr>
          <w:p w14:paraId="4D5ACB87">
            <w:pPr>
              <w:spacing w:line="300" w:lineRule="auto"/>
              <w:ind w:firstLine="440" w:firstLineChars="200"/>
              <w:rPr>
                <w:rFonts w:ascii="宋体" w:hAnsi="宋体" w:eastAsia="宋体" w:cs="宋体"/>
                <w:szCs w:val="21"/>
              </w:rPr>
            </w:pPr>
          </w:p>
          <w:p w14:paraId="69EA701C">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15.1</w:t>
            </w:r>
          </w:p>
          <w:p w14:paraId="30497085">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15.0</w:t>
            </w:r>
          </w:p>
          <w:p w14:paraId="3FDBDF4D">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2.8</w:t>
            </w:r>
          </w:p>
        </w:tc>
      </w:tr>
    </w:tbl>
    <w:p w14:paraId="31EB6065">
      <w:pPr>
        <w:spacing w:line="300" w:lineRule="auto"/>
        <w:ind w:firstLine="440" w:firstLineChars="200"/>
        <w:rPr>
          <w:rFonts w:ascii="宋体" w:hAnsi="宋体" w:eastAsia="宋体" w:cs="宋体"/>
          <w:szCs w:val="21"/>
        </w:rPr>
      </w:pPr>
    </w:p>
    <w:p w14:paraId="02FDE818">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当存在追诉时效制度时，对于犯罪人而言，只要在法定的追诉时效期限内没有被提起公诉，司法机构的求刑权、量刑权消灭，犯罪人按其罪行应当课以的刑罚也随之消灭。因此，追诉时效制度对于犯罪人逃避司法机关侦查抓捕、逃避刑事责任产生了强有力的刺激</w:t>
      </w:r>
      <w:r>
        <w:rPr>
          <w:rFonts w:hint="eastAsia" w:ascii="宋体" w:hAnsi="宋体" w:eastAsia="宋体" w:cs="宋体"/>
          <w:szCs w:val="21"/>
          <w:vertAlign w:val="superscript"/>
          <w:lang w:bidi="ar"/>
        </w:rPr>
        <w:footnoteReference w:id="219"/>
      </w:r>
      <w:r>
        <w:rPr>
          <w:rFonts w:hint="eastAsia" w:ascii="宋体" w:hAnsi="宋体" w:eastAsia="宋体" w:cs="宋体"/>
          <w:szCs w:val="21"/>
        </w:rPr>
        <w:t>。为此，犯罪人将加大犯罪直接成本的投入，至于这种成本的投入同样遵循边际成本等于边际收益的原则，其中的边际收益就是刑罚确定性Pi下降所导致的预期刑罚成本Ci=Fi×Pi的降低。当然，用于逃避惩罚的犯罪直接成本的增量不可能无限增加，其上限是由原刑罚确定性决定的犯罪净收益。</w:t>
      </w:r>
    </w:p>
    <w:p w14:paraId="5FA0230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追诉时效导致刑罚确定性降低的过程可以通过图3表示，预期刑罚线下移，与补偿线交于X1′、X2′，犯罪区间扩大为(X1′，X2′)，犯罪人的最优选择从X*增大为X*′。</w:t>
      </w:r>
    </w:p>
    <w:p w14:paraId="7FBE72E9">
      <w:pPr>
        <w:spacing w:line="300" w:lineRule="auto"/>
        <w:ind w:firstLine="440" w:firstLineChars="200"/>
        <w:rPr>
          <w:rFonts w:ascii="宋体" w:hAnsi="宋体" w:eastAsia="宋体" w:cs="宋体"/>
          <w:szCs w:val="21"/>
        </w:rPr>
      </w:pPr>
      <w:r>
        <w:rPr>
          <w:rFonts w:hint="eastAsia" w:ascii="宋体" w:hAnsi="宋体" w:eastAsia="宋体" w:cs="宋体"/>
          <w:szCs w:val="21"/>
          <w:lang w:bidi="ar"/>
        </w:rPr>
        <w:drawing>
          <wp:inline distT="0" distB="0" distL="114300" distR="114300">
            <wp:extent cx="3729355" cy="2595880"/>
            <wp:effectExtent l="0" t="0" r="4445" b="20320"/>
            <wp:docPr id="30"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137"/>
                    <pic:cNvPicPr>
                      <a:picLocks noChangeAspect="1"/>
                    </pic:cNvPicPr>
                  </pic:nvPicPr>
                  <pic:blipFill>
                    <a:blip r:embed="rId102"/>
                    <a:stretch>
                      <a:fillRect/>
                    </a:stretch>
                  </pic:blipFill>
                  <pic:spPr>
                    <a:xfrm>
                      <a:off x="0" y="0"/>
                      <a:ext cx="3729355" cy="2595880"/>
                    </a:xfrm>
                    <a:prstGeom prst="rect">
                      <a:avLst/>
                    </a:prstGeom>
                    <a:noFill/>
                    <a:ln>
                      <a:noFill/>
                    </a:ln>
                  </pic:spPr>
                </pic:pic>
              </a:graphicData>
            </a:graphic>
          </wp:inline>
        </w:drawing>
      </w:r>
      <w:r>
        <w:rPr>
          <w:rFonts w:hint="eastAsia" w:ascii="宋体" w:hAnsi="宋体" w:eastAsia="宋体" w:cs="宋体"/>
          <w:szCs w:val="21"/>
          <w:lang w:bidi="ar"/>
        </w:rPr>
        <w:t xml:space="preserve"> </w:t>
      </w:r>
    </w:p>
    <w:p w14:paraId="4A7F5DDA">
      <w:pPr>
        <w:spacing w:line="300" w:lineRule="auto"/>
        <w:ind w:firstLine="380" w:firstLineChars="200"/>
        <w:rPr>
          <w:rFonts w:ascii="宋体" w:hAnsi="宋体" w:eastAsia="宋体" w:cs="宋体"/>
          <w:szCs w:val="21"/>
        </w:rPr>
      </w:pPr>
      <w:r>
        <w:rPr>
          <w:rFonts w:hint="eastAsia" w:ascii="宋体" w:hAnsi="宋体" w:eastAsia="宋体" w:cs="宋体"/>
          <w:sz w:val="18"/>
          <w:szCs w:val="18"/>
          <w:lang w:bidi="ar"/>
        </w:rPr>
        <w:t>图3预期刑罚与犯罪决策</w:t>
      </w:r>
    </w:p>
    <w:p w14:paraId="789B0C8E">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综合上述分析可以发现，追诉时效制度对于犯罪人的犯罪决策最为直接的影响是造成刑罚确定性下降，犯罪人最优选择的犯罪严重性增加，犯罪人可供选择的犯罪区间扩大，而“扩大犯罪的范围就等于提高犯罪的可能性”[6](P104)。</w:t>
      </w:r>
    </w:p>
    <w:p w14:paraId="249C892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3.追诉时效引起的预防决策变动</w:t>
      </w:r>
    </w:p>
    <w:p w14:paraId="1629CC84">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趋利避害是人类心理的共同特征。犯罪人实施犯罪是出于“认为犯罪之乐大于刑罚之苦的侥幸心理”[5](P276)，同样，其他社会公众出于谨慎心理将对犯罪可能造成的损害进行预防。比如雇请警卫和保安，安装住宅保险装置，乘坐出租汽车代替步行和地铁，增加保险费用的支出和扩大保险范围，聘请财务专家审核账务，雇佣律师等等。在枪支合法化的国家，预防他人侵害也是购买枪支的主要动机之一。据美国统计，仅1965年私人在防盗报警器、警卫、律师以及其他形式的防护措施方面的支出就高达约为20亿美元，而且这个数字很可能被大大低估；2002年私人拥有枪支2亿多支，几乎人均一枪[13](P57)。</w:t>
      </w:r>
    </w:p>
    <w:p w14:paraId="426085A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从广义上分析，预防成本实际包括两个方面：预防自己犯罪的成本和预防他人犯罪侵害的成本。预防自己犯罪的成本主要由刑法的严厉性制约，并伴随着刑罚严厉程度的增加而上升。在刑罚相当严厉时，人们必然会非常谨慎并且采取足够的措施避免意外触犯刑法。</w:t>
      </w:r>
    </w:p>
    <w:p w14:paraId="1EA414F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在此着重讨论的是预防他人犯罪侵害的预防成本支出。对于社会公众而言，预防成本就是指社会公众为了最大限度减小犯罪造成的损失而支出的成本。犯罪侵害造成的损失主要由两部分组成：</w:t>
      </w:r>
    </w:p>
    <w:p w14:paraId="51D368B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首先是犯罪侵害的直接损失Di，这也是犯罪损失中最主要的组成部分，包括财物的损毁、将来可得利益的损失、精神上的损害等等。不妨假定犯罪的直接损失同犯罪可能性P正相关(因为犯罪的直接损失等于犯罪可能性和每次犯罪损失的乘积)，同预防成本的投入水平Gi负相关(减少犯罪的直接损失是增加预防投入的唯一目的)，因此，Di=Di(P，Gi)，dDi/dPi&gt;0，dDi/dGi&lt;0。</w:t>
      </w:r>
    </w:p>
    <w:p w14:paraId="4F13BD49">
      <w:pPr>
        <w:spacing w:line="300" w:lineRule="auto"/>
        <w:ind w:firstLine="440" w:firstLineChars="200"/>
        <w:rPr>
          <w:rFonts w:ascii="宋体" w:hAnsi="宋体" w:eastAsia="宋体" w:cs="宋体"/>
          <w:szCs w:val="21"/>
        </w:rPr>
      </w:pPr>
      <w:r>
        <w:rPr>
          <w:rFonts w:hint="eastAsia" w:ascii="宋体" w:hAnsi="宋体" w:eastAsia="宋体" w:cs="宋体"/>
          <w:szCs w:val="21"/>
          <w:lang w:bidi="ar"/>
        </w:rPr>
        <w:drawing>
          <wp:inline distT="0" distB="0" distL="114300" distR="114300">
            <wp:extent cx="4524375" cy="2614930"/>
            <wp:effectExtent l="0" t="0" r="22225" b="1270"/>
            <wp:docPr id="31"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36"/>
                    <pic:cNvPicPr>
                      <a:picLocks noChangeAspect="1"/>
                    </pic:cNvPicPr>
                  </pic:nvPicPr>
                  <pic:blipFill>
                    <a:blip r:embed="rId103"/>
                    <a:stretch>
                      <a:fillRect/>
                    </a:stretch>
                  </pic:blipFill>
                  <pic:spPr>
                    <a:xfrm>
                      <a:off x="0" y="0"/>
                      <a:ext cx="4524375" cy="2614930"/>
                    </a:xfrm>
                    <a:prstGeom prst="rect">
                      <a:avLst/>
                    </a:prstGeom>
                    <a:noFill/>
                    <a:ln>
                      <a:noFill/>
                    </a:ln>
                  </pic:spPr>
                </pic:pic>
              </a:graphicData>
            </a:graphic>
          </wp:inline>
        </w:drawing>
      </w:r>
    </w:p>
    <w:p w14:paraId="7E5D52B3">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 xml:space="preserve">  </w:t>
      </w:r>
      <w:r>
        <w:rPr>
          <w:rFonts w:hint="eastAsia" w:ascii="宋体" w:hAnsi="宋体" w:eastAsia="宋体" w:cs="宋体"/>
          <w:sz w:val="18"/>
          <w:szCs w:val="18"/>
          <w:lang w:bidi="ar"/>
        </w:rPr>
        <w:t>图4预防成本决策</w:t>
      </w:r>
    </w:p>
    <w:p w14:paraId="5A7EE09D">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其次是预防成本的支出Gi×A，即预防成本投入水平Gi和单位预防成本A的乘积。将预防成本列入犯罪损失，是因为这种支出完全是由可能的犯罪引起的。如果没有犯罪可能性的存在，那么，预防措施上的花费将完全是一种毫无意义的浪费。同时，预防成本支出在数额上远远小于犯罪侵害的直接损失，这一点也是易于理解的：没有人会花90万去为一幢价值100万的房子买保险。</w:t>
      </w:r>
    </w:p>
    <w:p w14:paraId="706BBA9C">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由此可知，犯罪侵害造成的总损失L=GiA+Di(P，Gi)。在构成L的各个变量(Gi，A，P)中，作为决策者的社会公众可以控制的变量只有预防成本投入水平Gi，每个社会公众通过选择Gi水平实现总损失L的最小化，反映在图4</w:t>
      </w:r>
      <w:r>
        <w:rPr>
          <w:rFonts w:hint="eastAsia" w:ascii="宋体" w:hAnsi="宋体" w:eastAsia="宋体" w:cs="宋体"/>
          <w:szCs w:val="21"/>
          <w:vertAlign w:val="superscript"/>
          <w:lang w:bidi="ar"/>
        </w:rPr>
        <w:footnoteReference w:id="220"/>
      </w:r>
      <w:r>
        <w:rPr>
          <w:rFonts w:hint="eastAsia" w:ascii="宋体" w:hAnsi="宋体" w:eastAsia="宋体" w:cs="宋体"/>
          <w:szCs w:val="21"/>
        </w:rPr>
        <w:t>中最优的预防成本投入水平就是Gi*(位于L曲线的最低点)。</w:t>
      </w:r>
    </w:p>
    <w:p w14:paraId="1DDF7969">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但是，依据上一节对于犯罪人犯罪决策的分析，追诉时效制度的存在使得犯罪严重性增加，犯罪人可供选择的犯罪区间扩大，犯罪可能性P上升。再参照本节的假定：犯罪的直接损失和犯罪可能性P正相关，所以，犯罪的直接损失Di(P，Gi)上升，从而犯罪总损失L同样增加。这一系列由追诉时效制度引起的连锁反应，反映在图4中，就是Di(P，Gi)曲线和L曲线分别上移至用虚线表示的Di′(P，Gi)和L′。社会公众仍按照总损失最小的标准选择预防成本投入水平，最终产生最优决策Gi*′(位于L′曲线的最低点)，而Gi*′&gt;Gi*。</w:t>
      </w:r>
    </w:p>
    <w:p w14:paraId="20AE1F0C">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不难发现，追诉时效制度对于社会公众预防决策的影响是：由于犯罪可能性的增加(在社会生活中可以反映为犯罪率的上升)，社会公众不得不投入更多的成本用于预防可能遭到的犯罪损失。</w:t>
      </w:r>
    </w:p>
    <w:p w14:paraId="77AD28F2">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4.司法资源投入决策分析</w:t>
      </w:r>
    </w:p>
    <w:p w14:paraId="45264D07">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国家的司法机构通过施加刑罚或可能施加刑罚来预防和惩治犯罪。在分析刑罚的效率问题之前，有必要先解释刑罚的含义。刑罚应该是一种包含以下五项因素的惩罚机制：刑罚必须包含痛苦或通常被认为不快的其他后果；刑罚必须适用于违法行为；刑罚必须是违法者实施违法行为的后果；刑罚必须是有意施加的；刑罚必须由法律制度确定的权威机构施加和执行[17](P5)。刑法蕴涵的刑罚机制在其作用过程中将耗费大量司法资源，而一国司法机构掌握的司法资源总是有限的，经济学所说的资源稀缺问题同样存在，所以，司法机构必须从刑罚成本和刑罚收益两方面入手加以权衡，实现有限的司法资源的最有效配置。</w:t>
      </w:r>
    </w:p>
    <w:p w14:paraId="14B37243">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按照波斯纳的观点，诉讼制度存在两类成本：诉讼制度的运行成本和错误的司法判决的成本[11](P717)。本文也据此将刑罚机制的成本分为直接成本和错误成本。</w:t>
      </w:r>
    </w:p>
    <w:p w14:paraId="28264987">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刑罚的直接成本源于刑事侦查、审查起诉、定罪量刑、执行刑罚等各个环节。如果撇开直接成本在以上各环节中投入的具体形态，单纯按照直接成本的目的划分，直接成本其实只用于刑罚的严厉性和刑罚的确定性，所有直接成本或者消耗于刑罚的严厉性(用于监狱等刑罚执行机构以便实行更为严厉的惩罚)或者消耗于刑罚的确定性(投入刑事警察、检察官、法官系统力求实现所有犯罪都能得到惩罚)。其中，前者所占的份额不容忽视。据统计，我国为执行刑罚对在押人犯的改造投资每年人均2000～3000元，远远高于国家对中小学的人均投资[18](P66)，而美国每年仅仅用于缓刑考验、假释和教化方面的开支就多达10亿美元[13](P68)。限于资源约束，司法机构只能在提高刑罚的严厉性和刑罚的确定性之间选择一种组合方式，就如边沁所说“刑罚的确定性越小、其严厉性就应该越大，</w:t>
      </w:r>
      <w:r>
        <w:rPr>
          <w:rFonts w:hint="eastAsia" w:ascii="MS Gothic" w:hAnsi="MS Gothic" w:eastAsia="MS Gothic" w:cs="MS Gothic"/>
          <w:szCs w:val="21"/>
          <w:lang w:bidi="ar"/>
        </w:rPr>
        <w:t>⋯⋯</w:t>
      </w:r>
      <w:r>
        <w:rPr>
          <w:rFonts w:hint="eastAsia" w:ascii="宋体" w:hAnsi="宋体" w:eastAsia="宋体" w:cs="宋体"/>
          <w:szCs w:val="21"/>
          <w:lang w:bidi="ar"/>
        </w:rPr>
        <w:t>刑罚越确定，所需严厉性越小”[15](P59)。反映在图5中，资源约束线R1、R2分别表示在不同资源约束条件下刑罚严厉性和刑罚确定性的组合，R2代表更高的司法资源投入水平，(X1，Y1)和(X2，Y2)表示在相同的司法资源投入水平下(低严厉性，高确定性)和(高严厉性，低确定性)两种不同组合。设置追诉时效制度以后刑罚的确定性降低，用于对追诉时效以外的犯罪人定罪量刑的司法资源得以节省。在司法资源投入水平不变的情况下，提高刑罚严厉性的直接成本获得增加，直观地描述，就是可以有更多的资源投入监狱等执行机构以便接纳刑期更长的犯罪人，以上过程在图5中可以表现为点(X1，Y1)向点(X2，Y2)的移动。</w:t>
      </w:r>
    </w:p>
    <w:p w14:paraId="1220829E">
      <w:pPr>
        <w:spacing w:line="300" w:lineRule="auto"/>
        <w:ind w:firstLine="440" w:firstLineChars="200"/>
        <w:rPr>
          <w:rFonts w:ascii="宋体" w:hAnsi="宋体" w:eastAsia="宋体" w:cs="宋体"/>
          <w:szCs w:val="21"/>
        </w:rPr>
      </w:pPr>
      <w:r>
        <w:rPr>
          <w:rFonts w:hint="eastAsia" w:ascii="宋体" w:hAnsi="宋体" w:eastAsia="宋体" w:cs="宋体"/>
          <w:szCs w:val="21"/>
          <w:lang w:bidi="ar"/>
        </w:rPr>
        <w:drawing>
          <wp:inline distT="0" distB="0" distL="114300" distR="114300">
            <wp:extent cx="3505200" cy="2695575"/>
            <wp:effectExtent l="0" t="0" r="0" b="22225"/>
            <wp:docPr id="32"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35"/>
                    <pic:cNvPicPr>
                      <a:picLocks noChangeAspect="1"/>
                    </pic:cNvPicPr>
                  </pic:nvPicPr>
                  <pic:blipFill>
                    <a:blip r:embed="rId104"/>
                    <a:stretch>
                      <a:fillRect/>
                    </a:stretch>
                  </pic:blipFill>
                  <pic:spPr>
                    <a:xfrm>
                      <a:off x="0" y="0"/>
                      <a:ext cx="3505200" cy="2695575"/>
                    </a:xfrm>
                    <a:prstGeom prst="rect">
                      <a:avLst/>
                    </a:prstGeom>
                    <a:noFill/>
                    <a:ln>
                      <a:noFill/>
                    </a:ln>
                  </pic:spPr>
                </pic:pic>
              </a:graphicData>
            </a:graphic>
          </wp:inline>
        </w:drawing>
      </w:r>
      <w:r>
        <w:rPr>
          <w:rFonts w:hint="eastAsia" w:ascii="宋体" w:hAnsi="宋体" w:eastAsia="宋体" w:cs="宋体"/>
          <w:szCs w:val="21"/>
          <w:lang w:bidi="ar"/>
        </w:rPr>
        <w:t xml:space="preserve"> </w:t>
      </w:r>
    </w:p>
    <w:p w14:paraId="16C6753F">
      <w:pPr>
        <w:spacing w:line="300" w:lineRule="auto"/>
        <w:ind w:firstLine="380" w:firstLineChars="200"/>
        <w:rPr>
          <w:rFonts w:ascii="宋体" w:hAnsi="宋体" w:eastAsia="宋体" w:cs="宋体"/>
          <w:szCs w:val="21"/>
        </w:rPr>
      </w:pPr>
      <w:r>
        <w:rPr>
          <w:rFonts w:hint="eastAsia" w:ascii="宋体" w:hAnsi="宋体" w:eastAsia="宋体" w:cs="宋体"/>
          <w:sz w:val="18"/>
          <w:szCs w:val="18"/>
          <w:lang w:bidi="ar"/>
        </w:rPr>
        <w:t xml:space="preserve">  图5资源约束下刑罚确定和严厉性的组合</w:t>
      </w:r>
    </w:p>
    <w:p w14:paraId="73B3611A">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对于错误成本，如前文所述，贝勒斯认为刑事诉讼中让无罪者遭受刑罚比让有罪者逃避刑罚危害更严重、错误成本更高，追诉时效制度是避免出现无罪者遭受刑罚的有效途径之一，可以减少错误成本的支出。但是，西方经济学分析法学对于错误成本的分析完全是一种纯理性的思考，错误成本不能直观衡量，贝勒斯在“让无罪者遭受刑罚”和“让有罪者逃避刑罚”之间“两害相权取其轻”，本身就是难以取得实践依据的判断，至于追诉时效制度到底可以减少多少错误成本的问题根本无法得到答案；贝勒斯也承认“偶尔惩罚无辜者的刑法制度将增进安全，因为错误在所难免，确保不惩罚无辜者的唯一方法是不惩罚任何人”[10](P336)，这显然又是不可能的，所以，本文的分析只能暂时排除错误成本的因素。</w:t>
      </w:r>
    </w:p>
    <w:p w14:paraId="60D753B7">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刑罚收益是“适用刑罚对于刑罚目的实现所产生的客观结果”[19](P350)，讨论刑罚的收益，无疑将牵涉到刑罚目的这一刑罚理论的重要问题。刑罚目的问题上，长期存在报应刑论与预防刑论之争[20]，从经济学的立场来看，通过“报应犯罪行为的害恶，给犯罪人以惩罚，以其痛苦来均衡犯罪人的罪责，从而实现正义的理念”[21]的报应刑论，更为关注对刑罚的道义解释和法理解释，无助于阐明对社会资源配置的影响，因而我们的立论更倾向于预防刑论。正如贝卡里亚所说的，“刑罚的目的仅仅在于：阻止罪犯再重新侵害公民，并规诫其他人不要重蹈覆辙”[16](P42)，“预防犯罪比惩罚犯罪更高明，这乃是一切优秀立法的主要目的，从全面计量生活的幸福和灾难来讲，立法是一门艺术，它引导人们去享受最大程度的幸福，或者说最大限度地减少人们可能遭遇的不幸”[16](P104)。</w:t>
      </w:r>
    </w:p>
    <w:p w14:paraId="452118E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drawing>
          <wp:inline distT="0" distB="0" distL="114300" distR="114300">
            <wp:extent cx="3867150" cy="2581275"/>
            <wp:effectExtent l="0" t="0" r="19050" b="9525"/>
            <wp:docPr id="33"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34"/>
                    <pic:cNvPicPr>
                      <a:picLocks noChangeAspect="1"/>
                    </pic:cNvPicPr>
                  </pic:nvPicPr>
                  <pic:blipFill>
                    <a:blip r:embed="rId105"/>
                    <a:stretch>
                      <a:fillRect/>
                    </a:stretch>
                  </pic:blipFill>
                  <pic:spPr>
                    <a:xfrm>
                      <a:off x="0" y="0"/>
                      <a:ext cx="3867150" cy="2581275"/>
                    </a:xfrm>
                    <a:prstGeom prst="rect">
                      <a:avLst/>
                    </a:prstGeom>
                    <a:noFill/>
                    <a:ln>
                      <a:noFill/>
                    </a:ln>
                  </pic:spPr>
                </pic:pic>
              </a:graphicData>
            </a:graphic>
          </wp:inline>
        </w:drawing>
      </w:r>
      <w:r>
        <w:rPr>
          <w:rFonts w:hint="eastAsia" w:ascii="宋体" w:hAnsi="宋体" w:eastAsia="宋体" w:cs="宋体"/>
          <w:szCs w:val="21"/>
          <w:lang w:bidi="ar"/>
        </w:rPr>
        <w:t xml:space="preserve"> </w:t>
      </w:r>
    </w:p>
    <w:p w14:paraId="740D6EF3">
      <w:pPr>
        <w:spacing w:line="300" w:lineRule="auto"/>
        <w:ind w:firstLine="380" w:firstLineChars="200"/>
        <w:rPr>
          <w:rFonts w:ascii="宋体" w:hAnsi="宋体" w:eastAsia="宋体" w:cs="宋体"/>
          <w:sz w:val="18"/>
          <w:szCs w:val="18"/>
        </w:rPr>
      </w:pPr>
      <w:r>
        <w:rPr>
          <w:rFonts w:hint="eastAsia" w:ascii="宋体" w:hAnsi="宋体" w:eastAsia="宋体" w:cs="宋体"/>
          <w:sz w:val="18"/>
          <w:szCs w:val="18"/>
          <w:lang w:bidi="ar"/>
        </w:rPr>
        <w:t xml:space="preserve">   图6等收益线</w:t>
      </w:r>
    </w:p>
    <w:p w14:paraId="37BB580F">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如果以预防犯罪作为实施刑罚的主要目的，那么，刑罚收益可以简单地视为犯罪的减少。取得刑罚收益的途径如前文所述，是通过刑罚严厉性和刑罚确定性两大手段。图6[1](P744)中的等收益线表示刑罚收益保持不变时，刑罚严厉性和刑罚确定性的组合，E1上任何一点的位置移动只是表明刑罚确定性的减少(或增加)被刑罚严厉性的增加(或减少)所替代，而E2代表了比E1更高的刑罚收益水平，E2线上刑罚严厉性与刑罚确定性的组合所减少的犯罪数量多于E1。</w:t>
      </w:r>
    </w:p>
    <w:p w14:paraId="481F2672">
      <w:pPr>
        <w:spacing w:line="300" w:lineRule="auto"/>
        <w:ind w:firstLine="440" w:firstLineChars="200"/>
        <w:rPr>
          <w:rFonts w:ascii="宋体" w:hAnsi="宋体" w:eastAsia="宋体" w:cs="宋体"/>
          <w:szCs w:val="21"/>
        </w:rPr>
      </w:pPr>
      <w:r>
        <w:rPr>
          <w:rFonts w:hint="eastAsia" w:ascii="宋体" w:hAnsi="宋体" w:eastAsia="宋体" w:cs="宋体"/>
          <w:szCs w:val="21"/>
          <w:lang w:bidi="ar"/>
        </w:rPr>
        <w:drawing>
          <wp:inline distT="0" distB="0" distL="114300" distR="114300">
            <wp:extent cx="2781300" cy="2091055"/>
            <wp:effectExtent l="0" t="0" r="12700" b="17145"/>
            <wp:docPr id="34"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33"/>
                    <pic:cNvPicPr>
                      <a:picLocks noChangeAspect="1"/>
                    </pic:cNvPicPr>
                  </pic:nvPicPr>
                  <pic:blipFill>
                    <a:blip r:embed="rId106"/>
                    <a:stretch>
                      <a:fillRect/>
                    </a:stretch>
                  </pic:blipFill>
                  <pic:spPr>
                    <a:xfrm>
                      <a:off x="0" y="0"/>
                      <a:ext cx="2781300" cy="2091055"/>
                    </a:xfrm>
                    <a:prstGeom prst="rect">
                      <a:avLst/>
                    </a:prstGeom>
                    <a:noFill/>
                    <a:ln>
                      <a:noFill/>
                    </a:ln>
                  </pic:spPr>
                </pic:pic>
              </a:graphicData>
            </a:graphic>
          </wp:inline>
        </w:drawing>
      </w:r>
    </w:p>
    <w:p w14:paraId="71AFACCD">
      <w:pPr>
        <w:spacing w:line="300" w:lineRule="auto"/>
        <w:ind w:firstLine="440" w:firstLineChars="200"/>
        <w:rPr>
          <w:rFonts w:ascii="宋体" w:hAnsi="宋体" w:eastAsia="宋体" w:cs="宋体"/>
          <w:sz w:val="18"/>
          <w:szCs w:val="18"/>
        </w:rPr>
      </w:pPr>
      <w:r>
        <w:rPr>
          <w:rFonts w:hint="eastAsia" w:ascii="宋体" w:hAnsi="宋体" w:eastAsia="宋体" w:cs="宋体"/>
          <w:szCs w:val="21"/>
          <w:lang w:bidi="ar"/>
        </w:rPr>
        <w:t xml:space="preserve">  </w:t>
      </w:r>
      <w:r>
        <w:rPr>
          <w:rFonts w:hint="eastAsia" w:ascii="宋体" w:hAnsi="宋体" w:eastAsia="宋体" w:cs="宋体"/>
          <w:sz w:val="18"/>
          <w:szCs w:val="18"/>
          <w:lang w:bidi="ar"/>
        </w:rPr>
        <w:t>图7刑罚确定性和严厉性的最优组合</w:t>
      </w:r>
    </w:p>
    <w:p w14:paraId="72A0626F">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明确了刑罚成本和刑罚收益，就不难判断司法机构在司法资源约束下实现资源有效配置的机制。合并图6和图5如图7所示，在现有司法资源投入水平R0下，切点处刑罚严厉性和刑罚确定性的组合(X*，Y*)无疑是最优的资源配置方式，等收益线E0上的其他点如(X1，Y1)虽然可以取得同样的刑罚收益，但是却需要更高的资源水平R1。如前文所述，设置追诉时效使得刑罚严厉性和确定性的组合由(X*，Y*)沿资源约束线R0向(X2，Y2)移动，虽然(X2，Y2)所需的资源投入水平不变，但是(X2，Y2)位于等收益线E1上，收益水平低于(X*，Y*)，因此，追诉时效制度降低了司法资源配置的效率。</w:t>
      </w:r>
    </w:p>
    <w:p w14:paraId="4C70AB9D">
      <w:pPr>
        <w:spacing w:line="300" w:lineRule="auto"/>
        <w:ind w:firstLine="440" w:firstLineChars="200"/>
        <w:rPr>
          <w:rFonts w:ascii="宋体" w:hAnsi="宋体" w:eastAsia="宋体" w:cs="宋体"/>
          <w:b/>
          <w:szCs w:val="21"/>
        </w:rPr>
      </w:pPr>
      <w:r>
        <w:rPr>
          <w:rFonts w:hint="eastAsia" w:ascii="宋体" w:hAnsi="宋体" w:eastAsia="宋体" w:cs="宋体"/>
          <w:szCs w:val="21"/>
          <w:lang w:bidi="ar"/>
        </w:rPr>
        <w:t>在上述分析中隐含了伴随刑罚确定性的降低、刑罚严厉性可以无限提高这样一个假定，这个假定在司法实践中也是不现实的，刑罚严厉性本身存在一个上限。首先，过于严厉的刑罚将使人们“在犯罪活动的边缘时摈除社会所需要的行为”[11](P294)，或者说“矫枉过正”：假设超速驾车的相应刑罚是死刑，可能绝大多数人会把汽车开得极慢甚至不驾车，以避免巨大的意外违法或错误定罪的风险。其次，过严的刑罚可能促使犯罪人采取更为严重的犯罪行为。比如，盗窃将受到与谋杀同样的惩罚，那么小偷会毫不犹豫地杀死所有证人；又如，未遂和既遂的惩罚相同，那么，开枪未击中受害人的罪犯，还是尽量将受害人打死为好，因为即使受害人死亡，犯罪人也不会受到比未遂更重的刑罚。另外，刑罚严厉性实际效果还需一定的配套条件，单纯依靠过分严厉的刑罚，未必对抑制犯罪真正有效[22]。</w:t>
      </w:r>
    </w:p>
    <w:p w14:paraId="68C17534">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四、结论</w:t>
      </w:r>
    </w:p>
    <w:p w14:paraId="58190E17">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通过前文对犯罪人的犯罪决策，社会公众的预防决策和司法机构的司法资源投入决策的分析，可以发现设置追诉时效导致的刑罚确定性的降低会引起三方面的结果：犯罪人的犯罪可能性增加；社会公众投入过多的成本用于预防可能遭到的犯罪损失；有限的司法资源配置效率降低。这三种结果都意味着社会的净损失。</w:t>
      </w:r>
    </w:p>
    <w:p w14:paraId="3C577B8E">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从实证的角度同样可以得到说明，如《法和经济学》中提到经济学家艾萨克·埃里科用1940、1950、1960年美国抢劫罪的数据说明其他变量不变时，抢劫行为定罪概率越高，抢劫发生率越低；阿尔弗雷德·布鲁门斯坦和丹尼尔·纳詹对逃避征兵行为得出与艾萨克·埃里科类似的结论；肯尼恩·沃尔宾研究了1894～1967年英格兰和威尔士的时间数列资料发现，犯罪率是刑罚概率与严厉程度的反比函数。</w:t>
      </w:r>
    </w:p>
    <w:p w14:paraId="3D9D745D">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“刑罚的防范作用，决不在于刑罚的残酷，而在于有罪必究。重要的不是对犯罪行为处以重刑，而是要把每一桩罪行都揭发出来”[23]，刑罚的确定性是和刑罚的严厉性同等重要的刑罚制裁手段。</w:t>
      </w:r>
    </w:p>
    <w:p w14:paraId="7B8F2657">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在司法资源有限的现实环境下，刑罚的确定性与严厉性一样，是提高司法资源配置效率、增进社会福利的重要手段，而在实践中出于种种考虑，刑罚确定性的作用往往被忽视，或者为刑罚严厉性的提高所替代，制定追诉时效制度就是一例。也许追诉时效制度在传统法理上有其存在的必要，但以经济学的视角考察，追诉时效制度并不是一种有效率的制度安排。</w:t>
      </w:r>
    </w:p>
    <w:p w14:paraId="0F5BA9EA">
      <w:pPr>
        <w:spacing w:line="300" w:lineRule="auto"/>
        <w:ind w:firstLine="440" w:firstLineChars="200"/>
        <w:rPr>
          <w:rFonts w:ascii="宋体" w:hAnsi="宋体" w:eastAsia="宋体" w:cs="宋体"/>
          <w:szCs w:val="21"/>
        </w:rPr>
      </w:pPr>
    </w:p>
    <w:p w14:paraId="1C51162B">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参考文献：</w:t>
      </w:r>
    </w:p>
    <w:p w14:paraId="001290A1">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[1][美]考特，尤伦.法和经济学[M].上海：上海三联书店，上海人民出版社，1994.</w:t>
      </w:r>
    </w:p>
    <w:p w14:paraId="2F325A32">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[2]张乃根.经济学分析法学[M].上海：上海三联书店，上海人民出版社，1995.</w:t>
      </w:r>
    </w:p>
    <w:p w14:paraId="4D1E84F1">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[3][美]博登海默.法理学——法哲学及其方法[M].北京：华夏出版社，1987.</w:t>
      </w:r>
    </w:p>
    <w:p w14:paraId="2E40A0D3">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[4]高铭暄，马克昌.刑法学[M].北京：北京大学出版社，2000.</w:t>
      </w:r>
    </w:p>
    <w:p w14:paraId="58FFD6EF">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[5]于志刚.追诉时效制度比较研究[M].北京：法律出版社，1998.</w:t>
      </w:r>
    </w:p>
    <w:p w14:paraId="43D87F9C">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[6]马克昌.刑罚通论[M].武汉：武汉大学出版社，1995.</w:t>
      </w:r>
    </w:p>
    <w:p w14:paraId="203A7785">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[7]赵秉志，于志刚.论国际刑法中的追诉时效制度[J].华东政法学院学报，2001，(2).</w:t>
      </w:r>
    </w:p>
    <w:p w14:paraId="7B6C5A46">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[8]张明楷.刑法学(上)[M].北京：法律出版社，1997.</w:t>
      </w:r>
    </w:p>
    <w:p w14:paraId="00F1C874">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[9]蒋兰香.法时效延长制度质疑[J].天津市政法管理干部学院学报，2000，(4).</w:t>
      </w:r>
    </w:p>
    <w:p w14:paraId="5054E1D9">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[10][美]贝勒斯.法律的原则[M].北京：中国大百科全书出版社，1996.</w:t>
      </w:r>
    </w:p>
    <w:p w14:paraId="17DCEC4A">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[11][美]波斯纳.法律的经济分析[M].北京：中国大百科全书出版社，1997.</w:t>
      </w:r>
    </w:p>
    <w:p w14:paraId="18F54E1F">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[12]陈正云.刑法的经济分析[M].北京：中国法制出版社，1997.</w:t>
      </w:r>
    </w:p>
    <w:p w14:paraId="4577960C">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[13][美]贝克尔.人类行为的经济分析[M].上海：上海三联书店，上海人民出版社，1995.</w:t>
      </w:r>
    </w:p>
    <w:p w14:paraId="65A44814">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[14][法]斯特法尼.法国刑法总论精义[M].北京：中国政法大学出版社，1998.</w:t>
      </w:r>
    </w:p>
    <w:p w14:paraId="4EE3123A">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[15][英]边沁.立法理论——刑法典原理[M].北京：中国人民公安大学出版社，1993.</w:t>
      </w:r>
    </w:p>
    <w:p w14:paraId="31D480E9">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[16][意]贝卡里亚.论犯罪与刑罚[M].北京：中国大百科全书出版社，1993.</w:t>
      </w:r>
    </w:p>
    <w:p w14:paraId="0FA00206">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[17][美]哈特.惩罚与责任[M].北京：华夏出版社，1989.</w:t>
      </w:r>
    </w:p>
    <w:p w14:paraId="35882EA7">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[18]谢望原.刑罚价值论[M].北京：中国检察出版社，1999.</w:t>
      </w:r>
    </w:p>
    <w:p w14:paraId="5AE229DB">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[19]樊凤林.刑罚通论[M].北京：中国政法大学出版社，1994.</w:t>
      </w:r>
    </w:p>
    <w:p w14:paraId="01A4D718">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[20]陈兴良.刑罚目的新论[J].华东政法学院学报，2001，(3).</w:t>
      </w:r>
    </w:p>
    <w:p w14:paraId="5F0866EA">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[21]田宏杰.刑罚目的新论[J].中国政法大学学报，2000，(6).</w:t>
      </w:r>
    </w:p>
    <w:p w14:paraId="6F9B0AA9">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[22]张文，等.刑事责任要义[M].北京：北京大学出版社，1997.</w:t>
      </w:r>
    </w:p>
    <w:p w14:paraId="0559620D">
      <w:pPr>
        <w:spacing w:line="27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[23]列宁全集(第4卷)[M].北京：人民出版社，1958.</w:t>
      </w:r>
    </w:p>
    <w:p w14:paraId="60A5ADBC">
      <w:pPr>
        <w:spacing w:line="300" w:lineRule="auto"/>
        <w:ind w:firstLine="440" w:firstLineChars="200"/>
        <w:rPr>
          <w:rFonts w:ascii="宋体" w:hAnsi="宋体" w:eastAsia="宋体" w:cs="宋体"/>
          <w:szCs w:val="21"/>
        </w:rPr>
      </w:pPr>
    </w:p>
    <w:p w14:paraId="5EA699F1">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（原载《云南大学学报》(社会科学版)2005年第五期，第二作者为管文杰）</w:t>
      </w:r>
      <w:r>
        <w:rPr>
          <w:rFonts w:hint="eastAsia" w:ascii="宋体" w:hAnsi="宋体" w:eastAsia="宋体" w:cs="宋体"/>
          <w:szCs w:val="21"/>
          <w:lang w:bidi="ar"/>
        </w:rPr>
        <w:br w:type="page"/>
      </w:r>
    </w:p>
    <w:p w14:paraId="1B6B4714">
      <w:pPr>
        <w:spacing w:before="147" w:beforeLines="50" w:after="147" w:afterLines="50" w:line="300" w:lineRule="auto"/>
        <w:ind w:firstLine="660" w:firstLineChars="200"/>
        <w:jc w:val="center"/>
        <w:outlineLvl w:val="1"/>
        <w:rPr>
          <w:rFonts w:ascii="黑体" w:hAnsi="宋体" w:eastAsia="黑体" w:cs="黑体"/>
          <w:sz w:val="32"/>
          <w:szCs w:val="36"/>
        </w:rPr>
      </w:pPr>
      <w:bookmarkStart w:id="540" w:name="_Toc28515"/>
      <w:bookmarkStart w:id="541" w:name="_Toc111148955"/>
      <w:bookmarkStart w:id="542" w:name="_Toc411187655"/>
      <w:bookmarkStart w:id="543" w:name="_Toc591581467"/>
      <w:r>
        <w:rPr>
          <w:rFonts w:hint="eastAsia" w:ascii="黑体" w:hAnsi="宋体" w:eastAsia="黑体" w:cs="黑体"/>
          <w:sz w:val="32"/>
          <w:szCs w:val="36"/>
          <w:lang w:bidi="ar"/>
        </w:rPr>
        <w:t>1</w:t>
      </w:r>
      <w:r>
        <w:rPr>
          <w:rFonts w:ascii="黑体" w:hAnsi="宋体" w:eastAsia="黑体" w:cs="黑体"/>
          <w:sz w:val="32"/>
          <w:szCs w:val="36"/>
          <w:lang w:bidi="ar"/>
        </w:rPr>
        <w:t>7</w:t>
      </w:r>
      <w:r>
        <w:rPr>
          <w:rFonts w:hint="eastAsia" w:ascii="黑体" w:hAnsi="宋体" w:eastAsia="黑体" w:cs="黑体"/>
          <w:sz w:val="32"/>
          <w:szCs w:val="36"/>
          <w:lang w:bidi="ar"/>
        </w:rPr>
        <w:t>论中国主流经济学的现代转型</w:t>
      </w:r>
      <w:bookmarkEnd w:id="540"/>
      <w:bookmarkEnd w:id="541"/>
      <w:bookmarkEnd w:id="542"/>
      <w:bookmarkEnd w:id="543"/>
    </w:p>
    <w:p w14:paraId="129E5133">
      <w:pPr>
        <w:spacing w:line="336" w:lineRule="auto"/>
        <w:ind w:firstLine="440" w:firstLineChars="200"/>
        <w:rPr>
          <w:rFonts w:ascii="宋体" w:hAnsi="宋体" w:eastAsia="宋体" w:cs="宋体"/>
        </w:rPr>
      </w:pPr>
      <w:r>
        <w:rPr>
          <w:rFonts w:hint="eastAsia" w:ascii="宋体" w:hAnsi="宋体" w:eastAsia="宋体" w:cs="宋体"/>
          <w:szCs w:val="22"/>
          <w:lang w:bidi="ar"/>
        </w:rPr>
        <w:t>新中国建立以来，马克思主义政治经济学有着重大发展。其中《经济学动态》逐步发挥了重要的甚至是首要的学术作用和影响，现已公认为马克思主义经济学家最喜好的理论经济学刊物。在21世纪全球现代马克思主义经济学的传承和创新以及超越现代西方经济学的过程中，《经济学动态》将与美国的《激进政治经济学》、英国的《资本与阶级》、日本的《经济理论季刊》等世界学术顶尖的著名刊物一起，勾画出一幅靓丽的和体现“劳动的政治经济学”（马克思语）的学术风景线，以回应《美国经济评论》等“资本的政治经济学”思想体系。</w:t>
      </w:r>
    </w:p>
    <w:p w14:paraId="75C41639">
      <w:pPr>
        <w:spacing w:line="336" w:lineRule="auto"/>
        <w:ind w:firstLine="440" w:firstLineChars="200"/>
        <w:rPr>
          <w:rFonts w:ascii="宋体" w:hAnsi="宋体" w:eastAsia="宋体" w:cs="宋体"/>
        </w:rPr>
      </w:pPr>
      <w:r>
        <w:rPr>
          <w:rFonts w:hint="eastAsia" w:ascii="宋体" w:hAnsi="宋体" w:eastAsia="宋体" w:cs="宋体"/>
          <w:szCs w:val="22"/>
          <w:lang w:bidi="ar"/>
        </w:rPr>
        <w:t>从新中国成立到1976年这段时期，由于当时的社会背景和经济条件，政治对理论经济学的发展起着某种决定性的作用，因而可以将这一时期划分为两个阶段。第一个阶段是1949至1965年，是新中国经济理论的初期发展阶段，为我国经济理论的发展奠定了一个基本的框架。在这一阶段，除了阐述马列主义经济学理论和当代资本主义经济理论之外，重点是建立和探讨社会主义政治经济学理论，而西方经济学理论体系则主要作为批判对象而存在。这一阶段经济理论的发展大体上又可以分为两条线索：一条线索是承袭了“五四”以来马克思主义经济学在中国的传播和研究；另一条线索是引入苏联政治经济学体系。第二个阶段是从1966至1976年，我国经济理论的发展处于停滞阶段。在“文化大革命”的十年中，经济学研究大多是服从于当时的政治气氛，而对马克思主义经济学进行歪曲和极左地所谓“发展”。改革开放以来，现代马克思主义政治经济学（以下简称现代政治经济学或现代马克思主义经济学）得到了大发展，呈现十分繁荣的学术局面。</w:t>
      </w:r>
    </w:p>
    <w:p w14:paraId="475998E4">
      <w:pPr>
        <w:spacing w:line="336" w:lineRule="auto"/>
        <w:ind w:firstLine="50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lang w:bidi="ar"/>
        </w:rPr>
        <w:t>一、传统政治经济学的初步变革</w:t>
      </w:r>
    </w:p>
    <w:p w14:paraId="07625C74">
      <w:pPr>
        <w:spacing w:line="336" w:lineRule="auto"/>
        <w:ind w:firstLine="440" w:firstLineChars="200"/>
        <w:rPr>
          <w:rFonts w:ascii="宋体" w:hAnsi="宋体" w:eastAsia="宋体" w:cs="宋体"/>
        </w:rPr>
      </w:pPr>
      <w:r>
        <w:rPr>
          <w:rFonts w:hint="eastAsia" w:ascii="宋体" w:hAnsi="宋体" w:eastAsia="宋体" w:cs="宋体"/>
          <w:szCs w:val="22"/>
          <w:lang w:bidi="ar"/>
        </w:rPr>
        <w:t>1976年粉碎了“四人帮”，特别是1978后底的中共十一届三中全会，标志着从政治到经济拨乱反正的开始。在“实践是检验真理唯一标准”讨论的推动下，1979年经济理论界展开了“什么是社会主义生产目的”的大讨论。这是一场从中央到地方、从理论部门到实际部门涉及面极其广泛的经济问题大讨论。</w:t>
      </w:r>
    </w:p>
    <w:p w14:paraId="5F03B01D">
      <w:pPr>
        <w:spacing w:line="336" w:lineRule="auto"/>
        <w:ind w:firstLine="440" w:firstLineChars="200"/>
        <w:rPr>
          <w:rFonts w:ascii="宋体" w:hAnsi="宋体" w:eastAsia="宋体" w:cs="宋体"/>
        </w:rPr>
      </w:pPr>
      <w:r>
        <w:rPr>
          <w:rFonts w:hint="eastAsia" w:ascii="宋体" w:hAnsi="宋体" w:eastAsia="宋体" w:cs="宋体"/>
          <w:szCs w:val="22"/>
          <w:lang w:bidi="ar"/>
        </w:rPr>
        <w:t>1979年4月，在江苏省无锡市举行的价值规律理论讨论会，是中共十一届三中全会以来，也是解放以来中国经济学界规模最大的一次盛会。国内的一批主要经济学家，如北京的孙冶方、许涤新、薛暮桥、于光远、宋涛、陶大镛、刘国光、于祖尧，上海的蒋学模、张薰华，东北的关梦觉，广东的卓炯等都参加了，而且会议的学术影响极其深远。因为与会者不仅是一般地分析了价值规律的概念及其在社会主义经济中的作用，更重要的是涉及到了计划与市场的关系，提出了社会主义经济必须是计划调节与市场调节相结合的观点，对推动中国经济体制的改革，发挥了相当有益的影响。</w:t>
      </w:r>
    </w:p>
    <w:p w14:paraId="2B21F9C8">
      <w:pPr>
        <w:spacing w:line="336" w:lineRule="auto"/>
        <w:ind w:firstLine="440" w:firstLineChars="200"/>
        <w:rPr>
          <w:rFonts w:ascii="宋体" w:hAnsi="宋体" w:eastAsia="宋体" w:cs="宋体"/>
        </w:rPr>
      </w:pPr>
      <w:r>
        <w:rPr>
          <w:rFonts w:hint="eastAsia" w:ascii="宋体" w:hAnsi="宋体" w:eastAsia="宋体" w:cs="宋体"/>
          <w:szCs w:val="22"/>
          <w:lang w:bidi="ar"/>
        </w:rPr>
        <w:t>非常值得一提的理论突破是，在这次会议上，中国社科院经济研究所于祖尧研究员提交《试论社会主义市场经济》一文，是国内最早正式提出“社会主义市场经济”概念和理论的，指出“社会主义既然实行商品制度，那末，社会主义经济在本质上就不能不是一种特殊的市场经济，只不过它的性质和特征同资本主义市场经济有原则的区别。……为了加快实现四个观代化，搞好经济改革，应当怎样正确地对待市场经济，这是我们经济学界需要认真研究的重大课题。”（《经济研究资料》第50期(1979年3月28日，并编入会议文集《社会主义经济中计划与市场的关系》，中国社会科学出版社1980年版。)可见，现在坚定的马克思主义经济学家于祖尧（套用一句流行的话，应当是“于市场”）才真正是我国社会主义市场经济理论的最早倡导者和杰出贡献者。</w:t>
      </w:r>
    </w:p>
    <w:p w14:paraId="4BE69672">
      <w:pPr>
        <w:spacing w:line="336" w:lineRule="auto"/>
        <w:ind w:firstLine="440" w:firstLineChars="200"/>
        <w:rPr>
          <w:rFonts w:ascii="宋体" w:hAnsi="宋体" w:eastAsia="宋体" w:cs="宋体"/>
        </w:rPr>
      </w:pPr>
      <w:r>
        <w:rPr>
          <w:rFonts w:hint="eastAsia" w:ascii="宋体" w:hAnsi="宋体" w:eastAsia="宋体" w:cs="宋体"/>
          <w:szCs w:val="22"/>
          <w:lang w:bidi="ar"/>
        </w:rPr>
        <w:t>也是在七十年代末，经济学界展开了对按劳分配与物质利益原则的讨论。这场讨论高举马列主义关于物质利益原则的大旗，对传统体制特别是文化大革命时期某些平均主义思潮展开了深入的批判，为以后体制改革中正确贯彻按劳分配原则，拉开分配差距打下了良好的基础。</w:t>
      </w:r>
    </w:p>
    <w:p w14:paraId="1F659C3A">
      <w:pPr>
        <w:spacing w:line="336" w:lineRule="auto"/>
        <w:ind w:firstLine="440" w:firstLineChars="200"/>
        <w:rPr>
          <w:rFonts w:ascii="宋体" w:hAnsi="宋体" w:eastAsia="宋体" w:cs="宋体"/>
        </w:rPr>
      </w:pPr>
      <w:r>
        <w:rPr>
          <w:rFonts w:hint="eastAsia" w:ascii="宋体" w:hAnsi="宋体" w:eastAsia="宋体" w:cs="宋体"/>
          <w:szCs w:val="22"/>
          <w:lang w:bidi="ar"/>
        </w:rPr>
        <w:t>在八十年代初，有关生产力经济学问题的讨论，吸引了越来越多学者的注意。这既是起因于对六十年代初开始的大批所谓“唯生产力论”思潮的拨乱反正，为李平心等学者恢复名誉，更是由于中共十一届三中全会以后，以经济建设为中心的指导思想确立，大力发展社会生产力已成为当务之急。北京、上海、东北、四川、广东等地的学者，积极参与了这场讨论，发表了大量有影响的论著。</w:t>
      </w:r>
    </w:p>
    <w:p w14:paraId="5F006949">
      <w:pPr>
        <w:spacing w:line="336" w:lineRule="auto"/>
        <w:ind w:firstLine="440" w:firstLineChars="200"/>
        <w:rPr>
          <w:rFonts w:ascii="宋体" w:hAnsi="宋体" w:eastAsia="宋体" w:cs="宋体"/>
        </w:rPr>
      </w:pPr>
      <w:r>
        <w:rPr>
          <w:rFonts w:hint="eastAsia" w:ascii="宋体" w:hAnsi="宋体" w:eastAsia="宋体" w:cs="宋体"/>
          <w:szCs w:val="22"/>
          <w:lang w:bidi="ar"/>
        </w:rPr>
        <w:t>自七十年代末至八十年代上半期开始，全国各地普遍兴起了一个学习与研究马克思《资本论》的热潮。应该说，这是经济理论上拨乱反正中的极其关键一环，或者说是马克思主义经济理论上的一次重要的正本清源泉。一时间，大批政治经济学教师和研究人员都先后加入到《资本论》研究中来，并涌现了一大批高质量的《资本论》研究成果，其中卫兴华、胡钧、张薰华、洪远朋、王惟中、洪大璘、陈征等教授的研究著作，更是引人注目。宋涛教授主编一部《&lt;资本论&gt;辞典》的出版，汇集了全国《资本论》研究者的心血结晶，更把《资本论》及与当代经济现实的研究推到了新的高潮。</w:t>
      </w:r>
    </w:p>
    <w:p w14:paraId="43CC5C1B">
      <w:pPr>
        <w:spacing w:line="336" w:lineRule="auto"/>
        <w:ind w:firstLine="440" w:firstLineChars="200"/>
        <w:rPr>
          <w:rFonts w:ascii="宋体" w:hAnsi="宋体" w:eastAsia="宋体" w:cs="宋体"/>
        </w:rPr>
      </w:pPr>
      <w:r>
        <w:rPr>
          <w:rFonts w:hint="eastAsia" w:ascii="宋体" w:hAnsi="宋体" w:eastAsia="宋体" w:cs="宋体"/>
          <w:szCs w:val="22"/>
          <w:lang w:bidi="ar"/>
        </w:rPr>
        <w:t>第二件非常值得一提的理论突破是，1983年，中央党校原副校长苏星教授在《红旗》第14期上发表的《试论工业公司》一文中明确指出：“社会主义社会的物质技术基础也是社会化的大生产。在消灭生产资料的资本主义私有制，建立生产资料公有制以后，依然需要利用股份公司和托拉斯一类的社会化大生产组织形式，利用它们的管理经验，使之为社会主义经济服务。……股份公司一类经济组织，作为社会化生产的组织形式，按理应当更适合于生产资料公有制的性质。因为在生产资料公有制的条件下，企业之间的根本利益是一致的，它们在国家政策的引导下，可以遵循自愿互利的原则，广泛组织公司和其他各种形式的联合体，不存在私有制的限制。当然，社会主义的公司和资本主义的公司在性质上是根本不同的。我们像资本主义的公司和托拉斯学习，主要是学习它们组织社会化大生产，特别是专业化和联合的经验，而不能照抄照搬。”</w:t>
      </w:r>
    </w:p>
    <w:p w14:paraId="6AD4AEF5">
      <w:pPr>
        <w:spacing w:line="336" w:lineRule="auto"/>
        <w:ind w:firstLine="440" w:firstLineChars="200"/>
        <w:rPr>
          <w:rFonts w:ascii="宋体" w:hAnsi="宋体" w:eastAsia="宋体" w:cs="宋体"/>
        </w:rPr>
      </w:pPr>
      <w:r>
        <w:rPr>
          <w:rFonts w:hint="eastAsia" w:ascii="宋体" w:hAnsi="宋体" w:eastAsia="宋体" w:cs="宋体"/>
          <w:szCs w:val="22"/>
          <w:lang w:bidi="ar"/>
        </w:rPr>
        <w:t>可见，查阅书面文献，现在坚定的著名马克思主义经济学家苏星（套用一句流行的话，应当是“苏股份”）才真正是我国社会主义股份制理论的最早倡导者和杰出贡献者。</w:t>
      </w:r>
    </w:p>
    <w:p w14:paraId="7ED12645">
      <w:pPr>
        <w:spacing w:line="336" w:lineRule="auto"/>
        <w:ind w:firstLine="440" w:firstLineChars="200"/>
        <w:rPr>
          <w:rFonts w:ascii="宋体" w:hAnsi="宋体" w:eastAsia="宋体" w:cs="宋体"/>
        </w:rPr>
      </w:pPr>
      <w:r>
        <w:rPr>
          <w:rFonts w:hint="eastAsia" w:ascii="宋体" w:hAnsi="宋体" w:eastAsia="宋体" w:cs="宋体"/>
          <w:szCs w:val="22"/>
          <w:lang w:bidi="ar"/>
        </w:rPr>
        <w:t>简言之，20世纪70年代后期和80年代前期是传统政治经济学的初步变革。其中，最有学术价值和现实意义的是，马克思主义政治经济学家正式提出了“社会主义市场经济”和“社会主义股份制”的理论。</w:t>
      </w:r>
    </w:p>
    <w:p w14:paraId="497AA3EB">
      <w:pPr>
        <w:spacing w:line="336" w:lineRule="auto"/>
        <w:ind w:firstLine="50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lang w:bidi="ar"/>
        </w:rPr>
        <w:t>二、传统政治经济学要转型为现代政治经济学</w:t>
      </w:r>
    </w:p>
    <w:p w14:paraId="368DC185">
      <w:pPr>
        <w:spacing w:line="336" w:lineRule="auto"/>
        <w:ind w:firstLine="440" w:firstLineChars="200"/>
        <w:rPr>
          <w:rFonts w:ascii="宋体" w:hAnsi="宋体" w:eastAsia="宋体" w:cs="宋体"/>
        </w:rPr>
      </w:pPr>
      <w:r>
        <w:rPr>
          <w:rFonts w:hint="eastAsia" w:ascii="宋体" w:hAnsi="宋体" w:eastAsia="宋体" w:cs="宋体"/>
          <w:szCs w:val="22"/>
          <w:lang w:bidi="ar"/>
        </w:rPr>
        <w:t>从20世纪80年代中期开始，随着社会主义有计划的商品经济体制的改革和开放的深入推进，西方经济学在我国的大量引进，经济理论和经济现实发生了重要变化。</w:t>
      </w:r>
    </w:p>
    <w:p w14:paraId="76CF015E">
      <w:pPr>
        <w:spacing w:line="336" w:lineRule="auto"/>
        <w:ind w:firstLine="440" w:firstLineChars="200"/>
        <w:rPr>
          <w:rFonts w:ascii="宋体" w:hAnsi="宋体" w:eastAsia="宋体" w:cs="宋体"/>
        </w:rPr>
      </w:pPr>
      <w:r>
        <w:rPr>
          <w:rFonts w:hint="eastAsia" w:ascii="宋体" w:hAnsi="宋体" w:eastAsia="宋体" w:cs="宋体"/>
          <w:szCs w:val="22"/>
          <w:lang w:bidi="ar"/>
        </w:rPr>
        <w:t>一是多元化的理论范式存在。各种理论思潮和流派纷纷涌入中国，特别是西方新古典经济学的引入，具有不同价值信念和学科群体的理论范式的存在，使得经典的政治经济学处于激烈的范式竞争之中。</w:t>
      </w:r>
    </w:p>
    <w:p w14:paraId="1B3B8025">
      <w:pPr>
        <w:spacing w:line="336" w:lineRule="auto"/>
        <w:ind w:firstLine="440" w:firstLineChars="200"/>
        <w:rPr>
          <w:rFonts w:ascii="宋体" w:hAnsi="宋体" w:eastAsia="宋体" w:cs="宋体"/>
        </w:rPr>
      </w:pPr>
      <w:r>
        <w:rPr>
          <w:rFonts w:hint="eastAsia" w:ascii="宋体" w:hAnsi="宋体" w:eastAsia="宋体" w:cs="宋体"/>
          <w:szCs w:val="22"/>
          <w:lang w:bidi="ar"/>
        </w:rPr>
        <w:t>二是经济学学科的细分。经济学的学科体系越来越庞大，政治经济学作为一门理论经济学已难以涵盖所有的经济学内容，这样就使政治经济学的纯粹理论色彩越来越突出。换言之，政治经济学不得不收缩阵地，将众多的经济学领域交由部门经济学和应用经济学去研究。如生产力布局的不均衡成为区域经济学的研究对象，随着价值规律的研究的深入出现了价格学等等。另一方面，政治经济学的研究对象和内容也越来越细化为各种学科，如研究所有制问题的产权经济学，研究文化领域经济问题的文化经济学，研究金融问题的金融学等等。</w:t>
      </w:r>
    </w:p>
    <w:p w14:paraId="5D3BF164">
      <w:pPr>
        <w:spacing w:line="336" w:lineRule="auto"/>
        <w:ind w:firstLine="440" w:firstLineChars="200"/>
        <w:rPr>
          <w:rFonts w:ascii="宋体" w:hAnsi="宋体" w:eastAsia="宋体" w:cs="宋体"/>
        </w:rPr>
      </w:pPr>
      <w:r>
        <w:rPr>
          <w:rFonts w:hint="eastAsia" w:ascii="宋体" w:hAnsi="宋体" w:eastAsia="宋体" w:cs="宋体"/>
          <w:szCs w:val="22"/>
          <w:lang w:bidi="ar"/>
        </w:rPr>
        <w:t>三是政治经济学与中国改革开放实践相适应。理论必须随着实践的发展而发展，政治经济学的研究内容也不断地密切联系中国改革开放的实践，如研究科学发展观、自主知识产权优势、经济和谐、节约规律等方面的新问题。毫无疑问，这不仅仅会提升现代政治经济学作中国理论经济学的地位，而且还会使现代政治经济学向实践敞开了一条创新之路。</w:t>
      </w:r>
    </w:p>
    <w:p w14:paraId="50852734">
      <w:pPr>
        <w:spacing w:line="336" w:lineRule="auto"/>
        <w:ind w:firstLine="440" w:firstLineChars="200"/>
        <w:rPr>
          <w:rFonts w:ascii="宋体" w:hAnsi="宋体" w:eastAsia="宋体" w:cs="宋体"/>
        </w:rPr>
      </w:pPr>
      <w:r>
        <w:rPr>
          <w:rFonts w:hint="eastAsia" w:ascii="宋体" w:hAnsi="宋体" w:eastAsia="宋体" w:cs="宋体"/>
          <w:szCs w:val="22"/>
          <w:lang w:bidi="ar"/>
        </w:rPr>
        <w:t>传统政治经济学的地位发生了动摇，这已经是不争的事实。那么，政治经济学如何转型发展和创新？我认为，以马克思经济学为基点同现代西方经济学理论进行科学整合或综合，这是一个头等高端的问题。如果我们从一种更宽广的视野来观察这个问题，就会发现，现代政治经济学和现代西方经济学虽然在某些市场经济理论和分析方法上有共同的认知，但在理论假定、核心概念、主导方法和价值信念等方面存有差异甚至对立。如现代政治经济学重视研究价值和财富的创造、实现和分配以及公有制与市场经济有机结合等问题，以便为生产关系变革、利益分配和更高效率找出基点和客观判断标准；相反，现代西方经济学则注重研究价格、利润的决定和变动趋势以及剩余索取权等问题，以便为寻找支配资源配置和私人资本与财富增长的规律性打下理论基点。</w:t>
      </w:r>
    </w:p>
    <w:p w14:paraId="006348B6">
      <w:pPr>
        <w:spacing w:line="336" w:lineRule="auto"/>
        <w:ind w:firstLine="440" w:firstLineChars="200"/>
        <w:rPr>
          <w:rFonts w:ascii="宋体" w:hAnsi="宋体" w:eastAsia="宋体" w:cs="宋体"/>
        </w:rPr>
      </w:pPr>
      <w:r>
        <w:rPr>
          <w:rFonts w:hint="eastAsia" w:ascii="宋体" w:hAnsi="宋体" w:eastAsia="宋体" w:cs="宋体"/>
          <w:szCs w:val="22"/>
          <w:lang w:bidi="ar"/>
        </w:rPr>
        <w:t>有的论著认为，马克思经济学科学地揭示了资本主义经济本质或根本经济制度的本质，而西方经济学科学地揭示了市场经济的本质，因而从分析市场经济来说，应当“以西方经济学为体”，这是不准确的。必须认识到，即使与资产阶级古典经济学相比，也是马克思经济学全面科学地揭示自由资本主义市场经济的发展本质、运行规律和主要机制；即使与新老凯恩斯主义的现代资产阶级经济学相比，也是后马克思的现代政治经济学较全面科学地揭示了多阶段垄断资本主义市场经济的发展本质、运行规律和主要机制，尽管马克思主义经济学和非马克思主义经济学都在继续发展和创新。</w:t>
      </w:r>
    </w:p>
    <w:p w14:paraId="7CBF498C">
      <w:pPr>
        <w:spacing w:line="336" w:lineRule="auto"/>
        <w:ind w:firstLine="440" w:firstLineChars="200"/>
        <w:rPr>
          <w:rFonts w:ascii="宋体" w:hAnsi="宋体" w:eastAsia="宋体" w:cs="宋体"/>
        </w:rPr>
      </w:pPr>
      <w:r>
        <w:rPr>
          <w:rFonts w:hint="eastAsia" w:ascii="宋体" w:hAnsi="宋体" w:eastAsia="宋体" w:cs="宋体"/>
          <w:szCs w:val="22"/>
          <w:lang w:bidi="ar"/>
        </w:rPr>
        <w:t>此外，现代政治经济学和现代西方经济学具有不同的政治文化背景。虽然马克思经济学与西方经济学同样源于西方世界，但这两种理论范式的价值信念和阶级立场却大不相同。新古典经济学是现代西方的正统主流经济学，而马克思所创立的经典政治经济学的精神实质和价值观念已与中国国情相结合并加以改造，业已构成一种具有中国传统文化走向现代化过程中的新型文化基调和背景。既然两者具有不同的文化背景和价值观念，那么在经济学理论假设、价值取向和分析工具等等方面的差异就变得不可避免。但这种对立性和一致性恰恰构成了经济学这门学科不断创新和综合的学术动力之一。中国政治经济学的转型，不是从传统政治经济学转向现代西方经济学，而是在科学扬弃和超越苏联经济学和现代西方经济学的基础上转向现代政治经济学，包括现代社会主义市场经济和现代资本主义市场经济的基本理论。</w:t>
      </w:r>
    </w:p>
    <w:p w14:paraId="50B67C56">
      <w:pPr>
        <w:spacing w:line="336" w:lineRule="auto"/>
        <w:ind w:firstLine="50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lang w:bidi="ar"/>
        </w:rPr>
        <w:t>三、中国主流经济学是现代马克思主义政治经济学</w:t>
      </w:r>
    </w:p>
    <w:p w14:paraId="436D0093">
      <w:pPr>
        <w:spacing w:line="336" w:lineRule="auto"/>
        <w:ind w:firstLine="440" w:firstLineChars="200"/>
        <w:rPr>
          <w:rFonts w:ascii="宋体" w:hAnsi="宋体" w:eastAsia="宋体" w:cs="宋体"/>
        </w:rPr>
      </w:pPr>
      <w:r>
        <w:rPr>
          <w:rFonts w:hint="eastAsia" w:ascii="宋体" w:hAnsi="宋体" w:eastAsia="宋体" w:cs="宋体"/>
          <w:szCs w:val="22"/>
          <w:lang w:bidi="ar"/>
        </w:rPr>
        <w:t>不久前，中央领导再次明确指出：“哲学社会科学的现状整体看来也处于一个关键阶段，前苏联的蓝本有很多不适应。具有中国风格、中国气派的哲学社会科学尚未形成。西方教材乘虚而入，正确的态度应是批判地接受。哲学社会科学具有鲜明的意识形态属性。．．．．．．中国在和平崛起，这是一个奇迹，我们有资格、有条件形成我们自身的哲学社会科学体系。要编写当代的马克思主义基础理论，要编写充分体现马克思主义中国化最新成果的哲学社会科学体系。”①这一哲学社会科学发展战略的总体精神是正确的。</w:t>
      </w:r>
    </w:p>
    <w:p w14:paraId="50CF9C85">
      <w:pPr>
        <w:spacing w:line="336" w:lineRule="auto"/>
        <w:ind w:firstLine="440" w:firstLineChars="200"/>
        <w:rPr>
          <w:rFonts w:ascii="宋体" w:hAnsi="宋体" w:eastAsia="宋体" w:cs="宋体"/>
        </w:rPr>
      </w:pPr>
      <w:r>
        <w:rPr>
          <w:rFonts w:hint="eastAsia" w:ascii="宋体" w:hAnsi="宋体" w:eastAsia="宋体" w:cs="宋体"/>
          <w:szCs w:val="22"/>
          <w:lang w:bidi="ar"/>
        </w:rPr>
        <w:t>就理论经济学来说，世界主流经济学是西方经济学，而马克思主义经济学则是非主流经济学；改革后社会主义中国的主流经济学是现代马克思主义经济学，而现代西方经济学则是非主流经济学。共产党执政的社会主义国家，是不可能将资产阶级执政党奉为主流的经济学作为本国主流经济学的。②</w:t>
      </w:r>
    </w:p>
    <w:p w14:paraId="7B552F6F">
      <w:pPr>
        <w:spacing w:line="336" w:lineRule="auto"/>
        <w:ind w:firstLine="440" w:firstLineChars="200"/>
        <w:rPr>
          <w:rFonts w:ascii="宋体" w:hAnsi="宋体" w:eastAsia="宋体" w:cs="宋体"/>
        </w:rPr>
      </w:pPr>
      <w:r>
        <w:rPr>
          <w:rFonts w:hint="eastAsia" w:ascii="宋体" w:hAnsi="宋体" w:eastAsia="宋体" w:cs="宋体"/>
          <w:szCs w:val="22"/>
          <w:lang w:bidi="ar"/>
        </w:rPr>
        <w:t>同西方经济学一样，马克思主义政治经济学既是学术体系，又是一种理论信仰和意识形态，应当在学术和意识形态两个相关领域都发挥指导作用。如果只赞成马克思主义经济学作为经济意识形态的指导地位，而不赞成它在经济学中的学术指导地位，则会架空马克思主义经济学。</w:t>
      </w:r>
    </w:p>
    <w:p w14:paraId="06125BFA">
      <w:pPr>
        <w:spacing w:line="336" w:lineRule="auto"/>
        <w:ind w:firstLine="440" w:firstLineChars="200"/>
        <w:rPr>
          <w:rFonts w:ascii="宋体" w:hAnsi="宋体" w:eastAsia="宋体" w:cs="宋体"/>
        </w:rPr>
      </w:pPr>
      <w:r>
        <w:rPr>
          <w:rFonts w:hint="eastAsia" w:ascii="宋体" w:hAnsi="宋体" w:eastAsia="宋体" w:cs="宋体"/>
          <w:szCs w:val="22"/>
          <w:lang w:bidi="ar"/>
        </w:rPr>
        <w:t>既然世界的现代经济学或现代政治经济学包括了现代马克思主义政治经济学体系和现代西方非马克思主义经济学体系，那么，要繁荣与发展中国的理论经济学，应“继承现有成果，面对中国现实”。有扬有弃地科学继承已有成果，既包括现代中国的马克思主义政治经济学，也包括现代西方的各种经济学流派。中国的问题还要用中国的经济理论来解释，同时，中国的经济理论又要面对中国的现实来求发展。繁荣与发展理论经济学，需要创立不同的学派，马克思主义经济学内部也应形成不同的学派，学派的形成是学术繁荣的重要标志之一。从这个意义上说，必须加强对西方马克思主义经济理论或左翼经济理论的研究，必须加大翻译和借鉴国外马克思主义或左翼经济理论和分析方法，如日本和韩国的社会经济学，美国的激进政治经济学，俄罗斯的新马克思主义经济学，法国的调节学派，以及不少发展中国家的激进政治经济学。</w:t>
      </w:r>
    </w:p>
    <w:p w14:paraId="176466CF">
      <w:pPr>
        <w:spacing w:line="336" w:lineRule="auto"/>
        <w:ind w:firstLine="440" w:firstLineChars="200"/>
        <w:rPr>
          <w:rFonts w:ascii="宋体" w:hAnsi="宋体" w:eastAsia="宋体" w:cs="宋体"/>
        </w:rPr>
      </w:pPr>
      <w:r>
        <w:rPr>
          <w:rFonts w:hint="eastAsia" w:ascii="宋体" w:hAnsi="宋体" w:eastAsia="宋体" w:cs="宋体"/>
          <w:szCs w:val="22"/>
          <w:lang w:bidi="ar"/>
        </w:rPr>
        <w:t>不过，要搞清各国政界马克思主义经济理论和学界马克思主义经济理论的本质联系与某种差别。日本学界马克思主义经济学有几个学派，与日本共产党的马克思主义经济理论就存在异同点（展开地说，日本的官方经济学与学界多学派的经济学就有一种互动和互补的交互关系，罗斯福新政、里根经济学和布什经济学同凯恩斯主义、新自由主义经济学也有某种选用和综合的关系，而主要不是学界经济学拥护和赞美官方经济学）。理论经济学研究对象的特殊性决定了它与一定的意识形态相结合，但不能仅仅是对官方意识形态的注释和解说。同时，繁荣与发展理论经济学，需要创立不同的学派，马克思主义经济学内部也应形成不同的学派，学派的形成是学术繁荣的重要标志之一。学界的马克思主义及其经济理论必须多学派地发展。在西方资本主义发达国家“话语霸权”和学术强势的新形势下，不明智的学术和意识形态引管和评价，是管死马克思主义多学派的发展，放活非马克思主义多元化的扩张，并视在西方发达资本主义国家主流经济学刊物上发表文章为最高学术水平，而不支持和贬低在西方马克思主义经济学刊物上发表文章。这是提高党的执政能力迫切需要改进的最重要措施之一。</w:t>
      </w:r>
    </w:p>
    <w:p w14:paraId="44C1A6E5">
      <w:pPr>
        <w:spacing w:line="336" w:lineRule="auto"/>
        <w:ind w:firstLine="440" w:firstLineChars="200"/>
        <w:rPr>
          <w:rFonts w:ascii="宋体" w:hAnsi="宋体" w:eastAsia="宋体" w:cs="宋体"/>
        </w:rPr>
      </w:pPr>
      <w:r>
        <w:rPr>
          <w:rFonts w:hint="eastAsia" w:ascii="宋体" w:hAnsi="宋体" w:eastAsia="宋体" w:cs="宋体"/>
          <w:szCs w:val="22"/>
          <w:lang w:bidi="ar"/>
        </w:rPr>
        <w:t>2000年，我在学界提出“马学为体，西学为用”，即以中外马克思主义经济学为体，现代西方经济学为用。③去年以来，刘国光教授也使用此提法，并严肃指出：“部分传播西方‘主流’经济学的人士，力求使它在中国也居于‘主流’地位，取代马克思主义经济学，这种情况需要关注。”④这与后来河南省经济学会会长、河南财经学院资深教授杨承训强调的“马学为魂，中学为体，西学为用”（马克思经济学为魂，中国特色的现代政治经济学为体，现代西方经济学为用）的观点，也非常相似，⑤但与主张“西学为体，马学为用或中学为用”的观点，反差较大。北京大学已故经济学家陈岱孙教授生前为我的《西方产权理论评析》一书题词所说的“弘扬马列，锐意求新，借鉴西学，体察国情”，⑥也是一个科学处理现代政治经济学与现代西方经济学关系的指向。</w:t>
      </w:r>
    </w:p>
    <w:p w14:paraId="3AA22CF2">
      <w:pPr>
        <w:spacing w:line="336" w:lineRule="auto"/>
        <w:ind w:firstLine="440" w:firstLineChars="200"/>
        <w:rPr>
          <w:rFonts w:ascii="宋体" w:hAnsi="宋体" w:eastAsia="宋体" w:cs="宋体"/>
        </w:rPr>
      </w:pPr>
      <w:r>
        <w:rPr>
          <w:rFonts w:hint="eastAsia" w:ascii="宋体" w:hAnsi="宋体" w:eastAsia="宋体" w:cs="宋体"/>
          <w:szCs w:val="22"/>
          <w:lang w:bidi="ar"/>
        </w:rPr>
        <w:t>那么，究竟应当怎样科学地重建中国的主流经济学即现代马克思主义政治经济学，也就是说，依据什么思想方法和理论原则来创新呢？我们主张，以当代中外市场经济实践为思想源泉，以传承和创新的马克思主义经济学主要假设为基点，积极吸纳古今中外各种经济思想的合理成分，广泛借鉴相关社会科学和自然科学的可用方法，构造既超越马克思经济学范式和苏联经济学范式，又超越西方经济学范式的新范式，即新建在世界经济大环境中反映经济全球化和中国初级社会主义市场经济独特性的经济学范式。</w:t>
      </w:r>
    </w:p>
    <w:p w14:paraId="1366110F">
      <w:pPr>
        <w:spacing w:line="336" w:lineRule="auto"/>
        <w:ind w:firstLine="50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lang w:bidi="ar"/>
        </w:rPr>
        <w:t>四、现代政治经济学应有四个假设和理论为基点</w:t>
      </w:r>
    </w:p>
    <w:p w14:paraId="57F2AEC5">
      <w:pPr>
        <w:spacing w:line="336" w:lineRule="auto"/>
        <w:ind w:firstLine="440" w:firstLineChars="200"/>
        <w:rPr>
          <w:rFonts w:ascii="宋体" w:hAnsi="宋体" w:eastAsia="宋体" w:cs="宋体"/>
        </w:rPr>
      </w:pPr>
      <w:r>
        <w:rPr>
          <w:rFonts w:hint="eastAsia" w:ascii="宋体" w:hAnsi="宋体" w:eastAsia="宋体" w:cs="宋体"/>
          <w:szCs w:val="22"/>
          <w:lang w:bidi="ar"/>
        </w:rPr>
        <w:t>第一，“资源和需求双约束假设”。从辩证思维和假定的一致性或对称性来分析，尽管西方经济学家对资源与需求相互关系的描述有相当的道理，但仍然存在明显的逻辑缺陷。这是因为，当假定资源有限时，暗含着以一定的时点和条件为前提，而假定需求或需要无限时，并没有以一定的时点和条件为前提。把两个前提不一致或不对称的事物和概念放在一起，假定为是它们之间惟一的一对矛盾，这显然过于简单化和绝对化，缺乏完整的逻辑性和辨证性。从资源利用方面看，资源在一定条件下或在某个时点上是有限的，但又是无限的，因为包含资源在内的整个宇宙本身是无限的，科技发展也是无限的。从需求欲望方面看，需求在一定条件下或在某个时点上也是有限的，而且在商品经济中实际的需求，还是指有货币支付能力的需求，并非指人们脱离现实生产力和货币状况的空想性需要。合理需要本身也是有约束和限制的。</w:t>
      </w:r>
    </w:p>
    <w:p w14:paraId="5782C9FB">
      <w:pPr>
        <w:spacing w:line="336" w:lineRule="auto"/>
        <w:ind w:firstLine="440" w:firstLineChars="200"/>
        <w:rPr>
          <w:rFonts w:ascii="宋体" w:hAnsi="宋体" w:eastAsia="宋体" w:cs="宋体"/>
        </w:rPr>
      </w:pPr>
      <w:r>
        <w:rPr>
          <w:rFonts w:hint="eastAsia" w:ascii="宋体" w:hAnsi="宋体" w:eastAsia="宋体" w:cs="宋体"/>
          <w:szCs w:val="22"/>
          <w:lang w:bidi="ar"/>
        </w:rPr>
        <w:t>因此，我们作这样的假设可能更全面和科学，即假定资源和需求都是有约束的，简称“资源和需求双约束假设”。经济学真正要掌握和处理的矛盾，在于各种资源与各种需求在双方某种条件下不同的选择性组合，使资源得到最佳配置，需求得到最佳满足。这是经济学要研究和操作的任务之一。可见，无论是现代马克思主义经济学，还是现代西方经济学，均要表达资源稀缺、需求满足、选择效益和节约资源等一般经济学含义，问题在于如何科学地加以理论抽象和表述。诚然，现代西方经济学有关资源与需求的这一假定，并不涉及社会根本经济制度和阶级利益，属于技术层面和思维方法的歧见，不属于我们要重点讨论的问题。</w:t>
      </w:r>
    </w:p>
    <w:p w14:paraId="37002475">
      <w:pPr>
        <w:spacing w:line="336" w:lineRule="auto"/>
        <w:ind w:firstLine="440" w:firstLineChars="200"/>
        <w:rPr>
          <w:rFonts w:ascii="宋体" w:hAnsi="宋体" w:eastAsia="宋体" w:cs="宋体"/>
        </w:rPr>
      </w:pPr>
      <w:r>
        <w:rPr>
          <w:rFonts w:hint="eastAsia" w:ascii="宋体" w:hAnsi="宋体" w:eastAsia="宋体" w:cs="宋体"/>
          <w:szCs w:val="22"/>
          <w:lang w:bidi="ar"/>
        </w:rPr>
        <w:t>第二，“新经济人假设”。马克思主义经典著作家没有全面阐述经济人理论，近现代西方经济学的经济人理论又有严重错误，那么，应当用什么相对应的理论来教育干部？依据人类实践和问题导向，并受马克思主义的思想启迪，我认为必须用一种新“经济人”假说和理论来教育干部，为社会主义市场经济奠定基本假设和理论基础。其方法论是整体主义、唯物主义和现实主义的，具体也包含三个基本命题：1、经济活动中的人有利己和利他两种倾向或性质。2、经济活动中的人具有理性与非理性两种状态。3、良好的制度会使经济活动中的人在增进集体利益或社会利益最大化的过程中实现合理的个人利益最大化。</w:t>
      </w:r>
    </w:p>
    <w:p w14:paraId="716BC7DB">
      <w:pPr>
        <w:spacing w:line="336" w:lineRule="auto"/>
        <w:ind w:firstLine="440" w:firstLineChars="200"/>
        <w:rPr>
          <w:rFonts w:ascii="宋体" w:hAnsi="宋体" w:eastAsia="宋体" w:cs="宋体"/>
        </w:rPr>
      </w:pPr>
      <w:r>
        <w:rPr>
          <w:rFonts w:hint="eastAsia" w:ascii="宋体" w:hAnsi="宋体" w:eastAsia="宋体" w:cs="宋体"/>
          <w:szCs w:val="22"/>
          <w:lang w:bidi="ar"/>
        </w:rPr>
        <w:t>作为逐渐脱离动物界和超越动物本能的人类，具有及其丰富的情感和理智，不是单纯地表现为完全的自私性。倘若我们摆脱单向度的思维定式，超出大小私有者的眼光去观察人类经历过的社会，便可明显地看到三种情形的利他主义（他人利益泛指除自己利益以外的别人利益、集体利益、国家利益和人类利益等）：⑴愿意花费自己的时间、精力和财富，来换取某种即刻可见的他人利益；⑵愿意花费自己的时间、精力和财富，来换取某种未来的他人利益；⑶愿意花费自己的时间、精力和财富，来换取某种实际无效的他人利益，即愿为他人利益而不讲究实际效果。除了后一种属于特殊和个别的利他行为之外，前两种利他行为既存在于单位、家庭和社会等各个范围，也存在于经济、军事、文化和政治等各个领域。可见，利己与利他是“经济人”（经济主体）可能具有的两种行为特性和行为倾向。</w:t>
      </w:r>
    </w:p>
    <w:p w14:paraId="1CE12D4C">
      <w:pPr>
        <w:spacing w:line="336" w:lineRule="auto"/>
        <w:ind w:firstLine="440" w:firstLineChars="200"/>
        <w:rPr>
          <w:rFonts w:ascii="宋体" w:hAnsi="宋体" w:eastAsia="宋体" w:cs="宋体"/>
        </w:rPr>
      </w:pPr>
      <w:r>
        <w:rPr>
          <w:rFonts w:hint="eastAsia" w:ascii="宋体" w:hAnsi="宋体" w:eastAsia="宋体" w:cs="宋体"/>
          <w:szCs w:val="22"/>
          <w:lang w:bidi="ar"/>
        </w:rPr>
        <w:t>至于社会上利己和利他哪种行为特征突出或占主导地位，那就取决于社会制度和各种环境。因为人的利己与利他是一种社会网络中的互动行为，具有交互性的内在机理，总是与特定的社会整体大环境和群体小环境相关联。毋容置疑，是以后数千年的多种私有制支配了人类社会，才促使私有经济的活动主体逐渐驱散了利他心态，甚至见利忘义，惟利是图，损人利己。⑦</w:t>
      </w:r>
    </w:p>
    <w:p w14:paraId="48875440">
      <w:pPr>
        <w:spacing w:line="336" w:lineRule="auto"/>
        <w:ind w:firstLine="440" w:firstLineChars="200"/>
        <w:rPr>
          <w:rFonts w:ascii="宋体" w:hAnsi="宋体" w:eastAsia="宋体" w:cs="宋体"/>
        </w:rPr>
      </w:pPr>
      <w:r>
        <w:rPr>
          <w:rFonts w:hint="eastAsia" w:ascii="宋体" w:hAnsi="宋体" w:eastAsia="宋体" w:cs="宋体"/>
          <w:szCs w:val="22"/>
          <w:lang w:bidi="ar"/>
        </w:rPr>
        <w:t>第三，“新的活劳动价值一元假设”。依据马克思关于活劳动创造为市场交换而生产的商品价值，以及纯粹为商品价值形态转换服务的流通不创造价值的科学精神，我们认为，凡是直接为市场交换而生产物质商品和精神商品，以及直接为劳动力商品的生产和再生产服务的劳动，其中包括自然人和法人实体的内部管理劳动和科技劳动，都属于创造价值的劳动或生产劳动。这一新的“活劳动价值说”，不仅没有否定马克思的核心思想和方法，而且恰恰是遵循了马克思研究物质生产领域价值创造的思路，并把它扩展到一切社会经济部门后所形成的必然结论。具体说来：一是生产物质商品的劳动是创造价值的生产性劳动。如为市场提供物质商品的农业、工业、建筑业、物质技术业等领域中的生产性劳动。这是马克思早已阐明的。二是从事有形和无形商品场所变更的劳动是创造价值的生产性劳动。如为市场提供货物和人员空间位移的运输劳动，提供书信、消息、电报、电话等各种信息传递的邮电劳动。场所变更或信息传递就是广义交通劳动产生的效用，它们是可以发生在流通领域内的特殊生产性部门。这也是马克思基本阐明的观点。三是生产有形和无形精神商品的劳动是创造价值的生产性劳动。如为市场提供精神商品的教育、社会科学、自然科学、文化技术、文学艺术、广播影视、新闻出版、图书馆、博物馆等领域中的生产性劳动，其中包括讲课、表演等无形商品或服务劳动。应当突破价值创造仅界限于物质劳动，确认生产有形和无形精神商品的劳动同样创造价值。四是从事劳动力商品生产的服务劳动是创造价值的生产性劳动。直接涉及劳动力这一特殊商品的生产和再生产的部门，除了包括上述有关人们生活的生产性部门以外，还包括医疗、卫生、体育、美发、美容、沐浴等等。五是生产性企业私营业主的经营管理活动是创造价值的。六是劳动生产力变化，可能引起劳动复杂程度和社会必要劳动量的变化，从而引起商品价值量的变化。</w:t>
      </w:r>
    </w:p>
    <w:p w14:paraId="43B90A8F">
      <w:pPr>
        <w:spacing w:line="336" w:lineRule="auto"/>
        <w:ind w:firstLine="440" w:firstLineChars="200"/>
        <w:rPr>
          <w:rFonts w:ascii="宋体" w:hAnsi="宋体" w:eastAsia="宋体" w:cs="宋体"/>
        </w:rPr>
      </w:pPr>
      <w:r>
        <w:rPr>
          <w:rFonts w:hint="eastAsia" w:ascii="宋体" w:hAnsi="宋体" w:eastAsia="宋体" w:cs="宋体"/>
          <w:szCs w:val="22"/>
          <w:lang w:bidi="ar"/>
        </w:rPr>
        <w:t>第四，“公平与效率交互同向假设”。公平与效率是人类社会经济生活中的一对基本矛盾。其缘由在于社会经济资源的配置效率是人类经济活动追求的目标，而经济主体在社会生产中的起点、机会、过程和结果的公平，也是人类经济活动追求的目标。经济学意义上的公平，是指有关经济活动的制度、权利、机会和结果等方面的平等和合理。经济公平具有客观性、历史性和相对性。经济学意义上的效率，是指经济资源的配置和产出状态。对于一个企业或社会来说，最高效率意味着资源处于最优配置状态，从而使特定范围内的需要得到最大满足或福利得到最大增进或财富得到最大增加。经济效率涉及到生产、分配、交换和消费各个领域，涉及到经济力和经济关系各个方面。它包括宏观经济效率和微观经济效率两大效率问题。经济公平与经济效率是交互促进并发生同方向变动的，即越是公平，越有效率；越是不公平，越是无效率。</w:t>
      </w:r>
    </w:p>
    <w:p w14:paraId="77A5078A">
      <w:pPr>
        <w:spacing w:line="336" w:lineRule="auto"/>
        <w:ind w:firstLine="440" w:firstLineChars="200"/>
        <w:rPr>
          <w:rFonts w:ascii="宋体" w:hAnsi="宋体" w:eastAsia="宋体" w:cs="宋体"/>
        </w:rPr>
      </w:pPr>
    </w:p>
    <w:p w14:paraId="0F61DED7">
      <w:pPr>
        <w:spacing w:line="336" w:lineRule="auto"/>
        <w:ind w:firstLine="440" w:firstLineChars="200"/>
        <w:rPr>
          <w:rFonts w:ascii="宋体" w:hAnsi="宋体" w:eastAsia="宋体" w:cs="宋体"/>
        </w:rPr>
      </w:pPr>
      <w:r>
        <w:rPr>
          <w:rFonts w:hint="eastAsia" w:ascii="宋体" w:hAnsi="宋体" w:eastAsia="宋体" w:cs="宋体"/>
          <w:b/>
          <w:bCs/>
          <w:szCs w:val="22"/>
          <w:lang w:bidi="ar"/>
        </w:rPr>
        <w:t>参考文献</w:t>
      </w:r>
      <w:r>
        <w:rPr>
          <w:rFonts w:hint="eastAsia" w:ascii="宋体" w:hAnsi="宋体" w:eastAsia="宋体" w:cs="宋体"/>
          <w:szCs w:val="22"/>
          <w:lang w:bidi="ar"/>
        </w:rPr>
        <w:t>：</w:t>
      </w:r>
    </w:p>
    <w:p w14:paraId="293FFF08">
      <w:pPr>
        <w:spacing w:line="33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①参见：《我们有资格有条件形成自身的哲学社会科学体系》，《上海宣传通讯》，2005年第3期，第18页。</w:t>
      </w:r>
    </w:p>
    <w:p w14:paraId="4527742D">
      <w:pPr>
        <w:spacing w:line="33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②参见马艳：《中国马克思主义经济学的主流地位及其创新》，《上海财经大学学报》2005年第1期。</w:t>
      </w:r>
    </w:p>
    <w:p w14:paraId="28D1A3BC">
      <w:pPr>
        <w:spacing w:line="33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③程恩富：《重建中国经济学：超越马克思与西方经济学》，《学术月刊》</w:t>
      </w:r>
    </w:p>
    <w:p w14:paraId="4E358DD7">
      <w:pPr>
        <w:spacing w:line="33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2000年第2期；日本经济理论学会主办《经济理论研究》2004第1期。</w:t>
      </w:r>
    </w:p>
    <w:p w14:paraId="7F4B53C8">
      <w:pPr>
        <w:spacing w:line="33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④刘国光：《中国经济学杰出贡献奖答辞》，《社会科学报》2005年4月21日。</w:t>
      </w:r>
    </w:p>
    <w:p w14:paraId="0F31FB34">
      <w:pPr>
        <w:spacing w:line="33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⑤杨承训：《中国经济学的发展方向》，《人民日报》2004年11月25日。</w:t>
      </w:r>
    </w:p>
    <w:p w14:paraId="1874757C">
      <w:pPr>
        <w:spacing w:line="33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⑥参见程恩富：《西方产权理论评析》，当代中国出版社1997年版，第1页。</w:t>
      </w:r>
    </w:p>
    <w:p w14:paraId="5BDA24EA">
      <w:pPr>
        <w:spacing w:line="336" w:lineRule="auto"/>
        <w:ind w:firstLine="380" w:firstLineChars="200"/>
        <w:rPr>
          <w:rFonts w:ascii="宋体" w:hAnsi="宋体" w:eastAsia="宋体" w:cs="宋体"/>
          <w:sz w:val="18"/>
          <w:szCs w:val="18"/>
        </w:rPr>
      </w:pPr>
      <w:r>
        <w:rPr>
          <w:rFonts w:hint="eastAsia" w:ascii="宋体" w:hAnsi="宋体" w:eastAsia="宋体" w:cs="宋体"/>
          <w:sz w:val="18"/>
          <w:szCs w:val="18"/>
          <w:lang w:bidi="ar"/>
        </w:rPr>
        <w:t>⑦参见程恩富：《新“经济人”论：海派经济学的一个基本假设》，《教学与研究》2003年第11期。</w:t>
      </w:r>
    </w:p>
    <w:p w14:paraId="28432A29">
      <w:pPr>
        <w:spacing w:line="336" w:lineRule="auto"/>
        <w:ind w:firstLine="440" w:firstLineChars="200"/>
        <w:rPr>
          <w:rFonts w:ascii="宋体" w:hAnsi="宋体" w:eastAsia="宋体" w:cs="宋体"/>
        </w:rPr>
      </w:pPr>
    </w:p>
    <w:p w14:paraId="577BD48F">
      <w:pPr>
        <w:spacing w:line="336" w:lineRule="auto"/>
        <w:ind w:firstLine="440" w:firstLineChars="200"/>
        <w:rPr>
          <w:rFonts w:ascii="宋体" w:hAnsi="宋体" w:eastAsia="宋体" w:cs="宋体"/>
        </w:rPr>
      </w:pPr>
      <w:r>
        <w:rPr>
          <w:rFonts w:hint="eastAsia" w:ascii="宋体" w:hAnsi="宋体" w:eastAsia="宋体" w:cs="宋体"/>
          <w:szCs w:val="22"/>
          <w:lang w:bidi="ar"/>
        </w:rPr>
        <w:t>（原载《经济学动态》2005年第11期）</w:t>
      </w:r>
      <w:r>
        <w:rPr>
          <w:rFonts w:hint="eastAsia" w:ascii="宋体" w:hAnsi="宋体" w:eastAsia="宋体" w:cs="宋体"/>
          <w:szCs w:val="22"/>
          <w:lang w:bidi="ar"/>
        </w:rPr>
        <w:br w:type="page"/>
      </w:r>
    </w:p>
    <w:p w14:paraId="7BE12DBC">
      <w:pPr>
        <w:spacing w:line="336" w:lineRule="auto"/>
        <w:ind w:firstLine="660" w:firstLineChars="200"/>
        <w:rPr>
          <w:rFonts w:ascii="宋体" w:hAnsi="宋体" w:eastAsia="宋体" w:cs="Times New Roman"/>
          <w:sz w:val="32"/>
        </w:rPr>
      </w:pPr>
    </w:p>
    <w:p w14:paraId="7F21279F">
      <w:pPr>
        <w:spacing w:before="147" w:beforeLines="50" w:after="147" w:afterLines="50" w:line="300" w:lineRule="auto"/>
        <w:ind w:firstLine="660" w:firstLineChars="200"/>
        <w:jc w:val="center"/>
        <w:outlineLvl w:val="1"/>
        <w:rPr>
          <w:rFonts w:ascii="宋体" w:hAnsi="宋体" w:eastAsia="宋体" w:cs="宋体"/>
          <w:b/>
          <w:sz w:val="32"/>
          <w:szCs w:val="22"/>
        </w:rPr>
      </w:pPr>
      <w:bookmarkStart w:id="544" w:name="_Toc24852"/>
      <w:bookmarkStart w:id="545" w:name="_Toc111148956"/>
      <w:bookmarkStart w:id="546" w:name="_Toc228541539"/>
      <w:bookmarkStart w:id="547" w:name="_Toc2007913906"/>
      <w:r>
        <w:rPr>
          <w:rFonts w:hint="eastAsia" w:ascii="宋体" w:hAnsi="宋体" w:eastAsia="宋体" w:cs="宋体"/>
          <w:b/>
          <w:sz w:val="32"/>
          <w:szCs w:val="22"/>
          <w:lang w:bidi="ar"/>
        </w:rPr>
        <w:t>1</w:t>
      </w:r>
      <w:r>
        <w:rPr>
          <w:rFonts w:ascii="宋体" w:hAnsi="宋体" w:eastAsia="宋体" w:cs="宋体"/>
          <w:b/>
          <w:sz w:val="32"/>
          <w:szCs w:val="22"/>
          <w:lang w:bidi="ar"/>
        </w:rPr>
        <w:t>8</w:t>
      </w:r>
      <w:r>
        <w:rPr>
          <w:rFonts w:hint="eastAsia" w:ascii="宋体" w:hAnsi="宋体" w:eastAsia="宋体" w:cs="宋体"/>
          <w:b/>
          <w:sz w:val="32"/>
          <w:szCs w:val="22"/>
          <w:lang w:bidi="ar"/>
        </w:rPr>
        <w:t>律师保密义务的经济学探析</w:t>
      </w:r>
      <w:bookmarkEnd w:id="544"/>
      <w:bookmarkEnd w:id="545"/>
      <w:bookmarkEnd w:id="546"/>
      <w:bookmarkEnd w:id="547"/>
    </w:p>
    <w:p w14:paraId="794E2457">
      <w:pPr>
        <w:ind w:firstLine="500" w:firstLineChars="200"/>
        <w:jc w:val="center"/>
        <w:rPr>
          <w:rFonts w:ascii="宋体" w:hAnsi="宋体" w:eastAsia="宋体" w:cs="宋体"/>
          <w:b/>
          <w:sz w:val="24"/>
          <w:szCs w:val="22"/>
        </w:rPr>
      </w:pPr>
      <w:bookmarkStart w:id="548" w:name="_Toc27959"/>
      <w:r>
        <w:rPr>
          <w:rFonts w:hint="eastAsia" w:ascii="宋体" w:hAnsi="宋体" w:eastAsia="宋体" w:cs="宋体"/>
          <w:b/>
          <w:sz w:val="24"/>
          <w:szCs w:val="22"/>
          <w:lang w:bidi="ar"/>
        </w:rPr>
        <w:t>——海派经济学的观点</w:t>
      </w:r>
      <w:bookmarkEnd w:id="548"/>
    </w:p>
    <w:p w14:paraId="78832316">
      <w:pPr>
        <w:spacing w:before="147" w:beforeLines="50" w:line="300" w:lineRule="auto"/>
        <w:ind w:firstLine="440" w:firstLineChars="200"/>
        <w:rPr>
          <w:rFonts w:ascii="宋体" w:hAnsi="宋体" w:eastAsia="宋体" w:cs="宋体"/>
          <w:szCs w:val="21"/>
        </w:rPr>
      </w:pPr>
      <w:r>
        <w:rPr>
          <w:rFonts w:hint="eastAsia" w:ascii="宋体" w:hAnsi="宋体" w:eastAsia="宋体" w:cs="宋体"/>
          <w:szCs w:val="21"/>
          <w:lang w:bidi="ar"/>
        </w:rPr>
        <w:t>法律经济学又称经济学分析法学或法学与经济学，是经济学与法学相互融合、相互交叉产生的一门学科。本文就是以经济学的方法对律师保密义务进行分析，探讨在确保公正的前提下可能出现的效率问题，并以此挑战国内外传统主流法学的理论。</w:t>
      </w:r>
    </w:p>
    <w:p w14:paraId="5D59ACE8">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一、律师保密义务释义</w:t>
      </w:r>
    </w:p>
    <w:p w14:paraId="246BC348">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律师保密义务是指律师应当保守在其职务活动中知悉的与其职务工作有关的秘密，这种秘密与一般意义上的国家机密、商业秘密以及个人隐私不同，它通常指“在诉讼活动中或处理法律事务中，不利于被代理人或被告人，且司法机关或相对人尚未掌握，被代理人或者被告人又不愿意透露的事实、证据、情节、线索等”[1]。</w:t>
      </w:r>
    </w:p>
    <w:p w14:paraId="564C2547">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我国律师保密义务规则的渊源主要存在于两方面：一是律师法上的渊源。《律师法》第33条规定：“律师应当保守在执业活动中知悉的国家秘密和当事人的商业秘密，不得泄露当事人的隐私。”二是律师职业道德和执业纪律的渊源。1993年司法部公布的《律师职业道德和执业纪律规范》第14条规定：“律师在处理与委托人和对方当事人的关系方面应遵守执业纪律。”其中第4项规定：“(律师)不得泄露在执行职务中知悉的委托人的隐私、秘密和委托人不愿公开的其他事实和材料。”1996年中华全国律师协会通过的《律师职业道德和执业纪律规范》第9条规定：“律师应当保守在执业活动中知悉的国家秘密、当事人的商业秘密和当事人的隐私。”通过比较可以发现，律师协会规范实际上大大缩小了律师对当事人所负有的保密范围。[2](P322)可以认为，我国在立法上实际已经确立了律师应当保守职业秘密的义务，而对于律师在执业活动中发现的不利于当事人的情况是否应当保密，诉讼法和律师法尽管没有作出明确规定，但是在一般情况下，律师是在有利于其委托人的前提下作出决定的。</w:t>
      </w:r>
    </w:p>
    <w:p w14:paraId="3CDFD305">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目前，律师履行保密义务的法律保障主要体现在拒绝作证权。在各国立法中一般都规定具备法定资格的证人有作证的义务，但是律师作为负有特殊职责的诉讼参与人，有拒绝作证的权利。我国没有明确律师享有拒绝作证的权利。</w:t>
      </w:r>
    </w:p>
    <w:p w14:paraId="390A7BDC">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保密义务作为一项法律义务，通常是与法律责任相联系的。我国虽然没有在《刑法》分则中规定律师违反保密义务的法律责任，但是类似条款在《律师法》和中华全国律师协会的有关章程中得以体现。如《律师法》第44条规定：“律师有下列行为之一的，由省、自治区、直辖市以及设区的市的人民政府司法行政部门给予警告，情节严重的，给予停止执业三个月以上一年以下的处罚，有违法所得的，没收违法所得。……(六)泄露当事人的商业秘密或者个人隐私的</w:t>
      </w:r>
      <w:r>
        <w:rPr>
          <w:rFonts w:hint="eastAsia" w:ascii="MS Gothic" w:hAnsi="MS Gothic" w:eastAsia="MS Gothic" w:cs="MS Gothic"/>
          <w:szCs w:val="21"/>
          <w:lang w:bidi="ar"/>
        </w:rPr>
        <w:t>⋯⋯</w:t>
      </w:r>
      <w:r>
        <w:rPr>
          <w:rFonts w:hint="eastAsia" w:ascii="宋体" w:hAnsi="宋体" w:eastAsia="宋体" w:cs="宋体"/>
          <w:szCs w:val="21"/>
          <w:lang w:bidi="ar"/>
        </w:rPr>
        <w:t>。”与保密义务相对应，律师又应当满足真实义务的要求。我国《律师法》第35条规定：“律师在执业活动中不得提供虚假证据，隐瞒事实或者威胁、利诱他人提供虚假证据，隐瞒事实以及妨碍对方当事人合法取得证据。”</w:t>
      </w:r>
    </w:p>
    <w:p w14:paraId="36AD1CD9">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对于律师保密义务与真实义务的冲突，法理上通常的解释是将保密义务视为一般，而把真实义务看作例外。“一般情况下，律师应当保守职务秘密，这是律师作为辩护人与被指控人达成委托协议的信任基础，也是世界各国律师执业的一项基本准则。但是对于危害国家安全与社会公共利益的重大犯罪预谋，律师也不能熟视无睹，而应告知公安司法机关，但这属于例外情况”[3](P200)。</w:t>
      </w:r>
    </w:p>
    <w:p w14:paraId="1F6A1813">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我国律师在执业活动中不仅将面对上述《律师法》第35条对于真实义务的规定，而且在刑事诉讼中还应当遵守《刑事诉讼法》第48条“凡是知道案件真实情况的人，都有作证的义务”的规定和第38条“辩护律师和其他辩护人，不得帮助犯罪嫌疑人、被告人隐匿、毁灭、伪造证据或者串供，不得威胁、引诱证人改变证言或者作伪证以及进行其他干扰司法机关诉讼活动的行为”的规定。但在实际操作中，由于律师的执业活动是由当事人的私人投资引起的，律师和当事人之间往往形成了一种共同利益关系，保密义务通常是凌驾于真实义务之上的，律师发现被告人尚有未被追诉的犯罪事实时，最多“应向被告人宣传、解释有关政策法律，说服被告人正确抉择”[4](P212)。</w:t>
      </w:r>
    </w:p>
    <w:p w14:paraId="0731F62F">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二、律师保密义务设定原因</w:t>
      </w:r>
    </w:p>
    <w:p w14:paraId="641265CC">
      <w:pPr>
        <w:spacing w:line="300" w:lineRule="auto"/>
        <w:ind w:firstLine="440" w:firstLineChars="200"/>
        <w:rPr>
          <w:rFonts w:ascii="宋体" w:hAnsi="宋体" w:eastAsia="宋体" w:cs="宋体"/>
          <w:b/>
          <w:szCs w:val="21"/>
        </w:rPr>
      </w:pPr>
      <w:r>
        <w:rPr>
          <w:rFonts w:hint="eastAsia" w:ascii="宋体" w:hAnsi="宋体" w:eastAsia="宋体" w:cs="宋体"/>
          <w:b/>
          <w:szCs w:val="21"/>
          <w:lang w:bidi="ar"/>
        </w:rPr>
        <w:t>1.法学的观点</w:t>
      </w:r>
    </w:p>
    <w:p w14:paraId="1235B78F">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法学对于律师保守职务秘密的解释，首先是建立在确保律师和当事人之间的信赖关系的基础上。当事人作为在法律知识方面弱势的一方，聘用律师的目的是“在法律和规定的迷宫中确定他们的权利是什么以及什么被认为是合法的、正确的”[5]，而律师为当事人提供法律帮助的前提在于律师和当事人之间存在一种充分的信任关系，从而使“当事人与律师进行充分、坦率的交流，即使是令人尴尬的或在法律上有破坏性的事项”[5]。这种信任关系的重要性在法学上已经上升到辩护制度的高度，如果律师不能恪守保密义务，当事人将不会情愿委托一个可能揭发自己的人担任委托代理人或辩护人，最终“导致辩护制度的衰弱，从根本上说是削弱了国家法制，损害了国家长远利益”[3](PP198199)，因此，“社会期望通过保守秘密来促进这种关系(信任关系)，社会极度重视这种关系，宁愿为捍卫秘密的性质，甚至不惜失去与案件结局关系重大的情报”[6](P283)。荷兰最高法院也有类似的论述，即任何人必须能够自由地获得(被信托而知悉有关秘密信息的人的)帮助和建议，而且无须担心上述信息会被公开，这一社会利益，超过了在法庭上公开有关事实而获得的社会利益。</w:t>
      </w:r>
    </w:p>
    <w:p w14:paraId="49EE021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法学界也从控辩力量均等的角度分析律师保密义务。在刑事诉讼中，由于控诉方拥有调查取证的专门而足够的权力，如果任由被告人诉讼地位先天不足和控诉方力量先天强大的状况的发展，将难以保证诉讼的公正和被追诉人的合法权利，“纠正控辩力量的先天失衡的方法自然是增加辩护方与控诉方相抗衡的力量”[7]，国家不仅设立专门的追诉机关，还建立了律师辩护制度，其目的也正是在于此。“律师服务的本质特征和各项活动的核心问题是维护被告人的利益，在刑事诉讼中，律师应始终处于帮助被告人行使辩护权而与控诉方处于相对立的地位，</w:t>
      </w:r>
      <w:r>
        <w:rPr>
          <w:rFonts w:hint="eastAsia" w:ascii="MS Gothic" w:hAnsi="MS Gothic" w:eastAsia="MS Gothic" w:cs="MS Gothic"/>
          <w:szCs w:val="21"/>
          <w:lang w:bidi="ar"/>
        </w:rPr>
        <w:t>⋯⋯</w:t>
      </w:r>
      <w:r>
        <w:rPr>
          <w:rFonts w:hint="eastAsia" w:ascii="宋体" w:hAnsi="宋体" w:eastAsia="宋体" w:cs="宋体"/>
          <w:szCs w:val="21"/>
          <w:lang w:bidi="ar"/>
        </w:rPr>
        <w:t>不能要求律师像国家追诉机关那样揭露犯罪</w:t>
      </w:r>
      <w:r>
        <w:rPr>
          <w:rFonts w:hint="eastAsia" w:ascii="MS Gothic" w:hAnsi="MS Gothic" w:eastAsia="MS Gothic" w:cs="MS Gothic"/>
          <w:szCs w:val="21"/>
          <w:lang w:bidi="ar"/>
        </w:rPr>
        <w:t>⋯⋯</w:t>
      </w:r>
      <w:r>
        <w:rPr>
          <w:rFonts w:hint="eastAsia" w:ascii="宋体" w:hAnsi="宋体" w:eastAsia="宋体" w:cs="宋体"/>
          <w:szCs w:val="21"/>
          <w:lang w:bidi="ar"/>
        </w:rPr>
        <w:t>否则，国家就无须设立律师辩护制度”[4](PP213，214)。</w:t>
      </w:r>
    </w:p>
    <w:p w14:paraId="7B7AA33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对于律师保密义务的另一种解释源于法理上代理法的原则，“按照代理法的原则，代理人负有不得使用或传播其在代理过程中由委托人秘密告之的信息的义务，除非为了保护第三方的利益”[2](P311)，律师服务本质上也是一种代理行为。同时，由于其工作的特殊性质，在保密责任方面有更为迫切的需要。</w:t>
      </w:r>
    </w:p>
    <w:p w14:paraId="06D8D9B2">
      <w:pPr>
        <w:spacing w:line="300" w:lineRule="auto"/>
        <w:ind w:firstLine="440" w:firstLineChars="200"/>
        <w:rPr>
          <w:rFonts w:ascii="宋体" w:hAnsi="宋体" w:eastAsia="宋体" w:cs="宋体"/>
          <w:b/>
          <w:szCs w:val="21"/>
        </w:rPr>
      </w:pPr>
      <w:r>
        <w:rPr>
          <w:rFonts w:hint="eastAsia" w:ascii="宋体" w:hAnsi="宋体" w:eastAsia="宋体" w:cs="宋体"/>
          <w:b/>
          <w:szCs w:val="21"/>
          <w:lang w:bidi="ar"/>
        </w:rPr>
        <w:t>2.法律经济学的观点</w:t>
      </w:r>
    </w:p>
    <w:p w14:paraId="590B1FC0">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法律经济学对于律师保密义务的研究尚不深入，一般认为“强有力的偏向一方当事人的律师是发现真相的最好保障”[8](P766)。这种观点的前提在于，将律师之间或律师和检察官之间在诉讼中试图说服法官或陪审团的较量，视为一种市场竞争状态。在这样一个市场中，交易的商品是所谓的“事实”或“真相”，商品的需求方是法官或陪审团，而供给不是由一家厂商垄断的，至少存在两方相互竞争的厂商：刑事案件中的律师和检察官或民事及其他案件中的双方律师，如果诉讼存在多方当事人，那么，供给方的竞争将由于厂商数量的增加而更加激烈。上述前提是在律师完全站在各自当事人的立场上，不惜一切维护当事人利益的基础上建立起来的。律师保守当事人的秘密、特别是保守不利于当事人的秘密，成为这一基础最为关键的组成部分。如果律师不保守职业秘密，在刑事诉讼中，律师实际上就和检察官一样，站在了控诉被告人的一面，而在民事诉讼中，双方或多方律师也将不存在相互竞争的态势，形成一个为了实现共同利益的卡特尔，那么竞争将让位于垄断。</w:t>
      </w:r>
    </w:p>
    <w:p w14:paraId="202D48B6">
      <w:pPr>
        <w:spacing w:line="300" w:lineRule="auto"/>
        <w:ind w:firstLine="440" w:firstLineChars="200"/>
        <w:rPr>
          <w:rFonts w:ascii="宋体" w:hAnsi="宋体" w:eastAsia="宋体" w:cs="宋体"/>
          <w:szCs w:val="21"/>
        </w:rPr>
      </w:pPr>
      <w:r>
        <w:rPr>
          <w:rFonts w:hint="eastAsia" w:ascii="宋体" w:hAnsi="宋体" w:eastAsia="宋体" w:cs="宋体"/>
          <w:szCs w:val="21"/>
          <w:lang w:bidi="ar"/>
        </w:rPr>
        <w:t>所谓更好地发现真相，就是更有效率地发现真相，换而言之，就是在一定成本支出下实现更高的真相水平，或以最低的成本支出实现一定的真相水平。按照经济学关于供求理论最一般的论述，竞争是比垄断更有效率的市场状态，竞争将有助于“更好地发现真相”，所以律师应当保守当事人的秘密，以避免出现垄断的因素。</w:t>
      </w:r>
    </w:p>
    <w:p w14:paraId="330EE67A">
      <w:pPr>
        <w:spacing w:line="300" w:lineRule="auto"/>
        <w:ind w:firstLine="440" w:firstLineChars="200"/>
        <w:rPr>
          <w:rFonts w:ascii="宋体" w:hAnsi="宋体" w:eastAsia="宋体" w:cs="宋体"/>
          <w:b/>
          <w:szCs w:val="21"/>
        </w:rPr>
      </w:pPr>
      <w:r>
        <w:rPr>
          <w:rFonts w:hint="eastAsia" w:ascii="宋体" w:hAnsi="宋体" w:eastAsia="宋体" w:cs="宋体"/>
          <w:b/>
          <w:szCs w:val="21"/>
          <w:lang w:bidi="ar"/>
        </w:rPr>
        <w:t>3.两种分析的共同点</w:t>
      </w:r>
    </w:p>
    <w:p w14:paraId="3BD458B3">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法学和法律经济学对于律师保密义务的解释，可以归结为公平和效率两个方面。</w:t>
      </w:r>
    </w:p>
    <w:p w14:paraId="453A18EA">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从公平角度考察，法学强调的代理法的原则实际就是指代理人应当站在被代理人的立场、维护被代理人的利益，而法律经济学强调的律师服务由私人投资引起，其言下之意无非律师应当全力维护当事人的利益，所有当事人都有付出一定代价获得偏向本方、恪守保密义务的律师服务的权利，这是最为一般的市场规则，同时也是一种形式意义上的公平。</w:t>
      </w:r>
    </w:p>
    <w:p w14:paraId="21919DAB">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从效率角度考察，法学强调通过律师保守职业秘密来确保律师和当事人之间信赖关系，是维护辩护制度的基础，而辩护制度存在的根本目的就在于实现控辩力量的均等，控辩力量均等的思想和法律经济学强调竞争优于垄断的观点是完全一致的。法学和法律经济学都认为，力量均等的竞争状态，将能够更好地保障权利(法学)或发现真相(法律经济学)，换而言之就是更有效率。</w:t>
      </w:r>
    </w:p>
    <w:p w14:paraId="26A17F7F">
      <w:pPr>
        <w:spacing w:before="147" w:beforeLines="50" w:after="147" w:afterLines="50" w:line="336" w:lineRule="auto"/>
        <w:ind w:firstLine="500" w:firstLineChars="200"/>
        <w:rPr>
          <w:rFonts w:ascii="宋体" w:hAnsi="宋体" w:eastAsia="宋体" w:cs="宋体"/>
          <w:szCs w:val="21"/>
        </w:rPr>
      </w:pPr>
      <w:r>
        <w:rPr>
          <w:rFonts w:hint="eastAsia" w:ascii="宋体" w:hAnsi="宋体" w:eastAsia="宋体" w:cs="Times New Roman"/>
          <w:b/>
          <w:bCs/>
          <w:kern w:val="28"/>
          <w:sz w:val="24"/>
          <w:szCs w:val="32"/>
          <w:lang w:bidi="ar"/>
        </w:rPr>
        <w:t>三、律师保密义务的经济分析</w:t>
      </w:r>
    </w:p>
    <w:p w14:paraId="0D9E080B">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1.公平</w:t>
      </w:r>
    </w:p>
    <w:p w14:paraId="433B1736">
      <w:pPr>
        <w:adjustRightInd w:val="0"/>
        <w:snapToGrid w:val="0"/>
        <w:spacing w:line="336" w:lineRule="auto"/>
        <w:ind w:firstLine="440" w:firstLineChars="200"/>
        <w:rPr>
          <w:rFonts w:ascii="宋体" w:hAnsi="宋体" w:eastAsia="宋体" w:cs="宋体"/>
          <w:szCs w:val="21"/>
        </w:rPr>
      </w:pPr>
      <w:r>
        <w:rPr>
          <w:rFonts w:hint="eastAsia" w:ascii="宋体" w:hAnsi="宋体" w:eastAsia="宋体" w:cs="宋体"/>
          <w:szCs w:val="21"/>
          <w:lang w:bidi="ar"/>
        </w:rPr>
        <w:t>保密义务实际上是一种形式意义上的公平。按照罗尔斯对正义的概括，保密义务属于程序公正的范畴。伴随着当事人主义理念的泛滥，诉讼正在逐渐演变成一场战争，“原告武装以诉讼形式，仿佛配上了刀剑，因此，被告要用抗辩装备起来，作为盾牌加以抵抗”[9]。为了确保双方力量的均等，“律师不再是积极协助法院发现事实的法院成员，律师是被纯化成为了刑事诉讼的一方当事人即被告人设置的武器”，最终否定了律师的真实义务，使律师成为竭尽全力维护当事人利益的“被雇佣的持枪保镖”[10]。但是，程序公正不是最终目标，实质正义才是一种结果价值，设定了保密义务的程序公正是否可以比没有保密义务更能实现实质正义?这一点本身就缺乏足以令人信服的证明。相反，美国一位学者在“日美中三国刑事辩护伦理道德国际研讨会”上提到这样一个案例：几年前的一起杀人案件中，被告人向他的律师透露他还杀死过其他两个人，律师根据该供述发现了尸体并拍照，但他们却拒绝将上述情况告诉警察和法庭，声称如果这样做将严重违反自己的职业道德。[11]面对这样的事实，我们很难作出保密义务妨碍实质公正只是例外情况的简单判断，更难接受“这是一种必要的丧失，其积极的效果是维护了程序正义”[12](P288)的论断。保密义务在保证了一方当事人的公平的同时，也隐含对于对方当事人或受害人的极不公平的可能，要律师自己去权衡利弊并作自由选择是不妥当的，应该由法律明确加以规定，即律师的保密原则不能违反真实这一最高原则，以及对双方当事人都公平这一最高层次的公平。</w:t>
      </w:r>
    </w:p>
    <w:p w14:paraId="18278B80">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从信息交流的层面分析，当法律规定律师不再保守违背真实和双方公平原则的职务秘密，或者说律师不再保守对于本方当事人不利的秘密时，律师通常仍然是一般当事人唯一可以依靠的法律知识的拥有者和辩护者，律师制度不仅会继续存在，而且会释放出更具公平和效率的制度潜能，更有效地进行律师和本方当事人以及整个办案过程中的正常信息交流。</w:t>
      </w:r>
    </w:p>
    <w:p w14:paraId="74741D53">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2.效率</w:t>
      </w:r>
    </w:p>
    <w:p w14:paraId="4E7254CA">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既然保密义务的效率体现在能够“更好地发现真相”，那么笔者用一个简单的模型来观察保密义务是否可以实现低成本水平和高真相水平。</w:t>
      </w:r>
    </w:p>
    <w:p w14:paraId="67D3BCF3">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假设在一个案例中存在三方主体：当事人A、当事人B以及法官C。为了发现真相F，各个主体所需的费用支出分别为Pa、Pb、Pc，P=Pa+Pb+Pc。当事人A掌握了当事人B、法官C不知情的关键信息I，当然Pa≡0。另外，不妨假定真相水平F是费用支出P的增函数：F=F(P)，dP/dF&gt;0。作为对比，存在律师有无保密义务的三种情况：情况Ⅰ——当事人A的律师获悉信息I而不披露(当事人主义诉讼模式)；情况Ⅱ——当事人A的律师获悉信息I而不披露(职权主义诉讼模式)；情况Ⅲ——当事人A的律师获悉信息I并披露(本文主张的真实主义诉讼模式)。</w:t>
      </w:r>
    </w:p>
    <w:p w14:paraId="5EE06606">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情况Ⅰ：在当事人主义的诉讼模式中，当事人方面在整个诉讼中处于主导地位，能够按照自己的意志自由处分自身权利，法官仅仅作为中立的裁判者始终处在被动消极的地位，法官不干涉当事人自由处分自身权利，同时，法官裁判的事实依据通常来自于当事人，法官并不承担发现证据的职能——Pc=0。当事人B参加诉讼的前提在于诉讼的预期收益大于诉讼成本，这里的诉讼预期收益指诉讼标的额和胜诉概率的乘积，诉讼成本包括当事人在诉讼中的各项费用支出[13](PP663669)。因此，当事人B为了提高胜诉概率[8](P735)而支出的信息I的调查费用(属于诉讼成本的一部分)，应当达到边际诉讼成本等于边际诉讼预期收益的水平。换而言之，当事人B在诉讼成本支出和诉讼预期收益之间进行决策，最终选择了一个最经济合理的真相水平F1和费用水平P1。当然，这里是假定决策单位(即当事人)意识到他们最大化的努力，能够条理分明地描述其效用最大化的决策过程。</w:t>
      </w:r>
    </w:p>
    <w:p w14:paraId="5340DD7A">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情况Ⅱ：在职权主义的诉讼模式中，整个诉讼程序的启动、发展和消灭基本都是由法院的职权来决定，相对于当事人主义诉讼模式中当事人所享有的高度的自由处分权利，职权主义诉讼模式中加入了强烈的法官干预色彩。在职权主义诉讼模式的司法体系中，当事人的举证能力通常被认为是有限的，提出的证据是值得怀疑的，法院负有主动地全面收集证据的权力和责任——Pb=0。法院承担调查取证责任所需的费用支出是由私人和社会两方面负担的，私人成本表现为诉讼当事人缴纳的诉讼费，社会成本则是通过政府财政拨款的方式实现，其中社会成本是主要的组成部分。法院可以把大量的由个案引起的费用支出通过社会成本转嫁给社会公众，因此，法院比之当事人B可以承担更高的费用水平P2(P2&gt;P1)，同时，按照模型的假设——真相水平F是费用支出P的增函数，法院能够实现更高的真相水平F2(F2&gt;F1)。</w:t>
      </w:r>
    </w:p>
    <w:p w14:paraId="1DAFBD00">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情况Ⅲ：在真实主义诉讼模式中，当事人A的律师知悉信息I并予以披露，有理由认为A披露信息的成本可以忽略不计，则Pa=0，当事人B、法官C获取信息不需要成本支出，则Pb=Pc=0，所以，P1=Pa+Pb+Pc=0。而真相水平由于A的信息披露达到其最大值F3。</w:t>
      </w:r>
    </w:p>
    <w:p w14:paraId="2D172355">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比较情况Ⅰ、情况Ⅱ、情况Ⅲ，不难发现：F1&lt;F2&lt;F3；P1&gt;P2&gt;P3。这一研究结果表明，在当事人A的律师不遵循违背真实原则的保密义务，而忠实于法院和事实时，实现了最少费用支出和最大真相收益，实现了效率，而律师保守一切职业秘密导致了低效率或无效率。这个结论恰恰同设定律师保密义务的初衷相反。</w:t>
      </w:r>
    </w:p>
    <w:p w14:paraId="478214E7">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这个模型容易遭致批评的方面可能在于这样的观点：如果不确立律师应当保守职业秘密的原则，律师可能根本就无法和当事人进行信息交流，也就无法获悉模型中所谓的信息I，从而根本就不会存在模型中被认为最优的情况Ⅲ。这种批评是不成立的。从当事人的角度来看，当事人作为法律专门知识的弱势群体，一般不可能不通过律师来尽量公正或最大限度地实现自己的愿望。况且，聘请律师的目的在于获得法律服务，而法律服务的含义并不是逃避法律责任，帮助当事人逃避法律责任从来就不是律师的工作——当事人应明确或应帮助当事人明确这样的观点。当事人事实上可以通过掌握向律师透露信息的内容，来控制由律师可能予以揭发所带来的风险。在这一点上，当事人是完全拥有自主权的。</w:t>
      </w:r>
    </w:p>
    <w:p w14:paraId="7233E2C4">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另有一个问题是：既然情况Ⅱ中的法院调查可以在当事人较低的费用支出水平上实现较高的真相水平，为什么不将情况Ⅱ这样一种律师强有力保护当事人的状态作为最优选择?笔者认为，情况Ⅱ中职权主义诉讼模式确实在两方面优于情况Ⅰ的当事人主义诉讼模式。首先，法院承担调查取证责任，减少了双方律师在相互对抗中取得事实真相所耗费的资源量，“用于对抗程序的资源相互抵消而并没有增加司法判决的准确性，这类似于广告开支”[8](P678)。不过，法院调查取证的费用支出毕竟远远大于当事人或其律师自觉披露证据的情况。其次，法院的费用支出在非常大的比例上是由社会公众承担的，由于“如果法律制度的功能只在于解决纠纷，那么我们将这种制度的全部成本加于纠纷当事人还是合适的，但是它的另一个重要功能就是建立一套旨在影响现存案件当事人和其他人的未来行为的行为规则”[8](P679)，因而社会公众享受了通过案例制定规则，从而调整预期、选择合理的预防成本支出的利益。只是完全由社会公众来负担也不合理，因为毕竟涉及到双方当事人的权益。</w:t>
      </w:r>
    </w:p>
    <w:p w14:paraId="7629BC63">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应当指出，上述模型是建立在民事诉讼基础上的。对于刑事诉讼，情况Ⅰ、情况Ⅱ有所不同，作为控诉方的B有义务尽最大可能发现一切导向真相的信息，但模型的结论将不会有太大差别，情况Ⅲ仍然是费用支出最低、真相收益最高的选择。</w:t>
      </w:r>
    </w:p>
    <w:p w14:paraId="087D7C31">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3.机制设计的思路</w:t>
      </w:r>
    </w:p>
    <w:p w14:paraId="00187166">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在得到了律师不遵循保密义务，忠于法院和事实真相将实现效率并保证了公平的结论后，可以开始探讨实现律师忠于法院和事实真相的机制。</w:t>
      </w:r>
    </w:p>
    <w:p w14:paraId="5DF219B5">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虽然存在这样的观点，“律师所提供的服务和技能可以有偿，但他们的人格和政治信仰则不然；因为他们每个人都是有个性的，当事人用金钱换来的忠诚是有限的，因为律师的职业人格中还有为公共事业作贡献的成份”[14](P17)，可是，律师作为独立的个体决策主体，从根本上说很难以社会公共利益作为决策的唯一出发点，主客观上均受到自身利益最大化的极大影响。</w:t>
      </w:r>
    </w:p>
    <w:p w14:paraId="322E1F27">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从直观的角度分析，可以影响律师自身利益最大化，从而决定律师是否保密的决策的因素有以下三个方面：首先，法律规定对于律师隐瞒事实真相的处罚力度。这是律师保守秘密行为的最直接的成本。为了下文阐述的简便，将这种处罚简单地归结为罚金。其次，律师通过隐瞒事实真相、保护委托人而赢得的在当事人中的声望。不可否认一个守口如瓶的、全力维护委托人的律师将能够获得更多的业务委托，从而获得更多的经济利益。“声望”因素也可以用数字化的金额方式衡量。第三，胜诉给律师带来和委托人的共同利益。律师的法律服务在某种程度上完全是一种市场行为，委托人在律师市场上按照自己的需求和支付能力购买合适的律师服务，律师的劳动完全是由委托人的私人投资引起，因而律师和委托人存在天然的共同利益基础，而胜诉酬金制将这种共同利益关系推向极致。胜诉酬金制规定律师收取的律师费为当事人胜诉金额的1/3，最高的可达50%，而在败诉时不收取律师费。[15]律师是否保守职业秘密的决策，不仅受到以上“罚金”、“声望”、“共同利益”三个因素的影响，还将依赖于对方当事人或控诉方的决策(即是否就对方律师保守的秘密进行调查)。因此，为了确保律师自觉地在对方实施调查取证的行为前披露其掌握的不利于委托人的事实真相，实现最小费用支出和最大真相收益的最优状态，在规则制定和具体措施中必须贯彻这样的思路：在切断律师与其委托人的共同利益的同时，必须使得保守秘密——特别是保守不利于委托人的秘密——不再成为律师吸引委托人的良好声誉，律师不再能藉此获益。</w:t>
      </w:r>
    </w:p>
    <w:p w14:paraId="0BFBB6F3">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四、结论</w:t>
      </w:r>
    </w:p>
    <w:p w14:paraId="587FE2E9">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可见，从经济学的角度和从法学的角度分析律师保密义务，其结果产生了微妙的差异。律师保守职业秘密制度是从保障当事人的权利出发制定的，却未必可以如法理分析的那样也保护社会公众的合法权益，实现社会资源的最有效配置。</w:t>
      </w:r>
    </w:p>
    <w:p w14:paraId="2D48F7F8">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参考文献：</w:t>
      </w:r>
    </w:p>
    <w:p w14:paraId="5C83595B">
      <w:pPr>
        <w:spacing w:line="276" w:lineRule="auto"/>
        <w:rPr>
          <w:rFonts w:ascii="宋体" w:hAnsi="宋体" w:eastAsia="宋体" w:cs="宋体"/>
          <w:sz w:val="18"/>
          <w:szCs w:val="18"/>
        </w:rPr>
      </w:pPr>
      <w:r>
        <w:rPr>
          <w:rFonts w:hint="eastAsia" w:ascii="宋体" w:hAnsi="宋体" w:eastAsia="宋体" w:cs="宋体"/>
          <w:sz w:val="18"/>
          <w:szCs w:val="18"/>
          <w:lang w:bidi="ar"/>
        </w:rPr>
        <w:t>[1]李玉华.国外律师保守职务秘密原则比较研究[J].河北经贸大学学报，1999(4).</w:t>
      </w:r>
    </w:p>
    <w:p w14:paraId="3F4683E8">
      <w:pPr>
        <w:spacing w:line="276" w:lineRule="auto"/>
        <w:rPr>
          <w:rFonts w:ascii="宋体" w:hAnsi="宋体" w:eastAsia="宋体" w:cs="宋体"/>
          <w:sz w:val="18"/>
          <w:szCs w:val="18"/>
        </w:rPr>
      </w:pPr>
      <w:r>
        <w:rPr>
          <w:rFonts w:hint="eastAsia" w:ascii="宋体" w:hAnsi="宋体" w:eastAsia="宋体" w:cs="宋体"/>
          <w:sz w:val="18"/>
          <w:szCs w:val="18"/>
          <w:lang w:bidi="ar"/>
        </w:rPr>
        <w:t>[2]王进喜.律师职业秘密问题研究[A].诉讼法论丛第3卷[C].北京：法律出版社，1999.</w:t>
      </w:r>
    </w:p>
    <w:p w14:paraId="1EF63F15">
      <w:pPr>
        <w:spacing w:line="276" w:lineRule="auto"/>
        <w:rPr>
          <w:rFonts w:ascii="宋体" w:hAnsi="宋体" w:eastAsia="宋体" w:cs="宋体"/>
          <w:sz w:val="18"/>
          <w:szCs w:val="18"/>
        </w:rPr>
      </w:pPr>
      <w:r>
        <w:rPr>
          <w:rFonts w:hint="eastAsia" w:ascii="宋体" w:hAnsi="宋体" w:eastAsia="宋体" w:cs="宋体"/>
          <w:sz w:val="18"/>
          <w:szCs w:val="18"/>
          <w:lang w:bidi="ar"/>
        </w:rPr>
        <w:t>[3]熊秋红.刑事辩护论[M].北京：法律出版社，1998.</w:t>
      </w:r>
    </w:p>
    <w:p w14:paraId="408F9B6D">
      <w:pPr>
        <w:spacing w:line="276" w:lineRule="auto"/>
        <w:rPr>
          <w:rFonts w:ascii="宋体" w:hAnsi="宋体" w:eastAsia="宋体" w:cs="宋体"/>
          <w:sz w:val="18"/>
          <w:szCs w:val="18"/>
        </w:rPr>
      </w:pPr>
      <w:r>
        <w:rPr>
          <w:rFonts w:hint="eastAsia" w:ascii="宋体" w:hAnsi="宋体" w:eastAsia="宋体" w:cs="宋体"/>
          <w:sz w:val="18"/>
          <w:szCs w:val="18"/>
          <w:lang w:bidi="ar"/>
        </w:rPr>
        <w:t>[4]宋英辉.刑事诉讼目的论[M].北京：中国人民公安大学，1995.</w:t>
      </w:r>
    </w:p>
    <w:p w14:paraId="5828F03A">
      <w:pPr>
        <w:spacing w:line="276" w:lineRule="auto"/>
        <w:rPr>
          <w:rFonts w:ascii="宋体" w:hAnsi="宋体" w:eastAsia="宋体" w:cs="宋体"/>
          <w:sz w:val="18"/>
          <w:szCs w:val="18"/>
        </w:rPr>
      </w:pPr>
      <w:r>
        <w:rPr>
          <w:rFonts w:hint="eastAsia" w:ascii="宋体" w:hAnsi="宋体" w:eastAsia="宋体" w:cs="宋体"/>
          <w:sz w:val="18"/>
          <w:szCs w:val="18"/>
          <w:lang w:bidi="ar"/>
        </w:rPr>
        <w:t>[5]美国律师协会.律师职业行为标准规则[M].北京：中国政法大学出版社，2002.</w:t>
      </w:r>
    </w:p>
    <w:p w14:paraId="31354E74">
      <w:pPr>
        <w:spacing w:line="276" w:lineRule="auto"/>
        <w:rPr>
          <w:rFonts w:ascii="宋体" w:hAnsi="宋体" w:eastAsia="宋体" w:cs="宋体"/>
          <w:sz w:val="18"/>
          <w:szCs w:val="18"/>
        </w:rPr>
      </w:pPr>
      <w:r>
        <w:rPr>
          <w:rFonts w:hint="eastAsia" w:ascii="宋体" w:hAnsi="宋体" w:eastAsia="宋体" w:cs="宋体"/>
          <w:sz w:val="18"/>
          <w:szCs w:val="18"/>
          <w:lang w:bidi="ar"/>
        </w:rPr>
        <w:t>[6][美]华尔兹.刑事证据大全[M].北京：中国人民公安大学，1993.</w:t>
      </w:r>
    </w:p>
    <w:p w14:paraId="0B47194C">
      <w:pPr>
        <w:spacing w:line="276" w:lineRule="auto"/>
        <w:rPr>
          <w:rFonts w:ascii="宋体" w:hAnsi="宋体" w:eastAsia="宋体" w:cs="宋体"/>
          <w:sz w:val="18"/>
          <w:szCs w:val="18"/>
        </w:rPr>
      </w:pPr>
      <w:r>
        <w:rPr>
          <w:rFonts w:hint="eastAsia" w:ascii="宋体" w:hAnsi="宋体" w:eastAsia="宋体" w:cs="宋体"/>
          <w:sz w:val="18"/>
          <w:szCs w:val="18"/>
          <w:lang w:bidi="ar"/>
        </w:rPr>
        <w:t>[7]马贵翔.刑事诉讼对控辩平等的追求[J].中国法学，1998(2).</w:t>
      </w:r>
    </w:p>
    <w:p w14:paraId="048B8A76">
      <w:pPr>
        <w:spacing w:line="276" w:lineRule="auto"/>
        <w:rPr>
          <w:rFonts w:ascii="宋体" w:hAnsi="宋体" w:eastAsia="宋体" w:cs="宋体"/>
          <w:sz w:val="18"/>
          <w:szCs w:val="18"/>
        </w:rPr>
      </w:pPr>
      <w:r>
        <w:rPr>
          <w:rFonts w:hint="eastAsia" w:ascii="宋体" w:hAnsi="宋体" w:eastAsia="宋体" w:cs="宋体"/>
          <w:sz w:val="18"/>
          <w:szCs w:val="18"/>
          <w:lang w:bidi="ar"/>
        </w:rPr>
        <w:t>[8][美]波斯纳.法律的经济分析[M].北京：中国大百科全书出版社，1997.</w:t>
      </w:r>
    </w:p>
    <w:p w14:paraId="083563C8">
      <w:pPr>
        <w:spacing w:line="276" w:lineRule="auto"/>
        <w:rPr>
          <w:rFonts w:ascii="宋体" w:hAnsi="宋体" w:eastAsia="宋体" w:cs="宋体"/>
          <w:sz w:val="18"/>
          <w:szCs w:val="18"/>
        </w:rPr>
      </w:pPr>
      <w:r>
        <w:rPr>
          <w:rFonts w:hint="eastAsia" w:ascii="宋体" w:hAnsi="宋体" w:eastAsia="宋体" w:cs="宋体"/>
          <w:sz w:val="18"/>
          <w:szCs w:val="18"/>
          <w:lang w:bidi="ar"/>
        </w:rPr>
        <w:t>[9]Hobertps Englishkingps Bench Reports[M].肖建国.程序公正的理念及其实现[J].法学研究，1999(3).</w:t>
      </w:r>
    </w:p>
    <w:p w14:paraId="08A3CA58">
      <w:pPr>
        <w:spacing w:line="276" w:lineRule="auto"/>
        <w:rPr>
          <w:rFonts w:ascii="宋体" w:hAnsi="宋体" w:eastAsia="宋体" w:cs="宋体"/>
          <w:sz w:val="18"/>
          <w:szCs w:val="18"/>
        </w:rPr>
      </w:pPr>
      <w:r>
        <w:rPr>
          <w:rFonts w:hint="eastAsia" w:ascii="宋体" w:hAnsi="宋体" w:eastAsia="宋体" w:cs="宋体"/>
          <w:sz w:val="18"/>
          <w:szCs w:val="18"/>
          <w:lang w:bidi="ar"/>
        </w:rPr>
        <w:t>[10][日]村冈启一.辩护人的作用及律师的伦理[J].外国法译评，1998(2).</w:t>
      </w:r>
    </w:p>
    <w:p w14:paraId="455088BE">
      <w:pPr>
        <w:spacing w:line="276" w:lineRule="auto"/>
        <w:rPr>
          <w:rFonts w:ascii="宋体" w:hAnsi="宋体" w:eastAsia="宋体" w:cs="宋体"/>
          <w:sz w:val="18"/>
          <w:szCs w:val="18"/>
        </w:rPr>
      </w:pPr>
      <w:r>
        <w:rPr>
          <w:rFonts w:hint="eastAsia" w:ascii="宋体" w:hAnsi="宋体" w:eastAsia="宋体" w:cs="宋体"/>
          <w:sz w:val="18"/>
          <w:szCs w:val="18"/>
          <w:lang w:bidi="ar"/>
        </w:rPr>
        <w:t>[11][美]费尼.刑事辩护的伦理道德问题[J].外国法译评，1998(2).</w:t>
      </w:r>
    </w:p>
    <w:p w14:paraId="22DE7280">
      <w:pPr>
        <w:spacing w:line="276" w:lineRule="auto"/>
        <w:rPr>
          <w:rFonts w:ascii="宋体" w:hAnsi="宋体" w:eastAsia="宋体" w:cs="宋体"/>
          <w:sz w:val="18"/>
          <w:szCs w:val="18"/>
        </w:rPr>
      </w:pPr>
      <w:r>
        <w:rPr>
          <w:rFonts w:hint="eastAsia" w:ascii="宋体" w:hAnsi="宋体" w:eastAsia="宋体" w:cs="宋体"/>
          <w:sz w:val="18"/>
          <w:szCs w:val="18"/>
          <w:lang w:bidi="ar"/>
        </w:rPr>
        <w:t>[12]陈瑞华.刑事审判原理论[M].北京：北京大学出版社，1997.</w:t>
      </w:r>
    </w:p>
    <w:p w14:paraId="7FABCA8A">
      <w:pPr>
        <w:spacing w:line="276" w:lineRule="auto"/>
        <w:rPr>
          <w:rFonts w:ascii="宋体" w:hAnsi="宋体" w:eastAsia="宋体" w:cs="宋体"/>
          <w:sz w:val="18"/>
          <w:szCs w:val="18"/>
        </w:rPr>
      </w:pPr>
      <w:r>
        <w:rPr>
          <w:rFonts w:hint="eastAsia" w:ascii="宋体" w:hAnsi="宋体" w:eastAsia="宋体" w:cs="宋体"/>
          <w:sz w:val="18"/>
          <w:szCs w:val="18"/>
          <w:lang w:bidi="ar"/>
        </w:rPr>
        <w:t>[13][美]考特，尤伦.法和经济学[M].上海：上海三联书店、上海人民出版社，1994.</w:t>
      </w:r>
    </w:p>
    <w:p w14:paraId="43FB6B6F">
      <w:pPr>
        <w:spacing w:line="276" w:lineRule="auto"/>
        <w:rPr>
          <w:rFonts w:ascii="宋体" w:hAnsi="宋体" w:eastAsia="宋体" w:cs="宋体"/>
          <w:sz w:val="18"/>
          <w:szCs w:val="18"/>
        </w:rPr>
      </w:pPr>
      <w:r>
        <w:rPr>
          <w:rFonts w:hint="eastAsia" w:ascii="宋体" w:hAnsi="宋体" w:eastAsia="宋体" w:cs="宋体"/>
          <w:sz w:val="18"/>
          <w:szCs w:val="18"/>
          <w:lang w:bidi="ar"/>
        </w:rPr>
        <w:t>[14][美]戈登.律师独立论[M].北京：中国政法大学出版社，1992.</w:t>
      </w:r>
    </w:p>
    <w:p w14:paraId="7C1E7EBE">
      <w:pPr>
        <w:spacing w:line="276" w:lineRule="auto"/>
        <w:rPr>
          <w:rFonts w:ascii="宋体" w:hAnsi="宋体" w:eastAsia="宋体" w:cs="宋体"/>
          <w:sz w:val="18"/>
          <w:szCs w:val="18"/>
        </w:rPr>
      </w:pPr>
      <w:r>
        <w:rPr>
          <w:rFonts w:hint="eastAsia" w:ascii="宋体" w:hAnsi="宋体" w:eastAsia="宋体" w:cs="宋体"/>
          <w:sz w:val="18"/>
          <w:szCs w:val="18"/>
          <w:lang w:bidi="ar"/>
        </w:rPr>
        <w:t>[15]饶世权.论律师胜诉收费制度[J].湖南省政法管理干部学院学报，2000(5).</w:t>
      </w:r>
    </w:p>
    <w:p w14:paraId="63228940">
      <w:pPr>
        <w:spacing w:line="276" w:lineRule="auto"/>
        <w:ind w:firstLine="440" w:firstLineChars="200"/>
        <w:rPr>
          <w:rFonts w:ascii="宋体" w:hAnsi="宋体" w:eastAsia="宋体" w:cs="宋体"/>
          <w:szCs w:val="21"/>
        </w:rPr>
      </w:pPr>
      <w:r>
        <w:rPr>
          <w:rFonts w:hint="eastAsia" w:ascii="宋体" w:hAnsi="宋体" w:eastAsia="宋体" w:cs="宋体"/>
          <w:szCs w:val="21"/>
          <w:lang w:bidi="ar"/>
        </w:rPr>
        <w:t>（原载《江苏行政学院学报》2005年第6期，第二作者为管文杰）</w:t>
      </w:r>
      <w:r>
        <w:rPr>
          <w:rFonts w:hint="eastAsia" w:ascii="宋体" w:hAnsi="宋体" w:eastAsia="宋体" w:cs="宋体"/>
          <w:szCs w:val="21"/>
          <w:lang w:bidi="ar"/>
        </w:rPr>
        <w:br w:type="page"/>
      </w:r>
    </w:p>
    <w:p w14:paraId="33E9C02B">
      <w:pPr>
        <w:spacing w:before="147" w:beforeLines="50" w:after="147" w:afterLines="50" w:line="300" w:lineRule="auto"/>
        <w:ind w:firstLine="660" w:firstLineChars="200"/>
        <w:jc w:val="center"/>
        <w:outlineLvl w:val="1"/>
        <w:rPr>
          <w:rFonts w:ascii="黑体" w:hAnsi="宋体" w:eastAsia="黑体" w:cs="黑体"/>
          <w:sz w:val="32"/>
          <w:szCs w:val="36"/>
        </w:rPr>
      </w:pPr>
      <w:bookmarkStart w:id="549" w:name="_Toc111148957"/>
      <w:bookmarkStart w:id="550" w:name="_Toc25348"/>
      <w:bookmarkStart w:id="551" w:name="_Toc1396885137"/>
      <w:bookmarkStart w:id="552" w:name="_Toc1450989184"/>
      <w:r>
        <w:rPr>
          <w:rFonts w:ascii="黑体" w:hAnsi="宋体" w:eastAsia="黑体" w:cs="黑体"/>
          <w:sz w:val="32"/>
          <w:szCs w:val="36"/>
          <w:lang w:bidi="ar"/>
        </w:rPr>
        <w:t>19</w:t>
      </w:r>
      <w:r>
        <w:rPr>
          <w:rFonts w:hint="eastAsia" w:ascii="黑体" w:hAnsi="宋体" w:eastAsia="黑体" w:cs="黑体"/>
          <w:sz w:val="32"/>
          <w:szCs w:val="36"/>
          <w:lang w:bidi="ar"/>
        </w:rPr>
        <w:t>公平与效率交互同向论</w:t>
      </w:r>
      <w:bookmarkEnd w:id="549"/>
      <w:bookmarkEnd w:id="550"/>
      <w:bookmarkEnd w:id="551"/>
      <w:bookmarkEnd w:id="552"/>
    </w:p>
    <w:p w14:paraId="0ACF1267">
      <w:pPr>
        <w:spacing w:line="336" w:lineRule="auto"/>
        <w:ind w:firstLine="440" w:firstLineChars="200"/>
        <w:rPr>
          <w:rFonts w:ascii="宋体" w:hAnsi="宋体" w:eastAsia="宋体" w:cs="宋体"/>
          <w:b/>
          <w:szCs w:val="21"/>
        </w:rPr>
      </w:pPr>
      <w:r>
        <w:rPr>
          <w:rFonts w:hint="eastAsia" w:ascii="宋体" w:hAnsi="宋体" w:eastAsia="宋体" w:cs="宋体"/>
          <w:szCs w:val="21"/>
          <w:lang w:bidi="ar"/>
        </w:rPr>
        <w:t>对公平和效率的关系，目前主要有三种不同的观点：效率优先论、公平优先论和公平与效率并重论。如何正确认识公平与效率的相互关系，已成为国内外学术界长期讨论的一个热点问题。</w:t>
      </w:r>
    </w:p>
    <w:p w14:paraId="59E8905B">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一、公平与效率的基本内涵</w:t>
      </w:r>
    </w:p>
    <w:p w14:paraId="47F63835">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公平与效率是人类社会经济生活中的一对基本矛盾，始终是经济学论争的主题。人们之所以把这一矛盾的难题解析称作经济学说史上的“哥德巴赫猜想”，其缘由在于社会经济资源的配置效率是人类经济活动追求的目标，而经济主体在社会生产中的起点、机会、过程和结果的公平，也是人类经济活动追求的目标，这两大目标间的内在关联和制度安排，就成为各派经济学解答不尽的两难选择。</w:t>
      </w:r>
    </w:p>
    <w:p w14:paraId="0B013ACB">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1.公平的涵义。经济学意义上的公平指有关经济活动的制度、权利、机会和结果等方面的平等和合理。经济公平具有客观性、历史性和相对性。把经济公平纯粹视为心理现象，否认其客观属性和客观标准，是唯心主义分析方法的思维表现；把经济公平视为一般的永恒范畴，否认在不同的经济制度和历史发展阶段有特定的内涵，是历史唯心论分析方法的思维表现；把经济公平视为无需前提的绝对概念，否认公平与否的辩证关系和转化条件，是形而上学分析方法的思维表现。分析公平问题，需要从宏观和微观整体上加以考虑，只有这样，才能正确理解公平的完整含义。我国经济体制转轨时期的公平指制度、规则、机会、权利的公平和收入分配的平等。即，在宏观上国家要力争使参与社会活动的每个人处于平等的地位，国家要制定规则，以保障参加“游戏”的每个人具有同等的权利和机会。具体讲这一时期的公平应主要体现在以下几个方面：一是制度相对公平。由于我国目前实行社会主义市场经济制度，因此在制度上首先要坚持以公有制为主体、多种所有制形式并存的经济制度，要坚持以按劳分配为主体、多种分配形式并存的分配制度。只有这样，才能保证劳动者在就业、收入分配等方面有均等机会，也才能保证人们以同等的权利和机会参与社会活动。二是规则公平。根据社会发展的需要，以法律、法规和政府政策的形式，保证每个人在同等机会条件下去展示自己的才能，国家制定的规则要与目前的社会经济结构、政治结构、文化结构相适应，使人们在《宪法》和法律及政府政策的范围内，人人拥有就职、就业、学习等权利及谋求个人的生存和发展、获取物质和精神满足的同等机会。同时，人们还必须无条件遵守《宪法》和法律及政府政策对人们的约束，平等地承担经济的、政治的及其他方面的社会义务。三是权利公平。这里的权利公平不仅包括经济上的权利，还包括政治上及其他方面的权利。四是机会公平。指在制度、规则、权利等宏观层面的公平充分实现后，人们在社会竞争中都享有同等参与机会、获取机会和被选择机会，使每个人都能处在同一起跑线上公平竞争，不受贫富、民族、地位高低限制，使人们在制度规则允许的范围内充分展现自己的才能，以实现和满足每个人不同的需要。</w:t>
      </w:r>
    </w:p>
    <w:p w14:paraId="640EA631">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公平所体现的经济平等不仅是分配上的平等，还包括进入市场的机会平等、在市场竞争中的地位平等及最后的分配结果平等。而在市场竞争中，实行公平竞争，不存在不公平、不合理的竞争及来自市场以外的其他因素的影响，即市场活动的同类主体间最后的分配结果的平等是由生产资料的平等分配和消费资料的平等分配决定的。这里的分配平等不是平均，而是指每个人或每个生产单位参与生产资料和生活资料分配的权利是平等的。权利平等后分配的结果也应是平等的。从经济关系的实质上说，收入分配的平等从企业内部的收入分配角度来定义，是指在社会主义市场经济条件下，公有制企业内部实行按劳分配、多劳多得。而在其他经济形式如私营企业、外资企业中则按市场规则实行按资分配、按生产因素贡献分配和按劳分配相结合的形式，并在这些经济形式中建立起行之有效的工会等组织制度，使企业内部权能制衡，使分配结果更加公平。</w:t>
      </w:r>
    </w:p>
    <w:p w14:paraId="319FE6CB">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2.效率的涵义。人类的任何活动都有效率问题，对一个企业或社会来说，最高效率意味着资源处于最优配置状态，从而使特定范围内的需要得到最大满足或福利得到最大增进或财富得到最大增加。经济效率涉及生产、分配、交换和消费各个领域，包括宏观经济效率和微观经济效率两大效率问题。</w:t>
      </w:r>
    </w:p>
    <w:p w14:paraId="360D6B6A">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根据目前我国社会政治、经济的特点及所处的特定历史时期，要分析宏观经济效率就必须要从制度效率、政府政策执行效率和宏观调控的效率等方面来衡量。①制度效率。我们经常谈到或听到关于制度效率的解释及评价，即对计划经济体制和市场经济体制在经济发展过程中对资源在全社会范围内的配置合理与否、交易费用的节省方面所起的作用的评价问题。这里讲的制度，与其说是一种制度，倒不如说是一种体制，因为制度对经济的影响是通过经济体制发生作用的。社会制度相同，但采用的经济体制不同，制度效率也就不一样。对制度效率要下一个确切定义很难，但为说明问题，我们姑且把制度效率定义为经济体制运行对经济发展的影响程度、对资源在全社会范围内的配置所起的作用及体制运行时对交易费用关系的大小。经济体制运行有效地促进了经济发展，使资源在全社会范围内得到合理配置，物尽其用，人尽其才，最大限度地降低交易费用，我们就说其效率是高的，反之就是低的。社会主义制度下实行市场经济体制能否带来比传统计划体制更高的效率，从目前所取得的成绩看，答案是肯定的。作为一个社会主义大国，虽然采用市场经济体制来促进经济的发展是要冒一定风险，但事实是由计划经济转到社会主义市场经济上来，更有利于生产力的发展。从这点上看，社会主义市场经济体制在现阶段对经济发展和资源的合理配置的作用会更大一些，制度效率也会更高一些。②政府政策效率。建立了社会主义市场经济体制，并不是万事大吉，其运行还要有赖于政府政策的正确制定和执行。政府政策制定的得当与否，直接关系到其执行效果。考察政府政策效率，主要是考察政府政策的执行效果。由于市场调节有目标偏差、程度有限、速度缓慢和成本昂贵的弱点，因此经济的发展不能说有了市场经济体制就万事大吉，还必须辅之以政府调节。政府调节主要是通过政策手段来进行，必须与现实经济发展相适应。政府调节适应了市场经济体制及经济发展的需要，弥补了市场调节的缺陷，则说明政策效果是明显的，反之则是低下的。③国家宏观调控效率。由于政府调节主要是通过政府政策手段来进行，而市场调节主要是用看不见的手来完成的，因此在调节过程中，仍会出现偏离制度的可能性。国家宏观调控即国家调节可纠正这些偏差，与市场调节相适应。国家调节就是用经济、法律、行政等手段，自觉地按照经济发展总体目标分配社会总劳动，调节整个经济行为，使之为社会主义的本质要求相适应。同时国家调节有搞活经济、协调经济结构、保护市场竞争、提高整体效益、维护公平分配五个功能，从而可保证经济朝着健康有序的方向发展。如果国家调节同时存在的偏好主观、转换迟钝、政策内耗和动力匮乏等缺点，也会出现“国家失灵”的状况。一旦出现这一状况，则国家调节是效率低下的。根据我国目前情况看，国家调节基本上没有出现大的偏差，经济增长速度比较快，人民生活水平有了提高，可以说是有效率的。但也不可忽视收入分配差距的扩大、地区间差距的拉大及地区间结构发展不平衡等问题，这些都会影响国家调节的效率。</w:t>
      </w:r>
    </w:p>
    <w:p w14:paraId="5D3E1576">
      <w:pPr>
        <w:spacing w:line="336" w:lineRule="auto"/>
        <w:ind w:firstLine="440" w:firstLineChars="200"/>
        <w:rPr>
          <w:rFonts w:ascii="宋体" w:hAnsi="宋体" w:eastAsia="宋体" w:cs="宋体"/>
          <w:b/>
          <w:szCs w:val="21"/>
        </w:rPr>
      </w:pPr>
      <w:r>
        <w:rPr>
          <w:rFonts w:hint="eastAsia" w:ascii="宋体" w:hAnsi="宋体" w:eastAsia="宋体" w:cs="宋体"/>
          <w:szCs w:val="21"/>
          <w:lang w:bidi="ar"/>
        </w:rPr>
        <w:t>微观经济效率主要是分析企业内部的收入分配是否合理、一个企业生产要素的投入是否实现了最大产出及企业的管理是否科学所引发的效率问题。收入分配的合理与否是影响企业劳动者和经营者的积极性，从而导致是否有效率的关键问题。从激励机制方面考察，收入分配合理会激发劳动者和经营者的工作热情，促进企业的经济效益提高。收入分配不合理，就会因激励不足而损失效率。同时一个企业生产要素的投入与产出的关系，根据西方经济学的分析，只有实现了总成本既定、产量最大的生产要素组合或产量既定、总成本最小的生产要素组合的条件，才能带来高效率。也就是企业花在每一种生产要素上的最后一元钱所得到的产量增量都相等时，也就实现了投入与产出的高效率。近年来，企业界提出向管理要效益的口号，试图通过管理手段的科学化从而提高生产要素的利用率以带来高的经济效益。可见，管理的科学与否也是影响微观经济效率的一个重要因素。</w:t>
      </w:r>
    </w:p>
    <w:p w14:paraId="62D4510F">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二、公平与效率关系的交互同向论</w:t>
      </w:r>
    </w:p>
    <w:p w14:paraId="68F73C2C">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效率本身意味着公平，而公平本身也体现着效率，公平和效率之间是一种交互同向的辩证关系。</w:t>
      </w:r>
    </w:p>
    <w:p w14:paraId="5C0014A9">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1.公平与效率宏观层次交互同向关系。在宏观意义上，公平与效率二者是统一的，不存在孰先孰后的问题。我国目前正处于社会主义初级阶段，在这个特定的历史阶段上，既要坚持社会主义道路，使象征社会主义制度优越性的公平得以实现，又要以较高的效率来大力发展社会生产力，这就需要兼顾公平与效率。因此，目前我国的主要任务不是在公平与效率的关系上做文章，而是考察如何制定规则体现宏观公平和如何采用正确的调节手段来提高宏观经济效率。在公平的问题上，国家和政府应以规则的制定者身份出现，而不是以“游戏”的参加者身份出现。就目前而言，国家和政府应主要做好以下几个方面工作：一是继续坚持以按劳分配为主体，多种分配形式并存的分配制度。二是制定和健全法律法规，加大执法力度，使人们有一个均等的机会参与社会经济活动，而不会因权钱交易等因素影响权利和机会平等。在效率问题上，国家和政府则应做好以下几个方面工作：一是继续完善社会主义市场经济体制，建立和健全市场体系，保证市场经济体制的作用充分发挥。二是政府在制定政策时，要结合具体的经济发展状况和地区差异，针对不同的地区和部门制定不同的政策，消除政策制定时的主观因素，以事实为依据，以经济发展和资源配置最优化为目标。三是加强国家宏观调节，针对经济运行过程中出现的市场失灵状况对症下药，提高国家宏观调控效率。</w:t>
      </w:r>
    </w:p>
    <w:p w14:paraId="27D1634D">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2.公平与效率微观层次交互同向关系。微观经济效率指由于企业内部收入分配合理、管理科学所带来的效率。因此，考察的主要范围是放在企业内部公平及所引致的效率的关系上。我们认为，在微观上的公平与效率在公有制企业内部具有正反同向的交促互补关系。一方面收入分配公平和经济公平的实现有赖于企业效率的提高，另一方面，企业效率的提高也要以收入分配公平和经济平等的实现为条件。牺牲效率的公平不是我们所要求的公平，没有公平的效率也是十分低下的。在公有制企业内部，只要不把公平曲解为收入的平均或均等，通过有效的市场竞争和国家政策调节，按劳分配必然会促进效率的提高。</w:t>
      </w:r>
    </w:p>
    <w:p w14:paraId="7B851BAB">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3.公平与效率综合交互同向关系。就个人收入分配而言，当代公平与效率最优结合的载体是市场型按劳分配。按劳分配显示的经济公平，具体表现为含有差别性的劳动的平等和产品分配的平等。这种在起点、机会、过程和结果方面既有差别、又是平等的分配制度，相对于按资分配来说，客观上是最公平的，也不存在公平与效率哪个优先的问题。尽管我国法律允许按资分配这种实质上不公平因素及其制度的局部存在，但并不意味着其经济性质就是没有无偿占有他人劳动的公平分配。可见，按劳分配方式的经济公平具有客观性、阶级性和相对性。同时，只要不把这种公平曲解为收入和财富上的“平均”或“均等”，通过有效的市场竞争和国家政策调节，按劳分配不论从微观或宏观角度看，都必然直接和间接地促进效率达到极大化。因为市场竞争所形成的按劳取酬的合理收入差距，已能最大限度地发挥人的潜力，使劳动资源得到优化配置。</w:t>
      </w:r>
    </w:p>
    <w:p w14:paraId="281405BC">
      <w:pPr>
        <w:spacing w:line="336" w:lineRule="auto"/>
        <w:ind w:firstLine="440" w:firstLineChars="200"/>
        <w:rPr>
          <w:rFonts w:ascii="宋体" w:hAnsi="宋体" w:eastAsia="宋体" w:cs="宋体"/>
          <w:b/>
          <w:szCs w:val="21"/>
        </w:rPr>
      </w:pPr>
      <w:r>
        <w:rPr>
          <w:rFonts w:hint="eastAsia" w:ascii="宋体" w:hAnsi="宋体" w:eastAsia="宋体" w:cs="宋体"/>
          <w:szCs w:val="21"/>
          <w:lang w:bidi="ar"/>
        </w:rPr>
        <w:t>总之，国内外日趋增多的研究表明，公平与效率具有正相关联系，两者呈此长彼长、此消彼消的正反同向的交促关系和互补关系。</w:t>
      </w:r>
    </w:p>
    <w:p w14:paraId="20937E37">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三、确立公平与效率交互同向关系应注意的几个问题</w:t>
      </w:r>
    </w:p>
    <w:p w14:paraId="7E48FA5E">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第一，公平不等于收入均等或收入平均。经济公平的内涵大大超过收入平均的概念。从经济活动的结果来界定收入分配是否公平，只是经济公平的涵义之一。结果公平至少也有财富分配和收入分配两个观察角度，财富分配的角度更为重要。况且，收入分配平均与收入分配公平属于不同层面的问题，不应混淆。包括阿瑟·奥肯和勒纳在内的国际学术界流行思潮，把经济公平和结果平等视为收入均等化或收入平均化，是明显含有严重逻辑错误的。</w:t>
      </w:r>
    </w:p>
    <w:p w14:paraId="30FD9723">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第二，收入和财富的差距并不都是效率提高的结果，其刺激效应达到一定程度后便具有递减趋势，甚至出现负面效应。如世界各国普遍存在的“地下经济”、“寻租”活动、权钱交易等形成的巨大黑色收入和灰色收入，与效率的提高没有内在的联系。再如，一部分高收入者的工作效率已达顶点，继续加大分配差距不会提高效率；也有一部分低收入者已不可能改变内外条件来增加收入，进而导致沮丧心态的生产和效率的降低。换句话说，“经济人”接受高收入刺激的效率有着生理和社会限制，不会轻易进行没有新增收益的效率改进活动，过大的收入和财富差距必然损失社会总效率。</w:t>
      </w:r>
    </w:p>
    <w:p w14:paraId="34DD160C">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第三，高效率是无法脱离以合理的公有制经济体制为基础的公平分配的。从世界范围观察，可将所有制、体制、公平和效率这四个相关因素的结合链分归四类：公有制→体制优越→公平→高效率（效率Ⅰ）；私有制→体制较优→不公平→中效率（效率Ⅱ）；公有制→体制次优→较公平→次中效率（效率Ⅲ）；私有制→体制较劣→不公平→低效率（效率Ⅳ）。改革前，中国和原苏联等社会主义国家属于“效率Ⅲ”，已超过属于“效率Ⅳ”的多数资本主义国家，但尚未超过属于“效率Ⅱ”的少数较发达资本主义国家。在制度成本最低和相对最公平的状态中实现高效率，是我们改革的终极目标。</w:t>
      </w:r>
    </w:p>
    <w:p w14:paraId="7C8466C2">
      <w:pPr>
        <w:spacing w:line="336" w:lineRule="auto"/>
        <w:ind w:firstLine="440" w:firstLineChars="200"/>
        <w:rPr>
          <w:rFonts w:ascii="宋体" w:hAnsi="宋体" w:eastAsia="宋体" w:cs="宋体"/>
          <w:szCs w:val="21"/>
        </w:rPr>
      </w:pPr>
      <w:r>
        <w:rPr>
          <w:rFonts w:hint="eastAsia" w:ascii="宋体" w:hAnsi="宋体" w:eastAsia="宋体" w:cs="宋体"/>
          <w:szCs w:val="21"/>
          <w:lang w:bidi="ar"/>
        </w:rPr>
        <w:t>第四，按劳分配可实现共同富裕。与计划经济相比，在市场经济条件下，等量劳动要求获得等量报酬这一按劳分配的基本内涵未变，所改变的只是实现按劳分配的形式和途径。一是按劳分配市场化，即由劳动力市场形成的劳动力价格的转化形式——工资，是劳动者与企业在市场上通过双向选择签订劳动合同的基础；二是按劳分配企业化，即等量劳动得到等量报酬的原则只能在一个公有企业的范围内实现，不同企业的劳动者消耗同量劳动，其报酬不一定相等。实际上，现阶段的共同富裕是脱离不了按劳分配这一主体的分配方式。倘若我国不重蹈大多数资本主义国家所走过、又为美国库兹涅茨所描述的“倒U型道路”，那么，就能通过逐步建立一种公平与效率兼得的良性循环机制来推进全社会的共同富裕。</w:t>
      </w:r>
    </w:p>
    <w:p w14:paraId="4BEDEE86">
      <w:pPr>
        <w:rPr>
          <w:rFonts w:ascii="宋体" w:hAnsi="宋体" w:eastAsia="宋体" w:cs="宋体"/>
          <w:szCs w:val="21"/>
          <w:lang w:bidi="ar"/>
        </w:rPr>
      </w:pPr>
      <w:r>
        <w:rPr>
          <w:rFonts w:hint="eastAsia" w:ascii="宋体" w:hAnsi="宋体" w:eastAsia="宋体" w:cs="宋体"/>
          <w:szCs w:val="21"/>
          <w:lang w:bidi="ar"/>
        </w:rPr>
        <w:t>（原载《经济纵横》2005年第12期）</w:t>
      </w:r>
      <w:r>
        <w:rPr>
          <w:rFonts w:ascii="宋体" w:hAnsi="宋体" w:eastAsia="宋体" w:cs="宋体"/>
          <w:szCs w:val="21"/>
          <w:lang w:bidi="ar"/>
        </w:rPr>
        <w:br w:type="page"/>
      </w:r>
    </w:p>
    <w:p w14:paraId="14F6FBE2"/>
    <w:p w14:paraId="2C7CD8E2"/>
    <w:p w14:paraId="3203D080">
      <w:pPr>
        <w:spacing w:before="147" w:beforeLines="50" w:after="147" w:afterLines="50" w:line="300" w:lineRule="auto"/>
        <w:ind w:firstLine="660" w:firstLineChars="200"/>
        <w:jc w:val="center"/>
        <w:outlineLvl w:val="1"/>
        <w:rPr>
          <w:rFonts w:ascii="黑体" w:hAnsi="宋体" w:eastAsia="黑体" w:cs="Times New Roman"/>
          <w:sz w:val="32"/>
          <w:szCs w:val="32"/>
        </w:rPr>
      </w:pPr>
      <w:bookmarkStart w:id="553" w:name="_Toc11930"/>
      <w:bookmarkStart w:id="554" w:name="_Toc111148958"/>
      <w:bookmarkStart w:id="555" w:name="_Hlk111146671"/>
      <w:bookmarkStart w:id="556" w:name="_Toc1157268555"/>
      <w:bookmarkStart w:id="557" w:name="_Toc2098403803"/>
      <w:r>
        <w:rPr>
          <w:rFonts w:ascii="黑体" w:hAnsi="宋体" w:eastAsia="黑体" w:cs="Times New Roman"/>
          <w:sz w:val="32"/>
          <w:szCs w:val="32"/>
          <w:lang w:bidi="ar"/>
        </w:rPr>
        <w:t>20</w:t>
      </w:r>
      <w:r>
        <w:rPr>
          <w:rFonts w:hint="eastAsia" w:ascii="黑体" w:hAnsi="宋体" w:eastAsia="黑体" w:cs="Times New Roman"/>
          <w:sz w:val="32"/>
          <w:szCs w:val="32"/>
          <w:lang w:bidi="ar"/>
        </w:rPr>
        <w:t>保护私有财产与维护公共利益</w:t>
      </w:r>
      <w:bookmarkEnd w:id="553"/>
      <w:bookmarkEnd w:id="554"/>
      <w:bookmarkEnd w:id="555"/>
      <w:bookmarkEnd w:id="556"/>
      <w:bookmarkEnd w:id="557"/>
    </w:p>
    <w:p w14:paraId="406FFB1C">
      <w:pPr>
        <w:widowControl/>
        <w:spacing w:line="300" w:lineRule="auto"/>
        <w:ind w:firstLine="440" w:firstLineChars="200"/>
        <w:rPr>
          <w:rFonts w:ascii="宋体" w:hAnsi="宋体" w:eastAsia="宋体" w:cs="宋体"/>
          <w:szCs w:val="21"/>
        </w:rPr>
      </w:pPr>
      <w:r>
        <w:rPr>
          <w:rFonts w:hint="eastAsia" w:ascii="宋体" w:hAnsi="宋体" w:eastAsia="宋体" w:cs="宋体"/>
          <w:szCs w:val="21"/>
          <w:lang w:bidi="ar"/>
        </w:rPr>
        <w:t>现代西方经济学只谈保护个人产权和利己性，并认为个人追求自身利益最大化的自由行动会无意而有效地增进社会公共利益，这显然是片面的。事实上，私人的财产和利益同公共的财产和利益时常会发生矛盾甚至冲突。需要消除以“公共利益”为名，侵占私人权益和私人财产的现象，也需要纠正国有企业改制中侵吞全民公共财产和公共利益的倾向。在经济全球化和混合经济的时代，维护私人的财产和权益与公共的财产和权益，需要共同确立民族财产和民族权益及国际竞争理念。在社会主义市场经济条件下，我们在协调两者关系上，一方面，尽可能地运用价格机制、竞争机制和供求机制等市场调节的手段进行自行调节，另一方面，国家运用法律、经济和必要的行政等手段加以自觉调节，而还有一个方面也不容藐视，即强调伦理或道德调节。</w:t>
      </w:r>
    </w:p>
    <w:p w14:paraId="291F7129">
      <w:pPr>
        <w:widowControl/>
        <w:spacing w:line="300" w:lineRule="auto"/>
        <w:ind w:firstLine="440" w:firstLineChars="200"/>
        <w:rPr>
          <w:rFonts w:ascii="宋体" w:hAnsi="宋体" w:eastAsia="宋体" w:cs="宋体"/>
          <w:szCs w:val="21"/>
        </w:rPr>
      </w:pPr>
      <w:r>
        <w:rPr>
          <w:rFonts w:hint="eastAsia" w:ascii="宋体" w:hAnsi="宋体" w:eastAsia="宋体" w:cs="宋体"/>
          <w:szCs w:val="21"/>
          <w:lang w:bidi="ar"/>
        </w:rPr>
        <w:t>目前，在构建社会主义和谐社会过程中，保护私有财产与维护公共利益已成为社会各界人士“聚焦点”，具体表现在征地、企业改制、反腐和外企逃税等一系列问题上，值得评析。所谓保护私有财产，是指依法保护公民通过合法途径获得的各种财产，任何其他行为主体都不得违法而侵犯私有财产。所谓维护公共利益，是指依法维护一定范围内社会共同的利益，任何其他行为主体都不得违法而侵犯公共利益。公共利益主要有三类：维持国家安全和法律秩序，如国防等；推动经济发展和社会进步，如基础设施、公共工程等；维持社会弱者的生存和发展，如某些慈善或公益事业等。</w:t>
      </w:r>
    </w:p>
    <w:p w14:paraId="25260868">
      <w:pPr>
        <w:widowControl/>
        <w:spacing w:line="300" w:lineRule="auto"/>
        <w:ind w:firstLine="440" w:firstLineChars="200"/>
        <w:rPr>
          <w:rFonts w:ascii="宋体" w:hAnsi="宋体" w:eastAsia="宋体" w:cs="宋体"/>
          <w:szCs w:val="21"/>
        </w:rPr>
      </w:pPr>
      <w:r>
        <w:rPr>
          <w:rFonts w:hint="eastAsia" w:ascii="宋体" w:hAnsi="宋体" w:eastAsia="宋体" w:cs="宋体"/>
          <w:szCs w:val="21"/>
          <w:lang w:bidi="ar"/>
        </w:rPr>
        <w:t>实践表明，私有财产与公共利益的相互关系，可能呈现四种状态：私有财产与公共利益一起增加的共荣状态；私有财产与公共利益一起减少的共损状态；私有财产增加导致公共利益减少的前荣后损状态；公共利益增加导致私有财产减少的一荣一损状态。可见，二者有积极作用的一致性，也有像此消彼长的矛盾性。</w:t>
      </w:r>
    </w:p>
    <w:p w14:paraId="212F86E6">
      <w:pPr>
        <w:widowControl/>
        <w:spacing w:line="300" w:lineRule="auto"/>
        <w:ind w:firstLine="440" w:firstLineChars="200"/>
        <w:rPr>
          <w:rFonts w:ascii="宋体" w:hAnsi="宋体" w:eastAsia="宋体" w:cs="宋体"/>
          <w:szCs w:val="21"/>
        </w:rPr>
      </w:pPr>
      <w:r>
        <w:rPr>
          <w:rFonts w:hint="eastAsia" w:ascii="宋体" w:hAnsi="宋体" w:eastAsia="宋体" w:cs="宋体"/>
          <w:szCs w:val="21"/>
          <w:lang w:bidi="ar"/>
        </w:rPr>
        <w:t>当前，要处理好保护私有财产与维护公共利益之关系，必须注重以下几个问题：</w:t>
      </w:r>
    </w:p>
    <w:p w14:paraId="684CB3C0">
      <w:pPr>
        <w:widowControl/>
        <w:spacing w:line="300" w:lineRule="auto"/>
        <w:ind w:firstLine="440" w:firstLineChars="200"/>
        <w:rPr>
          <w:rFonts w:ascii="宋体" w:hAnsi="宋体" w:eastAsia="宋体" w:cs="宋体"/>
          <w:szCs w:val="21"/>
        </w:rPr>
      </w:pPr>
      <w:r>
        <w:rPr>
          <w:rFonts w:hint="eastAsia" w:ascii="宋体" w:hAnsi="宋体" w:eastAsia="宋体" w:cs="宋体"/>
          <w:szCs w:val="21"/>
          <w:lang w:bidi="ar"/>
        </w:rPr>
        <w:t>一是需要消除以“公共利益”为名，侵占私人权益和私人财产。例如，强迫私人业主捐款修造路桥和学校等公共工程和公共事业。再以征收土地而经济补偿不到位为例，一些地方政府先以国家和公共利益为名，用低价征收农民的土地，再以低价转让给中外私企；或者政府按公开的市场价格转让给各类企业，从中获取差价，而损害了一个个农民的私人利益。某些因政府投资引致的土地价格升涨而形成的级差收入，可以通过土地征收价格或土地交易税收归财政，除此之外，试图通过补偿不足的土地征收差价来扩充财政收入和显示政绩，是严重损害私人财产和私人权益的非正确政绩观，必须重点改进。</w:t>
      </w:r>
    </w:p>
    <w:p w14:paraId="25C031AB">
      <w:pPr>
        <w:widowControl/>
        <w:spacing w:line="300" w:lineRule="auto"/>
        <w:ind w:firstLine="440" w:firstLineChars="200"/>
        <w:rPr>
          <w:rFonts w:ascii="宋体" w:hAnsi="宋体" w:eastAsia="宋体" w:cs="宋体"/>
          <w:szCs w:val="21"/>
        </w:rPr>
      </w:pPr>
      <w:r>
        <w:rPr>
          <w:rFonts w:hint="eastAsia" w:ascii="宋体" w:hAnsi="宋体" w:eastAsia="宋体" w:cs="宋体"/>
          <w:szCs w:val="21"/>
          <w:lang w:bidi="ar"/>
        </w:rPr>
        <w:t>二是需要纠正国有企业改制中侵吞全民公共财产和公共利益的倾向。国有资产管理体制和国有企业管理机制必须进行市场化的实质性改革，以落实十六大关于“发展壮大国有经济”的精神，从根本上维护和增大全民公共利益。对某些无市场前途、扭亏无望或规模较小的国有企业等，可以转制为集体或私有企业。现在问题在于，一些地方在改制或转制中，未经公开招标，就随意将国有资产低价卖给该企业的主要管理者，甚至是有意做亏，从而造成大规模的国有资产流失和公共利益受损。应当借鉴发达国家的经验，对某些国有企业股份的出售，需经同级立法机构的讨论或公开行政听政。要像抓“非典”那样，狠抓国有资产监督管理机构和人员的责任制，实行问责制和引咎辞职制，从产权关系的委托代理源头上和关节点上，制止国有资产和公共利益的严重流失。</w:t>
      </w:r>
    </w:p>
    <w:p w14:paraId="5824672B">
      <w:pPr>
        <w:widowControl/>
        <w:spacing w:line="300" w:lineRule="auto"/>
        <w:ind w:firstLine="440" w:firstLineChars="200"/>
        <w:rPr>
          <w:rFonts w:ascii="宋体" w:hAnsi="宋体" w:eastAsia="宋体" w:cs="宋体"/>
          <w:szCs w:val="21"/>
        </w:rPr>
      </w:pPr>
      <w:r>
        <w:rPr>
          <w:rFonts w:hint="eastAsia" w:ascii="宋体" w:hAnsi="宋体" w:eastAsia="宋体" w:cs="宋体"/>
          <w:szCs w:val="21"/>
          <w:lang w:bidi="ar"/>
        </w:rPr>
        <w:t>三是维护私人的财产和权益与公共的财产和权益，需要共同确立民族财产和民族权益及国际竞争理念。在经济全球化和混合经济的时代，一国的私人财产与公共财产、私人利益与公共利益，往往是作为国家的民族财产和民族利益融合在一起，以一国共同的民族财产和民族利益的面貌呈现于世界上。因而，无论是自然人还是法人组织，是私企或国企还是事业单位或政府部门，当从事国际贸易、国际金融和国际投资等经济活动或经济外交时，维护私人财产和权益，一般都有利于社会公共利益，就是维护民族财产和权益；反之，维护社会公共财产和权益，通常都有利于私人财产和权益，同样是维护民族财产和权益。比如，中国私企和国企应诉国外企业，中国政府支持私企和国企反外商倾销等，便是如此。又如，在全球大致相同的发展起点上，与印度等土地私有财产制国家相比，我国的土地公有财产制促进了互联网的较快发展，大大推动了整个中华民族公共财产和私人财产的增量上升。</w:t>
      </w:r>
    </w:p>
    <w:p w14:paraId="4A33B605">
      <w:pPr>
        <w:widowControl/>
        <w:spacing w:line="300" w:lineRule="auto"/>
        <w:ind w:firstLine="440" w:firstLineChars="200"/>
        <w:rPr>
          <w:rFonts w:ascii="宋体" w:hAnsi="宋体" w:eastAsia="宋体" w:cs="宋体"/>
          <w:szCs w:val="21"/>
        </w:rPr>
      </w:pPr>
      <w:r>
        <w:rPr>
          <w:rFonts w:hint="eastAsia" w:ascii="宋体" w:hAnsi="宋体" w:eastAsia="宋体" w:cs="宋体"/>
          <w:szCs w:val="21"/>
          <w:lang w:bidi="ar"/>
        </w:rPr>
        <w:t>四是需要强调私人的财产和利益与公共的财产和利益协调上的伦理调节，实行伦理调节、国家调节和市场调节的“三手并举”。现代西方经济学只谈保护个人产权和利己性，并认为个人追求自身利益最大化的自由行动会无意而有效地增进社会公共利益，这显然是片面的。事实上，私人的财产和利益同公共的财产和利益时常会发生矛盾甚至冲突。在社会主义市场经济条件下，我们在协调两者关系上，一方面，尽可能地运用价格机制、竞争机制和供求机制等市场调节的手段进行自行调节，另一方面，国家运用法律、经济和必要的行政等手段加以自觉调节，而还有一个方面也不容藐视，即强调伦理或道德调节，倡导人们自觉遵纪守法，在不违背诚信、集体规范和社会公德的基础上追求私人财产和权益。因为再完善的制度约束和市场机制，也是有缝隙或不足之处的，人们一旦失去必要的道德自我约束，便容易侵犯他人或社会利益。这就是为何即使在私人控股的资本主义公司里，也积极提倡“丰田精神”、“后福特主义”等团队精神和群体主义，反对“个人至上主义”；提倡重视公司“利益相关者”的权利和作用以及社会责任与经济伦理，注重协调股东、雇员、客户、合作伙伴、社区、政府和公众等所有利益相关者的利益关系。</w:t>
      </w:r>
    </w:p>
    <w:p w14:paraId="15FFDC5D">
      <w:pPr>
        <w:widowControl/>
        <w:spacing w:line="300" w:lineRule="auto"/>
        <w:ind w:firstLine="440" w:firstLineChars="200"/>
        <w:rPr>
          <w:rFonts w:ascii="宋体" w:hAnsi="宋体" w:eastAsia="宋体" w:cs="宋体"/>
          <w:szCs w:val="21"/>
        </w:rPr>
      </w:pPr>
      <w:r>
        <w:rPr>
          <w:rFonts w:hint="eastAsia" w:ascii="宋体" w:hAnsi="宋体" w:eastAsia="宋体" w:cs="宋体"/>
          <w:szCs w:val="21"/>
          <w:lang w:bidi="ar"/>
        </w:rPr>
        <w:t>五是切实依法保护合法的私有财产，但不可能将其神圣化和绝对化。有的意见认为，新宪法规定“公民的合法的私有财产不受侵犯”，而规定“社会主义的公共财产神圣不可侵犯”，这没有做到对私人财产与公共财产一视同仁，强调合法的私人财产也是神圣不可侵犯的。这种意见缺乏对世界各国宪法演变精神实质的深刻认识。出于反封建专制的需要，法国资产阶级大革命时期的《人权宣言》规定，“财产是神圣不可侵犯的权利”。但后来的共和主义者认识到，私有财产从属于一个更高的社会目标，在必要时应为社会公共利益而牺牲，因而美国等宪法根本没有“私有财产神圣不可侵犯”之类的口号。杰弗逊在美国《独立宣言》中特意将洛克主张的对“生命、自由、财产”等自然权利改换为“生命、自由和追求幸福的权利”，并建议把财产权从“不可转让的权利清单中删去”；本杰明·富兰克林也强调“私有财产是社会创造，从属于社会的需要”。1919年的德国魏玛宪法已明确规定，“财产权伴随义务，其行使必须同时有益于公共的福利”。既然西方国家都可以出于公共利益的需要，通过立法规制和行政规制来规制私人财产，社会主义国家怎么可能反过来将私有财产及其权利加以神圣化和绝对化？这与我国现阶段私人投资、私人财产的合法积累等，并无什么关系和影响。倘若欲用“私有财产神圣不可侵犯”，来为某些非法私有财产辩护，则更显错误。</w:t>
      </w:r>
    </w:p>
    <w:p w14:paraId="656C8655">
      <w:pPr>
        <w:widowControl/>
        <w:adjustRightInd w:val="0"/>
        <w:snapToGrid w:val="0"/>
        <w:spacing w:line="300" w:lineRule="auto"/>
        <w:ind w:firstLine="440" w:firstLineChars="200"/>
        <w:rPr>
          <w:rFonts w:ascii="宋体" w:hAnsi="宋体" w:eastAsia="宋体" w:cs="宋体"/>
          <w:szCs w:val="21"/>
        </w:rPr>
      </w:pPr>
    </w:p>
    <w:p w14:paraId="6D28586E">
      <w:pPr>
        <w:widowControl/>
        <w:adjustRightInd w:val="0"/>
        <w:snapToGrid w:val="0"/>
        <w:spacing w:line="300" w:lineRule="auto"/>
        <w:ind w:firstLine="440" w:firstLineChars="200"/>
        <w:rPr>
          <w:rFonts w:hint="eastAsia" w:ascii="宋体" w:hAnsi="宋体" w:eastAsia="宋体" w:cs="宋体"/>
          <w:szCs w:val="21"/>
          <w:lang w:bidi="ar"/>
        </w:rPr>
      </w:pPr>
      <w:r>
        <w:rPr>
          <w:rFonts w:hint="eastAsia" w:ascii="宋体" w:hAnsi="宋体" w:eastAsia="宋体" w:cs="宋体"/>
          <w:szCs w:val="21"/>
          <w:lang w:bidi="ar"/>
        </w:rPr>
        <w:t>（原载于《文汇报》2005年4月11日）</w:t>
      </w:r>
    </w:p>
    <w:p w14:paraId="12586E71">
      <w:pPr>
        <w:widowControl/>
        <w:adjustRightInd w:val="0"/>
        <w:snapToGrid w:val="0"/>
        <w:spacing w:line="300" w:lineRule="auto"/>
        <w:ind w:firstLine="440" w:firstLineChars="200"/>
        <w:rPr>
          <w:rFonts w:hint="eastAsia" w:ascii="宋体" w:hAnsi="宋体" w:eastAsia="宋体" w:cs="宋体"/>
          <w:szCs w:val="21"/>
          <w:lang w:bidi="ar"/>
        </w:rPr>
      </w:pPr>
    </w:p>
    <w:p w14:paraId="6EB0E039">
      <w:pPr>
        <w:numPr>
          <w:ilvl w:val="0"/>
          <w:numId w:val="0"/>
        </w:numPr>
        <w:jc w:val="center"/>
        <w:outlineLvl w:val="1"/>
        <w:rPr>
          <w:rFonts w:eastAsia="宋体" w:cs="Times New Roman"/>
          <w:b/>
          <w:sz w:val="30"/>
          <w:szCs w:val="30"/>
        </w:rPr>
      </w:pPr>
      <w:bookmarkStart w:id="558" w:name="_Toc5202"/>
      <w:bookmarkStart w:id="559" w:name="_Toc453213006"/>
      <w:bookmarkStart w:id="560" w:name="_Toc1896265987"/>
      <w:r>
        <w:rPr>
          <w:rFonts w:hint="eastAsia" w:eastAsia="宋体" w:cs="Times New Roman"/>
          <w:b/>
          <w:sz w:val="30"/>
          <w:szCs w:val="30"/>
          <w:lang w:val="en-US" w:eastAsia="zh-CN"/>
        </w:rPr>
        <w:t>21</w:t>
      </w:r>
      <w:r>
        <w:rPr>
          <w:rFonts w:hint="eastAsia" w:eastAsia="宋体" w:cs="Times New Roman"/>
          <w:b/>
          <w:sz w:val="30"/>
          <w:szCs w:val="30"/>
        </w:rPr>
        <w:t>新自由资本主义、全球化和社会主义</w:t>
      </w:r>
      <w:r>
        <w:rPr>
          <w:rFonts w:hint="eastAsia" w:eastAsia="宋体" w:cs="Times New Roman"/>
          <w:b/>
          <w:sz w:val="30"/>
          <w:szCs w:val="30"/>
        </w:rPr>
        <w:br w:type="textWrapping"/>
      </w:r>
      <w:r>
        <w:rPr>
          <w:rFonts w:hint="eastAsia" w:eastAsia="宋体" w:cs="Times New Roman"/>
          <w:sz w:val="30"/>
          <w:szCs w:val="30"/>
        </w:rPr>
        <w:t>——中美马克思主义经济学家对话</w:t>
      </w:r>
      <w:bookmarkEnd w:id="558"/>
      <w:bookmarkEnd w:id="559"/>
      <w:bookmarkEnd w:id="560"/>
    </w:p>
    <w:p w14:paraId="4FF1D242">
      <w:pPr>
        <w:rPr>
          <w:rFonts w:eastAsia="宋体" w:cs="Times New Roman"/>
          <w:sz w:val="21"/>
          <w:szCs w:val="24"/>
        </w:rPr>
      </w:pPr>
    </w:p>
    <w:p w14:paraId="13FEB8FB">
      <w:pPr>
        <w:rPr>
          <w:rFonts w:eastAsia="宋体" w:cs="Times New Roman"/>
          <w:b/>
          <w:sz w:val="21"/>
          <w:szCs w:val="24"/>
        </w:rPr>
      </w:pPr>
      <w:r>
        <w:rPr>
          <w:rFonts w:hint="eastAsia" w:eastAsia="宋体" w:cs="Times New Roman"/>
          <w:b/>
          <w:sz w:val="21"/>
          <w:szCs w:val="24"/>
        </w:rPr>
        <w:t xml:space="preserve">  　　一、新自由主义经济理论有何特点？</w:t>
      </w:r>
    </w:p>
    <w:p w14:paraId="4F1E67B9">
      <w:pPr>
        <w:rPr>
          <w:rFonts w:eastAsia="宋体" w:cs="Times New Roman"/>
          <w:sz w:val="21"/>
          <w:szCs w:val="24"/>
        </w:rPr>
      </w:pPr>
      <w:r>
        <w:rPr>
          <w:rFonts w:hint="eastAsia" w:eastAsia="宋体" w:cs="Times New Roman"/>
          <w:sz w:val="21"/>
          <w:szCs w:val="24"/>
        </w:rPr>
        <w:t xml:space="preserve">  　　程恩富：作为美国激进政治经济学学会800名会员的杰出代表，您在我校“中外马克思主义论坛”上以“新自由主义与长期资本积累的社会结构理论”为题，介绍了资本积累的社会结构理论的基本观点，区分了调节主义和自由主义两种不同的制度结构，并对这两种制度对美国1900年以来经济增长的影响进行了实证分析，对新自由主义思潮进行了批评，并指出其发展方向。与会者听后反映很好，一致认为从您的实证统计和分析中，即使在美欧发达国家，实行新自由主义的调节机制，经济效果也不佳。</w:t>
      </w:r>
    </w:p>
    <w:p w14:paraId="17B04956">
      <w:pPr>
        <w:rPr>
          <w:rFonts w:eastAsia="宋体" w:cs="Times New Roman"/>
          <w:sz w:val="21"/>
          <w:szCs w:val="24"/>
        </w:rPr>
      </w:pPr>
      <w:r>
        <w:rPr>
          <w:rFonts w:hint="eastAsia" w:eastAsia="宋体" w:cs="Times New Roman"/>
          <w:sz w:val="21"/>
          <w:szCs w:val="24"/>
        </w:rPr>
        <w:t xml:space="preserve">  　　科茨：在新自由主义时代，美国和世界经济的业绩却是苍白的。自由主义制度结构与调节主义制度结构不同：(1)国家与经济的关系，前者表现为政府调节经济作用有限，后者表现为国家积极干预经济；(2)资本与劳动的关系，前者表现为资本主导劳动并不容妥协，后者表现为资本与劳动合作和妥协；(3)资本与资本的关系，前者表现为资本间竞争是你死我活，后者表现为个体是合作的和温和的；(4)主流意识形态的特点，前者表现为颂扬自由市场，后者表现为警惕非规制的市场活动具有的危险性，主张政府对经济发展有重要作用。</w:t>
      </w:r>
    </w:p>
    <w:p w14:paraId="2449CC38">
      <w:pPr>
        <w:rPr>
          <w:rFonts w:eastAsia="宋体" w:cs="Times New Roman"/>
          <w:sz w:val="21"/>
          <w:szCs w:val="24"/>
        </w:rPr>
      </w:pPr>
      <w:r>
        <w:rPr>
          <w:rFonts w:hint="eastAsia" w:eastAsia="宋体" w:cs="Times New Roman"/>
          <w:sz w:val="21"/>
          <w:szCs w:val="24"/>
        </w:rPr>
        <w:t xml:space="preserve">  　　不管是基于理论考量还是历史事实，在资本积累方面，规制主义制度结构都优于自由主义制度结构，有许多理由可以解释自由主义制度结构不利于快速资本积累：(1)它造成长期总需求不足。因为它降低实际工资和公共支出。(2)它引起宏观经济的不稳定。因为它反对国家进行的反周期支付和税收政策，它削减社会福利以增加“自动稳定器”的作用，它放松公共领域的管制。(3)它强化了阶级冲突。</w:t>
      </w:r>
    </w:p>
    <w:p w14:paraId="29F01CF9">
      <w:pPr>
        <w:rPr>
          <w:rFonts w:eastAsia="宋体" w:cs="Times New Roman"/>
          <w:sz w:val="21"/>
          <w:szCs w:val="24"/>
        </w:rPr>
      </w:pPr>
      <w:r>
        <w:rPr>
          <w:rFonts w:hint="eastAsia" w:eastAsia="宋体" w:cs="Times New Roman"/>
          <w:sz w:val="21"/>
          <w:szCs w:val="24"/>
        </w:rPr>
        <w:t xml:space="preserve">  　　这大大不利于资本投资。(4)由它导致的你死我活的竞争驱使公司管理层注重短期策略。这一般不利于能增进资本积累率的长期投资。</w:t>
      </w:r>
    </w:p>
    <w:p w14:paraId="1E945AC4">
      <w:pPr>
        <w:rPr>
          <w:rFonts w:eastAsia="宋体" w:cs="Times New Roman"/>
          <w:sz w:val="21"/>
          <w:szCs w:val="24"/>
        </w:rPr>
      </w:pPr>
      <w:r>
        <w:rPr>
          <w:rFonts w:hint="eastAsia" w:eastAsia="宋体" w:cs="Times New Roman"/>
          <w:sz w:val="21"/>
          <w:szCs w:val="24"/>
        </w:rPr>
        <w:t xml:space="preserve">  　　程恩富：在新自由主义经济思潮中，伦敦学派是最彻底的自由主义，而现代货币学派是新自由主义中影响最大的学派，对社会主义国家影响最大的是私有产权学派。它们具有共同点：第一，主张非调控化：推崇市场原教旨主义，反对国家干预。尽管新自由主义经济学家不可能完全拒绝利用国家干预来稳定现代市场经济运行，但推崇“市场万能”的市场机制作用，强调国家对经济运行和经济活动的调控与干预越少越好，一切顺从自由市场的利润最大化原则。</w:t>
      </w:r>
    </w:p>
    <w:p w14:paraId="3596A7FF">
      <w:pPr>
        <w:rPr>
          <w:rFonts w:eastAsia="宋体" w:cs="Times New Roman"/>
          <w:sz w:val="21"/>
          <w:szCs w:val="24"/>
        </w:rPr>
      </w:pPr>
      <w:r>
        <w:rPr>
          <w:rFonts w:hint="eastAsia" w:eastAsia="宋体" w:cs="Times New Roman"/>
          <w:sz w:val="21"/>
          <w:szCs w:val="24"/>
        </w:rPr>
        <w:t xml:space="preserve">  　　第二，主张私有化：宣扬“私有产权神化”的永恒作用，反对公有制。新自由主义经济学家是私有化的狂热拥护者，认为私有制经济具有自身内在的稳定性，在市场这一“看不见的手”调节下，私有经济能够自动地实现经济的均衡，使经济自动地稳定在可接受的失业水平上和高效率。</w:t>
      </w:r>
    </w:p>
    <w:p w14:paraId="2DB78BC9">
      <w:pPr>
        <w:rPr>
          <w:rFonts w:eastAsia="宋体" w:cs="Times New Roman"/>
          <w:sz w:val="21"/>
          <w:szCs w:val="24"/>
        </w:rPr>
      </w:pPr>
      <w:r>
        <w:rPr>
          <w:rFonts w:hint="eastAsia" w:eastAsia="宋体" w:cs="Times New Roman"/>
          <w:sz w:val="21"/>
          <w:szCs w:val="24"/>
        </w:rPr>
        <w:t xml:space="preserve">  　　第三，主张全球自由化：维护美国主导下的自由经济，反对建立国际经济新秩序。新自由主义把市场原教旨主义推广到世界范围，从理论和政策上推行私人跨国公司支配下的全球自由贸易和自由金融，颂扬实行霸权主义和单边主义的美国通过控制国际经济组织来主导世界经济运行，不赞成许多国家要求重新建立或健全国际经济新秩序的合理意见。</w:t>
      </w:r>
    </w:p>
    <w:p w14:paraId="2DD5B348">
      <w:pPr>
        <w:rPr>
          <w:rFonts w:eastAsia="宋体" w:cs="Times New Roman"/>
          <w:sz w:val="21"/>
          <w:szCs w:val="24"/>
        </w:rPr>
      </w:pPr>
      <w:r>
        <w:rPr>
          <w:rFonts w:hint="eastAsia" w:eastAsia="宋体" w:cs="Times New Roman"/>
          <w:sz w:val="21"/>
          <w:szCs w:val="24"/>
        </w:rPr>
        <w:t xml:space="preserve">  　　第四，主张福利个人化：强调保障的责任由国家向个人转移，反对福利国家。新自由主义认为，基于高税收政策的“福利国家”导致经济上的低效率，降低了人们工作、储蓄和投资的动机；“充分就业”政策减少了私营部门的劳动力供应，使经济发展缺乏弹性；以养老、就业和医疗等为主要内容的全民福利，摧毁了个人自我照顾的能力，增加了个人依赖国家的惰性。在哈耶克看来，福利国家是一种人为的设计而不是单纯的人类行动，完全忽视了一个自由市场经济社会中建立“自发秩序”的必要条件。</w:t>
      </w:r>
    </w:p>
    <w:p w14:paraId="2534CEE2">
      <w:pPr>
        <w:rPr>
          <w:rFonts w:eastAsia="宋体" w:cs="Times New Roman"/>
          <w:b/>
          <w:sz w:val="21"/>
          <w:szCs w:val="24"/>
        </w:rPr>
      </w:pPr>
      <w:r>
        <w:rPr>
          <w:rFonts w:hint="eastAsia" w:eastAsia="宋体" w:cs="Times New Roman"/>
          <w:b/>
          <w:sz w:val="21"/>
          <w:szCs w:val="24"/>
        </w:rPr>
        <w:t xml:space="preserve">  　　二、新自由主义是先进还是保守的落后理念？</w:t>
      </w:r>
    </w:p>
    <w:p w14:paraId="1C596341">
      <w:pPr>
        <w:rPr>
          <w:rFonts w:eastAsia="宋体" w:cs="Times New Roman"/>
          <w:sz w:val="21"/>
          <w:szCs w:val="24"/>
        </w:rPr>
      </w:pPr>
      <w:r>
        <w:rPr>
          <w:rFonts w:hint="eastAsia" w:eastAsia="宋体" w:cs="Times New Roman"/>
          <w:sz w:val="21"/>
          <w:szCs w:val="24"/>
        </w:rPr>
        <w:t xml:space="preserve">  　　科茨：您说得对。在凯恩斯主义基础上“倒退”、“回归”(回归斯密)的现代自由主义经济学，就是新自由主义经济思潮。按照英语世界的传统，这就是“右”的，“保守”的，称之为新保守主义经济思潮是更能显示其本质的。</w:t>
      </w:r>
    </w:p>
    <w:p w14:paraId="7C068E76">
      <w:pPr>
        <w:rPr>
          <w:rFonts w:eastAsia="宋体" w:cs="Times New Roman"/>
          <w:sz w:val="21"/>
          <w:szCs w:val="24"/>
        </w:rPr>
      </w:pPr>
      <w:r>
        <w:rPr>
          <w:rFonts w:hint="eastAsia" w:eastAsia="宋体" w:cs="Times New Roman"/>
          <w:sz w:val="21"/>
          <w:szCs w:val="24"/>
        </w:rPr>
        <w:t xml:space="preserve">  　　程恩富：是的。从人类社会经济思想史的演进和世界经济发展的本质趋势察析，相对于马克思主义经济学、西方激进经济学和新老凯恩斯主义经济学来说，新自由主义经济思潮总体上是保守和落后的，尽管它也有某些合理思想颗粒。因此，包括萨缪尔逊在内的西方众多学者，把新自由主义经济学称之为“右翼经济学”或新保守主义经济学，是准确地描述了其思想特征。信奉新自由主义的俄罗斯右翼力量联盟党，英国、日本等国家的保守党，也都是公开自称在经济、政治和文化上处于保守地位的。综观近十年左右的新自由主义经济实践，可以清晰地看到：苏东是倒退的十年，拉美是失去的十年，日本是爬行的十年，美欧是缓升的十年；被联合国认定的49个最不发达的国家(亦称第四世界)，也没有通过私有化等新自由主义途径富强起来，有的反而更加贫穷；全球经济迫切需要在反思和超越新自由主义的保守经济理念中振兴和健康发展。</w:t>
      </w:r>
    </w:p>
    <w:p w14:paraId="6360CE95">
      <w:pPr>
        <w:rPr>
          <w:rFonts w:eastAsia="宋体" w:cs="Times New Roman"/>
          <w:sz w:val="21"/>
          <w:szCs w:val="24"/>
        </w:rPr>
      </w:pPr>
      <w:r>
        <w:rPr>
          <w:rFonts w:hint="eastAsia" w:eastAsia="宋体" w:cs="Times New Roman"/>
          <w:sz w:val="21"/>
          <w:szCs w:val="24"/>
        </w:rPr>
        <w:t xml:space="preserve">  　　科茨：当今的资本主义已经鲜明地采取了全球化新自由主义模式，这一模式在许多方面不同于二战后数十年形成的有调节的、国家福利型资本主义。</w:t>
      </w:r>
    </w:p>
    <w:p w14:paraId="039F265F">
      <w:pPr>
        <w:rPr>
          <w:rFonts w:eastAsia="宋体" w:cs="Times New Roman"/>
          <w:sz w:val="21"/>
          <w:szCs w:val="24"/>
        </w:rPr>
      </w:pPr>
      <w:r>
        <w:rPr>
          <w:rFonts w:hint="eastAsia" w:eastAsia="宋体" w:cs="Times New Roman"/>
          <w:sz w:val="21"/>
          <w:szCs w:val="24"/>
        </w:rPr>
        <w:t xml:space="preserve">  　　全球化新自由主义秩序主要有以下特点：(1)包括贸易、生产和金融在内的全球经济高度一体化；(2)对大型跨国公司和银行的管制放松和私有化；(3)对大型跨国公司和银行“权利”的强化，如在所谓的“知识产权”领域；(4)削减或取消国家对工人阶级和一些其他群体有利的社会计划。</w:t>
      </w:r>
    </w:p>
    <w:p w14:paraId="364E3E75">
      <w:pPr>
        <w:rPr>
          <w:rFonts w:eastAsia="宋体" w:cs="Times New Roman"/>
          <w:sz w:val="21"/>
          <w:szCs w:val="24"/>
        </w:rPr>
      </w:pPr>
      <w:r>
        <w:rPr>
          <w:rFonts w:hint="eastAsia" w:eastAsia="宋体" w:cs="Times New Roman"/>
          <w:sz w:val="21"/>
          <w:szCs w:val="24"/>
        </w:rPr>
        <w:t xml:space="preserve">  　　一系列的国际机构管理着全球化新自由主义秩序，特别是国际货币基金组织(IMF)、世界银行和世界贸易组织(WTO)。美国和英国政府是全球化新自由主义秩序的主要推动者和设计者。美国政府依赖其压倒性的军事力量，在推进这一新秩序中行使着最终的强制力量。当一些国家不愿意全部采纳这一新秩序时，美国和这些国际经济组织就对这些抵制者施加无情的压力以迫使他们就范。</w:t>
      </w:r>
    </w:p>
    <w:p w14:paraId="643A2799">
      <w:pPr>
        <w:rPr>
          <w:rFonts w:eastAsia="宋体" w:cs="Times New Roman"/>
          <w:sz w:val="21"/>
          <w:szCs w:val="24"/>
        </w:rPr>
      </w:pPr>
      <w:r>
        <w:rPr>
          <w:rFonts w:hint="eastAsia" w:eastAsia="宋体" w:cs="Times New Roman"/>
          <w:sz w:val="21"/>
          <w:szCs w:val="24"/>
        </w:rPr>
        <w:t xml:space="preserve">  　　程恩富：在经济全球化和冷战结束的条件下，20世纪80、90年代的西方新自由主义经济学取代凯恩斯主义，成为当代资本主义的主流经济意识形态，取得了思想“霸权”的强势地位。法国“马克思园地协会”主席科恩.赛阿讲，新自由主义是资本主义全球化意识形态的右翼理论表现。但是，西方左翼学者、中间派学者(萨缪尔逊自称属于中间派)和新凯恩斯主义者(尤其是诺贝尔经济学奖获得者斯蒂格利茨和索罗斯)对新自由主义经济学的批判也一直在进行着。特别是世纪之交的近几年来，形成了一次苏东社会主义失败后对新自由主义经济思潮及其“华盛顿共识”这一产物的批判浪潮。这是具有重大理论意义和进步性的，也是当今国际经济学界的前沿创新。</w:t>
      </w:r>
    </w:p>
    <w:p w14:paraId="00BD6AF7">
      <w:pPr>
        <w:rPr>
          <w:rFonts w:eastAsia="宋体" w:cs="Times New Roman"/>
          <w:sz w:val="21"/>
          <w:szCs w:val="24"/>
        </w:rPr>
      </w:pPr>
      <w:r>
        <w:rPr>
          <w:rFonts w:hint="eastAsia" w:eastAsia="宋体" w:cs="Times New Roman"/>
          <w:sz w:val="21"/>
          <w:szCs w:val="24"/>
        </w:rPr>
        <w:t xml:space="preserve">  　　科茨：与早期的有调节的、国家福利资本主义相比，现行的全球新自由资本主义秩序在关注工人阶级和其他非特权阶层的利益方面做得更少。相反，一般民众的实际生活条件在各个方面都进一步恶化。其中包括：(1)一国内部的不平等进一步加剧，极少数的富人在迅速地变得更加富有，中产阶级勉强维持他们的生活水准以及大多数人的生活水平下降；(2)国家间的不平等进一步加剧，许多国家经历了持续的或者迅速的经济衰退；(3)工人、小农场主和小商业主的生活保障更差；(4)经济和金融系统的不稳定性加剧；(5)商业价值化观念进一步渗透到社会的各个层面；(6)跨国公司和富豪更加直接或间接地凌驾于国家之上；(7)对经济和人类社会可持续性发展的环境威胁进一步加剧；(8)以美国和英国为首的资本主义领导力量采取了更具有扩张性的帝国主义开放政策，加剧了世界军事冲突。</w:t>
      </w:r>
    </w:p>
    <w:p w14:paraId="6D67DDA4">
      <w:pPr>
        <w:rPr>
          <w:rFonts w:eastAsia="宋体" w:cs="Times New Roman"/>
          <w:sz w:val="21"/>
          <w:szCs w:val="24"/>
        </w:rPr>
      </w:pPr>
      <w:r>
        <w:rPr>
          <w:rFonts w:hint="eastAsia" w:eastAsia="宋体" w:cs="Times New Roman"/>
          <w:sz w:val="21"/>
          <w:szCs w:val="24"/>
        </w:rPr>
        <w:t xml:space="preserve">  　　全球化新自由主义秩序不仅使一般民众的生活条件更加恶化，它还系统性地瓦解他们的力量。每一个阶段的资本主义都是由资产阶级及其代表来攫取社会主要权利，但是民众通过斗争已经历史性地享有了一些权利，如通过职业工会、政党、国家和地方政府中的公民代表，以及各种非政府组织争取到了一些权利。而新自由主义则力图削弱和边缘化这些民众已经取得了一些发言权的所有机构，而把权力集中于巨型跨国公司、银行和代表他们的国际机构。</w:t>
      </w:r>
    </w:p>
    <w:p w14:paraId="298D8529">
      <w:pPr>
        <w:rPr>
          <w:rFonts w:eastAsia="宋体" w:cs="Times New Roman"/>
          <w:b/>
          <w:sz w:val="21"/>
          <w:szCs w:val="24"/>
        </w:rPr>
      </w:pPr>
      <w:r>
        <w:rPr>
          <w:rFonts w:hint="eastAsia" w:eastAsia="宋体" w:cs="Times New Roman"/>
          <w:b/>
          <w:sz w:val="21"/>
          <w:szCs w:val="24"/>
        </w:rPr>
        <w:t xml:space="preserve">  　　三、要关注世界反新自由主义全球化</w:t>
      </w:r>
    </w:p>
    <w:p w14:paraId="7D96BD21">
      <w:pPr>
        <w:rPr>
          <w:rFonts w:eastAsia="宋体" w:cs="Times New Roman"/>
          <w:sz w:val="21"/>
          <w:szCs w:val="24"/>
        </w:rPr>
      </w:pPr>
      <w:r>
        <w:rPr>
          <w:rFonts w:hint="eastAsia" w:eastAsia="宋体" w:cs="Times New Roman"/>
          <w:sz w:val="21"/>
          <w:szCs w:val="24"/>
        </w:rPr>
        <w:t xml:space="preserve">  　　程恩富：对发达国家和发展中国家实行双重标准的新自由主义经济思潮，其目标是建立以发达国家为主导的全球经济新秩序和资本主义的全球扩张。其结果，一方面拓展了资本主义生存和发展的空间，缓和了资本主义的基本矛盾，另一方面又造成了世界资本主义体系新的矛盾和危机，特别是加剧了发达国家内部以及发达国家和发展中国家之间的贫富两极分化，从而还引发了国家层面的反对新自由主义经济思潮的斗争。这是反对新自由主义的重要国际态势。可喜的是，随着西方国家的人民在西雅图、布拉格、华盛顿、达沃斯等地不断举行反对新自由主义主导下全球化的大规模抗议示威的发生，思想的、学术的和理论的批判开始转变为实际行动。</w:t>
      </w:r>
    </w:p>
    <w:p w14:paraId="5E49FA84">
      <w:pPr>
        <w:rPr>
          <w:rFonts w:eastAsia="宋体" w:cs="Times New Roman"/>
          <w:sz w:val="21"/>
          <w:szCs w:val="24"/>
        </w:rPr>
      </w:pPr>
      <w:r>
        <w:rPr>
          <w:rFonts w:hint="eastAsia" w:eastAsia="宋体" w:cs="Times New Roman"/>
          <w:sz w:val="21"/>
          <w:szCs w:val="24"/>
        </w:rPr>
        <w:t xml:space="preserve">  　　近年来，委内瑞拉、巴西和阿根廷等南美国家，在推行十多年新自由主义经济政策而碰壁之后，改行中左政策，使新自由主义经济理论失去了试验地，缩小了影响。定期在纽约举行的“世界社会主义学者大会”，在古巴举行的“全球化论坛”，以及影响巨大的“世界社会论坛”等，已日渐成为全世界学者和各界人士批判新自由主义及其经济学的重镇，并将逐步扭转思想和体制的旧局面。</w:t>
      </w:r>
    </w:p>
    <w:p w14:paraId="63941F72">
      <w:pPr>
        <w:rPr>
          <w:rFonts w:eastAsia="宋体" w:cs="Times New Roman"/>
          <w:sz w:val="21"/>
          <w:szCs w:val="24"/>
        </w:rPr>
      </w:pPr>
      <w:r>
        <w:rPr>
          <w:rFonts w:hint="eastAsia" w:eastAsia="宋体" w:cs="Times New Roman"/>
          <w:sz w:val="21"/>
          <w:szCs w:val="24"/>
        </w:rPr>
        <w:t xml:space="preserve">  　　科茨：一般民众的不利条件，以及他们正在失去的曾经拥有的权利，在全世界范围内引发了抵抗运动。工人阶级的所有社会角色都受到了影响。作为生产者，工人们通过工会和政治行动，来反对他们正面临的日益恶化的生活水平和工作条件；与其他社会阶层和团体一起，工人阶级也正在反对诸如医疗、教育和公共运输等社会服务方面的数量减少、质量下降；农民通过运动已经在反抗对他们的生活和社区带来的攻击；土著社区也在反抗对他们社区以及文化的侵蚀；社会改革者已经在反对商业化价值观念对社会的侵蚀；年轻人在反抗一个对他们而言有着更少希望的未来；关注环境的人们已经在抵制对大公司必要管制制度的瓦解；和平主义者在抗议当局在长期的冷战对立格局已经结束后仍然推行持续性庞大军费开支、战争以及侵略性外交政策。</w:t>
      </w:r>
    </w:p>
    <w:p w14:paraId="2709A981">
      <w:pPr>
        <w:rPr>
          <w:rFonts w:eastAsia="宋体" w:cs="Times New Roman"/>
          <w:sz w:val="21"/>
          <w:szCs w:val="24"/>
        </w:rPr>
      </w:pPr>
      <w:r>
        <w:rPr>
          <w:rFonts w:hint="eastAsia" w:eastAsia="宋体" w:cs="Times New Roman"/>
          <w:sz w:val="21"/>
          <w:szCs w:val="24"/>
        </w:rPr>
        <w:t xml:space="preserve">  　　在20世纪90年代末，这些发源于世界不同地区、不同社会群体以及不同主题的运动，开始联合成为一个新的全球化正义运动。这不是一次偶然的事件。各类运动中的行动者逐渐认识到他们面临的是同一个敌人：即全球化新自由资本主义。最近，当美国和英国不惜用战争手段来控制中东时，一个更大规模的反对帝国主义侵略政策的运动席卷了全世界。这些群众性的反战运动不太可能是仅仅针对战争或伊拉克以及中东。它起源于蔓延了几十年且日益增长的不满情绪和愤怒，这些不满情绪和愤怒来自于对极少一部分特权精英按照不利于大多数人利益的方式在重新塑造世界——这部分精英对一般民众的意见置若罔闻。美英两国政府已经成为重构新自由主义世界的主要力量之源，美英联盟又发动了针对伊拉克的战争。致使数千万的人民流落街头，而这将成为对新自由主义的致命一击。</w:t>
      </w:r>
    </w:p>
    <w:p w14:paraId="69048C01">
      <w:pPr>
        <w:rPr>
          <w:rFonts w:eastAsia="宋体" w:cs="Times New Roman"/>
          <w:sz w:val="21"/>
          <w:szCs w:val="24"/>
        </w:rPr>
      </w:pPr>
      <w:r>
        <w:rPr>
          <w:rFonts w:hint="eastAsia" w:eastAsia="宋体" w:cs="Times New Roman"/>
          <w:sz w:val="21"/>
          <w:szCs w:val="24"/>
        </w:rPr>
        <w:t xml:space="preserve">  　　程恩富：世界著名思想家安德森说得好，西方左翼要从新自由主义霸权统治下逆风起飞，必须彻底检讨自身理论的成败得失，根据时代的发展变化建立自身的理论基础，重新制定新世纪的理论战略。</w:t>
      </w:r>
    </w:p>
    <w:p w14:paraId="18C037B1">
      <w:pPr>
        <w:rPr>
          <w:rFonts w:eastAsia="宋体" w:cs="Times New Roman"/>
          <w:sz w:val="21"/>
          <w:szCs w:val="24"/>
        </w:rPr>
      </w:pPr>
      <w:r>
        <w:rPr>
          <w:rFonts w:hint="eastAsia" w:eastAsia="宋体" w:cs="Times New Roman"/>
          <w:sz w:val="21"/>
          <w:szCs w:val="24"/>
        </w:rPr>
        <w:t xml:space="preserve">  　　当今世界的马克思主义经济学家和西方激进经济学家正在联合，将逐渐整合成强有力的学术力量，实行学术批评与学术创新并重，继续全面超越新自由主义经济思想，为人类的经济和社会良性发展与福利而贡献超前的智慧和终极关怀。</w:t>
      </w:r>
    </w:p>
    <w:p w14:paraId="7F9C7932">
      <w:pPr>
        <w:rPr>
          <w:rFonts w:eastAsia="宋体" w:cs="Times New Roman"/>
          <w:b/>
          <w:sz w:val="21"/>
          <w:szCs w:val="24"/>
        </w:rPr>
      </w:pPr>
      <w:r>
        <w:rPr>
          <w:rFonts w:hint="eastAsia" w:eastAsia="宋体" w:cs="Times New Roman"/>
          <w:b/>
          <w:sz w:val="21"/>
          <w:szCs w:val="24"/>
        </w:rPr>
        <w:t xml:space="preserve">  　　四、全球化的最终趋势是全球社会主义吗？</w:t>
      </w:r>
    </w:p>
    <w:p w14:paraId="79FE1316">
      <w:pPr>
        <w:rPr>
          <w:rFonts w:eastAsia="宋体" w:cs="Times New Roman"/>
          <w:sz w:val="21"/>
          <w:szCs w:val="24"/>
        </w:rPr>
      </w:pPr>
      <w:r>
        <w:rPr>
          <w:rFonts w:hint="eastAsia" w:eastAsia="宋体" w:cs="Times New Roman"/>
          <w:sz w:val="21"/>
          <w:szCs w:val="24"/>
        </w:rPr>
        <w:t xml:space="preserve">  　　科茨：21世纪的社会主义模式必须克服20世纪那些试图超越资本主义的社会主义模式所存在的各种缺陷。这些缺陷也不仅仅限于在国家中缺少民主、在企业中缺少工人参与。这些缺陷还包括对工人阶级的多元社会角色的重视不够。无产阶级的解放必须要理解为他们各种社会角色的解放——作为生产者、作为个人和社会消费者以及作为社区的居民。</w:t>
      </w:r>
    </w:p>
    <w:p w14:paraId="44D9A478">
      <w:pPr>
        <w:rPr>
          <w:rFonts w:eastAsia="宋体" w:cs="Times New Roman"/>
          <w:sz w:val="21"/>
          <w:szCs w:val="24"/>
        </w:rPr>
      </w:pPr>
      <w:r>
        <w:rPr>
          <w:rFonts w:hint="eastAsia" w:eastAsia="宋体" w:cs="Times New Roman"/>
          <w:sz w:val="21"/>
          <w:szCs w:val="24"/>
        </w:rPr>
        <w:t xml:space="preserve">  　　21世纪的社会主义模式同样适用于马克思关于社会主义体制的本意：以生产资料的社会所有为基础、通过经济计划来指导生产过程，以及生产的目的是为了消费而不是利润。但是，这一体制必须被理解为，工人在这一体制中通过实际利用各种社会资源和机会，参与经济计划的制定和执行，以及决定生产什么样的“有用”物品，从而使得工人阶级的所有社会职能需要得到满足。从实践的角度讲，这意味着企业的董事会、产业协会和地方、地区以及国家层面的计划组织，经济决策的各个层面，都要有工人阶级各种角色的代表参加，包括生产者、消费者和地方社区的成员。</w:t>
      </w:r>
    </w:p>
    <w:p w14:paraId="59A3E1E5">
      <w:pPr>
        <w:rPr>
          <w:rFonts w:eastAsia="宋体" w:cs="Times New Roman"/>
          <w:sz w:val="21"/>
          <w:szCs w:val="24"/>
        </w:rPr>
      </w:pPr>
      <w:r>
        <w:rPr>
          <w:rFonts w:hint="eastAsia" w:eastAsia="宋体" w:cs="Times New Roman"/>
          <w:sz w:val="21"/>
          <w:szCs w:val="24"/>
        </w:rPr>
        <w:t xml:space="preserve">  　　与新古典主义经济学的呓语相反，并不存在对社会各方利益都是“最优”资源配置模式——即使是在社会主义制度下。关于资源配置的决策，也就是关于生产什么、如何生产以及如何分配产品的决策，必须要以各方利益相关者的协商和达成一致为基础。制定和指导生产、分配过程和社区发展计划的董事会和组织，必须要能代表各方利益相关者及其利益，这是21世纪社会主义模式的核心。这些组织的结构和运行，要能够鼓励利益冲突的各方代表不是简单地争夺利益而是互相理解和考虑对方的需求和利益，从而努力达成尊重各方利益群体的决策。</w:t>
      </w:r>
    </w:p>
    <w:p w14:paraId="29EEFB0B">
      <w:pPr>
        <w:rPr>
          <w:rFonts w:eastAsia="宋体" w:cs="Times New Roman"/>
          <w:sz w:val="21"/>
          <w:szCs w:val="24"/>
        </w:rPr>
      </w:pPr>
      <w:r>
        <w:rPr>
          <w:rFonts w:hint="eastAsia" w:eastAsia="宋体" w:cs="Times New Roman"/>
          <w:sz w:val="21"/>
          <w:szCs w:val="24"/>
        </w:rPr>
        <w:t xml:space="preserve">  　　这样的模式，才能真正赋予马克思主义的、以社会所有制为基础的社会主义体系以真实的内涵，经济的计划性、生产的有用性以及合作而非竞争成为主导原则。</w:t>
      </w:r>
    </w:p>
    <w:p w14:paraId="2CA37611">
      <w:pPr>
        <w:rPr>
          <w:rFonts w:eastAsia="宋体" w:cs="Times New Roman"/>
          <w:sz w:val="21"/>
          <w:szCs w:val="24"/>
        </w:rPr>
      </w:pPr>
      <w:r>
        <w:rPr>
          <w:rFonts w:hint="eastAsia" w:eastAsia="宋体" w:cs="Times New Roman"/>
          <w:sz w:val="21"/>
          <w:szCs w:val="24"/>
        </w:rPr>
        <w:t xml:space="preserve">  　　程恩富：在我看来，从生产力和生产关系一般意义上说，经济全球化描述的是生产要素在各国之间流动加快的趋势，经济活动在各国之间联系日益紧密的趋势。然而单纯从善良的正面去了解经济全球化问题，是远远不够的。我们不仅要理解经济全球化的原因和特点，以及正负效应，而且要理解反全球化运动的特点和作用。</w:t>
      </w:r>
    </w:p>
    <w:p w14:paraId="5B8638F6">
      <w:pPr>
        <w:rPr>
          <w:rFonts w:eastAsia="宋体" w:cs="Times New Roman"/>
          <w:sz w:val="21"/>
          <w:szCs w:val="24"/>
        </w:rPr>
      </w:pPr>
      <w:r>
        <w:rPr>
          <w:rFonts w:hint="eastAsia" w:eastAsia="宋体" w:cs="Times New Roman"/>
          <w:sz w:val="21"/>
          <w:szCs w:val="24"/>
        </w:rPr>
        <w:t xml:space="preserve">  　　经济全球化的正面效应表现为以下几点：首先，它为资源在全球范围内的优化配置，可能提供了新的有利条件。其次，它使得世界市场成为一个不断扩大的统一的整体，客观经济规律将在全球范围内发挥作用。再次，它加速了世界性产业结构的调整。</w:t>
      </w:r>
    </w:p>
    <w:p w14:paraId="5D844020">
      <w:pPr>
        <w:rPr>
          <w:rFonts w:eastAsia="宋体" w:cs="Times New Roman"/>
          <w:sz w:val="21"/>
          <w:szCs w:val="24"/>
        </w:rPr>
      </w:pPr>
      <w:r>
        <w:rPr>
          <w:rFonts w:hint="eastAsia" w:eastAsia="宋体" w:cs="Times New Roman"/>
          <w:sz w:val="21"/>
          <w:szCs w:val="24"/>
        </w:rPr>
        <w:t xml:space="preserve">  　　最后，它为解决环境、资源、人口等经济社会发展面临的一些共同问题，可能提供有利的条件。</w:t>
      </w:r>
    </w:p>
    <w:p w14:paraId="7C59B053">
      <w:pPr>
        <w:rPr>
          <w:rFonts w:eastAsia="宋体" w:cs="Times New Roman"/>
          <w:sz w:val="21"/>
          <w:szCs w:val="24"/>
        </w:rPr>
      </w:pPr>
      <w:r>
        <w:rPr>
          <w:rFonts w:hint="eastAsia" w:eastAsia="宋体" w:cs="Times New Roman"/>
          <w:sz w:val="21"/>
          <w:szCs w:val="24"/>
        </w:rPr>
        <w:t xml:space="preserve">  　　但经济全球化的负面效应有三个“可能加大”：一是可能加大世界经济发展的不平衡性。由于发达资本主义国家在经济发展中占有明显的优势，因此，在经济全球化的进程中他们的获益也大大超过发展中国家。这就使得南北国家的发展不平衡差距在全球范围内进一步扩大。特别是发达国家和发展中国家人均国内生产总值的指标相差悬殊。这种发展的不平衡具体体现在对外贸易、科学技术力量等方面。</w:t>
      </w:r>
    </w:p>
    <w:p w14:paraId="4AC71DED">
      <w:pPr>
        <w:rPr>
          <w:rFonts w:eastAsia="宋体" w:cs="Times New Roman"/>
          <w:sz w:val="21"/>
          <w:szCs w:val="24"/>
        </w:rPr>
      </w:pPr>
      <w:r>
        <w:rPr>
          <w:rFonts w:hint="eastAsia" w:eastAsia="宋体" w:cs="Times New Roman"/>
          <w:sz w:val="21"/>
          <w:szCs w:val="24"/>
        </w:rPr>
        <w:t xml:space="preserve">  　　二是可能加大世界经济发展的波动性。例如，1994年墨西哥发生的金融危机，1995年2月巴林银行的倒闭，1997年发生的东南亚金融危机，近年阿根廷金融和经济危机，以及与国际金融密切相关的苏东国家经济的大规模倒退，日本经济10多年启动不起来，处于新经济的美国也发生了衰退等等，都对世界经济发展造成了巨大的损失。这充分暴露出，世界金融市场等发展过程中给世界经济带来的消极影响。</w:t>
      </w:r>
    </w:p>
    <w:p w14:paraId="50C706E3">
      <w:pPr>
        <w:rPr>
          <w:rFonts w:eastAsia="宋体" w:cs="Times New Roman"/>
          <w:sz w:val="21"/>
          <w:szCs w:val="24"/>
        </w:rPr>
      </w:pPr>
      <w:r>
        <w:rPr>
          <w:rFonts w:hint="eastAsia" w:eastAsia="宋体" w:cs="Times New Roman"/>
          <w:sz w:val="21"/>
          <w:szCs w:val="24"/>
        </w:rPr>
        <w:t xml:space="preserve">  　　三是可能加大世界经济发展的矛盾性。当代资本主义的矛盾错综交织，使全球经济充满了不平衡、不协调、不稳定和各种危机。在发达国家之间，以及发达国家与欠发达国家之间的贸易战、货币战接连不断，并波及到整个世界。发达资本主义国家，尤其是美国，凭借他们的经济实力和在世界中的优势地位，对别国的干预、制裁、威胁越演越烈，甚至发动军事侵略。这理所当然地引起其他国家的反击，从而加剧了世界范围内的矛盾、摩擦和斗争。这对世界经济的发展同样造成了不利的影响。</w:t>
      </w:r>
    </w:p>
    <w:p w14:paraId="0278661C">
      <w:pPr>
        <w:rPr>
          <w:rFonts w:eastAsia="宋体" w:cs="Times New Roman"/>
          <w:sz w:val="21"/>
          <w:szCs w:val="24"/>
        </w:rPr>
      </w:pPr>
      <w:r>
        <w:rPr>
          <w:rFonts w:hint="eastAsia" w:eastAsia="宋体" w:cs="Times New Roman"/>
          <w:sz w:val="21"/>
          <w:szCs w:val="24"/>
        </w:rPr>
        <w:t xml:space="preserve">  　　科茨：所以，在经历了长时期的相对沉寂以及全球化新自由资本主义秩序相对无障碍地采取行动之后，我们可能处于一个与资本主义进行主要斗争的新时期的起点。这一正在形成的运动是将要成为导致新一轮资本主义改良的力量呢，还是导致用社会主义来替代资本主义？这两个目标的主张都摆在了这次新运动的领导者面前。当然，目前的广大参与者毫无疑问是绝大部分都倾向于改良主义。这一运动能否成为给世界带来激进性变革的力量呢？</w:t>
      </w:r>
    </w:p>
    <w:p w14:paraId="3A4BE661">
      <w:pPr>
        <w:rPr>
          <w:rFonts w:eastAsia="宋体" w:cs="Times New Roman"/>
          <w:sz w:val="21"/>
          <w:szCs w:val="24"/>
        </w:rPr>
      </w:pPr>
      <w:r>
        <w:rPr>
          <w:rFonts w:hint="eastAsia" w:eastAsia="宋体" w:cs="Times New Roman"/>
          <w:sz w:val="21"/>
          <w:szCs w:val="24"/>
        </w:rPr>
        <w:t xml:space="preserve">  　　面对现阶段新自由资本主义全球化的新形势，我认为，当前形势下社会主义运动发展壮大的三个前提条件：第一，反对全球化新自由资本主义所带来的各种具体病状的各类运动必须转化为争夺经济资源如何配置的决策权的战斗。这将对新自由主义弱化民众权力的重构行动形成一个直接的挑战。各种具体的反抗运动也可以被看作未来的民主参与社会主义模式的萌芽，在这一社会主义模式中将由民众团体作出经济决策。这些运动中的社会主义者，应该为了争取民众团体在这些影响到他们利益的经济事务中拥有参与决策权——这一基本准则而斗争。</w:t>
      </w:r>
    </w:p>
    <w:p w14:paraId="1376ED6F">
      <w:pPr>
        <w:rPr>
          <w:rFonts w:eastAsia="宋体" w:cs="Times New Roman"/>
          <w:sz w:val="21"/>
          <w:szCs w:val="24"/>
        </w:rPr>
      </w:pPr>
      <w:r>
        <w:rPr>
          <w:rFonts w:hint="eastAsia" w:eastAsia="宋体" w:cs="Times New Roman"/>
          <w:sz w:val="21"/>
          <w:szCs w:val="24"/>
        </w:rPr>
        <w:t xml:space="preserve">  　　通过这种方式，社会主义能够通过参与这些运动而逐步成为现实。当然，没有对现行财产关系和政治权利的配置进行较为激进的改革的话，社会主义不可能最终而充分地实现。</w:t>
      </w:r>
    </w:p>
    <w:p w14:paraId="5AE93802">
      <w:pPr>
        <w:rPr>
          <w:rFonts w:eastAsia="宋体" w:cs="Times New Roman"/>
          <w:sz w:val="21"/>
          <w:szCs w:val="24"/>
        </w:rPr>
      </w:pPr>
      <w:r>
        <w:rPr>
          <w:rFonts w:hint="eastAsia" w:eastAsia="宋体" w:cs="Times New Roman"/>
          <w:sz w:val="21"/>
          <w:szCs w:val="24"/>
        </w:rPr>
        <w:t xml:space="preserve">  　　第二，需要对一般的民众进行教育，使他们了解资本主义在一些根本问题上是如何侵害全世界一般民众的利益。这样，在一些社会主义运动中已经发展起来的反资本主义觉悟会传播给广大的社会主义追随者。比如，要指出美英政府发动的针对伊拉克的侵略战争，不仅仅是起因于一个来自德克萨斯的牛仔总统。这场战争有着深刻的背景，强大的资本主义国家要竭尽全力控制世界中更多的国家，以取得对原材料的控制、确保出口市场以及获得廉价的劳动力。</w:t>
      </w:r>
    </w:p>
    <w:p w14:paraId="6F81E311">
      <w:pPr>
        <w:rPr>
          <w:rFonts w:eastAsia="宋体" w:cs="Times New Roman"/>
          <w:sz w:val="21"/>
          <w:szCs w:val="24"/>
        </w:rPr>
      </w:pPr>
      <w:r>
        <w:rPr>
          <w:rFonts w:hint="eastAsia" w:eastAsia="宋体" w:cs="Times New Roman"/>
          <w:sz w:val="21"/>
          <w:szCs w:val="24"/>
        </w:rPr>
        <w:t xml:space="preserve">  　　第三，可以提出一个在经济领域和社会政治机构中以群众民主参与为基础的、可行的社会主义模式，以打破资本主义不可超越的理念。只有当成千上万的民众深信不只有资本主义能够满足他们的需求，还有一个更优越的可行的备选体制时，才可以重建社会主义运动，社会主义也再次可能成为现实。</w:t>
      </w:r>
    </w:p>
    <w:p w14:paraId="75CB484C">
      <w:pPr>
        <w:rPr>
          <w:rFonts w:eastAsia="宋体" w:cs="Times New Roman"/>
          <w:sz w:val="21"/>
          <w:szCs w:val="24"/>
        </w:rPr>
      </w:pPr>
      <w:r>
        <w:rPr>
          <w:rFonts w:hint="eastAsia" w:eastAsia="宋体" w:cs="Times New Roman"/>
          <w:sz w:val="21"/>
          <w:szCs w:val="24"/>
        </w:rPr>
        <w:t xml:space="preserve">  　　程恩富：现阶段，一方面由于苏东国家的蜕变，新自由主义泛滥，国际社会主义运动处于低潮，但另一方面也要看出，不仅剩下的几个社会主义国家通过改革或更新而强盛，而且欧盟等超国家的地区经济和政治逐渐一体化，发达资本主义国家内部社会主义成分的逐渐增长，以及新自由主义造成的种种恶果，促使国际社会主义运动有继续进步的一面，不能只看到低潮的一面而惊慌失措，丧失信心和斗志。</w:t>
      </w:r>
    </w:p>
    <w:p w14:paraId="097E9768">
      <w:pPr>
        <w:rPr>
          <w:rFonts w:eastAsia="宋体" w:cs="Times New Roman"/>
          <w:sz w:val="21"/>
          <w:szCs w:val="24"/>
        </w:rPr>
      </w:pPr>
      <w:r>
        <w:rPr>
          <w:rFonts w:hint="eastAsia" w:eastAsia="宋体" w:cs="Times New Roman"/>
          <w:sz w:val="21"/>
          <w:szCs w:val="24"/>
        </w:rPr>
        <w:t xml:space="preserve">  　　依我所见，当今世界的基本经济矛盾是经济的不断社会化和全球化，与生产要素的私有制、集有制和国有制之间的矛盾，与市场调节和国家调节之间的矛盾。因此，不管现状如何，经济全球化必然最终导致康有为所描绘的世界社会主义“大同”和马克思所预见的“全球共产主义”。</w:t>
      </w:r>
    </w:p>
    <w:p w14:paraId="62569093">
      <w:pPr>
        <w:rPr>
          <w:rFonts w:eastAsia="宋体" w:cs="Times New Roman"/>
          <w:sz w:val="21"/>
          <w:szCs w:val="24"/>
        </w:rPr>
      </w:pPr>
      <w:r>
        <w:rPr>
          <w:rFonts w:hint="eastAsia" w:eastAsia="宋体" w:cs="Times New Roman"/>
          <w:sz w:val="21"/>
          <w:szCs w:val="24"/>
        </w:rPr>
        <w:t xml:space="preserve">  　　需要指出的是，目前资本主义强国主导下的经济全球化利弊有三种可能性：利大于弊、弊大于利和利弊相当。对特定的主体来说，重要的问题是要弄清楚对谁利大于弊，对谁弊大于利。对少数发达国家来说，肯定是利大于弊；而对发展中国家来说，利弊具有不确定性；关键取决于原有基础和现行对策。</w:t>
      </w:r>
    </w:p>
    <w:p w14:paraId="7C911903">
      <w:pPr>
        <w:rPr>
          <w:rFonts w:eastAsia="宋体" w:cs="Times New Roman"/>
          <w:sz w:val="21"/>
          <w:szCs w:val="24"/>
        </w:rPr>
      </w:pPr>
      <w:r>
        <w:rPr>
          <w:rFonts w:hint="eastAsia" w:eastAsia="宋体" w:cs="Times New Roman"/>
          <w:sz w:val="21"/>
          <w:szCs w:val="24"/>
        </w:rPr>
        <w:t xml:space="preserve">  　　前2年，我国与非洲40个国家联合签署的“中非论坛公报”也提到，对于发展中国家来说，风险大于机遇。德国《新德意志报》2000年7月22日发表《全球化、美国谋求霸权和基辛格的担心》一文，引用了美国前国务卿基辛格说的话：“全球化对美国是好事，对其他国家是坏事……因为它加深了贫富之间的鸿沟。”德国总理施罗德发起的有美国、德国、加拿大、法国、意大利等14国政府首脑参加的2000年6月3日柏林国际会议通过的《21世纪现代国家管理柏林公报》承认：不能听任全球化任意发展，因为“全球化没有给所有人，尤其是发展中国家带来利益。”联合国2000年《人类发展报告》也承认：“迄今为止的全球化是不平衡的，它加深了穷国和富国、穷人和富人的鸿沟。”</w:t>
      </w:r>
    </w:p>
    <w:p w14:paraId="2736FB9F">
      <w:pPr>
        <w:rPr>
          <w:rFonts w:eastAsia="宋体" w:cs="Times New Roman"/>
          <w:sz w:val="21"/>
          <w:szCs w:val="24"/>
        </w:rPr>
      </w:pPr>
      <w:r>
        <w:rPr>
          <w:rFonts w:hint="eastAsia" w:eastAsia="宋体" w:cs="Times New Roman"/>
          <w:sz w:val="21"/>
          <w:szCs w:val="24"/>
        </w:rPr>
        <w:t xml:space="preserve">  　　科茨：尽管有反资本主义全球化运动，但大多数人不会轻易地就超越社会改良的阶段，而转向完全替代资本主义的激进措施。毕竟，根本性社会转型将不可避免地伴有高昂的社会成本和众多的牺牲。</w:t>
      </w:r>
    </w:p>
    <w:p w14:paraId="75D6D107">
      <w:pPr>
        <w:rPr>
          <w:rFonts w:eastAsia="宋体" w:cs="Times New Roman"/>
          <w:sz w:val="21"/>
          <w:szCs w:val="24"/>
        </w:rPr>
      </w:pPr>
      <w:r>
        <w:rPr>
          <w:rFonts w:hint="eastAsia" w:eastAsia="宋体" w:cs="Times New Roman"/>
          <w:sz w:val="21"/>
          <w:szCs w:val="24"/>
        </w:rPr>
        <w:t xml:space="preserve">  　　群众只有在他们深信现存的体制已经不可能再进行改革而且确实无法忍受的时候，才会考虑这样的根本性转型。很难预测，当资本主义面临一个强大的且日益壮大的社会主义运动时，是否会重新转向一个更加温和的、调节的资本主义模式。然而，全球化新自由资本主义所表现出来的一个特征就是它顽强地抵制任何试图弱化或调节它的旗帜鲜明的政策方案的努力。现行资本主义的领袖们在努力把非人道的全球新自由资本主义强加给世界时所表现出来的顽固和偏执，将很有可能证明是对他们自己的反戈一击。如果他们继续顽固不化地抵制对全球化新自由资本主义进行改良的话，卡尔.马克思关于人类未来的社会主义模式将再次蓬勃走向世界政治舞台。</w:t>
      </w:r>
    </w:p>
    <w:p w14:paraId="13C04536">
      <w:pPr>
        <w:rPr>
          <w:rFonts w:eastAsia="宋体" w:cs="Times New Roman"/>
          <w:b/>
          <w:sz w:val="21"/>
          <w:szCs w:val="24"/>
        </w:rPr>
      </w:pPr>
      <w:r>
        <w:rPr>
          <w:rFonts w:hint="eastAsia" w:eastAsia="宋体" w:cs="Times New Roman"/>
          <w:b/>
          <w:sz w:val="21"/>
          <w:szCs w:val="24"/>
        </w:rPr>
        <w:t xml:space="preserve">  　　五、中国改革与俄罗斯改向说明了什么？</w:t>
      </w:r>
    </w:p>
    <w:p w14:paraId="23A5617A">
      <w:pPr>
        <w:rPr>
          <w:rFonts w:eastAsia="宋体" w:cs="Times New Roman"/>
          <w:sz w:val="21"/>
          <w:szCs w:val="24"/>
        </w:rPr>
      </w:pPr>
      <w:r>
        <w:rPr>
          <w:rFonts w:hint="eastAsia" w:eastAsia="宋体" w:cs="Times New Roman"/>
          <w:sz w:val="21"/>
          <w:szCs w:val="24"/>
        </w:rPr>
        <w:t xml:space="preserve">  　　程恩富：您是研究俄罗斯改革问题的著名学者，大作《来自上面的革命：苏联体制的终结》一书在中国出版后，影响很大。对俄罗斯改革及其绩效的评论，中国存在三种看法：一种观点认为，市场化加私有化，本身是对的，只是实施方法太急；另一种观点认为，只要能实现市场化和私有化就是成功，哪怕社会代价再大也是值得的，中国不搞私有化，将来改革收效会小于俄罗斯；第三种观点认为，俄罗斯的问题主要不是方法和步骤，而是在市场化的同时搞了私有化，其短期和长期的社会改革成本都会大于有序的市场社会主义。我是第三种观点的代表者之一。</w:t>
      </w:r>
    </w:p>
    <w:p w14:paraId="65360222">
      <w:pPr>
        <w:rPr>
          <w:rFonts w:eastAsia="宋体" w:cs="Times New Roman"/>
          <w:sz w:val="21"/>
          <w:szCs w:val="24"/>
        </w:rPr>
      </w:pPr>
      <w:r>
        <w:rPr>
          <w:rFonts w:hint="eastAsia" w:eastAsia="宋体" w:cs="Times New Roman"/>
          <w:sz w:val="21"/>
          <w:szCs w:val="24"/>
        </w:rPr>
        <w:t xml:space="preserve">  　　迄今为止的中国经济改革，是重构和完善社会主义初级阶段的基本经济形态——公有主体型的多种类所有制形态、劳动主体型的多要素分配形态、国家主导型的多结构市场形态和自力主导型的多方位开放形态；而俄罗斯的经济改革，是复归某种现代资本主义的基本经济形态——私有制为主体的混合产权形态、按资分配为主体的两极分化形态、新自由主义的市场经济形态和依赖西方的开放经济形态。改革的实践已经显示出，市场社会主义的“北京共识”与新自由主义的“华盛顿共识”的制度变迁的成败绩效。</w:t>
      </w:r>
    </w:p>
    <w:p w14:paraId="5C8D81DC">
      <w:pPr>
        <w:rPr>
          <w:rFonts w:eastAsia="宋体" w:cs="Times New Roman"/>
          <w:sz w:val="21"/>
          <w:szCs w:val="24"/>
        </w:rPr>
      </w:pPr>
      <w:r>
        <w:rPr>
          <w:rFonts w:hint="eastAsia" w:eastAsia="宋体" w:cs="Times New Roman"/>
          <w:sz w:val="21"/>
          <w:szCs w:val="24"/>
        </w:rPr>
        <w:t xml:space="preserve">  　　北大原校长吴树青最近也撰文指出，“华盛顿共识”与“北京共识”的成败不同结果，根本原因在于二者对改革的性质和目的不同，中国的探索证明：并非实行私有化才能实现市场经济。</w:t>
      </w:r>
      <w:r>
        <w:rPr>
          <w:rFonts w:eastAsia="宋体" w:cs="Times New Roman"/>
          <w:sz w:val="21"/>
          <w:szCs w:val="24"/>
          <w:vertAlign w:val="superscript"/>
        </w:rPr>
        <w:footnoteReference w:id="221"/>
      </w:r>
      <w:r>
        <w:rPr>
          <w:rFonts w:hint="eastAsia" w:eastAsia="宋体" w:cs="Times New Roman"/>
          <w:sz w:val="21"/>
          <w:szCs w:val="24"/>
        </w:rPr>
        <w:t>国内一大批中青年马克思主义经济学家，如中国社科院王振中、毛立言，人民大学林岗、孟捷，北大智效和、余斌，武汉大学顾海良、简新华等，也持相同的观点。</w:t>
      </w:r>
      <w:r>
        <w:rPr>
          <w:rFonts w:eastAsia="宋体" w:cs="Times New Roman"/>
          <w:sz w:val="21"/>
          <w:szCs w:val="24"/>
          <w:vertAlign w:val="superscript"/>
        </w:rPr>
        <w:footnoteReference w:id="222"/>
      </w:r>
    </w:p>
    <w:p w14:paraId="42CEA02C">
      <w:pPr>
        <w:rPr>
          <w:rFonts w:eastAsia="宋体" w:cs="Times New Roman"/>
          <w:sz w:val="21"/>
          <w:szCs w:val="24"/>
        </w:rPr>
      </w:pPr>
      <w:r>
        <w:rPr>
          <w:rFonts w:hint="eastAsia" w:eastAsia="宋体" w:cs="Times New Roman"/>
          <w:sz w:val="21"/>
          <w:szCs w:val="24"/>
        </w:rPr>
        <w:t xml:space="preserve">  　　科茨：在1928年到1975年期间，前苏联国家社会主义带来了迅速的经济增长。在这些岁月中，这个国家从一个落后的主要以农业为主的社会转变成为一个都市工业社会。到上世纪70年代末前苏联的生活水平在许多方面都达到了世界一流水平。在上世纪70年代中期前苏联的经济进步显著下降，这通过经济增长率以及难以测量的创新率表现出来。</w:t>
      </w:r>
    </w:p>
    <w:p w14:paraId="485A9377">
      <w:pPr>
        <w:rPr>
          <w:rFonts w:eastAsia="宋体" w:cs="Times New Roman"/>
          <w:sz w:val="21"/>
          <w:szCs w:val="24"/>
        </w:rPr>
      </w:pPr>
      <w:r>
        <w:rPr>
          <w:rFonts w:hint="eastAsia" w:eastAsia="宋体" w:cs="Times New Roman"/>
          <w:sz w:val="21"/>
          <w:szCs w:val="24"/>
        </w:rPr>
        <w:t xml:space="preserve">  　　1975年以后停滞开始出现。虽然直到1989年产量每年仍在增加，但真实GNP每年只增加2％。这种停滞在推动戈尔巴乔夫1985年上台中扮演重要角色，戈氏正是共产党领导人中改革派的代表。</w:t>
      </w:r>
    </w:p>
    <w:p w14:paraId="31853CF9">
      <w:pPr>
        <w:rPr>
          <w:rFonts w:eastAsia="宋体" w:cs="Times New Roman"/>
          <w:sz w:val="21"/>
          <w:szCs w:val="24"/>
        </w:rPr>
      </w:pPr>
      <w:r>
        <w:rPr>
          <w:rFonts w:hint="eastAsia" w:eastAsia="宋体" w:cs="Times New Roman"/>
          <w:sz w:val="21"/>
          <w:szCs w:val="24"/>
        </w:rPr>
        <w:t xml:space="preserve">  　　虽然戈尔巴乔夫仍在台上，但是叶利钦和他领导的赞同资本主义的同伙却获得了前苏联俄罗斯共和国的政治权力，并能够利用权力着手肢解中央计划。这样虽然在其他方面有所发展，却导致了战后产量的首次下降(1990年下降了2.4％)，由于中央计划全面解除，1991年产量下降加速了(估计下降达到12.8％)，而且很明显是工业的私有化在先。</w:t>
      </w:r>
    </w:p>
    <w:p w14:paraId="7CB77B40">
      <w:pPr>
        <w:rPr>
          <w:rFonts w:eastAsia="宋体" w:cs="Times New Roman"/>
          <w:sz w:val="21"/>
          <w:szCs w:val="24"/>
        </w:rPr>
      </w:pPr>
      <w:r>
        <w:rPr>
          <w:rFonts w:hint="eastAsia" w:eastAsia="宋体" w:cs="Times New Roman"/>
          <w:sz w:val="21"/>
          <w:szCs w:val="24"/>
        </w:rPr>
        <w:t xml:space="preserve">  　　前苏联人民从来就不欢迎未来的资本主义。虽然他们对苏联体制的许多方面不满，但是1990年至1991年的选举事件持续表明仅仅很少的人支持资本主义。例如，在1991年5月由美国公司进行的一次大样本的民意调查发现，仅仅17％的调查者赞成“诸如美国和德国建立的自由市场形式的资本主义”，而且其他进行的民意调查显示更少百分比的人赞同资本主义。叶利钦和他的同伙并没有向公众说明他们为俄罗斯谋划一个什么样的未来，但他们自己是建立了一个赞成资本主义的政治同盟。</w:t>
      </w:r>
    </w:p>
    <w:p w14:paraId="180E6E1A">
      <w:pPr>
        <w:rPr>
          <w:rFonts w:eastAsia="宋体" w:cs="Times New Roman"/>
          <w:sz w:val="21"/>
          <w:szCs w:val="24"/>
        </w:rPr>
      </w:pPr>
      <w:r>
        <w:rPr>
          <w:rFonts w:hint="eastAsia" w:eastAsia="宋体" w:cs="Times New Roman"/>
          <w:sz w:val="21"/>
          <w:szCs w:val="24"/>
        </w:rPr>
        <w:t xml:space="preserve">  　　前苏联有一伙人很清楚叶利钦导演的未来是什么。这伙人就是前苏联制度的党政精英，他们大约10万人，由操纵苏联制度的政党、国家、经济管理机构和其他关键部门的高级官员组成。到1991年这伙人的观点与前苏联大众的观点迥异。1991年6月美国的一位政治科学家对这伙莫斯科精英进行了集中研究，发现其成员的76.1％都带有赞成资本主义的意识色彩。在1989—1991年期间，由于大多数党政精英热衷于搞资本主义，因此他们强烈支持叶利钦及其赞同资本主义的同盟。前苏联进行的走向资本主义的改革是自上开始的改革，是由它自己的统治精英倡导的。</w:t>
      </w:r>
    </w:p>
    <w:p w14:paraId="46C06C0C">
      <w:pPr>
        <w:rPr>
          <w:rFonts w:eastAsia="宋体" w:cs="Times New Roman"/>
          <w:sz w:val="21"/>
          <w:szCs w:val="24"/>
        </w:rPr>
      </w:pPr>
      <w:r>
        <w:rPr>
          <w:rFonts w:hint="eastAsia" w:eastAsia="宋体" w:cs="Times New Roman"/>
          <w:sz w:val="21"/>
          <w:szCs w:val="24"/>
        </w:rPr>
        <w:t xml:space="preserve">  　　程恩富：我国领导人多次讲过，苏东国家的失败，不是社会主义的失败，而是放弃社会主义的失败；这些国家首先是社科理论和意识形态出了问题。</w:t>
      </w:r>
    </w:p>
    <w:p w14:paraId="3C04D475">
      <w:pPr>
        <w:rPr>
          <w:rFonts w:eastAsia="宋体" w:cs="Times New Roman"/>
          <w:sz w:val="21"/>
          <w:szCs w:val="24"/>
        </w:rPr>
      </w:pPr>
      <w:r>
        <w:rPr>
          <w:rFonts w:hint="eastAsia" w:eastAsia="宋体" w:cs="Times New Roman"/>
          <w:sz w:val="21"/>
          <w:szCs w:val="24"/>
        </w:rPr>
        <w:t xml:space="preserve">  　　科茨：还应当分析经济动因。为什么前苏联大多数统治精英抛弃自己借以获得统治地位的前苏联制度呢？霍华德.谢尔曼观察到，前苏联精英阶层在物质上的特权虽然也不少，但远不及资本主义制度中的资产阶级拥有的特权。前苏联精英阶层不能够把他们的职位传给他们的下一代。除了舒适的家与汽车，前苏联精英阶层成员不能合法获得任何财产。</w:t>
      </w:r>
    </w:p>
    <w:p w14:paraId="06515229">
      <w:pPr>
        <w:rPr>
          <w:rFonts w:eastAsia="宋体" w:cs="Times New Roman"/>
          <w:sz w:val="21"/>
          <w:szCs w:val="24"/>
        </w:rPr>
      </w:pPr>
      <w:r>
        <w:rPr>
          <w:rFonts w:hint="eastAsia" w:eastAsia="宋体" w:cs="Times New Roman"/>
          <w:sz w:val="21"/>
          <w:szCs w:val="24"/>
        </w:rPr>
        <w:t xml:space="preserve">  　　他们相对高水平的消费完全取决于他们的职位。对上级的不满就可能导致降级和失去特权。大多数党政精英成员是注重物质利益和非意识形态化的，他们口头上对官方表态赞成建设社会主义和共产主义，但却没有任何实际义务。一旦为争夺将来社会制度方向的斗争公开化，除了一些真正相信社会主义理想和一些趋于保守不愿接受大的改变的人外，这个精英集团成员都为能在新的资本主义制度中成为富有的财产所有者的憧憬倾倒了。</w:t>
      </w:r>
    </w:p>
    <w:p w14:paraId="4B6C658E">
      <w:pPr>
        <w:rPr>
          <w:rFonts w:eastAsia="宋体" w:cs="Times New Roman"/>
          <w:sz w:val="21"/>
          <w:szCs w:val="24"/>
        </w:rPr>
      </w:pPr>
      <w:r>
        <w:rPr>
          <w:rFonts w:hint="eastAsia" w:eastAsia="宋体" w:cs="Times New Roman"/>
          <w:sz w:val="21"/>
          <w:szCs w:val="24"/>
        </w:rPr>
        <w:t xml:space="preserve">  　　前苏联最后岁月兴起的支持资本主义的同盟中，党政精英并不是惟一集团。在前苏联知识分子阶层中还发现一个关键同伙，他们在20世纪80年代后期简单接受了自由市场的新自由主义思想。这个知识阶层为赞同资本主义的同盟解决了他们面临的关键性难题：怎样在前苏联人民并不盛行资本主义的条件下赢得选举的胜利。在戈尔巴乔夫实施公开的政策下，大众媒体已渐脱离党和国家的控制，知识分子特别是经济学家在媒体中鼓吹“自由市场”能够挽救前苏联经济，而且企业只有私有化，自由市场才能发挥作用。</w:t>
      </w:r>
    </w:p>
    <w:p w14:paraId="0707E382">
      <w:pPr>
        <w:rPr>
          <w:rFonts w:eastAsia="宋体" w:cs="Times New Roman"/>
          <w:sz w:val="21"/>
          <w:szCs w:val="24"/>
        </w:rPr>
      </w:pPr>
      <w:r>
        <w:rPr>
          <w:rFonts w:hint="eastAsia" w:eastAsia="宋体" w:cs="Times New Roman"/>
          <w:sz w:val="21"/>
          <w:szCs w:val="24"/>
        </w:rPr>
        <w:t xml:space="preserve">  　　程恩富：您认为从苏东国家的蜕变和衰落中，我们应当得出关于未来可行社会主义形态的什么教训呢？</w:t>
      </w:r>
    </w:p>
    <w:p w14:paraId="5C32AA8B">
      <w:pPr>
        <w:rPr>
          <w:rFonts w:eastAsia="宋体" w:cs="Times New Roman"/>
          <w:sz w:val="21"/>
          <w:szCs w:val="24"/>
        </w:rPr>
      </w:pPr>
      <w:r>
        <w:rPr>
          <w:rFonts w:hint="eastAsia" w:eastAsia="宋体" w:cs="Times New Roman"/>
          <w:sz w:val="21"/>
          <w:szCs w:val="24"/>
        </w:rPr>
        <w:t xml:space="preserve">  　　科茨：在1985年到1991年戈尔巴乔夫时代，对前苏联国家社会主义进行改革的企图，却导致了这种制度的终结和前苏联的解体，并且从继任的国家领导人到前苏联共和国都努力寻求建立资本主义制度。我认为，最重要的教训有两点：</w:t>
      </w:r>
    </w:p>
    <w:p w14:paraId="53D78B2D">
      <w:pPr>
        <w:rPr>
          <w:rFonts w:eastAsia="宋体" w:cs="Times New Roman"/>
          <w:sz w:val="21"/>
          <w:szCs w:val="24"/>
        </w:rPr>
      </w:pPr>
      <w:r>
        <w:rPr>
          <w:rFonts w:hint="eastAsia" w:eastAsia="宋体" w:cs="Times New Roman"/>
          <w:sz w:val="21"/>
          <w:szCs w:val="24"/>
        </w:rPr>
        <w:t xml:space="preserve">  　　第一，一个有特权的政治精英操纵制度的社会主义模式是不稳定的，从长期看它趋于发展成资本主义。可行的社会主义必须有这样的制度，即依靠鼓励人民积极参与政治生活，来阻止自我永生的政治精英们的自我强化。</w:t>
      </w:r>
    </w:p>
    <w:p w14:paraId="3385A702">
      <w:pPr>
        <w:rPr>
          <w:rFonts w:eastAsia="宋体" w:cs="Times New Roman"/>
          <w:sz w:val="21"/>
          <w:szCs w:val="24"/>
        </w:rPr>
      </w:pPr>
      <w:r>
        <w:rPr>
          <w:rFonts w:hint="eastAsia" w:eastAsia="宋体" w:cs="Times New Roman"/>
          <w:sz w:val="21"/>
          <w:szCs w:val="24"/>
        </w:rPr>
        <w:t xml:space="preserve">  　　第二个教训是有关社会主义中市场的潜在角色。自从20世纪30年代，针对市场社会主义的可行性和前景已经进行了激烈的争论。赞同者希望它能够把市场赋予的效率、个体选择和技术进步，与社会主义承诺的社会公正和个体保障联合起来。批评者却警告，市场社会主义将重新产生许多资本主义的问题，包括贫富差距、宏观不稳定、环境的破坏。</w:t>
      </w:r>
    </w:p>
    <w:p w14:paraId="549CF874">
      <w:pPr>
        <w:rPr>
          <w:rFonts w:eastAsia="宋体" w:cs="Times New Roman"/>
          <w:sz w:val="21"/>
          <w:szCs w:val="24"/>
        </w:rPr>
      </w:pPr>
      <w:r>
        <w:rPr>
          <w:rFonts w:hint="eastAsia" w:eastAsia="宋体" w:cs="Times New Roman"/>
          <w:sz w:val="21"/>
          <w:szCs w:val="24"/>
        </w:rPr>
        <w:t xml:space="preserve">  　　程恩富：我不同意关于“市场化必然私有化”的思维倾向，因为即使在全部是公有制的社会中，也可以实行一种独特的市场经济体制。正如复旦大学资深教授张薰华所说，市场经济只要公有企业有自主经营权，并不要求企业的生产资料一定要归私人所有。我主张，市场社会主义的模式也应是多样化的，中国现存的只是一种模式。不要完全受某国现存实践的局限。</w:t>
      </w:r>
    </w:p>
    <w:p w14:paraId="147FC375">
      <w:pPr>
        <w:rPr>
          <w:rFonts w:eastAsia="宋体" w:cs="Times New Roman"/>
          <w:sz w:val="21"/>
          <w:szCs w:val="24"/>
        </w:rPr>
      </w:pPr>
      <w:r>
        <w:rPr>
          <w:rFonts w:hint="eastAsia" w:eastAsia="宋体" w:cs="Times New Roman"/>
          <w:sz w:val="21"/>
          <w:szCs w:val="24"/>
        </w:rPr>
        <w:t xml:space="preserve">  　　日本著名马克思主义经济学家伊藤诚强调，中国完善社会主义市场经济体制的关键，在于克服新自由主义的思想障碍，这是颇有见地的。</w:t>
      </w:r>
      <w:r>
        <w:rPr>
          <w:rFonts w:eastAsia="宋体" w:cs="Times New Roman"/>
          <w:sz w:val="21"/>
          <w:szCs w:val="24"/>
          <w:vertAlign w:val="superscript"/>
        </w:rPr>
        <w:footnoteReference w:id="223"/>
      </w:r>
      <w:r>
        <w:rPr>
          <w:rFonts w:hint="eastAsia" w:eastAsia="宋体" w:cs="Times New Roman"/>
          <w:sz w:val="21"/>
          <w:szCs w:val="24"/>
        </w:rPr>
        <w:t>国内外许多有识之士看到甚至指出：我国有论著因主张私有制的效率比公有制高而厚望私有化，因强调公平与效率是替代关系而贬低社会公平，因神化自由市场而轻视国家科学的经济调控，因盲崇美欧日的学术和技术而产生民族自卑(易生缺乏自主创新精神的“被殖民心态”)，这对于以发展着的马克思主义及其经济理论为指导，真正完善社会主义市场经济等各项体制，全面落实科学发展观，早日实现跨越式前进和现代化都是不利的，应当尽快加以消除。</w:t>
      </w:r>
    </w:p>
    <w:p w14:paraId="05141EED">
      <w:pPr>
        <w:rPr>
          <w:rFonts w:eastAsia="宋体" w:cs="Times New Roman"/>
          <w:sz w:val="21"/>
          <w:szCs w:val="24"/>
        </w:rPr>
      </w:pPr>
      <w:r>
        <w:rPr>
          <w:rFonts w:hint="eastAsia" w:eastAsia="宋体" w:cs="Times New Roman"/>
          <w:sz w:val="21"/>
          <w:szCs w:val="24"/>
        </w:rPr>
        <w:t xml:space="preserve">  　　参考文献：</w:t>
      </w:r>
    </w:p>
    <w:p w14:paraId="7C40B7AB">
      <w:pPr>
        <w:rPr>
          <w:rFonts w:eastAsia="宋体" w:cs="Times New Roman"/>
          <w:sz w:val="21"/>
          <w:szCs w:val="24"/>
        </w:rPr>
      </w:pPr>
      <w:r>
        <w:rPr>
          <w:rFonts w:hint="eastAsia" w:eastAsia="宋体" w:cs="Times New Roman"/>
          <w:sz w:val="21"/>
          <w:szCs w:val="24"/>
        </w:rPr>
        <w:t xml:space="preserve">  　　（1）吴树青：《“华盛顿共识”、“北京共识”引发的几点思考》，《思想理论教育导刊》2004年第11期。</w:t>
      </w:r>
    </w:p>
    <w:p w14:paraId="0D34D253">
      <w:pPr>
        <w:rPr>
          <w:rFonts w:eastAsia="宋体" w:cs="Times New Roman"/>
          <w:sz w:val="21"/>
          <w:szCs w:val="24"/>
        </w:rPr>
      </w:pPr>
      <w:r>
        <w:rPr>
          <w:rFonts w:hint="eastAsia" w:eastAsia="宋体" w:cs="Times New Roman"/>
          <w:sz w:val="21"/>
          <w:szCs w:val="24"/>
        </w:rPr>
        <w:t xml:space="preserve">  　　（2）周肇光：《关注“警戒线”，证伪“洋教条”——访经济学家王振中》，载程恩富 顾海良主编：《海派经济学》(季刊)第6辑，上海财经大学出版社2004年版。</w:t>
      </w:r>
    </w:p>
    <w:p w14:paraId="06F12E74">
      <w:pPr>
        <w:rPr>
          <w:rFonts w:eastAsia="宋体" w:cs="Times New Roman"/>
          <w:sz w:val="21"/>
          <w:szCs w:val="24"/>
        </w:rPr>
      </w:pPr>
      <w:r>
        <w:rPr>
          <w:rFonts w:hint="eastAsia" w:eastAsia="宋体" w:cs="Times New Roman"/>
          <w:sz w:val="21"/>
          <w:szCs w:val="24"/>
        </w:rPr>
        <w:t xml:space="preserve">  　　（3）程恩富 陈士辉：《日本马克恩主义经济学与现实问题研究态势》，载程恩富顾海良主编：《海派经济学》(季刊)第6辑，上海财经大学出版社2004年版。</w:t>
      </w:r>
    </w:p>
    <w:p w14:paraId="37EC84B1">
      <w:pPr>
        <w:rPr>
          <w:rFonts w:hint="eastAsia" w:eastAsia="宋体" w:cs="Times New Roman"/>
          <w:sz w:val="21"/>
          <w:szCs w:val="24"/>
        </w:rPr>
      </w:pPr>
    </w:p>
    <w:p w14:paraId="6FB6349F">
      <w:pPr>
        <w:rPr>
          <w:rFonts w:ascii="Calibri" w:hAnsi="Calibri" w:eastAsia="宋体" w:cs="Times New Roman"/>
          <w:sz w:val="21"/>
        </w:rPr>
      </w:pPr>
      <w:r>
        <w:rPr>
          <w:rFonts w:hint="eastAsia" w:eastAsia="宋体" w:cs="Times New Roman"/>
          <w:sz w:val="21"/>
          <w:szCs w:val="24"/>
        </w:rPr>
        <w:t>（原载《</w:t>
      </w:r>
      <w:r>
        <w:rPr>
          <w:rFonts w:hint="eastAsia" w:ascii="宋体" w:hAnsi="宋体" w:eastAsia="宋体" w:cs="Times New Roman"/>
          <w:sz w:val="21"/>
          <w:szCs w:val="21"/>
        </w:rPr>
        <w:t>经济学动态》2005年第4期）</w:t>
      </w:r>
    </w:p>
    <w:p w14:paraId="1782F308">
      <w:pPr>
        <w:widowControl/>
        <w:adjustRightInd w:val="0"/>
        <w:snapToGrid w:val="0"/>
        <w:spacing w:line="300" w:lineRule="auto"/>
        <w:ind w:firstLine="440" w:firstLineChars="200"/>
        <w:rPr>
          <w:rFonts w:hint="eastAsia" w:ascii="宋体" w:hAnsi="宋体" w:eastAsia="宋体" w:cs="宋体"/>
          <w:szCs w:val="21"/>
          <w:lang w:bidi="ar"/>
        </w:rPr>
      </w:pPr>
    </w:p>
    <w:p w14:paraId="7F05716E">
      <w:pPr>
        <w:widowControl/>
        <w:adjustRightInd w:val="0"/>
        <w:snapToGrid w:val="0"/>
        <w:spacing w:line="300" w:lineRule="auto"/>
        <w:ind w:firstLine="440" w:firstLineChars="200"/>
        <w:rPr>
          <w:rFonts w:ascii="宋体" w:hAnsi="宋体" w:eastAsia="宋体" w:cs="宋体"/>
          <w:szCs w:val="21"/>
        </w:rPr>
      </w:pPr>
      <w:r>
        <w:rPr>
          <w:rFonts w:hint="eastAsia" w:ascii="宋体" w:hAnsi="宋体" w:eastAsia="宋体" w:cs="宋体"/>
          <w:szCs w:val="21"/>
          <w:lang w:bidi="ar"/>
        </w:rPr>
        <w:br w:type="page"/>
      </w:r>
    </w:p>
    <w:p w14:paraId="560A7EC4">
      <w:pPr>
        <w:pStyle w:val="2"/>
        <w:spacing w:before="120" w:after="120" w:line="360" w:lineRule="auto"/>
        <w:ind w:firstLine="660" w:firstLineChars="200"/>
        <w:rPr>
          <w:rFonts w:hint="default"/>
        </w:rPr>
      </w:pPr>
      <w:bookmarkStart w:id="561" w:name="_Toc111148959"/>
      <w:bookmarkStart w:id="562" w:name="_Toc5038"/>
      <w:bookmarkStart w:id="563" w:name="_Toc26495933"/>
      <w:bookmarkStart w:id="564" w:name="_Toc1885122029"/>
      <w:r>
        <w:t>2006年</w:t>
      </w:r>
      <w:bookmarkEnd w:id="561"/>
      <w:bookmarkEnd w:id="562"/>
      <w:bookmarkEnd w:id="563"/>
      <w:bookmarkEnd w:id="564"/>
    </w:p>
    <w:p w14:paraId="633F5970">
      <w:pPr>
        <w:spacing w:before="147" w:beforeLines="50" w:after="147" w:afterLines="50" w:line="300" w:lineRule="auto"/>
        <w:ind w:firstLine="660" w:firstLineChars="200"/>
        <w:jc w:val="center"/>
        <w:outlineLvl w:val="1"/>
        <w:rPr>
          <w:rFonts w:ascii="黑体" w:hAnsi="黑体" w:eastAsia="黑体" w:cstheme="majorBidi"/>
          <w:sz w:val="32"/>
          <w:szCs w:val="32"/>
        </w:rPr>
      </w:pPr>
      <w:bookmarkStart w:id="565" w:name="_Toc9795"/>
      <w:bookmarkStart w:id="566" w:name="_Toc111148960"/>
      <w:bookmarkStart w:id="567" w:name="_Toc257922001"/>
      <w:bookmarkStart w:id="568" w:name="_Toc788031002"/>
      <w:bookmarkStart w:id="569" w:name="_Toc1419697212"/>
      <w:bookmarkStart w:id="570" w:name="_Toc23778"/>
      <w:r>
        <w:rPr>
          <w:rFonts w:hint="eastAsia" w:ascii="黑体" w:hAnsi="黑体" w:eastAsia="黑体" w:cstheme="majorBidi"/>
          <w:sz w:val="32"/>
          <w:szCs w:val="32"/>
        </w:rPr>
        <w:t>1传承、创新与弘扬  建设马克思主义的坚强阵地</w:t>
      </w:r>
      <w:bookmarkEnd w:id="565"/>
      <w:bookmarkEnd w:id="566"/>
      <w:bookmarkEnd w:id="567"/>
      <w:bookmarkEnd w:id="568"/>
      <w:bookmarkEnd w:id="569"/>
    </w:p>
    <w:p w14:paraId="321BD80D">
      <w:pPr>
        <w:spacing w:before="147" w:beforeLines="50" w:line="300" w:lineRule="auto"/>
        <w:ind w:firstLine="440" w:firstLineChars="200"/>
        <w:rPr>
          <w:rFonts w:ascii="宋体" w:hAnsi="宋体" w:eastAsia="宋体" w:cs="Times New Roman"/>
          <w:szCs w:val="21"/>
        </w:rPr>
      </w:pPr>
      <w:r>
        <w:rPr>
          <w:rFonts w:hint="eastAsia" w:ascii="宋体" w:hAnsi="宋体" w:eastAsia="宋体" w:cs="Times New Roman"/>
          <w:szCs w:val="21"/>
        </w:rPr>
        <w:t>在中国共产党和新中国的缔造者、中国化马克思主义的创立者——毛泽东同志诞辰112周年的时候，中国社会科学院马克思主义研究院正式成立了。中共中央政治局委员、中共中央宣传部部长刘云山同志出席成立大会，发表重要讲话，并就加强马克思主义理论研究和建设，办好马克思主义研究院作出重要指示。中国社会科学院院长陈奎元同志主持成立大会，并就做好马克思主义研究院的工作提出了总的要求。中国社会科学院常务副院长兼马克思主义研究院院长冷溶同志就马克思主义研究院的重要意义、主要任务和队伍建设作了重要讲话。这充分体现了党中央和社科院对马克思主义研究工作的高度重视和坚强领导。我们一定要认真贯彻刘云山同志重要讲话精神，按照陈奎元同志和冷溶同志关于办好马克思主义研究院的总体要求和部署，抓住机遇，乘势而上，努力做好各项工作，以不辜负党和人民的重托。</w:t>
      </w:r>
    </w:p>
    <w:p w14:paraId="6D411F78">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一、建立马克思主义研究院的意义</w:t>
      </w:r>
    </w:p>
    <w:p w14:paraId="652B3C3F">
      <w:pPr>
        <w:spacing w:line="300" w:lineRule="auto"/>
        <w:ind w:firstLine="440" w:firstLineChars="200"/>
        <w:rPr>
          <w:rFonts w:ascii="黑体" w:hAnsi="黑体" w:eastAsia="黑体" w:cs="Times New Roman"/>
          <w:sz w:val="24"/>
          <w:szCs w:val="18"/>
        </w:rPr>
      </w:pPr>
      <w:r>
        <w:rPr>
          <w:rFonts w:hint="eastAsia" w:ascii="宋体" w:hAnsi="宋体" w:eastAsia="宋体" w:cs="Times New Roman"/>
          <w:szCs w:val="21"/>
        </w:rPr>
        <w:t>马克思主义研究院是中国社会科学院新组建的专门从事马克思主义研究的科研机构，主要任务是立足国情，放眼世界，立足当代，面向未来，研究马克思主义经典著作和基本原理，研究中国化的马克思主义——毛泽东思想、邓小平理论和“三个代表”重要思想，以及党的十六大以来的最新理论成果，研究中国特色社会主义的基本理论、基本路线、基本纲领和基本经验，研究国际共产主义运动的历史经验和教训，研究国外马克思主义和当代世界的社会主义实践和思潮。我们必须站在党和国家事业发展全局的高度，把建立马克思主义研究院作为一项重大而紧迫的任务，切实抓紧抓好。</w:t>
      </w:r>
    </w:p>
    <w:p w14:paraId="312B65CB">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——建立马克思主义研究院是坚持和发展马克思主义理论、巩固社会主义学术阵地和意识形态的迫切需要</w:t>
      </w:r>
    </w:p>
    <w:p w14:paraId="74730B2D">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马克思主义诞生一个半世纪以来，在同工人运动相结合，指导社会主义革命和建设的过程中，既取得了辉煌的成就，也出现过严重的挫折；既得到工人阶级和劳动人民的拥护，也遭到资产阶级及其代理人的仇视。苏东剧变以后，世界社会主义运动陷入低潮，各种敌对势力大肆进行反共反社会主义的活动，各种反马克思主义思潮甚嚣尘上。特别是西方敌对势力加紧对我实施西化、分化的政治图谋，总想否定马克思主义的指导，推翻共产党的领导和社会主义制度。中国是一个拥有13亿人口的社会主义大国，中国共产党是一个拥有6000多万党员的马克思主义政党，建立一个体现当代中国水平、具有世界领先地位的马克思主义研究院，以捍卫和发展马克思主义理论学说，巩固社会主义思想阵地和学术阵地，是我们义不容辞的责任。进入新世纪新阶段，我国的发展势头很好，综合国力显著增强，国际地位进一步提高，但也必须清醒地看到，当前的国际局势风云变幻，中外各种学术、思想和文化相互激荡，意识形态领域的斗争尖锐复杂。还要看到，当今世界政治、经济、文化、科技、军事等领域出现了一系列新情况、新问题，我国改革发展也面临着一系列新任务、新课题，急需马克思主义理论工作者作出新的研究和探索，用一脉相承和不断发展着的马克思主义指导新的实践和社会科学的研究。今后一个时期既是我国的“发展机遇期”，又是“矛盾凸显期”，热点难点问题增多，统一思想、凝聚力量的任务极其繁重。人们常说，挑战与机遇并存。社会主义要重新振兴，马克思主义要说服群众，必须继续解答当今时代和社会实践提出的各种问题，回击敌对势力和错误学术思潮对马克思主义的挑战，丰富和发展马克思主义理论，给正在为社会主义事业而奋斗的人们以精神动力和理论指导。尽管我国用马克思主义指导的那部分哲学社会科学的研究在国际上处于一流的学术和理论地位，但仍需继续努力。在新形势下，办好马克思主义研究院，对于推进马克思主义理论创新，巩固马克思主义在学术和意识形态领域的指导地位，实现全面建设小康社会的宏伟目标，具有十分重要的意义。</w:t>
      </w:r>
    </w:p>
    <w:p w14:paraId="2977FC53">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——建立马克思主义研究院对于落实《中共中央关于进一步繁荣发展哲学社会科学的意见》，建设我国哲学社会科学创新体系至关重要</w:t>
      </w:r>
    </w:p>
    <w:p w14:paraId="460DCFB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邓小平同志明确说过：“我们是一个马克思主义的大党，我们自己不重视马克思主义的研究，不按照实践的发展来推动马克思主义的前进，我们的工作还能够做得好吗？我们讲高举马列主义、毛泽东思想的旗帜，不就成了说空话吗？”</w:t>
      </w:r>
      <w:r>
        <w:rPr>
          <w:rFonts w:ascii="宋体" w:hAnsi="宋体" w:eastAsia="宋体" w:cs="Times New Roman"/>
          <w:szCs w:val="21"/>
          <w:vertAlign w:val="superscript"/>
        </w:rPr>
        <w:footnoteReference w:id="224"/>
      </w:r>
      <w:r>
        <w:rPr>
          <w:rFonts w:hint="eastAsia" w:ascii="宋体" w:hAnsi="宋体" w:eastAsia="宋体" w:cs="Times New Roman"/>
          <w:szCs w:val="21"/>
        </w:rPr>
        <w:t>党的十六大也强调“实践基础上的理论创新是社会发展和变革的先导”。中共中央《关于进一步繁荣发展哲学社会科学的意见》和胡锦涛同志在中央政治局第十三次集体学习会议上发表的重要讲话中，都强调要以马克思主义为指导，大力推进我国哲学社会科学创新体系建设。而作为近现代哲学社会科学发展的最高成就和新中国哲学社会科学的主体和灵魂——马克思主义的传承、创新与弘扬，对于我国哲学社会科学创新体系建设具有至关重要的地位和作用。早在2004年的中国社会科学院工作会议上，陈奎元同志就提出了认真研究如何构建哲学社会科学创新体系的问题，强调建立创新体系的根本要求是坚持和发展马克思主义。2005年2月，中国社会科学院工作会议将实施马克思主义理论研究和建设工程，形成马列主义、毛泽东思想、邓小平理论和“三个代表”重要思想研究中心，发挥马克思主义坚强阵地的作用，确定为我院哲学社会科学创新体系的重中之重，并分别将其列为实施“六项工程”、形成“五大研究中心”、发挥“四大作用”的首位。建好马克思主义研究院，对于落实中国社会科学院“六五四”发展规划，推进全院哲学社会科学创新体系建设，具有十分重要的意义。</w:t>
      </w:r>
    </w:p>
    <w:p w14:paraId="50D645D5">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——建立马克思主义研究院是实施马克思主义理论研究和建设工程，加强马克思主义理论工作的重要举措</w:t>
      </w:r>
    </w:p>
    <w:p w14:paraId="02C43DD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高度重视马克思主义的理论研究，是我们党的传统和优势。毛泽东同志曾经说过：“全党都要注意思想理论工作，建立马克思主义的理论队伍，加强马克思主义理论的研究和宣传。”</w:t>
      </w:r>
      <w:r>
        <w:rPr>
          <w:rFonts w:ascii="宋体" w:hAnsi="宋体" w:eastAsia="宋体" w:cs="Times New Roman"/>
          <w:szCs w:val="21"/>
          <w:vertAlign w:val="superscript"/>
        </w:rPr>
        <w:footnoteReference w:id="225"/>
      </w:r>
      <w:r>
        <w:rPr>
          <w:rFonts w:hint="eastAsia" w:ascii="宋体" w:hAnsi="宋体" w:eastAsia="宋体" w:cs="Times New Roman"/>
          <w:szCs w:val="21"/>
        </w:rPr>
        <w:t>正是依靠强有力的马克思主义理论研究和党的思想建设，中国的革命、建设和改革事业才克服各种艰难险阻，取得了举世瞩目的成就。2004年初，中共中央专门发出关于进一步繁荣发展哲学社会科学的意见，明确提出要实施马克思主义理论研究和建设工程，强调繁荣发展哲学社会科学必须坚持马克思主义的指导地位；强调加强马克思主义基本原理研究是繁荣发展哲学社会科学的一项极为重要的工作；强调加强毛泽东思想、邓小平理论和“三个代表”重要思想的研究对于我国哲学社会科学繁荣发展至关重要。2004年4月，中央专门召开实施马克思主义理论研究和建设工程工作会议，全面推进工程各项工作。胡锦涛同志在会见出席工作会议的全体代表时指出：中央决定实施马克思主义理论研究和建设工程“是关系党和国家事业发展的战略任务，是中央加强党的理论建设的重大举措，意义深远，任务繁重”。为了贯彻中央实施马克思主义理论研究和建设工程工作会议精神，中国社会科学院党组决定在原有马列所的基础上，整合全院乃至全国的力量，新建马克思主义研究院。我们一定要认清马克思主义研究院所担负的责任，在实施马克思主义理论研究和建设工程中发挥更大的作用。</w:t>
      </w:r>
    </w:p>
    <w:p w14:paraId="0BE9315F">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二、马克思主义研究院的发展目标</w:t>
      </w:r>
    </w:p>
    <w:p w14:paraId="72F763E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1994年初，江泽民同志为中国社会科学院题词：“加强学习，总结经验，坚持理论联系实际，把中国社会科学院建设成为马克思主义的坚强阵地。”自2004年以来，中央领导同志多次强调，要进一步高扬马克思主义的伟大旗帜，用马克思主义占领意识形态阵地。建设马克思主义的坚强阵地，既是中央对中国社会科学院工作的总要求，也是马克思主义研究院的总目标。我们力争用十年左右的时间，把马克思主义研究院建成人才荟萃、学科齐全、体制完善、机制灵活，在国内外处于领先地位和广泛影响的马克思主义研究机构，努力开创马克思主义学术研究和理论发展的新局面。</w:t>
      </w:r>
    </w:p>
    <w:p w14:paraId="0C01A95C">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第一，马克思主义研究院应成为中国的马克思主义学术研究和理论宣传的重要基地</w:t>
      </w:r>
    </w:p>
    <w:p w14:paraId="511F6B2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马克思主义不是教条，而是行动的指南。马克思主义只有被广大人民群众所掌握，指导社会实践，才能变成改造世界的巨大物质力量。建立马克思主义研究院，凝聚、培养一支高素质、高水平的马克思主义理论队伍，是为了更好地研究和宣传马克思主义，更好地为改革开放和社会主义现代化建设服务。有些同志既对研究、宣传马列主义经典著作没有兴趣，也对研究、宣传中国化的马克思主义没有兴趣，认为这不是学问。这种态度和认识是不正确的。我们要积极动员和组织精干力量，更多地在研究、宣传马克思主义基本原理上下功夫，在研究、宣传邓小平理论和“三个代表”重要思想上下功夫，在研究、宣传科学发展观的理论内涵和指导意义上下功夫，在研究全面建设小康社会和社会主义和谐社会的理论和实践上下功夫，在研究党的执政能力建设和党的先进性建设的理论和实践上下功夫，不断深化共产党执政规律、社会主义建设规律、人类社会发展规律的认识，充分发挥马克思主义指导社会主义物质文明、政治文明、精神文明建设与和谐社会建设的重要作用。马克思主义学者应当成为战略社会科学家。我们要正确处理学术研究、理论宣传和对策研究的关系，以学术研究带动理论宣传和应用探讨，又以理论宣传和应用探讨促进学术研究，使马克思主义研究院真正成为党中央、国务院重要的思想库和智囊团之一，真正成为现代马克思主义学术研究和理论宣传战线上的骨干力量。</w:t>
      </w:r>
    </w:p>
    <w:p w14:paraId="77A460E0">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第二，马克思主义研究院应成为中国的马克思主义人才培养的重要基地</w:t>
      </w:r>
    </w:p>
    <w:p w14:paraId="5299F82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坚持和发展马克思主义这项艰巨而崇高的事业，要求建设一支宏大的马克思主义理论队伍。办好马克思主义研究院，做好马克思主义理论工作，关键在人。没有一流的人才，就不会有一流的科研成果；没有学术大家，就不会产生创新性的传世之作。胡锦涛同志非常关心人才队伍建设，强调要抓好培养、吸引、用好人才这三个环节，既要完善竞争激励机制，也要营造团结和谐的环境，还要重视抓好思想教育。《中共中央关于进一步繁荣发展哲学社会科学的意见》也提出：“要按照政治强、业务精、作风正的要求，造就一批用马克思主义武装起来、立足中国、面向世界、学贯中西的思想家和理论家，造就一批理论功底扎实、勇于开拓创新的学科带头人，造就一批年富力强、政治和业务素质良好、锐意进取的青年理论骨干。”我们要按照胡锦涛同志关于抓好培养、吸引、用好人才“三个环节”的指示和《意见》中造就“三个一批”人才的要求，抓紧做好马克思主义学术大师和学科带头人的培养和引进工作，抓紧做好马克思主义青年理论骨干的教育和引进工作(包括积极引进持马克思主义观点的海外留学人才)，尽快把马克思主义研究院建设成为培养和造就高层次、高水平的马克思主义理论人才的重要基地。</w:t>
      </w:r>
    </w:p>
    <w:p w14:paraId="24E871E8">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第三，马克思主义研究院应成为中外马克思主义学术交流与合作的重要基地</w:t>
      </w:r>
    </w:p>
    <w:p w14:paraId="325755C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马克思主义是全世界工人阶级的“圣经”，是国际共产主义运动的理论基础。一百多年来，马克思主义传遍了全世界，为数以亿计的工人阶级和劳动人民所信奉，以马克思主义为指导的社会主义革命和建设也取得了从一国到多国的胜利，开辟了人类历史的新纪元。特别是在信息化和全球化的背景下，世界各国的马克思主义者正在加强思想的沟通和学术的交流，掀起世界性的马克思主义研究新热潮。胡锦涛同志十分关注国外马克思主义的研究态势，最近中共中央政治局第26次集体学习的主题就包括世界马克思主义研究这一重要内容。马克思主义研究院不仅要立足中国，扩大同兄弟单位的紧密合作，把国内的马克思主义理论工作者聚集起来，而且要面向世界，将国际上的马克思主义者和其他有识之士联结起来，为世界和平与人类进步事业而共同奋斗。我们要实施“开门办院”和“引进来”“走出去”战略，扩大中外马克思主义学术交流与合作研究的范围和规模，提高交流与合作的层次和质量，努力把国外马克思主义研究的优秀成果吸收到国内来，同时将我国马克思主义研究的优秀成果介绍到国外去，扩大中国特色社会主义在世界上的影响力。马克思主义研究院应积极承担对内和对外学术交流与合作的重要任务，努力发挥中外马克思主义学术交流与合作的主渠道和高平台的作用。</w:t>
      </w:r>
    </w:p>
    <w:p w14:paraId="6DC4B120">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三、办好马克思主义研究院的举措</w:t>
      </w:r>
    </w:p>
    <w:p w14:paraId="5731946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在新世纪新阶段，中国特色社会主义实践的不断推进和国际国内形势的深刻变化，既为马克思主义研究院的发展提供了难得的机遇，又提出了艰巨的任务。我们一定要认清形势，振奋精神，紧紧围绕“建设马克思主义坚强阵地”这个总目标，采取切实有效的措施，尽快把马克思主义研究院建设成为国内领先、世界一流的马克思主义研究机构。</w:t>
      </w:r>
    </w:p>
    <w:p w14:paraId="31F33092">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——加强思想建设，不断提高思想政治素质</w:t>
      </w:r>
    </w:p>
    <w:p w14:paraId="3E9DA06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马克思主义研究院不仅以马克思主义为指导进行学术研究和理论宣传，而且直接以马克思主义为研究对象，以坚持和发展马克思主义为己任。邓小平同志在视察南方的谈话中指出：“我坚信，世界上赞成马克思主义的人会多起来的，因为马克思主义是科学。”“一些国家出现严重曲折，社会主义好像被削弱了，但人民经受锻炼，从中吸收教训，将促使社会主义向着更加健康的方向发展。因此，不要惊慌失措，不要认为马克思主义就消失了，没用了，失败了。哪有这回事！”</w:t>
      </w:r>
      <w:r>
        <w:rPr>
          <w:rFonts w:ascii="宋体" w:hAnsi="宋体" w:eastAsia="宋体" w:cs="Times New Roman"/>
          <w:szCs w:val="21"/>
          <w:vertAlign w:val="superscript"/>
        </w:rPr>
        <w:footnoteReference w:id="226"/>
      </w:r>
      <w:r>
        <w:rPr>
          <w:rFonts w:hint="eastAsia" w:ascii="宋体" w:hAnsi="宋体" w:eastAsia="宋体" w:cs="Times New Roman"/>
          <w:szCs w:val="21"/>
        </w:rPr>
        <w:t>尤其值得注意的是，1999年西方颇有影响的英国广播公司在国际互联网上举行千年最伟大思想家的评选活动，结果马克思名列榜首。这充分显示了马克思主义作为真理和正义的强大生命力和感召力。牢固树立马克思主义信仰，坚定社会主义信念和共产主义理想，坚持正确的政治方向，是党中央对我们第一位的要求。马克思主义理论工作者首先要认真学习马克思主义理论，树立正确的世界观、人生观、价值观，提高分清理论是非、政治是非的能力，增强做好理论工作的责任感和使命感。我们要组织和引导科研人员系统学习马克思主义经典著作，深刻把握马克思主义的科学体系和精神实质，打牢马克思主义理论研究的基本功。要结合思想和工作实际，深入持久地开展“三个代表”重要思想、马克思主义立场观点方法、职业精神和职业道德“三项学习教育”活动，切实提高思想道德修养。要加强理想信念和纪律教育，牢固树立共产主义的理想和坚持走中国特色社会主义道路的信念，自觉地在思想上政治上与以胡锦涛同志为总书记的党中央保持一致。我们只有把加强理论研究与加强主观世界的改造、加强思想道德修养统一起来，增强政治意识、大局意识、责任意识，才能自觉献身马克思主义研究的崇高事业，真正成为马克思主义的学问家和理论家。</w:t>
      </w:r>
    </w:p>
    <w:p w14:paraId="54538ABF">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——加强学风建设，以科学的态度对待马克思主义</w:t>
      </w:r>
    </w:p>
    <w:p w14:paraId="3555F83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办好马克思主义研究院，必须大力提倡严谨治学的态度、求真务实的精神，始终坚持理论联系实际的优良学风。恩格斯教导我们：“即使只是在一个单独的历史事例上发展唯物主义观点，也是一项要求多年冷静钻研的科学工作。”</w:t>
      </w:r>
      <w:r>
        <w:rPr>
          <w:rFonts w:ascii="宋体" w:hAnsi="宋体" w:eastAsia="宋体" w:cs="Times New Roman"/>
          <w:szCs w:val="21"/>
          <w:vertAlign w:val="superscript"/>
        </w:rPr>
        <w:footnoteReference w:id="227"/>
      </w:r>
      <w:r>
        <w:rPr>
          <w:rFonts w:hint="eastAsia" w:ascii="宋体" w:hAnsi="宋体" w:eastAsia="宋体" w:cs="Times New Roman"/>
          <w:szCs w:val="21"/>
        </w:rPr>
        <w:t>我们要想在马克思主义的学习、研究和宣传方面有所造诣、有所创新，没有“下地狱”的勇气，没有严谨治学的态度，不付出艰辛的劳动，是绝无可能的。学风问题，说到底是对马克思主义的态度问题，关系到党和国家事业的兴衰成败。我们要正确处理老祖宗和新发展的关系，既要一脉相承，又要与时俱进。在坚持和发展马克思主义问题上，一定要注意理论联系实际。这是胡锦涛同志特别强调的一点。他在中央政治局第26次集体学习会议上指出：“只有坚持马克思主义基本原理同中国具体实际相结合，不断在实践的基础上推进理论创新，用发展着的马克思主义指导实践，才能保持马克思主义的强大生命力”；“要自觉发扬理论联系实际的优良学风，坚持以最广大人民的实践为理论创新的不竭源泉”。我们研究马克思主义基本理论，要根据时代的变化和实践的发展，力求做到“四个分清”，即分清哪些是必须长期坚持的马克思主义基本原理；哪些是必须结合新的实际不断丰富发展的理论判断；哪些是必须破除的对马克思主义的教条式的理解；哪些是必须澄清的附加在马克思主义名下的错误观点。要坚持贴近实际，贴近群众，贴近生活，建立若干个经济、文化、党建等方面的基层调研基地，深入研究全面建设和谐的小康社会所提出的全局性、战略性、前瞻性问题，善于将党和人民在实践中创造的新鲜经验升华为理论成果，不断深化对中国特色社会主义本质规律的认识，为实现中华民族的伟大复兴作出我们应有的贡献。</w:t>
      </w:r>
    </w:p>
    <w:p w14:paraId="2C49D22C">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——搞好学科建设和队伍建设，提高马克思主义研究的能力和水平</w:t>
      </w:r>
    </w:p>
    <w:p w14:paraId="4109C2B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办好马克思主义研究院，必须围绕“出人才、出成果、出影响”的目标，切实抓紧抓好学科建设、队伍建设和其它方面的建设。现在中央已经批准国务院学位委员会把马克思主义列为一级学科，我们要以此为契机，深化和拓展马克思主义的理论研究和学科建设。新建的马克思主义研究院设立五个研究部，即马克思列宁主义原理研究部、中国马克思主义研究一部(研究毛泽东思想、邓小平理论、“三个代表”重要思想)、中国马克思主义研究二部(研究科学发展观、党建和政治以及文化和国际战略)、国际共产主义运动史研究部、当代世界社会主义研究部(研究国外社会主义实践、国外左翼思想和社会制度比较)，基本涵盖了马克思主义的历史与现实、理论与实践的各个方面，有利于我们从整体上对马克思主义进行系统的研究和把握。我们要逐步建立和完善竞争激励机制，实现科研管理的规范化、制度化和现代化，努力营造人才辈出、人尽其才的环境与氛围。要继续整合中国社会科学院现有的马克思主义理论队伍，在院内外、京内外选调学科带头人和科研骨干，聘请一批有较高马克思主义理论素养的专家学者为学术顾问和资深特约研究员并发挥其作用，在建好马克思主义一级学科博士点的基础上，建立和完善马克思主义学科的博士后流动站和国内外高级访问学者制度。要认真完成已立项的《经典作家关于阶级、阶级斗争、无产阶级革命和专政的基本观点研究》、《科学发展观与经济改革和开放》等国家重大课题，继续积极争取和承担党政有关部门委托的、国家社科规划和社科院批准立项的一批马克思主义研究重大课题。要办好院刊《马克思主义研究》和《中国特色社会主义年鉴》，筹备出版杂志的英文版，编辑《中外马克思主义文摘》月刊，建立中国马克思主义研究中英文网站和较完整的资料信息库。要筹划出版《世界社会主义研究丛书》等，创办世界级的“国际马克思主义论坛”或“全球思想家论坛”，定期或不定期地举办各种类型的马克思主义、社会主义学术研讨会或思想论坛。今年1月，我们已邀请美国共产党经济委员在我院主办的“中外马克思主义学术系列报告会”上作精彩的讲演，并与越南排名第一的国家大学马列研究中心签订了合作协议。今年3月，我们将派学者出席在纽约举办的“国际新左翼论坛”；4月将主办“全国首届马克思主义青年论坛”；5月将召开关于科学发展观的理论和政策的大型研讨会。我们要在五年之内选译出版50本国外马克思主义社会科学代表性著作，出版若干本英文版中国马克思主义社会科学的创新性著作，并力争将其纳入马克思主义理论研究和建设工程，从而扩大马克思主义研究院在国内外的影响，提升中国马克思主义在世界上的学术地位和理论影响。</w:t>
      </w:r>
    </w:p>
    <w:p w14:paraId="48EEEB52">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建好中国社会科学院马克思主义研究院，进一步推动马克思主义理论研究和建设工程，任务艰巨，责任重大。我们一定要紧密团结在以胡锦涛同志为总书记的党中央周围，高举马克思列宁主义、毛泽东思想、邓小平理论和“三个代表”重要思想伟大旗帜，认真贯彻党的十六大、十六届三中、四中和五中全会精神，把马克思主义的传承、创新与弘扬有机地结合起来，为把我院建设成为马克思主义的坚强阵地，为推进马克思主义的理论创新，作出新的更大的贡献！</w:t>
      </w:r>
    </w:p>
    <w:p w14:paraId="53DDCED1">
      <w:pPr>
        <w:spacing w:line="300" w:lineRule="auto"/>
        <w:ind w:firstLine="440" w:firstLineChars="200"/>
        <w:rPr>
          <w:rFonts w:ascii="宋体" w:hAnsi="宋体" w:eastAsia="宋体" w:cs="Times New Roman"/>
          <w:szCs w:val="21"/>
        </w:rPr>
      </w:pPr>
    </w:p>
    <w:p w14:paraId="2840D8EE">
      <w:pPr>
        <w:spacing w:line="336" w:lineRule="auto"/>
        <w:ind w:firstLine="440" w:firstLineChars="200"/>
        <w:rPr>
          <w:rFonts w:ascii="宋体" w:hAnsi="宋体" w:eastAsia="宋体" w:cs="Times New Roman"/>
          <w:szCs w:val="21"/>
        </w:rPr>
      </w:pPr>
      <w:r>
        <w:rPr>
          <w:rFonts w:hint="eastAsia" w:ascii="宋体" w:hAnsi="宋体" w:eastAsia="宋体" w:cs="Times New Roman"/>
          <w:szCs w:val="21"/>
        </w:rPr>
        <w:t>（原载《马克思主义研究》2006年第1期）</w:t>
      </w:r>
    </w:p>
    <w:p w14:paraId="684A9051">
      <w:pPr>
        <w:ind w:firstLine="660" w:firstLineChars="200"/>
        <w:rPr>
          <w:rFonts w:ascii="Times New Roman" w:hAnsi="Times New Roman" w:eastAsia="宋体" w:cs="Times New Roman"/>
          <w:b/>
          <w:sz w:val="32"/>
          <w:szCs w:val="21"/>
        </w:rPr>
      </w:pPr>
      <w:r>
        <w:rPr>
          <w:rFonts w:ascii="Times New Roman" w:hAnsi="Times New Roman" w:eastAsia="宋体" w:cs="Times New Roman"/>
          <w:b/>
          <w:sz w:val="32"/>
          <w:szCs w:val="21"/>
        </w:rPr>
        <w:br w:type="page"/>
      </w:r>
    </w:p>
    <w:p w14:paraId="1A4C1C0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（原载《上海市经济管理干部学院学报》2006年第3期，程恩富为课题组执笔人）</w:t>
      </w:r>
    </w:p>
    <w:p w14:paraId="4FBD41E2">
      <w:pPr>
        <w:spacing w:line="300" w:lineRule="auto"/>
        <w:ind w:firstLine="660" w:firstLineChars="200"/>
        <w:jc w:val="center"/>
        <w:rPr>
          <w:rFonts w:ascii="黑体" w:hAnsi="黑体" w:eastAsia="黑体" w:cs="Times New Roman"/>
          <w:sz w:val="32"/>
        </w:rPr>
      </w:pPr>
      <w:r>
        <w:rPr>
          <w:rFonts w:ascii="黑体" w:hAnsi="黑体" w:eastAsia="黑体" w:cs="Times New Roman"/>
          <w:sz w:val="32"/>
        </w:rPr>
        <w:br w:type="page"/>
      </w:r>
    </w:p>
    <w:p w14:paraId="48121B1E">
      <w:pPr>
        <w:spacing w:line="300" w:lineRule="auto"/>
        <w:ind w:firstLine="660" w:firstLineChars="200"/>
        <w:jc w:val="center"/>
        <w:rPr>
          <w:rFonts w:ascii="黑体" w:hAnsi="黑体" w:eastAsia="黑体" w:cs="Times New Roman"/>
          <w:sz w:val="32"/>
        </w:rPr>
      </w:pPr>
    </w:p>
    <w:p w14:paraId="6458DC36">
      <w:pPr>
        <w:keepNext/>
        <w:keepLines/>
        <w:widowControl/>
        <w:spacing w:after="147" w:afterLines="50" w:line="300" w:lineRule="auto"/>
        <w:ind w:firstLine="660" w:firstLineChars="200"/>
        <w:jc w:val="center"/>
        <w:outlineLvl w:val="1"/>
        <w:rPr>
          <w:rFonts w:ascii="黑体" w:hAnsi="黑体" w:eastAsia="黑体" w:cs="Times New Roman"/>
          <w:kern w:val="0"/>
          <w:sz w:val="32"/>
          <w:szCs w:val="32"/>
        </w:rPr>
      </w:pPr>
      <w:bookmarkStart w:id="571" w:name="_Toc111148961"/>
      <w:bookmarkStart w:id="572" w:name="_Toc5628"/>
      <w:bookmarkStart w:id="573" w:name="_Toc905399565"/>
      <w:bookmarkStart w:id="574" w:name="_Toc160240267"/>
      <w:r>
        <w:rPr>
          <w:rFonts w:hint="eastAsia" w:ascii="黑体" w:hAnsi="黑体" w:eastAsia="黑体" w:cs="Times New Roman"/>
          <w:kern w:val="0"/>
          <w:sz w:val="32"/>
          <w:szCs w:val="32"/>
        </w:rPr>
        <w:t>2马克思主义经济学家是改革的倡导者和支持者</w:t>
      </w:r>
      <w:bookmarkEnd w:id="571"/>
      <w:bookmarkEnd w:id="572"/>
      <w:bookmarkEnd w:id="573"/>
      <w:bookmarkEnd w:id="574"/>
    </w:p>
    <w:p w14:paraId="65A87B0E">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rPr>
        <w:t>社会上流传一种论调，说什么马克思主义经济学家一贯思想僵化，反对改革。近年来，中外真正的马克思主义经济学家联合新老凯恩斯主义者和左翼经济学家等，都在重点批评新自由主义经济学，更是被扣上“极左”、“走回头路”、“反对改革”的帽子，包括深受“三民主义”影响的朗咸平教授（本人已确认这一影</w:t>
      </w:r>
      <w:r>
        <w:rPr>
          <w:rFonts w:hint="eastAsia" w:ascii="宋体" w:hAnsi="宋体" w:eastAsia="宋体" w:cs="宋体"/>
          <w:szCs w:val="21"/>
        </w:rPr>
        <w:t>响）也被强加这些政治帽子。其实，中央领导已经作出了科学的判断：批判新自由主义，要长流水，不断线，抵御其对我国改革的负面影响；现在全党正在‘三个代表’重要思想的指引下进行理论创新，要高度警惕自由化分子接过理论创新的旗帜，成套地搬用资产阶级新自由主义的理论，把改革引向西方政治家和理论家鼓吹的方向和轨道上去。中央领导的这番话，也是坚定的马克思主义经济学家和广大人民的共识。</w:t>
      </w:r>
    </w:p>
    <w:p w14:paraId="27233D6E">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我想借此机会说明一个事实，即马克思主义经济学家是我国改革的最早倡导者！</w:t>
      </w:r>
    </w:p>
    <w:p w14:paraId="71E461AD">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由于马克思主义经济学家一贯比较谦虚，反对市场炒作和学术泡沫，而自由市场本是又极易导致学术市场的“假冒伪劣理论商品”的泛滥，因而很容易出现一批被中外媒体吹捧成所谓“主流经济学家”、“著名经济学家”等等。最近，西方媒体再次发挥“西强我弱”的</w:t>
      </w:r>
      <w:r>
        <w:rPr>
          <w:rFonts w:hint="eastAsia" w:ascii="宋体" w:hAnsi="宋体" w:eastAsia="宋体" w:cs="宋体"/>
          <w:kern w:val="0"/>
          <w:szCs w:val="21"/>
        </w:rPr>
        <w:t>攻势，又选择了“华尔街版的中国十大经济学家”，试图影响我国正在激烈进行的“现代马克思主义经济学与现代西方经济学关系”的争论。值得欣慰的是，广大网民正在猛烈抨击某些所谓“主流经济学家”、“著名经济学家”</w:t>
      </w:r>
      <w:r>
        <w:rPr>
          <w:rFonts w:hint="eastAsia" w:ascii="宋体" w:hAnsi="宋体" w:eastAsia="宋体" w:cs="宋体"/>
          <w:szCs w:val="21"/>
        </w:rPr>
        <w:t>，这本质上是广大人民群众自觉地反对资产阶级自由化和新自由主义经济思潮的一种正义行动。</w:t>
      </w:r>
    </w:p>
    <w:p w14:paraId="57D2C6B7">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可以列举许多事例证明：现在仍然坚定的马克思主义经济学家是我国改革的最早倡导者。不过，他们往往不是市场塑造的“媒体经济学家”或“著名经济学家”，而是学界认同的“杰出经济学家”。如刘国光、于祖尧、苏星、张薰华、吴宣恭、杨承训等。</w:t>
      </w:r>
    </w:p>
    <w:p w14:paraId="628790F5">
      <w:pPr>
        <w:widowControl/>
        <w:spacing w:line="300" w:lineRule="auto"/>
        <w:ind w:firstLine="440" w:firstLineChars="200"/>
        <w:jc w:val="left"/>
        <w:rPr>
          <w:rFonts w:ascii="宋体" w:hAnsi="宋体" w:eastAsia="宋体" w:cs="宋体"/>
          <w:kern w:val="0"/>
          <w:szCs w:val="21"/>
        </w:rPr>
      </w:pPr>
      <w:r>
        <w:rPr>
          <w:rFonts w:hint="eastAsia" w:ascii="宋体" w:hAnsi="宋体" w:eastAsia="宋体" w:cs="宋体"/>
          <w:szCs w:val="21"/>
        </w:rPr>
        <w:t>例一：于祖尧是我国社会主义市场经济的最早倡导者和杰出贡献者。1979年4月，在江苏省无锡市举行的全国价值</w:t>
      </w:r>
      <w:r>
        <w:rPr>
          <w:rFonts w:hint="eastAsia" w:ascii="宋体" w:hAnsi="宋体" w:eastAsia="宋体" w:cs="宋体"/>
          <w:kern w:val="0"/>
          <w:szCs w:val="21"/>
        </w:rPr>
        <w:t>规律理论讨论会，是中共十一届三中全会以来，也是解放以来中国经济学界规模最大的一次盛会。非常值得一提的理论突破是，在这次会议上，中国社科院经济研究所于祖尧研究员提交《试论社会主义市场经济》一文，是国内最早正式提出“社会主义市场经济”概念和理论的，指出“社会主义既然实行商品制度，那末，社会主义经济在本质上就不能不是一种特殊的市场经济，只不过它的性质和特征同资本主义市场经济有原则的区别。……为了加快实现四个观代化，搞好经济改革，应当怎样正确地对待市场经济，这是我们经济学界需要认真研究的重大课题。”（《经济研究资料》第50期(1979年3月28日，并编入会议文集《社会主义经济中计划与市场的关系》，中国社会科学出版社1980年版。)可见，中国社科院经济研究所原党委书记兼副所长、现在仍坚定的马克思主义经济学家于祖尧（套用一句流行的话，应当是“于市场”），才真正是我国社会主义市场经济理论的最早倡导者和杰出贡献者。</w:t>
      </w:r>
    </w:p>
    <w:p w14:paraId="34336FEB">
      <w:pPr>
        <w:widowControl/>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例二：刘国光是主张缩小指令性计划和市场化改革取向的最早倡导者和杰出贡献者。中国社科院特邀顾问刘国光研究员是力主市场化改革取向的，他在1979年7月一次关于经济体制改革取向问题的座谈会中明确提出，</w:t>
      </w:r>
      <w:r>
        <w:rPr>
          <w:rFonts w:hint="eastAsia" w:ascii="宋体" w:hAnsi="宋体" w:eastAsia="宋体" w:cs="宋体"/>
          <w:kern w:val="0"/>
          <w:szCs w:val="21"/>
          <w:u w:val="single"/>
        </w:rPr>
        <w:footnoteReference w:id="228" w:customMarkFollows="1"/>
        <w:t>[</w:t>
      </w:r>
      <w:r>
        <w:rPr>
          <w:rFonts w:hint="eastAsia" w:ascii="宋体" w:hAnsi="宋体" w:eastAsia="宋体" w:cs="宋体"/>
          <w:kern w:val="0"/>
          <w:szCs w:val="21"/>
          <w:u w:val="single"/>
        </w:rPr>
        <w:t>1]</w:t>
      </w:r>
      <w:r>
        <w:rPr>
          <w:rFonts w:hint="eastAsia" w:ascii="宋体" w:hAnsi="宋体" w:eastAsia="宋体" w:cs="宋体"/>
          <w:kern w:val="0"/>
          <w:szCs w:val="21"/>
        </w:rPr>
        <w:t>高度集权的苏联模式仅是社会主义经济体制模式之一，东欧国家偏重分权、偏于分散的市场体制和用经济办法管理经济的模式，也是社会主义经济体制的重要模式之一，我国经济体制改革在选择模式时，“要解放思想，按照实践是检验真理的惟一标准来决定我们的取舍……只要有利于经济的发展和人民生活水平的提高，都是可以采取的，没有什么政治帽子问题，只有适不适合一个国家各个时期的具体历史条件和经济发展条件的问题，也就是适不适合一国国情的问题”，市场机制是实行分权管理体制的重要手段。随后，在与人合著的《论社会主义经济中计划与市场的关系》一文中，从生产与需求脱节、计划价格脱离实际、供给制资金分配体制的缺陷、企业结构上自给自足倾向的原因等方面，翔实论证了社会主义经济中计划与市场相结合的必然性，并对计划经济条件下如何利用市场的问题和利用市场机制条件下如何加强经济发展的计划性问题，提出了完整、系统的改革举措与政策建议。这一报告受到当时国内经济学界、特别是政府决策部门和中央领导的高度重视，对我国经济体制市场化改革取向的抉择产生了重要影响。经济体制的市场化改革是我国经济体制改革的历史性抉择，为我国经济进入高速增长期奠定了制度基础，但中国经济体制改革初期的不同意见是激烈的，在80年代初期，刘国光教授因他在改革取向抉择关键时期的这一历史性贡献而受到高层批评，但他没有退却。</w:t>
      </w:r>
    </w:p>
    <w:p w14:paraId="55C29034">
      <w:pPr>
        <w:widowControl/>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例三：苏星是我国社会主义股份制的最早倡导者和杰出贡献者。1983年，中央党校原副校长苏星教授在《红旗》第14期上发表的《试论工业公司》一文中明确指出：“社会主义社会的物质技术基础也是社会化的大生产。在消灭生产资料的资本主义私有制，建立生产资料公有制以后，依然需要利用股份公司和托拉斯一类的社会化大生产组织形式，利用它们的管理经验，使之为社会主义经济服务。……股份公司一类经济组织，作为社会化生产的组织形式，按理应当更适合于生产资料公有制的性质。因为在生产资料公有制的条件下，企业之间的根本利益是一致的，它们在国家政策的引导下，可以遵循自愿互利的原则，广泛组织公司和其他各种形式的联合体，不存在私有制的限制。当然，社会主义的公司和资本主义的公司在性质上是根本不同的。我们像资本主义的公司和托拉斯学习，主要是学习它们组织社会化大生产，特别是专业化和联合的经验，而不能照抄照搬。”可见，查阅书面文献，现在坚定的著名马克思主义经济学家苏星（套用一句流行的话，应当是“苏股份”）才真正是我国社会主义股份制理论的最早倡导者和杰出贡献者。</w:t>
      </w:r>
    </w:p>
    <w:p w14:paraId="29AE72B0">
      <w:pPr>
        <w:widowControl/>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例四：张薰华是我国土地管理体制改革的最早倡导者和杰出贡献者。1984年在港澳经济研究会成立大会上，杰出的《资本论》研究专家、复旦大学经济系原系主任张薰华教授提出了论文《论社会主义经济中地租的必然性》，从理论到实践阐述这一思路。论文载于《中国房地产》杂志1984年第8期。1985年初，由于中央对土地管理体制改革的重视，上海市委研究室注意到这篇文章，嘱再写一篇《再论社会主义商品经济中地租的必然性——兼论上海土地使用问题》，载于该室《内部资料》第6期（1985年1月21日印发）。文中一再指出，“土地的有偿使用关系到土地的合理使用和土地的公有权问题。级差地租应该为国家的财源之一，港澳的租地办法可以采用。”接着，《再论》这篇文章又受到中央书记处研究室注意，嘱再补充，标题改为《论社会主义商品经济中地租的必然性》，1985年4月10日载于该室内刊《调查与研究》第5期，发至全国各省市领导机关。这就为中国土地批租制度的建立提供了理论依据。</w:t>
      </w:r>
    </w:p>
    <w:p w14:paraId="5121AD92">
      <w:pPr>
        <w:widowControl/>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根据以上机理，土地国有化不仅排除了土地私有制，而且排除了土地集体所有制。因为集体单位使用土地带来级差超额利润，也是社会转移来的价值，不是他们劳动创造的价值。同理，国有企业也不应无偿使用土地。无偿划拨土地实质上是将国有土地变为企业土地。1987年，在深圳参加“城市土地管理体制改革”讨论会上，张薰华教授就此提出论文《论土地国有化与地租的归属问题》。后来，深圳市政府将该市农村土地全部收归国有。</w:t>
      </w:r>
    </w:p>
    <w:p w14:paraId="7D3918BC">
      <w:pPr>
        <w:widowControl/>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此外，中国社科院经济研究所原所长许涤新研究员是我国第一个提出要重视环境和建构生态经济学的杰出马克思主义经济学家。1983年初，他就发表了相关论文。</w:t>
      </w:r>
    </w:p>
    <w:p w14:paraId="3E1B4992">
      <w:pPr>
        <w:widowControl/>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从上述马克思主义经济学家理论联系实践的创新中可以表明：中国政治经济学的转型，不是从传统政治经济学转向现代西方经济学，而是在科学扬弃和超越苏联经济学和现代西方经济学的基础上转向现代马克思主义政治经济学，包括现代社会主义市场经济和现代资本主义市场经济的基本理论。就理论经济学来说，世界主流经济学是西方经济学，而马克思主义经济学则是非主流经济学；改革后社会主义中国的主流经济学是现代马克思主义经济学，而现代西方经济学则是非主流经济学。共产党执政的社会主义国家，是不可能将资产阶级执政党奉为主流的经济学作为本国主流经济学的。同西方经济学一样，马克思主义政治经济学既是学术体系，又是一种理论信仰和意识形态，应当在学术和意识形态两个相关领域都发挥指导作用。如果只赞成马克思主义经济学作为经济意识形态的指导地位，而不赞成它在经济学中的学术指导地位，则会架空马克思主义经济学。</w:t>
      </w:r>
    </w:p>
    <w:p w14:paraId="7D6ADD12">
      <w:pPr>
        <w:widowControl/>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正如2006年4月2－3日在上海举办的世界政治经济学学会首届论坛，中、美、、日英、法、德、俄等15个国家的数十位知名马克思主义经济学家发表的共识宣言所指出的三点：其一，“目前，新自由主义的资本主义秩序正面临着越来越多的问题和挑战，世界体系变革和再造已经提上日程。马克思主义政治经济学有望在关于世界社会经济发展前途问题的讨论中发挥显著的作用。”其二，“新古典经济往往无法提供科学的经济制度分析，相反，基于其各种荒谬观点，它为辩护和美化新自由主义而服务。新古典经济学已经成为在世界上大部分地区占统治地位的经济学研究方法，其所主张的经济政策让世界人民付出了巨大的代价，并且成为解决当前社会和经济问题的障碍。”其三，“马克思主义政治经济学为分析当代世界经济问题，以及分析资本主义和社会主义制度，提供了最好的理论基础。它为按照进步的方法解决当前经济的严重问题提供了理论基础，同时为在世界范围内最终以社会主义和共产主义取代资本主义指明了方向，而这是人类充分实现其社会和经济发展潜力所必需的。我们决心发展马克思主义政治经济学，并运用它来分析和解决当代人类所面临的社会和经济问题。”宣言表达了各国真正的现代马克思主义经济学家的共同学术立场。</w:t>
      </w:r>
    </w:p>
    <w:p w14:paraId="6474BFE2">
      <w:pPr>
        <w:widowControl/>
        <w:spacing w:line="300" w:lineRule="auto"/>
        <w:ind w:firstLine="440" w:firstLineChars="200"/>
        <w:rPr>
          <w:rFonts w:ascii="宋体" w:hAnsi="宋体" w:eastAsia="宋体" w:cs="Times New Roman"/>
          <w:szCs w:val="21"/>
        </w:rPr>
      </w:pPr>
    </w:p>
    <w:p w14:paraId="5494D96D">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（原载于《理论视野》2006年第3期）</w:t>
      </w:r>
    </w:p>
    <w:p w14:paraId="182109B9">
      <w:pPr>
        <w:widowControl/>
        <w:spacing w:line="300" w:lineRule="auto"/>
        <w:ind w:firstLine="440" w:firstLineChars="200"/>
        <w:jc w:val="left"/>
        <w:rPr>
          <w:rFonts w:ascii="宋体" w:hAnsi="宋体" w:eastAsia="宋体" w:cs="A9+cajcd fnta1"/>
          <w:szCs w:val="21"/>
        </w:rPr>
      </w:pPr>
      <w:r>
        <w:rPr>
          <w:rFonts w:hint="eastAsia" w:ascii="宋体" w:hAnsi="宋体" w:eastAsia="宋体" w:cs="A9+cajcd fnta1"/>
          <w:szCs w:val="21"/>
        </w:rPr>
        <w:br w:type="page"/>
      </w:r>
    </w:p>
    <w:p w14:paraId="6F902812">
      <w:pPr>
        <w:keepNext/>
        <w:keepLines/>
        <w:widowControl/>
        <w:spacing w:before="147" w:beforeLines="50" w:line="300" w:lineRule="auto"/>
        <w:ind w:firstLine="660" w:firstLineChars="200"/>
        <w:jc w:val="center"/>
        <w:outlineLvl w:val="1"/>
        <w:rPr>
          <w:rFonts w:ascii="黑体" w:hAnsi="黑体" w:eastAsia="黑体" w:cs="Times New Roman"/>
          <w:kern w:val="0"/>
          <w:sz w:val="32"/>
          <w:szCs w:val="32"/>
        </w:rPr>
      </w:pPr>
      <w:bookmarkStart w:id="575" w:name="_Toc1045"/>
      <w:bookmarkStart w:id="576" w:name="_Toc111148962"/>
      <w:bookmarkStart w:id="577" w:name="_Toc2128849960"/>
      <w:bookmarkStart w:id="578" w:name="_Toc213674131"/>
      <w:r>
        <w:rPr>
          <w:rFonts w:hint="eastAsia" w:ascii="黑体" w:hAnsi="黑体" w:eastAsia="黑体" w:cs="Times New Roman"/>
          <w:kern w:val="0"/>
          <w:sz w:val="32"/>
          <w:szCs w:val="32"/>
        </w:rPr>
        <w:t>3完善所有制结构构建和谐社会</w:t>
      </w:r>
      <w:bookmarkEnd w:id="575"/>
      <w:bookmarkEnd w:id="576"/>
      <w:bookmarkEnd w:id="577"/>
      <w:bookmarkEnd w:id="578"/>
    </w:p>
    <w:p w14:paraId="2272549C">
      <w:pPr>
        <w:widowControl/>
        <w:spacing w:before="147" w:beforeLines="50" w:after="147" w:afterLines="50" w:line="300" w:lineRule="auto"/>
        <w:ind w:firstLine="500" w:firstLineChars="200"/>
        <w:jc w:val="center"/>
        <w:rPr>
          <w:rFonts w:ascii="宋体" w:hAnsi="宋体" w:eastAsia="宋体" w:cs="Times New Roman"/>
          <w:b/>
          <w:bCs/>
          <w:kern w:val="0"/>
          <w:sz w:val="24"/>
        </w:rPr>
      </w:pPr>
      <w:r>
        <w:rPr>
          <w:rFonts w:hint="eastAsia" w:ascii="宋体" w:hAnsi="宋体" w:eastAsia="宋体" w:cs="Times New Roman"/>
          <w:b/>
          <w:bCs/>
          <w:kern w:val="0"/>
          <w:sz w:val="24"/>
        </w:rPr>
        <w:t>——《构建和谐社会的六个关系研究》分课题之五</w:t>
      </w:r>
    </w:p>
    <w:p w14:paraId="6C49C5F4">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社会主义所有制结构是实现社会主义和谐社会的经济基础和重要条件。公有制为主体、多种所有制经济共同发展的社会主义初级阶段的基本经济制度，反映了党对社会主义建设和发展规律认识的深化。构建社会主义和谐社会，在所有制结构问题上，必须处理好公有制经济(包括国有经济和集体经济)和非公有制经济(包括私有经济、港澳台经济和外资经济)的关系。</w:t>
      </w:r>
    </w:p>
    <w:p w14:paraId="71F9EB03">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一、完善所有制结构是构建社会主义和谐社会的基础</w:t>
      </w:r>
    </w:p>
    <w:p w14:paraId="69F35D58">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所有制结构的改革是整个经济改革中的深层次问题。这是因为:一方面所有制结构体现的是杜会基本经济关系，不同的所有制结构，反映了不同的社会经济性质；另一方面，所有制结构对社会生产力的发展又有着关键性的作用，脱离生产力发展水平的所有制结构，在实践中只会阻碍生产力的发展。正是基于对所有制改革的这一认识，我国在所有制改革中始终遵循如下指导思想:一是从生产力发展水平的实际出发，根据生产力发展水平的多层次性，实行多种所有制经济共同发展；二是从社会主义经济性质的要求出发，在发展多种所有制经济的过程中，坚持公有制经济的主体地位。按照这一指导思想，经过20多年的改革，我国确立了公有制为主体、多种所有制经济共同发展的社会主义初级阶段的基本经济制度。</w:t>
      </w:r>
    </w:p>
    <w:p w14:paraId="1B349B31">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随着改革的不断深入，对发展的认识也更加科学和全面，发展不仅仅只是经济发展，发展的实质是委实现社会的全面进步。经济发展是社会发展和进步的基础，但经济发展本身并不是目的，只有当经济发展的同时能够处理好人与自然的关系，能够协调好社会的各种关系和矛盾，能够促进社会的全面堽步，能多使社会的大多数人共享发展的成果，这样的发展才是可持续的，才是科学的发展。</w:t>
      </w:r>
    </w:p>
    <w:p w14:paraId="6CBA44B5">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以构建社会主义和谐社会为目标的发展，其实质是要处理好发展过程中的各种关系，其中最主委的是经济关系。马克思主义认为，经济利益关系的和谐是社会和谐的基础，在市场经济社会中，经济关系的伏况直接决定着其他关系的发展和变化，决定着人们的政治关系和其他社会关系。经济关系是否和诣，又取决于所有制结构。因为不同性质的所有制，会产生不同的经济关系。多种所有制经济成分并存的所有制结构，必然有多种经济关系的并存。其中，占主体地位的所有制经济决定了社会基本经济关系的性质。从这一意义上说，构建社会主义和谐社会，必须建立合理的所有制结构。</w:t>
      </w:r>
    </w:p>
    <w:p w14:paraId="77D4F6F5">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建设社会主义和谐社会这一战略任务的提出，要求我们对现实中的各种所有制经济进行深入研究，在清醒地认识各种所有制经济的性质，以及由此产生的各种经济关系的基础上，从指导思想上明确我们应该建立怎样的所有制结构和社会基本经济关系，并以此为依据，进一步完善社会主义所有制结构。</w:t>
      </w:r>
    </w:p>
    <w:p w14:paraId="32D29726">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完善社会主义所有制结构应该遵循什么原则，这是首先要明确的问题。我党在改革开放的过程中，把马克思主义的基本理论和社会主义初级阶段实际相结合，对所有制改革提出的一系列新的思想和理论，是我们完善所有制结构的基本依。这些新的思想是:</w:t>
      </w:r>
    </w:p>
    <w:p w14:paraId="3230057E">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(1)必须坚持公有制经济的主体地位。我国是社会主义国家，必须以公有制为主体，不能走私有化道路。之所以必须坚持公有制的主体地位，根本原因在于公有制经济是调动广大职工和劳动者的积极性、实现共同致富的根本保证。公有制经济在根本上是符合解放和发展社会生产力要求的。</w:t>
      </w:r>
    </w:p>
    <w:p w14:paraId="5B6B6D3D">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(2)全面论述了公有制经济的含义。在社会主义市场经济中，公有制经济不仅包括国有经济和集体经济，还包括混合所有制中的国有成分和集体成分。集体经济是公有制经济的重要组成部分。集体经济对于广泛吸收社会分散资金、缓解就业压力、增加公共积累和国家税收、实现共同致富具有重大意义。</w:t>
      </w:r>
    </w:p>
    <w:p w14:paraId="5215ED3F">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(3)科学界定了公有制的主体地位。公有制的主体地位主要体现在公有资产在社会总资产中占优势，国有经济控制国民经济的命脉，对经济发展起主导作用。</w:t>
      </w:r>
    </w:p>
    <w:p w14:paraId="27074694">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(4)指出非公有制经济是社会主义市场经济的重要组成部分。在公有制为主体、国有经济控制国民经济命脉且控制力不断增强和国有资产整体质量不断提高的前提下，非公有经济的发展不会改变我国经济制度的社会主义性质。要鼓励、引导个体、私营和外资等非公有经济的健康发展，以达到调动各方面积极性、充分利用社会资源、发展生产力、扩大就业的目的。</w:t>
      </w:r>
    </w:p>
    <w:p w14:paraId="456ED109">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党中央关于所有制改革的这些重要思想，既着眼于发展社会主义生产力这一根本任务，又坚持社会主义经济关系的基本性质，是与建设社会主义和谐社会的要求完全一致的。建设社会主义和谐社会，必须在所有制结构改革中全面贯彻这些思想。</w:t>
      </w:r>
    </w:p>
    <w:p w14:paraId="56F8B643">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二、我国所有制改革中存在的主要问题及成因</w:t>
      </w:r>
    </w:p>
    <w:p w14:paraId="1D44383D">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在我国所有制改革的实践中，以什么理论作为指导的问题并没有完全得到解决，所有制改革中存在的问题都与此有直接的关系。其中，新自由主义思潮对我国所有制结构改革产生的影响最为突出。新自由主义思潮在我国较大规模的传播始于20世纪80年代中后期。当前，其影响仍然不可低估。</w:t>
      </w:r>
    </w:p>
    <w:p w14:paraId="44A363A8">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改革开放以来，非公有制经济迅速发展，特别是现在多数地方政府大卖和大送公有企业，致使所有制结构中非公有制经济的比重越来越大，再过几年，将达到一半。这自然容易使越来越多的人怀疑公有制为主体的必要性，迷信新自由主义全面私有化改革的政策取向，对坚持公有制的主体地位发生动摇。新自由主义思潮对所有制结构改革产生的影响具体表现为:</w:t>
      </w:r>
    </w:p>
    <w:p w14:paraId="5C37C6A6">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(1)主张私有化，宜扬私有产权的永恒作用，反对公有制。一些人或明或暗地宣扬国际上流行的新自由主义思潮，信奉私有化的改革观，主张迅速把公有资产低价卖(或送)给私人；认为公有制与市场经济不相容，搞市场经济必须实行私有化；认为公有制产权不明晰，“产权虚置”，只有落实到私人，产权才是明晰的。这些新自由主义思潮对社会主义经济基础起着瓦解作用，对我国广大人民群众的根本利益造成了重大损害。</w:t>
      </w:r>
    </w:p>
    <w:p w14:paraId="69597840">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新自由主义是现代资产阶级右翼的意识形态，它的思潮在世界范围内的扩散，对俄罗斯、东欧和拉美等国家造成了严重危害。在私有化原则的指导下，国有小企业私有化方式是“逐个地出售”，国有大企业私有化方式是先把国有企业转变为国家拥有全部股票的股份公司，然后再将它们私有化。目前，由于我国国有经济及公有制经济在国民经济中比重下降，致使公有制经济在国民经济中的主体地位受到了严重威鼢。国家发展改革委员会和国务院研究室的负贲人估算，现在个体私营所有制经济占整个国民经济的1/3左右，如果再加上占国民经济13%强的外资经济，那么，私有制经济在国民经济中的比重将达到46%强，已经通近50%的临界点了。</w:t>
      </w:r>
    </w:p>
    <w:p w14:paraId="5D03E926">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当前中国正在步入处理国有资产存量这一改革的高风险区，在这个过程中，一定要正确处理好国有资本布局、国有资产买卖的问题以及发展公有制经济与非公有制经济的关系。党中央明确指出，“改革不是要改变我们社会主义制度的性质，而是社会主义制度的自我完善和发展”；“包括国有经济在内的公有制经济，是我国社会主义制度的经济基础，是国家引导、推动、调控经济和社会发展的基本力量，是实现广大人民群众根本利益和共同富裕的重要保证”。中国的所有制政策取向，就是要明确反对全盘私有化和否定社会主义方向的新自由主义政策主张，坚持公有制为主体、国有经济为主导，使股份制成为国企改制的重要形式，同时积极发展混合所有制经济，积极发展各种非公有制经济。</w:t>
      </w:r>
    </w:p>
    <w:p w14:paraId="40053153">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(2)主张公有资本退出竞争性领域，特别要从能够盈利的领域退出。国有资本退出竞争性领域，把赚钱的企业让给私人经营，即所谓的“公退私进”，这种做法很容易导致卖光工业类的国资企业。</w:t>
      </w:r>
    </w:p>
    <w:p w14:paraId="6017108D">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按我国39个工业行业计算，95%的工业行业都是竞争性较强的行业，处于高位垄断的石油和天然气开采业中，国企之间、国企与非国企之间也存在激烈竞争。如果让国资退出竞争性领域，等于基本取消了工业行业中的国有企业。竞争性领域中存在的战略性国企和关系国计民生的重要国企并不少，“国资退出竞争性领域”等于国家放弃这些重要的企业。</w:t>
      </w:r>
    </w:p>
    <w:p w14:paraId="1D892AEE">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约瑟夫·E·斯蒂格利茨十多年来一直公开批评私有产权迷信和市场迷信。西欧国家私有化20多年，国家资本仍然没有卖光，竞争性领域仍然有国有企业。德国银行中的公有成分占40%。在20世纪90年代末期，自由市场指数方面高居第三位的芬兰，目前在竞争性领域仍然存在一批国有企业，它们“是高效和有创新的”。而成功渡过了亚洲金融危机的台湾地区的银行中公有成分竟达到57%。在竞争性领域中有一批国企是能够盈利的，盈利后的国有企业不仅可以反哺于民，还有利于保持社会公平和公正，防止收入差距进一步扩大。</w:t>
      </w:r>
    </w:p>
    <w:p w14:paraId="37C54404">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(3)推行公有大中小企业“民营化”。中央提出“抓大放小”的方针，要求采取多种形式放开搞活国有中小企业，一些人就把出售当作唯一的形式，鼓吹一卖了之。许多地方对公有制中小企业，采取了私有化的改制方式。许多地方政府推行民营化改制，重要方式是管理层收购(MBO)、私营企业或者外资企业收购并逐步控股，这难免导致私有化。这是新自由主义误导中国改革的具体表现。</w:t>
      </w:r>
    </w:p>
    <w:p w14:paraId="512EA742">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党的十六大提出了“必须毫不动摇地巩固和发展公有制经济”和“必须毫不动摇地鼓励、支持和引导非公有制经济发展”。当前某些地方政府和主管部门推行国有大中小企业“民营化”，就是把毫不动摇地巩固和发展公有制经济当作词语上的陪衬，而把毫不动摇地鼓励、支持和引导非公有制经济发展作为主要的甚至唯一的行动准则。我们应该坚决扭转这种有损于广大人民根本利益和长远利益的“民营化或私有化"(在国际上这两个词的含义是相同的)改革思路。</w:t>
      </w:r>
    </w:p>
    <w:p w14:paraId="5C7028C5">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近年来，由于大批国有企业和集体企业非市场化被卖送，管理层收购和控股中出现了严重问题，从而引发了社会各阶层公众的强烈不满。国有资产非市场化被卖送过程中缺少真正负责任的主持人和监督人，很多企业管理者缺泛法制约束和道德约束。从集体企业到国有企业，从中小企业到大集团公司，从经济单位到学校、医院和其他事业单位，更多的是变相的暗箱操作，限期完成。资产转让舞弊甚多，国有资产流失严重，私人资产暴涨，造成了一系列严重的后果。具体表现为:</w:t>
      </w:r>
    </w:p>
    <w:p w14:paraId="7FE31EF5">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(1)国有企业和集体企业非市场化被卖送导致收入差距进一步拉大。近年来，随着国有企业和集体企业非市场化被卖送，居民的贫富差距急剧扩大。我国的基尼系数，1995年已高达0.445，2004年又扩大到0.465，2005年还在进一步扩大。这样严重的贫富差距，超过了国际一般公认的0.4的安全警戒线，不仅高于若千发达资本主义国家，也高于印尼、印度、埃及等发展中国家(世界银行资料)。现在真正引起人民群众不满的，不仅是初始收入差距大，而且是造成这种差距的原因。邓小平同志指出:“一个公有制为主体，一个共同富裕，这是我们必须坚持的社会主义基本原则。”在所有制上大搞国退民进、公退私进，千方百计甚至违规违法地卖光国有企业，必然从根本上动摇和改变按劳分配为主体、多种分配方式并存的分配制度的基础，阻断走向共同富裕之路，这与社会主义基本原则是背道而驰的。</w:t>
      </w:r>
    </w:p>
    <w:p w14:paraId="7AE72D7F">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(2)我国现阶段企业实行MBO存在严重弊端。有人认为，在国有企业出资人长期不到位的情况下，MBO有利于明晰产权，对管理者产生激励作用，做到“一荣俱荣、一损俱损”，是解决中国股市国有企业的产权虚置和传统公有制企业转型的“灵丹妙药”。但是，事实并不是这样，MBO在实践中存在着严重的弊端，具体表现为:</w:t>
      </w:r>
    </w:p>
    <w:p w14:paraId="722F10F8">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一是奖励有意做亏企业者和腐败行为。将国有股权定向出售给管理层，这一措施存在极大的不合理性。假如原来企业资不抵债，其经营者能通过产权变更，实现国家、管理层和市场的“三赢”，那么，经营者的道德水平将令人置疑，即这些经营者过去没有认真经营，而是有意做亏企业，以便廉价收购。而且，由于历史的原因，国有企业管理层与政府有着密切关系，实施所谓的MBO很容易出现腐败行为，造成国有资产的大量流失。</w:t>
      </w:r>
    </w:p>
    <w:p w14:paraId="33763661">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二是变相鼓励高管人员的经营惰性。我们即使假定实行MBO是对管理层贡献的承认，但管理层为MBO必须拿出自有巨额资金时，必须面对这样的现实问题:由于管理层卓越不凡的表现，国有资产在过去20多年里得到了快速增值，那么，现在他们必须为MBO支付更多的代价。由此可见，如果推行MBO，势必造成变相鼓励高层管理人员经营惰性，出现惩能奖庸、甚至惩廉奖贪的现象。</w:t>
      </w:r>
    </w:p>
    <w:p w14:paraId="59DAD9AA">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三是造成中外私有制的“一股独大”。MBO在客观上会导致管理层新的“一股独大”。由于大股东和内部人的利益趋于一致，内部人控制的情况有可能愈演愈烈。从这个角度讲，实施MBO未必比聘请职业经理人制度好。同时，因为债券市场极不发达，MBO融资通道相当狭窄，外资却可以获得非常好的进入中国企业的机会。外资企业全面介入中国企业后，很容易实现对企业的“控股、控技术、控品牌”的垄断战略。让外资无限制地收购大量的国有企业，这不仅是国企私有化的问题，而且还涉及民族经济主权和国家经济安全问题。几乎所有发达的资本主义国家和地区，60%~80%的经营性资产都控制在本国国民的手中，只有拉美依附型殖民地国家和解放前旧中国的经济被控制在外国人手中，私有化的结局就是廉价被外商控制。</w:t>
      </w:r>
    </w:p>
    <w:p w14:paraId="7D5E7617">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非公有制经济在其发挥对促进社会生产力积极作用的同时，也产生了一些问题，特别是劳资矛盾较为突出。1993~2002年，我国劳动争议案件年均增长36.3%，涉及人员年均增长41.3%，其中非公有制企业尤为严重。非公有制企业的劳资矛盾主要表现为:</w:t>
      </w:r>
    </w:p>
    <w:p w14:paraId="33F386E5">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(1)私营企业雇工工资有不升反降趋势。根据国家工商局调查的数据显示，2003年国有企业在岗职工工资超过了私营企业雇工工资的1.8倍，私营企业雇工工资低于集体企业在岗职工工资。有些私营企业劳动强度大、劳动时门长、劳动报酬低，有的企业还拖欠，克扣职工工资。</w:t>
      </w:r>
    </w:p>
    <w:p w14:paraId="4CB917A0">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(2)非公有制企业安全生产问题严重，有此企业劳动条件差，忽视劳动保护和安全设施建设，安全生产事故频发。2005年5月31日全国总工会劳动保护邢公布的《关于非公有制企业职工劳动保护问题的调研报告》指出上海天津、浙江、江苏四省市非公有制经济发展较快的地区，安全生产和职工劳动保护方面存在不少问题。据统计，2003年，上海市私营企业职工因工死亡177人，占全市39.33%；天津市非公有制企业因工死亡58人，占全市68%；江苏省非公有制企业事故起数与死亡人数均占全省67%；浙江省是非公有制企业大省，也是安全事故的难省，生产安全事放总数位居全国第三。其中，非公有制企业发生工伤事故736起，死亡756人，分别占全省82.4%和189%。</w:t>
      </w:r>
    </w:p>
    <w:p w14:paraId="26CAC2EE">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(3)劳动合同的签定情况并不理想，参加社会保险的比例很低。在私营企业中签定了劳动合同的员工仅为64%，有些企业根本不签订劳动合同，这就使员工的劳动权利得不到法律保护，一旦发生工伤事故或出现有关劳动报酬、劳动条件、劳动时间的争议，员工将陷于极为不利的境地。有些私营企业不按照国家有关规定缴纳失业保险金、退休养老金、医疗保险金。第六次私营企业抽样调查数据显示，私企参加医疗、养老和失业保险的分别为被调查企业的33.4%38.7%和16.6%，而且这些参加保险的企业也只是为很少部分雇工投保。</w:t>
      </w:r>
    </w:p>
    <w:p w14:paraId="342DD699">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三、完善所有制结构，促进社会主义社会和谐</w:t>
      </w:r>
    </w:p>
    <w:p w14:paraId="3BF1B2D1">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1.必须消除新自由主义思潮的影响</w:t>
      </w:r>
    </w:p>
    <w:p w14:paraId="3D16E5EF">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20世纪90年代以来，一些国家的实践证明，新自由主义的影响是造成“苏东是倒退的十年、拉美是失去的十年、日本是爬行的十年、美欧是缓升的十年”这一结果的最主要原因之一。被联合国认定的49个最不发达的国家(亦称第四世界)，也没有通过私有化的途径富强起来，有的反而更加贫穷。斯蒂格利茨也认为，正是“私有产权神话”等新自由主义理论和政策，导致了苏东和拉美一些国家的经济不和谐和各种危机。因此，我国在调整和完善所有制结构过程中，必须坚持社会主义初级阶段的基本经济制度，巩固和壮大社会主义经济基础，克服新自由主义的思想障碍。具体主要从以下几个方面采取措施:</w:t>
      </w:r>
    </w:p>
    <w:p w14:paraId="4776CFBF">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(1)构建社会主义和谐社会必须坚持公有制为主体。我国宪法规定：“中华人民共和国的社会主义经济制度的基础是生产资料的社会主义公有制，即全民所有制和劳动群众集体所有制。”如果动摇了社会主义基本经济制度，听任某些人推行“国退民进”，"公退私进”，必然使更多的工人和其他劳动人民沦为雇佣劳动者。在一个受剥削的雇佣劳动者占多数的国家里，在一个广大工人、农民被弱势化的社会里，不可能实现人民当家作主与社会和谐。</w:t>
      </w:r>
    </w:p>
    <w:p w14:paraId="25D04E8B">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(2)必须坚持公有制经济在国民经济中的数量优势。公有经营性资本的数量与质量及整体发展密切相关。国有经济是全民共同所有的，是实现产业升级、技术进步和培育有国际竞争力的主力，是影响社会主义经济发展方向的经济成分，也是历次国家宏观调控迅速产生效率的所有制基础。加速在船舶、汽车、电子、生物、宇航、海洋等重要领域发展“四跨”(跨地区、跨部门、跨所有制和跨国)，“三控”(控股、控技术、控品牌)型国有跨国公司，是趋利避害地参与经济全球化的关键。国有经济是工人阶级以所有者与劳动者双重身份从事工作的立身之所，直接涉及广大职工群众的就业、福利和生活质量。公有制的主体地位，不仅要求国有经济具有控制国民经济命脉的优势，而且要求国有经济同集体经济一起使公有制经济在整个国民经济中占有数量上的优势。这就是说，公有制经济的资本、劳动力、产值等主要指标都要占全国总数的50%以上。如果这些主要指标的比重降到50%以下，那就丧失了主体地位，而降到了次要、辅助的地位。</w:t>
      </w:r>
    </w:p>
    <w:p w14:paraId="6C97575F">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(3)积极发展集体经济。社会主义公有制经济，不仅包括国有经济，还包括集体经济。我国《宪法》规定:“国家保护城乡集体经济组织的合法权利和利益，鼓励、指导和帮助集体经济的发展。”发展集体经济具体可从以下几个方面采取措施:一是大力发展统分结合的集体层经营；二是强化合作经济包括农户之间的合作(横向一体化)以及在此基础上的农村合作组织加公司这样的合作(纵向一体化)；三是壮大农村集体所有制经济，实现联产承包制到集体化的第二次飞跃；四是提倡有条件的地方发展集体经济联合体；五是在集体经济联合体的基础上进一步发展合作农场。</w:t>
      </w:r>
    </w:p>
    <w:p w14:paraId="0FFB8E02">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2.必须停止所谓的MBO(管理层收购)，推进国企的实质性改革</w:t>
      </w:r>
    </w:p>
    <w:p w14:paraId="1D62FA93">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当前，学术界认为，在国有资产出资人监管角色尚未到位的情况下，大规模实行管理层持股非但未形成所谓的独特“优势”，反而会带来五大风险；一是定价环节中的风险，如行政干预，协议转让等；二是信息不对称、暗箱操作的风险；三是收购者融资渠道不明的风险；四是运作风险；五是收购主体合法性不能保证的风险。在国有企业改革问题上，有的人认为，民营化、自由经济能够解决所有的问题，把企业、金融和产业存在的一切问题都归咎于公有产权，认为私营企业效率高于国有企业，转制为私有产权后便可实现高效率。其实，企业产权私有化和实行MBO并不是解决国有企业效率问题的出路。国企改革的实质性问题是要解决好经营机制的问题。如建立完全从市场招聘经营者的机制、以个人财产抵押为基础的经营者年薪制、规范的委托代理制度和公司治理结构等。只有在明确了这个科学改革观以后，对于极少数确因资源枯竭、无市场前景等不可抗拒的客观原因而需淘汰的企业，才可以考虑采取出卖的方式退出，有的可以推行股份合作制、集体资本控股的股份制形式等非私有化改革方式。退出时必须严格按照出卖转让程序进行，不能实施“内部人控制”的MBO。对于那些已经改制的企业，则有必要按照有错就改的原则，制定有利于纠正失误的法律法规，采取适当的方式，对那些被私人非法占有的国有资本，依法逐步收回并对其中的贪污、腐败现象进行严查。</w:t>
      </w:r>
    </w:p>
    <w:p w14:paraId="354AD5FB">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3.加强对非公有制企业的监督和引导，保障职工的合法权益</w:t>
      </w:r>
    </w:p>
    <w:p w14:paraId="56917714">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非公有制经济作为国民经济的重要组成部分，对于繁荣经济、增加就业具有一定的积极作用。这在社会主义初级阶段生产水平还不高的条件下是必要而有益的。但是由于个体经济的局限性，特别是资本主义经济的剥削本质和固有的矛盾，它不是社会主义制度的经济基础，因此，只能居于辅助的地位，这就要对非公有制经济实行“鼓励、支持和引导”。为了使非公有制经济健康发展，不能放弃对其依法进行监督和管理。</w:t>
      </w:r>
    </w:p>
    <w:p w14:paraId="215C0A5E">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具体可采取以下措施:</w:t>
      </w:r>
    </w:p>
    <w:p w14:paraId="5C40EFED">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(1)控制非公有制经济的增长速度，使其比重保持在合理的范围内。在改革开放初期，私营经济的比重还不到国民经济的10%，那时，鼓励和引导它较快发展，逐步提高它在国民经济中的比重是必要的，也是起到了有益的作用的。但任何事物都要有一个合理的“度”，量的变化达到一定界限，必然引起质的变化。当私有制经济达到一半的比重时，如果再扩大比重，那就会突破《宪法》规定的基本经济制度，危及我们国家的社会主义性质。当前应控制非公有制经济的超高速发展，使其比重保持在低于50%的范围内。</w:t>
      </w:r>
    </w:p>
    <w:p w14:paraId="59287A11">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(2)必须坚持国有经济控制国民经济命脉的一贯方针。党的十五大报告明确指出:“公有制的主体地位主要表现在；公有资产在社会总资产中占优势；国有经济控制国民经济命脉，对经济发展起主导作用。”根据这一原则，党的十五届四中全会具体指出:国有经济需要控制的行业和领域主要包括:涉及国家安全的行业，自然垄断的行业，提供重要公共产品和服务的行业，以及支柱产业和高新技术产业中的重要骨干企业。因此，必须坚持控制国民经济命脉的领域只应由国有企业来经营，而不应由私人资本家来经营。</w:t>
      </w:r>
    </w:p>
    <w:p w14:paraId="5B112F9D">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(3)高度重视劳资关系，积极解决劳资矛盾。要根据国家的有关规定，确定和实行不同地区、不同产业的最低工资标准，为职工提供医疗、养老、失业等保险，解除职工的后顾之优；要建立健全劳动保护制度，完善劳动合同制度，保护职工的身体健康，保护劳资双方的合法权益。在处理劳资关系、解决劳资矛盾的过程中，要建立政府、企业、劳动者个人三方协调机制，在企业层面处理好劳资双方的利益关系。</w:t>
      </w:r>
    </w:p>
    <w:p w14:paraId="6099C03D">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4.努力构建社会主义初级阶段的“四主型经济制度”</w:t>
      </w:r>
    </w:p>
    <w:p w14:paraId="60A6DC08">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(1)构建公有主体型的多种类产权制度，即在公有制为主体的前提下(包含资产在质上和量上的优势)发展中外私有制经济。这应当表现在资本结构、就业结构、GDP结构、税收结构、外贸结构等多方面。我国应当在多种所有制共存的动态发展中保持这一“主体一辅体”的宏观所有制结构，而非简单地控制私有制的上升。</w:t>
      </w:r>
    </w:p>
    <w:p w14:paraId="545AFEDE">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(2)构建劳动主体型的多要素分配制度，即按劳分配为主体，多要素所有者可凭产权参与分配，经济公平与经济效率呈现交互同向和并重关系。目前，我国收入分配的基尼系数比一些资本主义国家还要高，更令人担忧的是社会财产占有上的贫富分化。现在中央强调“注重社会公平和正义”，是极有针对性的，应采取产权和分配上的双重措施，才能真正做到“提低、扩中和控高”的分配和谐。</w:t>
      </w:r>
    </w:p>
    <w:p w14:paraId="150912EE">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(3)构建国家主导型的多结构市场制度，即多结构地发展市场体系，发挥市场的基础性配置资源的作用，同时，在廉洁、廉价、民主和高效的基础上发挥国家调节的主导型作用。要用市场调节的优良功能去抑制“国家调节失灵”，又要用国家调节的优良功能来纠正“市场调节失灵”，实现“基础一主导”功能性双重调节机制，这样，容易达到社会经济和谐。</w:t>
      </w:r>
    </w:p>
    <w:p w14:paraId="00E34375">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kern w:val="0"/>
          <w:szCs w:val="21"/>
          <w:lang w:bidi="ar"/>
        </w:rPr>
        <w:t>(4)构建自立主导型的多方位开放制度，即处理好引进国外技术和资本同发展自主知识产权和高效利用本国资本的关系，实行内需为主并与外需相结合的国内外经济交往关系，实现从追求引进数量的粗放型开放模式向追求引进效益的质量型开发模式转变。应在结合比较优势与竞争优势的基础上，大力发展控股、控技(尤其是核心技术)和控牌(尤其是名牌)的“三控型”民族企业集团和民族跨国公司，突出培育和发挥知识产权优势，真正打造出中国的世界工厂而非世界加工厂，从而尽快完成从贸易大国向贸易强国和经济大国向经济强国的转型。那种只强调保护国内外知识产权，不强调创造自主知识产权的做法，那种主要寄希望于依赖式不断引进外资、外技和外牌的策略，那种看不到跨国公司在华研发机构的正负双面效应而片面迎合强国推行“殖民地科技”的开放式爬行主义思维，都是不高明的科技发展“路线图”和开放理念，也不利于整个开放素质的提升和国内外经济的统筹与协调发展。在以往的对外开放中，土地、资源、生态、税收等一些问题上均存在程度不同的无序性和不协调，需要进一步改善。</w:t>
      </w:r>
    </w:p>
    <w:p w14:paraId="7A3663AF">
      <w:pPr>
        <w:widowControl/>
        <w:spacing w:line="300" w:lineRule="auto"/>
        <w:ind w:firstLine="440" w:firstLineChars="200"/>
        <w:jc w:val="left"/>
        <w:rPr>
          <w:rFonts w:ascii="宋体" w:hAnsi="宋体" w:eastAsia="宋体" w:cs="宋体"/>
          <w:kern w:val="0"/>
          <w:szCs w:val="21"/>
          <w:lang w:bidi="ar"/>
        </w:rPr>
      </w:pPr>
    </w:p>
    <w:p w14:paraId="741EAD8C">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（原载于《上海经济管理干部学院学报》2006年第3期》）</w:t>
      </w:r>
    </w:p>
    <w:p w14:paraId="08A5E248">
      <w:pPr>
        <w:bidi w:val="0"/>
      </w:pPr>
      <w:r>
        <w:br w:type="page"/>
      </w:r>
    </w:p>
    <w:bookmarkEnd w:id="570"/>
    <w:p w14:paraId="60EF0E71">
      <w:pPr>
        <w:keepNext/>
        <w:keepLines/>
        <w:widowControl/>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579" w:name="_Toc9965"/>
      <w:bookmarkStart w:id="580" w:name="_Toc111148963"/>
      <w:bookmarkStart w:id="581" w:name="_Toc356235053"/>
      <w:bookmarkStart w:id="582" w:name="_Toc628461933"/>
      <w:r>
        <w:rPr>
          <w:rFonts w:hint="eastAsia" w:ascii="黑体" w:hAnsi="黑体" w:eastAsia="黑体" w:cs="Times New Roman"/>
          <w:kern w:val="0"/>
          <w:sz w:val="32"/>
          <w:szCs w:val="32"/>
        </w:rPr>
        <w:t>4加强马克思主义理论研究与建设</w:t>
      </w:r>
      <w:bookmarkEnd w:id="579"/>
      <w:bookmarkEnd w:id="580"/>
      <w:bookmarkEnd w:id="581"/>
      <w:bookmarkEnd w:id="582"/>
    </w:p>
    <w:p w14:paraId="0BA279D4">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2005年5月19日，中央政治局常委会议听取中国社科院工作汇报，对马克思主义理论研究和建设提出了殷切的希望和更高的要求。这对于中国社科院马克思主义学科的建设和发展具有里程碑的意义。一年来在中国社科院党组的部署和领导下，全院上下掀起了学习和贯彻“5·19”中央政治局常委会议精神，加强马克思主义理论研究和建设的热潮，并取得了可喜的成绩。</w:t>
      </w:r>
    </w:p>
    <w:p w14:paraId="799E5602">
      <w:pPr>
        <w:spacing w:before="147" w:beforeLines="50" w:after="147" w:afterLines="50" w:line="300" w:lineRule="auto"/>
        <w:ind w:firstLine="500" w:firstLineChars="200"/>
        <w:jc w:val="center"/>
        <w:rPr>
          <w:rFonts w:cs="Times New Roman" w:asciiTheme="minorEastAsia" w:hAnsiTheme="minorEastAsia"/>
          <w:b/>
          <w:sz w:val="24"/>
          <w:szCs w:val="18"/>
          <w:lang w:bidi="ar"/>
        </w:rPr>
      </w:pPr>
      <w:bookmarkStart w:id="583" w:name="_Toc31047"/>
      <w:bookmarkStart w:id="584" w:name="_Toc22393"/>
      <w:bookmarkStart w:id="585" w:name="_Toc12725"/>
      <w:bookmarkStart w:id="586" w:name="_Toc17550"/>
      <w:bookmarkStart w:id="587" w:name="_Toc11220"/>
      <w:r>
        <w:rPr>
          <w:rFonts w:hint="eastAsia" w:cs="Times New Roman" w:asciiTheme="minorEastAsia" w:hAnsiTheme="minorEastAsia"/>
          <w:b/>
          <w:sz w:val="24"/>
          <w:szCs w:val="18"/>
          <w:lang w:bidi="ar"/>
        </w:rPr>
        <w:t>一、加强马克思主义理论研究和建设的主要举措</w:t>
      </w:r>
      <w:bookmarkEnd w:id="583"/>
      <w:bookmarkEnd w:id="584"/>
      <w:bookmarkEnd w:id="585"/>
      <w:bookmarkEnd w:id="586"/>
      <w:bookmarkEnd w:id="587"/>
    </w:p>
    <w:p w14:paraId="20389842">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根据“5·19”中央政治局常委会议批准的院党组报告，中国社科院建设哲学社会科学创新体系的目标之一，就是要通过实施“马克思主义理论研究和建设工程”，形成“马列主义、毛泽东思想、邓小平理论和‘三个代表’重要思想研究中心”，发挥“马克思主义坚强阵地的作用”，把中国社科院建设成为以马克思主义为指导的国家级哲学社会科学研究机构。按照这一总体要求，中国社科院采取了一系列重大举措，切实加强马克思主义理论研究和建设。</w:t>
      </w:r>
    </w:p>
    <w:p w14:paraId="4CFD6AAC">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1.组建马克思主义研究院</w:t>
      </w:r>
    </w:p>
    <w:p w14:paraId="139FD55B">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院党组在向中央政治局常委会的报告中，提出组建“中国社会科学院马克思主义研究院”，并阐明了它的意义和具体设想。经过半年多的筹备，马克思主义研究院已于2005年12月26日正式成立了。经过半年的努力，马研院的队伍建设、学科建设、课题研究、中外学术交流和国情调研等各项工作都已走上正轨，并取得了较大进展。目前，从队伍建设看，马研院已扩大到106人，形成了以中青年为主体的研究梯队。从学科建设看，已初步建立了马克思主义一级学科中的四个二级学科，正在重点建设“马克思主义基本原理”、“马克思主义发展史”、“中国化马克思主义”和“国外马克思主义”，涵盖了马克思主义的历史与现实、理论与实践以及中国与世界马克思主义研究的各个方面，学科地位也大大提高。从课题研究看，已承担或确定申报了十几个国家和社科院的重大或重点研究项目。从中外学术交流看，已与世界政治经济学学会等合作主办了“经济全球化与现代马克思主义经济学国际论坛”，主办了“全国首届马克思主义青年论坛”；举办了6次“中外马克思主义学术报告会”和数次学术研讨会或座谈会；在扩版《马克思主义研究》月刊的同时，新办《马克思主义文摘》月刊；在国内外一些重要场合做学术演讲或报告等，均产生了良好的学术影响和声誉。马研院的高起点组建和又快又好的发展，加强了全院马克思主义理论的研究，为把中国社会科学院建设成为马克思主义的坚强阵地迈出了坚实的一步(受中国社会科学院影响，福建师范大学、河南大学等已跟进建立或筹备建立马克思主义研究院)。</w:t>
      </w:r>
    </w:p>
    <w:p w14:paraId="362BA049">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2.马克思主义理论研究和建设工程取得新进展</w:t>
      </w:r>
    </w:p>
    <w:p w14:paraId="61347F80">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在学习贯彻“5·19”常委会议精神的过程中，中国社会科学院的专家学者以更强的责任感和使命感，投身于马克思主义理论研究和建设工程。一年来，全院共有近100名不同学科、不同年龄段的专家学者参加了工程的10多个课题组的研究工作，其中有10多位学者担任了工程咨询委员会委员或相关课题组的首席专家。中国社科院还主持了“中国特色社会主义民主政治建设研究”和《政治经济学》教材编写两个课题。前一个课题由院邓小平理论和“三个代表”重要思想研究基地承担，由院领导牵头，主要以政治学所、马研院为依托，同时吸收了法学、社会学等学科的学者参加。课题组按照中央的指示，与国务院新闻办合作起草《中国的民主政治建设》白皮书，经广泛征求意见和反复修订，已于2005年10月19日正式刊布，这是我国政府首次发表的关于民主政治建设的政府文告。课题组还按照中央指示，牵头组织撰写阐述中国特色社会主义民主政治的系列理论文章。除上述两个课题外，参加其他课题组的专家学者也按照上级部门的要求和部署，承担了各自的研究任务，在其中发挥了积极作用。</w:t>
      </w:r>
    </w:p>
    <w:p w14:paraId="392F6FD5">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此外，中国社科院研究基地根据工程协调小组的指示，还相继布置了两批次20多个研究项目，并上报了其中8个项目的阶段性研究成果。围绕与工程相关的重大理论和现实问题，中国社科院研究基地在中央报刊发表一系列理论文章。全院除出版多部专著外，共计在各类报刊发表100多篇论文、研究报告和理论文章，其中有19篇被工程协调小组办公室摘编为《参考资料》。随着研究的深入，工程所引起的社会反响越来越大。</w:t>
      </w:r>
    </w:p>
    <w:p w14:paraId="18BA2DF0">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3.加强马克思主义的课题研究和学科建设</w:t>
      </w:r>
    </w:p>
    <w:p w14:paraId="3473B8E0">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2005年，社科院围绕国家经济社会发展中的重大问题，围绕树立和落实科学发展观、全面建设小康社会、构建社会主义和谐社会、加强党的执政能力建设和先进性建设、社会主义民主政治理论研究、遵守和维护政治纪律、反腐倡廉等问题，新设立了100多项重大或重点课题，组织精干力量，对马克思主义的重大理论和现实问题进行多学科、跨学科的理论研究和应用对策研究，推出了一批具有较高水平的科研成果。在实施“重点学科建设工程”中，马克思主义哲学、政治经济学、中国特色社会主义等马克思主义学科得到进一步的加强。马克思主义研究院成立后，又确定将马克思主义基本原理、马克思主义发展史、国外马克思主义三个学科作为“重点学科建设工程”项目。社科院还抓住马克思主义提升为一级学科的机遇，增设马克思主义基本理论、思想政治教育、马克思主义发展史、马克思主义中国化等二级学科硕士和博士点，使全院的马克思主义学科建设的整体水平有很大的提高。在马克思主义学科建设不断加强的基础上，人才队伍结构继续优化，学术资料积累更加丰富，科研手段现代化建设步伐加快，马克思主义理论研究的成果质量和总体水平有了显著提高。</w:t>
      </w:r>
    </w:p>
    <w:p w14:paraId="5DD099E6">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4.积极开展国情调研</w:t>
      </w:r>
    </w:p>
    <w:p w14:paraId="45B99707">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中国社科院围绕理论联系实际、推进理论创新、为中国特色社会主义建设服务，积极开展国情调研。在院党组的领导和组织下，中国社科院不少学者深入基层，调查研究。2005年6月、12月，院党组副书记、常务副院长冷溶同志，院党组成员、秘书长朱锦昌同志分别带领专家学者前往浙江，围绕“落实科学发展观，构建社会主义和谐社会”、“浙江经验与中国发展——科学发展观在浙江”进行深入调研。这些调研活动，收集到了一批重要资料，取得了有价值的理论成果，推动了马克思主义的应用对策研究。</w:t>
      </w:r>
    </w:p>
    <w:p w14:paraId="283A8AF3">
      <w:pPr>
        <w:spacing w:before="147" w:beforeLines="50" w:after="147" w:afterLines="50" w:line="300" w:lineRule="auto"/>
        <w:ind w:firstLine="500" w:firstLineChars="200"/>
        <w:jc w:val="center"/>
        <w:rPr>
          <w:rFonts w:cs="Times New Roman" w:asciiTheme="minorEastAsia" w:hAnsiTheme="minorEastAsia"/>
          <w:b/>
          <w:sz w:val="24"/>
          <w:szCs w:val="18"/>
          <w:lang w:bidi="ar"/>
        </w:rPr>
      </w:pPr>
      <w:bookmarkStart w:id="588" w:name="_Toc137"/>
      <w:bookmarkStart w:id="589" w:name="_Toc28790"/>
      <w:bookmarkStart w:id="590" w:name="_Toc30077"/>
      <w:bookmarkStart w:id="591" w:name="_Toc15500"/>
      <w:bookmarkStart w:id="592" w:name="_Toc20071"/>
      <w:r>
        <w:rPr>
          <w:rFonts w:hint="eastAsia" w:cs="Times New Roman" w:asciiTheme="minorEastAsia" w:hAnsiTheme="minorEastAsia"/>
          <w:b/>
          <w:sz w:val="24"/>
          <w:szCs w:val="18"/>
          <w:lang w:bidi="ar"/>
        </w:rPr>
        <w:t>二、加强马克思主义理论研究和建设的主要体会</w:t>
      </w:r>
      <w:bookmarkEnd w:id="588"/>
      <w:bookmarkEnd w:id="589"/>
      <w:bookmarkEnd w:id="590"/>
      <w:bookmarkEnd w:id="591"/>
      <w:bookmarkEnd w:id="592"/>
    </w:p>
    <w:p w14:paraId="39D7F3CC">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中国社科院马克思主义理论研究和建设取得重大进展和成绩，首先得益于中央的高度重视和院党组的精心部署。这对广大专家学者来说是一种莫大的激励和鼓舞，使我们倍感光荣和自豪。一年来，大家感到收获不少，体会很多，概括起来主要有以下两点：</w:t>
      </w:r>
    </w:p>
    <w:p w14:paraId="4E0512ED">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体会之一：加强马克思主义理论研究和建设十分必要，具有非常重要的理论价值和现实意义。通过日益广泛深入的理论研究和调查研讨，全院马克思主义理论工作者普遍拓宽了研究视野，加深了对国情的认识，加深了对目前形势和任务的认识，从而深化了对加强马克思主义理论研究和建设的战略意义的认识，进一步增强了做好马克思主义理论工作的责任感、使命感和紧迫感。大家认为，马克思主义是我们立党立国的根本指导思想，是我国意识形态的旗帜，是全党全国人民团结奋斗的共同思想基础。在新世纪新阶段，意识形态领域的斗争日趋尖锐复杂，国内外形势出现了一系列新变化，我国改革发展面临着一系列新课题。在新的历史条件下，加强马克思主义理论研究和建设对于加强党的思想理论建设，推进中国特色社会主义伟大事业，具有非常重要的理论意义和现实意义。</w:t>
      </w:r>
    </w:p>
    <w:p w14:paraId="5D829DA5">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体会之二：大力传承、创新和弘扬马克思主义，不断推动马克思主义中国化的进程，开辟马克思主义发展的新境界。胡锦涛同志在“5·19”常委会议上指出，要做好哲学社会科学工作，最根本的是必须把握好两条：一是要毫不动摇地坚持马克思主义基本原理，坚持正确的政治方向。二是要坚持解放思想、实事求是、与时俱进，积极推进理论创新。一年来，全院上下按照胡锦涛同志提出的这两条根本要求，更加自觉地把马克思主义基本原理同我国的具体实际和时代特征相结合，深入研究马克思主义中国化的三大理论成果——毛泽东思想、邓小平理论和“三个代表”重要思想，深入研究十六大以来党中央提出的科学发展观等理论创新成果，紧紧围绕中国特色社会主义事业新的实践，发扬理论联系实际的优良学风，大胆进行理论研究，积极推进理论创新。大家深深感到，只有坚持理论与实践相结合、继承与创新相统一，才能不断推动马克思主义中国化的进程，不断开辟马克思主义发展的新境界。</w:t>
      </w:r>
    </w:p>
    <w:p w14:paraId="00AE4D0B">
      <w:pPr>
        <w:spacing w:before="147" w:beforeLines="50" w:after="147" w:afterLines="50" w:line="300" w:lineRule="auto"/>
        <w:ind w:firstLine="500" w:firstLineChars="200"/>
        <w:jc w:val="center"/>
        <w:rPr>
          <w:rFonts w:cs="Times New Roman" w:asciiTheme="minorEastAsia" w:hAnsiTheme="minorEastAsia"/>
          <w:b/>
          <w:sz w:val="24"/>
          <w:szCs w:val="18"/>
          <w:lang w:bidi="ar"/>
        </w:rPr>
      </w:pPr>
      <w:bookmarkStart w:id="593" w:name="_Toc14059"/>
      <w:bookmarkStart w:id="594" w:name="_Toc9750"/>
      <w:bookmarkStart w:id="595" w:name="_Toc25392"/>
      <w:bookmarkStart w:id="596" w:name="_Toc5111"/>
      <w:bookmarkStart w:id="597" w:name="_Toc14585"/>
      <w:r>
        <w:rPr>
          <w:rFonts w:hint="eastAsia" w:cs="Times New Roman" w:asciiTheme="minorEastAsia" w:hAnsiTheme="minorEastAsia"/>
          <w:b/>
          <w:sz w:val="24"/>
          <w:szCs w:val="18"/>
          <w:lang w:bidi="ar"/>
        </w:rPr>
        <w:t>三、进一步加强马克思主义理论研究和建设的几点设想</w:t>
      </w:r>
      <w:bookmarkEnd w:id="593"/>
      <w:bookmarkEnd w:id="594"/>
      <w:bookmarkEnd w:id="595"/>
      <w:bookmarkEnd w:id="596"/>
      <w:bookmarkEnd w:id="597"/>
    </w:p>
    <w:p w14:paraId="2131FB73">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在新世纪新阶段，国际国内形势的深刻变化和中国特色社会主义伟大实践的不断推进，既为马克思主义理论研究和建设提供了难得的机遇，又提出了新的更高的要求和更艰巨的任务。我们要认清形势，抓住机遇，在思想建设、学风建设、学科建设和队伍建设等方面不断采取切实有效的措施，进一步办好马克思主义研究院，为实施好马克思主义理论研究和建设工程做出更大的贡献。</w:t>
      </w:r>
    </w:p>
    <w:p w14:paraId="0D4047E4">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设想之一：树立坚定的理想信念，坚持正确的政治方向，努力增强做好马克思主义理论工作的责任感和使命感。马克思主义研究院不仅以马克思主义为指导进行学术研究和理论宣传，而且直接以马克思主义为研究对象，以坚持和发展马克思主义为己任。牢固树立共产主义的理想信念，坚持正确的政治方向，坚持马克思主义在意识形态和学术研究中的指导地位，是党中央对我们第一位的要求。贯彻“5·19”常委会精神，必须继续自觉地在思想上政治上与党中央保持一致，既要反对否定马克思主义的资产阶级自由化的错误倾向，也要克服以教条主义态度对待马克思主义、对我们党创造性地发展马克思主义的最新成果持否定态度的错误倾向。我们要树立高度的社会责任感和历史使命感，增强政治鉴别力和政治敏锐性，自觉献身于捍卫和发展马克思主义的崇高事业。</w:t>
      </w:r>
    </w:p>
    <w:p w14:paraId="010EFB2E">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设想之二：发扬求真务实的精神，坚持理论联系实际的学风，大力提高马克思主义研究的水平。胡锦涛同志强调：“无论是坚持马克思主义基本原理，还是推进理论创新，推进马克思主义中国化，都离不开实践，都要从实际出发。”加强马克思主义理论研究和建设，必须大力发扬求真务实的精神和理论联系实际的马克思主义学风，以深入研究重大现实问题为主攻方向，深入研究马克思主义基本原理，深入研究邓小平理论、“三个代表”重要思想和科学发展观，深入研究全面建设小康社会、加强党的执政能力建设和先进性建设、构建社会主义和谐社会所提出的全局性、战略性、前瞻性问题，自觉地为党和国家的决策服务，为中国特色社会主义建设事业和中华民族的伟大复兴服务。</w:t>
      </w:r>
    </w:p>
    <w:p w14:paraId="33EB06BB">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lang w:bidi="ar"/>
        </w:rPr>
        <w:t>设想之三：搞好学科建设和队伍建设，出一流的人才和一流的成果，在马克思主义理论研究和建设中发挥骨干作用。要围绕“出人才、出成果、出影响”的目标，切实抓紧抓好马克思主义学科建设、队伍建设和其它方面的建设。要进一步整合现有的马克思主义理论队伍，引进科研骨干和博士，建立马克思主义青年研读小组，办好马克思主义学科的硕士点和博士点，建立马克思主义学科的博士后流动站和国内外高级访问学者制度。要认真完成已立项的“科学发展观与经济改革和开放”等国家重大课题，积极争取和承担上级有关部门委托的、国家社科规划办和社科院批准立项的一批马克思主义研究重大课题，筹划出版《国外马克思主义研究译库》等。要建立若干个经济、文化、党建等方面的基层调研基地。要办好院刊《马克思主义研究》、《中外马克思主义文摘》和《中国特色社会主义年鉴》，筹备出版英文版国际马克思主义杂志，建立和健全中国马克思主义研究中英文网站和较完整的资料信息库。创办世界级的“国际马克思主义论坛”，定期或不定期地举办各种类型的马克思主义、社会主义学术研讨会或思想论坛。设想在五年之内选译50本研究国外马克思主义代表性著作的中文版，选译若干本中国马克思主义社会科学创新性著作的英文版。总之，要通过我们的各项工作，尽快把马克思主义研究院建设成为马克思主义学术研究、理论宣传、人才培养和学术交流的重要基地，提升中国社科院的马克思主义研究在中外学术界的地位与贡献。</w:t>
      </w:r>
    </w:p>
    <w:p w14:paraId="5FB286A3">
      <w:pPr>
        <w:spacing w:line="300" w:lineRule="auto"/>
        <w:ind w:firstLine="440" w:firstLineChars="200"/>
        <w:rPr>
          <w:rFonts w:ascii="宋体" w:hAnsi="宋体" w:eastAsia="宋体" w:cs="Times New Roman"/>
          <w:szCs w:val="21"/>
        </w:rPr>
      </w:pPr>
    </w:p>
    <w:p w14:paraId="39A9C06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（原载于《社会科学管理与评论》2006年第2期)</w:t>
      </w:r>
      <w:r>
        <w:rPr>
          <w:rFonts w:ascii="宋体" w:hAnsi="宋体" w:eastAsia="宋体" w:cs="Times New Roman"/>
          <w:szCs w:val="21"/>
        </w:rPr>
        <w:br w:type="page"/>
      </w:r>
    </w:p>
    <w:p w14:paraId="784C5641">
      <w:pPr>
        <w:spacing w:line="300" w:lineRule="auto"/>
        <w:ind w:firstLine="440" w:firstLineChars="200"/>
        <w:rPr>
          <w:rFonts w:ascii="宋体" w:hAnsi="宋体" w:eastAsia="宋体" w:cs="Times New Roman"/>
          <w:szCs w:val="21"/>
        </w:rPr>
      </w:pPr>
    </w:p>
    <w:p w14:paraId="3DF8148A">
      <w:pPr>
        <w:spacing w:line="300" w:lineRule="auto"/>
        <w:rPr>
          <w:rFonts w:ascii="宋体" w:hAnsi="宋体" w:eastAsia="宋体" w:cs="Times New Roman"/>
          <w:szCs w:val="21"/>
        </w:rPr>
      </w:pPr>
    </w:p>
    <w:p w14:paraId="0D6380BE">
      <w:pPr>
        <w:spacing w:line="360" w:lineRule="auto"/>
        <w:ind w:firstLine="660" w:firstLineChars="200"/>
        <w:jc w:val="center"/>
        <w:outlineLvl w:val="1"/>
        <w:rPr>
          <w:rFonts w:ascii="黑体" w:hAnsi="黑体" w:eastAsia="黑体"/>
          <w:sz w:val="32"/>
          <w:szCs w:val="32"/>
        </w:rPr>
      </w:pPr>
      <w:bookmarkStart w:id="598" w:name="_Toc111148964"/>
      <w:bookmarkStart w:id="599" w:name="_Toc18478"/>
      <w:bookmarkStart w:id="600" w:name="_Toc58127935"/>
      <w:bookmarkStart w:id="601" w:name="_Toc1235131985"/>
      <w:r>
        <w:rPr>
          <w:rFonts w:hint="eastAsia" w:ascii="黑体" w:hAnsi="黑体" w:eastAsia="黑体"/>
          <w:sz w:val="32"/>
          <w:szCs w:val="32"/>
        </w:rPr>
        <w:t>5欧美马克思主义经济思想的渊源与发展</w:t>
      </w:r>
      <w:bookmarkEnd w:id="598"/>
      <w:bookmarkEnd w:id="599"/>
      <w:bookmarkEnd w:id="600"/>
      <w:bookmarkEnd w:id="601"/>
    </w:p>
    <w:p w14:paraId="064ADFB2">
      <w:pPr>
        <w:spacing w:line="400" w:lineRule="exact"/>
        <w:ind w:firstLine="440" w:firstLineChars="200"/>
        <w:rPr>
          <w:rFonts w:ascii="宋体" w:hAnsi="宋体" w:eastAsia="宋体" w:cs="宋体"/>
          <w:szCs w:val="21"/>
        </w:rPr>
      </w:pPr>
      <w:r>
        <w:rPr>
          <w:rFonts w:ascii="宋体" w:hAnsi="宋体" w:eastAsia="宋体" w:cs="宋体"/>
          <w:szCs w:val="21"/>
        </w:rPr>
        <w:t>20世纪二三十年代的“大萧条”之前，德国和苏联(俄国)垄断了马克思主义经济思想的理论探讨，20世纪30年代以后，理论分析的重心开始转向西方，以至西欧和北美在第二次世界大战之后成为马克思主义经济思想研究的中心。</w:t>
      </w:r>
    </w:p>
    <w:p w14:paraId="59C2C16A">
      <w:pPr>
        <w:spacing w:line="400" w:lineRule="exact"/>
        <w:ind w:firstLine="440" w:firstLineChars="200"/>
        <w:rPr>
          <w:rFonts w:ascii="宋体" w:hAnsi="宋体" w:eastAsia="宋体" w:cs="宋体"/>
          <w:szCs w:val="21"/>
        </w:rPr>
      </w:pPr>
      <w:r>
        <w:rPr>
          <w:rFonts w:ascii="宋体" w:hAnsi="宋体" w:eastAsia="宋体" w:cs="宋体"/>
          <w:szCs w:val="21"/>
        </w:rPr>
        <w:t>欧美马克思主义经济思想始终关注经济理论与现实研究，从范畴到体系、从制度到运行，充满学术性，较少受到意识形态的影响。由于欧美马克思主义经济学家身处发达资本主义经济社会中，他们在某种程度上对于资本主义和传统社会主义经济体制的弊病看得更深刻和更清楚，同时，他们也身处西方主流经济学的包围之中，这样对于马克思经济思想的研究视野显得更为宽阔。因此，欧美马克思主义经济思想，不论是其理论基础、方法论和理论特征还是其具体的分析工具，都与传统马克思经济思想有所不同。</w:t>
      </w:r>
    </w:p>
    <w:p w14:paraId="5BD54FD3">
      <w:pPr>
        <w:spacing w:line="400" w:lineRule="exact"/>
        <w:ind w:firstLine="440" w:firstLineChars="200"/>
        <w:rPr>
          <w:rFonts w:ascii="宋体" w:hAnsi="宋体" w:eastAsia="宋体"/>
          <w:szCs w:val="21"/>
        </w:rPr>
      </w:pPr>
    </w:p>
    <w:p w14:paraId="72B2C7AA">
      <w:pPr>
        <w:spacing w:line="400" w:lineRule="exact"/>
        <w:ind w:firstLine="500" w:firstLineChars="200"/>
        <w:jc w:val="center"/>
        <w:rPr>
          <w:rFonts w:ascii="宋体" w:hAnsi="宋体" w:eastAsia="宋体" w:cs="黑体"/>
          <w:sz w:val="24"/>
        </w:rPr>
      </w:pPr>
      <w:r>
        <w:rPr>
          <w:rFonts w:ascii="宋体" w:hAnsi="宋体" w:eastAsia="宋体" w:cs="黑体"/>
          <w:sz w:val="24"/>
          <w14:textOutline w14:w="4902" w14:cap="flat" w14:cmpd="sng" w14:algn="ctr">
            <w14:solidFill>
              <w14:srgbClr w14:val="000000"/>
            </w14:solidFill>
            <w14:prstDash w14:val="solid"/>
            <w14:miter w14:val="0"/>
          </w14:textOutline>
        </w:rPr>
        <w:t>一、理论基础及研究方法</w:t>
      </w:r>
    </w:p>
    <w:p w14:paraId="004C18D0">
      <w:pPr>
        <w:spacing w:line="400" w:lineRule="exact"/>
        <w:ind w:firstLine="440" w:firstLineChars="200"/>
        <w:rPr>
          <w:rFonts w:ascii="宋体" w:hAnsi="宋体" w:eastAsia="宋体" w:cs="宋体"/>
          <w:szCs w:val="21"/>
        </w:rPr>
      </w:pPr>
      <w:r>
        <w:rPr>
          <w:rFonts w:ascii="宋体" w:hAnsi="宋体" w:eastAsia="宋体" w:cs="宋体"/>
          <w:szCs w:val="21"/>
        </w:rPr>
        <w:t>人的问题和科学问题是当代资产阶级哲学的两大主题，两大主题分别形成人本主义哲学和科学主义哲学。这两种哲学思想在欧美马克思主义经济思想中得到了充分的体现，其原因主要是对社会主义和资本主义的现实不满，这就使其很自然想到马克思主义经济思想有不足之处，需要“补充”和“发展”,以适应资本主义国家的现实条件，这样欧美马克思主义经济思想中自然就包含着“人道主义”和“科学主义”的印记。</w:t>
      </w:r>
    </w:p>
    <w:p w14:paraId="562140CE">
      <w:pPr>
        <w:spacing w:line="400" w:lineRule="exact"/>
        <w:ind w:firstLine="440" w:firstLineChars="200"/>
        <w:rPr>
          <w:rFonts w:ascii="宋体" w:hAnsi="宋体" w:eastAsia="宋体" w:cs="宋体"/>
          <w:szCs w:val="21"/>
        </w:rPr>
      </w:pPr>
      <w:r>
        <w:rPr>
          <w:rFonts w:ascii="宋体" w:hAnsi="宋体" w:eastAsia="宋体" w:cs="宋体"/>
          <w:szCs w:val="21"/>
        </w:rPr>
        <w:t>欧美马克思主义经济思想以马克思的经济思想为理论基石，同时又受到“人道主义”和“科学主义”哲学的重大影响，因此其研究方法也在不同程度上受到了“人道主义”和“科学主义”哲学的方法论的影响。</w:t>
      </w:r>
    </w:p>
    <w:p w14:paraId="57D45D25">
      <w:pPr>
        <w:spacing w:line="400" w:lineRule="exact"/>
        <w:ind w:firstLine="440" w:firstLineChars="200"/>
        <w:rPr>
          <w:rFonts w:ascii="宋体" w:hAnsi="宋体" w:eastAsia="宋体" w:cs="宋体"/>
          <w:szCs w:val="21"/>
        </w:rPr>
      </w:pPr>
      <w:r>
        <w:rPr>
          <w:rFonts w:ascii="宋体" w:hAnsi="宋体" w:eastAsia="宋体" w:cs="宋体"/>
          <w:szCs w:val="21"/>
        </w:rPr>
        <w:t>欧美马克思主义经济学家在受到这些影响的同时，也继承了马克思主义经济思想的基本研究方法，如“正统的”的马克思主义经济学家和“新"马克思主义经济学家。前者在理论研究和学术探讨中，他们自视能坚持马克思的唯物史观和剩余价值理论，能坚信资本主义必然灭亡和社会主义必然胜利的历史发展趋势，能在遵循马克思主义经济学基本原理和研究方法的前提下研究和探讨问题。如多布(M.Dobb)、曼德尔(E.Man-del)和意大利的内格里(AntonioNegri)等，就是这一类型中的较有代表性的学者。</w:t>
      </w:r>
    </w:p>
    <w:p w14:paraId="6E16D3AA">
      <w:pPr>
        <w:spacing w:line="400" w:lineRule="exact"/>
        <w:ind w:firstLine="440" w:firstLineChars="200"/>
        <w:rPr>
          <w:rFonts w:ascii="宋体" w:hAnsi="宋体" w:eastAsia="宋体" w:cs="宋体"/>
          <w:szCs w:val="21"/>
        </w:rPr>
      </w:pPr>
      <w:r>
        <w:rPr>
          <w:rFonts w:ascii="宋体" w:hAnsi="宋体" w:eastAsia="宋体" w:cs="宋体"/>
          <w:szCs w:val="21"/>
        </w:rPr>
        <w:t>后者除了能够坚持运用马克思主义经济学原理分析、研究当代资本主义和社会主义经济关系以外，在研究方法上，主张马克思经济学的“传统”,同时也强调对马克思经济学进行“重新研究”和“重新塑造”。他们试图在对当代资本主义社会经济关系的研究中倡导马克思主义必须对世界作出重新解释，并在这一重新解释中，批判它过去已经提出的旧的解释。</w:t>
      </w:r>
      <w:r>
        <w:rPr>
          <w:rStyle w:val="20"/>
          <w:rFonts w:hint="default" w:ascii="宋体" w:hAnsi="宋体" w:eastAsia="宋体" w:cs="宋体"/>
          <w:szCs w:val="21"/>
        </w:rPr>
        <w:footnoteReference w:id="229"/>
      </w:r>
      <w:r>
        <w:rPr>
          <w:rFonts w:ascii="宋体" w:hAnsi="宋体" w:eastAsia="宋体" w:cs="宋体"/>
          <w:szCs w:val="21"/>
        </w:rPr>
        <w:t>在这一类型的学者中，最有影响的是美国的巴兰(PaulA.Baran)和斯威齐。</w:t>
      </w:r>
    </w:p>
    <w:p w14:paraId="74631BBA">
      <w:pPr>
        <w:spacing w:line="400" w:lineRule="exact"/>
        <w:ind w:firstLine="440" w:firstLineChars="200"/>
        <w:rPr>
          <w:rFonts w:ascii="宋体" w:hAnsi="宋体" w:eastAsia="宋体" w:cs="宋体"/>
          <w:szCs w:val="21"/>
        </w:rPr>
      </w:pPr>
      <w:r>
        <w:rPr>
          <w:rFonts w:ascii="宋体" w:hAnsi="宋体" w:eastAsia="宋体" w:cs="宋体"/>
          <w:szCs w:val="21"/>
        </w:rPr>
        <w:t>欧美马克思主义经济思想身处西方主流经济学的包围之中，因此，在研究方法上也借鉴了西方主流经济学的研究方法。如个人主义、实证主义、工具主义和心理分析、数理分析方法，这在分析马克思主义和数理学派中表现最为明显。</w:t>
      </w:r>
    </w:p>
    <w:p w14:paraId="762516F5">
      <w:pPr>
        <w:spacing w:line="400" w:lineRule="exact"/>
        <w:ind w:firstLine="440" w:firstLineChars="200"/>
        <w:rPr>
          <w:rFonts w:ascii="宋体" w:hAnsi="宋体" w:eastAsia="宋体"/>
          <w:szCs w:val="21"/>
        </w:rPr>
      </w:pPr>
    </w:p>
    <w:p w14:paraId="1877E66D">
      <w:pPr>
        <w:spacing w:line="400" w:lineRule="exact"/>
        <w:ind w:firstLine="500" w:firstLineChars="200"/>
        <w:jc w:val="center"/>
        <w:rPr>
          <w:rFonts w:ascii="宋体" w:hAnsi="宋体" w:eastAsia="宋体" w:cs="黑体"/>
          <w:sz w:val="24"/>
          <w14:textOutline w14:w="4902" w14:cap="flat" w14:cmpd="sng" w14:algn="ctr">
            <w14:solidFill>
              <w14:srgbClr w14:val="000000"/>
            </w14:solidFill>
            <w14:prstDash w14:val="solid"/>
            <w14:miter w14:val="0"/>
          </w14:textOutline>
        </w:rPr>
      </w:pPr>
      <w:r>
        <w:rPr>
          <w:rFonts w:ascii="宋体" w:hAnsi="宋体" w:eastAsia="宋体" w:cs="黑体"/>
          <w:sz w:val="24"/>
          <w14:textOutline w14:w="4902" w14:cap="flat" w14:cmpd="sng" w14:algn="ctr">
            <w14:solidFill>
              <w14:srgbClr w14:val="000000"/>
            </w14:solidFill>
            <w14:prstDash w14:val="solid"/>
            <w14:miter w14:val="0"/>
          </w14:textOutline>
        </w:rPr>
        <w:t>二、理论特征及基本立场</w:t>
      </w:r>
    </w:p>
    <w:p w14:paraId="767FD08C">
      <w:pPr>
        <w:spacing w:line="400" w:lineRule="exact"/>
        <w:ind w:firstLine="440" w:firstLineChars="200"/>
        <w:rPr>
          <w:rFonts w:ascii="宋体" w:hAnsi="宋体" w:eastAsia="宋体" w:cs="宋体"/>
          <w:szCs w:val="21"/>
        </w:rPr>
      </w:pPr>
      <w:r>
        <w:rPr>
          <w:rFonts w:ascii="宋体" w:hAnsi="宋体" w:eastAsia="宋体" w:cs="宋体"/>
          <w:szCs w:val="21"/>
        </w:rPr>
        <w:t>欧美马克思主义经济思想的历史年代和地区分布，为它在整个马克思主义经济思想发展中所处的地位，提供了一个初步的形态结构，它所具有的独特性，使它作为一个完整的传统而具有明确的定义和区分的界限。</w:t>
      </w:r>
    </w:p>
    <w:p w14:paraId="55F36545">
      <w:pPr>
        <w:spacing w:line="400" w:lineRule="exact"/>
        <w:ind w:firstLine="440" w:firstLineChars="200"/>
        <w:rPr>
          <w:rFonts w:ascii="宋体" w:hAnsi="宋体" w:eastAsia="宋体" w:cs="宋体"/>
          <w:szCs w:val="21"/>
        </w:rPr>
      </w:pPr>
      <w:r>
        <w:rPr>
          <w:rFonts w:ascii="宋体" w:hAnsi="宋体" w:eastAsia="宋体" w:cs="宋体"/>
          <w:szCs w:val="21"/>
        </w:rPr>
        <w:t>在第一次世界大战前，欧美的马克思主义经济学家在各自所属的领域进行活动，追求理论和实践的统一。而后欧美马克思主义经济学家转入学院著述研究，他们的经济思想更具学术性，而缺少了阶级性和革命性。他们各自代表着不同倾向的思潮和同一思潮的不同见解。但就欧美马克思主义经济思想全部理论内容来说，具有如下主要特征：</w:t>
      </w:r>
      <w:r>
        <w:rPr>
          <w:rStyle w:val="20"/>
          <w:rFonts w:hint="default" w:ascii="宋体" w:hAnsi="宋体" w:eastAsia="宋体" w:cs="宋体"/>
          <w:szCs w:val="21"/>
        </w:rPr>
        <w:footnoteReference w:id="230"/>
      </w:r>
      <w:r>
        <w:rPr>
          <w:rFonts w:ascii="宋体" w:hAnsi="宋体" w:eastAsia="宋体" w:cs="宋体"/>
          <w:szCs w:val="21"/>
        </w:rPr>
        <w:t>(1)总体性是贯穿欧美马克思主义经济思想发展的一根红线;(2)以新工人阶级作为服务对象;(3)肯定西方主流经济思想的成就，并用以“发展和改造”马克思的经济思想;(4)以“异化"论为主轴对当代资本主义经济发展进行批判。</w:t>
      </w:r>
    </w:p>
    <w:p w14:paraId="1212C334">
      <w:pPr>
        <w:spacing w:line="400" w:lineRule="exact"/>
        <w:ind w:firstLine="440" w:firstLineChars="200"/>
        <w:rPr>
          <w:rFonts w:ascii="宋体" w:hAnsi="宋体" w:eastAsia="宋体" w:cs="宋体"/>
          <w:szCs w:val="21"/>
        </w:rPr>
      </w:pPr>
      <w:r>
        <w:rPr>
          <w:rFonts w:ascii="宋体" w:hAnsi="宋体" w:eastAsia="宋体" w:cs="宋体"/>
          <w:szCs w:val="21"/>
        </w:rPr>
        <w:t>欧美马克思主义经济思想的基本立场是坚持对马克思经济思想的总体分析。</w:t>
      </w:r>
      <w:r>
        <w:rPr>
          <w:rStyle w:val="20"/>
          <w:rFonts w:hint="default" w:ascii="宋体" w:hAnsi="宋体" w:eastAsia="宋体" w:cs="宋体"/>
          <w:szCs w:val="21"/>
        </w:rPr>
        <w:footnoteReference w:id="231"/>
      </w:r>
      <w:r>
        <w:rPr>
          <w:rFonts w:ascii="宋体" w:hAnsi="宋体" w:eastAsia="宋体" w:cs="宋体"/>
          <w:szCs w:val="21"/>
        </w:rPr>
        <w:t>首先，在肯定马克思经济思想伟大成就的同时，欧美马克思主义经济学家认为，马克思经济思想和现代经济思想应该相互学习。琼·罗宾逊在《论马克思经济学》一书中指出，马克思主义经济学和传统经济学之间的根本区别是：(1)传统经济学认为资本主义制度是永恒的自然秩序的一部分，而马克思则认为应把它看作是从封建经济向社会主义经济过渡的一个中间阶段。(2)传统经济学认为社会不同阶层的利益是一致的，而马克思认为不劳动资产者和无产的劳动者在经济生活中的利益是相互冲突的。马克思经济学在危机、垄断和失业理论等方面都值得现代经济学学习。</w:t>
      </w:r>
    </w:p>
    <w:p w14:paraId="1E0DB130">
      <w:pPr>
        <w:spacing w:line="400" w:lineRule="exact"/>
        <w:ind w:firstLine="440" w:firstLineChars="200"/>
        <w:rPr>
          <w:rFonts w:ascii="宋体" w:hAnsi="宋体" w:eastAsia="宋体" w:cs="宋体"/>
          <w:szCs w:val="21"/>
        </w:rPr>
      </w:pPr>
      <w:r>
        <w:rPr>
          <w:rFonts w:ascii="宋体" w:hAnsi="宋体" w:eastAsia="宋体" w:cs="宋体"/>
          <w:szCs w:val="21"/>
        </w:rPr>
        <w:t>同时，现代经济学也能向马克思主义者提供一些东西，如，精确和完善的分析可以使马克思理论中许多模糊不清的地方变得清楚起来。另外，现代经济学提出的有效需求和就业理论，为研究资本主义运动的规律提供了新的思路和基础。琼·罗宾逊的这些观点为大多数欧美马克思主义经济学家所认可。</w:t>
      </w:r>
    </w:p>
    <w:p w14:paraId="540F47C2">
      <w:pPr>
        <w:spacing w:line="400" w:lineRule="exact"/>
        <w:ind w:firstLine="440" w:firstLineChars="200"/>
        <w:rPr>
          <w:rFonts w:ascii="宋体" w:hAnsi="宋体" w:eastAsia="宋体" w:cs="宋体"/>
          <w:szCs w:val="21"/>
        </w:rPr>
      </w:pPr>
      <w:r>
        <w:rPr>
          <w:rFonts w:ascii="宋体" w:hAnsi="宋体" w:eastAsia="宋体" w:cs="宋体"/>
          <w:szCs w:val="21"/>
        </w:rPr>
        <w:t>其次，马克思经济思想必须改写以适应现实社会情况。罗默在《马克思经济理论的分析基础》一书中指出，马克思经济理论必须改写以适应社会的现实情况。他说：许多人只从产品生产的角度来论述马克思经济学，只用各部门利润率平均化后产品的价格向量来表述他的公式。这种方法的不确切性，在于没有考虑资本家和工人的消费行为。马克思经济理论必须去建立一个新的基础，因为马克思只是提出了原则，而无精细的说明。</w:t>
      </w:r>
    </w:p>
    <w:p w14:paraId="5CF65834">
      <w:pPr>
        <w:spacing w:line="400" w:lineRule="exact"/>
        <w:ind w:firstLine="440" w:firstLineChars="200"/>
        <w:rPr>
          <w:rFonts w:ascii="宋体" w:hAnsi="宋体" w:eastAsia="宋体" w:cs="宋体"/>
          <w:szCs w:val="21"/>
        </w:rPr>
      </w:pPr>
      <w:r>
        <w:rPr>
          <w:rFonts w:ascii="宋体" w:hAnsi="宋体" w:eastAsia="宋体" w:cs="宋体"/>
          <w:szCs w:val="21"/>
        </w:rPr>
        <w:t>最后，要坚持和发展马克思经济思想的研究方法。欧美马克思主义经济学家普遍认为，马克思的研究方法，包括演绎、本质论、辩证法等方法必须坚持，但不能绝对化。社会科学和自然科学都是在一些假定条件下去揭示某种趋势，而不是去谈决定的规律，但是，自然科学相对而言容易确定某种条件的影响程度，甚至能做到量化，而社会科学却难以确定，至多也只能进行质的分析。在许多影响都无法确定的情况下，社会科学所揭示的事物变化总趋势也是不确定的，更不用认识这一变化的程度。</w:t>
      </w:r>
    </w:p>
    <w:p w14:paraId="0A20AB4B">
      <w:pPr>
        <w:spacing w:line="400" w:lineRule="exact"/>
        <w:ind w:firstLine="500" w:firstLineChars="200"/>
        <w:jc w:val="center"/>
        <w:rPr>
          <w:rFonts w:ascii="宋体" w:hAnsi="宋体" w:eastAsia="宋体" w:cs="黑体"/>
          <w:sz w:val="24"/>
          <w14:textOutline w14:w="4902" w14:cap="flat" w14:cmpd="sng" w14:algn="ctr">
            <w14:solidFill>
              <w14:srgbClr w14:val="000000"/>
            </w14:solidFill>
            <w14:prstDash w14:val="solid"/>
            <w14:miter w14:val="0"/>
          </w14:textOutline>
        </w:rPr>
      </w:pPr>
      <w:r>
        <w:rPr>
          <w:rFonts w:ascii="宋体" w:hAnsi="宋体" w:eastAsia="宋体" w:cs="黑体"/>
          <w:sz w:val="24"/>
          <w14:textOutline w14:w="4902" w14:cap="flat" w14:cmpd="sng" w14:algn="ctr">
            <w14:solidFill>
              <w14:srgbClr w14:val="000000"/>
            </w14:solidFill>
            <w14:prstDash w14:val="solid"/>
            <w14:miter w14:val="0"/>
          </w14:textOutline>
        </w:rPr>
        <w:t>三、欧美马克思主义经济思想发展轨迹</w:t>
      </w:r>
    </w:p>
    <w:p w14:paraId="2B64EED6">
      <w:pPr>
        <w:spacing w:line="400" w:lineRule="exact"/>
        <w:ind w:firstLine="440" w:firstLineChars="200"/>
        <w:rPr>
          <w:rFonts w:ascii="宋体" w:hAnsi="宋体" w:eastAsia="宋体" w:cs="宋体"/>
          <w:szCs w:val="21"/>
        </w:rPr>
      </w:pPr>
      <w:r>
        <w:rPr>
          <w:rFonts w:ascii="宋体" w:hAnsi="宋体" w:eastAsia="宋体" w:cs="宋体"/>
          <w:szCs w:val="21"/>
        </w:rPr>
        <w:t>总的说来，在 1883年马克思去世以后的一百多年里，欧美马克思主义经济思想传 播广泛，但发展曲折。</w:t>
      </w:r>
    </w:p>
    <w:p w14:paraId="3FB8B0A4">
      <w:pPr>
        <w:spacing w:line="400" w:lineRule="exact"/>
        <w:ind w:firstLine="440" w:firstLineChars="200"/>
        <w:rPr>
          <w:rFonts w:ascii="宋体" w:hAnsi="宋体" w:eastAsia="宋体" w:cs="宋体"/>
          <w:szCs w:val="21"/>
        </w:rPr>
      </w:pPr>
      <w:r>
        <w:rPr>
          <w:rFonts w:ascii="宋体" w:hAnsi="宋体" w:eastAsia="宋体" w:cs="宋体"/>
          <w:szCs w:val="21"/>
        </w:rPr>
        <w:t>20世纪20年代马克思主义经济思想开始在西欧“复兴”。当时，在西欧马克思主义 经济思想领域中，除了一些“老”马克思主义者，如希法亭、考茨基和鲍威尔(Otto Bauer) 等人偶有著述外，还出现了一些年轻的有影响的马克思主义经济学家，如格罗斯曼</w:t>
      </w:r>
      <w:r>
        <w:rPr>
          <w:rFonts w:ascii="宋体" w:hAnsi="宋体" w:eastAsia="宋体" w:cs="Times New Roman"/>
          <w:szCs w:val="21"/>
        </w:rPr>
        <w:t>(H.Grossman)</w:t>
      </w:r>
      <w:r>
        <w:rPr>
          <w:rFonts w:ascii="宋体" w:hAnsi="宋体" w:eastAsia="宋体" w:cs="宋体"/>
          <w:szCs w:val="21"/>
        </w:rPr>
        <w:t>、多布和莫斯科斯卡</w:t>
      </w:r>
      <w:r>
        <w:rPr>
          <w:rFonts w:ascii="宋体" w:hAnsi="宋体" w:eastAsia="宋体" w:cs="Times New Roman"/>
          <w:szCs w:val="21"/>
        </w:rPr>
        <w:t>(Natalie Moszkowska)</w:t>
      </w:r>
      <w:r>
        <w:rPr>
          <w:rFonts w:ascii="宋体" w:hAnsi="宋体" w:eastAsia="宋体" w:cs="宋体"/>
          <w:szCs w:val="21"/>
        </w:rPr>
        <w:t>等。这些后起的马克思主义 经济学家着力于“复兴”马克思主义经济学的“传统”,并试图用马克思主义经济学的理 论和方法重新考察、分析资本主义经济关系发展的新情况、新特征，探讨社会主义经济发展的新理论。</w:t>
      </w:r>
    </w:p>
    <w:p w14:paraId="10F4A809">
      <w:pPr>
        <w:spacing w:line="400" w:lineRule="exact"/>
        <w:ind w:firstLine="440" w:firstLineChars="200"/>
        <w:rPr>
          <w:rFonts w:ascii="宋体" w:hAnsi="宋体" w:eastAsia="宋体" w:cs="宋体"/>
          <w:szCs w:val="21"/>
        </w:rPr>
      </w:pPr>
      <w:r>
        <w:rPr>
          <w:rFonts w:ascii="宋体" w:hAnsi="宋体" w:eastAsia="宋体" w:cs="宋体"/>
          <w:szCs w:val="21"/>
        </w:rPr>
        <w:t>从20 世纪20 年代末到30 年代中后期，马克思主义经济学在西欧的“复兴”主要表 现在三个重要的论题上：一是由“大萧条”引发的关于资本主义危机理论的探讨。二是 关于马克思主义经济学的基本原理，特别是关于劳动价值论和剩余价值论的研究。三 是关于社会主义经济计算问题的争论。</w:t>
      </w:r>
    </w:p>
    <w:p w14:paraId="6B87410F">
      <w:pPr>
        <w:spacing w:line="400" w:lineRule="exact"/>
        <w:ind w:firstLine="440" w:firstLineChars="200"/>
        <w:rPr>
          <w:rFonts w:ascii="宋体" w:hAnsi="宋体" w:eastAsia="宋体" w:cs="宋体"/>
          <w:szCs w:val="21"/>
        </w:rPr>
      </w:pPr>
      <w:r>
        <w:rPr>
          <w:rFonts w:ascii="宋体" w:hAnsi="宋体" w:eastAsia="宋体" w:cs="宋体"/>
          <w:szCs w:val="21"/>
        </w:rPr>
        <w:t>斯威齐的《资本主义发展论》是反映第二次世界大战时期马克思主义经济思想在欧 美发展特点的代表作。这部著作促进了马克思经济思想在美国的传播，也引发了欧美 马克思主义经济学家关于价值问题、利润率下降规律和经济危机等问题的激烈争论。第二次世界大战之后，罗宾逊(J.Robinson)、米克等人试图“沟通”马克思主义经济思想 与凯恩斯经济学之间的“联系”。欧美马克思主义经济思想发展的这一取向，与当时以 苏联为代表的“正统”马克思主义经济学派是有显著的区别的。同时，西方主流经济学 和西方政治势力的种种阻挠并没能中止马克思主义经济思想在欧美的传播和发展。多 布、斯威齐和巴兰等人仍然活跃在欧美马克思主义经济思想界。</w:t>
      </w:r>
    </w:p>
    <w:p w14:paraId="5B646506">
      <w:pPr>
        <w:spacing w:line="400" w:lineRule="exact"/>
        <w:ind w:firstLine="440" w:firstLineChars="200"/>
        <w:rPr>
          <w:rFonts w:ascii="宋体" w:hAnsi="宋体" w:eastAsia="宋体" w:cs="宋体"/>
          <w:szCs w:val="21"/>
        </w:rPr>
      </w:pPr>
      <w:r>
        <w:rPr>
          <w:rFonts w:ascii="宋体" w:hAnsi="宋体" w:eastAsia="宋体" w:cs="宋体"/>
          <w:szCs w:val="21"/>
        </w:rPr>
        <w:t>20世纪60年代中期，马克思主义经济思想在西方再度“复兴”,其显著特点就是拓 展了马克思主义经济思想研究的视野。欧美马克思主义经济学家对马克思主义经济思 想的基本原理进行了深入的研究，同时，还密切结合当时资本主义经济关系发展的实际 情况，对当代资本主义经济的理论与实际作出了新的阐释，这一时期代表性的理论有： 巴兰和斯威齐的“垄断资本”理论、奥康纳的“国家的财政危机”的理论、博卡拉的国家垄 断资本主义理论、法因(Ben Fine)的资本主义生产方式“转化”性质的理论、曼德尔提出 的“晚期资本主义”的理论等。</w:t>
      </w:r>
    </w:p>
    <w:p w14:paraId="082565A2">
      <w:pPr>
        <w:spacing w:line="400" w:lineRule="exact"/>
        <w:ind w:firstLine="440" w:firstLineChars="200"/>
        <w:rPr>
          <w:rFonts w:ascii="宋体" w:hAnsi="宋体" w:eastAsia="宋体" w:cs="宋体"/>
          <w:szCs w:val="21"/>
        </w:rPr>
      </w:pPr>
      <w:r>
        <w:rPr>
          <w:rFonts w:ascii="宋体" w:hAnsi="宋体" w:eastAsia="宋体" w:cs="宋体"/>
          <w:szCs w:val="21"/>
        </w:rPr>
        <w:t>这一时期，马克思主义经济思想在欧美的“复兴”,还突出地表现在开辟了马克思主 义关于不发达政治经济学这个新的理论研究领域，如巴兰、弗兰克、伊曼纽尔和沃勒斯 坦都是其代表人物。</w:t>
      </w:r>
    </w:p>
    <w:p w14:paraId="36058B82">
      <w:pPr>
        <w:spacing w:line="400" w:lineRule="exact"/>
        <w:ind w:firstLine="440" w:firstLineChars="200"/>
        <w:rPr>
          <w:rFonts w:ascii="宋体" w:hAnsi="宋体" w:eastAsia="宋体" w:cs="宋体"/>
          <w:szCs w:val="21"/>
        </w:rPr>
      </w:pPr>
      <w:r>
        <w:rPr>
          <w:rFonts w:ascii="宋体" w:hAnsi="宋体" w:eastAsia="宋体" w:cs="宋体"/>
          <w:szCs w:val="21"/>
        </w:rPr>
        <w:t>源于20 世纪70年代，在80 年代获得迅速发展的分析马克思主义在这一时期也颇 为引人注目，该学派为了使马克思的理论成为既是科学的又是革命的理论，从命题分析 和方法论等多种角度对马克思的理论进行了重构。</w:t>
      </w:r>
    </w:p>
    <w:p w14:paraId="5D88E4A7">
      <w:pPr>
        <w:spacing w:line="400" w:lineRule="exact"/>
        <w:ind w:firstLine="440" w:firstLineChars="200"/>
        <w:rPr>
          <w:rFonts w:ascii="宋体" w:hAnsi="宋体" w:eastAsia="宋体" w:cs="宋体"/>
          <w:szCs w:val="21"/>
        </w:rPr>
      </w:pPr>
      <w:r>
        <w:rPr>
          <w:rFonts w:ascii="宋体" w:hAnsi="宋体" w:eastAsia="宋体" w:cs="宋体"/>
          <w:szCs w:val="21"/>
        </w:rPr>
        <w:t>值得注意的是，60年代中期以后，欧美许多马克思主义经济学家对马克思主义经济 思想的研究，大大超出了“社会生产关系”这一政治经济学的特定的理论研究范围。这 种理论倾向也有可能模糊马克思主义经济思想的特定研究对象，从而有可能阻碍马克 思主义经济思想的进一步发展。</w:t>
      </w:r>
    </w:p>
    <w:p w14:paraId="7EEC8703">
      <w:pPr>
        <w:spacing w:line="400" w:lineRule="exact"/>
        <w:ind w:firstLine="440" w:firstLineChars="200"/>
        <w:rPr>
          <w:rFonts w:ascii="宋体" w:hAnsi="宋体" w:eastAsia="宋体" w:cs="宋体"/>
          <w:szCs w:val="21"/>
        </w:rPr>
      </w:pPr>
      <w:r>
        <w:rPr>
          <w:rFonts w:ascii="宋体" w:hAnsi="宋体" w:eastAsia="宋体" w:cs="宋体"/>
          <w:szCs w:val="21"/>
        </w:rPr>
        <w:t>苏联和东欧剧变以后，欧美马克思主义经济学家在马克思主义经济思想基本范畴 方面的研究继续取得了一些进展，但是加强了对马克思主义经济思想的反思。这主要 表现在加强了对社会主义经济运行的研究，市场社会主义模式问题再次引起了激烈的 争论，在这一问题的研究方面，诺夫</w:t>
      </w:r>
      <w:r>
        <w:rPr>
          <w:rFonts w:ascii="宋体" w:hAnsi="宋体" w:eastAsia="宋体" w:cs="Times New Roman"/>
          <w:szCs w:val="21"/>
        </w:rPr>
        <w:t>(Alec Nove)</w:t>
      </w:r>
      <w:r>
        <w:rPr>
          <w:rFonts w:ascii="宋体" w:hAnsi="宋体" w:eastAsia="宋体" w:cs="宋体"/>
          <w:szCs w:val="21"/>
        </w:rPr>
        <w:t>、罗默、扬克</w:t>
      </w:r>
      <w:r>
        <w:rPr>
          <w:rFonts w:ascii="宋体" w:hAnsi="宋体" w:eastAsia="宋体" w:cs="Times New Roman"/>
          <w:szCs w:val="21"/>
        </w:rPr>
        <w:t>(James A.Yuncker)</w:t>
      </w:r>
      <w:r>
        <w:rPr>
          <w:rFonts w:ascii="宋体" w:hAnsi="宋体" w:eastAsia="宋体" w:cs="宋体"/>
          <w:szCs w:val="21"/>
        </w:rPr>
        <w:t>、米勒 (D.Miller)和韦斯科普夫(T.Weisskopf)等人分别提出了自己的见解。</w:t>
      </w:r>
    </w:p>
    <w:p w14:paraId="711EEC19">
      <w:pPr>
        <w:spacing w:line="400" w:lineRule="exact"/>
        <w:ind w:firstLine="440" w:firstLineChars="200"/>
        <w:rPr>
          <w:rFonts w:ascii="宋体" w:hAnsi="宋体" w:eastAsia="宋体" w:cs="宋体"/>
          <w:szCs w:val="21"/>
        </w:rPr>
      </w:pPr>
      <w:r>
        <w:rPr>
          <w:rFonts w:ascii="宋体" w:hAnsi="宋体" w:eastAsia="宋体" w:cs="宋体"/>
          <w:szCs w:val="21"/>
        </w:rPr>
        <w:t xml:space="preserve">这一时期，欧美马克思主义经济学家也加强了对资本主义自身问题的研究，特别是 资本主义经济发展在当代出现的一些新问题和资本主义的走向问题得到了系统的阐述 和深入的研究。前者如沃尔夫(Richard D.Wolff)论“新经济”、哈贝马斯、巴奎(K.H. </w:t>
      </w:r>
      <w:r>
        <w:rPr>
          <w:rFonts w:ascii="宋体" w:hAnsi="宋体" w:eastAsia="宋体" w:cs="Times New Roman"/>
          <w:szCs w:val="21"/>
        </w:rPr>
        <w:t>Bagui)</w:t>
      </w:r>
      <w:r>
        <w:rPr>
          <w:rFonts w:ascii="宋体" w:hAnsi="宋体" w:eastAsia="宋体" w:cs="宋体"/>
          <w:szCs w:val="21"/>
        </w:rPr>
        <w:t>和赫尔曼</w:t>
      </w:r>
      <w:r>
        <w:rPr>
          <w:rFonts w:ascii="宋体" w:hAnsi="宋体" w:eastAsia="宋体" w:cs="Times New Roman"/>
          <w:szCs w:val="21"/>
        </w:rPr>
        <w:t>(E.S.Herman)</w:t>
      </w:r>
      <w:r>
        <w:rPr>
          <w:rFonts w:ascii="宋体" w:hAnsi="宋体" w:eastAsia="宋体" w:cs="宋体"/>
          <w:szCs w:val="21"/>
        </w:rPr>
        <w:t>论经济全球化、德罗奈</w:t>
      </w:r>
      <w:r>
        <w:rPr>
          <w:rFonts w:ascii="宋体" w:hAnsi="宋体" w:eastAsia="宋体" w:cs="Times New Roman"/>
          <w:szCs w:val="21"/>
        </w:rPr>
        <w:t>(Jean-Claude Delaunay)</w:t>
      </w:r>
      <w:r>
        <w:rPr>
          <w:rFonts w:ascii="宋体" w:hAnsi="宋体" w:eastAsia="宋体" w:cs="宋体"/>
          <w:szCs w:val="21"/>
        </w:rPr>
        <w:t>论金融 垄断资本主义和马尔 · 阿尔特发特论资本主义劳动关系的新变化等;后者具有代表性的如沃勒斯坦和奥尔曼</w:t>
      </w:r>
      <w:r>
        <w:rPr>
          <w:rFonts w:ascii="宋体" w:hAnsi="宋体" w:eastAsia="宋体" w:cs="Times New Roman"/>
          <w:szCs w:val="21"/>
        </w:rPr>
        <w:t>(B.Ollman)</w:t>
      </w:r>
      <w:r>
        <w:rPr>
          <w:rFonts w:ascii="宋体" w:hAnsi="宋体" w:eastAsia="宋体" w:cs="宋体"/>
          <w:szCs w:val="21"/>
        </w:rPr>
        <w:t>的</w:t>
      </w:r>
      <w:r>
        <w:rPr>
          <w:rFonts w:ascii="宋体" w:hAnsi="宋体" w:eastAsia="宋体" w:cs="Times New Roman"/>
          <w:szCs w:val="21"/>
        </w:rPr>
        <w:t>“</w:t>
      </w:r>
      <w:r>
        <w:rPr>
          <w:rFonts w:ascii="宋体" w:hAnsi="宋体" w:eastAsia="宋体" w:cs="宋体"/>
          <w:szCs w:val="21"/>
        </w:rPr>
        <w:t>崩溃</w:t>
      </w:r>
      <w:r>
        <w:rPr>
          <w:rFonts w:ascii="宋体" w:hAnsi="宋体" w:eastAsia="宋体" w:cs="Times New Roman"/>
          <w:szCs w:val="21"/>
        </w:rPr>
        <w:t>”</w:t>
      </w:r>
      <w:r>
        <w:rPr>
          <w:rFonts w:ascii="宋体" w:hAnsi="宋体" w:eastAsia="宋体" w:cs="宋体"/>
          <w:szCs w:val="21"/>
        </w:rPr>
        <w:t>论、施韦卡特</w:t>
      </w:r>
      <w:r>
        <w:rPr>
          <w:rFonts w:ascii="宋体" w:hAnsi="宋体" w:eastAsia="宋体" w:cs="Times New Roman"/>
          <w:szCs w:val="21"/>
        </w:rPr>
        <w:t>(David Schweickart)“</w:t>
      </w:r>
      <w:r>
        <w:rPr>
          <w:rFonts w:ascii="宋体" w:hAnsi="宋体" w:eastAsia="宋体" w:cs="宋体"/>
          <w:szCs w:val="21"/>
        </w:rPr>
        <w:t>经济民 主”的市场社会主义、迪德里奇(Heinz Dieterich)“新的历史蓝图”,以及罗默和巴德汉的 “新市场社会主义”等。</w:t>
      </w:r>
    </w:p>
    <w:p w14:paraId="45A2EF0C">
      <w:pPr>
        <w:spacing w:line="400" w:lineRule="exact"/>
        <w:ind w:firstLine="500" w:firstLineChars="200"/>
        <w:jc w:val="center"/>
        <w:rPr>
          <w:rFonts w:ascii="宋体" w:hAnsi="宋体" w:eastAsia="宋体" w:cs="黑体"/>
          <w:sz w:val="24"/>
          <w14:textOutline w14:w="4902" w14:cap="flat" w14:cmpd="sng" w14:algn="ctr">
            <w14:solidFill>
              <w14:srgbClr w14:val="000000"/>
            </w14:solidFill>
            <w14:prstDash w14:val="solid"/>
            <w14:miter w14:val="0"/>
          </w14:textOutline>
        </w:rPr>
      </w:pPr>
      <w:r>
        <w:rPr>
          <w:rFonts w:ascii="宋体" w:hAnsi="宋体" w:eastAsia="宋体" w:cs="黑体"/>
          <w:sz w:val="24"/>
          <w14:textOutline w14:w="4902" w14:cap="flat" w14:cmpd="sng" w14:algn="ctr">
            <w14:solidFill>
              <w14:srgbClr w14:val="000000"/>
            </w14:solidFill>
            <w14:prstDash w14:val="solid"/>
            <w14:miter w14:val="0"/>
          </w14:textOutline>
        </w:rPr>
        <w:t>四、欧美马克思主义经济思想流派</w:t>
      </w:r>
    </w:p>
    <w:p w14:paraId="4F286650">
      <w:pPr>
        <w:spacing w:line="400" w:lineRule="exact"/>
        <w:ind w:firstLine="440" w:firstLineChars="200"/>
        <w:rPr>
          <w:rFonts w:ascii="宋体" w:hAnsi="宋体" w:eastAsia="宋体" w:cs="宋体"/>
          <w:szCs w:val="21"/>
        </w:rPr>
      </w:pPr>
      <w:r>
        <w:rPr>
          <w:rFonts w:ascii="宋体" w:hAnsi="宋体" w:eastAsia="宋体" w:cs="宋体"/>
          <w:szCs w:val="21"/>
        </w:rPr>
        <w:t>欧美马克思主义经济思想在其发展过程中，由于国情不同、代表的阶层不同，也有个人差异等因素，形成了包括第二国际、欧洲共产主义在内的不同学派。代表性的欧美马克思主义经济思想流派主要包括：</w:t>
      </w:r>
    </w:p>
    <w:p w14:paraId="1CBF3888">
      <w:pPr>
        <w:spacing w:line="400" w:lineRule="exact"/>
        <w:ind w:firstLine="440" w:firstLineChars="200"/>
        <w:rPr>
          <w:rFonts w:ascii="宋体" w:hAnsi="宋体" w:eastAsia="宋体" w:cs="宋体"/>
          <w:szCs w:val="21"/>
        </w:rPr>
      </w:pPr>
      <w:r>
        <w:rPr>
          <w:rFonts w:ascii="宋体" w:hAnsi="宋体" w:eastAsia="宋体" w:cs="宋体"/>
          <w:szCs w:val="21"/>
        </w:rPr>
        <w:t>1.美国垄断资本学派</w:t>
      </w:r>
    </w:p>
    <w:p w14:paraId="4EB849D0">
      <w:pPr>
        <w:spacing w:line="400" w:lineRule="exact"/>
        <w:ind w:firstLine="440" w:firstLineChars="200"/>
        <w:rPr>
          <w:rFonts w:ascii="宋体" w:hAnsi="宋体" w:eastAsia="宋体" w:cs="宋体"/>
          <w:szCs w:val="21"/>
        </w:rPr>
      </w:pPr>
      <w:r>
        <w:rPr>
          <w:rFonts w:ascii="宋体" w:hAnsi="宋体" w:eastAsia="宋体" w:cs="宋体"/>
          <w:szCs w:val="21"/>
        </w:rPr>
        <w:t>美国垄断资本学派的代表人物是斯威齐和巴兰，其派代表作是《资本主义发展论》和《垄断资本》。斯威齐和巴兰从《资本论》出发，试图根据资本主义新的情况来作修正，用“经济剩余”的概念来代替剩余价值，并用所谓经济剩余增长的规律来代替利润率下降趋势的分析。他们也接受列宁对垄断资本主义的分析，试图从经济的运行上作新的论述，并把卢森堡对剩余价值实现的分析方法引进垄断资本主义经济运行的分析，由此形成其理论体系，用以剖析现代垄断资本主义。</w:t>
      </w:r>
    </w:p>
    <w:p w14:paraId="5A1B048C">
      <w:pPr>
        <w:spacing w:line="400" w:lineRule="exact"/>
        <w:ind w:firstLine="440" w:firstLineChars="200"/>
        <w:rPr>
          <w:rFonts w:ascii="宋体" w:hAnsi="宋体" w:eastAsia="宋体" w:cs="宋体"/>
          <w:szCs w:val="21"/>
        </w:rPr>
      </w:pPr>
      <w:r>
        <w:rPr>
          <w:rFonts w:ascii="宋体" w:hAnsi="宋体" w:eastAsia="宋体" w:cs="宋体"/>
          <w:szCs w:val="21"/>
        </w:rPr>
        <w:t>2.不发达政治经济学</w:t>
      </w:r>
    </w:p>
    <w:p w14:paraId="041E2F70">
      <w:pPr>
        <w:spacing w:line="400" w:lineRule="exact"/>
        <w:ind w:firstLine="440" w:firstLineChars="200"/>
        <w:rPr>
          <w:rFonts w:ascii="宋体" w:hAnsi="宋体" w:eastAsia="宋体" w:cs="宋体"/>
          <w:szCs w:val="21"/>
        </w:rPr>
      </w:pPr>
      <w:r>
        <w:rPr>
          <w:rFonts w:ascii="宋体" w:hAnsi="宋体" w:eastAsia="宋体" w:cs="宋体"/>
          <w:szCs w:val="21"/>
        </w:rPr>
        <w:t>不发达政治经济学是欧美马克思主义经济思想中的一个重要流派，也被称为“现代马克思主义的帝国主义理论”。这种流派的理论中具较大影响的有巴兰的垄断停滞理论，普雷维什、弗兰克等人的“依附论”,沃勒斯坦的“世界体系论”和伊曼纽尔和阿明的“不平等交换论”。</w:t>
      </w:r>
    </w:p>
    <w:p w14:paraId="6B932CAF">
      <w:pPr>
        <w:spacing w:line="400" w:lineRule="exact"/>
        <w:ind w:firstLine="440" w:firstLineChars="200"/>
        <w:rPr>
          <w:rFonts w:ascii="宋体" w:hAnsi="宋体" w:eastAsia="宋体" w:cs="宋体"/>
          <w:szCs w:val="21"/>
        </w:rPr>
      </w:pPr>
      <w:r>
        <w:rPr>
          <w:rFonts w:ascii="宋体" w:hAnsi="宋体" w:eastAsia="宋体" w:cs="宋体"/>
          <w:szCs w:val="21"/>
        </w:rPr>
        <w:t>不发达政治经济学作为马克思主义经济思想研究中的一个重要领域，主要结合发展中国家的经济发展现实，提出了经济文化比较落后国家在不均质、不平衡的世界体系格局之下、在经济全球化的发展趋势之下，如何发展自身经济的一系列重要理论观点。</w:t>
      </w:r>
    </w:p>
    <w:p w14:paraId="13558D05">
      <w:pPr>
        <w:spacing w:line="400" w:lineRule="exact"/>
        <w:ind w:firstLine="440" w:firstLineChars="200"/>
        <w:rPr>
          <w:rFonts w:ascii="宋体" w:hAnsi="宋体" w:eastAsia="宋体" w:cs="宋体"/>
          <w:szCs w:val="21"/>
        </w:rPr>
      </w:pPr>
      <w:r>
        <w:rPr>
          <w:rFonts w:ascii="宋体" w:hAnsi="宋体" w:eastAsia="宋体" w:cs="宋体"/>
          <w:szCs w:val="21"/>
        </w:rPr>
        <w:t>3.市场社会主义</w:t>
      </w:r>
    </w:p>
    <w:p w14:paraId="74E93C0D">
      <w:pPr>
        <w:spacing w:line="400" w:lineRule="exact"/>
        <w:ind w:firstLine="440" w:firstLineChars="200"/>
        <w:rPr>
          <w:rFonts w:ascii="宋体" w:hAnsi="宋体" w:eastAsia="宋体" w:cs="宋体"/>
        </w:rPr>
      </w:pPr>
      <w:r>
        <w:rPr>
          <w:rFonts w:ascii="宋体" w:hAnsi="宋体" w:eastAsia="宋体" w:cs="宋体"/>
          <w:szCs w:val="21"/>
        </w:rPr>
        <w:t>市场社会主义学派的观点源于20世纪30年代关于社会主义经济能否进行合理计算的论战中产生的“兰格模式”。20世纪70年代以来，大批欧美马克思主义学者对社会主义的经济结构形式的论证和分析作了评论，提出了被认为是理性的和切合实际的社会主义蓝图，并指出了它们可能实现的途径。代表性的市场社会主义模式有诺夫“可行的社会主义”、扬克的“实用的市场社会主义”、米勒的“合作制市场社会主义”和韦斯克夫的“民主自治的市场社会主义”。</w:t>
      </w:r>
    </w:p>
    <w:p w14:paraId="13299044">
      <w:pPr>
        <w:spacing w:line="400" w:lineRule="exact"/>
        <w:ind w:firstLine="440" w:firstLineChars="200"/>
        <w:rPr>
          <w:rFonts w:ascii="宋体" w:hAnsi="宋体" w:eastAsia="宋体" w:cs="宋体"/>
          <w:szCs w:val="21"/>
        </w:rPr>
      </w:pPr>
      <w:r>
        <w:rPr>
          <w:rFonts w:ascii="宋体" w:hAnsi="宋体" w:eastAsia="宋体" w:cs="宋体"/>
          <w:szCs w:val="21"/>
        </w:rPr>
        <w:t>苏联东欧剧变以来，以罗默和巴德汉为代表的新市场社会主义学派既想革新传统 社会主义经济理论，又想批判新自由主义经济理论，并在深入反思的基础上提出了种种 理论，重新建构了市场社会主义的新模式。</w:t>
      </w:r>
    </w:p>
    <w:p w14:paraId="03EECF7A">
      <w:pPr>
        <w:spacing w:line="400" w:lineRule="exact"/>
        <w:ind w:firstLine="200"/>
        <w:rPr>
          <w:rFonts w:ascii="宋体" w:hAnsi="宋体" w:eastAsia="宋体" w:cs="宋体"/>
          <w:szCs w:val="21"/>
        </w:rPr>
      </w:pPr>
      <w:r>
        <w:rPr>
          <w:rFonts w:ascii="宋体" w:hAnsi="宋体" w:eastAsia="宋体" w:cs="宋体"/>
          <w:szCs w:val="21"/>
        </w:rPr>
        <w:t>4.管理学派</w:t>
      </w:r>
    </w:p>
    <w:p w14:paraId="25FE2D4E">
      <w:pPr>
        <w:spacing w:line="400" w:lineRule="exact"/>
        <w:ind w:firstLine="440" w:firstLineChars="200"/>
        <w:rPr>
          <w:rFonts w:ascii="宋体" w:hAnsi="宋体" w:eastAsia="宋体" w:cs="宋体"/>
          <w:szCs w:val="21"/>
        </w:rPr>
      </w:pPr>
      <w:r>
        <w:rPr>
          <w:rFonts w:ascii="宋体" w:hAnsi="宋体" w:eastAsia="宋体" w:cs="宋体"/>
          <w:szCs w:val="21"/>
        </w:rPr>
        <w:t xml:space="preserve">管理学派在法国被称作调节学派，在美国被称作资本积累的社会结构理论。实际 上，调节学派和资本积累的社会结构学派两者在研究对象、基本观点和分析方法上是相 同的，但是具体的理论分析和研究方法还是稍有不同。在这里我们把这两者皆归为管 理学派。管理学派的代表人物是法国的阿格里塔(Michel Aglietta)利佩茨(Alain Lipi- </w:t>
      </w:r>
      <w:r>
        <w:rPr>
          <w:rFonts w:ascii="宋体" w:hAnsi="宋体" w:eastAsia="宋体" w:cs="Times New Roman"/>
          <w:szCs w:val="21"/>
        </w:rPr>
        <w:t>etz)</w:t>
      </w:r>
      <w:r>
        <w:rPr>
          <w:rFonts w:ascii="宋体" w:hAnsi="宋体" w:eastAsia="宋体" w:cs="宋体"/>
          <w:szCs w:val="21"/>
        </w:rPr>
        <w:t>、布瓦耶</w:t>
      </w:r>
      <w:r>
        <w:rPr>
          <w:rFonts w:ascii="宋体" w:hAnsi="宋体" w:eastAsia="宋体" w:cs="Times New Roman"/>
          <w:szCs w:val="21"/>
        </w:rPr>
        <w:t>(R.Boyer)</w:t>
      </w:r>
      <w:r>
        <w:rPr>
          <w:rFonts w:ascii="宋体" w:hAnsi="宋体" w:eastAsia="宋体" w:cs="宋体"/>
          <w:szCs w:val="21"/>
        </w:rPr>
        <w:t>和美国的戈登</w:t>
      </w:r>
      <w:r>
        <w:rPr>
          <w:rFonts w:ascii="宋体" w:hAnsi="宋体" w:eastAsia="宋体" w:cs="Times New Roman"/>
          <w:szCs w:val="21"/>
        </w:rPr>
        <w:t>(David Gordon)</w:t>
      </w:r>
      <w:r>
        <w:rPr>
          <w:rFonts w:ascii="宋体" w:hAnsi="宋体" w:eastAsia="宋体" w:cs="宋体"/>
          <w:szCs w:val="21"/>
        </w:rPr>
        <w:t>、鲍尔斯</w:t>
      </w:r>
      <w:r>
        <w:rPr>
          <w:rFonts w:ascii="宋体" w:hAnsi="宋体" w:eastAsia="宋体" w:cs="Times New Roman"/>
          <w:szCs w:val="21"/>
        </w:rPr>
        <w:t>(S.Bowles)</w:t>
      </w:r>
      <w:r>
        <w:rPr>
          <w:rFonts w:ascii="宋体" w:hAnsi="宋体" w:eastAsia="宋体" w:cs="宋体"/>
          <w:szCs w:val="21"/>
        </w:rPr>
        <w:t>。</w:t>
      </w:r>
    </w:p>
    <w:p w14:paraId="4AE49B59">
      <w:pPr>
        <w:spacing w:line="400" w:lineRule="exact"/>
        <w:ind w:firstLine="440" w:firstLineChars="200"/>
        <w:rPr>
          <w:rFonts w:ascii="宋体" w:hAnsi="宋体" w:eastAsia="宋体" w:cs="宋体"/>
          <w:szCs w:val="21"/>
        </w:rPr>
      </w:pPr>
      <w:r>
        <w:rPr>
          <w:rFonts w:ascii="宋体" w:hAnsi="宋体" w:eastAsia="宋体" w:cs="宋体"/>
          <w:szCs w:val="21"/>
        </w:rPr>
        <w:t>管理学派的核心思想是：在长期内，资本积累过程的主要特征是一整套社会制度的支撑作用的产物。管理学派把危机看作从一个阶段过渡到另一个阶段的前奏，每一个阶段在制度和积累之间有着不同的关系。尽管调节学派和资本积累的社会结构学派都认为社会主义必然代替资本主义，但他们提供的却是在资本主义内部社会改良如何进行的理论。调节学派和资本积累的社会结构理论都认为资本积累并不仅仅是经济过程。资本积累与广泛的制度联系在一起，其中不仅包括各种经济制度，也包括政治的和意识形态的各种体制。</w:t>
      </w:r>
    </w:p>
    <w:p w14:paraId="4374036A">
      <w:pPr>
        <w:spacing w:line="400" w:lineRule="exact"/>
        <w:ind w:firstLine="200"/>
        <w:rPr>
          <w:rFonts w:ascii="宋体" w:hAnsi="宋体" w:eastAsia="宋体" w:cs="宋体"/>
          <w:szCs w:val="21"/>
        </w:rPr>
      </w:pPr>
      <w:r>
        <w:rPr>
          <w:rFonts w:ascii="宋体" w:hAnsi="宋体" w:eastAsia="宋体" w:cs="宋体"/>
          <w:szCs w:val="21"/>
        </w:rPr>
        <w:t>5.分析马克思主义</w:t>
      </w:r>
    </w:p>
    <w:p w14:paraId="56EC120E">
      <w:pPr>
        <w:spacing w:line="400" w:lineRule="exact"/>
        <w:ind w:firstLine="200"/>
        <w:rPr>
          <w:rFonts w:ascii="宋体" w:hAnsi="宋体" w:eastAsia="宋体" w:cs="宋体"/>
          <w:szCs w:val="21"/>
        </w:rPr>
      </w:pPr>
      <w:r>
        <w:rPr>
          <w:rFonts w:ascii="宋体" w:hAnsi="宋体" w:eastAsia="宋体" w:cs="宋体"/>
          <w:szCs w:val="21"/>
        </w:rPr>
        <w:t xml:space="preserve">分析马克思主义既是一个哲学流派，也是一个经济思想流派，代表人物有科恩 </w:t>
      </w:r>
      <w:r>
        <w:rPr>
          <w:rFonts w:ascii="宋体" w:hAnsi="宋体" w:eastAsia="宋体" w:cs="Times New Roman"/>
          <w:szCs w:val="21"/>
        </w:rPr>
        <w:t>(Gerry A.Cohen)</w:t>
      </w:r>
      <w:r>
        <w:rPr>
          <w:rFonts w:ascii="宋体" w:hAnsi="宋体" w:eastAsia="宋体" w:cs="宋体"/>
          <w:szCs w:val="21"/>
        </w:rPr>
        <w:t>、布伦纳</w:t>
      </w:r>
      <w:r>
        <w:rPr>
          <w:rFonts w:ascii="宋体" w:hAnsi="宋体" w:eastAsia="宋体" w:cs="Times New Roman"/>
          <w:szCs w:val="21"/>
        </w:rPr>
        <w:t>(Robert Brenner)</w:t>
      </w:r>
      <w:r>
        <w:rPr>
          <w:rFonts w:ascii="宋体" w:hAnsi="宋体" w:eastAsia="宋体" w:cs="宋体"/>
          <w:szCs w:val="21"/>
        </w:rPr>
        <w:t>、艾尔斯特</w:t>
      </w:r>
      <w:r>
        <w:rPr>
          <w:rFonts w:ascii="宋体" w:hAnsi="宋体" w:eastAsia="宋体" w:cs="Times New Roman"/>
          <w:szCs w:val="21"/>
        </w:rPr>
        <w:t>(John Elster)</w:t>
      </w:r>
      <w:r>
        <w:rPr>
          <w:rFonts w:ascii="宋体" w:hAnsi="宋体" w:eastAsia="宋体" w:cs="宋体"/>
          <w:szCs w:val="21"/>
        </w:rPr>
        <w:t>和罗默。这一流派 在总体上呈现三个特征：首先，对马克思主义理论的精确和清晰显示出非同寻常的关注;第二，在对马克思的著作进行分析时，非马克思主义的概念和观点，特别是分析哲学的、建立数理模型的、现代心理学的和新古典主义经济学的概念和观点发挥了重要的作用;第三，试图以决策者的理性行为推演出马克思关于社会一经济体系的命题。因此，分析马克思主义有时也被称作理性选择马克思主义。</w:t>
      </w:r>
    </w:p>
    <w:p w14:paraId="2EF05C96">
      <w:pPr>
        <w:spacing w:line="400" w:lineRule="exact"/>
        <w:ind w:firstLine="200"/>
        <w:rPr>
          <w:rFonts w:ascii="宋体" w:hAnsi="宋体" w:eastAsia="宋体" w:cs="黑体"/>
          <w:szCs w:val="21"/>
        </w:rPr>
      </w:pPr>
      <w:r>
        <w:rPr>
          <w:rFonts w:ascii="宋体" w:hAnsi="宋体" w:eastAsia="宋体" w:cs="黑体"/>
          <w:szCs w:val="21"/>
          <w14:textOutline w14:w="3810" w14:cap="flat" w14:cmpd="sng" w14:algn="ctr">
            <w14:solidFill>
              <w14:srgbClr w14:val="000000"/>
            </w14:solidFill>
            <w14:prstDash w14:val="solid"/>
            <w14:miter w14:val="0"/>
          </w14:textOutline>
        </w:rPr>
        <w:t>参考文献</w:t>
      </w:r>
    </w:p>
    <w:p w14:paraId="067E7AEA">
      <w:pPr>
        <w:spacing w:line="400" w:lineRule="exact"/>
        <w:ind w:firstLine="200"/>
        <w:rPr>
          <w:rFonts w:ascii="宋体" w:hAnsi="宋体" w:eastAsia="宋体" w:cs="宋体"/>
          <w:szCs w:val="21"/>
        </w:rPr>
      </w:pPr>
      <w:r>
        <w:rPr>
          <w:rFonts w:ascii="宋体" w:hAnsi="宋体" w:eastAsia="宋体" w:cs="宋体"/>
          <w:szCs w:val="21"/>
        </w:rPr>
        <w:t>1.顾海良：《西方马克思主义经济学发展的主要趋向及其基本特征》,《教学与研究》1997年第12期。</w:t>
      </w:r>
    </w:p>
    <w:p w14:paraId="7EEBCF64">
      <w:pPr>
        <w:spacing w:line="400" w:lineRule="exact"/>
        <w:ind w:firstLine="200"/>
        <w:rPr>
          <w:rFonts w:ascii="宋体" w:hAnsi="宋体" w:eastAsia="宋体" w:cs="宋体"/>
          <w:szCs w:val="21"/>
        </w:rPr>
      </w:pPr>
      <w:r>
        <w:rPr>
          <w:rFonts w:ascii="宋体" w:hAnsi="宋体" w:eastAsia="宋体" w:cs="宋体"/>
          <w:szCs w:val="21"/>
          <w14:textOutline w14:w="3810" w14:cap="flat" w14:cmpd="sng" w14:algn="ctr">
            <w14:solidFill>
              <w14:srgbClr w14:val="000000"/>
            </w14:solidFill>
            <w14:prstDash w14:val="solid"/>
            <w14:miter w14:val="0"/>
          </w14:textOutline>
        </w:rPr>
        <w:t>2.霍华德</w:t>
      </w:r>
      <w:r>
        <w:rPr>
          <w:rFonts w:ascii="宋体" w:hAnsi="宋体" w:eastAsia="宋体" w:cs="宋体"/>
          <w:szCs w:val="21"/>
        </w:rPr>
        <w:t xml:space="preserve"> ·金：《马克思主义经济学史》,中央编译出版社2003年版。</w:t>
      </w:r>
    </w:p>
    <w:p w14:paraId="204274AF">
      <w:pPr>
        <w:spacing w:line="400" w:lineRule="exact"/>
        <w:ind w:firstLine="200"/>
        <w:rPr>
          <w:rFonts w:ascii="宋体" w:hAnsi="宋体" w:eastAsia="宋体" w:cs="Times New Roman"/>
          <w:szCs w:val="21"/>
        </w:rPr>
      </w:pPr>
      <w:r>
        <w:rPr>
          <w:rFonts w:ascii="宋体" w:hAnsi="宋体" w:eastAsia="宋体" w:cs="Times New Roman"/>
          <w:position w:val="3"/>
          <w:szCs w:val="21"/>
        </w:rPr>
        <w:t>3.Sweezy P.Hundred Years after Marx Monthly Review,1983(3).</w:t>
      </w:r>
    </w:p>
    <w:p w14:paraId="53089919">
      <w:pPr>
        <w:spacing w:line="400" w:lineRule="exact"/>
        <w:ind w:firstLine="200"/>
        <w:rPr>
          <w:rFonts w:ascii="宋体" w:hAnsi="宋体" w:eastAsia="宋体" w:cs="宋体"/>
        </w:rPr>
      </w:pPr>
      <w:r>
        <w:rPr>
          <w:rFonts w:ascii="宋体" w:hAnsi="宋体" w:eastAsia="宋体" w:cs="宋体"/>
          <w:szCs w:val="21"/>
        </w:rPr>
        <w:t>4.陈学明、张志孚：《当代国外马克思主义名著研究提要》中卷，重庆出版社1997年版。</w:t>
      </w:r>
      <w:r>
        <w:rPr>
          <w:rFonts w:hint="eastAsia" w:ascii="宋体" w:hAnsi="宋体" w:eastAsia="宋体" w:cs="宋体"/>
        </w:rPr>
        <w:t xml:space="preserve"> </w:t>
      </w:r>
    </w:p>
    <w:p w14:paraId="4440733B">
      <w:pPr>
        <w:spacing w:line="400" w:lineRule="exact"/>
        <w:ind w:firstLine="200"/>
        <w:rPr>
          <w:rFonts w:ascii="宋体" w:hAnsi="宋体" w:eastAsia="宋体" w:cs="Times New Roman"/>
        </w:rPr>
      </w:pPr>
      <w:r>
        <w:rPr>
          <w:rFonts w:ascii="宋体" w:hAnsi="宋体" w:eastAsia="宋体" w:cs="Times New Roman"/>
          <w:szCs w:val="21"/>
        </w:rPr>
        <w:t xml:space="preserve">5.Sweezy P.The Theory of Capitalist Development.New York: Monthly Review Press,1970. 6.Baran P A. The Political Economy of Growth.Harmondsworth: Penguin,1973.  </w:t>
      </w:r>
    </w:p>
    <w:p w14:paraId="5D5FD540">
      <w:pPr>
        <w:spacing w:line="400" w:lineRule="exact"/>
        <w:ind w:firstLine="200"/>
        <w:rPr>
          <w:rFonts w:ascii="宋体" w:hAnsi="宋体" w:eastAsia="宋体" w:cs="宋体"/>
          <w:szCs w:val="21"/>
        </w:rPr>
      </w:pPr>
      <w:r>
        <w:rPr>
          <w:rFonts w:ascii="宋体" w:hAnsi="宋体" w:eastAsia="宋体" w:cs="宋体"/>
          <w:szCs w:val="21"/>
        </w:rPr>
        <w:t>7.张宇、孟捷、卢荻：《高级政治经济学》,经济科学出版社2002年版。</w:t>
      </w:r>
    </w:p>
    <w:p w14:paraId="3D29C0DA">
      <w:pPr>
        <w:spacing w:line="400" w:lineRule="exact"/>
        <w:ind w:firstLine="200"/>
        <w:rPr>
          <w:rFonts w:ascii="宋体" w:hAnsi="宋体" w:eastAsia="宋体" w:cs="Times New Roman"/>
          <w:szCs w:val="21"/>
        </w:rPr>
      </w:pPr>
      <w:r>
        <w:rPr>
          <w:rFonts w:ascii="宋体" w:hAnsi="宋体" w:eastAsia="宋体" w:cs="Times New Roman"/>
          <w:szCs w:val="21"/>
        </w:rPr>
        <w:t>8.Roemer JE.Analytical Foundations of Marxian Economic Theory.New York: Cambridge University Press,1981.</w:t>
      </w:r>
    </w:p>
    <w:p w14:paraId="29A00F06">
      <w:pPr>
        <w:spacing w:line="400" w:lineRule="exact"/>
        <w:ind w:firstLine="200"/>
        <w:jc w:val="left"/>
        <w:rPr>
          <w:rFonts w:ascii="宋体" w:hAnsi="宋体" w:eastAsia="宋体" w:cs="宋体"/>
          <w:color w:val="000000"/>
        </w:rPr>
      </w:pPr>
      <w:r>
        <w:rPr>
          <w:rFonts w:hint="eastAsia" w:ascii="宋体" w:hAnsi="宋体" w:eastAsia="宋体" w:cs="宋体"/>
        </w:rPr>
        <w:t>（原载《当代视野下的马克思主义——上海市社会科学界第四届学术年会文集》（2006年度）（马克思主义研究学科卷）</w:t>
      </w:r>
      <w:r>
        <w:rPr>
          <w:rFonts w:hint="eastAsia" w:ascii="宋体" w:hAnsi="宋体" w:eastAsia="宋体" w:cs="宋体"/>
          <w:color w:val="000000"/>
        </w:rPr>
        <w:t>，第一作者为朱奎）</w:t>
      </w:r>
      <w:r>
        <w:rPr>
          <w:rFonts w:ascii="宋体" w:hAnsi="宋体" w:eastAsia="宋体" w:cs="宋体"/>
          <w:color w:val="000000"/>
        </w:rPr>
        <w:br w:type="page"/>
      </w:r>
    </w:p>
    <w:p w14:paraId="23DDC675">
      <w:pPr>
        <w:spacing w:line="400" w:lineRule="exact"/>
        <w:ind w:firstLine="200"/>
        <w:jc w:val="left"/>
        <w:rPr>
          <w:rFonts w:ascii="宋体" w:hAnsi="宋体" w:eastAsia="宋体" w:cs="宋体"/>
          <w:color w:val="000000"/>
          <w:szCs w:val="21"/>
        </w:rPr>
      </w:pPr>
    </w:p>
    <w:p w14:paraId="1C9951FB"/>
    <w:p w14:paraId="0D150C88">
      <w:pPr>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602" w:name="_Toc111148965"/>
      <w:bookmarkStart w:id="603" w:name="_Toc4993"/>
      <w:bookmarkStart w:id="604" w:name="_Toc1998627807"/>
      <w:bookmarkStart w:id="605" w:name="_Toc1286339993"/>
      <w:r>
        <w:rPr>
          <w:rFonts w:hint="eastAsia" w:ascii="黑体" w:hAnsi="黑体" w:eastAsia="黑体" w:cs="Times New Roman"/>
          <w:kern w:val="0"/>
          <w:sz w:val="32"/>
          <w:szCs w:val="32"/>
        </w:rPr>
        <w:t>6马学为体，西学为用:中国主流经济学的现代转型</w:t>
      </w:r>
      <w:bookmarkEnd w:id="602"/>
      <w:bookmarkEnd w:id="603"/>
      <w:bookmarkEnd w:id="604"/>
      <w:bookmarkEnd w:id="605"/>
    </w:p>
    <w:p w14:paraId="39E8948B">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一、传统政治经济学要转型为现代政治经济学</w:t>
      </w:r>
    </w:p>
    <w:p w14:paraId="70B7A72E">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从20世纪80年代中期开始，随着社会主义有计划的商品经济体制的改革和开放的深入推进，西方经济学在我国的大量引进，经济理论和经济现实发生了重要变化。</w:t>
      </w:r>
    </w:p>
    <w:p w14:paraId="4BCD7AE8">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一是多元化的理论范式存在。各种理论思潮和流派纷纷涌入中国，特别是西方新古典经济学的引入，具有不同价值信念和学科群体的理论范式的存在，使得经典的政治经济学处于激烈的范式竞争之中。</w:t>
      </w:r>
    </w:p>
    <w:p w14:paraId="7CCD607A">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二是经济学学科的细分。经济学的学科体系越来越庞大，尤其是政治经济学作为一门理论经济学已难以涵盖所有的经济学内容，这样就使政治经济学的纯粹理论色彩越来越突出。换言之，这一方面势必迫使政治经济学不得不收缩阵地，将众多的经济学领域交由部门经济学和应用经济学去研究。如生产力布局的不均衡成为区域经济学的研究对象，随着价值规律的研究的深入出现了价格学等。另一方面，政治经济学的研究对象和内容也越来越细化为各种学科，如研究所有制问题的产权经济学，研究文化领域经济问题的文化经济学，研究金融问题的金融学等。</w:t>
      </w:r>
    </w:p>
    <w:p w14:paraId="5BB41CCB">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三是政治经济学与中国改革开放实践相适应。理论必须随着实践的发展而发展，政治经济学的研究内容也应不断地密切联系中国改革开放的实践，如研究科学发展观、自主知识产权优势、经济和谐、节约规律方面的新问题等。毫无疑问，这不仅仅会提升现代政治经济学作为中国理论经济学的地位，而且还会使现代政治经济学向实践敞开了一条创新之路。</w:t>
      </w:r>
    </w:p>
    <w:p w14:paraId="4BCF182A">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传统政治经济学的地位发生了动摇，这已经是不争的事实。那么，政治经济学如何转型发展和创新?我认为，以马克思经济学为基点同现代西方经济学理论进行科学整合或综合是一个头等重要的问题。如果我们从一种更宽广的视野来观察这个问题，就会发现，现代政治经济学和现代西方经济学虽然在某些市场经济理论和分析方法上有共同的认知，但在理论假定、核心概念、主导方法和价值信念等方面却存有差异甚至对立。如现代政治经济学重视研究价值和财富的创造、实现和分配以及公有制与市场经济有机结合等问题，以便为生产关系变革、利益分配和更高效率找出科学基点和客观判断标准；相反，现代西方经济学则注重研究价格、利润的决定和变动趋势以及剩余索取权等问题，以便为寻找支配资源配置和私人资本与财富增长的规律性打下理论基点。</w:t>
      </w:r>
    </w:p>
    <w:p w14:paraId="55A80D2F">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有的论著认为，马克思经济学科学地揭示了资本主义经济本质或根本经济制度的本质，而西方经济学科学地揭示了市场经济的本质，因而从分析市场经济来说，应当“以西方经济学为体”，这是不准确的。必须认识到，即使与资产阶级古典经济学相比，也是马克思的经济学全面科学地揭示自由资本主义市场经济的发展本质、运行规律和主要机制；即使与新老凯恩斯主义的现代资产阶级经济学相比，也是后马克思的现代政治经济学较全面科学地揭示了各阶段垄断资本主义市场经济的发展本质、运行规律和主要机制，尽管马克思主义经济学和非马克思主义经济学都在继续发展和创新。</w:t>
      </w:r>
    </w:p>
    <w:p w14:paraId="206B3E9B">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此外，现代政治经济学和现代西方经济学具有不同的政治文化背景。虽然马克思经济学与西方经济学同样源于西方世界，但这两种理论范式的价值信念和阶级立场却大不相同。新古典经济学是现代西方的正统主流经济学，而马克思所创立的经典政治经济学的精神实质和价值观念则已与中国国情相结合并加以改造，业已构成一种具有中国传统文化走向现代化过程中的新型文化基调和背景。既然两者具有不同的文化背景和价值观念，那么在经济学的理论假设、价值取向和分析工具等方面的差异就变得不可避免。但这种对立性和一致性恰恰构成了经济学这门学科不断创新和综合的学术动力之一。中国政治经济学的转型，不是从传统政治经济学转向现代西方经济学，而是在科学扬弃和超越苏联经济学与现代西方经济学的基础上转向现代政治经济学，包括现代社会主义市场经济和现代资本主义市场经济的基本理论。</w:t>
      </w:r>
    </w:p>
    <w:p w14:paraId="51D21597">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二、中国主流经济学是现代马克思主义政治经济学</w:t>
      </w:r>
    </w:p>
    <w:p w14:paraId="41403DE7">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不久前，中央领导再次明确指出:“哲学社会科学的现状整体看来也处于一个关键阶段，前苏联的蓝本有很多不适应。具有中国风格、中国气派的哲学社会科学尚未形成。西方教材乘虚而入，正确的态度应是批判地接受。哲学社会科学具有鲜明的意识形态属性……中国在和平崛起，这是一个奇迹，我们有资格、有条件形成自身的哲学社会科学体系。要编写当代的马克思主义基础理论，要编写充分体现马克思主义中国化最新成果的哲学社会科学体系。”</w:t>
      </w:r>
      <w:r>
        <w:rPr>
          <w:rFonts w:ascii="宋体" w:hAnsi="宋体" w:eastAsia="宋体" w:cs="宋体"/>
          <w:szCs w:val="21"/>
          <w:vertAlign w:val="superscript"/>
        </w:rPr>
        <w:footnoteReference w:id="232"/>
      </w:r>
      <w:r>
        <w:rPr>
          <w:rFonts w:hint="eastAsia" w:ascii="宋体" w:hAnsi="宋体" w:eastAsia="宋体" w:cs="宋体"/>
          <w:szCs w:val="21"/>
        </w:rPr>
        <w:t>这一哲学社会科学发展战略的总体精神是正确的。</w:t>
      </w:r>
    </w:p>
    <w:p w14:paraId="125C1FE7">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就理论经济学来说，世界主流经济学是西方经济学，而马克思主义经济学则是非主流经济学；改革后社会主义中国的主流经济学是现代马克思主义经济学，而现代西方经济学则是非主流经济学。共产党执政的社会主义国家，是不可能将资产阶级执政党奉为主流的经济学作为本国主流经济学的。</w:t>
      </w:r>
      <w:r>
        <w:rPr>
          <w:rFonts w:ascii="宋体" w:hAnsi="宋体" w:eastAsia="宋体" w:cs="宋体"/>
          <w:szCs w:val="21"/>
          <w:vertAlign w:val="superscript"/>
        </w:rPr>
        <w:footnoteReference w:id="233"/>
      </w:r>
      <w:r>
        <w:rPr>
          <w:rFonts w:hint="eastAsia" w:ascii="宋体" w:hAnsi="宋体" w:eastAsia="宋体" w:cs="宋体"/>
          <w:szCs w:val="21"/>
        </w:rPr>
        <w:t>同西方经济学一样，马克思主义政治经济学既是学术体系，又是一种理论信仰和意识形态，应当在学术和意识形态两个相关领域都发挥指导作用。如果只赞成马克思主义经济学作为经济意识形态的指导地位，而不赞成它在经济学中的学术指导地位，则会架空马克思主义经济学。</w:t>
      </w:r>
    </w:p>
    <w:p w14:paraId="48DBADCD">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既然世界的现代经济学或现代政治经济学包括了现代马克思主义政治经济学体系和现代西方非马克思主义经济学体系，那么，要繁荣与发展中国的理论经济学，就应“继承现有成果，面对中国现实”。要有扬有弃地科学继承已有优秀成果，既包括现代中国的马克思主义政治经济学，也包括现代西方的各种经济学流派。中国的问题还要用中国的经济理论来解释，同时，中国的经济理论又要面对中国的现实来求发展。繁荣与发展理论经济学，需要创立不同的学派，马克思主义经济学内部也应形成不同的学派，这是学术繁荣的重要标志之一。从这个意义上说，必须重视和加强对西方马克思主义经济理论或左翼的经济理论的研究，必须加大翻译、借鉴国外马克思主义或左翼经济理论和分析方法，如日本和韩国的社会经济学、美国的激进政治经济学，俄罗斯的新马克思主义经济学、法国的调节学派和不少发展中国家的激进政治经济学，都各有特色和可取之处，值得深究和借鉴。</w:t>
      </w:r>
    </w:p>
    <w:p w14:paraId="2F55A3C6">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不过，要搞清各国政界马克思主义经济理论和学界马克思主义经济理论的本质联系与某种差别。日本学界马克思主义经济学有几个学派，与日本共产党的马克思主义经济理论就存在异同点(展开地说，日本的官方经济学与学界多学派的经济学就有一种互动和互补的交互关系；罗斯福新政、里根经济学和布什经济学同凯恩斯主义、新自由主义经济学也有某种选用和综合的关系，而主要不是学界经济学拥护和赞美官方经济)。理论经济学研究对象的特殊性决定了它与一定的意识形态相结合，但不能仅仅是对官方意识形态的注释和解说。同时，繁荣与发展理论经济学，需要创立不同的学派，马克思主义经济学内部同样应如此。学界的马克思主义及其经济理论必须多学派地发展。在西方资本主义发达国家“话语霸权”和学术强势的新形势下，不明智的学术和意识形态的引管和评价，是管死马克思主义多学派的发展，放活非马克思主义多元化的扩张，并视在西方发达资本主义国家主流经济学刊物上发表文章为最高学术水平，而不支持或贬低在西方马克思主义经济学刊物上发表文章。但在中国则应当坚持与之相反的方针，这是提高党的执政能力迫切需要改进的最重要措施之一。</w:t>
      </w:r>
    </w:p>
    <w:p w14:paraId="6A8D7FAD">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2000年，我在学界提出“马学为体，西学为用”，即以中外马克思主义经济学为体，现代西方经济学为用</w:t>
      </w:r>
      <w:r>
        <w:rPr>
          <w:rFonts w:ascii="宋体" w:hAnsi="宋体" w:eastAsia="宋体" w:cs="宋体"/>
          <w:szCs w:val="21"/>
          <w:vertAlign w:val="superscript"/>
        </w:rPr>
        <w:footnoteReference w:id="234"/>
      </w:r>
      <w:r>
        <w:rPr>
          <w:rFonts w:hint="eastAsia" w:ascii="宋体" w:hAnsi="宋体" w:eastAsia="宋体" w:cs="宋体"/>
          <w:szCs w:val="21"/>
        </w:rPr>
        <w:t>。去年以来，刘国光教授也使用此提法，并严肃指出:“部分传播西方`主流'经济学的人士，力求使它在中国也居于`主流'地位，取代马克思主义经济学，这种情况需要关注。”</w:t>
      </w:r>
      <w:r>
        <w:rPr>
          <w:rFonts w:ascii="宋体" w:hAnsi="宋体" w:eastAsia="宋体" w:cs="宋体"/>
          <w:szCs w:val="21"/>
          <w:vertAlign w:val="superscript"/>
        </w:rPr>
        <w:footnoteReference w:id="235"/>
      </w:r>
      <w:r>
        <w:rPr>
          <w:rFonts w:hint="eastAsia" w:ascii="宋体" w:hAnsi="宋体" w:eastAsia="宋体" w:cs="宋体"/>
          <w:szCs w:val="21"/>
        </w:rPr>
        <w:t>这与后来河南省经济学会会长、河南财经学院资深教授杨承训强调的“马学为魂，中学为体，西学为用”(马克思经济学为魂，中国特色的现代政治经济学为体，现代西方经济学为用)的观点，也非常相似</w:t>
      </w:r>
      <w:r>
        <w:rPr>
          <w:rFonts w:ascii="宋体" w:hAnsi="宋体" w:eastAsia="宋体" w:cs="宋体"/>
          <w:szCs w:val="21"/>
          <w:vertAlign w:val="superscript"/>
        </w:rPr>
        <w:footnoteReference w:id="236"/>
      </w:r>
      <w:r>
        <w:rPr>
          <w:rFonts w:hint="eastAsia" w:ascii="宋体" w:hAnsi="宋体" w:eastAsia="宋体" w:cs="宋体"/>
          <w:szCs w:val="21"/>
        </w:rPr>
        <w:t>，但与主张“西学为体，马学为用或中学为用”的观点，反差较大。北京大学已故经济学家陈岱孙教授生前为我的《西方产权理论评析》一书题词所说的“弘扬马列，锐意求新，借鉴西学，体察国情”</w:t>
      </w:r>
      <w:r>
        <w:rPr>
          <w:rFonts w:ascii="宋体" w:hAnsi="宋体" w:eastAsia="宋体" w:cs="宋体"/>
          <w:szCs w:val="21"/>
          <w:vertAlign w:val="superscript"/>
        </w:rPr>
        <w:footnoteReference w:id="237"/>
      </w:r>
      <w:r>
        <w:rPr>
          <w:rFonts w:hint="eastAsia" w:ascii="宋体" w:hAnsi="宋体" w:eastAsia="宋体" w:cs="宋体"/>
          <w:szCs w:val="21"/>
        </w:rPr>
        <w:t>，也是一个科学处理现代政治经济学与现代西方经济学关系的指向。</w:t>
      </w:r>
    </w:p>
    <w:p w14:paraId="522B1049">
      <w:pPr>
        <w:widowControl/>
        <w:spacing w:line="300" w:lineRule="auto"/>
        <w:ind w:firstLine="440" w:firstLineChars="200"/>
        <w:jc w:val="left"/>
        <w:rPr>
          <w:rFonts w:ascii="宋体" w:hAnsi="宋体" w:eastAsia="宋体" w:cs="宋体"/>
          <w:szCs w:val="21"/>
        </w:rPr>
      </w:pPr>
      <w:r>
        <w:rPr>
          <w:rFonts w:hint="eastAsia" w:ascii="宋体" w:hAnsi="宋体" w:eastAsia="宋体" w:cs="宋体"/>
          <w:szCs w:val="21"/>
        </w:rPr>
        <w:t>那么，究竟应当怎样科学地重建中国的主流经济学即现代马克思主义政治经济学，也就是说，依据什么思想方法和理论原则来创新呢?我们主张，以当代中外市场经济实践为思想源泉，以传承和创新的马克思主义经济学主要假设为基点，积极吸纳古今中外各种经济思想的合理成分，广泛借鉴相关社会科学和自然科学的可用方法，构建既超越马克思经济学范式和前苏联经济学范式，又超越西方经济学范式的新范式，即新建在世界经济大环境中反映经济全球化和中国初级社会主义市场经济独特性的经济学范式演变。</w:t>
      </w:r>
    </w:p>
    <w:p w14:paraId="1AE4BCFC">
      <w:pPr>
        <w:spacing w:before="147" w:beforeLines="50" w:after="147" w:afterLines="50" w:line="300" w:lineRule="auto"/>
        <w:ind w:firstLine="500" w:firstLineChars="200"/>
        <w:jc w:val="center"/>
        <w:rPr>
          <w:rFonts w:cs="Times New Roman" w:asciiTheme="minorEastAsia" w:hAnsiTheme="minorEastAsia"/>
          <w:b/>
          <w:sz w:val="24"/>
          <w:szCs w:val="18"/>
          <w:lang w:bidi="ar"/>
        </w:rPr>
      </w:pPr>
      <w:r>
        <w:rPr>
          <w:rFonts w:hint="eastAsia" w:cs="Times New Roman" w:asciiTheme="minorEastAsia" w:hAnsiTheme="minorEastAsia"/>
          <w:b/>
          <w:sz w:val="24"/>
          <w:szCs w:val="18"/>
          <w:lang w:bidi="ar"/>
        </w:rPr>
        <w:t>三、现代政治经济学应有四个假设和理论为基点</w:t>
      </w:r>
    </w:p>
    <w:p w14:paraId="3273A07D">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一，“资源和需求双约束假设”。从辩证思维和假定的一致性或对称性来分析，尽管西方经济学家对资源与需求相互关系的描述有相当的道理，但仍然存在明显的逻辑缺陷。这是因为，当假定资源有限时，暗含着以一定的时点和条件为前提，而假定需求或需要无限时，却并没有以一定的时点和条件为前提。把两个前提不一致或不对称的事物和概念放在一起，假定为是它们之间惟一的一对矛盾，这显然过于简单化和绝对化，缺乏完整的逻辑性和辩证性。从资源利用方面看，资源在一定条件下或在某个时点上是有限的，但它又是无限的，因为包含资源在内的整个宇宙本身是无限的，科技发展也是无限的。从需求欲望方面看，需求在一定条件下或在某个时点上也是有限的，而且在商品经济中实际的需求，还是指有货币支付能力的需求，并非指人们脱离现实生产力和货币状况的空想性需要。可见合理需要本身也是有约束和限制的。</w:t>
      </w:r>
    </w:p>
    <w:p w14:paraId="26033EB4">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因此，我们作这样的假设可能更全面和科学，即假定资源和需求都是有约束的，简称“资源和需求双约束假设”。经济学真正要掌握和处理的矛盾在于各种资源与各种需求在双方某种条件下不同的选择性组合，使资源得到最佳配置，需求得到最佳满足，这是经济学要研究和操作的任务之一。可见，无论是现代马克思主义经济学，还是现代西方经济学，均要表达资源稀缺、需求满足、选择效益和节约资源等一般经济学含义，问题在于如何科学地加以理论抽象和表述。诚然，现代西方经济学有关资源与需求的这一假定，并不涉及社会根本经济制度和阶级利益，属于技术层面和思维方法的歧见，不属于我们要重点讨论的问题。</w:t>
      </w:r>
    </w:p>
    <w:p w14:paraId="0853F1D7">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二，“新经济人假设”。马克思主义经典作家没有全面阐述经济人理论，近现代西方经济学的经济人理论又有严重错误，那么，应当用什么相对应的理论来教育干部?依据人类实践和问题导向，并受马克思主义的思想启迪，我认为必须用一种新“经济人”假说和理论来教育干部，为社会主义市场经济奠定基本假设和理论基础。其方法论是整体主义、唯物主义和现实主义的。它具体包含三个基本命题:(1)经济活动中的人有利己和利他两种倾向或性质；(2)经济活动中的人具有理性与非理性两种状态；(3)良好的制度会使经济活动中的人在增进集体利益或社会利益最大化的过程中实现合理的个人利益最大化。</w:t>
      </w:r>
    </w:p>
    <w:p w14:paraId="21E38CCF">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作为逐渐脱离一般动物界和超越动物本能的人类，具有极其丰富的情感和理智。人们并不必然单纯地表现为完全的自私性，也能表现为利他性。倘若我们摆脱单向度的思维定式，超出大小私有者的眼光去观察人类经历过的社会，便可明显地看到三种情形的利他主义(他人利益泛指除自己利益以外的别人利益、集体利益、国家利益和人类利益等):(1)愿意花费自己的时间、精力和财富，来换取某种即刻可见的他人利益；(2)愿意花费自己的时间、精力和财富，来换取某种未来的他人利益；(3)愿意花费自己的时间、精力和财富，来换取某种实际无效的他人利益，即愿为他人利益而不讲究实际效果。除了后一种属于特殊和个别的利他行为之外，前两种利他行为既存在于单位、家庭和社会等各个范围，也存在于经济、军事、文化和政治等各个领域。可见，利己与利他是“经济人”(经济主体)可能具有的两种行为特性和行为倾向。</w:t>
      </w:r>
    </w:p>
    <w:p w14:paraId="4E675EA4">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至于社会上利己和利他哪种行为特征突出或占主导地位，那就取决于社会制度和各种环境。因为人的社会本质属性决定了其利己与利他是一种社会网络中的互动行为，具有交互性的内在机理，总是与特定的社会整体大环境和群体小环境相关联。毋容置疑，是以后数千年的多种私有制支配了人类社会，才促使私有经济的活动主体逐渐驱散了利他心态，甚至见利忘义，惟利是图，损人利己</w:t>
      </w:r>
      <w:r>
        <w:rPr>
          <w:rFonts w:ascii="宋体" w:hAnsi="宋体" w:eastAsia="宋体" w:cs="宋体"/>
          <w:szCs w:val="21"/>
          <w:vertAlign w:val="superscript"/>
        </w:rPr>
        <w:footnoteReference w:id="238"/>
      </w:r>
      <w:r>
        <w:rPr>
          <w:rFonts w:hint="eastAsia" w:ascii="宋体" w:hAnsi="宋体" w:eastAsia="宋体" w:cs="宋体"/>
          <w:szCs w:val="21"/>
        </w:rPr>
        <w:t>。</w:t>
      </w:r>
    </w:p>
    <w:p w14:paraId="608761A8">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三，“新的活劳动价值一元化假设”。依据马克思关于活劳动创造为市场交换而生产的商品价值，以及纯粹为商品价值形态转换服务的流通不创造价值的科学精神，我们认为，凡是直接为市场交换而生产物质商品和精神商品，以及直接为劳动力商品的生产和再生产服务的劳动，其中包括自然人和法人实体的内部管理劳动和科技劳动，都属于创造价值的劳动或生产劳动。这一新的“活劳动价值说”，不仅没有否定马克思的核心思想和科学方法，而且恰恰是遵循了马克思研究物质生产领域价值创造的思路，并把它扩展到一切社会经济部门后所形成的必然结论。具体说来:</w:t>
      </w:r>
    </w:p>
    <w:p w14:paraId="7C696BFA">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一是生产物质商品的劳动是创造价值的生产性劳动。如为市场提供物质商品的农业、工业、建筑业、物质技术业等领域中的生产性劳动。这是马克思早已阐明的。二是从事有形和无形商品场所变更的劳动是创造价值的生产性劳动。如为市场提供货物和人员空间位移的运输劳动；提供书信、消息、电报、电话等各种信息传递的邮电劳动场所变更或信息传递就是广义交通劳动产生的效用，它们可以发生在流通领域内的特殊生产性部门。这也是马克思基本阐明的观点。三是生产有形和无形精神商品的劳动是创造价值的生产性劳动。如为市场提供精神商品的教育、社会科学、自然科学、文化技术、文学艺术、广播影视、新闻出版、图书馆、博物馆等领域中的生产性劳动，其中包括讲课、表演等无形商品或服务劳动。应当突破价值创造仅界限于物质劳动，而确认生产有形和无形精神商品的劳动同样创造价值。四是从事劳动力商品生产的服务劳动是创造价值的生产性劳动。直接涉及劳动力这一特殊商品的生产和再生产的部门，除了包括上述有关人们生活的生产性部门以外，还包括医疗、卫生、体育、美发、美容、沐浴等等。五是生产性企业私营业主的经营管理活动是创造价值的。六是劳动生产率变化，可能引起劳动复杂程度和社会必要劳动量的变化，从而引起商品价值量的变化。</w:t>
      </w:r>
    </w:p>
    <w:p w14:paraId="1A19DB5C">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四，“公平与效率交互同向假设”。公平与效率是人类社会经济生活中的一对基本矛盾。其缘由在于社会经济资源的配置效率是人类经济活动追求的目标，而经济主体在社会生产中的起点、机会、过程和结果的公平，也是人类经济活动追求的目标。经济学意义上的公平，是指有关经济活动的制度、权利、机会和结果等方面的平等和合理。经济公平具有客观性、历史性和相对性。经济学意义上的效率，是指经济资源的配置和产出状态。对于一个企业或社会来说，最高效率意味着资源处于最优配置状态，从而使特定范围内的需要得到最大满足或福利得到最大增进或财富得到最大增加。经济效率涉及到生产、分配、交换和消费各个领域，涉及到经济力和经济关系各个方面。它包括宏观经济效率和微观经济效率两大效率问题。经济公平与经济效率是交互促进并发生同方向变动的，即越是公平，越有效率；越是不公平，越是无效率。这同最近胡锦涛总书记强调公平与效率的有机统一是一致的。</w:t>
      </w:r>
    </w:p>
    <w:p w14:paraId="55663D8D">
      <w:pPr>
        <w:widowControl/>
        <w:spacing w:line="300" w:lineRule="auto"/>
        <w:ind w:firstLine="440" w:firstLineChars="200"/>
        <w:jc w:val="left"/>
        <w:rPr>
          <w:rFonts w:ascii="宋体" w:hAnsi="宋体" w:eastAsia="宋体" w:cs="宋体"/>
          <w:szCs w:val="21"/>
        </w:rPr>
      </w:pPr>
    </w:p>
    <w:p w14:paraId="60B7FB17">
      <w:pPr>
        <w:widowControl/>
        <w:spacing w:line="300" w:lineRule="auto"/>
        <w:ind w:firstLine="440" w:firstLineChars="200"/>
        <w:jc w:val="left"/>
        <w:rPr>
          <w:rFonts w:ascii="宋体" w:hAnsi="宋体" w:eastAsia="宋体" w:cs="宋体"/>
          <w:kern w:val="0"/>
          <w:szCs w:val="21"/>
        </w:rPr>
      </w:pPr>
      <w:r>
        <w:rPr>
          <w:rFonts w:hint="eastAsia" w:ascii="宋体" w:hAnsi="宋体" w:eastAsia="宋体" w:cs="宋体"/>
          <w:kern w:val="0"/>
          <w:szCs w:val="21"/>
        </w:rPr>
        <w:t>（原载于《重庆邮电学院学报（社会科学版）》2006年第4期）</w:t>
      </w:r>
    </w:p>
    <w:p w14:paraId="39632B99">
      <w:pPr>
        <w:widowControl/>
        <w:spacing w:line="300" w:lineRule="auto"/>
        <w:ind w:firstLine="440" w:firstLineChars="200"/>
        <w:rPr>
          <w:rFonts w:ascii="宋体" w:hAnsi="宋体" w:eastAsia="宋体" w:cs="宋体"/>
          <w:szCs w:val="21"/>
        </w:rPr>
      </w:pPr>
    </w:p>
    <w:p w14:paraId="31F4FDD2">
      <w:pPr>
        <w:bidi w:val="0"/>
      </w:pPr>
      <w:r>
        <w:br w:type="page"/>
      </w:r>
    </w:p>
    <w:p w14:paraId="1B8DDD0A">
      <w:pPr>
        <w:keepNext/>
        <w:keepLines/>
        <w:widowControl/>
        <w:adjustRightInd w:val="0"/>
        <w:snapToGrid w:val="0"/>
        <w:spacing w:before="147" w:beforeLines="50" w:after="147" w:afterLines="50" w:line="300" w:lineRule="auto"/>
        <w:ind w:firstLine="660" w:firstLineChars="200"/>
        <w:jc w:val="center"/>
        <w:outlineLvl w:val="1"/>
        <w:rPr>
          <w:rFonts w:ascii="黑体" w:hAnsi="黑体" w:eastAsia="黑体"/>
          <w:sz w:val="32"/>
          <w:szCs w:val="32"/>
        </w:rPr>
      </w:pPr>
      <w:bookmarkStart w:id="606" w:name="_Toc32498"/>
      <w:bookmarkStart w:id="607" w:name="_Toc111148966"/>
      <w:bookmarkStart w:id="608" w:name="_Toc2145829522"/>
      <w:bookmarkStart w:id="609" w:name="_Toc798388002"/>
      <w:r>
        <w:rPr>
          <w:rFonts w:ascii="黑体" w:hAnsi="黑体" w:eastAsia="黑体"/>
          <w:sz w:val="32"/>
          <w:szCs w:val="32"/>
        </w:rPr>
        <w:t>7</w:t>
      </w:r>
      <w:r>
        <w:rPr>
          <w:rFonts w:hint="eastAsia" w:ascii="黑体" w:hAnsi="黑体" w:eastAsia="黑体"/>
          <w:sz w:val="32"/>
          <w:szCs w:val="32"/>
        </w:rPr>
        <w:t>民族产业被外资并购整合并非宿命</w:t>
      </w:r>
      <w:bookmarkEnd w:id="606"/>
      <w:bookmarkEnd w:id="607"/>
      <w:bookmarkEnd w:id="608"/>
      <w:bookmarkEnd w:id="609"/>
    </w:p>
    <w:p w14:paraId="4EE682AB">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近日，龙永图先生在“2006中国企业创新高峰会”上提出“中国企业应该争取被国际整合”的观点。他认为，进入21世纪以来，全球产业转移明显加速，这次大转移不是整个产业的转移，而是产业的某些环节的转移，这就形成了连接世界各国的跨国生，产链和跨国的供应链，中国企业在这样的战略机遇期里，整合资源的能力比自身拥有的资源要重要的多。他强调，关于资源整合的效力，美国波音飞机值得一提，波音飞机的零部件是在全球70多个国家生产后于美国组装，其在全世界的产业链条上事起了一支多国部队。</w:t>
      </w:r>
    </w:p>
    <w:p w14:paraId="48B32F3C">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基于波音飞机的案例，龙先生分析说，我国企业要想成为多国部队的首脑，要争取先成为其成员。他认为，中国的企业要想拥有这样的整合能力，首先要经历被整合的阶段。在这个阶段大部分企业是被动整合的，然后通过拥有尖端专利技术、国际资本品牌以及相当大的市场份额，逐渐争取成为国际产业链和供应链当中的龙头。他还强调，我国目前还是发展中国家，在这个阶段被动整合是有国情基础的。</w:t>
      </w:r>
    </w:p>
    <w:p w14:paraId="56DC888A">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龙永围先生的观点一经提出，便遭到各方质疑。其实他此次提出“中国企业应该争取被国际整合”的观点，是去年观点的进一步延伸。在去年8月22日举行的花都汽车论坛上，龙先生曹和汽车行业老领导何光远副部长就汽车行业是否应该搞自主品牌、到底该如何搞自主品牌展开过一场论战。龙永围先生当时表示，中国不必刻意追求自主的汽车品牌，我们不能够为自主品牌而搞什么自主品牌。经济全球化的时代里面，汽车产业注定就是一个国际化的产业。因此，对自主发展要有全球化的视角，不管叫“翠花"还是"Lisa"，如果其中许多核心零部件和核心的技术都是在中国开发在中国使用的，那么它叫什么名字就已经不重要了，关键是在高起点的基础上参与全球化的合作和竞争。</w:t>
      </w:r>
    </w:p>
    <w:p w14:paraId="7B896B73">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通过以上两次讲演可以看出，龙先生对于全球化和跨国公司的发展道路的认识有片面性。他经常谈到美国波音公司的全球产业链，认为波音公司正是整合了全球的资源，在全球70多个国家生产其零部件，才拥有了客机制造业龙头老大的位置，以此论证中国的企业不需要搞自主品牌，而只需用在跨国生产链中找准自己的位置，争取被跨国公司整合，就可以在未来的国际市场上贏得自己的利益。果真如此吗？</w:t>
      </w:r>
    </w:p>
    <w:p w14:paraId="5AB9F7D0">
      <w:pPr>
        <w:spacing w:before="147" w:beforeLines="50" w:after="147" w:afterLines="50" w:line="300" w:lineRule="auto"/>
        <w:ind w:firstLine="500" w:firstLineChars="200"/>
        <w:jc w:val="center"/>
        <w:rPr>
          <w:rFonts w:cs="Times New Roman" w:asciiTheme="minorEastAsia" w:hAnsiTheme="minorEastAsia"/>
          <w:b/>
          <w:sz w:val="24"/>
          <w:szCs w:val="18"/>
          <w:lang w:bidi="ar"/>
        </w:rPr>
      </w:pPr>
      <w:bookmarkStart w:id="610" w:name="_Toc15436_WPSOffice_Level3"/>
      <w:r>
        <w:rPr>
          <w:rFonts w:hint="eastAsia" w:cs="Times New Roman" w:asciiTheme="minorEastAsia" w:hAnsiTheme="minorEastAsia"/>
          <w:b/>
          <w:sz w:val="24"/>
          <w:szCs w:val="18"/>
          <w:lang w:bidi="ar"/>
        </w:rPr>
        <w:t>一、国际案例印证了什么观点</w:t>
      </w:r>
      <w:bookmarkEnd w:id="610"/>
    </w:p>
    <w:p w14:paraId="4E19320B">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龙永围先生是我们尊重的有影响的退职官员，但他关于波音公司的发展案例并不能印证其“中国企业只有先被整合，才能整合别人"的观点，因为并没有证据表明波音公司是先被别的公司整合，而后才发展到现在拥有自己独立的知识产权和全球产业链的客机制造业的垄断地位的。不仅波音公司不是，而且世界上几乎所有拥有垄断地位的跨国公司都不可能是被别的公司整合后，才取得现在整合别人的能力的。</w:t>
      </w:r>
    </w:p>
    <w:p w14:paraId="2E584BEF">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因为如果当初它们被别的公司整合成为跨国生产经曹链上一个“打工仔"，那么，要继续维持一个加工厂的地位还需费尽心血，哪有时间和能力去研发占领行业制高点的尖端技术。没有拥有自主知识产权的核心技术和品牌效应，又凭什么去整合别人呢？</w:t>
      </w:r>
    </w:p>
    <w:p w14:paraId="4A402FC0">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可以继续印证我们观点的案例随手可得。</w:t>
      </w:r>
    </w:p>
    <w:p w14:paraId="178CDFAB">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1962年诞生于美国阿肯色州一个小镇的沃尔玛公司，最初只是一个原始总投入仅有25000美元的小零售店。从一个小零售店发展到拥有近万家连锁店，年总销售额2500多亿美元的全球跨国巨型企业，沃尔玛神速发晨的奇迹，不能不引起我们的深思。在沃尔玛的发展中，我们看不到以被并购与合资手段来达到企业扩张目标的影子。在美国本土，沃尔玛走“农村包围城市"的发展道路，通过自主研发，成为第一个发射卫星定位物流配送系统的零售企业。如果仅靠要售，沃尔玛并不能取得今天的骄人业绩，它的成功，得益于它拥有一套以控制终端消费为战略的物流供应链系统。这个系统使沃尔玛能够以最快的速度在世界各地配送商品，从中获取巨大商业利润。这个拥有自主知识产权的卫星定位物流配送系统是沃尔玛在零售业竞争取胜的法宝。</w:t>
      </w:r>
    </w:p>
    <w:p w14:paraId="22C38BD8">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再比如，众所周知以计算机为核心的信息技术产品，其核心部件芯片的材料取自于用之不尽的矿砂(硅)。小小的沙子附之于创新性的知识劳动，就卖出高于其成本几十倍、几百倍的价值。计算机软件是一个完全的知识产权创新产品，微软公司在短短的时间里发展到雄踞世界500强企业的霸主地位，我们同样看不到通过被并购和整合而大发展的路径和轨迹。</w:t>
      </w:r>
    </w:p>
    <w:p w14:paraId="36986F4B">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以上例证说明，世界上一流的企业，一定是拥有自主知识产权和无可复制的核心技术的企业，而期望通过被跨国公司并购而取得企业长远发展的观点，必定是经不起实践检验的幻象。</w:t>
      </w:r>
    </w:p>
    <w:p w14:paraId="40C59B12">
      <w:pPr>
        <w:spacing w:before="147" w:beforeLines="50" w:after="147" w:afterLines="50" w:line="300" w:lineRule="auto"/>
        <w:ind w:firstLine="500" w:firstLineChars="200"/>
        <w:jc w:val="center"/>
        <w:rPr>
          <w:rFonts w:cs="Times New Roman" w:asciiTheme="minorEastAsia" w:hAnsiTheme="minorEastAsia"/>
          <w:b/>
          <w:sz w:val="24"/>
          <w:szCs w:val="18"/>
          <w:lang w:bidi="ar"/>
        </w:rPr>
      </w:pPr>
      <w:bookmarkStart w:id="611" w:name="_Toc32249_WPSOffice_Level3"/>
      <w:r>
        <w:rPr>
          <w:rFonts w:hint="eastAsia" w:cs="Times New Roman" w:asciiTheme="minorEastAsia" w:hAnsiTheme="minorEastAsia"/>
          <w:b/>
          <w:sz w:val="24"/>
          <w:szCs w:val="18"/>
          <w:lang w:bidi="ar"/>
        </w:rPr>
        <w:t>二、从“招商引资”到“招商选资”</w:t>
      </w:r>
      <w:bookmarkEnd w:id="611"/>
    </w:p>
    <w:p w14:paraId="56CD5C19">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龙永围先生提出的中国企业应争取被外资整合的观点并不是一种孤立的声音，事实上他代表了很长一段时间以来我们在利用外资这一问题上的一个认识误区。改革开放初期，我国曾经历过一段物品短缺、资金匮乏的时期，在发展经济资金不足的条件下，吸引外商投资一直被看成是解决国内建设资金不足的重要途径，有关部门和地方各级政府不惜通过实施众多的优惠政策，包括低价或免费供地、减免税收等方式来达到招商引资的目的。外资的大量进入填补了过去国内存在的巨大资金缺口，推动中国经济增长，提供了就业机会，加快了发展市场经济和国际化的进程，并在一定程度上促进了产业升级和技术创新。不过，近年来洋商投资已经不再满足于合资与参股，而凸现独资化、大型化和垄断化等新动向，且越来越多地采用“斩首式"并购方式，其谋求企业和行业控制权的欲望逐步显罪。据国家统计局分析，2000年以来，跨国公司直接并购中国企业，尤其是行业龙头企业的案例逐步增多。跨国公司在中国并购的目的，从过去单纯通过参股分享中国经济发展的成果，逐渐向实现公司全球战略布局的意图演变。</w:t>
      </w:r>
    </w:p>
    <w:p w14:paraId="18C09315">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因此，相当多的外资并购并非仅仅追求财务上的收益，更多的则是追求产业整合，技术独占、品牌通吃、资源控制、垄断地位、消灭现存和潜在竟争对手等。也正因为如此，与改革开放初期相比，现在的外资并购在对象的选择上往往倾向于具有技术垄断(如机械行业)、区城市场垄断(如水泥行业)、资源垄断(如能源行业)、政策垄断(如银行业)等企业。</w:t>
      </w:r>
    </w:p>
    <w:p w14:paraId="10F821F3">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并购动机的变化形成了外资收购战略的变化。当今，跨国公司对中国企业的收购战略在不断调整新手法，“联合并购行动”、“整体蚕食行动”、“重点斩首行动”、“全面打压行动”等，已经形成对国有企业及民族品牌企业愚意并购。去年以来，中央领导高度重视机械行业的外资并购问题。国家统计局原局长李德水也强调，要谨慎对待垄断性跨国并购，如果听任跨国公司的恶意并购自由发展，中国民族工业的自主品牌和创新能力将逐步消失，甚至作为建设创新型国家的主体——中国企业特别是一大批骨干企业也将不复存在。</w:t>
      </w:r>
    </w:p>
    <w:p w14:paraId="0C70617B">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如果听任国家多年培育的骨干企业被跨国公司吞并，我国产业的核心和关键部分被外资控制，国家将失去对工业和整个产业发展及技术进步的主导权，我国经济独立和政治独立的基础将被逐渐弱化，中央大力倡导的统筹国内发展与对外开放、增强自主创新能力、振兴装备制造业等方针政策将失去前提。还有一个后果是，如果大多数“中国企业被国际整合”，将影响到我国产业结构的调薹和国家“十一五"规划的实施，国家经济调控效果和经济安全均会受到牵制。</w:t>
      </w:r>
    </w:p>
    <w:p w14:paraId="4130613C">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时至今日，我们应该清醒地认识到，引进外资的目的是为了学习国外的先进技术和管理经验，是为了加快我国社会主义现代化的进程，不是要使中国大多数企业成为跨国公司的加工厂，更不是为了放弃我国民族企业自主研发、自力更生的发展能力。如果引进外资不仅没有帮助我国企业实现“师夷长技"，加速自主和自生发展的目标，反面使失去了市场、资源、品牌和技术等对于民族工业而言弥足珍贵的东西，那么，引进外资、外技和外牌的战略和策略就发生了偏差。</w:t>
      </w:r>
    </w:p>
    <w:p w14:paraId="4D05E49C">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在经济全球化背景下，深受新自由主义影响的流行观点认为，“民族产业”的概念已经过时，不应再强调发展本国的民族产业，而应使中国的企业纳入发达国家跨国公司的国际生产经营流程中去，依靠外国大公司提供的技术，专门从事跨国公司产品生产过程中的某些劳动密集和资源密集的部分，从而使中国经济逐步变为发达国家跨国公司经营流程的某一部分。</w:t>
      </w:r>
    </w:p>
    <w:p w14:paraId="4775125B">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正是在这种认为民族工业已经过时的流行观点的误导下，有些地区和部门“招商引资”而不“招商选资"，大搞国内的无序竞争，利用跨国公司消灭本国民族企业竞争对手，甚至放任外资对我国战略产业的恶意并购。这种只知遭赚钱，不知道自主发展，只注重眼前利益，不知道长远利益的短视行为，已逐渐显示出过度依赖外资的依附性危害。</w:t>
      </w:r>
    </w:p>
    <w:p w14:paraId="7E282BE1">
      <w:pPr>
        <w:spacing w:before="147" w:beforeLines="50" w:after="147" w:afterLines="50" w:line="300" w:lineRule="auto"/>
        <w:ind w:firstLine="500" w:firstLineChars="200"/>
        <w:jc w:val="center"/>
        <w:rPr>
          <w:rFonts w:cs="Times New Roman" w:asciiTheme="minorEastAsia" w:hAnsiTheme="minorEastAsia"/>
          <w:b/>
          <w:sz w:val="24"/>
          <w:szCs w:val="18"/>
          <w:lang w:bidi="ar"/>
        </w:rPr>
      </w:pPr>
      <w:bookmarkStart w:id="612" w:name="_Toc13051_WPSOffice_Level3"/>
      <w:r>
        <w:rPr>
          <w:rFonts w:hint="eastAsia" w:cs="Times New Roman" w:asciiTheme="minorEastAsia" w:hAnsiTheme="minorEastAsia"/>
          <w:b/>
          <w:sz w:val="24"/>
          <w:szCs w:val="18"/>
          <w:lang w:bidi="ar"/>
        </w:rPr>
        <w:t>三、发展“四控型”企业</w:t>
      </w:r>
      <w:bookmarkEnd w:id="612"/>
    </w:p>
    <w:p w14:paraId="458E06E1">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与改革前期相比，今天中国的经济面临的问题已不是资金相对匮乏，而是资金相对过剩。据报道自20世纪90年代以来，我国的国际收支状况发生了根本性扭转。从经常项目逆差、资本项目顺差组合演变成经常性，项目和资本项目双顺差态势，从2002年开始，净误差与遗漏项也呈现贷方顺差，三顺差导最中国的外汇储备大幅度增长。以上种种迹象都说明，目前中国的资金过剩，根本没有必要不惜一切引进外资。</w:t>
      </w:r>
    </w:p>
    <w:p w14:paraId="0AE08988">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19世纪下半期的德国、20世纪下半期的日本和韩国等跨越式发展的经验都表明，一个落后国家的民族工业要想获得长远发展，必须在国家的科学保护下获得自主研发核心技术和发展民族产业的机会，而自主研发是莆要花费时间和大量资金的。正是由于自主知识产权的研发过程和预期收益间存在一个不短的时间差，我国一些急功近利的专家才提出中国不需要搞自主研发，只需要在跨国公司的生产链上谋得一个打工的位置，中国应该发挥劳动力密集的比较优势专心发展加工业。至于大飞机等高科技产晶，我们只要多生产裤子，拿钱换就可以了。这是一种非科学发展的理论和政策。</w:t>
      </w:r>
    </w:p>
    <w:p w14:paraId="68CF1C2A">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综上所述，民族工业的发展对于一个国家而曹有着举足轻重的作用，建立自己的民族工业不能主要靠引进外资和国际并购，不能在发展战略上满足于做跨国公司的加工厂，只参与国际分工的底层活动。我国必须大力倡导自主研发和自主发展的科学道路，应在结合比较优势与竞争优势的基础上，大力发展控股、控技(尤其是核心技术)、控牌(尤其是名牌)和控标(技术标准)的"四控型”。民族企业集团和民族跨国公司，突出培育和发挥知识产权优势，早日真正打造出中国的世界工厂而非世界加工厂，从而尽快完成从贸易大国向贸易强国和经济大国向经济强国的转型。</w:t>
      </w:r>
    </w:p>
    <w:p w14:paraId="6A333324">
      <w:pPr>
        <w:widowControl/>
        <w:adjustRightInd w:val="0"/>
        <w:spacing w:line="300" w:lineRule="auto"/>
        <w:ind w:firstLine="440" w:firstLineChars="200"/>
        <w:rPr>
          <w:rFonts w:ascii="宋体" w:hAnsi="宋体" w:eastAsia="宋体" w:cs="Times New Roman"/>
          <w:kern w:val="0"/>
          <w:szCs w:val="21"/>
        </w:rPr>
      </w:pPr>
    </w:p>
    <w:p w14:paraId="523CF256">
      <w:pPr>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（原载于《上海国资》2006年第10期，第二作者为张飞岸）</w:t>
      </w:r>
    </w:p>
    <w:p w14:paraId="3140DE87">
      <w:pPr>
        <w:adjustRightInd w:val="0"/>
        <w:spacing w:line="300" w:lineRule="auto"/>
        <w:ind w:firstLine="440" w:firstLineChars="200"/>
        <w:rPr>
          <w:rFonts w:ascii="宋体" w:hAnsi="宋体" w:eastAsia="宋体" w:cs="Times New Roman"/>
          <w:kern w:val="0"/>
          <w:szCs w:val="21"/>
        </w:rPr>
      </w:pPr>
      <w:r>
        <w:rPr>
          <w:rFonts w:ascii="宋体" w:hAnsi="宋体" w:eastAsia="宋体" w:cs="Times New Roman"/>
          <w:kern w:val="0"/>
          <w:szCs w:val="21"/>
        </w:rPr>
        <w:br w:type="page"/>
      </w:r>
    </w:p>
    <w:p w14:paraId="3984AAA4">
      <w:pPr>
        <w:pStyle w:val="3"/>
        <w:widowControl/>
        <w:spacing w:before="0" w:after="0" w:line="360" w:lineRule="auto"/>
        <w:jc w:val="center"/>
        <w:rPr>
          <w:rFonts w:ascii="黑体" w:hAnsi="黑体" w:eastAsia="黑体"/>
        </w:rPr>
      </w:pPr>
      <w:bookmarkStart w:id="613" w:name="_Toc111148967"/>
      <w:bookmarkStart w:id="614" w:name="_Toc1102"/>
      <w:bookmarkStart w:id="615" w:name="_Toc116408536"/>
      <w:bookmarkStart w:id="616" w:name="_Toc1029323158"/>
      <w:r>
        <w:rPr>
          <w:rFonts w:ascii="黑体" w:hAnsi="黑体" w:eastAsia="黑体"/>
        </w:rPr>
        <w:t>8在改革中巩固和加强社会主义经济基础</w:t>
      </w:r>
      <w:bookmarkEnd w:id="613"/>
      <w:bookmarkEnd w:id="614"/>
      <w:bookmarkEnd w:id="615"/>
      <w:bookmarkEnd w:id="616"/>
    </w:p>
    <w:p w14:paraId="08315F32">
      <w:pPr>
        <w:spacing w:line="300" w:lineRule="auto"/>
        <w:ind w:firstLine="580" w:firstLineChars="200"/>
        <w:jc w:val="center"/>
        <w:rPr>
          <w:rFonts w:ascii="宋体" w:hAnsi="宋体" w:eastAsia="宋体" w:cs="黑体"/>
          <w:b/>
          <w:sz w:val="28"/>
          <w:szCs w:val="28"/>
        </w:rPr>
      </w:pPr>
      <w:r>
        <w:rPr>
          <w:rFonts w:hint="eastAsia" w:ascii="宋体" w:hAnsi="宋体" w:eastAsia="宋体" w:cs="黑体"/>
          <w:b/>
          <w:sz w:val="28"/>
          <w:szCs w:val="28"/>
        </w:rPr>
        <w:t>——学习《江泽民文选》的一点体会</w:t>
      </w:r>
    </w:p>
    <w:p w14:paraId="770BE638">
      <w:pPr>
        <w:spacing w:line="300" w:lineRule="auto"/>
        <w:ind w:firstLine="440" w:firstLineChars="200"/>
        <w:rPr>
          <w:rFonts w:ascii="宋体" w:hAnsi="宋体" w:eastAsia="宋体" w:cs="宋体"/>
        </w:rPr>
      </w:pPr>
      <w:r>
        <w:rPr>
          <w:rFonts w:hint="eastAsia" w:ascii="宋体" w:hAnsi="宋体" w:eastAsia="宋体" w:cs="宋体"/>
        </w:rPr>
        <w:t>在建立和完善社会主义市场经济体制过程中， 国有企业改革一直居于中心环节和关键地位。党的十五届四中全会专门就国有企业改革和发展做出了决定。然而，在改革中， 怎样认识和对待国有经济，怎样对国有企业进行战略性改组，怎样对国有企业进行适应市场经济的体制改革，在这些问题上一直存在不同的认识。有的论著宣称，无论是中国还是外国，国有企业的效率都低于私有企业，因此，国企改革的根本出路是“非国有化”。</w:t>
      </w:r>
    </w:p>
    <w:p w14:paraId="44DAC5F5">
      <w:pPr>
        <w:spacing w:line="300" w:lineRule="auto"/>
        <w:ind w:firstLine="440" w:firstLineChars="200"/>
        <w:rPr>
          <w:rFonts w:ascii="宋体" w:hAnsi="宋体" w:eastAsia="宋体" w:cs="宋体"/>
        </w:rPr>
      </w:pPr>
      <w:r>
        <w:rPr>
          <w:rFonts w:hint="eastAsia" w:ascii="宋体" w:hAnsi="宋体" w:eastAsia="宋体" w:cs="宋体"/>
        </w:rPr>
        <w:t>《江泽民文选》中的《巩固和加强社会主义经济基础》一文，对这个重大问题，做了深刻精辟的论述。本文就是学习这篇重要文章的初步体会。</w:t>
      </w:r>
    </w:p>
    <w:p w14:paraId="07C0CC41">
      <w:pPr>
        <w:spacing w:line="300" w:lineRule="auto"/>
        <w:ind w:firstLine="440" w:firstLineChars="200"/>
        <w:rPr>
          <w:rFonts w:ascii="宋体" w:hAnsi="宋体" w:eastAsia="宋体" w:cs="宋体"/>
        </w:rPr>
      </w:pPr>
      <w:r>
        <w:rPr>
          <w:rFonts w:hint="eastAsia" w:ascii="宋体" w:hAnsi="宋体" w:eastAsia="宋体" w:cs="宋体"/>
        </w:rPr>
        <w:t>中国的改革开放，连同从20世纪50年代末开始的社会主义改革运动，是世界社会主义发展史和国际共产主义运动史上影响深远的历史性变革。这场改革运动，其初始的目的是想校正在社会主义发展阶段上判断的失误，革除社会主义各种体制上出现的弊端，从而达到完善和巩固社会主义基本制度，使社会主义的各种体制机制更加符合现实条件，使社会主义更好地发挥其优越性和活力。但到20世纪80年代末，这场改革运动发生了令人震惊的剧变，在改革的方向上出现分道扬镳，一些国家的共产党瞬间解体垮台，社会制度以“休克疗法”的方式急速向资本主义市场经济转变。</w:t>
      </w:r>
    </w:p>
    <w:p w14:paraId="2B764397">
      <w:pPr>
        <w:spacing w:line="300" w:lineRule="auto"/>
        <w:ind w:firstLine="440" w:firstLineChars="200"/>
        <w:rPr>
          <w:rFonts w:ascii="宋体" w:hAnsi="宋体" w:eastAsia="宋体" w:cs="宋体"/>
        </w:rPr>
      </w:pPr>
      <w:r>
        <w:rPr>
          <w:rFonts w:hint="eastAsia" w:ascii="宋体" w:hAnsi="宋体" w:eastAsia="宋体" w:cs="宋体"/>
        </w:rPr>
        <w:t>社会主义改革运动的这种复杂、深刻和令人震惊的情况，不能不使正处在改革过程中的中国人民及其领导人深思。江泽民同志作为当时党和国家的领导人，以高度的历史责任感，从党和国家命运的高度，深刻思考着这场复杂历史事变提出的深刻问题。他说：“我一直在思考一个问题，就是如何既能使得我们党永葆生机和活力，确保我们几千万烈士用生命和鲜血换来的红色江山永不变色，又能把我国经济更快更好地搞上去。”</w:t>
      </w:r>
    </w:p>
    <w:p w14:paraId="455845CC">
      <w:pPr>
        <w:spacing w:line="300" w:lineRule="auto"/>
        <w:ind w:firstLine="440" w:firstLineChars="200"/>
        <w:rPr>
          <w:rFonts w:ascii="宋体" w:hAnsi="宋体" w:eastAsia="宋体" w:cs="宋体"/>
        </w:rPr>
      </w:pPr>
      <w:r>
        <w:rPr>
          <w:rFonts w:hint="eastAsia" w:ascii="宋体" w:hAnsi="宋体" w:eastAsia="宋体" w:cs="宋体"/>
        </w:rPr>
        <w:t>正是从这个角度和高度， 江泽民同志提出了巩固和加强社会主义的经济基础这个重大问题。他首先从历史唯物主义的基本原理出发，明确指出任何国家政权都是建立在一定的经济基础之上的。任何一个政权，都必须掌握一定的经济和物质力量，进行政治统治和社会治理，都需要有与之相适应的经济基础来提供这种经济和物质力量，否则便不能存在和发生作用。</w:t>
      </w:r>
    </w:p>
    <w:p w14:paraId="17B6EBBD">
      <w:pPr>
        <w:spacing w:line="300" w:lineRule="auto"/>
        <w:ind w:firstLine="440" w:firstLineChars="200"/>
        <w:rPr>
          <w:rFonts w:ascii="宋体" w:hAnsi="宋体" w:eastAsia="宋体" w:cs="宋体"/>
        </w:rPr>
      </w:pPr>
      <w:r>
        <w:rPr>
          <w:rFonts w:hint="eastAsia" w:ascii="宋体" w:hAnsi="宋体" w:eastAsia="宋体" w:cs="宋体"/>
        </w:rPr>
        <w:t>新中国成立以来不断发展壮大的国有经济，是我们社会主义国家政权的重要基础。我国国有经济的发展，不仅对保证国民经济稳定发展、增强综合国力、实现最广大人民的根本利益具有重大意义，而且对巩固和发展社会主义制度、加强全国各族人民的大团结、保证党和国家长治久安具有重大意义。没有国有经济为核心的公有制经济，就没有社会主义的经济基础，也就没有我们共产党执政以及整个社会主义上层建筑、经济基础和强大的物质手段。</w:t>
      </w:r>
    </w:p>
    <w:p w14:paraId="2656DFBC">
      <w:pPr>
        <w:spacing w:line="300" w:lineRule="auto"/>
        <w:ind w:firstLine="440" w:firstLineChars="200"/>
        <w:rPr>
          <w:rFonts w:ascii="宋体" w:hAnsi="宋体" w:eastAsia="宋体" w:cs="宋体"/>
        </w:rPr>
      </w:pPr>
      <w:r>
        <w:rPr>
          <w:rFonts w:hint="eastAsia" w:ascii="宋体" w:hAnsi="宋体" w:eastAsia="宋体" w:cs="宋体"/>
        </w:rPr>
        <w:t>社会主义公有制经济特别是其中的国有经济， 是适应社会化大生产要求的生产资料占有方式，是从根本上解决生产的社会化与生产资料私人占有这一基本矛盾的产物。社会主义国有经济是人类社会第一次出现的一种新型的社会主义性质的生产关系形式， 其基本特征是消灭了生产资料资本主义私有制，从而消灭了剥削，建立起一种劳动者在共同占有生产资料的基础上的自主劳动方式，是满足全体劳动者的物质和文化需要、促进其趋向全面发展的生产关系；它适应社会化大生产发展的需要，掌握全国经济命脉，代表着生产力发展的方向，是社会主义制度的最重要的物质技术基础和生产关系基础，是共产党执政的基本经济基础。我国的国有经济作为最能适应生产力发展要求的部分， 适应了经济落后的中国促进工业化迅速推进需要奠定基本工业化构架和国民经济体系的要求。计划经济时期，我国尽管在农业和轻工业方面发展较慢，但以独立自主的建设方针，通过重工业、国防工业的高速发展，国家的经济实力有了实质性的成长，国家政治地位大大提高，奠定了未来自主发展的基础。50多年来，国有经济始终是带动国民经济快速增长的主力军，始终是我国国民经济的支柱。我们有相当多的国有企业，尤其是大中型企业，至今仍然是经济实力最强、技术装备先进、管理水平高、人才济济和效益递增的优秀的经济实体。</w:t>
      </w:r>
    </w:p>
    <w:p w14:paraId="0BB1135D">
      <w:pPr>
        <w:spacing w:line="300" w:lineRule="auto"/>
        <w:ind w:firstLine="440" w:firstLineChars="200"/>
        <w:rPr>
          <w:rFonts w:ascii="宋体" w:hAnsi="宋体" w:eastAsia="宋体" w:cs="宋体"/>
        </w:rPr>
      </w:pPr>
      <w:r>
        <w:rPr>
          <w:rFonts w:hint="eastAsia" w:ascii="宋体" w:hAnsi="宋体" w:eastAsia="宋体" w:cs="宋体"/>
        </w:rPr>
        <w:t>承认我国公有制经济的产生是符合社会化大生产要求的，是符合社会发展规律的，以及肯定计划经济条件下国有经济的曾经有过的巨大成效和历史作用， 与要进行经济体制改革并不矛盾。我国经济体制改革的历史性启动，正是基于我们对计划经济体制及公有制经济状况的发展， 与我国生产力发展水平和社会发展阶段的某种程度的不适应有了深刻认识的结果。对国有经济进行符合我国现实经济发展状况和适应市场经济要求的战略重组和体制改革，是我国经济体制改革的重要任务。党的十五届四中全会专门就国有企业改革和发展做出了决定，表明了我们党搞好国有经济的坚定信念，指出了国有企业改革的正确方向。</w:t>
      </w:r>
    </w:p>
    <w:p w14:paraId="6B4EA73F">
      <w:pPr>
        <w:spacing w:line="300" w:lineRule="auto"/>
        <w:ind w:firstLine="440" w:firstLineChars="200"/>
        <w:rPr>
          <w:rFonts w:ascii="宋体" w:hAnsi="宋体" w:eastAsia="宋体" w:cs="宋体"/>
        </w:rPr>
      </w:pPr>
      <w:r>
        <w:rPr>
          <w:rFonts w:hint="eastAsia" w:ascii="宋体" w:hAnsi="宋体" w:eastAsia="宋体" w:cs="宋体"/>
        </w:rPr>
        <w:t>坚持国有企业的社会主义市场经济改革方向， 就要注意区分社会主义国家的国有经济 与资本主义国家的国有经济在性质、地位、作用上的区别。</w:t>
      </w:r>
    </w:p>
    <w:p w14:paraId="4148DE3F">
      <w:pPr>
        <w:spacing w:line="300" w:lineRule="auto"/>
        <w:ind w:firstLine="440" w:firstLineChars="200"/>
        <w:rPr>
          <w:rFonts w:ascii="宋体" w:hAnsi="宋体" w:eastAsia="宋体" w:cs="宋体"/>
        </w:rPr>
      </w:pPr>
      <w:r>
        <w:rPr>
          <w:rFonts w:hint="eastAsia" w:ascii="宋体" w:hAnsi="宋体" w:eastAsia="宋体" w:cs="宋体"/>
        </w:rPr>
        <w:t>社会主义国有经济与资本主义国有经济在服务对象、经营方式、运行机制等方面有某些共同点，我们可以借鉴资本主义国有经济的某些成功经验为我所用。但是，社会主义国有经济与资本主义国有经济具有根本不同的性质，不能混为一谈。我们要从社会主义制度的经济基础的意义上来认识国有经济的地位、功能和规模问题，不能简单按照西方市场经济国家国有经济的比重来确定我国国有经济的比重。其主要理由如下：</w:t>
      </w:r>
    </w:p>
    <w:p w14:paraId="0FB3DA34">
      <w:pPr>
        <w:spacing w:line="300" w:lineRule="auto"/>
        <w:ind w:firstLine="440" w:firstLineChars="200"/>
        <w:rPr>
          <w:rFonts w:ascii="宋体" w:hAnsi="宋体" w:eastAsia="宋体" w:cs="宋体"/>
        </w:rPr>
      </w:pPr>
      <w:r>
        <w:rPr>
          <w:rFonts w:hint="eastAsia" w:ascii="宋体" w:hAnsi="宋体" w:eastAsia="宋体" w:cs="宋体"/>
        </w:rPr>
        <w:t>其一，国家的性质根本不同，因此，国家所有所体现的生产关系也根本不同。社会主义国家是工人阶级领导的、工农联盟为基础的人民民主政权，社会主义国有经济是社会主义生产关系的现实载体。而资本主义国家的本质则是“总资本家”，</w:t>
      </w:r>
      <w:r>
        <w:rPr>
          <w:rFonts w:ascii="宋体" w:hAnsi="宋体" w:eastAsia="宋体" w:cs="宋体"/>
          <w:vertAlign w:val="superscript"/>
        </w:rPr>
        <w:footnoteReference w:id="239"/>
      </w:r>
      <w:r>
        <w:rPr>
          <w:rFonts w:hint="eastAsia" w:ascii="宋体" w:hAnsi="宋体" w:eastAsia="宋体" w:cs="宋体"/>
        </w:rPr>
        <w:t xml:space="preserve"> 其国有经济虽然具有相当部分的社会功能，但国有资本所有权在本质上是属于资产阶级的。</w:t>
      </w:r>
    </w:p>
    <w:p w14:paraId="2F83AEB9">
      <w:pPr>
        <w:spacing w:line="300" w:lineRule="auto"/>
        <w:ind w:firstLine="440" w:firstLineChars="200"/>
        <w:rPr>
          <w:rFonts w:ascii="宋体" w:hAnsi="宋体" w:eastAsia="宋体" w:cs="宋体"/>
        </w:rPr>
      </w:pPr>
      <w:r>
        <w:rPr>
          <w:rFonts w:hint="eastAsia" w:ascii="宋体" w:hAnsi="宋体" w:eastAsia="宋体" w:cs="宋体"/>
        </w:rPr>
        <w:t>其二，国有经济在国民经济中的地位和作用也不同。在我国，国有经济是社会主义制度的经济基础，是国民经济的主要支柱。在资本主义国家，国有经济只在市场经济中起某些补充作用。我国的国有经济是社会主义初级阶段公有经济的主体和主导。国有经济作为社会主义市场经济的主体，作为社会主义生产关系的现实载体，是应该牢固确立的。我国宪法第七条规定：国有经济即社会主义全民所有制经济，是国民经济中的主导力量。国家保障国有经济的巩固与发展。</w:t>
      </w:r>
    </w:p>
    <w:p w14:paraId="653A7D14">
      <w:pPr>
        <w:spacing w:line="300" w:lineRule="auto"/>
        <w:ind w:firstLine="440" w:firstLineChars="200"/>
        <w:rPr>
          <w:rFonts w:ascii="宋体" w:hAnsi="宋体" w:eastAsia="宋体" w:cs="宋体"/>
        </w:rPr>
      </w:pPr>
      <w:r>
        <w:rPr>
          <w:rFonts w:hint="eastAsia" w:ascii="宋体" w:hAnsi="宋体" w:eastAsia="宋体" w:cs="宋体"/>
        </w:rPr>
        <w:t>江泽民同志从巩固社会主义的经济基础、实现最广大人民的根本利益和巩固工人阶级和广大人民群众的政权，也就是巩固共产党的执政地位这个极其重要的原则上，坚定地提出，我们一直强调要把国有企业搞好，把国有经济搞好。社会主义公有制的主体地位绝不能动摇，否则我们党的执政地位和我们社会主义的国家政权就很难巩固和加强。这是因为， 国有经济是社会主义的主要经济基础，在各种社会主义公有制经济形式中，国有经济是最重要的组成部分。因此，要坚持以公有制为主体，就必须坚持国有企业市场化改革的正确方向，在改革中保持国有企业的社会主义公有制性质，因为国有经济是主体中的主体。</w:t>
      </w:r>
    </w:p>
    <w:p w14:paraId="72C5AD86">
      <w:pPr>
        <w:spacing w:line="300" w:lineRule="auto"/>
        <w:ind w:firstLine="440" w:firstLineChars="200"/>
        <w:rPr>
          <w:rFonts w:ascii="宋体" w:hAnsi="宋体" w:eastAsia="宋体" w:cs="宋体"/>
        </w:rPr>
      </w:pPr>
      <w:r>
        <w:rPr>
          <w:rFonts w:hint="eastAsia" w:ascii="宋体" w:hAnsi="宋体" w:eastAsia="宋体" w:cs="宋体"/>
        </w:rPr>
        <w:t>从这种高度上， 江泽民同志强调指出，搞好国有企业改革和发展，不仅是一个重大的经济问题，而且是一个重大的政治问题。</w:t>
      </w:r>
    </w:p>
    <w:p w14:paraId="48E39E56">
      <w:pPr>
        <w:spacing w:line="300" w:lineRule="auto"/>
        <w:ind w:firstLine="440" w:firstLineChars="200"/>
        <w:rPr>
          <w:rFonts w:ascii="宋体" w:hAnsi="宋体" w:eastAsia="宋体" w:cs="宋体"/>
        </w:rPr>
      </w:pPr>
      <w:r>
        <w:rPr>
          <w:rFonts w:hint="eastAsia" w:ascii="宋体" w:hAnsi="宋体" w:eastAsia="宋体" w:cs="宋体"/>
        </w:rPr>
        <w:t>在对国有经济进行战略重组、调整优化产业结构时，江泽民同志在文章中明确指出，影响国计民生的重要大中型企业，必须掌握在国家手中；影响当地经济社会发展的大中型企业，省市区也必须掌握一批；国有经济的战略布局调整必须有一个限度。正如江泽民在文章中明确指出的，所谓比重减少一些，也应该有个限度、有个前提，就是不能影响公有制的主体地位和国有经济的主导作用。</w:t>
      </w:r>
    </w:p>
    <w:p w14:paraId="70BB38EE">
      <w:pPr>
        <w:spacing w:line="300" w:lineRule="auto"/>
        <w:ind w:firstLine="440" w:firstLineChars="200"/>
        <w:rPr>
          <w:rFonts w:ascii="宋体" w:hAnsi="宋体" w:eastAsia="宋体" w:cs="宋体"/>
        </w:rPr>
      </w:pPr>
      <w:r>
        <w:rPr>
          <w:rFonts w:hint="eastAsia" w:ascii="宋体" w:hAnsi="宋体" w:eastAsia="宋体" w:cs="宋体"/>
        </w:rPr>
        <w:t>国有经济需要保持控制地位的行业和领域，除了涉及国家安全的行业、自然垄断的行业、提供重要公共产品和服务的行业，以及支柱产业和高新技术产业中的重要骨干企业外，一般竞争性产业也不应该全面退出，可以适当收缩，但主要应该在市场竞争中选择。在竞争性行业中许多国有企业是搞得很好或比较好的，有的企业已经打入国际市场，其产品成为国际名牌，对这些企业是没有理由要用行政手段强制它们退出竞争领域、让位于私营和外资企业的。特别是一些高度竞争性的产业，如装备工业是工业的核心和基础，是综合国力的根基，一国装备工业的发达程度，是国家工业和科技水平的标志。如果我国工业的核心和关键部分被外资控制，国家将失去对工业发展和技术进步的主导权，我国经济独立和政治独立的基础将被侵蚀殆尽，中央增强自主创新能力、振兴装备制造业的方针将失去前提。但是，在有的论著和文章中，不但把我国的国有经济与资本主义国家的国有经济等量齐观，而且亦步亦趋地照抄照搬他们的做法。一个明显的例子是，有些文章主张大幅度降低我国国有经济在国民经济总量中的比重，根据居然是资本主义国家的国有经济一般占经济总量的5 % ，发达资本主义国家占10 % ，由此提出我国国有经济比重还应该从目前大体上占30 %降低到20 % 。且不说有些发达资本主义国家国有经济的比重明显超过10 % ，就说他们是10% ，为什么我们只能是20 % ? 这是因为，有些人没有根据我国国情进行认真的论证，没有看到有说服力的理由，只是简单地把资本主义国家作为样板进行类比，完全没有看到我国的国有经济与资本主义国家的国有经济在性质上的不同。他们的理由是，西方资本主义国家是发达的市场经济国家，我们是刚刚要发展市场经济的国家，我们国有经济的比重怎么能超过发达市场经济国家呢? 这就完全混淆了社会主义国家的国有经济与资本主义国家的国有经济的根本区别，只看到都是市场经济的共同的一面，完全否定了基本生产关系和基本社会制度不同的一面。</w:t>
      </w:r>
    </w:p>
    <w:p w14:paraId="6CF511E4">
      <w:pPr>
        <w:spacing w:line="300" w:lineRule="auto"/>
        <w:ind w:firstLine="440" w:firstLineChars="200"/>
        <w:rPr>
          <w:rFonts w:ascii="宋体" w:hAnsi="宋体" w:eastAsia="宋体" w:cs="宋体"/>
        </w:rPr>
      </w:pPr>
      <w:r>
        <w:rPr>
          <w:rFonts w:hint="eastAsia" w:ascii="宋体" w:hAnsi="宋体" w:eastAsia="宋体" w:cs="宋体"/>
        </w:rPr>
        <w:t>我国国有企业的特定社会属性，决定了它也应该成为市场经济微观活动主体的主力军和领航舰。这样，怎样把国有企业塑造成真正的市场经济活动主体，就成为改革中的一项重要任务。我国体制改革处于攻关阶段，党的十六届三中全会明确提出，要使股份制成为公有制的主要实现形式，因此，如何通过股份制实现公有制经济的市场化转型就成为一个重大而紧迫的理论和实践课题。</w:t>
      </w:r>
    </w:p>
    <w:p w14:paraId="6EF9091C">
      <w:pPr>
        <w:spacing w:line="300" w:lineRule="auto"/>
        <w:ind w:firstLine="440" w:firstLineChars="200"/>
        <w:rPr>
          <w:rFonts w:ascii="宋体" w:hAnsi="宋体" w:eastAsia="宋体" w:cs="宋体"/>
        </w:rPr>
      </w:pPr>
      <w:r>
        <w:rPr>
          <w:rFonts w:hint="eastAsia" w:ascii="宋体" w:hAnsi="宋体" w:eastAsia="宋体" w:cs="宋体"/>
        </w:rPr>
        <w:t>在国有企业体制改革方面坚持社会主义市场经济的改革方向，就是在坚持公有制的性质、主体地位和主导作用的前提下，进行国有企业的组织形式、体制机制和资本运营的改革。计划经济条件下的国有企业不适应市场经济的要求，不意味着国有企业天然和永远不能适应市场经济运行的条件和要求。我们可以通过国有企业体制改革来探索国有企业适应市场经济要求的实现形式和运行机制。国有企业进行适应市场经济要求的体制改革，决不是否定国有经济，决不是否定公有制的主体地位，而是要找到符合市场经济要求的新的实现形式。我们必须明确，所谓“国有企业改制”，改的是体制和机制，包括产权结构的调整和重构，但决不是改变所有制性质。</w:t>
      </w:r>
    </w:p>
    <w:p w14:paraId="5B2A1CBF">
      <w:pPr>
        <w:spacing w:line="300" w:lineRule="auto"/>
        <w:ind w:firstLine="440" w:firstLineChars="200"/>
        <w:rPr>
          <w:rFonts w:ascii="宋体" w:hAnsi="宋体" w:eastAsia="宋体" w:cs="宋体"/>
        </w:rPr>
      </w:pPr>
      <w:r>
        <w:rPr>
          <w:rFonts w:hint="eastAsia" w:ascii="宋体" w:hAnsi="宋体" w:eastAsia="宋体" w:cs="宋体"/>
        </w:rPr>
        <w:t>坚持社会主义市场经济的改革方向，就是要在承认股份制是一种资本构造和企业组织形式的基础上，努力实现公有制经济与股份制的结合。不能把建立现代企业制度，变成照搬照抄西方资本主义国家的股份制企业制度。如果混淆公有股份经济与私有股份经济的区别，认为股份制就是股份制，现代企业制度就是现代企业制度，没有什么公有性质与私有性质的区别；或者提出股份制直接就是公有制，而且是所谓“新公有制”，就会混淆公有股份经济与私有股份经济的区别，混淆现代企业制度的不同生产关系基础的区别，取消把公有制与股份制结合起来的重大理论与实践创新的任务， 放弃创建新型公有股份经济的努力，掩盖通过股份制推行私有化的主张和企图。</w:t>
      </w:r>
    </w:p>
    <w:p w14:paraId="2AE36BEE">
      <w:pPr>
        <w:spacing w:line="300" w:lineRule="auto"/>
        <w:ind w:firstLine="440" w:firstLineChars="200"/>
        <w:rPr>
          <w:rFonts w:ascii="宋体" w:hAnsi="宋体" w:eastAsia="宋体" w:cs="宋体"/>
        </w:rPr>
      </w:pPr>
      <w:r>
        <w:rPr>
          <w:rFonts w:hint="eastAsia" w:ascii="宋体" w:hAnsi="宋体" w:eastAsia="宋体" w:cs="宋体"/>
        </w:rPr>
        <w:t>总之，坚持以公有制为基础、多种所有制经济共同发展的基本经济制度，是社会主义初级阶段的经济基础。但应该看到，公有制为主体是具有决定意义的，因为它从根本上决定着整个社会的性质，决定着对非公有制经济的引导，决定着社会发展的方向。</w:t>
      </w:r>
    </w:p>
    <w:p w14:paraId="73E7D1F1">
      <w:pPr>
        <w:spacing w:line="300" w:lineRule="auto"/>
        <w:ind w:firstLine="440" w:firstLineChars="200"/>
        <w:rPr>
          <w:rFonts w:ascii="宋体" w:hAnsi="宋体" w:eastAsia="宋体" w:cs="宋体"/>
        </w:rPr>
      </w:pPr>
      <w:r>
        <w:rPr>
          <w:rFonts w:hint="eastAsia" w:ascii="宋体" w:hAnsi="宋体" w:eastAsia="宋体" w:cs="宋体"/>
        </w:rPr>
        <w:t>苏东国家在经济转轨中通过私有化实现的、以私有制经济为基础的市场经济的状况，以及广泛推行新自由主义的南美社会经济所呈现的状况，已经充分表明了，在改革中坚持社会主义初级阶段基本经济制度的极端重要性。</w:t>
      </w:r>
    </w:p>
    <w:p w14:paraId="40E19417">
      <w:pPr>
        <w:spacing w:line="300" w:lineRule="auto"/>
        <w:ind w:firstLine="440" w:firstLineChars="200"/>
        <w:rPr>
          <w:rFonts w:ascii="宋体" w:hAnsi="宋体" w:eastAsia="宋体" w:cs="宋体"/>
        </w:rPr>
      </w:pPr>
      <w:r>
        <w:rPr>
          <w:rFonts w:hint="eastAsia" w:ascii="宋体" w:hAnsi="宋体" w:eastAsia="宋体" w:cs="宋体"/>
        </w:rPr>
        <w:t>在国有企业改革的方向和根本指导思想问题上，党中央的态度是极其鲜明的。十四届六中全会明确指出，要划清以公有制为主体、多种所有制经济共同发展与私有化的界限，坚持公有制为主体，反对私有化。坚持和完善公有制为主体、多种所有制经济共同发展的基本经济制度，坚持和完善按劳分配为主体、多种分配方式并存的分配制度，这是我国经济体制改革在基本经济制度和分配制度方面的目标。在改革中巩固和发展国有经济，对于实现这一基本改革目标具有重要意义。</w:t>
      </w:r>
    </w:p>
    <w:p w14:paraId="3401A748">
      <w:pPr>
        <w:spacing w:line="300" w:lineRule="auto"/>
        <w:ind w:firstLine="440" w:firstLineChars="200"/>
        <w:rPr>
          <w:rFonts w:ascii="宋体" w:hAnsi="宋体" w:eastAsia="宋体" w:cs="宋体"/>
        </w:rPr>
      </w:pPr>
      <w:r>
        <w:rPr>
          <w:rFonts w:hint="eastAsia" w:ascii="宋体" w:hAnsi="宋体" w:eastAsia="宋体" w:cs="宋体"/>
        </w:rPr>
        <w:t>2000年8月12 日， 江泽民同志在为准备十五届四中全会而召开的东北和华北地区国有企业改革和发展座谈会上强调：“我们要积极开拓，勇于进取，但决不搞私有化。这是一条大原则，决不能有丝毫动摇。”党的“十六大”又一次明确地提出“两个毫不动摇”。我们必须充分认识深化国有企业改革的必要性、紧迫性、艰巨性、复杂性，敢于攻坚，锐意进取；同时注重提高改革的科学性，增强改革措施的协调性，坚持社会主义市场经济改革方向，继续推进国有企业改革，促进我国国民经济的更快更好发展，实现改革的成果由人民共享的和谐发展的目标。</w:t>
      </w:r>
    </w:p>
    <w:p w14:paraId="26CD09CA">
      <w:pPr>
        <w:spacing w:line="300" w:lineRule="auto"/>
        <w:ind w:firstLine="380" w:firstLineChars="200"/>
        <w:rPr>
          <w:rFonts w:ascii="宋体" w:hAnsi="宋体" w:eastAsia="宋体" w:cs="宋体"/>
        </w:rPr>
      </w:pPr>
      <w:r>
        <w:rPr>
          <w:rFonts w:hint="eastAsia" w:ascii="宋体" w:hAnsi="宋体" w:eastAsia="宋体" w:cs="宋体"/>
          <w:sz w:val="18"/>
          <w:szCs w:val="18"/>
        </w:rPr>
        <w:t>[1]《马克思、恩格斯选集》第3 卷，人民出版社，1972 年，第318 页。</w:t>
      </w:r>
    </w:p>
    <w:p w14:paraId="02941243">
      <w:pPr>
        <w:spacing w:line="300" w:lineRule="auto"/>
        <w:ind w:firstLine="440" w:firstLineChars="200"/>
        <w:rPr>
          <w:rFonts w:ascii="宋体" w:hAnsi="宋体" w:eastAsia="宋体" w:cs="宋体"/>
        </w:rPr>
      </w:pPr>
      <w:r>
        <w:rPr>
          <w:rFonts w:hint="eastAsia" w:ascii="宋体" w:hAnsi="宋体" w:eastAsia="宋体" w:cs="宋体"/>
        </w:rPr>
        <w:t xml:space="preserve">   （原载《学习《江泽民文选》笔谈》2006年第4期）</w:t>
      </w:r>
      <w:r>
        <w:rPr>
          <w:rFonts w:ascii="宋体" w:hAnsi="宋体" w:eastAsia="宋体" w:cs="宋体"/>
        </w:rPr>
        <w:br w:type="page"/>
      </w:r>
    </w:p>
    <w:p w14:paraId="00F876C8">
      <w:pPr>
        <w:spacing w:line="300" w:lineRule="auto"/>
        <w:ind w:firstLine="660" w:firstLineChars="200"/>
        <w:rPr>
          <w:rFonts w:ascii="宋体" w:hAnsi="宋体" w:eastAsia="宋体" w:cs="Times New Roman"/>
          <w:sz w:val="32"/>
        </w:rPr>
      </w:pPr>
    </w:p>
    <w:p w14:paraId="226CF1A3">
      <w:pPr>
        <w:widowControl/>
        <w:jc w:val="left"/>
        <w:rPr>
          <w:rFonts w:ascii="等线" w:hAnsi="等线" w:eastAsia="等线" w:cs="Times New Roman"/>
          <w:kern w:val="0"/>
          <w:sz w:val="20"/>
          <w:szCs w:val="20"/>
        </w:rPr>
      </w:pPr>
    </w:p>
    <w:p w14:paraId="24C30F38">
      <w:pPr>
        <w:spacing w:before="147" w:beforeLines="50" w:after="147" w:afterLines="50" w:line="300" w:lineRule="auto"/>
        <w:ind w:firstLine="660" w:firstLineChars="200"/>
        <w:jc w:val="center"/>
        <w:outlineLvl w:val="1"/>
        <w:rPr>
          <w:rFonts w:ascii="黑体" w:hAnsi="黑体" w:eastAsia="黑体" w:cs="Times New Roman"/>
          <w:sz w:val="32"/>
        </w:rPr>
      </w:pPr>
      <w:bookmarkStart w:id="617" w:name="_Toc19806"/>
      <w:bookmarkStart w:id="618" w:name="_Toc111148968"/>
      <w:bookmarkStart w:id="619" w:name="_Toc120662135"/>
      <w:bookmarkStart w:id="620" w:name="_Toc1853539921"/>
      <w:bookmarkStart w:id="621" w:name="_Hlk110539755"/>
      <w:r>
        <w:rPr>
          <w:rFonts w:ascii="黑体" w:hAnsi="黑体" w:eastAsia="黑体" w:cs="Times New Roman"/>
          <w:sz w:val="32"/>
        </w:rPr>
        <w:t>9</w:t>
      </w:r>
      <w:r>
        <w:rPr>
          <w:rFonts w:hint="eastAsia" w:ascii="黑体" w:hAnsi="黑体" w:eastAsia="黑体" w:cs="Times New Roman"/>
          <w:sz w:val="32"/>
        </w:rPr>
        <w:t>既要“中国制造”，更要“中国标准”</w:t>
      </w:r>
      <w:bookmarkEnd w:id="617"/>
      <w:bookmarkEnd w:id="618"/>
      <w:bookmarkEnd w:id="619"/>
      <w:bookmarkEnd w:id="620"/>
    </w:p>
    <w:bookmarkEnd w:id="621"/>
    <w:p w14:paraId="3671CCFC">
      <w:pPr>
        <w:widowControl/>
        <w:spacing w:before="147" w:beforeLines="50" w:line="300" w:lineRule="auto"/>
        <w:ind w:firstLine="440" w:firstLineChars="200"/>
        <w:rPr>
          <w:rFonts w:ascii="宋体" w:hAnsi="宋体" w:eastAsia="宋体" w:cs="宋体"/>
          <w:szCs w:val="21"/>
        </w:rPr>
      </w:pPr>
      <w:r>
        <w:rPr>
          <w:rFonts w:ascii="宋体" w:hAnsi="宋体" w:eastAsia="宋体" w:cs="宋体"/>
          <w:szCs w:val="21"/>
        </w:rPr>
        <w:t>由于缺乏自主核心知识产权，使我国在转化国际标准和国外先进标准为国内标准方面、在参与并主导国际标准制定方面，与发达国家相比都存在明显差距。另外，由于某些技术标准制定与科研、生产相互脱节，以致其不能尽快适应市场及技术快速变化和发展的需求，在市场面前常处于相对尴尬的境地</w:t>
      </w:r>
      <w:r>
        <w:rPr>
          <w:rFonts w:hint="eastAsia" w:ascii="宋体" w:hAnsi="宋体" w:eastAsia="宋体" w:cs="宋体"/>
          <w:szCs w:val="21"/>
        </w:rPr>
        <w:t>。</w:t>
      </w:r>
    </w:p>
    <w:p w14:paraId="2A4BBFC8">
      <w:pPr>
        <w:widowControl/>
        <w:spacing w:line="300" w:lineRule="auto"/>
        <w:ind w:firstLine="440" w:firstLineChars="200"/>
        <w:rPr>
          <w:rFonts w:ascii="宋体" w:hAnsi="宋体" w:eastAsia="宋体" w:cs="宋体"/>
          <w:szCs w:val="21"/>
        </w:rPr>
      </w:pPr>
      <w:r>
        <w:rPr>
          <w:rFonts w:ascii="宋体" w:hAnsi="宋体" w:eastAsia="宋体" w:cs="宋体"/>
          <w:szCs w:val="21"/>
        </w:rPr>
        <w:t>我们要尽快转变技术性知识产权形成机制，加快弥补其制度环境现存缺陷。企业需要提高知识产权特别是技术性知识产权保护意识、加大技术投入和了解国家宏观调控政策以及该技术领域的国内和国际发展走向，而且各级政府也要切实执行《保护知识产权行动纲要（2006-2007年）》精神</w:t>
      </w:r>
      <w:r>
        <w:rPr>
          <w:rFonts w:hint="eastAsia" w:ascii="宋体" w:hAnsi="宋体" w:eastAsia="宋体" w:cs="宋体"/>
          <w:szCs w:val="21"/>
        </w:rPr>
        <w:t>。</w:t>
      </w:r>
    </w:p>
    <w:p w14:paraId="199AD73D">
      <w:pPr>
        <w:widowControl/>
        <w:spacing w:line="300" w:lineRule="auto"/>
        <w:ind w:firstLine="440" w:firstLineChars="200"/>
        <w:rPr>
          <w:rFonts w:ascii="宋体" w:hAnsi="宋体" w:eastAsia="宋体" w:cs="宋体"/>
          <w:szCs w:val="21"/>
        </w:rPr>
      </w:pPr>
      <w:r>
        <w:rPr>
          <w:rFonts w:ascii="宋体" w:hAnsi="宋体" w:eastAsia="宋体" w:cs="宋体"/>
          <w:szCs w:val="21"/>
        </w:rPr>
        <w:t>要想真正做强做大企业，就必须将国际标准纳入经营战略。不应沾沾自喜于“中国制造”，而应注重“中国创造”、“中国标准”。我们要仔细地分析现有做法中一些不当的和空白的地方，有选择地集中力量构建一批技术水平高、国家利益大、涉及面广和非常急需的企业技术标准、行业技术标准、地区技术标准和行业技术标准，同时积极推动企业自主知识产权的形成和发展</w:t>
      </w:r>
      <w:r>
        <w:rPr>
          <w:rFonts w:hint="eastAsia" w:ascii="宋体" w:hAnsi="宋体" w:eastAsia="宋体" w:cs="宋体"/>
          <w:szCs w:val="21"/>
        </w:rPr>
        <w:t>。</w:t>
      </w:r>
    </w:p>
    <w:p w14:paraId="76D28FA8">
      <w:pPr>
        <w:widowControl/>
        <w:spacing w:line="300" w:lineRule="auto"/>
        <w:ind w:firstLine="440" w:firstLineChars="200"/>
        <w:rPr>
          <w:rFonts w:ascii="宋体" w:hAnsi="宋体" w:eastAsia="宋体" w:cs="宋体"/>
          <w:szCs w:val="21"/>
        </w:rPr>
      </w:pPr>
      <w:r>
        <w:rPr>
          <w:rFonts w:ascii="宋体" w:hAnsi="宋体" w:eastAsia="宋体" w:cs="宋体"/>
          <w:szCs w:val="21"/>
        </w:rPr>
        <w:t>最近，中央经济工作会议强调，坚持提高自主创新能力，加快建设创新型国家。要提升自创新水平和国际竞争力，必然涉及技术性知识产权保护和创造问题。近年国家从不同方面加大了力度，取得了良好成绩，但也呈现出不少问题。</w:t>
      </w:r>
    </w:p>
    <w:p w14:paraId="7BC0F7BE">
      <w:pPr>
        <w:widowControl/>
        <w:spacing w:line="300" w:lineRule="auto"/>
        <w:ind w:firstLine="440" w:firstLineChars="200"/>
        <w:rPr>
          <w:rFonts w:ascii="宋体" w:hAnsi="宋体" w:eastAsia="宋体" w:cs="宋体"/>
          <w:szCs w:val="21"/>
        </w:rPr>
      </w:pPr>
      <w:r>
        <w:rPr>
          <w:rFonts w:ascii="宋体" w:hAnsi="宋体" w:eastAsia="宋体" w:cs="宋体"/>
          <w:b/>
          <w:bCs/>
          <w:szCs w:val="21"/>
        </w:rPr>
        <w:t>一是对技术性贸易壁垒的正确评判和应对，存在部分知识产权相关法律的缺失。</w:t>
      </w:r>
      <w:r>
        <w:rPr>
          <w:rFonts w:ascii="宋体" w:hAnsi="宋体" w:eastAsia="宋体" w:cs="宋体"/>
          <w:szCs w:val="21"/>
        </w:rPr>
        <w:t>一方面，由于知识产权和技术标准之间加速融合，原先没有引起重视的一些知识产权形态和领域已成重点，因而现有知识产权法就可能没有合适条款加以应对，致使其无法可依，进而在反垄断法和反不正竞争法等法律方面其相应部分也就无法可依。例如，在中医药知识产权方面就缺乏切合实际的、有效的保护方案。另一方面，由于现有技术法规体系不完善、不统一和不规范导致现有市场准入制度和市场监督体系不完善，从而导致一些连带的知识产权法律条款得不到有效实施，结果对技术性贸易壁垒就不能给予正确地评判和应对。</w:t>
      </w:r>
    </w:p>
    <w:p w14:paraId="1CA829A4">
      <w:pPr>
        <w:widowControl/>
        <w:spacing w:line="300" w:lineRule="auto"/>
        <w:ind w:firstLine="440" w:firstLineChars="200"/>
        <w:rPr>
          <w:rFonts w:ascii="宋体" w:hAnsi="宋体" w:eastAsia="宋体" w:cs="宋体"/>
          <w:szCs w:val="21"/>
        </w:rPr>
      </w:pPr>
      <w:r>
        <w:rPr>
          <w:rFonts w:ascii="宋体" w:hAnsi="宋体" w:eastAsia="宋体" w:cs="宋体"/>
          <w:b/>
          <w:bCs/>
          <w:szCs w:val="21"/>
        </w:rPr>
        <w:t>二是促进技术性知识产权保护机制形成的制度环境存在部分缺陷。</w:t>
      </w:r>
      <w:r>
        <w:rPr>
          <w:rFonts w:ascii="宋体" w:hAnsi="宋体" w:eastAsia="宋体" w:cs="宋体"/>
          <w:szCs w:val="21"/>
        </w:rPr>
        <w:t>伴随社会主义市场经济体制的逐步推进，原有的促进技术性知识产权保护机制形成的制度环境暴露出了不少缺陷，不仅体现在重量轻质的科技成果评价机制方面、没有对国家科技计划的专利产出作出明确要求方面、国家科技计划承担主体和市场经济竞争主体的设置错位方面，而且还体现在技术创新意识不强、科研基础薄弱、缺乏良好的技术创新机制、追求逐利性和大部分技术创新组织分散经营等方面，整体态势仍需改善。</w:t>
      </w:r>
    </w:p>
    <w:p w14:paraId="549F6A83">
      <w:pPr>
        <w:widowControl/>
        <w:spacing w:line="300" w:lineRule="auto"/>
        <w:ind w:firstLine="440" w:firstLineChars="200"/>
        <w:rPr>
          <w:rFonts w:ascii="宋体" w:hAnsi="宋体" w:eastAsia="宋体" w:cs="宋体"/>
          <w:szCs w:val="21"/>
        </w:rPr>
      </w:pPr>
      <w:r>
        <w:rPr>
          <w:rFonts w:ascii="宋体" w:hAnsi="宋体" w:eastAsia="宋体" w:cs="宋体"/>
          <w:b/>
          <w:bCs/>
          <w:szCs w:val="21"/>
        </w:rPr>
        <w:t>三是建立相对健全的技术性贸易壁垒体系还有待加强。</w:t>
      </w:r>
      <w:r>
        <w:rPr>
          <w:rFonts w:ascii="宋体" w:hAnsi="宋体" w:eastAsia="宋体" w:cs="宋体"/>
          <w:szCs w:val="21"/>
        </w:rPr>
        <w:t>由于缺乏自主核心知识产权，使我国在转化国际标准和国外先进标准为国内标准方面、在参与并主导国际标准制定方面，与发达国家相比都存在明显差距。特别是在高新技术标准化领域，不仅其比例偏低，而且影响力也很小。另外，由于某些技术标准制定与科研、生产相互脱节，以致其不能尽快适应市场及技术快速变化和发展的需求，再加上其制定主体选择错位或不适当，即使已经建起了“闪联”、EVD、TD-SCDMA和WAPI等标准，在市场面前也不得不处于相对尴尬的境地。</w:t>
      </w:r>
    </w:p>
    <w:p w14:paraId="40FF3048">
      <w:pPr>
        <w:widowControl/>
        <w:spacing w:line="300" w:lineRule="auto"/>
        <w:ind w:firstLine="440" w:firstLineChars="200"/>
        <w:rPr>
          <w:rFonts w:ascii="宋体" w:hAnsi="宋体" w:eastAsia="宋体" w:cs="宋体"/>
          <w:szCs w:val="21"/>
        </w:rPr>
      </w:pPr>
      <w:r>
        <w:rPr>
          <w:rFonts w:ascii="宋体" w:hAnsi="宋体" w:eastAsia="宋体" w:cs="宋体"/>
          <w:szCs w:val="21"/>
        </w:rPr>
        <w:t>为了解决现存问题，我们需要尽快采用新思路和新对策。第一，借鉴国外知识产权法律保护成功经验，积极完善其相关法律制度。为防止企业和企业团体滥用知识产权法，国内立法部门可以借鉴美国、日本和欧盟等发达国家知识产权法律保护的成功经验。如建立相对健全的反托拉斯法和在其国外跨国公司内部开设知识产权部门的制度建设，积极推动反垄断法的制定，尤其是知识产权许可中反垄断审查的立法工作，以限制国外企业在国内滥用技术标准、滥用专利的行为，重点应放在垄断行为方面。另外，要按照科学的方法改革和完善我国技术法规体系和运行机制。比如，对我国现行有关技术法律法规体系进行整理修订，去除其中违背国际惯例、不符合社会主义市场经济原则要求的部分；同时，要根据我国的安全要求，在涉及安全、卫生、健康、环保等诸方面制定强制性标准，制定和实施对国外相关技术产品有一定针对性、抑制性和限制性的有关法律、技术标准和检验制度，把未达到技术标准的产品拒于国门之外。</w:t>
      </w:r>
    </w:p>
    <w:p w14:paraId="195EB659">
      <w:pPr>
        <w:widowControl/>
        <w:spacing w:line="300" w:lineRule="auto"/>
        <w:ind w:firstLine="440" w:firstLineChars="200"/>
        <w:rPr>
          <w:rFonts w:ascii="宋体" w:hAnsi="宋体" w:eastAsia="宋体" w:cs="宋体"/>
          <w:szCs w:val="21"/>
        </w:rPr>
      </w:pPr>
      <w:r>
        <w:rPr>
          <w:rFonts w:ascii="宋体" w:hAnsi="宋体" w:eastAsia="宋体" w:cs="宋体"/>
          <w:szCs w:val="21"/>
        </w:rPr>
        <w:t>第二，尽快转变技术性知识产权形成机制，加快弥补其制度环境现存缺陷。除了尽快将技术性知识产权形成机制转变到市场发展轨道以外，不仅企业需要提高知识产权特别是技术性知识产权保护意识、加大技术投入和了解国家宏观调控政策以及该技术领域的国内和国际发展走向，而且各级政府也要切实执行《保护知识产权行动纲要（2006-2007年）》精神，既要用打击盗版行为、商品交易市场的商标侵权行为、加大对侵犯专利权重点问题的整治力度和加强进出口环节知识产权保护等短期工作重点及主要措施体现出来，也要用完善法律法规体系、建立高效的执法协调机制、提高企业知识产权保护能力和水平、充分发挥行业协会和知识产权中介组织的作用和加强宣传与培训等长效机制构建体现出来。</w:t>
      </w:r>
    </w:p>
    <w:p w14:paraId="3AC0A37E">
      <w:pPr>
        <w:widowControl/>
        <w:spacing w:line="300" w:lineRule="auto"/>
        <w:ind w:firstLine="440" w:firstLineChars="200"/>
        <w:rPr>
          <w:rFonts w:ascii="宋体" w:hAnsi="宋体" w:eastAsia="宋体" w:cs="宋体"/>
          <w:szCs w:val="21"/>
        </w:rPr>
      </w:pPr>
      <w:r>
        <w:rPr>
          <w:rFonts w:ascii="宋体" w:hAnsi="宋体" w:eastAsia="宋体" w:cs="宋体"/>
          <w:szCs w:val="21"/>
        </w:rPr>
        <w:t>第三，参考国际通常做法，结合当前具体国情，合理构建我国技术性贸易壁垒体系。</w:t>
      </w:r>
    </w:p>
    <w:p w14:paraId="7F6FF32C">
      <w:pPr>
        <w:widowControl/>
        <w:spacing w:line="300" w:lineRule="auto"/>
        <w:ind w:firstLine="440" w:firstLineChars="200"/>
        <w:rPr>
          <w:rFonts w:ascii="宋体" w:hAnsi="宋体" w:eastAsia="宋体" w:cs="宋体"/>
          <w:szCs w:val="21"/>
        </w:rPr>
      </w:pPr>
      <w:r>
        <w:rPr>
          <w:rFonts w:ascii="宋体" w:hAnsi="宋体" w:eastAsia="宋体" w:cs="宋体"/>
          <w:szCs w:val="21"/>
        </w:rPr>
        <w:t>我们要仔细地分析现有做法中一些不当的和空白的地方，有选择地集中力量构建一批技术水平高、国家利益大、涉及面广和非常急需的企业技术标准、行业技术标准、地区技术标准和行业技术标准，同时要从改革标准化工作管理体制以建立以企业为主体制定技术标准的新模式、组建企业技术联盟以突破外国知识产权和技术标准的壁垒、积极推动国内企业在国外申请专利以开拓世界市场、主动参与国际标准化活动以培养国际标准化人才、提高自主知识产权技术的实施率以积极扶持专利技术产业化等方面入手，积极推动企业自主知识产权的形成和发展，以为前者奠定较坚实的微观基础。只要能够采用且负面影响不大的国际标准和国际先进标准都尽量采用，不过要根据具体国情，或完全采用，或部分调整，或完全调整，或兼而有之，以适合企业、行业、地区和国家要求。</w:t>
      </w:r>
    </w:p>
    <w:p w14:paraId="25EF1132">
      <w:pPr>
        <w:widowControl/>
        <w:spacing w:line="300" w:lineRule="auto"/>
        <w:ind w:firstLine="440" w:firstLineChars="200"/>
        <w:rPr>
          <w:rFonts w:ascii="宋体" w:hAnsi="宋体" w:eastAsia="宋体" w:cs="宋体"/>
          <w:szCs w:val="21"/>
        </w:rPr>
      </w:pPr>
      <w:r>
        <w:rPr>
          <w:rFonts w:ascii="宋体" w:hAnsi="宋体" w:eastAsia="宋体" w:cs="宋体"/>
          <w:szCs w:val="21"/>
        </w:rPr>
        <w:t>第四，突出电信等重点行业，官产学联合实施“国际标准综合战略”。我国手机年产量已达3.03亿部，占全球手机产量的一半左右，但90%以上的手机中安装的汉字输入法是国外进口的，为此每年要支付数亿元的专利费，每部手机的专利费达0.3美元。况且，国外公司开发的汉字输入法所采用的汉字标准多为我国1980年发布的标准，没有执行2000年的强制性汉字标准。纵观中外商界，“三流企业卖苦力，二流企业卖产品，一流企业卖专利，超一流企业卖标准”。要想真正做强做大企业，就必须将国际标准纳入经营战略。不应沾沾自喜于“中国制造”，而应注重“中国创造”、“中国标准”。</w:t>
      </w:r>
    </w:p>
    <w:p w14:paraId="5A37A11B">
      <w:pPr>
        <w:widowControl/>
        <w:spacing w:line="300" w:lineRule="auto"/>
        <w:ind w:firstLine="440" w:firstLineChars="200"/>
        <w:rPr>
          <w:rFonts w:ascii="宋体" w:hAnsi="宋体" w:eastAsia="宋体" w:cs="宋体"/>
          <w:szCs w:val="21"/>
        </w:rPr>
      </w:pPr>
      <w:r>
        <w:rPr>
          <w:rFonts w:ascii="宋体" w:hAnsi="宋体" w:eastAsia="宋体" w:cs="宋体"/>
          <w:szCs w:val="21"/>
        </w:rPr>
        <w:t>目前，国际标准的平均标龄为3.5年，而我国现有的2.1万个国家标准平均标龄为10.2年，而且有9500个老龄的国家标准已不能用了。近几年，我国有60%的出口直接和潜在经济损失约500亿美元，其中原因之一在于老化的标准无法与国际新标准接轨。如洗衣机噪音的国家标准与国际同类标准有较大差距，导致我国市场约20%的洗衣机被迫退市。一个令人欣慰的最新信息是，2006年10月，国家广播电影电视总局颁布了自主研发的包括手机电视在内的移动多媒体广播行业标准，尽管不是国际标准，但其中涵盖的21项核心专利大多是世界领先水平；同时，国家标准委也表示用3年时间解决我国标准老化问题，争取到2015年达到国际先进水平。今后，官产学要共同展开竞争国际标准的活动，以企业的技术专利为基础，并积极加强国际认知度和交涉能力，使我国成为国际标准的大国和强国。</w:t>
      </w:r>
    </w:p>
    <w:p w14:paraId="068D96E5">
      <w:pPr>
        <w:widowControl/>
        <w:spacing w:line="300" w:lineRule="auto"/>
        <w:ind w:firstLine="440" w:firstLineChars="200"/>
        <w:rPr>
          <w:rFonts w:ascii="宋体" w:hAnsi="宋体" w:eastAsia="宋体" w:cs="宋体"/>
          <w:szCs w:val="21"/>
        </w:rPr>
      </w:pPr>
    </w:p>
    <w:p w14:paraId="603CB71C">
      <w:pPr>
        <w:widowControl/>
        <w:spacing w:line="300" w:lineRule="auto"/>
        <w:ind w:firstLine="440" w:firstLineChars="200"/>
        <w:rPr>
          <w:rFonts w:hint="eastAsia" w:ascii="宋体" w:hAnsi="宋体" w:eastAsia="宋体" w:cs="宋体"/>
          <w:szCs w:val="21"/>
        </w:rPr>
      </w:pPr>
      <w:r>
        <w:rPr>
          <w:rFonts w:hint="eastAsia" w:ascii="宋体" w:hAnsi="宋体" w:eastAsia="宋体" w:cs="宋体"/>
          <w:szCs w:val="21"/>
        </w:rPr>
        <w:t>（原载于</w:t>
      </w:r>
      <w:bookmarkStart w:id="622" w:name="_Hlk110539726"/>
      <w:r>
        <w:rPr>
          <w:rFonts w:hint="eastAsia" w:ascii="宋体" w:hAnsi="宋体" w:eastAsia="宋体" w:cs="宋体"/>
          <w:szCs w:val="21"/>
        </w:rPr>
        <w:t>《文汇报》2006年12月13日</w:t>
      </w:r>
      <w:bookmarkEnd w:id="622"/>
      <w:r>
        <w:rPr>
          <w:rFonts w:hint="eastAsia" w:ascii="宋体" w:hAnsi="宋体" w:eastAsia="宋体" w:cs="宋体"/>
          <w:szCs w:val="21"/>
        </w:rPr>
        <w:t>）</w:t>
      </w:r>
    </w:p>
    <w:p w14:paraId="35128C8F">
      <w:pPr>
        <w:widowControl/>
        <w:spacing w:line="300" w:lineRule="auto"/>
        <w:ind w:firstLine="440" w:firstLineChars="200"/>
        <w:rPr>
          <w:rFonts w:hint="eastAsia" w:ascii="宋体" w:hAnsi="宋体" w:eastAsia="宋体" w:cs="宋体"/>
          <w:szCs w:val="21"/>
        </w:rPr>
      </w:pPr>
    </w:p>
    <w:p w14:paraId="7E25786F">
      <w:pPr>
        <w:widowControl/>
        <w:spacing w:line="300" w:lineRule="auto"/>
        <w:ind w:firstLine="440" w:firstLineChars="200"/>
        <w:rPr>
          <w:rFonts w:hint="eastAsia" w:ascii="宋体" w:hAnsi="宋体" w:eastAsia="宋体" w:cs="宋体"/>
          <w:szCs w:val="21"/>
        </w:rPr>
      </w:pPr>
    </w:p>
    <w:p w14:paraId="435DE20B">
      <w:pPr>
        <w:ind w:firstLine="360"/>
        <w:jc w:val="center"/>
        <w:outlineLvl w:val="1"/>
        <w:rPr>
          <w:rFonts w:eastAsia="宋体" w:cs="Times New Roman"/>
          <w:b/>
          <w:color w:val="000000"/>
          <w:sz w:val="21"/>
          <w:szCs w:val="21"/>
        </w:rPr>
      </w:pPr>
      <w:bookmarkStart w:id="623" w:name="_Toc5680"/>
      <w:bookmarkStart w:id="624" w:name="_Toc743940177"/>
      <w:bookmarkStart w:id="625" w:name="_Toc1047668865"/>
      <w:r>
        <w:rPr>
          <w:rFonts w:hint="eastAsia" w:eastAsia="宋体" w:cs="Times New Roman"/>
          <w:b/>
          <w:color w:val="000000"/>
          <w:sz w:val="21"/>
          <w:szCs w:val="21"/>
          <w:lang w:val="en-US" w:eastAsia="zh-CN"/>
        </w:rPr>
        <w:t>10</w:t>
      </w:r>
      <w:r>
        <w:rPr>
          <w:rFonts w:hint="eastAsia" w:eastAsia="宋体" w:cs="Times New Roman"/>
          <w:b/>
          <w:color w:val="000000"/>
          <w:sz w:val="21"/>
          <w:szCs w:val="21"/>
        </w:rPr>
        <w:t>科学发展观和新自由主义发展观的论争</w:t>
      </w:r>
      <w:bookmarkEnd w:id="623"/>
      <w:bookmarkEnd w:id="624"/>
      <w:bookmarkEnd w:id="625"/>
    </w:p>
    <w:p w14:paraId="73A4E6E1">
      <w:pPr>
        <w:ind w:firstLine="360"/>
        <w:rPr>
          <w:rFonts w:eastAsia="宋体" w:cs="Times New Roman"/>
          <w:color w:val="000000"/>
          <w:sz w:val="21"/>
          <w:szCs w:val="21"/>
        </w:rPr>
      </w:pPr>
    </w:p>
    <w:p w14:paraId="152F9FE6">
      <w:pPr>
        <w:ind w:firstLine="550" w:firstLineChars="250"/>
        <w:rPr>
          <w:rFonts w:eastAsia="宋体" w:cs="Times New Roman"/>
          <w:color w:val="000000"/>
          <w:sz w:val="21"/>
          <w:szCs w:val="21"/>
        </w:rPr>
      </w:pPr>
    </w:p>
    <w:p w14:paraId="1A408F23">
      <w:pPr>
        <w:ind w:firstLine="550" w:firstLineChars="250"/>
        <w:rPr>
          <w:rFonts w:eastAsia="宋体" w:cs="Times New Roman"/>
          <w:color w:val="000000"/>
          <w:sz w:val="21"/>
          <w:szCs w:val="21"/>
        </w:rPr>
      </w:pPr>
      <w:r>
        <w:rPr>
          <w:rFonts w:hint="eastAsia" w:eastAsia="宋体" w:cs="Times New Roman"/>
          <w:color w:val="000000"/>
          <w:sz w:val="21"/>
          <w:szCs w:val="21"/>
        </w:rPr>
        <w:t>2006年初，全国两会通过了我国“十一五”发展规划，明确提出了坚持用科学发展观统领经济改革，推进中国特色社会主义市场经济的和谐发展。胡锦涛总书记在上海代表团的讲话更是对科学发展和坚持改革做了重要的阐述。在我国的经济理论学界，如何科学发展，和谐发展，也已经成为关注和讨论的热门话题。目前，中国理论界和社会公众争辩的问题，不是要不要改革，而是改革的方向之争，是坚持社会主义市场经济的改革方向，还是资本主义市场经济的改革方向，实质上是围绕科学发展观和新自由主义发展观之间的争论。</w:t>
      </w:r>
    </w:p>
    <w:p w14:paraId="67FB9EB3">
      <w:pPr>
        <w:ind w:firstLine="550" w:firstLineChars="250"/>
        <w:rPr>
          <w:rFonts w:eastAsia="宋体" w:cs="Times New Roman"/>
          <w:b/>
          <w:color w:val="000000"/>
          <w:sz w:val="21"/>
          <w:szCs w:val="21"/>
        </w:rPr>
      </w:pPr>
      <w:r>
        <w:rPr>
          <w:rFonts w:hint="eastAsia" w:eastAsia="宋体" w:cs="Times New Roman"/>
          <w:b/>
          <w:color w:val="000000"/>
          <w:sz w:val="21"/>
          <w:szCs w:val="21"/>
        </w:rPr>
        <w:t>一、科学发展观及其若干理论亮点</w:t>
      </w:r>
    </w:p>
    <w:p w14:paraId="7905F77C">
      <w:pPr>
        <w:ind w:firstLine="550" w:firstLineChars="250"/>
        <w:rPr>
          <w:rFonts w:eastAsia="宋体" w:cs="Times New Roman"/>
          <w:color w:val="000000"/>
          <w:sz w:val="21"/>
          <w:szCs w:val="21"/>
        </w:rPr>
      </w:pPr>
      <w:r>
        <w:rPr>
          <w:rFonts w:hint="eastAsia" w:eastAsia="宋体" w:cs="Times New Roman"/>
          <w:color w:val="000000"/>
          <w:sz w:val="21"/>
          <w:szCs w:val="21"/>
        </w:rPr>
        <w:t>党中央提出科学发展观首先是要全面的发展，这个全面性是有针对性地。同时又强调了它的协调性，过去我们的发展当然也注意了各种关系比例，但是总体上看，地区之间、工农业之间的协调性不够，因而科学发展观的发展是强调它的协调性。第三是强调它的可持续性，这个当然有国际背景，但首先也有中国背景，过去我们在改革开放中，对环境、生态的保护是远远不够的，对资源（包括能源）的利用水平是比较低的，是一种粗放式的，于是提出了可持续发展。</w:t>
      </w:r>
    </w:p>
    <w:p w14:paraId="1B54ECB3">
      <w:pPr>
        <w:ind w:firstLine="550" w:firstLineChars="250"/>
        <w:rPr>
          <w:rFonts w:eastAsia="宋体" w:cs="Times New Roman"/>
          <w:color w:val="000000"/>
          <w:sz w:val="21"/>
          <w:szCs w:val="21"/>
        </w:rPr>
      </w:pPr>
      <w:r>
        <w:rPr>
          <w:rFonts w:hint="eastAsia" w:eastAsia="宋体" w:cs="Times New Roman"/>
          <w:color w:val="000000"/>
          <w:sz w:val="21"/>
          <w:szCs w:val="21"/>
        </w:rPr>
        <w:t>可见，科学发展观里的发展包括了三层意思，或有三个含义即全面发展、协调发展和可持续发展。</w:t>
      </w:r>
    </w:p>
    <w:p w14:paraId="0C25F14A">
      <w:pPr>
        <w:ind w:firstLine="550" w:firstLineChars="250"/>
        <w:rPr>
          <w:rFonts w:eastAsia="宋体" w:cs="Times New Roman"/>
          <w:color w:val="000000"/>
          <w:sz w:val="21"/>
          <w:szCs w:val="21"/>
        </w:rPr>
      </w:pPr>
      <w:r>
        <w:rPr>
          <w:rFonts w:hint="eastAsia" w:eastAsia="宋体" w:cs="Times New Roman"/>
          <w:color w:val="000000"/>
          <w:sz w:val="21"/>
          <w:szCs w:val="21"/>
        </w:rPr>
        <w:t>我认为，这三个限定词表明了科学发展观的提出实际上是问题导向。过去20多年来，我们发展的成就要进一步地保持；但同时又要看到存在一定的问题，有的问题还比较严重。根据存在的问题，我们要进一步实现良性发展，于是提出了科学发展观（最早是提正确发展观，后来称为科学发展观）。</w:t>
      </w:r>
    </w:p>
    <w:p w14:paraId="310FB116">
      <w:pPr>
        <w:ind w:firstLine="550" w:firstLineChars="250"/>
        <w:rPr>
          <w:rFonts w:eastAsia="宋体" w:cs="Times New Roman"/>
          <w:color w:val="000000"/>
          <w:sz w:val="21"/>
          <w:szCs w:val="21"/>
        </w:rPr>
      </w:pPr>
      <w:r>
        <w:rPr>
          <w:rFonts w:hint="eastAsia" w:eastAsia="宋体" w:cs="Times New Roman"/>
          <w:color w:val="000000"/>
          <w:sz w:val="21"/>
          <w:szCs w:val="21"/>
        </w:rPr>
        <w:t>科学发展观的内涵很多，而其中比较突出的实际上有几个亮点，是非常重要的。</w:t>
      </w:r>
    </w:p>
    <w:p w14:paraId="5A532123">
      <w:pPr>
        <w:ind w:firstLine="550" w:firstLineChars="250"/>
        <w:rPr>
          <w:rFonts w:eastAsia="宋体" w:cs="Times New Roman"/>
          <w:color w:val="000000"/>
          <w:sz w:val="21"/>
          <w:szCs w:val="21"/>
        </w:rPr>
      </w:pPr>
      <w:r>
        <w:rPr>
          <w:rFonts w:hint="eastAsia" w:eastAsia="宋体" w:cs="Times New Roman"/>
          <w:color w:val="000000"/>
          <w:sz w:val="21"/>
          <w:szCs w:val="21"/>
        </w:rPr>
        <w:t>第一个亮点是强调提高自主创新能力。这个提法其实是针对我们过去开放中比较强调引进技术，而中国国人自主创新太少。因为过去我们主要强调“引进来”，强调引进外资和外国技术。前6年又提出“引进来”和“走出去”要并重的一种战略，但是“走出去”这一战略实践下来主要指中国企业要走出去，并没有将自主创新技术提高到一定的高度，这一点“走出去”本身没有包括。</w:t>
      </w:r>
    </w:p>
    <w:p w14:paraId="43DB071B">
      <w:pPr>
        <w:ind w:firstLine="550" w:firstLineChars="250"/>
        <w:rPr>
          <w:rFonts w:eastAsia="宋体" w:cs="Times New Roman"/>
          <w:color w:val="000000"/>
          <w:sz w:val="21"/>
          <w:szCs w:val="21"/>
        </w:rPr>
      </w:pPr>
      <w:r>
        <w:rPr>
          <w:rFonts w:hint="eastAsia" w:eastAsia="宋体" w:cs="Times New Roman"/>
          <w:color w:val="000000"/>
          <w:sz w:val="21"/>
          <w:szCs w:val="21"/>
        </w:rPr>
        <w:t>新一届的中央领导，看到了我们在开放中的一个不足之处，有针对性地提出要提高自主创新能力，并把它作为“十一五”规划的一个核心问题，作为我们整个经济结构调整的一个主题、一个主线。过去经济结构也讲要调整，但主线不清楚，而最近两三年的主线比较清晰。同这个问题有关的就是要注意国家经济安全，要注意民族经济的问题，民族企业的问题。最近有更大的呼声，提出不能对外资继续实行超国民待遇，继续对它实行在土地、特别税收等各方面的大幅度的优惠政策，实际上会损害中国的长期利益。</w:t>
      </w:r>
    </w:p>
    <w:p w14:paraId="66D1BF0F">
      <w:pPr>
        <w:ind w:firstLine="550" w:firstLineChars="250"/>
        <w:rPr>
          <w:rFonts w:eastAsia="宋体" w:cs="Times New Roman"/>
          <w:color w:val="000000"/>
          <w:sz w:val="21"/>
          <w:szCs w:val="21"/>
        </w:rPr>
      </w:pPr>
      <w:r>
        <w:rPr>
          <w:rFonts w:hint="eastAsia" w:eastAsia="宋体" w:cs="Times New Roman"/>
          <w:color w:val="000000"/>
          <w:sz w:val="21"/>
          <w:szCs w:val="21"/>
        </w:rPr>
        <w:t>现在实行中外企业两税合一，也不会减少外资的引进，因为真正有技术和管理水平的、高质量的外资仍然会进来。他们看中的是中国市场的长期投资环境，而不一定是税收，所以引进的外资质量也许更高，在这点上我是赞成最近两年的一个口号：变招商引资为招商选资。外国技术也是这样，应该优选，选择那些对国家、对产业发展最为有利的。从长期看，从整体看，选择关联度更加密切的，带动效益更加高的，而中国又十分缺乏的某种技术。8年前，我在回应北京大学有的教授提出的“全球化还有没有民族经济”问题时讲到，许多“三资企业”中是你中有我，我中有你，既有资本的合作，又有技术的合作，甚至于还有品牌合作，那么怎样判断它们是民族企业还是非民族企业呢？有的“海归”教授提出，经济全球化已没有民族企业，如果要说有民族企业，麦当劳就是民族企业，因为麦当劳用的职工都是中国人，土豆等原材料也来自于中国，那么这是否能成为判断民族经济的标准呢？在1997年的时候，我的基本结论是，真正科学的标准，一是资本，谁控股谁就控制了经营管理权，如选聘总经理，重大战略的经营权都在董事会。二是控制品牌。光控股行不行呢？针对我们在中外合资中的一些问题，比如说上海的大众等等，我提出应该控制品牌。谁控制品牌，品牌就是谁的，这是判断的标准。三是控制技术。这里的技术主要是指这个产品的核心技术，而不是指非核心技术。如大众桑塔纳轿车，我们的国产化已经达到85%，而这能否算成我们已经控制了技术呢？实际上没有控制。因为剩下来的15%是核心技术，你既没有控制，人家又不卖给你，你还是不会造汽车，顶多只是造汽车的外壳等。所以判断是民族经济还是非民族经济的标准，是根据资本，核心技术和品牌三者来判断。关键在于谁控股，谁控牌，谁控技。因此，我有个概念和战略建议，就是大力发展“三控型”民族企业集团。这一方面弄清了问题，另一方面也可作为我们的战略目标，即我们要在高端上参与国际竞争和本土竞争，我国不能总是专门生产一些低附加值的玩具、鞋帽、服装这些低端产品。</w:t>
      </w:r>
    </w:p>
    <w:p w14:paraId="147A57D5">
      <w:pPr>
        <w:ind w:firstLine="550" w:firstLineChars="250"/>
        <w:rPr>
          <w:rFonts w:eastAsia="宋体" w:cs="Times New Roman"/>
          <w:color w:val="000000"/>
          <w:sz w:val="21"/>
          <w:szCs w:val="21"/>
        </w:rPr>
      </w:pPr>
      <w:r>
        <w:rPr>
          <w:rFonts w:hint="eastAsia" w:eastAsia="宋体" w:cs="Times New Roman"/>
          <w:color w:val="000000"/>
          <w:sz w:val="21"/>
          <w:szCs w:val="21"/>
        </w:rPr>
        <w:t>科学发展观包括的第一个理论和政策亮点就是提高自主创新能力。现在中央进一步提出要搞国家科技创新体系，并逐步成为世界的一流地位。这一点我认为是非常正确的，是必须认真加以落实的。</w:t>
      </w:r>
    </w:p>
    <w:p w14:paraId="427403D0">
      <w:pPr>
        <w:ind w:firstLine="550" w:firstLineChars="250"/>
        <w:rPr>
          <w:rFonts w:eastAsia="宋体" w:cs="Times New Roman"/>
          <w:color w:val="000000"/>
          <w:sz w:val="21"/>
          <w:szCs w:val="21"/>
        </w:rPr>
      </w:pPr>
      <w:r>
        <w:rPr>
          <w:rFonts w:hint="eastAsia" w:eastAsia="宋体" w:cs="Times New Roman"/>
          <w:color w:val="000000"/>
          <w:sz w:val="21"/>
          <w:szCs w:val="21"/>
        </w:rPr>
        <w:t>第二个理论和政策的亮点是提出建设社会主义新农村，并提出了这个建设已经到了工业可以反哺农业，城市可以反哺农村的新的发展阶段。两个反哺的提出，也是作为建设新农村本身的一个基础。城市现在发展比较快，农村是有发展但相对发展较慢（除个别地区），所以有的外国人说，中国现在一些城市像欧洲、农村像非洲。这个比喻也许夸张了一些，但看到了城乡之间，工农之间的一些矛盾，包括在教育机构上面。大学的教育费用相对比较充足，而义务教育大部分在农村，这个方面的经费相对比较缺乏，于是搞希望小学。小学是国家义务教育，应该是国家确保的工程和项目，首先应该满足小学的需要，中学的需要，然后才是满足大学的需要。如果套用毛泽东过去讲的农轻重这个国民经济安排顺序，应该是小学、中学、大学这样的顺序发展，来安排教育资金。不能倒过来，否则，对国民素质、对农村的发展是十分不利的。</w:t>
      </w:r>
    </w:p>
    <w:p w14:paraId="3ED05BD9">
      <w:pPr>
        <w:ind w:firstLine="550" w:firstLineChars="250"/>
        <w:rPr>
          <w:rFonts w:eastAsia="宋体" w:cs="Times New Roman"/>
          <w:color w:val="000000"/>
          <w:sz w:val="21"/>
          <w:szCs w:val="21"/>
        </w:rPr>
      </w:pPr>
      <w:r>
        <w:rPr>
          <w:rFonts w:hint="eastAsia" w:eastAsia="宋体" w:cs="Times New Roman"/>
          <w:color w:val="000000"/>
          <w:sz w:val="21"/>
          <w:szCs w:val="21"/>
        </w:rPr>
        <w:t>第三个理论和政策亮点是社会主义和谐社会的提出。和谐这个词在中国古代就用过，在西方也用过。比如被马克思批评的法国巴师夏，他写的书叫《经济和谐论》，他主张劳资要和谐，不要搞阶级斗争，反对工人罢工，增加工资等等，因而遭到马克思代表工人阶级的强有力的批评。有些学者对中央提出这一口号有点意见。其实主要应看它的内容，因为有些美好的名词可能由资产阶级政治家和理论家先提出，但不能因为他先提你就不敢提，那样，美好的词汇都被他们占用了，而我们不敢用，这对马克思主义发展是极为不利的。以人为本也是这样，有些马克思主义哲学教授就不太赞同，认为以人为本是资产阶级先提的，已经有了特定内涵。我认为没有关系，我们把这个概念拿过来赋予它新的内容就可以了，关键是赋予的这个新内涵是否科学、是否符合时代特征和中国国情，是否有助于中国的发展和问题的解决。我看这才是应该争论的焦点。</w:t>
      </w:r>
    </w:p>
    <w:p w14:paraId="1A85C46C">
      <w:pPr>
        <w:ind w:firstLine="550" w:firstLineChars="250"/>
        <w:rPr>
          <w:rFonts w:eastAsia="宋体" w:cs="Times New Roman"/>
          <w:color w:val="000000"/>
          <w:sz w:val="21"/>
          <w:szCs w:val="21"/>
        </w:rPr>
      </w:pPr>
      <w:r>
        <w:rPr>
          <w:rFonts w:hint="eastAsia" w:eastAsia="宋体" w:cs="Times New Roman"/>
          <w:color w:val="000000"/>
          <w:sz w:val="21"/>
          <w:szCs w:val="21"/>
        </w:rPr>
        <w:t>和谐社会的经济基础是什么？已有的宣传研究文献涉及到经济问题的比较少，当然也有提到保持活力的，但这个活力包括政治，经济，文化，不单纯是经济活力问题。因此这个问题还是需要独立提出来加以研究。因为过去“和谐”用得比较多的是在西方文献上，在马克思以前，实际上只有两个人用的最多，其中一个是法国空想社会主义者傅立叶，一个是法国资产阶级庸俗经济学家巴师夏。傅立叶的主要思想就是和谐理论，他要建立的就是和谐社会，其所有制基础用今天的话讲就是股份合作制，所以他不是彻底的社会主义者，他是保留一定私有制的社会主义者。他和英国的欧文不一样，和中国的康有为也不一样。康有为是主张全球公产主义，全球社会主义的。</w:t>
      </w:r>
    </w:p>
    <w:p w14:paraId="7925A5CD">
      <w:pPr>
        <w:ind w:firstLine="550" w:firstLineChars="250"/>
        <w:rPr>
          <w:rFonts w:eastAsia="宋体" w:cs="Times New Roman"/>
          <w:color w:val="000000"/>
          <w:sz w:val="21"/>
          <w:szCs w:val="21"/>
        </w:rPr>
      </w:pPr>
      <w:r>
        <w:rPr>
          <w:rFonts w:hint="eastAsia" w:eastAsia="宋体" w:cs="Times New Roman"/>
          <w:color w:val="000000"/>
          <w:sz w:val="21"/>
          <w:szCs w:val="21"/>
        </w:rPr>
        <w:t>我们现在研究康有为、孙中山有什么现实意义呢？因为我们现在有些人（包括一些党员）的思想不用说离马克思主义有多远，就是离康有为也比较远，甚至还达不到三民主义。为什么呢？因为孙中山主张，大企业应该是国有的，应当抑制私人大资本。而我们现在有些人主张，大、中、小资本一概可以私有化，这就是新自由主义主张。可见，新自由主义是三民主义的倒退，而三民主义实际上是民主社会主义或社会民主主义。</w:t>
      </w:r>
    </w:p>
    <w:p w14:paraId="14A97509">
      <w:pPr>
        <w:ind w:firstLine="550" w:firstLineChars="250"/>
        <w:rPr>
          <w:rFonts w:eastAsia="宋体" w:cs="Times New Roman"/>
          <w:color w:val="000000"/>
          <w:sz w:val="21"/>
          <w:szCs w:val="21"/>
        </w:rPr>
      </w:pPr>
      <w:r>
        <w:rPr>
          <w:rFonts w:hint="eastAsia" w:eastAsia="宋体" w:cs="Times New Roman"/>
          <w:color w:val="000000"/>
          <w:sz w:val="21"/>
          <w:szCs w:val="21"/>
        </w:rPr>
        <w:t>2002年2月我向江泽民总书记汇报国有经济的改革和发展问题，在讲到国有经济重要性的时候，我说“十六大应该搞清一个理论问题，就是邓小平理论和三民主义有何异同点？”我研究过三民主义，关键在于邓小平理论明确地、再三地强调了社会主义的第一条原则是公有制占主体。他在南方谈话里面，有段话没有被好好地宣传。在那段话里面，邓小平在讲到计划与市场，社会主义与资本主义都可以用的时候，紧接着就说“：特区姓什么？我看特区姓社不姓资，因为公有制占四分之三。”因此，邓小平理论就是马克思主义的重要组成部分，同马克思主义经济学观点完全一致。公有制、私有制，是判断社会主义、资本主义的分水岭、首要标志。这个观点是极左吗？在马克思主义看来，在邓小平看来，就应当是这样一个基本观点。有一些人主张，公有制和私有制不是判断社会性质的。不用这个判断，那用什么判断？计划与市场？分配？都不现实。人类社会不是一笔糊涂帐，社会形态客观上有区分!你可以从罗斯托的部门划分法，按部门的重要性，把人类社会划分成农业社会，工业社会，服务社会等等；可以根据交换方式来划分——自然经济、商品经济、计划经济。这种划分都是有意义的，都是考量的一个视角，但不能取代从所有制角度来划分社会形态。马克思的五形态划分的角度，首先就是所有制，这是不能否定的。其他划分的形态也可以存在，但这个所有制形态是不能否定的。</w:t>
      </w:r>
    </w:p>
    <w:p w14:paraId="72EFC225">
      <w:pPr>
        <w:ind w:firstLine="550" w:firstLineChars="250"/>
        <w:rPr>
          <w:rFonts w:eastAsia="宋体" w:cs="Times New Roman"/>
          <w:color w:val="000000"/>
          <w:sz w:val="21"/>
          <w:szCs w:val="21"/>
        </w:rPr>
      </w:pPr>
      <w:r>
        <w:rPr>
          <w:rFonts w:hint="eastAsia" w:eastAsia="宋体" w:cs="Times New Roman"/>
          <w:color w:val="000000"/>
          <w:sz w:val="21"/>
          <w:szCs w:val="21"/>
        </w:rPr>
        <w:t>肯定资产阶级对生产力的贡献，这不仅在《共产党宣言》里，包括马克思和列宁在内的其他论著都赞同的，在肯定的基础上指出其局限性，然后再去消灭它，而有些人却误解了这一理论。因为马克思同时也指出资本主义是阻碍社会的进步，阻碍生产力的发展，所以要用社会主义公有制取代私有制。初级社会主义要适当发展私有制，但社会主义最终还是要消灭私有制。</w:t>
      </w:r>
    </w:p>
    <w:p w14:paraId="3BA85411">
      <w:pPr>
        <w:ind w:firstLine="550" w:firstLineChars="250"/>
        <w:rPr>
          <w:rFonts w:eastAsia="宋体" w:cs="Times New Roman"/>
          <w:color w:val="000000"/>
          <w:sz w:val="21"/>
          <w:szCs w:val="21"/>
        </w:rPr>
      </w:pPr>
      <w:r>
        <w:rPr>
          <w:rFonts w:hint="eastAsia" w:eastAsia="宋体" w:cs="Times New Roman"/>
          <w:color w:val="000000"/>
          <w:sz w:val="21"/>
          <w:szCs w:val="21"/>
        </w:rPr>
        <w:t>和谐社会要有所有制的基础。关于这个所有制的基础，我仍然主张中央提出的“公有制为主体，多种所有制共同发展。”这是我们初级阶段的初级和谐，而如果否定公有制必须在量上和质上占优势，那就会否定中央“两个毫不动摇”的方针，擅自变成毫不动摇地发展私有制和毫不动摇地瓦解公有制，这也就不符合中央精神了。而如果公有制的比重不是占大多数，那也肯定会导致社会的不和谐，否则美国就会和谐了，巴基斯坦、印度就会和谐了。马克思等人指出资本主义国家为什么会不和谐，首先就是讲到所有制。欧文讲到资本主义阻碍社会发展的首要根由就是私有制。初级社会主义要把私有制保持在一定的辅体地位，主体还是公有制。主体和辅体是共存的，但又有侧重点，这种所有制结构，才能保证初级社会主义的经济和谐、社会和谐和政治和谐。</w:t>
      </w:r>
    </w:p>
    <w:p w14:paraId="36968AB6">
      <w:pPr>
        <w:ind w:firstLine="550" w:firstLineChars="250"/>
        <w:rPr>
          <w:rFonts w:eastAsia="宋体" w:cs="Times New Roman"/>
          <w:color w:val="000000"/>
          <w:sz w:val="21"/>
          <w:szCs w:val="21"/>
        </w:rPr>
      </w:pPr>
      <w:r>
        <w:rPr>
          <w:rFonts w:hint="eastAsia" w:eastAsia="宋体" w:cs="Times New Roman"/>
          <w:color w:val="000000"/>
          <w:sz w:val="21"/>
          <w:szCs w:val="21"/>
        </w:rPr>
        <w:t>在和谐社会的内涵和理论上是否要增加一个所有制的变量，我是主张要加的，不加的话，构建社会主义和谐社会比较困难。</w:t>
      </w:r>
    </w:p>
    <w:p w14:paraId="54C94F8F">
      <w:pPr>
        <w:ind w:firstLine="550" w:firstLineChars="250"/>
        <w:rPr>
          <w:rFonts w:eastAsia="宋体" w:cs="Times New Roman"/>
          <w:color w:val="000000"/>
          <w:sz w:val="21"/>
          <w:szCs w:val="21"/>
        </w:rPr>
      </w:pPr>
      <w:r>
        <w:rPr>
          <w:rFonts w:hint="eastAsia" w:eastAsia="宋体" w:cs="Times New Roman"/>
          <w:color w:val="000000"/>
          <w:sz w:val="21"/>
          <w:szCs w:val="21"/>
        </w:rPr>
        <w:t>第四个理论亮点就是以人为本，即以人民的利益为本。以人为本，就是要体现广大人民的根本利益，要让人民参与改革，同时享受改革的成果。</w:t>
      </w:r>
    </w:p>
    <w:p w14:paraId="411838D2">
      <w:pPr>
        <w:ind w:firstLine="550" w:firstLineChars="250"/>
        <w:rPr>
          <w:rFonts w:eastAsia="宋体" w:cs="Times New Roman"/>
          <w:b/>
          <w:color w:val="000000"/>
          <w:sz w:val="21"/>
          <w:szCs w:val="21"/>
        </w:rPr>
      </w:pPr>
      <w:r>
        <w:rPr>
          <w:rFonts w:hint="eastAsia" w:eastAsia="宋体" w:cs="Times New Roman"/>
          <w:b/>
          <w:color w:val="000000"/>
          <w:sz w:val="21"/>
          <w:szCs w:val="21"/>
        </w:rPr>
        <w:t>二、新自由主义发展观及其弊端</w:t>
      </w:r>
    </w:p>
    <w:p w14:paraId="2240C187">
      <w:pPr>
        <w:ind w:firstLine="550" w:firstLineChars="250"/>
        <w:rPr>
          <w:rFonts w:eastAsia="宋体" w:cs="Times New Roman"/>
          <w:color w:val="000000"/>
          <w:sz w:val="21"/>
          <w:szCs w:val="21"/>
        </w:rPr>
      </w:pPr>
      <w:r>
        <w:rPr>
          <w:rFonts w:hint="eastAsia" w:eastAsia="宋体" w:cs="Times New Roman"/>
          <w:color w:val="000000"/>
          <w:sz w:val="21"/>
          <w:szCs w:val="21"/>
        </w:rPr>
        <w:t>上面对科学发展观及其若干理论亮点做了一些介绍，现在谈谈同科学发展观相对立的新自由主义发展观。国内外现在有很多人是反对新自由主义发展观的，那么到底是我们没有搞清还是自由派人士没有搞清这个理论呢？各国共产党和左翼学者，甚至凯恩斯主义者都发表了许多反对新自由主义的文章，自由派人士不是不懂。我曾经发表过几篇文章，其中一篇是西方学者如何批判新自由主义的。诺奖获得者斯蒂格利茨等人他们不仅批判新自由主义经济理论，而且认为世界银行、国际货币基金组织和世界贸易组织都是接受美国等强国的意图，对发展中国家推行新自由主义的结构改革，并做出的一些不符合发展中国家利益的举措。</w:t>
      </w:r>
    </w:p>
    <w:p w14:paraId="04C8D240">
      <w:pPr>
        <w:ind w:firstLine="660" w:firstLineChars="300"/>
        <w:rPr>
          <w:rFonts w:eastAsia="宋体" w:cs="Times New Roman"/>
          <w:color w:val="000000"/>
          <w:sz w:val="21"/>
          <w:szCs w:val="21"/>
        </w:rPr>
      </w:pPr>
      <w:r>
        <w:rPr>
          <w:rFonts w:hint="eastAsia" w:eastAsia="宋体" w:cs="Times New Roman"/>
          <w:color w:val="000000"/>
          <w:sz w:val="21"/>
          <w:szCs w:val="21"/>
        </w:rPr>
        <w:t>美国的著名马克思主义经济学家大卫·科茨（曾经出版过研究苏联解体的《自上而下的革命》一书），用实证资料证明美国由于实行某些新自由主义政策，就比实行凯恩斯主义的时候增长速度慢。法国马恩河谷大学的经济学教授迪劳内去年也用资料证明整个欧洲实行新自由主义后经济发展慢，失业率上升了。日本东京大学的著名世界级的经济学家伊藤诚教授也用实证资料证明由于实行新自由主义政策，放弃了必要的行政干预和国家主导等等，日本经济十几年一蹶不振。可见，这不仅是我们中国的马克思主义者认为新自由主义是保守的。</w:t>
      </w:r>
    </w:p>
    <w:p w14:paraId="0F17B15D">
      <w:pPr>
        <w:ind w:firstLine="550" w:firstLineChars="250"/>
        <w:rPr>
          <w:rFonts w:eastAsia="宋体" w:cs="Times New Roman"/>
          <w:color w:val="000000"/>
          <w:sz w:val="21"/>
          <w:szCs w:val="21"/>
        </w:rPr>
      </w:pPr>
      <w:r>
        <w:rPr>
          <w:rFonts w:hint="eastAsia" w:eastAsia="宋体" w:cs="Times New Roman"/>
          <w:color w:val="000000"/>
          <w:sz w:val="21"/>
          <w:szCs w:val="21"/>
        </w:rPr>
        <w:t>20世纪80年代以来，西方进入新凯恩斯主义和新自由主义在学界和政界平起平坐的阶段，但是他们在发展中国家重点推销的不是凯恩斯主义。像弗里德曼对中国讲的几个建议的中心意思是：第一，国家调控越少越好；第二，建议中国大力发展私人部门。他说过，中国改革最好不要学日本，因为日本、韩国是国家主导经济，国家政策作用比较大，也不能学美国，美国干预还太多。最好学香港，一点都不要干预。请考虑一下，为什么要英国统治了香港100年，自己都不学香港，却现在叫我们学。美国也是保护了很多年，强大了后才自由放任的，而叫我们在落后的时候先学完全自由放任，然后你的资本输出，商品进出自如。因为香港不是专门的一个独立国家，所以英国把它作为殖民地性质的地区可以采取特殊政策，主要利用港口，转口贸易和金融系统等。世界上没有一个独立的国家可以像香港一样靠自由贸易繁荣起来，特别是一个大型国家，那更不可能。世界上哪一个大国是采取香港模式发达起来的？没有的。不仅被联合国认定的49个最不发达的资本主义国家（没有一个属于社会主义国家），全是私有制加市场经济，没有靠新自由主义摆脱贫困，而且发达国家也不是先靠自由贸易和自由主义强盛起来的。唯一的例外是我们说的亚洲四小龙。撇开香港，新加坡是一个城市国家，没有典型性和代表性。而日本、韩国，甚至于我们台湾地区都是靠政府主导型市场经济才发达的。日韩这样一个国家主导的开放模式和外部冷战背景下欧美特殊的经济外交、政治外交政策，在这个条件下才出现了亚洲“四小龙”，为什么没有“八小龙”？为什么全世界别的地方没有出现？</w:t>
      </w:r>
    </w:p>
    <w:p w14:paraId="0E590DCF">
      <w:pPr>
        <w:ind w:firstLine="550" w:firstLineChars="250"/>
        <w:rPr>
          <w:rFonts w:eastAsia="宋体" w:cs="Times New Roman"/>
          <w:color w:val="000000"/>
          <w:sz w:val="21"/>
          <w:szCs w:val="21"/>
        </w:rPr>
      </w:pPr>
      <w:r>
        <w:rPr>
          <w:rFonts w:hint="eastAsia" w:eastAsia="宋体" w:cs="Times New Roman"/>
          <w:color w:val="000000"/>
          <w:sz w:val="21"/>
          <w:szCs w:val="21"/>
        </w:rPr>
        <w:t>那么，新自由主义经济学理论和政策主张什么呢？我认为有4点，而一般的中外杂志概括为3点，我认为有不精确的地方。</w:t>
      </w:r>
    </w:p>
    <w:p w14:paraId="786E809C">
      <w:pPr>
        <w:ind w:firstLine="550" w:firstLineChars="250"/>
        <w:rPr>
          <w:rFonts w:eastAsia="宋体" w:cs="Times New Roman"/>
          <w:color w:val="000000"/>
          <w:sz w:val="21"/>
          <w:szCs w:val="21"/>
        </w:rPr>
      </w:pPr>
      <w:r>
        <w:rPr>
          <w:rFonts w:hint="eastAsia" w:eastAsia="宋体" w:cs="Times New Roman"/>
          <w:color w:val="000000"/>
          <w:sz w:val="21"/>
          <w:szCs w:val="21"/>
        </w:rPr>
        <w:t>第一条是主张非调控化，就是不要搞国家调控。关于非调控化，我有一个简短的注释就是推行市场原教旨主义，就是用斯蒂格利茨、索罗斯等这些凯恩斯主义者批评他们的话。原教旨主义就是亚当·斯密告诉大家的，就是用看不见的手调节，国家只要建立一些公检法等管理部门和最低社会保障就可以了，反对新老凯恩斯主义的国家干预理论，认为国家干预越少越好，越小的政府是越好的政府。这是不对的，我主张要建立小而强的政府，我并不主张要建立小而弱的政府，而新自由主义是要建立小而弱的政府。我也不主张大而强的政府，大就是人很多，机构很多，显得臃肿，办事往往官僚主义盛行，这种政府我也不主张。我主张小而强的政府，小是指人员少、机构少，强是指功能强，要足以弥补市场调节的主要缺陷，主动发挥国家调节的积极功能。</w:t>
      </w:r>
    </w:p>
    <w:p w14:paraId="4A8C4779">
      <w:pPr>
        <w:ind w:firstLine="550" w:firstLineChars="250"/>
        <w:rPr>
          <w:rFonts w:eastAsia="宋体" w:cs="Times New Roman"/>
          <w:color w:val="000000"/>
          <w:sz w:val="21"/>
          <w:szCs w:val="21"/>
        </w:rPr>
      </w:pPr>
      <w:r>
        <w:rPr>
          <w:rFonts w:hint="eastAsia" w:eastAsia="宋体" w:cs="Times New Roman"/>
          <w:color w:val="000000"/>
          <w:sz w:val="21"/>
          <w:szCs w:val="21"/>
        </w:rPr>
        <w:t>第二条是新自由主义主张私有化。私有化的内涵是宣扬私有产权神化的永恒作用。“私有产权神化”也是斯蒂格利茨的批评性用语，所以我是打引号的。他说“科斯定理”是“科斯谬误”，“科斯谬误”宣传了一个私有产权神化，以为什么事情只要私有了就能解决问题，通过自由谈判和交易就能降低交易费用，达到社会效用或者社会产值最大化。什么牛吃草，什么火车的烟冒到农田，据说这些问题都可一举解决。其实它们都有一系列假定的，而且这些假定未必都是全面的。这些我都仔细考虑过，我曾经有本书详细的剖析了他们的理论。在肯定了他们积极作用的同时，明确指出了科斯第一定理是错误百出的，著名马克思主义经济学家、老“海归”高鸿业教授也是这样认为的。科斯第二定理是常识，错是没错。不过，他们主张这个都是要反对公有制，认为公有制的优越性都是没有实证资料可以证明的。</w:t>
      </w:r>
    </w:p>
    <w:p w14:paraId="0512CD50">
      <w:pPr>
        <w:ind w:firstLine="550" w:firstLineChars="250"/>
        <w:rPr>
          <w:rFonts w:eastAsia="宋体" w:cs="Times New Roman"/>
          <w:color w:val="000000"/>
          <w:sz w:val="21"/>
          <w:szCs w:val="21"/>
        </w:rPr>
      </w:pPr>
      <w:r>
        <w:rPr>
          <w:rFonts w:hint="eastAsia" w:eastAsia="宋体" w:cs="Times New Roman"/>
          <w:color w:val="000000"/>
          <w:sz w:val="21"/>
          <w:szCs w:val="21"/>
        </w:rPr>
        <w:t>我认为中国或者社会主义国家的所有制模式应该是34111模式，3是国有企业占30%；4是集体经济占40%，111是个体经济、私营经济、外资经济各占10%。中南财大有一个教授将我提出的这个模式概括为“虎头、熊腰、蛇尾模式”。我认为这是相对最好的模式。</w:t>
      </w:r>
    </w:p>
    <w:p w14:paraId="4297C9D8">
      <w:pPr>
        <w:ind w:firstLine="550" w:firstLineChars="250"/>
        <w:rPr>
          <w:rFonts w:eastAsia="宋体" w:cs="Times New Roman"/>
          <w:color w:val="000000"/>
          <w:sz w:val="21"/>
          <w:szCs w:val="21"/>
        </w:rPr>
      </w:pPr>
      <w:r>
        <w:rPr>
          <w:rFonts w:hint="eastAsia" w:eastAsia="宋体" w:cs="Times New Roman"/>
          <w:color w:val="000000"/>
          <w:sz w:val="21"/>
          <w:szCs w:val="21"/>
        </w:rPr>
        <w:t>第三条就是主张全球自由化。经济全球自由化是什么呢&amp;光讲自由化，好像我们搞市场经济也是要主张相当的自由化，也要提高市场化的比重，好像也是自由化。全球自由化，主要是指维护美国主导下的经济自由，具有特定内涵，即反对建立国际经济新秩序。我们也主张在相当程度上的贸易自由、投资自由等等。甚至我们比美国更主张自由，我们还主张人员跨国自由化流动。美国主张的自由往往对自己是有利的，我们马克思主义者来一个彻底的自由化，行吗&amp;我们中国人比较多，一、两亿人到美国去不是很好吗&amp;经济学分析可以降低美国的生活成本，各方面都有好处的嘛。你地方也比较大，你的资源没有充分的有效利用，我们跑去替你开发一下不是很好吗&amp;那你为什么要阻挡啊&amp;你要搞投资移民、技术移民。你这不是违反了你说的自由化，违反了自由迁徙权、人权和经济自由了吗&amp;为何只强调别的生产要素和产品自由流动，而不让作为人这一重要的生产要素自由流动呢？!美国倒满聪明的，对你有利的，你采取自由化，对你似乎不利的你就不搞自由化。西方是有目的的、有本国利益的，所以学西方经济学一定要认清实质。我们要建立国际经济新秩序，维护发展中国家的利益，严禁他们合法或非法的掠夺别国财富。</w:t>
      </w:r>
    </w:p>
    <w:p w14:paraId="005EDA9C">
      <w:pPr>
        <w:ind w:firstLine="550" w:firstLineChars="250"/>
        <w:rPr>
          <w:rFonts w:eastAsia="宋体" w:cs="Times New Roman"/>
          <w:color w:val="000000"/>
          <w:sz w:val="21"/>
          <w:szCs w:val="21"/>
        </w:rPr>
      </w:pPr>
      <w:r>
        <w:rPr>
          <w:rFonts w:hint="eastAsia" w:eastAsia="宋体" w:cs="Times New Roman"/>
          <w:color w:val="000000"/>
          <w:sz w:val="21"/>
          <w:szCs w:val="21"/>
        </w:rPr>
        <w:t>第四，主张福利个人化。为什么我要加这一点呢&amp;其实各国的学者都知道，只是他们概括的时候大多没有加进去，但是我觉得要加。福利个人化是什么意思呢&amp;就是强调保障的责任由国家向个人转移，反对福利国家。原来在凯恩斯主义的时候，西方国家搞了不少福利政策。当然存在外部因素，即当时社会主义阵营越来越强大，给垄断资产阶级形成威胁。西方发达国家觉得必须把本国的福利也要搞好。如果搞不好的话，工人阶级就会赞成社会主义。苏东国家一变，社会主义威胁很小了，所以资产阶级大砍群众福利。他们制造的经济学理论就说高福利使得国家高开支，高开支就高税收，高税收就是影响效率。事实上就是影响大资本家赚钱了，以这个名义大砍各资本主义国家人民的福利。美国共产党、日本和俄罗斯等的马克思主义学者都是这么说的。统计资料可以证明，美国的贫富两级分化是自1947年以来最严重的。工人近一、二十年实际收入没涨一分。而董事和资方代理人（经理）的收入和收益急剧上升。为什么要大幅度提升他们的收入呢？因为这些股东和总经理有时候需要合谋，包括合谋对付工人、做假帐等，也需要去进行各种合法和非法的公关，搞院外活动。在新自由主义盛行下，劳动阶级的福利涨的很慢，甚至反而下降。</w:t>
      </w:r>
    </w:p>
    <w:p w14:paraId="63BE2EDE">
      <w:pPr>
        <w:ind w:firstLine="660" w:firstLineChars="300"/>
        <w:rPr>
          <w:rFonts w:eastAsia="宋体" w:cs="Times New Roman"/>
          <w:color w:val="000000"/>
          <w:sz w:val="21"/>
          <w:szCs w:val="21"/>
        </w:rPr>
      </w:pPr>
    </w:p>
    <w:p w14:paraId="080187D9">
      <w:pPr>
        <w:ind w:firstLine="660" w:firstLineChars="300"/>
        <w:rPr>
          <w:rFonts w:eastAsia="宋体" w:cs="Times New Roman"/>
          <w:color w:val="000000"/>
          <w:sz w:val="21"/>
          <w:szCs w:val="21"/>
        </w:rPr>
      </w:pPr>
      <w:r>
        <w:rPr>
          <w:rFonts w:hint="eastAsia" w:eastAsia="宋体" w:cs="Times New Roman"/>
          <w:color w:val="000000"/>
          <w:sz w:val="21"/>
          <w:szCs w:val="21"/>
        </w:rPr>
        <w:t>（本文根据中国社科院马克思主义研究院常务副院长程恩富教授于2006年4月10日在上海市经济学会社会主义经济理论专业委员会、上海金融学院经济发展研究所、宣传部、科研处联合举办的高层学术报告会上的演讲整理，未经本人审阅。）</w:t>
      </w:r>
    </w:p>
    <w:p w14:paraId="618FEA56">
      <w:pPr>
        <w:ind w:firstLine="550" w:firstLineChars="250"/>
        <w:rPr>
          <w:rFonts w:eastAsia="宋体" w:cs="Times New Roman"/>
          <w:color w:val="000000"/>
          <w:sz w:val="21"/>
          <w:szCs w:val="21"/>
        </w:rPr>
      </w:pPr>
    </w:p>
    <w:p w14:paraId="00E707FE">
      <w:pPr>
        <w:rPr>
          <w:rFonts w:eastAsia="宋体" w:cs="Times New Roman"/>
          <w:sz w:val="21"/>
          <w:szCs w:val="24"/>
        </w:rPr>
      </w:pPr>
      <w:r>
        <w:rPr>
          <w:rFonts w:hint="eastAsia" w:eastAsia="宋体" w:cs="Times New Roman"/>
          <w:color w:val="000000"/>
          <w:sz w:val="21"/>
          <w:szCs w:val="21"/>
        </w:rPr>
        <w:t>（原载《上海金融学院学报》2006年第5期）</w:t>
      </w:r>
    </w:p>
    <w:p w14:paraId="0560F730">
      <w:pPr>
        <w:rPr>
          <w:rFonts w:ascii="黑体" w:hAnsi="黑体" w:eastAsia="黑体"/>
          <w:sz w:val="32"/>
          <w:szCs w:val="32"/>
        </w:rPr>
      </w:pPr>
    </w:p>
    <w:p w14:paraId="395907C0">
      <w:pPr>
        <w:rPr>
          <w:rFonts w:ascii="黑体" w:hAnsi="黑体" w:eastAsia="黑体"/>
          <w:sz w:val="32"/>
          <w:szCs w:val="32"/>
        </w:rPr>
      </w:pPr>
    </w:p>
    <w:p w14:paraId="707DBC0D">
      <w:pPr>
        <w:rPr>
          <w:rFonts w:ascii="黑体" w:hAnsi="黑体" w:eastAsia="黑体"/>
          <w:sz w:val="32"/>
          <w:szCs w:val="32"/>
        </w:rPr>
      </w:pPr>
    </w:p>
    <w:p w14:paraId="55CDC588">
      <w:pPr>
        <w:rPr>
          <w:rFonts w:ascii="黑体" w:hAnsi="黑体" w:eastAsia="黑体"/>
          <w:sz w:val="32"/>
          <w:szCs w:val="32"/>
        </w:rPr>
      </w:pPr>
    </w:p>
    <w:p w14:paraId="306493B6">
      <w:pPr>
        <w:rPr>
          <w:rFonts w:ascii="黑体" w:hAnsi="黑体" w:eastAsia="黑体"/>
          <w:sz w:val="32"/>
          <w:szCs w:val="32"/>
        </w:rPr>
      </w:pPr>
    </w:p>
    <w:p w14:paraId="56A5EE9C">
      <w:pPr>
        <w:ind w:firstLine="360"/>
        <w:jc w:val="center"/>
        <w:outlineLvl w:val="1"/>
        <w:rPr>
          <w:rFonts w:eastAsia="宋体" w:cs="Times New Roman"/>
          <w:b/>
          <w:color w:val="000000"/>
          <w:sz w:val="21"/>
          <w:szCs w:val="21"/>
        </w:rPr>
      </w:pPr>
      <w:bookmarkStart w:id="626" w:name="_Toc362"/>
      <w:bookmarkStart w:id="627" w:name="_Toc257922081"/>
      <w:bookmarkStart w:id="628" w:name="_Toc18454"/>
      <w:bookmarkStart w:id="629" w:name="_Toc78713289"/>
      <w:bookmarkStart w:id="630" w:name="_Toc752762005"/>
      <w:bookmarkStart w:id="631" w:name="_Toc952192302"/>
      <w:r>
        <w:rPr>
          <w:rFonts w:hint="eastAsia" w:eastAsia="宋体" w:cs="Times New Roman"/>
          <w:b/>
          <w:color w:val="000000"/>
          <w:sz w:val="21"/>
          <w:szCs w:val="21"/>
          <w:lang w:val="en-US" w:eastAsia="zh-CN"/>
        </w:rPr>
        <w:t>11</w:t>
      </w:r>
      <w:r>
        <w:rPr>
          <w:rFonts w:hint="eastAsia" w:eastAsia="宋体" w:cs="Times New Roman"/>
          <w:b/>
          <w:color w:val="000000"/>
          <w:sz w:val="21"/>
          <w:szCs w:val="21"/>
        </w:rPr>
        <w:t>建设社会主义新农村要倡导集体经济和合作经济模式多样化</w:t>
      </w:r>
      <w:bookmarkEnd w:id="626"/>
      <w:bookmarkEnd w:id="627"/>
      <w:bookmarkEnd w:id="628"/>
      <w:bookmarkEnd w:id="629"/>
      <w:bookmarkEnd w:id="630"/>
      <w:bookmarkEnd w:id="631"/>
    </w:p>
    <w:p w14:paraId="1B362B89">
      <w:pPr>
        <w:ind w:firstLine="360"/>
        <w:rPr>
          <w:rFonts w:eastAsia="宋体" w:cs="Times New Roman"/>
          <w:color w:val="000000"/>
          <w:sz w:val="21"/>
          <w:szCs w:val="24"/>
        </w:rPr>
      </w:pPr>
    </w:p>
    <w:p w14:paraId="0C8EA8EA">
      <w:pPr>
        <w:ind w:firstLine="360"/>
        <w:rPr>
          <w:rFonts w:eastAsia="宋体" w:cs="Times New Roman"/>
          <w:color w:val="000000"/>
          <w:sz w:val="21"/>
          <w:szCs w:val="24"/>
        </w:rPr>
      </w:pPr>
      <w:r>
        <w:rPr>
          <w:rFonts w:hint="eastAsia" w:eastAsia="宋体" w:cs="Times New Roman"/>
          <w:color w:val="000000"/>
          <w:sz w:val="21"/>
          <w:szCs w:val="24"/>
        </w:rPr>
        <w:t>关于我国农村改革与发展的目标，邓小平早在1990年就曾做过高屋建瓴的描述。他说：“中国社会主义农业的改革与发展，从长远的观点看，要有两个飞跃。第一个飞跃，是废除人民公社，实行家庭联产承包为主的责任制，这是一个很大的前进，要长期坚持不变。第二个飞跃，是适应科学种田和生产社会化的需要，发展适度规模经营，发展集体经济。这是又一个很大的前进，当然这是很长的过程”。当前，我国进入社会主义新农村建设时期，需倡导农村集体经济和合作经济发展的多样化模式。本文主张，遵循邓小平关于“社会主义农业改革和发展的两个飞跃”的思想和科学发展观的精神，在建设社会主义新农村进程中，应在以家庭联产承包为基础的双层经营体制下，切实发展统分结合的集体层经营，积极壮大农村集体所有制经济，强化多种模式的合作经济发展，切实做到农村各类集体企业和合作企业同市场经济的充分衔接和融合，从所有制和产权制度上促进“三农”难题的缓解。</w:t>
      </w:r>
    </w:p>
    <w:p w14:paraId="1BAB6B4C">
      <w:pPr>
        <w:ind w:firstLine="538" w:firstLineChars="245"/>
        <w:rPr>
          <w:rFonts w:eastAsia="宋体" w:cs="Times New Roman"/>
          <w:b/>
          <w:color w:val="000000"/>
          <w:sz w:val="21"/>
          <w:szCs w:val="24"/>
        </w:rPr>
      </w:pPr>
      <w:r>
        <w:rPr>
          <w:rFonts w:hint="eastAsia" w:eastAsia="宋体" w:cs="Times New Roman"/>
          <w:b/>
          <w:color w:val="000000"/>
          <w:sz w:val="21"/>
          <w:szCs w:val="24"/>
        </w:rPr>
        <w:t>一、切实发展统分结合的集体层经营</w:t>
      </w:r>
    </w:p>
    <w:p w14:paraId="1CFD2604">
      <w:pPr>
        <w:ind w:firstLine="550" w:firstLineChars="250"/>
        <w:rPr>
          <w:rFonts w:eastAsia="宋体" w:cs="Times New Roman"/>
          <w:color w:val="000000"/>
          <w:sz w:val="21"/>
          <w:szCs w:val="24"/>
        </w:rPr>
      </w:pPr>
      <w:r>
        <w:rPr>
          <w:rFonts w:hint="eastAsia" w:eastAsia="宋体" w:cs="Times New Roman"/>
          <w:color w:val="000000"/>
          <w:sz w:val="21"/>
          <w:szCs w:val="24"/>
        </w:rPr>
        <w:t>二十多年来，我国实行以家庭联产承包为基础的统分结合的双层经营体制取得了一定成效，但也遇到一些问题。主要是统分结合的双层经营体制不健全、不完善，较为普遍的存在着重家庭经营、轻双层经营的倾向。关于双层经营中的集体层经营有认识上的误区，从而给农业长远发展造成不利影响。因此，扫清这些误区，求真务实地发展统分结合的集体层经营，应是保证农村经济健康发展的重要途径。</w:t>
      </w:r>
    </w:p>
    <w:p w14:paraId="489A4A02">
      <w:pPr>
        <w:ind w:firstLine="550" w:firstLineChars="250"/>
        <w:rPr>
          <w:rFonts w:eastAsia="宋体" w:cs="Times New Roman"/>
          <w:color w:val="000000"/>
          <w:sz w:val="21"/>
          <w:szCs w:val="24"/>
        </w:rPr>
      </w:pPr>
      <w:r>
        <w:rPr>
          <w:rFonts w:hint="eastAsia" w:eastAsia="宋体" w:cs="Times New Roman"/>
          <w:color w:val="000000"/>
          <w:sz w:val="21"/>
          <w:szCs w:val="24"/>
        </w:rPr>
        <w:t>1.统分结合的双层经营体制的原本含义。1991年中共中央关于进一步加强农业和农村工作的决定中曾指出：“完善双层经营体制，包括完善家庭承包经营和集体统一经营。家庭承包经营不是‘分田单干’，集体统一经营也不是‘归大堆’。这两个经营层次相互依存、相互补充、相互促进，忽视任何一个方面，都不利于农村经济的发展。”“统分结合，双层经营”的核心是土地所有权和使用权的分离，集体以所有权为基础，发展各类集体层生产经营，尤其是公共服务型经济，使一家一户的分散经营同大市场实现对接。即农户分户耕作，集体统一服务，“统”与“分”有机结合于社会主义市场经济条件下的农业生产经营之中。具体从组织和职能两个方面看，家庭层次或分散层次是以无土地所有权家庭为基本经营单位，以相对独立的商品生产者的身份，通过承包合同，使用承包土地和生产资料进行生产，获取生产收益。农户拥有生产自主权、产品出售权、收益支配权。集体层次或统一层次的组织主体为土地集体所有者，是出让土地使用权的发包单位。其职能包括对土地发包和承包规定统一的行为规则，对重大问题做出统一决策，对基础层次各经营单位进行必要的协调、管理和服务，建立合作经济组织，与其他社会组织和政府进行沟通和协调等。因此，集体不仅保持了土地等基本生产资料的所有权，而且还具有生产服务、协调管理、资源开发、兴办企业、资产积累等统一经营职能；农户对集体是承包关系，家庭承包经营是集体经济内部的一个经营层次，是集体经济的组成部分。</w:t>
      </w:r>
    </w:p>
    <w:p w14:paraId="1F7DD575">
      <w:pPr>
        <w:ind w:firstLine="550" w:firstLineChars="250"/>
        <w:rPr>
          <w:rFonts w:eastAsia="宋体" w:cs="Times New Roman"/>
          <w:color w:val="000000"/>
          <w:sz w:val="21"/>
          <w:szCs w:val="24"/>
        </w:rPr>
      </w:pPr>
      <w:r>
        <w:rPr>
          <w:rFonts w:hint="eastAsia" w:eastAsia="宋体" w:cs="Times New Roman"/>
          <w:color w:val="000000"/>
          <w:sz w:val="21"/>
          <w:szCs w:val="24"/>
        </w:rPr>
        <w:t>2．当前双层经营体制中存在的问题和原因。经过二十多年的实践，以家庭联产承包为基础的统分结合的双层经营体制涌现出了多种模式。然而，为数较多的是以分为主的统分结合或有分无统的类型，其共同点是集体积累较少，力量薄弱，因而在实践中农村双层经营体制一直存在着矛盾。一方面，家庭承包经营在大多数地区往往成了以户为单位的个体经济，这与农村生产社会化、专业化、商品化趋势不相适应。具体表现为：农户经营规模过小，经营方式过于分散，生产经营信息不灵通，土地难以合理集中，农业适度规模经营不易推行，农业集约化程度非常低。另一方面，集体统一经营和家庭分散经营两个层次发展失衡，存在只“分”无“统”的不良倾向，“统”层的功能弱化甚至缺失。多数地方的集体层次经营有名无实，明显落后于家庭分散层次。主要表现在：一是集体财产权归属不清，缺乏规范。二是集体统一经营抓不起来，流于口号和形式，农村集体经济组织的组织制度不科学，缺乏科学的管理约束机制。三是集体经济没有实力，集体资产流失，自有资金拮据，无力组织农村基础设施建设，无力为农户提供产前、产中、产后等各种形式的配套服务，处于“空壳”状态，这也是造成各地随意向农民乱摊派、乱收费和农民负担重的重要原因。出现这些问题的原因既包括农村经济制度上的缺陷，更重要的是对统分结合的双层经营体制存在认识上的误区和实施上的错位。在很多地区建立家庭联产承包制度之初，认为包干到户后没有必要留存公共积累，所以集体资产被全部作价按人口分给了农民，使集体经济发展失去物质基础。由于人民公社时期的错误，人们对集体经济缺乏信心，只重视家庭经营而忽视发展集体经营，导致执行中的偏离，其结果是只有家庭单一经营，而没有双层经营，农村集体经济组织失去了应有的经济功能。</w:t>
      </w:r>
    </w:p>
    <w:p w14:paraId="4558B135">
      <w:pPr>
        <w:ind w:firstLine="550" w:firstLineChars="250"/>
        <w:rPr>
          <w:rFonts w:eastAsia="宋体" w:cs="Times New Roman"/>
          <w:color w:val="000000"/>
          <w:sz w:val="21"/>
          <w:szCs w:val="24"/>
        </w:rPr>
      </w:pPr>
      <w:r>
        <w:rPr>
          <w:rFonts w:hint="eastAsia" w:eastAsia="宋体" w:cs="Times New Roman"/>
          <w:color w:val="000000"/>
          <w:sz w:val="21"/>
          <w:szCs w:val="24"/>
        </w:rPr>
        <w:t>3．切实发展统分结合的集体层经营的适时性和具体措施。党的十六大报告指出，要“长期稳定并不断完善以家庭承包经营为基础、统分结合的双层经营体制。”目前，我国大部分农民没有社会保障，土地仍是其重要的生产和生活保障，加上我国人多地少的国情，决定这种双层经营体制是适应现阶段我国农村生产力的发展现状的。在建设社会主义新农村进程中，切实发展统分结合的集体层经营的适时性和优越性已充分显示。第一，可改善农业发展缺乏集体服务和某些萎缩状况。农业集自然生产与经济再生产为一体，一方面受自然条件的影响，生产条件复杂多变，需要生产经营者灵活应变，及时做出决策。另一方面，农业的再生产要求生产中一系列带共性的重要项目和内容，如，农业基础设施、农田灌溉设施、抗御灾害、农业生产技术服务、农业市场化服务等，都需要集体经济组织来解决。但目前我国农村中集体层经营上的缺失，使农业经济再生产在某些地区处于停顿状态，集体服务和支持流于形式，农业生产和收益受到影响。因此，切实发展统分结合的集体层经营，可改进农民对农业生产的长期投入降低，甚至在许多地区出现不同程度的“撂荒”现象，以便逐步消除农业用地的浪费和农业生产的某些萎缩，也有利于提高农民收入，克服消费需求的不足。第二，可改善农民的市场交易地位和状况。农民在市场经济体制下的小生产模式与千变万化的社会大市场存在矛盾，作为市场主体同高度组织化的企业主体是不平等的，农民在交易中处于被动和弱势地位。由于生产的专业化水平低，难以提高产品附加值，“个体农民”在市场竞争中处于劣势地位。目前，改变农民弱势地位的重要方面之一，是必须加强农村集体经济的市场交易力量，增强作为经济整体的“集体农民”的地位。第三，可改善农村精神文明建设状况。社会主义制度的优越性在一定程度上需要通过集体经济的优越性体现出来。由于一些地方集体经济相当薄弱，过去已消失的封建迷信活动、赌博等活动又开始盛行，社会治安混乱，儿童失学辍学问题严重。而集体经济力量雄厚的乡村则恰恰相反，农民群众的物质和精神文明程度都提高较快，体现了社会主义新农村的面貌。</w:t>
      </w:r>
    </w:p>
    <w:p w14:paraId="67FE5E64">
      <w:pPr>
        <w:ind w:firstLine="550" w:firstLineChars="250"/>
        <w:rPr>
          <w:rFonts w:eastAsia="宋体" w:cs="Times New Roman"/>
          <w:color w:val="000000"/>
          <w:sz w:val="21"/>
          <w:szCs w:val="24"/>
        </w:rPr>
      </w:pPr>
      <w:r>
        <w:rPr>
          <w:rFonts w:hint="eastAsia" w:eastAsia="宋体" w:cs="Times New Roman"/>
          <w:color w:val="000000"/>
          <w:sz w:val="21"/>
          <w:szCs w:val="24"/>
        </w:rPr>
        <w:t>当前，当务之急就是要大力发展统分结合的集体层经营，改变“统”“分”失衡的现状。一是集体层经营的具体形式可以多样，不要一刀切。集体层的经济实力关系到农民负担的轻重和实现共同富裕的进程，但大力发展集体层经营要因地制宜，充分发挥“统”的优势，尤其是在推动农业适度规模经营、产业化等方面发挥主导作用。可以实行集体独资模式，可以搞股份合作制，也可以引进外国资本和技术来发展集体产业。二是要以增强集体层的经济实力为目标。既要加强农村现有集体资产的管理，清产核资，确保集体资产保值增值，又需要在财力和物力上增强集体经济自我积累的功能，同时要杜绝各种乱收费、乱摊派现象，精简干部，减少开支。三是集体层经营需要从组织和产业两个方面进行重新定位。统一经营不应再仅限于村、乡等行政区域，而应逐步扩展到各种层次的合作经济组织和服务联合体。目前，农业经营打破了过去单一的粮食、畜禽生产模式，各种养殖业、非农产业蓬勃发展。因此，统一经营的产业范围也需要进行相应的扩展。四是各级政府及政策要积极引导。应在银行贷款、税收、技术支持、产业项目、人员培训、干部考核等多方面，鼓励集体层经营。对通过集体层经营而共同致富的先进基层单位要大力宣传表扬，以不断营造良好的舆论和制度环境。</w:t>
      </w:r>
    </w:p>
    <w:p w14:paraId="46F31C68">
      <w:pPr>
        <w:ind w:firstLine="550" w:firstLineChars="250"/>
        <w:rPr>
          <w:rFonts w:eastAsia="宋体" w:cs="Times New Roman"/>
          <w:b/>
          <w:color w:val="000000"/>
          <w:sz w:val="21"/>
          <w:szCs w:val="24"/>
        </w:rPr>
      </w:pPr>
      <w:r>
        <w:rPr>
          <w:rFonts w:hint="eastAsia" w:eastAsia="宋体" w:cs="Times New Roman"/>
          <w:b/>
          <w:color w:val="000000"/>
          <w:sz w:val="21"/>
          <w:szCs w:val="24"/>
        </w:rPr>
        <w:t>二、积极壮大农村集体所有制经济</w:t>
      </w:r>
    </w:p>
    <w:p w14:paraId="282DBD90">
      <w:pPr>
        <w:ind w:firstLine="550" w:firstLineChars="250"/>
        <w:rPr>
          <w:rFonts w:eastAsia="宋体" w:cs="Times New Roman"/>
          <w:color w:val="000000"/>
          <w:sz w:val="21"/>
          <w:szCs w:val="24"/>
        </w:rPr>
      </w:pPr>
      <w:r>
        <w:rPr>
          <w:rFonts w:hint="eastAsia" w:eastAsia="宋体" w:cs="Times New Roman"/>
          <w:color w:val="000000"/>
          <w:sz w:val="21"/>
          <w:szCs w:val="24"/>
        </w:rPr>
        <w:t>1．充分肯定和壮大“完全集体所有制”。经济学完全或纯粹意义上的农村集体所有制经济，是指生产资料归农村部分劳动者集体所有的一种公有制形式，并在分配上实行多种形式按劳分配。其严格的经济本质规定性是“整体所有、自主决策、联合劳动、按劳分配”。农村集体所有制经济包括两方面：一是农业中的集体所有制。二是农村中的乡办集体企业和村办集体企业。目前，与市场经济结合和管理水平很高的集体经济模式，如，南街村、刘庄、竹林、华西村等都是走“集体经济，共同富裕”的典范。当然，这些实行集体所有制较好的地区都有其特定的主客观条件。首先，当地的集体经济具有一定的基础，且集体经济的优越性很快得以体现出来，足以吸引个体、私营经济的加入。其次，这些村集体都有强有力的带头人和领导班子。不可否认的是，它们的存在和发展充分体现了集体经济在使人民群众走上共同富裕道路上的不可比拟的优势。不论是南街村，还是刘庄等，其人均纯收入、社会保障制度、居民生活环境、精神文化生活等早在上世纪九十年代中期就已达到甚至超过小康水平。而且它们现在已具备了很强的经济实力和发展后劲，正在向更高层次的共同富裕迈进。因此，我们应鼓励在条件合适的地区继续发展、壮大“完全集体经济模式”，促进农村经济的长远发展。</w:t>
      </w:r>
    </w:p>
    <w:p w14:paraId="7A453673">
      <w:pPr>
        <w:ind w:firstLine="550" w:firstLineChars="250"/>
        <w:rPr>
          <w:rFonts w:eastAsia="宋体" w:cs="Times New Roman"/>
          <w:color w:val="000000"/>
          <w:sz w:val="21"/>
          <w:szCs w:val="24"/>
        </w:rPr>
      </w:pPr>
      <w:r>
        <w:rPr>
          <w:rFonts w:hint="eastAsia" w:eastAsia="宋体" w:cs="Times New Roman"/>
          <w:color w:val="000000"/>
          <w:sz w:val="21"/>
          <w:szCs w:val="24"/>
        </w:rPr>
        <w:t>2．适度推动农业的“集体化和集约化”进程。改革开放以来，邓小平多次反复强调“社会主义农业的改革和发展第二个飞跃”的思想。1992年7月，他在审阅中共十四大报告稿时再次强调和阐发了“两个飞跃”的重要思想。邓小平指出：“农业的改革和发展会有两个飞跃，第一个飞跃是废除人民公社，实行家庭联产承包为主的责任制，第二个飞跃就是发展集体经济。”农村改革以后，我国绝大多数原有“完全集体所有制”经济都改建为以家庭联产承包为基础的统分结合的双层经营体制。这种体制坚持了基本农业生产资料（土地）的集体所有制的根本性质，同时其落实到每户的土地承包形式体现了在所有权面前的平等性，并明确了一定的产权、责任和利益分配关系，使集体利益与个人利益采取了新的结合形式，调动了农民生产的积极性，总的来说是促进了我国农业的发展。在这一体制下，农村“完全集体所有制”经济在内涵和外延上都有较大改变。如，土地长期承包基础上的集体所有制与其他日渐增多的生产资料私人所有制相结合，或集体资产量化为私人所有，按劳分配和按生产要素产权分配相结合。各种混合型的“准集体所有制”、“半集体所有制”、“集体合作所有制”、“股份合作所有制”或“合作股份私有制”经济呈现多样化模式。</w:t>
      </w:r>
    </w:p>
    <w:p w14:paraId="6A981792">
      <w:pPr>
        <w:ind w:firstLine="550" w:firstLineChars="250"/>
        <w:rPr>
          <w:rFonts w:eastAsia="宋体" w:cs="Times New Roman"/>
          <w:color w:val="000000"/>
          <w:sz w:val="21"/>
          <w:szCs w:val="24"/>
        </w:rPr>
      </w:pPr>
      <w:r>
        <w:rPr>
          <w:rFonts w:hint="eastAsia" w:eastAsia="宋体" w:cs="Times New Roman"/>
          <w:color w:val="000000"/>
          <w:sz w:val="21"/>
          <w:szCs w:val="24"/>
        </w:rPr>
        <w:t>进入21世纪以来，面对经济全球化和国外农业的激烈竞争，带有小农分散生产方式特点的家庭联产承包责任制，与集约和规模经营的现代化生产方式要求相差甚远，其能量和潜力有限。按照邓小平关于“两个飞跃”思想，社会主义农业改革和发展的第一个飞跃是通过改革确立适应农业生产特点的家庭经营这一基本制度，使农户拥有自主经营权，能更好地发挥生产主动性，这是农业微观经济组织的一次大调整；第二个飞跃是在第一个飞跃取得重大成果基础上，发展适度规模经营，发展集体经济。“两个飞跃”都是以适应生产力发展的要求为出发点和落脚点。建设社会主义新农村应当遵照邓小平的战略思想和方针，探讨如何适时适度发展农村“集体化和集约化”问题，逐步实现农村经济的“第二次飞跃”。</w:t>
      </w:r>
    </w:p>
    <w:p w14:paraId="41BB4E4A">
      <w:pPr>
        <w:ind w:firstLine="550" w:firstLineChars="250"/>
        <w:rPr>
          <w:rFonts w:eastAsia="宋体" w:cs="Times New Roman"/>
          <w:color w:val="000000"/>
          <w:sz w:val="21"/>
          <w:szCs w:val="24"/>
        </w:rPr>
      </w:pPr>
      <w:r>
        <w:rPr>
          <w:rFonts w:hint="eastAsia" w:eastAsia="宋体" w:cs="Times New Roman"/>
          <w:color w:val="000000"/>
          <w:sz w:val="21"/>
          <w:szCs w:val="24"/>
        </w:rPr>
        <w:t>3．提倡和发展集体经济联合体。我国的行政单位村受自然条件和经济发展水平影响，规模都比较小，且村落分散。2005年全国乡镇数量为35509个，行政村640139个。由此造成的突出问题是增加村级管理成本，加重农民负担，制约集体经济发展。因此，以村为单位的集体经济普遍存在集体经济实力薄弱的问题。与我国不同，西方发达国家农业生产的基本单位是资本主义私人农场。二战后，随着农业机械化在发达国家的逐步实现及在政府的引导和各种农民组织的帮助下，通过租赁、转让、合并等形式，许多专业化、机械化、商品化程度很高的大农场逐渐发展起来。我国已加入世界贸易组织，农业逐渐面临国外大农场的激烈竞争，如何增强我国农业的竞争力成为日益紧迫的问题。但这并不意味着我国就应主要发展国外大农场模式的集体经济。第一，人多地少的基本国情决定了我国的土地制度适宜土地的集体所有制模式。国外大农场意味着少数人占有大量土地，这不符合我国国情。我国农村土地要想形成类似国外大农场的规模，先要以农村大量剩余劳动力的转移为前提。第二，扩大农业生产规模可提高机械化水平、降低生产成本，但并不一定能增强自身的综合实力。我国农业与国外发达国家进行竞争，不可能单纯靠增大规模来实现，而要提倡和发展集体经济联合体，增强综合竞争能力和整体竞争能力，提高科技含量和生产经营效率。第三，我国集体经济“小而弱”的分割是造成集体经济薄弱的重要原因。提高集体经济综合竞争实力，依赖于多种因素的共同作用，而不是主要靠把土地合并起来就可以实现。</w:t>
      </w:r>
    </w:p>
    <w:p w14:paraId="1CBD4FDE">
      <w:pPr>
        <w:ind w:firstLine="550" w:firstLineChars="250"/>
        <w:rPr>
          <w:rFonts w:eastAsia="宋体" w:cs="Times New Roman"/>
          <w:b/>
          <w:color w:val="000000"/>
          <w:sz w:val="21"/>
          <w:szCs w:val="24"/>
        </w:rPr>
      </w:pPr>
      <w:r>
        <w:rPr>
          <w:rFonts w:hint="eastAsia" w:eastAsia="宋体" w:cs="Times New Roman"/>
          <w:b/>
          <w:color w:val="000000"/>
          <w:sz w:val="21"/>
          <w:szCs w:val="24"/>
        </w:rPr>
        <w:t>三、强化多种模式的合作经济</w:t>
      </w:r>
    </w:p>
    <w:p w14:paraId="3BB9B679">
      <w:pPr>
        <w:ind w:firstLine="550" w:firstLineChars="250"/>
        <w:rPr>
          <w:rFonts w:eastAsia="宋体" w:cs="Times New Roman"/>
          <w:color w:val="000000"/>
          <w:sz w:val="21"/>
          <w:szCs w:val="24"/>
        </w:rPr>
      </w:pPr>
      <w:r>
        <w:rPr>
          <w:rFonts w:hint="eastAsia" w:eastAsia="宋体" w:cs="Times New Roman"/>
          <w:color w:val="000000"/>
          <w:sz w:val="21"/>
          <w:szCs w:val="24"/>
        </w:rPr>
        <w:t>农村改革和发展的第二次飞跃也离不开合作经济的广泛发展。目前，全国人大正在起草和修改有关农村合作经济法，这是非常必要的。本文说的合作经济，主要包括农户之间的合作（横向一体化）和在此基础上的农村合作组织加公司这样的合作（纵向一体化）及作为混合经济模式的合作农场。</w:t>
      </w:r>
    </w:p>
    <w:p w14:paraId="14487ABF">
      <w:pPr>
        <w:ind w:firstLine="550" w:firstLineChars="250"/>
        <w:rPr>
          <w:rFonts w:eastAsia="宋体" w:cs="Times New Roman"/>
          <w:color w:val="000000"/>
          <w:sz w:val="21"/>
          <w:szCs w:val="24"/>
        </w:rPr>
      </w:pPr>
      <w:r>
        <w:rPr>
          <w:rFonts w:hint="eastAsia" w:eastAsia="宋体" w:cs="Times New Roman"/>
          <w:color w:val="000000"/>
          <w:sz w:val="21"/>
          <w:szCs w:val="24"/>
        </w:rPr>
        <w:t>1.合作化经营及其优越性。合作化经营是广大农户联合起来从事经济活动的经营形式，是解决小农户与大市场矛盾的最佳途径，是市场经济实践的产物。从20世纪90年代以来，随着市场经济在我国农村的发展，以家庭联产承包为基础的统分结合的双层经营体制在“统”的层次上发生了变化，呈现出多元化的格局；许多专业合作经济组织在农民自愿互利的基础上，突破原有社区的界限和地缘、亲缘关系，围绕某一生产经营或服务项目而组成。集体层经营职能一般以村、乡（或镇）为行政单位对本区域的家庭经营提供服务，统筹区域范围内的各项工作，缺乏专业能力。专业合作经济组织是农户自己的组织，已成为国外农业发达国家最普遍的农业合作组织形式。从国外经验看，以家庭农场为主的农场，随着商品化程度的提高，农民以合作制方式组织起来适应竞争日趋激烈的现代市场经济，成为一种趋势。如，法国现有113万个农业合作社，90%的农民都参加合作社；意大利有413万多家农业合作社，被称作意大利的第三种经济力量。实行合作化经营的优越性表现在以下几个方面：第一，合作化经营可提高农户经营的比较效益，保护农民利益。第二，合作化可降低农户的市场交易费用。第三，合作化可降低农户参与市场的风险。第四，合作化可提高农民对经济的参与程度、关心程度和监督力度。实行合作化经营体现出的优越性决定当前我国应进一步增强农业合作经济的发展，鼓励农户之间的广泛合作。具体形式上，各地可根据地区特点选择不同的合作经济模式，如邯郸模式、莱阳模式、宁津模式、安岳模式、江山模式等。</w:t>
      </w:r>
    </w:p>
    <w:p w14:paraId="3C9B90DE">
      <w:pPr>
        <w:ind w:firstLine="550" w:firstLineChars="250"/>
        <w:rPr>
          <w:rFonts w:eastAsia="宋体" w:cs="Times New Roman"/>
          <w:color w:val="000000"/>
          <w:sz w:val="21"/>
          <w:szCs w:val="24"/>
        </w:rPr>
      </w:pPr>
      <w:r>
        <w:rPr>
          <w:rFonts w:hint="eastAsia" w:eastAsia="宋体" w:cs="Times New Roman"/>
          <w:color w:val="000000"/>
          <w:sz w:val="21"/>
          <w:szCs w:val="24"/>
        </w:rPr>
        <w:t>2．强化农户之间的合作及在此基础上的农村合作组织加公司的合作。一段时期以来，“公司+农户”的形式被认为是带动农业发展的重要组织形式，这种模式虽然在一定程度上可解决农产品销售困难问题，但实践证明这一模式还存在诸多问题。根本原因在于：企业和农户是各自独立的利益主体，企业难以自觉地让农民分享其利润，绝大多数与农民只是一种“买断”关系，一旦出现市场波动，就会导致双方利益受损。在农产品附加值的分配上，农民除可获得部分加工劳务收入外，其他收益几乎全部被公司独占。因此，在“公司+农产”的模式中，农民仍处于一种弱势地位，农民的权益难以有效保护。因此，我国在积极鼓励发展农村合作经济组织（合作社、协会等）的基础上，可推广“农户+合作经济组织+公司”的合作经济纵向一体化模式。农民合作经济组织既可把分散的农民组织起来，与“龙头”企业对接，又可自办农产品加工企业，一方面，可依靠龙头企业的品牌优势、信息优势和销售渠道，提高农民合作组织进入市场的能力，另一方面合作社与农民社员之间的关系是一种不以营利为目的、为共同利益形成的合作与联合的关系。农民社员通过合作社不仅能稳定地实现农业生产的价值，优先进入农产品加工企业获得劳务收入，还可获得股利和按交易额进行的二次返利。</w:t>
      </w:r>
    </w:p>
    <w:p w14:paraId="1183546D">
      <w:pPr>
        <w:ind w:firstLine="550" w:firstLineChars="250"/>
        <w:rPr>
          <w:rFonts w:eastAsia="宋体" w:cs="Times New Roman"/>
          <w:color w:val="000000"/>
          <w:sz w:val="21"/>
          <w:szCs w:val="24"/>
        </w:rPr>
      </w:pPr>
      <w:r>
        <w:rPr>
          <w:rFonts w:hint="eastAsia" w:eastAsia="宋体" w:cs="Times New Roman"/>
          <w:color w:val="000000"/>
          <w:sz w:val="21"/>
          <w:szCs w:val="24"/>
        </w:rPr>
        <w:t>3．发展混合经济模式的合作农场。合作农场是集体经济与合作经济混合而成的一种农村经济新形态，也有利于农村改革和发展的第二次飞跃。它往往是采用土地股权合作制方式。这种形式是以家庭承包经营责任制为基础，鼓励农民所承包的耕地、山地、山林、水面等土地资源进行作价入股，明确其农民集体所有的性质，农户在土地股份合作制中拥有的土地资源股份不能买卖、转让或抵押，户籍迁出社区时则由集体收回股份，以保护本地区农民生存所需要的物质条件。诚然，在推行土地使用权入股过程中，要充分考虑条件是否具备，坚持入股自愿。但尊重农民意愿不等于放任自流，无所作为。政府有关部门要积极引导农民走股权合作化道路，以促进农业合作化和集体化的发展。</w:t>
      </w:r>
    </w:p>
    <w:p w14:paraId="422837A5">
      <w:pPr>
        <w:ind w:firstLine="550" w:firstLineChars="250"/>
        <w:rPr>
          <w:rFonts w:eastAsia="宋体" w:cs="Times New Roman"/>
          <w:color w:val="000000"/>
          <w:sz w:val="21"/>
          <w:szCs w:val="24"/>
        </w:rPr>
      </w:pPr>
      <w:r>
        <w:rPr>
          <w:rFonts w:hint="eastAsia" w:eastAsia="宋体" w:cs="Times New Roman"/>
          <w:color w:val="000000"/>
          <w:sz w:val="21"/>
          <w:szCs w:val="24"/>
        </w:rPr>
        <w:t>近年来，上海松江地区就采取了一种“合作农场”的模式。他们大胆探索土地使用权有偿流转的新机制，采用“两权分离、价值显化、市场运作、利益共享”的原则，允许农民通过转包、转让、互换、入股等方式，出让承包权，让全区近20万亩耕地“活”起来，逐步向合作农场等集中。上海松江合作农场模式是与当地的农业产业结构调整、自然条件和经济社会发展特点相联系的。首先，上世纪90年代以来，随着大市场、大流通的形成，外省市“米袋子”、“菜篮子”产品滚滚进入上海，松江农业面临严峻挑战，迫切需要进行农业结构调整。因此，松江区在鼓励农民发挥聪明才智的同时，积极引导农民以市场为导向，根据当地实际，发展具有区域特色的高效农业。高效农业具有精准农业的特点，是科技密集、设施先进、品质优良、有市场潜力、能维护生态环境的新型农业。其次，规模经济可提高农业的生产效益。松江农民看到，家家生产一点、户户提篮小卖的小农经济的产销方式形成不了大气候。松江区将产业布局规划为四大区域：地处黄浦江上游的浦南地区重点发展绿色农业；东北部地区突出发展观赏农业；毗邻佘山度假区的西北部地区主要开发与旅游相关的农产品；中部环城地区大力建设与松江新城区相匹配的绿化覆盖型农业。在四大区域的基础上发展合作农场成为实现规模经济的有效手段。目前，松江的四大产业区初具规模，共有20多个特大型农产品生产基地、50多家规模型农产品营销公司和配送中心、30余家超级农产品批发交易市场，这些基地和单位的农产品生产、营销量分别占全区农产品总量的50%和70%以上。</w:t>
      </w:r>
    </w:p>
    <w:p w14:paraId="4831B88C">
      <w:pPr>
        <w:ind w:firstLine="550" w:firstLineChars="250"/>
        <w:rPr>
          <w:rFonts w:eastAsia="宋体" w:cs="Times New Roman"/>
          <w:color w:val="000000"/>
          <w:sz w:val="21"/>
          <w:szCs w:val="24"/>
        </w:rPr>
      </w:pPr>
      <w:r>
        <w:rPr>
          <w:rFonts w:hint="eastAsia" w:eastAsia="宋体" w:cs="Times New Roman"/>
          <w:color w:val="000000"/>
          <w:sz w:val="21"/>
          <w:szCs w:val="24"/>
        </w:rPr>
        <w:t>合作农场是合作社的一种特殊形式。在我国台湾地区，合作农场一般具有综合经营的性质，以不改变土地所有权为原则，通过扩大经营规模来提高生产经营效益。在国外，合作农场性质差异较大。上海松江地区，还有宝山地区等的合作农场模式是在我国土地集体所有制前提条件下，对土地承包经营权的再出让。因此，既不同于国外和我国台湾地区的合作农场，也不是标准的集体经济模式，但这种集体经济和合作经济的混合模式具有特殊的优势和强大的生命力，应鼓励其发展。</w:t>
      </w:r>
    </w:p>
    <w:p w14:paraId="6E70385A">
      <w:pPr>
        <w:ind w:firstLine="360"/>
        <w:rPr>
          <w:rFonts w:eastAsia="宋体" w:cs="Times New Roman"/>
          <w:b/>
          <w:color w:val="000000"/>
          <w:sz w:val="21"/>
          <w:szCs w:val="24"/>
        </w:rPr>
      </w:pPr>
      <w:r>
        <w:rPr>
          <w:rFonts w:hint="eastAsia" w:eastAsia="宋体" w:cs="Times New Roman"/>
          <w:b/>
          <w:color w:val="000000"/>
          <w:sz w:val="21"/>
          <w:szCs w:val="24"/>
        </w:rPr>
        <w:t>参考文献：</w:t>
      </w:r>
    </w:p>
    <w:p w14:paraId="0B5E5276">
      <w:pPr>
        <w:ind w:firstLine="360"/>
        <w:rPr>
          <w:rFonts w:eastAsia="宋体" w:cs="Times New Roman"/>
          <w:color w:val="000000"/>
          <w:sz w:val="21"/>
          <w:szCs w:val="24"/>
        </w:rPr>
      </w:pPr>
      <w:r>
        <w:rPr>
          <w:rFonts w:hint="eastAsia" w:eastAsia="宋体" w:cs="Times New Roman"/>
          <w:color w:val="000000"/>
          <w:sz w:val="21"/>
          <w:szCs w:val="24"/>
        </w:rPr>
        <w:t>[1]邓小平邓小平文选（第3卷）[M]北京：人民出版社，</w:t>
      </w:r>
      <w:r>
        <w:rPr>
          <w:rFonts w:eastAsia="宋体" w:cs="Times New Roman"/>
          <w:color w:val="000000"/>
          <w:sz w:val="21"/>
          <w:szCs w:val="24"/>
        </w:rPr>
        <w:t>1993</w:t>
      </w:r>
    </w:p>
    <w:p w14:paraId="37DC34D2">
      <w:pPr>
        <w:ind w:firstLine="360"/>
        <w:rPr>
          <w:rFonts w:eastAsia="宋体" w:cs="Times New Roman"/>
          <w:color w:val="000000"/>
          <w:sz w:val="21"/>
          <w:szCs w:val="24"/>
        </w:rPr>
      </w:pPr>
      <w:r>
        <w:rPr>
          <w:rFonts w:hint="eastAsia" w:eastAsia="宋体" w:cs="Times New Roman"/>
          <w:color w:val="000000"/>
          <w:sz w:val="21"/>
          <w:szCs w:val="24"/>
        </w:rPr>
        <w:t>[2]程恩富等企业学说与企业变革[M]北京：上海财经大学出版社，2001</w:t>
      </w:r>
    </w:p>
    <w:p w14:paraId="65B93E6C">
      <w:pPr>
        <w:ind w:firstLine="360"/>
        <w:rPr>
          <w:rFonts w:eastAsia="宋体" w:cs="Times New Roman"/>
          <w:color w:val="000000"/>
          <w:sz w:val="21"/>
          <w:szCs w:val="24"/>
        </w:rPr>
      </w:pPr>
      <w:r>
        <w:rPr>
          <w:rFonts w:hint="eastAsia" w:eastAsia="宋体" w:cs="Times New Roman"/>
          <w:color w:val="000000"/>
          <w:sz w:val="21"/>
          <w:szCs w:val="24"/>
        </w:rPr>
        <w:t>[3]侯恒等农村共同富裕之路研究[J]经济经纬，1997</w:t>
      </w:r>
    </w:p>
    <w:p w14:paraId="2B3D3B2F">
      <w:pPr>
        <w:ind w:firstLine="550" w:firstLineChars="250"/>
        <w:rPr>
          <w:rFonts w:eastAsia="宋体" w:cs="Times New Roman"/>
          <w:color w:val="000000"/>
          <w:sz w:val="21"/>
          <w:szCs w:val="24"/>
        </w:rPr>
      </w:pPr>
    </w:p>
    <w:p w14:paraId="4AB19B04">
      <w:pPr>
        <w:ind w:firstLine="550" w:firstLineChars="250"/>
        <w:rPr>
          <w:rFonts w:eastAsia="宋体" w:cs="Times New Roman"/>
          <w:color w:val="000000"/>
          <w:sz w:val="21"/>
          <w:szCs w:val="24"/>
        </w:rPr>
      </w:pPr>
      <w:r>
        <w:rPr>
          <w:rFonts w:hint="eastAsia" w:eastAsia="宋体" w:cs="Times New Roman"/>
          <w:color w:val="000000"/>
          <w:sz w:val="21"/>
          <w:szCs w:val="24"/>
        </w:rPr>
        <w:t>（原载《经济纵横》2006年第11期，第二作者和第三作者分别为陆夏、徐惠平）</w:t>
      </w:r>
    </w:p>
    <w:p w14:paraId="3A3B7454">
      <w:pPr>
        <w:rPr>
          <w:rFonts w:eastAsia="宋体" w:cs="Times New Roman"/>
          <w:sz w:val="21"/>
          <w:szCs w:val="24"/>
        </w:rPr>
      </w:pPr>
    </w:p>
    <w:p w14:paraId="5DB44F13">
      <w:pPr>
        <w:widowControl/>
        <w:spacing w:line="360" w:lineRule="auto"/>
        <w:jc w:val="left"/>
        <w:outlineLvl w:val="1"/>
        <w:rPr>
          <w:rFonts w:ascii="宋体" w:hAnsi="宋体" w:eastAsia="宋体" w:cs="Times New Roman"/>
          <w:b/>
          <w:bCs/>
          <w:sz w:val="28"/>
        </w:rPr>
      </w:pPr>
      <w:bookmarkStart w:id="632" w:name="_Toc6561"/>
      <w:bookmarkStart w:id="633" w:name="_Toc26436"/>
      <w:bookmarkStart w:id="634" w:name="_Toc78713293"/>
      <w:bookmarkStart w:id="635" w:name="_Toc844853558"/>
      <w:bookmarkStart w:id="636" w:name="_Toc447882270"/>
      <w:r>
        <w:rPr>
          <w:rFonts w:hint="eastAsia" w:ascii="宋体" w:hAnsi="宋体" w:eastAsia="宋体" w:cs="Times New Roman"/>
          <w:b/>
          <w:bCs/>
          <w:sz w:val="28"/>
          <w:lang w:val="en-US" w:eastAsia="zh-CN"/>
        </w:rPr>
        <w:t>12</w:t>
      </w:r>
      <w:r>
        <w:rPr>
          <w:rFonts w:hint="eastAsia" w:ascii="宋体" w:hAnsi="宋体" w:eastAsia="宋体" w:cs="Times New Roman"/>
          <w:b/>
          <w:bCs/>
          <w:sz w:val="28"/>
        </w:rPr>
        <w:t>经济改革与和谐社会的经济体制基础——在美国哈佛大学和麻省理工学院等的讲演</w:t>
      </w:r>
      <w:bookmarkEnd w:id="632"/>
      <w:bookmarkEnd w:id="633"/>
      <w:bookmarkEnd w:id="634"/>
      <w:bookmarkEnd w:id="635"/>
      <w:bookmarkEnd w:id="636"/>
    </w:p>
    <w:p w14:paraId="432AD688">
      <w:pPr>
        <w:widowControl/>
        <w:spacing w:line="360" w:lineRule="auto"/>
        <w:ind w:firstLine="580" w:firstLineChars="200"/>
        <w:jc w:val="left"/>
        <w:rPr>
          <w:rFonts w:ascii="宋体" w:hAnsi="宋体" w:eastAsia="宋体" w:cs="Times New Roman"/>
          <w:sz w:val="28"/>
          <w:szCs w:val="28"/>
        </w:rPr>
      </w:pPr>
    </w:p>
    <w:p w14:paraId="03D69AE3">
      <w:pPr>
        <w:widowControl/>
        <w:spacing w:line="360" w:lineRule="auto"/>
        <w:ind w:firstLine="440" w:firstLineChars="200"/>
        <w:jc w:val="left"/>
        <w:rPr>
          <w:rFonts w:ascii="宋体" w:hAnsi="宋体" w:eastAsia="宋体" w:cs="宋体"/>
          <w:b/>
          <w:bCs/>
          <w:color w:val="231F20"/>
          <w:szCs w:val="24"/>
          <w:lang w:val="zh-CN" w:bidi="zh-CN"/>
        </w:rPr>
      </w:pPr>
      <w:r>
        <w:rPr>
          <w:rFonts w:hint="eastAsia" w:ascii="宋体" w:hAnsi="宋体" w:eastAsia="宋体" w:cs="宋体"/>
          <w:color w:val="231F20"/>
          <w:szCs w:val="24"/>
          <w:lang w:val="zh-CN" w:bidi="zh-CN"/>
        </w:rPr>
        <w:t>本文首先阐明了马克思主义经典作家的三种科学社会主义观，接着分析中国经济体制改革的目标是“四主型经济体制”，指出这一新经济体制正是奠定社会主义和谐社会的经济体制基础，然后驳斥对新中国的经济变迁所采取的历史虚无主义态度，最后指出创新的马克思主义经济学家是改革的首创者。</w:t>
      </w:r>
      <w:r>
        <w:rPr>
          <w:rFonts w:hint="eastAsia" w:ascii="宋体" w:hAnsi="宋体" w:eastAsia="宋体" w:cs="宋体"/>
          <w:b/>
          <w:bCs/>
          <w:color w:val="231F20"/>
          <w:szCs w:val="24"/>
          <w:lang w:val="zh-CN" w:bidi="zh-CN"/>
        </w:rPr>
        <w:t xml:space="preserve"> </w:t>
      </w:r>
    </w:p>
    <w:p w14:paraId="4768094A">
      <w:pPr>
        <w:widowControl/>
        <w:spacing w:line="360" w:lineRule="auto"/>
        <w:ind w:firstLine="440" w:firstLineChars="200"/>
        <w:jc w:val="left"/>
        <w:rPr>
          <w:rFonts w:ascii="宋体" w:hAnsi="宋体" w:eastAsia="宋体" w:cs="宋体"/>
          <w:b/>
          <w:bCs/>
          <w:color w:val="231F20"/>
          <w:szCs w:val="24"/>
          <w:lang w:val="zh-CN" w:bidi="zh-CN"/>
        </w:rPr>
      </w:pPr>
      <w:r>
        <w:rPr>
          <w:rFonts w:hint="eastAsia" w:ascii="宋体" w:hAnsi="宋体" w:eastAsia="宋体" w:cs="宋体"/>
          <w:b/>
          <w:bCs/>
          <w:color w:val="231F20"/>
          <w:kern w:val="44"/>
          <w:szCs w:val="24"/>
        </w:rPr>
        <w:t>一、邓小平初级社会主义经济观的独创性</w:t>
      </w:r>
    </w:p>
    <w:p w14:paraId="580BC35F">
      <w:pPr>
        <w:widowControl/>
        <w:spacing w:line="360" w:lineRule="auto"/>
        <w:ind w:firstLine="440" w:firstLineChars="200"/>
        <w:rPr>
          <w:rFonts w:ascii="宋体" w:hAnsi="宋体" w:eastAsia="宋体" w:cs="宋体"/>
          <w:szCs w:val="24"/>
          <w:lang w:val="zh-CN" w:bidi="zh-CN"/>
        </w:rPr>
      </w:pPr>
      <w:r>
        <w:rPr>
          <w:rFonts w:hint="eastAsia" w:ascii="宋体" w:hAnsi="宋体" w:eastAsia="宋体" w:cs="宋体"/>
          <w:color w:val="231F20"/>
          <w:szCs w:val="24"/>
          <w:lang w:val="zh-CN" w:bidi="zh-CN"/>
        </w:rPr>
        <w:t>在近、现代政治经济学和科学社会主义发</w:t>
      </w:r>
      <w:r>
        <w:rPr>
          <w:rFonts w:hint="eastAsia" w:ascii="宋体" w:hAnsi="宋体" w:eastAsia="宋体" w:cs="宋体"/>
          <w:color w:val="231F20"/>
          <w:w w:val="105"/>
          <w:szCs w:val="24"/>
          <w:lang w:val="zh-CN" w:bidi="zh-CN"/>
        </w:rPr>
        <w:t>展史上，邓小平关于初级社会主义的经济观具</w:t>
      </w:r>
      <w:r>
        <w:rPr>
          <w:rFonts w:hint="eastAsia" w:ascii="宋体" w:hAnsi="宋体" w:eastAsia="宋体" w:cs="宋体"/>
          <w:color w:val="231F20"/>
          <w:szCs w:val="24"/>
          <w:lang w:val="zh-CN" w:bidi="zh-CN"/>
        </w:rPr>
        <w:t>有独创性和新颖性。其初级社会主义经济观及其制度公式=公有制主体+按劳分配主体+调控</w:t>
      </w:r>
      <w:r>
        <w:rPr>
          <w:rFonts w:hint="eastAsia" w:ascii="宋体" w:hAnsi="宋体" w:eastAsia="宋体" w:cs="宋体"/>
          <w:color w:val="231F20"/>
          <w:w w:val="105"/>
          <w:szCs w:val="24"/>
          <w:lang w:val="zh-CN" w:bidi="zh-CN"/>
        </w:rPr>
        <w:t>型市场经济。具体说来，就是在所有制结构层面，实行市场化的多种公有制，并使之成为主体，保持在质上和量上的优势，同时发展各类非公有制经济，使之成为所有制结构中的辅体。在分配结构层面，实行市场型的多种按劳分配，并使之成为主体，同时发展各类按资分配，使之成为分配结构中的辅体。在资源配置或调节机制层面，实行以市场调节为基础的市场经济制度，同时保持较强的国家调节。</w:t>
      </w:r>
    </w:p>
    <w:p w14:paraId="236971F5">
      <w:pPr>
        <w:widowControl/>
        <w:spacing w:line="360" w:lineRule="auto"/>
        <w:ind w:firstLine="440" w:firstLineChars="200"/>
        <w:rPr>
          <w:rFonts w:ascii="宋体" w:hAnsi="宋体" w:eastAsia="宋体" w:cs="宋体"/>
          <w:szCs w:val="24"/>
          <w:lang w:val="zh-CN" w:bidi="zh-CN"/>
        </w:rPr>
      </w:pPr>
      <w:r>
        <w:rPr>
          <w:rFonts w:hint="eastAsia" w:ascii="宋体" w:hAnsi="宋体" w:eastAsia="宋体" w:cs="宋体"/>
          <w:color w:val="231F20"/>
          <w:szCs w:val="24"/>
          <w:lang w:val="zh-CN" w:bidi="zh-CN"/>
        </w:rPr>
        <w:t>邓小平关于初级社会主义的经济制度观</w:t>
      </w:r>
      <w:r>
        <w:rPr>
          <w:rFonts w:hint="eastAsia" w:ascii="宋体" w:hAnsi="宋体" w:eastAsia="宋体" w:cs="宋体"/>
          <w:color w:val="231F20"/>
          <w:w w:val="105"/>
          <w:szCs w:val="24"/>
          <w:lang w:val="zh-CN" w:bidi="zh-CN"/>
        </w:rPr>
        <w:t>具有重要的理论和实践意义，打破了西方学界</w:t>
      </w:r>
      <w:r>
        <w:rPr>
          <w:rFonts w:hint="eastAsia" w:ascii="宋体" w:hAnsi="宋体" w:eastAsia="宋体" w:cs="宋体"/>
          <w:color w:val="231F20"/>
          <w:szCs w:val="24"/>
          <w:lang w:val="zh-CN" w:bidi="zh-CN"/>
        </w:rPr>
        <w:t>和政界至今仍占主流的近、现代经济学和政治</w:t>
      </w:r>
      <w:r>
        <w:rPr>
          <w:rFonts w:hint="eastAsia" w:ascii="宋体" w:hAnsi="宋体" w:eastAsia="宋体" w:cs="宋体"/>
          <w:color w:val="231F20"/>
          <w:w w:val="105"/>
          <w:szCs w:val="24"/>
          <w:lang w:val="zh-CN" w:bidi="zh-CN"/>
        </w:rPr>
        <w:t>学的陈腐教条，把作为主体的公有制度与市场经济制度相结合。若操作得法，社会主义或公</w:t>
      </w:r>
      <w:r>
        <w:rPr>
          <w:rFonts w:hint="eastAsia" w:ascii="宋体" w:hAnsi="宋体" w:eastAsia="宋体" w:cs="宋体"/>
          <w:color w:val="231F20"/>
          <w:szCs w:val="24"/>
          <w:lang w:val="zh-CN" w:bidi="zh-CN"/>
        </w:rPr>
        <w:t>有制可以比资本主义或私有制更适合市场经</w:t>
      </w:r>
      <w:r>
        <w:rPr>
          <w:rFonts w:hint="eastAsia" w:ascii="宋体" w:hAnsi="宋体" w:eastAsia="宋体" w:cs="宋体"/>
          <w:color w:val="231F20"/>
          <w:w w:val="105"/>
          <w:szCs w:val="24"/>
          <w:lang w:val="zh-CN" w:bidi="zh-CN"/>
        </w:rPr>
        <w:t>济制度，产生更高的整体绩效和社会公平。</w:t>
      </w:r>
    </w:p>
    <w:p w14:paraId="2148EC50">
      <w:pPr>
        <w:widowControl/>
        <w:spacing w:line="360" w:lineRule="auto"/>
        <w:ind w:firstLine="460" w:firstLineChars="200"/>
        <w:rPr>
          <w:rFonts w:ascii="宋体" w:hAnsi="宋体" w:eastAsia="宋体" w:cs="宋体"/>
          <w:color w:val="231F20"/>
          <w:szCs w:val="24"/>
          <w:lang w:val="zh-CN" w:bidi="zh-CN"/>
        </w:rPr>
      </w:pPr>
      <w:r>
        <w:rPr>
          <w:rFonts w:hint="eastAsia" w:ascii="宋体" w:hAnsi="宋体" w:eastAsia="宋体" w:cs="宋体"/>
          <w:color w:val="231F20"/>
          <w:w w:val="105"/>
          <w:szCs w:val="24"/>
          <w:lang w:val="zh-CN" w:bidi="zh-CN"/>
        </w:rPr>
        <w:t>难解的问题在于:邓小平的这一独创性理</w:t>
      </w:r>
      <w:r>
        <w:rPr>
          <w:rFonts w:hint="eastAsia" w:ascii="宋体" w:hAnsi="宋体" w:eastAsia="宋体" w:cs="宋体"/>
          <w:color w:val="231F20"/>
          <w:szCs w:val="24"/>
          <w:lang w:val="zh-CN" w:bidi="zh-CN"/>
        </w:rPr>
        <w:t>论同以前的马克思主义经典理论是什么关系</w:t>
      </w:r>
      <w:r>
        <w:rPr>
          <w:rFonts w:hint="eastAsia" w:ascii="宋体" w:hAnsi="宋体" w:eastAsia="宋体" w:cs="宋体"/>
          <w:color w:val="231F20"/>
          <w:w w:val="105"/>
          <w:szCs w:val="24"/>
          <w:lang w:val="zh-CN" w:bidi="zh-CN"/>
        </w:rPr>
        <w:t>呢?马克思、恩格斯和列宁的社会主义经济制</w:t>
      </w:r>
      <w:r>
        <w:rPr>
          <w:rFonts w:hint="eastAsia" w:ascii="宋体" w:hAnsi="宋体" w:eastAsia="宋体" w:cs="宋体"/>
          <w:color w:val="231F20"/>
          <w:szCs w:val="24"/>
          <w:lang w:val="zh-CN" w:bidi="zh-CN"/>
        </w:rPr>
        <w:t>度观及其公式=完全社会所有制+完全社会按劳分配+完全计划经济。那种认为列宁主张社会主义有商品生产和商品交换的看法是不精</w:t>
      </w:r>
      <w:r>
        <w:rPr>
          <w:rFonts w:hint="eastAsia" w:ascii="宋体" w:hAnsi="宋体" w:eastAsia="宋体" w:cs="宋体"/>
          <w:color w:val="231F20"/>
          <w:w w:val="105"/>
          <w:szCs w:val="24"/>
          <w:lang w:val="zh-CN" w:bidi="zh-CN"/>
        </w:rPr>
        <w:t>确的，因为他与马克思和恩格斯一样，强调从资本主义社会向社会主义社会过渡的时期，才</w:t>
      </w:r>
      <w:r>
        <w:rPr>
          <w:rFonts w:hint="eastAsia" w:ascii="宋体" w:hAnsi="宋体" w:eastAsia="宋体" w:cs="宋体"/>
          <w:color w:val="231F20"/>
          <w:szCs w:val="24"/>
          <w:lang w:val="zh-CN" w:bidi="zh-CN"/>
        </w:rPr>
        <w:t>存在商品货币关系。而斯大林和毛泽东降低了</w:t>
      </w:r>
      <w:r>
        <w:rPr>
          <w:rFonts w:hint="eastAsia" w:ascii="宋体" w:hAnsi="宋体" w:eastAsia="宋体" w:cs="宋体"/>
          <w:color w:val="231F20"/>
          <w:w w:val="105"/>
          <w:szCs w:val="24"/>
          <w:lang w:val="zh-CN" w:bidi="zh-CN"/>
        </w:rPr>
        <w:t>社会主义的经济制度标准，其社会主义经济制</w:t>
      </w:r>
      <w:r>
        <w:rPr>
          <w:rFonts w:hint="eastAsia" w:ascii="宋体" w:hAnsi="宋体" w:eastAsia="宋体" w:cs="宋体"/>
          <w:color w:val="231F20"/>
          <w:szCs w:val="24"/>
          <w:lang w:val="zh-CN" w:bidi="zh-CN"/>
        </w:rPr>
        <w:t>度观及其公式=两种公有制+货币型按劳分配+</w:t>
      </w:r>
      <w:r>
        <w:rPr>
          <w:rFonts w:hint="eastAsia" w:ascii="宋体" w:hAnsi="宋体" w:eastAsia="宋体" w:cs="宋体"/>
          <w:color w:val="231F20"/>
          <w:w w:val="105"/>
          <w:szCs w:val="24"/>
          <w:lang w:val="zh-CN" w:bidi="zh-CN"/>
        </w:rPr>
        <w:t>商品型计划经济。</w:t>
      </w:r>
    </w:p>
    <w:p w14:paraId="0C528D05">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我研究后的独特看法是:上述马克思主义经典作家关于进入社会主义起点标志的不同观点，属于三种科学社会主义及其经济制度观；由于划分标准的独特性，因而狭义的三种科学社会主义观都是可以成立的，各个社会主义国家可以自由选择(越南实行“定向社会主义的市场经济”，就选择了马克思、恩格斯、列宁这种社会主义观)，并不妨碍广义社会主义的建设和改革；不过，我们没有必要用其中的一种理论去有意贬低或否定另外两种理论，因为他们属于划分标准的分歧，而非社会发展本质和最终方向的区别；邓小平初级社会主义经济观的真正贡献，在于共产党执政后不是急于消灭市场经济和私有制，而是有效地利用它们去为社会主义服务。</w:t>
      </w:r>
    </w:p>
    <w:p w14:paraId="4AC2AEA3">
      <w:pPr>
        <w:widowControl/>
        <w:spacing w:line="360" w:lineRule="auto"/>
        <w:ind w:firstLine="460" w:firstLineChars="200"/>
        <w:jc w:val="left"/>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应当指出，邓小平关于初级社会主义经济制度和社会主义本质的理论，同当代社会党国际的民主社会主义或社会民主主义理论有着本质上的区别。后者认为，社会主义的制度特征和本质是“自由、公正、互助”。自由是指每个人都可以发展自己的个性，参与政治、经济和文化活动；公正是指每个人都享有各种机会均等，其中包括社会保障、财产和收入以及权利的平等分配；互助是指个人之间相互乐于彼此承担责任，使别人获得与自己同等的平等和自由权利。中国个别经济学家与此相似的新表述为:社会主义=社会公正+市场经济。实际上，此类貌似新颖的表述背离了邓小平的社会主义经济观，抛弃了公有制和按劳分配占主体，其结果，是不可能较充分地实现“自由、公正、互助”，也不可能建设好社会主义类型和性质的市场经济。</w:t>
      </w:r>
    </w:p>
    <w:p w14:paraId="1952554D">
      <w:pPr>
        <w:widowControl/>
        <w:spacing w:line="360" w:lineRule="auto"/>
        <w:ind w:firstLine="460" w:firstLineChars="200"/>
        <w:rPr>
          <w:rFonts w:ascii="宋体" w:hAnsi="宋体" w:eastAsia="宋体" w:cs="宋体"/>
          <w:b/>
          <w:bCs/>
          <w:color w:val="231F20"/>
          <w:w w:val="105"/>
          <w:szCs w:val="24"/>
          <w:lang w:val="zh-CN" w:bidi="zh-CN"/>
        </w:rPr>
      </w:pPr>
      <w:r>
        <w:rPr>
          <w:rFonts w:hint="eastAsia" w:ascii="宋体" w:hAnsi="宋体" w:eastAsia="宋体" w:cs="宋体"/>
          <w:b/>
          <w:bCs/>
          <w:color w:val="231F20"/>
          <w:w w:val="105"/>
          <w:szCs w:val="24"/>
          <w:lang w:val="zh-CN" w:bidi="zh-CN"/>
        </w:rPr>
        <w:t>二、经济改革的目标层面与和谐社会的体制基础</w:t>
      </w:r>
    </w:p>
    <w:p w14:paraId="3D0191A8">
      <w:pPr>
        <w:widowControl/>
        <w:spacing w:line="360" w:lineRule="auto"/>
        <w:ind w:firstLine="460" w:firstLineChars="200"/>
        <w:jc w:val="left"/>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近年，中国政府除了提出“科学发展观”、“提高自主创新能力”等正确方针外，又明确提出“构建社会主义和谐社会”概念，其意义重大。和谐社会应是民主法治、公平正义、诚信友爱、充满活力、安定有序、人与自然和谐相处的社会，即和谐社会是一种可以具体体现在政治、法律、文化、体制、社会和生态六个方面的文明状态。当前不仅要看到社会不和谐的种种现象，而且要找到其深层根源，更要寻求缓解它的机制和制度。中国经济体制改革的目标或经济改革的体制层面，可以说是“四主型经济体制”，而这一新经济体制正是奠定社会主义和谐社会的经济体制基础。</w:t>
      </w:r>
    </w:p>
    <w:p w14:paraId="4FB4F71E">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(一)公有主体型的多种类产权制度</w:t>
      </w:r>
    </w:p>
    <w:p w14:paraId="0FADFA56">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这种制度在公有制为主体的前提下，发展中外私有制经济。它应当表现在资本结构、就业结构、GDP结构、税收结构、外贸结构等多方面。中国是在多种所有制共同的动态发展中保持这一“主体—辅体”的宏观所有制结构，而非简单地控制私有制的上升。但如果私有经济占的比例过高，必然引起贫富严重分化和高失业等一连串社会现象和由此派生的社会不和谐。据国家发展改革委员会和国务院研究室的研究报告估算，现在个体私营所有制经济占整个国民经济的1/3左右，如果再加上占国民经济13%强的外资经济，那么，私有制经济在国民经济中的比重将达到46%强，已经逼近50%的临界点了。</w:t>
      </w:r>
    </w:p>
    <w:p w14:paraId="7C67E749">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因此，我国在调整和完善所有制结构过程中，必须坚持社会主义初级阶段的基本经济制度，巩固和壮大社会主义公有制经济基础，克服新自由主义的思想和政策障碍。具体主要从以下几个方面采取措施:</w:t>
      </w:r>
    </w:p>
    <w:p w14:paraId="7CEB2997">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首先，构建社会主义和谐社会必须坚持公有制为主体的底线。中国《宪法》规定:“中华人民共和国的社会主义经济制度的基础是生产资料的社会主义公有制，即全民所有制和劳动群众集体所有制。”如果动摇了社会主义基本经济制度，听任“国退民进”、“公退私进”，必然使较多的工人、农民被弱势化，就难以实现人民当家作主与社会和谐。当前，要求真务实地推进国有企业的实质性市场转型改革，就必须建立国有资产管理部门严格的行政问责制和经营奖惩制度。</w:t>
      </w:r>
    </w:p>
    <w:p w14:paraId="103B0061">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其次，必须重塑国有经济的质量和数量优势。公有经营性资本的数量与质量及整体发展同科学发展密切相关。国有经济是全民共同所有的，是实现产业升级、技术进步和培育有国际竞争力产业和企业的主力，是影响社会主义市场经济发展方向的经济成分，也是历次国家宏观调控迅速产生理想效果的所有制基础。国有经济是工人阶级以所有者与劳动者双重身份从事工作的立身之所，直接涉及广大职工群众的就业、福利和生活质量。</w:t>
      </w:r>
    </w:p>
    <w:p w14:paraId="20243408">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再次，壮大城乡集体经济和合作经济，推进邓小平一贯强调的关于“农村改革和发展的第二个飞跃”。中国《宪法》规定:“国家保护城乡集体经济组织的合法权利和利益，鼓励、指导和帮助集体经济的发展。”发展集体经济具体可从以下几个方面采取措施:一是大力发展统分结合的集体层经营；二是壮大农村集体所有制经济，实现联产承包制到集体化的第二次飞跃；三是提倡有条件的地方发展集体经济联合体；四是在集体经济联合体的基础上进一步发展合作农场；五是强化合作经济包括农户之间的合作(横向一体化)，以及在此基础上的农村合作组织加公司这样的合作(纵向一体化)。诺贝尔经济学奖获得者、新凯恩斯主义代表人物斯蒂格利茨十多年来一直公开批评私有产权迷信和市场迷信。西欧国家私有化二十多年，国家资本仍然没有卖光，竞争性领域仍然有国有企业。德国银行中的“公有成分占40%”。在20世纪90年代末期，自由市场指数方面高居第三位的芬兰，目前在竞争性领域仍然存在一批国有企业，它们“是高效和有创新的”。而成功度过了亚洲金融危机的中国台湾地区的银行中“公有成分”竟达到57%。在竞争性领域中有一批国有企业是能够盈利的，盈利后的国有企业不仅可以反哺于民，还有利于保持社会公平和公正，防止收入差距进一步扩大。这也是国有企业、国有资本的一种功能和“控制力、影响力、带动作用”的体现。</w:t>
      </w:r>
    </w:p>
    <w:p w14:paraId="495765B4">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20世纪90年代以来，一些国家的实践证明，大搞私有化或民营化等新自由主义是造成“苏东是倒退的十年，拉美是失去的十年，日本是爬行的十年，美欧是缓升的十年”这一结果的最主要原因之一。被联合国认定的49个最不发达的国家(亦称第四世界)，也没有通过私有化的途径富强起来，有的反而更加贫穷。这不仅是美欧和日本的马克思主义经济学家一致的实证分析结论，而且斯蒂格利茨也认为，正是“私有产权神话”等新自由主义理论和政策，导致了苏东国家和拉美等发达和不发达国家的经济不和谐和各种危机。包括中国在内的全球经济，迫切需要在反思和超越新自由主义的保守经济理念中振兴或健康发展。</w:t>
      </w:r>
    </w:p>
    <w:p w14:paraId="35FFBA85">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(二)劳动主体型的多要素分配制度</w:t>
      </w:r>
    </w:p>
    <w:p w14:paraId="5F5A3F60">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这种分配制度以按劳分配为主体，多要素所有者可凭产权参与分配，经济公平与经济效率呈现交互同向和并重关系。目前我国收入的基尼系数和五等份所表示的差距已经较大，甚至比一些资本主义国家还要大，但更令人担忧的应是社会财产占有上的贫富分化趋向。近年为何财富和收入的贫富差距在一片反对和控制声中反而扩大了，那是因为很多人不懂得包括许多公有资产采取的廉价送卖等所有制措施必然决定分配走势。现在中央政府强调“注重社会公平和正义”，是极有针对性的，应采取产权和分配上的双重措施，才能真正做到“提低、扩中和控高”的分配和谐。</w:t>
      </w:r>
    </w:p>
    <w:p w14:paraId="568A139D">
      <w:pPr>
        <w:widowControl/>
        <w:spacing w:line="360" w:lineRule="auto"/>
        <w:ind w:firstLine="460" w:firstLineChars="200"/>
        <w:jc w:val="left"/>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应当承认，非公有制经济在其发挥促进社会生产力发展这一积极作用的同时，也产生了一些问题，劳资矛盾就是其中最突出的问题。1993—2002年，我国劳动争议案件年均增长36.3%，涉及人员年均增41.3%，其中非公有制企业尤为严重。非公有制企业的劳资矛盾主要表现为:</w:t>
      </w:r>
    </w:p>
    <w:p w14:paraId="39ADE453">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一是私营企业雇工工资有不升反降的趋势。根据国家工商局调查的数据显示，2003年国有企业在岗职工工资超过了私营企业雇工工资的1.8倍，私营企业雇工工资低于集体企业在岗职工工资。有些企业劳动强度大、劳动时间长、劳动报酬低，有的企业还拖欠、克扣职工工资。</w:t>
      </w:r>
    </w:p>
    <w:p w14:paraId="66C87E69">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二是非公有制企业安全生产问题严重。有些企业劳动条件差，忽视劳动保护、安全设施建设，安全生产事故频发。2005年5月31日全国总工会劳动保护部公布了《关于非公有制企业职工劳动保护问题的调研报告》。报告指出，在天津、浙江、江苏等省市非公有制经济发展较快的地区，安全生产和职工劳动保护方面存在不少问题。据统计，2003年，天津市非公有制企业因工死亡58人，占全市工亡总数的68%；江苏省非公有制企业事故起数与死亡人数均占全省的67%；浙江省是非公有制企业大省，也是安全事故的重省，生产安全事故总数位居全国第三。其中，非公有制企业发生工业伤亡事故736起，死亡756人，分别占全省事故总数和死亡人数的82.4%和89%。</w:t>
      </w:r>
    </w:p>
    <w:p w14:paraId="4FF4E194">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三是劳动合同的签定情况并不理想，参加社会保险的比例很低。在私营企业中签定了劳动合同的员工仅为64%，有些企业根本不签订劳动合同，这就使员工的劳动权利得不到法律保护，一旦发生工伤事故或出现有关劳动报酬、劳动条件、劳动时间的争议，员工将陷于极为不利的境地。有些私营企业不按照国家有关规定缴纳失业保险金、退休养老金、医疗保险金。根据第六次私营企业抽样调查数据显示，私营企业参加医疗保险的为被调查企业的33.4%，参加养老保险的仅为38.7%，参加失业保险的仅为16.6%，而且这些参加保险的企业也只是为很少一部分雇工投保。</w:t>
      </w:r>
    </w:p>
    <w:p w14:paraId="0D643F48">
      <w:pPr>
        <w:widowControl/>
        <w:spacing w:line="360" w:lineRule="auto"/>
        <w:ind w:firstLine="460" w:firstLineChars="200"/>
        <w:jc w:val="left"/>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完善社会主义市场经济条件下的分配制度和分配关系，就要高度重视劳动关系，尤其是劳资关系，积极化解各类矛盾。要根据国家的有关规定，确定和实行不同地区、不同产业的最低工资标准，为职工提供医疗、养老、失业等保险，解除职工的后顾之忧；要建立健全劳动保护制度，完善劳动合同制度，保护职工的身体健康，保护劳资双方的合法权益。在处理劳动关系和劳资矛盾的过程中，要建立政府、企业、劳动者个人三方协调机制，在企业层面处理好各方的利益关系。</w:t>
      </w:r>
    </w:p>
    <w:p w14:paraId="007199B1">
      <w:pPr>
        <w:widowControl/>
        <w:spacing w:line="360" w:lineRule="auto"/>
        <w:ind w:firstLine="460" w:firstLineChars="200"/>
        <w:jc w:val="left"/>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(三)国家主导型的多结构市场制度</w:t>
      </w:r>
    </w:p>
    <w:p w14:paraId="1AD3A6B4">
      <w:pPr>
        <w:widowControl/>
        <w:spacing w:line="360" w:lineRule="auto"/>
        <w:ind w:firstLine="460" w:firstLineChars="200"/>
        <w:jc w:val="left"/>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这一制度即多结构地发展市场体系，发挥市场的基础性配置资源的作用，同时，在廉洁、廉价、民主和高效的基础上发挥国家调节的主导型作用。科学倡导“市场取向的改革”与随意滥用“市场化改革”是不同的。现在中国讲究改革的科学性和协调性，就是既要用市场调节的优良功能去抑止“国家调节失灵”，又要用国家调节的优良功能来纠正“市场调节失灵”，实现一种“基础—主导”功能性双重调节机制，这样，容易达到社会经济和谐。为何上访、闹事、犯罪和社会失衡的现象较为普遍，就是因为国家调节存在不到位或不得当的情况。只要看看近年来，所谓管理层收购等活动中出现的严重问题，并引发各阶层公众的不满和不和谐，就可得知某些政府部门的调控有多滞后和不明智。没有人否定市场化产权改革，但不可背离市场规律乱来。</w:t>
      </w:r>
    </w:p>
    <w:p w14:paraId="74E7C676">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(四)自立主导型的多方位开放制度</w:t>
      </w:r>
    </w:p>
    <w:p w14:paraId="7EF4F9BA">
      <w:pPr>
        <w:widowControl/>
        <w:spacing w:line="360" w:lineRule="auto"/>
        <w:ind w:firstLine="460" w:firstLineChars="200"/>
        <w:jc w:val="left"/>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这一制度即处理好引进国外技术和资本同自力更生地发展自主知识产权和高效利用本国资本的关系，实行内需为主并与外需相结合的国内外经济交往关系，促进追求引进数量的粗放型开放模式向追求引进效益的质量型开发模式转变。应在结合比较优势与竞争优势的基础上，大力发展控股、控技(尤其是核心技术)和控牌(尤其是名牌)的“三控型”民族企业集团和民族跨国公司，突出培育和发挥知识产权优势，早日真正打造出中国的世界工厂而非世界加工厂，从而尽快完成从贸易大国向贸易强国和经济大国向经济强国的转型。尤其要加速在船舶、汽车、电子、生物、宇航、海洋等重要领域发展“四跨”(跨地区、跨部门、跨产权和跨国家)、“三控型”国有跨国公司，这是趋利避害地参与经济全球化的关键。那种只强调保护国内外知识产权，不强调创造自主知识产权的做法；那种主要寄希望于不断引进外资、外技和外牌的依赖式策略；那种看不到跨国公司在华研发机构的正负双面效应而片面迎合强国推行“殖民地科技”的开放式爬行主义思维，都是不高明的科技发展“线路图”和开放理念，也不利于整个开放素质的提升和国内外经济的统筹与协调发展。在以往的对外开放中，在土地、资源、生态、税收等一些问题上均存在程度不同的无序性和不协调，值得进一步改善。一国的经济和谐与经济全球化分不开。</w:t>
      </w:r>
    </w:p>
    <w:p w14:paraId="1DE4274A">
      <w:pPr>
        <w:widowControl/>
        <w:spacing w:line="360" w:lineRule="auto"/>
        <w:ind w:firstLine="460" w:firstLineChars="200"/>
        <w:rPr>
          <w:rFonts w:ascii="宋体" w:hAnsi="宋体" w:eastAsia="宋体" w:cs="宋体"/>
          <w:b/>
          <w:bCs/>
          <w:color w:val="231F20"/>
          <w:w w:val="105"/>
          <w:szCs w:val="24"/>
          <w:lang w:val="zh-CN" w:bidi="zh-CN"/>
        </w:rPr>
      </w:pPr>
      <w:r>
        <w:rPr>
          <w:rFonts w:hint="eastAsia" w:ascii="宋体" w:hAnsi="宋体" w:eastAsia="宋体" w:cs="宋体"/>
          <w:b/>
          <w:bCs/>
          <w:color w:val="231F20"/>
          <w:w w:val="105"/>
          <w:szCs w:val="24"/>
          <w:lang w:val="zh-CN" w:bidi="zh-CN"/>
        </w:rPr>
        <w:t>三、对新中国的经济变迁能采取历史虚无主义态度吗?</w:t>
      </w:r>
    </w:p>
    <w:p w14:paraId="73FE141B">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目前，对新中国的经济变迁采取历史虚无主义态度的观点很流行，但流行不等于事实，不等于真理。有的论著全盘否定新中国的历史功绩，声称共产制度在中国也推行了几十年，行不通也是事实，共产制度的经济劣迹，史无前例；说什么共产制度带来的一穷二白，竟然沦落到今天不堪的地步，是人类历史的悲剧，希望中国不要以“文化大革命”后的经济增长，证明共产政制的优越性，等等。</w:t>
      </w:r>
    </w:p>
    <w:p w14:paraId="60E4E76D">
      <w:pPr>
        <w:widowControl/>
        <w:spacing w:line="360" w:lineRule="auto"/>
        <w:ind w:firstLine="460" w:firstLineChars="200"/>
        <w:jc w:val="left"/>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我们可以用众多的统计资料批驳这一历史虚无主义的歪曲。事实上，新旧中国纵向比较和中外横向经济比较的结论是:自1840年到1949年的109年间，包括国民党统治的20多年在内，造就了中国近代史上一穷二白的社会格局，与世界主要国家的经济差距是在拉大的，而新中国成立后的30-40年间，许多经济差距在不断缩小；旧中国腐朽落后的私产制生产关系严重阻碍了生产力的提高，比印度发展还慢；西方主要资本主义国家限于私产制的障碍，没有充分释放科技进步和产业革命所蕴藏的经济潜能，不少重要经济指标的增长比有较大弊端的“计划社会主义”大国要慢；新中国最初30年在较僵化的计划产品经济体制中运行，其发展得益于公有制内生机制的优势，一些重要经济指标赶上并超过了多数私产制国家，与某些较发达国家的若干重要经济差距缩小了。所以，中国选择社会主义没有错，现代化建设也是有相当成效的(改革前30年的GNP增长速度年均为6.1%，改革后大约为9.5%)。致使我国没有全面超过一切私产制国家的原因，主要在于人口增长太快，以及传统体制部分抑制了公有制和生产力的巨大潜力。现有的改革，正在逐步纠正传统公有制社会的体制弊病，并已日益展示出比西方制度更具活力的制度新貌。</w:t>
      </w:r>
    </w:p>
    <w:p w14:paraId="74373D4D">
      <w:pPr>
        <w:widowControl/>
        <w:spacing w:line="360" w:lineRule="auto"/>
        <w:ind w:firstLine="460" w:firstLineChars="200"/>
        <w:jc w:val="left"/>
        <w:rPr>
          <w:rFonts w:ascii="宋体" w:hAnsi="宋体" w:eastAsia="宋体" w:cs="宋体"/>
          <w:b/>
          <w:bCs/>
          <w:color w:val="231F20"/>
          <w:w w:val="105"/>
          <w:szCs w:val="24"/>
          <w:lang w:val="zh-CN" w:bidi="zh-CN"/>
        </w:rPr>
      </w:pPr>
      <w:r>
        <w:rPr>
          <w:rFonts w:hint="eastAsia" w:ascii="宋体" w:hAnsi="宋体" w:eastAsia="宋体" w:cs="宋体"/>
          <w:b/>
          <w:bCs/>
          <w:color w:val="231F20"/>
          <w:w w:val="105"/>
          <w:szCs w:val="24"/>
          <w:lang w:val="zh-CN" w:bidi="zh-CN"/>
        </w:rPr>
        <w:t>四、中国会走向资本主义的道路吗?</w:t>
      </w:r>
    </w:p>
    <w:p w14:paraId="3406C293">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对于中国近代史，有些论著的错误观点可以浓缩为如下“三部曲”:</w:t>
      </w:r>
    </w:p>
    <w:p w14:paraId="12434ABC">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首先，在历史上否定旧中国是正式的私产制度，以消除人们对资本主义的厌恶。他们说:在近代历史上，中国没有正式地推行过明确的私产制度，邓小平及其他中国的主要执政者从来没有经历过以健全私产制度为基础的资本主义经验，他们怎么可以反对他们不知道是什么的制度呢?</w:t>
      </w:r>
    </w:p>
    <w:p w14:paraId="0E2D8B32">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接着，在操作上以苏东国家为样板，希望由中国共产党通过推行私产制来瓦解社会主义。他们说:由共产党推行私产制，听起来有点语言矛盾，但权利所在，说不通却也是可行之道。苏联及东欧的经验，应该证明多年来的先见之明。</w:t>
      </w:r>
    </w:p>
    <w:p w14:paraId="508AAEEF">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最后，在理论上高颂所谓科斯定律，指出中国一定会走向资本主义的私产制度。他们说:基于中国坚持门户开放、增加生产及维持政局安定的三个情况下，用科斯所演变出来的结果，就是中国一定会走向近乎私产的道路。在我看来，上述“三部曲”的论断均经不起</w:t>
      </w:r>
    </w:p>
    <w:p w14:paraId="6428E2B6">
      <w:pPr>
        <w:widowControl/>
        <w:spacing w:line="360" w:lineRule="auto"/>
        <w:ind w:firstLine="460" w:firstLineChars="200"/>
        <w:jc w:val="left"/>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科学的推敲。其一，只要一个社会在法律制度上和现实生活中主要体现的是财产及其剩余索取权的私人性，那么，该社会便归属私有制一类。旧中国显然属于半封建、半资本主义的私产制社会。其二，真正精通历史辩证法的先进群体，不会主张走资本主义道路。把目前中国从公有制单一型计划产品经济体制，向公有制主体型市场经济体制转变，视为走资本主义私产制老路，这缺乏经济学的依据。其三，稍有经济学知识的人都很难赞成下列逻辑:只要中国坚持门户开放、增加生产及维持政局安定，就必然实行私产化。难怪私产权学派的同行反应颇为热烈，但同意上述“三部曲”论断的人甚少。美国经济学家舒尔兹说得对:经济学不能在这种事上作推测。</w:t>
      </w:r>
    </w:p>
    <w:p w14:paraId="19AAADFF">
      <w:pPr>
        <w:widowControl/>
        <w:spacing w:line="360" w:lineRule="auto"/>
        <w:ind w:firstLine="460" w:firstLineChars="200"/>
        <w:rPr>
          <w:rFonts w:ascii="宋体" w:hAnsi="宋体" w:eastAsia="宋体" w:cs="宋体"/>
          <w:b/>
          <w:bCs/>
          <w:color w:val="231F20"/>
          <w:w w:val="105"/>
          <w:szCs w:val="24"/>
          <w:lang w:val="zh-CN" w:bidi="zh-CN"/>
        </w:rPr>
      </w:pPr>
      <w:r>
        <w:rPr>
          <w:rFonts w:hint="eastAsia" w:ascii="宋体" w:hAnsi="宋体" w:eastAsia="宋体" w:cs="宋体"/>
          <w:b/>
          <w:bCs/>
          <w:color w:val="231F20"/>
          <w:w w:val="105"/>
          <w:szCs w:val="24"/>
          <w:lang w:val="zh-CN" w:bidi="zh-CN"/>
        </w:rPr>
        <w:t>五、创新的马克思主义经济学家是改革的首创者</w:t>
      </w:r>
    </w:p>
    <w:p w14:paraId="352A265B">
      <w:pPr>
        <w:widowControl/>
        <w:spacing w:line="360" w:lineRule="auto"/>
        <w:ind w:firstLine="460" w:firstLineChars="200"/>
        <w:jc w:val="left"/>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社会上流传一种论调，说什么马克思主义经济学家一贯思想僵化，反对社会主义改革。近年来，中外真正的马克思主义经济学家联合新老凯恩斯主义者和左翼经济学家等，都在重点批评新自由主义经济学，但这易被扣上“极左”、“走回头路”、“反对改革”的帽子。</w:t>
      </w:r>
    </w:p>
    <w:p w14:paraId="0579041A">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我想说明一个事实，即创新的马克思主义经济学家是我国改革的最早倡导者!由于马克思主义经济学家一贯比较谦虚，反对市场炒作和学术泡沫，而自由市场本身就极易导致学术市场的“假冒伪劣理论商品”的泛滥，因而很容易出现一批被中外媒体吹捧成所谓“主流经济学家”、“著名经济学家”等等理论或人物。其中有些“改革家”只是社会主义市场取向改革的“同路人”，实质属于资本主义市场取向改革的“改革家”或“改向家”(类似匈牙利的经济学家科尔奈、苏联的经济学家波波夫)。最近，西方媒体再次发动“西强我弱”的攻势，又选择了“华尔街版的中国十大经济学家”，试图影响我国正在激烈进行的“现代马克思主义经济学与现代西方经济学关系”的争论。值得欣慰的是，广大网民正在猛烈抨击某些所谓“主流经济学家”、“媒体经济学家”，这本质上是广大人民群众自觉地反对错误经济思潮的一种正义行动。可以列举许多事例证明:现在仍然坚定的马克思主义经济学家是我国改革的最早倡导者。不过，他们往往不是市场塑造的“媒体经济学家”或“主流经济学家”，而是学界认同的“杰出经济学家”，如于祖尧、刘国光、杨圣明、苏星、卫兴华、张薰华和已故的许涤新等。</w:t>
      </w:r>
    </w:p>
    <w:p w14:paraId="3707B9D5">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例一，于祖尧是我国社会主义市场经济的最早倡导者和杰出贡献者。1979年4月，在江苏省无锡市举行的全国价值规律理论讨论会上，中国社会科学院经济研究所于祖尧研究员(曾任所党委书记兼副所长)提交《试论社会主义市场经济》一文，是国内最早正式提出“社会主义市场经济”概念和理论的。他指出“社会主义既然实行商品制度，那么，社会主义经济在本质上就不能不是一种特殊的市场经济，只不过它的性质和特征同资本主义市场经济有原则的区别。为了加快实现四个现代化，搞好经济改革，应当怎样正确地对待市场经济，这是我们经济学界需要认真研究的重大课题。”</w:t>
      </w:r>
      <w:r>
        <w:rPr>
          <w:rFonts w:hint="eastAsia" w:ascii="宋体" w:hAnsi="宋体" w:eastAsia="宋体" w:cs="宋体"/>
          <w:color w:val="231F20"/>
          <w:w w:val="105"/>
          <w:szCs w:val="24"/>
          <w:vertAlign w:val="superscript"/>
          <w:lang w:val="zh-CN" w:bidi="zh-CN"/>
        </w:rPr>
        <w:footnoteReference w:id="240"/>
      </w:r>
      <w:r>
        <w:rPr>
          <w:rFonts w:hint="eastAsia" w:ascii="宋体" w:hAnsi="宋体" w:eastAsia="宋体" w:cs="宋体"/>
          <w:color w:val="231F20"/>
          <w:w w:val="105"/>
          <w:szCs w:val="24"/>
          <w:lang w:val="zh-CN" w:bidi="zh-CN"/>
        </w:rPr>
        <w:t>可见，现在仍坚定的马克思主义经济学家于祖尧，才真正是我国社会主义市场经济理论的最早倡导者和杰出贡献者。</w:t>
      </w:r>
    </w:p>
    <w:p w14:paraId="14C49A58">
      <w:pPr>
        <w:widowControl/>
        <w:spacing w:line="360" w:lineRule="auto"/>
        <w:ind w:firstLine="460" w:firstLineChars="200"/>
        <w:rPr>
          <w:rFonts w:ascii="宋体" w:hAnsi="宋体" w:eastAsia="宋体" w:cs="宋体"/>
          <w:color w:val="231F20"/>
          <w:w w:val="105"/>
          <w:szCs w:val="24"/>
        </w:rPr>
      </w:pPr>
      <w:r>
        <w:rPr>
          <w:rFonts w:hint="eastAsia" w:ascii="宋体" w:hAnsi="宋体" w:eastAsia="宋体" w:cs="宋体"/>
          <w:color w:val="231F20"/>
          <w:w w:val="105"/>
          <w:szCs w:val="24"/>
        </w:rPr>
        <w:t>例二，刘国光是主张缩小指令性计划和市场改革取向的最早倡导者和杰出贡献者。中国社会科学院刘国光研究员(曾任副院长，现为特邀顾问)是力主社会主义市场改革取向的，他在1979年7月一次关于经济体制改革取向问题的座谈会中明确提出，高度集权的苏联模式仅是社会主义经济体制模式之一，东欧国家偏重分权、偏于分散的市场体制和用经济办法管理经济的模式，也是社会主义经济体制的重要模式之一，我国经济体制改革在选择模式时，“要解放思想，按照实践是检验真理的唯一标准来决定我们的取舍只要有利于经济的发展和人民生活水平的提高，都是可以采取的，没有什么政治帽子问题，只有适不适合一个国家各个时期的具体历史条件和经济发展条件的问题，也就是适不适合一国国情的问题”，市场机制是实行分权管理体制的重要手段。</w:t>
      </w:r>
      <w:r>
        <w:rPr>
          <w:rFonts w:hint="eastAsia" w:ascii="宋体" w:hAnsi="宋体" w:eastAsia="宋体" w:cs="宋体"/>
          <w:color w:val="231F20"/>
          <w:w w:val="105"/>
          <w:szCs w:val="24"/>
          <w:vertAlign w:val="superscript"/>
        </w:rPr>
        <w:footnoteReference w:id="241"/>
      </w:r>
    </w:p>
    <w:p w14:paraId="26A306A0">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随后，在与人合著的《论社会主义经济中计划与市场的关系》一文中，从生产与需求脱节、计划价格脱离实际、供给制资金分配体制的缺陷、企业结构上自给自足倾向的原因等方面，翔实论证了社会主义经济中计划与市场相结合的必然性，并对计划经济条件下如何利用市场的问题和利用市场机制条件下如何加强经济发展的计划性问题，提出了完整、系统的改革举措与政策建议。这一报告受到当时国内经济学界、特别是政府决策部门和中央领导的高度重视，对我国社会主义市场改革取向的抉择产生了重要影响。中国经济体制改革初期的不同意见争论是激烈的，在20世纪80年代初期，刘国光教授因他在改革取向抉择关键时期的这一重要观点而受到批评，但他没有退却。</w:t>
      </w:r>
    </w:p>
    <w:p w14:paraId="4368F2CD">
      <w:pPr>
        <w:widowControl/>
        <w:spacing w:line="360" w:lineRule="auto"/>
        <w:ind w:firstLine="460" w:firstLineChars="200"/>
        <w:jc w:val="left"/>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例三，苏星是我国社会主义股份制的最早倡导者和杰出贡献者。1983年7月，中共中央党校苏星教授(曾任副校长，现为国家马克思主义理论研究和建设工程咨询委员)在《红旗》第14期上发表的《试论工业公司》一文中明确指出:“社会主义社会的物质技术基础也是社会化的大生产。在消灭生产资料的资本主义私有制，建立生产资料公有制以后，依然需要利用股份公司和托拉斯一类的社会化大生产组织形式，利用它们的管理经验，使之为社会主义经济服务。</w:t>
      </w:r>
      <w:r>
        <w:rPr>
          <w:rFonts w:hint="eastAsia" w:ascii="宋体" w:hAnsi="宋体" w:eastAsia="宋体" w:cs="宋体"/>
          <w:color w:val="231F20"/>
          <w:w w:val="105"/>
          <w:szCs w:val="24"/>
          <w:lang w:val="zh-CN" w:bidi="zh-CN"/>
        </w:rPr>
        <w:tab/>
      </w:r>
      <w:r>
        <w:rPr>
          <w:rFonts w:hint="eastAsia" w:ascii="宋体" w:hAnsi="宋体" w:eastAsia="宋体" w:cs="宋体"/>
          <w:color w:val="231F20"/>
          <w:w w:val="105"/>
          <w:szCs w:val="24"/>
          <w:lang w:val="zh-CN" w:bidi="zh-CN"/>
        </w:rPr>
        <w:t>股份公司一类经济组织，作为社会化生产的组织形式，按理应当更适合于生产资料公有制的性质。因为在生产资料公有制的条件下，企业之间的根本利益是一致的，它们在国家政策的引导下，可以遵循自愿互利的原则，广泛组织公司和其他各种形式的联合体，不存在私有制的限制。当然，社会主义的公司和资本主义的公司在性质上是根本不同的。我们向资本主义的公司和托拉斯学习，主要是学习它们组织社会化大生产，特别是专业化和联合的经验，而不能照抄照搬。”</w:t>
      </w:r>
    </w:p>
    <w:p w14:paraId="4A7015ED">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例四，张薰华是土地管理体制改革的最早倡导者和杰出贡献者。1984年在港澳经济研究会成立大会上，杰出的《资本论》研究专家、复旦大学张薰华教授(曾任经济学系主任，现任全国《资本论》研究会顾问、中国社会科学院马克思主义研究院学术顾问)提出了论文《论社会主义经济中地租的必然性》，从理论到实践阐述这一思路。论文载于《中国房地产》杂志1984年第8期。1985年初，由于中央对土地管理体制改革的重视，上海市委研究室注意到这篇文章，嘱再写一篇《再论社会主义商品经济中地租的必然性——兼论上海土地使用问题》，载于该室《内部资料》第6期(1985年1月21日印发)。文中再一次指出:“土地的有偿使用关系到土地的合理使用和土地的公有权问题。级差地租应该为国家的财源之一，港澳的租地办法可以采用。”接着，《再论社会主义商品经济中地租的必然性》这篇文章又受到中共中央书记处研究室注意，嘱再补充，标题改为《论社会主义商品经济中地租的必然性》，1985年4月10日载于该室内刊《调查与研究》第5期，发至全国各省市领导机关。这就为中国土地批租制度的建立提供了理论依据。根据以上机理，土地国有化不仅排除了土地私有制，而且排除了土地集体所有制。因为集体单位使用土地带来级差超额利润，也是社会转移来的价值，不是他们劳动创造的价值。同理，国有企业也不应无偿使用土地。无偿划拨土地实质上是将国有土地变为企业土地。1987年，在深圳参加“城市土地管理体制改革”讨论会上，张薰华教授就此提出论文《论土地国有化与地租的归属问题》。后来，深圳市政府将该市农村土地全部收归国有。</w:t>
      </w:r>
    </w:p>
    <w:p w14:paraId="5BB0478B">
      <w:pPr>
        <w:widowControl/>
        <w:spacing w:line="360" w:lineRule="auto"/>
        <w:ind w:firstLine="460" w:firstLineChars="200"/>
        <w:rPr>
          <w:rFonts w:ascii="宋体" w:hAnsi="宋体" w:eastAsia="宋体" w:cs="宋体"/>
          <w:color w:val="231F20"/>
          <w:w w:val="105"/>
          <w:szCs w:val="24"/>
          <w:lang w:val="zh-CN" w:bidi="zh-CN"/>
        </w:rPr>
      </w:pPr>
      <w:r>
        <w:rPr>
          <w:rFonts w:hint="eastAsia" w:ascii="宋体" w:hAnsi="宋体" w:eastAsia="宋体" w:cs="宋体"/>
          <w:color w:val="231F20"/>
          <w:w w:val="105"/>
          <w:szCs w:val="24"/>
          <w:lang w:val="zh-CN" w:bidi="zh-CN"/>
        </w:rPr>
        <w:t>此外，中国社会科学院经济研究所原所长、已故著名经济学家许涤新研究员是我国第一个提出要重视环境和构建生态经济学的杰出马克思主义经济学家。早在1983年上半年，他就发表了相关论文。</w:t>
      </w:r>
    </w:p>
    <w:p w14:paraId="119ECC29">
      <w:pPr>
        <w:widowControl/>
        <w:spacing w:line="360" w:lineRule="auto"/>
        <w:ind w:firstLine="460" w:firstLineChars="200"/>
        <w:jc w:val="left"/>
        <w:rPr>
          <w:rFonts w:ascii="宋体" w:hAnsi="宋体" w:eastAsia="宋体" w:cs="宋体"/>
          <w:b/>
          <w:bCs/>
          <w:color w:val="231F20"/>
          <w:w w:val="105"/>
          <w:szCs w:val="24"/>
          <w:lang w:val="zh-CN" w:bidi="zh-CN"/>
        </w:rPr>
      </w:pPr>
      <w:r>
        <w:rPr>
          <w:rFonts w:hint="eastAsia" w:ascii="宋体" w:hAnsi="宋体" w:eastAsia="宋体" w:cs="宋体"/>
          <w:color w:val="231F20"/>
          <w:w w:val="105"/>
          <w:szCs w:val="24"/>
          <w:lang w:val="zh-CN" w:bidi="zh-CN"/>
        </w:rPr>
        <w:t>从上述新马克思主义经济学家理论联系实践的原创中可以表明:伴随着经济改革进程的中国政治经济学的转型，不是从传统政治经济学转向现代西方经济学，而是在科学扬弃和超越苏联经济学和现代西方经济学的基础上转向现代马克思主义政治经济学，包括现代社会主义市场经济和现代资本主义市场经济的基本理论。就理论经济学来说，世界主流经济学是西方经济学，而马克思主义经济学则是非主流经济学；改革后社会主义中国的主流经济学是现代马克思主义经济学，而现代西方经济学则是非主流经济学。社会主义中国是不可能将西方发达国家执政党奉为主流的经济学作为本国主流经济学，并作为经济体制改革指导思想。同现代西方经济学一样，现代马克思主义政治经济学既是学术体系，又是一种理论信仰和意识形态，应当在学术和意识形态两个相关领域都发挥指导作用。如果只赞成马克思主义经济学作为经济意识形态的指导地位，而不赞成它在经济学教学和研究中的学术指导地位，则会架空现代马克思主义经济学。</w:t>
      </w:r>
    </w:p>
    <w:p w14:paraId="58EEAC46">
      <w:pPr>
        <w:widowControl/>
        <w:spacing w:line="300" w:lineRule="auto"/>
        <w:ind w:firstLine="440" w:firstLineChars="200"/>
        <w:rPr>
          <w:rFonts w:hint="eastAsia" w:ascii="宋体" w:hAnsi="宋体" w:eastAsia="宋体" w:cs="宋体"/>
          <w:szCs w:val="21"/>
        </w:rPr>
      </w:pPr>
      <w:r>
        <w:rPr>
          <w:rFonts w:hint="eastAsia" w:ascii="宋体" w:hAnsi="宋体" w:eastAsia="宋体" w:cs="宋体"/>
          <w:szCs w:val="24"/>
        </w:rPr>
        <w:t>（原载于《毛泽东邓小平理论研究》2006年第10期》</w:t>
      </w:r>
    </w:p>
    <w:p w14:paraId="61CCECD0">
      <w:pPr>
        <w:widowControl/>
        <w:spacing w:line="300" w:lineRule="auto"/>
        <w:ind w:firstLine="440" w:firstLineChars="200"/>
        <w:rPr>
          <w:rFonts w:hint="eastAsia" w:ascii="宋体" w:hAnsi="宋体" w:eastAsia="宋体" w:cs="宋体"/>
          <w:szCs w:val="21"/>
        </w:rPr>
      </w:pPr>
    </w:p>
    <w:p w14:paraId="20C687CF">
      <w:pPr>
        <w:widowControl/>
        <w:spacing w:line="300" w:lineRule="auto"/>
        <w:ind w:firstLine="660" w:firstLineChars="200"/>
        <w:rPr>
          <w:rFonts w:ascii="宋体" w:hAnsi="宋体" w:eastAsia="宋体" w:cs="宋体"/>
          <w:sz w:val="32"/>
          <w:szCs w:val="32"/>
        </w:rPr>
      </w:pPr>
      <w:bookmarkStart w:id="637" w:name="_Toc111193661"/>
      <w:r>
        <w:rPr>
          <w:rFonts w:ascii="宋体" w:hAnsi="宋体" w:eastAsia="宋体" w:cs="宋体"/>
          <w:sz w:val="32"/>
          <w:szCs w:val="32"/>
        </w:rPr>
        <w:br w:type="page"/>
      </w:r>
    </w:p>
    <w:p w14:paraId="21C1FA47">
      <w:pPr>
        <w:widowControl/>
        <w:spacing w:line="300" w:lineRule="auto"/>
        <w:ind w:firstLine="660" w:firstLineChars="200"/>
        <w:rPr>
          <w:rFonts w:ascii="宋体" w:hAnsi="宋体" w:eastAsia="宋体" w:cs="宋体"/>
          <w:sz w:val="32"/>
          <w:szCs w:val="32"/>
        </w:rPr>
      </w:pPr>
    </w:p>
    <w:p w14:paraId="0F755E38">
      <w:pPr>
        <w:widowControl/>
        <w:spacing w:line="300" w:lineRule="auto"/>
        <w:ind w:firstLine="660" w:firstLineChars="200"/>
        <w:outlineLvl w:val="0"/>
        <w:rPr>
          <w:rFonts w:ascii="宋体" w:hAnsi="宋体" w:eastAsia="宋体" w:cs="宋体"/>
          <w:sz w:val="32"/>
          <w:szCs w:val="32"/>
        </w:rPr>
      </w:pPr>
      <w:bookmarkStart w:id="638" w:name="_Toc633"/>
      <w:bookmarkStart w:id="639" w:name="_Toc291875342"/>
      <w:bookmarkStart w:id="640" w:name="_Toc627129155"/>
      <w:r>
        <w:rPr>
          <w:rFonts w:hint="eastAsia" w:ascii="宋体" w:hAnsi="宋体" w:eastAsia="宋体" w:cs="宋体"/>
          <w:sz w:val="32"/>
          <w:szCs w:val="32"/>
        </w:rPr>
        <w:t>2</w:t>
      </w:r>
      <w:r>
        <w:rPr>
          <w:rFonts w:ascii="宋体" w:hAnsi="宋体" w:eastAsia="宋体" w:cs="宋体"/>
          <w:sz w:val="32"/>
          <w:szCs w:val="32"/>
        </w:rPr>
        <w:t>007</w:t>
      </w:r>
      <w:bookmarkEnd w:id="637"/>
      <w:bookmarkEnd w:id="638"/>
      <w:bookmarkEnd w:id="639"/>
      <w:bookmarkEnd w:id="640"/>
    </w:p>
    <w:p w14:paraId="4B7D6AD8">
      <w:pPr>
        <w:pStyle w:val="3"/>
        <w:spacing w:before="0" w:after="0" w:line="400" w:lineRule="exact"/>
        <w:jc w:val="center"/>
        <w:rPr>
          <w:rFonts w:hint="default" w:ascii="黑体" w:hAnsi="黑体" w:eastAsia="黑体"/>
          <w:b w:val="0"/>
          <w:bCs w:val="0"/>
        </w:rPr>
      </w:pPr>
      <w:bookmarkStart w:id="641" w:name="_Toc111193662"/>
      <w:bookmarkStart w:id="642" w:name="_Toc13799"/>
      <w:bookmarkStart w:id="643" w:name="_Toc696223246"/>
      <w:bookmarkStart w:id="644" w:name="_Toc309968609"/>
      <w:r>
        <w:rPr>
          <w:rFonts w:ascii="黑体" w:hAnsi="黑体" w:eastAsia="黑体"/>
          <w:b w:val="0"/>
          <w:bCs w:val="0"/>
        </w:rPr>
        <w:t>1</w:t>
      </w:r>
      <w:r>
        <w:rPr>
          <w:rFonts w:hint="default" w:ascii="黑体" w:hAnsi="黑体" w:eastAsia="黑体"/>
          <w:b w:val="0"/>
          <w:bCs w:val="0"/>
        </w:rPr>
        <w:t>.</w:t>
      </w:r>
      <w:r>
        <w:rPr>
          <w:rFonts w:ascii="黑体" w:hAnsi="黑体" w:eastAsia="黑体"/>
          <w:b w:val="0"/>
          <w:bCs w:val="0"/>
        </w:rPr>
        <w:t>要切实发展统分结合的集体层经营</w:t>
      </w:r>
      <w:bookmarkEnd w:id="641"/>
      <w:bookmarkEnd w:id="642"/>
      <w:bookmarkEnd w:id="643"/>
      <w:bookmarkEnd w:id="644"/>
    </w:p>
    <w:p w14:paraId="579EC7CB">
      <w:pPr>
        <w:spacing w:line="400" w:lineRule="exact"/>
        <w:ind w:firstLine="440" w:firstLineChars="200"/>
        <w:rPr>
          <w:rFonts w:ascii="宋体" w:hAnsi="宋体" w:eastAsia="宋体"/>
        </w:rPr>
      </w:pPr>
      <w:r>
        <w:rPr>
          <w:rFonts w:hint="eastAsia" w:ascii="宋体" w:hAnsi="宋体" w:eastAsia="宋体"/>
        </w:rPr>
        <w:t>邓小平说</w:t>
      </w:r>
      <w:r>
        <w:rPr>
          <w:rFonts w:ascii="宋体" w:hAnsi="宋体" w:eastAsia="宋体"/>
        </w:rPr>
        <w:t>:“中国农村社会主义农业的改革与发展，从长远的观点看，有两个飞跃。第一个飞跃，是废除人民公社，实行家庭联产承包为主的责任制。这是一个很大的前进，要长期坚持不变。第二个飞跃，是适应科学种田和生产社会化的需要，发展适度规模经营，发展集体经济。这是又一个很大的前进，当然这是很长的过程”。</w:t>
      </w:r>
    </w:p>
    <w:p w14:paraId="4A86BE43">
      <w:pPr>
        <w:spacing w:line="400" w:lineRule="exact"/>
        <w:rPr>
          <w:rFonts w:ascii="宋体" w:hAnsi="宋体" w:eastAsia="宋体"/>
        </w:rPr>
      </w:pPr>
      <w:r>
        <w:rPr>
          <w:rFonts w:hint="eastAsia" w:ascii="宋体" w:hAnsi="宋体" w:eastAsia="宋体"/>
        </w:rPr>
        <w:t>当前，遵循邓小平关于“社会主义农业改革和发展的两个飞跃”的思想和科学发展观的精神，在建设社会主义新农村的进程中，应在以家庭联产承包为基础的双层经营体制下，增强集体层经营的实力，切实做到农村各类集体企业同市场经济的充分衔接和融合，从产权制度上促进“三农”难题的解决。</w:t>
      </w:r>
    </w:p>
    <w:p w14:paraId="09F73EC7">
      <w:pPr>
        <w:spacing w:line="400" w:lineRule="exact"/>
        <w:rPr>
          <w:rFonts w:ascii="宋体" w:hAnsi="宋体" w:eastAsia="宋体"/>
        </w:rPr>
      </w:pPr>
      <w:r>
        <w:rPr>
          <w:rFonts w:hint="eastAsia" w:ascii="宋体" w:hAnsi="宋体" w:eastAsia="宋体"/>
        </w:rPr>
        <w:t>双层经营体制中存在的问题</w:t>
      </w:r>
    </w:p>
    <w:p w14:paraId="5C851CED">
      <w:pPr>
        <w:spacing w:line="400" w:lineRule="exact"/>
        <w:ind w:firstLine="440" w:firstLineChars="200"/>
        <w:rPr>
          <w:rFonts w:ascii="宋体" w:hAnsi="宋体" w:eastAsia="宋体"/>
        </w:rPr>
      </w:pPr>
      <w:r>
        <w:rPr>
          <w:rFonts w:hint="eastAsia" w:ascii="宋体" w:hAnsi="宋体" w:eastAsia="宋体"/>
        </w:rPr>
        <w:t>经过二十多年的实践，以家庭联产承包为基础的统分结合的双层经营体制涌现出了多种模式，为数较多的是以分为主的统分结合或有分无统的类型，其共同点是集体积累较少，力量薄弱，因而在实践中农村双层经营体制一直存在着矛盾。一方面，</w:t>
      </w:r>
      <w:r>
        <w:rPr>
          <w:rFonts w:ascii="宋体" w:hAnsi="宋体" w:eastAsia="宋体"/>
        </w:rPr>
        <w:t xml:space="preserve"> 家庭承包经营在大多数地区往往成了以户为单位的个体经济，这与农业生产社会化、专业化、商品化趋势不相适应。具体表现为：农户经营规模过小，经营方式过于分散，生产经营信息不灵通，土地难以合理集中，农业适度规模经营不易推行，农业集约化程度非常低；另一方面，集体统一经营和家庭分散经营两个层次发展失衡，存在</w:t>
      </w:r>
      <w:r>
        <w:rPr>
          <w:rFonts w:hint="eastAsia" w:ascii="宋体" w:hAnsi="宋体" w:eastAsia="宋体"/>
        </w:rPr>
        <w:t>只“分”无“统”的不良倾向，“统”层的功能弱化甚至缺失。多数地方的集体层次经营有名无实，明显落后于家庭分散层次。主要表现在：一是集体财产权归属不清，</w:t>
      </w:r>
      <w:r>
        <w:rPr>
          <w:rFonts w:ascii="宋体" w:hAnsi="宋体" w:eastAsia="宋体"/>
        </w:rPr>
        <w:t xml:space="preserve"> 缺乏规范；二是集体统一经营抓不起来，流于口号和形式，农村集体经济组织的组织制度不科学，缺乏科学的管理约束机制； 三是集体经济没有实力，集体资产流失，自有资金拮据，无力组织农村基础设施建设，无力为农户提供产前、产中、产后等各种形式的配套服务，处于“空壳” 状态，这也是造成各地随意向农民乱摊派、乱收费和农民负担重的重要原因。</w:t>
      </w:r>
    </w:p>
    <w:p w14:paraId="7EBDA5FA">
      <w:pPr>
        <w:spacing w:line="400" w:lineRule="exact"/>
        <w:ind w:firstLine="440" w:firstLineChars="200"/>
        <w:rPr>
          <w:rFonts w:ascii="宋体" w:hAnsi="宋体" w:eastAsia="宋体"/>
        </w:rPr>
      </w:pPr>
      <w:r>
        <w:rPr>
          <w:rFonts w:hint="eastAsia" w:ascii="宋体" w:hAnsi="宋体" w:eastAsia="宋体"/>
        </w:rPr>
        <w:t>出现这些问题的原因，既包括农村经济制度（土地所有制度和流转制度、农村组织制度和户籍管理制度以及承包制度）上的缺陷，更重要的是对统分结合的双层经营体制存在实施上的错位。在很多地区建立家庭联产承包之初，就取消了必要的公共积累，把集体资产全部作价按人口分给了农民，使得集体经济发展失去了物质基础。例如，</w:t>
      </w:r>
      <w:r>
        <w:rPr>
          <w:rFonts w:ascii="宋体" w:hAnsi="宋体" w:eastAsia="宋体"/>
        </w:rPr>
        <w:t xml:space="preserve"> 目前很多农村的农用机械都是私人拥有，凡是使用这些机械工具的农户都要支付租金给所有者； 过去建造的水渠等农业灌溉设施也很少维修和新建。由于人民公社时期的错误，人们对集体经济缺乏信心，只重视家庭经营而忽视发展集体经营，</w:t>
      </w:r>
      <w:r>
        <w:rPr>
          <w:rFonts w:hint="eastAsia" w:ascii="宋体" w:hAnsi="宋体" w:eastAsia="宋体"/>
        </w:rPr>
        <w:t>导致了执行中的偏离，其结果是只有家庭单一经营，而没有双层经营，农村集体经济组织失去了应有的经济功能。</w:t>
      </w:r>
    </w:p>
    <w:p w14:paraId="54E51770">
      <w:pPr>
        <w:spacing w:line="400" w:lineRule="exact"/>
        <w:rPr>
          <w:rFonts w:ascii="宋体" w:hAnsi="宋体" w:eastAsia="宋体"/>
        </w:rPr>
      </w:pPr>
      <w:r>
        <w:rPr>
          <w:rFonts w:hint="eastAsia" w:ascii="宋体" w:hAnsi="宋体" w:eastAsia="宋体"/>
        </w:rPr>
        <w:t>发展统分结合的集体层经营的适时性</w:t>
      </w:r>
    </w:p>
    <w:p w14:paraId="420F2C88">
      <w:pPr>
        <w:spacing w:line="400" w:lineRule="exact"/>
        <w:ind w:firstLine="440" w:firstLineChars="200"/>
        <w:rPr>
          <w:rFonts w:ascii="宋体" w:hAnsi="宋体" w:eastAsia="宋体"/>
        </w:rPr>
      </w:pPr>
      <w:r>
        <w:rPr>
          <w:rFonts w:hint="eastAsia" w:ascii="宋体" w:hAnsi="宋体" w:eastAsia="宋体"/>
        </w:rPr>
        <w:t>十六大报告强调，要“长期稳定并不断完善以家庭承包经营为基础、统分结合的双层经营体制。”目前我国大部分农民没有其他社会保障，土地仍是其重要的生产和生活保障，加上我国人多地少的国情，决定了这种双层经营体制是适应现阶段我国农村生产力的发展现状的。在建设社会主义新农村的进程中，切实发展统分结合的集体层经营的适时性和优越性已充分显示。</w:t>
      </w:r>
    </w:p>
    <w:p w14:paraId="32720042">
      <w:pPr>
        <w:spacing w:line="400" w:lineRule="exact"/>
        <w:ind w:firstLine="440" w:firstLineChars="200"/>
        <w:rPr>
          <w:rFonts w:ascii="宋体" w:hAnsi="宋体" w:eastAsia="宋体"/>
        </w:rPr>
      </w:pPr>
      <w:r>
        <w:rPr>
          <w:rFonts w:hint="eastAsia" w:ascii="宋体" w:hAnsi="宋体" w:eastAsia="宋体"/>
        </w:rPr>
        <w:t>发展集体层经营的思路和措施可以改善农业发展缺乏集体服务和某些萎缩状况。农业集自然生产与经济再生产为一体，</w:t>
      </w:r>
      <w:r>
        <w:rPr>
          <w:rFonts w:ascii="宋体" w:hAnsi="宋体" w:eastAsia="宋体"/>
        </w:rPr>
        <w:t xml:space="preserve"> 一方面自然条件的影响，生产条件复杂多变，需要生产经营者灵活应变，及时做出决策，另一方面农业的再生产要求生产中一系列带共性的重要项目和内容，如农业基础设施，农田灌溉设施， 抗御灾害，农业生产技术服务、农业市场化服务等，都需要集体经济组织来解决。但是目前，我国农村中集体层经营上的缺失， 使农业经济再生产在某些地区处于停顿状态，集体服务和支持流于形式，农业生产和收益受到影响。例如，1994年我国粮食总产量为4445亿公斤，比1984年仅增加了350多亿公斤，年均增长率只有0.9%,远</w:t>
      </w:r>
      <w:r>
        <w:rPr>
          <w:rFonts w:hint="eastAsia" w:ascii="宋体" w:hAnsi="宋体" w:eastAsia="宋体"/>
        </w:rPr>
        <w:t>低于</w:t>
      </w:r>
      <w:r>
        <w:rPr>
          <w:rFonts w:ascii="宋体" w:hAnsi="宋体" w:eastAsia="宋体"/>
        </w:rPr>
        <w:t>1984年前的增长速度。进入21世纪以来，我国的粮食产量持续下降，2003年的粮食总产量只有4.31亿吨，仅为历史最高年份1998年粮食产量5.12亿吨的84%。也没有达到历史最高水平。因此，切实发展统分结合的集体层经营，可以改进农民对农业生产的长期投入降低，甚至在许多地区出现不同程度的“撂荒”现象，以便逐步消除农业用地的浪费和农业生产的某些萎缩，也有利于提高农民收入，克服消费需求的不足。</w:t>
      </w:r>
    </w:p>
    <w:p w14:paraId="3B8384B7">
      <w:pPr>
        <w:spacing w:line="400" w:lineRule="exact"/>
        <w:ind w:firstLine="440" w:firstLineChars="200"/>
        <w:rPr>
          <w:rFonts w:ascii="宋体" w:hAnsi="宋体" w:eastAsia="宋体"/>
        </w:rPr>
      </w:pPr>
      <w:r>
        <w:rPr>
          <w:rFonts w:hint="eastAsia" w:ascii="宋体" w:hAnsi="宋体" w:eastAsia="宋体"/>
        </w:rPr>
        <w:t>可以改善农民的市场交易地位和状况。市场经济体制下的小生产模式与千变万化的社会大市场存在矛盾，农民作为市场主体同高度组织化的企业主体是不平等的，农民在交易中处于被动和弱势地位。由于家庭分散经营的农产品专业化水平低，难以提高产品附加值，“个体农民”在市场竞争中也处于劣势地位。目前改变农民的弱势地位的重要方面之一，是必须加强农村集体经济的市场交易力量，提高作为经济整体的“集体农民”的地位。</w:t>
      </w:r>
    </w:p>
    <w:p w14:paraId="7D2C5290">
      <w:pPr>
        <w:spacing w:line="400" w:lineRule="exact"/>
        <w:ind w:firstLine="440" w:firstLineChars="200"/>
        <w:rPr>
          <w:rFonts w:ascii="宋体" w:hAnsi="宋体" w:eastAsia="宋体"/>
        </w:rPr>
      </w:pPr>
      <w:r>
        <w:rPr>
          <w:rFonts w:hint="eastAsia" w:ascii="宋体" w:hAnsi="宋体" w:eastAsia="宋体"/>
        </w:rPr>
        <w:t>可以改善农村精神文明建设状况。社会主义制度的优越性在一定程度上需要通过集体经济的优越性体现出来。由于一些地方集体经济相当薄弱，过去已经消失的封建迷信活动、赌博等活动又开始盛行，社会治安混乱，儿童失学辍学问题严重。而集体经济力量雄厚的乡村则恰恰相反，</w:t>
      </w:r>
      <w:r>
        <w:rPr>
          <w:rFonts w:ascii="宋体" w:hAnsi="宋体" w:eastAsia="宋体"/>
        </w:rPr>
        <w:t xml:space="preserve"> 农民群众的物质和精神文明程度都提高较快，体现了社会主义新农村的面貌。</w:t>
      </w:r>
    </w:p>
    <w:p w14:paraId="13285D3D">
      <w:pPr>
        <w:spacing w:line="400" w:lineRule="exact"/>
        <w:ind w:firstLine="440" w:firstLineChars="200"/>
        <w:rPr>
          <w:rFonts w:ascii="宋体" w:hAnsi="宋体" w:eastAsia="宋体"/>
        </w:rPr>
      </w:pPr>
      <w:r>
        <w:rPr>
          <w:rFonts w:hint="eastAsia" w:ascii="宋体" w:hAnsi="宋体" w:eastAsia="宋体"/>
        </w:rPr>
        <w:t>一是集体层经营的具体形式可以多样，不要一刀切。集体层的经济实力关系到农民负担的轻重和实现共同富裕的进程，但大力发展集体层经营要因地制宜，</w:t>
      </w:r>
      <w:r>
        <w:rPr>
          <w:rFonts w:ascii="宋体" w:hAnsi="宋体" w:eastAsia="宋体"/>
        </w:rPr>
        <w:t xml:space="preserve"> 充分发挥科学发展“统”的优势，尤其是在推动农业适度规模经营、产业化等方面发挥主导作用。可以实行集体独资模式，可以搞股份合作制，也可以引进外国资本和技术来发展集体产业。</w:t>
      </w:r>
    </w:p>
    <w:p w14:paraId="343C90E7">
      <w:pPr>
        <w:spacing w:line="400" w:lineRule="exact"/>
        <w:ind w:firstLine="440" w:firstLineChars="200"/>
        <w:rPr>
          <w:rFonts w:ascii="宋体" w:hAnsi="宋体" w:eastAsia="宋体"/>
        </w:rPr>
      </w:pPr>
      <w:r>
        <w:rPr>
          <w:rFonts w:hint="eastAsia" w:ascii="宋体" w:hAnsi="宋体" w:eastAsia="宋体"/>
        </w:rPr>
        <w:t>二是要以增强集体层的经济实力为目标。既要加强农村现有集体资产的管理，清产核资，确保集体资产保值增值，又需要在财力和物力上增强集体经济自我积累的功能，同时要杜绝各种乱收费、乱摊派现象，精简干部，</w:t>
      </w:r>
      <w:r>
        <w:rPr>
          <w:rFonts w:ascii="宋体" w:hAnsi="宋体" w:eastAsia="宋体"/>
        </w:rPr>
        <w:t xml:space="preserve"> 减少开支。</w:t>
      </w:r>
    </w:p>
    <w:p w14:paraId="034A8E3C">
      <w:pPr>
        <w:spacing w:line="400" w:lineRule="exact"/>
        <w:ind w:firstLine="440" w:firstLineChars="200"/>
        <w:rPr>
          <w:rFonts w:ascii="宋体" w:hAnsi="宋体" w:eastAsia="宋体"/>
        </w:rPr>
      </w:pPr>
      <w:r>
        <w:rPr>
          <w:rFonts w:hint="eastAsia" w:ascii="宋体" w:hAnsi="宋体" w:eastAsia="宋体"/>
        </w:rPr>
        <w:t>三是集体层经营需要从组织和产业两个方面进行重新定位。统一经营不应当再仅限于村、乡等过去的行政区域，而是应该逐步扩展到各种层次的合作经济组织和服务联合体。目前，农业经营打破了过去单一的粮食、畜禽生产模式，各种养殖业、非农产业蓬勃发展，因此，统一经营的产业范围也需要进行相应的扩展。</w:t>
      </w:r>
    </w:p>
    <w:p w14:paraId="20A528C6">
      <w:pPr>
        <w:spacing w:line="400" w:lineRule="exact"/>
        <w:ind w:firstLine="440" w:firstLineChars="200"/>
        <w:rPr>
          <w:rFonts w:ascii="宋体" w:hAnsi="宋体" w:eastAsia="宋体"/>
        </w:rPr>
      </w:pPr>
      <w:r>
        <w:rPr>
          <w:rFonts w:hint="eastAsia" w:ascii="宋体" w:hAnsi="宋体" w:eastAsia="宋体"/>
        </w:rPr>
        <w:t>四是各级政府及其政策要积极引导。应在银行贷款、政府税收、技术支持、产业项目、人员培训、干部考核等多个方面，鼓励集体层经营。对于通过集体层经营而共同致富的先进基层单位要大力宣传表扬，以不断营造良好的舆论和制度环境。</w:t>
      </w:r>
    </w:p>
    <w:p w14:paraId="541A55B9">
      <w:pPr>
        <w:spacing w:line="400" w:lineRule="exact"/>
        <w:ind w:firstLine="440" w:firstLineChars="200"/>
        <w:rPr>
          <w:rFonts w:ascii="宋体" w:hAnsi="宋体" w:eastAsia="宋体"/>
        </w:rPr>
      </w:pPr>
      <w:r>
        <w:rPr>
          <w:rFonts w:hint="eastAsia" w:ascii="宋体" w:hAnsi="宋体" w:eastAsia="宋体"/>
        </w:rPr>
        <w:t>（原载《</w:t>
      </w:r>
      <w:r>
        <w:rPr>
          <w:rFonts w:ascii="宋体" w:hAnsi="宋体" w:eastAsia="宋体"/>
        </w:rPr>
        <w:t>中国老区建设</w:t>
      </w:r>
      <w:r>
        <w:rPr>
          <w:rFonts w:hint="eastAsia" w:ascii="宋体" w:hAnsi="宋体" w:eastAsia="宋体"/>
        </w:rPr>
        <w:t>》2</w:t>
      </w:r>
      <w:r>
        <w:rPr>
          <w:rFonts w:ascii="宋体" w:hAnsi="宋体" w:eastAsia="宋体"/>
        </w:rPr>
        <w:t>007</w:t>
      </w:r>
      <w:r>
        <w:rPr>
          <w:rFonts w:hint="eastAsia" w:ascii="宋体" w:hAnsi="宋体" w:eastAsia="宋体"/>
        </w:rPr>
        <w:t>年第2期）</w:t>
      </w:r>
    </w:p>
    <w:p w14:paraId="52DBE112">
      <w:pPr>
        <w:pStyle w:val="21"/>
        <w:spacing w:line="400" w:lineRule="exact"/>
        <w:ind w:firstLine="480"/>
        <w:jc w:val="both"/>
        <w:rPr>
          <w:rFonts w:eastAsiaTheme="minorEastAsia"/>
          <w:sz w:val="21"/>
          <w:szCs w:val="21"/>
        </w:rPr>
      </w:pPr>
    </w:p>
    <w:p w14:paraId="48861929">
      <w:pPr>
        <w:keepNext/>
        <w:keepLines/>
        <w:widowControl/>
        <w:adjustRightInd w:val="0"/>
        <w:snapToGrid w:val="0"/>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645" w:name="_Toc111193663"/>
      <w:bookmarkStart w:id="646" w:name="_Toc2667"/>
      <w:bookmarkStart w:id="647" w:name="_Toc1933186666"/>
      <w:bookmarkStart w:id="648" w:name="_Toc1994567488"/>
      <w:r>
        <w:rPr>
          <w:rFonts w:hint="eastAsia" w:ascii="黑体" w:hAnsi="黑体" w:eastAsia="黑体" w:cs="Times New Roman"/>
          <w:kern w:val="0"/>
          <w:sz w:val="32"/>
          <w:szCs w:val="32"/>
        </w:rPr>
        <w:t>2</w:t>
      </w:r>
      <w:r>
        <w:rPr>
          <w:rFonts w:ascii="黑体" w:hAnsi="黑体" w:eastAsia="黑体" w:cs="Times New Roman"/>
          <w:kern w:val="0"/>
          <w:sz w:val="32"/>
          <w:szCs w:val="32"/>
        </w:rPr>
        <w:t>.</w:t>
      </w:r>
      <w:r>
        <w:rPr>
          <w:rFonts w:hint="eastAsia" w:ascii="黑体" w:hAnsi="黑体" w:eastAsia="黑体" w:cs="Times New Roman"/>
          <w:kern w:val="0"/>
          <w:sz w:val="32"/>
          <w:szCs w:val="32"/>
        </w:rPr>
        <w:t>从技术标准看技术性贸易壁垒中的知识产权问题</w:t>
      </w:r>
      <w:bookmarkEnd w:id="645"/>
      <w:bookmarkEnd w:id="646"/>
      <w:bookmarkEnd w:id="647"/>
      <w:bookmarkEnd w:id="648"/>
    </w:p>
    <w:p w14:paraId="40BDE1A9">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自改革开放以来，伴随国际经贸交流的不断加深，涉外知识产权纠纷和技术标准纠纷日益增多。特别是加入WTO以来，不管是国内实业界，还是国内各级政府和学术界，对此都给予了极大关注，提出了各种应对之策，包括法律上的、政策上的和行动上的。如2001年7月1日中国第三部《专利法》的实施、2002年7月SJ/T11271-2002《数字域名规范》行业标准的颁布和2003年7月17日“闪联”标准的制定等。尽管知识产权和技术标准各自方面的研究已相当多，但如何从彼此互动的角度加以审视还不多见，特别在技术性贸易壁垒日益频繁出现之际，则更为重要。笔者现从技术标准角度对知识产权保护和创造问题略作探讨，以供参考。</w:t>
      </w:r>
    </w:p>
    <w:p w14:paraId="383ACAF1">
      <w:pPr>
        <w:adjustRightInd w:val="0"/>
        <w:spacing w:before="147" w:beforeLines="50" w:after="147" w:afterLines="50" w:line="300" w:lineRule="auto"/>
        <w:ind w:firstLine="500" w:firstLineChars="200"/>
        <w:jc w:val="center"/>
        <w:rPr>
          <w:rFonts w:ascii="宋体" w:hAnsi="宋体" w:eastAsia="宋体" w:cs="宋体"/>
          <w:b/>
          <w:kern w:val="0"/>
          <w:sz w:val="24"/>
        </w:rPr>
      </w:pPr>
      <w:bookmarkStart w:id="649" w:name="_Toc13589_WPSOffice_Level3"/>
      <w:r>
        <w:rPr>
          <w:rFonts w:hint="eastAsia" w:ascii="宋体" w:hAnsi="宋体" w:eastAsia="宋体" w:cs="宋体"/>
          <w:b/>
          <w:kern w:val="0"/>
          <w:sz w:val="24"/>
        </w:rPr>
        <w:t>一、研究技术性贸易壁垒中知识产权保护的意义</w:t>
      </w:r>
      <w:bookmarkEnd w:id="649"/>
    </w:p>
    <w:p w14:paraId="61EDA0A6">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(一)提高知识产权保护意识的需要</w:t>
      </w:r>
    </w:p>
    <w:p w14:paraId="1B54EFBD">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知识产权这一范畴能够折射出不同层面的利益，无论是消费者层面、企业层面和地区层面，还是国家层面、区域层面和国际层面。如果不能给予充分的认识和处理，那么将有可能遭受不应有的经济损失，进而会影响到一国之经济安全和技术安全，特别在知识经济时代和经济全球化时代。因此，当由知识产权和技术标准所构成的技术性贸易壁垒日渐提高之时，学会从技术标准角度对其中知识产权保护问题加以探讨，就很有必要，也是新时期提高知识产权保护意识的应有之意。</w:t>
      </w:r>
    </w:p>
    <w:p w14:paraId="5175EA27">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(二)提升我国企业核心竞争力的需要</w:t>
      </w:r>
    </w:p>
    <w:p w14:paraId="09D00190">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在知识经济时代，加大自主知识产权的构建和保护是提升我国企业核心竞争力的重要途径之一。虽然借助技术标准可以在空间广度上加以展开，但较好的经济利益的取得必须依靠具有私权特性的知识产权去进行，而且也只有如，才能构筑强有力的市场阵地并进一步实现空间扩展。在当前技术标准之词热议之时，对技术性贸易壁垒中的知识产权保护问题重新给予审视，也许更有必要，否则将会失之偏颇。</w:t>
      </w:r>
    </w:p>
    <w:p w14:paraId="7DFC4527">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（三）应对国际技术标准纠纷的需要</w:t>
      </w:r>
    </w:p>
    <w:p w14:paraId="5D8920B6">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WTO的加入，关税壁垒的逐步取消，作为非关税壁垒主要组成部分的技术性贸易壁垒必然会凸显出来，大多数西方国家会继续以其独有的优势去谋取实质的经济利益和政治利益，出现一些涉外技术标准纠纷就在意料之中。作为国内企业，要想在激烈的国际技术标准竞争中取胜，也只有从构建自身的核心自主知识产权入手并借助技术标准这个平台，而不管是单独拥有还是集体拥有，不管是法定标准还是事实标准。近年来，在国际标准的竞争中，日本对欧美国家是败多胜少，如前不久在手机国际标准的竞争中又败给欧洲，使日本潜心研究的技术专利付之东流。</w:t>
      </w:r>
    </w:p>
    <w:p w14:paraId="3093458C">
      <w:pPr>
        <w:adjustRightInd w:val="0"/>
        <w:spacing w:before="147" w:beforeLines="50" w:after="147" w:afterLines="50" w:line="300" w:lineRule="auto"/>
        <w:ind w:firstLine="500" w:firstLineChars="200"/>
        <w:jc w:val="center"/>
        <w:rPr>
          <w:rFonts w:ascii="宋体" w:hAnsi="宋体" w:eastAsia="宋体" w:cs="宋体"/>
          <w:b/>
          <w:kern w:val="0"/>
          <w:sz w:val="24"/>
        </w:rPr>
      </w:pPr>
      <w:bookmarkStart w:id="650" w:name="_Toc31719_WPSOffice_Level3"/>
      <w:r>
        <w:rPr>
          <w:rFonts w:hint="eastAsia" w:ascii="宋体" w:hAnsi="宋体" w:eastAsia="宋体" w:cs="宋体"/>
          <w:b/>
          <w:kern w:val="0"/>
          <w:sz w:val="24"/>
        </w:rPr>
        <w:t>二、技术标准与知识产权之间的内在关系</w:t>
      </w:r>
      <w:bookmarkEnd w:id="650"/>
    </w:p>
    <w:p w14:paraId="73F89711">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(一)知识产权与技术标准具有共同的利益基础</w:t>
      </w:r>
    </w:p>
    <w:p w14:paraId="27CB92D3">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虽然知识产权和技术标准设立的初衷是有所不同的，一个是为创新技术的出现而设计，一个是为社会公众利益的维护而产生；一个偏重于私利，一个偏重于公利，且不能混淆。但其目的都是为了实现一国或一个地区的经济利益和政治利益，无论是在两者相互分离时期，还是在彼此相互融合时期；无论是在企业内部转移时期，还是在企业外部空间延伸时期，改变的也仅仅是形式而已。即使涌现了各种事实标准，也不过是对原有法定标准采用的方法和程序赶不上技术变化的事实所做的简单回应罢了，而两者之共同基础则仍然未变。</w:t>
      </w:r>
    </w:p>
    <w:p w14:paraId="57CF9C4C">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(二)知识产权需要借助技术标准加以强化保</w:t>
      </w:r>
    </w:p>
    <w:p w14:paraId="6BEAF863">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企业资本的逐利本性决定着它不仅要得到一定数量的垄断利益，而且还要突破空间的限制去获取更大的规模效应。如果说知识产权的存在是为其创新技术的产生提供激励制度从而去获取其部分垄断利益的话，那么技术标准的出现就为其空间扩展提供了新的契机，并根据其自身实力和外在条件状况决定其扩展程度。技术标准既可以是企业标准，也可以是行业标准和地区标准，甚至是国家标准和国际标准；既可以以单个身份出现，也可以以企业联盟方式出现。至于其是选择事实标准，还是选择法定标准，则要根据自身的利益状况而定。</w:t>
      </w:r>
    </w:p>
    <w:p w14:paraId="490F47F7">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（三）技术标准需要知识产权来加以建立、维护和实施</w:t>
      </w:r>
    </w:p>
    <w:p w14:paraId="2A4A8EF6">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一般说来，为尽可能地获取最大经济利益，基于自身支配市场能力状况，在技术标准选择问题上，企业要么采用事实标准，要么采用法定标准，要么兼而有之，但不管是采用何种标准，都必须以相对独立的知识产权为基础。因为作为事实标准和法定标准组成部分的各种技术——公知技术与非公知技术、成熟技术与非成熟技术、兼容技术与非兼容技术等等，都必须以知识产权的存在为既定前提，否则在该技术还没有达到一定程度时竞争对手就会以复制和仿冒等手段去使用，以分割其利益，结果其标准也就无从确立，更别提其实施和维护了。在技术标准的实施和维护阶段，无论是在其载体采用、程序设计和过程管理及部分或整体技术体系调整过程中，还是在其政策运用和战略实施过程中，都必须依托知识产权去加以体现。</w:t>
      </w:r>
    </w:p>
    <w:p w14:paraId="390E8394">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(四)某项知识产权上升为技术标准需要特定条件</w:t>
      </w:r>
    </w:p>
    <w:p w14:paraId="436E595B">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尽管技术标准都必须以知识产权为基础，但反过来则不能成立。某项知识产权上升为技术标准需要一定的条件。无论是事实标准，还是法定标准，如果没有适合技术标准建立、实施和维护的技巧，如果没有技术上的充分实力、一定规模的市场支持和经济上的投入，则某项知识产权很难上升为技术标准。即使能够借助外在力量进行干预，如政府的强有力推动，最终也将得不到市场的充分认可，只要这种外力一撤除，原来构筑的技术标准也许就会土崩瓦解。</w:t>
      </w:r>
    </w:p>
    <w:p w14:paraId="0A9F6C2F">
      <w:pPr>
        <w:adjustRightInd w:val="0"/>
        <w:spacing w:before="147" w:beforeLines="50" w:after="147" w:afterLines="50" w:line="300" w:lineRule="auto"/>
        <w:ind w:firstLine="500" w:firstLineChars="200"/>
        <w:jc w:val="center"/>
        <w:rPr>
          <w:rFonts w:ascii="宋体" w:hAnsi="宋体" w:eastAsia="宋体" w:cs="宋体"/>
          <w:b/>
          <w:kern w:val="0"/>
          <w:sz w:val="24"/>
        </w:rPr>
      </w:pPr>
      <w:bookmarkStart w:id="651" w:name="_Toc19722_WPSOffice_Level3"/>
      <w:r>
        <w:rPr>
          <w:rFonts w:hint="eastAsia" w:ascii="宋体" w:hAnsi="宋体" w:eastAsia="宋体" w:cs="宋体"/>
          <w:b/>
          <w:kern w:val="0"/>
          <w:sz w:val="24"/>
        </w:rPr>
        <w:t>三、目前我国技术性知识产权保护所存在的问题</w:t>
      </w:r>
      <w:bookmarkEnd w:id="651"/>
    </w:p>
    <w:p w14:paraId="73E8048F">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考虑到知识产权具有内在不足和外在缺乏两方面问题，为尽可能地趋利避害，以较好地维护企业、产业和国家等主体的经济利益和政治利益，近几年国家从不同方面加大了知识产权特别是技术性知识产权保护力度，取得了良好成绩，但也出现了不少问题。</w:t>
      </w:r>
    </w:p>
    <w:p w14:paraId="5033E84E">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（一）对技术性贸易壁垒的正确评判和应对存在部分知识产权相关法律的缺失</w:t>
      </w:r>
    </w:p>
    <w:p w14:paraId="1520E46C">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一方面，由于知识产权和技术标准之间的融合加速，原先没有引起重视的一些知识产权形态和领域已成重点，所以我国现有知识产权法就可能没有合适条款加以应对，致使其无法可依，进而，在反垄断法和反不正当竞争法等法律方面其相应部分也就无法可依。例如，在中医药知识产权方面就缺乏切合实际的、有效的保护方案；另一方面，由于现有技术法规体系不完善、不统一和不规范，导致现有市场准入制度和市场监督体系不完善，导致一些连带的知识产权法律条款得不到有效实施，结果对技术性贸易壁垒就不能给予正确的评判和应对。</w:t>
      </w:r>
    </w:p>
    <w:p w14:paraId="6F653D33">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（二）促进技术性知识产权保护机制形成的制度环境存在缺陷</w:t>
      </w:r>
    </w:p>
    <w:p w14:paraId="52D5B9D9">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伴随着社会主义市场经济体制的逐步建立，原有的促进技术性知识产权保护机制形成的制度环境暴露出了不少问题，不仅体现在重量轻质的科技成果评价机制方面，没有对国家科技计划的专利产出作出明确要求方面和国家科技计划承担主体和市场经济竞争主体的设置错位方面，而且还体现在技术创新意识不强、科研基础薄弱、缺乏良好的技术创新机制、追求逐利性和大部分技术创新组织分散经营等方面，整体态势仍需改善。</w:t>
      </w:r>
    </w:p>
    <w:p w14:paraId="1A93AB25">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（三）相对健全的技术性贸易壁垒体系还有待加强</w:t>
      </w:r>
    </w:p>
    <w:p w14:paraId="0A9B84D7">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由于缺乏自主核心知识产权，使我国在转化国际标准和国外先进标准为国内标准方面，在参与并主导国际标准制定方面，与发达国家相比都存在明显差距。特别是在高新技术标准化领域，不仅其比例偏低，而且影响力也很小。另外，由于某些技术标准制定与科研、生产相互脱节，以致其不能尽快适应市场及技术快速变化和发展的需求，再加上其制定主体选择错位或不适当，即使已经建起了如“闪联”、EVD、TD-SCDMA和WAPI等标准，在市场面前也不得不处于相对尴尬的境地。</w:t>
      </w:r>
    </w:p>
    <w:p w14:paraId="7FE677DB">
      <w:pPr>
        <w:adjustRightInd w:val="0"/>
        <w:spacing w:before="147" w:beforeLines="50" w:after="147" w:afterLines="50" w:line="300" w:lineRule="auto"/>
        <w:ind w:firstLine="500" w:firstLineChars="200"/>
        <w:jc w:val="center"/>
        <w:rPr>
          <w:rFonts w:ascii="宋体" w:hAnsi="宋体" w:eastAsia="宋体" w:cs="宋体"/>
          <w:b/>
          <w:kern w:val="0"/>
          <w:sz w:val="24"/>
        </w:rPr>
      </w:pPr>
      <w:bookmarkStart w:id="652" w:name="_Toc17992_WPSOffice_Level3"/>
      <w:r>
        <w:rPr>
          <w:rFonts w:hint="eastAsia" w:ascii="宋体" w:hAnsi="宋体" w:eastAsia="宋体" w:cs="宋体"/>
          <w:b/>
          <w:kern w:val="0"/>
          <w:sz w:val="24"/>
        </w:rPr>
        <w:t>四、解决现存问题的基本对策</w:t>
      </w:r>
      <w:bookmarkEnd w:id="652"/>
    </w:p>
    <w:p w14:paraId="7CDAF3AF">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（一）借鉴国外知识产权法律保护成功经验，积极完善其相关法律制度</w:t>
      </w:r>
    </w:p>
    <w:p w14:paraId="78D30AE9">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为防止国外企业和企业团体滥用知识产权法，国内立法部门可以借鉴美国、日本和欧盟等发达国家知识产权法律保护的成功经验。如：建立相对健全的反托拉斯法和在其国外跨国公司内部开设知识产权部门的制度建设，积极推动反垄断法的制定，尤其是知识产权许可中反垄断审查的立法工作，以限制国外企业在国内滥用技术标准、滥用专利的行为，重点应放在垄断行为方面。另外，要按照科学的方法改革和完善我国技术法规体系和运行机制。通过加强有关技术立法工作，构建既符合国际惯例，又充分反映我国实际状况和发展需要的技术法律法规体系。其中包括：一是对我国现行有关技术法律法规体系进行整理修订，去除其中违背国际惯例、不符合社会主义市场经济原则要求的部分；二是加大法规标准的制定力度，将技术规范纳入法规。要根据我国的安全要求，在涉及安全、卫生、健康、环保等诸方面制定强制性标准，制定和实施对国外相关技术产品有一定针对性、抑制性和限制性的有关法律、技术标准和检验制度，把未达到技术标准的产品拒于国门之外；三是必须根据我国实际需要，借鉴国际经验，针对现存技术法律法规体系的缺陷，进行填补空白、充实完备立法工作，促进技术法规、标准、认证认可、检验工作的协调统一。</w:t>
      </w:r>
    </w:p>
    <w:p w14:paraId="6B568C58">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(二)尽快转变技术性知识产权形成机制，加快弥补其制度环境现存缺陷</w:t>
      </w:r>
    </w:p>
    <w:p w14:paraId="6F2E5871">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根据社会主义市场经济发展的内在要求，不仅企业需要提高知识产权特别是技术性知识产权保护意识，加大技术投入和了解国家宏观调控政策以及该技术领域的国内和国际发展走向，而且各级政府也要切实执行《保护知识产权行动纲要(2006～2007年)》精神。既要打击盗版行为，打击商品交易市场的商标侵权行为，加大对侵犯专利权重点问题的整治力度和加强进出口环节知识产权保护等，使短期工作重点及主要措施体现出来；也要完善法律法规体系，建立高效的执法协调机制，提高企业知识产权保护能力和水平，充分发挥行业协会和知识产权中介组织的作用和加强宣传与培训等，使构建长效机制的努力体现出来；同时还要在借鉴美国、日本和韩国等国家的强保护或弱保护知识产权战略基础上，加快构建适合我国的知识产权战略，从而尽快弥补其制度环境中的现存缺陷。</w:t>
      </w:r>
    </w:p>
    <w:p w14:paraId="619C5EF8">
      <w:pPr>
        <w:widowControl/>
        <w:adjustRightInd w:val="0"/>
        <w:spacing w:line="300" w:lineRule="auto"/>
        <w:ind w:firstLine="440" w:firstLineChars="200"/>
        <w:rPr>
          <w:rFonts w:ascii="宋体" w:hAnsi="宋体" w:eastAsia="宋体" w:cs="Times New Roman"/>
          <w:b/>
          <w:bCs/>
          <w:kern w:val="0"/>
          <w:szCs w:val="21"/>
        </w:rPr>
      </w:pPr>
      <w:r>
        <w:rPr>
          <w:rFonts w:hint="eastAsia" w:ascii="宋体" w:hAnsi="宋体" w:eastAsia="宋体" w:cs="Times New Roman"/>
          <w:b/>
          <w:bCs/>
          <w:kern w:val="0"/>
          <w:szCs w:val="21"/>
        </w:rPr>
        <w:t>（三）参考国际通常做法，结合当前具体国情，合理构建我国技术性贸易壁垒体系</w:t>
      </w:r>
    </w:p>
    <w:p w14:paraId="184F3EA9">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从近几年的情况看，国外技术性贸易壁垒有不断扩大和提高的趋势，应对国外技术性贸易壁垒是一项长期的、艰巨的、专业性很强的工作，其中包括积极向WTO和有关发达国家成员申请技术援助、延长有关技术性贸易措施实施的适应期或过渡期等。考虑到美国、日本和欧盟等西方发达国家在技术性贸易壁垒体系构建方面，已经积累了比较丰富的经验，既有手段多样、范围广泛、种类齐全和水平较高等特点，也有在立足实际、面向市场和动态调整等方面的灵活机动.高度重视技术标准和知识产权建立自己性。这决定着我们不仅要认真总结经验，还要仔细地分析我国现有做法中一些不当的和空白的地方，有选择地集中力量构建一批技术水平高、国家利益大、涉及面广和非常急需的企业技术标准、行业技术标准、地区技术标准和国家技术标准。同时，要改革标准化工作管理体制以建立以企业为主体制定技术标准的新模式，组建企业技术联盟以突破外国知识产权和技术标准的壁垒，积极推动国内企业在国外申请专利以开拓世界市场，主动参与国际标准化活动以培养国际标准化人才，提高自主知识产权技术的实施率以积极扶持专利技术产业化，积极推动企业自主知识产权的形成和发展，以为国家技术性贸易壁垒构建奠定较为坚实的微观基础。只要能够采用的且负面影响不大的国际标准和国际先进标准都尽量采用，不过要根据具体国情，或完全采用，或部分调整，或完全调整，或兼而有之，以适合企业要求、行业要求、地区要求和国家要求。</w:t>
      </w:r>
    </w:p>
    <w:p w14:paraId="20A95607">
      <w:pPr>
        <w:widowControl/>
        <w:adjustRightInd w:val="0"/>
        <w:spacing w:line="300" w:lineRule="auto"/>
        <w:ind w:firstLine="440" w:firstLineChars="200"/>
        <w:rPr>
          <w:rFonts w:ascii="宋体" w:hAnsi="宋体" w:eastAsia="宋体" w:cs="Times New Roman"/>
          <w:b/>
          <w:kern w:val="0"/>
          <w:szCs w:val="21"/>
        </w:rPr>
      </w:pPr>
      <w:r>
        <w:rPr>
          <w:rFonts w:hint="eastAsia" w:ascii="宋体" w:hAnsi="宋体" w:eastAsia="宋体" w:cs="Times New Roman"/>
          <w:b/>
          <w:kern w:val="0"/>
          <w:szCs w:val="21"/>
        </w:rPr>
        <w:t>（四）突出电信等重点行业，官产学联合实施“国际标准综合战略”</w:t>
      </w:r>
    </w:p>
    <w:p w14:paraId="69625B0B">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我国手机年产量已达3.03亿部，占全球手机产量的一半左右，但90%以上的手机中安装的汉字输入法是国外进口的，为此每年要支付数亿美元的专利费，每部手机的专利费达0.3美元。况且，国外公司开发的汉字输入法所采用的汉字标准多为我国1980年发布的标准，没有执行2000年的强制性汉字标准。纵观中外商界，“三流企业卖苦力、二流企业卖产品、一流企业卖专利、超一流企业卖标准”。可见，要想真正做强做大企业，就必须将国际标准纳入经营战略。不应沾沾自喜于“中国制造”，而应注重“中国创造”、“中国标准”。2006年10月14日是第37届世界标准日，国际标准化组织、国际电工委员会和国际电信联盟联合发出世界标准日祝词，主题是“标准：为小企业创造大效益”。目前，国际标准的平均标龄为3.5年，而我国现有的2.1万个国家标准平均标龄为10.2年，而且有9500个老龄的国家标准已不能用了。近几年，我国有60%的出口产品直接和潜在经济损失约500亿美元，其中原因之一在于老化的标准无法与国际新标准接轨。如洗衣机噪音的国家标准与国际同类标准有较大差距，导致我国出口的部分洗衣机被迫退市。一些令人欣慰的最新信息是2006年10月国家广播电影电视总局颁布了自主研发的包括手机电视在内的移动多媒体广播行业标准，尽管不是国际标准，但其中涵盖的21项核心专利大多是世界领先水平；同时，国家标准委员会也表示用3年时间解决我国标准老化问题，争取到2015年达到国际先进水平；我国“闪联”标准刚刚被国际标准组织高票接纳为候选方案，可能成为全球第一个3C(消费电子、通信设备、计算机)国际标准。今后，官产学要共同展开竞争国际标准的活动，以大中小企业的技术专利为基础，并积极加强国际认知度和交涉能力，使我国成为国际标准的大国和强国。</w:t>
      </w:r>
    </w:p>
    <w:p w14:paraId="741D6DAE">
      <w:pPr>
        <w:widowControl/>
        <w:adjustRightInd w:val="0"/>
        <w:snapToGrid w:val="0"/>
        <w:spacing w:line="300" w:lineRule="auto"/>
        <w:ind w:firstLine="440" w:firstLineChars="200"/>
        <w:rPr>
          <w:rFonts w:ascii="宋体" w:hAnsi="宋体" w:eastAsia="宋体" w:cs="Times New Roman"/>
          <w:kern w:val="0"/>
          <w:szCs w:val="21"/>
        </w:rPr>
      </w:pPr>
    </w:p>
    <w:p w14:paraId="09A8215B">
      <w:pPr>
        <w:widowControl/>
        <w:adjustRightInd w:val="0"/>
        <w:snapToGrid w:val="0"/>
        <w:spacing w:line="276" w:lineRule="auto"/>
        <w:ind w:firstLine="440" w:firstLineChars="200"/>
        <w:rPr>
          <w:rFonts w:ascii="宋体" w:hAnsi="宋体" w:eastAsia="宋体" w:cs="Times New Roman"/>
          <w:b/>
          <w:kern w:val="0"/>
          <w:szCs w:val="21"/>
        </w:rPr>
      </w:pPr>
      <w:r>
        <w:rPr>
          <w:rFonts w:hint="eastAsia" w:ascii="宋体" w:hAnsi="宋体" w:eastAsia="宋体" w:cs="Times New Roman"/>
          <w:b/>
          <w:kern w:val="0"/>
          <w:szCs w:val="21"/>
        </w:rPr>
        <w:t>参考文献</w:t>
      </w:r>
    </w:p>
    <w:p w14:paraId="4950E432">
      <w:pPr>
        <w:widowControl/>
        <w:adjustRightInd w:val="0"/>
        <w:spacing w:line="276" w:lineRule="auto"/>
        <w:ind w:firstLine="380" w:firstLineChars="200"/>
        <w:rPr>
          <w:rFonts w:ascii="宋体" w:hAnsi="宋体" w:eastAsia="宋体" w:cs="Times New Roman"/>
          <w:kern w:val="0"/>
          <w:sz w:val="18"/>
          <w:szCs w:val="18"/>
        </w:rPr>
      </w:pPr>
      <w:r>
        <w:rPr>
          <w:rFonts w:hint="eastAsia" w:ascii="宋体" w:hAnsi="宋体" w:eastAsia="宋体" w:cs="Times New Roman"/>
          <w:kern w:val="0"/>
          <w:sz w:val="18"/>
          <w:szCs w:val="18"/>
        </w:rPr>
        <w:t>[1]本刊编辑部.高度重视技术标准和知识产权建立自己的知识产权战略———来自“第一届中国信息产业知识产权与技术标准峰会”的报道[J].信息技术与标准化，2004，(6).</w:t>
      </w:r>
    </w:p>
    <w:p w14:paraId="268712E9">
      <w:pPr>
        <w:widowControl/>
        <w:adjustRightInd w:val="0"/>
        <w:spacing w:line="276" w:lineRule="auto"/>
        <w:ind w:firstLine="380" w:firstLineChars="200"/>
        <w:rPr>
          <w:rFonts w:ascii="宋体" w:hAnsi="宋体" w:eastAsia="宋体" w:cs="Times New Roman"/>
          <w:kern w:val="0"/>
          <w:sz w:val="18"/>
          <w:szCs w:val="18"/>
        </w:rPr>
      </w:pPr>
      <w:r>
        <w:rPr>
          <w:rFonts w:hint="eastAsia" w:ascii="宋体" w:hAnsi="宋体" w:eastAsia="宋体" w:cs="Times New Roman"/>
          <w:kern w:val="0"/>
          <w:sz w:val="18"/>
          <w:szCs w:val="18"/>
        </w:rPr>
        <w:t>[2]程宏.论标准与自主知识产权[J].大众标准化，2005，(5).</w:t>
      </w:r>
    </w:p>
    <w:p w14:paraId="68CEE323">
      <w:pPr>
        <w:widowControl/>
        <w:adjustRightInd w:val="0"/>
        <w:spacing w:line="276" w:lineRule="auto"/>
        <w:ind w:firstLine="380" w:firstLineChars="200"/>
        <w:rPr>
          <w:rFonts w:ascii="宋体" w:hAnsi="宋体" w:eastAsia="宋体" w:cs="Times New Roman"/>
          <w:kern w:val="0"/>
          <w:sz w:val="18"/>
          <w:szCs w:val="18"/>
        </w:rPr>
      </w:pPr>
      <w:r>
        <w:rPr>
          <w:rFonts w:hint="eastAsia" w:ascii="宋体" w:hAnsi="宋体" w:eastAsia="宋体" w:cs="Times New Roman"/>
          <w:kern w:val="0"/>
          <w:sz w:val="18"/>
          <w:szCs w:val="18"/>
        </w:rPr>
        <w:t>[3]高志前.技术壁垒:各国技术创新能力的较量[J].WTO经济导刊，2004，(4).</w:t>
      </w:r>
    </w:p>
    <w:p w14:paraId="199B9172">
      <w:pPr>
        <w:widowControl/>
        <w:adjustRightInd w:val="0"/>
        <w:spacing w:line="276" w:lineRule="auto"/>
        <w:ind w:firstLine="380" w:firstLineChars="200"/>
        <w:rPr>
          <w:rFonts w:ascii="宋体" w:hAnsi="宋体" w:eastAsia="宋体" w:cs="Times New Roman"/>
          <w:kern w:val="0"/>
          <w:sz w:val="18"/>
          <w:szCs w:val="18"/>
        </w:rPr>
      </w:pPr>
      <w:r>
        <w:rPr>
          <w:rFonts w:hint="eastAsia" w:ascii="宋体" w:hAnsi="宋体" w:eastAsia="宋体" w:cs="Times New Roman"/>
          <w:kern w:val="0"/>
          <w:sz w:val="18"/>
          <w:szCs w:val="18"/>
        </w:rPr>
        <w:t>[4]韩可卫.欧盟技术性贸易壁垒的主要措施及借鉴[J].现代经济探讨，2006，(1).</w:t>
      </w:r>
    </w:p>
    <w:p w14:paraId="0F7ED490">
      <w:pPr>
        <w:widowControl/>
        <w:adjustRightInd w:val="0"/>
        <w:spacing w:line="276" w:lineRule="auto"/>
        <w:ind w:firstLine="380" w:firstLineChars="200"/>
        <w:rPr>
          <w:rFonts w:ascii="宋体" w:hAnsi="宋体" w:eastAsia="宋体" w:cs="Times New Roman"/>
          <w:kern w:val="0"/>
          <w:sz w:val="18"/>
          <w:szCs w:val="18"/>
        </w:rPr>
      </w:pPr>
      <w:r>
        <w:rPr>
          <w:rFonts w:hint="eastAsia" w:ascii="宋体" w:hAnsi="宋体" w:eastAsia="宋体" w:cs="Times New Roman"/>
          <w:kern w:val="0"/>
          <w:sz w:val="18"/>
          <w:szCs w:val="18"/>
        </w:rPr>
        <w:t>[5]韩灵丽.高新技术产业竞争法则研究[J].财经论丛，2003，(2).</w:t>
      </w:r>
    </w:p>
    <w:p w14:paraId="226A1086">
      <w:pPr>
        <w:widowControl/>
        <w:adjustRightInd w:val="0"/>
        <w:spacing w:line="276" w:lineRule="auto"/>
        <w:ind w:firstLine="380" w:firstLineChars="200"/>
        <w:rPr>
          <w:rFonts w:ascii="宋体" w:hAnsi="宋体" w:eastAsia="宋体" w:cs="Times New Roman"/>
          <w:kern w:val="0"/>
          <w:sz w:val="18"/>
          <w:szCs w:val="18"/>
        </w:rPr>
      </w:pPr>
      <w:r>
        <w:rPr>
          <w:rFonts w:hint="eastAsia" w:ascii="宋体" w:hAnsi="宋体" w:eastAsia="宋体" w:cs="Times New Roman"/>
          <w:kern w:val="0"/>
          <w:sz w:val="18"/>
          <w:szCs w:val="18"/>
        </w:rPr>
        <w:t>[6]洪莹莹.浅析技术标准及其与知识产权的结合[J].四川教育学院学报，2006，(5).</w:t>
      </w:r>
    </w:p>
    <w:p w14:paraId="5D077118">
      <w:pPr>
        <w:widowControl/>
        <w:adjustRightInd w:val="0"/>
        <w:spacing w:line="276" w:lineRule="auto"/>
        <w:ind w:firstLine="380" w:firstLineChars="200"/>
        <w:rPr>
          <w:rFonts w:ascii="宋体" w:hAnsi="宋体" w:eastAsia="宋体" w:cs="Times New Roman"/>
          <w:kern w:val="0"/>
          <w:sz w:val="18"/>
          <w:szCs w:val="18"/>
        </w:rPr>
      </w:pPr>
      <w:r>
        <w:rPr>
          <w:rFonts w:hint="eastAsia" w:ascii="宋体" w:hAnsi="宋体" w:eastAsia="宋体" w:cs="Times New Roman"/>
          <w:kern w:val="0"/>
          <w:sz w:val="18"/>
          <w:szCs w:val="18"/>
        </w:rPr>
        <w:t>[7]黄璐.企业技术标准战略的基本框架[J].经济管理，2003，(24).</w:t>
      </w:r>
    </w:p>
    <w:p w14:paraId="207E3201">
      <w:pPr>
        <w:widowControl/>
        <w:adjustRightInd w:val="0"/>
        <w:spacing w:line="276" w:lineRule="auto"/>
        <w:ind w:firstLine="380" w:firstLineChars="200"/>
        <w:rPr>
          <w:rFonts w:ascii="宋体" w:hAnsi="宋体" w:eastAsia="宋体" w:cs="Times New Roman"/>
          <w:kern w:val="0"/>
          <w:sz w:val="18"/>
          <w:szCs w:val="18"/>
        </w:rPr>
      </w:pPr>
      <w:r>
        <w:rPr>
          <w:rFonts w:hint="eastAsia" w:ascii="宋体" w:hAnsi="宋体" w:eastAsia="宋体" w:cs="Times New Roman"/>
          <w:kern w:val="0"/>
          <w:sz w:val="18"/>
          <w:szCs w:val="18"/>
        </w:rPr>
        <w:t>[8]黄蓉，艾静.中国正在着力打造技术标准体系[J].中国创业投资与高科技，2005，(7).</w:t>
      </w:r>
    </w:p>
    <w:p w14:paraId="1E1103DC">
      <w:pPr>
        <w:widowControl/>
        <w:adjustRightInd w:val="0"/>
        <w:spacing w:line="276" w:lineRule="auto"/>
        <w:ind w:firstLine="380" w:firstLineChars="200"/>
        <w:rPr>
          <w:rFonts w:ascii="宋体" w:hAnsi="宋体" w:eastAsia="宋体" w:cs="Times New Roman"/>
          <w:kern w:val="0"/>
          <w:sz w:val="18"/>
          <w:szCs w:val="18"/>
        </w:rPr>
      </w:pPr>
      <w:r>
        <w:rPr>
          <w:rFonts w:hint="eastAsia" w:ascii="宋体" w:hAnsi="宋体" w:eastAsia="宋体" w:cs="Times New Roman"/>
          <w:kern w:val="0"/>
          <w:sz w:val="18"/>
          <w:szCs w:val="18"/>
        </w:rPr>
        <w:t>[9]吕铁.论技术标准化与产业标准战略[J].中国工业经济，2005，(7).</w:t>
      </w:r>
    </w:p>
    <w:p w14:paraId="1D7523C3">
      <w:pPr>
        <w:widowControl/>
        <w:adjustRightInd w:val="0"/>
        <w:spacing w:line="276" w:lineRule="auto"/>
        <w:ind w:firstLine="380" w:firstLineChars="200"/>
        <w:rPr>
          <w:rFonts w:ascii="宋体" w:hAnsi="宋体" w:eastAsia="宋体" w:cs="Times New Roman"/>
          <w:kern w:val="0"/>
          <w:sz w:val="18"/>
          <w:szCs w:val="18"/>
        </w:rPr>
      </w:pPr>
      <w:r>
        <w:rPr>
          <w:rFonts w:hint="eastAsia" w:ascii="宋体" w:hAnsi="宋体" w:eastAsia="宋体" w:cs="Times New Roman"/>
          <w:kern w:val="0"/>
          <w:sz w:val="18"/>
          <w:szCs w:val="18"/>
        </w:rPr>
        <w:t>[10]王黎萤，陈劲，杨幽红.技术标准战略、知识产权战略与技术创新协同发展关系研究[J].科学学与科学技术管理，2005，(1).</w:t>
      </w:r>
    </w:p>
    <w:p w14:paraId="575706A0">
      <w:pPr>
        <w:widowControl/>
        <w:adjustRightInd w:val="0"/>
        <w:snapToGrid w:val="0"/>
        <w:spacing w:line="276" w:lineRule="auto"/>
        <w:ind w:firstLine="440" w:firstLineChars="200"/>
        <w:rPr>
          <w:rFonts w:ascii="宋体" w:hAnsi="宋体" w:eastAsia="宋体" w:cs="Times New Roman"/>
          <w:kern w:val="0"/>
          <w:szCs w:val="21"/>
        </w:rPr>
      </w:pPr>
    </w:p>
    <w:p w14:paraId="0B05445C">
      <w:pPr>
        <w:adjustRightInd w:val="0"/>
        <w:snapToGri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（原载于《经济问题》2007年第3期，第二作者为谢士强）</w:t>
      </w:r>
    </w:p>
    <w:p w14:paraId="25DB996D">
      <w:pPr>
        <w:widowControl/>
        <w:adjustRightInd w:val="0"/>
        <w:snapToGri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br w:type="page"/>
      </w:r>
    </w:p>
    <w:p w14:paraId="5F919F7A">
      <w:pPr>
        <w:keepNext/>
        <w:keepLines/>
        <w:widowControl/>
        <w:adjustRightInd w:val="0"/>
        <w:snapToGrid w:val="0"/>
        <w:spacing w:before="147" w:beforeLines="50" w:after="147" w:afterLines="50" w:line="300" w:lineRule="auto"/>
        <w:jc w:val="center"/>
        <w:outlineLvl w:val="1"/>
        <w:rPr>
          <w:rFonts w:ascii="黑体" w:hAnsi="黑体" w:eastAsia="黑体" w:cs="Times New Roman"/>
          <w:kern w:val="0"/>
          <w:sz w:val="32"/>
          <w:szCs w:val="32"/>
        </w:rPr>
      </w:pPr>
      <w:bookmarkStart w:id="653" w:name="_Toc22120"/>
      <w:bookmarkStart w:id="654" w:name="_Toc111193664"/>
      <w:bookmarkStart w:id="655" w:name="_Toc1788199999"/>
      <w:bookmarkStart w:id="656" w:name="_Toc476041146"/>
      <w:bookmarkStart w:id="657" w:name="_Toc257922087"/>
      <w:r>
        <w:rPr>
          <w:rFonts w:hint="eastAsia" w:ascii="黑体" w:hAnsi="黑体" w:eastAsia="黑体" w:cs="Times New Roman"/>
          <w:kern w:val="0"/>
          <w:sz w:val="32"/>
          <w:szCs w:val="32"/>
        </w:rPr>
        <w:t>3</w:t>
      </w:r>
      <w:r>
        <w:rPr>
          <w:rFonts w:ascii="黑体" w:hAnsi="黑体" w:eastAsia="黑体" w:cs="Times New Roman"/>
          <w:kern w:val="0"/>
          <w:sz w:val="32"/>
          <w:szCs w:val="32"/>
        </w:rPr>
        <w:t>.</w:t>
      </w:r>
      <w:r>
        <w:rPr>
          <w:rFonts w:hint="eastAsia" w:ascii="黑体" w:hAnsi="黑体" w:eastAsia="黑体" w:cs="Times New Roman"/>
          <w:kern w:val="0"/>
          <w:sz w:val="32"/>
          <w:szCs w:val="32"/>
        </w:rPr>
        <w:t>警惕外资并购龙头企业</w:t>
      </w:r>
      <w:r>
        <w:rPr>
          <w:rFonts w:ascii="黑体" w:hAnsi="黑体" w:eastAsia="黑体" w:cs="Times New Roman"/>
          <w:kern w:val="0"/>
          <w:sz w:val="32"/>
          <w:szCs w:val="32"/>
        </w:rPr>
        <w:t xml:space="preserve"> </w:t>
      </w:r>
      <w:r>
        <w:rPr>
          <w:rFonts w:hint="eastAsia" w:ascii="黑体" w:hAnsi="黑体" w:eastAsia="黑体" w:cs="Times New Roman"/>
          <w:kern w:val="0"/>
          <w:sz w:val="32"/>
          <w:szCs w:val="32"/>
        </w:rPr>
        <w:t>维护民族产业安全和自主创新</w:t>
      </w:r>
      <w:bookmarkEnd w:id="653"/>
      <w:bookmarkEnd w:id="654"/>
      <w:bookmarkEnd w:id="655"/>
      <w:bookmarkEnd w:id="656"/>
    </w:p>
    <w:p w14:paraId="055F5F18">
      <w:pPr>
        <w:spacing w:line="300" w:lineRule="auto"/>
        <w:ind w:firstLine="500" w:firstLineChars="200"/>
        <w:jc w:val="center"/>
        <w:rPr>
          <w:rFonts w:ascii="Times New Roman" w:hAnsi="Times New Roman" w:eastAsia="宋体" w:cs="Times New Roman"/>
          <w:b/>
          <w:sz w:val="24"/>
        </w:rPr>
      </w:pPr>
      <w:r>
        <w:rPr>
          <w:rFonts w:hint="eastAsia" w:ascii="Times New Roman" w:hAnsi="Times New Roman" w:eastAsia="宋体" w:cs="Times New Roman"/>
          <w:b/>
          <w:sz w:val="24"/>
        </w:rPr>
        <w:t>——美国凯雷并购徐工案的警示</w:t>
      </w:r>
      <w:bookmarkEnd w:id="657"/>
    </w:p>
    <w:p w14:paraId="0BDEFE3D">
      <w:pPr>
        <w:adjustRightInd w:val="0"/>
        <w:spacing w:before="147" w:beforeLines="50" w:line="300" w:lineRule="auto"/>
        <w:ind w:firstLine="440" w:firstLineChars="200"/>
        <w:rPr>
          <w:rFonts w:ascii="宋体" w:hAnsi="宋体" w:eastAsia="宋体" w:cs="Times New Roman"/>
          <w:szCs w:val="21"/>
        </w:rPr>
      </w:pPr>
      <w:r>
        <w:rPr>
          <w:rFonts w:hint="eastAsia" w:ascii="宋体" w:hAnsi="宋体" w:eastAsia="宋体" w:cs="Times New Roman"/>
          <w:szCs w:val="21"/>
        </w:rPr>
        <w:t>最近几年来，外商，特别是跨国公司在中国的投资战略发生了重大的变化。其中一个非常突出的特点，是外资加快兼并和收购我国内资的行业龙头企业，特别是国有大型企业。这方面的案例越来越多，仅我国装备制造工业中就有十多个重点企业被并购。在被外资并购过程中，已经出现了种种问题。这些原先发展势头很好的重点企业、龙头企业、行业排头兵企业纷纷被外资并购、控股，从而一下子失去了自主创新权，丧失了优质资产、技术力量、品牌和市场，致使多年来通过自主研发培养的技术团队和技术能力被外资控制和利用甚至消解，企业的巨额利润随之外流，企业和产品的品牌价值一下子业也被外商侵吞而荡然无存。这日趋引起高层领导、经济界和社会上的高度关注。</w:t>
      </w:r>
    </w:p>
    <w:p w14:paraId="2E01DC9A">
      <w:pPr>
        <w:adjustRightInd w:val="0"/>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目前正处于审批过程中的美国私人股本集团——凯雷集团（</w:t>
      </w:r>
      <w:r>
        <w:rPr>
          <w:rFonts w:ascii="宋体" w:hAnsi="宋体" w:eastAsia="宋体" w:cs="Times New Roman"/>
          <w:szCs w:val="21"/>
        </w:rPr>
        <w:t>Carlyle Group</w:t>
      </w:r>
      <w:r>
        <w:rPr>
          <w:rFonts w:hint="eastAsia" w:ascii="宋体" w:hAnsi="宋体" w:eastAsia="宋体" w:cs="Times New Roman"/>
          <w:szCs w:val="21"/>
        </w:rPr>
        <w:t>）并购我国徐州工程机械集团（简称“徐工”）一案，是一个十分典型的案例。“徐工”无论是资产总额、年销售额，还是汽车起重机等主要产品的市场竞争力，在我国机械工业中都是名列前茅的。“徐工”不仅是我国工程机械行业的排头兵，也是我国机械工业的龙头企业和优势企业，其在机械工业中所占的位置和份量非常重要。</w:t>
      </w:r>
      <w:r>
        <w:rPr>
          <w:rFonts w:ascii="宋体" w:hAnsi="宋体" w:eastAsia="宋体" w:cs="Times New Roman"/>
          <w:szCs w:val="21"/>
        </w:rPr>
        <w:t>2006</w:t>
      </w:r>
      <w:r>
        <w:rPr>
          <w:rFonts w:hint="eastAsia" w:ascii="宋体" w:hAnsi="宋体" w:eastAsia="宋体" w:cs="Times New Roman"/>
          <w:szCs w:val="21"/>
        </w:rPr>
        <w:t>年，徐工集团以</w:t>
      </w:r>
      <w:r>
        <w:rPr>
          <w:rFonts w:ascii="宋体" w:hAnsi="宋体" w:eastAsia="宋体" w:cs="Times New Roman"/>
          <w:szCs w:val="21"/>
        </w:rPr>
        <w:t>200</w:t>
      </w:r>
      <w:r>
        <w:rPr>
          <w:rFonts w:hint="eastAsia" w:ascii="宋体" w:hAnsi="宋体" w:eastAsia="宋体" w:cs="Times New Roman"/>
          <w:szCs w:val="21"/>
        </w:rPr>
        <w:t>亿元的营业收入名列我国工程机械企业第一。</w:t>
      </w:r>
      <w:r>
        <w:rPr>
          <w:rFonts w:ascii="宋体" w:hAnsi="宋体" w:eastAsia="宋体" w:cs="Times New Roman"/>
          <w:szCs w:val="21"/>
        </w:rPr>
        <w:t>2007</w:t>
      </w:r>
      <w:r>
        <w:rPr>
          <w:rFonts w:hint="eastAsia" w:ascii="宋体" w:hAnsi="宋体" w:eastAsia="宋体" w:cs="Times New Roman"/>
          <w:szCs w:val="21"/>
        </w:rPr>
        <w:t>年，该企业的计划目标是：营业收入</w:t>
      </w:r>
      <w:r>
        <w:rPr>
          <w:rFonts w:ascii="宋体" w:hAnsi="宋体" w:eastAsia="宋体" w:cs="Times New Roman"/>
          <w:szCs w:val="21"/>
        </w:rPr>
        <w:t>248.3</w:t>
      </w:r>
      <w:r>
        <w:rPr>
          <w:rFonts w:hint="eastAsia" w:ascii="宋体" w:hAnsi="宋体" w:eastAsia="宋体" w:cs="Times New Roman"/>
          <w:szCs w:val="21"/>
        </w:rPr>
        <w:t>亿元，同比增长</w:t>
      </w:r>
      <w:r>
        <w:rPr>
          <w:rFonts w:ascii="宋体" w:hAnsi="宋体" w:eastAsia="宋体" w:cs="Times New Roman"/>
          <w:szCs w:val="21"/>
        </w:rPr>
        <w:t>22.5%</w:t>
      </w:r>
      <w:r>
        <w:rPr>
          <w:rFonts w:hint="eastAsia" w:ascii="宋体" w:hAnsi="宋体" w:eastAsia="宋体" w:cs="Times New Roman"/>
          <w:szCs w:val="21"/>
        </w:rPr>
        <w:t>；产品销售收入</w:t>
      </w:r>
      <w:r>
        <w:rPr>
          <w:rFonts w:ascii="宋体" w:hAnsi="宋体" w:eastAsia="宋体" w:cs="Times New Roman"/>
          <w:szCs w:val="21"/>
        </w:rPr>
        <w:t>205.2</w:t>
      </w:r>
      <w:r>
        <w:rPr>
          <w:rFonts w:hint="eastAsia" w:ascii="宋体" w:hAnsi="宋体" w:eastAsia="宋体" w:cs="Times New Roman"/>
          <w:szCs w:val="21"/>
        </w:rPr>
        <w:t>亿元，同比增长</w:t>
      </w:r>
      <w:r>
        <w:rPr>
          <w:rFonts w:ascii="宋体" w:hAnsi="宋体" w:eastAsia="宋体" w:cs="Times New Roman"/>
          <w:szCs w:val="21"/>
        </w:rPr>
        <w:t>17%</w:t>
      </w:r>
      <w:r>
        <w:rPr>
          <w:rFonts w:hint="eastAsia" w:ascii="宋体" w:hAnsi="宋体" w:eastAsia="宋体" w:cs="Times New Roman"/>
          <w:szCs w:val="21"/>
        </w:rPr>
        <w:t>。到</w:t>
      </w:r>
      <w:r>
        <w:rPr>
          <w:rFonts w:ascii="宋体" w:hAnsi="宋体" w:eastAsia="宋体" w:cs="Times New Roman"/>
          <w:szCs w:val="21"/>
        </w:rPr>
        <w:t>2010</w:t>
      </w:r>
      <w:r>
        <w:rPr>
          <w:rFonts w:hint="eastAsia" w:ascii="宋体" w:hAnsi="宋体" w:eastAsia="宋体" w:cs="Times New Roman"/>
          <w:szCs w:val="21"/>
        </w:rPr>
        <w:t>年末，企业将继续保持国内行业的领先地位，成为国际市场的重要参与者和著名品牌，实现营业收入</w:t>
      </w:r>
      <w:r>
        <w:rPr>
          <w:rFonts w:ascii="宋体" w:hAnsi="宋体" w:eastAsia="宋体" w:cs="Times New Roman"/>
          <w:szCs w:val="21"/>
        </w:rPr>
        <w:t>500</w:t>
      </w:r>
      <w:r>
        <w:rPr>
          <w:rFonts w:hint="eastAsia" w:ascii="宋体" w:hAnsi="宋体" w:eastAsia="宋体" w:cs="Times New Roman"/>
          <w:szCs w:val="21"/>
        </w:rPr>
        <w:t>亿元、销售收入</w:t>
      </w:r>
      <w:r>
        <w:rPr>
          <w:rFonts w:ascii="宋体" w:hAnsi="宋体" w:eastAsia="宋体" w:cs="Times New Roman"/>
          <w:szCs w:val="21"/>
        </w:rPr>
        <w:t>300</w:t>
      </w:r>
      <w:r>
        <w:rPr>
          <w:rFonts w:hint="eastAsia" w:ascii="宋体" w:hAnsi="宋体" w:eastAsia="宋体" w:cs="Times New Roman"/>
          <w:szCs w:val="21"/>
        </w:rPr>
        <w:t>亿元、出口创汇</w:t>
      </w:r>
      <w:r>
        <w:rPr>
          <w:rFonts w:ascii="宋体" w:hAnsi="宋体" w:eastAsia="宋体" w:cs="Times New Roman"/>
          <w:szCs w:val="21"/>
        </w:rPr>
        <w:t>10</w:t>
      </w:r>
      <w:r>
        <w:rPr>
          <w:rFonts w:hint="eastAsia" w:ascii="宋体" w:hAnsi="宋体" w:eastAsia="宋体" w:cs="Times New Roman"/>
          <w:szCs w:val="21"/>
        </w:rPr>
        <w:t>亿美元，进入国际工程机械企业前</w:t>
      </w:r>
      <w:r>
        <w:rPr>
          <w:rFonts w:ascii="宋体" w:hAnsi="宋体" w:eastAsia="宋体" w:cs="Times New Roman"/>
          <w:szCs w:val="21"/>
        </w:rPr>
        <w:t>10</w:t>
      </w:r>
      <w:r>
        <w:rPr>
          <w:rFonts w:hint="eastAsia" w:ascii="宋体" w:hAnsi="宋体" w:eastAsia="宋体" w:cs="Times New Roman"/>
          <w:szCs w:val="21"/>
        </w:rPr>
        <w:t>名。然而，这么好、这么重要的一个国有大中型龙头企业，为什么一定要卖给外国投资者呢？</w:t>
      </w:r>
    </w:p>
    <w:p w14:paraId="2B41DBCA">
      <w:pPr>
        <w:adjustRightInd w:val="0"/>
        <w:spacing w:line="300" w:lineRule="auto"/>
        <w:ind w:firstLine="440" w:firstLineChars="200"/>
        <w:rPr>
          <w:rFonts w:ascii="宋体" w:hAnsi="宋体" w:eastAsia="宋体" w:cs="Times New Roman"/>
          <w:szCs w:val="21"/>
        </w:rPr>
      </w:pPr>
      <w:r>
        <w:rPr>
          <w:rFonts w:ascii="宋体" w:hAnsi="宋体" w:eastAsia="宋体" w:cs="Times New Roman"/>
          <w:szCs w:val="21"/>
        </w:rPr>
        <w:t>2002</w:t>
      </w:r>
      <w:r>
        <w:rPr>
          <w:rFonts w:hint="eastAsia" w:ascii="宋体" w:hAnsi="宋体" w:eastAsia="宋体" w:cs="Times New Roman"/>
          <w:szCs w:val="21"/>
        </w:rPr>
        <w:t>年底，徐工集团被列入江苏省政府</w:t>
      </w:r>
      <w:r>
        <w:rPr>
          <w:rFonts w:ascii="宋体" w:hAnsi="宋体" w:eastAsia="宋体" w:cs="Times New Roman"/>
          <w:szCs w:val="21"/>
        </w:rPr>
        <w:t>82</w:t>
      </w:r>
      <w:r>
        <w:rPr>
          <w:rFonts w:hint="eastAsia" w:ascii="宋体" w:hAnsi="宋体" w:eastAsia="宋体" w:cs="Times New Roman"/>
          <w:szCs w:val="21"/>
        </w:rPr>
        <w:t>家改制企业的名单。自此，徐工集团开始了长达</w:t>
      </w:r>
      <w:r>
        <w:rPr>
          <w:rFonts w:ascii="宋体" w:hAnsi="宋体" w:eastAsia="宋体" w:cs="Times New Roman"/>
          <w:szCs w:val="21"/>
        </w:rPr>
        <w:t>3</w:t>
      </w:r>
      <w:r>
        <w:rPr>
          <w:rFonts w:hint="eastAsia" w:ascii="宋体" w:hAnsi="宋体" w:eastAsia="宋体" w:cs="Times New Roman"/>
          <w:szCs w:val="21"/>
        </w:rPr>
        <w:t>年时间的引资重组。改制的平台为徐工集团核心企业徐工机械。准备“外嫁”的徐工经过与多家外国公司接触之后，</w:t>
      </w:r>
      <w:r>
        <w:rPr>
          <w:rFonts w:ascii="宋体" w:hAnsi="宋体" w:eastAsia="宋体" w:cs="Times New Roman"/>
          <w:szCs w:val="21"/>
        </w:rPr>
        <w:t>2005</w:t>
      </w:r>
      <w:r>
        <w:rPr>
          <w:rFonts w:hint="eastAsia" w:ascii="宋体" w:hAnsi="宋体" w:eastAsia="宋体" w:cs="Times New Roman"/>
          <w:szCs w:val="21"/>
        </w:rPr>
        <w:t>年</w:t>
      </w:r>
      <w:r>
        <w:rPr>
          <w:rFonts w:ascii="宋体" w:hAnsi="宋体" w:eastAsia="宋体" w:cs="Times New Roman"/>
          <w:szCs w:val="21"/>
        </w:rPr>
        <w:t>10</w:t>
      </w:r>
      <w:r>
        <w:rPr>
          <w:rFonts w:hint="eastAsia" w:ascii="宋体" w:hAnsi="宋体" w:eastAsia="宋体" w:cs="Times New Roman"/>
          <w:szCs w:val="21"/>
        </w:rPr>
        <w:t>月</w:t>
      </w:r>
      <w:r>
        <w:rPr>
          <w:rFonts w:ascii="宋体" w:hAnsi="宋体" w:eastAsia="宋体" w:cs="Times New Roman"/>
          <w:szCs w:val="21"/>
        </w:rPr>
        <w:t>25</w:t>
      </w:r>
      <w:r>
        <w:rPr>
          <w:rFonts w:hint="eastAsia" w:ascii="宋体" w:hAnsi="宋体" w:eastAsia="宋体" w:cs="Times New Roman"/>
          <w:szCs w:val="21"/>
        </w:rPr>
        <w:t>日，徐工集团与美国凯雷在南京签订了股权交易协议，凯雷将以</w:t>
      </w:r>
      <w:r>
        <w:rPr>
          <w:rFonts w:ascii="宋体" w:hAnsi="宋体" w:eastAsia="宋体" w:cs="Times New Roman"/>
          <w:szCs w:val="21"/>
        </w:rPr>
        <w:t>3.75</w:t>
      </w:r>
      <w:r>
        <w:rPr>
          <w:rFonts w:hint="eastAsia" w:ascii="宋体" w:hAnsi="宋体" w:eastAsia="宋体" w:cs="Times New Roman"/>
          <w:szCs w:val="21"/>
        </w:rPr>
        <w:t>亿美元的总价，持有徐工集团全资子公司徐工机械</w:t>
      </w:r>
      <w:r>
        <w:rPr>
          <w:rFonts w:ascii="宋体" w:hAnsi="宋体" w:eastAsia="宋体" w:cs="Times New Roman"/>
          <w:szCs w:val="21"/>
        </w:rPr>
        <w:t>85%</w:t>
      </w:r>
      <w:r>
        <w:rPr>
          <w:rFonts w:hint="eastAsia" w:ascii="宋体" w:hAnsi="宋体" w:eastAsia="宋体" w:cs="Times New Roman"/>
          <w:szCs w:val="21"/>
        </w:rPr>
        <w:t>的股份。自此，宣告历时两年多的引资改制工作完成。</w:t>
      </w:r>
      <w:r>
        <w:rPr>
          <w:rFonts w:ascii="宋体" w:hAnsi="宋体" w:eastAsia="宋体" w:cs="Times New Roman"/>
          <w:szCs w:val="21"/>
        </w:rPr>
        <w:t>2006</w:t>
      </w:r>
      <w:r>
        <w:rPr>
          <w:rFonts w:hint="eastAsia" w:ascii="宋体" w:hAnsi="宋体" w:eastAsia="宋体" w:cs="Times New Roman"/>
          <w:szCs w:val="21"/>
        </w:rPr>
        <w:t>年</w:t>
      </w:r>
      <w:r>
        <w:rPr>
          <w:rFonts w:ascii="宋体" w:hAnsi="宋体" w:eastAsia="宋体" w:cs="Times New Roman"/>
          <w:szCs w:val="21"/>
        </w:rPr>
        <w:t>2</w:t>
      </w:r>
      <w:r>
        <w:rPr>
          <w:rFonts w:hint="eastAsia" w:ascii="宋体" w:hAnsi="宋体" w:eastAsia="宋体" w:cs="Times New Roman"/>
          <w:szCs w:val="21"/>
        </w:rPr>
        <w:t>月，国家发改委核准了凯雷并购徐工，送交商务部审批。商务部要求并购双方就多方面问题进行解释，并在商务部外资司进行多轮谈判，召开听证会议。审批至今悬而未决。</w:t>
      </w:r>
    </w:p>
    <w:p w14:paraId="1D53442E">
      <w:pPr>
        <w:adjustRightInd w:val="0"/>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迫于舆论压力，</w:t>
      </w:r>
      <w:r>
        <w:rPr>
          <w:rFonts w:ascii="宋体" w:hAnsi="宋体" w:eastAsia="宋体" w:cs="Times New Roman"/>
          <w:szCs w:val="21"/>
        </w:rPr>
        <w:t>2006</w:t>
      </w:r>
      <w:r>
        <w:rPr>
          <w:rFonts w:hint="eastAsia" w:ascii="宋体" w:hAnsi="宋体" w:eastAsia="宋体" w:cs="Times New Roman"/>
          <w:szCs w:val="21"/>
        </w:rPr>
        <w:t>年</w:t>
      </w:r>
      <w:r>
        <w:rPr>
          <w:rFonts w:ascii="宋体" w:hAnsi="宋体" w:eastAsia="宋体" w:cs="Times New Roman"/>
          <w:szCs w:val="21"/>
        </w:rPr>
        <w:t>10</w:t>
      </w:r>
      <w:r>
        <w:rPr>
          <w:rFonts w:hint="eastAsia" w:ascii="宋体" w:hAnsi="宋体" w:eastAsia="宋体" w:cs="Times New Roman"/>
          <w:szCs w:val="21"/>
        </w:rPr>
        <w:t>月，凯雷徐工双方修改了协议，凯雷将以</w:t>
      </w:r>
      <w:r>
        <w:rPr>
          <w:rFonts w:ascii="宋体" w:hAnsi="宋体" w:eastAsia="宋体" w:cs="Times New Roman"/>
          <w:szCs w:val="21"/>
        </w:rPr>
        <w:t>18</w:t>
      </w:r>
      <w:r>
        <w:rPr>
          <w:rFonts w:hint="eastAsia" w:ascii="宋体" w:hAnsi="宋体" w:eastAsia="宋体" w:cs="Times New Roman"/>
          <w:szCs w:val="21"/>
        </w:rPr>
        <w:t>亿元购买徐工机械</w:t>
      </w:r>
      <w:r>
        <w:rPr>
          <w:rFonts w:ascii="宋体" w:hAnsi="宋体" w:eastAsia="宋体" w:cs="Times New Roman"/>
          <w:szCs w:val="21"/>
        </w:rPr>
        <w:t>50%</w:t>
      </w:r>
      <w:r>
        <w:rPr>
          <w:rFonts w:hint="eastAsia" w:ascii="宋体" w:hAnsi="宋体" w:eastAsia="宋体" w:cs="Times New Roman"/>
          <w:szCs w:val="21"/>
        </w:rPr>
        <w:t>的股权，即凯雷同意放弃</w:t>
      </w:r>
      <w:r>
        <w:rPr>
          <w:rFonts w:ascii="宋体" w:hAnsi="宋体" w:eastAsia="宋体" w:cs="Times New Roman"/>
          <w:szCs w:val="21"/>
        </w:rPr>
        <w:t>35%</w:t>
      </w:r>
      <w:r>
        <w:rPr>
          <w:rFonts w:hint="eastAsia" w:ascii="宋体" w:hAnsi="宋体" w:eastAsia="宋体" w:cs="Times New Roman"/>
          <w:szCs w:val="21"/>
        </w:rPr>
        <w:t>股份，双方形成</w:t>
      </w:r>
      <w:r>
        <w:rPr>
          <w:rFonts w:ascii="宋体" w:hAnsi="宋体" w:eastAsia="宋体" w:cs="Times New Roman"/>
          <w:szCs w:val="21"/>
        </w:rPr>
        <w:t>50</w:t>
      </w:r>
      <w:r>
        <w:rPr>
          <w:rFonts w:hint="eastAsia" w:ascii="宋体" w:hAnsi="宋体" w:eastAsia="宋体" w:cs="Times New Roman"/>
          <w:szCs w:val="21"/>
        </w:rPr>
        <w:t>：</w:t>
      </w:r>
      <w:r>
        <w:rPr>
          <w:rFonts w:ascii="宋体" w:hAnsi="宋体" w:eastAsia="宋体" w:cs="Times New Roman"/>
          <w:szCs w:val="21"/>
        </w:rPr>
        <w:t>50</w:t>
      </w:r>
      <w:r>
        <w:rPr>
          <w:rFonts w:hint="eastAsia" w:ascii="宋体" w:hAnsi="宋体" w:eastAsia="宋体" w:cs="Times New Roman"/>
          <w:szCs w:val="21"/>
        </w:rPr>
        <w:t>的股份比例；董事长由中方出任。这是</w:t>
      </w:r>
      <w:r>
        <w:rPr>
          <w:rFonts w:ascii="宋体" w:hAnsi="宋体" w:eastAsia="宋体" w:cs="Times New Roman"/>
          <w:szCs w:val="21"/>
        </w:rPr>
        <w:t>5</w:t>
      </w:r>
      <w:r>
        <w:rPr>
          <w:rFonts w:hint="eastAsia" w:ascii="宋体" w:hAnsi="宋体" w:eastAsia="宋体" w:cs="Times New Roman"/>
          <w:szCs w:val="21"/>
        </w:rPr>
        <w:t>月份签协议以后，在各方面关注下，被迫形成的妥协方案，但至今未审批，未成定局。</w:t>
      </w:r>
    </w:p>
    <w:p w14:paraId="5561387E">
      <w:pPr>
        <w:adjustRightInd w:val="0"/>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凯雷并购徐工案，是</w:t>
      </w:r>
      <w:r>
        <w:rPr>
          <w:rFonts w:ascii="宋体" w:hAnsi="宋体" w:eastAsia="宋体" w:cs="Times New Roman"/>
          <w:szCs w:val="21"/>
        </w:rPr>
        <w:t>2005</w:t>
      </w:r>
      <w:r>
        <w:rPr>
          <w:rFonts w:hint="eastAsia" w:ascii="宋体" w:hAnsi="宋体" w:eastAsia="宋体" w:cs="Times New Roman"/>
          <w:szCs w:val="21"/>
        </w:rPr>
        <w:t>年底以来外资并购中国龙头企业的标杆性项目，因其审批过程中引发了民众大讨论而备受瞩目。</w:t>
      </w:r>
      <w:r>
        <w:rPr>
          <w:rFonts w:ascii="宋体" w:hAnsi="宋体" w:eastAsia="宋体" w:cs="Times New Roman"/>
          <w:szCs w:val="21"/>
        </w:rPr>
        <w:t>2005</w:t>
      </w:r>
      <w:r>
        <w:rPr>
          <w:rFonts w:hint="eastAsia" w:ascii="宋体" w:hAnsi="宋体" w:eastAsia="宋体" w:cs="Times New Roman"/>
          <w:szCs w:val="21"/>
        </w:rPr>
        <w:t>年双方签署的交易协议一经披露，即引起轩然大波，社会舆论的焦点在于“外资并购中国龙头企业是否会威胁国家产业安全”，以及该交易中是否存在国有资产被“贱卖”。外资并购之所以在我国社会上引起如此广泛而深切的关注，成为当前一大热点问题，就是因为这个问题的重要性和其中暴露出的问题太多，太严重了。这说明我国大中型国有企业改革、重组，引进外资工作缺乏理论论证和法律准备而误入歧途。</w:t>
      </w:r>
    </w:p>
    <w:p w14:paraId="326BB7A4">
      <w:pPr>
        <w:adjustRightInd w:val="0"/>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尽管在目前的修改协议中，美国凯雷方已作出很大让步和妥协，由收购变为合资，由美方控股改为股权比例对等，董事长由中方担任，外加其他看似有利于中方的条件。但是，我们认为，国家有关部门仍不应该批准这一并购案。</w:t>
      </w:r>
    </w:p>
    <w:p w14:paraId="15EFD9E3">
      <w:pPr>
        <w:adjustRightInd w:val="0"/>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这是由于，问题的关键在于徐工是我国工程机械行业的标志性企业。我们要争的，不在于凯雷收购资金的多少和提供技术的先进与否，而是要争我国工程机械行业发展的主导权，是争我国产业安全和发展我们自己的国际著名品牌。如果外资并购徐工实现了，就等于开了一个危险的口子，表示同行业和其他制造业的骨干企业都可以仿效徐工让外资并购。我国数十年积累的全部民族工业基础将对外资不再设防，都会被外资控制。这样下去，我国的民族工业必将彻底沦为外国资本的附庸。况且，装备制造业是我国的国家战略产业，是突破国外技术封锁、建立强大军事工业的基础。徐工的许多产品，如推土机、装载机、塔机等，外国品牌是无法进入中国市场的。有些外国产品如砼机械已被我国企业挤出中国市场。</w:t>
      </w:r>
    </w:p>
    <w:p w14:paraId="2321996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徐工并购案发生的背景，是国外资本在强攻不能进入我国工程机械市场的情况下，采用“招降”的战术，想趁中国国企改革之机通过收购来整合和控制中国的工程机械产业。为此，不惜作出让步，并由美国政府高层人士来华说项，其中的政治意图不言而喻。凯雷并购徐工，实际上是外资控制和摧毁中国工程机械产业的一个战略步骤，可能造成骨牌效应，摧垮中国的全部民族工程机械工业乃至整个民族工业。近</w:t>
      </w:r>
      <w:r>
        <w:rPr>
          <w:rFonts w:ascii="宋体" w:hAnsi="宋体" w:eastAsia="宋体" w:cs="Times New Roman"/>
          <w:szCs w:val="21"/>
        </w:rPr>
        <w:t>20</w:t>
      </w:r>
      <w:r>
        <w:rPr>
          <w:rFonts w:hint="eastAsia" w:ascii="宋体" w:hAnsi="宋体" w:eastAsia="宋体" w:cs="Times New Roman"/>
          <w:szCs w:val="21"/>
        </w:rPr>
        <w:t>年来我国企业与外资合资的事实表明，已经发生的外资对我国境内企业的并购案，并购者往往会解散被并购企业的研发团队，消灭其研发力量，消灭中国企业的自主品牌。最近几年来的外资并购案中，有如中国的“南孚电池”，“无锡威孚”等案例，充分说明了外资并购我国龙头企业的真实目的。</w:t>
      </w:r>
    </w:p>
    <w:p w14:paraId="517A73C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我国目前具有世界上最大的建筑工程量，而且预计未来我国肯定还会有世界上最大的建筑工程量。一旦徐工被外资并购，进而我国建筑工程机械工业被外资控制，到那时我们搞建筑的重型机械都得出高价向外商购买，到那时才会真正体会到这种外资并购所带来的巨大危害。</w:t>
      </w:r>
    </w:p>
    <w:p w14:paraId="0D280042">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为此，我们应重视社会强烈关注的外资并购，清晰认识外资并购我国龙头企业的意图。那种认为被外资整合可以实现自身更好发展的想法是不切实际的幻想，尚且不管被外资整合的企业是否还是民族企业，事实上中国发展势头很好的企业恰恰都是实现自主主导、注重自主创新、力求整合外企的企业，而不是国内合资企业。那种认为被外资整合并没有减少财政税收收入和企业职工工资收入的想法是有局限性的，忽视了企业的巨额利润和未来现金流被外商永久获取，和放松了对企业实际控制人为获取自身眼前利益而牺牲企业长远利益的监管。总之，企图以外资整合民族企业发展国民经济，没有民族企业的发展和强大，就不可能尽快实现强国富民。我们呼吁政府应立即采取措施，重视国家产业安全，切实加强对民族产业的保护，尽快建立外资并购风险防范机制。</w:t>
      </w:r>
    </w:p>
    <w:p w14:paraId="588BAF3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为此，我们认为：</w:t>
      </w:r>
    </w:p>
    <w:p w14:paraId="3F30828B">
      <w:pPr>
        <w:spacing w:line="300" w:lineRule="auto"/>
        <w:ind w:firstLine="440" w:firstLineChars="200"/>
        <w:rPr>
          <w:rFonts w:ascii="宋体" w:hAnsi="宋体" w:eastAsia="宋体" w:cs="Times New Roman"/>
          <w:szCs w:val="21"/>
        </w:rPr>
      </w:pPr>
      <w:r>
        <w:rPr>
          <w:rFonts w:ascii="宋体" w:hAnsi="宋体" w:eastAsia="宋体" w:cs="Times New Roman"/>
          <w:szCs w:val="21"/>
        </w:rPr>
        <w:t>1.</w:t>
      </w:r>
      <w:r>
        <w:rPr>
          <w:rFonts w:hint="eastAsia" w:ascii="宋体" w:hAnsi="宋体" w:eastAsia="宋体" w:cs="Times New Roman"/>
          <w:szCs w:val="21"/>
        </w:rPr>
        <w:t>凯雷并购徐工案不符合国家产业政策的有关规定，损害我国产业安全，因而支持凯雷并购徐工的理由不能成立。国务院有关部门应从国家利益出发，不同意批准此项并购案。</w:t>
      </w:r>
    </w:p>
    <w:p w14:paraId="53197386">
      <w:pPr>
        <w:spacing w:line="300" w:lineRule="auto"/>
        <w:ind w:firstLine="440" w:firstLineChars="200"/>
        <w:rPr>
          <w:rFonts w:ascii="宋体" w:hAnsi="宋体" w:eastAsia="宋体" w:cs="Times New Roman"/>
          <w:szCs w:val="21"/>
        </w:rPr>
      </w:pPr>
      <w:r>
        <w:rPr>
          <w:rFonts w:ascii="宋体" w:hAnsi="宋体" w:eastAsia="宋体" w:cs="Times New Roman"/>
          <w:szCs w:val="21"/>
        </w:rPr>
        <w:t>2.</w:t>
      </w:r>
      <w:r>
        <w:rPr>
          <w:rFonts w:hint="eastAsia" w:ascii="宋体" w:hAnsi="宋体" w:eastAsia="宋体" w:cs="Times New Roman"/>
          <w:szCs w:val="21"/>
        </w:rPr>
        <w:t>必须及时扭转把“吸收国外战略投资者”作为大型国企改制主要途径的思路，取消政府考核指标中的引资内容。应强调大型国企改革主要应用好国内资源解决资金问题；通过对外并购、自主研发和技术引进等途径实现技术进步问题。</w:t>
      </w:r>
    </w:p>
    <w:p w14:paraId="78100A33">
      <w:pPr>
        <w:spacing w:line="300" w:lineRule="auto"/>
        <w:ind w:firstLine="440" w:firstLineChars="200"/>
        <w:rPr>
          <w:rFonts w:ascii="宋体" w:hAnsi="宋体" w:eastAsia="宋体" w:cs="Times New Roman"/>
          <w:szCs w:val="21"/>
        </w:rPr>
      </w:pPr>
      <w:r>
        <w:rPr>
          <w:rFonts w:ascii="宋体" w:hAnsi="宋体" w:eastAsia="宋体" w:cs="Times New Roman"/>
          <w:szCs w:val="21"/>
        </w:rPr>
        <w:t>3.</w:t>
      </w:r>
      <w:r>
        <w:rPr>
          <w:rFonts w:hint="eastAsia" w:ascii="宋体" w:hAnsi="宋体" w:eastAsia="宋体" w:cs="Times New Roman"/>
          <w:szCs w:val="21"/>
        </w:rPr>
        <w:t>在此案中，凯雷利用地方政府急于招商引资的心态，投其所好，编造了一个庞大的无约束力的招商引资计划，作为招标条件，构成出卖国企的理由。应从中吸取教训，尽快制定国企改制中国有资产产权交易程序和细则，完善交易监管体系。</w:t>
      </w:r>
    </w:p>
    <w:p w14:paraId="07FE85A2">
      <w:pPr>
        <w:spacing w:line="300" w:lineRule="auto"/>
        <w:ind w:firstLine="440" w:firstLineChars="200"/>
        <w:rPr>
          <w:rFonts w:ascii="宋体" w:hAnsi="宋体" w:eastAsia="宋体" w:cs="Times New Roman"/>
          <w:szCs w:val="21"/>
        </w:rPr>
      </w:pPr>
      <w:r>
        <w:rPr>
          <w:rFonts w:ascii="宋体" w:hAnsi="宋体" w:eastAsia="宋体" w:cs="Times New Roman"/>
          <w:szCs w:val="21"/>
        </w:rPr>
        <w:t>4.</w:t>
      </w:r>
      <w:r>
        <w:rPr>
          <w:rFonts w:hint="eastAsia" w:ascii="宋体" w:hAnsi="宋体" w:eastAsia="宋体" w:cs="Times New Roman"/>
          <w:szCs w:val="21"/>
        </w:rPr>
        <w:t>尽快建立国家战略利益管理机制，包括：制定国家必须控制的产业和企业名录，并将这些企业改制的权力上收；建立外资并购我国内资企业的案例监测预警机制，如进行广泛的专家听证，完善政府机构的严格审查制度、推行制度化的民意测验和舆论监督。</w:t>
      </w:r>
    </w:p>
    <w:p w14:paraId="1B136D07">
      <w:pPr>
        <w:spacing w:line="300" w:lineRule="auto"/>
        <w:ind w:firstLine="440" w:firstLineChars="200"/>
        <w:rPr>
          <w:rFonts w:ascii="宋体" w:hAnsi="宋体" w:eastAsia="宋体" w:cs="Times New Roman"/>
          <w:szCs w:val="21"/>
        </w:rPr>
      </w:pPr>
      <w:r>
        <w:rPr>
          <w:rFonts w:ascii="宋体" w:hAnsi="宋体" w:eastAsia="宋体" w:cs="Times New Roman"/>
          <w:szCs w:val="21"/>
        </w:rPr>
        <w:t>5.</w:t>
      </w:r>
      <w:r>
        <w:rPr>
          <w:rFonts w:hint="eastAsia" w:ascii="宋体" w:hAnsi="宋体" w:eastAsia="宋体" w:cs="Times New Roman"/>
          <w:szCs w:val="21"/>
        </w:rPr>
        <w:t>加紧完善和制订《反不正当竞争法》、《反垄断法》等法律，用法律保护中国产业安全。</w:t>
      </w:r>
    </w:p>
    <w:p w14:paraId="1372792F">
      <w:pPr>
        <w:spacing w:line="300" w:lineRule="auto"/>
        <w:ind w:firstLine="440" w:firstLineChars="200"/>
        <w:rPr>
          <w:rFonts w:ascii="宋体" w:hAnsi="宋体" w:eastAsia="宋体" w:cs="Times New Roman"/>
          <w:szCs w:val="21"/>
        </w:rPr>
      </w:pPr>
    </w:p>
    <w:p w14:paraId="0440567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（原载《生产力研究》</w:t>
      </w:r>
      <w:r>
        <w:rPr>
          <w:rFonts w:ascii="宋体" w:hAnsi="宋体" w:eastAsia="宋体" w:cs="Times New Roman"/>
          <w:szCs w:val="21"/>
        </w:rPr>
        <w:t>2007</w:t>
      </w:r>
      <w:r>
        <w:rPr>
          <w:rFonts w:hint="eastAsia" w:ascii="宋体" w:hAnsi="宋体" w:eastAsia="宋体" w:cs="Times New Roman"/>
          <w:szCs w:val="21"/>
        </w:rPr>
        <w:t>年第</w:t>
      </w:r>
      <w:r>
        <w:rPr>
          <w:rFonts w:ascii="宋体" w:hAnsi="宋体" w:eastAsia="宋体" w:cs="Times New Roman"/>
          <w:szCs w:val="21"/>
        </w:rPr>
        <w:t>5</w:t>
      </w:r>
      <w:r>
        <w:rPr>
          <w:rFonts w:hint="eastAsia" w:ascii="宋体" w:hAnsi="宋体" w:eastAsia="宋体" w:cs="Times New Roman"/>
          <w:szCs w:val="21"/>
        </w:rPr>
        <w:t>期，第二作者为李炳炎）</w:t>
      </w:r>
    </w:p>
    <w:p w14:paraId="141E25ED">
      <w:pPr>
        <w:spacing w:line="300" w:lineRule="auto"/>
        <w:ind w:firstLine="440" w:firstLineChars="200"/>
        <w:rPr>
          <w:rFonts w:ascii="宋体" w:hAnsi="宋体" w:eastAsia="宋体" w:cs="Times New Roman"/>
          <w:b/>
          <w:szCs w:val="21"/>
        </w:rPr>
      </w:pPr>
    </w:p>
    <w:p w14:paraId="14D75FCE">
      <w:pPr>
        <w:bidi w:val="0"/>
      </w:pPr>
      <w:r>
        <w:br w:type="page"/>
      </w:r>
    </w:p>
    <w:p w14:paraId="3748C428">
      <w:pPr>
        <w:spacing w:before="147" w:beforeLines="50" w:after="147" w:afterLines="50" w:line="300" w:lineRule="auto"/>
        <w:ind w:firstLine="660" w:firstLineChars="200"/>
        <w:jc w:val="center"/>
        <w:outlineLvl w:val="1"/>
        <w:rPr>
          <w:rFonts w:ascii="黑体" w:hAnsi="黑体" w:eastAsia="黑体" w:cs="Times New Roman"/>
          <w:sz w:val="32"/>
        </w:rPr>
      </w:pPr>
      <w:bookmarkStart w:id="658" w:name="_Toc5124"/>
      <w:bookmarkStart w:id="659" w:name="_Toc257922067"/>
      <w:bookmarkStart w:id="660" w:name="_Toc111193665"/>
      <w:bookmarkStart w:id="661" w:name="_Toc243743428"/>
      <w:bookmarkStart w:id="662" w:name="_Toc1446955747"/>
      <w:r>
        <w:rPr>
          <w:rFonts w:hint="eastAsia" w:ascii="黑体" w:hAnsi="黑体" w:eastAsia="黑体" w:cs="Times New Roman"/>
          <w:sz w:val="32"/>
          <w:szCs w:val="32"/>
        </w:rPr>
        <w:t>4</w:t>
      </w:r>
      <w:r>
        <w:rPr>
          <w:rFonts w:ascii="黑体" w:hAnsi="黑体" w:eastAsia="黑体" w:cs="Times New Roman"/>
          <w:sz w:val="32"/>
          <w:szCs w:val="32"/>
        </w:rPr>
        <w:t>.</w:t>
      </w:r>
      <w:r>
        <w:rPr>
          <w:rFonts w:hint="eastAsia" w:ascii="黑体" w:hAnsi="黑体" w:eastAsia="黑体" w:cs="Times New Roman"/>
          <w:sz w:val="32"/>
          <w:szCs w:val="32"/>
        </w:rPr>
        <w:t>改革、开放和</w:t>
      </w:r>
      <w:r>
        <w:rPr>
          <w:rFonts w:hint="eastAsia" w:ascii="黑体" w:hAnsi="黑体" w:eastAsia="黑体" w:cs="Times New Roman"/>
          <w:sz w:val="32"/>
        </w:rPr>
        <w:t>发展的不同思路与流派</w:t>
      </w:r>
      <w:bookmarkEnd w:id="658"/>
      <w:bookmarkEnd w:id="659"/>
      <w:bookmarkEnd w:id="660"/>
      <w:bookmarkEnd w:id="661"/>
      <w:bookmarkEnd w:id="662"/>
    </w:p>
    <w:p w14:paraId="15190A2E">
      <w:pPr>
        <w:spacing w:before="147" w:beforeLines="50" w:line="300" w:lineRule="auto"/>
        <w:ind w:firstLine="440" w:firstLineChars="200"/>
        <w:rPr>
          <w:rFonts w:ascii="宋体" w:hAnsi="宋体" w:eastAsia="宋体" w:cs="Times New Roman"/>
          <w:szCs w:val="21"/>
        </w:rPr>
      </w:pPr>
      <w:r>
        <w:rPr>
          <w:rFonts w:hint="eastAsia" w:ascii="宋体" w:hAnsi="宋体" w:eastAsia="宋体" w:cs="Times New Roman"/>
          <w:szCs w:val="21"/>
        </w:rPr>
        <w:t>中国改革取得了重大的进展，在改革中间已经形成了不同的关于改革目标的一些思路，而且这些思路也有一定的经济学基础，尽管不是严格意义上的学派或流派，但是已经具有一定的雏形状态。在我看来，主要有这样几种思路和流派：</w:t>
      </w:r>
    </w:p>
    <w:p w14:paraId="48C5EE19">
      <w:pPr>
        <w:spacing w:line="300" w:lineRule="auto"/>
        <w:ind w:firstLine="440" w:firstLineChars="200"/>
        <w:rPr>
          <w:rFonts w:ascii="宋体" w:hAnsi="宋体" w:eastAsia="宋体" w:cs="Times New Roman"/>
          <w:szCs w:val="21"/>
        </w:rPr>
      </w:pPr>
      <w:r>
        <w:rPr>
          <w:rFonts w:hint="eastAsia" w:ascii="宋体" w:hAnsi="宋体" w:eastAsia="宋体" w:cs="Times New Roman"/>
          <w:b/>
          <w:szCs w:val="21"/>
        </w:rPr>
        <w:t>1.原生马克思主义经济思潮，简称“原马派”。</w:t>
      </w:r>
      <w:r>
        <w:rPr>
          <w:rFonts w:hint="eastAsia" w:ascii="宋体" w:hAnsi="宋体" w:eastAsia="宋体" w:cs="Times New Roman"/>
          <w:szCs w:val="21"/>
        </w:rPr>
        <w:t>原来我是用“传统或老马克思主义学派”，后来有同志有些意见，认为这好像有点贬义。其实我的原意不是贬义，而是说这一派中年龄大的学者比较多，他们都七、八十岁了，甚至九十岁了，你再叫他创新，他们已经没有这个精力了，而且退职的学者相对多一些。这一部分应当说还是坚持社会主义市场经济改革方向的，但对某些问题的看法上可能坚持马克思主义的多一些，创新的少一些，批评比较尖锐。比如说，对于股份制是不是可以成为公有制的实现形式，这些同志可能有一些异议。在改革中间，这一派的影响相对较小。</w:t>
      </w:r>
    </w:p>
    <w:p w14:paraId="2BB5CE4E">
      <w:pPr>
        <w:spacing w:line="300" w:lineRule="auto"/>
        <w:ind w:firstLine="440" w:firstLineChars="200"/>
        <w:rPr>
          <w:rFonts w:ascii="宋体" w:hAnsi="宋体" w:eastAsia="宋体" w:cs="Times New Roman"/>
          <w:szCs w:val="21"/>
        </w:rPr>
      </w:pPr>
      <w:r>
        <w:rPr>
          <w:rFonts w:hint="eastAsia" w:ascii="宋体" w:hAnsi="宋体" w:eastAsia="宋体" w:cs="Times New Roman"/>
          <w:b/>
          <w:szCs w:val="21"/>
        </w:rPr>
        <w:t>2.创新马克思主义经济思潮，简称“新马派”。</w:t>
      </w:r>
      <w:r>
        <w:rPr>
          <w:rFonts w:hint="eastAsia" w:ascii="宋体" w:hAnsi="宋体" w:eastAsia="宋体" w:cs="Times New Roman"/>
          <w:szCs w:val="21"/>
        </w:rPr>
        <w:t>“新马派”的主要代表人物是中国社科院的学部委员刘国光教授、杨圣明教授、于祖尧教授，中国人民大学的卫兴华教授，武汉大学党委书记顾海良教授，中国人民大学的副校长林岗教授等等。我也是“新马派”之一。“新马派”内部在某些问题上也可能有不同的表述，比如说，我认为劳动力在市场经济条件下就是商品，工资——就是公有制范围内的工资也是劳动力价格或价值的转化形式。这一观点，卫兴华教授就不赞成。我们有些分歧，但在很多核心问题上的观点是一致的，否则就不能归结为一个流派了。</w:t>
      </w:r>
    </w:p>
    <w:p w14:paraId="2FBC812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这个流派，我想详细介绍一下。中国的改革，按照小平同志的意见以及中央一系列文件、领导人的讲话，应当说还是在社会主义根本制度这个大框架内的变革。这种经济关系和上层建筑的自我调节、自我完善表现在经济制度上，我把它概括为“四主型”经济制度。</w:t>
      </w:r>
    </w:p>
    <w:p w14:paraId="0C19AB35">
      <w:pPr>
        <w:spacing w:line="300" w:lineRule="auto"/>
        <w:ind w:firstLine="440" w:firstLineChars="200"/>
        <w:rPr>
          <w:rFonts w:ascii="宋体" w:hAnsi="宋体" w:eastAsia="宋体" w:cs="Times New Roman"/>
          <w:szCs w:val="21"/>
        </w:rPr>
      </w:pPr>
      <w:r>
        <w:rPr>
          <w:rFonts w:hint="eastAsia" w:ascii="宋体" w:hAnsi="宋体" w:eastAsia="宋体" w:cs="Times New Roman"/>
          <w:b/>
          <w:bCs/>
          <w:szCs w:val="21"/>
        </w:rPr>
        <w:t>（1）公有主体型的多种类产权制度。</w:t>
      </w:r>
      <w:r>
        <w:rPr>
          <w:rFonts w:hint="eastAsia" w:ascii="宋体" w:hAnsi="宋体" w:eastAsia="宋体" w:cs="Times New Roman"/>
          <w:szCs w:val="21"/>
        </w:rPr>
        <w:t>这始终是中央文件上的一句话，但对于它的内涵，可能不同的学理论研究程恩富改革、开放和发展的不同思路与流派者还有不同的理解。</w:t>
      </w:r>
    </w:p>
    <w:p w14:paraId="67BA510D">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这一制度本身就包含着两层意思。一层意思是：作为社会主义性质的初级阶段，肯定是以公有制为主体，用中共十五大报告的话来说，就是“既要有量的优势，也要有质的优势”，所以它是质量统一观。在表述上，我们和有的论著有个区别，他们说“在社会总资产中要占多数”，而我们认为不仅在社会总资产，而且要在经营性资产中占多数。为什么？这里面有区别。如果你说“在社会总资产中要占多数”，那老实说美国也是社会主义了。美国的那些战略武器、部队、办公大楼、地下资产等全是国有的。我们讲的是经济关系，经济关系主要是表现在经营性资产上。所以，“公有制占主体、占多数”应当表现在资本的比例上，如国有资本、集体资本、外资资本、个体资本，在这些资本的比例上应该是国有和集体加起来占多数。没有一定的量就没有一定的质。第二，“公有制占主体、占多数”应该表现在就业的人数及其结构上。如果大部分人都是在中外私有制的企业里面劳动，那就说明多数人的劳动还是属于雇佣劳动，而不是一种自主的联合劳动。“公有制占主体、占多数”还要表现在对GDP的贡献、税收上等等。有些论著想架空“公有制为主体”，以为只要共产党领导，公有制是否占主体不妨碍社会性质，这显然是违反经济学常识的。</w:t>
      </w:r>
    </w:p>
    <w:p w14:paraId="468DA1B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另一层意思是：要发展中外私有制。社会主义初级阶段应当积极地发展中外私有制，个体的、私营的、外资的，以及各种私有制的混合经济。混合经济是先要一个基本形态，然后才是混合。我们主张，既然是“公有制为主体”——按照官方文件也是这样，那私有制就应当为辅体，所以我强调建立一个“主体—辅体”的所有制结构，这个所有制结构是和谐社会的经济基础。现在提到和谐社会的标志时，有六条等等，可没有一条说和谐社会的经济基础是什么，特别是所有制基础是什么？我认为这是理论的不足之处。为什么和谐社会要有所有制基础呢？因为经济是决定政治、文化、艺术、思想等其他东西的一个基础性东西，而整个经济制度、经济关系、经济基础里面，所有制是首要的一类。这一点不仅马克思主义经济学是这样认为的，而且西方经济学也是这样认为的；不仅共产党是这样认为的，而且资产阶级政党也是这样认为的。这就是苏东剧变以后，为什么他们第一个步骤就要颁布私有化法律的原因。因为资产阶级及其政党的统治基础就是私有制。所以，我们对人类有史以来的基本事实、马克思揭示的历史唯物主义的一个基本观点就是：经济基础决定上层建筑。可是，这一点可能不适当地被淡化了，过分地强调政治、权力。有些同志善良地以为，只要共产党领导，似乎我们的整个所有制结构都像温州地区那样也没问题。显然东西方经济学都不会认可的。我们可以用社会主义混合经济这个词，混合经济既可以是所有制问题上的混合经济，也可以是市场调节和国家调节相结合的一种混合经济。但社会主义混合经济应当是公有制占主体的混合经济，不是没有界限了，没有类型了。</w:t>
      </w:r>
    </w:p>
    <w:p w14:paraId="05F0583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到底是公有制效率高，还是私有制效率高？去年有位师从美国著名马克思主义经济学家大卫·科兹教授的中国留学生朱安东回国到清华大学任教，他的博士论文利用世界银行等西方相关统计资料进行分析得出一个结论，即企业的效率主要不是和资本结构相联系（超产权），而是和竞争状态相联系的。人民大学吴易风教授译校的美国教科书《经济学原理》也有一个基本结论——现有的经济学及人类社会发展历史并没有证明私有制市场经济效率最高，因为西方经济学理论认为私有制市场经济效率最高，是基于一系列严格假定推论出来的。即使是诺奖获得者斯蒂格利茨也是批评“科斯定理”是“科斯谬误”，认为俄罗斯相信了“私有产权神话”，导致了苏东经济在改革中间大规模衰退。</w:t>
      </w:r>
    </w:p>
    <w:p w14:paraId="5CBF37A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西方文献本身就有两种说明。第一种认为，企业的效率主要是和竞争市场环境有关，实际上郎咸平和林毅夫就是这样认为的。另一种就像张维迎认为的，只有私有制、私有化，效率就最高。这个问题10年前就争论过。以中国和苏联为例，虽然经济上存在着一些弊端，但由于社会主义基本制度的内在优越性，因而具有一种内生的机制导致整个经济发展绩效并不是低效率的，作为社会主义国家的苏联的迅速发展与强大就是很好的例证。现在流行的观点认为，计划经济就是低效率的，实际上是得不到实证资料证明的。苏联解体以前，西方的比较经济学、美国中央情报局等各类西方机构一致公认：苏联的综合国力是日益上升的，而且日益接近美国。萨缪尔森的经济学教科书里面也有专门介绍苏联的部分，其中心意思就是一句话，“有些人认为计划经济不可行，你只要看看苏联经济就行了”。苏联在上世纪70年代经济的平均增长速度大体上在5%左右，远远高于西方主要国家的同期2.5%左右的平均水平。大英帝国20世纪整整一百年的GDP年均增长约2%。日本在发达国家里经济发展是最快的，从二战后一直算到最近一两年内的年均GDP增长率也不过是6.1%，同我们在毛泽东时代30年的年均GDP增长6.1%没有区别。这个实证分析结论，我前几年研究以后也是大吃一惊的，原来也是以为那些年很差的。当然我们应该相信事实与数据，而不是流行的说法。而且毛泽东时代的这个6.1%是在一系列国内外不利的条件下形成的。在一系列国内外不利因素影响下（还有体制比较僵化，并带有相当的官僚主义，没有认真按计划经济的内在要求去做），由于是社会主义经济制度和模式之一，又有共产党领导，所以年均GDP还是能达到6.1%。</w:t>
      </w:r>
    </w:p>
    <w:p w14:paraId="0A1230B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资本主义经济制度的潜在GDP的增长速度是多少？发达国家是2.5%左右，不发达的资本主义国家是4.5%左右。整个20世纪的资本主义印证了这一点，这是实证资料，可是西方的教科书从来不写这些。所以我们“海派经济学”的观点是基于这些实证资料的，在越来越多的实证资料面前，我们不得不认为“计划经济是功成身退，市场经济是继往开来”。</w:t>
      </w:r>
    </w:p>
    <w:p w14:paraId="264670A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公有制、私有制到底谁会产生高效率？我认为，如果市场经济操作得当，公有制可以比私有制更适合市场经济，产生更公平、更有效率的机制，所以，我赞成社会主义和市场经济的结合。什么是社会主义市场经济？从经济制度上来说就是一句话，公有制占主体的这种类型、这种性质的市场经济，另外一种就是私有制占主体的资本主义性质的市场经济。这在美国出版的比较“权威”的《帕尔格雷夫经济学大辞典》上都有，西方经济学大部分教科书也是这样说的。但有些人不是这样区分的。比如，区分为自由市场经济和社会市场经济，那就把它看成要么是美国类型、要么是过去的德国类型，不承认社会主义市场经济，他们潜在的意思仍然是科尔奈等的传统思维，认为公有制只能搞计划经济，公有制不能和市场经济结合。小平同志早就打破了这个传统思维，认为公有制也可以和市场经济结合。</w:t>
      </w:r>
    </w:p>
    <w:p w14:paraId="01254E1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20世纪80年代，我们国有工业企业亏损的比例最早的时候只占2%，最多也只有9%。复旦大学一位新自由主义经济学家也用这个数据，但是他不分析。张维迎教授这样解释：“那时候效率高是因为私有制没有出来，出来了公有制就不行了”。是不是私有制出来了公有制效率必然不高？西方的不少国有企业、新加坡的国有企业的总效率就超过了非国有企业，赢利水平超过非国有企业。新加坡的学者10年前就写过文章，我也引用过。有人说新加坡只是个城市，没什么典型性。那我说，你每个城市把国企搞好了，全中国不就搞好了吗？搞不好就是国资管理的水平有问题了。</w:t>
      </w:r>
    </w:p>
    <w:p w14:paraId="4EEB122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我们很多法律都立了，为什么没有《国有资产管理法》？日本战后没几年就颁布了《国有资产管理法》，我们到现在仍然没有。以前有的是一些条例，是管理企业的，规范政府行为的法律没有。为什么制定了那么多法，《国有资产管理法》却没有呢?而且在没有《国有资产管理法》的情况下进行大规模所谓的改制，那等于在无法无天的情况下改制，这和法制思想、民主思想都是不相符合的。当然国资管理部门有责任，不递交比较成熟的立法方案，全国人大怎么讨论呢？最近《物权法》草案很多人也有意见，上面有这样的条文：“国有企业负责人如果</w:t>
      </w:r>
      <w:r>
        <w:rPr>
          <w:rFonts w:hint="eastAsia" w:ascii="MS Gothic" w:hAnsi="MS Gothic" w:eastAsia="MS Gothic" w:cs="MS Gothic"/>
          <w:szCs w:val="21"/>
        </w:rPr>
        <w:t>⋯⋯</w:t>
      </w:r>
      <w:r>
        <w:rPr>
          <w:rFonts w:hint="eastAsia" w:ascii="宋体" w:hAnsi="宋体" w:eastAsia="宋体" w:cs="Times New Roman"/>
          <w:szCs w:val="21"/>
        </w:rPr>
        <w:t>擅卖国有资产将追究法律责任</w:t>
      </w:r>
      <w:r>
        <w:rPr>
          <w:rFonts w:hint="eastAsia" w:ascii="MS Gothic" w:hAnsi="MS Gothic" w:eastAsia="MS Gothic" w:cs="MS Gothic"/>
          <w:szCs w:val="21"/>
        </w:rPr>
        <w:t>⋯⋯</w:t>
      </w:r>
      <w:r>
        <w:rPr>
          <w:rFonts w:hint="eastAsia" w:ascii="宋体" w:hAnsi="宋体" w:eastAsia="宋体" w:cs="Times New Roman"/>
          <w:szCs w:val="21"/>
        </w:rPr>
        <w:t>”（大意如此）。这条是空的，哪个企业是自说自话卖的，都是经过国资管理部门批准的。可见，即使这个《物权法》通过以后，一切不良现象也可能照旧。所以，国资管理系统是有严重问题的，没有真正做到“三个代表”，也没有真正落实“科学发展观”。</w:t>
      </w:r>
    </w:p>
    <w:p w14:paraId="3A206E8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在所有制制度层面还有别的改革观、别的思路、别的流派。比如被称为“新左派”的清华大学“海归”崔之元教授发表过的《小资产阶级社会主义宣言》，又叫《自由社会主义宣言》。“小资产阶级社会主义经济思潮”或者是“新左派”在所有制上的基本倾向是反对大资本私有制，但不一定主张公有制占主体，认为公有制、私有制这个比例是无所谓的。</w:t>
      </w:r>
    </w:p>
    <w:p w14:paraId="126C581A">
      <w:pPr>
        <w:spacing w:line="300" w:lineRule="auto"/>
        <w:ind w:firstLine="440" w:firstLineChars="200"/>
        <w:rPr>
          <w:rFonts w:ascii="宋体" w:hAnsi="宋体" w:eastAsia="宋体" w:cs="Times New Roman"/>
          <w:szCs w:val="21"/>
        </w:rPr>
      </w:pPr>
      <w:r>
        <w:rPr>
          <w:rFonts w:hint="eastAsia" w:ascii="宋体" w:hAnsi="宋体" w:eastAsia="宋体" w:cs="Times New Roman"/>
          <w:b/>
          <w:bCs/>
          <w:szCs w:val="21"/>
        </w:rPr>
        <w:t>（2）劳动主体型的多要素分配制度。</w:t>
      </w:r>
      <w:r>
        <w:rPr>
          <w:rFonts w:hint="eastAsia" w:ascii="宋体" w:hAnsi="宋体" w:eastAsia="宋体" w:cs="Times New Roman"/>
          <w:szCs w:val="21"/>
        </w:rPr>
        <w:t>这个说法也是和官方一致的，也就是说按劳分配为主体，各种生产要素的所有者（产权）都可以参与分配。一次分配讲效率、二次分配讲公平，貌似合理，其实是站不住的。一次分配不要讲公平吗？二次分配不要讲效率吗？这种形而上学的观点割裂了公平与效率的关系。另外，效率优先这种说法在学理上是站不住的，我们“海派经济学”从来就没有赞成过。</w:t>
      </w:r>
    </w:p>
    <w:p w14:paraId="205E705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关于公平与效率，我有专门文章，我的这个定理是这样的，也是我们“海派经济学”几大假设之一，即“公平与效率交互同向变动论”，简单来说就是越公平越有效率，越不公平越无效率。如果单从西方社会学和经济学的观点，我们现在的基尼系数已经超过美国，收入五等份的差距我国也比西方发达国家略大些，但是社会的贫富分化主要不表现在这个差距上，主要表现在财富的占有上。为什么他们用五等份，而不是十等份、二十等份呢？他们用十等份、二十等份，中国差距就比他少，这就是诺奖获得者索罗说的：社会科学家和其他人一样，也具有政治利益、意识形态的倾向以及某种价值判断。我们前面讲的斯蒂格利茨、萨缪尔森的教科书都是120万字，你看有没有财富的指标？没有，只有收入分配，而且实证资料出奇地少。因为财富的指标他们不能说，一说美国大学生都变成马克思主义者了。尽管美国联邦储备银行等机构都公布这些资料，但他们的经济学教科书不写。可见，我们说他们有阶级性，索罗说社会科学家有政治性、有价值观没错吧？没有冤枉他们吧？不过萨缪尔森还是写了一些真话，但没写到底。他的真话是什么呢？他说，考证了许多资料以后证明，收入差距的加剧很多都是财产占有差距造成的。前几年我写过文章说，经济学既要讲经济公平，又要讲经济效率。这是经济学的两大主题，不能说经济学讲效率、社会学讲公平，这是流行的错误说法。美国是世界上经济最不公平的国家，因为财产占有上反差巨大。这个原因会导致人们在进入市场竞争之前或之中，已带来了很多经济上的不平等现象，美国1%最富的家庭拥有全美家庭净资产（含各类有价证券）的1/3，9%较富的家庭又拥有其中的40%，等于10%的富裕家庭拥有近80%。</w:t>
      </w:r>
    </w:p>
    <w:p w14:paraId="196D065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中央政治局曾开会讨论提出：提高低收入，扩大中间收入，调节高收入，打击非法收入，和我们马克思主义学者的观点是一致的。关于分配问题，即使是马克思主义学者内部也有点分歧，有些人认为外国的私营业主有剥削、中国的私营业主没有剥削。为什么？因为有共产党领导。有位政治经济学教授在书中说外国的资本家是有剥削的，如果到中国投资也是有剥削的。中国的私营业主假定他的来源是合法的话，后面就没有剥削了。马克思讲的资本主义简单再生产说明的三个问题，说得很清楚的。假定资本原始积累是他个人的，没有违法的，以后简单再生产也证明不仅M是工人创造的，而且C也是工人创造的。你看，这就是个别马克思主义政治经济学教授的所谓创新。当然，我当面也会说他：“你这观点是不对的。”中国的私营企业主是自己拿的10万元，后面就没有剥削了？来个高鼻子，是他父母给的钱就是有剥削了，这是什么经济关系分析啊？如果黄世仁的财产是他父亲给的，那你说他后面有没有剥削啊？</w:t>
      </w:r>
    </w:p>
    <w:p w14:paraId="1C9B9BD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可做如下选择：把刘少奇所说的剥削有功论与邓小平关于社会主义本质论的（五句话，三十六个字）“消灭剥削、消除两极分化”结合起来，主张社会主义初级阶段私有制及其剥削是有积极作用的，但最终还是要消灭它们。我的意思是，第一代领导人说剥削有功的意思是私有制剥削有积极作用，但没有否定它有消极作用，文革中对刘少奇的这个批评是乱上纲的。第二是邓小平说过要消灭剥削，如果没有剥削就不要消灭剥削了。私有制没有剥削，那什么地方有剥削啊？前面两代领导人是这样说的，第三代领导看看怎么说比较好？可以推论：如果否定私有制具有剥削性，就会涉及马克思主义和共产党的根本点和合法性问题。共产党凭什么没收地主的土地呀？如果你说地主没有剥削，你怎么好没收他土地啊？如果你说资本家没有剥削，那资本主义改造怎么进行啊？那赎买不是购买，赎买是以革命暴力、是以政权为后盾的，不是等价交换的买。那你赎买的经济学依据是什么？这些东西本来就是工人阶级的。如果你说资本家没有剥削，那本来就是他的了。本来是他的，你进行赎买就是“非法”的，就变成“强盗”行为了。这就涉及马克思主义的根本点——劳动价值论了。马克思的体系都是推论出来的，当然是基于事实推论出来的。还可作进一步推论：如果否定中国的私营经济有剥削，就会连同否定黄世仁有剥削和整个当代资本主义有剥削。近几年国内发表大量的马克思主义创新文献都一致主张，私有制就是有剥削的。现在发展私有制，政策上允许剥削不等于在理论上否定剥削。如果否定剥削，那整个马克思主义和共产党的理论基础就没有了。诚然，劳动价值论是要发展的，我本人的新著叫做《劳动创造价值的规范和实证研究——新的活劳动价值一元论》。后来，中共十六大报告没提剥削问题，从而这一问题争论告一段落。</w:t>
      </w:r>
    </w:p>
    <w:p w14:paraId="5F938645">
      <w:pPr>
        <w:spacing w:line="300" w:lineRule="auto"/>
        <w:ind w:firstLine="440" w:firstLineChars="200"/>
        <w:rPr>
          <w:rFonts w:ascii="宋体" w:hAnsi="宋体" w:eastAsia="宋体" w:cs="Times New Roman"/>
          <w:szCs w:val="21"/>
        </w:rPr>
      </w:pPr>
      <w:r>
        <w:rPr>
          <w:rFonts w:hint="eastAsia" w:ascii="宋体" w:hAnsi="宋体" w:eastAsia="宋体" w:cs="Times New Roman"/>
          <w:b/>
          <w:bCs/>
          <w:szCs w:val="21"/>
        </w:rPr>
        <w:t>（3）国家主导型的多结构市场制度。</w:t>
      </w:r>
      <w:r>
        <w:rPr>
          <w:rFonts w:hint="eastAsia" w:ascii="宋体" w:hAnsi="宋体" w:eastAsia="宋体" w:cs="Times New Roman"/>
          <w:szCs w:val="21"/>
        </w:rPr>
        <w:t>我们主张要多结构地发展市场体系，发挥市场的基础性配置资源的作用；同时，在廉洁、廉价、民主和高效的基础上发挥国家调节的主导型作用。科学倡导“市场取向的改革”与随意滥用“市场化改革”是不同的。现在中央讲究改革的科学性和协调性，就是既要用市场调节的优良功能去抑止“国家调节失灵”，又要用国家调节的优良功能来纠正“市场调节失灵”，实现一种“基础—主导”功能性双重调节机制，这样容易达到社会经济和谐。为何上访、闹事、犯罪和社会失衡的现象较为普遍，就是因为国家调节存在不到位或不得当的情况。只要看看在近年所谓管理层收购活动中出现的严重问题，并引发各阶层公众的不满和不和谐，就可得知某些政府部门的调控有多滞后和不明智。没有人否定市场型的产权改革，但不可背离市场规律乱来。</w:t>
      </w:r>
    </w:p>
    <w:p w14:paraId="44C18D52">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在这一方面，“新自由主义”不赞成国家调节为主导，认为调节越少的政府是越好的政府。引用西方文献里提出了一些模糊概念，叫“有限政府”、“小政府、大社会”。我倒是主张建立“小政府”，但是应该是“小而强”，不是“小而弱”，更不能是“大而弱”。“大而强”也不适合市场经济，我看“小而强”最好。新自由主义的“小政府、大社会”，实际上是主张政府少说，而事实上就是垄断资产阶级说了算。</w:t>
      </w:r>
    </w:p>
    <w:p w14:paraId="76C6CD9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过去日本、韩国都是国家主导型的市场经济，应当说这是它们经济曾经高速增长的主要原因之一，后来他们相信“新自由主义”，经济就开始下来了，这是日本东京大学著名马克思主义经济学家伊藤诚教授到中国来说的，是有实证资料证明的。美国的著名马克思主义经济学家大卫·科兹也用资料证明，美国在实行某些“新自由主义”经济政策以后，经济发展速度比五、六十年代慢。法国马恩河古大学的著名马克思主义经济学教授迪劳内也用资料证明，欧洲国家由于实行某些“新自由主义”，经济发展速度也比以前慢。苏东国家也在采用“新自由主义”后，出现大规模倒退。现在世界上的马克思主义等左翼学者一致批评“新自由主义”，法国的调节学派，包括一些马克思主义演化经济学都是有一定科学性的。</w:t>
      </w:r>
    </w:p>
    <w:p w14:paraId="6D132A3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4.自立主导型的多方位开放制度，即处理好引进国外技术和资本同自力更生地发展自主知识产权和高效利用本国资本的关系。改革以来官方在这上面的提法是有一些变化的。改革开始时，小平同志强调“引进来”，后来江泽民同志在“三讲”的时候提出“引进来”与“走出去”并重的战略，但是没有突出强调“自主创新”问题，胡锦涛同志执政后迅速提出“自主创新”。我认为这第三步非常关键，是科学发展观的重要理论亮点。在经济学上，我前几年提出第三种优势理论——知识产权优势理论（另外两种优势理论为：比较优势理论和综合竞争优势理论），主张中国这样的发展中国家要推行知识产权战略。近来官方也在大力提倡这种战略。</w:t>
      </w:r>
    </w:p>
    <w:p w14:paraId="010B948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我们中国现在是标准的世界加工厂，不是世界工厂。真正的世界工厂都是有自主知识产权的。英、美、日包括前苏联就是如此。没有原创，你生产的是低附加值产品，处在国际分工链里的低端，我们不能陷入比较优势陷阱。我曾提出，应在结合比较优势与竞争优势的基础上，大力发展控股、控技（尤其是核心技术）和控牌（尤其是名牌）的“三控型”民族企业集团和民族跨国公司，突出培育和发挥知识产权优势，早日真正打造出中国的世界工厂而非世界加工厂，尽快完成从贸易大国向贸易强国和经济大国向经济强国的转型。</w:t>
      </w:r>
    </w:p>
    <w:p w14:paraId="11C5EF2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北京有的教授、“海归”也是不赞成创新的。林毅夫教授就提出：不要陷入自主创新陷阱，认为从成本、收益看，自主创新不一定合算。著名马克思主义经济学家、河南财经学院的资深教授杨承训就写商榷文章说：“你这成本怎么核算，是单项成本还是综合成本，是短期成本还是长期成本啊？”当然，不是一切技术领域我们都要独创，创新也有原创、集成创新、引进消化再创新等几种形式，但某些关键领域我们必须要创新。如果不提倡自主创新，我们很多科技工作者、大学生的爱国主义也没有地方发挥，结果到跨国公司去工作了。</w:t>
      </w:r>
    </w:p>
    <w:p w14:paraId="69EE6A4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在以上四个制度层面或改革的主要目标方面实际上是有分歧的。如果大家公开、直截了当、不扣帽子地进行商榷也好、论战也好，我认为是有助于中国改革的。有人反对批判“新自由主义”，说中国改革就是靠“新自由主义”，那不对。中央没说过，而且中央提出了要批判“新自由主义”。中央领导也特别讲过要更加注重社会公平，更加注意让改革的成果能为全民所享受，要关心弱势群体。有人倒是给弱势群体扣了个帽子——反对改革。人家失业了，提点意见、有些不满情绪、希望找到工作，难道就是反对改革？这样说完全是立场站错了。</w:t>
      </w:r>
    </w:p>
    <w:p w14:paraId="7E6F23E5">
      <w:pPr>
        <w:spacing w:line="300" w:lineRule="auto"/>
        <w:ind w:firstLine="440" w:firstLineChars="200"/>
        <w:rPr>
          <w:rFonts w:ascii="宋体" w:hAnsi="宋体" w:eastAsia="宋体" w:cs="Times New Roman"/>
          <w:szCs w:val="21"/>
        </w:rPr>
      </w:pPr>
      <w:r>
        <w:rPr>
          <w:rFonts w:hint="eastAsia" w:ascii="宋体" w:hAnsi="宋体" w:eastAsia="宋体" w:cs="Times New Roman"/>
          <w:b/>
          <w:bCs/>
          <w:szCs w:val="21"/>
        </w:rPr>
        <w:t>3.新自由主义经济思潮，简称“新自派”。</w:t>
      </w:r>
      <w:r>
        <w:rPr>
          <w:rFonts w:hint="eastAsia" w:ascii="宋体" w:hAnsi="宋体" w:eastAsia="宋体" w:cs="Times New Roman"/>
          <w:szCs w:val="21"/>
        </w:rPr>
        <w:t>国外的新自由主义坚决反对公有制，维护大资本、大垄断资本的利益，就是对垄断寡头也是不反对的。今天的美国和俄罗斯都有金融寡头，你反对不反对就显示出经济学的不同流派。国外的左翼学者和马克思主义学者一致指出，世界上被里根、撒切尔抬高的“新自由主义经济学”总体上是大垄断资本、大垄断资产阶级的一种经济理念、经济理论。</w:t>
      </w:r>
    </w:p>
    <w:p w14:paraId="5BC40E8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我觉得对西方经济学不要一起评价，新老“凯恩斯主义”基本上可以定位于马克思时代古典经济学的地位，尽管不能根本解决资本主义的问题，但是他们的不少理论和政策主张还是具有科学性的。对于资本主义来说是一种改良主义，但改良主义总比“新自由主义”要好。“新自由主义”尽管有各种派别，每个人的思想不完全一样，比如说科斯就比张五常要好多了，但总体上以弗里德曼等为代表的“新自由主义”相当于马克思时代的庸俗经济学，当然这不等于他们的所有观点都是错的、庸俗的。</w:t>
      </w:r>
    </w:p>
    <w:p w14:paraId="3FDF346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有人说“新自由主义”强调市场的作用。强调市场的作用，“凯恩斯主义”也没反对，现代马克思主义经济学也没有反对，不能因为强调市场，就说有科学性。这个又称保守主义的思潮强调市场过头了，以至于斯蒂格利茨、索罗斯都写文章批评“新自由主义”，认为他们是市场原教旨主义。我最后讲一个问题，现在仍然坚定的马克思主义经济学家本来就是改革的首创者和杰出的贡献者，现在成张冠李戴了，张冠李戴20多年了。我现在根据改革文献整理如下：（1）中国社科院于祖尧教授在1979年4月无锡全国价值规律讨论会上递交了一篇文章——《试论社会主义市场经济》，正式提出这个问题加以论证。我们光知道“吴市场”，不知道“于市场”。“于市场”比“吴市场”要早提10多年，张冠李戴了吧？（2）中国社科院顾问、学部委员刘国光教授是主张缩小指令式计划和市场取向改革的最早倡导者。有文字记载，1979年7月，他在一次体改研究会上明确指出要解放思想、按照分类标准来取舍，只要有利于生产力和生活水平都可以采用，没有什么政治帽子问题，市场机制是实行分权管理的重要手段……等等。80年代初，中央书记处看了这些材料以后，曾批评刘国光，让中国社科院党组帮助刘国光同志提高认识。刘国光说：“我这个提法现在提不大恰当，因为和中央的现在意图不完全一致，所以我是要检讨的。”等于没检查，意思是我话没错，只是我提的不是时候。（3）中国社科院财贸所原所长、学部委员杨圣明教授是最早提出要正确处理和同时重视公平与效率的第一位经济学家。1984年1月的论著中已作了阐述。（4）中央党校原副校长、经济学家苏星教授在《红旗》（现在叫《求是》）杂志1983年14期上发表了《论公司制度》，明确提出：社会主义大生产理应搞股份制等。书面提出股份制他是全国最早的一位。（5）杰出的经济学家、复旦大学《资本论》专家张薰华教授是我国土地管理体制的最早倡导者，1984、1985年就书面提出了。（6）中国社科院已故经济学家许涤新是我国第一个提出要重视生态环境，要建立生态经济学的马克思主义经济学家。1983年就发表了相应的论文，后来也写了书。</w:t>
      </w:r>
    </w:p>
    <w:p w14:paraId="08C969D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应当说“新马派”是中国改革、邓小平理论的坚决的支持者和忠实的执行者，是中国改革的首创者和杰出贡献者，现在继续朝着完善社会主义市场经济的方向努力工作。而新左派呢，总体上属于崔之元教授自称的小资产阶级社会主义学派。“新自由主义”实际上就是“新右派”，他们不会是全错，但不少观点确实会误导中国改革。新老“马克思主义学派”和“新左派”结成学术联盟，共同回应中外“新自由主义”。大家在网上可以看到，“新左派”也有相当的进步性，只是在理论和政策上还不够成熟和完善。</w:t>
      </w:r>
    </w:p>
    <w:p w14:paraId="08718D0E">
      <w:pPr>
        <w:spacing w:line="300" w:lineRule="auto"/>
        <w:ind w:firstLine="440" w:firstLineChars="200"/>
        <w:rPr>
          <w:rFonts w:ascii="宋体" w:hAnsi="宋体" w:eastAsia="宋体" w:cs="Times New Roman"/>
          <w:szCs w:val="21"/>
        </w:rPr>
      </w:pPr>
    </w:p>
    <w:p w14:paraId="5894063D">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（原载《上海市经济管理干部学院学报》2007年第2期）</w:t>
      </w:r>
    </w:p>
    <w:p w14:paraId="27939B36">
      <w:pPr>
        <w:bidi w:val="0"/>
      </w:pPr>
      <w:r>
        <w:br w:type="page"/>
      </w:r>
    </w:p>
    <w:p w14:paraId="168CD9F7">
      <w:pPr>
        <w:keepNext/>
        <w:keepLines/>
        <w:widowControl/>
        <w:adjustRightInd w:val="0"/>
        <w:snapToGrid w:val="0"/>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663" w:name="_Toc111193666"/>
      <w:bookmarkStart w:id="664" w:name="_Toc15335"/>
      <w:bookmarkStart w:id="665" w:name="_Toc1344479567"/>
      <w:bookmarkStart w:id="666" w:name="_Toc880421201"/>
      <w:r>
        <w:rPr>
          <w:rFonts w:hint="eastAsia" w:ascii="黑体" w:hAnsi="黑体" w:eastAsia="黑体" w:cs="Times New Roman"/>
          <w:kern w:val="0"/>
          <w:sz w:val="32"/>
          <w:szCs w:val="32"/>
        </w:rPr>
        <w:t>5</w:t>
      </w:r>
      <w:r>
        <w:rPr>
          <w:rFonts w:ascii="黑体" w:hAnsi="黑体" w:eastAsia="黑体" w:cs="Times New Roman"/>
          <w:kern w:val="0"/>
          <w:sz w:val="32"/>
          <w:szCs w:val="32"/>
        </w:rPr>
        <w:t>.</w:t>
      </w:r>
      <w:r>
        <w:rPr>
          <w:rFonts w:hint="eastAsia" w:ascii="黑体" w:hAnsi="黑体" w:eastAsia="黑体" w:cs="Times New Roman"/>
          <w:kern w:val="0"/>
          <w:sz w:val="32"/>
          <w:szCs w:val="32"/>
        </w:rPr>
        <w:t>警惕外贸招降战</w:t>
      </w:r>
      <w:bookmarkEnd w:id="663"/>
      <w:bookmarkEnd w:id="664"/>
      <w:bookmarkEnd w:id="665"/>
      <w:bookmarkEnd w:id="666"/>
    </w:p>
    <w:p w14:paraId="0AC3D561">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最近几年来外商特别是跨国公司在中国的投资战略发生了重大的变化。其中一个非常突出的特点是外资加快兼并和收购我国的行业龙头企业，特别是国有大型企业。这方面的案例越来越多，仅我国装备制造工业中就有10多个重点企业被并购。</w:t>
      </w:r>
    </w:p>
    <w:p w14:paraId="58BBE59C">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在被外资并购的过程中，已经出现了种种问题。这些原先发展势头很好的重点企业、龙头企业、行业排头兵企业纷纷被外资并购、控股，从而一下子失去了自主创新权，丧失了优质资产、技术力量、品牌和市场，致使多年来通过自主研发培养的技术团队和技术能力被外资控制和利用甚至消解，企业的巨额利润随之外流，企业和产品的品牌价值一下子也被外商侵吞而荡然无存，这日趋引起高层领导，经济界和社会上的高度关注。</w:t>
      </w:r>
    </w:p>
    <w:p w14:paraId="208D070F">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目前正处于审批过程中的美国私人股本集团——凯雷集团(CarlyleGroup)并购我国徐州工程机械集团(以下简称徐工机械)事件，便是一个十分典型的案例。</w:t>
      </w:r>
    </w:p>
    <w:p w14:paraId="7F3AE5F4">
      <w:pPr>
        <w:adjustRightInd w:val="0"/>
        <w:spacing w:before="147" w:beforeLines="50" w:after="147" w:afterLines="50" w:line="300" w:lineRule="auto"/>
        <w:ind w:firstLine="500" w:firstLineChars="200"/>
        <w:jc w:val="center"/>
        <w:rPr>
          <w:rFonts w:ascii="宋体" w:hAnsi="宋体" w:eastAsia="宋体" w:cs="宋体"/>
          <w:b/>
          <w:kern w:val="0"/>
          <w:sz w:val="24"/>
        </w:rPr>
      </w:pPr>
      <w:bookmarkStart w:id="667" w:name="_Toc16154_WPSOffice_Level3"/>
      <w:r>
        <w:rPr>
          <w:rFonts w:hint="eastAsia" w:ascii="宋体" w:hAnsi="宋体" w:eastAsia="宋体" w:cs="宋体"/>
          <w:b/>
          <w:kern w:val="0"/>
          <w:sz w:val="24"/>
        </w:rPr>
        <w:t>一、应加强对民族产业的保护</w:t>
      </w:r>
      <w:bookmarkEnd w:id="667"/>
    </w:p>
    <w:p w14:paraId="584FA6CC">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凯雷并购徐工案，是2005年底以来外资并购中国龙头企业的标杆性项目，因其审批过程中引发了民众大讨论而备受瞩目。</w:t>
      </w:r>
    </w:p>
    <w:p w14:paraId="24B155C8">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徐工机械无论是资产总额、年销售额，还是汽车起重机等主要产品的市场竞争力。在我国机械工业中都是名列前茅的。除工机械不仅是我国工程机械行业的排头兵，也是我国机械工业的龙头企业和优势企业，其在机械工业中所占的位置和份量非常重要。</w:t>
      </w:r>
    </w:p>
    <w:p w14:paraId="2BB04F78">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2006年，徐工集团以200亿元的营业收入名列我国工程机械企业第一。2007年，该企业的计划目标是：营业收入2483亿元，同比增长22.5%产品销售收入205.2亿元，同比增长17%。到2010年末，企业将继续保持国内行业的领先地位，成为国际市场的重要参与者和著名品牌，实现营业收入500亿元、销售收入300亿元、出口创汇10亿美元，进入国际工程机械企业前10名。</w:t>
      </w:r>
    </w:p>
    <w:p w14:paraId="488195C3">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2005年双方签署的交易协议一经披露，即引起轩然大波，社会舆论的焦点在于“外资并购中国龙头企业是否会威胁国家产业安全”，以及该交易中是否存在国有资产被“贱卖”。外资并购之所以在社会上引起如此广泛而深切的关注，成为当前一大热点问题，是因为这个问题的重要性和其中暴露出的问题太多，太严重了。这说明我国大中型国有企业改革、重组，引进外资工作缺乏理论论证和法律准备而误入歧途。</w:t>
      </w:r>
    </w:p>
    <w:p w14:paraId="5AD72EC0">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尽管在目前的修改协议中、美国凯雷方已作出很大让步和妥协，由绝对控股改为股权比例对等再到成为二股东。但是，我们认为，国家有关部门仍不应该批准这一并购案。</w:t>
      </w:r>
    </w:p>
    <w:p w14:paraId="68B31B15">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这是由于，问题的关键在于徐工是我国工程机械行业的标志性企业。我们要争的，不在于凯雷收购资金的多少和提供技术的先进与否，而是要争我国工程机械行业发展的主导权，是争我国产业安全和发展我们自己的国际著名品牌。如果外资并购徐工实现了，就等于开了一个危险的口子，表示同行业和其他制造业的骨干企业都可以仿效徐工让外资并购。我国数十年积累的全部民族工业基础将对外资不再设防，都会被外资控制。</w:t>
      </w:r>
    </w:p>
    <w:p w14:paraId="6743CCD6">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这样下去，我国的民族企业必将彻底沦为外国资本的附庸。况且装备制造业是我国的国家战略产业，是突破国外技术封锁、建立强大军事工业的基础。徐工的许多产品，如推土机、装载机、塔机等，是外国品牌无法进入中国市场的。有些外国产品如砼机械已被我国企业挤出中国市场。</w:t>
      </w:r>
    </w:p>
    <w:p w14:paraId="281626C1">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徐工并购案发生的背景，是国外资本在强攻不能进入我国工程机械市场的情况下，采用“招降”的战术，想趁中国国企改革之机通过收购来整合和控制中国的工程机械产业。为此不惜作出让步，并由美国政府高层人士来华说项，其中的政治意图不言而喻。凯雷并购徐工实际上是外资控制和摧毁中国工程机械产业的一个战略步骤，可能造成骨牌效应，摧垮中国的全部民族工程机械工业乃至整个民族工业。</w:t>
      </w:r>
    </w:p>
    <w:p w14:paraId="246E3A0B">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近20年来我国企业与外资合资的事实表明，已经发生的外资对我国境内企业的并购案，并购者往往会解散被并购企业的研发团队，消灭其研发力量，消灭中国企业的自主品牌。最近几年来的外资并购案中，如“南孚电池”、“无锡威孚”等案例，充分说明了外资并购我国龙头企业的真实目的。</w:t>
      </w:r>
    </w:p>
    <w:p w14:paraId="5C356B55">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我国目前具有世界上最大的建筑工程量，而且预计来来我国肯定还会有世界上最大的建筑工程量。一旦徐工被外资并购，进而我国建筑工程机械工业被外资控制，到那时我们搞筑的重型机械都得出高价向外商购买，到那时才会真正体会到这种外资并购所带来的巨大危害。</w:t>
      </w:r>
    </w:p>
    <w:p w14:paraId="6DFE9143">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为此，我们应重视社会强烈关注的外资并购，清醒认识外资并购我国龙头企业的意图。那种认为被外资整合可以实现自身更好发展的想法是不切实际的幻想，尚且不管被外资整合的企业是否还是民族企业，事实上中国发展势头很好的企业恰恰都是实现自主主导，注重自主创新，力求整合外企的企业，而不是国内合资企业。那种认为被外资整合并没有减少财政税收收入和企业职工工资收入的想法是有局限性的，忽视了企业的巨额利润和未来现金流被外商永久获取，也放松了对企业实际控制人为获取自身眼前利益而牺牲企业长远利益的监管。</w:t>
      </w:r>
    </w:p>
    <w:p w14:paraId="4563AEEE">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总之，企图以外资整合民族企业发展国民经济，没有民族企业的发展和强大，就不可能尽快实现强国富民。我们呼吁政府应立即采取措施，重视国家产业安全，切实加强对民族产业的保护，尽快建立外资并购风险防范机制。</w:t>
      </w:r>
    </w:p>
    <w:p w14:paraId="4B908E16">
      <w:pPr>
        <w:adjustRightInd w:val="0"/>
        <w:spacing w:before="147" w:beforeLines="50" w:after="147" w:afterLines="50" w:line="300" w:lineRule="auto"/>
        <w:ind w:firstLine="500" w:firstLineChars="200"/>
        <w:jc w:val="center"/>
        <w:rPr>
          <w:rFonts w:ascii="宋体" w:hAnsi="宋体" w:eastAsia="宋体" w:cs="宋体"/>
          <w:b/>
          <w:kern w:val="0"/>
          <w:sz w:val="24"/>
        </w:rPr>
      </w:pPr>
      <w:bookmarkStart w:id="668" w:name="_Toc24622_WPSOffice_Level3"/>
      <w:r>
        <w:rPr>
          <w:rFonts w:hint="eastAsia" w:ascii="宋体" w:hAnsi="宋体" w:eastAsia="宋体" w:cs="宋体"/>
          <w:b/>
          <w:kern w:val="0"/>
          <w:sz w:val="24"/>
        </w:rPr>
        <w:t>二、建议</w:t>
      </w:r>
      <w:bookmarkEnd w:id="668"/>
    </w:p>
    <w:p w14:paraId="70D8127E">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为此，我们认为国家应采取以下措施保护我们的民族产业安全：</w:t>
      </w:r>
    </w:p>
    <w:p w14:paraId="5A74F688">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其一，凯雷并购徐工案不符合国家产业政策的有关规定，损害我国产业安全，因而支持凯雷并购徐工的理由不能成立。国务院有关部门应从国家利益出发，不同意批准此项并购案。</w:t>
      </w:r>
    </w:p>
    <w:p w14:paraId="2C785C5B">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其二，必须及时扭转把“吸收国外战略投资者”作为大型国企改制主要途径的思路，取消政府考核指标中的引资内容。应强调大型国企改革主要应用好国内资源解决资金问题；通过对外并购、自主研发和技术引进等途径实现技术进步。</w:t>
      </w:r>
    </w:p>
    <w:p w14:paraId="46793C64">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其三，在此案中，凯雷利用地方政府急于招商引资的心态，投其所好，编造了一个庞大的无约束力的招商引资计划作为招标条件，构成出实国企的理由。应从中吸取教训，尽快制定国企改制中国有资产产权交易程序和细则，完善交易监管体系。</w:t>
      </w:r>
    </w:p>
    <w:p w14:paraId="2883A2E5">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其四，尽快建立国家战略利益管理机制，包括：制定国家必须控制的产业和企业名录，并将这些企业改制的权力上收；建立外资并购我国内资企业的案例监测预警机制，如进行广泛的专家听证，完善政府机构的严格审查制度，推行制度化的民意测验和舆论监督。</w:t>
      </w:r>
    </w:p>
    <w:p w14:paraId="797D9D1F">
      <w:pPr>
        <w:widowControl/>
        <w:adjustRightIn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其五，加紧完善和制订《反不正当竞争法》、《反垄断法》等法律，用法律保护中国产业安全。</w:t>
      </w:r>
    </w:p>
    <w:p w14:paraId="426E83A9">
      <w:pPr>
        <w:widowControl/>
        <w:adjustRightInd w:val="0"/>
        <w:snapToGrid w:val="0"/>
        <w:spacing w:line="300" w:lineRule="auto"/>
        <w:ind w:firstLine="440" w:firstLineChars="200"/>
        <w:rPr>
          <w:rFonts w:ascii="宋体" w:hAnsi="宋体" w:eastAsia="宋体" w:cs="Times New Roman"/>
          <w:kern w:val="0"/>
          <w:szCs w:val="21"/>
        </w:rPr>
      </w:pPr>
    </w:p>
    <w:p w14:paraId="291F5D40">
      <w:pPr>
        <w:widowControl/>
        <w:adjustRightInd w:val="0"/>
        <w:snapToGri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（原载于《上海国资》2007年第4期，第二作者为李炳炎）</w:t>
      </w:r>
    </w:p>
    <w:p w14:paraId="2B8BE7F7">
      <w:pPr>
        <w:widowControl/>
        <w:adjustRightInd w:val="0"/>
        <w:snapToGrid w:val="0"/>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br w:type="page"/>
      </w:r>
    </w:p>
    <w:p w14:paraId="0546DF22">
      <w:pPr>
        <w:keepNext/>
        <w:keepLines/>
        <w:widowControl/>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669" w:name="_Toc4551"/>
      <w:bookmarkStart w:id="670" w:name="_Toc111193667"/>
      <w:bookmarkStart w:id="671" w:name="_Toc845148835"/>
      <w:bookmarkStart w:id="672" w:name="_Toc1076797377"/>
      <w:r>
        <w:rPr>
          <w:rFonts w:hint="eastAsia" w:ascii="黑体" w:hAnsi="黑体" w:eastAsia="黑体" w:cs="Times New Roman"/>
          <w:kern w:val="0"/>
          <w:sz w:val="32"/>
          <w:szCs w:val="32"/>
        </w:rPr>
        <w:t>6.由《大国崛起》引发的一点思考</w:t>
      </w:r>
      <w:bookmarkEnd w:id="669"/>
      <w:bookmarkEnd w:id="670"/>
      <w:bookmarkEnd w:id="671"/>
      <w:bookmarkEnd w:id="672"/>
    </w:p>
    <w:p w14:paraId="75502FFA">
      <w:pPr>
        <w:spacing w:line="300" w:lineRule="auto"/>
        <w:ind w:firstLine="440" w:firstLineChars="200"/>
        <w:rPr>
          <w:rFonts w:ascii="宋体" w:hAnsi="宋体" w:eastAsia="宋体" w:cs="宋体"/>
          <w:szCs w:val="21"/>
        </w:rPr>
      </w:pPr>
      <w:r>
        <w:rPr>
          <w:rFonts w:hint="eastAsia" w:ascii="宋体" w:hAnsi="宋体" w:eastAsia="宋体" w:cs="宋体"/>
          <w:szCs w:val="21"/>
        </w:rPr>
        <w:t>最近,《大国崛起》这个电视纪录片很受关注。我觉得,“大国崛起”这个题目是应当研究,可以写的,但关键是做到完整准确。从目前的这个纪录片来看,有两点值得注意:其一,《大国崛起》中提到的九个大国,有些并不是“大国”,而是强国,所以,准确地说应该是“强国崛起”,而不是“大国崛起”。其二,如果光谈崛起,还不能给人家一个完整的概念,这里面如何科学地归类以及它们整个崛起的客观历程、动因可能反映得还不够全面,因而理应完整地描述强国兴衰或者国家兴衰,揭示其兴衰的多变原因。例如,同样是搞资本主义宪政,一个国家为什么先兴后又衰了?如果不全面地勾画,那么从知识角度、传播角度来说可能就不够完整。它兴的原因是什么?往往讲内因的时候,只讲自由、民主或者加上技术创新多一些,简单来说就是宪政制度和科学技术,这两条讲得比较多,最多再讲到文化、文艺复兴等。我认为,应全面分析强国的兴与衰,以及兴衰的外因和内因之间的互动,这样才能比较完整。</w:t>
      </w:r>
    </w:p>
    <w:p w14:paraId="1F3D0A6C">
      <w:pPr>
        <w:spacing w:line="300" w:lineRule="auto"/>
        <w:ind w:firstLine="440" w:firstLineChars="200"/>
        <w:rPr>
          <w:rFonts w:ascii="宋体" w:hAnsi="宋体" w:eastAsia="宋体" w:cs="宋体"/>
          <w:szCs w:val="21"/>
        </w:rPr>
      </w:pPr>
      <w:r>
        <w:rPr>
          <w:rFonts w:hint="eastAsia" w:ascii="宋体" w:hAnsi="宋体" w:eastAsia="宋体" w:cs="宋体"/>
          <w:szCs w:val="21"/>
        </w:rPr>
        <w:t>当然,这样问题就复杂了,必须从诸多因素、诸多方面来观察。同一个制度,为什么靠这个制度兴,又会因这个制度衰呢?如果仅仅讲它崛起,到崛起为止,对它如何衰的方面不谈的话,那么有关制度的真实分析就不够深入,不够辩证。所以,我认为,《大国崛起》电视片还是很有修改余地的。其实我们也看到,世界上目前存在的有些国家,也是属于小而强的,比如说以色列。以色列很小,但是它几十年就变成强国了,什么原因?比如说,这与他们有浓厚的社会主义理念有关,不管是不是正宗的马克思主义的社会主义,但至少是比较接近于马克思主义的社会主义。这个观念和发展观确实起了很大作用。还有,它至少也和推行比较标准的合作制这样一个经济制度密切相关,以及和它非常重视科技、重视人才、重视教育密切相关。当然它还有外部因素,和美国的大力扶持有关等等。总之,以色列的崛起是值得研究的。另外,新加坡也是很值得研究的,一个城市国家为什么会兴起,而且它是长期一党执政,它这个党执政了四五十年。新加坡兴起在观念和制度上,还受到美国自由主义政治家和学者的猛烈批评,认为它是独裁,不民主。为什么这样一个国家和制度也会兴起呢?也会变成一个小而优的国家呢?还有比较小的卢森堡、比利时,都是通过发展几个重要产业,在几个重要的产业和科技上领先,同时人文指数和人均收入也是比较高的,排在世界前列。这就是为何我关注的主题不是某几个大国的兴旺和崛起,而是国家兴衰。我们要找出一个国家兴衰的关键词或主要变量是什么。</w:t>
      </w:r>
    </w:p>
    <w:p w14:paraId="5E766DD2">
      <w:pPr>
        <w:spacing w:line="300" w:lineRule="auto"/>
        <w:ind w:firstLine="440" w:firstLineChars="200"/>
        <w:rPr>
          <w:rFonts w:ascii="宋体" w:hAnsi="宋体" w:eastAsia="宋体" w:cs="宋体"/>
          <w:szCs w:val="21"/>
        </w:rPr>
      </w:pPr>
      <w:r>
        <w:rPr>
          <w:rFonts w:hint="eastAsia" w:ascii="宋体" w:hAnsi="宋体" w:eastAsia="宋体" w:cs="宋体"/>
          <w:szCs w:val="21"/>
        </w:rPr>
        <w:t>在我看来,根据国家兴和衰普遍的发展轨迹、机制、规律,至少要充分满足以下五个条件其中之一,或者说有一个条件非常领先,那它就有可能兴。诚然,在不同的时代,各种变量所处的地位是不一样的。有关国家兴衰的五个关键词或变量,就是科技、制度、文教、军事和外交。</w:t>
      </w:r>
    </w:p>
    <w:p w14:paraId="6A0C6702">
      <w:pPr>
        <w:spacing w:line="300" w:lineRule="auto"/>
        <w:ind w:firstLine="440" w:firstLineChars="200"/>
        <w:rPr>
          <w:rFonts w:ascii="宋体" w:hAnsi="宋体" w:eastAsia="宋体" w:cs="宋体"/>
          <w:szCs w:val="21"/>
        </w:rPr>
      </w:pPr>
      <w:r>
        <w:rPr>
          <w:rFonts w:hint="eastAsia" w:ascii="宋体" w:hAnsi="宋体" w:eastAsia="宋体" w:cs="宋体"/>
          <w:szCs w:val="21"/>
        </w:rPr>
        <w:t>一是科技。科技和军事,究竟谁该列为首位?军事这一因素在古代和近代一定是第一位的,即使二战以后这个因素仍然是非常重要的。但是从长期来看,尤其因为我这里要概括的一般变量,不仅要解释历史,而且还要揭示今后人类社会几百年,甚至更长时期的发展规律,所以军事就不放在第一位了。同时,因为我们中国是主张和平强盛起来的,如果把军事放在第一位,那意味着中国发展的第一位要放在军事上了。可见,尽管我们并不否认军事因素在历史上的重大或决定性作用,但是这个历史现象我们并不满意,它是人类进步和文明不够的一个结果。人类越是进步和文明,军事因素越是应退到后面,直至不成为国家和人类发展的一个因素。因此,作为社会进步和现代国家兴衰的首因还是科技,它不仅推动生产力,使经济社会发展,而且会影响军事变革、战争方式等等。</w:t>
      </w:r>
    </w:p>
    <w:p w14:paraId="73212DB9">
      <w:pPr>
        <w:spacing w:line="300" w:lineRule="auto"/>
        <w:ind w:firstLine="440" w:firstLineChars="200"/>
        <w:rPr>
          <w:rFonts w:ascii="宋体" w:hAnsi="宋体" w:eastAsia="宋体" w:cs="宋体"/>
          <w:szCs w:val="21"/>
        </w:rPr>
      </w:pPr>
      <w:r>
        <w:rPr>
          <w:rFonts w:hint="eastAsia" w:ascii="宋体" w:hAnsi="宋体" w:eastAsia="宋体" w:cs="宋体"/>
          <w:szCs w:val="21"/>
        </w:rPr>
        <w:t>二是制度。其中涵盖经济制度、政治制度、科技管理制度等正负效应。我们从中国和印度的发展比较可以清晰地看到,由于中国共产党的执政,实行社会主义制度,而印度相当于国民党的国大党等执政几十年,实行以私有制为主体的资本主义制度,中印两个国家的发展绩效和强盛程度是反差明显的。另外,从战后日本和韩国的崛起,我们也可以看到“国家主导型市场经济体制”的重要作用。</w:t>
      </w:r>
    </w:p>
    <w:p w14:paraId="39D743B3">
      <w:pPr>
        <w:spacing w:line="300" w:lineRule="auto"/>
        <w:ind w:firstLine="440" w:firstLineChars="200"/>
        <w:rPr>
          <w:rFonts w:ascii="宋体" w:hAnsi="宋体" w:eastAsia="宋体" w:cs="宋体"/>
          <w:szCs w:val="21"/>
        </w:rPr>
      </w:pPr>
      <w:r>
        <w:rPr>
          <w:rFonts w:hint="eastAsia" w:ascii="宋体" w:hAnsi="宋体" w:eastAsia="宋体" w:cs="宋体"/>
          <w:szCs w:val="21"/>
        </w:rPr>
        <w:t>三是文教。它既可以包括思想、观念、价值观,也可以包括文化产业、教育产业等。观念、思想,肯定属于软实力或软功。文教产业至少部分属于软实力、软国力的范畴。这个变量的作用日趋明显。</w:t>
      </w:r>
    </w:p>
    <w:p w14:paraId="459CEA8C">
      <w:pPr>
        <w:spacing w:line="300" w:lineRule="auto"/>
        <w:ind w:firstLine="440" w:firstLineChars="200"/>
        <w:rPr>
          <w:rFonts w:ascii="宋体" w:hAnsi="宋体" w:eastAsia="宋体" w:cs="宋体"/>
          <w:szCs w:val="21"/>
        </w:rPr>
      </w:pPr>
      <w:r>
        <w:rPr>
          <w:rFonts w:hint="eastAsia" w:ascii="宋体" w:hAnsi="宋体" w:eastAsia="宋体" w:cs="宋体"/>
          <w:szCs w:val="21"/>
        </w:rPr>
        <w:t>四是军事。近现代以来的强国兴旺,大都是军事因素名列前茅。在目前国际强权政治和“新帝国”存在的世界格局中,作为真正爱好和平的国家也不得不建立防御性的军事力量。</w:t>
      </w:r>
    </w:p>
    <w:p w14:paraId="1CB69D57">
      <w:pPr>
        <w:spacing w:line="300" w:lineRule="auto"/>
        <w:ind w:firstLine="440" w:firstLineChars="200"/>
        <w:rPr>
          <w:rFonts w:ascii="宋体" w:hAnsi="宋体" w:eastAsia="宋体" w:cs="宋体"/>
          <w:szCs w:val="21"/>
        </w:rPr>
      </w:pPr>
      <w:r>
        <w:rPr>
          <w:rFonts w:hint="eastAsia" w:ascii="宋体" w:hAnsi="宋体" w:eastAsia="宋体" w:cs="宋体"/>
          <w:szCs w:val="21"/>
        </w:rPr>
        <w:t>五是外交。在中外历史上,政治、军事、经济和文化的对外交往,也对国家兴衰起着十分重要的作用。在未来的国际社会中,这个因素的意义越来越大。就外交的协调能力来说,当前日本时常不承认二战的侵略行为,实际上就失去了有效的外交能力,它要想变成强国来发挥作用就受阻,说明其外交协调上有问题,失去了外交优势,韩国等就不会支持它“入常”(即担任联合国常任理事国)。又如,当前中国对内倡导构建社会主义和谐社会,对外倡导构建合乎国际经济政治新秩序的和谐地区、和谐世界,开展多边和全方位的和平外交,在有所作为中发挥积极作用,这将有利于我国的强盛。</w:t>
      </w:r>
    </w:p>
    <w:p w14:paraId="7BC33BEB">
      <w:pPr>
        <w:spacing w:line="300" w:lineRule="auto"/>
        <w:ind w:firstLine="440" w:firstLineChars="200"/>
        <w:rPr>
          <w:rFonts w:ascii="宋体" w:hAnsi="宋体" w:eastAsia="宋体" w:cs="宋体"/>
          <w:szCs w:val="21"/>
        </w:rPr>
      </w:pPr>
    </w:p>
    <w:p w14:paraId="7AF42343">
      <w:pPr>
        <w:spacing w:line="300" w:lineRule="auto"/>
        <w:ind w:firstLine="440" w:firstLineChars="200"/>
        <w:rPr>
          <w:rFonts w:ascii="宋体" w:hAnsi="宋体" w:eastAsia="宋体" w:cs="宋体"/>
          <w:szCs w:val="21"/>
        </w:rPr>
      </w:pPr>
      <w:r>
        <w:rPr>
          <w:rFonts w:hint="eastAsia" w:ascii="宋体" w:hAnsi="宋体" w:eastAsia="宋体" w:cs="宋体"/>
          <w:szCs w:val="21"/>
        </w:rPr>
        <w:t>（原载于《领导之友》2007年第3期）</w:t>
      </w:r>
    </w:p>
    <w:p w14:paraId="2175F37A">
      <w:pPr>
        <w:spacing w:line="300" w:lineRule="auto"/>
        <w:ind w:firstLine="440" w:firstLineChars="200"/>
        <w:rPr>
          <w:rFonts w:ascii="宋体" w:hAnsi="宋体" w:eastAsia="宋体" w:cs="宋体"/>
          <w:szCs w:val="21"/>
        </w:rPr>
      </w:pPr>
    </w:p>
    <w:p w14:paraId="6A0D01C1">
      <w:pPr>
        <w:bidi w:val="0"/>
      </w:pPr>
      <w:r>
        <w:br w:type="page"/>
      </w:r>
    </w:p>
    <w:p w14:paraId="3733AA7E">
      <w:pPr>
        <w:pStyle w:val="3"/>
        <w:spacing w:before="0" w:after="0" w:line="400" w:lineRule="exact"/>
        <w:jc w:val="center"/>
        <w:rPr>
          <w:rFonts w:hint="default" w:ascii="黑体" w:hAnsi="黑体" w:eastAsia="黑体"/>
          <w:b w:val="0"/>
          <w:bCs w:val="0"/>
        </w:rPr>
      </w:pPr>
      <w:bookmarkStart w:id="673" w:name="_Toc111193668"/>
      <w:bookmarkStart w:id="674" w:name="_Toc6272"/>
      <w:bookmarkStart w:id="675" w:name="_Toc959628587"/>
      <w:bookmarkStart w:id="676" w:name="_Toc888821970"/>
      <w:r>
        <w:rPr>
          <w:rFonts w:ascii="黑体" w:hAnsi="黑体" w:eastAsia="黑体"/>
          <w:b w:val="0"/>
          <w:bCs w:val="0"/>
        </w:rPr>
        <w:t>7</w:t>
      </w:r>
      <w:r>
        <w:rPr>
          <w:rFonts w:hint="default" w:ascii="黑体" w:hAnsi="黑体" w:eastAsia="黑体"/>
          <w:b w:val="0"/>
          <w:bCs w:val="0"/>
        </w:rPr>
        <w:t>.</w:t>
      </w:r>
      <w:r>
        <w:rPr>
          <w:rFonts w:ascii="黑体" w:hAnsi="黑体" w:eastAsia="黑体"/>
          <w:b w:val="0"/>
          <w:bCs w:val="0"/>
        </w:rPr>
        <w:t>西方新制度经济理论与马克思主义制度经济理论比较</w:t>
      </w:r>
      <w:bookmarkEnd w:id="673"/>
      <w:bookmarkEnd w:id="674"/>
      <w:bookmarkEnd w:id="675"/>
      <w:bookmarkEnd w:id="676"/>
    </w:p>
    <w:p w14:paraId="112DCA54">
      <w:pPr>
        <w:spacing w:line="400" w:lineRule="exact"/>
        <w:ind w:firstLine="440" w:firstLineChars="200"/>
        <w:rPr>
          <w:rFonts w:ascii="宋体" w:hAnsi="宋体" w:eastAsia="宋体"/>
          <w:szCs w:val="21"/>
        </w:rPr>
      </w:pPr>
      <w:r>
        <w:rPr>
          <w:rFonts w:hint="eastAsia" w:ascii="宋体" w:hAnsi="宋体" w:eastAsia="宋体"/>
          <w:szCs w:val="21"/>
        </w:rPr>
        <w:t>内容提要本文首先分析西方新制度经济学派的成因及特点，接着阐述</w:t>
      </w:r>
      <w:r>
        <w:rPr>
          <w:rFonts w:ascii="宋体" w:hAnsi="宋体" w:eastAsia="宋体"/>
          <w:szCs w:val="21"/>
        </w:rPr>
        <w:t>马克思主义制度经济理论的基本分析框架，然后依次进行马克思与西方学者关于制度理论、产权制度理论和企业制度理论的若干比较。</w:t>
      </w:r>
    </w:p>
    <w:p w14:paraId="4FAD9037">
      <w:pPr>
        <w:spacing w:line="400" w:lineRule="exact"/>
        <w:ind w:firstLine="440" w:firstLineChars="200"/>
        <w:rPr>
          <w:rFonts w:ascii="宋体" w:hAnsi="宋体" w:eastAsia="宋体"/>
          <w:szCs w:val="21"/>
        </w:rPr>
      </w:pPr>
      <w:r>
        <w:rPr>
          <w:rFonts w:hint="eastAsia" w:ascii="宋体" w:hAnsi="宋体" w:eastAsia="宋体"/>
          <w:szCs w:val="21"/>
        </w:rPr>
        <w:t>关键词马克思主义制度经济理论西方新制度经济理论产权制度</w:t>
      </w:r>
      <w:r>
        <w:rPr>
          <w:rFonts w:ascii="宋体" w:hAnsi="宋体" w:eastAsia="宋体"/>
          <w:szCs w:val="21"/>
        </w:rPr>
        <w:t>企业制度</w:t>
      </w:r>
    </w:p>
    <w:p w14:paraId="5D42F5AF">
      <w:pPr>
        <w:spacing w:line="360" w:lineRule="auto"/>
        <w:jc w:val="center"/>
        <w:rPr>
          <w:rFonts w:ascii="宋体" w:hAnsi="宋体" w:eastAsia="宋体"/>
          <w:b/>
          <w:bCs/>
          <w:sz w:val="24"/>
        </w:rPr>
      </w:pPr>
      <w:r>
        <w:rPr>
          <w:rFonts w:hint="eastAsia" w:ascii="宋体" w:hAnsi="宋体" w:eastAsia="宋体"/>
          <w:b/>
          <w:bCs/>
          <w:sz w:val="24"/>
        </w:rPr>
        <w:t>一、西方新制度经济学派的成因及特点</w:t>
      </w:r>
    </w:p>
    <w:p w14:paraId="6A83814B">
      <w:pPr>
        <w:spacing w:line="400" w:lineRule="exact"/>
        <w:ind w:firstLine="440" w:firstLineChars="200"/>
        <w:rPr>
          <w:rFonts w:ascii="宋体" w:hAnsi="宋体" w:eastAsia="宋体"/>
          <w:szCs w:val="21"/>
        </w:rPr>
      </w:pPr>
      <w:r>
        <w:rPr>
          <w:rFonts w:hint="eastAsia" w:ascii="宋体" w:hAnsi="宋体" w:eastAsia="宋体"/>
          <w:szCs w:val="21"/>
        </w:rPr>
        <w:t>制度经济学是研究经济发展过程中的制度，或者说</w:t>
      </w:r>
      <w:r>
        <w:rPr>
          <w:rFonts w:ascii="宋体" w:hAnsi="宋体" w:eastAsia="宋体"/>
          <w:szCs w:val="21"/>
        </w:rPr>
        <w:t>，是研究制度因素与经济发展的关系问题。用不同的研究方法，站在不同的角度，运用不同的分析工具，从不同的立场出发来研究制度问题，当然就会有不同的观点，得出不同的结论。强调制度因素对于经济生活的重要性并非新制度经济学首创，古典经济学在一定程度上重视阶级关系和经济制度的探讨，是边际学派和马歇尔在综合中逐步抛弃了这一重要分析视角。后来，具有一定进步性的旧制度主义的主要代表凡勃伦，正式开创了制度经济学的研究。</w:t>
      </w:r>
    </w:p>
    <w:p w14:paraId="6633F9C6">
      <w:pPr>
        <w:spacing w:line="400" w:lineRule="exact"/>
        <w:ind w:firstLine="440" w:firstLineChars="200"/>
        <w:rPr>
          <w:rFonts w:ascii="宋体" w:hAnsi="宋体" w:eastAsia="宋体"/>
          <w:szCs w:val="21"/>
        </w:rPr>
      </w:pPr>
      <w:r>
        <w:rPr>
          <w:rFonts w:hint="eastAsia" w:ascii="宋体" w:hAnsi="宋体" w:eastAsia="宋体"/>
          <w:szCs w:val="21"/>
        </w:rPr>
        <w:t>凡勃伦认为，经济学研究的对象应该是人类经济生活中借以实现的各种</w:t>
      </w:r>
      <w:r>
        <w:rPr>
          <w:rFonts w:ascii="宋体" w:hAnsi="宋体" w:eastAsia="宋体"/>
          <w:szCs w:val="21"/>
        </w:rPr>
        <w:t>制度，研究这些制度的起源和发展。他认为，经济制度与人类的文化一样，经历了许多个演变的阶段，世界上并不存在一种普遍的经济制度，而是有许多形态的各种制度。凡勃伦将制度定义为大多数人所共有的一些固定的思维习惯因此，从心理学的方面来说，可以概括地把制度看成是一种流行的生活理论。制度必须随环境的变化而变化，因为就制度的性质而言，它是对环境引起的刺激发生反映的一种习惯方式。正因为如此，人们把以凡勃伦为首的制度经济学派称之为社会心理学派。</w:t>
      </w:r>
    </w:p>
    <w:p w14:paraId="4480B655">
      <w:pPr>
        <w:spacing w:line="400" w:lineRule="exact"/>
        <w:ind w:firstLine="440" w:firstLineChars="200"/>
        <w:rPr>
          <w:rFonts w:ascii="宋体" w:hAnsi="宋体" w:eastAsia="宋体"/>
          <w:szCs w:val="21"/>
        </w:rPr>
      </w:pPr>
      <w:r>
        <w:rPr>
          <w:rFonts w:hint="eastAsia" w:ascii="宋体" w:hAnsi="宋体" w:eastAsia="宋体"/>
          <w:szCs w:val="21"/>
        </w:rPr>
        <w:t>凡勃伦把生物进化的规律引进经济学的分析</w:t>
      </w:r>
      <w:r>
        <w:rPr>
          <w:rFonts w:ascii="宋体" w:hAnsi="宋体" w:eastAsia="宋体"/>
          <w:szCs w:val="21"/>
        </w:rPr>
        <w:t>，他认为，由于生物的进化是</w:t>
      </w:r>
      <w:r>
        <w:rPr>
          <w:rFonts w:hint="eastAsia" w:ascii="宋体" w:hAnsi="宋体" w:eastAsia="宋体"/>
          <w:szCs w:val="21"/>
        </w:rPr>
        <w:t>逐渐演变的，因此，制度的进化也是逐渐演变的，而不是突变的。制度的演变</w:t>
      </w:r>
      <w:r>
        <w:rPr>
          <w:rFonts w:ascii="宋体" w:hAnsi="宋体" w:eastAsia="宋体"/>
          <w:szCs w:val="21"/>
        </w:rPr>
        <w:t>是一个永不结束的过程，而且变化的趋向和进化的将来形态都是不能预期的。</w:t>
      </w:r>
    </w:p>
    <w:p w14:paraId="2ED6AEBE">
      <w:pPr>
        <w:spacing w:line="400" w:lineRule="exact"/>
        <w:ind w:firstLine="440" w:firstLineChars="200"/>
        <w:rPr>
          <w:rFonts w:ascii="宋体" w:hAnsi="宋体" w:eastAsia="宋体"/>
          <w:szCs w:val="21"/>
        </w:rPr>
      </w:pPr>
      <w:r>
        <w:rPr>
          <w:rFonts w:hint="eastAsia" w:ascii="宋体" w:hAnsi="宋体" w:eastAsia="宋体"/>
          <w:szCs w:val="21"/>
        </w:rPr>
        <w:t>凡勃伦把人类经济生活中的制度分成两个主要制度：一个是满足人类物</w:t>
      </w:r>
      <w:r>
        <w:rPr>
          <w:rFonts w:ascii="宋体" w:hAnsi="宋体" w:eastAsia="宋体"/>
          <w:szCs w:val="21"/>
        </w:rPr>
        <w:t>质生活的生产技术制度；一个是私有财产制度。在社会经济发展的不同阶段，这两个制度具有不同的具体形式。在资本主义社会，这两个制度的具体形式是</w:t>
      </w:r>
      <w:r>
        <w:rPr>
          <w:rFonts w:hint="eastAsia" w:ascii="宋体" w:hAnsi="宋体" w:eastAsia="宋体"/>
          <w:szCs w:val="21"/>
        </w:rPr>
        <w:t>“</w:t>
      </w:r>
      <w:r>
        <w:rPr>
          <w:rFonts w:ascii="宋体" w:hAnsi="宋体" w:eastAsia="宋体"/>
          <w:szCs w:val="21"/>
        </w:rPr>
        <w:t>工业技术制度”和</w:t>
      </w:r>
      <w:r>
        <w:rPr>
          <w:rFonts w:hint="eastAsia" w:ascii="宋体" w:hAnsi="宋体" w:eastAsia="宋体"/>
          <w:szCs w:val="21"/>
        </w:rPr>
        <w:t>“</w:t>
      </w:r>
      <w:r>
        <w:rPr>
          <w:rFonts w:ascii="宋体" w:hAnsi="宋体" w:eastAsia="宋体"/>
          <w:szCs w:val="21"/>
        </w:rPr>
        <w:t>企业经营制度</w:t>
      </w:r>
      <w:r>
        <w:rPr>
          <w:rFonts w:hint="eastAsia" w:ascii="宋体" w:hAnsi="宋体" w:eastAsia="宋体"/>
          <w:szCs w:val="21"/>
        </w:rPr>
        <w:t>”</w:t>
      </w:r>
      <w:r>
        <w:rPr>
          <w:rFonts w:ascii="宋体" w:hAnsi="宋体" w:eastAsia="宋体"/>
          <w:szCs w:val="21"/>
        </w:rPr>
        <w:t>机器在工业生产中的利用是现代经济的决定性的因素。机器利用的目的是无限止地生产商品。但是，私有制下的</w:t>
      </w:r>
      <w:r>
        <w:rPr>
          <w:rFonts w:hint="eastAsia" w:ascii="宋体" w:hAnsi="宋体" w:eastAsia="宋体"/>
          <w:szCs w:val="21"/>
        </w:rPr>
        <w:t>“</w:t>
      </w:r>
      <w:r>
        <w:rPr>
          <w:rFonts w:ascii="宋体" w:hAnsi="宋体" w:eastAsia="宋体"/>
          <w:szCs w:val="21"/>
        </w:rPr>
        <w:t>企业经营制度”的目的是实现最大化的利润。因而这两者之间是存在矛盾的。要消除这两种制度之间的对立，凡勃伦提出的一个设想就是，用一个由工程师、科学家和技术专家组成的</w:t>
      </w:r>
      <w:r>
        <w:rPr>
          <w:rFonts w:hint="eastAsia" w:ascii="宋体" w:hAnsi="宋体" w:eastAsia="宋体"/>
          <w:szCs w:val="21"/>
        </w:rPr>
        <w:t>“</w:t>
      </w:r>
      <w:r>
        <w:rPr>
          <w:rFonts w:ascii="宋体" w:hAnsi="宋体" w:eastAsia="宋体"/>
          <w:szCs w:val="21"/>
        </w:rPr>
        <w:t>技术人</w:t>
      </w:r>
      <w:r>
        <w:rPr>
          <w:rFonts w:hint="eastAsia" w:ascii="宋体" w:hAnsi="宋体" w:eastAsia="宋体"/>
          <w:szCs w:val="21"/>
        </w:rPr>
        <w:t>员委员会</w:t>
      </w:r>
      <w:r>
        <w:rPr>
          <w:rFonts w:ascii="宋体" w:hAnsi="宋体" w:eastAsia="宋体"/>
          <w:szCs w:val="21"/>
        </w:rPr>
        <w:t>”来领导，以消除</w:t>
      </w:r>
      <w:r>
        <w:rPr>
          <w:rFonts w:hint="eastAsia" w:ascii="宋体" w:hAnsi="宋体" w:eastAsia="宋体"/>
          <w:szCs w:val="21"/>
        </w:rPr>
        <w:t>“</w:t>
      </w:r>
      <w:r>
        <w:rPr>
          <w:rFonts w:ascii="宋体" w:hAnsi="宋体" w:eastAsia="宋体"/>
          <w:szCs w:val="21"/>
        </w:rPr>
        <w:t>工业技术制度”和</w:t>
      </w:r>
      <w:r>
        <w:rPr>
          <w:rFonts w:hint="eastAsia" w:ascii="宋体" w:hAnsi="宋体" w:eastAsia="宋体"/>
          <w:szCs w:val="21"/>
        </w:rPr>
        <w:t>“</w:t>
      </w:r>
      <w:r>
        <w:rPr>
          <w:rFonts w:ascii="宋体" w:hAnsi="宋体" w:eastAsia="宋体"/>
          <w:szCs w:val="21"/>
        </w:rPr>
        <w:t>企业经营制度”的对立，解决生产和经营的矛盾，从而使机器得到更好的利用。</w:t>
      </w:r>
    </w:p>
    <w:p w14:paraId="2C6AF917">
      <w:pPr>
        <w:spacing w:line="400" w:lineRule="exact"/>
        <w:ind w:firstLine="440" w:firstLineChars="200"/>
        <w:rPr>
          <w:rFonts w:ascii="宋体" w:hAnsi="宋体" w:eastAsia="宋体"/>
          <w:szCs w:val="21"/>
        </w:rPr>
      </w:pPr>
      <w:r>
        <w:rPr>
          <w:rFonts w:hint="eastAsia" w:ascii="宋体" w:hAnsi="宋体" w:eastAsia="宋体"/>
          <w:szCs w:val="21"/>
        </w:rPr>
        <w:t>旧制度主义的另一位主要代表康芒斯以法律的观点来解释社会经济关</w:t>
      </w:r>
      <w:r>
        <w:rPr>
          <w:rFonts w:ascii="宋体" w:hAnsi="宋体" w:eastAsia="宋体"/>
          <w:szCs w:val="21"/>
        </w:rPr>
        <w:t>系。他认为，经济关系的本质是交易，整个社会是由无数种交易所组成的一种有机组织。由于参加交易的任何一方都有自己的利益，所以在交易过程中会有双方的利益冲突，这种冲突只有依靠法律制度才能解决。康芒斯特别强调法律制度对于经济制度变化所起的作用，并以此为基础，构建起他的制度经济理论。对后继者研究有启迪作用的核心观点体现在三个方面：第一，关于所有权的交易关系。康芒斯认为</w:t>
      </w:r>
      <w:r>
        <w:rPr>
          <w:rFonts w:hint="eastAsia" w:ascii="宋体" w:hAnsi="宋体" w:eastAsia="宋体"/>
          <w:szCs w:val="21"/>
        </w:rPr>
        <w:t>“</w:t>
      </w:r>
      <w:r>
        <w:rPr>
          <w:rFonts w:ascii="宋体" w:hAnsi="宋体" w:eastAsia="宋体"/>
          <w:szCs w:val="21"/>
        </w:rPr>
        <w:t>所有权”是制度经济学的基础，物质和所有权的相互关系，是体现在一种经济活动的单</w:t>
      </w:r>
      <w:r>
        <w:rPr>
          <w:rFonts w:hint="eastAsia" w:ascii="宋体" w:hAnsi="宋体" w:eastAsia="宋体"/>
          <w:szCs w:val="21"/>
        </w:rPr>
        <w:t>位——“交易</w:t>
      </w:r>
      <w:r>
        <w:rPr>
          <w:rFonts w:ascii="宋体" w:hAnsi="宋体" w:eastAsia="宋体"/>
          <w:szCs w:val="21"/>
        </w:rPr>
        <w:t>”里，以及那种对有利的交易的预期里。康芒斯认为，冲突、依存和秩序构成人类所有活动的三项基本原则，能够同时体现这三项原则的人与人之间关系的只有</w:t>
      </w:r>
      <w:r>
        <w:rPr>
          <w:rFonts w:hint="eastAsia" w:ascii="宋体" w:hAnsi="宋体" w:eastAsia="宋体"/>
          <w:szCs w:val="21"/>
        </w:rPr>
        <w:t>“</w:t>
      </w:r>
      <w:r>
        <w:rPr>
          <w:rFonts w:ascii="宋体" w:hAnsi="宋体" w:eastAsia="宋体"/>
          <w:szCs w:val="21"/>
        </w:rPr>
        <w:t>交易关系</w:t>
      </w:r>
      <w:r>
        <w:rPr>
          <w:rFonts w:hint="eastAsia" w:ascii="宋体" w:hAnsi="宋体" w:eastAsia="宋体"/>
          <w:szCs w:val="21"/>
        </w:rPr>
        <w:t>”。</w:t>
      </w:r>
      <w:r>
        <w:rPr>
          <w:rFonts w:ascii="宋体" w:hAnsi="宋体" w:eastAsia="宋体"/>
          <w:szCs w:val="21"/>
        </w:rPr>
        <w:t>第二，关于集体行动控制个体行动。康芒斯认为，制度经济学的范围非當广泛，如果我们要找出一种普遍的原则，适用于一切所谓属于制度的行为，那就可以把制度解释为集体行动控制个体行动。第三，关于法律先于经济。康芒斯从对社会经济发展的法学解释出发，得出了法律先于经济的论断。也就是说，作为所有权转移的</w:t>
      </w:r>
      <w:r>
        <w:rPr>
          <w:rFonts w:hint="eastAsia" w:ascii="宋体" w:hAnsi="宋体" w:eastAsia="宋体"/>
          <w:szCs w:val="21"/>
        </w:rPr>
        <w:t>“</w:t>
      </w:r>
      <w:r>
        <w:rPr>
          <w:rFonts w:ascii="宋体" w:hAnsi="宋体" w:eastAsia="宋体"/>
          <w:szCs w:val="21"/>
        </w:rPr>
        <w:t>交易关系”先于作为</w:t>
      </w:r>
      <w:r>
        <w:rPr>
          <w:rFonts w:hint="eastAsia" w:ascii="宋体" w:hAnsi="宋体" w:eastAsia="宋体"/>
          <w:szCs w:val="21"/>
        </w:rPr>
        <w:t>“</w:t>
      </w:r>
      <w:r>
        <w:rPr>
          <w:rFonts w:ascii="宋体" w:hAnsi="宋体" w:eastAsia="宋体"/>
          <w:szCs w:val="21"/>
        </w:rPr>
        <w:t>物质移交”的交换关系而存在。</w:t>
      </w:r>
    </w:p>
    <w:p w14:paraId="1EA11F3F">
      <w:pPr>
        <w:spacing w:line="400" w:lineRule="exact"/>
        <w:ind w:firstLine="440" w:firstLineChars="200"/>
        <w:rPr>
          <w:rFonts w:ascii="宋体" w:hAnsi="宋体" w:eastAsia="宋体"/>
          <w:szCs w:val="21"/>
        </w:rPr>
      </w:pPr>
      <w:r>
        <w:rPr>
          <w:rFonts w:ascii="宋体" w:hAnsi="宋体" w:eastAsia="宋体"/>
          <w:szCs w:val="21"/>
        </w:rPr>
        <w:t>20世纪初广泛发展起来的旧制度经济学，到了30年代以后走了一段下坡路。这一时期作为制度经济学的代表有贝利、米恩斯、艾尔斯、克拉克等人，他们继承了凡勃伦的理论传统，进一步发展了凡勃伦的制度经济学。在这一时期，制度经济学之所以趋于衰落，一方面是由于凯恩斯主义对经济发展的影响日益增大，它所主张的国家干预经济的政策为许多西方国家的政府所采用，但这一时期制度经济学派并没有提出具体解决经济危机和失业的有效措施。另一方面，在旧制度经济学奠定了制度经济规范和基本方法的基础以后，没有花大的力气去分析现存的经</w:t>
      </w:r>
      <w:r>
        <w:rPr>
          <w:rFonts w:hint="eastAsia" w:ascii="宋体" w:hAnsi="宋体" w:eastAsia="宋体"/>
          <w:szCs w:val="21"/>
        </w:rPr>
        <w:t>济政治制度的性质和功能。这就大大降低了制度</w:t>
      </w:r>
      <w:r>
        <w:rPr>
          <w:rFonts w:ascii="宋体" w:hAnsi="宋体" w:eastAsia="宋体"/>
          <w:szCs w:val="21"/>
        </w:rPr>
        <w:t>经济理论在这一时期经济发展实践中的影响。</w:t>
      </w:r>
    </w:p>
    <w:p w14:paraId="3E4E001D">
      <w:pPr>
        <w:spacing w:line="400" w:lineRule="exact"/>
        <w:ind w:firstLine="440" w:firstLineChars="200"/>
        <w:rPr>
          <w:rFonts w:ascii="宋体" w:hAnsi="宋体" w:eastAsia="宋体"/>
          <w:szCs w:val="21"/>
        </w:rPr>
      </w:pPr>
      <w:r>
        <w:rPr>
          <w:rFonts w:hint="eastAsia" w:ascii="宋体" w:hAnsi="宋体" w:eastAsia="宋体"/>
          <w:szCs w:val="21"/>
        </w:rPr>
        <w:t>第二次世界大战结束后，制度经济学发展到了</w:t>
      </w:r>
      <w:r>
        <w:rPr>
          <w:rFonts w:ascii="宋体" w:hAnsi="宋体" w:eastAsia="宋体"/>
          <w:szCs w:val="21"/>
        </w:rPr>
        <w:t>一个新的阶段，在内容上更加丰富，但同时也更加混杂，大致可作以下分类：一是以加尔布雷斯和缪尔达尔为主要代表的新制度主义，他们是凡勃伦理论的直接继承者，强烈批评社会现实和新古典的方法。二是以科斯、威廉姆森、张五常、艾尔奇安、德姆塞茨和诺斯等为主要代表的新制度经济学，他们既批评新古典经济学忽视制度因素的不切实际的做法，但又部分地利用新古典理论去分析制度的构成和运行。他们实际上受康芒斯的影响很大，在很大程度上继承了康芒斯的理论传统。他们的理论由三个彼此关系密切</w:t>
      </w:r>
      <w:r>
        <w:rPr>
          <w:rFonts w:hint="eastAsia" w:ascii="宋体" w:hAnsi="宋体" w:eastAsia="宋体"/>
          <w:szCs w:val="21"/>
        </w:rPr>
        <w:t>的学说组成，即企业制度理论、产权制度理论</w:t>
      </w:r>
      <w:r>
        <w:rPr>
          <w:rFonts w:ascii="宋体" w:hAnsi="宋体" w:eastAsia="宋体"/>
          <w:szCs w:val="21"/>
        </w:rPr>
        <w:t>和制度变迁理论。此外，以西蒙、马里斯等为主要代表的制度经济学，他们在风格上较接近于康芒斯和米契尔，而在观念上受到凡勃伦的影响较大。他们的主要特点是批评新古典经济学微观理论中对理性行为和企业追求利润最大化的基本假定，因而在某种程度上可划归到制度经济学理论中。</w:t>
      </w:r>
    </w:p>
    <w:p w14:paraId="73318C96">
      <w:pPr>
        <w:spacing w:line="400" w:lineRule="exact"/>
        <w:ind w:firstLine="440" w:firstLineChars="200"/>
        <w:rPr>
          <w:rFonts w:ascii="宋体" w:hAnsi="宋体" w:eastAsia="宋体"/>
          <w:szCs w:val="21"/>
        </w:rPr>
      </w:pPr>
      <w:r>
        <w:rPr>
          <w:rFonts w:hint="eastAsia" w:ascii="宋体" w:hAnsi="宋体" w:eastAsia="宋体"/>
          <w:szCs w:val="21"/>
        </w:rPr>
        <w:t>新制度经济学主张利用新古典经济学的方法去分析、解释制度的构成和</w:t>
      </w:r>
      <w:r>
        <w:rPr>
          <w:rFonts w:ascii="宋体" w:hAnsi="宋体" w:eastAsia="宋体"/>
          <w:szCs w:val="21"/>
        </w:rPr>
        <w:t>运行，并发现制度因素在经济体系运行中的地位和作用，寻求制度分析与新古典经济学分析的耦合，以建立一个涵盖资源、技术、偏好和制度，包括各种重要经济变量的经济学分析体系，其主要特点包括以下四个方面：</w:t>
      </w:r>
    </w:p>
    <w:p w14:paraId="4DCFB7FE">
      <w:pPr>
        <w:spacing w:line="400" w:lineRule="exact"/>
        <w:ind w:firstLine="440" w:firstLineChars="200"/>
        <w:rPr>
          <w:rFonts w:ascii="宋体" w:hAnsi="宋体" w:eastAsia="宋体"/>
          <w:szCs w:val="21"/>
        </w:rPr>
      </w:pPr>
      <w:r>
        <w:rPr>
          <w:rFonts w:hint="eastAsia" w:ascii="宋体" w:hAnsi="宋体" w:eastAsia="宋体"/>
          <w:szCs w:val="21"/>
        </w:rPr>
        <w:t>第一，十分强调制度及其功能。新制度经济学认为，制度的特征和内涵可</w:t>
      </w:r>
      <w:r>
        <w:rPr>
          <w:rFonts w:ascii="宋体" w:hAnsi="宋体" w:eastAsia="宋体"/>
          <w:szCs w:val="21"/>
        </w:rPr>
        <w:t>以概括为以下几点：一是制度是社会的游戏规则，它们能够约束人们的行为；二是制度包括外在的带有强制和惩罚性的规则，也包括内在带有自我约束性的规则；三是制度的功能在于它可以将人们的行为导入可合理预期的轨道。他们对制度的理解是包括法律和道德两个层面，把前者看成是</w:t>
      </w:r>
      <w:r>
        <w:rPr>
          <w:rFonts w:hint="eastAsia" w:ascii="宋体" w:hAnsi="宋体" w:eastAsia="宋体"/>
          <w:szCs w:val="21"/>
        </w:rPr>
        <w:t>“</w:t>
      </w:r>
      <w:r>
        <w:rPr>
          <w:rFonts w:ascii="宋体" w:hAnsi="宋体" w:eastAsia="宋体"/>
          <w:szCs w:val="21"/>
        </w:rPr>
        <w:t>正规约束”，把后者看成是</w:t>
      </w:r>
      <w:r>
        <w:rPr>
          <w:rFonts w:hint="eastAsia" w:ascii="宋体" w:hAnsi="宋体" w:eastAsia="宋体"/>
          <w:szCs w:val="21"/>
        </w:rPr>
        <w:t>“</w:t>
      </w:r>
      <w:r>
        <w:rPr>
          <w:rFonts w:ascii="宋体" w:hAnsi="宋体" w:eastAsia="宋体"/>
          <w:szCs w:val="21"/>
        </w:rPr>
        <w:t>非正规</w:t>
      </w:r>
      <w:r>
        <w:rPr>
          <w:rFonts w:hint="eastAsia" w:ascii="宋体" w:hAnsi="宋体" w:eastAsia="宋体"/>
          <w:szCs w:val="21"/>
        </w:rPr>
        <w:t>约束”</w:t>
      </w:r>
      <w:r>
        <w:rPr>
          <w:rFonts w:ascii="宋体" w:hAnsi="宋体" w:eastAsia="宋体"/>
          <w:szCs w:val="21"/>
        </w:rPr>
        <w:t>这两个层面的制度从外部和内部两个方面来约束人们的行为。</w:t>
      </w:r>
    </w:p>
    <w:p w14:paraId="679AC48F">
      <w:pPr>
        <w:spacing w:line="400" w:lineRule="exact"/>
        <w:ind w:firstLine="440" w:firstLineChars="200"/>
        <w:rPr>
          <w:rFonts w:ascii="宋体" w:hAnsi="宋体" w:eastAsia="宋体"/>
          <w:szCs w:val="21"/>
        </w:rPr>
      </w:pPr>
      <w:r>
        <w:rPr>
          <w:rFonts w:hint="eastAsia" w:ascii="宋体" w:hAnsi="宋体" w:eastAsia="宋体"/>
          <w:szCs w:val="21"/>
        </w:rPr>
        <w:t>第二，对新古典经济学的方法是批评与运用并存。新制度经济学既批评</w:t>
      </w:r>
      <w:r>
        <w:rPr>
          <w:rFonts w:ascii="宋体" w:hAnsi="宋体" w:eastAsia="宋体"/>
          <w:szCs w:val="21"/>
        </w:rPr>
        <w:t>新古典经济学忽视制度因素的不切实际的做法，但又部分地利用新古典理论和方法去分析制度的构成和运行。新制度经济学主张利用新古典经济学的某些方法去分析、解释制度的构成和运行，并发现制度因素在经济体系运行中的地位和作用，寻求制度分析与新古典经济学分析的耦合，以建立一个涵盖资源、技术、偏好和制度，包括各种重要经济变量的经济学分析体系。</w:t>
      </w:r>
    </w:p>
    <w:p w14:paraId="3156BE25">
      <w:pPr>
        <w:spacing w:line="400" w:lineRule="exact"/>
        <w:ind w:firstLine="440" w:firstLineChars="200"/>
        <w:rPr>
          <w:rFonts w:ascii="宋体" w:hAnsi="宋体" w:eastAsia="宋体"/>
          <w:szCs w:val="21"/>
        </w:rPr>
      </w:pPr>
      <w:r>
        <w:rPr>
          <w:rFonts w:hint="eastAsia" w:ascii="宋体" w:hAnsi="宋体" w:eastAsia="宋体"/>
          <w:szCs w:val="21"/>
        </w:rPr>
        <w:t>第三，主要是在较一般意义上研究制度。他们把制度与劳动、土地、资本</w:t>
      </w:r>
      <w:r>
        <w:rPr>
          <w:rFonts w:ascii="宋体" w:hAnsi="宋体" w:eastAsia="宋体"/>
          <w:szCs w:val="21"/>
        </w:rPr>
        <w:t>一起视为影响生产与交易成本的稀缺资源，比较重视制度与人们利益的关系，并认为生产要素私有制和市场制度是永恒优越的，把所有制的具体表现一一产权制度作为核心制度，强调其他制度的性质与特征主要是取决于产权制度的社会性质，没有科学揭示技术（生产力）与经济制度（生产关系）以及经济制度与国家制度和意识形态（上层建筑）的辩证关系，没有揭示阶级社会中各种根本制度背后的阶级关系及其利益。</w:t>
      </w:r>
    </w:p>
    <w:p w14:paraId="1D6FC863">
      <w:pPr>
        <w:spacing w:line="400" w:lineRule="exact"/>
        <w:ind w:firstLine="440" w:firstLineChars="200"/>
        <w:rPr>
          <w:rFonts w:ascii="宋体" w:hAnsi="宋体" w:eastAsia="宋体"/>
          <w:szCs w:val="21"/>
        </w:rPr>
      </w:pPr>
      <w:r>
        <w:rPr>
          <w:rFonts w:hint="eastAsia" w:ascii="宋体" w:hAnsi="宋体" w:eastAsia="宋体"/>
          <w:szCs w:val="21"/>
        </w:rPr>
        <w:t>第四，学术严谨性和方法科学性有重大差别。例如</w:t>
      </w:r>
      <w:r>
        <w:rPr>
          <w:rFonts w:ascii="宋体" w:hAnsi="宋体" w:eastAsia="宋体"/>
          <w:szCs w:val="21"/>
        </w:rPr>
        <w:t>，诺斯理论和方法的客观性相对较大，他强调是产权、国家和意识形态三个制度变量对经济增长起影响作用，并确认马克思经济学在制度的长期动态变动分析上作出了最有说服力的大贡献;威廉姆森关于企业变动是由生产技术费用和交易费用两种费用构成的总费用状况决定的理论，比科斯只从交易费用来说明企业的起源和扩展规模的看法，要来得科学些；科斯认为，以往有私有制与市场经济结合的经验，而有关公有制（社会主义）能否与市场经济结合，这一点目前还不能被证伪，这一总体看法比张五常矛盾百出</w:t>
      </w:r>
      <w:r>
        <w:rPr>
          <w:rFonts w:hint="eastAsia" w:ascii="宋体" w:hAnsi="宋体" w:eastAsia="宋体"/>
          <w:szCs w:val="21"/>
        </w:rPr>
        <w:t>的理论，要客观得多。</w:t>
      </w:r>
    </w:p>
    <w:p w14:paraId="7DBD6D47">
      <w:pPr>
        <w:spacing w:line="360" w:lineRule="auto"/>
        <w:jc w:val="center"/>
        <w:rPr>
          <w:rFonts w:ascii="宋体" w:hAnsi="宋体" w:eastAsia="宋体"/>
          <w:b/>
          <w:bCs/>
          <w:sz w:val="24"/>
        </w:rPr>
      </w:pPr>
      <w:r>
        <w:rPr>
          <w:rFonts w:hint="eastAsia" w:ascii="宋体" w:hAnsi="宋体" w:eastAsia="宋体"/>
          <w:b/>
          <w:bCs/>
          <w:sz w:val="24"/>
        </w:rPr>
        <w:t>二、马克思主义制度经济理论的基本分析框架</w:t>
      </w:r>
    </w:p>
    <w:p w14:paraId="475B5AF9">
      <w:pPr>
        <w:spacing w:line="400" w:lineRule="exact"/>
        <w:ind w:firstLine="440" w:firstLineChars="200"/>
        <w:rPr>
          <w:rFonts w:ascii="宋体" w:hAnsi="宋体" w:eastAsia="宋体"/>
          <w:szCs w:val="21"/>
        </w:rPr>
      </w:pPr>
      <w:r>
        <w:rPr>
          <w:rFonts w:hint="eastAsia" w:ascii="宋体" w:hAnsi="宋体" w:eastAsia="宋体"/>
          <w:szCs w:val="21"/>
        </w:rPr>
        <w:t>马克思主义经济学是以制度为研究对象的，新制度经济学也是以制度为</w:t>
      </w:r>
      <w:r>
        <w:rPr>
          <w:rFonts w:ascii="宋体" w:hAnsi="宋体" w:eastAsia="宋体"/>
          <w:szCs w:val="21"/>
        </w:rPr>
        <w:t>研究对象的。但是，研究对象上的相同并不意味着这两种理论的相同。从根本上说，这两种理论是建立在不同的世界观和价值观基础上的，因而它们研究的理论逻辑和得出的结论也是完全不同的。</w:t>
      </w:r>
    </w:p>
    <w:p w14:paraId="3DB5C2FD">
      <w:pPr>
        <w:spacing w:line="400" w:lineRule="exact"/>
        <w:ind w:firstLine="440" w:firstLineChars="200"/>
        <w:rPr>
          <w:rFonts w:ascii="宋体" w:hAnsi="宋体" w:eastAsia="宋体"/>
          <w:szCs w:val="21"/>
        </w:rPr>
      </w:pPr>
      <w:r>
        <w:rPr>
          <w:rFonts w:hint="eastAsia" w:ascii="宋体" w:hAnsi="宋体" w:eastAsia="宋体"/>
          <w:szCs w:val="21"/>
        </w:rPr>
        <w:t>马克思把经济制度的内涵明确地界定为是生产关系在法律上的反映，即</w:t>
      </w:r>
      <w:r>
        <w:rPr>
          <w:rFonts w:ascii="宋体" w:hAnsi="宋体" w:eastAsia="宋体"/>
          <w:szCs w:val="21"/>
        </w:rPr>
        <w:t>生产过程中人与人之间相互关系的法律规范。同时，马克思又对于制度赋予了更广泛的含义，他把制度视为得到社会认可的存在于各个方面的一系列规则。</w:t>
      </w:r>
    </w:p>
    <w:p w14:paraId="654AB40B">
      <w:pPr>
        <w:spacing w:line="400" w:lineRule="exact"/>
        <w:ind w:firstLine="440" w:firstLineChars="200"/>
        <w:rPr>
          <w:rFonts w:ascii="宋体" w:hAnsi="宋体" w:eastAsia="宋体"/>
          <w:szCs w:val="21"/>
        </w:rPr>
      </w:pPr>
      <w:r>
        <w:rPr>
          <w:rFonts w:hint="eastAsia" w:ascii="宋体" w:hAnsi="宋体" w:eastAsia="宋体"/>
          <w:szCs w:val="21"/>
        </w:rPr>
        <w:t>马克思把社会经济关系和经济制度作为分析的主要对象，在此基础上展</w:t>
      </w:r>
      <w:r>
        <w:rPr>
          <w:rFonts w:ascii="宋体" w:hAnsi="宋体" w:eastAsia="宋体"/>
          <w:szCs w:val="21"/>
        </w:rPr>
        <w:t>开对其他制度的研究。因为在马克思看来，社会经济制度是人们从事经济活动的最重要的制度，其他的一切制度都是由此决定并在此基础上展开的。因此，他认为经济学研究的任务就是在于揭示经济制度运动的规律。马克思在《资本论》第一版序言指出：</w:t>
      </w:r>
      <w:r>
        <w:rPr>
          <w:rFonts w:hint="eastAsia" w:ascii="宋体" w:hAnsi="宋体" w:eastAsia="宋体"/>
          <w:szCs w:val="21"/>
        </w:rPr>
        <w:t>“</w:t>
      </w:r>
      <w:r>
        <w:rPr>
          <w:rFonts w:ascii="宋体" w:hAnsi="宋体" w:eastAsia="宋体"/>
          <w:szCs w:val="21"/>
        </w:rPr>
        <w:t>我要在本书研究的，是资本主义生产方式以及和它相适应的生产关系和交换关系。”本书的最终目的就是揭示现代社会的经济运动规律。这里所说的现代社会经济运动规律，就是指的资本主义经济制度发生、发展与灭亡的运动规</w:t>
      </w:r>
      <w:r>
        <w:rPr>
          <w:rFonts w:hint="eastAsia" w:ascii="宋体" w:hAnsi="宋体" w:eastAsia="宋体"/>
          <w:szCs w:val="21"/>
        </w:rPr>
        <w:t>律。</w:t>
      </w:r>
    </w:p>
    <w:p w14:paraId="17FF53C8">
      <w:pPr>
        <w:spacing w:line="400" w:lineRule="exact"/>
        <w:ind w:firstLine="440" w:firstLineChars="200"/>
        <w:rPr>
          <w:rFonts w:ascii="宋体" w:hAnsi="宋体" w:eastAsia="宋体"/>
          <w:szCs w:val="21"/>
        </w:rPr>
      </w:pPr>
      <w:r>
        <w:rPr>
          <w:rFonts w:hint="eastAsia" w:ascii="宋体" w:hAnsi="宋体" w:eastAsia="宋体"/>
          <w:szCs w:val="21"/>
        </w:rPr>
        <w:t>马克思把生产资料的所有制作为社会经济制度的核心，因而对生产资料</w:t>
      </w:r>
      <w:r>
        <w:rPr>
          <w:rFonts w:ascii="宋体" w:hAnsi="宋体" w:eastAsia="宋体"/>
          <w:szCs w:val="21"/>
        </w:rPr>
        <w:t>所有制的研究是马克思制度经济理论中心内容和主线。以这一主线为中心，向两个方面展开对有关制度的分析：一方面是与生产力和经济发展直接相联系各项具体制度，包括劳动制度、资本制度、工厂制度、土地制度、管理制度、税收制度等；另一方面是与政治、法律、文化发展相联系的各项制度，包括国家制度、政治制度、法律制度等。</w:t>
      </w:r>
    </w:p>
    <w:p w14:paraId="20997A90">
      <w:pPr>
        <w:spacing w:line="400" w:lineRule="exact"/>
        <w:ind w:firstLine="440" w:firstLineChars="200"/>
        <w:rPr>
          <w:rFonts w:ascii="宋体" w:hAnsi="宋体" w:eastAsia="宋体"/>
          <w:szCs w:val="21"/>
        </w:rPr>
      </w:pPr>
      <w:r>
        <w:rPr>
          <w:rFonts w:hint="eastAsia" w:ascii="宋体" w:hAnsi="宋体" w:eastAsia="宋体"/>
          <w:szCs w:val="21"/>
        </w:rPr>
        <w:t>在对马克思主义制度经济理论的内涵做出以上界定的基础上，对制度的</w:t>
      </w:r>
      <w:r>
        <w:rPr>
          <w:rFonts w:ascii="宋体" w:hAnsi="宋体" w:eastAsia="宋体"/>
          <w:szCs w:val="21"/>
        </w:rPr>
        <w:t>理解应是广义的，它既包括社会的基本经济制度，也包括各项具体经济制度；既涉及宏观领域的制度，也包含微观领域的制度。这种广义的制度可以分为三个层次：一是社会的基本经济制度；二是反映社会基本经济制度，但又具有相对独立性的经济体制；三是以一定的经济体制为条件的各项具体的经济规章制度。这三方面的制度从不同的层次上作用于社会生产力和经济的发展。</w:t>
      </w:r>
    </w:p>
    <w:p w14:paraId="46F42B79">
      <w:pPr>
        <w:spacing w:line="400" w:lineRule="exact"/>
        <w:ind w:firstLine="440" w:firstLineChars="200"/>
        <w:rPr>
          <w:rFonts w:ascii="宋体" w:hAnsi="宋体" w:eastAsia="宋体"/>
          <w:szCs w:val="21"/>
        </w:rPr>
      </w:pPr>
      <w:r>
        <w:rPr>
          <w:rFonts w:hint="eastAsia" w:ascii="宋体" w:hAnsi="宋体" w:eastAsia="宋体"/>
          <w:szCs w:val="21"/>
        </w:rPr>
        <w:t>首先，反映社会基本经济性质的制度是从根本上影响社会生产力的发展</w:t>
      </w:r>
      <w:r>
        <w:rPr>
          <w:rFonts w:ascii="宋体" w:hAnsi="宋体" w:eastAsia="宋体"/>
          <w:szCs w:val="21"/>
        </w:rPr>
        <w:t>和经济效率的提高。在现代社会中，存在着反映不同社会经济性质的两大基本经济制度:财产私有制度和财产公有制度。基本经济制度的选择是由不同社会的价值取向和基本国情决定的，因而具有鲜明的阶级性。对于财产私有制度和财产公有制度，哪一种制度具有更高的经济效率，不同的经济理论有着完全不同的结论。马克思认为，在人类社会发展的不同历史阶段，由于生产力发展水平的不同，以及相应的社会条件不同，财产公有制度和财产私有制度对生产力发展和经济效率提高产生的影响</w:t>
      </w:r>
      <w:r>
        <w:rPr>
          <w:rFonts w:hint="eastAsia" w:ascii="宋体" w:hAnsi="宋体" w:eastAsia="宋体"/>
          <w:szCs w:val="21"/>
        </w:rPr>
        <w:t>作用也是不同的。但是，从发展趋势</w:t>
      </w:r>
      <w:r>
        <w:rPr>
          <w:rFonts w:ascii="宋体" w:hAnsi="宋体" w:eastAsia="宋体"/>
          <w:szCs w:val="21"/>
        </w:rPr>
        <w:t>上说，随着社会生产力的发展和生产社会化程度的提高，现代财产公有制度比财产私有制度更能够促进生产力的发展和经济效率的提高，这一点与新制度经济学的认识恰恰相反。</w:t>
      </w:r>
    </w:p>
    <w:p w14:paraId="57A20A03">
      <w:pPr>
        <w:spacing w:line="400" w:lineRule="exact"/>
        <w:ind w:firstLine="440" w:firstLineChars="200"/>
        <w:rPr>
          <w:rFonts w:ascii="宋体" w:hAnsi="宋体" w:eastAsia="宋体"/>
          <w:szCs w:val="21"/>
        </w:rPr>
      </w:pPr>
      <w:r>
        <w:rPr>
          <w:rFonts w:hint="eastAsia" w:ascii="宋体" w:hAnsi="宋体" w:eastAsia="宋体"/>
          <w:szCs w:val="21"/>
        </w:rPr>
        <w:t>应该指出的是，随着实践的发展，人们对于社会基本经济制度从根本上影</w:t>
      </w:r>
      <w:r>
        <w:rPr>
          <w:rFonts w:ascii="宋体" w:hAnsi="宋体" w:eastAsia="宋体"/>
          <w:szCs w:val="21"/>
        </w:rPr>
        <w:t>响生产力水平和经济效率的提高有了新的认识，即社会基本经济制度对生产力发展和经济效率提高的影响是通过具体经济体制的选择来实现的。因此，在一个社会中，当基本经济制度确立以后，一方面要通过对这一制度的不断完善来充分发挥其对生产力发展和经济效率提高的促进作用。另一方面，更重要的是要把主要精力集中于对具体经济体制的研究和改革。不能只是满足于基本经济制度的建立，而忽视对具体经济体制的研究。，</w:t>
      </w:r>
    </w:p>
    <w:p w14:paraId="760F379C">
      <w:pPr>
        <w:spacing w:line="400" w:lineRule="exact"/>
        <w:ind w:firstLine="440" w:firstLineChars="200"/>
        <w:rPr>
          <w:rFonts w:ascii="宋体" w:hAnsi="宋体" w:eastAsia="宋体"/>
          <w:szCs w:val="21"/>
        </w:rPr>
      </w:pPr>
      <w:r>
        <w:rPr>
          <w:rFonts w:hint="eastAsia" w:ascii="宋体" w:hAnsi="宋体" w:eastAsia="宋体"/>
          <w:szCs w:val="21"/>
        </w:rPr>
        <w:t>马克思主义制度经济理论的一个重要特点是体现在它对基本经济制度有</w:t>
      </w:r>
      <w:r>
        <w:rPr>
          <w:rFonts w:ascii="宋体" w:hAnsi="宋体" w:eastAsia="宋体"/>
          <w:szCs w:val="21"/>
        </w:rPr>
        <w:t>着深刻的分析，科学地揭示了基本经济制度从根本上影响生产力发展和经济效率提高的内在规律。坚持马克思主义的经济学说，就是坚持马克思关于基本经济制度从根本上影响生产力</w:t>
      </w:r>
      <w:r>
        <w:rPr>
          <w:rFonts w:hint="eastAsia" w:ascii="宋体" w:hAnsi="宋体" w:eastAsia="宋体"/>
          <w:szCs w:val="21"/>
        </w:rPr>
        <w:t>发</w:t>
      </w:r>
      <w:r>
        <w:rPr>
          <w:rFonts w:ascii="宋体" w:hAnsi="宋体" w:eastAsia="宋体"/>
          <w:szCs w:val="21"/>
        </w:rPr>
        <w:t>展的理论。因此，在基本经济制度的确定上，不仅是一个重大的经济理论问题，而且是一个重大的经济实践问题。</w:t>
      </w:r>
    </w:p>
    <w:p w14:paraId="1C694720">
      <w:pPr>
        <w:spacing w:line="400" w:lineRule="exact"/>
        <w:ind w:firstLine="440" w:firstLineChars="200"/>
        <w:rPr>
          <w:rFonts w:ascii="宋体" w:hAnsi="宋体" w:eastAsia="宋体"/>
          <w:szCs w:val="21"/>
        </w:rPr>
      </w:pPr>
      <w:r>
        <w:rPr>
          <w:rFonts w:hint="eastAsia" w:ascii="宋体" w:hAnsi="宋体" w:eastAsia="宋体"/>
          <w:szCs w:val="21"/>
        </w:rPr>
        <w:t>其次，经济体制层次的制度是从宏观层次上直接影响生产力的发展和经</w:t>
      </w:r>
      <w:r>
        <w:rPr>
          <w:rFonts w:ascii="宋体" w:hAnsi="宋体" w:eastAsia="宋体"/>
          <w:szCs w:val="21"/>
        </w:rPr>
        <w:t>济效率的提高。这一层次的制度是通过对社会经济关系、资源配置和运行方式的安排，使经济能够高效率地运转，从而作用于生产力的发展和经济效率的提高。作为经济体制层次的制度，既同社会基本经济制度的运转有着直接的联系，但又有着自身的相对独立性，它不属于社会基本制度的范畴。在基本经济制度不变的条件下，可以通过这一层次制度变革来选择不同的经济体制模式，以更好地促进生产力的发展和经济效率的提高。</w:t>
      </w:r>
    </w:p>
    <w:p w14:paraId="35C91DC0">
      <w:pPr>
        <w:spacing w:line="400" w:lineRule="exact"/>
        <w:ind w:firstLine="440" w:firstLineChars="200"/>
        <w:rPr>
          <w:rFonts w:ascii="宋体" w:hAnsi="宋体" w:eastAsia="宋体"/>
          <w:szCs w:val="21"/>
        </w:rPr>
      </w:pPr>
      <w:r>
        <w:rPr>
          <w:rFonts w:hint="eastAsia" w:ascii="宋体" w:hAnsi="宋体" w:eastAsia="宋体"/>
          <w:szCs w:val="21"/>
        </w:rPr>
        <w:t>研究经济体制层次的制度，理论依据主要是两个方面：一是生产力的性</w:t>
      </w:r>
      <w:r>
        <w:rPr>
          <w:rFonts w:ascii="宋体" w:hAnsi="宋体" w:eastAsia="宋体"/>
          <w:szCs w:val="21"/>
        </w:rPr>
        <w:t>质，即必须从现代社会化大生产的客观要求出发来选择应该建立怎样的经济体制。二是经济形式，即必须从社会资源基本配置方式的客观要求出发来建立与之相适应的经济体制。经济体制层次的制度主要解决的是资源配置和经济运行的问题，而这两个问题是任何社会的经济发展都必须解决好的。因此，对于以社会化大生产为生产力基础和以市场为资源配置基础方式的社会来说，在经济体制层次的制度方面必然具有共性的东西，在很多方面面临的问题和所要解决的矛盾都是共同的。</w:t>
      </w:r>
    </w:p>
    <w:p w14:paraId="7CBE04B6">
      <w:pPr>
        <w:spacing w:line="400" w:lineRule="exact"/>
        <w:ind w:firstLine="440" w:firstLineChars="200"/>
        <w:rPr>
          <w:rFonts w:ascii="宋体" w:hAnsi="宋体" w:eastAsia="宋体"/>
          <w:szCs w:val="21"/>
        </w:rPr>
      </w:pPr>
      <w:r>
        <w:rPr>
          <w:rFonts w:hint="eastAsia" w:ascii="宋体" w:hAnsi="宋体" w:eastAsia="宋体"/>
          <w:szCs w:val="21"/>
        </w:rPr>
        <w:t>各项具体的规章制度是从微观层次上直接影响生产力的发展和经济效率</w:t>
      </w:r>
      <w:r>
        <w:rPr>
          <w:rFonts w:ascii="宋体" w:hAnsi="宋体" w:eastAsia="宋体"/>
          <w:szCs w:val="21"/>
        </w:rPr>
        <w:t>的提高。这一层次的制度是通过对微观经济主体的利益关系、内部结构和运行方式的安排，使它们能够以最小的成本为代价来取得最大的经济利益，由此推动生产力的发展和经济效率的提高。各项具体的制度是以一定的经济体制为条件的，即经济体制从总体上制约着具体的制度。但作为具体的制度，它更具有多样性和灵活性。这一层次的制度更多的是以个体行为作为规范的对象，它在规定了个体具有的各项权利的基础上，也明确了相应的责任和义务。正是通过这种权利、责任、义务的规范，</w:t>
      </w:r>
      <w:r>
        <w:rPr>
          <w:rFonts w:hint="eastAsia" w:ascii="宋体" w:hAnsi="宋体" w:eastAsia="宋体"/>
          <w:szCs w:val="21"/>
        </w:rPr>
        <w:t>使经济活动能够高效率地进行。</w:t>
      </w:r>
    </w:p>
    <w:p w14:paraId="6A049BE6">
      <w:pPr>
        <w:spacing w:line="400" w:lineRule="exact"/>
        <w:ind w:firstLine="440" w:firstLineChars="200"/>
        <w:rPr>
          <w:rFonts w:ascii="宋体" w:hAnsi="宋体" w:eastAsia="宋体"/>
          <w:szCs w:val="21"/>
        </w:rPr>
      </w:pPr>
      <w:r>
        <w:rPr>
          <w:rFonts w:hint="eastAsia" w:ascii="宋体" w:hAnsi="宋体" w:eastAsia="宋体"/>
          <w:szCs w:val="21"/>
        </w:rPr>
        <w:t>以上是对马克思主义制度经济理论的基本认识，这一认识形成了对马克</w:t>
      </w:r>
      <w:r>
        <w:rPr>
          <w:rFonts w:ascii="宋体" w:hAnsi="宋体" w:eastAsia="宋体"/>
          <w:szCs w:val="21"/>
        </w:rPr>
        <w:t>思主义制度经济理论研究的基本思路和基本框架。接下来，我们对新制度经济学和马克思主义制度经济学中的制度理论、产权制度理论及企业制度理论等具体内容进行评论与比较。</w:t>
      </w:r>
    </w:p>
    <w:p w14:paraId="4A19670A">
      <w:pPr>
        <w:spacing w:line="360" w:lineRule="auto"/>
        <w:jc w:val="center"/>
        <w:rPr>
          <w:rFonts w:ascii="宋体" w:hAnsi="宋体" w:eastAsia="宋体"/>
          <w:b/>
          <w:bCs/>
          <w:sz w:val="24"/>
        </w:rPr>
      </w:pPr>
      <w:r>
        <w:rPr>
          <w:rFonts w:hint="eastAsia" w:ascii="宋体" w:hAnsi="宋体" w:eastAsia="宋体"/>
          <w:b/>
          <w:bCs/>
          <w:sz w:val="24"/>
        </w:rPr>
        <w:t>三、马克思与西方学者关于制度理论的若干比较</w:t>
      </w:r>
    </w:p>
    <w:p w14:paraId="566B1245">
      <w:pPr>
        <w:spacing w:line="400" w:lineRule="exact"/>
        <w:ind w:firstLine="440" w:firstLineChars="200"/>
        <w:rPr>
          <w:rFonts w:ascii="宋体" w:hAnsi="宋体" w:eastAsia="宋体"/>
          <w:szCs w:val="21"/>
        </w:rPr>
      </w:pPr>
      <w:r>
        <w:rPr>
          <w:rFonts w:hint="eastAsia" w:ascii="宋体" w:hAnsi="宋体" w:eastAsia="宋体"/>
          <w:szCs w:val="21"/>
        </w:rPr>
        <w:t>诺贝尔经济学奖获得者、西方制度经济理论代表人物之一缪尔达尔指出：“</w:t>
      </w:r>
      <w:r>
        <w:rPr>
          <w:rFonts w:ascii="宋体" w:hAnsi="宋体" w:eastAsia="宋体"/>
          <w:szCs w:val="21"/>
        </w:rPr>
        <w:t>当人们不得不把马克思当作经济科学发展史上伟大的经典作家之一看待的时候，……是基于其开创制度经济学方面的成果。”缪尔达尔的评论是客观的，马克思是最伟大的制度经济学家。</w:t>
      </w:r>
    </w:p>
    <w:p w14:paraId="16191B93">
      <w:pPr>
        <w:spacing w:line="400" w:lineRule="exact"/>
        <w:ind w:firstLine="440" w:firstLineChars="200"/>
        <w:rPr>
          <w:rFonts w:ascii="宋体" w:hAnsi="宋体" w:eastAsia="宋体"/>
          <w:b/>
          <w:bCs/>
          <w:szCs w:val="21"/>
        </w:rPr>
      </w:pPr>
      <w:r>
        <w:rPr>
          <w:rFonts w:hint="eastAsia" w:ascii="宋体" w:hAnsi="宋体" w:eastAsia="宋体"/>
          <w:b/>
          <w:bCs/>
          <w:szCs w:val="21"/>
        </w:rPr>
        <w:t>（一）马克思制度理论的基本内容</w:t>
      </w:r>
    </w:p>
    <w:p w14:paraId="21D28760">
      <w:pPr>
        <w:spacing w:line="400" w:lineRule="exact"/>
        <w:ind w:firstLine="440" w:firstLineChars="200"/>
        <w:rPr>
          <w:rFonts w:ascii="宋体" w:hAnsi="宋体" w:eastAsia="宋体"/>
          <w:b/>
          <w:bCs/>
          <w:szCs w:val="21"/>
        </w:rPr>
      </w:pPr>
      <w:r>
        <w:rPr>
          <w:rFonts w:ascii="宋体" w:hAnsi="宋体" w:eastAsia="宋体"/>
          <w:b/>
          <w:bCs/>
          <w:szCs w:val="21"/>
        </w:rPr>
        <w:t>1.关于经济发展与制度因素</w:t>
      </w:r>
    </w:p>
    <w:p w14:paraId="4A5A91AD">
      <w:pPr>
        <w:spacing w:line="400" w:lineRule="exact"/>
        <w:ind w:firstLine="440" w:firstLineChars="200"/>
        <w:rPr>
          <w:rFonts w:ascii="宋体" w:hAnsi="宋体" w:eastAsia="宋体"/>
          <w:szCs w:val="21"/>
        </w:rPr>
      </w:pPr>
      <w:r>
        <w:rPr>
          <w:rFonts w:hint="eastAsia" w:ascii="宋体" w:hAnsi="宋体" w:eastAsia="宋体"/>
          <w:szCs w:val="21"/>
        </w:rPr>
        <w:t>马克思主义经济学认为，生产力是社会的生产力，因为孤立的人是无法进</w:t>
      </w:r>
      <w:r>
        <w:rPr>
          <w:rFonts w:ascii="宋体" w:hAnsi="宋体" w:eastAsia="宋体"/>
          <w:szCs w:val="21"/>
        </w:rPr>
        <w:t>行社会生产的。马克思特别注重对经济发展和经济活动中的制度因素的研究。一方面，马克思总是把现实中的经济现象和经济活动置于一定的经济关系和经济制度下来进行分析，这样，才能在对经济现象和经济活动的发现中抓住事物的本质。另一方面，马克思又总是把经济的发展与经济制度的发展变化联系在一起，把生产力和经济发展看作是经济制度演变的最终决定因素，运用历史唯物主义的观点揭示了经济制度发展变化的客观规律。同时也从生产力和经济发展的社会条件的角度分析了经济制度与经济活动效率之间的内在联系。</w:t>
      </w:r>
    </w:p>
    <w:p w14:paraId="06502C5D">
      <w:pPr>
        <w:spacing w:line="400" w:lineRule="exact"/>
        <w:ind w:firstLine="440" w:firstLineChars="200"/>
        <w:rPr>
          <w:rFonts w:ascii="宋体" w:hAnsi="宋体" w:eastAsia="宋体"/>
          <w:szCs w:val="21"/>
        </w:rPr>
      </w:pPr>
      <w:r>
        <w:rPr>
          <w:rFonts w:ascii="宋体" w:hAnsi="宋体" w:eastAsia="宋体"/>
          <w:b/>
          <w:bCs/>
          <w:szCs w:val="21"/>
        </w:rPr>
        <w:t>2.关于制度的起源</w:t>
      </w:r>
    </w:p>
    <w:p w14:paraId="3073734C">
      <w:pPr>
        <w:spacing w:line="400" w:lineRule="exact"/>
        <w:ind w:firstLine="440" w:firstLineChars="200"/>
        <w:rPr>
          <w:rFonts w:ascii="宋体" w:hAnsi="宋体" w:eastAsia="宋体"/>
          <w:szCs w:val="21"/>
        </w:rPr>
      </w:pPr>
      <w:r>
        <w:rPr>
          <w:rFonts w:hint="eastAsia" w:ascii="宋体" w:hAnsi="宋体" w:eastAsia="宋体"/>
          <w:szCs w:val="21"/>
        </w:rPr>
        <w:t>马克思主义经济学明确地将研究对象定位在研究生产关系及其发展的规</w:t>
      </w:r>
      <w:r>
        <w:rPr>
          <w:rFonts w:ascii="宋体" w:hAnsi="宋体" w:eastAsia="宋体"/>
          <w:szCs w:val="21"/>
        </w:rPr>
        <w:t>律上。因此，我们应该按照这一思路来研究制度的起源问题。</w:t>
      </w:r>
    </w:p>
    <w:p w14:paraId="4FA9F396">
      <w:pPr>
        <w:spacing w:line="400" w:lineRule="exact"/>
        <w:ind w:firstLine="440" w:firstLineChars="200"/>
        <w:rPr>
          <w:rFonts w:ascii="宋体" w:hAnsi="宋体" w:eastAsia="宋体"/>
          <w:szCs w:val="21"/>
        </w:rPr>
      </w:pPr>
      <w:r>
        <w:rPr>
          <w:rFonts w:hint="eastAsia" w:ascii="宋体" w:hAnsi="宋体" w:eastAsia="宋体"/>
          <w:szCs w:val="21"/>
        </w:rPr>
        <w:t>首先，制度不是起源于人们的主观安排，而是人们在十分低下的原始社会</w:t>
      </w:r>
      <w:r>
        <w:rPr>
          <w:rFonts w:ascii="宋体" w:hAnsi="宋体" w:eastAsia="宋体"/>
          <w:szCs w:val="21"/>
        </w:rPr>
        <w:t>时期，生产力水平极低，只有从属于部落才可以生存。只有部落的整体利益，没有个人的局部利益的人们相互之间的关系，就是原始社会生产关系或经济制度的特征。原始社会经济制度的形成，或者说制度起源所表现出的一个突出的特点就是它不是人们主观做出安排的结果，而是人们为维持生存自发形成的。这也是制度的起源与制度的发展的根本差别。</w:t>
      </w:r>
    </w:p>
    <w:p w14:paraId="178A58CF">
      <w:pPr>
        <w:spacing w:line="400" w:lineRule="exact"/>
        <w:ind w:firstLine="440" w:firstLineChars="200"/>
        <w:rPr>
          <w:rFonts w:ascii="宋体" w:hAnsi="宋体" w:eastAsia="宋体"/>
          <w:szCs w:val="21"/>
        </w:rPr>
      </w:pPr>
      <w:r>
        <w:rPr>
          <w:rFonts w:hint="eastAsia" w:ascii="宋体" w:hAnsi="宋体" w:eastAsia="宋体"/>
          <w:szCs w:val="21"/>
        </w:rPr>
        <w:t>其次</w:t>
      </w:r>
      <w:r>
        <w:rPr>
          <w:rFonts w:ascii="宋体" w:hAnsi="宋体" w:eastAsia="宋体"/>
          <w:szCs w:val="21"/>
        </w:rPr>
        <w:t>，制度的形成本身就构成了社会生产不可缺少的一个组成部分。如果说制度的起源在于人与自然的关系，制度的形成同时也就构成了人类选行社会生产活动的不可缺少的一个组成部分。这样，人类的生产活动必然涉及到两方面的关系：一方面是人与自然的关系；另一方面，是人与人之间的关系。人与人之间的关系就是通过一定的生产关系或经济制度来体现的。因此，研究社会生产的一个重要内容是对生产关系或经济制度的研究。</w:t>
      </w:r>
    </w:p>
    <w:p w14:paraId="54D71F87">
      <w:pPr>
        <w:spacing w:line="400" w:lineRule="exact"/>
        <w:ind w:firstLine="440" w:firstLineChars="200"/>
        <w:rPr>
          <w:rFonts w:ascii="宋体" w:hAnsi="宋体" w:eastAsia="宋体"/>
          <w:szCs w:val="21"/>
        </w:rPr>
      </w:pPr>
      <w:r>
        <w:rPr>
          <w:rFonts w:hint="eastAsia" w:ascii="宋体" w:hAnsi="宋体" w:eastAsia="宋体"/>
          <w:szCs w:val="21"/>
        </w:rPr>
        <w:t>简言之，马克思是从人类物质生产活动为出发点来揭示制度的起源。一</w:t>
      </w:r>
      <w:r>
        <w:rPr>
          <w:rFonts w:ascii="宋体" w:hAnsi="宋体" w:eastAsia="宋体"/>
          <w:szCs w:val="21"/>
        </w:rPr>
        <w:t>种制度一旦形成，它并不是不变的，而是随着社会生产的发展以及经济关系的变化而不断变化的。随着生产的发展，在社会经济活动中处于支配地位的个人、集团以至阶级，为了维护自己能够得到的既得利益，就凭借在资源占有和支配上具有的优势，通过国家这样的政权组织，建立起符合自己需要的生产关系或经济制度。并在此基础上，在政治上和法律上也确立起相应的制度，以巩固和发展已经建立起来的经济制度。从而表现为制度的不断发展和变迁。</w:t>
      </w:r>
    </w:p>
    <w:p w14:paraId="6439CBDE">
      <w:pPr>
        <w:spacing w:line="400" w:lineRule="exact"/>
        <w:ind w:firstLine="440" w:firstLineChars="200"/>
        <w:rPr>
          <w:rFonts w:ascii="宋体" w:hAnsi="宋体" w:eastAsia="宋体"/>
          <w:b/>
          <w:bCs/>
          <w:szCs w:val="21"/>
        </w:rPr>
      </w:pPr>
      <w:r>
        <w:rPr>
          <w:rFonts w:ascii="宋体" w:hAnsi="宋体" w:eastAsia="宋体"/>
          <w:b/>
          <w:bCs/>
          <w:szCs w:val="21"/>
        </w:rPr>
        <w:t>3.关于制度的本质</w:t>
      </w:r>
    </w:p>
    <w:p w14:paraId="53D83C6A">
      <w:pPr>
        <w:spacing w:line="400" w:lineRule="exact"/>
        <w:ind w:firstLine="440" w:firstLineChars="200"/>
        <w:rPr>
          <w:rFonts w:ascii="宋体" w:hAnsi="宋体" w:eastAsia="宋体"/>
          <w:szCs w:val="21"/>
        </w:rPr>
      </w:pPr>
      <w:r>
        <w:rPr>
          <w:rFonts w:hint="eastAsia" w:ascii="宋体" w:hAnsi="宋体" w:eastAsia="宋体"/>
          <w:szCs w:val="21"/>
        </w:rPr>
        <w:t>马克思认为，制度的本质反映的就是不同的人、集团和阶级之间的经济利</w:t>
      </w:r>
      <w:r>
        <w:rPr>
          <w:rFonts w:ascii="宋体" w:hAnsi="宋体" w:eastAsia="宋体"/>
          <w:szCs w:val="21"/>
        </w:rPr>
        <w:t>益关系。对制度本质的这一界定，他事实上是从以下两个方面来认识的。</w:t>
      </w:r>
    </w:p>
    <w:p w14:paraId="4690E0EC">
      <w:pPr>
        <w:spacing w:line="400" w:lineRule="exact"/>
        <w:ind w:firstLine="440" w:firstLineChars="200"/>
        <w:rPr>
          <w:rFonts w:ascii="宋体" w:hAnsi="宋体" w:eastAsia="宋体"/>
          <w:szCs w:val="21"/>
        </w:rPr>
      </w:pPr>
      <w:r>
        <w:rPr>
          <w:rFonts w:hint="eastAsia" w:ascii="宋体" w:hAnsi="宋体" w:eastAsia="宋体"/>
          <w:szCs w:val="21"/>
        </w:rPr>
        <w:t>第一，一种制度是对不同的人在社会生产中居于不同地位的一种确认，并</w:t>
      </w:r>
      <w:r>
        <w:rPr>
          <w:rFonts w:ascii="宋体" w:hAnsi="宋体" w:eastAsia="宋体"/>
          <w:szCs w:val="21"/>
        </w:rPr>
        <w:t>且，这种确认具有强制性和约束性。在不同的社会中，不同利益集团、不同的阶层和阶级在社会生产中处于不同的地位，要使这种不同的地位能够保持下去，就要求有带有强制约束性的经济和政治制度，而当一种制度能够使不同利益集团、阶级和阶层的不同地位保持下去，那么，实际上也就规范了他们之间的利益关系。因为不同的社会地位，不同的利益关系，意味着他们对社会利益不同的支配权利，从而决定了他们能够得到社会利益的不同份额。如果不改变既定的制度，那么，不同利益集</w:t>
      </w:r>
      <w:r>
        <w:rPr>
          <w:rFonts w:hint="eastAsia" w:ascii="宋体" w:hAnsi="宋体" w:eastAsia="宋体"/>
          <w:szCs w:val="21"/>
        </w:rPr>
        <w:t>团的社会地位、经济关系、利益关系也不可能</w:t>
      </w:r>
      <w:r>
        <w:rPr>
          <w:rFonts w:ascii="宋体" w:hAnsi="宋体" w:eastAsia="宋体"/>
          <w:szCs w:val="21"/>
        </w:rPr>
        <w:t>得到改变，社会利益的分配格局也不会变化。从这一意义上说，制度在本质上要解决的就是利益关系问题。</w:t>
      </w:r>
    </w:p>
    <w:p w14:paraId="7C883255">
      <w:pPr>
        <w:spacing w:line="400" w:lineRule="exact"/>
        <w:ind w:firstLine="440" w:firstLineChars="200"/>
        <w:rPr>
          <w:rFonts w:ascii="宋体" w:hAnsi="宋体" w:eastAsia="宋体"/>
          <w:szCs w:val="21"/>
        </w:rPr>
      </w:pPr>
      <w:r>
        <w:rPr>
          <w:rFonts w:hint="eastAsia" w:ascii="宋体" w:hAnsi="宋体" w:eastAsia="宋体"/>
          <w:szCs w:val="21"/>
        </w:rPr>
        <w:t>第二</w:t>
      </w:r>
      <w:r>
        <w:rPr>
          <w:rFonts w:ascii="宋体" w:hAnsi="宋体" w:eastAsia="宋体"/>
          <w:szCs w:val="21"/>
        </w:rPr>
        <w:t>，任何一个集团、阶级和阶层的经济利益都要通过制度来保障。制度是由在社会经济中占优势的集团、阶级和阶层按照有利于维护自身利益的原则建立起来的，并且要求社会其他的集团、阶级和阶层按照这一制度的要求从事社会生产活动，以及从中得到利益。从这一点来说，现实的制度主要体现的总是在社会经济中占优势地位的集团和阶级的利益的。另一方面，在社会经济中占优势地位的集团或阶级，也会对现存的制度进行改变和调整，但这种改变和调整不会涉及到制度性质的变化，而是在不改变基本性质的框架内，对其形式和局部内容的改变和调整，这</w:t>
      </w:r>
      <w:r>
        <w:rPr>
          <w:rFonts w:hint="eastAsia" w:ascii="宋体" w:hAnsi="宋体" w:eastAsia="宋体"/>
          <w:szCs w:val="21"/>
        </w:rPr>
        <w:t>在根本上也是为了更好地实现自身的利益。</w:t>
      </w:r>
      <w:r>
        <w:rPr>
          <w:rFonts w:ascii="宋体" w:hAnsi="宋体" w:eastAsia="宋体"/>
          <w:szCs w:val="21"/>
        </w:rPr>
        <w:t>如果一种制度不能充分地体现高效率，那么，最终也是不能保证制度主导者的经济利益的。从这一意义上说，制度改变和调整的根本目的也是为了经济利益。</w:t>
      </w:r>
    </w:p>
    <w:p w14:paraId="47E15158">
      <w:pPr>
        <w:spacing w:line="400" w:lineRule="exact"/>
        <w:ind w:firstLine="440" w:firstLineChars="200"/>
        <w:rPr>
          <w:rFonts w:ascii="宋体" w:hAnsi="宋体" w:eastAsia="宋体"/>
          <w:szCs w:val="21"/>
        </w:rPr>
      </w:pPr>
      <w:r>
        <w:rPr>
          <w:rFonts w:hint="eastAsia" w:ascii="宋体" w:hAnsi="宋体" w:eastAsia="宋体"/>
          <w:szCs w:val="21"/>
        </w:rPr>
        <w:t>马克思正是基于对制度本质的深刻认识，因而把政治经济学的研究对象</w:t>
      </w:r>
      <w:r>
        <w:rPr>
          <w:rFonts w:ascii="宋体" w:hAnsi="宋体" w:eastAsia="宋体"/>
          <w:szCs w:val="21"/>
        </w:rPr>
        <w:t>定位在研究生产关系即经济制度上。在马克思看来，在社会生产过程中属于生产力范畴的人与自然的关系不是政治经济学所要研究的重点，这是自然科学要解决的问题。而在社会生产过程中属于生产关系范畴的人与人之间的关系，即经济利益关系是经济学研究的重点。生产力是人们获得经济利益的手段，经济利益才是人们从事经济活动的目的。因此，只有透过经济现象，掲示经济现象背后的经济关系的本质，才能科学地认识经济活动的实质，进而深刻地认识一种社会制度。</w:t>
      </w:r>
    </w:p>
    <w:p w14:paraId="1DD7DEDA">
      <w:pPr>
        <w:spacing w:line="400" w:lineRule="exact"/>
        <w:ind w:firstLine="440" w:firstLineChars="200"/>
        <w:rPr>
          <w:rFonts w:ascii="宋体" w:hAnsi="宋体" w:eastAsia="宋体"/>
          <w:b/>
          <w:bCs/>
          <w:szCs w:val="21"/>
        </w:rPr>
      </w:pPr>
      <w:r>
        <w:rPr>
          <w:rFonts w:ascii="宋体" w:hAnsi="宋体" w:eastAsia="宋体"/>
          <w:b/>
          <w:bCs/>
          <w:szCs w:val="21"/>
        </w:rPr>
        <w:t>4.关于制度的内涵</w:t>
      </w:r>
    </w:p>
    <w:p w14:paraId="6FB0C3C9">
      <w:pPr>
        <w:spacing w:line="400" w:lineRule="exact"/>
        <w:ind w:firstLine="440" w:firstLineChars="200"/>
        <w:rPr>
          <w:rFonts w:ascii="宋体" w:hAnsi="宋体" w:eastAsia="宋体"/>
          <w:szCs w:val="21"/>
        </w:rPr>
      </w:pPr>
      <w:r>
        <w:rPr>
          <w:rFonts w:hint="eastAsia" w:ascii="宋体" w:hAnsi="宋体" w:eastAsia="宋体"/>
          <w:szCs w:val="21"/>
        </w:rPr>
        <w:t>马克思认为经济制度就是生产关系在法律上的反映，即生产过程中人与</w:t>
      </w:r>
      <w:r>
        <w:rPr>
          <w:rFonts w:ascii="宋体" w:hAnsi="宋体" w:eastAsia="宋体"/>
          <w:szCs w:val="21"/>
        </w:rPr>
        <w:t>人之间相互关系的法律规范。同时，他把制度视为得到社会认可的存在于各个方面的一系列规则，赋予制度更广泛的含义。马克思以前者为基础展开对其他制度的研究。因为在马克思看来，社会经济制度是人们从事经济活动的最重要的制度，其他的一切制度都是由此决定并在此基础上展开的。如《资本论》就是揭示资本主义市场经济制度发生、发展与灭亡的运动规律，因而政治经济学研究的任务就是在于揭示经济制度运动的整个规律和机制。</w:t>
      </w:r>
    </w:p>
    <w:p w14:paraId="79F0A724">
      <w:pPr>
        <w:spacing w:line="400" w:lineRule="exact"/>
        <w:ind w:firstLine="440" w:firstLineChars="200"/>
        <w:rPr>
          <w:rFonts w:ascii="宋体" w:hAnsi="宋体" w:eastAsia="宋体"/>
          <w:szCs w:val="21"/>
        </w:rPr>
      </w:pPr>
      <w:r>
        <w:rPr>
          <w:rFonts w:ascii="宋体" w:hAnsi="宋体" w:eastAsia="宋体"/>
          <w:b/>
          <w:bCs/>
          <w:szCs w:val="21"/>
        </w:rPr>
        <w:t>5.关于制度的核心</w:t>
      </w:r>
    </w:p>
    <w:p w14:paraId="0F9D702A">
      <w:pPr>
        <w:spacing w:line="400" w:lineRule="exact"/>
        <w:ind w:firstLine="440" w:firstLineChars="200"/>
        <w:rPr>
          <w:rFonts w:ascii="宋体" w:hAnsi="宋体" w:eastAsia="宋体"/>
          <w:szCs w:val="21"/>
        </w:rPr>
      </w:pPr>
      <w:r>
        <w:rPr>
          <w:rFonts w:hint="eastAsia" w:ascii="宋体" w:hAnsi="宋体" w:eastAsia="宋体"/>
          <w:szCs w:val="21"/>
        </w:rPr>
        <w:t>马克思把生产资料的所有制作为社会经济制度的核心，因而对生产资料</w:t>
      </w:r>
      <w:r>
        <w:rPr>
          <w:rFonts w:ascii="宋体" w:hAnsi="宋体" w:eastAsia="宋体"/>
          <w:szCs w:val="21"/>
        </w:rPr>
        <w:t>所有制的研究是马克思制度经济理论的关键。以此向两个方面展开对有关制度的分析：一是与生产力和经济发展直接相联系的各项具体制度，如劳动制度、资本制度、土地制度等；二是与政治、法律、文化发展相联系的各项制度，如</w:t>
      </w:r>
      <w:r>
        <w:rPr>
          <w:rFonts w:hint="eastAsia" w:ascii="宋体" w:hAnsi="宋体" w:eastAsia="宋体"/>
          <w:szCs w:val="21"/>
        </w:rPr>
        <w:t>国家制度、政治制度、法律制度等。</w:t>
      </w:r>
    </w:p>
    <w:p w14:paraId="24379D54">
      <w:pPr>
        <w:spacing w:line="400" w:lineRule="exact"/>
        <w:ind w:firstLine="440" w:firstLineChars="200"/>
        <w:rPr>
          <w:rFonts w:ascii="宋体" w:hAnsi="宋体" w:eastAsia="宋体"/>
          <w:b/>
          <w:bCs/>
          <w:szCs w:val="21"/>
        </w:rPr>
      </w:pPr>
      <w:r>
        <w:rPr>
          <w:rFonts w:ascii="宋体" w:hAnsi="宋体" w:eastAsia="宋体"/>
          <w:b/>
          <w:bCs/>
          <w:szCs w:val="21"/>
        </w:rPr>
        <w:t>6.关于价值运动的制度条件</w:t>
      </w:r>
    </w:p>
    <w:p w14:paraId="71ADADD6">
      <w:pPr>
        <w:spacing w:line="400" w:lineRule="exact"/>
        <w:ind w:firstLine="440" w:firstLineChars="200"/>
        <w:rPr>
          <w:rFonts w:ascii="宋体" w:hAnsi="宋体" w:eastAsia="宋体"/>
          <w:szCs w:val="21"/>
        </w:rPr>
      </w:pPr>
      <w:r>
        <w:rPr>
          <w:rFonts w:hint="eastAsia" w:ascii="宋体" w:hAnsi="宋体" w:eastAsia="宋体"/>
          <w:szCs w:val="21"/>
        </w:rPr>
        <w:t>马克思认为，价值运动的制度条件之一是财产私有制度。商品经济的出</w:t>
      </w:r>
      <w:r>
        <w:rPr>
          <w:rFonts w:ascii="宋体" w:hAnsi="宋体" w:eastAsia="宋体"/>
          <w:szCs w:val="21"/>
        </w:rPr>
        <w:t>现是以财产私有制度的确立为制度条件的。因此，商品是在一定的制度条件下才存在的。价值运动的制度条件之二是市场竞争制度。财产私有制度是使劳动产品成为商品的条件，或者说是使人类的劳动以价值的形式表现出来的条件，但价值的运动还涉及到价值量的确定和价值的实现，而价值量的确定和价值的实现又是和市场竞争制度联系在一起的。因此，市场竞争制度是价值运动的又一制度条件。</w:t>
      </w:r>
    </w:p>
    <w:p w14:paraId="7CFD033D">
      <w:pPr>
        <w:spacing w:line="400" w:lineRule="exact"/>
        <w:ind w:firstLine="440" w:firstLineChars="200"/>
        <w:rPr>
          <w:rFonts w:ascii="宋体" w:hAnsi="宋体" w:eastAsia="宋体"/>
          <w:szCs w:val="21"/>
        </w:rPr>
      </w:pPr>
      <w:r>
        <w:rPr>
          <w:rFonts w:hint="eastAsia" w:ascii="宋体" w:hAnsi="宋体" w:eastAsia="宋体"/>
          <w:szCs w:val="21"/>
        </w:rPr>
        <w:t>马克思之所以把商品作为资本主义经济的细胞，并以此为切入点，进而分</w:t>
      </w:r>
      <w:r>
        <w:rPr>
          <w:rFonts w:ascii="宋体" w:hAnsi="宋体" w:eastAsia="宋体"/>
          <w:szCs w:val="21"/>
        </w:rPr>
        <w:t>析整个资本主义经济，是因为分析商品这一基本元素所表现出来的价值运动，是分析资本主义经济运动的基础，而价值运动的制度条件——财产私有制度和竞争制度又是资本主义经济运动的基本制度。理解资本主义经济运动，分析资本主义经济发展的历史进步性，认识资本主义经济的历史局限性，都离不开这两个主要制度。可以说，马克思对价值运动的制度分析是其整个制度经济理论的基础。</w:t>
      </w:r>
    </w:p>
    <w:p w14:paraId="58681B98">
      <w:pPr>
        <w:spacing w:line="400" w:lineRule="exact"/>
        <w:ind w:firstLine="440" w:firstLineChars="200"/>
        <w:rPr>
          <w:rFonts w:ascii="宋体" w:hAnsi="宋体" w:eastAsia="宋体"/>
          <w:b/>
          <w:bCs/>
          <w:szCs w:val="21"/>
        </w:rPr>
      </w:pPr>
      <w:r>
        <w:rPr>
          <w:rFonts w:ascii="宋体" w:hAnsi="宋体" w:eastAsia="宋体"/>
          <w:b/>
          <w:bCs/>
          <w:szCs w:val="21"/>
        </w:rPr>
        <w:t>7.关于雇佣劳动制度</w:t>
      </w:r>
    </w:p>
    <w:p w14:paraId="0EF91DB9">
      <w:pPr>
        <w:spacing w:line="400" w:lineRule="exact"/>
        <w:ind w:firstLine="440" w:firstLineChars="200"/>
        <w:rPr>
          <w:rFonts w:ascii="宋体" w:hAnsi="宋体" w:eastAsia="宋体"/>
          <w:szCs w:val="21"/>
        </w:rPr>
      </w:pPr>
      <w:r>
        <w:rPr>
          <w:rFonts w:hint="eastAsia" w:ascii="宋体" w:hAnsi="宋体" w:eastAsia="宋体"/>
          <w:szCs w:val="21"/>
        </w:rPr>
        <w:t>马克思认为，资本的运动包含了资本主义经济运行的全部内容，反映了资</w:t>
      </w:r>
      <w:r>
        <w:rPr>
          <w:rFonts w:ascii="宋体" w:hAnsi="宋体" w:eastAsia="宋体"/>
          <w:szCs w:val="21"/>
        </w:rPr>
        <w:t>本主义经济发展的规律和实质。所以，对资本主义经济的分析，始终是以资本的运动为主线的，而资本运动的起点是劳动力的商品化。因此，资本的运动，雇佣劳动制度的确立都是以劳动力成为商品作为前提条件的。</w:t>
      </w:r>
    </w:p>
    <w:p w14:paraId="182F6095">
      <w:pPr>
        <w:spacing w:line="400" w:lineRule="exact"/>
        <w:ind w:firstLine="440" w:firstLineChars="200"/>
        <w:rPr>
          <w:rFonts w:ascii="宋体" w:hAnsi="宋体" w:eastAsia="宋体"/>
          <w:szCs w:val="21"/>
        </w:rPr>
      </w:pPr>
      <w:r>
        <w:rPr>
          <w:rFonts w:hint="eastAsia" w:ascii="宋体" w:hAnsi="宋体" w:eastAsia="宋体"/>
          <w:szCs w:val="21"/>
        </w:rPr>
        <w:t>在马克思看来，在资本主义私有制基础上确立的雇佣劳动制度，就其本质</w:t>
      </w:r>
      <w:r>
        <w:rPr>
          <w:rFonts w:ascii="宋体" w:hAnsi="宋体" w:eastAsia="宋体"/>
          <w:szCs w:val="21"/>
        </w:rPr>
        <w:t>来看，反映的是资本主义社会特有的经济关系。这一经济关系的基本特征是把资本与劳动的关系分解为资本对劳动力的购买和资本对劳动力的使用两层关系，雇佣劳动制度的本质就是通过这两层关系来体现的。</w:t>
      </w:r>
    </w:p>
    <w:p w14:paraId="553D949E">
      <w:pPr>
        <w:spacing w:line="400" w:lineRule="exact"/>
        <w:ind w:firstLine="440" w:firstLineChars="200"/>
        <w:rPr>
          <w:rFonts w:ascii="宋体" w:hAnsi="宋体" w:eastAsia="宋体"/>
          <w:szCs w:val="21"/>
        </w:rPr>
      </w:pPr>
      <w:r>
        <w:rPr>
          <w:rFonts w:hint="eastAsia" w:ascii="宋体" w:hAnsi="宋体" w:eastAsia="宋体"/>
          <w:szCs w:val="21"/>
        </w:rPr>
        <w:t>第一层关系：资本对劳动力的购买。这一层关系是在流通领域中发生的。</w:t>
      </w:r>
      <w:r>
        <w:rPr>
          <w:rFonts w:ascii="宋体" w:hAnsi="宋体" w:eastAsia="宋体"/>
          <w:szCs w:val="21"/>
        </w:rPr>
        <w:t>这一层关系所体现的资本与劳动力之间平等交换的关系，是资本主义雇佣劳动制度能够顺利运行的基本条件和保证。因为它以形式上的平等交换来建立资本与劳动力之间的最初联系，因而是资本与劳动双方都能够接受的。</w:t>
      </w:r>
    </w:p>
    <w:p w14:paraId="0AFC980D">
      <w:pPr>
        <w:spacing w:line="400" w:lineRule="exact"/>
        <w:ind w:firstLine="440" w:firstLineChars="200"/>
        <w:rPr>
          <w:rFonts w:ascii="宋体" w:hAnsi="宋体" w:eastAsia="宋体"/>
          <w:szCs w:val="21"/>
        </w:rPr>
      </w:pPr>
      <w:r>
        <w:rPr>
          <w:rFonts w:hint="eastAsia" w:ascii="宋体" w:hAnsi="宋体" w:eastAsia="宋体"/>
          <w:szCs w:val="21"/>
        </w:rPr>
        <w:t>第二层关系：资本对劳动力的使用。这一层关系是在生产领域中发生的。</w:t>
      </w:r>
      <w:r>
        <w:rPr>
          <w:rFonts w:ascii="宋体" w:hAnsi="宋体" w:eastAsia="宋体"/>
          <w:szCs w:val="21"/>
        </w:rPr>
        <w:t>资本在流品领域中购买了劳动力以后，当然就要消费它。由于劳动力商品具有特殊的使用价值，劳动力商品在生产领域中的消费过程，就是商品和剩余价值的生产过程。因此，在生产领域中所表现出来的资本与劳动力所有者的关系，已经和在流通领域中表现的关系完全不一样了。在生产领域中，资本支配着劳动力，资本所有者占有着劳动力所有者在生产过程中创造产品和价值，这时劳动力的所有者与资本所有者之间不是平等的等价交换关系，而是剥削与被剥削的关系。资本与劳动的关系在</w:t>
      </w:r>
      <w:r>
        <w:rPr>
          <w:rFonts w:hint="eastAsia" w:ascii="宋体" w:hAnsi="宋体" w:eastAsia="宋体"/>
          <w:szCs w:val="21"/>
        </w:rPr>
        <w:t>这层关系中得到了最充分的体现。</w:t>
      </w:r>
    </w:p>
    <w:p w14:paraId="47C0E077">
      <w:pPr>
        <w:spacing w:line="400" w:lineRule="exact"/>
        <w:ind w:firstLine="440" w:firstLineChars="200"/>
        <w:rPr>
          <w:rFonts w:ascii="宋体" w:hAnsi="宋体" w:eastAsia="宋体"/>
          <w:b/>
          <w:bCs/>
          <w:szCs w:val="21"/>
        </w:rPr>
      </w:pPr>
      <w:r>
        <w:rPr>
          <w:rFonts w:hint="eastAsia" w:ascii="宋体" w:hAnsi="宋体" w:eastAsia="宋体"/>
          <w:b/>
          <w:bCs/>
          <w:szCs w:val="21"/>
        </w:rPr>
        <w:t>（二）马克思与西方学者关于制度理论的比较</w:t>
      </w:r>
    </w:p>
    <w:p w14:paraId="6D3A98DB">
      <w:pPr>
        <w:spacing w:line="400" w:lineRule="exact"/>
        <w:ind w:firstLine="440" w:firstLineChars="200"/>
        <w:rPr>
          <w:rFonts w:ascii="宋体" w:hAnsi="宋体" w:eastAsia="宋体"/>
          <w:b/>
          <w:bCs/>
          <w:szCs w:val="21"/>
        </w:rPr>
      </w:pPr>
      <w:r>
        <w:rPr>
          <w:rFonts w:ascii="宋体" w:hAnsi="宋体" w:eastAsia="宋体"/>
          <w:b/>
          <w:bCs/>
          <w:szCs w:val="21"/>
        </w:rPr>
        <w:t>1.关于制度的重要性</w:t>
      </w:r>
    </w:p>
    <w:p w14:paraId="79BE0100">
      <w:pPr>
        <w:spacing w:line="400" w:lineRule="exact"/>
        <w:ind w:firstLine="440" w:firstLineChars="200"/>
        <w:rPr>
          <w:rFonts w:ascii="宋体" w:hAnsi="宋体" w:eastAsia="宋体"/>
          <w:szCs w:val="21"/>
        </w:rPr>
      </w:pPr>
      <w:r>
        <w:rPr>
          <w:rFonts w:ascii="宋体" w:hAnsi="宋体" w:eastAsia="宋体"/>
          <w:szCs w:val="21"/>
        </w:rPr>
        <w:t>制度对于经济发展的重要性，无论是西方制度经济学还是马克思主义制度经济学都是具有共识的。他们都相信经济发展和经济活动效率的提高，不仅仅只是涉及到生产要素的投入问题，而且与制度有着直接的关系，并认为制度是影响经济发展和效率的一个重要因素，因而也都把制度作为研究对象。当然，对制度在经济发展中重要性的基本认同，并不等于对制度问题研究的其他观点也认同。</w:t>
      </w:r>
    </w:p>
    <w:p w14:paraId="3210D6ED">
      <w:pPr>
        <w:spacing w:line="400" w:lineRule="exact"/>
        <w:ind w:firstLine="440" w:firstLineChars="200"/>
        <w:rPr>
          <w:rFonts w:ascii="宋体" w:hAnsi="宋体" w:eastAsia="宋体"/>
          <w:b/>
          <w:bCs/>
          <w:szCs w:val="21"/>
        </w:rPr>
      </w:pPr>
      <w:r>
        <w:rPr>
          <w:rFonts w:ascii="宋体" w:hAnsi="宋体" w:eastAsia="宋体"/>
          <w:b/>
          <w:bCs/>
          <w:szCs w:val="21"/>
        </w:rPr>
        <w:t>2.关于私有制度的效率</w:t>
      </w:r>
    </w:p>
    <w:p w14:paraId="26A818F2">
      <w:pPr>
        <w:spacing w:line="400" w:lineRule="exact"/>
        <w:ind w:firstLine="440" w:firstLineChars="200"/>
        <w:rPr>
          <w:rFonts w:ascii="宋体" w:hAnsi="宋体" w:eastAsia="宋体"/>
          <w:szCs w:val="21"/>
        </w:rPr>
      </w:pPr>
      <w:r>
        <w:rPr>
          <w:rFonts w:hint="eastAsia" w:ascii="宋体" w:hAnsi="宋体" w:eastAsia="宋体"/>
          <w:szCs w:val="21"/>
        </w:rPr>
        <w:t>新制度经济学对制度问题的研究是以私有产权具有最高效率为立论基础</w:t>
      </w:r>
      <w:r>
        <w:rPr>
          <w:rFonts w:ascii="宋体" w:hAnsi="宋体" w:eastAsia="宋体"/>
          <w:szCs w:val="21"/>
        </w:rPr>
        <w:t>的。该学说围绕产权问题而展开的一切研究始终没有偏离这一核心观点，所作的一切分析最终要说明的也是这一观点。因此，从总体上认识这一核心观点是理解新制度经济学实质的关键之一。马克思的制度经济理论是以否认私有产权具有最高效率为立论基础的。马克思并不否认各种私有产权具有不同的效率，但否认它具有最高效率，从而为否定私有产权和建立公有产权奠定了理论基础。从总体上认识这一点，是理解马克思制度经济理论关键之一。</w:t>
      </w:r>
    </w:p>
    <w:p w14:paraId="1BB0598D">
      <w:pPr>
        <w:spacing w:line="400" w:lineRule="exact"/>
        <w:ind w:firstLine="440" w:firstLineChars="200"/>
        <w:rPr>
          <w:rFonts w:ascii="宋体" w:hAnsi="宋体" w:eastAsia="宋体"/>
          <w:b/>
          <w:bCs/>
          <w:szCs w:val="21"/>
        </w:rPr>
      </w:pPr>
      <w:r>
        <w:rPr>
          <w:rFonts w:ascii="宋体" w:hAnsi="宋体" w:eastAsia="宋体"/>
          <w:b/>
          <w:bCs/>
          <w:szCs w:val="21"/>
        </w:rPr>
        <w:t>3.关于制度的现象与本质</w:t>
      </w:r>
    </w:p>
    <w:p w14:paraId="56AE674E">
      <w:pPr>
        <w:spacing w:line="400" w:lineRule="exact"/>
        <w:ind w:firstLine="440" w:firstLineChars="200"/>
        <w:rPr>
          <w:rFonts w:ascii="宋体" w:hAnsi="宋体" w:eastAsia="宋体"/>
          <w:szCs w:val="21"/>
        </w:rPr>
      </w:pPr>
      <w:r>
        <w:rPr>
          <w:rFonts w:hint="eastAsia" w:ascii="宋体" w:hAnsi="宋体" w:eastAsia="宋体"/>
          <w:szCs w:val="21"/>
        </w:rPr>
        <w:t>新制度经济学对产权、企业性质、交易费用等问题的研究，是从经济活动</w:t>
      </w:r>
      <w:r>
        <w:rPr>
          <w:rFonts w:ascii="宋体" w:hAnsi="宋体" w:eastAsia="宋体"/>
          <w:szCs w:val="21"/>
        </w:rPr>
        <w:t>的现象入手的，通过一系列的假设和抽象来分析制度因素对经济活动的影响。但该学说的分析没有或很少涉及到现象背后的本质。新制度经济学对制度理论做出的贡献和具有的局限，都与该学说的这一分析特点有着直接的联系。马克思的制度经济理论所涉及的对生产、交换、分配、产权、企业问题的研究，既立足于对经济现象的分析，但更侧重于对现象背后经济本质的分析。从这一意义上说，马克思的制度经济理论更具有科学性和深刻性。</w:t>
      </w:r>
    </w:p>
    <w:p w14:paraId="1D66B60D">
      <w:pPr>
        <w:spacing w:line="400" w:lineRule="exact"/>
        <w:ind w:firstLine="440" w:firstLineChars="200"/>
        <w:rPr>
          <w:rFonts w:ascii="宋体" w:hAnsi="宋体" w:eastAsia="宋体"/>
          <w:b/>
          <w:bCs/>
          <w:szCs w:val="21"/>
        </w:rPr>
      </w:pPr>
      <w:r>
        <w:rPr>
          <w:rFonts w:ascii="宋体" w:hAnsi="宋体" w:eastAsia="宋体"/>
          <w:b/>
          <w:bCs/>
          <w:szCs w:val="21"/>
        </w:rPr>
        <w:t>4.关于制度范畴的内涵</w:t>
      </w:r>
    </w:p>
    <w:p w14:paraId="5B09D98B">
      <w:pPr>
        <w:spacing w:line="400" w:lineRule="exact"/>
        <w:ind w:firstLine="440" w:firstLineChars="200"/>
        <w:rPr>
          <w:rFonts w:ascii="宋体" w:hAnsi="宋体" w:eastAsia="宋体"/>
          <w:szCs w:val="21"/>
        </w:rPr>
      </w:pPr>
      <w:r>
        <w:rPr>
          <w:rFonts w:hint="eastAsia" w:ascii="宋体" w:hAnsi="宋体" w:eastAsia="宋体"/>
          <w:szCs w:val="21"/>
        </w:rPr>
        <w:t>在对制度范畴的理解上，西方制度经济学要比马克思主义制度经济学更</w:t>
      </w:r>
      <w:r>
        <w:rPr>
          <w:rFonts w:ascii="宋体" w:hAnsi="宋体" w:eastAsia="宋体"/>
          <w:szCs w:val="21"/>
        </w:rPr>
        <w:t>为宽泛，该学说对制度的理解不仅包括”正规约束”的法律规范，而且还包括”非正规约束”的伦理道德规范。而马克思主义制度经济学只是把制度界定为社会经济关系的法律规范，并不包括属于意识形态的伦理道德规范。当然，就西方制度经济学研究涉及的主要内容来说，也是法律规范意义上的制度。但是，就对制度范畴研究的界定来说，马克思主义的制度经济理论在这一点上更准确。</w:t>
      </w:r>
    </w:p>
    <w:p w14:paraId="24B400D2">
      <w:pPr>
        <w:spacing w:line="400" w:lineRule="exact"/>
        <w:ind w:firstLine="440" w:firstLineChars="200"/>
        <w:rPr>
          <w:rFonts w:ascii="宋体" w:hAnsi="宋体" w:eastAsia="宋体"/>
          <w:szCs w:val="21"/>
        </w:rPr>
      </w:pPr>
      <w:r>
        <w:rPr>
          <w:rFonts w:hint="eastAsia" w:ascii="宋体" w:hAnsi="宋体" w:eastAsia="宋体"/>
          <w:szCs w:val="21"/>
        </w:rPr>
        <w:t>这是因为，制度经济学所涉及的制度是得到社会（可以是社会的整体，也</w:t>
      </w:r>
      <w:r>
        <w:rPr>
          <w:rFonts w:ascii="宋体" w:hAnsi="宋体" w:eastAsia="宋体"/>
          <w:szCs w:val="21"/>
        </w:rPr>
        <w:t>可以是社会的局部）认可的、带有强制性的、能够约束人们行为的一种规范。这样的制度只能是法律意义上的规范，是人为地做出的一种规则安排。当然，这种制度的调整、发展和变化会受到作为意识形态的伦理道德的影响，但这只是影响，而不构成制度的本身。如果把这部分”非正规约束”也包括在制度范畴之中，就会使对制度研究涉及的面过于宽泛，从而模糊了制度经济学与伦理学的学科界限。</w:t>
      </w:r>
    </w:p>
    <w:p w14:paraId="7B71762E">
      <w:pPr>
        <w:spacing w:line="400" w:lineRule="exact"/>
        <w:ind w:firstLine="440" w:firstLineChars="200"/>
        <w:rPr>
          <w:rFonts w:ascii="宋体" w:hAnsi="宋体" w:eastAsia="宋体"/>
          <w:b/>
          <w:bCs/>
          <w:szCs w:val="21"/>
        </w:rPr>
      </w:pPr>
      <w:r>
        <w:rPr>
          <w:rFonts w:ascii="宋体" w:hAnsi="宋体" w:eastAsia="宋体"/>
          <w:b/>
          <w:bCs/>
          <w:szCs w:val="21"/>
        </w:rPr>
        <w:t>5.关于制度范畴的研究重点</w:t>
      </w:r>
    </w:p>
    <w:p w14:paraId="619DD4A5">
      <w:pPr>
        <w:spacing w:line="400" w:lineRule="exact"/>
        <w:ind w:firstLine="440" w:firstLineChars="200"/>
        <w:rPr>
          <w:rFonts w:ascii="宋体" w:hAnsi="宋体" w:eastAsia="宋体"/>
          <w:szCs w:val="21"/>
        </w:rPr>
      </w:pPr>
      <w:r>
        <w:rPr>
          <w:rFonts w:hint="eastAsia" w:ascii="宋体" w:hAnsi="宋体" w:eastAsia="宋体"/>
          <w:szCs w:val="21"/>
        </w:rPr>
        <w:t>在对制度范畴研究重点的定位上，马克思研究的重点是经济制度</w:t>
      </w:r>
      <w:r>
        <w:rPr>
          <w:rFonts w:ascii="宋体" w:hAnsi="宋体" w:eastAsia="宋体"/>
          <w:szCs w:val="21"/>
        </w:rPr>
        <w:t>，并且这种经济制度是有层次的，前面已有阐述。从不同的层次来揭示制度范畴的内涵，就使马克思主义制度经济理论具有显著的深刻性。西方制度经济学在对制度研究中没有明确的层次性，该学说更多地是从社会经济运行和微观层次来研究制度问题，以及从经济活动的效率方面来研究经济行为。例如，企业产权问题、由市场交易而引申出的交易费用问题等，而没有从人与人之间的实质关系方面来研究制度问题。这就决定了西方制度经济学理论在这方面具有的局限性，因而其深刻性比马克思主义制</w:t>
      </w:r>
      <w:r>
        <w:rPr>
          <w:rFonts w:hint="eastAsia" w:ascii="宋体" w:hAnsi="宋体" w:eastAsia="宋体"/>
          <w:szCs w:val="21"/>
        </w:rPr>
        <w:t>度经济理论要逊色。</w:t>
      </w:r>
    </w:p>
    <w:p w14:paraId="0BABF05A">
      <w:pPr>
        <w:spacing w:line="400" w:lineRule="exact"/>
        <w:ind w:firstLine="440" w:firstLineChars="200"/>
        <w:rPr>
          <w:rFonts w:ascii="宋体" w:hAnsi="宋体" w:eastAsia="宋体"/>
          <w:b/>
          <w:bCs/>
          <w:szCs w:val="21"/>
        </w:rPr>
      </w:pPr>
      <w:r>
        <w:rPr>
          <w:rFonts w:ascii="宋体" w:hAnsi="宋体" w:eastAsia="宋体"/>
          <w:b/>
          <w:bCs/>
          <w:szCs w:val="21"/>
        </w:rPr>
        <w:t>6.比较两类制度理论的基本结论</w:t>
      </w:r>
    </w:p>
    <w:p w14:paraId="662CC463">
      <w:pPr>
        <w:spacing w:line="400" w:lineRule="exact"/>
        <w:ind w:firstLine="440" w:firstLineChars="200"/>
        <w:rPr>
          <w:rFonts w:ascii="宋体" w:hAnsi="宋体" w:eastAsia="宋体"/>
          <w:szCs w:val="21"/>
        </w:rPr>
      </w:pPr>
      <w:r>
        <w:rPr>
          <w:rFonts w:hint="eastAsia" w:ascii="宋体" w:hAnsi="宋体" w:eastAsia="宋体"/>
          <w:szCs w:val="21"/>
        </w:rPr>
        <w:t>马克思主义的创始人虽然没有从一般意义上给“</w:t>
      </w:r>
      <w:r>
        <w:rPr>
          <w:rFonts w:ascii="宋体" w:hAnsi="宋体" w:eastAsia="宋体"/>
          <w:szCs w:val="21"/>
        </w:rPr>
        <w:t>制度”下过明确的定义，但他们的主张从不同方面、不同层次使用了制度概念，如</w:t>
      </w:r>
      <w:r>
        <w:rPr>
          <w:rFonts w:hint="eastAsia" w:ascii="宋体" w:hAnsi="宋体" w:eastAsia="宋体"/>
          <w:szCs w:val="21"/>
        </w:rPr>
        <w:t>“</w:t>
      </w:r>
      <w:r>
        <w:rPr>
          <w:rFonts w:ascii="宋体" w:hAnsi="宋体" w:eastAsia="宋体"/>
          <w:szCs w:val="21"/>
        </w:rPr>
        <w:t>生产资料所有制”、</w:t>
      </w:r>
      <w:r>
        <w:rPr>
          <w:rFonts w:hint="eastAsia" w:ascii="宋体" w:hAnsi="宋体" w:eastAsia="宋体"/>
          <w:szCs w:val="21"/>
        </w:rPr>
        <w:t>“</w:t>
      </w:r>
      <w:r>
        <w:rPr>
          <w:rFonts w:ascii="宋体" w:hAnsi="宋体" w:eastAsia="宋体"/>
          <w:szCs w:val="21"/>
        </w:rPr>
        <w:t>财产制度”、</w:t>
      </w:r>
      <w:r>
        <w:rPr>
          <w:rFonts w:hint="eastAsia" w:ascii="宋体" w:hAnsi="宋体" w:eastAsia="宋体"/>
          <w:szCs w:val="21"/>
        </w:rPr>
        <w:t>“</w:t>
      </w:r>
      <w:r>
        <w:rPr>
          <w:rFonts w:ascii="宋体" w:hAnsi="宋体" w:eastAsia="宋体"/>
          <w:szCs w:val="21"/>
        </w:rPr>
        <w:t>工厂制度”、</w:t>
      </w:r>
      <w:r>
        <w:rPr>
          <w:rFonts w:hint="eastAsia" w:ascii="宋体" w:hAnsi="宋体" w:eastAsia="宋体"/>
          <w:szCs w:val="21"/>
        </w:rPr>
        <w:t>“</w:t>
      </w:r>
      <w:r>
        <w:rPr>
          <w:rFonts w:ascii="宋体" w:hAnsi="宋体" w:eastAsia="宋体"/>
          <w:szCs w:val="21"/>
        </w:rPr>
        <w:t>土地制度”、</w:t>
      </w:r>
      <w:r>
        <w:rPr>
          <w:rFonts w:hint="eastAsia" w:ascii="宋体" w:hAnsi="宋体" w:eastAsia="宋体"/>
          <w:szCs w:val="21"/>
        </w:rPr>
        <w:t>“</w:t>
      </w:r>
      <w:r>
        <w:rPr>
          <w:rFonts w:ascii="宋体" w:hAnsi="宋体" w:eastAsia="宋体"/>
          <w:szCs w:val="21"/>
        </w:rPr>
        <w:t>国债制度”、</w:t>
      </w:r>
      <w:r>
        <w:rPr>
          <w:rFonts w:hint="eastAsia" w:ascii="宋体" w:hAnsi="宋体" w:eastAsia="宋体"/>
          <w:szCs w:val="21"/>
        </w:rPr>
        <w:t>“</w:t>
      </w:r>
      <w:r>
        <w:rPr>
          <w:rFonts w:ascii="宋体" w:hAnsi="宋体" w:eastAsia="宋体"/>
          <w:szCs w:val="21"/>
        </w:rPr>
        <w:t>税收制度”、</w:t>
      </w:r>
      <w:r>
        <w:rPr>
          <w:rFonts w:hint="eastAsia" w:ascii="宋体" w:hAnsi="宋体" w:eastAsia="宋体"/>
          <w:szCs w:val="21"/>
        </w:rPr>
        <w:t>“</w:t>
      </w:r>
      <w:r>
        <w:rPr>
          <w:rFonts w:ascii="宋体" w:hAnsi="宋体" w:eastAsia="宋体"/>
          <w:szCs w:val="21"/>
        </w:rPr>
        <w:t>法律制度”、</w:t>
      </w:r>
      <w:r>
        <w:rPr>
          <w:rFonts w:hint="eastAsia" w:ascii="宋体" w:hAnsi="宋体" w:eastAsia="宋体"/>
          <w:szCs w:val="21"/>
        </w:rPr>
        <w:t>“</w:t>
      </w:r>
      <w:r>
        <w:rPr>
          <w:rFonts w:ascii="宋体" w:hAnsi="宋体" w:eastAsia="宋体"/>
          <w:szCs w:val="21"/>
        </w:rPr>
        <w:t>保护关税制度</w:t>
      </w:r>
      <w:r>
        <w:rPr>
          <w:rFonts w:hint="eastAsia" w:ascii="宋体" w:hAnsi="宋体" w:eastAsia="宋体"/>
          <w:szCs w:val="21"/>
        </w:rPr>
        <w:t>”</w:t>
      </w:r>
      <w:r>
        <w:rPr>
          <w:rFonts w:ascii="宋体" w:hAnsi="宋体" w:eastAsia="宋体"/>
          <w:szCs w:val="21"/>
        </w:rPr>
        <w:t>等，而且也是把</w:t>
      </w:r>
      <w:r>
        <w:rPr>
          <w:rFonts w:hint="eastAsia" w:ascii="宋体" w:hAnsi="宋体" w:eastAsia="宋体"/>
          <w:szCs w:val="21"/>
        </w:rPr>
        <w:t>“</w:t>
      </w:r>
      <w:r>
        <w:rPr>
          <w:rFonts w:ascii="宋体" w:hAnsi="宋体" w:eastAsia="宋体"/>
          <w:szCs w:val="21"/>
        </w:rPr>
        <w:t>制度”视为一系列的包括多方面的规则。由于马克思主义政治经济学是研究社会生产关系及其发展规律的科学，它从本质关系上剖析了各种社会经济制度及与其相适应的政治、法律制度等。马克思和新制度经济学都重视制度及其作用，但对制度的认识具有重大的差别。</w:t>
      </w:r>
    </w:p>
    <w:p w14:paraId="62BCF3F1">
      <w:pPr>
        <w:spacing w:line="400" w:lineRule="exact"/>
        <w:ind w:firstLine="440" w:firstLineChars="200"/>
        <w:rPr>
          <w:rFonts w:ascii="宋体" w:hAnsi="宋体" w:eastAsia="宋体"/>
          <w:szCs w:val="21"/>
        </w:rPr>
      </w:pPr>
      <w:r>
        <w:rPr>
          <w:rFonts w:hint="eastAsia" w:ascii="宋体" w:hAnsi="宋体" w:eastAsia="宋体"/>
          <w:szCs w:val="21"/>
        </w:rPr>
        <w:t>其一，马克思把社会生产关系当作随着生产力的发展不断演变的人们之</w:t>
      </w:r>
      <w:r>
        <w:rPr>
          <w:rFonts w:ascii="宋体" w:hAnsi="宋体" w:eastAsia="宋体"/>
          <w:szCs w:val="21"/>
        </w:rPr>
        <w:t>间的必然关系，将制度视为依存于这些客观关系，反映其要求的规则，是历史的产物，而不是像西方经济学家那样，把制度描绘为符合人性需要，再由人们制定和选择的东西。</w:t>
      </w:r>
    </w:p>
    <w:p w14:paraId="79AB977C">
      <w:pPr>
        <w:spacing w:line="400" w:lineRule="exact"/>
        <w:ind w:firstLine="440" w:firstLineChars="200"/>
        <w:rPr>
          <w:rFonts w:ascii="宋体" w:hAnsi="宋体" w:eastAsia="宋体"/>
          <w:szCs w:val="21"/>
        </w:rPr>
      </w:pPr>
      <w:r>
        <w:rPr>
          <w:rFonts w:hint="eastAsia" w:ascii="宋体" w:hAnsi="宋体" w:eastAsia="宋体"/>
          <w:szCs w:val="21"/>
        </w:rPr>
        <w:t>其二，马克思本着历史唯物主义的分析，按照不同制度在社会中的地位</w:t>
      </w:r>
      <w:r>
        <w:rPr>
          <w:rFonts w:ascii="宋体" w:hAnsi="宋体" w:eastAsia="宋体"/>
          <w:szCs w:val="21"/>
        </w:rPr>
        <w:t>，将它们分为经济基础与上层建筑两大类，论证了它们之间的辨证关系，并在每类中区别了基本的、主要的制度和其他制度。而西方产权经济学家只是从一般意义上分析制度，对于各类制度没有做出本质性的划分，不能正确揭示社会经济制度大系统中各子系统之间的内在关系。</w:t>
      </w:r>
    </w:p>
    <w:p w14:paraId="3D76DF6B">
      <w:pPr>
        <w:spacing w:line="400" w:lineRule="exact"/>
        <w:ind w:firstLine="440" w:firstLineChars="200"/>
        <w:rPr>
          <w:rFonts w:ascii="宋体" w:hAnsi="宋体" w:eastAsia="宋体"/>
          <w:szCs w:val="21"/>
        </w:rPr>
      </w:pPr>
      <w:r>
        <w:rPr>
          <w:rFonts w:hint="eastAsia" w:ascii="宋体" w:hAnsi="宋体" w:eastAsia="宋体"/>
          <w:szCs w:val="21"/>
        </w:rPr>
        <w:t>其三，马克思把生产资料所有制作为社会经济制度的核心，其他的一切制</w:t>
      </w:r>
      <w:r>
        <w:rPr>
          <w:rFonts w:ascii="宋体" w:hAnsi="宋体" w:eastAsia="宋体"/>
          <w:szCs w:val="21"/>
        </w:rPr>
        <w:t>度都由此决定和在此基础上进行展开。新制度经济学是把所有制的具体表现——产权制度作为核心制度，认为其他制度的性质与特征主要是取决于产权制度。</w:t>
      </w:r>
    </w:p>
    <w:p w14:paraId="1C3F447E">
      <w:pPr>
        <w:spacing w:line="400" w:lineRule="exact"/>
        <w:ind w:firstLine="440" w:firstLineChars="200"/>
        <w:rPr>
          <w:rFonts w:ascii="宋体" w:hAnsi="宋体" w:eastAsia="宋体"/>
          <w:szCs w:val="21"/>
        </w:rPr>
      </w:pPr>
      <w:r>
        <w:rPr>
          <w:rFonts w:hint="eastAsia" w:ascii="宋体" w:hAnsi="宋体" w:eastAsia="宋体"/>
          <w:szCs w:val="21"/>
        </w:rPr>
        <w:t>其四，马克思侧重于从不同的杜会经济形态和阶级关系上揭示制度的特</w:t>
      </w:r>
      <w:r>
        <w:rPr>
          <w:rFonts w:ascii="宋体" w:hAnsi="宋体" w:eastAsia="宋体"/>
          <w:szCs w:val="21"/>
        </w:rPr>
        <w:t>征，而新制度经济学只是在抽象意义上界定制度，认为制度与劳动、土地、资本一样，是一种影响生产与交易成本的稀缺资源，只关注制度与人们利益的关系，不研究制度的社会性质，没有揭示制度背后支配人们经济行为并决定制度的特殊性质的阶级关系或利益集团关系。</w:t>
      </w:r>
    </w:p>
    <w:p w14:paraId="7DD80B95">
      <w:pPr>
        <w:spacing w:line="360" w:lineRule="auto"/>
        <w:ind w:firstLine="500" w:firstLineChars="200"/>
        <w:jc w:val="center"/>
        <w:rPr>
          <w:rFonts w:ascii="宋体" w:hAnsi="宋体" w:eastAsia="宋体"/>
          <w:b/>
          <w:bCs/>
          <w:sz w:val="24"/>
        </w:rPr>
      </w:pPr>
      <w:r>
        <w:rPr>
          <w:rFonts w:hint="eastAsia" w:ascii="宋体" w:hAnsi="宋体" w:eastAsia="宋体"/>
          <w:b/>
          <w:bCs/>
          <w:sz w:val="24"/>
        </w:rPr>
        <w:t>四、马克思与西方学者关于产权制度理论的若干比较</w:t>
      </w:r>
    </w:p>
    <w:p w14:paraId="641AD3D1">
      <w:pPr>
        <w:spacing w:line="400" w:lineRule="exact"/>
        <w:ind w:firstLine="440" w:firstLineChars="200"/>
        <w:rPr>
          <w:rFonts w:ascii="宋体" w:hAnsi="宋体" w:eastAsia="宋体"/>
          <w:szCs w:val="21"/>
        </w:rPr>
      </w:pPr>
      <w:r>
        <w:rPr>
          <w:rFonts w:hint="eastAsia" w:ascii="宋体" w:hAnsi="宋体" w:eastAsia="宋体"/>
          <w:szCs w:val="21"/>
        </w:rPr>
        <w:t>产权制度是马克思主义经济学和新制度经济学共同关注的经济范畴。西</w:t>
      </w:r>
      <w:r>
        <w:rPr>
          <w:rFonts w:ascii="宋体" w:hAnsi="宋体" w:eastAsia="宋体"/>
          <w:szCs w:val="21"/>
        </w:rPr>
        <w:t>方学者S.佩乔维奇曾说：</w:t>
      </w:r>
      <w:r>
        <w:rPr>
          <w:rFonts w:hint="eastAsia" w:ascii="宋体" w:hAnsi="宋体" w:eastAsia="宋体"/>
          <w:szCs w:val="21"/>
        </w:rPr>
        <w:t>“</w:t>
      </w:r>
      <w:r>
        <w:rPr>
          <w:rFonts w:ascii="宋体" w:hAnsi="宋体" w:eastAsia="宋体"/>
          <w:szCs w:val="21"/>
        </w:rPr>
        <w:t>马克思是第一位有产权制度理论的社会科学家。”此话没有言过其实，单就《资本论》而言，堪称是人类思想发展史上第一部较完整的产权经济学体系。这里，我们对马克思的产权制度理论与当代西方产权制度理论作一些比较性的阐释。</w:t>
      </w:r>
    </w:p>
    <w:p w14:paraId="3197827A">
      <w:pPr>
        <w:spacing w:line="400" w:lineRule="exact"/>
        <w:ind w:firstLine="440" w:firstLineChars="200"/>
        <w:rPr>
          <w:rFonts w:ascii="宋体" w:hAnsi="宋体" w:eastAsia="宋体"/>
          <w:b/>
          <w:bCs/>
          <w:szCs w:val="21"/>
        </w:rPr>
      </w:pPr>
      <w:r>
        <w:rPr>
          <w:rFonts w:hint="eastAsia" w:ascii="宋体" w:hAnsi="宋体" w:eastAsia="宋体"/>
          <w:b/>
          <w:bCs/>
          <w:szCs w:val="21"/>
        </w:rPr>
        <w:t>（一）关于产权的起源与本质</w:t>
      </w:r>
    </w:p>
    <w:p w14:paraId="4ACFCA77">
      <w:pPr>
        <w:spacing w:line="400" w:lineRule="exact"/>
        <w:ind w:firstLine="440" w:firstLineChars="200"/>
        <w:rPr>
          <w:rFonts w:ascii="宋体" w:hAnsi="宋体" w:eastAsia="宋体"/>
          <w:szCs w:val="21"/>
        </w:rPr>
      </w:pPr>
      <w:r>
        <w:rPr>
          <w:rFonts w:hint="eastAsia" w:ascii="宋体" w:hAnsi="宋体" w:eastAsia="宋体"/>
          <w:szCs w:val="21"/>
        </w:rPr>
        <w:t>关于产权的起源与本质，马克思学派与西方制度学派有某些相通或相同</w:t>
      </w:r>
      <w:r>
        <w:rPr>
          <w:rFonts w:ascii="宋体" w:hAnsi="宋体" w:eastAsia="宋体"/>
          <w:szCs w:val="21"/>
        </w:rPr>
        <w:t>之处。尽管使用了不一致的范畴和语言，但他们都认为：在鲁宾逊的一人世界里不可能有</w:t>
      </w:r>
      <w:r>
        <w:rPr>
          <w:rFonts w:hint="eastAsia" w:ascii="宋体" w:hAnsi="宋体" w:eastAsia="宋体"/>
          <w:szCs w:val="21"/>
        </w:rPr>
        <w:t>“</w:t>
      </w:r>
      <w:r>
        <w:rPr>
          <w:rFonts w:ascii="宋体" w:hAnsi="宋体" w:eastAsia="宋体"/>
          <w:szCs w:val="21"/>
        </w:rPr>
        <w:t>产权”，产权是体现人与人之间社会关系的一种权利；各种形式的产权起源均以稀缺为前提条件；无论是原始公有产权，还是原始私有产权，其形成都离不开排他性;原始商品交换和市场机制的存在与私有产权的形成密切相关，并相互促进。</w:t>
      </w:r>
    </w:p>
    <w:p w14:paraId="668A46EA">
      <w:pPr>
        <w:spacing w:line="400" w:lineRule="exact"/>
        <w:ind w:firstLine="440" w:firstLineChars="200"/>
        <w:rPr>
          <w:rFonts w:ascii="宋体" w:hAnsi="宋体" w:eastAsia="宋体"/>
          <w:szCs w:val="21"/>
        </w:rPr>
      </w:pPr>
      <w:r>
        <w:rPr>
          <w:rFonts w:hint="eastAsia" w:ascii="宋体" w:hAnsi="宋体" w:eastAsia="宋体"/>
          <w:szCs w:val="21"/>
        </w:rPr>
        <w:t>然而，两大学派对此也有一定的差别。马克思从多种角度</w:t>
      </w:r>
      <w:r>
        <w:rPr>
          <w:rFonts w:ascii="宋体" w:hAnsi="宋体" w:eastAsia="宋体"/>
          <w:szCs w:val="21"/>
        </w:rPr>
        <w:t>，并主要从生产力与生产关系的矛盾运动中阐明产权起源的（运用历史唯物论，具体从生产力、劳动分工、异化劳动、剩余产品、土地关系、交往关系、婚姻形式等多种角度，详尽地分析了人类历史上最初公有产权和私有产权的建立或起源）；而西方产权学派主要是从</w:t>
      </w:r>
      <w:r>
        <w:rPr>
          <w:rFonts w:hint="eastAsia" w:ascii="宋体" w:hAnsi="宋体" w:eastAsia="宋体"/>
          <w:szCs w:val="21"/>
        </w:rPr>
        <w:t>“</w:t>
      </w:r>
      <w:r>
        <w:rPr>
          <w:rFonts w:ascii="宋体" w:hAnsi="宋体" w:eastAsia="宋体"/>
          <w:szCs w:val="21"/>
        </w:rPr>
        <w:t>经济人”进行</w:t>
      </w:r>
      <w:r>
        <w:rPr>
          <w:rFonts w:hint="eastAsia" w:ascii="宋体" w:hAnsi="宋体" w:eastAsia="宋体"/>
          <w:szCs w:val="21"/>
        </w:rPr>
        <w:t>“</w:t>
      </w:r>
      <w:r>
        <w:rPr>
          <w:rFonts w:ascii="宋体" w:hAnsi="宋体" w:eastAsia="宋体"/>
          <w:szCs w:val="21"/>
        </w:rPr>
        <w:t>成本”“收益”的比较中论述产权起源的。马克思和恩格斯详细分析长期支配人类社会的产权的最初形态——原始公有产权，并认为这种公有产权具有一定程度的排他性（如在各个氏族公社之间等）；而西方产权学派只是</w:t>
      </w:r>
      <w:r>
        <w:rPr>
          <w:rFonts w:hint="eastAsia" w:ascii="宋体" w:hAnsi="宋体" w:eastAsia="宋体"/>
          <w:szCs w:val="21"/>
        </w:rPr>
        <w:t>在论述私有产权起源时提及作为产生起点的原始公</w:t>
      </w:r>
      <w:r>
        <w:rPr>
          <w:rFonts w:ascii="宋体" w:hAnsi="宋体" w:eastAsia="宋体"/>
          <w:szCs w:val="21"/>
        </w:rPr>
        <w:t>有产权，甚至认为私有或个人产权是在封建公约基础上发展起来的，将资本主义私有产权的起源说成是产权的起源。这显然是因为诺思、托马斯等人偏好</w:t>
      </w:r>
      <w:r>
        <w:rPr>
          <w:rFonts w:hint="eastAsia" w:ascii="宋体" w:hAnsi="宋体" w:eastAsia="宋体"/>
          <w:szCs w:val="21"/>
        </w:rPr>
        <w:t>“</w:t>
      </w:r>
      <w:r>
        <w:rPr>
          <w:rFonts w:ascii="宋体" w:hAnsi="宋体" w:eastAsia="宋体"/>
          <w:szCs w:val="21"/>
        </w:rPr>
        <w:t>私有产权”所致。</w:t>
      </w:r>
    </w:p>
    <w:p w14:paraId="6107398B">
      <w:pPr>
        <w:spacing w:line="400" w:lineRule="exact"/>
        <w:ind w:firstLine="440" w:firstLineChars="200"/>
        <w:rPr>
          <w:rFonts w:ascii="宋体" w:hAnsi="宋体" w:eastAsia="宋体"/>
          <w:szCs w:val="21"/>
        </w:rPr>
      </w:pPr>
      <w:r>
        <w:rPr>
          <w:rFonts w:hint="eastAsia" w:ascii="宋体" w:hAnsi="宋体" w:eastAsia="宋体"/>
          <w:szCs w:val="21"/>
        </w:rPr>
        <w:t>马克思认为，财产最初无非意味着这样一种关系，人把他的生产的自然条</w:t>
      </w:r>
      <w:r>
        <w:rPr>
          <w:rFonts w:ascii="宋体" w:hAnsi="宋体" w:eastAsia="宋体"/>
          <w:szCs w:val="21"/>
        </w:rPr>
        <w:t>件看作是属于他的、与他自身的存在一起产生的前提。也就是说，财产是有意</w:t>
      </w:r>
      <w:r>
        <w:rPr>
          <w:rFonts w:hint="eastAsia" w:ascii="宋体" w:hAnsi="宋体" w:eastAsia="宋体"/>
          <w:szCs w:val="21"/>
        </w:rPr>
        <w:t>识地把生产条件看作是自己所有这样一种关系，对于单个人来说，这种关系是</w:t>
      </w:r>
      <w:r>
        <w:rPr>
          <w:rFonts w:ascii="宋体" w:hAnsi="宋体" w:eastAsia="宋体"/>
          <w:szCs w:val="21"/>
        </w:rPr>
        <w:t>由共同体造成的，并在共同体中被宣布为法律由共同体保证。马克思在谈到商品交换中的产权关系时说过，这种具有契约形式的（不管这种契约是不是用法偉固定下来的）法权关系，是一种反映着经济关系的意志关系。这种法权关系或意志关系的内容是由这神经济关系本身决定的。可见，在马克思看来，产权本质上是一种法权关系，是生产关系的法律表现;产权关系是生产关系或所有制关系的意志或法律硬化形式；现实的所有制关系是先于所有权而存在的本源和经济基础，所有权是所</w:t>
      </w:r>
      <w:r>
        <w:rPr>
          <w:rFonts w:hint="eastAsia" w:ascii="宋体" w:hAnsi="宋体" w:eastAsia="宋体"/>
          <w:szCs w:val="21"/>
        </w:rPr>
        <w:t>有制的法律形态和法律范畴。</w:t>
      </w:r>
    </w:p>
    <w:p w14:paraId="1850A5F3">
      <w:pPr>
        <w:spacing w:line="400" w:lineRule="exact"/>
        <w:ind w:firstLine="440" w:firstLineChars="200"/>
        <w:rPr>
          <w:rFonts w:ascii="宋体" w:hAnsi="宋体" w:eastAsia="宋体"/>
          <w:szCs w:val="21"/>
        </w:rPr>
      </w:pPr>
      <w:r>
        <w:rPr>
          <w:rFonts w:hint="eastAsia" w:ascii="宋体" w:hAnsi="宋体" w:eastAsia="宋体"/>
          <w:szCs w:val="21"/>
        </w:rPr>
        <w:t>而科斯、张五常等人却只分析私有产权是一种等价交换式的契约关系，不</w:t>
      </w:r>
      <w:r>
        <w:rPr>
          <w:rFonts w:ascii="宋体" w:hAnsi="宋体" w:eastAsia="宋体"/>
          <w:szCs w:val="21"/>
        </w:rPr>
        <w:t>承认这种契约关系的实质可能包含无偿占有他人的剩余劳动和阶级关系。</w:t>
      </w:r>
    </w:p>
    <w:p w14:paraId="1AFE5D12">
      <w:pPr>
        <w:spacing w:line="400" w:lineRule="exact"/>
        <w:ind w:firstLine="440" w:firstLineChars="200"/>
        <w:rPr>
          <w:rFonts w:ascii="宋体" w:hAnsi="宋体" w:eastAsia="宋体"/>
          <w:b/>
          <w:bCs/>
          <w:szCs w:val="21"/>
        </w:rPr>
      </w:pPr>
      <w:r>
        <w:rPr>
          <w:rFonts w:hint="eastAsia" w:ascii="宋体" w:hAnsi="宋体" w:eastAsia="宋体"/>
          <w:b/>
          <w:bCs/>
          <w:szCs w:val="21"/>
        </w:rPr>
        <w:t>（二）</w:t>
      </w:r>
      <w:r>
        <w:rPr>
          <w:rFonts w:ascii="宋体" w:hAnsi="宋体" w:eastAsia="宋体"/>
          <w:b/>
          <w:bCs/>
          <w:szCs w:val="21"/>
        </w:rPr>
        <w:t>关于产权的结构</w:t>
      </w:r>
    </w:p>
    <w:p w14:paraId="4305F980">
      <w:pPr>
        <w:spacing w:line="400" w:lineRule="exact"/>
        <w:ind w:firstLine="440" w:firstLineChars="200"/>
        <w:rPr>
          <w:rFonts w:ascii="宋体" w:hAnsi="宋体" w:eastAsia="宋体"/>
          <w:szCs w:val="21"/>
        </w:rPr>
      </w:pPr>
      <w:r>
        <w:rPr>
          <w:rFonts w:hint="eastAsia" w:ascii="宋体" w:hAnsi="宋体" w:eastAsia="宋体"/>
          <w:szCs w:val="21"/>
        </w:rPr>
        <w:t>马克思和西方制度学派都基本肯定，广义的所有权或产权是由终极所有</w:t>
      </w:r>
      <w:r>
        <w:rPr>
          <w:rFonts w:ascii="宋体" w:hAnsi="宋体" w:eastAsia="宋体"/>
          <w:szCs w:val="21"/>
        </w:rPr>
        <w:t>权、占有权、支配权、使用权、处置权和收益权等构成的权利束，其内在结构可以有多种组合，如共有产权、国有产权、集体产权、合作产权、原始公有产权、个体私有产权、古典企业式单一私有产权、公司式复合私有产权等等。</w:t>
      </w:r>
    </w:p>
    <w:p w14:paraId="7C74C714">
      <w:pPr>
        <w:spacing w:line="400" w:lineRule="exact"/>
        <w:ind w:firstLine="440" w:firstLineChars="200"/>
        <w:rPr>
          <w:rFonts w:ascii="宋体" w:hAnsi="宋体" w:eastAsia="宋体"/>
          <w:szCs w:val="21"/>
        </w:rPr>
      </w:pPr>
      <w:r>
        <w:rPr>
          <w:rFonts w:hint="eastAsia" w:ascii="宋体" w:hAnsi="宋体" w:eastAsia="宋体"/>
          <w:szCs w:val="21"/>
        </w:rPr>
        <w:t>不</w:t>
      </w:r>
      <w:r>
        <w:rPr>
          <w:rFonts w:ascii="宋体" w:hAnsi="宋体" w:eastAsia="宋体"/>
          <w:szCs w:val="21"/>
        </w:rPr>
        <w:t>过，在马克思看来，广义产权结构中的终极所有权具有极为重要的作用或关键作用，收益权是终极所有权的经济实现；而在西方产权学派那里，一方面强调终极私人所有权的神圣不可侵犯性，即承认终极所有权的重要性；另一方面，又声称终极所有权归属不重要，只强调由使用权、收益权和转让权所构成的狭义产权关系的重要性。这一产权结构分析上的逻辑矛盾，在张五常教授的思想里表现得最明显，而在阿尔钦和登姆塞茨合写的文章中，竟然认为”队成员在寻求增加他们的生产率时，不仅向监督者分派了享有残余权利者的权利，而且还给予了他改变个别</w:t>
      </w:r>
      <w:r>
        <w:rPr>
          <w:rFonts w:hint="eastAsia" w:ascii="宋体" w:hAnsi="宋体" w:eastAsia="宋体"/>
          <w:szCs w:val="21"/>
        </w:rPr>
        <w:t>成员资格及队的绩效的权力。</w:t>
      </w:r>
      <w:r>
        <w:rPr>
          <w:rFonts w:ascii="宋体" w:hAnsi="宋体" w:eastAsia="宋体"/>
          <w:szCs w:val="21"/>
        </w:rPr>
        <w:t>这显然对所有权与剩余索取权（收益权）的内在联系作了有悖于逻辑和经验的误析（有的学者被此引导去研究利润为何要给资本家而不应给雇佣劳动者）。</w:t>
      </w:r>
    </w:p>
    <w:p w14:paraId="0E639D73">
      <w:pPr>
        <w:spacing w:line="400" w:lineRule="exact"/>
        <w:ind w:firstLine="440" w:firstLineChars="200"/>
        <w:rPr>
          <w:rFonts w:ascii="宋体" w:hAnsi="宋体" w:eastAsia="宋体"/>
          <w:b/>
          <w:bCs/>
          <w:szCs w:val="21"/>
        </w:rPr>
      </w:pPr>
      <w:r>
        <w:rPr>
          <w:rFonts w:hint="eastAsia" w:ascii="宋体" w:hAnsi="宋体" w:eastAsia="宋体"/>
          <w:b/>
          <w:bCs/>
          <w:szCs w:val="21"/>
        </w:rPr>
        <w:t>（三）</w:t>
      </w:r>
      <w:r>
        <w:rPr>
          <w:rFonts w:ascii="宋体" w:hAnsi="宋体" w:eastAsia="宋体"/>
          <w:b/>
          <w:bCs/>
          <w:szCs w:val="21"/>
        </w:rPr>
        <w:t>关于产权的市场环境</w:t>
      </w:r>
    </w:p>
    <w:p w14:paraId="47BB7935">
      <w:pPr>
        <w:spacing w:line="400" w:lineRule="exact"/>
        <w:ind w:firstLine="440" w:firstLineChars="200"/>
        <w:rPr>
          <w:rFonts w:ascii="宋体" w:hAnsi="宋体" w:eastAsia="宋体"/>
          <w:szCs w:val="21"/>
        </w:rPr>
      </w:pPr>
      <w:r>
        <w:rPr>
          <w:rFonts w:hint="eastAsia" w:ascii="宋体" w:hAnsi="宋体" w:eastAsia="宋体"/>
          <w:szCs w:val="21"/>
        </w:rPr>
        <w:t>马克思和西方制度学派都认为原始公有产权或原始公有制不需要市场环</w:t>
      </w:r>
      <w:r>
        <w:rPr>
          <w:rFonts w:ascii="宋体" w:hAnsi="宋体" w:eastAsia="宋体"/>
          <w:szCs w:val="21"/>
        </w:rPr>
        <w:t>境或商品交换。</w:t>
      </w:r>
    </w:p>
    <w:p w14:paraId="746F6468">
      <w:pPr>
        <w:spacing w:line="400" w:lineRule="exact"/>
        <w:rPr>
          <w:rFonts w:ascii="宋体" w:hAnsi="宋体" w:eastAsia="宋体"/>
          <w:szCs w:val="21"/>
        </w:rPr>
      </w:pPr>
      <w:r>
        <w:rPr>
          <w:rFonts w:hint="eastAsia" w:ascii="宋体" w:hAnsi="宋体" w:eastAsia="宋体"/>
          <w:szCs w:val="21"/>
        </w:rPr>
        <w:t>在新社会取代资本主义社会以后，合作社形式的产权是否需要市场环境</w:t>
      </w:r>
      <w:r>
        <w:rPr>
          <w:rFonts w:ascii="宋体" w:hAnsi="宋体" w:eastAsia="宋体"/>
          <w:szCs w:val="21"/>
        </w:rPr>
        <w:t>，马克思和西方产权学派都没有直接回答（列宁和斯大林均认为需要市场环境）。</w:t>
      </w:r>
    </w:p>
    <w:p w14:paraId="6C6BA4F1">
      <w:pPr>
        <w:spacing w:line="400" w:lineRule="exact"/>
        <w:ind w:firstLine="440" w:firstLineChars="200"/>
        <w:rPr>
          <w:rFonts w:ascii="宋体" w:hAnsi="宋体" w:eastAsia="宋体"/>
          <w:szCs w:val="21"/>
        </w:rPr>
      </w:pPr>
      <w:r>
        <w:rPr>
          <w:rFonts w:hint="eastAsia" w:ascii="宋体" w:hAnsi="宋体" w:eastAsia="宋体"/>
          <w:szCs w:val="21"/>
        </w:rPr>
        <w:t>马克思认为全社会生产资料的国有产权或社会所有制不需要市场环境。</w:t>
      </w:r>
      <w:r>
        <w:rPr>
          <w:rFonts w:ascii="宋体" w:hAnsi="宋体" w:eastAsia="宋体"/>
          <w:szCs w:val="21"/>
        </w:rPr>
        <w:t>在共同劳动的条件下，人们在其社会生产中的关系就不表现为'‘物”的”价值这是因为，在一个自由人联合体中，他们用公共的生产资料进行劳动，并且自觉地把许多个人劳动力当作一个社会劳动力来使用。在那里，鲁宾逊的劳动的一切规定又重演了，不过不是在个人身上，而是在社会范围内重演。鲁宾逊的一切产品只是他个人的产品，因而直接是他的使用物品。这个联合体的总产品是社会的产品。西方产权学派则不想认真研究这个问题（科斯曾提到：列宁说过，俄国的经济可以像一个大</w:t>
      </w:r>
      <w:r>
        <w:rPr>
          <w:rFonts w:hint="eastAsia" w:ascii="宋体" w:hAnsi="宋体" w:eastAsia="宋体"/>
          <w:szCs w:val="21"/>
        </w:rPr>
        <w:t>工厂那样运行。然而，许多西方的经济学家</w:t>
      </w:r>
      <w:r>
        <w:rPr>
          <w:rFonts w:ascii="宋体" w:hAnsi="宋体" w:eastAsia="宋体"/>
          <w:szCs w:val="21"/>
        </w:rPr>
        <w:t>坚持说这不可能）。</w:t>
      </w:r>
    </w:p>
    <w:p w14:paraId="1DED0617">
      <w:pPr>
        <w:spacing w:line="400" w:lineRule="exact"/>
        <w:ind w:firstLine="440" w:firstLineChars="200"/>
        <w:rPr>
          <w:rFonts w:ascii="宋体" w:hAnsi="宋体" w:eastAsia="宋体"/>
          <w:szCs w:val="21"/>
        </w:rPr>
      </w:pPr>
      <w:r>
        <w:rPr>
          <w:rFonts w:hint="eastAsia" w:ascii="宋体" w:hAnsi="宋体" w:eastAsia="宋体"/>
          <w:szCs w:val="21"/>
        </w:rPr>
        <w:t>私有产权需不需要市场环境，马克思和西方产权学派都作了肯定性的阐</w:t>
      </w:r>
      <w:r>
        <w:rPr>
          <w:rFonts w:ascii="宋体" w:hAnsi="宋体" w:eastAsia="宋体"/>
          <w:szCs w:val="21"/>
        </w:rPr>
        <w:t>释。马克思指出，彼此独立进行的、作为自然形成的社会分工部分而互相全面依赖的私人劳动，不断地被化为它们的社会的比例尺度，这是因为在私人劳动产品的偶然的不断变动的交换关系中，生产这些产品的社会必要劳动时间作为起调节作用的自然规律强制地为自己开辟道路，就像房屋倒在人的头上时重力定律强制地为自己开辟道路一样。在马克思看来，离开市场环境，私有资本产权便无法运转和实现。与此相似，西方产权学派也把私有产权与市场机制紧密联系起来看待，认为土地可以通</w:t>
      </w:r>
      <w:r>
        <w:rPr>
          <w:rFonts w:hint="eastAsia" w:ascii="宋体" w:hAnsi="宋体" w:eastAsia="宋体"/>
          <w:szCs w:val="21"/>
        </w:rPr>
        <w:t>过价格机制分配给土地使用者，不需政</w:t>
      </w:r>
      <w:r>
        <w:rPr>
          <w:rFonts w:ascii="宋体" w:hAnsi="宋体" w:eastAsia="宋体"/>
          <w:szCs w:val="21"/>
        </w:rPr>
        <w:t>府管制。但如果没有土地产权，任何人都可以占用一片土地，那么显然将发生很大的混乱，价格机制不能起作用。该学派坚信私有财产制加上价格体系将会解决由于产权不清所造成的混乱或冲突。其成员张五常进一步声称：没有私有产权，当然不可能有自由市场；惟一没有经济浪费的竞争准则是市场价值，这种准则占有在私有产权下才可以有效运用。显而易见，西方产权学派的有些论证超越了科学的界限，并且两大学派均没有涉及市场环境下能否实行公有产权的问题。</w:t>
      </w:r>
    </w:p>
    <w:p w14:paraId="43DED5C1">
      <w:pPr>
        <w:spacing w:line="400" w:lineRule="exact"/>
        <w:ind w:firstLine="440" w:firstLineChars="200"/>
        <w:rPr>
          <w:rFonts w:ascii="宋体" w:hAnsi="宋体" w:eastAsia="宋体"/>
          <w:b/>
          <w:bCs/>
          <w:szCs w:val="21"/>
        </w:rPr>
      </w:pPr>
      <w:r>
        <w:rPr>
          <w:rFonts w:hint="eastAsia" w:ascii="宋体" w:hAnsi="宋体" w:eastAsia="宋体"/>
          <w:b/>
          <w:bCs/>
          <w:szCs w:val="21"/>
        </w:rPr>
        <w:t>（四）关于产权的变迁</w:t>
      </w:r>
    </w:p>
    <w:p w14:paraId="72C46280">
      <w:pPr>
        <w:spacing w:line="400" w:lineRule="exact"/>
        <w:ind w:firstLine="440" w:firstLineChars="200"/>
        <w:rPr>
          <w:rFonts w:ascii="宋体" w:hAnsi="宋体" w:eastAsia="宋体"/>
          <w:szCs w:val="21"/>
        </w:rPr>
      </w:pPr>
      <w:r>
        <w:rPr>
          <w:rFonts w:hint="eastAsia" w:ascii="宋体" w:hAnsi="宋体" w:eastAsia="宋体"/>
          <w:szCs w:val="21"/>
        </w:rPr>
        <w:t>马克思把“产权</w:t>
      </w:r>
      <w:r>
        <w:rPr>
          <w:rFonts w:ascii="宋体" w:hAnsi="宋体" w:eastAsia="宋体"/>
          <w:szCs w:val="21"/>
        </w:rPr>
        <w:t>”看成是一个与生产力、经济和文化发展环境有关的历史范畴，认为产权制度和产权形态处于不断变化之中。他指出部落所有制先经过了几个不同的阶段——封建地产、同业公会的动产、工场手工业资本——然后才变为由大工业和普遍竞争所产生的现代资本，即变成抛弃了共同体的一切外观并消除了国家对财产发展的任何影响的纯粹私有制。依马克思所见，各种私有产权都是必然被取代的过渡性范畴和制度。这是因为，由资本形成的一般的社会权力和资本家个人对这些社会.生产条件拥有的私人权力之间的矛盾，发展得越来越尖锐，并且包含着</w:t>
      </w:r>
      <w:r>
        <w:rPr>
          <w:rFonts w:hint="eastAsia" w:ascii="宋体" w:hAnsi="宋体" w:eastAsia="宋体"/>
          <w:szCs w:val="21"/>
        </w:rPr>
        <w:t>这种关系的解体，因为它同时包含着生</w:t>
      </w:r>
      <w:r>
        <w:rPr>
          <w:rFonts w:ascii="宋体" w:hAnsi="宋体" w:eastAsia="宋体"/>
          <w:szCs w:val="21"/>
        </w:rPr>
        <w:t>产条件向一般的、共同的、社会的生产条件的转化。这种转化是由生产力在资本主义条件下的发展和实现这种发展的方式所决定的。毋庸置疑，在马克思的产权制度变迁理论中，是蕴含着变迁的制度费用比较的，最终表现为是否推动生产力的提高和人的全面发展。</w:t>
      </w:r>
    </w:p>
    <w:p w14:paraId="7453FFB1">
      <w:pPr>
        <w:spacing w:line="400" w:lineRule="exact"/>
        <w:ind w:firstLine="440" w:firstLineChars="200"/>
        <w:rPr>
          <w:rFonts w:ascii="宋体" w:hAnsi="宋体" w:eastAsia="宋体"/>
          <w:szCs w:val="21"/>
        </w:rPr>
      </w:pPr>
      <w:r>
        <w:rPr>
          <w:rFonts w:hint="eastAsia" w:ascii="宋体" w:hAnsi="宋体" w:eastAsia="宋体"/>
          <w:szCs w:val="21"/>
        </w:rPr>
        <w:t>与此不同，西方制度学派尽管有时并不否定私有产权是由公有产权转化</w:t>
      </w:r>
      <w:r>
        <w:rPr>
          <w:rFonts w:ascii="宋体" w:hAnsi="宋体" w:eastAsia="宋体"/>
          <w:szCs w:val="21"/>
        </w:rPr>
        <w:t>过来的，但又经常将产权等同于私有产权，并固执地认为交易成本相对较低的私有产权，只能被精细化和多样化，而不可能被完全取代。诺思说过:</w:t>
      </w:r>
      <w:r>
        <w:rPr>
          <w:rFonts w:hint="eastAsia" w:ascii="宋体" w:hAnsi="宋体" w:eastAsia="宋体"/>
          <w:szCs w:val="21"/>
        </w:rPr>
        <w:t>“</w:t>
      </w:r>
      <w:r>
        <w:rPr>
          <w:rFonts w:ascii="宋体" w:hAnsi="宋体" w:eastAsia="宋体"/>
          <w:szCs w:val="21"/>
        </w:rPr>
        <w:t>产权是个人对他们所拥有的劳动、物品和服务的占有权利。”张五常也说过，从历史的经验看，没有其他成功的制度，而经济理论也没有其他可取的办法。私有产权是独步单方，是经济发展最重要的因素，是惟一可靠的途径。这样，在他们的头脑中，私有产权就变成一个永恒的经济范畴。</w:t>
      </w:r>
    </w:p>
    <w:p w14:paraId="1C1D4845">
      <w:pPr>
        <w:spacing w:line="400" w:lineRule="exact"/>
        <w:ind w:firstLine="440" w:firstLineChars="200"/>
        <w:rPr>
          <w:rFonts w:ascii="宋体" w:hAnsi="宋体" w:eastAsia="宋体"/>
          <w:b/>
          <w:bCs/>
          <w:szCs w:val="21"/>
        </w:rPr>
      </w:pPr>
      <w:r>
        <w:rPr>
          <w:rFonts w:hint="eastAsia" w:ascii="宋体" w:hAnsi="宋体" w:eastAsia="宋体"/>
          <w:b/>
          <w:bCs/>
          <w:szCs w:val="21"/>
        </w:rPr>
        <w:t>（五）比较两类产权制度理论的基本结论</w:t>
      </w:r>
    </w:p>
    <w:p w14:paraId="6F42B979">
      <w:pPr>
        <w:spacing w:line="400" w:lineRule="exact"/>
        <w:ind w:firstLine="440" w:firstLineChars="200"/>
        <w:rPr>
          <w:rFonts w:ascii="宋体" w:hAnsi="宋体" w:eastAsia="宋体"/>
          <w:szCs w:val="21"/>
        </w:rPr>
      </w:pPr>
      <w:r>
        <w:rPr>
          <w:rFonts w:hint="eastAsia" w:ascii="宋体" w:hAnsi="宋体" w:eastAsia="宋体"/>
          <w:szCs w:val="21"/>
        </w:rPr>
        <w:t>西方学者的产权制度理论模型强调交易费用的比较、市场机制的发挥和</w:t>
      </w:r>
      <w:r>
        <w:rPr>
          <w:rFonts w:ascii="宋体" w:hAnsi="宋体" w:eastAsia="宋体"/>
          <w:szCs w:val="21"/>
        </w:rPr>
        <w:t>私有产权的精细化或明晰化，注重个别案例的研究；马克思的产权制度理论模型强调生产力与生产关系的矛盾运动，注重阶级关系和制度革命的研究。</w:t>
      </w:r>
    </w:p>
    <w:p w14:paraId="283DCB32">
      <w:pPr>
        <w:spacing w:line="400" w:lineRule="exact"/>
        <w:ind w:firstLine="440" w:firstLineChars="200"/>
        <w:rPr>
          <w:rFonts w:ascii="宋体" w:hAnsi="宋体" w:eastAsia="宋体"/>
          <w:szCs w:val="21"/>
        </w:rPr>
      </w:pPr>
      <w:r>
        <w:rPr>
          <w:rFonts w:hint="eastAsia" w:ascii="宋体" w:hAnsi="宋体" w:eastAsia="宋体"/>
          <w:szCs w:val="21"/>
        </w:rPr>
        <w:t>值得一提的是，学术上较为客观的诺思曾确认：”这里的一个例外是卡</w:t>
      </w:r>
      <w:r>
        <w:rPr>
          <w:rFonts w:ascii="宋体" w:hAnsi="宋体" w:eastAsia="宋体"/>
          <w:szCs w:val="21"/>
        </w:rPr>
        <w:t>尔•马克思的著作，他企图将技术变迁与制度变迁结合起来。马克思最早阐述的生产力（它常常被马克思用来指技术状态）与生产关系（常意指人类组织和具体的产权方面）的相互关系，是将技术限制与制约同人类组织的局限性结合起来所作的先驱性努力。这位教授还指出：”在马克思主义模型中，技术变革是现存经济组织内潜力不能实现的生产技术的先导。结果促使新阶级推翻现存制度，并发展出使该阶级得以实现新技术潜力的一组所有权。马克思主义的框架之所以是目前对长期变</w:t>
      </w:r>
      <w:r>
        <w:rPr>
          <w:rFonts w:hint="eastAsia" w:ascii="宋体" w:hAnsi="宋体" w:eastAsia="宋体"/>
          <w:szCs w:val="21"/>
        </w:rPr>
        <w:t>革最有力的论述，恰好是因为它将新古典</w:t>
      </w:r>
      <w:r>
        <w:rPr>
          <w:rFonts w:ascii="宋体" w:hAnsi="宋体" w:eastAsia="宋体"/>
          <w:szCs w:val="21"/>
        </w:rPr>
        <w:t>框架舍弃的全部要素都包括在内：制度、所有权、国家和意识形态。马克思所强调的所有权在有效率的经济组织中的重要作用以及现存所有权体系与新技术的生产潜力之间紧张关系在发展的观点，堪称是一项重大的贡献。在马克思主义体系中，正是技术变革造成紧张状态，而变革又是通过阶级斗争实现的。”年轻时代曾信仰过马克思理论的诺思，他的这些总体性评论是耐人寻味和客观的。</w:t>
      </w:r>
    </w:p>
    <w:p w14:paraId="12220118">
      <w:pPr>
        <w:spacing w:line="360" w:lineRule="auto"/>
        <w:jc w:val="center"/>
        <w:rPr>
          <w:rFonts w:ascii="宋体" w:hAnsi="宋体" w:eastAsia="宋体"/>
          <w:szCs w:val="21"/>
        </w:rPr>
      </w:pPr>
      <w:r>
        <w:rPr>
          <w:rFonts w:hint="eastAsia" w:ascii="宋体" w:hAnsi="宋体" w:eastAsia="宋体"/>
          <w:b/>
          <w:bCs/>
          <w:sz w:val="24"/>
        </w:rPr>
        <w:t>五、马克思与西方学者关于企业制度理论的若干比较</w:t>
      </w:r>
    </w:p>
    <w:p w14:paraId="4345C2A0">
      <w:pPr>
        <w:spacing w:line="400" w:lineRule="exact"/>
        <w:ind w:firstLine="440" w:firstLineChars="200"/>
        <w:rPr>
          <w:rFonts w:ascii="宋体" w:hAnsi="宋体" w:eastAsia="宋体"/>
          <w:szCs w:val="21"/>
        </w:rPr>
      </w:pPr>
      <w:r>
        <w:rPr>
          <w:rFonts w:hint="eastAsia" w:ascii="宋体" w:hAnsi="宋体" w:eastAsia="宋体"/>
          <w:szCs w:val="21"/>
        </w:rPr>
        <w:t>由于西方正统经济学家采取学术封闭的态度，盲目排斥马克思主义政治</w:t>
      </w:r>
      <w:r>
        <w:rPr>
          <w:rFonts w:ascii="宋体" w:hAnsi="宋体" w:eastAsia="宋体"/>
          <w:szCs w:val="21"/>
        </w:rPr>
        <w:t>经济学，因而认为在科斯1937年发表《企业的性质》一文以前，没有形成关于企业起源和成长的理论。可是，所有读过马克思《资本论》的正直学者都会承认，即使不谈其他著作，也完全可以说《资本论》早已形成关于企业的起源、本质、规模和治理结构等一整套较为系统的学说，而且十分深刻。在新制度经济学和马克思主义制度经济学中，企业都是重点研究的问题，因而都有比较完整的企业制度理论。这两种企业制度理论既存在着某种共通性，但也有着明显的差别，具体表现在以下几</w:t>
      </w:r>
      <w:r>
        <w:rPr>
          <w:rFonts w:hint="eastAsia" w:ascii="宋体" w:hAnsi="宋体" w:eastAsia="宋体"/>
          <w:szCs w:val="21"/>
        </w:rPr>
        <w:t>个方面。</w:t>
      </w:r>
    </w:p>
    <w:p w14:paraId="5F82ADFA">
      <w:pPr>
        <w:spacing w:line="400" w:lineRule="exact"/>
        <w:ind w:firstLine="440" w:firstLineChars="200"/>
        <w:rPr>
          <w:rFonts w:ascii="宋体" w:hAnsi="宋体" w:eastAsia="宋体"/>
          <w:b/>
          <w:bCs/>
          <w:szCs w:val="21"/>
        </w:rPr>
      </w:pPr>
      <w:r>
        <w:rPr>
          <w:rFonts w:hint="eastAsia" w:ascii="宋体" w:hAnsi="宋体" w:eastAsia="宋体"/>
          <w:b/>
          <w:bCs/>
          <w:szCs w:val="21"/>
        </w:rPr>
        <w:t>（一）</w:t>
      </w:r>
      <w:r>
        <w:rPr>
          <w:rFonts w:ascii="宋体" w:hAnsi="宋体" w:eastAsia="宋体"/>
          <w:b/>
          <w:bCs/>
          <w:szCs w:val="21"/>
        </w:rPr>
        <w:t>关于企业的起源和规模界限问题</w:t>
      </w:r>
    </w:p>
    <w:p w14:paraId="68CE4BE9">
      <w:pPr>
        <w:spacing w:line="400" w:lineRule="exact"/>
        <w:ind w:firstLine="440" w:firstLineChars="200"/>
        <w:rPr>
          <w:rFonts w:ascii="宋体" w:hAnsi="宋体" w:eastAsia="宋体"/>
          <w:szCs w:val="21"/>
        </w:rPr>
      </w:pPr>
      <w:r>
        <w:rPr>
          <w:rFonts w:hint="eastAsia" w:ascii="宋体" w:hAnsi="宋体" w:eastAsia="宋体"/>
          <w:szCs w:val="21"/>
        </w:rPr>
        <w:t>科斯等人撤开了协作和技术这一重要因素，主要从节约交易费用的角度</w:t>
      </w:r>
      <w:r>
        <w:rPr>
          <w:rFonts w:ascii="宋体" w:hAnsi="宋体" w:eastAsia="宋体"/>
          <w:szCs w:val="21"/>
        </w:rPr>
        <w:t>说明企业替代市场的效率动因，以及企业规模的界限。威廉姆森补充分析了技术和协作对交易及其费用的影响，说明企业追求的是由交易费用和生产费用构成的总费用最优。这类研究具有新意，尤其是总费用的均衡分析。</w:t>
      </w:r>
    </w:p>
    <w:p w14:paraId="0EE41B06">
      <w:pPr>
        <w:spacing w:line="400" w:lineRule="exact"/>
        <w:ind w:firstLine="440" w:firstLineChars="200"/>
        <w:rPr>
          <w:rFonts w:ascii="宋体" w:hAnsi="宋体" w:eastAsia="宋体"/>
          <w:szCs w:val="21"/>
        </w:rPr>
      </w:pPr>
      <w:r>
        <w:rPr>
          <w:rFonts w:hint="eastAsia" w:ascii="宋体" w:hAnsi="宋体" w:eastAsia="宋体"/>
          <w:szCs w:val="21"/>
        </w:rPr>
        <w:t>马克思在百年前从生产力和生产关系的矛盾运动出发，强调协作（与技术</w:t>
      </w:r>
      <w:r>
        <w:rPr>
          <w:rFonts w:ascii="宋体" w:hAnsi="宋体" w:eastAsia="宋体"/>
          <w:szCs w:val="21"/>
        </w:rPr>
        <w:t>特性有关）、劳动力、利润（与市场实现有关）和资本这四大因素对企业产生和规模的决定作用。他关于企业如何起源的分析结论是:在一定的技术和协作的基础上，为追求预期利润而用相对最低额以上的资本购买劳动力商品及相应的其他生产要素。显然，马克思在技术分析和制度分析的结合点上突出预期利润极大化的目的，则更具有广阔的视野、系统的认识和科学的逻辑。</w:t>
      </w:r>
    </w:p>
    <w:p w14:paraId="7F4CD367">
      <w:pPr>
        <w:spacing w:line="400" w:lineRule="exact"/>
        <w:ind w:firstLine="440" w:firstLineChars="200"/>
        <w:rPr>
          <w:rFonts w:ascii="宋体" w:hAnsi="宋体" w:eastAsia="宋体"/>
          <w:b/>
          <w:bCs/>
          <w:szCs w:val="21"/>
        </w:rPr>
      </w:pPr>
      <w:r>
        <w:rPr>
          <w:rFonts w:hint="eastAsia" w:ascii="宋体" w:hAnsi="宋体" w:eastAsia="宋体"/>
          <w:b/>
          <w:bCs/>
          <w:szCs w:val="21"/>
        </w:rPr>
        <w:t>（二）</w:t>
      </w:r>
      <w:r>
        <w:rPr>
          <w:rFonts w:ascii="宋体" w:hAnsi="宋体" w:eastAsia="宋体"/>
          <w:b/>
          <w:bCs/>
          <w:szCs w:val="21"/>
        </w:rPr>
        <w:t>关于企业的职能</w:t>
      </w:r>
    </w:p>
    <w:p w14:paraId="36D94D86">
      <w:pPr>
        <w:spacing w:line="400" w:lineRule="exact"/>
        <w:ind w:firstLine="440" w:firstLineChars="200"/>
        <w:rPr>
          <w:rFonts w:ascii="宋体" w:hAnsi="宋体" w:eastAsia="宋体"/>
          <w:szCs w:val="21"/>
        </w:rPr>
      </w:pPr>
      <w:r>
        <w:rPr>
          <w:rFonts w:hint="eastAsia" w:ascii="宋体" w:hAnsi="宋体" w:eastAsia="宋体"/>
          <w:szCs w:val="21"/>
        </w:rPr>
        <w:t>科斯强调企业的显著职能在于替代市场或市场机制，由一个企业家来支</w:t>
      </w:r>
      <w:r>
        <w:rPr>
          <w:rFonts w:ascii="宋体" w:hAnsi="宋体" w:eastAsia="宋体"/>
          <w:szCs w:val="21"/>
        </w:rPr>
        <w:t>配资源，从而节约交易费用。钱德勒也强调，现代工商企业的管理制度取代了市场机制而协调着货物从原料供应，经过生产和分配，直至最终消费的整个流程。这些都是颇有道理的。</w:t>
      </w:r>
    </w:p>
    <w:p w14:paraId="2024311E">
      <w:pPr>
        <w:spacing w:line="400" w:lineRule="exact"/>
        <w:ind w:firstLine="440" w:firstLineChars="200"/>
        <w:rPr>
          <w:rFonts w:ascii="宋体" w:hAnsi="宋体" w:eastAsia="宋体"/>
          <w:szCs w:val="21"/>
        </w:rPr>
      </w:pPr>
      <w:r>
        <w:rPr>
          <w:rFonts w:hint="eastAsia" w:ascii="宋体" w:hAnsi="宋体" w:eastAsia="宋体"/>
          <w:szCs w:val="21"/>
        </w:rPr>
        <w:t>不过</w:t>
      </w:r>
      <w:r>
        <w:rPr>
          <w:rFonts w:ascii="宋体" w:hAnsi="宋体" w:eastAsia="宋体"/>
          <w:szCs w:val="21"/>
        </w:rPr>
        <w:t>，马克思（包括恩格斯和列宁）也早就看到：即使是简单协作的企业，也能部分替代原来由个体所从事的生产及相应的市场交换；股份企业还能部分替代原来由政府所从事的生产和服务及相应的市场交换;具有垄断性和内部高度计划性的大公司，在一定程度上取代了市场竞争和市场交换，并成为向社会主义转变的过渡点。不仅如此，马克思还运用历史和逻辑相结合的的方法，分别对生产企业、商业企业和金融企业各自的职能作了圆满的阐释，深入地指出其生产剩余价值的职能、实现剩余价值职能或者为职能资本家服务并</w:t>
      </w:r>
      <w:r>
        <w:rPr>
          <w:rFonts w:hint="eastAsia" w:ascii="宋体" w:hAnsi="宋体" w:eastAsia="宋体"/>
          <w:szCs w:val="21"/>
        </w:rPr>
        <w:t>参与分割剩余价值的本质。这种分析，要比笼统说明企业的性质和职能细致</w:t>
      </w:r>
      <w:r>
        <w:rPr>
          <w:rFonts w:ascii="宋体" w:hAnsi="宋体" w:eastAsia="宋体"/>
          <w:szCs w:val="21"/>
        </w:rPr>
        <w:t>和深刻得多。</w:t>
      </w:r>
    </w:p>
    <w:p w14:paraId="2FC6D598">
      <w:pPr>
        <w:spacing w:line="400" w:lineRule="exact"/>
        <w:ind w:firstLine="440" w:firstLineChars="200"/>
        <w:rPr>
          <w:rFonts w:ascii="宋体" w:hAnsi="宋体" w:eastAsia="宋体"/>
          <w:b/>
          <w:bCs/>
          <w:szCs w:val="21"/>
        </w:rPr>
      </w:pPr>
      <w:r>
        <w:rPr>
          <w:rFonts w:hint="eastAsia" w:ascii="宋体" w:hAnsi="宋体" w:eastAsia="宋体"/>
          <w:b/>
          <w:bCs/>
          <w:szCs w:val="21"/>
        </w:rPr>
        <w:t>（三）</w:t>
      </w:r>
      <w:r>
        <w:rPr>
          <w:rFonts w:ascii="宋体" w:hAnsi="宋体" w:eastAsia="宋体"/>
          <w:b/>
          <w:bCs/>
          <w:szCs w:val="21"/>
        </w:rPr>
        <w:t>关于企业的内部结构</w:t>
      </w:r>
    </w:p>
    <w:p w14:paraId="6B1326C0">
      <w:pPr>
        <w:spacing w:line="400" w:lineRule="exact"/>
        <w:ind w:firstLine="440" w:firstLineChars="200"/>
        <w:rPr>
          <w:rFonts w:ascii="宋体" w:hAnsi="宋体" w:eastAsia="宋体"/>
          <w:szCs w:val="21"/>
        </w:rPr>
      </w:pPr>
      <w:r>
        <w:rPr>
          <w:rFonts w:hint="eastAsia" w:ascii="宋体" w:hAnsi="宋体" w:eastAsia="宋体"/>
          <w:szCs w:val="21"/>
        </w:rPr>
        <w:t>钱德勒强调现代工商企业内部的科层蛆织或等级制组织，突出“经理群</w:t>
      </w:r>
      <w:r>
        <w:rPr>
          <w:rFonts w:ascii="宋体" w:hAnsi="宋体" w:eastAsia="宋体"/>
          <w:szCs w:val="21"/>
        </w:rPr>
        <w:t>”（这是本书作者使用的词汇）的管理权。威廉姆森也注重大公司的</w:t>
      </w:r>
      <w:r>
        <w:rPr>
          <w:rFonts w:hint="eastAsia" w:ascii="宋体" w:hAnsi="宋体" w:eastAsia="宋体"/>
          <w:szCs w:val="21"/>
        </w:rPr>
        <w:t>“</w:t>
      </w:r>
      <w:r>
        <w:rPr>
          <w:rFonts w:ascii="宋体" w:hAnsi="宋体" w:eastAsia="宋体"/>
          <w:szCs w:val="21"/>
        </w:rPr>
        <w:t>H型”结构、</w:t>
      </w:r>
      <w:r>
        <w:rPr>
          <w:rFonts w:hint="eastAsia" w:ascii="宋体" w:hAnsi="宋体" w:eastAsia="宋体"/>
          <w:szCs w:val="21"/>
        </w:rPr>
        <w:t>“</w:t>
      </w:r>
      <w:r>
        <w:rPr>
          <w:rFonts w:ascii="宋体" w:hAnsi="宋体" w:eastAsia="宋体"/>
          <w:szCs w:val="21"/>
        </w:rPr>
        <w:t>U型”结构和</w:t>
      </w:r>
      <w:r>
        <w:rPr>
          <w:rFonts w:hint="eastAsia" w:ascii="宋体" w:hAnsi="宋体" w:eastAsia="宋体"/>
          <w:szCs w:val="21"/>
        </w:rPr>
        <w:t>“</w:t>
      </w:r>
      <w:r>
        <w:rPr>
          <w:rFonts w:ascii="宋体" w:hAnsi="宋体" w:eastAsia="宋体"/>
          <w:szCs w:val="21"/>
        </w:rPr>
        <w:t>M型”结构的变化，并独创性地探讨了企业内部治理结构的种种现象和机制。这类涉及企业表象的结构分析，一向是西方学者研究的重点，也是较科学和最主要的学术成就。</w:t>
      </w:r>
    </w:p>
    <w:p w14:paraId="5939F72E">
      <w:pPr>
        <w:spacing w:line="400" w:lineRule="exact"/>
        <w:ind w:firstLine="440" w:firstLineChars="200"/>
        <w:rPr>
          <w:rFonts w:ascii="宋体" w:hAnsi="宋体" w:eastAsia="宋体"/>
          <w:szCs w:val="21"/>
        </w:rPr>
      </w:pPr>
      <w:r>
        <w:rPr>
          <w:rFonts w:hint="eastAsia" w:ascii="宋体" w:hAnsi="宋体" w:eastAsia="宋体"/>
          <w:szCs w:val="21"/>
        </w:rPr>
        <w:t>相对来说</w:t>
      </w:r>
      <w:r>
        <w:rPr>
          <w:rFonts w:ascii="宋体" w:hAnsi="宋体" w:eastAsia="宋体"/>
          <w:szCs w:val="21"/>
        </w:rPr>
        <w:t>，马克思出于自己特定的研究目的和时代经济背景，不可能详细分析20世纪才形成的各种企业结构和新现象。但在那时，他已经清晰地指出股份公司内部的所有权与管理权相分离等某些特征和重要意义，以及与个人业主制企业和合作制企业的结构性区别，</w:t>
      </w:r>
      <w:r>
        <w:rPr>
          <w:rFonts w:hint="eastAsia" w:ascii="宋体" w:hAnsi="宋体" w:eastAsia="宋体"/>
          <w:szCs w:val="21"/>
        </w:rPr>
        <w:t>并</w:t>
      </w:r>
      <w:r>
        <w:rPr>
          <w:rFonts w:ascii="宋体" w:hAnsi="宋体" w:eastAsia="宋体"/>
          <w:szCs w:val="21"/>
        </w:rPr>
        <w:t>客观地分析了企业各类人员的不同经济地位和在价值创造中的作用，从而得出西方学者无法理解的革命性结论。</w:t>
      </w:r>
    </w:p>
    <w:p w14:paraId="308D67F3">
      <w:pPr>
        <w:spacing w:line="400" w:lineRule="exact"/>
        <w:ind w:firstLine="440" w:firstLineChars="200"/>
        <w:rPr>
          <w:rFonts w:ascii="宋体" w:hAnsi="宋体" w:eastAsia="宋体"/>
          <w:b/>
          <w:bCs/>
          <w:szCs w:val="21"/>
        </w:rPr>
      </w:pPr>
      <w:r>
        <w:rPr>
          <w:rFonts w:hint="eastAsia" w:ascii="宋体" w:hAnsi="宋体" w:eastAsia="宋体"/>
          <w:b/>
          <w:bCs/>
          <w:szCs w:val="21"/>
        </w:rPr>
        <w:t>（四）</w:t>
      </w:r>
      <w:r>
        <w:rPr>
          <w:rFonts w:ascii="宋体" w:hAnsi="宋体" w:eastAsia="宋体"/>
          <w:b/>
          <w:bCs/>
          <w:szCs w:val="21"/>
        </w:rPr>
        <w:t>关于企业的契约性质</w:t>
      </w:r>
    </w:p>
    <w:p w14:paraId="7097274F">
      <w:pPr>
        <w:spacing w:line="400" w:lineRule="exact"/>
        <w:ind w:firstLine="440" w:firstLineChars="200"/>
        <w:rPr>
          <w:rFonts w:ascii="宋体" w:hAnsi="宋体" w:eastAsia="宋体"/>
          <w:szCs w:val="21"/>
        </w:rPr>
      </w:pPr>
      <w:r>
        <w:rPr>
          <w:rFonts w:hint="eastAsia" w:ascii="宋体" w:hAnsi="宋体" w:eastAsia="宋体"/>
          <w:szCs w:val="21"/>
        </w:rPr>
        <w:t>科斯提出企业的契约思想之后，阿尔钦和登姆塞茨及张五常都大加发挥。</w:t>
      </w:r>
      <w:r>
        <w:rPr>
          <w:rFonts w:ascii="宋体" w:hAnsi="宋体" w:eastAsia="宋体"/>
          <w:szCs w:val="21"/>
        </w:rPr>
        <w:t>撇开</w:t>
      </w:r>
      <w:r>
        <w:rPr>
          <w:rFonts w:hint="eastAsia" w:ascii="宋体" w:hAnsi="宋体" w:eastAsia="宋体"/>
          <w:szCs w:val="21"/>
        </w:rPr>
        <w:t>“</w:t>
      </w:r>
      <w:r>
        <w:rPr>
          <w:rFonts w:ascii="宋体" w:hAnsi="宋体" w:eastAsia="宋体"/>
          <w:szCs w:val="21"/>
        </w:rPr>
        <w:t>偷懒一监督”等一些常识性描述以外，他们的基本思想就是马克思在《资本论》中一再批判的资产阶级的契约自由和契约平等的观念，与百年前的</w:t>
      </w:r>
      <w:r>
        <w:rPr>
          <w:rFonts w:hint="eastAsia" w:ascii="宋体" w:hAnsi="宋体" w:eastAsia="宋体"/>
          <w:szCs w:val="21"/>
        </w:rPr>
        <w:t>“</w:t>
      </w:r>
      <w:r>
        <w:rPr>
          <w:rFonts w:ascii="宋体" w:hAnsi="宋体" w:eastAsia="宋体"/>
          <w:szCs w:val="21"/>
        </w:rPr>
        <w:t>资产阶级政治经济学教授们”（马克思语）没有什么区别，也没有什么值得骄傲的学术进展。</w:t>
      </w:r>
    </w:p>
    <w:p w14:paraId="76191868">
      <w:pPr>
        <w:spacing w:line="400" w:lineRule="exact"/>
        <w:ind w:firstLine="440" w:firstLineChars="200"/>
        <w:rPr>
          <w:rFonts w:ascii="宋体" w:hAnsi="宋体" w:eastAsia="宋体"/>
          <w:szCs w:val="21"/>
        </w:rPr>
      </w:pPr>
      <w:r>
        <w:rPr>
          <w:rFonts w:hint="eastAsia" w:ascii="宋体" w:hAnsi="宋体" w:eastAsia="宋体"/>
          <w:szCs w:val="21"/>
        </w:rPr>
        <w:t>马克思的思维洞察力极强，认为企业是一个由契约结成的经济利益矛盾</w:t>
      </w:r>
      <w:r>
        <w:rPr>
          <w:rFonts w:ascii="宋体" w:hAnsi="宋体" w:eastAsia="宋体"/>
          <w:szCs w:val="21"/>
        </w:rPr>
        <w:t>的统一体。他既承认和描述资本主义企业的契约所具有的形式上的自由性和平等性，即资本所有者与雇佣劳动者在市场上的</w:t>
      </w:r>
      <w:r>
        <w:rPr>
          <w:rFonts w:hint="eastAsia" w:ascii="宋体" w:hAnsi="宋体" w:eastAsia="宋体"/>
          <w:szCs w:val="21"/>
        </w:rPr>
        <w:t>“</w:t>
      </w:r>
      <w:r>
        <w:rPr>
          <w:rFonts w:ascii="宋体" w:hAnsi="宋体" w:eastAsia="宋体"/>
          <w:szCs w:val="21"/>
        </w:rPr>
        <w:t>等价交换”，又看出和掲示这一契约在实质上的不自由性和不平等性，即资本所有者与雇佣劳动者在生产和再生产中的”剥削一被剥削”的关系。这种透过被歪曲表现出来的经济现象，阐明私有古典企业和股份企业的契约本质的分析方法，无疑胜过许多西方经济学家。</w:t>
      </w:r>
    </w:p>
    <w:p w14:paraId="4FE6EA37">
      <w:pPr>
        <w:spacing w:line="400" w:lineRule="exact"/>
        <w:ind w:firstLine="440" w:firstLineChars="200"/>
        <w:rPr>
          <w:rFonts w:ascii="宋体" w:hAnsi="宋体" w:eastAsia="宋体"/>
          <w:b/>
          <w:bCs/>
          <w:szCs w:val="21"/>
        </w:rPr>
      </w:pPr>
      <w:r>
        <w:rPr>
          <w:rFonts w:hint="eastAsia" w:ascii="宋体" w:hAnsi="宋体" w:eastAsia="宋体"/>
          <w:b/>
          <w:bCs/>
          <w:szCs w:val="21"/>
        </w:rPr>
        <w:t>（五）</w:t>
      </w:r>
      <w:r>
        <w:rPr>
          <w:rFonts w:ascii="宋体" w:hAnsi="宋体" w:eastAsia="宋体"/>
          <w:b/>
          <w:bCs/>
          <w:szCs w:val="21"/>
        </w:rPr>
        <w:t>关于企业的费用</w:t>
      </w:r>
    </w:p>
    <w:p w14:paraId="638AD34D">
      <w:pPr>
        <w:spacing w:line="400" w:lineRule="exact"/>
        <w:ind w:firstLine="440" w:firstLineChars="200"/>
        <w:rPr>
          <w:rFonts w:ascii="宋体" w:hAnsi="宋体" w:eastAsia="宋体"/>
          <w:szCs w:val="21"/>
        </w:rPr>
      </w:pPr>
      <w:r>
        <w:rPr>
          <w:rFonts w:hint="eastAsia" w:ascii="宋体" w:hAnsi="宋体" w:eastAsia="宋体"/>
          <w:szCs w:val="21"/>
        </w:rPr>
        <w:t>科斯、威廉姆森等人提出和论证的“交易费用</w:t>
      </w:r>
      <w:r>
        <w:rPr>
          <w:rFonts w:ascii="宋体" w:hAnsi="宋体" w:eastAsia="宋体"/>
          <w:szCs w:val="21"/>
        </w:rPr>
        <w:t>”概念，尽管近60年来还没有界说清楚，并对它的热衷甚至到了滥用的地步，但仍有一定的学术研究价值，同生产费用一样，也是解析企业存在和成长的角度之一。</w:t>
      </w:r>
    </w:p>
    <w:p w14:paraId="7168CFBA">
      <w:pPr>
        <w:spacing w:line="400" w:lineRule="exact"/>
        <w:ind w:firstLine="440" w:firstLineChars="200"/>
        <w:rPr>
          <w:rFonts w:ascii="宋体" w:hAnsi="宋体" w:eastAsia="宋体"/>
          <w:szCs w:val="21"/>
        </w:rPr>
      </w:pPr>
      <w:r>
        <w:rPr>
          <w:rFonts w:hint="eastAsia" w:ascii="宋体" w:hAnsi="宋体" w:eastAsia="宋体"/>
          <w:szCs w:val="21"/>
        </w:rPr>
        <w:t>马克思在界定企业的各种费用时，虽然没有明确提出“</w:t>
      </w:r>
      <w:r>
        <w:rPr>
          <w:rFonts w:ascii="宋体" w:hAnsi="宋体" w:eastAsia="宋体"/>
          <w:szCs w:val="21"/>
        </w:rPr>
        <w:t>交易费用</w:t>
      </w:r>
      <w:r>
        <w:rPr>
          <w:rFonts w:hint="eastAsia" w:ascii="宋体" w:hAnsi="宋体" w:eastAsia="宋体"/>
          <w:szCs w:val="21"/>
        </w:rPr>
        <w:t>”</w:t>
      </w:r>
      <w:r>
        <w:rPr>
          <w:rFonts w:ascii="宋体" w:hAnsi="宋体" w:eastAsia="宋体"/>
          <w:szCs w:val="21"/>
        </w:rPr>
        <w:t>的范畴，可是，在具体分析由买卖时间（即马克思说的</w:t>
      </w:r>
      <w:r>
        <w:rPr>
          <w:rFonts w:hint="eastAsia" w:ascii="宋体" w:hAnsi="宋体" w:eastAsia="宋体"/>
          <w:szCs w:val="21"/>
        </w:rPr>
        <w:t>“</w:t>
      </w:r>
      <w:r>
        <w:rPr>
          <w:rFonts w:ascii="宋体" w:hAnsi="宋体" w:eastAsia="宋体"/>
          <w:szCs w:val="21"/>
        </w:rPr>
        <w:t>资本家的交易”）、簿记和货币所引起的三种纯粹流通费用中，显然含有类似的合理内容。即使在今天，马克思所定义的各种费用仍然是正确的，当然可以进一步拓展和细化。</w:t>
      </w:r>
    </w:p>
    <w:p w14:paraId="628F52BC">
      <w:pPr>
        <w:spacing w:line="400" w:lineRule="exact"/>
        <w:ind w:firstLine="440" w:firstLineChars="200"/>
        <w:rPr>
          <w:rFonts w:ascii="宋体" w:hAnsi="宋体" w:eastAsia="宋体"/>
          <w:b/>
          <w:bCs/>
          <w:szCs w:val="21"/>
        </w:rPr>
      </w:pPr>
      <w:r>
        <w:rPr>
          <w:rFonts w:ascii="宋体" w:hAnsi="宋体" w:eastAsia="宋体"/>
          <w:b/>
          <w:bCs/>
          <w:szCs w:val="21"/>
        </w:rPr>
        <w:t>(六)比较两类企业理论的基本结论</w:t>
      </w:r>
    </w:p>
    <w:p w14:paraId="111DEDF8">
      <w:pPr>
        <w:spacing w:line="400" w:lineRule="exact"/>
        <w:ind w:firstLine="440" w:firstLineChars="200"/>
        <w:rPr>
          <w:rFonts w:ascii="宋体" w:hAnsi="宋体" w:eastAsia="宋体"/>
          <w:szCs w:val="21"/>
        </w:rPr>
      </w:pPr>
      <w:r>
        <w:rPr>
          <w:rFonts w:hint="eastAsia" w:ascii="宋体" w:hAnsi="宋体" w:eastAsia="宋体"/>
          <w:szCs w:val="21"/>
        </w:rPr>
        <w:t>抛开细节问题，西方学者是在否认企业本质的基础上侧重于企业各种表</w:t>
      </w:r>
      <w:r>
        <w:rPr>
          <w:rFonts w:ascii="宋体" w:hAnsi="宋体" w:eastAsia="宋体"/>
          <w:szCs w:val="21"/>
        </w:rPr>
        <w:t>象的分析，而马克思则是在承认企业表象的基础上侧重于企业本质状况的分析。</w:t>
      </w:r>
    </w:p>
    <w:p w14:paraId="07AA275D">
      <w:pPr>
        <w:spacing w:line="400" w:lineRule="exact"/>
        <w:rPr>
          <w:rFonts w:ascii="宋体" w:hAnsi="宋体" w:eastAsia="宋体"/>
          <w:szCs w:val="21"/>
        </w:rPr>
      </w:pPr>
    </w:p>
    <w:p w14:paraId="106D1A8E">
      <w:pPr>
        <w:spacing w:line="400" w:lineRule="exact"/>
        <w:rPr>
          <w:rFonts w:ascii="宋体" w:hAnsi="宋体" w:eastAsia="宋体"/>
          <w:szCs w:val="21"/>
        </w:rPr>
      </w:pPr>
      <w:r>
        <w:rPr>
          <w:rFonts w:hint="eastAsia" w:ascii="宋体" w:hAnsi="宋体" w:eastAsia="宋体"/>
          <w:szCs w:val="21"/>
        </w:rPr>
        <w:t>参考文献</w:t>
      </w:r>
    </w:p>
    <w:p w14:paraId="62A4701D">
      <w:pPr>
        <w:spacing w:line="400" w:lineRule="exact"/>
        <w:rPr>
          <w:rFonts w:ascii="宋体" w:hAnsi="宋体" w:eastAsia="宋体"/>
          <w:szCs w:val="21"/>
        </w:rPr>
      </w:pPr>
      <w:r>
        <w:rPr>
          <w:rFonts w:hint="eastAsia" w:ascii="宋体" w:hAnsi="宋体" w:eastAsia="宋体"/>
          <w:szCs w:val="21"/>
        </w:rPr>
        <w:t>［</w:t>
      </w:r>
      <w:r>
        <w:rPr>
          <w:rFonts w:ascii="宋体" w:hAnsi="宋体" w:eastAsia="宋体"/>
          <w:szCs w:val="21"/>
        </w:rPr>
        <w:t>1］</w:t>
      </w:r>
      <w:r>
        <w:rPr>
          <w:rFonts w:ascii="宋体" w:hAnsi="宋体" w:eastAsia="宋体"/>
          <w:szCs w:val="21"/>
        </w:rPr>
        <w:tab/>
      </w:r>
      <w:r>
        <w:rPr>
          <w:rFonts w:ascii="宋体" w:hAnsi="宋体" w:eastAsia="宋体"/>
          <w:szCs w:val="21"/>
        </w:rPr>
        <w:t>程恩富、胡乐明.新制度经济学［M］.北京：经济日报出版社，2005.</w:t>
      </w:r>
    </w:p>
    <w:p w14:paraId="1E56B377">
      <w:pPr>
        <w:spacing w:line="400" w:lineRule="exact"/>
        <w:rPr>
          <w:rFonts w:ascii="宋体" w:hAnsi="宋体" w:eastAsia="宋体"/>
          <w:szCs w:val="21"/>
        </w:rPr>
      </w:pPr>
      <w:r>
        <w:rPr>
          <w:rFonts w:hint="eastAsia" w:ascii="宋体" w:hAnsi="宋体" w:eastAsia="宋体"/>
          <w:szCs w:val="21"/>
        </w:rPr>
        <w:t>［</w:t>
      </w:r>
      <w:r>
        <w:rPr>
          <w:rFonts w:ascii="宋体" w:hAnsi="宋体" w:eastAsia="宋体"/>
          <w:szCs w:val="21"/>
        </w:rPr>
        <w:t>2］</w:t>
      </w:r>
      <w:r>
        <w:rPr>
          <w:rFonts w:ascii="宋体" w:hAnsi="宋体" w:eastAsia="宋体"/>
          <w:szCs w:val="21"/>
        </w:rPr>
        <w:tab/>
      </w:r>
      <w:r>
        <w:rPr>
          <w:rFonts w:ascii="宋体" w:hAnsi="宋体" w:eastAsia="宋体"/>
          <w:szCs w:val="21"/>
        </w:rPr>
        <w:t>程恩富.西方产权理论评析［M］.北京：当代中国出版社，1997.</w:t>
      </w:r>
    </w:p>
    <w:p w14:paraId="3749CFA9">
      <w:pPr>
        <w:spacing w:line="400" w:lineRule="exact"/>
        <w:rPr>
          <w:rFonts w:ascii="宋体" w:hAnsi="宋体" w:eastAsia="宋体"/>
          <w:szCs w:val="21"/>
        </w:rPr>
      </w:pPr>
      <w:r>
        <w:rPr>
          <w:rFonts w:hint="eastAsia" w:ascii="宋体" w:hAnsi="宋体" w:eastAsia="宋体"/>
          <w:szCs w:val="21"/>
        </w:rPr>
        <w:t>［</w:t>
      </w:r>
      <w:r>
        <w:rPr>
          <w:rFonts w:ascii="宋体" w:hAnsi="宋体" w:eastAsia="宋体"/>
          <w:szCs w:val="21"/>
        </w:rPr>
        <w:t>3］</w:t>
      </w:r>
      <w:r>
        <w:rPr>
          <w:rFonts w:ascii="宋体" w:hAnsi="宋体" w:eastAsia="宋体"/>
          <w:szCs w:val="21"/>
        </w:rPr>
        <w:tab/>
      </w:r>
      <w:r>
        <w:rPr>
          <w:rFonts w:ascii="宋体" w:hAnsi="宋体" w:eastAsia="宋体"/>
          <w:szCs w:val="21"/>
        </w:rPr>
        <w:t>程恩富、徐惠平.新制度经济学派的成因、特点与总体评价［J］.当代经济研究，2004(9).</w:t>
      </w:r>
    </w:p>
    <w:p w14:paraId="6A766580">
      <w:pPr>
        <w:spacing w:line="400" w:lineRule="exact"/>
        <w:rPr>
          <w:rFonts w:ascii="宋体" w:hAnsi="宋体" w:eastAsia="宋体"/>
          <w:szCs w:val="21"/>
        </w:rPr>
      </w:pPr>
      <w:r>
        <w:rPr>
          <w:rFonts w:hint="eastAsia" w:ascii="宋体" w:hAnsi="宋体" w:eastAsia="宋体"/>
          <w:szCs w:val="21"/>
        </w:rPr>
        <w:t>［</w:t>
      </w:r>
      <w:r>
        <w:rPr>
          <w:rFonts w:ascii="宋体" w:hAnsi="宋体" w:eastAsia="宋体"/>
          <w:szCs w:val="21"/>
        </w:rPr>
        <w:t>4］</w:t>
      </w:r>
      <w:r>
        <w:rPr>
          <w:rFonts w:ascii="宋体" w:hAnsi="宋体" w:eastAsia="宋体"/>
          <w:szCs w:val="21"/>
        </w:rPr>
        <w:tab/>
      </w:r>
      <w:r>
        <w:rPr>
          <w:rFonts w:ascii="宋体" w:hAnsi="宋体" w:eastAsia="宋体"/>
          <w:szCs w:val="21"/>
        </w:rPr>
        <w:t>顾飪民.马克思主义制度经济学［M］.上海:复旦大学出版社，2005.</w:t>
      </w:r>
    </w:p>
    <w:p w14:paraId="000DA624">
      <w:pPr>
        <w:spacing w:line="400" w:lineRule="exact"/>
        <w:rPr>
          <w:rFonts w:ascii="宋体" w:hAnsi="宋体" w:eastAsia="宋体"/>
          <w:szCs w:val="21"/>
        </w:rPr>
      </w:pPr>
      <w:r>
        <w:rPr>
          <w:rFonts w:hint="eastAsia" w:ascii="宋体" w:hAnsi="宋体" w:eastAsia="宋体"/>
          <w:szCs w:val="21"/>
        </w:rPr>
        <w:t>［</w:t>
      </w:r>
      <w:r>
        <w:rPr>
          <w:rFonts w:ascii="宋体" w:hAnsi="宋体" w:eastAsia="宋体"/>
          <w:szCs w:val="21"/>
        </w:rPr>
        <w:t>5］</w:t>
      </w:r>
      <w:r>
        <w:rPr>
          <w:rFonts w:ascii="宋体" w:hAnsi="宋体" w:eastAsia="宋体"/>
          <w:szCs w:val="21"/>
        </w:rPr>
        <w:tab/>
      </w:r>
      <w:r>
        <w:rPr>
          <w:rFonts w:ascii="宋体" w:hAnsi="宋体" w:eastAsia="宋体"/>
          <w:szCs w:val="21"/>
        </w:rPr>
        <w:t>林岗、刘元春.制度整体主义与制度个人主义［J］.中国人民大学学报，2001(2).</w:t>
      </w:r>
    </w:p>
    <w:p w14:paraId="046FEAEC">
      <w:pPr>
        <w:spacing w:line="400" w:lineRule="exact"/>
        <w:rPr>
          <w:rFonts w:ascii="宋体" w:hAnsi="宋体" w:eastAsia="宋体"/>
          <w:szCs w:val="21"/>
        </w:rPr>
      </w:pPr>
      <w:r>
        <w:rPr>
          <w:rFonts w:hint="eastAsia" w:ascii="宋体" w:hAnsi="宋体" w:eastAsia="宋体"/>
          <w:szCs w:val="21"/>
        </w:rPr>
        <w:t>［</w:t>
      </w:r>
      <w:r>
        <w:rPr>
          <w:rFonts w:ascii="宋体" w:hAnsi="宋体" w:eastAsia="宋体"/>
          <w:szCs w:val="21"/>
        </w:rPr>
        <w:t>6］</w:t>
      </w:r>
      <w:r>
        <w:rPr>
          <w:rFonts w:ascii="宋体" w:hAnsi="宋体" w:eastAsia="宋体"/>
          <w:szCs w:val="21"/>
        </w:rPr>
        <w:tab/>
      </w:r>
      <w:r>
        <w:rPr>
          <w:rFonts w:ascii="宋体" w:hAnsi="宋体" w:eastAsia="宋体"/>
          <w:szCs w:val="21"/>
        </w:rPr>
        <w:t>林岗、刘元春.诺斯与马克思：关于制度的起源和本质的两种解释的比较［J］.经济研究，2000(6).</w:t>
      </w:r>
    </w:p>
    <w:p w14:paraId="2AFC95A8">
      <w:pPr>
        <w:spacing w:line="400" w:lineRule="exact"/>
        <w:rPr>
          <w:rFonts w:ascii="宋体" w:hAnsi="宋体" w:eastAsia="宋体"/>
          <w:szCs w:val="21"/>
        </w:rPr>
      </w:pPr>
      <w:r>
        <w:rPr>
          <w:rFonts w:hint="eastAsia" w:ascii="宋体" w:hAnsi="宋体" w:eastAsia="宋体"/>
          <w:szCs w:val="21"/>
        </w:rPr>
        <w:t>［</w:t>
      </w:r>
      <w:r>
        <w:rPr>
          <w:rFonts w:ascii="宋体" w:hAnsi="宋体" w:eastAsia="宋体"/>
          <w:szCs w:val="21"/>
        </w:rPr>
        <w:t>7］</w:t>
      </w:r>
      <w:r>
        <w:rPr>
          <w:rFonts w:ascii="宋体" w:hAnsi="宋体" w:eastAsia="宋体"/>
          <w:szCs w:val="21"/>
        </w:rPr>
        <w:tab/>
      </w:r>
      <w:r>
        <w:rPr>
          <w:rFonts w:ascii="宋体" w:hAnsi="宋体" w:eastAsia="宋体"/>
          <w:szCs w:val="21"/>
        </w:rPr>
        <w:t>林岗、刘元春、张宇.诺思与马克思：关于社会发展和制度变迁动力的比较口丄中国人民大学学报，2000(3).</w:t>
      </w:r>
    </w:p>
    <w:p w14:paraId="68E11075">
      <w:pPr>
        <w:spacing w:line="400" w:lineRule="exact"/>
        <w:rPr>
          <w:rFonts w:ascii="宋体" w:hAnsi="宋体" w:eastAsia="宋体"/>
          <w:szCs w:val="21"/>
        </w:rPr>
      </w:pPr>
      <w:r>
        <w:rPr>
          <w:rFonts w:hint="eastAsia" w:ascii="宋体" w:hAnsi="宋体" w:eastAsia="宋体"/>
          <w:szCs w:val="21"/>
        </w:rPr>
        <w:t>［</w:t>
      </w:r>
      <w:r>
        <w:rPr>
          <w:rFonts w:ascii="宋体" w:hAnsi="宋体" w:eastAsia="宋体"/>
          <w:szCs w:val="21"/>
        </w:rPr>
        <w:t>8］</w:t>
      </w:r>
      <w:r>
        <w:rPr>
          <w:rFonts w:ascii="宋体" w:hAnsi="宋体" w:eastAsia="宋体"/>
          <w:szCs w:val="21"/>
        </w:rPr>
        <w:tab/>
      </w:r>
      <w:r>
        <w:rPr>
          <w:rFonts w:ascii="宋体" w:hAnsi="宋体" w:eastAsia="宋体"/>
          <w:szCs w:val="21"/>
        </w:rPr>
        <w:t>吴宣恭.产权制度理论比较一马克思主义与西方现代产权学派［M」.北京：经济科学</w:t>
      </w:r>
      <w:r>
        <w:rPr>
          <w:rFonts w:hint="eastAsia" w:ascii="宋体" w:hAnsi="宋体" w:eastAsia="宋体"/>
          <w:szCs w:val="21"/>
        </w:rPr>
        <w:t>出版社</w:t>
      </w:r>
      <w:r>
        <w:rPr>
          <w:rFonts w:ascii="宋体" w:hAnsi="宋体" w:eastAsia="宋体"/>
          <w:szCs w:val="21"/>
        </w:rPr>
        <w:t>，2000.</w:t>
      </w:r>
      <w:r>
        <w:t xml:space="preserve"> </w:t>
      </w:r>
    </w:p>
    <w:p w14:paraId="5B63F0E4">
      <w:pPr>
        <w:pStyle w:val="21"/>
        <w:spacing w:line="400" w:lineRule="exact"/>
        <w:ind w:firstLine="480"/>
        <w:jc w:val="both"/>
        <w:rPr>
          <w:rFonts w:eastAsiaTheme="minorEastAsia"/>
          <w:sz w:val="21"/>
          <w:szCs w:val="21"/>
        </w:rPr>
      </w:pPr>
    </w:p>
    <w:p w14:paraId="08741D72">
      <w:pPr>
        <w:keepNext/>
        <w:keepLines/>
        <w:spacing w:before="260" w:after="260" w:line="300" w:lineRule="auto"/>
        <w:ind w:firstLine="660" w:firstLineChars="200"/>
        <w:jc w:val="center"/>
        <w:outlineLvl w:val="1"/>
        <w:rPr>
          <w:rFonts w:ascii="黑体" w:hAnsi="黑体" w:eastAsia="黑体" w:cs="Times New Roman"/>
          <w:bCs/>
          <w:sz w:val="32"/>
          <w:szCs w:val="28"/>
        </w:rPr>
      </w:pPr>
      <w:bookmarkStart w:id="677" w:name="_Toc501119880"/>
      <w:bookmarkStart w:id="678" w:name="_Toc22649"/>
      <w:bookmarkStart w:id="679" w:name="_Toc111193669"/>
      <w:bookmarkStart w:id="680" w:name="_Toc875472739"/>
      <w:bookmarkStart w:id="681" w:name="_Toc534601258"/>
      <w:r>
        <w:rPr>
          <w:rFonts w:hint="eastAsia" w:ascii="黑体" w:hAnsi="黑体" w:eastAsia="黑体" w:cs="Times New Roman"/>
          <w:bCs/>
          <w:sz w:val="32"/>
          <w:szCs w:val="28"/>
        </w:rPr>
        <w:t>8</w:t>
      </w:r>
      <w:r>
        <w:rPr>
          <w:rFonts w:ascii="黑体" w:hAnsi="黑体" w:eastAsia="黑体" w:cs="Times New Roman"/>
          <w:bCs/>
          <w:sz w:val="32"/>
          <w:szCs w:val="28"/>
        </w:rPr>
        <w:t>.</w:t>
      </w:r>
      <w:r>
        <w:rPr>
          <w:rFonts w:hint="eastAsia" w:ascii="黑体" w:hAnsi="黑体" w:eastAsia="黑体" w:cs="Times New Roman"/>
          <w:bCs/>
          <w:sz w:val="32"/>
          <w:szCs w:val="28"/>
        </w:rPr>
        <w:t>近年现代马克思主义经济学若干重大理论创新评述</w:t>
      </w:r>
      <w:bookmarkEnd w:id="677"/>
      <w:bookmarkEnd w:id="678"/>
      <w:bookmarkEnd w:id="679"/>
      <w:bookmarkEnd w:id="680"/>
      <w:bookmarkEnd w:id="681"/>
    </w:p>
    <w:p w14:paraId="1B11929E">
      <w:pPr>
        <w:spacing w:line="300" w:lineRule="auto"/>
        <w:ind w:firstLine="440" w:firstLineChars="200"/>
        <w:rPr>
          <w:rFonts w:ascii="Calibri" w:hAnsi="Calibri" w:eastAsia="宋体" w:cs="Times New Roman"/>
        </w:rPr>
      </w:pPr>
      <w:r>
        <w:rPr>
          <w:rFonts w:hint="eastAsia" w:ascii="Calibri" w:hAnsi="Calibri" w:eastAsia="宋体" w:cs="Times New Roman"/>
        </w:rPr>
        <w:t>近年来，现代政治经济学的争鸣和创新主要表现在四个最重要的理论上。下面各节首先综述各种不同理论观点的背景、现状和核心内容，然后再对其进行独立评论和理论分析。</w:t>
      </w:r>
    </w:p>
    <w:p w14:paraId="1369555F">
      <w:pPr>
        <w:spacing w:line="360" w:lineRule="auto"/>
        <w:jc w:val="center"/>
        <w:rPr>
          <w:rFonts w:ascii="宋体" w:hAnsi="宋体" w:eastAsia="宋体"/>
          <w:b/>
          <w:bCs/>
          <w:sz w:val="24"/>
        </w:rPr>
      </w:pPr>
      <w:r>
        <w:rPr>
          <w:rFonts w:hint="eastAsia" w:ascii="宋体" w:hAnsi="宋体" w:eastAsia="宋体"/>
          <w:b/>
          <w:bCs/>
          <w:sz w:val="24"/>
        </w:rPr>
        <w:t>一、经济人假设在争鸣中发展</w:t>
      </w:r>
    </w:p>
    <w:p w14:paraId="1CF14D4E">
      <w:pPr>
        <w:spacing w:line="300" w:lineRule="auto"/>
        <w:ind w:firstLine="440" w:firstLineChars="200"/>
        <w:rPr>
          <w:rFonts w:ascii="Calibri" w:hAnsi="Calibri" w:eastAsia="宋体" w:cs="Times New Roman"/>
        </w:rPr>
      </w:pPr>
      <w:r>
        <w:rPr>
          <w:rFonts w:hint="eastAsia" w:ascii="Calibri" w:hAnsi="Calibri" w:eastAsia="宋体" w:cs="Times New Roman"/>
        </w:rPr>
        <w:t>随着我国社会主义市场经济的确立和建设，以市场经济为基础的西方经济学学说体系被大量引入。西方经济学的经济人假设作为其进行理论分析和学说建构的逻辑起点和前提条件，不仅在西方经济学内部各流派之间不断地存在争鸣和批判，而且从西方经济学引入我国之时起，在我国学术界也从未间断对其的研究、讨论和争鸣。</w:t>
      </w:r>
    </w:p>
    <w:p w14:paraId="4A95CDA2">
      <w:pPr>
        <w:spacing w:line="300" w:lineRule="auto"/>
        <w:ind w:firstLine="440" w:firstLineChars="200"/>
        <w:rPr>
          <w:rFonts w:ascii="Calibri" w:hAnsi="Calibri" w:eastAsia="宋体" w:cs="Times New Roman"/>
        </w:rPr>
      </w:pPr>
      <w:r>
        <w:rPr>
          <w:rFonts w:hint="eastAsia" w:ascii="Calibri" w:hAnsi="Calibri" w:eastAsia="宋体" w:cs="Times New Roman"/>
        </w:rPr>
        <w:t>第一种观点认为，西方经济学的经济人假设虽然是片面的，却是合理的，是一种科学的理论抽象。持该观点的学者认为，西方经济学经济人假设的片面性，既是社会科学分工发展的需要，也是经济学建立严谨理论体系的需要，其不足应由其他社会科学的发展来弥补。建立中国特色的社会主义经济学，并不需要否定这个假设。在理论与政策上确认经济人假设，对促进我国的社会科学发展、完善社会主义市场经济建设等都具有非常重要的意义。杨文进：《略论“经济人”假说片面性的合理性》，《东岳论坛》2006年第2期。经济人假设的自利行为与大量事实基本相符，同时也是完全正当的。针对经济人假设的形式化表达，有限理性论提出者西蒙的意见与其说是批评，还不如说是补充；行为经济学和实验经济学的批评本身包含很大的问题。经济人假设虽然受到许多批评，却仍应是经济学研究坚持的正确方法。梁东黎：《论经济人假设在经济研究中的合理性》，《江苏社会科学》2006年第4期。经济人假设的基本思路是降低对人的行为的要求，而提高对制度的要求。经济人假设的突出意义之一，就是对人的属性进行简化，在多维人性中，抓住了人的自利性这个维度，从而大大方便了对人的行为的分析。强调人的理性的学术意义在于，它可以用求极值等数学手段对人的选择行为进行模拟，这毫无疑问是为经济学的研究提供了一个简洁而确定的路径。判断一个假设是不是合理的，主要看两个方面：一是看这个假设在多大程度上推进了学术研究；二是看根据这个假设所得出的结论是否具有现实意义。经济人假设符合近年现代马克思主义经济学若干重大理论创新述评这两个方面，也许不是一个完美的假设，但肯定是“好”的假设。胡均、杨静：《“经济人”假设的历史观和方法论》，《经济学家》2005年第6期。</w:t>
      </w:r>
    </w:p>
    <w:p w14:paraId="73A32B37">
      <w:pPr>
        <w:spacing w:line="300" w:lineRule="auto"/>
        <w:ind w:firstLine="440" w:firstLineChars="200"/>
        <w:rPr>
          <w:rFonts w:ascii="Calibri" w:hAnsi="Calibri" w:eastAsia="宋体" w:cs="Times New Roman"/>
        </w:rPr>
      </w:pPr>
      <w:r>
        <w:rPr>
          <w:rFonts w:hint="eastAsia" w:ascii="Calibri" w:hAnsi="Calibri" w:eastAsia="宋体" w:cs="Times New Roman"/>
        </w:rPr>
        <w:t>第二种观点认为，作为西方经济学的经济人假设，把“人的本性是自私的”看成是不可更改的、永恒的，这是历史唯心主义的；把资产阶级的特殊人性看成是一般人性，是非科学的；西方经济学的经济人假设不应作为构建马克思主义政治经济学的理论前提和分析社会主义市场经济关系的出发点。持此观点的学者指出，“自私”是一种观念形态、一种思想意识，属于上层建筑的范畴。自私、利己主义不是天生的，不是人一生下来就自然而然具有的本性。社会存在决定社会意识，经济基础决定上层建筑，作为一种观念、一种思想的“自私”，是由社会存在、经济基础决定的。几千年私有制的存在和发展，使得在意识形态领域中占统治地位的剥削阶级的自私自利思想逐步影响到劳动人民。自私自利、利己主义思想的普遍化是私有制长期统治的结果，而不是人的不可改变的“本性”。因此，从哲学上讲，“经济人”假设是历史唯心主义的命题，因而是反科学的；从政治上说，“经济人”假设是资产阶级学者反对社会主义的重要工具；从经济上说，在社会主义国家里，“经济人”假设为推行私有化提供了理论根据；从思想上说，“经济人”假设是宣传没落腐朽的剥削阶级思想的一种形式。周新城：《评“经济人”假设》，《学习论坛》2005年第1期。“经济人”假设尽管成为西方资产阶级经济学的根本出发点，但实际上它对资本主义制度是缺乏解释力的，而“资本人格化”的概括却是实在地表现了资本主义制度下人们之间关系的现实，从而有更大的解释力。因此，认为“经济人”假设对资本主义制度有充分解释力，只不过是一种肤浅的虚伪幻象。</w:t>
      </w:r>
    </w:p>
    <w:p w14:paraId="68A3766F">
      <w:pPr>
        <w:spacing w:line="300" w:lineRule="auto"/>
        <w:ind w:firstLine="440" w:firstLineChars="200"/>
        <w:rPr>
          <w:rFonts w:ascii="Calibri" w:hAnsi="Calibri" w:eastAsia="宋体" w:cs="Times New Roman"/>
        </w:rPr>
      </w:pPr>
      <w:r>
        <w:rPr>
          <w:rFonts w:hint="eastAsia" w:ascii="Calibri" w:hAnsi="Calibri" w:eastAsia="宋体" w:cs="Times New Roman"/>
        </w:rPr>
        <w:t>第三种观点认为，应该批判和超越西方经济学的经济人假设，构建马克思主义政治经济学的前提假设。比较典型的假设有“利己与利他经济人假设”和“科学经济人假设”。“利己与利他经济人假设”提出者指出，该假设的方法论是整体主义、唯物主义和现实主义的，这包含三个基本命题：其一，经济活动中的人有利己和利他两种倾向或性质；其二，经济活动中的人具有理性与非理性两种状态；其三，良好的制度会使经济活动中的人在增进集体利益或社会利益最大化的过程中实现合理的个人利益最大化程恩富：《现代马克思主义政治经济学的四大理论假设》，《中国社会科学》2007年第1期。。“科学经济人假设”提出者认为，我国已经进入以科学发展观为指导，完善社会主义市场经济体制新的阶段，重视诚信和道德建设，重视生态保护和可持续发展，健全经济秩序和规范市场行为，为“科学经济人假设”的提出创造了条件。“科学经济人”实现了“利己人”和“利他人”的统一，“理性人”和“非理性人”的统一，“经济人”和“社会人”的统一，“经济人”和“道德人”的统一，“经济人”和“生态人”的统一，是以唯物史观为指导、运用抽象法分析我国现实经济生活实际得出的新概念，似乎可以成为新马克思经济学综合学派的重要基本范畴之一。李炳炎、江皓：《“科学经济人”：现代马克思主义经济学的基本假设》，《学术研究》2005年第12期。</w:t>
      </w:r>
    </w:p>
    <w:p w14:paraId="4162F273">
      <w:pPr>
        <w:spacing w:line="300" w:lineRule="auto"/>
        <w:ind w:firstLine="440" w:firstLineChars="200"/>
        <w:rPr>
          <w:rFonts w:ascii="Calibri" w:hAnsi="Calibri" w:eastAsia="宋体" w:cs="Times New Roman"/>
        </w:rPr>
      </w:pPr>
      <w:r>
        <w:rPr>
          <w:rFonts w:hint="eastAsia" w:ascii="Calibri" w:hAnsi="Calibri" w:eastAsia="宋体" w:cs="Times New Roman"/>
        </w:rPr>
        <w:t>假设是科学研究的重要环节，但是，任意假设下的研究及其结论往往是局部的、片面的或错误的。根据假设与现实的关系，可分为接近现实的或远离现实的假设；根据假设的科学性程度，近年现代马克思主义经济学若干重大理论创新述评，可分为较科学的或不科学的假设；根据假设的覆盖面，可分为全面的或片面的假设；根据假设的抽象程度，可分为基本的或具体的假设。现代马克思主义政治经济学理论则注重假设的现实性、科学性和辩证性，因而具有更大的理论认知功能和社会建设功能。</w:t>
      </w:r>
    </w:p>
    <w:p w14:paraId="60460965">
      <w:pPr>
        <w:spacing w:line="300" w:lineRule="auto"/>
        <w:ind w:firstLine="440" w:firstLineChars="200"/>
        <w:rPr>
          <w:rFonts w:ascii="Calibri" w:hAnsi="Calibri" w:eastAsia="宋体" w:cs="Times New Roman"/>
        </w:rPr>
      </w:pPr>
      <w:r>
        <w:rPr>
          <w:rFonts w:hint="eastAsia" w:ascii="Calibri" w:hAnsi="Calibri" w:eastAsia="宋体" w:cs="Times New Roman"/>
        </w:rPr>
        <w:t>西方经济学的“经济人假设”包含三个基本命题：其一，经济活动中的人是自私的，即追求自身利益是驱策人的经济行为的根本动机；其二，经济活动中的人在行为上是理性的，具有完备或较完备的知识和计算能力，能视市场和自身状况而使所追求的个人利益最大化；其三，只要有良好的制度保证，个人追求自身利益最大化的自由行动会无意而有效地增进社会公共利益。该假设的理念源于功利主义，同预设主义相吻合，充斥着历史唯心论的精神，渗透着形而上学的偏见，存有“经济——道德”二元悖论。它奉行唯理论的教条，崇尚人类低级本能的意识，局限于“店老板”的狭隘思维和人性异化心理。因此“经济人假设”存在不少理论误点。</w:t>
      </w:r>
    </w:p>
    <w:p w14:paraId="368D662B">
      <w:pPr>
        <w:spacing w:line="300" w:lineRule="auto"/>
        <w:ind w:firstLine="440" w:firstLineChars="200"/>
        <w:rPr>
          <w:rFonts w:ascii="Calibri" w:hAnsi="Calibri" w:eastAsia="宋体" w:cs="Times New Roman"/>
        </w:rPr>
      </w:pPr>
      <w:r>
        <w:rPr>
          <w:rFonts w:hint="eastAsia" w:ascii="Calibri" w:hAnsi="Calibri" w:eastAsia="宋体" w:cs="Times New Roman"/>
        </w:rPr>
        <w:t>我们依据人类实践和问题导向，并受马克思的思想启迪，提倡确立一种新“经济人”假说和理论，即“利己和利他经济人假设”。作为逐渐脱离动物界和超越动物本能的人类，具有极其丰富的情感和理智，不是单纯地表现为完全的自私性。至于社会上利己和利他哪种行为特征突出或占主导地位，那就取决于社会制度和各种环境。把一切利他行为均视为利己行为，是不合情理的。事实上，利己与利他、主观与客观之间的典型组合有四种：主观利己，客观利己；主观利他，客观利他；主观利己，客观利他；主观利他，客观利己。广义地说，理性具有纯洁与肮脏、合理与荒唐、正义与邪恶、完善与欠缺、不变与可变、单一与多样、简单与复杂等特性。不过，狭义地说，理性是指认识的纯洁、合理、正义和完善，是认识能力强和认识的高级阶段，而认识的不纯洁甚至肮脏、不合理甚至荒唐、不正义甚至邪恶，以及不完善甚至欠缺，便相对地算作非理性。可见，理性与非理性一般呈现出相对性、程度性和历史性。个人一味地优先追求自身利益最大化，经常会同各类群体利益和社会利益发生矛盾与冲突，个人利益的总和不一定等于群体利益或社会利益的总和与潜在的最大化。在私有经济范围内，个人追求自身利益最大化的自由行动会无意而正负效应程度不同地增减社会公共利益。在社会公有经济范围内，良好的制度会使经济活动中的人在增进集体利益和社会利益最大化的过程中实现合理的个人利益最大化。可见，在涉及人性善恶的“经济人”假设和理论等问题上，有必要实现“马学为体、西学为用、国学为根”的综合创新。</w:t>
      </w:r>
    </w:p>
    <w:p w14:paraId="30C6EE65">
      <w:pPr>
        <w:spacing w:line="360" w:lineRule="auto"/>
        <w:jc w:val="center"/>
        <w:rPr>
          <w:rFonts w:ascii="宋体" w:hAnsi="宋体" w:eastAsia="宋体"/>
          <w:b/>
          <w:bCs/>
          <w:sz w:val="24"/>
        </w:rPr>
      </w:pPr>
      <w:r>
        <w:rPr>
          <w:rFonts w:hint="eastAsia" w:ascii="宋体" w:hAnsi="宋体" w:eastAsia="宋体"/>
          <w:b/>
          <w:bCs/>
          <w:sz w:val="24"/>
        </w:rPr>
        <w:t>二、劳动价值论在争鸣中拓展</w:t>
      </w:r>
    </w:p>
    <w:p w14:paraId="52A25188">
      <w:pPr>
        <w:spacing w:line="300" w:lineRule="auto"/>
        <w:ind w:firstLine="440" w:firstLineChars="200"/>
        <w:rPr>
          <w:rFonts w:ascii="Calibri" w:hAnsi="Calibri" w:eastAsia="宋体" w:cs="Times New Roman"/>
        </w:rPr>
      </w:pPr>
      <w:r>
        <w:rPr>
          <w:rFonts w:hint="eastAsia" w:ascii="Calibri" w:hAnsi="Calibri" w:eastAsia="宋体" w:cs="Times New Roman"/>
        </w:rPr>
        <w:t>在马克思创建劳动价值论一个多世纪后的当今时代，劳动手段的自动化、智能化和信息化已经超越了马克思时代的机械化，资本、技术、信息、管理和知识等生产要素相对于体力劳动和简单劳动更加凸显，满足人类需求的服务提供和精神文化生产已经改变了物质生产为主体的经济结构，我国社会主义市场经济的构建也与马克思当年设想的社会主义相区别。时代的发展召唤劳动价值理论的拓展。我国学术界对需要拓展马克思的劳动价值论已达成共识，不过对于如何拓展劳动价值论却分歧渐远。</w:t>
      </w:r>
    </w:p>
    <w:p w14:paraId="351B5F6C">
      <w:pPr>
        <w:spacing w:line="300" w:lineRule="auto"/>
        <w:ind w:firstLine="440" w:firstLineChars="200"/>
        <w:rPr>
          <w:rFonts w:ascii="Calibri" w:hAnsi="Calibri" w:eastAsia="宋体" w:cs="Times New Roman"/>
          <w:b/>
          <w:bCs/>
        </w:rPr>
      </w:pPr>
      <w:r>
        <w:rPr>
          <w:rFonts w:hint="eastAsia" w:ascii="Calibri" w:hAnsi="Calibri" w:eastAsia="宋体" w:cs="Times New Roman"/>
          <w:b/>
          <w:bCs/>
        </w:rPr>
        <w:t>（一）对价值创造的分歧</w:t>
      </w:r>
    </w:p>
    <w:p w14:paraId="27EA7F04">
      <w:pPr>
        <w:spacing w:line="300" w:lineRule="auto"/>
        <w:ind w:firstLine="440" w:firstLineChars="200"/>
        <w:rPr>
          <w:rFonts w:ascii="Calibri" w:hAnsi="Calibri" w:eastAsia="宋体" w:cs="Times New Roman"/>
        </w:rPr>
      </w:pPr>
      <w:r>
        <w:rPr>
          <w:rFonts w:hint="eastAsia" w:ascii="宋体" w:hAnsi="宋体" w:eastAsia="宋体" w:cs="宋体"/>
        </w:rPr>
        <w:t>一些学者继承马克思的只有活劳动才创造价值的观点，不过对创造价值的活劳动的范围进行了拓展。不同的学者拓展的边界不同，从只有物质生产领域的活劳动创造价值，到所有领域的活劳动都创造价值，宽窄不同。比较典型的观点是“新的活劳动价值一元论”程恩富：《确立“新的活劳</w:t>
      </w:r>
      <w:r>
        <w:rPr>
          <w:rFonts w:hint="eastAsia" w:ascii="Calibri" w:hAnsi="Calibri" w:eastAsia="宋体" w:cs="Times New Roman"/>
        </w:rPr>
        <w:t>动价值一元论”》，《财经研究》2001年第11期。。该论者认为，凡是直接为市场交换而生产物质商品和精神商品，以及直接为劳动力商品的生产和再生产服务的劳动，其中包括自然人和法人实体的内部管理劳动和科技劳动，都属于创造价值的劳动或生产劳动。具体内容包括：第一，生产物质商品的劳动是创造价值的生产性劳动；第二，从事有形和无形商品场所变更的劳动是创造价值的生产性劳动；第三，生产有形和无形精神商品的劳动是创造价值的生产性劳动；第四，从事劳动力商品生产的服务劳动是创造价值的生产性劳动。不能把整个第三产业的服务劳动都视为创造价值的生产性劳动，有的属于不为市场交换的目的或不进入市场交换而进行的政治、行政、军事、法律等服务劳动，如党、政、军，公、检、法等有关部门的活动，不创造价值。科技劳动和管理劳动以及资本家的部分生产性管理都创造价值。劳动生产率的提高是由于劳动的复杂程度、熟练程度和强度的提高而引起的，因而从长期来看，商品的价值总量和社会价值总量会具有一种向上变动的趋势，而不是不变。</w:t>
      </w:r>
    </w:p>
    <w:p w14:paraId="5DB06152">
      <w:pPr>
        <w:spacing w:line="300" w:lineRule="auto"/>
        <w:ind w:firstLine="440" w:firstLineChars="200"/>
        <w:rPr>
          <w:rFonts w:ascii="Calibri" w:hAnsi="Calibri" w:eastAsia="宋体" w:cs="Times New Roman"/>
        </w:rPr>
      </w:pPr>
      <w:r>
        <w:rPr>
          <w:rFonts w:hint="eastAsia" w:ascii="宋体" w:hAnsi="宋体" w:eastAsia="宋体" w:cs="宋体"/>
        </w:rPr>
        <w:t>另一些学者突破马克思的只有活劳动才创造价值的观点，认为物化劳动和活劳动都创造价值。不过这些学者都宣称，只有劳动创造价值，非劳动不创造价值。比</w:t>
      </w:r>
      <w:r>
        <w:rPr>
          <w:rFonts w:hint="eastAsia" w:ascii="Calibri" w:hAnsi="Calibri" w:eastAsia="宋体" w:cs="Times New Roman"/>
        </w:rPr>
        <w:t>较代表性的观点是“社会劳动价值论”钱伯海：《社会劳动价值论》，中国经济出版社，1997年。和“整体劳动价值论”钱津：《劳动价值论》，社会科学文献出版社，2001年。。“社会劳动价值论”提出者认为，物化劳动是物质化的活劳动的简称，是凝结的活劳动，具有物质与活劳动两重性。物化劳动——设备、材料和工艺，是由其他有关企业的活劳动生产的，而且可以严格地逻辑证明，是本期活劳动生产的，不是过去活劳动生产的。因此，从企业看，其剩余价值是由物化劳动（劳动手段、劳动对象）与活劳动（劳动力）共同创造的，但从社会看，是活劳动创造价值，且来自本期的活劳动。长期以来，认为物化劳动只能转移价值，不能创造价值，并且把物化劳动等同于资本，讲物化劳动创造价值就是讲资本创造价值，就是资产阶级庸俗经济学的三要素论，是严重的理论扭曲。只有确认物化劳动创造价值，按资本和技术分配才有充分的依据，科学技术是第一生产力才能够成立。钱伯海：《关于深化劳动价值认识的理论思考》，《厦门大学学报（哲学社会科学版）》2001年第2期。“整体劳动价值论”提出者认为，劳动是劳动主体（人）与劳动客体（自然）的统一，劳动绝不是单纯的劳动主体活动，没有劳动客体就没有现实的劳动的存在，也没有抽象的劳动存在。由于商品的使用价值与价值是统一的，只要承认物化劳动即劳动客体对创造使用价值起作用，就必然要承认同样对创造价值起作用，才符合逻辑。因此，劳动整体创造价值，不可能存在单纯劳动主体作用凝结的价值。钱津、王俊发：《论劳动整体创造价值》，《青海社会科学》2005年第6期。</w:t>
      </w:r>
    </w:p>
    <w:p w14:paraId="1C143559">
      <w:pPr>
        <w:spacing w:line="300" w:lineRule="auto"/>
        <w:ind w:firstLine="440" w:firstLineChars="200"/>
        <w:rPr>
          <w:rFonts w:ascii="Calibri" w:hAnsi="Calibri" w:eastAsia="宋体" w:cs="Times New Roman"/>
        </w:rPr>
      </w:pPr>
      <w:r>
        <w:rPr>
          <w:rFonts w:hint="eastAsia" w:ascii="宋体" w:hAnsi="宋体" w:eastAsia="宋体" w:cs="宋体"/>
        </w:rPr>
        <w:t>还有一些学者认为包括“劳动”在内的所有生产要素都参与价值的创造。不过这些学者认为，他们的价值理论既不同于马克思的劳动价值论，也不是马克思批判的萨伊“三要素价值论”。比较代表性的观点是“广义价值论”蔡继明、李仁君：《</w:t>
      </w:r>
      <w:r>
        <w:rPr>
          <w:rFonts w:hint="eastAsia" w:ascii="Calibri" w:hAnsi="Calibri" w:eastAsia="宋体" w:cs="Times New Roman"/>
        </w:rPr>
        <w:t>广义价值论》，经济科学出版社，2001年。和“多元价值论”晏智杰：《顺应历史发展潮流，重塑多元价值理论——论深化改革与促进发展的经济学价值论基础》，《北京航空航天大学学报（社会科学版）》2002年第2期。。“广义价值论”的提出者认为，马克思的劳动价值论、新古典边际生产力价值论和斯拉法价值论都只是一种狭义的价值理论。广义价值论就是关于价格运动一般规律及其特殊形式的学说。广义价值规律就是商品的交换价值是由平均比较利益率决定，或者说根据比较利益率相等的原则决定，广义价值的实体就是比较成本。因此，比较生产力与广义价值量成正比，劳动要素与资本、土地等非劳动要素共同创造价值。蔡继明：《另一种可供选择的价值理论》，《数量经济技术经济研究》2004年第1期。“多元价值论”提出者认为，社会经济发展的条件、动力和主体多元化了，与其相适应的经济价值论也必然要多元化，商品价值的本质是人的需求同商品之间的关系，商品价值的决定是一个多层次多元的综合体系，它由供求均衡论、生产要素论和需求要素论所构成。“广义价值论”者和“多元价值论”者都认为劳动价值论是他们理论中的“特例”。</w:t>
      </w:r>
    </w:p>
    <w:p w14:paraId="685C39AE">
      <w:pPr>
        <w:spacing w:line="300" w:lineRule="auto"/>
        <w:ind w:firstLine="440" w:firstLineChars="200"/>
        <w:rPr>
          <w:rFonts w:ascii="Calibri" w:hAnsi="Calibri" w:eastAsia="宋体" w:cs="Times New Roman"/>
          <w:b/>
          <w:bCs/>
        </w:rPr>
      </w:pPr>
      <w:r>
        <w:rPr>
          <w:rFonts w:hint="eastAsia" w:ascii="Calibri" w:hAnsi="Calibri" w:eastAsia="宋体" w:cs="Times New Roman"/>
          <w:b/>
          <w:bCs/>
        </w:rPr>
        <w:t>（二）对价值创造与价值分配二者关系的分歧</w:t>
      </w:r>
    </w:p>
    <w:p w14:paraId="6D68E8B0">
      <w:pPr>
        <w:spacing w:line="300" w:lineRule="auto"/>
        <w:ind w:firstLine="440" w:firstLineChars="200"/>
        <w:rPr>
          <w:rFonts w:ascii="Calibri" w:hAnsi="Calibri" w:eastAsia="宋体" w:cs="Times New Roman"/>
        </w:rPr>
      </w:pPr>
      <w:r>
        <w:rPr>
          <w:rFonts w:hint="eastAsia" w:ascii="Calibri" w:hAnsi="Calibri" w:eastAsia="宋体" w:cs="Times New Roman"/>
        </w:rPr>
        <w:t>一种观点认为，价值分配并不由价值创造决定，简称“非决定论”。“非决定论”者认为，价值分配的依据并不是价值创造的多少，价值创造与价值分配无关。有学者指出，在存在商品价值关系的条件下，价值的生产是价值分配的基础，价值创造的多少，制约价值分配的多少，这是不言而喻的事情。但是，分配方式或者分配制度的选择与确定，不是由价值理论决定的。马克思提出社会主义实行按劳分配与劳动价值论无关，资本主义实行按资分配或按生产要素分配，也不是以要素价值论为理论依据的。按劳分配是以社会主义公有制为依据的，而按要素分配则以生产要素所有权为实际依据。卫兴华：《关于劳动和劳动价值论讨论中的几个问题》，《甘肃省经济管理干部学院学报》2001年第3期。</w:t>
      </w:r>
    </w:p>
    <w:p w14:paraId="0EF6688B">
      <w:pPr>
        <w:spacing w:line="300" w:lineRule="auto"/>
        <w:ind w:firstLine="440" w:firstLineChars="200"/>
        <w:rPr>
          <w:rFonts w:ascii="Calibri" w:hAnsi="Calibri" w:eastAsia="宋体" w:cs="Times New Roman"/>
        </w:rPr>
      </w:pPr>
      <w:r>
        <w:rPr>
          <w:rFonts w:hint="eastAsia" w:ascii="Calibri" w:hAnsi="Calibri" w:eastAsia="宋体" w:cs="Times New Roman"/>
        </w:rPr>
        <w:t>另一种观点却认为，价值创造决定价值分配，简称“决定论”。“决定论”者认为，价值分配的直接依据和多少，是价值创造与否和多少。决定论者大多不承认“活劳动创造价值一元论”，认为只有承认物化劳动或者各种生产要素都创造价值，才可以解释现实经济中的“按生产要素分配”。有学者认为，生产要素所有权只能是生产要素所有者获取相应收入的法律依据，至于各种生产要素所有者获得的收入份额的大小，则必须以各种生产要素在价值创造中所做的贡献为基础。蔡继明：《按生产要素贡献分配的理论基础和政策含义》，《学习论坛》2004年第7期。</w:t>
      </w:r>
    </w:p>
    <w:p w14:paraId="438CB028">
      <w:pPr>
        <w:spacing w:line="300" w:lineRule="auto"/>
        <w:ind w:firstLine="440" w:firstLineChars="200"/>
        <w:rPr>
          <w:rFonts w:ascii="Calibri" w:hAnsi="Calibri" w:eastAsia="宋体" w:cs="Times New Roman"/>
        </w:rPr>
      </w:pPr>
      <w:r>
        <w:rPr>
          <w:rFonts w:hint="eastAsia" w:ascii="Calibri" w:hAnsi="Calibri" w:eastAsia="宋体" w:cs="Times New Roman"/>
        </w:rPr>
        <w:t>我国理论界在劳动价值论研究的分歧和争鸣中已取得不少可喜的成果，但也存在不少问题。一是有些研究成果似乎能够解释经济现实，却不能坚持马克思的劳动价值论，从而也就谈不上发展的问题；二是有些研究成果虽然坚持了马克思的劳动价值论却无法或非常牵强地解释某些现实问题；三是现有的研究成果自称是坚持和发展了马克思的劳动价值论，但是内容却与马克思的劳动价值论大相径庭。为此，我们强调要深化对劳动和劳动价值论的认识和研究，其实质是要在新的时代背景下，进一步拓展劳动价值论的理论空间，以更好地分析和指导中外现实经济的发展。</w:t>
      </w:r>
    </w:p>
    <w:p w14:paraId="71B0181F">
      <w:pPr>
        <w:spacing w:line="300" w:lineRule="auto"/>
        <w:ind w:firstLine="440" w:firstLineChars="200"/>
        <w:rPr>
          <w:rFonts w:ascii="Calibri" w:hAnsi="Calibri" w:eastAsia="宋体" w:cs="Times New Roman"/>
        </w:rPr>
      </w:pPr>
      <w:r>
        <w:rPr>
          <w:rFonts w:hint="eastAsia" w:ascii="Calibri" w:hAnsi="Calibri" w:eastAsia="宋体" w:cs="Times New Roman"/>
        </w:rPr>
        <w:t>由于当时研究目的的需要和所在时代的局限，马克思的原有理论不可能完善地解答当今时代的实践发展问题，但是，马克思的劳动价值论是马克思主义政治经济学的基石，革新的现代政治经济学也必须以劳动价值论为理论基点。劳动价值论这一学术地位和政治重要性，使得资产阶级经济学家和政治家也一致强调，只有推翻它才能从理论逻辑上摧毁马克思经济学和共产党的理论大厦。我国理论界出现了各种各样的模糊价值理论，尽管有各种不同的理论称谓，但归纳起来，不外乎活劳动价值学说和生产要素价值学说两大类。坚持马克思的劳动价值论，就是不能离开活劳动创造价值这一核心观点。发展马克思的劳动价值论，就要在坚持劳动价值论基本核心观点的基础上，结合新情况、新实际，做出科学的理论阐释，以完善和发展劳动价值论。</w:t>
      </w:r>
    </w:p>
    <w:p w14:paraId="71F4F2EF">
      <w:pPr>
        <w:spacing w:line="300" w:lineRule="auto"/>
        <w:ind w:firstLine="440" w:firstLineChars="200"/>
        <w:rPr>
          <w:rFonts w:ascii="Calibri" w:hAnsi="Calibri" w:eastAsia="宋体" w:cs="Times New Roman"/>
        </w:rPr>
      </w:pPr>
      <w:r>
        <w:rPr>
          <w:rFonts w:hint="eastAsia" w:ascii="Calibri" w:hAnsi="Calibri" w:eastAsia="宋体" w:cs="Times New Roman"/>
        </w:rPr>
        <w:t>为此，要消除对马克思原创的劳动价值理论的认识误点。误点之一，认为劳动创造价值是指体力劳动，因而在知识和信息等经济要素日显重要的条件下，劳动价值论过时了；误点之二，认为劳动价值论产生于小生产时代，因而在当今新科技革命时代中劳动价值论已不适用；误点之三，认为劳动价值论不承认有形或无形的生产要素对创造使用价值和价值的重要作用；误点之四，认为劳动价值论仅适用于实物交换的场合和一国内部的交换；误点之五，认为物化劳动或劳动的土地生产力创造价值，是合乎劳动价值论的核心论点和方法；误点之六，认为创造价值的劳动不包括科技劳动和企业管理劳动。</w:t>
      </w:r>
    </w:p>
    <w:p w14:paraId="27129628">
      <w:pPr>
        <w:spacing w:line="300" w:lineRule="auto"/>
        <w:ind w:firstLine="440" w:firstLineChars="200"/>
        <w:rPr>
          <w:rFonts w:ascii="Calibri" w:hAnsi="Calibri" w:eastAsia="宋体" w:cs="Times New Roman"/>
        </w:rPr>
      </w:pPr>
      <w:r>
        <w:rPr>
          <w:rFonts w:hint="eastAsia" w:ascii="Calibri" w:hAnsi="Calibri" w:eastAsia="宋体" w:cs="Times New Roman"/>
        </w:rPr>
        <w:t>为了清晰地使有关价值、财富与分配的各种现象和本质联系都可得到较圆满的科学说明，我们提出和阐述了“新四说”：各种生产性活劳动创造商品价值——活劳动价值说；全生产要素或经济要素创造社会财富或商品使用价值——全要素财富说；多种产权关系决定按资和按劳等多种分配方式——多产权分配说；按生产要素贡献分配的形式是要素所有者创造价值和财富并据此参与分配，而实质是按生产要素产权分配——按要素贡献的分配形式与实质说（按贡献分配形质说）。在“新四说”的基础上，我们较完整地阐述了“新的活劳动价值一元论”的基本内容，既超越和发展了马克思“原创的活劳动价值一元论”，也同各种新的多元价值论划清了科学界限。</w:t>
      </w:r>
    </w:p>
    <w:p w14:paraId="466EF337">
      <w:pPr>
        <w:spacing w:line="360" w:lineRule="auto"/>
        <w:jc w:val="center"/>
        <w:rPr>
          <w:rFonts w:ascii="宋体" w:hAnsi="宋体" w:eastAsia="宋体"/>
          <w:b/>
          <w:bCs/>
          <w:sz w:val="24"/>
        </w:rPr>
      </w:pPr>
      <w:r>
        <w:rPr>
          <w:rFonts w:hint="eastAsia" w:ascii="宋体" w:hAnsi="宋体" w:eastAsia="宋体"/>
          <w:b/>
          <w:bCs/>
          <w:sz w:val="24"/>
        </w:rPr>
        <w:t>三、公平与效率关系在争鸣中创新</w:t>
      </w:r>
    </w:p>
    <w:p w14:paraId="12B80F65">
      <w:pPr>
        <w:spacing w:line="300" w:lineRule="auto"/>
        <w:ind w:firstLine="440" w:firstLineChars="200"/>
        <w:rPr>
          <w:rFonts w:ascii="Calibri" w:hAnsi="Calibri" w:eastAsia="宋体" w:cs="Times New Roman"/>
        </w:rPr>
      </w:pPr>
      <w:r>
        <w:rPr>
          <w:rFonts w:hint="eastAsia" w:ascii="Calibri" w:hAnsi="Calibri" w:eastAsia="宋体" w:cs="Times New Roman"/>
        </w:rPr>
        <w:t>经济公平与效率既是人类社会经济生活中的一对基本矛盾，也是经济学研究和论争的永恒性主题。我国学术界对经济公平与效率关系的争鸣从改革开放之初一直延续至今，这一方面缘于具有客观性的经济公平同时具有历史性和相对性，以及经济效率也具有多样性、具体性和局限性；另一方面缘于我国经济实践和政策的演变。我国在改革开放之初为迅速打破平均主义导致吃“大锅饭”的低效率局面，优先强调了“效率”。党的“十三大”明确提出“在促进效率提高的前提下体现社会公平”，十四届三中全会进一步明确提出“效率优先，兼顾公平”。但进入新世纪以来，经济在继续保持快速增长的同时，收入分配差距过度拉大，分配不公加剧进而成为人们关注的焦点。十六届五中全会及时地提出“在经济发展的基础上更加重视公平”。学术界对公平与效率关系的认识主要有三种观点。第一种观点认为，公平与效率具有替代关系，公平必然带来低效率，高效率必然导致不公平，公平与效率不可同时兼得。比较代表性观点是“效率优先论”和“公平优先论”。效率优先论者认为，只有把效率放在首位，生产力发展了，把“蛋糕”做大了，每个人才能分得更多的“蛋糕”，才会有公平。市场经济内在地要求初次分配讲究效率，再次分配讲究公平。市场保障效率，政府负责公平。李正发：《“效率优先”原则过时了吗——公平与效率关系新探》，《经济学动态》2006年第4期。杨尧忠：《转型与发展对收入分配的必然要求：效率优先兼顾公平——兼议范恒山“效率与公平并重”的主张》，《长江大学学报（社会科学版）》2005年第2期。刘开云：《关于效率与公平问题的思考》，《经济前沿》2005年第2期。即使我国现阶段收入差距扩大了，仍应坚持“效率优先，兼顾公平”的原则。只有效率提高了，公平才能最终实现。如果过早地强调公平，最后的结果只会是共同贫穷袁丽美：《“效率优先，兼顾公平”尚未过时——对“效率与公平并重”的质疑》，《当代经济》2005年第1期。。公平优先论者认为，在任何时候公平和效率都不能兼得，两个目标之间只能存在相互兼顾的关系。既然兼顾就有个谁为先的选择。原有体制严重低效率，改革原有体制无疑要以效率为先。现在我国改革遇到的突出问题已转移到不公平问题，如分配的不公平、改制的不公平、市场交易的不公平、公共产品供给的不公平，等等。由于存在的不公平问题日益突出，根据改革成果惠及全体人民的要求，改革需要转到公平为先，在此基础上构建和谐社会。洪银兴：《构建和谐社会要坚持统筹公平与效率的改革观》，《中国党政干部论坛》2005年第3期。</w:t>
      </w:r>
    </w:p>
    <w:p w14:paraId="52F7555C">
      <w:pPr>
        <w:spacing w:line="300" w:lineRule="auto"/>
        <w:ind w:firstLine="440" w:firstLineChars="200"/>
        <w:rPr>
          <w:rFonts w:ascii="Calibri" w:hAnsi="Calibri" w:eastAsia="宋体" w:cs="Times New Roman"/>
        </w:rPr>
      </w:pPr>
      <w:r>
        <w:rPr>
          <w:rFonts w:hint="eastAsia" w:ascii="Calibri" w:hAnsi="Calibri" w:eastAsia="宋体" w:cs="Times New Roman"/>
        </w:rPr>
        <w:t>第二种观点认为，公平与效率具有并重关系。公平与效率都是人类经济活动追求的目标，不可偏废，它们具有同等重要的地位。典型观点是“公平与效率并重论”。公平与效率并重论者认为，公平与效率是对立统一的关系，效率是公平的基础，公平也是效率的基础。如果不公平超出一定程度，两极分化，就必然影响经济发展环境的稳定，降低经济效率，甚至最后可能导致整个社会处于一种“无效率”状态；如果收入分配出现绝对平均现象，干与不干一个样，干好干坏一个样，也会挫伤劳动者的积极性，使得整个社会经济出现低效率现象。因此，要在理论上把握二者相互依存、互为基础的关系，在政策上使二者并重兼得，避免强调一个方面忽视另一个方面、甚至用一个方面代替另一个方面的片面倾向于连坤：《为什么要强调公平与效率并重?》，《红旗文稿》2005年第6期。。我国现在基尼系数客观上还处在上升阶段，如果不采取措施，则有迅速向两极分化和承受极限接近的危险。所以，我们必须从现时起进一步重视社会公平问题，调整效率与公平的关系，加大社会公平的分量。“效率优先，兼顾公平”的口号现在就可以开始淡出，逐渐向“公平与效率并重”或向“公平与效率优化结合过渡”。刘国光：《进一步重视社会公平问题》，《中国经贸导刊》2005年第8期。</w:t>
      </w:r>
    </w:p>
    <w:p w14:paraId="4C0FBF98">
      <w:pPr>
        <w:spacing w:line="300" w:lineRule="auto"/>
        <w:ind w:firstLine="440" w:firstLineChars="200"/>
        <w:rPr>
          <w:rFonts w:ascii="Calibri" w:hAnsi="Calibri" w:eastAsia="宋体" w:cs="Times New Roman"/>
        </w:rPr>
      </w:pPr>
      <w:r>
        <w:rPr>
          <w:rFonts w:hint="eastAsia" w:ascii="Calibri" w:hAnsi="Calibri" w:eastAsia="宋体" w:cs="Times New Roman"/>
        </w:rPr>
        <w:t>第三种观点认为，公平与效率具有辩证统一关系，越公平就越有效率，越不公平越没有效率。典型观点是“公平与效率交互同向论”。公平与效率交互同向论者认为，经济公平与经济效率具有正反同向变动的交促互补关系，即经济活动的制度、权利、机会和结果等方面越是公平，效率就越高；相反，越不公平，效率就越低。当代公平与效率最优结合的载体之一是市场型按劳分配。按劳分配显示的经济公平，具体表现为含有差别性的劳动的平等和产品分配的平等。这种在起点、机会、过程和结果方面既有差别，又互为平等的分配制度，相对于按资分配，客观上是最公平的，也不存在公平与效率哪个优先的问题。国内外日趋增多的正反实例也表明，公平与效率具有正相关联系，二者呈此长彼长、此消彼消的正反同向变动的交促关系和互补性。程恩富：《公平与效率交互同向论》，《经济纵横》2005年第12期。公平与效率的辩证关系表现为，公平是效率的前提，效率是公平的结果。公平产生效率，效率反映公平。公平与效率是一个硬币的两面。公平是市场经济必须遵守的基本原则，也是市场经济产生效率的基本条件。陈永杰：《新公平/效率观——对公平与效率问题的重新审视》，《经济理论与经济管理》2006年第5期。</w:t>
      </w:r>
    </w:p>
    <w:p w14:paraId="72269AD8">
      <w:pPr>
        <w:spacing w:line="300" w:lineRule="auto"/>
        <w:ind w:firstLine="440" w:firstLineChars="200"/>
        <w:rPr>
          <w:rFonts w:ascii="Calibri" w:hAnsi="Calibri" w:eastAsia="宋体" w:cs="Times New Roman"/>
        </w:rPr>
      </w:pPr>
      <w:r>
        <w:rPr>
          <w:rFonts w:hint="eastAsia" w:ascii="Calibri" w:hAnsi="Calibri" w:eastAsia="宋体" w:cs="Times New Roman"/>
        </w:rPr>
        <w:t>我国学术界对公平与效率关系的认识出现了很大的分歧，主要是由于对公平与效率的定义不同，特别是对公平涵义的理解不同。因此，科学解析公平与效率的关系需要正确理解公平和效率的概念。第一，公平不等于收入均等或收入平均。经济公平的内涵大大超过收入平均的概念。从经济活动的结果来界定的收入分配是否公平，只是经济公平的涵义之一。结果公平至少也有财富分配和收入分配两个观察角度，并且财富分配的角度更为重要。学术界中一种流行观点把经济公平和结果平等视为收入均等化或收入平均化，并以此分析公平与效率的关系，是有明显的逻辑起点错误，容易导致“公平与效率替代论”；第二，微观经济高效率不一定带来宏观经济的高效率。经济效率涉及到生产、分配、交换和消费各个领域，涵盖到经济力和经济关系各个方面，包括微观经济效率和宏观经济效率两大效率问题。市场经济中企业等微观经济主体的高效率也可能会带来宏观经济的低效率。因此，经济效率总是以一定的经济体制和宏观经济调控为基础的。认为微观经济高效率一定导致宏观经济高效率，容易强调“效率优先论”。</w:t>
      </w:r>
    </w:p>
    <w:p w14:paraId="3E2258F8">
      <w:pPr>
        <w:spacing w:line="300" w:lineRule="auto"/>
        <w:ind w:firstLine="440" w:firstLineChars="200"/>
        <w:rPr>
          <w:rFonts w:ascii="Calibri" w:hAnsi="Calibri" w:eastAsia="宋体" w:cs="Times New Roman"/>
        </w:rPr>
      </w:pPr>
      <w:r>
        <w:rPr>
          <w:rFonts w:hint="eastAsia" w:ascii="Calibri" w:hAnsi="Calibri" w:eastAsia="宋体" w:cs="Times New Roman"/>
        </w:rPr>
        <w:t>经济学意义上的公平，是指有关经济活动的制度、权利、机会和结果等方面的平等和合理。经济公平具有客观性、历史性和相对性。把经济公平纯粹视为心理现象，否认其客观属性和客观标准，是唯心主义分析方法的思维表现。把经济公平视为一般的永恒范畴，否认在不同的经济制度和历史发展阶段有特定的内涵，是历史唯心论分析方法的思维表现。把经济公平视为无需前提的绝对概念，否认公平与否的辩证关系和转化条件，是形而上学分析方法的思维表现；经济学意义上的效率，是指经济资源的配置和产出状态。对于一个企业或社会来说，最高效率意味着资源处于最优配置状态，从而使特定范围内的需要得到最大满足或福利得到最大增进或财富得到最大增加。经济效率具有多样性、具体性和局限性。不同内涵的经济效率总是受到一定具体条件的约束，因而都具有一定程度的局限性。</w:t>
      </w:r>
    </w:p>
    <w:p w14:paraId="74442DEB">
      <w:pPr>
        <w:spacing w:line="300" w:lineRule="auto"/>
        <w:ind w:firstLine="440" w:firstLineChars="200"/>
        <w:rPr>
          <w:rFonts w:ascii="Calibri" w:hAnsi="Calibri" w:eastAsia="宋体" w:cs="Times New Roman"/>
        </w:rPr>
      </w:pPr>
      <w:r>
        <w:rPr>
          <w:rFonts w:hint="eastAsia" w:ascii="Calibri" w:hAnsi="Calibri" w:eastAsia="宋体" w:cs="Times New Roman"/>
        </w:rPr>
        <w:t>我们提出“公平与效率正反同向说”，指出经济公平与经济效率具有正反同向变动的交促互补关系。即使号称机会最平等的美国，由于收入分配和财产占有反差巨大、市场机制经常失灵、接受教育环境不同、生活质量高低悬殊、种族性别多方歧视等缘故，因而人们进入市场之前和参与市场竞争的过程中，机会和权利也存有许许多多的不平等性。高效率是无法脱离以合理的公有制经济制度为基础的公平分配的。从现实可能性来观察，可将所有制、体制、公平和效率这四个相关因素的结合链分归四类：公有制→体制优越→最公平→高效率（效率Ⅰ）；私有制→体制较优→不公平→中效率（效率Ⅱ）；公有制→体制次优→较公平→次中效率（效率Ⅲ）；私有制→体制较劣→不公平→低效率（效率Ⅳ）。即使在传统体制和国际环境有利于私有制大国的条件下，中苏两国的发展业绩和效率也超过了绝大多数西方国家，就是一个例证。在制度成本最低和相对最公平的状态中实现高效率，是坚持和完善社会主义市场经济体制改革方向的终极目标。一方面，收入和财富的差距并不都是效率提高的结果，另一方面收入和财富差距拉大的刺激效应达到一定程度后便具有递减的趋势，甚至出现负面的效应。我国市场型按劳分配为主体的分配格局所形成的合理收入差距，能够促使劳动和其他生产要素资源得到优化配置，可以实现共同富裕和经济和谐。</w:t>
      </w:r>
    </w:p>
    <w:p w14:paraId="72DF2246">
      <w:pPr>
        <w:spacing w:line="360" w:lineRule="auto"/>
        <w:jc w:val="center"/>
        <w:rPr>
          <w:rFonts w:ascii="宋体" w:hAnsi="宋体" w:eastAsia="宋体"/>
          <w:b/>
          <w:bCs/>
          <w:sz w:val="24"/>
        </w:rPr>
      </w:pPr>
      <w:r>
        <w:rPr>
          <w:rFonts w:hint="eastAsia" w:ascii="宋体" w:hAnsi="宋体" w:eastAsia="宋体"/>
          <w:b/>
          <w:bCs/>
          <w:sz w:val="24"/>
        </w:rPr>
        <w:t>四、公有制经济定位在争鸣中确立</w:t>
      </w:r>
    </w:p>
    <w:p w14:paraId="11CA11B4">
      <w:pPr>
        <w:spacing w:line="300" w:lineRule="auto"/>
        <w:ind w:firstLine="440" w:firstLineChars="200"/>
        <w:rPr>
          <w:rFonts w:ascii="Calibri" w:hAnsi="Calibri" w:eastAsia="宋体" w:cs="Times New Roman"/>
        </w:rPr>
      </w:pPr>
      <w:r>
        <w:rPr>
          <w:rFonts w:hint="eastAsia" w:ascii="Calibri" w:hAnsi="Calibri" w:eastAsia="宋体" w:cs="Times New Roman"/>
        </w:rPr>
        <w:t>公有制经济作为我国社会主义制度的经济基础，决定了公有制经济体制的改革和完善始终是我国经济改革的中心和学术界关注的焦点。为增进公有制经济的效益，强化公有制经济的主导作用，提高公有制经济的控制力、带动力和影响力，增进公有制经济的竞争力，夯实实现最广大人民根本利益和共同富裕的经济基础，学术界针对公有制的实现形式、公有制经济在国民经济应该占有的比重、公有制经济布局等问题展开了研讨和争鸣。</w:t>
      </w:r>
    </w:p>
    <w:p w14:paraId="46FB5B00">
      <w:pPr>
        <w:spacing w:line="300" w:lineRule="auto"/>
        <w:ind w:firstLine="440" w:firstLineChars="200"/>
        <w:rPr>
          <w:rFonts w:ascii="Calibri" w:hAnsi="Calibri" w:eastAsia="宋体" w:cs="Times New Roman"/>
          <w:b/>
          <w:bCs/>
        </w:rPr>
      </w:pPr>
      <w:r>
        <w:rPr>
          <w:rFonts w:hint="eastAsia" w:ascii="Calibri" w:hAnsi="Calibri" w:eastAsia="宋体" w:cs="Times New Roman"/>
          <w:b/>
          <w:bCs/>
        </w:rPr>
        <w:t>（一）对公有制实现形式的争论</w:t>
      </w:r>
    </w:p>
    <w:p w14:paraId="1E90A468">
      <w:pPr>
        <w:spacing w:line="300" w:lineRule="auto"/>
        <w:ind w:firstLine="440" w:firstLineChars="200"/>
        <w:rPr>
          <w:rFonts w:ascii="Calibri" w:hAnsi="Calibri" w:eastAsia="宋体" w:cs="Times New Roman"/>
        </w:rPr>
      </w:pPr>
      <w:r>
        <w:rPr>
          <w:rFonts w:hint="eastAsia" w:ascii="Calibri" w:hAnsi="Calibri" w:eastAsia="宋体" w:cs="Times New Roman"/>
        </w:rPr>
        <w:t>一种观点认为，作为现代资本运作方式和组织方式的股份制企业，不管是由国家或者集体独资、控股或参股的，还是全部由公众持股的，都是公有制企业，都是公有制的实现形式；公众持股的股份制企业是一种新型的集体所有制，应该作为公有制的主要实现形式。比较代表性的观点是“新公有制企业论”和“公众股份制企业论”。新公有制企业论者认为，新公有制企业有四种类型：一是政企分开的政府独资或由国家的几个机构持股的股份公司，即经过改制的新的国家所有制企业；二是由国家控股或国家参股的股份制企业，即混合所有制企业；三是公众直接持股或公众间接持股的股份制企业，即新的集体所有制或共有制企业；四是资金来自私人捐赠的公益型基金所办的企业。国有企业改制让出一部分股权给民营企业或外资企业，国有企业转让给职工持股的公众所有制企业，国有企业转让给已改制的公众持股的股份制的民营企业，都不是实行私有化，而是正在新公有化。厉以宁：《论新公有制企业》，《经济学动态》2004年第1期。厉以宁：《论“新公有制”》，《领导决策信息》2003年第38期。公众股份制企业论者认为，股权分散的公众股份制的公有制性质，主要表现为以下三方面原因：一是资本与企业的最终所有权不是掌握在个别私人或少数资本所有者手中，而是掌握在广大公众和劳动者手中；二是企业的资产作为独立于任何私人财产的法人财产，直接地成为社会财产；三是资本的收益权即企业的剩余索取权，也不是掌握在个别私人或少数资本所有者手中，而是掌握在广大公众和劳动者手中，这样，公众股份制表现出明显的公有制性质，它是不同于以“共同所有”为主要特征的经典社会主义或传统社会主义的公有制实现形式，是以“公众所有”为主要特征的崭新的现代公有制形式，是一种公有制的主要实现形式。于金富：《公众股份制是我国现阶段一种公有制主要实现形式》，《经济学动态》2004年第4期。于金富：《构造与市场经济相适应的现代公有制企业形式》，《经济经纬》2003年第2期。</w:t>
      </w:r>
    </w:p>
    <w:p w14:paraId="188D1F76">
      <w:pPr>
        <w:spacing w:line="300" w:lineRule="auto"/>
        <w:ind w:firstLine="440" w:firstLineChars="200"/>
        <w:rPr>
          <w:rFonts w:ascii="Calibri" w:hAnsi="Calibri" w:eastAsia="宋体" w:cs="Times New Roman"/>
        </w:rPr>
      </w:pPr>
      <w:r>
        <w:rPr>
          <w:rFonts w:hint="eastAsia" w:ascii="Calibri" w:hAnsi="Calibri" w:eastAsia="宋体" w:cs="Times New Roman"/>
        </w:rPr>
        <w:t>另一种观点认为，股份制虽然作为公有制的主要实现形式，但并不是所有的股份制企业都是公有制性质的企业形式；国家或者集体独资或控股的股份制企业是公有制性质的股份制企业，公众持股的股份制企业是私有制性质的企业；公有制的主要实现形式是国家或集体独资或控股的股份制企业。持此观点的学者认为，从企业的生产、经营和分配是否以劳动者共同所有的财产（或代表劳动者共同利益的国家所有）为主、是否以劳动合作为主、是否以按劳分配为主，可以判断出经过改制的国有独资和控股公司、国有资本和集体资本共同控股或集体资本控股的混合所有制企业、国有资产转让给职工形成的以劳动合作为核心的股份合作制企业、由职工集体联合拥有所有权和经营权实行民主管理的集体所有制企业，都是公有制企业形式。张丰兰、韩凤永：《公有制、股份制与企业形式》，《经济学动态》2004年第7期。从社会主义公有制的三条基本特征即生产资料公有、劳动者在生产经营活动中拥有充分的当家做主的权利、对个人收入实行按劳分配来考察，全部由公有产权（或国有资本，或集体资本，或国有资本与集体资本）构建的股份公司是社会主义公有制企业；公有产权绝对控股的股份制企业，大体上属于社会主义公有制企业；公有产权相对控股的股份制企业性质尚待研究；公有产权参股的股份制企业不属于社会主义公有制企业。郭飞：《社会主义公有制与股份制若干问题探讨》，《经济学动态》2004年第7期。公众持股股份公司的属性是私有制而不是公有制，使股份制成为公有制的主要实现形式，不是要把国有制和集体所有制本身转化成所谓的“公众所有制”。胡钧：《正确理解“使股份制成为公有制的主要形式”——评“新公有制”、“现代公有制”》，《高校理论战线》2005年第3期。</w:t>
      </w:r>
    </w:p>
    <w:p w14:paraId="19CFFE96">
      <w:pPr>
        <w:spacing w:line="300" w:lineRule="auto"/>
        <w:ind w:firstLine="440" w:firstLineChars="200"/>
        <w:rPr>
          <w:rFonts w:ascii="Calibri" w:hAnsi="Calibri" w:eastAsia="宋体" w:cs="Times New Roman"/>
          <w:b/>
          <w:bCs/>
        </w:rPr>
      </w:pPr>
      <w:r>
        <w:rPr>
          <w:rFonts w:hint="eastAsia" w:ascii="Calibri" w:hAnsi="Calibri" w:eastAsia="宋体" w:cs="Times New Roman"/>
          <w:b/>
          <w:bCs/>
        </w:rPr>
        <w:t>（二）对公有制经济比重的分歧</w:t>
      </w:r>
    </w:p>
    <w:p w14:paraId="12FE76AF">
      <w:pPr>
        <w:spacing w:line="300" w:lineRule="auto"/>
        <w:ind w:firstLine="440" w:firstLineChars="200"/>
        <w:rPr>
          <w:rFonts w:ascii="Calibri" w:hAnsi="Calibri" w:eastAsia="宋体" w:cs="Times New Roman"/>
        </w:rPr>
      </w:pPr>
      <w:r>
        <w:rPr>
          <w:rFonts w:hint="eastAsia" w:ascii="Calibri" w:hAnsi="Calibri" w:eastAsia="宋体" w:cs="Times New Roman"/>
        </w:rPr>
        <w:t>第一种观点认为，公有制经济比重的高低不是社会性质的决定因素，也不是共产党执政地位和政权合法性的决定因素；社会主义是通过生产力的发展来达到共同富裕，而这可以通过确立劳动者个人所有制和国家对市场和收入分配的调控来实现。持此观点的学者认为，习惯于把公有制（尤其是国有制）比重的高低看作是决定社会制度性质的事情，甚至看作是决定共产党领导权合法地位的事情，严重束缚了我国所有制改革的进程。社会主义的最本质的规定是其根本目的，而不是其手段和途径张军扩：《马克思的“两个决不会”思想与现阶段我国的所有制改革》，《理论前沿》2005年第20期。。社会主义的主要目标就在于在最大限度内使劳动者获得全面和自由的发展，只有劳动者真正拥有财产权利以及行使这一权利的自由，才能体现其自身的价值，并获得全面和自由的发展。劳动者个人所有制的普遍存在，导致收入分配的拉大，这需要通过国家对生产要素市场和收入分配领域的宏观调节来防止林水源：《公有制实现形式的讨论须走出传统理论的误区》，《经济学动态》2005年第9期。。</w:t>
      </w:r>
    </w:p>
    <w:p w14:paraId="0C6E1E6F">
      <w:pPr>
        <w:spacing w:line="300" w:lineRule="auto"/>
        <w:ind w:firstLine="440" w:firstLineChars="200"/>
        <w:rPr>
          <w:rFonts w:ascii="Calibri" w:hAnsi="Calibri" w:eastAsia="宋体" w:cs="Times New Roman"/>
        </w:rPr>
      </w:pPr>
      <w:r>
        <w:rPr>
          <w:rFonts w:hint="eastAsia" w:ascii="Calibri" w:hAnsi="Calibri" w:eastAsia="宋体" w:cs="Times New Roman"/>
        </w:rPr>
        <w:t>第二种观点认为，社会主义是以公有制经济为主体，但是国有经济不再是社会主义制度的经济基础；混合所有制经济和公众所有制经济都是公有制经济；社会主义是以混合所有制经济和公众所有制经济为主体的。持此观点的学者认为，扩大公有制的内涵，把混合经济、基金都作为公有制经济，这样扩大了以后，公有制的主体地位仍可以保持。高尚全：《民本经济论》，社会科学文献出版社，2005年第4期。国有企业的股份制改革，虽然包括国有资本控股的股份制形式，但是大多数国有企业却不易采取这种形式。国家控股企业减少，而国家参股但不控股的企业增加，并导致国有资本总量增加，则国有经济就得到增强汤在新：《不要把股份制和公有制对立起来——兼与项启源教授商榷》，《经济学动态》2004年第7期。。新公有制企业论者和公众股份制企业论者也都持有此观点。</w:t>
      </w:r>
    </w:p>
    <w:p w14:paraId="329258C2">
      <w:pPr>
        <w:spacing w:line="300" w:lineRule="auto"/>
        <w:ind w:firstLine="440" w:firstLineChars="200"/>
        <w:rPr>
          <w:rFonts w:ascii="Calibri" w:hAnsi="Calibri" w:eastAsia="宋体" w:cs="Times New Roman"/>
        </w:rPr>
      </w:pPr>
      <w:r>
        <w:rPr>
          <w:rFonts w:hint="eastAsia" w:ascii="Calibri" w:hAnsi="Calibri" w:eastAsia="宋体" w:cs="Times New Roman"/>
        </w:rPr>
        <w:t>第三种观点认为，社会主义是以公有制经济为主体，公有制经济是社会主义的经济基础，也是共产党的执政基础和共同富裕的保证；公有制经济包括国有经济和集体经济，并主要以国有和集体独资或控股的企业形式存在；公有制经济在国民经济中要在“量”和“质”上都占优势。持此观点的学者认为，只有公有制占主体，按劳分配的原则才能占主体，共同富裕才能得到根本保证。公有制失去了主体地位，国家政权的性质和上层建筑必将跟着改变，劳动人民就不可能真正成为社会的主人。而公有制经济并非效率低，其整体经济效益远远高于其他所有制经济，目前国有经济上交的利税占国家财政收入的比重仍在50%以上就是有力的例证。一些国有企业的亏损并不是公有制的原因，社会主义制度不能只靠税收。宗寒：《坚持公有制的主体地位就是“公有制崇拜”吗?》，《红旗文稿》2005年第23期。公有制主体地位与国有经济主导作用是中国共产党执政的主要基础。国有企业的现实困境，根源在于政府机构或政治体制改革的滞后。只要深化改革，强化国有企业自身，就能够完成公有制与市场经济相结合的伟大探索，从而巩固党的执政基础。袁恩桢：《公有制是共产党执政的经济基础》，《上海行政学院学报》2005年第2期。我国的国有企业改革是把其改为适合市场经济要求的微观基础，以巩固公有制的基础地位，不应是私有化。只要国家掌握了企业的“控股权”，将不但确保企业的公有制性质，而且还可以通过发行股票吸收社会公众（个人和企业）投资为己所用，壮大国有企业。股份制是公有制实现的好形式，但不能把股份制本身说成公有制或所谓“社会所有制”黄范章：《股份制是社会主义公有制实现的好形式》，《经济学动态》2006年第1期。。</w:t>
      </w:r>
    </w:p>
    <w:p w14:paraId="1C255744">
      <w:pPr>
        <w:spacing w:line="300" w:lineRule="auto"/>
        <w:ind w:firstLine="440" w:firstLineChars="200"/>
        <w:rPr>
          <w:rFonts w:ascii="Calibri" w:hAnsi="Calibri" w:eastAsia="宋体" w:cs="Times New Roman"/>
          <w:b/>
          <w:bCs/>
        </w:rPr>
      </w:pPr>
      <w:r>
        <w:rPr>
          <w:rFonts w:hint="eastAsia" w:ascii="Calibri" w:hAnsi="Calibri" w:eastAsia="宋体" w:cs="Times New Roman"/>
          <w:b/>
          <w:bCs/>
        </w:rPr>
        <w:t>（三）对公有制经济布局的争论</w:t>
      </w:r>
    </w:p>
    <w:p w14:paraId="7D12B259">
      <w:pPr>
        <w:spacing w:line="300" w:lineRule="auto"/>
        <w:ind w:firstLine="440" w:firstLineChars="200"/>
        <w:rPr>
          <w:rFonts w:ascii="Calibri" w:hAnsi="Calibri" w:eastAsia="宋体" w:cs="Times New Roman"/>
        </w:rPr>
      </w:pPr>
      <w:r>
        <w:rPr>
          <w:rFonts w:hint="eastAsia" w:ascii="Calibri" w:hAnsi="Calibri" w:eastAsia="宋体" w:cs="Times New Roman"/>
        </w:rPr>
        <w:t>第一种观点认为，作为公有制经济主要组成部分的国有企业，实际上是政府管理的，而政府主要职能是提供公共服务的，因此政府创办的国有企业可以从所有领域退出。持有此观点的人认为，国有企业进入战略性行业、支柱行业、国家安全行业和从竞争性行业退出的理由是讲不清楚的。因为任何行业从经济均衡的角度都是战略性行业，都是国家不可缺少的；军工行业只是涉及保密问题，发达国家做军工的也都是私人企业；一方面让国有资产保值增值，并从国家发展战略的角度出发，要国有资产进入新兴的竞争性行业，另一方面又让它从竞争性行业退出，这是相矛盾的。出售国有资产只是资产从经营性形态向现金形态转化，不是资产流失。国有资产要从经营性资产转移到非经营性资产上来，为社会提供公共服务、基础设施和为民营企业及其他各行各业提供好的投资环境樊纲：《国企改革与国有资产管理体系改革》，《长白学刊》2005年第4期。。</w:t>
      </w:r>
    </w:p>
    <w:p w14:paraId="7338F1B3">
      <w:pPr>
        <w:spacing w:line="300" w:lineRule="auto"/>
        <w:ind w:firstLine="440" w:firstLineChars="200"/>
        <w:rPr>
          <w:rFonts w:ascii="Calibri" w:hAnsi="Calibri" w:eastAsia="宋体" w:cs="Times New Roman"/>
        </w:rPr>
      </w:pPr>
      <w:r>
        <w:rPr>
          <w:rFonts w:hint="eastAsia" w:ascii="Calibri" w:hAnsi="Calibri" w:eastAsia="宋体" w:cs="Times New Roman"/>
        </w:rPr>
        <w:t>第二种观点认为，国有企业应该仅存在于自然垄断性行业、国家安全行业、战略性行业和支柱行业、提供重要公共产品和服务的行业，以及私人企业不愿进入的风险高的高科技行业，而应从一般竞争性行业退出。持此观点的学者认为，国有企业有所为和有所不为，是国有企业进行战略性调整的基本原则。对于国家安全、资源稀缺、为公众提供公共产品的部门，对于支柱产业和高新技术产业中的骨干企业，国家要独资或者控股，对于一般竞争性企业，要加大力度、加快进度逐步退出。萧灼基：《国有企业要加大力度，加快进度》，《中外企业家》2005年第5期。</w:t>
      </w:r>
    </w:p>
    <w:p w14:paraId="35B4B3E2">
      <w:pPr>
        <w:spacing w:line="300" w:lineRule="auto"/>
        <w:ind w:firstLine="440" w:firstLineChars="200"/>
        <w:rPr>
          <w:rFonts w:ascii="Calibri" w:hAnsi="Calibri" w:eastAsia="宋体" w:cs="Times New Roman"/>
        </w:rPr>
      </w:pPr>
      <w:r>
        <w:rPr>
          <w:rFonts w:hint="eastAsia" w:ascii="Calibri" w:hAnsi="Calibri" w:eastAsia="宋体" w:cs="Times New Roman"/>
        </w:rPr>
        <w:t>第三种观点认为，国有企业既要掌控自然垄断的行业、提供重要公共产品和服务的行业、支柱产业和战略性产业，以及关键领域的高新技术产业，更要在竞争性行业中发展壮大。持此观点的学者认为，国有企业改革的战略定位是巩固国有企业在国民经济中的支柱地位，增强国有企业的竞争力，充分发挥对经济发展的主导地位。国有企业本身是符合现代经济发展要求的，也是社会主义市场经济的制度性特征，对于巩固党的执政基础有着至关重要的作用。经济改革的目标是增强国有企业的竞争能力。根据市场竞争规律，没有效率和竞争力的企业，无论国有企业还是非国有企业，都会在市场竞争中被淘汰。先做出国有企业退出竞争性领域的结论，再说国有企业没有竞争力，是不符合逻辑的。顾钰民：《论国有企业改革的战略定位——兼对“国退民进”观点的质疑》，《高校理论战线》2005年第2期。社会主义国家和非社会主义国家都有公营企业，又称政府企业或公共企业，但只有社会主义国家才有国有企业，其性质是社会主义全民所有制的。公营企业主要在非竞争性领域，主要以社会效益为目标。属于全民所有的社会主义国有企业主要在竞争性领域，主要以经济效益为目标，国有企业在竞争性领域发展壮大，是社会主义市场经济的发展要求。钱津：《论国有企业与公营企业之异同》，《中州学刊》2006年第1期。公有制企业作为市场经济的主体，完全可以参与市场交换，公平市场竞争并非要求公有经济退出。杨承训：《准确把握社会主义市场经济改革的要谛》，《经济学动态》2006年第9期。所谓的“国退民进”和“国有企业从竞争领域退出”是违背市场经济“游戏规则”的，认为即使把国有企业卖光，变成私人企业，公有制的性质还是没有变，以及国有经济从实物形态转化为货币形态后，国家仍然掌握大量基础设施、财政资金和税收收入，公有经济仍然占主体的说法，是糊弄人的理论逻辑，掩盖了其鼓吹新自由主义改革的真实目的。卫兴华：《警惕“公有制为主体”流于空谈》，《经济学动态》2005年第11期。</w:t>
      </w:r>
    </w:p>
    <w:p w14:paraId="31A86703">
      <w:pPr>
        <w:spacing w:line="300" w:lineRule="auto"/>
        <w:ind w:firstLine="440" w:firstLineChars="200"/>
        <w:rPr>
          <w:rFonts w:ascii="Calibri" w:hAnsi="Calibri" w:eastAsia="宋体" w:cs="Times New Roman"/>
        </w:rPr>
      </w:pPr>
      <w:r>
        <w:rPr>
          <w:rFonts w:hint="eastAsia" w:ascii="Calibri" w:hAnsi="Calibri" w:eastAsia="宋体" w:cs="Times New Roman"/>
        </w:rPr>
        <w:t>学术界对公有制实现形式的讨论，突破了把公有制等同于公有制实现形式的认识。所有制与所有制的实现形式是内容与形式的关系。所有制是一种经济制度，规定了经济活动中人与人之间的关系，其核心是生产资料归谁所有。而所有制的实现形式是生产资料及其产品所有、占有、支配、使用和处置的组织形式和运作方式。公有制是指生产资料归代表全体人民的国家或劳动群众集体共同占有、所有者与劳动者是一体的、实行按劳分配的经济制度；私有制是指生产资料最终归个人所有、所有者与劳动者是分离的、实行按要素分配的经济制度。同一种所有制可以有多种实现形式，不同的所有制也可以采用相同的实现形式。股份制企业作为适合现代生产力发展的资本组织方式和经营方式，既可以作为私有制的实现形式，也可以作为公有制的实现形式。股份制企业可为公有制所用，只要国家或集体控股的股份制企业，就是公有制性质的企业。但是作为私有制实现形式的股权分散的个人持股的公众股份公司或由个人投资组成的机构投资者控股的股份公司，虽然是对业主制企业的个人所有制的扬弃，具有一定的“社会性”，但仍然是私有制性质的企业。如果把所有股份制企业都看成是公有制企业，则英、美等发达资本主义国家早已是社会主义国家了，这显然是不合乎经验和逻辑的。国家或集体控股的股份制企业既保证了股份制企业的公有制性质，又有利于扩大公有制经济的控制力、影响力和带动力，增强为实现共同富裕的目标服务的功能。</w:t>
      </w:r>
    </w:p>
    <w:p w14:paraId="000DDB2A">
      <w:pPr>
        <w:spacing w:line="300" w:lineRule="auto"/>
        <w:ind w:firstLine="440" w:firstLineChars="200"/>
        <w:rPr>
          <w:rFonts w:ascii="Calibri" w:hAnsi="Calibri" w:eastAsia="宋体" w:cs="Times New Roman"/>
        </w:rPr>
      </w:pPr>
      <w:r>
        <w:rPr>
          <w:rFonts w:hint="eastAsia" w:ascii="Calibri" w:hAnsi="Calibri" w:eastAsia="宋体" w:cs="Times New Roman"/>
        </w:rPr>
        <w:t>学术界对公有制经济比重和布局的讨论，突破了只有私有制才能与市场经济相结合的认识，确立了社会主义市场经济的改革方向。经济基础决定上层建筑，确立公有制经济的主体地位，才能保证政权的社会主义性质，保障分配方式以按劳分配为主，进而实现共同富裕。公有制经济主体地位的削弱，必然导致社会主义政权性质的蜕变和共产党执政基础的丧失。私有制的市场经济实行按要素分配，其财富占有的差异和市场竞争的“马太效应”，致使收入分配的两极分化不可避免，对此，国家财政税收调节和宏观调控只能缓和而不能根本解决。缺乏公有制经济的保障，企图以国家财政税收调节和宏观调控来解决两极分化问题，共同富裕的目标是不可能实现的。公有制与市场经济的结合，要求公有制经济尤其是国有经济在竞争性领域中发展壮大，这也是社会主义公有制市场经济与资本主义私有制市场经济的根本区别所在。国有经济在质量上提高，可以增强国有经济的主导作用和控制力，而这是以国有经济在数量上占优势为前提的。</w:t>
      </w:r>
    </w:p>
    <w:p w14:paraId="44A87058">
      <w:pPr>
        <w:spacing w:line="300" w:lineRule="auto"/>
        <w:ind w:firstLine="440" w:firstLineChars="200"/>
        <w:rPr>
          <w:rFonts w:ascii="Calibri" w:hAnsi="Calibri" w:eastAsia="宋体" w:cs="Times New Roman"/>
        </w:rPr>
      </w:pPr>
      <w:r>
        <w:rPr>
          <w:rFonts w:hint="eastAsia" w:ascii="Calibri" w:hAnsi="Calibri" w:eastAsia="宋体" w:cs="Times New Roman"/>
        </w:rPr>
        <w:t>我国社会主义经济体制改革的重要任务，是为社会主义市场经济塑造独立经济利益的公有制经济微观主体。这是前无古人的伟大实践，在理论上必须突破现代西方经济学把国有企业功能定位在弥补“市场缺陷”的认识局限。为实现公有制与市场经济的有效结合，我们提出社会主义国有经济利用股份制应具备的四个内在基本制度要素（至于企业科学管理制度、技术改造制度、破产制度、社会保障制度等是一切现代企业发展所需具备的重要制度，并非国有经济所特有）。第一，要建立以政资职能分离为目标的管理系统。这是推行股份制和重塑国有企业制度的大前提。该管理系统设置三个层次：国有资产所有权的立法管理和最终监管归各级人民代表大会及其机构；国有资产所有权的行政管理归各级人民政府及其机构（国有资产管理局或国有资产管理委员会）；国有资产所有权的商务管理或产权管理归各种国有资产产权经营机构（国有资产的集团控股公司等）。第二，建立以公有法人相互持股为主体的现代企业制度。这是社会主义利用股份制的一个关键性制度要素。第三，建立以个人财产抵押为基础的经营者年薪制。这是集收入、财产、职位和荣誉等多重制约为一体的制度要素。第四，建立以党政相互兼职为特征的法人治理结构。我们要充分发挥股份制国有经济的基础服务功能、支柱构筑功能、流通调节功能、技术示范功能、社会创利功能和产权导向功能，确保市场经济的社会主义性质和经济改革的社会主义方向。</w:t>
      </w:r>
    </w:p>
    <w:p w14:paraId="514F8C78">
      <w:pPr>
        <w:spacing w:line="300" w:lineRule="auto"/>
        <w:ind w:firstLine="440" w:firstLineChars="200"/>
        <w:rPr>
          <w:rFonts w:ascii="Calibri" w:hAnsi="Calibri" w:eastAsia="宋体" w:cs="Times New Roman"/>
        </w:rPr>
      </w:pPr>
    </w:p>
    <w:p w14:paraId="4F226709">
      <w:pPr>
        <w:spacing w:line="300" w:lineRule="auto"/>
        <w:ind w:firstLine="440" w:firstLineChars="200"/>
        <w:rPr>
          <w:rFonts w:ascii="Calibri" w:hAnsi="Calibri" w:eastAsia="宋体" w:cs="Times New Roman"/>
        </w:rPr>
      </w:pPr>
      <w:r>
        <w:rPr>
          <w:rFonts w:hint="eastAsia" w:ascii="Calibri" w:hAnsi="Calibri" w:eastAsia="宋体" w:cs="Times New Roman"/>
        </w:rPr>
        <w:t>（原载于《社会科学管理与评论》2007年第2期。程恩富，王中保）</w:t>
      </w:r>
      <w:r>
        <w:rPr>
          <w:rFonts w:ascii="Calibri" w:hAnsi="Calibri" w:eastAsia="宋体" w:cs="Times New Roman"/>
        </w:rPr>
        <w:br w:type="page"/>
      </w:r>
    </w:p>
    <w:p w14:paraId="7F8F56ED">
      <w:pPr>
        <w:pStyle w:val="3"/>
        <w:spacing w:before="0" w:after="0" w:line="400" w:lineRule="exact"/>
        <w:jc w:val="center"/>
        <w:rPr>
          <w:rFonts w:hint="default" w:ascii="等线" w:hAnsi="等线" w:eastAsia="等线"/>
        </w:rPr>
      </w:pPr>
      <w:bookmarkStart w:id="682" w:name="_Toc111193670"/>
      <w:bookmarkStart w:id="683" w:name="_Toc5266"/>
      <w:bookmarkStart w:id="684" w:name="_Toc1659858776"/>
      <w:bookmarkStart w:id="685" w:name="_Toc2119247805"/>
      <w:r>
        <w:rPr>
          <w:rFonts w:ascii="等线" w:hAnsi="等线" w:eastAsia="等线"/>
        </w:rPr>
        <w:t>9</w:t>
      </w:r>
      <w:r>
        <w:rPr>
          <w:rFonts w:hint="default" w:ascii="等线" w:hAnsi="等线" w:eastAsia="等线"/>
        </w:rPr>
        <w:t>.</w:t>
      </w:r>
      <w:r>
        <w:rPr>
          <w:rFonts w:ascii="等线" w:hAnsi="等线" w:eastAsia="等线"/>
        </w:rPr>
        <w:t>论我国经济学界的“二”、“三”、“四”、“五”、“六”</w:t>
      </w:r>
      <w:bookmarkEnd w:id="682"/>
      <w:bookmarkEnd w:id="683"/>
      <w:bookmarkEnd w:id="684"/>
      <w:bookmarkEnd w:id="685"/>
    </w:p>
    <w:p w14:paraId="11FD0536">
      <w:pPr>
        <w:pStyle w:val="4"/>
        <w:spacing w:after="0" w:line="400" w:lineRule="exact"/>
        <w:ind w:firstLine="392" w:firstLineChars="200"/>
        <w:rPr>
          <w:rFonts w:ascii="宋体" w:hAnsi="宋体" w:eastAsia="宋体"/>
        </w:rPr>
      </w:pPr>
      <w:r>
        <w:rPr>
          <w:rFonts w:ascii="宋体" w:hAnsi="宋体" w:eastAsia="宋体"/>
          <w:spacing w:val="-12"/>
        </w:rPr>
        <w:t>所谓“二”，是指马克思主义经济学界出现的两种主要理论模式，即传统理论模式和新</w:t>
      </w:r>
      <w:r>
        <w:rPr>
          <w:rFonts w:ascii="宋体" w:hAnsi="宋体" w:eastAsia="宋体"/>
          <w:spacing w:val="-10"/>
        </w:rPr>
        <w:t>马理论模式。传统理论模式以原生态马克思主义为侧重点，新马理论模式也就是创新的马克</w:t>
      </w:r>
      <w:r>
        <w:rPr>
          <w:rFonts w:ascii="宋体" w:hAnsi="宋体" w:eastAsia="宋体"/>
          <w:spacing w:val="-2"/>
        </w:rPr>
        <w:t>思主义理论模式。新马理论模式一开始就是理论的重要来源，刘国光博士在上个世纪</w:t>
      </w:r>
      <w:r>
        <w:rPr>
          <w:rFonts w:ascii="宋体" w:hAnsi="宋体" w:eastAsia="宋体"/>
        </w:rPr>
        <w:t>70</w:t>
      </w:r>
      <w:r>
        <w:rPr>
          <w:rFonts w:ascii="宋体" w:hAnsi="宋体" w:eastAsia="宋体"/>
          <w:spacing w:val="-31"/>
        </w:rPr>
        <w:t>年</w:t>
      </w:r>
      <w:r>
        <w:rPr>
          <w:rFonts w:ascii="宋体" w:hAnsi="宋体" w:eastAsia="宋体"/>
          <w:spacing w:val="-16"/>
        </w:rPr>
        <w:t>代末</w:t>
      </w:r>
      <w:r>
        <w:rPr>
          <w:rFonts w:ascii="宋体" w:hAnsi="宋体" w:eastAsia="宋体"/>
        </w:rPr>
        <w:t>80</w:t>
      </w:r>
      <w:r>
        <w:rPr>
          <w:rFonts w:ascii="宋体" w:hAnsi="宋体" w:eastAsia="宋体"/>
          <w:spacing w:val="-7"/>
        </w:rPr>
        <w:t>年代初就提出市场取向改革，是主张建立社会主义市场经济体制的第一位重要经济</w:t>
      </w:r>
      <w:r>
        <w:rPr>
          <w:rFonts w:ascii="宋体" w:hAnsi="宋体" w:eastAsia="宋体"/>
          <w:spacing w:val="-4"/>
        </w:rPr>
        <w:t>学家；吴敬琏教授在</w:t>
      </w:r>
      <w:r>
        <w:rPr>
          <w:rFonts w:ascii="宋体" w:hAnsi="宋体" w:eastAsia="宋体"/>
        </w:rPr>
        <w:t>1979</w:t>
      </w:r>
      <w:r>
        <w:rPr>
          <w:rFonts w:ascii="宋体" w:hAnsi="宋体" w:eastAsia="宋体"/>
          <w:spacing w:val="-27"/>
        </w:rPr>
        <w:t>年</w:t>
      </w:r>
      <w:r>
        <w:rPr>
          <w:rFonts w:ascii="宋体" w:hAnsi="宋体" w:eastAsia="宋体"/>
        </w:rPr>
        <w:t>3</w:t>
      </w:r>
      <w:r>
        <w:rPr>
          <w:rFonts w:ascii="宋体" w:hAnsi="宋体" w:eastAsia="宋体"/>
          <w:spacing w:val="-9"/>
        </w:rPr>
        <w:t>月提出了商品生产和价值规律问题，政治界主要是</w:t>
      </w:r>
      <w:r>
        <w:rPr>
          <w:rFonts w:ascii="宋体" w:hAnsi="宋体" w:eastAsia="宋体"/>
        </w:rPr>
        <w:t>1979</w:t>
      </w:r>
      <w:r>
        <w:rPr>
          <w:rFonts w:ascii="宋体" w:hAnsi="宋体" w:eastAsia="宋体"/>
          <w:spacing w:val="-20"/>
        </w:rPr>
        <w:t>年</w:t>
      </w:r>
      <w:r>
        <w:rPr>
          <w:rFonts w:ascii="宋体" w:hAnsi="宋体" w:eastAsia="宋体"/>
        </w:rPr>
        <w:t>11</w:t>
      </w:r>
      <w:r>
        <w:rPr>
          <w:rFonts w:ascii="宋体" w:hAnsi="宋体" w:eastAsia="宋体"/>
          <w:spacing w:val="-1"/>
        </w:rPr>
        <w:t>月邓小平提出的社会主义也可以搞市场经济的著名论断；杨申明教授在国内最早提出公</w:t>
      </w:r>
      <w:r>
        <w:rPr>
          <w:rFonts w:ascii="宋体" w:hAnsi="宋体" w:eastAsia="宋体"/>
          <w:spacing w:val="-3"/>
        </w:rPr>
        <w:t>平与效率的平衡发展战略；</w:t>
      </w:r>
      <w:r>
        <w:rPr>
          <w:rFonts w:ascii="宋体" w:hAnsi="宋体" w:eastAsia="宋体"/>
        </w:rPr>
        <w:t>许涤新</w:t>
      </w:r>
      <w:r>
        <w:rPr>
          <w:rFonts w:ascii="宋体" w:hAnsi="宋体" w:eastAsia="宋体"/>
          <w:spacing w:val="-3"/>
        </w:rPr>
        <w:t>和赵新华较早的提出了生态经济问题；魏星华教授指出了</w:t>
      </w:r>
      <w:r>
        <w:rPr>
          <w:rFonts w:ascii="宋体" w:hAnsi="宋体" w:eastAsia="宋体"/>
        </w:rPr>
        <w:t>社会主义公有制实现形式问题；舒心教授提出了股份制问题。</w:t>
      </w:r>
    </w:p>
    <w:p w14:paraId="5BDB8820">
      <w:pPr>
        <w:pStyle w:val="4"/>
        <w:spacing w:after="0" w:line="400" w:lineRule="exact"/>
        <w:ind w:firstLine="368" w:firstLineChars="200"/>
        <w:rPr>
          <w:rFonts w:ascii="宋体" w:hAnsi="宋体" w:eastAsia="宋体"/>
        </w:rPr>
      </w:pPr>
      <w:r>
        <w:rPr>
          <w:rFonts w:ascii="宋体" w:hAnsi="宋体" w:eastAsia="宋体"/>
          <w:spacing w:val="-18"/>
        </w:rPr>
        <w:t>所谓“三”，指“三大旋风”。</w:t>
      </w:r>
      <w:r>
        <w:rPr>
          <w:rFonts w:ascii="宋体" w:hAnsi="宋体" w:eastAsia="宋体"/>
        </w:rPr>
        <w:t>2004</w:t>
      </w:r>
      <w:r>
        <w:rPr>
          <w:rFonts w:ascii="宋体" w:hAnsi="宋体" w:eastAsia="宋体"/>
          <w:spacing w:val="-1"/>
        </w:rPr>
        <w:t>年郎咸平就国有资产大量流失和国企改制问题进行</w:t>
      </w:r>
      <w:r>
        <w:rPr>
          <w:rFonts w:ascii="宋体" w:hAnsi="宋体" w:eastAsia="宋体"/>
          <w:spacing w:val="-9"/>
        </w:rPr>
        <w:t>了批判，反对侵吞公有资产，不赞成大规模私有化，被称为“郎咸平旋风”。</w:t>
      </w:r>
      <w:r>
        <w:rPr>
          <w:rFonts w:ascii="宋体" w:hAnsi="宋体" w:eastAsia="宋体"/>
        </w:rPr>
        <w:t>2005</w:t>
      </w:r>
      <w:r>
        <w:rPr>
          <w:rFonts w:ascii="宋体" w:hAnsi="宋体" w:eastAsia="宋体"/>
          <w:spacing w:val="-14"/>
        </w:rPr>
        <w:t>年，教学</w:t>
      </w:r>
      <w:r>
        <w:rPr>
          <w:rFonts w:ascii="宋体" w:hAnsi="宋体" w:eastAsia="宋体"/>
          <w:spacing w:val="-17"/>
        </w:rPr>
        <w:t>研究中马克思主义经济学地位下降，西方主流经济学在某些刊物上大行其道，刘国光认为市</w:t>
      </w:r>
      <w:r>
        <w:rPr>
          <w:rFonts w:ascii="宋体" w:hAnsi="宋体" w:eastAsia="宋体"/>
          <w:spacing w:val="-7"/>
        </w:rPr>
        <w:t>场化作为简称是可以的，但应尽量减少其使用次数，在更多情况下，尽可能使用社会主义市</w:t>
      </w:r>
      <w:r>
        <w:rPr>
          <w:rFonts w:ascii="宋体" w:hAnsi="宋体" w:eastAsia="宋体"/>
          <w:spacing w:val="-4"/>
        </w:rPr>
        <w:t>场经济的提法，提市场经济是可以的，但计划宏观调控不可缺少，被称为“刘国光旋风”。</w:t>
      </w:r>
      <w:r>
        <w:rPr>
          <w:rFonts w:ascii="宋体" w:hAnsi="宋体" w:eastAsia="宋体"/>
          <w:spacing w:val="-12"/>
        </w:rPr>
        <w:t>北大的法学博士生导师巩献田认为物权法应遵循宪法，强调保证国有资产不流失，被称为“巩</w:t>
      </w:r>
      <w:r>
        <w:rPr>
          <w:rFonts w:ascii="宋体" w:hAnsi="宋体" w:eastAsia="宋体"/>
          <w:spacing w:val="-27"/>
        </w:rPr>
        <w:t>旋风”。</w:t>
      </w:r>
    </w:p>
    <w:p w14:paraId="6E071A2B">
      <w:pPr>
        <w:pStyle w:val="4"/>
        <w:spacing w:after="0" w:line="400" w:lineRule="exact"/>
        <w:ind w:firstLine="372" w:firstLineChars="200"/>
        <w:rPr>
          <w:rFonts w:ascii="宋体" w:hAnsi="宋体" w:eastAsia="宋体"/>
        </w:rPr>
      </w:pPr>
      <w:r>
        <w:rPr>
          <w:rFonts w:ascii="宋体" w:hAnsi="宋体" w:eastAsia="宋体"/>
          <w:spacing w:val="-17"/>
        </w:rPr>
        <w:t>所谓“四”,即四次“理论地震”。香港大学张五常教授在内地单位频繁讲学，公开批判</w:t>
      </w:r>
      <w:r>
        <w:rPr>
          <w:rFonts w:ascii="宋体" w:hAnsi="宋体" w:eastAsia="宋体"/>
        </w:rPr>
        <w:t>马克思主义，还指出社会主义市场经济在经济学上是行不通的；2003</w:t>
      </w:r>
      <w:r>
        <w:rPr>
          <w:rFonts w:ascii="宋体" w:hAnsi="宋体" w:eastAsia="宋体"/>
          <w:spacing w:val="-2"/>
        </w:rPr>
        <w:t>年在青岛大学修宪会</w:t>
      </w:r>
      <w:r>
        <w:rPr>
          <w:rFonts w:ascii="宋体" w:hAnsi="宋体" w:eastAsia="宋体"/>
          <w:spacing w:val="-10"/>
        </w:rPr>
        <w:t>上，曹思源提出“双十计划”，即在两个十年内把宪法理论前言取消，实质上是要取消中共</w:t>
      </w:r>
      <w:r>
        <w:rPr>
          <w:rFonts w:ascii="宋体" w:hAnsi="宋体" w:eastAsia="宋体"/>
        </w:rPr>
        <w:t>的执政地位和马克思主义的指导思想；2006</w:t>
      </w:r>
      <w:r>
        <w:rPr>
          <w:rFonts w:ascii="宋体" w:hAnsi="宋体" w:eastAsia="宋体"/>
          <w:spacing w:val="-22"/>
        </w:rPr>
        <w:t>年</w:t>
      </w:r>
      <w:r>
        <w:rPr>
          <w:rFonts w:ascii="宋体" w:hAnsi="宋体" w:eastAsia="宋体"/>
        </w:rPr>
        <w:t>3</w:t>
      </w:r>
      <w:r>
        <w:rPr>
          <w:rFonts w:ascii="宋体" w:hAnsi="宋体" w:eastAsia="宋体"/>
          <w:spacing w:val="-7"/>
        </w:rPr>
        <w:t>月，在新西山会上，左的思想极其严重；</w:t>
      </w:r>
      <w:r>
        <w:rPr>
          <w:rFonts w:ascii="宋体" w:hAnsi="宋体" w:eastAsia="宋体"/>
        </w:rPr>
        <w:t>2007</w:t>
      </w:r>
      <w:r>
        <w:rPr>
          <w:rFonts w:ascii="宋体" w:hAnsi="宋体" w:eastAsia="宋体"/>
          <w:spacing w:val="-36"/>
        </w:rPr>
        <w:t>年</w:t>
      </w:r>
      <w:r>
        <w:rPr>
          <w:rFonts w:ascii="宋体" w:hAnsi="宋体" w:eastAsia="宋体"/>
        </w:rPr>
        <w:t>1</w:t>
      </w:r>
      <w:r>
        <w:rPr>
          <w:rFonts w:ascii="宋体" w:hAnsi="宋体" w:eastAsia="宋体"/>
          <w:spacing w:val="-27"/>
        </w:rPr>
        <w:t>月和</w:t>
      </w:r>
      <w:r>
        <w:rPr>
          <w:rFonts w:ascii="宋体" w:hAnsi="宋体" w:eastAsia="宋体"/>
        </w:rPr>
        <w:t>3</w:t>
      </w:r>
      <w:r>
        <w:rPr>
          <w:rFonts w:ascii="宋体" w:hAnsi="宋体" w:eastAsia="宋体"/>
          <w:spacing w:val="-8"/>
        </w:rPr>
        <w:t>月，谢涛指出只有民主社会主义才能救中国。</w:t>
      </w:r>
    </w:p>
    <w:p w14:paraId="0063C3D6">
      <w:pPr>
        <w:pStyle w:val="4"/>
        <w:spacing w:after="0" w:line="400" w:lineRule="exact"/>
        <w:ind w:firstLine="396" w:firstLineChars="200"/>
        <w:rPr>
          <w:rFonts w:ascii="宋体" w:hAnsi="宋体" w:eastAsia="宋体"/>
        </w:rPr>
      </w:pPr>
      <w:r>
        <w:rPr>
          <w:rFonts w:ascii="宋体" w:hAnsi="宋体" w:eastAsia="宋体"/>
          <w:spacing w:val="-11"/>
        </w:rPr>
        <w:t>所谓“五”也就是五大成效。马克思主义学界在以下五个方面作了必要批评，进行了五</w:t>
      </w:r>
      <w:r>
        <w:rPr>
          <w:rFonts w:ascii="宋体" w:hAnsi="宋体" w:eastAsia="宋体"/>
          <w:spacing w:val="-10"/>
        </w:rPr>
        <w:t>个创新：批判了否定马克思主义的活劳动价值理论，创新了马克思主义劳动理论；批判了主</w:t>
      </w:r>
      <w:r>
        <w:rPr>
          <w:rFonts w:ascii="宋体" w:hAnsi="宋体" w:eastAsia="宋体"/>
          <w:spacing w:val="-9"/>
        </w:rPr>
        <w:t>张私有化的理论，创新了马克思主义关于产权和公有企业改革的理论；批判了关于社会主义和西方民主学说，创新了马克思主义在这两个问题上的理论；批判了关于宪政合物权法的理</w:t>
      </w:r>
      <w:r>
        <w:rPr>
          <w:rFonts w:ascii="宋体" w:hAnsi="宋体" w:eastAsia="宋体"/>
          <w:spacing w:val="-10"/>
        </w:rPr>
        <w:t>论，提出修改物权法建议，创新了马克思主义法律；批判了民主社会主义理论，搞清了民主</w:t>
      </w:r>
      <w:r>
        <w:rPr>
          <w:rFonts w:ascii="宋体" w:hAnsi="宋体" w:eastAsia="宋体"/>
        </w:rPr>
        <w:t>社会主义模式，创新了中国特色社会主义理论。</w:t>
      </w:r>
    </w:p>
    <w:p w14:paraId="4B35A2AC">
      <w:pPr>
        <w:pStyle w:val="4"/>
        <w:spacing w:after="0" w:line="400" w:lineRule="exact"/>
        <w:ind w:firstLine="396" w:firstLineChars="200"/>
        <w:rPr>
          <w:rFonts w:ascii="宋体" w:hAnsi="宋体" w:eastAsia="宋体"/>
        </w:rPr>
      </w:pPr>
      <w:r>
        <w:rPr>
          <w:rFonts w:ascii="宋体" w:hAnsi="宋体" w:eastAsia="宋体"/>
          <w:spacing w:val="-11"/>
        </w:rPr>
        <w:t>所谓“六”亦即六大社会思潮，包括新自由主义思潮、民主社会主义思潮、历史虚无主</w:t>
      </w:r>
      <w:r>
        <w:rPr>
          <w:rFonts w:ascii="宋体" w:hAnsi="宋体" w:eastAsia="宋体"/>
        </w:rPr>
        <w:t>义思潮、新儒化思潮、新左翼思潮、折中主义思潮。</w:t>
      </w:r>
    </w:p>
    <w:p w14:paraId="0032E390">
      <w:pPr>
        <w:pStyle w:val="4"/>
        <w:spacing w:after="0" w:line="400" w:lineRule="exact"/>
        <w:ind w:firstLine="440" w:firstLineChars="200"/>
        <w:rPr>
          <w:rFonts w:hint="eastAsia" w:ascii="宋体" w:hAnsi="宋体" w:eastAsia="宋体"/>
        </w:rPr>
      </w:pPr>
      <w:r>
        <w:rPr>
          <w:rFonts w:hint="eastAsia" w:ascii="宋体" w:hAnsi="宋体" w:eastAsia="宋体"/>
        </w:rPr>
        <w:t>（原载《</w:t>
      </w:r>
      <w:r>
        <w:rPr>
          <w:rFonts w:hint="eastAsia" w:ascii="宋体" w:hAnsi="宋体" w:eastAsia="宋体" w:cs="宋体"/>
          <w:lang w:bidi="ar"/>
        </w:rPr>
        <w:t>全国马克思主义理论研究与教学高级研讨班会议论文集</w:t>
      </w:r>
      <w:r>
        <w:rPr>
          <w:rFonts w:hint="eastAsia" w:ascii="宋体" w:hAnsi="宋体" w:eastAsia="宋体"/>
        </w:rPr>
        <w:t>》2</w:t>
      </w:r>
      <w:r>
        <w:rPr>
          <w:rFonts w:ascii="宋体" w:hAnsi="宋体" w:eastAsia="宋体"/>
        </w:rPr>
        <w:t>007</w:t>
      </w:r>
      <w:r>
        <w:rPr>
          <w:rFonts w:hint="eastAsia" w:ascii="宋体" w:hAnsi="宋体" w:eastAsia="宋体"/>
        </w:rPr>
        <w:t>年7月）</w:t>
      </w:r>
    </w:p>
    <w:p w14:paraId="6D3AF894">
      <w:pPr>
        <w:pStyle w:val="21"/>
        <w:spacing w:line="400" w:lineRule="exact"/>
        <w:ind w:firstLine="480"/>
        <w:jc w:val="both"/>
        <w:rPr>
          <w:rFonts w:eastAsiaTheme="minorEastAsia"/>
          <w:sz w:val="21"/>
          <w:szCs w:val="21"/>
        </w:rPr>
      </w:pPr>
    </w:p>
    <w:p w14:paraId="6DDDF26F">
      <w:pPr>
        <w:pStyle w:val="3"/>
        <w:spacing w:before="0" w:after="0" w:line="400" w:lineRule="exact"/>
        <w:jc w:val="center"/>
        <w:rPr>
          <w:rFonts w:hint="default" w:ascii="黑体" w:hAnsi="黑体" w:eastAsia="黑体"/>
          <w:b w:val="0"/>
          <w:bCs w:val="0"/>
        </w:rPr>
      </w:pPr>
      <w:bookmarkStart w:id="686" w:name="_Toc111193671"/>
      <w:bookmarkStart w:id="687" w:name="_Toc17125"/>
      <w:bookmarkStart w:id="688" w:name="_Toc1433873702"/>
      <w:bookmarkStart w:id="689" w:name="_Toc34089493"/>
      <w:r>
        <w:rPr>
          <w:rFonts w:ascii="黑体" w:hAnsi="黑体" w:eastAsia="黑体"/>
          <w:b w:val="0"/>
          <w:bCs w:val="0"/>
        </w:rPr>
        <w:t>1</w:t>
      </w:r>
      <w:r>
        <w:rPr>
          <w:rFonts w:hint="default" w:ascii="黑体" w:hAnsi="黑体" w:eastAsia="黑体"/>
          <w:b w:val="0"/>
          <w:bCs w:val="0"/>
        </w:rPr>
        <w:t>0.</w:t>
      </w:r>
      <w:r>
        <w:rPr>
          <w:rFonts w:ascii="黑体" w:hAnsi="黑体" w:eastAsia="黑体"/>
          <w:b w:val="0"/>
          <w:bCs w:val="0"/>
        </w:rPr>
        <w:t>五个方面的本质区别</w:t>
      </w:r>
      <w:bookmarkEnd w:id="686"/>
      <w:bookmarkEnd w:id="687"/>
      <w:bookmarkEnd w:id="688"/>
      <w:bookmarkEnd w:id="689"/>
    </w:p>
    <w:p w14:paraId="10AA489B">
      <w:pPr>
        <w:spacing w:line="400" w:lineRule="exact"/>
        <w:ind w:firstLine="440" w:firstLineChars="200"/>
        <w:rPr>
          <w:rFonts w:ascii="宋体" w:hAnsi="宋体" w:eastAsia="宋体"/>
        </w:rPr>
      </w:pPr>
      <w:r>
        <w:rPr>
          <w:rFonts w:hint="eastAsia" w:ascii="宋体" w:hAnsi="宋体" w:eastAsia="宋体"/>
        </w:rPr>
        <w:t>鲜明地突出强调“中国特色社会主义”，是</w:t>
      </w:r>
      <w:r>
        <w:rPr>
          <w:rFonts w:ascii="宋体" w:hAnsi="宋体" w:eastAsia="宋体"/>
        </w:rPr>
        <w:t>2007年6月25日胡锦涛总书记在中央党校发表重要讲话的主旨和关键词。</w:t>
      </w:r>
    </w:p>
    <w:p w14:paraId="3CCA7D09">
      <w:pPr>
        <w:spacing w:line="400" w:lineRule="exact"/>
        <w:ind w:firstLine="440" w:firstLineChars="200"/>
        <w:rPr>
          <w:rFonts w:ascii="宋体" w:hAnsi="宋体" w:eastAsia="宋体"/>
        </w:rPr>
      </w:pPr>
      <w:r>
        <w:rPr>
          <w:rFonts w:hint="eastAsia" w:ascii="宋体" w:hAnsi="宋体" w:eastAsia="宋体"/>
        </w:rPr>
        <w:t>搞清楚民主社会主义与中国特色社会主义的理论差异和实践区别，这对于践行胡锦涛总书记在讲话号召我们“坚定不移走中国特色社会主义伟大道路，为夺取全面建设小康社会新胜利而奋斗”，具有至关重要的理论和现实意义。</w:t>
      </w:r>
    </w:p>
    <w:p w14:paraId="724C279F">
      <w:pPr>
        <w:spacing w:line="400" w:lineRule="exact"/>
        <w:ind w:firstLine="440" w:firstLineChars="200"/>
        <w:rPr>
          <w:rFonts w:ascii="宋体" w:hAnsi="宋体" w:eastAsia="宋体"/>
        </w:rPr>
      </w:pPr>
      <w:r>
        <w:rPr>
          <w:rFonts w:hint="eastAsia" w:ascii="宋体" w:hAnsi="宋体" w:eastAsia="宋体"/>
        </w:rPr>
        <w:t>民主社会主义是</w:t>
      </w:r>
      <w:r>
        <w:rPr>
          <w:rFonts w:ascii="宋体" w:hAnsi="宋体" w:eastAsia="宋体"/>
        </w:rPr>
        <w:t>20世纪以来西方社会盛行的一种资本主义的改良主义思潮。它是社会民主党、社会党、工党和社会党国际思想体系的总称，由第二国际社会民主党右翼发展而来，伯恩斯坦是“民主社会主义”基本思想</w:t>
      </w:r>
      <w:r>
        <w:rPr>
          <w:rFonts w:hint="eastAsia" w:ascii="宋体" w:hAnsi="宋体" w:eastAsia="宋体"/>
        </w:rPr>
        <w:t>的奠基者。在当代，民主社会主义不仅是作为一种理论形态，而且是作为一种实践形态而存在的。社会民主党在许多西方资本主义国家中长期执政或轮流执政，对当代世界的进程产生了深远的影响。民主社会主义与中国特色社会主义的本质区别在于以下五点：</w:t>
      </w:r>
    </w:p>
    <w:p w14:paraId="6B2BB35C">
      <w:pPr>
        <w:spacing w:line="400" w:lineRule="exact"/>
        <w:ind w:firstLine="440" w:firstLineChars="200"/>
        <w:rPr>
          <w:rFonts w:ascii="宋体" w:hAnsi="宋体" w:eastAsia="宋体"/>
        </w:rPr>
      </w:pPr>
      <w:r>
        <w:rPr>
          <w:rFonts w:hint="eastAsia" w:ascii="宋体" w:hAnsi="宋体" w:eastAsia="宋体"/>
        </w:rPr>
        <w:t>第一，从指导思想层面看，是否坚持马克思主义的指导地位。民主社会主义反对把马克思主义作为唯一的指导思想，主张世界观和指导思想的多元化，提倡社会主义思想构成和来源的多样性。他们把基督教学说、法国大革命的人权宣言、康德的伦理学与启蒙思想、黑格尔的辩证历史哲学、伯恩施坦的修正主义、凯恩斯主义经济学等都作为自己的思想来源和构成，将多种思想观点熔为一炉，冠之为“多元化”和“思想民主”。</w:t>
      </w:r>
    </w:p>
    <w:p w14:paraId="3FA8BBE7">
      <w:pPr>
        <w:spacing w:line="400" w:lineRule="exact"/>
        <w:rPr>
          <w:rFonts w:ascii="宋体" w:hAnsi="宋体" w:eastAsia="宋体"/>
        </w:rPr>
      </w:pPr>
      <w:r>
        <w:rPr>
          <w:rFonts w:hint="eastAsia" w:ascii="宋体" w:hAnsi="宋体" w:eastAsia="宋体"/>
        </w:rPr>
        <w:t>中国特色社会主义主张用马克思主义为灵魂的社会主义核心价值体系，引领各种社会思潮和社会主义实践。马克思主义作为科学的世界观和方法论，是社会主义运动的理论基础，应该在中国特色社会主义实践中占指导地位。以马克思主义为指导，就是要把马克思主义普遍原理与中国现阶段的实际结合起来，指导中国特色社会主义实践，研究新情况，总结新经验，解决新问题。马克思主义是一个开放的、随着科学和实践的发展而不断前进的科学体系，具有强大的持久生命力和科学的解释力。</w:t>
      </w:r>
    </w:p>
    <w:p w14:paraId="79993589">
      <w:pPr>
        <w:spacing w:line="400" w:lineRule="exact"/>
        <w:ind w:firstLine="440" w:firstLineChars="200"/>
        <w:rPr>
          <w:rFonts w:ascii="宋体" w:hAnsi="宋体" w:eastAsia="宋体"/>
        </w:rPr>
      </w:pPr>
      <w:r>
        <w:rPr>
          <w:rFonts w:hint="eastAsia" w:ascii="宋体" w:hAnsi="宋体" w:eastAsia="宋体"/>
        </w:rPr>
        <w:t>第二，从经济制度层面看，是否坚持生产资料公有制的主体地位。民主社会主义认为，社会主义可以在不改变生产资料资本主义私有制的条件下实现，声称生产资料主体结构不是衡量社会性质的标准。他们主张在维持私有制主体的基础上，实行国有企业、私人企业和其他经济成分并存的“混合经济”制度，并维护以按资分配为主体的财富和收入分配制度。</w:t>
      </w:r>
    </w:p>
    <w:p w14:paraId="41852E51">
      <w:pPr>
        <w:spacing w:line="400" w:lineRule="exact"/>
        <w:ind w:firstLine="440" w:firstLineChars="200"/>
        <w:rPr>
          <w:rFonts w:ascii="宋体" w:hAnsi="宋体" w:eastAsia="宋体"/>
        </w:rPr>
      </w:pPr>
      <w:r>
        <w:rPr>
          <w:rFonts w:hint="eastAsia" w:ascii="宋体" w:hAnsi="宋体" w:eastAsia="宋体"/>
        </w:rPr>
        <w:t>中国特色社会主义认为，社会主义与资本主义在基本经济制度上具有决定意义的差别就在于生产资料社会所有制结构（邓小平语），以质与量都占优势的生产资料公有制为主体、国有经济为主导，对于强国富民和建设社会主义具有举足轻重的作用，是共产党执政等上层建筑的社会主义经济基础江泽民语）。尽管由于目前中国生产力不发达，还不能实现完全的生产资料公有制，但在发展各种私有制经济的同时必须坚持公有制的主体地位。只有坚持市场经济条件下公有制的主体地位，才能真正完善以按劳分配为主体的财富和收入分配制度，实现共同富裕和公平正义，才能真正落实以人为本的科学发展观，实现国民经济又好又快地良性发展。</w:t>
      </w:r>
    </w:p>
    <w:p w14:paraId="0C425428">
      <w:pPr>
        <w:spacing w:line="400" w:lineRule="exact"/>
        <w:ind w:firstLine="440" w:firstLineChars="200"/>
        <w:rPr>
          <w:rFonts w:ascii="宋体" w:hAnsi="宋体" w:eastAsia="宋体"/>
        </w:rPr>
      </w:pPr>
      <w:r>
        <w:rPr>
          <w:rFonts w:hint="eastAsia" w:ascii="宋体" w:hAnsi="宋体" w:eastAsia="宋体"/>
        </w:rPr>
        <w:t>第三，从政治制度层面看，是否坚持工人阶级政党的领导。各种名称的社会党抹煞党的工人阶级性质，反对民主集中制原则。公开宣称他们的党是由具有不同信仰和思想的人组成的一个共同体，不是一个阶级的党，而是“全民党”。他们反对一切情况下的一党制，提倡资产阶级多党轮流执政的国体。中国特色社会主义坚持共产党的工人阶级先锋队性质和民主集中制原则，坚持共产党对社会主义事业的领导。在新的科学技术革命面前，工人阶级仍然是先进生产力发展要求的代表和先进生产关系的体现者，仍然是推翻资本主义，建设社会主义、共产主义历史使命的承担者。在多种社会阶层出现和并存的新格局下，共产党仍然必须保持工人阶级先锋队的性质，全心全意依靠工人阶级。现阶段实行共产党领导下的多党合作和政治协商制度，而民主集中制是共产党及其执政国家的根本组织原则和组织制度，是正确处理党内外各种关系的政治准则。</w:t>
      </w:r>
    </w:p>
    <w:p w14:paraId="6A369B7B">
      <w:pPr>
        <w:spacing w:line="400" w:lineRule="exact"/>
        <w:ind w:firstLine="440" w:firstLineChars="200"/>
        <w:rPr>
          <w:rFonts w:ascii="宋体" w:hAnsi="宋体" w:eastAsia="宋体"/>
        </w:rPr>
      </w:pPr>
      <w:r>
        <w:rPr>
          <w:rFonts w:hint="eastAsia" w:ascii="宋体" w:hAnsi="宋体" w:eastAsia="宋体"/>
        </w:rPr>
        <w:t>第四，从对外关系层面看，是否坚持推动世界和谐发展。</w:t>
      </w:r>
    </w:p>
    <w:p w14:paraId="69DCB6C2">
      <w:pPr>
        <w:spacing w:line="400" w:lineRule="exact"/>
        <w:rPr>
          <w:rFonts w:ascii="宋体" w:hAnsi="宋体" w:eastAsia="宋体"/>
        </w:rPr>
      </w:pPr>
      <w:r>
        <w:rPr>
          <w:rFonts w:hint="eastAsia" w:ascii="宋体" w:hAnsi="宋体" w:eastAsia="宋体"/>
        </w:rPr>
        <w:t>民主社会主义表面上赞成对外关系要平等、和平，而实际行动上经常背离。在两次世界大战中、二战以后和后冷战以来，许多国家的社会党主张对外军事扩张和侵略，推行经济和文化的霸权主义。</w:t>
      </w:r>
    </w:p>
    <w:p w14:paraId="790B7C58">
      <w:pPr>
        <w:spacing w:line="400" w:lineRule="exact"/>
        <w:ind w:firstLine="440" w:firstLineChars="200"/>
        <w:rPr>
          <w:rFonts w:ascii="宋体" w:hAnsi="宋体" w:eastAsia="宋体"/>
        </w:rPr>
      </w:pPr>
      <w:r>
        <w:rPr>
          <w:rFonts w:hint="eastAsia" w:ascii="宋体" w:hAnsi="宋体" w:eastAsia="宋体"/>
        </w:rPr>
        <w:t>中国特色社会主义在对外关系理论和政策上都真正主张平等互利，和平合作，切实推动世界和谐发展。中国在政治、军事、经济和文化等各个对外领域，永远不称霸，强调国家不分大小强弱，一律平等。要超越意识形态和社会制度不同，来处理国家间的多种关系和全球问题。在全球化大趋势中，各国之间政治上要友好协商而不单边强权，军事上要限于自防而不先发制人，经济上要合作互利而不以邻为壑，文化上要交流互学而不损人利己。具有中国特色的社会主义中国以经济建设为中心，自然要通过经济开放积极参与经济全球化，为强国富民和全世界作出应有的贡献。</w:t>
      </w:r>
    </w:p>
    <w:p w14:paraId="078DB4F6">
      <w:pPr>
        <w:spacing w:line="400" w:lineRule="exact"/>
        <w:ind w:firstLine="440" w:firstLineChars="200"/>
        <w:rPr>
          <w:rFonts w:ascii="宋体" w:hAnsi="宋体" w:eastAsia="宋体"/>
        </w:rPr>
      </w:pPr>
      <w:r>
        <w:rPr>
          <w:rFonts w:hint="eastAsia" w:ascii="宋体" w:hAnsi="宋体" w:eastAsia="宋体"/>
        </w:rPr>
        <w:t>第五，从终极目标层面看，是否坚持社会主义本质和共产主义奋斗目标。</w:t>
      </w:r>
    </w:p>
    <w:p w14:paraId="0D43C0A1">
      <w:pPr>
        <w:spacing w:line="400" w:lineRule="exact"/>
        <w:rPr>
          <w:rFonts w:ascii="宋体" w:hAnsi="宋体" w:eastAsia="宋体"/>
        </w:rPr>
      </w:pPr>
      <w:r>
        <w:rPr>
          <w:rFonts w:hint="eastAsia" w:ascii="宋体" w:hAnsi="宋体" w:eastAsia="宋体"/>
        </w:rPr>
        <w:t>民主社会主义抛弃共产主义奋斗目标，从资产阶级的理性和伦理原则如自由、平等、公正、互助等出发，抽象地提出民主社会主义的目标是为一个社会公正、自由民主、世界和平的制度而奋斗。</w:t>
      </w:r>
    </w:p>
    <w:p w14:paraId="3DD23B4A">
      <w:pPr>
        <w:spacing w:line="400" w:lineRule="exact"/>
        <w:ind w:firstLine="440" w:firstLineChars="200"/>
        <w:rPr>
          <w:rFonts w:ascii="宋体" w:hAnsi="宋体" w:eastAsia="宋体"/>
        </w:rPr>
      </w:pPr>
      <w:r>
        <w:rPr>
          <w:rFonts w:hint="eastAsia" w:ascii="宋体" w:hAnsi="宋体" w:eastAsia="宋体"/>
        </w:rPr>
        <w:t>中国特色社会主义坚持解放生产力、发展生产力，消灭剥削，消除两极分化，实现共同富裕的社会主义本质和原则，并最终要在生产力极大发展的社会主义基础上，实现共产主义。这是一个漫长的历史演变过程和制度创新历程。</w:t>
      </w:r>
    </w:p>
    <w:p w14:paraId="4F40358A">
      <w:pPr>
        <w:spacing w:line="400" w:lineRule="exact"/>
        <w:ind w:firstLine="440" w:firstLineChars="200"/>
        <w:rPr>
          <w:rFonts w:hint="eastAsia" w:ascii="宋体" w:hAnsi="宋体" w:eastAsia="宋体"/>
        </w:rPr>
      </w:pPr>
      <w:r>
        <w:rPr>
          <w:rFonts w:hint="eastAsia" w:ascii="宋体" w:hAnsi="宋体" w:eastAsia="宋体"/>
        </w:rPr>
        <w:t>（原载《</w:t>
      </w:r>
      <w:r>
        <w:rPr>
          <w:rFonts w:hint="eastAsia" w:ascii="宋体" w:hAnsi="宋体" w:eastAsia="宋体" w:cs="宋体"/>
          <w:lang w:bidi="ar"/>
        </w:rPr>
        <w:t>人民论坛</w:t>
      </w:r>
      <w:r>
        <w:rPr>
          <w:rFonts w:hint="eastAsia" w:ascii="宋体" w:hAnsi="宋体" w:eastAsia="宋体"/>
        </w:rPr>
        <w:t>》2</w:t>
      </w:r>
      <w:r>
        <w:rPr>
          <w:rFonts w:ascii="宋体" w:hAnsi="宋体" w:eastAsia="宋体"/>
        </w:rPr>
        <w:t>007</w:t>
      </w:r>
      <w:r>
        <w:rPr>
          <w:rFonts w:hint="eastAsia" w:ascii="宋体" w:hAnsi="宋体" w:eastAsia="宋体"/>
        </w:rPr>
        <w:t>年第1</w:t>
      </w:r>
      <w:r>
        <w:rPr>
          <w:rFonts w:ascii="宋体" w:hAnsi="宋体" w:eastAsia="宋体"/>
        </w:rPr>
        <w:t>4</w:t>
      </w:r>
      <w:r>
        <w:rPr>
          <w:rFonts w:hint="eastAsia" w:ascii="宋体" w:hAnsi="宋体" w:eastAsia="宋体"/>
        </w:rPr>
        <w:t>期）</w:t>
      </w:r>
    </w:p>
    <w:p w14:paraId="3238032F">
      <w:pPr>
        <w:pStyle w:val="21"/>
        <w:spacing w:line="400" w:lineRule="exact"/>
        <w:ind w:firstLine="480"/>
        <w:jc w:val="both"/>
        <w:rPr>
          <w:rFonts w:eastAsiaTheme="minorEastAsia"/>
          <w:sz w:val="21"/>
          <w:szCs w:val="21"/>
        </w:rPr>
      </w:pPr>
    </w:p>
    <w:p w14:paraId="5601C18F">
      <w:pPr>
        <w:pStyle w:val="3"/>
        <w:spacing w:before="0" w:after="0" w:line="400" w:lineRule="exact"/>
        <w:jc w:val="center"/>
        <w:rPr>
          <w:rFonts w:hint="default" w:ascii="黑体" w:hAnsi="黑体" w:eastAsia="黑体"/>
          <w:b w:val="0"/>
          <w:bCs w:val="0"/>
        </w:rPr>
      </w:pPr>
      <w:bookmarkStart w:id="690" w:name="_Toc19459"/>
      <w:bookmarkStart w:id="691" w:name="_Toc111193672"/>
      <w:bookmarkStart w:id="692" w:name="_Toc53822880"/>
      <w:bookmarkStart w:id="693" w:name="_Toc1711458749"/>
      <w:r>
        <w:rPr>
          <w:rFonts w:ascii="黑体" w:hAnsi="黑体" w:eastAsia="黑体"/>
          <w:b w:val="0"/>
          <w:bCs w:val="0"/>
        </w:rPr>
        <w:t>1</w:t>
      </w:r>
      <w:r>
        <w:rPr>
          <w:rFonts w:hint="default" w:ascii="黑体" w:hAnsi="黑体" w:eastAsia="黑体"/>
          <w:b w:val="0"/>
          <w:bCs w:val="0"/>
        </w:rPr>
        <w:t>1.</w:t>
      </w:r>
      <w:r>
        <w:rPr>
          <w:rFonts w:ascii="黑体" w:hAnsi="黑体" w:eastAsia="黑体"/>
          <w:b w:val="0"/>
          <w:bCs w:val="0"/>
        </w:rPr>
        <w:t>要继续深化对中国特色社会主义的研究和探索</w:t>
      </w:r>
      <w:bookmarkEnd w:id="690"/>
      <w:bookmarkEnd w:id="691"/>
      <w:bookmarkEnd w:id="692"/>
      <w:bookmarkEnd w:id="693"/>
    </w:p>
    <w:p w14:paraId="4D6484B0">
      <w:pPr>
        <w:spacing w:line="400" w:lineRule="exact"/>
        <w:ind w:firstLine="440" w:firstLineChars="200"/>
        <w:rPr>
          <w:rFonts w:ascii="宋体" w:hAnsi="宋体" w:eastAsia="宋体"/>
        </w:rPr>
      </w:pPr>
      <w:r>
        <w:rPr>
          <w:rFonts w:hint="eastAsia" w:ascii="宋体" w:hAnsi="宋体" w:eastAsia="宋体"/>
        </w:rPr>
        <w:t>鲜明地突出强调“中国特色社会主义”，是胡锦涛总书记在中央党校发表重要讲话的主旨和关键词。</w:t>
      </w:r>
    </w:p>
    <w:p w14:paraId="32E9359A">
      <w:pPr>
        <w:spacing w:line="400" w:lineRule="exact"/>
        <w:ind w:firstLine="440" w:firstLineChars="200"/>
        <w:rPr>
          <w:rFonts w:ascii="宋体" w:hAnsi="宋体" w:eastAsia="宋体"/>
        </w:rPr>
      </w:pPr>
      <w:r>
        <w:rPr>
          <w:rFonts w:hint="eastAsia" w:ascii="宋体" w:hAnsi="宋体" w:eastAsia="宋体"/>
        </w:rPr>
        <w:t>在整个讲话中，胡锦涛总书记一是强调“中国特色社会主义，是当代中国发展进步的旗帜，是全党全国各族人民团结奋斗的旗帜”。二是强调“我</w:t>
      </w:r>
      <w:r>
        <w:rPr>
          <w:rFonts w:ascii="宋体" w:hAnsi="宋体" w:eastAsia="宋体"/>
        </w:rPr>
        <w:t>们必须始终不渝地坚持以邓小平理论和‘三个代表’重要思想为指导，深入贯彻落实科学发展观，毫不动摇地坚持和发展中国特色社会主义”。三是强调“科学发展，社会和谐，是发展中国特色社会</w:t>
      </w:r>
    </w:p>
    <w:p w14:paraId="7B956BA9">
      <w:pPr>
        <w:spacing w:line="400" w:lineRule="exact"/>
        <w:rPr>
          <w:rFonts w:ascii="宋体" w:hAnsi="宋体" w:eastAsia="宋体"/>
        </w:rPr>
      </w:pPr>
      <w:r>
        <w:rPr>
          <w:rFonts w:hint="eastAsia" w:ascii="宋体" w:hAnsi="宋体" w:eastAsia="宋体"/>
        </w:rPr>
        <w:t>主义的基本要求”。四是强调“改革开放是发展中国特色社会主义的必由之路”。五是强调“要继续</w:t>
      </w:r>
      <w:r>
        <w:rPr>
          <w:rFonts w:ascii="宋体" w:hAnsi="宋体" w:eastAsia="宋体"/>
        </w:rPr>
        <w:t>深化对中国特色社会主义的研究和探索，努力使中国特色社会主义道路越走越宽”。六是强调“要坚持把一个中心和两个基本点统一于发展中国特色社会主义的伟大实践，任何时候都决不能动摇”。</w:t>
      </w:r>
    </w:p>
    <w:p w14:paraId="5DD08076">
      <w:pPr>
        <w:spacing w:line="400" w:lineRule="exact"/>
        <w:ind w:firstLine="440" w:firstLineChars="200"/>
        <w:rPr>
          <w:rFonts w:ascii="宋体" w:hAnsi="宋体" w:eastAsia="宋体"/>
        </w:rPr>
      </w:pPr>
      <w:r>
        <w:rPr>
          <w:rFonts w:hint="eastAsia" w:ascii="宋体" w:hAnsi="宋体" w:eastAsia="宋体"/>
        </w:rPr>
        <w:t>当前，我们理论工作者要按照胡锦涛总书记提出的“要继续深化对中国特色社会主义的研究和探索”的要求，科学阐明中国特色社会主义的内涵，</w:t>
      </w:r>
      <w:r>
        <w:rPr>
          <w:rFonts w:ascii="宋体" w:hAnsi="宋体" w:eastAsia="宋体"/>
        </w:rPr>
        <w:t>并分清其与民主社会主义等其他形形色色社会主义思潮的本质区别。这对于我们积极贯彻落实总书记在讲话中提出的“坚定不移走中国特色社会主义伟大道路，为夺取全面建设小康社会新胜利而奋斗”的号召，具有至关重要的理论和现实意义。中国特色社会主义的性质和内在要求有以下五点：</w:t>
      </w:r>
    </w:p>
    <w:p w14:paraId="67EC72CB">
      <w:pPr>
        <w:spacing w:line="400" w:lineRule="exact"/>
        <w:ind w:firstLine="440" w:firstLineChars="200"/>
        <w:rPr>
          <w:rFonts w:ascii="宋体" w:hAnsi="宋体" w:eastAsia="宋体"/>
        </w:rPr>
      </w:pPr>
      <w:r>
        <w:rPr>
          <w:rFonts w:hint="eastAsia" w:ascii="宋体" w:hAnsi="宋体" w:eastAsia="宋体"/>
        </w:rPr>
        <w:t>第一，从指导思想层面看，坚持马克思主义的指导地位。中国特色社会主义主张用马克思主义为灵魂的社会主义核心价值体系，引领各种社会思潮和社会主义实践。马克思主义作为科学的世界观和方法论，是社会主义运动的理论基础，应该在中国特色社会主义实践中占指导地位。以马克思主义为指导，就是要把马克思主义普遍原理与中国现阶段的实际结合起来，指导中国特色社会主义实践，研究新情况，总结新经验，解决新问题。马克思主义是一个开放的、随着科学和实践的发展而不断前进的科学体系，具有强大的持久生命力和科学的解释力。因此，胡锦涛总书记在讲话中指出，“改革开放以来我们党带领人民开辟了中国特色社会主义道路，这条道路之所以正确、之所以能够引领中国发展进步，关键在于我们既坚持了科学社会主义的基本原则，又根据我国实际赋予其鲜明的中国特色”；强调“要推动全党深入学习马克思列宁主义、毛泽东思想、邓小平理论和‘三个代表’重要思想，</w:t>
      </w:r>
      <w:r>
        <w:rPr>
          <w:rFonts w:ascii="宋体" w:hAnsi="宋体" w:eastAsia="宋体"/>
        </w:rPr>
        <w:t>深入学习科学发展观”。</w:t>
      </w:r>
    </w:p>
    <w:p w14:paraId="0F45F369">
      <w:pPr>
        <w:spacing w:line="400" w:lineRule="exact"/>
        <w:ind w:firstLine="440" w:firstLineChars="200"/>
        <w:rPr>
          <w:rFonts w:ascii="宋体" w:hAnsi="宋体" w:eastAsia="宋体"/>
        </w:rPr>
      </w:pPr>
      <w:r>
        <w:rPr>
          <w:rFonts w:hint="eastAsia" w:ascii="宋体" w:hAnsi="宋体" w:eastAsia="宋体"/>
        </w:rPr>
        <w:t>第二，从经济制度层面看，坚持生产资料公有制的主体地位。中国特色社会主义认为，社会主义与资本主义在基本经济制度上具有决定意义的差别就在于生产资料社会所有制结构（邓小平语），以质与量都占优势的生产资料公有制为主体、国有经济为主导，对于强国富民和建设社会主义具有举足轻重的作用，是共产党执政等上层建筑的社会主义经济基础（江泽民语）。尽管由于目前中国生产力不发达，还不能实现完全的生产资料公有制，但在发展各种非公有制经济的同时必须坚持公有制的主体地位。只有坚持市场经济条件下公有制的主体地位，才能真正完善以按劳分配为主体的财富和收入分配制度，实现共同富裕和公平正义，才能真正落实以人为本的科学发展观，实现国民经济又好又快地良性发展。因此，在胡锦涛总书记的讲话中，</w:t>
      </w:r>
      <w:r>
        <w:rPr>
          <w:rFonts w:ascii="宋体" w:hAnsi="宋体" w:eastAsia="宋体"/>
        </w:rPr>
        <w:t>强调“要坚持和完善公有制为主体、多种所有制经济共同发展的基本经济制度，毫不动摇地巩固和发展公有制经济，毫不动摇地鼓励、支持、引导非公有制经济发展，形成各种所有制经济平等竞争、相互促进新格局”。</w:t>
      </w:r>
    </w:p>
    <w:p w14:paraId="55F9D2C3">
      <w:pPr>
        <w:spacing w:line="400" w:lineRule="exact"/>
        <w:ind w:firstLine="440" w:firstLineChars="200"/>
        <w:rPr>
          <w:rFonts w:ascii="宋体" w:hAnsi="宋体" w:eastAsia="宋体"/>
        </w:rPr>
      </w:pPr>
      <w:r>
        <w:rPr>
          <w:rFonts w:hint="eastAsia" w:ascii="宋体" w:hAnsi="宋体" w:eastAsia="宋体"/>
        </w:rPr>
        <w:t>第三，从政治制度层面看，坚持工人阶级政党的领导。中国特色社会主义坚持共产党的工人阶级先锋队性质和民主集中制原则，坚持共产党对社会主义事业的领导。在新的科学技术革命面前，工人阶级仍然是先进生产力发展要求的代表和先进生产关系的体现者，仍然是推翻资本主义，建设社会主义、共产主义历史使命的承担者。在多种社会阶层出现和并存的新格局下，共产党仍然必须保持工人阶级先锋队的性质，全心全意依靠工人阶级。现阶段实行共产党领导的多党合作和政治协商制度，</w:t>
      </w:r>
      <w:r>
        <w:rPr>
          <w:rFonts w:ascii="宋体" w:hAnsi="宋体" w:eastAsia="宋体"/>
        </w:rPr>
        <w:t>而民主集中制是共产党及其执政国家的根本组织原则和组织制度，是正确处理党内外各种关系的政治准则。因此，在胡锦涛总书记的</w:t>
      </w:r>
      <w:r>
        <w:rPr>
          <w:rFonts w:hint="eastAsia" w:ascii="宋体" w:hAnsi="宋体" w:eastAsia="宋体"/>
        </w:rPr>
        <w:t>讲话中，强调“我</w:t>
      </w:r>
      <w:r>
        <w:rPr>
          <w:rFonts w:ascii="宋体" w:hAnsi="宋体" w:eastAsia="宋体"/>
        </w:rPr>
        <w:t>国政治体制改革必须坚持正确的政治方向，必须随着经济社会发展不断推进，努力与我国人民政治参与的积极性不断提高相适应。要坚持党的领导、人民当家作主、依法治国有机统一，不断推进社会主义政治制度自我完善和发展”。</w:t>
      </w:r>
    </w:p>
    <w:p w14:paraId="503E421F">
      <w:pPr>
        <w:spacing w:line="400" w:lineRule="exact"/>
        <w:ind w:firstLine="440" w:firstLineChars="200"/>
        <w:rPr>
          <w:rFonts w:ascii="宋体" w:hAnsi="宋体" w:eastAsia="宋体"/>
        </w:rPr>
      </w:pPr>
      <w:r>
        <w:rPr>
          <w:rFonts w:hint="eastAsia" w:ascii="宋体" w:hAnsi="宋体" w:eastAsia="宋体"/>
        </w:rPr>
        <w:t>第四，从对外关系层面看，坚持推动世界和谐发展。中国特色社会主义在对外关系理论和政策上都真正主张平等互利，和平合作，切实推动世界和谐发展。中国在政治、军事、经济和文化等各个对外领域，永远不称霸，强调国家不分大小强弱，一律平等。要超越意识形态和社会制度不同，来处理国家间的多种关系和全球问题。在全球化大趋势中，各国之间政治上要友好协商而不搞单边强权，军事上要限于自防而不先发制人，经济上要合作互利而不以邻为壑，文化上要交流互学而不损人利己。中国特色社会主义以经济建设为中心，自然要通过经济开放积极参与经济全球化，为强国富民和全世界作出应有的贡献。因此，在胡锦涛总书记的讲话中，强调“我们必须科学分析我国全面参与经济全球化的新机遇新挑战”，“要全面提高开放型经济水平，形成经济全球化条件下参与国际经济合作和竞争新优势”。</w:t>
      </w:r>
    </w:p>
    <w:p w14:paraId="434D04DC">
      <w:pPr>
        <w:spacing w:line="400" w:lineRule="exact"/>
        <w:ind w:firstLine="440" w:firstLineChars="200"/>
        <w:rPr>
          <w:rFonts w:ascii="宋体" w:hAnsi="宋体" w:eastAsia="宋体"/>
        </w:rPr>
      </w:pPr>
      <w:r>
        <w:rPr>
          <w:rFonts w:hint="eastAsia" w:ascii="宋体" w:hAnsi="宋体" w:eastAsia="宋体"/>
        </w:rPr>
        <w:t>第五，从终极目标层面看，坚持社会主义本质和共产主义奋斗目标。中国特色社会主义坚持解放生产力，发展生产力，消灭剥削，消除两极分化，</w:t>
      </w:r>
      <w:r>
        <w:rPr>
          <w:rFonts w:ascii="宋体" w:hAnsi="宋体" w:eastAsia="宋体"/>
        </w:rPr>
        <w:t>最终达到共同富裕的社会主义本质和原则，并最终要在生产力极大发展的社会主义基础上，实现共产主义。这是一个漫长的历史演变过程和制度创新历程。因此，在胡锦涛总书记的讲话中，强调“提高想问题、办事情决不可脱离实际的自觉性，清醒而又顽强地为实现党的历史使命而扎实奋斗、坚持不懈”。</w:t>
      </w:r>
    </w:p>
    <w:p w14:paraId="39B84C1C">
      <w:pPr>
        <w:pStyle w:val="21"/>
        <w:spacing w:line="400" w:lineRule="exact"/>
        <w:ind w:firstLine="420"/>
        <w:jc w:val="both"/>
        <w:rPr>
          <w:rFonts w:cstheme="minorBidi"/>
          <w:sz w:val="21"/>
          <w:szCs w:val="24"/>
        </w:rPr>
      </w:pPr>
      <w:r>
        <w:rPr>
          <w:rFonts w:cstheme="minorBidi"/>
          <w:sz w:val="21"/>
          <w:szCs w:val="24"/>
        </w:rPr>
        <w:t>（原载《思想理论教育导刊》2007</w:t>
      </w:r>
      <w:r>
        <w:rPr>
          <w:rFonts w:hint="eastAsia" w:cstheme="minorBidi"/>
          <w:sz w:val="21"/>
          <w:szCs w:val="24"/>
        </w:rPr>
        <w:t>年第</w:t>
      </w:r>
      <w:r>
        <w:rPr>
          <w:rFonts w:cstheme="minorBidi"/>
          <w:sz w:val="21"/>
          <w:szCs w:val="24"/>
        </w:rPr>
        <w:t>8</w:t>
      </w:r>
      <w:r>
        <w:rPr>
          <w:rFonts w:hint="eastAsia" w:cstheme="minorBidi"/>
          <w:sz w:val="21"/>
          <w:szCs w:val="24"/>
        </w:rPr>
        <w:t>期。</w:t>
      </w:r>
      <w:r>
        <w:rPr>
          <w:rFonts w:cstheme="minorBidi"/>
          <w:sz w:val="21"/>
          <w:szCs w:val="24"/>
        </w:rPr>
        <w:t>）</w:t>
      </w:r>
    </w:p>
    <w:p w14:paraId="778DA057">
      <w:pPr>
        <w:pStyle w:val="21"/>
        <w:spacing w:line="400" w:lineRule="exact"/>
        <w:ind w:firstLine="420"/>
        <w:jc w:val="both"/>
        <w:rPr>
          <w:rFonts w:hint="eastAsia" w:cstheme="minorBidi"/>
          <w:sz w:val="21"/>
          <w:szCs w:val="24"/>
        </w:rPr>
      </w:pPr>
    </w:p>
    <w:p w14:paraId="782B8F33">
      <w:pPr>
        <w:pStyle w:val="3"/>
        <w:spacing w:before="0" w:after="0" w:line="400" w:lineRule="exact"/>
        <w:jc w:val="center"/>
        <w:rPr>
          <w:rFonts w:hint="default" w:ascii="黑体" w:hAnsi="黑体" w:eastAsia="黑体"/>
          <w:b w:val="0"/>
          <w:bCs w:val="0"/>
        </w:rPr>
      </w:pPr>
      <w:bookmarkStart w:id="694" w:name="_Toc111193673"/>
      <w:bookmarkStart w:id="695" w:name="_Toc154"/>
      <w:bookmarkStart w:id="696" w:name="_Toc510528773"/>
      <w:bookmarkStart w:id="697" w:name="_Toc1091226525"/>
      <w:r>
        <w:rPr>
          <w:rFonts w:ascii="黑体" w:hAnsi="黑体" w:eastAsia="黑体"/>
          <w:b w:val="0"/>
          <w:bCs w:val="0"/>
        </w:rPr>
        <w:t>1</w:t>
      </w:r>
      <w:r>
        <w:rPr>
          <w:rFonts w:hint="default" w:ascii="黑体" w:hAnsi="黑体" w:eastAsia="黑体"/>
          <w:b w:val="0"/>
          <w:bCs w:val="0"/>
        </w:rPr>
        <w:t>2</w:t>
      </w:r>
      <w:r>
        <w:rPr>
          <w:rFonts w:ascii="黑体" w:hAnsi="黑体" w:eastAsia="黑体"/>
          <w:b w:val="0"/>
          <w:bCs w:val="0"/>
        </w:rPr>
        <w:t>中国特色社会主义的内涵</w:t>
      </w:r>
      <w:bookmarkEnd w:id="694"/>
      <w:bookmarkEnd w:id="695"/>
      <w:bookmarkEnd w:id="696"/>
      <w:bookmarkEnd w:id="697"/>
    </w:p>
    <w:p w14:paraId="3A8EE490">
      <w:pPr>
        <w:pStyle w:val="21"/>
        <w:spacing w:line="400" w:lineRule="exact"/>
        <w:jc w:val="both"/>
        <w:rPr>
          <w:sz w:val="21"/>
          <w:szCs w:val="21"/>
        </w:rPr>
      </w:pPr>
      <w:r>
        <w:rPr>
          <w:sz w:val="21"/>
          <w:szCs w:val="21"/>
        </w:rPr>
        <w:t>鲜明地突岀强调</w:t>
      </w:r>
      <w:r>
        <w:rPr>
          <w:rFonts w:hint="eastAsia"/>
          <w:sz w:val="21"/>
          <w:szCs w:val="21"/>
          <w:lang w:val="zh-CN" w:bidi="zh-CN"/>
        </w:rPr>
        <w:t>“</w:t>
      </w:r>
      <w:r>
        <w:rPr>
          <w:sz w:val="21"/>
          <w:szCs w:val="21"/>
          <w:lang w:val="zh-CN" w:bidi="zh-CN"/>
        </w:rPr>
        <w:t>中</w:t>
      </w:r>
      <w:r>
        <w:rPr>
          <w:sz w:val="21"/>
          <w:szCs w:val="21"/>
        </w:rPr>
        <w:t>国特色社会主义”，是胡锦涛总书记在中央党校重要讲话的主旨和关键词。在整个讲话中，胡锦涛总书记一是强调</w:t>
      </w:r>
      <w:r>
        <w:rPr>
          <w:rFonts w:hint="eastAsia"/>
          <w:sz w:val="21"/>
          <w:szCs w:val="21"/>
          <w:lang w:val="zh-CN" w:bidi="zh-CN"/>
        </w:rPr>
        <w:t>“</w:t>
      </w:r>
      <w:r>
        <w:rPr>
          <w:sz w:val="21"/>
          <w:szCs w:val="21"/>
          <w:lang w:val="zh-CN" w:bidi="zh-CN"/>
        </w:rPr>
        <w:t>中</w:t>
      </w:r>
      <w:r>
        <w:rPr>
          <w:sz w:val="21"/>
          <w:szCs w:val="21"/>
        </w:rPr>
        <w:t>国特色社会主义，是当代中国发展进步的旗帜，是全党全国各族人民团结奋斗的旗帜”；二是强调</w:t>
      </w:r>
      <w:r>
        <w:rPr>
          <w:rFonts w:hint="eastAsia"/>
          <w:sz w:val="21"/>
          <w:szCs w:val="21"/>
          <w:lang w:val="zh-CN" w:bidi="zh-CN"/>
        </w:rPr>
        <w:t>“</w:t>
      </w:r>
      <w:r>
        <w:rPr>
          <w:sz w:val="21"/>
          <w:szCs w:val="21"/>
          <w:lang w:val="zh-CN" w:bidi="zh-CN"/>
        </w:rPr>
        <w:t>我们</w:t>
      </w:r>
      <w:r>
        <w:rPr>
          <w:sz w:val="21"/>
          <w:szCs w:val="21"/>
        </w:rPr>
        <w:t>必须始终不渝地坚持以邓小平理论和'三个代表'重要思想为指导，深入贯彻落实科学发展观，毫不动摇地坚持和发展中国特色社会主义”；三是强调</w:t>
      </w:r>
      <w:r>
        <w:rPr>
          <w:sz w:val="21"/>
          <w:szCs w:val="21"/>
          <w:lang w:val="zh-CN" w:bidi="zh-CN"/>
        </w:rPr>
        <w:t>”科学</w:t>
      </w:r>
      <w:r>
        <w:rPr>
          <w:sz w:val="21"/>
          <w:szCs w:val="21"/>
        </w:rPr>
        <w:t>发展，社会和谐，是发展中国特色社会主义的基本要求”；四是强调</w:t>
      </w:r>
      <w:r>
        <w:rPr>
          <w:rFonts w:hint="eastAsia"/>
          <w:sz w:val="21"/>
          <w:szCs w:val="21"/>
          <w:lang w:val="zh-CN" w:bidi="zh-CN"/>
        </w:rPr>
        <w:t>“</w:t>
      </w:r>
      <w:r>
        <w:rPr>
          <w:sz w:val="21"/>
          <w:szCs w:val="21"/>
          <w:lang w:val="zh-CN" w:bidi="zh-CN"/>
        </w:rPr>
        <w:t>改革</w:t>
      </w:r>
      <w:r>
        <w:rPr>
          <w:sz w:val="21"/>
          <w:szCs w:val="21"/>
        </w:rPr>
        <w:t>开放是发展中国特色社会主义、实现中华民族伟大复兴的必由之路”；五是强调</w:t>
      </w:r>
      <w:r>
        <w:rPr>
          <w:rFonts w:hint="eastAsia"/>
          <w:sz w:val="21"/>
          <w:szCs w:val="21"/>
          <w:lang w:val="zh-CN" w:bidi="zh-CN"/>
        </w:rPr>
        <w:t>“</w:t>
      </w:r>
      <w:r>
        <w:rPr>
          <w:sz w:val="21"/>
          <w:szCs w:val="21"/>
          <w:lang w:val="zh-CN" w:bidi="zh-CN"/>
        </w:rPr>
        <w:t>要</w:t>
      </w:r>
      <w:r>
        <w:rPr>
          <w:sz w:val="21"/>
          <w:szCs w:val="21"/>
        </w:rPr>
        <w:t>继续深化对中国特色社会主义的研究和探索，努力使中国特色社会主义道路越走越宽广”；六是强调</w:t>
      </w:r>
      <w:r>
        <w:rPr>
          <w:rFonts w:hint="eastAsia"/>
          <w:sz w:val="21"/>
          <w:szCs w:val="21"/>
          <w:lang w:val="zh-CN" w:bidi="zh-CN"/>
        </w:rPr>
        <w:t>“</w:t>
      </w:r>
      <w:r>
        <w:rPr>
          <w:sz w:val="21"/>
          <w:szCs w:val="21"/>
          <w:lang w:val="zh-CN" w:bidi="zh-CN"/>
        </w:rPr>
        <w:t>要</w:t>
      </w:r>
      <w:r>
        <w:rPr>
          <w:sz w:val="21"/>
          <w:szCs w:val="21"/>
        </w:rPr>
        <w:t>坚持把一个中心和两个基本点统一于发展中国特色社会主义的伟大实践，任何时候都决不能动摇”。</w:t>
      </w:r>
    </w:p>
    <w:p w14:paraId="03FA2CEC">
      <w:pPr>
        <w:pStyle w:val="21"/>
        <w:spacing w:line="400" w:lineRule="exact"/>
        <w:jc w:val="both"/>
        <w:rPr>
          <w:sz w:val="21"/>
          <w:szCs w:val="21"/>
        </w:rPr>
      </w:pPr>
      <w:r>
        <w:rPr>
          <w:sz w:val="21"/>
          <w:szCs w:val="21"/>
        </w:rPr>
        <w:t>当前，我们理论工作者须积极响应胡锦涛总书记关于</w:t>
      </w:r>
      <w:r>
        <w:rPr>
          <w:rFonts w:hint="eastAsia"/>
          <w:sz w:val="21"/>
          <w:szCs w:val="21"/>
        </w:rPr>
        <w:t>“</w:t>
      </w:r>
      <w:r>
        <w:rPr>
          <w:sz w:val="21"/>
          <w:szCs w:val="21"/>
        </w:rPr>
        <w:t>要继续深化对中国特色社会主义的研究和探索”的号召，科学阐明中国特色社会主义的内涵，并分清与民主社会主义等其他形形色色社会主义思潮的本质区别。这对于践行胡锦涛总书记在讲话中号召我们</w:t>
      </w:r>
      <w:r>
        <w:rPr>
          <w:rFonts w:hint="eastAsia"/>
          <w:sz w:val="21"/>
          <w:szCs w:val="21"/>
          <w:lang w:val="zh-CN" w:bidi="zh-CN"/>
        </w:rPr>
        <w:t>“</w:t>
      </w:r>
      <w:r>
        <w:rPr>
          <w:sz w:val="21"/>
          <w:szCs w:val="21"/>
          <w:lang w:val="zh-CN" w:bidi="zh-CN"/>
        </w:rPr>
        <w:t>坚定</w:t>
      </w:r>
      <w:r>
        <w:rPr>
          <w:sz w:val="21"/>
          <w:szCs w:val="21"/>
        </w:rPr>
        <w:t>不移走中国特色社会主义伟大道路，为夺取全面建设小康社会新胜利而奋斗”，具有至关重要的理论和现实意义。中国特色社会主义的性质和内在要求有以下五点：</w:t>
      </w:r>
    </w:p>
    <w:p w14:paraId="70217F3B">
      <w:pPr>
        <w:pStyle w:val="21"/>
        <w:spacing w:line="400" w:lineRule="exact"/>
        <w:ind w:firstLine="0"/>
        <w:jc w:val="center"/>
        <w:rPr>
          <w:rFonts w:eastAsia="PMingLiU"/>
          <w:b/>
          <w:bCs/>
          <w:sz w:val="24"/>
          <w:szCs w:val="24"/>
        </w:rPr>
      </w:pPr>
      <w:r>
        <w:rPr>
          <w:b/>
          <w:bCs/>
          <w:sz w:val="24"/>
          <w:szCs w:val="24"/>
        </w:rPr>
        <w:t>从指导思想层面看，坚持马克思主义的指导地位</w:t>
      </w:r>
    </w:p>
    <w:p w14:paraId="52C5BA76">
      <w:pPr>
        <w:pStyle w:val="21"/>
        <w:spacing w:line="400" w:lineRule="exact"/>
        <w:jc w:val="both"/>
        <w:rPr>
          <w:sz w:val="21"/>
          <w:szCs w:val="21"/>
        </w:rPr>
      </w:pPr>
      <w:r>
        <w:rPr>
          <w:sz w:val="21"/>
          <w:szCs w:val="21"/>
        </w:rPr>
        <w:t>中国特色社会主义主张用马克思主义为灵魂的社会主义核心价值体系，引领各种社会思潮和社会主义实践。马克思主义作为科学的世界观和方法论，是社会主义运动的理论基础，应该在中国特色社会主义实践中占指导地位。以马克思主义为指导，就是要把马克思主义普遍原理与中国实际相结合，用中国化的马克思主义来指导中国特色社会主义实践，研究新情况，总结新经验，解决新问题。马克思主义是一个开放的、随着科学和实践的发展而不断前进的科学体系，具有强大的持久生命力和科学的解释力。因此，在胡锦涛总书记的讲话中，强调</w:t>
      </w:r>
      <w:r>
        <w:rPr>
          <w:rFonts w:hint="eastAsia"/>
          <w:sz w:val="21"/>
          <w:szCs w:val="21"/>
        </w:rPr>
        <w:t>“</w:t>
      </w:r>
      <w:r>
        <w:rPr>
          <w:sz w:val="21"/>
          <w:szCs w:val="21"/>
        </w:rPr>
        <w:t>改革开放以来我们党带领人民开辟了中国特色社会主义道路，这条道路之所以正确、之所以能够引领中国发展进步，关键在于我们既坚持了科学社会主义的基本原则，又根据我国实际赋予其鲜明的中国特色”；</w:t>
      </w:r>
      <w:r>
        <w:rPr>
          <w:rFonts w:hint="eastAsia"/>
          <w:sz w:val="21"/>
          <w:szCs w:val="21"/>
        </w:rPr>
        <w:t>“</w:t>
      </w:r>
      <w:r>
        <w:rPr>
          <w:sz w:val="21"/>
          <w:szCs w:val="21"/>
        </w:rPr>
        <w:t>要坚持推动全党深入学习马克思列宁主义、邓小平理论和'三个代表'重要思想，深入学习科学发展观。</w:t>
      </w:r>
      <w:r>
        <w:rPr>
          <w:sz w:val="21"/>
          <w:szCs w:val="21"/>
          <w:lang w:bidi="en-US"/>
        </w:rPr>
        <w:t>”</w:t>
      </w:r>
    </w:p>
    <w:p w14:paraId="23DE8907">
      <w:pPr>
        <w:pStyle w:val="21"/>
        <w:spacing w:line="400" w:lineRule="exact"/>
        <w:ind w:firstLine="0"/>
        <w:jc w:val="center"/>
        <w:rPr>
          <w:b/>
          <w:bCs/>
          <w:sz w:val="24"/>
          <w:szCs w:val="24"/>
        </w:rPr>
      </w:pPr>
      <w:r>
        <w:rPr>
          <w:b/>
          <w:bCs/>
          <w:sz w:val="24"/>
          <w:szCs w:val="24"/>
        </w:rPr>
        <w:t>从</w:t>
      </w:r>
      <w:r>
        <w:rPr>
          <w:rFonts w:hint="eastAsia"/>
          <w:b/>
          <w:bCs/>
          <w:sz w:val="24"/>
          <w:szCs w:val="24"/>
        </w:rPr>
        <w:t>经济</w:t>
      </w:r>
      <w:r>
        <w:rPr>
          <w:b/>
          <w:bCs/>
          <w:sz w:val="24"/>
          <w:szCs w:val="24"/>
        </w:rPr>
        <w:t>制度层面看，坚持生产资料公有制的主体地位</w:t>
      </w:r>
    </w:p>
    <w:p w14:paraId="29F0CE70">
      <w:pPr>
        <w:pStyle w:val="21"/>
        <w:spacing w:line="400" w:lineRule="exact"/>
        <w:jc w:val="both"/>
        <w:rPr>
          <w:sz w:val="21"/>
          <w:szCs w:val="21"/>
        </w:rPr>
      </w:pPr>
      <w:r>
        <w:rPr>
          <w:sz w:val="21"/>
          <w:szCs w:val="21"/>
        </w:rPr>
        <w:t>中国特色社会主义认为，社会主义与资本主义在基本经济制度上具有决定意义的差别就在于生产资料社会所有制结构（邓小平语），以质与量都占优势的生产资料公有制为主体、国有经济为主导，对于强国富民和建设社会主义具有举足轻重的作用，是共产党执政等上层建筑的社会主义经济基础（江泽民语）。尽管由于目前中国生产力不发达，还不能实现完全的生产资料公有制，但在发展各种私有制经济的同时必须坚持公有制的主体地位。只有坚持市场经济条件下公有制的主体地位，才能真正完善以按劳分配为主体的财富和收入分配制度，实现共同富裕和公平正义，才能真正落实以人为本的科学发展观，实现国民经济又好又快地良性发展。因此，在胡锦涛总书记的讲话中，强调</w:t>
      </w:r>
      <w:r>
        <w:rPr>
          <w:rFonts w:hint="eastAsia"/>
          <w:sz w:val="21"/>
          <w:szCs w:val="21"/>
          <w:lang w:val="zh-CN" w:bidi="zh-CN"/>
        </w:rPr>
        <w:t>“</w:t>
      </w:r>
      <w:r>
        <w:rPr>
          <w:sz w:val="21"/>
          <w:szCs w:val="21"/>
          <w:lang w:val="zh-CN" w:bidi="zh-CN"/>
        </w:rPr>
        <w:t>要</w:t>
      </w:r>
      <w:r>
        <w:rPr>
          <w:sz w:val="21"/>
          <w:szCs w:val="21"/>
        </w:rPr>
        <w:t>坚持和完善公有制为主体、多种所有制经济共同发展的基本经济制度，毫不动摇地巩固和发展公有制经济，毫不动摇地鼓励、支持、引导非公有制经济发展，形成各种所有制经济平等竞争、相互促进新格局。”</w:t>
      </w:r>
    </w:p>
    <w:p w14:paraId="68A3B1F4">
      <w:pPr>
        <w:pStyle w:val="21"/>
        <w:spacing w:line="400" w:lineRule="exact"/>
        <w:ind w:firstLine="0"/>
        <w:jc w:val="center"/>
        <w:rPr>
          <w:b/>
          <w:bCs/>
          <w:sz w:val="24"/>
          <w:szCs w:val="24"/>
        </w:rPr>
      </w:pPr>
      <w:r>
        <w:rPr>
          <w:b/>
          <w:bCs/>
          <w:sz w:val="24"/>
          <w:szCs w:val="24"/>
        </w:rPr>
        <w:t>从政治制度层面看，坚持工人阶级政党的领导</w:t>
      </w:r>
    </w:p>
    <w:p w14:paraId="30DB834D">
      <w:pPr>
        <w:pStyle w:val="21"/>
        <w:spacing w:line="400" w:lineRule="exact"/>
        <w:ind w:firstLine="360"/>
        <w:jc w:val="both"/>
        <w:rPr>
          <w:sz w:val="21"/>
          <w:szCs w:val="21"/>
        </w:rPr>
      </w:pPr>
      <w:r>
        <w:rPr>
          <w:sz w:val="21"/>
          <w:szCs w:val="21"/>
        </w:rPr>
        <w:t>中国特色社会主义坚持共产党的工人阶级先锋队性质和民主集中制原则，坚持共产党对社会主义事业的领导。在新的科学技术革命面前，工人阶级仍然是先进生产力发展要求的代表和先进生产关系的体现者，仍然是推翻资本主义、建设社会主义、共产主义历史使命的承担者。在多种社会阶层出现和并存的新格局下，共产党仍然必须保持工人阶级先锋队的性质，全心全意依靠工人阶级。现阶段实行共产党领导下的多党合作和政治协商制度，而民主集中制是共产党及其执政国家的根本组织原则和组织制度，是正确处理党内外各种关系的政治准则。因此，在胡锦涛总书记的讲话中，强调</w:t>
      </w:r>
      <w:r>
        <w:rPr>
          <w:rFonts w:hint="eastAsia"/>
          <w:sz w:val="21"/>
          <w:szCs w:val="21"/>
        </w:rPr>
        <w:t>“</w:t>
      </w:r>
      <w:r>
        <w:rPr>
          <w:sz w:val="21"/>
          <w:szCs w:val="21"/>
        </w:rPr>
        <w:t>我国政治体制改革必须坚持正确的政治方向，必须随着经济社会发展不断推进，努力与我国人民政治参与的积极性不断提高相适应。要坚持党的领导、人民当家作主、依法治国有机统一，不断推进社会主义政治制度自我完善和发展。”</w:t>
      </w:r>
    </w:p>
    <w:p w14:paraId="7A124672">
      <w:pPr>
        <w:pStyle w:val="21"/>
        <w:spacing w:line="400" w:lineRule="exact"/>
        <w:ind w:firstLine="0"/>
        <w:jc w:val="center"/>
        <w:rPr>
          <w:b/>
          <w:bCs/>
          <w:sz w:val="24"/>
          <w:szCs w:val="24"/>
        </w:rPr>
      </w:pPr>
      <w:r>
        <w:rPr>
          <w:b/>
          <w:bCs/>
          <w:sz w:val="24"/>
          <w:szCs w:val="24"/>
        </w:rPr>
        <w:t>从对外关系层面看，坚持推动世界和谐发展</w:t>
      </w:r>
    </w:p>
    <w:p w14:paraId="537C669C">
      <w:pPr>
        <w:pStyle w:val="21"/>
        <w:spacing w:line="400" w:lineRule="exact"/>
        <w:ind w:firstLine="360"/>
        <w:jc w:val="both"/>
        <w:rPr>
          <w:sz w:val="21"/>
          <w:szCs w:val="21"/>
        </w:rPr>
      </w:pPr>
      <w:r>
        <w:rPr>
          <w:sz w:val="21"/>
          <w:szCs w:val="21"/>
        </w:rPr>
        <w:t>中国特色社会主义在对外关系理论和政策上都真正主张平等互利，和平合作，切实推动世界和谐发展。中国在政治、军事、经济和文化等各个对外领域，永远不称霸，强调国家不分大小强弱，一律平等。要超越意识形态和社会制度不同，来处理国家间的多种关系和全球问题。在全球化大趋势中，各国之间政治上要友好协商而不单边强权，军事上要限于自防而不先发制人，经济上要合作互利而不以邻为壑，文化上要交流互学而不损人利己。中国特色的社会主义中国以经济建设为中心，自然要通过经济开放积极参与经济全球化，为强国富民和全世界作出应有的贡献。因此，在胡锦涛总书记的讲话中，强调</w:t>
      </w:r>
      <w:r>
        <w:rPr>
          <w:rFonts w:hint="eastAsia"/>
          <w:sz w:val="21"/>
          <w:szCs w:val="21"/>
          <w:lang w:val="zh-CN" w:bidi="zh-CN"/>
        </w:rPr>
        <w:t>“</w:t>
      </w:r>
      <w:r>
        <w:rPr>
          <w:sz w:val="21"/>
          <w:szCs w:val="21"/>
          <w:lang w:val="zh-CN" w:bidi="zh-CN"/>
        </w:rPr>
        <w:t>我们</w:t>
      </w:r>
      <w:r>
        <w:rPr>
          <w:sz w:val="21"/>
          <w:szCs w:val="21"/>
        </w:rPr>
        <w:t>必须科学分析我国全面参与经济全球化的新机遇新挑战”，</w:t>
      </w:r>
      <w:r>
        <w:rPr>
          <w:rFonts w:hint="eastAsia"/>
          <w:sz w:val="21"/>
          <w:szCs w:val="21"/>
          <w:lang w:val="zh-CN" w:bidi="zh-CN"/>
        </w:rPr>
        <w:t>“</w:t>
      </w:r>
      <w:r>
        <w:rPr>
          <w:sz w:val="21"/>
          <w:szCs w:val="21"/>
          <w:lang w:val="zh-CN" w:bidi="zh-CN"/>
        </w:rPr>
        <w:t>要</w:t>
      </w:r>
      <w:r>
        <w:rPr>
          <w:sz w:val="21"/>
          <w:szCs w:val="21"/>
        </w:rPr>
        <w:t>全面提高开放型经济水平，形成经济全球化条件下参与国际经济合作和竞争新优势”。</w:t>
      </w:r>
    </w:p>
    <w:p w14:paraId="555DF4A7">
      <w:pPr>
        <w:pStyle w:val="21"/>
        <w:spacing w:line="400" w:lineRule="exact"/>
        <w:ind w:firstLine="0"/>
        <w:jc w:val="center"/>
        <w:rPr>
          <w:b/>
          <w:bCs/>
          <w:sz w:val="24"/>
          <w:szCs w:val="24"/>
        </w:rPr>
      </w:pPr>
      <w:r>
        <w:rPr>
          <w:b/>
          <w:bCs/>
          <w:sz w:val="24"/>
          <w:szCs w:val="24"/>
        </w:rPr>
        <w:t>从终极目标层面看，坚持社会主义本质和共产主义奋斗目标</w:t>
      </w:r>
    </w:p>
    <w:p w14:paraId="7BEF3F6E">
      <w:pPr>
        <w:pStyle w:val="21"/>
        <w:spacing w:line="400" w:lineRule="exact"/>
        <w:ind w:firstLine="360"/>
        <w:jc w:val="both"/>
        <w:rPr>
          <w:sz w:val="21"/>
          <w:szCs w:val="21"/>
        </w:rPr>
      </w:pPr>
      <w:r>
        <w:rPr>
          <w:sz w:val="21"/>
          <w:szCs w:val="21"/>
        </w:rPr>
        <w:t>中国特色社会主义坚持解放生产力、发展生产力，消灭剥削，消除两极分化，实现共同富裕的社会主义本质和原则，并最终要在生产力极大发展的社会主义基础上，实现共产主义。这是一个漫长的历史过程和制度创新历程。因此，在胡锦涛总书记的讲话中，强调</w:t>
      </w:r>
      <w:r>
        <w:rPr>
          <w:sz w:val="21"/>
          <w:szCs w:val="21"/>
          <w:lang w:val="zh-CN" w:bidi="zh-CN"/>
        </w:rPr>
        <w:t>提高</w:t>
      </w:r>
      <w:r>
        <w:rPr>
          <w:sz w:val="21"/>
          <w:szCs w:val="21"/>
        </w:rPr>
        <w:t>想问题、办事情决不可脱离实际的自觉性，清醒而又顽强地为实现党的历史使命而扎实奋斗、不懈奋斗。</w:t>
      </w:r>
    </w:p>
    <w:p w14:paraId="2C5BF11E">
      <w:pPr>
        <w:pStyle w:val="21"/>
        <w:spacing w:line="400" w:lineRule="exact"/>
        <w:ind w:firstLine="360"/>
        <w:jc w:val="both"/>
        <w:rPr>
          <w:rFonts w:hint="eastAsia" w:eastAsia="PMingLiU"/>
          <w:sz w:val="21"/>
          <w:szCs w:val="21"/>
        </w:rPr>
      </w:pPr>
      <w:r>
        <w:rPr>
          <w:rFonts w:hint="eastAsia"/>
          <w:sz w:val="21"/>
          <w:szCs w:val="21"/>
        </w:rPr>
        <w:t>（原载《</w:t>
      </w:r>
      <w:r>
        <w:rPr>
          <w:rFonts w:hint="eastAsia" w:cs="宋体"/>
          <w:lang w:bidi="ar"/>
        </w:rPr>
        <w:t>理论导报</w:t>
      </w:r>
      <w:r>
        <w:rPr>
          <w:rFonts w:hint="eastAsia"/>
          <w:sz w:val="21"/>
          <w:szCs w:val="21"/>
        </w:rPr>
        <w:t>》2</w:t>
      </w:r>
      <w:r>
        <w:rPr>
          <w:sz w:val="21"/>
          <w:szCs w:val="21"/>
        </w:rPr>
        <w:t>007</w:t>
      </w:r>
      <w:r>
        <w:rPr>
          <w:rFonts w:hint="eastAsia"/>
          <w:sz w:val="21"/>
          <w:szCs w:val="21"/>
        </w:rPr>
        <w:t>年第8期。）</w:t>
      </w:r>
    </w:p>
    <w:p w14:paraId="51A8FD4F">
      <w:pPr>
        <w:pStyle w:val="21"/>
        <w:spacing w:line="400" w:lineRule="exact"/>
        <w:ind w:firstLine="360"/>
        <w:jc w:val="both"/>
        <w:rPr>
          <w:rFonts w:eastAsia="PMingLiU"/>
          <w:sz w:val="21"/>
          <w:szCs w:val="21"/>
        </w:rPr>
      </w:pPr>
    </w:p>
    <w:p w14:paraId="08ECBF85">
      <w:pPr>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698" w:name="_Toc111193674"/>
      <w:bookmarkStart w:id="699" w:name="_Toc257922018"/>
      <w:bookmarkStart w:id="700" w:name="_Toc3700"/>
      <w:bookmarkStart w:id="701" w:name="_Toc1259918046"/>
      <w:bookmarkStart w:id="702" w:name="_Toc733860295"/>
      <w:r>
        <w:rPr>
          <w:rFonts w:hint="eastAsia" w:ascii="黑体" w:hAnsi="黑体" w:eastAsia="黑体" w:cs="Times New Roman"/>
          <w:kern w:val="0"/>
          <w:sz w:val="32"/>
          <w:szCs w:val="32"/>
        </w:rPr>
        <w:t>1</w:t>
      </w:r>
      <w:r>
        <w:rPr>
          <w:rFonts w:ascii="黑体" w:hAnsi="黑体" w:eastAsia="黑体" w:cs="Times New Roman"/>
          <w:kern w:val="0"/>
          <w:sz w:val="32"/>
          <w:szCs w:val="32"/>
        </w:rPr>
        <w:t>3</w:t>
      </w:r>
      <w:r>
        <w:rPr>
          <w:rFonts w:hint="eastAsia" w:ascii="黑体" w:hAnsi="黑体" w:eastAsia="黑体" w:cs="Times New Roman"/>
          <w:kern w:val="0"/>
          <w:sz w:val="32"/>
          <w:szCs w:val="32"/>
        </w:rPr>
        <w:t>科学发展与构建和谐的政治经济学观察</w:t>
      </w:r>
      <w:bookmarkEnd w:id="698"/>
      <w:bookmarkEnd w:id="699"/>
      <w:bookmarkEnd w:id="700"/>
      <w:bookmarkEnd w:id="701"/>
      <w:bookmarkEnd w:id="702"/>
    </w:p>
    <w:p w14:paraId="59E1FF72">
      <w:pPr>
        <w:spacing w:before="147" w:beforeLines="50" w:line="300" w:lineRule="auto"/>
        <w:ind w:firstLine="440" w:firstLineChars="200"/>
        <w:rPr>
          <w:rFonts w:ascii="宋体" w:hAnsi="宋体" w:eastAsia="宋体" w:cs="Times New Roman"/>
          <w:szCs w:val="21"/>
        </w:rPr>
      </w:pPr>
      <w:r>
        <w:rPr>
          <w:rFonts w:hint="eastAsia" w:ascii="宋体" w:hAnsi="宋体" w:eastAsia="宋体" w:cs="Times New Roman"/>
          <w:szCs w:val="21"/>
        </w:rPr>
        <w:t>胡锦涛总书记6月25日在中共中央党校发表重要讲话中指出，我们要“深入贯彻落实科学发展观，继续解放思想，坚持改革开放，推动科学发展，促进社会和谐，为夺取全面建设小康社会新胜利而奋斗”。胡锦涛总书记的讲话既为我们指明了前进的方向，即全面建设社会主义的小康社会；又为我们指明了实现目标的方式方法，即科学发展与构建和谐。如果从政治经济学的视角考察科学发展与和谐构建，就涉及两个关键性问题:一是国民经济科学发展的内涵；二是和谐社会构建的经济基础。</w:t>
      </w:r>
    </w:p>
    <w:p w14:paraId="52631FF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国民经济的科学发展不同于国民经济的快速增长。“经济增长”与“经济发展”虽然同属于宏观经济的范畴，但政治经济学对“经济增长”和“经济发展”做了严格区分。经济增长，是指一个国家或地区在一定时期内由于生产要素投入的增加或者效率提高等原因，经济规模在数量上的扩大，它包括产品产出总量的增加或产出总产值的增加、劳务总量的增加。其衡量指标是国民生产总值（GNP）、国内生产总值（GDP）和国民收入（NI）等。经济发展不仅指一般的经济增长，即以国民生产总值或国民收入等为标志的包括产品和劳务在内的产出的增长，而且指一国或地区随着产出的增长而出现的投入结构、产品结构、分配结构、消费结构、产业结构、区域结构等经济结构的升级、资源配置的优化、人民生活质量的改善和福利水平的提升。因此，国民经济的科学发展不仅仅包括国民经济数量增长或规模的扩张，而且更涵盖和注重的是国民经济素质的提高和经济结构的协调与优化，包括节能减排。正如人的增长和人的发展的区别。人的增长只包括身高和体重的变化，而人的发展除了身高、体重的变化外，还包括人的体质协调能力的增加、人对环境适应能力的增强，以及人向外界学习能力的提高等等。</w:t>
      </w:r>
    </w:p>
    <w:p w14:paraId="030A9DC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因此，国民经济的快速增长并不意味着国民经济的科学发展，但是国民经济的科学发展总是以国民经济的良性增长为基础的，较快经济增长是经济发展的必要而非充分的条件。首先，国民经济的较快增长可以为国民经济的全面、协调和可持续的科学发展创造条件。我国自1978年改革开放以来，经济始终保持快速增长态势。1978年我国GDP总量只有3645亿元，2006年突破209407亿元，年均增长率超过了9.7%。我国改革开放以来国民经济的快速增长，既为经济的科学发展和和谐社会的构建提供了坚实的物质基础，又充分体现了社会主义制度的优越性和为完善社会主义经济体制进行改革开放的正确性。</w:t>
      </w:r>
    </w:p>
    <w:p w14:paraId="74A32F8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其次，国民经济的科学发展是在经济规模扩张或数量增加的基础上，实现经济增长过程的稳定性、协调性和可持续性，推动经济增长的方式从粗放式向集约式转变，夯实经济增长的潜力和提升经济增长的社会效益。经济增长的稳定性是指经济运行过程的平稳性，避免经济增长的大起大落。我国自1978年改革开放以来基本上避免了经济负增长型的大起大落，特别是20世纪90年代中期以来，我国经济进入了平稳快速发展的快车道。经济增长的协调性是指经济运行过程中的宏观与微观、三种产业之间、产业内各行业之间、生产力布局的各区域之间、城乡之间的协调发展。1978年我国第一、二、三产业分别占国内生产总值比例为27.9%、47.9%和24.2%，2006年分别变为11.8%、48.7%和39.5%。可见，我国国民经济在各产业都保持快速增长的条件下，第一产业所占比重显著下降，第二产业变化不大，第三产业增加许多，产业结构趋于高级化和优化。与发达经济体的第三产业在国民经济中的比重在80%以上相比，我国产业结构优化还有很大的上升空间。</w:t>
      </w:r>
    </w:p>
    <w:p w14:paraId="65792F5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经济增长的可持续性是指经济在一个最优路径上实现持续的发展，它依赖于经济增长方式从粗放式向集约式的转变、经济增长潜力的提升，以及经济增长的社会效益的全面体现。粗放式的经济增长方式是在技术水平和劳动生产率不变的基础上，主要依靠扩充生产要素的数量来增加产出的经济增长方式。如通过简单地扩大生产场地、重复添加机器设备，增加劳动力数量和原材料投入等来实现经济增长。这是一种高投入、高消耗、低产出、低效益的经济增长。实现经济增长方式向集约式的转变，就是把经济增长建立在依靠生产要素质量和使用效率的提高，以及生产要素的优化配置和组合的基础之上，以获得更多符合市场需要的产出。因此，它是通过技术进步、优化管理、提高劳动者素质、增加资金、设备、原材料的利用率，来实现低投入、低消耗、高产出、高效益的经济增长方式。1978年我国万元国内生产总值的消耗的能源为15.7吨标准煤，2005年降到1.2吨，从一个侧面说明我国经济增长的集约化水平明显提高。</w:t>
      </w:r>
    </w:p>
    <w:p w14:paraId="016F0D4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经济增长潜力的提升，在低级层次上表现为各种社会经济资源得到更加充分和有效地利用，在高级层次上表现为在经济发展中不断地创造出新的生产力，如通过新技术、新产品的自主研发能力的提高、新市场开拓能力的提升、新制度的人为创新能力的增强等方式，不断地蕴育出能够引擎经济增长的新产业、新技术、新产品和新市场。就拉动经济增长的三驾马车之一的外贸来说，1978年我国对外贸易出口是初级产品出口占主导段，初级产品占总出口的比例是53.5%。1981年工业制成品出口额首次超过初级产品，占53.3%。此后，初级产品出口比例趋于逐年下降。2005年初级产品的比重已经下降到6.4%，工业制成品出口的比重上升到93.6%。这说明改革开放以来我国经济增长的潜力得到了提升，但是，我国工业制品出口主要以加工贸易为主，这种“两头在外”的加工贸易只有末端的组装工序在国内进行，国内得到的附加值并不高。不管是一般产品出口，还是高新技术产品出口，外商投资企业已占主导地位。2004年外商投资企业分别占中国高新技术产品对外进口和出口的77.6%和87.3%，其中外商独资企业独占鳌头，分别占有56.0%和65.0%。这种状况迫切需要我国民族产业注重掌控核心技术和技术标准，培育自主知识产权优势，形成“三控”（控股、控技术和控品牌）和“四跨”（跨地区、跨部门、跨所有制和跨国）的民族企业集团和民族跨国公司，从而夯实经济增长的潜力，牢牢掌握企业未来利润现金流获取的主动权。</w:t>
      </w:r>
    </w:p>
    <w:p w14:paraId="5C4D7592">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经济增长的可持续性，不仅要求经济增长的方式向集约式转变、经济增长的潜力得到夯实，而且要求经济增长结果的社会效益得到全面显现。国民经济科学发展的目的不是最终产出水平的提高，而是通过经济系统的最终产出水平的提高，来促进人民生活水平的持续改善和整个社会的和谐进步。物价指数平稳、人民收入水平和消费水平大幅提升、生活质量不断提高、改革开放的成果由人民来共享，既是经济增长的目的，又是科学发展的理想结果。1978年我国城镇居民家庭人均可支配收入和农村居民家庭人均纯收入分别是343.4元和133.6元，2005年分别上升到了10493元和3254.9元，即使按可比价格计算，也分别是1978年的6.07倍和6.24倍。城镇居民家庭和农村居民家庭的恩格尔系数也分别从1978年的57.5%和67.7%，下降到2005年的36.7%和45.5%。由此可见，我国改革开放29年来，沿着科学发展的道路，取得了举世瞩目的巨大成就。</w:t>
      </w:r>
    </w:p>
    <w:p w14:paraId="7CB8BEA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但是，同时我们也应该看到，我国在经济增长和经济发展取得巨大成就的同时，出现了城乡差距、区域差距和社会成员收入差距过大，资源消耗过多、环境污染和生态环境破坏严重，社会保障、社会保险和社会救济制度发展滞后，关系民生的住房、医疗、教育等费用支付过重，人民生活水平的提升低于GDP增速等问题。而这些问题的根本解决都有待于在科学发展观的指引下，加强和夯实和谐社会的社会主义经济基础，即真正落实胡锦涛总书记讲话再次强调的原则，“要坚持和完善公有制为主体、多种所有制经济共同发展的基本经济制度”，即公有为主体的多种类产权制度、按劳分配为主体的多要素分配制度、国家为主导的市场发挥基础性资源配置的多结构市场制度和自力为主导的多方位开放制度，其核心是在毫不动摇地鼓励、支持、引导非公有制经济发展的同时，毫不动摇地巩固、发展和壮大公有制经济。社会主义实行生产资料公有制不仅仅在于适应社会化大生产的需要，其根本原因在于保障按劳分配的实现，从而保证社会有效需求的充足和生产与消费的良性循环，进而实现社会经济比资本主义私有制经济以更快地速度、更可持续地向前发展。</w:t>
      </w:r>
    </w:p>
    <w:p w14:paraId="602240F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我们沿着科学发展的路径，积极进行社会主义和谐社会的构建，不管是已经取得的巨大成就，还是将要夺取全面建设小康社会的新胜利，“关键在于我们既坚持了科学社会主义的基本原则，又根据我国实际赋予其鲜明的中国特色。”我们相信，沿着中国特色社会主义的康庄大道继续前进，必将迎来更加绚丽的辉煌。</w:t>
      </w:r>
    </w:p>
    <w:p w14:paraId="0B52D232">
      <w:pPr>
        <w:spacing w:line="300" w:lineRule="auto"/>
        <w:ind w:firstLine="440" w:firstLineChars="200"/>
        <w:rPr>
          <w:rFonts w:ascii="宋体" w:hAnsi="宋体" w:eastAsia="宋体" w:cs="Times New Roman"/>
          <w:szCs w:val="21"/>
        </w:rPr>
      </w:pPr>
    </w:p>
    <w:p w14:paraId="3C5FFA1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（原载《北京党史》2007年第5期）</w:t>
      </w:r>
    </w:p>
    <w:p w14:paraId="03F1FE49">
      <w:pPr>
        <w:spacing w:line="336" w:lineRule="auto"/>
        <w:ind w:firstLine="440" w:firstLineChars="200"/>
        <w:rPr>
          <w:rFonts w:ascii="宋体" w:hAnsi="宋体" w:eastAsia="宋体" w:cs="Times New Roman"/>
          <w:szCs w:val="21"/>
        </w:rPr>
      </w:pPr>
    </w:p>
    <w:p w14:paraId="77728BBA">
      <w:pPr>
        <w:ind w:firstLine="660" w:firstLineChars="200"/>
      </w:pPr>
      <w:r>
        <w:rPr>
          <w:rFonts w:ascii="Times New Roman" w:hAnsi="Times New Roman" w:eastAsia="宋体" w:cs="Times New Roman"/>
          <w:b/>
          <w:sz w:val="32"/>
        </w:rPr>
        <w:br w:type="page"/>
      </w:r>
    </w:p>
    <w:p w14:paraId="627C2409">
      <w:pPr>
        <w:pStyle w:val="3"/>
        <w:spacing w:before="0" w:after="0" w:line="400" w:lineRule="exact"/>
        <w:jc w:val="center"/>
        <w:rPr>
          <w:rFonts w:hint="default" w:ascii="黑体" w:hAnsi="黑体" w:eastAsia="黑体"/>
          <w:b w:val="0"/>
          <w:bCs w:val="0"/>
        </w:rPr>
      </w:pPr>
      <w:bookmarkStart w:id="703" w:name="_Toc20407"/>
      <w:bookmarkStart w:id="704" w:name="_Toc111193675"/>
      <w:bookmarkStart w:id="705" w:name="_Toc1253839702"/>
      <w:bookmarkStart w:id="706" w:name="_Toc991393344"/>
      <w:r>
        <w:rPr>
          <w:rFonts w:ascii="黑体" w:hAnsi="黑体" w:eastAsia="黑体"/>
          <w:b w:val="0"/>
          <w:bCs w:val="0"/>
        </w:rPr>
        <w:t>1</w:t>
      </w:r>
      <w:r>
        <w:rPr>
          <w:rFonts w:hint="default" w:ascii="黑体" w:hAnsi="黑体" w:eastAsia="黑体"/>
          <w:b w:val="0"/>
          <w:bCs w:val="0"/>
        </w:rPr>
        <w:t>4</w:t>
      </w:r>
      <w:r>
        <w:rPr>
          <w:rFonts w:ascii="黑体" w:hAnsi="黑体" w:eastAsia="黑体"/>
          <w:b w:val="0"/>
          <w:bCs w:val="0"/>
        </w:rPr>
        <w:t>经济全球化与反全球化的若干分析</w:t>
      </w:r>
      <w:bookmarkEnd w:id="703"/>
      <w:bookmarkEnd w:id="704"/>
      <w:bookmarkEnd w:id="705"/>
      <w:bookmarkEnd w:id="706"/>
    </w:p>
    <w:p w14:paraId="52BC3F53">
      <w:pPr>
        <w:spacing w:line="400" w:lineRule="exact"/>
        <w:ind w:firstLine="440" w:firstLineChars="200"/>
        <w:rPr>
          <w:rFonts w:ascii="宋体" w:hAnsi="宋体" w:eastAsia="宋体"/>
        </w:rPr>
      </w:pPr>
      <w:r>
        <w:rPr>
          <w:rFonts w:hint="eastAsia" w:ascii="宋体" w:hAnsi="宋体" w:eastAsia="宋体"/>
        </w:rPr>
        <w:t>内容提要：本文对经济全球化进行含义、成因与特点、正负效应的探讨；阐述反全球化运动的形式、原因、目标和性质</w:t>
      </w:r>
      <w:r>
        <w:rPr>
          <w:rFonts w:ascii="宋体" w:hAnsi="宋体" w:eastAsia="宋体"/>
        </w:rPr>
        <w:t>;分析经济全球化内在根本矛盾的彻底解决，必然导致全球社会主义，全球经济迫切需要在反思和超越经济全球化的新自由主义主导阶段而健康地发展，并曲折地最终走向经济全球化的社会主义主导阶段。</w:t>
      </w:r>
    </w:p>
    <w:p w14:paraId="0911C586">
      <w:pPr>
        <w:spacing w:line="400" w:lineRule="exact"/>
        <w:ind w:firstLine="440" w:firstLineChars="200"/>
        <w:rPr>
          <w:rFonts w:ascii="宋体" w:hAnsi="宋体" w:eastAsia="宋体"/>
        </w:rPr>
      </w:pPr>
      <w:r>
        <w:rPr>
          <w:rFonts w:hint="eastAsia" w:ascii="宋体" w:hAnsi="宋体" w:eastAsia="宋体"/>
        </w:rPr>
        <w:t>关键词：</w:t>
      </w:r>
      <w:r>
        <w:rPr>
          <w:rFonts w:ascii="宋体" w:hAnsi="宋体" w:eastAsia="宋体"/>
        </w:rPr>
        <w:t>世界经济</w:t>
      </w:r>
      <w:r>
        <w:rPr>
          <w:rFonts w:hint="eastAsia" w:ascii="宋体" w:hAnsi="宋体" w:eastAsia="宋体"/>
        </w:rPr>
        <w:t xml:space="preserve"> </w:t>
      </w:r>
      <w:r>
        <w:rPr>
          <w:rFonts w:ascii="宋体" w:hAnsi="宋体" w:eastAsia="宋体"/>
        </w:rPr>
        <w:t>经济全球化</w:t>
      </w:r>
      <w:r>
        <w:rPr>
          <w:rFonts w:hint="eastAsia" w:ascii="宋体" w:hAnsi="宋体" w:eastAsia="宋体"/>
        </w:rPr>
        <w:t xml:space="preserve"> </w:t>
      </w:r>
      <w:r>
        <w:rPr>
          <w:rFonts w:ascii="宋体" w:hAnsi="宋体" w:eastAsia="宋体"/>
        </w:rPr>
        <w:t>根本经济矛盾</w:t>
      </w:r>
      <w:r>
        <w:rPr>
          <w:rFonts w:hint="eastAsia" w:ascii="宋体" w:hAnsi="宋体" w:eastAsia="宋体"/>
        </w:rPr>
        <w:t xml:space="preserve"> </w:t>
      </w:r>
      <w:r>
        <w:rPr>
          <w:rFonts w:ascii="宋体" w:hAnsi="宋体" w:eastAsia="宋体"/>
        </w:rPr>
        <w:t>新自由主义</w:t>
      </w:r>
      <w:r>
        <w:rPr>
          <w:rFonts w:hint="eastAsia" w:ascii="宋体" w:hAnsi="宋体" w:eastAsia="宋体"/>
        </w:rPr>
        <w:t xml:space="preserve"> </w:t>
      </w:r>
      <w:r>
        <w:rPr>
          <w:rFonts w:ascii="宋体" w:hAnsi="宋体" w:eastAsia="宋体"/>
        </w:rPr>
        <w:t>经济学</w:t>
      </w:r>
      <w:r>
        <w:rPr>
          <w:rFonts w:hint="eastAsia" w:ascii="宋体" w:hAnsi="宋体" w:eastAsia="宋体"/>
        </w:rPr>
        <w:t xml:space="preserve"> 现代政治经济学</w:t>
      </w:r>
    </w:p>
    <w:p w14:paraId="196ADC45">
      <w:pPr>
        <w:spacing w:line="400" w:lineRule="exact"/>
        <w:ind w:firstLine="440" w:firstLineChars="200"/>
        <w:rPr>
          <w:rFonts w:ascii="宋体" w:hAnsi="宋体" w:eastAsia="宋体"/>
        </w:rPr>
      </w:pPr>
      <w:r>
        <w:rPr>
          <w:rFonts w:hint="eastAsia" w:ascii="宋体" w:hAnsi="宋体" w:eastAsia="宋体"/>
        </w:rPr>
        <w:t>经济全球化可以从两个层面来描述和界定：一是从生产力和经济关系一</w:t>
      </w:r>
      <w:r>
        <w:rPr>
          <w:rFonts w:ascii="宋体" w:hAnsi="宋体" w:eastAsia="宋体"/>
        </w:rPr>
        <w:t>般意义上说，经济全球化描述的是生产要素在各国之间流动加快的趋势，经济活动在各国之间联系日益紧密的趋势；二是从现阶段经济关系一个重要特征的意义上说，当今经济全球化是美国等资本主义强国主导下的资本主义生产方式控制和扩张的趋势。轻易地全盘否定和全盘肯定经济全球化，并由此来制定战略和策略，都是不可取的。</w:t>
      </w:r>
    </w:p>
    <w:p w14:paraId="5CA42773">
      <w:pPr>
        <w:spacing w:line="400" w:lineRule="exact"/>
        <w:ind w:firstLine="440" w:firstLineChars="200"/>
        <w:rPr>
          <w:rFonts w:ascii="宋体" w:hAnsi="宋体" w:eastAsia="宋体"/>
        </w:rPr>
      </w:pPr>
      <w:r>
        <w:rPr>
          <w:rFonts w:hint="eastAsia" w:ascii="宋体" w:hAnsi="宋体" w:eastAsia="宋体"/>
        </w:rPr>
        <w:t>我们不仅要理解经济全球化的原因和特点，以及正负效应，而且要理解反</w:t>
      </w:r>
      <w:r>
        <w:rPr>
          <w:rFonts w:ascii="宋体" w:hAnsi="宋体" w:eastAsia="宋体"/>
        </w:rPr>
        <w:t>全球化运动的特点和作用。只有这样，才能深刻地认识经济全球化条件下的生产力与经济关系或经济制度的基本矛盾，准确地把握处于激烈博弈中的世界经济非线性和非均衡发展及其最终趋势。</w:t>
      </w:r>
    </w:p>
    <w:p w14:paraId="25494A32">
      <w:pPr>
        <w:pStyle w:val="21"/>
        <w:spacing w:line="400" w:lineRule="exact"/>
        <w:ind w:firstLine="0"/>
        <w:jc w:val="center"/>
        <w:rPr>
          <w:b/>
          <w:bCs/>
          <w:sz w:val="24"/>
          <w:szCs w:val="24"/>
        </w:rPr>
      </w:pPr>
      <w:r>
        <w:rPr>
          <w:rFonts w:hint="eastAsia"/>
          <w:b/>
          <w:bCs/>
          <w:sz w:val="24"/>
          <w:szCs w:val="24"/>
        </w:rPr>
        <w:t>一、当今经济全球化成因与特点</w:t>
      </w:r>
    </w:p>
    <w:p w14:paraId="5287A7A0">
      <w:pPr>
        <w:spacing w:line="400" w:lineRule="exact"/>
        <w:ind w:firstLine="440" w:firstLineChars="200"/>
        <w:rPr>
          <w:rFonts w:ascii="宋体" w:hAnsi="宋体" w:eastAsia="宋体"/>
        </w:rPr>
      </w:pPr>
      <w:r>
        <w:rPr>
          <w:rFonts w:hint="eastAsia" w:ascii="宋体" w:hAnsi="宋体" w:eastAsia="宋体"/>
        </w:rPr>
        <w:t>从资本主义国家开拓世界市场，向外扩张，并推行各种殖民主义措施开</w:t>
      </w:r>
      <w:r>
        <w:rPr>
          <w:rFonts w:ascii="宋体" w:hAnsi="宋体" w:eastAsia="宋体"/>
        </w:rPr>
        <w:t>始，经济已经在渐渐全球化了。那么，从20世纪90年代以来的新一轮经济全球化有什么动因和特点呢？</w:t>
      </w:r>
    </w:p>
    <w:p w14:paraId="2989B983">
      <w:pPr>
        <w:spacing w:line="400" w:lineRule="exact"/>
        <w:ind w:firstLine="440" w:firstLineChars="200"/>
        <w:rPr>
          <w:rFonts w:ascii="宋体" w:hAnsi="宋体" w:eastAsia="宋体"/>
        </w:rPr>
      </w:pPr>
      <w:r>
        <w:rPr>
          <w:rFonts w:hint="eastAsia" w:ascii="宋体" w:hAnsi="宋体" w:eastAsia="宋体"/>
        </w:rPr>
        <w:t>第一，当今经济全球化是与知识经济，尤其是變對相适应的。在全球</w:t>
      </w:r>
      <w:r>
        <w:rPr>
          <w:rFonts w:ascii="宋体" w:hAnsi="宋体" w:eastAsia="宋体"/>
        </w:rPr>
        <w:t>化的国际经济关系中，不仅有货物、劳务和资本的大规模国际交流，而且信息</w:t>
      </w:r>
      <w:r>
        <w:rPr>
          <w:rFonts w:hint="eastAsia" w:ascii="宋体" w:hAnsi="宋体" w:eastAsia="宋体"/>
        </w:rPr>
        <w:t>技术的广泛应用，给人们提供了一种便捷无比的国际交流手段</w:t>
      </w:r>
      <w:r>
        <w:rPr>
          <w:rFonts w:ascii="宋体" w:hAnsi="宋体" w:eastAsia="宋体"/>
        </w:rPr>
        <w:t>,使国际经济关系更加紧密。没有信息化，就没有全球化。这部分地可以解释，为什么20世纪70年代出现“小的是美好的"说法，把一些大型公司分解了，而90年代又重新掀起大规模的并购高潮。因为信息技术使跨国公司内外部的信息成本和管理费用降低了。</w:t>
      </w:r>
    </w:p>
    <w:p w14:paraId="6AFE2EC0">
      <w:pPr>
        <w:spacing w:line="400" w:lineRule="exact"/>
        <w:ind w:firstLine="440" w:firstLineChars="200"/>
        <w:rPr>
          <w:rFonts w:ascii="宋体" w:hAnsi="宋体" w:eastAsia="宋体"/>
        </w:rPr>
      </w:pPr>
      <w:r>
        <w:rPr>
          <w:rFonts w:hint="eastAsia" w:ascii="宋体" w:hAnsi="宋体" w:eastAsia="宋体"/>
        </w:rPr>
        <w:t>第二，当今经济全球化是以多元的行为主体来构成世界经济和国际关系</w:t>
      </w:r>
      <w:r>
        <w:rPr>
          <w:rFonts w:ascii="宋体" w:hAnsi="宋体" w:eastAsia="宋体"/>
        </w:rPr>
        <w:t>的。除国家之外，企业，尤其是现代跨国公司和跨国银行的作用日趋增大。它们把自己的生产、投资、销售等活动的场所遍布全球各地，实行全球经营战略。跨国公司的全球化经营，形成了当代国际经济关系空前巨大和严密的全球网络，把世界各国和全球经济都包罗在内。据统计</w:t>
      </w:r>
      <w:r>
        <w:rPr>
          <w:rFonts w:hint="eastAsia" w:ascii="宋体" w:hAnsi="宋体" w:eastAsia="宋体"/>
        </w:rPr>
        <w:t>，</w:t>
      </w:r>
      <w:r>
        <w:rPr>
          <w:rFonts w:ascii="宋体" w:hAnsi="宋体" w:eastAsia="宋体"/>
        </w:rPr>
        <w:t>眼下全世界有40%的产品是由跨国公司生产的，70%</w:t>
      </w:r>
      <w:r>
        <w:rPr>
          <w:rFonts w:hint="eastAsia" w:ascii="微软雅黑" w:hAnsi="微软雅黑" w:eastAsia="微软雅黑" w:cs="微软雅黑"/>
        </w:rPr>
        <w:t>〜</w:t>
      </w:r>
      <w:r>
        <w:rPr>
          <w:rFonts w:ascii="宋体" w:hAnsi="宋体" w:eastAsia="宋体"/>
        </w:rPr>
        <w:t>80%的国际贸易是由跨国公司从事的。</w:t>
      </w:r>
    </w:p>
    <w:p w14:paraId="41B6D7FD">
      <w:pPr>
        <w:spacing w:line="400" w:lineRule="exact"/>
        <w:ind w:firstLine="440" w:firstLineChars="200"/>
        <w:rPr>
          <w:rFonts w:ascii="宋体" w:hAnsi="宋体" w:eastAsia="宋体"/>
        </w:rPr>
      </w:pPr>
      <w:r>
        <w:rPr>
          <w:rFonts w:hint="eastAsia" w:ascii="宋体" w:hAnsi="宋体" w:eastAsia="宋体"/>
        </w:rPr>
        <w:t>第三，当今经济全球化是用市场体系和市场经济体制来沟通各国之间的</w:t>
      </w:r>
      <w:r>
        <w:rPr>
          <w:rFonts w:ascii="宋体" w:hAnsi="宋体" w:eastAsia="宋体"/>
        </w:rPr>
        <w:t>经济联系的。不仅国际货物贸易空前扩大，资本流动成百倍地增长，而且国外直接投资、劳务贸易、科技贸易、信息传播、人员流动、国际旅游等领域都有了迅猛的发展。这些领域互相促进、互相结合，形成了一个全方位、宽领域、多渠道的完整的发达的市场体系。这个世界市场体系和市场体制把各国的经济紧密地联系在一起，使各国发生着广泛的各个领域的经济关系。第二次世界大后，以“经互会"为核心的社会主义国家的世界市场体系，到20世纪90年代已不存在了。因为原苏东社会</w:t>
      </w:r>
      <w:r>
        <w:rPr>
          <w:rFonts w:hint="eastAsia" w:ascii="宋体" w:hAnsi="宋体" w:eastAsia="宋体"/>
        </w:rPr>
        <w:t>主义国家地区的一些国家建立了资本主义市场经</w:t>
      </w:r>
      <w:r>
        <w:rPr>
          <w:rFonts w:ascii="宋体" w:hAnsi="宋体" w:eastAsia="宋体"/>
        </w:rPr>
        <w:t>济体制，中国和越南转型到社会主义市场经济体制，而古巴和朝鲜仍被封锁和制裁，难以参与经济全球化。</w:t>
      </w:r>
    </w:p>
    <w:p w14:paraId="77F1DEF3">
      <w:pPr>
        <w:spacing w:line="400" w:lineRule="exact"/>
        <w:ind w:firstLine="440" w:firstLineChars="200"/>
        <w:rPr>
          <w:rFonts w:ascii="宋体" w:hAnsi="宋体" w:eastAsia="宋体"/>
        </w:rPr>
      </w:pPr>
      <w:r>
        <w:rPr>
          <w:rFonts w:hint="eastAsia" w:ascii="宋体" w:hAnsi="宋体" w:eastAsia="宋体"/>
        </w:rPr>
        <w:t>第四，当今经济全球化是资本主义发达国家主导的。最有竞争力的西方</w:t>
      </w:r>
      <w:r>
        <w:rPr>
          <w:rFonts w:ascii="宋体" w:hAnsi="宋体" w:eastAsia="宋体"/>
        </w:rPr>
        <w:t>强国在国际事务上的垄断和霸权，力图将自身的生产方式逐渐扩展到所有的国家。作为惟一的超级大国，正如吉登斯所说，美国深刻而突出地影响了新的全球秩序的形成。从某些方面看，它企图把美国的宪法条款推及全球。</w:t>
      </w:r>
    </w:p>
    <w:p w14:paraId="498E1DD0">
      <w:pPr>
        <w:spacing w:line="400" w:lineRule="exact"/>
        <w:ind w:firstLine="440" w:firstLineChars="200"/>
        <w:rPr>
          <w:rFonts w:ascii="宋体" w:hAnsi="宋体" w:eastAsia="宋体"/>
        </w:rPr>
      </w:pPr>
      <w:r>
        <w:rPr>
          <w:rFonts w:hint="eastAsia" w:ascii="宋体" w:hAnsi="宋体" w:eastAsia="宋体"/>
        </w:rPr>
        <w:t>第五，当今经济全球化同经济区域化和经济集团化并存。根据世界贸易</w:t>
      </w:r>
      <w:r>
        <w:rPr>
          <w:rFonts w:ascii="宋体" w:hAnsi="宋体" w:eastAsia="宋体"/>
        </w:rPr>
        <w:t>组织的统计，迄今为止，世界上已出现了144个区域性经济集团；国际货币基金组织的调查数为68个;而日本贸易振兴会推算数为101个。英国《经济学家》杂志公布的数字则显示，从1948</w:t>
      </w:r>
      <w:r>
        <w:rPr>
          <w:rFonts w:hint="eastAsia" w:ascii="微软雅黑" w:hAnsi="微软雅黑" w:eastAsia="微软雅黑" w:cs="微软雅黑"/>
        </w:rPr>
        <w:t>〜</w:t>
      </w:r>
      <w:r>
        <w:rPr>
          <w:rFonts w:ascii="宋体" w:hAnsi="宋体" w:eastAsia="宋体"/>
        </w:rPr>
        <w:t>1994年全世界先后出现过109个区域经济合作组织，其中2/3是20世纪90年代的产物。目前至少已经有146个国家和地区参加了以上各种形式的区域性经济集团。在集团化方面，迄今出现的经济集团有，七国集团、七十七国集团、二十四国集团等。全球化和区域化并存的一个</w:t>
      </w:r>
      <w:r>
        <w:rPr>
          <w:rFonts w:hint="eastAsia" w:ascii="宋体" w:hAnsi="宋体" w:eastAsia="宋体"/>
        </w:rPr>
        <w:t>印证是，随着全球化进程速度的加快，区域的内部经济流通也在</w:t>
      </w:r>
      <w:r>
        <w:rPr>
          <w:rFonts w:ascii="宋体" w:hAnsi="宋体" w:eastAsia="宋体"/>
        </w:rPr>
        <w:t>加快。如1993年，北美、欧盟和东亚三个地区占全球出口贸易总量的76.8%。目前，欧盟国家有1/3的对外贸易是在其内部进行的，亚洲国家的一半外资也是来自其他亚洲国家。</w:t>
      </w:r>
    </w:p>
    <w:p w14:paraId="242CB71E">
      <w:pPr>
        <w:pStyle w:val="21"/>
        <w:spacing w:line="400" w:lineRule="exact"/>
        <w:ind w:firstLine="0"/>
        <w:jc w:val="center"/>
        <w:rPr>
          <w:b/>
          <w:bCs/>
          <w:sz w:val="24"/>
          <w:szCs w:val="24"/>
        </w:rPr>
      </w:pPr>
      <w:r>
        <w:rPr>
          <w:rFonts w:hint="eastAsia"/>
          <w:b/>
          <w:bCs/>
          <w:sz w:val="24"/>
          <w:szCs w:val="24"/>
        </w:rPr>
        <w:t>二、经济全球化的正负效应</w:t>
      </w:r>
    </w:p>
    <w:p w14:paraId="3BF6C84B">
      <w:pPr>
        <w:spacing w:line="400" w:lineRule="exact"/>
        <w:ind w:firstLine="440" w:firstLineChars="200"/>
        <w:rPr>
          <w:rFonts w:ascii="宋体" w:hAnsi="宋体" w:eastAsia="宋体"/>
        </w:rPr>
      </w:pPr>
      <w:r>
        <w:rPr>
          <w:rFonts w:hint="eastAsia" w:ascii="宋体" w:hAnsi="宋体" w:eastAsia="宋体"/>
        </w:rPr>
        <w:t>从理论上说，经济全球化的正面效应表现为以下几点：首先，它为资源在</w:t>
      </w:r>
      <w:r>
        <w:rPr>
          <w:rFonts w:ascii="宋体" w:hAnsi="宋体" w:eastAsia="宋体"/>
        </w:rPr>
        <w:t>全球范围内的优化配置提供了可能性。作为全球经济组成部分的各个国家，可以发挥自巳特有的优势在国际经济交往中实现优势互补，从而可能在总体上促进了世界范围内的经济增长。在这一过程中，发达国家凭借其在资本实力和科技上的优势，要比发展中国家获得更大的利益"</w:t>
      </w:r>
    </w:p>
    <w:p w14:paraId="2FBBBD41">
      <w:pPr>
        <w:spacing w:line="400" w:lineRule="exact"/>
        <w:ind w:firstLine="440" w:firstLineChars="200"/>
        <w:rPr>
          <w:rFonts w:ascii="宋体" w:hAnsi="宋体" w:eastAsia="宋体"/>
        </w:rPr>
      </w:pPr>
      <w:r>
        <w:rPr>
          <w:rFonts w:hint="eastAsia" w:ascii="宋体" w:hAnsi="宋体" w:eastAsia="宋体"/>
        </w:rPr>
        <w:t>其次，它为客观经济规律将在全球范围内发挥作用提供了可能性。在不</w:t>
      </w:r>
      <w:r>
        <w:rPr>
          <w:rFonts w:ascii="宋体" w:hAnsi="宋体" w:eastAsia="宋体"/>
        </w:rPr>
        <w:t>断扩大的逐步统一的世界大市场中，各国面对着激烈的国际市场竞争，必须努力改善生产经菅活动，降低成本，提高劳动生产率，实现规模生产。这一切都会有效提高&amp;世界的总产出水平。同时，激烈的国际竞争还会刺激新技术的研究与开发，使科技成果在世界范围内更快地转化为生产力，从而可能刺激全球经济的增长。</w:t>
      </w:r>
    </w:p>
    <w:p w14:paraId="6F8033B5">
      <w:pPr>
        <w:spacing w:line="400" w:lineRule="exact"/>
        <w:ind w:firstLine="440" w:firstLineChars="200"/>
        <w:rPr>
          <w:rFonts w:ascii="宋体" w:hAnsi="宋体" w:eastAsia="宋体"/>
        </w:rPr>
      </w:pPr>
      <w:r>
        <w:rPr>
          <w:rFonts w:hint="eastAsia" w:ascii="宋体" w:hAnsi="宋体" w:eastAsia="宋体"/>
        </w:rPr>
        <w:t>再次，它为加速产业结构的世界性合理调整和高级化提供了可能性。在</w:t>
      </w:r>
      <w:r>
        <w:rPr>
          <w:rFonts w:ascii="宋体" w:hAnsi="宋体" w:eastAsia="宋体"/>
        </w:rPr>
        <w:t>经济全球化的过程中，国际直接投资和技术转让这两个方面的相互作用和相互促进，导致世界性产业结构不断得到调整和升级。在这一过程中，发展中国家可以通过引进发达国家的资金和先进技术，借鉴发达国家的先进管理经验，加快国内产业结构的调整和优化,加速实现工业化和现代化的进程。当然，发达国家在产业结构调整的过程中，也可能能够继续保持在这方面的优势地位。</w:t>
      </w:r>
    </w:p>
    <w:p w14:paraId="7F81CCE4">
      <w:pPr>
        <w:spacing w:line="400" w:lineRule="exact"/>
        <w:ind w:firstLine="440" w:firstLineChars="200"/>
        <w:rPr>
          <w:rFonts w:ascii="宋体" w:hAnsi="宋体" w:eastAsia="宋体"/>
        </w:rPr>
      </w:pPr>
      <w:r>
        <w:rPr>
          <w:rFonts w:hint="eastAsia" w:ascii="宋体" w:hAnsi="宋体" w:eastAsia="宋体"/>
        </w:rPr>
        <w:t>最后，它为解决全球经济和社会发展面临的一些共同问题提供了可能性。</w:t>
      </w:r>
      <w:r>
        <w:rPr>
          <w:rFonts w:ascii="宋体" w:hAnsi="宋体" w:eastAsia="宋体"/>
        </w:rPr>
        <w:t>在当今世界经济发展过程中，生态、环境、资源、人口、卫生、暴力、犯罪、掠夺等问题是各国发展所面临的共同问题。在经济全球化过程中，倘若世界各国，尤其是发达国家能充分认识到并采取积极的措施来解决这些问题，也就可能在全球范围内推动了经济、社会的可持续发展。</w:t>
      </w:r>
    </w:p>
    <w:p w14:paraId="2124C9F8">
      <w:pPr>
        <w:spacing w:line="400" w:lineRule="exact"/>
        <w:ind w:firstLine="440" w:firstLineChars="200"/>
        <w:rPr>
          <w:rFonts w:ascii="宋体" w:hAnsi="宋体" w:eastAsia="宋体"/>
        </w:rPr>
      </w:pPr>
      <w:r>
        <w:rPr>
          <w:rFonts w:hint="eastAsia" w:ascii="宋体" w:hAnsi="宋体" w:eastAsia="宋体"/>
        </w:rPr>
        <w:t>经济全球化的负面效应有三个“可能加大</w:t>
      </w:r>
      <w:r>
        <w:rPr>
          <w:rFonts w:ascii="宋体" w:hAnsi="宋体" w:eastAsia="宋体"/>
        </w:rPr>
        <w:t>"：一是可能加大世界经济處展的不平衡性。由于发达资本主义国家在经济发展中占有明显的知识产权等诫势，①因此，在经济全球化的进程中它们的获益也大大超过发展中国家。这就使得南北国家的发展不平衡差距在全球范围内进一步扩大。特别是发达国家和发展中国家人均国内生产总值的指标相差悬殊。这种发展的不平衡具体体现在对外贸易、科学技术力量等方面。</w:t>
      </w:r>
    </w:p>
    <w:p w14:paraId="0FBBB272">
      <w:pPr>
        <w:spacing w:line="400" w:lineRule="exact"/>
        <w:ind w:firstLine="440" w:firstLineChars="200"/>
        <w:rPr>
          <w:rFonts w:ascii="宋体" w:hAnsi="宋体" w:eastAsia="宋体"/>
        </w:rPr>
      </w:pPr>
      <w:r>
        <w:rPr>
          <w:rFonts w:hint="eastAsia" w:ascii="宋体" w:hAnsi="宋体" w:eastAsia="宋体"/>
        </w:rPr>
        <w:t>二是苛能加大世界经济发展的波动性。例如，</w:t>
      </w:r>
      <w:r>
        <w:rPr>
          <w:rFonts w:ascii="宋体" w:hAnsi="宋体" w:eastAsia="宋体"/>
        </w:rPr>
        <w:t>1994年墨西哥发生的金融危机,1995年2月巴林银行的倒闭，1997年发生的东南亚金融危机，近年阿根廷金融和经济危机，以及与国际金融密切相关的原苏东地区的一些国家经济的大规模倒退，日本经济10多年启动不起来，处于新经济的美国也发生了衰退等，都对世界经济发展造成了巨大的损失。这充分暴露出，世界金融市场等发展过程中给世界经济带来的消极影响。</w:t>
      </w:r>
    </w:p>
    <w:p w14:paraId="0EEA8E61">
      <w:pPr>
        <w:spacing w:line="400" w:lineRule="exact"/>
        <w:ind w:firstLine="440" w:firstLineChars="200"/>
        <w:rPr>
          <w:rFonts w:ascii="宋体" w:hAnsi="宋体" w:eastAsia="宋体"/>
        </w:rPr>
      </w:pPr>
      <w:r>
        <w:rPr>
          <w:rFonts w:hint="eastAsia" w:ascii="宋体" w:hAnsi="宋体" w:eastAsia="宋体"/>
        </w:rPr>
        <w:t>三是可能加大世界经济发展的矛盾性。当代资本主义的矛盾错综交织，</w:t>
      </w:r>
      <w:r>
        <w:rPr>
          <w:rFonts w:ascii="宋体" w:hAnsi="宋体" w:eastAsia="宋体"/>
        </w:rPr>
        <w:t>使全球经济充满了不平衡、不协调、不稳定和各种风险与危机。在发达国家之间，以及发达国家与欠发达国家之间的贸易战、货币战接连不断，并波及到整个世界。发达资本主义国家，尤其是美国，凭借它们的经济实力和在世界中的优势地位,对别国的干预、制裁、威胁越演越烈，甚至发动军事侵略。这理所当然地引起其他国家的反击，从而加剧了世界范围内的矛盾、摩擦和斗争。这对世界经济的发展同样造成了不利的影响。</w:t>
      </w:r>
    </w:p>
    <w:p w14:paraId="2375163A">
      <w:pPr>
        <w:spacing w:line="400" w:lineRule="exact"/>
        <w:ind w:firstLine="440" w:firstLineChars="200"/>
        <w:rPr>
          <w:rFonts w:ascii="宋体" w:hAnsi="宋体" w:eastAsia="宋体"/>
        </w:rPr>
      </w:pPr>
      <w:r>
        <w:rPr>
          <w:rFonts w:hint="eastAsia" w:ascii="宋体" w:hAnsi="宋体" w:eastAsia="宋体"/>
        </w:rPr>
        <w:t>需要指出的是，经济全球化的利弊有三种可能性：利大于弊、弊大于利和</w:t>
      </w:r>
      <w:r>
        <w:rPr>
          <w:rFonts w:ascii="宋体" w:hAnsi="宋体" w:eastAsia="宋体"/>
        </w:rPr>
        <w:t>利弊相当。对特定的主体来说，重要的问题是要弄清楚对谁利大于弊，对谁弊大于利。对少数发达国家来说，肯定是利大于弊；而对发展中国家来说，利弊具有不确定性；关键取决于原有综合经济实力和现行开放和发展对策。前几年，中国与非洲40个国家联合签署的"中非论坛公报”也提到，对于发展中国家来说，风险大于机遇。</w:t>
      </w:r>
    </w:p>
    <w:p w14:paraId="7A2375EF">
      <w:pPr>
        <w:spacing w:line="400" w:lineRule="exact"/>
        <w:ind w:firstLine="440" w:firstLineChars="200"/>
        <w:rPr>
          <w:rFonts w:ascii="宋体" w:hAnsi="宋体" w:eastAsia="宋体"/>
        </w:rPr>
      </w:pPr>
      <w:r>
        <w:rPr>
          <w:rFonts w:hint="eastAsia" w:ascii="宋体" w:hAnsi="宋体" w:eastAsia="宋体"/>
        </w:rPr>
        <w:t>德国《新德意志报》</w:t>
      </w:r>
      <w:r>
        <w:rPr>
          <w:rFonts w:ascii="宋体" w:hAnsi="宋体" w:eastAsia="宋体"/>
        </w:rPr>
        <w:t>2000年7月22日发表《全球化、美国谋求霸权和基辛格的担心》一文，引用了美国前国务卿基辛格说的话：全球化对美国是好事，对其他国家是坏事，因为它加深了贫富之间的鸿沟。德国总理施罗德发起的有美国、德国、加拿大、法国、意大利等14国政府首脑参加的2000年6月3日柏林国际会议通过的《21世纪现代国家管理柏林公报》承认：不能听任全球化任意发展，因为全球化没有给所有人，尤其是发展中国家带来利益。联合国2000年《人类发展报告》也承认：迄今为止的全球化是不平衡的，它加深了穷国和富国、穷</w:t>
      </w:r>
      <w:r>
        <w:rPr>
          <w:rFonts w:hint="eastAsia" w:ascii="宋体" w:hAnsi="宋体" w:eastAsia="宋体"/>
        </w:rPr>
        <w:t>人和富人的鸿沟。美国总统经济顾问罗伯特•吉尔平也指出：“</w:t>
      </w:r>
      <w:r>
        <w:rPr>
          <w:rFonts w:ascii="宋体" w:hAnsi="宋体" w:eastAsia="宋体"/>
        </w:rPr>
        <w:t>在历史上，所有的国际体系都是有等级的，既有处于主导地位的国家，也有居于服从地位的国家。过去从来没有，将来也不会有平等民主的国际体系，</w:t>
      </w:r>
      <w:r>
        <w:rPr>
          <w:rFonts w:ascii="宋体" w:hAnsi="宋体" w:eastAsia="宋体"/>
        </w:rPr>
        <w:tab/>
      </w:r>
      <w:r>
        <w:rPr>
          <w:rFonts w:ascii="宋体" w:hAnsi="宋体" w:eastAsia="宋体"/>
        </w:rPr>
        <w:t>强国决不会让产业以及权力分配这种至关重要的事情听任各种市场力量的摆布。</w:t>
      </w:r>
      <w:r>
        <w:rPr>
          <w:rFonts w:hint="eastAsia" w:ascii="宋体" w:hAnsi="宋体" w:eastAsia="宋体"/>
        </w:rPr>
        <w:t>”</w:t>
      </w:r>
    </w:p>
    <w:p w14:paraId="455E16CD">
      <w:pPr>
        <w:pStyle w:val="21"/>
        <w:spacing w:line="400" w:lineRule="exact"/>
        <w:ind w:firstLine="0"/>
        <w:jc w:val="center"/>
        <w:rPr>
          <w:b/>
          <w:bCs/>
          <w:sz w:val="24"/>
          <w:szCs w:val="24"/>
        </w:rPr>
      </w:pPr>
      <w:r>
        <w:rPr>
          <w:rFonts w:hint="eastAsia"/>
          <w:b/>
          <w:bCs/>
          <w:sz w:val="24"/>
          <w:szCs w:val="24"/>
        </w:rPr>
        <w:t>三、世界反全球化运动</w:t>
      </w:r>
    </w:p>
    <w:p w14:paraId="42A67867">
      <w:pPr>
        <w:spacing w:line="400" w:lineRule="exact"/>
        <w:ind w:firstLine="440" w:firstLineChars="200"/>
        <w:rPr>
          <w:rFonts w:ascii="宋体" w:hAnsi="宋体" w:eastAsia="宋体"/>
        </w:rPr>
      </w:pPr>
      <w:r>
        <w:rPr>
          <w:rFonts w:hint="eastAsia" w:ascii="宋体" w:hAnsi="宋体" w:eastAsia="宋体"/>
        </w:rPr>
        <w:t>经济全球化和反全球化，都是必须严肃认真地加以研庞的重大问题。</w:t>
      </w:r>
      <w:r>
        <w:rPr>
          <w:rFonts w:ascii="宋体" w:hAnsi="宋体" w:eastAsia="宋体"/>
        </w:rPr>
        <w:t>20世纪末21世纪初，在我们这个地球上，一方面是全球化舆论越来越高，另一方面是反全球化运动风起云涌。</w:t>
      </w:r>
    </w:p>
    <w:p w14:paraId="00641D0C">
      <w:pPr>
        <w:spacing w:line="400" w:lineRule="exact"/>
        <w:ind w:firstLine="440" w:firstLineChars="200"/>
        <w:rPr>
          <w:rFonts w:ascii="宋体" w:hAnsi="宋体" w:eastAsia="宋体"/>
        </w:rPr>
      </w:pPr>
      <w:r>
        <w:rPr>
          <w:rFonts w:ascii="宋体" w:hAnsi="宋体" w:eastAsia="宋体"/>
        </w:rPr>
        <w:t>1999年11月底12月初发生在美国的''西雅图风暴”，拉开了世界范围的反全球化运动的序幕。有4万人组成的全球化抗议者队伍与警察在整个西雅图发生全面冲突，警察逮捕了310人，另有多人受伤。反全球化运动与推进全球化的国际峰会在同一时间和同一地点举行，前者与后者进行针锋相对的斗争,这是反全球化斗争的第一种形式。</w:t>
      </w:r>
    </w:p>
    <w:p w14:paraId="7183DA4A">
      <w:pPr>
        <w:spacing w:line="400" w:lineRule="exact"/>
        <w:ind w:firstLine="440" w:firstLineChars="200"/>
        <w:rPr>
          <w:rFonts w:ascii="宋体" w:hAnsi="宋体" w:eastAsia="宋体"/>
        </w:rPr>
      </w:pPr>
      <w:r>
        <w:rPr>
          <w:rFonts w:hint="eastAsia" w:ascii="宋体" w:hAnsi="宋体" w:eastAsia="宋体"/>
        </w:rPr>
        <w:t>第二种形式是，反全球化运动与推进全球化的国际会议在同一时间，但在</w:t>
      </w:r>
      <w:r>
        <w:rPr>
          <w:rFonts w:ascii="宋体" w:hAnsi="宋体" w:eastAsia="宋体"/>
        </w:rPr>
        <w:t>不同地点举行。前者对后者进行远程对话和抗辩,但不会发生正面冲突，更不会出现暴力冲突。从2001年开始已举办了5届的世界社会论坛就是如此（顺便指出，我国既应派人参加世界经济论坛，也应派人出席世界社会论坛）。例如,2002年1月31日</w:t>
      </w:r>
      <w:r>
        <w:rPr>
          <w:rFonts w:hint="eastAsia" w:ascii="微软雅黑" w:hAnsi="微软雅黑" w:eastAsia="微软雅黑" w:cs="微软雅黑"/>
        </w:rPr>
        <w:t>〜</w:t>
      </w:r>
      <w:r>
        <w:rPr>
          <w:rFonts w:ascii="宋体" w:hAnsi="宋体" w:eastAsia="宋体"/>
        </w:rPr>
        <w:t>2月5日，在世界经济论坛于美国纽约召开的同时，反全球化的世界社会论坛在巴西召开。在美国那边的世界经济论坛有100多个国家参加，在巴西这边的世界社会论坛有150多个国家参加。世界社会论坛反对"由自由市场</w:t>
      </w:r>
      <w:r>
        <w:rPr>
          <w:rFonts w:hint="eastAsia" w:ascii="宋体" w:hAnsi="宋体" w:eastAsia="宋体"/>
        </w:rPr>
        <w:t>控制”的全球化，反对</w:t>
      </w:r>
      <w:r>
        <w:rPr>
          <w:rFonts w:ascii="宋体" w:hAnsi="宋体" w:eastAsia="宋体"/>
        </w:rPr>
        <w:t>'‘新自由主义的过分做法导致的灾难、不平等和不公正现象宣言主题是"为了抵制新自由主义、军国主义和战争埃菲社说参加世界社会论坛的人数高达6万人。又如,2005年、1月26日，在巴西阿雷格里港举行了一个近20万人参加的“期盼和平游行”，拉开了世界社会论坛第5届年会的序幕，来自120多个国家的7.8万名代表和6000名记者与会。在为期6天的会议中，有约5700个非政府组织进行了2000场左右的辩论和宣传活动。</w:t>
      </w:r>
    </w:p>
    <w:p w14:paraId="5326B923">
      <w:pPr>
        <w:spacing w:line="400" w:lineRule="exact"/>
        <w:ind w:firstLine="440" w:firstLineChars="200"/>
        <w:rPr>
          <w:rFonts w:ascii="宋体" w:hAnsi="宋体" w:eastAsia="宋体"/>
        </w:rPr>
      </w:pPr>
      <w:r>
        <w:rPr>
          <w:rFonts w:hint="eastAsia" w:ascii="宋体" w:hAnsi="宋体" w:eastAsia="宋体"/>
        </w:rPr>
        <w:t>世界上不少地方举办的全球化论坛，有的实际上是反全球化运动的第三</w:t>
      </w:r>
      <w:r>
        <w:rPr>
          <w:rFonts w:ascii="宋体" w:hAnsi="宋体" w:eastAsia="宋体"/>
        </w:rPr>
        <w:t>种形式。这种形式的反全球化国际运动，与推行全球化的国际会议不在同一时间和同一地点举行，而是一种独立行动。比如，哈瓦那全球化论坛已经举行了三届。又如，2002年11月6日至10日，欧洲社会论坛会议在佛罗伦萨举行。来自32个欧洲国家的约420个社会和民间团体的代表以及来自世界各地近4000个组织的代表共2万多人参加了会议。历时5天的会议举行了30次大会和160场研讨会，议题有“新自由主义与全球化”、'‘南方贫穷问题"、“公平贸易"、“</w:t>
      </w:r>
      <w:r>
        <w:rPr>
          <w:rFonts w:hint="eastAsia" w:ascii="宋体" w:hAnsi="宋体" w:eastAsia="宋体"/>
        </w:rPr>
        <w:t>战争与和平</w:t>
      </w:r>
      <w:r>
        <w:rPr>
          <w:rFonts w:ascii="宋体" w:hAnsi="宋体" w:eastAsia="宋体"/>
        </w:rPr>
        <w:t>"等。11月9日，在佛罗伦萨，来自欧洲各国的上100万人参加欧洲社会论坛发起的大规模反全球化、反战大游行，示威者的口号有:"反对资本主义全球化"、"坚决反对美国对伊战争"、“反对美国称霸世界"、"反对新种族主义"、"反对公共服务私有化"、"打倒跨国金融资本"、"不要转基因食品"、“保护森林，保护水源"、“反对野蛮掠夺地球"等。</w:t>
      </w:r>
    </w:p>
    <w:p w14:paraId="26D84728">
      <w:pPr>
        <w:spacing w:line="400" w:lineRule="exact"/>
        <w:ind w:firstLine="440" w:firstLineChars="200"/>
        <w:rPr>
          <w:rFonts w:ascii="宋体" w:hAnsi="宋体" w:eastAsia="宋体"/>
        </w:rPr>
      </w:pPr>
      <w:r>
        <w:rPr>
          <w:rFonts w:hint="eastAsia" w:ascii="宋体" w:hAnsi="宋体" w:eastAsia="宋体"/>
        </w:rPr>
        <w:t>依我所见</w:t>
      </w:r>
      <w:r>
        <w:rPr>
          <w:rFonts w:ascii="宋体" w:hAnsi="宋体" w:eastAsia="宋体"/>
        </w:rPr>
        <w:t>,反全球化运动至少有如下特点：它是一种有广泛社会基础的特殊的国际运动，具有一定的进步性，其锋芒一开始就直接指向以美国为首的主导全球化的七国集团，指向依照七国集团制定的规则推行全球化的国际经济组织，因而其主流并非反生产力和经济关系一般意义上的经济全球化，甚至可以说是"正经济全球化"，即反对和纠正“负经济全球化"或经济全球化的负效应，主张“拨乱反正"的经济全球化;其发展十分迅速和活跃，发生的频率很高，在1999年底西雅图拉开反全球化后的5年时间内，全球举行了近30次万人以上的大规模反全球化</w:t>
      </w:r>
      <w:r>
        <w:rPr>
          <w:rFonts w:hint="eastAsia" w:ascii="宋体" w:hAnsi="宋体" w:eastAsia="宋体"/>
        </w:rPr>
        <w:t>游行示威和聚会。</w:t>
      </w:r>
    </w:p>
    <w:p w14:paraId="02446703">
      <w:pPr>
        <w:spacing w:line="400" w:lineRule="exact"/>
        <w:ind w:firstLine="440" w:firstLineChars="200"/>
        <w:rPr>
          <w:rFonts w:ascii="宋体" w:hAnsi="宋体" w:eastAsia="宋体"/>
        </w:rPr>
      </w:pPr>
      <w:r>
        <w:rPr>
          <w:rFonts w:hint="eastAsia" w:ascii="宋体" w:hAnsi="宋体" w:eastAsia="宋体"/>
        </w:rPr>
        <w:t>那么，是什么人反对全球化？从西方媒体的报道中可以看出，参加反全球</w:t>
      </w:r>
      <w:r>
        <w:rPr>
          <w:rFonts w:ascii="宋体" w:hAnsi="宋体" w:eastAsia="宋体"/>
        </w:rPr>
        <w:t>化的队伍是由许多国家的多种非政府组织和多方面、多阶层人士组成的，有相当的广泛性。既有来自西方国家的非政府组织，又有来自发展中国家的非政府组织。有的是来自西方国家的社会活动家、学者、文化人士、环境保护，主义者、消费者利益保护者、宗教界领袖，有的是来自西方国家的工会领导人和劳工。既有全球化的直接受害者，更有全球化直接受害者的利益代表者。</w:t>
      </w:r>
    </w:p>
    <w:p w14:paraId="70E942C8">
      <w:pPr>
        <w:spacing w:line="400" w:lineRule="exact"/>
        <w:ind w:firstLine="440" w:firstLineChars="200"/>
        <w:rPr>
          <w:rFonts w:ascii="宋体" w:hAnsi="宋体" w:eastAsia="宋体"/>
        </w:rPr>
      </w:pPr>
      <w:r>
        <w:rPr>
          <w:rFonts w:hint="eastAsia" w:ascii="宋体" w:hAnsi="宋体" w:eastAsia="宋体"/>
        </w:rPr>
        <w:t>现在要进一步问：反全球化的原因是什么？从西方国家媒体的分析中可</w:t>
      </w:r>
      <w:r>
        <w:rPr>
          <w:rFonts w:ascii="宋体" w:hAnsi="宋体" w:eastAsia="宋体"/>
        </w:rPr>
        <w:t>以看到，反全球化的原因是多方面的。在经济学家吴易风教授和我看来，①其原因有以下几个方面：第一，认为全球化扩大了贫富差距，既扩大了富国和穷国、发达国家和发展中国家之间的贫富差距，加深了南北矛盾，也扩大了各个国家内部的贫富差距。第二，认为西方发达国家政府和跨国公司联手，利用贷款和债务进行不合理的国际分工，通过全球化推行包括金題建見和技术殖民的新殖民主义，给发展中国家带来灾难。第三，认为发达国家推行全球化会使本国工业空心化，会减少本国的就</w:t>
      </w:r>
      <w:r>
        <w:rPr>
          <w:rFonts w:hint="eastAsia" w:ascii="宋体" w:hAnsi="宋体" w:eastAsia="宋体"/>
        </w:rPr>
        <w:t>业机会。第四，认为全球化损害了发展中国</w:t>
      </w:r>
      <w:r>
        <w:rPr>
          <w:rFonts w:ascii="宋体" w:hAnsi="宋体" w:eastAsia="宋体"/>
        </w:rPr>
        <w:t>家的农业。第五，认为发达国家利用全球化向发展中国家转嫁环境危机，破坏发展中国家的生态平衡。第六，认为发达国家通过全球化侵犯发展中国家的主权，侵蚀发展中国家的文化和传统，威胁发展中国家的社会和经济稳定，损害发展中国家的独立。</w:t>
      </w:r>
    </w:p>
    <w:p w14:paraId="2D3DF976">
      <w:pPr>
        <w:spacing w:line="400" w:lineRule="exact"/>
        <w:ind w:firstLine="440" w:firstLineChars="200"/>
        <w:rPr>
          <w:rFonts w:ascii="宋体" w:hAnsi="宋体" w:eastAsia="宋体"/>
        </w:rPr>
      </w:pPr>
      <w:r>
        <w:rPr>
          <w:rFonts w:hint="eastAsia" w:ascii="宋体" w:hAnsi="宋体" w:eastAsia="宋体"/>
        </w:rPr>
        <w:t>反全球化运动参加者的复杂性，决定了反全球化运动目标和性质的复杂</w:t>
      </w:r>
      <w:r>
        <w:rPr>
          <w:rFonts w:ascii="宋体" w:hAnsi="宋体" w:eastAsia="宋体"/>
        </w:rPr>
        <w:t>性。从要求废除贫穷国家债务到保卫发展中国家的文化和传统，从维护民族独立国家的主权到反对新殖民主义和新帝国主义，从反对跨国公司接管世界到反对资本主义,从反对新自由主义到反对赌博资本主义或投机资本主义，从要求建立一个没有军队的世界到要求建立一个没有公司支配的工人的社会，运动色彩斑阙，目标夂杂多样,甚至鱼目混珠，指向有误。但就其主流来说，它仍不失为是一种具有广泛社会性和一定进步性的国际运动，与国际社会主义运动存在某种同盟联系。一些国家的左</w:t>
      </w:r>
      <w:r>
        <w:rPr>
          <w:rFonts w:hint="eastAsia" w:ascii="宋体" w:hAnsi="宋体" w:eastAsia="宋体"/>
        </w:rPr>
        <w:t>翼学者也起了重要的引导作用。</w:t>
      </w:r>
    </w:p>
    <w:p w14:paraId="52FEF751">
      <w:pPr>
        <w:pStyle w:val="21"/>
        <w:spacing w:line="400" w:lineRule="exact"/>
        <w:ind w:firstLine="0"/>
        <w:jc w:val="center"/>
        <w:rPr>
          <w:b/>
          <w:bCs/>
          <w:sz w:val="24"/>
          <w:szCs w:val="24"/>
        </w:rPr>
      </w:pPr>
      <w:r>
        <w:rPr>
          <w:rFonts w:hint="eastAsia"/>
          <w:b/>
          <w:bCs/>
          <w:sz w:val="24"/>
          <w:szCs w:val="24"/>
        </w:rPr>
        <w:t>四、经济全球化最终导向全球社会主义</w:t>
      </w:r>
    </w:p>
    <w:p w14:paraId="274DB491">
      <w:pPr>
        <w:spacing w:line="400" w:lineRule="exact"/>
        <w:ind w:firstLine="440" w:firstLineChars="200"/>
        <w:rPr>
          <w:rFonts w:ascii="宋体" w:hAnsi="宋体" w:eastAsia="宋体"/>
        </w:rPr>
      </w:pPr>
      <w:r>
        <w:rPr>
          <w:rFonts w:hint="eastAsia" w:ascii="宋体" w:hAnsi="宋体" w:eastAsia="宋体"/>
        </w:rPr>
        <w:t>从当今经济全球化的实践可以掲示出其根本矛盾，即一国内部的经济不断社会化与生产要素的私有制之间的矛盾，国际社会的经济不断全球化与生</w:t>
      </w:r>
      <w:r>
        <w:rPr>
          <w:rFonts w:ascii="宋体" w:hAnsi="宋体" w:eastAsia="宋体"/>
        </w:rPr>
        <w:t>产要素的私有制和公有制之间的矛盾，以及一国和全球经济的无政府或低秩序或弱调控状态，必然导致一国或全球经济的紊乱和衰退。这些根本矛盾的彻底解决，必然导致全球社会主义，尽管其路途艰难，波折颇多，时间漫长。这首先是由资本主义市场经济的制度及其运行规律所决定的，同时也与政治和文化制度密切相关。换句话说，走向公正和有序的经济全球化,客观上要求的是全球社会主义而非全球资本主义，否则，各种危机、混乱、暴力、犯罪与贫穷等难以较快治理，这是科学的</w:t>
      </w:r>
      <w:r>
        <w:rPr>
          <w:rFonts w:hint="eastAsia" w:ascii="宋体" w:hAnsi="宋体" w:eastAsia="宋体"/>
        </w:rPr>
        <w:t>观察结论。</w:t>
      </w:r>
    </w:p>
    <w:p w14:paraId="473C7E38">
      <w:pPr>
        <w:spacing w:line="400" w:lineRule="exact"/>
        <w:ind w:firstLine="440" w:firstLineChars="200"/>
        <w:rPr>
          <w:rFonts w:ascii="宋体" w:hAnsi="宋体" w:eastAsia="宋体"/>
        </w:rPr>
      </w:pPr>
      <w:r>
        <w:rPr>
          <w:rFonts w:hint="eastAsia" w:ascii="宋体" w:hAnsi="宋体" w:eastAsia="宋体"/>
        </w:rPr>
        <w:t>疑问之一：新自由主义经济思潮能阻止这一历史必然趋势吗？答案是否</w:t>
      </w:r>
      <w:r>
        <w:rPr>
          <w:rFonts w:ascii="宋体" w:hAnsi="宋体" w:eastAsia="宋体"/>
        </w:rPr>
        <w:t>定的。因为它的基本内涵与特点是逆历史大时代和大潮流而动的，是在凯恩斯主义基础上“倒退”、"回归"（回归斯密）的现代自由主义，在国际上又称之为新保守主义经济思潮。</w:t>
      </w:r>
    </w:p>
    <w:p w14:paraId="05000C9B">
      <w:pPr>
        <w:spacing w:line="400" w:lineRule="exact"/>
        <w:ind w:firstLine="440" w:firstLineChars="200"/>
        <w:rPr>
          <w:rFonts w:ascii="宋体" w:hAnsi="宋体" w:eastAsia="宋体"/>
        </w:rPr>
      </w:pPr>
      <w:r>
        <w:rPr>
          <w:rFonts w:hint="eastAsia" w:ascii="宋体" w:hAnsi="宋体" w:eastAsia="宋体"/>
        </w:rPr>
        <w:t>这种思潮，一是主张非调控化：推崇市场原教旨主义，反对国家干预。尽</w:t>
      </w:r>
      <w:r>
        <w:rPr>
          <w:rFonts w:ascii="宋体" w:hAnsi="宋体" w:eastAsia="宋体"/>
        </w:rPr>
        <w:t>管新自由主义经济学家不可能完全拒绝利用国家干预来稳定现代市场经济运行，但推崇“市场万能"的市场机制作用，强调国家对经济运行和经济活动的调控与干预越少越好，一切顺从自由市场的利润最大化原则，这是新自由主义理论的核心内容。二是主张私有化：宣扬"私有产权神话"的永恒作用，反对公有制。新自由主义是私有化的狂热拥护者，认为私有制经济具有自身内在的稳定性，在市场这只“看不见的手'‘的调节下，私有经济能够自动地实现经济的均衡，使经济稳定在可接受</w:t>
      </w:r>
      <w:r>
        <w:rPr>
          <w:rFonts w:hint="eastAsia" w:ascii="宋体" w:hAnsi="宋体" w:eastAsia="宋体"/>
        </w:rPr>
        <w:t>的失业水平上</w:t>
      </w:r>
      <w:r>
        <w:rPr>
          <w:rFonts w:ascii="宋体" w:hAnsi="宋体" w:eastAsia="宋体"/>
        </w:rPr>
        <w:t>;认为私有制经济的最大好处在于它保证了个人的自由，私有制不仅是有产者个人自由的最重要保证，也是无产者个人号由的最重要保证;在鼓吹“私有产权神话"、“科斯谬误"（均为美国斯蒂格利茨用语）的同时，还极力反对公有制。三是主张全球自由化：维护美国主导下的自由经济，反对建立国际经济新秩序。新自由主义把市场原教旨主义推广到世界范围，从理论和政策上推行私人跨国公司支配下的全球自由贸易和自由金融，颂扬实行霸权主义和单边主义的美国通过控制国际经济组织来主导世界经济运行，不赞成许多国家要求重新建立或健</w:t>
      </w:r>
      <w:r>
        <w:rPr>
          <w:rFonts w:hint="eastAsia" w:ascii="宋体" w:hAnsi="宋体" w:eastAsia="宋体"/>
        </w:rPr>
        <w:t>全国际经济新秩序的合</w:t>
      </w:r>
      <w:r>
        <w:rPr>
          <w:rFonts w:ascii="宋体" w:hAnsi="宋体" w:eastAsia="宋体"/>
        </w:rPr>
        <w:t>理意见。四是主张福利个人化：强调保障的责任由国家向个人转移，反对福利国家。新自由主义认为，基于高税收政策的'‘福利国家"导致经济上的低效率，弱化了人们工作、储蓄和投资的动机;“充分就业"政策减少了私营部门的劳动力供应，使经济发展缺乏弹性；以养老、就业和医疗等为主要内容的全民福利，摧毁了个人自我照顾的能力，增加了个人依赖国家的惰性。</w:t>
      </w:r>
    </w:p>
    <w:p w14:paraId="2A80945A">
      <w:pPr>
        <w:spacing w:line="400" w:lineRule="exact"/>
        <w:rPr>
          <w:rFonts w:ascii="宋体" w:hAnsi="宋体" w:eastAsia="宋体"/>
        </w:rPr>
      </w:pPr>
      <w:r>
        <w:rPr>
          <w:rFonts w:hint="eastAsia" w:ascii="宋体" w:hAnsi="宋体" w:eastAsia="宋体"/>
        </w:rPr>
        <w:t>对发达国家和发展中国家实行双重标准的新自由主义类型经济全球化理</w:t>
      </w:r>
      <w:r>
        <w:rPr>
          <w:rFonts w:ascii="宋体" w:hAnsi="宋体" w:eastAsia="宋体"/>
        </w:rPr>
        <w:t>论和政策，其目标是建立以发达资本主义国家为主导的全球经济秩序和资本主义的全球扩张。其结果，一方面拓展了资本主义生存和发展的空间，在一定程度上使资本主义的基本矛盾有所缓和；另一方面又造成了世界资本主义体</w:t>
      </w:r>
      <w:r>
        <w:rPr>
          <w:rFonts w:hint="eastAsia" w:ascii="宋体" w:hAnsi="宋体" w:eastAsia="宋体"/>
        </w:rPr>
        <w:t>系新的矛盾和危机</w:t>
      </w:r>
      <w:r>
        <w:rPr>
          <w:rFonts w:ascii="宋体" w:hAnsi="宋体" w:eastAsia="宋体"/>
        </w:rPr>
        <w:t>,特别是加剧了发达国家内部以及发达国家和发展中国家之间的贫富两极分化，引发了国家层面的反.对新自由主义经济思潮的斗争。拉美和俄罗斯等国便是明证。</w:t>
      </w:r>
    </w:p>
    <w:p w14:paraId="6FF0EC51">
      <w:pPr>
        <w:spacing w:line="400" w:lineRule="exact"/>
        <w:ind w:firstLine="440" w:firstLineChars="200"/>
        <w:rPr>
          <w:rFonts w:ascii="宋体" w:hAnsi="宋体" w:eastAsia="宋体"/>
        </w:rPr>
      </w:pPr>
      <w:r>
        <w:rPr>
          <w:rFonts w:hint="eastAsia" w:ascii="宋体" w:hAnsi="宋体" w:eastAsia="宋体"/>
        </w:rPr>
        <w:t>疑问之二：美国等资本主义国家的经济发展能阻止这一历史必然趋势吗？</w:t>
      </w:r>
      <w:r>
        <w:rPr>
          <w:rFonts w:ascii="宋体" w:hAnsi="宋体" w:eastAsia="宋体"/>
        </w:rPr>
        <w:t>答案也是否定的。实证分析表明，20世纪90年代以来美国经济相对繁荣，不能単纯从一般意义上的新经济、信息化和全球化来诠释。全面地观察，主要有两类原因：一类出于高科技推动的生产力和经济全球化，以及经济关系、经济体制和经济政策的调整，这是一般因素。另一类是特殊原因，如原苏东地区的一些国家的削弱和经互会的解体等，使美国在资源、市场、技术、人员和军火等方面获利巨大;包括金融在内的经济霸权主义的特殊地位，使美国成为较为安全的贸易和投资场所，是</w:t>
      </w:r>
      <w:r>
        <w:rPr>
          <w:rFonts w:hint="eastAsia" w:ascii="宋体" w:hAnsi="宋体" w:eastAsia="宋体"/>
        </w:rPr>
        <w:t>贸易逆差最大和资本净流入最大的国家，并通过大量</w:t>
      </w:r>
      <w:r>
        <w:rPr>
          <w:rFonts w:ascii="宋体" w:hAnsi="宋体" w:eastAsia="宋体"/>
        </w:rPr>
        <w:t>发行美元、各种对冲基金、控制国际经济组织，来主导制定和推行较有利于美国的国际经济秩序和规则及某些保护主义措施,合法与非法地占有了别国的财富,客观上也推动了本国的经济增长。这就是说，美国在实行新自由主义的经济政策后，似乎经济有了相当发展,但只要对美国的统计数字稍加分析，就不难看出这只不过是表面的繁荣，实际上还埋下了股市泡沫、私人部门债务膨胀、财政赤字不断扩大等隐患。即使在高科技、高利军火和经济霸权时代，美国经济的发展速度也并不快，而且发生过经济衰退。</w:t>
      </w:r>
    </w:p>
    <w:p w14:paraId="473A42A8">
      <w:pPr>
        <w:spacing w:line="400" w:lineRule="exact"/>
        <w:ind w:firstLine="440" w:firstLineChars="200"/>
        <w:rPr>
          <w:rFonts w:ascii="宋体" w:hAnsi="宋体" w:eastAsia="宋体"/>
        </w:rPr>
      </w:pPr>
      <w:r>
        <w:rPr>
          <w:rFonts w:hint="eastAsia" w:ascii="宋体" w:hAnsi="宋体" w:eastAsia="宋体"/>
        </w:rPr>
        <w:t>我们综观近</w:t>
      </w:r>
      <w:r>
        <w:rPr>
          <w:rFonts w:ascii="宋体" w:hAnsi="宋体" w:eastAsia="宋体"/>
        </w:rPr>
        <w:t>10年左右的新自由主义主导下的经济全球化实践，可以清晰地看到：原苏东地区的一些国家的经济是倒退的十年，拉美是失去的十年，日本是爬行的十年，美欧是缓升的十年。被联合国认定的49个最不发达的国家（亦称第四世界），也没有通过私有化等新自由主义及其经济全球化途径富强起来，有的反而更加贫穷。全球经济迫切需要在反思和超越经济全球化的新自由主义主导阶段而健康地发展，并曲折地最终走向经济全球化的社会主义主导阶段。从科学的视角观察，从一定的意义上，不仅中国、越南、古巴、老挝和朝鲜的多模式社会主义发展，</w:t>
      </w:r>
      <w:r>
        <w:rPr>
          <w:rFonts w:hint="eastAsia" w:ascii="宋体" w:hAnsi="宋体" w:eastAsia="宋体"/>
        </w:rPr>
        <w:t>而且超国家的欧盟及其欧元（蒙代尔还曾预测</w:t>
      </w:r>
      <w:r>
        <w:rPr>
          <w:rFonts w:ascii="宋体" w:hAnsi="宋体" w:eastAsia="宋体"/>
        </w:rPr>
        <w:t>实现世界货币的步骤），甚至统一度不断上升的东盟和非盟等多样化的资本主义发展，以及联合国和国际经济组织的积极作用日趋扩大等，均是在自觉或不自觉地克服或缓和现阶段经济全球化的某些根本矛盾，朝着社会主义经济全球化的大方向蠕动。我们对未来充满信心！</w:t>
      </w:r>
    </w:p>
    <w:p w14:paraId="64AD1A96">
      <w:pPr>
        <w:spacing w:line="400" w:lineRule="exact"/>
        <w:rPr>
          <w:rFonts w:ascii="宋体" w:hAnsi="宋体" w:eastAsia="宋体"/>
        </w:rPr>
      </w:pPr>
    </w:p>
    <w:p w14:paraId="2F379D71">
      <w:pPr>
        <w:spacing w:line="400" w:lineRule="exact"/>
        <w:rPr>
          <w:rFonts w:ascii="宋体" w:hAnsi="宋体" w:eastAsia="宋体"/>
        </w:rPr>
      </w:pPr>
      <w:r>
        <w:rPr>
          <w:rFonts w:hint="eastAsia" w:ascii="宋体" w:hAnsi="宋体" w:eastAsia="宋体"/>
        </w:rPr>
        <w:t>参考文献</w:t>
      </w:r>
    </w:p>
    <w:p w14:paraId="2E3CB3E5">
      <w:pPr>
        <w:spacing w:line="400" w:lineRule="exact"/>
        <w:rPr>
          <w:rFonts w:ascii="宋体" w:hAnsi="宋体" w:eastAsia="宋体"/>
        </w:rPr>
      </w:pPr>
      <w:r>
        <w:rPr>
          <w:rFonts w:ascii="宋体" w:hAnsi="宋体" w:eastAsia="宋体"/>
        </w:rPr>
        <w:t>[1]</w:t>
      </w:r>
      <w:r>
        <w:rPr>
          <w:rFonts w:ascii="宋体" w:hAnsi="宋体" w:eastAsia="宋体"/>
        </w:rPr>
        <w:tab/>
      </w:r>
      <w:r>
        <w:rPr>
          <w:rFonts w:hint="eastAsia" w:ascii="宋体" w:hAnsi="宋体" w:eastAsia="宋体"/>
        </w:rPr>
        <w:t>程恩富</w:t>
      </w:r>
      <w:r>
        <w:rPr>
          <w:rFonts w:ascii="宋体" w:hAnsi="宋体" w:eastAsia="宋体"/>
        </w:rPr>
        <w:t>.经济全球化与中国之对策［M］.上海：上海科学技术文献出版社,2000.</w:t>
      </w:r>
    </w:p>
    <w:p w14:paraId="3204A0AC">
      <w:pPr>
        <w:spacing w:line="400" w:lineRule="exact"/>
        <w:rPr>
          <w:rFonts w:ascii="宋体" w:hAnsi="宋体" w:eastAsia="宋体"/>
        </w:rPr>
      </w:pPr>
      <w:r>
        <w:rPr>
          <w:rFonts w:ascii="宋体" w:hAnsi="宋体" w:eastAsia="宋体"/>
        </w:rPr>
        <w:t>[2]</w:t>
      </w:r>
      <w:r>
        <w:rPr>
          <w:rFonts w:ascii="宋体" w:hAnsi="宋体" w:eastAsia="宋体"/>
        </w:rPr>
        <w:tab/>
      </w:r>
      <w:r>
        <w:rPr>
          <w:rFonts w:ascii="宋体" w:hAnsi="宋体" w:eastAsia="宋体"/>
        </w:rPr>
        <w:t>周華光.谁来捍卫国际经济安全［M］.安徽：安徽大学出版社,2005.</w:t>
      </w:r>
    </w:p>
    <w:p w14:paraId="12A8B6DE">
      <w:pPr>
        <w:spacing w:line="400" w:lineRule="exact"/>
        <w:rPr>
          <w:rFonts w:ascii="宋体" w:hAnsi="宋体" w:eastAsia="宋体"/>
        </w:rPr>
      </w:pPr>
      <w:r>
        <w:rPr>
          <w:rFonts w:ascii="宋体" w:hAnsi="宋体" w:eastAsia="宋体"/>
        </w:rPr>
        <w:t>[3]</w:t>
      </w:r>
      <w:r>
        <w:rPr>
          <w:rFonts w:ascii="宋体" w:hAnsi="宋体" w:eastAsia="宋体"/>
        </w:rPr>
        <w:tab/>
      </w:r>
      <w:r>
        <w:rPr>
          <w:rFonts w:ascii="宋体" w:hAnsi="宋体" w:eastAsia="宋体"/>
        </w:rPr>
        <w:t>罗伯特.吉尔平.全球资本主义的挑战[M].杨宇光等译，上海:上海人民出版社,2001.</w:t>
      </w:r>
    </w:p>
    <w:p w14:paraId="68FC992F">
      <w:pPr>
        <w:spacing w:line="400" w:lineRule="exact"/>
        <w:rPr>
          <w:rFonts w:ascii="宋体" w:hAnsi="宋体" w:eastAsia="宋体"/>
        </w:rPr>
      </w:pPr>
      <w:r>
        <w:rPr>
          <w:rFonts w:ascii="宋体" w:hAnsi="宋体" w:eastAsia="宋体"/>
        </w:rPr>
        <w:t>[4]</w:t>
      </w:r>
      <w:r>
        <w:rPr>
          <w:rFonts w:ascii="宋体" w:hAnsi="宋体" w:eastAsia="宋体"/>
        </w:rPr>
        <w:tab/>
      </w:r>
      <w:r>
        <w:rPr>
          <w:rFonts w:ascii="宋体" w:hAnsi="宋体" w:eastAsia="宋体"/>
        </w:rPr>
        <w:t>吴树青华盛顿共识"到“北京共识"的几点思考[J].思想理论教育导刊,2004(11).</w:t>
      </w:r>
    </w:p>
    <w:p w14:paraId="5F1D5B42">
      <w:pPr>
        <w:spacing w:line="400" w:lineRule="exact"/>
        <w:rPr>
          <w:rFonts w:ascii="宋体" w:hAnsi="宋体" w:eastAsia="宋体"/>
        </w:rPr>
      </w:pPr>
      <w:r>
        <w:rPr>
          <w:rFonts w:ascii="宋体" w:hAnsi="宋体" w:eastAsia="宋体"/>
        </w:rPr>
        <w:t>[5]</w:t>
      </w:r>
      <w:r>
        <w:rPr>
          <w:rFonts w:ascii="宋体" w:hAnsi="宋体" w:eastAsia="宋体"/>
        </w:rPr>
        <w:tab/>
      </w:r>
      <w:r>
        <w:rPr>
          <w:rFonts w:ascii="宋体" w:hAnsi="宋体" w:eastAsia="宋体"/>
        </w:rPr>
        <w:t>程恩富.当代中国经济理论探索[M].上海:上海财经大学出版社,2000.</w:t>
      </w:r>
    </w:p>
    <w:p w14:paraId="5ACA82F9">
      <w:pPr>
        <w:spacing w:line="400" w:lineRule="exact"/>
        <w:rPr>
          <w:rFonts w:ascii="宋体" w:hAnsi="宋体" w:eastAsia="宋体"/>
        </w:rPr>
      </w:pPr>
      <w:r>
        <w:rPr>
          <w:rFonts w:ascii="宋体" w:hAnsi="宋体" w:eastAsia="宋体"/>
        </w:rPr>
        <w:t>[6]</w:t>
      </w:r>
      <w:r>
        <w:rPr>
          <w:rFonts w:ascii="宋体" w:hAnsi="宋体" w:eastAsia="宋体"/>
        </w:rPr>
        <w:tab/>
      </w:r>
      <w:r>
        <w:rPr>
          <w:rFonts w:ascii="宋体" w:hAnsi="宋体" w:eastAsia="宋体"/>
        </w:rPr>
        <w:t>张薫华.经济规律的探索[M].上海:复旦大学出版社,2000.</w:t>
      </w:r>
    </w:p>
    <w:p w14:paraId="01B6F906">
      <w:pPr>
        <w:spacing w:line="400" w:lineRule="exact"/>
        <w:rPr>
          <w:rFonts w:ascii="宋体" w:hAnsi="宋体" w:eastAsia="宋体"/>
        </w:rPr>
      </w:pPr>
      <w:r>
        <w:rPr>
          <w:rFonts w:ascii="宋体" w:hAnsi="宋体" w:eastAsia="宋体"/>
        </w:rPr>
        <w:t>[7]</w:t>
      </w:r>
      <w:r>
        <w:rPr>
          <w:rFonts w:ascii="宋体" w:hAnsi="宋体" w:eastAsia="宋体"/>
        </w:rPr>
        <w:tab/>
      </w:r>
      <w:r>
        <w:rPr>
          <w:rFonts w:ascii="宋体" w:hAnsi="宋体" w:eastAsia="宋体"/>
        </w:rPr>
        <w:t>丁冰.新自由主义与经济全球化[A].丁冰学术文选[C].北京：首都经济贸易大学出版社,2004.</w:t>
      </w:r>
    </w:p>
    <w:p w14:paraId="2EB1FFF9">
      <w:pPr>
        <w:spacing w:line="400" w:lineRule="exact"/>
        <w:rPr>
          <w:rFonts w:ascii="宋体" w:hAnsi="宋体" w:eastAsia="宋体"/>
        </w:rPr>
      </w:pPr>
      <w:r>
        <w:rPr>
          <w:rFonts w:hint="eastAsia" w:ascii="宋体" w:hAnsi="宋体" w:eastAsia="宋体"/>
        </w:rPr>
        <w:t>（原载《</w:t>
      </w:r>
      <w:r>
        <w:rPr>
          <w:rFonts w:hint="eastAsia" w:ascii="宋体" w:hAnsi="宋体" w:eastAsia="宋体" w:cs="宋体"/>
          <w:lang w:bidi="ar"/>
        </w:rPr>
        <w:t>海派经济学</w:t>
      </w:r>
      <w:r>
        <w:rPr>
          <w:rFonts w:hint="eastAsia" w:ascii="宋体" w:hAnsi="宋体" w:eastAsia="宋体"/>
        </w:rPr>
        <w:t>》2</w:t>
      </w:r>
      <w:r>
        <w:rPr>
          <w:rFonts w:ascii="宋体" w:hAnsi="宋体" w:eastAsia="宋体"/>
        </w:rPr>
        <w:t>007</w:t>
      </w:r>
      <w:r>
        <w:rPr>
          <w:rFonts w:hint="eastAsia" w:ascii="宋体" w:hAnsi="宋体" w:eastAsia="宋体"/>
        </w:rPr>
        <w:t>年第4期。）</w:t>
      </w:r>
    </w:p>
    <w:p w14:paraId="409551A0">
      <w:pPr>
        <w:spacing w:line="400" w:lineRule="exact"/>
        <w:rPr>
          <w:rFonts w:ascii="宋体" w:hAnsi="宋体" w:eastAsia="宋体"/>
        </w:rPr>
      </w:pPr>
    </w:p>
    <w:p w14:paraId="6303C00D">
      <w:pPr>
        <w:pStyle w:val="3"/>
        <w:spacing w:before="0" w:after="0" w:line="400" w:lineRule="exact"/>
        <w:jc w:val="center"/>
        <w:rPr>
          <w:rFonts w:hint="default" w:ascii="黑体" w:hAnsi="黑体" w:eastAsia="黑体"/>
          <w:b w:val="0"/>
          <w:bCs w:val="0"/>
        </w:rPr>
      </w:pPr>
      <w:bookmarkStart w:id="707" w:name="_Toc111193676"/>
      <w:bookmarkStart w:id="708" w:name="_Toc17004"/>
      <w:bookmarkStart w:id="709" w:name="_Toc26843503"/>
      <w:bookmarkStart w:id="710" w:name="_Toc22315535"/>
      <w:r>
        <w:rPr>
          <w:rFonts w:ascii="黑体" w:hAnsi="黑体" w:eastAsia="黑体"/>
          <w:b w:val="0"/>
          <w:bCs w:val="0"/>
        </w:rPr>
        <w:t>1</w:t>
      </w:r>
      <w:r>
        <w:rPr>
          <w:rFonts w:hint="default" w:ascii="黑体" w:hAnsi="黑体" w:eastAsia="黑体"/>
          <w:b w:val="0"/>
          <w:bCs w:val="0"/>
        </w:rPr>
        <w:t>5</w:t>
      </w:r>
      <w:r>
        <w:rPr>
          <w:rFonts w:ascii="黑体" w:hAnsi="黑体" w:eastAsia="黑体"/>
          <w:b w:val="0"/>
          <w:bCs w:val="0"/>
        </w:rPr>
        <w:t>用西柏坡精神落实十七大的战略部署</w:t>
      </w:r>
      <w:bookmarkEnd w:id="707"/>
      <w:bookmarkEnd w:id="708"/>
      <w:bookmarkEnd w:id="709"/>
      <w:bookmarkEnd w:id="710"/>
    </w:p>
    <w:p w14:paraId="1EF5EDD5">
      <w:pPr>
        <w:spacing w:line="400" w:lineRule="exact"/>
        <w:ind w:firstLine="440" w:firstLineChars="200"/>
        <w:rPr>
          <w:rFonts w:ascii="宋体" w:hAnsi="宋体" w:eastAsia="宋体"/>
        </w:rPr>
      </w:pPr>
      <w:r>
        <w:rPr>
          <w:rFonts w:hint="eastAsia" w:ascii="宋体" w:hAnsi="宋体" w:eastAsia="宋体"/>
        </w:rPr>
        <w:t>我们中国社会科学院马克思主义研究院的同志</w:t>
      </w:r>
      <w:r>
        <w:rPr>
          <w:rFonts w:ascii="宋体" w:hAnsi="宋体" w:eastAsia="宋体"/>
        </w:rPr>
        <w:t>，非常高兴地来到革命圣地西柏坡，与西柏坡纪念馆、河北师范大学等单位的同志们，在一起共同研讨发扬西柏坡精神，用西柏坡精神来宣传和落实刚刚召开的中国共产党第十七次代表大会提岀的新任务和制定的新部署。这是我们共同召开这次“追溯西柏坡历程，贯彻十七大精神”学术研讨会的目的。那么，我们为什么一定要用西柏坡精神来落实党的十七大的各项新要求和新任务呢？</w:t>
      </w:r>
    </w:p>
    <w:p w14:paraId="2540D997">
      <w:pPr>
        <w:spacing w:line="400" w:lineRule="exact"/>
        <w:ind w:firstLine="440" w:firstLineChars="200"/>
        <w:rPr>
          <w:rFonts w:ascii="宋体" w:hAnsi="宋体" w:eastAsia="宋体"/>
        </w:rPr>
      </w:pPr>
      <w:r>
        <w:rPr>
          <w:rFonts w:hint="eastAsia" w:ascii="宋体" w:hAnsi="宋体" w:eastAsia="宋体"/>
        </w:rPr>
        <w:t>在刚刚召开的中国共产党第十七次代表大会上</w:t>
      </w:r>
      <w:r>
        <w:rPr>
          <w:rFonts w:ascii="宋体" w:hAnsi="宋体" w:eastAsia="宋体"/>
        </w:rPr>
        <w:t>，胡锦涛总书记在《高举中国特色社会主义伟大旗帜，为夺取全面建设小康社会新胜利而奋斗》的报告里，明确地向全党全国人民提岀了实现全面建设小康社会奋斗目标的新要求。为了实现这一全面建设小康社会奋斗目标的五项具体的新要求，胡锦涛总书记十分具体地提出了促进国民经济又好又快发展的八个方面，确定了要坚定不移发展杜会主义民主政治的六项实际内容，确定了推动社会主义文化大发展大繁荣要做到的四项结果，特别是确定了要加快推进以改善民生为重点的社会建设所要开展的六个重要方面及其</w:t>
      </w:r>
      <w:r>
        <w:rPr>
          <w:rFonts w:hint="eastAsia" w:ascii="宋体" w:hAnsi="宋体" w:eastAsia="宋体"/>
        </w:rPr>
        <w:t>要达到的实际成果。可以说</w:t>
      </w:r>
      <w:r>
        <w:rPr>
          <w:rFonts w:ascii="宋体" w:hAnsi="宋体" w:eastAsia="宋体"/>
        </w:rPr>
        <w:t>，胡锦涛总书记振奋人心的报告，为我们党、国家和民族在经济建设、政治建设、文化建设、社会建设四个领域的发展作出了全面部署，为全党全国人民规划出了一幅建设我国社会主义和谐社会的具体而宏伟的蓝图。这是全党和全国人民，在实行改革开放近三十年后将要开辟的一个新的历史时期中所要实现具体任务和达到的具体目标。</w:t>
      </w:r>
    </w:p>
    <w:p w14:paraId="5DC84002">
      <w:pPr>
        <w:spacing w:line="400" w:lineRule="exact"/>
        <w:ind w:firstLine="440" w:firstLineChars="200"/>
        <w:rPr>
          <w:rFonts w:ascii="宋体" w:hAnsi="宋体" w:eastAsia="宋体"/>
        </w:rPr>
      </w:pPr>
      <w:r>
        <w:rPr>
          <w:rFonts w:hint="eastAsia" w:ascii="宋体" w:hAnsi="宋体" w:eastAsia="宋体"/>
        </w:rPr>
        <w:t>要实现党的十七大所制定的新部署和宏伟的蓝图、绝不是一件</w:t>
      </w:r>
      <w:r>
        <w:rPr>
          <w:rFonts w:ascii="宋体" w:hAnsi="宋体" w:eastAsia="宋体"/>
        </w:rPr>
        <w:t>轻而易举、不费力气的事情，因而胡锦涛总书记深刻地指出：“全党同</w:t>
      </w:r>
      <w:r>
        <w:rPr>
          <w:rFonts w:hint="eastAsia" w:ascii="微软雅黑" w:hAnsi="微软雅黑" w:eastAsia="微软雅黑" w:cs="微软雅黑"/>
        </w:rPr>
        <w:t>・</w:t>
      </w:r>
      <w:r>
        <w:rPr>
          <w:rFonts w:ascii="宋体" w:hAnsi="宋体" w:eastAsia="宋体"/>
        </w:rPr>
        <w:t>10</w:t>
      </w:r>
      <w:r>
        <w:rPr>
          <w:rFonts w:hint="eastAsia" w:ascii="微软雅黑" w:hAnsi="微软雅黑" w:eastAsia="微软雅黑" w:cs="微软雅黑"/>
        </w:rPr>
        <w:t>・</w:t>
      </w:r>
      <w:r>
        <w:rPr>
          <w:rFonts w:ascii="宋体" w:hAnsi="宋体" w:eastAsia="宋体"/>
        </w:rPr>
        <w:t>志必须清醒认识到，实现全面建设小康社会的目标还需要继续奋斗十几年，基本实现现代化还需要继续奋斗几十年，巩固和发展社会主义制度则需要几代人、十几代人甚至几十代人坚持不懈地努力奋斗。”对此，胡锦涛总书记向全党同志特别强调，为了实现这些目标就必须要从思想上、精神上长期坚持“四个一定”，即胡锦涛总书记在报告的结尾部分向全党提岀的要求:“我们一定要居安思危、增强忧患意识，始终保</w:t>
      </w:r>
      <w:r>
        <w:rPr>
          <w:rFonts w:hint="eastAsia" w:ascii="宋体" w:hAnsi="宋体" w:eastAsia="宋体"/>
        </w:rPr>
        <w:t>持对马克思主义、对中国特色社会主义、对实现中华民</w:t>
      </w:r>
      <w:r>
        <w:rPr>
          <w:rFonts w:ascii="宋体" w:hAnsi="宋体" w:eastAsia="宋体"/>
        </w:rPr>
        <w:t>族伟大复兴的坚定信念;一定要戒骄戒躁、艰苦奋斗，牢记社会主义初级阶段基本国情，为党和人民事业不懈努力；一定要刻苦学习、埋头苦干，不断创造经得起实践、人民、历史检验的业绩;一定要加强团结、顾全大局，自觉维护全党的团结统一，保持党同人民群众的血肉联系，巩固全国各族人民的大团结，加强海内外中华儿女的大团结，促进中国人民同世界各国人民的大团结。”无疑，全党只有切实做到了胡锦涛总书记提出的这“四个一定"，就能够“为战胜一切艰难险阻、推动党和人民事业取得新</w:t>
      </w:r>
      <w:r>
        <w:rPr>
          <w:rFonts w:hint="eastAsia" w:ascii="宋体" w:hAnsi="宋体" w:eastAsia="宋体"/>
        </w:rPr>
        <w:t>的更大胜利提供强大力量”，从而实现</w:t>
      </w:r>
      <w:r>
        <w:rPr>
          <w:rFonts w:ascii="宋体" w:hAnsi="宋体" w:eastAsia="宋体"/>
        </w:rPr>
        <w:t>党的十七大所制定的宏伟的蓝图和目标。</w:t>
      </w:r>
    </w:p>
    <w:p w14:paraId="73FCE5A0">
      <w:pPr>
        <w:spacing w:line="400" w:lineRule="exact"/>
        <w:ind w:firstLine="440" w:firstLineChars="200"/>
        <w:rPr>
          <w:rFonts w:ascii="宋体" w:hAnsi="宋体" w:eastAsia="宋体"/>
        </w:rPr>
      </w:pPr>
      <w:r>
        <w:rPr>
          <w:rFonts w:hint="eastAsia" w:ascii="宋体" w:hAnsi="宋体" w:eastAsia="宋体"/>
        </w:rPr>
        <w:t>可以说，正是胡锦涛总书记提出的这“四个一定”，非常鲜明地体</w:t>
      </w:r>
      <w:r>
        <w:rPr>
          <w:rFonts w:ascii="宋体" w:hAnsi="宋体" w:eastAsia="宋体"/>
        </w:rPr>
        <w:t>现岀了我们党的西柏坡精神这是我们党的宝贵的光荣传统。这表明了胡锦涛总书记的报告蕴涵着要求全党要用西柏坡精神、西柏坡光荣传统，来完成和实现十七大的一系列新部署和新要求。我们来到西柏坡，就是要深入地学习西柏坡精神和西柏坡的光荣传统，并进一步地研究西柏坡精神，更深入地挖掘西柏坡精神的精髓和它在建设中国特色社会主义事业中所具有的当代价值，从而宣传西柏坡精神，发扬西柏坡精神，用西柏坡精神来落实和完成党的十七大的新部署和新要求。</w:t>
      </w:r>
    </w:p>
    <w:p w14:paraId="62781F36">
      <w:pPr>
        <w:spacing w:line="400" w:lineRule="exact"/>
        <w:ind w:firstLine="440" w:firstLineChars="200"/>
        <w:rPr>
          <w:rFonts w:ascii="宋体" w:hAnsi="宋体" w:eastAsia="宋体"/>
        </w:rPr>
      </w:pPr>
      <w:r>
        <w:rPr>
          <w:rFonts w:hint="eastAsia" w:ascii="宋体" w:hAnsi="宋体" w:eastAsia="宋体"/>
        </w:rPr>
        <w:t>人们来到西柏坡，走进西柏坡纪念馆就看到这样一句十分撼动</w:t>
      </w:r>
      <w:r>
        <w:rPr>
          <w:rFonts w:ascii="宋体" w:hAnsi="宋体" w:eastAsia="宋体"/>
        </w:rPr>
        <w:t>人心、深入人心的话语:新中国从这里走来。这句看似十分平凡而普通的话，却深刻地表明了西柏坡与新中国的紧密关系，准确地点明了西柏坡革命圣地在中国革命和中国社会发展中的历史地位和历史作用。在1949年3月，一个新中国向全党全国人民走来的时候，我们党在西柏坡召开了七届二中全会，为全党迎接新中国、建设新中国，确定这样一个决定着并影响着今后中国建设和发展的基本方向和基本方针，即:“在革命胜利以后，……使中国稳步地由农业国转变为工业国，把中国建设成一个伟大的社会主义国家。”这句话是作为纲领性文件的七届二中全会决议的中心和灵魂。那么怎么实现党的七届二中全会决议所制定的在革命胜利以后把中国建设成一个伟大的社会主义</w:t>
      </w:r>
      <w:r>
        <w:rPr>
          <w:rFonts w:hint="eastAsia" w:ascii="宋体" w:hAnsi="宋体" w:eastAsia="宋体"/>
        </w:rPr>
        <w:t>国家这样一条基本路线和纲领呢？七届二中全会不但在新</w:t>
      </w:r>
      <w:r>
        <w:rPr>
          <w:rFonts w:ascii="宋体" w:hAnsi="宋体" w:eastAsia="宋体"/>
        </w:rPr>
        <w:t>中国的国体建设和政体建设上提出和确定一系列最基本的方针政策，而且为中国共产党在新中国社会主义革命和建设时期的思想建设和组织建设方面提出和确定了一系列最基本的方针政策。这些方针政策，从那时起，就在很大程度上影响着直到今天我国的社会主义革命和建设的一系列特色的形成和发展。在西柏坡作出的党的七届二中全会决议，是我国马克思主义发展史上一份具有里程碑意义的文件，由此不仅决定了西柏坡革命圣地的历史地位，特别是从那时产生了至今在鼓舞和鞭策全党和全国人民以谦</w:t>
      </w:r>
      <w:r>
        <w:rPr>
          <w:rFonts w:hint="eastAsia" w:ascii="宋体" w:hAnsi="宋体" w:eastAsia="宋体"/>
        </w:rPr>
        <w:t>虚谨慎、艰苦奋斗的作</w:t>
      </w:r>
      <w:r>
        <w:rPr>
          <w:rFonts w:ascii="宋体" w:hAnsi="宋体" w:eastAsia="宋体"/>
        </w:rPr>
        <w:t>风来建设社会主义的西柏坡精神。</w:t>
      </w:r>
    </w:p>
    <w:p w14:paraId="253DDC55">
      <w:pPr>
        <w:spacing w:line="400" w:lineRule="exact"/>
        <w:ind w:firstLine="440" w:firstLineChars="200"/>
        <w:rPr>
          <w:rFonts w:ascii="宋体" w:hAnsi="宋体" w:eastAsia="宋体"/>
        </w:rPr>
      </w:pPr>
      <w:r>
        <w:rPr>
          <w:rFonts w:hint="eastAsia" w:ascii="宋体" w:hAnsi="宋体" w:eastAsia="宋体"/>
        </w:rPr>
        <w:t>大家知道，毛泽东在西柏坡召开的党的七届二中全会的讲话中</w:t>
      </w:r>
      <w:r>
        <w:rPr>
          <w:rFonts w:ascii="宋体" w:hAnsi="宋体" w:eastAsia="宋体"/>
        </w:rPr>
        <w:t>有这样几段著名的话：</w:t>
      </w:r>
    </w:p>
    <w:p w14:paraId="367FF2A0">
      <w:pPr>
        <w:spacing w:line="400" w:lineRule="exact"/>
        <w:ind w:firstLine="440" w:firstLineChars="200"/>
        <w:rPr>
          <w:rFonts w:ascii="宋体" w:hAnsi="宋体" w:eastAsia="宋体"/>
        </w:rPr>
      </w:pPr>
      <w:r>
        <w:rPr>
          <w:rFonts w:hint="eastAsia" w:ascii="宋体" w:hAnsi="宋体" w:eastAsia="宋体"/>
        </w:rPr>
        <w:t>——“无产阶级领导的以工农联盟为基础的人民民主专政，要求</w:t>
      </w:r>
      <w:r>
        <w:rPr>
          <w:rFonts w:ascii="宋体" w:hAnsi="宋体" w:eastAsia="宋体"/>
        </w:rPr>
        <w:t>我们党去认真地团结全体工人阶级、全体农民阶级和广大的革命知识分子，这些是这个专政的领导力量和基础力量。……同时也要求我们党去团结尽可能多的能够同我们合作的城市小资产阶级和民族资产阶级的代表人物，它们的知识分子和政治派别，……必须反对右的迁就主义和'左'的关门主义或敷衍主义两种倾向，而采取完全正确的态度。”</w:t>
      </w:r>
    </w:p>
    <w:p w14:paraId="1C733F80">
      <w:pPr>
        <w:spacing w:line="400" w:lineRule="exact"/>
        <w:ind w:firstLine="440" w:firstLineChars="200"/>
        <w:rPr>
          <w:rFonts w:ascii="宋体" w:hAnsi="宋体" w:eastAsia="宋体"/>
        </w:rPr>
      </w:pPr>
      <w:r>
        <w:rPr>
          <w:rFonts w:hint="eastAsia" w:ascii="宋体" w:hAnsi="宋体" w:eastAsia="宋体"/>
        </w:rPr>
        <w:t>——“在拿枪的敌人被消灭以后，不拿枪的敌人依然存在，他们</w:t>
      </w:r>
      <w:r>
        <w:rPr>
          <w:rFonts w:ascii="宋体" w:hAnsi="宋体" w:eastAsia="宋体"/>
        </w:rPr>
        <w:t>必然地要和我们作拚死的斗争，我们决不可以轻视这些敌人。如果我们现在不是这样地提出问题和认识问题，我们就要犯极大的错误。”“可能有这样一些共产党人，他们是不曾被拿枪的敌人征服过的，他们在这些敌人面前不愧英雄的称号;但是经不起人们用糖衣裹着的炮弹的攻击，他们在糖弹面前要打败仗。我们必须预防这种情况。”</w:t>
      </w:r>
    </w:p>
    <w:p w14:paraId="57B677C1">
      <w:pPr>
        <w:spacing w:line="400" w:lineRule="exact"/>
        <w:ind w:firstLine="440" w:firstLineChars="200"/>
        <w:rPr>
          <w:rFonts w:ascii="宋体" w:hAnsi="宋体" w:eastAsia="宋体"/>
        </w:rPr>
      </w:pPr>
      <w:r>
        <w:rPr>
          <w:rFonts w:hint="eastAsia" w:ascii="宋体" w:hAnsi="宋体" w:eastAsia="宋体"/>
        </w:rPr>
        <w:t>——“夺取全国胜利，这只是万里长征走完了第一步。如果这一</w:t>
      </w:r>
      <w:r>
        <w:rPr>
          <w:rFonts w:ascii="宋体" w:hAnsi="宋体" w:eastAsia="宋体"/>
        </w:rPr>
        <w:t>步也值得骄傲，那是比较渺小的，更值得骄傲的还在后头。在过了几十年之后来看中国人民民主革命的胜利，就会使人们感觉那好像只是一出长剧的一个短小的序幕。剧是必须从序幕开始的，但序幕还不是高潮。中国的革命是伟大的，但革命以后的路程更长，工作更伟大，更艰苦。这一点现在就必须向党内讲明白，务必使同志们继续地保持谦虚、谨慎、不骄、不躁的作风，务必使同志们继续地保持艰苦奋斗的作风。……我们能够去掉不良作风，保持优良作风。我们能够学会我们原来不懂的东西。</w:t>
      </w:r>
      <w:r>
        <w:rPr>
          <w:rFonts w:hint="eastAsia" w:ascii="宋体" w:hAnsi="宋体" w:eastAsia="宋体"/>
        </w:rPr>
        <w:t>我们不但善于破坏一个旧世界，我们还</w:t>
      </w:r>
      <w:r>
        <w:rPr>
          <w:rFonts w:ascii="宋体" w:hAnsi="宋体" w:eastAsia="宋体"/>
        </w:rPr>
        <w:t>将善于建设一个新世界。”®</w:t>
      </w:r>
    </w:p>
    <w:p w14:paraId="4E6EDAA9">
      <w:pPr>
        <w:spacing w:line="400" w:lineRule="exact"/>
        <w:ind w:firstLine="440" w:firstLineChars="200"/>
        <w:rPr>
          <w:rFonts w:ascii="宋体" w:hAnsi="宋体" w:eastAsia="宋体"/>
        </w:rPr>
      </w:pPr>
      <w:r>
        <w:rPr>
          <w:rFonts w:hint="eastAsia" w:ascii="宋体" w:hAnsi="宋体" w:eastAsia="宋体"/>
        </w:rPr>
        <w:t>毛泽东的这些话，是对我们后来称之为西柏坡精神的比较全面</w:t>
      </w:r>
      <w:r>
        <w:rPr>
          <w:rFonts w:ascii="宋体" w:hAnsi="宋体" w:eastAsia="宋体"/>
        </w:rPr>
        <w:t>的概括和表述，是西柏坡革命精神的精髓。</w:t>
      </w:r>
    </w:p>
    <w:p w14:paraId="4993CC0C">
      <w:pPr>
        <w:spacing w:line="400" w:lineRule="exact"/>
        <w:ind w:firstLine="440" w:firstLineChars="200"/>
        <w:rPr>
          <w:rFonts w:ascii="宋体" w:hAnsi="宋体" w:eastAsia="宋体"/>
        </w:rPr>
      </w:pPr>
      <w:r>
        <w:rPr>
          <w:rFonts w:hint="eastAsia" w:ascii="宋体" w:hAnsi="宋体" w:eastAsia="宋体"/>
        </w:rPr>
        <w:t>而在刚刚召开的党的十七大上，胡锦涛总书记在报告里提岀了</w:t>
      </w:r>
      <w:r>
        <w:rPr>
          <w:rFonts w:ascii="宋体" w:hAnsi="宋体" w:eastAsia="宋体"/>
        </w:rPr>
        <w:t>“四个一定”，是在当前我国改革开放的新形势、新条件、新任务下，对七届二中全会产生的西柏坡精神的发扬光大，是对西柏坡革命精神的丰富和发展。</w:t>
      </w:r>
    </w:p>
    <w:p w14:paraId="3F24AF91">
      <w:pPr>
        <w:spacing w:line="400" w:lineRule="exact"/>
        <w:ind w:firstLine="440" w:firstLineChars="200"/>
        <w:rPr>
          <w:rFonts w:ascii="宋体" w:hAnsi="宋体" w:eastAsia="宋体"/>
        </w:rPr>
      </w:pPr>
      <w:r>
        <w:rPr>
          <w:rFonts w:hint="eastAsia" w:ascii="宋体" w:hAnsi="宋体" w:eastAsia="宋体"/>
        </w:rPr>
        <w:t>毛泽东在社会主义的新中国到来时告诫全党同志，“夺取全国胜</w:t>
      </w:r>
      <w:r>
        <w:rPr>
          <w:rFonts w:ascii="宋体" w:hAnsi="宋体" w:eastAsia="宋体"/>
        </w:rPr>
        <w:t>利，这只是万里长征走完了第一步”，“中国的革命是伟大的，但革命以后的路程更长，工作更伟大，更艰苦。这一点现在就必须向党内讲明白”;胡锦涛总书记根据改革开放的新形势、新条件、新任务进一步告诫全党同志，“必须清醒认识到，实现全面建设小康社会的目标还需要继续奋斗十几年，基本实现现代化还需要继续奋斗几十年，巩固</w:t>
      </w:r>
      <w:r>
        <w:rPr>
          <w:rFonts w:hint="eastAsia" w:ascii="宋体" w:hAnsi="宋体" w:eastAsia="宋体"/>
        </w:rPr>
        <w:t>和发展社会主义制度则需要几代人、十几代人甚至几十代人坚持不</w:t>
      </w:r>
      <w:r>
        <w:rPr>
          <w:rFonts w:ascii="宋体" w:hAnsi="宋体" w:eastAsia="宋体"/>
        </w:rPr>
        <w:t>懈地努力奋斗。”</w:t>
      </w:r>
    </w:p>
    <w:p w14:paraId="525DD39F">
      <w:pPr>
        <w:spacing w:line="400" w:lineRule="exact"/>
        <w:ind w:firstLine="440" w:firstLineChars="200"/>
        <w:rPr>
          <w:rFonts w:ascii="宋体" w:hAnsi="宋体" w:eastAsia="宋体"/>
        </w:rPr>
      </w:pPr>
      <w:r>
        <w:rPr>
          <w:rFonts w:hint="eastAsia" w:ascii="宋体" w:hAnsi="宋体" w:eastAsia="宋体"/>
        </w:rPr>
        <w:t>毛泽东要求全党同志在建设社会主义的新中国时必须进一步提</w:t>
      </w:r>
      <w:r>
        <w:rPr>
          <w:rFonts w:ascii="宋体" w:hAnsi="宋体" w:eastAsia="宋体"/>
        </w:rPr>
        <w:t>高革命的政治警惕性，高度注意“不拿枪的敌人依然存在”，不要“经不起人们用糖衣裹着的炮弹的攻击”;胡锦涛总书记要求全党同志在改革开放的新形势、新条件、新任务下，“一定要居安思危、增强忧患意识，始终保持对马克思主义、对中国特色社会主义、对实现中华民族伟大复兴的坚定信念。”</w:t>
      </w:r>
    </w:p>
    <w:p w14:paraId="1D4EC6AE">
      <w:pPr>
        <w:spacing w:line="400" w:lineRule="exact"/>
        <w:ind w:firstLine="440" w:firstLineChars="200"/>
        <w:rPr>
          <w:rFonts w:ascii="宋体" w:hAnsi="宋体" w:eastAsia="宋体"/>
        </w:rPr>
      </w:pPr>
      <w:r>
        <w:rPr>
          <w:rFonts w:hint="eastAsia" w:ascii="宋体" w:hAnsi="宋体" w:eastAsia="宋体"/>
        </w:rPr>
        <w:t>毛泽东要求全党同志在建设社会主义的新中国时，“务必使同志</w:t>
      </w:r>
      <w:r>
        <w:rPr>
          <w:rFonts w:ascii="宋体" w:hAnsi="宋体" w:eastAsia="宋体"/>
        </w:rPr>
        <w:t>们继续地保持谦虚、谨慎、不骄、不躁的作风，务必使同志们继续地保持艰苦奋斗的作风”;胡锦涛总书记要求全党同志在改革开放的新形势、新条件、新任务下，“一定要戒骄戒躁、艰苦奋斗，牢记社会主义初级阶段基本国情，为党和人民事业不懈努力。”</w:t>
      </w:r>
    </w:p>
    <w:p w14:paraId="48B9DDF4">
      <w:pPr>
        <w:spacing w:line="400" w:lineRule="exact"/>
        <w:ind w:firstLine="440" w:firstLineChars="200"/>
        <w:rPr>
          <w:rFonts w:ascii="宋体" w:hAnsi="宋体" w:eastAsia="宋体"/>
        </w:rPr>
      </w:pPr>
      <w:r>
        <w:rPr>
          <w:rFonts w:hint="eastAsia" w:ascii="宋体" w:hAnsi="宋体" w:eastAsia="宋体"/>
        </w:rPr>
        <w:t>毛泽东要求全党同志在建设社会主义的新中国时，要“学会我们</w:t>
      </w:r>
      <w:r>
        <w:rPr>
          <w:rFonts w:ascii="宋体" w:hAnsi="宋体" w:eastAsia="宋体"/>
        </w:rPr>
        <w:t>原来不懂的东西，我们不但善于破坏一个旧世界，我们还将善于建设一个新世界”;胡锦涛总书记要求全党同志在改革开放的新形势、新条件、新任务下，“一定要刻苦学习、埋头苦干，不断创造经得起实践、人民、历史检验的业绩。”</w:t>
      </w:r>
    </w:p>
    <w:p w14:paraId="57AC39B4">
      <w:pPr>
        <w:spacing w:line="400" w:lineRule="exact"/>
        <w:ind w:firstLine="440" w:firstLineChars="200"/>
        <w:rPr>
          <w:rFonts w:ascii="宋体" w:hAnsi="宋体" w:eastAsia="宋体"/>
        </w:rPr>
      </w:pPr>
      <w:r>
        <w:rPr>
          <w:rFonts w:hint="eastAsia" w:ascii="宋体" w:hAnsi="宋体" w:eastAsia="宋体"/>
        </w:rPr>
        <w:t>毛泽东要求全党同志在建设社会主义的新中国时，要“认真地团</w:t>
      </w:r>
      <w:r>
        <w:rPr>
          <w:rFonts w:ascii="宋体" w:hAnsi="宋体" w:eastAsia="宋体"/>
        </w:rPr>
        <w:t>结全体工人阶级、全体农民阶级和广大的革命知识分子”，“团结尽可能多的能够同我们合作的城市小资产阶级和民族资产阶级的代表人物，它们的知识分子和政治派别”，“必须反对右的迁就主义和'左'的关门主义或敷衍主义两种倾向，而采取完全正确的态度”;胡锦涛总书记要求全党同志在改革开放的新形势、新条件、新任务下，“一定要加强团结、顾全大局，自觉维护全党的团结统一，保持党同人民群众的血肉联系，巩固全国各族人民的大团结，加强海内外中华儿女的大团结，促进中国</w:t>
      </w:r>
      <w:r>
        <w:rPr>
          <w:rFonts w:hint="eastAsia" w:ascii="宋体" w:hAnsi="宋体" w:eastAsia="宋体"/>
        </w:rPr>
        <w:t>人民同世界各国人民的大团结。从</w:t>
      </w:r>
      <w:r>
        <w:rPr>
          <w:rFonts w:ascii="宋体" w:hAnsi="宋体" w:eastAsia="宋体"/>
        </w:rPr>
        <w:t>1949年党的七届二中全会产生的西柏坡精神，经过全党五十</w:t>
      </w:r>
      <w:r>
        <w:rPr>
          <w:rFonts w:hint="eastAsia" w:ascii="宋体" w:hAnsi="宋体" w:eastAsia="宋体"/>
        </w:rPr>
        <w:t>多年的继承和发展</w:t>
      </w:r>
      <w:r>
        <w:rPr>
          <w:rFonts w:ascii="宋体" w:hAnsi="宋体" w:eastAsia="宋体"/>
        </w:rPr>
        <w:t>，得到了不断的锤炼和丰富。西柏坡精神从历史走到今天，与建设中国特色社会主义的事业紧密结合起来。在它的精髓里又孕育出了当代价值的新内涵，具有了新的时代风范和时代精神。这种历史与现实的结合，使它的精髓进一步丰富和表现为推翻旧中国三座大山以后在新中国依然保持居安思危、拒腐防变、坚定信念的革命到底精神，以谦虚谨慎不骄不躁、艰苦奋斗的作风来开辟社会主义道路的建设精神，以刻苦学习、埋头苦干的劲头不断地在破坏旧世界中建设新世界的探索精神，保持党同人民群众的血肉联系、巩固全国各族人民和全世界</w:t>
      </w:r>
      <w:r>
        <w:rPr>
          <w:rFonts w:hint="eastAsia" w:ascii="宋体" w:hAnsi="宋体" w:eastAsia="宋体"/>
        </w:rPr>
        <w:t>人民的大团结大联合精神。</w:t>
      </w:r>
    </w:p>
    <w:p w14:paraId="1996B7B4">
      <w:pPr>
        <w:spacing w:line="400" w:lineRule="exact"/>
        <w:rPr>
          <w:rFonts w:ascii="宋体" w:hAnsi="宋体" w:eastAsia="宋体"/>
        </w:rPr>
      </w:pPr>
      <w:r>
        <w:rPr>
          <w:rFonts w:ascii="宋体" w:hAnsi="宋体" w:eastAsia="宋体"/>
        </w:rPr>
        <w:tab/>
      </w:r>
      <w:r>
        <w:rPr>
          <w:rFonts w:hint="eastAsia" w:ascii="宋体" w:hAnsi="宋体" w:eastAsia="宋体"/>
        </w:rPr>
        <w:t>改革开放以来，邓小平、江泽民、胡锦涛这三届中央领导人，都与</w:t>
      </w:r>
      <w:r>
        <w:rPr>
          <w:rFonts w:ascii="宋体" w:hAnsi="宋体" w:eastAsia="宋体"/>
        </w:rPr>
        <w:t>西柏坡革命圣地发生了十分密切的联系。</w:t>
      </w:r>
    </w:p>
    <w:p w14:paraId="7B792592">
      <w:pPr>
        <w:spacing w:line="400" w:lineRule="exact"/>
        <w:ind w:firstLine="440" w:firstLineChars="200"/>
        <w:rPr>
          <w:rFonts w:ascii="宋体" w:hAnsi="宋体" w:eastAsia="宋体"/>
        </w:rPr>
      </w:pPr>
      <w:r>
        <w:rPr>
          <w:rFonts w:ascii="宋体" w:hAnsi="宋体" w:eastAsia="宋体"/>
        </w:rPr>
        <w:t>1984年8月，邓小平同志非常高兴地应邀为西柏坡纪念馆题写了馆名，从而切实地反映西柏坡革命圣地的历史地位，极大地提升了西柏坡革命圣地在全国的社会地位，掀起和推动了全党和全国人民学习西柏坡革命精神的热潮，这对于加强党在改革开放新时期的思想建设和作风建设发挥了重大而积极的作用。</w:t>
      </w:r>
    </w:p>
    <w:p w14:paraId="349C2FD1">
      <w:pPr>
        <w:spacing w:line="400" w:lineRule="exact"/>
        <w:ind w:firstLine="440" w:firstLineChars="200"/>
        <w:rPr>
          <w:rFonts w:ascii="宋体" w:hAnsi="宋体" w:eastAsia="宋体"/>
        </w:rPr>
      </w:pPr>
      <w:r>
        <w:rPr>
          <w:rFonts w:ascii="宋体" w:hAnsi="宋体" w:eastAsia="宋体"/>
        </w:rPr>
        <w:t>1991年9月，江泽民同志考察西柏坡，作了“牢记两个务必，建设有中国特色的社会主义”的题词。江泽民的题词，明确地把西柏坡精神、西柏坡光荣传统与建设有中国特色的社会主义这一改革开放的主题紧密地联系起来，更深入地揭示了西柏坡精神的精髓，提升了西柏坡精神在建设中国特色社会主义的伟大实践中所具有的当代价值。江泽民给西柏坡的题词，为我们中国思想界理论界深入挖掘和研究西柏坡精神的当代意义和历史作用，为我们深入研究、大力宣传和坚持不懈地推广西柏坡精神，指出了一个科学的方向。我认为，这一点应当特别引起我国思</w:t>
      </w:r>
      <w:r>
        <w:rPr>
          <w:rFonts w:hint="eastAsia" w:ascii="宋体" w:hAnsi="宋体" w:eastAsia="宋体"/>
        </w:rPr>
        <w:t>想界理论界的同志们在研究、宣传和推广</w:t>
      </w:r>
      <w:r>
        <w:rPr>
          <w:rFonts w:ascii="宋体" w:hAnsi="宋体" w:eastAsia="宋体"/>
        </w:rPr>
        <w:t>中国特色的社会主义理论体系时给予高度的关注。</w:t>
      </w:r>
    </w:p>
    <w:p w14:paraId="53BE2A8F">
      <w:pPr>
        <w:spacing w:line="400" w:lineRule="exact"/>
        <w:ind w:firstLine="440" w:firstLineChars="200"/>
        <w:rPr>
          <w:rFonts w:ascii="宋体" w:hAnsi="宋体" w:eastAsia="宋体"/>
        </w:rPr>
      </w:pPr>
      <w:r>
        <w:rPr>
          <w:rFonts w:ascii="宋体" w:hAnsi="宋体" w:eastAsia="宋体"/>
        </w:rPr>
        <w:t>2002年12月，在党的十六大上新当选的胡锦涛总书记和中央书记处的同志来到西柏坡，进行了深入地学习和考察。他发出号召，要求全党同志重温毛泽东同志在党的七届二中全会上的讲话，牢记毛泽东同志当年倡导的“两个务必”，为实现党的十六大确定的目标和任务开拓进取、团结奋斗。胡锦涛考察西柏坡的行动和他提出的号召，也同样是把西柏坡革命精神、西柏坡光荣传统与建设中国特色社会主义联系了起来，因为建设中国特色的社会主义也是那时刚刚闭幕的党的十六大坚持的主题。</w:t>
      </w:r>
    </w:p>
    <w:p w14:paraId="38444D27">
      <w:pPr>
        <w:spacing w:line="400" w:lineRule="exact"/>
        <w:ind w:firstLine="440" w:firstLineChars="200"/>
        <w:rPr>
          <w:rFonts w:ascii="宋体" w:hAnsi="宋体" w:eastAsia="宋体"/>
        </w:rPr>
      </w:pPr>
      <w:r>
        <w:rPr>
          <w:rFonts w:hint="eastAsia" w:ascii="宋体" w:hAnsi="宋体" w:eastAsia="宋体"/>
        </w:rPr>
        <w:t>邓小平、江泽民、胡锦涛都高度重视西柏坡革命圣地的建设，大</w:t>
      </w:r>
      <w:r>
        <w:rPr>
          <w:rFonts w:ascii="宋体" w:hAnsi="宋体" w:eastAsia="宋体"/>
        </w:rPr>
        <w:t>力弘扬西柏坡光荣传统和西柏坡精神，指导和推动了全党和全国人民在改革开放的新形势下坚持不懈地学习和发扬西柏坡精神，把西柏坡精神变成了加强党的先进性建设和推动中国特色社会主义事业发展的强大动力。</w:t>
      </w:r>
    </w:p>
    <w:p w14:paraId="397B330B">
      <w:pPr>
        <w:spacing w:line="400" w:lineRule="exact"/>
        <w:ind w:firstLine="440" w:firstLineChars="200"/>
        <w:rPr>
          <w:rFonts w:ascii="宋体" w:hAnsi="宋体" w:eastAsia="宋体"/>
        </w:rPr>
      </w:pPr>
      <w:r>
        <w:rPr>
          <w:rFonts w:hint="eastAsia" w:ascii="宋体" w:hAnsi="宋体" w:eastAsia="宋体"/>
        </w:rPr>
        <w:t>在这次刚刚召开的中国共产党第十七次代表大会上，胡锦涛总</w:t>
      </w:r>
      <w:r>
        <w:rPr>
          <w:rFonts w:ascii="宋体" w:hAnsi="宋体" w:eastAsia="宋体"/>
        </w:rPr>
        <w:t>书记在他的报告里，最后向全党同志深情地表示:“同志们！我们党自诞生之日起就勇敢担当起带领中国人民创造幸福生活、实现中华民族伟大复兴的历史使命，为了完成这个历史使命，一代又一代中国共产党人前赴后继，无数革命先烈献出了宝贵生命。当代中国共产党人必须继续承担好这个历史使命。”“我们党正在带领全国各族人民进行的改革开放和社会主义现代化建设，是新中国成立以后我国社会主义建设伟大事业的继承和发展，是近代以来中国人民争取民族独立、实现国家富强伟大事业的</w:t>
      </w:r>
      <w:r>
        <w:rPr>
          <w:rFonts w:hint="eastAsia" w:ascii="宋体" w:hAnsi="宋体" w:eastAsia="宋体"/>
        </w:rPr>
        <w:t>继承和发展。抚今追昔，我们深感</w:t>
      </w:r>
      <w:r>
        <w:rPr>
          <w:rFonts w:ascii="宋体" w:hAnsi="宋体" w:eastAsia="宋体"/>
        </w:rPr>
        <w:t>肩负的使命神圣而光荣。”由此，他提出了完成伟大历史使命所必须坚持的“四个一定”，是再现和丰富了西柏坡精神，这就是以居安思危、坚定信念的革命到底精神，以戒骄戒躁、艰苦奋斗的创业建设精神，以刻苦学习、埋头苦干的求实探索精神和以保持党同人民群众血肉联系的团结合作精神为基本内涵的西柏坡革命精神和革命传统。</w:t>
      </w:r>
    </w:p>
    <w:p w14:paraId="5239B5D7">
      <w:pPr>
        <w:spacing w:line="400" w:lineRule="exact"/>
        <w:ind w:firstLine="440" w:firstLineChars="200"/>
        <w:rPr>
          <w:rFonts w:ascii="宋体" w:hAnsi="宋体" w:eastAsia="宋体"/>
        </w:rPr>
      </w:pPr>
      <w:r>
        <w:rPr>
          <w:rFonts w:hint="eastAsia" w:ascii="宋体" w:hAnsi="宋体" w:eastAsia="宋体"/>
        </w:rPr>
        <w:t>当前，我们就是要用西柏坡精神，深入学习和贯彻十七大报告</w:t>
      </w:r>
      <w:r>
        <w:rPr>
          <w:rFonts w:ascii="宋体" w:hAnsi="宋体" w:eastAsia="宋体"/>
        </w:rPr>
        <w:t>，响应胡锦涛总书记的号召，高举中国特色社会主义伟大旗帜，更加紧密地团结在党中央周围，万众一心，开拓奋进，为夺取全面建设小康</w:t>
      </w:r>
      <w:r>
        <w:rPr>
          <w:rFonts w:hint="eastAsia" w:ascii="宋体" w:hAnsi="宋体" w:eastAsia="宋体"/>
        </w:rPr>
        <w:t>社会新胜利、谱写人民美好生活新篇章而努力奋斗</w:t>
      </w:r>
      <w:r>
        <w:rPr>
          <w:rFonts w:ascii="宋体" w:hAnsi="宋体" w:eastAsia="宋体"/>
        </w:rPr>
        <w:t>!</w:t>
      </w:r>
    </w:p>
    <w:p w14:paraId="2D94ECA7">
      <w:pPr>
        <w:spacing w:line="400" w:lineRule="exact"/>
        <w:rPr>
          <w:rFonts w:ascii="宋体" w:hAnsi="宋体" w:eastAsia="宋体"/>
        </w:rPr>
      </w:pPr>
    </w:p>
    <w:p w14:paraId="44A56524">
      <w:pPr>
        <w:spacing w:line="400" w:lineRule="exact"/>
        <w:rPr>
          <w:rFonts w:ascii="宋体" w:hAnsi="宋体" w:eastAsia="宋体"/>
        </w:rPr>
      </w:pPr>
      <w:r>
        <w:rPr>
          <w:rFonts w:hint="eastAsia" w:ascii="宋体" w:hAnsi="宋体" w:eastAsia="宋体"/>
        </w:rPr>
        <w:t>参考文献：</w:t>
      </w:r>
    </w:p>
    <w:p w14:paraId="65FEEBFC">
      <w:pPr>
        <w:spacing w:line="400" w:lineRule="exact"/>
        <w:rPr>
          <w:rFonts w:ascii="宋体" w:hAnsi="宋体" w:eastAsia="宋体"/>
        </w:rPr>
      </w:pPr>
      <w:r>
        <w:rPr>
          <w:rFonts w:hint="eastAsia" w:ascii="宋体" w:hAnsi="宋体" w:eastAsia="宋体"/>
        </w:rPr>
        <w:t>①</w:t>
      </w:r>
      <w:r>
        <w:rPr>
          <w:rFonts w:ascii="宋体" w:hAnsi="宋体" w:eastAsia="宋体"/>
        </w:rPr>
        <w:tab/>
      </w:r>
      <w:r>
        <w:rPr>
          <w:rFonts w:ascii="宋体" w:hAnsi="宋体" w:eastAsia="宋体"/>
        </w:rPr>
        <w:t>《毛泽东选集》第4卷，人民出版社1991年版，第1437页。</w:t>
      </w:r>
    </w:p>
    <w:p w14:paraId="31E17811">
      <w:pPr>
        <w:spacing w:line="400" w:lineRule="exact"/>
        <w:rPr>
          <w:rFonts w:ascii="宋体" w:hAnsi="宋体" w:eastAsia="宋体"/>
        </w:rPr>
      </w:pPr>
      <w:r>
        <w:rPr>
          <w:rFonts w:hint="eastAsia" w:ascii="宋体" w:hAnsi="宋体" w:eastAsia="宋体"/>
        </w:rPr>
        <w:t>②</w:t>
      </w:r>
      <w:r>
        <w:rPr>
          <w:rFonts w:ascii="宋体" w:hAnsi="宋体" w:eastAsia="宋体"/>
        </w:rPr>
        <w:tab/>
      </w:r>
      <w:r>
        <w:rPr>
          <w:rFonts w:ascii="宋体" w:hAnsi="宋体" w:eastAsia="宋体"/>
        </w:rPr>
        <w:t>《毛泽东选集》第4卷，人民出版社1991年版，第1437页。</w:t>
      </w:r>
    </w:p>
    <w:p w14:paraId="12315C53">
      <w:pPr>
        <w:spacing w:line="400" w:lineRule="exact"/>
        <w:rPr>
          <w:rFonts w:ascii="宋体" w:hAnsi="宋体" w:eastAsia="宋体"/>
        </w:rPr>
      </w:pPr>
      <w:r>
        <w:rPr>
          <w:rFonts w:hint="eastAsia" w:ascii="宋体" w:hAnsi="宋体" w:eastAsia="宋体"/>
        </w:rPr>
        <w:t>③</w:t>
      </w:r>
      <w:r>
        <w:rPr>
          <w:rFonts w:ascii="宋体" w:hAnsi="宋体" w:eastAsia="宋体"/>
        </w:rPr>
        <w:tab/>
      </w:r>
      <w:r>
        <w:rPr>
          <w:rFonts w:ascii="宋体" w:hAnsi="宋体" w:eastAsia="宋体"/>
        </w:rPr>
        <w:t>《毛泽东选集》第4卷，人民出版社1991年版，第1427J438页。</w:t>
      </w:r>
    </w:p>
    <w:p w14:paraId="57070DA2">
      <w:pPr>
        <w:spacing w:line="400" w:lineRule="exact"/>
        <w:rPr>
          <w:rFonts w:ascii="宋体" w:hAnsi="宋体" w:eastAsia="宋体"/>
        </w:rPr>
      </w:pPr>
      <w:r>
        <w:rPr>
          <w:rFonts w:hint="eastAsia" w:ascii="宋体" w:hAnsi="宋体" w:eastAsia="宋体"/>
        </w:rPr>
        <w:t>④</w:t>
      </w:r>
      <w:r>
        <w:rPr>
          <w:rFonts w:ascii="宋体" w:hAnsi="宋体" w:eastAsia="宋体"/>
        </w:rPr>
        <w:tab/>
      </w:r>
      <w:r>
        <w:rPr>
          <w:rFonts w:ascii="宋体" w:hAnsi="宋体" w:eastAsia="宋体"/>
        </w:rPr>
        <w:t>《毛泽东选集》第4卷，人民出版社1991年版，第1439页。</w:t>
      </w:r>
    </w:p>
    <w:p w14:paraId="5E0E347D">
      <w:pPr>
        <w:spacing w:line="400" w:lineRule="exact"/>
        <w:rPr>
          <w:rFonts w:hint="eastAsia" w:ascii="宋体" w:hAnsi="宋体" w:eastAsia="宋体"/>
        </w:rPr>
      </w:pPr>
      <w:r>
        <w:rPr>
          <w:rFonts w:hint="eastAsia" w:ascii="宋体" w:hAnsi="宋体" w:eastAsia="宋体"/>
        </w:rPr>
        <w:t>（原载《</w:t>
      </w:r>
      <w:r>
        <w:rPr>
          <w:rFonts w:hint="eastAsia" w:ascii="宋体" w:hAnsi="宋体" w:eastAsia="宋体" w:cs="宋体"/>
          <w:lang w:bidi="ar"/>
        </w:rPr>
        <w:t>继承·创新·发展——西柏坡精神研究文集</w:t>
      </w:r>
      <w:r>
        <w:rPr>
          <w:rFonts w:hint="eastAsia" w:ascii="宋体" w:hAnsi="宋体" w:eastAsia="宋体"/>
        </w:rPr>
        <w:t>》2</w:t>
      </w:r>
      <w:r>
        <w:rPr>
          <w:rFonts w:ascii="宋体" w:hAnsi="宋体" w:eastAsia="宋体"/>
        </w:rPr>
        <w:t>007</w:t>
      </w:r>
      <w:r>
        <w:rPr>
          <w:rFonts w:hint="eastAsia" w:ascii="宋体" w:hAnsi="宋体" w:eastAsia="宋体"/>
        </w:rPr>
        <w:t>年。）</w:t>
      </w:r>
    </w:p>
    <w:p w14:paraId="3247388B">
      <w:pPr>
        <w:spacing w:line="400" w:lineRule="exact"/>
        <w:rPr>
          <w:rFonts w:ascii="宋体" w:hAnsi="宋体" w:eastAsia="宋体"/>
        </w:rPr>
      </w:pPr>
    </w:p>
    <w:p w14:paraId="3825EEC0">
      <w:pPr>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711" w:name="_Toc111193677"/>
      <w:bookmarkStart w:id="712" w:name="_Toc8708"/>
      <w:bookmarkStart w:id="713" w:name="_Toc187189051"/>
      <w:bookmarkStart w:id="714" w:name="_Toc1395042167"/>
      <w:r>
        <w:rPr>
          <w:rFonts w:hint="eastAsia" w:ascii="黑体" w:hAnsi="黑体" w:eastAsia="黑体" w:cs="Times New Roman"/>
          <w:kern w:val="0"/>
          <w:sz w:val="32"/>
          <w:szCs w:val="32"/>
        </w:rPr>
        <w:t>1</w:t>
      </w:r>
      <w:r>
        <w:rPr>
          <w:rFonts w:ascii="黑体" w:hAnsi="黑体" w:eastAsia="黑体" w:cs="Times New Roman"/>
          <w:kern w:val="0"/>
          <w:sz w:val="32"/>
          <w:szCs w:val="32"/>
        </w:rPr>
        <w:t>6</w:t>
      </w:r>
      <w:r>
        <w:rPr>
          <w:rFonts w:hint="eastAsia" w:ascii="黑体" w:hAnsi="黑体" w:eastAsia="黑体" w:cs="Times New Roman"/>
          <w:kern w:val="0"/>
          <w:sz w:val="32"/>
          <w:szCs w:val="32"/>
        </w:rPr>
        <w:t>中国特色社会主义的内涵及其经济制度</w:t>
      </w:r>
      <w:bookmarkEnd w:id="711"/>
      <w:bookmarkEnd w:id="712"/>
      <w:bookmarkEnd w:id="713"/>
      <w:bookmarkEnd w:id="714"/>
    </w:p>
    <w:p w14:paraId="00E0DBB7">
      <w:pPr>
        <w:spacing w:before="147" w:beforeLines="50" w:after="147" w:afterLines="50" w:line="300" w:lineRule="auto"/>
        <w:ind w:firstLine="500" w:firstLineChars="200"/>
        <w:jc w:val="center"/>
        <w:rPr>
          <w:rFonts w:ascii="宋体" w:hAnsi="宋体" w:eastAsia="宋体" w:cs="Times New Roman"/>
          <w:b/>
          <w:bCs/>
          <w:sz w:val="24"/>
        </w:rPr>
      </w:pPr>
      <w:bookmarkStart w:id="715" w:name="_Toc7459"/>
      <w:bookmarkStart w:id="716" w:name="_Toc26775"/>
      <w:bookmarkStart w:id="717" w:name="_Toc10044"/>
      <w:bookmarkStart w:id="718" w:name="_Toc17895"/>
      <w:bookmarkStart w:id="719" w:name="_Toc15412"/>
      <w:r>
        <w:rPr>
          <w:rFonts w:hint="eastAsia" w:ascii="宋体" w:hAnsi="宋体" w:eastAsia="宋体" w:cs="Times New Roman"/>
          <w:b/>
          <w:bCs/>
          <w:sz w:val="24"/>
        </w:rPr>
        <w:t>一、高举中国特色社会主义伟大旗帜具有重大意义</w:t>
      </w:r>
      <w:bookmarkEnd w:id="715"/>
      <w:bookmarkEnd w:id="716"/>
      <w:bookmarkEnd w:id="717"/>
      <w:bookmarkEnd w:id="718"/>
      <w:bookmarkEnd w:id="719"/>
    </w:p>
    <w:p w14:paraId="0F4B7AE8">
      <w:pPr>
        <w:spacing w:line="300" w:lineRule="auto"/>
        <w:ind w:firstLine="440" w:firstLineChars="200"/>
        <w:rPr>
          <w:rFonts w:ascii="宋体" w:hAnsi="宋体" w:eastAsia="宋体" w:cs="宋体"/>
          <w:szCs w:val="21"/>
        </w:rPr>
      </w:pPr>
      <w:r>
        <w:rPr>
          <w:rFonts w:hint="eastAsia" w:ascii="宋体" w:hAnsi="宋体" w:eastAsia="宋体" w:cs="宋体"/>
          <w:szCs w:val="21"/>
        </w:rPr>
        <w:t>中国特色社会主义是今年6月25日胡锦涛总书记在中央党校发表重要讲话的主旨和关键词。关于中国特色社会主义，胡锦涛总书记在整个讲话中多处论述。具体来说：一是强调“中国特色社会主义，是当代中国发展进步的旗帜，是全党全国各族人民团结奋斗的旗帜”；二是强调“我们必须始终不渝地坚持以邓小平理论和‘三个代表’重要思想为指导，深入贯彻落实科学发展观，毫不动摇地坚持和发展中国特色社会主义”；三是强调“科学发展，社会和谐，是发展中国特色社会主义的基本要求”；四是强调“改革开放是发展中国特色社会主义的必由之路”；五是强调“要继续深化对中国特色社会主义的研究和探索，努力使中国特色社会主义道路越走越宽”；六是强调“要坚持把一个中心和两个基本点统一于发展中国特色社会主义的伟大实践，任何时候都绝不能动摇”。</w:t>
      </w:r>
    </w:p>
    <w:p w14:paraId="10481EB1">
      <w:pPr>
        <w:spacing w:line="300" w:lineRule="auto"/>
        <w:ind w:firstLine="440" w:firstLineChars="200"/>
        <w:rPr>
          <w:rFonts w:ascii="宋体" w:hAnsi="宋体" w:eastAsia="宋体" w:cs="宋体"/>
          <w:szCs w:val="21"/>
        </w:rPr>
      </w:pPr>
      <w:r>
        <w:rPr>
          <w:rFonts w:hint="eastAsia" w:ascii="宋体" w:hAnsi="宋体" w:eastAsia="宋体" w:cs="宋体"/>
          <w:szCs w:val="21"/>
        </w:rPr>
        <w:t>胡锦涛总书记在讲话中开宗名义地强调“中国特色社会主义，是当代中国发展进步的旗帜，是全党全国各族人民团结奋斗的旗帜”，具有重大的理论意义和现实意义。走中国特色社会主义道路，鲜明地回答了当代中国走什么路、举什么旗的根本问题，鲜明地指出了坚持和发展中国特色社会主义对于加快推进我国社会主义现代化的极端重要性，鲜明地表达了我们党团结带领全国各族人民坚持中国特色社会主义的坚定信念。中国特色社会主义道路，是我们党在长期社会主义建设实践中，历经艰辛探索而逐步开辟出来的，是一条实现中国繁荣富强和中国人民幸福安康的正确道路。中国特色社会主义共同理想，是全党全国各族人民共同奋斗的理想信念。实践充分证明，只有社会主义才能救中国，只有中国特色社会主义而没有别的什么主义才能发展中国、富强中国。在前进的道路上，无论遇到什么复杂局面，无论遇到什么风险考验，我们都必须毫不动摇地坚持和发展中国特色社会主义。</w:t>
      </w:r>
    </w:p>
    <w:p w14:paraId="1A6F4DCD">
      <w:pPr>
        <w:spacing w:line="300" w:lineRule="auto"/>
        <w:ind w:firstLine="440" w:firstLineChars="200"/>
        <w:rPr>
          <w:rFonts w:ascii="宋体" w:hAnsi="宋体" w:eastAsia="宋体" w:cs="宋体"/>
          <w:szCs w:val="21"/>
        </w:rPr>
      </w:pPr>
      <w:r>
        <w:rPr>
          <w:rFonts w:hint="eastAsia" w:ascii="宋体" w:hAnsi="宋体" w:eastAsia="宋体" w:cs="宋体"/>
          <w:szCs w:val="21"/>
        </w:rPr>
        <w:t>中国特色社会主义开创了社会主义发展的崭新道路，实现了中国社会主义发展的历史性飞跃，是科学社会主义与中国国情相结合的产物，是马克思主义中国化的科学成果。马克思主义在中国发展的生动实践表明，马克思主义基本原理同中国具体实际和时代特征紧密结合，就必定产生推动历史前进的巨大力量，中国的建设和发展就必定取得巨大成就。改革开放以来我们党带领人民开辟的中国特色社会主义道路之所以正确、之所以能够引领中国发展进步，关键就在于我们既坚持了科学社会主义的基本原则，又根据我国实际赋予其鲜明的中国特色。中国特色社会主义道路，是我国进一步实现民族振兴、国家富强、人民幸福、社会和谐的必由之路、成功之路、胜利之路，是历史的选择、人民的选择、时代的选择。</w:t>
      </w:r>
    </w:p>
    <w:p w14:paraId="5DE8A0E9">
      <w:pPr>
        <w:spacing w:before="147" w:beforeLines="50" w:after="147" w:afterLines="50" w:line="300" w:lineRule="auto"/>
        <w:ind w:firstLine="500" w:firstLineChars="200"/>
        <w:jc w:val="center"/>
        <w:rPr>
          <w:rFonts w:ascii="宋体" w:hAnsi="宋体" w:eastAsia="宋体" w:cs="Times New Roman"/>
          <w:b/>
          <w:bCs/>
          <w:sz w:val="24"/>
        </w:rPr>
      </w:pPr>
      <w:bookmarkStart w:id="720" w:name="_Toc8751"/>
      <w:bookmarkStart w:id="721" w:name="_Toc21785"/>
      <w:bookmarkStart w:id="722" w:name="_Toc14132"/>
      <w:bookmarkStart w:id="723" w:name="_Toc14908"/>
      <w:bookmarkStart w:id="724" w:name="_Toc27939"/>
      <w:r>
        <w:rPr>
          <w:rFonts w:hint="eastAsia" w:ascii="宋体" w:hAnsi="宋体" w:eastAsia="宋体" w:cs="Times New Roman"/>
          <w:b/>
          <w:bCs/>
          <w:sz w:val="24"/>
        </w:rPr>
        <w:t>二、中国特色社会主义的内涵中国特色社会主义的实践在发展</w:t>
      </w:r>
      <w:bookmarkEnd w:id="720"/>
      <w:bookmarkEnd w:id="721"/>
      <w:bookmarkEnd w:id="722"/>
      <w:bookmarkEnd w:id="723"/>
      <w:bookmarkEnd w:id="724"/>
    </w:p>
    <w:p w14:paraId="1540EF4C">
      <w:pPr>
        <w:spacing w:line="300" w:lineRule="auto"/>
        <w:ind w:firstLine="440" w:firstLineChars="200"/>
        <w:rPr>
          <w:rFonts w:ascii="宋体" w:hAnsi="宋体" w:eastAsia="宋体" w:cs="宋体"/>
          <w:szCs w:val="21"/>
        </w:rPr>
      </w:pPr>
      <w:r>
        <w:rPr>
          <w:rFonts w:hint="eastAsia" w:ascii="宋体" w:hAnsi="宋体" w:eastAsia="宋体" w:cs="宋体"/>
          <w:szCs w:val="21"/>
        </w:rPr>
        <w:t>我们要继续深化对中国特色社会主义的研究和探索，努力使中国特色社会主义道路越走越宽广。当前，我们理论工作者须积极响应总书记关于“要继续深化对中国特色社会主义的研究和探索”的号召，科学阐明中国特色社会主义的内涵，并分清与民主社会主义等其他形形色色社会主义思潮的本质区别。这对于践行胡锦涛总书记在讲话中号召我们“坚定不移走中国特色社会主义伟大道路，为夺取全面建设小康社会新胜利而奋斗”，具有至关重要的理论和现实意义。作为理论工作者，具体来说应从以下几个方面来把握、探索、研究中国特色社会主义的性质和内在要求。</w:t>
      </w:r>
    </w:p>
    <w:p w14:paraId="79FB56CF">
      <w:pPr>
        <w:spacing w:line="300" w:lineRule="auto"/>
        <w:ind w:firstLine="440" w:firstLineChars="200"/>
        <w:rPr>
          <w:rFonts w:ascii="宋体" w:hAnsi="宋体" w:eastAsia="宋体" w:cs="宋体"/>
          <w:szCs w:val="21"/>
        </w:rPr>
      </w:pPr>
      <w:r>
        <w:rPr>
          <w:rFonts w:hint="eastAsia" w:ascii="宋体" w:hAnsi="宋体" w:eastAsia="宋体" w:cs="宋体"/>
          <w:szCs w:val="21"/>
        </w:rPr>
        <w:t>第一，从指导思想层面看，坚持马克思主义的指导地位。中国特色社会主义主张用马克思主义为灵魂的社会主义核心价值体系，引领各种社会思潮和社会主义实践。马克思主义作为科学的世界观和方法论，是社会主义运动的理论基础，应该在中国特色社会主义实践中占指导地位。以马克思主义为指导，就是要把马克思主义普遍原理与中国现阶段的实际结合起来，指导中国特色社会主义实践，研究新情况，总结新经验，解决新问题。马克思主义是一个开放的、随着科学和实践的发展而不断前进的科学体系，具有强大的持久生命力和科学的解释力。因此，在胡锦涛总书记的讲话中，强调“改革开放以来我们党带领人民开辟了中国特色社会主义道路，这条道路之所以正确，之所以能够引领中国发展进步，关键在于我们既坚持了科学社会主义的基本原则，又根据我国实际赋予其鲜明的中国特色”；“要推动全党深入学习马克思列宁主义、毛泽东思想、邓小平理论和‘三个代表’重要思想，深入学习科学发展观。”</w:t>
      </w:r>
    </w:p>
    <w:p w14:paraId="30A47EF7">
      <w:pPr>
        <w:spacing w:line="300" w:lineRule="auto"/>
        <w:ind w:firstLine="440" w:firstLineChars="200"/>
        <w:rPr>
          <w:rFonts w:ascii="宋体" w:hAnsi="宋体" w:eastAsia="宋体" w:cs="宋体"/>
          <w:szCs w:val="21"/>
        </w:rPr>
      </w:pPr>
      <w:r>
        <w:rPr>
          <w:rFonts w:hint="eastAsia" w:ascii="宋体" w:hAnsi="宋体" w:eastAsia="宋体" w:cs="宋体"/>
          <w:szCs w:val="21"/>
        </w:rPr>
        <w:t>第二，从经济制度层面看，坚持生产资料公有制的主体地位。中国特色社会主义理论认为，社会主义与资本主义在基本经济制度上具有决定意义的差别就在于生产资料社会所有制结构（邓小平语），以质与量都占优势的生产资料公有制为主体、国有经济为主导，对于强国富民和建设社会主义具有举足轻重的作用，是共产党执政等上层建筑的社会主义经济基础（江泽民语）。尽管由于目前中国社会生产力不发达，还不能实现完全的生产资料公有制，但在发展各种私有制经济的同时必须坚持公有制的主体地位。只有坚持市场经济条件下公有制的主体地位，才能真正完善以按劳分配为主体的财富和收入分配制度，实现共同富裕和公平正义，才能真正落实以人为本的科学发展观，实现国民经济又好又快地良性发展。因此，在胡锦涛总书记的讲话中，强调“要坚持和完善公有制为主体，多种所有制经济共同发展的基本经济制度，毫不动摇地巩固和发展公有制经济，毫不动摇地鼓励、支持、引导非公有制经济发展，形成各种所有制经济平等竞争、相互促进新格局”。</w:t>
      </w:r>
    </w:p>
    <w:p w14:paraId="51A5F84B">
      <w:pPr>
        <w:spacing w:line="300" w:lineRule="auto"/>
        <w:ind w:firstLine="440" w:firstLineChars="200"/>
        <w:rPr>
          <w:rFonts w:ascii="宋体" w:hAnsi="宋体" w:eastAsia="宋体" w:cs="宋体"/>
          <w:szCs w:val="21"/>
        </w:rPr>
      </w:pPr>
      <w:r>
        <w:rPr>
          <w:rFonts w:hint="eastAsia" w:ascii="宋体" w:hAnsi="宋体" w:eastAsia="宋体" w:cs="宋体"/>
          <w:szCs w:val="21"/>
        </w:rPr>
        <w:t>第三，从政治制度层面看，坚持工人阶级政党的领导。中国特色社会主义坚持共产党的工人阶级先锋队性质和民主集中制原则，坚持共产党对社会主义事业的领导。在新的科学技术革命面前，工人阶级仍然是先进生产力发展要求的代表和先进生产关系的体现者，担负着推翻资本主义，建设社会主义、共产主义的历史使命。在多种社会阶层出现和并存的新格局下，共产党仍然必须保持工人阶级先锋队的性质，全心全意依靠工人阶级。现阶段实行共产党领导下的多党合作和政治协商制度，而民主集中制是共产党及其执政国家的根本组织原则和组织制度，是正确处理党内外各种关系的政治准则。因此，在胡锦涛总书记的讲话中，强调“我国政治体制改革必须坚持正确的政治方向，必须随着经济社会发展不断推进，努力与我国人民政治参与的积极性不断提高相适应。要坚持党的领导、人民当家做主、依法治国有机统一，不断推进社会主义政治制度自我完善和发展。”</w:t>
      </w:r>
    </w:p>
    <w:p w14:paraId="0B7ADD3D">
      <w:pPr>
        <w:spacing w:line="300" w:lineRule="auto"/>
        <w:ind w:firstLine="440" w:firstLineChars="200"/>
        <w:rPr>
          <w:rFonts w:ascii="宋体" w:hAnsi="宋体" w:eastAsia="宋体" w:cs="宋体"/>
          <w:szCs w:val="21"/>
        </w:rPr>
      </w:pPr>
      <w:r>
        <w:rPr>
          <w:rFonts w:hint="eastAsia" w:ascii="宋体" w:hAnsi="宋体" w:eastAsia="宋体" w:cs="宋体"/>
          <w:szCs w:val="21"/>
        </w:rPr>
        <w:t>第四，从对外关系层面看，坚持推动世界和谐发展。中国特色社会主义在对外关系理论和政策上都真正主张平等互利，和平合作，切实推动世界和谐发展。中国在政治、军事、经济和文化等各个对外领域，永远不称霸，强调国家不分大小强弱，一律平等。要超越意识形态和社会制度不同，来处理国家间的多种关系和全球问题。在全球化大趋势中，各国之间政治上要友好协商而不单边强权，军事上要限于自防而不先发制人，经济上要合作互利而不以邻为壑，文化上要交流互学而不损人利己。具有中国特色的社会主义中国以经济建设为中心，自然要通过经济开放积极参与经济全球化，为强国富民和全世界作出应有的贡献。因此，在胡锦涛总书记的讲话中，强调“我们必须科学分析我国全面参与经济全球化的新机遇新挑战”，“要全面提高开放型经济水平，形成经济全球化条件下参与国际经济合作和竞争新优势。”</w:t>
      </w:r>
    </w:p>
    <w:p w14:paraId="17EB6799">
      <w:pPr>
        <w:spacing w:line="300" w:lineRule="auto"/>
        <w:ind w:firstLine="440" w:firstLineChars="200"/>
        <w:rPr>
          <w:rFonts w:ascii="宋体" w:hAnsi="宋体" w:eastAsia="宋体" w:cs="宋体"/>
          <w:szCs w:val="21"/>
        </w:rPr>
      </w:pPr>
      <w:r>
        <w:rPr>
          <w:rFonts w:hint="eastAsia" w:ascii="宋体" w:hAnsi="宋体" w:eastAsia="宋体" w:cs="宋体"/>
          <w:szCs w:val="21"/>
        </w:rPr>
        <w:t>第五，从终极目标层面看，坚持社会主义本质和共产主义奋斗目标。中国特色社会主义坚持解放生产力、发展生产力，消灭剥削，消除两极分化，实现共同富裕的社会主义本质和原则，并最终要在生产力极大发展的社会主义基础上，实现共产主义。这是一个漫长的历史演变过程和制度创新历程。因此，在胡锦涛总书记的讲话中，强调“提高想问题、办事情绝不可脱离实际的自觉性，清醒而又顽强地为实现党的历史使命而扎实奋斗、坚持不懈。”</w:t>
      </w:r>
    </w:p>
    <w:p w14:paraId="6855F382">
      <w:pPr>
        <w:spacing w:before="147" w:beforeLines="50" w:after="147" w:afterLines="50" w:line="300" w:lineRule="auto"/>
        <w:ind w:firstLine="500" w:firstLineChars="200"/>
        <w:jc w:val="center"/>
        <w:rPr>
          <w:rFonts w:ascii="宋体" w:hAnsi="宋体" w:eastAsia="宋体" w:cs="Times New Roman"/>
          <w:b/>
          <w:bCs/>
          <w:sz w:val="24"/>
        </w:rPr>
      </w:pPr>
      <w:bookmarkStart w:id="725" w:name="_Toc30477"/>
      <w:bookmarkStart w:id="726" w:name="_Toc18008"/>
      <w:bookmarkStart w:id="727" w:name="_Toc7122"/>
      <w:bookmarkStart w:id="728" w:name="_Toc20139"/>
      <w:bookmarkStart w:id="729" w:name="_Toc4272"/>
      <w:r>
        <w:rPr>
          <w:rFonts w:hint="eastAsia" w:ascii="宋体" w:hAnsi="宋体" w:eastAsia="宋体" w:cs="Times New Roman"/>
          <w:b/>
          <w:bCs/>
          <w:sz w:val="24"/>
        </w:rPr>
        <w:t>三、不断巩固和完善社会主义和谐社会的经济制度</w:t>
      </w:r>
      <w:bookmarkEnd w:id="725"/>
      <w:bookmarkEnd w:id="726"/>
      <w:bookmarkEnd w:id="727"/>
      <w:bookmarkEnd w:id="728"/>
      <w:bookmarkEnd w:id="729"/>
    </w:p>
    <w:p w14:paraId="2995D03C">
      <w:pPr>
        <w:spacing w:line="300" w:lineRule="auto"/>
        <w:ind w:firstLine="440" w:firstLineChars="200"/>
        <w:rPr>
          <w:rFonts w:ascii="宋体" w:hAnsi="宋体" w:eastAsia="宋体" w:cs="宋体"/>
          <w:szCs w:val="21"/>
        </w:rPr>
      </w:pPr>
      <w:r>
        <w:rPr>
          <w:rFonts w:hint="eastAsia" w:ascii="宋体" w:hAnsi="宋体" w:eastAsia="宋体" w:cs="宋体"/>
          <w:szCs w:val="21"/>
        </w:rPr>
        <w:t>胡锦涛总书记在讲话中指出：“贯彻落实科学发展观，要求我们始终坚持‘一个中心、两个基本点’的基本路线，积极构建社会主义和谐社会”。当前，就奠定和谐社会的经济基础来说，迫切需要构建社会主义的“四主型经济制度”。</w:t>
      </w:r>
    </w:p>
    <w:p w14:paraId="5B9E22EE">
      <w:pPr>
        <w:spacing w:line="300" w:lineRule="auto"/>
        <w:ind w:firstLine="440" w:firstLineChars="200"/>
        <w:rPr>
          <w:rFonts w:ascii="宋体" w:hAnsi="宋体" w:eastAsia="宋体" w:cs="宋体"/>
          <w:szCs w:val="21"/>
        </w:rPr>
      </w:pPr>
      <w:r>
        <w:rPr>
          <w:rFonts w:hint="eastAsia" w:ascii="宋体" w:hAnsi="宋体" w:eastAsia="宋体" w:cs="宋体"/>
          <w:szCs w:val="21"/>
        </w:rPr>
        <w:t>第一，公有主体型的多种类产权制度，即在公有制为主体的前提下（包含资产在质上和量上的优势），发展中外私有制经济。“社会主义”不能当成一句空话，邓小平指出社会主义有两条根本原则：一条是公有制为主体，多种经济共同发展；另一条是共同富裕，不搞两极分化。一些舆论在描绘“市场化改革”道路的时候，有意把这两条去掉。特别是最根本的涉及社会主义基本经济制度即所有制的一条：“公有制为主体”，故意根本不提，倒是民营经济和民有经济（即私有经济）已经成为“国民经济的基础”或“主体”的字样，越来越见诸于某些媒体。私营经济是要在公有制经济为主体的前提下与公有制共同发展的，但中央没有“民营为主体”一说。</w:t>
      </w:r>
    </w:p>
    <w:p w14:paraId="444C21DB">
      <w:pPr>
        <w:spacing w:line="300" w:lineRule="auto"/>
        <w:ind w:firstLine="440" w:firstLineChars="200"/>
        <w:rPr>
          <w:rFonts w:ascii="宋体" w:hAnsi="宋体" w:eastAsia="宋体" w:cs="宋体"/>
          <w:szCs w:val="21"/>
        </w:rPr>
      </w:pPr>
      <w:r>
        <w:rPr>
          <w:rFonts w:hint="eastAsia" w:ascii="宋体" w:hAnsi="宋体" w:eastAsia="宋体" w:cs="宋体"/>
          <w:szCs w:val="21"/>
        </w:rPr>
        <w:t>《江泽民文选》第三卷《巩固和加强社会主义的经济基础》一文更是明确强调：“没有国有经济为核心的公有制经济，就没有社会主义的经济基础，也就没有我们共产党执政以及整个社会主义上层建筑的经济基础和强大物质手段。这一点，各级领导干部特别是高级干部必须有清醒的深刻的认识……所谓比重减少一些，也应该有个限度、有个前提，就是不能影响公有制的主体地位和国有经济的主导地位……影响当地经济社会发展的大中型企业，省区市也必须掌握一批。”根据最新统计资料，我国非公经济的比重已超过50％，国有经济的控制力减弱。</w:t>
      </w:r>
    </w:p>
    <w:p w14:paraId="0F25E1A8">
      <w:pPr>
        <w:spacing w:line="300" w:lineRule="auto"/>
        <w:ind w:firstLine="440" w:firstLineChars="200"/>
        <w:rPr>
          <w:rFonts w:ascii="宋体" w:hAnsi="宋体" w:eastAsia="宋体" w:cs="宋体"/>
          <w:szCs w:val="21"/>
        </w:rPr>
      </w:pPr>
      <w:r>
        <w:rPr>
          <w:rFonts w:hint="eastAsia" w:ascii="宋体" w:hAnsi="宋体" w:eastAsia="宋体" w:cs="宋体"/>
          <w:szCs w:val="21"/>
        </w:rPr>
        <w:t>国内外学界普遍认为，“公有主体型的多种类产权制度”应当表现在资本结构、就业结构、GDP结构、税收结构、外贸结构等多方面。我国应当在多种所有制共同的动态发展中保持这一“主体－辅体”的宏观所有制结构，而非简单地控制私有制的上升。但如果私有经济占的比例过高，必然引起就业等一连串经济事物和由此派生的社会不和谐。这就是为什么20世纪90年代以来苏东是倒退的十年，拉美是失去的十年，日本是爬行的十年，美欧是缓升的十年，被联合国认定的49个最不发达的国家(亦称第四世界)，也没有通过私有化等新自由主义途径富强起来，有的反而更加贫穷。斯蒂格利茨也认为，正是“私有产权神话”等新自由主义理论和政策，导致了苏东国家和拉美国家等的经济不和谐和各种危机。因此，包括中国在内的全球经济，迫切需要在反思和超越新自由主义的保守经济理念中振兴或健康发展。这也是坚持我国社会主义市场经济方向改革的需要。</w:t>
      </w:r>
    </w:p>
    <w:p w14:paraId="5FDB3D24">
      <w:pPr>
        <w:spacing w:line="300" w:lineRule="auto"/>
        <w:ind w:firstLine="440" w:firstLineChars="200"/>
        <w:rPr>
          <w:rFonts w:ascii="宋体" w:hAnsi="宋体" w:eastAsia="宋体" w:cs="宋体"/>
          <w:szCs w:val="21"/>
        </w:rPr>
      </w:pPr>
      <w:r>
        <w:rPr>
          <w:rFonts w:hint="eastAsia" w:ascii="宋体" w:hAnsi="宋体" w:eastAsia="宋体" w:cs="宋体"/>
          <w:szCs w:val="21"/>
        </w:rPr>
        <w:t>第二，劳动主体型的多要素分配制度，即按劳分配为主体，多要素所有者可凭产权参与分配，经济公平与经济效率呈现交互同向和并重关系。市场经济虽然在资源配置上有重要的作用，特别是在竞争性的资源配置上有很大的优越性，但市场经济在宏观经济综合平衡上，在竞争垄断的关系上，在资源和环境保护上，在社会分配公平上，以及在其他方面，也有很多的缺陷和不足。</w:t>
      </w:r>
    </w:p>
    <w:p w14:paraId="6D33C4CB">
      <w:pPr>
        <w:spacing w:line="300" w:lineRule="auto"/>
        <w:ind w:firstLine="440" w:firstLineChars="200"/>
        <w:rPr>
          <w:rFonts w:ascii="宋体" w:hAnsi="宋体" w:eastAsia="宋体" w:cs="宋体"/>
          <w:szCs w:val="21"/>
        </w:rPr>
      </w:pPr>
      <w:r>
        <w:rPr>
          <w:rFonts w:hint="eastAsia" w:ascii="宋体" w:hAnsi="宋体" w:eastAsia="宋体" w:cs="宋体"/>
          <w:szCs w:val="21"/>
        </w:rPr>
        <w:t>目前，我国收入的基尼系数所表示的差距已经较大，甚至比一些资本主义国家还要大，但更令人担忧的应是社会财产占有上的贫富分化。近年为何财富和收入的贫富差距在一片反对和控制中反而扩大了，那是因为不懂得包括许多公有资产采取廉价送卖等所有制措施必然决定分配走势。现在，中央强调“注重社会公平和正义”，是有针对性的，应采取产权和分配上的双重措施，才能真正做到“提低、扩中、调高、打非”的分配和谐。</w:t>
      </w:r>
    </w:p>
    <w:p w14:paraId="6A494783">
      <w:pPr>
        <w:spacing w:line="300" w:lineRule="auto"/>
        <w:ind w:firstLine="440" w:firstLineChars="200"/>
        <w:rPr>
          <w:rFonts w:ascii="宋体" w:hAnsi="宋体" w:eastAsia="宋体" w:cs="宋体"/>
          <w:szCs w:val="21"/>
        </w:rPr>
      </w:pPr>
      <w:r>
        <w:rPr>
          <w:rFonts w:hint="eastAsia" w:ascii="宋体" w:hAnsi="宋体" w:eastAsia="宋体" w:cs="宋体"/>
          <w:szCs w:val="21"/>
        </w:rPr>
        <w:t>第三，国家主导型的多结构市场制度，即多结构地发展市场体系，发挥市场的基础性配置资源的作用，同时，在廉洁、廉价、民主和高效的基础上发挥国家调节的主导型作用。科学倡导“市场取向的改革”与随意滥用“市场化改革”是不同的。中国的社会主义自我完善的改革，以建立社会主义市场经济体制为目标的改革，绝对不是简单的“市场化改革”。中央文件从未说过我国要实行“市场化改革”，相反，文件中讲到改革开放，总是同坚持四项基本原则联系起来；在“市场经济”前面，总是加上“社会主义”的前置词；而且“社会主义”一词的内容，总是强调“公有制为主体”。有的论著有时讲“市场化改革”，那是简称而不是全意，否则会误导改革方向，给新自由主义者所利用。有人想把经济生活的一切交给市场去管，都“市场化”，把社会生活、文化生活、国家政治生活也都推向“市场化”，把计划排除在社会主义市场经济之外，排除在经济社会一切领域之外，把它视为禁区，加以摒弃，这是迷信市场的幼稚。总之，我们要尊重市场，但却不可迷信市场。我们也不要迷信计划，但也不能把计划这个同样是人类发明的调节手段弃而不用。</w:t>
      </w:r>
    </w:p>
    <w:p w14:paraId="00F547DB">
      <w:pPr>
        <w:spacing w:line="300" w:lineRule="auto"/>
        <w:ind w:firstLine="440" w:firstLineChars="200"/>
        <w:rPr>
          <w:rFonts w:ascii="宋体" w:hAnsi="宋体" w:eastAsia="宋体" w:cs="宋体"/>
          <w:szCs w:val="21"/>
        </w:rPr>
      </w:pPr>
      <w:r>
        <w:rPr>
          <w:rFonts w:hint="eastAsia" w:ascii="宋体" w:hAnsi="宋体" w:eastAsia="宋体" w:cs="宋体"/>
          <w:szCs w:val="21"/>
        </w:rPr>
        <w:t>在对待宏观调控与市场关系这个问题上，我赞成著名经济学家刘国光教授的意见。社会主义市场经济下的计划调节，主要不是指令性计划，而是指导性、战略性计划。“十一五计划”改叫“十一五规划”，但规划也是计划，是指导性、战略性的计划。除了政策导向的规定外，还要有必要的指标、项目和必须完成的指令性任务，如中长期规划中的巨大工程的规划，尖端科技突破的规划，环境治理规划，等等，短期计划里的反周期的投资计划，熨平周期的各种调控措施（很多财政税收金融货币等政策措施属此类）都必须带有指令性或约束性。所以，指令性计划也不能完全排除。现在计划工作中有把计划规划写成一本政策汇编的苗头，很少规定必须完成的和可以严格检查问责的指标和任务，很多东西可以执行可以不执行。这样的计划工作，有改进的必要。</w:t>
      </w:r>
    </w:p>
    <w:p w14:paraId="17AB3F7D">
      <w:pPr>
        <w:spacing w:line="300" w:lineRule="auto"/>
        <w:ind w:firstLine="440" w:firstLineChars="200"/>
        <w:rPr>
          <w:rFonts w:ascii="宋体" w:hAnsi="宋体" w:eastAsia="宋体" w:cs="宋体"/>
          <w:szCs w:val="21"/>
        </w:rPr>
      </w:pPr>
      <w:r>
        <w:rPr>
          <w:rFonts w:hint="eastAsia" w:ascii="宋体" w:hAnsi="宋体" w:eastAsia="宋体" w:cs="宋体"/>
          <w:szCs w:val="21"/>
        </w:rPr>
        <w:t>现在，中央讲究改革的科学性和协调性，就是既要用市场调节的优良功能去抑制“国家调节失灵”，又要用国家调节的优良功能来纠正“市场调节失灵”，实现一种“基础－主导”功能性双重调节机制，这样，容易达到社会经济和谐。现实生活中，为何上访、闹事、犯罪和社会失衡的现象较为普遍，就是因为国家调节存在不到位，或不得当的情况。只要看看在近年所谓管理层收购活动中出现的严重问题，并引发各阶层公众的不满和不和谐，就可得知某些政府部门的调控是多么的滞后。没有人否定产权改革，但不可背离市场规律乱来。</w:t>
      </w:r>
    </w:p>
    <w:p w14:paraId="317A0126">
      <w:pPr>
        <w:spacing w:line="300" w:lineRule="auto"/>
        <w:ind w:firstLine="440" w:firstLineChars="200"/>
        <w:rPr>
          <w:rFonts w:ascii="宋体" w:hAnsi="宋体" w:eastAsia="宋体" w:cs="宋体"/>
          <w:bCs/>
          <w:spacing w:val="-3"/>
          <w:kern w:val="0"/>
          <w:szCs w:val="21"/>
        </w:rPr>
      </w:pPr>
      <w:r>
        <w:rPr>
          <w:rFonts w:hint="eastAsia" w:ascii="宋体" w:hAnsi="宋体" w:eastAsia="宋体" w:cs="宋体"/>
          <w:szCs w:val="21"/>
        </w:rPr>
        <w:t>第四，自立主导型的多方位开放制度，即处理好引进国外技术和资本同自力更生的发展自主知识产权和高效利用本国资本关系，实行内需为主并与外需相结合的国内外经济交往关系，促进追求引进数量的粗放型开放模式向追求引进效益的质量型开发模式转变。应在结合比较优势与竞争优势的基础上，大力发展控股、控技（尤其是核心技术）和控牌（尤其是名牌）的“三控型”民族企业集团和民族跨国公司，突出培育和发挥知识产权优势，早日真正打造出中国的世界工厂而非世界加工厂，从而尽快完成从贸易大国向贸易强国和经济大国向经济强国的转型。那种只强调保护国内外知识产权，不强调创造自主知识产权的言行；那种只强调民族企业应被外国跨国公司并购和整合，主要寄希望于依赖式不断引进外资、外技和外牌的战略与策略；那种看不到跨国公司在华研发机构的正负双面效应而片面迎合强国推行“殖民地科技”的开放式爬行主义思维，都是不高明的科技发展“线路图”和开放理念，也不利于整个开放素质的提升和国内外经济的统筹与协调发展。</w:t>
      </w:r>
    </w:p>
    <w:p w14:paraId="6280570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（原载于《中国城市经济》2007年第10期）</w:t>
      </w:r>
      <w:r>
        <w:rPr>
          <w:rFonts w:ascii="宋体" w:hAnsi="宋体" w:eastAsia="宋体" w:cs="Times New Roman"/>
          <w:szCs w:val="21"/>
        </w:rPr>
        <w:br w:type="page"/>
      </w:r>
    </w:p>
    <w:p w14:paraId="392EA387">
      <w:pPr>
        <w:pStyle w:val="3"/>
        <w:spacing w:before="0" w:after="0" w:line="400" w:lineRule="exact"/>
        <w:jc w:val="center"/>
        <w:rPr>
          <w:rFonts w:hint="default"/>
        </w:rPr>
      </w:pPr>
      <w:bookmarkStart w:id="730" w:name="_Toc2689"/>
      <w:bookmarkStart w:id="731" w:name="_Toc111193678"/>
      <w:bookmarkStart w:id="732" w:name="_Toc22837302"/>
      <w:bookmarkStart w:id="733" w:name="_Toc247242823"/>
      <w:r>
        <w:rPr>
          <w:rFonts w:ascii="黑体" w:hAnsi="黑体" w:eastAsia="黑体"/>
          <w:b w:val="0"/>
          <w:bCs w:val="0"/>
        </w:rPr>
        <w:t>1</w:t>
      </w:r>
      <w:r>
        <w:rPr>
          <w:rFonts w:hint="default" w:ascii="黑体" w:hAnsi="黑体" w:eastAsia="黑体"/>
          <w:b w:val="0"/>
          <w:bCs w:val="0"/>
        </w:rPr>
        <w:t>7</w:t>
      </w:r>
      <w:r>
        <w:rPr>
          <w:rFonts w:ascii="黑体" w:hAnsi="黑体" w:eastAsia="黑体"/>
          <w:b w:val="0"/>
          <w:bCs w:val="0"/>
        </w:rPr>
        <w:t>坚定不移地科学推进国有经济调整和改革</w:t>
      </w:r>
      <w:bookmarkEnd w:id="730"/>
      <w:bookmarkEnd w:id="731"/>
      <w:bookmarkEnd w:id="732"/>
      <w:bookmarkEnd w:id="733"/>
    </w:p>
    <w:p w14:paraId="629F1A55">
      <w:pPr>
        <w:spacing w:line="400" w:lineRule="exact"/>
        <w:ind w:firstLine="440" w:firstLineChars="200"/>
        <w:rPr>
          <w:rFonts w:ascii="宋体" w:hAnsi="宋体" w:eastAsia="宋体"/>
          <w:szCs w:val="21"/>
        </w:rPr>
      </w:pPr>
      <w:r>
        <w:rPr>
          <w:rFonts w:hint="eastAsia" w:ascii="宋体" w:hAnsi="宋体" w:eastAsia="宋体"/>
          <w:szCs w:val="21"/>
        </w:rPr>
        <w:t>本文阐述发展国有经济的必要性及其改革的两大</w:t>
      </w:r>
      <w:r>
        <w:rPr>
          <w:rFonts w:ascii="宋体" w:hAnsi="宋体" w:eastAsia="宋体"/>
          <w:szCs w:val="21"/>
        </w:rPr>
        <w:t>任务，探讨国有经济的战略调整依据和基本功能，强调搞好作为国有制主要实现形式的国有控股公司，指出科</w:t>
      </w:r>
      <w:r>
        <w:rPr>
          <w:rFonts w:hint="eastAsia" w:ascii="宋体" w:hAnsi="宋体" w:eastAsia="宋体"/>
          <w:szCs w:val="21"/>
        </w:rPr>
        <w:t>学发展与社会和谐离不开国有经济的发展。</w:t>
      </w:r>
    </w:p>
    <w:p w14:paraId="6A27F478">
      <w:pPr>
        <w:spacing w:line="400" w:lineRule="exact"/>
        <w:ind w:firstLine="440" w:firstLineChars="200"/>
        <w:rPr>
          <w:rFonts w:ascii="宋体" w:hAnsi="宋体" w:eastAsia="宋体"/>
          <w:szCs w:val="21"/>
        </w:rPr>
      </w:pPr>
      <w:r>
        <w:rPr>
          <w:rFonts w:hint="eastAsia" w:ascii="宋体" w:hAnsi="宋体" w:eastAsia="宋体"/>
          <w:szCs w:val="21"/>
        </w:rPr>
        <w:t>建立和完善社会主义市场经济体制，是中国</w:t>
      </w:r>
      <w:r>
        <w:rPr>
          <w:rFonts w:ascii="宋体" w:hAnsi="宋体" w:eastAsia="宋体"/>
          <w:szCs w:val="21"/>
        </w:rPr>
        <w:t>经济改革的主要目标，而实现公有制与市场经济的结合，又是社会主义市场经济的本质特征和实施难点。它既显示了改革的内涵和深度，又显示了中国的改革与苏联东欧向资本主义市场经济“转轨”的性质区别。这种改革内涵和目标的选择，决定了中国改革的演进方式、发展步骤和实际成效，也决定了这种改革的难度，表明它是一场真正意义上的制度创新，是一场“大试验”。</w:t>
      </w:r>
    </w:p>
    <w:p w14:paraId="50D971BE">
      <w:pPr>
        <w:spacing w:line="400" w:lineRule="exact"/>
        <w:ind w:firstLine="440" w:firstLineChars="200"/>
        <w:rPr>
          <w:rFonts w:ascii="宋体" w:hAnsi="宋体" w:eastAsia="宋体"/>
          <w:szCs w:val="21"/>
        </w:rPr>
      </w:pPr>
      <w:r>
        <w:rPr>
          <w:rFonts w:ascii="宋体" w:hAnsi="宋体" w:eastAsia="宋体"/>
          <w:szCs w:val="21"/>
        </w:rPr>
        <w:t>2007年6月25日，胡锦涛总书记在中央党校讲话中强调：“要坚持和完善公有制为主体，多种所有制经济共同发展的基本经济制度，毫不动摇地巩固和发展公有制经济，毫不动摇地鼓励、支持、引导非公有制经济发展，形成各种所有制经济平等竞争、相互促进新格局。”这再次表明，在建立和完善社会主义市场经济体制的过程中，作为全社会所有制结构主体的公有制，尤其是作为国民经济和所有制结构主导的国有制经济改革一直居于中心环节和关键地位。国</w:t>
      </w:r>
      <w:r>
        <w:rPr>
          <w:rFonts w:hint="eastAsia" w:ascii="宋体" w:hAnsi="宋体" w:eastAsia="宋体"/>
          <w:szCs w:val="21"/>
        </w:rPr>
        <w:t>有企业改革启动和推进以来，按照中央的部署</w:t>
      </w:r>
      <w:r>
        <w:rPr>
          <w:rFonts w:ascii="宋体" w:hAnsi="宋体" w:eastAsia="宋体"/>
          <w:szCs w:val="21"/>
        </w:rPr>
        <w:t>和政策要求，已经取得了重大的进展，但也存在一些需要继续探索的问题，同时也难以避免地出现了某些偏差。我们一定要坚定不移地走中国特色社会主义道路，抵御新自由主义和民主社会主义的负面影响，并在理论和政策层面自觉遵循社会主义市场经济的改革方向，在改革中贯彻落实科学发展观，坚持用科学改革的办法、科学发展的办法解决前进中的问题，认真总结经验，继续推进国有企业体制改革和发展国有经济。</w:t>
      </w:r>
    </w:p>
    <w:p w14:paraId="35427C71">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一、发展国有经济的必要性及其改革的两</w:t>
      </w:r>
      <w:r>
        <w:rPr>
          <w:rFonts w:ascii="宋体" w:hAnsi="宋体" w:eastAsia="宋体" w:cs="Times New Roman"/>
          <w:b/>
          <w:bCs/>
          <w:sz w:val="24"/>
        </w:rPr>
        <w:t>大任务</w:t>
      </w:r>
    </w:p>
    <w:p w14:paraId="683BD146">
      <w:pPr>
        <w:spacing w:line="400" w:lineRule="exact"/>
        <w:ind w:firstLine="440" w:firstLineChars="200"/>
        <w:rPr>
          <w:rFonts w:ascii="宋体" w:hAnsi="宋体" w:eastAsia="宋体"/>
          <w:szCs w:val="21"/>
        </w:rPr>
      </w:pPr>
      <w:r>
        <w:rPr>
          <w:rFonts w:hint="eastAsia" w:ascii="宋体" w:hAnsi="宋体" w:eastAsia="宋体"/>
          <w:szCs w:val="21"/>
        </w:rPr>
        <w:t>现代社会中的国有企业是生产社会化的产</w:t>
      </w:r>
      <w:r>
        <w:rPr>
          <w:rFonts w:ascii="宋体" w:hAnsi="宋体" w:eastAsia="宋体"/>
          <w:szCs w:val="21"/>
        </w:rPr>
        <w:t>物，是社会化大生产的一种组织经营形式。它的存在和发展具有深刻的社会经济基础和客观必然性。与奴隶社会和封建社会存在于自然经济</w:t>
      </w:r>
      <w:r>
        <w:rPr>
          <w:rFonts w:hint="eastAsia" w:ascii="宋体" w:hAnsi="宋体" w:eastAsia="宋体"/>
          <w:szCs w:val="21"/>
        </w:rPr>
        <w:t>基础上的国有经济不同，资本主义出现以后，国</w:t>
      </w:r>
      <w:r>
        <w:rPr>
          <w:rFonts w:ascii="宋体" w:hAnsi="宋体" w:eastAsia="宋体"/>
          <w:szCs w:val="21"/>
        </w:rPr>
        <w:t>有经济不仅仍然存在，而且得到了相当程度的发展。15世纪下半叶，西欧许多国家就把采矿业、冶金业、金属加工业掌握在自己手中。国有企业在西方国家有了很大的发展，国有经济掌握着许多国家的经济命脉，在国民经济中居举足轻重的地位。20世纪80年代以来，由于新自由主义泛滥，发达市场经济国家的国有经济虽然有所下降，但其存在和发展的必要性并没有消失。在一些部门中，国有企业和国有资本的比重下降了，但又有一些新的部门或领域需要政府带头发展。这种曲折起伏的发</w:t>
      </w:r>
      <w:r>
        <w:rPr>
          <w:rFonts w:hint="eastAsia" w:ascii="宋体" w:hAnsi="宋体" w:eastAsia="宋体"/>
          <w:szCs w:val="21"/>
        </w:rPr>
        <w:t>展和新旧交替</w:t>
      </w:r>
      <w:r>
        <w:rPr>
          <w:rFonts w:ascii="宋体" w:hAnsi="宋体" w:eastAsia="宋体"/>
          <w:szCs w:val="21"/>
        </w:rPr>
        <w:t>过程是科技进步、生产社会化和国内外左右翼政治力量博弈的必然结果。试图从社会主义低潮和世界范围的私有化逆流得出国有企业普遍无前途的结论，是没有根据的。</w:t>
      </w:r>
    </w:p>
    <w:p w14:paraId="22E6A82C">
      <w:pPr>
        <w:spacing w:line="400" w:lineRule="exact"/>
        <w:ind w:firstLine="440" w:firstLineChars="200"/>
        <w:rPr>
          <w:rFonts w:ascii="宋体" w:hAnsi="宋体" w:eastAsia="宋体"/>
          <w:szCs w:val="21"/>
        </w:rPr>
      </w:pPr>
      <w:r>
        <w:rPr>
          <w:rFonts w:hint="eastAsia" w:ascii="宋体" w:hAnsi="宋体" w:eastAsia="宋体"/>
          <w:szCs w:val="21"/>
        </w:rPr>
        <w:t>曾任美国克林顿总统经济顾问委员会主席</w:t>
      </w:r>
      <w:r>
        <w:rPr>
          <w:rFonts w:ascii="宋体" w:hAnsi="宋体" w:eastAsia="宋体"/>
          <w:szCs w:val="21"/>
        </w:rPr>
        <w:t>的诺贝尔经济学奖得主约瑟夫·E·斯蒂格利茨10多年来一直公开批评“私有产权神话”和“原市场教旨主义”。欧洲国家私有化20多年，国家资本仍然没有卖光，竞争性领域仍然有国有企业。德国银行中的“公有成分占40%”。在20世纪90年代末期，自由市场指数方面高居第三位的芬兰，目前在竞争性领域仍然存在一批国有企业，它们是高效和有创新的。而成功渡过了亚洲金融危机的我国台湾地区的银行中“公有成分”竟达到57%。</w:t>
      </w:r>
    </w:p>
    <w:p w14:paraId="76B25C90">
      <w:pPr>
        <w:spacing w:line="400" w:lineRule="exact"/>
        <w:ind w:firstLine="440" w:firstLineChars="200"/>
        <w:rPr>
          <w:rFonts w:ascii="宋体" w:hAnsi="宋体" w:eastAsia="宋体"/>
          <w:szCs w:val="21"/>
        </w:rPr>
      </w:pPr>
      <w:r>
        <w:rPr>
          <w:rFonts w:hint="eastAsia" w:ascii="宋体" w:hAnsi="宋体" w:eastAsia="宋体"/>
          <w:szCs w:val="21"/>
        </w:rPr>
        <w:t>现代生产力、现代市场经济要求相当比重</w:t>
      </w:r>
      <w:r>
        <w:rPr>
          <w:rFonts w:ascii="宋体" w:hAnsi="宋体" w:eastAsia="宋体"/>
          <w:szCs w:val="21"/>
        </w:rPr>
        <w:t>的国有经济的存在，已经是确凿无疑的事实，它体现着一种经济发展的内在规律性。资本主义国有企业的产生，是生产力的发展迫使资本在事实上承认现代生产力的社会本性，不得不对资本主义私有制进行的一定程度的调整和扬弃。在本质上，它是生产的社会化与生产资料私人占有这一根本矛盾的产物，而在现实中，又把它限定在所谓弥补“市场缺陷”的限度内，表现为是资本主义国民经济整体发展的一种条件和</w:t>
      </w:r>
      <w:r>
        <w:rPr>
          <w:rFonts w:hint="eastAsia" w:ascii="宋体" w:hAnsi="宋体" w:eastAsia="宋体"/>
          <w:szCs w:val="21"/>
        </w:rPr>
        <w:t>保障。所以，马克思主义认为资本主义国家出现</w:t>
      </w:r>
      <w:r>
        <w:rPr>
          <w:rFonts w:ascii="宋体" w:hAnsi="宋体" w:eastAsia="宋体"/>
          <w:szCs w:val="21"/>
        </w:rPr>
        <w:t>的国有经济是为整体资本家服务的。</w:t>
      </w:r>
    </w:p>
    <w:p w14:paraId="7889D347">
      <w:pPr>
        <w:spacing w:line="400" w:lineRule="exact"/>
        <w:ind w:firstLine="440" w:firstLineChars="200"/>
        <w:rPr>
          <w:rFonts w:ascii="宋体" w:hAnsi="宋体" w:eastAsia="宋体"/>
          <w:szCs w:val="21"/>
        </w:rPr>
      </w:pPr>
      <w:r>
        <w:rPr>
          <w:rFonts w:hint="eastAsia" w:ascii="宋体" w:hAnsi="宋体" w:eastAsia="宋体"/>
          <w:szCs w:val="21"/>
        </w:rPr>
        <w:t>资本主义国有经济作为一种对生产力的社会性质被迫承认的“扬弃”现象，虽然并没有根</w:t>
      </w:r>
      <w:r>
        <w:rPr>
          <w:rFonts w:ascii="宋体" w:hAnsi="宋体" w:eastAsia="宋体"/>
          <w:szCs w:val="21"/>
        </w:rPr>
        <w:t>本改变资本主义基本经济制度的性质，但从一个角度反映出，社会化生产的发展要求与之相适应的生产关系的产生，已经是一种历史性的要求和趋势。社会主义公有制经济特别是其中的国有经济，就是适应社会化大生产要求的生产资料占有方式，是从根本上解决生产的社会化与生产资料私人占有这一基本矛盾的产物。社会主义国有经济是人类社会第一次出现的一种新型的社会主义性质的生产关系形式，其基本特征是消灭了生产资料资本主义私有制，从而消灭了私人经济剥削，建立起一种劳动者在共同占</w:t>
      </w:r>
      <w:r>
        <w:rPr>
          <w:rFonts w:hint="eastAsia" w:ascii="宋体" w:hAnsi="宋体" w:eastAsia="宋体"/>
          <w:szCs w:val="21"/>
        </w:rPr>
        <w:t>有生产资料的基础上的自主联合劳动方</w:t>
      </w:r>
      <w:r>
        <w:rPr>
          <w:rFonts w:ascii="宋体" w:hAnsi="宋体" w:eastAsia="宋体"/>
          <w:szCs w:val="21"/>
        </w:rPr>
        <w:t>式，是满足全体劳动者的物质和文化需要、促进其趋向人的全面和自由发展的生产关系；它适应社会化大生产发展的需要，掌握全国经济命脉，代表着先进生产力发展的方向，是社会主义制度的最重要的物质技术基础和生产关系基础。</w:t>
      </w:r>
    </w:p>
    <w:p w14:paraId="109BF105">
      <w:pPr>
        <w:spacing w:line="400" w:lineRule="exact"/>
        <w:ind w:firstLine="440" w:firstLineChars="200"/>
        <w:rPr>
          <w:rFonts w:ascii="宋体" w:hAnsi="宋体" w:eastAsia="宋体"/>
          <w:szCs w:val="21"/>
        </w:rPr>
      </w:pPr>
      <w:r>
        <w:rPr>
          <w:rFonts w:hint="eastAsia" w:ascii="宋体" w:hAnsi="宋体" w:eastAsia="宋体"/>
          <w:szCs w:val="21"/>
        </w:rPr>
        <w:t>我国的国有经济作为最能适应生产力发展</w:t>
      </w:r>
      <w:r>
        <w:rPr>
          <w:rFonts w:ascii="宋体" w:hAnsi="宋体" w:eastAsia="宋体"/>
          <w:szCs w:val="21"/>
        </w:rPr>
        <w:t>要求的部分，适应了经济相对落后的中国迅速工业化和自主发展的迫切要求。5"多年来，国有经济始终是带动国民经济快速增长的主力军，始终是我国国民经济的支柱，并客观上带动和支持了集体经济和非公有经济的大发展，甚至长期承担高税收等多方面的重任和作出了自我牺牲。时至今日，仍有不少国有企业，尤其是大中型企业，至今然是经济实力最强、技术装备先进、管理水平高、人才济济、效益递增的市场型经济实体。</w:t>
      </w:r>
    </w:p>
    <w:p w14:paraId="0CDBE94F">
      <w:pPr>
        <w:spacing w:line="400" w:lineRule="exact"/>
        <w:ind w:firstLine="440" w:firstLineChars="200"/>
        <w:rPr>
          <w:rFonts w:ascii="宋体" w:hAnsi="宋体" w:eastAsia="宋体"/>
          <w:szCs w:val="21"/>
        </w:rPr>
      </w:pPr>
      <w:r>
        <w:rPr>
          <w:rFonts w:hint="eastAsia" w:ascii="宋体" w:hAnsi="宋体" w:eastAsia="宋体"/>
          <w:szCs w:val="21"/>
        </w:rPr>
        <w:t>承认我国国有制经济的发展和壮大是符合</w:t>
      </w:r>
      <w:r>
        <w:rPr>
          <w:rFonts w:ascii="宋体" w:hAnsi="宋体" w:eastAsia="宋体"/>
          <w:szCs w:val="21"/>
        </w:rPr>
        <w:t>社会化大生产要求的，是符合社会发展规律的，肯定计划经济条件下国有经济的巨大成效和历史作用，与要进行经济体制改革并不矛盾。我国</w:t>
      </w:r>
      <w:r>
        <w:rPr>
          <w:rFonts w:hint="eastAsia" w:ascii="宋体" w:hAnsi="宋体" w:eastAsia="宋体"/>
          <w:szCs w:val="21"/>
        </w:rPr>
        <w:t>经济体制改革的历史性启动，正是基于我们对</w:t>
      </w:r>
      <w:r>
        <w:rPr>
          <w:rFonts w:ascii="宋体" w:hAnsi="宋体" w:eastAsia="宋体"/>
          <w:szCs w:val="21"/>
        </w:rPr>
        <w:t>计划经济体制及公有制经济状况的发展与我国</w:t>
      </w:r>
      <w:r>
        <w:rPr>
          <w:rFonts w:hint="eastAsia" w:ascii="宋体" w:hAnsi="宋体" w:eastAsia="宋体"/>
          <w:szCs w:val="21"/>
        </w:rPr>
        <w:t>生产力发展和管理水平的某种程度的不适应有</w:t>
      </w:r>
      <w:r>
        <w:rPr>
          <w:rFonts w:ascii="宋体" w:hAnsi="宋体" w:eastAsia="宋体"/>
          <w:szCs w:val="21"/>
        </w:rPr>
        <w:t>了重新认识的结果。于是，国有经济改革存在着两大任务：一是国有经济结构调整和优化，即国有经济战略性重组，就是对“一大二公”状况的校正和产业布局的调整；二是国有企业制度和经营机制转换和优化，即建立适应市场经济要求的现代企业制度，探寻国有企业的市场实现形式和运行机制。前者是从宏观角度调整和改组我国国有经济的规模和布局，适应我国生产力产(业)发展和社会化生产发展程度的要求，</w:t>
      </w:r>
      <w:r>
        <w:rPr>
          <w:rFonts w:hint="eastAsia" w:ascii="宋体" w:hAnsi="宋体" w:eastAsia="宋体"/>
          <w:szCs w:val="21"/>
        </w:rPr>
        <w:t>以实现国有资本的宏观配置效益和国有经济在</w:t>
      </w:r>
      <w:r>
        <w:rPr>
          <w:rFonts w:ascii="宋体" w:hAnsi="宋体" w:eastAsia="宋体"/>
          <w:szCs w:val="21"/>
        </w:rPr>
        <w:t>整个国民经济发展中的战略主导作用；后者是从微观层次改革我国国有企业的产权结构、管理体制和运行机制，探索适应市场经济要求的具有活力和效率的实现形式，保证国有资本的微观运营效益。只有两者有机结合，才能有效发挥国有经济在国民经济中的主导作用。</w:t>
      </w:r>
    </w:p>
    <w:p w14:paraId="64370C88">
      <w:pPr>
        <w:spacing w:before="147" w:beforeLines="50" w:after="147" w:afterLines="50" w:line="300" w:lineRule="auto"/>
        <w:ind w:firstLine="500" w:firstLineChars="200"/>
        <w:jc w:val="center"/>
        <w:rPr>
          <w:rFonts w:ascii="宋体" w:hAnsi="宋体" w:eastAsia="宋体"/>
          <w:szCs w:val="21"/>
        </w:rPr>
      </w:pPr>
      <w:r>
        <w:rPr>
          <w:rFonts w:hint="eastAsia" w:ascii="宋体" w:hAnsi="宋体" w:eastAsia="宋体" w:cs="Times New Roman"/>
          <w:b/>
          <w:bCs/>
          <w:sz w:val="24"/>
        </w:rPr>
        <w:t>二、国有经济的战略调整依据和基本功能</w:t>
      </w:r>
    </w:p>
    <w:p w14:paraId="5BC353E3">
      <w:pPr>
        <w:spacing w:line="400" w:lineRule="exact"/>
        <w:ind w:firstLine="440" w:firstLineChars="200"/>
        <w:rPr>
          <w:rFonts w:ascii="宋体" w:hAnsi="宋体" w:eastAsia="宋体"/>
          <w:szCs w:val="21"/>
        </w:rPr>
      </w:pPr>
      <w:r>
        <w:rPr>
          <w:rFonts w:hint="eastAsia" w:ascii="宋体" w:hAnsi="宋体" w:eastAsia="宋体"/>
          <w:szCs w:val="21"/>
        </w:rPr>
        <w:t>从国民经济的宏观结构和布局上对国有经</w:t>
      </w:r>
      <w:r>
        <w:rPr>
          <w:rFonts w:ascii="宋体" w:hAnsi="宋体" w:eastAsia="宋体"/>
          <w:szCs w:val="21"/>
        </w:rPr>
        <w:t>济实行战略性调整，从而使我国国有经济具有适度的规模、合理的布局、较强的控制力，保持在国民经济中的主导功能和社会性质，是国有企业改革的一项重大任务。</w:t>
      </w:r>
    </w:p>
    <w:p w14:paraId="0065D0F3">
      <w:pPr>
        <w:spacing w:line="400" w:lineRule="exact"/>
        <w:ind w:firstLine="440" w:firstLineChars="200"/>
        <w:rPr>
          <w:rFonts w:ascii="宋体" w:hAnsi="宋体" w:eastAsia="宋体"/>
          <w:szCs w:val="21"/>
        </w:rPr>
      </w:pPr>
      <w:r>
        <w:rPr>
          <w:rFonts w:hint="eastAsia" w:ascii="宋体" w:hAnsi="宋体" w:eastAsia="宋体"/>
          <w:szCs w:val="21"/>
        </w:rPr>
        <w:t>然而，我国继续进行国有经济战略调整和</w:t>
      </w:r>
      <w:r>
        <w:rPr>
          <w:rFonts w:ascii="宋体" w:hAnsi="宋体" w:eastAsia="宋体"/>
          <w:szCs w:val="21"/>
        </w:rPr>
        <w:t>重组的依据是什么呢？这是一个需要深化研究和对待的问题。一些论著提倡的一种思路和做法，是以发达资本主义国家的国有经济约占1"~2"%的情况为标准，仅把国有经济的功能定位在弥补“市场失灵”上，并以此决定社会主义国有企业的数量和国有经济的规模。这好像是一个现实的、可取的、借鉴的标准，似乎是一</w:t>
      </w:r>
      <w:r>
        <w:rPr>
          <w:rFonts w:hint="eastAsia" w:ascii="宋体" w:hAnsi="宋体" w:eastAsia="宋体"/>
          <w:szCs w:val="21"/>
        </w:rPr>
        <w:t>个实践检验过的标准。但求真务实地科学分析，</w:t>
      </w:r>
      <w:r>
        <w:rPr>
          <w:rFonts w:ascii="宋体" w:hAnsi="宋体" w:eastAsia="宋体"/>
          <w:szCs w:val="21"/>
        </w:rPr>
        <w:t>这实际上是很有问题的，因为它没有全面认识和把握我国国有经济的全部属性和多种功能。</w:t>
      </w:r>
    </w:p>
    <w:p w14:paraId="55753E0F">
      <w:pPr>
        <w:spacing w:line="400" w:lineRule="exact"/>
        <w:ind w:firstLine="440" w:firstLineChars="200"/>
        <w:rPr>
          <w:rFonts w:ascii="宋体" w:hAnsi="宋体" w:eastAsia="宋体"/>
          <w:szCs w:val="21"/>
        </w:rPr>
      </w:pPr>
      <w:r>
        <w:rPr>
          <w:rFonts w:hint="eastAsia" w:ascii="宋体" w:hAnsi="宋体" w:eastAsia="宋体"/>
          <w:szCs w:val="21"/>
        </w:rPr>
        <w:t>如果按照所谓市场经济中的国有企业只提供公</w:t>
      </w:r>
      <w:r>
        <w:rPr>
          <w:rFonts w:ascii="宋体" w:hAnsi="宋体" w:eastAsia="宋体"/>
          <w:szCs w:val="21"/>
        </w:rPr>
        <w:t>共产品的理论，就会主张我国国有经济完全退出竞争性领域。且不说发达资本主义国家的国有企业事实上并未完全退出竞争性领域，它们还插足于汽车、采矿、钢铁、造船等行业，即便是说它们的国有企业已全盘退出了竞争性领域，我国的国有企业也不能完全退出竞争性行业。中国特色社会主义的基本经济制度和经济基础是包含国有经济为主导的。</w:t>
      </w:r>
    </w:p>
    <w:p w14:paraId="4236ACC3">
      <w:pPr>
        <w:spacing w:line="400" w:lineRule="exact"/>
        <w:ind w:firstLine="440" w:firstLineChars="200"/>
        <w:rPr>
          <w:rFonts w:ascii="宋体" w:hAnsi="宋体" w:eastAsia="宋体"/>
          <w:szCs w:val="21"/>
        </w:rPr>
      </w:pPr>
      <w:r>
        <w:rPr>
          <w:rFonts w:hint="eastAsia" w:ascii="宋体" w:hAnsi="宋体" w:eastAsia="宋体"/>
          <w:szCs w:val="21"/>
        </w:rPr>
        <w:t>应该承认，市场经济条件下的社会主义国</w:t>
      </w:r>
      <w:r>
        <w:rPr>
          <w:rFonts w:ascii="宋体" w:hAnsi="宋体" w:eastAsia="宋体"/>
          <w:szCs w:val="21"/>
        </w:rPr>
        <w:t>有经济，仍然具有一般市场经济所要求的弥补市场经济缺陷的功能，特别是在社会主义初级阶段，在多种经济成分并存的情况下，一般企业特别是私营企业无能力和不愿意投资的基础设施、基础科研和高风险的高新技术产业，必须且只能由国家来投资。但仅仅这样浅层次来探讨我国国有经济的功能和规模是不够的。</w:t>
      </w:r>
    </w:p>
    <w:p w14:paraId="37406EEE">
      <w:pPr>
        <w:spacing w:line="400" w:lineRule="exact"/>
        <w:ind w:firstLine="440" w:firstLineChars="200"/>
        <w:rPr>
          <w:rFonts w:ascii="宋体" w:hAnsi="宋体" w:eastAsia="宋体"/>
          <w:szCs w:val="21"/>
        </w:rPr>
      </w:pPr>
      <w:r>
        <w:rPr>
          <w:rFonts w:hint="eastAsia" w:ascii="宋体" w:hAnsi="宋体" w:eastAsia="宋体"/>
          <w:szCs w:val="21"/>
        </w:rPr>
        <w:t>现代国有企业产生和发展的现实表明，国</w:t>
      </w:r>
      <w:r>
        <w:rPr>
          <w:rFonts w:ascii="宋体" w:hAnsi="宋体" w:eastAsia="宋体"/>
          <w:szCs w:val="21"/>
        </w:rPr>
        <w:t>有企业客观上具有两种属性：一般自然属性和特定社会属性。一般自然属性反映了社会化大生产发展的需要和市场经济发展的一般要求和特征，而特殊社会属性是反映由占主导地位的生产关系决定的国家性质和占统治地位的政治需要。现实中的国有经济，无论是资本主义国家的国有经济，还是社会主义国家的国有经济，莫不如此。因此，必须依据我国国有经济的全部属性来确定国有经济进行战略重组的依据。在确认要真正完善社会主义市场经济体制的条件下，在如何认识和对待我国国有经济的功能、地位和规</w:t>
      </w:r>
      <w:r>
        <w:rPr>
          <w:rFonts w:hint="eastAsia" w:ascii="宋体" w:hAnsi="宋体" w:eastAsia="宋体"/>
          <w:szCs w:val="21"/>
        </w:rPr>
        <w:t>模问题上，一定要认清国有经济的二重</w:t>
      </w:r>
      <w:r>
        <w:rPr>
          <w:rFonts w:ascii="宋体" w:hAnsi="宋体" w:eastAsia="宋体"/>
          <w:szCs w:val="21"/>
        </w:rPr>
        <w:t>属性，不能只强调由资本主义市场经济性质所决定的经济功能和政治属性及由此决定的规模比重，淡化其由社会主义市场经济性质所决定的经济功能和政治属性及由此决定的规模比重，混淆两种社会制度下国有经济的性质区别。</w:t>
      </w:r>
    </w:p>
    <w:p w14:paraId="77E06412">
      <w:pPr>
        <w:spacing w:line="400" w:lineRule="exact"/>
        <w:ind w:firstLine="440" w:firstLineChars="200"/>
        <w:rPr>
          <w:rFonts w:ascii="宋体" w:hAnsi="宋体" w:eastAsia="宋体"/>
          <w:szCs w:val="21"/>
        </w:rPr>
      </w:pPr>
      <w:r>
        <w:rPr>
          <w:rFonts w:hint="eastAsia" w:ascii="宋体" w:hAnsi="宋体" w:eastAsia="宋体"/>
          <w:szCs w:val="21"/>
        </w:rPr>
        <w:t>社会主义国有经济与资本主义国有经济在</w:t>
      </w:r>
      <w:r>
        <w:rPr>
          <w:rFonts w:ascii="宋体" w:hAnsi="宋体" w:eastAsia="宋体"/>
          <w:szCs w:val="21"/>
        </w:rPr>
        <w:t>服务对象、经营方式、运行机制等方面有某些共</w:t>
      </w:r>
      <w:r>
        <w:rPr>
          <w:rFonts w:hint="eastAsia" w:ascii="宋体" w:hAnsi="宋体" w:eastAsia="宋体"/>
          <w:szCs w:val="21"/>
        </w:rPr>
        <w:t>同点，可以借鉴其某些成功经验为我所用。但</w:t>
      </w:r>
      <w:r>
        <w:rPr>
          <w:rFonts w:ascii="宋体" w:hAnsi="宋体" w:eastAsia="宋体"/>
          <w:szCs w:val="21"/>
        </w:rPr>
        <w:t>是，坚持国有企业和国有经济的社会主义市场经济改革方向，就要认识市场经济条件下国有企业的共性与个性&amp;认现代市场经济中国有经济的共性的同时，注意区分社会主义国家的国有经济与资本主义国家的国有经济在性质、地位和作用上的区别。</w:t>
      </w:r>
    </w:p>
    <w:p w14:paraId="66087695">
      <w:pPr>
        <w:spacing w:line="400" w:lineRule="exact"/>
        <w:ind w:firstLine="440" w:firstLineChars="200"/>
        <w:rPr>
          <w:rFonts w:ascii="宋体" w:hAnsi="宋体" w:eastAsia="宋体"/>
          <w:szCs w:val="21"/>
        </w:rPr>
      </w:pPr>
      <w:r>
        <w:rPr>
          <w:rFonts w:hint="eastAsia" w:ascii="宋体" w:hAnsi="宋体" w:eastAsia="宋体"/>
          <w:szCs w:val="21"/>
        </w:rPr>
        <w:t>其一，占主体的所有制性质和国家的性质</w:t>
      </w:r>
      <w:r>
        <w:rPr>
          <w:rFonts w:ascii="宋体" w:hAnsi="宋体" w:eastAsia="宋体"/>
          <w:szCs w:val="21"/>
        </w:rPr>
        <w:t>根本不同，因而国家所体现的生产关系也根本不同。</w:t>
      </w:r>
    </w:p>
    <w:p w14:paraId="018F51FE">
      <w:pPr>
        <w:spacing w:line="400" w:lineRule="exact"/>
        <w:ind w:firstLine="440" w:firstLineChars="200"/>
        <w:rPr>
          <w:rFonts w:ascii="宋体" w:hAnsi="宋体" w:eastAsia="宋体"/>
          <w:szCs w:val="21"/>
        </w:rPr>
      </w:pPr>
      <w:r>
        <w:rPr>
          <w:rFonts w:hint="eastAsia" w:ascii="宋体" w:hAnsi="宋体" w:eastAsia="宋体"/>
          <w:szCs w:val="21"/>
        </w:rPr>
        <w:t>社会主义国家是工人阶级领导的、工农联</w:t>
      </w:r>
      <w:r>
        <w:rPr>
          <w:rFonts w:ascii="宋体" w:hAnsi="宋体" w:eastAsia="宋体"/>
          <w:szCs w:val="21"/>
        </w:rPr>
        <w:t>盟为基础的人民民主政权，社会主义国有经济是社会主义生产关系的现实载体，而资本主义国家的本质是为占主体的私有制经济和资产阶级服务的，因而是“总资本家”'1]，其国有经济虽然具有相当部分的社会功能，但国有资本所有</w:t>
      </w:r>
      <w:r>
        <w:rPr>
          <w:rFonts w:hint="eastAsia" w:ascii="宋体" w:hAnsi="宋体" w:eastAsia="宋体"/>
          <w:szCs w:val="21"/>
        </w:rPr>
        <w:t>权和国有经济在本质上是属于资产阶级整体</w:t>
      </w:r>
      <w:r>
        <w:rPr>
          <w:rFonts w:ascii="宋体" w:hAnsi="宋体" w:eastAsia="宋体"/>
          <w:szCs w:val="21"/>
        </w:rPr>
        <w:t>的。</w:t>
      </w:r>
    </w:p>
    <w:p w14:paraId="14EC73A0">
      <w:pPr>
        <w:spacing w:line="400" w:lineRule="exact"/>
        <w:ind w:firstLine="440" w:firstLineChars="200"/>
        <w:rPr>
          <w:rFonts w:ascii="宋体" w:hAnsi="宋体" w:eastAsia="宋体"/>
          <w:szCs w:val="21"/>
        </w:rPr>
      </w:pPr>
      <w:r>
        <w:rPr>
          <w:rFonts w:hint="eastAsia" w:ascii="宋体" w:hAnsi="宋体" w:eastAsia="宋体"/>
          <w:szCs w:val="21"/>
        </w:rPr>
        <w:t>其二，</w:t>
      </w:r>
      <w:r>
        <w:rPr>
          <w:rFonts w:ascii="宋体" w:hAnsi="宋体" w:eastAsia="宋体"/>
          <w:szCs w:val="21"/>
        </w:rPr>
        <w:t>国有经济在国民经济中的地位和作用也不同。</w:t>
      </w:r>
    </w:p>
    <w:p w14:paraId="3F91F433">
      <w:pPr>
        <w:spacing w:line="400" w:lineRule="exact"/>
        <w:ind w:firstLine="440" w:firstLineChars="200"/>
        <w:rPr>
          <w:rFonts w:ascii="宋体" w:hAnsi="宋体" w:eastAsia="宋体"/>
          <w:szCs w:val="21"/>
        </w:rPr>
      </w:pPr>
      <w:r>
        <w:rPr>
          <w:rFonts w:hint="eastAsia" w:ascii="宋体" w:hAnsi="宋体" w:eastAsia="宋体"/>
          <w:szCs w:val="21"/>
        </w:rPr>
        <w:t>资本主义国家的国有经济只在市场经济中</w:t>
      </w:r>
      <w:r>
        <w:rPr>
          <w:rFonts w:ascii="宋体" w:hAnsi="宋体" w:eastAsia="宋体"/>
          <w:szCs w:val="21"/>
        </w:rPr>
        <w:t>起某些私有经济起不到的补充作用，处于国民经济中的辅体地位。在我国，国有经济是社会主义制度的主要经济基础，处于国民经济中的主导地位，发挥支柱作用和国民凝聚力的效应。国有经济作为社会主义市场经济的竞争性主体之一，作为社会主义生产关系的现实载体，是应该</w:t>
      </w:r>
      <w:r>
        <w:rPr>
          <w:rFonts w:hint="eastAsia" w:ascii="宋体" w:hAnsi="宋体" w:eastAsia="宋体"/>
          <w:szCs w:val="21"/>
        </w:rPr>
        <w:t>牢固确立的</w:t>
      </w:r>
      <w:r>
        <w:rPr>
          <w:rFonts w:ascii="宋体" w:hAnsi="宋体" w:eastAsia="宋体"/>
          <w:szCs w:val="21"/>
        </w:rPr>
        <w:t>。正如我国宪法第7条所规定的：“国有经济即社会主义全民所有制经济，是国民经济中的主导力量。国家保障国有经济的巩固与发展。”具体地说，国有经济要注重发挥以下六个基本功能：一是基础服务功能，如交通、邮电、供水、供电、供煤等基础设施和公用设施，各种能源生产、矿山开发和整治山河等基础工业和基础环保的建设；二是支柱构筑功能，如钢铁、重化工业、汽车制造和军工等部门；三是流通调节功能，如由中央银行、商业银行和政策银</w:t>
      </w:r>
      <w:r>
        <w:rPr>
          <w:rFonts w:hint="eastAsia" w:ascii="宋体" w:hAnsi="宋体" w:eastAsia="宋体"/>
          <w:szCs w:val="21"/>
        </w:rPr>
        <w:t>行构成的银行系统及其他重要金融机构，多种</w:t>
      </w:r>
      <w:r>
        <w:rPr>
          <w:rFonts w:ascii="宋体" w:hAnsi="宋体" w:eastAsia="宋体"/>
          <w:szCs w:val="21"/>
        </w:rPr>
        <w:t>股份制国有商业；四是技术示范功能，如拥有较强的研制实力和信息网络的国有经济组织(含国有科研单位)承担主要科技项目的基础研究和应用开发；五是社会创利功能，如各种股份制国有经济有必要在商业、日用工业品、耐用消费品、旅游等某些竞争性领域适度发展，以便直接为社会整体和劳动者整体谋利益；六是产权导向功能，如股份制国有经济系统以自身的雄厚实力和优势，通过竞争、投资和信贷等市场行为</w:t>
      </w:r>
      <w:r>
        <w:rPr>
          <w:rFonts w:hint="eastAsia" w:ascii="宋体" w:hAnsi="宋体" w:eastAsia="宋体"/>
          <w:szCs w:val="21"/>
        </w:rPr>
        <w:t>与机制，从企业内外部影响和制约非公有制经</w:t>
      </w:r>
      <w:r>
        <w:rPr>
          <w:rFonts w:ascii="宋体" w:hAnsi="宋体" w:eastAsia="宋体"/>
          <w:szCs w:val="21"/>
        </w:rPr>
        <w:t>济，扬利抑弊，发挥其在社会所有制结构和产权制度变迁中的导向功能。</w:t>
      </w:r>
    </w:p>
    <w:p w14:paraId="2C92B9EA">
      <w:pPr>
        <w:spacing w:line="400" w:lineRule="exact"/>
        <w:ind w:firstLine="440" w:firstLineChars="200"/>
        <w:rPr>
          <w:rFonts w:ascii="宋体" w:hAnsi="宋体" w:eastAsia="宋体"/>
          <w:szCs w:val="21"/>
        </w:rPr>
      </w:pPr>
      <w:r>
        <w:rPr>
          <w:rFonts w:hint="eastAsia" w:ascii="宋体" w:hAnsi="宋体" w:eastAsia="宋体"/>
          <w:szCs w:val="21"/>
        </w:rPr>
        <w:t>其三，</w:t>
      </w:r>
      <w:r>
        <w:rPr>
          <w:rFonts w:ascii="宋体" w:hAnsi="宋体" w:eastAsia="宋体"/>
          <w:szCs w:val="21"/>
        </w:rPr>
        <w:t>国有经济管理体制和机制也有些不同。</w:t>
      </w:r>
    </w:p>
    <w:p w14:paraId="6C0B0C38">
      <w:pPr>
        <w:spacing w:line="400" w:lineRule="exact"/>
        <w:ind w:firstLine="440" w:firstLineChars="200"/>
        <w:rPr>
          <w:rFonts w:ascii="宋体" w:hAnsi="宋体" w:eastAsia="宋体"/>
          <w:szCs w:val="21"/>
        </w:rPr>
      </w:pPr>
      <w:r>
        <w:rPr>
          <w:rFonts w:hint="eastAsia" w:ascii="宋体" w:hAnsi="宋体" w:eastAsia="宋体"/>
          <w:szCs w:val="21"/>
        </w:rPr>
        <w:t>在国家立法机构、行政机构与国有企业的</w:t>
      </w:r>
      <w:r>
        <w:rPr>
          <w:rFonts w:ascii="宋体" w:hAnsi="宋体" w:eastAsia="宋体"/>
          <w:szCs w:val="21"/>
        </w:rPr>
        <w:t>关系、在国有资产管理组织及其内部的关系、在国有控股公司的内部结构和外部的关系、在国有企业决策机制和管理层的激励与约束机制、在职工的权益保护等诸多方面，资本主义国家是多模式的，但与中国社会主义特色的国有资产管理体制和机制也是有同有异的，有些区别还涉及到社会性质。</w:t>
      </w:r>
    </w:p>
    <w:p w14:paraId="1EF6B5F9">
      <w:pPr>
        <w:spacing w:line="400" w:lineRule="exact"/>
        <w:ind w:firstLine="440" w:firstLineChars="200"/>
        <w:rPr>
          <w:rFonts w:ascii="宋体" w:hAnsi="宋体" w:eastAsia="宋体"/>
          <w:szCs w:val="21"/>
        </w:rPr>
      </w:pPr>
      <w:r>
        <w:rPr>
          <w:rFonts w:hint="eastAsia" w:ascii="宋体" w:hAnsi="宋体" w:eastAsia="宋体"/>
          <w:szCs w:val="21"/>
        </w:rPr>
        <w:t>由此可见，在对国有经济进行战略重组、调</w:t>
      </w:r>
      <w:r>
        <w:rPr>
          <w:rFonts w:ascii="宋体" w:hAnsi="宋体" w:eastAsia="宋体"/>
          <w:szCs w:val="21"/>
        </w:rPr>
        <w:t>整优化产业结构时，在国有经济需要保持控制地位的行业和领域，除了涉及国家安全的行业；自然垄断的行业；提供重要公共产品和服务的行业；支柱产业和高新技术产业中的重要骨干企业外，一般竞争性产业也不应该全面退出，可以适当收缩，主要应该在市场竞争中优胜劣汰地选择，而非用行政命令去随意大卖大送。现在在竞争性行业中有不少国有企业搞得很好或比较好，有的企业已经打入国际市场，是没有理由要用行政手段强制它们退出国内外所谓竞争性领域。特别是一些高度竞争性的产业，如装备工</w:t>
      </w:r>
      <w:r>
        <w:rPr>
          <w:rFonts w:hint="eastAsia" w:ascii="宋体" w:hAnsi="宋体" w:eastAsia="宋体"/>
          <w:szCs w:val="21"/>
        </w:rPr>
        <w:t>业，是工业的核心和基础，综合国力的根基。一</w:t>
      </w:r>
      <w:r>
        <w:rPr>
          <w:rFonts w:ascii="宋体" w:hAnsi="宋体" w:eastAsia="宋体"/>
          <w:szCs w:val="21"/>
        </w:rPr>
        <w:t>国装备工业的发达程度，是国家工业和科技水</w:t>
      </w:r>
      <w:r>
        <w:rPr>
          <w:rFonts w:hint="eastAsia" w:ascii="宋体" w:hAnsi="宋体" w:eastAsia="宋体"/>
          <w:szCs w:val="21"/>
        </w:rPr>
        <w:t>平的标志。如果我国工业的核心和关键部分被</w:t>
      </w:r>
      <w:r>
        <w:rPr>
          <w:rFonts w:ascii="宋体" w:hAnsi="宋体" w:eastAsia="宋体"/>
          <w:szCs w:val="21"/>
        </w:rPr>
        <w:t>外资控制，那么，国家将失去对工业发展和技术进步的主导权，我国经济独立和政治独立的基础将被侵蚀，中央增强自主创新能力、振兴装备制造业的方针将失去前提。国有经济的战略布局调整必须有利于自主创新和科学发展。</w:t>
      </w:r>
    </w:p>
    <w:p w14:paraId="548D206A">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三、搞好作为国有制主要实现形式的国有</w:t>
      </w:r>
      <w:r>
        <w:rPr>
          <w:rFonts w:ascii="宋体" w:hAnsi="宋体" w:eastAsia="宋体" w:cs="Times New Roman"/>
          <w:b/>
          <w:bCs/>
          <w:sz w:val="24"/>
        </w:rPr>
        <w:t>控股公司</w:t>
      </w:r>
    </w:p>
    <w:p w14:paraId="7F9DAC55">
      <w:pPr>
        <w:spacing w:line="400" w:lineRule="exact"/>
        <w:ind w:firstLine="440" w:firstLineChars="200"/>
        <w:rPr>
          <w:rFonts w:ascii="宋体" w:hAnsi="宋体" w:eastAsia="宋体"/>
          <w:szCs w:val="21"/>
        </w:rPr>
      </w:pPr>
      <w:r>
        <w:rPr>
          <w:rFonts w:hint="eastAsia" w:ascii="宋体" w:hAnsi="宋体" w:eastAsia="宋体"/>
          <w:szCs w:val="21"/>
        </w:rPr>
        <w:t>我国国有企业的特定社会属性，决定了它</w:t>
      </w:r>
      <w:r>
        <w:rPr>
          <w:rFonts w:ascii="宋体" w:hAnsi="宋体" w:eastAsia="宋体"/>
          <w:szCs w:val="21"/>
        </w:rPr>
        <w:t>要突破作为校正市场经济失灵的补充作用和地位，国有企业也应该成为市场经济微观活动主体的主力军和领航舰。这样，怎样把国有企业塑造成真正的市场经济活动主体，就成为改革中的一项重要任务。</w:t>
      </w:r>
    </w:p>
    <w:p w14:paraId="480A8500">
      <w:pPr>
        <w:spacing w:line="400" w:lineRule="exact"/>
        <w:ind w:firstLine="440" w:firstLineChars="200"/>
        <w:rPr>
          <w:rFonts w:ascii="宋体" w:hAnsi="宋体" w:eastAsia="宋体"/>
          <w:szCs w:val="21"/>
        </w:rPr>
      </w:pPr>
      <w:r>
        <w:rPr>
          <w:rFonts w:hint="eastAsia" w:ascii="宋体" w:hAnsi="宋体" w:eastAsia="宋体"/>
          <w:szCs w:val="21"/>
        </w:rPr>
        <w:t>计划经济条件下的国有企业不适应市场经</w:t>
      </w:r>
      <w:r>
        <w:rPr>
          <w:rFonts w:ascii="宋体" w:hAnsi="宋体" w:eastAsia="宋体"/>
          <w:szCs w:val="21"/>
        </w:rPr>
        <w:t>济的要求，不意味着国有企业天然和永远不能适应市场经济运行的条件和要求。这可以通过国有企业体制改革来探索国有企业适应市场经济要求的实现形式和运行机制。计划型国有企业向市场型国有企业的转变是一种历史的必然，但这决不是否定国有企业，而是要找到符合</w:t>
      </w:r>
      <w:r>
        <w:rPr>
          <w:rFonts w:hint="eastAsia" w:ascii="宋体" w:hAnsi="宋体" w:eastAsia="宋体"/>
          <w:szCs w:val="21"/>
        </w:rPr>
        <w:t>市场经济要求的新的实现形式。必须明确，我们</w:t>
      </w:r>
      <w:r>
        <w:rPr>
          <w:rFonts w:ascii="宋体" w:hAnsi="宋体" w:eastAsia="宋体"/>
          <w:szCs w:val="21"/>
        </w:rPr>
        <w:t>所说的“国有企业改制”，本应是改革体制和机制，包括产权结构的调整和重构，而不是把国有制改为非国有制，即根本改变所有制的性质。把“国有企业改制”理解为非国有化或私有化，这只是有的地方和部门的潜规则和做法，在中央文件里是找不到依据的。</w:t>
      </w:r>
    </w:p>
    <w:p w14:paraId="78148AF7">
      <w:pPr>
        <w:spacing w:line="400" w:lineRule="exact"/>
        <w:ind w:firstLine="440" w:firstLineChars="200"/>
        <w:rPr>
          <w:rFonts w:ascii="宋体" w:hAnsi="宋体" w:eastAsia="宋体"/>
          <w:szCs w:val="21"/>
        </w:rPr>
      </w:pPr>
      <w:r>
        <w:rPr>
          <w:rFonts w:hint="eastAsia" w:ascii="宋体" w:hAnsi="宋体" w:eastAsia="宋体"/>
          <w:szCs w:val="21"/>
        </w:rPr>
        <w:t>国有企业改制的重要内容是塑造市场型国</w:t>
      </w:r>
      <w:r>
        <w:rPr>
          <w:rFonts w:ascii="宋体" w:hAnsi="宋体" w:eastAsia="宋体"/>
          <w:szCs w:val="21"/>
        </w:rPr>
        <w:t>有控股公司，也就是说，要使国有控股公司成为国有制的主要实现形式。坚持社会主义市场经济的改革方向，就是要在承认股份制是一种资本构造和企业组织形式的基础上，努力实现国有制经济与股份制的结合。不能只强调其由市场经济和社会化生产决定的一般属性，淡化其由特定生产关系决定的特定社会性质，混淆公</w:t>
      </w:r>
      <w:r>
        <w:rPr>
          <w:rFonts w:hint="eastAsia" w:ascii="宋体" w:hAnsi="宋体" w:eastAsia="宋体"/>
          <w:szCs w:val="21"/>
        </w:rPr>
        <w:t>有制为基础的现代企业制度与私有制为基础的</w:t>
      </w:r>
      <w:r>
        <w:rPr>
          <w:rFonts w:ascii="宋体" w:hAnsi="宋体" w:eastAsia="宋体"/>
          <w:szCs w:val="21"/>
        </w:rPr>
        <w:t>现代企业制度的性质区别。不能把建立现代企业制度，变成照搬照抄西方资本主义股份制企业制度。要使股份制成为公有制的实现形式，还需要把公有制的内涵与股份制这种形式结合起来，进行真正的制度创新。如果混淆公有股份经</w:t>
      </w:r>
      <w:r>
        <w:rPr>
          <w:rFonts w:hint="eastAsia" w:ascii="宋体" w:hAnsi="宋体" w:eastAsia="宋体"/>
          <w:szCs w:val="21"/>
        </w:rPr>
        <w:t>济与私有股份经济的区别，认为股份制都是公</w:t>
      </w:r>
      <w:r>
        <w:rPr>
          <w:rFonts w:ascii="宋体" w:hAnsi="宋体" w:eastAsia="宋体"/>
          <w:szCs w:val="21"/>
        </w:rPr>
        <w:t>有制，而且是所谓“新公有制”，就会混淆现代企业制度的不同生产关系基础的区别，取消把公有制与股份制结合起来的重大理论与实践创新的任务，放弃创建新型公有股份经济的努力，掩盖通过股份制推行私有化的主张。</w:t>
      </w:r>
    </w:p>
    <w:p w14:paraId="119D7BE1">
      <w:pPr>
        <w:spacing w:line="400" w:lineRule="exact"/>
        <w:ind w:firstLine="440" w:firstLineChars="200"/>
        <w:rPr>
          <w:rFonts w:ascii="宋体" w:hAnsi="宋体" w:eastAsia="宋体"/>
          <w:szCs w:val="21"/>
        </w:rPr>
      </w:pPr>
      <w:r>
        <w:rPr>
          <w:rFonts w:hint="eastAsia" w:ascii="宋体" w:hAnsi="宋体" w:eastAsia="宋体"/>
          <w:szCs w:val="21"/>
        </w:rPr>
        <w:t>通过股份制改革，市场经济条件下的国有</w:t>
      </w:r>
      <w:r>
        <w:rPr>
          <w:rFonts w:ascii="宋体" w:hAnsi="宋体" w:eastAsia="宋体"/>
          <w:szCs w:val="21"/>
        </w:rPr>
        <w:t>企业，会有国有独资和国有混合经济两种基本形式，而在国有混合经济中，又有国有绝对控股和国有相对控股两种形式。在国有企业实行股份制改革的具体股权结构问题上，一些论著和舆论坚决反对国有控股，一概反对国有股“一股独大”，认为改制后的国有资本控股的企业，都根本无法做到政资分开、政企分开，都不能解决所谓“所有者虚置”造成的低效率。按照他们宣扬的市场化改革，必须放弃国家资本控股，使控股变为参股，或者干脆卖掉，让国有企业原经营者个人或个别人持大股，或者寻求中外私</w:t>
      </w:r>
      <w:r>
        <w:rPr>
          <w:rFonts w:hint="eastAsia" w:ascii="宋体" w:hAnsi="宋体" w:eastAsia="宋体"/>
          <w:szCs w:val="21"/>
        </w:rPr>
        <w:t>有公</w:t>
      </w:r>
      <w:r>
        <w:rPr>
          <w:rFonts w:ascii="宋体" w:hAnsi="宋体" w:eastAsia="宋体"/>
          <w:szCs w:val="21"/>
        </w:rPr>
        <w:t>司来一起收购绝大部分大中型国有企业，并美誉为“深化改革”的主要措施。</w:t>
      </w:r>
    </w:p>
    <w:p w14:paraId="080A8847">
      <w:pPr>
        <w:spacing w:line="400" w:lineRule="exact"/>
        <w:ind w:firstLine="440" w:firstLineChars="200"/>
        <w:rPr>
          <w:rFonts w:ascii="宋体" w:hAnsi="宋体" w:eastAsia="宋体"/>
          <w:szCs w:val="21"/>
        </w:rPr>
      </w:pPr>
      <w:r>
        <w:rPr>
          <w:rFonts w:hint="eastAsia" w:ascii="宋体" w:hAnsi="宋体" w:eastAsia="宋体"/>
          <w:szCs w:val="21"/>
        </w:rPr>
        <w:t>当前，</w:t>
      </w:r>
      <w:r>
        <w:rPr>
          <w:rFonts w:ascii="宋体" w:hAnsi="宋体" w:eastAsia="宋体"/>
          <w:szCs w:val="21"/>
        </w:rPr>
        <w:t>国有控股公司的高效运行有赖于以下四个具体制度和机制的建立和完善：第一，建立以政资职能分离为目标的国资管理系统。这是推行股份制和重塑国有企业制度的大前提。在该管理系统内设置三个层次：国有资产所有权的立法管理和最终监管归各级人民代表大会及其机构；国有资产所有权的行政管理归各级人民政府及其机构(国有资产监督管理委员会)；国有资产所有权的商务管理或产权管理归各种国有资产产权经营机构(国有资产的集团控股公司、开发总公司等)。应当尽快颁布《国有</w:t>
      </w:r>
      <w:r>
        <w:rPr>
          <w:rFonts w:hint="eastAsia" w:ascii="宋体" w:hAnsi="宋体" w:eastAsia="宋体"/>
          <w:szCs w:val="21"/>
        </w:rPr>
        <w:t>资产法》，从根本上确立国有资产管理的制度性</w:t>
      </w:r>
      <w:r>
        <w:rPr>
          <w:rFonts w:ascii="宋体" w:hAnsi="宋体" w:eastAsia="宋体"/>
          <w:szCs w:val="21"/>
        </w:rPr>
        <w:t>架构。第二，建立以国有法人相互持股为主体的现代国有企业制度。因为我国不可能像资本主</w:t>
      </w:r>
      <w:r>
        <w:rPr>
          <w:rFonts w:hint="eastAsia" w:ascii="宋体" w:hAnsi="宋体" w:eastAsia="宋体"/>
          <w:szCs w:val="21"/>
        </w:rPr>
        <w:t>义那样利用股份制，让自然人持股或由私人资</w:t>
      </w:r>
      <w:r>
        <w:rPr>
          <w:rFonts w:ascii="宋体" w:hAnsi="宋体" w:eastAsia="宋体"/>
          <w:szCs w:val="21"/>
        </w:rPr>
        <w:t>本构成的公众公司和机构持股及互相持股。企业融资要以间接方式为主(日本、德国就是以间接融资为主的，同美国的直接融资为主模式有很大的不同)。第三，建立以个人财产抵押为基础的经营者年薪制。这是集收入、财产、职位和荣誉等多重制约为一体的第三个制度要素，是具有中国特色社会主义的股份制内涵之一。我们既不能大规模搞股份私有化和经营者大量持股，又要充分激励国有企业法人代表和主要经营者。在这两难抉择中，只能以此来模拟而不是照搬私有产权的机制与功能。一些先行企</w:t>
      </w:r>
      <w:r>
        <w:rPr>
          <w:rFonts w:hint="eastAsia" w:ascii="宋体" w:hAnsi="宋体" w:eastAsia="宋体"/>
          <w:szCs w:val="21"/>
        </w:rPr>
        <w:t>业的</w:t>
      </w:r>
      <w:r>
        <w:rPr>
          <w:rFonts w:ascii="宋体" w:hAnsi="宋体" w:eastAsia="宋体"/>
          <w:szCs w:val="21"/>
        </w:rPr>
        <w:t>验证表明，由上述多重制度制约下的公有企业法人代表的积极性和责任心，不亚于私人企业和经营者持股较多的股份制企业。在转型期内，这项制度应在国有股份制企业中迅速推行。第四，建立以党政互相兼职为特征的法人治理结构。进一步完善国有控股公司内部股东会、董事会、监事会、经理会经(理层)与党委会、职代会、工会之间的关系。这是社会主义国家推行股份制所要处理好的一个特殊矛盾。可以按照现代公司制度运行的规律和惯例及效率原则来界定各种组织的权利与职责，以防止“组织摩擦”、“机制扯皮”和“人力</w:t>
      </w:r>
      <w:r>
        <w:rPr>
          <w:rFonts w:hint="eastAsia" w:ascii="宋体" w:hAnsi="宋体" w:eastAsia="宋体"/>
          <w:szCs w:val="21"/>
        </w:rPr>
        <w:t>内耗”而导致内部制度费用（组</w:t>
      </w:r>
      <w:r>
        <w:rPr>
          <w:rFonts w:ascii="宋体" w:hAnsi="宋体" w:eastAsia="宋体"/>
          <w:szCs w:val="21"/>
        </w:rPr>
        <w:t>织费用</w:t>
      </w:r>
      <w:r>
        <w:rPr>
          <w:rFonts w:hint="eastAsia" w:ascii="宋体" w:hAnsi="宋体" w:eastAsia="宋体"/>
          <w:szCs w:val="21"/>
        </w:rPr>
        <w:t>）</w:t>
      </w:r>
      <w:r>
        <w:rPr>
          <w:rFonts w:ascii="宋体" w:hAnsi="宋体" w:eastAsia="宋体"/>
          <w:szCs w:val="21"/>
        </w:rPr>
        <w:t>过高。执政党的成员在非政权性质的基层经营单位均应有行政岗位，党政干部要互相兼职，使党组织的领导直接进入董事会、监事会和经理会等行政班子，在法人治理结构的机制内发挥应有的作用。</w:t>
      </w:r>
    </w:p>
    <w:p w14:paraId="44F867AA">
      <w:pPr>
        <w:spacing w:line="400" w:lineRule="exact"/>
        <w:ind w:firstLine="440" w:firstLineChars="200"/>
        <w:rPr>
          <w:rFonts w:ascii="宋体" w:hAnsi="宋体" w:eastAsia="宋体"/>
          <w:szCs w:val="21"/>
        </w:rPr>
      </w:pPr>
      <w:r>
        <w:rPr>
          <w:rFonts w:hint="eastAsia" w:ascii="宋体" w:hAnsi="宋体" w:eastAsia="宋体"/>
          <w:szCs w:val="21"/>
        </w:rPr>
        <w:t>中外实证分析表明，</w:t>
      </w:r>
      <w:r>
        <w:rPr>
          <w:rFonts w:ascii="宋体" w:hAnsi="宋体" w:eastAsia="宋体"/>
          <w:szCs w:val="21"/>
        </w:rPr>
        <w:t>国有控股公司并不意味着注定不能构造真正的市场经济的活动主体，并非天然不能实现政企、政资分开，并非天然没有高效率。目前，国有控股公司存在的弊病和问题，是科学的改革措施没有获得共识，是制</w:t>
      </w:r>
      <w:r>
        <w:rPr>
          <w:rFonts w:hint="eastAsia" w:ascii="宋体" w:hAnsi="宋体" w:eastAsia="宋体"/>
          <w:szCs w:val="21"/>
        </w:rPr>
        <w:t>度建设、机制创新不到位的表现。</w:t>
      </w:r>
    </w:p>
    <w:p w14:paraId="08CDEF84">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四、科学发展与社会和谐离不开国有经济</w:t>
      </w:r>
      <w:r>
        <w:rPr>
          <w:rFonts w:ascii="宋体" w:hAnsi="宋体" w:eastAsia="宋体" w:cs="Times New Roman"/>
          <w:b/>
          <w:bCs/>
          <w:sz w:val="24"/>
        </w:rPr>
        <w:t>的发展</w:t>
      </w:r>
    </w:p>
    <w:p w14:paraId="70AE4676">
      <w:pPr>
        <w:spacing w:line="400" w:lineRule="exact"/>
        <w:ind w:firstLine="440" w:firstLineChars="200"/>
        <w:rPr>
          <w:rFonts w:ascii="宋体" w:hAnsi="宋体" w:eastAsia="宋体"/>
          <w:szCs w:val="21"/>
        </w:rPr>
      </w:pPr>
      <w:r>
        <w:rPr>
          <w:rFonts w:hint="eastAsia" w:ascii="宋体" w:hAnsi="宋体" w:eastAsia="宋体"/>
          <w:szCs w:val="21"/>
        </w:rPr>
        <w:t>在现阶段，通过反思和探索来进一步搞好</w:t>
      </w:r>
      <w:r>
        <w:rPr>
          <w:rFonts w:ascii="宋体" w:hAnsi="宋体" w:eastAsia="宋体"/>
          <w:szCs w:val="21"/>
        </w:rPr>
        <w:t>国有企业的改革、国有经济的战略调整和重组，充分发挥国有经济的主导作用，大力增强国有经济的控制力，具有多重的重大现实意义。</w:t>
      </w:r>
    </w:p>
    <w:p w14:paraId="142B99DE">
      <w:pPr>
        <w:spacing w:line="400" w:lineRule="exact"/>
        <w:ind w:firstLine="440" w:firstLineChars="200"/>
        <w:rPr>
          <w:rFonts w:ascii="宋体" w:hAnsi="宋体" w:eastAsia="宋体"/>
          <w:szCs w:val="21"/>
        </w:rPr>
      </w:pPr>
      <w:r>
        <w:rPr>
          <w:rFonts w:hint="eastAsia" w:ascii="宋体" w:hAnsi="宋体" w:eastAsia="宋体"/>
          <w:szCs w:val="21"/>
        </w:rPr>
        <w:t>首先，对于全面落实科学发展观，转变经济</w:t>
      </w:r>
      <w:r>
        <w:rPr>
          <w:rFonts w:ascii="宋体" w:hAnsi="宋体" w:eastAsia="宋体"/>
          <w:szCs w:val="21"/>
        </w:rPr>
        <w:t>发展的方式，实现国民经济又好又快地发展，意义十分重大。</w:t>
      </w:r>
    </w:p>
    <w:p w14:paraId="2DF26EDF">
      <w:pPr>
        <w:spacing w:line="400" w:lineRule="exact"/>
        <w:ind w:firstLine="440" w:firstLineChars="200"/>
        <w:rPr>
          <w:rFonts w:ascii="宋体" w:hAnsi="宋体" w:eastAsia="宋体"/>
          <w:szCs w:val="21"/>
        </w:rPr>
      </w:pPr>
      <w:r>
        <w:rPr>
          <w:rFonts w:hint="eastAsia" w:ascii="宋体" w:hAnsi="宋体" w:eastAsia="宋体"/>
          <w:szCs w:val="21"/>
        </w:rPr>
        <w:t>科学发展观强调提高改革的科学性，增强</w:t>
      </w:r>
      <w:r>
        <w:rPr>
          <w:rFonts w:ascii="宋体" w:hAnsi="宋体" w:eastAsia="宋体"/>
          <w:szCs w:val="21"/>
        </w:rPr>
        <w:t>改革措施的协调性，坚定不移地推进社会主义市场经济方向的改革，而国有经济的改革和发展都最直接地关系到这一方针。因为社会主义与市场经济有效结合的难点，保护生态和节能减排等可持续发展的重点，金融、投资和失业等调控的热点，经营管理不善和收入分配不公等弱点，科技创新和税收等的重头，均程度不同地取决于国有企业和国有经济的现实状态和发展走势。</w:t>
      </w:r>
    </w:p>
    <w:p w14:paraId="0FC09685">
      <w:pPr>
        <w:spacing w:line="400" w:lineRule="exact"/>
        <w:ind w:firstLine="440" w:firstLineChars="200"/>
        <w:rPr>
          <w:rFonts w:ascii="宋体" w:hAnsi="宋体" w:eastAsia="宋体"/>
          <w:szCs w:val="21"/>
        </w:rPr>
      </w:pPr>
      <w:r>
        <w:rPr>
          <w:rFonts w:hint="eastAsia" w:ascii="宋体" w:hAnsi="宋体" w:eastAsia="宋体"/>
          <w:szCs w:val="21"/>
        </w:rPr>
        <w:t>其次，对于构建社会主义和谐社会及其经</w:t>
      </w:r>
      <w:r>
        <w:rPr>
          <w:rFonts w:ascii="宋体" w:hAnsi="宋体" w:eastAsia="宋体"/>
          <w:szCs w:val="21"/>
        </w:rPr>
        <w:t>济基础，协调社会多层面的利益关系，意义重大。</w:t>
      </w:r>
      <w:r>
        <w:rPr>
          <w:rFonts w:hint="eastAsia" w:ascii="宋体" w:hAnsi="宋体" w:eastAsia="宋体"/>
          <w:szCs w:val="21"/>
        </w:rPr>
        <w:t>构建社会主义和谐社会是我们党在开创中</w:t>
      </w:r>
      <w:r>
        <w:rPr>
          <w:rFonts w:ascii="宋体" w:hAnsi="宋体" w:eastAsia="宋体"/>
          <w:szCs w:val="21"/>
        </w:rPr>
        <w:t>国特色社会主义事业新局面中提出的重大战略目标。一个社会和谐状态的出现，表现在多个方面，也有多方面的原因，但起基础作用的是由经济关系决定的利益关系。因此，经济利益关系和谐与否，有着决定性的作用。以包括国有制在内的公有制为主体的社会主义经济关系，是在共同占有生产资料基础上的劳动者分工合作和交换关系，人们之间的经济利益关系消除了对抗</w:t>
      </w:r>
      <w:r>
        <w:rPr>
          <w:rFonts w:hint="eastAsia" w:ascii="宋体" w:hAnsi="宋体" w:eastAsia="宋体"/>
          <w:szCs w:val="21"/>
        </w:rPr>
        <w:t>性仅存在非对抗性的差别，这是</w:t>
      </w:r>
      <w:r>
        <w:rPr>
          <w:rFonts w:ascii="宋体" w:hAnsi="宋体" w:eastAsia="宋体"/>
          <w:szCs w:val="21"/>
        </w:rPr>
        <w:t>“本质和谐”的一种经济关系。生产资料公有制为主体，国家掌握经济命脉，就可以从全体人民的共同利益和全局出发，通过各种机制和手段，推进国民经济各部门、各地区和城乡之间的协调发展，这就可以从更大范围促进社会和谐，以实现改革的成果由人民共享的和谐发展目标。可见，构建和谐社会的社会主义经济基础是国有制主导、公有制主体，在这个前提下，多种所有制经济才能和谐地共同发展。</w:t>
      </w:r>
    </w:p>
    <w:p w14:paraId="05F57F61">
      <w:pPr>
        <w:spacing w:line="400" w:lineRule="exact"/>
        <w:ind w:firstLine="440" w:firstLineChars="200"/>
        <w:rPr>
          <w:rFonts w:ascii="宋体" w:hAnsi="宋体" w:eastAsia="宋体"/>
          <w:szCs w:val="21"/>
        </w:rPr>
      </w:pPr>
      <w:r>
        <w:rPr>
          <w:rFonts w:hint="eastAsia" w:ascii="宋体" w:hAnsi="宋体" w:eastAsia="宋体"/>
          <w:szCs w:val="21"/>
        </w:rPr>
        <w:t>再次，对于自主创新和建立国家创新体系，</w:t>
      </w:r>
      <w:r>
        <w:rPr>
          <w:rFonts w:ascii="宋体" w:hAnsi="宋体" w:eastAsia="宋体"/>
          <w:szCs w:val="21"/>
        </w:rPr>
        <w:t>维护和加强国家经济等安全，意义重大。</w:t>
      </w:r>
      <w:r>
        <w:rPr>
          <w:rFonts w:hint="eastAsia" w:ascii="宋体" w:hAnsi="宋体" w:eastAsia="宋体"/>
          <w:szCs w:val="21"/>
        </w:rPr>
        <w:t>我国作为后发现代化国家，处于主导地位</w:t>
      </w:r>
      <w:r>
        <w:rPr>
          <w:rFonts w:ascii="宋体" w:hAnsi="宋体" w:eastAsia="宋体"/>
          <w:szCs w:val="21"/>
        </w:rPr>
        <w:t>的国有经济是实现国民经济又好又快发展的关键力量。要实现国家的赶超型发展，必须建立国家创新体系。而在国家自主创新体系中，国家创新战略的引导和国有大中型企业作为创新的重要主体，是非常关键的两个环节。战略产业关系到国家的安危，关系到国家在世界经济政治乃至军事事务中的战略行动能力。战略产业对提高综合国力至关重要。因此，在这个领域，必须</w:t>
      </w:r>
      <w:r>
        <w:rPr>
          <w:rFonts w:hint="eastAsia" w:ascii="宋体" w:hAnsi="宋体" w:eastAsia="宋体"/>
          <w:szCs w:val="21"/>
        </w:rPr>
        <w:t>刹住向跨国公司贱卖国企、无原则追捧外资的</w:t>
      </w:r>
      <w:r>
        <w:rPr>
          <w:rFonts w:ascii="宋体" w:hAnsi="宋体" w:eastAsia="宋体"/>
          <w:szCs w:val="21"/>
        </w:rPr>
        <w:t>歪风，改变国有排头兵企业逐渐被外资“斩首”并购的失序状态，并尽快发展和壮大具有自主核心技术和自主名牌的国有控股公司和国有跨国集团。</w:t>
      </w:r>
    </w:p>
    <w:p w14:paraId="64956D88">
      <w:pPr>
        <w:spacing w:line="400" w:lineRule="exact"/>
        <w:ind w:firstLine="440" w:firstLineChars="200"/>
        <w:rPr>
          <w:rFonts w:hint="eastAsia" w:ascii="宋体" w:hAnsi="宋体" w:eastAsia="宋体"/>
          <w:szCs w:val="21"/>
        </w:rPr>
      </w:pPr>
      <w:r>
        <w:rPr>
          <w:rFonts w:hint="eastAsia" w:ascii="宋体" w:hAnsi="宋体" w:eastAsia="宋体"/>
          <w:szCs w:val="21"/>
        </w:rPr>
        <w:t>（原载《</w:t>
      </w:r>
      <w:r>
        <w:rPr>
          <w:rFonts w:hint="eastAsia" w:ascii="宋体" w:hAnsi="宋体" w:eastAsia="宋体" w:cs="宋体"/>
          <w:lang w:bidi="ar"/>
        </w:rPr>
        <w:t>江西社会科学</w:t>
      </w:r>
      <w:r>
        <w:rPr>
          <w:rFonts w:hint="eastAsia" w:ascii="宋体" w:hAnsi="宋体" w:eastAsia="宋体"/>
          <w:szCs w:val="21"/>
        </w:rPr>
        <w:t>》2</w:t>
      </w:r>
      <w:r>
        <w:rPr>
          <w:rFonts w:ascii="宋体" w:hAnsi="宋体" w:eastAsia="宋体"/>
          <w:szCs w:val="21"/>
        </w:rPr>
        <w:t>007</w:t>
      </w:r>
      <w:r>
        <w:rPr>
          <w:rFonts w:hint="eastAsia" w:ascii="宋体" w:hAnsi="宋体" w:eastAsia="宋体"/>
          <w:szCs w:val="21"/>
        </w:rPr>
        <w:t>年第1</w:t>
      </w:r>
      <w:r>
        <w:rPr>
          <w:rFonts w:ascii="宋体" w:hAnsi="宋体" w:eastAsia="宋体"/>
          <w:szCs w:val="21"/>
        </w:rPr>
        <w:t>0</w:t>
      </w:r>
      <w:r>
        <w:rPr>
          <w:rFonts w:hint="eastAsia" w:ascii="宋体" w:hAnsi="宋体" w:eastAsia="宋体"/>
          <w:szCs w:val="21"/>
        </w:rPr>
        <w:t>期，第二作者为毛立言。）</w:t>
      </w:r>
    </w:p>
    <w:p w14:paraId="61438326">
      <w:pPr>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734" w:name="_Toc111193679"/>
      <w:bookmarkStart w:id="735" w:name="_Toc28651"/>
      <w:bookmarkStart w:id="736" w:name="_Toc1574445548"/>
      <w:bookmarkStart w:id="737" w:name="_Toc29269216"/>
      <w:r>
        <w:rPr>
          <w:rFonts w:hint="eastAsia" w:ascii="黑体" w:hAnsi="黑体" w:eastAsia="黑体" w:cs="Times New Roman"/>
          <w:kern w:val="0"/>
          <w:sz w:val="32"/>
          <w:szCs w:val="32"/>
        </w:rPr>
        <w:t>1</w:t>
      </w:r>
      <w:r>
        <w:rPr>
          <w:rFonts w:ascii="黑体" w:hAnsi="黑体" w:eastAsia="黑体" w:cs="Times New Roman"/>
          <w:kern w:val="0"/>
          <w:sz w:val="32"/>
          <w:szCs w:val="32"/>
        </w:rPr>
        <w:t>8</w:t>
      </w:r>
      <w:r>
        <w:rPr>
          <w:rFonts w:hint="eastAsia" w:ascii="黑体" w:hAnsi="黑体" w:eastAsia="黑体" w:cs="Times New Roman"/>
          <w:kern w:val="0"/>
          <w:sz w:val="32"/>
          <w:szCs w:val="32"/>
        </w:rPr>
        <w:t>高举中国特色社会主义伟大旗帜</w:t>
      </w:r>
      <w:bookmarkEnd w:id="734"/>
      <w:bookmarkEnd w:id="735"/>
      <w:bookmarkEnd w:id="736"/>
      <w:bookmarkEnd w:id="737"/>
    </w:p>
    <w:p w14:paraId="6C89A27A">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――学习十七大报告的体会</w:t>
      </w:r>
    </w:p>
    <w:p w14:paraId="669CFD3F">
      <w:pPr>
        <w:spacing w:before="147" w:beforeLines="50" w:after="147" w:afterLines="50" w:line="300" w:lineRule="auto"/>
        <w:ind w:firstLine="500" w:firstLineChars="200"/>
        <w:jc w:val="center"/>
        <w:rPr>
          <w:rFonts w:ascii="宋体" w:hAnsi="宋体" w:eastAsia="宋体" w:cs="Times New Roman"/>
          <w:b/>
          <w:bCs/>
          <w:sz w:val="24"/>
        </w:rPr>
      </w:pPr>
      <w:bookmarkStart w:id="738" w:name="_Toc21088"/>
      <w:bookmarkStart w:id="739" w:name="_Toc27879"/>
      <w:bookmarkStart w:id="740" w:name="_Toc20003"/>
      <w:r>
        <w:rPr>
          <w:rFonts w:hint="eastAsia" w:ascii="宋体" w:hAnsi="宋体" w:eastAsia="宋体" w:cs="Times New Roman"/>
          <w:b/>
          <w:bCs/>
          <w:sz w:val="24"/>
        </w:rPr>
        <w:t>一、提出一个主题、一面旗帜</w:t>
      </w:r>
      <w:bookmarkEnd w:id="738"/>
      <w:bookmarkEnd w:id="739"/>
      <w:bookmarkEnd w:id="740"/>
    </w:p>
    <w:p w14:paraId="737004DD">
      <w:pPr>
        <w:spacing w:line="300" w:lineRule="auto"/>
        <w:ind w:firstLine="440" w:firstLineChars="200"/>
        <w:rPr>
          <w:rFonts w:ascii="宋体" w:hAnsi="宋体" w:eastAsia="宋体" w:cs="宋体"/>
          <w:szCs w:val="21"/>
        </w:rPr>
      </w:pPr>
      <w:r>
        <w:rPr>
          <w:rFonts w:hint="eastAsia" w:ascii="宋体" w:hAnsi="宋体" w:eastAsia="宋体" w:cs="宋体"/>
          <w:szCs w:val="21"/>
        </w:rPr>
        <w:t>在报告的序言中，郑重提出大会即报告的主题是：高举中国特色社会主义伟大旗帜，以邓小平理论和“三个代表”重要思想为指导，深入贯彻落实科学发展观，继续解放思想，坚持改革开放，推动科学发展，促进社会和谐，为夺取全面建设小康社会新胜利而奋斗。</w:t>
      </w:r>
    </w:p>
    <w:p w14:paraId="0D6DD7D2">
      <w:pPr>
        <w:spacing w:line="300" w:lineRule="auto"/>
        <w:ind w:firstLine="440" w:firstLineChars="200"/>
        <w:rPr>
          <w:rFonts w:ascii="宋体" w:hAnsi="宋体" w:eastAsia="宋体" w:cs="宋体"/>
          <w:szCs w:val="21"/>
        </w:rPr>
      </w:pPr>
      <w:r>
        <w:rPr>
          <w:rFonts w:hint="eastAsia" w:ascii="宋体" w:hAnsi="宋体" w:eastAsia="宋体" w:cs="宋体"/>
          <w:szCs w:val="21"/>
        </w:rPr>
        <w:t>中国特色社会主义伟大旗帜，是当代中国发展进步的旗帜，是全党全国各族人民团结奋斗的旗帜。</w:t>
      </w:r>
    </w:p>
    <w:p w14:paraId="3D739E20">
      <w:pPr>
        <w:spacing w:before="147" w:beforeLines="50" w:after="147" w:afterLines="50" w:line="300" w:lineRule="auto"/>
        <w:ind w:firstLine="500" w:firstLineChars="200"/>
        <w:jc w:val="center"/>
        <w:rPr>
          <w:rFonts w:ascii="宋体" w:hAnsi="宋体" w:eastAsia="宋体" w:cs="Times New Roman"/>
          <w:b/>
          <w:bCs/>
          <w:sz w:val="24"/>
        </w:rPr>
      </w:pPr>
      <w:bookmarkStart w:id="741" w:name="_Toc7843"/>
      <w:bookmarkStart w:id="742" w:name="_Toc28457"/>
      <w:bookmarkStart w:id="743" w:name="_Toc7904"/>
      <w:bookmarkStart w:id="744" w:name="_Toc1008"/>
      <w:r>
        <w:rPr>
          <w:rFonts w:hint="eastAsia" w:ascii="宋体" w:hAnsi="宋体" w:eastAsia="宋体" w:cs="Times New Roman"/>
          <w:b/>
          <w:bCs/>
          <w:sz w:val="24"/>
        </w:rPr>
        <w:t>二、提出近五年与二十九年的回顾和经验总结</w:t>
      </w:r>
      <w:bookmarkEnd w:id="741"/>
      <w:bookmarkEnd w:id="742"/>
      <w:bookmarkEnd w:id="743"/>
      <w:bookmarkEnd w:id="744"/>
    </w:p>
    <w:p w14:paraId="7E000C33">
      <w:pPr>
        <w:spacing w:line="300" w:lineRule="auto"/>
        <w:ind w:firstLine="440" w:firstLineChars="200"/>
        <w:rPr>
          <w:rFonts w:ascii="宋体" w:hAnsi="宋体" w:eastAsia="宋体" w:cs="宋体"/>
          <w:szCs w:val="21"/>
        </w:rPr>
      </w:pPr>
      <w:r>
        <w:rPr>
          <w:rFonts w:hint="eastAsia" w:ascii="宋体" w:hAnsi="宋体" w:eastAsia="宋体" w:cs="宋体"/>
          <w:szCs w:val="21"/>
        </w:rPr>
        <w:t>报告总结了过去五年包括经济、改革、社会建设等取得的十大成就，同时指出存在的包括城乡统筹、社会保障、党的建设等方面的八个问题。概括了新时期的三大特征，并总结了经验的十个结合。</w:t>
      </w:r>
    </w:p>
    <w:p w14:paraId="18978290">
      <w:pPr>
        <w:spacing w:line="300" w:lineRule="auto"/>
        <w:ind w:firstLine="440" w:firstLineChars="200"/>
        <w:rPr>
          <w:rFonts w:ascii="宋体" w:hAnsi="宋体" w:eastAsia="宋体" w:cs="宋体"/>
          <w:szCs w:val="21"/>
        </w:rPr>
      </w:pPr>
      <w:r>
        <w:rPr>
          <w:rFonts w:hint="eastAsia" w:ascii="宋体" w:hAnsi="宋体" w:eastAsia="宋体" w:cs="宋体"/>
          <w:szCs w:val="21"/>
        </w:rPr>
        <w:t>新时期三大特征：第一个特征是从行为特征上看的，最鲜明的特点是改革开放。第二个特征是从效果特征上看的，最显著的成就是快速发展。我国以世界上少有的速度持续快速发展起来，总量跃至世界第四、进出口总额位居世界第三，人民生活从温饱不足发展到总体小康，农村贫困人口从两亿五千多万减少到两千多万，政治建设、文化建设、社会建设取得举世瞩目的成就。第三个特征是从思想特征上看的，最突出的标志是与时俱进。我们党坚持马克思主义的思想路线，不断探索社会主义和党建，不断推进马克思主义中国化。</w:t>
      </w:r>
    </w:p>
    <w:p w14:paraId="646ACC3D">
      <w:pPr>
        <w:spacing w:line="300" w:lineRule="auto"/>
        <w:ind w:firstLine="440" w:firstLineChars="200"/>
        <w:rPr>
          <w:rFonts w:ascii="宋体" w:hAnsi="宋体" w:eastAsia="宋体" w:cs="宋体"/>
          <w:szCs w:val="21"/>
        </w:rPr>
      </w:pPr>
      <w:r>
        <w:rPr>
          <w:rFonts w:hint="eastAsia" w:ascii="宋体" w:hAnsi="宋体" w:eastAsia="宋体" w:cs="宋体"/>
          <w:szCs w:val="21"/>
        </w:rPr>
        <w:t>总结经验的十个结合：一是把坚持马克思主义基本原理同推进马克思主义中国化结合起来；二是把坚持四项基本原则同坚持改革开放结合起来；三是把尊重人民首创精神同加强和改善党的领导结合起来；四是把坚持社会主义基本制度同发展市场经济结合起来；五是把推动经济基础变革同推动上层建筑改革结合起来；六是把发展社会生产力同提高全民族文明素质结合起来；七是把提高效率同促进社会公平结合起来；八是把坚持独立自主同参与经济全球化结合起来；九是把促进改革发展同保持社会稳定结合起来；十是把推进中国特色社会主义伟大事业同推进党的建设新的伟大工程结合起来。</w:t>
      </w:r>
    </w:p>
    <w:p w14:paraId="27C0F77B">
      <w:pPr>
        <w:spacing w:line="300" w:lineRule="auto"/>
        <w:ind w:firstLine="440" w:firstLineChars="200"/>
        <w:rPr>
          <w:rFonts w:ascii="宋体" w:hAnsi="宋体" w:eastAsia="宋体" w:cs="宋体"/>
          <w:szCs w:val="21"/>
        </w:rPr>
      </w:pPr>
      <w:r>
        <w:rPr>
          <w:rFonts w:hint="eastAsia" w:ascii="宋体" w:hAnsi="宋体" w:eastAsia="宋体" w:cs="宋体"/>
          <w:szCs w:val="21"/>
        </w:rPr>
        <w:t>在阐述取得成绩和进步的根本原因时指出，由于我们党开辟了中国特色社会主义道路，形成了中国特色社会主义理论体系，才不断地将中国改革开放伟大事业成功推向二十一世纪。</w:t>
      </w:r>
    </w:p>
    <w:p w14:paraId="70C1984B">
      <w:pPr>
        <w:spacing w:before="147" w:beforeLines="50" w:after="147" w:afterLines="50" w:line="300" w:lineRule="auto"/>
        <w:ind w:firstLine="500" w:firstLineChars="200"/>
        <w:jc w:val="center"/>
        <w:rPr>
          <w:rFonts w:ascii="宋体" w:hAnsi="宋体" w:eastAsia="宋体" w:cs="Times New Roman"/>
          <w:b/>
          <w:bCs/>
          <w:sz w:val="24"/>
        </w:rPr>
      </w:pPr>
      <w:bookmarkStart w:id="745" w:name="_Toc29363"/>
      <w:bookmarkStart w:id="746" w:name="_Toc28533"/>
      <w:bookmarkStart w:id="747" w:name="_Toc18880"/>
      <w:r>
        <w:rPr>
          <w:rFonts w:hint="eastAsia" w:ascii="宋体" w:hAnsi="宋体" w:eastAsia="宋体" w:cs="Times New Roman"/>
          <w:b/>
          <w:bCs/>
          <w:sz w:val="24"/>
        </w:rPr>
        <w:t>三、深入贯彻落实科学发展观和实现全面建设小康社会奋斗目标的新要求</w:t>
      </w:r>
      <w:bookmarkEnd w:id="745"/>
      <w:bookmarkEnd w:id="746"/>
      <w:bookmarkEnd w:id="747"/>
    </w:p>
    <w:p w14:paraId="1BFAA71E">
      <w:pPr>
        <w:spacing w:line="300" w:lineRule="auto"/>
        <w:ind w:firstLine="440" w:firstLineChars="200"/>
        <w:rPr>
          <w:rFonts w:ascii="宋体" w:hAnsi="宋体" w:eastAsia="宋体" w:cs="宋体"/>
          <w:szCs w:val="21"/>
        </w:rPr>
      </w:pPr>
      <w:r>
        <w:rPr>
          <w:rFonts w:hint="eastAsia" w:ascii="宋体" w:hAnsi="宋体" w:eastAsia="宋体" w:cs="宋体"/>
          <w:szCs w:val="21"/>
        </w:rPr>
        <w:t>该部分指出我国基本国情和主要矛盾没有变，并概括了我国发展新的阶段性特征：我国虽然已初步建立起社会主义市场经济体系，经济实力得到显著增强，但长期形成的结构性矛盾和粗放型增长方式尚未根本改变，区域发展差距和促进经济社会协调发展任务艰巨；社会主义民主政治不断发展、依法治国基本方略扎实贯彻，同时民主法制建设与扩大人民民主和经济社会发展的要求还不完全适应，政治体制改革需要继续深化；对外开放日益扩大，同时面临的国际竞争日趋激烈，发达国家在经济科技上占优势的压力长期存在，可以预见和难以预见的风险增多，统筹国内发展和对外开放要求更高。</w:t>
      </w:r>
    </w:p>
    <w:p w14:paraId="03E4DB80">
      <w:pPr>
        <w:spacing w:line="300" w:lineRule="auto"/>
        <w:ind w:firstLine="440" w:firstLineChars="200"/>
        <w:rPr>
          <w:rFonts w:ascii="宋体" w:hAnsi="宋体" w:eastAsia="宋体" w:cs="宋体"/>
          <w:szCs w:val="21"/>
        </w:rPr>
      </w:pPr>
      <w:r>
        <w:rPr>
          <w:rFonts w:hint="eastAsia" w:ascii="宋体" w:hAnsi="宋体" w:eastAsia="宋体" w:cs="宋体"/>
          <w:szCs w:val="21"/>
        </w:rPr>
        <w:t>由以上特征得出科学发展观的现实必要性和紧迫性。再次强调了科学发展观的四层内涵并提出四项新要求。即第一要义是发展，核心是以人为本，基本要求是全面协调可持续，根本方法是统筹兼顾。深入贯彻落实科学发展观，要求我们始终坚持“一个中心、两个基本点”的基本路线；要求我们积极构建社会主义和谐社会；要求我们继续深化改革开放；要求我们切实加强和改进党的建设。为科学发展提供可靠的政治和组织保障。</w:t>
      </w:r>
    </w:p>
    <w:p w14:paraId="34F857F3">
      <w:pPr>
        <w:spacing w:line="300" w:lineRule="auto"/>
        <w:ind w:firstLine="440" w:firstLineChars="200"/>
        <w:rPr>
          <w:rFonts w:ascii="宋体" w:hAnsi="宋体" w:eastAsia="宋体" w:cs="宋体"/>
          <w:szCs w:val="21"/>
        </w:rPr>
      </w:pPr>
      <w:r>
        <w:rPr>
          <w:rFonts w:hint="eastAsia" w:ascii="宋体" w:hAnsi="宋体" w:eastAsia="宋体" w:cs="宋体"/>
          <w:szCs w:val="21"/>
        </w:rPr>
        <w:t>此部分最后，在十六大确立的全面建设小康社会目标的基础上对我国发展提出新的更高要求：即增强发展协调性，努力实现经济又好又快发展；扩大社会主义民主，更好保障人民权益和社会公平正义；加强文化建设，明显提高全民族文明素质；加快发展社会事业，全面改善人民生活；建设生态文明，基本形成节约能源资源和保护生态环境的产业结构、增长方式、消费模式。</w:t>
      </w:r>
    </w:p>
    <w:p w14:paraId="0D46A1A3">
      <w:pPr>
        <w:spacing w:before="147" w:beforeLines="50" w:after="147" w:afterLines="50" w:line="300" w:lineRule="auto"/>
        <w:ind w:firstLine="500" w:firstLineChars="200"/>
        <w:jc w:val="center"/>
        <w:rPr>
          <w:rFonts w:ascii="宋体" w:hAnsi="宋体" w:eastAsia="宋体" w:cs="Times New Roman"/>
          <w:b/>
          <w:bCs/>
          <w:sz w:val="24"/>
        </w:rPr>
      </w:pPr>
      <w:bookmarkStart w:id="748" w:name="_Toc19793"/>
      <w:bookmarkStart w:id="749" w:name="_Toc21075"/>
      <w:bookmarkStart w:id="750" w:name="_Toc4067"/>
      <w:bookmarkStart w:id="751" w:name="_Toc26265"/>
      <w:r>
        <w:rPr>
          <w:rFonts w:hint="eastAsia" w:ascii="宋体" w:hAnsi="宋体" w:eastAsia="宋体" w:cs="Times New Roman"/>
          <w:b/>
          <w:bCs/>
          <w:sz w:val="24"/>
        </w:rPr>
        <w:t>四、四位一体的全面建设</w:t>
      </w:r>
      <w:bookmarkEnd w:id="748"/>
      <w:bookmarkEnd w:id="749"/>
      <w:bookmarkEnd w:id="750"/>
      <w:bookmarkEnd w:id="751"/>
    </w:p>
    <w:p w14:paraId="0734A613">
      <w:pPr>
        <w:spacing w:line="300" w:lineRule="auto"/>
        <w:ind w:firstLine="440" w:firstLineChars="200"/>
        <w:rPr>
          <w:rFonts w:ascii="宋体" w:hAnsi="宋体" w:eastAsia="宋体" w:cs="宋体"/>
          <w:szCs w:val="21"/>
        </w:rPr>
      </w:pPr>
      <w:r>
        <w:rPr>
          <w:rFonts w:hint="eastAsia" w:ascii="宋体" w:hAnsi="宋体" w:eastAsia="宋体" w:cs="宋体"/>
          <w:szCs w:val="21"/>
        </w:rPr>
        <w:t>提出八条经济措施，促进国民经济又好又快发展。提高自主创新能力，建设创新型国家；加快转变经济发展方式，推动产业结构优化升级；统筹城乡发展，推进社会主义新农村建设；加强能源资源节约和生态环境保护，增强可持续发展能力；推动区域协调发展，优化国土开发格局；完善基本经济制度，健全现代市场体系；深化财税、金融等体制改革，完善宏观调控体系；拓展对外开放广度和深度，提高开放型经济水平。</w:t>
      </w:r>
    </w:p>
    <w:p w14:paraId="54AB8917">
      <w:pPr>
        <w:spacing w:line="300" w:lineRule="auto"/>
        <w:ind w:firstLine="440" w:firstLineChars="200"/>
        <w:rPr>
          <w:rFonts w:ascii="宋体" w:hAnsi="宋体" w:eastAsia="宋体" w:cs="宋体"/>
          <w:szCs w:val="21"/>
        </w:rPr>
      </w:pPr>
      <w:r>
        <w:rPr>
          <w:rFonts w:hint="eastAsia" w:ascii="宋体" w:hAnsi="宋体" w:eastAsia="宋体" w:cs="宋体"/>
          <w:szCs w:val="21"/>
        </w:rPr>
        <w:t>提出六条政治措施，坚定不移发展社会主义民主政治。扩大人民民主，保证人民当家作主；发展基层民主，保障人民享有更多更切实的民主权利；全面落实依法治国基本方略，加快建设社会主义法治国家；壮大爱国统一战线，团结一切可以团结的力量；加快行政管理体制改革，建设服务型政府；完善制约和监督机制，保证人民赋予的权力始终用来为人民谋利益。</w:t>
      </w:r>
    </w:p>
    <w:p w14:paraId="30B697B3">
      <w:pPr>
        <w:spacing w:line="300" w:lineRule="auto"/>
        <w:ind w:firstLine="440" w:firstLineChars="200"/>
        <w:rPr>
          <w:rFonts w:ascii="宋体" w:hAnsi="宋体" w:eastAsia="宋体" w:cs="宋体"/>
          <w:szCs w:val="21"/>
        </w:rPr>
      </w:pPr>
      <w:r>
        <w:rPr>
          <w:rFonts w:hint="eastAsia" w:ascii="宋体" w:hAnsi="宋体" w:eastAsia="宋体" w:cs="宋体"/>
          <w:szCs w:val="21"/>
        </w:rPr>
        <w:t>提出四条文化措施，推动社会主义文化大发展大繁荣。建设社会主义核心价值体系，增强社会主义意识形态的吸引力和凝聚力；建设和谐文化，培育文明风尚；弘扬中华文化，建设中华民族共有精神家园；推进文化创新，增强文化发展活力。</w:t>
      </w:r>
    </w:p>
    <w:p w14:paraId="6363957E">
      <w:pPr>
        <w:spacing w:line="300" w:lineRule="auto"/>
        <w:ind w:firstLine="440" w:firstLineChars="200"/>
        <w:rPr>
          <w:rFonts w:ascii="宋体" w:hAnsi="宋体" w:eastAsia="宋体" w:cs="宋体"/>
          <w:szCs w:val="21"/>
        </w:rPr>
      </w:pPr>
      <w:r>
        <w:rPr>
          <w:rFonts w:hint="eastAsia" w:ascii="宋体" w:hAnsi="宋体" w:eastAsia="宋体" w:cs="宋体"/>
          <w:szCs w:val="21"/>
        </w:rPr>
        <w:t>提出六条社会措施，加快推进以改善民生为重点的社会建设。优先发展教育，建设人力资源强国；实施扩大就业的发展战略，促进以创业带动就业；深化收入分配制度改革，增加城乡居民收入；加快建立覆盖城乡居民的社会保障体系，保障人民基本生活；建立基本医疗卫生制度，提高全民健康水平；完善社会管理，维护社会安定团结。</w:t>
      </w:r>
    </w:p>
    <w:p w14:paraId="589D4D1A">
      <w:pPr>
        <w:spacing w:before="147" w:beforeLines="50" w:after="147" w:afterLines="50" w:line="300" w:lineRule="auto"/>
        <w:ind w:firstLine="500" w:firstLineChars="200"/>
        <w:jc w:val="center"/>
        <w:rPr>
          <w:rFonts w:ascii="宋体" w:hAnsi="宋体" w:eastAsia="宋体" w:cs="Times New Roman"/>
          <w:b/>
          <w:bCs/>
          <w:sz w:val="24"/>
        </w:rPr>
      </w:pPr>
      <w:bookmarkStart w:id="752" w:name="_Toc9944"/>
      <w:bookmarkStart w:id="753" w:name="_Toc6504"/>
      <w:bookmarkStart w:id="754" w:name="_Toc6875"/>
      <w:bookmarkStart w:id="755" w:name="_Toc2882"/>
      <w:r>
        <w:rPr>
          <w:rFonts w:hint="eastAsia" w:ascii="宋体" w:hAnsi="宋体" w:eastAsia="宋体" w:cs="Times New Roman"/>
          <w:b/>
          <w:bCs/>
          <w:sz w:val="24"/>
        </w:rPr>
        <w:t>五、提出其他四个领域的建设和任务</w:t>
      </w:r>
      <w:bookmarkEnd w:id="752"/>
      <w:bookmarkEnd w:id="753"/>
      <w:bookmarkEnd w:id="754"/>
      <w:bookmarkEnd w:id="755"/>
    </w:p>
    <w:p w14:paraId="5CC875DB">
      <w:pPr>
        <w:spacing w:line="300" w:lineRule="auto"/>
        <w:ind w:firstLine="440" w:firstLineChars="200"/>
        <w:rPr>
          <w:rFonts w:ascii="宋体" w:hAnsi="宋体" w:eastAsia="宋体" w:cs="宋体"/>
          <w:szCs w:val="21"/>
        </w:rPr>
      </w:pPr>
      <w:r>
        <w:rPr>
          <w:rFonts w:hint="eastAsia" w:ascii="宋体" w:hAnsi="宋体" w:eastAsia="宋体" w:cs="宋体"/>
          <w:szCs w:val="21"/>
        </w:rPr>
        <w:t>国防建设：开创国防和军队现代化建设新局面。</w:t>
      </w:r>
    </w:p>
    <w:p w14:paraId="24F98ECB">
      <w:pPr>
        <w:spacing w:line="300" w:lineRule="auto"/>
        <w:ind w:firstLine="440" w:firstLineChars="200"/>
        <w:rPr>
          <w:rFonts w:ascii="宋体" w:hAnsi="宋体" w:eastAsia="宋体" w:cs="宋体"/>
          <w:szCs w:val="21"/>
        </w:rPr>
      </w:pPr>
      <w:r>
        <w:rPr>
          <w:rFonts w:hint="eastAsia" w:ascii="宋体" w:hAnsi="宋体" w:eastAsia="宋体" w:cs="宋体"/>
          <w:szCs w:val="21"/>
        </w:rPr>
        <w:t>祖国统一：推进“一国两制”实践和祖国和平统一大业。</w:t>
      </w:r>
    </w:p>
    <w:p w14:paraId="01BD6666">
      <w:pPr>
        <w:spacing w:line="300" w:lineRule="auto"/>
        <w:ind w:firstLine="440" w:firstLineChars="200"/>
        <w:rPr>
          <w:rFonts w:ascii="宋体" w:hAnsi="宋体" w:eastAsia="宋体" w:cs="宋体"/>
          <w:szCs w:val="21"/>
        </w:rPr>
      </w:pPr>
      <w:r>
        <w:rPr>
          <w:rFonts w:hint="eastAsia" w:ascii="宋体" w:hAnsi="宋体" w:eastAsia="宋体" w:cs="宋体"/>
          <w:szCs w:val="21"/>
        </w:rPr>
        <w:t>和平外交：始终不渝走和平发展道路。</w:t>
      </w:r>
    </w:p>
    <w:p w14:paraId="7EB6C711">
      <w:pPr>
        <w:spacing w:line="300" w:lineRule="auto"/>
        <w:ind w:firstLine="440" w:firstLineChars="200"/>
        <w:rPr>
          <w:rFonts w:ascii="宋体" w:hAnsi="宋体" w:eastAsia="宋体" w:cs="宋体"/>
          <w:szCs w:val="21"/>
        </w:rPr>
      </w:pPr>
      <w:r>
        <w:rPr>
          <w:rFonts w:hint="eastAsia" w:ascii="宋体" w:hAnsi="宋体" w:eastAsia="宋体" w:cs="宋体"/>
          <w:szCs w:val="21"/>
        </w:rPr>
        <w:t>党的建设：以改革创新精神全面推进党的建设新的伟大工程。第一，要重视“三情”变化：世情、国情、党情的发展变化，决定了以改革创新精神加强党的建设既十分重要又十分紧迫。我认为，应当以世情为鉴(借鉴)、国情为据(依据)、党情为要(领要)。第二，把握两条主线：必须把党的执政能力建设和先进性建设作为主线。第三，着力六层建设：一是思想理论建设；二是执政能力建设；三是党内民主建设；四是干部人事制度建设；五是基层党的建设；六是反腐倡廉建设。</w:t>
      </w:r>
    </w:p>
    <w:p w14:paraId="1580C53F">
      <w:pPr>
        <w:spacing w:before="147" w:beforeLines="50" w:after="147" w:afterLines="50" w:line="300" w:lineRule="auto"/>
        <w:ind w:firstLine="500" w:firstLineChars="200"/>
        <w:jc w:val="center"/>
        <w:rPr>
          <w:rFonts w:ascii="宋体" w:hAnsi="宋体" w:eastAsia="宋体" w:cs="Times New Roman"/>
          <w:b/>
          <w:bCs/>
          <w:sz w:val="24"/>
        </w:rPr>
      </w:pPr>
      <w:bookmarkStart w:id="756" w:name="_Toc1628"/>
      <w:bookmarkStart w:id="757" w:name="_Toc10332"/>
      <w:r>
        <w:rPr>
          <w:rFonts w:hint="eastAsia" w:ascii="宋体" w:hAnsi="宋体" w:eastAsia="宋体" w:cs="Times New Roman"/>
          <w:b/>
          <w:bCs/>
          <w:sz w:val="24"/>
        </w:rPr>
        <w:t>六、提出三点高度总结</w:t>
      </w:r>
      <w:bookmarkEnd w:id="756"/>
      <w:bookmarkEnd w:id="757"/>
    </w:p>
    <w:p w14:paraId="52060976">
      <w:pPr>
        <w:spacing w:line="300" w:lineRule="auto"/>
        <w:ind w:firstLine="440" w:firstLineChars="200"/>
        <w:rPr>
          <w:rFonts w:ascii="宋体" w:hAnsi="宋体" w:eastAsia="宋体" w:cs="宋体"/>
          <w:szCs w:val="21"/>
        </w:rPr>
      </w:pPr>
      <w:r>
        <w:rPr>
          <w:rFonts w:hint="eastAsia" w:ascii="宋体" w:hAnsi="宋体" w:eastAsia="宋体" w:cs="宋体"/>
          <w:szCs w:val="21"/>
        </w:rPr>
        <w:t>在报告结束语中明确提出：</w:t>
      </w:r>
    </w:p>
    <w:p w14:paraId="4DB1A609">
      <w:pPr>
        <w:spacing w:line="300" w:lineRule="auto"/>
        <w:ind w:firstLine="440" w:firstLineChars="200"/>
        <w:rPr>
          <w:rFonts w:ascii="宋体" w:hAnsi="宋体" w:eastAsia="宋体" w:cs="宋体"/>
          <w:szCs w:val="21"/>
        </w:rPr>
      </w:pPr>
      <w:r>
        <w:rPr>
          <w:rFonts w:hint="eastAsia" w:ascii="宋体" w:hAnsi="宋体" w:eastAsia="宋体" w:cs="宋体"/>
          <w:szCs w:val="21"/>
        </w:rPr>
        <w:t>第一点，概括两个继承和发展：我们党正在带领全国各族人民进行的改革开放和社会主义现代化建设，是新中国成立以后我国社会主义建设伟大事业的继承和发展，是近代以来中国人民争取民族独立、实现国家富强伟大事业的继承和发展。</w:t>
      </w:r>
    </w:p>
    <w:p w14:paraId="3D4AB7DB">
      <w:pPr>
        <w:spacing w:line="300" w:lineRule="auto"/>
        <w:ind w:firstLine="440" w:firstLineChars="200"/>
        <w:rPr>
          <w:rFonts w:ascii="宋体" w:hAnsi="宋体" w:eastAsia="宋体" w:cs="宋体"/>
          <w:szCs w:val="21"/>
        </w:rPr>
      </w:pPr>
      <w:r>
        <w:rPr>
          <w:rFonts w:hint="eastAsia" w:ascii="宋体" w:hAnsi="宋体" w:eastAsia="宋体" w:cs="宋体"/>
          <w:szCs w:val="21"/>
        </w:rPr>
        <w:t>第二点，强调三大历史任务：展望未来，我们对实现推进现代化建设、完成祖国统一、维护世界和平与促进共同发展这三大历史任务充满信心。</w:t>
      </w:r>
    </w:p>
    <w:p w14:paraId="79033891">
      <w:pPr>
        <w:spacing w:line="300" w:lineRule="auto"/>
        <w:ind w:firstLine="440" w:firstLineChars="200"/>
        <w:rPr>
          <w:rFonts w:ascii="宋体" w:hAnsi="宋体" w:eastAsia="宋体" w:cs="宋体"/>
          <w:szCs w:val="21"/>
        </w:rPr>
      </w:pPr>
      <w:r>
        <w:rPr>
          <w:rFonts w:hint="eastAsia" w:ascii="宋体" w:hAnsi="宋体" w:eastAsia="宋体" w:cs="宋体"/>
          <w:szCs w:val="21"/>
        </w:rPr>
        <w:t>第三点，要求“四个一定”：我们一定要居安思危、增强忧患意识，始终保持对马克思主义、对中国特色社会主义、对实现中华民族伟大复兴的坚定信念；一定要戒骄戒躁、艰苦奋斗，牢记社会主义初级阶段基本国情，为党和人民事业不懈努力；一定要刻苦学习、埋头苦干，不断创造经得起实践、人民、历史检验的业绩；一定要加强团结、顾全大局，自觉维护全党的团结统一，保持党同人民群众的血肉联系，巩固全国各族人民的大团结，加强海内外中华儿女的大团结，促进中国人民同世界各国人民的大团结，为战胜一切艰难险阻、推动党和人民事业取得新的更大胜利提供强大力量。</w:t>
      </w:r>
    </w:p>
    <w:p w14:paraId="47DFE653">
      <w:pPr>
        <w:spacing w:before="147" w:beforeLines="50" w:after="147" w:afterLines="50" w:line="300" w:lineRule="auto"/>
        <w:ind w:firstLine="500" w:firstLineChars="200"/>
        <w:jc w:val="center"/>
        <w:rPr>
          <w:rFonts w:ascii="宋体" w:hAnsi="宋体" w:eastAsia="宋体" w:cs="Times New Roman"/>
          <w:b/>
          <w:bCs/>
          <w:sz w:val="24"/>
        </w:rPr>
      </w:pPr>
      <w:bookmarkStart w:id="758" w:name="_Toc27408"/>
      <w:bookmarkStart w:id="759" w:name="_Toc25418"/>
      <w:bookmarkStart w:id="760" w:name="_Toc31499"/>
      <w:r>
        <w:rPr>
          <w:rFonts w:hint="eastAsia" w:ascii="宋体" w:hAnsi="宋体" w:eastAsia="宋体" w:cs="Times New Roman"/>
          <w:b/>
          <w:bCs/>
          <w:sz w:val="24"/>
        </w:rPr>
        <w:t>七、报告的基本特点和新亮点</w:t>
      </w:r>
      <w:bookmarkEnd w:id="758"/>
      <w:bookmarkEnd w:id="759"/>
      <w:bookmarkEnd w:id="760"/>
    </w:p>
    <w:p w14:paraId="6D736AC7">
      <w:pPr>
        <w:spacing w:line="300" w:lineRule="auto"/>
        <w:ind w:firstLine="440" w:firstLineChars="200"/>
        <w:rPr>
          <w:rFonts w:ascii="宋体" w:hAnsi="宋体" w:eastAsia="宋体" w:cs="宋体"/>
          <w:szCs w:val="21"/>
        </w:rPr>
      </w:pPr>
      <w:r>
        <w:rPr>
          <w:rFonts w:hint="eastAsia" w:ascii="宋体" w:hAnsi="宋体" w:eastAsia="宋体" w:cs="宋体"/>
          <w:szCs w:val="21"/>
        </w:rPr>
        <w:t>整个报告有五个特点：</w:t>
      </w:r>
    </w:p>
    <w:p w14:paraId="2DDA1102">
      <w:pPr>
        <w:spacing w:line="300" w:lineRule="auto"/>
        <w:ind w:firstLine="440" w:firstLineChars="200"/>
        <w:rPr>
          <w:rFonts w:ascii="宋体" w:hAnsi="宋体" w:eastAsia="宋体" w:cs="宋体"/>
          <w:szCs w:val="21"/>
        </w:rPr>
      </w:pPr>
      <w:r>
        <w:rPr>
          <w:rFonts w:hint="eastAsia" w:ascii="宋体" w:hAnsi="宋体" w:eastAsia="宋体" w:cs="宋体"/>
          <w:szCs w:val="21"/>
        </w:rPr>
        <w:t>一是旗帜鲜明(中国特色社会主义旗帜)；二是路线正确(继续解放思想的思想路线，一个中心、两个基本点的政治路线)；三是要求明确(落实科学发展观有四个要求；实现全面小康社会有五个要求)；四是举措有力(四位一体建设；国防建设、祖国统一、和平外交、党的建设四个领域都有重要措施)；五是文风朴实(老百姓都看得懂的语言)。</w:t>
      </w:r>
    </w:p>
    <w:p w14:paraId="37A11C44">
      <w:pPr>
        <w:spacing w:before="147" w:beforeLines="50" w:after="147" w:afterLines="50" w:line="300" w:lineRule="auto"/>
        <w:ind w:firstLine="500" w:firstLineChars="200"/>
        <w:jc w:val="center"/>
        <w:rPr>
          <w:rFonts w:ascii="宋体" w:hAnsi="宋体" w:eastAsia="宋体" w:cs="Times New Roman"/>
          <w:b/>
          <w:bCs/>
          <w:sz w:val="24"/>
        </w:rPr>
      </w:pPr>
      <w:bookmarkStart w:id="761" w:name="_Toc12639"/>
      <w:bookmarkStart w:id="762" w:name="_Toc25421"/>
      <w:bookmarkStart w:id="763" w:name="_Toc30288"/>
      <w:r>
        <w:rPr>
          <w:rFonts w:hint="eastAsia" w:ascii="宋体" w:hAnsi="宋体" w:eastAsia="宋体" w:cs="Times New Roman"/>
          <w:b/>
          <w:bCs/>
          <w:sz w:val="24"/>
        </w:rPr>
        <w:t>八、十五个创新亮点</w:t>
      </w:r>
      <w:bookmarkEnd w:id="761"/>
      <w:bookmarkEnd w:id="762"/>
      <w:bookmarkEnd w:id="763"/>
    </w:p>
    <w:p w14:paraId="29B31C9E">
      <w:pPr>
        <w:spacing w:line="300" w:lineRule="auto"/>
        <w:ind w:firstLine="440" w:firstLineChars="200"/>
        <w:rPr>
          <w:rFonts w:ascii="宋体" w:hAnsi="宋体" w:eastAsia="宋体" w:cs="宋体"/>
          <w:szCs w:val="21"/>
        </w:rPr>
      </w:pPr>
      <w:r>
        <w:rPr>
          <w:rFonts w:hint="eastAsia" w:ascii="宋体" w:hAnsi="宋体" w:eastAsia="宋体" w:cs="宋体"/>
          <w:szCs w:val="21"/>
        </w:rPr>
        <w:t>马克思主义方法论的新应用——唯物辩证法贯穿报告全文</w:t>
      </w:r>
    </w:p>
    <w:p w14:paraId="7F3D9E1F">
      <w:pPr>
        <w:spacing w:line="300" w:lineRule="auto"/>
        <w:ind w:firstLine="440" w:firstLineChars="200"/>
        <w:rPr>
          <w:rFonts w:ascii="宋体" w:hAnsi="宋体" w:eastAsia="宋体" w:cs="宋体"/>
          <w:szCs w:val="21"/>
        </w:rPr>
      </w:pPr>
      <w:r>
        <w:rPr>
          <w:rFonts w:hint="eastAsia" w:ascii="宋体" w:hAnsi="宋体" w:eastAsia="宋体" w:cs="宋体"/>
          <w:szCs w:val="21"/>
        </w:rPr>
        <w:t>唯物辩证法是马克思主义最根本的方法论。十七大报告中创造性地使用了唯物辩证法，对过去五年的工作和改革开放的历史进程进行了全面、系统、客观的评价和总结，对发展的辩证逻辑进行了清晰的定位，是贯穿马克思主义唯物辩证法的光辉典范。</w:t>
      </w:r>
    </w:p>
    <w:p w14:paraId="5DCB7CB0">
      <w:pPr>
        <w:spacing w:line="300" w:lineRule="auto"/>
        <w:ind w:firstLine="440" w:firstLineChars="200"/>
        <w:rPr>
          <w:rFonts w:ascii="宋体" w:hAnsi="宋体" w:eastAsia="宋体" w:cs="宋体"/>
          <w:szCs w:val="21"/>
        </w:rPr>
      </w:pPr>
      <w:r>
        <w:rPr>
          <w:rFonts w:hint="eastAsia" w:ascii="宋体" w:hAnsi="宋体" w:eastAsia="宋体" w:cs="宋体"/>
          <w:szCs w:val="21"/>
        </w:rPr>
        <w:t>十七大报告用“马克思主义基本原理同推进马克思主义中国化、坚持四项基本原则，同坚持改革开放、尊重人民首创精神，同加强和改善党的领导、坚持社会主义基本制度，同发展市场经济、推动经济基础变革，同推动上层建筑改革、发展社会生产力，同提高全民族文明素质、提高效率，同促进社会公平、坚持独立自主，同参与经济全球化、促进改革发展，同保持社会稳定、推进中国特色社会主义伟大事业，同推进党的建设新的伟大工程“十个结合”，精辟概括了改革开放的宝贵经验，是中国共产党人辩证思维的大智慧。</w:t>
      </w:r>
    </w:p>
    <w:p w14:paraId="7FBCD0FF">
      <w:pPr>
        <w:spacing w:line="300" w:lineRule="auto"/>
        <w:ind w:firstLine="440" w:firstLineChars="200"/>
        <w:rPr>
          <w:rFonts w:ascii="宋体" w:hAnsi="宋体" w:eastAsia="宋体" w:cs="宋体"/>
          <w:szCs w:val="21"/>
        </w:rPr>
      </w:pPr>
      <w:r>
        <w:rPr>
          <w:rFonts w:hint="eastAsia" w:ascii="宋体" w:hAnsi="宋体" w:eastAsia="宋体" w:cs="宋体"/>
          <w:szCs w:val="21"/>
        </w:rPr>
        <w:t>十七大报告对马克思主义关于发展的世界观和方法论一一科学发展观的内涵和体系做出了最为系统和全面的辩证概括。报告指出：“科学发展观，第一要义是发展，核心是以人为本，基本要求是全面协调可持续，根本方法是统筹兼顾。”这是对马克思主义关于发展的世界观和方法论在党的报告中的最新概括，也是对中国特色社会主义事业发展逻辑的最新辩证阐释。</w:t>
      </w:r>
    </w:p>
    <w:p w14:paraId="13D3CE71">
      <w:pPr>
        <w:spacing w:line="300" w:lineRule="auto"/>
        <w:ind w:firstLine="440" w:firstLineChars="200"/>
        <w:rPr>
          <w:rFonts w:ascii="宋体" w:hAnsi="宋体" w:eastAsia="宋体" w:cs="宋体"/>
          <w:szCs w:val="21"/>
        </w:rPr>
      </w:pPr>
      <w:r>
        <w:rPr>
          <w:rFonts w:hint="eastAsia" w:ascii="宋体" w:hAnsi="宋体" w:eastAsia="宋体" w:cs="宋体"/>
          <w:szCs w:val="21"/>
        </w:rPr>
        <w:t>十七大报告创新性地科学论证了科学发展与社会和谐的辩证关系，指出“科学发展和社会和谐是内在统一的。没有科学发展就没有社会和谐，没有社会和谐也难以实现科学发展。”这既明确了科学发展观统领经济社会发展全局的指导地位，又强调了社会和谐的重要意义。</w:t>
      </w:r>
    </w:p>
    <w:p w14:paraId="3626F12B">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九、中国特色社会主义的新阐述——道路和理论体系</w:t>
      </w:r>
    </w:p>
    <w:p w14:paraId="5B9B6E29">
      <w:pPr>
        <w:spacing w:line="300" w:lineRule="auto"/>
        <w:ind w:firstLine="440" w:firstLineChars="200"/>
        <w:rPr>
          <w:rFonts w:ascii="宋体" w:hAnsi="宋体" w:eastAsia="宋体" w:cs="宋体"/>
          <w:szCs w:val="21"/>
        </w:rPr>
      </w:pPr>
      <w:r>
        <w:rPr>
          <w:rFonts w:hint="eastAsia" w:ascii="宋体" w:hAnsi="宋体" w:eastAsia="宋体" w:cs="宋体"/>
          <w:szCs w:val="21"/>
        </w:rPr>
        <w:t>一是明确了中国特色社会主义道路，就是在中国共产党领导下，立足基本国情，以经济建设为中心，坚持四项基本原则，坚持改革开放，解放和发展社会生产力，巩固和完善社会主义制度，建设社会主义市场经济、社会主义民主政治、社会主义先进文化、社会主义和谐社会，建设富强民主文明和谐的社会主义现代化国家。</w:t>
      </w:r>
    </w:p>
    <w:p w14:paraId="3D972AFF">
      <w:pPr>
        <w:spacing w:line="300" w:lineRule="auto"/>
        <w:ind w:firstLine="440" w:firstLineChars="200"/>
        <w:rPr>
          <w:rFonts w:ascii="宋体" w:hAnsi="宋体" w:eastAsia="宋体" w:cs="宋体"/>
          <w:szCs w:val="21"/>
        </w:rPr>
      </w:pPr>
      <w:r>
        <w:rPr>
          <w:rFonts w:hint="eastAsia" w:ascii="宋体" w:hAnsi="宋体" w:eastAsia="宋体" w:cs="宋体"/>
          <w:szCs w:val="21"/>
        </w:rPr>
        <w:t>报告还提到要走五条中国特色具体道路，即“中国特色自主创新道路”、“中国特色新兴工业化道路”、“中国特色农业现代化道路”、“中国特色城镇化道路”、“中国特色政治发展道路”。</w:t>
      </w:r>
    </w:p>
    <w:p w14:paraId="6DCC0FBE">
      <w:pPr>
        <w:spacing w:line="300" w:lineRule="auto"/>
        <w:ind w:firstLine="440" w:firstLineChars="200"/>
        <w:rPr>
          <w:rFonts w:ascii="宋体" w:hAnsi="宋体" w:eastAsia="宋体" w:cs="宋体"/>
          <w:szCs w:val="21"/>
        </w:rPr>
      </w:pPr>
      <w:r>
        <w:rPr>
          <w:rFonts w:hint="eastAsia" w:ascii="宋体" w:hAnsi="宋体" w:eastAsia="宋体" w:cs="宋体"/>
          <w:szCs w:val="21"/>
        </w:rPr>
        <w:t>中国特色社会主义：从“建设”到“发展”。在“坚持和发展中国特色社会主义”这一新的理念下，中国特色社会主义事业总体布局由经济建设、政治建设、文化建设“三位一体”拓展为包括社会建设在内的“四位一体”，相应地，“建设富强民主文明的社会主义现代化国家”的奋斗目标，拓展为“建设富强民主文明和谐的社会主义现代化国家”。</w:t>
      </w:r>
    </w:p>
    <w:p w14:paraId="1079EEA2">
      <w:pPr>
        <w:spacing w:line="300" w:lineRule="auto"/>
        <w:ind w:firstLine="440" w:firstLineChars="200"/>
        <w:rPr>
          <w:rFonts w:ascii="宋体" w:hAnsi="宋体" w:eastAsia="宋体" w:cs="宋体"/>
          <w:szCs w:val="21"/>
        </w:rPr>
      </w:pPr>
      <w:r>
        <w:rPr>
          <w:rFonts w:hint="eastAsia" w:ascii="宋体" w:hAnsi="宋体" w:eastAsia="宋体" w:cs="宋体"/>
          <w:szCs w:val="21"/>
        </w:rPr>
        <w:t>二是明确了“中国特色社会主义理论体系，就是包括邓小平理论、‘三个代表’重要思想以及科学发展观等重大战略思想在内的科学理论体系。”这表明，“中国特色社会主义理论体系是不断发展的开放的理论体系”，这个理论体系经过改革开放的伟大实践，已经形成并且正在逐步走向成熟，发展中国特色社会主义的框架越来越清晰，具体路径越来越明确。</w:t>
      </w:r>
    </w:p>
    <w:p w14:paraId="2169B82E">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十、统筹内容的新丰富——统筹中央和地方关系、统筹三对利益、统筹国内国际两个大局</w:t>
      </w:r>
    </w:p>
    <w:p w14:paraId="649FBA00">
      <w:pPr>
        <w:spacing w:line="300" w:lineRule="auto"/>
        <w:ind w:firstLine="440" w:firstLineChars="200"/>
        <w:rPr>
          <w:rFonts w:ascii="宋体" w:hAnsi="宋体" w:eastAsia="宋体" w:cs="宋体"/>
          <w:szCs w:val="21"/>
        </w:rPr>
      </w:pPr>
      <w:r>
        <w:rPr>
          <w:rFonts w:hint="eastAsia" w:ascii="宋体" w:hAnsi="宋体" w:eastAsia="宋体" w:cs="宋体"/>
          <w:szCs w:val="21"/>
        </w:rPr>
        <w:t>党的十六届三中全会以党的文件的形式首次提出要“统筹城乡发展，统筹区域发展，统筹经济社会发展，统筹人与自然和谐发展，统筹国内发展和对外开放”。十七大报告在五个统筹的基础上对统筹兼顾的内容进行了丰富和发展，提出三个方面的新统筹：一是统筹中央和地方关系；二是统筹个人利益和集体利益、局部利益和整体利益、当前利益和长远利益；三是统筹国内国际两个大局。近年来，铁本事件、内蒙古新丰电厂事件等问题凸显了中央和地方之间的各种利益矛盾问题，统筹内容的新丰富反映了科学发展观作为重大的战略思想把握现实问题的敏锐性。</w:t>
      </w:r>
    </w:p>
    <w:p w14:paraId="76D6588A">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十一、全面建设小康社会的新文明——“生态文明”首次写入报告</w:t>
      </w:r>
    </w:p>
    <w:p w14:paraId="235920BA">
      <w:pPr>
        <w:spacing w:line="300" w:lineRule="auto"/>
        <w:ind w:firstLine="440" w:firstLineChars="200"/>
        <w:rPr>
          <w:rFonts w:ascii="宋体" w:hAnsi="宋体" w:eastAsia="宋体" w:cs="宋体"/>
          <w:szCs w:val="21"/>
        </w:rPr>
      </w:pPr>
      <w:r>
        <w:rPr>
          <w:rFonts w:hint="eastAsia" w:ascii="宋体" w:hAnsi="宋体" w:eastAsia="宋体" w:cs="宋体"/>
          <w:szCs w:val="21"/>
        </w:rPr>
        <w:t>十七大报告指出：“建设生态文明，基本形成节约能源资源和保护生态环境的产业结构、增长方式、消费模式。”报告还强调，要使“生态文明观念在全社会牢固树立”。人们注意到，从十二大到十五大，我们党一直强调，建设社会主义物质文明、精神文明；十六大在此基础上提出了社会主义政治文明。十七大报告首次提出生态文明，不但充分反映了全面建设小康社会奋斗目标的新要求，而且对形成节约能源资源和保护生态环境的产业结构、增长方式、消费模式，大力发展循环经济，推进资源节约型社会和环境友好型社会建设等战略举措及其目标做出了最精炼的概括。这是我们党科学发展、和谐发展理念的一次升华。</w:t>
      </w:r>
    </w:p>
    <w:p w14:paraId="47748E4E">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十二、经济建设方式的新进展——由“转变经济增长方式”变为“转变经济发展方式”</w:t>
      </w:r>
    </w:p>
    <w:p w14:paraId="4C168621">
      <w:pPr>
        <w:spacing w:line="300" w:lineRule="auto"/>
        <w:ind w:firstLine="440" w:firstLineChars="200"/>
        <w:rPr>
          <w:rFonts w:ascii="宋体" w:hAnsi="宋体" w:eastAsia="宋体" w:cs="宋体"/>
          <w:szCs w:val="21"/>
        </w:rPr>
      </w:pPr>
      <w:r>
        <w:rPr>
          <w:rFonts w:hint="eastAsia" w:ascii="宋体" w:hAnsi="宋体" w:eastAsia="宋体" w:cs="宋体"/>
          <w:szCs w:val="21"/>
        </w:rPr>
        <w:t>经济发展不等于经济增长。加快转变经济发展方式是关系国民经济紧迫而重大的战略任务。实现未来经济发展目标、促进国民经济又好又快发展，关键一条是要在加快转变经济发展方式上取得重大进展。十七大报告以党的报告的形式正式使用“转变经济发展方式”代替过去的“转变经济增长方式”，要求“增强发展协调性，努力实现经济又好又快发展”。按照GDP总量和人均GDP的增长来评价经济建设的逻辑，必然导致轻视或漠视经济结构、分配结构和资源、环境约束，无法解决我国的发展问题。“实现经济又好又快发展”的新表述有利于增强经济发展质量，消除GDP崇拜，改变过去“有增长无发展”的情况，从而实现经济社会协调发展。</w:t>
      </w:r>
    </w:p>
    <w:p w14:paraId="4674DB2F">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十三、治理腐败经验的新口号——让权力在阳光下运行</w:t>
      </w:r>
    </w:p>
    <w:p w14:paraId="36E387BC">
      <w:pPr>
        <w:spacing w:line="300" w:lineRule="auto"/>
        <w:ind w:firstLine="440" w:firstLineChars="200"/>
        <w:rPr>
          <w:rFonts w:ascii="宋体" w:hAnsi="宋体" w:eastAsia="宋体" w:cs="宋体"/>
          <w:szCs w:val="21"/>
        </w:rPr>
      </w:pPr>
      <w:r>
        <w:rPr>
          <w:rFonts w:hint="eastAsia" w:ascii="宋体" w:hAnsi="宋体" w:eastAsia="宋体" w:cs="宋体"/>
          <w:szCs w:val="21"/>
        </w:rPr>
        <w:t>十七大报告“确保权力正确行使，必须让权力在阳光下运行。”阳光是治理腐败最好的武器，“让权力在阳光下运行”的是对预防和惩治腐败基本经验的最新概括和形象总结，旨在强调通过完善制约和监督机制反腐倡廉的重要性和必要性。</w:t>
      </w:r>
    </w:p>
    <w:p w14:paraId="21371D80">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十四、思想政治工作的新举措——人文关怀和心理疏导</w:t>
      </w:r>
    </w:p>
    <w:p w14:paraId="1E064BB6">
      <w:pPr>
        <w:spacing w:line="300" w:lineRule="auto"/>
        <w:ind w:firstLine="440" w:firstLineChars="200"/>
        <w:rPr>
          <w:rFonts w:ascii="宋体" w:hAnsi="宋体" w:eastAsia="宋体" w:cs="宋体"/>
          <w:szCs w:val="21"/>
        </w:rPr>
      </w:pPr>
      <w:r>
        <w:rPr>
          <w:rFonts w:hint="eastAsia" w:ascii="宋体" w:hAnsi="宋体" w:eastAsia="宋体" w:cs="宋体"/>
          <w:szCs w:val="21"/>
        </w:rPr>
        <w:t>中共党代会的报告里第一次出现“人文关怀”和“心理疏导”的字眼。这表明加强和改进思想政治工作，“注重人文关怀和心理疏导”，多了人情味和心理调节。</w:t>
      </w:r>
    </w:p>
    <w:p w14:paraId="4E7489AE">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十五、民生愿景的新描绘——学有所教、劳有所得、病有所医、老有所养、住有所居</w:t>
      </w:r>
    </w:p>
    <w:p w14:paraId="195399A4">
      <w:pPr>
        <w:spacing w:line="300" w:lineRule="auto"/>
        <w:ind w:firstLine="440" w:firstLineChars="200"/>
        <w:rPr>
          <w:rFonts w:ascii="宋体" w:hAnsi="宋体" w:eastAsia="宋体" w:cs="宋体"/>
          <w:szCs w:val="21"/>
        </w:rPr>
      </w:pPr>
      <w:r>
        <w:rPr>
          <w:rFonts w:hint="eastAsia" w:ascii="宋体" w:hAnsi="宋体" w:eastAsia="宋体" w:cs="宋体"/>
          <w:szCs w:val="21"/>
        </w:rPr>
        <w:t>在历次党代会报告中，十七大报告以首次单独的部分对社会建设进行了系统的论述。关注民生问题，增进民生福社成为十七大的重大亮点。十七大报告提出社会建设的目标就是“努力使全体人民学有所教、劳有所得、病有所医、老有所养、住有所居，推动建设和谐社会。”这实际上是对解决教育、就业、医疗、保障、住房等民生问题愿景的精炼概括和形象描绘。这种新描绘第一次具体而又生动地阐发社会建设的基本目标，为实现“社会和谐人人有责、和谐社会人人共享的生动局面”提出了具体的要求。</w:t>
      </w:r>
    </w:p>
    <w:p w14:paraId="75FC3395">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十六、社会主义分配制度的新提法——初次分配和再分配都要处理好效率和公平的关系，再分配更加注重公平</w:t>
      </w:r>
    </w:p>
    <w:p w14:paraId="0E7AF483">
      <w:pPr>
        <w:spacing w:line="300" w:lineRule="auto"/>
        <w:ind w:firstLine="440" w:firstLineChars="200"/>
        <w:rPr>
          <w:rFonts w:ascii="宋体" w:hAnsi="宋体" w:eastAsia="宋体" w:cs="宋体"/>
          <w:szCs w:val="21"/>
        </w:rPr>
      </w:pPr>
      <w:r>
        <w:rPr>
          <w:rFonts w:hint="eastAsia" w:ascii="宋体" w:hAnsi="宋体" w:eastAsia="宋体" w:cs="宋体"/>
          <w:szCs w:val="21"/>
        </w:rPr>
        <w:t>十七大报告第一次提出：“初次分配和再分配都要处理好效率和公平的关系，再分配更加注重公平。”关于效率和公平的关系，理论界向来有不同的表述，在党的报告中也有不同的表述。十四大报告提出“兼顾效率公平”；1993年，中央在确立社会主义市场经济体制的文件中提出“效率优先，兼顾公平”的分配原则；十五、十六大坚持了这个说法；2004年党的十六届四中全会提出要“在一部分人、一部分地区先富起来的同时，注重社会公平”。十七大报告关于效率和公平的新论述有利于在经济发展的基础上，消除那些片面追求效率，忽视公平价值的认识和现象，从而进一步消除两极分化，最终实现共同富裕。</w:t>
      </w:r>
    </w:p>
    <w:p w14:paraId="58857237">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十七、中国特色政治制度的新内涵——提出“基层群众自治制”</w:t>
      </w:r>
    </w:p>
    <w:p w14:paraId="5FC5972C">
      <w:pPr>
        <w:spacing w:line="300" w:lineRule="auto"/>
        <w:ind w:firstLine="440" w:firstLineChars="200"/>
        <w:rPr>
          <w:rFonts w:ascii="宋体" w:hAnsi="宋体" w:eastAsia="宋体" w:cs="宋体"/>
          <w:szCs w:val="21"/>
        </w:rPr>
      </w:pPr>
      <w:r>
        <w:rPr>
          <w:rFonts w:hint="eastAsia" w:ascii="宋体" w:hAnsi="宋体" w:eastAsia="宋体" w:cs="宋体"/>
          <w:szCs w:val="21"/>
        </w:rPr>
        <w:t>十七大报告指出：“要坚持中国特色社会主义政治发展道路，坚持党的领导、人民当家做主、依法治国有机统一，坚持和完善人民代表大会制度、中国共产党领导的多党合作和政治协商制度、民族区域自治制度以及基层群众自治制度”。人们注意到，“基层群众自治制度”是首次纳入中国特色政治制度范畴。这是我们党不断推进社会主义政治制度自我完善和发展的生动体现。</w:t>
      </w:r>
    </w:p>
    <w:p w14:paraId="40407130">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十八、实现翻两番的新目标——由“总量”到“人均”</w:t>
      </w:r>
    </w:p>
    <w:p w14:paraId="34DA4D56">
      <w:pPr>
        <w:spacing w:line="300" w:lineRule="auto"/>
        <w:ind w:firstLine="440" w:firstLineChars="200"/>
        <w:rPr>
          <w:rFonts w:ascii="宋体" w:hAnsi="宋体" w:eastAsia="宋体" w:cs="宋体"/>
          <w:szCs w:val="21"/>
        </w:rPr>
      </w:pPr>
      <w:r>
        <w:rPr>
          <w:rFonts w:hint="eastAsia" w:ascii="宋体" w:hAnsi="宋体" w:eastAsia="宋体" w:cs="宋体"/>
          <w:szCs w:val="21"/>
        </w:rPr>
        <w:t>党的十五大、十六大提出，21世纪第一个十年要实现国内生产总值比2000年翻一番，到2020年，国内生产总值力争比2000年翻两番。十六大以来，中国经济的持续高速增长使“翻一番”的目标已提前在2006年实现。十七大报告将“翻两番”的目标由“总量”变为“人均”。报告提出：“在优化结构、提高效益、降低消耗、保护环境的基础上，实现人均国内生产总值到2020年比2000年翻两番。”这一目标对我国经济社会发展和全面建设小康社会提出了新的更高要求。</w:t>
      </w:r>
    </w:p>
    <w:p w14:paraId="1522B178">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十九、经济发展的新任务——把“工业化、城镇化、市场化、国际化”扩展为“工业化、信息化、城镇化、市场化、国际化”</w:t>
      </w:r>
    </w:p>
    <w:p w14:paraId="2AB5985F">
      <w:pPr>
        <w:spacing w:line="300" w:lineRule="auto"/>
        <w:ind w:firstLine="440" w:firstLineChars="200"/>
        <w:rPr>
          <w:rFonts w:ascii="宋体" w:hAnsi="宋体" w:eastAsia="宋体" w:cs="宋体"/>
          <w:szCs w:val="21"/>
        </w:rPr>
      </w:pPr>
      <w:r>
        <w:rPr>
          <w:rFonts w:hint="eastAsia" w:ascii="宋体" w:hAnsi="宋体" w:eastAsia="宋体" w:cs="宋体"/>
          <w:szCs w:val="21"/>
        </w:rPr>
        <w:t>十七大报告在阐述立足社会主义初级阶段这个最大实际时指出：要“全面认识工业化、信息化、城镇化、市场化、国际化深入发展的新形势新任务，深刻把握我国发展面临的新课题新矛盾，更加自觉地走科学发展道路”。上述这“五化”中，比以往多了一个“信息化”，并且排在了“工业化”之后。</w:t>
      </w:r>
    </w:p>
    <w:p w14:paraId="0DD693DB">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二十、居民收入结构的新变动——让更多群众拥有财产性收入</w:t>
      </w:r>
    </w:p>
    <w:p w14:paraId="12672AEC">
      <w:pPr>
        <w:spacing w:line="300" w:lineRule="auto"/>
        <w:ind w:firstLine="440" w:firstLineChars="200"/>
        <w:rPr>
          <w:rFonts w:ascii="宋体" w:hAnsi="宋体" w:eastAsia="宋体" w:cs="宋体"/>
          <w:szCs w:val="21"/>
        </w:rPr>
      </w:pPr>
      <w:r>
        <w:rPr>
          <w:rFonts w:hint="eastAsia" w:ascii="宋体" w:hAnsi="宋体" w:eastAsia="宋体" w:cs="宋体"/>
          <w:szCs w:val="21"/>
        </w:rPr>
        <w:t>“创造条件让更多群众拥有财产性收入”。财产性收入一般是指家庭拥有的动产(如银行存款、有价证券等)、不动产(如房屋、车辆、土地、收藏品等)所获得的收入。它包括出让财产使用权所获得的利息、租金、专利收入等；财产营运所获得的红利收入、财产增值收益等。现在统计中，人均可支配收入中以工资性收入为主，大约占到70%左右。财产性收入占比大约在2%左右。从测算来看，2006年，全国城镇居民人均财产性收入为240多元。“虽然基数小，但是发展潜力很大。”</w:t>
      </w:r>
    </w:p>
    <w:p w14:paraId="2F4965C7">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二十一、党建理论的新提法——“党员主体地位”和“票决制”</w:t>
      </w:r>
    </w:p>
    <w:p w14:paraId="0C7C01F6">
      <w:pPr>
        <w:spacing w:line="300" w:lineRule="auto"/>
        <w:ind w:firstLine="440" w:firstLineChars="200"/>
        <w:rPr>
          <w:rFonts w:ascii="宋体" w:hAnsi="宋体" w:eastAsia="宋体" w:cs="宋体"/>
          <w:szCs w:val="21"/>
        </w:rPr>
      </w:pPr>
      <w:r>
        <w:rPr>
          <w:rFonts w:hint="eastAsia" w:ascii="宋体" w:hAnsi="宋体" w:eastAsia="宋体" w:cs="宋体"/>
          <w:szCs w:val="21"/>
        </w:rPr>
        <w:t>“党员主体地位”是本次报告的一个新提法。这个名词包含了三重含义：党员是党的主人，党员是党内权力的源泉，党员是党内行动的主体。尊重党员主体地位，说明要着力理顺党内关系。</w:t>
      </w:r>
    </w:p>
    <w:p w14:paraId="6BE800A7">
      <w:pPr>
        <w:spacing w:line="300" w:lineRule="auto"/>
        <w:ind w:firstLine="440" w:firstLineChars="200"/>
        <w:rPr>
          <w:rFonts w:ascii="宋体" w:hAnsi="宋体" w:eastAsia="宋体" w:cs="宋体"/>
          <w:szCs w:val="21"/>
        </w:rPr>
      </w:pPr>
      <w:r>
        <w:rPr>
          <w:rFonts w:hint="eastAsia" w:ascii="宋体" w:hAnsi="宋体" w:eastAsia="宋体" w:cs="宋体"/>
          <w:szCs w:val="21"/>
        </w:rPr>
        <w:t>报告提出，“推行地方党委讨论决定重大问题和任用重要干部票决制”。此举意味着有意将这种党内民主形式用一种制度予以固定，这是党内民主发展的重要成果。</w:t>
      </w:r>
    </w:p>
    <w:p w14:paraId="225A7060">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二十二、文化理论的新观念——“文化软实力”、“文化创造活力”、“文化生产力”、“文化产业群”</w:t>
      </w:r>
    </w:p>
    <w:p w14:paraId="02CAC0B2">
      <w:pPr>
        <w:spacing w:line="300" w:lineRule="auto"/>
        <w:ind w:firstLine="440" w:firstLineChars="200"/>
        <w:rPr>
          <w:rFonts w:ascii="宋体" w:hAnsi="宋体" w:eastAsia="宋体" w:cs="Times New Roman"/>
          <w:szCs w:val="21"/>
        </w:rPr>
      </w:pPr>
      <w:r>
        <w:rPr>
          <w:rFonts w:hint="eastAsia" w:ascii="宋体" w:hAnsi="宋体" w:eastAsia="宋体" w:cs="宋体"/>
          <w:szCs w:val="21"/>
        </w:rPr>
        <w:t>这表明，党和国家将更加重视社会主义先进文化建设，更加重视综合国力中的软实力，文化大发展大繁荣的时代已经到来。</w:t>
      </w:r>
    </w:p>
    <w:p w14:paraId="30452066">
      <w:pPr>
        <w:spacing w:line="300" w:lineRule="auto"/>
        <w:ind w:firstLine="440" w:firstLineChars="200"/>
        <w:rPr>
          <w:rFonts w:ascii="宋体" w:hAnsi="宋体" w:eastAsia="宋体" w:cs="Times New Roman"/>
          <w:szCs w:val="21"/>
        </w:rPr>
      </w:pPr>
    </w:p>
    <w:p w14:paraId="724FD13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（原载于《今日中国论坛》2007年第11期）</w:t>
      </w:r>
    </w:p>
    <w:p w14:paraId="61FE15E7">
      <w:pPr>
        <w:spacing w:line="300" w:lineRule="auto"/>
        <w:ind w:firstLine="440" w:firstLineChars="200"/>
        <w:rPr>
          <w:rFonts w:ascii="宋体" w:hAnsi="宋体" w:eastAsia="宋体" w:cs="Times New Roman"/>
          <w:szCs w:val="21"/>
        </w:rPr>
      </w:pPr>
    </w:p>
    <w:p w14:paraId="71B9B4D6">
      <w:pPr>
        <w:spacing w:line="300" w:lineRule="auto"/>
        <w:ind w:firstLine="440" w:firstLineChars="200"/>
        <w:rPr>
          <w:rFonts w:ascii="宋体" w:hAnsi="宋体" w:eastAsia="宋体" w:cs="Times New Roman"/>
          <w:szCs w:val="21"/>
        </w:rPr>
      </w:pPr>
    </w:p>
    <w:p w14:paraId="1A04BBF2">
      <w:pPr>
        <w:widowControl/>
        <w:spacing w:line="300" w:lineRule="auto"/>
        <w:ind w:firstLine="440" w:firstLineChars="200"/>
        <w:jc w:val="left"/>
        <w:rPr>
          <w:rFonts w:ascii="宋体" w:hAnsi="宋体" w:eastAsia="宋体" w:cs="Times New Roman"/>
          <w:szCs w:val="21"/>
        </w:rPr>
        <w:sectPr>
          <w:footnotePr>
            <w:numFmt w:val="decimalEnclosedCircleChinese"/>
            <w:numRestart w:val="eachPage"/>
          </w:footnotePr>
          <w:type w:val="continuous"/>
          <w:pgSz w:w="11850" w:h="16783"/>
          <w:pgMar w:top="1440" w:right="1800" w:bottom="1440" w:left="1800" w:header="851" w:footer="992" w:gutter="0"/>
          <w:pgNumType w:fmt="decimal"/>
          <w:cols w:space="720" w:num="1"/>
          <w:docGrid w:type="linesAndChars" w:linePitch="294" w:charSpace="2252"/>
        </w:sectPr>
      </w:pPr>
    </w:p>
    <w:p w14:paraId="189A970A">
      <w:pPr>
        <w:pStyle w:val="3"/>
        <w:spacing w:before="0" w:after="0" w:line="400" w:lineRule="exact"/>
        <w:jc w:val="center"/>
        <w:rPr>
          <w:rFonts w:hint="default" w:ascii="黑体" w:hAnsi="黑体" w:eastAsia="黑体"/>
          <w:b w:val="0"/>
          <w:bCs w:val="0"/>
        </w:rPr>
      </w:pPr>
      <w:bookmarkStart w:id="764" w:name="_Toc111193680"/>
      <w:bookmarkStart w:id="765" w:name="_Toc1276"/>
      <w:bookmarkStart w:id="766" w:name="_Toc412826902"/>
      <w:bookmarkStart w:id="767" w:name="_Toc153958149"/>
      <w:r>
        <w:rPr>
          <w:rFonts w:ascii="黑体" w:hAnsi="黑体" w:eastAsia="黑体"/>
          <w:b w:val="0"/>
          <w:bCs w:val="0"/>
        </w:rPr>
        <w:t>1</w:t>
      </w:r>
      <w:r>
        <w:rPr>
          <w:rFonts w:hint="default" w:ascii="黑体" w:hAnsi="黑体" w:eastAsia="黑体"/>
          <w:b w:val="0"/>
          <w:bCs w:val="0"/>
        </w:rPr>
        <w:t>9</w:t>
      </w:r>
      <w:r>
        <w:rPr>
          <w:rFonts w:ascii="黑体" w:hAnsi="黑体" w:eastAsia="黑体"/>
          <w:b w:val="0"/>
          <w:bCs w:val="0"/>
        </w:rPr>
        <w:t>欧美马克思主义经济思想的发展总貌</w:t>
      </w:r>
      <w:bookmarkEnd w:id="764"/>
      <w:bookmarkEnd w:id="765"/>
      <w:bookmarkEnd w:id="766"/>
      <w:bookmarkEnd w:id="767"/>
    </w:p>
    <w:p w14:paraId="327DCD25">
      <w:pPr>
        <w:spacing w:line="400" w:lineRule="exact"/>
        <w:rPr>
          <w:rFonts w:ascii="宋体" w:hAnsi="宋体" w:eastAsia="宋体"/>
          <w:szCs w:val="21"/>
        </w:rPr>
      </w:pPr>
    </w:p>
    <w:p w14:paraId="76087129">
      <w:pPr>
        <w:spacing w:line="400" w:lineRule="exact"/>
        <w:rPr>
          <w:rFonts w:ascii="宋体" w:hAnsi="宋体" w:eastAsia="宋体"/>
          <w:szCs w:val="21"/>
        </w:rPr>
      </w:pPr>
      <w:r>
        <w:rPr>
          <w:rFonts w:ascii="宋体" w:hAnsi="宋体" w:eastAsia="宋体"/>
          <w:szCs w:val="21"/>
        </w:rPr>
        <w:tab/>
      </w:r>
      <w:r>
        <w:rPr>
          <w:rFonts w:hint="eastAsia" w:ascii="宋体" w:hAnsi="宋体" w:eastAsia="宋体"/>
          <w:szCs w:val="21"/>
        </w:rPr>
        <w:t>内容提要：</w:t>
      </w:r>
      <w:r>
        <w:rPr>
          <w:rFonts w:ascii="宋体" w:hAnsi="宋体" w:eastAsia="宋体"/>
          <w:szCs w:val="21"/>
        </w:rPr>
        <w:t>欧美马克思主义经济思想产生和发展于发达的资本主义经济社会中,在曲折的发展过程中始终关注经济理论与现实研究,从范畴到体系、从制度到运行,充满学术性,对资本主义和传统社会主义的弊端认识的较为清楚,在一定程度上其研究视野较为宽阔。欧美马克思主义经济思想在理论基础、研究方法和理论特征方面充分呈现出自身的特点,并形成了不同的流派。</w:t>
      </w:r>
    </w:p>
    <w:p w14:paraId="27E58BBD">
      <w:pPr>
        <w:spacing w:line="400" w:lineRule="exact"/>
        <w:rPr>
          <w:rFonts w:ascii="宋体" w:hAnsi="宋体" w:eastAsia="宋体"/>
          <w:szCs w:val="21"/>
        </w:rPr>
      </w:pPr>
      <w:r>
        <w:rPr>
          <w:rFonts w:hint="eastAsia" w:ascii="宋体" w:hAnsi="宋体" w:eastAsia="宋体"/>
          <w:szCs w:val="21"/>
        </w:rPr>
        <w:t>关键词：</w:t>
      </w:r>
      <w:r>
        <w:rPr>
          <w:rFonts w:ascii="宋体" w:hAnsi="宋体" w:eastAsia="宋体"/>
          <w:szCs w:val="21"/>
        </w:rPr>
        <w:t>欧美马克思主义经济思想</w:t>
      </w:r>
      <w:r>
        <w:rPr>
          <w:rFonts w:hint="eastAsia" w:ascii="宋体" w:hAnsi="宋体" w:eastAsia="宋体"/>
          <w:szCs w:val="21"/>
        </w:rPr>
        <w:t xml:space="preserve"> </w:t>
      </w:r>
      <w:r>
        <w:rPr>
          <w:rFonts w:ascii="宋体" w:hAnsi="宋体" w:eastAsia="宋体"/>
          <w:szCs w:val="21"/>
        </w:rPr>
        <w:t>马克思主义经济学</w:t>
      </w:r>
      <w:r>
        <w:rPr>
          <w:rFonts w:hint="eastAsia" w:ascii="宋体" w:hAnsi="宋体" w:eastAsia="宋体"/>
          <w:szCs w:val="21"/>
        </w:rPr>
        <w:t xml:space="preserve"> </w:t>
      </w:r>
      <w:r>
        <w:rPr>
          <w:rFonts w:ascii="宋体" w:hAnsi="宋体" w:eastAsia="宋体"/>
          <w:szCs w:val="21"/>
        </w:rPr>
        <w:t>理论经济学</w:t>
      </w:r>
      <w:r>
        <w:rPr>
          <w:rFonts w:hint="eastAsia" w:ascii="宋体" w:hAnsi="宋体" w:eastAsia="宋体"/>
          <w:szCs w:val="21"/>
        </w:rPr>
        <w:t xml:space="preserve"> </w:t>
      </w:r>
      <w:r>
        <w:rPr>
          <w:rFonts w:ascii="宋体" w:hAnsi="宋体" w:eastAsia="宋体"/>
          <w:szCs w:val="21"/>
        </w:rPr>
        <w:t>外国经济思想史</w:t>
      </w:r>
    </w:p>
    <w:p w14:paraId="3562E08C">
      <w:pPr>
        <w:spacing w:line="400" w:lineRule="exact"/>
        <w:rPr>
          <w:rFonts w:ascii="宋体" w:hAnsi="宋体" w:eastAsia="宋体"/>
          <w:szCs w:val="21"/>
        </w:rPr>
      </w:pPr>
    </w:p>
    <w:p w14:paraId="37B0D0E3">
      <w:pPr>
        <w:spacing w:line="400" w:lineRule="exact"/>
        <w:ind w:firstLine="420" w:firstLineChars="200"/>
        <w:rPr>
          <w:rFonts w:ascii="宋体" w:hAnsi="宋体" w:eastAsia="宋体"/>
          <w:szCs w:val="21"/>
        </w:rPr>
      </w:pPr>
      <w:r>
        <w:rPr>
          <w:rFonts w:ascii="宋体" w:hAnsi="宋体" w:eastAsia="宋体"/>
          <w:szCs w:val="21"/>
        </w:rPr>
        <w:t>1867年《资本论》第一卷出版后近一个半世纪以来,欧美马克思主义经济思想取得了长足的发展。在20世纪20-30年代的“大萧条”之前,德国和苏联(俄国)的马克思主义经济学家支配了马克思主义经济思想的理论探讨,但是,西欧和北美在第二次世界大战之后也成为马克思主义经济思想研究的中心之一。欧美马克思主义经济思想是以马克思的经济思想为基础进行学术研究的。当今西方主流经济思想中并不包容马克思的经济思想。欧美马克思主义经济思想一直在与西方主流经济思想的对峙中获得不断发展。欧美马克思主义经济思想始终</w:t>
      </w:r>
      <w:r>
        <w:rPr>
          <w:rFonts w:hint="eastAsia" w:ascii="宋体" w:hAnsi="宋体" w:eastAsia="宋体"/>
          <w:szCs w:val="21"/>
        </w:rPr>
        <w:t>关注经济理论与现实研究</w:t>
      </w:r>
      <w:r>
        <w:rPr>
          <w:rFonts w:ascii="宋体" w:hAnsi="宋体" w:eastAsia="宋体"/>
          <w:szCs w:val="21"/>
        </w:rPr>
        <w:t>,从范畴到体系、从制度到运行,充满学术性和创新性。由于欧美马克思主义经济学家身处发达资本主义经济社会中,他们在某种程度上对于资本主义和传统社会主义经济体制的弊病看得更深刻和更清楚。同时,他们也身处西方主流经</w:t>
      </w:r>
      <w:r>
        <w:rPr>
          <w:rFonts w:hint="eastAsia" w:ascii="宋体" w:hAnsi="宋体" w:eastAsia="宋体"/>
          <w:szCs w:val="21"/>
        </w:rPr>
        <w:t>济学的包围之中</w:t>
      </w:r>
      <w:r>
        <w:rPr>
          <w:rFonts w:ascii="宋体" w:hAnsi="宋体" w:eastAsia="宋体"/>
          <w:szCs w:val="21"/>
        </w:rPr>
        <w:t>,这样对于马克思经济思想的研究视野显得更为宽阔。因此,欧美马克思主义经济思想,不论是其理论基础、方法论和理论特征,还是其具体的分析工具,都与经典马克思经济思想有所不同。</w:t>
      </w:r>
    </w:p>
    <w:p w14:paraId="6BD798BD">
      <w:pPr>
        <w:spacing w:line="360" w:lineRule="auto"/>
        <w:jc w:val="center"/>
        <w:rPr>
          <w:rFonts w:ascii="宋体" w:hAnsi="宋体" w:eastAsia="宋体"/>
          <w:b/>
          <w:bCs/>
          <w:sz w:val="24"/>
        </w:rPr>
      </w:pPr>
      <w:r>
        <w:rPr>
          <w:rFonts w:hint="eastAsia" w:ascii="宋体" w:hAnsi="宋体" w:eastAsia="宋体"/>
          <w:b/>
          <w:bCs/>
          <w:sz w:val="24"/>
        </w:rPr>
        <w:t>一、理论基础和研究方法</w:t>
      </w:r>
    </w:p>
    <w:p w14:paraId="0D3863EF">
      <w:pPr>
        <w:spacing w:line="400" w:lineRule="exact"/>
        <w:ind w:firstLine="420" w:firstLineChars="200"/>
        <w:rPr>
          <w:rFonts w:ascii="宋体" w:hAnsi="宋体" w:eastAsia="宋体"/>
          <w:szCs w:val="21"/>
        </w:rPr>
      </w:pPr>
      <w:r>
        <w:rPr>
          <w:rFonts w:hint="eastAsia" w:ascii="宋体" w:hAnsi="宋体" w:eastAsia="宋体"/>
          <w:szCs w:val="21"/>
        </w:rPr>
        <w:t>欧美马克思主义经济思想深受资产阶级教育、文化</w:t>
      </w:r>
      <w:r>
        <w:rPr>
          <w:rFonts w:ascii="宋体" w:hAnsi="宋体" w:eastAsia="宋体"/>
          <w:szCs w:val="21"/>
        </w:rPr>
        <w:t>,特别是资产阶级哲学的影响。人的问题和科学问题是当代资产阶级哲学的两大主题,两大主题分别形成了人本主义哲学和科学主义哲学。这两种哲学思想在欧美马克思主义经济思想中得到了相当的体现,并认为原有的马克思主义经济理论有不足之处,需要“补充”和“发展”。</w:t>
      </w:r>
    </w:p>
    <w:p w14:paraId="4F985986">
      <w:pPr>
        <w:spacing w:line="400" w:lineRule="exact"/>
        <w:ind w:firstLine="420" w:firstLineChars="200"/>
        <w:rPr>
          <w:rFonts w:ascii="宋体" w:hAnsi="宋体" w:eastAsia="宋体"/>
          <w:szCs w:val="21"/>
        </w:rPr>
      </w:pPr>
      <w:r>
        <w:rPr>
          <w:rFonts w:hint="eastAsia" w:ascii="宋体" w:hAnsi="宋体" w:eastAsia="宋体"/>
          <w:szCs w:val="21"/>
        </w:rPr>
        <w:t>“人道主义”的马克思主义由匈牙利的</w:t>
      </w:r>
      <w:r>
        <w:rPr>
          <w:rFonts w:ascii="宋体" w:hAnsi="宋体" w:eastAsia="宋体"/>
          <w:szCs w:val="21"/>
        </w:rPr>
        <w:t>G.卢卡奇开创,即把马克思主义黑格尔化。其基本特点是:主张追寻马克思的黑格尔根源,强调马克</w:t>
      </w:r>
      <w:r>
        <w:rPr>
          <w:rFonts w:hint="eastAsia" w:ascii="宋体" w:hAnsi="宋体" w:eastAsia="宋体"/>
          <w:szCs w:val="21"/>
        </w:rPr>
        <w:t>思的思想与黑格尔的辩证法的直接联系</w:t>
      </w:r>
      <w:r>
        <w:rPr>
          <w:rFonts w:ascii="宋体" w:hAnsi="宋体" w:eastAsia="宋体"/>
          <w:szCs w:val="21"/>
        </w:rPr>
        <w:t>,把人的主观能动性、人的主观意识看成是历史发展的首要因素,否认或弱化了马克思经济思想中客观经济规律的作用。“科学主义”的马克思主义,是20世纪50年代后出现的与“人道主义”的马克思主义对立的思潮,他们标榜马克思主义的科学性与客观性。这股思潮包括新实证主义的马克思主义、结构主义的马克思主义和分析马克思主义等流派。</w:t>
      </w:r>
    </w:p>
    <w:p w14:paraId="1D5926AF">
      <w:pPr>
        <w:spacing w:line="400" w:lineRule="exact"/>
        <w:ind w:firstLine="420" w:firstLineChars="200"/>
        <w:rPr>
          <w:rFonts w:ascii="宋体" w:hAnsi="宋体" w:eastAsia="宋体"/>
          <w:szCs w:val="21"/>
        </w:rPr>
      </w:pPr>
      <w:r>
        <w:rPr>
          <w:rFonts w:hint="eastAsia" w:ascii="宋体" w:hAnsi="宋体" w:eastAsia="宋体"/>
          <w:szCs w:val="21"/>
        </w:rPr>
        <w:t>欧美马克思主义经济学家在受到这些影响的同时</w:t>
      </w:r>
      <w:r>
        <w:rPr>
          <w:rFonts w:ascii="宋体" w:hAnsi="宋体" w:eastAsia="宋体"/>
          <w:szCs w:val="21"/>
        </w:rPr>
        <w:t>,也继承了马克思主义经济思想的基本研究方法,如“正统的”的马克思主义经济学家和“新”马克思主义经济学家。前者在理论研究和学术探讨中,他们自视能坚持马克思的唯物史观和剩余价值理论,能坚信资本主义必然灭亡和社会主义必然胜利的历史发展趋势,能在遵循马克思主义经济学基本原理和研究方法的前提下研究和探讨问题。如英国的多布(M.Dobb)、比利时的曼德尔(E.Mandel)和意大利的内格里(Antonio Negri)</w:t>
      </w:r>
      <w:r>
        <w:rPr>
          <w:rFonts w:hint="eastAsia" w:ascii="宋体" w:hAnsi="宋体" w:eastAsia="宋体"/>
          <w:szCs w:val="21"/>
        </w:rPr>
        <w:t>等</w:t>
      </w:r>
      <w:r>
        <w:rPr>
          <w:rFonts w:ascii="宋体" w:hAnsi="宋体" w:eastAsia="宋体"/>
          <w:szCs w:val="21"/>
        </w:rPr>
        <w:t>,就是这一类型中的较有代表性的学者。</w:t>
      </w:r>
      <w:r>
        <w:rPr>
          <w:rFonts w:hint="eastAsia" w:ascii="宋体" w:hAnsi="宋体" w:eastAsia="宋体"/>
          <w:szCs w:val="21"/>
        </w:rPr>
        <w:t>后者除了能够坚持运用马克思主义经济学</w:t>
      </w:r>
      <w:r>
        <w:rPr>
          <w:rFonts w:ascii="宋体" w:hAnsi="宋体" w:eastAsia="宋体"/>
          <w:szCs w:val="21"/>
        </w:rPr>
        <w:t>原理分析、研究当代资本主义和社会主义经济关系以外,在研究方法上,主张马克思经济学的“传统”,同时也强调对马克思经济学进行“重新研究”和“重新塑造”。他们试图在对当代资本主义社会经济关系的研究中倡导马克思主义必须对世界作出重新解释,并在这一重新解释中,批判它过去已经提出的旧的解释[1]。在这一类型的学者中,最有影响的是美国的巴兰(PaulA. Baran)和斯威齐。</w:t>
      </w:r>
      <w:r>
        <w:rPr>
          <w:rFonts w:hint="eastAsia" w:ascii="宋体" w:hAnsi="宋体" w:eastAsia="宋体"/>
          <w:szCs w:val="21"/>
        </w:rPr>
        <w:t>欧美马克思主义经济思想身处西方主流经济学的包围之中</w:t>
      </w:r>
      <w:r>
        <w:rPr>
          <w:rFonts w:ascii="宋体" w:hAnsi="宋体" w:eastAsia="宋体"/>
          <w:szCs w:val="21"/>
        </w:rPr>
        <w:t>,因此,在研究方法上也借鉴了西方主流经济学的研究方法。如个人主义、实证主义、工具主义和心理分析、数理分析方法,这在分析马克思主义和数理学派中表现最为明显。</w:t>
      </w:r>
    </w:p>
    <w:p w14:paraId="642252CC">
      <w:pPr>
        <w:spacing w:line="360" w:lineRule="auto"/>
        <w:jc w:val="center"/>
        <w:rPr>
          <w:rFonts w:ascii="宋体" w:hAnsi="宋体" w:eastAsia="宋体"/>
          <w:b/>
          <w:bCs/>
          <w:sz w:val="24"/>
        </w:rPr>
      </w:pPr>
      <w:r>
        <w:rPr>
          <w:rFonts w:hint="eastAsia" w:ascii="宋体" w:hAnsi="宋体" w:eastAsia="宋体"/>
          <w:b/>
          <w:bCs/>
          <w:sz w:val="24"/>
        </w:rPr>
        <w:t>二、理论特征及基本立场</w:t>
      </w:r>
    </w:p>
    <w:p w14:paraId="6469745A">
      <w:pPr>
        <w:spacing w:line="400" w:lineRule="exact"/>
        <w:ind w:firstLine="420" w:firstLineChars="200"/>
        <w:rPr>
          <w:rFonts w:ascii="宋体" w:hAnsi="宋体" w:eastAsia="宋体"/>
          <w:szCs w:val="21"/>
        </w:rPr>
      </w:pPr>
      <w:r>
        <w:rPr>
          <w:rFonts w:hint="eastAsia" w:ascii="宋体" w:hAnsi="宋体" w:eastAsia="宋体"/>
          <w:szCs w:val="21"/>
        </w:rPr>
        <w:t>欧美马克思主义经济思想的历史年代和地区分布</w:t>
      </w:r>
      <w:r>
        <w:rPr>
          <w:rFonts w:ascii="宋体" w:hAnsi="宋体" w:eastAsia="宋体"/>
          <w:szCs w:val="21"/>
        </w:rPr>
        <w:t>,为它在整个马克思主义经济思想发展中所处的地位,提供了一个初步的形态结构。它所具有的独特性,使它作为一个完整的传统而具有明确的定义和区分的界限。</w:t>
      </w:r>
    </w:p>
    <w:p w14:paraId="2113304D">
      <w:pPr>
        <w:spacing w:line="400" w:lineRule="exact"/>
        <w:ind w:firstLine="420" w:firstLineChars="200"/>
        <w:rPr>
          <w:rFonts w:ascii="宋体" w:hAnsi="宋体" w:eastAsia="宋体"/>
          <w:szCs w:val="21"/>
        </w:rPr>
      </w:pPr>
      <w:r>
        <w:rPr>
          <w:rFonts w:hint="eastAsia" w:ascii="宋体" w:hAnsi="宋体" w:eastAsia="宋体"/>
          <w:szCs w:val="21"/>
        </w:rPr>
        <w:t>在第一次世界大战前</w:t>
      </w:r>
      <w:r>
        <w:rPr>
          <w:rFonts w:ascii="宋体" w:hAnsi="宋体" w:eastAsia="宋体"/>
          <w:szCs w:val="21"/>
        </w:rPr>
        <w:t>,欧美的马克思主义经济学家在各自所属的领域进行活动,追求理论和实践的统一。而后,欧美马克思主义经济</w:t>
      </w:r>
      <w:r>
        <w:rPr>
          <w:rFonts w:hint="eastAsia" w:ascii="宋体" w:hAnsi="宋体" w:eastAsia="宋体"/>
          <w:szCs w:val="21"/>
        </w:rPr>
        <w:t>学家转入学院著述研究</w:t>
      </w:r>
      <w:r>
        <w:rPr>
          <w:rFonts w:ascii="宋体" w:hAnsi="宋体" w:eastAsia="宋体"/>
          <w:szCs w:val="21"/>
        </w:rPr>
        <w:t>,他们的经济思想更具学术性,而缺少了革命性。他们各自代表着不同倾向的思潮和同一思潮的不同见解。但就欧美马克思主义经济思想全部理论内容来说,具有如下主要特征:</w:t>
      </w:r>
    </w:p>
    <w:p w14:paraId="29278349">
      <w:pPr>
        <w:spacing w:line="400" w:lineRule="exact"/>
        <w:ind w:firstLine="420" w:firstLineChars="200"/>
        <w:rPr>
          <w:rFonts w:ascii="宋体" w:hAnsi="宋体" w:eastAsia="宋体"/>
          <w:szCs w:val="21"/>
        </w:rPr>
      </w:pPr>
      <w:r>
        <w:rPr>
          <w:rFonts w:ascii="宋体" w:hAnsi="宋体" w:eastAsia="宋体"/>
          <w:szCs w:val="21"/>
        </w:rPr>
        <w:t>(1)总体性是贯穿欧美马克思主义经济思想发展的一根红线。总体性不仅是西方马克思主义最重要的基本特征,也是欧美马克思主义经济思想最重要的基本特征。欧美马克思主义经济学家把总体性看作是马克思主义经济思想的重要特征,他们不仅对马克思经济思想中的基本范畴——价值理论、剩余价值理论、资本积累理论、再生产理论、地租理论和危机理论等内容展开研究,而且对转形问题、市场社会主义、不发达政治经济学、资本主义新现象和资本主义的未来等问题也展开了深入的探讨。</w:t>
      </w:r>
    </w:p>
    <w:p w14:paraId="2E1F59AA">
      <w:pPr>
        <w:spacing w:line="400" w:lineRule="exact"/>
        <w:ind w:firstLine="420" w:firstLineChars="200"/>
        <w:rPr>
          <w:rFonts w:ascii="宋体" w:hAnsi="宋体" w:eastAsia="宋体"/>
          <w:szCs w:val="21"/>
        </w:rPr>
      </w:pPr>
      <w:r>
        <w:rPr>
          <w:rFonts w:ascii="宋体" w:hAnsi="宋体" w:eastAsia="宋体"/>
          <w:szCs w:val="21"/>
        </w:rPr>
        <w:t>(2)以新工人阶级作为服务对象。第二次世界大战以后,西方社会阶级结构有了新的发展和变化。欧美马克思主义者认为,工人阶级已不是革命的主要力量,在政治上已被资本主义制度同化与融合。欧美的马克思主义者转向把“新工人阶级”作为自己的阶级基础。“新工人阶级”包括受高度训练的工人、工程师和研究单位的组织者等。</w:t>
      </w:r>
    </w:p>
    <w:p w14:paraId="56EA3EB8">
      <w:pPr>
        <w:spacing w:line="400" w:lineRule="exact"/>
        <w:ind w:firstLine="420" w:firstLineChars="200"/>
        <w:rPr>
          <w:rFonts w:ascii="宋体" w:hAnsi="宋体" w:eastAsia="宋体"/>
          <w:szCs w:val="21"/>
        </w:rPr>
      </w:pPr>
      <w:r>
        <w:rPr>
          <w:rFonts w:ascii="宋体" w:hAnsi="宋体" w:eastAsia="宋体"/>
          <w:szCs w:val="21"/>
        </w:rPr>
        <w:t>(3)肯定西方主流经济思想的某些进展,并用以“发展和改造”马克思的经济思想。欧美马克思主义经济学家吸收了很多西方主流经济学的理论观点和研究方法,并以此对马克思的经济思想进行“发展和改造”。在欧美马克思主义经济思想发展过程中,对马克思的价值理论、剩余价值理论、危机理论和马克思的研究方法,欧美马克思主义经济学家在结合西方主流经济思想和资本主义发展现实的基础上,都进行了不同程度的“重新发现”、“重新创造和发展”。当然,这种“重新发现”、“重新创造和发展”都存在着一定的合</w:t>
      </w:r>
    </w:p>
    <w:p w14:paraId="5D77CEAA">
      <w:pPr>
        <w:spacing w:line="400" w:lineRule="exact"/>
        <w:ind w:firstLine="420" w:firstLineChars="200"/>
        <w:rPr>
          <w:rFonts w:ascii="宋体" w:hAnsi="宋体" w:eastAsia="宋体"/>
          <w:szCs w:val="21"/>
        </w:rPr>
      </w:pPr>
      <w:r>
        <w:rPr>
          <w:rFonts w:hint="eastAsia" w:ascii="宋体" w:hAnsi="宋体" w:eastAsia="宋体"/>
          <w:szCs w:val="21"/>
        </w:rPr>
        <w:t>理性和局限性。</w:t>
      </w:r>
    </w:p>
    <w:p w14:paraId="2C10D19D">
      <w:pPr>
        <w:spacing w:line="400" w:lineRule="exact"/>
        <w:ind w:firstLine="420" w:firstLineChars="200"/>
        <w:rPr>
          <w:rFonts w:ascii="宋体" w:hAnsi="宋体" w:eastAsia="宋体"/>
          <w:szCs w:val="21"/>
        </w:rPr>
      </w:pPr>
      <w:r>
        <w:rPr>
          <w:rFonts w:ascii="宋体" w:hAnsi="宋体" w:eastAsia="宋体"/>
          <w:szCs w:val="21"/>
        </w:rPr>
        <w:t>(4)以“异化”论为主轴对当代资本主义经济发展进行批判。欧美马克思主义经济思想在理论上始终都是对资本主义经济制度持否定和批判态度的。欧美马克思主义经济学家认为,一方面,资本主义经济制度尽管在某些方面发生了很大的变化,但是资本家和工人之间的雇佣和剥削关系没有变,资本主义经济运行也存在内在的和固有的不稳定性;另一方面,发达资本主义国家对利润的追逐,也使得如果没有社会主义革命的介</w:t>
      </w:r>
      <w:r>
        <w:rPr>
          <w:rFonts w:hint="eastAsia" w:ascii="宋体" w:hAnsi="宋体" w:eastAsia="宋体"/>
          <w:szCs w:val="21"/>
        </w:rPr>
        <w:t>入</w:t>
      </w:r>
      <w:r>
        <w:rPr>
          <w:rFonts w:ascii="宋体" w:hAnsi="宋体" w:eastAsia="宋体"/>
          <w:szCs w:val="21"/>
        </w:rPr>
        <w:t>,发达资本主义中心地带之外的发展就不可能正常[2]。</w:t>
      </w:r>
    </w:p>
    <w:p w14:paraId="7CF79B94">
      <w:pPr>
        <w:spacing w:line="400" w:lineRule="exact"/>
        <w:ind w:firstLine="420" w:firstLineChars="200"/>
        <w:rPr>
          <w:rFonts w:ascii="宋体" w:hAnsi="宋体" w:eastAsia="宋体"/>
          <w:szCs w:val="21"/>
        </w:rPr>
      </w:pPr>
      <w:r>
        <w:rPr>
          <w:rFonts w:hint="eastAsia" w:ascii="宋体" w:hAnsi="宋体" w:eastAsia="宋体"/>
          <w:szCs w:val="21"/>
        </w:rPr>
        <w:t>一些欧美马克思主义经济学者的基本立场是坚持对马克思经济思想的总体分析</w:t>
      </w:r>
      <w:r>
        <w:rPr>
          <w:rFonts w:ascii="宋体" w:hAnsi="宋体" w:eastAsia="宋体"/>
          <w:szCs w:val="21"/>
        </w:rPr>
        <w:t>[3]。首先,在肯定马克思经济思想伟大成就的同时,认为马克思经济思想和传统主流经济学思想应该相互学习。英国主流经济学家琼·罗宾逊在《论马克思经济学》一书中指出,马克思主义经济学和传统经济学之间的根本区别是:其一,传统经济学认为资本主义制度是永恒的自然秩序的一部分,而马克思则认为应把它看作是从封建经济向社会主义经济过渡的一个中间阶段。其二,传统经济学认为社会不同阶层的利益是一致的,而马克思认为不劳动资产者和无产的劳动者在经济生</w:t>
      </w:r>
      <w:r>
        <w:rPr>
          <w:rFonts w:hint="eastAsia" w:ascii="宋体" w:hAnsi="宋体" w:eastAsia="宋体"/>
          <w:szCs w:val="21"/>
        </w:rPr>
        <w:t>活中的利益是相互冲突的。马克思经济学在危机、垄断和失业理论等方面都值得现代经济学学习。同时</w:t>
      </w:r>
      <w:r>
        <w:rPr>
          <w:rFonts w:ascii="宋体" w:hAnsi="宋体" w:eastAsia="宋体"/>
          <w:szCs w:val="21"/>
        </w:rPr>
        <w:t>,现代经济学也能向马克思主义者提供一些东西,如精确和完善的分析可以使马克思理论中许多模糊不清的地方变得清楚起来。另外,现代经济学提出的有效需求和就业理论,为研究资本主义运动的规律提供了新的思路和基础。琼·罗宾逊的这些观点为大多数欧美马克思主义经济学家所认可。</w:t>
      </w:r>
    </w:p>
    <w:p w14:paraId="671B8295">
      <w:pPr>
        <w:spacing w:line="400" w:lineRule="exact"/>
        <w:ind w:firstLine="420" w:firstLineChars="200"/>
        <w:rPr>
          <w:rFonts w:ascii="宋体" w:hAnsi="宋体" w:eastAsia="宋体"/>
          <w:szCs w:val="21"/>
        </w:rPr>
      </w:pPr>
      <w:r>
        <w:rPr>
          <w:rFonts w:hint="eastAsia" w:ascii="宋体" w:hAnsi="宋体" w:eastAsia="宋体"/>
          <w:szCs w:val="21"/>
        </w:rPr>
        <w:t>其次</w:t>
      </w:r>
      <w:r>
        <w:rPr>
          <w:rFonts w:ascii="宋体" w:hAnsi="宋体" w:eastAsia="宋体"/>
          <w:szCs w:val="21"/>
        </w:rPr>
        <w:t>,马克思经济思想必须改写以适应现实社会情况。美国罗默在《马克思经济理论的分析基础》一书中指出,马克思经济理论必须改写以适应社会的现实情况。他说:许多人只从产品生产的角度来论述马克思经济学,只用各部门利润率平均化后产品的价格向量来表述他的公式。这种方法的不确切性,在于没有考虑资本家和工人的消费行为。马克思经济理论必须去建立一个新的基础,因为马克思只是提出了原则,而无精细的说明。</w:t>
      </w:r>
    </w:p>
    <w:p w14:paraId="72F8BAF4">
      <w:pPr>
        <w:spacing w:line="400" w:lineRule="exact"/>
        <w:ind w:firstLine="420" w:firstLineChars="200"/>
        <w:rPr>
          <w:rFonts w:ascii="宋体" w:hAnsi="宋体" w:eastAsia="宋体"/>
          <w:szCs w:val="21"/>
        </w:rPr>
      </w:pPr>
      <w:r>
        <w:rPr>
          <w:rFonts w:hint="eastAsia" w:ascii="宋体" w:hAnsi="宋体" w:eastAsia="宋体"/>
          <w:szCs w:val="21"/>
        </w:rPr>
        <w:t>最后</w:t>
      </w:r>
      <w:r>
        <w:rPr>
          <w:rFonts w:ascii="宋体" w:hAnsi="宋体" w:eastAsia="宋体"/>
          <w:szCs w:val="21"/>
        </w:rPr>
        <w:t>,主张马克思的研究方法,包括演绎、本质论、辩证法等方法必须坚持,但不能绝对化。社会科学和自然科学都是在一些假定条件下去揭示某种趋势,而不是去抽象讨论决定的规律。但是,自然科学相对而言容易确定某种条件的影响程度,甚至能做到量化,而社会科学却难以确定,至多也只能进行质的分析。</w:t>
      </w:r>
    </w:p>
    <w:p w14:paraId="20C53E9E">
      <w:pPr>
        <w:spacing w:line="360" w:lineRule="auto"/>
        <w:jc w:val="center"/>
        <w:rPr>
          <w:rFonts w:ascii="宋体" w:hAnsi="宋体" w:eastAsia="宋体"/>
          <w:b/>
          <w:bCs/>
          <w:sz w:val="24"/>
        </w:rPr>
      </w:pPr>
      <w:r>
        <w:rPr>
          <w:rFonts w:hint="eastAsia" w:ascii="宋体" w:hAnsi="宋体" w:eastAsia="宋体"/>
          <w:b/>
          <w:bCs/>
          <w:sz w:val="24"/>
        </w:rPr>
        <w:t>三、欧美马克思主义经济思想发展轨迹</w:t>
      </w:r>
    </w:p>
    <w:p w14:paraId="47EE5BC4">
      <w:pPr>
        <w:spacing w:line="400" w:lineRule="exact"/>
        <w:ind w:firstLine="420" w:firstLineChars="200"/>
        <w:rPr>
          <w:rFonts w:ascii="宋体" w:hAnsi="宋体" w:eastAsia="宋体"/>
          <w:szCs w:val="21"/>
        </w:rPr>
      </w:pPr>
      <w:r>
        <w:rPr>
          <w:rFonts w:hint="eastAsia" w:ascii="宋体" w:hAnsi="宋体" w:eastAsia="宋体"/>
          <w:szCs w:val="21"/>
        </w:rPr>
        <w:t>在</w:t>
      </w:r>
      <w:r>
        <w:rPr>
          <w:rFonts w:ascii="宋体" w:hAnsi="宋体" w:eastAsia="宋体"/>
          <w:szCs w:val="21"/>
        </w:rPr>
        <w:t>1883年马克思去世以后的一百多年里,欧美马克思主义经济思想传播广泛,但发展曲折。直到20世纪初,英国和西欧其他国家的马克</w:t>
      </w:r>
      <w:r>
        <w:rPr>
          <w:rFonts w:hint="eastAsia" w:ascii="宋体" w:hAnsi="宋体" w:eastAsia="宋体"/>
          <w:szCs w:val="21"/>
        </w:rPr>
        <w:t>思主义学者在经济学上仍然建树甚微</w:t>
      </w:r>
      <w:r>
        <w:rPr>
          <w:rFonts w:ascii="宋体" w:hAnsi="宋体" w:eastAsia="宋体"/>
          <w:szCs w:val="21"/>
        </w:rPr>
        <w:t>,他们的注意力大多集中在马克思的政治学、历史学和社会学等领域。20世纪20年代苏联社会主义经济建设的成就与西方世界的经济“大萧条”,动摇了西方资本主义国家的经济、社会和政治秩序,同时也使“正宗”的马歇尔经济理论已失去其“实用”的价值,马克思主义经济思想开始在西欧“复兴”。</w:t>
      </w:r>
    </w:p>
    <w:p w14:paraId="4B4ABF92">
      <w:pPr>
        <w:spacing w:line="400" w:lineRule="exact"/>
        <w:ind w:firstLine="420" w:firstLineChars="200"/>
        <w:rPr>
          <w:rFonts w:ascii="宋体" w:hAnsi="宋体" w:eastAsia="宋体"/>
          <w:szCs w:val="21"/>
        </w:rPr>
      </w:pPr>
      <w:r>
        <w:rPr>
          <w:rFonts w:hint="eastAsia" w:ascii="宋体" w:hAnsi="宋体" w:eastAsia="宋体"/>
          <w:szCs w:val="21"/>
        </w:rPr>
        <w:t>当时</w:t>
      </w:r>
      <w:r>
        <w:rPr>
          <w:rFonts w:ascii="宋体" w:hAnsi="宋体" w:eastAsia="宋体"/>
          <w:szCs w:val="21"/>
        </w:rPr>
        <w:t>,在西欧马克思主义经济思想领域中,除了一些“老”马克思主义者,如希法亭、考茨基和鲍威尔(OttoBauer)等人偶有著述外,还出现了一些年轻的有影响的马克思主义经济学家,如格罗斯曼(H.Grossman)、多布和莫斯科斯卡(NatalieMoszkowska)等。这些后起的马克思主义经济学家着力于“复兴”马克思主义经济学的“传统”,对马克思、恩格斯逝世后经第二国际理论家“诠释”的马克思主义经济理论进行了“清理”,并试图用马克思主义经济学的理论和方法重新考察、分析资本主义经济关系发展的新情况、新特征,探讨社会主义经济发展的新理论。</w:t>
      </w:r>
    </w:p>
    <w:p w14:paraId="1A042123">
      <w:pPr>
        <w:spacing w:line="400" w:lineRule="exact"/>
        <w:ind w:firstLine="420" w:firstLineChars="200"/>
        <w:rPr>
          <w:rFonts w:ascii="宋体" w:hAnsi="宋体" w:eastAsia="宋体"/>
          <w:szCs w:val="21"/>
        </w:rPr>
      </w:pPr>
      <w:r>
        <w:rPr>
          <w:rFonts w:hint="eastAsia" w:ascii="宋体" w:hAnsi="宋体" w:eastAsia="宋体"/>
          <w:szCs w:val="21"/>
        </w:rPr>
        <w:t>从</w:t>
      </w:r>
      <w:r>
        <w:rPr>
          <w:rFonts w:ascii="宋体" w:hAnsi="宋体" w:eastAsia="宋体"/>
          <w:szCs w:val="21"/>
        </w:rPr>
        <w:t>20世纪20年代末到30年代中后期,马克思主义经济学在西欧的“复兴”主要表现在三个重要的论题上:一是由“大萧条”引发的关于资本主义危机理论的探讨。二是关于马克思主义经济学的基本原理,特别是关于劳动价值论和剩余价值论的研究。三是关于社会主义经济计算问题的争论。</w:t>
      </w:r>
    </w:p>
    <w:p w14:paraId="1496174C">
      <w:pPr>
        <w:spacing w:line="400" w:lineRule="exact"/>
        <w:ind w:firstLine="420" w:firstLineChars="200"/>
        <w:rPr>
          <w:rFonts w:ascii="宋体" w:hAnsi="宋体" w:eastAsia="宋体"/>
          <w:szCs w:val="21"/>
        </w:rPr>
      </w:pPr>
      <w:r>
        <w:rPr>
          <w:rFonts w:hint="eastAsia" w:ascii="宋体" w:hAnsi="宋体" w:eastAsia="宋体"/>
          <w:szCs w:val="21"/>
        </w:rPr>
        <w:t>第二次世界大战后期</w:t>
      </w:r>
      <w:r>
        <w:rPr>
          <w:rFonts w:ascii="宋体" w:hAnsi="宋体" w:eastAsia="宋体"/>
          <w:szCs w:val="21"/>
        </w:rPr>
        <w:t>,琼·罗宾逊等人试图“沟通”马克思主义经济思想与凯恩斯经济学之间的“联系”。在这种学术氛围中,欧美一些马克思主义经济学家也在很大程度上表现出对凯恩斯经济学的“宽容”,在理论上也或多或少地顺应了与西方经济学“沟通”的取向。欧美马克思主义经济思想发展的这一取向,与当时以苏联为代表的“正统”马克思主义经济学派是有显著的区别</w:t>
      </w:r>
      <w:r>
        <w:rPr>
          <w:rFonts w:hint="eastAsia" w:ascii="宋体" w:hAnsi="宋体" w:eastAsia="宋体"/>
          <w:szCs w:val="21"/>
        </w:rPr>
        <w:t>的。斯威齐于</w:t>
      </w:r>
      <w:r>
        <w:rPr>
          <w:rFonts w:ascii="宋体" w:hAnsi="宋体" w:eastAsia="宋体"/>
          <w:szCs w:val="21"/>
        </w:rPr>
        <w:t>1942年发表的《资本主义发展论》一书是反映这一时期马克思主义经济思想的代表作。这部著作促进了马克思经济思想在美国的传播,也引发了欧美马克思主义经济学家关于价值问题、利润率下降规律和经济危机等问题的激烈争论。</w:t>
      </w:r>
    </w:p>
    <w:p w14:paraId="2CBA019B">
      <w:pPr>
        <w:spacing w:line="400" w:lineRule="exact"/>
        <w:ind w:firstLine="420" w:firstLineChars="200"/>
        <w:rPr>
          <w:rFonts w:ascii="宋体" w:hAnsi="宋体" w:eastAsia="宋体"/>
          <w:szCs w:val="21"/>
        </w:rPr>
      </w:pPr>
      <w:r>
        <w:rPr>
          <w:rFonts w:hint="eastAsia" w:ascii="宋体" w:hAnsi="宋体" w:eastAsia="宋体"/>
          <w:szCs w:val="21"/>
        </w:rPr>
        <w:t>第二次世界大战结束后</w:t>
      </w:r>
      <w:r>
        <w:rPr>
          <w:rFonts w:ascii="宋体" w:hAnsi="宋体" w:eastAsia="宋体"/>
          <w:szCs w:val="21"/>
        </w:rPr>
        <w:t>,欧美马克思主义经济思想的发展出现了两个方面的显著变化:一方面,受“学院派经济学”力图“沟通”马克思主义经济学和凯恩斯经济学取向的影响,马克思主义经济学研究中出现了力图开辟马克思主义经济学</w:t>
      </w:r>
      <w:r>
        <w:rPr>
          <w:rFonts w:hint="eastAsia" w:ascii="宋体" w:hAnsi="宋体" w:eastAsia="宋体"/>
          <w:szCs w:val="21"/>
        </w:rPr>
        <w:t>与非马克思主义经济学“</w:t>
      </w:r>
      <w:r>
        <w:rPr>
          <w:rFonts w:ascii="宋体" w:hAnsi="宋体" w:eastAsia="宋体"/>
          <w:szCs w:val="21"/>
        </w:rPr>
        <w:t>两派共存的时代”的主张。如英国马克思主义经济学家米克(R.Meek)在1956年出版的《劳动价值学说的研究》一书中,试图通过对劳动价值学说史的研究在马克思主义经济思想和非马克思主义经济思想之间建筑“某种桥梁”,希望“在这个时代里,马克思主义者和非马克思主义者将由互相攻击对方的虚伪性和不学无术,而转变为互相了解和评价对方的观点,双方进行和平的竞赛,看看谁能对经济现实给予更正确和更有用的分析”[4]。他的这一学术主张,在很大程度上得到西方(特别是英国)其</w:t>
      </w:r>
      <w:r>
        <w:rPr>
          <w:rFonts w:hint="eastAsia" w:ascii="宋体" w:hAnsi="宋体" w:eastAsia="宋体"/>
          <w:szCs w:val="21"/>
        </w:rPr>
        <w:t>他马克思主义经济学家的赞许。</w:t>
      </w:r>
    </w:p>
    <w:p w14:paraId="6AFFF382">
      <w:pPr>
        <w:spacing w:line="400" w:lineRule="exact"/>
        <w:ind w:firstLine="420" w:firstLineChars="200"/>
        <w:rPr>
          <w:rFonts w:ascii="宋体" w:hAnsi="宋体" w:eastAsia="宋体"/>
          <w:szCs w:val="21"/>
        </w:rPr>
      </w:pPr>
      <w:r>
        <w:rPr>
          <w:rFonts w:hint="eastAsia" w:ascii="宋体" w:hAnsi="宋体" w:eastAsia="宋体"/>
          <w:szCs w:val="21"/>
        </w:rPr>
        <w:t>另一方面</w:t>
      </w:r>
      <w:r>
        <w:rPr>
          <w:rFonts w:ascii="宋体" w:hAnsi="宋体" w:eastAsia="宋体"/>
          <w:szCs w:val="21"/>
        </w:rPr>
        <w:t>,欧美马克思主义经济思想也受到了西方主流经济学和西方政治势力的种种阻挠。但是,种种非难和攻击并没能中止马克思主义经济思想在欧美的传播和发展。多布、斯威齐和巴兰等人仍然活跃在欧美马克思主义经济思想界。特别是巴兰的《增长的政治经济学》一书,该书深入地探讨了发达和不发达国家的经济增长问题,对马克思主义不发达政治经济学理论的形成和发展产生了重要的影响;同时他提出的“经济剩余”成了欧美马克思主义经济思想研究中时常使用的基本范畴。</w:t>
      </w:r>
    </w:p>
    <w:p w14:paraId="1EFF272C">
      <w:pPr>
        <w:spacing w:line="400" w:lineRule="exact"/>
        <w:ind w:firstLine="420" w:firstLineChars="200"/>
        <w:rPr>
          <w:rFonts w:ascii="宋体" w:hAnsi="宋体" w:eastAsia="宋体"/>
          <w:szCs w:val="21"/>
        </w:rPr>
      </w:pPr>
      <w:r>
        <w:rPr>
          <w:rFonts w:ascii="宋体" w:hAnsi="宋体" w:eastAsia="宋体"/>
          <w:szCs w:val="21"/>
        </w:rPr>
        <w:t>20世纪60年代中期,马克思主义经济思想在西方再度“复兴”,并且得到了空前广泛的传播和发展。这一时期的显著特点,就是拓展了马克思主义经济理论研究的视野。60年代中期以后,欧美马克思主义经济学家对马克思主义经济学某些原理进行了深入的研究,其中主要有价值与剩余价值理论和转形问题。同时,他们还密切结合当时资本主义经济关系发展的实际情况,对当代资本主义经济的理论与实际作出了新的阐释,其中主要有:巴兰和斯威齐的“垄断资本”理论,以及在这一理论基础上发展起来的美国“垄断资本学派”的一</w:t>
      </w:r>
      <w:r>
        <w:rPr>
          <w:rFonts w:hint="eastAsia" w:ascii="宋体" w:hAnsi="宋体" w:eastAsia="宋体"/>
          <w:szCs w:val="21"/>
        </w:rPr>
        <w:t>系列重要的理论主张</w:t>
      </w:r>
      <w:r>
        <w:rPr>
          <w:rFonts w:ascii="宋体" w:hAnsi="宋体" w:eastAsia="宋体"/>
          <w:szCs w:val="21"/>
        </w:rPr>
        <w:t>;在对美国垄断资本新特征研究基础上形成的,并由美国奥康纳最先提出来的“国家的财政危机”的理论,对当代资本主义经济危机的起因及其性质作了新的阐述;在对当代资本主义生产方式及其经济、政治、社会发展的整体研究的基础上,提出的有关当代资本主义发展新阶段的一系列理论主张,其中最有影响的有法国博卡拉提出的国家垄断资本主义理论、英国的本·法因提出的资本主义生产方式“转化”性质的理论、比利时的曼德尔提出</w:t>
      </w:r>
      <w:r>
        <w:rPr>
          <w:rFonts w:hint="eastAsia" w:ascii="宋体" w:hAnsi="宋体" w:eastAsia="宋体"/>
          <w:szCs w:val="21"/>
        </w:rPr>
        <w:t>。这一时期</w:t>
      </w:r>
      <w:r>
        <w:rPr>
          <w:rFonts w:ascii="宋体" w:hAnsi="宋体" w:eastAsia="宋体"/>
          <w:szCs w:val="21"/>
        </w:rPr>
        <w:t>,马克思主义经济思想在欧美的“复兴”,除了表现在对马克思主义经济思想基本原理的研究之外,还突出地表现在开辟了马克思主义关于不发达政治经济学这个新的理论研究领域,如巴兰、弗兰克、伊曼纽尔和沃勒斯坦都是</w:t>
      </w:r>
      <w:r>
        <w:rPr>
          <w:rFonts w:hint="eastAsia" w:ascii="宋体" w:hAnsi="宋体" w:eastAsia="宋体"/>
          <w:szCs w:val="21"/>
        </w:rPr>
        <w:t>其代表人物。</w:t>
      </w:r>
    </w:p>
    <w:p w14:paraId="11C16BE2">
      <w:pPr>
        <w:spacing w:line="400" w:lineRule="exact"/>
        <w:ind w:firstLine="420" w:firstLineChars="200"/>
        <w:rPr>
          <w:rFonts w:ascii="宋体" w:hAnsi="宋体" w:eastAsia="宋体"/>
          <w:szCs w:val="21"/>
        </w:rPr>
      </w:pPr>
      <w:r>
        <w:rPr>
          <w:rFonts w:hint="eastAsia" w:ascii="宋体" w:hAnsi="宋体" w:eastAsia="宋体"/>
          <w:szCs w:val="21"/>
        </w:rPr>
        <w:t>源于</w:t>
      </w:r>
      <w:r>
        <w:rPr>
          <w:rFonts w:ascii="宋体" w:hAnsi="宋体" w:eastAsia="宋体"/>
          <w:szCs w:val="21"/>
        </w:rPr>
        <w:t>20世纪70年代,在80年代获得迅速发展的分析马克思主义学派在这一时期也颇为引人注目,该学派为了使马克思的理论成为既是科学的又是革命的理论,从命题分析和方法论等多种角度对马克思的理论进行了重构。</w:t>
      </w:r>
    </w:p>
    <w:p w14:paraId="333C4BE0">
      <w:pPr>
        <w:spacing w:line="400" w:lineRule="exact"/>
        <w:ind w:firstLine="420" w:firstLineChars="200"/>
        <w:rPr>
          <w:rFonts w:ascii="宋体" w:hAnsi="宋体" w:eastAsia="宋体"/>
          <w:szCs w:val="21"/>
        </w:rPr>
      </w:pPr>
      <w:r>
        <w:rPr>
          <w:rFonts w:hint="eastAsia" w:ascii="宋体" w:hAnsi="宋体" w:eastAsia="宋体"/>
          <w:szCs w:val="21"/>
        </w:rPr>
        <w:t>值得注意的是</w:t>
      </w:r>
      <w:r>
        <w:rPr>
          <w:rFonts w:ascii="宋体" w:hAnsi="宋体" w:eastAsia="宋体"/>
          <w:szCs w:val="21"/>
        </w:rPr>
        <w:t>,60年代中期以后,欧美许多马克思主义经济学家大大超出了“社会生产关系”这一政治经济学的特定的理论研究范围,诸如女权运动、少数民族问题等都被纳入政治经济学的研究范围。有些学者还突出了政治经济学理论研究中“政治”方面内容的重要性,他们往往把马克思主义理论体系中的经济学、社会学、政治学等融为一体,进行综合性的研究,形成独特的“社会批判理论”。显然,这种理论倾向适应了当代社会科学学科相互交叉、融合的新趋势,是有利于拓展马克思主义经济思想研究视野的。但同时,这种理论倾向也有</w:t>
      </w:r>
      <w:r>
        <w:rPr>
          <w:rFonts w:hint="eastAsia" w:ascii="宋体" w:hAnsi="宋体" w:eastAsia="宋体"/>
          <w:szCs w:val="21"/>
        </w:rPr>
        <w:t>可能模糊马克思主义经济思想的特定研究对象。</w:t>
      </w:r>
    </w:p>
    <w:p w14:paraId="20ED7554">
      <w:pPr>
        <w:spacing w:line="400" w:lineRule="exact"/>
        <w:ind w:firstLine="420" w:firstLineChars="200"/>
        <w:rPr>
          <w:rFonts w:ascii="宋体" w:hAnsi="宋体" w:eastAsia="宋体"/>
          <w:szCs w:val="21"/>
        </w:rPr>
      </w:pPr>
      <w:r>
        <w:rPr>
          <w:rFonts w:hint="eastAsia" w:ascii="宋体" w:hAnsi="宋体" w:eastAsia="宋体"/>
          <w:szCs w:val="21"/>
        </w:rPr>
        <w:t>苏联和东欧剧变以后</w:t>
      </w:r>
      <w:r>
        <w:rPr>
          <w:rFonts w:ascii="宋体" w:hAnsi="宋体" w:eastAsia="宋体"/>
          <w:szCs w:val="21"/>
        </w:rPr>
        <w:t>,在欧美出现了一些新的取向。欧美学者在马克思主义经济思想基本范畴方面的研究继续取得了一些进展,并加强了对马克思主义经济思想的反思。这主要表现在加强了对社会主义经济运行的研究,市场社会主义模式问题再次引起了激烈的争论。在这一问题的研究方面,诺夫(AlecNove)、罗默、扬克(JamesA.Yuncker)、米勒(D.Miller)和韦斯科普夫(T.Weis-skopf)等人分别提出了自己的见解。</w:t>
      </w:r>
    </w:p>
    <w:p w14:paraId="13999A1C">
      <w:pPr>
        <w:spacing w:line="400" w:lineRule="exact"/>
        <w:ind w:firstLine="420" w:firstLineChars="200"/>
        <w:rPr>
          <w:rFonts w:ascii="宋体" w:hAnsi="宋体" w:eastAsia="宋体"/>
          <w:szCs w:val="21"/>
        </w:rPr>
      </w:pPr>
      <w:r>
        <w:rPr>
          <w:rFonts w:hint="eastAsia" w:ascii="宋体" w:hAnsi="宋体" w:eastAsia="宋体"/>
          <w:szCs w:val="21"/>
        </w:rPr>
        <w:t>这一时期</w:t>
      </w:r>
      <w:r>
        <w:rPr>
          <w:rFonts w:ascii="宋体" w:hAnsi="宋体" w:eastAsia="宋体"/>
          <w:szCs w:val="21"/>
        </w:rPr>
        <w:t>,欧美马克思主义经济学家也加强了对资本主义自身问题的研究,特别是资本主义经济发展在当代出现的一些新问题和资本主义的走向问题得到了系统的阐述和深入的研究。前者如沃尔夫(RichardD.Wolff)论“新经济”,大卫·科茨、巴奎(K.H.Bagui)和赫尔曼(E.S.Herman)论经济全球化,德罗奈(Jean-Claude Delaunay)论金融垄断资本主义和马尔·阿尔特发特论资本主义劳动关系的新变化等;后者具有代表性的如沃勒斯坦和奥尔曼(B.Ollman)的“崩溃”论、施韦卡特(DavidSchweickart)“经济民主”的市场社会主义、</w:t>
      </w:r>
      <w:r>
        <w:rPr>
          <w:rFonts w:hint="eastAsia" w:ascii="宋体" w:hAnsi="宋体" w:eastAsia="宋体"/>
          <w:szCs w:val="21"/>
        </w:rPr>
        <w:t>的“晚期资本主义”的理论等等。迪德里奇</w:t>
      </w:r>
      <w:r>
        <w:rPr>
          <w:rFonts w:ascii="宋体" w:hAnsi="宋体" w:eastAsia="宋体"/>
          <w:szCs w:val="21"/>
        </w:rPr>
        <w:t>(HeinzDieterich“)</w:t>
      </w:r>
      <w:r>
        <w:rPr>
          <w:rFonts w:hint="eastAsia" w:ascii="宋体" w:hAnsi="宋体" w:eastAsia="宋体"/>
          <w:szCs w:val="21"/>
        </w:rPr>
        <w:t>新的历史蓝图”</w:t>
      </w:r>
      <w:r>
        <w:rPr>
          <w:rFonts w:ascii="宋体" w:hAnsi="宋体" w:eastAsia="宋体"/>
          <w:szCs w:val="21"/>
        </w:rPr>
        <w:t>,以及</w:t>
      </w:r>
      <w:r>
        <w:rPr>
          <w:rFonts w:hint="eastAsia" w:ascii="宋体" w:hAnsi="宋体" w:eastAsia="宋体"/>
          <w:szCs w:val="21"/>
        </w:rPr>
        <w:t>罗默和巴德汉的“新市场社会主义”等。</w:t>
      </w:r>
    </w:p>
    <w:p w14:paraId="2C02E6B0">
      <w:pPr>
        <w:spacing w:line="360" w:lineRule="auto"/>
        <w:jc w:val="center"/>
        <w:rPr>
          <w:rFonts w:ascii="宋体" w:hAnsi="宋体" w:eastAsia="宋体"/>
          <w:b/>
          <w:bCs/>
          <w:sz w:val="24"/>
        </w:rPr>
      </w:pPr>
      <w:r>
        <w:rPr>
          <w:rFonts w:hint="eastAsia" w:ascii="宋体" w:hAnsi="宋体" w:eastAsia="宋体"/>
          <w:b/>
          <w:bCs/>
          <w:sz w:val="24"/>
        </w:rPr>
        <w:t>四、欧美马克思主义经济思想流派</w:t>
      </w:r>
    </w:p>
    <w:p w14:paraId="18BDF02F">
      <w:pPr>
        <w:spacing w:line="400" w:lineRule="exact"/>
        <w:ind w:firstLine="420" w:firstLineChars="200"/>
        <w:rPr>
          <w:rFonts w:ascii="宋体" w:hAnsi="宋体" w:eastAsia="宋体"/>
          <w:szCs w:val="21"/>
        </w:rPr>
      </w:pPr>
      <w:r>
        <w:rPr>
          <w:rFonts w:hint="eastAsia" w:ascii="宋体" w:hAnsi="宋体" w:eastAsia="宋体"/>
          <w:szCs w:val="21"/>
        </w:rPr>
        <w:t>欧美马克思主义经济思想发展过程中存在流派</w:t>
      </w:r>
      <w:r>
        <w:rPr>
          <w:rFonts w:ascii="宋体" w:hAnsi="宋体" w:eastAsia="宋体"/>
          <w:szCs w:val="21"/>
        </w:rPr>
        <w:t>,其出现的原因很复杂,其中有国情的不同、有所代表的阶层不同,也有个人的差异等因素。各派之间存在着差别、矛盾,甚至是激烈的论争。这不仅在第二国际时出现过,在20世纪20-50年代以至当代都存在。但在这些派别内部,理论观点和研究方法基本一致。</w:t>
      </w:r>
    </w:p>
    <w:p w14:paraId="70ADDC83">
      <w:pPr>
        <w:spacing w:line="400" w:lineRule="exact"/>
        <w:ind w:firstLine="420" w:firstLineChars="200"/>
        <w:rPr>
          <w:rFonts w:ascii="宋体" w:hAnsi="宋体" w:eastAsia="宋体"/>
          <w:b/>
          <w:bCs/>
          <w:szCs w:val="21"/>
        </w:rPr>
      </w:pPr>
      <w:r>
        <w:rPr>
          <w:rFonts w:ascii="宋体" w:hAnsi="宋体" w:eastAsia="宋体"/>
          <w:b/>
          <w:bCs/>
          <w:szCs w:val="21"/>
        </w:rPr>
        <w:t>1.第二国际各派的经济思想</w:t>
      </w:r>
    </w:p>
    <w:p w14:paraId="3B6199C5">
      <w:pPr>
        <w:spacing w:line="400" w:lineRule="exact"/>
        <w:ind w:firstLine="420" w:firstLineChars="200"/>
        <w:rPr>
          <w:rFonts w:ascii="宋体" w:hAnsi="宋体" w:eastAsia="宋体"/>
          <w:szCs w:val="21"/>
        </w:rPr>
      </w:pPr>
      <w:r>
        <w:rPr>
          <w:rFonts w:hint="eastAsia" w:ascii="宋体" w:hAnsi="宋体" w:eastAsia="宋体"/>
          <w:szCs w:val="21"/>
        </w:rPr>
        <w:t>在第二国际各派的经济思想中</w:t>
      </w:r>
      <w:r>
        <w:rPr>
          <w:rFonts w:ascii="宋体" w:hAnsi="宋体" w:eastAsia="宋体"/>
          <w:szCs w:val="21"/>
        </w:rPr>
        <w:t>,右派伯恩斯</w:t>
      </w:r>
      <w:r>
        <w:rPr>
          <w:rFonts w:hint="eastAsia" w:ascii="宋体" w:hAnsi="宋体" w:eastAsia="宋体"/>
          <w:szCs w:val="21"/>
        </w:rPr>
        <w:t>坦的修正主义理论否定了马克思的劳动价值论、剩余价值理论、资本积累理论和经济危机理论等马克思经济思想的核心部分。因此</w:t>
      </w:r>
      <w:r>
        <w:rPr>
          <w:rFonts w:ascii="宋体" w:hAnsi="宋体" w:eastAsia="宋体"/>
          <w:szCs w:val="21"/>
        </w:rPr>
        <w:t>,以伯恩斯坦为代表的右派修正主义并非马克思主义的经济思想流派。</w:t>
      </w:r>
    </w:p>
    <w:p w14:paraId="0C8DCE06">
      <w:pPr>
        <w:spacing w:line="400" w:lineRule="exact"/>
        <w:ind w:firstLine="420" w:firstLineChars="200"/>
        <w:rPr>
          <w:rFonts w:ascii="宋体" w:hAnsi="宋体" w:eastAsia="宋体"/>
          <w:szCs w:val="21"/>
        </w:rPr>
      </w:pPr>
      <w:r>
        <w:rPr>
          <w:rFonts w:hint="eastAsia" w:ascii="宋体" w:hAnsi="宋体" w:eastAsia="宋体"/>
          <w:szCs w:val="21"/>
        </w:rPr>
        <w:t>中派希法亭对金融资本、资本主义最新阶段和有组织的资本主义等问题作出了有价值的理论分析</w:t>
      </w:r>
      <w:r>
        <w:rPr>
          <w:rFonts w:ascii="宋体" w:hAnsi="宋体" w:eastAsia="宋体"/>
          <w:szCs w:val="21"/>
        </w:rPr>
        <w:t>,但是他的理论体系是建立在从流通出发的理论基础上的,因而从总体上说还有缺陷。中派考茨基力图根据马克思的理论,依据欧洲各国农业发展的丰富材料,研究了资本主义农村经济的状况,强调了农业具有与工商业不同的特殊性,认为农业的发展前途应是社会主义大生产,并由此提出了具体的纲领和政策。考茨基的“超帝国主义论”和对十月革命后社会主义的分析有悖于马克思主义的基本理论。</w:t>
      </w:r>
    </w:p>
    <w:p w14:paraId="29839329">
      <w:pPr>
        <w:spacing w:line="400" w:lineRule="exact"/>
        <w:ind w:firstLine="420" w:firstLineChars="200"/>
        <w:rPr>
          <w:rFonts w:ascii="宋体" w:hAnsi="宋体" w:eastAsia="宋体"/>
          <w:szCs w:val="21"/>
        </w:rPr>
      </w:pPr>
      <w:r>
        <w:rPr>
          <w:rFonts w:hint="eastAsia" w:ascii="宋体" w:hAnsi="宋体" w:eastAsia="宋体"/>
          <w:szCs w:val="21"/>
        </w:rPr>
        <w:t>左派卢森堡深入研究了马克思的资本积累和帝国主义理论。她的资本积累理论主张资本主义的生存与发展要求有一个非资本主义经济形态的环境</w:t>
      </w:r>
      <w:r>
        <w:rPr>
          <w:rFonts w:ascii="宋体" w:hAnsi="宋体" w:eastAsia="宋体"/>
          <w:szCs w:val="21"/>
        </w:rPr>
        <w:t>,由此还揭露了资本主义扩张给落后地区带来的灾难。这种理论一定程度上反映了资本主义发展的现实,但没有从社会再生产的资本主义实质来论述其困难和出路。剩余价值的实现从理论上讲它可以在扩大再生产自身的过程中完成,因而不能把资本积累的根本前提视为非资本主义领域。她由此导出的帝国主义理论也是进步与不足并存的。</w:t>
      </w:r>
    </w:p>
    <w:p w14:paraId="5F2AEA07">
      <w:pPr>
        <w:spacing w:line="400" w:lineRule="exact"/>
        <w:ind w:firstLine="420" w:firstLineChars="200"/>
        <w:rPr>
          <w:rFonts w:ascii="宋体" w:hAnsi="宋体" w:eastAsia="宋体"/>
          <w:b/>
          <w:bCs/>
          <w:szCs w:val="21"/>
        </w:rPr>
      </w:pPr>
      <w:r>
        <w:rPr>
          <w:rFonts w:ascii="宋体" w:hAnsi="宋体" w:eastAsia="宋体"/>
          <w:b/>
          <w:bCs/>
          <w:szCs w:val="21"/>
        </w:rPr>
        <w:t>2.欧洲共产主义</w:t>
      </w:r>
    </w:p>
    <w:p w14:paraId="24FD2E12">
      <w:pPr>
        <w:spacing w:line="400" w:lineRule="exact"/>
        <w:ind w:firstLine="420" w:firstLineChars="200"/>
        <w:rPr>
          <w:rFonts w:ascii="宋体" w:hAnsi="宋体" w:eastAsia="宋体"/>
          <w:szCs w:val="21"/>
        </w:rPr>
      </w:pPr>
      <w:r>
        <w:rPr>
          <w:rFonts w:hint="eastAsia" w:ascii="宋体" w:hAnsi="宋体" w:eastAsia="宋体"/>
          <w:szCs w:val="21"/>
        </w:rPr>
        <w:t>“</w:t>
      </w:r>
      <w:r>
        <w:rPr>
          <w:rFonts w:ascii="宋体" w:hAnsi="宋体" w:eastAsia="宋体"/>
          <w:szCs w:val="21"/>
        </w:rPr>
        <w:t>欧洲共产主义”是20世纪70年代国际共产主义运动中马克思主义思想的一个流派,主要是指西欧一些共产党在探索当代发达资本主义国家走向社会主义的道路时所提出的理论观点。它不仅是一股政治思潮,也是一个经济思想流</w:t>
      </w:r>
      <w:r>
        <w:rPr>
          <w:rFonts w:hint="eastAsia" w:ascii="宋体" w:hAnsi="宋体" w:eastAsia="宋体"/>
          <w:szCs w:val="21"/>
        </w:rPr>
        <w:t>派。欧洲共产主义在主要理论观点上大体一致</w:t>
      </w:r>
      <w:r>
        <w:rPr>
          <w:rFonts w:ascii="宋体" w:hAnsi="宋体" w:eastAsia="宋体"/>
          <w:szCs w:val="21"/>
        </w:rPr>
        <w:t>,具体政策和提法亦有差异,以至分歧。“欧洲共产主义”的思想渊源于葛兰西和陶里亚蒂的思想。</w:t>
      </w:r>
    </w:p>
    <w:p w14:paraId="5E0C7689">
      <w:pPr>
        <w:spacing w:line="400" w:lineRule="exact"/>
        <w:ind w:firstLine="420" w:firstLineChars="200"/>
        <w:rPr>
          <w:rFonts w:ascii="宋体" w:hAnsi="宋体" w:eastAsia="宋体"/>
          <w:szCs w:val="21"/>
        </w:rPr>
      </w:pPr>
      <w:r>
        <w:rPr>
          <w:rFonts w:hint="eastAsia" w:ascii="宋体" w:hAnsi="宋体" w:eastAsia="宋体"/>
          <w:szCs w:val="21"/>
        </w:rPr>
        <w:t>“</w:t>
      </w:r>
      <w:r>
        <w:rPr>
          <w:rFonts w:ascii="宋体" w:hAnsi="宋体" w:eastAsia="宋体"/>
          <w:szCs w:val="21"/>
        </w:rPr>
        <w:t>欧洲共产主义”的经济思想主要体现在对资本主义经济关系的基本分析上。“欧洲共产主义”分析了当时的资本主义生产关系以及这些生产关系在同生产力和政治、思想等上层建筑的相互关系中产生的各种形式,特别是根据辩证唯物主义和历史唯物主义的原理和方法,着重研究那些使国家垄断资本主义区别于一般垄断资本主义的最显著的形式和过程,从而揭示当时国家垄</w:t>
      </w:r>
      <w:r>
        <w:rPr>
          <w:rFonts w:hint="eastAsia" w:ascii="宋体" w:hAnsi="宋体" w:eastAsia="宋体"/>
          <w:szCs w:val="21"/>
        </w:rPr>
        <w:t>断资本主义的基本特点。基于这种分析“</w:t>
      </w:r>
      <w:r>
        <w:rPr>
          <w:rFonts w:ascii="宋体" w:hAnsi="宋体" w:eastAsia="宋体"/>
          <w:szCs w:val="21"/>
        </w:rPr>
        <w:t>,</w:t>
      </w:r>
      <w:r>
        <w:rPr>
          <w:rFonts w:hint="eastAsia" w:ascii="宋体" w:hAnsi="宋体" w:eastAsia="宋体"/>
          <w:szCs w:val="21"/>
        </w:rPr>
        <w:t xml:space="preserve"> 欧洲共产主义”又提出了向社会主义过渡和建设社会主义的新的模式。</w:t>
      </w:r>
    </w:p>
    <w:p w14:paraId="293DD002">
      <w:pPr>
        <w:spacing w:line="400" w:lineRule="exact"/>
        <w:ind w:firstLine="420" w:firstLineChars="200"/>
        <w:rPr>
          <w:rFonts w:ascii="宋体" w:hAnsi="宋体" w:eastAsia="宋体"/>
          <w:szCs w:val="21"/>
        </w:rPr>
      </w:pPr>
      <w:r>
        <w:rPr>
          <w:rFonts w:hint="eastAsia" w:ascii="宋体" w:hAnsi="宋体" w:eastAsia="宋体"/>
          <w:szCs w:val="21"/>
        </w:rPr>
        <w:t>“</w:t>
      </w:r>
      <w:r>
        <w:rPr>
          <w:rFonts w:ascii="宋体" w:hAnsi="宋体" w:eastAsia="宋体"/>
          <w:szCs w:val="21"/>
        </w:rPr>
        <w:t>欧洲共产主义”着重研究的是资本主义经济发展的现实情况,对马克思经济思想的基础理论涉猎较少。它可以加深人们对资本主义现实情况的理解,同时对社会主义经济建设道路的选择无疑具有重要的意义。从这一点来说,“欧洲共产主义”的经济思想是对马克思经济思想的一个补充和发展。</w:t>
      </w:r>
    </w:p>
    <w:p w14:paraId="76FFAF14">
      <w:pPr>
        <w:spacing w:line="400" w:lineRule="exact"/>
        <w:ind w:firstLine="420" w:firstLineChars="200"/>
        <w:rPr>
          <w:rFonts w:ascii="宋体" w:hAnsi="宋体" w:eastAsia="宋体"/>
          <w:b/>
          <w:bCs/>
          <w:szCs w:val="21"/>
        </w:rPr>
      </w:pPr>
      <w:r>
        <w:rPr>
          <w:rFonts w:ascii="宋体" w:hAnsi="宋体" w:eastAsia="宋体"/>
          <w:b/>
          <w:bCs/>
          <w:szCs w:val="21"/>
        </w:rPr>
        <w:t>3.美国垄断资本学派</w:t>
      </w:r>
    </w:p>
    <w:p w14:paraId="70298C31">
      <w:pPr>
        <w:spacing w:line="400" w:lineRule="exact"/>
        <w:ind w:firstLine="420" w:firstLineChars="200"/>
        <w:rPr>
          <w:rFonts w:ascii="宋体" w:hAnsi="宋体" w:eastAsia="宋体"/>
          <w:szCs w:val="21"/>
        </w:rPr>
      </w:pPr>
      <w:r>
        <w:rPr>
          <w:rFonts w:hint="eastAsia" w:ascii="宋体" w:hAnsi="宋体" w:eastAsia="宋体"/>
          <w:szCs w:val="21"/>
        </w:rPr>
        <w:t>美国垄断资本学派的代表人物是斯威齐和巴兰</w:t>
      </w:r>
      <w:r>
        <w:rPr>
          <w:rFonts w:ascii="宋体" w:hAnsi="宋体" w:eastAsia="宋体"/>
          <w:szCs w:val="21"/>
        </w:rPr>
        <w:t>,该派代表作为《资本主义发展论》《垄断资本》。斯威齐和巴兰从马克思的著作《资本论》出发,试图根据资本主义新的情况来作修正,用“经济剩余”的概念来代替剩余价值。并用所谓经济剩余增长的规律来代替利润率下降趋势的分析。他们也接受列宁对垄断资本主义的分析,试图从经济的运行上作新的论述。并把卢森堡对剩余价值实现的分析方法引进垄断资本主义经济运行的分析,由此形成其理论体系,用以剖析现代垄断资本主义。另外,斯威齐还对马克思的劳动价值论、转形问题、经济危机理论进行了深</w:t>
      </w:r>
      <w:r>
        <w:rPr>
          <w:rFonts w:hint="eastAsia" w:ascii="宋体" w:hAnsi="宋体" w:eastAsia="宋体"/>
          <w:szCs w:val="21"/>
        </w:rPr>
        <w:t>入的探讨。斯威齐的理论研究对马克思的经济思想在美国的传播和发展起到了重要的作用。</w:t>
      </w:r>
    </w:p>
    <w:p w14:paraId="2375031D">
      <w:pPr>
        <w:spacing w:line="400" w:lineRule="exact"/>
        <w:ind w:firstLine="420" w:firstLineChars="200"/>
        <w:rPr>
          <w:rFonts w:ascii="宋体" w:hAnsi="宋体" w:eastAsia="宋体"/>
          <w:b/>
          <w:bCs/>
          <w:szCs w:val="21"/>
        </w:rPr>
      </w:pPr>
      <w:r>
        <w:rPr>
          <w:rFonts w:ascii="宋体" w:hAnsi="宋体" w:eastAsia="宋体"/>
          <w:b/>
          <w:bCs/>
          <w:szCs w:val="21"/>
        </w:rPr>
        <w:t>4.不发达政治经济学</w:t>
      </w:r>
    </w:p>
    <w:p w14:paraId="6FA1E13A">
      <w:pPr>
        <w:spacing w:line="400" w:lineRule="exact"/>
        <w:ind w:firstLine="420" w:firstLineChars="200"/>
        <w:rPr>
          <w:rFonts w:ascii="宋体" w:hAnsi="宋体" w:eastAsia="宋体"/>
          <w:szCs w:val="21"/>
        </w:rPr>
      </w:pPr>
      <w:r>
        <w:rPr>
          <w:rFonts w:hint="eastAsia" w:ascii="宋体" w:hAnsi="宋体" w:eastAsia="宋体"/>
          <w:szCs w:val="21"/>
        </w:rPr>
        <w:t>第二次世界大战以后</w:t>
      </w:r>
      <w:r>
        <w:rPr>
          <w:rFonts w:ascii="宋体" w:hAnsi="宋体" w:eastAsia="宋体"/>
          <w:szCs w:val="21"/>
        </w:rPr>
        <w:t>,许多殖民地和附属国政治上的独立并未带来经济上的繁荣。发达资本主义国家的经济有了迅速增长,而经济落后的地区则出现了所谓的“不发达的发展”。一些学者试图以马克思主义的观点来对此作理论上的分析,还有一些学者借用了马克思主义的基本原理和分析方法对此进行研究。这种研究不发达根源的理论成为欧美马克思主义经济思想中的一个重</w:t>
      </w:r>
      <w:r>
        <w:rPr>
          <w:rFonts w:hint="eastAsia" w:ascii="宋体" w:hAnsi="宋体" w:eastAsia="宋体"/>
          <w:szCs w:val="21"/>
        </w:rPr>
        <w:t>要流派</w:t>
      </w:r>
      <w:r>
        <w:rPr>
          <w:rFonts w:ascii="宋体" w:hAnsi="宋体" w:eastAsia="宋体"/>
          <w:szCs w:val="21"/>
        </w:rPr>
        <w:t>,也被称为“现代马克思主义的帝国主义理论”。这种具有程度不同的马克思主义或“近马克思主义”流派中具较大影响的思想有“垄断停滞论”、“依附论”、“中心外围论”、“世界体系论”和“不平等交换论”。</w:t>
      </w:r>
    </w:p>
    <w:p w14:paraId="7C30FA4A">
      <w:pPr>
        <w:spacing w:line="400" w:lineRule="exact"/>
        <w:ind w:firstLine="420" w:firstLineChars="200"/>
        <w:rPr>
          <w:rFonts w:ascii="宋体" w:hAnsi="宋体" w:eastAsia="宋体"/>
          <w:szCs w:val="21"/>
        </w:rPr>
      </w:pPr>
      <w:r>
        <w:rPr>
          <w:rFonts w:hint="eastAsia" w:ascii="宋体" w:hAnsi="宋体" w:eastAsia="宋体"/>
          <w:szCs w:val="21"/>
        </w:rPr>
        <w:t>“</w:t>
      </w:r>
      <w:r>
        <w:rPr>
          <w:rFonts w:ascii="宋体" w:hAnsi="宋体" w:eastAsia="宋体"/>
          <w:szCs w:val="21"/>
        </w:rPr>
        <w:t>垄断停滞论”由巴兰提出。巴兰认为,不发达国家和地区的落后主要是由垄断所产生的经济停滞的结果。垄断导致了经济增长速度降低、消费不足和利润转移。而且不发达国家没有经历过自由竞争阶段,因而这些国家被“冻结”在一个很低的生产发展水平上。巴兰的分析提供了战后严重的“南北对立”的理论说明,随着这种对立的日益发展,巴兰的理论对后来的不发达经济理论有着重要的影响。</w:t>
      </w:r>
    </w:p>
    <w:p w14:paraId="3495E2B1">
      <w:pPr>
        <w:spacing w:line="400" w:lineRule="exact"/>
        <w:ind w:firstLine="420" w:firstLineChars="200"/>
        <w:rPr>
          <w:rFonts w:ascii="宋体" w:hAnsi="宋体" w:eastAsia="宋体"/>
          <w:szCs w:val="21"/>
        </w:rPr>
      </w:pPr>
      <w:r>
        <w:rPr>
          <w:rFonts w:hint="eastAsia" w:ascii="宋体" w:hAnsi="宋体" w:eastAsia="宋体"/>
          <w:szCs w:val="21"/>
        </w:rPr>
        <w:t>在多斯桑托斯等“</w:t>
      </w:r>
      <w:r>
        <w:rPr>
          <w:rFonts w:ascii="宋体" w:hAnsi="宋体" w:eastAsia="宋体"/>
          <w:szCs w:val="21"/>
        </w:rPr>
        <w:t>依附论”者看来,“依附”是指一些国家由于与其他国家关系中处于不利的经济地位而产生的一种不能自主地独立发展这种情况。</w:t>
      </w:r>
    </w:p>
    <w:p w14:paraId="1AA9CFF1">
      <w:pPr>
        <w:spacing w:line="400" w:lineRule="exact"/>
        <w:ind w:firstLine="420" w:firstLineChars="200"/>
        <w:rPr>
          <w:rFonts w:ascii="宋体" w:hAnsi="宋体" w:eastAsia="宋体"/>
          <w:szCs w:val="21"/>
        </w:rPr>
      </w:pPr>
      <w:r>
        <w:rPr>
          <w:rFonts w:hint="eastAsia" w:ascii="宋体" w:hAnsi="宋体" w:eastAsia="宋体"/>
          <w:szCs w:val="21"/>
        </w:rPr>
        <w:t>以弗兰克为代表的“</w:t>
      </w:r>
      <w:r>
        <w:rPr>
          <w:rFonts w:ascii="宋体" w:hAnsi="宋体" w:eastAsia="宋体"/>
          <w:szCs w:val="21"/>
        </w:rPr>
        <w:t>中心外围论”接受了巴兰的一些基本见解,发展了“依附论”,形成了自己的理论。弗兰克等人认为,必须把整个世界体系作为研究的出发点,不同的地区和国家只是这个体系的组出部分,资本主义的主要特征并不是一种特殊的阶级关系,而是在世界体系中为追逐利润而进行生产,是一些地区剥削另一些地区。所以一些地区和国家的发达是以另一些地区和国家的不发达为代价的。</w:t>
      </w:r>
    </w:p>
    <w:p w14:paraId="53BB2D07">
      <w:pPr>
        <w:spacing w:line="400" w:lineRule="exact"/>
        <w:ind w:firstLine="420" w:firstLineChars="200"/>
        <w:rPr>
          <w:rFonts w:ascii="宋体" w:hAnsi="宋体" w:eastAsia="宋体"/>
          <w:szCs w:val="21"/>
        </w:rPr>
      </w:pPr>
      <w:r>
        <w:rPr>
          <w:rFonts w:hint="eastAsia" w:ascii="宋体" w:hAnsi="宋体" w:eastAsia="宋体"/>
          <w:szCs w:val="21"/>
        </w:rPr>
        <w:t>“</w:t>
      </w:r>
      <w:r>
        <w:rPr>
          <w:rFonts w:ascii="宋体" w:hAnsi="宋体" w:eastAsia="宋体"/>
          <w:szCs w:val="21"/>
        </w:rPr>
        <w:t>世界体系论”的代表人物是沃勒斯坦。“世界体系论”认为,不能在个别国家内部的生产方式、分配和分工关系这一狭窄范围理解资本主义,强调从世界分工的角度解释资本主义。他们研究了一个重要问题,即从何时起,资本主义变成了世界资本主义。他们认为,资本主义全球化过程早已发生,如20世纪中国和苏联的兴起就可以看作是抵制资本主义的世界扩张的产物。</w:t>
      </w:r>
    </w:p>
    <w:p w14:paraId="374EBA53">
      <w:pPr>
        <w:spacing w:line="400" w:lineRule="exact"/>
        <w:ind w:firstLine="420" w:firstLineChars="200"/>
        <w:rPr>
          <w:rFonts w:ascii="宋体" w:hAnsi="宋体" w:eastAsia="宋体"/>
          <w:szCs w:val="21"/>
        </w:rPr>
      </w:pPr>
      <w:r>
        <w:rPr>
          <w:rFonts w:hint="eastAsia" w:ascii="宋体" w:hAnsi="宋体" w:eastAsia="宋体"/>
          <w:szCs w:val="21"/>
        </w:rPr>
        <w:t>伊曼纽尔和阿明</w:t>
      </w:r>
      <w:r>
        <w:rPr>
          <w:rFonts w:ascii="宋体" w:hAnsi="宋体" w:eastAsia="宋体"/>
          <w:szCs w:val="21"/>
        </w:rPr>
        <w:t>(SamirAmin)的“不平等交换论”把资本主义视为通过交换而产生剥削的一个世界体系。“不平等交换论”在接受马克思的劳动价值论、生产价格理论和国际贸易理论的基础上,对发达国家和不发达国家之间的贸易作出了新的解释,同时,“不平等交换”理论也拓宽了马克思生产价格理论的内容。</w:t>
      </w:r>
    </w:p>
    <w:p w14:paraId="4699A5AC">
      <w:pPr>
        <w:spacing w:line="400" w:lineRule="exact"/>
        <w:ind w:firstLine="420" w:firstLineChars="200"/>
        <w:rPr>
          <w:rFonts w:ascii="宋体" w:hAnsi="宋体" w:eastAsia="宋体"/>
          <w:szCs w:val="21"/>
        </w:rPr>
      </w:pPr>
      <w:r>
        <w:rPr>
          <w:rFonts w:hint="eastAsia" w:ascii="宋体" w:hAnsi="宋体" w:eastAsia="宋体"/>
          <w:szCs w:val="21"/>
        </w:rPr>
        <w:t>阿明提出的“</w:t>
      </w:r>
      <w:r>
        <w:rPr>
          <w:rFonts w:ascii="宋体" w:hAnsi="宋体" w:eastAsia="宋体"/>
          <w:szCs w:val="21"/>
        </w:rPr>
        <w:t>边缘资本主义”理论是对依附理论的补充和发展。阿明对“中心”和“边缘”的关系,以及“边缘”的一般特征、发展阶段、发展途径</w:t>
      </w:r>
      <w:r>
        <w:rPr>
          <w:rFonts w:hint="eastAsia" w:ascii="宋体" w:hAnsi="宋体" w:eastAsia="宋体"/>
          <w:szCs w:val="21"/>
        </w:rPr>
        <w:t>进行了系统的分析。同时</w:t>
      </w:r>
      <w:r>
        <w:rPr>
          <w:rFonts w:ascii="宋体" w:hAnsi="宋体" w:eastAsia="宋体"/>
          <w:szCs w:val="21"/>
        </w:rPr>
        <w:t>,阿明在论及“不平等交换”问题时,把马克思主义的分析方法、伊曼纽尔的国际生产价格的分析方法和自己的不平等交换理论融为一体。因而可以说,阿明的理论是在马克思主义传统范围内、对国际贸易问题进行的一种折中的综合。</w:t>
      </w:r>
    </w:p>
    <w:p w14:paraId="79660480">
      <w:pPr>
        <w:spacing w:line="400" w:lineRule="exact"/>
        <w:ind w:firstLine="420" w:firstLineChars="200"/>
        <w:rPr>
          <w:rFonts w:ascii="宋体" w:hAnsi="宋体" w:eastAsia="宋体"/>
          <w:b/>
          <w:bCs/>
          <w:szCs w:val="21"/>
        </w:rPr>
      </w:pPr>
      <w:r>
        <w:rPr>
          <w:rFonts w:ascii="宋体" w:hAnsi="宋体" w:eastAsia="宋体"/>
          <w:b/>
          <w:bCs/>
          <w:szCs w:val="21"/>
        </w:rPr>
        <w:t>5.市场社会主义</w:t>
      </w:r>
    </w:p>
    <w:p w14:paraId="110E9F4F">
      <w:pPr>
        <w:spacing w:line="400" w:lineRule="exact"/>
        <w:ind w:firstLine="420" w:firstLineChars="200"/>
        <w:rPr>
          <w:rFonts w:ascii="宋体" w:hAnsi="宋体" w:eastAsia="宋体"/>
          <w:szCs w:val="21"/>
        </w:rPr>
      </w:pPr>
      <w:r>
        <w:rPr>
          <w:rFonts w:hint="eastAsia" w:ascii="宋体" w:hAnsi="宋体" w:eastAsia="宋体"/>
          <w:szCs w:val="21"/>
        </w:rPr>
        <w:t>市场社会主义学派的观点源于</w:t>
      </w:r>
      <w:r>
        <w:rPr>
          <w:rFonts w:ascii="宋体" w:hAnsi="宋体" w:eastAsia="宋体"/>
          <w:szCs w:val="21"/>
        </w:rPr>
        <w:t>20世纪30年代关于社会主义经济能否进行合理计算的论战中产生的“兰格模式”。20世纪70年代以来,大批欧美马克思主义学者对社会主义的经济结构形式的论证和分析作了评论,提出了被认为是理性的和切合实际的社会主义蓝图,并指出了它们可能实现的途径。代表性的市场社会主义模式有诺夫的“可行的社会主义”、罗默的“证券社会主义”、扬克的“实用的市场社会主义”、米勒的“合作制市场社会主义”和韦斯克夫的“民主自治的市场社会主义”。</w:t>
      </w:r>
    </w:p>
    <w:p w14:paraId="3B56E043">
      <w:pPr>
        <w:spacing w:line="400" w:lineRule="exact"/>
        <w:ind w:firstLine="420" w:firstLineChars="200"/>
        <w:rPr>
          <w:rFonts w:ascii="宋体" w:hAnsi="宋体" w:eastAsia="宋体"/>
          <w:szCs w:val="21"/>
        </w:rPr>
      </w:pPr>
      <w:r>
        <w:rPr>
          <w:rFonts w:hint="eastAsia" w:ascii="宋体" w:hAnsi="宋体" w:eastAsia="宋体"/>
          <w:szCs w:val="21"/>
        </w:rPr>
        <w:t>在欧美</w:t>
      </w:r>
      <w:r>
        <w:rPr>
          <w:rFonts w:ascii="宋体" w:hAnsi="宋体" w:eastAsia="宋体"/>
          <w:szCs w:val="21"/>
        </w:rPr>
        <w:t>,诺夫的市场社会主义思想最有影响。他倡导一种真正的“混合”经济,在这种经济中,公共组织掌管基础设施,工人合作社负责中小规模的生产活动,私营企业和家庭企业则主要经营诸多的服务行业和零售批发业。诺夫的观点典型地代表了目前被马克思主义者广泛认同的观点:如果社会主义要继续作为非乌托邦设想而存在,它就必须把市场、预算硬约束和某种程度的生产资料私有制联系起来[5]。诺夫思想的重要性,不仅体现在其对社会主义的理论设想上,更为重要的是,它对苏东剧变后的社会主义走向及社会主义新模式的探讨具有重要的</w:t>
      </w:r>
      <w:r>
        <w:rPr>
          <w:rFonts w:hint="eastAsia" w:ascii="宋体" w:hAnsi="宋体" w:eastAsia="宋体"/>
          <w:szCs w:val="21"/>
        </w:rPr>
        <w:t>影响。</w:t>
      </w:r>
    </w:p>
    <w:p w14:paraId="51F6C3EF">
      <w:pPr>
        <w:spacing w:line="400" w:lineRule="exact"/>
        <w:ind w:firstLine="420" w:firstLineChars="200"/>
        <w:rPr>
          <w:rFonts w:ascii="宋体" w:hAnsi="宋体" w:eastAsia="宋体"/>
          <w:szCs w:val="21"/>
        </w:rPr>
      </w:pPr>
      <w:r>
        <w:rPr>
          <w:rFonts w:hint="eastAsia" w:ascii="宋体" w:hAnsi="宋体" w:eastAsia="宋体"/>
          <w:szCs w:val="21"/>
        </w:rPr>
        <w:t>苏联东欧剧变以来</w:t>
      </w:r>
      <w:r>
        <w:rPr>
          <w:rFonts w:ascii="宋体" w:hAnsi="宋体" w:eastAsia="宋体"/>
          <w:szCs w:val="21"/>
        </w:rPr>
        <w:t>,市场社会主义的思潮在资本主义的中心国家重新涌现,并引起人们的广泛关注。市场社会主义的讨论已有近一个世纪的历史,20世纪90年代西方左翼理论家对未来社会主义模式的建构是市场社会主义思潮在新的历史背景条件下的复兴和新发展,集中反映了在当代资本主义条件下实现社会主义的构思和探索。</w:t>
      </w:r>
    </w:p>
    <w:p w14:paraId="7D6C1A6F">
      <w:pPr>
        <w:spacing w:line="400" w:lineRule="exact"/>
        <w:ind w:firstLine="420" w:firstLineChars="200"/>
        <w:rPr>
          <w:rFonts w:ascii="宋体" w:hAnsi="宋体" w:eastAsia="宋体"/>
          <w:szCs w:val="21"/>
        </w:rPr>
      </w:pPr>
      <w:r>
        <w:rPr>
          <w:rFonts w:ascii="宋体" w:hAnsi="宋体" w:eastAsia="宋体"/>
          <w:szCs w:val="21"/>
        </w:rPr>
        <w:t>20世纪90年代以来的市场社会主义倡导者既想革新传统社会主义经济理论,又想批判新自由主义经济理论,并在深入反思的基础上提出了种种理论,重新建构了市场社会主义的新模式。首先,理论的重点不但论证市场和公有制、市场与社会主义的兼容问题,而且开始论证如何依靠市场来实现社会主义的公平和效率问题。其次,</w:t>
      </w:r>
      <w:r>
        <w:rPr>
          <w:rFonts w:hint="eastAsia" w:ascii="宋体" w:hAnsi="宋体" w:eastAsia="宋体"/>
          <w:szCs w:val="21"/>
        </w:rPr>
        <w:t>理论模式不再局限于经济领域</w:t>
      </w:r>
      <w:r>
        <w:rPr>
          <w:rFonts w:ascii="宋体" w:hAnsi="宋体" w:eastAsia="宋体"/>
          <w:szCs w:val="21"/>
        </w:rPr>
        <w:t>,而是已经涉及与市场密切相关的政治和社会领域,即他们在建构市场社会主义新模式时已经把经济、政治和社会作为一个整体来看待了。90年代以前的市场社会主义理论是在公有制条件下试图在某种程度上用市场进行资源有效配置以发展社会主义经济;而新一代某些市场社会主义理论则是反过来,在新的历史条件下试图证明市场和公有制的有机结合在效率和平等上的双重吸引力而为生产资料公有制辩护。但是,美国著名马克思主义经济学家大卫·科茨是反对各种“市场社会主义”理论的。</w:t>
      </w:r>
    </w:p>
    <w:p w14:paraId="099D7143">
      <w:pPr>
        <w:spacing w:line="400" w:lineRule="exact"/>
        <w:ind w:firstLine="420" w:firstLineChars="200"/>
        <w:rPr>
          <w:rFonts w:ascii="宋体" w:hAnsi="宋体" w:eastAsia="宋体"/>
          <w:b/>
          <w:bCs/>
          <w:szCs w:val="21"/>
        </w:rPr>
      </w:pPr>
      <w:r>
        <w:rPr>
          <w:rFonts w:ascii="宋体" w:hAnsi="宋体" w:eastAsia="宋体"/>
          <w:b/>
          <w:bCs/>
          <w:szCs w:val="21"/>
        </w:rPr>
        <w:t>6.管理学派</w:t>
      </w:r>
    </w:p>
    <w:p w14:paraId="49FCA671">
      <w:pPr>
        <w:spacing w:line="400" w:lineRule="exact"/>
        <w:ind w:firstLine="420" w:firstLineChars="200"/>
        <w:rPr>
          <w:rFonts w:ascii="宋体" w:hAnsi="宋体" w:eastAsia="宋体"/>
          <w:szCs w:val="21"/>
        </w:rPr>
      </w:pPr>
      <w:r>
        <w:rPr>
          <w:rFonts w:hint="eastAsia" w:ascii="宋体" w:hAnsi="宋体" w:eastAsia="宋体"/>
          <w:szCs w:val="21"/>
        </w:rPr>
        <w:t>管理学派在法国被称作调节学派</w:t>
      </w:r>
      <w:r>
        <w:rPr>
          <w:rFonts w:ascii="宋体" w:hAnsi="宋体" w:eastAsia="宋体"/>
          <w:szCs w:val="21"/>
        </w:rPr>
        <w:t>,在美国被称作资本积累的社会结构理论。实际上,调节学派和资本积累的社会结构学派两者在研究对象、基本观点和分析方法上是相同的,但是具体的理论分析和研究方法还是稍有不同。在这里我们把这两者皆归为管理学派。</w:t>
      </w:r>
    </w:p>
    <w:p w14:paraId="38362B8A">
      <w:pPr>
        <w:spacing w:line="400" w:lineRule="exact"/>
        <w:rPr>
          <w:rFonts w:ascii="宋体" w:hAnsi="宋体" w:eastAsia="宋体"/>
          <w:szCs w:val="21"/>
        </w:rPr>
      </w:pPr>
      <w:r>
        <w:rPr>
          <w:rFonts w:hint="eastAsia" w:ascii="宋体" w:hAnsi="宋体" w:eastAsia="宋体"/>
          <w:szCs w:val="21"/>
        </w:rPr>
        <w:t>管理学派的代表人物是法国的阿格里塔</w:t>
      </w:r>
      <w:r>
        <w:rPr>
          <w:rFonts w:ascii="宋体" w:hAnsi="宋体" w:eastAsia="宋体"/>
          <w:szCs w:val="21"/>
        </w:rPr>
        <w:t>(MichelAglietta)、利佩茨(AlainLipietz)、布瓦耶(R.Boyer)和美国的戈登(DavidGordon)、鲍尔斯(S.Bowles)。该学派研究资本主义的财富是如何积累起来问题。他们把资本主义划为不同阶段和不同模式,把这些积累过程同资本主义社会经济制度的分析结合起来。其理论和“世界体系论”可以说是互补的。</w:t>
      </w:r>
    </w:p>
    <w:p w14:paraId="681044FD">
      <w:pPr>
        <w:spacing w:line="400" w:lineRule="exact"/>
        <w:rPr>
          <w:rFonts w:ascii="宋体" w:hAnsi="宋体" w:eastAsia="宋体"/>
          <w:szCs w:val="21"/>
        </w:rPr>
      </w:pPr>
      <w:r>
        <w:rPr>
          <w:rFonts w:hint="eastAsia" w:ascii="宋体" w:hAnsi="宋体" w:eastAsia="宋体"/>
          <w:szCs w:val="21"/>
        </w:rPr>
        <w:t>管理学派的核心思想是</w:t>
      </w:r>
      <w:r>
        <w:rPr>
          <w:rFonts w:ascii="宋体" w:hAnsi="宋体" w:eastAsia="宋体"/>
          <w:szCs w:val="21"/>
        </w:rPr>
        <w:t>:在长期内,资本积累过程的主要特征是一整套社会制度的支撑作用的产物。调节学派和资本积累的社会结构理论都使用了马克思的经济危机的概念,把危机看作从一个阶段过渡到另一个阶段的前奏,每一个阶段在制度和积累之间有着不同的关系。尽管这两种理论都认为社会主义必然代替资本主义,但他们提供的却是在资本主义内部社会改良如何进行的理论。调节学派和资本积累的社会结构理论都认为资本积累并不仅仅是经济过程。资本积累与广泛的制度联系在一起,其中不仅包括各种经济制度,也包括政治的和意识形态的各种体制。</w:t>
      </w:r>
    </w:p>
    <w:p w14:paraId="2F381E1C">
      <w:pPr>
        <w:spacing w:line="400" w:lineRule="exact"/>
        <w:ind w:firstLine="420" w:firstLineChars="200"/>
        <w:rPr>
          <w:rFonts w:ascii="宋体" w:hAnsi="宋体" w:eastAsia="宋体"/>
          <w:szCs w:val="21"/>
        </w:rPr>
      </w:pPr>
      <w:r>
        <w:rPr>
          <w:rFonts w:hint="eastAsia" w:ascii="宋体" w:hAnsi="宋体" w:eastAsia="宋体"/>
          <w:szCs w:val="21"/>
        </w:rPr>
        <w:t>虽然调节学派和资本积累的社会结构理论在理论和研究方法上存在很多共同点</w:t>
      </w:r>
      <w:r>
        <w:rPr>
          <w:rFonts w:ascii="宋体" w:hAnsi="宋体" w:eastAsia="宋体"/>
          <w:szCs w:val="21"/>
        </w:rPr>
        <w:t>,但这两种理论也确有不同之处,其差异体现在以下问题上:(1)有关积累过程的变化;(2)制度如何支持资本积累;(3)为什么每一种特殊的积累-制度关系必然最终陷入危机;(4)危机如何克服。在这些问题上,调节学派对于积累过程中的结集冲突等</w:t>
      </w:r>
    </w:p>
    <w:p w14:paraId="1BD83134">
      <w:pPr>
        <w:spacing w:line="400" w:lineRule="exact"/>
        <w:ind w:firstLine="420" w:firstLineChars="200"/>
        <w:rPr>
          <w:rFonts w:ascii="宋体" w:hAnsi="宋体" w:eastAsia="宋体"/>
          <w:szCs w:val="21"/>
        </w:rPr>
      </w:pPr>
      <w:r>
        <w:rPr>
          <w:rFonts w:hint="eastAsia" w:ascii="宋体" w:hAnsi="宋体" w:eastAsia="宋体"/>
          <w:szCs w:val="21"/>
        </w:rPr>
        <w:t>因素的独立作用注意不够</w:t>
      </w:r>
      <w:r>
        <w:rPr>
          <w:rFonts w:ascii="宋体" w:hAnsi="宋体" w:eastAsia="宋体"/>
          <w:szCs w:val="21"/>
        </w:rPr>
        <w:t>,而资本积累的社会结构理论对结构性力量没有予以足够的关注。显然前者过于结构主义,而后者过于强调自发性,因此这两种理论也存在互补性。</w:t>
      </w:r>
    </w:p>
    <w:p w14:paraId="29B635A1">
      <w:pPr>
        <w:spacing w:line="400" w:lineRule="exact"/>
        <w:ind w:firstLine="420" w:firstLineChars="200"/>
        <w:rPr>
          <w:rFonts w:ascii="宋体" w:hAnsi="宋体" w:eastAsia="宋体"/>
          <w:b/>
          <w:bCs/>
          <w:szCs w:val="21"/>
        </w:rPr>
      </w:pPr>
      <w:r>
        <w:rPr>
          <w:rFonts w:ascii="宋体" w:hAnsi="宋体" w:eastAsia="宋体"/>
          <w:b/>
          <w:bCs/>
          <w:szCs w:val="21"/>
        </w:rPr>
        <w:t>7.分析马克思主义</w:t>
      </w:r>
    </w:p>
    <w:p w14:paraId="64445ECB">
      <w:pPr>
        <w:spacing w:line="400" w:lineRule="exact"/>
        <w:ind w:firstLine="420" w:firstLineChars="200"/>
        <w:rPr>
          <w:rFonts w:ascii="宋体" w:hAnsi="宋体" w:eastAsia="宋体"/>
          <w:szCs w:val="21"/>
        </w:rPr>
      </w:pPr>
      <w:r>
        <w:rPr>
          <w:rFonts w:hint="eastAsia" w:ascii="宋体" w:hAnsi="宋体" w:eastAsia="宋体"/>
          <w:szCs w:val="21"/>
        </w:rPr>
        <w:t>分析马克思主义既是一个哲学流派</w:t>
      </w:r>
      <w:r>
        <w:rPr>
          <w:rFonts w:ascii="宋体" w:hAnsi="宋体" w:eastAsia="宋体"/>
          <w:szCs w:val="21"/>
        </w:rPr>
        <w:t>,也是一个经济思想流派。这一流派在总体上呈现三个特征:首先,对马克思主义理论的精确和清晰显示出非同寻常的关注;第二,在对马克思的著作进行分析时,非马克思主义的概念和观点,特别是分析哲学的、建立数理模型的、现代心理学的和新古典主义经济学的概念和观点发挥了重要的作用;第三,试图以决策者的理性行为推演出马克思关于社会-经济体系的命题。因此,分析马克思主义有时也被称作理性选择马克思主义。</w:t>
      </w:r>
    </w:p>
    <w:p w14:paraId="4D8221E7">
      <w:pPr>
        <w:spacing w:line="400" w:lineRule="exact"/>
        <w:ind w:firstLine="420" w:firstLineChars="200"/>
        <w:rPr>
          <w:rFonts w:ascii="宋体" w:hAnsi="宋体" w:eastAsia="宋体"/>
          <w:szCs w:val="21"/>
        </w:rPr>
      </w:pPr>
      <w:r>
        <w:rPr>
          <w:rFonts w:hint="eastAsia" w:ascii="宋体" w:hAnsi="宋体" w:eastAsia="宋体"/>
          <w:szCs w:val="21"/>
        </w:rPr>
        <w:t>这一学派代表人物有科恩</w:t>
      </w:r>
      <w:r>
        <w:rPr>
          <w:rFonts w:ascii="宋体" w:hAnsi="宋体" w:eastAsia="宋体"/>
          <w:szCs w:val="21"/>
        </w:rPr>
        <w:t>(GerryA.Cohen)、布伦纳(RobertBrenner)、艾尔斯特(JohnElster)和罗默。他们的观点不仅在所思考的主题上有所不同,而且在运用新古典主义经济学的推理上也有所不同,科恩对历史唯物主义的技术观点重新进行的系统阐述,只是强调理性是人类行为的决定力量,在稀缺条件下它将以发展生产力的形式发生作用;布伦纳提出了另一种不同的历史唯物主义的观点,理性选择在这一观点中发挥了更为出色的作用,但对经济人面临的选择结</w:t>
      </w:r>
      <w:r>
        <w:rPr>
          <w:rFonts w:hint="eastAsia" w:ascii="宋体" w:hAnsi="宋体" w:eastAsia="宋体"/>
          <w:szCs w:val="21"/>
        </w:rPr>
        <w:t>构几乎没有正式分析</w:t>
      </w:r>
      <w:r>
        <w:rPr>
          <w:rFonts w:ascii="宋体" w:hAnsi="宋体" w:eastAsia="宋体"/>
          <w:szCs w:val="21"/>
        </w:rPr>
        <w:t>,而且他描述的通常是阶级的理性行为而非个人的理性行为;罗默和埃尔斯特坚决遵循</w:t>
      </w:r>
      <w:r>
        <w:rPr>
          <w:rFonts w:hint="eastAsia" w:ascii="宋体" w:hAnsi="宋体" w:eastAsia="宋体"/>
          <w:szCs w:val="21"/>
        </w:rPr>
        <w:t>“</w:t>
      </w:r>
      <w:r>
        <w:rPr>
          <w:rFonts w:ascii="宋体" w:hAnsi="宋体" w:eastAsia="宋体"/>
          <w:szCs w:val="21"/>
        </w:rPr>
        <w:t>微观基础”的方法论,把个人的理性选择作为理解整个社会经济现象的基础,并不强调公有制,修正了马克思的剥削理论,已越来越背离了马克思主义经济学方法。由此可见,分析马克思主义者的具体的研究对象、理论观点和方法都是不同的。</w:t>
      </w:r>
    </w:p>
    <w:p w14:paraId="4D379079">
      <w:pPr>
        <w:spacing w:line="400" w:lineRule="exact"/>
        <w:ind w:firstLine="420" w:firstLineChars="200"/>
        <w:rPr>
          <w:rFonts w:ascii="宋体" w:hAnsi="宋体" w:eastAsia="宋体"/>
          <w:b/>
          <w:bCs/>
          <w:szCs w:val="21"/>
        </w:rPr>
      </w:pPr>
      <w:r>
        <w:rPr>
          <w:rFonts w:hint="eastAsia" w:ascii="宋体" w:hAnsi="宋体" w:eastAsia="宋体"/>
          <w:b/>
          <w:bCs/>
          <w:szCs w:val="21"/>
        </w:rPr>
        <w:t>注释</w:t>
      </w:r>
    </w:p>
    <w:p w14:paraId="67FBD179">
      <w:pPr>
        <w:spacing w:line="400" w:lineRule="exact"/>
        <w:rPr>
          <w:rFonts w:ascii="宋体" w:hAnsi="宋体" w:eastAsia="宋体"/>
          <w:szCs w:val="21"/>
        </w:rPr>
      </w:pPr>
      <w:r>
        <w:rPr>
          <w:rFonts w:ascii="宋体" w:hAnsi="宋体" w:eastAsia="宋体"/>
          <w:szCs w:val="21"/>
        </w:rPr>
        <w:t>[1]</w:t>
      </w:r>
      <w:r>
        <w:rPr>
          <w:rFonts w:ascii="宋体" w:hAnsi="宋体" w:eastAsia="宋体"/>
          <w:szCs w:val="21"/>
        </w:rPr>
        <w:tab/>
      </w:r>
      <w:r>
        <w:rPr>
          <w:rFonts w:ascii="宋体" w:hAnsi="宋体" w:eastAsia="宋体"/>
          <w:szCs w:val="21"/>
        </w:rPr>
        <w:t>SweezyP.HundredYearsafterMarx.MonthlyReview,1983(3),p32.</w:t>
      </w:r>
    </w:p>
    <w:p w14:paraId="1A85046A">
      <w:pPr>
        <w:spacing w:line="400" w:lineRule="exact"/>
        <w:rPr>
          <w:rFonts w:ascii="宋体" w:hAnsi="宋体" w:eastAsia="宋体"/>
          <w:szCs w:val="21"/>
        </w:rPr>
      </w:pPr>
      <w:r>
        <w:rPr>
          <w:rFonts w:ascii="宋体" w:hAnsi="宋体" w:eastAsia="宋体"/>
          <w:szCs w:val="21"/>
        </w:rPr>
        <w:t>[2]</w:t>
      </w:r>
      <w:r>
        <w:rPr>
          <w:rFonts w:ascii="宋体" w:hAnsi="宋体" w:eastAsia="宋体"/>
          <w:szCs w:val="21"/>
        </w:rPr>
        <w:tab/>
      </w:r>
      <w:r>
        <w:rPr>
          <w:rFonts w:ascii="宋体" w:hAnsi="宋体" w:eastAsia="宋体"/>
          <w:szCs w:val="21"/>
        </w:rPr>
        <w:t>张光照,张力上:《西方马克思主义经济学》,〔北京〕经济科学出版社2001年版,第168页。</w:t>
      </w:r>
    </w:p>
    <w:p w14:paraId="229B17A8">
      <w:pPr>
        <w:spacing w:line="400" w:lineRule="exact"/>
        <w:rPr>
          <w:rFonts w:ascii="宋体" w:hAnsi="宋体" w:eastAsia="宋体"/>
          <w:szCs w:val="21"/>
        </w:rPr>
      </w:pPr>
      <w:r>
        <w:rPr>
          <w:rFonts w:ascii="宋体" w:hAnsi="宋体" w:eastAsia="宋体"/>
          <w:szCs w:val="21"/>
        </w:rPr>
        <w:t>[3]</w:t>
      </w:r>
      <w:r>
        <w:rPr>
          <w:rFonts w:ascii="宋体" w:hAnsi="宋体" w:eastAsia="宋体"/>
          <w:szCs w:val="21"/>
        </w:rPr>
        <w:tab/>
      </w:r>
      <w:r>
        <w:rPr>
          <w:rFonts w:ascii="宋体" w:hAnsi="宋体" w:eastAsia="宋体"/>
          <w:szCs w:val="21"/>
        </w:rPr>
        <w:t>霍华德,金:《马克思主义经济学史》,顾海良译,〔北京〕中央编译出版社2003年版,第64-70页。</w:t>
      </w:r>
    </w:p>
    <w:p w14:paraId="559B853C">
      <w:pPr>
        <w:spacing w:line="400" w:lineRule="exact"/>
        <w:rPr>
          <w:rFonts w:ascii="宋体" w:hAnsi="宋体" w:eastAsia="宋体"/>
          <w:szCs w:val="21"/>
        </w:rPr>
      </w:pPr>
      <w:r>
        <w:rPr>
          <w:rFonts w:ascii="宋体" w:hAnsi="宋体" w:eastAsia="宋体"/>
          <w:szCs w:val="21"/>
        </w:rPr>
        <w:t>[4]</w:t>
      </w:r>
      <w:r>
        <w:rPr>
          <w:rFonts w:ascii="宋体" w:hAnsi="宋体" w:eastAsia="宋体"/>
          <w:szCs w:val="21"/>
        </w:rPr>
        <w:tab/>
      </w:r>
      <w:r>
        <w:rPr>
          <w:rFonts w:ascii="宋体" w:hAnsi="宋体" w:eastAsia="宋体"/>
          <w:szCs w:val="21"/>
        </w:rPr>
        <w:t>米克:《劳动价值学说的研究》,陈彪如译,〔北京〕商务印书馆1979年版,第4-5页。</w:t>
      </w:r>
    </w:p>
    <w:p w14:paraId="739BD38D">
      <w:pPr>
        <w:spacing w:line="400" w:lineRule="exact"/>
        <w:rPr>
          <w:rFonts w:ascii="宋体" w:hAnsi="宋体" w:eastAsia="宋体"/>
          <w:szCs w:val="21"/>
        </w:rPr>
      </w:pPr>
      <w:r>
        <w:rPr>
          <w:rFonts w:ascii="宋体" w:hAnsi="宋体" w:eastAsia="宋体"/>
          <w:szCs w:val="21"/>
        </w:rPr>
        <w:t>[5]</w:t>
      </w:r>
      <w:r>
        <w:rPr>
          <w:rFonts w:ascii="宋体" w:hAnsi="宋体" w:eastAsia="宋体"/>
          <w:szCs w:val="21"/>
        </w:rPr>
        <w:tab/>
      </w:r>
      <w:r>
        <w:rPr>
          <w:rFonts w:ascii="宋体" w:hAnsi="宋体" w:eastAsia="宋体"/>
          <w:szCs w:val="21"/>
        </w:rPr>
        <w:t>蔡中兴:《马克思主义经济思想流派》,上海人民出版社</w:t>
      </w:r>
    </w:p>
    <w:p w14:paraId="32CE9757">
      <w:pPr>
        <w:spacing w:line="400" w:lineRule="exact"/>
        <w:rPr>
          <w:rFonts w:ascii="宋体" w:hAnsi="宋体" w:eastAsia="宋体"/>
          <w:szCs w:val="21"/>
        </w:rPr>
      </w:pPr>
      <w:r>
        <w:rPr>
          <w:rFonts w:ascii="宋体" w:hAnsi="宋体" w:eastAsia="宋体"/>
          <w:szCs w:val="21"/>
        </w:rPr>
        <w:t>1989年版,第92页。</w:t>
      </w:r>
    </w:p>
    <w:p w14:paraId="1C9BB965">
      <w:pPr>
        <w:spacing w:line="400" w:lineRule="exact"/>
        <w:rPr>
          <w:rFonts w:ascii="宋体" w:hAnsi="宋体" w:eastAsia="宋体"/>
          <w:szCs w:val="21"/>
        </w:rPr>
      </w:pPr>
      <w:r>
        <w:rPr>
          <w:rFonts w:hint="eastAsia" w:ascii="宋体" w:hAnsi="宋体" w:eastAsia="宋体"/>
          <w:szCs w:val="21"/>
        </w:rPr>
        <w:t>（原载《</w:t>
      </w:r>
      <w:r>
        <w:rPr>
          <w:rFonts w:hint="eastAsia" w:ascii="宋体" w:hAnsi="宋体" w:eastAsia="宋体" w:cs="宋体"/>
          <w:lang w:bidi="ar"/>
        </w:rPr>
        <w:t>江苏社会科学</w:t>
      </w:r>
      <w:r>
        <w:rPr>
          <w:rFonts w:hint="eastAsia" w:ascii="宋体" w:hAnsi="宋体" w:eastAsia="宋体"/>
          <w:szCs w:val="21"/>
        </w:rPr>
        <w:t>》2</w:t>
      </w:r>
      <w:r>
        <w:rPr>
          <w:rFonts w:ascii="宋体" w:hAnsi="宋体" w:eastAsia="宋体"/>
          <w:szCs w:val="21"/>
        </w:rPr>
        <w:t>007</w:t>
      </w:r>
      <w:r>
        <w:rPr>
          <w:rFonts w:hint="eastAsia" w:ascii="宋体" w:hAnsi="宋体" w:eastAsia="宋体"/>
          <w:szCs w:val="21"/>
        </w:rPr>
        <w:t>年第6期，第二作者为朱奎。）</w:t>
      </w:r>
    </w:p>
    <w:p w14:paraId="332A981A">
      <w:pPr>
        <w:spacing w:line="400" w:lineRule="exact"/>
        <w:rPr>
          <w:rFonts w:ascii="宋体" w:hAnsi="宋体" w:eastAsia="宋体"/>
          <w:szCs w:val="21"/>
        </w:rPr>
      </w:pPr>
    </w:p>
    <w:p w14:paraId="6E9F6FBA">
      <w:pPr>
        <w:pStyle w:val="3"/>
        <w:spacing w:before="0" w:after="0" w:line="400" w:lineRule="exact"/>
        <w:jc w:val="center"/>
        <w:rPr>
          <w:rFonts w:hint="default" w:ascii="黑体" w:hAnsi="黑体" w:eastAsia="黑体"/>
          <w:b w:val="0"/>
          <w:bCs w:val="0"/>
        </w:rPr>
      </w:pPr>
      <w:bookmarkStart w:id="768" w:name="_Toc111193681"/>
      <w:bookmarkStart w:id="769" w:name="_Toc20487"/>
      <w:bookmarkStart w:id="770" w:name="_Toc2009562104"/>
      <w:bookmarkStart w:id="771" w:name="_Toc2004299255"/>
      <w:r>
        <w:rPr>
          <w:rFonts w:ascii="黑体" w:hAnsi="黑体" w:eastAsia="黑体"/>
          <w:b w:val="0"/>
          <w:bCs w:val="0"/>
        </w:rPr>
        <w:t>2</w:t>
      </w:r>
      <w:r>
        <w:rPr>
          <w:rFonts w:hint="default" w:ascii="黑体" w:hAnsi="黑体" w:eastAsia="黑体"/>
          <w:b w:val="0"/>
          <w:bCs w:val="0"/>
        </w:rPr>
        <w:t>0</w:t>
      </w:r>
      <w:r>
        <w:rPr>
          <w:rFonts w:ascii="黑体" w:hAnsi="黑体" w:eastAsia="黑体"/>
          <w:b w:val="0"/>
          <w:bCs w:val="0"/>
        </w:rPr>
        <w:t>中国特色社会主义为何能够成为旗帜</w:t>
      </w:r>
      <w:bookmarkEnd w:id="768"/>
      <w:bookmarkEnd w:id="769"/>
      <w:bookmarkEnd w:id="770"/>
      <w:bookmarkEnd w:id="771"/>
    </w:p>
    <w:p w14:paraId="55B72334">
      <w:pPr>
        <w:spacing w:line="400" w:lineRule="exact"/>
        <w:ind w:firstLine="420" w:firstLineChars="200"/>
        <w:rPr>
          <w:rFonts w:ascii="宋体" w:hAnsi="宋体" w:eastAsia="宋体"/>
        </w:rPr>
      </w:pPr>
      <w:r>
        <w:rPr>
          <w:rFonts w:hint="eastAsia" w:ascii="宋体" w:hAnsi="宋体" w:eastAsia="宋体"/>
        </w:rPr>
        <w:t>首先在于它坚持了科学社会主义的基本原则。科学社会主义作为人类文明进步的旗帜，是其创始人运用历史唯物主义的科学方法，揭示的社会发展进步的一般规律和人类追求的共同理想，社会主义人类社会发展的基本趋势和共同方向。科学社会主义创始人虽然揭示了社会主义最终必然代替资本主义的历史基本趋势，但并没有先验地描绘未来新社会的具体细节，只是揭示了未来新社会的一般本质和一般特征，他们反对把科学社会主义变为“一般历史哲学理论”的万能的钥匙，并且把社会主义看作是一个充满运动、经常变化的历史有机体。因此，中国特色社会主义，在本质上就是科学社会主义的一种现实形态。高举这面旗帜，就与非科学社会主义的思潮和道路划清了界线。</w:t>
      </w:r>
    </w:p>
    <w:p w14:paraId="59B62830">
      <w:pPr>
        <w:spacing w:line="400" w:lineRule="exact"/>
        <w:ind w:firstLine="420" w:firstLineChars="200"/>
        <w:rPr>
          <w:rFonts w:ascii="宋体" w:hAnsi="宋体" w:eastAsia="宋体"/>
        </w:rPr>
      </w:pPr>
      <w:r>
        <w:rPr>
          <w:rFonts w:hint="eastAsia" w:ascii="宋体" w:hAnsi="宋体" w:eastAsia="宋体"/>
        </w:rPr>
        <w:t>同时在于它是扎根于中国现实的有生命力有活力的社会主义。现实中的社会主义是依据人类是发展的一般规律，在特定历史条件下的创造性实践过程。科学社会主义要从理论转变为现实，必须与每个国家的社会实际相结合，并依据时代特征赋予其民族和时代特色。正如邓小平指出的“社会主义必须是切合中国实际的有中国特色的社会主义”。实践表明，脱离初级阶段的现实社会历史条件搞社会主义，是不可能成功的；完全照抄照搬别国模式，也行不通，必须坚持科学社会主义的基本原则，结合特定的社会历史条件进行探索和创造。比如，经过对社会主义的不断再认识，我们党认为“社会主义也可以搞市场经济”并于十四大把建立社会主义市场经济体制确定为我国经济体制改革的目标，这样把把社会主义公有制与市场经济有机结合起来，这既是前无古人的创举，又是当代中国社会主义最突出的特色。举社会主义的旗、走社会主义的路，要和中国国情紧密结合，这是从中国革命和建设的历史经验中得出的基本结论。我们党总结了苏联、东欧和我国以往社会主义建设的历史经验教训，强调一切从实际出发，走自己的道路，建设有中国特色的社会主义，带领全党全国人民成功地开辟了中国特色社会主义的正确道路。</w:t>
      </w:r>
    </w:p>
    <w:p w14:paraId="110E1732">
      <w:pPr>
        <w:spacing w:line="400" w:lineRule="exact"/>
        <w:ind w:firstLine="420" w:firstLineChars="200"/>
        <w:rPr>
          <w:rFonts w:ascii="宋体" w:hAnsi="宋体" w:eastAsia="宋体"/>
        </w:rPr>
      </w:pPr>
      <w:r>
        <w:rPr>
          <w:rFonts w:hint="eastAsia" w:ascii="宋体" w:hAnsi="宋体" w:eastAsia="宋体"/>
        </w:rPr>
        <w:t>历史和现实一再表明，中国特色社会主义道路是当代中国发展进步的唯一正确的道路，实现国家富强、民族振兴、人民幸福的唯一正确的道路。只有社会主义才能救中国，是历史的结论；只有中国特色社会主义才能发展中国，是现实和时代的要求。中国特色社会主义，是中国共产党和中国人民在特定的世界历史环境和中国历史条件下的伟大创造，既是历史的逻辑，时代的要求，也是历史的选择、人民的选择，是我们夺取全面建设小康社会新胜利、推进社会主义现代化、实现中华民族伟大复兴的必由之路。</w:t>
      </w:r>
    </w:p>
    <w:p w14:paraId="01750ADE">
      <w:pPr>
        <w:spacing w:line="400" w:lineRule="exact"/>
        <w:ind w:firstLine="420" w:firstLineChars="200"/>
        <w:rPr>
          <w:rFonts w:ascii="宋体" w:hAnsi="宋体" w:eastAsia="宋体"/>
        </w:rPr>
      </w:pPr>
      <w:r>
        <w:rPr>
          <w:rFonts w:hint="eastAsia" w:ascii="宋体" w:hAnsi="宋体" w:eastAsia="宋体"/>
        </w:rPr>
        <w:t>（原载《</w:t>
      </w:r>
      <w:r>
        <w:rPr>
          <w:rFonts w:hint="eastAsia" w:ascii="宋体" w:hAnsi="宋体" w:eastAsia="宋体" w:cs="宋体"/>
          <w:lang w:bidi="ar"/>
        </w:rPr>
        <w:t>人民论坛</w:t>
      </w:r>
      <w:r>
        <w:rPr>
          <w:rFonts w:hint="eastAsia" w:ascii="宋体" w:hAnsi="宋体" w:eastAsia="宋体"/>
        </w:rPr>
        <w:t>》2</w:t>
      </w:r>
      <w:r>
        <w:rPr>
          <w:rFonts w:ascii="宋体" w:hAnsi="宋体" w:eastAsia="宋体"/>
        </w:rPr>
        <w:t>007</w:t>
      </w:r>
      <w:r>
        <w:rPr>
          <w:rFonts w:hint="eastAsia" w:ascii="宋体" w:hAnsi="宋体" w:eastAsia="宋体"/>
        </w:rPr>
        <w:t>年Z</w:t>
      </w:r>
      <w:r>
        <w:rPr>
          <w:rFonts w:ascii="宋体" w:hAnsi="宋体" w:eastAsia="宋体"/>
        </w:rPr>
        <w:t>1</w:t>
      </w:r>
      <w:r>
        <w:rPr>
          <w:rFonts w:hint="eastAsia" w:ascii="宋体" w:hAnsi="宋体" w:eastAsia="宋体"/>
        </w:rPr>
        <w:t>期）</w:t>
      </w:r>
    </w:p>
    <w:p w14:paraId="53CDB2FA">
      <w:pPr>
        <w:spacing w:line="400" w:lineRule="exact"/>
        <w:ind w:firstLine="420" w:firstLineChars="200"/>
        <w:rPr>
          <w:rFonts w:ascii="宋体" w:hAnsi="宋体" w:eastAsia="宋体"/>
        </w:rPr>
      </w:pPr>
    </w:p>
    <w:p w14:paraId="475A53B2">
      <w:pPr>
        <w:spacing w:line="400" w:lineRule="exact"/>
        <w:ind w:firstLine="420" w:firstLineChars="200"/>
        <w:rPr>
          <w:rFonts w:hint="eastAsia" w:ascii="宋体" w:hAnsi="宋体" w:eastAsia="宋体"/>
        </w:rPr>
        <w:sectPr>
          <w:headerReference r:id="rId13" w:type="default"/>
          <w:footnotePr>
            <w:numFmt w:val="decimalEnclosedCircleChinese"/>
            <w:numRestart w:val="eachPage"/>
          </w:footnotePr>
          <w:type w:val="continuous"/>
          <w:pgSz w:w="11906" w:h="16838"/>
          <w:pgMar w:top="1800" w:right="1440" w:bottom="1800" w:left="1440" w:header="0" w:footer="3" w:gutter="0"/>
          <w:pgNumType w:fmt="decimal"/>
          <w:cols w:space="720" w:num="1"/>
          <w:docGrid w:linePitch="360" w:charSpace="0"/>
        </w:sectPr>
      </w:pPr>
    </w:p>
    <w:p w14:paraId="59ADE26B">
      <w:pPr>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772" w:name="_Toc111193682"/>
      <w:bookmarkStart w:id="773" w:name="_Toc413"/>
      <w:bookmarkStart w:id="774" w:name="_Toc1234965559"/>
      <w:bookmarkStart w:id="775" w:name="_Toc829091943"/>
      <w:r>
        <w:rPr>
          <w:rFonts w:hint="eastAsia" w:ascii="黑体" w:hAnsi="黑体" w:eastAsia="黑体" w:cs="Times New Roman"/>
          <w:kern w:val="0"/>
          <w:sz w:val="32"/>
          <w:szCs w:val="32"/>
        </w:rPr>
        <w:t>2</w:t>
      </w:r>
      <w:r>
        <w:rPr>
          <w:rFonts w:ascii="黑体" w:hAnsi="黑体" w:eastAsia="黑体" w:cs="Times New Roman"/>
          <w:kern w:val="0"/>
          <w:sz w:val="32"/>
          <w:szCs w:val="32"/>
        </w:rPr>
        <w:t>1</w:t>
      </w:r>
      <w:r>
        <w:rPr>
          <w:rFonts w:hint="eastAsia" w:ascii="黑体" w:hAnsi="黑体" w:eastAsia="黑体" w:cs="Times New Roman"/>
          <w:kern w:val="0"/>
          <w:sz w:val="32"/>
          <w:szCs w:val="32"/>
        </w:rPr>
        <w:t>我们的旗帜就是中国特色社会主义</w:t>
      </w:r>
      <w:bookmarkEnd w:id="772"/>
      <w:bookmarkEnd w:id="773"/>
      <w:bookmarkEnd w:id="774"/>
      <w:bookmarkEnd w:id="775"/>
    </w:p>
    <w:p w14:paraId="5160F51F">
      <w:pPr>
        <w:spacing w:line="300" w:lineRule="auto"/>
        <w:ind w:firstLine="440" w:firstLineChars="200"/>
        <w:rPr>
          <w:rFonts w:ascii="宋体" w:hAnsi="宋体" w:eastAsia="宋体" w:cs="宋体"/>
          <w:szCs w:val="21"/>
        </w:rPr>
      </w:pPr>
      <w:r>
        <w:rPr>
          <w:rFonts w:hint="eastAsia" w:ascii="宋体" w:hAnsi="宋体" w:eastAsia="宋体" w:cs="宋体"/>
          <w:szCs w:val="21"/>
        </w:rPr>
        <w:t>经过近30年的深刻社会变革，我国社会处于新的历史起点上；东方的“睡狮”已经醒来并大踏步走向世界，成为世界经济发展的重要引擎；世界社会主义运动在曲折中探索复兴之路。在这一历史进程的关键时刻，中国共产党的十七大对中国未来绘出怎样的发展蓝图，必然既牵动着全中国人民的心，也牵动着世界五大洲的目光。</w:t>
      </w:r>
    </w:p>
    <w:p w14:paraId="12C79273">
      <w:pPr>
        <w:spacing w:line="300" w:lineRule="auto"/>
        <w:ind w:firstLine="440" w:firstLineChars="200"/>
        <w:rPr>
          <w:rFonts w:ascii="宋体" w:hAnsi="宋体" w:eastAsia="宋体" w:cs="宋体"/>
          <w:szCs w:val="21"/>
        </w:rPr>
      </w:pPr>
      <w:r>
        <w:rPr>
          <w:rFonts w:hint="eastAsia" w:ascii="宋体" w:hAnsi="宋体" w:eastAsia="宋体" w:cs="宋体"/>
          <w:szCs w:val="21"/>
        </w:rPr>
        <w:t>在举国关注、举世瞩目的中国共产党第十七次全国代表大会上，胡锦涛总书记代表十六届中央委员会作的报告，全面把握了我国发展所处的历史方位，科学描绘出我国改革开放和社会主义现代化建设的发展前景，是中国共产党面向世界、面向未来的政治宣言，是引领全国各族人民继续为实现全面建设小康社会目标而团结奋斗的行动纲领。这个报告最突出的特点，就是鲜明地高举中国特色社会主义的伟大旗帜，对党内外、国内外关于我们党今后举什么旗、走什么路这一普遍关注的重大问题集中而鲜明的回答。</w:t>
      </w:r>
    </w:p>
    <w:p w14:paraId="3E30D90C">
      <w:pPr>
        <w:spacing w:line="300" w:lineRule="auto"/>
        <w:ind w:firstLine="440" w:firstLineChars="200"/>
        <w:rPr>
          <w:rFonts w:ascii="宋体" w:hAnsi="宋体" w:eastAsia="宋体" w:cs="宋体"/>
          <w:szCs w:val="21"/>
        </w:rPr>
      </w:pPr>
      <w:r>
        <w:rPr>
          <w:rFonts w:hint="eastAsia" w:ascii="宋体" w:hAnsi="宋体" w:eastAsia="宋体" w:cs="宋体"/>
          <w:szCs w:val="21"/>
        </w:rPr>
        <w:t>虽然探索中国自己的社会主义发展道路，是新中国成立以来党领导人民进行的不懈追求，虽然邓小平在我国进入改革开放新时期就把建设中国特色社会主义作为基本结论明确提出，虽然党的十二大以来的历届全国代表大会都贯彻着中国特色社会主义这一基本主题和基本目标，但党的十七大第一次在党的全国代表大会的报告中强调中国特色社会主义是我们的旗帜，仍然意义重大而深远。</w:t>
      </w:r>
    </w:p>
    <w:p w14:paraId="310B2413">
      <w:pPr>
        <w:spacing w:line="300" w:lineRule="auto"/>
        <w:ind w:firstLine="440" w:firstLineChars="200"/>
        <w:rPr>
          <w:rFonts w:ascii="宋体" w:hAnsi="宋体" w:eastAsia="宋体" w:cs="宋体"/>
          <w:szCs w:val="21"/>
        </w:rPr>
      </w:pPr>
      <w:r>
        <w:rPr>
          <w:rFonts w:hint="eastAsia" w:ascii="宋体" w:hAnsi="宋体" w:eastAsia="宋体" w:cs="宋体"/>
          <w:szCs w:val="21"/>
        </w:rPr>
        <w:t>恩格斯曾说，一个政党的正式纲领，就是一面公开树立起来的旗帜。</w:t>
      </w:r>
      <w:r>
        <w:rPr>
          <w:rFonts w:ascii="宋体" w:hAnsi="宋体" w:eastAsia="宋体" w:cs="宋体"/>
          <w:szCs w:val="21"/>
          <w:vertAlign w:val="superscript"/>
        </w:rPr>
        <w:footnoteReference w:id="242"/>
      </w:r>
      <w:r>
        <w:rPr>
          <w:rFonts w:hint="eastAsia" w:ascii="宋体" w:hAnsi="宋体" w:eastAsia="宋体" w:cs="宋体"/>
          <w:szCs w:val="21"/>
        </w:rPr>
        <w:t>建设中国特色的社会主义，是我们党在整个社会主义探索过程中，特别是在改革开放以来的新探索中全部理论成果的集中体现，是我们党在目前这个历史阶段的行动纲领。党的十七大鲜明地高举起中国特色社会主义这面旗帜，表明我们党对中国特色社会主义的认识更深化、更丰富、更全面、更坚定了。纲领就是旗帜，明确的纲领就是鲜明的旗帜，纲领的科学性和坚定性，决定着旗帜的鲜明性和号召力。</w:t>
      </w:r>
    </w:p>
    <w:p w14:paraId="77695B9A">
      <w:pPr>
        <w:spacing w:line="300" w:lineRule="auto"/>
        <w:ind w:firstLine="440" w:firstLineChars="200"/>
        <w:rPr>
          <w:rFonts w:ascii="宋体" w:hAnsi="宋体" w:eastAsia="宋体" w:cs="宋体"/>
          <w:szCs w:val="21"/>
        </w:rPr>
      </w:pPr>
      <w:r>
        <w:rPr>
          <w:rFonts w:hint="eastAsia" w:ascii="宋体" w:hAnsi="宋体" w:eastAsia="宋体" w:cs="宋体"/>
          <w:szCs w:val="21"/>
        </w:rPr>
        <w:t>旗帜就是指导方针，它表明我们以当代中国发展着的马克思主义指导新的实践；旗帜就是理想和信念，它表明中国特色社会主义已成为全民族的共同理想和信念，成为最大限度地凝聚人心、团结全国各族人民共同奋斗的精神力量；旗帜就是方向和道路，它显示了我们坚定地走自己创造的社会主义现代化道路的决心，它表明我们明确了能够给中国广大人民的根本利益带来福祉的中华民族复兴之路，停顿和倒退是没有出路的，走新自由主义或民主社会主义的资本主义道路，更是邪路一条，而只有建设中国特色的社会主义，才能使人民富裕幸福，国家兴旺发达。可见，中国特色社会主义是当代中国发展进步的旗帜，是全党、全国各族人民团结奋斗的旗帜。</w:t>
      </w:r>
    </w:p>
    <w:p w14:paraId="60A974FE">
      <w:pPr>
        <w:spacing w:line="300" w:lineRule="auto"/>
        <w:ind w:firstLine="440" w:firstLineChars="200"/>
        <w:rPr>
          <w:rFonts w:ascii="宋体" w:hAnsi="宋体" w:eastAsia="宋体" w:cs="宋体"/>
          <w:szCs w:val="21"/>
        </w:rPr>
      </w:pPr>
      <w:r>
        <w:rPr>
          <w:rFonts w:hint="eastAsia" w:ascii="宋体" w:hAnsi="宋体" w:eastAsia="宋体" w:cs="宋体"/>
          <w:szCs w:val="21"/>
        </w:rPr>
        <w:t>中国特色社会主义能够成为当代中国发展进步的旗帜，首先在于它坚持了科学社会主义的基本原则。科学社会主义作为人类文明进步的旗帜，是其创始人运用历史唯物主义的科学方法，揭示的社会发展进步的一般规律和人类追求的共同理想，社会主义是人类社会发展的基本趋势和共同方向。科学社会主义创始人虽然揭示了社会主义最终必然代替资本主义的历史基本趋势，但并没有先验地描绘未来新社会的具体细节，只是揭示了未来新社会的一般本质和特征，他们反对把科学社会主义变为“一般历史哲学理论”的万能的钥匙，并且把社会主义看作是一个充满运动、经常变化的历史有机体。因此，中国特色社会主义，在本质上就是科学社会主义的一种现实形态。高举这面旗帜，就与非科学社会主义的思潮和道路划清了界线。</w:t>
      </w:r>
    </w:p>
    <w:p w14:paraId="32CBD479">
      <w:pPr>
        <w:spacing w:line="300" w:lineRule="auto"/>
        <w:ind w:firstLine="440" w:firstLineChars="200"/>
        <w:rPr>
          <w:rFonts w:ascii="宋体" w:hAnsi="宋体" w:eastAsia="宋体" w:cs="宋体"/>
          <w:szCs w:val="21"/>
        </w:rPr>
      </w:pPr>
      <w:r>
        <w:rPr>
          <w:rFonts w:hint="eastAsia" w:ascii="宋体" w:hAnsi="宋体" w:eastAsia="宋体" w:cs="宋体"/>
          <w:szCs w:val="21"/>
        </w:rPr>
        <w:t>中国特色社会主义能够成为当代中国发展进步的旗帜，还在于她是扎根于中国现实的有生命力和活力的社会主义。现实中的社会主义是依据人类发展的一般规律，在特定历史条件下的创造性实践过程。科学社会主义要从理论转变为现实，必须与每个国家的社会实际相结合，并依据时代特征赋予其民族和时代特色。正如邓小平指出的“社会主义必须是切合中国实际的有中国特色的社会主义”。实践表明，脱离初级阶段的现实社会历史条件搞社会主义，是不可能成功的；完全照抄照搬别国模式，也行不通；必须坚持科学社会主义的基本原则，结合特定的社会历史条件进行探索和创造。比如，经过对社会主义的不断再认识，我们党认为“社会主义也可以搞市场经济”并于十四大把建立社会主义市场经济体制确定为我国经济体制改革的目标，这样把社会主义公有制与市场经济有机地结合起来，既是前无古人的创举，又是当代中国社会主义最突出的特色。举社会主义的旗、走社会主义的路，要和中国国情紧密结合，这是从中国革命和建设的历史经验中得出的基本结论。我们党总结了苏联、东欧和我国以往社会主义建设的历史经验教训，强调一切从实际出发，走自己的道路，建设有中国特色的社会主义，带领全党全国人民成功地开辟了中国特色社会主义的正确道路。</w:t>
      </w:r>
    </w:p>
    <w:p w14:paraId="234E44B7">
      <w:pPr>
        <w:spacing w:line="300" w:lineRule="auto"/>
        <w:ind w:firstLine="440" w:firstLineChars="200"/>
        <w:rPr>
          <w:rFonts w:ascii="宋体" w:hAnsi="宋体" w:eastAsia="宋体" w:cs="宋体"/>
          <w:szCs w:val="21"/>
        </w:rPr>
      </w:pPr>
      <w:r>
        <w:rPr>
          <w:rFonts w:hint="eastAsia" w:ascii="宋体" w:hAnsi="宋体" w:eastAsia="宋体" w:cs="宋体"/>
          <w:szCs w:val="21"/>
        </w:rPr>
        <w:t>胡锦涛总书记在党的“十七大”报告中精辟概括中国特色社会主义道路的基本内涵，就是在中国共产党领导下，立足基本国情，以经济建设为中心，坚持四项基本原则，坚持改革开放，解放和发展社会生产力，巩固和完善社会主义制度，建设社会主义市场经济、社会主义民主政治、社会主义先进文化、社会主义和谐社会，建设富强民主文明和谐的社会主义现代化国家。</w:t>
      </w:r>
    </w:p>
    <w:p w14:paraId="72F4A771">
      <w:pPr>
        <w:spacing w:line="300" w:lineRule="auto"/>
        <w:ind w:firstLine="440" w:firstLineChars="200"/>
        <w:rPr>
          <w:rFonts w:ascii="宋体" w:hAnsi="宋体" w:eastAsia="宋体" w:cs="宋体"/>
          <w:szCs w:val="21"/>
        </w:rPr>
      </w:pPr>
      <w:r>
        <w:rPr>
          <w:rFonts w:hint="eastAsia" w:ascii="宋体" w:hAnsi="宋体" w:eastAsia="宋体" w:cs="宋体"/>
          <w:szCs w:val="21"/>
        </w:rPr>
        <w:t>历史和现实一再表明，中国特色社会主义道路是当代中国发展进步的唯一正确的道路，实现国家富强、民族振兴、人民幸福的唯一正确的道路。只有社会主义才能救中国，是历史的结论；只有中国特色社会主义才能发展中国，是现实和时代的要求。中国特色社会主义，是中国共产党和中国人民在特定的世界历史环境和中国历史条件下的伟大创造，既是历史的逻辑，时代的要求，也是历史的选择，人民的选择，是我们夺取全面建设小康社会新胜利、推进社会主义现代化、实现中华民族伟大复兴的必由之路。</w:t>
      </w:r>
    </w:p>
    <w:p w14:paraId="2AACAAC1">
      <w:pPr>
        <w:spacing w:line="300" w:lineRule="auto"/>
        <w:ind w:firstLine="440" w:firstLineChars="200"/>
        <w:rPr>
          <w:rFonts w:ascii="宋体" w:hAnsi="宋体" w:eastAsia="宋体" w:cs="宋体"/>
          <w:szCs w:val="21"/>
        </w:rPr>
      </w:pPr>
      <w:r>
        <w:rPr>
          <w:rFonts w:hint="eastAsia" w:ascii="宋体" w:hAnsi="宋体" w:eastAsia="宋体" w:cs="宋体"/>
          <w:szCs w:val="21"/>
        </w:rPr>
        <w:t>十六大以来，以胡锦涛同志为总书记的党中央把对中国特色社会主义事业总体布局的认识，从三位一体扩展为四位一体即经济建设、政治建设、文化建设和社会建设，并加强党的建设和国防建设。这是对中国特色社会主义的丰富和发展。以胡锦涛同志为总书记的党中央提出科学发展观和构建社会主义和谐社会等一系列重大战略思想，是马克思主义中国化的最新成果，是中国特色社会主义的重要组成部分。科学发展观，是立足社会主义初级阶段基本国情，总结我国发展实践，借鉴国外发展经验，适应新的发展要求提出来的。科学发展观，是对党的三代中央领导集体关于发展的重要思想的继承和发展，是马克思主义关于发展的世界观和方法论的集中体现，是同马克思列宁主义、毛泽东思想、邓小平理论和“三个代表”重要思想既一脉相承又与时俱进的科学理论，是当前我国经济社会发展的指导方针，是发展中国特色社会主义必须坚持和贯彻的重大战略思想。</w:t>
      </w:r>
    </w:p>
    <w:p w14:paraId="57CF55CF">
      <w:pPr>
        <w:spacing w:line="300" w:lineRule="auto"/>
        <w:ind w:firstLine="440" w:firstLineChars="200"/>
        <w:rPr>
          <w:rFonts w:ascii="宋体" w:hAnsi="宋体" w:eastAsia="宋体" w:cs="宋体"/>
          <w:szCs w:val="21"/>
        </w:rPr>
      </w:pPr>
      <w:r>
        <w:rPr>
          <w:rFonts w:hint="eastAsia" w:ascii="宋体" w:hAnsi="宋体" w:eastAsia="宋体" w:cs="宋体"/>
          <w:szCs w:val="21"/>
        </w:rPr>
        <w:t>胡锦涛强调，改革开放以来我们取得一切成绩和进步的根本原因，归结起来就是：开辟了中国特色社会主义道路，形成了中国特色社会主义理论体系。高举中国特色社会主义伟大旗帜，最根本的就是要坚持这条道路和这个理论体系。因此，我们要乘党的十七大之东风，更紧密地团结在以胡锦涛为总书记的党中央周围，高举中国特色社会主义的伟大旗帜，坚持党在社会主义初级阶段的基本路线，继续解放思想，不断创新，锐意改革，不懈奋斗，努力把中国特色社会主义继续推向前进，早日实现和谐的全面小康社会!</w:t>
      </w:r>
    </w:p>
    <w:p w14:paraId="2165B41B">
      <w:pPr>
        <w:spacing w:line="300" w:lineRule="auto"/>
        <w:ind w:firstLine="440" w:firstLineChars="200"/>
        <w:rPr>
          <w:rFonts w:ascii="宋体" w:hAnsi="宋体" w:eastAsia="宋体" w:cs="宋体"/>
          <w:szCs w:val="21"/>
        </w:rPr>
      </w:pPr>
    </w:p>
    <w:p w14:paraId="2E23659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参考文献：</w:t>
      </w:r>
    </w:p>
    <w:p w14:paraId="7B7A2732">
      <w:pPr>
        <w:spacing w:line="300" w:lineRule="auto"/>
        <w:ind w:firstLine="380" w:firstLineChars="200"/>
        <w:rPr>
          <w:rFonts w:ascii="宋体" w:hAnsi="宋体" w:eastAsia="宋体" w:cs="Times New Roman"/>
          <w:sz w:val="18"/>
          <w:szCs w:val="18"/>
        </w:rPr>
      </w:pPr>
      <w:r>
        <w:rPr>
          <w:rFonts w:hint="eastAsia" w:ascii="宋体" w:hAnsi="宋体" w:eastAsia="宋体" w:cs="Times New Roman"/>
          <w:sz w:val="18"/>
          <w:szCs w:val="18"/>
        </w:rPr>
        <w:t>1、马克思，恩格斯.马克思恩格斯选集(第3卷)[M].北京：人民出版社，1995：325.</w:t>
      </w:r>
    </w:p>
    <w:p w14:paraId="08B38811">
      <w:pPr>
        <w:spacing w:line="300" w:lineRule="auto"/>
        <w:ind w:firstLine="440" w:firstLineChars="200"/>
        <w:rPr>
          <w:rFonts w:ascii="宋体" w:hAnsi="宋体" w:eastAsia="宋体" w:cs="Times New Roman"/>
          <w:szCs w:val="21"/>
        </w:rPr>
      </w:pPr>
    </w:p>
    <w:p w14:paraId="0F87BCF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（原载于《经济理论与经济管理》2007年第12期）</w:t>
      </w:r>
    </w:p>
    <w:p w14:paraId="6FF14E98">
      <w:pPr>
        <w:spacing w:line="300" w:lineRule="auto"/>
        <w:ind w:firstLine="440" w:firstLineChars="200"/>
        <w:rPr>
          <w:rFonts w:hint="eastAsia" w:ascii="宋体" w:hAnsi="宋体" w:eastAsia="宋体" w:cs="Times New Roman"/>
          <w:szCs w:val="21"/>
        </w:rPr>
      </w:pPr>
    </w:p>
    <w:p w14:paraId="1B73F9CF">
      <w:pPr>
        <w:widowControl/>
        <w:spacing w:line="300" w:lineRule="auto"/>
        <w:ind w:firstLine="440" w:firstLineChars="200"/>
        <w:jc w:val="left"/>
        <w:rPr>
          <w:rFonts w:ascii="宋体" w:hAnsi="宋体" w:eastAsia="宋体" w:cs="Times New Roman"/>
          <w:szCs w:val="21"/>
        </w:rPr>
        <w:sectPr>
          <w:footnotePr>
            <w:numFmt w:val="decimalEnclosedCircleChinese"/>
            <w:numRestart w:val="eachPage"/>
          </w:footnotePr>
          <w:type w:val="continuous"/>
          <w:pgSz w:w="11850" w:h="16783"/>
          <w:pgMar w:top="1440" w:right="1800" w:bottom="1440" w:left="1800" w:header="851" w:footer="992" w:gutter="0"/>
          <w:pgNumType w:fmt="decimal"/>
          <w:cols w:space="720" w:num="1"/>
          <w:docGrid w:type="linesAndChars" w:linePitch="294" w:charSpace="2252"/>
        </w:sectPr>
      </w:pPr>
    </w:p>
    <w:p w14:paraId="7A80473B">
      <w:pPr>
        <w:pStyle w:val="3"/>
        <w:spacing w:before="0" w:after="0" w:line="400" w:lineRule="exact"/>
        <w:jc w:val="center"/>
        <w:rPr>
          <w:rFonts w:hint="default" w:ascii="黑体" w:hAnsi="黑体" w:eastAsia="黑体"/>
          <w:b w:val="0"/>
          <w:bCs w:val="0"/>
        </w:rPr>
      </w:pPr>
      <w:bookmarkStart w:id="776" w:name="_Toc111193683"/>
      <w:bookmarkStart w:id="777" w:name="_Toc24678"/>
      <w:bookmarkStart w:id="778" w:name="_Toc636701858"/>
      <w:bookmarkStart w:id="779" w:name="_Toc1674384265"/>
      <w:r>
        <w:rPr>
          <w:rFonts w:ascii="黑体" w:hAnsi="黑体" w:eastAsia="黑体"/>
          <w:b w:val="0"/>
          <w:bCs w:val="0"/>
        </w:rPr>
        <w:t>2</w:t>
      </w:r>
      <w:r>
        <w:rPr>
          <w:rFonts w:hint="default" w:ascii="黑体" w:hAnsi="黑体" w:eastAsia="黑体"/>
          <w:b w:val="0"/>
          <w:bCs w:val="0"/>
        </w:rPr>
        <w:t>2</w:t>
      </w:r>
      <w:r>
        <w:rPr>
          <w:rFonts w:ascii="黑体" w:hAnsi="黑体" w:eastAsia="黑体"/>
          <w:b w:val="0"/>
          <w:bCs w:val="0"/>
        </w:rPr>
        <w:t>要深入研究中国特色社会主义的特征和内涵</w:t>
      </w:r>
      <w:bookmarkEnd w:id="776"/>
      <w:bookmarkEnd w:id="777"/>
      <w:bookmarkEnd w:id="778"/>
      <w:bookmarkEnd w:id="779"/>
    </w:p>
    <w:p w14:paraId="15838415">
      <w:pPr>
        <w:spacing w:line="400" w:lineRule="exact"/>
        <w:ind w:firstLine="440" w:firstLineChars="200"/>
        <w:rPr>
          <w:rFonts w:ascii="宋体" w:hAnsi="宋体" w:eastAsia="宋体"/>
        </w:rPr>
      </w:pPr>
      <w:r>
        <w:rPr>
          <w:rFonts w:hint="eastAsia" w:ascii="宋体" w:hAnsi="宋体" w:eastAsia="宋体"/>
        </w:rPr>
        <w:t>党的十七大报告指出</w:t>
      </w:r>
      <w:r>
        <w:rPr>
          <w:rFonts w:ascii="宋体" w:hAnsi="宋体" w:eastAsia="宋体"/>
        </w:rPr>
        <w:t>,改革开放以来我们取得一切成绩和进步的根本原因,归结起来就是:开辟了中国特色社会主义道路,形成了中国特色社会主义理论体系。当前,我们最根本的就是要坚持这条道路和这个理论体系,就是要充分认识高举中国特色社会主义伟大旗帜的意义,并深刻把握中国特色社会主义的基本内涵及与民主社会主义的本质区别。</w:t>
      </w:r>
    </w:p>
    <w:p w14:paraId="3824BBAE">
      <w:pPr>
        <w:spacing w:line="360" w:lineRule="auto"/>
        <w:jc w:val="center"/>
        <w:rPr>
          <w:rFonts w:ascii="宋体" w:hAnsi="宋体" w:eastAsia="宋体"/>
          <w:b/>
          <w:bCs/>
          <w:sz w:val="24"/>
          <w:szCs w:val="32"/>
        </w:rPr>
      </w:pPr>
      <w:r>
        <w:rPr>
          <w:rFonts w:hint="eastAsia" w:ascii="宋体" w:hAnsi="宋体" w:eastAsia="宋体"/>
          <w:b/>
          <w:bCs/>
          <w:sz w:val="24"/>
          <w:szCs w:val="32"/>
        </w:rPr>
        <w:t>一、高举中国特色社会主义旗帜的重大意义</w:t>
      </w:r>
    </w:p>
    <w:p w14:paraId="736BD690">
      <w:pPr>
        <w:spacing w:line="400" w:lineRule="exact"/>
        <w:ind w:firstLine="440" w:firstLineChars="200"/>
        <w:rPr>
          <w:rFonts w:ascii="宋体" w:hAnsi="宋体" w:eastAsia="宋体"/>
        </w:rPr>
      </w:pPr>
      <w:r>
        <w:rPr>
          <w:rFonts w:hint="eastAsia" w:ascii="宋体" w:hAnsi="宋体" w:eastAsia="宋体"/>
        </w:rPr>
        <w:t>在举国关注、举世瞩目的中国共产党第十七次全国代表大会上</w:t>
      </w:r>
      <w:r>
        <w:rPr>
          <w:rFonts w:ascii="宋体" w:hAnsi="宋体" w:eastAsia="宋体"/>
        </w:rPr>
        <w:t>,胡锦涛总书记代表十六届中央委员会作的报告,全面把握了我国发展所处的历史方位,科学描绘出我国改革开放和社会主义现代化建设的发展前景,是中国共产党面向世界、面向未来的政治宣言,是引领全国各族人民继续为实现全面建设小康社会目标而团结奋斗的行动纲领。这个报告最突出的特点,就是鲜明地高举中国特色社会主义的伟大旗帜,对党内外、国内外关于我们党今后举什么旗、走什么路这一普遍关注的重大问题作出集中而鲜明的回答。</w:t>
      </w:r>
    </w:p>
    <w:p w14:paraId="235C04B6">
      <w:pPr>
        <w:spacing w:line="400" w:lineRule="exact"/>
        <w:ind w:firstLine="440" w:firstLineChars="200"/>
        <w:rPr>
          <w:rFonts w:ascii="宋体" w:hAnsi="宋体" w:eastAsia="宋体"/>
        </w:rPr>
      </w:pPr>
      <w:r>
        <w:rPr>
          <w:rFonts w:hint="eastAsia" w:ascii="宋体" w:hAnsi="宋体" w:eastAsia="宋体"/>
        </w:rPr>
        <w:t>虽然探索中国自己的社会主义发展道路</w:t>
      </w:r>
      <w:r>
        <w:rPr>
          <w:rFonts w:ascii="宋体" w:hAnsi="宋体" w:eastAsia="宋体"/>
        </w:rPr>
        <w:t>,是新中国成立以来党领导人民进行的不懈追求,虽然邓小平在我国进入改革开放新时期就把建设中国特色社会主义作为基本结论明确提出,虽然党的十二大以来的历届全国代表大会都贯彻着中国特色社会主义这一基本主题和基本目标,但党的十七大第一次在党的全国代表大会的报告中强调中国特色社会主义是我们的旗帜,仍然意义重大而深远。</w:t>
      </w:r>
    </w:p>
    <w:p w14:paraId="79D298C2">
      <w:pPr>
        <w:spacing w:line="400" w:lineRule="exact"/>
        <w:ind w:firstLine="440" w:firstLineChars="200"/>
        <w:rPr>
          <w:rFonts w:ascii="宋体" w:hAnsi="宋体" w:eastAsia="宋体"/>
        </w:rPr>
      </w:pPr>
      <w:r>
        <w:rPr>
          <w:rFonts w:hint="eastAsia" w:ascii="宋体" w:hAnsi="宋体" w:eastAsia="宋体"/>
        </w:rPr>
        <w:t>旗帜就是指导方针</w:t>
      </w:r>
      <w:r>
        <w:rPr>
          <w:rFonts w:ascii="宋体" w:hAnsi="宋体" w:eastAsia="宋体"/>
        </w:rPr>
        <w:t>,它表明我们以当代中国发展着的马克思主义指导新的实践;旗帜就是理想和信念,它表明中国特色社会主义已成为全民族的共同理想和信念,成为最大限度地凝聚人心、团结全国各族人民共同奋斗的精神力量;旗帜就是方向和道路,它显示了我们坚定地走自己创造的社会主义现代化道路的决心,它表明我们明确了能够给代表中国广大人民的根本利益并带来福祉的中华民族复兴之路,停滞和倒退是没有出路的,走新自由主义或民主社会主义的资本主义道路,更是邪路一条,而只有建设中国特色的社会主义,才能使人民富裕幸福,</w:t>
      </w:r>
      <w:r>
        <w:rPr>
          <w:rFonts w:hint="eastAsia" w:ascii="宋体" w:hAnsi="宋体" w:eastAsia="宋体"/>
        </w:rPr>
        <w:t>国家兴旺发达。可见</w:t>
      </w:r>
      <w:r>
        <w:rPr>
          <w:rFonts w:ascii="宋体" w:hAnsi="宋体" w:eastAsia="宋体"/>
        </w:rPr>
        <w:t>,中国特色社会主义是当代中国发展进步的旗帜,是全党、全国各族人民团结奋斗的旗帜。</w:t>
      </w:r>
    </w:p>
    <w:p w14:paraId="16187D2F">
      <w:pPr>
        <w:spacing w:line="400" w:lineRule="exact"/>
        <w:ind w:firstLine="440" w:firstLineChars="200"/>
        <w:rPr>
          <w:rFonts w:ascii="宋体" w:hAnsi="宋体" w:eastAsia="宋体"/>
        </w:rPr>
      </w:pPr>
      <w:r>
        <w:rPr>
          <w:rFonts w:hint="eastAsia" w:ascii="宋体" w:hAnsi="宋体" w:eastAsia="宋体"/>
        </w:rPr>
        <w:t>中国特色社会主义能够成为当代中国发展进步和全党、全国各族人民团结奋斗的旗</w:t>
      </w:r>
      <w:r>
        <w:rPr>
          <w:rFonts w:ascii="宋体" w:hAnsi="宋体" w:eastAsia="宋体"/>
        </w:rPr>
        <w:t>帜,首先在于它坚持了科学社会主义的基本原则。科学社会主义作为人类文明进步的旗帜,是其创始人运用历史唯物主义的科学方法,揭示了社会发展进步的一般规律和人类追求的共同理想,社会主义是人类社会发展的基本趋势和共同方向。科学社会主义创始人虽然揭示了社会主义最终必然代替资本主义的历史基本趋势,但并没有先验地描绘未来新社会的具体细节,只是揭示了未来新社会的一般本质和一般特征,他们反对把科学社会主义变为</w:t>
      </w:r>
      <w:r>
        <w:rPr>
          <w:rFonts w:hint="eastAsia" w:ascii="宋体" w:hAnsi="宋体" w:eastAsia="宋体"/>
        </w:rPr>
        <w:t>“一般历史哲学理论”的万能的钥匙</w:t>
      </w:r>
      <w:r>
        <w:rPr>
          <w:rFonts w:ascii="宋体" w:hAnsi="宋体" w:eastAsia="宋体"/>
        </w:rPr>
        <w:t>,并且把社会主义看作是一个充满运动、经常变化的历史有机体。因此,中国特色社会主义,在本质上就是科学社会主义的一种现实形态。其次,中国特色社会主义能够成为当代中国发展进步的旗帜,还在于它是扎根于中国现实的有生命力有活力的社会主义。现实中的社会主义是依据人类发展的一般规律,在特定历史条件下的创造性实践过程。科学社会主义要从理论转变为现实,必须与每个国家的社会实际相结合,并依据时代特征赋予其民族和时代特色。</w:t>
      </w:r>
    </w:p>
    <w:p w14:paraId="15AC5B85">
      <w:pPr>
        <w:spacing w:line="400" w:lineRule="exact"/>
        <w:ind w:firstLine="440" w:firstLineChars="200"/>
        <w:rPr>
          <w:rFonts w:ascii="宋体" w:hAnsi="宋体" w:eastAsia="宋体"/>
        </w:rPr>
      </w:pPr>
      <w:r>
        <w:rPr>
          <w:rFonts w:hint="eastAsia" w:ascii="宋体" w:hAnsi="宋体" w:eastAsia="宋体"/>
        </w:rPr>
        <w:t>历史和现实一再表明</w:t>
      </w:r>
      <w:r>
        <w:rPr>
          <w:rFonts w:ascii="宋体" w:hAnsi="宋体" w:eastAsia="宋体"/>
        </w:rPr>
        <w:t>,中国特色社会主义道路是当代中国发展进步的唯一正确的道路,实现国家富强、民族振兴、人民幸福的唯一正确的道路。只有社会主义才能救中国,是历史的结论;只有中国特色社会主义才能发展中国,是现实和时代的要求。中国特色社会主义,是中国共产党和中国人民在特定的世界历史环境和中国历史条件下的伟大创造,既是历史的逻辑,时代的要求,也是历史的选择、人民的选择,是我们夺取全面建设小康社会新胜利、推进社会主义现代化、实现中华民族伟大复兴的必由之路。</w:t>
      </w:r>
    </w:p>
    <w:p w14:paraId="1CA95C53">
      <w:pPr>
        <w:spacing w:line="400" w:lineRule="exact"/>
        <w:ind w:firstLine="440" w:firstLineChars="200"/>
        <w:rPr>
          <w:rFonts w:ascii="宋体" w:hAnsi="宋体" w:eastAsia="宋体"/>
        </w:rPr>
      </w:pPr>
      <w:r>
        <w:rPr>
          <w:rFonts w:hint="eastAsia" w:ascii="宋体" w:hAnsi="宋体" w:eastAsia="宋体"/>
        </w:rPr>
        <w:t>十七大报告提到“世情、国情、党情”</w:t>
      </w:r>
      <w:r>
        <w:rPr>
          <w:rFonts w:ascii="宋体" w:hAnsi="宋体" w:eastAsia="宋体"/>
        </w:rPr>
        <w:t>,我们认为这“三情”很关键,应当以“世情为鉴、国情为据、党情为要”。世情为鉴,是讲我们要以其他国家和地区的发展经验教训为借鉴;国情为据,是讲我们要以我国社会主义初级阶段的具体国情为依据;党情为要,是讲我们要以中国共产党的实际党情为要领。十六大以来,以胡锦涛同志为总书记的党中央把对中国特色社会主义事业总体布局的认识,从三位一体扩展为四位一体即经济建设、政治建设、文化建设和社会建设,并加强党的建设和国防建设。这是对中国特色社会主义的丰富和发展。以胡锦涛同志为</w:t>
      </w:r>
      <w:r>
        <w:rPr>
          <w:rFonts w:hint="eastAsia" w:ascii="宋体" w:hAnsi="宋体" w:eastAsia="宋体"/>
        </w:rPr>
        <w:t>总书记的党中央提出科学发展观和构建社会主义和谐社会等一系列重大战略</w:t>
      </w:r>
      <w:r>
        <w:rPr>
          <w:rFonts w:ascii="宋体" w:hAnsi="宋体" w:eastAsia="宋体"/>
        </w:rPr>
        <w:t>思想,是马克思主义中国化的最新成果,是中国特色社会主义的重要组成部分。事实上,无论是坚持和发展中国特色社会主义,还是提出和深入贯彻落实科学发展观,都是立足社会主义初级阶段基本国情,总结我国发展实践,借鉴国外发展经验,适应世情、国情和党情新的发展要求提出来的,并顺应了党心和民心。</w:t>
      </w:r>
    </w:p>
    <w:p w14:paraId="32B8647D">
      <w:pPr>
        <w:spacing w:line="360" w:lineRule="auto"/>
        <w:jc w:val="center"/>
        <w:rPr>
          <w:rFonts w:ascii="宋体" w:hAnsi="宋体" w:eastAsia="宋体"/>
          <w:b/>
          <w:bCs/>
          <w:sz w:val="32"/>
          <w:szCs w:val="40"/>
        </w:rPr>
      </w:pPr>
      <w:r>
        <w:rPr>
          <w:rFonts w:hint="eastAsia" w:ascii="宋体" w:hAnsi="宋体" w:eastAsia="宋体"/>
          <w:b/>
          <w:bCs/>
          <w:sz w:val="24"/>
          <w:szCs w:val="32"/>
        </w:rPr>
        <w:t>二、中国特色社会主义的基本特征和内涵</w:t>
      </w:r>
    </w:p>
    <w:p w14:paraId="02E851C3">
      <w:pPr>
        <w:spacing w:line="400" w:lineRule="exact"/>
        <w:ind w:firstLine="440" w:firstLineChars="200"/>
        <w:rPr>
          <w:rFonts w:ascii="宋体" w:hAnsi="宋体" w:eastAsia="宋体"/>
        </w:rPr>
      </w:pPr>
      <w:r>
        <w:rPr>
          <w:rFonts w:hint="eastAsia" w:ascii="宋体" w:hAnsi="宋体" w:eastAsia="宋体"/>
        </w:rPr>
        <w:t>中国特色社会主义是改革开放以来历次党代会的“同一首歌”。邓小平在党的十二大开</w:t>
      </w:r>
      <w:r>
        <w:rPr>
          <w:rFonts w:ascii="宋体" w:hAnsi="宋体" w:eastAsia="宋体"/>
        </w:rPr>
        <w:t>幕词中第一次明确提出了“建设有中国特色的社会主义”这一科学命题;党的十三大报告讲的是“沿着有中国特色的社会主义道路前进”;十四大报告是“加快改革开放和现代化建设步伐,夺取有中国特色社会主义事业的更大胜利”;十五大报告是“高举邓小平理论伟大旗帜,把建设有中国特色社会主义事业全面推向21世纪”;十六大报告是“全面建设小康社会,开创中国特色社会主义事业新局面”;十七大主题的核心是“高举中国特色社会主义伟大旗帜,为</w:t>
      </w:r>
      <w:r>
        <w:rPr>
          <w:rFonts w:hint="eastAsia" w:ascii="宋体" w:hAnsi="宋体" w:eastAsia="宋体"/>
        </w:rPr>
        <w:t>夺取全面建设小康社会新胜利而奋斗”。</w:t>
      </w:r>
    </w:p>
    <w:p w14:paraId="0C055151">
      <w:pPr>
        <w:spacing w:line="400" w:lineRule="exact"/>
        <w:ind w:firstLine="440" w:firstLineChars="200"/>
        <w:rPr>
          <w:rFonts w:ascii="宋体" w:hAnsi="宋体" w:eastAsia="宋体"/>
        </w:rPr>
      </w:pPr>
      <w:r>
        <w:rPr>
          <w:rFonts w:hint="eastAsia" w:ascii="宋体" w:hAnsi="宋体" w:eastAsia="宋体"/>
        </w:rPr>
        <w:t>目前</w:t>
      </w:r>
      <w:r>
        <w:rPr>
          <w:rFonts w:ascii="宋体" w:hAnsi="宋体" w:eastAsia="宋体"/>
        </w:rPr>
        <w:t>,我们理论工作者须积极响应党的十七大报告关于要继续深化对中国特色社会主义理论和实践的研究和探索的号召,科学阐明中国特色社会主义的基本特征和内涵,并分清与民主社会主义的本质区别,以便中国特色社会主义的道路越走越宽、越走越顺。</w:t>
      </w:r>
    </w:p>
    <w:p w14:paraId="2BFDEFAE">
      <w:pPr>
        <w:spacing w:line="400" w:lineRule="exact"/>
        <w:ind w:firstLine="440" w:firstLineChars="200"/>
        <w:rPr>
          <w:rFonts w:ascii="宋体" w:hAnsi="宋体" w:eastAsia="宋体"/>
        </w:rPr>
      </w:pPr>
      <w:r>
        <w:rPr>
          <w:rFonts w:hint="eastAsia" w:ascii="宋体" w:hAnsi="宋体" w:eastAsia="宋体"/>
        </w:rPr>
        <w:t>第一</w:t>
      </w:r>
      <w:r>
        <w:rPr>
          <w:rFonts w:ascii="宋体" w:hAnsi="宋体" w:eastAsia="宋体"/>
        </w:rPr>
        <w:t>,从指导思想层面看,中国特色社会主义坚持马克思主义的指导地位。中国特色社会主义主张用马克思主义为灵魂的社会主义核心价值体系,引领各种社会思潮和社会主义</w:t>
      </w:r>
      <w:r>
        <w:rPr>
          <w:rFonts w:hint="eastAsia" w:ascii="宋体" w:hAnsi="宋体" w:eastAsia="宋体"/>
        </w:rPr>
        <w:t>实践。马克思主义作为科学的世界观和方法论</w:t>
      </w:r>
      <w:r>
        <w:rPr>
          <w:rFonts w:ascii="宋体" w:hAnsi="宋体" w:eastAsia="宋体"/>
        </w:rPr>
        <w:t>,是社会主义运动的理论基础,应该在中国特色社会主义实践中占指导地位。以马克思主义为指导,就是要把马克思主义普遍原理与中国现阶段的实际结合起来,指导中国特色社会主义实践,研究新情况,总结新经验,解决新问题。马克思主义是一个开放的、随着科学和实践的发展而不断前进的科学体系,具有强大的持久生命力和科学的阐释力。因此,在胡锦涛总书记的报告中,强调“中国特色社会主义道路之所以完全正确、之所以能够引领中国发展进步,关键在于我们既坚持了科学社会主义的基本原则,又根据我国实际和时代特征赋予其鲜明的中国特色”;“深入学习马克思列宁主义、毛泽东思想、邓小平理论和“三个代表”重要思想,在全党开展深入学习实践科学发展观活动,坚持用发展着的马克思主义指导客观世界和主观世界的改造,进一步把握共产党执政规律、社会主义建设规律、人类社会发展规律,提高运用科学理论分析和解决实际问题能力。”</w:t>
      </w:r>
    </w:p>
    <w:p w14:paraId="3B046C2C">
      <w:pPr>
        <w:spacing w:line="400" w:lineRule="exact"/>
        <w:ind w:firstLine="440" w:firstLineChars="200"/>
        <w:rPr>
          <w:rFonts w:ascii="宋体" w:hAnsi="宋体" w:eastAsia="宋体"/>
        </w:rPr>
      </w:pPr>
      <w:r>
        <w:rPr>
          <w:rFonts w:hint="eastAsia" w:ascii="宋体" w:hAnsi="宋体" w:eastAsia="宋体"/>
        </w:rPr>
        <w:t>民主社会主义反对把马克思主义作为唯一的指导思想</w:t>
      </w:r>
      <w:r>
        <w:rPr>
          <w:rFonts w:ascii="宋体" w:hAnsi="宋体" w:eastAsia="宋体"/>
        </w:rPr>
        <w:t>,主张世界观和指导思想的多元化,提倡社会主义思想构成和来源的多样性。他们把基督教学说、法国大革命的人权宣言、康德的伦理学与启蒙思想、黑格尔的辩证历史哲学、伯恩施坦的修正主义、凯恩斯主义经济学等都作为自己的思想来源和构成,将多种思想观点熔为一炉,冠之为“多元化”和“思想民主”。</w:t>
      </w:r>
    </w:p>
    <w:p w14:paraId="3CF78F1E">
      <w:pPr>
        <w:spacing w:line="400" w:lineRule="exact"/>
        <w:ind w:firstLine="440" w:firstLineChars="200"/>
        <w:rPr>
          <w:rFonts w:ascii="宋体" w:hAnsi="宋体" w:eastAsia="宋体"/>
        </w:rPr>
      </w:pPr>
      <w:r>
        <w:rPr>
          <w:rFonts w:hint="eastAsia" w:ascii="宋体" w:hAnsi="宋体" w:eastAsia="宋体"/>
        </w:rPr>
        <w:t>第二</w:t>
      </w:r>
      <w:r>
        <w:rPr>
          <w:rFonts w:ascii="宋体" w:hAnsi="宋体" w:eastAsia="宋体"/>
        </w:rPr>
        <w:t>,从经济制度层面看,中国特色社会主义坚持市场经济条件下生产资料公有制的主体地位。中国特色社会主义认为,社会主义与资本主义在基本经济制度上具有决定意义的差别就在于生产资料社会所有制结构(邓小平语),以质与量都占优势的生产资料公有制为主体、国有经济为主导,对于强国富民、国民凝聚力和建设社会主义具有举足轻重的作用,是共产党执政等上层建筑的社会主义性质的经济基础(江泽民语)。尽管由于目前中国生产力不发达,还不能实现完全的生产资料公有制,但在发展各种私有制经济的同时必须坚持公有制的主体地位</w:t>
      </w:r>
      <w:r>
        <w:rPr>
          <w:rFonts w:hint="eastAsia" w:ascii="宋体" w:hAnsi="宋体" w:eastAsia="宋体"/>
        </w:rPr>
        <w:t>。只有坚持市场经济条件下公有制的主体地位</w:t>
      </w:r>
      <w:r>
        <w:rPr>
          <w:rFonts w:ascii="宋体" w:hAnsi="宋体" w:eastAsia="宋体"/>
        </w:rPr>
        <w:t>,才能真正完善以按劳分配为主体的财富和收入分配制度,实现共同富裕和公平正义,才能真正落实以人为本的科学发展观,实现国民经济又好又快地良性发展。因此,在胡锦涛总书记的报告中,强调“坚持和完善公有制为主体、多种所有制经济共同发展的基本经济制度,毫不动摇地巩固和发展公有制经济,毫不动摇地鼓励、支持、引导非公有制经济发展”。</w:t>
      </w:r>
    </w:p>
    <w:p w14:paraId="2571036A">
      <w:pPr>
        <w:spacing w:line="400" w:lineRule="exact"/>
        <w:ind w:firstLine="440" w:firstLineChars="200"/>
        <w:rPr>
          <w:rFonts w:ascii="宋体" w:hAnsi="宋体" w:eastAsia="宋体"/>
        </w:rPr>
      </w:pPr>
      <w:r>
        <w:rPr>
          <w:rFonts w:hint="eastAsia" w:ascii="宋体" w:hAnsi="宋体" w:eastAsia="宋体"/>
        </w:rPr>
        <w:t>民主社会主义否定生产资料公有制的主体地位</w:t>
      </w:r>
      <w:r>
        <w:rPr>
          <w:rFonts w:ascii="宋体" w:hAnsi="宋体" w:eastAsia="宋体"/>
        </w:rPr>
        <w:t>,认为,社会主义可以在不改变生产资料资本主义私有制的条件下实现,声称生产资料主体结构不是衡量社会性质的标准。他们主张在维持多种私有制主体的基础上,实行国有企业、私人企业和其他经济成分并存的“混合经济”制度,并维护以按资分配为主体的财富和收入分配制度。</w:t>
      </w:r>
    </w:p>
    <w:p w14:paraId="5C9A2236">
      <w:pPr>
        <w:spacing w:line="400" w:lineRule="exact"/>
        <w:ind w:firstLine="440" w:firstLineChars="200"/>
        <w:rPr>
          <w:rFonts w:ascii="宋体" w:hAnsi="宋体" w:eastAsia="宋体"/>
        </w:rPr>
      </w:pPr>
      <w:r>
        <w:rPr>
          <w:rFonts w:hint="eastAsia" w:ascii="宋体" w:hAnsi="宋体" w:eastAsia="宋体"/>
        </w:rPr>
        <w:t>第三</w:t>
      </w:r>
      <w:r>
        <w:rPr>
          <w:rFonts w:ascii="宋体" w:hAnsi="宋体" w:eastAsia="宋体"/>
        </w:rPr>
        <w:t>,从政治制度层面看,中国特色社会主义坚持工人阶级政党的领导。中国特色社会主义坚持共产党的工人阶级先锋队性质和民主集中制原则,坚持共产党对社会主义事业的领导。在新的科学技术革命面前,工人阶级仍然是先进生产力发展要求的代表和先进生产关系的体现者,仍然是推翻资本主义,建设社会主义、共产主义历史使命的承担者。在多种社会阶层出现和并存的新格局下,共产党仍然必须保持工人阶级先锋队的性质,全心全意</w:t>
      </w:r>
      <w:r>
        <w:rPr>
          <w:rFonts w:hint="eastAsia" w:ascii="宋体" w:hAnsi="宋体" w:eastAsia="宋体"/>
        </w:rPr>
        <w:t>依靠工人阶级。现阶段实行共产党领导的多党合作和政治协商制度</w:t>
      </w:r>
      <w:r>
        <w:rPr>
          <w:rFonts w:ascii="宋体" w:hAnsi="宋体" w:eastAsia="宋体"/>
        </w:rPr>
        <w:t>,而民主集中制是共产党及其执政国家的根本组织原则和组织制度,是正确处理党内外各种关系的政治准则。因此,在胡锦涛总书记的报告中,强调“深化政治体制改革,必须坚持正确政治方向,以保证人民当家作主为根本,以增强党和国家活力、调动人民积极性为目标,扩大社会主义民主,建设社会主义法治国家,发展社会主义政治文明。”</w:t>
      </w:r>
    </w:p>
    <w:p w14:paraId="5ECC96DC">
      <w:pPr>
        <w:spacing w:line="400" w:lineRule="exact"/>
        <w:ind w:firstLine="440" w:firstLineChars="200"/>
        <w:rPr>
          <w:rFonts w:ascii="宋体" w:hAnsi="宋体" w:eastAsia="宋体"/>
        </w:rPr>
      </w:pPr>
      <w:r>
        <w:rPr>
          <w:rFonts w:hint="eastAsia" w:ascii="宋体" w:hAnsi="宋体" w:eastAsia="宋体"/>
        </w:rPr>
        <w:t>各种名称的社会党和社会党国际否定工人阶级政党领导的必要性</w:t>
      </w:r>
      <w:r>
        <w:rPr>
          <w:rFonts w:ascii="宋体" w:hAnsi="宋体" w:eastAsia="宋体"/>
        </w:rPr>
        <w:t>,反对民主集中制原则,公开宣称他们的党是由具有不同信仰和思想的人组成的一个共同体,不是一个阶级的党,而是“全民党”。他们认为,由于生产力的变化,工人阶级已经丧失其为历史动力的主导作用,社会主义将由那些随着生产力发展而出现的社会阶层来领导,而不是由工人阶级来领导。同时,与他们提倡的民主化、多元化相适应,他们反对一切情况下的一党领导制,提倡资产阶级多党轮流执政的国体。在党的组织原则上,他们反对必要的集中制和党员的先进性和模范作用,</w:t>
      </w:r>
      <w:r>
        <w:rPr>
          <w:rFonts w:hint="eastAsia" w:ascii="宋体" w:hAnsi="宋体" w:eastAsia="宋体"/>
        </w:rPr>
        <w:t>不主张严格的组织纪律。他们只反对传统社会主义的首脑</w:t>
      </w:r>
      <w:r>
        <w:rPr>
          <w:rFonts w:ascii="宋体" w:hAnsi="宋体" w:eastAsia="宋体"/>
        </w:rPr>
        <w:t>(官员)独断型民主模式,而不反对私人垄断型民主模式,缺乏官民互动型民主模式的改革目标。</w:t>
      </w:r>
    </w:p>
    <w:p w14:paraId="0E78F5FA">
      <w:pPr>
        <w:spacing w:line="400" w:lineRule="exact"/>
        <w:ind w:firstLine="440" w:firstLineChars="200"/>
        <w:rPr>
          <w:rFonts w:ascii="宋体" w:hAnsi="宋体" w:eastAsia="宋体"/>
        </w:rPr>
      </w:pPr>
      <w:r>
        <w:rPr>
          <w:rFonts w:hint="eastAsia" w:ascii="宋体" w:hAnsi="宋体" w:eastAsia="宋体"/>
        </w:rPr>
        <w:t>第四</w:t>
      </w:r>
      <w:r>
        <w:rPr>
          <w:rFonts w:ascii="宋体" w:hAnsi="宋体" w:eastAsia="宋体"/>
        </w:rPr>
        <w:t>,从对外关系层面看,中国特色社会主义坚持推动世界和谐发展。中国特色社会主义在对外关系理论和政策上都真正主张平等互利,和平合作,切实推动世界和谐发展。中国在政治、军事、经济和文化等各个对外领域,永远不称霸,强调国家不分大小强弱,一律平等。要超越意识形态和社会制度不同,来处理国家间的多种关系和全球问题。在全球化大趋势中,各国之间政治上要友好协商而不单边强权,军事上要限于自防而不先发制人,经济上要合作互利而不以邻为壑,文化上要交流互学而不损人利己。具有中国特色的社会主义中国以经济建设为</w:t>
      </w:r>
      <w:r>
        <w:rPr>
          <w:rFonts w:hint="eastAsia" w:ascii="宋体" w:hAnsi="宋体" w:eastAsia="宋体"/>
        </w:rPr>
        <w:t>中心</w:t>
      </w:r>
      <w:r>
        <w:rPr>
          <w:rFonts w:ascii="宋体" w:hAnsi="宋体" w:eastAsia="宋体"/>
        </w:rPr>
        <w:t>,自然要通过经济开放积极参与经济全球化,为强国富民和全世界作出应有的贡献。因此,在胡锦涛总书记的报告中,强调“我们主张,各国人民携手努力,推动建设持久和平、共同繁荣的和谐世界。为此,应该遵循联合国宪章宗旨和原则,恪守国际法和公认的国际关系准则,在国际关系中弘扬民主、和睦、协作、共赢精神。</w:t>
      </w:r>
      <w:r>
        <w:rPr>
          <w:rFonts w:hint="eastAsia" w:ascii="宋体" w:hAnsi="宋体" w:eastAsia="宋体"/>
        </w:rPr>
        <w:t>”民主社会主义表面上赞成对外关系要平等、和平</w:t>
      </w:r>
      <w:r>
        <w:rPr>
          <w:rFonts w:ascii="宋体" w:hAnsi="宋体" w:eastAsia="宋体"/>
        </w:rPr>
        <w:t>,而实际行动上经常背离。在两次世界大战中、二战以后和后冷战以来,许多国家的社会党实行对外军事扩张和入侵,推行经济、政治和文化的霸权主义和新帝国政策,强调一霸数强型的单边独裁或多边垄断,破坏了联合国主导型的全球民主治理。</w:t>
      </w:r>
    </w:p>
    <w:p w14:paraId="41D2ABC5">
      <w:pPr>
        <w:spacing w:line="400" w:lineRule="exact"/>
        <w:ind w:firstLine="440" w:firstLineChars="200"/>
        <w:rPr>
          <w:rFonts w:ascii="宋体" w:hAnsi="宋体" w:eastAsia="宋体"/>
        </w:rPr>
      </w:pPr>
      <w:r>
        <w:rPr>
          <w:rFonts w:hint="eastAsia" w:ascii="宋体" w:hAnsi="宋体" w:eastAsia="宋体"/>
        </w:rPr>
        <w:t>第五</w:t>
      </w:r>
      <w:r>
        <w:rPr>
          <w:rFonts w:ascii="宋体" w:hAnsi="宋体" w:eastAsia="宋体"/>
        </w:rPr>
        <w:t>,从终极目标层面看,中国特色社会主义坚持社会主义本质和共产主义奋斗目标。中国特色社会主义坚持解放生产力、发展生产力,消灭剥削,消除两极分化,实现共同富裕的社会主义本质和原则,并最终要在生产力极大发展的社会主义基础上,实现共产主义。这是一个漫长的历史演变过程和制度创新历程。因此,在胡锦涛总书记的报告中,强调“加强党员、干部理想信念教育和思想道德建设,使广大党员、干部成为实践社会主义核心价值体系的模范,做共产主义远大理想和中国特色社会主义共同理想的坚定信仰者、科学发展观的忠实执行者、社</w:t>
      </w:r>
      <w:r>
        <w:rPr>
          <w:rFonts w:hint="eastAsia" w:ascii="宋体" w:hAnsi="宋体" w:eastAsia="宋体"/>
        </w:rPr>
        <w:t>会主义荣辱观的自觉实践者、社会和谐的积极促进者。”</w:t>
      </w:r>
    </w:p>
    <w:p w14:paraId="457FBEF3">
      <w:pPr>
        <w:spacing w:line="400" w:lineRule="exact"/>
        <w:rPr>
          <w:rFonts w:ascii="宋体" w:hAnsi="宋体" w:eastAsia="宋体"/>
        </w:rPr>
      </w:pPr>
      <w:r>
        <w:rPr>
          <w:rFonts w:hint="eastAsia" w:ascii="宋体" w:hAnsi="宋体" w:eastAsia="宋体"/>
        </w:rPr>
        <w:t>民主社会主义抛弃共产主义奋斗目标</w:t>
      </w:r>
      <w:r>
        <w:rPr>
          <w:rFonts w:ascii="宋体" w:hAnsi="宋体" w:eastAsia="宋体"/>
        </w:rPr>
        <w:t>,从资产阶级的理性和伦理原则如自由、平等、公正、互助等出发,提出民主社会主义的目标是为一个社会公正、自由民主、世界和平的制度</w:t>
      </w:r>
      <w:r>
        <w:rPr>
          <w:rFonts w:hint="eastAsia" w:ascii="宋体" w:hAnsi="宋体" w:eastAsia="宋体"/>
        </w:rPr>
        <w:t>而奋斗。他们认为资本主义社会各种弊病和矛盾产生的根源不在于资本主义根本经济、政</w:t>
      </w:r>
      <w:r>
        <w:rPr>
          <w:rFonts w:ascii="宋体" w:hAnsi="宋体" w:eastAsia="宋体"/>
        </w:rPr>
        <w:t>治和文化制度本身,也不在于阶级剥削和压迫的存在,而是违背了所谓人类一般的理性、伦理原则。要解决资本主义的痼疾,不需要替代资本主义根本制度,只要按照上述原则不断的对其改良即可。</w:t>
      </w:r>
    </w:p>
    <w:p w14:paraId="6DF5C485">
      <w:pPr>
        <w:pStyle w:val="21"/>
        <w:spacing w:line="400" w:lineRule="exact"/>
        <w:ind w:firstLine="480"/>
        <w:jc w:val="both"/>
        <w:rPr>
          <w:rFonts w:cstheme="minorBidi"/>
          <w:sz w:val="21"/>
          <w:szCs w:val="24"/>
        </w:rPr>
      </w:pPr>
      <w:r>
        <w:rPr>
          <w:rFonts w:cstheme="minorBidi"/>
          <w:sz w:val="21"/>
          <w:szCs w:val="24"/>
        </w:rPr>
        <w:t>（原载《社会科学管理与评论》，2007</w:t>
      </w:r>
      <w:r>
        <w:rPr>
          <w:rFonts w:hint="eastAsia" w:cstheme="minorBidi"/>
          <w:sz w:val="21"/>
          <w:szCs w:val="24"/>
        </w:rPr>
        <w:t>年第</w:t>
      </w:r>
      <w:r>
        <w:rPr>
          <w:rFonts w:cstheme="minorBidi"/>
          <w:sz w:val="21"/>
          <w:szCs w:val="24"/>
        </w:rPr>
        <w:t>4</w:t>
      </w:r>
      <w:r>
        <w:rPr>
          <w:rFonts w:hint="eastAsia" w:cstheme="minorBidi"/>
          <w:sz w:val="21"/>
          <w:szCs w:val="24"/>
        </w:rPr>
        <w:t>期</w:t>
      </w:r>
      <w:r>
        <w:rPr>
          <w:rFonts w:cstheme="minorBidi"/>
          <w:sz w:val="21"/>
          <w:szCs w:val="24"/>
        </w:rPr>
        <w:t>）</w:t>
      </w:r>
    </w:p>
    <w:p w14:paraId="55D15F33">
      <w:pPr>
        <w:spacing w:line="400" w:lineRule="exact"/>
        <w:rPr>
          <w:rFonts w:ascii="宋体" w:hAnsi="宋体" w:eastAsia="宋体"/>
        </w:rPr>
      </w:pPr>
    </w:p>
    <w:p w14:paraId="2CF812E6">
      <w:pPr>
        <w:pStyle w:val="21"/>
        <w:spacing w:line="400" w:lineRule="exact"/>
        <w:ind w:firstLine="480"/>
        <w:jc w:val="both"/>
        <w:rPr>
          <w:rFonts w:eastAsiaTheme="minorEastAsia"/>
          <w:sz w:val="21"/>
          <w:szCs w:val="21"/>
        </w:rPr>
      </w:pPr>
    </w:p>
    <w:p w14:paraId="71A95985">
      <w:pPr>
        <w:keepNext/>
        <w:keepLines/>
        <w:widowControl/>
        <w:spacing w:line="300" w:lineRule="auto"/>
        <w:ind w:firstLine="620" w:firstLineChars="200"/>
        <w:jc w:val="center"/>
        <w:outlineLvl w:val="1"/>
        <w:rPr>
          <w:rFonts w:ascii="黑体" w:hAnsi="黑体" w:eastAsia="黑体" w:cs="Times New Roman"/>
          <w:kern w:val="0"/>
          <w:sz w:val="30"/>
          <w:szCs w:val="30"/>
        </w:rPr>
      </w:pPr>
      <w:bookmarkStart w:id="780" w:name="_Toc111193684"/>
      <w:bookmarkStart w:id="781" w:name="_Toc9821"/>
      <w:bookmarkStart w:id="782" w:name="_Toc137114405"/>
      <w:bookmarkStart w:id="783" w:name="_Toc750631567"/>
      <w:r>
        <w:rPr>
          <w:rFonts w:hint="eastAsia" w:ascii="黑体" w:hAnsi="黑体" w:eastAsia="黑体" w:cs="Times New Roman"/>
          <w:kern w:val="0"/>
          <w:sz w:val="30"/>
          <w:szCs w:val="30"/>
        </w:rPr>
        <w:t>2</w:t>
      </w:r>
      <w:r>
        <w:rPr>
          <w:rFonts w:ascii="黑体" w:hAnsi="黑体" w:eastAsia="黑体" w:cs="Times New Roman"/>
          <w:kern w:val="0"/>
          <w:sz w:val="30"/>
          <w:szCs w:val="30"/>
        </w:rPr>
        <w:t>3</w:t>
      </w:r>
      <w:r>
        <w:rPr>
          <w:rFonts w:hint="eastAsia" w:ascii="黑体" w:hAnsi="黑体" w:eastAsia="黑体" w:cs="Times New Roman"/>
          <w:kern w:val="0"/>
          <w:sz w:val="30"/>
          <w:szCs w:val="30"/>
        </w:rPr>
        <w:t>在科学发展和改革中巩固和加强社会主义的经济基础</w:t>
      </w:r>
      <w:bookmarkEnd w:id="780"/>
      <w:bookmarkEnd w:id="781"/>
      <w:bookmarkEnd w:id="782"/>
      <w:bookmarkEnd w:id="783"/>
    </w:p>
    <w:p w14:paraId="33625165">
      <w:pPr>
        <w:widowControl/>
        <w:snapToGrid w:val="0"/>
        <w:spacing w:before="147" w:beforeLines="50" w:after="147" w:afterLines="50" w:line="300" w:lineRule="auto"/>
        <w:ind w:firstLine="500" w:firstLineChars="200"/>
        <w:jc w:val="center"/>
        <w:rPr>
          <w:rFonts w:ascii="宋体" w:hAnsi="宋体" w:eastAsia="宋体" w:cs="Times New Roman"/>
          <w:b/>
          <w:bCs/>
          <w:kern w:val="0"/>
          <w:sz w:val="24"/>
        </w:rPr>
      </w:pPr>
      <w:r>
        <w:rPr>
          <w:rFonts w:hint="eastAsia" w:ascii="宋体" w:hAnsi="宋体" w:eastAsia="宋体" w:cs="Times New Roman"/>
          <w:b/>
          <w:bCs/>
          <w:kern w:val="0"/>
          <w:sz w:val="24"/>
        </w:rPr>
        <w:t>———《江泽民文选》研读有感</w:t>
      </w:r>
    </w:p>
    <w:p w14:paraId="09723C3B">
      <w:pPr>
        <w:widowControl/>
        <w:spacing w:line="300" w:lineRule="auto"/>
        <w:ind w:firstLine="456" w:firstLineChars="200"/>
        <w:jc w:val="left"/>
        <w:rPr>
          <w:rFonts w:ascii="宋体" w:hAnsi="宋体" w:eastAsia="宋体" w:cs="宋体"/>
          <w:spacing w:val="4"/>
          <w:szCs w:val="21"/>
          <w:lang w:val="zh-CN" w:bidi="zh-CN"/>
        </w:rPr>
      </w:pPr>
      <w:r>
        <w:rPr>
          <w:rFonts w:hint="eastAsia" w:ascii="宋体" w:hAnsi="宋体" w:eastAsia="宋体" w:cs="宋体"/>
          <w:spacing w:val="4"/>
          <w:szCs w:val="21"/>
          <w:lang w:val="zh-CN" w:bidi="zh-CN"/>
        </w:rPr>
        <w:t>巩固和加强社会主义经济基础，必须做到以下几点:第一，要从确保社会主义红色江山永不变色，又能把我国经济更快更好地搞上去这双重角度，来检视作为社会主义经济基础的国有经济改革和发展。第二，要认清国有经济在不同性质的社会中具有不同的功能和运行方式。第三，要在改革中掌控一批影响国计民生的重要国有大中型企业。第四，要通过深化改革来增强国有企业的活力。</w:t>
      </w:r>
    </w:p>
    <w:p w14:paraId="48920020">
      <w:pPr>
        <w:widowControl/>
        <w:spacing w:line="300" w:lineRule="auto"/>
        <w:ind w:firstLine="456" w:firstLineChars="200"/>
        <w:rPr>
          <w:rFonts w:ascii="宋体" w:hAnsi="宋体" w:eastAsia="宋体" w:cs="宋体"/>
          <w:spacing w:val="1"/>
          <w:szCs w:val="21"/>
          <w:lang w:val="zh-CN" w:bidi="zh-CN"/>
        </w:rPr>
      </w:pPr>
      <w:r>
        <w:rPr>
          <w:rFonts w:hint="eastAsia" w:ascii="宋体" w:hAnsi="宋体" w:eastAsia="宋体" w:cs="宋体"/>
          <w:spacing w:val="4"/>
          <w:szCs w:val="21"/>
          <w:lang w:val="zh-CN" w:bidi="zh-CN"/>
        </w:rPr>
        <w:t>在建立和完善社会主义市场经济体制过程中，如何巩固和加强社会主义经济基础</w:t>
      </w:r>
      <w:r>
        <w:rPr>
          <w:rFonts w:hint="eastAsia" w:ascii="宋体" w:hAnsi="宋体" w:eastAsia="宋体" w:cs="宋体"/>
          <w:spacing w:val="-14"/>
          <w:w w:val="80"/>
          <w:szCs w:val="21"/>
          <w:lang w:val="zh-CN" w:bidi="zh-CN"/>
        </w:rPr>
        <w:t>，</w:t>
      </w:r>
      <w:r>
        <w:rPr>
          <w:rFonts w:hint="eastAsia" w:ascii="宋体" w:hAnsi="宋体" w:eastAsia="宋体" w:cs="宋体"/>
          <w:spacing w:val="1"/>
          <w:szCs w:val="21"/>
          <w:lang w:val="zh-CN" w:bidi="zh-CN"/>
        </w:rPr>
        <w:t>怎样看待社会主义经济</w:t>
      </w:r>
      <w:r>
        <w:rPr>
          <w:rFonts w:hint="eastAsia" w:ascii="宋体" w:hAnsi="宋体" w:eastAsia="宋体" w:cs="宋体"/>
          <w:spacing w:val="2"/>
          <w:szCs w:val="21"/>
          <w:lang w:val="zh-CN" w:bidi="zh-CN"/>
        </w:rPr>
        <w:t>基础与国有经济为核心的公有制经济的关系</w:t>
      </w:r>
      <w:r>
        <w:rPr>
          <w:rFonts w:hint="eastAsia" w:ascii="宋体" w:hAnsi="宋体" w:eastAsia="宋体" w:cs="宋体"/>
          <w:spacing w:val="-14"/>
          <w:w w:val="80"/>
          <w:szCs w:val="21"/>
          <w:lang w:val="zh-CN" w:bidi="zh-CN"/>
        </w:rPr>
        <w:t>，</w:t>
      </w:r>
      <w:r>
        <w:rPr>
          <w:rFonts w:hint="eastAsia" w:ascii="宋体" w:hAnsi="宋体" w:eastAsia="宋体" w:cs="宋体"/>
          <w:spacing w:val="4"/>
          <w:szCs w:val="21"/>
          <w:lang w:val="zh-CN" w:bidi="zh-CN"/>
        </w:rPr>
        <w:t>如何分析社会主义性质的国有经济及改革方向</w:t>
      </w:r>
      <w:r>
        <w:rPr>
          <w:rFonts w:hint="eastAsia" w:ascii="宋体" w:hAnsi="宋体" w:eastAsia="宋体" w:cs="宋体"/>
          <w:spacing w:val="-5"/>
          <w:w w:val="80"/>
          <w:szCs w:val="21"/>
          <w:lang w:val="zh-CN" w:bidi="zh-CN"/>
        </w:rPr>
        <w:t>，</w:t>
      </w:r>
      <w:r>
        <w:rPr>
          <w:rFonts w:hint="eastAsia" w:ascii="宋体" w:hAnsi="宋体" w:eastAsia="宋体" w:cs="宋体"/>
          <w:spacing w:val="2"/>
          <w:szCs w:val="21"/>
          <w:lang w:val="zh-CN" w:bidi="zh-CN"/>
        </w:rPr>
        <w:t>一直存在不同的</w:t>
      </w:r>
      <w:r>
        <w:rPr>
          <w:rFonts w:hint="eastAsia" w:ascii="宋体" w:hAnsi="宋体" w:eastAsia="宋体" w:cs="宋体"/>
          <w:spacing w:val="21"/>
          <w:szCs w:val="21"/>
          <w:lang w:val="zh-CN" w:bidi="zh-CN"/>
        </w:rPr>
        <w:t>认识</w:t>
      </w:r>
      <w:r>
        <w:rPr>
          <w:rFonts w:hint="eastAsia" w:ascii="宋体" w:hAnsi="宋体" w:eastAsia="宋体" w:cs="宋体"/>
          <w:spacing w:val="17"/>
          <w:w w:val="80"/>
          <w:szCs w:val="21"/>
          <w:lang w:val="zh-CN" w:bidi="zh-CN"/>
        </w:rPr>
        <w:t>。</w:t>
      </w:r>
      <w:r>
        <w:rPr>
          <w:rFonts w:hint="eastAsia" w:ascii="宋体" w:hAnsi="宋体" w:eastAsia="宋体" w:cs="宋体"/>
          <w:spacing w:val="10"/>
          <w:szCs w:val="21"/>
          <w:lang w:val="zh-CN" w:bidi="zh-CN"/>
        </w:rPr>
        <w:t>有些论著宣称</w:t>
      </w:r>
      <w:r>
        <w:rPr>
          <w:rFonts w:hint="eastAsia" w:ascii="宋体" w:hAnsi="宋体" w:eastAsia="宋体" w:cs="宋体"/>
          <w:spacing w:val="-7"/>
          <w:w w:val="80"/>
          <w:szCs w:val="21"/>
          <w:lang w:val="zh-CN" w:bidi="zh-CN"/>
        </w:rPr>
        <w:t>，</w:t>
      </w:r>
      <w:r>
        <w:rPr>
          <w:rFonts w:hint="eastAsia" w:ascii="宋体" w:hAnsi="宋体" w:eastAsia="宋体" w:cs="宋体"/>
          <w:spacing w:val="11"/>
          <w:szCs w:val="21"/>
          <w:lang w:val="zh-CN" w:bidi="zh-CN"/>
        </w:rPr>
        <w:t>无论是中国还是外国</w:t>
      </w:r>
      <w:r>
        <w:rPr>
          <w:rFonts w:hint="eastAsia" w:ascii="宋体" w:hAnsi="宋体" w:eastAsia="宋体" w:cs="宋体"/>
          <w:spacing w:val="-6"/>
          <w:w w:val="80"/>
          <w:szCs w:val="21"/>
          <w:lang w:val="zh-CN" w:bidi="zh-CN"/>
        </w:rPr>
        <w:t>，</w:t>
      </w:r>
      <w:r>
        <w:rPr>
          <w:rFonts w:hint="eastAsia" w:ascii="宋体" w:hAnsi="宋体" w:eastAsia="宋体" w:cs="宋体"/>
          <w:spacing w:val="4"/>
          <w:szCs w:val="21"/>
          <w:lang w:val="zh-CN" w:bidi="zh-CN"/>
        </w:rPr>
        <w:t>国有企业</w:t>
      </w:r>
      <w:r>
        <w:rPr>
          <w:rFonts w:hint="eastAsia" w:ascii="宋体" w:hAnsi="宋体" w:eastAsia="宋体" w:cs="宋体"/>
          <w:spacing w:val="11"/>
          <w:szCs w:val="21"/>
          <w:lang w:val="zh-CN" w:bidi="zh-CN"/>
        </w:rPr>
        <w:t>的效率都低于私有企业</w:t>
      </w:r>
      <w:r>
        <w:rPr>
          <w:rFonts w:hint="eastAsia" w:ascii="宋体" w:hAnsi="宋体" w:eastAsia="宋体" w:cs="宋体"/>
          <w:spacing w:val="-11"/>
          <w:w w:val="80"/>
          <w:szCs w:val="21"/>
          <w:lang w:val="zh-CN" w:bidi="zh-CN"/>
        </w:rPr>
        <w:t>，</w:t>
      </w:r>
      <w:r>
        <w:rPr>
          <w:rFonts w:hint="eastAsia" w:ascii="宋体" w:hAnsi="宋体" w:eastAsia="宋体" w:cs="宋体"/>
          <w:spacing w:val="20"/>
          <w:szCs w:val="21"/>
          <w:lang w:val="zh-CN" w:bidi="zh-CN"/>
        </w:rPr>
        <w:t>因此</w:t>
      </w:r>
      <w:r>
        <w:rPr>
          <w:rFonts w:hint="eastAsia" w:ascii="宋体" w:hAnsi="宋体" w:eastAsia="宋体" w:cs="宋体"/>
          <w:spacing w:val="-4"/>
          <w:w w:val="80"/>
          <w:szCs w:val="21"/>
          <w:lang w:val="zh-CN" w:bidi="zh-CN"/>
        </w:rPr>
        <w:t>，</w:t>
      </w:r>
      <w:r>
        <w:rPr>
          <w:rFonts w:hint="eastAsia" w:ascii="宋体" w:hAnsi="宋体" w:eastAsia="宋体" w:cs="宋体"/>
          <w:spacing w:val="4"/>
          <w:szCs w:val="21"/>
          <w:lang w:val="zh-CN" w:bidi="zh-CN"/>
        </w:rPr>
        <w:t>国企改革的根本出路是</w:t>
      </w:r>
      <w:r>
        <w:rPr>
          <w:rFonts w:hint="eastAsia" w:ascii="宋体" w:hAnsi="宋体" w:eastAsia="宋体" w:cs="宋体"/>
          <w:spacing w:val="1"/>
          <w:szCs w:val="21"/>
          <w:lang w:val="zh-CN" w:bidi="zh-CN"/>
        </w:rPr>
        <w:t>“非国有化”或“民营化”。《江泽民文选》第3卷中的《巩固和加强社会主义的经济基础》一文对这个重大问题作</w:t>
      </w:r>
      <w:r>
        <w:rPr>
          <w:rFonts w:hint="eastAsia" w:ascii="宋体" w:hAnsi="宋体" w:eastAsia="宋体" w:cs="宋体"/>
          <w:szCs w:val="21"/>
          <w:lang w:val="zh-CN" w:bidi="zh-CN"/>
        </w:rPr>
        <w:t>了深刻精辟的论</w:t>
      </w:r>
      <w:r>
        <w:rPr>
          <w:rFonts w:hint="eastAsia" w:ascii="宋体" w:hAnsi="宋体" w:eastAsia="宋体" w:cs="宋体"/>
          <w:spacing w:val="1"/>
          <w:szCs w:val="21"/>
          <w:lang w:val="zh-CN" w:bidi="zh-CN"/>
        </w:rPr>
        <w:t>述，值得高度重视，并结合科学发展观和构建社会主义和谐社会去认真落实。</w:t>
      </w:r>
    </w:p>
    <w:p w14:paraId="442BFE5D">
      <w:pPr>
        <w:widowControl/>
        <w:snapToGrid w:val="0"/>
        <w:spacing w:before="147" w:beforeLines="50" w:after="147" w:afterLines="50" w:line="300" w:lineRule="auto"/>
        <w:ind w:firstLine="500" w:firstLineChars="200"/>
        <w:jc w:val="left"/>
        <w:rPr>
          <w:rFonts w:ascii="宋体" w:hAnsi="宋体" w:eastAsia="宋体" w:cs="Times New Roman"/>
          <w:b/>
          <w:bCs/>
          <w:sz w:val="24"/>
          <w:lang w:val="zh-CN"/>
        </w:rPr>
      </w:pPr>
      <w:r>
        <w:rPr>
          <w:rFonts w:hint="eastAsia" w:ascii="宋体" w:hAnsi="宋体" w:eastAsia="宋体" w:cs="Times New Roman"/>
          <w:b/>
          <w:bCs/>
          <w:sz w:val="24"/>
          <w:lang w:val="zh-CN"/>
        </w:rPr>
        <w:t>第一，要从既确保社会主义红色江山永不变色，又能把我国经济更快更好地搞上去这双重角度，来检视作为社会主义经济基础的国有经济改革和发展。</w:t>
      </w:r>
    </w:p>
    <w:p w14:paraId="41F9AD23">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中国的改革开放连同从20世纪50年代末开始的社会主义国家改革运动，是世界社会主义发展史和国际共产主义运动史上影响深远的历史性变革。这场改革运动，其初始的目的是想校正在社会主义发展阶段上判断的失误，革除社会主义各种体制上出现的弊端，从而达到完善和巩固社会主义基本制度，使社会主义的各种体制机制更加符合现实条件，使社会主义更好地发挥其优越性和活力。但到20世纪80年代末，这场改革运动发生了令人震惊的剧变，改革的方向上出现分道扬镳，一些国家的共产党瞬间解体垮台，社会制度以私有化为主内容的“休克疗法”方式急速向资本主义性质和类型的市场经济转变。</w:t>
      </w:r>
    </w:p>
    <w:p w14:paraId="549D0A42">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国际社会主义改革运动的这种复杂、深刻和令人震惊的情况，不能不使正处在改革过程中的中国人民及其领导人深思。江泽民同志作为新中国第三代党和国家的领导核心，以高度的历史责任感，从党和国家命运的高度，深入思考着这场复杂历史事变提出的严峻问题。他说:“我一直在思考一个问题，就是如何既能使得我们党永葆生机和活力，确保我们几千万烈士用生命和鲜血换来的红色江山永不变色，又能把我国经济更快更好地搞上去。”[1]江泽民同志这一思考是有深刻道理的。新中国成立以来不断发展壮大的国有经济，是我们社会主义国家政权的重要基础。我国国有经济的发展，不仅对保证国民经济稳定发展、增强综合国力、实现最广大人民的根本利益具有重大意义，而且对巩固和发展社会主义制度、加强全国各族人民的大团结、保证党和国家长治久安具有重大意义。没有以国有经济为核心的公有制经济，就没有社会主义的经济基础，也就没有我们共产党执政的强大的物质手段以及整个社会主义上层建筑。</w:t>
      </w:r>
    </w:p>
    <w:p w14:paraId="4502C7C2">
      <w:pPr>
        <w:widowControl/>
        <w:spacing w:line="300" w:lineRule="auto"/>
        <w:ind w:firstLine="444" w:firstLineChars="200"/>
        <w:jc w:val="left"/>
        <w:rPr>
          <w:rFonts w:ascii="宋体" w:hAnsi="宋体" w:eastAsia="宋体" w:cs="宋体"/>
          <w:spacing w:val="1"/>
          <w:szCs w:val="21"/>
          <w:lang w:val="zh-CN" w:bidi="zh-CN"/>
        </w:rPr>
      </w:pPr>
      <w:r>
        <w:rPr>
          <w:rFonts w:hint="eastAsia" w:ascii="宋体" w:hAnsi="宋体" w:eastAsia="宋体" w:cs="宋体"/>
          <w:spacing w:val="1"/>
          <w:szCs w:val="21"/>
          <w:lang w:val="zh-CN" w:bidi="zh-CN"/>
        </w:rPr>
        <w:t>江泽民同志提出巩固和加强社会主义的经济基础这个重大问题，是在改革的新形势下对历史唯物主义基本原理的阐发。他明确指出任何国家政权都是建立在一定的经济基础之上的，任何一个政权都必须掌握一定的经济和物质力量，进行政治统治和社会治理，都需要有与之相适应的经济基础来提供这种经济和物质力量，否则便不能存在和发生作用。这一与时俱进的马克思主义观点同那些轻视甚至否定有社会主义上层建筑的特有经济基础的“民营或民本社会主义”、“公正社会主义”观点是截然不同的。</w:t>
      </w:r>
    </w:p>
    <w:p w14:paraId="03FFE950">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简言之，坚持以公有制为主体、多种所有制经济共同发展的基本经济制度，是为了巩固初级阶段社会主义社会的经济基础，而作为共产党执政的整个社会主义性质的上层建筑的经济基础，只能是社会主义公有制经济。社会主义社会的经济基础同社会主义性质的经济基础具有宽窄不一的内涵(经济成分、经济制度、上层建筑等概念也同理)。这就是说，公有制为主体是具有决定意义的，因为它从根本上决定着整个社会制度的性质，决定着对非公有制经济的引导，决定着社会发展的方向。</w:t>
      </w:r>
    </w:p>
    <w:p w14:paraId="75C572AB">
      <w:pPr>
        <w:widowControl/>
        <w:snapToGrid w:val="0"/>
        <w:spacing w:before="147" w:beforeLines="50" w:after="147" w:afterLines="50" w:line="300" w:lineRule="auto"/>
        <w:ind w:firstLine="500" w:firstLineChars="200"/>
        <w:jc w:val="left"/>
        <w:rPr>
          <w:rFonts w:ascii="宋体" w:hAnsi="宋体" w:eastAsia="宋体" w:cs="Times New Roman"/>
          <w:b/>
          <w:bCs/>
          <w:sz w:val="24"/>
          <w:lang w:val="zh-CN"/>
        </w:rPr>
      </w:pPr>
      <w:r>
        <w:rPr>
          <w:rFonts w:hint="eastAsia" w:ascii="宋体" w:hAnsi="宋体" w:eastAsia="宋体" w:cs="Times New Roman"/>
          <w:b/>
          <w:bCs/>
          <w:sz w:val="24"/>
          <w:lang w:val="zh-CN"/>
        </w:rPr>
        <w:t>第二，要认清国有经济在不同性质的社会中具有不同的功能和运行方式。</w:t>
      </w:r>
    </w:p>
    <w:p w14:paraId="038DCE3A">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江泽民同志指出:“我们这么重视搞好国有企业，就是要保证国有经济控制国民经济命脉、对经济发展起主导作用，就是要不断巩固和加强我们党执政和我们社会主义国家政权的经济基础。”[2]社会主义公有制经济特别是其中的国有经济，是适应社会化大生产要求的生产资料占有方式，是从根本上解决经济的不断社会化与生产资料私人占有这一基本矛盾的产物。它代表着先进生产力的发展要求和方向。50多年来，特别是改革开放以来，国有经济始终是带动国民经济快速增长的主力军，始终是我国国民经济的支柱。在社会主义市场经济的发展中，它在税收、资产、就业、人才等多方面支援了非国有经济和国家财政，甚至为改革和发展作出了某种让利或牺牲。即使受到不少冲击和不公正待遇(如高税收等)，还有相当多的国有大中型企业至今仍是经济实力最强，技术装备先进，管理水平高，人才济济，效益递增的优质经济实体和能动经济主体。</w:t>
      </w:r>
    </w:p>
    <w:p w14:paraId="089AF2DD">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确认我国公有制经济的产生是符合社会化大生产要求的，是符合社会发展规律的，肯定传统计划经济条件下国有经济的曾经有过的巨大成效和历史作用，与要进行的经济体制改革并不矛盾。经济体制改革的历史性启动，正是基于对传统计划经济体制及公有制经济状况的发展同我国生产力发展和管理水平的某种程度的不适应有了新认识的结果。党的十五届四中全会专门就国有企业改革和发展作出了决定，表明了我们党搞好国有经济的坚定信念，指出了国有企业改革的正确方向。</w:t>
      </w:r>
    </w:p>
    <w:p w14:paraId="090C353E">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社会主义国有经济与资本主义国有经济在发展战略、经营方式、运行管理机制等方面有某些共同点，可以借鉴其某些成功经验为我所用，同时，坚持国有企业的社会主义市场经济改革方向，要注意区分社会主义国家的国有经济与资本主义国家的国有经济在性质、作用和运行机制上的区别。</w:t>
      </w:r>
    </w:p>
    <w:p w14:paraId="54A4196F">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其一，占主体的所有制性质和国家的性质根本不同，因而国家所有体现的生产关系也根本不同。社会主义国家是工人阶级领导的、工农联盟为基础的人民民主政权，社会主义国有经济是社会主义生产关系的现实载体，而资本主义国家的本质是为占主体的私有制经济和资产阶级服务的，因而是“总资本家”，其国有经济虽然具有相当部分的社会功能，但国有资本所有权和国有经济在本质上是属于资产阶级整体的。</w:t>
      </w:r>
    </w:p>
    <w:p w14:paraId="68758954">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其二，国有经济在国民经济中的地位和作用也不同。在资本主义国家，国有经济只在市场经济中起某些私有经济起不到的补充作用，在国民经济中处于辅体地位。在我国，国有经济是社会主义制度的主要经济基础，在国民经济中处于主导地位，发挥支柱作用和国民凝聚力的效应。国有经济作为社会主义市场经济的竞争性主体之一，作为社会主义生产关系的现实载体，其主导地位是应该牢固确立的。正如我国宪法第七条所规定的那样，“国有经济即社会主义全民所有制经济，是国民经济中的主导力量。国家保障国有经济的巩固与发展”。</w:t>
      </w:r>
    </w:p>
    <w:p w14:paraId="0C14C232">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其三，国有经济管理体制和机制也有些不同。在国家立法机构和行政机构与国有企业的关系方面，以及在国有资产管理组织及其内部的关系方面，在国有控股公司的内部结构和外部关系方面，在国有企业决策机制和管理层的激励与约束机制方面，在职工的权益保护等诸多方面，资本主义国家是多模式的，但与中国特色社会主义的国有资产管理体制和机制也是有同有异的，有些区别还涉及社会性质。</w:t>
      </w:r>
    </w:p>
    <w:p w14:paraId="700CDE85">
      <w:pPr>
        <w:widowControl/>
        <w:spacing w:before="147" w:beforeLines="50" w:after="147" w:afterLines="50" w:line="300" w:lineRule="auto"/>
        <w:ind w:firstLine="500" w:firstLineChars="200"/>
        <w:jc w:val="left"/>
        <w:rPr>
          <w:rFonts w:ascii="宋体" w:hAnsi="宋体" w:eastAsia="宋体" w:cs="Times New Roman"/>
          <w:b/>
          <w:bCs/>
          <w:sz w:val="24"/>
          <w:lang w:val="zh-CN"/>
        </w:rPr>
      </w:pPr>
      <w:r>
        <w:rPr>
          <w:rFonts w:hint="eastAsia" w:ascii="宋体" w:hAnsi="宋体" w:eastAsia="宋体" w:cs="Times New Roman"/>
          <w:b/>
          <w:bCs/>
          <w:sz w:val="24"/>
          <w:lang w:val="zh-CN"/>
        </w:rPr>
        <w:t>第三，要在改革中掌控一批影响国计民生的重要国有大中型企业。</w:t>
      </w:r>
    </w:p>
    <w:p w14:paraId="07ADB799">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针对国有经济进行战略重组、调整优化产业结构的新情况，江泽民同志在文章中十分明确地说:“影响国计民生的重要大中型企业，必须掌握在国家手中。影响当地经济社会发展的大中型企业，省区市也必须掌握一批。”[3]国有经济的战略布局调整必须有一个限度，正如他所强调的:“所谓比重减少一些，也应该有个限度、有个前提，就是不能影响公有制的主体地位和国有经济的主导作用。”[4]这就要从社会主义制度的经济基础的意义上来认识国有经济的地位、功能和规模问题，而不能简单按照西方市场经济国家国有经济的比重来确定我国国有经济的比重。</w:t>
      </w:r>
    </w:p>
    <w:p w14:paraId="4E49BD6C">
      <w:pPr>
        <w:widowControl/>
        <w:spacing w:line="300" w:lineRule="auto"/>
        <w:ind w:firstLine="440" w:firstLineChars="200"/>
        <w:rPr>
          <w:rFonts w:ascii="宋体" w:hAnsi="宋体" w:eastAsia="宋体" w:cs="宋体"/>
          <w:spacing w:val="1"/>
          <w:szCs w:val="21"/>
          <w:lang w:val="zh-CN" w:bidi="zh-CN"/>
        </w:rPr>
      </w:pPr>
      <w:r>
        <w:rPr>
          <w:rFonts w:hint="eastAsia"/>
        </w:rPr>
        <w:drawing>
          <wp:anchor distT="0" distB="0" distL="0" distR="0" simplePos="0" relativeHeight="251694080" behindDoc="0" locked="0" layoutInCell="1" allowOverlap="1">
            <wp:simplePos x="0" y="0"/>
            <wp:positionH relativeFrom="page">
              <wp:posOffset>5215890</wp:posOffset>
            </wp:positionH>
            <wp:positionV relativeFrom="paragraph">
              <wp:posOffset>710565</wp:posOffset>
            </wp:positionV>
            <wp:extent cx="1082040" cy="123190"/>
            <wp:effectExtent l="0" t="0" r="10160" b="3810"/>
            <wp:wrapNone/>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1082040" cy="123190"/>
                    </a:xfrm>
                    <a:prstGeom prst="rect">
                      <a:avLst/>
                    </a:prstGeom>
                    <a:noFill/>
                  </pic:spPr>
                </pic:pic>
              </a:graphicData>
            </a:graphic>
          </wp:anchor>
        </w:drawing>
      </w:r>
      <w:r>
        <w:rPr>
          <w:rFonts w:hint="eastAsia" w:ascii="宋体" w:hAnsi="宋体" w:eastAsia="宋体" w:cs="宋体"/>
          <w:spacing w:val="1"/>
          <w:szCs w:val="21"/>
          <w:lang w:val="zh-CN" w:bidi="zh-CN"/>
        </w:rPr>
        <w:t>社会主义国家的中央和省市区必须在改革中掌控一批国有大中型企业。国有经济需要保持控制地位的行业和领域，除了涉及国家安全的行业、自然垄断的行业、提供重要公共产品和服务的行业、支柱产业和高新技术产业中的重要骨干企业外，一般竞争性产业也不应该全面退出。国有企业可以适当收缩，主要应该在市场竞争中优胜劣汰地选择，而非行政性强令退出和人为扼杀，实行蛮横的“后娘主义”措施。在竞争性行业中，许多国有企业搞得很好或比较好，有的企业已经打入国际市场，其产品成为国际名牌，没有理由用行政手段强制它们退出竞争领域，让位于私营和外资企业。特别是一些高度竞争性的产业，如装备工业是工业的核心和基础，是综合国力的根基，一国装备工业的发达程度，是国家工业和科技水平的标志。如果我国工业的核心和关键部分被外资控制，国家将失去对工业发展和技术进步的主导权，我国经济独立和政治独立的基础将被侵蚀殆尽，中央关于增强自主创新能力、振兴装备制造业的方针将失去前提。</w:t>
      </w:r>
    </w:p>
    <w:p w14:paraId="28F0851C">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但是，在有的论著中，不但把我国的国有经济与资本主义国家的国有经济等量齐观，而且亦步亦趋地照抄照搬它们的做法，主张继续大幅度降低我国国有经济在国民经济总量中的比重，提出我国国有经济比重还应该从目前大体上占30</w:t>
      </w:r>
      <w:r>
        <w:rPr>
          <w:rFonts w:ascii="宋体" w:hAnsi="宋体" w:eastAsia="宋体" w:cs="宋体"/>
          <w:spacing w:val="1"/>
          <w:szCs w:val="21"/>
        </w:rPr>
        <w:drawing>
          <wp:inline distT="0" distB="0" distL="0" distR="0">
            <wp:extent cx="109855" cy="128905"/>
            <wp:effectExtent l="0" t="0" r="17145" b="2349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09855" cy="128905"/>
                    </a:xfrm>
                    <a:prstGeom prst="rect">
                      <a:avLst/>
                    </a:prstGeom>
                    <a:noFill/>
                    <a:ln>
                      <a:noFill/>
                    </a:ln>
                  </pic:spPr>
                </pic:pic>
              </a:graphicData>
            </a:graphic>
          </wp:inline>
        </w:drawing>
      </w:r>
      <w:r>
        <w:rPr>
          <w:rFonts w:hint="eastAsia" w:ascii="宋体" w:hAnsi="宋体" w:eastAsia="宋体" w:cs="宋体"/>
          <w:spacing w:val="1"/>
          <w:szCs w:val="21"/>
          <w:lang w:val="zh-CN" w:bidi="zh-CN"/>
        </w:rPr>
        <w:t>降低到20</w:t>
      </w:r>
      <w:r>
        <w:rPr>
          <w:rFonts w:ascii="宋体" w:hAnsi="宋体" w:eastAsia="宋体" w:cs="宋体"/>
          <w:spacing w:val="1"/>
          <w:szCs w:val="21"/>
        </w:rPr>
        <w:drawing>
          <wp:inline distT="0" distB="0" distL="0" distR="0">
            <wp:extent cx="109855" cy="128905"/>
            <wp:effectExtent l="0" t="0" r="17145" b="2349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09855" cy="128905"/>
                    </a:xfrm>
                    <a:prstGeom prst="rect">
                      <a:avLst/>
                    </a:prstGeom>
                    <a:noFill/>
                    <a:ln>
                      <a:noFill/>
                    </a:ln>
                  </pic:spPr>
                </pic:pic>
              </a:graphicData>
            </a:graphic>
          </wp:inline>
        </w:drawing>
      </w:r>
      <w:r>
        <w:rPr>
          <w:rFonts w:hint="eastAsia" w:ascii="宋体" w:hAnsi="宋体" w:eastAsia="宋体" w:cs="宋体"/>
          <w:spacing w:val="1"/>
          <w:szCs w:val="21"/>
          <w:lang w:val="zh-CN" w:bidi="zh-CN"/>
        </w:rPr>
        <w:t>或更低。且不说有些发达资本主义国家国有经济的比重明显超过10</w:t>
      </w:r>
      <w:r>
        <w:rPr>
          <w:rFonts w:ascii="宋体" w:hAnsi="宋体" w:eastAsia="宋体" w:cs="宋体"/>
          <w:spacing w:val="1"/>
          <w:szCs w:val="21"/>
        </w:rPr>
        <w:drawing>
          <wp:inline distT="0" distB="0" distL="0" distR="0">
            <wp:extent cx="109855" cy="128905"/>
            <wp:effectExtent l="0" t="0" r="17145" b="23495"/>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09855" cy="128905"/>
                    </a:xfrm>
                    <a:prstGeom prst="rect">
                      <a:avLst/>
                    </a:prstGeom>
                    <a:noFill/>
                    <a:ln>
                      <a:noFill/>
                    </a:ln>
                  </pic:spPr>
                </pic:pic>
              </a:graphicData>
            </a:graphic>
          </wp:inline>
        </w:drawing>
      </w:r>
      <w:r>
        <w:rPr>
          <w:rFonts w:hint="eastAsia" w:ascii="宋体" w:hAnsi="宋体" w:eastAsia="宋体" w:cs="宋体"/>
          <w:spacing w:val="1"/>
          <w:szCs w:val="21"/>
          <w:lang w:val="zh-CN" w:bidi="zh-CN"/>
        </w:rPr>
        <w:t>，就说它们是10</w:t>
      </w:r>
      <w:r>
        <w:rPr>
          <w:rFonts w:ascii="宋体" w:hAnsi="宋体" w:eastAsia="宋体" w:cs="宋体"/>
          <w:spacing w:val="1"/>
          <w:szCs w:val="21"/>
        </w:rPr>
        <w:drawing>
          <wp:inline distT="0" distB="0" distL="0" distR="0">
            <wp:extent cx="109855" cy="128905"/>
            <wp:effectExtent l="0" t="0" r="17145" b="23495"/>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09855" cy="128905"/>
                    </a:xfrm>
                    <a:prstGeom prst="rect">
                      <a:avLst/>
                    </a:prstGeom>
                    <a:noFill/>
                    <a:ln>
                      <a:noFill/>
                    </a:ln>
                  </pic:spPr>
                </pic:pic>
              </a:graphicData>
            </a:graphic>
          </wp:inline>
        </w:drawing>
      </w:r>
      <w:r>
        <w:rPr>
          <w:rFonts w:hint="eastAsia" w:ascii="宋体" w:hAnsi="宋体" w:eastAsia="宋体" w:cs="宋体"/>
          <w:spacing w:val="1"/>
          <w:szCs w:val="21"/>
          <w:lang w:val="zh-CN" w:bidi="zh-CN"/>
        </w:rPr>
        <w:t>，为什么我们只能是20</w:t>
      </w:r>
      <w:r>
        <w:rPr>
          <w:rFonts w:ascii="宋体" w:hAnsi="宋体" w:eastAsia="宋体" w:cs="宋体"/>
          <w:spacing w:val="1"/>
          <w:szCs w:val="21"/>
        </w:rPr>
        <w:drawing>
          <wp:inline distT="0" distB="0" distL="0" distR="0">
            <wp:extent cx="109855" cy="128905"/>
            <wp:effectExtent l="0" t="0" r="17145" b="2349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109855" cy="128905"/>
                    </a:xfrm>
                    <a:prstGeom prst="rect">
                      <a:avLst/>
                    </a:prstGeom>
                    <a:noFill/>
                    <a:ln>
                      <a:noFill/>
                    </a:ln>
                  </pic:spPr>
                </pic:pic>
              </a:graphicData>
            </a:graphic>
          </wp:inline>
        </w:drawing>
      </w:r>
      <w:r>
        <w:rPr>
          <w:rFonts w:hint="eastAsia" w:ascii="宋体" w:hAnsi="宋体" w:eastAsia="宋体" w:cs="宋体"/>
          <w:spacing w:val="1"/>
          <w:szCs w:val="21"/>
          <w:lang w:val="zh-CN" w:bidi="zh-CN"/>
        </w:rPr>
        <w:t>?没有根据我国国情进行认真的论证，没有看到有说服力的经济学理由，只是简单地把资本主义国家作为样板进行类比，完全没有看到我国的国有经济与资本主义国家的国有经济在性质和功能上的差别。其理由是，西方资本主义国家是发达的市场经济国家，我们是刚刚要发展市场经济的国家，我们国有经济的比重怎么能超过发达市场经济国家呢?这就完全混淆了社会主义国家的国有经济与资本主义国家的国有经济的根本区别，只看到都是市场经济的共同的一面，完全否定了基本生产关系和基本社会制度不同的一面。</w:t>
      </w:r>
    </w:p>
    <w:p w14:paraId="0BDBC1F1">
      <w:pPr>
        <w:widowControl/>
        <w:spacing w:before="147" w:beforeLines="50" w:after="147" w:afterLines="50" w:line="300" w:lineRule="auto"/>
        <w:ind w:firstLine="500" w:firstLineChars="200"/>
        <w:jc w:val="left"/>
        <w:rPr>
          <w:rFonts w:ascii="宋体" w:hAnsi="宋体" w:eastAsia="宋体" w:cs="Times New Roman"/>
          <w:b/>
          <w:bCs/>
          <w:sz w:val="24"/>
          <w:lang w:val="zh-CN"/>
        </w:rPr>
      </w:pPr>
      <w:r>
        <w:rPr>
          <w:rFonts w:hint="eastAsia" w:ascii="宋体" w:hAnsi="宋体" w:eastAsia="宋体" w:cs="Times New Roman"/>
          <w:b/>
          <w:bCs/>
          <w:sz w:val="24"/>
          <w:lang w:val="zh-CN"/>
        </w:rPr>
        <w:t>第四，要通过深化改革来增强国有企业的活力。</w:t>
      </w:r>
    </w:p>
    <w:p w14:paraId="6D5C049B">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江泽民同志指出:“关键是要坚持建立现代企业制度的方向，深化改革，转换机制，增强国有企业的活力。”[5]我国国有企业的特定社会属性，决定了它也应该成为市场经济微观活动主体的主力军和领航舰。这样，如何把国有企业塑造成真正的市场经济活动主体，就成为改革中的一项重要任务。目前我国体制改革处于关键阶段，党的十六届三中全会明确提出，要使股份制成为公有制的主要实现形式。如何通过股份制实现公有制经济的市场化转型就成为一个重大而紧迫的理论和实践课题。在国有企业体制改革方面坚持社会主义市场经济的改革方向，就是在坚持公有制的性质和主导作用的前提下，进行国有企业的组织形式、体制机制和资本运营的变革。计划经济条件下的国有企业不适应市场经济的要求，并不意味着国有企业天然和永远不能适应市场经济运行的条件和要求。可以通过国有企业体制改革来探索国有企业适应市场经济要求的实现形式和运行机制。国有企业进行适应市场经济要求的体制改革，不应是否定国有经济和否定公有制的主体地位，而是要切实塑造好符合市场经济要求的新的实现形式。必须明确，所谓“国有企业改制”，是改的体制和机制，包括产权结构的调整和重构，而不是改变所有制的根本性质，去行政性推行私有化或民营化。</w:t>
      </w:r>
    </w:p>
    <w:p w14:paraId="3E073DF8">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坚持社会主义市场经济的改革方向，就是要在承认股份制是一种资本构造和企业组织形式的基础上，努力实现公有制经济与股份制的高效结合。不应把建立现代企业制度变成照搬照抄西方资本主义股份制企业的私有资本结构。如果混淆公有股份经济与私有股份经济的区别，或者提出股份制都是公有制，而且都是所谓“新公有制”，便会混淆现代企业制度的不同生产关系基础，变相取消把公有制与股份制结合起来的重大理论创新与实践探索的任务，放弃创建社会主义新型公有股份制经济的努力，甚至把苏东国家通过私有股份化的整套“改向”做法美化为社会主义性质的市场化改革，这是以江泽民同志为核心的第三代中央领导集体所一贯反对的。2000年8月12日，江泽民同志在为准备十五届四中全会而召开的东北和华北地区国有企业改革和发展座谈会上强调:我们要积极开拓，勇于进取，但决不搞私有化。这是一条大原则，决不能有丝毫动摇。党的“十六大”又明确地提出了“两个毫不动摇”。</w:t>
      </w:r>
    </w:p>
    <w:p w14:paraId="20C48541">
      <w:pPr>
        <w:widowControl/>
        <w:spacing w:line="300" w:lineRule="auto"/>
        <w:ind w:firstLine="444" w:firstLineChars="200"/>
        <w:rPr>
          <w:rFonts w:ascii="宋体" w:hAnsi="宋体" w:eastAsia="宋体" w:cs="宋体"/>
          <w:spacing w:val="1"/>
          <w:szCs w:val="21"/>
          <w:lang w:val="zh-CN" w:bidi="zh-CN"/>
        </w:rPr>
      </w:pPr>
      <w:r>
        <w:rPr>
          <w:rFonts w:hint="eastAsia" w:ascii="宋体" w:hAnsi="宋体" w:eastAsia="宋体" w:cs="宋体"/>
          <w:spacing w:val="1"/>
          <w:szCs w:val="21"/>
          <w:lang w:val="zh-CN" w:bidi="zh-CN"/>
        </w:rPr>
        <w:t>综上所述，江泽民同志从巩固社会主义的经济基础，实现最广大人民的根本利益，以及巩固工人阶级和广大人民群众的政权，也就是巩固共产党的执政地位这个极其重要的原则的高度，一直强调要把国有企业和国有经济搞好，强调社会主义公有制的主体地位绝不能动摇，否则我们党的执政地位和我们社会主义的国家政权就很难巩固和加强。这不仅是一个重大的经济问题，而且是一个重大的政治问题。当前，我们必须在科学发展观的统领下，充分认识国有企业改革的必要性、艰巨性和复杂性，敢于攻坚，锐意进取，同时注重提高改革的科学性，增强改革措施的协调性，坚持社会主义市场经济改革方向，继续推进国有企业改革，发展和壮大国有经济，扭转国有经济控制力相对下降的局面，促进整个国民经济又快又好地向前发展，推动改革的成果由人民共享的和谐发展目标的实现。</w:t>
      </w:r>
    </w:p>
    <w:p w14:paraId="406060F7">
      <w:pPr>
        <w:widowControl/>
        <w:spacing w:line="300" w:lineRule="auto"/>
        <w:ind w:firstLine="444" w:firstLineChars="200"/>
        <w:rPr>
          <w:rFonts w:ascii="宋体" w:hAnsi="宋体" w:eastAsia="宋体" w:cs="宋体"/>
          <w:spacing w:val="1"/>
          <w:szCs w:val="21"/>
          <w:lang w:val="zh-CN" w:bidi="zh-CN"/>
        </w:rPr>
      </w:pPr>
    </w:p>
    <w:p w14:paraId="267A4C79">
      <w:pPr>
        <w:widowControl/>
        <w:spacing w:line="300" w:lineRule="auto"/>
        <w:ind w:firstLine="444" w:firstLineChars="200"/>
        <w:rPr>
          <w:rFonts w:ascii="宋体" w:hAnsi="宋体" w:eastAsia="宋体" w:cs="宋体"/>
          <w:b/>
          <w:spacing w:val="1"/>
          <w:szCs w:val="21"/>
          <w:lang w:val="zh-CN" w:bidi="zh-CN"/>
        </w:rPr>
      </w:pPr>
      <w:r>
        <w:rPr>
          <w:rFonts w:hint="eastAsia" w:ascii="宋体" w:hAnsi="宋体" w:eastAsia="宋体" w:cs="宋体"/>
          <w:b/>
          <w:spacing w:val="1"/>
          <w:szCs w:val="21"/>
          <w:lang w:val="zh-CN" w:bidi="zh-CN"/>
        </w:rPr>
        <w:t>参考文献</w:t>
      </w:r>
    </w:p>
    <w:p w14:paraId="3A3D7028">
      <w:pPr>
        <w:widowControl/>
        <w:tabs>
          <w:tab w:val="left" w:pos="312"/>
        </w:tabs>
        <w:spacing w:line="300" w:lineRule="auto"/>
        <w:ind w:firstLine="384" w:firstLineChars="200"/>
        <w:jc w:val="left"/>
        <w:rPr>
          <w:rFonts w:ascii="宋体" w:hAnsi="宋体" w:eastAsia="宋体" w:cs="宋体"/>
          <w:spacing w:val="1"/>
          <w:sz w:val="18"/>
          <w:szCs w:val="18"/>
          <w:lang w:val="zh-CN" w:bidi="zh-CN"/>
        </w:rPr>
      </w:pPr>
      <w:r>
        <w:rPr>
          <w:rFonts w:hint="eastAsia" w:ascii="宋体" w:hAnsi="宋体" w:eastAsia="宋体" w:cs="宋体"/>
          <w:spacing w:val="1"/>
          <w:sz w:val="18"/>
          <w:szCs w:val="18"/>
          <w:lang w:val="zh-CN" w:bidi="zh-CN"/>
        </w:rPr>
        <w:t>[2][3][4][5]江泽民文选(第3卷)[M].北京:人民出版社，2006.72、71、72、72、72.</w:t>
      </w:r>
    </w:p>
    <w:p w14:paraId="017B2D4B">
      <w:pPr>
        <w:widowControl/>
        <w:spacing w:line="300" w:lineRule="auto"/>
        <w:ind w:firstLine="444" w:firstLineChars="200"/>
        <w:jc w:val="left"/>
        <w:rPr>
          <w:rFonts w:ascii="宋体" w:hAnsi="宋体" w:eastAsia="宋体" w:cs="宋体"/>
          <w:spacing w:val="1"/>
          <w:szCs w:val="21"/>
          <w:lang w:val="zh-CN" w:bidi="zh-CN"/>
        </w:rPr>
      </w:pPr>
    </w:p>
    <w:p w14:paraId="672DDA94">
      <w:pPr>
        <w:widowControl/>
        <w:spacing w:line="300" w:lineRule="auto"/>
        <w:ind w:firstLine="440" w:firstLineChars="200"/>
        <w:jc w:val="left"/>
        <w:rPr>
          <w:rFonts w:ascii="宋体" w:hAnsi="宋体" w:eastAsia="宋体" w:cs="宋体"/>
          <w:kern w:val="0"/>
          <w:szCs w:val="21"/>
          <w:lang w:bidi="ar"/>
        </w:rPr>
      </w:pPr>
      <w:r>
        <w:rPr>
          <w:rFonts w:hint="eastAsia" w:ascii="宋体" w:hAnsi="宋体" w:eastAsia="宋体" w:cs="宋体"/>
          <w:szCs w:val="21"/>
        </w:rPr>
        <w:t>（原载于《学习论坛》2007年第1期》）</w:t>
      </w:r>
    </w:p>
    <w:p w14:paraId="648E0CA1">
      <w:pPr>
        <w:spacing w:line="300" w:lineRule="auto"/>
        <w:ind w:firstLine="440" w:firstLineChars="200"/>
        <w:jc w:val="center"/>
        <w:rPr>
          <w:rFonts w:ascii="宋体" w:hAnsi="宋体" w:eastAsia="宋体" w:cs="宋体"/>
          <w:kern w:val="0"/>
          <w:szCs w:val="21"/>
          <w:lang w:bidi="ar"/>
        </w:rPr>
      </w:pPr>
    </w:p>
    <w:p w14:paraId="2230126A">
      <w:pPr>
        <w:bidi w:val="0"/>
      </w:pPr>
      <w:r>
        <w:br w:type="page"/>
      </w:r>
    </w:p>
    <w:p w14:paraId="7A137289">
      <w:pPr>
        <w:keepNext/>
        <w:keepLines/>
        <w:widowControl/>
        <w:adjustRightInd w:val="0"/>
        <w:snapToGrid w:val="0"/>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784" w:name="_Toc866"/>
      <w:bookmarkStart w:id="785" w:name="_Toc111193685"/>
      <w:bookmarkStart w:id="786" w:name="_Toc231851604"/>
      <w:bookmarkStart w:id="787" w:name="_Toc1545804091"/>
      <w:r>
        <w:rPr>
          <w:rFonts w:hint="eastAsia" w:ascii="黑体" w:hAnsi="黑体" w:eastAsia="黑体" w:cs="Times New Roman"/>
          <w:kern w:val="0"/>
          <w:sz w:val="32"/>
          <w:szCs w:val="32"/>
        </w:rPr>
        <w:t>2</w:t>
      </w:r>
      <w:r>
        <w:rPr>
          <w:rFonts w:ascii="黑体" w:hAnsi="黑体" w:eastAsia="黑体" w:cs="Times New Roman"/>
          <w:kern w:val="0"/>
          <w:sz w:val="32"/>
          <w:szCs w:val="32"/>
        </w:rPr>
        <w:t>4</w:t>
      </w:r>
      <w:r>
        <w:rPr>
          <w:rFonts w:hint="eastAsia" w:ascii="黑体" w:hAnsi="黑体" w:eastAsia="黑体" w:cs="Times New Roman"/>
          <w:kern w:val="0"/>
          <w:sz w:val="32"/>
          <w:szCs w:val="32"/>
        </w:rPr>
        <w:t>要深入研究中国特色社会主义的特征和内涵</w:t>
      </w:r>
      <w:bookmarkEnd w:id="784"/>
      <w:bookmarkEnd w:id="785"/>
      <w:bookmarkEnd w:id="786"/>
      <w:bookmarkEnd w:id="787"/>
    </w:p>
    <w:p w14:paraId="4C7C116A">
      <w:pPr>
        <w:spacing w:line="300" w:lineRule="auto"/>
        <w:ind w:firstLine="440" w:firstLineChars="200"/>
        <w:rPr>
          <w:rFonts w:ascii="宋体" w:hAnsi="宋体" w:eastAsia="宋体" w:cs="宋体"/>
          <w:szCs w:val="21"/>
        </w:rPr>
      </w:pPr>
      <w:r>
        <w:rPr>
          <w:rFonts w:hint="eastAsia" w:ascii="宋体" w:hAnsi="宋体" w:eastAsia="宋体" w:cs="宋体"/>
          <w:szCs w:val="21"/>
        </w:rPr>
        <w:t>党的十七大报告指出，改革开放以来我们取得一切成绩和进步的根本原因，归结起来就是：开辟了中国特色社会主义道路，形成了中国特色社会主义理论体系。当前，我们最根本的就是要坚持这条道路和这个理论体系，就是要充分认识高举中国特色社会主义伟大旗帜的意义，并深刻把握中国特色社会主义的基本内涵及与民主社会主义的本质区别。</w:t>
      </w:r>
    </w:p>
    <w:p w14:paraId="5F0E0F15">
      <w:pPr>
        <w:spacing w:before="147" w:beforeLines="50" w:after="147" w:afterLines="50" w:line="300" w:lineRule="auto"/>
        <w:ind w:firstLine="500" w:firstLineChars="200"/>
        <w:jc w:val="center"/>
        <w:rPr>
          <w:rFonts w:ascii="宋体" w:hAnsi="宋体" w:eastAsia="宋体" w:cs="Times New Roman"/>
          <w:b/>
          <w:bCs/>
          <w:sz w:val="24"/>
        </w:rPr>
      </w:pPr>
      <w:bookmarkStart w:id="788" w:name="_Toc26794"/>
      <w:bookmarkStart w:id="789" w:name="_Toc28127"/>
      <w:bookmarkStart w:id="790" w:name="_Toc22872"/>
      <w:bookmarkStart w:id="791" w:name="_Toc8851"/>
      <w:r>
        <w:rPr>
          <w:rFonts w:hint="eastAsia" w:ascii="宋体" w:hAnsi="宋体" w:eastAsia="宋体" w:cs="Times New Roman"/>
          <w:b/>
          <w:bCs/>
          <w:sz w:val="24"/>
        </w:rPr>
        <w:t>一、高举中国特色社会主义旗帜的重大意义</w:t>
      </w:r>
      <w:bookmarkEnd w:id="788"/>
      <w:bookmarkEnd w:id="789"/>
      <w:bookmarkEnd w:id="790"/>
      <w:bookmarkEnd w:id="791"/>
    </w:p>
    <w:p w14:paraId="4917333B">
      <w:pPr>
        <w:spacing w:line="300" w:lineRule="auto"/>
        <w:ind w:firstLine="440" w:firstLineChars="200"/>
        <w:rPr>
          <w:rFonts w:ascii="宋体" w:hAnsi="宋体" w:eastAsia="宋体" w:cs="宋体"/>
          <w:szCs w:val="21"/>
        </w:rPr>
      </w:pPr>
      <w:r>
        <w:rPr>
          <w:rFonts w:hint="eastAsia" w:ascii="宋体" w:hAnsi="宋体" w:eastAsia="宋体" w:cs="宋体"/>
          <w:szCs w:val="21"/>
        </w:rPr>
        <w:t>在举国关注、举世瞩目的中国共产党第十七次全国代表大会上，胡锦涛总书记代表十六届中央委员会作的报告，全面把握了我国发展所处的历史方位，科学描绘出我国改革开放和社会主义现代化建设的发展前景，是中国共产党面向世界、面向未来的政治宣言，是引领全国各族人民继续为实现全面建设小康社会目标而团结奋斗的行动纲领。这个报告最突出的特点，就是鲜明地高举中国特色社会主义的伟大旗帜，对党内外、国内外关于我们党今后举什么旗、走什么路这一普遍关注的重大问题作出集中而鲜明的回答。</w:t>
      </w:r>
    </w:p>
    <w:p w14:paraId="34697E60">
      <w:pPr>
        <w:spacing w:line="300" w:lineRule="auto"/>
        <w:ind w:firstLine="440" w:firstLineChars="200"/>
        <w:rPr>
          <w:rFonts w:ascii="宋体" w:hAnsi="宋体" w:eastAsia="宋体" w:cs="宋体"/>
          <w:szCs w:val="21"/>
        </w:rPr>
      </w:pPr>
      <w:r>
        <w:rPr>
          <w:rFonts w:hint="eastAsia" w:ascii="宋体" w:hAnsi="宋体" w:eastAsia="宋体" w:cs="宋体"/>
          <w:szCs w:val="21"/>
        </w:rPr>
        <w:t>虽然探索中国自己的社会主义发展道路，是新中国成立以来党领导人民进行的不懈追求，虽然邓小平在我国进入改革开放新时期就把建设中国特色社会主义作为基本结论明确提出，虽然党的十二大以来的历届全国代表大会都贯彻着中国特色社会主义这一基本主题和基本目标，但党的十七大第一次在党的全国代表大会的报告中强调中国特色社会主义是我们的旗帜，仍然意义重大而深远。</w:t>
      </w:r>
    </w:p>
    <w:p w14:paraId="481D47AE">
      <w:pPr>
        <w:spacing w:line="300" w:lineRule="auto"/>
        <w:ind w:firstLine="440" w:firstLineChars="200"/>
        <w:rPr>
          <w:rFonts w:ascii="宋体" w:hAnsi="宋体" w:eastAsia="宋体" w:cs="宋体"/>
          <w:szCs w:val="21"/>
        </w:rPr>
      </w:pPr>
      <w:r>
        <w:rPr>
          <w:rFonts w:hint="eastAsia" w:ascii="宋体" w:hAnsi="宋体" w:eastAsia="宋体" w:cs="宋体"/>
          <w:szCs w:val="21"/>
        </w:rPr>
        <w:t>旗帜就是指导方针，它表明我们以当代中国发展着的马克思主义指导新的实践；旗帜就是理想和信念，它表明中国特色社会主义已成为全民族的共同理想和信念，成为最大限度地凝聚人心、团结全国各族人民共同奋斗的精神力量；旗帜就是方向和道路，它显示了我们坚定地走自己创造的社会主义现代化道路的决心，它表明我们明确了能够给代表中国广大人民的根本利益并带来福祉的中华民族复兴之路，停滞和倒退是没有出路的，走新自由主义或民主社会主义的资本主义道路，更是邪路一条，而只有建设中国特色的社会主义，才能使人民富裕幸福，国家兴旺发达。可见，中国特色社会主义是当代中国发展进步的旗帜，是全党、全国各族人民团结奋斗的旗帜。</w:t>
      </w:r>
    </w:p>
    <w:p w14:paraId="70F7FBB7">
      <w:pPr>
        <w:spacing w:line="300" w:lineRule="auto"/>
        <w:ind w:firstLine="440" w:firstLineChars="200"/>
        <w:rPr>
          <w:rFonts w:ascii="宋体" w:hAnsi="宋体" w:eastAsia="宋体" w:cs="宋体"/>
          <w:szCs w:val="21"/>
        </w:rPr>
      </w:pPr>
      <w:r>
        <w:rPr>
          <w:rFonts w:hint="eastAsia" w:ascii="宋体" w:hAnsi="宋体" w:eastAsia="宋体" w:cs="宋体"/>
          <w:szCs w:val="21"/>
        </w:rPr>
        <w:t>中国特色社会主义能够成为当代中国发展进步和全党、全国各族人民团结奋斗的旗帜，首先在于它坚持了科学社会主义的基本原则。科学社会主义作为人类文明进步的旗帜，是其创始人运用历史唯物主义的科学方法，揭示了社会发展进步的一般规律和人类追求的共同理想，社会主义是人类社会发展的基本趋势和共同方向。科学社会主义创始人虽然揭示了社会主义最终必然代替资本主义的历史基本趋势，但并没有先验地描绘未来新社会的具体细节，只是揭示了未来新社会的一般本质和一般特征，他们反对把科学社会主义变为“一般历史哲学理论”的万能的钥匙，并且把社会主义看作是一个充满运动、经常变化的历史有机体。因此，中国特色社会主义，在本质上就是科学社会主义的一种现实形态。其次，中国特色社会主义能够成为当代中国发展进步的旗帜，还在于它是扎根于中国现实的有生命力有活力的社会主义。现实中的社会主义是依据人类发展的一般规律，在特定历史条件下的创造性实践过程。科学社会主义要从理论转变为现实，必须与每个国家的社会实际相结合，并依据时代特征赋予其民族和时代特色。</w:t>
      </w:r>
    </w:p>
    <w:p w14:paraId="3FDC0B7A">
      <w:pPr>
        <w:spacing w:line="300" w:lineRule="auto"/>
        <w:ind w:firstLine="440" w:firstLineChars="200"/>
        <w:rPr>
          <w:rFonts w:ascii="宋体" w:hAnsi="宋体" w:eastAsia="宋体" w:cs="宋体"/>
          <w:szCs w:val="21"/>
        </w:rPr>
      </w:pPr>
      <w:r>
        <w:rPr>
          <w:rFonts w:hint="eastAsia" w:ascii="宋体" w:hAnsi="宋体" w:eastAsia="宋体" w:cs="宋体"/>
          <w:szCs w:val="21"/>
        </w:rPr>
        <w:t>历史和现实一再表明，中国特色社会主义道路是当代中国发展进步的唯一正确的道路，实现国家富强、民族振兴、人民幸福的唯一正确的道路。只有社会主义才能救中国，是历史的结论；只有中国特色社会主义才能发展中国，是现实和时代的要求。中国特色社会主义，是中国共产党和中国人民在特定的世界历史环境和中国历史条件下的伟大创造，既是历史的逻辑，时代的要求，也是历史的选择、人民的选择，是我们夺取全面建设小康社会新胜利、推进社会主义现代化、实现中华民族伟大复兴的必由之路。</w:t>
      </w:r>
    </w:p>
    <w:p w14:paraId="63D27C6B">
      <w:pPr>
        <w:spacing w:line="300" w:lineRule="auto"/>
        <w:ind w:firstLine="440" w:firstLineChars="200"/>
        <w:rPr>
          <w:rFonts w:ascii="宋体" w:hAnsi="宋体" w:eastAsia="宋体" w:cs="宋体"/>
          <w:szCs w:val="21"/>
        </w:rPr>
      </w:pPr>
      <w:r>
        <w:rPr>
          <w:rFonts w:hint="eastAsia" w:ascii="宋体" w:hAnsi="宋体" w:eastAsia="宋体" w:cs="宋体"/>
          <w:szCs w:val="21"/>
        </w:rPr>
        <w:t>十七大报告提到“世情、国情、党情”，我们认为这“三情”很关键，应当以“世情为鉴、国情为据、党情为要”。世情为鉴，是讲我们要以其他国家和地区的发展经验教训为借鉴；国情为据，是讲我们要以我国社会主义初级阶段的具体国情为依据；党情为要，是讲我们要以中国共产党的实际党情为要领。十六大以来，以胡锦涛同志为总书记的党中央把对中国特色社会主义事业总体布局的认识，从三位一体扩展为四位一体即经济建设、政治建设、文化建设和社会建设，并加强党的建设和国防建设。这是对中国特色社会主义的丰富和发展。以胡锦涛同志为总书记的党中央提出科学发展观和构建社会主义和谐社会等一系列重大战略思想，是马克思主义中国化的最新成果，是中国特色社会主义的重要组成部分。事实上，无论是坚持和发展中国特色社会主义，还是提出和深入贯彻落实科学发展观，都是立足社会主义初级阶段基本国情，总结我国发展实践，借鉴国外发展经验，适应世情、国情和党情新的发展要求提出来的，并顺应了党心和民心。</w:t>
      </w:r>
    </w:p>
    <w:p w14:paraId="33F66C62">
      <w:pPr>
        <w:spacing w:before="147" w:beforeLines="50" w:after="147" w:afterLines="50" w:line="300" w:lineRule="auto"/>
        <w:ind w:firstLine="500" w:firstLineChars="200"/>
        <w:jc w:val="center"/>
        <w:rPr>
          <w:rFonts w:ascii="宋体" w:hAnsi="宋体" w:eastAsia="宋体" w:cs="Times New Roman"/>
          <w:b/>
          <w:bCs/>
          <w:sz w:val="24"/>
        </w:rPr>
      </w:pPr>
      <w:bookmarkStart w:id="792" w:name="_Toc10181"/>
      <w:bookmarkStart w:id="793" w:name="_Toc19152"/>
      <w:bookmarkStart w:id="794" w:name="_Toc3328"/>
      <w:bookmarkStart w:id="795" w:name="_Toc23707"/>
      <w:bookmarkStart w:id="796" w:name="_Toc7909"/>
      <w:r>
        <w:rPr>
          <w:rFonts w:hint="eastAsia" w:ascii="宋体" w:hAnsi="宋体" w:eastAsia="宋体" w:cs="Times New Roman"/>
          <w:b/>
          <w:bCs/>
          <w:sz w:val="24"/>
        </w:rPr>
        <w:t>二、中国特色社会主义的基本特征和内涵</w:t>
      </w:r>
      <w:bookmarkEnd w:id="792"/>
      <w:bookmarkEnd w:id="793"/>
      <w:bookmarkEnd w:id="794"/>
      <w:bookmarkEnd w:id="795"/>
      <w:bookmarkEnd w:id="796"/>
    </w:p>
    <w:p w14:paraId="193DBCCE">
      <w:pPr>
        <w:spacing w:line="300" w:lineRule="auto"/>
        <w:ind w:firstLine="440" w:firstLineChars="200"/>
        <w:rPr>
          <w:rFonts w:ascii="宋体" w:hAnsi="宋体" w:eastAsia="宋体" w:cs="宋体"/>
          <w:szCs w:val="21"/>
        </w:rPr>
      </w:pPr>
      <w:r>
        <w:rPr>
          <w:rFonts w:hint="eastAsia" w:ascii="宋体" w:hAnsi="宋体" w:eastAsia="宋体" w:cs="宋体"/>
          <w:szCs w:val="21"/>
        </w:rPr>
        <w:t>中国特色社会主义是改革开放以来历次党代会的“同一首歌”。邓小平在党的十二大开幕词中第一次明确提出了“建设有中国特色的社会主义”这一科学命题；党的十三大报告讲的是“沿着有中国特色的社会主义道路前进”；十四大报告是“加快改革开放和现代化建设步伐，夺取有中国特色社会主义事业的更大胜利”；十五大报告是“高举邓小平理论伟大旗帜，把建设有中国特色社会主义事业全面推向21世纪”；十六大报告是“全面建设小康社会，开创中国特色社会主义事业新局面”；十七大主题的核心是“高举中国特色社会主义伟大旗帜，为夺取全面建设小康社会新胜利而奋斗”。</w:t>
      </w:r>
    </w:p>
    <w:p w14:paraId="38049BA0">
      <w:pPr>
        <w:spacing w:line="300" w:lineRule="auto"/>
        <w:ind w:firstLine="440" w:firstLineChars="200"/>
        <w:rPr>
          <w:rFonts w:ascii="宋体" w:hAnsi="宋体" w:eastAsia="宋体" w:cs="宋体"/>
          <w:szCs w:val="21"/>
        </w:rPr>
      </w:pPr>
      <w:r>
        <w:rPr>
          <w:rFonts w:hint="eastAsia" w:ascii="宋体" w:hAnsi="宋体" w:eastAsia="宋体" w:cs="宋体"/>
          <w:szCs w:val="21"/>
        </w:rPr>
        <w:t>目前，我们理论工作者须积极响应党的十七大报告关于要继续深化对中国特色社会主义理论和实践的研究和探索的号召，科学阐明中国特色社会主义的基本特征和内涵，并分清与民主社会主义的本质区别，以便中国特色社会主义的道路越走越宽、越走越顺。</w:t>
      </w:r>
    </w:p>
    <w:p w14:paraId="55DFE23F">
      <w:pPr>
        <w:spacing w:line="300" w:lineRule="auto"/>
        <w:ind w:firstLine="440" w:firstLineChars="200"/>
        <w:rPr>
          <w:rFonts w:ascii="宋体" w:hAnsi="宋体" w:eastAsia="宋体" w:cs="宋体"/>
          <w:szCs w:val="21"/>
        </w:rPr>
      </w:pPr>
      <w:r>
        <w:rPr>
          <w:rFonts w:hint="eastAsia" w:ascii="宋体" w:hAnsi="宋体" w:eastAsia="宋体" w:cs="宋体"/>
          <w:szCs w:val="21"/>
        </w:rPr>
        <w:t>第一，从指导思想层面看，中国特色社会主义坚持马克思主义的指导地位。中国特色社会主义主张用马克思主义为灵魂的社会主义核心价值体系，引领各种社会思潮和社会主义实践。马克思主义作为科学的世界观和方法论，是社会主义运动的理论基础，应该在中国特色社会主义实践中占指导地位。以马克思主义为指导，就是要把马克思主义普遍原理与中国现阶段的实际结合起来，指导中国特色社会主义实践，研究新情况，总结新经验，解决新问题。马克思主义是一个开放的、随着科学和实践的发展而不断前进的科学体系，具有强大的持久生命力和科学的阐释力。因此，在胡锦涛总书记的报告中，强调“中国特色社会主义道路之所以完全正确、之所以能够引领中国发展进步，关键在于我们既坚持了科学社会主义的基本原则，又根据我国实际和时代特征赋予其鲜明的中国特色”；“深入学习马克思列宁主义、毛泽东思想、邓小平理论和“三个代表”重要思想，在全党开展深入学习实践科学发展观活动，坚持用发展着的马克思主义指导客观世界和主观世界的改造，进一步把握共产党执政规律、社会主义建设规律、人类社会发展规律，提高运用科学理论分析和解决实际问题能力。”</w:t>
      </w:r>
    </w:p>
    <w:p w14:paraId="334D34FF">
      <w:pPr>
        <w:spacing w:line="300" w:lineRule="auto"/>
        <w:ind w:firstLine="440" w:firstLineChars="200"/>
        <w:rPr>
          <w:rFonts w:ascii="宋体" w:hAnsi="宋体" w:eastAsia="宋体" w:cs="宋体"/>
          <w:szCs w:val="21"/>
        </w:rPr>
      </w:pPr>
      <w:r>
        <w:rPr>
          <w:rFonts w:hint="eastAsia" w:ascii="宋体" w:hAnsi="宋体" w:eastAsia="宋体" w:cs="宋体"/>
          <w:szCs w:val="21"/>
        </w:rPr>
        <w:t>民主社会主义反对把马克思主义作为唯一的指导思想，主张世界观和指导思想的多元化，提倡社会主义思想构成和来源的多样性。他们把基督教学说、法国大革命的人权宣言、康德的伦理学与启蒙思想、黑格尔的辩证历史哲学、伯恩施坦的修正主义、凯恩斯主义经济学等都作为自己的思想来源和构成，将多种思想观点熔为一炉，冠之为“多元化”和“思想民主”。</w:t>
      </w:r>
    </w:p>
    <w:p w14:paraId="0F25042B">
      <w:pPr>
        <w:spacing w:line="300" w:lineRule="auto"/>
        <w:ind w:firstLine="440" w:firstLineChars="200"/>
        <w:rPr>
          <w:rFonts w:ascii="宋体" w:hAnsi="宋体" w:eastAsia="宋体" w:cs="宋体"/>
          <w:szCs w:val="21"/>
        </w:rPr>
      </w:pPr>
      <w:r>
        <w:rPr>
          <w:rFonts w:hint="eastAsia" w:ascii="宋体" w:hAnsi="宋体" w:eastAsia="宋体" w:cs="宋体"/>
          <w:szCs w:val="21"/>
        </w:rPr>
        <w:t>第二，从经济制度层面看，中国特色社会主义坚持市场经济条件下生产资料公有制的主体地位。中国特色社会主义认为，社会主义与资本主义在基本经济制度上具有决定意义的差别就在于生产资料社会所有制结构(邓小平语)，以质与量都占优势的生产资料公有制为主体、国有经济为主导，对于强国富民、国民凝聚力和建设社会主义具有举足轻重的作用，是共产党执政等上层建筑的社会主义性质的经济基础(江泽民语)。尽管由于目前中国生产力不发达，还不能实现完全的生产资料公有制，但在发展各种私有制经济的同时必须坚持公有制的主体地位。只有坚持市场经济条件下公有制的主体地位，才能真正完善以按劳分配为主体的财富和收入分配制度，实现共同富裕和公平正义，才能真正落实以人为本的科学发展观，实现国民经济又好又快地良性发展。因此，在胡锦涛总书记的报告中，强调“坚持和完善公有制为主体、多种所有制经济共同发展的基本经济制度，毫不动摇地巩固和发展公有制经济，毫不动摇地鼓励、支持、引导非公有制经济发展”。</w:t>
      </w:r>
    </w:p>
    <w:p w14:paraId="42460982">
      <w:pPr>
        <w:spacing w:line="300" w:lineRule="auto"/>
        <w:ind w:firstLine="440" w:firstLineChars="200"/>
        <w:rPr>
          <w:rFonts w:ascii="宋体" w:hAnsi="宋体" w:eastAsia="宋体" w:cs="宋体"/>
          <w:szCs w:val="21"/>
        </w:rPr>
      </w:pPr>
      <w:r>
        <w:rPr>
          <w:rFonts w:hint="eastAsia" w:ascii="宋体" w:hAnsi="宋体" w:eastAsia="宋体" w:cs="宋体"/>
          <w:szCs w:val="21"/>
        </w:rPr>
        <w:t>民主社会主义否定生产资料公有制的主体地位，认为，社会主义可以在不改变生产资料资本主义私有制的条件下实现，声称生产资料主体结构不是衡量社会性质的标准。他们主张在维持多种私有制主体的基础上，实行国有企业、私人企业和其他经济成分并存的“混合经济”制度，并维护以按资分配为主体的财富和收入分配制度。</w:t>
      </w:r>
    </w:p>
    <w:p w14:paraId="2E4EAE0E">
      <w:pPr>
        <w:spacing w:line="300" w:lineRule="auto"/>
        <w:ind w:firstLine="440" w:firstLineChars="200"/>
        <w:rPr>
          <w:rFonts w:ascii="宋体" w:hAnsi="宋体" w:eastAsia="宋体" w:cs="宋体"/>
          <w:szCs w:val="21"/>
        </w:rPr>
      </w:pPr>
      <w:r>
        <w:rPr>
          <w:rFonts w:hint="eastAsia" w:ascii="宋体" w:hAnsi="宋体" w:eastAsia="宋体" w:cs="宋体"/>
          <w:szCs w:val="21"/>
        </w:rPr>
        <w:t>第三，从政治制度层面看，中国特色社会主义坚持工人阶级政党的领导。中国特色社会主义坚持共产党的工人阶级先锋队性质和民主集中制原则，坚持共产党对社会主义事业的领导。在新的科学技术革命面前，工人阶级仍然是先进生产力发展要求的代表和先进生产关系的体现者，仍然是推翻资本主义，建设社会主义、共产主义历史使命的承担者。在多种社会阶层出现和并存的新格局下，共产党仍然必须保持工人阶级先锋队的性质，全心全意依靠工人阶级。现阶段实行共产党领导的多党合作和政治协商制度，而民主集中制是共产党及其执政国家的根本组织原则和组织制度，是正确处理党内外各种关系的政治准则。因此，在胡锦涛总书记的报告中，强调“深化政治体制改革，必须坚持正确政治方向，以保证人民当家作主为根本，以增强党和国家活力、调动人民积极性为目标，扩大社会主义民主，建设社会主义法治国家，发展社会主义政治文明。”</w:t>
      </w:r>
    </w:p>
    <w:p w14:paraId="224C7E38">
      <w:pPr>
        <w:spacing w:line="300" w:lineRule="auto"/>
        <w:ind w:firstLine="440" w:firstLineChars="200"/>
        <w:rPr>
          <w:rFonts w:ascii="宋体" w:hAnsi="宋体" w:eastAsia="宋体" w:cs="宋体"/>
          <w:szCs w:val="21"/>
        </w:rPr>
      </w:pPr>
      <w:r>
        <w:rPr>
          <w:rFonts w:hint="eastAsia" w:ascii="宋体" w:hAnsi="宋体" w:eastAsia="宋体" w:cs="宋体"/>
          <w:szCs w:val="21"/>
        </w:rPr>
        <w:t>各种名称的社会党和社会党国际否定工人阶级政党领导的必要性，反对民主集中制原则，公开宣称他们的党是由具有不同信仰和思想的人组成的一个共同体，不是一个阶级的党，而是“全民党”。他们认为，由于生产力的变化，工人阶级已经丧失其为历史动力的主导作用，社会主义将由那些随着生产力发展而出现的社会阶层来领导，而不是由工人阶级来领导。同时，与他们提倡的民主化、多元化相适应，他们反对一切情况下的一党领导制，提倡资产阶级多党轮流执政的国体。在党的组织原则上，他们反对必要的集中制和党员的先进性和模范作用，不主张严格的组织纪律。他们只反对传统社会主义的首脑(官员)独断型民主模式，而不反对私人垄断型民主模式，缺乏官民互动型民主模式的改革目标。</w:t>
      </w:r>
    </w:p>
    <w:p w14:paraId="417154B1">
      <w:pPr>
        <w:spacing w:line="300" w:lineRule="auto"/>
        <w:ind w:firstLine="440" w:firstLineChars="200"/>
        <w:rPr>
          <w:rFonts w:ascii="宋体" w:hAnsi="宋体" w:eastAsia="宋体" w:cs="宋体"/>
          <w:szCs w:val="21"/>
        </w:rPr>
      </w:pPr>
      <w:r>
        <w:rPr>
          <w:rFonts w:hint="eastAsia" w:ascii="宋体" w:hAnsi="宋体" w:eastAsia="宋体" w:cs="宋体"/>
          <w:szCs w:val="21"/>
        </w:rPr>
        <w:t>第四，从对外关系层面看，中国特色社会主义坚持推动世界和谐发展。中国特色社会主义在对外关系理论和政策上都真正主张平等互利，和平合作，切实推动世界和谐发展。中国在政治、军事、经济和文化等各个对外领域，永远不称霸，强调国家不分大小强弱，一律平等。要超越意识形态和社会制度不同，来处理国家间的多种关系和全球问题。在全球化大趋势中，各国之间政治上要友好协商而不单边强权，军事上要限于自防而不先发制人，经济上要合作互利而不以邻为壑，文化上要交流互学而不损人利己。具有中国特色的社会主义中国以经济建设为中心，自然要通过经济开放积极参与经济全球化，为强国富民和全世界作出应有的贡献。因此，在胡锦涛总书记的报告中，强调“我们主张，各国人民携手努力，推动建设持久和平、共同繁荣的和谐世界。为此，应该遵循联合国宪章宗旨和原则，恪守国际法和公认的国际关系准则，在国际关系中弘扬民主、和睦、协作、共赢精神。”</w:t>
      </w:r>
    </w:p>
    <w:p w14:paraId="53D14488">
      <w:pPr>
        <w:spacing w:line="300" w:lineRule="auto"/>
        <w:ind w:firstLine="440" w:firstLineChars="200"/>
        <w:rPr>
          <w:rFonts w:ascii="宋体" w:hAnsi="宋体" w:eastAsia="宋体" w:cs="宋体"/>
          <w:szCs w:val="21"/>
        </w:rPr>
      </w:pPr>
      <w:r>
        <w:rPr>
          <w:rFonts w:hint="eastAsia" w:ascii="宋体" w:hAnsi="宋体" w:eastAsia="宋体" w:cs="宋体"/>
          <w:szCs w:val="21"/>
        </w:rPr>
        <w:t>民主社会主义表面上赞成对外关系要平等、和平，而实际行动上经常背离。在两次世界大战中、二战以后和后冷战以来，许多国家的社会党实行对外军事扩张和入侵，推行经济、政治和文化的霸权主义和新帝国政策，强调一霸数强型的单边独裁或多边垄断，破坏了联合国主导型的全球民主治理。</w:t>
      </w:r>
    </w:p>
    <w:p w14:paraId="612F683A">
      <w:pPr>
        <w:spacing w:line="300" w:lineRule="auto"/>
        <w:ind w:firstLine="440" w:firstLineChars="200"/>
        <w:rPr>
          <w:rFonts w:ascii="宋体" w:hAnsi="宋体" w:eastAsia="宋体" w:cs="宋体"/>
          <w:szCs w:val="21"/>
        </w:rPr>
      </w:pPr>
      <w:r>
        <w:rPr>
          <w:rFonts w:hint="eastAsia" w:ascii="宋体" w:hAnsi="宋体" w:eastAsia="宋体" w:cs="宋体"/>
          <w:szCs w:val="21"/>
        </w:rPr>
        <w:t>第五，从终极目标层面看，中国特色社会主义坚持社会主义本质和共产主义奋斗目标。中国特色社会主义坚持解放生产力、发展生产力，消灭剥削，消除两极分化，实现共同富裕的社会主义本质和原则，并最终要在生产力极大发展的社会主义基础上，实现共产主义。这是一个漫长的历史演变过程和制度创新历程。因此，在胡锦涛总书记的报告中，强调“加强党员、干部理想信念教育和思想道德建设，使广大党员、干部成为实践社会主义核心价值体系的模范，做共产主义远大理想和中国特色社会主义共同理想的坚定信仰者、科学发展观的忠实执行者、社会主义荣辱观的自觉实践者、社会和谐的积极促进者。”</w:t>
      </w:r>
    </w:p>
    <w:p w14:paraId="17C497F4">
      <w:pPr>
        <w:spacing w:line="300" w:lineRule="auto"/>
        <w:ind w:firstLine="440" w:firstLineChars="200"/>
        <w:rPr>
          <w:rFonts w:ascii="宋体" w:hAnsi="宋体" w:eastAsia="宋体" w:cs="宋体"/>
          <w:szCs w:val="21"/>
        </w:rPr>
      </w:pPr>
      <w:r>
        <w:rPr>
          <w:rFonts w:hint="eastAsia" w:ascii="宋体" w:hAnsi="宋体" w:eastAsia="宋体" w:cs="宋体"/>
          <w:szCs w:val="21"/>
        </w:rPr>
        <w:t>民主社会主义抛弃共产主义奋斗目标，从资产阶级的理性和伦理原则如自由、平等、公正、互助等出发，提出民主社会主义的目标是为一个社会公正、自由民主、世界和平的制度而奋斗。他们认为资本主义社会各种弊病和矛盾产生的根源不在于资本主义根本经济、政治和文化制度本身，也不在于阶级剥削和压迫的存在，而是违背了所谓人类一般的理性、伦理原则。要解决资本主义的痼疾，不需要替代资本主义根本制度，只要按照上述原则不断的对其改良即可。</w:t>
      </w:r>
    </w:p>
    <w:p w14:paraId="42F5C323">
      <w:pPr>
        <w:spacing w:line="300" w:lineRule="auto"/>
        <w:ind w:firstLine="440" w:firstLineChars="200"/>
        <w:rPr>
          <w:rFonts w:ascii="宋体" w:hAnsi="宋体" w:eastAsia="宋体" w:cs="宋体"/>
          <w:szCs w:val="21"/>
        </w:rPr>
      </w:pPr>
    </w:p>
    <w:p w14:paraId="034B92AD">
      <w:pPr>
        <w:spacing w:line="300" w:lineRule="auto"/>
        <w:ind w:firstLine="440" w:firstLineChars="200"/>
        <w:rPr>
          <w:rFonts w:ascii="宋体" w:hAnsi="宋体" w:eastAsia="宋体" w:cs="宋体"/>
          <w:szCs w:val="21"/>
        </w:rPr>
      </w:pPr>
      <w:r>
        <w:rPr>
          <w:rFonts w:hint="eastAsia" w:ascii="宋体" w:hAnsi="宋体" w:eastAsia="宋体" w:cs="宋体"/>
          <w:szCs w:val="21"/>
        </w:rPr>
        <w:t>（原载于《社会科学管理与评论》2007年第4期）</w:t>
      </w:r>
    </w:p>
    <w:p w14:paraId="30CAC070">
      <w:pPr>
        <w:widowControl/>
        <w:spacing w:line="300" w:lineRule="auto"/>
        <w:ind w:firstLine="440" w:firstLineChars="200"/>
        <w:jc w:val="left"/>
        <w:rPr>
          <w:rFonts w:ascii="宋体" w:hAnsi="宋体" w:eastAsia="宋体" w:cs="宋体"/>
          <w:szCs w:val="21"/>
        </w:rPr>
        <w:sectPr>
          <w:headerReference r:id="rId14" w:type="default"/>
          <w:footnotePr>
            <w:numFmt w:val="decimalEnclosedCircleChinese"/>
            <w:numRestart w:val="eachPage"/>
          </w:footnotePr>
          <w:type w:val="continuous"/>
          <w:pgSz w:w="11850" w:h="16783"/>
          <w:pgMar w:top="1440" w:right="1800" w:bottom="1440" w:left="1800" w:header="851" w:footer="992" w:gutter="0"/>
          <w:pgNumType w:fmt="decimal"/>
          <w:cols w:space="720" w:num="1"/>
          <w:docGrid w:type="linesAndChars" w:linePitch="294" w:charSpace="2252"/>
        </w:sectPr>
      </w:pPr>
    </w:p>
    <w:p w14:paraId="7A62AFCC">
      <w:pPr>
        <w:keepNext/>
        <w:keepLines/>
        <w:widowControl/>
        <w:adjustRightInd w:val="0"/>
        <w:snapToGrid w:val="0"/>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797" w:name="_Toc30446"/>
      <w:bookmarkStart w:id="798" w:name="_Toc111193686"/>
      <w:bookmarkStart w:id="799" w:name="_Toc1194572770"/>
      <w:bookmarkStart w:id="800" w:name="_Toc72196031"/>
      <w:r>
        <w:rPr>
          <w:rFonts w:hint="eastAsia" w:ascii="黑体" w:hAnsi="黑体" w:eastAsia="黑体" w:cs="Times New Roman"/>
          <w:kern w:val="0"/>
          <w:sz w:val="32"/>
          <w:szCs w:val="32"/>
        </w:rPr>
        <w:t>2</w:t>
      </w:r>
      <w:r>
        <w:rPr>
          <w:rFonts w:ascii="黑体" w:hAnsi="黑体" w:eastAsia="黑体" w:cs="Times New Roman"/>
          <w:kern w:val="0"/>
          <w:sz w:val="32"/>
          <w:szCs w:val="32"/>
        </w:rPr>
        <w:t>5</w:t>
      </w:r>
      <w:r>
        <w:rPr>
          <w:rFonts w:hint="eastAsia" w:ascii="黑体" w:hAnsi="黑体" w:eastAsia="黑体" w:cs="Times New Roman"/>
          <w:kern w:val="0"/>
          <w:sz w:val="32"/>
          <w:szCs w:val="32"/>
        </w:rPr>
        <w:t>自主创新维护国家产业安全</w:t>
      </w:r>
      <w:bookmarkEnd w:id="797"/>
      <w:bookmarkEnd w:id="798"/>
      <w:bookmarkEnd w:id="799"/>
      <w:bookmarkEnd w:id="800"/>
    </w:p>
    <w:p w14:paraId="1A83C40F">
      <w:pPr>
        <w:widowControl/>
        <w:spacing w:before="147" w:beforeLines="50" w:line="300" w:lineRule="auto"/>
        <w:ind w:firstLine="440" w:firstLineChars="200"/>
        <w:rPr>
          <w:rFonts w:ascii="宋体" w:hAnsi="宋体" w:eastAsia="宋体" w:cs="宋体"/>
          <w:szCs w:val="21"/>
        </w:rPr>
      </w:pPr>
      <w:r>
        <w:rPr>
          <w:rFonts w:ascii="宋体" w:hAnsi="宋体" w:eastAsia="宋体" w:cs="宋体"/>
          <w:szCs w:val="21"/>
        </w:rPr>
        <w:t>最近几年来，外商特别是跨国公司在中国的投资战略发生了重大变化。其中一个非常突出的特点，是外资加快兼并和收购我国内资的行业龙头企业，特别是国有大型企业。这方面的案例越来越多，仅我国装备制造工业中就有10多个重点企业被并购。在被外资并购过程中，已经出现了种种问题。这些原先发展势头很好的重点企业、龙头企业、行业排头兵企业纷纷被外资并购、控股，从而一下子失去了自主创新权，丧失了优质资产、技术力量、品牌和市场，致使多年来通过自主研发培养的技术团队和技术能力被外资控制、利用甚至消解，企业的巨额利润随之外流，企业和产品的品牌价值一下子也被外商吞并。这日趋引起高层领导、经济界和社会上的高度关注。</w:t>
      </w:r>
    </w:p>
    <w:p w14:paraId="4BF6D705">
      <w:pPr>
        <w:spacing w:before="147" w:beforeLines="50" w:after="147" w:afterLines="50" w:line="300" w:lineRule="auto"/>
        <w:ind w:firstLine="500" w:firstLineChars="200"/>
        <w:jc w:val="center"/>
        <w:rPr>
          <w:rFonts w:ascii="宋体" w:hAnsi="宋体" w:eastAsia="宋体" w:cs="Times New Roman"/>
          <w:b/>
          <w:bCs/>
          <w:sz w:val="24"/>
        </w:rPr>
      </w:pPr>
      <w:r>
        <w:rPr>
          <w:rFonts w:ascii="宋体" w:hAnsi="宋体" w:eastAsia="宋体" w:cs="Times New Roman"/>
          <w:b/>
          <w:bCs/>
          <w:sz w:val="24"/>
        </w:rPr>
        <w:t>一</w:t>
      </w:r>
      <w:r>
        <w:rPr>
          <w:rFonts w:hint="eastAsia" w:ascii="宋体" w:hAnsi="宋体" w:eastAsia="宋体" w:cs="Times New Roman"/>
          <w:b/>
          <w:bCs/>
          <w:sz w:val="24"/>
        </w:rPr>
        <w:t>、</w:t>
      </w:r>
      <w:r>
        <w:rPr>
          <w:rFonts w:ascii="宋体" w:hAnsi="宋体" w:eastAsia="宋体" w:cs="Times New Roman"/>
          <w:b/>
          <w:bCs/>
          <w:sz w:val="24"/>
        </w:rPr>
        <w:t>产业龙头是建设创新型国家的根基，是重大国家利益的体现</w:t>
      </w:r>
    </w:p>
    <w:p w14:paraId="4FD48E1C">
      <w:pPr>
        <w:widowControl/>
        <w:spacing w:line="300" w:lineRule="auto"/>
        <w:ind w:firstLine="440" w:firstLineChars="200"/>
        <w:rPr>
          <w:rFonts w:ascii="宋体" w:hAnsi="宋体" w:eastAsia="宋体" w:cs="宋体"/>
          <w:szCs w:val="21"/>
        </w:rPr>
      </w:pPr>
      <w:r>
        <w:rPr>
          <w:rFonts w:ascii="宋体" w:hAnsi="宋体" w:eastAsia="宋体" w:cs="宋体"/>
          <w:szCs w:val="21"/>
        </w:rPr>
        <w:t>目前正处于审批过程中的美国私人股本集团──凯雷集团</w:t>
      </w:r>
      <w:r>
        <w:rPr>
          <w:rFonts w:ascii="Times New Roman" w:hAnsi="Times New Roman" w:eastAsia="宋体" w:cs="Times New Roman"/>
          <w:szCs w:val="21"/>
        </w:rPr>
        <w:t>（CarlyleGroup）</w:t>
      </w:r>
      <w:r>
        <w:rPr>
          <w:rFonts w:ascii="宋体" w:hAnsi="宋体" w:eastAsia="宋体" w:cs="宋体"/>
          <w:szCs w:val="21"/>
        </w:rPr>
        <w:t>并购我国徐州工程机械集团（简称“徐工”）一案，是一个十分典型的案例。“徐工”无论是资产总额、年销售额，还是汽车起重机等主要产品的市场竞争力，在我国机械工业中都是名列前茅的。“徐工”不仅是我国工程机械行业的排头兵，也是我国机械工业的龙头企业和优势企业，其在机械工业中所占的位置和分量非常重要。2006年，徐工集团以200亿元的营业收入名列我国工程机械企业第一。2007年，该企业的计划目标是：营业收入248.3亿元，同比增长22.5%；产品销售收入205.2亿元，同比增长17%。到2010年末，企业将继续保持国内行业的领先地位，成为国际市场的重要参与者和著名品牌，实现营业收入500亿元、销售收入300亿元、出口创汇10亿美元，进入国际工程机械企业前10名。然而，这么好、这么重要的一个国有大型龙头企业，为什么一定要卖给外国投资者呢？</w:t>
      </w:r>
    </w:p>
    <w:p w14:paraId="63E09BD0">
      <w:pPr>
        <w:widowControl/>
        <w:spacing w:line="300" w:lineRule="auto"/>
        <w:ind w:firstLine="440" w:firstLineChars="200"/>
        <w:rPr>
          <w:rFonts w:ascii="宋体" w:hAnsi="宋体" w:eastAsia="宋体" w:cs="宋体"/>
          <w:szCs w:val="21"/>
        </w:rPr>
      </w:pPr>
      <w:r>
        <w:rPr>
          <w:rFonts w:ascii="宋体" w:hAnsi="宋体" w:eastAsia="宋体" w:cs="宋体"/>
          <w:szCs w:val="21"/>
        </w:rPr>
        <w:t>尽管在目前的修改协议中，美国凯雷方已作出很大让步和妥协，由收购变为合资，由美方控股改为股权比例中方占55%，凯雷占45%，董事长由中方担任，外加其他看似有利于中方的条件。但是，我们认为，国家有关部门仍不应该批准这一并购案。</w:t>
      </w:r>
    </w:p>
    <w:p w14:paraId="5BEBB8EE">
      <w:pPr>
        <w:widowControl/>
        <w:spacing w:line="300" w:lineRule="auto"/>
        <w:ind w:firstLine="440" w:firstLineChars="200"/>
        <w:rPr>
          <w:rFonts w:ascii="宋体" w:hAnsi="宋体" w:eastAsia="宋体" w:cs="宋体"/>
          <w:szCs w:val="21"/>
        </w:rPr>
      </w:pPr>
      <w:r>
        <w:rPr>
          <w:rFonts w:ascii="宋体" w:hAnsi="宋体" w:eastAsia="宋体" w:cs="宋体"/>
          <w:szCs w:val="21"/>
        </w:rPr>
        <w:t>这是由于，问题的关键在于徐工是我国工程机械行业的标志性企业。我们要争的，不在于凯雷收购资金的多少和提供技术的先进与否，而是要争我国工程机械行业发展的主导权，是争我国产业安全和发展我们自己的国际著名品牌。如果外资并购徐工实现了，就等于开了一个危险的口子，表示同行业和其他制造业的骨干企业都可以仿效徐工让外资并购。我国数十年积累的全部民族工业基础将对外资不再设防，都会被外资控制。这样下去，我国的民族工业必将彻底沦为外国资本的附庸。况且，装备制造业是我国的国家战略产业，是突破国外技术封锁、建立强大军事工业的基础。徐工的许多产品，如推土机、装载机、塔机等，是外国品牌无法进入中国市场的。有些外国产品如砼机械已被我国企业挤出中国市场。</w:t>
      </w:r>
    </w:p>
    <w:p w14:paraId="1AA5D933">
      <w:pPr>
        <w:widowControl/>
        <w:spacing w:line="300" w:lineRule="auto"/>
        <w:ind w:firstLine="440" w:firstLineChars="200"/>
        <w:rPr>
          <w:rFonts w:ascii="宋体" w:hAnsi="宋体" w:eastAsia="宋体" w:cs="宋体"/>
          <w:szCs w:val="21"/>
        </w:rPr>
      </w:pPr>
      <w:r>
        <w:rPr>
          <w:rFonts w:ascii="宋体" w:hAnsi="宋体" w:eastAsia="宋体" w:cs="宋体"/>
          <w:szCs w:val="21"/>
        </w:rPr>
        <w:t>徐工并购案发生的背景，是国外资本在强攻不能进入我国工程机械市场的情况下，采用“招降”的战术，想趁中国国企改革之机通过收购来整合和控制中国的工程机械产业。为此，不惜作出让步，并由美国政府高层人士来华说项，其中的政治意图不言而喻。凯雷并购徐工，实际上是外资控制和摧毁中国工程机械产业的一个战略步骤，可能造成骨牌效应，摧垮中国的全部民族工程机械工业乃至整个民族工业。近20年来我国企业与外资合资的事实表明，已经发生的外资对我国境内企业的并购案，并购者往往会解散被并购企业的研发团队，消灭其研发力量，消灭中国企业的自主品牌。最近几年来的外资并购案中，有如中国的“南孚电池”，“无锡威孚”等案例，充分说明了外资并购我国龙头企业的真实目的。</w:t>
      </w:r>
    </w:p>
    <w:p w14:paraId="7A429976">
      <w:pPr>
        <w:widowControl/>
        <w:spacing w:line="300" w:lineRule="auto"/>
        <w:ind w:firstLine="440" w:firstLineChars="200"/>
        <w:rPr>
          <w:rFonts w:ascii="宋体" w:hAnsi="宋体" w:eastAsia="宋体" w:cs="宋体"/>
          <w:szCs w:val="21"/>
        </w:rPr>
      </w:pPr>
      <w:r>
        <w:rPr>
          <w:rFonts w:ascii="宋体" w:hAnsi="宋体" w:eastAsia="宋体" w:cs="宋体"/>
          <w:szCs w:val="21"/>
        </w:rPr>
        <w:t>我国目前具有世界上最大的建筑工程量，而且预计未来我国肯定还会有世界上最大的建筑工程量。一旦徐工被外资并购，进而我国建筑工程机械工业被外资控制，到那时我们搞建筑的重型机械都得出高价向外商购买，到那时才会真正体会到这种外资并购所带来的巨大危害。</w:t>
      </w:r>
    </w:p>
    <w:p w14:paraId="6B6AB04D">
      <w:pPr>
        <w:spacing w:before="147" w:beforeLines="50" w:after="147" w:afterLines="50" w:line="300" w:lineRule="auto"/>
        <w:ind w:firstLine="500" w:firstLineChars="200"/>
        <w:jc w:val="center"/>
        <w:rPr>
          <w:rFonts w:ascii="宋体" w:hAnsi="宋体" w:eastAsia="宋体" w:cs="Times New Roman"/>
          <w:b/>
          <w:bCs/>
          <w:sz w:val="24"/>
        </w:rPr>
      </w:pPr>
      <w:r>
        <w:rPr>
          <w:rFonts w:ascii="宋体" w:hAnsi="宋体" w:eastAsia="宋体" w:cs="Times New Roman"/>
          <w:b/>
          <w:bCs/>
          <w:sz w:val="24"/>
        </w:rPr>
        <w:t>二</w:t>
      </w:r>
      <w:r>
        <w:rPr>
          <w:rFonts w:hint="eastAsia" w:ascii="宋体" w:hAnsi="宋体" w:eastAsia="宋体" w:cs="Times New Roman"/>
          <w:b/>
          <w:bCs/>
          <w:sz w:val="24"/>
        </w:rPr>
        <w:t>、</w:t>
      </w:r>
      <w:r>
        <w:rPr>
          <w:rFonts w:ascii="宋体" w:hAnsi="宋体" w:eastAsia="宋体" w:cs="Times New Roman"/>
          <w:b/>
          <w:bCs/>
          <w:sz w:val="24"/>
        </w:rPr>
        <w:t>建立外资并购风险防范机制，维护国家产业安全</w:t>
      </w:r>
    </w:p>
    <w:p w14:paraId="185C13B9">
      <w:pPr>
        <w:widowControl/>
        <w:spacing w:line="300" w:lineRule="auto"/>
        <w:ind w:firstLine="440" w:firstLineChars="200"/>
        <w:rPr>
          <w:rFonts w:ascii="宋体" w:hAnsi="宋体" w:eastAsia="宋体" w:cs="宋体"/>
          <w:szCs w:val="21"/>
        </w:rPr>
      </w:pPr>
      <w:r>
        <w:rPr>
          <w:rFonts w:ascii="宋体" w:hAnsi="宋体" w:eastAsia="宋体" w:cs="宋体"/>
          <w:szCs w:val="21"/>
        </w:rPr>
        <w:t>为此，我们应重视社会强烈关注的外资并购，清晰认识外资并购我国龙头企业的意图。那种认为被外资整合可以实现自身更好发展的想法是不切实际的幻想，尚且不管被外资整合的企业是否还是民族企业，事实上中国发展势头很好的企业恰恰都是实现自主主导、注重自主创新、力求整合外企的企业，而不是国内合资企业。那种认为被外资整合并没有减少财政税收收入和企业职工工资收入的想法是有局限性的，忽视了企业的巨额利润和未来现金流被外商永久获取，并放松了对企业实际控制人为获取自身眼前利益而牺牲企业长远利益的监管。总之，企图以外资整合民族企业发展国民经济，没有民族企业的发展和强大，就不可能尽快实现强国富民。我们呼吁政府应立即采取措施，重视国家产业安全，切实加强对民族产业的保护，尽快建立外资并购风险防范机制。</w:t>
      </w:r>
    </w:p>
    <w:p w14:paraId="64CC5C52">
      <w:pPr>
        <w:widowControl/>
        <w:spacing w:line="300" w:lineRule="auto"/>
        <w:ind w:firstLine="440" w:firstLineChars="200"/>
        <w:rPr>
          <w:rFonts w:ascii="宋体" w:hAnsi="宋体" w:eastAsia="宋体" w:cs="宋体"/>
          <w:szCs w:val="21"/>
        </w:rPr>
      </w:pPr>
      <w:r>
        <w:rPr>
          <w:rFonts w:ascii="宋体" w:hAnsi="宋体" w:eastAsia="宋体" w:cs="宋体"/>
          <w:szCs w:val="21"/>
        </w:rPr>
        <w:t>为此，我们认为：</w:t>
      </w:r>
    </w:p>
    <w:p w14:paraId="5860CA9B">
      <w:pPr>
        <w:widowControl/>
        <w:spacing w:line="300" w:lineRule="auto"/>
        <w:ind w:firstLine="440" w:firstLineChars="200"/>
        <w:rPr>
          <w:rFonts w:ascii="宋体" w:hAnsi="宋体" w:eastAsia="宋体" w:cs="宋体"/>
          <w:szCs w:val="21"/>
        </w:rPr>
      </w:pPr>
      <w:r>
        <w:rPr>
          <w:rFonts w:ascii="宋体" w:hAnsi="宋体" w:eastAsia="宋体" w:cs="宋体"/>
          <w:szCs w:val="21"/>
        </w:rPr>
        <w:t>1.凯雷并购徐工案不符合国家产业政策的有关规定，损害我国产业安全，因而支持凯雷并购徐工的理由不能成立。国务院有关部门应从国家利益出发，不同意批准此项并购案。</w:t>
      </w:r>
    </w:p>
    <w:p w14:paraId="0FD6D9C1">
      <w:pPr>
        <w:widowControl/>
        <w:spacing w:line="300" w:lineRule="auto"/>
        <w:ind w:firstLine="440" w:firstLineChars="200"/>
        <w:rPr>
          <w:rFonts w:ascii="宋体" w:hAnsi="宋体" w:eastAsia="宋体" w:cs="宋体"/>
          <w:szCs w:val="21"/>
        </w:rPr>
      </w:pPr>
      <w:r>
        <w:rPr>
          <w:rFonts w:ascii="宋体" w:hAnsi="宋体" w:eastAsia="宋体" w:cs="宋体"/>
          <w:szCs w:val="21"/>
        </w:rPr>
        <w:t>2.必须及时扭转把“吸收国外战略投资者”作为大型国企改制主要途径的思路，取消政府考核指标中的引资内容。应强调大型国企改革主要应用好国内资源解决资金问题；通过对外并购、自主研发和技术引进等途径实现技术进步问题。</w:t>
      </w:r>
    </w:p>
    <w:p w14:paraId="0A7CAC19">
      <w:pPr>
        <w:widowControl/>
        <w:spacing w:line="300" w:lineRule="auto"/>
        <w:ind w:firstLine="440" w:firstLineChars="200"/>
        <w:rPr>
          <w:rFonts w:ascii="宋体" w:hAnsi="宋体" w:eastAsia="宋体" w:cs="宋体"/>
          <w:szCs w:val="21"/>
        </w:rPr>
      </w:pPr>
      <w:r>
        <w:rPr>
          <w:rFonts w:ascii="宋体" w:hAnsi="宋体" w:eastAsia="宋体" w:cs="宋体"/>
          <w:szCs w:val="21"/>
        </w:rPr>
        <w:t>3.在此案中，凯雷利用地方政府急于招商引资的心态，投其所好，编造了一个庞大的无约束力的招商引资计划，作为招标条件，构成出卖国企的理由。应从中吸取教训，尽快制定国企改制中国有资产产权交易程序和细则，完善交易监管体系。</w:t>
      </w:r>
    </w:p>
    <w:p w14:paraId="2CFB32BF">
      <w:pPr>
        <w:widowControl/>
        <w:spacing w:line="300" w:lineRule="auto"/>
        <w:ind w:firstLine="440" w:firstLineChars="200"/>
        <w:rPr>
          <w:rFonts w:ascii="宋体" w:hAnsi="宋体" w:eastAsia="宋体" w:cs="宋体"/>
          <w:szCs w:val="21"/>
        </w:rPr>
      </w:pPr>
      <w:r>
        <w:rPr>
          <w:rFonts w:ascii="宋体" w:hAnsi="宋体" w:eastAsia="宋体" w:cs="宋体"/>
          <w:szCs w:val="21"/>
        </w:rPr>
        <w:t>4.尽快建立国家战略利益管理机制，包括：制定国家必须控制的产业和企业名录，并将这些企业改制的权力上收；建立外资并购我国内资企业的案例监测预警机制，如进行广泛的专家听证，完善政府机构的严格审查制度、推行制度化的民意测验和舆论监督。</w:t>
      </w:r>
    </w:p>
    <w:p w14:paraId="12019ED4">
      <w:pPr>
        <w:widowControl/>
        <w:spacing w:line="300" w:lineRule="auto"/>
        <w:ind w:firstLine="440" w:firstLineChars="200"/>
        <w:rPr>
          <w:rFonts w:ascii="宋体" w:hAnsi="宋体" w:eastAsia="宋体" w:cs="宋体"/>
          <w:szCs w:val="21"/>
        </w:rPr>
      </w:pPr>
      <w:r>
        <w:rPr>
          <w:rFonts w:ascii="宋体" w:hAnsi="宋体" w:eastAsia="宋体" w:cs="宋体"/>
          <w:szCs w:val="21"/>
        </w:rPr>
        <w:t>5.加紧完善和制订《反不正当竞争法》、《反垄断法》等法律，用法律保护中国产业安全。</w:t>
      </w:r>
    </w:p>
    <w:p w14:paraId="5FB82059">
      <w:pPr>
        <w:widowControl/>
        <w:spacing w:line="300" w:lineRule="auto"/>
        <w:ind w:firstLine="440" w:firstLineChars="200"/>
        <w:rPr>
          <w:rFonts w:ascii="宋体" w:hAnsi="宋体" w:eastAsia="宋体" w:cs="宋体"/>
          <w:szCs w:val="21"/>
        </w:rPr>
      </w:pPr>
    </w:p>
    <w:p w14:paraId="74A66FFE">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(原载于《中国改革报》2007年4月5日，第二作者为李炳炎)</w:t>
      </w:r>
      <w:r>
        <w:rPr>
          <w:rFonts w:ascii="宋体" w:hAnsi="宋体" w:eastAsia="宋体" w:cs="宋体"/>
          <w:szCs w:val="21"/>
        </w:rPr>
        <w:br w:type="page"/>
      </w:r>
    </w:p>
    <w:p w14:paraId="756CC3AE">
      <w:pPr>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801" w:name="_Toc22406"/>
      <w:bookmarkStart w:id="802" w:name="_Toc111193687"/>
      <w:bookmarkStart w:id="803" w:name="_Toc359929587"/>
      <w:bookmarkStart w:id="804" w:name="_Toc70432462"/>
      <w:r>
        <w:rPr>
          <w:rFonts w:hint="eastAsia" w:ascii="黑体" w:hAnsi="黑体" w:eastAsia="黑体" w:cs="Times New Roman"/>
          <w:kern w:val="0"/>
          <w:sz w:val="32"/>
          <w:szCs w:val="32"/>
        </w:rPr>
        <w:t>2</w:t>
      </w:r>
      <w:r>
        <w:rPr>
          <w:rFonts w:ascii="黑体" w:hAnsi="黑体" w:eastAsia="黑体" w:cs="Times New Roman"/>
          <w:kern w:val="0"/>
          <w:sz w:val="32"/>
          <w:szCs w:val="32"/>
        </w:rPr>
        <w:t>6</w:t>
      </w:r>
      <w:r>
        <w:rPr>
          <w:rFonts w:hint="eastAsia" w:ascii="黑体" w:hAnsi="黑体" w:eastAsia="黑体" w:cs="Times New Roman"/>
          <w:kern w:val="0"/>
          <w:sz w:val="32"/>
          <w:szCs w:val="32"/>
        </w:rPr>
        <w:t>谈实现科学发展的几个现实问题</w:t>
      </w:r>
      <w:bookmarkEnd w:id="801"/>
      <w:bookmarkEnd w:id="802"/>
      <w:bookmarkEnd w:id="803"/>
      <w:bookmarkEnd w:id="804"/>
    </w:p>
    <w:p w14:paraId="62E889D2">
      <w:pPr>
        <w:spacing w:line="300" w:lineRule="auto"/>
        <w:ind w:firstLine="440" w:firstLineChars="200"/>
        <w:rPr>
          <w:rFonts w:ascii="宋体" w:hAnsi="宋体" w:eastAsia="宋体" w:cs="宋体"/>
          <w:szCs w:val="21"/>
        </w:rPr>
      </w:pPr>
      <w:r>
        <w:rPr>
          <w:rFonts w:hint="eastAsia" w:ascii="宋体" w:hAnsi="宋体" w:eastAsia="宋体" w:cs="宋体"/>
          <w:szCs w:val="21"/>
        </w:rPr>
        <w:t>科学发展观是对马克思主义发展学说的创新，也是对西方发展经济学的一种超越。这里我就科学发展观谈三个现实问题。</w:t>
      </w:r>
    </w:p>
    <w:p w14:paraId="30B0E761">
      <w:pPr>
        <w:spacing w:before="147" w:beforeLines="50" w:after="147" w:afterLines="50" w:line="300" w:lineRule="auto"/>
        <w:ind w:firstLine="500" w:firstLineChars="200"/>
        <w:jc w:val="center"/>
        <w:rPr>
          <w:rFonts w:ascii="宋体" w:hAnsi="宋体" w:eastAsia="宋体" w:cs="Times New Roman"/>
          <w:b/>
          <w:bCs/>
          <w:sz w:val="24"/>
        </w:rPr>
      </w:pPr>
      <w:bookmarkStart w:id="805" w:name="_Toc15564"/>
      <w:bookmarkStart w:id="806" w:name="_Toc8118"/>
      <w:bookmarkStart w:id="807" w:name="_Toc23116"/>
      <w:bookmarkStart w:id="808" w:name="_Toc11449"/>
      <w:bookmarkStart w:id="809" w:name="_Toc16325"/>
      <w:r>
        <w:rPr>
          <w:rFonts w:hint="eastAsia" w:ascii="宋体" w:hAnsi="宋体" w:eastAsia="宋体" w:cs="Times New Roman"/>
          <w:b/>
          <w:bCs/>
          <w:sz w:val="24"/>
        </w:rPr>
        <w:t>一、认为“中国企业应该被整合，没有必要搞自主创新”的观点，是一种旧开放观</w:t>
      </w:r>
      <w:bookmarkEnd w:id="805"/>
      <w:bookmarkEnd w:id="806"/>
      <w:bookmarkEnd w:id="807"/>
      <w:bookmarkEnd w:id="808"/>
      <w:bookmarkEnd w:id="809"/>
    </w:p>
    <w:p w14:paraId="129305DB">
      <w:pPr>
        <w:spacing w:line="300" w:lineRule="auto"/>
        <w:ind w:firstLine="440" w:firstLineChars="200"/>
        <w:rPr>
          <w:rFonts w:ascii="宋体" w:hAnsi="宋体" w:eastAsia="宋体" w:cs="宋体"/>
          <w:szCs w:val="21"/>
        </w:rPr>
      </w:pPr>
      <w:r>
        <w:rPr>
          <w:rFonts w:hint="eastAsia" w:ascii="宋体" w:hAnsi="宋体" w:eastAsia="宋体" w:cs="宋体"/>
          <w:szCs w:val="21"/>
        </w:rPr>
        <w:t>改革开放以来，我国一开始强调“引进来”，引进外资，引进外国技术。1998年前后，江泽民同志正确地提出，不仅要“引进来”，而且要“走出去”，因而就提出了“走出去”战略，或者说，“引进来与走出去并重”的战略，但是，当时尚未明确提出自主创新的战略问题，没有提出在对外开放中要强调自主创新。近年来，以胡锦涛为总书记的党中央着力提倡自主创新，并把它作为“十一五”发展规划的主线。我认为，自主创新是科学发展观体系中一个重要的理论亮点和重大的战略转变。</w:t>
      </w:r>
    </w:p>
    <w:p w14:paraId="2E985E63">
      <w:pPr>
        <w:spacing w:line="300" w:lineRule="auto"/>
        <w:ind w:firstLine="440" w:firstLineChars="200"/>
        <w:rPr>
          <w:rFonts w:ascii="宋体" w:hAnsi="宋体" w:eastAsia="宋体" w:cs="宋体"/>
          <w:szCs w:val="21"/>
        </w:rPr>
      </w:pPr>
      <w:r>
        <w:rPr>
          <w:rFonts w:hint="eastAsia" w:ascii="宋体" w:hAnsi="宋体" w:eastAsia="宋体" w:cs="宋体"/>
          <w:szCs w:val="21"/>
        </w:rPr>
        <w:t>自主创新是贯彻、落实科学发展观的必然要求。比如，在对外开放的实践中，就应该大力提倡自主创新，处理好自力更生和对外开放的关系，不能不惜一切引进外资，不惜一切引进外国技术。要注意引进外资和外国技术的“挤出效应”，即对中国民族资本和技术的抑制效应。我国经济学界有学者早在1995年就提出要尽快实行税收的并轨制，不能继续歧视中资，优惠外资，导致民族经济受排挤的现象。最近全国人大已经采纳了这种建议，并通过新的并轨税收法。作为一个总的对外经济发展模式，务必要从强调引进外资和外国技术的数量扩张型这样一个传统粗放的开放模式，转向追求引资和引技术的质量效益型的一种双向开放和自主增长的模式。</w:t>
      </w:r>
    </w:p>
    <w:p w14:paraId="7ABFBF7C">
      <w:pPr>
        <w:spacing w:line="300" w:lineRule="auto"/>
        <w:ind w:firstLine="440" w:firstLineChars="200"/>
        <w:rPr>
          <w:rFonts w:ascii="宋体" w:hAnsi="宋体" w:eastAsia="宋体" w:cs="宋体"/>
          <w:szCs w:val="21"/>
        </w:rPr>
      </w:pPr>
      <w:r>
        <w:rPr>
          <w:rFonts w:hint="eastAsia" w:ascii="宋体" w:hAnsi="宋体" w:eastAsia="宋体" w:cs="宋体"/>
          <w:szCs w:val="21"/>
        </w:rPr>
        <w:t>值得注意的是，当前在对待自主创新问题上，有人提出这样的主张：中国的企业应该被国际整合，没有必要强调自主创新，只要被人家整合，参与国际化就可以了。这种“中国产业应被整合”的观点及类似思潮，在中美谈判前夕就比较流行，属于旧开放观。其实，大力提倡各行各业自主创新，并不反对引进外资、外国技术，因为创新也有好几种类型。不过，那种认为可以先被国外公司并购和整合，以后再去搞自主创新，再去搞品牌的观点是一种想当然，尚无任何案例印证。</w:t>
      </w:r>
    </w:p>
    <w:p w14:paraId="441DC4BA">
      <w:pPr>
        <w:spacing w:before="147" w:beforeLines="50" w:after="147" w:afterLines="50" w:line="300" w:lineRule="auto"/>
        <w:ind w:firstLine="500" w:firstLineChars="200"/>
        <w:jc w:val="center"/>
        <w:rPr>
          <w:rFonts w:ascii="宋体" w:hAnsi="宋体" w:eastAsia="宋体" w:cs="Times New Roman"/>
          <w:b/>
          <w:bCs/>
          <w:sz w:val="24"/>
        </w:rPr>
      </w:pPr>
      <w:bookmarkStart w:id="810" w:name="_Toc10992"/>
      <w:bookmarkStart w:id="811" w:name="_Toc1804"/>
      <w:bookmarkStart w:id="812" w:name="_Toc62"/>
      <w:r>
        <w:rPr>
          <w:rFonts w:hint="eastAsia" w:ascii="宋体" w:hAnsi="宋体" w:eastAsia="宋体" w:cs="Times New Roman"/>
          <w:b/>
          <w:bCs/>
          <w:sz w:val="24"/>
        </w:rPr>
        <w:t>二、主张在新农村建设搞土地私有化，是陈旧的观点</w:t>
      </w:r>
      <w:bookmarkEnd w:id="810"/>
      <w:bookmarkEnd w:id="811"/>
      <w:bookmarkEnd w:id="812"/>
    </w:p>
    <w:p w14:paraId="766D8807">
      <w:pPr>
        <w:spacing w:line="300" w:lineRule="auto"/>
        <w:ind w:firstLine="440" w:firstLineChars="200"/>
        <w:rPr>
          <w:rFonts w:ascii="宋体" w:hAnsi="宋体" w:eastAsia="宋体" w:cs="宋体"/>
          <w:szCs w:val="21"/>
        </w:rPr>
      </w:pPr>
      <w:r>
        <w:rPr>
          <w:rFonts w:hint="eastAsia" w:ascii="宋体" w:hAnsi="宋体" w:eastAsia="宋体" w:cs="宋体"/>
          <w:szCs w:val="21"/>
        </w:rPr>
        <w:t>有关新农村建设，邓小平同志的一个重要思想被忽略了。小平同志关于中国农村改革和发展有“两次飞跃论”：第一次飞跃，是家庭联产承包制，废除人民公社制度；第二次飞跃，仍然是集体化、集约化。邓小平明确指出，从长期来看，还是搞集约化，还是搞集体经济。他进一步认为，有的地方和群众凡是愿意搞集体经济的，可以允许它搞集体经济，不要去阻拦，但也不要强迫命令去搞集体经济。邓小平类似这样的言论很多。但长期以来我们对于“第二次飞跃”宣传和研究得不多，理论界和经济界不太清楚邓小平有“两次飞跃论”。我本人在《邓小平年谱》发表之前也没有关注。其实，上世纪80年代在实行家庭联产承包制以后，邓小平讲过好多次。我认为，建设社会主义新农村要坚持“两次飞跃论”的思想和方针，尽管现在可能多数还是在搞家庭联产承包制。关于当前的新农村建设，我想强调这样几个观点：</w:t>
      </w:r>
    </w:p>
    <w:p w14:paraId="023ED06B">
      <w:pPr>
        <w:spacing w:line="300" w:lineRule="auto"/>
        <w:ind w:firstLine="440" w:firstLineChars="200"/>
        <w:rPr>
          <w:rFonts w:ascii="宋体" w:hAnsi="宋体" w:eastAsia="宋体" w:cs="宋体"/>
          <w:szCs w:val="21"/>
        </w:rPr>
      </w:pPr>
      <w:r>
        <w:rPr>
          <w:rFonts w:hint="eastAsia" w:ascii="宋体" w:hAnsi="宋体" w:eastAsia="宋体" w:cs="宋体"/>
          <w:szCs w:val="21"/>
        </w:rPr>
        <w:t>一是提倡恢复和认真落实中央推行家庭联产承包制的完整体制和措施。1983年和1990年的中央文件，一直到十六大报告，都是说要建立统分结合的体制，即家庭承包经营和集体经营的双层经营体制。但过去始终停留在文件上，没有全面的贯彻。针对这种情况，我认为，应该在家庭联产承包制的基础上，大力提倡农村集体经济中的集体层的经营。如果集体层的经营没有了，那么就很难说是集体经济了。</w:t>
      </w:r>
    </w:p>
    <w:p w14:paraId="12853D37">
      <w:pPr>
        <w:spacing w:line="300" w:lineRule="auto"/>
        <w:ind w:firstLine="440" w:firstLineChars="200"/>
        <w:rPr>
          <w:rFonts w:ascii="宋体" w:hAnsi="宋体" w:eastAsia="宋体" w:cs="宋体"/>
          <w:szCs w:val="21"/>
        </w:rPr>
      </w:pPr>
      <w:r>
        <w:rPr>
          <w:rFonts w:hint="eastAsia" w:ascii="宋体" w:hAnsi="宋体" w:eastAsia="宋体" w:cs="宋体"/>
          <w:szCs w:val="21"/>
        </w:rPr>
        <w:t>二是要充分肯定和适当提倡像河南的南街村、刘庄等全国尚存的“完全集体经济”。关于严格意义上的“完全集体经济”，有一个统计资料说还有7000家，有一个资料说4000家，据说河南就有好几十家。这些一切生产资料完全归集体所有的经济组织，在经济学上是属于标准的集体经济。什么是集体经济？它和合作经济和股份经济是不一样的。标准的集体经济应是生产资料归该集体的劳动者所有，是不能量化到个人的。由个人或某些人承包可以，使用可以，但是不能所有。一旦生产资料或股份量化到个人就不是严格意义上的集体经济了，那就变形变质了。像南街村这样的经济组织，本来就是社会主义市场经济条件下农村集体经济的一种模式，或者说是社会主义新农村的典型之一。但南街村自己说它是“共产主义小社区”，可能不太准确。我认为它还是社会主义市场经济的一种农村集体经济模式，而且是标准的完全集体经济。社会主义新农村建设应该允许它的存在和发展。正如小平同志所指出的，群众愿意搞集体经济就应当允许搞，而且作为前进目标，还要适当提倡。</w:t>
      </w:r>
    </w:p>
    <w:p w14:paraId="02B0C77C">
      <w:pPr>
        <w:spacing w:line="300" w:lineRule="auto"/>
        <w:ind w:firstLine="440" w:firstLineChars="200"/>
        <w:rPr>
          <w:rFonts w:ascii="宋体" w:hAnsi="宋体" w:eastAsia="宋体" w:cs="宋体"/>
          <w:szCs w:val="21"/>
        </w:rPr>
      </w:pPr>
      <w:r>
        <w:rPr>
          <w:rFonts w:hint="eastAsia" w:ascii="宋体" w:hAnsi="宋体" w:eastAsia="宋体" w:cs="宋体"/>
          <w:szCs w:val="21"/>
        </w:rPr>
        <w:t>三是提倡集体经济的联合体。现在集体经济的资产和经营规模都很小，各个集体经济如果联合起来，进行市场交往，和政府的对话，和大公司的谈判，效果就会比较好。同时，集约化的程度也会高一些。因此，集体经济联合体应该大力提倡。</w:t>
      </w:r>
    </w:p>
    <w:p w14:paraId="59D17E85">
      <w:pPr>
        <w:spacing w:line="300" w:lineRule="auto"/>
        <w:ind w:firstLine="440" w:firstLineChars="200"/>
        <w:rPr>
          <w:rFonts w:ascii="宋体" w:hAnsi="宋体" w:eastAsia="宋体" w:cs="宋体"/>
          <w:szCs w:val="21"/>
        </w:rPr>
      </w:pPr>
      <w:r>
        <w:rPr>
          <w:rFonts w:hint="eastAsia" w:ascii="宋体" w:hAnsi="宋体" w:eastAsia="宋体" w:cs="宋体"/>
          <w:szCs w:val="21"/>
        </w:rPr>
        <w:t>四是提倡“农户＋农业合作经济组织＋公司”的模式。如果现在没有搞集体经济，有的单位也搞不成集体经济或不想搞，那么，至少应该搞合作经济。吴敬琏先生曾主张“农户＋公司”的模式。我觉得不能直接说农户加公司，应该是农户之间实行横向一体化，即成立合作社或合作经济组织，然后再实行纵向一体化。一个是横向一体化，农户之间成立各种形式的农业合作经济组织。然后再加公司，因而最好是“农户＋农业合作经济组织＋公司”。这样谈判的力量是不一样的。各个农民散户去谈，和农业合作经济组织去谈，谈判的成本、效果和收益是不同的，有着高低不同的交易费用。为什么有些人说农民是弱势群体？因为一家农户去谈当然就处于弱势地位。公司压价，甚至撕毁条约，由于市场不好到时不再收购的情况经常出现。即使要打官司，成本也很大。所以，进行农户之间的横向一体化非常必要。当前，在新农村建设中，有人主张土地私有化，我认为这是陈旧的观点。中国都搞了几千年的私有化了，解放前也是土地等生产资料私有化，但并没有实现高效益和共同富裕。小平同志讲的社会主义集体化和集约化二者是有关系的。如果实行私有制的生产，也能实行集约化，如资本主义私人农场，但是它实现不了集体化基础上的共同富裕。因而集约化可以通过两条道路来实现，但是共同富裕基础上的集约化只有一条道路，那就是集体经济，次优是合作经济。</w:t>
      </w:r>
    </w:p>
    <w:p w14:paraId="5A249038">
      <w:pPr>
        <w:spacing w:before="147" w:beforeLines="50" w:after="147" w:afterLines="50" w:line="300" w:lineRule="auto"/>
        <w:ind w:firstLine="500" w:firstLineChars="200"/>
        <w:jc w:val="center"/>
        <w:rPr>
          <w:rFonts w:ascii="宋体" w:hAnsi="宋体" w:eastAsia="宋体" w:cs="Times New Roman"/>
          <w:b/>
          <w:bCs/>
          <w:sz w:val="24"/>
        </w:rPr>
      </w:pPr>
      <w:bookmarkStart w:id="813" w:name="_Toc3483"/>
      <w:bookmarkStart w:id="814" w:name="_Toc4909"/>
      <w:bookmarkStart w:id="815" w:name="_Toc27257"/>
      <w:bookmarkStart w:id="816" w:name="_Toc27382"/>
      <w:bookmarkStart w:id="817" w:name="_Toc25862"/>
      <w:r>
        <w:rPr>
          <w:rFonts w:hint="eastAsia" w:ascii="宋体" w:hAnsi="宋体" w:eastAsia="宋体" w:cs="Times New Roman"/>
          <w:b/>
          <w:bCs/>
          <w:sz w:val="24"/>
        </w:rPr>
        <w:t>三、用推行二胎政策来解决老龄化问题的主张，是不可取的</w:t>
      </w:r>
      <w:bookmarkEnd w:id="813"/>
      <w:bookmarkEnd w:id="814"/>
      <w:bookmarkEnd w:id="815"/>
      <w:bookmarkEnd w:id="816"/>
      <w:bookmarkEnd w:id="817"/>
    </w:p>
    <w:p w14:paraId="2AC1138B">
      <w:pPr>
        <w:spacing w:line="300" w:lineRule="auto"/>
        <w:ind w:firstLine="440" w:firstLineChars="200"/>
        <w:rPr>
          <w:rFonts w:ascii="宋体" w:hAnsi="宋体" w:eastAsia="宋体" w:cs="宋体"/>
          <w:szCs w:val="21"/>
        </w:rPr>
      </w:pPr>
      <w:r>
        <w:rPr>
          <w:rFonts w:hint="eastAsia" w:ascii="宋体" w:hAnsi="宋体" w:eastAsia="宋体" w:cs="宋体"/>
          <w:szCs w:val="21"/>
        </w:rPr>
        <w:t>关于人口问题，我认为应该更加重视。近年来，有人主张扩大推行“二胎政策”，即允许所有农村户口的家庭在第一胎是女孩的情况下可以生二胎。我不赞同这个政策，因为它会使中国人口基数继续不适当地增大，不利于很多问题的解决，如环境问题、资源问题、城镇化问题、就业问题、人均国力和人均生活水平问题等诸多方面。在现有的生产资料和经济条件下，社会总劳动力相对过剩，是中国一系列问题的两个总根源之一(一个是体制机制问题，另一个是人口问题)。</w:t>
      </w:r>
    </w:p>
    <w:p w14:paraId="75E02A87">
      <w:pPr>
        <w:spacing w:line="300" w:lineRule="auto"/>
        <w:ind w:firstLine="440" w:firstLineChars="200"/>
        <w:rPr>
          <w:rFonts w:ascii="宋体" w:hAnsi="宋体" w:eastAsia="宋体" w:cs="宋体"/>
          <w:szCs w:val="21"/>
        </w:rPr>
      </w:pPr>
      <w:r>
        <w:rPr>
          <w:rFonts w:hint="eastAsia" w:ascii="宋体" w:hAnsi="宋体" w:eastAsia="宋体" w:cs="宋体"/>
          <w:szCs w:val="21"/>
        </w:rPr>
        <w:t>这些年来，人口老龄化的呼声很大，似乎“老龄化社会来了”就是“狼来了”，可怕得很。我认为，老龄化社会并没有什么可怕的，在相当的意义上说，老龄化社会是好事情，最好早点到来。现在出现老龄化，一个重要因素是因为我国20多年来实行计划生育少生了3亿多人口，否则，那当然还是年轻化，那中国的问题就更多、更难解决了。人的寿命延长了，老龄和老龄化社会的标准该提高了，联合国有关组织不是使用老年和次老年等新概念了吗？人的平均寿命还要继续延长，还套用传统指标？那当然慢慢都是老龄化城市了。如果哪天中国城乡真的都进入了传统指标设定的老龄化社会，那标志着中国人民的生活和医疗水平高了，寿命长了，这是大好事。传统指标设定的老龄化状态到来，也标志着计划生育工作搞的好，当然年轻人比例就少了。</w:t>
      </w:r>
    </w:p>
    <w:p w14:paraId="3766BF09">
      <w:pPr>
        <w:spacing w:line="300" w:lineRule="auto"/>
        <w:ind w:firstLine="440" w:firstLineChars="200"/>
        <w:rPr>
          <w:rFonts w:ascii="宋体" w:hAnsi="宋体" w:eastAsia="宋体" w:cs="宋体"/>
          <w:szCs w:val="21"/>
        </w:rPr>
      </w:pPr>
      <w:r>
        <w:rPr>
          <w:rFonts w:hint="eastAsia" w:ascii="宋体" w:hAnsi="宋体" w:eastAsia="宋体" w:cs="宋体"/>
          <w:szCs w:val="21"/>
        </w:rPr>
        <w:t>现在，有些经济学、人口学和社会学的学者主张立即全面恢复二胎政策，以此来解决所谓老龄化问题，这一主张是不可取的。我认为，解决老龄化问题，应实行一种有差别的农村社会保障。比如说，对于不生育的家庭实行高保，生一个女孩的家庭实行中保，生一个男孩的家庭实行低保，违纪生二胎的家庭实行不保，变处罚为奖励。要知道，现在我们都在不同程度上享受20多年来少生3亿多人口的“人口红利”，否则，人均国内生产总值和人均生活水平会有现在这么高，提高会有这么快？在妇幼保健、教育、就业、生活等一系列问题上，国家对新增人口都要花费大量资金。如果把实行严格计划生育所省下的大量的钱，来立即解决老龄人的生活等问题，那么经济上肯定更为合算。如果参照美国等发达国家的经济总量与人口的比例，中国在整个21世纪都不会出现劳动力总量上的供不应求，因而必须通过严格的一胎政策，即“城乡一胎、特殊二胎、严禁三胎、奖励无胎”，并以此来较快“先控后减”总人口，较快提升人口素质，较快赶上美、欧、日的人均国民生产总值、人均国力和人均生活水平。</w:t>
      </w:r>
    </w:p>
    <w:p w14:paraId="7122CF47">
      <w:pPr>
        <w:spacing w:line="300" w:lineRule="auto"/>
        <w:ind w:firstLine="440" w:firstLineChars="200"/>
        <w:rPr>
          <w:rFonts w:ascii="宋体" w:hAnsi="宋体" w:eastAsia="宋体" w:cs="宋体"/>
          <w:szCs w:val="21"/>
        </w:rPr>
      </w:pPr>
    </w:p>
    <w:p w14:paraId="1718A6C4">
      <w:pPr>
        <w:spacing w:line="300" w:lineRule="auto"/>
        <w:ind w:firstLine="440" w:firstLineChars="200"/>
        <w:rPr>
          <w:rFonts w:ascii="宋体" w:hAnsi="宋体" w:eastAsia="宋体" w:cs="宋体"/>
          <w:szCs w:val="21"/>
        </w:rPr>
      </w:pPr>
      <w:r>
        <w:rPr>
          <w:rFonts w:hint="eastAsia" w:ascii="宋体" w:hAnsi="宋体" w:eastAsia="宋体" w:cs="宋体"/>
          <w:szCs w:val="21"/>
        </w:rPr>
        <w:t>（原载于《北京日报》2007年4月30日第017版）</w:t>
      </w:r>
      <w:r>
        <w:rPr>
          <w:rFonts w:ascii="宋体" w:hAnsi="宋体" w:eastAsia="宋体" w:cs="宋体"/>
          <w:szCs w:val="21"/>
        </w:rPr>
        <w:br w:type="page"/>
      </w:r>
    </w:p>
    <w:p w14:paraId="5FEE4628">
      <w:pPr>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818" w:name="_Toc27705"/>
      <w:bookmarkStart w:id="819" w:name="_Toc111193688"/>
      <w:bookmarkStart w:id="820" w:name="_Toc2022618757"/>
      <w:bookmarkStart w:id="821" w:name="_Toc494899337"/>
      <w:r>
        <w:rPr>
          <w:rFonts w:hint="eastAsia" w:ascii="黑体" w:hAnsi="黑体" w:eastAsia="黑体" w:cs="Times New Roman"/>
          <w:kern w:val="0"/>
          <w:sz w:val="32"/>
          <w:szCs w:val="32"/>
        </w:rPr>
        <w:t>2</w:t>
      </w:r>
      <w:r>
        <w:rPr>
          <w:rFonts w:ascii="黑体" w:hAnsi="黑体" w:eastAsia="黑体" w:cs="Times New Roman"/>
          <w:kern w:val="0"/>
          <w:sz w:val="32"/>
          <w:szCs w:val="32"/>
        </w:rPr>
        <w:t>7</w:t>
      </w:r>
      <w:r>
        <w:rPr>
          <w:rFonts w:hint="eastAsia" w:ascii="黑体" w:hAnsi="黑体" w:eastAsia="黑体" w:cs="Times New Roman"/>
          <w:kern w:val="0"/>
          <w:sz w:val="32"/>
          <w:szCs w:val="32"/>
        </w:rPr>
        <w:t>新经济与美国经济增长的两类原因</w:t>
      </w:r>
      <w:bookmarkEnd w:id="818"/>
      <w:bookmarkEnd w:id="819"/>
      <w:bookmarkEnd w:id="820"/>
      <w:bookmarkEnd w:id="821"/>
    </w:p>
    <w:p w14:paraId="0F981E50">
      <w:pPr>
        <w:spacing w:before="147" w:beforeLines="50" w:line="300" w:lineRule="auto"/>
        <w:ind w:firstLine="440" w:firstLineChars="200"/>
        <w:rPr>
          <w:rFonts w:ascii="宋体" w:hAnsi="宋体" w:eastAsia="宋体" w:cs="Times New Roman"/>
          <w:szCs w:val="21"/>
        </w:rPr>
      </w:pPr>
      <w:r>
        <w:rPr>
          <w:rFonts w:hint="eastAsia" w:ascii="宋体" w:hAnsi="宋体" w:eastAsia="宋体" w:cs="Times New Roman"/>
          <w:szCs w:val="21"/>
        </w:rPr>
        <w:t>美国1993年第二季度至2001 年第二季度实现了持续稳定的增长。1991年3月-2001年6月为止，其增长已超过了123个月(已扣除1993年一季度0.1%的负增长)，成为自1854 年以来美国经济史上32个周期中最长的一次。在美国，持续9年的经济增长以及在低失业率状态下的低通货膨胀特点，引出人们对美国经济变形的种种说法，如“零通货膨胀”、“知识经济”、“新经济”等，其中以“新经济”之说争议最多。那么，究竟什么是新经济，围绕新经济的理论及其现实的争议是哪些，以及作为新经济先锋的美国为何连续增长，这些都是值得关注的问题。本文总结当前国内外经济学界对此主要看法，并提出一些新的评论和观点。</w:t>
      </w:r>
    </w:p>
    <w:p w14:paraId="5AED2C40">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一、新经济的提出及其定义</w:t>
      </w:r>
    </w:p>
    <w:p w14:paraId="619797E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1997年8月，迈克尔曼·德尔首先提出了“新经济周期”问题。1997年11月，美国《商业周刊》主编斯蒂芬·谢波德界定了“新经济”概念，指出新经济所具有的6大特征：实际国内生产总值(GDP)大幅度增长，公司运营利润上涨，失业率低，通货膨胀率低，进出口之和占GDP 的比例上升，GDP增长中高科技的贡献度比例上升。</w:t>
      </w:r>
    </w:p>
    <w:p w14:paraId="1EDAAC7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最早宣传“新经济”思想的《商业周刊》在界定这个名词时说：新经济并不意味着通货膨胀已经死亡；不意味着我们将不会有另一次经济衰退，或经济周期业已消失；不意味着股票市场必将摆脱自我调整而永远上升；也不意味着亚洲金融风暴不会影响美国。而认为，谈“新经济”的意思是指这几年已经出现的两种趋势，即经济的全球化和信息技术革命。</w:t>
      </w:r>
    </w:p>
    <w:p w14:paraId="0AB6CCD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从美国有关方面的文献可以看出，至少有3种不同和相互关联的“新经济”理论。一是长期增长论。这种观点认为，当前强劲的生产率增长能够使美国经济在没有通货膨胀的压力下高速增长。二是商业周期论。此观点认为，通货膨胀与失业之间的短期替代关系已经改变，因为今年来美国低失业和低通货膨胀同时并存。如1998年6月，美国麻省理工学院的教授多恩布什就提出了周期消失问题，认为只要政策得当，经济就可以摆脱商业循环。三是新增长源泉论。其观点认为，信息时代的特征导致了网络经济、收益递增和知识外溢效应，所有这些因素都改变了经济增长的模式。当人们讨论全球化和信息技术正改变着美国经济结构时，对其解释和关注焦点的细微差别将产生不同的结论和政策含义。</w:t>
      </w:r>
    </w:p>
    <w:p w14:paraId="28D6AB3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全球化也给经济增长带来了新因素。一是给跨国公司带来了更加丰厚的利润。再是全球化经济运作有利于平抑物价。美国可以根据自己的比较优势，集中于生产附加价值高的高新技术产品，而从别国进口其他产品，使上述产品的价格在美国市场上保持低廉，这对美国抑制通货膨胀十分有利。</w:t>
      </w:r>
    </w:p>
    <w:p w14:paraId="04BE94E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可见，信息革命和全球化确实给美国经济带来了新的内容，正是在这一背景下产生了“新经济”的概念和相关理论，然而，对此也有不同的声音。美国《前景》杂志主编罗伯特·库特纳就曾撰文认为“商业周期消失论”是夸大其词。加州大学伯克利分校政治学副教授和行为科学高级研究中心研究员斯蒂芬·韦伯则提出了“减幅论”，认为商业周期波动将变得轻微，更像一种“涟漪”(</w:t>
      </w:r>
      <w:r>
        <w:rPr>
          <w:rFonts w:ascii="Times New Roman" w:hAnsi="Times New Roman" w:eastAsia="宋体" w:cs="Times New Roman"/>
          <w:szCs w:val="21"/>
        </w:rPr>
        <w:t>ripples</w:t>
      </w:r>
      <w:r>
        <w:rPr>
          <w:rFonts w:hint="eastAsia" w:ascii="宋体" w:hAnsi="宋体" w:eastAsia="宋体" w:cs="Times New Roman"/>
          <w:szCs w:val="21"/>
        </w:rPr>
        <w:t>)。而站在持“新经济周期”论点的学者对立面的著名经济学家克鲁格曼则强调，美国经济并没有发生什么根本性的变革“， 新周期”看上去更像“老周期”，只是失业率低一点。其社会学结论是，21世纪将会被历史学家认为并不属于美国。</w:t>
      </w:r>
    </w:p>
    <w:p w14:paraId="661A853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上述纷争的存在，使得对新经济理论和现实作一番更深入的梳理和分析成为必要。</w:t>
      </w:r>
    </w:p>
    <w:p w14:paraId="03AE3C76">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二、新经济理论的主要内容与质疑</w:t>
      </w:r>
    </w:p>
    <w:p w14:paraId="1513F66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任何有关“新经济”的争论，都需要准确定义新经济，但从上文可以看出，迄今为止，“新经济”论并不是由某一个学者明确表达的一种思想，相反，大量的观点都聚集在新经济论的旗帜之下。我们将他们的观点划分为3 种具有广泛代表性的观点，即长期增长论、商业周期论和新增长源泉论。尽管这3 种观点的某些预测和含义有所不同，但其共同的内核构成了新经济理论的主要组成部分。同时，每一种观点均受到挑战和质疑。</w:t>
      </w:r>
    </w:p>
    <w:p w14:paraId="69870832">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(一)长期增长论</w:t>
      </w:r>
    </w:p>
    <w:p w14:paraId="54FF164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新经济的长期增长论认为，美国经济将长期保持较高的经济增长速度，而不会导致通货膨胀率的上升。美国《商业周刊》指出，受资本主义的广泛传播、经济的全球化和信息技术革命等因素的刺激，经济能够以较快的速度增长，而不会带来通货膨胀。</w:t>
      </w:r>
    </w:p>
    <w:p w14:paraId="6E24A02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新经济论的支持者认为，资本主义制度的流行和放松管制的盛行增加了市场竞争的压力，使资源得以更加有效地利用，从而加速了产出增长的速度，同时，信息技术改造了经济，降低了价格，提高了工资。也许更为重要的是，IT 从根本上改变了企业运作的方式。曼德尔(Mandel)认为，迄今为止主要由信息技术所推动的新经济，可能将成为更为广泛的技术、企业和金融创新繁荣的初期阶段。信息技术提高了生产率，降低了成本和存货，增加了企业和工人的灵活性。此外，莱斯特尔(lester) 也认为，全球化、放松管制和创新是带来生产率可持续增长的主要动力。</w:t>
      </w:r>
    </w:p>
    <w:p w14:paraId="70745B3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上述观点的质疑者指出，对长期增长论的实证论证，需要通过包括企业劳动生产率的增长，这次商业扩张后期经济的强劲增长，以及作为上述变化指示器的股票市场价格的飙升来说明。但事实却是，自20 世纪70 年代开始，美国的生产率和人均GDP 的增长率明显放慢，20 多年来生产率增长相对缓慢的趋势至今仍未有根本的扭转。</w:t>
      </w:r>
    </w:p>
    <w:p w14:paraId="29EA705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然而，支持者认为，缺乏生产率长期有力增长的证据，并不一定意味着不存在生产率的有力增长，这主要是因为全球化和信息技术的正面效应不便于计算。对信息技术的投资主要集中于金融、贸易、商业服务等服务部门，而这些部门的产出水平和生产率长期以来被低估了。由于不同的企业和不同的部门在生产过程中存在着不同的变量，总量指标可能并不是论证新经济是否存在的最佳方法。既然信息技术对每一个部门带来的影响是不同的，因此就不必拘泥于总量指标。</w:t>
      </w:r>
    </w:p>
    <w:p w14:paraId="3AAEDEC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许多质疑者认为，长期增长论者必须就以下几个重要问题作出回答，方能说明新经济是否存在：</w:t>
      </w:r>
    </w:p>
    <w:p w14:paraId="0F1C1B9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第一，统计问题是否变得更加恶化了？既然计量服务业部门的产出一直存在困难，新经济论暗含着统计问题在不断恶化，那么越来越多的产出就难以计算。这可能是正确的，但尚缺乏足够的证据。</w:t>
      </w:r>
    </w:p>
    <w:p w14:paraId="462FA0B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我们是否应该期望IT能改变经济？计算机不可能是生产的，因为它主要是重新分配产出，而不是创造产出。它提出了工人的效率(通过改善工作环境)，但并不增加产出。而且，在软件升级、系统兼容、人员培训、安装调试方面还有相应的支出，所有这些都降低了信息技术系统的总效率。</w:t>
      </w:r>
    </w:p>
    <w:p w14:paraId="16BD4F6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全球化能否真正控制通货膨胀并提高生产率？诚然，与30年前相比，美国经济国际化的程度有了很大提高。但这并不能突破美国经济增长速度的规律。全球化能控制通货膨胀并导致劳动生产率的提高可能是缺乏依据的。</w:t>
      </w:r>
    </w:p>
    <w:p w14:paraId="365545A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第四，现在的经济是否真正是“新”的？ 它是否以完全不同的模式运行，并且遵循完全不同的规则？或者它仅仅是原有经济规律在现代的运用？除了技术进步之外，新经济究竟有些什么是新的呢？从某些方面来看，没有。我们仍旧像从前一样以工作谋生和买、卖、交易产品及服务。萨皮罗</w:t>
      </w:r>
      <w:r>
        <w:rPr>
          <w:rFonts w:ascii="Times New Roman" w:hAnsi="Times New Roman" w:eastAsia="宋体" w:cs="Times New Roman"/>
          <w:szCs w:val="21"/>
        </w:rPr>
        <w:t>(shapiro)</w:t>
      </w:r>
      <w:r>
        <w:rPr>
          <w:rFonts w:hint="eastAsia" w:ascii="宋体" w:hAnsi="宋体" w:eastAsia="宋体" w:cs="Times New Roman"/>
          <w:szCs w:val="21"/>
        </w:rPr>
        <w:t>和瓦里安</w:t>
      </w:r>
      <w:r>
        <w:rPr>
          <w:rFonts w:ascii="Times New Roman" w:hAnsi="Times New Roman" w:eastAsia="宋体" w:cs="Times New Roman"/>
          <w:szCs w:val="21"/>
        </w:rPr>
        <w:t>(Varian)</w:t>
      </w:r>
      <w:r>
        <w:rPr>
          <w:rFonts w:hint="eastAsia" w:ascii="宋体" w:hAnsi="宋体" w:eastAsia="宋体" w:cs="Times New Roman"/>
          <w:szCs w:val="21"/>
        </w:rPr>
        <w:t>一针见血地指出：技术变化了，经济学规律并没有变，迅速的资本积累的确提高了劳动生产率，给经济的快速增长提供了可行的途径。然而，如上所述，其论据是混淆在一起的，用来论证新经济存在的依据，也正好是说明不存在什么新经济的论据。而且，单靠信息技术的积累，也不足以使生产率提高到新经济论者所期望的高度。计算机仅代表了美国2%的总资本存量。这个比例大小，不足以使整个经济发生很大变化，尽管该行业能获取与较高生产率相联系的超额回报。</w:t>
      </w:r>
    </w:p>
    <w:p w14:paraId="7C0A099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五，新经济是转型时期的现象还是一种长期的趋势？从某种意义上讲，迅猛发展的全球化、放松管制和信息化均处于转型时期当中，并最终将使劳动生产率水平得到大幅度提高，但这可能只是一个转型所带来的短期现象，技术进步仍将是推动长期经济增长的永恒的、强大的力量。</w:t>
      </w:r>
    </w:p>
    <w:p w14:paraId="175EF31A">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(二)商业周期论</w:t>
      </w:r>
    </w:p>
    <w:p w14:paraId="4ABF27AD">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菲利浦斯曲线阐明了对短期通货膨胀的一种传统观点：当失业率低于</w:t>
      </w:r>
      <w:r>
        <w:rPr>
          <w:rFonts w:ascii="Times New Roman" w:hAnsi="Times New Roman" w:eastAsia="宋体" w:cs="Times New Roman"/>
          <w:szCs w:val="21"/>
        </w:rPr>
        <w:t>NAIRU</w:t>
      </w:r>
      <w:r>
        <w:rPr>
          <w:rFonts w:hint="eastAsia" w:ascii="宋体" w:hAnsi="宋体" w:eastAsia="宋体" w:cs="Times New Roman"/>
          <w:szCs w:val="21"/>
        </w:rPr>
        <w:t>(自然失业</w:t>
      </w:r>
    </w:p>
    <w:p w14:paraId="30A943A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率，也称为不加速通货膨胀的失业率)时，通货膨胀率将上升。然而近年来，即使失业率不断下降，通货膨胀率依然在低位爬行。因此，有人开始重新评价菲利浦斯曲线和NAIRU 的概念。</w:t>
      </w:r>
    </w:p>
    <w:p w14:paraId="271EBEB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新经济论的商业周期观点认为，全球化使价格受到抑制，因为美国企业不得不面对海外廉价的进口商品和廉价的劳动力的竞争。同时，信息技术是企业能够在不提高价格的条件下提高劳动生产率，削减成本。从这个意义上讲，全球化和信息技术改变了经济结构，迫使企业按新的方式运作，不用铺张，也不必提高价格。</w:t>
      </w:r>
    </w:p>
    <w:p w14:paraId="43F5CA0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质疑者指出，商业周期论必须从两个方面进一步完善其理论框架，才能建立起令人信服的新经济论。</w:t>
      </w:r>
    </w:p>
    <w:p w14:paraId="0241CFA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首先，从理论上看，对全球化和信息化是如何改变劳动力市场，从而降低NAIRU 还没有明确的解释。新经济论的支持者也是从一般意义上谈及全球化和信息化提高了效率，促进了国际竞争，但并没有建立起全球化和信息化同实际决定</w:t>
      </w:r>
      <w:r>
        <w:rPr>
          <w:rFonts w:ascii="Times New Roman" w:hAnsi="Times New Roman" w:eastAsia="宋体" w:cs="Times New Roman"/>
          <w:szCs w:val="21"/>
        </w:rPr>
        <w:t>NAUIR</w:t>
      </w:r>
      <w:r>
        <w:rPr>
          <w:rFonts w:hint="eastAsia" w:ascii="宋体" w:hAnsi="宋体" w:eastAsia="宋体" w:cs="Times New Roman"/>
          <w:szCs w:val="21"/>
        </w:rPr>
        <w:t>的劳动力市场基本动态机制之间的直接联系。每个人都能想象出信息技术可能改善了信息交流、降低了交易成本和提高了劳动力市场的流动性，国际竞争可能改变了劳动和资本的相对力量对比，减少了工资压力，但这些观点还有没有综合起来确切给出有关部门劳动力市场的分析。</w:t>
      </w:r>
    </w:p>
    <w:p w14:paraId="2828950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其次，要区分长期的结构性变化和短期的变化，这的确不是一件容易的事情。新经济论者认为美国经济正经历着一次根本性的转变，然而他们对导致这种基本结构变化的解释不一定是正确的。传统宏观经济学除了指出全球化和IT 的实际重要性之外，还能解释由此带来的后果，不用依赖新的理论或者求助于建立新的结构性关系。</w:t>
      </w:r>
    </w:p>
    <w:p w14:paraId="78A7579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要区分暂时性因素和结构性变化是一项艰难的工作，它要求扎实的实证分析，更为重要的是需要更长时间段的一系列数据。只有观察了多年的、不同经济条件下的失业和通货膨胀，才可以就是否出现了结构性变化得出结论。彼林德尔</w:t>
      </w:r>
      <w:r>
        <w:rPr>
          <w:rFonts w:ascii="Times New Roman" w:hAnsi="Times New Roman" w:eastAsia="宋体" w:cs="Times New Roman"/>
          <w:szCs w:val="21"/>
        </w:rPr>
        <w:t>(Blider)</w:t>
      </w:r>
      <w:r>
        <w:rPr>
          <w:rFonts w:hint="eastAsia" w:ascii="宋体" w:hAnsi="宋体" w:eastAsia="宋体" w:cs="Times New Roman"/>
          <w:szCs w:val="21"/>
        </w:rPr>
        <w:t>总结了这一谨慎的观点：最近几年的经历并没有提供NAIRU 将低于5.5%的预期，现在要下此结论尚为时过早。</w:t>
      </w:r>
    </w:p>
    <w:p w14:paraId="0BD6455A">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(三)新增长源泉论</w:t>
      </w:r>
    </w:p>
    <w:p w14:paraId="326860F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这一观点就经济是如何增长的问题提出了完全不同的解释。该理论认为，经过深入的研究，发现了一个完全不同的过程是经济增长的主要动力，这也使得新增长源泉论最令人感兴趣，但也最有争议和难于证实的。</w:t>
      </w:r>
    </w:p>
    <w:p w14:paraId="2C70D60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传统经济学认为，在规模经济几乎不变的条件下，经济增长是投入增加和技术进步的结果。这其中，对如何计量投入和定义技术进步存在一些争议，但对经济增长包含着替代关系并无异议。因此，增加资本意味着投资、储蓄和放弃消费，而增加劳动投入要求增加教育开支、放弃休闲。任何解释不到的经济增长都被归因于全要素生产率(TFP)所致，也被称为著名的索洛残数(</w:t>
      </w:r>
      <w:r>
        <w:rPr>
          <w:rFonts w:ascii="Times New Roman" w:hAnsi="Times New Roman" w:eastAsia="宋体" w:cs="Times New Roman"/>
          <w:szCs w:val="21"/>
        </w:rPr>
        <w:t>Solow Residual</w:t>
      </w:r>
      <w:r>
        <w:rPr>
          <w:rFonts w:hint="eastAsia" w:ascii="宋体" w:hAnsi="宋体" w:eastAsia="宋体" w:cs="Times New Roman"/>
          <w:szCs w:val="21"/>
        </w:rPr>
        <w:t>)，它反映了诸如技术进步、外溢效应、效率的提高、规模经济等因素的影响。</w:t>
      </w:r>
    </w:p>
    <w:p w14:paraId="26870D9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新经济论采纳了TFP 的观点，认为一些重要的部门受益于收益递增、外在经济、标准化和网络经济。在网络经济的时代，更多的投入创造出更多的产出。比如像因特网、传真机或软件系统这样的新IT 产品的价值，将随着其他人也如此投资而不断增值。因此，这种生产的外溢效应使现在的经济增长速度超出了传统经济学的解释力。与此相关的观点还包括：一旦达到了规模经济，经济将实现非线形的增长，在像硅谷这样的工业化和社会化组织里形成了信息反馈的良性循环，通过技术进步和规模经济可以降低价格、提高质量。尽管对传统经济学来说，这些观点并无新意，但新经济论者赋予这些观点超乎寻常的重要性，并把它们看成是经济全面增长的推动力量。</w:t>
      </w:r>
    </w:p>
    <w:p w14:paraId="2B41873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新经济论者认为，通常所见到的硬件和软件的使用就是收益递增和网络效应的初步证据。因为现代的通信网络(像因特网这样的系统) 都是高科技密集型的，计算机硬件和软件都表现出了许多收益递增的特征，IT部门被认为是新经济的关键力量。全球化有助于通过扩大市场的范围而使关键部门实现规模经济所要求的规模。最后，由于信息产品和其他物质产品在具体的生产、定价方面存在明显的差别，新的数字经济的性质从根本上不同于原来的工业化经济。</w:t>
      </w:r>
    </w:p>
    <w:p w14:paraId="7139614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质疑者指出，新增长源泉论对收益递增、网络效应、外在经济、标准化等的看法都可能是成立的，但有几个概念性的和实证性的问题必须加以澄清，如生产率增长的证据、IT 产生的可计量的影响等。在发现经济外溢效应和生产率增长的具有说服力的证据之前，对这些观点都必须谨慎对待。</w:t>
      </w:r>
    </w:p>
    <w:p w14:paraId="33284492">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此外，德龙</w:t>
      </w:r>
      <w:r>
        <w:rPr>
          <w:rFonts w:hint="eastAsia" w:ascii="Times New Roman" w:hAnsi="Times New Roman" w:eastAsia="宋体" w:cs="Times New Roman"/>
          <w:szCs w:val="21"/>
        </w:rPr>
        <w:t>（</w:t>
      </w:r>
      <w:r>
        <w:rPr>
          <w:rFonts w:ascii="Times New Roman" w:hAnsi="Times New Roman" w:eastAsia="宋体" w:cs="Times New Roman"/>
          <w:szCs w:val="21"/>
        </w:rPr>
        <w:t>Delong</w:t>
      </w:r>
      <w:r>
        <w:rPr>
          <w:rFonts w:hint="eastAsia" w:ascii="宋体" w:hAnsi="宋体" w:eastAsia="宋体" w:cs="Times New Roman"/>
          <w:szCs w:val="21"/>
        </w:rPr>
        <w:t>)提出质疑，这些观点是否真的是“新”的？IT的经历并没有什么独特之外，因为大量的产品在面向市场之后都经历了价格下降、质量提高的过程。并没有迹象表明现阶段的网络经济比早期“产业革命”时期有什么更新奇的发展。</w:t>
      </w:r>
    </w:p>
    <w:p w14:paraId="4CE22D9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综上所述，新经济论的描述性特征，就是强调全球化和信息技术(IT)的不断发展是经济发展的基本原因。在上述3种观点中，全球化和信息化不仅仅被看成是其他要素的代表，而且被看成是从根本上改变经济的推动力量。从表面上看这是符合事实的，然而，关键的问题是这些变化是否是“新”的，它们是否能真正改变经济运行的模式。</w:t>
      </w:r>
    </w:p>
    <w:p w14:paraId="3F759F4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根据现有的证据，要科学地判断新经济是否真正出现还为时尚早。新经济应建立在经济发生了结构性变化的假设上，但目前缺乏充足的数据说明哪些是基础性变化，哪些是会产生同样结果的暂时性变化。正像韦伯(</w:t>
      </w:r>
      <w:r>
        <w:rPr>
          <w:rFonts w:ascii="Times New Roman" w:hAnsi="Times New Roman" w:eastAsia="宋体" w:cs="Times New Roman"/>
          <w:szCs w:val="21"/>
        </w:rPr>
        <w:t>Webber</w:t>
      </w:r>
      <w:r>
        <w:rPr>
          <w:rFonts w:hint="eastAsia" w:ascii="宋体" w:hAnsi="宋体" w:eastAsia="宋体" w:cs="Times New Roman"/>
          <w:szCs w:val="21"/>
        </w:rPr>
        <w:t>)所指出的，扎实的实证分析是比较和评价新经济和旧经济观点的唯一方法。经济学家应当开始考虑实证检验，通过得出的结论，以便确定是否存在“新经济”。</w:t>
      </w:r>
    </w:p>
    <w:p w14:paraId="1A6546A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新经济论的支持者下一步要做的工作就是把不同的观点综合为一种统一的、有内在联系的解释。建立一个完善的全球化和信息化是如何既能影响长期增长趋势，又能影响短期劳动力市场机制的模型，将是对这场争论的一个有价值的贡献。这个模型需要解释全球化和信息化是如何改变失业、通货膨胀与经济增长之间的相互关系的(也许是通过增加劳动力市场流动性、信息交流、组织变化或减少交易成本来实现的) 。一个统一的模型也将提出一些经得起检验的假设来评价新经济论的有效性。</w:t>
      </w:r>
    </w:p>
    <w:p w14:paraId="7AAA2F11">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三、美国新经济实况与经济增长的两类原因</w:t>
      </w:r>
    </w:p>
    <w:p w14:paraId="119ED135">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(一)新经济现象的特点与问题：以美国为例</w:t>
      </w:r>
    </w:p>
    <w:p w14:paraId="4A5C91F2">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如果可以把20 世纪90 年代以来美国在技术和经济方面发生的重要变化称为“新经济”的话，那么，这种新技术经济的现象具有以下持久性的总体特点：</w:t>
      </w:r>
    </w:p>
    <w:p w14:paraId="6F757E6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一是以知识提升为基础。与传统经济相比，当今经济的知识含量快速提升，这充分体现在产品、产业和人力中。知识和拥有知识的劳动力是最重要的经济要素，知识对经济增长的贡献越来越大。在美国，每年用于知识的生产及其传播的开支约占其国内生产总值的20 % ，其中，普通教育开支占10 % ，培训和在职教育开支占5 % ，研究和开发费用占5 %。现在，美国几乎60 %的工人是知识工人，80 %的新职业是由知识密集型的部门创造的。</w:t>
      </w:r>
    </w:p>
    <w:p w14:paraId="170A255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二是以信息技术为先导。同以往经济社会相异，现今信息技术一马当先，信息产业及其直接相关产业已在美国占主导地位。由计算机系统(电脑、软件及其服务)，通讯(电话、有线、无线及其卫星) 等构成的全新的多媒体产业发展迅猛，1996 年就占美国国内生产总值的14%，1997 年，电话、电脑、娱乐、金融服务等“新经济产品”的消费平均增长12.5%。</w:t>
      </w:r>
    </w:p>
    <w:p w14:paraId="675DC91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三是以全球市场为导向。由于本国资源和市场的不足，以及积极推行贸易自由化、金融自由化等合法和非法的措施等，美国的新经济现象显然是以对外经济急剧扩张为前提的。目前，美国实行全球经济的企业由10 年前占全美企业总数的20 %上升至60 % ，外贸依存度也大大增加。</w:t>
      </w:r>
    </w:p>
    <w:p w14:paraId="474EED4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四是以企业网络为载体。美国率先对企业结构进行重组和重建，使企业实现了网络化经</w:t>
      </w:r>
    </w:p>
    <w:p w14:paraId="798A101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营。美国的因特网已连接世界186 个国家和地区，电子商务每年以200 %的速度递增，到1999年，美国39 %的零售商品在电子网络上出售，并日渐用电子货币的形式来支付。</w:t>
      </w:r>
    </w:p>
    <w:p w14:paraId="4C12154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至于绝大多数文献和舆论认为新经济的特点是商业周期的消失或淡化，则本来就缺乏理论和实证依据，因为美国1993 年初以前和今年第三季度以来，以及日本经济10 年都启动不起来等，均有力地说明了这一点。</w:t>
      </w:r>
    </w:p>
    <w:p w14:paraId="6F35427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不管美国政府和企业如何为长期经济增长努力，资本主义市场经济的运行机制和发展态势表明，增长与衰退交替出现是一个客观规律。事实上，在“9·11”事件之前，美国经济已困难重重，危机四伏。它突出地表现为：(1)股市泡沫泛起。其成本与收益之比达35倍，远远高于过去70年14.5%的平均水平，这种“非理性繁荣”是刺破经济泡沫的金针。(2) 财富和收入差距扩大。在美国家庭净资产中，1%的最富家庭占37%，9%的较富家庭占31%，其余90 %的家庭只占32 %；美国人口中最富有的20%与最贫穷的20%，其收入差距是9 倍。1998 年美国大公司总裁的年收入平均高达1067 万美元，比上年高出36%，而一般工人平均收入仅22976美元，蓝领的收入增幅为2.7% ，白领的收入增幅为3.9%。这直接导致了个人储蓄率下降。(3)实物经济不断萎缩。从1970 年以来，美国的实物经济年均收缩2%，至今实物产出量已下降一半。其国内生产总值的增长主要来自第三产业，而各种金融投资活动的泛滥，极易诱发金融危机和经济危机。(4) 潜伏着通货膨胀的险情。美国目前存在大量的经常项目赤字，这是造成美元下跌从而引发通货膨胀的潜在因素。由于石油和其他初级产品的价格低廉，以及亚洲金融危机抑制了美国的进口价格等等，因而通货膨胀的潜在性暂时没有转化为现实。此外，还有库存量增加，消费者信心指数不高等问题。</w:t>
      </w:r>
    </w:p>
    <w:p w14:paraId="2E129F4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因此，从2000年底开始，直到2001年第二季度，美国经济增长已下滑至0.3%，8月和9月初已出现负增长，经济衰退已成定局。可见，即使没有“9·11”事件，美国经济也肯定会出现危机，从而陷入“新经济”的商业周期之中。但是，美国执政者为了掩盖根源，推卸责任，转移视线，故意渲染和夸大“9·11”事件的负面影响，这是明显的。</w:t>
      </w:r>
    </w:p>
    <w:p w14:paraId="798FA189">
      <w:pPr>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(二)20世纪90年代美国经济增长的两类原因</w:t>
      </w:r>
    </w:p>
    <w:p w14:paraId="7F1677A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20世纪90年代，美国经济相对繁荣，不能单纯从一般意义上的新经济、信息化和全球化来解释。全面地观察，主要有两类原因，一类出于高科技推动的生产力和经济全球化，以及经济关系、经济制度和经济政策的调整，这是一般因素；另一类是特殊原因，如苏联东欧社会主义国家崩溃所形成的经济机会，以及美国推行经济等霸权主义所占的经济便宜。其中，经济政策的推动作用表现在：</w:t>
      </w:r>
    </w:p>
    <w:p w14:paraId="1788321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第一，刺激供给和控制需求相结合的财政政策促进了平衡预算的出现。</w:t>
      </w:r>
    </w:p>
    <w:p w14:paraId="4BC8046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新经济自由主义者认为财政赤字是“滞涨”的主要症状和美国经济其他问题的总根源，自20 世纪80 年代初开始，美国就着手控制和削减政府支出。经努力，目前的美国政府成为35 年来雇员最少的政府，并将财政赤字减少到了最小的程度。自1981 年里根政府提出“经济复兴计划”后，美国还把减税以刺激私人投资作为新自由主义改革的主要措施，大大促进了企业的投资，刺激了经济的发展，扩大了政府的税基，从而实现了在降低税率的同时增加税收总额的目标。</w:t>
      </w:r>
    </w:p>
    <w:p w14:paraId="30B9DDE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正因为采纳了通过减税以刺激供给和通过削减政府开支以控制需求的“双管齐下”政策，近年来美国的财政赤字迅速缩减。而财政赤字的大幅度下降增强了人们对美国经济前景的信心，促进长期利率走低，这不仅推动了投资市场的繁荣，而且也大大增强了美联储运用货币政策进行调控的能力。</w:t>
      </w:r>
    </w:p>
    <w:p w14:paraId="7BFF992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第二，稳定、连续、中性的货币政策推动了低通货膨胀下的经济增长。</w:t>
      </w:r>
    </w:p>
    <w:p w14:paraId="269A0B3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在新古典宏观经济学的货币理论影响下，美国自20世纪80年代以来一直把制止通货膨胀作为宏观调控的首要目标，实现稳定、连续、中性的货币政策。特别是20世纪90年代以来，美联储坚持中性的货币政策，让利率保持中性，对经济既不起刺激作用，也不起抑制作用，从而使经济以其自身的潜在增长率在低通货膨胀下保持增长。而利率较低并保持基本稳定，则大大促进了企业的投资，特别是用于高技术和先进设备方面的投资。</w:t>
      </w:r>
    </w:p>
    <w:p w14:paraId="21DCCD9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第三，放松国家限制的政策增强了企业乃至整个经济的活力。</w:t>
      </w:r>
    </w:p>
    <w:p w14:paraId="20775CE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在新自由主义经济学的推动下，美国自20世纪80年代以来大大放松了对企业的行政干预和限制，在各个方面为自由市场的顺利运行创造了有利条件。尽管这一政策不利于劳动者及其消费，但它可以使企业的负担和成本进一步下降，从而增强了竞争力。金融管制的放松则促进了金融创新活动的加快，也刺激了企业的投资和技术创新活动。</w:t>
      </w:r>
    </w:p>
    <w:p w14:paraId="02F9D5F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就20世纪90年代美国经济增长的特殊原因来说，主要有下列两个：</w:t>
      </w:r>
    </w:p>
    <w:p w14:paraId="2EA1CDE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1.苏东国家的削弱和经互会的解体，为美国经济增长提供了特殊的有利条件。</w:t>
      </w:r>
    </w:p>
    <w:p w14:paraId="610A0C8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苏联的解体，东欧社会主义国家的衰败，以及经互会和华沙军事集团的解体，使美国在世界上处于独一无二的霸主地位，客观上增强人们对美国经济增长的信心，并在资源、市场、技术、人员和出售军火等方面获利巨大。况且，在当今国际市场波动趋强的情况下，大多数国家都将美国视为较为安全的贸易和投资场所。</w:t>
      </w:r>
    </w:p>
    <w:p w14:paraId="3DE138A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2.包括金融在内的经济霸权主义的特殊地位，为美国经济增长提供了特殊的有利条件。</w:t>
      </w:r>
    </w:p>
    <w:p w14:paraId="6258763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次世界大战后，在国际货币体系中美元一直具有十分重要的地位。尽管布雷顿森林体系崩溃后，美元地位一度有所削弱，但其在国际贸易、投资中的主导地位一直没有改变。苏东国家蜕变后，随着美国强权政治和经济地位的巩固，美元的中心地位得到增强。美元的特殊地位使美国在国际交往中获得了巨大利益，主要体现在：通过大量发行美元，并与世界其他各国间的循环，为美国经济注入强大的推动力。</w:t>
      </w:r>
    </w:p>
    <w:p w14:paraId="77027F1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美国是当今世界贸易逆差最大、资本净流入最大的国家。巨大的贸易逆差，意味着美国可以进口更便宜的商品，在消耗自身的各种资源较少的情况下，大量地利用了别国资源，而逆差可以通过巨大的资本净流入弥补。这一方面使美国在国民储蓄很低的情况下，依靠大量的外资流入弥补资金缺口，另一方面有助于美国的居民消费可以保持较高的增长水平，支持着美国经济的发展。</w:t>
      </w:r>
    </w:p>
    <w:p w14:paraId="78B57ED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更重要的在于，美国通过各种对冲基金、控制国际金融组织和经济组织，主导制订和推行较有利于美国的国际经济秩序和经济规则等等，合法与非法地无偿占有了别国的财富，客观上也能推动本国的经济增长。</w:t>
      </w:r>
    </w:p>
    <w:p w14:paraId="08F1C3EE">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四、结语</w:t>
      </w:r>
    </w:p>
    <w:p w14:paraId="47A5E1E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新经济理论的提出是建立在新一轮美国经济的持续增长之上，而后者则可以被称作新经济的现实。可是，一国内部的经济不断社会化与生产要素的私有制之间的矛盾，国际社会的经济不断全球化与生产要素的私有制和国有制之间的矛盾，以及一国和全球经济的无政府或无秩序或无计划状态，必然导致一国和全球经济的紊乱和衰退。甭说日本、俄罗斯和不发达的资本主义国家等，就是作为新经济的样板——美国也难以逃脱周期性衰退的命运。美国经济在2001 年第三和第四季度的衰退，表明已正式陷入新一轮的周期之中。美国的霸权主义试图运用延长或扩大战争的办法来刺激经济能否真正奏效，我们将拭目以待。通过上述阐述可以看出，新经济的理论与现实都与新经济论者所试图定义和描述的要复杂得多。我们认为，既要充分认识高科技的巨大效能和新经济的迹象，但又不宜过分神话美国经济；对新经济的理论和现实，都应抱有某种审慎的态度。</w:t>
      </w:r>
    </w:p>
    <w:p w14:paraId="7C41BC4D">
      <w:pPr>
        <w:spacing w:line="300" w:lineRule="auto"/>
        <w:ind w:firstLine="440" w:firstLineChars="200"/>
        <w:rPr>
          <w:rFonts w:ascii="宋体" w:hAnsi="宋体" w:eastAsia="宋体" w:cs="Times New Roman"/>
          <w:szCs w:val="21"/>
        </w:rPr>
      </w:pPr>
    </w:p>
    <w:p w14:paraId="3EE7376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w:t>
      </w:r>
      <w:r>
        <w:rPr>
          <w:rFonts w:ascii="宋体" w:hAnsi="宋体" w:eastAsia="宋体" w:cs="Times New Roman"/>
          <w:szCs w:val="21"/>
        </w:rPr>
        <w:t>原载</w:t>
      </w:r>
      <w:r>
        <w:rPr>
          <w:rFonts w:hint="eastAsia" w:ascii="宋体" w:hAnsi="宋体" w:eastAsia="宋体" w:cs="Times New Roman"/>
          <w:szCs w:val="21"/>
        </w:rPr>
        <w:t>《上海社会科学院学术季刊》2002年第1期，第二作者为余文静）</w:t>
      </w:r>
    </w:p>
    <w:p w14:paraId="6BE48981">
      <w:pPr>
        <w:bidi w:val="0"/>
      </w:pPr>
      <w:r>
        <w:br w:type="page"/>
      </w:r>
    </w:p>
    <w:p w14:paraId="6D151F25">
      <w:pPr>
        <w:spacing w:before="147" w:beforeLines="50" w:after="147" w:afterLines="50" w:line="300" w:lineRule="auto"/>
        <w:ind w:firstLine="660" w:firstLineChars="200"/>
        <w:jc w:val="center"/>
        <w:outlineLvl w:val="1"/>
        <w:rPr>
          <w:rFonts w:ascii="黑体" w:hAnsi="黑体" w:eastAsia="黑体" w:cs="Times New Roman"/>
          <w:kern w:val="0"/>
          <w:sz w:val="32"/>
          <w:szCs w:val="32"/>
        </w:rPr>
      </w:pPr>
      <w:bookmarkStart w:id="822" w:name="_Toc4637"/>
      <w:bookmarkStart w:id="823" w:name="_Toc257922027"/>
      <w:bookmarkStart w:id="824" w:name="_Toc111193689"/>
      <w:bookmarkStart w:id="825" w:name="_Toc1634800536"/>
      <w:bookmarkStart w:id="826" w:name="_Toc568992128"/>
      <w:r>
        <w:rPr>
          <w:rFonts w:hint="eastAsia" w:ascii="黑体" w:hAnsi="黑体" w:eastAsia="黑体" w:cs="Times New Roman"/>
          <w:kern w:val="0"/>
          <w:sz w:val="32"/>
          <w:szCs w:val="32"/>
        </w:rPr>
        <w:t>2</w:t>
      </w:r>
      <w:r>
        <w:rPr>
          <w:rFonts w:ascii="黑体" w:hAnsi="黑体" w:eastAsia="黑体" w:cs="Times New Roman"/>
          <w:kern w:val="0"/>
          <w:sz w:val="32"/>
          <w:szCs w:val="32"/>
        </w:rPr>
        <w:t>8</w:t>
      </w:r>
      <w:r>
        <w:rPr>
          <w:rFonts w:hint="eastAsia" w:ascii="黑体" w:hAnsi="黑体" w:eastAsia="黑体" w:cs="Times New Roman"/>
          <w:kern w:val="0"/>
          <w:sz w:val="32"/>
          <w:szCs w:val="32"/>
        </w:rPr>
        <w:t>理论假设的分类与马克思主义经济学的创新</w:t>
      </w:r>
      <w:bookmarkEnd w:id="822"/>
      <w:bookmarkEnd w:id="823"/>
      <w:bookmarkEnd w:id="824"/>
      <w:bookmarkEnd w:id="825"/>
      <w:bookmarkEnd w:id="826"/>
    </w:p>
    <w:p w14:paraId="27A5ADBD">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一、问题的提出</w:t>
      </w:r>
    </w:p>
    <w:p w14:paraId="001C025E">
      <w:pPr>
        <w:spacing w:line="300" w:lineRule="auto"/>
        <w:ind w:firstLine="440" w:firstLineChars="200"/>
        <w:rPr>
          <w:rFonts w:ascii="宋体" w:hAnsi="宋体" w:eastAsia="宋体" w:cs="Times New Roman"/>
        </w:rPr>
      </w:pPr>
      <w:r>
        <w:rPr>
          <w:rFonts w:hint="eastAsia" w:ascii="宋体" w:hAnsi="宋体" w:eastAsia="宋体" w:cs="Times New Roman"/>
        </w:rPr>
        <w:t>假设是科学研究的重要环节，经济学也不例外。有了前提性假设，才可能有经济学自己的演绎过程和逻辑推理。严格说来，假设有假说与假定两个含义。经济学上所说的假说法，是指以已有的经济事实材料与科学原理为依据，对未知的经济事物或规律性作推测性分析的一种方法。相对科学的经济理论假说，虽是以现有的经济事实和经济科学知识为依据，但由于包含确实可靠与真实性尚未判定的两部分内容，因而具有推测成份，是经济思维接近客观真理的有效方式。经济学假说的验证则是一个历史过程，并且具有实践的相对性；而经济学上的假定法，则是出于经济研究的方便和简化，在逻辑分析的始点就事先设定某种经济状态的一种方法。不过，经济学的假说和假定时常交织在一起，我们有时也就可以笼统地用经济理论假设来表达经济思想。</w:t>
      </w:r>
    </w:p>
    <w:p w14:paraId="4A52DB8D">
      <w:pPr>
        <w:spacing w:line="300" w:lineRule="auto"/>
        <w:ind w:firstLine="440" w:firstLineChars="200"/>
        <w:rPr>
          <w:rFonts w:ascii="宋体" w:hAnsi="宋体" w:eastAsia="宋体" w:cs="Times New Roman"/>
        </w:rPr>
      </w:pPr>
      <w:r>
        <w:rPr>
          <w:rFonts w:hint="eastAsia" w:ascii="宋体" w:hAnsi="宋体" w:eastAsia="宋体" w:cs="Times New Roman"/>
        </w:rPr>
        <w:t>由于以往人们强调马克思主义经济学的真理性和现实性，因而一律偏好使用“普遍原理”或“基本原理”之类的词汇，不愿或不敢退一步，把某些经济思想和理论视为或同时也定义为一种“理论假设”，似乎假设都是脱离实际的或无意义的空想和幻想，会贬低马克思主义经济学原理的重要性。出于同现代西方主流经济学交流或论争的需要，现在应当改变某些用语习惯，适度采用“理论假设”一词及其逻辑叙述方法。</w:t>
      </w:r>
    </w:p>
    <w:p w14:paraId="03E84F1A">
      <w:pPr>
        <w:spacing w:line="300" w:lineRule="auto"/>
        <w:ind w:firstLine="440" w:firstLineChars="200"/>
        <w:rPr>
          <w:rFonts w:ascii="宋体" w:hAnsi="宋体" w:eastAsia="宋体" w:cs="Times New Roman"/>
        </w:rPr>
      </w:pPr>
      <w:r>
        <w:rPr>
          <w:rFonts w:hint="eastAsia" w:ascii="宋体" w:hAnsi="宋体" w:eastAsia="宋体" w:cs="Times New Roman"/>
        </w:rPr>
        <w:t>例如，在恩格斯看来，马克思的第一个发现——历史唯物主义在第二个发现——剩余价值理论形成之前，没有得到证实，因而还属于假设性质。问题在于，现代西方大多数学者仍不承认历史唯物主义，为了推进交流和论争，我们也可退一步，同时把历史唯物主义称之为假设。这是因为，严格来说假设同原理或公理是有区别的，但也是可以转化的。在包括历史观在内的某一经济学或其他社会科学的理论假设算不算作公理的问题上，渗透着研究者主体不同的价值判断和对实证资料的理解。基于不同的方法和立场，即使马克思主义者拿出再硬的实证史料和逻辑证据，资产阶级学者也不一定承认马克思主义及其经济学的一些基本理论是正确的，但会确认其为理论假设，这将有益于论争的简化和深化。此外，马克思主义社会科学中某些被资本主义或前资本主义的实践证明是正确的理论，以及属于对向社会主义过渡或社会主义的理论分析，均须在当代中外多样化实践中继续进行检验及展开逻辑体系的不断完善。从这个意义上说，那些被认为是某种原理、公理或思想预见的理论观点，不妨也可称之为理论假设。</w:t>
      </w:r>
    </w:p>
    <w:p w14:paraId="3CE79F70">
      <w:pPr>
        <w:spacing w:line="300" w:lineRule="auto"/>
        <w:ind w:firstLine="440" w:firstLineChars="200"/>
        <w:rPr>
          <w:rFonts w:ascii="宋体" w:hAnsi="宋体" w:eastAsia="宋体" w:cs="Times New Roman"/>
        </w:rPr>
      </w:pPr>
      <w:r>
        <w:rPr>
          <w:rFonts w:hint="eastAsia" w:ascii="宋体" w:hAnsi="宋体" w:eastAsia="宋体" w:cs="Times New Roman"/>
        </w:rPr>
        <w:t>有争议的问题在于：经济学研究能不能随意进行假设呢?任意假设是可以的，但这种假设下的研究及其结论往往是局部的、片面的或错误的。现代马克思主义经济学在科学扬弃现代西方经济学的过程中强调学术严谨和贴近现实，不赞成随意假设，因而需要对理论假设进行分类。</w:t>
      </w:r>
    </w:p>
    <w:p w14:paraId="55943562">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二、理论假设的分类</w:t>
      </w:r>
    </w:p>
    <w:p w14:paraId="0CA77052">
      <w:pPr>
        <w:spacing w:line="300" w:lineRule="auto"/>
        <w:ind w:firstLine="440" w:firstLineChars="200"/>
        <w:rPr>
          <w:rFonts w:ascii="宋体" w:hAnsi="宋体" w:eastAsia="宋体" w:cs="Times New Roman"/>
          <w:b/>
        </w:rPr>
      </w:pPr>
      <w:r>
        <w:rPr>
          <w:rFonts w:hint="eastAsia" w:ascii="宋体" w:hAnsi="宋体" w:eastAsia="宋体" w:cs="Times New Roman"/>
          <w:b/>
        </w:rPr>
        <w:t>1．根据假设同历史和现实的关系，可分为合乎历史和现实的或背离历史和现实的假设</w:t>
      </w:r>
    </w:p>
    <w:p w14:paraId="0CD96516">
      <w:pPr>
        <w:spacing w:line="300" w:lineRule="auto"/>
        <w:ind w:firstLine="440" w:firstLineChars="200"/>
        <w:rPr>
          <w:rFonts w:ascii="宋体" w:hAnsi="宋体" w:eastAsia="宋体" w:cs="Times New Roman"/>
        </w:rPr>
      </w:pPr>
      <w:r>
        <w:rPr>
          <w:rFonts w:hint="eastAsia" w:ascii="宋体" w:hAnsi="宋体" w:eastAsia="宋体" w:cs="Times New Roman"/>
        </w:rPr>
        <w:t>譬如，现代西方经济学假定交易费用为零的“科斯第一定理”，就属于不现实的假设。其道理，如同假设历史的或现实的计划管理费用为零是一样的。又如，与西方“公平与效率高低反向变动假设”不同，我们提出“公平与效率互促同向变动假设”是表明，经济公平与经济效率具有正反同向变动的交促互补关系，即经济活动的制度、权利、机会和结果等方面越是公平，效率就越高；相反，越不公平，效率就越低。国内外日趋增多的正反历史资料和实例也表明，公平与效率具有正相关联系，二者呈此长彼长、此消彼消的正反同向变动的交促关系和互补性。倘若我国不重蹈为某些资本主义国家在历史上曾走过、又为美国库兹涅茨所描述的“倒U型假说”之路径，那么，就能通过逐步健全一种公平与效率兼得的良性循环机制，来推进全社会的共同富裕和经济和谐。</w:t>
      </w:r>
    </w:p>
    <w:p w14:paraId="71EFF316">
      <w:pPr>
        <w:spacing w:line="300" w:lineRule="auto"/>
        <w:ind w:firstLine="440" w:firstLineChars="200"/>
        <w:rPr>
          <w:rFonts w:ascii="宋体" w:hAnsi="宋体" w:eastAsia="宋体" w:cs="Times New Roman"/>
          <w:b/>
        </w:rPr>
      </w:pPr>
      <w:r>
        <w:rPr>
          <w:rFonts w:hint="eastAsia" w:ascii="宋体" w:hAnsi="宋体" w:eastAsia="宋体" w:cs="Times New Roman"/>
          <w:b/>
        </w:rPr>
        <w:t>2．根据假设的科学性程度，可分为较科学的或不科学的假设</w:t>
      </w:r>
    </w:p>
    <w:p w14:paraId="531519AF">
      <w:pPr>
        <w:spacing w:line="300" w:lineRule="auto"/>
        <w:ind w:firstLine="440" w:firstLineChars="200"/>
        <w:rPr>
          <w:rFonts w:ascii="宋体" w:hAnsi="宋体" w:eastAsia="宋体" w:cs="Times New Roman"/>
        </w:rPr>
      </w:pPr>
      <w:r>
        <w:rPr>
          <w:rFonts w:hint="eastAsia" w:ascii="宋体" w:hAnsi="宋体" w:eastAsia="宋体" w:cs="Times New Roman"/>
        </w:rPr>
        <w:t>以公有制与市场经济可否有效结合的假设为例，我国和越南的历史经验已经部分有力地证明：这一问题的肯定性假设比较科学，而否定性的假设则是不科学的（科斯也承认，关于公有制与市场经济能否结合这一点，现在还不能被证伪）。与“活劳动创造价值假设”相比，“生产三要素创造价值假设”显得缺乏科学性、历史性和实际性，因为历史上的奴隶主、地主和资本家所占有和出租的生产资料本身不能创造任何新价值。不过，我们必须提出“新的活劳动创造价值假设”。因为依据已有市场经济的历史实践和马克思关于活劳动创造为市场交换而生产的商品价值，以及纯粹为商品价值形态转换服务的流通活动不创造价值的科学精神，可以推断，凡是直接为市场交换而生产物质商品和精神商品以及直接为劳动力商品的生产和再生产服务的劳动，其中包括自然人和法人实体的内部管理劳动和科技劳动，都属于创造价值的劳动或生产劳动。这一“新的活劳动创造价值假设”，不仅没有否定马克思关于“活劳动创造价值假设”的核心思想和方法，而且恰恰是遵循了马克思研究物质生产领域价值创造的思路，并把它扩展到一切社会经济部门后所形成的必然结论。</w:t>
      </w:r>
    </w:p>
    <w:p w14:paraId="3C121B90">
      <w:pPr>
        <w:spacing w:line="300" w:lineRule="auto"/>
        <w:ind w:firstLine="440" w:firstLineChars="200"/>
        <w:rPr>
          <w:rFonts w:ascii="宋体" w:hAnsi="宋体" w:eastAsia="宋体" w:cs="Times New Roman"/>
          <w:b/>
        </w:rPr>
      </w:pPr>
      <w:r>
        <w:rPr>
          <w:rFonts w:hint="eastAsia" w:ascii="宋体" w:hAnsi="宋体" w:eastAsia="宋体" w:cs="Times New Roman"/>
          <w:b/>
        </w:rPr>
        <w:t>3．根据假设的时间跨度，可分为历史型、未来型或混合型的假设</w:t>
      </w:r>
    </w:p>
    <w:p w14:paraId="227E4274">
      <w:pPr>
        <w:spacing w:line="300" w:lineRule="auto"/>
        <w:ind w:firstLine="440" w:firstLineChars="200"/>
        <w:rPr>
          <w:rFonts w:ascii="宋体" w:hAnsi="宋体" w:eastAsia="宋体" w:cs="Times New Roman"/>
        </w:rPr>
      </w:pPr>
      <w:r>
        <w:rPr>
          <w:rFonts w:hint="eastAsia" w:ascii="宋体" w:hAnsi="宋体" w:eastAsia="宋体" w:cs="Times New Roman"/>
        </w:rPr>
        <w:t>许多假设是依据历史并推测未来，因而属于包含历史和未来的混合型假设，但西方新经济史学就有历史型的假设。譬如，克拉潘的《现代英国经济史》、保尔·芒图的《十八世纪产业革命》、汉斯·豪斯赫尔的《近代经济史》等历史论著都强调了交通运输与工业革命间的互相促进的因果关系。而在交通运输革命中，尤其在19世纪的陆路交通发展中，铁路和火车的诞生与工业革命关系最为密切。</w:t>
      </w:r>
    </w:p>
    <w:p w14:paraId="5B3E5EAA">
      <w:pPr>
        <w:spacing w:line="300" w:lineRule="auto"/>
        <w:ind w:firstLine="440" w:firstLineChars="200"/>
        <w:rPr>
          <w:rFonts w:ascii="宋体" w:hAnsi="宋体" w:eastAsia="宋体" w:cs="Times New Roman"/>
        </w:rPr>
      </w:pPr>
      <w:r>
        <w:rPr>
          <w:rFonts w:hint="eastAsia" w:ascii="宋体" w:hAnsi="宋体" w:eastAsia="宋体" w:cs="Times New Roman"/>
        </w:rPr>
        <w:t>钱得勒（1997）深入地讨论了铁路对建筑业和金融业的影响后认为，铁路建设的需求导致了美国金融业和建筑业的根本改革。可是，铁路与工业革命密不可分这个已成为常识性的结论却引起了福格尔的怀疑和反思。事实果真如此吗?福格尔建立了“反事实”论据：复原了当时主要的工业资料，如运费、主要农业贸易流通量的地区分布、按部门对当时冶金工业交货情况的分析，等等。在此基础上，福格尔得出结论说，以上传统观点所认定的铁路对经济发展的作用是错误的。他认为，当时只要把美国的水路运输稍加扩大，就能以同样的费用进入95%的农用土地；至于修筑铁路引起的工业需求，在1840-1860年间，它从未超过美国铸铁生产的5%，因此，不能用铁路来解释该时期美国冶金工业的迅速发展。他甚至指出，在其他条件不变的情况下，即使没有铁路，1890年的美国国民生产总值也不会比这一年的实际产值低3%以上。因此，铁路在美国经济增长中所起的作用实在是微不足道的，美国经济的发展是由于多种因素促成的。福格尔关于美国这一历史时期增长的“铁路微作用假设”便可称之为历史型假设。创新中的马克思主义史学也可积极借鉴这一方法。</w:t>
      </w:r>
    </w:p>
    <w:p w14:paraId="00F4856B">
      <w:pPr>
        <w:spacing w:line="300" w:lineRule="auto"/>
        <w:ind w:firstLine="440" w:firstLineChars="200"/>
        <w:rPr>
          <w:rFonts w:ascii="宋体" w:hAnsi="宋体" w:eastAsia="宋体" w:cs="Times New Roman"/>
          <w:b/>
        </w:rPr>
      </w:pPr>
      <w:r>
        <w:rPr>
          <w:rFonts w:hint="eastAsia" w:ascii="宋体" w:hAnsi="宋体" w:eastAsia="宋体" w:cs="Times New Roman"/>
          <w:b/>
        </w:rPr>
        <w:t>4．根据假设的覆盖面，可分为全面的或片面的假设</w:t>
      </w:r>
    </w:p>
    <w:p w14:paraId="7E943727">
      <w:pPr>
        <w:spacing w:line="300" w:lineRule="auto"/>
        <w:ind w:firstLine="440" w:firstLineChars="200"/>
        <w:rPr>
          <w:rFonts w:ascii="宋体" w:hAnsi="宋体" w:eastAsia="宋体" w:cs="Times New Roman"/>
        </w:rPr>
      </w:pPr>
      <w:r>
        <w:rPr>
          <w:rFonts w:hint="eastAsia" w:ascii="宋体" w:hAnsi="宋体" w:eastAsia="宋体" w:cs="Times New Roman"/>
        </w:rPr>
        <w:t>如近现代西方经济学包含完全自私在内的“经济人”假设，就属于只能解释部分现象的片面假设，由此得出以偏概全的经济学理论难以被确认为“公理”。依据整个人类历史和问题导向，我们必须确立一种新“经济人”假说和理论，即“利己和利他经济人假设”，其方法论是历史唯物主义和整体主义的。它对应西方“完全自私经济人假设”，包含三个基本命题：一是经济活动中的人有利己和利他两种倾向或性质。二是经济活动中的人具有理性与非理性两种状态。三是良好的制度会使经济活动中的人在增进集体利益或社会利益最大化的过程中实现合理的个人利益最大化。利他经济人假设对制度安排、诚信建设和荣辱观教育等都具有积极的作用，更可以导致社会协作与公共福利的增加。</w:t>
      </w:r>
    </w:p>
    <w:p w14:paraId="7CC71F11">
      <w:pPr>
        <w:spacing w:line="300" w:lineRule="auto"/>
        <w:ind w:firstLine="440" w:firstLineChars="200"/>
        <w:rPr>
          <w:rFonts w:ascii="宋体" w:hAnsi="宋体" w:eastAsia="宋体" w:cs="Times New Roman"/>
        </w:rPr>
      </w:pPr>
      <w:r>
        <w:rPr>
          <w:rFonts w:hint="eastAsia" w:ascii="宋体" w:hAnsi="宋体" w:eastAsia="宋体" w:cs="Times New Roman"/>
        </w:rPr>
        <w:t>同理，“菲利普斯曲线”是依据英国1861～1957年间的工资增长率与失业率的历史资料来表述两者之间关系的，有学术和实际价值，但过去被视之为具有普遍意义的定律则不妥，其实它仍然具有历史型假设的性质，而且是不具普适性的片面假设。因此，2007年获得诺贝尔经济学奖的费尔浦斯就曾提出通货膨胀不仅与失业有关，也与企业和雇员对价格和工资增长的预期有关，从而能较好地解释20世纪60年代末和70年代初通货膨胀与失业同时增长的历史现象。</w:t>
      </w:r>
    </w:p>
    <w:p w14:paraId="6721B4F9">
      <w:pPr>
        <w:spacing w:line="300" w:lineRule="auto"/>
        <w:ind w:firstLine="440" w:firstLineChars="200"/>
        <w:rPr>
          <w:rFonts w:ascii="宋体" w:hAnsi="宋体" w:eastAsia="宋体" w:cs="Times New Roman"/>
        </w:rPr>
      </w:pPr>
      <w:r>
        <w:rPr>
          <w:rFonts w:hint="eastAsia" w:ascii="宋体" w:hAnsi="宋体" w:eastAsia="宋体" w:cs="Times New Roman"/>
        </w:rPr>
        <w:t>另外，现代西方主流经济学的重要假定或假设之一是资源有限与需要（欲望）无限。这一“资源有限与需要无限假设”也是片面的，因为这一假设内含的时间和空间两个约束条件不对称。从辩证思维和假定的一致性或对称性来分析，尽管西方经济学对资源与需要相互关系的描述有一定的道理，但仍然存在明显的逻辑缺陷。其一，从假定对称层面看，当假定资源有限时，暗含着以一定的时间和条件为前提，而假定需要无限时，并没有以一定的时间和条件为前提。把两个前提不一致或不对称的经济事物和概念放在一起加以对比或撮合成一对经济基本矛盾，显然过于简单化和绝对化。西方学者实际上是用“稀缺”来定义“资源”的，不稀缺的就不算作资源，资源一词已内含着稀缺性，因而再说资源是稀缺的，无疑于同义反复。其二，从资源利用层面看，各类资源在一定条件下是有限的，但从某种意义上看又是无限的，因为包含资源在内的整个宇宙本身是无限的，科技发展、物质变换和循环经济也是无限的。其三，从需要满足层面看，需要在一定条件下也是有限的，而且在市场经济中能实现的需要，还是专指有货币支付能力的需要即需求，并非指人们脱离现实生产力水平和货币状况的空想性需要。人类不断增长的合理需要本身也是受到一定约束或限制的。西方理论没有明确区分需要的种类及其约束条件，笼统地说需要始终处于无限状态，是不合情理的。</w:t>
      </w:r>
    </w:p>
    <w:p w14:paraId="3F00F64A">
      <w:pPr>
        <w:spacing w:line="300" w:lineRule="auto"/>
        <w:ind w:firstLine="440" w:firstLineChars="200"/>
        <w:rPr>
          <w:rFonts w:ascii="宋体" w:hAnsi="宋体" w:eastAsia="宋体" w:cs="Times New Roman"/>
        </w:rPr>
      </w:pPr>
      <w:r>
        <w:rPr>
          <w:rFonts w:hint="eastAsia" w:ascii="宋体" w:hAnsi="宋体" w:eastAsia="宋体" w:cs="Times New Roman"/>
        </w:rPr>
        <w:t>因此，反思性地改造西方主流学者的上述理论假设的必然结果，便是推陈出新地作出“资源和需要双约束假设”，即假设在一定时期内资源和需要都是有约束的，因而多种资源与多种需要可以形成各种选择或替代组合，进而在一定的双约束条件下实现资源的高效配置和需要的极大满足。这样的理论假设反映现实全面，论证逻辑严密。“资源和需要双约束假设”的内在要求之一，是通过科技和管理的改进等途径来实现各种资源的高效利用和最佳配置；其内在要求之二，是通过有效需求和合理需要的总量和结构的科学调节等途径来实现各种需求的最大满足；其内在要求之三，是通过资源的高效利用和最佳配置来不断满足日益增长的社会有效需求和合理需要。</w:t>
      </w:r>
    </w:p>
    <w:p w14:paraId="5FAEE875">
      <w:pPr>
        <w:spacing w:line="300" w:lineRule="auto"/>
        <w:ind w:firstLine="440" w:firstLineChars="200"/>
        <w:rPr>
          <w:rFonts w:ascii="宋体" w:hAnsi="宋体" w:eastAsia="宋体" w:cs="Times New Roman"/>
          <w:b/>
        </w:rPr>
      </w:pPr>
      <w:r>
        <w:rPr>
          <w:rFonts w:hint="eastAsia" w:ascii="宋体" w:hAnsi="宋体" w:eastAsia="宋体" w:cs="Times New Roman"/>
          <w:b/>
        </w:rPr>
        <w:t>5．根据假设的抽象程度，可分为较基本的或较具体的假设</w:t>
      </w:r>
    </w:p>
    <w:p w14:paraId="37C5CA76">
      <w:pPr>
        <w:spacing w:line="300" w:lineRule="auto"/>
        <w:ind w:firstLine="440" w:firstLineChars="200"/>
        <w:rPr>
          <w:rFonts w:ascii="宋体" w:hAnsi="宋体" w:eastAsia="宋体" w:cs="Times New Roman"/>
        </w:rPr>
      </w:pPr>
      <w:r>
        <w:rPr>
          <w:rFonts w:hint="eastAsia" w:ascii="宋体" w:hAnsi="宋体" w:eastAsia="宋体" w:cs="Times New Roman"/>
        </w:rPr>
        <w:t>作为史学和经济学重要方法的唯物史观，以及作为马克思主义政治经济学枢纽的劳动两重性观点，便属于抽象度较高的基本假设，而马克思关于个别资本循环和周转、社会总资本扩大再生产等一些假设，则属于较具体的层面。</w:t>
      </w:r>
    </w:p>
    <w:p w14:paraId="6C49F86A">
      <w:pPr>
        <w:spacing w:line="300" w:lineRule="auto"/>
        <w:ind w:firstLine="440" w:firstLineChars="200"/>
        <w:rPr>
          <w:rFonts w:ascii="宋体" w:hAnsi="宋体" w:eastAsia="宋体" w:cs="Times New Roman"/>
        </w:rPr>
      </w:pPr>
      <w:r>
        <w:rPr>
          <w:rFonts w:hint="eastAsia" w:ascii="宋体" w:hAnsi="宋体" w:eastAsia="宋体" w:cs="Times New Roman"/>
        </w:rPr>
        <w:t>此外，即使是同一较基本的理论假设，也要视实践环境不同而有所具体化。以“公有制高绩效假设”为例，笔者从马克思经济学中概括出来的“公有制高绩效”假设，是指在计划经济条件下生产资料归全社会成员共同所有的公有制体系能达到社会绩效最大化；而从邓小平经济理论中概括出来的“公有制高绩效”假设，是指在市场经济条件下生产资料全民所有制和集体所有制能达到社会绩效最大化。但其中均存在多种复杂的前提条件，如不存在严重的社会腐败，委托代理双方权责是合理的，国企承担额外社会义务需另行核算，政府的管理、政策和操作没出现大失误，选聘的经营者有较高素质，等等。只有大体同时具备这些前提条件，社会主义公有制与计划经济或市场经济的结合才能呈现高绩效。倘若过去或现实生活中搞好社会主义公有制的前提条件缺失而导致某些低绩效现象，这并不能证明计划经济或市场经济的条件下公有制经济不可行。</w:t>
      </w:r>
    </w:p>
    <w:p w14:paraId="6DD7B2EB">
      <w:pPr>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三、结语</w:t>
      </w:r>
    </w:p>
    <w:p w14:paraId="732955E3">
      <w:pPr>
        <w:spacing w:line="300" w:lineRule="auto"/>
        <w:ind w:firstLine="440" w:firstLineChars="200"/>
        <w:rPr>
          <w:rFonts w:ascii="宋体" w:hAnsi="宋体" w:eastAsia="宋体" w:cs="Times New Roman"/>
        </w:rPr>
      </w:pPr>
      <w:r>
        <w:rPr>
          <w:rFonts w:hint="eastAsia" w:ascii="宋体" w:hAnsi="宋体" w:eastAsia="宋体" w:cs="Times New Roman"/>
        </w:rPr>
        <w:t>假设的不同显示出经济学的不同流派和体系。现代西方主流经济学家弗里德曼强调，判断假设的好坏不在于“真实”，而在于建构的理论是否有效，即是否有效地产生了准确的预测，宣称理论的意义越多，假设就越不现实。现代马克思主义经济学家则强调假设的现实性、科学性和辩证性，因而具有更大的思想认知功能和社会建设功能。基于以上不同理论假设的现代马克思主义主流经济学和现代西方主流经济学这两大理论经济学的方法、范畴、原理和体系既有相互吸收与通约的一面，也有相互批判与排斥的一面，从而呈现为不同的现代理论经济学范式。变革中的现代马克思主义经济学，力图既超越马克思经济学和苏联经济学，又超越现代西方经济学和中外古近代经济学，体现“国情为据、世情为鉴，马学为体、西学为用、国学为根”综合创新的时代精神和科学理念，就必须独特性地推出“新的活劳动创造价值假设”、“己他双性经济人假设”、“公平与效率互促同向变动假设”、“资源和需要双约束假设”等若干关键性的理论假设，并达成学科共识。那种认为现代西方主流经济学的关键性理论假设及其范式具有普适性或普世性，需要中国化或本土化的思想，显然是幼稚的。因为只有在关键性理论假设和核心理论上具有科学性和普适性的马克思主义及其经济学，才能通过中国化或本土化，来真正促进我国富强、民主、文明、和谐、自由的社会主义建设和发展。</w:t>
      </w:r>
    </w:p>
    <w:p w14:paraId="21D6DA2A">
      <w:pPr>
        <w:spacing w:line="300" w:lineRule="auto"/>
        <w:ind w:firstLine="440" w:firstLineChars="200"/>
        <w:rPr>
          <w:rFonts w:ascii="宋体" w:hAnsi="宋体" w:eastAsia="宋体" w:cs="Times New Roman"/>
        </w:rPr>
      </w:pPr>
    </w:p>
    <w:p w14:paraId="5A9A909C">
      <w:pPr>
        <w:ind w:firstLine="440" w:firstLineChars="200"/>
        <w:rPr>
          <w:rFonts w:ascii="宋体" w:hAnsi="宋体" w:eastAsia="宋体" w:cs="Times New Roman"/>
          <w:b/>
        </w:rPr>
      </w:pPr>
      <w:r>
        <w:rPr>
          <w:rFonts w:hint="eastAsia" w:ascii="宋体" w:hAnsi="宋体" w:eastAsia="宋体" w:cs="Times New Roman"/>
          <w:b/>
        </w:rPr>
        <w:t>参考文献：</w:t>
      </w:r>
    </w:p>
    <w:p w14:paraId="5CFFA8D3">
      <w:pPr>
        <w:ind w:firstLine="380" w:firstLineChars="200"/>
        <w:rPr>
          <w:rFonts w:ascii="宋体" w:hAnsi="宋体" w:eastAsia="宋体" w:cs="Times New Roman"/>
          <w:sz w:val="18"/>
          <w:szCs w:val="18"/>
        </w:rPr>
      </w:pPr>
      <w:r>
        <w:rPr>
          <w:rFonts w:hint="eastAsia" w:ascii="宋体" w:hAnsi="宋体" w:eastAsia="宋体" w:cs="Times New Roman"/>
          <w:sz w:val="18"/>
          <w:szCs w:val="18"/>
        </w:rPr>
        <w:t>[1]程恩富.生产性管理活动都是创造价值的生产劳动[J].社会科学，1995，（7）.</w:t>
      </w:r>
    </w:p>
    <w:p w14:paraId="5DFF5DDF">
      <w:pPr>
        <w:ind w:firstLine="380" w:firstLineChars="200"/>
        <w:rPr>
          <w:rFonts w:ascii="宋体" w:hAnsi="宋体" w:eastAsia="宋体" w:cs="Times New Roman"/>
          <w:sz w:val="18"/>
          <w:szCs w:val="18"/>
        </w:rPr>
      </w:pPr>
      <w:r>
        <w:rPr>
          <w:rFonts w:hint="eastAsia" w:ascii="宋体" w:hAnsi="宋体" w:eastAsia="宋体" w:cs="Times New Roman"/>
          <w:sz w:val="18"/>
          <w:szCs w:val="18"/>
        </w:rPr>
        <w:t>[2]马艳，程恩富.马克思“商品价值量与劳动生产率变动规律”新探[J].财经研究，2002，10.</w:t>
      </w:r>
    </w:p>
    <w:p w14:paraId="3EE33E8E">
      <w:pPr>
        <w:ind w:firstLine="380" w:firstLineChars="200"/>
        <w:rPr>
          <w:rFonts w:ascii="宋体" w:hAnsi="宋体" w:eastAsia="宋体" w:cs="Times New Roman"/>
          <w:sz w:val="18"/>
          <w:szCs w:val="18"/>
        </w:rPr>
      </w:pPr>
      <w:r>
        <w:rPr>
          <w:rFonts w:hint="eastAsia" w:ascii="宋体" w:hAnsi="宋体" w:eastAsia="宋体" w:cs="Times New Roman"/>
          <w:sz w:val="18"/>
          <w:szCs w:val="18"/>
        </w:rPr>
        <w:t>[3]程恩富.西方产权理论评析[M].北京：当代中国出版社，1997</w:t>
      </w:r>
    </w:p>
    <w:p w14:paraId="3A8EA061">
      <w:pPr>
        <w:ind w:firstLine="380" w:firstLineChars="200"/>
        <w:rPr>
          <w:rFonts w:ascii="宋体" w:hAnsi="宋体" w:eastAsia="宋体" w:cs="Times New Roman"/>
          <w:sz w:val="18"/>
          <w:szCs w:val="18"/>
        </w:rPr>
      </w:pPr>
      <w:r>
        <w:rPr>
          <w:rFonts w:hint="eastAsia" w:ascii="宋体" w:hAnsi="宋体" w:eastAsia="宋体" w:cs="Times New Roman"/>
          <w:sz w:val="18"/>
          <w:szCs w:val="18"/>
        </w:rPr>
        <w:t>[4]休谟.人性论[M].北京：商务印书馆，1997</w:t>
      </w:r>
    </w:p>
    <w:p w14:paraId="5E74174D">
      <w:pPr>
        <w:ind w:firstLine="380" w:firstLineChars="200"/>
        <w:rPr>
          <w:rFonts w:ascii="宋体" w:hAnsi="宋体" w:eastAsia="宋体" w:cs="Times New Roman"/>
          <w:sz w:val="18"/>
          <w:szCs w:val="18"/>
        </w:rPr>
      </w:pPr>
      <w:r>
        <w:rPr>
          <w:rFonts w:hint="eastAsia" w:ascii="宋体" w:hAnsi="宋体" w:eastAsia="宋体" w:cs="Times New Roman"/>
          <w:sz w:val="18"/>
          <w:szCs w:val="18"/>
        </w:rPr>
        <w:t>[5]米塞斯.经济学的认识论问题[M].北京：经济科学出版社，2001</w:t>
      </w:r>
    </w:p>
    <w:p w14:paraId="0944C66F">
      <w:pPr>
        <w:ind w:firstLine="380" w:firstLineChars="200"/>
        <w:rPr>
          <w:rFonts w:ascii="宋体" w:hAnsi="宋体" w:eastAsia="宋体" w:cs="Times New Roman"/>
          <w:sz w:val="18"/>
          <w:szCs w:val="18"/>
        </w:rPr>
      </w:pPr>
      <w:r>
        <w:rPr>
          <w:rFonts w:hint="eastAsia" w:ascii="宋体" w:hAnsi="宋体" w:eastAsia="宋体" w:cs="Times New Roman"/>
          <w:sz w:val="18"/>
          <w:szCs w:val="18"/>
        </w:rPr>
        <w:t>[6]劳伦斯·A·博兰.批判的经济学方法论[M].北京：经济科学出版社，2000</w:t>
      </w:r>
    </w:p>
    <w:p w14:paraId="4BE33704">
      <w:pPr>
        <w:ind w:firstLine="380" w:firstLineChars="200"/>
        <w:rPr>
          <w:rFonts w:ascii="宋体" w:hAnsi="宋体" w:eastAsia="宋体" w:cs="Times New Roman"/>
          <w:sz w:val="18"/>
          <w:szCs w:val="18"/>
        </w:rPr>
      </w:pPr>
      <w:r>
        <w:rPr>
          <w:rFonts w:hint="eastAsia" w:ascii="宋体" w:hAnsi="宋体" w:eastAsia="宋体" w:cs="Times New Roman"/>
          <w:sz w:val="18"/>
          <w:szCs w:val="18"/>
        </w:rPr>
        <w:t>[7]杨春学.经济人与社会秩序分析[M].上海：上海三联书店、上海人民出版社，1998</w:t>
      </w:r>
    </w:p>
    <w:p w14:paraId="22E034D4">
      <w:pPr>
        <w:ind w:firstLine="380" w:firstLineChars="200"/>
        <w:rPr>
          <w:rFonts w:ascii="宋体" w:hAnsi="宋体" w:eastAsia="宋体" w:cs="Times New Roman"/>
          <w:sz w:val="18"/>
          <w:szCs w:val="18"/>
        </w:rPr>
      </w:pPr>
      <w:r>
        <w:rPr>
          <w:rFonts w:hint="eastAsia" w:ascii="宋体" w:hAnsi="宋体" w:eastAsia="宋体" w:cs="Times New Roman"/>
          <w:sz w:val="18"/>
          <w:szCs w:val="18"/>
        </w:rPr>
        <w:t>[8]王东京.澄清经济学的三大问题[J].中国改革，2006，（9）</w:t>
      </w:r>
    </w:p>
    <w:p w14:paraId="1B0B0955">
      <w:pPr>
        <w:ind w:firstLine="380" w:firstLineChars="200"/>
        <w:rPr>
          <w:rFonts w:ascii="宋体" w:hAnsi="宋体" w:eastAsia="宋体" w:cs="Times New Roman"/>
          <w:sz w:val="18"/>
          <w:szCs w:val="18"/>
        </w:rPr>
      </w:pPr>
      <w:r>
        <w:rPr>
          <w:rFonts w:hint="eastAsia" w:ascii="宋体" w:hAnsi="宋体" w:eastAsia="宋体" w:cs="Times New Roman"/>
          <w:sz w:val="18"/>
          <w:szCs w:val="18"/>
        </w:rPr>
        <w:t>[9]科斯.论生产的制度结构[M].上海：上海三联书店，1994</w:t>
      </w:r>
    </w:p>
    <w:p w14:paraId="0106317A">
      <w:pPr>
        <w:ind w:firstLine="380" w:firstLineChars="200"/>
        <w:rPr>
          <w:rFonts w:ascii="宋体" w:hAnsi="宋体" w:eastAsia="宋体" w:cs="Times New Roman"/>
          <w:sz w:val="18"/>
          <w:szCs w:val="18"/>
        </w:rPr>
      </w:pPr>
      <w:r>
        <w:rPr>
          <w:rFonts w:hint="eastAsia" w:ascii="宋体" w:hAnsi="宋体" w:eastAsia="宋体" w:cs="Times New Roman"/>
          <w:sz w:val="18"/>
          <w:szCs w:val="18"/>
        </w:rPr>
        <w:t>[10]诺思.制度、制度变迁与经济绩效[M].上海：上海三联书店，1994</w:t>
      </w:r>
    </w:p>
    <w:p w14:paraId="0A4D356F">
      <w:pPr>
        <w:ind w:firstLine="380" w:firstLineChars="200"/>
        <w:rPr>
          <w:rFonts w:ascii="宋体" w:hAnsi="宋体" w:eastAsia="宋体" w:cs="Times New Roman"/>
          <w:sz w:val="18"/>
          <w:szCs w:val="18"/>
        </w:rPr>
      </w:pPr>
      <w:r>
        <w:rPr>
          <w:rFonts w:hint="eastAsia" w:ascii="宋体" w:hAnsi="宋体" w:eastAsia="宋体" w:cs="Times New Roman"/>
          <w:sz w:val="18"/>
          <w:szCs w:val="18"/>
        </w:rPr>
        <w:t>[11]周肇光.关于资源有限与需要无限假设的理性分析[J].经济问题，2004，（2）</w:t>
      </w:r>
    </w:p>
    <w:p w14:paraId="7FFA0757">
      <w:pPr>
        <w:ind w:firstLine="380" w:firstLineChars="200"/>
        <w:rPr>
          <w:rFonts w:ascii="宋体" w:hAnsi="宋体" w:eastAsia="宋体" w:cs="Times New Roman"/>
          <w:sz w:val="18"/>
          <w:szCs w:val="18"/>
        </w:rPr>
      </w:pPr>
      <w:r>
        <w:rPr>
          <w:rFonts w:hint="eastAsia" w:ascii="宋体" w:hAnsi="宋体" w:eastAsia="宋体" w:cs="Times New Roman"/>
          <w:sz w:val="18"/>
          <w:szCs w:val="18"/>
        </w:rPr>
        <w:t>[12]费希尔、唐布什.经济学[M].北京：中国财政经济出版社，1989</w:t>
      </w:r>
    </w:p>
    <w:p w14:paraId="3DCEAE59">
      <w:pPr>
        <w:ind w:firstLine="380" w:firstLineChars="200"/>
        <w:rPr>
          <w:rFonts w:ascii="宋体" w:hAnsi="宋体" w:eastAsia="宋体" w:cs="Times New Roman"/>
          <w:sz w:val="18"/>
          <w:szCs w:val="18"/>
        </w:rPr>
      </w:pPr>
      <w:r>
        <w:rPr>
          <w:rFonts w:hint="eastAsia" w:ascii="宋体" w:hAnsi="宋体" w:eastAsia="宋体" w:cs="Times New Roman"/>
          <w:sz w:val="18"/>
          <w:szCs w:val="18"/>
        </w:rPr>
        <w:t>[13]凯斯、费尔.经济学原理[M].北京：中国人民大学出版社，1994</w:t>
      </w:r>
    </w:p>
    <w:p w14:paraId="11CF3E5C">
      <w:pPr>
        <w:ind w:firstLine="440" w:firstLineChars="200"/>
        <w:rPr>
          <w:rFonts w:ascii="宋体" w:hAnsi="宋体" w:eastAsia="宋体" w:cs="Times New Roman"/>
        </w:rPr>
      </w:pPr>
    </w:p>
    <w:p w14:paraId="15165010">
      <w:pPr>
        <w:ind w:firstLine="440" w:firstLineChars="200"/>
        <w:rPr>
          <w:rFonts w:ascii="宋体" w:hAnsi="宋体" w:eastAsia="宋体" w:cs="Times New Roman"/>
        </w:rPr>
      </w:pPr>
      <w:r>
        <w:rPr>
          <w:rFonts w:hint="eastAsia" w:ascii="宋体" w:hAnsi="宋体" w:eastAsia="宋体" w:cs="Times New Roman"/>
        </w:rPr>
        <w:t>（原载《云南财经大学学报》2007年第12期）</w:t>
      </w:r>
    </w:p>
    <w:p w14:paraId="7380BC24">
      <w:pPr>
        <w:spacing w:line="336" w:lineRule="auto"/>
        <w:ind w:firstLine="440" w:firstLineChars="200"/>
        <w:rPr>
          <w:rFonts w:ascii="宋体" w:hAnsi="宋体" w:eastAsia="宋体" w:cs="Times New Roman"/>
        </w:rPr>
      </w:pPr>
    </w:p>
    <w:p w14:paraId="4A69BEFF">
      <w:pPr>
        <w:spacing w:line="336" w:lineRule="auto"/>
        <w:ind w:firstLine="440" w:firstLineChars="200"/>
        <w:rPr>
          <w:rFonts w:ascii="宋体" w:hAnsi="宋体" w:eastAsia="宋体" w:cs="Times New Roman"/>
        </w:rPr>
      </w:pPr>
    </w:p>
    <w:p w14:paraId="462D4E6B">
      <w:pPr>
        <w:spacing w:line="336" w:lineRule="auto"/>
        <w:ind w:firstLine="440" w:firstLineChars="200"/>
        <w:rPr>
          <w:rFonts w:ascii="宋体" w:hAnsi="宋体" w:eastAsia="宋体" w:cs="Times New Roman"/>
        </w:rPr>
      </w:pPr>
    </w:p>
    <w:p w14:paraId="5EC83A03">
      <w:pPr>
        <w:ind w:firstLine="360"/>
        <w:jc w:val="center"/>
        <w:outlineLvl w:val="1"/>
        <w:rPr>
          <w:rFonts w:eastAsia="宋体" w:cs="Times New Roman"/>
          <w:b/>
          <w:color w:val="000000"/>
          <w:sz w:val="21"/>
          <w:szCs w:val="21"/>
        </w:rPr>
      </w:pPr>
      <w:bookmarkStart w:id="827" w:name="_Toc7718"/>
      <w:bookmarkStart w:id="828" w:name="_Toc1186828834"/>
      <w:bookmarkStart w:id="829" w:name="_Toc306015205"/>
      <w:r>
        <w:rPr>
          <w:rFonts w:hint="eastAsia" w:eastAsia="宋体" w:cs="Times New Roman"/>
          <w:b/>
          <w:color w:val="000000"/>
          <w:sz w:val="21"/>
          <w:szCs w:val="21"/>
          <w:lang w:val="en-US" w:eastAsia="zh-CN"/>
        </w:rPr>
        <w:t>29</w:t>
      </w:r>
      <w:r>
        <w:rPr>
          <w:rFonts w:hint="eastAsia" w:eastAsia="宋体" w:cs="Times New Roman"/>
          <w:b/>
          <w:color w:val="000000"/>
          <w:sz w:val="21"/>
          <w:szCs w:val="21"/>
        </w:rPr>
        <w:t>和谐社会需要“四主型经济制度”</w:t>
      </w:r>
      <w:bookmarkEnd w:id="827"/>
      <w:bookmarkEnd w:id="828"/>
      <w:bookmarkEnd w:id="829"/>
    </w:p>
    <w:p w14:paraId="66ADC17B">
      <w:pPr>
        <w:ind w:firstLine="440" w:firstLineChars="200"/>
        <w:rPr>
          <w:rFonts w:eastAsia="宋体" w:cs="Times New Roman"/>
          <w:color w:val="000000"/>
          <w:sz w:val="21"/>
          <w:szCs w:val="21"/>
        </w:rPr>
      </w:pPr>
    </w:p>
    <w:p w14:paraId="19AA2BE9">
      <w:pPr>
        <w:ind w:firstLine="440" w:firstLineChars="200"/>
        <w:rPr>
          <w:rFonts w:eastAsia="宋体" w:cs="Times New Roman"/>
          <w:color w:val="000000"/>
          <w:sz w:val="21"/>
          <w:szCs w:val="21"/>
        </w:rPr>
      </w:pPr>
      <w:r>
        <w:rPr>
          <w:rFonts w:hint="eastAsia" w:eastAsia="宋体" w:cs="Times New Roman"/>
          <w:color w:val="000000"/>
          <w:sz w:val="21"/>
          <w:szCs w:val="21"/>
        </w:rPr>
        <w:t>近年中央除了提出“科学发展观”、“提高自主创新能力”等正确方针外，又明确提出“构建社会主义和谐社会”概念，其意义重大。和谐社会应是民主法治、公平正义、诚信友爱、充满活力、安定有序、人与自然和谐相处的社会，即可以具体体现在政治、法律、文化、体制、社会和生态六个方面的文明状态。</w:t>
      </w:r>
    </w:p>
    <w:p w14:paraId="7FA3C411">
      <w:pPr>
        <w:ind w:firstLine="440" w:firstLineChars="200"/>
        <w:rPr>
          <w:rFonts w:eastAsia="宋体" w:cs="Times New Roman"/>
          <w:color w:val="000000"/>
          <w:sz w:val="21"/>
          <w:szCs w:val="21"/>
        </w:rPr>
      </w:pPr>
      <w:r>
        <w:rPr>
          <w:rFonts w:hint="eastAsia" w:eastAsia="宋体" w:cs="Times New Roman"/>
          <w:color w:val="000000"/>
          <w:sz w:val="21"/>
          <w:szCs w:val="21"/>
        </w:rPr>
        <w:t>第一，公有主体型的多种类产权制度，即在公有制为主体的前提下（包含资产在质上和量上的优势），发展中外私有制经济。</w:t>
      </w:r>
    </w:p>
    <w:p w14:paraId="3E4B3669">
      <w:pPr>
        <w:ind w:firstLine="440" w:firstLineChars="200"/>
        <w:rPr>
          <w:rFonts w:eastAsia="宋体" w:cs="Times New Roman"/>
          <w:color w:val="000000"/>
          <w:sz w:val="21"/>
          <w:szCs w:val="21"/>
        </w:rPr>
      </w:pPr>
      <w:r>
        <w:rPr>
          <w:rFonts w:hint="eastAsia" w:eastAsia="宋体" w:cs="Times New Roman"/>
          <w:color w:val="000000"/>
          <w:sz w:val="21"/>
          <w:szCs w:val="21"/>
        </w:rPr>
        <w:t>“社会主义”不能当成一句空话，邓小平指出社会主义有两条根本原则：第一条是公有制为主体，多种经济共同发展，第二条是共同富裕，不搞两极分化。一些舆论在描绘“市场化改革”道路的时候，有意把这两条去掉。特别是最根本的涉及社会主义基本经济制度即所有制的一条：“公有制为主体”，故意根本不提，倒是民营经济和民有经济（即私有经济）已经成为“国民经济的基础”或“主体”的字样，越来越充斥于某些媒体，某些会议。私营经济是要在公有制经济为主体的前提下与公有制共同发展的，但中央没有“民营为主体”一说。</w:t>
      </w:r>
    </w:p>
    <w:p w14:paraId="3DF0297A">
      <w:pPr>
        <w:ind w:firstLine="440" w:firstLineChars="200"/>
        <w:rPr>
          <w:rFonts w:eastAsia="宋体" w:cs="Times New Roman"/>
          <w:color w:val="000000"/>
          <w:sz w:val="21"/>
          <w:szCs w:val="21"/>
        </w:rPr>
      </w:pPr>
      <w:r>
        <w:rPr>
          <w:rFonts w:hint="eastAsia" w:eastAsia="宋体" w:cs="Times New Roman"/>
          <w:color w:val="000000"/>
          <w:sz w:val="21"/>
          <w:szCs w:val="21"/>
        </w:rPr>
        <w:t>《江泽民文选》第三卷《巩固和加强社会主义的经济基础》一文更是明确强调：“没有国有经济为核心的公有制经济，就没有社会主义的经济基础，也就没有我们共产党执政以及整个社会主义上层建筑的经济基础和强大物质手段。这一点，各级领导干部特别是高级干部必须有清醒的深刻的认识。</w:t>
      </w:r>
      <w:r>
        <w:rPr>
          <w:rFonts w:hint="eastAsia" w:ascii="MS Mincho" w:hAnsi="MS Mincho" w:eastAsia="宋体" w:cs="MS Mincho"/>
          <w:color w:val="000000"/>
          <w:sz w:val="21"/>
          <w:szCs w:val="21"/>
        </w:rPr>
        <w:t>……</w:t>
      </w:r>
      <w:r>
        <w:rPr>
          <w:rFonts w:hint="eastAsia" w:eastAsia="宋体" w:cs="Times New Roman"/>
          <w:color w:val="000000"/>
          <w:sz w:val="21"/>
          <w:szCs w:val="21"/>
        </w:rPr>
        <w:t>所谓比重减少一些，也应该有个限度、有个前提，就是不能影响公有制的主体地位和国有经济的主导地位。</w:t>
      </w:r>
      <w:r>
        <w:rPr>
          <w:rFonts w:hint="eastAsia" w:ascii="MS Mincho" w:hAnsi="MS Mincho" w:eastAsia="宋体" w:cs="MS Mincho"/>
          <w:color w:val="000000"/>
          <w:sz w:val="21"/>
          <w:szCs w:val="21"/>
        </w:rPr>
        <w:t>……</w:t>
      </w:r>
      <w:r>
        <w:rPr>
          <w:rFonts w:hint="eastAsia" w:eastAsia="宋体" w:cs="Times New Roman"/>
          <w:color w:val="000000"/>
          <w:sz w:val="21"/>
          <w:szCs w:val="21"/>
        </w:rPr>
        <w:t>影响当地经济社会发展的大中型企业，省区市也必须掌握一批。”根据最新统计资料，我国非公经济的比重已超过50%，国有经济的控制力急剧减弱，有的省市已基本消灭了国有企业，并作为改制的样板加以肯定。</w:t>
      </w:r>
    </w:p>
    <w:p w14:paraId="381B7235">
      <w:pPr>
        <w:ind w:firstLine="440" w:firstLineChars="200"/>
        <w:rPr>
          <w:rFonts w:eastAsia="宋体" w:cs="Times New Roman"/>
          <w:color w:val="000000"/>
          <w:sz w:val="21"/>
          <w:szCs w:val="21"/>
        </w:rPr>
      </w:pPr>
      <w:r>
        <w:rPr>
          <w:rFonts w:hint="eastAsia" w:eastAsia="宋体" w:cs="Times New Roman"/>
          <w:color w:val="000000"/>
          <w:sz w:val="21"/>
          <w:szCs w:val="21"/>
        </w:rPr>
        <w:t>国内外学界普遍认为，“公有主体型的多种类产权制度”应当表现在资本结构、就业结构、GDP结构、税收结构、外贸结构等多方面。我国应当在多种所有制共同的动态发展中保持这一“主体一辅体”的宏观所有制结构，而非简单地控制私有制的上升。但如果私有经济占的比例过高，必然引起就业等一连串经济事物和由此派生的社会不和谐。这就是为什么20世纪90年代以来苏东是倒退的十年，拉美是失去的十年，日本是爬行的十年，美欧是缓升的十年，被联合国认定的49个最不发达的国家（亦称第四世界），也没有通过私有化等新自由主义途径富强起来，有的反而更加贫穷。斯蒂格利茨也认为，正是“私有产权神话”等新自由主义理论和政策，导致了苏东国家和拉美国家等的经济不和谐和各种危机。包括中国在内的全球经济，迫切需要在反思和超越新自由主义的保守经济理念中振兴或健康发展。批评新自由主义是坚持社会主义市场经济方向改革的需要。</w:t>
      </w:r>
    </w:p>
    <w:p w14:paraId="65634F3C">
      <w:pPr>
        <w:ind w:firstLine="440" w:firstLineChars="200"/>
        <w:rPr>
          <w:rFonts w:eastAsia="宋体" w:cs="Times New Roman"/>
          <w:color w:val="000000"/>
          <w:sz w:val="21"/>
          <w:szCs w:val="21"/>
        </w:rPr>
      </w:pPr>
      <w:r>
        <w:rPr>
          <w:rFonts w:hint="eastAsia" w:eastAsia="宋体" w:cs="Times New Roman"/>
          <w:color w:val="000000"/>
          <w:sz w:val="21"/>
          <w:szCs w:val="21"/>
        </w:rPr>
        <w:t>第二，劳动主体型的多要素分配制度，即按劳分配为主体，多要素所有者可凭产权参与分配，经济公平与经济效率呈现交互同向和并重关系。</w:t>
      </w:r>
    </w:p>
    <w:p w14:paraId="49517FD5">
      <w:pPr>
        <w:ind w:firstLine="440" w:firstLineChars="200"/>
        <w:rPr>
          <w:rFonts w:eastAsia="宋体" w:cs="Times New Roman"/>
          <w:color w:val="000000"/>
          <w:sz w:val="21"/>
          <w:szCs w:val="21"/>
        </w:rPr>
      </w:pPr>
      <w:r>
        <w:rPr>
          <w:rFonts w:hint="eastAsia" w:eastAsia="宋体" w:cs="Times New Roman"/>
          <w:color w:val="000000"/>
          <w:sz w:val="21"/>
          <w:szCs w:val="21"/>
        </w:rPr>
        <w:t>市场经济虽然在资源配置上有重要的作用，特别是在竞争性的资源配置上，有很大的优越性，但市场经济在宏观经济综合平衡上，在竞争垄断的关系上，在资源和环境保护上，在社会分配公平上，以及在其他方面，也有很多的缺陷和不足。</w:t>
      </w:r>
    </w:p>
    <w:p w14:paraId="0F8A5F2B">
      <w:pPr>
        <w:ind w:firstLine="440" w:firstLineChars="200"/>
        <w:rPr>
          <w:rFonts w:eastAsia="宋体" w:cs="Times New Roman"/>
          <w:color w:val="000000"/>
          <w:sz w:val="21"/>
          <w:szCs w:val="21"/>
        </w:rPr>
      </w:pPr>
      <w:r>
        <w:rPr>
          <w:rFonts w:hint="eastAsia" w:eastAsia="宋体" w:cs="Times New Roman"/>
          <w:color w:val="000000"/>
          <w:sz w:val="21"/>
          <w:szCs w:val="21"/>
        </w:rPr>
        <w:t>目前我国收入的基尼系数和五等份所表示的差距己经较大，甚至比一些资本主义国家还要大，但更令人担忧的应是社会财产占有上的贫富分化。近年为何财富和收入的贫富差距在一片反对和控制中反而扩大了，那是因为不懂得包括许多公有资产采取廉价送卖等所有制措施必然决定分配走势。现在中央强调“注重社会公平和正义”，是极有针对性的，应采取产权和分配上的双重措施，才能真正做到“提低、扩中、调高、打非”的分配和谐。</w:t>
      </w:r>
    </w:p>
    <w:p w14:paraId="579FB5D7">
      <w:pPr>
        <w:ind w:firstLine="440" w:firstLineChars="200"/>
        <w:rPr>
          <w:rFonts w:eastAsia="宋体" w:cs="Times New Roman"/>
          <w:color w:val="000000"/>
          <w:sz w:val="21"/>
          <w:szCs w:val="21"/>
        </w:rPr>
      </w:pPr>
      <w:r>
        <w:rPr>
          <w:rFonts w:hint="eastAsia" w:eastAsia="宋体" w:cs="Times New Roman"/>
          <w:color w:val="000000"/>
          <w:sz w:val="21"/>
          <w:szCs w:val="21"/>
        </w:rPr>
        <w:t>第三，国家主导型的多结构市场制度，即多结构地发展市场体系，发挥市场的基础性配置资源的作用，同时，在廉洁、廉价、民主和高效的基础上发挥国家调节的主导型作用。</w:t>
      </w:r>
    </w:p>
    <w:p w14:paraId="7767227B">
      <w:pPr>
        <w:ind w:firstLine="360"/>
        <w:rPr>
          <w:rFonts w:eastAsia="宋体" w:cs="Times New Roman"/>
          <w:color w:val="000000"/>
          <w:sz w:val="21"/>
          <w:szCs w:val="21"/>
        </w:rPr>
      </w:pPr>
      <w:r>
        <w:rPr>
          <w:rFonts w:hint="eastAsia" w:eastAsia="宋体" w:cs="Times New Roman"/>
          <w:color w:val="000000"/>
          <w:sz w:val="21"/>
          <w:szCs w:val="21"/>
        </w:rPr>
        <w:t>科学倡导“市场取向的改革”与随意滥用“市场化改革”是不同的。中国的社会主义自我完善的改革，以建立社会主义市场经济体制为目标的改革，绝对不是简单的“市场化改革”。中央文件从未说过我国要实行“市场化改革”，相反，文件中讲到改革开放，总是同坚持四项基本原则联系起来；在“市场经济”前面，总是加上“社会主义”的前置词；而且“社会主义”一词的内容，总是强调“公有制为主体”。有的论著有时讲“市场化改革”，那是简称而不是全意，否则会误导改革方向，为新自由主义者所利用。有人想把经济生活的一切交给市场去管，都“市场化”，把社会生活、文化生活、国家政治生活也都推向“市场化”，把计划排除在社会主义市场经济之外，排除在经济社会一切领域之外，把它视为禁区，加以摒弃，这是迷信市场的幼稚。总之，我们要尊重市场，但却不可迷信市场。我们也不要迷信计划，但也不能把计划这个同样是人类发明的调节手段弃而不用。</w:t>
      </w:r>
    </w:p>
    <w:p w14:paraId="599525C1">
      <w:pPr>
        <w:ind w:firstLine="440" w:firstLineChars="200"/>
        <w:rPr>
          <w:rFonts w:eastAsia="宋体" w:cs="Times New Roman"/>
          <w:color w:val="000000"/>
          <w:sz w:val="21"/>
          <w:szCs w:val="21"/>
        </w:rPr>
      </w:pPr>
      <w:r>
        <w:rPr>
          <w:rFonts w:hint="eastAsia" w:eastAsia="宋体" w:cs="Times New Roman"/>
          <w:color w:val="000000"/>
          <w:sz w:val="21"/>
          <w:szCs w:val="21"/>
        </w:rPr>
        <w:t>当然，社会主义市场经济下的计划调节，主要不是指令性计划，而是指导性、战略性计划。“十一五”计划改叫规划，但规划也是计划，是指导性、战略性的计划。除了政策导向的规定外，还要有必要的指标、项目和必须完成的指令性任务，如中长期规划中的巨大工程的规划，尖端科技突破的规划，环境治理规划，等等，短期计划里的反周期的投资计划，熨平周期的各种调控措施（很多财政税收金融货币等政策措施属此类）都必须带有指令性或约束性。所以，指令性计划也不能完全排除。现在计划工作中有把计划规划写成一本政策汇编的苗头，很少规定必须完成的和可以严格检查问责的指标和任务，很多东西可以执行可以不执行。这样的计划工作，有改进的必要。</w:t>
      </w:r>
    </w:p>
    <w:p w14:paraId="126CCA7D">
      <w:pPr>
        <w:ind w:firstLine="440" w:firstLineChars="200"/>
        <w:rPr>
          <w:rFonts w:eastAsia="宋体" w:cs="Times New Roman"/>
          <w:color w:val="000000"/>
          <w:sz w:val="21"/>
          <w:szCs w:val="21"/>
        </w:rPr>
      </w:pPr>
      <w:r>
        <w:rPr>
          <w:rFonts w:hint="eastAsia" w:eastAsia="宋体" w:cs="Times New Roman"/>
          <w:color w:val="000000"/>
          <w:sz w:val="21"/>
          <w:szCs w:val="21"/>
        </w:rPr>
        <w:t>现在中央讲究改革的科学性和协调性，就是既要用市场调节的优良功能去抑止“国家调节失灵”，又要用国家调节的优良功能来纠正“市场调节失灵”，实现一种“基础—主导”功能性双重调节机制，这样，容易达到社会经济和谐。为何上访、闹事、犯罪和社会失衡的现象较为普遍，就是因为国家调节存在不到位或不得当的情况。只要看看在近年所谓管理层收购活动中出现的严重问题，并引发各阶层公众的不满和不和谐，就可得知某些政府部门的调控有多滞后和不明智。没有人否定产权改革，但不可背离市场规律乱来。</w:t>
      </w:r>
    </w:p>
    <w:p w14:paraId="051C3D57">
      <w:pPr>
        <w:ind w:firstLine="440" w:firstLineChars="200"/>
        <w:rPr>
          <w:rFonts w:eastAsia="宋体" w:cs="Times New Roman"/>
          <w:color w:val="000000"/>
          <w:sz w:val="21"/>
          <w:szCs w:val="21"/>
        </w:rPr>
      </w:pPr>
      <w:r>
        <w:rPr>
          <w:rFonts w:hint="eastAsia" w:eastAsia="宋体" w:cs="Times New Roman"/>
          <w:color w:val="000000"/>
          <w:sz w:val="21"/>
          <w:szCs w:val="21"/>
        </w:rPr>
        <w:t>第四，自立主导型的多方位开放制度，即处理好引进国外技术和资本同自力更生的发展自主知识产权和高效利用本国资本关系，实行内需为主并与外需相结合的国内外经济交往关系，促进追求引进数量的粗放型开放模式向追求引进效益的质量型开发模式转变。应在结合比较优势与竞争优势的基础上，大力发展控股、控技（尤其是核心技术）和控牌（尤其是名牌）的“三控型”民族企业集团和民族跨国公司，突出培育和发挥知识产权优势，早日真正打造出中国的世界工厂而非世界加工厂，从而尽快完成从贸易大国向贸易强国和经济大国向经济强国的转型。那种只强调保护国内外知识产权，不强调创造自主知识产权的言行；那种只强调民族企业应被外国跨国公司并购和整合，主要寄希望于依赖式不断引进外资、外技和外牌的战略与策略；那种看不到跨国公司在华研发机构的正负双面效应而片面迎合强国推行“殖民地科技”的开放式爬行主义思维，都是不高明的科技发展“线路图”和开放理念，也不利于整个开放素质的提升和国内外经济的统筹与协调发展。</w:t>
      </w:r>
    </w:p>
    <w:p w14:paraId="1C489ECB">
      <w:pPr>
        <w:ind w:firstLine="360"/>
        <w:rPr>
          <w:rFonts w:eastAsia="宋体" w:cs="Times New Roman"/>
          <w:color w:val="000000"/>
          <w:sz w:val="21"/>
          <w:szCs w:val="21"/>
        </w:rPr>
      </w:pPr>
      <w:r>
        <w:rPr>
          <w:rFonts w:hint="eastAsia" w:eastAsia="宋体" w:cs="Times New Roman"/>
          <w:color w:val="000000"/>
          <w:sz w:val="21"/>
          <w:szCs w:val="21"/>
        </w:rPr>
        <w:t>（原载《南京理工大学学报》（社会科学版）2007年第1期）</w:t>
      </w:r>
    </w:p>
    <w:p w14:paraId="0266D824">
      <w:pPr>
        <w:rPr>
          <w:rFonts w:eastAsia="宋体" w:cs="Times New Roman"/>
          <w:sz w:val="21"/>
          <w:szCs w:val="24"/>
        </w:rPr>
      </w:pPr>
    </w:p>
    <w:p w14:paraId="6AD458D5">
      <w:pPr>
        <w:ind w:firstLine="360"/>
        <w:jc w:val="center"/>
        <w:outlineLvl w:val="1"/>
        <w:rPr>
          <w:rFonts w:eastAsia="宋体" w:cs="Times New Roman"/>
          <w:b/>
          <w:color w:val="000000"/>
          <w:sz w:val="21"/>
          <w:szCs w:val="21"/>
        </w:rPr>
      </w:pPr>
      <w:bookmarkStart w:id="830" w:name="_Toc17374"/>
      <w:bookmarkStart w:id="831" w:name="_Toc11891"/>
      <w:bookmarkStart w:id="832" w:name="_Toc1204099702"/>
      <w:bookmarkStart w:id="833" w:name="_Toc2121699517"/>
      <w:r>
        <w:rPr>
          <w:rFonts w:hint="eastAsia" w:eastAsia="宋体" w:cs="Times New Roman"/>
          <w:b/>
          <w:color w:val="000000"/>
          <w:sz w:val="21"/>
          <w:szCs w:val="21"/>
          <w:lang w:val="en-US" w:eastAsia="zh-CN"/>
        </w:rPr>
        <w:t>30</w:t>
      </w:r>
      <w:r>
        <w:rPr>
          <w:rFonts w:hint="eastAsia" w:eastAsia="宋体" w:cs="Times New Roman"/>
          <w:b/>
          <w:color w:val="000000"/>
          <w:sz w:val="21"/>
          <w:szCs w:val="21"/>
        </w:rPr>
        <w:t>民主社会主义及其与中国特色社会主义的区别</w:t>
      </w:r>
      <w:bookmarkEnd w:id="830"/>
      <w:bookmarkEnd w:id="831"/>
      <w:bookmarkEnd w:id="832"/>
      <w:bookmarkEnd w:id="833"/>
    </w:p>
    <w:p w14:paraId="3FD8C1AA">
      <w:pPr>
        <w:ind w:firstLine="440" w:firstLineChars="200"/>
        <w:rPr>
          <w:rFonts w:eastAsia="宋体" w:cs="Times New Roman"/>
          <w:color w:val="000000"/>
          <w:sz w:val="21"/>
          <w:szCs w:val="21"/>
        </w:rPr>
      </w:pPr>
    </w:p>
    <w:p w14:paraId="4BA4B946">
      <w:pPr>
        <w:ind w:firstLine="440" w:firstLineChars="200"/>
        <w:rPr>
          <w:rFonts w:eastAsia="宋体" w:cs="Times New Roman"/>
          <w:color w:val="000000"/>
          <w:sz w:val="21"/>
          <w:szCs w:val="21"/>
        </w:rPr>
      </w:pPr>
      <w:r>
        <w:rPr>
          <w:rFonts w:hint="eastAsia" w:eastAsia="宋体" w:cs="Times New Roman"/>
          <w:color w:val="000000"/>
          <w:sz w:val="21"/>
          <w:szCs w:val="21"/>
        </w:rPr>
        <w:t>近几年，民主社会主义在中国的影响逐渐扩大。一些学者认为，民主社会主义是社会主义的“民主模式”、生产领域中的资本主义、分配领域中的社会主义，它比科学社会主义更先进、更优越，应该成为中国特色社会主义未来发展的方向和内涵。对此，我们有必要对民主社会主义作一全面的考察，特别是要搞清楚民主社会主义与中国特色社会主义的理论差异和实践区别。这对于我们辩证地认识民主社会主义，在吸收其某些合理因素的同时，坚持中国特色社会主义方向具有至关重要的意义。</w:t>
      </w:r>
    </w:p>
    <w:p w14:paraId="5B66862C">
      <w:pPr>
        <w:ind w:firstLine="440" w:firstLineChars="200"/>
        <w:rPr>
          <w:rFonts w:eastAsia="宋体" w:cs="Times New Roman"/>
          <w:color w:val="000000"/>
          <w:sz w:val="21"/>
          <w:szCs w:val="21"/>
        </w:rPr>
      </w:pPr>
      <w:r>
        <w:rPr>
          <w:rFonts w:hint="eastAsia" w:eastAsia="宋体" w:cs="Times New Roman"/>
          <w:b/>
          <w:color w:val="000000"/>
          <w:sz w:val="21"/>
          <w:szCs w:val="21"/>
        </w:rPr>
        <w:t>一、什么是民主社会主义</w:t>
      </w:r>
    </w:p>
    <w:p w14:paraId="298E6CFD">
      <w:pPr>
        <w:ind w:firstLine="440" w:firstLineChars="200"/>
        <w:rPr>
          <w:rFonts w:eastAsia="宋体" w:cs="Times New Roman"/>
          <w:color w:val="000000"/>
          <w:sz w:val="21"/>
          <w:szCs w:val="21"/>
        </w:rPr>
      </w:pPr>
      <w:r>
        <w:rPr>
          <w:rFonts w:hint="eastAsia" w:eastAsia="宋体" w:cs="Times New Roman"/>
          <w:color w:val="000000"/>
          <w:sz w:val="21"/>
          <w:szCs w:val="21"/>
        </w:rPr>
        <w:t>民主社会主义是20世纪以来西方社会盛行的一种资本主义改良主义思潮。它是社会民主党、社会党、工党和社会党国际思想体系的总称，由第二国际社会民主党右翼发展而来，“民主社会主义”基本思想的奠基者是伯恩斯坦。在当代，民主社会主义不仅是作为一种理论形态，而且是作为一种实践形态而存在的。社会民主党在许多西方资本主义国家中长期执政或轮流执政，对当代世界的进程产生了深远的影响。</w:t>
      </w:r>
    </w:p>
    <w:p w14:paraId="5587C529">
      <w:pPr>
        <w:ind w:firstLine="440" w:firstLineChars="200"/>
        <w:rPr>
          <w:rFonts w:eastAsia="宋体" w:cs="Times New Roman"/>
          <w:color w:val="000000"/>
          <w:sz w:val="21"/>
          <w:szCs w:val="21"/>
        </w:rPr>
      </w:pPr>
      <w:r>
        <w:rPr>
          <w:rFonts w:hint="eastAsia" w:eastAsia="宋体" w:cs="Times New Roman"/>
          <w:color w:val="000000"/>
          <w:sz w:val="21"/>
          <w:szCs w:val="21"/>
        </w:rPr>
        <w:t>随着资本主义由自由竞争资本主义向私人垄断资本主义、从私人垄断资本主义向国家垄断资本主义以及从国家垄断资本主义向国际垄断资本主义的三次转变，民主社会主义经历了三次重大历史转型。</w:t>
      </w:r>
    </w:p>
    <w:p w14:paraId="6EA7ADE5">
      <w:pPr>
        <w:ind w:firstLine="440" w:firstLineChars="200"/>
        <w:rPr>
          <w:rFonts w:eastAsia="宋体" w:cs="Times New Roman"/>
          <w:color w:val="000000"/>
          <w:sz w:val="21"/>
          <w:szCs w:val="21"/>
        </w:rPr>
      </w:pPr>
      <w:r>
        <w:rPr>
          <w:rFonts w:hint="eastAsia" w:eastAsia="宋体" w:cs="Times New Roman"/>
          <w:color w:val="000000"/>
          <w:sz w:val="21"/>
          <w:szCs w:val="21"/>
        </w:rPr>
        <w:t>1、第一次转型，以伯恩施坦修正主义为标志，从马克思主义左翼转变为中右翼理论。民主社会主义最初的名称是社会民主主义。从历史发展来看，社会民主主义同科学社会主义本出一源。直到19世纪90年代，社会民主主义还基本上是工人运动中一种马克思主义居主导地位的革命学说和流派。它在理论上对资产阶级国家和资本主义制度持彻底批判立场，主张以多种革命手段推翻资产阶级的统治，消灭资本主义私有制，建立社会主义公有制。在实践上，社会民主党较多地从事议会活动和工会工作，致力于以社会立法和经济斗争的手段改善工人阶级的状况。随着资本主义的变化和马克思、恩格斯的相继去世，德国社会民主党内的伯恩施坦公开亮出右倾机会主义和改良主义旗帜，成为卢森堡和列宁所批判的修正主义。伯恩施坦在其代表作《社会主义的前提和社会民主党的任务》中对马克思主义进行了系统的修正。他认为，现代资本主义国家民主政治的发展使巨大政治灾变的必然性减少，社会民主党应该只通过议会斗争使资本主义逐步和平过渡到社会主义。由于党内主要领袖考茨基持既批左又批右的中派立场，使中右翼的修正主义很快成为国际工人运动中各种改良主义者、机会主义者的一面旗帜，对第二国际及其各成员党的理论和宣传工作产生了重大影响，并在越来越大的程度上对社会民主党和工会的实践起着支配作用。由于修正主义思想逐渐占了上风，第一次世界大战期间大多数交战国的社会民主党领袖纷纷支持甚至参加本国政府，从而导致了第二国际的瓦解，并造成国际工人运动的分裂，共产党与社会民主党从此分道扬镳。</w:t>
      </w:r>
    </w:p>
    <w:p w14:paraId="516A6918">
      <w:pPr>
        <w:ind w:firstLine="440" w:firstLineChars="200"/>
        <w:rPr>
          <w:rFonts w:eastAsia="宋体" w:cs="Times New Roman"/>
          <w:color w:val="000000"/>
          <w:sz w:val="21"/>
          <w:szCs w:val="21"/>
        </w:rPr>
      </w:pPr>
      <w:r>
        <w:rPr>
          <w:rFonts w:hint="eastAsia" w:eastAsia="宋体" w:cs="Times New Roman"/>
          <w:color w:val="000000"/>
          <w:sz w:val="21"/>
          <w:szCs w:val="21"/>
        </w:rPr>
        <w:t>2、第二次转型，以德国社会民主党的哥德斯堡纲领为标志，从中左翼转变为右翼理论。在两次世界大战之间，修正主义实际上成了社会民主党多数派的理论基础。这一时期，社会民主党虽然在实践中已全面转向改良主义，但在理论和纲领上仍保留了不少传统的马克思主义思想，形成了以马克思主义的革命理论来粉饰社会民主党改良主义实践的独特局面。第二次世界大战后，西欧各国社会民主党基本上已全盘接受了资产阶级议会民主制的政治游戏规则，不再讳言自己是改良主义政党，因而也就不再需要用马克思主义的词句来装点门面。为了强调与斯大林模式的社会主义相对立，突出民主的价值，社会民主党用民主社会主义取代了社会民主主义，作为其政党实践原则的统称。</w:t>
      </w:r>
    </w:p>
    <w:p w14:paraId="041F9CB4">
      <w:pPr>
        <w:ind w:firstLine="440" w:firstLineChars="200"/>
        <w:rPr>
          <w:rFonts w:eastAsia="宋体" w:cs="Times New Roman"/>
          <w:color w:val="000000"/>
          <w:sz w:val="21"/>
          <w:szCs w:val="21"/>
        </w:rPr>
      </w:pPr>
      <w:r>
        <w:rPr>
          <w:rFonts w:hint="eastAsia" w:eastAsia="宋体" w:cs="Times New Roman"/>
          <w:color w:val="000000"/>
          <w:sz w:val="21"/>
          <w:szCs w:val="21"/>
        </w:rPr>
        <w:t>1959年通过的哥德斯堡纲领从理论上概括了民主社会主义在战后所遵循的各项原则：主张世界观的开放性，由工人党转变为人民党，信奉议会民主制，同共产主义划清界线，保护个人的自由权利，主张半公半私的混合经济，坚持只以改良手段争取社会公正和互助等等。这个纲领最引人注目之处在于，它宣布民主社会主义“植根于基督教伦理学、人道主义和古典哲学”，社会主义的“基本价值”是“自由、公正、互助”，并宣称“社会主义是一项持久的任务，即争取、捍卫自由和公正，而且它本身在自由和公正中经受检验”。这就彻底切断了民主社会主义在世界观和理论方面保留着的与马克思主义的联系，放弃了对马克思主义所论证的共产主义“最终目标”及其“历史必然性”的信仰，哥德斯堡纲领由此成为民主社会主义第二次转型的标志。</w:t>
      </w:r>
    </w:p>
    <w:p w14:paraId="483EE875">
      <w:pPr>
        <w:ind w:firstLine="440" w:firstLineChars="200"/>
        <w:rPr>
          <w:rFonts w:eastAsia="宋体" w:cs="Times New Roman"/>
          <w:color w:val="000000"/>
          <w:sz w:val="21"/>
          <w:szCs w:val="21"/>
        </w:rPr>
      </w:pPr>
      <w:r>
        <w:rPr>
          <w:rFonts w:hint="eastAsia" w:eastAsia="宋体" w:cs="Times New Roman"/>
          <w:color w:val="000000"/>
          <w:sz w:val="21"/>
          <w:szCs w:val="21"/>
        </w:rPr>
        <w:t>3、第三次转型，以“第三条道路”为标志，从右翼转变为半极右翼理论。二战后，自由资本主义的威信扫地，凯恩斯主义盛行，就连资产阶级自己都不相信不进行社会主义改良的情况下能继续存在，欧洲社会民主党纷纷上台执政，推行缓和劳资矛盾的一系列政策，在欧洲建立福利国家。由于战争对产能的破坏和福利制度的推行，利润率下降和有效需求不足的矛盾得到缓解，民主社会主义显示出了其相对于自由资本主义的价值。然而，到了70年代中期，资本主义各国被战争破坏的产能完全得到恢复，生产力的发展又使资本主义面临了生产过剩的危机，西方国家特别是美国陷入滞胀，凯恩斯主义遭到质疑。传统以凯恩斯主义为基础、谋求充分就业和全面福利保障的福利国家式的民主社会主义难以为继。</w:t>
      </w:r>
    </w:p>
    <w:p w14:paraId="74D6544F">
      <w:pPr>
        <w:ind w:firstLine="440" w:firstLineChars="200"/>
        <w:rPr>
          <w:rFonts w:eastAsia="宋体" w:cs="Times New Roman"/>
          <w:color w:val="000000"/>
          <w:sz w:val="21"/>
          <w:szCs w:val="21"/>
        </w:rPr>
      </w:pPr>
      <w:r>
        <w:rPr>
          <w:rFonts w:hint="eastAsia" w:eastAsia="宋体" w:cs="Times New Roman"/>
          <w:color w:val="000000"/>
          <w:sz w:val="21"/>
          <w:szCs w:val="21"/>
        </w:rPr>
        <w:t>20世纪70年代末，代表大垄断资产阶级的新自由主义或新保守主义开始向民主社会主义反攻。它用新自由主义经济学取代凯恩斯主义，放松国家对大垄断资本占主导的国民经济的管制，大力推进私有化，限制工会权利和削减社会福利。在新自由主义咄咄逼人的攻势面前，民主社会主义因缺乏有效的对策而陷入了困境。在这种情况下，各国社会民主党不得不以变革求生存，力图在变化了的条件下通过积极的理论革新和政策调整来摆脱困境，实现其重返执政舞台的目标。于是，“第三条道路”便应运而生了。以“第三条道路”为标志，民主社会主义理论发展成为当代社会民主主义。当代社会民主主义强调社会的民主主义，试图在民主社会主义和新自由主义之间开辟欧洲发展的“第三条道路”。“第三条道路”传承了民主社会主义的本原口号，即建立一个自由和平等的人民的社会。但是，面对新自由主义的压力，“第三条道路”对这些价值观念进行了新的解释。强调人的平等不是个人对财富占有的结果的平等，而是人们寻求财富和权利的机会的平等。在具体实践上，“第三条道路”不再强调所有制的重要性，放弃了公有制的原则，主张建立拥有以多种私有制占主体的混合经济模式;反对传统福利国家的高税收、高福利政策，反对国家对经济的干涉，主张建立权利和责任相统一的所谓“积极的”福利国家。德国社会民主党施罗德、英国工党布莱尔等年轻领袖先后击败党内年长领袖而执政，使“第三条道路”带上了浓厚的新自由主义色彩，被公认是“打左灯、走右路”，实质上推行的是“半民主社会主义、半新自由主义”的半极右理论和政策。不过，近期德国、法国、英国的大选或大选民意测验表明，三国社会民主党性质的执政领袖都已经或即将下台，主张所谓“第三条道路”的半极右派在与主张新自由主义极右派竞争中惨遭失败。</w:t>
      </w:r>
    </w:p>
    <w:p w14:paraId="3C02853C">
      <w:pPr>
        <w:ind w:firstLine="440" w:firstLineChars="200"/>
        <w:rPr>
          <w:rFonts w:eastAsia="宋体" w:cs="Times New Roman"/>
          <w:color w:val="000000"/>
          <w:sz w:val="21"/>
          <w:szCs w:val="21"/>
        </w:rPr>
      </w:pPr>
      <w:r>
        <w:rPr>
          <w:rFonts w:hint="eastAsia" w:eastAsia="宋体" w:cs="Times New Roman"/>
          <w:color w:val="000000"/>
          <w:sz w:val="21"/>
          <w:szCs w:val="21"/>
        </w:rPr>
        <w:t>从民主社会主义长期的发展和演变过程我们可以看出，从最初作为社会主义同义词的社会民主主义，到强调政治民主多于经济民主的民主社会主义，再到现在强调经济自由多于政治民主的“第三条道路”，民主社会主义一步步成为资本主义既定制度的总体维护者和局部改良者。与许多改良主义者认为“第三条道路”在欧洲的盛行表明欧洲正在逐步接近科学社会主义相反，“第三条道路”恰恰表明整个民主社会主义在新自由主义的影响下正在向右转。民主社会主义在维护工人和中间阶层利益方面陷入了前所未有的困境，现阶段资本主义在民主社会主义的节节退让之下大大增添了不自由、不民主和不公正的成分，对外增强强权政治、军事扩张和经济掠夺，对内增强寡头统治、两极分化和思想控制。</w:t>
      </w:r>
    </w:p>
    <w:p w14:paraId="433FDEF4">
      <w:pPr>
        <w:ind w:firstLine="440" w:firstLineChars="200"/>
        <w:rPr>
          <w:rFonts w:eastAsia="宋体" w:cs="Times New Roman"/>
          <w:color w:val="000000"/>
          <w:sz w:val="21"/>
          <w:szCs w:val="21"/>
        </w:rPr>
      </w:pPr>
      <w:r>
        <w:rPr>
          <w:rFonts w:hint="eastAsia" w:eastAsia="宋体" w:cs="Times New Roman"/>
          <w:b/>
          <w:color w:val="000000"/>
          <w:sz w:val="21"/>
          <w:szCs w:val="21"/>
        </w:rPr>
        <w:t>二、民主社会主义与中国特色社会主义的区别</w:t>
      </w:r>
    </w:p>
    <w:p w14:paraId="518114F3">
      <w:pPr>
        <w:ind w:firstLine="440" w:firstLineChars="200"/>
        <w:rPr>
          <w:rFonts w:eastAsia="宋体" w:cs="Times New Roman"/>
          <w:color w:val="000000"/>
          <w:sz w:val="21"/>
          <w:szCs w:val="21"/>
        </w:rPr>
      </w:pPr>
      <w:r>
        <w:rPr>
          <w:rFonts w:hint="eastAsia" w:eastAsia="宋体" w:cs="Times New Roman"/>
          <w:color w:val="000000"/>
          <w:sz w:val="21"/>
          <w:szCs w:val="21"/>
        </w:rPr>
        <w:t>最近，我国有股思潮声称，中国改革措施实际上是以民主社会主义为样板的。在这种情况下，为了实现理论与实践的统一，应该给予民主社会主义合法性，放弃马克思主义的指导地位，实行意识形态多元化;进行政治体制改革，建立议会民主制度;放弃公有制主体地位，共产党改名为社会党等等。甚至有学者断言只有民主社会主义才能救中国。这股思潮的出现引起了思想混乱，有些人接受了民主社会主义与中国特色社会主义实践具有很大的相同点的观点，并认为应该继续在中国进行民主社会主义改革。如何看待这种观点?我们有必要搞清楚民主社会主义与中国特色社会主义的理论对立和实践区别，弄清二者的本质区别。</w:t>
      </w:r>
    </w:p>
    <w:p w14:paraId="6B1D307F">
      <w:pPr>
        <w:ind w:firstLine="440" w:firstLineChars="200"/>
        <w:rPr>
          <w:rFonts w:eastAsia="宋体" w:cs="Times New Roman"/>
          <w:color w:val="000000"/>
          <w:sz w:val="21"/>
          <w:szCs w:val="21"/>
        </w:rPr>
      </w:pPr>
      <w:r>
        <w:rPr>
          <w:rFonts w:hint="eastAsia" w:eastAsia="宋体" w:cs="Times New Roman"/>
          <w:color w:val="000000"/>
          <w:sz w:val="21"/>
          <w:szCs w:val="21"/>
        </w:rPr>
        <w:t>民主社会主义与中国特色社会主义的本质区别主要有三点：</w:t>
      </w:r>
    </w:p>
    <w:p w14:paraId="4168934C">
      <w:pPr>
        <w:ind w:firstLine="440" w:firstLineChars="200"/>
        <w:rPr>
          <w:rFonts w:eastAsia="宋体" w:cs="Times New Roman"/>
          <w:color w:val="000000"/>
          <w:sz w:val="21"/>
          <w:szCs w:val="21"/>
        </w:rPr>
      </w:pPr>
      <w:r>
        <w:rPr>
          <w:rFonts w:hint="eastAsia" w:eastAsia="宋体" w:cs="Times New Roman"/>
          <w:color w:val="000000"/>
          <w:sz w:val="21"/>
          <w:szCs w:val="21"/>
        </w:rPr>
        <w:t>第一，是否坚持马克思主义的指导地位。民主社会主义反对把马克思主义作为唯一的指导思想，主张世界观和指导思想的多元化，提倡社会主义思想构成和来源的多样性。他们把基督教学说、法国大革命的人权宣言、康德的伦理学与启蒙思想、黑格尔的辩证历史哲学、伯恩施坦的修正主义、凯恩斯主义经济学等都作为自己的思想来源和构成，将多种思想观点熔为一炉，冠之为“多元化”和“思想民主”。</w:t>
      </w:r>
    </w:p>
    <w:p w14:paraId="1899F49D">
      <w:pPr>
        <w:ind w:firstLine="440" w:firstLineChars="200"/>
        <w:rPr>
          <w:rFonts w:eastAsia="宋体" w:cs="Times New Roman"/>
          <w:color w:val="000000"/>
          <w:sz w:val="21"/>
          <w:szCs w:val="21"/>
        </w:rPr>
      </w:pPr>
      <w:r>
        <w:rPr>
          <w:rFonts w:hint="eastAsia" w:eastAsia="宋体" w:cs="Times New Roman"/>
          <w:color w:val="000000"/>
          <w:sz w:val="21"/>
          <w:szCs w:val="21"/>
        </w:rPr>
        <w:t>中国特色社会主义主张用马克思主义为灵魂的社会主义核心价值体系引领各种社会思潮和社会主义实践。马克思主义作为科学的世界观和方法论，是社会主义运动的理论基础，应该在中国特色社会主义实践中占指导地位。以马克思主义为指导，就是要把马克思主义普遍原理与中国现阶段的实际结合起来，指导中国特色社会主义实践，研究新情况，总结新经验，解决新问题。马克思主义是一个开放的、随着科学和实践的发展而不断前进的科学体系，具有强大的持久的生命力。</w:t>
      </w:r>
    </w:p>
    <w:p w14:paraId="215817D5">
      <w:pPr>
        <w:ind w:firstLine="440" w:firstLineChars="200"/>
        <w:rPr>
          <w:rFonts w:eastAsia="宋体" w:cs="Times New Roman"/>
          <w:color w:val="000000"/>
          <w:sz w:val="21"/>
          <w:szCs w:val="21"/>
        </w:rPr>
      </w:pPr>
      <w:r>
        <w:rPr>
          <w:rFonts w:hint="eastAsia" w:eastAsia="宋体" w:cs="Times New Roman"/>
          <w:color w:val="000000"/>
          <w:sz w:val="21"/>
          <w:szCs w:val="21"/>
        </w:rPr>
        <w:t>第二，是否坚持生产资料公有制的主体地位。民主社会主义认为，社会主义可以在不改变生产资料资本主义私有制的条件下实现，声称生产资料主体结构不是衡量社会性质的标准。他们主张在维持私有制主体的基础上，实行国有企业、私人企业和其他经济成分并存的“混合经济”制度，并维护以按资分配为主体的财富和收入分配制度。</w:t>
      </w:r>
    </w:p>
    <w:p w14:paraId="4759EFB8">
      <w:pPr>
        <w:ind w:firstLine="440" w:firstLineChars="200"/>
        <w:rPr>
          <w:rFonts w:eastAsia="宋体" w:cs="Times New Roman"/>
          <w:color w:val="000000"/>
          <w:sz w:val="21"/>
          <w:szCs w:val="21"/>
        </w:rPr>
      </w:pPr>
      <w:r>
        <w:rPr>
          <w:rFonts w:hint="eastAsia" w:eastAsia="宋体" w:cs="Times New Roman"/>
          <w:color w:val="000000"/>
          <w:sz w:val="21"/>
          <w:szCs w:val="21"/>
        </w:rPr>
        <w:t>中国特色社会主义认为，社会主义与资本主义在基本经济制度上具有决定意义的差别就在于生产资料社会所有制结构（邓小平语），以质与量都占优势的生产资料公有制为主体、国有经济为主导，对于强国富民和建设社会主义具有举足轻重的作用，是共产党执政等上层建筑的社会主义经济基础（江泽民语）。尽管由于目前中国生产力不发达，还不能实现完全的生产资料公有制，但在发展各种私有制经济的同时必须坚持公有制的主体地位。只有坚持市场经济条件下公有制的主体地位，才能真正完善以按劳分配为主体的财富和收入分配制度，实现共同富裕和公平正义，才能真正落实以人为本的科学发展观，实现国民经济又好又快的良性发展。</w:t>
      </w:r>
    </w:p>
    <w:p w14:paraId="7EF79F40">
      <w:pPr>
        <w:ind w:firstLine="440" w:firstLineChars="200"/>
        <w:rPr>
          <w:rFonts w:eastAsia="宋体" w:cs="Times New Roman"/>
          <w:color w:val="000000"/>
          <w:sz w:val="21"/>
          <w:szCs w:val="21"/>
        </w:rPr>
      </w:pPr>
      <w:r>
        <w:rPr>
          <w:rFonts w:hint="eastAsia" w:eastAsia="宋体" w:cs="Times New Roman"/>
          <w:color w:val="000000"/>
          <w:sz w:val="21"/>
          <w:szCs w:val="21"/>
        </w:rPr>
        <w:t>第三，是否坚持工人阶级政党的领导。各种名称的社会党抹煞党的工人阶级性质，反对民主集中制原则，公开宣称他们的党是由具有不同信仰和思想的人组成的一个共同体，不是一个阶级的党，而是“全民党”。他们认为，由于生产力的变化，工人阶级已经丧失其为历史动力的主导作用，社会主义将由那些随着生产力发展而出现的社会阶层来领导，而不是由工人阶级来领导。同时，与他们提倡的民主化、多元化相适应，他们反对一</w:t>
      </w:r>
    </w:p>
    <w:p w14:paraId="51F439CD">
      <w:pPr>
        <w:ind w:firstLine="360"/>
        <w:rPr>
          <w:rFonts w:eastAsia="宋体" w:cs="Times New Roman"/>
          <w:color w:val="000000"/>
          <w:sz w:val="21"/>
          <w:szCs w:val="21"/>
        </w:rPr>
      </w:pPr>
      <w:r>
        <w:rPr>
          <w:rFonts w:hint="eastAsia" w:eastAsia="宋体" w:cs="Times New Roman"/>
          <w:color w:val="000000"/>
          <w:sz w:val="21"/>
          <w:szCs w:val="21"/>
        </w:rPr>
        <w:t>切情况下的一党制，提倡资产阶级多党轮流执政的国体。在党的组织原则上，他们反对民主集中制，主张党内实行无条件的民主原则，不需要严格的组织纪律。</w:t>
      </w:r>
    </w:p>
    <w:p w14:paraId="5BD6E9D2">
      <w:pPr>
        <w:ind w:firstLine="440" w:firstLineChars="200"/>
        <w:rPr>
          <w:rFonts w:eastAsia="宋体" w:cs="Times New Roman"/>
          <w:color w:val="000000"/>
          <w:sz w:val="21"/>
          <w:szCs w:val="21"/>
        </w:rPr>
      </w:pPr>
      <w:r>
        <w:rPr>
          <w:rFonts w:hint="eastAsia" w:eastAsia="宋体" w:cs="Times New Roman"/>
          <w:color w:val="000000"/>
          <w:sz w:val="21"/>
          <w:szCs w:val="21"/>
        </w:rPr>
        <w:t>中国特色社会主义坚持共产党的工人阶级先锋队性质和民主集中制原则，坚持共产党对社会主义事业的领导。在新的科学技术革命面前，工人阶级仍然是先进生产力发展要求的代表和先进生产关系的体现者，仍然是推翻资本主义，建设社会主义、共产主义历史使命的承担者。在多种社会阶层出现和并存的新格局下，共产党仍然必须保持工人阶级先锋队的性质，全心全意依靠工人阶级。现阶段实行共产党领导下的多党合作和政治协商制度，而民主集中制是共产党及其执政国家的根本组织原则和组织制度，是正确处理党内外各种关系的政治准则。</w:t>
      </w:r>
    </w:p>
    <w:p w14:paraId="3FC035DF">
      <w:pPr>
        <w:ind w:firstLine="440" w:firstLineChars="200"/>
        <w:rPr>
          <w:rFonts w:eastAsia="宋体" w:cs="Times New Roman"/>
          <w:color w:val="000000"/>
          <w:sz w:val="21"/>
          <w:szCs w:val="21"/>
        </w:rPr>
      </w:pPr>
      <w:r>
        <w:rPr>
          <w:rFonts w:hint="eastAsia" w:eastAsia="宋体" w:cs="Times New Roman"/>
          <w:color w:val="000000"/>
          <w:sz w:val="21"/>
          <w:szCs w:val="21"/>
        </w:rPr>
        <w:t>第四，是否坚持共产主义奋斗目标。民主社会主义抛弃共产主义奋斗目标，从资产阶级的理性和伦理原则如自由、平等、公正、互助等出发，提出民主社会主义的目标是为一个社会公正、自由民主、世界和平的制度而奋斗。他们认为资本主义社会各种弊病和矛盾产生的根源不在于资本主义根本经济和政治制度本身，也不在于阶级剥削和压迫的存在，而是违背了所谓人类一般的理性、伦理原则。要解决资本主义的问题，不需要替代资本主义根本制度，只要按照上述原则不断对其改良即可。</w:t>
      </w:r>
    </w:p>
    <w:p w14:paraId="006CFDE1">
      <w:pPr>
        <w:ind w:firstLine="440" w:firstLineChars="200"/>
        <w:rPr>
          <w:rFonts w:eastAsia="宋体" w:cs="Times New Roman"/>
          <w:color w:val="000000"/>
          <w:sz w:val="21"/>
          <w:szCs w:val="21"/>
        </w:rPr>
      </w:pPr>
      <w:r>
        <w:rPr>
          <w:rFonts w:hint="eastAsia" w:eastAsia="宋体" w:cs="Times New Roman"/>
          <w:color w:val="000000"/>
          <w:sz w:val="21"/>
          <w:szCs w:val="21"/>
        </w:rPr>
        <w:t>中国特色社会主义坚持解放生产力、发展生产力，消灭剥削，消除两极分化，实现共同富裕的社会主义本质和原则，并最终要在生产力极大发展的社会主义基础上，实现共产主义。这是一个漫长的历史演变过程和制度创新历程。</w:t>
      </w:r>
    </w:p>
    <w:p w14:paraId="7DE0E25C">
      <w:pPr>
        <w:ind w:firstLine="440" w:firstLineChars="200"/>
        <w:rPr>
          <w:rFonts w:eastAsia="宋体" w:cs="Times New Roman"/>
          <w:b/>
          <w:color w:val="000000"/>
          <w:sz w:val="21"/>
          <w:szCs w:val="21"/>
        </w:rPr>
      </w:pPr>
      <w:r>
        <w:rPr>
          <w:rFonts w:hint="eastAsia" w:eastAsia="宋体" w:cs="Times New Roman"/>
          <w:color w:val="000000"/>
          <w:sz w:val="21"/>
          <w:szCs w:val="21"/>
        </w:rPr>
        <w:t>应当指出，由于社会主义民主制度还不够完善，使得社会上一些对社会主义缺乏了解，又对中国现实不满的人在资本主义与民主、社会主义与专制之间划了等号。如果我们仅仅去批判民主社会主义的虚伪，而不去完善我国的社会主义民主制度，那我们永远都不可能铲除民主社会主义在我国存在的土壤。批评民主社会主义的武器之一，就是使我国的社会主义建设能够在政治民主、社会公平和经济发展方面持续做出比社会民主党执政的国家更大的成就，充分发挥出社会主义相对于资本主义的优越性。在党中央提出科学发展观，建设社会主义和谐社会，国民经济又好又快地发展的新形势下，我们完全有能力做到这一点。而如果步戈尔巴乔夫民主社会主义改革之后尘，必然给国家和人民带来深重灾难，中国决不能重蹈覆辙。</w:t>
      </w:r>
    </w:p>
    <w:p w14:paraId="4B5FD720">
      <w:pPr>
        <w:ind w:firstLine="440" w:firstLineChars="200"/>
        <w:rPr>
          <w:rFonts w:eastAsia="宋体" w:cs="Times New Roman"/>
          <w:color w:val="000000"/>
          <w:sz w:val="21"/>
          <w:szCs w:val="21"/>
        </w:rPr>
      </w:pPr>
    </w:p>
    <w:p w14:paraId="57B9546A">
      <w:pPr>
        <w:rPr>
          <w:rFonts w:eastAsia="宋体" w:cs="Times New Roman"/>
          <w:sz w:val="21"/>
          <w:szCs w:val="24"/>
        </w:rPr>
      </w:pPr>
      <w:r>
        <w:rPr>
          <w:rFonts w:hint="eastAsia" w:eastAsia="宋体" w:cs="Times New Roman"/>
          <w:color w:val="000000"/>
          <w:sz w:val="21"/>
          <w:szCs w:val="21"/>
        </w:rPr>
        <w:t>（原载</w:t>
      </w:r>
      <w:r>
        <w:rPr>
          <w:rFonts w:eastAsia="宋体" w:cs="Times New Roman"/>
          <w:color w:val="000000"/>
          <w:sz w:val="21"/>
          <w:szCs w:val="21"/>
        </w:rPr>
        <w:t>《学习月刊》2007年</w:t>
      </w:r>
      <w:r>
        <w:rPr>
          <w:rFonts w:hint="eastAsia" w:eastAsia="宋体" w:cs="Times New Roman"/>
          <w:color w:val="000000"/>
          <w:sz w:val="21"/>
          <w:szCs w:val="21"/>
        </w:rPr>
        <w:t>第</w:t>
      </w:r>
      <w:r>
        <w:rPr>
          <w:rFonts w:eastAsia="宋体" w:cs="Times New Roman"/>
          <w:color w:val="000000"/>
          <w:sz w:val="21"/>
          <w:szCs w:val="21"/>
        </w:rPr>
        <w:t>11</w:t>
      </w:r>
      <w:r>
        <w:rPr>
          <w:rFonts w:hint="eastAsia" w:eastAsia="宋体" w:cs="Times New Roman"/>
          <w:color w:val="000000"/>
          <w:sz w:val="21"/>
          <w:szCs w:val="21"/>
        </w:rPr>
        <w:t>期，第二作者为张飞岸）</w:t>
      </w:r>
    </w:p>
    <w:p w14:paraId="7B61AFF8">
      <w:pPr>
        <w:widowControl/>
        <w:spacing w:line="360" w:lineRule="auto"/>
        <w:jc w:val="left"/>
        <w:rPr>
          <w:rFonts w:ascii="宋体" w:hAnsi="宋体" w:eastAsia="宋体"/>
        </w:rPr>
      </w:pPr>
    </w:p>
    <w:p w14:paraId="696C1523">
      <w:pPr>
        <w:rPr>
          <w:rFonts w:eastAsia="宋体" w:cs="Times New Roman"/>
          <w:sz w:val="21"/>
          <w:szCs w:val="24"/>
        </w:rPr>
      </w:pPr>
    </w:p>
    <w:p w14:paraId="2E02023C">
      <w:pPr>
        <w:rPr>
          <w:rFonts w:ascii="黑体" w:hAnsi="黑体" w:eastAsia="黑体"/>
          <w:sz w:val="32"/>
          <w:szCs w:val="32"/>
        </w:rPr>
      </w:pPr>
    </w:p>
    <w:p w14:paraId="4F28B3BE">
      <w:pPr>
        <w:rPr>
          <w:rFonts w:ascii="黑体" w:hAnsi="黑体" w:eastAsia="黑体"/>
          <w:sz w:val="32"/>
          <w:szCs w:val="32"/>
        </w:rPr>
      </w:pPr>
    </w:p>
    <w:p w14:paraId="2FC3D796">
      <w:pPr>
        <w:rPr>
          <w:rFonts w:ascii="黑体" w:hAnsi="黑体" w:eastAsia="黑体"/>
          <w:sz w:val="32"/>
          <w:szCs w:val="32"/>
        </w:rPr>
      </w:pPr>
    </w:p>
    <w:p w14:paraId="69293CCD">
      <w:pPr>
        <w:rPr>
          <w:rFonts w:ascii="黑体" w:hAnsi="黑体" w:eastAsia="黑体"/>
          <w:sz w:val="32"/>
          <w:szCs w:val="32"/>
        </w:rPr>
      </w:pPr>
    </w:p>
    <w:p w14:paraId="5D769794">
      <w:pPr>
        <w:rPr>
          <w:rFonts w:ascii="黑体" w:hAnsi="黑体" w:eastAsia="黑体"/>
          <w:sz w:val="32"/>
          <w:szCs w:val="32"/>
        </w:rPr>
      </w:pPr>
    </w:p>
    <w:p w14:paraId="548F6365">
      <w:pPr>
        <w:rPr>
          <w:rFonts w:ascii="黑体" w:hAnsi="黑体" w:eastAsia="黑体"/>
          <w:sz w:val="32"/>
          <w:szCs w:val="32"/>
        </w:rPr>
      </w:pPr>
    </w:p>
    <w:p w14:paraId="5B331740">
      <w:pPr>
        <w:rPr>
          <w:rFonts w:ascii="黑体" w:hAnsi="黑体" w:eastAsia="黑体"/>
          <w:sz w:val="32"/>
          <w:szCs w:val="32"/>
        </w:rPr>
      </w:pPr>
    </w:p>
    <w:p w14:paraId="323BEAB3">
      <w:pPr>
        <w:rPr>
          <w:rFonts w:ascii="黑体" w:hAnsi="黑体" w:eastAsia="黑体"/>
          <w:sz w:val="32"/>
          <w:szCs w:val="32"/>
        </w:rPr>
      </w:pPr>
    </w:p>
    <w:p w14:paraId="08F3EE5D">
      <w:pPr>
        <w:rPr>
          <w:rFonts w:ascii="黑体" w:hAnsi="黑体" w:eastAsia="黑体"/>
          <w:sz w:val="32"/>
          <w:szCs w:val="32"/>
        </w:rPr>
      </w:pPr>
    </w:p>
    <w:p w14:paraId="7891310A">
      <w:pPr>
        <w:ind w:left="1890" w:right="2250"/>
        <w:jc w:val="center"/>
        <w:outlineLvl w:val="1"/>
        <w:rPr>
          <w:rFonts w:eastAsia="宋体" w:cs="Times New Roman"/>
          <w:b/>
          <w:color w:val="000000"/>
          <w:sz w:val="21"/>
          <w:szCs w:val="21"/>
        </w:rPr>
      </w:pPr>
      <w:bookmarkStart w:id="834" w:name="_Toc29711"/>
      <w:bookmarkStart w:id="835" w:name="_Toc27755"/>
      <w:bookmarkStart w:id="836" w:name="_Toc1565285833"/>
      <w:bookmarkStart w:id="837" w:name="_Toc437823784"/>
      <w:r>
        <w:rPr>
          <w:rFonts w:hint="eastAsia" w:eastAsia="宋体" w:cs="Times New Roman"/>
          <w:b/>
          <w:color w:val="000000"/>
          <w:sz w:val="21"/>
          <w:szCs w:val="21"/>
          <w:lang w:val="en-US" w:eastAsia="zh-CN"/>
        </w:rPr>
        <w:t>31</w:t>
      </w:r>
      <w:r>
        <w:rPr>
          <w:rFonts w:hint="eastAsia" w:eastAsia="宋体" w:cs="Times New Roman"/>
          <w:b/>
          <w:color w:val="000000"/>
          <w:sz w:val="21"/>
          <w:szCs w:val="21"/>
        </w:rPr>
        <w:t>在科学发展和改革中巩固和加强社会主义的经济基础——《江泽民文选》研读有感</w:t>
      </w:r>
      <w:bookmarkEnd w:id="834"/>
      <w:bookmarkEnd w:id="835"/>
      <w:bookmarkEnd w:id="836"/>
      <w:bookmarkEnd w:id="837"/>
    </w:p>
    <w:p w14:paraId="7E764A93">
      <w:pPr>
        <w:ind w:firstLine="360"/>
        <w:rPr>
          <w:rFonts w:eastAsia="宋体" w:cs="Times New Roman"/>
          <w:color w:val="000000"/>
          <w:sz w:val="21"/>
          <w:szCs w:val="24"/>
        </w:rPr>
      </w:pPr>
    </w:p>
    <w:p w14:paraId="482DB8AB">
      <w:pPr>
        <w:ind w:firstLine="360"/>
        <w:rPr>
          <w:rFonts w:eastAsia="宋体" w:cs="Times New Roman"/>
          <w:color w:val="000000"/>
          <w:sz w:val="21"/>
          <w:szCs w:val="24"/>
        </w:rPr>
      </w:pPr>
      <w:r>
        <w:rPr>
          <w:rFonts w:hint="eastAsia" w:eastAsia="宋体" w:cs="Times New Roman"/>
          <w:color w:val="000000"/>
          <w:sz w:val="21"/>
          <w:szCs w:val="24"/>
        </w:rPr>
        <w:t>在建立和完善社会主义市场经济体制过程中，如何巩固和加强社会主义经济基础，怎样看待社会主义经济基础与国有经济为核心的公有制经济的关系，如何分析社会主义性质的国有经济及改革方向，一直存在不同的认识。有些论著宣称，无论是中国还是外国，国有企业的效率都低于私有企业，因此，国企改革的根本出路是“非国有化”或“民营化”。《江泽民文选》第3卷中的《巩固和加强社会主义的经济基础》一文对这个重大问题作了深刻精辟的论述，值得高度重视，并结合科学发展观和构建社会主义和谐社会去认真落实。</w:t>
      </w:r>
    </w:p>
    <w:p w14:paraId="25D24EB1">
      <w:pPr>
        <w:ind w:firstLine="440" w:firstLineChars="200"/>
        <w:rPr>
          <w:rFonts w:eastAsia="宋体" w:cs="Times New Roman"/>
          <w:b/>
          <w:color w:val="000000"/>
          <w:sz w:val="21"/>
          <w:szCs w:val="24"/>
        </w:rPr>
      </w:pPr>
      <w:r>
        <w:rPr>
          <w:rFonts w:hint="eastAsia" w:eastAsia="宋体" w:cs="Times New Roman"/>
          <w:b/>
          <w:color w:val="000000"/>
          <w:sz w:val="21"/>
          <w:szCs w:val="24"/>
        </w:rPr>
        <w:t>第一，要从既确保社会主义红色江山永不变色，又能把我国经济更快更好地搞上去这双重角度，来检视作为社会主义经济基础的国有经济改革和发展。</w:t>
      </w:r>
    </w:p>
    <w:p w14:paraId="1C6F55AD">
      <w:pPr>
        <w:ind w:firstLine="440" w:firstLineChars="200"/>
        <w:rPr>
          <w:rFonts w:eastAsia="宋体" w:cs="Times New Roman"/>
          <w:color w:val="000000"/>
          <w:sz w:val="21"/>
          <w:szCs w:val="24"/>
        </w:rPr>
      </w:pPr>
      <w:r>
        <w:rPr>
          <w:rFonts w:hint="eastAsia" w:eastAsia="宋体" w:cs="Times New Roman"/>
          <w:color w:val="000000"/>
          <w:sz w:val="21"/>
          <w:szCs w:val="24"/>
        </w:rPr>
        <w:t>中国的改革开放连同从20世纪50年代末开始的社会主义国家改革运动，是世界社会主义发展史和国际共产主义运动史上影响深远的历史性变革。这场改革运动，其初始的目的是想校正在社会主义发展阶段上判断的失误，革除社会主义各种体制上出现的弊端，从而达到完善和巩固社会主义基本制度，使社会主义的各种体制机制更加符合现实条件，使社会主义更好地发挥其优越性和活力。但到20世纪80年代末，这场改革运动发生了令人震惊的剧变，改革的方向上出现分道扬镳，一些国家的共产党瞬间解体垮台，社会制度以私有化为主要内容的“休克疗法”方式急速向资本主义性质和类型的市场经济转变。</w:t>
      </w:r>
    </w:p>
    <w:p w14:paraId="1AE1BAB1">
      <w:pPr>
        <w:ind w:firstLine="440" w:firstLineChars="200"/>
        <w:rPr>
          <w:rFonts w:eastAsia="宋体" w:cs="Times New Roman"/>
          <w:color w:val="000000"/>
          <w:sz w:val="21"/>
          <w:szCs w:val="24"/>
        </w:rPr>
      </w:pPr>
      <w:r>
        <w:rPr>
          <w:rFonts w:hint="eastAsia" w:eastAsia="宋体" w:cs="Times New Roman"/>
          <w:color w:val="000000"/>
          <w:sz w:val="21"/>
          <w:szCs w:val="24"/>
        </w:rPr>
        <w:t>国际社会主义改革运动的这种复杂、深刻和令人震惊的情况，不能不使正处在改革过程中的中国人民及其领导人深思。江泽民同志作为新中国第三代党和国家的领导核心，以高度的历史责任感，从党和国家命运的高度，深入思考着这场复杂历史事变提出的严峻问题。他说：“我一直在思考一个问题，就是如何既能使得我们党永葆生机和活力，确保我们几千万烈士用生命和鲜血换来的红色江山永不变色，又能把我国经济更快更好地搞上去。”[1]江泽民同志这一思考是有深刻道理的。新中国成立以来不断发展壮大的国有经济，是我们社会主义国家政权的重要基础。我国国有经济的发展，不仅对保证国民经济稳定发展、增强综合国力、实现最广大人民的根本利益具有重大意义，而且对巩固和发展社会主义制度、加强全国各族人民的大团结、保证党和国家长治久安具有重大意义。没有以国有经济为核心的公有制经济，就没有社会主义的经济基础，也就没有我们共产党执政的强大的物质手段以及整个社会主义上层建筑。</w:t>
      </w:r>
    </w:p>
    <w:p w14:paraId="706E9607">
      <w:pPr>
        <w:ind w:firstLine="440" w:firstLineChars="200"/>
        <w:rPr>
          <w:rFonts w:eastAsia="宋体" w:cs="Times New Roman"/>
          <w:color w:val="000000"/>
          <w:sz w:val="21"/>
          <w:szCs w:val="24"/>
        </w:rPr>
      </w:pPr>
      <w:r>
        <w:rPr>
          <w:rFonts w:hint="eastAsia" w:eastAsia="宋体" w:cs="Times New Roman"/>
          <w:color w:val="000000"/>
          <w:sz w:val="21"/>
          <w:szCs w:val="24"/>
        </w:rPr>
        <w:t>江泽民同志提出巩固和加强社会主义的经济基础这个重大问题，是在改革的新形势下对历史唯物主义基本原理的阐发。他明确指出任何国家政权都是建立在一定的经济基础之上的，任何一个政权都必须掌握一定的经济和物质力量，进行政治统治和社会治理，都需要有与之相适应的经济基础来提供这种经济和物质力量，否则便不能存在和发生作用。这一与时俱进的马克思主义观点同那些轻视甚至否定有社会主义上层建筑的特有经济基础的“民营或民本社会主义”、“公正社会主义”观点是截然不同的。</w:t>
      </w:r>
    </w:p>
    <w:p w14:paraId="261701A4">
      <w:pPr>
        <w:ind w:firstLine="440" w:firstLineChars="200"/>
        <w:rPr>
          <w:rFonts w:eastAsia="宋体" w:cs="Times New Roman"/>
          <w:color w:val="000000"/>
          <w:sz w:val="21"/>
          <w:szCs w:val="24"/>
        </w:rPr>
      </w:pPr>
      <w:r>
        <w:rPr>
          <w:rFonts w:hint="eastAsia" w:eastAsia="宋体" w:cs="Times New Roman"/>
          <w:color w:val="000000"/>
          <w:sz w:val="21"/>
          <w:szCs w:val="24"/>
        </w:rPr>
        <w:t>简言之，坚持以公有制为主体、多种所有制经济共同发展的基本经济制度，是为了巩固初级阶段社会主义社会的经济基础，而作为共产党执政的整个社会主义性质的上层建筑的经济基础，只能是社会主义公有制经济。社会主义社会的经济基础同社会主义性质的经济基础具有宽窄不一的内涵(经济成分、经济制度、上层建筑等概念也同理)。这就是说，公有制为主体是具有决定意义的，因为它从根本上决定着整个社会制度的性质，决定着对非公有制经济的引导，决定着社会发展的方向。</w:t>
      </w:r>
    </w:p>
    <w:p w14:paraId="2EC42A70">
      <w:pPr>
        <w:ind w:firstLine="440" w:firstLineChars="200"/>
        <w:rPr>
          <w:rFonts w:eastAsia="宋体" w:cs="Times New Roman"/>
          <w:b/>
          <w:color w:val="000000"/>
          <w:sz w:val="21"/>
          <w:szCs w:val="24"/>
        </w:rPr>
      </w:pPr>
      <w:r>
        <w:rPr>
          <w:rFonts w:hint="eastAsia" w:eastAsia="宋体" w:cs="Times New Roman"/>
          <w:b/>
          <w:color w:val="000000"/>
          <w:sz w:val="21"/>
          <w:szCs w:val="24"/>
        </w:rPr>
        <w:t>第二，要认清国有经济在不同性质的社会中具有不同的功能和运行方式。</w:t>
      </w:r>
    </w:p>
    <w:p w14:paraId="52AE6522">
      <w:pPr>
        <w:ind w:firstLine="440" w:firstLineChars="200"/>
        <w:rPr>
          <w:rFonts w:eastAsia="宋体" w:cs="Times New Roman"/>
          <w:color w:val="000000"/>
          <w:sz w:val="21"/>
          <w:szCs w:val="24"/>
        </w:rPr>
      </w:pPr>
      <w:r>
        <w:rPr>
          <w:rFonts w:hint="eastAsia" w:eastAsia="宋体" w:cs="Times New Roman"/>
          <w:color w:val="000000"/>
          <w:sz w:val="21"/>
          <w:szCs w:val="24"/>
        </w:rPr>
        <w:t>江泽民同志指出：“我们这么重视搞好国有企业，就是要保证国有经济控制国民经济命脉、对经济发展起主导作用，就是要不断巩固和加强我们党执政和我们社会主义国家政权的经济基础。”[2]社会主义公有制经济特别是其中的国有经济，是适应社会化大生产要求的生产资料占有方式，是从根本上解决经济的不断社会化与生产资料私人占有这一基本矛盾的产物。它代表着先进生产力的发展要求和方向。50多年来，特别是改革开放以来，国有经济始终是带动国民经济快速增长的主力军，始终是我国国民经济的支柱。在社会主义市场经济的发展中，它在税收、资产、就业、人才等多方面支援了非国有经济和国家财政，甚至为改革和发展作出了某种让利或牺牲。即使受到不少冲击和不公正待遇(如高税收等)，还有相当多的国有大中型企业至今仍是经济实力最强，技术装备先进，管理水平高，人才济济，效益递增的优质经济实体和能动经济主体。</w:t>
      </w:r>
    </w:p>
    <w:p w14:paraId="7313EAD0">
      <w:pPr>
        <w:ind w:firstLine="440" w:firstLineChars="200"/>
        <w:rPr>
          <w:rFonts w:eastAsia="宋体" w:cs="Times New Roman"/>
          <w:color w:val="000000"/>
          <w:sz w:val="21"/>
          <w:szCs w:val="24"/>
        </w:rPr>
      </w:pPr>
      <w:r>
        <w:rPr>
          <w:rFonts w:hint="eastAsia" w:eastAsia="宋体" w:cs="Times New Roman"/>
          <w:color w:val="000000"/>
          <w:sz w:val="21"/>
          <w:szCs w:val="24"/>
        </w:rPr>
        <w:t>确认我国公有制经济的产生是符合社会化大生产要求的，是符合社会发展规律的，肯定传统计划经济条件下国有经济的曾经有过的巨大成效和历史作用，与要进行的经济体制改革并不矛盾。经济体制改革的历史性启动，正是基于对传统计划经济体制及公有制经济状况的发展同我国生产力发展和管理水平的某种程度的不适应有了新认识的结果。党的十五届四中全会专门就国有企业改革和发展作出了决定，表明了我们党搞好国有经济的坚定信念，指出了国有企业改革的正确方向。</w:t>
      </w:r>
    </w:p>
    <w:p w14:paraId="0B89BE2B">
      <w:pPr>
        <w:ind w:firstLine="440" w:firstLineChars="200"/>
        <w:rPr>
          <w:rFonts w:eastAsia="宋体" w:cs="Times New Roman"/>
          <w:color w:val="000000"/>
          <w:sz w:val="21"/>
          <w:szCs w:val="24"/>
        </w:rPr>
      </w:pPr>
      <w:r>
        <w:rPr>
          <w:rFonts w:hint="eastAsia" w:eastAsia="宋体" w:cs="Times New Roman"/>
          <w:color w:val="000000"/>
          <w:sz w:val="21"/>
          <w:szCs w:val="24"/>
        </w:rPr>
        <w:t>社会主义国有经济与资本主义国有经济在发展战略、经营方式、运行管理机制等方面有某些共同点，可以借鉴其某些成功经验为我所用，同时，坚持国有企业的社会主义市场经济改革方向，要注意区分社会主义国家的国有经济与资本主义国家的国有经济在性质、作用和运行机制上的区别。</w:t>
      </w:r>
    </w:p>
    <w:p w14:paraId="423625FF">
      <w:pPr>
        <w:ind w:firstLine="440" w:firstLineChars="200"/>
        <w:rPr>
          <w:rFonts w:eastAsia="宋体" w:cs="Times New Roman"/>
          <w:color w:val="000000"/>
          <w:sz w:val="21"/>
          <w:szCs w:val="24"/>
        </w:rPr>
      </w:pPr>
      <w:r>
        <w:rPr>
          <w:rFonts w:hint="eastAsia" w:eastAsia="宋体" w:cs="Times New Roman"/>
          <w:color w:val="000000"/>
          <w:sz w:val="21"/>
          <w:szCs w:val="24"/>
        </w:rPr>
        <w:t>其一，占主体的所有制性质和国家的性质根本不同，因而国家所有体现的生产关系也根本不同。社会主义国家是工人阶级领导的、工农联盟为基础的人民民主政权，社会主义国有经济是社会主义生产关系的现实载体，而资本主义国家的本质是为占主体的私有制经济和资产阶级服务的，因而是“总资本家”，其国有经济虽然具有相当部分的社会功能，但国有资本所有权和国有经济在本质上是属于资产阶级整体的。</w:t>
      </w:r>
    </w:p>
    <w:p w14:paraId="207419F5">
      <w:pPr>
        <w:ind w:firstLine="440" w:firstLineChars="200"/>
        <w:rPr>
          <w:rFonts w:eastAsia="宋体" w:cs="Times New Roman"/>
          <w:color w:val="000000"/>
          <w:sz w:val="21"/>
          <w:szCs w:val="24"/>
        </w:rPr>
      </w:pPr>
      <w:r>
        <w:rPr>
          <w:rFonts w:hint="eastAsia" w:eastAsia="宋体" w:cs="Times New Roman"/>
          <w:color w:val="000000"/>
          <w:sz w:val="21"/>
          <w:szCs w:val="24"/>
        </w:rPr>
        <w:t>其二，国有经济在国民经济中的地位和作用也不同。在资本主义国家，国有经济只在市场经济中起某些私有经济起不到的补充作用，在国民经济中处于辅体地位。在我国，国有经济是社会主义制度的主要经济基础，在国民经济中处于主导地位，发挥支柱作用和国民凝聚力的效应。国有经济作为社会主义市场经济的竞争性主体之一，作为社会主义生产关系的现实载体，其主导地位是应该牢固确立的。正如我国宪法第七条所规定的那样，“国有经济即社会主义全民所有制经济，是国民经济中的主导力量。国家保障国有经济的巩固与发展”。</w:t>
      </w:r>
    </w:p>
    <w:p w14:paraId="1C02D83F">
      <w:pPr>
        <w:ind w:firstLine="440" w:firstLineChars="200"/>
        <w:rPr>
          <w:rFonts w:eastAsia="宋体" w:cs="Times New Roman"/>
          <w:color w:val="000000"/>
          <w:sz w:val="21"/>
          <w:szCs w:val="24"/>
        </w:rPr>
      </w:pPr>
      <w:r>
        <w:rPr>
          <w:rFonts w:hint="eastAsia" w:eastAsia="宋体" w:cs="Times New Roman"/>
          <w:color w:val="000000"/>
          <w:sz w:val="21"/>
          <w:szCs w:val="24"/>
        </w:rPr>
        <w:t>其三，国有经济管理体制和机制也有些不同。在国家立法机构和行政机构与国有企业的关系方面，以及在国有资产管理组织及其内部的关系方面，在国有控股公司的内部结构和外部关系方面，在国有企业决策机制和管理层的激励与约束机制方面，在职工的权益保护等诸多方面，资本主义国家是多模式的，但与中国特色社会主义的国有资产管理体制和机制也是有同有异的，有些区别还涉及社会性质。</w:t>
      </w:r>
    </w:p>
    <w:p w14:paraId="29038D5D">
      <w:pPr>
        <w:ind w:firstLine="440" w:firstLineChars="200"/>
        <w:rPr>
          <w:rFonts w:eastAsia="宋体" w:cs="Times New Roman"/>
          <w:b/>
          <w:color w:val="000000"/>
          <w:sz w:val="21"/>
          <w:szCs w:val="24"/>
        </w:rPr>
      </w:pPr>
      <w:r>
        <w:rPr>
          <w:rFonts w:hint="eastAsia" w:eastAsia="宋体" w:cs="Times New Roman"/>
          <w:b/>
          <w:color w:val="000000"/>
          <w:sz w:val="21"/>
          <w:szCs w:val="24"/>
        </w:rPr>
        <w:t>第三，要在改革中掌控一批影响国计民生的重要国有大中型企业。</w:t>
      </w:r>
    </w:p>
    <w:p w14:paraId="7CEC564E">
      <w:pPr>
        <w:ind w:firstLine="440" w:firstLineChars="200"/>
        <w:rPr>
          <w:rFonts w:eastAsia="宋体" w:cs="Times New Roman"/>
          <w:color w:val="000000"/>
          <w:sz w:val="21"/>
          <w:szCs w:val="24"/>
        </w:rPr>
      </w:pPr>
      <w:r>
        <w:rPr>
          <w:rFonts w:hint="eastAsia" w:eastAsia="宋体" w:cs="Times New Roman"/>
          <w:color w:val="000000"/>
          <w:sz w:val="21"/>
          <w:szCs w:val="24"/>
        </w:rPr>
        <w:t>针对国有经济进行战略重组、调整优化产业结构的新情况，江泽民同志在文章中十分明确地说：“影响国计民生的重要大中型企业，必须掌握在国家手中。影响当地经济社会发展的大中型企业，省区市也必须掌握一批。”[3]国有经济的战略布局调整必须有一个限度，正如他所强调的：“所谓比重减少一些，也应该有个限度、有个前提，就是不能影响公有制的主体地位和国有经济的主导作用。”[4]这就要从社会主义制度的经济基础的意义上来认识国有经济的地位、功能和规模问题，而不能简单按照西方市场经济国家国有经济的比重来确定我国国有经济的比重。</w:t>
      </w:r>
    </w:p>
    <w:p w14:paraId="54803538">
      <w:pPr>
        <w:ind w:firstLine="440" w:firstLineChars="200"/>
        <w:rPr>
          <w:rFonts w:eastAsia="宋体" w:cs="Times New Roman"/>
          <w:color w:val="000000"/>
          <w:sz w:val="21"/>
          <w:szCs w:val="24"/>
        </w:rPr>
      </w:pPr>
      <w:r>
        <w:rPr>
          <w:rFonts w:hint="eastAsia" w:eastAsia="宋体" w:cs="Times New Roman"/>
          <w:color w:val="000000"/>
          <w:sz w:val="21"/>
          <w:szCs w:val="24"/>
        </w:rPr>
        <w:t>社会主义国家的中央和省市区必须在改革中掌控一批国有大中型企业。国有经济需要保持控制地位的行业和领域，除了涉及国家安全的行业、自然垄断的行业、提供重要公共产品和服务的行业、支柱产业和高新技术产业中的重要骨干企业外，一般竞争性产业也不应该全面退出。国有企业可以适当收缩，主要应该在市场竞争中优胜劣汰地选择，而非行政性强令退出和人为扼杀，实行蛮横的“后娘主义”措施。在竞争性行业中，许多国有企业搞得很好或比较好，有的企业已经打入国际市场，其产品成为国际名牌，没有理由用行政手段强制它们退出竞争领域，让位于私营和外资企业。特别是一些高度竞争性的产业，如装备工业是工业的核心和基础，是综合国力的根基，一国装备工业的发达程度，是国家工业和科技水平的标志。如果我国工业的核心和关键部分被外资控制，国家将失去对工业发展和技术进步的主导权，我国经济独立和政治独立的基础将被侵蚀殆尽，中央关于增强自主创新能力、振兴装备制造业的方针将失去前提。</w:t>
      </w:r>
    </w:p>
    <w:p w14:paraId="25F8B34A">
      <w:pPr>
        <w:ind w:firstLine="440" w:firstLineChars="200"/>
        <w:rPr>
          <w:rFonts w:eastAsia="宋体" w:cs="Times New Roman"/>
          <w:color w:val="000000"/>
          <w:sz w:val="21"/>
          <w:szCs w:val="24"/>
        </w:rPr>
      </w:pPr>
      <w:r>
        <w:rPr>
          <w:rFonts w:hint="eastAsia" w:eastAsia="宋体" w:cs="Times New Roman"/>
          <w:color w:val="000000"/>
          <w:sz w:val="21"/>
          <w:szCs w:val="24"/>
        </w:rPr>
        <w:t>但是，在有的论著中，不但把我国的国有经济与资本主义国家的国有经济等量齐观，而且亦步亦趋地照抄照搬它们的做法，主张继续大幅度降低我国国有经济在国民经济总量中的比重，提出我国国有经济比重还应该从目前大体上占30%降低到20%或更低。且不说有些发达资本主义国家国有经济的比重明显超过10%，就说它们是10%，为什么我们只能是20%？没有根据我国国情进行认真的论证，没有看到有说服力的经济学理由，只是简单地把资本主义国家作为样板进行类比，完全没有看到我国的国有经济与资本主义国家的国有经济在性质和功能上的差别。其理由是，西方资本主义国家是发达的市场经济国家，我们是刚刚要发展市场经济的国家，我们国有经济的比重怎么能超过发达市场经济国家呢？这就完全混淆了社会主义国家的国有经济与资本主义国家的国有经济的根本区别，只看到都是市场经济的共同的一面，完全否定了基本生产关系和基本社会制度不同的一面。</w:t>
      </w:r>
    </w:p>
    <w:p w14:paraId="1C283AFE">
      <w:pPr>
        <w:ind w:firstLine="440" w:firstLineChars="200"/>
        <w:rPr>
          <w:rFonts w:eastAsia="宋体" w:cs="Times New Roman"/>
          <w:b/>
          <w:color w:val="000000"/>
          <w:sz w:val="21"/>
          <w:szCs w:val="24"/>
        </w:rPr>
      </w:pPr>
      <w:r>
        <w:rPr>
          <w:rFonts w:hint="eastAsia" w:eastAsia="宋体" w:cs="Times New Roman"/>
          <w:b/>
          <w:color w:val="000000"/>
          <w:sz w:val="21"/>
          <w:szCs w:val="24"/>
        </w:rPr>
        <w:t>第四，要通过深化改革来增强国有企业的活力。</w:t>
      </w:r>
    </w:p>
    <w:p w14:paraId="01E1F4F4">
      <w:pPr>
        <w:ind w:firstLine="440" w:firstLineChars="200"/>
        <w:rPr>
          <w:rFonts w:eastAsia="宋体" w:cs="Times New Roman"/>
          <w:color w:val="000000"/>
          <w:sz w:val="21"/>
          <w:szCs w:val="24"/>
        </w:rPr>
      </w:pPr>
      <w:r>
        <w:rPr>
          <w:rFonts w:hint="eastAsia" w:eastAsia="宋体" w:cs="Times New Roman"/>
          <w:color w:val="000000"/>
          <w:sz w:val="21"/>
          <w:szCs w:val="24"/>
        </w:rPr>
        <w:t>江泽民同志指出：“关键是要坚持建立现代企业制度的方向，深化改革，转换机制，增强国有企业的活力。”[5]我国国有企业的特定社会属性，决定了它也应该成为市场经济微观活动主体的主力军和领航舰。这样，如何把国有企业塑造成真正的市场经济活动主体，就成为改革中的一项重要任务。目前我国体制改革处于关键阶段，党的十六届三中全会明确提出，要使股份制成为公有制的主要实现形式。如何通过股份制实现公有制经济的市场化转型就成为一个重大而紧迫的理论和实践课题。在国有企业体制改革方面坚持社会主义市场经济的改革方向，就是在坚持公有制的性质和主导作用的前提下，进行国有企业的组织形式、体制机制和资本运营的变革。计划经济条件下的国有企业不适应市场经济的要求，并不意味着国有企业天然和永远不能适应市场经济运行的条件和要求。可以通过国有企业体制改革来探索国有企业适应市场经济要求的实现形式和运行机制。国有企业进行适应市场经济要求的体制改革，不应是否定国有经济和否定公有制的主体地位，而是要切实塑造好符合市场经济要求的新的实现形式。必须明确，所谓“国有企业改制”，是改的体制和机制，包括产权结构的调整和重构，而不是改变所有制的根本性质，去行政性推行私有化或民营化。</w:t>
      </w:r>
    </w:p>
    <w:p w14:paraId="3AAEA008">
      <w:pPr>
        <w:ind w:firstLine="440" w:firstLineChars="200"/>
        <w:rPr>
          <w:rFonts w:eastAsia="宋体" w:cs="Times New Roman"/>
          <w:color w:val="000000"/>
          <w:sz w:val="21"/>
          <w:szCs w:val="24"/>
        </w:rPr>
      </w:pPr>
      <w:r>
        <w:rPr>
          <w:rFonts w:hint="eastAsia" w:eastAsia="宋体" w:cs="Times New Roman"/>
          <w:color w:val="000000"/>
          <w:sz w:val="21"/>
          <w:szCs w:val="24"/>
        </w:rPr>
        <w:t>坚持社会主义市场经济的改革方向，就是要在承认股份制是一种资本构造和企业组织形式的基础上，努力实现公有制经济与股份制的高效结合。不应把建立现代企业制度变成照搬照抄西方资本主义股份制企业的私有资本结构。如果混淆公有股份经济与私有股份经济的区别，或者提出股份制都是公有制，而且都是所谓“新公有制”，便会混淆现代企业制度的不同生产关系基础，变相取消把公有制与股份制结合起来的重大理论创新与实践探索的任务，放弃创建社会主义新型公有股份制经济的努力，甚至把苏东国家通过私有股份化的整套“改向”做法美化为社会主义性质的市场化改革，这是以江泽民同志为核心的第三代中央领导集体所一贯反对的。2000年8月12日，江泽民同志在为准备十五届四中全会而召开的东北和华北地区国有企业改革和发展座谈会上强调：我们要积极开拓，勇于进取，但决不搞私有化。这是一条大原则，决不能有丝毫动摇。党的“十六大”又明确地提出了“两个毫不动摇”。</w:t>
      </w:r>
    </w:p>
    <w:p w14:paraId="44B1AD6D">
      <w:pPr>
        <w:ind w:firstLine="440" w:firstLineChars="200"/>
        <w:rPr>
          <w:rFonts w:eastAsia="宋体" w:cs="Times New Roman"/>
          <w:color w:val="000000"/>
          <w:sz w:val="21"/>
          <w:szCs w:val="24"/>
        </w:rPr>
      </w:pPr>
      <w:r>
        <w:rPr>
          <w:rFonts w:hint="eastAsia" w:eastAsia="宋体" w:cs="Times New Roman"/>
          <w:color w:val="000000"/>
          <w:sz w:val="21"/>
          <w:szCs w:val="24"/>
        </w:rPr>
        <w:t>综上所述，江泽民同志从巩固社会主义的经济基础，实现最广大人民的根本利益，以及巩固工人阶级和广大人民群众的政权，也就是巩固共产党的执政地位这个极其重要的原则的高度，一直强调要把国有企业和国有经济搞好，强调社会主义公有制的主体地位绝不能动摇，否则我们党的执政地位和我们社会主义的国家政权就很难巩固和加强。这不仅是一个重大的经济问题，而且是一个重大的政治问题。当前，我们必须在科学发展观的统领下，充分认识国有企业改革的必要性、艰巨性和复杂性，敢于攻坚，锐意进取，同时注重提高改革的科学性，增强改革措施的协调性，坚持社会主义市场经济改革方向，继续推进国有企业改革，发展和壮大国有经济，扭转国有经济控制力相对下降的局面，促进整个国民经济又快又好地向前发展，推动改革的成果由人民共享的和谐发展目标的实现。</w:t>
      </w:r>
    </w:p>
    <w:p w14:paraId="494AE0CB">
      <w:pPr>
        <w:ind w:firstLine="360"/>
        <w:rPr>
          <w:rFonts w:eastAsia="宋体" w:cs="Times New Roman"/>
          <w:b/>
          <w:color w:val="000000"/>
          <w:sz w:val="21"/>
          <w:szCs w:val="24"/>
        </w:rPr>
      </w:pPr>
      <w:r>
        <w:rPr>
          <w:rFonts w:hint="eastAsia" w:eastAsia="宋体" w:cs="Times New Roman"/>
          <w:b/>
          <w:color w:val="000000"/>
          <w:sz w:val="21"/>
          <w:szCs w:val="24"/>
        </w:rPr>
        <w:t xml:space="preserve"> [参考文献]</w:t>
      </w:r>
    </w:p>
    <w:p w14:paraId="404E2B1A">
      <w:pPr>
        <w:ind w:firstLine="440" w:firstLineChars="200"/>
        <w:rPr>
          <w:rFonts w:ascii="AdobeSongStd-Light" w:eastAsia="AdobeSongStd-Light" w:cs="AdobeSongStd-Light"/>
          <w:b/>
          <w:color w:val="000000"/>
          <w:kern w:val="0"/>
          <w:sz w:val="28"/>
          <w:szCs w:val="28"/>
        </w:rPr>
      </w:pPr>
      <w:r>
        <w:rPr>
          <w:rFonts w:hint="eastAsia" w:eastAsia="宋体" w:cs="Times New Roman"/>
          <w:color w:val="000000"/>
          <w:sz w:val="21"/>
          <w:szCs w:val="24"/>
        </w:rPr>
        <w:t>[1][2][3][4][5]江泽民文选(第3卷)[M].北京：人民出版社，2006版，第72、71、72、72、72页.</w:t>
      </w:r>
      <w:r>
        <w:rPr>
          <w:rFonts w:hint="eastAsia" w:ascii="AdobeSongStd-Light" w:eastAsia="AdobeSongStd-Light" w:cs="AdobeSongStd-Light"/>
          <w:b/>
          <w:color w:val="000000"/>
          <w:kern w:val="0"/>
          <w:sz w:val="28"/>
          <w:szCs w:val="28"/>
        </w:rPr>
        <w:t xml:space="preserve"> </w:t>
      </w:r>
    </w:p>
    <w:p w14:paraId="4CD71D95">
      <w:pPr>
        <w:ind w:firstLine="440" w:firstLineChars="200"/>
        <w:rPr>
          <w:rFonts w:eastAsia="宋体" w:cs="Times New Roman"/>
          <w:color w:val="000000"/>
          <w:sz w:val="21"/>
          <w:szCs w:val="24"/>
        </w:rPr>
      </w:pPr>
    </w:p>
    <w:p w14:paraId="4EAB9F99">
      <w:pPr>
        <w:ind w:firstLine="440" w:firstLineChars="200"/>
        <w:rPr>
          <w:rFonts w:eastAsia="宋体" w:cs="Times New Roman"/>
          <w:color w:val="000000"/>
          <w:sz w:val="21"/>
          <w:szCs w:val="24"/>
        </w:rPr>
      </w:pPr>
      <w:r>
        <w:rPr>
          <w:rFonts w:hint="eastAsia" w:eastAsia="宋体" w:cs="Times New Roman"/>
          <w:color w:val="000000"/>
          <w:sz w:val="21"/>
          <w:szCs w:val="24"/>
        </w:rPr>
        <w:t>（原载《学习论坛》2007年第1期）</w:t>
      </w:r>
    </w:p>
    <w:p w14:paraId="138A3362">
      <w:pPr>
        <w:rPr>
          <w:rFonts w:eastAsia="宋体" w:cs="Times New Roman"/>
          <w:sz w:val="21"/>
          <w:szCs w:val="24"/>
        </w:rPr>
      </w:pPr>
    </w:p>
    <w:p w14:paraId="27C7A1F4">
      <w:pPr>
        <w:rPr>
          <w:rFonts w:eastAsia="宋体" w:cs="Times New Roman"/>
          <w:sz w:val="21"/>
          <w:szCs w:val="24"/>
        </w:rPr>
      </w:pPr>
    </w:p>
    <w:p w14:paraId="61AE2053">
      <w:pPr>
        <w:ind w:firstLine="440" w:firstLineChars="200"/>
        <w:jc w:val="center"/>
        <w:outlineLvl w:val="1"/>
        <w:rPr>
          <w:rFonts w:eastAsia="宋体" w:cs="Times New Roman"/>
          <w:b/>
          <w:color w:val="000000"/>
          <w:sz w:val="21"/>
          <w:szCs w:val="24"/>
        </w:rPr>
      </w:pPr>
      <w:bookmarkStart w:id="838" w:name="_Toc25"/>
      <w:bookmarkStart w:id="839" w:name="_Toc78713272"/>
      <w:bookmarkStart w:id="840" w:name="_Toc16294"/>
      <w:bookmarkStart w:id="841" w:name="_Toc1084319481"/>
      <w:bookmarkStart w:id="842" w:name="_Toc1225363066"/>
      <w:r>
        <w:rPr>
          <w:rFonts w:hint="eastAsia" w:eastAsia="宋体" w:cs="Times New Roman"/>
          <w:b/>
          <w:color w:val="000000"/>
          <w:sz w:val="21"/>
          <w:szCs w:val="24"/>
          <w:lang w:val="en-US" w:eastAsia="zh-CN"/>
        </w:rPr>
        <w:t>32</w:t>
      </w:r>
      <w:r>
        <w:rPr>
          <w:rFonts w:hint="eastAsia" w:eastAsia="宋体" w:cs="Times New Roman"/>
          <w:b/>
          <w:color w:val="000000"/>
          <w:sz w:val="21"/>
          <w:szCs w:val="24"/>
        </w:rPr>
        <w:t>理论假设的分类与马克思主义经济学的创新</w:t>
      </w:r>
      <w:bookmarkEnd w:id="838"/>
      <w:bookmarkEnd w:id="839"/>
      <w:bookmarkEnd w:id="840"/>
      <w:bookmarkEnd w:id="841"/>
      <w:bookmarkEnd w:id="842"/>
    </w:p>
    <w:p w14:paraId="7E7CA461">
      <w:pPr>
        <w:ind w:firstLine="440" w:firstLineChars="200"/>
        <w:rPr>
          <w:rFonts w:eastAsia="宋体" w:cs="Times New Roman"/>
          <w:b/>
          <w:color w:val="000000"/>
          <w:sz w:val="21"/>
          <w:szCs w:val="24"/>
        </w:rPr>
      </w:pPr>
    </w:p>
    <w:p w14:paraId="2B4B4253">
      <w:pPr>
        <w:ind w:firstLine="440" w:firstLineChars="200"/>
        <w:rPr>
          <w:rFonts w:eastAsia="宋体" w:cs="Times New Roman"/>
          <w:b/>
          <w:color w:val="000000"/>
          <w:sz w:val="21"/>
          <w:szCs w:val="24"/>
        </w:rPr>
      </w:pPr>
      <w:r>
        <w:rPr>
          <w:rFonts w:hint="eastAsia" w:eastAsia="宋体" w:cs="Times New Roman"/>
          <w:b/>
          <w:color w:val="000000"/>
          <w:sz w:val="21"/>
          <w:szCs w:val="24"/>
        </w:rPr>
        <w:t>一、问题的提出</w:t>
      </w:r>
    </w:p>
    <w:p w14:paraId="40DC2970">
      <w:pPr>
        <w:ind w:firstLine="440" w:firstLineChars="200"/>
        <w:rPr>
          <w:rFonts w:eastAsia="宋体" w:cs="Times New Roman"/>
          <w:color w:val="000000"/>
          <w:sz w:val="21"/>
          <w:szCs w:val="24"/>
        </w:rPr>
      </w:pPr>
      <w:r>
        <w:rPr>
          <w:rFonts w:hint="eastAsia" w:eastAsia="宋体" w:cs="Times New Roman"/>
          <w:color w:val="000000"/>
          <w:sz w:val="21"/>
          <w:szCs w:val="24"/>
        </w:rPr>
        <w:t>假设是科学研究的重要环节，经济学也不例外。有了前提性假设，才可能有经济学自己的演绎过程和逻辑推理。严格说来，假设有假说与假定两个含义。经济学上所说的假说法，是指以已有的经济事实材料与科学原理为依据，对未知的经济事物或规律性作推测性分析的一种方法。相对科学的经济理论假说，虽是以现有的经济事实和经济科学知识为依据，但由于包含确实可靠与真实性尚未判定的两部分内容，因而具有推测成份，是经济思维接近客观真理的有效方式。经济学假说的验证则是一个历史过程，并且具有实践的相对性；而经济学上的假定法，则是出于经济研究的方便和简化，在逻辑分析的始点就事先设定某种经济状态的一种方法。不过，经济学的假说和假定时常交织在一起，我们有时也就可以笼统地用经济理论假设来表达经济思想。</w:t>
      </w:r>
    </w:p>
    <w:p w14:paraId="200D21CE">
      <w:pPr>
        <w:ind w:firstLine="440" w:firstLineChars="200"/>
        <w:rPr>
          <w:rFonts w:eastAsia="宋体" w:cs="Times New Roman"/>
          <w:color w:val="000000"/>
          <w:sz w:val="21"/>
          <w:szCs w:val="24"/>
        </w:rPr>
      </w:pPr>
      <w:r>
        <w:rPr>
          <w:rFonts w:hint="eastAsia" w:eastAsia="宋体" w:cs="Times New Roman"/>
          <w:color w:val="000000"/>
          <w:sz w:val="21"/>
          <w:szCs w:val="24"/>
        </w:rPr>
        <w:t>由于以往人们强调马克思主义经济学的真理性和现实性，因而一律偏好使用“普遍原理”或“基本原理”之类的词汇，不愿或不敢退一步，把某些经济思想和理论视为或同时也定义为一种“理论假设”，似乎假设都是脱离实际的或无意义的空想和幻想，会贬低马克思主义经济学原理的重要性。出于同现代西方主流经济学交流或论争的需要，现在应当改变某些用语习惯，适度采用“理论假设”一词及其逻辑叙述方法。</w:t>
      </w:r>
    </w:p>
    <w:p w14:paraId="2CCC1C57">
      <w:pPr>
        <w:ind w:firstLine="440" w:firstLineChars="200"/>
        <w:rPr>
          <w:rFonts w:eastAsia="宋体" w:cs="Times New Roman"/>
          <w:color w:val="000000"/>
          <w:sz w:val="21"/>
          <w:szCs w:val="24"/>
        </w:rPr>
      </w:pPr>
      <w:r>
        <w:rPr>
          <w:rFonts w:hint="eastAsia" w:eastAsia="宋体" w:cs="Times New Roman"/>
          <w:color w:val="000000"/>
          <w:sz w:val="21"/>
          <w:szCs w:val="24"/>
        </w:rPr>
        <w:t>例如，在恩格斯看来，马克思的第一个发现——历史唯物主义在第二个发现——剩余价值理论形成之前，没有得到证实，因而还属于假设性质。问题在于，现代西方大多数学者仍不承认历史唯物主义，为了推进交流和论争，我们也可退一步，同时把历史唯物主义称之为假设。这是因为，严格来说假设同原理或公理是有区别的，但也是可以转化的。在包括历史观在内的某一经济学或其他社会科学的理论假设算不算作公理的问题上，渗透着研究者主体不同的价值判断和对实证资料的理解。基于不同的方法和立场，即使马克思主义者拿出再硬的实证史料和逻辑证据，资产阶级学者也不一定承认马克思主义及其经济学的一些基本理论是正确的，但会确认其为理论假设，这将有益于论争的简化和深化。此外，马克思主义社会科学中某些被资本主义或前资本主义的实践证明是正确的理论，以及属于对向社会主义过渡或社会主义的理论分析，均须在当代中外多样化实践中继续进行检验及展开逻辑体系的不断完善。从这个意义上说，那些被认为是某种原理、公理或思想预见的理论观点，不妨也可称之为理论假设。</w:t>
      </w:r>
    </w:p>
    <w:p w14:paraId="449B69F2">
      <w:pPr>
        <w:ind w:firstLine="440" w:firstLineChars="200"/>
        <w:rPr>
          <w:rFonts w:eastAsia="宋体" w:cs="Times New Roman"/>
          <w:color w:val="000000"/>
          <w:sz w:val="21"/>
          <w:szCs w:val="24"/>
        </w:rPr>
      </w:pPr>
      <w:r>
        <w:rPr>
          <w:rFonts w:hint="eastAsia" w:eastAsia="宋体" w:cs="Times New Roman"/>
          <w:color w:val="000000"/>
          <w:sz w:val="21"/>
          <w:szCs w:val="24"/>
        </w:rPr>
        <w:t>有争议的问题在于：经济学研究能不能随意进行假设呢?任意假设是可以的，但这种假设下的研究及其结论往往是局部的、片面的或错误的。现代马克思主义经济学在科学扬弃现代西方经济学的过程中强调学术严谨和贴近现实，不赞成随意假设，因而需要对理论假设进行分类。</w:t>
      </w:r>
    </w:p>
    <w:p w14:paraId="6DE814D1">
      <w:pPr>
        <w:ind w:firstLine="440" w:firstLineChars="200"/>
        <w:rPr>
          <w:rFonts w:eastAsia="宋体" w:cs="Times New Roman"/>
          <w:b/>
          <w:color w:val="000000"/>
          <w:sz w:val="21"/>
          <w:szCs w:val="24"/>
        </w:rPr>
      </w:pPr>
      <w:r>
        <w:rPr>
          <w:rFonts w:hint="eastAsia" w:eastAsia="宋体" w:cs="Times New Roman"/>
          <w:b/>
          <w:color w:val="000000"/>
          <w:sz w:val="21"/>
          <w:szCs w:val="24"/>
        </w:rPr>
        <w:t>二、理论假设的分类</w:t>
      </w:r>
    </w:p>
    <w:p w14:paraId="5AA317D2">
      <w:pPr>
        <w:ind w:firstLine="440" w:firstLineChars="200"/>
        <w:rPr>
          <w:rFonts w:eastAsia="宋体" w:cs="Times New Roman"/>
          <w:color w:val="000000"/>
          <w:sz w:val="21"/>
          <w:szCs w:val="24"/>
        </w:rPr>
      </w:pPr>
      <w:r>
        <w:rPr>
          <w:rFonts w:hint="eastAsia" w:eastAsia="宋体" w:cs="Times New Roman"/>
          <w:color w:val="000000"/>
          <w:sz w:val="21"/>
          <w:szCs w:val="24"/>
        </w:rPr>
        <w:t>1．根据假设同历史和现实的关系，可分为合乎历史和现实的或背离历史和现实的假设</w:t>
      </w:r>
    </w:p>
    <w:p w14:paraId="0352F8B8">
      <w:pPr>
        <w:ind w:firstLine="440" w:firstLineChars="200"/>
        <w:rPr>
          <w:rFonts w:eastAsia="宋体" w:cs="Times New Roman"/>
          <w:color w:val="000000"/>
          <w:sz w:val="21"/>
          <w:szCs w:val="24"/>
        </w:rPr>
      </w:pPr>
      <w:r>
        <w:rPr>
          <w:rFonts w:hint="eastAsia" w:eastAsia="宋体" w:cs="Times New Roman"/>
          <w:color w:val="000000"/>
          <w:sz w:val="21"/>
          <w:szCs w:val="24"/>
        </w:rPr>
        <w:t>譬如，现代西方经济学假定交易费用为零的“科斯第一定理”，就属于不现实的假设。其道理，如同假设历史的或现实的计划管理费用为零是一样的。又如，与西方“公平与效率高低反向变动假设”不同，我们提出“公平与效率互促同向变动假设”是表明，经济公平与经济效率具有正反同向变动的交促互补关系，即经济活动的制度、权利、机会和结果等方面越是公平，效率就越高；相反，越不公平，效率就越低。国内外日趋增多的正反历史资料和实例也表明，公平与效率具有正相关联系，二者呈此长彼长、此消彼消的正反同向变动的交促关系和互补性。倘若我国不重蹈为某些资本主义国家在历史上曾走过、又为美国库兹涅茨所描述的“倒U型假说”之路径，那么，就能通过逐步健全一种公平与效率兼得的良性循环机制，来推进全社会的共同富裕和经济和谐。</w:t>
      </w:r>
    </w:p>
    <w:p w14:paraId="5A8E6FBE">
      <w:pPr>
        <w:ind w:firstLine="440" w:firstLineChars="200"/>
        <w:rPr>
          <w:rFonts w:eastAsia="宋体" w:cs="Times New Roman"/>
          <w:color w:val="000000"/>
          <w:sz w:val="21"/>
          <w:szCs w:val="24"/>
        </w:rPr>
      </w:pPr>
      <w:r>
        <w:rPr>
          <w:rFonts w:hint="eastAsia" w:eastAsia="宋体" w:cs="Times New Roman"/>
          <w:color w:val="000000"/>
          <w:sz w:val="21"/>
          <w:szCs w:val="24"/>
        </w:rPr>
        <w:t>2．根据假设的科学性程度，可分为较科学的或不科学的假设</w:t>
      </w:r>
    </w:p>
    <w:p w14:paraId="750CFA22">
      <w:pPr>
        <w:ind w:firstLine="440" w:firstLineChars="200"/>
        <w:rPr>
          <w:rFonts w:eastAsia="宋体" w:cs="Times New Roman"/>
          <w:color w:val="000000"/>
          <w:sz w:val="21"/>
          <w:szCs w:val="24"/>
        </w:rPr>
      </w:pPr>
      <w:r>
        <w:rPr>
          <w:rFonts w:hint="eastAsia" w:eastAsia="宋体" w:cs="Times New Roman"/>
          <w:color w:val="000000"/>
          <w:sz w:val="21"/>
          <w:szCs w:val="24"/>
        </w:rPr>
        <w:t>以公有制与市场经济可否有效结合的假设为例，我国和越南的历史经验已经部分有力地证明：这一问题的肯定性假设比较科学，而否定性的假设则是不科学的（科斯也承认，关于公有制与市场经济能否结合这一点，现在还不能被证伪）。与“活劳动创造价值假设”相比，“生产三要素创造价值假设”显得缺乏科学性、历史性和实际性，因为历史上的奴隶主、地主和资本家所占有和出租的生产资料本身不能创造任何新价值。不过，我们必须提出“新的活劳动创造价值假设”。因为依据已有市场经济的历史实践和马克思关于活劳动创造为市场交换而生产的商品价值，以及纯粹为商品价值形态转换服务的流通活动不创造价值的科学精神，可以推断，凡是直接为市场交换而生产物质商品和精神商品以及直接为劳动力商品的生产和再生产服务的劳动，其中包括自然人和法人实体的内部管理劳动和科技劳动，都属于创造价值的劳动或生产劳动。这一“新的活劳动创造价值假设”，不仅没有否定马克思关于“活劳动创造价值假设”的核心思想和方法，而且恰恰是遵循了马克思研究物质生产领域价值创造的思路，并把它扩展到一切社会经济部门后所形成的必然结论。</w:t>
      </w:r>
    </w:p>
    <w:p w14:paraId="11961F0C">
      <w:pPr>
        <w:ind w:firstLine="440" w:firstLineChars="200"/>
        <w:rPr>
          <w:rFonts w:eastAsia="宋体" w:cs="Times New Roman"/>
          <w:color w:val="000000"/>
          <w:sz w:val="21"/>
          <w:szCs w:val="24"/>
        </w:rPr>
      </w:pPr>
      <w:r>
        <w:rPr>
          <w:rFonts w:hint="eastAsia" w:eastAsia="宋体" w:cs="Times New Roman"/>
          <w:color w:val="000000"/>
          <w:sz w:val="21"/>
          <w:szCs w:val="24"/>
        </w:rPr>
        <w:t>3．根据假设的时间跨度，可分为历史型、未来型或混合型的假设</w:t>
      </w:r>
    </w:p>
    <w:p w14:paraId="277A6FC8">
      <w:pPr>
        <w:ind w:firstLine="440" w:firstLineChars="200"/>
        <w:rPr>
          <w:rFonts w:eastAsia="宋体" w:cs="Times New Roman"/>
          <w:color w:val="000000"/>
          <w:sz w:val="21"/>
          <w:szCs w:val="24"/>
        </w:rPr>
      </w:pPr>
      <w:r>
        <w:rPr>
          <w:rFonts w:hint="eastAsia" w:eastAsia="宋体" w:cs="Times New Roman"/>
          <w:color w:val="000000"/>
          <w:sz w:val="21"/>
          <w:szCs w:val="24"/>
        </w:rPr>
        <w:t>许多假设是依据历史并推测未来，因而属于包含历史和未来的混合型假设，但西方新经济史学就有历史型的假设。譬如，克拉潘的《现代英国经济史》、保尔·芒图的《十八世纪产业革命》、汉斯·豪斯赫尔的《近代经济史》等历史论著都强调了交通运输与工业革命间的互相促进的因果关系。而在交通运输革命中，尤其在19世纪的陆路交通发展中，铁路和火车的诞生与工业革命关系最为密切。</w:t>
      </w:r>
    </w:p>
    <w:p w14:paraId="36D617A3">
      <w:pPr>
        <w:ind w:firstLine="440" w:firstLineChars="200"/>
        <w:rPr>
          <w:rFonts w:eastAsia="宋体" w:cs="Times New Roman"/>
          <w:color w:val="000000"/>
          <w:sz w:val="21"/>
          <w:szCs w:val="24"/>
        </w:rPr>
      </w:pPr>
      <w:r>
        <w:rPr>
          <w:rFonts w:hint="eastAsia" w:eastAsia="宋体" w:cs="Times New Roman"/>
          <w:color w:val="000000"/>
          <w:sz w:val="21"/>
          <w:szCs w:val="24"/>
        </w:rPr>
        <w:t>钱得勒（1997）深入地讨论了铁路对建筑业和金融业的影响后认为，铁路建设的需求导致了美国金融业和建筑业的根本改革。可是，铁路与工业革命密不可分这个已成为常识性的结论却引起了福格尔的怀疑和反思。事实果真如此吗?福格尔建立了“反事实”论据：复原了当时主要的工业资料，如运费、主要农业贸易流通量的地区分布、按部门对当时冶金工业交货情况的分析，等等。在此基础上，福格尔得出结论说，以上传统观点所认定的铁路对经济发展的作用是错误的。他认为，当时只要把美国的水路运输稍加扩大，就能以同样的费用进入95%的农用土地；至于修筑铁路引起的工业需求，在1840-1860年间，它从未超过美国铸铁生产的5%，因此，不能用铁路来解释该时期美国冶金工业的迅速发展。他甚至指出，在其他条件不变的情况下，即使没有铁路，1890年的美国国民生产总值也不会比这一年的实际产值低3%以上。因此，铁路在美国经济增长中所起的作用实在是微不足道的，美国经济的发展是由于多种因素促成的。福格尔关于美国这一历史时期增长的“铁路微作用假设”便可称之为历史型假设。创新中的马克思主义史学也可积极借鉴这一方法。</w:t>
      </w:r>
    </w:p>
    <w:p w14:paraId="20C5A69A">
      <w:pPr>
        <w:ind w:firstLine="440" w:firstLineChars="200"/>
        <w:rPr>
          <w:rFonts w:eastAsia="宋体" w:cs="Times New Roman"/>
          <w:color w:val="000000"/>
          <w:sz w:val="21"/>
          <w:szCs w:val="24"/>
        </w:rPr>
      </w:pPr>
      <w:r>
        <w:rPr>
          <w:rFonts w:hint="eastAsia" w:eastAsia="宋体" w:cs="Times New Roman"/>
          <w:color w:val="000000"/>
          <w:sz w:val="21"/>
          <w:szCs w:val="24"/>
        </w:rPr>
        <w:t>4．根据假设的覆盖面，可分为全面的或片面的假设</w:t>
      </w:r>
    </w:p>
    <w:p w14:paraId="242D1868">
      <w:pPr>
        <w:ind w:firstLine="440" w:firstLineChars="200"/>
        <w:rPr>
          <w:rFonts w:eastAsia="宋体" w:cs="Times New Roman"/>
          <w:color w:val="000000"/>
          <w:sz w:val="21"/>
          <w:szCs w:val="24"/>
        </w:rPr>
      </w:pPr>
      <w:r>
        <w:rPr>
          <w:rFonts w:hint="eastAsia" w:eastAsia="宋体" w:cs="Times New Roman"/>
          <w:color w:val="000000"/>
          <w:sz w:val="21"/>
          <w:szCs w:val="24"/>
        </w:rPr>
        <w:t>如近现代西方经济学包含完全自私在内的“经济人”假设，就属于只能解释部分现象的片面假设，由此得出以偏概全的经济学理论难以被确认为“公理”。依据整个人类历史和问题导向，我们必须确立一种新“经济人”假说和理论，即“利己和利他经济人假设”，其方法论是历史唯物主义和整体主义的。它对应西方“完全自私经济人假设”，包含三个基本命题：一是经济活动中的人有利己和利他两种倾向或性质。二是经济活动中的人具有理性与非理性两种状态。三是良好的制度会使经济活动中的人在增进集体利益或社会利益最大化的过程中实现合理的个人利益最大化。利他经济人假设对制度安排、诚信建设和荣辱观教育等都具有积极的作用，更可以导致社会协作与公共福利的增加。</w:t>
      </w:r>
    </w:p>
    <w:p w14:paraId="34C2026B">
      <w:pPr>
        <w:ind w:firstLine="440" w:firstLineChars="200"/>
        <w:rPr>
          <w:rFonts w:eastAsia="宋体" w:cs="Times New Roman"/>
          <w:color w:val="000000"/>
          <w:sz w:val="21"/>
          <w:szCs w:val="24"/>
        </w:rPr>
      </w:pPr>
      <w:r>
        <w:rPr>
          <w:rFonts w:hint="eastAsia" w:eastAsia="宋体" w:cs="Times New Roman"/>
          <w:color w:val="000000"/>
          <w:sz w:val="21"/>
          <w:szCs w:val="24"/>
        </w:rPr>
        <w:t>同理，“菲利普斯曲线”是依据英国1861～1957年间的工资增长率与失业率的历史资料来表述两者之间关系的，有学术和实际价值，但过去被视之为具有普遍意义的定律则不妥，其实它仍然具有历史型假设的性质，而且是不具普适性的片面假设。因此，2007年获得诺贝尔经济学奖的费尔浦斯就曾提出通货膨胀不仅与失业有关，也与企业和雇员对价格和工资增长的预期有关，从而能较好地解释20世纪60年代末和70年代初通货膨胀与失业同时增长的历史现象。</w:t>
      </w:r>
    </w:p>
    <w:p w14:paraId="5073B19E">
      <w:pPr>
        <w:ind w:firstLine="440" w:firstLineChars="200"/>
        <w:rPr>
          <w:rFonts w:eastAsia="宋体" w:cs="Times New Roman"/>
          <w:color w:val="000000"/>
          <w:sz w:val="21"/>
          <w:szCs w:val="24"/>
        </w:rPr>
      </w:pPr>
      <w:r>
        <w:rPr>
          <w:rFonts w:hint="eastAsia" w:eastAsia="宋体" w:cs="Times New Roman"/>
          <w:color w:val="000000"/>
          <w:sz w:val="21"/>
          <w:szCs w:val="24"/>
        </w:rPr>
        <w:t>另外，现代西方主流经济学的重要假定或假设之一是资源有限与需要（欲望）无限。这一“资源有限与需要无限假设”也是片面的，因为这一假设内含的时间和空间两个约束条件不对称。从辩证思维和假定的一致性或对称性来分析，尽管西方经济学对资源与需要相互关系的描述有一定的道理，但仍然存在明显的逻辑缺陷。其一，从假定对称层面看，当假定资源有限时，暗含着以一定的时间和条件为前提，而假定需要无限时，并没有以一定的时间和条件为前提。把两个前提不一致或不对称的经济事物和概念放在一起加以对比或撮合成一对经济基本矛盾，显然过于简单化和绝对化。西方学者实际上是用“稀缺”来定义“资源”的，不稀缺的就不算作资源，资源一词已内含着稀缺性，因而再说资源是稀缺的，无疑于同义反复。其二，从资源利用层面看，各类资源在一定条件下是有限的，但从某种意义上看又是无限的，因为包含资源在内的整个宇宙本身是无限的，科技发展、物质变换和循环经济也是无限的。其三，从需要满足层面看，需要在一定条件下也是有限的，而且在市场经济中能实现的需要，还是专指有货币支付能力的需要即需求，并非指人们脱离现实生产力水平和货币状况的空想性需要。人类不断增长的合理需要本身也是受到一定约束或限制的。西方理论没有明确区分需要的种类及其约束条件，笼统地说需要始终处于无限状态，是不合情理的。</w:t>
      </w:r>
    </w:p>
    <w:p w14:paraId="72B5F59C">
      <w:pPr>
        <w:ind w:firstLine="440" w:firstLineChars="200"/>
        <w:rPr>
          <w:rFonts w:eastAsia="宋体" w:cs="Times New Roman"/>
          <w:color w:val="000000"/>
          <w:sz w:val="21"/>
          <w:szCs w:val="24"/>
        </w:rPr>
      </w:pPr>
      <w:r>
        <w:rPr>
          <w:rFonts w:hint="eastAsia" w:eastAsia="宋体" w:cs="Times New Roman"/>
          <w:color w:val="000000"/>
          <w:sz w:val="21"/>
          <w:szCs w:val="24"/>
        </w:rPr>
        <w:t>因此，反思性地改造西方主流学者的上述理论假设的必然结果，便是推陈出新地作出“资源和需要双约束假设”，即假设在一定时期内资源和需要都是有约束的，因而多种资源与多种需要可以形成各种选择或替代组合，进而在一定的双约束条件下实现资源的高效配置和需要的极大满足。这样的理论假设反映现实全面，论证逻辑严密。“资源和需要双约束假设”的内在要求之一，是通过科技和管理的改进等途径来实现各种资源的高效利用和最佳配置；其内在要求之二，是通过有效需求和合理需要的总量和结构的科学调节等途径来实现各种需求的最大满足；其内在要求之三，是通过资源的高效利用和最佳配置来不断满足日益增长的社会有效需求和合理需要。</w:t>
      </w:r>
    </w:p>
    <w:p w14:paraId="05AF0CBB">
      <w:pPr>
        <w:ind w:firstLine="440" w:firstLineChars="200"/>
        <w:rPr>
          <w:rFonts w:eastAsia="宋体" w:cs="Times New Roman"/>
          <w:color w:val="000000"/>
          <w:sz w:val="21"/>
          <w:szCs w:val="24"/>
        </w:rPr>
      </w:pPr>
      <w:r>
        <w:rPr>
          <w:rFonts w:hint="eastAsia" w:eastAsia="宋体" w:cs="Times New Roman"/>
          <w:color w:val="000000"/>
          <w:sz w:val="21"/>
          <w:szCs w:val="24"/>
        </w:rPr>
        <w:t>5．根据假设的抽象程度，可分为较基本的或较具体的假设</w:t>
      </w:r>
    </w:p>
    <w:p w14:paraId="20B5E5DA">
      <w:pPr>
        <w:ind w:firstLine="440" w:firstLineChars="200"/>
        <w:rPr>
          <w:rFonts w:eastAsia="宋体" w:cs="Times New Roman"/>
          <w:color w:val="000000"/>
          <w:sz w:val="21"/>
          <w:szCs w:val="24"/>
        </w:rPr>
      </w:pPr>
      <w:r>
        <w:rPr>
          <w:rFonts w:hint="eastAsia" w:eastAsia="宋体" w:cs="Times New Roman"/>
          <w:color w:val="000000"/>
          <w:sz w:val="21"/>
          <w:szCs w:val="24"/>
        </w:rPr>
        <w:t>作为史学和经济学重要方法的唯物史观，以及作为马克思主义政治经济学枢纽的劳动两重性观点，便属于抽象度较高的基本假设，而马克思关于个别资本循环和周转、社会总资本扩大再生产等一些假设，则属于较具体的层面。</w:t>
      </w:r>
    </w:p>
    <w:p w14:paraId="4F98EFEE">
      <w:pPr>
        <w:ind w:firstLine="440" w:firstLineChars="200"/>
        <w:rPr>
          <w:rFonts w:eastAsia="宋体" w:cs="Times New Roman"/>
          <w:color w:val="000000"/>
          <w:sz w:val="21"/>
          <w:szCs w:val="24"/>
        </w:rPr>
      </w:pPr>
      <w:r>
        <w:rPr>
          <w:rFonts w:hint="eastAsia" w:eastAsia="宋体" w:cs="Times New Roman"/>
          <w:color w:val="000000"/>
          <w:sz w:val="21"/>
          <w:szCs w:val="24"/>
        </w:rPr>
        <w:t>此外，即使是同一较基本的理论假设，也要视实践环境不同而有所具体化。以“公有制高绩效假设”为例，笔者从马克思经济学中概括出来的“公有制高绩效”假设，是指在计划经济条件下生产资料归全社会成员共同所有的公有制体系能达到社会绩效最大化；而从邓小平经济理论中概括出来的“公有制高绩效”假设，是指在市场经济条件下生产资料全民所有制和集体所有制能达到社会绩效最大化。但其中均存在多种复杂的前提条件，如不存在严重的社会腐败，委托代理双方权责是合理的，国企承担额外社会义务需另行核算，政府的管理、政策和操作没出现大失误，选聘的经营者有较高素质，等等。只有大体同时具备这些前提条件，社会主义公有制与计划经济或市场经济的结合才能呈现高绩效。倘若过去或现实生活中搞好社会主义公有制的前提条件缺失而导致某些低绩效现象，这并不能证明计划经济或市场经济的条件下公有制经济不可行。</w:t>
      </w:r>
    </w:p>
    <w:p w14:paraId="0CDA93C6">
      <w:pPr>
        <w:ind w:firstLine="440" w:firstLineChars="200"/>
        <w:rPr>
          <w:rFonts w:eastAsia="宋体" w:cs="Times New Roman"/>
          <w:b/>
          <w:color w:val="000000"/>
          <w:sz w:val="21"/>
          <w:szCs w:val="24"/>
        </w:rPr>
      </w:pPr>
      <w:r>
        <w:rPr>
          <w:rFonts w:hint="eastAsia" w:eastAsia="宋体" w:cs="Times New Roman"/>
          <w:b/>
          <w:color w:val="000000"/>
          <w:sz w:val="21"/>
          <w:szCs w:val="24"/>
        </w:rPr>
        <w:t>三、结语</w:t>
      </w:r>
    </w:p>
    <w:p w14:paraId="08CE2A2F">
      <w:pPr>
        <w:ind w:firstLine="440" w:firstLineChars="200"/>
        <w:rPr>
          <w:rFonts w:eastAsia="宋体" w:cs="Times New Roman"/>
          <w:color w:val="000000"/>
          <w:sz w:val="21"/>
          <w:szCs w:val="24"/>
        </w:rPr>
      </w:pPr>
      <w:r>
        <w:rPr>
          <w:rFonts w:hint="eastAsia" w:eastAsia="宋体" w:cs="Times New Roman"/>
          <w:color w:val="000000"/>
          <w:sz w:val="21"/>
          <w:szCs w:val="24"/>
        </w:rPr>
        <w:t>假设的不同显示出经济学的不同流派和体系。现代西方主流经济学家弗里德曼强调，判断假设的好坏不在于“真实”，而在于建构的理论是否有效，即是否有效地产生了准确的预测，宣称理论的意义越多，假设就越不现实。现代马克思主义经济学家则强调假设的现实性、科学性和辩证性，因而具有更大的思想认知功能和社会建设功能。基于以上不同理论假设的现代马克思主义主流经济学和现代西方主流经济学这两大理论经济学的方法、范畴、原理和体系既有相互吸收与通约的一面，也有相互批判与排斥的一面，从而呈现为不同的现代理论经济学范式。变革中的现代马克思主义经济学，力图既超越马克思经济学和苏联经济学，又超越现代西方经济学和中外古近代经济学，体现“国情为据、世情为鉴，马学为体、西学为用、国学为根”综合创新的时代精神和科学理念，就必须独特性地推出“新的活劳动创造价值假设”、“己他双性经济人假设”、“公平与效率互促同向变动假设”、“资源和需要双约束假设”等若干关键性的理论假设，并达成学科共识。那种认为现代西方主流经济学的关键性理论假设及其范式具有普适性或普世性，需要中国化或本土化的思想，显然是幼稚的。因为只有在关键性理论假设和核心理论上具有科学性和普适性的马克思主义及其经济学，才能通过中国化或本土化，来真正促进我国富强、民主、文明、和谐、自由的社会主义建设和发展。</w:t>
      </w:r>
    </w:p>
    <w:p w14:paraId="5D3BC634">
      <w:pPr>
        <w:ind w:firstLine="440" w:firstLineChars="200"/>
        <w:rPr>
          <w:rFonts w:eastAsia="宋体" w:cs="Times New Roman"/>
          <w:color w:val="000000"/>
          <w:sz w:val="21"/>
          <w:szCs w:val="24"/>
        </w:rPr>
      </w:pPr>
    </w:p>
    <w:p w14:paraId="459BA546">
      <w:pPr>
        <w:ind w:firstLine="440" w:firstLineChars="200"/>
        <w:rPr>
          <w:rFonts w:eastAsia="宋体" w:cs="Times New Roman"/>
          <w:color w:val="000000"/>
          <w:sz w:val="21"/>
          <w:szCs w:val="24"/>
        </w:rPr>
      </w:pPr>
      <w:r>
        <w:rPr>
          <w:rFonts w:hint="eastAsia" w:eastAsia="宋体" w:cs="Times New Roman"/>
          <w:color w:val="000000"/>
          <w:sz w:val="21"/>
          <w:szCs w:val="24"/>
        </w:rPr>
        <w:t>参考文献：</w:t>
      </w:r>
    </w:p>
    <w:p w14:paraId="72D42C5B">
      <w:pPr>
        <w:ind w:firstLine="360"/>
        <w:rPr>
          <w:rFonts w:eastAsia="宋体" w:cs="Times New Roman"/>
          <w:color w:val="000000"/>
          <w:sz w:val="21"/>
          <w:szCs w:val="24"/>
        </w:rPr>
      </w:pPr>
      <w:r>
        <w:rPr>
          <w:rFonts w:hint="eastAsia" w:eastAsia="宋体" w:cs="Times New Roman"/>
          <w:color w:val="000000"/>
          <w:sz w:val="21"/>
          <w:szCs w:val="24"/>
        </w:rPr>
        <w:t>[1]程恩富.生产性管理活动都是创造价值的生产劳动[J].社会科学，1995，（7）.</w:t>
      </w:r>
    </w:p>
    <w:p w14:paraId="42C9A747">
      <w:pPr>
        <w:ind w:firstLine="360"/>
        <w:rPr>
          <w:rFonts w:eastAsia="宋体" w:cs="Times New Roman"/>
          <w:color w:val="000000"/>
          <w:sz w:val="21"/>
          <w:szCs w:val="24"/>
        </w:rPr>
      </w:pPr>
      <w:r>
        <w:rPr>
          <w:rFonts w:hint="eastAsia" w:eastAsia="宋体" w:cs="Times New Roman"/>
          <w:color w:val="000000"/>
          <w:sz w:val="21"/>
          <w:szCs w:val="24"/>
        </w:rPr>
        <w:t>[2]马艳，程恩富.马克思“商品价值量与劳动生产率变动规律”新探[J].财经研究，2002，10.</w:t>
      </w:r>
    </w:p>
    <w:p w14:paraId="699E5927">
      <w:pPr>
        <w:ind w:firstLine="360"/>
        <w:rPr>
          <w:rFonts w:eastAsia="宋体" w:cs="Times New Roman"/>
          <w:color w:val="000000"/>
          <w:sz w:val="21"/>
          <w:szCs w:val="24"/>
        </w:rPr>
      </w:pPr>
      <w:r>
        <w:rPr>
          <w:rFonts w:hint="eastAsia" w:eastAsia="宋体" w:cs="Times New Roman"/>
          <w:color w:val="000000"/>
          <w:sz w:val="21"/>
          <w:szCs w:val="24"/>
        </w:rPr>
        <w:t>[3]程恩富西方产权理论评析[M].北京：当代中国出版社，1997</w:t>
      </w:r>
    </w:p>
    <w:p w14:paraId="58583FD5">
      <w:pPr>
        <w:ind w:firstLine="360"/>
        <w:rPr>
          <w:rFonts w:eastAsia="宋体" w:cs="Times New Roman"/>
          <w:color w:val="000000"/>
          <w:sz w:val="21"/>
          <w:szCs w:val="24"/>
        </w:rPr>
      </w:pPr>
      <w:r>
        <w:rPr>
          <w:rFonts w:hint="eastAsia" w:eastAsia="宋体" w:cs="Times New Roman"/>
          <w:color w:val="000000"/>
          <w:sz w:val="21"/>
          <w:szCs w:val="24"/>
        </w:rPr>
        <w:t>[4]休谟人性论[M].北京：商务印书馆，1997</w:t>
      </w:r>
    </w:p>
    <w:p w14:paraId="0F6A98BA">
      <w:pPr>
        <w:ind w:firstLine="360"/>
        <w:rPr>
          <w:rFonts w:eastAsia="宋体" w:cs="Times New Roman"/>
          <w:color w:val="000000"/>
          <w:sz w:val="21"/>
          <w:szCs w:val="24"/>
        </w:rPr>
      </w:pPr>
      <w:r>
        <w:rPr>
          <w:rFonts w:hint="eastAsia" w:eastAsia="宋体" w:cs="Times New Roman"/>
          <w:color w:val="000000"/>
          <w:sz w:val="21"/>
          <w:szCs w:val="24"/>
        </w:rPr>
        <w:t>[5]米塞斯经济学的认识论问题[M].北京：经济科学出版社，2001</w:t>
      </w:r>
    </w:p>
    <w:p w14:paraId="496A511B">
      <w:pPr>
        <w:ind w:firstLine="360"/>
        <w:rPr>
          <w:rFonts w:eastAsia="宋体" w:cs="Times New Roman"/>
          <w:color w:val="000000"/>
          <w:sz w:val="21"/>
          <w:szCs w:val="24"/>
        </w:rPr>
      </w:pPr>
      <w:r>
        <w:rPr>
          <w:rFonts w:hint="eastAsia" w:eastAsia="宋体" w:cs="Times New Roman"/>
          <w:color w:val="000000"/>
          <w:sz w:val="21"/>
          <w:szCs w:val="24"/>
        </w:rPr>
        <w:t>[6]劳伦斯·A·博兰批判的经济学方法论[M].北京：经济科学出版社，2000</w:t>
      </w:r>
    </w:p>
    <w:p w14:paraId="1DBB643A">
      <w:pPr>
        <w:ind w:firstLine="360"/>
        <w:rPr>
          <w:rFonts w:eastAsia="宋体" w:cs="Times New Roman"/>
          <w:color w:val="000000"/>
          <w:sz w:val="21"/>
          <w:szCs w:val="24"/>
        </w:rPr>
      </w:pPr>
      <w:r>
        <w:rPr>
          <w:rFonts w:hint="eastAsia" w:eastAsia="宋体" w:cs="Times New Roman"/>
          <w:color w:val="000000"/>
          <w:sz w:val="21"/>
          <w:szCs w:val="24"/>
        </w:rPr>
        <w:t>[7]杨春学经济人与社会秩序分析[M].上海：上海三联书店、上海人民出版社，1998</w:t>
      </w:r>
    </w:p>
    <w:p w14:paraId="422B653B">
      <w:pPr>
        <w:ind w:firstLine="360"/>
        <w:rPr>
          <w:rFonts w:eastAsia="宋体" w:cs="Times New Roman"/>
          <w:color w:val="000000"/>
          <w:sz w:val="21"/>
          <w:szCs w:val="24"/>
        </w:rPr>
      </w:pPr>
      <w:r>
        <w:rPr>
          <w:rFonts w:hint="eastAsia" w:eastAsia="宋体" w:cs="Times New Roman"/>
          <w:color w:val="000000"/>
          <w:sz w:val="21"/>
          <w:szCs w:val="24"/>
        </w:rPr>
        <w:t>[8]王东京澄清经济学的三大问题[J].中国改革，2006，（9）</w:t>
      </w:r>
    </w:p>
    <w:p w14:paraId="137A7847">
      <w:pPr>
        <w:ind w:firstLine="360"/>
        <w:rPr>
          <w:rFonts w:eastAsia="宋体" w:cs="Times New Roman"/>
          <w:color w:val="000000"/>
          <w:sz w:val="21"/>
          <w:szCs w:val="24"/>
        </w:rPr>
      </w:pPr>
      <w:r>
        <w:rPr>
          <w:rFonts w:hint="eastAsia" w:eastAsia="宋体" w:cs="Times New Roman"/>
          <w:color w:val="000000"/>
          <w:sz w:val="21"/>
          <w:szCs w:val="24"/>
        </w:rPr>
        <w:t>[9]科斯论生产的制度结构[M].上海：上海三联书店，1994</w:t>
      </w:r>
    </w:p>
    <w:p w14:paraId="0C71D934">
      <w:pPr>
        <w:ind w:firstLine="360"/>
        <w:rPr>
          <w:rFonts w:eastAsia="宋体" w:cs="Times New Roman"/>
          <w:color w:val="000000"/>
          <w:sz w:val="21"/>
          <w:szCs w:val="24"/>
        </w:rPr>
      </w:pPr>
      <w:r>
        <w:rPr>
          <w:rFonts w:hint="eastAsia" w:eastAsia="宋体" w:cs="Times New Roman"/>
          <w:color w:val="000000"/>
          <w:sz w:val="21"/>
          <w:szCs w:val="24"/>
        </w:rPr>
        <w:t>[10]诺思制度、制度变迁与经济绩效[M].上海：上海三联书店，1994</w:t>
      </w:r>
    </w:p>
    <w:p w14:paraId="2CA0E389">
      <w:pPr>
        <w:ind w:firstLine="360"/>
        <w:rPr>
          <w:rFonts w:eastAsia="宋体" w:cs="Times New Roman"/>
          <w:color w:val="000000"/>
          <w:sz w:val="21"/>
          <w:szCs w:val="24"/>
        </w:rPr>
      </w:pPr>
      <w:r>
        <w:rPr>
          <w:rFonts w:hint="eastAsia" w:eastAsia="宋体" w:cs="Times New Roman"/>
          <w:color w:val="000000"/>
          <w:sz w:val="21"/>
          <w:szCs w:val="24"/>
        </w:rPr>
        <w:t>[11]周肇光关于资源有限与需要无限假设的理性分析[J].经济问题，2004，（2）</w:t>
      </w:r>
    </w:p>
    <w:p w14:paraId="5CEB5F3A">
      <w:pPr>
        <w:ind w:firstLine="360"/>
        <w:rPr>
          <w:rFonts w:eastAsia="宋体" w:cs="Times New Roman"/>
          <w:color w:val="000000"/>
          <w:sz w:val="21"/>
          <w:szCs w:val="24"/>
        </w:rPr>
      </w:pPr>
      <w:r>
        <w:rPr>
          <w:rFonts w:hint="eastAsia" w:eastAsia="宋体" w:cs="Times New Roman"/>
          <w:color w:val="000000"/>
          <w:sz w:val="21"/>
          <w:szCs w:val="24"/>
        </w:rPr>
        <w:t>[12]费希尔，唐布什经济学[M].北京：中国财政经济出版社，1989</w:t>
      </w:r>
    </w:p>
    <w:p w14:paraId="490D44D8">
      <w:pPr>
        <w:ind w:firstLine="360"/>
        <w:rPr>
          <w:rFonts w:eastAsia="宋体" w:cs="Times New Roman"/>
          <w:color w:val="000000"/>
          <w:sz w:val="21"/>
          <w:szCs w:val="24"/>
        </w:rPr>
      </w:pPr>
      <w:r>
        <w:rPr>
          <w:rFonts w:hint="eastAsia" w:eastAsia="宋体" w:cs="Times New Roman"/>
          <w:color w:val="000000"/>
          <w:sz w:val="21"/>
          <w:szCs w:val="24"/>
        </w:rPr>
        <w:t>[13]凯斯，费尔经济学原理[M].北京：中国人民大学出版社，1994</w:t>
      </w:r>
    </w:p>
    <w:p w14:paraId="765B5293">
      <w:pPr>
        <w:ind w:firstLine="360"/>
        <w:rPr>
          <w:rFonts w:eastAsia="宋体" w:cs="Times New Roman"/>
          <w:color w:val="000000"/>
          <w:sz w:val="21"/>
          <w:szCs w:val="24"/>
        </w:rPr>
      </w:pPr>
    </w:p>
    <w:p w14:paraId="68562216">
      <w:pPr>
        <w:ind w:firstLine="564" w:firstLineChars="257"/>
        <w:rPr>
          <w:rFonts w:eastAsia="宋体" w:cs="Times New Roman"/>
          <w:color w:val="000000"/>
          <w:sz w:val="21"/>
          <w:szCs w:val="24"/>
        </w:rPr>
      </w:pPr>
      <w:r>
        <w:rPr>
          <w:rFonts w:hint="eastAsia" w:eastAsia="宋体" w:cs="Times New Roman"/>
          <w:color w:val="000000"/>
          <w:sz w:val="21"/>
          <w:szCs w:val="24"/>
        </w:rPr>
        <w:t>（原载《云南财经大学学报》2007年第12期）</w:t>
      </w:r>
    </w:p>
    <w:p w14:paraId="4FA8A332">
      <w:pPr>
        <w:rPr>
          <w:rFonts w:eastAsia="宋体" w:cs="Times New Roman"/>
          <w:sz w:val="21"/>
          <w:szCs w:val="24"/>
        </w:rPr>
      </w:pPr>
    </w:p>
    <w:p w14:paraId="55DAD0AD">
      <w:pPr>
        <w:jc w:val="center"/>
        <w:outlineLvl w:val="1"/>
        <w:rPr>
          <w:rFonts w:eastAsia="宋体" w:cs="Times New Roman"/>
          <w:b/>
          <w:color w:val="000000"/>
          <w:sz w:val="21"/>
          <w:szCs w:val="21"/>
        </w:rPr>
      </w:pPr>
      <w:bookmarkStart w:id="843" w:name="_Toc1491"/>
      <w:bookmarkStart w:id="844" w:name="_Toc257922101"/>
      <w:bookmarkStart w:id="845" w:name="_Toc78713300"/>
      <w:bookmarkStart w:id="846" w:name="_Toc19904"/>
      <w:bookmarkStart w:id="847" w:name="_Toc611288725"/>
      <w:bookmarkStart w:id="848" w:name="_Toc308875532"/>
      <w:bookmarkStart w:id="849" w:name="_Toc78713278"/>
      <w:bookmarkStart w:id="850" w:name="_Toc257922026"/>
      <w:r>
        <w:rPr>
          <w:rFonts w:hint="eastAsia" w:eastAsia="宋体" w:cs="Times New Roman"/>
          <w:b/>
          <w:color w:val="000000"/>
          <w:sz w:val="21"/>
          <w:szCs w:val="21"/>
          <w:lang w:val="en-US" w:eastAsia="zh-CN"/>
        </w:rPr>
        <w:t>33</w:t>
      </w:r>
      <w:r>
        <w:rPr>
          <w:rFonts w:hint="eastAsia" w:eastAsia="宋体" w:cs="Times New Roman"/>
          <w:b/>
          <w:color w:val="000000"/>
          <w:sz w:val="21"/>
          <w:szCs w:val="21"/>
        </w:rPr>
        <w:t>美元霸权：美国掠夺他国财富的重要手段</w:t>
      </w:r>
      <w:bookmarkEnd w:id="843"/>
      <w:bookmarkEnd w:id="844"/>
      <w:bookmarkEnd w:id="845"/>
      <w:bookmarkEnd w:id="846"/>
      <w:bookmarkEnd w:id="847"/>
      <w:bookmarkEnd w:id="848"/>
    </w:p>
    <w:p w14:paraId="28199B9B">
      <w:pPr>
        <w:rPr>
          <w:rFonts w:eastAsia="宋体" w:cs="Times New Roman"/>
          <w:color w:val="000000"/>
          <w:sz w:val="21"/>
          <w:szCs w:val="21"/>
        </w:rPr>
      </w:pPr>
    </w:p>
    <w:p w14:paraId="2683239C">
      <w:pPr>
        <w:ind w:firstLine="440" w:firstLineChars="200"/>
        <w:rPr>
          <w:rFonts w:eastAsia="宋体" w:cs="Times New Roman"/>
          <w:color w:val="000000"/>
          <w:sz w:val="21"/>
          <w:szCs w:val="21"/>
        </w:rPr>
      </w:pPr>
      <w:r>
        <w:rPr>
          <w:rFonts w:hint="eastAsia" w:eastAsia="宋体" w:cs="Times New Roman"/>
          <w:color w:val="000000"/>
          <w:sz w:val="21"/>
          <w:szCs w:val="21"/>
        </w:rPr>
        <w:t>美国是世界上经济最发达的资本主义国家，很多文献都在探讨为什么美国经济20 世纪80 年代以来，在巨额经常项目逆差和消费远远高于生产的条件下还能够维系长期低速增长，一种相当流行的观点认为，这是美国高科技发展的结果。高科技的发展和因特网的应用，确实能部分解释美国经济的长期低速增长，却不能很好地解释为什么在长期巨额经常项目逆差和消费远远高于生产的条件下，美国经济还能够维系长期低速增长。本文试图从美元霸权的角度来解释这个问题：美国通过发行国际本位货币——美元，掠夺了他国大量财富，这是美国改善国际收支状况、保持内外经济平衡和维系经济长期低速增长的重要条件。</w:t>
      </w:r>
    </w:p>
    <w:p w14:paraId="69CCE0A7">
      <w:pPr>
        <w:ind w:firstLine="440" w:firstLineChars="200"/>
        <w:rPr>
          <w:rFonts w:eastAsia="宋体" w:cs="Times New Roman"/>
          <w:b/>
          <w:color w:val="000000"/>
          <w:sz w:val="21"/>
          <w:szCs w:val="21"/>
        </w:rPr>
      </w:pPr>
      <w:r>
        <w:rPr>
          <w:rFonts w:hint="eastAsia" w:eastAsia="宋体" w:cs="Times New Roman"/>
          <w:b/>
          <w:color w:val="000000"/>
          <w:sz w:val="21"/>
          <w:szCs w:val="21"/>
        </w:rPr>
        <w:t>一、美元霸权形成的原因</w:t>
      </w:r>
    </w:p>
    <w:p w14:paraId="6DAE7777">
      <w:pPr>
        <w:ind w:firstLine="440" w:firstLineChars="200"/>
        <w:rPr>
          <w:rFonts w:eastAsia="宋体" w:cs="Times New Roman"/>
          <w:color w:val="000000"/>
          <w:sz w:val="21"/>
          <w:szCs w:val="21"/>
        </w:rPr>
      </w:pPr>
      <w:r>
        <w:rPr>
          <w:rFonts w:hint="eastAsia" w:eastAsia="宋体" w:cs="Times New Roman"/>
          <w:color w:val="000000"/>
          <w:sz w:val="21"/>
          <w:szCs w:val="21"/>
        </w:rPr>
        <w:t>美国之所以能够通过发行美元掠夺他国财富，依赖的是美元的全球霸权。到目前为止，世界上尚没有任何一种货币（包括欧元、英镑、日元等）能够挑战美元的霸权地位或与美元相抗衡。因此，有必要解释形成美元霸权的原因。</w:t>
      </w:r>
    </w:p>
    <w:p w14:paraId="76CD154C">
      <w:pPr>
        <w:ind w:firstLine="440" w:firstLineChars="200"/>
        <w:rPr>
          <w:rFonts w:eastAsia="宋体" w:cs="Times New Roman"/>
          <w:b/>
          <w:color w:val="000000"/>
          <w:sz w:val="21"/>
          <w:szCs w:val="21"/>
        </w:rPr>
      </w:pPr>
      <w:r>
        <w:rPr>
          <w:rFonts w:hint="eastAsia" w:eastAsia="宋体" w:cs="Times New Roman"/>
          <w:b/>
          <w:color w:val="000000"/>
          <w:sz w:val="21"/>
          <w:szCs w:val="21"/>
        </w:rPr>
        <w:t>1. 布雷顿森林体系时期：自然垄断</w:t>
      </w:r>
    </w:p>
    <w:p w14:paraId="32C3E52E">
      <w:pPr>
        <w:rPr>
          <w:rFonts w:eastAsia="宋体" w:cs="Times New Roman"/>
          <w:color w:val="000000"/>
          <w:sz w:val="21"/>
          <w:szCs w:val="21"/>
        </w:rPr>
      </w:pPr>
      <w:r>
        <w:rPr>
          <w:rFonts w:hint="eastAsia" w:eastAsia="宋体" w:cs="Times New Roman"/>
          <w:color w:val="000000"/>
          <w:sz w:val="21"/>
          <w:szCs w:val="21"/>
        </w:rPr>
        <w:t>美元的霸权地位并不是与生俱来的。第二次世界大战结束之后，美国凭借其在两次世界大战中积累的政治、经济和军事实力，成为世界上的头号经济大国。与此同时，民众对已有的资本主义世界主要货币（如英国英镑、德国马克）和国际金融体系的信心都基本上丧失。在所有货币中，只有美元凭借美国强大的经济实力值得信赖，于是美元脱颖而出，成为国际交换借以自由进行的主导货币。1944 年，在世界货币金融体系中建立了以美元为中心的金汇兑货币体系，即布雷顿森林体系，确立了美元与黄金挂钩，各国货币与美元挂钩的双挂钩制度。从此，美元成为一种国际中心货币，所有其它国家的货币都必须以美元作为基准货币，订立一个对美元的官方汇率平价。因此，国际美元本位制度是建立在美国强大的经济实力基础之上的，是一种自然垄断。</w:t>
      </w:r>
    </w:p>
    <w:p w14:paraId="7871C3A3">
      <w:pPr>
        <w:ind w:firstLine="440" w:firstLineChars="200"/>
        <w:rPr>
          <w:rFonts w:eastAsia="宋体" w:cs="Times New Roman"/>
          <w:b/>
          <w:color w:val="000000"/>
          <w:sz w:val="21"/>
          <w:szCs w:val="21"/>
        </w:rPr>
      </w:pPr>
      <w:r>
        <w:rPr>
          <w:rFonts w:hint="eastAsia" w:eastAsia="宋体" w:cs="Times New Roman"/>
          <w:b/>
          <w:color w:val="000000"/>
          <w:sz w:val="21"/>
          <w:szCs w:val="21"/>
        </w:rPr>
        <w:t>2. 布雷顿森林体系解体之后：相对强势和路径依赖</w:t>
      </w:r>
    </w:p>
    <w:p w14:paraId="374378D5">
      <w:pPr>
        <w:ind w:firstLine="440" w:firstLineChars="200"/>
        <w:rPr>
          <w:rFonts w:eastAsia="宋体" w:cs="Times New Roman"/>
          <w:color w:val="000000"/>
          <w:sz w:val="21"/>
          <w:szCs w:val="21"/>
        </w:rPr>
      </w:pPr>
      <w:r>
        <w:rPr>
          <w:rFonts w:hint="eastAsia" w:eastAsia="宋体" w:cs="Times New Roman"/>
          <w:color w:val="000000"/>
          <w:sz w:val="21"/>
          <w:szCs w:val="21"/>
        </w:rPr>
        <w:t>（1）美元的相对强势。当布雷顿森林体系的官方汇率平价制度在1971 年瓦解之后，美元在世界经济中失去了等同黄金的特殊地位，国际货币金融体系从以美元为中心的固定汇率体系，变成以美元为主、多种货币共同成为国际储备资产的浮动汇率体系。以布雷顿森林体系解体为标志，美元作为国际储备货币的地位从20 世纪70 年代中期开始逐渐衰落。美元作为外汇储备货币占国际储备的份额，从20 世纪70 年代的80%左右持续下降到90 年代初期的50%左右，但是2000 年以后又上升到70%左右。</w:t>
      </w:r>
      <w:r>
        <w:rPr>
          <w:rFonts w:eastAsia="宋体" w:cs="Times New Roman"/>
          <w:color w:val="000000"/>
          <w:sz w:val="21"/>
          <w:szCs w:val="21"/>
          <w:vertAlign w:val="superscript"/>
        </w:rPr>
        <w:footnoteReference w:id="243"/>
      </w:r>
      <w:r>
        <w:rPr>
          <w:rFonts w:hint="eastAsia" w:eastAsia="宋体" w:cs="Times New Roman"/>
          <w:color w:val="000000"/>
          <w:sz w:val="21"/>
          <w:szCs w:val="21"/>
        </w:rPr>
        <w:t>然而，值得注意的是，即便是在美元逐渐衰落的这个时期，美元仍然维持着主要储备货币、主要结算和支付手段的霸主地位，与欧元（前期为德国马克、法国法郎）、英镑和日元相比仍然处于相对强势的地位，作为国际货币的霸主其地位并没有改变。</w:t>
      </w:r>
    </w:p>
    <w:p w14:paraId="10BA4382">
      <w:pPr>
        <w:ind w:firstLine="440" w:firstLineChars="200"/>
        <w:rPr>
          <w:rFonts w:eastAsia="宋体" w:cs="Times New Roman"/>
          <w:color w:val="000000"/>
          <w:sz w:val="21"/>
          <w:szCs w:val="21"/>
        </w:rPr>
      </w:pPr>
      <w:r>
        <w:rPr>
          <w:rFonts w:hint="eastAsia" w:eastAsia="宋体" w:cs="Times New Roman"/>
          <w:color w:val="000000"/>
          <w:sz w:val="21"/>
          <w:szCs w:val="21"/>
        </w:rPr>
        <w:t>（2）路径依赖。一种货币取得中心货币地位之后会使世界经济取得规模经济效益，降低交易成本。</w:t>
      </w:r>
      <w:r>
        <w:rPr>
          <w:rFonts w:eastAsia="宋体" w:cs="Times New Roman"/>
          <w:color w:val="000000"/>
          <w:sz w:val="21"/>
          <w:szCs w:val="21"/>
          <w:vertAlign w:val="superscript"/>
        </w:rPr>
        <w:footnoteReference w:id="244"/>
      </w:r>
      <w:r>
        <w:rPr>
          <w:rFonts w:hint="eastAsia" w:eastAsia="宋体" w:cs="Times New Roman"/>
          <w:color w:val="000000"/>
          <w:sz w:val="21"/>
          <w:szCs w:val="21"/>
        </w:rPr>
        <w:t>假如世界经济中有n 个国家，每个国家都有自己的货币，那么为了在世界范围内组织金融机构间的外汇市场，就必须有n（n-1）/2 个市场。但是，如果选择第n 种货币作为媒介货币，所有外汇报价都可以以第n 种货币报价。这样一来，外汇市场的数目就可以从原来的n（n-1）/2 个减少到n-1个。在今天这样一个存在150 多种国家货币的世界上，一旦某种货币在世界金融体系中取得了中心货币地位，它的继续使用就会为外汇市场提供巨大的规模经济。</w:t>
      </w:r>
    </w:p>
    <w:p w14:paraId="3100CE8D">
      <w:pPr>
        <w:ind w:firstLine="440" w:firstLineChars="200"/>
        <w:rPr>
          <w:rFonts w:eastAsia="宋体" w:cs="Times New Roman"/>
          <w:color w:val="000000"/>
          <w:sz w:val="21"/>
          <w:szCs w:val="21"/>
        </w:rPr>
      </w:pPr>
      <w:r>
        <w:rPr>
          <w:rFonts w:hint="eastAsia" w:eastAsia="宋体" w:cs="Times New Roman"/>
          <w:color w:val="000000"/>
          <w:sz w:val="21"/>
          <w:szCs w:val="21"/>
        </w:rPr>
        <w:t>现在大约90%的国际间银行交易都是通过美元进行的，因而美元在国际交易中被世界上大多数国家用作报价、支付和清算工具，从而降低了国际经济交易的交易费用。因此，国际美元本位实际上起到了促进国际金融交易效率、降低交易成本的作用，而逐步实行统一的“世界货币”，则作用更大。国际中心货币美元使用得越广泛，其规模经济效果越明显。但是，由于美元在布雷顿森林体系解体前就在世界上大量泛滥，导致美元的贬值和无力进行黄金兑换，致使布雷顿森林体系解体。在后布雷顿森林体系（或称为牙买加体系）下，美国更是可以无视美元与黄金的挂钩，随心所欲地发行美元，而主导全球经济的众多美国跨国公司出于规避风险的目的，在交易、结算和支付中也广泛地使用美元。而一旦一种货币的中心地位确定，就会形成一种惯性，除非发生非常重大的变化，中心货币的地位一般不会轻易改变。因此，除非美国国内出现重大变故，比如出现恶性通货膨胀、严重经济危机等，否则，美元的国际货币中心地位和世界霸权就会继续下去。</w:t>
      </w:r>
    </w:p>
    <w:p w14:paraId="60098445">
      <w:pPr>
        <w:rPr>
          <w:rFonts w:eastAsia="宋体" w:cs="Times New Roman"/>
          <w:color w:val="000000"/>
          <w:sz w:val="21"/>
          <w:szCs w:val="21"/>
        </w:rPr>
      </w:pPr>
      <w:r>
        <w:rPr>
          <w:rFonts w:hint="eastAsia" w:eastAsia="宋体" w:cs="Times New Roman"/>
          <w:color w:val="000000"/>
          <w:sz w:val="21"/>
          <w:szCs w:val="21"/>
        </w:rPr>
        <w:t xml:space="preserve"> </w:t>
      </w:r>
    </w:p>
    <w:p w14:paraId="7FC53E32">
      <w:pPr>
        <w:ind w:firstLine="440" w:firstLineChars="200"/>
        <w:rPr>
          <w:rFonts w:eastAsia="宋体" w:cs="Times New Roman"/>
          <w:b/>
          <w:color w:val="000000"/>
          <w:sz w:val="21"/>
          <w:szCs w:val="21"/>
        </w:rPr>
      </w:pPr>
      <w:r>
        <w:rPr>
          <w:rFonts w:hint="eastAsia" w:eastAsia="宋体" w:cs="Times New Roman"/>
          <w:b/>
          <w:color w:val="000000"/>
          <w:sz w:val="21"/>
          <w:szCs w:val="21"/>
        </w:rPr>
        <w:t>二、美国利用美元霸权掠夺他国财富的表现</w:t>
      </w:r>
    </w:p>
    <w:p w14:paraId="331A2E6F">
      <w:pPr>
        <w:ind w:firstLine="440" w:firstLineChars="200"/>
        <w:rPr>
          <w:rFonts w:eastAsia="宋体" w:cs="Times New Roman"/>
          <w:b/>
          <w:color w:val="000000"/>
          <w:sz w:val="21"/>
          <w:szCs w:val="21"/>
        </w:rPr>
      </w:pPr>
      <w:r>
        <w:rPr>
          <w:rFonts w:hint="eastAsia" w:eastAsia="宋体" w:cs="Times New Roman"/>
          <w:b/>
          <w:color w:val="000000"/>
          <w:sz w:val="21"/>
          <w:szCs w:val="21"/>
        </w:rPr>
        <w:t>1. 获取国际铸币税收益</w:t>
      </w:r>
    </w:p>
    <w:p w14:paraId="4CBB211A">
      <w:pPr>
        <w:ind w:firstLine="450"/>
        <w:rPr>
          <w:rFonts w:eastAsia="宋体" w:cs="Times New Roman"/>
          <w:color w:val="000000"/>
          <w:sz w:val="21"/>
          <w:szCs w:val="21"/>
        </w:rPr>
      </w:pPr>
      <w:r>
        <w:rPr>
          <w:rFonts w:hint="eastAsia" w:eastAsia="宋体" w:cs="Times New Roman"/>
          <w:color w:val="000000"/>
          <w:sz w:val="21"/>
          <w:szCs w:val="21"/>
        </w:rPr>
        <w:t>“铸币税”的英文是seigniorage。它是从法语seigncur（封建领主）演变而来的。封建时期的欧洲，铸造货币（如把金块变成金币）是封建君主和大领主的一种特权。君主或大领主在铸造货币之后，要向购买铸币者收取一笔费用，一部分作为补偿铸造货币的成本，另一部分作为君主或大领主铸币的收入。这笔收入，是封建君主和领主利用他们的特权取得的，类似于国家通过权力征收的税收，铸币税由此得名，它的基本含义是铸造货币所得到的收益。随着货币制度的演变，铸币税的含义也发生了变化。在金属货币制度发展到一定时期以后，铸币税不再指前面所说的铸造货币的净收益，而是指未能按十足成色和重量铸造金属货币而得到的额外收入。为了便于理解这一过程，不妨以英国为例说明铸币税发展的过程。开始时，金币以足值黄金铸造，一英镑就是一磅黄金，这时没有作为额外收入的铸币税；后来造币者发现，没有必要用足值足量黄金铸造，可以掺入一半铜，其购买力与原来一英镑相同，这时就有半磅黄金的铸币税（铜相对于金价值很小，可以忽略不计）。掺假越多，铸币税也就越多。实行金本位的纸币制度后，统治者垄断了货币发行权，根本用不着造金币，印纸币也可以代表一英镑，面值一英镑的纸币与一英镑金币有同等购买力，这时铸币税就是一磅黄金（印制纸币的费用很小，可以忽略不计）。因此，在纸币制度下，铸币税基本等于货币面值。现在人类已进入信用货币时期，纸币仅是货币总量中的一小部分，金融机构开出的支票、汇票、本票等有价证券与投放的现金具有同样购买力，都可以获取铸币税，因而铸币税大大增大。该年铸币税等于该年金融机构基础货币的增量减去制币费用之后的实际价值量。由于制币的成本很小，因此，铸币税总量可以近似地等于中央银行投放的基础货币量。</w:t>
      </w:r>
    </w:p>
    <w:p w14:paraId="23EACF9F">
      <w:pPr>
        <w:ind w:firstLine="440" w:firstLineChars="200"/>
        <w:rPr>
          <w:rFonts w:eastAsia="宋体" w:cs="Times New Roman"/>
          <w:color w:val="000000"/>
          <w:sz w:val="21"/>
          <w:szCs w:val="21"/>
        </w:rPr>
      </w:pPr>
      <w:r>
        <w:rPr>
          <w:rFonts w:hint="eastAsia" w:eastAsia="宋体" w:cs="Times New Roman"/>
          <w:color w:val="000000"/>
          <w:sz w:val="21"/>
          <w:szCs w:val="21"/>
        </w:rPr>
        <w:t>一般来说，铸币税收入是主权国家政府拥有本国货币发行的特权而取得的收入，具有垄断性。但在日益一体化的国际经济背景下，一国货币成为国际性交易、结算和储备货币后，该国就拥有了在全球范围内获取铸币税的权利。这时，该国便可获得国际铸币税收益。国际铸币税是指一国因其货币为非居民所持有而得到的直接和间接的收益，包括传统意义上的国际铸币税和扩展意义上的国际铸币税。传统意义上的国际铸币税，类似于国内铸币税，就是一国因其货币为非居民所持有而得到的直接收益，近似等于在该国之外流通的该国货币的数量（印制和运输货币的成本忽略不计）。扩展意义上的国际铸币税，就是一国因其货币为非居民所持有而得到的间接收益。在现行国际货币体系下，国际铸币税大多被少数国际储备货币发行国所获取。美元是头号国际通货，因而美国是世界上受益于国际铸币税最多的国家。在布雷顿森林体系下，通过“双挂钩”安排，美国事实上独自享受了全球范围的国际铸币税收益。布雷顿森林体系崩溃后，美元的霸权地位虽受到了一定程度的削弱，但其霸主地位并没有被撼动，而且由于实施了纸币信用，美元从此突破“贵金属制约”，不用担心发生在布雷顿森林体系下的黄金挤兑，所以能更加随意地获取国际铸币税收益。</w:t>
      </w:r>
    </w:p>
    <w:p w14:paraId="2A5017A0">
      <w:pPr>
        <w:ind w:firstLine="440" w:firstLineChars="200"/>
        <w:rPr>
          <w:rFonts w:eastAsia="宋体" w:cs="Times New Roman"/>
          <w:color w:val="000000"/>
          <w:sz w:val="21"/>
          <w:szCs w:val="21"/>
        </w:rPr>
      </w:pPr>
      <w:r>
        <w:rPr>
          <w:rFonts w:hint="eastAsia" w:eastAsia="宋体" w:cs="Times New Roman"/>
          <w:color w:val="000000"/>
          <w:sz w:val="21"/>
          <w:szCs w:val="21"/>
        </w:rPr>
        <w:t>美国凭借美元的国际通货地位，可以发行大量美元来购买他国商品或劳务，或者进行对外直接或间接投资。这些美元的一部分在美国之外做“体外循环”，另一部分通过购买美国的债券、存入美国银行、利润汇回等方式回流到美国。如图1 所示，箭头表示美元流动的方向。在美国之外做“体外循环”的美元或者用于国际间双边或多边贸易交易、结算和支付、干预外汇市场、偿还外债、对外投资，或者作为现汇储备存在，不仅在数量上有相当程度的稳定性，而且随着世界经济规模的扩大和拉美国家的“货币美元化”有不断增长的趋势</w:t>
      </w:r>
      <w:r>
        <w:rPr>
          <w:rFonts w:eastAsia="宋体" w:cs="Times New Roman"/>
          <w:color w:val="000000"/>
          <w:sz w:val="21"/>
          <w:szCs w:val="21"/>
          <w:vertAlign w:val="superscript"/>
        </w:rPr>
        <w:footnoteReference w:id="245"/>
      </w:r>
      <w:r>
        <w:rPr>
          <w:rFonts w:hint="eastAsia" w:eastAsia="宋体" w:cs="Times New Roman"/>
          <w:color w:val="000000"/>
          <w:sz w:val="21"/>
          <w:szCs w:val="21"/>
        </w:rPr>
        <w:t>。美国不必担心拥有这部分美元的国家行使对它的要求权，向美国兑现商品或资产。美国获取的传统意义上的国际铸币税等于美联储创造的基础货币量在国外流通的部分。2003 年美国获得的传统意义上的国际铸币税约为231 亿美元，至2003 年已累计获得传统意义上的铸币税约为4319 亿美元，1990-2004 年平均每年获得的传统意义上的铸币税为181 亿美元。</w:t>
      </w:r>
      <w:r>
        <w:rPr>
          <w:rFonts w:eastAsia="宋体" w:cs="Times New Roman"/>
          <w:color w:val="000000"/>
          <w:sz w:val="21"/>
          <w:szCs w:val="21"/>
          <w:vertAlign w:val="superscript"/>
        </w:rPr>
        <w:footnoteReference w:id="246"/>
      </w:r>
    </w:p>
    <w:p w14:paraId="4F9150FD">
      <w:pPr>
        <w:ind w:firstLine="440" w:firstLineChars="200"/>
        <w:rPr>
          <w:rFonts w:eastAsia="宋体" w:cs="Times New Roman"/>
          <w:color w:val="000000"/>
          <w:sz w:val="21"/>
          <w:szCs w:val="21"/>
        </w:rPr>
      </w:pPr>
      <w:r>
        <w:rPr>
          <w:rFonts w:hint="eastAsia" w:eastAsia="宋体" w:cs="Times New Roman"/>
          <w:color w:val="000000"/>
          <w:sz w:val="21"/>
          <w:szCs w:val="21"/>
        </w:rPr>
        <w:t>在美国之外做“体外循环”的这部分美元的基础货币量，是美国通过国外购买或投资输出的</w:t>
      </w:r>
      <w:r>
        <w:rPr>
          <w:rFonts w:eastAsia="宋体" w:cs="Times New Roman"/>
          <w:color w:val="000000"/>
          <w:sz w:val="21"/>
          <w:szCs w:val="21"/>
          <w:vertAlign w:val="superscript"/>
        </w:rPr>
        <w:footnoteReference w:id="247"/>
      </w:r>
      <w:r>
        <w:rPr>
          <w:rFonts w:hint="eastAsia" w:eastAsia="宋体" w:cs="Times New Roman"/>
          <w:color w:val="000000"/>
          <w:sz w:val="21"/>
          <w:szCs w:val="21"/>
        </w:rPr>
        <w:t>，对此美国获得了传统意义上的国际铸币税。不仅如此，这部分美元虽然是美国的负债，但是，正如前文分析，由于经济交易、结算和支付所需，其它国家一直并不行使对它的要求权，所以这部分美元相当于给美国提供一笔无息贷款，贷款额就是在美国之外做“体外循环”的美元基础货币量。2003年，美元在国外流通的基础货币总量约为4319 亿美元，美国当年由此节约的利息支出就达到216 亿元（利率设定为5％）。此项好处得到了美国官方的认可，例如，美国联邦储备委员会曾认为，在国外流通的3000 多亿美元，就像是提供给美国政府的一笔无息贷款，美国每年因此可节约150 亿－200亿美元的费用。</w:t>
      </w:r>
      <w:r>
        <w:rPr>
          <w:rFonts w:eastAsia="宋体" w:cs="Times New Roman"/>
          <w:color w:val="000000"/>
          <w:sz w:val="21"/>
          <w:szCs w:val="21"/>
          <w:vertAlign w:val="superscript"/>
        </w:rPr>
        <w:footnoteReference w:id="248"/>
      </w:r>
      <w:r>
        <w:rPr>
          <w:rFonts w:hint="eastAsia" w:eastAsia="宋体" w:cs="Times New Roman"/>
          <w:color w:val="000000"/>
          <w:sz w:val="21"/>
          <w:szCs w:val="21"/>
        </w:rPr>
        <w:t>因此，为了满足全世界对美元现钞的需要，美国建立了从布宜诺斯艾利斯到法兰克福、伦敦、苏黎世，再到香港、新加坡的全球美钞配送中心。</w:t>
      </w:r>
    </w:p>
    <w:p w14:paraId="65E9D441">
      <w:pPr>
        <w:rPr>
          <w:rFonts w:eastAsia="宋体" w:cs="Times New Roman"/>
          <w:color w:val="000000"/>
          <w:sz w:val="21"/>
          <w:szCs w:val="21"/>
        </w:rPr>
      </w:pPr>
      <w:r>
        <w:rPr>
          <w:rFonts w:hint="eastAsia" w:eastAsia="宋体" w:cs="Times New Roman"/>
          <w:color w:val="000000"/>
          <w:sz w:val="21"/>
          <w:szCs w:val="21"/>
        </w:rPr>
        <w:t xml:space="preserve"> </w:t>
      </w:r>
    </w:p>
    <w:p w14:paraId="42270A18">
      <w:pPr>
        <w:jc w:val="center"/>
        <w:rPr>
          <w:rFonts w:eastAsia="宋体" w:cs="Times New Roman"/>
          <w:color w:val="000000"/>
          <w:sz w:val="21"/>
          <w:szCs w:val="21"/>
        </w:rPr>
      </w:pPr>
      <w:r>
        <w:rPr>
          <w:rFonts w:hint="eastAsia" w:eastAsia="宋体" w:cs="Times New Roman"/>
          <w:color w:val="000000"/>
          <w:sz w:val="21"/>
          <w:szCs w:val="21"/>
        </w:rPr>
        <w:t>图1 美元的世界流通</w:t>
      </w:r>
    </w:p>
    <w:p w14:paraId="3B502930">
      <w:pPr>
        <w:rPr>
          <w:rFonts w:eastAsia="宋体" w:cs="Times New Roman"/>
          <w:color w:val="000000"/>
          <w:sz w:val="21"/>
          <w:szCs w:val="21"/>
        </w:rPr>
      </w:pPr>
    </w:p>
    <w:p w14:paraId="17522570">
      <w:pPr>
        <w:rPr>
          <w:rFonts w:eastAsia="宋体" w:cs="Times New Roman"/>
          <w:color w:val="000000"/>
          <w:sz w:val="21"/>
          <w:szCs w:val="21"/>
        </w:rPr>
      </w:pPr>
      <w:r>
        <mc:AlternateContent>
          <mc:Choice Requires="wpg">
            <w:drawing>
              <wp:anchor distT="0" distB="0" distL="114300" distR="114300" simplePos="0" relativeHeight="251712512" behindDoc="0" locked="0" layoutInCell="1" allowOverlap="1">
                <wp:simplePos x="0" y="0"/>
                <wp:positionH relativeFrom="column">
                  <wp:posOffset>685800</wp:posOffset>
                </wp:positionH>
                <wp:positionV relativeFrom="paragraph">
                  <wp:posOffset>116205</wp:posOffset>
                </wp:positionV>
                <wp:extent cx="4267200" cy="1562100"/>
                <wp:effectExtent l="6350" t="6350" r="19050" b="6350"/>
                <wp:wrapNone/>
                <wp:docPr id="106" name="组合 106"/>
                <wp:cNvGraphicFramePr/>
                <a:graphic xmlns:a="http://schemas.openxmlformats.org/drawingml/2006/main">
                  <a:graphicData uri="http://schemas.microsoft.com/office/word/2010/wordprocessingGroup">
                    <wpg:wgp>
                      <wpg:cNvGrpSpPr/>
                      <wpg:grpSpPr>
                        <a:xfrm>
                          <a:off x="0" y="0"/>
                          <a:ext cx="4267200" cy="1562100"/>
                          <a:chOff x="2880" y="9735"/>
                          <a:chExt cx="6720" cy="2460"/>
                        </a:xfrm>
                        <a:effectLst/>
                      </wpg:grpSpPr>
                      <wps:wsp>
                        <wps:cNvPr id="385" name="文本框 23"/>
                        <wps:cNvSpPr txBox="1"/>
                        <wps:spPr>
                          <a:xfrm>
                            <a:off x="2880" y="10386"/>
                            <a:ext cx="645" cy="14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32899A04">
                              <w:r>
                                <w:rPr>
                                  <w:rFonts w:hint="eastAsia"/>
                                </w:rPr>
                                <w:t>美</w:t>
                              </w:r>
                            </w:p>
                            <w:p w14:paraId="76E110CF"/>
                            <w:p w14:paraId="3935DDBD"/>
                            <w:p w14:paraId="61C8C954">
                              <w:r>
                                <w:rPr>
                                  <w:rFonts w:hint="eastAsia"/>
                                </w:rPr>
                                <w:t>国</w:t>
                              </w:r>
                            </w:p>
                          </w:txbxContent>
                        </wps:txbx>
                        <wps:bodyPr upright="1"/>
                      </wps:wsp>
                      <wps:wsp>
                        <wps:cNvPr id="386" name="文本框 24"/>
                        <wps:cNvSpPr txBox="1"/>
                        <wps:spPr>
                          <a:xfrm>
                            <a:off x="8955" y="10266"/>
                            <a:ext cx="645" cy="1440"/>
                          </a:xfrm>
                          <a:prstGeom prst="rect">
                            <a:avLst/>
                          </a:prstGeom>
                          <a:solidFill>
                            <a:srgbClr val="FFFFFF"/>
                          </a:solidFill>
                          <a:ln w="9525" cap="flat" cmpd="sng">
                            <a:solidFill>
                              <a:srgbClr val="000000"/>
                            </a:solidFill>
                            <a:prstDash val="solid"/>
                            <a:miter/>
                            <a:headEnd type="none" w="med" len="med"/>
                            <a:tailEnd type="none" w="med" len="med"/>
                          </a:ln>
                          <a:effectLst/>
                        </wps:spPr>
                        <wps:txbx>
                          <w:txbxContent>
                            <w:p w14:paraId="0DC6E86B">
                              <w:r>
                                <w:rPr>
                                  <w:rFonts w:hint="eastAsia"/>
                                </w:rPr>
                                <w:t>其他国家</w:t>
                              </w:r>
                            </w:p>
                          </w:txbxContent>
                        </wps:txbx>
                        <wps:bodyPr upright="1"/>
                      </wps:wsp>
                      <wps:wsp>
                        <wps:cNvPr id="387" name="文本框 25"/>
                        <wps:cNvSpPr txBox="1"/>
                        <wps:spPr>
                          <a:xfrm>
                            <a:off x="4890" y="9735"/>
                            <a:ext cx="1920" cy="2460"/>
                          </a:xfrm>
                          <a:prstGeom prst="rect">
                            <a:avLst/>
                          </a:prstGeom>
                          <a:solidFill>
                            <a:srgbClr val="FFFFFF"/>
                          </a:solidFill>
                          <a:ln w="9525" cap="flat" cmpd="sng">
                            <a:solidFill>
                              <a:srgbClr val="FFFFFF"/>
                            </a:solidFill>
                            <a:prstDash val="solid"/>
                            <a:miter/>
                            <a:headEnd type="none" w="med" len="med"/>
                            <a:tailEnd type="none" w="med" len="med"/>
                          </a:ln>
                          <a:effectLst/>
                        </wps:spPr>
                        <wps:txbx>
                          <w:txbxContent>
                            <w:p w14:paraId="5296207A">
                              <w:pPr>
                                <w:jc w:val="center"/>
                                <w:rPr>
                                  <w:szCs w:val="21"/>
                                </w:rPr>
                              </w:pPr>
                              <w:r>
                                <w:rPr>
                                  <w:rFonts w:hint="eastAsia"/>
                                  <w:szCs w:val="21"/>
                                </w:rPr>
                                <w:t>购买商品或劳务</w:t>
                              </w:r>
                            </w:p>
                            <w:p w14:paraId="41190DBA">
                              <w:pPr>
                                <w:jc w:val="center"/>
                                <w:rPr>
                                  <w:szCs w:val="21"/>
                                </w:rPr>
                              </w:pPr>
                            </w:p>
                            <w:p w14:paraId="5C042624">
                              <w:pPr>
                                <w:jc w:val="center"/>
                                <w:rPr>
                                  <w:szCs w:val="21"/>
                                </w:rPr>
                              </w:pPr>
                              <w:r>
                                <w:rPr>
                                  <w:rFonts w:hint="eastAsia"/>
                                  <w:szCs w:val="21"/>
                                </w:rPr>
                                <w:t>主要购买债券</w:t>
                              </w:r>
                            </w:p>
                            <w:p w14:paraId="6E581625">
                              <w:pPr>
                                <w:jc w:val="center"/>
                                <w:rPr>
                                  <w:szCs w:val="21"/>
                                </w:rPr>
                              </w:pPr>
                            </w:p>
                            <w:p w14:paraId="6D089BF9">
                              <w:pPr>
                                <w:jc w:val="center"/>
                                <w:rPr>
                                  <w:szCs w:val="21"/>
                                </w:rPr>
                              </w:pPr>
                              <w:r>
                                <w:rPr>
                                  <w:rFonts w:hint="eastAsia"/>
                                  <w:szCs w:val="21"/>
                                </w:rPr>
                                <w:t>利用美元投资</w:t>
                              </w:r>
                            </w:p>
                            <w:p w14:paraId="68A6A1B6">
                              <w:pPr>
                                <w:jc w:val="center"/>
                                <w:rPr>
                                  <w:szCs w:val="21"/>
                                </w:rPr>
                              </w:pPr>
                            </w:p>
                            <w:p w14:paraId="1FCEFDB8">
                              <w:pPr>
                                <w:jc w:val="center"/>
                              </w:pPr>
                              <w:r>
                                <w:rPr>
                                  <w:rFonts w:hint="eastAsia"/>
                                  <w:szCs w:val="21"/>
                                </w:rPr>
                                <w:t>利润汇回</w:t>
                              </w:r>
                            </w:p>
                          </w:txbxContent>
                        </wps:txbx>
                        <wps:bodyPr upright="1"/>
                      </wps:wsp>
                      <wps:wsp>
                        <wps:cNvPr id="388" name="直接箭头连接符 26"/>
                        <wps:cNvCnPr/>
                        <wps:spPr>
                          <a:xfrm>
                            <a:off x="4245" y="10170"/>
                            <a:ext cx="3690" cy="0"/>
                          </a:xfrm>
                          <a:prstGeom prst="straightConnector1">
                            <a:avLst/>
                          </a:prstGeom>
                          <a:ln w="9525" cap="flat" cmpd="sng">
                            <a:solidFill>
                              <a:srgbClr val="000000"/>
                            </a:solidFill>
                            <a:prstDash val="solid"/>
                            <a:headEnd type="none" w="med" len="med"/>
                            <a:tailEnd type="triangle" w="med" len="med"/>
                          </a:ln>
                          <a:effectLst/>
                        </wps:spPr>
                        <wps:bodyPr/>
                      </wps:wsp>
                      <wps:wsp>
                        <wps:cNvPr id="389" name="直接箭头连接符 27"/>
                        <wps:cNvCnPr/>
                        <wps:spPr>
                          <a:xfrm>
                            <a:off x="4245" y="11430"/>
                            <a:ext cx="3690" cy="0"/>
                          </a:xfrm>
                          <a:prstGeom prst="straightConnector1">
                            <a:avLst/>
                          </a:prstGeom>
                          <a:ln w="9525" cap="flat" cmpd="sng">
                            <a:solidFill>
                              <a:srgbClr val="000000"/>
                            </a:solidFill>
                            <a:prstDash val="solid"/>
                            <a:headEnd type="none" w="med" len="med"/>
                            <a:tailEnd type="triangle" w="med" len="med"/>
                          </a:ln>
                          <a:effectLst/>
                        </wps:spPr>
                        <wps:bodyPr/>
                      </wps:wsp>
                      <wps:wsp>
                        <wps:cNvPr id="390" name="直接箭头连接符 28"/>
                        <wps:cNvCnPr/>
                        <wps:spPr>
                          <a:xfrm flipH="1">
                            <a:off x="4245" y="10386"/>
                            <a:ext cx="3690" cy="1"/>
                          </a:xfrm>
                          <a:prstGeom prst="straightConnector1">
                            <a:avLst/>
                          </a:prstGeom>
                          <a:ln w="9525" cap="flat" cmpd="sng">
                            <a:solidFill>
                              <a:srgbClr val="000000"/>
                            </a:solidFill>
                            <a:prstDash val="solid"/>
                            <a:headEnd type="none" w="med" len="med"/>
                            <a:tailEnd type="triangle" w="med" len="med"/>
                          </a:ln>
                          <a:effectLst/>
                        </wps:spPr>
                        <wps:bodyPr/>
                      </wps:wsp>
                      <wps:wsp>
                        <wps:cNvPr id="391" name="直接箭头连接符 29"/>
                        <wps:cNvCnPr/>
                        <wps:spPr>
                          <a:xfrm flipH="1">
                            <a:off x="4245" y="11625"/>
                            <a:ext cx="3690" cy="1"/>
                          </a:xfrm>
                          <a:prstGeom prst="straightConnector1">
                            <a:avLst/>
                          </a:prstGeom>
                          <a:ln w="9525" cap="flat" cmpd="sng">
                            <a:solidFill>
                              <a:srgbClr val="000000"/>
                            </a:solidFill>
                            <a:prstDash val="solid"/>
                            <a:headEnd type="none" w="med" len="med"/>
                            <a:tailEnd type="triangle" w="med" len="med"/>
                          </a:ln>
                          <a:effectLst/>
                        </wps:spPr>
                        <wps:bodyPr/>
                      </wps:wsp>
                    </wpg:wgp>
                  </a:graphicData>
                </a:graphic>
              </wp:anchor>
            </w:drawing>
          </mc:Choice>
          <mc:Fallback>
            <w:pict>
              <v:group id="_x0000_s1026" o:spid="_x0000_s1026" o:spt="203" style="position:absolute;left:0pt;margin-left:54pt;margin-top:9.15pt;height:123pt;width:336pt;z-index:251712512;mso-width-relative:page;mso-height-relative:page;" coordorigin="2880,9735" coordsize="6720,2460" o:gfxdata="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">
                <o:lock v:ext="edit" aspectratio="f"/>
                <v:shape id="文本框 23" o:spid="_x0000_s1026" o:spt="202" type="#_x0000_t202" style="position:absolute;left:2880;top:10386;height:1440;width:645;" fillcolor="#FFFFFF" filled="t" stroked="t" coordsize="21600,21600" o:gfxdata="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v+71iL4A&#10;AADcAAAADwAAAAAAAAABACAAAAAiAAAAZHJzL2Rvd25yZXYueG1sUEsBAhQAFAAAAAgAh07iQDMv&#10;BZ47AAAAOQAAABAAAAAAAAAAAQAgAAAADQEAAGRycy9zaGFwZXhtbC54bWxQSwUGAAAAAAYABgBb&#10;AQAAtwMAAAAA&#10;">
                  <v:fill on="t" focussize="0,0"/>
                  <v:stroke color="#000000" joinstyle="miter"/>
                  <v:imagedata o:title=""/>
                  <o:lock v:ext="edit" aspectratio="f"/>
                  <v:textbox>
                    <w:txbxContent>
                      <w:p w14:paraId="32899A04">
                        <w:r>
                          <w:rPr>
                            <w:rFonts w:hint="eastAsia"/>
                          </w:rPr>
                          <w:t>美</w:t>
                        </w:r>
                      </w:p>
                      <w:p w14:paraId="76E110CF"/>
                      <w:p w14:paraId="3935DDBD"/>
                      <w:p w14:paraId="61C8C954">
                        <w:r>
                          <w:rPr>
                            <w:rFonts w:hint="eastAsia"/>
                          </w:rPr>
                          <w:t>国</w:t>
                        </w:r>
                      </w:p>
                    </w:txbxContent>
                  </v:textbox>
                </v:shape>
                <v:shape id="文本框 24" o:spid="_x0000_s1026" o:spt="202" type="#_x0000_t202" style="position:absolute;left:8955;top:10266;height:1440;width:645;" fillcolor="#FFFFFF" filled="t" stroked="t" coordsize="21600,21600" o:gfxdata="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E88a/+/&#10;AAAA3AAAAA8AAAAAAAAAAQAgAAAAIgAAAGRycy9kb3ducmV2LnhtbFBLAQIUABQAAAAIAIdO4kAz&#10;LwWeOwAAADkAAAAQAAAAAAAAAAEAIAAAAA4BAABkcnMvc2hhcGV4bWwueG1sUEsFBgAAAAAGAAYA&#10;WwEAALgDAAAAAA==&#10;">
                  <v:fill on="t" focussize="0,0"/>
                  <v:stroke color="#000000" joinstyle="miter"/>
                  <v:imagedata o:title=""/>
                  <o:lock v:ext="edit" aspectratio="f"/>
                  <v:textbox>
                    <w:txbxContent>
                      <w:p w14:paraId="0DC6E86B">
                        <w:r>
                          <w:rPr>
                            <w:rFonts w:hint="eastAsia"/>
                          </w:rPr>
                          <w:t>其他国家</w:t>
                        </w:r>
                      </w:p>
                    </w:txbxContent>
                  </v:textbox>
                </v:shape>
                <v:shape id="文本框 25" o:spid="_x0000_s1026" o:spt="202" type="#_x0000_t202" style="position:absolute;left:4890;top:9735;height:2460;width:1920;" fillcolor="#FFFFFF" filled="t" stroked="t" coordsize="21600,21600" o:gfxdata="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X+0b4A&#10;AADcAAAADwAAAAAAAAABACAAAAAiAAAAZHJzL2Rvd25yZXYueG1sUEsBAhQAFAAAAAgAh07iQDMv&#10;BZ47AAAAOQAAABAAAAAAAAAAAQAgAAAADQEAAGRycy9zaGFwZXhtbC54bWxQSwUGAAAAAAYABgBb&#10;AQAAtwMAAAAA&#10;">
                  <v:fill on="t" focussize="0,0"/>
                  <v:stroke color="#FFFFFF" joinstyle="miter"/>
                  <v:imagedata o:title=""/>
                  <o:lock v:ext="edit" aspectratio="f"/>
                  <v:textbox>
                    <w:txbxContent>
                      <w:p w14:paraId="5296207A">
                        <w:pPr>
                          <w:jc w:val="center"/>
                          <w:rPr>
                            <w:szCs w:val="21"/>
                          </w:rPr>
                        </w:pPr>
                        <w:r>
                          <w:rPr>
                            <w:rFonts w:hint="eastAsia"/>
                            <w:szCs w:val="21"/>
                          </w:rPr>
                          <w:t>购买商品或劳务</w:t>
                        </w:r>
                      </w:p>
                      <w:p w14:paraId="41190DBA">
                        <w:pPr>
                          <w:jc w:val="center"/>
                          <w:rPr>
                            <w:szCs w:val="21"/>
                          </w:rPr>
                        </w:pPr>
                      </w:p>
                      <w:p w14:paraId="5C042624">
                        <w:pPr>
                          <w:jc w:val="center"/>
                          <w:rPr>
                            <w:szCs w:val="21"/>
                          </w:rPr>
                        </w:pPr>
                        <w:r>
                          <w:rPr>
                            <w:rFonts w:hint="eastAsia"/>
                            <w:szCs w:val="21"/>
                          </w:rPr>
                          <w:t>主要购买债券</w:t>
                        </w:r>
                      </w:p>
                      <w:p w14:paraId="6E581625">
                        <w:pPr>
                          <w:jc w:val="center"/>
                          <w:rPr>
                            <w:szCs w:val="21"/>
                          </w:rPr>
                        </w:pPr>
                      </w:p>
                      <w:p w14:paraId="6D089BF9">
                        <w:pPr>
                          <w:jc w:val="center"/>
                          <w:rPr>
                            <w:szCs w:val="21"/>
                          </w:rPr>
                        </w:pPr>
                        <w:r>
                          <w:rPr>
                            <w:rFonts w:hint="eastAsia"/>
                            <w:szCs w:val="21"/>
                          </w:rPr>
                          <w:t>利用美元投资</w:t>
                        </w:r>
                      </w:p>
                      <w:p w14:paraId="68A6A1B6">
                        <w:pPr>
                          <w:jc w:val="center"/>
                          <w:rPr>
                            <w:szCs w:val="21"/>
                          </w:rPr>
                        </w:pPr>
                      </w:p>
                      <w:p w14:paraId="1FCEFDB8">
                        <w:pPr>
                          <w:jc w:val="center"/>
                        </w:pPr>
                        <w:r>
                          <w:rPr>
                            <w:rFonts w:hint="eastAsia"/>
                            <w:szCs w:val="21"/>
                          </w:rPr>
                          <w:t>利润汇回</w:t>
                        </w:r>
                      </w:p>
                    </w:txbxContent>
                  </v:textbox>
                </v:shape>
                <v:shape id="直接箭头连接符 26" o:spid="_x0000_s1026" o:spt="32" type="#_x0000_t32" style="position:absolute;left:4245;top:10170;height:0;width:3690;" filled="f" stroked="t" coordsize="21600,21600" o:gfxdata="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PQdqLK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直接箭头连接符 27" o:spid="_x0000_s1026" o:spt="32" type="#_x0000_t32" style="position:absolute;left:4245;top:11430;height:0;width:3690;" filled="f" stroked="t" coordsize="21600,21600" o:gfxdata="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">
                  <v:fill on="f" focussize="0,0"/>
                  <v:stroke color="#000000" joinstyle="round" endarrow="block"/>
                  <v:imagedata o:title=""/>
                  <o:lock v:ext="edit" aspectratio="f"/>
                </v:shape>
                <v:shape id="直接箭头连接符 28" o:spid="_x0000_s1026" o:spt="32" type="#_x0000_t32" style="position:absolute;left:4245;top:10386;flip:x;height:1;width:3690;" filled="f" stroked="t" coordsize="21600,21600" o:gfxdata="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KOw/p68AAAA&#10;3AAAAA8AAAAAAAAAAQAgAAAAIgAAAGRycy9kb3ducmV2LnhtbFBLAQIUABQAAAAIAIdO4kAzLwWe&#10;OwAAADkAAAAQAAAAAAAAAAEAIAAAAAsBAABkcnMvc2hhcGV4bWwueG1sUEsFBgAAAAAGAAYAWwEA&#10;ALUDAAAAAA==&#10;">
                  <v:fill on="f" focussize="0,0"/>
                  <v:stroke color="#000000" joinstyle="round" endarrow="block"/>
                  <v:imagedata o:title=""/>
                  <o:lock v:ext="edit" aspectratio="f"/>
                </v:shape>
                <v:shape id="直接箭头连接符 29" o:spid="_x0000_s1026" o:spt="32" type="#_x0000_t32" style="position:absolute;left:4245;top:11625;flip:x;height:1;width:3690;" filled="f" stroked="t" coordsize="21600,21600" o:gfxdata="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Mz8WwW/&#10;AAAA3AAAAA8AAAAAAAAAAQAgAAAAIgAAAGRycy9kb3ducmV2LnhtbFBLAQIUABQAAAAIAIdO4kAz&#10;LwWeOwAAADkAAAAQAAAAAAAAAAEAIAAAAA4BAABkcnMvc2hhcGV4bWwueG1sUEsFBgAAAAAGAAYA&#10;WwEAALgDAAAAAA==&#10;">
                  <v:fill on="f" focussize="0,0"/>
                  <v:stroke color="#000000" joinstyle="round" endarrow="block"/>
                  <v:imagedata o:title=""/>
                  <o:lock v:ext="edit" aspectratio="f"/>
                </v:shape>
              </v:group>
            </w:pict>
          </mc:Fallback>
        </mc:AlternateContent>
      </w:r>
    </w:p>
    <w:p w14:paraId="318124E3">
      <w:pPr>
        <w:rPr>
          <w:rFonts w:eastAsia="宋体" w:cs="Times New Roman"/>
          <w:color w:val="000000"/>
          <w:sz w:val="21"/>
          <w:szCs w:val="21"/>
        </w:rPr>
      </w:pPr>
    </w:p>
    <w:p w14:paraId="31E4610B">
      <w:pPr>
        <w:rPr>
          <w:rFonts w:eastAsia="宋体" w:cs="Times New Roman"/>
          <w:color w:val="000000"/>
          <w:sz w:val="21"/>
          <w:szCs w:val="21"/>
        </w:rPr>
      </w:pPr>
      <w:r>
        <w:rPr>
          <w:rFonts w:hint="eastAsia" w:eastAsia="宋体" w:cs="Times New Roman"/>
          <w:color w:val="000000"/>
          <w:sz w:val="21"/>
          <w:szCs w:val="21"/>
        </w:rPr>
        <w:t>　　　　　　　　　　　　　　</w:t>
      </w:r>
    </w:p>
    <w:p w14:paraId="3D45657B">
      <w:pPr>
        <w:ind w:firstLine="1540" w:firstLineChars="700"/>
        <w:rPr>
          <w:rFonts w:eastAsia="宋体" w:cs="Times New Roman"/>
          <w:color w:val="000000"/>
          <w:sz w:val="21"/>
          <w:szCs w:val="21"/>
        </w:rPr>
      </w:pPr>
      <w:r>
        <w:rPr>
          <w:rFonts w:hint="eastAsia" w:eastAsia="宋体" w:cs="Times New Roman"/>
          <w:color w:val="000000"/>
          <w:sz w:val="21"/>
          <w:szCs w:val="21"/>
        </w:rPr>
        <w:t>　　　　　　</w:t>
      </w:r>
    </w:p>
    <w:p w14:paraId="1A4D8131">
      <w:pPr>
        <w:ind w:firstLine="1540" w:firstLineChars="700"/>
        <w:rPr>
          <w:rFonts w:eastAsia="宋体" w:cs="Times New Roman"/>
          <w:color w:val="000000"/>
          <w:sz w:val="21"/>
          <w:szCs w:val="21"/>
        </w:rPr>
      </w:pPr>
      <w:r>
        <w:rPr>
          <w:rFonts w:hint="eastAsia" w:eastAsia="宋体" w:cs="Times New Roman"/>
          <w:color w:val="000000"/>
          <w:sz w:val="21"/>
          <w:szCs w:val="21"/>
        </w:rPr>
        <w:t>　　　　　　　　　</w:t>
      </w:r>
    </w:p>
    <w:p w14:paraId="00662C5D">
      <w:pPr>
        <w:ind w:firstLine="440" w:firstLineChars="200"/>
        <w:rPr>
          <w:rFonts w:eastAsia="宋体" w:cs="Times New Roman"/>
          <w:color w:val="000000"/>
          <w:sz w:val="21"/>
          <w:szCs w:val="21"/>
        </w:rPr>
      </w:pPr>
    </w:p>
    <w:p w14:paraId="78772FCB">
      <w:pPr>
        <w:ind w:firstLine="440" w:firstLineChars="200"/>
        <w:rPr>
          <w:rFonts w:eastAsia="宋体" w:cs="Times New Roman"/>
          <w:color w:val="000000"/>
          <w:sz w:val="21"/>
          <w:szCs w:val="21"/>
        </w:rPr>
      </w:pPr>
    </w:p>
    <w:p w14:paraId="051733C3">
      <w:pPr>
        <w:ind w:firstLine="440" w:firstLineChars="200"/>
        <w:rPr>
          <w:rFonts w:eastAsia="宋体" w:cs="Times New Roman"/>
          <w:color w:val="000000"/>
          <w:sz w:val="21"/>
          <w:szCs w:val="21"/>
        </w:rPr>
      </w:pPr>
    </w:p>
    <w:p w14:paraId="11FABBF7">
      <w:pPr>
        <w:ind w:firstLine="440" w:firstLineChars="200"/>
        <w:rPr>
          <w:rFonts w:eastAsia="宋体" w:cs="Times New Roman"/>
          <w:color w:val="000000"/>
          <w:sz w:val="21"/>
          <w:szCs w:val="21"/>
        </w:rPr>
      </w:pPr>
    </w:p>
    <w:p w14:paraId="08AC98DA">
      <w:pPr>
        <w:ind w:firstLine="440" w:firstLineChars="200"/>
        <w:rPr>
          <w:rFonts w:eastAsia="宋体" w:cs="Times New Roman"/>
          <w:color w:val="000000"/>
          <w:sz w:val="21"/>
          <w:szCs w:val="21"/>
        </w:rPr>
      </w:pPr>
      <w:r>
        <w:rPr>
          <w:rFonts w:hint="eastAsia" w:eastAsia="宋体" w:cs="Times New Roman"/>
          <w:color w:val="000000"/>
          <w:sz w:val="21"/>
          <w:szCs w:val="21"/>
        </w:rPr>
        <w:t>美国利用美元的国际本位货币地位进行对外购买和投资输出的美元除一部分在做“体外循环”外，另一部分主要通过购买美国债券、存入美国银行和利润汇回等方式回流到了美国国内，这表现为美国国际收支中经常账户的逆差，而资本和金融账户的顺差。美国在1982 年前经常账户顺差和逆差交替，而1982 年之后全部为逆差，且逆差额呈扩大的趋势（如表1 和图2 （示）。1982 年美国经常项目的逆差额仅为114 亿美元，2005 年就增长到了7915 亿美元。美国用自己几乎无成本印制的美元，来换取国外廉价的原材料等初级产品和劳动密集型制成品或者并购国外的战略性企业。廉价资源的输入替代了美国国内资源的使用，美国国内资源就会配置到赢利性更高的行业，并购国外的战略性行业也为美国带来丰厚的利润。而国外换来的美元外汇通过购买美国的中长期国库券或存入美国银行仅仅赚取微薄的利息。因此，美国经常账户的逆差通过资本和金融账户的顺差来弥补，美国不仅不用担心日益增长的贸易赤字，而且通过贸易赤字和对外投资输出的美元对美国的再融资，还获得了不菲的收益。为了估算这部分收益，我们估定美国直接利用美元进行国外投资或者利用美元从国外购买而替代的国内资源进行投资的收益率都为10%，国外利用美元外汇获取收益的利息率为3%（美国的中长期债券利率为5%左右，而美国国内通货膨胀率在2%左右）。2003 年世界除黄金</w:t>
      </w:r>
    </w:p>
    <w:p w14:paraId="1190959E">
      <w:pPr>
        <w:rPr>
          <w:rFonts w:eastAsia="宋体" w:cs="Times New Roman"/>
          <w:color w:val="000000"/>
          <w:sz w:val="21"/>
          <w:szCs w:val="21"/>
        </w:rPr>
      </w:pPr>
      <w:r>
        <w:rPr>
          <w:rFonts w:hint="eastAsia" w:eastAsia="宋体" w:cs="Times New Roman"/>
          <w:color w:val="000000"/>
          <w:sz w:val="21"/>
          <w:szCs w:val="21"/>
        </w:rPr>
        <w:t>储备以外的全部外汇储备为31646 亿美元（其中约70%为美元外汇储备），由此，我们估算2003 年美国获得的此项收益约为1551 亿美元。</w:t>
      </w:r>
      <w:r>
        <w:rPr>
          <w:rFonts w:eastAsia="宋体" w:cs="Times New Roman"/>
          <w:color w:val="000000"/>
          <w:sz w:val="21"/>
          <w:szCs w:val="21"/>
          <w:vertAlign w:val="superscript"/>
        </w:rPr>
        <w:footnoteReference w:id="249"/>
      </w:r>
      <w:r>
        <w:rPr>
          <w:rFonts w:hint="eastAsia" w:eastAsia="宋体" w:cs="Times New Roman"/>
          <w:color w:val="000000"/>
          <w:sz w:val="21"/>
          <w:szCs w:val="21"/>
        </w:rPr>
        <w:t>所以我们就不难理解，为了稳定地获取这部分收益，美国一方面维持开放、繁荣和稳定的国内金融市场吸引资金流入，另一方面却禁止国外并购其国内的能源、高新技术等战略性行业，并听任长期利息率低于短期利息率的“利息倒挂”现象的出现。</w:t>
      </w:r>
    </w:p>
    <w:p w14:paraId="4AC618F8">
      <w:pPr>
        <w:jc w:val="center"/>
        <w:rPr>
          <w:rFonts w:eastAsia="宋体" w:cs="Times New Roman"/>
          <w:color w:val="000000"/>
          <w:sz w:val="21"/>
          <w:szCs w:val="21"/>
        </w:rPr>
      </w:pPr>
      <w:r>
        <w:rPr>
          <w:rFonts w:hint="eastAsia" w:eastAsia="宋体" w:cs="Times New Roman"/>
          <w:color w:val="000000"/>
          <w:sz w:val="21"/>
          <w:szCs w:val="21"/>
        </w:rPr>
        <w:t>表1 美国的国际收支状况 单位：亿美元</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6"/>
        <w:gridCol w:w="636"/>
        <w:gridCol w:w="636"/>
        <w:gridCol w:w="706"/>
        <w:gridCol w:w="706"/>
        <w:gridCol w:w="636"/>
        <w:gridCol w:w="636"/>
        <w:gridCol w:w="706"/>
        <w:gridCol w:w="706"/>
      </w:tblGrid>
      <w:tr w14:paraId="1EE3A697">
        <w:trPr>
          <w:jc w:val="center"/>
        </w:trPr>
        <w:tc>
          <w:tcPr>
            <w:tcW w:w="1686" w:type="dxa"/>
          </w:tcPr>
          <w:p w14:paraId="30F16D2A">
            <w:pPr>
              <w:jc w:val="center"/>
              <w:rPr>
                <w:rFonts w:eastAsia="宋体" w:cs="Times New Roman"/>
                <w:color w:val="000000"/>
                <w:sz w:val="21"/>
                <w:szCs w:val="21"/>
              </w:rPr>
            </w:pPr>
            <w:r>
              <w:rPr>
                <w:rFonts w:hint="eastAsia" w:eastAsia="宋体" w:cs="Times New Roman"/>
                <w:color w:val="000000"/>
                <w:sz w:val="21"/>
                <w:szCs w:val="21"/>
              </w:rPr>
              <w:t>年 份</w:t>
            </w:r>
          </w:p>
        </w:tc>
        <w:tc>
          <w:tcPr>
            <w:tcW w:w="636" w:type="dxa"/>
          </w:tcPr>
          <w:p w14:paraId="53AB520A">
            <w:pPr>
              <w:jc w:val="center"/>
              <w:rPr>
                <w:rFonts w:eastAsia="宋体" w:cs="Times New Roman"/>
                <w:color w:val="000000"/>
                <w:sz w:val="21"/>
                <w:szCs w:val="21"/>
              </w:rPr>
            </w:pPr>
            <w:r>
              <w:rPr>
                <w:rFonts w:hint="eastAsia" w:eastAsia="宋体" w:cs="Times New Roman"/>
                <w:color w:val="000000"/>
                <w:sz w:val="21"/>
                <w:szCs w:val="21"/>
              </w:rPr>
              <w:t>1981</w:t>
            </w:r>
          </w:p>
        </w:tc>
        <w:tc>
          <w:tcPr>
            <w:tcW w:w="636" w:type="dxa"/>
          </w:tcPr>
          <w:p w14:paraId="2362B115">
            <w:pPr>
              <w:jc w:val="center"/>
              <w:rPr>
                <w:rFonts w:eastAsia="宋体" w:cs="Times New Roman"/>
                <w:color w:val="000000"/>
                <w:sz w:val="21"/>
                <w:szCs w:val="21"/>
              </w:rPr>
            </w:pPr>
            <w:r>
              <w:rPr>
                <w:rFonts w:hint="eastAsia" w:eastAsia="宋体" w:cs="Times New Roman"/>
                <w:color w:val="000000"/>
                <w:sz w:val="21"/>
                <w:szCs w:val="21"/>
              </w:rPr>
              <w:t>1982</w:t>
            </w:r>
          </w:p>
        </w:tc>
        <w:tc>
          <w:tcPr>
            <w:tcW w:w="706" w:type="dxa"/>
          </w:tcPr>
          <w:p w14:paraId="339F5CE3">
            <w:pPr>
              <w:jc w:val="center"/>
              <w:rPr>
                <w:rFonts w:eastAsia="宋体" w:cs="Times New Roman"/>
                <w:color w:val="000000"/>
                <w:sz w:val="21"/>
                <w:szCs w:val="21"/>
              </w:rPr>
            </w:pPr>
            <w:r>
              <w:rPr>
                <w:rFonts w:hint="eastAsia" w:eastAsia="宋体" w:cs="Times New Roman"/>
                <w:color w:val="000000"/>
                <w:sz w:val="21"/>
                <w:szCs w:val="21"/>
              </w:rPr>
              <w:t>1985</w:t>
            </w:r>
          </w:p>
        </w:tc>
        <w:tc>
          <w:tcPr>
            <w:tcW w:w="706" w:type="dxa"/>
          </w:tcPr>
          <w:p w14:paraId="50F7856A">
            <w:pPr>
              <w:jc w:val="center"/>
              <w:rPr>
                <w:rFonts w:eastAsia="宋体" w:cs="Times New Roman"/>
                <w:color w:val="000000"/>
                <w:sz w:val="21"/>
                <w:szCs w:val="21"/>
              </w:rPr>
            </w:pPr>
            <w:r>
              <w:rPr>
                <w:rFonts w:hint="eastAsia" w:eastAsia="宋体" w:cs="Times New Roman"/>
                <w:color w:val="000000"/>
                <w:sz w:val="21"/>
                <w:szCs w:val="21"/>
              </w:rPr>
              <w:t>1987</w:t>
            </w:r>
          </w:p>
        </w:tc>
        <w:tc>
          <w:tcPr>
            <w:tcW w:w="636" w:type="dxa"/>
          </w:tcPr>
          <w:p w14:paraId="12D0FC8D">
            <w:pPr>
              <w:jc w:val="center"/>
              <w:rPr>
                <w:rFonts w:eastAsia="宋体" w:cs="Times New Roman"/>
                <w:color w:val="000000"/>
                <w:sz w:val="21"/>
                <w:szCs w:val="21"/>
              </w:rPr>
            </w:pPr>
            <w:r>
              <w:rPr>
                <w:rFonts w:hint="eastAsia" w:eastAsia="宋体" w:cs="Times New Roman"/>
                <w:color w:val="000000"/>
                <w:sz w:val="21"/>
                <w:szCs w:val="21"/>
              </w:rPr>
              <w:t>1990</w:t>
            </w:r>
          </w:p>
        </w:tc>
        <w:tc>
          <w:tcPr>
            <w:tcW w:w="636" w:type="dxa"/>
          </w:tcPr>
          <w:p w14:paraId="3BD1AF70">
            <w:pPr>
              <w:jc w:val="center"/>
              <w:rPr>
                <w:rFonts w:eastAsia="宋体" w:cs="Times New Roman"/>
                <w:color w:val="000000"/>
                <w:sz w:val="21"/>
                <w:szCs w:val="21"/>
              </w:rPr>
            </w:pPr>
            <w:r>
              <w:rPr>
                <w:rFonts w:hint="eastAsia" w:eastAsia="宋体" w:cs="Times New Roman"/>
                <w:color w:val="000000"/>
                <w:sz w:val="21"/>
                <w:szCs w:val="21"/>
              </w:rPr>
              <w:t>1992</w:t>
            </w:r>
          </w:p>
        </w:tc>
        <w:tc>
          <w:tcPr>
            <w:tcW w:w="706" w:type="dxa"/>
          </w:tcPr>
          <w:p w14:paraId="777E0B5F">
            <w:pPr>
              <w:jc w:val="center"/>
              <w:rPr>
                <w:rFonts w:eastAsia="宋体" w:cs="Times New Roman"/>
                <w:color w:val="000000"/>
                <w:sz w:val="21"/>
                <w:szCs w:val="21"/>
              </w:rPr>
            </w:pPr>
            <w:r>
              <w:rPr>
                <w:rFonts w:hint="eastAsia" w:eastAsia="宋体" w:cs="Times New Roman"/>
                <w:color w:val="000000"/>
                <w:sz w:val="21"/>
                <w:szCs w:val="21"/>
              </w:rPr>
              <w:t>1995</w:t>
            </w:r>
          </w:p>
        </w:tc>
        <w:tc>
          <w:tcPr>
            <w:tcW w:w="706" w:type="dxa"/>
          </w:tcPr>
          <w:p w14:paraId="04839BB6">
            <w:pPr>
              <w:jc w:val="center"/>
              <w:rPr>
                <w:rFonts w:eastAsia="宋体" w:cs="Times New Roman"/>
                <w:color w:val="000000"/>
                <w:sz w:val="21"/>
                <w:szCs w:val="21"/>
              </w:rPr>
            </w:pPr>
            <w:r>
              <w:rPr>
                <w:rFonts w:hint="eastAsia" w:eastAsia="宋体" w:cs="Times New Roman"/>
                <w:color w:val="000000"/>
                <w:sz w:val="21"/>
                <w:szCs w:val="21"/>
              </w:rPr>
              <w:t>1996</w:t>
            </w:r>
          </w:p>
        </w:tc>
      </w:tr>
      <w:tr w14:paraId="29FA6225">
        <w:trPr>
          <w:jc w:val="center"/>
        </w:trPr>
        <w:tc>
          <w:tcPr>
            <w:tcW w:w="1686" w:type="dxa"/>
          </w:tcPr>
          <w:p w14:paraId="2EA83FFD">
            <w:pPr>
              <w:jc w:val="center"/>
              <w:rPr>
                <w:rFonts w:eastAsia="宋体" w:cs="Times New Roman"/>
                <w:color w:val="000000"/>
                <w:sz w:val="21"/>
                <w:szCs w:val="21"/>
              </w:rPr>
            </w:pPr>
            <w:r>
              <w:rPr>
                <w:rFonts w:hint="eastAsia" w:eastAsia="宋体" w:cs="Times New Roman"/>
                <w:color w:val="000000"/>
                <w:sz w:val="21"/>
                <w:szCs w:val="21"/>
              </w:rPr>
              <w:t>经常账户</w:t>
            </w:r>
          </w:p>
        </w:tc>
        <w:tc>
          <w:tcPr>
            <w:tcW w:w="636" w:type="dxa"/>
          </w:tcPr>
          <w:p w14:paraId="7695BE17">
            <w:pPr>
              <w:jc w:val="center"/>
              <w:rPr>
                <w:rFonts w:eastAsia="宋体" w:cs="Times New Roman"/>
                <w:color w:val="000000"/>
                <w:sz w:val="21"/>
                <w:szCs w:val="21"/>
              </w:rPr>
            </w:pPr>
            <w:r>
              <w:rPr>
                <w:rFonts w:hint="eastAsia" w:eastAsia="宋体" w:cs="Times New Roman"/>
                <w:color w:val="000000"/>
                <w:sz w:val="21"/>
                <w:szCs w:val="21"/>
              </w:rPr>
              <w:t>51</w:t>
            </w:r>
          </w:p>
        </w:tc>
        <w:tc>
          <w:tcPr>
            <w:tcW w:w="636" w:type="dxa"/>
          </w:tcPr>
          <w:p w14:paraId="0D61ADBD">
            <w:pPr>
              <w:jc w:val="center"/>
              <w:rPr>
                <w:rFonts w:eastAsia="宋体" w:cs="Times New Roman"/>
                <w:color w:val="000000"/>
                <w:sz w:val="21"/>
                <w:szCs w:val="21"/>
              </w:rPr>
            </w:pPr>
            <w:r>
              <w:rPr>
                <w:rFonts w:hint="eastAsia" w:eastAsia="宋体" w:cs="Times New Roman"/>
                <w:color w:val="000000"/>
                <w:sz w:val="21"/>
                <w:szCs w:val="21"/>
              </w:rPr>
              <w:t>-114</w:t>
            </w:r>
          </w:p>
        </w:tc>
        <w:tc>
          <w:tcPr>
            <w:tcW w:w="706" w:type="dxa"/>
          </w:tcPr>
          <w:p w14:paraId="79A7AEFB">
            <w:pPr>
              <w:jc w:val="center"/>
              <w:rPr>
                <w:rFonts w:eastAsia="宋体" w:cs="Times New Roman"/>
                <w:color w:val="000000"/>
                <w:sz w:val="21"/>
                <w:szCs w:val="21"/>
              </w:rPr>
            </w:pPr>
            <w:r>
              <w:rPr>
                <w:rFonts w:hint="eastAsia" w:eastAsia="宋体" w:cs="Times New Roman"/>
                <w:color w:val="000000"/>
                <w:sz w:val="21"/>
                <w:szCs w:val="21"/>
              </w:rPr>
              <w:t>-1254</w:t>
            </w:r>
          </w:p>
        </w:tc>
        <w:tc>
          <w:tcPr>
            <w:tcW w:w="706" w:type="dxa"/>
          </w:tcPr>
          <w:p w14:paraId="2E73CBCA">
            <w:pPr>
              <w:jc w:val="center"/>
              <w:rPr>
                <w:rFonts w:eastAsia="宋体" w:cs="Times New Roman"/>
                <w:color w:val="000000"/>
                <w:sz w:val="21"/>
                <w:szCs w:val="21"/>
              </w:rPr>
            </w:pPr>
            <w:r>
              <w:rPr>
                <w:rFonts w:hint="eastAsia" w:eastAsia="宋体" w:cs="Times New Roman"/>
                <w:color w:val="000000"/>
                <w:sz w:val="21"/>
                <w:szCs w:val="21"/>
              </w:rPr>
              <w:t>-1671</w:t>
            </w:r>
          </w:p>
        </w:tc>
        <w:tc>
          <w:tcPr>
            <w:tcW w:w="636" w:type="dxa"/>
          </w:tcPr>
          <w:p w14:paraId="63173478">
            <w:pPr>
              <w:jc w:val="center"/>
              <w:rPr>
                <w:rFonts w:eastAsia="宋体" w:cs="Times New Roman"/>
                <w:color w:val="000000"/>
                <w:sz w:val="21"/>
                <w:szCs w:val="21"/>
              </w:rPr>
            </w:pPr>
            <w:r>
              <w:rPr>
                <w:rFonts w:hint="eastAsia" w:eastAsia="宋体" w:cs="Times New Roman"/>
                <w:color w:val="000000"/>
                <w:sz w:val="21"/>
                <w:szCs w:val="21"/>
              </w:rPr>
              <w:t>-769</w:t>
            </w:r>
          </w:p>
        </w:tc>
        <w:tc>
          <w:tcPr>
            <w:tcW w:w="636" w:type="dxa"/>
          </w:tcPr>
          <w:p w14:paraId="2EA995CE">
            <w:pPr>
              <w:jc w:val="center"/>
              <w:rPr>
                <w:rFonts w:eastAsia="宋体" w:cs="Times New Roman"/>
                <w:color w:val="000000"/>
                <w:sz w:val="21"/>
                <w:szCs w:val="21"/>
              </w:rPr>
            </w:pPr>
            <w:r>
              <w:rPr>
                <w:rFonts w:hint="eastAsia" w:eastAsia="宋体" w:cs="Times New Roman"/>
                <w:color w:val="000000"/>
                <w:sz w:val="21"/>
                <w:szCs w:val="21"/>
              </w:rPr>
              <w:t>-567</w:t>
            </w:r>
          </w:p>
        </w:tc>
        <w:tc>
          <w:tcPr>
            <w:tcW w:w="706" w:type="dxa"/>
          </w:tcPr>
          <w:p w14:paraId="025D0E79">
            <w:pPr>
              <w:jc w:val="center"/>
              <w:rPr>
                <w:rFonts w:eastAsia="宋体" w:cs="Times New Roman"/>
                <w:color w:val="000000"/>
                <w:sz w:val="21"/>
                <w:szCs w:val="21"/>
              </w:rPr>
            </w:pPr>
            <w:r>
              <w:rPr>
                <w:rFonts w:hint="eastAsia" w:eastAsia="宋体" w:cs="Times New Roman"/>
                <w:color w:val="000000"/>
                <w:sz w:val="21"/>
                <w:szCs w:val="21"/>
              </w:rPr>
              <w:t>-1095</w:t>
            </w:r>
          </w:p>
        </w:tc>
        <w:tc>
          <w:tcPr>
            <w:tcW w:w="706" w:type="dxa"/>
          </w:tcPr>
          <w:p w14:paraId="0C881D50">
            <w:pPr>
              <w:jc w:val="center"/>
              <w:rPr>
                <w:rFonts w:eastAsia="宋体" w:cs="Times New Roman"/>
                <w:color w:val="000000"/>
                <w:sz w:val="21"/>
                <w:szCs w:val="21"/>
              </w:rPr>
            </w:pPr>
            <w:r>
              <w:rPr>
                <w:rFonts w:hint="eastAsia" w:eastAsia="宋体" w:cs="Times New Roman"/>
                <w:color w:val="000000"/>
                <w:sz w:val="21"/>
                <w:szCs w:val="21"/>
              </w:rPr>
              <w:t>-1233</w:t>
            </w:r>
          </w:p>
        </w:tc>
      </w:tr>
      <w:tr w14:paraId="6EDC0D09">
        <w:trPr>
          <w:jc w:val="center"/>
        </w:trPr>
        <w:tc>
          <w:tcPr>
            <w:tcW w:w="1686" w:type="dxa"/>
          </w:tcPr>
          <w:p w14:paraId="2400D1FD">
            <w:pPr>
              <w:jc w:val="center"/>
              <w:rPr>
                <w:rFonts w:eastAsia="宋体" w:cs="Times New Roman"/>
                <w:color w:val="000000"/>
                <w:sz w:val="21"/>
                <w:szCs w:val="21"/>
              </w:rPr>
            </w:pPr>
            <w:r>
              <w:rPr>
                <w:rFonts w:hint="eastAsia" w:eastAsia="宋体" w:cs="Times New Roman"/>
                <w:color w:val="000000"/>
                <w:sz w:val="21"/>
                <w:szCs w:val="21"/>
              </w:rPr>
              <w:t>资本和金融账户</w:t>
            </w:r>
          </w:p>
        </w:tc>
        <w:tc>
          <w:tcPr>
            <w:tcW w:w="636" w:type="dxa"/>
          </w:tcPr>
          <w:p w14:paraId="3FB0C8CD">
            <w:pPr>
              <w:jc w:val="center"/>
              <w:rPr>
                <w:rFonts w:eastAsia="宋体" w:cs="Times New Roman"/>
                <w:color w:val="000000"/>
                <w:sz w:val="21"/>
                <w:szCs w:val="21"/>
              </w:rPr>
            </w:pPr>
            <w:r>
              <w:rPr>
                <w:rFonts w:hint="eastAsia" w:eastAsia="宋体" w:cs="Times New Roman"/>
                <w:color w:val="000000"/>
                <w:sz w:val="21"/>
                <w:szCs w:val="21"/>
              </w:rPr>
              <w:t>101</w:t>
            </w:r>
          </w:p>
        </w:tc>
        <w:tc>
          <w:tcPr>
            <w:tcW w:w="636" w:type="dxa"/>
          </w:tcPr>
          <w:p w14:paraId="7B82D86E">
            <w:pPr>
              <w:jc w:val="center"/>
              <w:rPr>
                <w:rFonts w:eastAsia="宋体" w:cs="Times New Roman"/>
                <w:color w:val="000000"/>
                <w:sz w:val="21"/>
                <w:szCs w:val="21"/>
              </w:rPr>
            </w:pPr>
            <w:r>
              <w:rPr>
                <w:rFonts w:hint="eastAsia" w:eastAsia="宋体" w:cs="Times New Roman"/>
                <w:color w:val="000000"/>
                <w:sz w:val="21"/>
                <w:szCs w:val="21"/>
              </w:rPr>
              <w:t>134</w:t>
            </w:r>
          </w:p>
        </w:tc>
        <w:tc>
          <w:tcPr>
            <w:tcW w:w="706" w:type="dxa"/>
          </w:tcPr>
          <w:p w14:paraId="2C7EA22C">
            <w:pPr>
              <w:jc w:val="center"/>
              <w:rPr>
                <w:rFonts w:eastAsia="宋体" w:cs="Times New Roman"/>
                <w:color w:val="000000"/>
                <w:sz w:val="21"/>
                <w:szCs w:val="21"/>
              </w:rPr>
            </w:pPr>
            <w:r>
              <w:rPr>
                <w:rFonts w:hint="eastAsia" w:eastAsia="宋体" w:cs="Times New Roman"/>
                <w:color w:val="000000"/>
                <w:sz w:val="21"/>
                <w:szCs w:val="21"/>
              </w:rPr>
              <w:t>1312</w:t>
            </w:r>
          </w:p>
        </w:tc>
        <w:tc>
          <w:tcPr>
            <w:tcW w:w="706" w:type="dxa"/>
          </w:tcPr>
          <w:p w14:paraId="34731874">
            <w:pPr>
              <w:jc w:val="center"/>
              <w:rPr>
                <w:rFonts w:eastAsia="宋体" w:cs="Times New Roman"/>
                <w:color w:val="000000"/>
                <w:sz w:val="21"/>
                <w:szCs w:val="21"/>
              </w:rPr>
            </w:pPr>
            <w:r>
              <w:rPr>
                <w:rFonts w:hint="eastAsia" w:eastAsia="宋体" w:cs="Times New Roman"/>
                <w:color w:val="000000"/>
                <w:sz w:val="21"/>
                <w:szCs w:val="21"/>
              </w:rPr>
              <w:t>1002</w:t>
            </w:r>
          </w:p>
        </w:tc>
        <w:tc>
          <w:tcPr>
            <w:tcW w:w="636" w:type="dxa"/>
          </w:tcPr>
          <w:p w14:paraId="152D279E">
            <w:pPr>
              <w:jc w:val="center"/>
              <w:rPr>
                <w:rFonts w:eastAsia="宋体" w:cs="Times New Roman"/>
                <w:color w:val="000000"/>
                <w:sz w:val="21"/>
                <w:szCs w:val="21"/>
              </w:rPr>
            </w:pPr>
            <w:r>
              <w:rPr>
                <w:rFonts w:hint="eastAsia" w:eastAsia="宋体" w:cs="Times New Roman"/>
                <w:color w:val="000000"/>
                <w:sz w:val="21"/>
                <w:szCs w:val="21"/>
              </w:rPr>
              <w:t>559</w:t>
            </w:r>
          </w:p>
        </w:tc>
        <w:tc>
          <w:tcPr>
            <w:tcW w:w="636" w:type="dxa"/>
          </w:tcPr>
          <w:p w14:paraId="31B0BEC3">
            <w:pPr>
              <w:jc w:val="center"/>
              <w:rPr>
                <w:rFonts w:eastAsia="宋体" w:cs="Times New Roman"/>
                <w:color w:val="000000"/>
                <w:sz w:val="21"/>
                <w:szCs w:val="21"/>
              </w:rPr>
            </w:pPr>
            <w:r>
              <w:rPr>
                <w:rFonts w:hint="eastAsia" w:eastAsia="宋体" w:cs="Times New Roman"/>
                <w:color w:val="000000"/>
                <w:sz w:val="21"/>
                <w:szCs w:val="21"/>
              </w:rPr>
              <w:t>1003</w:t>
            </w:r>
          </w:p>
        </w:tc>
        <w:tc>
          <w:tcPr>
            <w:tcW w:w="706" w:type="dxa"/>
          </w:tcPr>
          <w:p w14:paraId="23DC7835">
            <w:pPr>
              <w:jc w:val="center"/>
              <w:rPr>
                <w:rFonts w:eastAsia="宋体" w:cs="Times New Roman"/>
                <w:color w:val="000000"/>
                <w:sz w:val="21"/>
                <w:szCs w:val="21"/>
              </w:rPr>
            </w:pPr>
            <w:r>
              <w:rPr>
                <w:rFonts w:hint="eastAsia" w:eastAsia="宋体" w:cs="Times New Roman"/>
                <w:color w:val="000000"/>
                <w:sz w:val="21"/>
                <w:szCs w:val="21"/>
              </w:rPr>
              <w:t>1235</w:t>
            </w:r>
          </w:p>
        </w:tc>
        <w:tc>
          <w:tcPr>
            <w:tcW w:w="706" w:type="dxa"/>
          </w:tcPr>
          <w:p w14:paraId="7B480F01">
            <w:pPr>
              <w:jc w:val="center"/>
              <w:rPr>
                <w:rFonts w:eastAsia="宋体" w:cs="Times New Roman"/>
                <w:color w:val="000000"/>
                <w:sz w:val="21"/>
                <w:szCs w:val="21"/>
              </w:rPr>
            </w:pPr>
            <w:r>
              <w:rPr>
                <w:rFonts w:hint="eastAsia" w:eastAsia="宋体" w:cs="Times New Roman"/>
                <w:color w:val="000000"/>
                <w:sz w:val="21"/>
                <w:szCs w:val="21"/>
              </w:rPr>
              <w:t>1558</w:t>
            </w:r>
          </w:p>
        </w:tc>
      </w:tr>
      <w:tr w14:paraId="18D0A5B3">
        <w:trPr>
          <w:jc w:val="center"/>
        </w:trPr>
        <w:tc>
          <w:tcPr>
            <w:tcW w:w="1686" w:type="dxa"/>
          </w:tcPr>
          <w:p w14:paraId="0B406BBD">
            <w:pPr>
              <w:jc w:val="center"/>
              <w:rPr>
                <w:rFonts w:eastAsia="宋体" w:cs="Times New Roman"/>
                <w:color w:val="000000"/>
                <w:sz w:val="21"/>
                <w:szCs w:val="21"/>
              </w:rPr>
            </w:pPr>
            <w:r>
              <w:rPr>
                <w:rFonts w:hint="eastAsia" w:eastAsia="宋体" w:cs="Times New Roman"/>
                <w:color w:val="000000"/>
                <w:sz w:val="21"/>
                <w:szCs w:val="21"/>
              </w:rPr>
              <w:t>净差错与遗漏</w:t>
            </w:r>
          </w:p>
        </w:tc>
        <w:tc>
          <w:tcPr>
            <w:tcW w:w="636" w:type="dxa"/>
          </w:tcPr>
          <w:p w14:paraId="2C492F6C">
            <w:pPr>
              <w:jc w:val="center"/>
              <w:rPr>
                <w:rFonts w:eastAsia="宋体" w:cs="Times New Roman"/>
                <w:color w:val="000000"/>
                <w:sz w:val="21"/>
                <w:szCs w:val="21"/>
              </w:rPr>
            </w:pPr>
            <w:r>
              <w:rPr>
                <w:rFonts w:hint="eastAsia" w:eastAsia="宋体" w:cs="Times New Roman"/>
                <w:color w:val="000000"/>
                <w:sz w:val="21"/>
                <w:szCs w:val="21"/>
              </w:rPr>
              <w:t>-140</w:t>
            </w:r>
          </w:p>
        </w:tc>
        <w:tc>
          <w:tcPr>
            <w:tcW w:w="636" w:type="dxa"/>
          </w:tcPr>
          <w:p w14:paraId="50967B96">
            <w:pPr>
              <w:jc w:val="center"/>
              <w:rPr>
                <w:rFonts w:eastAsia="宋体" w:cs="Times New Roman"/>
                <w:color w:val="000000"/>
                <w:sz w:val="21"/>
                <w:szCs w:val="21"/>
              </w:rPr>
            </w:pPr>
            <w:r>
              <w:rPr>
                <w:rFonts w:hint="eastAsia" w:eastAsia="宋体" w:cs="Times New Roman"/>
                <w:color w:val="000000"/>
                <w:sz w:val="21"/>
                <w:szCs w:val="21"/>
              </w:rPr>
              <w:t>-40</w:t>
            </w:r>
          </w:p>
        </w:tc>
        <w:tc>
          <w:tcPr>
            <w:tcW w:w="706" w:type="dxa"/>
          </w:tcPr>
          <w:p w14:paraId="02C5504A">
            <w:pPr>
              <w:jc w:val="center"/>
              <w:rPr>
                <w:rFonts w:eastAsia="宋体" w:cs="Times New Roman"/>
                <w:color w:val="000000"/>
                <w:sz w:val="21"/>
                <w:szCs w:val="21"/>
              </w:rPr>
            </w:pPr>
            <w:r>
              <w:rPr>
                <w:rFonts w:hint="eastAsia" w:eastAsia="宋体" w:cs="Times New Roman"/>
                <w:color w:val="000000"/>
                <w:sz w:val="21"/>
                <w:szCs w:val="21"/>
              </w:rPr>
              <w:t>-116</w:t>
            </w:r>
          </w:p>
        </w:tc>
        <w:tc>
          <w:tcPr>
            <w:tcW w:w="706" w:type="dxa"/>
          </w:tcPr>
          <w:p w14:paraId="7246D70F">
            <w:pPr>
              <w:jc w:val="center"/>
              <w:rPr>
                <w:rFonts w:eastAsia="宋体" w:cs="Times New Roman"/>
                <w:color w:val="000000"/>
                <w:sz w:val="21"/>
                <w:szCs w:val="21"/>
              </w:rPr>
            </w:pPr>
            <w:r>
              <w:rPr>
                <w:rFonts w:hint="eastAsia" w:eastAsia="宋体" w:cs="Times New Roman"/>
                <w:color w:val="000000"/>
                <w:sz w:val="21"/>
                <w:szCs w:val="21"/>
              </w:rPr>
              <w:t>1238</w:t>
            </w:r>
          </w:p>
        </w:tc>
        <w:tc>
          <w:tcPr>
            <w:tcW w:w="636" w:type="dxa"/>
          </w:tcPr>
          <w:p w14:paraId="758BB323">
            <w:pPr>
              <w:jc w:val="center"/>
              <w:rPr>
                <w:rFonts w:eastAsia="宋体" w:cs="Times New Roman"/>
                <w:color w:val="000000"/>
                <w:sz w:val="21"/>
                <w:szCs w:val="21"/>
              </w:rPr>
            </w:pPr>
            <w:r>
              <w:rPr>
                <w:rFonts w:hint="eastAsia" w:eastAsia="宋体" w:cs="Times New Roman"/>
                <w:color w:val="000000"/>
                <w:sz w:val="21"/>
                <w:szCs w:val="21"/>
              </w:rPr>
              <w:t>232</w:t>
            </w:r>
          </w:p>
        </w:tc>
        <w:tc>
          <w:tcPr>
            <w:tcW w:w="636" w:type="dxa"/>
          </w:tcPr>
          <w:p w14:paraId="58331B58">
            <w:pPr>
              <w:jc w:val="center"/>
              <w:rPr>
                <w:rFonts w:eastAsia="宋体" w:cs="Times New Roman"/>
                <w:color w:val="000000"/>
                <w:sz w:val="21"/>
                <w:szCs w:val="21"/>
              </w:rPr>
            </w:pPr>
            <w:r>
              <w:rPr>
                <w:rFonts w:hint="eastAsia" w:eastAsia="宋体" w:cs="Times New Roman"/>
                <w:color w:val="000000"/>
                <w:sz w:val="21"/>
                <w:szCs w:val="21"/>
              </w:rPr>
              <w:t>-397</w:t>
            </w:r>
          </w:p>
        </w:tc>
        <w:tc>
          <w:tcPr>
            <w:tcW w:w="706" w:type="dxa"/>
          </w:tcPr>
          <w:p w14:paraId="727478FF">
            <w:pPr>
              <w:jc w:val="center"/>
              <w:rPr>
                <w:rFonts w:eastAsia="宋体" w:cs="Times New Roman"/>
                <w:color w:val="000000"/>
                <w:sz w:val="21"/>
                <w:szCs w:val="21"/>
              </w:rPr>
            </w:pPr>
            <w:r>
              <w:rPr>
                <w:rFonts w:hint="eastAsia" w:eastAsia="宋体" w:cs="Times New Roman"/>
                <w:color w:val="000000"/>
                <w:sz w:val="21"/>
                <w:szCs w:val="21"/>
              </w:rPr>
              <w:t>-43</w:t>
            </w:r>
          </w:p>
        </w:tc>
        <w:tc>
          <w:tcPr>
            <w:tcW w:w="706" w:type="dxa"/>
          </w:tcPr>
          <w:p w14:paraId="7F0EAC6D">
            <w:pPr>
              <w:jc w:val="center"/>
              <w:rPr>
                <w:rFonts w:eastAsia="宋体" w:cs="Times New Roman"/>
                <w:color w:val="000000"/>
                <w:sz w:val="21"/>
                <w:szCs w:val="21"/>
              </w:rPr>
            </w:pPr>
            <w:r>
              <w:rPr>
                <w:rFonts w:hint="eastAsia" w:eastAsia="宋体" w:cs="Times New Roman"/>
                <w:color w:val="000000"/>
                <w:sz w:val="21"/>
                <w:szCs w:val="21"/>
              </w:rPr>
              <w:t>-392</w:t>
            </w:r>
          </w:p>
        </w:tc>
      </w:tr>
      <w:tr w14:paraId="4AA483E1">
        <w:trPr>
          <w:jc w:val="center"/>
        </w:trPr>
        <w:tc>
          <w:tcPr>
            <w:tcW w:w="1686" w:type="dxa"/>
          </w:tcPr>
          <w:p w14:paraId="59AE6581">
            <w:pPr>
              <w:jc w:val="center"/>
              <w:rPr>
                <w:rFonts w:eastAsia="宋体" w:cs="Times New Roman"/>
                <w:color w:val="000000"/>
                <w:sz w:val="21"/>
                <w:szCs w:val="21"/>
              </w:rPr>
            </w:pPr>
            <w:r>
              <w:rPr>
                <w:rFonts w:hint="eastAsia" w:eastAsia="宋体" w:cs="Times New Roman"/>
                <w:color w:val="000000"/>
                <w:sz w:val="21"/>
                <w:szCs w:val="21"/>
              </w:rPr>
              <w:t>国际收支总盈余</w:t>
            </w:r>
          </w:p>
        </w:tc>
        <w:tc>
          <w:tcPr>
            <w:tcW w:w="636" w:type="dxa"/>
          </w:tcPr>
          <w:p w14:paraId="2B792DD3">
            <w:pPr>
              <w:jc w:val="center"/>
              <w:rPr>
                <w:rFonts w:eastAsia="宋体" w:cs="Times New Roman"/>
                <w:color w:val="000000"/>
                <w:sz w:val="21"/>
                <w:szCs w:val="21"/>
              </w:rPr>
            </w:pPr>
            <w:r>
              <w:rPr>
                <w:rFonts w:hint="eastAsia" w:eastAsia="宋体" w:cs="Times New Roman"/>
                <w:color w:val="000000"/>
                <w:sz w:val="21"/>
                <w:szCs w:val="21"/>
              </w:rPr>
              <w:t>12</w:t>
            </w:r>
          </w:p>
        </w:tc>
        <w:tc>
          <w:tcPr>
            <w:tcW w:w="636" w:type="dxa"/>
          </w:tcPr>
          <w:p w14:paraId="33B84A6C">
            <w:pPr>
              <w:jc w:val="center"/>
              <w:rPr>
                <w:rFonts w:eastAsia="宋体" w:cs="Times New Roman"/>
                <w:color w:val="000000"/>
                <w:sz w:val="21"/>
                <w:szCs w:val="21"/>
              </w:rPr>
            </w:pPr>
            <w:r>
              <w:rPr>
                <w:rFonts w:hint="eastAsia" w:eastAsia="宋体" w:cs="Times New Roman"/>
                <w:color w:val="000000"/>
                <w:sz w:val="21"/>
                <w:szCs w:val="21"/>
              </w:rPr>
              <w:t>-20</w:t>
            </w:r>
          </w:p>
        </w:tc>
        <w:tc>
          <w:tcPr>
            <w:tcW w:w="706" w:type="dxa"/>
          </w:tcPr>
          <w:p w14:paraId="04EDF2DF">
            <w:pPr>
              <w:jc w:val="center"/>
              <w:rPr>
                <w:rFonts w:eastAsia="宋体" w:cs="Times New Roman"/>
                <w:color w:val="000000"/>
                <w:sz w:val="21"/>
                <w:szCs w:val="21"/>
              </w:rPr>
            </w:pPr>
            <w:r>
              <w:rPr>
                <w:rFonts w:hint="eastAsia" w:eastAsia="宋体" w:cs="Times New Roman"/>
                <w:color w:val="000000"/>
                <w:sz w:val="21"/>
                <w:szCs w:val="21"/>
              </w:rPr>
              <w:t>-58</w:t>
            </w:r>
          </w:p>
        </w:tc>
        <w:tc>
          <w:tcPr>
            <w:tcW w:w="706" w:type="dxa"/>
          </w:tcPr>
          <w:p w14:paraId="026159BC">
            <w:pPr>
              <w:jc w:val="center"/>
              <w:rPr>
                <w:rFonts w:eastAsia="宋体" w:cs="Times New Roman"/>
                <w:color w:val="000000"/>
                <w:sz w:val="21"/>
                <w:szCs w:val="21"/>
              </w:rPr>
            </w:pPr>
            <w:r>
              <w:rPr>
                <w:rFonts w:hint="eastAsia" w:eastAsia="宋体" w:cs="Times New Roman"/>
                <w:color w:val="000000"/>
                <w:sz w:val="21"/>
                <w:szCs w:val="21"/>
              </w:rPr>
              <w:t>569</w:t>
            </w:r>
          </w:p>
        </w:tc>
        <w:tc>
          <w:tcPr>
            <w:tcW w:w="636" w:type="dxa"/>
          </w:tcPr>
          <w:p w14:paraId="62880637">
            <w:pPr>
              <w:jc w:val="center"/>
              <w:rPr>
                <w:rFonts w:eastAsia="宋体" w:cs="Times New Roman"/>
                <w:color w:val="000000"/>
                <w:sz w:val="21"/>
                <w:szCs w:val="21"/>
              </w:rPr>
            </w:pPr>
            <w:r>
              <w:rPr>
                <w:rFonts w:hint="eastAsia" w:eastAsia="宋体" w:cs="Times New Roman"/>
                <w:color w:val="000000"/>
                <w:sz w:val="21"/>
                <w:szCs w:val="21"/>
              </w:rPr>
              <w:t>22</w:t>
            </w:r>
          </w:p>
        </w:tc>
        <w:tc>
          <w:tcPr>
            <w:tcW w:w="636" w:type="dxa"/>
          </w:tcPr>
          <w:p w14:paraId="6859FD01">
            <w:pPr>
              <w:jc w:val="center"/>
              <w:rPr>
                <w:rFonts w:eastAsia="宋体" w:cs="Times New Roman"/>
                <w:color w:val="000000"/>
                <w:sz w:val="21"/>
                <w:szCs w:val="21"/>
              </w:rPr>
            </w:pPr>
            <w:r>
              <w:rPr>
                <w:rFonts w:hint="eastAsia" w:eastAsia="宋体" w:cs="Times New Roman"/>
                <w:color w:val="000000"/>
                <w:sz w:val="21"/>
                <w:szCs w:val="21"/>
              </w:rPr>
              <w:t>39</w:t>
            </w:r>
          </w:p>
        </w:tc>
        <w:tc>
          <w:tcPr>
            <w:tcW w:w="706" w:type="dxa"/>
          </w:tcPr>
          <w:p w14:paraId="541A2E1D">
            <w:pPr>
              <w:jc w:val="center"/>
              <w:rPr>
                <w:rFonts w:eastAsia="宋体" w:cs="Times New Roman"/>
                <w:color w:val="000000"/>
                <w:sz w:val="21"/>
                <w:szCs w:val="21"/>
              </w:rPr>
            </w:pPr>
            <w:r>
              <w:rPr>
                <w:rFonts w:hint="eastAsia" w:eastAsia="宋体" w:cs="Times New Roman"/>
                <w:color w:val="000000"/>
                <w:sz w:val="21"/>
                <w:szCs w:val="21"/>
              </w:rPr>
              <w:t>97</w:t>
            </w:r>
          </w:p>
        </w:tc>
        <w:tc>
          <w:tcPr>
            <w:tcW w:w="706" w:type="dxa"/>
          </w:tcPr>
          <w:p w14:paraId="5CFD70A9">
            <w:pPr>
              <w:jc w:val="center"/>
              <w:rPr>
                <w:rFonts w:eastAsia="宋体" w:cs="Times New Roman"/>
                <w:color w:val="000000"/>
                <w:sz w:val="21"/>
                <w:szCs w:val="21"/>
              </w:rPr>
            </w:pPr>
            <w:r>
              <w:rPr>
                <w:rFonts w:hint="eastAsia" w:eastAsia="宋体" w:cs="Times New Roman"/>
                <w:color w:val="000000"/>
                <w:sz w:val="21"/>
                <w:szCs w:val="21"/>
              </w:rPr>
              <w:t>-67</w:t>
            </w:r>
          </w:p>
        </w:tc>
      </w:tr>
    </w:tbl>
    <w:p w14:paraId="16CA64FE">
      <w:pPr>
        <w:rPr>
          <w:rFonts w:eastAsia="宋体" w:cs="Times New Roman"/>
          <w:color w:val="000000"/>
          <w:sz w:val="21"/>
          <w:szCs w:val="21"/>
        </w:rPr>
      </w:pPr>
    </w:p>
    <w:p w14:paraId="1A26EBEE">
      <w:pPr>
        <w:rPr>
          <w:rFonts w:eastAsia="宋体" w:cs="Times New Roman"/>
          <w:color w:val="000000"/>
          <w:sz w:val="21"/>
          <w:szCs w:val="21"/>
        </w:rPr>
      </w:pPr>
      <w:r>
        <w:rPr>
          <w:rFonts w:hint="eastAsia" w:eastAsia="宋体" w:cs="Times New Roman"/>
          <w:color w:val="000000"/>
          <w:sz w:val="21"/>
          <w:szCs w:val="21"/>
        </w:rPr>
        <w:t>续 表</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686"/>
        <w:gridCol w:w="706"/>
        <w:gridCol w:w="706"/>
        <w:gridCol w:w="706"/>
        <w:gridCol w:w="706"/>
        <w:gridCol w:w="706"/>
        <w:gridCol w:w="706"/>
        <w:gridCol w:w="706"/>
        <w:gridCol w:w="706"/>
      </w:tblGrid>
      <w:tr w14:paraId="2D210D14">
        <w:trPr>
          <w:jc w:val="center"/>
        </w:trPr>
        <w:tc>
          <w:tcPr>
            <w:tcW w:w="1686" w:type="dxa"/>
          </w:tcPr>
          <w:p w14:paraId="324FAC1A">
            <w:pPr>
              <w:jc w:val="center"/>
              <w:rPr>
                <w:rFonts w:eastAsia="宋体" w:cs="Times New Roman"/>
                <w:color w:val="000000"/>
                <w:sz w:val="21"/>
                <w:szCs w:val="21"/>
              </w:rPr>
            </w:pPr>
            <w:r>
              <w:rPr>
                <w:rFonts w:hint="eastAsia" w:eastAsia="宋体" w:cs="Times New Roman"/>
                <w:color w:val="000000"/>
                <w:sz w:val="21"/>
                <w:szCs w:val="21"/>
              </w:rPr>
              <w:t>年份</w:t>
            </w:r>
          </w:p>
        </w:tc>
        <w:tc>
          <w:tcPr>
            <w:tcW w:w="706" w:type="dxa"/>
          </w:tcPr>
          <w:p w14:paraId="043AAD0D">
            <w:pPr>
              <w:jc w:val="center"/>
              <w:rPr>
                <w:rFonts w:eastAsia="宋体" w:cs="Times New Roman"/>
                <w:color w:val="000000"/>
                <w:sz w:val="21"/>
                <w:szCs w:val="21"/>
              </w:rPr>
            </w:pPr>
            <w:r>
              <w:rPr>
                <w:rFonts w:hint="eastAsia" w:eastAsia="宋体" w:cs="Times New Roman"/>
                <w:color w:val="000000"/>
                <w:sz w:val="21"/>
                <w:szCs w:val="21"/>
              </w:rPr>
              <w:t>1997</w:t>
            </w:r>
          </w:p>
        </w:tc>
        <w:tc>
          <w:tcPr>
            <w:tcW w:w="706" w:type="dxa"/>
          </w:tcPr>
          <w:p w14:paraId="4A951A80">
            <w:pPr>
              <w:jc w:val="center"/>
              <w:rPr>
                <w:rFonts w:eastAsia="宋体" w:cs="Times New Roman"/>
                <w:color w:val="000000"/>
                <w:sz w:val="21"/>
                <w:szCs w:val="21"/>
              </w:rPr>
            </w:pPr>
            <w:r>
              <w:rPr>
                <w:rFonts w:hint="eastAsia" w:eastAsia="宋体" w:cs="Times New Roman"/>
                <w:color w:val="000000"/>
                <w:sz w:val="21"/>
                <w:szCs w:val="21"/>
              </w:rPr>
              <w:t>1998</w:t>
            </w:r>
          </w:p>
        </w:tc>
        <w:tc>
          <w:tcPr>
            <w:tcW w:w="706" w:type="dxa"/>
          </w:tcPr>
          <w:p w14:paraId="0A2AE5FF">
            <w:pPr>
              <w:jc w:val="center"/>
              <w:rPr>
                <w:rFonts w:eastAsia="宋体" w:cs="Times New Roman"/>
                <w:color w:val="000000"/>
                <w:sz w:val="21"/>
                <w:szCs w:val="21"/>
              </w:rPr>
            </w:pPr>
            <w:r>
              <w:rPr>
                <w:rFonts w:hint="eastAsia" w:eastAsia="宋体" w:cs="Times New Roman"/>
                <w:color w:val="000000"/>
                <w:sz w:val="21"/>
                <w:szCs w:val="21"/>
              </w:rPr>
              <w:t>1999</w:t>
            </w:r>
          </w:p>
        </w:tc>
        <w:tc>
          <w:tcPr>
            <w:tcW w:w="706" w:type="dxa"/>
          </w:tcPr>
          <w:p w14:paraId="67BBE8EF">
            <w:pPr>
              <w:jc w:val="center"/>
              <w:rPr>
                <w:rFonts w:eastAsia="宋体" w:cs="Times New Roman"/>
                <w:color w:val="000000"/>
                <w:sz w:val="21"/>
                <w:szCs w:val="21"/>
              </w:rPr>
            </w:pPr>
            <w:r>
              <w:rPr>
                <w:rFonts w:hint="eastAsia" w:eastAsia="宋体" w:cs="Times New Roman"/>
                <w:color w:val="000000"/>
                <w:sz w:val="21"/>
                <w:szCs w:val="21"/>
              </w:rPr>
              <w:t>2000</w:t>
            </w:r>
          </w:p>
        </w:tc>
        <w:tc>
          <w:tcPr>
            <w:tcW w:w="706" w:type="dxa"/>
          </w:tcPr>
          <w:p w14:paraId="69230B8D">
            <w:pPr>
              <w:jc w:val="center"/>
              <w:rPr>
                <w:rFonts w:eastAsia="宋体" w:cs="Times New Roman"/>
                <w:color w:val="000000"/>
                <w:sz w:val="21"/>
                <w:szCs w:val="21"/>
              </w:rPr>
            </w:pPr>
            <w:r>
              <w:rPr>
                <w:rFonts w:hint="eastAsia" w:eastAsia="宋体" w:cs="Times New Roman"/>
                <w:color w:val="000000"/>
                <w:sz w:val="21"/>
                <w:szCs w:val="21"/>
              </w:rPr>
              <w:t>2001</w:t>
            </w:r>
          </w:p>
        </w:tc>
        <w:tc>
          <w:tcPr>
            <w:tcW w:w="706" w:type="dxa"/>
          </w:tcPr>
          <w:p w14:paraId="0DDF34C7">
            <w:pPr>
              <w:jc w:val="center"/>
              <w:rPr>
                <w:rFonts w:eastAsia="宋体" w:cs="Times New Roman"/>
                <w:color w:val="000000"/>
                <w:sz w:val="21"/>
                <w:szCs w:val="21"/>
              </w:rPr>
            </w:pPr>
            <w:r>
              <w:rPr>
                <w:rFonts w:hint="eastAsia" w:eastAsia="宋体" w:cs="Times New Roman"/>
                <w:color w:val="000000"/>
                <w:sz w:val="21"/>
                <w:szCs w:val="21"/>
              </w:rPr>
              <w:t>2002</w:t>
            </w:r>
          </w:p>
        </w:tc>
        <w:tc>
          <w:tcPr>
            <w:tcW w:w="706" w:type="dxa"/>
          </w:tcPr>
          <w:p w14:paraId="63487F16">
            <w:pPr>
              <w:jc w:val="center"/>
              <w:rPr>
                <w:rFonts w:eastAsia="宋体" w:cs="Times New Roman"/>
                <w:color w:val="000000"/>
                <w:sz w:val="21"/>
                <w:szCs w:val="21"/>
              </w:rPr>
            </w:pPr>
            <w:r>
              <w:rPr>
                <w:rFonts w:hint="eastAsia" w:eastAsia="宋体" w:cs="Times New Roman"/>
                <w:color w:val="000000"/>
                <w:sz w:val="21"/>
                <w:szCs w:val="21"/>
              </w:rPr>
              <w:t>2003</w:t>
            </w:r>
          </w:p>
        </w:tc>
        <w:tc>
          <w:tcPr>
            <w:tcW w:w="706" w:type="dxa"/>
          </w:tcPr>
          <w:p w14:paraId="7867D92C">
            <w:pPr>
              <w:jc w:val="center"/>
              <w:rPr>
                <w:rFonts w:eastAsia="宋体" w:cs="Times New Roman"/>
                <w:color w:val="000000"/>
                <w:sz w:val="21"/>
                <w:szCs w:val="21"/>
              </w:rPr>
            </w:pPr>
            <w:r>
              <w:rPr>
                <w:rFonts w:hint="eastAsia" w:eastAsia="宋体" w:cs="Times New Roman"/>
                <w:color w:val="000000"/>
                <w:sz w:val="21"/>
                <w:szCs w:val="21"/>
              </w:rPr>
              <w:t>2005</w:t>
            </w:r>
          </w:p>
        </w:tc>
      </w:tr>
      <w:tr w14:paraId="3699092A">
        <w:trPr>
          <w:jc w:val="center"/>
        </w:trPr>
        <w:tc>
          <w:tcPr>
            <w:tcW w:w="1686" w:type="dxa"/>
          </w:tcPr>
          <w:p w14:paraId="620F1499">
            <w:pPr>
              <w:jc w:val="center"/>
              <w:rPr>
                <w:rFonts w:eastAsia="宋体" w:cs="Times New Roman"/>
                <w:color w:val="000000"/>
                <w:sz w:val="21"/>
                <w:szCs w:val="21"/>
              </w:rPr>
            </w:pPr>
            <w:r>
              <w:rPr>
                <w:rFonts w:hint="eastAsia" w:eastAsia="宋体" w:cs="Times New Roman"/>
                <w:color w:val="000000"/>
                <w:sz w:val="21"/>
                <w:szCs w:val="21"/>
              </w:rPr>
              <w:t>经常账户</w:t>
            </w:r>
          </w:p>
        </w:tc>
        <w:tc>
          <w:tcPr>
            <w:tcW w:w="706" w:type="dxa"/>
          </w:tcPr>
          <w:p w14:paraId="0685215A">
            <w:pPr>
              <w:jc w:val="center"/>
              <w:rPr>
                <w:rFonts w:eastAsia="宋体" w:cs="Times New Roman"/>
                <w:color w:val="000000"/>
                <w:sz w:val="21"/>
                <w:szCs w:val="21"/>
              </w:rPr>
            </w:pPr>
            <w:r>
              <w:rPr>
                <w:rFonts w:hint="eastAsia" w:eastAsia="宋体" w:cs="Times New Roman"/>
                <w:color w:val="000000"/>
                <w:sz w:val="21"/>
                <w:szCs w:val="21"/>
              </w:rPr>
              <w:t>-1405</w:t>
            </w:r>
          </w:p>
        </w:tc>
        <w:tc>
          <w:tcPr>
            <w:tcW w:w="706" w:type="dxa"/>
          </w:tcPr>
          <w:p w14:paraId="6ADACDF6">
            <w:pPr>
              <w:jc w:val="center"/>
              <w:rPr>
                <w:rFonts w:eastAsia="宋体" w:cs="Times New Roman"/>
                <w:color w:val="000000"/>
                <w:sz w:val="21"/>
                <w:szCs w:val="21"/>
              </w:rPr>
            </w:pPr>
            <w:r>
              <w:rPr>
                <w:rFonts w:hint="eastAsia" w:eastAsia="宋体" w:cs="Times New Roman"/>
                <w:color w:val="000000"/>
                <w:sz w:val="21"/>
                <w:szCs w:val="21"/>
              </w:rPr>
              <w:t>-2171</w:t>
            </w:r>
          </w:p>
        </w:tc>
        <w:tc>
          <w:tcPr>
            <w:tcW w:w="706" w:type="dxa"/>
          </w:tcPr>
          <w:p w14:paraId="01C625DC">
            <w:pPr>
              <w:jc w:val="center"/>
              <w:rPr>
                <w:rFonts w:eastAsia="宋体" w:cs="Times New Roman"/>
                <w:color w:val="000000"/>
                <w:sz w:val="21"/>
                <w:szCs w:val="21"/>
              </w:rPr>
            </w:pPr>
            <w:r>
              <w:rPr>
                <w:rFonts w:hint="eastAsia" w:eastAsia="宋体" w:cs="Times New Roman"/>
                <w:color w:val="000000"/>
                <w:sz w:val="21"/>
                <w:szCs w:val="21"/>
              </w:rPr>
              <w:t>-3315</w:t>
            </w:r>
          </w:p>
        </w:tc>
        <w:tc>
          <w:tcPr>
            <w:tcW w:w="706" w:type="dxa"/>
          </w:tcPr>
          <w:p w14:paraId="2519DB4F">
            <w:pPr>
              <w:jc w:val="center"/>
              <w:rPr>
                <w:rFonts w:eastAsia="宋体" w:cs="Times New Roman"/>
                <w:color w:val="000000"/>
                <w:sz w:val="21"/>
                <w:szCs w:val="21"/>
              </w:rPr>
            </w:pPr>
            <w:r>
              <w:rPr>
                <w:rFonts w:hint="eastAsia" w:eastAsia="宋体" w:cs="Times New Roman"/>
                <w:color w:val="000000"/>
                <w:sz w:val="21"/>
                <w:szCs w:val="21"/>
              </w:rPr>
              <w:t>-4447</w:t>
            </w:r>
          </w:p>
        </w:tc>
        <w:tc>
          <w:tcPr>
            <w:tcW w:w="706" w:type="dxa"/>
          </w:tcPr>
          <w:p w14:paraId="1A40BF81">
            <w:pPr>
              <w:jc w:val="center"/>
              <w:rPr>
                <w:rFonts w:eastAsia="宋体" w:cs="Times New Roman"/>
                <w:color w:val="000000"/>
                <w:sz w:val="21"/>
                <w:szCs w:val="21"/>
              </w:rPr>
            </w:pPr>
            <w:r>
              <w:rPr>
                <w:rFonts w:hint="eastAsia" w:eastAsia="宋体" w:cs="Times New Roman"/>
                <w:color w:val="000000"/>
                <w:sz w:val="21"/>
                <w:szCs w:val="21"/>
              </w:rPr>
              <w:t>-3934</w:t>
            </w:r>
          </w:p>
        </w:tc>
        <w:tc>
          <w:tcPr>
            <w:tcW w:w="706" w:type="dxa"/>
          </w:tcPr>
          <w:p w14:paraId="57F110A0">
            <w:pPr>
              <w:jc w:val="center"/>
              <w:rPr>
                <w:rFonts w:eastAsia="宋体" w:cs="Times New Roman"/>
                <w:color w:val="000000"/>
                <w:sz w:val="21"/>
                <w:szCs w:val="21"/>
              </w:rPr>
            </w:pPr>
            <w:r>
              <w:rPr>
                <w:rFonts w:hint="eastAsia" w:eastAsia="宋体" w:cs="Times New Roman"/>
                <w:color w:val="000000"/>
                <w:sz w:val="21"/>
                <w:szCs w:val="21"/>
              </w:rPr>
              <w:t>-4809</w:t>
            </w:r>
          </w:p>
        </w:tc>
        <w:tc>
          <w:tcPr>
            <w:tcW w:w="706" w:type="dxa"/>
          </w:tcPr>
          <w:p w14:paraId="22373D61">
            <w:pPr>
              <w:jc w:val="center"/>
              <w:rPr>
                <w:rFonts w:eastAsia="宋体" w:cs="Times New Roman"/>
                <w:color w:val="000000"/>
                <w:sz w:val="21"/>
                <w:szCs w:val="21"/>
              </w:rPr>
            </w:pPr>
            <w:r>
              <w:rPr>
                <w:rFonts w:hint="eastAsia" w:eastAsia="宋体" w:cs="Times New Roman"/>
                <w:color w:val="000000"/>
                <w:sz w:val="21"/>
                <w:szCs w:val="21"/>
              </w:rPr>
              <w:t>-5307</w:t>
            </w:r>
          </w:p>
        </w:tc>
        <w:tc>
          <w:tcPr>
            <w:tcW w:w="706" w:type="dxa"/>
          </w:tcPr>
          <w:p w14:paraId="26963D2E">
            <w:pPr>
              <w:jc w:val="center"/>
              <w:rPr>
                <w:rFonts w:eastAsia="宋体" w:cs="Times New Roman"/>
                <w:color w:val="000000"/>
                <w:sz w:val="21"/>
                <w:szCs w:val="21"/>
              </w:rPr>
            </w:pPr>
            <w:r>
              <w:rPr>
                <w:rFonts w:hint="eastAsia" w:eastAsia="宋体" w:cs="Times New Roman"/>
                <w:color w:val="000000"/>
                <w:sz w:val="21"/>
                <w:szCs w:val="21"/>
              </w:rPr>
              <w:t>-7915</w:t>
            </w:r>
          </w:p>
        </w:tc>
      </w:tr>
      <w:tr w14:paraId="6F80A54C">
        <w:trPr>
          <w:jc w:val="center"/>
        </w:trPr>
        <w:tc>
          <w:tcPr>
            <w:tcW w:w="1686" w:type="dxa"/>
          </w:tcPr>
          <w:p w14:paraId="7045BDC0">
            <w:pPr>
              <w:jc w:val="center"/>
              <w:rPr>
                <w:rFonts w:eastAsia="宋体" w:cs="Times New Roman"/>
                <w:color w:val="000000"/>
                <w:sz w:val="21"/>
                <w:szCs w:val="21"/>
              </w:rPr>
            </w:pPr>
            <w:r>
              <w:rPr>
                <w:rFonts w:hint="eastAsia" w:eastAsia="宋体" w:cs="Times New Roman"/>
                <w:color w:val="000000"/>
                <w:sz w:val="21"/>
                <w:szCs w:val="21"/>
              </w:rPr>
              <w:t>资本和金融账户</w:t>
            </w:r>
          </w:p>
        </w:tc>
        <w:tc>
          <w:tcPr>
            <w:tcW w:w="706" w:type="dxa"/>
          </w:tcPr>
          <w:p w14:paraId="1558787B">
            <w:pPr>
              <w:jc w:val="center"/>
              <w:rPr>
                <w:rFonts w:eastAsia="宋体" w:cs="Times New Roman"/>
                <w:color w:val="000000"/>
                <w:sz w:val="21"/>
                <w:szCs w:val="21"/>
              </w:rPr>
            </w:pPr>
            <w:r>
              <w:rPr>
                <w:rFonts w:hint="eastAsia" w:eastAsia="宋体" w:cs="Times New Roman"/>
                <w:color w:val="000000"/>
                <w:sz w:val="21"/>
                <w:szCs w:val="21"/>
              </w:rPr>
              <w:t>2694</w:t>
            </w:r>
          </w:p>
        </w:tc>
        <w:tc>
          <w:tcPr>
            <w:tcW w:w="706" w:type="dxa"/>
          </w:tcPr>
          <w:p w14:paraId="6C616585">
            <w:pPr>
              <w:jc w:val="center"/>
              <w:rPr>
                <w:rFonts w:eastAsia="宋体" w:cs="Times New Roman"/>
                <w:color w:val="000000"/>
                <w:sz w:val="21"/>
                <w:szCs w:val="21"/>
              </w:rPr>
            </w:pPr>
            <w:r>
              <w:rPr>
                <w:rFonts w:hint="eastAsia" w:eastAsia="宋体" w:cs="Times New Roman"/>
                <w:color w:val="000000"/>
                <w:sz w:val="21"/>
                <w:szCs w:val="21"/>
              </w:rPr>
              <w:t>1542</w:t>
            </w:r>
          </w:p>
        </w:tc>
        <w:tc>
          <w:tcPr>
            <w:tcW w:w="706" w:type="dxa"/>
          </w:tcPr>
          <w:p w14:paraId="428C52BA">
            <w:pPr>
              <w:jc w:val="center"/>
              <w:rPr>
                <w:rFonts w:eastAsia="宋体" w:cs="Times New Roman"/>
                <w:color w:val="000000"/>
                <w:sz w:val="21"/>
                <w:szCs w:val="21"/>
              </w:rPr>
            </w:pPr>
            <w:r>
              <w:rPr>
                <w:rFonts w:hint="eastAsia" w:eastAsia="宋体" w:cs="Times New Roman"/>
                <w:color w:val="000000"/>
                <w:sz w:val="21"/>
                <w:szCs w:val="21"/>
              </w:rPr>
              <w:t>3111</w:t>
            </w:r>
          </w:p>
        </w:tc>
        <w:tc>
          <w:tcPr>
            <w:tcW w:w="706" w:type="dxa"/>
          </w:tcPr>
          <w:p w14:paraId="3C87E595">
            <w:pPr>
              <w:jc w:val="center"/>
              <w:rPr>
                <w:rFonts w:eastAsia="宋体" w:cs="Times New Roman"/>
                <w:color w:val="000000"/>
                <w:sz w:val="21"/>
                <w:szCs w:val="21"/>
              </w:rPr>
            </w:pPr>
            <w:r>
              <w:rPr>
                <w:rFonts w:hint="eastAsia" w:eastAsia="宋体" w:cs="Times New Roman"/>
                <w:color w:val="000000"/>
                <w:sz w:val="21"/>
                <w:szCs w:val="21"/>
              </w:rPr>
              <w:t>4443</w:t>
            </w:r>
          </w:p>
        </w:tc>
        <w:tc>
          <w:tcPr>
            <w:tcW w:w="706" w:type="dxa"/>
          </w:tcPr>
          <w:p w14:paraId="70CB6819">
            <w:pPr>
              <w:jc w:val="center"/>
              <w:rPr>
                <w:rFonts w:eastAsia="宋体" w:cs="Times New Roman"/>
                <w:color w:val="000000"/>
                <w:sz w:val="21"/>
                <w:szCs w:val="21"/>
              </w:rPr>
            </w:pPr>
            <w:r>
              <w:rPr>
                <w:rFonts w:hint="eastAsia" w:eastAsia="宋体" w:cs="Times New Roman"/>
                <w:color w:val="000000"/>
                <w:sz w:val="21"/>
                <w:szCs w:val="21"/>
              </w:rPr>
              <w:t>3876</w:t>
            </w:r>
          </w:p>
        </w:tc>
        <w:tc>
          <w:tcPr>
            <w:tcW w:w="706" w:type="dxa"/>
          </w:tcPr>
          <w:p w14:paraId="61DFEAAC">
            <w:pPr>
              <w:jc w:val="center"/>
              <w:rPr>
                <w:rFonts w:eastAsia="宋体" w:cs="Times New Roman"/>
                <w:color w:val="000000"/>
                <w:sz w:val="21"/>
                <w:szCs w:val="21"/>
              </w:rPr>
            </w:pPr>
            <w:r>
              <w:rPr>
                <w:rFonts w:hint="eastAsia" w:eastAsia="宋体" w:cs="Times New Roman"/>
                <w:color w:val="000000"/>
                <w:sz w:val="21"/>
                <w:szCs w:val="21"/>
              </w:rPr>
              <w:t>5304</w:t>
            </w:r>
          </w:p>
        </w:tc>
        <w:tc>
          <w:tcPr>
            <w:tcW w:w="706" w:type="dxa"/>
          </w:tcPr>
          <w:p w14:paraId="600B3468">
            <w:pPr>
              <w:jc w:val="center"/>
              <w:rPr>
                <w:rFonts w:eastAsia="宋体" w:cs="Times New Roman"/>
                <w:color w:val="000000"/>
                <w:sz w:val="21"/>
                <w:szCs w:val="21"/>
              </w:rPr>
            </w:pPr>
            <w:r>
              <w:rPr>
                <w:rFonts w:hint="eastAsia" w:eastAsia="宋体" w:cs="Times New Roman"/>
                <w:color w:val="000000"/>
                <w:sz w:val="21"/>
                <w:szCs w:val="21"/>
              </w:rPr>
              <w:t>5411</w:t>
            </w:r>
          </w:p>
        </w:tc>
        <w:tc>
          <w:tcPr>
            <w:tcW w:w="706" w:type="dxa"/>
          </w:tcPr>
          <w:p w14:paraId="54C8CFF3">
            <w:pPr>
              <w:jc w:val="center"/>
              <w:rPr>
                <w:rFonts w:eastAsia="宋体" w:cs="Times New Roman"/>
                <w:color w:val="000000"/>
                <w:sz w:val="21"/>
                <w:szCs w:val="21"/>
              </w:rPr>
            </w:pPr>
            <w:r>
              <w:rPr>
                <w:rFonts w:hint="eastAsia" w:eastAsia="宋体" w:cs="Times New Roman"/>
                <w:color w:val="000000"/>
                <w:sz w:val="21"/>
                <w:szCs w:val="21"/>
              </w:rPr>
              <w:t>7670</w:t>
            </w:r>
          </w:p>
        </w:tc>
      </w:tr>
      <w:tr w14:paraId="4A5453C5">
        <w:trPr>
          <w:jc w:val="center"/>
        </w:trPr>
        <w:tc>
          <w:tcPr>
            <w:tcW w:w="1686" w:type="dxa"/>
          </w:tcPr>
          <w:p w14:paraId="66F5D528">
            <w:pPr>
              <w:jc w:val="center"/>
              <w:rPr>
                <w:rFonts w:eastAsia="宋体" w:cs="Times New Roman"/>
                <w:color w:val="000000"/>
                <w:sz w:val="21"/>
                <w:szCs w:val="21"/>
              </w:rPr>
            </w:pPr>
            <w:r>
              <w:rPr>
                <w:rFonts w:hint="eastAsia" w:eastAsia="宋体" w:cs="Times New Roman"/>
                <w:color w:val="000000"/>
                <w:sz w:val="21"/>
                <w:szCs w:val="21"/>
              </w:rPr>
              <w:t>净差错与遗漏</w:t>
            </w:r>
          </w:p>
        </w:tc>
        <w:tc>
          <w:tcPr>
            <w:tcW w:w="706" w:type="dxa"/>
          </w:tcPr>
          <w:p w14:paraId="37C6631D">
            <w:pPr>
              <w:jc w:val="center"/>
              <w:rPr>
                <w:rFonts w:eastAsia="宋体" w:cs="Times New Roman"/>
                <w:color w:val="000000"/>
                <w:sz w:val="21"/>
                <w:szCs w:val="21"/>
              </w:rPr>
            </w:pPr>
            <w:r>
              <w:rPr>
                <w:rFonts w:hint="eastAsia" w:eastAsia="宋体" w:cs="Times New Roman"/>
                <w:color w:val="000000"/>
                <w:sz w:val="21"/>
                <w:szCs w:val="21"/>
              </w:rPr>
              <w:t>-1279</w:t>
            </w:r>
          </w:p>
        </w:tc>
        <w:tc>
          <w:tcPr>
            <w:tcW w:w="706" w:type="dxa"/>
          </w:tcPr>
          <w:p w14:paraId="0810AD34">
            <w:pPr>
              <w:jc w:val="center"/>
              <w:rPr>
                <w:rFonts w:eastAsia="宋体" w:cs="Times New Roman"/>
                <w:color w:val="000000"/>
                <w:sz w:val="21"/>
                <w:szCs w:val="21"/>
              </w:rPr>
            </w:pPr>
            <w:r>
              <w:rPr>
                <w:rFonts w:hint="eastAsia" w:eastAsia="宋体" w:cs="Times New Roman"/>
                <w:color w:val="000000"/>
                <w:sz w:val="21"/>
                <w:szCs w:val="21"/>
              </w:rPr>
              <w:t>696</w:t>
            </w:r>
          </w:p>
        </w:tc>
        <w:tc>
          <w:tcPr>
            <w:tcW w:w="706" w:type="dxa"/>
          </w:tcPr>
          <w:p w14:paraId="322D9ED0">
            <w:pPr>
              <w:jc w:val="center"/>
              <w:rPr>
                <w:rFonts w:eastAsia="宋体" w:cs="Times New Roman"/>
                <w:color w:val="000000"/>
                <w:sz w:val="21"/>
                <w:szCs w:val="21"/>
              </w:rPr>
            </w:pPr>
            <w:r>
              <w:rPr>
                <w:rFonts w:hint="eastAsia" w:eastAsia="宋体" w:cs="Times New Roman"/>
                <w:color w:val="000000"/>
                <w:sz w:val="21"/>
                <w:szCs w:val="21"/>
              </w:rPr>
              <w:t>117</w:t>
            </w:r>
          </w:p>
        </w:tc>
        <w:tc>
          <w:tcPr>
            <w:tcW w:w="706" w:type="dxa"/>
          </w:tcPr>
          <w:p w14:paraId="70C4660C">
            <w:pPr>
              <w:jc w:val="center"/>
              <w:rPr>
                <w:rFonts w:eastAsia="宋体" w:cs="Times New Roman"/>
                <w:color w:val="000000"/>
                <w:sz w:val="21"/>
                <w:szCs w:val="21"/>
              </w:rPr>
            </w:pPr>
            <w:r>
              <w:rPr>
                <w:rFonts w:hint="eastAsia" w:eastAsia="宋体" w:cs="Times New Roman"/>
                <w:color w:val="000000"/>
                <w:sz w:val="21"/>
                <w:szCs w:val="21"/>
              </w:rPr>
              <w:t>7</w:t>
            </w:r>
          </w:p>
        </w:tc>
        <w:tc>
          <w:tcPr>
            <w:tcW w:w="706" w:type="dxa"/>
          </w:tcPr>
          <w:p w14:paraId="108A4A48">
            <w:pPr>
              <w:jc w:val="center"/>
              <w:rPr>
                <w:rFonts w:eastAsia="宋体" w:cs="Times New Roman"/>
                <w:color w:val="000000"/>
                <w:sz w:val="21"/>
                <w:szCs w:val="21"/>
              </w:rPr>
            </w:pPr>
            <w:r>
              <w:rPr>
                <w:rFonts w:hint="eastAsia" w:eastAsia="宋体" w:cs="Times New Roman"/>
                <w:color w:val="000000"/>
                <w:sz w:val="21"/>
                <w:szCs w:val="21"/>
              </w:rPr>
              <w:t>107</w:t>
            </w:r>
          </w:p>
        </w:tc>
        <w:tc>
          <w:tcPr>
            <w:tcW w:w="706" w:type="dxa"/>
          </w:tcPr>
          <w:p w14:paraId="4CE17FF0">
            <w:pPr>
              <w:jc w:val="center"/>
              <w:rPr>
                <w:rFonts w:eastAsia="宋体" w:cs="Times New Roman"/>
                <w:color w:val="000000"/>
                <w:sz w:val="21"/>
                <w:szCs w:val="21"/>
              </w:rPr>
            </w:pPr>
            <w:r>
              <w:rPr>
                <w:rFonts w:hint="eastAsia" w:eastAsia="宋体" w:cs="Times New Roman"/>
                <w:color w:val="000000"/>
                <w:sz w:val="21"/>
                <w:szCs w:val="21"/>
              </w:rPr>
              <w:t>-458</w:t>
            </w:r>
          </w:p>
        </w:tc>
        <w:tc>
          <w:tcPr>
            <w:tcW w:w="706" w:type="dxa"/>
          </w:tcPr>
          <w:p w14:paraId="22E6C87B">
            <w:pPr>
              <w:jc w:val="center"/>
              <w:rPr>
                <w:rFonts w:eastAsia="宋体" w:cs="Times New Roman"/>
                <w:color w:val="000000"/>
                <w:sz w:val="21"/>
                <w:szCs w:val="21"/>
              </w:rPr>
            </w:pPr>
            <w:r>
              <w:rPr>
                <w:rFonts w:hint="eastAsia" w:eastAsia="宋体" w:cs="Times New Roman"/>
                <w:color w:val="000000"/>
                <w:sz w:val="21"/>
                <w:szCs w:val="21"/>
              </w:rPr>
              <w:t>-119</w:t>
            </w:r>
          </w:p>
        </w:tc>
        <w:tc>
          <w:tcPr>
            <w:tcW w:w="706" w:type="dxa"/>
          </w:tcPr>
          <w:p w14:paraId="69F73E03">
            <w:pPr>
              <w:jc w:val="center"/>
              <w:rPr>
                <w:rFonts w:eastAsia="宋体" w:cs="Times New Roman"/>
                <w:color w:val="000000"/>
                <w:sz w:val="21"/>
                <w:szCs w:val="21"/>
              </w:rPr>
            </w:pPr>
            <w:r>
              <w:rPr>
                <w:rFonts w:hint="eastAsia" w:eastAsia="宋体" w:cs="Times New Roman"/>
                <w:color w:val="000000"/>
                <w:sz w:val="21"/>
                <w:szCs w:val="21"/>
              </w:rPr>
              <w:t>104</w:t>
            </w:r>
          </w:p>
        </w:tc>
      </w:tr>
      <w:tr w14:paraId="614C7976">
        <w:trPr>
          <w:jc w:val="center"/>
        </w:trPr>
        <w:tc>
          <w:tcPr>
            <w:tcW w:w="1686" w:type="dxa"/>
          </w:tcPr>
          <w:p w14:paraId="0F8140B6">
            <w:pPr>
              <w:jc w:val="center"/>
              <w:rPr>
                <w:rFonts w:eastAsia="宋体" w:cs="Times New Roman"/>
                <w:color w:val="000000"/>
                <w:sz w:val="21"/>
                <w:szCs w:val="21"/>
              </w:rPr>
            </w:pPr>
            <w:r>
              <w:rPr>
                <w:rFonts w:hint="eastAsia" w:eastAsia="宋体" w:cs="Times New Roman"/>
                <w:color w:val="000000"/>
                <w:sz w:val="21"/>
                <w:szCs w:val="21"/>
              </w:rPr>
              <w:t>国际收支总盈余</w:t>
            </w:r>
          </w:p>
        </w:tc>
        <w:tc>
          <w:tcPr>
            <w:tcW w:w="706" w:type="dxa"/>
          </w:tcPr>
          <w:p w14:paraId="06BD6D8A">
            <w:pPr>
              <w:jc w:val="center"/>
              <w:rPr>
                <w:rFonts w:eastAsia="宋体" w:cs="Times New Roman"/>
                <w:color w:val="000000"/>
                <w:sz w:val="21"/>
                <w:szCs w:val="21"/>
              </w:rPr>
            </w:pPr>
            <w:r>
              <w:rPr>
                <w:rFonts w:hint="eastAsia" w:eastAsia="宋体" w:cs="Times New Roman"/>
                <w:color w:val="000000"/>
                <w:sz w:val="21"/>
                <w:szCs w:val="21"/>
              </w:rPr>
              <w:t>10</w:t>
            </w:r>
          </w:p>
        </w:tc>
        <w:tc>
          <w:tcPr>
            <w:tcW w:w="706" w:type="dxa"/>
          </w:tcPr>
          <w:p w14:paraId="20B862CC">
            <w:pPr>
              <w:jc w:val="center"/>
              <w:rPr>
                <w:rFonts w:eastAsia="宋体" w:cs="Times New Roman"/>
                <w:color w:val="000000"/>
                <w:sz w:val="21"/>
                <w:szCs w:val="21"/>
              </w:rPr>
            </w:pPr>
            <w:r>
              <w:rPr>
                <w:rFonts w:hint="eastAsia" w:eastAsia="宋体" w:cs="Times New Roman"/>
                <w:color w:val="000000"/>
                <w:sz w:val="21"/>
                <w:szCs w:val="21"/>
              </w:rPr>
              <w:t>67</w:t>
            </w:r>
          </w:p>
        </w:tc>
        <w:tc>
          <w:tcPr>
            <w:tcW w:w="706" w:type="dxa"/>
          </w:tcPr>
          <w:p w14:paraId="50EEC365">
            <w:pPr>
              <w:jc w:val="center"/>
              <w:rPr>
                <w:rFonts w:eastAsia="宋体" w:cs="Times New Roman"/>
                <w:color w:val="000000"/>
                <w:sz w:val="21"/>
                <w:szCs w:val="21"/>
              </w:rPr>
            </w:pPr>
            <w:r>
              <w:rPr>
                <w:rFonts w:hint="eastAsia" w:eastAsia="宋体" w:cs="Times New Roman"/>
                <w:color w:val="000000"/>
                <w:sz w:val="21"/>
                <w:szCs w:val="21"/>
              </w:rPr>
              <w:t>-87</w:t>
            </w:r>
          </w:p>
        </w:tc>
        <w:tc>
          <w:tcPr>
            <w:tcW w:w="706" w:type="dxa"/>
          </w:tcPr>
          <w:p w14:paraId="19E1F1CB">
            <w:pPr>
              <w:jc w:val="center"/>
              <w:rPr>
                <w:rFonts w:eastAsia="宋体" w:cs="Times New Roman"/>
                <w:color w:val="000000"/>
                <w:sz w:val="21"/>
                <w:szCs w:val="21"/>
              </w:rPr>
            </w:pPr>
            <w:r>
              <w:rPr>
                <w:rFonts w:hint="eastAsia" w:eastAsia="宋体" w:cs="Times New Roman"/>
                <w:color w:val="000000"/>
                <w:sz w:val="21"/>
                <w:szCs w:val="21"/>
              </w:rPr>
              <w:t>3</w:t>
            </w:r>
          </w:p>
        </w:tc>
        <w:tc>
          <w:tcPr>
            <w:tcW w:w="706" w:type="dxa"/>
          </w:tcPr>
          <w:p w14:paraId="007642DE">
            <w:pPr>
              <w:jc w:val="center"/>
              <w:rPr>
                <w:rFonts w:eastAsia="宋体" w:cs="Times New Roman"/>
                <w:color w:val="000000"/>
                <w:sz w:val="21"/>
                <w:szCs w:val="21"/>
              </w:rPr>
            </w:pPr>
            <w:r>
              <w:rPr>
                <w:rFonts w:hint="eastAsia" w:eastAsia="宋体" w:cs="Times New Roman"/>
                <w:color w:val="000000"/>
                <w:sz w:val="21"/>
                <w:szCs w:val="21"/>
              </w:rPr>
              <w:t>49</w:t>
            </w:r>
          </w:p>
        </w:tc>
        <w:tc>
          <w:tcPr>
            <w:tcW w:w="706" w:type="dxa"/>
          </w:tcPr>
          <w:p w14:paraId="09699918">
            <w:pPr>
              <w:jc w:val="center"/>
              <w:rPr>
                <w:rFonts w:eastAsia="宋体" w:cs="Times New Roman"/>
                <w:color w:val="000000"/>
                <w:sz w:val="21"/>
                <w:szCs w:val="21"/>
              </w:rPr>
            </w:pPr>
            <w:r>
              <w:rPr>
                <w:rFonts w:hint="eastAsia" w:eastAsia="宋体" w:cs="Times New Roman"/>
                <w:color w:val="000000"/>
                <w:sz w:val="21"/>
                <w:szCs w:val="21"/>
              </w:rPr>
              <w:t>37</w:t>
            </w:r>
          </w:p>
        </w:tc>
        <w:tc>
          <w:tcPr>
            <w:tcW w:w="706" w:type="dxa"/>
          </w:tcPr>
          <w:p w14:paraId="327C023F">
            <w:pPr>
              <w:jc w:val="center"/>
              <w:rPr>
                <w:rFonts w:eastAsia="宋体" w:cs="Times New Roman"/>
                <w:color w:val="000000"/>
                <w:sz w:val="21"/>
                <w:szCs w:val="21"/>
              </w:rPr>
            </w:pPr>
            <w:r>
              <w:rPr>
                <w:rFonts w:hint="eastAsia" w:eastAsia="宋体" w:cs="Times New Roman"/>
                <w:color w:val="000000"/>
                <w:sz w:val="21"/>
                <w:szCs w:val="21"/>
              </w:rPr>
              <w:t>-15</w:t>
            </w:r>
          </w:p>
        </w:tc>
        <w:tc>
          <w:tcPr>
            <w:tcW w:w="706" w:type="dxa"/>
          </w:tcPr>
          <w:p w14:paraId="3F5852F0">
            <w:pPr>
              <w:jc w:val="center"/>
              <w:rPr>
                <w:rFonts w:eastAsia="宋体" w:cs="Times New Roman"/>
                <w:color w:val="000000"/>
                <w:sz w:val="21"/>
                <w:szCs w:val="21"/>
              </w:rPr>
            </w:pPr>
            <w:r>
              <w:rPr>
                <w:rFonts w:hint="eastAsia" w:eastAsia="宋体" w:cs="Times New Roman"/>
                <w:color w:val="000000"/>
                <w:sz w:val="21"/>
                <w:szCs w:val="21"/>
              </w:rPr>
              <w:t>-141</w:t>
            </w:r>
          </w:p>
        </w:tc>
      </w:tr>
    </w:tbl>
    <w:p w14:paraId="5C127547">
      <w:pPr>
        <w:rPr>
          <w:rFonts w:eastAsia="宋体" w:cs="Times New Roman"/>
          <w:color w:val="000000"/>
          <w:sz w:val="21"/>
          <w:szCs w:val="21"/>
        </w:rPr>
      </w:pPr>
      <w:r>
        <w:rPr>
          <w:rFonts w:hint="eastAsia" w:eastAsia="宋体" w:cs="Times New Roman"/>
          <w:color w:val="000000"/>
          <w:sz w:val="21"/>
          <w:szCs w:val="21"/>
        </w:rPr>
        <w:t>　　　　　  　　 　　 　　</w:t>
      </w:r>
    </w:p>
    <w:p w14:paraId="3BA0B45F">
      <w:pPr>
        <w:rPr>
          <w:rFonts w:eastAsia="宋体" w:cs="Times New Roman"/>
          <w:color w:val="000000"/>
          <w:sz w:val="21"/>
          <w:szCs w:val="21"/>
        </w:rPr>
      </w:pPr>
      <w:r>
        <w:rPr>
          <w:rFonts w:hint="eastAsia" w:eastAsia="宋体" w:cs="Times New Roman"/>
          <w:color w:val="000000"/>
          <w:sz w:val="21"/>
          <w:szCs w:val="21"/>
        </w:rPr>
        <w:t xml:space="preserve">　　  </w:t>
      </w:r>
      <w:r>
        <w:rPr>
          <w:rFonts w:eastAsia="宋体" w:cs="Times New Roman"/>
          <w:color w:val="000000"/>
          <w:sz w:val="21"/>
          <w:szCs w:val="21"/>
        </w:rPr>
        <w:drawing>
          <wp:inline distT="0" distB="0" distL="0" distR="0">
            <wp:extent cx="5594350" cy="3879850"/>
            <wp:effectExtent l="0" t="0" r="0" b="0"/>
            <wp:docPr id="392" name="图表 39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14:paraId="51094A9B">
      <w:pPr>
        <w:rPr>
          <w:rFonts w:eastAsia="宋体" w:cs="Times New Roman"/>
          <w:color w:val="000000"/>
          <w:sz w:val="21"/>
          <w:szCs w:val="21"/>
        </w:rPr>
      </w:pPr>
      <w:r>
        <w:rPr>
          <w:rFonts w:hint="eastAsia" w:eastAsia="宋体" w:cs="Times New Roman"/>
          <w:color w:val="000000"/>
          <w:sz w:val="21"/>
          <w:szCs w:val="21"/>
        </w:rPr>
        <w:t>资料来源：1995-2007 年各年《国际统计年鉴》，并经计算而得。</w:t>
      </w:r>
      <w:r>
        <w:rPr>
          <w:rFonts w:eastAsia="宋体" w:cs="Times New Roman"/>
          <w:color w:val="000000"/>
          <w:sz w:val="21"/>
          <w:szCs w:val="21"/>
          <w:vertAlign w:val="superscript"/>
        </w:rPr>
        <w:footnoteReference w:id="250"/>
      </w:r>
    </w:p>
    <w:p w14:paraId="2D6602A4">
      <w:pPr>
        <w:ind w:firstLine="1100" w:firstLineChars="500"/>
        <w:rPr>
          <w:rFonts w:eastAsia="宋体" w:cs="Times New Roman"/>
          <w:color w:val="000000"/>
          <w:sz w:val="21"/>
          <w:szCs w:val="21"/>
        </w:rPr>
      </w:pPr>
    </w:p>
    <w:p w14:paraId="3F2EF77D">
      <w:pPr>
        <w:ind w:firstLine="440" w:firstLineChars="200"/>
        <w:rPr>
          <w:rFonts w:eastAsia="宋体" w:cs="Times New Roman"/>
          <w:b/>
          <w:color w:val="000000"/>
          <w:sz w:val="21"/>
          <w:szCs w:val="21"/>
        </w:rPr>
      </w:pPr>
      <w:r>
        <w:rPr>
          <w:rFonts w:hint="eastAsia" w:eastAsia="宋体" w:cs="Times New Roman"/>
          <w:b/>
          <w:color w:val="000000"/>
          <w:sz w:val="21"/>
          <w:szCs w:val="21"/>
        </w:rPr>
        <w:t>2. 攫取国际通货膨胀税收益</w:t>
      </w:r>
    </w:p>
    <w:p w14:paraId="16AB32A6">
      <w:pPr>
        <w:ind w:firstLine="440" w:firstLineChars="200"/>
        <w:rPr>
          <w:rFonts w:eastAsia="宋体" w:cs="Times New Roman"/>
          <w:color w:val="000000"/>
          <w:sz w:val="21"/>
          <w:szCs w:val="21"/>
        </w:rPr>
      </w:pPr>
      <w:r>
        <w:rPr>
          <w:rFonts w:hint="eastAsia" w:eastAsia="宋体" w:cs="Times New Roman"/>
          <w:color w:val="000000"/>
          <w:sz w:val="21"/>
          <w:szCs w:val="21"/>
        </w:rPr>
        <w:t>如果本国货币不是世界本位货币，本币的贬值虽然可以促进本国商品的出口，但该国偿还同样数目的外债却需要出口更多数量的本国商品来换取，因此相应的外债负担却加重。而如果本国货币是世界本位货币，则本币的贬值既可以带来刺激出口的好处，又可以减轻该国的外债负担，相应的其它国家对世界本位货币国的债权（即外汇储备）却缩水。世界本位货币贬值相当于拥有世界本位货币的国家向非世界本位货币国家征收的一种税，因此，国际本位货币国通过本币的贬值获取的好处，也被称为“国际通货膨胀税”。</w:t>
      </w:r>
    </w:p>
    <w:p w14:paraId="36C91885">
      <w:pPr>
        <w:ind w:firstLine="440" w:firstLineChars="200"/>
        <w:rPr>
          <w:rFonts w:eastAsia="宋体" w:cs="Times New Roman"/>
          <w:color w:val="000000"/>
          <w:sz w:val="21"/>
          <w:szCs w:val="21"/>
        </w:rPr>
      </w:pPr>
      <w:r>
        <w:rPr>
          <w:rFonts w:hint="eastAsia" w:eastAsia="宋体" w:cs="Times New Roman"/>
          <w:color w:val="000000"/>
          <w:sz w:val="21"/>
          <w:szCs w:val="21"/>
        </w:rPr>
        <w:t>美国一方面通过贸易赤字在输入大量廉价实物资源和输出大量美元，同时又通过国内发达的金融市场输出金融资产（如美国国库券）吸收流出的美元回流到美国来为美国提供融资。这样美国基本保持了国际收支的平衡，但是国外拥有的美元资产毕竟对美国来说是一种负债。国外拥有这部分美元资产是一种债权，可以要求美国用实物资源来兑现。随着美国贸易赤字的积累，国外拥有的这部分债权也在积累，对于美国来说不断增加的国际债务也是一种隐性的负担。</w:t>
      </w:r>
      <w:r>
        <w:rPr>
          <w:rFonts w:eastAsia="宋体" w:cs="Times New Roman"/>
          <w:color w:val="000000"/>
          <w:sz w:val="21"/>
          <w:szCs w:val="21"/>
          <w:vertAlign w:val="superscript"/>
        </w:rPr>
        <w:footnoteReference w:id="251"/>
      </w:r>
      <w:r>
        <w:rPr>
          <w:rFonts w:hint="eastAsia" w:eastAsia="宋体" w:cs="Times New Roman"/>
          <w:color w:val="000000"/>
          <w:sz w:val="21"/>
          <w:szCs w:val="21"/>
        </w:rPr>
        <w:t>因此，美元的贬值就可以导致国外债权的缩水和美国债务的减轻。表2 和图3 显示了1967-2006 年1 盎司黄金的美元价格变化。虽然图3 显示的黄金的美元价格有所波动，但是从总体趋势上看黄金的美元价格趋于上升趋势。既然黄金的劳动生产率基本保持不变，那么美元的贬值是很明显的。从布雷顿森林体系（保持1 盎司黄（等于35 美元固定汇率）到2001 年（波（），美元贬值了87％</w:t>
      </w:r>
      <w:r>
        <w:rPr>
          <w:rFonts w:eastAsia="宋体" w:cs="Times New Roman"/>
          <w:color w:val="000000"/>
          <w:sz w:val="21"/>
          <w:szCs w:val="21"/>
          <w:vertAlign w:val="superscript"/>
        </w:rPr>
        <w:footnoteReference w:id="252"/>
      </w:r>
      <w:r>
        <w:rPr>
          <w:rFonts w:hint="eastAsia" w:eastAsia="宋体" w:cs="Times New Roman"/>
          <w:color w:val="000000"/>
          <w:sz w:val="21"/>
          <w:szCs w:val="21"/>
        </w:rPr>
        <w:t>，到2006 年美元贬值了94%。美元自从2001 年进入新一轮的贬值期以来仍然没有到达谷底，至2007 年11 月1 盎司的黄金价格已经超过800 美元。如果估定1967-2006 年美国的外债累计为3 万亿美元左右，那么通过美元贬值90%，美国因减轻外债负担而获取国际通货膨胀税为2.7 万亿美元，年均获益675 亿美元，而美国的债权国相应的总共损失2.7 万亿美元，年均损失675 亿美元。</w:t>
      </w:r>
    </w:p>
    <w:p w14:paraId="05049D85">
      <w:pPr>
        <w:rPr>
          <w:rFonts w:eastAsia="宋体" w:cs="Times New Roman"/>
          <w:color w:val="000000"/>
          <w:sz w:val="21"/>
          <w:szCs w:val="21"/>
        </w:rPr>
      </w:pPr>
    </w:p>
    <w:p w14:paraId="109AA006">
      <w:pPr>
        <w:ind w:firstLine="440" w:firstLineChars="200"/>
        <w:rPr>
          <w:rFonts w:eastAsia="宋体" w:cs="Times New Roman"/>
          <w:color w:val="000000"/>
          <w:sz w:val="21"/>
          <w:szCs w:val="21"/>
        </w:rPr>
      </w:pPr>
      <w:r>
        <w:rPr>
          <w:rFonts w:hint="eastAsia" w:eastAsia="宋体" w:cs="Times New Roman"/>
          <w:color w:val="000000"/>
          <w:sz w:val="21"/>
          <w:szCs w:val="21"/>
        </w:rPr>
        <w:t>表2 　　不同年份1 盎司黄金的美元价格 单位：美元</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48"/>
        <w:gridCol w:w="900"/>
        <w:gridCol w:w="794"/>
        <w:gridCol w:w="794"/>
        <w:gridCol w:w="794"/>
        <w:gridCol w:w="794"/>
        <w:gridCol w:w="794"/>
        <w:gridCol w:w="794"/>
        <w:gridCol w:w="794"/>
        <w:gridCol w:w="794"/>
        <w:gridCol w:w="794"/>
      </w:tblGrid>
      <w:tr w14:paraId="06EA1FCB">
        <w:trPr>
          <w:trHeight w:val="304" w:hRule="atLeast"/>
        </w:trPr>
        <w:tc>
          <w:tcPr>
            <w:tcW w:w="648" w:type="dxa"/>
          </w:tcPr>
          <w:p w14:paraId="2CA8BE87">
            <w:pPr>
              <w:rPr>
                <w:rFonts w:eastAsia="宋体" w:cs="Times New Roman"/>
                <w:color w:val="000000"/>
                <w:sz w:val="21"/>
                <w:szCs w:val="21"/>
              </w:rPr>
            </w:pPr>
            <w:r>
              <w:rPr>
                <w:rFonts w:hint="eastAsia" w:eastAsia="宋体" w:cs="Times New Roman"/>
                <w:color w:val="000000"/>
                <w:sz w:val="21"/>
                <w:szCs w:val="21"/>
              </w:rPr>
              <w:t>年份</w:t>
            </w:r>
          </w:p>
        </w:tc>
        <w:tc>
          <w:tcPr>
            <w:tcW w:w="900" w:type="dxa"/>
          </w:tcPr>
          <w:p w14:paraId="6D02EDB0">
            <w:pPr>
              <w:rPr>
                <w:rFonts w:eastAsia="宋体" w:cs="Times New Roman"/>
                <w:color w:val="000000"/>
                <w:sz w:val="21"/>
                <w:szCs w:val="21"/>
              </w:rPr>
            </w:pPr>
            <w:r>
              <w:rPr>
                <w:rFonts w:hint="eastAsia" w:eastAsia="宋体" w:cs="Times New Roman"/>
                <w:color w:val="000000"/>
                <w:sz w:val="21"/>
                <w:szCs w:val="21"/>
              </w:rPr>
              <w:t>1967</w:t>
            </w:r>
          </w:p>
        </w:tc>
        <w:tc>
          <w:tcPr>
            <w:tcW w:w="794" w:type="dxa"/>
          </w:tcPr>
          <w:p w14:paraId="46C5894B">
            <w:pPr>
              <w:rPr>
                <w:rFonts w:eastAsia="宋体" w:cs="Times New Roman"/>
                <w:color w:val="000000"/>
                <w:sz w:val="21"/>
                <w:szCs w:val="21"/>
              </w:rPr>
            </w:pPr>
            <w:r>
              <w:rPr>
                <w:rFonts w:hint="eastAsia" w:eastAsia="宋体" w:cs="Times New Roman"/>
                <w:color w:val="000000"/>
                <w:sz w:val="21"/>
                <w:szCs w:val="21"/>
              </w:rPr>
              <w:t>1968</w:t>
            </w:r>
          </w:p>
        </w:tc>
        <w:tc>
          <w:tcPr>
            <w:tcW w:w="794" w:type="dxa"/>
          </w:tcPr>
          <w:p w14:paraId="5B846944">
            <w:pPr>
              <w:rPr>
                <w:rFonts w:eastAsia="宋体" w:cs="Times New Roman"/>
                <w:color w:val="000000"/>
                <w:sz w:val="21"/>
                <w:szCs w:val="21"/>
              </w:rPr>
            </w:pPr>
            <w:r>
              <w:rPr>
                <w:rFonts w:hint="eastAsia" w:eastAsia="宋体" w:cs="Times New Roman"/>
                <w:color w:val="000000"/>
                <w:sz w:val="21"/>
                <w:szCs w:val="21"/>
              </w:rPr>
              <w:t>1969</w:t>
            </w:r>
          </w:p>
        </w:tc>
        <w:tc>
          <w:tcPr>
            <w:tcW w:w="794" w:type="dxa"/>
          </w:tcPr>
          <w:p w14:paraId="7E0FA27E">
            <w:pPr>
              <w:rPr>
                <w:rFonts w:eastAsia="宋体" w:cs="Times New Roman"/>
                <w:color w:val="000000"/>
                <w:sz w:val="21"/>
                <w:szCs w:val="21"/>
              </w:rPr>
            </w:pPr>
            <w:r>
              <w:rPr>
                <w:rFonts w:hint="eastAsia" w:eastAsia="宋体" w:cs="Times New Roman"/>
                <w:color w:val="000000"/>
                <w:sz w:val="21"/>
                <w:szCs w:val="21"/>
              </w:rPr>
              <w:t>1970</w:t>
            </w:r>
          </w:p>
        </w:tc>
        <w:tc>
          <w:tcPr>
            <w:tcW w:w="794" w:type="dxa"/>
          </w:tcPr>
          <w:p w14:paraId="2BE0E67C">
            <w:pPr>
              <w:rPr>
                <w:rFonts w:eastAsia="宋体" w:cs="Times New Roman"/>
                <w:color w:val="000000"/>
                <w:sz w:val="21"/>
                <w:szCs w:val="21"/>
              </w:rPr>
            </w:pPr>
            <w:r>
              <w:rPr>
                <w:rFonts w:hint="eastAsia" w:eastAsia="宋体" w:cs="Times New Roman"/>
                <w:color w:val="000000"/>
                <w:sz w:val="21"/>
                <w:szCs w:val="21"/>
              </w:rPr>
              <w:t>1971</w:t>
            </w:r>
          </w:p>
        </w:tc>
        <w:tc>
          <w:tcPr>
            <w:tcW w:w="794" w:type="dxa"/>
          </w:tcPr>
          <w:p w14:paraId="0B6FCAC8">
            <w:pPr>
              <w:rPr>
                <w:rFonts w:eastAsia="宋体" w:cs="Times New Roman"/>
                <w:color w:val="000000"/>
                <w:sz w:val="21"/>
                <w:szCs w:val="21"/>
              </w:rPr>
            </w:pPr>
            <w:r>
              <w:rPr>
                <w:rFonts w:hint="eastAsia" w:eastAsia="宋体" w:cs="Times New Roman"/>
                <w:color w:val="000000"/>
                <w:sz w:val="21"/>
                <w:szCs w:val="21"/>
              </w:rPr>
              <w:t>1972</w:t>
            </w:r>
          </w:p>
        </w:tc>
        <w:tc>
          <w:tcPr>
            <w:tcW w:w="794" w:type="dxa"/>
          </w:tcPr>
          <w:p w14:paraId="48D5E58A">
            <w:pPr>
              <w:rPr>
                <w:rFonts w:eastAsia="宋体" w:cs="Times New Roman"/>
                <w:color w:val="000000"/>
                <w:sz w:val="21"/>
                <w:szCs w:val="21"/>
              </w:rPr>
            </w:pPr>
            <w:r>
              <w:rPr>
                <w:rFonts w:hint="eastAsia" w:eastAsia="宋体" w:cs="Times New Roman"/>
                <w:color w:val="000000"/>
                <w:sz w:val="21"/>
                <w:szCs w:val="21"/>
              </w:rPr>
              <w:t>1973</w:t>
            </w:r>
          </w:p>
        </w:tc>
        <w:tc>
          <w:tcPr>
            <w:tcW w:w="794" w:type="dxa"/>
          </w:tcPr>
          <w:p w14:paraId="51BA313C">
            <w:pPr>
              <w:rPr>
                <w:rFonts w:eastAsia="宋体" w:cs="Times New Roman"/>
                <w:color w:val="000000"/>
                <w:sz w:val="21"/>
                <w:szCs w:val="21"/>
              </w:rPr>
            </w:pPr>
            <w:r>
              <w:rPr>
                <w:rFonts w:hint="eastAsia" w:eastAsia="宋体" w:cs="Times New Roman"/>
                <w:color w:val="000000"/>
                <w:sz w:val="21"/>
                <w:szCs w:val="21"/>
              </w:rPr>
              <w:t>1974</w:t>
            </w:r>
          </w:p>
        </w:tc>
        <w:tc>
          <w:tcPr>
            <w:tcW w:w="794" w:type="dxa"/>
          </w:tcPr>
          <w:p w14:paraId="6A1C24BC">
            <w:pPr>
              <w:rPr>
                <w:rFonts w:eastAsia="宋体" w:cs="Times New Roman"/>
                <w:color w:val="000000"/>
                <w:sz w:val="21"/>
                <w:szCs w:val="21"/>
              </w:rPr>
            </w:pPr>
            <w:r>
              <w:rPr>
                <w:rFonts w:hint="eastAsia" w:eastAsia="宋体" w:cs="Times New Roman"/>
                <w:color w:val="000000"/>
                <w:sz w:val="21"/>
                <w:szCs w:val="21"/>
              </w:rPr>
              <w:t>1975</w:t>
            </w:r>
          </w:p>
        </w:tc>
        <w:tc>
          <w:tcPr>
            <w:tcW w:w="794" w:type="dxa"/>
          </w:tcPr>
          <w:p w14:paraId="3D5961F3">
            <w:pPr>
              <w:rPr>
                <w:rFonts w:eastAsia="宋体" w:cs="Times New Roman"/>
                <w:color w:val="000000"/>
                <w:sz w:val="21"/>
                <w:szCs w:val="21"/>
              </w:rPr>
            </w:pPr>
            <w:r>
              <w:rPr>
                <w:rFonts w:hint="eastAsia" w:eastAsia="宋体" w:cs="Times New Roman"/>
                <w:color w:val="000000"/>
                <w:sz w:val="21"/>
                <w:szCs w:val="21"/>
              </w:rPr>
              <w:t>1976</w:t>
            </w:r>
          </w:p>
        </w:tc>
      </w:tr>
      <w:tr w14:paraId="330FE01F">
        <w:tc>
          <w:tcPr>
            <w:tcW w:w="648" w:type="dxa"/>
          </w:tcPr>
          <w:p w14:paraId="616419D1">
            <w:pPr>
              <w:rPr>
                <w:rFonts w:eastAsia="宋体" w:cs="Times New Roman"/>
                <w:color w:val="000000"/>
                <w:sz w:val="21"/>
                <w:szCs w:val="21"/>
              </w:rPr>
            </w:pPr>
            <w:r>
              <w:rPr>
                <w:rFonts w:hint="eastAsia" w:eastAsia="宋体" w:cs="Times New Roman"/>
                <w:color w:val="000000"/>
                <w:sz w:val="21"/>
                <w:szCs w:val="21"/>
              </w:rPr>
              <w:t>金价</w:t>
            </w:r>
          </w:p>
        </w:tc>
        <w:tc>
          <w:tcPr>
            <w:tcW w:w="900" w:type="dxa"/>
          </w:tcPr>
          <w:p w14:paraId="533C7923">
            <w:pPr>
              <w:rPr>
                <w:rFonts w:eastAsia="宋体" w:cs="Times New Roman"/>
                <w:color w:val="000000"/>
                <w:sz w:val="21"/>
                <w:szCs w:val="21"/>
              </w:rPr>
            </w:pPr>
            <w:r>
              <w:rPr>
                <w:rFonts w:hint="eastAsia" w:eastAsia="宋体" w:cs="Times New Roman"/>
                <w:color w:val="000000"/>
                <w:sz w:val="21"/>
                <w:szCs w:val="21"/>
              </w:rPr>
              <w:t>35.00</w:t>
            </w:r>
          </w:p>
        </w:tc>
        <w:tc>
          <w:tcPr>
            <w:tcW w:w="794" w:type="dxa"/>
          </w:tcPr>
          <w:p w14:paraId="15274141">
            <w:pPr>
              <w:rPr>
                <w:rFonts w:eastAsia="宋体" w:cs="Times New Roman"/>
                <w:color w:val="000000"/>
                <w:sz w:val="21"/>
                <w:szCs w:val="21"/>
              </w:rPr>
            </w:pPr>
            <w:r>
              <w:rPr>
                <w:rFonts w:hint="eastAsia" w:eastAsia="宋体" w:cs="Times New Roman"/>
                <w:color w:val="000000"/>
                <w:sz w:val="21"/>
                <w:szCs w:val="21"/>
              </w:rPr>
              <w:t>39.94</w:t>
            </w:r>
          </w:p>
        </w:tc>
        <w:tc>
          <w:tcPr>
            <w:tcW w:w="794" w:type="dxa"/>
          </w:tcPr>
          <w:p w14:paraId="4FF655B2">
            <w:pPr>
              <w:rPr>
                <w:rFonts w:eastAsia="宋体" w:cs="Times New Roman"/>
                <w:color w:val="000000"/>
                <w:sz w:val="21"/>
                <w:szCs w:val="21"/>
              </w:rPr>
            </w:pPr>
            <w:r>
              <w:rPr>
                <w:rFonts w:hint="eastAsia" w:eastAsia="宋体" w:cs="Times New Roman"/>
                <w:color w:val="000000"/>
                <w:sz w:val="21"/>
                <w:szCs w:val="21"/>
              </w:rPr>
              <w:t>40.76</w:t>
            </w:r>
          </w:p>
        </w:tc>
        <w:tc>
          <w:tcPr>
            <w:tcW w:w="794" w:type="dxa"/>
          </w:tcPr>
          <w:p w14:paraId="60F609E0">
            <w:pPr>
              <w:rPr>
                <w:rFonts w:eastAsia="宋体" w:cs="Times New Roman"/>
                <w:color w:val="000000"/>
                <w:sz w:val="21"/>
                <w:szCs w:val="21"/>
              </w:rPr>
            </w:pPr>
            <w:r>
              <w:rPr>
                <w:rFonts w:hint="eastAsia" w:eastAsia="宋体" w:cs="Times New Roman"/>
                <w:color w:val="000000"/>
                <w:sz w:val="21"/>
                <w:szCs w:val="21"/>
              </w:rPr>
              <w:t>36.07</w:t>
            </w:r>
          </w:p>
        </w:tc>
        <w:tc>
          <w:tcPr>
            <w:tcW w:w="794" w:type="dxa"/>
          </w:tcPr>
          <w:p w14:paraId="029AF40F">
            <w:pPr>
              <w:rPr>
                <w:rFonts w:eastAsia="宋体" w:cs="Times New Roman"/>
                <w:color w:val="000000"/>
                <w:sz w:val="21"/>
                <w:szCs w:val="21"/>
              </w:rPr>
            </w:pPr>
            <w:r>
              <w:rPr>
                <w:rFonts w:hint="eastAsia" w:eastAsia="宋体" w:cs="Times New Roman"/>
                <w:color w:val="000000"/>
                <w:sz w:val="21"/>
                <w:szCs w:val="21"/>
              </w:rPr>
              <w:t>41.17</w:t>
            </w:r>
          </w:p>
        </w:tc>
        <w:tc>
          <w:tcPr>
            <w:tcW w:w="794" w:type="dxa"/>
          </w:tcPr>
          <w:p w14:paraId="571DB2E6">
            <w:pPr>
              <w:rPr>
                <w:rFonts w:eastAsia="宋体" w:cs="Times New Roman"/>
                <w:color w:val="000000"/>
                <w:sz w:val="21"/>
                <w:szCs w:val="21"/>
              </w:rPr>
            </w:pPr>
            <w:r>
              <w:rPr>
                <w:rFonts w:hint="eastAsia" w:eastAsia="宋体" w:cs="Times New Roman"/>
                <w:color w:val="000000"/>
                <w:sz w:val="21"/>
                <w:szCs w:val="21"/>
              </w:rPr>
              <w:t>59.00</w:t>
            </w:r>
          </w:p>
        </w:tc>
        <w:tc>
          <w:tcPr>
            <w:tcW w:w="794" w:type="dxa"/>
          </w:tcPr>
          <w:p w14:paraId="5F4F0F4E">
            <w:pPr>
              <w:rPr>
                <w:rFonts w:eastAsia="宋体" w:cs="Times New Roman"/>
                <w:color w:val="000000"/>
                <w:sz w:val="21"/>
                <w:szCs w:val="21"/>
              </w:rPr>
            </w:pPr>
            <w:r>
              <w:rPr>
                <w:rFonts w:hint="eastAsia" w:eastAsia="宋体" w:cs="Times New Roman"/>
                <w:color w:val="000000"/>
                <w:sz w:val="21"/>
                <w:szCs w:val="21"/>
              </w:rPr>
              <w:t>97.84</w:t>
            </w:r>
          </w:p>
        </w:tc>
        <w:tc>
          <w:tcPr>
            <w:tcW w:w="794" w:type="dxa"/>
          </w:tcPr>
          <w:p w14:paraId="5A59B0F1">
            <w:pPr>
              <w:rPr>
                <w:rFonts w:eastAsia="宋体" w:cs="Times New Roman"/>
                <w:color w:val="000000"/>
                <w:sz w:val="21"/>
                <w:szCs w:val="21"/>
              </w:rPr>
            </w:pPr>
            <w:r>
              <w:rPr>
                <w:rFonts w:hint="eastAsia" w:eastAsia="宋体" w:cs="Times New Roman"/>
                <w:color w:val="000000"/>
                <w:sz w:val="21"/>
                <w:szCs w:val="21"/>
              </w:rPr>
              <w:t>158.96</w:t>
            </w:r>
          </w:p>
        </w:tc>
        <w:tc>
          <w:tcPr>
            <w:tcW w:w="794" w:type="dxa"/>
          </w:tcPr>
          <w:p w14:paraId="15DEABD1">
            <w:pPr>
              <w:rPr>
                <w:rFonts w:eastAsia="宋体" w:cs="Times New Roman"/>
                <w:color w:val="000000"/>
                <w:sz w:val="21"/>
                <w:szCs w:val="21"/>
              </w:rPr>
            </w:pPr>
            <w:r>
              <w:rPr>
                <w:rFonts w:hint="eastAsia" w:eastAsia="宋体" w:cs="Times New Roman"/>
                <w:color w:val="000000"/>
                <w:sz w:val="21"/>
                <w:szCs w:val="21"/>
              </w:rPr>
              <w:t>160.91</w:t>
            </w:r>
          </w:p>
        </w:tc>
        <w:tc>
          <w:tcPr>
            <w:tcW w:w="794" w:type="dxa"/>
          </w:tcPr>
          <w:p w14:paraId="6B9CFEFE">
            <w:pPr>
              <w:rPr>
                <w:rFonts w:eastAsia="宋体" w:cs="Times New Roman"/>
                <w:color w:val="000000"/>
                <w:sz w:val="21"/>
                <w:szCs w:val="21"/>
              </w:rPr>
            </w:pPr>
            <w:r>
              <w:rPr>
                <w:rFonts w:hint="eastAsia" w:eastAsia="宋体" w:cs="Times New Roman"/>
                <w:color w:val="000000"/>
                <w:sz w:val="21"/>
                <w:szCs w:val="21"/>
              </w:rPr>
              <w:t>124.71</w:t>
            </w:r>
          </w:p>
        </w:tc>
      </w:tr>
      <w:tr w14:paraId="20A9536A">
        <w:tc>
          <w:tcPr>
            <w:tcW w:w="648" w:type="dxa"/>
          </w:tcPr>
          <w:p w14:paraId="7347F230">
            <w:pPr>
              <w:rPr>
                <w:rFonts w:eastAsia="宋体" w:cs="Times New Roman"/>
                <w:color w:val="000000"/>
                <w:sz w:val="21"/>
                <w:szCs w:val="21"/>
              </w:rPr>
            </w:pPr>
            <w:r>
              <w:rPr>
                <w:rFonts w:hint="eastAsia" w:eastAsia="宋体" w:cs="Times New Roman"/>
                <w:color w:val="000000"/>
                <w:sz w:val="21"/>
                <w:szCs w:val="21"/>
              </w:rPr>
              <w:t>年份</w:t>
            </w:r>
          </w:p>
        </w:tc>
        <w:tc>
          <w:tcPr>
            <w:tcW w:w="900" w:type="dxa"/>
          </w:tcPr>
          <w:p w14:paraId="77FF4D5D">
            <w:pPr>
              <w:rPr>
                <w:rFonts w:eastAsia="宋体" w:cs="Times New Roman"/>
                <w:color w:val="000000"/>
                <w:sz w:val="21"/>
                <w:szCs w:val="21"/>
              </w:rPr>
            </w:pPr>
            <w:r>
              <w:rPr>
                <w:rFonts w:hint="eastAsia" w:eastAsia="宋体" w:cs="Times New Roman"/>
                <w:color w:val="000000"/>
                <w:sz w:val="21"/>
                <w:szCs w:val="21"/>
              </w:rPr>
              <w:t>1977</w:t>
            </w:r>
          </w:p>
        </w:tc>
        <w:tc>
          <w:tcPr>
            <w:tcW w:w="794" w:type="dxa"/>
          </w:tcPr>
          <w:p w14:paraId="7E772917">
            <w:pPr>
              <w:rPr>
                <w:rFonts w:eastAsia="宋体" w:cs="Times New Roman"/>
                <w:color w:val="000000"/>
                <w:sz w:val="21"/>
                <w:szCs w:val="21"/>
              </w:rPr>
            </w:pPr>
            <w:r>
              <w:rPr>
                <w:rFonts w:hint="eastAsia" w:eastAsia="宋体" w:cs="Times New Roman"/>
                <w:color w:val="000000"/>
                <w:sz w:val="21"/>
                <w:szCs w:val="21"/>
              </w:rPr>
              <w:t>1978</w:t>
            </w:r>
          </w:p>
        </w:tc>
        <w:tc>
          <w:tcPr>
            <w:tcW w:w="794" w:type="dxa"/>
          </w:tcPr>
          <w:p w14:paraId="7F9799B4">
            <w:pPr>
              <w:rPr>
                <w:rFonts w:eastAsia="宋体" w:cs="Times New Roman"/>
                <w:color w:val="000000"/>
                <w:sz w:val="21"/>
                <w:szCs w:val="21"/>
              </w:rPr>
            </w:pPr>
            <w:r>
              <w:rPr>
                <w:rFonts w:hint="eastAsia" w:eastAsia="宋体" w:cs="Times New Roman"/>
                <w:color w:val="000000"/>
                <w:sz w:val="21"/>
                <w:szCs w:val="21"/>
              </w:rPr>
              <w:t>1979</w:t>
            </w:r>
          </w:p>
        </w:tc>
        <w:tc>
          <w:tcPr>
            <w:tcW w:w="794" w:type="dxa"/>
          </w:tcPr>
          <w:p w14:paraId="3BEEA03B">
            <w:pPr>
              <w:rPr>
                <w:rFonts w:eastAsia="宋体" w:cs="Times New Roman"/>
                <w:color w:val="000000"/>
                <w:sz w:val="21"/>
                <w:szCs w:val="21"/>
              </w:rPr>
            </w:pPr>
            <w:r>
              <w:rPr>
                <w:rFonts w:hint="eastAsia" w:eastAsia="宋体" w:cs="Times New Roman"/>
                <w:color w:val="000000"/>
                <w:sz w:val="21"/>
                <w:szCs w:val="21"/>
              </w:rPr>
              <w:t>1980</w:t>
            </w:r>
          </w:p>
        </w:tc>
        <w:tc>
          <w:tcPr>
            <w:tcW w:w="794" w:type="dxa"/>
          </w:tcPr>
          <w:p w14:paraId="54479321">
            <w:pPr>
              <w:rPr>
                <w:rFonts w:eastAsia="宋体" w:cs="Times New Roman"/>
                <w:color w:val="000000"/>
                <w:sz w:val="21"/>
                <w:szCs w:val="21"/>
              </w:rPr>
            </w:pPr>
            <w:r>
              <w:rPr>
                <w:rFonts w:hint="eastAsia" w:eastAsia="宋体" w:cs="Times New Roman"/>
                <w:color w:val="000000"/>
                <w:sz w:val="21"/>
                <w:szCs w:val="21"/>
              </w:rPr>
              <w:t>1981</w:t>
            </w:r>
          </w:p>
        </w:tc>
        <w:tc>
          <w:tcPr>
            <w:tcW w:w="794" w:type="dxa"/>
          </w:tcPr>
          <w:p w14:paraId="0488491E">
            <w:pPr>
              <w:rPr>
                <w:rFonts w:eastAsia="宋体" w:cs="Times New Roman"/>
                <w:color w:val="000000"/>
                <w:sz w:val="21"/>
                <w:szCs w:val="21"/>
              </w:rPr>
            </w:pPr>
            <w:r>
              <w:rPr>
                <w:rFonts w:hint="eastAsia" w:eastAsia="宋体" w:cs="Times New Roman"/>
                <w:color w:val="000000"/>
                <w:sz w:val="21"/>
                <w:szCs w:val="21"/>
              </w:rPr>
              <w:t>1982</w:t>
            </w:r>
          </w:p>
        </w:tc>
        <w:tc>
          <w:tcPr>
            <w:tcW w:w="794" w:type="dxa"/>
          </w:tcPr>
          <w:p w14:paraId="557F3C52">
            <w:pPr>
              <w:rPr>
                <w:rFonts w:eastAsia="宋体" w:cs="Times New Roman"/>
                <w:color w:val="000000"/>
                <w:sz w:val="21"/>
                <w:szCs w:val="21"/>
              </w:rPr>
            </w:pPr>
            <w:r>
              <w:rPr>
                <w:rFonts w:hint="eastAsia" w:eastAsia="宋体" w:cs="Times New Roman"/>
                <w:color w:val="000000"/>
                <w:sz w:val="21"/>
                <w:szCs w:val="21"/>
              </w:rPr>
              <w:t>1983</w:t>
            </w:r>
          </w:p>
        </w:tc>
        <w:tc>
          <w:tcPr>
            <w:tcW w:w="794" w:type="dxa"/>
          </w:tcPr>
          <w:p w14:paraId="74E06F8B">
            <w:pPr>
              <w:rPr>
                <w:rFonts w:eastAsia="宋体" w:cs="Times New Roman"/>
                <w:color w:val="000000"/>
                <w:sz w:val="21"/>
                <w:szCs w:val="21"/>
              </w:rPr>
            </w:pPr>
            <w:r>
              <w:rPr>
                <w:rFonts w:hint="eastAsia" w:eastAsia="宋体" w:cs="Times New Roman"/>
                <w:color w:val="000000"/>
                <w:sz w:val="21"/>
                <w:szCs w:val="21"/>
              </w:rPr>
              <w:t>1984</w:t>
            </w:r>
          </w:p>
        </w:tc>
        <w:tc>
          <w:tcPr>
            <w:tcW w:w="794" w:type="dxa"/>
          </w:tcPr>
          <w:p w14:paraId="31F2F033">
            <w:pPr>
              <w:rPr>
                <w:rFonts w:eastAsia="宋体" w:cs="Times New Roman"/>
                <w:color w:val="000000"/>
                <w:sz w:val="21"/>
                <w:szCs w:val="21"/>
              </w:rPr>
            </w:pPr>
            <w:r>
              <w:rPr>
                <w:rFonts w:hint="eastAsia" w:eastAsia="宋体" w:cs="Times New Roman"/>
                <w:color w:val="000000"/>
                <w:sz w:val="21"/>
                <w:szCs w:val="21"/>
              </w:rPr>
              <w:t>1985</w:t>
            </w:r>
          </w:p>
        </w:tc>
        <w:tc>
          <w:tcPr>
            <w:tcW w:w="794" w:type="dxa"/>
          </w:tcPr>
          <w:p w14:paraId="36D51BC0">
            <w:pPr>
              <w:rPr>
                <w:rFonts w:eastAsia="宋体" w:cs="Times New Roman"/>
                <w:color w:val="000000"/>
                <w:sz w:val="21"/>
                <w:szCs w:val="21"/>
              </w:rPr>
            </w:pPr>
            <w:r>
              <w:rPr>
                <w:rFonts w:hint="eastAsia" w:eastAsia="宋体" w:cs="Times New Roman"/>
                <w:color w:val="000000"/>
                <w:sz w:val="21"/>
                <w:szCs w:val="21"/>
              </w:rPr>
              <w:t>1986</w:t>
            </w:r>
          </w:p>
        </w:tc>
      </w:tr>
      <w:tr w14:paraId="03747F3F">
        <w:tc>
          <w:tcPr>
            <w:tcW w:w="648" w:type="dxa"/>
          </w:tcPr>
          <w:p w14:paraId="1EC1E75C">
            <w:pPr>
              <w:rPr>
                <w:rFonts w:eastAsia="宋体" w:cs="Times New Roman"/>
                <w:color w:val="000000"/>
                <w:sz w:val="21"/>
                <w:szCs w:val="21"/>
              </w:rPr>
            </w:pPr>
            <w:r>
              <w:rPr>
                <w:rFonts w:hint="eastAsia" w:eastAsia="宋体" w:cs="Times New Roman"/>
                <w:color w:val="000000"/>
                <w:sz w:val="21"/>
                <w:szCs w:val="21"/>
              </w:rPr>
              <w:t>金价</w:t>
            </w:r>
          </w:p>
        </w:tc>
        <w:tc>
          <w:tcPr>
            <w:tcW w:w="900" w:type="dxa"/>
          </w:tcPr>
          <w:p w14:paraId="41FC11AD">
            <w:pPr>
              <w:rPr>
                <w:rFonts w:eastAsia="宋体" w:cs="Times New Roman"/>
                <w:color w:val="000000"/>
                <w:sz w:val="21"/>
                <w:szCs w:val="21"/>
              </w:rPr>
            </w:pPr>
            <w:r>
              <w:rPr>
                <w:rFonts w:hint="eastAsia" w:eastAsia="宋体" w:cs="Times New Roman"/>
                <w:color w:val="000000"/>
                <w:sz w:val="21"/>
                <w:szCs w:val="21"/>
              </w:rPr>
              <w:t>147.78</w:t>
            </w:r>
          </w:p>
        </w:tc>
        <w:tc>
          <w:tcPr>
            <w:tcW w:w="794" w:type="dxa"/>
          </w:tcPr>
          <w:p w14:paraId="1EE5CC4B">
            <w:pPr>
              <w:rPr>
                <w:rFonts w:eastAsia="宋体" w:cs="Times New Roman"/>
                <w:color w:val="000000"/>
                <w:sz w:val="21"/>
                <w:szCs w:val="21"/>
              </w:rPr>
            </w:pPr>
            <w:r>
              <w:rPr>
                <w:rFonts w:hint="eastAsia" w:eastAsia="宋体" w:cs="Times New Roman"/>
                <w:color w:val="000000"/>
                <w:sz w:val="21"/>
                <w:szCs w:val="21"/>
              </w:rPr>
              <w:t>193.39</w:t>
            </w:r>
          </w:p>
        </w:tc>
        <w:tc>
          <w:tcPr>
            <w:tcW w:w="794" w:type="dxa"/>
          </w:tcPr>
          <w:p w14:paraId="7809E64C">
            <w:pPr>
              <w:rPr>
                <w:rFonts w:eastAsia="宋体" w:cs="Times New Roman"/>
                <w:color w:val="000000"/>
                <w:sz w:val="21"/>
                <w:szCs w:val="21"/>
              </w:rPr>
            </w:pPr>
            <w:r>
              <w:rPr>
                <w:rFonts w:hint="eastAsia" w:eastAsia="宋体" w:cs="Times New Roman"/>
                <w:color w:val="000000"/>
                <w:sz w:val="21"/>
                <w:szCs w:val="21"/>
              </w:rPr>
              <w:t>304.83</w:t>
            </w:r>
          </w:p>
        </w:tc>
        <w:tc>
          <w:tcPr>
            <w:tcW w:w="794" w:type="dxa"/>
          </w:tcPr>
          <w:p w14:paraId="4F16307E">
            <w:pPr>
              <w:rPr>
                <w:rFonts w:eastAsia="宋体" w:cs="Times New Roman"/>
                <w:color w:val="000000"/>
                <w:sz w:val="21"/>
                <w:szCs w:val="21"/>
              </w:rPr>
            </w:pPr>
            <w:r>
              <w:rPr>
                <w:rFonts w:hint="eastAsia" w:eastAsia="宋体" w:cs="Times New Roman"/>
                <w:color w:val="000000"/>
                <w:sz w:val="21"/>
                <w:szCs w:val="21"/>
              </w:rPr>
              <w:t>616.61</w:t>
            </w:r>
          </w:p>
        </w:tc>
        <w:tc>
          <w:tcPr>
            <w:tcW w:w="794" w:type="dxa"/>
          </w:tcPr>
          <w:p w14:paraId="72AE9737">
            <w:pPr>
              <w:rPr>
                <w:rFonts w:eastAsia="宋体" w:cs="Times New Roman"/>
                <w:color w:val="000000"/>
                <w:sz w:val="21"/>
                <w:szCs w:val="21"/>
              </w:rPr>
            </w:pPr>
            <w:r>
              <w:rPr>
                <w:rFonts w:hint="eastAsia" w:eastAsia="宋体" w:cs="Times New Roman"/>
                <w:color w:val="000000"/>
                <w:sz w:val="21"/>
                <w:szCs w:val="21"/>
              </w:rPr>
              <w:t>459.26</w:t>
            </w:r>
          </w:p>
        </w:tc>
        <w:tc>
          <w:tcPr>
            <w:tcW w:w="794" w:type="dxa"/>
          </w:tcPr>
          <w:p w14:paraId="12E3DC58">
            <w:pPr>
              <w:rPr>
                <w:rFonts w:eastAsia="宋体" w:cs="Times New Roman"/>
                <w:color w:val="000000"/>
                <w:sz w:val="21"/>
                <w:szCs w:val="21"/>
              </w:rPr>
            </w:pPr>
            <w:r>
              <w:rPr>
                <w:rFonts w:hint="eastAsia" w:eastAsia="宋体" w:cs="Times New Roman"/>
                <w:color w:val="000000"/>
                <w:sz w:val="21"/>
                <w:szCs w:val="21"/>
              </w:rPr>
              <w:t>375.28</w:t>
            </w:r>
          </w:p>
        </w:tc>
        <w:tc>
          <w:tcPr>
            <w:tcW w:w="794" w:type="dxa"/>
          </w:tcPr>
          <w:p w14:paraId="4FD7CA7D">
            <w:pPr>
              <w:rPr>
                <w:rFonts w:eastAsia="宋体" w:cs="Times New Roman"/>
                <w:color w:val="000000"/>
                <w:sz w:val="21"/>
                <w:szCs w:val="21"/>
              </w:rPr>
            </w:pPr>
            <w:r>
              <w:rPr>
                <w:rFonts w:hint="eastAsia" w:eastAsia="宋体" w:cs="Times New Roman"/>
                <w:color w:val="000000"/>
                <w:sz w:val="21"/>
                <w:szCs w:val="21"/>
              </w:rPr>
              <w:t>423.61</w:t>
            </w:r>
          </w:p>
        </w:tc>
        <w:tc>
          <w:tcPr>
            <w:tcW w:w="794" w:type="dxa"/>
          </w:tcPr>
          <w:p w14:paraId="127F31C1">
            <w:pPr>
              <w:rPr>
                <w:rFonts w:eastAsia="宋体" w:cs="Times New Roman"/>
                <w:color w:val="000000"/>
                <w:sz w:val="21"/>
                <w:szCs w:val="21"/>
              </w:rPr>
            </w:pPr>
            <w:r>
              <w:rPr>
                <w:rFonts w:hint="eastAsia" w:eastAsia="宋体" w:cs="Times New Roman"/>
                <w:color w:val="000000"/>
                <w:sz w:val="21"/>
                <w:szCs w:val="21"/>
              </w:rPr>
              <w:t>360.50</w:t>
            </w:r>
          </w:p>
        </w:tc>
        <w:tc>
          <w:tcPr>
            <w:tcW w:w="794" w:type="dxa"/>
          </w:tcPr>
          <w:p w14:paraId="5AFCBC5A">
            <w:pPr>
              <w:rPr>
                <w:rFonts w:eastAsia="宋体" w:cs="Times New Roman"/>
                <w:color w:val="000000"/>
                <w:sz w:val="21"/>
                <w:szCs w:val="21"/>
              </w:rPr>
            </w:pPr>
            <w:r>
              <w:rPr>
                <w:rFonts w:hint="eastAsia" w:eastAsia="宋体" w:cs="Times New Roman"/>
                <w:color w:val="000000"/>
                <w:sz w:val="21"/>
                <w:szCs w:val="21"/>
              </w:rPr>
              <w:t>317.18</w:t>
            </w:r>
          </w:p>
        </w:tc>
        <w:tc>
          <w:tcPr>
            <w:tcW w:w="794" w:type="dxa"/>
          </w:tcPr>
          <w:p w14:paraId="07A5A765">
            <w:pPr>
              <w:rPr>
                <w:rFonts w:eastAsia="宋体" w:cs="Times New Roman"/>
                <w:color w:val="000000"/>
                <w:sz w:val="21"/>
                <w:szCs w:val="21"/>
              </w:rPr>
            </w:pPr>
            <w:r>
              <w:rPr>
                <w:rFonts w:hint="eastAsia" w:eastAsia="宋体" w:cs="Times New Roman"/>
                <w:color w:val="000000"/>
                <w:sz w:val="21"/>
                <w:szCs w:val="21"/>
              </w:rPr>
              <w:t>367.72</w:t>
            </w:r>
          </w:p>
        </w:tc>
      </w:tr>
      <w:tr w14:paraId="6604C420">
        <w:tc>
          <w:tcPr>
            <w:tcW w:w="648" w:type="dxa"/>
          </w:tcPr>
          <w:p w14:paraId="490628C6">
            <w:pPr>
              <w:rPr>
                <w:rFonts w:eastAsia="宋体" w:cs="Times New Roman"/>
                <w:color w:val="000000"/>
                <w:sz w:val="21"/>
                <w:szCs w:val="21"/>
              </w:rPr>
            </w:pPr>
            <w:r>
              <w:rPr>
                <w:rFonts w:hint="eastAsia" w:eastAsia="宋体" w:cs="Times New Roman"/>
                <w:color w:val="000000"/>
                <w:sz w:val="21"/>
                <w:szCs w:val="21"/>
              </w:rPr>
              <w:t>年份</w:t>
            </w:r>
          </w:p>
        </w:tc>
        <w:tc>
          <w:tcPr>
            <w:tcW w:w="900" w:type="dxa"/>
          </w:tcPr>
          <w:p w14:paraId="39BACA7C">
            <w:pPr>
              <w:rPr>
                <w:rFonts w:eastAsia="宋体" w:cs="Times New Roman"/>
                <w:color w:val="000000"/>
                <w:sz w:val="21"/>
                <w:szCs w:val="21"/>
              </w:rPr>
            </w:pPr>
            <w:r>
              <w:rPr>
                <w:rFonts w:hint="eastAsia" w:eastAsia="宋体" w:cs="Times New Roman"/>
                <w:color w:val="000000"/>
                <w:sz w:val="21"/>
                <w:szCs w:val="21"/>
              </w:rPr>
              <w:t>1987</w:t>
            </w:r>
          </w:p>
        </w:tc>
        <w:tc>
          <w:tcPr>
            <w:tcW w:w="794" w:type="dxa"/>
          </w:tcPr>
          <w:p w14:paraId="094F4861">
            <w:pPr>
              <w:rPr>
                <w:rFonts w:eastAsia="宋体" w:cs="Times New Roman"/>
                <w:color w:val="000000"/>
                <w:sz w:val="21"/>
                <w:szCs w:val="21"/>
              </w:rPr>
            </w:pPr>
            <w:r>
              <w:rPr>
                <w:rFonts w:hint="eastAsia" w:eastAsia="宋体" w:cs="Times New Roman"/>
                <w:color w:val="000000"/>
                <w:sz w:val="21"/>
                <w:szCs w:val="21"/>
              </w:rPr>
              <w:t>1988</w:t>
            </w:r>
          </w:p>
        </w:tc>
        <w:tc>
          <w:tcPr>
            <w:tcW w:w="794" w:type="dxa"/>
          </w:tcPr>
          <w:p w14:paraId="2076AC90">
            <w:pPr>
              <w:rPr>
                <w:rFonts w:eastAsia="宋体" w:cs="Times New Roman"/>
                <w:color w:val="000000"/>
                <w:sz w:val="21"/>
                <w:szCs w:val="21"/>
              </w:rPr>
            </w:pPr>
            <w:r>
              <w:rPr>
                <w:rFonts w:hint="eastAsia" w:eastAsia="宋体" w:cs="Times New Roman"/>
                <w:color w:val="000000"/>
                <w:sz w:val="21"/>
                <w:szCs w:val="21"/>
              </w:rPr>
              <w:t>1989</w:t>
            </w:r>
          </w:p>
        </w:tc>
        <w:tc>
          <w:tcPr>
            <w:tcW w:w="794" w:type="dxa"/>
          </w:tcPr>
          <w:p w14:paraId="23B40E56">
            <w:pPr>
              <w:rPr>
                <w:rFonts w:eastAsia="宋体" w:cs="Times New Roman"/>
                <w:color w:val="000000"/>
                <w:sz w:val="21"/>
                <w:szCs w:val="21"/>
              </w:rPr>
            </w:pPr>
            <w:r>
              <w:rPr>
                <w:rFonts w:hint="eastAsia" w:eastAsia="宋体" w:cs="Times New Roman"/>
                <w:color w:val="000000"/>
                <w:sz w:val="21"/>
                <w:szCs w:val="21"/>
              </w:rPr>
              <w:t>1990</w:t>
            </w:r>
          </w:p>
        </w:tc>
        <w:tc>
          <w:tcPr>
            <w:tcW w:w="794" w:type="dxa"/>
          </w:tcPr>
          <w:p w14:paraId="508E7F8F">
            <w:pPr>
              <w:rPr>
                <w:rFonts w:eastAsia="宋体" w:cs="Times New Roman"/>
                <w:color w:val="000000"/>
                <w:sz w:val="21"/>
                <w:szCs w:val="21"/>
              </w:rPr>
            </w:pPr>
            <w:r>
              <w:rPr>
                <w:rFonts w:hint="eastAsia" w:eastAsia="宋体" w:cs="Times New Roman"/>
                <w:color w:val="000000"/>
                <w:sz w:val="21"/>
                <w:szCs w:val="21"/>
              </w:rPr>
              <w:t>1991</w:t>
            </w:r>
          </w:p>
        </w:tc>
        <w:tc>
          <w:tcPr>
            <w:tcW w:w="794" w:type="dxa"/>
          </w:tcPr>
          <w:p w14:paraId="4359F234">
            <w:pPr>
              <w:rPr>
                <w:rFonts w:eastAsia="宋体" w:cs="Times New Roman"/>
                <w:color w:val="000000"/>
                <w:sz w:val="21"/>
                <w:szCs w:val="21"/>
              </w:rPr>
            </w:pPr>
            <w:r>
              <w:rPr>
                <w:rFonts w:hint="eastAsia" w:eastAsia="宋体" w:cs="Times New Roman"/>
                <w:color w:val="000000"/>
                <w:sz w:val="21"/>
                <w:szCs w:val="21"/>
              </w:rPr>
              <w:t>1992</w:t>
            </w:r>
          </w:p>
        </w:tc>
        <w:tc>
          <w:tcPr>
            <w:tcW w:w="794" w:type="dxa"/>
          </w:tcPr>
          <w:p w14:paraId="16B6AE83">
            <w:pPr>
              <w:rPr>
                <w:rFonts w:eastAsia="宋体" w:cs="Times New Roman"/>
                <w:color w:val="000000"/>
                <w:sz w:val="21"/>
                <w:szCs w:val="21"/>
              </w:rPr>
            </w:pPr>
            <w:r>
              <w:rPr>
                <w:rFonts w:hint="eastAsia" w:eastAsia="宋体" w:cs="Times New Roman"/>
                <w:color w:val="000000"/>
                <w:sz w:val="21"/>
                <w:szCs w:val="21"/>
              </w:rPr>
              <w:t>1993</w:t>
            </w:r>
          </w:p>
        </w:tc>
        <w:tc>
          <w:tcPr>
            <w:tcW w:w="794" w:type="dxa"/>
          </w:tcPr>
          <w:p w14:paraId="66175B4D">
            <w:pPr>
              <w:rPr>
                <w:rFonts w:eastAsia="宋体" w:cs="Times New Roman"/>
                <w:color w:val="000000"/>
                <w:sz w:val="21"/>
                <w:szCs w:val="21"/>
              </w:rPr>
            </w:pPr>
            <w:r>
              <w:rPr>
                <w:rFonts w:hint="eastAsia" w:eastAsia="宋体" w:cs="Times New Roman"/>
                <w:color w:val="000000"/>
                <w:sz w:val="21"/>
                <w:szCs w:val="21"/>
              </w:rPr>
              <w:t>1994</w:t>
            </w:r>
          </w:p>
        </w:tc>
        <w:tc>
          <w:tcPr>
            <w:tcW w:w="794" w:type="dxa"/>
          </w:tcPr>
          <w:p w14:paraId="4BCBC197">
            <w:pPr>
              <w:rPr>
                <w:rFonts w:eastAsia="宋体" w:cs="Times New Roman"/>
                <w:color w:val="000000"/>
                <w:sz w:val="21"/>
                <w:szCs w:val="21"/>
              </w:rPr>
            </w:pPr>
            <w:r>
              <w:rPr>
                <w:rFonts w:hint="eastAsia" w:eastAsia="宋体" w:cs="Times New Roman"/>
                <w:color w:val="000000"/>
                <w:sz w:val="21"/>
                <w:szCs w:val="21"/>
              </w:rPr>
              <w:t>1995</w:t>
            </w:r>
          </w:p>
        </w:tc>
        <w:tc>
          <w:tcPr>
            <w:tcW w:w="794" w:type="dxa"/>
          </w:tcPr>
          <w:p w14:paraId="1744240D">
            <w:pPr>
              <w:rPr>
                <w:rFonts w:eastAsia="宋体" w:cs="Times New Roman"/>
                <w:color w:val="000000"/>
                <w:sz w:val="21"/>
                <w:szCs w:val="21"/>
              </w:rPr>
            </w:pPr>
            <w:r>
              <w:rPr>
                <w:rFonts w:hint="eastAsia" w:eastAsia="宋体" w:cs="Times New Roman"/>
                <w:color w:val="000000"/>
                <w:sz w:val="21"/>
                <w:szCs w:val="21"/>
              </w:rPr>
              <w:t>1996</w:t>
            </w:r>
          </w:p>
        </w:tc>
      </w:tr>
      <w:tr w14:paraId="73DEB62B">
        <w:tc>
          <w:tcPr>
            <w:tcW w:w="648" w:type="dxa"/>
          </w:tcPr>
          <w:p w14:paraId="67B60F97">
            <w:pPr>
              <w:rPr>
                <w:rFonts w:eastAsia="宋体" w:cs="Times New Roman"/>
                <w:color w:val="000000"/>
                <w:sz w:val="21"/>
                <w:szCs w:val="21"/>
              </w:rPr>
            </w:pPr>
            <w:r>
              <w:rPr>
                <w:rFonts w:hint="eastAsia" w:eastAsia="宋体" w:cs="Times New Roman"/>
                <w:color w:val="000000"/>
                <w:sz w:val="21"/>
                <w:szCs w:val="21"/>
              </w:rPr>
              <w:t>金价</w:t>
            </w:r>
          </w:p>
        </w:tc>
        <w:tc>
          <w:tcPr>
            <w:tcW w:w="900" w:type="dxa"/>
          </w:tcPr>
          <w:p w14:paraId="5A892687">
            <w:pPr>
              <w:rPr>
                <w:rFonts w:eastAsia="宋体" w:cs="Times New Roman"/>
                <w:color w:val="000000"/>
                <w:sz w:val="21"/>
                <w:szCs w:val="21"/>
              </w:rPr>
            </w:pPr>
            <w:r>
              <w:rPr>
                <w:rFonts w:hint="eastAsia" w:eastAsia="宋体" w:cs="Times New Roman"/>
                <w:color w:val="000000"/>
                <w:sz w:val="21"/>
                <w:szCs w:val="21"/>
              </w:rPr>
              <w:t>446.28</w:t>
            </w:r>
          </w:p>
        </w:tc>
        <w:tc>
          <w:tcPr>
            <w:tcW w:w="794" w:type="dxa"/>
          </w:tcPr>
          <w:p w14:paraId="167C780B">
            <w:pPr>
              <w:rPr>
                <w:rFonts w:eastAsia="宋体" w:cs="Times New Roman"/>
                <w:color w:val="000000"/>
                <w:sz w:val="21"/>
                <w:szCs w:val="21"/>
              </w:rPr>
            </w:pPr>
            <w:r>
              <w:rPr>
                <w:rFonts w:hint="eastAsia" w:eastAsia="宋体" w:cs="Times New Roman"/>
                <w:color w:val="000000"/>
                <w:sz w:val="21"/>
                <w:szCs w:val="21"/>
              </w:rPr>
              <w:t>436.79</w:t>
            </w:r>
          </w:p>
        </w:tc>
        <w:tc>
          <w:tcPr>
            <w:tcW w:w="794" w:type="dxa"/>
          </w:tcPr>
          <w:p w14:paraId="04B9650F">
            <w:pPr>
              <w:rPr>
                <w:rFonts w:eastAsia="宋体" w:cs="Times New Roman"/>
                <w:color w:val="000000"/>
                <w:sz w:val="21"/>
                <w:szCs w:val="21"/>
              </w:rPr>
            </w:pPr>
            <w:r>
              <w:rPr>
                <w:rFonts w:hint="eastAsia" w:eastAsia="宋体" w:cs="Times New Roman"/>
                <w:color w:val="000000"/>
                <w:sz w:val="21"/>
                <w:szCs w:val="21"/>
              </w:rPr>
              <w:t>380.73</w:t>
            </w:r>
          </w:p>
        </w:tc>
        <w:tc>
          <w:tcPr>
            <w:tcW w:w="794" w:type="dxa"/>
          </w:tcPr>
          <w:p w14:paraId="5F11712E">
            <w:pPr>
              <w:rPr>
                <w:rFonts w:eastAsia="宋体" w:cs="Times New Roman"/>
                <w:color w:val="000000"/>
                <w:sz w:val="21"/>
                <w:szCs w:val="21"/>
              </w:rPr>
            </w:pPr>
            <w:r>
              <w:rPr>
                <w:rFonts w:hint="eastAsia" w:eastAsia="宋体" w:cs="Times New Roman"/>
                <w:color w:val="000000"/>
                <w:sz w:val="21"/>
                <w:szCs w:val="21"/>
              </w:rPr>
              <w:t>383.32</w:t>
            </w:r>
          </w:p>
        </w:tc>
        <w:tc>
          <w:tcPr>
            <w:tcW w:w="794" w:type="dxa"/>
          </w:tcPr>
          <w:p w14:paraId="7AC3BC47">
            <w:pPr>
              <w:rPr>
                <w:rFonts w:eastAsia="宋体" w:cs="Times New Roman"/>
                <w:color w:val="000000"/>
                <w:sz w:val="21"/>
                <w:szCs w:val="21"/>
              </w:rPr>
            </w:pPr>
            <w:r>
              <w:rPr>
                <w:rFonts w:hint="eastAsia" w:eastAsia="宋体" w:cs="Times New Roman"/>
                <w:color w:val="000000"/>
                <w:sz w:val="21"/>
                <w:szCs w:val="21"/>
              </w:rPr>
              <w:t>362.10</w:t>
            </w:r>
          </w:p>
        </w:tc>
        <w:tc>
          <w:tcPr>
            <w:tcW w:w="794" w:type="dxa"/>
          </w:tcPr>
          <w:p w14:paraId="2565DB60">
            <w:pPr>
              <w:rPr>
                <w:rFonts w:eastAsia="宋体" w:cs="Times New Roman"/>
                <w:color w:val="000000"/>
                <w:sz w:val="21"/>
                <w:szCs w:val="21"/>
              </w:rPr>
            </w:pPr>
            <w:r>
              <w:rPr>
                <w:rFonts w:hint="eastAsia" w:eastAsia="宋体" w:cs="Times New Roman"/>
                <w:color w:val="000000"/>
                <w:sz w:val="21"/>
                <w:szCs w:val="21"/>
              </w:rPr>
              <w:t>343.86</w:t>
            </w:r>
          </w:p>
        </w:tc>
        <w:tc>
          <w:tcPr>
            <w:tcW w:w="794" w:type="dxa"/>
          </w:tcPr>
          <w:p w14:paraId="103F99E1">
            <w:pPr>
              <w:rPr>
                <w:rFonts w:eastAsia="宋体" w:cs="Times New Roman"/>
                <w:color w:val="000000"/>
                <w:sz w:val="21"/>
                <w:szCs w:val="21"/>
              </w:rPr>
            </w:pPr>
            <w:r>
              <w:rPr>
                <w:rFonts w:hint="eastAsia" w:eastAsia="宋体" w:cs="Times New Roman"/>
                <w:color w:val="000000"/>
                <w:sz w:val="21"/>
                <w:szCs w:val="21"/>
              </w:rPr>
              <w:t>360.00</w:t>
            </w:r>
          </w:p>
        </w:tc>
        <w:tc>
          <w:tcPr>
            <w:tcW w:w="794" w:type="dxa"/>
          </w:tcPr>
          <w:p w14:paraId="40C23751">
            <w:pPr>
              <w:rPr>
                <w:rFonts w:eastAsia="宋体" w:cs="Times New Roman"/>
                <w:color w:val="000000"/>
                <w:sz w:val="21"/>
                <w:szCs w:val="21"/>
              </w:rPr>
            </w:pPr>
            <w:r>
              <w:rPr>
                <w:rFonts w:hint="eastAsia" w:eastAsia="宋体" w:cs="Times New Roman"/>
                <w:color w:val="000000"/>
                <w:sz w:val="21"/>
                <w:szCs w:val="21"/>
              </w:rPr>
              <w:t>384.12</w:t>
            </w:r>
          </w:p>
        </w:tc>
        <w:tc>
          <w:tcPr>
            <w:tcW w:w="794" w:type="dxa"/>
          </w:tcPr>
          <w:p w14:paraId="40AA0569">
            <w:pPr>
              <w:rPr>
                <w:rFonts w:eastAsia="宋体" w:cs="Times New Roman"/>
                <w:color w:val="000000"/>
                <w:sz w:val="21"/>
                <w:szCs w:val="21"/>
              </w:rPr>
            </w:pPr>
            <w:r>
              <w:rPr>
                <w:rFonts w:hint="eastAsia" w:eastAsia="宋体" w:cs="Times New Roman"/>
                <w:color w:val="000000"/>
                <w:sz w:val="21"/>
                <w:szCs w:val="21"/>
              </w:rPr>
              <w:t>384.05</w:t>
            </w:r>
          </w:p>
        </w:tc>
        <w:tc>
          <w:tcPr>
            <w:tcW w:w="794" w:type="dxa"/>
          </w:tcPr>
          <w:p w14:paraId="6D4AC1D7">
            <w:pPr>
              <w:rPr>
                <w:rFonts w:eastAsia="宋体" w:cs="Times New Roman"/>
                <w:color w:val="000000"/>
                <w:sz w:val="21"/>
                <w:szCs w:val="21"/>
              </w:rPr>
            </w:pPr>
            <w:r>
              <w:rPr>
                <w:rFonts w:hint="eastAsia" w:eastAsia="宋体" w:cs="Times New Roman"/>
                <w:color w:val="000000"/>
                <w:sz w:val="21"/>
                <w:szCs w:val="21"/>
              </w:rPr>
              <w:t>387.82</w:t>
            </w:r>
          </w:p>
        </w:tc>
      </w:tr>
      <w:tr w14:paraId="3D0D0F48">
        <w:tc>
          <w:tcPr>
            <w:tcW w:w="648" w:type="dxa"/>
          </w:tcPr>
          <w:p w14:paraId="601A8DD5">
            <w:pPr>
              <w:rPr>
                <w:rFonts w:eastAsia="宋体" w:cs="Times New Roman"/>
                <w:color w:val="000000"/>
                <w:sz w:val="21"/>
                <w:szCs w:val="21"/>
              </w:rPr>
            </w:pPr>
            <w:r>
              <w:rPr>
                <w:rFonts w:hint="eastAsia" w:eastAsia="宋体" w:cs="Times New Roman"/>
                <w:color w:val="000000"/>
                <w:sz w:val="21"/>
                <w:szCs w:val="21"/>
              </w:rPr>
              <w:t>年份</w:t>
            </w:r>
          </w:p>
        </w:tc>
        <w:tc>
          <w:tcPr>
            <w:tcW w:w="900" w:type="dxa"/>
          </w:tcPr>
          <w:p w14:paraId="5583229A">
            <w:pPr>
              <w:rPr>
                <w:rFonts w:eastAsia="宋体" w:cs="Times New Roman"/>
                <w:color w:val="000000"/>
                <w:sz w:val="21"/>
                <w:szCs w:val="21"/>
              </w:rPr>
            </w:pPr>
            <w:r>
              <w:rPr>
                <w:rFonts w:hint="eastAsia" w:eastAsia="宋体" w:cs="Times New Roman"/>
                <w:color w:val="000000"/>
                <w:sz w:val="21"/>
                <w:szCs w:val="21"/>
              </w:rPr>
              <w:t>1997</w:t>
            </w:r>
          </w:p>
        </w:tc>
        <w:tc>
          <w:tcPr>
            <w:tcW w:w="794" w:type="dxa"/>
          </w:tcPr>
          <w:p w14:paraId="5A6DE1AA">
            <w:pPr>
              <w:rPr>
                <w:rFonts w:eastAsia="宋体" w:cs="Times New Roman"/>
                <w:color w:val="000000"/>
                <w:sz w:val="21"/>
                <w:szCs w:val="21"/>
              </w:rPr>
            </w:pPr>
            <w:r>
              <w:rPr>
                <w:rFonts w:hint="eastAsia" w:eastAsia="宋体" w:cs="Times New Roman"/>
                <w:color w:val="000000"/>
                <w:sz w:val="21"/>
                <w:szCs w:val="21"/>
              </w:rPr>
              <w:t>1998</w:t>
            </w:r>
          </w:p>
        </w:tc>
        <w:tc>
          <w:tcPr>
            <w:tcW w:w="794" w:type="dxa"/>
          </w:tcPr>
          <w:p w14:paraId="498184E3">
            <w:pPr>
              <w:rPr>
                <w:rFonts w:eastAsia="宋体" w:cs="Times New Roman"/>
                <w:color w:val="000000"/>
                <w:sz w:val="21"/>
                <w:szCs w:val="21"/>
              </w:rPr>
            </w:pPr>
            <w:r>
              <w:rPr>
                <w:rFonts w:hint="eastAsia" w:eastAsia="宋体" w:cs="Times New Roman"/>
                <w:color w:val="000000"/>
                <w:sz w:val="21"/>
                <w:szCs w:val="21"/>
              </w:rPr>
              <w:t>1999</w:t>
            </w:r>
          </w:p>
        </w:tc>
        <w:tc>
          <w:tcPr>
            <w:tcW w:w="794" w:type="dxa"/>
          </w:tcPr>
          <w:p w14:paraId="3686D3EB">
            <w:pPr>
              <w:rPr>
                <w:rFonts w:eastAsia="宋体" w:cs="Times New Roman"/>
                <w:color w:val="000000"/>
                <w:sz w:val="21"/>
                <w:szCs w:val="21"/>
              </w:rPr>
            </w:pPr>
            <w:r>
              <w:rPr>
                <w:rFonts w:hint="eastAsia" w:eastAsia="宋体" w:cs="Times New Roman"/>
                <w:color w:val="000000"/>
                <w:sz w:val="21"/>
                <w:szCs w:val="21"/>
              </w:rPr>
              <w:t>2000</w:t>
            </w:r>
          </w:p>
        </w:tc>
        <w:tc>
          <w:tcPr>
            <w:tcW w:w="794" w:type="dxa"/>
          </w:tcPr>
          <w:p w14:paraId="7D02B74E">
            <w:pPr>
              <w:rPr>
                <w:rFonts w:eastAsia="宋体" w:cs="Times New Roman"/>
                <w:color w:val="000000"/>
                <w:sz w:val="21"/>
                <w:szCs w:val="21"/>
              </w:rPr>
            </w:pPr>
            <w:r>
              <w:rPr>
                <w:rFonts w:hint="eastAsia" w:eastAsia="宋体" w:cs="Times New Roman"/>
                <w:color w:val="000000"/>
                <w:sz w:val="21"/>
                <w:szCs w:val="21"/>
              </w:rPr>
              <w:t>2001</w:t>
            </w:r>
          </w:p>
        </w:tc>
        <w:tc>
          <w:tcPr>
            <w:tcW w:w="794" w:type="dxa"/>
          </w:tcPr>
          <w:p w14:paraId="27249E0F">
            <w:pPr>
              <w:rPr>
                <w:rFonts w:eastAsia="宋体" w:cs="Times New Roman"/>
                <w:color w:val="000000"/>
                <w:sz w:val="21"/>
                <w:szCs w:val="21"/>
              </w:rPr>
            </w:pPr>
            <w:r>
              <w:rPr>
                <w:rFonts w:hint="eastAsia" w:eastAsia="宋体" w:cs="Times New Roman"/>
                <w:color w:val="000000"/>
                <w:sz w:val="21"/>
                <w:szCs w:val="21"/>
              </w:rPr>
              <w:t>2002</w:t>
            </w:r>
          </w:p>
        </w:tc>
        <w:tc>
          <w:tcPr>
            <w:tcW w:w="794" w:type="dxa"/>
          </w:tcPr>
          <w:p w14:paraId="54187BFB">
            <w:pPr>
              <w:rPr>
                <w:rFonts w:eastAsia="宋体" w:cs="Times New Roman"/>
                <w:color w:val="000000"/>
                <w:sz w:val="21"/>
                <w:szCs w:val="21"/>
              </w:rPr>
            </w:pPr>
            <w:r>
              <w:rPr>
                <w:rFonts w:hint="eastAsia" w:eastAsia="宋体" w:cs="Times New Roman"/>
                <w:color w:val="000000"/>
                <w:sz w:val="21"/>
                <w:szCs w:val="21"/>
              </w:rPr>
              <w:t>2003</w:t>
            </w:r>
          </w:p>
        </w:tc>
        <w:tc>
          <w:tcPr>
            <w:tcW w:w="794" w:type="dxa"/>
          </w:tcPr>
          <w:p w14:paraId="328F3678">
            <w:pPr>
              <w:rPr>
                <w:rFonts w:eastAsia="宋体" w:cs="Times New Roman"/>
                <w:color w:val="000000"/>
                <w:sz w:val="21"/>
                <w:szCs w:val="21"/>
              </w:rPr>
            </w:pPr>
            <w:r>
              <w:rPr>
                <w:rFonts w:hint="eastAsia" w:eastAsia="宋体" w:cs="Times New Roman"/>
                <w:color w:val="000000"/>
                <w:sz w:val="21"/>
                <w:szCs w:val="21"/>
              </w:rPr>
              <w:t>2004</w:t>
            </w:r>
          </w:p>
        </w:tc>
        <w:tc>
          <w:tcPr>
            <w:tcW w:w="794" w:type="dxa"/>
          </w:tcPr>
          <w:p w14:paraId="0BDB4694">
            <w:pPr>
              <w:rPr>
                <w:rFonts w:eastAsia="宋体" w:cs="Times New Roman"/>
                <w:color w:val="000000"/>
                <w:sz w:val="21"/>
                <w:szCs w:val="21"/>
              </w:rPr>
            </w:pPr>
            <w:r>
              <w:rPr>
                <w:rFonts w:hint="eastAsia" w:eastAsia="宋体" w:cs="Times New Roman"/>
                <w:color w:val="000000"/>
                <w:sz w:val="21"/>
                <w:szCs w:val="21"/>
              </w:rPr>
              <w:t>2005</w:t>
            </w:r>
          </w:p>
        </w:tc>
        <w:tc>
          <w:tcPr>
            <w:tcW w:w="794" w:type="dxa"/>
          </w:tcPr>
          <w:p w14:paraId="108CFBD1">
            <w:pPr>
              <w:rPr>
                <w:rFonts w:eastAsia="宋体" w:cs="Times New Roman"/>
                <w:color w:val="000000"/>
                <w:sz w:val="21"/>
                <w:szCs w:val="21"/>
              </w:rPr>
            </w:pPr>
            <w:r>
              <w:rPr>
                <w:rFonts w:hint="eastAsia" w:eastAsia="宋体" w:cs="Times New Roman"/>
                <w:color w:val="000000"/>
                <w:sz w:val="21"/>
                <w:szCs w:val="21"/>
              </w:rPr>
              <w:t>2006</w:t>
            </w:r>
          </w:p>
        </w:tc>
      </w:tr>
      <w:tr w14:paraId="6F87463A">
        <w:tc>
          <w:tcPr>
            <w:tcW w:w="648" w:type="dxa"/>
          </w:tcPr>
          <w:p w14:paraId="7D1BAE2B">
            <w:pPr>
              <w:rPr>
                <w:rFonts w:eastAsia="宋体" w:cs="Times New Roman"/>
                <w:color w:val="000000"/>
                <w:sz w:val="21"/>
                <w:szCs w:val="21"/>
              </w:rPr>
            </w:pPr>
            <w:r>
              <w:rPr>
                <w:rFonts w:hint="eastAsia" w:eastAsia="宋体" w:cs="Times New Roman"/>
                <w:color w:val="000000"/>
                <w:sz w:val="21"/>
                <w:szCs w:val="21"/>
              </w:rPr>
              <w:t>金价</w:t>
            </w:r>
          </w:p>
        </w:tc>
        <w:tc>
          <w:tcPr>
            <w:tcW w:w="900" w:type="dxa"/>
          </w:tcPr>
          <w:p w14:paraId="286319E7">
            <w:pPr>
              <w:rPr>
                <w:rFonts w:eastAsia="宋体" w:cs="Times New Roman"/>
                <w:color w:val="000000"/>
                <w:sz w:val="21"/>
                <w:szCs w:val="21"/>
              </w:rPr>
            </w:pPr>
            <w:r>
              <w:rPr>
                <w:rFonts w:hint="eastAsia" w:eastAsia="宋体" w:cs="Times New Roman"/>
                <w:color w:val="000000"/>
                <w:sz w:val="21"/>
                <w:szCs w:val="21"/>
              </w:rPr>
              <w:t>330.98</w:t>
            </w:r>
          </w:p>
        </w:tc>
        <w:tc>
          <w:tcPr>
            <w:tcW w:w="794" w:type="dxa"/>
          </w:tcPr>
          <w:p w14:paraId="6F9704EB">
            <w:pPr>
              <w:rPr>
                <w:rFonts w:eastAsia="宋体" w:cs="Times New Roman"/>
                <w:color w:val="000000"/>
                <w:sz w:val="21"/>
                <w:szCs w:val="21"/>
              </w:rPr>
            </w:pPr>
            <w:r>
              <w:rPr>
                <w:rFonts w:hint="eastAsia" w:eastAsia="宋体" w:cs="Times New Roman"/>
                <w:color w:val="000000"/>
                <w:sz w:val="21"/>
                <w:szCs w:val="21"/>
              </w:rPr>
              <w:t>294.12</w:t>
            </w:r>
          </w:p>
        </w:tc>
        <w:tc>
          <w:tcPr>
            <w:tcW w:w="794" w:type="dxa"/>
          </w:tcPr>
          <w:p w14:paraId="3DA55898">
            <w:pPr>
              <w:rPr>
                <w:rFonts w:eastAsia="宋体" w:cs="Times New Roman"/>
                <w:color w:val="000000"/>
                <w:sz w:val="21"/>
                <w:szCs w:val="21"/>
              </w:rPr>
            </w:pPr>
            <w:r>
              <w:rPr>
                <w:rFonts w:hint="eastAsia" w:eastAsia="宋体" w:cs="Times New Roman"/>
                <w:color w:val="000000"/>
                <w:sz w:val="21"/>
                <w:szCs w:val="21"/>
              </w:rPr>
              <w:t>278.55</w:t>
            </w:r>
          </w:p>
        </w:tc>
        <w:tc>
          <w:tcPr>
            <w:tcW w:w="794" w:type="dxa"/>
          </w:tcPr>
          <w:p w14:paraId="79243E3D">
            <w:pPr>
              <w:rPr>
                <w:rFonts w:eastAsia="宋体" w:cs="Times New Roman"/>
                <w:color w:val="000000"/>
                <w:sz w:val="21"/>
                <w:szCs w:val="21"/>
              </w:rPr>
            </w:pPr>
            <w:r>
              <w:rPr>
                <w:rFonts w:hint="eastAsia" w:eastAsia="宋体" w:cs="Times New Roman"/>
                <w:color w:val="000000"/>
                <w:sz w:val="21"/>
                <w:szCs w:val="21"/>
              </w:rPr>
              <w:t>279.10</w:t>
            </w:r>
          </w:p>
        </w:tc>
        <w:tc>
          <w:tcPr>
            <w:tcW w:w="794" w:type="dxa"/>
          </w:tcPr>
          <w:p w14:paraId="40A7288D">
            <w:pPr>
              <w:rPr>
                <w:rFonts w:eastAsia="宋体" w:cs="Times New Roman"/>
                <w:color w:val="000000"/>
                <w:sz w:val="21"/>
                <w:szCs w:val="21"/>
              </w:rPr>
            </w:pPr>
            <w:r>
              <w:rPr>
                <w:rFonts w:hint="eastAsia" w:eastAsia="宋体" w:cs="Times New Roman"/>
                <w:color w:val="000000"/>
                <w:sz w:val="21"/>
                <w:szCs w:val="21"/>
              </w:rPr>
              <w:t>272.67</w:t>
            </w:r>
          </w:p>
        </w:tc>
        <w:tc>
          <w:tcPr>
            <w:tcW w:w="794" w:type="dxa"/>
          </w:tcPr>
          <w:p w14:paraId="7DF33C72">
            <w:pPr>
              <w:rPr>
                <w:rFonts w:eastAsia="宋体" w:cs="Times New Roman"/>
                <w:color w:val="000000"/>
                <w:sz w:val="21"/>
                <w:szCs w:val="21"/>
              </w:rPr>
            </w:pPr>
            <w:r>
              <w:rPr>
                <w:rFonts w:hint="eastAsia" w:eastAsia="宋体" w:cs="Times New Roman"/>
                <w:color w:val="000000"/>
                <w:sz w:val="21"/>
                <w:szCs w:val="21"/>
              </w:rPr>
              <w:t>309.66</w:t>
            </w:r>
          </w:p>
        </w:tc>
        <w:tc>
          <w:tcPr>
            <w:tcW w:w="794" w:type="dxa"/>
          </w:tcPr>
          <w:p w14:paraId="653FF0CA">
            <w:pPr>
              <w:rPr>
                <w:rFonts w:eastAsia="宋体" w:cs="Times New Roman"/>
                <w:color w:val="000000"/>
                <w:sz w:val="21"/>
                <w:szCs w:val="21"/>
              </w:rPr>
            </w:pPr>
            <w:r>
              <w:rPr>
                <w:rFonts w:hint="eastAsia" w:eastAsia="宋体" w:cs="Times New Roman"/>
                <w:color w:val="000000"/>
                <w:sz w:val="21"/>
                <w:szCs w:val="21"/>
              </w:rPr>
              <w:t>362.91</w:t>
            </w:r>
          </w:p>
        </w:tc>
        <w:tc>
          <w:tcPr>
            <w:tcW w:w="794" w:type="dxa"/>
          </w:tcPr>
          <w:p w14:paraId="6C24C2F2">
            <w:pPr>
              <w:rPr>
                <w:rFonts w:eastAsia="宋体" w:cs="Times New Roman"/>
                <w:color w:val="000000"/>
                <w:sz w:val="21"/>
                <w:szCs w:val="21"/>
              </w:rPr>
            </w:pPr>
            <w:r>
              <w:rPr>
                <w:rFonts w:hint="eastAsia" w:eastAsia="宋体" w:cs="Times New Roman"/>
                <w:color w:val="000000"/>
                <w:sz w:val="21"/>
                <w:szCs w:val="21"/>
              </w:rPr>
              <w:t>409.17</w:t>
            </w:r>
          </w:p>
        </w:tc>
        <w:tc>
          <w:tcPr>
            <w:tcW w:w="794" w:type="dxa"/>
          </w:tcPr>
          <w:p w14:paraId="39FC5C3F">
            <w:pPr>
              <w:rPr>
                <w:rFonts w:eastAsia="宋体" w:cs="Times New Roman"/>
                <w:color w:val="000000"/>
                <w:sz w:val="21"/>
                <w:szCs w:val="21"/>
              </w:rPr>
            </w:pPr>
            <w:r>
              <w:rPr>
                <w:rFonts w:hint="eastAsia" w:eastAsia="宋体" w:cs="Times New Roman"/>
                <w:color w:val="000000"/>
                <w:sz w:val="21"/>
                <w:szCs w:val="21"/>
              </w:rPr>
              <w:t>444.47</w:t>
            </w:r>
          </w:p>
        </w:tc>
        <w:tc>
          <w:tcPr>
            <w:tcW w:w="794" w:type="dxa"/>
          </w:tcPr>
          <w:p w14:paraId="3C774F35">
            <w:pPr>
              <w:rPr>
                <w:rFonts w:eastAsia="宋体" w:cs="Times New Roman"/>
                <w:color w:val="000000"/>
                <w:sz w:val="21"/>
                <w:szCs w:val="21"/>
              </w:rPr>
            </w:pPr>
            <w:r>
              <w:rPr>
                <w:rFonts w:hint="eastAsia" w:eastAsia="宋体" w:cs="Times New Roman"/>
                <w:color w:val="000000"/>
                <w:sz w:val="21"/>
                <w:szCs w:val="21"/>
              </w:rPr>
              <w:t>603.00</w:t>
            </w:r>
          </w:p>
        </w:tc>
      </w:tr>
    </w:tbl>
    <w:p w14:paraId="29028687">
      <w:pPr>
        <w:rPr>
          <w:rFonts w:eastAsia="宋体" w:cs="Times New Roman"/>
          <w:color w:val="000000"/>
          <w:sz w:val="21"/>
          <w:szCs w:val="21"/>
        </w:rPr>
      </w:pPr>
      <w:r>
        <w:rPr>
          <w:rFonts w:hint="eastAsia" w:eastAsia="宋体" w:cs="Times New Roman"/>
          <w:color w:val="000000"/>
          <w:sz w:val="21"/>
          <w:szCs w:val="21"/>
        </w:rPr>
        <w:t>资料来源：世界黄金网（www.gold.org）。</w:t>
      </w:r>
    </w:p>
    <w:p w14:paraId="4E863713">
      <w:pPr>
        <w:rPr>
          <w:rFonts w:eastAsia="宋体" w:cs="Times New Roman"/>
          <w:color w:val="000000"/>
          <w:sz w:val="21"/>
          <w:szCs w:val="21"/>
        </w:rPr>
      </w:pPr>
      <w:bookmarkStart w:id="851" w:name="_1329115674"/>
      <w:bookmarkEnd w:id="851"/>
      <w:bookmarkStart w:id="852" w:name="_1329115695"/>
      <w:bookmarkEnd w:id="852"/>
      <w:bookmarkStart w:id="853" w:name="_1329115530"/>
      <w:bookmarkEnd w:id="853"/>
      <w:bookmarkStart w:id="854" w:name="_1329115689"/>
      <w:bookmarkEnd w:id="854"/>
      <w:r>
        <w:rPr>
          <w:rFonts w:eastAsia="宋体" w:cs="Times New Roman"/>
          <w:color w:val="000000"/>
          <w:sz w:val="21"/>
          <w:szCs w:val="21"/>
        </w:rPr>
        <w:drawing>
          <wp:inline distT="0" distB="0" distL="0" distR="0">
            <wp:extent cx="5797550" cy="3263900"/>
            <wp:effectExtent l="6350" t="6350" r="12700" b="6350"/>
            <wp:docPr id="393" name="图表 393"/>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14:paraId="7F9F28BF">
      <w:pPr>
        <w:ind w:firstLine="440" w:firstLineChars="200"/>
        <w:rPr>
          <w:rFonts w:eastAsia="宋体" w:cs="Times New Roman"/>
          <w:b/>
          <w:color w:val="000000"/>
          <w:sz w:val="21"/>
          <w:szCs w:val="21"/>
        </w:rPr>
      </w:pPr>
      <w:r>
        <w:rPr>
          <w:rFonts w:hint="eastAsia" w:eastAsia="宋体" w:cs="Times New Roman"/>
          <w:b/>
          <w:color w:val="000000"/>
          <w:sz w:val="21"/>
          <w:szCs w:val="21"/>
        </w:rPr>
        <w:t>3. 获取外汇风险规避的成本节约</w:t>
      </w:r>
    </w:p>
    <w:p w14:paraId="4FB21A61">
      <w:pPr>
        <w:ind w:firstLine="440" w:firstLineChars="200"/>
        <w:rPr>
          <w:rFonts w:eastAsia="宋体" w:cs="Times New Roman"/>
          <w:color w:val="000000"/>
          <w:sz w:val="21"/>
          <w:szCs w:val="21"/>
        </w:rPr>
      </w:pPr>
      <w:r>
        <w:rPr>
          <w:rFonts w:hint="eastAsia" w:eastAsia="宋体" w:cs="Times New Roman"/>
          <w:color w:val="000000"/>
          <w:sz w:val="21"/>
          <w:szCs w:val="21"/>
        </w:rPr>
        <w:t>美元作为国际本位货币，美国企业在进出口中一般都采用美元进行结算和支付，不存在美元与其它货币之间的结算，因而也就规避了汇率变动的风险。2003 年，美国进出口总额为19771 亿美元（其中进口12607 亿美元，出口7164 亿美元），估定外汇即期与远期汇率差价为1%，美国企业2003年可节约的风险规避成本约为198 亿美元。</w:t>
      </w:r>
    </w:p>
    <w:p w14:paraId="67D501AC">
      <w:pPr>
        <w:rPr>
          <w:rFonts w:eastAsia="宋体" w:cs="Times New Roman"/>
          <w:color w:val="000000"/>
          <w:sz w:val="21"/>
          <w:szCs w:val="21"/>
        </w:rPr>
      </w:pPr>
      <w:r>
        <w:rPr>
          <w:rFonts w:hint="eastAsia" w:eastAsia="宋体" w:cs="Times New Roman"/>
          <w:color w:val="000000"/>
          <w:sz w:val="21"/>
          <w:szCs w:val="21"/>
        </w:rPr>
        <w:t>由于美元作为国际本位货币，美国不仅可以保持其经济政策相对的独立性，而且可以用其本币美元支付贸易逆差，因而美国不用担心较少的外汇储备不足于支付商品进口的风险。因此，美国凭借美元本位可以拥有较少的外汇储备。美国由此获得的经济利益可以从国际公认的适度外汇储备额（相当于3 个月的进口额）与美国实际外汇储备额之间的差额计算出。例如，2003 年，美国进口货物为12607 亿美元，其应维持的外汇储备为3152 亿美元，但美国当年除黄金以外的外汇储备仅为751 亿美元，差额为2401 亿美元。根据收益率5%计算，2003 年，美国因少持外汇储备而取的收益为120 亿美元。</w:t>
      </w:r>
    </w:p>
    <w:p w14:paraId="62F71B54">
      <w:pPr>
        <w:rPr>
          <w:rFonts w:eastAsia="宋体" w:cs="Times New Roman"/>
          <w:color w:val="000000"/>
          <w:sz w:val="21"/>
          <w:szCs w:val="21"/>
        </w:rPr>
      </w:pPr>
    </w:p>
    <w:p w14:paraId="5628EC47">
      <w:pPr>
        <w:ind w:firstLine="440" w:firstLineChars="200"/>
        <w:rPr>
          <w:rFonts w:eastAsia="宋体" w:cs="Times New Roman"/>
          <w:b/>
          <w:color w:val="000000"/>
          <w:sz w:val="21"/>
          <w:szCs w:val="21"/>
        </w:rPr>
      </w:pPr>
      <w:r>
        <w:rPr>
          <w:rFonts w:hint="eastAsia" w:eastAsia="宋体" w:cs="Times New Roman"/>
          <w:b/>
          <w:color w:val="000000"/>
          <w:sz w:val="21"/>
          <w:szCs w:val="21"/>
        </w:rPr>
        <w:t>三、简 短 结 论</w:t>
      </w:r>
    </w:p>
    <w:p w14:paraId="7AE18ACB">
      <w:pPr>
        <w:ind w:firstLine="440" w:firstLineChars="200"/>
        <w:rPr>
          <w:rFonts w:eastAsia="宋体" w:cs="Times New Roman"/>
          <w:color w:val="000000"/>
          <w:sz w:val="21"/>
          <w:szCs w:val="21"/>
        </w:rPr>
      </w:pPr>
      <w:r>
        <w:rPr>
          <w:rFonts w:hint="eastAsia" w:eastAsia="宋体" w:cs="Times New Roman"/>
          <w:color w:val="000000"/>
          <w:sz w:val="21"/>
          <w:szCs w:val="21"/>
        </w:rPr>
        <w:t>第一，美国通过美元霸权获取了国际铸币税、国际通货膨胀税和外币风险规避的成本节约等好处。仅2003 年美国通过上述方式获取的总收益约为2991 亿美元，占美国国内生产总值（GDP）的2.7％，接近美国当年GDP 的增长率3.1%。当然，美国通过美元霸权获取的好处还不仅仅局限于这些，例如，美国金融机构因美元作为国际本位货币而在全世界从事融资和中介服务，从而获得巨额金融收入；美国在全球发行证券融资，也因美元作为国际本位货币而拥有较低的融资成本；美国可以不顾美元与其它货币的汇率，独立地执行国内的货币和财政调控政策；美国通过美元霸权主导有利于美国的国际金融和经济规则的制定，等等。</w:t>
      </w:r>
    </w:p>
    <w:p w14:paraId="2090773B">
      <w:pPr>
        <w:ind w:firstLine="440" w:firstLineChars="200"/>
        <w:rPr>
          <w:rFonts w:eastAsia="宋体" w:cs="Times New Roman"/>
          <w:color w:val="000000"/>
          <w:sz w:val="21"/>
          <w:szCs w:val="21"/>
        </w:rPr>
      </w:pPr>
      <w:r>
        <w:rPr>
          <w:rFonts w:hint="eastAsia" w:eastAsia="宋体" w:cs="Times New Roman"/>
          <w:color w:val="000000"/>
          <w:sz w:val="21"/>
          <w:szCs w:val="21"/>
        </w:rPr>
        <w:t>第二，美元霸权虽然可以降低国际交易的成本，对世界经济发展起着一定的积极作用，但是，美国瓦解布雷顿森林体系、实施和延续美元霸权是从美国自身利益出发的。其通过美元霸权获取他国的巨额财富，充分显示出美国经济对世界经济的寄生性。美国一方面通过贸易赤字实现资源转移来满足国内“消费主义”的物质需求，结果导致美元的大量输出和美元贬值的态势，而另一方面美国需要保持美元的强势和升值来保证美元的流入，以维持国际收支的平衡，因而美国面临的“特里芬难题”在后布雷顿森林体系下依然没有解决。因此，美国把自身的消费建立在别国创造的财富而不是自身创造的财富之上的行为是不可持续的。美国试图通过强大的军事实力来维护美元霸权，也是无济于事的。</w:t>
      </w:r>
    </w:p>
    <w:p w14:paraId="576401C7">
      <w:pPr>
        <w:ind w:firstLine="440" w:firstLineChars="200"/>
        <w:rPr>
          <w:rFonts w:eastAsia="宋体" w:cs="Times New Roman"/>
          <w:color w:val="000000"/>
          <w:sz w:val="21"/>
          <w:szCs w:val="21"/>
        </w:rPr>
      </w:pPr>
      <w:r>
        <w:rPr>
          <w:rFonts w:hint="eastAsia" w:eastAsia="宋体" w:cs="Times New Roman"/>
          <w:color w:val="000000"/>
          <w:sz w:val="21"/>
          <w:szCs w:val="21"/>
        </w:rPr>
        <w:t>第三，2001 年以来，美元进入了新一轮的贬值和通胀输出期。对于持有美元外汇的国家来说，也面临两难的选择：持有美元外汇会遭受美元贬值的损失，而抛售美元外汇会导致美元更大程度的贬值。截至2006 年11 月，我国是仅次于日本的美国国库券的第二大持有国，持有3465 亿美元的美国国库券，占外国持有的15.8%</w:t>
      </w:r>
      <w:r>
        <w:rPr>
          <w:rFonts w:eastAsia="宋体" w:cs="Times New Roman"/>
          <w:color w:val="000000"/>
          <w:sz w:val="21"/>
          <w:szCs w:val="21"/>
          <w:vertAlign w:val="superscript"/>
        </w:rPr>
        <w:footnoteReference w:id="253"/>
      </w:r>
      <w:r>
        <w:rPr>
          <w:rFonts w:hint="eastAsia" w:eastAsia="宋体" w:cs="Times New Roman"/>
          <w:color w:val="000000"/>
          <w:sz w:val="21"/>
          <w:szCs w:val="21"/>
        </w:rPr>
        <w:t>，远远超过2005 年我国对美国三个月的进口额1216 亿美元。</w:t>
      </w:r>
      <w:r>
        <w:rPr>
          <w:rFonts w:eastAsia="宋体" w:cs="Times New Roman"/>
          <w:color w:val="000000"/>
          <w:sz w:val="21"/>
          <w:szCs w:val="21"/>
          <w:vertAlign w:val="superscript"/>
        </w:rPr>
        <w:footnoteReference w:id="254"/>
      </w:r>
      <w:r>
        <w:rPr>
          <w:rFonts w:hint="eastAsia" w:eastAsia="宋体" w:cs="Times New Roman"/>
          <w:color w:val="000000"/>
          <w:sz w:val="21"/>
          <w:szCs w:val="21"/>
        </w:rPr>
        <w:t>因此，我国为减少外汇储备的损失，应根据用汇需要相应地减持美元资产的比例，构建由黄金、石油、铜等重要基本商品和资源组合的“次级金本位”的外汇储备支付体系。提升外贸附加值和引资质量，推动中国企业的对外投资和人民币的国际化，是应对人民币升值压力和美元贬值态势的战略选择。</w:t>
      </w:r>
    </w:p>
    <w:p w14:paraId="54D0618B">
      <w:pPr>
        <w:ind w:firstLine="540"/>
        <w:rPr>
          <w:rFonts w:eastAsia="宋体" w:cs="Times New Roman"/>
          <w:color w:val="000000"/>
          <w:sz w:val="21"/>
          <w:szCs w:val="21"/>
        </w:rPr>
      </w:pPr>
    </w:p>
    <w:p w14:paraId="7F1EED5E">
      <w:pPr>
        <w:ind w:firstLine="360"/>
        <w:rPr>
          <w:rFonts w:eastAsia="宋体" w:cs="Times New Roman"/>
          <w:color w:val="000000"/>
          <w:sz w:val="21"/>
          <w:szCs w:val="21"/>
        </w:rPr>
      </w:pPr>
      <w:r>
        <w:rPr>
          <w:rFonts w:hint="eastAsia" w:eastAsia="宋体" w:cs="Times New Roman"/>
          <w:color w:val="000000"/>
          <w:sz w:val="21"/>
          <w:szCs w:val="21"/>
        </w:rPr>
        <w:t>（原载《马克思主义研究》 2007 年第12 期，第二作者为夏晖）</w:t>
      </w:r>
    </w:p>
    <w:p w14:paraId="4BDABB5D">
      <w:pPr>
        <w:rPr>
          <w:rFonts w:eastAsia="宋体" w:cs="Times New Roman"/>
          <w:sz w:val="21"/>
          <w:szCs w:val="24"/>
        </w:rPr>
      </w:pPr>
    </w:p>
    <w:p w14:paraId="56E822D4">
      <w:pPr>
        <w:ind w:firstLine="440" w:firstLineChars="200"/>
        <w:rPr>
          <w:rFonts w:eastAsia="宋体" w:cs="Times New Roman"/>
          <w:color w:val="000000"/>
          <w:sz w:val="21"/>
          <w:szCs w:val="21"/>
        </w:rPr>
      </w:pPr>
    </w:p>
    <w:p w14:paraId="3906B676">
      <w:pPr>
        <w:rPr>
          <w:rFonts w:eastAsia="宋体" w:cs="Times New Roman"/>
          <w:sz w:val="21"/>
          <w:szCs w:val="24"/>
        </w:rPr>
      </w:pPr>
    </w:p>
    <w:p w14:paraId="6DA457D8">
      <w:pPr>
        <w:ind w:firstLine="1256" w:firstLineChars="571"/>
        <w:outlineLvl w:val="1"/>
        <w:rPr>
          <w:rFonts w:eastAsia="宋体" w:cs="Times New Roman"/>
          <w:b/>
          <w:color w:val="000000"/>
          <w:sz w:val="21"/>
          <w:szCs w:val="21"/>
        </w:rPr>
      </w:pPr>
      <w:bookmarkStart w:id="855" w:name="_Toc32227"/>
      <w:bookmarkStart w:id="856" w:name="_Toc30884"/>
      <w:bookmarkStart w:id="857" w:name="_Toc367833827"/>
      <w:bookmarkStart w:id="858" w:name="_Toc803091525"/>
      <w:r>
        <w:rPr>
          <w:rFonts w:hint="eastAsia" w:eastAsia="宋体" w:cs="Times New Roman"/>
          <w:b/>
          <w:color w:val="000000"/>
          <w:sz w:val="21"/>
          <w:szCs w:val="21"/>
          <w:lang w:val="en-US" w:eastAsia="zh-CN"/>
        </w:rPr>
        <w:t>34</w:t>
      </w:r>
      <w:r>
        <w:rPr>
          <w:rFonts w:hint="eastAsia" w:eastAsia="宋体" w:cs="Times New Roman"/>
          <w:b/>
          <w:color w:val="000000"/>
          <w:sz w:val="21"/>
          <w:szCs w:val="21"/>
        </w:rPr>
        <w:t>现代马克思主义政治经济学的四大理论假设</w:t>
      </w:r>
      <w:bookmarkEnd w:id="849"/>
      <w:bookmarkEnd w:id="850"/>
      <w:bookmarkEnd w:id="855"/>
      <w:bookmarkEnd w:id="856"/>
      <w:bookmarkEnd w:id="857"/>
      <w:bookmarkEnd w:id="858"/>
    </w:p>
    <w:p w14:paraId="26AA4E47">
      <w:pPr>
        <w:ind w:firstLine="440" w:firstLineChars="200"/>
        <w:rPr>
          <w:rFonts w:eastAsia="宋体" w:cs="Times New Roman"/>
          <w:color w:val="000000"/>
          <w:sz w:val="21"/>
          <w:szCs w:val="21"/>
        </w:rPr>
      </w:pPr>
    </w:p>
    <w:p w14:paraId="1060C6CB">
      <w:pPr>
        <w:ind w:firstLine="440" w:firstLineChars="200"/>
        <w:rPr>
          <w:rFonts w:eastAsia="宋体" w:cs="Times New Roman"/>
          <w:color w:val="000000"/>
          <w:sz w:val="21"/>
          <w:szCs w:val="21"/>
        </w:rPr>
      </w:pPr>
      <w:r>
        <w:rPr>
          <w:rFonts w:hint="eastAsia" w:eastAsia="宋体" w:cs="Times New Roman"/>
          <w:color w:val="000000"/>
          <w:sz w:val="21"/>
          <w:szCs w:val="21"/>
        </w:rPr>
        <w:t>过去，人们为了强调马克思主义经济学的真理性和现实性，往往偏好使用“普遍原理”或“基本原理”来指谓马克思的某些经济思想，而不愿把这些思想同时也视为一种“理论假设”。似乎理论假设都是脱离实际或无意义的空想和幻想，把马克思的某些经济思想视为理论假设就贬低了马克思主义经济学原理的重要性。实际上，采用“理论假设”及其逻辑叙述方法更有利于同现代西方主流经济学对话或论战。严格说来，理论假设同原理或公理是有区别的，但也是可以转化的。在某一经济学理论假设算不算作公理的问题上，渗透着研究主体不同的价值判断和对实证资料的不同理解。基于不同的方法和立场，即使马克思主义者依据坚实的实证史料和科学的逻辑证据，资产阶级经济学家也不一定承认马克思主义经济学的一些基本理论是正确的，但会确认其为理论假设，这将有益于论争的简化和深化。此外，马克思主义经济学中某些被资本主义或前资本主义经济实践证明是正确的理论，以及属于对向社会主义过渡或社会主义的理论分析，均须在当代中外经济实践中继续进行检验和展开，并使其逻辑体系不断完善。从这个意义上说，那些被认为是某种原理、公理或预见的思想，不妨也可称之为理论假设。</w:t>
      </w:r>
    </w:p>
    <w:p w14:paraId="2D712FF7">
      <w:pPr>
        <w:ind w:firstLine="440" w:firstLineChars="200"/>
        <w:rPr>
          <w:rFonts w:eastAsia="宋体" w:cs="Times New Roman"/>
          <w:color w:val="000000"/>
          <w:sz w:val="21"/>
          <w:szCs w:val="21"/>
        </w:rPr>
      </w:pPr>
      <w:r>
        <w:rPr>
          <w:rFonts w:hint="eastAsia" w:eastAsia="宋体" w:cs="Times New Roman"/>
          <w:color w:val="000000"/>
          <w:sz w:val="21"/>
          <w:szCs w:val="21"/>
        </w:rPr>
        <w:t>如同现代西方经济学把“生产三要素创造价值论”、“完全自私经济人论”、“资源有限与需要无限论”、“公平与效率高低反向变动论”等视为理论假设一样，现代马克思主义政治经济学的理论创新也有必要把“新的活劳动创造价值论”、“利己和利他经济人论”、“资源和需要双约束论”、“公平与效率互促同向变动论”等视为理论假设。本文拟详略不同地阐述现代马克思主义政治经济学的这四个理论假设。</w:t>
      </w:r>
    </w:p>
    <w:p w14:paraId="6F930CF3">
      <w:pPr>
        <w:ind w:firstLine="660" w:firstLineChars="300"/>
        <w:rPr>
          <w:rFonts w:eastAsia="宋体" w:cs="Times New Roman"/>
          <w:b/>
          <w:color w:val="000000"/>
          <w:sz w:val="21"/>
          <w:szCs w:val="21"/>
        </w:rPr>
      </w:pPr>
      <w:r>
        <w:rPr>
          <w:rFonts w:hint="eastAsia" w:eastAsia="宋体" w:cs="Times New Roman"/>
          <w:b/>
          <w:color w:val="000000"/>
          <w:sz w:val="21"/>
          <w:szCs w:val="21"/>
        </w:rPr>
        <w:t>一、新的活劳动创造价值假设</w:t>
      </w:r>
    </w:p>
    <w:p w14:paraId="79C12E8B">
      <w:pPr>
        <w:ind w:firstLine="440" w:firstLineChars="200"/>
        <w:rPr>
          <w:rFonts w:eastAsia="宋体" w:cs="Times New Roman"/>
          <w:b/>
          <w:color w:val="000000"/>
          <w:sz w:val="21"/>
          <w:szCs w:val="21"/>
        </w:rPr>
      </w:pPr>
      <w:r>
        <w:rPr>
          <w:rFonts w:hint="eastAsia" w:eastAsia="宋体" w:cs="Times New Roman"/>
          <w:b/>
          <w:color w:val="000000"/>
          <w:sz w:val="21"/>
          <w:szCs w:val="21"/>
        </w:rPr>
        <w:t>（一）“新的活劳动创造价值假设”的要义</w:t>
      </w:r>
    </w:p>
    <w:p w14:paraId="4DC60915">
      <w:pPr>
        <w:ind w:firstLine="440" w:firstLineChars="200"/>
        <w:rPr>
          <w:rFonts w:eastAsia="宋体" w:cs="Times New Roman"/>
          <w:color w:val="000000"/>
          <w:sz w:val="21"/>
          <w:szCs w:val="21"/>
        </w:rPr>
      </w:pPr>
      <w:r>
        <w:rPr>
          <w:rFonts w:hint="eastAsia" w:eastAsia="宋体" w:cs="Times New Roman"/>
          <w:color w:val="000000"/>
          <w:sz w:val="21"/>
          <w:szCs w:val="21"/>
        </w:rPr>
        <w:t>依据已有的商品经济、市场经济实践和马克思关于活劳动创造为市场交换而生产的商品价值，以及纯粹为商品价值形态转换服务的流通活动不创造价值的科学精神，可以推断，凡是直接为市场交换而生产物质商品和精神商品以及直接为劳动力商品的生产和再生产服务的劳动，其中包括自然人和法人实体的内部管理劳动和科技劳动，都属于创造价值的劳动或生产劳动。这一“新的活劳动创造价值假设”，不仅没有否定马克思关于“活劳动创造价值假设”的核心思想和方法，而且恰恰是遵循了马克思研究物质生产领域价值创造的思路，并把它扩展到一切社会经济部门后所形成的必然结论。具体说来：</w:t>
      </w:r>
    </w:p>
    <w:p w14:paraId="14ED56B7">
      <w:pPr>
        <w:ind w:firstLine="440" w:firstLineChars="200"/>
        <w:rPr>
          <w:rFonts w:eastAsia="宋体" w:cs="Times New Roman"/>
          <w:color w:val="000000"/>
          <w:sz w:val="21"/>
          <w:szCs w:val="21"/>
        </w:rPr>
      </w:pPr>
      <w:r>
        <w:rPr>
          <w:rFonts w:hint="eastAsia" w:eastAsia="宋体" w:cs="Times New Roman"/>
          <w:color w:val="000000"/>
          <w:sz w:val="21"/>
          <w:szCs w:val="21"/>
        </w:rPr>
        <w:t>第一，生产物质商品的劳动是创造价值的生产性劳动。如为市场提供物质商品的农业、工业、建筑业、物质技术业等领域中的生产性劳动。这是马克思早已阐明的。</w:t>
      </w:r>
    </w:p>
    <w:p w14:paraId="59442AC8">
      <w:pPr>
        <w:ind w:firstLine="440" w:firstLineChars="200"/>
        <w:rPr>
          <w:rFonts w:eastAsia="宋体" w:cs="Times New Roman"/>
          <w:color w:val="000000"/>
          <w:sz w:val="21"/>
          <w:szCs w:val="21"/>
        </w:rPr>
      </w:pPr>
      <w:r>
        <w:rPr>
          <w:rFonts w:hint="eastAsia" w:eastAsia="宋体" w:cs="Times New Roman"/>
          <w:color w:val="000000"/>
          <w:sz w:val="21"/>
          <w:szCs w:val="21"/>
        </w:rPr>
        <w:t>第二，通过交通从事有形和无形商品场所变更的劳动是创造价值的生产性劳动。如为市场提供货物和人员空间位移的运输劳动，提供书信、消息、电报、电话等各种信息传递的邮电劳动。场所变更或信息传递就是广义交通劳动产生的效用，它们是可以发生在流通领域内的特殊生产性部门。这也是马克思基本阐明的观点。</w:t>
      </w:r>
    </w:p>
    <w:p w14:paraId="0E714080">
      <w:pPr>
        <w:ind w:firstLine="440" w:firstLineChars="200"/>
        <w:rPr>
          <w:rFonts w:eastAsia="宋体" w:cs="Times New Roman"/>
          <w:color w:val="000000"/>
          <w:sz w:val="21"/>
          <w:szCs w:val="21"/>
        </w:rPr>
      </w:pPr>
      <w:r>
        <w:rPr>
          <w:rFonts w:hint="eastAsia" w:eastAsia="宋体" w:cs="Times New Roman"/>
          <w:color w:val="000000"/>
          <w:sz w:val="21"/>
          <w:szCs w:val="21"/>
        </w:rPr>
        <w:t>第三，生产有形和无形精神商品的劳动是创造价值的生产性劳动。如为市场提供精神商品的教育、社会科学、自然科学、文化技术、文学艺术、广播影视、新闻出版、图书馆、博物馆等领域中的生产性劳动，其中包括讲课、表演等无形商品或服务劳动。应当突破价值创造仅限于物质劳动的理念，确认生产有形和无形精神商品的劳动同样创造价值。</w:t>
      </w:r>
      <w:r>
        <w:rPr>
          <w:rFonts w:eastAsia="宋体" w:cs="Times New Roman"/>
          <w:color w:val="000000"/>
          <w:sz w:val="21"/>
          <w:szCs w:val="21"/>
          <w:vertAlign w:val="superscript"/>
        </w:rPr>
        <w:footnoteReference w:id="255"/>
      </w:r>
    </w:p>
    <w:p w14:paraId="6508147B">
      <w:pPr>
        <w:ind w:firstLine="440" w:firstLineChars="200"/>
        <w:rPr>
          <w:rFonts w:eastAsia="宋体" w:cs="Times New Roman"/>
          <w:color w:val="000000"/>
          <w:sz w:val="21"/>
          <w:szCs w:val="21"/>
        </w:rPr>
      </w:pPr>
      <w:r>
        <w:rPr>
          <w:rFonts w:hint="eastAsia" w:eastAsia="宋体" w:cs="Times New Roman"/>
          <w:color w:val="000000"/>
          <w:sz w:val="21"/>
          <w:szCs w:val="21"/>
        </w:rPr>
        <w:t>第四，从事劳动力商品生产的服务劳动是创造价值的生产性劳动。直接涉及劳动力这一特殊商品的生产和再生产的部门，除了包括上述有关人们生活的生产性部门以外，还包括医疗、卫生、体育、保健等等。</w:t>
      </w:r>
      <w:r>
        <w:rPr>
          <w:rFonts w:eastAsia="宋体" w:cs="Times New Roman"/>
          <w:color w:val="000000"/>
          <w:sz w:val="21"/>
          <w:szCs w:val="21"/>
          <w:vertAlign w:val="superscript"/>
        </w:rPr>
        <w:footnoteReference w:id="256"/>
      </w:r>
    </w:p>
    <w:p w14:paraId="4F602490">
      <w:pPr>
        <w:ind w:firstLine="440" w:firstLineChars="200"/>
        <w:rPr>
          <w:rFonts w:eastAsia="宋体" w:cs="Times New Roman"/>
          <w:color w:val="000000"/>
          <w:sz w:val="21"/>
          <w:szCs w:val="21"/>
        </w:rPr>
      </w:pPr>
      <w:r>
        <w:rPr>
          <w:rFonts w:hint="eastAsia" w:eastAsia="宋体" w:cs="Times New Roman"/>
          <w:color w:val="000000"/>
          <w:sz w:val="21"/>
          <w:szCs w:val="21"/>
        </w:rPr>
        <w:t>第五，生产性企业私营业主的经营管理活动是创造价值的。中外传统的政治经济学承认，</w:t>
      </w:r>
    </w:p>
    <w:p w14:paraId="70FE8377">
      <w:pPr>
        <w:ind w:firstLine="360"/>
        <w:rPr>
          <w:rFonts w:eastAsia="宋体" w:cs="Times New Roman"/>
          <w:color w:val="000000"/>
          <w:sz w:val="21"/>
          <w:szCs w:val="21"/>
        </w:rPr>
      </w:pPr>
      <w:r>
        <w:rPr>
          <w:rFonts w:hint="eastAsia" w:eastAsia="宋体" w:cs="Times New Roman"/>
          <w:color w:val="000000"/>
          <w:sz w:val="21"/>
          <w:szCs w:val="21"/>
        </w:rPr>
        <w:t>在公有制企业内，厂长经理从事生产性管理活动是创造商品价值的生产劳动，而对于资本主义私营企业内，从事生产性经营管理的活动能不能创造价值的问题，则持完全否定或回避的态度。这在分析逻辑上就形成一种难以自圆其说的矛盾：本来属于创造价值的生产性管理活动，一旦与该企业的财产私有权相结合，便完全丧失了其创造价值的生产劳动属性。其实，倘若生产性私营企业的主要投资者或所有者，同时又是该企业的实际经营管理者，那么，这种管理活动具有两重性：一是从社会劳动协作的必要管理中产生的劳动职能，客观上会创造商品的新价值；二是从财产所有权获利的必要管理中产生的剥削职能，客观上又会无偿占有他人的剩余劳动。在现实经济生活中，这两种职能交织在一起，并由一个人来承担，并不妨碍在科学分析进程中加以定性区别。</w:t>
      </w:r>
      <w:r>
        <w:rPr>
          <w:rFonts w:eastAsia="宋体" w:cs="Times New Roman"/>
          <w:color w:val="000000"/>
          <w:sz w:val="21"/>
          <w:szCs w:val="21"/>
          <w:vertAlign w:val="superscript"/>
        </w:rPr>
        <w:footnoteReference w:id="257"/>
      </w:r>
    </w:p>
    <w:p w14:paraId="4AAB8D85">
      <w:pPr>
        <w:ind w:firstLine="440" w:firstLineChars="200"/>
        <w:rPr>
          <w:rFonts w:eastAsia="宋体" w:cs="Times New Roman"/>
          <w:color w:val="000000"/>
          <w:sz w:val="21"/>
          <w:szCs w:val="21"/>
        </w:rPr>
      </w:pPr>
      <w:r>
        <w:rPr>
          <w:rFonts w:hint="eastAsia" w:eastAsia="宋体" w:cs="Times New Roman"/>
          <w:color w:val="000000"/>
          <w:sz w:val="21"/>
          <w:szCs w:val="21"/>
        </w:rPr>
        <w:t>第六，劳动生产率变化，可能引起劳动复杂程度和社会必要劳动量的变化，从而引起商品价值量的变化。马克思在阐述商品价值量与劳动生产率变化规律时舍掉了劳动的主观条件对劳动生产率的影响作用，而认定劳动的客观条件和自然条件变动引起的劳动生产率提高只引起使用价值量变动，不会影响价值总量，所以就得出了商品价值量与劳动生产率反向变化规律。但是，就一般意义而言，引起劳动生产率变化的重要因素是科技的进步，而它会引致劳动复杂程度、熟练程度和强度的提高，进而增大商品的价值量，并由此增大社会价值总量。1.如果劳动生产率变动是由劳动的客观条件变动而引起的，劳动的主观条件没有发生变化，那么劳动生产率与价值量是反向变动关系，这种情况在一定条件下和一定时期是存在的。2.如果劳动生产率变动是由劳动的主观条件变动引起的，劳动客观条件没有变动，那么，劳动生产率与价值量变动是正向变动。3.如果劳动生产率变动是由劳动的主观和客观条件共同变动引起的，劳动生产率与价值量变动方向不确定，可能是正方向变动，也可能是反方向变动，也可能不变。4.由于劳动的复杂程度、熟练程度和强度的提高而引起的劳动生产率的提高是主要的，因而长期来看商品的价值总量和社会价值总量会具有一种向上变动的趋势，而不是不变。我们对马克思的商品价值量与劳动生产率的规律作了如上的界定和新理解，就可以科学地说明科技劳动和管理劳动等在价值创造中的作用与事实。</w:t>
      </w:r>
      <w:r>
        <w:rPr>
          <w:rFonts w:eastAsia="宋体" w:cs="Times New Roman"/>
          <w:color w:val="000000"/>
          <w:sz w:val="21"/>
          <w:szCs w:val="21"/>
          <w:vertAlign w:val="superscript"/>
        </w:rPr>
        <w:footnoteReference w:id="258"/>
      </w:r>
    </w:p>
    <w:p w14:paraId="7F57FA2E">
      <w:pPr>
        <w:ind w:firstLine="440" w:firstLineChars="200"/>
        <w:rPr>
          <w:rFonts w:eastAsia="宋体" w:cs="Times New Roman"/>
          <w:b/>
          <w:color w:val="000000"/>
          <w:sz w:val="21"/>
          <w:szCs w:val="21"/>
        </w:rPr>
      </w:pPr>
      <w:r>
        <w:rPr>
          <w:rFonts w:hint="eastAsia" w:eastAsia="宋体" w:cs="Times New Roman"/>
          <w:b/>
          <w:color w:val="000000"/>
          <w:sz w:val="21"/>
          <w:szCs w:val="21"/>
        </w:rPr>
        <w:t>（二）与新假设密不可分的“全要素财富说”和“按贡分配形质说”</w:t>
      </w:r>
    </w:p>
    <w:p w14:paraId="3FE9DA62">
      <w:pPr>
        <w:ind w:firstLine="440" w:firstLineChars="200"/>
        <w:rPr>
          <w:rFonts w:eastAsia="宋体" w:cs="Times New Roman"/>
          <w:color w:val="000000"/>
          <w:sz w:val="21"/>
          <w:szCs w:val="21"/>
        </w:rPr>
      </w:pPr>
      <w:r>
        <w:rPr>
          <w:rFonts w:hint="eastAsia" w:eastAsia="宋体" w:cs="Times New Roman"/>
          <w:color w:val="000000"/>
          <w:sz w:val="21"/>
          <w:szCs w:val="21"/>
        </w:rPr>
        <w:t>与上述“新的活劳动创造价值假设”密切相关的是“全要素财富说”和“按贡分配形质说”。必须指出，活劳动是价值的唯一源泉，但就劳动过程而言，显然，仅有活劳动是远远不够的。人们还必须拥有除劳动之外的其他生产要素才能进行现实的生产和服务活动，提供能满足人们各种需要的使用价值或效用。其中，包括土地、资本、技术、信息，以及自然资源和生态环境等。因而，财富、效用或使用价值的源泉是多元的，是所有或全部相关生产要素直接创造和构成的。同一些论著随意批评马克思经济学忽视财富及其生产要素的观点相反，马克思是一贯高度重视财富及其各种生产要素作用的。</w:t>
      </w:r>
    </w:p>
    <w:p w14:paraId="143DFD16">
      <w:pPr>
        <w:ind w:firstLine="440" w:firstLineChars="200"/>
        <w:rPr>
          <w:rFonts w:eastAsia="宋体" w:cs="Times New Roman"/>
          <w:color w:val="000000"/>
          <w:sz w:val="21"/>
          <w:szCs w:val="21"/>
        </w:rPr>
      </w:pPr>
      <w:r>
        <w:rPr>
          <w:rFonts w:hint="eastAsia" w:eastAsia="宋体" w:cs="Times New Roman"/>
          <w:color w:val="000000"/>
          <w:sz w:val="21"/>
          <w:szCs w:val="21"/>
        </w:rPr>
        <w:t>十分明显，这里的“全要素财富说”与“活劳动价值说”不仅不矛盾，而且是相辅相成的，共同构成了关于创造商品和财富的完整理论。前者说明的是作为具体劳动过程的生产要素与社会财富（商品使用价值或效用）之间的关系，其目的主要是揭示在创造使用价值的具体劳动过程中人与物之间的关系和物与物之间的关系。在这个层面上，财富的源泉必然是多元的。后者说明的是作为抽象劳动的活劳动与商品价值之间的关系，其目的主要是揭示在特定的社会生产方式下新价值创造过程中人与人之间的关系。在这个层面上，价值的源泉又必然是一元的。</w:t>
      </w:r>
    </w:p>
    <w:p w14:paraId="43E14409">
      <w:pPr>
        <w:ind w:firstLine="440" w:firstLineChars="200"/>
        <w:rPr>
          <w:rFonts w:eastAsia="宋体" w:cs="Times New Roman"/>
          <w:color w:val="000000"/>
          <w:sz w:val="21"/>
          <w:szCs w:val="21"/>
        </w:rPr>
      </w:pPr>
      <w:r>
        <w:rPr>
          <w:rFonts w:hint="eastAsia" w:eastAsia="宋体" w:cs="Times New Roman"/>
          <w:color w:val="000000"/>
          <w:sz w:val="21"/>
          <w:szCs w:val="21"/>
        </w:rPr>
        <w:t>同时，二者的内在联系又表明：作为劳动主体的活劳动，既是价值的源泉，也是财富的源泉；作为劳动客体的有形或无形生产资料，既是财富的源泉，也是价值创造的必要经济条件或基础。但是，要素价值论者声称财富的源泉就是商品价值的源泉，既然劳动不是财富的唯一源泉，那么劳动也不是价值的唯一源泉，其他生产要素的劳动一起共同创造价值。在这里，他们混淆了财富与价值、具体劳动与抽象劳动、不变资本与可变资本、劳动过程与价值创造过程等一系列区别。</w:t>
      </w:r>
    </w:p>
    <w:p w14:paraId="2EF41514">
      <w:pPr>
        <w:ind w:firstLine="440" w:firstLineChars="200"/>
        <w:rPr>
          <w:rFonts w:eastAsia="宋体" w:cs="Times New Roman"/>
          <w:color w:val="000000"/>
          <w:sz w:val="21"/>
          <w:szCs w:val="21"/>
        </w:rPr>
      </w:pPr>
      <w:r>
        <w:rPr>
          <w:rFonts w:hint="eastAsia" w:eastAsia="宋体" w:cs="Times New Roman"/>
          <w:color w:val="000000"/>
          <w:sz w:val="21"/>
          <w:szCs w:val="21"/>
        </w:rPr>
        <w:t>最后，还有一个重要问题也必须指出，我国现行的收入分配制度是以按劳分配为主体，多种分配方式并存的制度。把按劳分配与按生产要素分配结合起来，这是社会主义市场经济的一项基本制度。广义上看，按生产要素分配中自然包括按劳动力这一主体性要素分配（在了解了劳动与劳动力的严格区别后，不妨碍我们说劳动是一个独立的生产要素），而市场型按劳分配首先表明的是要视劳动力同其他生产要素一样，可凭借自身的所有权参与分配，其次才表明要根据劳动力的实际有效支出或贡献，即有效劳动的数量和质量，来具体确定可分配的价值量或金额。这不会否定我们经常从狭义上把按劳分配从按生产要素分配中独立出来，并分别加以阐明。</w:t>
      </w:r>
    </w:p>
    <w:p w14:paraId="0AB1CA92">
      <w:pPr>
        <w:ind w:firstLine="440" w:firstLineChars="200"/>
        <w:rPr>
          <w:rFonts w:eastAsia="宋体" w:cs="Times New Roman"/>
          <w:color w:val="000000"/>
          <w:sz w:val="21"/>
          <w:szCs w:val="21"/>
        </w:rPr>
      </w:pPr>
      <w:r>
        <w:rPr>
          <w:rFonts w:hint="eastAsia" w:eastAsia="宋体" w:cs="Times New Roman"/>
          <w:color w:val="000000"/>
          <w:sz w:val="21"/>
          <w:szCs w:val="21"/>
        </w:rPr>
        <w:t>马克思在《资本论》中全面系统地论述了生产要素的多种产权状态与生产成果的多种分配状态及其相互关系</w:t>
      </w:r>
      <w:r>
        <w:rPr>
          <w:rFonts w:eastAsia="宋体" w:cs="Times New Roman"/>
          <w:color w:val="000000"/>
          <w:sz w:val="21"/>
          <w:szCs w:val="21"/>
          <w:vertAlign w:val="superscript"/>
        </w:rPr>
        <w:footnoteReference w:id="259"/>
      </w:r>
      <w:r>
        <w:rPr>
          <w:rFonts w:hint="eastAsia" w:eastAsia="宋体" w:cs="Times New Roman"/>
          <w:color w:val="000000"/>
          <w:sz w:val="21"/>
          <w:szCs w:val="21"/>
        </w:rPr>
        <w:t>，这启发我们可以从国民收入初次分配的角度提炼出“多产权分配说”，即多种产权关系决定了按资和按劳等多种分配方式。无论是资本主义市场经济，还是社会主义市场经济，其多种分配形式都直接取决于生产要素的所有权或产权。</w:t>
      </w:r>
      <w:r>
        <w:rPr>
          <w:rFonts w:eastAsia="宋体" w:cs="Times New Roman"/>
          <w:color w:val="000000"/>
          <w:sz w:val="21"/>
          <w:szCs w:val="21"/>
          <w:vertAlign w:val="superscript"/>
        </w:rPr>
        <w:footnoteReference w:id="260"/>
      </w:r>
    </w:p>
    <w:p w14:paraId="7A01BC53">
      <w:pPr>
        <w:ind w:firstLine="440" w:firstLineChars="200"/>
        <w:rPr>
          <w:rFonts w:eastAsia="宋体" w:cs="Times New Roman"/>
          <w:color w:val="000000"/>
          <w:sz w:val="21"/>
          <w:szCs w:val="21"/>
        </w:rPr>
      </w:pPr>
      <w:r>
        <w:rPr>
          <w:rFonts w:hint="eastAsia" w:eastAsia="宋体" w:cs="Times New Roman"/>
          <w:color w:val="000000"/>
          <w:sz w:val="21"/>
          <w:szCs w:val="21"/>
        </w:rPr>
        <w:t>事实上，劳动价值论是一切市场经济的理论基石，所揭示的是市场经济条件下劳动与商品之间的一般规律以及劳动机制和价值机制，指出价值是由活劳动创造的，生产资料的价值只是被转移到商品价值中，因而使其旧价值得以保存；而马克思所描述的经典社会主义的按劳分配是没有商品货币关系和市场经济的，因而劳动价值论不可能成为马克思设想的社会主义按劳分配的直接依据。不过，在现阶段我国社会主义市场经济的运行中，劳动价值论同市场型按劳分配有了一定的联系，因为分配的是商品出售后的价值，又由企业自主分配并完全货币化。尽管市场化按劳分配的直接依据是生产资料的公有制和劳动力的个人所有制，但从宽泛的意义上说，公有制范围内的工资既是劳动力价值或价格的转化形式，也是市场型按劳分配的实现形式。</w:t>
      </w:r>
    </w:p>
    <w:p w14:paraId="0192D2D3">
      <w:pPr>
        <w:ind w:firstLine="440" w:firstLineChars="200"/>
        <w:rPr>
          <w:rFonts w:eastAsia="宋体" w:cs="Times New Roman"/>
          <w:color w:val="000000"/>
          <w:sz w:val="21"/>
          <w:szCs w:val="21"/>
        </w:rPr>
      </w:pPr>
      <w:r>
        <w:rPr>
          <w:rFonts w:hint="eastAsia" w:eastAsia="宋体" w:cs="Times New Roman"/>
          <w:color w:val="000000"/>
          <w:sz w:val="21"/>
          <w:szCs w:val="21"/>
        </w:rPr>
        <w:t>进一步说，按生产要素贡献分配的表现形式，是按生产要素所有者在自身创造财富和价值过程中的具体贡献来分配的，而其经济实质则是按生产要素所有者在要素创造财富和活劳动创造价值过程中所贡献或提供的要素数量及其产权关系来分配的。这就是按生产要素贡献分配的形式与实质，用哲学上的形质来表达，可简称为“按贡分配形质说”。</w:t>
      </w:r>
    </w:p>
    <w:p w14:paraId="5F21D6A3">
      <w:pPr>
        <w:ind w:firstLine="440" w:firstLineChars="200"/>
        <w:rPr>
          <w:rFonts w:eastAsia="宋体" w:cs="Times New Roman"/>
          <w:color w:val="000000"/>
          <w:sz w:val="21"/>
          <w:szCs w:val="21"/>
        </w:rPr>
      </w:pPr>
      <w:r>
        <w:rPr>
          <w:rFonts w:hint="eastAsia" w:eastAsia="宋体" w:cs="Times New Roman"/>
          <w:color w:val="000000"/>
          <w:sz w:val="21"/>
          <w:szCs w:val="21"/>
        </w:rPr>
        <w:t>现代西方主流经济学的“生产三要素创造价值假设”把按生产要素贡献分配的形式或表象当作其本质，而现代马克思主义政治经济学理论，既承认按生产要素贡献分配的形式或表象，又揭示了其经济实质，并在形式与本质相统一的基础上理解和新用“按贡献分配”这一术语。这与西方经济学一贯主张按贡献分配的诠释和立场是有本质区别的。</w:t>
      </w:r>
    </w:p>
    <w:p w14:paraId="73D57FBF">
      <w:pPr>
        <w:ind w:firstLine="440" w:firstLineChars="200"/>
        <w:rPr>
          <w:rFonts w:eastAsia="宋体" w:cs="Times New Roman"/>
          <w:color w:val="000000"/>
          <w:sz w:val="21"/>
          <w:szCs w:val="21"/>
        </w:rPr>
      </w:pPr>
      <w:r>
        <w:rPr>
          <w:rFonts w:hint="eastAsia" w:eastAsia="宋体" w:cs="Times New Roman"/>
          <w:color w:val="000000"/>
          <w:sz w:val="21"/>
          <w:szCs w:val="21"/>
        </w:rPr>
        <w:t>有的论者以为，只要承认“按贡献分配”的用语，就等于承认生产要素所有者都亲自创造或贡献了财富和价值，并据此进行分配。这是有误的论证。其理由在于：当我们使用“按贡献分配”一词时，只是承认在特定的经济制度下，要素所有者拿出了一定数量的土地、资本等非活劳动性质的要素同劳动力相结合，进而由劳动者运用非活劳动生产要素实际创造财富和价值。从产业资本循环的三个阶段来分析，要素所有者只是在实际生产财富和价值之前的购买阶段从“预付”、“拿出”或“提供”的意义上“贡献”了非活劳动生产要素，而所有的财富和价值都是在生产阶段由劳动者运用非活劳动生产要素进行实际创造和生产的，并在生产阶段结束后（若是商品则在销售阶段后），由购买阶段的各个要素所有者依据“预付”要素的数量及其所有权进行生产成果的分割或分配。可见，是要素本身成为财富的源泉，而不是要素所有者成为财富的源泉；是要素本身对财富的实际构成作出了生产性的贡献，而非要素所有者对财富的实际构成作出了生产性的贡献；从一般劳动过程考察，劳动者运用各种生产要素实际生产或贡献出财富或价值，只与各类生产要素的数量和质量有关，而同要素的所有权状况（私人所有、集体所有、国家所有或公私混合所有）没有直接的关系。</w:t>
      </w:r>
    </w:p>
    <w:p w14:paraId="7F9CBC72">
      <w:pPr>
        <w:ind w:firstLine="440" w:firstLineChars="200"/>
        <w:rPr>
          <w:rFonts w:eastAsia="宋体" w:cs="Times New Roman"/>
          <w:color w:val="000000"/>
          <w:sz w:val="21"/>
          <w:szCs w:val="21"/>
        </w:rPr>
      </w:pPr>
      <w:r>
        <w:rPr>
          <w:rFonts w:hint="eastAsia" w:eastAsia="宋体" w:cs="Times New Roman"/>
          <w:color w:val="000000"/>
          <w:sz w:val="21"/>
          <w:szCs w:val="21"/>
        </w:rPr>
        <w:t>其实，“按贡分配”归根到底可以分解为劳动所得或按劳分配与资本所得或按资分配。当把管理、技术、信息等作为劳动来看待并参与实际分配时，它们属于劳动所得或按劳分配的范畴；当把管理、技术、信息等作为资本来看待并实际参与分配时，它们属于资本所得或按资分配的范畴。例如，科技人员因技术发明而获得收入，属于劳动所得或按劳分配；科技人员再把这项技术发明折合成一定数量的技术股并参与分配，则明显地属于技术资本所得或按资分配。又如，让某个名人在企业挂名并给予一定数量的干股，而他不为该企业从事任何工作，则是将名人的无形资产转化为资本，全部属于资本所得或按资分配。再如，对实际在企业工作的某个管理者或员工实行部分工资加部分干股的总收入分配方式，则其总收入都属于劳动所得或按劳分配。其他生产要素均可作以此类推的分析。</w:t>
      </w:r>
    </w:p>
    <w:p w14:paraId="4B9E82B7">
      <w:pPr>
        <w:ind w:firstLine="440" w:firstLineChars="200"/>
        <w:rPr>
          <w:rFonts w:eastAsia="宋体" w:cs="Times New Roman"/>
          <w:color w:val="000000"/>
          <w:sz w:val="21"/>
          <w:szCs w:val="21"/>
        </w:rPr>
      </w:pPr>
      <w:r>
        <w:rPr>
          <w:rFonts w:hint="eastAsia" w:eastAsia="宋体" w:cs="Times New Roman"/>
          <w:color w:val="000000"/>
          <w:sz w:val="21"/>
          <w:szCs w:val="21"/>
        </w:rPr>
        <w:t>那么，各种要素收益的量的规定是由什么规律和机制进行调节的呢？要素价值论者认为，用边际分析法可准确测定其各自应得的实际贡献额。事实上，各种要素所有者参与分配的量的多少，其依据和分割规律是不同的。工资收入是劳动力价值或价格的货币表现，工资的多少并不影响商品的价值，其实际数量多少取决于全体或部分劳动者的谈判和博弈状态，而不是劳动者的边际贡献。</w:t>
      </w:r>
      <w:r>
        <w:rPr>
          <w:rFonts w:eastAsia="宋体" w:cs="Times New Roman"/>
          <w:color w:val="000000"/>
          <w:sz w:val="21"/>
          <w:szCs w:val="21"/>
          <w:vertAlign w:val="superscript"/>
        </w:rPr>
        <w:footnoteReference w:id="261"/>
      </w:r>
      <w:r>
        <w:rPr>
          <w:rFonts w:hint="eastAsia" w:eastAsia="宋体" w:cs="Times New Roman"/>
          <w:color w:val="000000"/>
          <w:sz w:val="21"/>
          <w:szCs w:val="21"/>
        </w:rPr>
        <w:t>非劳动的生产要素所有者在竞争规律和平均利润率规律的作用下，等量资本大体获取等量收益，并具体表现为地租、利息和利润等形式。这一趋势性的收益分割规律和机制，并不排除各种垄断、产业地位、交易能力和博弈智慧等主客观因素影响其实际收益数量。</w:t>
      </w:r>
    </w:p>
    <w:p w14:paraId="08927E0F">
      <w:pPr>
        <w:ind w:firstLine="440" w:firstLineChars="200"/>
        <w:rPr>
          <w:rFonts w:eastAsia="宋体" w:cs="Times New Roman"/>
          <w:color w:val="000000"/>
          <w:sz w:val="21"/>
          <w:szCs w:val="21"/>
        </w:rPr>
      </w:pPr>
      <w:r>
        <w:rPr>
          <w:rFonts w:hint="eastAsia" w:eastAsia="宋体" w:cs="Times New Roman"/>
          <w:color w:val="000000"/>
          <w:sz w:val="21"/>
          <w:szCs w:val="21"/>
        </w:rPr>
        <w:t>当前，我们要高度重视和发挥劳动、科技、信息、管理、环境和资本等各种生产要素的作用，切实保障一切要素所有者的合法权益，促使国民经济和人民生活又快又好地健康发展。这是由“新的活劳动创造价值假设”，以及与此有关的“全要素财富说”、“多产权分配说”和“按贡分配形质说”必然推出的政策思想。</w:t>
      </w:r>
    </w:p>
    <w:p w14:paraId="422D6B11">
      <w:pPr>
        <w:ind w:firstLine="440" w:firstLineChars="200"/>
        <w:rPr>
          <w:rFonts w:eastAsia="宋体" w:cs="Times New Roman"/>
          <w:b/>
          <w:color w:val="000000"/>
          <w:sz w:val="21"/>
          <w:szCs w:val="21"/>
        </w:rPr>
      </w:pPr>
      <w:r>
        <w:rPr>
          <w:rFonts w:hint="eastAsia" w:eastAsia="宋体" w:cs="Times New Roman"/>
          <w:b/>
          <w:color w:val="000000"/>
          <w:sz w:val="21"/>
          <w:szCs w:val="21"/>
        </w:rPr>
        <w:t>二、利己和利他经济人假设</w:t>
      </w:r>
    </w:p>
    <w:p w14:paraId="2CC6CDAF">
      <w:pPr>
        <w:ind w:firstLine="440" w:firstLineChars="200"/>
        <w:rPr>
          <w:rFonts w:eastAsia="宋体" w:cs="Times New Roman"/>
          <w:color w:val="000000"/>
          <w:sz w:val="21"/>
          <w:szCs w:val="21"/>
        </w:rPr>
      </w:pPr>
      <w:r>
        <w:rPr>
          <w:rFonts w:hint="eastAsia" w:eastAsia="宋体" w:cs="Times New Roman"/>
          <w:color w:val="000000"/>
          <w:sz w:val="21"/>
          <w:szCs w:val="21"/>
        </w:rPr>
        <w:t>西方经济学自英国近代的亚当·斯密、西尼尔和约翰·穆勒以来，一直到当代美国的哈耶克、弗里德曼和布坎南，只把“自私人”即“经济人”作为探究人类经济行为和市场经济的始点、基点和定点，并由此推演出整个经济学体系和经济进化史。即使现今某些新自由主义经济学家对传统“经济人”内涵进行修补，把分析范围扩展到非经济领域，增添机会主义行为描述和信息成本约束，或者把含义扩展界定为可用货币衡量的经济利益与不可用货币衡量的精神利益两个层面，也没有根本摆脱作为“最大化行为”的“自私人”的思维模式。这种“完全自私经济人假设”包含三个基本命题：1.经济活动中的人是自私的，即追求自身利益是驱策人的经济行为的根本动机。2.经济活动中的人在行为上是理性的，具有完备或较完备的知识和计算能力，能视市场和自身状况而使所追求的个人利益最大化。3.只要有良好的制度保证，个人追求自身利益最大化的自由行动会无意而有效地增进社会公共利益。</w:t>
      </w:r>
    </w:p>
    <w:p w14:paraId="52CEC637">
      <w:pPr>
        <w:ind w:firstLine="440" w:firstLineChars="200"/>
        <w:rPr>
          <w:rFonts w:eastAsia="宋体" w:cs="Times New Roman"/>
          <w:b/>
          <w:color w:val="000000"/>
          <w:sz w:val="21"/>
          <w:szCs w:val="21"/>
        </w:rPr>
      </w:pPr>
      <w:r>
        <w:rPr>
          <w:rFonts w:hint="eastAsia" w:eastAsia="宋体" w:cs="Times New Roman"/>
          <w:b/>
          <w:color w:val="000000"/>
          <w:sz w:val="21"/>
          <w:szCs w:val="21"/>
        </w:rPr>
        <w:t>（一）“完全自私经济人假设”的误点</w:t>
      </w:r>
    </w:p>
    <w:p w14:paraId="29F9BD2F">
      <w:pPr>
        <w:ind w:firstLine="440" w:firstLineChars="200"/>
        <w:rPr>
          <w:rFonts w:eastAsia="宋体" w:cs="Times New Roman"/>
          <w:color w:val="000000"/>
          <w:sz w:val="21"/>
          <w:szCs w:val="21"/>
        </w:rPr>
      </w:pPr>
      <w:r>
        <w:rPr>
          <w:rFonts w:hint="eastAsia" w:eastAsia="宋体" w:cs="Times New Roman"/>
          <w:color w:val="000000"/>
          <w:sz w:val="21"/>
          <w:szCs w:val="21"/>
        </w:rPr>
        <w:t>正如当代法国经济心理学学会创始人阿尔布在批判西方“经济人的神话”时所说的，各门人文科学的进步，尤其是心理学、社会学和社会心理学的进步，使我们不难证明有关“经济人”的这些论点是不够的或不确切的。具体说来，“完全自私经济人假设”或“完全利己经济人假设”的理念存在下列误点：</w:t>
      </w:r>
    </w:p>
    <w:p w14:paraId="245481B2">
      <w:pPr>
        <w:ind w:firstLine="440" w:firstLineChars="200"/>
        <w:rPr>
          <w:rFonts w:eastAsia="宋体" w:cs="Times New Roman"/>
          <w:color w:val="000000"/>
          <w:sz w:val="21"/>
          <w:szCs w:val="21"/>
        </w:rPr>
      </w:pPr>
      <w:r>
        <w:rPr>
          <w:rFonts w:hint="eastAsia" w:eastAsia="宋体" w:cs="Times New Roman"/>
          <w:color w:val="000000"/>
          <w:sz w:val="21"/>
          <w:szCs w:val="21"/>
        </w:rPr>
        <w:t>其一，理念源于功利主义。19世纪，边沁将大小私有者在经济活动中自发产生的功利标准泛推到伦理领域，把最大限度地追求个人利益的自私精神说成是最大多数人的最大幸福的途径。这是亚当·斯密经济学及其后继者的主要哲学方法。其实，休谟早就批判过类似观念，他写道：“自私这个性质被渲染得太过火了，而且有些哲学家们所乐于尽情描写的人类的自私，就像我们在童话和小说中所遇到的任何有关妖怪的记载一样荒诞不经，与自然离得太远了。”</w:t>
      </w:r>
      <w:r>
        <w:rPr>
          <w:rFonts w:eastAsia="宋体" w:cs="Times New Roman"/>
          <w:color w:val="000000"/>
          <w:sz w:val="21"/>
          <w:szCs w:val="21"/>
          <w:vertAlign w:val="superscript"/>
        </w:rPr>
        <w:footnoteReference w:id="262"/>
      </w:r>
    </w:p>
    <w:p w14:paraId="302E135B">
      <w:pPr>
        <w:ind w:firstLine="440" w:firstLineChars="200"/>
        <w:rPr>
          <w:rFonts w:eastAsia="宋体" w:cs="Times New Roman"/>
          <w:color w:val="000000"/>
          <w:sz w:val="21"/>
          <w:szCs w:val="21"/>
        </w:rPr>
      </w:pPr>
      <w:r>
        <w:rPr>
          <w:rFonts w:hint="eastAsia" w:eastAsia="宋体" w:cs="Times New Roman"/>
          <w:color w:val="000000"/>
          <w:sz w:val="21"/>
          <w:szCs w:val="21"/>
        </w:rPr>
        <w:t>其二，理念同预设主义相吻合。现代科学哲学的预设主义认为，在科学发展中，存在着某种预设的、超历史的、不变的、不可违背的方法、基本假设、推理原则和“元科学”概念。而“完全自私经济人”理论恰恰强调，不管人在历史上和现实中是不是完全自私的，经济学必须以理性的“自私人”为不变的假设或预设，这是不可违背的分析方法和推理原则。奥地利的经济哲学家米塞斯在《经济学的认识论问题》一书中，就完全排斥经验的方法和历史的方法及实证主义方法，反对新康德主义者文德尔班和李凯尔特关于经济学是说明个别性的历史科学这一观点，而宣称经济学是以原子式个人主义为基础的规律化的先验理论，“先验的理论并不是来自经验”</w:t>
      </w:r>
      <w:r>
        <w:rPr>
          <w:rFonts w:eastAsia="宋体" w:cs="Times New Roman"/>
          <w:color w:val="000000"/>
          <w:sz w:val="21"/>
          <w:szCs w:val="21"/>
          <w:vertAlign w:val="superscript"/>
        </w:rPr>
        <w:footnoteReference w:id="263"/>
      </w:r>
      <w:r>
        <w:rPr>
          <w:rFonts w:hint="eastAsia" w:eastAsia="宋体" w:cs="Times New Roman"/>
          <w:color w:val="000000"/>
          <w:sz w:val="21"/>
          <w:szCs w:val="21"/>
        </w:rPr>
        <w:t>。显然，这又沿袭了康德先验论的思维方法。</w:t>
      </w:r>
    </w:p>
    <w:p w14:paraId="0B9FA637">
      <w:pPr>
        <w:ind w:firstLine="440" w:firstLineChars="200"/>
        <w:rPr>
          <w:rFonts w:eastAsia="宋体" w:cs="Times New Roman"/>
          <w:color w:val="000000"/>
          <w:sz w:val="21"/>
          <w:szCs w:val="21"/>
        </w:rPr>
      </w:pPr>
      <w:r>
        <w:rPr>
          <w:rFonts w:hint="eastAsia" w:eastAsia="宋体" w:cs="Times New Roman"/>
          <w:color w:val="000000"/>
          <w:sz w:val="21"/>
          <w:szCs w:val="21"/>
        </w:rPr>
        <w:t>其三，理念的历史唯心论意蕴。“旧经济人”理念视利己心为与生俱来和一成不变的东西，不分历史时点地把“自私人”抽象化、永恒化和绝对化，无视特定的经济关系和经济制度对人的经济行为与经济心理的作用，这就有意无意地陷入了历史唯心主义的泥潭。这连杜威也不赞同，他说：“事实上，经济制度与关系乃是人性中最易改变的表现方式。历史便是其变化幅度的活生生的证据。</w:t>
      </w:r>
      <w:r>
        <w:rPr>
          <w:rFonts w:hint="eastAsia" w:ascii="MS Mincho" w:hAnsi="MS Mincho" w:eastAsia="MS Mincho" w:cs="MS Mincho"/>
          <w:color w:val="000000"/>
          <w:sz w:val="21"/>
          <w:szCs w:val="21"/>
        </w:rPr>
        <w:t>……</w:t>
      </w:r>
      <w:r>
        <w:rPr>
          <w:rFonts w:hint="eastAsia" w:eastAsia="宋体" w:cs="Times New Roman"/>
          <w:color w:val="000000"/>
          <w:sz w:val="21"/>
          <w:szCs w:val="21"/>
        </w:rPr>
        <w:t>如果人性是不可改变的</w:t>
      </w:r>
      <w:r>
        <w:rPr>
          <w:rFonts w:eastAsia="宋体" w:cs="Times New Roman"/>
          <w:color w:val="000000"/>
          <w:sz w:val="21"/>
          <w:szCs w:val="21"/>
        </w:rPr>
        <w:t>，</w:t>
      </w:r>
      <w:r>
        <w:rPr>
          <w:rFonts w:hint="eastAsia" w:eastAsia="宋体" w:cs="Times New Roman"/>
          <w:color w:val="000000"/>
          <w:sz w:val="21"/>
          <w:szCs w:val="21"/>
        </w:rPr>
        <w:t>那么就不存在教育这类事情</w:t>
      </w:r>
      <w:r>
        <w:rPr>
          <w:rFonts w:eastAsia="宋体" w:cs="Times New Roman"/>
          <w:color w:val="000000"/>
          <w:sz w:val="21"/>
          <w:szCs w:val="21"/>
        </w:rPr>
        <w:t>，</w:t>
      </w:r>
      <w:r>
        <w:rPr>
          <w:rFonts w:hint="eastAsia" w:eastAsia="宋体" w:cs="Times New Roman"/>
          <w:color w:val="000000"/>
          <w:sz w:val="21"/>
          <w:szCs w:val="21"/>
        </w:rPr>
        <w:t>我们从事教育的全部努力就注定会失败。”</w:t>
      </w:r>
      <w:r>
        <w:rPr>
          <w:rFonts w:eastAsia="宋体" w:cs="Times New Roman"/>
          <w:color w:val="000000"/>
          <w:sz w:val="21"/>
          <w:szCs w:val="21"/>
          <w:vertAlign w:val="superscript"/>
        </w:rPr>
        <w:footnoteReference w:id="264"/>
      </w:r>
    </w:p>
    <w:p w14:paraId="4CF55BDE">
      <w:pPr>
        <w:ind w:firstLine="440" w:firstLineChars="200"/>
        <w:rPr>
          <w:rFonts w:eastAsia="宋体" w:cs="Times New Roman"/>
          <w:color w:val="000000"/>
          <w:sz w:val="21"/>
          <w:szCs w:val="21"/>
        </w:rPr>
      </w:pPr>
      <w:r>
        <w:rPr>
          <w:rFonts w:hint="eastAsia" w:eastAsia="宋体" w:cs="Times New Roman"/>
          <w:color w:val="000000"/>
          <w:sz w:val="21"/>
          <w:szCs w:val="21"/>
        </w:rPr>
        <w:t>其四，理念渗透着形而上学的偏见。当代西方私有产权学派代表人物张五常曾经透彻地表达了西方主流经济学的信念：“经济学上最重要的基本假设是：每一个人无论何时何地，都会在局限约束条件下争取他个人最大利益。说得不雅一点，即每个人的行为都是一贯地、永远不变地以自私为出发点。</w:t>
      </w:r>
      <w:r>
        <w:rPr>
          <w:rFonts w:hint="eastAsia" w:ascii="MS Mincho" w:hAnsi="MS Mincho" w:eastAsia="MS Mincho" w:cs="MS Mincho"/>
          <w:color w:val="000000"/>
          <w:sz w:val="21"/>
          <w:szCs w:val="21"/>
        </w:rPr>
        <w:t>……</w:t>
      </w:r>
      <w:r>
        <w:rPr>
          <w:rFonts w:hint="eastAsia" w:eastAsia="宋体" w:cs="Times New Roman"/>
          <w:color w:val="000000"/>
          <w:sz w:val="21"/>
          <w:szCs w:val="21"/>
        </w:rPr>
        <w:t>在经济学的范畴内</w:t>
      </w:r>
      <w:r>
        <w:rPr>
          <w:rFonts w:eastAsia="宋体" w:cs="Times New Roman"/>
          <w:color w:val="000000"/>
          <w:sz w:val="21"/>
          <w:szCs w:val="21"/>
        </w:rPr>
        <w:t>，</w:t>
      </w:r>
      <w:r>
        <w:rPr>
          <w:rFonts w:hint="eastAsia" w:eastAsia="宋体" w:cs="Times New Roman"/>
          <w:color w:val="000000"/>
          <w:sz w:val="21"/>
          <w:szCs w:val="21"/>
        </w:rPr>
        <w:t>任何行为都是这样看</w:t>
      </w:r>
      <w:r>
        <w:rPr>
          <w:rFonts w:eastAsia="宋体" w:cs="Times New Roman"/>
          <w:color w:val="000000"/>
          <w:sz w:val="21"/>
          <w:szCs w:val="21"/>
        </w:rPr>
        <w:t>：</w:t>
      </w:r>
      <w:r>
        <w:rPr>
          <w:rFonts w:hint="eastAsia" w:eastAsia="宋体" w:cs="Times New Roman"/>
          <w:color w:val="000000"/>
          <w:sz w:val="21"/>
          <w:szCs w:val="21"/>
        </w:rPr>
        <w:t>捐钱、协助他人、上街行动等，都是以‘自私’为出发点。”</w:t>
      </w:r>
      <w:r>
        <w:rPr>
          <w:rFonts w:eastAsia="宋体" w:cs="Times New Roman"/>
          <w:color w:val="000000"/>
          <w:sz w:val="21"/>
          <w:szCs w:val="21"/>
          <w:vertAlign w:val="superscript"/>
        </w:rPr>
        <w:footnoteReference w:id="265"/>
      </w:r>
      <w:r>
        <w:rPr>
          <w:rFonts w:hint="eastAsia" w:eastAsia="宋体" w:cs="Times New Roman"/>
          <w:color w:val="000000"/>
          <w:sz w:val="21"/>
          <w:szCs w:val="21"/>
        </w:rPr>
        <w:t>略懂唯物辩证法的经济学家和哲学家，大概均不会首肯此类极端片面的、孤立的和静止的理性“自私人”观点。博兰在1997年出版的《批判的经济学方法论》中这样评论：“新古典经济学醉心于下述形而上学观点，即：每一位个别决策者都是理性的（至少在个人的行为能用理性的论据加以解释的程度上）。令人遗憾的是，当理性和个人主义联系在一起时，就会产生一种颇为机械的关于决策行为的观点——也就是个人被视为一台机器。”</w:t>
      </w:r>
      <w:r>
        <w:rPr>
          <w:rFonts w:eastAsia="宋体" w:cs="Times New Roman"/>
          <w:color w:val="000000"/>
          <w:sz w:val="21"/>
          <w:szCs w:val="21"/>
          <w:vertAlign w:val="superscript"/>
        </w:rPr>
        <w:footnoteReference w:id="266"/>
      </w:r>
    </w:p>
    <w:p w14:paraId="005506C5">
      <w:pPr>
        <w:ind w:firstLine="440" w:firstLineChars="200"/>
        <w:rPr>
          <w:rFonts w:eastAsia="宋体" w:cs="Times New Roman"/>
          <w:color w:val="000000"/>
          <w:sz w:val="21"/>
          <w:szCs w:val="21"/>
        </w:rPr>
      </w:pPr>
      <w:r>
        <w:rPr>
          <w:rFonts w:hint="eastAsia" w:eastAsia="宋体" w:cs="Times New Roman"/>
          <w:color w:val="000000"/>
          <w:sz w:val="21"/>
          <w:szCs w:val="21"/>
        </w:rPr>
        <w:t>其五，理念存有“经济—道德”二元悖论。斯密在《国富论》中只确认经济领域的自私自利行为，而在《道德情操论》中又确认道德领域的人可能有某些同情心和利他行为，这似乎形成一个“经济—道德”二元悖论。难道经济活动过程中没有道德和利他问题？完全和永恒的“自私人”与“道德人”或“利他人”行为如何协调？与西方经济学家一般因谈不清而不敢谈经济行为的道德问题不同，贝克尔撇开这一难题，承认在家庭和亲戚范围内有程度不一的利他行为，即主张“血亲利他主义”。但不管怎样，只要在经验或实践中存在利他行为（含家庭经济活动），完全的“天性利己主义”假说就被证伪了。诚然，“血亲利他主义”也解不开“经济—道德”二元悖论的矛盾死结，因为它只是放宽了家庭这一领域的分析，非家庭的广大领域依然笼罩着“自私人”思维。</w:t>
      </w:r>
    </w:p>
    <w:p w14:paraId="270D9ADB">
      <w:pPr>
        <w:ind w:firstLine="440" w:firstLineChars="200"/>
        <w:rPr>
          <w:rFonts w:eastAsia="宋体" w:cs="Times New Roman"/>
          <w:color w:val="000000"/>
          <w:sz w:val="21"/>
          <w:szCs w:val="21"/>
        </w:rPr>
      </w:pPr>
      <w:r>
        <w:rPr>
          <w:rFonts w:hint="eastAsia" w:eastAsia="宋体" w:cs="Times New Roman"/>
          <w:color w:val="000000"/>
          <w:sz w:val="21"/>
          <w:szCs w:val="21"/>
        </w:rPr>
        <w:t>其六，理念奉行唯理论的教条。西方主流经济学所说的理性，是指个人谋求自身私利的合理行为，因而“理性人”也就是“自私人”，甚至合称“理性经济人”。在他们的视野里，人若不自私，那就属于非理性。这可称“自私拜物教”，是极端片面和夸大理性作用的观点。经验表明，自私不等于理性；某些自私行为属于非理性，如因故一时冲动而签订私人经济合同；某些理性行为属于利他，如有些匿名捐款。事实上，弗洛伊德主义及其心理实验也可印证，西蒙的“有限理性”假说比“完全理性”或“充分理性”假说要贴近现实。不过，“有限理性”假说仍是在旧“自私人”理论框架内的改良，没有本质上的创新，因为这一理论改良也无法阐明“抢银行是不是理性的”（博兰的问题），以及“盗窃何害之有”（张五常的主张）等逻辑怪题。</w:t>
      </w:r>
    </w:p>
    <w:p w14:paraId="74F5A13C">
      <w:pPr>
        <w:ind w:firstLine="440" w:firstLineChars="200"/>
        <w:rPr>
          <w:rFonts w:eastAsia="宋体" w:cs="Times New Roman"/>
          <w:color w:val="000000"/>
          <w:sz w:val="21"/>
          <w:szCs w:val="21"/>
        </w:rPr>
      </w:pPr>
      <w:r>
        <w:rPr>
          <w:rFonts w:hint="eastAsia" w:eastAsia="宋体" w:cs="Times New Roman"/>
          <w:color w:val="000000"/>
          <w:sz w:val="21"/>
          <w:szCs w:val="21"/>
        </w:rPr>
        <w:t>其七，理念崇尚人类低级本能的意识。个人的本能或人类的本能是一切动物所共有的，是由生理决定的。而个人的本性或人类的本性则是由特定的社会环境所决定的。旧“经济人”理论却用个人的低级本能及其经济行为与经济心理替代人的多样化社会本性，形成思维的单一性和呆板性。美国的凯里曾愤怒地指责：穆勒的“政治经济学的对象实际上不是人，而是受最盲目的情绪驱策的想象的动物”，“他们的理论，讨论人性的最低级本能，却把人的最高尚利益看作是纯属干扰其理论体系的东西”，因而亵渎了大写的“人”字</w:t>
      </w:r>
      <w:r>
        <w:rPr>
          <w:rFonts w:eastAsia="宋体" w:cs="Times New Roman"/>
          <w:color w:val="000000"/>
          <w:sz w:val="21"/>
          <w:szCs w:val="21"/>
          <w:vertAlign w:val="superscript"/>
        </w:rPr>
        <w:footnoteReference w:id="267"/>
      </w:r>
      <w:r>
        <w:rPr>
          <w:rFonts w:hint="eastAsia" w:eastAsia="宋体" w:cs="Times New Roman"/>
          <w:color w:val="000000"/>
          <w:sz w:val="21"/>
          <w:szCs w:val="21"/>
        </w:rPr>
        <w:t>。弗洛姆甚至把接纳倾向型、剥削倾向型、贮藏倾向型和市场倾向型的人格归于病态，而只把充分发挥自己的潜力，且不以损人利己来达到自己目的的生产倾向型人格，称作真正健康的人格。即使参照弗洛伊德关于“本我”、“自我”与“超我”的划分，也不能将天生的、原始的、本能的“本我”等同于道德的、高级的、超个人的“超我”，旧“自私人”理念只相当于“本我”层次和根据一般现实原则行事的理性“自我”层次。</w:t>
      </w:r>
    </w:p>
    <w:p w14:paraId="5F4B1BBE">
      <w:pPr>
        <w:ind w:firstLine="440" w:firstLineChars="200"/>
        <w:rPr>
          <w:rFonts w:eastAsia="宋体" w:cs="Times New Roman"/>
          <w:color w:val="000000"/>
          <w:sz w:val="21"/>
          <w:szCs w:val="21"/>
        </w:rPr>
      </w:pPr>
      <w:r>
        <w:rPr>
          <w:rFonts w:hint="eastAsia" w:eastAsia="宋体" w:cs="Times New Roman"/>
          <w:color w:val="000000"/>
          <w:sz w:val="21"/>
          <w:szCs w:val="21"/>
        </w:rPr>
        <w:t>其八，理念局限于“店老板”的狭隘思维和人性异化心理。在近代，过分强调个人主义的经济和哲学思想具有反封建和反禁欲的积极效应，但属于资产阶级缺乏学术严谨性的意识之一。德国历史学派的李斯特在抨击斯密“经济人”的人性假设及其理论体系时就尖锐地指出：“这个学说是以店老板的观点来考虑一切问题的”，“完全否认了国家和国家利益的存在，一切都要听任个人安排”，“利己性格抬高到一切效力的创造者的地位”。</w:t>
      </w:r>
      <w:r>
        <w:rPr>
          <w:rFonts w:eastAsia="宋体" w:cs="Times New Roman"/>
          <w:color w:val="000000"/>
          <w:sz w:val="21"/>
          <w:szCs w:val="21"/>
          <w:vertAlign w:val="superscript"/>
        </w:rPr>
        <w:footnoteReference w:id="268"/>
      </w:r>
      <w:r>
        <w:rPr>
          <w:rFonts w:hint="eastAsia" w:eastAsia="宋体" w:cs="Times New Roman"/>
          <w:color w:val="000000"/>
          <w:sz w:val="21"/>
          <w:szCs w:val="21"/>
        </w:rPr>
        <w:t>该学派认为，客观存在着三种现实人的行为：一是在私人的经济中，一切以个人利益为转移；二是在强制的公有经济中，以社会全体利益为行动准则；三是在以慈善福利为目的的经济中，主要以伦理道德为行动规范。历史学派的这一经济哲学的思维逻辑有着深邃的意义。在马尔库塞和弗洛姆的理念里，人性异化是自有人类社会以来就存在的现象，只是在当代资本主义社会中变得更加突出和严重，并充分表现在生产和消费等各个方面。实际上，“店老板”的心理就是人性异化心理的重要反映，而不管西方“自私人”理论披上多么豪华的数学理性的外衣，都掩饰不了其经济哲学思想的某种阶级和社会的印记。</w:t>
      </w:r>
    </w:p>
    <w:p w14:paraId="0FDDFB22">
      <w:pPr>
        <w:ind w:firstLine="440" w:firstLineChars="200"/>
        <w:rPr>
          <w:rFonts w:eastAsia="宋体" w:cs="Times New Roman"/>
          <w:b/>
          <w:color w:val="000000"/>
          <w:sz w:val="21"/>
          <w:szCs w:val="21"/>
        </w:rPr>
      </w:pPr>
      <w:r>
        <w:rPr>
          <w:rFonts w:hint="eastAsia" w:eastAsia="宋体" w:cs="Times New Roman"/>
          <w:b/>
          <w:color w:val="000000"/>
          <w:sz w:val="21"/>
          <w:szCs w:val="21"/>
        </w:rPr>
        <w:t>（二）“利己和利他经济人假设”的基本命题</w:t>
      </w:r>
    </w:p>
    <w:p w14:paraId="4A5AD981">
      <w:pPr>
        <w:ind w:firstLine="440" w:firstLineChars="200"/>
        <w:rPr>
          <w:rFonts w:eastAsia="宋体" w:cs="Times New Roman"/>
          <w:color w:val="000000"/>
          <w:sz w:val="21"/>
          <w:szCs w:val="21"/>
        </w:rPr>
      </w:pPr>
      <w:r>
        <w:rPr>
          <w:rFonts w:hint="eastAsia" w:eastAsia="宋体" w:cs="Times New Roman"/>
          <w:color w:val="000000"/>
          <w:sz w:val="21"/>
          <w:szCs w:val="21"/>
        </w:rPr>
        <w:t>依据人类实践和问题导向，并受马克思的思想启迪，我认为必须确立一种新“经济人”假说和理论，即“利己和利他经济人假设”（或称“己他双性经济人假设”），其方法论和哲学基础是整体主义、唯物主义和现实主义的。作为创新的现代马克思主义政治经济学基本假设之一，它对应“完全自私经济人假设”，也包含三个基本命题：1.经济活动中的人有利己和利他两种倾向或性质。2.经济活动中的人具有理性与非理性两种状态。3.良好的制度会使经济活动中的人在增进集体利益或社会利益最大化的过程中实现合理的个人利益最大化。</w:t>
      </w:r>
    </w:p>
    <w:p w14:paraId="021B2A11">
      <w:pPr>
        <w:ind w:firstLine="440" w:firstLineChars="200"/>
        <w:rPr>
          <w:rFonts w:eastAsia="宋体" w:cs="Times New Roman"/>
          <w:color w:val="000000"/>
          <w:sz w:val="21"/>
          <w:szCs w:val="21"/>
        </w:rPr>
      </w:pPr>
      <w:r>
        <w:rPr>
          <w:rFonts w:hint="eastAsia" w:eastAsia="宋体" w:cs="Times New Roman"/>
          <w:color w:val="000000"/>
          <w:sz w:val="21"/>
          <w:szCs w:val="21"/>
        </w:rPr>
        <w:t>关于第一个命题。作为逐渐脱离动物界和超越动物本能的人类，具有极其丰富的情感和理智，不是单纯地表现为完全的自私性。倘若我们摆脱单向度的思维定式，超出大小私有者的眼光去观察人类经历过的社会，便可明显地看到三种情形的利他主义（他人利益泛指除自己利益以外的个人利益、集体利益、国家利益和人类利益等）：（1）愿意花费自己的时间、精力和财富，来换取某种即刻可见的他人利益；（2）愿意花费自己的时间、精力和财富，来换取某种未来的他人利益；（3）愿意花费自己的时间、精力和财富，来换取某种实际无效的他人利益，即愿为他人利益而不讲究实际效果。除了后一种属于特殊和个别的利他行为之外，前两种利他行为既存在于单位、家庭和社会等各个范围，也存在于经济、军事、文化和政治等各个领域。可见，利己与利他是“经济人”（经济主体）可能具有的两种行为特性和行为倾向。</w:t>
      </w:r>
    </w:p>
    <w:p w14:paraId="289DECBF">
      <w:pPr>
        <w:ind w:firstLine="440" w:firstLineChars="200"/>
        <w:rPr>
          <w:rFonts w:eastAsia="宋体" w:cs="Times New Roman"/>
          <w:color w:val="000000"/>
          <w:sz w:val="21"/>
          <w:szCs w:val="21"/>
        </w:rPr>
      </w:pPr>
      <w:r>
        <w:rPr>
          <w:rFonts w:hint="eastAsia" w:eastAsia="宋体" w:cs="Times New Roman"/>
          <w:color w:val="000000"/>
          <w:sz w:val="21"/>
          <w:szCs w:val="21"/>
        </w:rPr>
        <w:t>至于社会上利己和利他哪种行为特征突出或占主导地位，那就取决于社会制度和各种环境。因为人的利己与利他是一种社会网络中的互动行为，具有互促性的内在机理，总是与特定的社会整体大环境和群体小环境相关联。摩尔根在潜心探究古代印第安人的原始经济生活后描绘道：“在很大程度上生活中的共产制是印第安部落的生活条件的必然结果。</w:t>
      </w:r>
      <w:r>
        <w:rPr>
          <w:rFonts w:hint="eastAsia" w:ascii="MS Mincho" w:hAnsi="MS Mincho" w:eastAsia="MS Mincho" w:cs="MS Mincho"/>
          <w:color w:val="000000"/>
          <w:sz w:val="21"/>
          <w:szCs w:val="21"/>
        </w:rPr>
        <w:t>……</w:t>
      </w:r>
      <w:r>
        <w:rPr>
          <w:rFonts w:hint="eastAsia" w:eastAsia="宋体" w:cs="Times New Roman"/>
          <w:color w:val="000000"/>
          <w:sz w:val="21"/>
          <w:szCs w:val="21"/>
        </w:rPr>
        <w:t>在他们心里还没有产生任何可见程度的个人积蓄的欲望”；“这些风俗习惯展示了他们的生活方式，并且揭示出他们的生活状况与文明社会的生活状况之间，以及没有个体特性的印第安家庭与文明社会高度个性化的家庭之间的巨大差异。”</w:t>
      </w:r>
      <w:r>
        <w:rPr>
          <w:rFonts w:eastAsia="宋体" w:cs="Times New Roman"/>
          <w:color w:val="000000"/>
          <w:sz w:val="21"/>
          <w:szCs w:val="21"/>
          <w:vertAlign w:val="superscript"/>
        </w:rPr>
        <w:footnoteReference w:id="269"/>
      </w:r>
      <w:r>
        <w:rPr>
          <w:rFonts w:hint="eastAsia" w:eastAsia="宋体" w:cs="Times New Roman"/>
          <w:color w:val="000000"/>
          <w:sz w:val="21"/>
          <w:szCs w:val="21"/>
        </w:rPr>
        <w:t>毋庸置疑，是以后数千年的多种私有制支配了人类社会，才促使私有经济的活动主体逐渐驱散了利他心态，甚至见利忘义，惟利是图，损人利己。</w:t>
      </w:r>
    </w:p>
    <w:p w14:paraId="4CBC5E30">
      <w:pPr>
        <w:ind w:firstLine="440" w:firstLineChars="200"/>
        <w:rPr>
          <w:rFonts w:eastAsia="宋体" w:cs="Times New Roman"/>
          <w:color w:val="000000"/>
          <w:sz w:val="21"/>
          <w:szCs w:val="21"/>
        </w:rPr>
      </w:pPr>
      <w:r>
        <w:rPr>
          <w:rFonts w:hint="eastAsia" w:eastAsia="宋体" w:cs="Times New Roman"/>
          <w:color w:val="000000"/>
          <w:sz w:val="21"/>
          <w:szCs w:val="21"/>
        </w:rPr>
        <w:t>必须指出，把一切利他行为均视为利己行为，是不合情理的。西方旧“经济人”理论的解释者认为，和尚救济穷人，雷锋助人为乐，抗洪牺牲者，反法西斯冲锋陷阵者等等，都是自私的，因为当你觉得助人为乐和牺牲光荣时，已经满足了个人的心理需求和主观欲望。这种用主观欲望的满足来界定自私行为的唯心论方法，混淆了利己与利他的客观行为界限，也混淆了真善美与假恶丑的客观行为界限。我们不能不切实际地要求人们产生“助人为悲”、“牺牲可耻”的心理感觉之后，才算其为利他。事实上，利己与利他、主观与客观之间的典型组合有四种：主观利己，客观利己；主观利他，客观利他；主观利己，客观利他；主观利他，客观利己。自然，其中舍去了利己的同时也可能利他、利他的同时也可能利己等复杂因素。</w:t>
      </w:r>
    </w:p>
    <w:p w14:paraId="0A82D9F6">
      <w:pPr>
        <w:ind w:firstLine="360"/>
        <w:rPr>
          <w:rFonts w:eastAsia="宋体" w:cs="Times New Roman"/>
          <w:color w:val="000000"/>
          <w:sz w:val="21"/>
          <w:szCs w:val="21"/>
        </w:rPr>
      </w:pPr>
      <w:r>
        <w:rPr>
          <w:rFonts w:hint="eastAsia" w:eastAsia="宋体" w:cs="Times New Roman"/>
          <w:color w:val="000000"/>
          <w:sz w:val="21"/>
          <w:szCs w:val="21"/>
        </w:rPr>
        <w:t>关于第二个命题。与一般自然界的动物相比，人是有理性的动物。人的正常行为是从一定的理性出发，并反映人们对于个人与他人、与社会、与自然的相互关系的思考，决定着行为的</w:t>
      </w:r>
    </w:p>
    <w:p w14:paraId="155E6070">
      <w:pPr>
        <w:ind w:firstLine="360"/>
        <w:rPr>
          <w:rFonts w:eastAsia="宋体" w:cs="Times New Roman"/>
          <w:color w:val="000000"/>
          <w:sz w:val="21"/>
          <w:szCs w:val="21"/>
        </w:rPr>
      </w:pPr>
      <w:r>
        <w:rPr>
          <w:rFonts w:hint="eastAsia" w:eastAsia="宋体" w:cs="Times New Roman"/>
          <w:color w:val="000000"/>
          <w:sz w:val="21"/>
          <w:szCs w:val="21"/>
        </w:rPr>
        <w:t>形式和内容。广义地说，理性具有纯洁与肮脏、合理与荒唐、正义与邪恶、完善与欠缺、不变与可变、单一与多样、简单与复杂等特性。著名基督教哲学家尼布尔正是在宽泛的意义上声称，理性归根结底是一种工具，既能服务于善，也能服务于恶。不过，狭义地说，理性是指认识的纯洁、合理、正义和完善，是认识能力强和认识的高级阶段，而认识的不纯洁甚至肮脏、不合理甚至荒唐、不正义甚至邪恶以及不完善甚至欠缺，便相对地算作非理性。这就是为何有很多哲学家和经济学家歌颂真正理性的原由。可见，理性与非理性一般呈现出相对性、程度性和历史性。难怪马克思说：“人类理性最不纯洁，因为它只具有不完备的见解，每走一步都要遇到新的待解决的任务”。</w:t>
      </w:r>
      <w:r>
        <w:rPr>
          <w:rFonts w:eastAsia="宋体" w:cs="Times New Roman"/>
          <w:color w:val="000000"/>
          <w:sz w:val="21"/>
          <w:szCs w:val="21"/>
          <w:vertAlign w:val="superscript"/>
        </w:rPr>
        <w:footnoteReference w:id="270"/>
      </w:r>
    </w:p>
    <w:p w14:paraId="48AE580F">
      <w:pPr>
        <w:ind w:firstLine="440" w:firstLineChars="200"/>
        <w:rPr>
          <w:rFonts w:eastAsia="宋体" w:cs="Times New Roman"/>
          <w:color w:val="000000"/>
          <w:sz w:val="21"/>
          <w:szCs w:val="21"/>
        </w:rPr>
      </w:pPr>
      <w:r>
        <w:rPr>
          <w:rFonts w:hint="eastAsia" w:eastAsia="宋体" w:cs="Times New Roman"/>
          <w:color w:val="000000"/>
          <w:sz w:val="21"/>
          <w:szCs w:val="21"/>
        </w:rPr>
        <w:t>从狭义角度分析，经济活动中的人具有理性与非理性两种状态。循着上述确立的新观点，</w:t>
      </w:r>
    </w:p>
    <w:p w14:paraId="5DE4BFA7">
      <w:pPr>
        <w:ind w:firstLine="360"/>
        <w:rPr>
          <w:rFonts w:eastAsia="宋体" w:cs="Times New Roman"/>
          <w:color w:val="000000"/>
          <w:sz w:val="21"/>
          <w:szCs w:val="21"/>
        </w:rPr>
      </w:pPr>
      <w:r>
        <w:rPr>
          <w:rFonts w:hint="eastAsia" w:eastAsia="宋体" w:cs="Times New Roman"/>
          <w:color w:val="000000"/>
          <w:sz w:val="21"/>
          <w:szCs w:val="21"/>
        </w:rPr>
        <w:t>就可以合乎逻辑地解答中外学术界争论不休的难题。例如，抢银行是不是理性的？盗窃是不是理性的？卖淫是不是理性的（波斯纳曾分析过）？造假货是不是理性的？从新“经济人”的理论来辨析，此类涉及经济的活动均属非理性，尽管他们在行动前一般经过“构成其行为动机的目的”和“限制其达到目标的约束条件”等“理性”的思考（西方旧“经济人”理论所强调的）。其实，西蒙以企业家只能寻求“满意的利润”和“足够好”为例，来用“有限理性”否定“最大化的理性”，是难以驳倒旧“经济人”理性的，因为谁又会主张“无限理性”和百分之百的“完全理性”呢？理性上追究约束条件下的最大化，不等于实际经济生活中能实现，但无法因此而否定“最大化的理性”。况且，在约束条件下寻求“满意的利润”和“足够好”，实质上就是理性所寻求的利益相对最大化。</w:t>
      </w:r>
    </w:p>
    <w:p w14:paraId="101F83AA">
      <w:pPr>
        <w:ind w:firstLine="440" w:firstLineChars="200"/>
        <w:rPr>
          <w:rFonts w:eastAsia="宋体" w:cs="Times New Roman"/>
          <w:color w:val="000000"/>
          <w:sz w:val="21"/>
          <w:szCs w:val="21"/>
        </w:rPr>
      </w:pPr>
      <w:r>
        <w:rPr>
          <w:rFonts w:hint="eastAsia" w:eastAsia="宋体" w:cs="Times New Roman"/>
          <w:color w:val="000000"/>
          <w:sz w:val="21"/>
          <w:szCs w:val="21"/>
        </w:rPr>
        <w:t>关于第三个命题。在私有经济范围内，个人追求自身利益最大化的自由行动会无意而正负效应程度不同地增减社会公共利益，并非如旧“经济人”理论所说的，只要有良好的制度保证，个人追求自身利益最大化的自由行动肯定会无意而有效地增进社会公共利益。这是因为：根本经济制度与具体经济制度（确切地说是具体经济体制）有紧密的关联，私有制必然从根本上限制良好经济制度或体制的建立和健全；个人一味地优先追求自身利益最大化，经常会同各类群体利益和社会利益发生矛盾与冲突，个人利益的总和不一定等于群体利益或社会利益的总和与潜在的最大化。</w:t>
      </w:r>
    </w:p>
    <w:p w14:paraId="5885467E">
      <w:pPr>
        <w:ind w:firstLine="440" w:firstLineChars="200"/>
        <w:rPr>
          <w:rFonts w:eastAsia="宋体" w:cs="Times New Roman"/>
          <w:color w:val="000000"/>
          <w:sz w:val="21"/>
          <w:szCs w:val="21"/>
        </w:rPr>
      </w:pPr>
      <w:r>
        <w:rPr>
          <w:rFonts w:hint="eastAsia" w:eastAsia="宋体" w:cs="Times New Roman"/>
          <w:color w:val="000000"/>
          <w:sz w:val="21"/>
          <w:szCs w:val="21"/>
        </w:rPr>
        <w:t>从理论上分析，在社会公有经济范围内，良好的制度会使经济活动中的人在增进集体利益和社会利益最大化的过程中实现合理的个人利益最大化。这是因为：在良好的制度下，公有经济的基点是为集体或社会谋利益，作为在其中活动的个人及其理性首先要服从集体理性或社会理性，即首先寻求集体利益最大化（类似戴维·米勒等所说的“社群”，但这里不谈社会理性与集体理性的矛盾）或社会利益最大化，否则，就会因个人主义而受到利益制约和利益损失；在良好的制度下，已经取得相对最大化的集体利益或社会利益，必然较公平地分配给每个人（如按劳分配等），从而最终实现个人利益的最大化。</w:t>
      </w:r>
    </w:p>
    <w:p w14:paraId="695F1026">
      <w:pPr>
        <w:ind w:firstLine="440" w:firstLineChars="200"/>
        <w:rPr>
          <w:rFonts w:eastAsia="宋体" w:cs="Times New Roman"/>
          <w:color w:val="000000"/>
          <w:sz w:val="21"/>
          <w:szCs w:val="21"/>
        </w:rPr>
      </w:pPr>
      <w:r>
        <w:rPr>
          <w:rFonts w:hint="eastAsia" w:eastAsia="宋体" w:cs="Times New Roman"/>
          <w:color w:val="000000"/>
          <w:sz w:val="21"/>
          <w:szCs w:val="21"/>
        </w:rPr>
        <w:t>现在，直观的流行思维可能会以某些公有企业不景气为理由来非议上述理念，这肯定不能成立。诚然，以上理论探析尽管已有文献作出过详细地逻辑证明，但公有制能否实际达到高绩效，须以高水平管理的操作为前提。迄今为止的公有制实践，已经部分地有力证实了新“经济人”理论。哲学上的证伪主义有些绝对化。理论不是不能被证实，而是可能一直被不断地或间歇地部分证实。所谓实践是检验真理的标准，也并非单指某一时点上的具体经验或实践。</w:t>
      </w:r>
    </w:p>
    <w:p w14:paraId="5D218558">
      <w:pPr>
        <w:ind w:firstLine="440" w:firstLineChars="200"/>
        <w:rPr>
          <w:rFonts w:eastAsia="宋体" w:cs="Times New Roman"/>
          <w:color w:val="000000"/>
          <w:sz w:val="21"/>
          <w:szCs w:val="21"/>
        </w:rPr>
      </w:pPr>
      <w:r>
        <w:rPr>
          <w:rFonts w:hint="eastAsia" w:eastAsia="宋体" w:cs="Times New Roman"/>
          <w:color w:val="000000"/>
          <w:sz w:val="21"/>
          <w:szCs w:val="21"/>
        </w:rPr>
        <w:t>最后应当指出，近有新的论文一方面辩解说假定人自私，绝非倡导人们自私，另一方面又赞同“人为财死，鸟为食亡”的“完全利己经济人假设”，并只承认人的自私可以导致社会协作与公共福利的增加。</w:t>
      </w:r>
      <w:r>
        <w:rPr>
          <w:rFonts w:eastAsia="宋体" w:cs="Times New Roman"/>
          <w:color w:val="000000"/>
          <w:sz w:val="21"/>
          <w:szCs w:val="21"/>
          <w:vertAlign w:val="superscript"/>
        </w:rPr>
        <w:footnoteReference w:id="271"/>
      </w:r>
      <w:r>
        <w:rPr>
          <w:rFonts w:hint="eastAsia" w:eastAsia="宋体" w:cs="Times New Roman"/>
          <w:color w:val="000000"/>
          <w:sz w:val="21"/>
          <w:szCs w:val="21"/>
        </w:rPr>
        <w:t>其实，西方已有日渐增多的文献探讨利他经济人假设和理论模型，利他经济人假设对制度安排、诚信建设和荣辱观教育等都具有积极的作用，更可以导致社会协作与公共福利的增加。</w:t>
      </w:r>
    </w:p>
    <w:p w14:paraId="17300763">
      <w:pPr>
        <w:ind w:firstLine="360"/>
        <w:rPr>
          <w:rFonts w:eastAsia="宋体" w:cs="Times New Roman"/>
          <w:color w:val="000000"/>
          <w:sz w:val="21"/>
          <w:szCs w:val="21"/>
        </w:rPr>
      </w:pPr>
    </w:p>
    <w:p w14:paraId="5A8C3637">
      <w:pPr>
        <w:ind w:firstLine="440" w:firstLineChars="200"/>
        <w:rPr>
          <w:rFonts w:eastAsia="宋体" w:cs="Times New Roman"/>
          <w:b/>
          <w:color w:val="000000"/>
          <w:sz w:val="21"/>
          <w:szCs w:val="21"/>
        </w:rPr>
      </w:pPr>
      <w:r>
        <w:rPr>
          <w:rFonts w:hint="eastAsia" w:eastAsia="宋体" w:cs="Times New Roman"/>
          <w:b/>
          <w:color w:val="000000"/>
          <w:sz w:val="21"/>
          <w:szCs w:val="21"/>
        </w:rPr>
        <w:t>三、资源和需要双约束假设</w:t>
      </w:r>
    </w:p>
    <w:p w14:paraId="11D9B855">
      <w:pPr>
        <w:ind w:firstLine="440" w:firstLineChars="200"/>
        <w:rPr>
          <w:rFonts w:eastAsia="宋体" w:cs="Times New Roman"/>
          <w:color w:val="000000"/>
          <w:sz w:val="21"/>
          <w:szCs w:val="21"/>
        </w:rPr>
      </w:pPr>
      <w:r>
        <w:rPr>
          <w:rFonts w:hint="eastAsia" w:eastAsia="宋体" w:cs="Times New Roman"/>
          <w:color w:val="000000"/>
          <w:sz w:val="21"/>
          <w:szCs w:val="21"/>
        </w:rPr>
        <w:t>有些论著认为，马克思主义经济学研究的是生产关系，而西方经济学研究的是社会稀缺资源的配置。显而易见，这种一般性的对象表述已经常被人误解。其实，前者并非不研究社会资源的配置，后者也并非完全不研究各种利益集团和阶级的关系，西方整个近代政治经济学、新旧制度主义和当代新制度经济学都突出了此项研究。现代马克思主义政治经济学和现代西方主流经济学的区别不在于要不要研究资源配置，而在于怎样研究资源配置，即以何种方法论来研究资源配置问题。</w:t>
      </w:r>
    </w:p>
    <w:p w14:paraId="4411E94E">
      <w:pPr>
        <w:ind w:firstLine="440" w:firstLineChars="200"/>
        <w:rPr>
          <w:rFonts w:eastAsia="宋体" w:cs="Times New Roman"/>
          <w:color w:val="000000"/>
          <w:sz w:val="21"/>
          <w:szCs w:val="21"/>
        </w:rPr>
      </w:pPr>
      <w:r>
        <w:rPr>
          <w:rFonts w:hint="eastAsia" w:eastAsia="宋体" w:cs="Times New Roman"/>
          <w:color w:val="000000"/>
          <w:sz w:val="21"/>
          <w:szCs w:val="21"/>
        </w:rPr>
        <w:t>具体说来，现代马克思主义政治经济学所研究的资源配置与现代西方主流经济学有重要区别。首先，前者认为经济学是一门社会科学，它研究的起点与终点都是人，认为社会生产和再生产，不仅是物质资料的生产和再生产过程，而且是特定经济关系和经济制度的生产和再生产过程；认为社会资源的配置，不仅包含计划或市场的配置方式，而且是公有或私有的配置方式。后者所研究的资源配置，是将资本主义生产关系作为研究的假设前提或无摩擦的和谐物，而重点研究人与物的关系或人与人的表象关系（科斯、诺思等新制度经济学也反对主流经济学狭窄的研究对象和思路，事实上是“复活”了马克思和古典经济学的分析视角</w:t>
      </w:r>
      <w:r>
        <w:rPr>
          <w:rFonts w:eastAsia="宋体" w:cs="Times New Roman"/>
          <w:color w:val="000000"/>
          <w:sz w:val="21"/>
          <w:szCs w:val="21"/>
          <w:vertAlign w:val="superscript"/>
        </w:rPr>
        <w:footnoteReference w:id="272"/>
      </w:r>
      <w:r>
        <w:rPr>
          <w:rFonts w:hint="eastAsia" w:eastAsia="宋体" w:cs="Times New Roman"/>
          <w:color w:val="000000"/>
          <w:sz w:val="21"/>
          <w:szCs w:val="21"/>
        </w:rPr>
        <w:t>）。其次，前者始终站在历史的高度上，认为资源配置和经济运行的方式是不断发展和变化的，并不是一个与社会制度无关的自然现象，在不同的经济关系下具有独特的社会经济内容和经济运动形式。后者显然缺乏这种历史高度和辩证思维。</w:t>
      </w:r>
      <w:r>
        <w:rPr>
          <w:rFonts w:eastAsia="宋体" w:cs="Times New Roman"/>
          <w:color w:val="000000"/>
          <w:sz w:val="21"/>
          <w:szCs w:val="21"/>
          <w:vertAlign w:val="superscript"/>
        </w:rPr>
        <w:footnoteReference w:id="273"/>
      </w:r>
    </w:p>
    <w:p w14:paraId="057D236D">
      <w:pPr>
        <w:ind w:firstLine="440" w:firstLineChars="200"/>
        <w:rPr>
          <w:rFonts w:eastAsia="宋体" w:cs="Times New Roman"/>
          <w:color w:val="000000"/>
          <w:sz w:val="21"/>
          <w:szCs w:val="21"/>
        </w:rPr>
      </w:pPr>
      <w:r>
        <w:rPr>
          <w:rFonts w:hint="eastAsia" w:eastAsia="宋体" w:cs="Times New Roman"/>
          <w:color w:val="000000"/>
          <w:sz w:val="21"/>
          <w:szCs w:val="21"/>
        </w:rPr>
        <w:t>作为上述经济思维的具体表现，现代西方主流经济学的重要假定或假设之一是资源有限与需要（欲望）无限。从辩证思维和假定的一致性或对称性来分析，尽管西方经济学对资源与需要相互关系的描述有一定的道理，但仍然存在着明显的逻辑缺陷。这表现在：其一，从假定对称层面看，当假定资源有限时，暗含着以一定的时间和条件为前提，而假定需要无限时，并没有以一定的时间和条件为前提。把两个前提不一致或不对称的经济事物和概念放在一起加以对比或撮合成一对经济基本矛盾，显然过于简单化和绝对化，缺乏完整的逻辑性和辩证性。西方学者实际上是用“稀缺”来定义“资源”的，不稀缺的就不算作资源，资源一词已内含着稀缺性，因而再说资源是稀缺的，无异于同义反复。</w:t>
      </w:r>
    </w:p>
    <w:p w14:paraId="60215200">
      <w:pPr>
        <w:ind w:firstLine="440" w:firstLineChars="200"/>
        <w:rPr>
          <w:rFonts w:eastAsia="宋体" w:cs="Times New Roman"/>
          <w:color w:val="000000"/>
          <w:sz w:val="21"/>
          <w:szCs w:val="21"/>
        </w:rPr>
      </w:pPr>
      <w:r>
        <w:rPr>
          <w:rFonts w:hint="eastAsia" w:eastAsia="宋体" w:cs="Times New Roman"/>
          <w:color w:val="000000"/>
          <w:sz w:val="21"/>
          <w:szCs w:val="21"/>
        </w:rPr>
        <w:t>其二，从资源利用层面看，各类资源在一定条件下是有限的，但从某种意义上看又是无限的，因为包含资源在内的整个宇宙本身是无限的，科技发展、物质变换和循环经济也是无限的。我们不能撇开地球自然资源与宇宙物质世界之间的必然联系，把资源局限在宇宙中物质形态的一小部分即地球资源，而忽视宇宙资源和物质的广泛性、无限性和可循环性。依据这个假设，现代西方主流经济学似乎过分强调人类的生产、分配和交换源于资源的“稀缺性”，而不强调源于生活需要。其实，即使相对于若干需要的某些可用资源已经处于充足和丰裕境地，人与人之间也要结成一定的生产关系，并在某些可用资源总量充足的条件下从事“丰裕性”的生产和消费的结构性选择，因为还有需要主体的非可用资源总量因素的各类选择。如某些人拥有的货币可掌控“丰裕性”的生产资源，但基于不同的偏好或目标函数，仍需进行生产选择；某些人拥有的货币可掌控“丰裕性”的饮食或穿戴资源，但基于生理、偏好和健康等因素仍需进行消费选择。</w:t>
      </w:r>
    </w:p>
    <w:p w14:paraId="443DC783">
      <w:pPr>
        <w:ind w:firstLine="440" w:firstLineChars="200"/>
        <w:rPr>
          <w:rFonts w:eastAsia="宋体" w:cs="Times New Roman"/>
          <w:color w:val="000000"/>
          <w:sz w:val="21"/>
          <w:szCs w:val="21"/>
        </w:rPr>
      </w:pPr>
      <w:r>
        <w:rPr>
          <w:rFonts w:hint="eastAsia" w:eastAsia="宋体" w:cs="Times New Roman"/>
          <w:color w:val="000000"/>
          <w:sz w:val="21"/>
          <w:szCs w:val="21"/>
        </w:rPr>
        <w:t>其三，从需要满足层面看，需要在一定条件下也是有限的，而且在市场经济中能实现的需要，还是专指有货币支付能力的需要即需求，并非指人们脱离现实生产力水平和货币状况的空想性需要。人类不断增长的合理需要本身也是受到一定约束或限制的。西方理论没有明确区分需要的种类及其约束条件，笼统地说需要始终处于无限状态，是不合情理的。</w:t>
      </w:r>
    </w:p>
    <w:p w14:paraId="57D37689">
      <w:pPr>
        <w:ind w:firstLine="440" w:firstLineChars="200"/>
        <w:rPr>
          <w:rFonts w:eastAsia="宋体" w:cs="Times New Roman"/>
          <w:color w:val="000000"/>
          <w:sz w:val="21"/>
          <w:szCs w:val="21"/>
        </w:rPr>
      </w:pPr>
      <w:r>
        <w:rPr>
          <w:rFonts w:hint="eastAsia" w:eastAsia="宋体" w:cs="Times New Roman"/>
          <w:color w:val="000000"/>
          <w:sz w:val="21"/>
          <w:szCs w:val="21"/>
        </w:rPr>
        <w:t>因此，批判地改造西方主流学者的上述理论假设的必然结果，就是创新的现代马克思主义政治经济学提出的“资源和需要双约束假设”，即假设在一定时期内资源和需要都是有约束的，因而多种资源与多种需要可以形成各种选择或替代组合，进而在一定的双约束条件下实现资源的高效配置和需要的极大满足。这样的理论假设反映现实全面，论证逻辑严密。与三百年来的西方经济学不同，现代马克思主义政治经济学清晰地将需要分为三类：一是脱离现有经济条件的无约束欲望或需要；二是符合现有经济条件的合理欲望或需要；三是具有货币支付能力的需要即需求。后两类需要是经济学科要研究的主要任务之一。其缘由是在一定时期内，可利用的资源不能完全满足人们不断增长的合理需要，供给与需求的总量和各类结构也会经常失衡，这就要善于作出各种资源与各种需要在某种条件下不同的选择性组合，使资源相对得到最佳配置，需要相对得到最大满足。</w:t>
      </w:r>
    </w:p>
    <w:p w14:paraId="2D037C19">
      <w:pPr>
        <w:ind w:firstLine="440" w:firstLineChars="200"/>
        <w:rPr>
          <w:rFonts w:eastAsia="宋体" w:cs="Times New Roman"/>
          <w:color w:val="000000"/>
          <w:sz w:val="21"/>
          <w:szCs w:val="21"/>
        </w:rPr>
      </w:pPr>
      <w:r>
        <w:rPr>
          <w:rFonts w:hint="eastAsia" w:eastAsia="宋体" w:cs="Times New Roman"/>
          <w:color w:val="000000"/>
          <w:sz w:val="21"/>
          <w:szCs w:val="21"/>
        </w:rPr>
        <w:t>“资源和需要双约束假设”的内在要求之一，是通过科技和管理的改进等途径来实现各种资源的高效利用和最佳配置。资源的破坏性开发、环境的不友好利用、物品的过度包装、不可再生资源的滥用、循环经济的轻视、物种的人为毁灭、生态的战争性损害、人力资源的浪费等等，均不合乎自然规律、经济规律和该理论假设的客观要求。</w:t>
      </w:r>
    </w:p>
    <w:p w14:paraId="588A996D">
      <w:pPr>
        <w:ind w:firstLine="440" w:firstLineChars="200"/>
        <w:rPr>
          <w:rFonts w:eastAsia="宋体" w:cs="Times New Roman"/>
          <w:color w:val="000000"/>
          <w:sz w:val="21"/>
          <w:szCs w:val="21"/>
        </w:rPr>
      </w:pPr>
      <w:r>
        <w:rPr>
          <w:rFonts w:hint="eastAsia" w:eastAsia="宋体" w:cs="Times New Roman"/>
          <w:color w:val="000000"/>
          <w:sz w:val="21"/>
          <w:szCs w:val="21"/>
        </w:rPr>
        <w:t>“资源和需要双约束假设”的内在要求之二，是通过有效需求和合理需要的总量和结构的科学调节等途径来实现各种需求的最大满足。人们的有货币支付能力的需要（需求）与现有生产力水平基础上所能达到的正常合理需要有差异。人们有效需求的满足程度，在价格一定的条件下取决于其支付能力。可见，关键在于调节社会总供给与总需求及其多种结构的均衡关系。</w:t>
      </w:r>
    </w:p>
    <w:p w14:paraId="4493ABCC">
      <w:pPr>
        <w:ind w:firstLine="440" w:firstLineChars="200"/>
        <w:rPr>
          <w:rFonts w:eastAsia="宋体" w:cs="Times New Roman"/>
          <w:color w:val="000000"/>
          <w:sz w:val="21"/>
          <w:szCs w:val="21"/>
        </w:rPr>
      </w:pPr>
      <w:r>
        <w:rPr>
          <w:rFonts w:hint="eastAsia" w:eastAsia="宋体" w:cs="Times New Roman"/>
          <w:color w:val="000000"/>
          <w:sz w:val="21"/>
          <w:szCs w:val="21"/>
        </w:rPr>
        <w:t>“资源和需要双约束假设”的内在要求之三，是通过资源的高效利用和最佳配置来不断满足日益增长的社会有效需求和合理需要。与私有制主体型的资本主义市场经济体制不同，倘若公有制主体型的社会主义市场经济体制操作得法，市场的基础性调节和国家的主导性调节互补地有效结合，便可更好地以最小的社会成本获取最大的社会收益，进而实现资源利用的极优化需要满足的极大化。</w:t>
      </w:r>
    </w:p>
    <w:p w14:paraId="11BA1C03">
      <w:pPr>
        <w:ind w:firstLine="440" w:firstLineChars="200"/>
        <w:rPr>
          <w:rFonts w:eastAsia="宋体" w:cs="Times New Roman"/>
          <w:color w:val="000000"/>
          <w:sz w:val="21"/>
          <w:szCs w:val="21"/>
        </w:rPr>
      </w:pPr>
      <w:r>
        <w:rPr>
          <w:rFonts w:hint="eastAsia" w:eastAsia="宋体" w:cs="Times New Roman"/>
          <w:color w:val="000000"/>
          <w:sz w:val="21"/>
          <w:szCs w:val="21"/>
        </w:rPr>
        <w:t>简言之，在现代马克思主义政治经济学的视域中，资源的有限性与无限性、稀缺性与丰裕性、基于深思熟虑的选择性与任意随机的无选择性，均呈现复杂的辩证关系。变革中的现代政治经济学须解析资源的稀缺与丰裕、需要的限制与满足、机会成本的确定与选择、效益的结构与提高、节约的实质与途径、环境的利用与保护等的一般含义和社会约束条件，更加科学地给出理论抽象和政策意义。</w:t>
      </w:r>
    </w:p>
    <w:p w14:paraId="2DB73A41">
      <w:pPr>
        <w:ind w:firstLine="440" w:firstLineChars="200"/>
        <w:rPr>
          <w:rFonts w:eastAsia="宋体" w:cs="Times New Roman"/>
          <w:b/>
          <w:color w:val="000000"/>
          <w:sz w:val="21"/>
          <w:szCs w:val="21"/>
        </w:rPr>
      </w:pPr>
      <w:r>
        <w:rPr>
          <w:rFonts w:hint="eastAsia" w:eastAsia="宋体" w:cs="Times New Roman"/>
          <w:b/>
          <w:color w:val="000000"/>
          <w:sz w:val="21"/>
          <w:szCs w:val="21"/>
        </w:rPr>
        <w:t>四、公平与效率互促同向变动假设</w:t>
      </w:r>
    </w:p>
    <w:p w14:paraId="62CAED35">
      <w:pPr>
        <w:ind w:firstLine="440" w:firstLineChars="200"/>
        <w:rPr>
          <w:rFonts w:eastAsia="宋体" w:cs="Times New Roman"/>
          <w:b/>
          <w:color w:val="000000"/>
          <w:sz w:val="21"/>
          <w:szCs w:val="21"/>
        </w:rPr>
      </w:pPr>
      <w:r>
        <w:rPr>
          <w:rFonts w:hint="eastAsia" w:eastAsia="宋体" w:cs="Times New Roman"/>
          <w:b/>
          <w:color w:val="000000"/>
          <w:sz w:val="21"/>
          <w:szCs w:val="21"/>
        </w:rPr>
        <w:t>（一）经济公平、经济效率的理论与现实</w:t>
      </w:r>
    </w:p>
    <w:p w14:paraId="43176829">
      <w:pPr>
        <w:ind w:firstLine="440" w:firstLineChars="200"/>
        <w:rPr>
          <w:rFonts w:eastAsia="宋体" w:cs="Times New Roman"/>
          <w:color w:val="000000"/>
          <w:sz w:val="21"/>
          <w:szCs w:val="21"/>
        </w:rPr>
      </w:pPr>
      <w:r>
        <w:rPr>
          <w:rFonts w:hint="eastAsia" w:eastAsia="宋体" w:cs="Times New Roman"/>
          <w:color w:val="000000"/>
          <w:sz w:val="21"/>
          <w:szCs w:val="21"/>
        </w:rPr>
        <w:t>经济学意义上的公平，是指有关经济活动的制度、权利、机会和结果等方面的平等和合理。经济公平具有客观性、历史性和相对性。把经济公平纯粹视为心理现象，否认其客观属性和客观标准，是唯心主义分析方法的思维表现；把经济公平视为一般的永恒范畴，否认在不同的经济制度和历史发展阶段有特定的内涵，是历史唯心论分析方法的思维表现；把经济公平视为无需前提的绝对概念，否认公平与否的辩证关系和转化条件，是形而上学分析方法的思维表现。</w:t>
      </w:r>
    </w:p>
    <w:p w14:paraId="0A23AF00">
      <w:pPr>
        <w:ind w:firstLine="440" w:firstLineChars="200"/>
        <w:rPr>
          <w:rFonts w:eastAsia="宋体" w:cs="Times New Roman"/>
          <w:color w:val="000000"/>
          <w:sz w:val="21"/>
          <w:szCs w:val="21"/>
        </w:rPr>
      </w:pPr>
      <w:r>
        <w:rPr>
          <w:rFonts w:hint="eastAsia" w:eastAsia="宋体" w:cs="Times New Roman"/>
          <w:color w:val="000000"/>
          <w:sz w:val="21"/>
          <w:szCs w:val="21"/>
        </w:rPr>
        <w:t>公平或平等不等于收入均等或收入平均。经济公平的内涵大大超过收入平均的概念。从经济活动的结果来界定的收入分配是否公平，只是经济公平的涵义之一。结果公平至少也有财富分配和收入分配两个观察角度，财富分配的角度更为重要。况且，收入分配平均与收入分配公平属于不同层面的问题，不应混淆。检视包括阿瑟·奥肯和勒纳在内的国际学术界流行思潮，把经济公平和结果平等视为收入均等化或收入平均化，是明显含有严重逻辑错误的，并容易路径依赖地进一步生成“公平与效率高低反向变动假设”或“效率优先假设”的思想谬误。</w:t>
      </w:r>
    </w:p>
    <w:p w14:paraId="4E2CFD71">
      <w:pPr>
        <w:ind w:firstLine="440" w:firstLineChars="200"/>
        <w:rPr>
          <w:rFonts w:eastAsia="宋体" w:cs="Times New Roman"/>
          <w:color w:val="000000"/>
          <w:sz w:val="21"/>
          <w:szCs w:val="21"/>
        </w:rPr>
      </w:pPr>
      <w:r>
        <w:rPr>
          <w:rFonts w:hint="eastAsia" w:eastAsia="宋体" w:cs="Times New Roman"/>
          <w:color w:val="000000"/>
          <w:sz w:val="21"/>
          <w:szCs w:val="21"/>
        </w:rPr>
        <w:t>美国等资本主义国家存在着严重的不公平。据美国联邦储备委员会和国内税务局发表的联合调查报告披露，1989年全国家庭净资产共计1511万亿美元，包括住宅、其他不动产、股票、债券、汽车和银行存款等，其分配比例是：1%的最富家庭占37%，另外9%的富有家庭占31%，其余90%的家庭仅占32%；布鲁金斯研究所经济学家柏特里斯的研究发现，1995年美国最富有的5%的人收入是最贫困的5%的25倍，而1969年的差距为1117倍。21世纪初美国财富和收入分配结构没有大的比例变化。</w:t>
      </w:r>
      <w:r>
        <w:rPr>
          <w:rFonts w:eastAsia="宋体" w:cs="Times New Roman"/>
          <w:color w:val="000000"/>
          <w:sz w:val="21"/>
          <w:szCs w:val="21"/>
          <w:vertAlign w:val="superscript"/>
        </w:rPr>
        <w:footnoteReference w:id="274"/>
      </w:r>
      <w:r>
        <w:rPr>
          <w:rFonts w:hint="eastAsia" w:eastAsia="宋体" w:cs="Times New Roman"/>
          <w:color w:val="000000"/>
          <w:sz w:val="21"/>
          <w:szCs w:val="21"/>
        </w:rPr>
        <w:t>美国人口普查局发表的国内家庭消费支出调查报告显示，美国2005年的基尼系数达到了01469，成为1967年以来的最高记录。报告显示，美国家庭收入差距在不断扩大。美国最富有的20%家庭中年收入上涨了212%，即3592美元，达到1616万美元，占全体收入的5014%。而最贫穷的20%家庭中年收入仅上升了012%，即17美元，达到11288美元，占全体收入的314%，创下自上世纪60年代中期以来的最低比例。</w:t>
      </w:r>
      <w:r>
        <w:rPr>
          <w:rFonts w:eastAsia="宋体" w:cs="Times New Roman"/>
          <w:color w:val="000000"/>
          <w:sz w:val="21"/>
          <w:szCs w:val="21"/>
          <w:vertAlign w:val="superscript"/>
        </w:rPr>
        <w:footnoteReference w:id="275"/>
      </w:r>
      <w:r>
        <w:rPr>
          <w:rFonts w:hint="eastAsia" w:eastAsia="宋体" w:cs="Times New Roman"/>
          <w:color w:val="000000"/>
          <w:sz w:val="21"/>
          <w:szCs w:val="21"/>
        </w:rPr>
        <w:t>可见，尽管西方私有制主体型国家居民的生活水平渐渐增长，但社会财富占有和收入分配上的贫富两极始终存在，其数百年繁多的分化演变和高低起伏，并没有根本消除贫富两极对立的现象。所谓“中产阶级”不断壮大的说法，只不过增添了分析的层次性和丰富性而已。</w:t>
      </w:r>
    </w:p>
    <w:p w14:paraId="5A9398D6">
      <w:pPr>
        <w:ind w:firstLine="440" w:firstLineChars="200"/>
        <w:rPr>
          <w:rFonts w:eastAsia="宋体" w:cs="Times New Roman"/>
          <w:color w:val="000000"/>
          <w:sz w:val="21"/>
          <w:szCs w:val="21"/>
        </w:rPr>
      </w:pPr>
      <w:r>
        <w:rPr>
          <w:rFonts w:hint="eastAsia" w:eastAsia="宋体" w:cs="Times New Roman"/>
          <w:color w:val="000000"/>
          <w:sz w:val="21"/>
          <w:szCs w:val="21"/>
        </w:rPr>
        <w:t>倘若囿于西方主流经济理论关于机会平等和结果平等的肤浅之说，那便认识不到即使在号称机会最平等的美国，由于财产占有反差巨大、市场机制经常失灵、接受教育环境不同、生活质量高低悬殊、种族性别多方歧视等缘故，因而人们进入市场之前和参与市场竞争的过程中，机会和权利也存有许许多多的不平等性。萨缪尔森在分析贫穷的原因时也承认：“收入的差别最主要是由拥有财富的多寡造成的。</w:t>
      </w:r>
      <w:r>
        <w:rPr>
          <w:rFonts w:hint="eastAsia" w:ascii="MS Mincho" w:hAnsi="MS Mincho" w:eastAsia="MS Mincho" w:cs="MS Mincho"/>
          <w:color w:val="000000"/>
          <w:sz w:val="21"/>
          <w:szCs w:val="21"/>
        </w:rPr>
        <w:t>……</w:t>
      </w:r>
      <w:r>
        <w:rPr>
          <w:rFonts w:hint="eastAsia" w:eastAsia="宋体" w:cs="Times New Roman"/>
          <w:color w:val="000000"/>
          <w:sz w:val="21"/>
          <w:szCs w:val="21"/>
        </w:rPr>
        <w:t>和财产差别相比</w:t>
      </w:r>
      <w:r>
        <w:rPr>
          <w:rFonts w:eastAsia="宋体" w:cs="Times New Roman"/>
          <w:color w:val="000000"/>
          <w:sz w:val="21"/>
          <w:szCs w:val="21"/>
        </w:rPr>
        <w:t>，</w:t>
      </w:r>
      <w:r>
        <w:rPr>
          <w:rFonts w:hint="eastAsia" w:eastAsia="宋体" w:cs="Times New Roman"/>
          <w:color w:val="000000"/>
          <w:sz w:val="21"/>
          <w:szCs w:val="21"/>
        </w:rPr>
        <w:t>工资和个人能力的差别是微不足道的。</w:t>
      </w:r>
      <w:r>
        <w:rPr>
          <w:rFonts w:hint="eastAsia" w:ascii="MS Mincho" w:hAnsi="MS Mincho" w:eastAsia="MS Mincho" w:cs="MS Mincho"/>
          <w:color w:val="000000"/>
          <w:sz w:val="21"/>
          <w:szCs w:val="21"/>
        </w:rPr>
        <w:t>……</w:t>
      </w:r>
      <w:r>
        <w:rPr>
          <w:rFonts w:hint="eastAsia" w:eastAsia="宋体" w:cs="Times New Roman"/>
          <w:color w:val="000000"/>
          <w:sz w:val="21"/>
          <w:szCs w:val="21"/>
        </w:rPr>
        <w:t>这种阶级差别也还没有消失</w:t>
      </w:r>
      <w:r>
        <w:rPr>
          <w:rFonts w:eastAsia="宋体" w:cs="Times New Roman"/>
          <w:color w:val="000000"/>
          <w:sz w:val="21"/>
          <w:szCs w:val="21"/>
        </w:rPr>
        <w:t>：</w:t>
      </w:r>
      <w:r>
        <w:rPr>
          <w:rFonts w:hint="eastAsia" w:eastAsia="宋体" w:cs="Times New Roman"/>
          <w:color w:val="000000"/>
          <w:sz w:val="21"/>
          <w:szCs w:val="21"/>
        </w:rPr>
        <w:t>今天</w:t>
      </w:r>
      <w:r>
        <w:rPr>
          <w:rFonts w:eastAsia="宋体" w:cs="Times New Roman"/>
          <w:color w:val="000000"/>
          <w:sz w:val="21"/>
          <w:szCs w:val="21"/>
        </w:rPr>
        <w:t>，</w:t>
      </w:r>
      <w:r>
        <w:rPr>
          <w:rFonts w:hint="eastAsia" w:eastAsia="宋体" w:cs="Times New Roman"/>
          <w:color w:val="000000"/>
          <w:sz w:val="21"/>
          <w:szCs w:val="21"/>
        </w:rPr>
        <w:t>较低层的或工人阶层的父母常常无法负担把他们的子女送进商学院或医学院所需要的费用——这些子女就被排除在整个高薪职业之外。”</w:t>
      </w:r>
      <w:r>
        <w:rPr>
          <w:rFonts w:eastAsia="宋体" w:cs="Times New Roman"/>
          <w:color w:val="000000"/>
          <w:sz w:val="21"/>
          <w:szCs w:val="21"/>
          <w:vertAlign w:val="superscript"/>
        </w:rPr>
        <w:footnoteReference w:id="276"/>
      </w:r>
      <w:r>
        <w:rPr>
          <w:rFonts w:hint="eastAsia" w:eastAsia="宋体" w:cs="Times New Roman"/>
          <w:color w:val="000000"/>
          <w:sz w:val="21"/>
          <w:szCs w:val="21"/>
        </w:rPr>
        <w:t>所以，资本主义的不公平，主要表现在私有财产制和按资分配及其派生现象上。与此相异，传统社会主义的不公平，主要表现在体制僵化和平均主义分配及其派生现象上。至于由生产技术原因直接导致的某些经济不公平现象，在比较两种制度的公平与否时应暂时舍弃。</w:t>
      </w:r>
    </w:p>
    <w:p w14:paraId="686A9445">
      <w:pPr>
        <w:ind w:firstLine="440" w:firstLineChars="200"/>
        <w:rPr>
          <w:rFonts w:eastAsia="宋体" w:cs="Times New Roman"/>
          <w:color w:val="000000"/>
          <w:sz w:val="21"/>
          <w:szCs w:val="21"/>
        </w:rPr>
      </w:pPr>
      <w:r>
        <w:rPr>
          <w:rFonts w:hint="eastAsia" w:eastAsia="宋体" w:cs="Times New Roman"/>
          <w:color w:val="000000"/>
          <w:sz w:val="21"/>
          <w:szCs w:val="21"/>
        </w:rPr>
        <w:t>人类的任何活动都有效率问题。经济学意义上的效率，是指经济资源的配置和产出状态。对于一个企业或社会来说，最高效率意味着资源处于最优配置状态，从而使特定范围内的需要得到最大满足或福利得到最大增进或财富得到最大增加。经济效率涉及生产、分配、交换和消费各个领域，涉及经济力和经济关系各个方面，它不仅仅属于生产力的范畴。</w:t>
      </w:r>
    </w:p>
    <w:p w14:paraId="58FAFC26">
      <w:pPr>
        <w:ind w:firstLine="440" w:firstLineChars="200"/>
        <w:rPr>
          <w:rFonts w:eastAsia="宋体" w:cs="Times New Roman"/>
          <w:color w:val="000000"/>
          <w:sz w:val="21"/>
          <w:szCs w:val="21"/>
        </w:rPr>
      </w:pPr>
      <w:r>
        <w:rPr>
          <w:rFonts w:hint="eastAsia" w:eastAsia="宋体" w:cs="Times New Roman"/>
          <w:color w:val="000000"/>
          <w:sz w:val="21"/>
          <w:szCs w:val="21"/>
        </w:rPr>
        <w:t>即使在传统体制和国际环境有利于私有制大国的条件下，中苏两国的发展业绩和效率也超过了绝大多数西方国家。1953—1978年，我国国民生产总值年均增长611%，与资本主义国家中增长最快的日本在二战后至今的年均增长率相同，远远超过资本主义市场经济国家的平均增长速度；我国的综合国力，1949年排名世界第13位，1962年列第10位，1988年进入世界第6位。到20世纪80年代末，苏联的综合国力大大超过德国、法国、英国和日本等发达或不发达的私有制国家，成为与美国日益接近的世界第二号强国。难怪美国费希尔和唐布什合著的《经济学》教科书也确认公有制国家的较高效率：“计划体制运行得如何？在第二次世界大战后的大部分时期内，苏联的增长虽然没有日本快，但比美国快。”</w:t>
      </w:r>
      <w:r>
        <w:rPr>
          <w:rFonts w:eastAsia="宋体" w:cs="Times New Roman"/>
          <w:color w:val="000000"/>
          <w:sz w:val="21"/>
          <w:szCs w:val="21"/>
          <w:vertAlign w:val="superscript"/>
        </w:rPr>
        <w:footnoteReference w:id="277"/>
      </w:r>
      <w:r>
        <w:rPr>
          <w:rFonts w:hint="eastAsia" w:eastAsia="宋体" w:cs="Times New Roman"/>
          <w:color w:val="000000"/>
          <w:sz w:val="21"/>
          <w:szCs w:val="21"/>
        </w:rPr>
        <w:t>可见，那种认为资本主义国家均属高效率、社会主义国家均属低效率的论点，与本世纪各国经济发展的实证分析结论和科学精神格格不入。还是美国凯斯和费尔在90年代初颇为流行的经济学教科书中阐述得较为客观：“关于私有制和竞争市场是有效率的结论在很大程度上基于一系列非常严格的假设。</w:t>
      </w:r>
      <w:r>
        <w:rPr>
          <w:rFonts w:hint="eastAsia" w:ascii="MS Mincho" w:hAnsi="MS Mincho" w:eastAsia="MS Mincho" w:cs="MS Mincho"/>
          <w:color w:val="000000"/>
          <w:sz w:val="21"/>
          <w:szCs w:val="21"/>
        </w:rPr>
        <w:t>……</w:t>
      </w:r>
      <w:r>
        <w:rPr>
          <w:rFonts w:hint="eastAsia" w:eastAsia="宋体" w:cs="Times New Roman"/>
          <w:color w:val="000000"/>
          <w:sz w:val="21"/>
          <w:szCs w:val="21"/>
        </w:rPr>
        <w:t>但就效率而言，主流派经济理论也并没有得出自由放任的资本主义是完全成功的结论。”</w:t>
      </w:r>
      <w:r>
        <w:rPr>
          <w:rFonts w:eastAsia="宋体" w:cs="Times New Roman"/>
          <w:color w:val="000000"/>
          <w:sz w:val="21"/>
          <w:szCs w:val="21"/>
          <w:vertAlign w:val="superscript"/>
        </w:rPr>
        <w:footnoteReference w:id="278"/>
      </w:r>
      <w:r>
        <w:rPr>
          <w:rFonts w:hint="eastAsia" w:eastAsia="宋体" w:cs="Times New Roman"/>
          <w:color w:val="000000"/>
          <w:sz w:val="21"/>
          <w:szCs w:val="21"/>
        </w:rPr>
        <w:t>科学社会主义性质和类型的市场取向的改革目的，就是要进入高效率的最佳状态。法律意义上的社会主义资产公有制，只是为微观和宏观经济的高效率以及比私有制更多的机会均等开辟了客观可能性，而要将这种可能性变为现实，须以科学的经济体制与经济机制为中介。效率是实行公有制和体制改革的基本动因。中国现代马克思主义者研究过多种产权制度及其效率，其旨在赶超一切私有制国家效率而实行“市场社会主义”的理念（非英国工党等社会党所宣扬的资产阶级中左翼的私有主体型“市场社会主义”），是建立在大量可靠的经验比较基础之上的，代表着人类不断向前的先进思想。</w:t>
      </w:r>
    </w:p>
    <w:p w14:paraId="4E1F9D6B">
      <w:pPr>
        <w:ind w:firstLine="440" w:firstLineChars="200"/>
        <w:rPr>
          <w:rFonts w:eastAsia="宋体" w:cs="Times New Roman"/>
          <w:b/>
          <w:color w:val="000000"/>
          <w:sz w:val="21"/>
          <w:szCs w:val="21"/>
        </w:rPr>
      </w:pPr>
      <w:r>
        <w:rPr>
          <w:rFonts w:hint="eastAsia" w:eastAsia="宋体" w:cs="Times New Roman"/>
          <w:b/>
          <w:color w:val="000000"/>
          <w:sz w:val="21"/>
          <w:szCs w:val="21"/>
        </w:rPr>
        <w:t>（二）公平与效率的内在关联</w:t>
      </w:r>
    </w:p>
    <w:p w14:paraId="284E00CA">
      <w:pPr>
        <w:ind w:firstLine="440" w:firstLineChars="200"/>
        <w:rPr>
          <w:rFonts w:eastAsia="宋体" w:cs="Times New Roman"/>
          <w:color w:val="000000"/>
          <w:sz w:val="21"/>
          <w:szCs w:val="21"/>
        </w:rPr>
      </w:pPr>
      <w:r>
        <w:rPr>
          <w:rFonts w:hint="eastAsia" w:eastAsia="宋体" w:cs="Times New Roman"/>
          <w:color w:val="000000"/>
          <w:sz w:val="21"/>
          <w:szCs w:val="21"/>
        </w:rPr>
        <w:t>经济公平与经济效率是人类经济生活中的一对基本矛盾，也是经济学论争的主题。人们之所以把这一矛盾的难题解析称作经济学说史上的“哥德巴赫猜想”，其缘由在于：社会经济资源的配置效率是人类经济活动追求的目标，而经济主体在社会生产中的起点、机会、过程和结果的公平，也是人类经济活动追求的目标。这两大目标之间的内在关联和制度安排，就成为各派经济学解答不尽的两难选择。</w:t>
      </w:r>
    </w:p>
    <w:p w14:paraId="03E8B18B">
      <w:pPr>
        <w:ind w:firstLine="440" w:firstLineChars="200"/>
        <w:rPr>
          <w:rFonts w:eastAsia="宋体" w:cs="Times New Roman"/>
          <w:color w:val="000000"/>
          <w:sz w:val="21"/>
          <w:szCs w:val="21"/>
        </w:rPr>
      </w:pPr>
      <w:r>
        <w:rPr>
          <w:rFonts w:hint="eastAsia" w:eastAsia="宋体" w:cs="Times New Roman"/>
          <w:color w:val="000000"/>
          <w:sz w:val="21"/>
          <w:szCs w:val="21"/>
        </w:rPr>
        <w:t>收入和财富的差距并不都是效率提高的结果，其刺激效应达到一定程度后便具有递减的趋势，甚至出现负面的效应。例如，世界各国普遍存在的“地下经济”、“寻租”活动、权钱交易等形成的巨大黑色收入和灰色收入，与效率的提高没有内在联系，有时反而是资源配置效率下降和损失的结果。再如，一部分高收入者的工作效率已达顶点，继续加大分配差距不会增高效率；也有一部分低收入者已不可能改变内外条件来增加收入，进而导致沮丧心态的产生和效率的降低。换句话说，人们接受高收入刺激的效率有着生理和社会限制，不会轻易进行没有新增收益的效率改进活动，全社会或某一行业（如我国目前调控不力的国有金融行业）过大的收入和财富差距，必然损失社会总效率。</w:t>
      </w:r>
    </w:p>
    <w:p w14:paraId="7A0137E5">
      <w:pPr>
        <w:ind w:firstLine="440" w:firstLineChars="200"/>
        <w:rPr>
          <w:rFonts w:eastAsia="宋体" w:cs="Times New Roman"/>
          <w:color w:val="000000"/>
          <w:sz w:val="21"/>
          <w:szCs w:val="21"/>
        </w:rPr>
      </w:pPr>
      <w:r>
        <w:rPr>
          <w:rFonts w:hint="eastAsia" w:eastAsia="宋体" w:cs="Times New Roman"/>
          <w:color w:val="000000"/>
          <w:sz w:val="21"/>
          <w:szCs w:val="21"/>
        </w:rPr>
        <w:t>高效率是无法脱离以合理的公有制经济体制为基础的公平分配的。从现实可能性来观察，可将所有制、体制、公平和效率这四个相关因素的结合链分归四类：公有制→体制优越→最公平→高效率（效率Ⅰ）；私有制→体制较优→不公平→中效率（效率Ⅱ）；公有制→体制次优→较公平→次中效率（效率Ⅲ）；私有制→体制较劣→不公平→低效率（效率Ⅳ）。在制度成本最低和相对最公平的状态中实现高效率，是坚持和完善社会主义市场经济体制改革方向的目标。</w:t>
      </w:r>
    </w:p>
    <w:p w14:paraId="76D64A7F">
      <w:pPr>
        <w:ind w:firstLine="440" w:firstLineChars="200"/>
        <w:rPr>
          <w:rFonts w:eastAsia="宋体" w:cs="Times New Roman"/>
          <w:color w:val="000000"/>
          <w:sz w:val="21"/>
          <w:szCs w:val="21"/>
        </w:rPr>
      </w:pPr>
      <w:r>
        <w:rPr>
          <w:rFonts w:hint="eastAsia" w:eastAsia="宋体" w:cs="Times New Roman"/>
          <w:color w:val="000000"/>
          <w:sz w:val="21"/>
          <w:szCs w:val="21"/>
        </w:rPr>
        <w:t>与“公平与效率高低反向变动假设”或“效率优先假设”的涵义截然不同，“公平与效率互促同向变动假设”表述的是，经济公平与经济效率具有正反同向变动的交促互补关系，即经济活动的制度、权利、机会和结果等方面越是公平，效率就越高；相反，越不公平，效率就越低。当代公平与效率最优结合的载体之一是市场型按劳分配。按劳分配显示的经济公平，具体表现为含有差别性的劳动的平等和产品分配的平等。这种在起点、机会、过程和结果方面既有差别，又是平等的分配制度，相对于按资分配，客观上是最公平的，也不存在公平与效率哪个优先的问题。尽管我国法律允许按资分配这种不公平因素及其制度的局部存在，但并不意味着其经济性质就是没有无偿占有他人劳动的公平分配。可见，按劳分配式的经济公平具有客观性、阶级性和相对性。同时，只要不把这种公平曲解为收入和财富上的“平均”或“均等”，通过有效的市场竞争和国家政策调节，按劳分配不论从微观或宏观角度来看，都必然直接和间接地促进效率达到极大化。这是因为，市场竞争所形成的按劳取酬的合理收入差距，已经能最大限度地发挥人的潜力，使劳动资源在社会规模上得到优化配置。国内外日趋增多的正反实例也表明，公平与效率具有正相关联系，二者呈此长彼长、此消彼消的正反同向变动的交促关系和互补性。在初级阶段的社会主义分配制度上，以按劳分配为主体，按资分配为补充或辅体；在高度重视效率的同时更加注重社会公平，建立和完善公平与效率的和谐互动机制；当前特别要强调收入和财富分配上的“提低、扩中、控高、打非”。这些基于“公平与效率互促同向变动假设”的论断和政策具有一般意义和科学性。</w:t>
      </w:r>
    </w:p>
    <w:p w14:paraId="1B4750E0">
      <w:pPr>
        <w:ind w:firstLine="440" w:firstLineChars="200"/>
        <w:rPr>
          <w:rFonts w:eastAsia="宋体" w:cs="Times New Roman"/>
          <w:color w:val="000000"/>
          <w:sz w:val="21"/>
          <w:szCs w:val="21"/>
        </w:rPr>
      </w:pPr>
      <w:r>
        <w:rPr>
          <w:rFonts w:hint="eastAsia" w:eastAsia="宋体" w:cs="Times New Roman"/>
          <w:color w:val="000000"/>
          <w:sz w:val="21"/>
          <w:szCs w:val="21"/>
        </w:rPr>
        <w:t>市场型按劳分配为主体的分配格局可以实现共同富裕和经济和谐。与计划经济相比，在市场经济条件下，等量劳动要求获得等量报酬这一按劳分配的基本内涵未变，所改变的只是实现按劳分配的形式和途径。详细地说，一是按劳分配市场化，即由劳动力市场形成的劳动力价格的转化形式——工资，是劳动者与企业在市场上通过双向选择签订劳动合同的基础，因而是实现按劳分配的前提条件和方式；二是按劳分配企业化，即等量劳动得到等量报酬的原则只能在一个公有企业的范围内实现，不同企业的劳动者消耗同量劳动，其报酬不一定相等。也就是说，按劳分配的平等与商品交换的平等结合后，市场竞争会影响按劳分配实现的方式和程度，但若不与私有化相结合，其本身无法带来社会两极分化，妨碍构建社会主义共同富裕与和谐的社会。实际上，现阶段的共同富裕是脱离不了按劳分配这一主体的。倘若我国不重蹈为某些资本主义国家所走过、又为美国库兹涅茨所描述的“倒U型假说”之路径，那么，就能通过逐步健全一种公平与效率兼得的良性循环机制，来推进全社会的共同富裕和经济和谐。</w:t>
      </w:r>
    </w:p>
    <w:p w14:paraId="237F1099">
      <w:pPr>
        <w:ind w:firstLine="440" w:firstLineChars="200"/>
        <w:rPr>
          <w:rFonts w:eastAsia="宋体" w:cs="Times New Roman"/>
          <w:color w:val="000000"/>
          <w:sz w:val="21"/>
          <w:szCs w:val="21"/>
        </w:rPr>
      </w:pPr>
    </w:p>
    <w:p w14:paraId="721FE22D">
      <w:pPr>
        <w:ind w:firstLine="440" w:firstLineChars="200"/>
        <w:rPr>
          <w:rFonts w:eastAsia="宋体" w:cs="Times New Roman"/>
          <w:color w:val="000000"/>
          <w:sz w:val="21"/>
          <w:szCs w:val="21"/>
        </w:rPr>
      </w:pPr>
      <w:r>
        <w:rPr>
          <w:rFonts w:hint="eastAsia" w:eastAsia="宋体" w:cs="Times New Roman"/>
          <w:color w:val="000000"/>
          <w:sz w:val="21"/>
          <w:szCs w:val="21"/>
        </w:rPr>
        <w:t>（原载《中国社会科学》2007年第1期）</w:t>
      </w:r>
    </w:p>
    <w:p w14:paraId="3253DE95">
      <w:pPr>
        <w:spacing w:line="336" w:lineRule="auto"/>
        <w:ind w:firstLine="440" w:firstLineChars="200"/>
        <w:rPr>
          <w:rFonts w:ascii="宋体" w:hAnsi="宋体" w:eastAsia="宋体" w:cs="Times New Roman"/>
        </w:rPr>
      </w:pPr>
    </w:p>
    <w:p w14:paraId="2EC499BD">
      <w:pPr>
        <w:pStyle w:val="2"/>
        <w:spacing w:before="120" w:after="120" w:line="360" w:lineRule="auto"/>
        <w:ind w:firstLine="660" w:firstLineChars="200"/>
        <w:rPr>
          <w:rFonts w:hint="default"/>
        </w:rPr>
      </w:pPr>
      <w:r>
        <w:rPr>
          <w:rFonts w:ascii="Times New Roman" w:hAnsi="Times New Roman" w:eastAsia="宋体"/>
          <w:b/>
          <w:sz w:val="32"/>
        </w:rPr>
        <w:br w:type="page"/>
      </w:r>
      <w:bookmarkStart w:id="859" w:name="_Toc111193690"/>
      <w:bookmarkStart w:id="860" w:name="_Toc29345"/>
      <w:bookmarkStart w:id="861" w:name="_Toc1725194323"/>
      <w:bookmarkStart w:id="862" w:name="_Toc624539280"/>
      <w:r>
        <w:t>2008年</w:t>
      </w:r>
      <w:bookmarkEnd w:id="859"/>
      <w:bookmarkEnd w:id="860"/>
      <w:bookmarkEnd w:id="861"/>
      <w:bookmarkEnd w:id="862"/>
    </w:p>
    <w:p w14:paraId="50175F20">
      <w:pPr>
        <w:spacing w:before="147" w:beforeLines="50" w:after="147" w:afterLines="50" w:line="300" w:lineRule="auto"/>
        <w:ind w:firstLine="660" w:firstLineChars="200"/>
        <w:jc w:val="center"/>
        <w:outlineLvl w:val="1"/>
        <w:rPr>
          <w:rFonts w:ascii="黑体" w:hAnsi="黑体" w:eastAsia="黑体" w:cs="Times New Roman"/>
          <w:sz w:val="32"/>
        </w:rPr>
      </w:pPr>
      <w:bookmarkStart w:id="863" w:name="_Toc257922097"/>
      <w:bookmarkStart w:id="864" w:name="_Toc111193691"/>
      <w:bookmarkStart w:id="865" w:name="_Toc12833"/>
      <w:bookmarkStart w:id="866" w:name="_Toc16784867"/>
      <w:bookmarkStart w:id="867" w:name="_Toc1879096071"/>
      <w:bookmarkStart w:id="868" w:name="_Toc22217"/>
      <w:bookmarkStart w:id="869" w:name="_Toc28281"/>
      <w:bookmarkStart w:id="870" w:name="_Toc5562"/>
      <w:r>
        <w:rPr>
          <w:rFonts w:ascii="Times New Roman" w:hAnsi="Times New Roman" w:eastAsia="黑体" w:cs="Times New Roman"/>
          <w:sz w:val="32"/>
          <w:szCs w:val="32"/>
        </w:rPr>
        <w:t>1</w:t>
      </w:r>
      <w:r>
        <w:rPr>
          <w:rFonts w:hint="eastAsia" w:ascii="Times New Roman" w:hAnsi="Times New Roman" w:eastAsia="黑体" w:cs="Times New Roman"/>
          <w:sz w:val="32"/>
          <w:szCs w:val="32"/>
        </w:rPr>
        <w:t>反思</w:t>
      </w:r>
      <w:r>
        <w:rPr>
          <w:rFonts w:hint="eastAsia" w:ascii="黑体" w:hAnsi="黑体" w:eastAsia="黑体" w:cs="Times New Roman"/>
          <w:sz w:val="32"/>
        </w:rPr>
        <w:t>和超越新自由主义主导的经济全球化</w:t>
      </w:r>
      <w:bookmarkEnd w:id="863"/>
      <w:bookmarkEnd w:id="864"/>
      <w:bookmarkEnd w:id="865"/>
      <w:bookmarkEnd w:id="866"/>
      <w:bookmarkEnd w:id="867"/>
    </w:p>
    <w:p w14:paraId="20D09852">
      <w:pPr>
        <w:spacing w:before="147" w:beforeLines="50" w:line="300" w:lineRule="auto"/>
        <w:ind w:firstLine="440" w:firstLineChars="200"/>
        <w:rPr>
          <w:rFonts w:ascii="宋体" w:hAnsi="宋体" w:eastAsia="宋体" w:cs="Times New Roman"/>
        </w:rPr>
      </w:pPr>
      <w:r>
        <w:rPr>
          <w:rFonts w:hint="eastAsia" w:ascii="宋体" w:hAnsi="宋体" w:eastAsia="宋体" w:cs="Times New Roman"/>
        </w:rPr>
        <w:t>经济全球化可以从两个层面来描述和界定：一是从生产力与经济关系一般意义上说，即经济全球化描述的是生产要素在各国之间流动日益加快、经济活动在各国之间联系日益紧密的趋势；二是从现阶段经济关系的一个重要特征上说，即经济全球化描述的是美国等资本主义强国主导下的资本主义生产方式控制和扩张的趋势。轻易地全盘否定或肯定经济全球化，并由此来制定战略和策略，都是不可取的。</w:t>
      </w:r>
    </w:p>
    <w:p w14:paraId="12DDE745">
      <w:pPr>
        <w:spacing w:line="300" w:lineRule="auto"/>
        <w:ind w:firstLine="440" w:firstLineChars="200"/>
        <w:rPr>
          <w:rFonts w:ascii="宋体" w:hAnsi="宋体" w:eastAsia="宋体" w:cs="Times New Roman"/>
        </w:rPr>
      </w:pPr>
      <w:r>
        <w:rPr>
          <w:rFonts w:hint="eastAsia" w:ascii="宋体" w:hAnsi="宋体" w:eastAsia="宋体" w:cs="Times New Roman"/>
        </w:rPr>
        <w:t>我们不仅要理解经济全球化的原因和特点，以及正负效应，而且还要理解反全球化运动的特点和作用。只有这样，才能深刻地认知经济全球化条件下的生产力与经济关系或经济制度的基本矛盾，准确地把握处于激烈博弈中的世界经济非线性和非均衡发展及其最终趋势。</w:t>
      </w:r>
    </w:p>
    <w:p w14:paraId="0650185C">
      <w:pPr>
        <w:spacing w:before="147" w:beforeLines="50" w:after="147" w:afterLines="50" w:line="300" w:lineRule="auto"/>
        <w:ind w:firstLine="500" w:firstLineChars="200"/>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一、经济全球化的成因与特点</w:t>
      </w:r>
    </w:p>
    <w:p w14:paraId="00FF0F1B">
      <w:pPr>
        <w:spacing w:line="300" w:lineRule="auto"/>
        <w:ind w:firstLine="440" w:firstLineChars="200"/>
        <w:rPr>
          <w:rFonts w:ascii="宋体" w:hAnsi="宋体" w:eastAsia="宋体" w:cs="Times New Roman"/>
        </w:rPr>
      </w:pPr>
      <w:r>
        <w:rPr>
          <w:rFonts w:hint="eastAsia" w:ascii="宋体" w:hAnsi="宋体" w:eastAsia="宋体" w:cs="Times New Roman"/>
        </w:rPr>
        <w:t>从资本主义国家开拓世界市场，向外扩张，并推行各种殖民主义措施开始，经济便渐渐地全球化了。相比之下，20世纪90年代开始的新一轮经济全球化，则具有如下的动因和特点：</w:t>
      </w:r>
    </w:p>
    <w:p w14:paraId="6F018B00">
      <w:pPr>
        <w:spacing w:line="300" w:lineRule="auto"/>
        <w:ind w:firstLine="440" w:firstLineChars="200"/>
        <w:rPr>
          <w:rFonts w:ascii="宋体" w:hAnsi="宋体" w:eastAsia="宋体" w:cs="Times New Roman"/>
        </w:rPr>
      </w:pPr>
      <w:r>
        <w:rPr>
          <w:rFonts w:hint="eastAsia" w:ascii="宋体" w:hAnsi="宋体" w:eastAsia="宋体" w:cs="Times New Roman"/>
        </w:rPr>
        <w:t>第一，当今的经济全球化是与知识经济，尤其是信息技术相适应的。在全球化的国际经济关系中，不仅有货物、劳务和资本的大规模国际交流，而且信息技术的广泛应用，给人们提供了一种便捷的国际交流手段，使国际经济关系更加紧密。没有信息化，就没有全球化。这句话可以在一定程度上解释，20世纪70年代所出现的“小的是美好的”说法，即把一些大型公司加以分解。20世纪90年代重新掀起大规模的并购高潮，其原因是信息技术使跨国公司内外部的信息成本和管理费用降低了。</w:t>
      </w:r>
    </w:p>
    <w:p w14:paraId="35BED7BB">
      <w:pPr>
        <w:spacing w:line="300" w:lineRule="auto"/>
        <w:ind w:firstLine="440" w:firstLineChars="200"/>
        <w:rPr>
          <w:rFonts w:ascii="宋体" w:hAnsi="宋体" w:eastAsia="宋体" w:cs="Times New Roman"/>
        </w:rPr>
      </w:pPr>
      <w:r>
        <w:rPr>
          <w:rFonts w:hint="eastAsia" w:ascii="宋体" w:hAnsi="宋体" w:eastAsia="宋体" w:cs="Times New Roman"/>
        </w:rPr>
        <w:t>第二，当今的经济全球化是以多元的行为主体来构成世界经济和国际关系的。除国家之外，企业尤其是现代跨国公司和跨国银行的作用日趋增大，它们把自己的生产、投资、销售等活动的场所遍布全球各地，实行全球经营战略。跨国公司的全球化经营，形成了当代国际经济关系空前巨大和严密的全球网络，把世界各国的经济大多包罗在内。据统计，全世界目前40%的产品是由跨国公司生产的，70%-80%的国际贸易是由跨国公司从事的。</w:t>
      </w:r>
    </w:p>
    <w:p w14:paraId="6590D994">
      <w:pPr>
        <w:spacing w:line="300" w:lineRule="auto"/>
        <w:ind w:firstLine="440" w:firstLineChars="200"/>
        <w:rPr>
          <w:rFonts w:ascii="宋体" w:hAnsi="宋体" w:eastAsia="宋体" w:cs="Times New Roman"/>
        </w:rPr>
      </w:pPr>
      <w:r>
        <w:rPr>
          <w:rFonts w:hint="eastAsia" w:ascii="宋体" w:hAnsi="宋体" w:eastAsia="宋体" w:cs="Times New Roman"/>
        </w:rPr>
        <w:t>第三，当今的经济全球化是市场体系和市场经济体制来沟通各国之间的经济联系的。在市场经济体系中，不仅国际货物贸易空前扩大，资本流动成百倍地增长，而且国外直接投资、劳务贸易、科技贸易、信息传播、人员流动、国际旅游等领域都有了迅猛的发展。这些领域互相促进，互相结合，形成了一个全方位、宽领域、多渠道的完整而发达的市场体系。这个世界市场体系和市场体制把各国的经济紧密地联系在一起，使各国在各个领域内发生着广泛的经济关系。</w:t>
      </w:r>
    </w:p>
    <w:p w14:paraId="4530AA05">
      <w:pPr>
        <w:spacing w:line="300" w:lineRule="auto"/>
        <w:ind w:firstLine="440" w:firstLineChars="200"/>
        <w:rPr>
          <w:rFonts w:ascii="宋体" w:hAnsi="宋体" w:eastAsia="宋体" w:cs="Times New Roman"/>
        </w:rPr>
      </w:pPr>
      <w:r>
        <w:rPr>
          <w:rFonts w:hint="eastAsia" w:ascii="宋体" w:hAnsi="宋体" w:eastAsia="宋体" w:cs="Times New Roman"/>
        </w:rPr>
        <w:t>第四，当今的经济全球化是由资本主义发达国家主导的。最有竞争力的西方强国在国际事务上具有垄断和霸权，它们力图将自身的生产方式逐渐扩展到所有的国家。作为唯一的超级大国，正如吉登斯所言，美国深刻而突出地影响了新的全球秩序的形成。从某些方面看，美国企图把它的宪法条款推及全球。</w:t>
      </w:r>
    </w:p>
    <w:p w14:paraId="7B2B47DD">
      <w:pPr>
        <w:spacing w:line="300" w:lineRule="auto"/>
        <w:ind w:firstLine="440" w:firstLineChars="200"/>
        <w:rPr>
          <w:rFonts w:ascii="宋体" w:hAnsi="宋体" w:eastAsia="宋体" w:cs="Times New Roman"/>
        </w:rPr>
      </w:pPr>
      <w:r>
        <w:rPr>
          <w:rFonts w:hint="eastAsia" w:ascii="宋体" w:hAnsi="宋体" w:eastAsia="宋体" w:cs="Times New Roman"/>
        </w:rPr>
        <w:t>第五，当今的经济全球化同经济区域化和经济集团化并存。根据世界贸易组织的统计，迄今为止，世界上已出现了144个区域性经济集团；国际货币基金组织调查的数字为68个；而日本贸易振兴会推算的数字为101个。英国《经济学家》杂志公布的数字则显示，从1948年到1994年，世界上先后出现过109个区域经济合作组织，其中，2/3是20世纪90年代的产物。目前，至少已经有146个国家和地区参加了以上各种形式的区域性经济集团。在集团化方面，迄今出现的经济集团有：七国集团、七十七国集团、二十四国集团等。全球化和区域化并存的另一个印证是，随着全球化进程速度的加快，区域的内部经济流通也在加快。如1993年，北美、欧盟和东亚三个地区占全球出口贸易总量的76.8%。目前，欧盟国家有1/3的对外贸易是在其内部进行的，亚洲国家的一半外资也是来自其他亚洲国家。</w:t>
      </w:r>
    </w:p>
    <w:p w14:paraId="0D939580">
      <w:pPr>
        <w:spacing w:before="147" w:beforeLines="50" w:after="147" w:afterLines="50" w:line="300" w:lineRule="auto"/>
        <w:ind w:firstLine="500" w:firstLineChars="200"/>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二、经济全球化的正负效应</w:t>
      </w:r>
    </w:p>
    <w:p w14:paraId="541EA887">
      <w:pPr>
        <w:spacing w:line="300" w:lineRule="auto"/>
        <w:ind w:firstLine="440" w:firstLineChars="200"/>
        <w:rPr>
          <w:rFonts w:ascii="宋体" w:hAnsi="宋体" w:eastAsia="宋体" w:cs="Times New Roman"/>
        </w:rPr>
      </w:pPr>
      <w:r>
        <w:rPr>
          <w:rFonts w:hint="eastAsia" w:ascii="宋体" w:hAnsi="宋体" w:eastAsia="宋体" w:cs="Times New Roman"/>
        </w:rPr>
        <w:t>从理论上说，经济全球化的正面效应表现为以下几点：</w:t>
      </w:r>
    </w:p>
    <w:p w14:paraId="0FDEC765">
      <w:pPr>
        <w:spacing w:line="300" w:lineRule="auto"/>
        <w:ind w:firstLine="440" w:firstLineChars="200"/>
        <w:rPr>
          <w:rFonts w:ascii="宋体" w:hAnsi="宋体" w:eastAsia="宋体" w:cs="Times New Roman"/>
        </w:rPr>
      </w:pPr>
      <w:r>
        <w:rPr>
          <w:rFonts w:hint="eastAsia" w:ascii="宋体" w:hAnsi="宋体" w:eastAsia="宋体" w:cs="Times New Roman"/>
        </w:rPr>
        <w:t>第一，它为在全球范围内的资源优化配置提供了可能性。作为全球经济组成部分的各个国家，可以在国际经济交往中发挥自己特有的优势，从而实现优势互补，总体上促进了世界范围内的经济增长。在这一过程中，发达国家凭借其在资本实力和科技上的优势，要比发展中国家获得更大的利益。</w:t>
      </w:r>
    </w:p>
    <w:p w14:paraId="50E15F89">
      <w:pPr>
        <w:spacing w:line="300" w:lineRule="auto"/>
        <w:ind w:firstLine="440" w:firstLineChars="200"/>
        <w:rPr>
          <w:rFonts w:ascii="宋体" w:hAnsi="宋体" w:eastAsia="宋体" w:cs="Times New Roman"/>
        </w:rPr>
      </w:pPr>
      <w:r>
        <w:rPr>
          <w:rFonts w:hint="eastAsia" w:ascii="宋体" w:hAnsi="宋体" w:eastAsia="宋体" w:cs="Times New Roman"/>
        </w:rPr>
        <w:t>第二，它为在全球范围内发挥客观经济规律的作用提供了可能性。在不断扩大的逐步统一的世界大市场中，各国面对着激烈的国际市场竞争，必须努力改善生产经营活动，降低成本，提高劳动生产率，实现规模生产。这一切都会有效地扩大世界的总产出水平。同时，激烈的国际竞争还会刺激新技术的研究与开发，使科技成果在世界范围内更快地转化为生产力，从而刺激全球经济增长。</w:t>
      </w:r>
    </w:p>
    <w:p w14:paraId="1CAB8B63">
      <w:pPr>
        <w:spacing w:line="300" w:lineRule="auto"/>
        <w:ind w:firstLine="440" w:firstLineChars="200"/>
        <w:rPr>
          <w:rFonts w:ascii="宋体" w:hAnsi="宋体" w:eastAsia="宋体" w:cs="Times New Roman"/>
        </w:rPr>
      </w:pPr>
      <w:r>
        <w:rPr>
          <w:rFonts w:hint="eastAsia" w:ascii="宋体" w:hAnsi="宋体" w:eastAsia="宋体" w:cs="Times New Roman"/>
        </w:rPr>
        <w:t>第三，它为加速产业结构的世界性合理调整和高级化提供了可能性。在经济全球化的过程中，国际直接投资与技术转让这两个方面的相互作用和相互促进，导致世界性产业结构不断获得调整和升级。在这一过程中，发展中国家可以通过引进发达国家的资金和先进技术，借鉴发达国家的先进管理经验，加快国内产业结构的调整和优化，加速实现工业化和现代化的进程。当然，发达国家在产业结构调整的过程中，也能够继续保持在这方面的优势地位。</w:t>
      </w:r>
    </w:p>
    <w:p w14:paraId="3072B72B">
      <w:pPr>
        <w:spacing w:line="300" w:lineRule="auto"/>
        <w:ind w:firstLine="440" w:firstLineChars="200"/>
        <w:rPr>
          <w:rFonts w:ascii="宋体" w:hAnsi="宋体" w:eastAsia="宋体" w:cs="Times New Roman"/>
        </w:rPr>
      </w:pPr>
      <w:r>
        <w:rPr>
          <w:rFonts w:hint="eastAsia" w:ascii="宋体" w:hAnsi="宋体" w:eastAsia="宋体" w:cs="Times New Roman"/>
        </w:rPr>
        <w:t>第四，它为解决全球经济和社会发展面临的一些共同问题提供了可能性。在当代世界经济发展过程中，生态、环境、资源、人口、卫生、暴力、犯罪、掠夺等问题是各国和地区发展所面临的共同问题。在经济全球化的过程中，倘若世界各国尤其是发达国家能充分认识并积极采取措施来解决这些问题，有可能在全球范围内推动经济和社会的可持续发展。</w:t>
      </w:r>
    </w:p>
    <w:p w14:paraId="6B4DCC64">
      <w:pPr>
        <w:spacing w:line="300" w:lineRule="auto"/>
        <w:ind w:firstLine="440" w:firstLineChars="200"/>
        <w:rPr>
          <w:rFonts w:ascii="宋体" w:hAnsi="宋体" w:eastAsia="宋体" w:cs="Times New Roman"/>
        </w:rPr>
      </w:pPr>
      <w:r>
        <w:rPr>
          <w:rFonts w:hint="eastAsia" w:ascii="宋体" w:hAnsi="宋体" w:eastAsia="宋体" w:cs="Times New Roman"/>
        </w:rPr>
        <w:t>经济全球化的负面效应有三个“可能加大”：</w:t>
      </w:r>
    </w:p>
    <w:p w14:paraId="1A729BE3">
      <w:pPr>
        <w:spacing w:line="300" w:lineRule="auto"/>
        <w:ind w:firstLine="440" w:firstLineChars="200"/>
        <w:rPr>
          <w:rFonts w:ascii="宋体" w:hAnsi="宋体" w:eastAsia="宋体" w:cs="Times New Roman"/>
        </w:rPr>
      </w:pPr>
      <w:r>
        <w:rPr>
          <w:rFonts w:hint="eastAsia" w:ascii="宋体" w:hAnsi="宋体" w:eastAsia="宋体" w:cs="Times New Roman"/>
        </w:rPr>
        <w:t>第一，可能加大世界经济发展的不平衡性。在经济发展中，发达国家在知识产权等方面占有明显的优势，因此，在经济全球化的进程中，它们的获益也大大超过了发展中国家。由于发达国家和发展中国家人均国内生产总值的指标相差悬殊，这就使得南北国家的发展不平衡差距在全球范围内进一步扩大。而这种发展的不平衡又主要体现在对外贸易、科学技术力量等方面。</w:t>
      </w:r>
    </w:p>
    <w:p w14:paraId="096F9D2D">
      <w:pPr>
        <w:spacing w:line="300" w:lineRule="auto"/>
        <w:ind w:firstLine="440" w:firstLineChars="200"/>
        <w:rPr>
          <w:rFonts w:ascii="宋体" w:hAnsi="宋体" w:eastAsia="宋体" w:cs="Times New Roman"/>
        </w:rPr>
      </w:pPr>
      <w:r>
        <w:rPr>
          <w:rFonts w:hint="eastAsia" w:ascii="宋体" w:hAnsi="宋体" w:eastAsia="宋体" w:cs="Times New Roman"/>
        </w:rPr>
        <w:t>第二，可能加大世界经济发展的波动性。例如，1994年墨西哥发生的金融危机、1995年2月巴林银行的倒闭、1997年发生的东南亚金融危机、近年阿根廷金融和经济危机，以及与国际金融密切相关的苏东国家经济的大规模倒退、日本经济十多年启动不起来、处于强势经济地位的美国所发生的衰退等，都对世界经济发展造成了巨大的负面影响。这充分说明，世界金融市场在有所发展的同时也会给世界经济带来消极影响。</w:t>
      </w:r>
    </w:p>
    <w:p w14:paraId="404DE910">
      <w:pPr>
        <w:spacing w:line="300" w:lineRule="auto"/>
        <w:ind w:firstLine="440" w:firstLineChars="200"/>
        <w:rPr>
          <w:rFonts w:ascii="宋体" w:hAnsi="宋体" w:eastAsia="宋体" w:cs="Times New Roman"/>
        </w:rPr>
      </w:pPr>
      <w:r>
        <w:rPr>
          <w:rFonts w:hint="eastAsia" w:ascii="宋体" w:hAnsi="宋体" w:eastAsia="宋体" w:cs="Times New Roman"/>
        </w:rPr>
        <w:t>第三，可能加大世界经济发展的矛盾性。当代资本主义的矛盾错综交织，使全球经济充满了不平衡、不协调、不稳定和各种风险与危机。在发达国家之间，以及发达国家与欠发达国家之间的贸易战、货币战接连不断，并波及到整个世界。发达国家尤其是美国，凭借它们的经济实力和在世界中的优势地位，对别国的干预、制裁、威胁愈演愈烈，甚至悍然发动军事干涉和侵略。这理所当然地引起其他国家的反击，从而加剧了世界范围内的矛盾、摩擦和斗争。这对世界经济的发展同样造成了不利的影响。需要指出的是，经济全球化的利弊有三种可能性：利大于弊、弊大于利和利弊相当。对特定的主体来说，重要的问题是要弄清楚对谁利大于弊，对谁弊大于利。对少数发达国家来说，肯定是利大于弊；而对发展中国家来说，利弊具有不确定性；关键取决于原有综合经济实力和现行开放和发展对策。前几年，中国与非洲40个国家联合签署的《中非论坛公报》中曾提到，对于发展中国家来说，风险大于机遇。</w:t>
      </w:r>
    </w:p>
    <w:p w14:paraId="38DAAA52">
      <w:pPr>
        <w:spacing w:line="300" w:lineRule="auto"/>
        <w:ind w:firstLine="440" w:firstLineChars="200"/>
        <w:rPr>
          <w:rFonts w:ascii="宋体" w:hAnsi="宋体" w:eastAsia="宋体" w:cs="Times New Roman"/>
        </w:rPr>
      </w:pPr>
      <w:r>
        <w:rPr>
          <w:rFonts w:hint="eastAsia" w:ascii="宋体" w:hAnsi="宋体" w:eastAsia="宋体" w:cs="Times New Roman"/>
        </w:rPr>
        <w:t>2000年7月22日，德国《新德意志报》发表了《全球化、美国谋求霸权和基辛格的担心》一文，引用了美国前国务卿基辛格的观点，全球化对美国是好事，对其他国家是坏事，因为它加深了贫富之间的鸿沟。2000年6月3日，德国总理施罗德发起了有美国、德国、加拿大、法国、意大利等14国政府首脑参加的柏林国际会议，会议通过的《21世纪现代国家管理柏林公报》强调，不能听任全球化任意发展，因为全球化没有给所有人，尤其是发展中国家带来利益。联合国2000年《人类发展报告》指出，迄今为止的全球化是不平衡的，它加深了穷国和富国、穷人和富人的鸿沟。美国总统经济顾问罗伯特.吉尔平也指出：“在历史上，所有的国际体系都是有等级的，既有处于主导地位的国家，也有居于服从地位的国家。过去从来没有，将来也不会有平等民主的国际体系</w:t>
      </w:r>
      <w:r>
        <w:rPr>
          <w:rFonts w:hint="eastAsia" w:ascii="MS Gothic" w:hAnsi="MS Gothic" w:eastAsia="MS Gothic" w:cs="MS Gothic"/>
        </w:rPr>
        <w:t>⋯⋯</w:t>
      </w:r>
      <w:r>
        <w:rPr>
          <w:rFonts w:hint="eastAsia" w:ascii="宋体" w:hAnsi="宋体" w:eastAsia="宋体" w:cs="Times New Roman"/>
        </w:rPr>
        <w:t>强国决不会让产业以及权力分配这种至关重要的事情听任各种市场力量的摆布。”[1]</w:t>
      </w:r>
    </w:p>
    <w:p w14:paraId="43F4CBCC">
      <w:pPr>
        <w:spacing w:before="147" w:beforeLines="50" w:after="147" w:afterLines="50" w:line="300" w:lineRule="auto"/>
        <w:ind w:firstLine="500" w:firstLineChars="200"/>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三、世界反全球化运动</w:t>
      </w:r>
    </w:p>
    <w:p w14:paraId="72A09FD3">
      <w:pPr>
        <w:spacing w:line="300" w:lineRule="auto"/>
        <w:ind w:firstLine="440" w:firstLineChars="200"/>
        <w:rPr>
          <w:rFonts w:ascii="宋体" w:hAnsi="宋体" w:eastAsia="宋体" w:cs="Times New Roman"/>
        </w:rPr>
      </w:pPr>
      <w:r>
        <w:rPr>
          <w:rFonts w:hint="eastAsia" w:ascii="宋体" w:hAnsi="宋体" w:eastAsia="宋体" w:cs="Times New Roman"/>
        </w:rPr>
        <w:t>对经济全球化和反全球化都是必须严肃认真加以研究的重大问题。因为在我们这个地球上，一方面是全球化舆论越来越高，另一方面是反全球化运动风起云涌。</w:t>
      </w:r>
    </w:p>
    <w:p w14:paraId="73C79961">
      <w:pPr>
        <w:spacing w:line="300" w:lineRule="auto"/>
        <w:ind w:firstLine="440" w:firstLineChars="200"/>
        <w:rPr>
          <w:rFonts w:ascii="宋体" w:hAnsi="宋体" w:eastAsia="宋体" w:cs="Times New Roman"/>
        </w:rPr>
      </w:pPr>
      <w:r>
        <w:rPr>
          <w:rFonts w:hint="eastAsia" w:ascii="宋体" w:hAnsi="宋体" w:eastAsia="宋体" w:cs="Times New Roman"/>
        </w:rPr>
        <w:t>1999年11月底12月初发生在美国的“西雅图风暴”，拉开了世界范围的反全球化运动的序幕。有4万人组成的全球化抗议者队伍与警察在整个西雅图发生全面冲突，警察逮捕了310人，另有多人受伤。反全球化运动与推进全球化的国际峰会在同一时间和同一地点举行，前者与后者进行针锋相对的斗争，这是反全球化运动的第一种形式。</w:t>
      </w:r>
    </w:p>
    <w:p w14:paraId="435AB000">
      <w:pPr>
        <w:spacing w:line="300" w:lineRule="auto"/>
        <w:ind w:firstLine="440" w:firstLineChars="200"/>
        <w:rPr>
          <w:rFonts w:ascii="宋体" w:hAnsi="宋体" w:eastAsia="宋体" w:cs="Times New Roman"/>
        </w:rPr>
      </w:pPr>
      <w:r>
        <w:rPr>
          <w:rFonts w:hint="eastAsia" w:ascii="宋体" w:hAnsi="宋体" w:eastAsia="宋体" w:cs="Times New Roman"/>
        </w:rPr>
        <w:t>反全球化运动的第二种形式是，与推进全球化的国际会议在同一时间，但在不同地点举行。前者对后者进行远程对话和抗辩，但不发生正面和暴力冲突。从2001年开始连续举办五届的“世界社会论坛”就是如此。例如，2002年1月31日至2月5日，在“世界经济论坛”于美国纽约召开的同时，反全球化的“世界社会论坛”在巴西召开。有100多个国家参加在美国举办的“世界经济论坛”，而在巴西则有150多个国家参加“世界社会论坛”。“世界社会论坛”反对“由自由市场控制”的全球化，反对“新自由主义的过分做法导致的灾难、不平等和不公正现象”，其宣言主题是“为了抵制新自由主义、军国主义和战争”。据埃菲社报道，参加“世界社会论坛”的人数高达6万人。又如，2005年1月26日，在巴西阿雷格里港举行了一次近20万人参加的“期盼和平游行”，拉开了“世界社会论坛”第5届年会的序幕，来自120多个国家的7.8万名代表和6000名记者与会。在为期6天的会议中，有约5700个非政府组织进行了2000场左右的辩论和宣传活动。</w:t>
      </w:r>
    </w:p>
    <w:p w14:paraId="0CEEF489">
      <w:pPr>
        <w:spacing w:line="300" w:lineRule="auto"/>
        <w:ind w:firstLine="440" w:firstLineChars="200"/>
        <w:rPr>
          <w:rFonts w:ascii="宋体" w:hAnsi="宋体" w:eastAsia="宋体" w:cs="Times New Roman"/>
        </w:rPr>
      </w:pPr>
      <w:r>
        <w:rPr>
          <w:rFonts w:hint="eastAsia" w:ascii="宋体" w:hAnsi="宋体" w:eastAsia="宋体" w:cs="Times New Roman"/>
        </w:rPr>
        <w:t>世界上不少地方举办的全球化论坛，有的实际上是反全球化运动的第三种形式。这种形式的反全球化国际运动，与推行全球化的国际会议不在同一时间和同一地点举行，而是一种独立行动。比如，哈瓦那全球化论坛已经举办了三届。又如，2002年11月6日至10日，“欧洲社会论坛”会议在佛罗伦萨举行。来自32个欧洲国家的约420个社会和民间团体的代表以及来自世界各地近4000个组织的代表共2万多人参加了会议。历时五天的会议分别召开30次大会和160场研讨会，议题有“新自由主义与全球化”、“南方贫穷问题”、“公平贸易”、“战争与和平”等。2002年11月9日，来自欧洲各国的上百万人在佛罗伦萨参加“欧洲社会论坛”发起的大规模反全球化、反战大游行，示威者的口号有“反对资本主义全球化”、“坚决反对美国对伊战争”、“反对美国称霸世界”、“反对新种族主义”、“反对公共服务私有化”、“打倒跨国金融资本”、“不要转基因食品”、“保护森林，保护水源”、“反对野蛮掠夺地球”等。</w:t>
      </w:r>
    </w:p>
    <w:p w14:paraId="683481C4">
      <w:pPr>
        <w:spacing w:line="300" w:lineRule="auto"/>
        <w:ind w:firstLine="440" w:firstLineChars="200"/>
        <w:rPr>
          <w:rFonts w:ascii="宋体" w:hAnsi="宋体" w:eastAsia="宋体" w:cs="Times New Roman"/>
        </w:rPr>
      </w:pPr>
      <w:r>
        <w:rPr>
          <w:rFonts w:hint="eastAsia" w:ascii="宋体" w:hAnsi="宋体" w:eastAsia="宋体" w:cs="Times New Roman"/>
        </w:rPr>
        <w:t>依我所见，反全球化运动至少具有如下特点：（1）它是一种有广泛社会基础的特殊的国际运动，具有一定的进步性，其锋芒一开始就直接指向以美国为首的主导全球化的七国集团，以及依照七国集团制定的规则推行全球化的国际经济组织，因而其主流并非反生产力和经济关系一般意义上的经济全球化，甚至可以说是“正经济全球化”，即反对和纠正“负经济全球化”或经济全球化的负效应，主张“拨乱反正”的经济全球化；（2）这种反全球化运动发展十分迅速和活跃，在1999年底西雅图拉开反全球化运动以来，全球已举行了近40次万人以上的大规模反全球化游行示威和聚会。</w:t>
      </w:r>
    </w:p>
    <w:p w14:paraId="3B1858BE">
      <w:pPr>
        <w:spacing w:line="300" w:lineRule="auto"/>
        <w:ind w:firstLine="440" w:firstLineChars="200"/>
        <w:rPr>
          <w:rFonts w:ascii="宋体" w:hAnsi="宋体" w:eastAsia="宋体" w:cs="Times New Roman"/>
        </w:rPr>
      </w:pPr>
      <w:r>
        <w:rPr>
          <w:rFonts w:hint="eastAsia" w:ascii="宋体" w:hAnsi="宋体" w:eastAsia="宋体" w:cs="Times New Roman"/>
        </w:rPr>
        <w:t>那么，是什么人在反对全球化？从西方媒体的报道中可以看出，参加反全球化的队伍是由许多国家的多种非政府组织和多方面、多阶层人士组成的，具有相当的广泛性，既有来自西方国家的非政府组织，又有来自发展中国家的非政府组织；有的是来自西方国家的社会活动家、学者、文化人士、环境保护主义者、消费者利益保护者、宗教界领袖；有的是来自西方国家的工会领导人和劳工。其中，既有全球化的直接受害者，更有全球化直接受害者的利益代表者。</w:t>
      </w:r>
    </w:p>
    <w:p w14:paraId="3226F08C">
      <w:pPr>
        <w:spacing w:line="300" w:lineRule="auto"/>
        <w:ind w:firstLine="440" w:firstLineChars="200"/>
        <w:rPr>
          <w:rFonts w:ascii="宋体" w:hAnsi="宋体" w:eastAsia="宋体" w:cs="Times New Roman"/>
        </w:rPr>
      </w:pPr>
      <w:r>
        <w:rPr>
          <w:rFonts w:hint="eastAsia" w:ascii="宋体" w:hAnsi="宋体" w:eastAsia="宋体" w:cs="Times New Roman"/>
        </w:rPr>
        <w:t>现在要进一步追问，反全球化的原因是什么？从西方国家媒体的分析中可以看到，反全球化的原因是多方面的。在中国经济学家吴易风看来，其原因有以下几个方面：第一，全球化扩大了贫富差距，既扩大了富国与穷国、发达国家与发展中国家之间的贫富差距，加深了南北矛盾，也扩大了各个国家内部的贫富差距。第二，西方发达国家政府和跨国公司联手利用贷款和债务进行不合理的国际分工，通过全球化推行包括金融殖民和技术殖民的新殖民主义，给发展中国家带来一定灾难。第三，发达国家推行全球化会使本国工业空心化，减少本国的就业机会。第四，全球化损害了发展中国家的农业。第五，发达国家利用全球化向发展中国家转嫁环境危机，进而破坏发展中国家的生态平衡。第六，发达国家通过全球化侵犯发展中国家的主权，侵蚀发展中国家的文化和传统，威胁发展中国家的社会和经济稳定，损害发展中国家的独立[2]。</w:t>
      </w:r>
    </w:p>
    <w:p w14:paraId="6D73FC05">
      <w:pPr>
        <w:spacing w:line="300" w:lineRule="auto"/>
        <w:ind w:firstLine="440" w:firstLineChars="200"/>
        <w:rPr>
          <w:rFonts w:ascii="宋体" w:hAnsi="宋体" w:eastAsia="宋体" w:cs="Times New Roman"/>
        </w:rPr>
      </w:pPr>
      <w:r>
        <w:rPr>
          <w:rFonts w:hint="eastAsia" w:ascii="宋体" w:hAnsi="宋体" w:eastAsia="宋体" w:cs="Times New Roman"/>
        </w:rPr>
        <w:t>需要在此指出的是，反全球化运动参加者的复杂性，决定了反全球化运动目标和性质的复杂性。从要求废除贫穷国家债务到保卫发展中国家的文化和传统，从维护民族独立国家的主权到反对新殖民主义和新帝国主义，从反对跨国公司接管世界到反对资本主义，从反对新自由主义到反对赌博资本主义或投机资本主义，从要求建立一个没有军队的世界到要求建立一个没有公司支配的工人的社会，反全球化运动色彩斑斓，目标复杂多样，甚至会鱼目混珠，指向有误。对此，应有清醒地认识。但就其主流来说，它仍不失为是一种具有广泛社会性和一定进步性的国际运动，与国际社会主义运动存在着某种同盟联系，一些国家的左翼学者在其中也起了重要的引导作用。</w:t>
      </w:r>
    </w:p>
    <w:p w14:paraId="646D0BB2">
      <w:pPr>
        <w:spacing w:before="147" w:beforeLines="50" w:after="147" w:afterLines="50" w:line="300" w:lineRule="auto"/>
        <w:ind w:firstLine="500" w:firstLineChars="200"/>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四、反思和超越新自由主义主导的经济全球化</w:t>
      </w:r>
    </w:p>
    <w:p w14:paraId="597468A3">
      <w:pPr>
        <w:spacing w:line="300" w:lineRule="auto"/>
        <w:ind w:firstLine="440" w:firstLineChars="200"/>
        <w:rPr>
          <w:rFonts w:ascii="宋体" w:hAnsi="宋体" w:eastAsia="宋体" w:cs="Times New Roman"/>
        </w:rPr>
      </w:pPr>
      <w:r>
        <w:rPr>
          <w:rFonts w:hint="eastAsia" w:ascii="宋体" w:hAnsi="宋体" w:eastAsia="宋体" w:cs="Times New Roman"/>
        </w:rPr>
        <w:t>从当今经济全球化的实践中可以揭示出其根本矛盾，即一国内部的经济不断社会化与生产要素的私有制之间的矛盾，国际社会的经济不断全球化与生产要素的私有制和国有制之间的矛盾，以及一国和全球经济的无政府或低秩序或弱调控状态，必然导致一国或全球经济的紊乱和衰退。这些根本矛盾的产生，首先是由资本主义市场经济的制度及其运行规律所决定的，同时也与政治和文化制度密切相关。换句话说，要想从根本上解决上述矛盾，必须走向世界各国人民共同认定的公正和有序的经济全球化，否则，各种危机、混乱、暴力、犯罪与贫穷等难以较快治理，这是由科学观察所得出的结论。</w:t>
      </w:r>
    </w:p>
    <w:p w14:paraId="5F0E4359">
      <w:pPr>
        <w:spacing w:line="300" w:lineRule="auto"/>
        <w:ind w:firstLine="440" w:firstLineChars="200"/>
        <w:rPr>
          <w:rFonts w:ascii="宋体" w:hAnsi="宋体" w:eastAsia="宋体" w:cs="Times New Roman"/>
        </w:rPr>
      </w:pPr>
      <w:r>
        <w:rPr>
          <w:rFonts w:hint="eastAsia" w:ascii="宋体" w:hAnsi="宋体" w:eastAsia="宋体" w:cs="Times New Roman"/>
        </w:rPr>
        <w:t>疑问之一：新自由主义经济思潮能阻止这一历史必然趋势吗？答案是否定的。因为它的基本内涵与特点是逆历史大时代和大潮流而动的，是在凯恩斯主义基础上“倒退”、“回归”（回归斯密）的现代自由主义，在国际上又称之为新保守主义经济思潮。</w:t>
      </w:r>
    </w:p>
    <w:p w14:paraId="57FCF37E">
      <w:pPr>
        <w:spacing w:line="300" w:lineRule="auto"/>
        <w:ind w:firstLine="440" w:firstLineChars="200"/>
        <w:rPr>
          <w:rFonts w:ascii="宋体" w:hAnsi="宋体" w:eastAsia="宋体" w:cs="Times New Roman"/>
        </w:rPr>
      </w:pPr>
      <w:r>
        <w:rPr>
          <w:rFonts w:hint="eastAsia" w:ascii="宋体" w:hAnsi="宋体" w:eastAsia="宋体" w:cs="Times New Roman"/>
        </w:rPr>
        <w:t>这种右翼思潮具有这样几个特征：一是主张非调控化，推崇市场原教旨主义，反对国家干预。尽管新自由主义经济学家不可能完全拒绝利用国家干预来稳定现代市场经济运行，但推崇“市场万能”的市场机制作用，强调国家对经济运行和经济活动的调控与干预越少越好，一切顺从自由市场的利润最大化原则。这是新自由主义理论的核心内容。二是主张私有化，宣扬“私有产权神话”的永恒作用，反对公有制。新自由主义是私有化的狂热拥护者，认为私有制经济具有自身内在的稳定性，在市场这只“看不见的手”的调节下，私有经济能够自动地实现经济的均衡，使经济稳定在可接受的失业水平上；认为私有制经济的最大好处在于它保证了个人的自由，私有制不仅是有产者个人自由的最重要保证，也是无产者个人自由的最重要保证；在鼓吹“私有产权神话”、“科斯谬误”（均为美国斯蒂格利茨用语）的同时，还极力反对公有制。三是主张全球自由化，维护美国主导下的自由经济，反对建立国际经济新秩序。新自由主义把市场原教旨主义推广到世界范围，从理论与政策上推行私人跨国公司支配下的全球自由贸易和自由金融，颂扬实行霸权主义和单边主义的美国通过控制国际经济组织来主导世界经济运行，不赞成许多国家要求重新建立或健全国际经济新秩序的合理意见。四是主张福利个人化，强调保障的责任由国家向个人转移，反对福利国家。新自由主义认为，基于高税收政策的“福利国家”导致经济上的低效率，弱化了人们工作、储蓄和投资的动机；“充分就业”政策减少了私营部门的劳动力供应，使经济发展缺乏弹性；以养老、就业和医疗等为主要内容的全民福利，摧毁了个人自我照顾的能力，增加了个人依赖国家的惰性。</w:t>
      </w:r>
    </w:p>
    <w:p w14:paraId="513CC111">
      <w:pPr>
        <w:spacing w:line="300" w:lineRule="auto"/>
        <w:ind w:firstLine="440" w:firstLineChars="200"/>
        <w:rPr>
          <w:rFonts w:ascii="宋体" w:hAnsi="宋体" w:eastAsia="宋体" w:cs="Times New Roman"/>
        </w:rPr>
      </w:pPr>
      <w:r>
        <w:rPr>
          <w:rFonts w:hint="eastAsia" w:ascii="宋体" w:hAnsi="宋体" w:eastAsia="宋体" w:cs="Times New Roman"/>
        </w:rPr>
        <w:t>对发达国家和发展中国家实行双重标准的新自由主义类型经济全球化理论及政策，其目标是，建立以发达资本主义国家为主导的全球经济秩序和资本主义的全球扩张。其结果是，一方面拓展了资本主义生存和发展的空间，在一定程度上使资本主义的基本矛盾有所缓和；另一方面又造成了世界资本主义体系新的矛盾和危机，特别是加剧了发达国家内部以及发达国家和发展中国家之间的贫富两极分化，引发了国家层面的反对新自由主义经济思潮的斗争。拉美和俄罗斯等国便是明证。</w:t>
      </w:r>
    </w:p>
    <w:p w14:paraId="35ACC38E">
      <w:pPr>
        <w:spacing w:line="300" w:lineRule="auto"/>
        <w:ind w:firstLine="440" w:firstLineChars="200"/>
        <w:rPr>
          <w:rFonts w:ascii="宋体" w:hAnsi="宋体" w:eastAsia="宋体" w:cs="Times New Roman"/>
        </w:rPr>
      </w:pPr>
      <w:r>
        <w:rPr>
          <w:rFonts w:hint="eastAsia" w:ascii="宋体" w:hAnsi="宋体" w:eastAsia="宋体" w:cs="Times New Roman"/>
        </w:rPr>
        <w:t>疑问之二：美国等资本主义国家的经济发展能阻止这一历史必然趋势吗？答案也是否定的。实证分析表明，20世纪90年代以来，美国经济相对繁荣，不能单纯从一般意义上的新经济、信息化和全球化来诠释。全面地观察，主要有两类原因：一是出于高科技推动的生产力和经济全球化，以及经济关系、经济体制和经济政策的调整，这是一般因素；二是特殊原因，如苏东国家的削弱和经互会的解体等，使美国在资源、市场、技术、人员和军火等方面获利巨大；包括金融在内的经济霸权主义的特殊地位，使美国成为较为安全的贸易和投资场所，是贸易逆差最大和资本净流入最大的国家，并通过大量发行美元、各种对冲基金、控制国际经济组织，来主导制定和推行较有利于美国的国际经济秩序与规则及某些保护主义措施，合法与非法地占有了他国财富，客观上也推动了美国的经济增长。这就是说，美国在实行新自由主义的经济政策后，似乎经济有了相当发展，但只要对美国的统计数字稍加分析就不难看出，这只不过是表面上的繁荣，实际上还埋下了股市泡沫、私人部门债务膨胀、财政赤字不断扩大等隐患。即使在高科技、高利军火和经济霸权时代，美国经济的发展速度也并不快，而且正在发生经济衰退。</w:t>
      </w:r>
    </w:p>
    <w:p w14:paraId="0958AA89">
      <w:pPr>
        <w:spacing w:line="300" w:lineRule="auto"/>
        <w:ind w:firstLine="440" w:firstLineChars="200"/>
        <w:rPr>
          <w:rFonts w:ascii="宋体" w:hAnsi="宋体" w:eastAsia="宋体" w:cs="Times New Roman"/>
        </w:rPr>
      </w:pPr>
      <w:r>
        <w:rPr>
          <w:rFonts w:hint="eastAsia" w:ascii="宋体" w:hAnsi="宋体" w:eastAsia="宋体" w:cs="Times New Roman"/>
        </w:rPr>
        <w:t>综观近十几年新自由主义主导下的经济全球化实践，可以清晰地看到，苏东是倒退的十几年，拉美是失去的十几年，日本是爬行的十几年，欧美是缓升的十几年。被联合国认定的49个最不发达的国家（亦称第四世界），也没有通过私有化等新自由主义及其经济全球化途径富强起来，有的反而更加贫穷。全球经济迫切需要在反思和超越经济全球化的新自由主义主导阶段而健康地发展。从科学的视角观察，从一定的意义上，不仅中国、越南、古巴、老挝和朝鲜的多模式社会主义的发展，而且超国家的欧盟及其欧元（蒙代尔还曾预测实现世界货币的步骤）[3]，甚至统一度不断上升的东盟和非盟等多样化的资本主义发展，以及联合国和国际经济组织的积极作用日趋扩大等，均是在自觉或不自觉地克服或缓和现阶段经济全球化的某些根本矛盾。未来的世界应是走向和谐的世界，这或许是经济全球化的唯一历史目标。</w:t>
      </w:r>
    </w:p>
    <w:p w14:paraId="31A9BB90">
      <w:pPr>
        <w:spacing w:line="300" w:lineRule="auto"/>
        <w:ind w:firstLine="440" w:firstLineChars="200"/>
        <w:rPr>
          <w:rFonts w:ascii="宋体" w:hAnsi="宋体" w:eastAsia="宋体" w:cs="Times New Roman"/>
        </w:rPr>
      </w:pPr>
    </w:p>
    <w:p w14:paraId="727A7148">
      <w:pPr>
        <w:ind w:firstLine="440" w:firstLineChars="200"/>
        <w:rPr>
          <w:rFonts w:ascii="宋体" w:hAnsi="宋体" w:eastAsia="宋体" w:cs="Times New Roman"/>
          <w:b/>
        </w:rPr>
      </w:pPr>
      <w:r>
        <w:rPr>
          <w:rFonts w:hint="eastAsia" w:ascii="宋体" w:hAnsi="宋体" w:eastAsia="宋体" w:cs="Times New Roman"/>
          <w:b/>
        </w:rPr>
        <w:t>参考文献</w:t>
      </w:r>
    </w:p>
    <w:p w14:paraId="4D787D17">
      <w:pPr>
        <w:ind w:firstLine="380" w:firstLineChars="200"/>
        <w:rPr>
          <w:rFonts w:ascii="宋体" w:hAnsi="宋体" w:eastAsia="宋体" w:cs="Times New Roman"/>
          <w:sz w:val="18"/>
          <w:szCs w:val="18"/>
        </w:rPr>
      </w:pPr>
      <w:r>
        <w:rPr>
          <w:rFonts w:hint="eastAsia" w:ascii="宋体" w:hAnsi="宋体" w:eastAsia="宋体" w:cs="Times New Roman"/>
          <w:sz w:val="18"/>
          <w:szCs w:val="18"/>
        </w:rPr>
        <w:t>[1]周肇光.谁来捍卫国际经济安全[M].合肥：安徽大学出版社，2005， P42.</w:t>
      </w:r>
    </w:p>
    <w:p w14:paraId="41037BF7">
      <w:pPr>
        <w:ind w:firstLine="380" w:firstLineChars="200"/>
        <w:rPr>
          <w:rFonts w:ascii="宋体" w:hAnsi="宋体" w:eastAsia="宋体" w:cs="Times New Roman"/>
          <w:sz w:val="18"/>
          <w:szCs w:val="18"/>
        </w:rPr>
      </w:pPr>
      <w:r>
        <w:rPr>
          <w:rFonts w:hint="eastAsia" w:ascii="宋体" w:hAnsi="宋体" w:eastAsia="宋体" w:cs="Times New Roman"/>
          <w:sz w:val="18"/>
          <w:szCs w:val="18"/>
        </w:rPr>
        <w:t>[2]吴易风.全球化与反全球化[A].程恩富，顾海良.海派经济学：第2辑[C].上海：上海财经大学出版社，</w:t>
      </w:r>
      <w:r>
        <w:rPr>
          <w:rFonts w:ascii="宋体" w:hAnsi="宋体" w:eastAsia="宋体" w:cs="Times New Roman"/>
          <w:sz w:val="18"/>
          <w:szCs w:val="18"/>
        </w:rPr>
        <w:t>2003</w:t>
      </w:r>
      <w:r>
        <w:rPr>
          <w:rFonts w:hint="eastAsia" w:ascii="宋体" w:hAnsi="宋体" w:eastAsia="宋体" w:cs="Times New Roman"/>
          <w:sz w:val="18"/>
          <w:szCs w:val="18"/>
        </w:rPr>
        <w:t>，P20—21.</w:t>
      </w:r>
    </w:p>
    <w:p w14:paraId="783E7934">
      <w:pPr>
        <w:ind w:firstLine="380" w:firstLineChars="200"/>
        <w:rPr>
          <w:rFonts w:ascii="宋体" w:hAnsi="宋体" w:eastAsia="宋体" w:cs="Times New Roman"/>
          <w:sz w:val="18"/>
          <w:szCs w:val="18"/>
        </w:rPr>
      </w:pPr>
      <w:r>
        <w:rPr>
          <w:rFonts w:hint="eastAsia" w:ascii="宋体" w:hAnsi="宋体" w:eastAsia="宋体" w:cs="Times New Roman"/>
          <w:sz w:val="18"/>
          <w:szCs w:val="18"/>
        </w:rPr>
        <w:t>[3]程恩富.经济全球化与中国之对策[M].上海：上海科学技术文献出版社，20001，P46—47.</w:t>
      </w:r>
    </w:p>
    <w:p w14:paraId="067D26E3">
      <w:pPr>
        <w:spacing w:line="300" w:lineRule="auto"/>
        <w:ind w:firstLine="440" w:firstLineChars="200"/>
        <w:rPr>
          <w:rFonts w:ascii="宋体" w:hAnsi="宋体" w:eastAsia="宋体" w:cs="Times New Roman"/>
        </w:rPr>
      </w:pPr>
    </w:p>
    <w:p w14:paraId="301BB891">
      <w:pPr>
        <w:spacing w:line="300" w:lineRule="auto"/>
        <w:ind w:firstLine="440" w:firstLineChars="200"/>
        <w:rPr>
          <w:rFonts w:ascii="宋体" w:hAnsi="宋体" w:eastAsia="宋体" w:cs="Times New Roman"/>
        </w:rPr>
      </w:pPr>
      <w:r>
        <w:rPr>
          <w:rFonts w:hint="eastAsia" w:ascii="宋体" w:hAnsi="宋体" w:eastAsia="宋体" w:cs="Times New Roman"/>
        </w:rPr>
        <w:t>（原载《河北学刊》2008年第1期）</w:t>
      </w:r>
    </w:p>
    <w:p w14:paraId="68547FFE">
      <w:pPr>
        <w:bidi w:val="0"/>
      </w:pPr>
      <w:r>
        <w:br w:type="page"/>
      </w:r>
    </w:p>
    <w:p w14:paraId="02B7E14B">
      <w:pPr>
        <w:jc w:val="center"/>
        <w:outlineLvl w:val="1"/>
        <w:rPr>
          <w:rFonts w:ascii="黑体" w:hAnsi="黑体" w:eastAsia="黑体"/>
          <w:sz w:val="32"/>
          <w:szCs w:val="32"/>
          <w:lang w:val="zh-CN" w:bidi="zh-CN"/>
        </w:rPr>
      </w:pPr>
      <w:bookmarkStart w:id="871" w:name="_Toc21230"/>
      <w:bookmarkStart w:id="872" w:name="_Toc111193692"/>
      <w:bookmarkStart w:id="873" w:name="_Toc782901912"/>
      <w:bookmarkStart w:id="874" w:name="_Toc1073152515"/>
      <w:r>
        <w:rPr>
          <w:rFonts w:hint="eastAsia" w:ascii="黑体" w:hAnsi="黑体" w:eastAsia="黑体"/>
          <w:sz w:val="32"/>
          <w:szCs w:val="32"/>
          <w:lang w:val="zh-CN" w:bidi="zh-CN"/>
        </w:rPr>
        <w:t>2文化经济学：推动文化大发展大繁荣的新兴学科</w:t>
      </w:r>
      <w:bookmarkEnd w:id="871"/>
      <w:bookmarkEnd w:id="872"/>
      <w:bookmarkEnd w:id="873"/>
      <w:bookmarkEnd w:id="874"/>
    </w:p>
    <w:p w14:paraId="3D6AD786">
      <w:pPr>
        <w:autoSpaceDE w:val="0"/>
        <w:autoSpaceDN w:val="0"/>
        <w:spacing w:line="400" w:lineRule="exact"/>
        <w:ind w:firstLine="440" w:firstLineChars="200"/>
        <w:jc w:val="left"/>
        <w:rPr>
          <w:rFonts w:ascii="宋体" w:hAnsi="宋体" w:eastAsia="宋体"/>
        </w:rPr>
      </w:pPr>
      <w:r>
        <w:rPr>
          <w:rFonts w:ascii="宋体" w:hAnsi="宋体" w:eastAsia="宋体"/>
        </w:rPr>
        <w:t>随着经济发展与文化发展的日益融合，在20世纪70年代，一些发达国家开始研究文化与经济的各种联系，并开始探讨文化产业发展的经济学问题，但上升到理论高度的研究成果不多。而在我国，伴随改革开放的发展，20世纪80年代中后期，在经济发达地区以文化发展和文化管理为切入点，研究文化发展与管理中的经济问题。以这些研究为基础，逐步形成了文化经济学的理论框架。特别是由于社会主义市场经济理论的确立和市场经济体制的运行，文化活动具有了日益显著的经济性质和产业特点，文化在现代市场经济大背景下迅速发展，为文化经济学这一学科的生成和发展奠定了实践基础，从而近年来文化经济学的论著逐渐成为学术前沿。</w:t>
      </w:r>
    </w:p>
    <w:p w14:paraId="67D68B81">
      <w:pPr>
        <w:autoSpaceDE w:val="0"/>
        <w:autoSpaceDN w:val="0"/>
        <w:spacing w:line="400" w:lineRule="exact"/>
        <w:ind w:firstLine="440" w:firstLineChars="200"/>
        <w:jc w:val="left"/>
        <w:rPr>
          <w:rFonts w:ascii="宋体" w:hAnsi="宋体" w:eastAsia="宋体" w:cs="宋体"/>
          <w:kern w:val="0"/>
          <w:sz w:val="20"/>
          <w:szCs w:val="19"/>
          <w:lang w:val="zh-CN" w:bidi="zh-CN"/>
        </w:rPr>
      </w:pPr>
      <w:r>
        <w:rPr>
          <w:rFonts w:ascii="宋体" w:hAnsi="宋体" w:eastAsia="宋体"/>
        </w:rPr>
        <w:t>文化经济学以文化经济活动中的微观和宏观经济行为为研究对象，揭示文化的生产、交换、分配和消费领域中的运行机制及其发展规律。文化的发展与现代化的发展有着密切的关系，内含于现代化发展之中。文化活动属于非物质生产领域，随着现代化的发展，相对于物质生产来说，非物质生产发展所占的比重呈现提高的趋势，文化产业和文化事业的发展就是其中重要的内容。这是现代化发展所表现出来的一般规律。文化经济学这一学科的兴起和发展，为实现文化的大发展大繁荣提供了重要的学科支撑。</w:t>
      </w:r>
    </w:p>
    <w:p w14:paraId="26C98CB8">
      <w:pPr>
        <w:autoSpaceDE w:val="0"/>
        <w:autoSpaceDN w:val="0"/>
        <w:spacing w:line="400" w:lineRule="exact"/>
        <w:ind w:firstLine="440" w:firstLineChars="200"/>
        <w:jc w:val="left"/>
        <w:rPr>
          <w:rFonts w:ascii="宋体" w:hAnsi="宋体" w:eastAsia="宋体"/>
        </w:rPr>
      </w:pPr>
      <w:r>
        <w:rPr>
          <w:rFonts w:ascii="宋体" w:hAnsi="宋体" w:eastAsia="宋体"/>
        </w:rPr>
        <w:t>文化经济学的研究内容所要揭示的关系主要有以下几方面：一是通过对文化与经济、文化资源、文化供求、文化投资、文化消费、文化市场、文化商品价格等问题的研究，揭示文化生产与市场经济共生互动的关系。二是通过对文化生产及其满足人们对文化需求的研究，揭示文化发展与实现人的全面发展之间的内在关系。三是通过对文化生产与产业结构变化之间联系的研究，揭示文化发展与现代化发展之间的关系。四是通过对文化生产所表现出的自身软实力的研究，揭示文化软实力与增强综合国力之间的关系。</w:t>
      </w:r>
    </w:p>
    <w:p w14:paraId="54DC5079">
      <w:pPr>
        <w:autoSpaceDE w:val="0"/>
        <w:autoSpaceDN w:val="0"/>
        <w:spacing w:line="400" w:lineRule="exact"/>
        <w:ind w:firstLine="440" w:firstLineChars="200"/>
        <w:jc w:val="left"/>
        <w:rPr>
          <w:rFonts w:ascii="宋体" w:hAnsi="宋体" w:eastAsia="宋体"/>
        </w:rPr>
      </w:pPr>
      <w:r>
        <w:rPr>
          <w:rFonts w:ascii="宋体" w:hAnsi="宋体" w:eastAsia="宋体"/>
        </w:rPr>
        <w:t>文化经济学这一学科的兴起和发展，极大地拓展了文化活动和经济活动以及二者相结合的研究空间，具有重要学术价值和现实意义。首先，它拓展了对文化活动研究的空间。文化学研究的只是文化活动本身的问题，而没有从文化产业的角度，把它与经济活动的规律联系在一起研究。一旦把文化作为一种具有产业性质的活动，就必然受到客观经济规律的制约。这样，对文化活动的研究就不仅限于文化活动本身，而是把它作为经济活动的一部分。其次，它拓展了对政治经济学的研究。传统的政治经济学范围只是限于物质生产领域，把政治经济学研究领域扩展到文化生产，这为现代政治经济学的研究开辟了一个新的研究空间。特别是文化活动作为非物质生产领域中一个重要部门，它与经济学的结合而形成的文化经济学这一新的研究领域，也为其他非物质生产部门与经济学的结合提供了一个可供借鉴的研究模式。</w:t>
      </w:r>
    </w:p>
    <w:p w14:paraId="7FFDB0A5">
      <w:pPr>
        <w:autoSpaceDE w:val="0"/>
        <w:autoSpaceDN w:val="0"/>
        <w:spacing w:line="400" w:lineRule="exact"/>
        <w:ind w:firstLine="440" w:firstLineChars="200"/>
        <w:jc w:val="left"/>
        <w:rPr>
          <w:rFonts w:ascii="宋体" w:hAnsi="宋体" w:eastAsia="宋体" w:cs="宋体"/>
          <w:kern w:val="0"/>
          <w:sz w:val="23"/>
          <w:szCs w:val="19"/>
          <w:lang w:val="zh-CN" w:bidi="zh-CN"/>
        </w:rPr>
      </w:pPr>
      <w:r>
        <w:rPr>
          <w:rFonts w:hint="eastAsia" w:ascii="宋体" w:hAnsi="宋体" w:eastAsia="宋体"/>
        </w:rPr>
        <w:t>（原载《光明日报》理论版2</w:t>
      </w:r>
      <w:r>
        <w:rPr>
          <w:rFonts w:ascii="宋体" w:hAnsi="宋体" w:eastAsia="宋体"/>
        </w:rPr>
        <w:t>008</w:t>
      </w:r>
      <w:r>
        <w:rPr>
          <w:rFonts w:hint="eastAsia" w:ascii="宋体" w:hAnsi="宋体" w:eastAsia="宋体"/>
        </w:rPr>
        <w:t>年2月1</w:t>
      </w:r>
      <w:r>
        <w:rPr>
          <w:rFonts w:ascii="宋体" w:hAnsi="宋体" w:eastAsia="宋体"/>
        </w:rPr>
        <w:t>9</w:t>
      </w:r>
      <w:r>
        <w:rPr>
          <w:rFonts w:hint="eastAsia" w:ascii="宋体" w:hAnsi="宋体" w:eastAsia="宋体"/>
        </w:rPr>
        <w:t>日）</w:t>
      </w:r>
    </w:p>
    <w:p w14:paraId="2D907A44">
      <w:pPr>
        <w:jc w:val="center"/>
        <w:outlineLvl w:val="1"/>
        <w:rPr>
          <w:rFonts w:ascii="黑体" w:hAnsi="黑体" w:eastAsia="黑体"/>
          <w:sz w:val="32"/>
          <w:szCs w:val="32"/>
          <w:lang w:val="zh-CN" w:bidi="zh-CN"/>
        </w:rPr>
      </w:pPr>
      <w:bookmarkStart w:id="875" w:name="_Toc111193693"/>
      <w:bookmarkStart w:id="876" w:name="_Toc23438"/>
      <w:bookmarkStart w:id="877" w:name="_Toc600129815"/>
      <w:bookmarkStart w:id="878" w:name="_Toc1906652099"/>
      <w:r>
        <w:rPr>
          <w:rFonts w:hint="eastAsia" w:ascii="黑体" w:hAnsi="黑体" w:eastAsia="黑体"/>
          <w:sz w:val="32"/>
          <w:szCs w:val="32"/>
          <w:lang w:val="zh-CN" w:bidi="zh-CN"/>
        </w:rPr>
        <w:t>3</w:t>
      </w:r>
      <w:r>
        <w:rPr>
          <w:rFonts w:ascii="黑体" w:hAnsi="黑体" w:eastAsia="黑体"/>
          <w:sz w:val="32"/>
          <w:szCs w:val="32"/>
          <w:lang w:val="zh-CN" w:bidi="zh-CN"/>
        </w:rPr>
        <w:t>经济学现代化及其五大态势</w:t>
      </w:r>
      <w:bookmarkEnd w:id="875"/>
      <w:bookmarkEnd w:id="876"/>
      <w:bookmarkEnd w:id="877"/>
      <w:bookmarkEnd w:id="878"/>
    </w:p>
    <w:p w14:paraId="5DFC5ABF">
      <w:pPr>
        <w:spacing w:before="147" w:beforeLines="50" w:after="147" w:afterLines="50" w:line="300" w:lineRule="auto"/>
        <w:ind w:firstLine="440" w:firstLineChars="200"/>
        <w:jc w:val="center"/>
        <w:rPr>
          <w:rFonts w:ascii="宋体" w:hAnsi="宋体" w:eastAsia="宋体" w:cs="宋体"/>
          <w:kern w:val="0"/>
          <w:szCs w:val="21"/>
          <w:lang w:val="zh-CN" w:bidi="zh-CN"/>
        </w:rPr>
      </w:pP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高校理论战线</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已经走过</w:t>
      </w:r>
      <w:r>
        <w:rPr>
          <w:rFonts w:ascii="宋体" w:hAnsi="宋体" w:eastAsia="宋体" w:cs="宋体"/>
          <w:color w:val="231F20"/>
          <w:kern w:val="0"/>
          <w:szCs w:val="21"/>
          <w:lang w:val="zh-CN" w:bidi="zh-CN"/>
        </w:rPr>
        <w:t>20</w:t>
      </w:r>
      <w:r>
        <w:rPr>
          <w:rFonts w:ascii="宋体" w:hAnsi="宋体" w:eastAsia="宋体" w:cs="宋体"/>
          <w:color w:val="231F20"/>
          <w:kern w:val="0"/>
          <w:position w:val="1"/>
          <w:szCs w:val="21"/>
          <w:lang w:val="zh-CN" w:bidi="zh-CN"/>
        </w:rPr>
        <w:t>年的历程</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发</w:t>
      </w:r>
      <w:r>
        <w:rPr>
          <w:rFonts w:ascii="宋体" w:hAnsi="宋体" w:eastAsia="宋体" w:cs="宋体"/>
          <w:color w:val="231F20"/>
          <w:kern w:val="0"/>
          <w:szCs w:val="21"/>
          <w:lang w:val="zh-CN" w:bidi="zh-CN"/>
        </w:rPr>
        <w:t>表了大量以马克思主义为指导的哲学社会科学</w:t>
      </w:r>
      <w:r>
        <w:rPr>
          <w:rFonts w:ascii="宋体" w:hAnsi="宋体" w:eastAsia="宋体" w:cs="宋体"/>
          <w:color w:val="231F20"/>
          <w:kern w:val="0"/>
          <w:position w:val="1"/>
          <w:szCs w:val="21"/>
          <w:lang w:val="zh-CN" w:bidi="zh-CN"/>
        </w:rPr>
        <w:t>研究文章</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成为我国</w:t>
      </w:r>
      <w:r>
        <w:rPr>
          <w:rFonts w:ascii="宋体" w:hAnsi="宋体" w:eastAsia="宋体" w:cs="Times New Roman"/>
          <w:b/>
          <w:bCs/>
          <w:szCs w:val="21"/>
        </w:rPr>
        <w:t>社会科学</w:t>
      </w:r>
      <w:r>
        <w:rPr>
          <w:rFonts w:ascii="宋体" w:hAnsi="宋体" w:eastAsia="宋体" w:cs="宋体"/>
          <w:color w:val="231F20"/>
          <w:kern w:val="0"/>
          <w:position w:val="1"/>
          <w:szCs w:val="21"/>
          <w:lang w:val="zh-CN" w:bidi="zh-CN"/>
        </w:rPr>
        <w:t>理论创新</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马克思</w:t>
      </w:r>
      <w:r>
        <w:rPr>
          <w:rFonts w:ascii="宋体" w:hAnsi="宋体" w:eastAsia="宋体" w:cs="宋体"/>
          <w:color w:val="231F20"/>
          <w:kern w:val="0"/>
          <w:szCs w:val="21"/>
          <w:lang w:val="zh-CN" w:bidi="zh-CN"/>
        </w:rPr>
        <w:t>主义中国化宣传和研究的最出色的阵地和名刊</w:t>
      </w:r>
      <w:r>
        <w:rPr>
          <w:rFonts w:ascii="宋体" w:hAnsi="宋体" w:eastAsia="宋体" w:cs="宋体"/>
          <w:color w:val="231F20"/>
          <w:kern w:val="0"/>
          <w:position w:val="1"/>
          <w:szCs w:val="21"/>
          <w:lang w:val="zh-CN" w:bidi="zh-CN"/>
        </w:rPr>
        <w:t>之一</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深受广大文科学者和读者的厚爱和好评</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其中</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包括发表了许多有关坚持和发展劳动价值论</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公有主体型的所有制结构论</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劳动主体型的分配结构论</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国家主导型的市场经济论</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自力主</w:t>
      </w:r>
      <w:r>
        <w:rPr>
          <w:rFonts w:ascii="宋体" w:hAnsi="宋体" w:eastAsia="宋体" w:cs="宋体"/>
          <w:color w:val="231F20"/>
          <w:kern w:val="0"/>
          <w:szCs w:val="21"/>
          <w:lang w:val="zh-CN" w:bidi="zh-CN"/>
        </w:rPr>
        <w:t>导型的双向开放论等研究中外经济学的重要论</w:t>
      </w:r>
      <w:r>
        <w:rPr>
          <w:rFonts w:ascii="宋体" w:hAnsi="宋体" w:eastAsia="宋体" w:cs="宋体"/>
          <w:color w:val="231F20"/>
          <w:kern w:val="0"/>
          <w:position w:val="1"/>
          <w:szCs w:val="21"/>
          <w:lang w:val="zh-CN" w:bidi="zh-CN"/>
        </w:rPr>
        <w:t>文</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希望能继续保持和发扬这种把思想解放和学风严谨很好结合起来的办刊精神</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本文拟就近年经济学现代化及其态势作一扼要阐述</w:t>
      </w:r>
      <w:r>
        <w:rPr>
          <w:rFonts w:ascii="宋体" w:hAnsi="宋体" w:eastAsia="宋体" w:cs="宋体"/>
          <w:color w:val="231F20"/>
          <w:kern w:val="0"/>
          <w:szCs w:val="21"/>
          <w:lang w:val="zh-CN" w:bidi="zh-CN"/>
        </w:rPr>
        <w:t>。</w:t>
      </w:r>
    </w:p>
    <w:p w14:paraId="1882D160">
      <w:pPr>
        <w:autoSpaceDE w:val="0"/>
        <w:autoSpaceDN w:val="0"/>
        <w:spacing w:line="400" w:lineRule="exact"/>
        <w:ind w:firstLine="440" w:firstLineChars="200"/>
        <w:jc w:val="left"/>
        <w:rPr>
          <w:rFonts w:ascii="宋体" w:hAnsi="宋体" w:eastAsia="宋体" w:cs="宋体"/>
          <w:kern w:val="0"/>
          <w:szCs w:val="21"/>
          <w:lang w:val="zh-CN" w:bidi="zh-CN"/>
        </w:rPr>
      </w:pPr>
      <w:r>
        <w:rPr>
          <w:rFonts w:ascii="宋体" w:hAnsi="宋体" w:eastAsia="宋体" w:cs="宋体"/>
          <w:color w:val="231F20"/>
          <w:kern w:val="0"/>
          <w:position w:val="1"/>
          <w:szCs w:val="21"/>
          <w:lang w:val="zh-CN" w:bidi="zh-CN"/>
        </w:rPr>
        <w:t>目前</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经济学界流行</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西方经济学本土化</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西方经济学中国化</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中国经济学必须西方化或国际化</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经济学与国际接轨</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西方经济学是现代经济学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政治经济学不是学术</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马克思主义经济学被西方经济学取代是改革方向</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中国经济学的国际化只有先从组织上让非马克思主义的</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海龟</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执掌院校</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之类的观点</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我认为</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这些观点或多或少存在片面性和错误</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较为正确和可行的提法和原则是</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中国经济学现代化</w:t>
      </w:r>
      <w:r>
        <w:rPr>
          <w:rFonts w:ascii="宋体" w:hAnsi="宋体" w:eastAsia="宋体" w:cs="宋体"/>
          <w:color w:val="231F20"/>
          <w:kern w:val="0"/>
          <w:szCs w:val="21"/>
          <w:lang w:val="zh-CN" w:bidi="zh-CN"/>
        </w:rPr>
        <w:t>”。</w:t>
      </w:r>
    </w:p>
    <w:p w14:paraId="6A74878A">
      <w:pPr>
        <w:autoSpaceDE w:val="0"/>
        <w:autoSpaceDN w:val="0"/>
        <w:spacing w:line="400" w:lineRule="exact"/>
        <w:ind w:firstLine="440" w:firstLineChars="200"/>
        <w:rPr>
          <w:rFonts w:ascii="宋体" w:hAnsi="宋体" w:eastAsia="宋体" w:cs="宋体"/>
          <w:kern w:val="0"/>
          <w:szCs w:val="21"/>
          <w:lang w:val="zh-CN" w:bidi="zh-CN"/>
        </w:rPr>
      </w:pPr>
      <w:r>
        <w:rPr>
          <w:rFonts w:ascii="宋体" w:hAnsi="宋体" w:eastAsia="宋体" w:cs="宋体"/>
          <w:color w:val="231F20"/>
          <w:kern w:val="0"/>
          <w:position w:val="1"/>
          <w:szCs w:val="21"/>
          <w:lang w:val="zh-CN" w:bidi="zh-CN"/>
        </w:rPr>
        <w:t>所谓中国经济学的现代化</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是指我国的经济</w:t>
      </w:r>
      <w:r>
        <w:rPr>
          <w:rFonts w:ascii="宋体" w:hAnsi="宋体" w:eastAsia="宋体" w:cs="宋体"/>
          <w:color w:val="231F20"/>
          <w:kern w:val="0"/>
          <w:szCs w:val="21"/>
          <w:lang w:val="zh-CN" w:bidi="zh-CN"/>
        </w:rPr>
        <w:t>学教学和研究必须适应现代社会主义经济全球</w:t>
      </w:r>
      <w:r>
        <w:rPr>
          <w:rFonts w:ascii="宋体" w:hAnsi="宋体" w:eastAsia="宋体" w:cs="宋体"/>
          <w:color w:val="231F20"/>
          <w:kern w:val="0"/>
          <w:position w:val="1"/>
          <w:szCs w:val="21"/>
          <w:lang w:val="zh-CN" w:bidi="zh-CN"/>
        </w:rPr>
        <w:t>化和市场经济的科学发展需要</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在历史传承和现实借鉴中不断实现自主综合创新的过程</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具体来说</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应当以</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世情为鉴</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国情为据</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马学为体</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西学为用</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国学为根</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综合创新</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它应当处理好三大知识体系的关系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一是中外马克思主义的知识体系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关于马克思主义的思想体系是各种各样的</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仅日本马克思主义经济学就分成四五个流派</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二是各种各样的西方知识体系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除了西方马克思主义以外的知识体系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包括它的现代主流或非主流的思想和知识体系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三是中国古近代的知识体系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主要以古代为主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也可以涵盖部分演进到近代的知识体系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对于三大思想和知识体系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一个可取的学术处理方法和思想原则就是</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以马克思主义科学知识为体或为导</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对于政治经济学来说</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应为主体</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而对于其他大多数经济学科和社会科学来说</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应为指导</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以西方非马克思主义的科学知识和合理元素为借用</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以国学为根基和源头</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进行可持续的综合创新和理论超越</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一旦偏离这一原则</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理论创新将难以为继</w:t>
      </w:r>
      <w:r>
        <w:rPr>
          <w:rFonts w:ascii="宋体" w:hAnsi="宋体" w:eastAsia="宋体" w:cs="宋体"/>
          <w:color w:val="231F20"/>
          <w:kern w:val="0"/>
          <w:szCs w:val="21"/>
          <w:lang w:val="zh-CN" w:bidi="zh-CN"/>
        </w:rPr>
        <w:t>。</w:t>
      </w:r>
    </w:p>
    <w:p w14:paraId="52AE7896">
      <w:pPr>
        <w:autoSpaceDE w:val="0"/>
        <w:autoSpaceDN w:val="0"/>
        <w:spacing w:line="400" w:lineRule="exact"/>
        <w:ind w:firstLine="440" w:firstLineChars="200"/>
        <w:rPr>
          <w:rFonts w:ascii="宋体" w:hAnsi="宋体" w:eastAsia="宋体" w:cs="宋体"/>
          <w:kern w:val="0"/>
          <w:szCs w:val="21"/>
          <w:lang w:val="zh-CN" w:bidi="zh-CN"/>
        </w:rPr>
      </w:pPr>
      <w:r>
        <w:rPr>
          <w:rFonts w:ascii="宋体" w:hAnsi="宋体" w:eastAsia="宋体" w:cs="宋体"/>
          <w:color w:val="231F20"/>
          <w:kern w:val="0"/>
          <w:position w:val="1"/>
          <w:szCs w:val="21"/>
          <w:lang w:val="zh-CN" w:bidi="zh-CN"/>
        </w:rPr>
        <w:t>改革开放以来</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我国一大批老中青马克思主</w:t>
      </w:r>
      <w:r>
        <w:rPr>
          <w:rFonts w:ascii="宋体" w:hAnsi="宋体" w:eastAsia="宋体" w:cs="宋体"/>
          <w:color w:val="231F20"/>
          <w:kern w:val="0"/>
          <w:szCs w:val="21"/>
          <w:lang w:val="zh-CN" w:bidi="zh-CN"/>
        </w:rPr>
        <w:t>义经济学家事实上是以此为原则进行理论研究和</w:t>
      </w:r>
      <w:r>
        <w:rPr>
          <w:rFonts w:ascii="宋体" w:hAnsi="宋体" w:eastAsia="宋体" w:cs="宋体"/>
          <w:color w:val="231F20"/>
          <w:kern w:val="0"/>
          <w:position w:val="1"/>
          <w:szCs w:val="21"/>
          <w:lang w:val="zh-CN" w:bidi="zh-CN"/>
        </w:rPr>
        <w:t>政策探讨的</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传承和创新工作成效显著</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近年有更大的进展</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从而使中国经济学的现代化呈现出五大科学发展态势</w:t>
      </w:r>
      <w:r>
        <w:rPr>
          <w:rFonts w:ascii="宋体" w:hAnsi="宋体" w:eastAsia="宋体" w:cs="宋体"/>
          <w:color w:val="231F20"/>
          <w:kern w:val="0"/>
          <w:szCs w:val="21"/>
          <w:lang w:val="zh-CN" w:bidi="zh-CN"/>
        </w:rPr>
        <w:t>。</w:t>
      </w:r>
    </w:p>
    <w:p w14:paraId="0A4A6286">
      <w:pPr>
        <w:autoSpaceDE w:val="0"/>
        <w:autoSpaceDN w:val="0"/>
        <w:spacing w:line="400" w:lineRule="exact"/>
        <w:ind w:firstLine="440" w:firstLineChars="200"/>
        <w:rPr>
          <w:rFonts w:ascii="宋体" w:hAnsi="宋体" w:eastAsia="宋体" w:cs="宋体"/>
          <w:kern w:val="0"/>
          <w:szCs w:val="21"/>
          <w:lang w:val="zh-CN" w:bidi="zh-CN"/>
        </w:rPr>
      </w:pPr>
      <w:r>
        <w:rPr>
          <w:rFonts w:ascii="宋体" w:hAnsi="宋体" w:eastAsia="宋体" w:cs="宋体"/>
          <w:color w:val="231F20"/>
          <w:kern w:val="0"/>
          <w:szCs w:val="21"/>
          <w:lang w:val="zh-CN" w:bidi="zh-CN"/>
        </w:rPr>
        <w:t>一是注重对重大现实经济问题进行体现科学</w:t>
      </w:r>
      <w:r>
        <w:rPr>
          <w:rFonts w:ascii="宋体" w:hAnsi="宋体" w:eastAsia="宋体" w:cs="宋体"/>
          <w:color w:val="231F20"/>
          <w:kern w:val="0"/>
          <w:position w:val="1"/>
          <w:szCs w:val="21"/>
          <w:lang w:val="zh-CN" w:bidi="zh-CN"/>
        </w:rPr>
        <w:t>发展观的理论和政策探讨</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中国经济学的现代化</w:t>
      </w:r>
      <w:r>
        <w:rPr>
          <w:rFonts w:ascii="宋体" w:hAnsi="宋体" w:eastAsia="宋体" w:cs="宋体"/>
          <w:color w:val="231F20"/>
          <w:kern w:val="0"/>
          <w:szCs w:val="21"/>
          <w:lang w:val="zh-CN" w:bidi="zh-CN"/>
        </w:rPr>
        <w:t>必须紧密结合马克思主义中国化理论和中国特色</w:t>
      </w:r>
      <w:r>
        <w:rPr>
          <w:rFonts w:ascii="宋体" w:hAnsi="宋体" w:eastAsia="宋体" w:cs="宋体"/>
          <w:color w:val="231F20"/>
          <w:kern w:val="0"/>
          <w:position w:val="1"/>
          <w:szCs w:val="21"/>
          <w:lang w:val="zh-CN" w:bidi="zh-CN"/>
        </w:rPr>
        <w:t>社会主义经济理论体系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经济学家于祖尧</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项启源</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杨圣明</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卫兴华</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纪宝成</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张宇等已发表了许多论著</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准确阐发马克思主义中国化的最新理论成果</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最近</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刘国光依据党的十七大精神</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又撰文阐明</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发挥国家计划在宏观调控中的导向作用</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的意义</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指出国家计划同财政政策</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货币政策一样</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是重要的宏观调控手段</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强调市场必须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在国家宏观调控下</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起资源配置的基础性作用是非常重要的</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阐明</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坚持和完善基本经济制度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的意义</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提出公</w:t>
      </w:r>
      <w:r>
        <w:rPr>
          <w:rFonts w:ascii="宋体" w:hAnsi="宋体" w:eastAsia="宋体" w:cs="宋体"/>
          <w:color w:val="231F20"/>
          <w:kern w:val="0"/>
          <w:szCs w:val="21"/>
          <w:lang w:val="zh-CN" w:bidi="zh-CN"/>
        </w:rPr>
        <w:t>有制在社会总资产和经营性资产中占优势比例可</w:t>
      </w:r>
      <w:r>
        <w:rPr>
          <w:rFonts w:ascii="宋体" w:hAnsi="宋体" w:eastAsia="宋体" w:cs="宋体"/>
          <w:color w:val="231F20"/>
          <w:kern w:val="0"/>
          <w:position w:val="1"/>
          <w:szCs w:val="21"/>
          <w:lang w:val="zh-CN" w:bidi="zh-CN"/>
        </w:rPr>
        <w:t>能丧失这个问题</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阐明我国贫富差距扩大最根本的原因在所有制结构的变化</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需要从基本经济制度来最终地阻止向两极分化推进的趋势</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杨承训</w:t>
      </w:r>
      <w:r>
        <w:rPr>
          <w:rFonts w:ascii="宋体" w:hAnsi="宋体" w:eastAsia="宋体" w:cs="宋体"/>
          <w:color w:val="231F20"/>
          <w:kern w:val="0"/>
          <w:szCs w:val="21"/>
          <w:lang w:val="zh-CN" w:bidi="zh-CN"/>
        </w:rPr>
        <w:t>探讨科学发展观与社会主义市场经济的依存机</w:t>
      </w:r>
      <w:r>
        <w:rPr>
          <w:rFonts w:ascii="宋体" w:hAnsi="宋体" w:eastAsia="宋体" w:cs="宋体"/>
          <w:color w:val="231F20"/>
          <w:kern w:val="0"/>
          <w:position w:val="1"/>
          <w:szCs w:val="21"/>
          <w:lang w:val="zh-CN" w:bidi="zh-CN"/>
        </w:rPr>
        <w:t>理</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认为完善的社会主义市场经济体制为科学发展提供保障</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针对市场经济的缺陷</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须用科学发展观引领社会主义市场经济健康发展</w:t>
      </w:r>
      <w:r>
        <w:rPr>
          <w:rFonts w:ascii="宋体" w:hAnsi="宋体" w:eastAsia="宋体" w:cs="宋体"/>
          <w:color w:val="231F20"/>
          <w:kern w:val="0"/>
          <w:szCs w:val="21"/>
          <w:lang w:val="zh-CN" w:bidi="zh-CN"/>
        </w:rPr>
        <w:t>。</w:t>
      </w:r>
    </w:p>
    <w:p w14:paraId="36BEE993">
      <w:pPr>
        <w:autoSpaceDE w:val="0"/>
        <w:autoSpaceDN w:val="0"/>
        <w:spacing w:line="400" w:lineRule="exact"/>
        <w:ind w:firstLine="440" w:firstLineChars="200"/>
        <w:jc w:val="left"/>
        <w:rPr>
          <w:rFonts w:ascii="宋体" w:hAnsi="宋体" w:eastAsia="宋体" w:cs="宋体"/>
          <w:kern w:val="0"/>
          <w:szCs w:val="21"/>
          <w:lang w:val="zh-CN" w:bidi="zh-CN"/>
        </w:rPr>
      </w:pPr>
      <w:r>
        <w:rPr>
          <w:rFonts w:ascii="宋体" w:hAnsi="宋体" w:eastAsia="宋体" w:cs="宋体"/>
          <w:color w:val="231F20"/>
          <w:kern w:val="0"/>
          <w:position w:val="1"/>
          <w:szCs w:val="21"/>
          <w:lang w:val="zh-CN" w:bidi="zh-CN"/>
        </w:rPr>
        <w:t>二是注重对经济学原理的超越性发展</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中国</w:t>
      </w:r>
      <w:r>
        <w:rPr>
          <w:rFonts w:ascii="宋体" w:hAnsi="宋体" w:eastAsia="宋体" w:cs="宋体"/>
          <w:color w:val="231F20"/>
          <w:kern w:val="0"/>
          <w:szCs w:val="21"/>
          <w:lang w:val="zh-CN" w:bidi="zh-CN"/>
        </w:rPr>
        <w:t>经济学的现代化必须加强马克思主义经济学的方</w:t>
      </w:r>
      <w:r>
        <w:rPr>
          <w:rFonts w:ascii="宋体" w:hAnsi="宋体" w:eastAsia="宋体" w:cs="宋体"/>
          <w:color w:val="231F20"/>
          <w:kern w:val="0"/>
          <w:position w:val="1"/>
          <w:szCs w:val="21"/>
          <w:lang w:val="zh-CN" w:bidi="zh-CN"/>
        </w:rPr>
        <w:t>法</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假设</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原理的学术创新</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现代马克思主义经济学强调理论假设和研究方法的现实性</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科学性和辩证性</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因而具有更大的理论认知功能和社会建设功能</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这里以</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中国社会科学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去年发表的两篇论文为例</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笔者在</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现代马克思主义政治经济学的四大理论假设</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长文中</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主张在坚持马克思主义政</w:t>
      </w:r>
      <w:r>
        <w:rPr>
          <w:rFonts w:ascii="宋体" w:hAnsi="宋体" w:eastAsia="宋体" w:cs="宋体"/>
          <w:color w:val="231F20"/>
          <w:kern w:val="0"/>
          <w:szCs w:val="21"/>
          <w:lang w:val="zh-CN" w:bidi="zh-CN"/>
        </w:rPr>
        <w:t>治经济学基本精神与批判现代西方主流经济学假</w:t>
      </w:r>
      <w:r>
        <w:rPr>
          <w:rFonts w:ascii="宋体" w:hAnsi="宋体" w:eastAsia="宋体" w:cs="宋体"/>
          <w:color w:val="231F20"/>
          <w:kern w:val="0"/>
          <w:position w:val="1"/>
          <w:szCs w:val="21"/>
          <w:lang w:val="zh-CN" w:bidi="zh-CN"/>
        </w:rPr>
        <w:t>设的基础上</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现代马克思主义政治经济学需提出并坚持四大理论假设</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即</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新的活劳动创造价值假设</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利己和利他经济人假设</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资源和需要双约束假设</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公平与效率互促同向变动假设</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何干强在</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论唯物史观的经济分析范式</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一文中</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论述</w:t>
      </w:r>
      <w:r>
        <w:rPr>
          <w:rFonts w:ascii="宋体" w:hAnsi="宋体" w:eastAsia="宋体" w:cs="宋体"/>
          <w:color w:val="231F20"/>
          <w:kern w:val="0"/>
          <w:szCs w:val="21"/>
          <w:lang w:val="zh-CN" w:bidi="zh-CN"/>
        </w:rPr>
        <w:t>思维中应当自觉运用的经济辩证法是客观辩证法</w:t>
      </w:r>
      <w:r>
        <w:rPr>
          <w:rFonts w:ascii="宋体" w:hAnsi="宋体" w:eastAsia="宋体" w:cs="宋体"/>
          <w:color w:val="231F20"/>
          <w:kern w:val="0"/>
          <w:position w:val="1"/>
          <w:szCs w:val="21"/>
          <w:lang w:val="zh-CN" w:bidi="zh-CN"/>
        </w:rPr>
        <w:t>在经济领域的特殊形式在头脑中的反映</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作为经济分析工具</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它包括具有分析功能的马克思主义经济学范畴</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原理和形成唯物史观分析路径的辩证法要素这两个方面</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与西方经济学分析方法对比</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唯物史观经济分析范式具有显著的科学特征和优势</w:t>
      </w:r>
      <w:r>
        <w:rPr>
          <w:rFonts w:ascii="宋体" w:hAnsi="宋体" w:eastAsia="宋体" w:cs="宋体"/>
          <w:color w:val="231F20"/>
          <w:kern w:val="0"/>
          <w:szCs w:val="21"/>
          <w:lang w:val="zh-CN" w:bidi="zh-CN"/>
        </w:rPr>
        <w:t>。</w:t>
      </w:r>
    </w:p>
    <w:p w14:paraId="57DDC233">
      <w:pPr>
        <w:autoSpaceDE w:val="0"/>
        <w:autoSpaceDN w:val="0"/>
        <w:spacing w:line="400" w:lineRule="exact"/>
        <w:ind w:firstLine="440" w:firstLineChars="200"/>
        <w:rPr>
          <w:rFonts w:ascii="宋体" w:hAnsi="宋体" w:eastAsia="宋体" w:cs="宋体"/>
          <w:kern w:val="0"/>
          <w:szCs w:val="21"/>
          <w:lang w:val="zh-CN" w:bidi="zh-CN"/>
        </w:rPr>
      </w:pPr>
      <w:r>
        <w:rPr>
          <w:rFonts w:ascii="宋体" w:hAnsi="宋体" w:eastAsia="宋体" w:cs="宋体"/>
          <w:color w:val="231F20"/>
          <w:kern w:val="0"/>
          <w:szCs w:val="21"/>
          <w:lang w:val="zh-CN" w:bidi="zh-CN"/>
        </w:rPr>
        <w:t>三是注重对政治经济学理论的数学表达和分</w:t>
      </w:r>
      <w:r>
        <w:rPr>
          <w:rFonts w:ascii="宋体" w:hAnsi="宋体" w:eastAsia="宋体" w:cs="宋体"/>
          <w:color w:val="231F20"/>
          <w:kern w:val="0"/>
          <w:position w:val="1"/>
          <w:szCs w:val="21"/>
          <w:lang w:val="zh-CN" w:bidi="zh-CN"/>
        </w:rPr>
        <w:t>析</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中国经济学的现代化必须继承</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资本论</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开启的高度重视数学的优良学术传统</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并科学借鉴现代西方经济学采用的数学方法</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去年年中</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全国首届现代政治经济学数学分析研讨会</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在上海财经大学召开便是一个重要标志</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冯金华</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马艳</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白暴力</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丁堡骏</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孟捷</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余斌等一批知名中青年教授一致认为</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现代政治经济学应该继承马克思重视数学分析的优良传统</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充分借鉴数学分析的工具</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进行马克思主义经济学原理的论证</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阐述和发展</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以弥补定性分析和规范分析的不足</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诚然</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现代政</w:t>
      </w:r>
      <w:r>
        <w:rPr>
          <w:rFonts w:ascii="宋体" w:hAnsi="宋体" w:eastAsia="宋体" w:cs="宋体"/>
          <w:color w:val="231F20"/>
          <w:kern w:val="0"/>
          <w:szCs w:val="21"/>
          <w:lang w:val="zh-CN" w:bidi="zh-CN"/>
        </w:rPr>
        <w:t>治经济学在运用数学分析方法进行理论传承和创</w:t>
      </w:r>
      <w:r>
        <w:rPr>
          <w:rFonts w:ascii="宋体" w:hAnsi="宋体" w:eastAsia="宋体" w:cs="宋体"/>
          <w:color w:val="231F20"/>
          <w:kern w:val="0"/>
          <w:position w:val="1"/>
          <w:szCs w:val="21"/>
          <w:lang w:val="zh-CN" w:bidi="zh-CN"/>
        </w:rPr>
        <w:t>新以及弥补现代政治经济学的缺憾时</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应当坚持唯物辩证法为总的方法论原则</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应当避免数学分析的形式主义和滥用</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应当把数学分析与现代马克思主义政治经济学前提假设和理论基础结合起来</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以期实现数学分析与现代政治经济学的有机结合</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他们</w:t>
      </w:r>
      <w:r>
        <w:rPr>
          <w:rFonts w:ascii="宋体" w:hAnsi="宋体" w:eastAsia="宋体" w:cs="宋体"/>
          <w:color w:val="231F20"/>
          <w:kern w:val="0"/>
          <w:szCs w:val="21"/>
          <w:lang w:val="zh-CN" w:bidi="zh-CN"/>
        </w:rPr>
        <w:t>提交的论文和学术界发表的论著还从数学分析的</w:t>
      </w:r>
      <w:r>
        <w:rPr>
          <w:rFonts w:ascii="宋体" w:hAnsi="宋体" w:eastAsia="宋体" w:cs="宋体"/>
          <w:color w:val="231F20"/>
          <w:kern w:val="0"/>
          <w:position w:val="1"/>
          <w:szCs w:val="21"/>
          <w:lang w:val="zh-CN" w:bidi="zh-CN"/>
        </w:rPr>
        <w:t>视角</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对现代政治经济学的劳动创造价值</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价值转型</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再生产循环</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物质生产优先增长</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利润率变动趋势等前沿问题进行了研讨</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体现数学分析的</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新编现代政治经济学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教材今年问世</w:t>
      </w:r>
      <w:r>
        <w:rPr>
          <w:rFonts w:ascii="宋体" w:hAnsi="宋体" w:eastAsia="宋体" w:cs="宋体"/>
          <w:color w:val="231F20"/>
          <w:kern w:val="0"/>
          <w:szCs w:val="21"/>
          <w:lang w:val="zh-CN" w:bidi="zh-CN"/>
        </w:rPr>
        <w:t>。</w:t>
      </w:r>
    </w:p>
    <w:p w14:paraId="6FE137C0">
      <w:pPr>
        <w:autoSpaceDE w:val="0"/>
        <w:autoSpaceDN w:val="0"/>
        <w:spacing w:line="400" w:lineRule="exact"/>
        <w:ind w:firstLine="440" w:firstLineChars="200"/>
        <w:rPr>
          <w:rFonts w:ascii="宋体" w:hAnsi="宋体" w:eastAsia="宋体" w:cs="宋体"/>
          <w:kern w:val="0"/>
          <w:szCs w:val="21"/>
          <w:lang w:val="zh-CN" w:bidi="zh-CN"/>
        </w:rPr>
      </w:pPr>
      <w:r>
        <w:rPr>
          <w:rFonts w:ascii="宋体" w:hAnsi="宋体" w:eastAsia="宋体" w:cs="宋体"/>
          <w:color w:val="231F20"/>
          <w:kern w:val="0"/>
          <w:szCs w:val="21"/>
          <w:lang w:val="zh-CN" w:bidi="zh-CN"/>
        </w:rPr>
        <w:t>四是注重用现代政治经济学引领应用经济学</w:t>
      </w:r>
      <w:r>
        <w:rPr>
          <w:rFonts w:ascii="宋体" w:hAnsi="宋体" w:eastAsia="宋体" w:cs="宋体"/>
          <w:color w:val="231F20"/>
          <w:kern w:val="0"/>
          <w:position w:val="1"/>
          <w:szCs w:val="21"/>
          <w:lang w:val="zh-CN" w:bidi="zh-CN"/>
        </w:rPr>
        <w:t>创新</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中国经济学的现代化必须体现在理论经济学和应用经济学的各个学科</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而积极运用现代政</w:t>
      </w:r>
      <w:r>
        <w:rPr>
          <w:rFonts w:ascii="宋体" w:hAnsi="宋体" w:eastAsia="宋体" w:cs="宋体"/>
          <w:color w:val="231F20"/>
          <w:kern w:val="0"/>
          <w:szCs w:val="21"/>
          <w:lang w:val="zh-CN" w:bidi="zh-CN"/>
        </w:rPr>
        <w:t>治经济学的创新理论来指导和引领其他理论经济</w:t>
      </w:r>
      <w:r>
        <w:rPr>
          <w:rFonts w:ascii="宋体" w:hAnsi="宋体" w:eastAsia="宋体" w:cs="宋体"/>
          <w:color w:val="231F20"/>
          <w:kern w:val="0"/>
          <w:position w:val="1"/>
          <w:szCs w:val="21"/>
          <w:lang w:val="zh-CN" w:bidi="zh-CN"/>
        </w:rPr>
        <w:t>学尤其是应用经济学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属于当务之急</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去年</w:t>
      </w:r>
      <w:r>
        <w:rPr>
          <w:rFonts w:ascii="宋体" w:hAnsi="宋体" w:eastAsia="宋体" w:cs="宋体"/>
          <w:color w:val="231F20"/>
          <w:kern w:val="0"/>
          <w:szCs w:val="21"/>
          <w:lang w:val="zh-CN" w:bidi="zh-CN"/>
        </w:rPr>
        <w:t>3</w:t>
      </w:r>
      <w:r>
        <w:rPr>
          <w:rFonts w:ascii="宋体" w:hAnsi="宋体" w:eastAsia="宋体" w:cs="宋体"/>
          <w:color w:val="231F20"/>
          <w:kern w:val="0"/>
          <w:position w:val="1"/>
          <w:szCs w:val="21"/>
          <w:lang w:val="zh-CN" w:bidi="zh-CN"/>
        </w:rPr>
        <w:t>月</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在贵州大学召开的</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全国首届现代马克思主义政治经济学与应用经济学创新</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国际研讨会便是一个转折性发展态势</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中外经济学家已经倡导用发</w:t>
      </w:r>
      <w:r>
        <w:rPr>
          <w:rFonts w:ascii="宋体" w:hAnsi="宋体" w:eastAsia="宋体" w:cs="宋体"/>
          <w:color w:val="231F20"/>
          <w:kern w:val="0"/>
          <w:szCs w:val="21"/>
          <w:lang w:val="zh-CN" w:bidi="zh-CN"/>
        </w:rPr>
        <w:t>展着的现代政治经济学理论引领应用经济学的创</w:t>
      </w:r>
      <w:r>
        <w:rPr>
          <w:rFonts w:ascii="宋体" w:hAnsi="宋体" w:eastAsia="宋体" w:cs="宋体"/>
          <w:color w:val="231F20"/>
          <w:kern w:val="0"/>
          <w:position w:val="1"/>
          <w:szCs w:val="21"/>
          <w:lang w:val="zh-CN" w:bidi="zh-CN"/>
        </w:rPr>
        <w:t>新和发展</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充分发挥现代马克思主义理论经济学和应用经济学在学术研究</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政策制定</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经济管理中的作用</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强调要建立和健全政治经济学与应用经济学的互动互促关系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发表更多的学科交叉成果</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主张运用现代政治经济学的方法和理论</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在扬弃地借鉴现代西方应用经济学的基础上</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真正实现学术原创和应用高效</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目前</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文化经济学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可持续发展经济学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劳动经济学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产业经济学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贸易学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金融学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财政学等</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已产生用与时俱进的现代政治经济学观点进行理论创新的一些成果</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就是似乎较难做到的会计学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国内外也有一定进展</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同时</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新编现代政治经济学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等经济学教材已开始追溯经济思想的国学之根</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弘扬中华文明</w:t>
      </w:r>
      <w:r>
        <w:rPr>
          <w:rFonts w:ascii="宋体" w:hAnsi="宋体" w:eastAsia="宋体" w:cs="宋体"/>
          <w:color w:val="231F20"/>
          <w:kern w:val="0"/>
          <w:szCs w:val="21"/>
          <w:lang w:val="zh-CN" w:bidi="zh-CN"/>
        </w:rPr>
        <w:t>。</w:t>
      </w:r>
    </w:p>
    <w:p w14:paraId="6F9B7482">
      <w:pPr>
        <w:autoSpaceDE w:val="0"/>
        <w:autoSpaceDN w:val="0"/>
        <w:spacing w:line="400" w:lineRule="exact"/>
        <w:ind w:firstLine="440" w:firstLineChars="200"/>
        <w:jc w:val="left"/>
        <w:rPr>
          <w:rFonts w:ascii="宋体" w:hAnsi="宋体" w:eastAsia="宋体" w:cs="宋体"/>
          <w:kern w:val="0"/>
          <w:szCs w:val="21"/>
          <w:lang w:val="zh-CN" w:bidi="zh-CN"/>
        </w:rPr>
      </w:pPr>
      <w:r>
        <w:rPr>
          <w:rFonts w:ascii="宋体" w:hAnsi="宋体" w:eastAsia="宋体" w:cs="宋体"/>
          <w:color w:val="231F20"/>
          <w:kern w:val="0"/>
          <w:szCs w:val="21"/>
          <w:lang w:val="zh-CN" w:bidi="zh-CN"/>
        </w:rPr>
        <w:t>五是注重与国外马克思主义经济学的互动和</w:t>
      </w:r>
      <w:r>
        <w:rPr>
          <w:rFonts w:ascii="宋体" w:hAnsi="宋体" w:eastAsia="宋体" w:cs="宋体"/>
          <w:color w:val="231F20"/>
          <w:kern w:val="0"/>
          <w:position w:val="1"/>
          <w:szCs w:val="21"/>
          <w:lang w:val="zh-CN" w:bidi="zh-CN"/>
        </w:rPr>
        <w:t>借鉴</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中国经济学的现代化必须与国外当代马克思主义经济学实行</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引进来</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走出去</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的双向交流</w:t>
      </w:r>
      <w:r>
        <w:rPr>
          <w:rFonts w:ascii="宋体" w:hAnsi="宋体" w:eastAsia="宋体" w:cs="宋体"/>
          <w:color w:val="231F20"/>
          <w:kern w:val="0"/>
          <w:szCs w:val="21"/>
          <w:lang w:val="zh-CN" w:bidi="zh-CN"/>
        </w:rPr>
        <w:t>,因为国外经济学科学的主要学术前沿在马克思主</w:t>
      </w:r>
      <w:r>
        <w:rPr>
          <w:rFonts w:ascii="宋体" w:hAnsi="宋体" w:eastAsia="宋体" w:cs="宋体"/>
          <w:color w:val="231F20"/>
          <w:kern w:val="0"/>
          <w:position w:val="1"/>
          <w:szCs w:val="21"/>
          <w:lang w:val="zh-CN" w:bidi="zh-CN"/>
        </w:rPr>
        <w:t>义经济理论研究领域</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近年全球学术团体</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世</w:t>
      </w:r>
      <w:r>
        <w:rPr>
          <w:rFonts w:ascii="宋体" w:hAnsi="宋体" w:eastAsia="宋体" w:cs="宋体"/>
          <w:color w:val="231F20"/>
          <w:kern w:val="0"/>
          <w:szCs w:val="21"/>
          <w:lang w:val="zh-CN" w:bidi="zh-CN"/>
        </w:rPr>
        <w:t>界政治经济学学会在上海和日本分别成功举办“</w:t>
      </w:r>
      <w:r>
        <w:rPr>
          <w:rFonts w:ascii="宋体" w:hAnsi="宋体" w:eastAsia="宋体" w:cs="宋体"/>
          <w:color w:val="231F20"/>
          <w:kern w:val="0"/>
          <w:position w:val="1"/>
          <w:szCs w:val="21"/>
          <w:lang w:val="zh-CN" w:bidi="zh-CN"/>
        </w:rPr>
        <w:t>经济全球化与现代马克思主义经济学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世界劳资关系的现代政治经济学观察</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两届论坛</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并发表了相关理论的共识宣言</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从</w:t>
      </w:r>
      <w:r>
        <w:rPr>
          <w:rFonts w:ascii="宋体" w:hAnsi="宋体" w:eastAsia="宋体" w:cs="宋体"/>
          <w:color w:val="231F20"/>
          <w:kern w:val="0"/>
          <w:szCs w:val="21"/>
          <w:lang w:val="zh-CN" w:bidi="zh-CN"/>
        </w:rPr>
        <w:t>20</w:t>
      </w:r>
      <w:r>
        <w:rPr>
          <w:rFonts w:ascii="宋体" w:hAnsi="宋体" w:eastAsia="宋体" w:cs="宋体"/>
          <w:color w:val="231F20"/>
          <w:kern w:val="0"/>
          <w:position w:val="1"/>
          <w:szCs w:val="21"/>
          <w:lang w:val="zh-CN" w:bidi="zh-CN"/>
        </w:rPr>
        <w:t>多个世界主要国家的百位经济学家提交的众多论文来看</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具有中国</w:t>
      </w:r>
      <w:r>
        <w:rPr>
          <w:rFonts w:ascii="宋体" w:hAnsi="宋体" w:eastAsia="宋体" w:cs="宋体"/>
          <w:color w:val="231F20"/>
          <w:kern w:val="0"/>
          <w:szCs w:val="21"/>
          <w:lang w:val="zh-CN" w:bidi="zh-CN"/>
        </w:rPr>
        <w:t>特色的经济学理论已经越来越受到各国学者的高</w:t>
      </w:r>
      <w:r>
        <w:rPr>
          <w:rFonts w:ascii="宋体" w:hAnsi="宋体" w:eastAsia="宋体" w:cs="宋体"/>
          <w:color w:val="231F20"/>
          <w:kern w:val="0"/>
          <w:position w:val="1"/>
          <w:szCs w:val="21"/>
          <w:lang w:val="zh-CN" w:bidi="zh-CN"/>
        </w:rPr>
        <w:t>度重视</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越南日前也已出版笔者主编的</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现代政治经济学</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教材</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同时</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我国学者正在选译</w:t>
      </w:r>
      <w:r>
        <w:rPr>
          <w:rFonts w:ascii="宋体" w:hAnsi="宋体" w:eastAsia="宋体" w:cs="宋体"/>
          <w:color w:val="231F20"/>
          <w:kern w:val="0"/>
          <w:szCs w:val="21"/>
          <w:lang w:val="zh-CN" w:bidi="zh-CN"/>
        </w:rPr>
        <w:t>100</w:t>
      </w:r>
      <w:r>
        <w:rPr>
          <w:rFonts w:ascii="宋体" w:hAnsi="宋体" w:eastAsia="宋体" w:cs="宋体"/>
          <w:color w:val="231F20"/>
          <w:kern w:val="0"/>
          <w:position w:val="1"/>
          <w:szCs w:val="21"/>
          <w:lang w:val="zh-CN" w:bidi="zh-CN"/>
        </w:rPr>
        <w:t>本国外马克思主义经济学名著</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美国大卫</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科茨</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日本伊藤诚</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法国迪劳内等世界著名马克思主义经济学家的前沿理论</w:t>
      </w:r>
      <w:r>
        <w:rPr>
          <w:rFonts w:ascii="宋体" w:hAnsi="宋体" w:eastAsia="宋体" w:cs="宋体"/>
          <w:color w:val="231F20"/>
          <w:kern w:val="0"/>
          <w:szCs w:val="21"/>
          <w:lang w:val="zh-CN" w:bidi="zh-CN"/>
        </w:rPr>
        <w:t>,</w:t>
      </w:r>
      <w:r>
        <w:rPr>
          <w:rFonts w:ascii="宋体" w:hAnsi="宋体" w:eastAsia="宋体" w:cs="宋体"/>
          <w:color w:val="231F20"/>
          <w:kern w:val="0"/>
          <w:position w:val="1"/>
          <w:szCs w:val="21"/>
          <w:lang w:val="zh-CN" w:bidi="zh-CN"/>
        </w:rPr>
        <w:t>已经被中国学者所关注和借鉴</w:t>
      </w:r>
      <w:r>
        <w:rPr>
          <w:rFonts w:ascii="宋体" w:hAnsi="宋体" w:eastAsia="宋体" w:cs="宋体"/>
          <w:color w:val="231F20"/>
          <w:kern w:val="0"/>
          <w:szCs w:val="21"/>
          <w:lang w:val="zh-CN" w:bidi="zh-CN"/>
        </w:rPr>
        <w:t>。这种双向学术交流和借鉴是中国经济学现代化的</w:t>
      </w:r>
      <w:r>
        <w:rPr>
          <w:rFonts w:ascii="宋体" w:hAnsi="宋体" w:eastAsia="宋体" w:cs="宋体"/>
          <w:color w:val="231F20"/>
          <w:kern w:val="0"/>
          <w:position w:val="1"/>
          <w:szCs w:val="21"/>
          <w:lang w:val="zh-CN" w:bidi="zh-CN"/>
        </w:rPr>
        <w:t>重要走势和图像</w:t>
      </w:r>
      <w:r>
        <w:rPr>
          <w:rFonts w:ascii="宋体" w:hAnsi="宋体" w:eastAsia="宋体" w:cs="宋体"/>
          <w:color w:val="231F20"/>
          <w:kern w:val="0"/>
          <w:szCs w:val="21"/>
          <w:lang w:val="zh-CN" w:bidi="zh-CN"/>
        </w:rPr>
        <w:t>。</w:t>
      </w:r>
    </w:p>
    <w:p w14:paraId="5198F5CF">
      <w:pPr>
        <w:autoSpaceDE w:val="0"/>
        <w:autoSpaceDN w:val="0"/>
        <w:spacing w:line="400" w:lineRule="exact"/>
        <w:ind w:firstLine="440" w:firstLineChars="200"/>
        <w:jc w:val="left"/>
        <w:rPr>
          <w:rFonts w:ascii="宋体" w:hAnsi="宋体" w:eastAsia="宋体" w:cs="宋体"/>
          <w:kern w:val="0"/>
          <w:szCs w:val="21"/>
          <w:lang w:val="zh-CN" w:bidi="zh-CN"/>
        </w:rPr>
      </w:pPr>
      <w:r>
        <w:rPr>
          <w:rFonts w:hint="eastAsia" w:ascii="宋体" w:hAnsi="宋体" w:eastAsia="宋体" w:cs="Arial"/>
          <w:color w:val="333333"/>
          <w:kern w:val="0"/>
          <w:szCs w:val="21"/>
          <w:shd w:val="clear" w:color="auto" w:fill="FFFFFF"/>
          <w:lang w:val="zh-CN" w:bidi="zh-CN"/>
        </w:rPr>
        <w:t>（</w:t>
      </w:r>
      <w:r>
        <w:rPr>
          <w:rFonts w:ascii="宋体" w:hAnsi="宋体" w:eastAsia="宋体" w:cs="Arial"/>
          <w:color w:val="333333"/>
          <w:kern w:val="0"/>
          <w:szCs w:val="21"/>
          <w:shd w:val="clear" w:color="auto" w:fill="FFFFFF"/>
          <w:lang w:val="zh-CN" w:bidi="zh-CN"/>
        </w:rPr>
        <w:t>原载《高校理论战线》</w:t>
      </w:r>
      <w:r>
        <w:rPr>
          <w:rFonts w:hint="eastAsia" w:ascii="宋体" w:hAnsi="宋体" w:eastAsia="宋体" w:cs="Arial"/>
          <w:color w:val="333333"/>
          <w:kern w:val="0"/>
          <w:szCs w:val="21"/>
          <w:shd w:val="clear" w:color="auto" w:fill="FFFFFF"/>
          <w:lang w:val="zh-CN" w:bidi="zh-CN"/>
        </w:rPr>
        <w:t>2</w:t>
      </w:r>
      <w:r>
        <w:rPr>
          <w:rFonts w:ascii="宋体" w:hAnsi="宋体" w:eastAsia="宋体" w:cs="Arial"/>
          <w:color w:val="333333"/>
          <w:kern w:val="0"/>
          <w:szCs w:val="21"/>
          <w:shd w:val="clear" w:color="auto" w:fill="FFFFFF"/>
          <w:lang w:val="zh-CN" w:bidi="zh-CN"/>
        </w:rPr>
        <w:t>008年第</w:t>
      </w:r>
      <w:r>
        <w:rPr>
          <w:rFonts w:hint="eastAsia" w:ascii="宋体" w:hAnsi="宋体" w:eastAsia="宋体" w:cs="Arial"/>
          <w:color w:val="333333"/>
          <w:kern w:val="0"/>
          <w:szCs w:val="21"/>
          <w:shd w:val="clear" w:color="auto" w:fill="FFFFFF"/>
          <w:lang w:val="zh-CN" w:bidi="zh-CN"/>
        </w:rPr>
        <w:t>3</w:t>
      </w:r>
      <w:r>
        <w:rPr>
          <w:rFonts w:ascii="宋体" w:hAnsi="宋体" w:eastAsia="宋体" w:cs="Arial"/>
          <w:color w:val="333333"/>
          <w:kern w:val="0"/>
          <w:szCs w:val="21"/>
          <w:shd w:val="clear" w:color="auto" w:fill="FFFFFF"/>
          <w:lang w:val="zh-CN" w:bidi="zh-CN"/>
        </w:rPr>
        <w:t>期</w:t>
      </w:r>
      <w:r>
        <w:rPr>
          <w:rFonts w:hint="eastAsia" w:ascii="宋体" w:hAnsi="宋体" w:eastAsia="宋体" w:cs="Arial"/>
          <w:color w:val="333333"/>
          <w:kern w:val="0"/>
          <w:szCs w:val="21"/>
          <w:shd w:val="clear" w:color="auto" w:fill="FFFFFF"/>
          <w:lang w:val="zh-CN" w:bidi="zh-CN"/>
        </w:rPr>
        <w:t>）</w:t>
      </w:r>
    </w:p>
    <w:p w14:paraId="5804931D">
      <w:pPr>
        <w:bidi w:val="0"/>
      </w:pPr>
      <w:r>
        <w:br w:type="page"/>
      </w:r>
    </w:p>
    <w:p w14:paraId="2E9C2264">
      <w:pPr>
        <w:spacing w:before="147" w:beforeLines="50" w:after="147" w:afterLines="50" w:line="300" w:lineRule="auto"/>
        <w:ind w:firstLine="660" w:firstLineChars="200"/>
        <w:jc w:val="center"/>
        <w:outlineLvl w:val="1"/>
        <w:rPr>
          <w:rFonts w:ascii="Times New Roman" w:hAnsi="Times New Roman" w:eastAsia="黑体" w:cs="Times New Roman"/>
          <w:sz w:val="32"/>
          <w:szCs w:val="32"/>
        </w:rPr>
      </w:pPr>
      <w:bookmarkStart w:id="879" w:name="_Toc9671"/>
      <w:bookmarkStart w:id="880" w:name="_Toc111193694"/>
      <w:bookmarkStart w:id="881" w:name="_Toc1798594393"/>
      <w:bookmarkStart w:id="882" w:name="_Toc350847359"/>
      <w:r>
        <w:rPr>
          <w:rFonts w:hint="eastAsia" w:ascii="Times New Roman" w:hAnsi="Times New Roman" w:eastAsia="黑体" w:cs="Times New Roman"/>
          <w:sz w:val="32"/>
          <w:szCs w:val="32"/>
        </w:rPr>
        <w:t>4“五个提升”促对外经济发展方式转变</w:t>
      </w:r>
      <w:bookmarkEnd w:id="879"/>
      <w:bookmarkEnd w:id="880"/>
      <w:bookmarkEnd w:id="881"/>
      <w:bookmarkEnd w:id="882"/>
    </w:p>
    <w:p w14:paraId="0C3C14E7">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改革开放以来，“出口导向”战略对经济增长和社会进步做出了巨大贡献，但是，较为粗放的对外开放模式已经妨碍了产业结构的提升和国民福利的增加。主要以单向引进和数量扩张为特征、以环境和资源较高损耗为手段的粗放型对外经济开放模式，已经不能适应转变经济发展方式的新要求。我们必须在科学发展观的指导下，建立主要追求开放质量效益和双向流动为特征的精益型对外开放模式，统筹国内经济发展与对外开放的关系，促进国民经济又好又快地持续发展。</w:t>
      </w:r>
    </w:p>
    <w:p w14:paraId="6C11379D">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温家宝总理在日前的《政府工作报告》中指出：“拓展对外开放广度和深度，提高开放型经济水平。”我就如何实施这一方针，加快转变对外经济发展方式提出以下政策思路，具体应做到“五个提升”。</w:t>
      </w:r>
    </w:p>
    <w:p w14:paraId="37F7E892">
      <w:pPr>
        <w:spacing w:before="147" w:beforeLines="50" w:after="147" w:afterLines="50" w:line="300" w:lineRule="auto"/>
        <w:ind w:firstLine="500" w:firstLineChars="200"/>
        <w:jc w:val="center"/>
        <w:rPr>
          <w:rFonts w:ascii="宋体" w:hAnsi="宋体" w:eastAsia="宋体" w:cs="宋体"/>
          <w:b/>
          <w:kern w:val="0"/>
          <w:sz w:val="24"/>
        </w:rPr>
      </w:pPr>
      <w:bookmarkStart w:id="883" w:name="_Toc31864_WPSOffice_Level3"/>
      <w:r>
        <w:rPr>
          <w:rFonts w:hint="eastAsia" w:ascii="宋体" w:hAnsi="宋体" w:eastAsia="宋体" w:cs="宋体"/>
          <w:b/>
          <w:kern w:val="0"/>
          <w:sz w:val="24"/>
        </w:rPr>
        <w:t>一、适当降低外贸依存度，提升消费拉动增长作用</w:t>
      </w:r>
      <w:bookmarkEnd w:id="883"/>
    </w:p>
    <w:p w14:paraId="190B189E">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开放以来，我国外贸依存度经历了由低到高的阶段式变化过程。根据相关数据测算，全球平均贸易依存度2003年接近45%；其中，发达国家平均水平为38.4%，发展中国家平均水平为51%，我国2004年和2006年的外贸依存度为68.44%和65.51%，高出世界平均水平较多。这表明，我国外贸依存度不仅远远高于发达国家，而且高于绝大多数发展中国家，甚至超出了发展中国家平均水平的10%以上。</w:t>
      </w:r>
    </w:p>
    <w:p w14:paraId="00501D40">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2004年我国消费率为53.6%，是建国以来的最低水平。2007年开始好转，消费对经济增长的促进作用增强，全年社会消费品零售总额达89210亿元，增长16.8%。消费的贡献率七年来首次超过投资，但这还不够。</w:t>
      </w:r>
    </w:p>
    <w:p w14:paraId="2AF7C138">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我们必须适当降低外贸依存度，提升消费拉动增长的作用，努力做到消费、投资和出口相协调。</w:t>
      </w:r>
    </w:p>
    <w:p w14:paraId="65A7D5FC">
      <w:pPr>
        <w:spacing w:before="147" w:beforeLines="50" w:after="147" w:afterLines="50" w:line="300" w:lineRule="auto"/>
        <w:ind w:firstLine="500" w:firstLineChars="200"/>
        <w:jc w:val="center"/>
        <w:rPr>
          <w:rFonts w:ascii="宋体" w:hAnsi="宋体" w:eastAsia="宋体" w:cs="宋体"/>
          <w:b/>
          <w:kern w:val="0"/>
          <w:sz w:val="24"/>
        </w:rPr>
      </w:pPr>
      <w:bookmarkStart w:id="884" w:name="_Toc12990_WPSOffice_Level3"/>
      <w:r>
        <w:rPr>
          <w:rFonts w:hint="eastAsia" w:ascii="宋体" w:hAnsi="宋体" w:eastAsia="宋体" w:cs="宋体"/>
          <w:b/>
          <w:kern w:val="0"/>
          <w:sz w:val="24"/>
        </w:rPr>
        <w:t>二、适当控制外资依存度，提升协调利用中外资效益</w:t>
      </w:r>
      <w:bookmarkEnd w:id="884"/>
    </w:p>
    <w:p w14:paraId="644C7673">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开放以来，利用外资对我们的经济增长和社会进步起到了不可替代的作用。中国已经成为世界上吸收外商直接投资最多的国家之一。但是，我们为此付出了巨大的成本。</w:t>
      </w:r>
    </w:p>
    <w:p w14:paraId="2D1FA7C0">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例如土地成本。前些年苏北地区协议出让的土地最低每亩几百元，一般也就几千元。表面看这些资金搞活了地方经济，其实质是把土地这样一个稀缺且不可再生资源贱卖。又如税收成本。长期以来，外资企业在我国一直享受“超国民待遇”。据统计，他们偷漏税款金额每年至少1000亿元。再如环境成本。“外资利润流走，留下生态失衡”的现象较为普遍。发达国家为了保护本国环境、调整产业结构，将造纸、建材、制药、纺织、化工等污染严重的行业转移到中国等发展中国家。业界认为，跨国企业在中国污染状况呈上升势头，原因在于他们执行双重标准，在中国缺乏环境责任感。</w:t>
      </w:r>
    </w:p>
    <w:p w14:paraId="7F60EF6B">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中国是否需要继续如饥似渴地引进外资？事实上，自1995年起，我国金融机构首次出现存差，近年存差已突破了10万亿元大关。可见，当前中方资本大量过剩。这样，外资引进势必产生“挤出效应”，影响中资有效配置和利用效益。</w:t>
      </w:r>
    </w:p>
    <w:p w14:paraId="66097235">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因此，适当控制外资依存度，提升协调利用中外资效益，是亟需统一认识和创新政策的重大问题。</w:t>
      </w:r>
    </w:p>
    <w:p w14:paraId="624E1653">
      <w:pPr>
        <w:spacing w:before="147" w:beforeLines="50" w:after="147" w:afterLines="50" w:line="300" w:lineRule="auto"/>
        <w:ind w:firstLine="500" w:firstLineChars="200"/>
        <w:jc w:val="center"/>
        <w:rPr>
          <w:rFonts w:ascii="宋体" w:hAnsi="宋体" w:eastAsia="宋体" w:cs="宋体"/>
          <w:b/>
          <w:kern w:val="0"/>
          <w:sz w:val="24"/>
        </w:rPr>
      </w:pPr>
      <w:bookmarkStart w:id="885" w:name="_Toc32474_WPSOffice_Level3"/>
      <w:r>
        <w:rPr>
          <w:rFonts w:hint="eastAsia" w:ascii="宋体" w:hAnsi="宋体" w:eastAsia="宋体" w:cs="宋体"/>
          <w:b/>
          <w:kern w:val="0"/>
          <w:sz w:val="24"/>
        </w:rPr>
        <w:t>三、积极降低外技依存度，提升自主创新能力</w:t>
      </w:r>
      <w:bookmarkEnd w:id="885"/>
    </w:p>
    <w:p w14:paraId="314ACFFE">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近年来我国对外贸易规模迅速扩大，但经济收益却并不随之增加。这主要是由于我们出口的大多是初级产品，附加值低，数额巨大却收益甚微。</w:t>
      </w:r>
    </w:p>
    <w:p w14:paraId="7AA6B1A8">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比如，我国纺织品、服装、皮革产品的国际市场份额都是全球第一，但国际竞争力仅为第12位、第30位和第13位。作为世界上最大的DVD生产国和出口国，57项关键技术中，我国仅有9项；作为电视机最大的生产国和出口国，40项专利中，我国仅有18项，还是一些非核心技术。</w:t>
      </w:r>
    </w:p>
    <w:p w14:paraId="57322C6A">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事实证明，“三高一低”（高污染、高能耗、高依存度、低附加值）模式下获取的贸易利益，终究只能是暂时的、阶段性的和伴随巨大代价的。长此以往，只能使我们丧失技术进步的动力，过度依赖发达国家的高科技产品，导致外贸结构畸形、贸易条件恶化、社会整体福利水平下降，并最终陷入“比较优势陷阱”。</w:t>
      </w:r>
    </w:p>
    <w:p w14:paraId="675ABCEA">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因此，我国的对外贸易战略要大胆解放思想，变“比较优势”为“知识产权优势”。只有知识产权优势才是持久高端竞争优势的必要性条件。我们要大力发展控股、控技（尤其是核心技术和技术标准）和控牌（尤其是名牌）的“三控型”民族企业集团，突出培育和发挥知识产权优势，尽快实现从贸易大国向贸易强国、经济大国向经济强国的转型。</w:t>
      </w:r>
    </w:p>
    <w:p w14:paraId="7302008A">
      <w:pPr>
        <w:spacing w:before="147" w:beforeLines="50" w:after="147" w:afterLines="50" w:line="300" w:lineRule="auto"/>
        <w:ind w:firstLine="500" w:firstLineChars="200"/>
        <w:jc w:val="center"/>
        <w:rPr>
          <w:rFonts w:ascii="宋体" w:hAnsi="宋体" w:eastAsia="宋体" w:cs="宋体"/>
          <w:b/>
          <w:kern w:val="0"/>
          <w:sz w:val="24"/>
        </w:rPr>
      </w:pPr>
      <w:bookmarkStart w:id="886" w:name="_Toc30192_WPSOffice_Level3"/>
      <w:r>
        <w:rPr>
          <w:rFonts w:hint="eastAsia" w:ascii="宋体" w:hAnsi="宋体" w:eastAsia="宋体" w:cs="宋体"/>
          <w:b/>
          <w:kern w:val="0"/>
          <w:sz w:val="24"/>
        </w:rPr>
        <w:t>四、适当降低“外源”依存度，提升配置资源效率</w:t>
      </w:r>
      <w:bookmarkEnd w:id="886"/>
    </w:p>
    <w:p w14:paraId="6691A033">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20世纪90年代以来，中国的“外源”（指某些进口比例很高的外国能源和资源，如石油、铁矿石等）急剧增长。1993年，中国成为石油净进口国以来，对外依存度逐年上升，目前达到46.6%，已接近50%的警戒线。中国能源需求的对外依存度在未来二三十年将继续呈扩大状态。</w:t>
      </w:r>
    </w:p>
    <w:p w14:paraId="139EDE80">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能源对外依存度过高对中国经济的影响是不言而喻的。首先是导致大量国民财富外流，近年来，能源价格暴涨使中国国民财富净溢出的总额更是高达数千亿元人民币；其次，过度依赖国外能源会威胁国家的政治安全和经济安全；再次，容易引发国际争端。</w:t>
      </w:r>
    </w:p>
    <w:p w14:paraId="7ABB4B61">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尽管能源大量依赖进口存在着极高的风险，但是进口仍然会成为中国能源供给的重要源泉之一。问题的根本在于，如何把握能源进口的依赖程度。防范措施一是在于尽快建立起自己的石油战略储备体系，形成一道基本的防火墙；二是要坚持鼓励和支持对新能源的开发和利用；三是要从政策上重奖节能，重罚浪费。</w:t>
      </w:r>
    </w:p>
    <w:p w14:paraId="37C51622">
      <w:pPr>
        <w:spacing w:before="147" w:beforeLines="50" w:after="147" w:afterLines="50" w:line="300" w:lineRule="auto"/>
        <w:ind w:firstLine="500" w:firstLineChars="200"/>
        <w:jc w:val="center"/>
        <w:rPr>
          <w:rFonts w:ascii="宋体" w:hAnsi="宋体" w:eastAsia="宋体" w:cs="宋体"/>
          <w:b/>
          <w:kern w:val="0"/>
          <w:sz w:val="24"/>
        </w:rPr>
      </w:pPr>
      <w:bookmarkStart w:id="887" w:name="_Toc17884_WPSOffice_Level3"/>
      <w:r>
        <w:rPr>
          <w:rFonts w:hint="eastAsia" w:ascii="宋体" w:hAnsi="宋体" w:eastAsia="宋体" w:cs="宋体"/>
          <w:b/>
          <w:kern w:val="0"/>
          <w:sz w:val="24"/>
        </w:rPr>
        <w:t>五、适当控制外汇储备规模，提升使用外汇收益</w:t>
      </w:r>
      <w:bookmarkEnd w:id="887"/>
    </w:p>
    <w:p w14:paraId="0E4B5D7D">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2006年4月，我国外汇储备规模首次超过日本，成为世界第一储备大国。截至2007年12月末，国家外汇储备余额为1.53万亿美元，同比增长43.32%。作为发展中的经济大国，拥有相当规模的外汇储备是非常必要的。但如果长时间和大幅度地超过合理数量，则必然对经济发展产生诸多不利影响。</w:t>
      </w:r>
    </w:p>
    <w:p w14:paraId="23C97631">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解决外汇储备过度的问题，不仅要控制低收益的加工贸易发展规模，从根源上减少贸易顺差，降低外汇储备激增的速度，同时也要合理配置手中已有的外汇资源。</w:t>
      </w:r>
    </w:p>
    <w:p w14:paraId="0B45546C">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从基础设施建设到社会保障完善，从西部开发到东北振兴都需要大量的资本投入作为保证。巨额的外汇储备是我们来之不易的宝贵财富，除了合理地安排其在境外的投资结构，尽可能实现保值和增值外，还应当有计划地激活这些资源，用于国内急需和有建设性意义的社会保障、基础教育、医疗卫生和环境保护等事业。也可以搞“主权基金”，或直接进行“海外购物”，购买高技术及设备或相关物资等。总之要降低货币资本储存的机会成本，提高资本配置效率。</w:t>
      </w:r>
    </w:p>
    <w:p w14:paraId="5FC4AE8B">
      <w:pPr>
        <w:widowControl/>
        <w:spacing w:line="300" w:lineRule="auto"/>
        <w:ind w:firstLine="440" w:firstLineChars="200"/>
        <w:rPr>
          <w:rFonts w:ascii="宋体" w:hAnsi="宋体" w:eastAsia="宋体" w:cs="Times New Roman"/>
          <w:kern w:val="0"/>
          <w:szCs w:val="21"/>
        </w:rPr>
      </w:pPr>
    </w:p>
    <w:p w14:paraId="7937DD6C">
      <w:pPr>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t>（原载于《中国经济周刊》2008年第11期）</w:t>
      </w:r>
    </w:p>
    <w:p w14:paraId="51C10EB5">
      <w:pPr>
        <w:widowControl/>
        <w:spacing w:line="300" w:lineRule="auto"/>
        <w:ind w:firstLine="440" w:firstLineChars="200"/>
        <w:rPr>
          <w:rFonts w:ascii="宋体" w:hAnsi="宋体" w:eastAsia="宋体" w:cs="Times New Roman"/>
          <w:kern w:val="0"/>
          <w:szCs w:val="21"/>
        </w:rPr>
      </w:pPr>
      <w:r>
        <w:rPr>
          <w:rFonts w:hint="eastAsia" w:ascii="宋体" w:hAnsi="宋体" w:eastAsia="宋体" w:cs="Times New Roman"/>
          <w:kern w:val="0"/>
          <w:szCs w:val="21"/>
        </w:rPr>
        <w:br w:type="page"/>
      </w:r>
    </w:p>
    <w:p w14:paraId="426279C3">
      <w:pPr>
        <w:keepNext/>
        <w:keepLines/>
        <w:widowControl/>
        <w:spacing w:before="147" w:beforeLines="50" w:after="147" w:afterLines="50" w:line="300" w:lineRule="auto"/>
        <w:jc w:val="center"/>
        <w:outlineLvl w:val="1"/>
        <w:rPr>
          <w:rFonts w:ascii="Times New Roman" w:hAnsi="Times New Roman" w:eastAsia="黑体" w:cs="Times New Roman"/>
          <w:sz w:val="32"/>
          <w:szCs w:val="32"/>
        </w:rPr>
      </w:pPr>
      <w:bookmarkStart w:id="888" w:name="_Toc111193695"/>
      <w:bookmarkStart w:id="889" w:name="_Toc27456"/>
      <w:bookmarkStart w:id="890" w:name="_Toc996147979"/>
      <w:bookmarkStart w:id="891" w:name="_Toc1848951698"/>
      <w:r>
        <w:rPr>
          <w:rFonts w:hint="eastAsia" w:ascii="Times New Roman" w:hAnsi="Times New Roman" w:eastAsia="黑体" w:cs="Times New Roman"/>
          <w:sz w:val="32"/>
          <w:szCs w:val="32"/>
        </w:rPr>
        <w:t>5关于加强马克思主义理论研究和建设问题的调研报告</w:t>
      </w:r>
      <w:bookmarkEnd w:id="888"/>
      <w:bookmarkEnd w:id="889"/>
      <w:bookmarkEnd w:id="890"/>
      <w:bookmarkEnd w:id="891"/>
    </w:p>
    <w:p w14:paraId="2CD8CB0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由冷溶同志负责，以中国社会科学院马克思主义研究学部为依托，成立了以马克思主义研究学部主任程恩富同志为组长的“加强马克思主义理论研究和建设问题研究”课题组，课题组对当前我国思想文化领域有关加强马克思主义理论研究和建设问题的状况，进行了专门调研。</w:t>
      </w:r>
    </w:p>
    <w:p w14:paraId="52B6EB5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2006年10月初课题正式启动，先后组织7个调研组，分赴河南、广东、上海、重庆、浙江、北京、内蒙古、深圳等8个省、市、自治区进行调研。调研的单位和部门有：大学、街道、工厂、农村、党政机关、理论研究和文化宣传机构等。调查的社会阶层有：工人、农民、公务员、教师、在校大学生和研究生、媒体人员和私营企业家等。</w:t>
      </w:r>
    </w:p>
    <w:p w14:paraId="7203BE1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我们主要采取了开座谈会、发放问卷和重点访谈等方式进行调查。先后召开大小不同形式的座谈会13次；重点访谈20人次；对不同阶层和群体发放不同问卷3000份，回收的有效答卷达2700多份。下面分5个部分阐述调研总报告。</w:t>
      </w:r>
    </w:p>
    <w:p w14:paraId="30444C96">
      <w:pPr>
        <w:snapToGrid w:val="0"/>
        <w:spacing w:before="147" w:beforeLines="50" w:after="147" w:afterLines="50" w:line="300" w:lineRule="auto"/>
        <w:ind w:firstLine="500" w:firstLineChars="200"/>
        <w:jc w:val="center"/>
        <w:rPr>
          <w:rFonts w:ascii="宋体" w:hAnsi="宋体" w:eastAsia="宋体" w:cs="Times New Roman"/>
          <w:b/>
          <w:bCs/>
          <w:sz w:val="24"/>
        </w:rPr>
      </w:pPr>
      <w:bookmarkStart w:id="892" w:name="_Toc13171"/>
      <w:bookmarkStart w:id="893" w:name="_Toc9255"/>
      <w:bookmarkStart w:id="894" w:name="_Toc16801"/>
      <w:bookmarkStart w:id="895" w:name="_Toc10183"/>
      <w:r>
        <w:rPr>
          <w:rFonts w:hint="eastAsia" w:ascii="宋体" w:hAnsi="宋体" w:eastAsia="宋体" w:cs="Times New Roman"/>
          <w:b/>
          <w:bCs/>
          <w:sz w:val="24"/>
        </w:rPr>
        <w:t>一、关于以邓小平理论和“三个代表”重要思想武装头脑，</w:t>
      </w:r>
      <w:bookmarkEnd w:id="892"/>
      <w:bookmarkEnd w:id="893"/>
      <w:bookmarkEnd w:id="894"/>
      <w:bookmarkEnd w:id="895"/>
      <w:r>
        <w:rPr>
          <w:rFonts w:hint="eastAsia" w:ascii="宋体" w:hAnsi="宋体" w:eastAsia="宋体" w:cs="Times New Roman"/>
          <w:b/>
          <w:bCs/>
          <w:sz w:val="24"/>
        </w:rPr>
        <w:t>巩固全国人民团结奋斗的共同思想基础</w:t>
      </w:r>
    </w:p>
    <w:p w14:paraId="208555F9">
      <w:pPr>
        <w:spacing w:line="300" w:lineRule="auto"/>
        <w:ind w:firstLine="440" w:firstLineChars="200"/>
        <w:rPr>
          <w:rFonts w:ascii="宋体" w:hAnsi="宋体" w:eastAsia="宋体" w:cs="Times New Roman"/>
          <w:b/>
          <w:bCs/>
          <w:szCs w:val="21"/>
        </w:rPr>
      </w:pPr>
      <w:r>
        <w:rPr>
          <w:rFonts w:hint="eastAsia" w:ascii="宋体" w:hAnsi="宋体" w:eastAsia="宋体" w:cs="Times New Roman"/>
          <w:b/>
          <w:bCs/>
          <w:szCs w:val="21"/>
        </w:rPr>
        <w:t>（一）取得的成绩和存在的问题</w:t>
      </w:r>
    </w:p>
    <w:p w14:paraId="178EC5C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1.取得的成绩</w:t>
      </w:r>
    </w:p>
    <w:p w14:paraId="0D2669E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以胡锦涛同志为总书记的党中央，提出科学发展观和构建社会主义和谐社会的战略决策，赢得广大人民群众的衷心拥护和普遍认同。调查是否赞成用科学发展观统领经济社会发展全局问题时，受访的2696人中，有2502人回答“赞成”，高达93%。</w:t>
      </w:r>
    </w:p>
    <w:p w14:paraId="7969B78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从党中央到地方，各级党和政府认真贯彻用马克思主义中国化的成果武装全党、教育人民，马克思主义的指导地位进一步巩固。在回答毛泽东思想有没有现实意义时，受访的2716人中，有2264人认为有现实意义，占83%；回答邓小平理论的核心是什么时，受访的2721人中，有2500人认为是中国特色社会主义，占92%。</w:t>
      </w:r>
    </w:p>
    <w:p w14:paraId="19348CF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对于以马克思主义作为全党全国各族人民团结奋斗的共同思想基础，广大干部群众有比较普遍的认同。调查显示，在回答应该以什么思想作为共同奋斗的思想基础时，受访的2703人中，有1615人赞同马克思主义，占60%；另外，有844人赞成“马克思主义加儒学”，占31%；赞成“戈尔巴乔夫式的社会主义”的，只有12人，占0.4%。在回答马列主义是否过时，受访的2711人中，有2101人认为没有过时，占78%；在回答你认为哪种文化是先进文化的代表时，受访的2690人中，有1901人主张的是马克思主义文化，高达71%。</w:t>
      </w:r>
    </w:p>
    <w:p w14:paraId="779339C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党中央进一步重视和加强了马克思主义的理论研究和建设问题研究，取得了明显成效。出席座谈会的同志普遍赞扬中央和有关部门近几年的重要举措和实效。比如，党中央制定了指导我国新世纪新阶段哲学社会科学繁荣发展的纲领性文件——《关于进一步繁荣发展哲学社会科学的意见》，提出了在马克思主义指导下建设哲学社会科学创新体系的任务和措施；组织实施马克思主义理论研究和建设工程硕果累累，极大地推进了理论创新；批准组建中国社会科学院马克思主义研究院，使不少学术单位跟进成立或有所强化；不断加强党对哲学社会科学工作的领导，初步造就了一支老中青相结合的高水平的马克思主义哲学社会科学队伍；发表和出版了一大批具有中国特色、中国风格、中国气派的马克思主义哲学社会科学论文和著作，并开始积极向国外介绍、传播。</w:t>
      </w:r>
    </w:p>
    <w:p w14:paraId="4E1B668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2.存在的问题</w:t>
      </w:r>
    </w:p>
    <w:p w14:paraId="00E88FE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调查显示，在巩固全党全国各族人民团结奋斗的共同思想基础方面，我们的工作也还存在诸多问题，这些问题如果不从根本上加以解决，任其发展，就会损害全党全国各族人民团结奋斗的共同思想基础。</w:t>
      </w:r>
    </w:p>
    <w:p w14:paraId="079A458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部分党员干部对邓小平理论和“三个代表”重要思想学习不够，对以这些思想武装头脑、巩固全国人民团结奋斗的共同思想基础贯彻不力。他们有的虽然也承认这些思想是共同思想基础，但却认为它只是政治宣传，不起实际作用，没有现实应用的价值和意义；有的虽然付诸行动，却热衷于做表面文章，搞形式主义，喊几句口号而已。至于共同思想基础的内涵是什么，为什么要巩固，怎样巩固，却不甚了了。第二，在知识分子队伍中，认为马克思主义已经过时的观点，仍有相当的市场。某些理论工作者和高校教师，甚至在课堂内外公开提出马克思主义基本原理已经过时，认为马克思主义中国化的理论成果也解决不了当前中国的实际问题，主张用非马克思主义的思想取代马克思主义。一些所谓“公共知识分子”公开否定四项基本原则，主张资产阶级自由化。他们公开否定公有制，主张私有制，企图以自己的影响把社会主义改革引向私有化。</w:t>
      </w:r>
    </w:p>
    <w:p w14:paraId="4B4A4BE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还有少部分人，公开诋毁马克思主义中国化的三大理论成果，诋毁毛泽东思想、邓小平理论和“三个代表”重要思想，制造三大理论成果之间的对立。他们或者用毛泽东思想否定邓小平理论；或者用邓小平理论否定毛泽东思想；或者用“三个代表”重要思想否定邓小平理论；或者用邓小平理论和科学发展观否定“三个代表”重要思想。</w:t>
      </w:r>
    </w:p>
    <w:p w14:paraId="7CB781A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极少数敌对分子敌视中国共产党的领导，企图推翻社会主义制度。他们恶意攻击马克思主义，叫嚣推翻共产党的领导，诅咒马克思主义是僵尸，要扫进历史的垃圾堆，取而代之的是西方民主观、多党制和三权分立。</w:t>
      </w:r>
    </w:p>
    <w:p w14:paraId="6A569AC5">
      <w:pPr>
        <w:spacing w:line="300" w:lineRule="auto"/>
        <w:ind w:firstLine="440" w:firstLineChars="200"/>
        <w:rPr>
          <w:rFonts w:ascii="宋体" w:hAnsi="宋体" w:eastAsia="宋体" w:cs="Times New Roman"/>
          <w:b/>
          <w:bCs/>
          <w:szCs w:val="21"/>
        </w:rPr>
      </w:pPr>
      <w:r>
        <w:rPr>
          <w:rFonts w:hint="eastAsia" w:ascii="宋体" w:hAnsi="宋体" w:eastAsia="宋体" w:cs="Times New Roman"/>
          <w:b/>
          <w:bCs/>
          <w:szCs w:val="21"/>
        </w:rPr>
        <w:t>（二）取得成绩和存在的问题的原因分析</w:t>
      </w:r>
    </w:p>
    <w:p w14:paraId="3FF059E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1.取得成绩的主要原因</w:t>
      </w:r>
    </w:p>
    <w:p w14:paraId="4019C34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第一，改革开放的巨大成就，为三大理论成果深入人心提供了坚实的物质基础。中国特色社会主义建设取得的巨大成就和生动实践，极大地鼓舞了全国人民的斗志，增强了社会主义的凝聚力和信服力。</w:t>
      </w:r>
    </w:p>
    <w:p w14:paraId="1E8B65C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第二，以胡锦涛同志为总书记的党中央坚持全心全意为人民服务的宗旨，立党为公、执政为民，坚持情为民所系、权为民所用、利为民所谋，受到广大人民群众的衷心拥护。</w:t>
      </w:r>
    </w:p>
    <w:p w14:paraId="77538E9D">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我们党高度重视自身建设，不断加强党的先进性教育和执政能力建设。党的先进性教育活动取得了良好的效果，全党的精神面貌发生了新的变化，更加确认马克思主义的指导地位，认同“三个代表”重要思想。</w:t>
      </w:r>
    </w:p>
    <w:p w14:paraId="147CCDD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存在问题的主要原因</w:t>
      </w:r>
    </w:p>
    <w:p w14:paraId="170984B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在部分党员、领导干部和学者中，社会主义和共产主义的理想信念逐渐淡化，甚至丧失。他们的内心世界不认同马克思主义，对它冷嘲热讽，在人民群众和学生中造成了恶劣的影响。在调查共产主义理想信念产生危机的原因时，受访的2602人中，有1678人认为是部分领导干部和教育者自己不信仰共产主义，占65%。</w:t>
      </w:r>
    </w:p>
    <w:p w14:paraId="666F65F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一些高校和研究单位的领导同志政治意识淡漠，马克思主义理论的宣传教育抓得不力。在出现这种情况的部门和单位，往往造成西方自由主义和西方主流理论过度泛滥，对马克思主义意识形态造成一定冲击。在调查共产主义理想信念产生危机的原因时，受访的2602人中，有1340人认为是由于西方学术思潮的影响造成的，占52%。</w:t>
      </w:r>
    </w:p>
    <w:p w14:paraId="2E2C1CC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一些地方的党政领导同志对意识形态领域的形势缺少忧患意识。他们以为当前全党全国各族人民团结奋斗的共同思想基础十分稳固，可以高枕无忧。在实际工作中重经济建设，轻理论学习，觉得思想政治工作可有可无，导致经济建设和理论学习“两张皮”现象愈演愈烈。</w:t>
      </w:r>
    </w:p>
    <w:p w14:paraId="023D5FD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党内腐败现象严重，使得人民群众对马克思主义理论产生疑问，甚至抵触。用马克思主义武装的党解决不了自身较严重的腐败，客观上造成群众认为马克思主义解决不了党内存在的问题。在调查共产主义理想信念产生危机的原因时，受访的2602人中，有2203人认为是由于干部腐败问题造成，占85%。</w:t>
      </w:r>
    </w:p>
    <w:p w14:paraId="4E5C37C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五，社会主义处于低潮，西强我弱形势产生重要的负面效应，苏东剧变使社会主义和共产主义运动处于低谷，一些人对社会主义的前途和生命力产生了怀疑，对社会主义制度的优越性产生了动摇。在调查共产主义理想信念产生危机的原因时，受访的2602人中，有882人认为是由于苏东社会主义国家的蜕变造成，占34%。</w:t>
      </w:r>
    </w:p>
    <w:p w14:paraId="1410C1D8">
      <w:pPr>
        <w:spacing w:before="147" w:beforeLines="50" w:after="147" w:afterLines="50" w:line="300" w:lineRule="auto"/>
        <w:ind w:firstLine="500" w:firstLineChars="200"/>
        <w:jc w:val="center"/>
        <w:rPr>
          <w:rFonts w:ascii="宋体" w:hAnsi="宋体" w:eastAsia="宋体" w:cs="Times New Roman"/>
          <w:b/>
          <w:bCs/>
          <w:sz w:val="24"/>
        </w:rPr>
      </w:pPr>
      <w:bookmarkStart w:id="896" w:name="_Toc10169"/>
      <w:bookmarkStart w:id="897" w:name="_Toc31130"/>
      <w:bookmarkStart w:id="898" w:name="_Toc23235"/>
      <w:bookmarkStart w:id="899" w:name="_Toc13389"/>
      <w:bookmarkStart w:id="900" w:name="_Toc14508"/>
      <w:r>
        <w:rPr>
          <w:rFonts w:hint="eastAsia" w:ascii="宋体" w:hAnsi="宋体" w:eastAsia="宋体" w:cs="Times New Roman"/>
          <w:b/>
          <w:bCs/>
          <w:sz w:val="24"/>
        </w:rPr>
        <w:t>二、关于增强党的思想理论的创造力、说服力和感召力</w:t>
      </w:r>
      <w:bookmarkEnd w:id="896"/>
      <w:bookmarkEnd w:id="897"/>
      <w:bookmarkEnd w:id="898"/>
      <w:bookmarkEnd w:id="899"/>
      <w:bookmarkEnd w:id="900"/>
    </w:p>
    <w:p w14:paraId="42F39688">
      <w:pPr>
        <w:spacing w:line="300" w:lineRule="auto"/>
        <w:ind w:firstLine="440" w:firstLineChars="200"/>
        <w:rPr>
          <w:rFonts w:ascii="宋体" w:hAnsi="宋体" w:eastAsia="宋体" w:cs="Times New Roman"/>
          <w:b/>
          <w:bCs/>
          <w:szCs w:val="21"/>
        </w:rPr>
      </w:pPr>
      <w:r>
        <w:rPr>
          <w:rFonts w:hint="eastAsia" w:ascii="宋体" w:hAnsi="宋体" w:eastAsia="宋体" w:cs="Times New Roman"/>
          <w:b/>
          <w:bCs/>
          <w:szCs w:val="21"/>
        </w:rPr>
        <w:t>（一）取得的成绩和存在的问题</w:t>
      </w:r>
    </w:p>
    <w:p w14:paraId="2F2F582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1.取得的成绩</w:t>
      </w:r>
    </w:p>
    <w:p w14:paraId="72F7F8E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党的思想理论在改革开放的新时期与时俱进，保持了旺盛的创造力和创新精神。马克思主义普遍原理与中国社会主义建设实践的结合更加深入。我们党在继承和发扬毛泽东思想的基础上，创造性地提出了邓小平理论、“三个代表”重要思想，党的十六大以后，以胡锦涛同志为总书记的党中央又提出了科学发展观和构建社会主义和谐社会的新理念。这些都充分说明，党的思想理论在改革开放新的历史条件下，与时俱进，求真务实，保持着旺盛的生命力，体现着锐意进取的创新精神。</w:t>
      </w:r>
    </w:p>
    <w:p w14:paraId="632ABF0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广大党员干部、群众拥护、肯定我们党在改革开放以来的理论创新。调查对改革开放以来党的思想理论创造力的评价时，受访的2707人中，认为很强的有749人，占28％；认为较强的，1411人，占52％；两者相加占80%。</w:t>
      </w:r>
    </w:p>
    <w:p w14:paraId="560D6CE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对党的思想理论的说服力和感召力，多数党员干部和群众基本予以认可。受访的2700人中，认为改革开放以来党的思想理论的说服力和感召力很强的，有583人，占22％；认为较强的，有1411人，占48％；两者相加占70%。</w:t>
      </w:r>
    </w:p>
    <w:p w14:paraId="01908B9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以胡锦涛同志为总书记的党中央推出了一系列新举措，解决群众关心的重大社会问题，受到普遍欢迎和拥护。这些措施主要包括解决收入差距扩大、重新构思医疗体制、建设社会主义新农村、重拳打击腐败等，进一步提高了党的思想理论的说服力、感召力。</w:t>
      </w:r>
    </w:p>
    <w:p w14:paraId="2A83E93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2.存在的问题</w:t>
      </w:r>
    </w:p>
    <w:p w14:paraId="6970191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部分群众对党的思想理论还存在一些困惑不解甚至是怀疑对立情绪。这也反映出党的思想理论在说服力和感召力等方面还存在薄弱环节。例如，在重庆工学院的教师座谈会上，有的教师认为，当前现实生活中人们对党的思想理论，普遍表现出的是一种“了解但不理解，认同但不关的漠然情绪。另外，调查改革开放以来党的思想理论的说服力和感召力时，受访的2700人中，认为“不强”的，还有443人，占25％，甚至还有118人认为“很差”，占5％。</w:t>
      </w:r>
    </w:p>
    <w:p w14:paraId="35EE2BF2">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理论与实际脱节的现象还比较严重，对一些群众疑惑的重大理论和实际问题，不能做出较好的回答。在北京召开的首都高校教师座谈会上，不少教师反映，当前思想政治课教学中，最大的困惑不是理论的问题，而是理论和现实的结合问题。由于教师课堂上教授的东西和学生接触的社会现实有较大距离，难以回答和解释学生关心的问题，因此，很难收到好的实效。对于广大干部群众，这个问题同样存在。例如，随着我国20多年的社会经济发展，私营企业迅速发展和壮大，对我国目前是否形成新的民族资产阶级的问题，广大干部群众十分关注。对此，我们也做了专门调查。受访的2653人中，认为“已经形成”的，906人，占34％；回答“说不清”的，806人，占31％；两者相加，占65%。现在对这个问题并没有明确的说法。</w:t>
      </w:r>
    </w:p>
    <w:p w14:paraId="715F0F2E">
      <w:pPr>
        <w:spacing w:line="300" w:lineRule="auto"/>
        <w:ind w:firstLine="440" w:firstLineChars="200"/>
        <w:rPr>
          <w:rFonts w:ascii="宋体" w:hAnsi="宋体" w:eastAsia="宋体" w:cs="Times New Roman"/>
          <w:b/>
          <w:bCs/>
          <w:szCs w:val="21"/>
        </w:rPr>
      </w:pPr>
      <w:r>
        <w:rPr>
          <w:rFonts w:hint="eastAsia" w:ascii="宋体" w:hAnsi="宋体" w:eastAsia="宋体" w:cs="Times New Roman"/>
          <w:b/>
          <w:bCs/>
          <w:szCs w:val="21"/>
        </w:rPr>
        <w:t>（二）存在问题的主要原因</w:t>
      </w:r>
    </w:p>
    <w:p w14:paraId="38754CED">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理论直面现实、解释现实的能力不够，对群众关心的某些重大理论热点和难点问题，或缺乏深入研究，或缺乏有效宣传教育。有些思想理论过于悬空化，不能切实回答广大人民群众的理论困惑。在调查当前党的思想理论对重大理论和实际问题的解答能力时，受访的2702人中，还有694人回答是“勉强能够”，占26％，有235人回答是“不能”，占9％。</w:t>
      </w:r>
    </w:p>
    <w:p w14:paraId="53204342">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某些思想理论没有达到预期的实践效果，甚至与实践效果相背离。当前人民群众感到困惑和疑虑的是，在我国改革和经济社会发展中，有些情况的出现，与改革的理论指向和理论目标产生了差异，有些甚至是相悖的。一些假“改革”之名，实际上却背离社会主义性质和侵害群众利益的事件，对马克思主义和社会主义造成了严重的危害。调查当前党的思想理论解决重大现实问题的效果时，受访的2690人中，却有1120人认为“效果一般”，占42％，甚至有155人认为“效果很差”，占6％。</w:t>
      </w:r>
    </w:p>
    <w:p w14:paraId="17D7159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对改革开放中出现的一些新情况和新问题，马克思主义理论研究滞后，缺乏应有的说服力。在一些座谈会中，大家谈到加强马克思主义理论研究的措施时，不约而同有一个看法，就是不能回避理论上的一些重大问题。例如，关于中国共产党的阶级基础究竟如何界定？是只有工人阶级，还是也包括其他阶级或阶层？调查显示，受访的2691人中，有288人回答是“全民”，占11%；有154人回答“说不清”，占6%；有98人回答是“中间阶层”，占4%。这说明，有1/5的人对这个问题的认识是模糊的。</w:t>
      </w:r>
    </w:p>
    <w:p w14:paraId="0533D42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企业改制中出现的私有化和以权谋私现象，以及由此引发的公有制经济比重急剧下降和大量腐败现象，严重影响了社会主义和马克思主义在人们心目中的声誉。调查腐败产生的原因时，受访的2622人中，有1525人认为是私有经济的负面影响，占58％；有1932人认为是管理不力导致国有资产流失，占74%；有2332人认为是执法监督不严的，占89％。调查对当前国有企业改革的评价时，受访的2707人中，有1701人认为问题很多，占63%；有359人认为国企改革不成功，占13%；另外有96人认为“说不清”，占4%。</w:t>
      </w:r>
    </w:p>
    <w:p w14:paraId="48D2C3CB">
      <w:pPr>
        <w:snapToGrid w:val="0"/>
        <w:spacing w:before="147" w:beforeLines="50" w:after="147" w:afterLines="50" w:line="300" w:lineRule="auto"/>
        <w:ind w:firstLine="500" w:firstLineChars="200"/>
        <w:jc w:val="center"/>
        <w:rPr>
          <w:rFonts w:ascii="宋体" w:hAnsi="宋体" w:eastAsia="宋体" w:cs="Times New Roman"/>
          <w:b/>
          <w:bCs/>
          <w:sz w:val="24"/>
        </w:rPr>
      </w:pPr>
      <w:bookmarkStart w:id="901" w:name="_Toc19246"/>
      <w:bookmarkStart w:id="902" w:name="_Toc4878"/>
      <w:bookmarkStart w:id="903" w:name="_Toc12215"/>
      <w:bookmarkStart w:id="904" w:name="_Toc13059"/>
      <w:bookmarkStart w:id="905" w:name="_Toc5418"/>
      <w:r>
        <w:rPr>
          <w:rFonts w:hint="eastAsia" w:ascii="宋体" w:hAnsi="宋体" w:eastAsia="宋体" w:cs="Times New Roman"/>
          <w:b/>
          <w:bCs/>
          <w:sz w:val="24"/>
        </w:rPr>
        <w:t>三、关于把握思想舆论导向，正确引导社会舆论</w:t>
      </w:r>
      <w:bookmarkEnd w:id="901"/>
      <w:bookmarkEnd w:id="902"/>
      <w:bookmarkEnd w:id="903"/>
      <w:bookmarkEnd w:id="904"/>
      <w:bookmarkEnd w:id="905"/>
    </w:p>
    <w:p w14:paraId="76107F07">
      <w:pPr>
        <w:spacing w:line="300" w:lineRule="auto"/>
        <w:ind w:firstLine="440" w:firstLineChars="200"/>
        <w:rPr>
          <w:rFonts w:ascii="宋体" w:hAnsi="宋体" w:eastAsia="宋体" w:cs="Times New Roman"/>
          <w:b/>
          <w:bCs/>
          <w:szCs w:val="21"/>
        </w:rPr>
      </w:pPr>
      <w:r>
        <w:rPr>
          <w:rFonts w:hint="eastAsia" w:ascii="宋体" w:hAnsi="宋体" w:eastAsia="宋体" w:cs="Times New Roman"/>
          <w:b/>
          <w:bCs/>
          <w:szCs w:val="21"/>
        </w:rPr>
        <w:t>（一）主要成绩与经验</w:t>
      </w:r>
    </w:p>
    <w:p w14:paraId="6607937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调查表明，党的十六大以来，在以胡锦涛同志为总书记的党中央领导下，由于采取了一系列重要举措，我们党在把握思想舆论导向、正确引导社会舆论方面已经取得了明显的成绩，积累了较丰富的经验。</w:t>
      </w:r>
    </w:p>
    <w:p w14:paraId="64670B6D">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把握思想导向，围绕党和政府的中心工作，唱响主旋律，打好主动仗。调查当前我国思想舆论是否需要导向时，受访的2709人中，认为需要的有2331人，高达86%；认为不需要的，只有209人，只占8%；另外有169人回答“说不清”，占6%。调查还显示，在把握思想导向方面，我国绝大多数媒体都能够做到围绕党和政府的中心工作，唱响主旋律，打好主动仗；能做好重大时政类报道，做好科学发展观、构建社会主义和谐社会和社会主义新农村建设的宣传和报道工作；能用改革开放和现代化建设的伟大成就鼓舞人民，把党中央的声音传达下去，把人民群众的丰富实践和伟大创造传播开来。</w:t>
      </w:r>
    </w:p>
    <w:p w14:paraId="7C96123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贯彻贴近实际、贴近生活、贴近群众的“三贴近”原则，不断提高新闻媒体创新宣传思想工作、引导社会舆论的能力。调查显示，在回答宣传部门如何加强对新时期人们思想的引导时，受访的2627人中，有1955人认为应该根据“三贴近”原则改进宣传工作，占74%。而近年来，我国各级媒体在贯彻“三贴近”原则、提高引导社会舆论的能力方面所取得的成绩，确实也得到了人民群众的认可。例如，调查中，不少人都反映，中央电视台的《感动中国》节目办得好，看了以后触动很大，受到感染和感动，甚至能对自己产生人生观和人生理想方面的影响。</w:t>
      </w:r>
    </w:p>
    <w:p w14:paraId="4754832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建立各级重要部门的政府新闻发言人制度，对一些重大突发事件主动亮招和出招。调查中大家提到，这些年我们国家发生的重大突发事件不少，像2003年发生的“非典”和发生在重庆开县的重大井喷事件等，由于媒体注意到对重大突发事件中感人事件的报道，使大家感到，在重大突发事件的报道中还是正面的东西多。</w:t>
      </w:r>
    </w:p>
    <w:p w14:paraId="6730BD4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加强和改进对外宣传和文化交流工作，为改革开放创造有利的国际舆论环境。近年来，由于把加强和改进对外宣传作为一项战略任务，整合文化艺术、广播影视、新闻出版等多种对外宣传资源，健全工作机制，已形成了全方位、多层次、宽领域的大外宣格局。实施“走出去”战略，抓紧我新闻媒体在海外的落地工作，扩大了我国广播电视在全球的覆盖率。积极开展舆论宣传，阐明我国政府对国际重点问题的原则立场，围绕重大国际问题积极有效地开展了舆论斗争。</w:t>
      </w:r>
    </w:p>
    <w:p w14:paraId="346C036E">
      <w:pPr>
        <w:spacing w:line="300" w:lineRule="auto"/>
        <w:ind w:firstLine="440" w:firstLineChars="200"/>
        <w:rPr>
          <w:rFonts w:ascii="宋体" w:hAnsi="宋体" w:eastAsia="宋体" w:cs="Times New Roman"/>
          <w:b/>
          <w:bCs/>
          <w:szCs w:val="21"/>
        </w:rPr>
      </w:pPr>
      <w:r>
        <w:rPr>
          <w:rFonts w:hint="eastAsia" w:ascii="宋体" w:hAnsi="宋体" w:eastAsia="宋体" w:cs="Times New Roman"/>
          <w:b/>
          <w:bCs/>
          <w:szCs w:val="21"/>
        </w:rPr>
        <w:t>（二）存在的不足及其原因</w:t>
      </w:r>
    </w:p>
    <w:p w14:paraId="1133F4A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1.存在的不足</w:t>
      </w:r>
    </w:p>
    <w:p w14:paraId="4936C90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要清醒地认识到，在把握思想舆论导向和正确引导社会舆论方面，我们工作中也存在不少问题。我们在意识形态领域依然面临着比较严峻的形势和任务。</w:t>
      </w:r>
    </w:p>
    <w:p w14:paraId="4E6780BD">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有些马克思主义宣传教育方面的形式主义现象比较突出，与现实生活脱节，远离老百姓的生活，难以真正深入人心。在回答是否认为有越来越多的人存在马克思主义信仰危机的问题时，受访的2706人中，有1642人回答“是”，占61%，有553人回答“不是”，占20%，有511人回答“说不清”，占19%。另外，在调查马克思主义被弱化的原因时，受访的2634人中，认为是由于宣传教育形式化造成的，有1924人，占73%，在列举的诸多选项中位居第一位。</w:t>
      </w:r>
    </w:p>
    <w:p w14:paraId="10C47CA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一些人的社会主义理想信念比较淡薄，对社会主义必然战胜资本主义的信念产生动摇，对建设中国特色社会主义事业缺乏信心。调查显示，大学生的理想更多的是集中在生活和职业理想上，而对社会和道德理想则关注很少，只占10%左右。在与河南大学经济专业学生座谈中，不少学生就提出“学习和信仰马克思主义同我们大学生的就业、出国、个人发展和今后家庭生活有何关系”之类的问题。</w:t>
      </w:r>
    </w:p>
    <w:p w14:paraId="156D675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有些媒体过度娱乐化，盲目追求经济效益。一些媒体存在把新闻游离于意识形态之外，看做纯粹“社会公器”的错误论调，一味迎合所谓的“市场需求”、“读者口味”，片面追求轰动效应。调查中，大家普遍反映，现在的影视剧中，到处宣传的都是皇帝，而且多数是正面形象，看完之后，叫人觉得皇帝“真好”。</w:t>
      </w:r>
    </w:p>
    <w:p w14:paraId="79012669">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互联网等新兴媒体上的马克思主义宣传与普及工作仍显薄弱。马克思主义如果不能有效占领这些新兴媒体平台，势必等于放弃了新生的思想阵地，听任其由各种非马克思主义、甚至是反马克思主义的思想肆虐。在重庆、广东、上海等地的座谈会和专访中，大家都指出，包括法轮功在内的许多敌对势力和西化派都是通过网上渗透来争夺群众和青年的。第五，传统媒体中，宣传和普及马克思主义的专门刊物过少。由于受政府有关管理部门及其政策的“一刀切”限制，新增以马克思主义命名的学术刊物和报纸已不可能，无形中限制了马克思主义研究成果的宣传和引导社会舆论的作用。而有些报刊只渲染西方主流经济思潮，从不刊发创新马克思主义经济学的文章。</w:t>
      </w:r>
    </w:p>
    <w:p w14:paraId="3DFF2C4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2.原因分析</w:t>
      </w:r>
    </w:p>
    <w:p w14:paraId="04489BF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第一，世界社会主义运动处于低潮，西方敌对势力加紧对我国的渗透。他们不仅通过加大广播、卫星电视、书刊等传统媒体，而且还利用互联网等新兴媒体，千方百计削弱我国主流舆论的影响，造成思想混乱。</w:t>
      </w:r>
    </w:p>
    <w:p w14:paraId="6506A99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在思想理论和文化宣传队伍中，部分干部政治立场不坚定，政治意识淡薄，难以真正做到用马克思主义指导本领域和本部门的工作。其结果是业务工作把关不严，致使各种错误思想和言论的发表有机可乘，给人们的思想造成混乱。</w:t>
      </w:r>
    </w:p>
    <w:p w14:paraId="20CBF3C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我国处于完善社会主义市场经济体制的新阶段，面临众多社会矛盾。当前，我国处于一个社会经济转型期，同时也是一个社会矛盾“凸显期”。在这个时期中，热点难点问题和群体性事件增多，为统一思想、凝聚力量带来了一定的难度。</w:t>
      </w:r>
    </w:p>
    <w:p w14:paraId="4A99C72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人们价值选择、思维方式和生活方式的多样性、多元化和多变性，增加了把握思想导向的困难。新技术手段的广泛应用，人们接受信息的方式、方法和手段发生了很大变化，影响人们思想的因素和渠道增多。调查表明，一些非马克思主义甚至反马克思主义的意识形态和学术思潮传播较广，理论信仰者增多。</w:t>
      </w:r>
    </w:p>
    <w:p w14:paraId="12435CC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五，有些理论学习和思想政治教育的内容和方式比较陈旧。没有针对不同地区、不同部门和不同领域的干部、群众和师生，有针对性地开展思想政治工作和学术理论工作。某大学的调查显示，很多学生都认为现在的政治思想教育效果不大。其中，认为“切合实际”的仅占25%；认为“不太切合实际，效果一般”的占45%。</w:t>
      </w:r>
    </w:p>
    <w:p w14:paraId="2285FD8A">
      <w:pPr>
        <w:snapToGrid w:val="0"/>
        <w:spacing w:before="147" w:beforeLines="50" w:after="147" w:afterLines="50" w:line="300" w:lineRule="auto"/>
        <w:ind w:firstLine="500" w:firstLineChars="200"/>
        <w:rPr>
          <w:rFonts w:ascii="宋体" w:hAnsi="宋体" w:eastAsia="宋体" w:cs="Times New Roman"/>
          <w:b/>
          <w:bCs/>
          <w:sz w:val="24"/>
        </w:rPr>
      </w:pPr>
      <w:bookmarkStart w:id="906" w:name="_Toc23644"/>
      <w:bookmarkStart w:id="907" w:name="_Toc28441"/>
      <w:bookmarkStart w:id="908" w:name="_Toc32088"/>
      <w:bookmarkStart w:id="909" w:name="_Toc5012"/>
      <w:bookmarkStart w:id="910" w:name="_Toc16712"/>
      <w:r>
        <w:rPr>
          <w:rFonts w:hint="eastAsia" w:ascii="宋体" w:hAnsi="宋体" w:eastAsia="宋体" w:cs="Times New Roman"/>
          <w:b/>
          <w:bCs/>
          <w:sz w:val="24"/>
        </w:rPr>
        <w:t>四、关于有效防范敌对势力在意识形态领域的渗透，</w:t>
      </w:r>
      <w:bookmarkEnd w:id="906"/>
      <w:bookmarkEnd w:id="907"/>
      <w:bookmarkEnd w:id="908"/>
      <w:bookmarkEnd w:id="909"/>
      <w:bookmarkEnd w:id="910"/>
      <w:r>
        <w:rPr>
          <w:rFonts w:hint="eastAsia" w:ascii="宋体" w:hAnsi="宋体" w:eastAsia="宋体" w:cs="Times New Roman"/>
          <w:b/>
          <w:bCs/>
          <w:sz w:val="24"/>
        </w:rPr>
        <w:t>确保国家文化安全</w:t>
      </w:r>
    </w:p>
    <w:p w14:paraId="611963A6">
      <w:pPr>
        <w:spacing w:line="300" w:lineRule="auto"/>
        <w:ind w:firstLine="440" w:firstLineChars="200"/>
        <w:rPr>
          <w:rFonts w:ascii="宋体" w:hAnsi="宋体" w:eastAsia="宋体" w:cs="Times New Roman"/>
          <w:b/>
          <w:bCs/>
          <w:szCs w:val="21"/>
        </w:rPr>
      </w:pPr>
      <w:r>
        <w:rPr>
          <w:rFonts w:hint="eastAsia" w:ascii="宋体" w:hAnsi="宋体" w:eastAsia="宋体" w:cs="Times New Roman"/>
          <w:b/>
          <w:bCs/>
          <w:szCs w:val="21"/>
        </w:rPr>
        <w:t>（一）面临的挑战</w:t>
      </w:r>
    </w:p>
    <w:p w14:paraId="7051854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我们党一贯重视防范敌对势力对我国意识形态领域的渗透，可是这次调查表明，同西方敌对势力实施意识形态渗透的计划性、连续性以及规模和力度相比，我们在警觉性、防范和抵御工作等方面，还是显得不足。这说明我国在加强和完善意识形态领域的安全方面面临许多挑战。</w:t>
      </w:r>
    </w:p>
    <w:p w14:paraId="7E7C83A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我国普通民众文化安全意识淡薄，对防范敌对势力对我国意识形态渗透的重要性缺乏认识。在重庆市，我们对某高校附属工厂的工人做过问卷调查。结果发现，不了解与不关心“和平演变”的就占43.8%；比较了解的仅占5%。</w:t>
      </w:r>
    </w:p>
    <w:p w14:paraId="5916C82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对西方意识形态渗透的防范不力，致使各种西方意识形态和学术思潮不加节制地涌入我国，对我国马克思主义在哲学社会科学中的指导地位造成了严重冲击。不少高校在思想、文化和学术等领域，淡化马克思主义意识形态和学术的情况比较严重。有的把马克思主义同学术和文化对立起来，以学术和文化的非意识形态化为借口，否认马克思主义在哲学社会科学中的指导地位。在高校的课程设置和教学内容安排方面，也普遍存在削弱马克思主义指导地位的现象。例如，在理论经济学教学和研究领域，主要表现为否认马克思主义政治经济学，基本肯定和宣扬西方经济学；日益增多的高校在经济学专业的研究生入学和课程设置中已取消原本作为共同专业基础课的政治经济学。因此，调查马克思主义被弱化的原因时，受访的2634人中，有1336人认为是由于西方主流思想理论的影响，占51%。</w:t>
      </w:r>
    </w:p>
    <w:p w14:paraId="154EF12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对西方意识形态渗透的防范不力，使西方文化不加节制地涌入我国，颠覆了我国应有的生活方式和价值观念。对部分青年学生的调查表明，喜欢欧美电影的，占60%；喜欢港台片的，占60%；喜欢过圣诞节的，占56%；喜欢过情人节的，占37%。此外，美国大片和日本动画片的收视率之高，以及“哈日族”、“哈韩族”等的纷纷呈现，使人感到，“文化殖民主义”和“文化帝国主义”在当下中国大有卷土重来之势。</w:t>
      </w:r>
    </w:p>
    <w:p w14:paraId="19AB274D">
      <w:pPr>
        <w:spacing w:line="300" w:lineRule="auto"/>
        <w:ind w:firstLine="440" w:firstLineChars="200"/>
        <w:rPr>
          <w:rFonts w:ascii="宋体" w:hAnsi="宋体" w:eastAsia="宋体" w:cs="Times New Roman"/>
          <w:b/>
          <w:bCs/>
          <w:szCs w:val="21"/>
        </w:rPr>
      </w:pPr>
      <w:r>
        <w:rPr>
          <w:rFonts w:hint="eastAsia" w:ascii="宋体" w:hAnsi="宋体" w:eastAsia="宋体" w:cs="Times New Roman"/>
          <w:b/>
          <w:bCs/>
          <w:szCs w:val="21"/>
        </w:rPr>
        <w:t>（二）渗透的主要表现</w:t>
      </w:r>
    </w:p>
    <w:p w14:paraId="5209D8BD">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利用互联网等新兴媒体，争夺思想文化的新阵地，削弱我国主流舆论的影响。据统计，目前全球互联网服务器内存中，中文信息只占4%（内含新加坡、我国台湾），而美国的信息却占80%，它提供的服务信息更是占95%。现在我国的大学生，几乎所有的人每天都上网，除学习之外，90%的时间都在网上。他们查看的信息，很少是由主流媒体提供的，这种情况很令人担忧。</w:t>
      </w:r>
    </w:p>
    <w:p w14:paraId="092ACB5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西方以各种基金会和非政府组织的名义，在我国开展各种活动。目前，西方国家通过各种活动在对我国中青年和知识分子造成的影响是不可小视的，他们物色和培养亲西方的学者和其他人士，这些人在国内发挥越来越大的影响。调查中，大家认为，在一些常规研究领域开展对外交流和合作，争取一些资助是必要的，但是，必须有严格的规章制度约束。在调查西方国家资助社会主义国家民间组织的目的时，受访的2699人中，认为是为了这些国家的社会进步的，只有539人，占20%，而认为主要是为了培植亲西方的反对派势力的，有1166人，占43%，另外有回答“说不清”的994人，占37%。</w:t>
      </w:r>
    </w:p>
    <w:p w14:paraId="7F2A07D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利用民族分离势力，制造各种舆论，以期达到西化和分化中国的目的。其突出的表现是在宗教、人权和宪政问题上做文章，提出种种谬论，妖魔化中华人民共和国与中国共产党。例如，极力支持、怂恿达赖集团，推行“西藏问题国际化”，企图使西藏“独立”；利用宗教问题向我发难，攻击我国是“压制”宗教信仰的国家；策动境外宗教、邪教组织对我国进行渗透和反政府活动；污蔑中国压制和侵犯人权，政治制度不民主等等。</w:t>
      </w:r>
    </w:p>
    <w:p w14:paraId="67CBF38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利用电视和电影等群众喜爱的国际化传媒手段，宣传西方生活方式和价值观念，弱化我国的传统民族文化和社会主义价值体系。调查中不少人提到，由于受西方影视剧和小说等作品的影响，我国相关的文化领域也越来越充斥低俗、冒险、自杀、血腥暴力等内容。</w:t>
      </w:r>
    </w:p>
    <w:p w14:paraId="3F25D18B">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五，曲解、丑化和淡化我国的民族传统文化，压制中华民族的自信心，消解和削弱中华民族的凝聚力。其手法主要是恶意放大中华民族传统文化中的封建落后的一面，加以丑化和曲解。西方某些国家出版的影视作品、卡通漫画、电子游戏，充满着对我传统文化经典的戏说和恶搞。其目的是让青少年推崇西方文化，淡忘本民族文化，削弱对中华民族优秀文化传统的认同。</w:t>
      </w:r>
    </w:p>
    <w:p w14:paraId="577ED3E5">
      <w:pPr>
        <w:spacing w:line="300" w:lineRule="auto"/>
        <w:ind w:firstLine="440" w:firstLineChars="200"/>
        <w:rPr>
          <w:rFonts w:ascii="宋体" w:hAnsi="宋体" w:eastAsia="宋体" w:cs="Times New Roman"/>
          <w:b/>
          <w:bCs/>
          <w:szCs w:val="21"/>
        </w:rPr>
      </w:pPr>
      <w:r>
        <w:rPr>
          <w:rFonts w:hint="eastAsia" w:ascii="宋体" w:hAnsi="宋体" w:eastAsia="宋体" w:cs="Times New Roman"/>
          <w:b/>
          <w:bCs/>
          <w:szCs w:val="21"/>
        </w:rPr>
        <w:t>（三）原因分析</w:t>
      </w:r>
    </w:p>
    <w:p w14:paraId="741EB0B6">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西方发达国家凭借雄厚的经济实力和强权政治占据着世界的主导地位，在文化观念、意识形态以及生活方式上，也企图成为世界的主导和别国效仿的楷模。它们拥有“文化霸权”，形成了一种“文化帝国主义”，直接威胁到发展中国家，尤其是社会主义国家的文化主权和文化安全。</w:t>
      </w:r>
    </w:p>
    <w:p w14:paraId="6B84427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由于西方的某些思潮和政策对社会主义市场经济体制改革的负面影响，科学发展观的认真贯彻落实还不够。某些“泛市场化”改革措施的协调性和方向性有误，导致贫富差距过大等分配不公，权钱交易和官商勾结，官员腐化和官僚主义等为老百姓深恶痛绝的问题，长期得不到较好的解决，逐渐使老百姓对社会主义的理想信心产生怀疑，造成信仰迷失，使敌对势力的意识形态渗透有机可乘。</w:t>
      </w:r>
    </w:p>
    <w:p w14:paraId="4884A7A1">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不少体现国民凝聚力的全民所有制企业被中外私人经济所侵蚀和过度并购，引起人们思想和信仰的变化。在调查马克思主义被弱化的原因时，受访的2634人中，就有1040人认为，是因为私有经济比重越来越大的影响，占40%。</w:t>
      </w:r>
    </w:p>
    <w:p w14:paraId="4289B3C4">
      <w:pPr>
        <w:snapToGrid w:val="0"/>
        <w:spacing w:before="147" w:beforeLines="50" w:after="147" w:afterLines="50" w:line="300" w:lineRule="auto"/>
        <w:ind w:firstLine="500" w:firstLineChars="200"/>
        <w:jc w:val="center"/>
        <w:rPr>
          <w:rFonts w:ascii="宋体" w:hAnsi="宋体" w:eastAsia="宋体" w:cs="Times New Roman"/>
          <w:b/>
          <w:bCs/>
          <w:sz w:val="24"/>
        </w:rPr>
      </w:pPr>
      <w:bookmarkStart w:id="911" w:name="_Toc26922"/>
      <w:bookmarkStart w:id="912" w:name="_Toc22955"/>
      <w:bookmarkStart w:id="913" w:name="_Toc30346"/>
      <w:bookmarkStart w:id="914" w:name="_Toc25334"/>
      <w:bookmarkStart w:id="915" w:name="_Toc28226"/>
      <w:r>
        <w:rPr>
          <w:rFonts w:hint="eastAsia" w:ascii="宋体" w:hAnsi="宋体" w:eastAsia="宋体" w:cs="Times New Roman"/>
          <w:b/>
          <w:bCs/>
          <w:sz w:val="24"/>
        </w:rPr>
        <w:t>五、关于进一步加强马克思主义理论研究和建设问题的对策建议</w:t>
      </w:r>
      <w:bookmarkEnd w:id="911"/>
      <w:bookmarkEnd w:id="912"/>
      <w:bookmarkEnd w:id="913"/>
      <w:bookmarkEnd w:id="914"/>
      <w:bookmarkEnd w:id="915"/>
    </w:p>
    <w:p w14:paraId="6ABE7C0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在领导体制上，要塑造各级党政第一把手齐抓共管意识形态工作的新局面。建议中央规定各个省、市、自治区和中央各部门定期书面汇报意识形态和思想状况，从而改变意识形态工作似乎只是宣传教育部门职责和行政组织首脑不关心的传统格局，形成党政第一把手齐抓共管的新局面。</w:t>
      </w:r>
    </w:p>
    <w:p w14:paraId="431A004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在学习制度上，要形成党员领导干部和学科负责人带头学习和钻研国内外马克思主义的规章制度。建议恢复我们党在延安时期和新中国成立初期实行的“学习节”，分别规定不同层次和领域的党员、领导干部和学科负责人必读的马克思主义经典作家和领袖若干论著，并把马克思主义理论素养和水平测试作为考核领导干部的重要内容，逐步使领导干部和理论工作者成为学习、研究和宣传马克思主义的榜样。</w:t>
      </w:r>
    </w:p>
    <w:p w14:paraId="733642B3">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在理论发展上，要进一步增强党的思想理论的创新品格、求实精神和朴素文风，继续深化对马列主义和中国特色社会主义理论的系统综合性研究。在问卷调查中，受访者2711人中，有179人认为马列主义过时，占7%；有431人回答“说不清”，占16%，两项相加达23%。因此，必须进一步加强对马列主义与中国化马克思主义四大理论成果的分别研究，对广义的马克思主义整体进行系统整合，通过不断的理论创新和宣传教育，消除公众对马克思主义整体及其各个发展阶段相互关系的某些误解。现在多种提法并用，如“以马列主义、毛泽东思想、邓小平理论、‘三个代表’重要思想为指导”、“以发展着的马克思主义为指导”等，建议今后统一使用更简洁的提法，并将“三个代表”重要思想改称为“江泽民思想”或“江泽民理论”，以加强提法的规范化和对称性；有关文件的文字表述应进一步通俗化和简明化。要进一步阐明社会主义经济制度与资本主义经济制度、社会主义民主政治与资本主义民主政治、共产党与社会党、科学社会主义与社会民主主义、中国特色社会主义模式与北欧资本主义模式、代表广大人民利益的马克思主义意识形态与代表资产阶级利益的西方主流意识形态、马克思主义学术与非马克思主义学术等一系列问题上的共同点和本质区别，积极回应西方从我们党和国家的内部消解马克思主义和社会主义主流意识形态的挑战，坚持正确的理论创新方向。</w:t>
      </w:r>
    </w:p>
    <w:p w14:paraId="783D9912">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在教育内容上，要增大国际共产主义运动史和共产主义远大理想的成分。我们建议，马克思主义原理、政治经济学、科学社会主义和历史唯物主义等相关马克思主义理论教材应当明确阐述。调查发现，在看待苏东剧变原因的问题上，人们的认识是非常不统一，特别是对戈尔巴乔夫领导集团放弃社会主义而导致苏东蜕变认识不清，从而怀疑中外社会主义制度和共产党执政。在受访的2657人中，有708人认为是由于经济没有搞上去，占27%；有232人认为是由于民族关系没有处理好，占8%，；有513人认为是由于苏东国家的计划经济体制，占19%；有299人认为是由于西方和平演变，占12%；只有905人认为是由于戈尔巴乔夫领导集团放弃社会主义，占34%。因此，我们建议，在党内组织播放中纪委和中国社会科学院等编制的《居安思危——苏共亡党的历史教训》8集DVD纪录片；在科学总结“苏联解体和苏共垮台的教训及其原因”问题上，最好能够按照中央领导同志的有关讲话，发表权威文章或党内下发文件供集中学习讨论，以统一广大干部群众和理论工作者的认识。</w:t>
      </w:r>
    </w:p>
    <w:p w14:paraId="441F46F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五，在价值取向上，要不断强化社会主义核心价值体系。必须加强社会主义和谐文化建设和思想教育，巩固构建社会主义和谐社会的思想道德基础。要在思想文化建设中，坚持以马克思主义为指导和主体，正确处理马学、国学与西学之间的关系，把弘扬民族优秀文化、吸收世界先进文明成果与文化创新结合起来。只有建设好有中国特色的社会主义文化，才能固本强基，提高广大人民群众的自信力和自信心，也才能有效抵御封建主义和资本主义的腐朽思想文化侵蚀。</w:t>
      </w:r>
    </w:p>
    <w:p w14:paraId="42DD869C">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六，在所有制问题上，要巩固和加强作为共产党执政和马克思主义意识形态等上层建筑的社会主义经济基础。在调查对我国改革方向的认识时，受访的2663人中，有1716反对将逐步私有化作为我国改革的方向，占64％。调查社会主义和资本主义在经济制度上的根本区别时，受访的2694人中，有2316人认为应该以公有制为主体的，占87%。另外，调查如何巩固党的思想基础、增强党的思想理论的说服力和感召力时，受访的2598人中，有1273人认为应该巩固公有制的主体地位，只占49%。调查对社会主义与资本主义是否会逐步融合、走向趋同的看法时，受访的2655人中，有1243人认为不会走向趋同，占47%；另外，有896人认为会走向趋同，占34%，有526人回答“说不清”，占19%。面对各种认识误区和论争，我们建议采用如下创新的科学理论：坚持以公有制为主体、多种所有制经济共同发展的基本经济制度，是初级阶段社会主义社会的经济基础，而作为共产党执政的整个社会主义性质的上层建筑的经济基础，只能是社会主义公有制经济。社会主义社会的经济基础同社会主义性质的经济基础具有宽窄不一的内涵（经济成分、经济制度、上层建筑等概念也同理）。要坚持社会主义市场经济的改革方向，扭转国有经济竞争力和控制力相对下降的局面，发展和壮大公有经济，推动改革的成果由人民共享的和谐发展目标。构建社会主义和谐社会也是离不开公有制为主体这一社会主义经济基础的。</w:t>
      </w:r>
    </w:p>
    <w:p w14:paraId="3846A74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七，在宣传管理上，要多渠道地为促进马克思主义的学术研究、理论宣传和应用探讨创造条件。依据调查，受访的2700人中，还有685人认为改革开放以来党的思想理论的说服力和感召力“不强”，占25%，118人认为说服力和感召力“很差”，占4%。调查中不少同志呼吁和建议，当前的舆论引导要内紧外松地灵活调控和主动发挥新老媒体的作用，并急需做好几件事：一是有关主管部门需要改变“一刀切”审批新刊物的政策，不应限制直接以马克思主义命名的学术刊物创办（在问卷调查中，有占51.7％的1289人主张允许新办以“马克思主义”命名的学术报刊）。二是中央和省级电视台应在“百家讲坛”、“周末开讲”、“大家”、“大讲堂”等现有栏目中，增添介绍中外马克思主义、社会主义和国际共产主义运动的事件、故事、人物和思想，还可新开辟类似电视节目（问卷调查中，占65％的人赞成）。三是继续摄制一批反映重大事件或宣讲重大理论问题的政论或理论宣传电视片。四是认真做好网建、网宣和网管工作，形成网上马克思主义和正面舆论的强势，进一步扩大舆论宣传阵地。五是在中宣部已刊行《理论热点面对面》等大众通俗力作的基础上，持续推出一批符合时代精神、回答现实问题的优秀马克思主义通俗理论读物。</w:t>
      </w:r>
    </w:p>
    <w:p w14:paraId="4E82FD5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八，在组织措施上，要确保意识形态和学术单位的领导权掌握在忠于党、信仰并有创新力的马克思主义者手中。这是牢牢掌握党对意识形态和哲学社会科学工作领导权的决定性举措。在调查马克思主义被弱化的原因时，受访的2602人中，有701人认为，是由于部分思想文化部门的领导权不掌握在马克思主义者手中，已占27%；工人和科教人员中，持这种看法的人比例更高，工人占37%，科教人员占41%。不少高校教师在座谈会和专访中强烈反映，日渐增多的媒体、教育和研究单位的领导权实际掌握在西方自由主义色彩很浓的人手中。因此，建议要认真检查和全面落实中央制定的各项宣传教育、政治纪律和选聘干部的思想政治标准，进一步加大思想政治教育和组织措施的力度，确保绝大多数意识形态和学术单位的领导权，能够掌控在忠于党、信仰并具有创新能力的马克思主义者手中。“干部决定一切”，这是缓解所有问题的关键。</w:t>
      </w:r>
    </w:p>
    <w:p w14:paraId="3A31B4E0">
      <w:pPr>
        <w:spacing w:line="300" w:lineRule="auto"/>
        <w:ind w:firstLine="440" w:firstLineChars="200"/>
        <w:rPr>
          <w:rFonts w:ascii="宋体" w:hAnsi="宋体" w:eastAsia="宋体" w:cs="Times New Roman"/>
          <w:szCs w:val="21"/>
        </w:rPr>
      </w:pPr>
    </w:p>
    <w:p w14:paraId="1AEEC8D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（原载于《马克思主义研究》2008年第4期，本调研报告由中国社会科学院马克思主义研究学部课题组完成，著者为课题组组长）</w:t>
      </w:r>
    </w:p>
    <w:p w14:paraId="0B6EF42F">
      <w:pPr>
        <w:spacing w:line="300" w:lineRule="auto"/>
        <w:ind w:firstLine="440" w:firstLineChars="200"/>
        <w:rPr>
          <w:rFonts w:ascii="宋体" w:hAnsi="宋体" w:eastAsia="宋体" w:cs="Times New Roman"/>
          <w:szCs w:val="21"/>
        </w:rPr>
      </w:pPr>
      <w:r>
        <w:rPr>
          <w:rFonts w:ascii="宋体" w:hAnsi="宋体" w:eastAsia="宋体" w:cs="Times New Roman"/>
          <w:szCs w:val="21"/>
        </w:rPr>
        <w:br w:type="page"/>
      </w:r>
    </w:p>
    <w:p w14:paraId="6CD6ECB5">
      <w:pPr>
        <w:keepNext/>
        <w:keepLines/>
        <w:widowControl/>
        <w:spacing w:before="147" w:beforeLines="50" w:after="147" w:afterLines="50" w:line="300" w:lineRule="auto"/>
        <w:jc w:val="center"/>
        <w:outlineLvl w:val="1"/>
        <w:rPr>
          <w:rFonts w:ascii="Times New Roman" w:hAnsi="Times New Roman" w:eastAsia="黑体" w:cs="Times New Roman"/>
          <w:sz w:val="32"/>
          <w:szCs w:val="32"/>
        </w:rPr>
      </w:pPr>
      <w:bookmarkStart w:id="916" w:name="_Toc257922021"/>
      <w:bookmarkStart w:id="917" w:name="_Toc32025"/>
      <w:bookmarkStart w:id="918" w:name="_Toc111193696"/>
      <w:bookmarkStart w:id="919" w:name="_Toc476571041"/>
      <w:bookmarkStart w:id="920" w:name="_Toc1242816196"/>
      <w:r>
        <w:rPr>
          <w:rFonts w:ascii="Times New Roman" w:hAnsi="Times New Roman" w:eastAsia="黑体" w:cs="Times New Roman"/>
          <w:sz w:val="32"/>
          <w:szCs w:val="32"/>
        </w:rPr>
        <w:t>6</w:t>
      </w:r>
      <w:r>
        <w:rPr>
          <w:rFonts w:hint="eastAsia" w:ascii="Times New Roman" w:hAnsi="Times New Roman" w:eastAsia="黑体" w:cs="Times New Roman"/>
          <w:sz w:val="32"/>
          <w:szCs w:val="32"/>
        </w:rPr>
        <w:t>落实科学发展观要深刻认识社会主义初级阶段的理论</w:t>
      </w:r>
      <w:bookmarkEnd w:id="916"/>
      <w:bookmarkEnd w:id="917"/>
      <w:bookmarkEnd w:id="918"/>
      <w:bookmarkEnd w:id="919"/>
      <w:bookmarkEnd w:id="920"/>
    </w:p>
    <w:p w14:paraId="6476A1F8">
      <w:pPr>
        <w:spacing w:before="147" w:beforeLines="50" w:line="300" w:lineRule="auto"/>
        <w:ind w:firstLine="440" w:firstLineChars="200"/>
        <w:rPr>
          <w:rFonts w:ascii="宋体" w:hAnsi="宋体" w:eastAsia="宋体" w:cs="Times New Roman"/>
        </w:rPr>
      </w:pPr>
      <w:r>
        <w:rPr>
          <w:rFonts w:hint="eastAsia" w:ascii="宋体" w:hAnsi="宋体" w:eastAsia="宋体" w:cs="Times New Roman"/>
        </w:rPr>
        <w:t>在中国共产党的历史上，把马克思主义同中国实际和时代精神相结合，有过两次历史性飞跃，产生了两个理论成果——毛泽东思想和邓小平理论。新民主主义是毛泽东思想的精华和重要组成部分，社会主义初级阶段理论是邓小平理论体系的基石。胡锦涛同志在党的十七大报告中关于初级阶段的阐述，又进一步丰富了邓小平和江泽民同志关于社会主义初级阶段的理论。当前，不断深化对初级阶段理论和实践的认识，对于深入贯彻落实科学发展观和全面建设小康社会是十分有益的。</w:t>
      </w:r>
    </w:p>
    <w:p w14:paraId="4AFB0D30">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一、社会主义初级阶段的思想渊源和概念确立</w:t>
      </w:r>
    </w:p>
    <w:p w14:paraId="71831313">
      <w:pPr>
        <w:spacing w:line="300" w:lineRule="auto"/>
        <w:ind w:firstLine="440" w:firstLineChars="200"/>
        <w:rPr>
          <w:rFonts w:ascii="宋体" w:hAnsi="宋体" w:eastAsia="宋体" w:cs="Times New Roman"/>
        </w:rPr>
      </w:pPr>
      <w:r>
        <w:rPr>
          <w:rFonts w:hint="eastAsia" w:ascii="宋体" w:hAnsi="宋体" w:eastAsia="宋体" w:cs="Times New Roman"/>
        </w:rPr>
        <w:t>马克思在19世纪70年代明确提出，未来的共产主义社会将分为第一阶段（或低级阶段）和高级阶段两个阶段[1]。后来，列宁把共产主义第一阶段叫做社会主义社会。然而，无论是马克思称为的“第一阶段”，还是列宁称为的社会主义，都应该具备高度发达的生产力水平以及较完善的社会主义生产关系。马克思设想“第一阶段”不仅已经完全消灭了阶级和阶级的差别，消灭了商品货币关系，实现了很高水平的、统一的全社会公有制，甚至国家也变成了非阶级性国家，从而达到向共产主义过渡的条件。列宁也是如此，他强调社会主义社会是实现了生产资料公有和按劳分配、实行没有商品货币关系的计划经济、消灭了阶级（包括工农阶级差别）、国家正在消亡的社会。</w:t>
      </w:r>
    </w:p>
    <w:p w14:paraId="307F4994">
      <w:pPr>
        <w:spacing w:line="300" w:lineRule="auto"/>
        <w:ind w:firstLine="440" w:firstLineChars="200"/>
        <w:rPr>
          <w:rFonts w:ascii="宋体" w:hAnsi="宋体" w:eastAsia="宋体" w:cs="Times New Roman"/>
        </w:rPr>
      </w:pPr>
      <w:r>
        <w:rPr>
          <w:rFonts w:hint="eastAsia" w:ascii="宋体" w:hAnsi="宋体" w:eastAsia="宋体" w:cs="Times New Roman"/>
        </w:rPr>
        <w:t>按照斯大林和毛泽东关于社会主义的思想，我国在1956年社会主义改造结束后宣布基本上建立了社会主义经济制度，其依据在于我国基本建立了生产资料公有制、按劳分配和以计划经济为主导的生产关系，尽管当时社会生产力还相对落后。事实上，中国1956年以后进入的社会主义社会，与马恩列关于社会主义社会确立的标准相差还很远。关于这个问题，1957年1月毛泽东在一次讨论知识分子问题的座谈会上指出：说我们已进入了社会主义，进入是进入了，但尚未完成，不要说已经完成；我国的社会主义制度还刚刚建立，还没有完全建成，还不是完全巩固。</w:t>
      </w:r>
    </w:p>
    <w:p w14:paraId="19532EC6">
      <w:pPr>
        <w:spacing w:line="300" w:lineRule="auto"/>
        <w:ind w:firstLine="440" w:firstLineChars="200"/>
        <w:rPr>
          <w:rFonts w:ascii="宋体" w:hAnsi="宋体" w:eastAsia="宋体" w:cs="Times New Roman"/>
        </w:rPr>
      </w:pPr>
      <w:r>
        <w:rPr>
          <w:rFonts w:hint="eastAsia" w:ascii="宋体" w:hAnsi="宋体" w:eastAsia="宋体" w:cs="Times New Roman"/>
        </w:rPr>
        <w:t>那么，对于已经进入社会主义，但不够格、不完备的社会主义在理论上应给予一个什么称谓呢？马克思对共产主义第一阶段未曾再作过什么阶段的划分。列宁在《关于星期六义务劳动》一文中强调说：我们在剥夺了地主资本家之后，只获得了建设初级形式的社会主义的可能性，但是这里还丝毫没有共产主义的东西[2]。毛泽东在1958年11月郑州会议上曾经指出过：我们只是进入了不完全、不发达的社会主义，或者叫做社会主义初期阶段。很明显，列宁的“初级形式”社会主义和毛泽东的“初期阶段”，不是我们现在所提的“初级阶段”，因为还没有包含公有制为主体和市场经济体制的内容，但这些论断对初级阶段理论具有一定的思想启示，可以视做理论源头。</w:t>
      </w:r>
    </w:p>
    <w:p w14:paraId="673E84D1">
      <w:pPr>
        <w:spacing w:line="300" w:lineRule="auto"/>
        <w:ind w:firstLine="440" w:firstLineChars="200"/>
        <w:rPr>
          <w:rFonts w:ascii="宋体" w:hAnsi="宋体" w:eastAsia="宋体" w:cs="Times New Roman"/>
        </w:rPr>
      </w:pPr>
      <w:r>
        <w:rPr>
          <w:rFonts w:hint="eastAsia" w:ascii="宋体" w:hAnsi="宋体" w:eastAsia="宋体" w:cs="Times New Roman"/>
        </w:rPr>
        <w:t>遗憾的是，关于社会主义社会从“进入”到“建成期间”必须历经很长一个建设时期的理论构想，没有得到很好坚持并付诸实践。在苏联，列宁的实践过于短促，列宁逝世后苏联于1936年就宣布基本上实现了社会主义。在我国，毛泽东关于“初期阶段”的认识也没有得到很好贯彻。从20世纪50年代开始，社会主义国家兴起了一阵向共产主义过渡的浪潮，开展各种形式的运动，提出各种各样的口号，用各种方式鼓励人们的“共产主义”热情。这股思潮也影响到我国。1958年起我国开始刮“共产风”，企图跑步进入共产主义社会，使得社会主义建设事业误入歧途。</w:t>
      </w:r>
    </w:p>
    <w:p w14:paraId="3E0BFA5F">
      <w:pPr>
        <w:spacing w:line="300" w:lineRule="auto"/>
        <w:ind w:firstLine="440" w:firstLineChars="200"/>
        <w:rPr>
          <w:rFonts w:ascii="宋体" w:hAnsi="宋体" w:eastAsia="宋体" w:cs="Times New Roman"/>
        </w:rPr>
      </w:pPr>
      <w:r>
        <w:rPr>
          <w:rFonts w:hint="eastAsia" w:ascii="宋体" w:hAnsi="宋体" w:eastAsia="宋体" w:cs="Times New Roman"/>
        </w:rPr>
        <w:t>前人的理论启示，特别是历史的教训，越来越清楚地告诉人们，搞好社会主义建设的出发点，在于必须给社会主义进行科学的历史定位。传统理论与实践的弊端在于超越了历史阶段。“文革”之后，邓小平一再强调要注重对社会主义发展阶段进行再认识。1980年他在谈到新中国成立30年经验时强调指出：不要离开现实和超越阶段采取一些“左”的办法，这样是搞不成社会主义的。1987年8月在党的十三大召开前，他在会见意大利共产党领导人时指出：我们党的十三大要阐述中国社会主义是处在一个什么阶段，就是处在初级阶段，是初级阶段的社会主义。社会主义本身是共产主义的初级阶段，而我们中国又处在社会主义的初级阶段，就是不发达的阶段[3]。至此，“社会主义初级阶段”这一概念正式被确立，并被党的十四大、十五大、十六大和十七大报告所不断强调和阐发。胡锦涛同志在党的十七大报告中深刻地指出：“强调认清社会主义初级阶段基本国情，不是要妄自菲薄、自甘落后，也不是要脱离实际、急于求成，而是要坚持把它作为推进改革、谋划发展的根本依据。我们必须始终保持清醒头脑，立足社会主义初级阶段这个最大的实际，科学分析我国全面参与经济全球化的新机遇新挑战，全面认识工业化、信息化、城镇化、市场化、国际化深入发展的新形势新任务，深刻把握我国发展面临的新课题新矛盾，更加自觉地走科学发展道路，奋力开拓中国特色社会主义更为广阔的发展前景。”这就又深化了对社会主义初级阶段的认识。</w:t>
      </w:r>
    </w:p>
    <w:p w14:paraId="60B72F49">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二、初级社会主义的特定社会性质和发展程度</w:t>
      </w:r>
    </w:p>
    <w:p w14:paraId="2371874D">
      <w:pPr>
        <w:spacing w:line="300" w:lineRule="auto"/>
        <w:ind w:firstLine="440" w:firstLineChars="200"/>
        <w:rPr>
          <w:rFonts w:ascii="宋体" w:hAnsi="宋体" w:eastAsia="宋体" w:cs="Times New Roman"/>
        </w:rPr>
      </w:pPr>
      <w:r>
        <w:rPr>
          <w:rFonts w:hint="eastAsia" w:ascii="宋体" w:hAnsi="宋体" w:eastAsia="宋体" w:cs="Times New Roman"/>
        </w:rPr>
        <w:t>如何看待初级阶段的社会性质？党的十三大报告界定社会主义初级阶段有两层含义：一是表明我国社会已经是社会主义社会，我们必须坚持而不能离开社会主义。二是表明我国社会主义社会还处在初级阶段，我们必须从这个实际出发，而不能超越这个阶段。一是表明性质，二是表明程度。这里的“一”，实际是从生产关系角度界定初级阶段的社会主义特定性质；“二”，实际上是从生产力角度强调这个社会主义初级阶段还很不发达。在把握这个问题时，对“一”和“二”的关注不能偏废。现实中人们对“二”的注重往往超过了“一”，这出于对以往历史的总结和纠偏无可非议，但不能因此疏忽了“一”，因为直接对社会性质的界定，除了生产力方面的基础状况，还仍然要以生产关系的状况作为特征和标准。</w:t>
      </w:r>
    </w:p>
    <w:p w14:paraId="21978CE8">
      <w:pPr>
        <w:spacing w:line="300" w:lineRule="auto"/>
        <w:ind w:firstLine="440" w:firstLineChars="200"/>
        <w:rPr>
          <w:rFonts w:ascii="宋体" w:hAnsi="宋体" w:eastAsia="宋体" w:cs="Times New Roman"/>
        </w:rPr>
      </w:pPr>
      <w:r>
        <w:rPr>
          <w:rFonts w:hint="eastAsia" w:ascii="宋体" w:hAnsi="宋体" w:eastAsia="宋体" w:cs="Times New Roman"/>
        </w:rPr>
        <w:t>社会主义初级阶段同当代资本主义社会的本质差别，在于占主体的所有制性质不同，前者是公有制占主体，后者是私有制占主体；社会主义初级阶段同社会主义非初级阶段（或称后初级阶段），如中级阶段或高级阶段的部分质的区别，应该主要在于生产力水平不同以及由此所引起的所有制结构和生产关系不同。至于有的学者认为，目前实践中搞的社会主义初级阶段经济同新民主主义经济没有实质区别，应当恢复新民主主义的提法，这种观点还有待于继续讨论，中央没有确认这一点。</w:t>
      </w:r>
    </w:p>
    <w:p w14:paraId="5823AFCF">
      <w:pPr>
        <w:spacing w:line="300" w:lineRule="auto"/>
        <w:ind w:firstLine="440" w:firstLineChars="200"/>
        <w:rPr>
          <w:rFonts w:ascii="宋体" w:hAnsi="宋体" w:eastAsia="宋体" w:cs="Times New Roman"/>
        </w:rPr>
      </w:pPr>
      <w:r>
        <w:rPr>
          <w:rFonts w:hint="eastAsia" w:ascii="宋体" w:hAnsi="宋体" w:eastAsia="宋体" w:cs="Times New Roman"/>
        </w:rPr>
        <w:t>目前，我国的生产关系还很不完善，离马列主义阐述的社会主义所要求的生产关系还有很大距离。然而，这个逐步升华和较高程度的生产关系必须是和现实生产力相适应，是具有丰厚生产力基础的先进的生产关系，而不是人为拔高的社会主义生产关系。回顾历史，因为我们不顾生产力的状况，建立同生产力不相适应的“先进”的生产关系，加快了新民主主义向社会主义过渡，甚至企图过渡到共产主义，其结果，是使我国社会主义建设事业曲折坎坷，社会主义制度优越性不能得到充分体现。同理，如果我们现在一味不顾生产关系方面的要求，不坚持、发展和完善社会主义生产关系和基本经济制度，疏忽对此作深刻理解和正确把握，也会犯右的错误，从而有悖于坚持社会主义的方向，以致最终影响社会主义的建成。当然，就目前看，坚持社会主义方向，坚持公有制为主体的原则，必须深化对社会主义初级阶段“公有制为主体，多种所有制共同发展”这一社会所有制结构的理论研究和实践探索。如同党的十七大报告所说，“必须毫不动摇地巩固和发展公有制经济”，“必须毫不动摇地鼓励、支持和引导非公有制经济发展”，做到认识上有深化，实践上有创新。</w:t>
      </w:r>
    </w:p>
    <w:p w14:paraId="0A829475">
      <w:pPr>
        <w:spacing w:line="300" w:lineRule="auto"/>
        <w:ind w:firstLine="440" w:firstLineChars="200"/>
        <w:rPr>
          <w:rFonts w:ascii="宋体" w:hAnsi="宋体" w:eastAsia="宋体" w:cs="Times New Roman"/>
        </w:rPr>
      </w:pPr>
      <w:r>
        <w:rPr>
          <w:rFonts w:hint="eastAsia" w:ascii="宋体" w:hAnsi="宋体" w:eastAsia="宋体" w:cs="Times New Roman"/>
        </w:rPr>
        <w:t>这里特别要指出，决定初级社会主义的根本因素，在于无论从生产关系角度看，还是从生产力要求看，离完全建成社会主义，或说是结束社会主义初级阶段，尚有很长远的距离。具体地说，不仅是第二层含义中的生产力方面，程度还很低，就是第一层含义的生产关系方面，也有个程度很低的问题。要把两个方面的程度提高，则需要很长时间。因此，社会主义初级阶段是相当长期的历史阶段。党的十三大、十五大、十六大和十七大的报告再次确认这一点，并多次作了充分阐述。</w:t>
      </w:r>
    </w:p>
    <w:p w14:paraId="72F5E70D">
      <w:pPr>
        <w:spacing w:line="300" w:lineRule="auto"/>
        <w:ind w:firstLine="440" w:firstLineChars="200"/>
        <w:rPr>
          <w:rFonts w:ascii="宋体" w:hAnsi="宋体" w:eastAsia="宋体" w:cs="Times New Roman"/>
        </w:rPr>
      </w:pPr>
      <w:r>
        <w:rPr>
          <w:rFonts w:hint="eastAsia" w:ascii="宋体" w:hAnsi="宋体" w:eastAsia="宋体" w:cs="Times New Roman"/>
        </w:rPr>
        <w:t>党的十三大报告对初级阶段社会主义作了五个方面的集中阐述，这就是：（1）逐步摆脱贫穷落后；（2）逐步转变为现代化的工业国；（3）逐步转变为商品经济高度发达；（4）建立和发展充满活力的各种体制；（5）艰苦创业以实现中华民族的伟大复兴。党的十五大报告进一步对初级阶段社会主义的基本特征作了九个方面的系统概括：（1）是逐步摆脱不发达状态，基本实现社会主义现代化的历史阶段；（2）是由农业人口占很大比重，主要依靠手工劳动的农业国，逐步转变为非农业人口占多数、包含现代农业和现代服务的工业化国家的历史阶段；（3）是由自然经济半自然经济占很大比重，逐步转变为经济市场化程度较高的历史阶段；（4）是由文盲半文盲人口占很大比重、科技教育文化落后，逐步转变为科技教育文化比较发达的历史阶段；（5）是由贫困人口占很大比重、人民生活水平比较低，逐步转变为全体人民比较富裕的历史阶段；（6）是由地区经济文化很不平衡，通过有先有后的发展，逐步缩小差距的历史阶段；（7）是通过改革和探索，建立和完善比较成熟的充满活力的社会主义市场经济体制、社会主义民主政治体制和其他方面体制的历史阶段；（8）是广大人民牢固树立建设中国特色社会主义共同理想，自强不息，锐意进取，艰苦奋斗，勤俭建国，在建设物质文明的同时努力建设精神文明的历史阶段；（9）是逐步缩小同世界先进水平的差距，在社会主义基础上实现中华民族伟大复兴的历史阶段。党的十六大报告在阐述社会主义初级阶段的状况时又指出七点：“我国生产力和科技、教育还比较落后，实现工业化和现代化还有很长的路要走；城乡二元经济结构还没有改变，地区差距扩大的趋势尚未扭转，贫困人口还为数不少；人口总量继续增加，老龄人口比重上升，就业和社会保障压力增大；生态环境、自然资源和经济社会发展的矛盾日益突出；我们仍然面临发达国家在经济科技等方面占优势的压力；经济体制和其他方面的管理体制还不完善；民主法制建设和思想道德建设等方面还存在一些不容忽视的问题。”因此，党的十六大通过的新党章再次确认：“我国正处于并将长期处于社会主义初级阶段。这是在经济文化落后的中国建设社会主义现代化不可逾越的历史阶段，需要上百年的时间。”</w:t>
      </w:r>
    </w:p>
    <w:p w14:paraId="09A97307">
      <w:pPr>
        <w:spacing w:line="300" w:lineRule="auto"/>
        <w:ind w:firstLine="440" w:firstLineChars="200"/>
        <w:rPr>
          <w:rFonts w:ascii="宋体" w:hAnsi="宋体" w:eastAsia="宋体" w:cs="Times New Roman"/>
        </w:rPr>
      </w:pPr>
      <w:r>
        <w:rPr>
          <w:rFonts w:hint="eastAsia" w:ascii="宋体" w:hAnsi="宋体" w:eastAsia="宋体" w:cs="Times New Roman"/>
        </w:rPr>
        <w:t>党的十七大报告对初级社会主义社会进入新世纪新阶段后呈现一系列新的阶段性特征作了实事求是的阐述，主要是：“经济实力显著增强，同时生产力水平总体上还不高，自主创新能力还不强，长期形成的结构性矛盾和粗放型增长方式尚未根本改变；社会主义市场经济体制初步建立，同时影响发展的体制机制障碍依然存在，改革攻坚面临深层次矛盾和问题；人民生活总体上达到小康水平，同时收入分配差距拉大趋势还未根本扭转，城乡贫困人口和低收入人口还有相当数量，统筹兼顾各方面利益难度加大；协调发展取得显著成绩，同时农业基础薄弱、农村发展滞后的局面尚未改变，缩小城乡、区域发展差距和促进经济社会协调发展任务艰巨；社会主义民主政治不断发展、依法治国基本方略扎实贯彻，同时民主法制建设与扩大人民民主和经济社会发展的要求还不完全适应，政治体制改革需要继续深化；社会主义文化更加繁荣，同时人民精神文化需求日趋旺盛，人们思想活动的独立性、选择性、多变性、差异性明显增强，对发展社会主义先进文化提出了更高要求；社会活力显著增强，同时社会结构、社会组织形式、社会利益格局发生深刻变化，社会建设和管理面临诸多新课题；对外开放日益扩大，同时面临的国际竞争日趋激烈，发达国家在经济科技上占优势的压力长期存在，可以预见和难以预见的风险增多，统筹国内发展和对外开放要求更高。这些情况表明，经过新中国成立以来特别是改革开放以来的不懈努力，我国取得了举世瞩目的发展成就，从生产力到生产关系、从经济基础到上层建筑都发生了意义深远的重大变化，但我国仍处于并将长期处于社会主义初级阶段的基本国情没有变，人民日益增长的物质文化需要同落后的社会生产之间的矛盾这一社会主要矛盾没有变。当前我国发展的阶段性特征，是社会主义初级阶段基本国情在新世纪新阶段的具体表现。”</w:t>
      </w:r>
    </w:p>
    <w:p w14:paraId="6D807FFC">
      <w:pPr>
        <w:spacing w:line="300" w:lineRule="auto"/>
        <w:ind w:firstLine="440" w:firstLineChars="200"/>
        <w:rPr>
          <w:rFonts w:ascii="宋体" w:hAnsi="宋体" w:eastAsia="宋体" w:cs="Times New Roman"/>
        </w:rPr>
      </w:pPr>
      <w:r>
        <w:rPr>
          <w:rFonts w:hint="eastAsia" w:ascii="宋体" w:hAnsi="宋体" w:eastAsia="宋体" w:cs="Times New Roman"/>
        </w:rPr>
        <w:t>应该说，党的十三大、十五大和十六大报告，对社会主义初级阶段特征和任务的阐述，都不仅包括了生产力方面的内容，而且还包括了生产关系和上层建筑方面的内容。此外，无论是党的十三大报告中的三个“逐步”，党的十五大报告中的七个“逐步”，党的十六大报告中的七个要逐步摆脱的状况，还是党的十七大报告中的“八个同时”，加上四个报告中所使用的其他量度性很强的词汇，都深刻表明了完成初级阶段历史使命的长期性，这需要几代人共同为之努力奋斗。</w:t>
      </w:r>
    </w:p>
    <w:p w14:paraId="2E44ABAA">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三、立足初级阶段和基本路线，全面建设中国特色社会主义</w:t>
      </w:r>
    </w:p>
    <w:p w14:paraId="2699B53B">
      <w:pPr>
        <w:spacing w:line="300" w:lineRule="auto"/>
        <w:ind w:firstLine="440" w:firstLineChars="200"/>
        <w:rPr>
          <w:rFonts w:ascii="宋体" w:hAnsi="宋体" w:eastAsia="宋体" w:cs="Times New Roman"/>
        </w:rPr>
      </w:pPr>
      <w:r>
        <w:rPr>
          <w:rFonts w:hint="eastAsia" w:ascii="宋体" w:hAnsi="宋体" w:eastAsia="宋体" w:cs="Times New Roman"/>
        </w:rPr>
        <w:t>建设中国特色的社会主义，这个命题表明要有特色地建设社会主义。“特色”的基本含义，便是把马克思主义基本原理与“世情”，特别是“国情”和“党情”相结合，建设社会主义走出自己的独特道路，既不是步苏东国家后尘而倒退到资本主义经济政治文化制度去，也不是固守中国传统社会主义模式。为此，必须坚定不移地立足初级阶段来建设社会主义，以实现十七大所强调的2020年实现全面建成小康社会的奋斗目标。这就是：“我们已经朝着十六大确立的全面建设小康社会的目标迈出了坚实步伐，今后要继续努力奋斗，确保到二○二○年实现全面建成小康社会的奋斗目标</w:t>
      </w:r>
      <w:r>
        <w:rPr>
          <w:rFonts w:hint="eastAsia" w:ascii="宋体" w:hAnsi="宋体" w:eastAsia="宋体" w:cs="Cambria Math"/>
        </w:rPr>
        <w:t>，</w:t>
      </w:r>
      <w:r>
        <w:rPr>
          <w:rFonts w:hint="eastAsia" w:ascii="宋体" w:hAnsi="宋体" w:eastAsia="宋体" w:cs="Times New Roman"/>
        </w:rPr>
        <w:t>到二○二○年全面建设小康社会目标实现之时</w:t>
      </w:r>
      <w:r>
        <w:rPr>
          <w:rFonts w:ascii="宋体" w:hAnsi="宋体" w:eastAsia="宋体" w:cs="Times New Roman"/>
        </w:rPr>
        <w:t>，</w:t>
      </w:r>
      <w:r>
        <w:rPr>
          <w:rFonts w:hint="eastAsia" w:ascii="宋体" w:hAnsi="宋体" w:eastAsia="宋体" w:cs="Times New Roman"/>
        </w:rPr>
        <w:t>我们这个历史悠久的文明古国和发展中社会主义大国，将成为工业化基本实现、综合国力显著增强、国内市场总体规模位居世界前列的国家，成为人民富裕程度普遍提高、生活质量明显改善、生态环境良好的国家，成为人民享有更加充分民主权利、具有更高文明素质和精神追求的国家，成为各方面制度更加完善、社会更加充满活力而又安定团结的国家，成为对外更加开放、更加具有亲和力、为人类文明作出更大贡献的国家。”</w:t>
      </w:r>
    </w:p>
    <w:p w14:paraId="67835278">
      <w:pPr>
        <w:spacing w:line="300" w:lineRule="auto"/>
        <w:ind w:firstLine="440" w:firstLineChars="200"/>
        <w:rPr>
          <w:rFonts w:ascii="宋体" w:hAnsi="宋体" w:eastAsia="宋体" w:cs="Times New Roman"/>
        </w:rPr>
      </w:pPr>
      <w:r>
        <w:rPr>
          <w:rFonts w:hint="eastAsia" w:ascii="宋体" w:hAnsi="宋体" w:eastAsia="宋体" w:cs="Times New Roman"/>
        </w:rPr>
        <w:t>立足初级阶段来全面进行中国特色社会主义经济、政治、文化和社会“四位一体”的建设，就必须坚持党在社会主义初级阶段的基本路线和基本纲领。党的基本路线是党在一定历史时期为解决社会主要矛盾而制定的行动纲领，是总揽全局的根本指导方针，是党制定各项具体方针、政策的依据，是全党统一思想统一行动的基础。</w:t>
      </w:r>
    </w:p>
    <w:p w14:paraId="482B176E">
      <w:pPr>
        <w:spacing w:line="300" w:lineRule="auto"/>
        <w:ind w:firstLine="440" w:firstLineChars="200"/>
        <w:rPr>
          <w:rFonts w:ascii="宋体" w:hAnsi="宋体" w:eastAsia="宋体" w:cs="Times New Roman"/>
        </w:rPr>
      </w:pPr>
      <w:r>
        <w:rPr>
          <w:rFonts w:hint="eastAsia" w:ascii="宋体" w:hAnsi="宋体" w:eastAsia="宋体" w:cs="Times New Roman"/>
        </w:rPr>
        <w:t>在我党历史上，曾经提出过五次基本路线或总路线。一是在民主革命时期，我们党提出了新民主主义革命时期的总路线，取得了新民主主义革命的伟大胜利。二是新中国成立以后，1952年下半年开始提出，1953年作了完整表述的，从新民主主义到社会主义过渡时期的总路线，取得了社会主义改造的成功，建立了社会主义基本制度。三是1956年9月提出的党的八大“路线”，可惜，这条正确路线不久就被放弃了。四是1958年党的八大二次会议通过的“鼓足干劲、力争上游、多快好省地建设社会主义”的总路线。这条路线虽然反映了人民群众迫切要求改变我国经济文化落后面貌的愿望，但带有急于求成的“左”的指导思想色彩，结果导致了“大跃进”等失误。五是1962年党的八届十中全会上，毛泽东强调社会主义社会还存在着阶级、阶级矛盾和阶级斗争，存在着社会主义同资本主义两条道路的斗争，存在着资本主义复辟的危险性，并提出了“以阶级斗争为纲”的基本路线。这条基本路线导致了“文化大革命”这一全局性、长时间的“左”倾严重错误，给国家和人民带来了深重的灾难。可见，我党制定的基本路线的正确与否，均会给党、祖国和人民的命运和前途形成重大的影响。</w:t>
      </w:r>
    </w:p>
    <w:p w14:paraId="40B1FF7D">
      <w:pPr>
        <w:spacing w:line="300" w:lineRule="auto"/>
        <w:ind w:firstLine="440" w:firstLineChars="200"/>
        <w:rPr>
          <w:rFonts w:ascii="宋体" w:hAnsi="宋体" w:eastAsia="宋体" w:cs="Times New Roman"/>
        </w:rPr>
      </w:pPr>
      <w:r>
        <w:rPr>
          <w:rFonts w:hint="eastAsia" w:ascii="宋体" w:hAnsi="宋体" w:eastAsia="宋体" w:cs="Times New Roman"/>
        </w:rPr>
        <w:t>党的十一届三中全会以后，我党不断深化对初级阶段和初级阶段主要矛盾等的认识，1987年10月党的十三大系统地阐述了社会主义初级阶段理论，并在总结历史经验教训的基础上，明确完整地概括了党在社会主义初级阶段的基本路线，即“领导和团结全国各族人民，以经济建设为中心，坚持四项基本原则，坚持改革开放，自力更生，艰苦创业，为把我国建设成为富强、民主、文明的社会主义现代化国家而奋斗”。</w:t>
      </w:r>
    </w:p>
    <w:p w14:paraId="6B1FFCDB">
      <w:pPr>
        <w:spacing w:line="300" w:lineRule="auto"/>
        <w:ind w:firstLine="440" w:firstLineChars="200"/>
        <w:rPr>
          <w:rFonts w:ascii="宋体" w:hAnsi="宋体" w:eastAsia="宋体" w:cs="Times New Roman"/>
        </w:rPr>
      </w:pPr>
      <w:r>
        <w:rPr>
          <w:rFonts w:hint="eastAsia" w:ascii="宋体" w:hAnsi="宋体" w:eastAsia="宋体" w:cs="Times New Roman"/>
        </w:rPr>
        <w:t>党的十三大以后我党一直坚持这条正确的基本路线，在社会生产力发展、人民生活水平和综合国力提高等各层面均取得了举世瞩目的伟大成就。在党的十六大上，江泽民同志再次强调全党要毫不动摇地坚持党在初级阶段社会主义的基本路线，把以经济建设为中心同四项基本原则、改革开放这两个基本点统一到建设中国特色社会主义的伟大实践之中，并且提出了“全面建设小康社会的目标”和“本世纪头二十年经济建设和改革的主要任务”，从而科学地描绘出初级社会主义新的发展面貌和宏伟蓝图，也就是说，全面建设小康社会是我国社会主义初级阶段中一个十分重要的新阶段。</w:t>
      </w:r>
    </w:p>
    <w:p w14:paraId="62ACBEAB">
      <w:pPr>
        <w:spacing w:line="300" w:lineRule="auto"/>
        <w:ind w:firstLine="440" w:firstLineChars="200"/>
        <w:rPr>
          <w:rFonts w:ascii="宋体" w:hAnsi="宋体" w:eastAsia="宋体" w:cs="Times New Roman"/>
        </w:rPr>
      </w:pPr>
      <w:r>
        <w:rPr>
          <w:rFonts w:hint="eastAsia" w:ascii="宋体" w:hAnsi="宋体" w:eastAsia="宋体" w:cs="Times New Roman"/>
        </w:rPr>
        <w:t>面对新世纪新阶段，党的十七大报告正确地指出：“科学发展观，是立足社会主义初级阶段基本国情，总结我国发展实践，借鉴国外发展经验，适应新的发展要求提出来的。”又强调：“深入贯彻落实科学发展观，要求我们始终坚持‘一个中心、两个基本点’的基本路线。党的基本路线是党和国家的生命线，是实现科学发展的政治保证。以经济建设为中心是兴国之要，是我们党、我们国家兴旺发达和长治久安的根本要求；四项基本原则是立国之本，是我们党、我们国家生存发展的政治基石；改革开放是强国之路，是我们党、我们国家发展进步的活力源泉。要坚持把以经济建设为中心同四项基本原则、改革开放这两个基本点统一于发展中国特色社会主义的伟大实践，任何时候都决不能动摇。”</w:t>
      </w:r>
    </w:p>
    <w:p w14:paraId="76AC8572">
      <w:pPr>
        <w:spacing w:line="300" w:lineRule="auto"/>
        <w:ind w:firstLine="440" w:firstLineChars="200"/>
        <w:rPr>
          <w:rFonts w:ascii="宋体" w:hAnsi="宋体" w:eastAsia="宋体" w:cs="Times New Roman"/>
        </w:rPr>
      </w:pPr>
      <w:r>
        <w:rPr>
          <w:rFonts w:hint="eastAsia" w:ascii="宋体" w:hAnsi="宋体" w:eastAsia="宋体" w:cs="Times New Roman"/>
        </w:rPr>
        <w:t>我们坚信，在中国共产党领导下，立足基本国情，以经济建设为中心，坚持四项基本原则，坚持改革开放，解放和发展社会生产力，巩固和完善社会主义制度，建设社会主义市场经济、社会主义民主政治、社会主义先进文化、社会主义和谐社会，建设富强民主文明和谐的社会主义现代化国家的宏伟目标一定能够早日实现。</w:t>
      </w:r>
    </w:p>
    <w:p w14:paraId="69744E90">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四、结语：中国特色社会主义关于初级阶段经济观的独创性</w:t>
      </w:r>
    </w:p>
    <w:p w14:paraId="07377EE2">
      <w:pPr>
        <w:spacing w:line="300" w:lineRule="auto"/>
        <w:ind w:firstLine="440" w:firstLineChars="200"/>
        <w:rPr>
          <w:rFonts w:ascii="宋体" w:hAnsi="宋体" w:eastAsia="宋体" w:cs="Times New Roman"/>
        </w:rPr>
      </w:pPr>
      <w:r>
        <w:rPr>
          <w:rFonts w:hint="eastAsia" w:ascii="宋体" w:hAnsi="宋体" w:eastAsia="宋体" w:cs="Times New Roman"/>
        </w:rPr>
        <w:t>在近现代政治经济学和科学社会主义发展史上，邓小平创立的中国特色社会主义理论关于初级社会主义的经济观具有独创性和新颖性。其初级社会主义经济观及其制度公式=公有制主体+按劳分配主体+调控型市场经济。具体说来，就是在所有制结构层面，实行市场化的多种公有制并占主体，保持在质上和量上的优势，同时发展各类非公有制经济，成为所有制结构中的辅体。在分配结构层面，实行市场型的多种按劳分配并占主体，同时发展各类按资分配，成为分配结构中的辅体。在资源配置或调节机制层面，实行以市场调节为基础的市场经济制度，同时保持较强的国家调节。</w:t>
      </w:r>
    </w:p>
    <w:p w14:paraId="04B4CE6F">
      <w:pPr>
        <w:spacing w:line="300" w:lineRule="auto"/>
        <w:ind w:firstLine="440" w:firstLineChars="200"/>
        <w:rPr>
          <w:rFonts w:ascii="宋体" w:hAnsi="宋体" w:eastAsia="宋体" w:cs="Times New Roman"/>
        </w:rPr>
      </w:pPr>
      <w:r>
        <w:rPr>
          <w:rFonts w:hint="eastAsia" w:ascii="宋体" w:hAnsi="宋体" w:eastAsia="宋体" w:cs="Times New Roman"/>
        </w:rPr>
        <w:t>中国特色社会主义关于初级社会主义的经济制度观具有重要的理论和实践意义，打破了西方学界和政界至今仍占主流的近现代经济学和政治学的陈腐教条，把作为主体的公有制度与市场经济制度相结合。若操作得当，社会主义或公有制可以比资本主义或私有制更适合市场经济制度，产生更高的整体绩效和社会公平。</w:t>
      </w:r>
    </w:p>
    <w:p w14:paraId="0C0EFE6D">
      <w:pPr>
        <w:spacing w:line="300" w:lineRule="auto"/>
        <w:ind w:firstLine="440" w:firstLineChars="200"/>
        <w:rPr>
          <w:rFonts w:ascii="宋体" w:hAnsi="宋体" w:eastAsia="宋体" w:cs="Times New Roman"/>
        </w:rPr>
      </w:pPr>
      <w:r>
        <w:rPr>
          <w:rFonts w:hint="eastAsia" w:ascii="宋体" w:hAnsi="宋体" w:eastAsia="宋体" w:cs="Times New Roman"/>
        </w:rPr>
        <w:t>难解的问题在于：中国特色社会主义的这一独创性理论同以前的马克思主义经典理论是什么关系呢？马克思、恩格斯和列宁的社会主义经济制度观及其公式=完全社会所有制+完全社会按劳分配+完全计划经济。那种认为列宁主张社会主义有商品生产和商品交换的看法是不精确的，因为列宁与马克思和恩格斯一样，强调在从资本主义社会向社会主义社会过渡的时期，才存在商品货币关系。而斯大林和毛泽东降低了社会主义的经济制度标准，其社会主义经济制度观及其公式=两种公有制+货币型按劳分配+商品型计划经济。</w:t>
      </w:r>
    </w:p>
    <w:p w14:paraId="6BA3652C">
      <w:pPr>
        <w:spacing w:line="300" w:lineRule="auto"/>
        <w:ind w:firstLine="440" w:firstLineChars="200"/>
        <w:rPr>
          <w:rFonts w:ascii="宋体" w:hAnsi="宋体" w:eastAsia="宋体" w:cs="Times New Roman"/>
        </w:rPr>
      </w:pPr>
      <w:r>
        <w:rPr>
          <w:rFonts w:hint="eastAsia" w:ascii="宋体" w:hAnsi="宋体" w:eastAsia="宋体" w:cs="Times New Roman"/>
        </w:rPr>
        <w:t>笔者的独特研究看法是：上述马克思主义经典作家关于进入社会主义起点标志的不同观点，属于三种科学社会主义及其经济制度观。由于划分标准的独特性，因而狭义的三种科学社会主义观都是可以成立的，各个社会主义国家可以自由选择（越南实行“定向社会主义的市场经济”，就选择了马、恩、列这种社会主义观），并不妨碍广义社会主义的建设和改革。不过，我们没有必要用其中的一种理论去有意贬低或否定另外两种理论，因为它们属于划分标准的分歧，而非社会发展本质和最终方向的区别。中国特色社会主义关于初级社会主义经济观的真正贡献，在于共产党执政后不是急于消灭市场经济和私有制，而是有效地利用它们去为社会主义服务。</w:t>
      </w:r>
    </w:p>
    <w:p w14:paraId="7F78B565">
      <w:pPr>
        <w:spacing w:line="300" w:lineRule="auto"/>
        <w:ind w:firstLine="440" w:firstLineChars="200"/>
        <w:rPr>
          <w:rFonts w:ascii="宋体" w:hAnsi="宋体" w:eastAsia="宋体" w:cs="Times New Roman"/>
        </w:rPr>
      </w:pPr>
      <w:r>
        <w:rPr>
          <w:rFonts w:hint="eastAsia" w:ascii="宋体" w:hAnsi="宋体" w:eastAsia="宋体" w:cs="Times New Roman"/>
        </w:rPr>
        <w:t>应当指出，邓小平创立的关于初级社会主义经济制度和社会主义本质的理论，同当代社会党国际的民主社会主义或社会民主主义理论倒有本质上的区别。后者认为，社会主义的制度特征和本质是“自由、公正、互助”。自由是指每个人都可以发展自己的个性，参与政治、经济和文化活动；公正是指每个人所享有的各种机会均等，其中包括社会保障、财产和收入以及权利的平等分配；互助是指个人之间相互乐于彼此承担责任，使别人获得与自己同等的平等和自由权利。国内个别学者与此相似的新表述为：社会主义=社会公正+市场经济。实际上，此类貌似新颖的表述背离了中国特色社会主义的经济观，抛弃了公有制和按劳分配占主体，其结果，不可能较充分地实现“自由、公正、互助”，也不可能建设好社会主义类型和性质的市场经济，并影响社会主义民主政治、先进文化和和谐社会的全面建设。</w:t>
      </w:r>
    </w:p>
    <w:p w14:paraId="4583C3D5">
      <w:pPr>
        <w:ind w:firstLine="440" w:firstLineChars="200"/>
        <w:rPr>
          <w:rFonts w:ascii="宋体" w:hAnsi="宋体" w:eastAsia="宋体" w:cs="Times New Roman"/>
        </w:rPr>
      </w:pPr>
    </w:p>
    <w:p w14:paraId="6A3CCD46">
      <w:pPr>
        <w:ind w:firstLine="440" w:firstLineChars="200"/>
        <w:rPr>
          <w:rFonts w:ascii="宋体" w:hAnsi="宋体" w:eastAsia="宋体" w:cs="Times New Roman"/>
          <w:b/>
        </w:rPr>
      </w:pPr>
      <w:r>
        <w:rPr>
          <w:rFonts w:hint="eastAsia" w:ascii="宋体" w:hAnsi="宋体" w:eastAsia="宋体" w:cs="Times New Roman"/>
          <w:b/>
        </w:rPr>
        <w:t>参考文献：</w:t>
      </w:r>
    </w:p>
    <w:p w14:paraId="092F1671">
      <w:pPr>
        <w:ind w:firstLine="380" w:firstLineChars="200"/>
        <w:rPr>
          <w:rFonts w:ascii="宋体" w:hAnsi="宋体" w:eastAsia="宋体" w:cs="Times New Roman"/>
          <w:sz w:val="18"/>
          <w:szCs w:val="18"/>
        </w:rPr>
      </w:pPr>
      <w:r>
        <w:rPr>
          <w:rFonts w:hint="eastAsia" w:ascii="宋体" w:hAnsi="宋体" w:eastAsia="宋体" w:cs="Times New Roman"/>
          <w:sz w:val="18"/>
          <w:szCs w:val="18"/>
        </w:rPr>
        <w:t>[1]中共中央马克思恩格斯列宁斯大林著作编译局.马克思恩格斯选集（第三卷）[M]，北京：人民出版社，1995.</w:t>
      </w:r>
    </w:p>
    <w:p w14:paraId="53FF173A">
      <w:pPr>
        <w:ind w:firstLine="380" w:firstLineChars="200"/>
        <w:rPr>
          <w:rFonts w:ascii="宋体" w:hAnsi="宋体" w:eastAsia="宋体" w:cs="Times New Roman"/>
          <w:sz w:val="18"/>
          <w:szCs w:val="18"/>
        </w:rPr>
      </w:pPr>
      <w:r>
        <w:rPr>
          <w:rFonts w:hint="eastAsia" w:ascii="宋体" w:hAnsi="宋体" w:eastAsia="宋体" w:cs="Times New Roman"/>
          <w:sz w:val="18"/>
          <w:szCs w:val="18"/>
        </w:rPr>
        <w:t>[2]列宁.关于星斯六义务劳动[M]，北京：人民出版社，1975.</w:t>
      </w:r>
    </w:p>
    <w:p w14:paraId="1792ADD0">
      <w:pPr>
        <w:ind w:firstLine="380" w:firstLineChars="200"/>
        <w:rPr>
          <w:rFonts w:ascii="宋体" w:hAnsi="宋体" w:eastAsia="宋体" w:cs="Times New Roman"/>
          <w:sz w:val="18"/>
          <w:szCs w:val="18"/>
        </w:rPr>
      </w:pPr>
      <w:r>
        <w:rPr>
          <w:rFonts w:hint="eastAsia" w:ascii="宋体" w:hAnsi="宋体" w:eastAsia="宋体" w:cs="Times New Roman"/>
          <w:sz w:val="18"/>
          <w:szCs w:val="18"/>
        </w:rPr>
        <w:t>[3]中共中央文献编辑委员会.邓小平文选（第三卷）[M]，北京：人民出版社，1993.</w:t>
      </w:r>
    </w:p>
    <w:p w14:paraId="2C370591">
      <w:pPr>
        <w:ind w:firstLine="440" w:firstLineChars="200"/>
        <w:rPr>
          <w:rFonts w:ascii="宋体" w:hAnsi="宋体" w:eastAsia="宋体" w:cs="Times New Roman"/>
        </w:rPr>
      </w:pPr>
    </w:p>
    <w:p w14:paraId="413F0287">
      <w:pPr>
        <w:ind w:firstLine="440" w:firstLineChars="200"/>
        <w:rPr>
          <w:rFonts w:ascii="宋体" w:hAnsi="宋体" w:eastAsia="宋体" w:cs="Times New Roman"/>
        </w:rPr>
      </w:pPr>
      <w:r>
        <w:rPr>
          <w:rFonts w:hint="eastAsia" w:ascii="宋体" w:hAnsi="宋体" w:eastAsia="宋体" w:cs="Times New Roman"/>
        </w:rPr>
        <w:t>（原载《河南社会科学》2008年第3期）</w:t>
      </w:r>
    </w:p>
    <w:p w14:paraId="230F03BF">
      <w:pPr>
        <w:bidi w:val="0"/>
      </w:pPr>
      <w:r>
        <w:br w:type="page"/>
      </w:r>
    </w:p>
    <w:p w14:paraId="6C70BE1B">
      <w:pPr>
        <w:spacing w:line="360" w:lineRule="auto"/>
        <w:ind w:firstLine="660" w:firstLineChars="200"/>
        <w:jc w:val="center"/>
        <w:outlineLvl w:val="1"/>
        <w:rPr>
          <w:rFonts w:ascii="黑体" w:hAnsi="黑体" w:eastAsia="黑体" w:cs="Times New Roman"/>
          <w:sz w:val="32"/>
          <w:szCs w:val="32"/>
        </w:rPr>
      </w:pPr>
      <w:bookmarkStart w:id="921" w:name="_Toc29872"/>
      <w:bookmarkStart w:id="922" w:name="_Toc111193697"/>
      <w:bookmarkStart w:id="923" w:name="_Toc1762966424"/>
      <w:bookmarkStart w:id="924" w:name="_Toc1585855450"/>
      <w:r>
        <w:rPr>
          <w:rFonts w:hint="eastAsia" w:ascii="黑体" w:hAnsi="黑体" w:eastAsia="黑体" w:cs="Times New Roman"/>
          <w:sz w:val="32"/>
          <w:szCs w:val="32"/>
        </w:rPr>
        <w:t>7解放思想不是无原则的</w:t>
      </w:r>
      <w:bookmarkEnd w:id="921"/>
      <w:bookmarkEnd w:id="922"/>
      <w:bookmarkEnd w:id="923"/>
      <w:bookmarkEnd w:id="924"/>
    </w:p>
    <w:p w14:paraId="166A5312">
      <w:pPr>
        <w:spacing w:before="147" w:beforeLines="50" w:after="147" w:afterLines="50" w:line="300" w:lineRule="auto"/>
        <w:ind w:firstLine="440" w:firstLineChars="200"/>
        <w:rPr>
          <w:rFonts w:ascii="宋体" w:hAnsi="宋体" w:eastAsia="宋体" w:cs="Times New Roman"/>
          <w:szCs w:val="21"/>
        </w:rPr>
      </w:pPr>
      <w:r>
        <w:rPr>
          <w:rFonts w:hint="eastAsia" w:ascii="宋体" w:hAnsi="宋体" w:eastAsia="宋体" w:cs="Times New Roman"/>
          <w:szCs w:val="21"/>
        </w:rPr>
        <w:t>回顾历史是为了面对现实。真理标准问题的讨论告诉我们，要推进中国特色社会主义伟大事业的不断发展，解放思想一刻也不能停止。新时期的解放思想应该突出这样几个方面的内容：第一，要继续破除迷信，反对本本主义。反对本本主义，不仅要反对对马克思主义教条式的理解，也要反对洋教条、反对食洋不化。第二，要坚持实践是检验真理的唯一标准，鼓励大胆探索、实验和创新。面对全球化，新情况、新问题、新矛盾层出不穷，需要我们在不断探索发展的新路径、新方法、新措施的过程中，形成符合科学发展的新观念、新价值、新理论。第三，要使每个人，特别是领导干部的思想得到解放，也就是说要有独立思考、批判思维和创造能力。领导干部思想解放的程度直接决定着整个社会思想解放的程度，领导干部思想解放的关键，在于通过培育独立思考的精神和科学批判精神，形成不断促进社会进步的创造能力。第四，要坚持马克思主义特别是坚持当代中国的马克思主义。解放思想不是无原则的，更不是解构马克思主义或者解体马克思主义，而是在马克思主义指导下的解放思想。邓小平同志明确指出：“解放思想，是指在马克思主义指导下打破习惯势力和主观偏见的束缚，研究新情况，解决新问题。”没有马克思主义作指导的所谓思想解放只能导致思想的混乱，而不可能达到真理的彼岸。</w:t>
      </w:r>
    </w:p>
    <w:p w14:paraId="0B7EBF91">
      <w:pPr>
        <w:spacing w:before="147" w:beforeLines="50" w:after="147" w:afterLines="50" w:line="300" w:lineRule="auto"/>
        <w:ind w:firstLine="440" w:firstLineChars="200"/>
        <w:rPr>
          <w:rFonts w:ascii="宋体" w:hAnsi="宋体" w:eastAsia="宋体" w:cs="Times New Roman"/>
          <w:szCs w:val="21"/>
        </w:rPr>
      </w:pPr>
      <w:r>
        <w:rPr>
          <w:rFonts w:hint="eastAsia" w:ascii="宋体" w:hAnsi="宋体" w:eastAsia="宋体" w:cs="Times New Roman"/>
          <w:szCs w:val="21"/>
        </w:rPr>
        <w:t>纪念真理标准问题的讨论，在今天就是要求我们做科学发展的坚定实践者、科学发展观的忠实执行者。当前，在贯彻落实科学发展观的过程中还存在着不少阻碍因素，包括一些旧的发展观念和旧的体制观念。做科学发展的坚定实践者、科学发展观的忠实执行者，就要努力破除这些旧观念、旧框框。</w:t>
      </w:r>
    </w:p>
    <w:p w14:paraId="0234166A">
      <w:pPr>
        <w:spacing w:before="147" w:beforeLines="50" w:after="147" w:afterLines="50" w:line="300" w:lineRule="auto"/>
        <w:rPr>
          <w:rFonts w:ascii="宋体" w:hAnsi="宋体" w:eastAsia="宋体" w:cs="Times New Roman"/>
          <w:szCs w:val="21"/>
        </w:rPr>
      </w:pPr>
      <w:r>
        <w:rPr>
          <w:rFonts w:hint="eastAsia" w:ascii="宋体" w:hAnsi="宋体" w:eastAsia="宋体" w:cs="Times New Roman"/>
          <w:szCs w:val="21"/>
        </w:rPr>
        <w:t>（原载《社会科学报》2</w:t>
      </w:r>
      <w:r>
        <w:rPr>
          <w:rFonts w:ascii="宋体" w:hAnsi="宋体" w:eastAsia="宋体" w:cs="Times New Roman"/>
          <w:szCs w:val="21"/>
        </w:rPr>
        <w:t>008</w:t>
      </w:r>
      <w:r>
        <w:rPr>
          <w:rFonts w:hint="eastAsia" w:ascii="宋体" w:hAnsi="宋体" w:eastAsia="宋体" w:cs="Times New Roman"/>
          <w:szCs w:val="21"/>
        </w:rPr>
        <w:t>年5月2</w:t>
      </w:r>
      <w:r>
        <w:rPr>
          <w:rFonts w:ascii="宋体" w:hAnsi="宋体" w:eastAsia="宋体" w:cs="Times New Roman"/>
          <w:szCs w:val="21"/>
        </w:rPr>
        <w:t>9</w:t>
      </w:r>
      <w:r>
        <w:rPr>
          <w:rFonts w:hint="eastAsia" w:ascii="宋体" w:hAnsi="宋体" w:eastAsia="宋体" w:cs="Times New Roman"/>
          <w:szCs w:val="21"/>
        </w:rPr>
        <w:t>日）</w:t>
      </w:r>
    </w:p>
    <w:p w14:paraId="2ADB5E68">
      <w:pPr>
        <w:spacing w:before="147" w:beforeLines="50" w:after="147" w:afterLines="50" w:line="300" w:lineRule="auto"/>
        <w:ind w:firstLine="660" w:firstLineChars="200"/>
        <w:jc w:val="center"/>
        <w:outlineLvl w:val="1"/>
        <w:rPr>
          <w:rFonts w:ascii="黑体" w:hAnsi="黑体" w:eastAsia="黑体" w:cstheme="majorBidi"/>
          <w:sz w:val="32"/>
          <w:szCs w:val="32"/>
        </w:rPr>
      </w:pPr>
      <w:bookmarkStart w:id="925" w:name="_Toc257922005"/>
      <w:bookmarkStart w:id="926" w:name="_Toc111193698"/>
      <w:bookmarkStart w:id="927" w:name="_Toc19122"/>
      <w:bookmarkStart w:id="928" w:name="_Toc1344810509"/>
      <w:bookmarkStart w:id="929" w:name="_Toc1053005233"/>
      <w:r>
        <w:rPr>
          <w:rFonts w:hint="eastAsia" w:ascii="Times New Roman" w:hAnsi="Times New Roman" w:eastAsia="黑体" w:cs="Times New Roman"/>
          <w:sz w:val="32"/>
          <w:szCs w:val="32"/>
        </w:rPr>
        <w:t>8围绕推进中国特色社会主义继续解放思</w:t>
      </w:r>
      <w:r>
        <w:rPr>
          <w:rFonts w:hint="eastAsia" w:ascii="黑体" w:hAnsi="黑体" w:eastAsia="黑体" w:cstheme="majorBidi"/>
          <w:sz w:val="32"/>
          <w:szCs w:val="32"/>
        </w:rPr>
        <w:t>想</w:t>
      </w:r>
      <w:bookmarkEnd w:id="925"/>
      <w:bookmarkEnd w:id="926"/>
      <w:bookmarkEnd w:id="927"/>
      <w:bookmarkEnd w:id="928"/>
      <w:bookmarkEnd w:id="929"/>
    </w:p>
    <w:p w14:paraId="34ECDE02">
      <w:pPr>
        <w:spacing w:before="147" w:beforeLines="50" w:line="300" w:lineRule="auto"/>
        <w:ind w:firstLine="440" w:firstLineChars="200"/>
        <w:rPr>
          <w:rFonts w:ascii="宋体" w:hAnsi="宋体" w:eastAsia="宋体" w:cs="Times New Roman"/>
          <w:szCs w:val="21"/>
        </w:rPr>
      </w:pPr>
      <w:r>
        <w:rPr>
          <w:rFonts w:hint="eastAsia" w:ascii="宋体" w:hAnsi="宋体" w:eastAsia="宋体" w:cs="Times New Roman"/>
          <w:szCs w:val="21"/>
        </w:rPr>
        <w:t>我们隆重纪念真理标准讨论30周年，继续解放思想，对于全面贯彻党的十七大精神，全面推进中国特色社会主义理论和实践，深入落实科学发展观，均具有重要的理论和现实意义。</w:t>
      </w:r>
    </w:p>
    <w:p w14:paraId="73442F73">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一、真理标准讨论为改革开放提供了思想和舆论条件</w:t>
      </w:r>
    </w:p>
    <w:p w14:paraId="0EB25502">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30年前的1978年5月10日，中央党校内部理论刊物《理论动态》发表了《实践是检验真理的唯一标准》一文。文章中的精辟论述，直接涉及“两个凡是”的要害，这就是本本主义、教条主义。5月11日，《光明日报》以特约评论员名义公开发表该文。12日，《人民日报》、《解放军报》全文转载了这篇文章。后来，全国各大报刊陆续转载。文章发表后，立即引起了社会各界关于真理标准问题的讨论。邓小平对讨论给予了坚决的支持。在1978年6月2日的全军政治工作会议上，邓小平指出：“实事求是是毛泽东思想的出发点、根本点”；他号召：“打破精神枷锁，使我们的思想来个大解放。”6月6日，《人民日报》、《解放军报》在第一版全文发表了这一讲话，极大地支持了“真理标准”一文。6月以后，党内和社会各界越来越多的人参与到这场大讨论中。据统计，到1978年年底，省级以上报刊发表的关于真理标准讨论的文章有650篇之多。这一讨论，打破了一度盛行的个人崇拜的精神枷锁，冲破了“两个凡是”的禁锢，极大地解放了人们的思想，使许多人从过去种种“左”的教条束缚中解放出来，转而用实事求是的态度观察和思考问题。真理标准大讨论，不仅具有学术价值（至于从学理上应不应当加“唯一”两字，至今尚有争议），而且直接为党的思想路线的重新确立作了理论和舆论准备。</w:t>
      </w:r>
    </w:p>
    <w:p w14:paraId="27C38C6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1978年12月13日，在中央工作会议闭幕式上，邓小平作了题为《解放思想，实事求是，团结一致向前看》的重要讲话。他强调：“解放思想是当前的一个重大的政治问题”，“不打破思想僵化，不大大解放干部和群众的思想，四个现代化就没有希望。”12月18日，党的十一届三中全会重新确立了党的思想路线。全会坚决摈弃了“两个凡是”的错误方针，高度评价了关于真理标准问题的讨论，强调要解放思想，实事求是，一切从实际出发。这就恢复了党在延安整风时就确立的正确思想路线。邓小平就此有一段精辟发言：“一个党，一个国家，一个民族，如果一切从本本出发，思想僵化，迷信盛行，那它就不能前进，它的生机就停止了，就要亡党亡国。”</w:t>
      </w:r>
      <w:r>
        <w:rPr>
          <w:rFonts w:ascii="宋体" w:hAnsi="宋体" w:eastAsia="宋体" w:cs="Times New Roman"/>
          <w:szCs w:val="21"/>
          <w:vertAlign w:val="superscript"/>
        </w:rPr>
        <w:footnoteReference w:id="279"/>
      </w:r>
      <w:r>
        <w:rPr>
          <w:rFonts w:hint="eastAsia" w:ascii="宋体" w:hAnsi="宋体" w:eastAsia="宋体" w:cs="Times New Roman"/>
          <w:szCs w:val="21"/>
        </w:rPr>
        <w:t>邓小平还专门为《光明日报》题词：“实践是检验真理的唯一标准”。可见，批评“两个凡是”和真理标准问题讨论，成为我们党继延安整风之后又一次具有深远意义的思想解放运动。它使广大干部和群众从过去盛行的个人崇拜和教条主义的精神枷锁中摆脱出来，为改革开放提供了宝贵的思想基础。</w:t>
      </w:r>
    </w:p>
    <w:p w14:paraId="4A34E471">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二、30年解放思想催生了两大创新</w:t>
      </w:r>
    </w:p>
    <w:p w14:paraId="29418CD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30年后的今天，回顾和纪念真理标准问题的讨论，不难发现，真理标准问题讨论馈赠给我们最宝贵的精神财富就是解放思想。没有解放思想，就没有党的思想路线的重新确立；没有解放思想，就没有改革开放发展的伟大成就；没有解放思想，就没有中国特色社会主义的成功实践。正因为如此，胡锦涛同志在十七大报告中明确指出：“解放思想是发展中国特色社会主义的一大法宝。”</w:t>
      </w:r>
    </w:p>
    <w:p w14:paraId="20A01AD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从理论上说，解放思想主要是一种尊重客观实际而又不断创新的思想范式和精神状态。思想解放是一个同思想僵化和思想禁锢相对立的认识论范畴，它是指人的思维的活动方式处于解除禁锢与放达发展的自由自觉的创造状态，其思维的认识成果能够随着社会实践的推进过程而进行相应的创新发展，从而达到主观与客观相符合、认识与实践相统一的境界。</w:t>
      </w:r>
    </w:p>
    <w:p w14:paraId="2F8A19C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30年来，科学解放思想催生了两大创新。首先，解放思想催生了理论创新。我们党坚持实事求是、解放思想、与时俱进和求真务实的思想路线，创造性地构筑了中国特色社会主义理论体系。在改革开放的新时期，使马克思主义与本国国情相结合、与时代发展同进步、与人民群众同命运，形成了邓小平理论、“三个代表”重要思想、科学发展观等重大理论创新成果，创造性地回答了什么是社会主义、怎样建设社会主义，为什么要建设党、怎样建设党，为什么发展和怎样发展的问题。可以说，解放思想的30年也就是理论创新的30年。</w:t>
      </w:r>
    </w:p>
    <w:p w14:paraId="58C1051A">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其次，解放思想催生了体制创新。真理标准问题的讨论把人们从“两个凡是”的思想禁锢中解放出来，在思想解放的浪潮中，改革开放应运而生。通过解放思想，社会主义市场经济体制由理论变为现实，中国特色的社会主义所有制和分配体制在改革创新中不断完善；中国特色的民主政治体制在改革创新中不断健全；中国特色的先进文化体制在改革创新中不断前进；中国特色的和谐社会体制在改革创新中不断再造；党的建设的伟大工程在改革创新中得以不断推进，执政能力明显提高。简言之，社会主义制度和社会主义事业在改革开放的浪潮中孕育和迸发出蓬勃的生机和创新的活力，已经走出了一条中国特色的社会主义康庄大道，“中国模式”和“北京共识”为世界所瞩目。</w:t>
      </w:r>
    </w:p>
    <w:p w14:paraId="5F6A7E29">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三、继续解放思想须摆脱各种教条主义</w:t>
      </w:r>
    </w:p>
    <w:p w14:paraId="2EE52D87">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30年后的今天，解放思想作为认识实践和指导实践的思维范式和思想路线没有任何变化。但是，面对世情、国情和党情的新变化，解放思想被赋予了新的任务和使命。如果说，30年前解放思想的主要任务是冲破“两个凡是”的禁锢，把广大干部和群众从过去种种“左”的教条的束缚中解放出来。那么，今天的解放思想面临的挑战和任务则更加艰巨。</w:t>
      </w:r>
    </w:p>
    <w:p w14:paraId="76190AA8">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目前，解放思想，不但承担着继续把人们从对马克思主义和传统社会主义的教条主义认识中解放出来的任务，更是要勇于担当把人们从对西方主流思想理论和政策的教条主义认识中解放出来的重任。“马教条”违背唯物辩证法的基本原则，消解马克思主义的特殊性和时代性，脱离当代世界形势和中国实际，总是陷入马克思主义经典作家的某些具体论断而不能自拔，从而成为发展的思想障碍。与此同时，“洋教条”的危害同样不可小觑。当代某些所谓“主流公共知识分子”、“主流经济学家”总是把西方新自由主义和民主社会主义等思潮奉为普适性的放之四海而皆准的价值趋向、制度模式、政策楷模和最佳道路，宣扬“私有产权神话”和“市场原教旨主义”（诺贝尔经济学奖得主斯蒂格利茨语）、美国和瑞典基于私人垄断利益的畸形民主政治模式和文化模式等。这些“洋教条”的危害与“马教条”相比，有过之而无不及。</w:t>
      </w:r>
    </w:p>
    <w:p w14:paraId="4EE6B0FF">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因此，当前中国的解放思想，应当把人们继续从“马教条”、重点从“洋教条”和注意从新儒化（主张用儒学来儒化社会主义中国）“古教条”等各种教条主义中解放出来。正如江泽民同志强调的，解放思想同实事求是是统一的，就是要求我们的思想认识符合客观实际，在马克思主义指导下，冲破落后的传统观念和主观偏见的束缚，改变因循守旧、不接受新事物的精神状态。</w:t>
      </w:r>
    </w:p>
    <w:p w14:paraId="25793224">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四、继续解放思想的主题和须突破的方面</w:t>
      </w:r>
    </w:p>
    <w:p w14:paraId="346F30DE">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胡锦涛同志指出，解放思想、实事求是、与时俱进，是马克思主义活的灵魂，是我们适应新形势、认识新事物、完成新任务的根本思想武器；解放思想，是党的思想路线的本质要求，是我们应对前进道路上各种新情况新问题、不断开创事业新局面的一大法宝，必须坚定不移地加以坚持。</w:t>
      </w:r>
    </w:p>
    <w:p w14:paraId="2E8FF37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围绕建设中国特色社会主义和深入落实科学发展观，是当前继续解放思想的主题和方向。继续推进超越传统社会主义和当代资本主义制度模式的中国特色社会主义，并在邓小平理论和“三个代表”重要思想的基础上，提出和践行科学发展观，本身就是具有中国和世界意义的不断思想解放的产物和表现。科学发展观扬弃了西方工具理性主义的洋式发展观和中国唯国内生产总值的传统发展观，确立了马克思主义的实践创造论、辩证发展论和自我批判精神相统一的发展观，是马克思主义及其中国化理论关于发展的新思维和新方针。</w:t>
      </w:r>
    </w:p>
    <w:p w14:paraId="26F4BF6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继续解放思想有广阔的空间，凡是不符合、不利于中国特色社会主义和深入落实科学发展观的一切观念、理论、体制、机制、政策和措施，都应当突破，逐步地消除和克服。就十七大报告强调的“四位一体”建设来说，具体内容可包括：在经济建设上，要重点突破公有制不能与市场经济高效结合的中外传统思维，以及唯GDP的传统经济发展方式和机制，继续完善社会主义性质的市场经济体制和根本转变经济发展方式（含对外经济发展方式）；在政治建设上，要重点突破不能推进超越西方资本主义宪政的社会主义新型宪政的传统思维，继续完善党内民主与社会（人民）民主互动型的社会主义民主政治体制机制；在文化建设上，要重点突破偏离社会主义核心价值体系的各种貌新实旧的思维，继续完善社会主义先进文化发展的体制机制；在社会建设上，要重点突破公平与效率高低反向变动的替代思维，塑造公平与效率高低同向变动的互促思维及其政策，以此为基础继续完善以民生为轴心的社会主义和谐社会。</w:t>
      </w:r>
    </w:p>
    <w:p w14:paraId="7E3F2A90">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诚然，现阶段解放思想应该辩证地坚持几点不动摇：一是指导思想上，坚持多样化思潮中马克思主义及其中国化理论的指导地位。我们的解放思想是全面的，要真正贯彻我们党几代领导集体强调的“实事求是、解放思想、与时俱进、求真务实”的思想路线，就要反对和克服中外各种教条主义、古今各种本本主义、土洋各种经验主义。那种主张解放思想就要放弃或弱化马克思主义，或者只反“马教条”、“马本本”，而盲目崇拜“洋教条”、“洋本本”、“洋经验”，都是不全面的。二是经济制度上，坚持市场经济中生产资料公有制的主体地位。只要操作得法，公有制完全可以比私有制更适合市场经济，产生出更高的公平与更高的效率。那种主张私有化（民营化）的“新自由主义”、“民主社会主义”、“民本社会主义”，都是片面的。三是政治制度上，坚持民主政治改革中工人阶级政党的领导。以党的领导、人民当家做主、依法治国“三位一体”为标志，以人民代表大会制度、中国共产党领导的多党合作和政治协商制度、民族区域自治制度、基层群众自治制度“四层制度”为框架的中国式民主，属于人类历史上的新型民主政治模式或宪政模式（吴邦国委员长多次使用“宪政”一词）。那种主张“还权于民”的政治改革，是容易挑起党和政府同人民群众矛盾的不准确口号。四是对外关系上，坚持多极化博弈中推动世界和谐发展。科学促进经济全球化、政治民主化、文化多样化、军事防御化，以顺应全球化过程中迫切需要全球民主治理的大趋势。那种主张西方霸权主义和跨国垄断有合理性的辩护性思维，是不正确的。五是终极目标上，坚持初级社会主义纲领和政策操作中牢记社会主义本质和共产主义奋斗目标。那种主张不要社会主义经济、政治、文化制度而虚化邓小平所说“消灭剥削”、“共同富裕”和共产主义等目标，是不合逻辑的。</w:t>
      </w:r>
    </w:p>
    <w:p w14:paraId="794A8C95">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总之，要直面新的中国社会现实，在中国特色社会主义理论体系和制度大框架中，以“世情为鉴、国情为据、党情为要，马学为体、西学为用、国学为根、综合创新”，有针对性地继续科学解放思想。</w:t>
      </w:r>
    </w:p>
    <w:p w14:paraId="7234312F">
      <w:pPr>
        <w:spacing w:line="336" w:lineRule="auto"/>
        <w:ind w:firstLine="440" w:firstLineChars="200"/>
        <w:rPr>
          <w:rFonts w:ascii="宋体" w:hAnsi="宋体" w:eastAsia="宋体" w:cs="Times New Roman"/>
          <w:szCs w:val="21"/>
        </w:rPr>
      </w:pPr>
    </w:p>
    <w:p w14:paraId="653F4244">
      <w:pPr>
        <w:spacing w:line="336" w:lineRule="auto"/>
        <w:ind w:firstLine="440" w:firstLineChars="200"/>
        <w:rPr>
          <w:rFonts w:ascii="宋体" w:hAnsi="宋体" w:eastAsia="宋体" w:cs="Times New Roman"/>
          <w:szCs w:val="21"/>
        </w:rPr>
      </w:pPr>
      <w:r>
        <w:rPr>
          <w:rFonts w:hint="eastAsia" w:ascii="宋体" w:hAnsi="宋体" w:eastAsia="宋体" w:cs="Times New Roman"/>
          <w:szCs w:val="21"/>
        </w:rPr>
        <w:t>（原载《马克思主义研究》2008年第6期）</w:t>
      </w:r>
    </w:p>
    <w:p w14:paraId="30E9D2D9">
      <w:pPr>
        <w:spacing w:line="336" w:lineRule="auto"/>
        <w:ind w:firstLine="440" w:firstLineChars="200"/>
        <w:rPr>
          <w:rFonts w:ascii="宋体" w:hAnsi="宋体" w:eastAsia="宋体" w:cs="Times New Roman"/>
          <w:szCs w:val="21"/>
        </w:rPr>
      </w:pPr>
    </w:p>
    <w:p w14:paraId="0716653C">
      <w:pPr>
        <w:ind w:firstLine="660" w:firstLineChars="200"/>
        <w:rPr>
          <w:rFonts w:ascii="Times New Roman" w:hAnsi="Times New Roman" w:eastAsia="宋体" w:cs="Times New Roman"/>
          <w:b/>
          <w:sz w:val="32"/>
        </w:rPr>
      </w:pPr>
      <w:r>
        <w:rPr>
          <w:rFonts w:ascii="Times New Roman" w:hAnsi="Times New Roman" w:eastAsia="宋体" w:cs="Times New Roman"/>
          <w:b/>
          <w:sz w:val="32"/>
        </w:rPr>
        <w:br w:type="page"/>
      </w:r>
    </w:p>
    <w:p w14:paraId="4389C600">
      <w:pPr>
        <w:spacing w:before="147" w:beforeLines="50" w:after="147" w:afterLines="50" w:line="300" w:lineRule="auto"/>
        <w:ind w:firstLine="660" w:firstLineChars="200"/>
        <w:jc w:val="center"/>
        <w:outlineLvl w:val="1"/>
        <w:rPr>
          <w:rFonts w:ascii="Times New Roman" w:hAnsi="Times New Roman" w:eastAsia="黑体" w:cs="Times New Roman"/>
          <w:sz w:val="32"/>
          <w:szCs w:val="32"/>
        </w:rPr>
      </w:pPr>
      <w:bookmarkStart w:id="930" w:name="_Toc111193699"/>
      <w:bookmarkStart w:id="931" w:name="_Toc257922109"/>
      <w:bookmarkStart w:id="932" w:name="_Toc1483"/>
      <w:bookmarkStart w:id="933" w:name="_Toc2112323735"/>
      <w:bookmarkStart w:id="934" w:name="_Toc446216104"/>
      <w:r>
        <w:rPr>
          <w:rFonts w:hint="eastAsia" w:ascii="Times New Roman" w:hAnsi="Times New Roman" w:eastAsia="黑体" w:cs="Times New Roman"/>
          <w:sz w:val="32"/>
          <w:szCs w:val="32"/>
        </w:rPr>
        <w:t>9我国“一胎化”生育政策的成本—效益测度</w:t>
      </w:r>
      <w:bookmarkEnd w:id="930"/>
      <w:bookmarkEnd w:id="931"/>
      <w:bookmarkEnd w:id="932"/>
      <w:bookmarkEnd w:id="933"/>
      <w:bookmarkEnd w:id="934"/>
    </w:p>
    <w:p w14:paraId="7EDAA0A6">
      <w:pPr>
        <w:spacing w:before="147" w:beforeLines="50" w:line="300" w:lineRule="auto"/>
        <w:ind w:firstLine="440" w:firstLineChars="200"/>
        <w:rPr>
          <w:rFonts w:ascii="宋体" w:hAnsi="宋体" w:eastAsia="宋体" w:cs="Times New Roman"/>
        </w:rPr>
      </w:pPr>
      <w:r>
        <w:rPr>
          <w:rFonts w:hint="eastAsia" w:ascii="宋体" w:hAnsi="宋体" w:eastAsia="宋体" w:cs="Times New Roman"/>
        </w:rPr>
        <w:t>理论界有关“一胎化”生育政策的争论早在这一政策还没有实行之前就已经开始了，随着计划生育政策的启动和深人而不断激烈起来。早期争论的焦点是我国的人口控制力度要不要提升到“一对夫妇只能生一个孩子”的程度，接着是如何在实际工作中去贯彻落实这一国策，再后来是对国策推行情况的评价及其正、负面影响的估计。21世纪初，我国的总和生育率已降到1.8左右，人口的发展经历了历史性的巨大变化，但来自人口惯性增长的压力依然巨大，未来的中国人口该如何发展，又该如何应对这是一件关系到中华民族子孙后代的重大事项。在此，对我国“一胎化”生育政策进行成本一效益测度。</w:t>
      </w:r>
    </w:p>
    <w:p w14:paraId="17339A0F">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一、关于调整生育政策的争论</w:t>
      </w:r>
    </w:p>
    <w:p w14:paraId="237642DE">
      <w:pPr>
        <w:spacing w:line="300" w:lineRule="auto"/>
        <w:ind w:firstLine="440" w:firstLineChars="200"/>
        <w:rPr>
          <w:rFonts w:ascii="宋体" w:hAnsi="宋体" w:eastAsia="宋体" w:cs="Times New Roman"/>
        </w:rPr>
      </w:pPr>
      <w:r>
        <w:rPr>
          <w:rFonts w:hint="eastAsia" w:ascii="宋体" w:hAnsi="宋体" w:eastAsia="宋体" w:cs="Times New Roman"/>
        </w:rPr>
        <w:t>自从1990年曾毅在《人口与经济》上发表了《逐步提高平均生育年龄对我国人口发展的影响》，提出“晚育一胎、间隔二胎、禁止三胎”</w:t>
      </w:r>
      <w:r>
        <w:rPr>
          <w:rFonts w:hint="eastAsia" w:ascii="宋体" w:hAnsi="宋体" w:eastAsia="宋体" w:cs="Times New Roman"/>
          <w:vertAlign w:val="superscript"/>
        </w:rPr>
        <w:t>[1]</w:t>
      </w:r>
      <w:r>
        <w:rPr>
          <w:rFonts w:hint="eastAsia" w:ascii="宋体" w:hAnsi="宋体" w:eastAsia="宋体" w:cs="Times New Roman"/>
        </w:rPr>
        <w:t>的政策建议以来，我国理论界对于调整和完善我国计划生育政策进行了较多讨论。同时，随着生育政策对我国人口再生产和社会经济生活的影响越来越突出，参与这一话题讨论的学者逐渐增加，对我国生育政策未来选择的探讨也就成了我国人口研究领域的一个热点。概括起来，关于对我国生育政策进行调整的争论有以下几个有代表性的观点（见表1）。</w:t>
      </w:r>
    </w:p>
    <w:p w14:paraId="19924637">
      <w:pPr>
        <w:spacing w:line="300" w:lineRule="auto"/>
        <w:ind w:firstLine="440" w:firstLineChars="200"/>
        <w:rPr>
          <w:rFonts w:ascii="宋体" w:hAnsi="宋体" w:eastAsia="宋体" w:cs="Times New Roman"/>
        </w:rPr>
      </w:pPr>
      <w:r>
        <w:rPr>
          <w:rFonts w:hint="eastAsia" w:ascii="宋体" w:hAnsi="宋体" w:eastAsia="宋体" w:cs="Times New Roman"/>
        </w:rPr>
        <w:t>通过分析表1的各家观点，不难看出，关于对我国生育政策进行调整的争论实际上可归纳为三种观点：第一种观点认为应该尽量扩大一孩家庭比例。如程恩富提出实行严格的一胎政策，即“城乡一胎、特殊二胎、严禁三胎、奖励无胎”，并以此使总人口较快“先控后减”，较快提升人口素质，较快赶上美欧日的人均国民生产总值、人均国力和人均生活水平</w:t>
      </w:r>
      <w:r>
        <w:rPr>
          <w:rFonts w:hint="eastAsia" w:ascii="宋体" w:hAnsi="宋体" w:eastAsia="宋体" w:cs="Times New Roman"/>
          <w:vertAlign w:val="superscript"/>
        </w:rPr>
        <w:t>[</w:t>
      </w:r>
      <w:r>
        <w:rPr>
          <w:rFonts w:ascii="宋体" w:hAnsi="宋体" w:eastAsia="宋体" w:cs="Times New Roman"/>
          <w:vertAlign w:val="superscript"/>
        </w:rPr>
        <w:t>2</w:t>
      </w:r>
      <w:r>
        <w:rPr>
          <w:rFonts w:hint="eastAsia" w:ascii="宋体" w:hAnsi="宋体" w:eastAsia="宋体" w:cs="Times New Roman"/>
          <w:vertAlign w:val="superscript"/>
        </w:rPr>
        <w:t>]</w:t>
      </w:r>
      <w:r>
        <w:rPr>
          <w:rFonts w:hint="eastAsia" w:ascii="宋体" w:hAnsi="宋体" w:eastAsia="宋体" w:cs="Times New Roman"/>
        </w:rPr>
        <w:t>。对于近年来有些经济学、人口学和社会学的学者主张立即全面恢复二胎生育政策，以此来解决所谓老龄化问题，程恩富认为这种政策是不可取的，因为它会使中国人口基数继续不适当地增大，不利于诸多问题的解决，如环境问题、资源问题、城镇化问题、就业问题、人均国力和人均生活水平问题等。在现有的生产资料和经济条件下，社会总劳动力相对过剩，是中国一系列问题的两个总根源之一（一个是体制、机制问题，另一个是人口问题）。李小平认为，中国人口数量依旧严重过剩，如果没有人口数量的绝对降低，中国无法从生活水平和生存环境方面追赶上发达国家，主张进一步显著地降低生育率、加速实现人口零增长，并提出了两个百年人口目标，即在100年后将中国人口降到8亿～10亿并力争更低，年后降到3亿～5亿，从而根本解决中国人口过多与人均资源长期紧张的问题。为此，应进一步扩大一孩家庭的比例，将总和生育率降到1.5以下的水平并长期保持下去</w:t>
      </w:r>
      <w:r>
        <w:rPr>
          <w:rFonts w:hint="eastAsia" w:ascii="宋体" w:hAnsi="宋体" w:eastAsia="宋体" w:cs="Times New Roman"/>
          <w:vertAlign w:val="superscript"/>
        </w:rPr>
        <w:t>[3]</w:t>
      </w:r>
      <w:r>
        <w:rPr>
          <w:rFonts w:hint="eastAsia" w:ascii="宋体" w:hAnsi="宋体" w:eastAsia="宋体" w:cs="Times New Roman"/>
        </w:rPr>
        <w:t>。尹文耀则通过独生子女家庭和“二孩加间隔”家庭未来百年发展变化模拟和系列负担系数比较评价后发现，如果生育模式选择得当，可以将独生子女家庭的家庭负担降至与“二孩加间隔”的生育政策大致相当的程度，而“二孩加间隔”的生育政策却不能将宏观的人口压力减轻到独生子女生育政策所能减轻的程度。因此，独生子女政策并不一定像一些人所担心的那样，最终势必造成过重的家庭养老负担，“一胎化”生育政策和人口加速老化、家庭负担加大没有必然联系，“二孩加间隔”生育政策也可能出现宏观人口未能控制、微观家庭负担也未能减轻的后果</w:t>
      </w:r>
      <w:r>
        <w:rPr>
          <w:rFonts w:hint="eastAsia" w:ascii="宋体" w:hAnsi="宋体" w:eastAsia="宋体" w:cs="Times New Roman"/>
          <w:vertAlign w:val="superscript"/>
        </w:rPr>
        <w:t>[4]</w:t>
      </w:r>
      <w:r>
        <w:rPr>
          <w:rFonts w:hint="eastAsia" w:ascii="宋体" w:hAnsi="宋体" w:eastAsia="宋体" w:cs="Times New Roman"/>
        </w:rPr>
        <w:t>。但是目前来看，持“一胎”生育观点的学者还为数不多。</w:t>
      </w:r>
    </w:p>
    <w:p w14:paraId="1E02E275">
      <w:pPr>
        <w:spacing w:line="300" w:lineRule="auto"/>
        <w:ind w:firstLine="380" w:firstLineChars="200"/>
        <w:jc w:val="center"/>
        <w:rPr>
          <w:rFonts w:ascii="宋体" w:hAnsi="宋体" w:eastAsia="宋体" w:cs="Times New Roman"/>
          <w:sz w:val="18"/>
          <w:szCs w:val="18"/>
        </w:rPr>
      </w:pPr>
      <w:r>
        <w:rPr>
          <w:rFonts w:hint="eastAsia" w:ascii="宋体" w:hAnsi="宋体" w:eastAsia="宋体" w:cs="Times New Roman"/>
          <w:sz w:val="18"/>
          <w:szCs w:val="18"/>
        </w:rPr>
        <w:t>表1几种有代表性的未来生育政策建议与依据</w:t>
      </w:r>
    </w:p>
    <w:tbl>
      <w:tblPr>
        <w:tblStyle w:val="17"/>
        <w:tblW w:w="8364"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53"/>
        <w:gridCol w:w="1915"/>
        <w:gridCol w:w="2410"/>
        <w:gridCol w:w="3686"/>
      </w:tblGrid>
      <w:tr w14:paraId="0EE94775">
        <w:trPr>
          <w:cantSplit/>
        </w:trPr>
        <w:tc>
          <w:tcPr>
            <w:tcW w:w="353" w:type="dxa"/>
          </w:tcPr>
          <w:p w14:paraId="647EA497">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序号</w:t>
            </w:r>
          </w:p>
        </w:tc>
        <w:tc>
          <w:tcPr>
            <w:tcW w:w="1915" w:type="dxa"/>
          </w:tcPr>
          <w:p w14:paraId="6F80BA73">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政策建议</w:t>
            </w:r>
          </w:p>
        </w:tc>
        <w:tc>
          <w:tcPr>
            <w:tcW w:w="2410" w:type="dxa"/>
          </w:tcPr>
          <w:p w14:paraId="054B42AD">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主要理由</w:t>
            </w:r>
          </w:p>
        </w:tc>
        <w:tc>
          <w:tcPr>
            <w:tcW w:w="3686" w:type="dxa"/>
          </w:tcPr>
          <w:p w14:paraId="65724895">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观点出处</w:t>
            </w:r>
          </w:p>
        </w:tc>
      </w:tr>
      <w:tr w14:paraId="043853CF">
        <w:trPr>
          <w:cantSplit/>
        </w:trPr>
        <w:tc>
          <w:tcPr>
            <w:tcW w:w="353" w:type="dxa"/>
          </w:tcPr>
          <w:p w14:paraId="078E0865">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1</w:t>
            </w:r>
          </w:p>
        </w:tc>
        <w:tc>
          <w:tcPr>
            <w:tcW w:w="1915" w:type="dxa"/>
          </w:tcPr>
          <w:p w14:paraId="06122466">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严格的一胎政策，即“城乡一胎、特殊两胎、奖励无胎”</w:t>
            </w:r>
          </w:p>
        </w:tc>
        <w:tc>
          <w:tcPr>
            <w:tcW w:w="2410" w:type="dxa"/>
          </w:tcPr>
          <w:p w14:paraId="77111BAC">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可以使总人口“先控后减”，较快提升人口素质，较快赶上美欧日的人均国民生产总值、人均国力和人均生活水平，解决老龄化问题，不能恢复二胎生育政策，应实行有差别的农村社会保障</w:t>
            </w:r>
          </w:p>
        </w:tc>
        <w:tc>
          <w:tcPr>
            <w:tcW w:w="3686" w:type="dxa"/>
          </w:tcPr>
          <w:p w14:paraId="6734F51D">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程恩富：《谈实现科学发展观的几个现实问题》，《北京日报》2007年4月30日</w:t>
            </w:r>
          </w:p>
        </w:tc>
      </w:tr>
      <w:tr w14:paraId="73D05CE6">
        <w:trPr>
          <w:cantSplit/>
        </w:trPr>
        <w:tc>
          <w:tcPr>
            <w:tcW w:w="353" w:type="dxa"/>
          </w:tcPr>
          <w:p w14:paraId="3BEE714F">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2</w:t>
            </w:r>
          </w:p>
        </w:tc>
        <w:tc>
          <w:tcPr>
            <w:tcW w:w="1915" w:type="dxa"/>
          </w:tcPr>
          <w:p w14:paraId="217FDD2A">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尽量扩大一孩家庭比例</w:t>
            </w:r>
          </w:p>
        </w:tc>
        <w:tc>
          <w:tcPr>
            <w:tcW w:w="2410" w:type="dxa"/>
          </w:tcPr>
          <w:p w14:paraId="28458C7A">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二胎孩子的社会成本很高，一胎化可以实现国与家两利的结果</w:t>
            </w:r>
          </w:p>
        </w:tc>
        <w:tc>
          <w:tcPr>
            <w:tcW w:w="3686" w:type="dxa"/>
          </w:tcPr>
          <w:p w14:paraId="6A1CBC15">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李小平：《论中国人口的百年战略与对策——生育控制与农村社会经济问题的综合治理》，《战略与管理》2004年第3期</w:t>
            </w:r>
          </w:p>
        </w:tc>
      </w:tr>
      <w:tr w14:paraId="29920F76">
        <w:trPr>
          <w:cantSplit/>
        </w:trPr>
        <w:tc>
          <w:tcPr>
            <w:tcW w:w="353" w:type="dxa"/>
          </w:tcPr>
          <w:p w14:paraId="72305DB0">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3</w:t>
            </w:r>
          </w:p>
        </w:tc>
        <w:tc>
          <w:tcPr>
            <w:tcW w:w="1915" w:type="dxa"/>
          </w:tcPr>
          <w:p w14:paraId="299EFF72">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提倡一对夫妇只生一个孩子</w:t>
            </w:r>
          </w:p>
        </w:tc>
        <w:tc>
          <w:tcPr>
            <w:tcW w:w="2410" w:type="dxa"/>
          </w:tcPr>
          <w:p w14:paraId="194CEA4E">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既能控制宏观人口迅速增长，又能减轻家庭的抚养负担</w:t>
            </w:r>
          </w:p>
        </w:tc>
        <w:tc>
          <w:tcPr>
            <w:tcW w:w="3686" w:type="dxa"/>
          </w:tcPr>
          <w:p w14:paraId="1BB5BF60">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尹文耀：《中国独生子女家庭与二孩家庭生育模式百年模拟与选择》，《人口学刊》2001年第3期</w:t>
            </w:r>
          </w:p>
          <w:p w14:paraId="5ACCCF63">
            <w:pPr>
              <w:adjustRightInd w:val="0"/>
              <w:snapToGrid w:val="0"/>
              <w:ind w:firstLine="320" w:firstLineChars="200"/>
              <w:rPr>
                <w:rFonts w:ascii="宋体" w:hAnsi="宋体" w:eastAsia="宋体" w:cs="Times New Roman"/>
                <w:sz w:val="15"/>
                <w:szCs w:val="15"/>
              </w:rPr>
            </w:pPr>
          </w:p>
        </w:tc>
      </w:tr>
      <w:tr w14:paraId="0D9A75E4">
        <w:trPr>
          <w:cantSplit/>
        </w:trPr>
        <w:tc>
          <w:tcPr>
            <w:tcW w:w="353" w:type="dxa"/>
          </w:tcPr>
          <w:p w14:paraId="6E38043C">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4</w:t>
            </w:r>
          </w:p>
        </w:tc>
        <w:tc>
          <w:tcPr>
            <w:tcW w:w="1915" w:type="dxa"/>
          </w:tcPr>
          <w:p w14:paraId="641AE3D9">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总和生育率保持在1.8左右或采取人口负增长战略</w:t>
            </w:r>
          </w:p>
        </w:tc>
        <w:tc>
          <w:tcPr>
            <w:tcW w:w="2410" w:type="dxa"/>
          </w:tcPr>
          <w:p w14:paraId="46920B2C">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缓解人口对资源、环境的压力和就业压力，增强社会对人口老龄化的承受能力</w:t>
            </w:r>
          </w:p>
        </w:tc>
        <w:tc>
          <w:tcPr>
            <w:tcW w:w="3686" w:type="dxa"/>
          </w:tcPr>
          <w:p w14:paraId="25608800">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刘金塘林富德：《从稳定低生育率到稳定人口：新世纪人口态势模拟》，《人口研究》2000年第4期；[9]刘金塘林富德：《21世纪中国人口发展前景》，《人口学刊》2001年第3期</w:t>
            </w:r>
          </w:p>
        </w:tc>
      </w:tr>
      <w:tr w14:paraId="1FE62C1E">
        <w:trPr>
          <w:cantSplit/>
        </w:trPr>
        <w:tc>
          <w:tcPr>
            <w:tcW w:w="353" w:type="dxa"/>
          </w:tcPr>
          <w:p w14:paraId="3866BE76">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5</w:t>
            </w:r>
          </w:p>
        </w:tc>
        <w:tc>
          <w:tcPr>
            <w:tcW w:w="1915" w:type="dxa"/>
          </w:tcPr>
          <w:p w14:paraId="49AB7B96">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实现人口的“零增长”</w:t>
            </w:r>
          </w:p>
        </w:tc>
        <w:tc>
          <w:tcPr>
            <w:tcW w:w="2410" w:type="dxa"/>
          </w:tcPr>
          <w:p w14:paraId="3ACF5BD0">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人口总数超过16亿，国家将不堪重负</w:t>
            </w:r>
          </w:p>
        </w:tc>
        <w:tc>
          <w:tcPr>
            <w:tcW w:w="3686" w:type="dxa"/>
          </w:tcPr>
          <w:p w14:paraId="1D7BA3BE">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李宏规：《面向新世纪的重大决策》，《人口与计划生育》2000年第3期</w:t>
            </w:r>
          </w:p>
        </w:tc>
      </w:tr>
      <w:tr w14:paraId="735B86A2">
        <w:trPr>
          <w:cantSplit/>
        </w:trPr>
        <w:tc>
          <w:tcPr>
            <w:tcW w:w="353" w:type="dxa"/>
          </w:tcPr>
          <w:p w14:paraId="08ADF50C">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6</w:t>
            </w:r>
          </w:p>
        </w:tc>
        <w:tc>
          <w:tcPr>
            <w:tcW w:w="1915" w:type="dxa"/>
          </w:tcPr>
          <w:p w14:paraId="61EFD121">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稳定低生育率，并关注出生性别比偏高、人口老龄化等问题</w:t>
            </w:r>
          </w:p>
        </w:tc>
        <w:tc>
          <w:tcPr>
            <w:tcW w:w="2410" w:type="dxa"/>
          </w:tcPr>
          <w:p w14:paraId="6F2B6064">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低水平生育率超前于社会经济发展，潜伏着反弹的可能性，生育率急剧下降具有负作用</w:t>
            </w:r>
          </w:p>
        </w:tc>
        <w:tc>
          <w:tcPr>
            <w:tcW w:w="3686" w:type="dxa"/>
          </w:tcPr>
          <w:p w14:paraId="22D31190">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杨书章汤梦君：《稳定低生育水平面临的机遇与挑战》，《人口研究》2000年第4期</w:t>
            </w:r>
          </w:p>
        </w:tc>
      </w:tr>
      <w:tr w14:paraId="3E79F1CF">
        <w:trPr>
          <w:cantSplit/>
        </w:trPr>
        <w:tc>
          <w:tcPr>
            <w:tcW w:w="353" w:type="dxa"/>
          </w:tcPr>
          <w:p w14:paraId="3D0A998B">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7</w:t>
            </w:r>
          </w:p>
        </w:tc>
        <w:tc>
          <w:tcPr>
            <w:tcW w:w="1915" w:type="dxa"/>
          </w:tcPr>
          <w:p w14:paraId="2C24B3EA">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稳定低生育水平是一个多元的概念，即高的要降下来，适中的要巩固，而过低的要调整</w:t>
            </w:r>
          </w:p>
        </w:tc>
        <w:tc>
          <w:tcPr>
            <w:tcW w:w="2410" w:type="dxa"/>
          </w:tcPr>
          <w:p w14:paraId="4FB627C5">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总和生育率长期处在一个较低的水平上同样会带来许多问题</w:t>
            </w:r>
          </w:p>
        </w:tc>
        <w:tc>
          <w:tcPr>
            <w:tcW w:w="3686" w:type="dxa"/>
          </w:tcPr>
          <w:p w14:paraId="231774E4">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于学军：《“十五”时期中国人口发展前瞻性研究》，《中国人口科学》2001年第1期</w:t>
            </w:r>
          </w:p>
        </w:tc>
      </w:tr>
      <w:tr w14:paraId="2276CCE9">
        <w:trPr>
          <w:cantSplit/>
        </w:trPr>
        <w:tc>
          <w:tcPr>
            <w:tcW w:w="353" w:type="dxa"/>
          </w:tcPr>
          <w:p w14:paraId="3642262F">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8</w:t>
            </w:r>
          </w:p>
        </w:tc>
        <w:tc>
          <w:tcPr>
            <w:tcW w:w="1915" w:type="dxa"/>
          </w:tcPr>
          <w:p w14:paraId="293DA151">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“晚育一胎，间隔二胎，禁止三胎”即提倡晚婚，禁止违法早婚</w:t>
            </w:r>
          </w:p>
        </w:tc>
        <w:tc>
          <w:tcPr>
            <w:tcW w:w="2410" w:type="dxa"/>
          </w:tcPr>
          <w:p w14:paraId="6E52B0FB">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逐步提高平均生育年龄将显著缓解人口增长速度，提前实现人口负增长，大大减小峰值人口数</w:t>
            </w:r>
          </w:p>
        </w:tc>
        <w:tc>
          <w:tcPr>
            <w:tcW w:w="3686" w:type="dxa"/>
          </w:tcPr>
          <w:p w14:paraId="7F8153B6">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曾毅：《试论二孩晚育政策软着陆的必要性与可行性》，《中国社会科学》2006年第2期</w:t>
            </w:r>
          </w:p>
        </w:tc>
      </w:tr>
      <w:tr w14:paraId="66A55BA4">
        <w:trPr>
          <w:cantSplit/>
        </w:trPr>
        <w:tc>
          <w:tcPr>
            <w:tcW w:w="353" w:type="dxa"/>
          </w:tcPr>
          <w:p w14:paraId="6680DF4F">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9</w:t>
            </w:r>
          </w:p>
        </w:tc>
        <w:tc>
          <w:tcPr>
            <w:tcW w:w="1915" w:type="dxa"/>
          </w:tcPr>
          <w:p w14:paraId="66884A1B">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退回20世纪70世纪年代的人口政策，即“两胎加间隔”</w:t>
            </w:r>
          </w:p>
        </w:tc>
        <w:tc>
          <w:tcPr>
            <w:tcW w:w="2410" w:type="dxa"/>
          </w:tcPr>
          <w:p w14:paraId="4613D618">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“两胎加间隔”更加科学和贴近实际，而一胎政策越过了一条合理的文化边界</w:t>
            </w:r>
          </w:p>
        </w:tc>
        <w:tc>
          <w:tcPr>
            <w:tcW w:w="3686" w:type="dxa"/>
          </w:tcPr>
          <w:p w14:paraId="6516ACEC">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穆光宗：《“一胎化政策”的反思》，《人口研究》2000年第4期</w:t>
            </w:r>
          </w:p>
        </w:tc>
      </w:tr>
      <w:tr w14:paraId="502EFF32">
        <w:trPr>
          <w:cantSplit/>
        </w:trPr>
        <w:tc>
          <w:tcPr>
            <w:tcW w:w="353" w:type="dxa"/>
          </w:tcPr>
          <w:p w14:paraId="678308D9">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10</w:t>
            </w:r>
          </w:p>
        </w:tc>
        <w:tc>
          <w:tcPr>
            <w:tcW w:w="1915" w:type="dxa"/>
          </w:tcPr>
          <w:p w14:paraId="100B49F7">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向二孩政策过渡</w:t>
            </w:r>
          </w:p>
        </w:tc>
        <w:tc>
          <w:tcPr>
            <w:tcW w:w="2410" w:type="dxa"/>
          </w:tcPr>
          <w:p w14:paraId="3BA4D46F">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回升城市人口生育率，避免“四二一”家庭结构的迅速出现</w:t>
            </w:r>
          </w:p>
        </w:tc>
        <w:tc>
          <w:tcPr>
            <w:tcW w:w="3686" w:type="dxa"/>
          </w:tcPr>
          <w:p w14:paraId="52B44468">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李建新：《论生育政策与中国人口老龄化》，《人口研究》2000年第2期</w:t>
            </w:r>
          </w:p>
        </w:tc>
      </w:tr>
    </w:tbl>
    <w:p w14:paraId="7528FD59">
      <w:pPr>
        <w:spacing w:line="300" w:lineRule="auto"/>
        <w:ind w:firstLine="440" w:firstLineChars="200"/>
        <w:rPr>
          <w:rFonts w:ascii="宋体" w:hAnsi="宋体" w:eastAsia="宋体" w:cs="Times New Roman"/>
        </w:rPr>
      </w:pPr>
      <w:r>
        <w:rPr>
          <w:rFonts w:hint="eastAsia" w:ascii="宋体" w:hAnsi="宋体" w:eastAsia="宋体" w:cs="Times New Roman"/>
        </w:rPr>
        <w:t>第二种观点是坚持全面放开二胎。如：曾毅提出的“二孩晚育软着陆方案”</w:t>
      </w:r>
      <w:r>
        <w:rPr>
          <w:rFonts w:hint="eastAsia" w:ascii="宋体" w:hAnsi="宋体" w:eastAsia="宋体" w:cs="Times New Roman"/>
          <w:vertAlign w:val="superscript"/>
        </w:rPr>
        <w:t>[5]</w:t>
      </w:r>
      <w:r>
        <w:rPr>
          <w:rFonts w:hint="eastAsia" w:ascii="宋体" w:hAnsi="宋体" w:eastAsia="宋体" w:cs="Times New Roman"/>
        </w:rPr>
        <w:t>；李建新提出的“从2000年开始实行现行的一孩或一孩半生育政策向二孩平稳过渡”</w:t>
      </w:r>
      <w:r>
        <w:rPr>
          <w:rFonts w:hint="eastAsia" w:ascii="宋体" w:hAnsi="宋体" w:eastAsia="宋体" w:cs="Times New Roman"/>
          <w:vertAlign w:val="superscript"/>
        </w:rPr>
        <w:t>[6]</w:t>
      </w:r>
      <w:r>
        <w:rPr>
          <w:rFonts w:hint="eastAsia" w:ascii="宋体" w:hAnsi="宋体" w:eastAsia="宋体" w:cs="Times New Roman"/>
        </w:rPr>
        <w:t>；穆光宗提出的“回到70世纪年代的二孩加间隔生育政策”</w:t>
      </w:r>
      <w:r>
        <w:rPr>
          <w:rFonts w:hint="eastAsia" w:ascii="宋体" w:hAnsi="宋体" w:eastAsia="宋体" w:cs="Times New Roman"/>
          <w:vertAlign w:val="superscript"/>
        </w:rPr>
        <w:t>[7]</w:t>
      </w:r>
      <w:r>
        <w:rPr>
          <w:rFonts w:hint="eastAsia" w:ascii="宋体" w:hAnsi="宋体" w:eastAsia="宋体" w:cs="Times New Roman"/>
        </w:rPr>
        <w:t>。曾毅应用2000年人口普查等数据，对现行生育政策不变与二孩晚育软着陆等不同政策方案进行了模拟预测与对比分析，据他推测，二孩晚育软着陆方案人口总数在2038年将达到14.8亿峰值后平缓下降，其在今后80年老人与独居老人比例、老年抚养比、劳动力资源、退休金缺口率、避免出生性别比长期偏高等方面均优于现行生育政策不变方案。李建新认为，过渡为二孩的生育政策是消除城乡二元人口控制政策，兼顾人口数量与年龄结构的“双赢”政策。他还提醒人们，生育水平的下降是不可逆转的，因此，在生育观念还没有彻底转变之前，适当地放松行政措施，使调节生育水平的计划生育有效发挥作用是非常重要的。</w:t>
      </w:r>
    </w:p>
    <w:p w14:paraId="6C64DAE9">
      <w:pPr>
        <w:spacing w:line="300" w:lineRule="auto"/>
        <w:ind w:firstLine="440" w:firstLineChars="200"/>
        <w:rPr>
          <w:rFonts w:ascii="宋体" w:hAnsi="宋体" w:eastAsia="宋体" w:cs="Times New Roman"/>
        </w:rPr>
      </w:pPr>
      <w:r>
        <w:rPr>
          <w:rFonts w:hint="eastAsia" w:ascii="宋体" w:hAnsi="宋体" w:eastAsia="宋体" w:cs="Times New Roman"/>
        </w:rPr>
        <w:t>第三种观点是适当放宽二胎的生育政策。如刘金塘与林富德提出的总和生育率保持在1.8左右的人口负增长战略。二位学者对21世纪我国人口发展设计了三个方案，即总和生育率平均为1.8左右、到2010年下降到1.62后保持不变，或提升到2.1后保持不变，并分别从人口对资源环境的压力、劳动就业的压力、对人口老化程度的承受压力和群众的生育意愿等方面比较评价这三个方案的动态结果。他们的结论是，“从人口对资源环境的压力和解决劳动就业的压力角度，21世纪中国妇女普遍生两个孩子的人口政策是不可取的，虽然它能使人口老化的程度得到一定的缓解，但是人口对资源环境的压力和劳动就业的压力在21世纪将没有缓解的可能”；另一方面，为了考虑到群众的生育意愿和防止人口的年龄结构不过度老化，长期保持目前的政策生育率水平（即大约“一孩半”政策）也是不适宜的；综合来看，维持当前现实的总和生育率水平即1.8才是一个较佳的生育政策选择</w:t>
      </w:r>
      <w:r>
        <w:rPr>
          <w:rFonts w:hint="eastAsia" w:ascii="宋体" w:hAnsi="宋体" w:eastAsia="宋体" w:cs="Times New Roman"/>
          <w:vertAlign w:val="superscript"/>
        </w:rPr>
        <w:t>[8][9]</w:t>
      </w:r>
      <w:r>
        <w:rPr>
          <w:rFonts w:hint="eastAsia" w:ascii="宋体" w:hAnsi="宋体" w:eastAsia="宋体" w:cs="Times New Roman"/>
        </w:rPr>
        <w:t>。“中国未来人口发展与生育政策研究”课题组推荐的方案是，“在现行政策的基础上，从现在起，全国城市农村普遍允许双方独生子女夫妇可以生二孩。”</w:t>
      </w:r>
      <w:r>
        <w:rPr>
          <w:rFonts w:hint="eastAsia" w:ascii="宋体" w:hAnsi="宋体" w:eastAsia="宋体" w:cs="Times New Roman"/>
          <w:vertAlign w:val="superscript"/>
        </w:rPr>
        <w:t>[10]</w:t>
      </w:r>
      <w:r>
        <w:rPr>
          <w:rFonts w:hint="eastAsia" w:ascii="宋体" w:hAnsi="宋体" w:eastAsia="宋体" w:cs="Times New Roman"/>
        </w:rPr>
        <w:t>即生育水平长期保持在更替水平以下(1.86左右)的“微调”方案。</w:t>
      </w:r>
    </w:p>
    <w:p w14:paraId="145D392E">
      <w:pPr>
        <w:spacing w:before="147" w:beforeLines="50" w:after="147" w:afterLines="50" w:line="300" w:lineRule="auto"/>
        <w:ind w:firstLine="500" w:firstLineChars="200"/>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二、不同生育水平下的人口预测与分析</w:t>
      </w:r>
    </w:p>
    <w:p w14:paraId="33CB117A">
      <w:pPr>
        <w:spacing w:line="300" w:lineRule="auto"/>
        <w:ind w:firstLine="440" w:firstLineChars="200"/>
        <w:rPr>
          <w:rFonts w:ascii="宋体" w:hAnsi="宋体" w:eastAsia="宋体" w:cs="Times New Roman"/>
        </w:rPr>
      </w:pPr>
      <w:r>
        <w:rPr>
          <w:rFonts w:hint="eastAsia" w:ascii="宋体" w:hAnsi="宋体" w:eastAsia="宋体" w:cs="Times New Roman"/>
        </w:rPr>
        <w:t>从控制人口增长的意义上说，合理地降低生育率，可以通过微观上减少家庭的人口规模，宏观上控制社会的人口数量，来促进人口与经济、社会的协调发展和可持续发展，因此，积极而合理的计划生育工作不仅能够获得控制人口数量的人口效益，而且还会获得与此相应的经济、社会、环境和资源效益。但是，计划生育的这些效益并不是相互平列的。计划生育工作的人口效益是指通过计划生育而可能防止的出生人数或所减少的出生人数，这是因计划生育而产生的直接效益。社会、经济、环境和资源效益是随着这一直接效益而派生出来的间接效益。没有直接效益，便没有间接效益，对不同生育水平下未来的人口发展趋势进行合理的预测，是评估整个计划生育效益的关键和基础。下面将根据不同的生育水平假设，分析生育政策的不同选择对人口总量的影响。</w:t>
      </w:r>
    </w:p>
    <w:p w14:paraId="1DB40914">
      <w:pPr>
        <w:spacing w:line="300" w:lineRule="auto"/>
        <w:ind w:firstLine="440" w:firstLineChars="200"/>
        <w:rPr>
          <w:rFonts w:ascii="宋体" w:hAnsi="宋体" w:eastAsia="宋体" w:cs="Times New Roman"/>
          <w:b/>
        </w:rPr>
      </w:pPr>
      <w:r>
        <w:rPr>
          <w:rFonts w:hint="eastAsia" w:ascii="宋体" w:hAnsi="宋体" w:eastAsia="宋体" w:cs="Times New Roman"/>
          <w:b/>
        </w:rPr>
        <w:t>(一)三大研究机构对中国未来年的人口预测</w:t>
      </w:r>
    </w:p>
    <w:p w14:paraId="2D23B85C">
      <w:pPr>
        <w:spacing w:line="300" w:lineRule="auto"/>
        <w:ind w:firstLine="440" w:firstLineChars="200"/>
        <w:rPr>
          <w:rFonts w:ascii="宋体" w:hAnsi="宋体" w:eastAsia="宋体" w:cs="Times New Roman"/>
        </w:rPr>
      </w:pPr>
      <w:r>
        <w:rPr>
          <w:rFonts w:hint="eastAsia" w:ascii="宋体" w:hAnsi="宋体" w:eastAsia="宋体" w:cs="Times New Roman"/>
        </w:rPr>
        <w:t>中国人口信息研究中心、中国人民大学人口研究所和南开大学人口与发展研究所分别独立地对未来50年的全国人口进行了预测。三个研究单位预测的起点都选在1999年初，这比以往的人口预测以1990年为始点有了很大的进步。中国人口信息研究中心使用的人口预测模型为“分城乡孩次递进人口发展模型”。该模型控制变量为总和孩次递进生育率(TPPR简称总和递进生育率)，它表示平均每个妇女预期终生生育子女数，不同于时期总和生育率（TFR）。其他两家的预测主要采用莱斯利模型（亦称总和生育率法），以妇女总和生育率（TFR）作为控制变量。三个研究单位分别设计了以下方案进行人口分析预测：</w:t>
      </w:r>
    </w:p>
    <w:p w14:paraId="23C778F8">
      <w:pPr>
        <w:spacing w:line="300" w:lineRule="auto"/>
        <w:ind w:firstLine="440" w:firstLineChars="200"/>
        <w:rPr>
          <w:rFonts w:ascii="宋体" w:hAnsi="宋体" w:eastAsia="宋体" w:cs="Times New Roman"/>
        </w:rPr>
      </w:pPr>
      <w:r>
        <w:rPr>
          <w:rFonts w:ascii="宋体" w:hAnsi="宋体" w:eastAsia="宋体" w:cs="Times New Roman"/>
        </w:rPr>
        <w:t>1</w:t>
      </w:r>
      <w:r>
        <w:rPr>
          <w:rFonts w:hint="eastAsia" w:ascii="宋体" w:hAnsi="宋体" w:eastAsia="宋体" w:cs="Times New Roman"/>
        </w:rPr>
        <w:t>．方案1：假定维持1998年城乡各自的生育率不变</w:t>
      </w:r>
    </w:p>
    <w:p w14:paraId="3E233F9D">
      <w:pPr>
        <w:spacing w:line="300" w:lineRule="auto"/>
        <w:ind w:firstLine="440" w:firstLineChars="200"/>
        <w:rPr>
          <w:rFonts w:ascii="宋体" w:hAnsi="宋体" w:eastAsia="宋体" w:cs="Times New Roman"/>
        </w:rPr>
      </w:pPr>
      <w:r>
        <w:rPr>
          <w:rFonts w:hint="eastAsia" w:ascii="宋体" w:hAnsi="宋体" w:eastAsia="宋体" w:cs="Times New Roman"/>
        </w:rPr>
        <w:t>假定到2017年左右，我国城镇人口比例将达到40%左右；2030年城镇人口比例可能超过50%；到2050年城镇人口比例将为60%左右。城市化对未来人口发展影响很大，若维持1998年城乡各自的生育率不变，随着城市人口比重的上升，全国总的生育水平将呈下降趋势。当城镇人口比例达到50%时（2030年），平均每个妇女预期终身生育子女数（TPPR）将达到1.74个孩子，而到2050年会降到1.66个孩子。</w:t>
      </w:r>
    </w:p>
    <w:p w14:paraId="0472C7A1">
      <w:pPr>
        <w:spacing w:line="300" w:lineRule="auto"/>
        <w:ind w:firstLine="440" w:firstLineChars="200"/>
        <w:rPr>
          <w:rFonts w:ascii="宋体" w:hAnsi="宋体" w:eastAsia="宋体" w:cs="Times New Roman"/>
        </w:rPr>
      </w:pPr>
      <w:r>
        <w:rPr>
          <w:rFonts w:ascii="宋体" w:hAnsi="宋体" w:eastAsia="宋体" w:cs="Times New Roman"/>
        </w:rPr>
        <w:t>2</w:t>
      </w:r>
      <w:r>
        <w:rPr>
          <w:rFonts w:hint="eastAsia" w:ascii="宋体" w:hAnsi="宋体" w:eastAsia="宋体" w:cs="Times New Roman"/>
        </w:rPr>
        <w:t>．方案2：在现行政策基础上，在全国允许双方独生子女夫妇生育二孩</w:t>
      </w:r>
    </w:p>
    <w:p w14:paraId="6BC2F056">
      <w:pPr>
        <w:spacing w:line="300" w:lineRule="auto"/>
        <w:ind w:firstLine="440" w:firstLineChars="200"/>
        <w:rPr>
          <w:rFonts w:ascii="宋体" w:hAnsi="宋体" w:eastAsia="宋体" w:cs="Times New Roman"/>
        </w:rPr>
      </w:pPr>
      <w:r>
        <w:rPr>
          <w:rFonts w:hint="eastAsia" w:ascii="宋体" w:hAnsi="宋体" w:eastAsia="宋体" w:cs="Times New Roman"/>
        </w:rPr>
        <w:t>假如从2005年开始在全国普遍实行独生子女夫妇可以生育二孩的政策，2010年总人口约为13.8亿，2040年前后总人口达到峰值15.5亿后开始进入负增长，2050年总人口将减少到15.2亿左右。</w:t>
      </w:r>
    </w:p>
    <w:p w14:paraId="1E5CFFF0">
      <w:pPr>
        <w:spacing w:line="300" w:lineRule="auto"/>
        <w:ind w:firstLine="440" w:firstLineChars="200"/>
        <w:rPr>
          <w:rFonts w:ascii="宋体" w:hAnsi="宋体" w:eastAsia="宋体" w:cs="Times New Roman"/>
        </w:rPr>
      </w:pPr>
      <w:r>
        <w:rPr>
          <w:rFonts w:ascii="宋体" w:hAnsi="宋体" w:eastAsia="宋体" w:cs="Times New Roman"/>
        </w:rPr>
        <w:t>3</w:t>
      </w:r>
      <w:r>
        <w:rPr>
          <w:rFonts w:hint="eastAsia" w:ascii="宋体" w:hAnsi="宋体" w:eastAsia="宋体" w:cs="Times New Roman"/>
        </w:rPr>
        <w:t>．方案3：在现行政策基础上，允许一方是独生子女的夫妇可以生育二孩</w:t>
      </w:r>
    </w:p>
    <w:p w14:paraId="3D649875">
      <w:pPr>
        <w:spacing w:line="300" w:lineRule="auto"/>
        <w:ind w:firstLine="440" w:firstLineChars="200"/>
        <w:rPr>
          <w:rFonts w:ascii="宋体" w:hAnsi="宋体" w:eastAsia="宋体" w:cs="Times New Roman"/>
        </w:rPr>
      </w:pPr>
      <w:r>
        <w:rPr>
          <w:rFonts w:hint="eastAsia" w:ascii="宋体" w:hAnsi="宋体" w:eastAsia="宋体" w:cs="Times New Roman"/>
        </w:rPr>
        <w:t>由于该方案实际上是指双方都是独生子女的夫妇和只要一方是独生子女的夫妇均可生育二孩，因此，政策调整将使我国人口数量的高峰推后、峰值提高。2040年前后总人口达到峰值时将接近16亿。</w:t>
      </w:r>
    </w:p>
    <w:p w14:paraId="560618ED">
      <w:pPr>
        <w:spacing w:line="300" w:lineRule="auto"/>
        <w:ind w:firstLine="440" w:firstLineChars="200"/>
        <w:rPr>
          <w:rFonts w:ascii="宋体" w:hAnsi="宋体" w:eastAsia="宋体" w:cs="Times New Roman"/>
        </w:rPr>
      </w:pPr>
      <w:r>
        <w:rPr>
          <w:rFonts w:hint="eastAsia" w:ascii="宋体" w:hAnsi="宋体" w:eastAsia="宋体" w:cs="Times New Roman"/>
        </w:rPr>
        <w:t>4．方案4：在现行政策基础上，普遍允许农村妇女生育二孩</w:t>
      </w:r>
    </w:p>
    <w:p w14:paraId="17436B8F">
      <w:pPr>
        <w:spacing w:line="300" w:lineRule="auto"/>
        <w:ind w:firstLine="440" w:firstLineChars="200"/>
        <w:rPr>
          <w:rFonts w:ascii="宋体" w:hAnsi="宋体" w:eastAsia="宋体" w:cs="Times New Roman"/>
        </w:rPr>
      </w:pPr>
      <w:r>
        <w:rPr>
          <w:rFonts w:hint="eastAsia" w:ascii="宋体" w:hAnsi="宋体" w:eastAsia="宋体" w:cs="Times New Roman"/>
        </w:rPr>
        <w:t>假如能够实现这一政策的平稳过渡，而且城乡妇女放弃二孩生育的比例随社会经济的发展有所提高，按此方案预测，总人口将在2040年前后达到约15.8亿的高峰，略低于允许夫妇一方为独生子女均可生二孩（方案3）的结果。推行该政策的好处是缓解生育政策在农村执行中遇到的阻力，使生育政策接近未来农村人口的生育意愿。但由于前期生育政策造成的大批待生二孩妇女的堆积可能引起生育率的急剧飚升，政策放宽的倾向性影响可能引起局部地区生育失控；政策的不连续性可能给计划生育工作造成直接冲击，因此，实施这种方案风险性较大。</w:t>
      </w:r>
    </w:p>
    <w:p w14:paraId="7308236B">
      <w:pPr>
        <w:spacing w:line="300" w:lineRule="auto"/>
        <w:ind w:firstLine="440" w:firstLineChars="200"/>
        <w:rPr>
          <w:rFonts w:ascii="宋体" w:hAnsi="宋体" w:eastAsia="宋体" w:cs="Times New Roman"/>
        </w:rPr>
      </w:pPr>
      <w:r>
        <w:rPr>
          <w:rFonts w:hint="eastAsia" w:ascii="宋体" w:hAnsi="宋体" w:eastAsia="宋体" w:cs="Times New Roman"/>
        </w:rPr>
        <w:t>目前，一些学者和研究机构认为方案2为最佳方案。他们认为，从降低生育率的角度来看，还有更紧的方案，但是，采取相对较宽松的方案，既能够达到稳定低生育率的目的，又能在一定程度上缩小生育政策与生育意愿的差距，并达到调节人口结构的目的。从政策调整对计划生育工作的影响来看，这也是影响最小的一种方案。将方案2与中国人民大学人口所、南开大学人口所和联合国的主要预测结果进行比较（见表2）。通过表2中各个研究机构的人口预测结果进行分析，可以看出，我国总人口在未来多年内仍在增长，但增长速度渐趋缓慢。2010年，总人口约在13.60亿～13.77亿之间。根据三个研究单位多方案的估计，人口数量高峰将出现在2035～2045年间，峰值人口约为14.87亿～15.44亿。同时，经各个研究机构预测，在未来40年内，我国劳动年龄人口将保持持续增长的势头。2020年达到9.7亿；2015～2035年可能持续在10亿左右。</w:t>
      </w:r>
    </w:p>
    <w:p w14:paraId="5BB206BD">
      <w:pPr>
        <w:spacing w:line="300" w:lineRule="auto"/>
        <w:ind w:firstLine="440" w:firstLineChars="200"/>
        <w:rPr>
          <w:rFonts w:ascii="宋体" w:hAnsi="宋体" w:eastAsia="宋体" w:cs="Times New Roman"/>
          <w:b/>
        </w:rPr>
      </w:pPr>
      <w:r>
        <w:rPr>
          <w:rFonts w:hint="eastAsia" w:ascii="宋体" w:hAnsi="宋体" w:eastAsia="宋体" w:cs="Times New Roman"/>
          <w:b/>
        </w:rPr>
        <w:t>（二）对“放开二胎”的未来百年人口预测</w:t>
      </w:r>
    </w:p>
    <w:p w14:paraId="313248C6">
      <w:pPr>
        <w:spacing w:line="300" w:lineRule="auto"/>
        <w:ind w:firstLine="440" w:firstLineChars="200"/>
        <w:rPr>
          <w:rFonts w:ascii="宋体" w:hAnsi="宋体" w:eastAsia="宋体" w:cs="Times New Roman"/>
        </w:rPr>
      </w:pPr>
      <w:r>
        <w:rPr>
          <w:rFonts w:hint="eastAsia" w:ascii="宋体" w:hAnsi="宋体" w:eastAsia="宋体" w:cs="Times New Roman"/>
        </w:rPr>
        <w:t>近年来，一些学者提出实行“放开二胎”的生育政策，认为这种方案虽然使人口总量提高，人口零增长的时间推后，但可以缓解人口老龄化问题，优化人口结构。刘金塘和林富德利用国家统计局1995年1%人口抽样调查数据，通过对生育率的不同假设设计了三种方案，对21世纪中国人口发展趋势进行了模拟，下面对“放开二胎”的生育政策与其他两种方案进行比较分析（见表3）。</w:t>
      </w:r>
    </w:p>
    <w:p w14:paraId="125AB59B">
      <w:pPr>
        <w:spacing w:line="300" w:lineRule="auto"/>
        <w:ind w:firstLine="440" w:firstLineChars="200"/>
        <w:rPr>
          <w:rFonts w:ascii="宋体" w:hAnsi="宋体" w:eastAsia="宋体" w:cs="Times New Roman"/>
        </w:rPr>
      </w:pPr>
      <w:r>
        <w:rPr>
          <w:rFonts w:hint="eastAsia" w:ascii="宋体" w:hAnsi="宋体" w:eastAsia="宋体" w:cs="Times New Roman"/>
        </w:rPr>
        <w:t>表3是根据育龄妇女不同的生育水平对我国人口在21世纪的数量变化趋势进行预测的结果。从表3中可以看出，如果实行“放开二胎”的生育政策，即2010年后总和生育率保持在2.1的水平上（方案3），那么，我国的人口包袱将越背越大，人口总量将长期维持在15亿以上；即使按照总和生育率为1.8或降至1.62的政策设想，仍然要在世纪的大部分时间里背着总数为10亿以上的人口大包袱。规模庞大的育龄妇女的存在决定了我国不仅不能调高总和生育率，而且还要降低育龄妇女的平均生育水平，只有这样，才能尽快地从人口的重负中摆脱出来。</w:t>
      </w:r>
    </w:p>
    <w:p w14:paraId="7DD5FF4F">
      <w:pPr>
        <w:ind w:firstLine="380" w:firstLineChars="200"/>
        <w:jc w:val="center"/>
        <w:rPr>
          <w:rFonts w:ascii="宋体" w:hAnsi="宋体" w:eastAsia="宋体" w:cs="Times New Roman"/>
          <w:sz w:val="18"/>
          <w:szCs w:val="18"/>
        </w:rPr>
      </w:pPr>
      <w:r>
        <w:rPr>
          <w:rFonts w:hint="eastAsia" w:ascii="宋体" w:hAnsi="宋体" w:eastAsia="宋体" w:cs="Times New Roman"/>
          <w:sz w:val="18"/>
          <w:szCs w:val="18"/>
        </w:rPr>
        <w:t>表2中国人口信息研究中心、中国人民大学人口研究所、</w:t>
      </w:r>
    </w:p>
    <w:p w14:paraId="144559F3">
      <w:pPr>
        <w:ind w:firstLine="380" w:firstLineChars="200"/>
        <w:jc w:val="center"/>
        <w:rPr>
          <w:rFonts w:ascii="宋体" w:hAnsi="宋体" w:eastAsia="宋体" w:cs="Times New Roman"/>
          <w:vertAlign w:val="superscript"/>
        </w:rPr>
      </w:pPr>
      <w:r>
        <w:rPr>
          <w:rFonts w:hint="eastAsia" w:ascii="宋体" w:hAnsi="宋体" w:eastAsia="宋体" w:cs="Times New Roman"/>
          <w:sz w:val="18"/>
          <w:szCs w:val="18"/>
        </w:rPr>
        <w:t>南开大学人口与发展研究所和联合国预测的中国总人口(亿)</w:t>
      </w:r>
      <w:r>
        <w:rPr>
          <w:rFonts w:ascii="宋体" w:hAnsi="宋体" w:eastAsia="宋体" w:cs="Times New Roman"/>
          <w:sz w:val="18"/>
          <w:szCs w:val="18"/>
          <w:vertAlign w:val="superscript"/>
        </w:rPr>
        <w:t>[</w:t>
      </w:r>
      <w:r>
        <w:rPr>
          <w:rFonts w:ascii="宋体" w:hAnsi="宋体" w:eastAsia="宋体" w:cs="Times New Roman"/>
          <w:vertAlign w:val="superscript"/>
        </w:rPr>
        <w:t>11]</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1686"/>
        <w:gridCol w:w="1476"/>
        <w:gridCol w:w="1844"/>
        <w:gridCol w:w="1266"/>
      </w:tblGrid>
      <w:tr w14:paraId="49450A11">
        <w:trPr>
          <w:jc w:val="center"/>
        </w:trPr>
        <w:tc>
          <w:tcPr>
            <w:tcW w:w="636" w:type="dxa"/>
          </w:tcPr>
          <w:p w14:paraId="0C27645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年代</w:t>
            </w:r>
          </w:p>
        </w:tc>
        <w:tc>
          <w:tcPr>
            <w:tcW w:w="1686" w:type="dxa"/>
          </w:tcPr>
          <w:p w14:paraId="39EB6CF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中国人民大学人</w:t>
            </w:r>
          </w:p>
          <w:p w14:paraId="481509F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口所（中方案）</w:t>
            </w:r>
          </w:p>
        </w:tc>
        <w:tc>
          <w:tcPr>
            <w:tcW w:w="1476" w:type="dxa"/>
          </w:tcPr>
          <w:p w14:paraId="6265879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南开大学人口</w:t>
            </w:r>
          </w:p>
          <w:p w14:paraId="08B3C2C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所（中方案）</w:t>
            </w:r>
          </w:p>
        </w:tc>
        <w:tc>
          <w:tcPr>
            <w:tcW w:w="1844" w:type="dxa"/>
          </w:tcPr>
          <w:p w14:paraId="3CAAA97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中国人口信息研</w:t>
            </w:r>
          </w:p>
          <w:p w14:paraId="68ADCA4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究中心（方案2）</w:t>
            </w:r>
          </w:p>
        </w:tc>
        <w:tc>
          <w:tcPr>
            <w:tcW w:w="1266" w:type="dxa"/>
          </w:tcPr>
          <w:p w14:paraId="01D9CB5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联合国</w:t>
            </w:r>
          </w:p>
          <w:p w14:paraId="074F149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（中方案）</w:t>
            </w:r>
          </w:p>
        </w:tc>
      </w:tr>
      <w:tr w14:paraId="425019D1">
        <w:trPr>
          <w:jc w:val="center"/>
        </w:trPr>
        <w:tc>
          <w:tcPr>
            <w:tcW w:w="636" w:type="dxa"/>
          </w:tcPr>
          <w:p w14:paraId="6097B18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2000</w:t>
            </w:r>
          </w:p>
        </w:tc>
        <w:tc>
          <w:tcPr>
            <w:tcW w:w="1686" w:type="dxa"/>
          </w:tcPr>
          <w:p w14:paraId="6D78002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12.71</w:t>
            </w:r>
          </w:p>
        </w:tc>
        <w:tc>
          <w:tcPr>
            <w:tcW w:w="1476" w:type="dxa"/>
          </w:tcPr>
          <w:p w14:paraId="6A546FA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12.73</w:t>
            </w:r>
          </w:p>
        </w:tc>
        <w:tc>
          <w:tcPr>
            <w:tcW w:w="1844" w:type="dxa"/>
          </w:tcPr>
          <w:p w14:paraId="4E7CA9B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12.69</w:t>
            </w:r>
          </w:p>
        </w:tc>
        <w:tc>
          <w:tcPr>
            <w:tcW w:w="1266" w:type="dxa"/>
          </w:tcPr>
          <w:p w14:paraId="444E7FA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12.78</w:t>
            </w:r>
          </w:p>
        </w:tc>
      </w:tr>
      <w:tr w14:paraId="187EA502">
        <w:trPr>
          <w:jc w:val="center"/>
        </w:trPr>
        <w:tc>
          <w:tcPr>
            <w:tcW w:w="636" w:type="dxa"/>
          </w:tcPr>
          <w:p w14:paraId="6A93BA2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2005</w:t>
            </w:r>
          </w:p>
        </w:tc>
        <w:tc>
          <w:tcPr>
            <w:tcW w:w="1686" w:type="dxa"/>
          </w:tcPr>
          <w:p w14:paraId="2B0004B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13.19</w:t>
            </w:r>
          </w:p>
        </w:tc>
        <w:tc>
          <w:tcPr>
            <w:tcW w:w="1476" w:type="dxa"/>
          </w:tcPr>
          <w:p w14:paraId="59DA982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13.27</w:t>
            </w:r>
          </w:p>
        </w:tc>
        <w:tc>
          <w:tcPr>
            <w:tcW w:w="1844" w:type="dxa"/>
          </w:tcPr>
          <w:p w14:paraId="0242591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13.22</w:t>
            </w:r>
          </w:p>
        </w:tc>
        <w:tc>
          <w:tcPr>
            <w:tcW w:w="1266" w:type="dxa"/>
          </w:tcPr>
          <w:p w14:paraId="77911BA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13.26</w:t>
            </w:r>
          </w:p>
        </w:tc>
      </w:tr>
      <w:tr w14:paraId="78D3CB5A">
        <w:trPr>
          <w:jc w:val="center"/>
        </w:trPr>
        <w:tc>
          <w:tcPr>
            <w:tcW w:w="636" w:type="dxa"/>
          </w:tcPr>
          <w:p w14:paraId="240E92E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2010</w:t>
            </w:r>
          </w:p>
        </w:tc>
        <w:tc>
          <w:tcPr>
            <w:tcW w:w="1686" w:type="dxa"/>
          </w:tcPr>
          <w:p w14:paraId="7C8268C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13.60</w:t>
            </w:r>
          </w:p>
        </w:tc>
        <w:tc>
          <w:tcPr>
            <w:tcW w:w="1476" w:type="dxa"/>
          </w:tcPr>
          <w:p w14:paraId="15F8042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13.71</w:t>
            </w:r>
          </w:p>
        </w:tc>
        <w:tc>
          <w:tcPr>
            <w:tcW w:w="1844" w:type="dxa"/>
          </w:tcPr>
          <w:p w14:paraId="7BECE77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13.77</w:t>
            </w:r>
          </w:p>
        </w:tc>
        <w:tc>
          <w:tcPr>
            <w:tcW w:w="1266" w:type="dxa"/>
          </w:tcPr>
          <w:p w14:paraId="45413B3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13.73</w:t>
            </w:r>
          </w:p>
        </w:tc>
      </w:tr>
      <w:tr w14:paraId="0A6CE8D2">
        <w:trPr>
          <w:jc w:val="center"/>
        </w:trPr>
        <w:tc>
          <w:tcPr>
            <w:tcW w:w="636" w:type="dxa"/>
          </w:tcPr>
          <w:p w14:paraId="129F7A3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2015</w:t>
            </w:r>
          </w:p>
        </w:tc>
        <w:tc>
          <w:tcPr>
            <w:tcW w:w="1686" w:type="dxa"/>
          </w:tcPr>
          <w:p w14:paraId="6E818C0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14.00</w:t>
            </w:r>
          </w:p>
        </w:tc>
        <w:tc>
          <w:tcPr>
            <w:tcW w:w="1476" w:type="dxa"/>
          </w:tcPr>
          <w:p w14:paraId="5FE1A4D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14.12</w:t>
            </w:r>
          </w:p>
        </w:tc>
        <w:tc>
          <w:tcPr>
            <w:tcW w:w="1844" w:type="dxa"/>
          </w:tcPr>
          <w:p w14:paraId="3AD5D2C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14.30</w:t>
            </w:r>
          </w:p>
        </w:tc>
        <w:tc>
          <w:tcPr>
            <w:tcW w:w="1266" w:type="dxa"/>
          </w:tcPr>
          <w:p w14:paraId="67B3D74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14.18</w:t>
            </w:r>
          </w:p>
        </w:tc>
      </w:tr>
      <w:tr w14:paraId="0493D16F">
        <w:trPr>
          <w:jc w:val="center"/>
        </w:trPr>
        <w:tc>
          <w:tcPr>
            <w:tcW w:w="636" w:type="dxa"/>
          </w:tcPr>
          <w:p w14:paraId="7BC0548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2020</w:t>
            </w:r>
          </w:p>
        </w:tc>
        <w:tc>
          <w:tcPr>
            <w:tcW w:w="1686" w:type="dxa"/>
          </w:tcPr>
          <w:p w14:paraId="49D139C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14.35</w:t>
            </w:r>
          </w:p>
        </w:tc>
        <w:tc>
          <w:tcPr>
            <w:tcW w:w="1476" w:type="dxa"/>
          </w:tcPr>
          <w:p w14:paraId="1DC1531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14.49</w:t>
            </w:r>
          </w:p>
        </w:tc>
        <w:tc>
          <w:tcPr>
            <w:tcW w:w="1844" w:type="dxa"/>
          </w:tcPr>
          <w:p w14:paraId="021450F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14.72</w:t>
            </w:r>
          </w:p>
        </w:tc>
        <w:tc>
          <w:tcPr>
            <w:tcW w:w="1266" w:type="dxa"/>
          </w:tcPr>
          <w:p w14:paraId="2F93871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14.18</w:t>
            </w:r>
          </w:p>
        </w:tc>
      </w:tr>
      <w:tr w14:paraId="04CEE8DD">
        <w:trPr>
          <w:jc w:val="center"/>
        </w:trPr>
        <w:tc>
          <w:tcPr>
            <w:tcW w:w="636" w:type="dxa"/>
          </w:tcPr>
          <w:p w14:paraId="2005699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2025</w:t>
            </w:r>
          </w:p>
        </w:tc>
        <w:tc>
          <w:tcPr>
            <w:tcW w:w="1686" w:type="dxa"/>
          </w:tcPr>
          <w:p w14:paraId="0D7A09E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14.63</w:t>
            </w:r>
          </w:p>
        </w:tc>
        <w:tc>
          <w:tcPr>
            <w:tcW w:w="1476" w:type="dxa"/>
          </w:tcPr>
          <w:p w14:paraId="597CD63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14.83</w:t>
            </w:r>
          </w:p>
        </w:tc>
        <w:tc>
          <w:tcPr>
            <w:tcW w:w="1844" w:type="dxa"/>
          </w:tcPr>
          <w:p w14:paraId="3A9C13E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15.04</w:t>
            </w:r>
          </w:p>
        </w:tc>
        <w:tc>
          <w:tcPr>
            <w:tcW w:w="1266" w:type="dxa"/>
          </w:tcPr>
          <w:p w14:paraId="0055956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14.80</w:t>
            </w:r>
          </w:p>
        </w:tc>
      </w:tr>
      <w:tr w14:paraId="14F61AD7">
        <w:trPr>
          <w:jc w:val="center"/>
        </w:trPr>
        <w:tc>
          <w:tcPr>
            <w:tcW w:w="636" w:type="dxa"/>
          </w:tcPr>
          <w:p w14:paraId="1A8FD33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2030</w:t>
            </w:r>
          </w:p>
        </w:tc>
        <w:tc>
          <w:tcPr>
            <w:tcW w:w="1686" w:type="dxa"/>
          </w:tcPr>
          <w:p w14:paraId="37021F6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14.79</w:t>
            </w:r>
          </w:p>
        </w:tc>
        <w:tc>
          <w:tcPr>
            <w:tcW w:w="1476" w:type="dxa"/>
          </w:tcPr>
          <w:p w14:paraId="7041D69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15.09</w:t>
            </w:r>
          </w:p>
        </w:tc>
        <w:tc>
          <w:tcPr>
            <w:tcW w:w="1844" w:type="dxa"/>
          </w:tcPr>
          <w:p w14:paraId="296AE54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15.25</w:t>
            </w:r>
          </w:p>
        </w:tc>
        <w:tc>
          <w:tcPr>
            <w:tcW w:w="1266" w:type="dxa"/>
          </w:tcPr>
          <w:p w14:paraId="5584DAA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14.96</w:t>
            </w:r>
          </w:p>
        </w:tc>
      </w:tr>
      <w:tr w14:paraId="21F21A1B">
        <w:trPr>
          <w:jc w:val="center"/>
        </w:trPr>
        <w:tc>
          <w:tcPr>
            <w:tcW w:w="636" w:type="dxa"/>
          </w:tcPr>
          <w:p w14:paraId="186B421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2035</w:t>
            </w:r>
          </w:p>
        </w:tc>
        <w:tc>
          <w:tcPr>
            <w:tcW w:w="1686" w:type="dxa"/>
          </w:tcPr>
          <w:p w14:paraId="7B9F888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14.87</w:t>
            </w:r>
          </w:p>
        </w:tc>
        <w:tc>
          <w:tcPr>
            <w:tcW w:w="1476" w:type="dxa"/>
          </w:tcPr>
          <w:p w14:paraId="0E4677D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15.27</w:t>
            </w:r>
          </w:p>
        </w:tc>
        <w:tc>
          <w:tcPr>
            <w:tcW w:w="1844" w:type="dxa"/>
          </w:tcPr>
          <w:p w14:paraId="6261F31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15.38</w:t>
            </w:r>
          </w:p>
        </w:tc>
        <w:tc>
          <w:tcPr>
            <w:tcW w:w="1266" w:type="dxa"/>
          </w:tcPr>
          <w:p w14:paraId="3A4F8D0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w:t>
            </w:r>
          </w:p>
        </w:tc>
      </w:tr>
      <w:tr w14:paraId="4A74FCF5">
        <w:trPr>
          <w:jc w:val="center"/>
        </w:trPr>
        <w:tc>
          <w:tcPr>
            <w:tcW w:w="636" w:type="dxa"/>
          </w:tcPr>
          <w:p w14:paraId="6143B8D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2040</w:t>
            </w:r>
          </w:p>
        </w:tc>
        <w:tc>
          <w:tcPr>
            <w:tcW w:w="1686" w:type="dxa"/>
          </w:tcPr>
          <w:p w14:paraId="5FBCB9B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14.85</w:t>
            </w:r>
          </w:p>
        </w:tc>
        <w:tc>
          <w:tcPr>
            <w:tcW w:w="1476" w:type="dxa"/>
          </w:tcPr>
          <w:p w14:paraId="05E760C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15.34</w:t>
            </w:r>
          </w:p>
        </w:tc>
        <w:tc>
          <w:tcPr>
            <w:tcW w:w="1844" w:type="dxa"/>
          </w:tcPr>
          <w:p w14:paraId="44A80EB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15.44</w:t>
            </w:r>
          </w:p>
        </w:tc>
        <w:tc>
          <w:tcPr>
            <w:tcW w:w="1266" w:type="dxa"/>
          </w:tcPr>
          <w:p w14:paraId="4EA0158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15.05</w:t>
            </w:r>
          </w:p>
        </w:tc>
      </w:tr>
      <w:tr w14:paraId="17AA97A5">
        <w:trPr>
          <w:jc w:val="center"/>
        </w:trPr>
        <w:tc>
          <w:tcPr>
            <w:tcW w:w="636" w:type="dxa"/>
          </w:tcPr>
          <w:p w14:paraId="2A108F3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2045</w:t>
            </w:r>
          </w:p>
        </w:tc>
        <w:tc>
          <w:tcPr>
            <w:tcW w:w="1686" w:type="dxa"/>
          </w:tcPr>
          <w:p w14:paraId="66E68E5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14.75</w:t>
            </w:r>
          </w:p>
        </w:tc>
        <w:tc>
          <w:tcPr>
            <w:tcW w:w="1476" w:type="dxa"/>
          </w:tcPr>
          <w:p w14:paraId="3267150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15.34</w:t>
            </w:r>
          </w:p>
        </w:tc>
        <w:tc>
          <w:tcPr>
            <w:tcW w:w="1844" w:type="dxa"/>
          </w:tcPr>
          <w:p w14:paraId="43F1471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15.38</w:t>
            </w:r>
          </w:p>
        </w:tc>
        <w:tc>
          <w:tcPr>
            <w:tcW w:w="1266" w:type="dxa"/>
          </w:tcPr>
          <w:p w14:paraId="51FDDE1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w:t>
            </w:r>
          </w:p>
        </w:tc>
      </w:tr>
      <w:tr w14:paraId="26217E03">
        <w:trPr>
          <w:jc w:val="center"/>
        </w:trPr>
        <w:tc>
          <w:tcPr>
            <w:tcW w:w="636" w:type="dxa"/>
          </w:tcPr>
          <w:p w14:paraId="2CF0AC2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2050</w:t>
            </w:r>
          </w:p>
        </w:tc>
        <w:tc>
          <w:tcPr>
            <w:tcW w:w="1686" w:type="dxa"/>
          </w:tcPr>
          <w:p w14:paraId="46AFE49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14.56</w:t>
            </w:r>
          </w:p>
        </w:tc>
        <w:tc>
          <w:tcPr>
            <w:tcW w:w="1476" w:type="dxa"/>
          </w:tcPr>
          <w:p w14:paraId="451A29B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15.30</w:t>
            </w:r>
          </w:p>
        </w:tc>
        <w:tc>
          <w:tcPr>
            <w:tcW w:w="1844" w:type="dxa"/>
          </w:tcPr>
          <w:p w14:paraId="40E671F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15.22</w:t>
            </w:r>
          </w:p>
        </w:tc>
        <w:tc>
          <w:tcPr>
            <w:tcW w:w="1266" w:type="dxa"/>
          </w:tcPr>
          <w:p w14:paraId="4B5F131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14.78</w:t>
            </w:r>
          </w:p>
        </w:tc>
      </w:tr>
    </w:tbl>
    <w:p w14:paraId="6EEFA4D1">
      <w:pPr>
        <w:spacing w:line="300" w:lineRule="auto"/>
        <w:ind w:firstLine="380" w:firstLineChars="200"/>
        <w:jc w:val="center"/>
        <w:rPr>
          <w:rFonts w:ascii="宋体" w:hAnsi="宋体" w:eastAsia="宋体" w:cs="Times New Roman"/>
          <w:sz w:val="18"/>
          <w:szCs w:val="18"/>
        </w:rPr>
      </w:pPr>
      <w:r>
        <w:rPr>
          <w:rFonts w:hint="eastAsia" w:ascii="宋体" w:hAnsi="宋体" w:eastAsia="宋体" w:cs="Times New Roman"/>
          <w:sz w:val="18"/>
          <w:szCs w:val="18"/>
        </w:rPr>
        <w:t>表3中国人口总数在未来百年的变动趋势（亿人）</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99"/>
        <w:gridCol w:w="1299"/>
        <w:gridCol w:w="1299"/>
        <w:gridCol w:w="1300"/>
      </w:tblGrid>
      <w:tr w14:paraId="6C42BE83">
        <w:trPr>
          <w:jc w:val="center"/>
        </w:trPr>
        <w:tc>
          <w:tcPr>
            <w:tcW w:w="1299" w:type="dxa"/>
          </w:tcPr>
          <w:p w14:paraId="0DD8C064">
            <w:pPr>
              <w:ind w:firstLine="320" w:firstLineChars="200"/>
              <w:rPr>
                <w:rFonts w:ascii="宋体" w:hAnsi="宋体" w:eastAsia="宋体" w:cs="Times New Roman"/>
                <w:sz w:val="15"/>
                <w:szCs w:val="15"/>
              </w:rPr>
            </w:pPr>
            <w:r>
              <w:rPr>
                <w:rFonts w:hint="eastAsia" w:ascii="宋体" w:hAnsi="宋体" w:eastAsia="宋体" w:cs="Times New Roman"/>
                <w:sz w:val="15"/>
                <w:szCs w:val="15"/>
              </w:rPr>
              <w:t>年份</w:t>
            </w:r>
          </w:p>
        </w:tc>
        <w:tc>
          <w:tcPr>
            <w:tcW w:w="1299" w:type="dxa"/>
          </w:tcPr>
          <w:p w14:paraId="337BC7DD">
            <w:pPr>
              <w:ind w:firstLine="320" w:firstLineChars="200"/>
              <w:rPr>
                <w:rFonts w:ascii="宋体" w:hAnsi="宋体" w:eastAsia="宋体" w:cs="Times New Roman"/>
                <w:sz w:val="15"/>
                <w:szCs w:val="15"/>
              </w:rPr>
            </w:pPr>
            <w:r>
              <w:rPr>
                <w:rFonts w:hint="eastAsia" w:ascii="宋体" w:hAnsi="宋体" w:eastAsia="宋体" w:cs="Times New Roman"/>
                <w:sz w:val="15"/>
                <w:szCs w:val="15"/>
              </w:rPr>
              <w:t>方案1</w:t>
            </w:r>
          </w:p>
        </w:tc>
        <w:tc>
          <w:tcPr>
            <w:tcW w:w="1299" w:type="dxa"/>
          </w:tcPr>
          <w:p w14:paraId="7765EA01">
            <w:pPr>
              <w:ind w:firstLine="320" w:firstLineChars="200"/>
              <w:rPr>
                <w:rFonts w:ascii="宋体" w:hAnsi="宋体" w:eastAsia="宋体" w:cs="Times New Roman"/>
                <w:sz w:val="15"/>
                <w:szCs w:val="15"/>
              </w:rPr>
            </w:pPr>
            <w:r>
              <w:rPr>
                <w:rFonts w:hint="eastAsia" w:ascii="宋体" w:hAnsi="宋体" w:eastAsia="宋体" w:cs="Times New Roman"/>
                <w:sz w:val="15"/>
                <w:szCs w:val="15"/>
              </w:rPr>
              <w:t>方案2</w:t>
            </w:r>
          </w:p>
        </w:tc>
        <w:tc>
          <w:tcPr>
            <w:tcW w:w="1300" w:type="dxa"/>
          </w:tcPr>
          <w:p w14:paraId="209706BE">
            <w:pPr>
              <w:ind w:firstLine="320" w:firstLineChars="200"/>
              <w:rPr>
                <w:rFonts w:ascii="宋体" w:hAnsi="宋体" w:eastAsia="宋体" w:cs="Times New Roman"/>
                <w:sz w:val="15"/>
                <w:szCs w:val="15"/>
              </w:rPr>
            </w:pPr>
            <w:r>
              <w:rPr>
                <w:rFonts w:hint="eastAsia" w:ascii="宋体" w:hAnsi="宋体" w:eastAsia="宋体" w:cs="Times New Roman"/>
                <w:sz w:val="15"/>
                <w:szCs w:val="15"/>
              </w:rPr>
              <w:t>方案3</w:t>
            </w:r>
          </w:p>
        </w:tc>
      </w:tr>
      <w:tr w14:paraId="52517A9D">
        <w:trPr>
          <w:jc w:val="center"/>
        </w:trPr>
        <w:tc>
          <w:tcPr>
            <w:tcW w:w="1299" w:type="dxa"/>
          </w:tcPr>
          <w:p w14:paraId="21DF1826">
            <w:pPr>
              <w:ind w:firstLine="320" w:firstLineChars="200"/>
              <w:rPr>
                <w:rFonts w:ascii="宋体" w:hAnsi="宋体" w:eastAsia="宋体" w:cs="Times New Roman"/>
                <w:sz w:val="15"/>
                <w:szCs w:val="15"/>
              </w:rPr>
            </w:pPr>
            <w:r>
              <w:rPr>
                <w:rFonts w:hint="eastAsia" w:ascii="宋体" w:hAnsi="宋体" w:eastAsia="宋体" w:cs="Times New Roman"/>
                <w:sz w:val="15"/>
                <w:szCs w:val="15"/>
              </w:rPr>
              <w:t>2000</w:t>
            </w:r>
          </w:p>
        </w:tc>
        <w:tc>
          <w:tcPr>
            <w:tcW w:w="1299" w:type="dxa"/>
          </w:tcPr>
          <w:p w14:paraId="4E39DD02">
            <w:pPr>
              <w:ind w:firstLine="320" w:firstLineChars="200"/>
              <w:rPr>
                <w:rFonts w:ascii="宋体" w:hAnsi="宋体" w:eastAsia="宋体" w:cs="Times New Roman"/>
                <w:sz w:val="15"/>
                <w:szCs w:val="15"/>
              </w:rPr>
            </w:pPr>
            <w:r>
              <w:rPr>
                <w:rFonts w:hint="eastAsia" w:ascii="宋体" w:hAnsi="宋体" w:eastAsia="宋体" w:cs="Times New Roman"/>
                <w:sz w:val="15"/>
                <w:szCs w:val="15"/>
              </w:rPr>
              <w:t>12.70</w:t>
            </w:r>
          </w:p>
        </w:tc>
        <w:tc>
          <w:tcPr>
            <w:tcW w:w="1299" w:type="dxa"/>
          </w:tcPr>
          <w:p w14:paraId="4AEDB39E">
            <w:pPr>
              <w:ind w:firstLine="320" w:firstLineChars="200"/>
              <w:rPr>
                <w:rFonts w:ascii="宋体" w:hAnsi="宋体" w:eastAsia="宋体" w:cs="Times New Roman"/>
                <w:sz w:val="15"/>
                <w:szCs w:val="15"/>
              </w:rPr>
            </w:pPr>
            <w:r>
              <w:rPr>
                <w:rFonts w:hint="eastAsia" w:ascii="宋体" w:hAnsi="宋体" w:eastAsia="宋体" w:cs="Times New Roman"/>
                <w:sz w:val="15"/>
                <w:szCs w:val="15"/>
              </w:rPr>
              <w:t>12.70</w:t>
            </w:r>
          </w:p>
        </w:tc>
        <w:tc>
          <w:tcPr>
            <w:tcW w:w="1300" w:type="dxa"/>
          </w:tcPr>
          <w:p w14:paraId="26788D81">
            <w:pPr>
              <w:ind w:firstLine="320" w:firstLineChars="200"/>
              <w:rPr>
                <w:rFonts w:ascii="宋体" w:hAnsi="宋体" w:eastAsia="宋体" w:cs="Times New Roman"/>
                <w:sz w:val="15"/>
                <w:szCs w:val="15"/>
              </w:rPr>
            </w:pPr>
            <w:r>
              <w:rPr>
                <w:rFonts w:hint="eastAsia" w:ascii="宋体" w:hAnsi="宋体" w:eastAsia="宋体" w:cs="Times New Roman"/>
                <w:sz w:val="15"/>
                <w:szCs w:val="15"/>
              </w:rPr>
              <w:t>12.70</w:t>
            </w:r>
          </w:p>
        </w:tc>
      </w:tr>
      <w:tr w14:paraId="4CFEC590">
        <w:trPr>
          <w:jc w:val="center"/>
        </w:trPr>
        <w:tc>
          <w:tcPr>
            <w:tcW w:w="1299" w:type="dxa"/>
          </w:tcPr>
          <w:p w14:paraId="3448F0C6">
            <w:pPr>
              <w:ind w:firstLine="320" w:firstLineChars="200"/>
              <w:rPr>
                <w:rFonts w:ascii="宋体" w:hAnsi="宋体" w:eastAsia="宋体" w:cs="Times New Roman"/>
                <w:sz w:val="15"/>
                <w:szCs w:val="15"/>
              </w:rPr>
            </w:pPr>
            <w:r>
              <w:rPr>
                <w:rFonts w:hint="eastAsia" w:ascii="宋体" w:hAnsi="宋体" w:eastAsia="宋体" w:cs="Times New Roman"/>
                <w:sz w:val="15"/>
                <w:szCs w:val="15"/>
              </w:rPr>
              <w:t>2010</w:t>
            </w:r>
          </w:p>
        </w:tc>
        <w:tc>
          <w:tcPr>
            <w:tcW w:w="1299" w:type="dxa"/>
          </w:tcPr>
          <w:p w14:paraId="1D88298E">
            <w:pPr>
              <w:ind w:firstLine="320" w:firstLineChars="200"/>
              <w:rPr>
                <w:rFonts w:ascii="宋体" w:hAnsi="宋体" w:eastAsia="宋体" w:cs="Times New Roman"/>
                <w:sz w:val="15"/>
                <w:szCs w:val="15"/>
              </w:rPr>
            </w:pPr>
            <w:r>
              <w:rPr>
                <w:rFonts w:hint="eastAsia" w:ascii="宋体" w:hAnsi="宋体" w:eastAsia="宋体" w:cs="Times New Roman"/>
                <w:sz w:val="15"/>
                <w:szCs w:val="15"/>
              </w:rPr>
              <w:t>13.44</w:t>
            </w:r>
          </w:p>
        </w:tc>
        <w:tc>
          <w:tcPr>
            <w:tcW w:w="1299" w:type="dxa"/>
          </w:tcPr>
          <w:p w14:paraId="1EC982D1">
            <w:pPr>
              <w:ind w:firstLine="320" w:firstLineChars="200"/>
              <w:rPr>
                <w:rFonts w:ascii="宋体" w:hAnsi="宋体" w:eastAsia="宋体" w:cs="Times New Roman"/>
                <w:sz w:val="15"/>
                <w:szCs w:val="15"/>
              </w:rPr>
            </w:pPr>
            <w:r>
              <w:rPr>
                <w:rFonts w:hint="eastAsia" w:ascii="宋体" w:hAnsi="宋体" w:eastAsia="宋体" w:cs="Times New Roman"/>
                <w:sz w:val="15"/>
                <w:szCs w:val="15"/>
              </w:rPr>
              <w:t>13.53</w:t>
            </w:r>
          </w:p>
        </w:tc>
        <w:tc>
          <w:tcPr>
            <w:tcW w:w="1300" w:type="dxa"/>
          </w:tcPr>
          <w:p w14:paraId="188FA638">
            <w:pPr>
              <w:ind w:firstLine="320" w:firstLineChars="200"/>
              <w:rPr>
                <w:rFonts w:ascii="宋体" w:hAnsi="宋体" w:eastAsia="宋体" w:cs="Times New Roman"/>
                <w:sz w:val="15"/>
                <w:szCs w:val="15"/>
              </w:rPr>
            </w:pPr>
            <w:r>
              <w:rPr>
                <w:rFonts w:hint="eastAsia" w:ascii="宋体" w:hAnsi="宋体" w:eastAsia="宋体" w:cs="Times New Roman"/>
                <w:sz w:val="15"/>
                <w:szCs w:val="15"/>
              </w:rPr>
              <w:t>13.69</w:t>
            </w:r>
          </w:p>
        </w:tc>
      </w:tr>
      <w:tr w14:paraId="0AFC818A">
        <w:trPr>
          <w:jc w:val="center"/>
        </w:trPr>
        <w:tc>
          <w:tcPr>
            <w:tcW w:w="1299" w:type="dxa"/>
          </w:tcPr>
          <w:p w14:paraId="21D8EA98">
            <w:pPr>
              <w:ind w:firstLine="320" w:firstLineChars="200"/>
              <w:rPr>
                <w:rFonts w:ascii="宋体" w:hAnsi="宋体" w:eastAsia="宋体" w:cs="Times New Roman"/>
                <w:sz w:val="15"/>
                <w:szCs w:val="15"/>
              </w:rPr>
            </w:pPr>
            <w:r>
              <w:rPr>
                <w:rFonts w:hint="eastAsia" w:ascii="宋体" w:hAnsi="宋体" w:eastAsia="宋体" w:cs="Times New Roman"/>
                <w:sz w:val="15"/>
                <w:szCs w:val="15"/>
              </w:rPr>
              <w:t>2020</w:t>
            </w:r>
          </w:p>
        </w:tc>
        <w:tc>
          <w:tcPr>
            <w:tcW w:w="1299" w:type="dxa"/>
          </w:tcPr>
          <w:p w14:paraId="5A8AAEAA">
            <w:pPr>
              <w:ind w:firstLine="320" w:firstLineChars="200"/>
              <w:rPr>
                <w:rFonts w:ascii="宋体" w:hAnsi="宋体" w:eastAsia="宋体" w:cs="Times New Roman"/>
                <w:sz w:val="15"/>
                <w:szCs w:val="15"/>
              </w:rPr>
            </w:pPr>
            <w:r>
              <w:rPr>
                <w:rFonts w:hint="eastAsia" w:ascii="宋体" w:hAnsi="宋体" w:eastAsia="宋体" w:cs="Times New Roman"/>
                <w:sz w:val="15"/>
                <w:szCs w:val="15"/>
              </w:rPr>
              <w:t>13.93</w:t>
            </w:r>
          </w:p>
        </w:tc>
        <w:tc>
          <w:tcPr>
            <w:tcW w:w="1299" w:type="dxa"/>
          </w:tcPr>
          <w:p w14:paraId="45A1246C">
            <w:pPr>
              <w:ind w:firstLine="320" w:firstLineChars="200"/>
              <w:rPr>
                <w:rFonts w:ascii="宋体" w:hAnsi="宋体" w:eastAsia="宋体" w:cs="Times New Roman"/>
                <w:sz w:val="15"/>
                <w:szCs w:val="15"/>
              </w:rPr>
            </w:pPr>
            <w:r>
              <w:rPr>
                <w:rFonts w:hint="eastAsia" w:ascii="宋体" w:hAnsi="宋体" w:eastAsia="宋体" w:cs="Times New Roman"/>
                <w:sz w:val="15"/>
                <w:szCs w:val="15"/>
              </w:rPr>
              <w:t>14.20</w:t>
            </w:r>
          </w:p>
        </w:tc>
        <w:tc>
          <w:tcPr>
            <w:tcW w:w="1300" w:type="dxa"/>
          </w:tcPr>
          <w:p w14:paraId="0056C689">
            <w:pPr>
              <w:ind w:firstLine="320" w:firstLineChars="200"/>
              <w:rPr>
                <w:rFonts w:ascii="宋体" w:hAnsi="宋体" w:eastAsia="宋体" w:cs="Times New Roman"/>
                <w:sz w:val="15"/>
                <w:szCs w:val="15"/>
              </w:rPr>
            </w:pPr>
            <w:r>
              <w:rPr>
                <w:rFonts w:hint="eastAsia" w:ascii="宋体" w:hAnsi="宋体" w:eastAsia="宋体" w:cs="Times New Roman"/>
                <w:sz w:val="15"/>
                <w:szCs w:val="15"/>
              </w:rPr>
              <w:t>14.66</w:t>
            </w:r>
          </w:p>
        </w:tc>
      </w:tr>
      <w:tr w14:paraId="4471D54B">
        <w:trPr>
          <w:jc w:val="center"/>
        </w:trPr>
        <w:tc>
          <w:tcPr>
            <w:tcW w:w="1299" w:type="dxa"/>
          </w:tcPr>
          <w:p w14:paraId="4C053BEF">
            <w:pPr>
              <w:ind w:firstLine="320" w:firstLineChars="200"/>
              <w:rPr>
                <w:rFonts w:ascii="宋体" w:hAnsi="宋体" w:eastAsia="宋体" w:cs="Times New Roman"/>
                <w:sz w:val="15"/>
                <w:szCs w:val="15"/>
              </w:rPr>
            </w:pPr>
            <w:r>
              <w:rPr>
                <w:rFonts w:hint="eastAsia" w:ascii="宋体" w:hAnsi="宋体" w:eastAsia="宋体" w:cs="Times New Roman"/>
                <w:sz w:val="15"/>
                <w:szCs w:val="15"/>
              </w:rPr>
              <w:t>2030</w:t>
            </w:r>
          </w:p>
        </w:tc>
        <w:tc>
          <w:tcPr>
            <w:tcW w:w="1299" w:type="dxa"/>
          </w:tcPr>
          <w:p w14:paraId="6AF81BB1">
            <w:pPr>
              <w:ind w:firstLine="320" w:firstLineChars="200"/>
              <w:rPr>
                <w:rFonts w:ascii="宋体" w:hAnsi="宋体" w:eastAsia="宋体" w:cs="Times New Roman"/>
                <w:sz w:val="15"/>
                <w:szCs w:val="15"/>
              </w:rPr>
            </w:pPr>
            <w:r>
              <w:rPr>
                <w:rFonts w:hint="eastAsia" w:ascii="宋体" w:hAnsi="宋体" w:eastAsia="宋体" w:cs="Times New Roman"/>
                <w:sz w:val="15"/>
                <w:szCs w:val="15"/>
              </w:rPr>
              <w:t>13.96</w:t>
            </w:r>
          </w:p>
        </w:tc>
        <w:tc>
          <w:tcPr>
            <w:tcW w:w="1299" w:type="dxa"/>
          </w:tcPr>
          <w:p w14:paraId="3AEB5243">
            <w:pPr>
              <w:ind w:firstLine="320" w:firstLineChars="200"/>
              <w:rPr>
                <w:rFonts w:ascii="宋体" w:hAnsi="宋体" w:eastAsia="宋体" w:cs="Times New Roman"/>
                <w:sz w:val="15"/>
                <w:szCs w:val="15"/>
              </w:rPr>
            </w:pPr>
            <w:r>
              <w:rPr>
                <w:rFonts w:hint="eastAsia" w:ascii="宋体" w:hAnsi="宋体" w:eastAsia="宋体" w:cs="Times New Roman"/>
                <w:sz w:val="15"/>
                <w:szCs w:val="15"/>
              </w:rPr>
              <w:t>14.22</w:t>
            </w:r>
          </w:p>
        </w:tc>
        <w:tc>
          <w:tcPr>
            <w:tcW w:w="1300" w:type="dxa"/>
          </w:tcPr>
          <w:p w14:paraId="6045729E">
            <w:pPr>
              <w:ind w:firstLine="320" w:firstLineChars="200"/>
              <w:rPr>
                <w:rFonts w:ascii="宋体" w:hAnsi="宋体" w:eastAsia="宋体" w:cs="Times New Roman"/>
                <w:sz w:val="15"/>
                <w:szCs w:val="15"/>
              </w:rPr>
            </w:pPr>
            <w:r>
              <w:rPr>
                <w:rFonts w:hint="eastAsia" w:ascii="宋体" w:hAnsi="宋体" w:eastAsia="宋体" w:cs="Times New Roman"/>
                <w:sz w:val="15"/>
                <w:szCs w:val="15"/>
              </w:rPr>
              <w:t>15.18</w:t>
            </w:r>
          </w:p>
        </w:tc>
      </w:tr>
      <w:tr w14:paraId="5CF8B309">
        <w:trPr>
          <w:jc w:val="center"/>
        </w:trPr>
        <w:tc>
          <w:tcPr>
            <w:tcW w:w="1299" w:type="dxa"/>
          </w:tcPr>
          <w:p w14:paraId="13BF8C35">
            <w:pPr>
              <w:ind w:firstLine="320" w:firstLineChars="200"/>
              <w:rPr>
                <w:rFonts w:ascii="宋体" w:hAnsi="宋体" w:eastAsia="宋体" w:cs="Times New Roman"/>
                <w:sz w:val="15"/>
                <w:szCs w:val="15"/>
              </w:rPr>
            </w:pPr>
            <w:r>
              <w:rPr>
                <w:rFonts w:hint="eastAsia" w:ascii="宋体" w:hAnsi="宋体" w:eastAsia="宋体" w:cs="Times New Roman"/>
                <w:sz w:val="15"/>
                <w:szCs w:val="15"/>
              </w:rPr>
              <w:t>2040</w:t>
            </w:r>
          </w:p>
        </w:tc>
        <w:tc>
          <w:tcPr>
            <w:tcW w:w="1299" w:type="dxa"/>
          </w:tcPr>
          <w:p w14:paraId="6462D3DE">
            <w:pPr>
              <w:ind w:firstLine="320" w:firstLineChars="200"/>
              <w:rPr>
                <w:rFonts w:ascii="宋体" w:hAnsi="宋体" w:eastAsia="宋体" w:cs="Times New Roman"/>
                <w:sz w:val="15"/>
                <w:szCs w:val="15"/>
              </w:rPr>
            </w:pPr>
            <w:r>
              <w:rPr>
                <w:rFonts w:hint="eastAsia" w:ascii="宋体" w:hAnsi="宋体" w:eastAsia="宋体" w:cs="Times New Roman"/>
                <w:sz w:val="15"/>
                <w:szCs w:val="15"/>
              </w:rPr>
              <w:t>13.52</w:t>
            </w:r>
          </w:p>
        </w:tc>
        <w:tc>
          <w:tcPr>
            <w:tcW w:w="1299" w:type="dxa"/>
          </w:tcPr>
          <w:p w14:paraId="06770746">
            <w:pPr>
              <w:ind w:firstLine="320" w:firstLineChars="200"/>
              <w:rPr>
                <w:rFonts w:ascii="宋体" w:hAnsi="宋体" w:eastAsia="宋体" w:cs="Times New Roman"/>
                <w:sz w:val="15"/>
                <w:szCs w:val="15"/>
              </w:rPr>
            </w:pPr>
            <w:r>
              <w:rPr>
                <w:rFonts w:hint="eastAsia" w:ascii="宋体" w:hAnsi="宋体" w:eastAsia="宋体" w:cs="Times New Roman"/>
                <w:sz w:val="15"/>
                <w:szCs w:val="15"/>
              </w:rPr>
              <w:t>14.23</w:t>
            </w:r>
          </w:p>
        </w:tc>
        <w:tc>
          <w:tcPr>
            <w:tcW w:w="1300" w:type="dxa"/>
          </w:tcPr>
          <w:p w14:paraId="37F1EDBB">
            <w:pPr>
              <w:ind w:firstLine="320" w:firstLineChars="200"/>
              <w:rPr>
                <w:rFonts w:ascii="宋体" w:hAnsi="宋体" w:eastAsia="宋体" w:cs="Times New Roman"/>
                <w:sz w:val="15"/>
                <w:szCs w:val="15"/>
              </w:rPr>
            </w:pPr>
            <w:r>
              <w:rPr>
                <w:rFonts w:hint="eastAsia" w:ascii="宋体" w:hAnsi="宋体" w:eastAsia="宋体" w:cs="Times New Roman"/>
                <w:sz w:val="15"/>
                <w:szCs w:val="15"/>
              </w:rPr>
              <w:t>15.47</w:t>
            </w:r>
          </w:p>
        </w:tc>
      </w:tr>
      <w:tr w14:paraId="7C998091">
        <w:trPr>
          <w:jc w:val="center"/>
        </w:trPr>
        <w:tc>
          <w:tcPr>
            <w:tcW w:w="1299" w:type="dxa"/>
          </w:tcPr>
          <w:p w14:paraId="2045435D">
            <w:pPr>
              <w:ind w:firstLine="320" w:firstLineChars="200"/>
              <w:rPr>
                <w:rFonts w:ascii="宋体" w:hAnsi="宋体" w:eastAsia="宋体" w:cs="Times New Roman"/>
                <w:sz w:val="15"/>
                <w:szCs w:val="15"/>
              </w:rPr>
            </w:pPr>
            <w:r>
              <w:rPr>
                <w:rFonts w:hint="eastAsia" w:ascii="宋体" w:hAnsi="宋体" w:eastAsia="宋体" w:cs="Times New Roman"/>
                <w:sz w:val="15"/>
                <w:szCs w:val="15"/>
              </w:rPr>
              <w:t>2050</w:t>
            </w:r>
          </w:p>
        </w:tc>
        <w:tc>
          <w:tcPr>
            <w:tcW w:w="1299" w:type="dxa"/>
          </w:tcPr>
          <w:p w14:paraId="543E1386">
            <w:pPr>
              <w:ind w:firstLine="320" w:firstLineChars="200"/>
              <w:rPr>
                <w:rFonts w:ascii="宋体" w:hAnsi="宋体" w:eastAsia="宋体" w:cs="Times New Roman"/>
                <w:sz w:val="15"/>
                <w:szCs w:val="15"/>
              </w:rPr>
            </w:pPr>
            <w:r>
              <w:rPr>
                <w:rFonts w:hint="eastAsia" w:ascii="宋体" w:hAnsi="宋体" w:eastAsia="宋体" w:cs="Times New Roman"/>
                <w:sz w:val="15"/>
                <w:szCs w:val="15"/>
              </w:rPr>
              <w:t>12.72</w:t>
            </w:r>
          </w:p>
        </w:tc>
        <w:tc>
          <w:tcPr>
            <w:tcW w:w="1299" w:type="dxa"/>
          </w:tcPr>
          <w:p w14:paraId="218C6B9C">
            <w:pPr>
              <w:ind w:firstLine="320" w:firstLineChars="200"/>
              <w:rPr>
                <w:rFonts w:ascii="宋体" w:hAnsi="宋体" w:eastAsia="宋体" w:cs="Times New Roman"/>
                <w:sz w:val="15"/>
                <w:szCs w:val="15"/>
              </w:rPr>
            </w:pPr>
            <w:r>
              <w:rPr>
                <w:rFonts w:hint="eastAsia" w:ascii="宋体" w:hAnsi="宋体" w:eastAsia="宋体" w:cs="Times New Roman"/>
                <w:sz w:val="15"/>
                <w:szCs w:val="15"/>
              </w:rPr>
              <w:t>13.69</w:t>
            </w:r>
          </w:p>
        </w:tc>
        <w:tc>
          <w:tcPr>
            <w:tcW w:w="1300" w:type="dxa"/>
          </w:tcPr>
          <w:p w14:paraId="045402F6">
            <w:pPr>
              <w:ind w:firstLine="320" w:firstLineChars="200"/>
              <w:rPr>
                <w:rFonts w:ascii="宋体" w:hAnsi="宋体" w:eastAsia="宋体" w:cs="Times New Roman"/>
                <w:sz w:val="15"/>
                <w:szCs w:val="15"/>
              </w:rPr>
            </w:pPr>
            <w:r>
              <w:rPr>
                <w:rFonts w:hint="eastAsia" w:ascii="宋体" w:hAnsi="宋体" w:eastAsia="宋体" w:cs="Times New Roman"/>
                <w:sz w:val="15"/>
                <w:szCs w:val="15"/>
              </w:rPr>
              <w:t>15.44</w:t>
            </w:r>
          </w:p>
        </w:tc>
      </w:tr>
      <w:tr w14:paraId="59FBFE7D">
        <w:trPr>
          <w:jc w:val="center"/>
        </w:trPr>
        <w:tc>
          <w:tcPr>
            <w:tcW w:w="1299" w:type="dxa"/>
          </w:tcPr>
          <w:p w14:paraId="0C9B9217">
            <w:pPr>
              <w:ind w:firstLine="320" w:firstLineChars="200"/>
              <w:rPr>
                <w:rFonts w:ascii="宋体" w:hAnsi="宋体" w:eastAsia="宋体" w:cs="Times New Roman"/>
                <w:sz w:val="15"/>
                <w:szCs w:val="15"/>
              </w:rPr>
            </w:pPr>
            <w:r>
              <w:rPr>
                <w:rFonts w:hint="eastAsia" w:ascii="宋体" w:hAnsi="宋体" w:eastAsia="宋体" w:cs="Times New Roman"/>
                <w:sz w:val="15"/>
                <w:szCs w:val="15"/>
              </w:rPr>
              <w:t>2060</w:t>
            </w:r>
          </w:p>
        </w:tc>
        <w:tc>
          <w:tcPr>
            <w:tcW w:w="1299" w:type="dxa"/>
          </w:tcPr>
          <w:p w14:paraId="00B1A3B7">
            <w:pPr>
              <w:ind w:firstLine="320" w:firstLineChars="200"/>
              <w:rPr>
                <w:rFonts w:ascii="宋体" w:hAnsi="宋体" w:eastAsia="宋体" w:cs="Times New Roman"/>
                <w:sz w:val="15"/>
                <w:szCs w:val="15"/>
              </w:rPr>
            </w:pPr>
            <w:r>
              <w:rPr>
                <w:rFonts w:hint="eastAsia" w:ascii="宋体" w:hAnsi="宋体" w:eastAsia="宋体" w:cs="Times New Roman"/>
                <w:sz w:val="15"/>
                <w:szCs w:val="15"/>
              </w:rPr>
              <w:t>11.68</w:t>
            </w:r>
          </w:p>
        </w:tc>
        <w:tc>
          <w:tcPr>
            <w:tcW w:w="1299" w:type="dxa"/>
          </w:tcPr>
          <w:p w14:paraId="156E2854">
            <w:pPr>
              <w:ind w:firstLine="320" w:firstLineChars="200"/>
              <w:rPr>
                <w:rFonts w:ascii="宋体" w:hAnsi="宋体" w:eastAsia="宋体" w:cs="Times New Roman"/>
                <w:sz w:val="15"/>
                <w:szCs w:val="15"/>
              </w:rPr>
            </w:pPr>
            <w:r>
              <w:rPr>
                <w:rFonts w:hint="eastAsia" w:ascii="宋体" w:hAnsi="宋体" w:eastAsia="宋体" w:cs="Times New Roman"/>
                <w:sz w:val="15"/>
                <w:szCs w:val="15"/>
              </w:rPr>
              <w:t>12.94</w:t>
            </w:r>
          </w:p>
        </w:tc>
        <w:tc>
          <w:tcPr>
            <w:tcW w:w="1300" w:type="dxa"/>
          </w:tcPr>
          <w:p w14:paraId="0C678331">
            <w:pPr>
              <w:ind w:firstLine="320" w:firstLineChars="200"/>
              <w:rPr>
                <w:rFonts w:ascii="宋体" w:hAnsi="宋体" w:eastAsia="宋体" w:cs="Times New Roman"/>
                <w:sz w:val="15"/>
                <w:szCs w:val="15"/>
              </w:rPr>
            </w:pPr>
            <w:r>
              <w:rPr>
                <w:rFonts w:hint="eastAsia" w:ascii="宋体" w:hAnsi="宋体" w:eastAsia="宋体" w:cs="Times New Roman"/>
                <w:sz w:val="15"/>
                <w:szCs w:val="15"/>
              </w:rPr>
              <w:t>15.28</w:t>
            </w:r>
          </w:p>
        </w:tc>
      </w:tr>
      <w:tr w14:paraId="08E44D3B">
        <w:trPr>
          <w:jc w:val="center"/>
        </w:trPr>
        <w:tc>
          <w:tcPr>
            <w:tcW w:w="1299" w:type="dxa"/>
          </w:tcPr>
          <w:p w14:paraId="40DC43A2">
            <w:pPr>
              <w:ind w:firstLine="320" w:firstLineChars="200"/>
              <w:rPr>
                <w:rFonts w:ascii="宋体" w:hAnsi="宋体" w:eastAsia="宋体" w:cs="Times New Roman"/>
                <w:sz w:val="15"/>
                <w:szCs w:val="15"/>
              </w:rPr>
            </w:pPr>
            <w:r>
              <w:rPr>
                <w:rFonts w:hint="eastAsia" w:ascii="宋体" w:hAnsi="宋体" w:eastAsia="宋体" w:cs="Times New Roman"/>
                <w:sz w:val="15"/>
                <w:szCs w:val="15"/>
              </w:rPr>
              <w:t>2070</w:t>
            </w:r>
          </w:p>
        </w:tc>
        <w:tc>
          <w:tcPr>
            <w:tcW w:w="1299" w:type="dxa"/>
          </w:tcPr>
          <w:p w14:paraId="2FD174FF">
            <w:pPr>
              <w:ind w:firstLine="320" w:firstLineChars="200"/>
              <w:rPr>
                <w:rFonts w:ascii="宋体" w:hAnsi="宋体" w:eastAsia="宋体" w:cs="Times New Roman"/>
                <w:sz w:val="15"/>
                <w:szCs w:val="15"/>
              </w:rPr>
            </w:pPr>
            <w:r>
              <w:rPr>
                <w:rFonts w:hint="eastAsia" w:ascii="宋体" w:hAnsi="宋体" w:eastAsia="宋体" w:cs="Times New Roman"/>
                <w:sz w:val="15"/>
                <w:szCs w:val="15"/>
              </w:rPr>
              <w:t>10.68</w:t>
            </w:r>
          </w:p>
        </w:tc>
        <w:tc>
          <w:tcPr>
            <w:tcW w:w="1299" w:type="dxa"/>
          </w:tcPr>
          <w:p w14:paraId="68229365">
            <w:pPr>
              <w:ind w:firstLine="320" w:firstLineChars="200"/>
              <w:rPr>
                <w:rFonts w:ascii="宋体" w:hAnsi="宋体" w:eastAsia="宋体" w:cs="Times New Roman"/>
                <w:sz w:val="15"/>
                <w:szCs w:val="15"/>
              </w:rPr>
            </w:pPr>
            <w:r>
              <w:rPr>
                <w:rFonts w:hint="eastAsia" w:ascii="宋体" w:hAnsi="宋体" w:eastAsia="宋体" w:cs="Times New Roman"/>
                <w:sz w:val="15"/>
                <w:szCs w:val="15"/>
              </w:rPr>
              <w:t>12.25</w:t>
            </w:r>
          </w:p>
        </w:tc>
        <w:tc>
          <w:tcPr>
            <w:tcW w:w="1300" w:type="dxa"/>
          </w:tcPr>
          <w:p w14:paraId="41B7A1C1">
            <w:pPr>
              <w:ind w:firstLine="320" w:firstLineChars="200"/>
              <w:rPr>
                <w:rFonts w:ascii="宋体" w:hAnsi="宋体" w:eastAsia="宋体" w:cs="Times New Roman"/>
                <w:sz w:val="15"/>
                <w:szCs w:val="15"/>
              </w:rPr>
            </w:pPr>
            <w:r>
              <w:rPr>
                <w:rFonts w:hint="eastAsia" w:ascii="宋体" w:hAnsi="宋体" w:eastAsia="宋体" w:cs="Times New Roman"/>
                <w:sz w:val="15"/>
                <w:szCs w:val="15"/>
              </w:rPr>
              <w:t>15.27</w:t>
            </w:r>
          </w:p>
        </w:tc>
      </w:tr>
      <w:tr w14:paraId="07A8B2DB">
        <w:trPr>
          <w:jc w:val="center"/>
        </w:trPr>
        <w:tc>
          <w:tcPr>
            <w:tcW w:w="1299" w:type="dxa"/>
          </w:tcPr>
          <w:p w14:paraId="27CA6535">
            <w:pPr>
              <w:ind w:firstLine="320" w:firstLineChars="200"/>
              <w:rPr>
                <w:rFonts w:ascii="宋体" w:hAnsi="宋体" w:eastAsia="宋体" w:cs="Times New Roman"/>
                <w:sz w:val="15"/>
                <w:szCs w:val="15"/>
              </w:rPr>
            </w:pPr>
            <w:r>
              <w:rPr>
                <w:rFonts w:hint="eastAsia" w:ascii="宋体" w:hAnsi="宋体" w:eastAsia="宋体" w:cs="Times New Roman"/>
                <w:sz w:val="15"/>
                <w:szCs w:val="15"/>
              </w:rPr>
              <w:t>2080</w:t>
            </w:r>
          </w:p>
        </w:tc>
        <w:tc>
          <w:tcPr>
            <w:tcW w:w="1299" w:type="dxa"/>
          </w:tcPr>
          <w:p w14:paraId="17E66F61">
            <w:pPr>
              <w:ind w:firstLine="320" w:firstLineChars="200"/>
              <w:rPr>
                <w:rFonts w:ascii="宋体" w:hAnsi="宋体" w:eastAsia="宋体" w:cs="Times New Roman"/>
                <w:sz w:val="15"/>
                <w:szCs w:val="15"/>
              </w:rPr>
            </w:pPr>
            <w:r>
              <w:rPr>
                <w:rFonts w:hint="eastAsia" w:ascii="宋体" w:hAnsi="宋体" w:eastAsia="宋体" w:cs="Times New Roman"/>
                <w:sz w:val="15"/>
                <w:szCs w:val="15"/>
              </w:rPr>
              <w:t>9.67</w:t>
            </w:r>
          </w:p>
        </w:tc>
        <w:tc>
          <w:tcPr>
            <w:tcW w:w="1299" w:type="dxa"/>
          </w:tcPr>
          <w:p w14:paraId="69553268">
            <w:pPr>
              <w:ind w:firstLine="320" w:firstLineChars="200"/>
              <w:rPr>
                <w:rFonts w:ascii="宋体" w:hAnsi="宋体" w:eastAsia="宋体" w:cs="Times New Roman"/>
                <w:sz w:val="15"/>
                <w:szCs w:val="15"/>
              </w:rPr>
            </w:pPr>
            <w:r>
              <w:rPr>
                <w:rFonts w:hint="eastAsia" w:ascii="宋体" w:hAnsi="宋体" w:eastAsia="宋体" w:cs="Times New Roman"/>
                <w:sz w:val="15"/>
                <w:szCs w:val="15"/>
              </w:rPr>
              <w:t>11.54</w:t>
            </w:r>
          </w:p>
        </w:tc>
        <w:tc>
          <w:tcPr>
            <w:tcW w:w="1300" w:type="dxa"/>
          </w:tcPr>
          <w:p w14:paraId="7B0D09B3">
            <w:pPr>
              <w:ind w:firstLine="320" w:firstLineChars="200"/>
              <w:rPr>
                <w:rFonts w:ascii="宋体" w:hAnsi="宋体" w:eastAsia="宋体" w:cs="Times New Roman"/>
                <w:sz w:val="15"/>
                <w:szCs w:val="15"/>
              </w:rPr>
            </w:pPr>
            <w:r>
              <w:rPr>
                <w:rFonts w:hint="eastAsia" w:ascii="宋体" w:hAnsi="宋体" w:eastAsia="宋体" w:cs="Times New Roman"/>
                <w:sz w:val="15"/>
                <w:szCs w:val="15"/>
              </w:rPr>
              <w:t>15.22</w:t>
            </w:r>
          </w:p>
        </w:tc>
      </w:tr>
      <w:tr w14:paraId="544B7A54">
        <w:trPr>
          <w:jc w:val="center"/>
        </w:trPr>
        <w:tc>
          <w:tcPr>
            <w:tcW w:w="1299" w:type="dxa"/>
          </w:tcPr>
          <w:p w14:paraId="1BAF7DCA">
            <w:pPr>
              <w:ind w:firstLine="320" w:firstLineChars="200"/>
              <w:rPr>
                <w:rFonts w:ascii="宋体" w:hAnsi="宋体" w:eastAsia="宋体" w:cs="Times New Roman"/>
                <w:sz w:val="15"/>
                <w:szCs w:val="15"/>
              </w:rPr>
            </w:pPr>
            <w:r>
              <w:rPr>
                <w:rFonts w:hint="eastAsia" w:ascii="宋体" w:hAnsi="宋体" w:eastAsia="宋体" w:cs="Times New Roman"/>
                <w:sz w:val="15"/>
                <w:szCs w:val="15"/>
              </w:rPr>
              <w:t>2090</w:t>
            </w:r>
          </w:p>
        </w:tc>
        <w:tc>
          <w:tcPr>
            <w:tcW w:w="1299" w:type="dxa"/>
          </w:tcPr>
          <w:p w14:paraId="4FF43513">
            <w:pPr>
              <w:ind w:firstLine="320" w:firstLineChars="200"/>
              <w:rPr>
                <w:rFonts w:ascii="宋体" w:hAnsi="宋体" w:eastAsia="宋体" w:cs="Times New Roman"/>
                <w:sz w:val="15"/>
                <w:szCs w:val="15"/>
              </w:rPr>
            </w:pPr>
            <w:r>
              <w:rPr>
                <w:rFonts w:hint="eastAsia" w:ascii="宋体" w:hAnsi="宋体" w:eastAsia="宋体" w:cs="Times New Roman"/>
                <w:sz w:val="15"/>
                <w:szCs w:val="15"/>
              </w:rPr>
              <w:t>8.79</w:t>
            </w:r>
          </w:p>
        </w:tc>
        <w:tc>
          <w:tcPr>
            <w:tcW w:w="1299" w:type="dxa"/>
          </w:tcPr>
          <w:p w14:paraId="46C80FD1">
            <w:pPr>
              <w:ind w:firstLine="320" w:firstLineChars="200"/>
              <w:rPr>
                <w:rFonts w:ascii="宋体" w:hAnsi="宋体" w:eastAsia="宋体" w:cs="Times New Roman"/>
                <w:sz w:val="15"/>
                <w:szCs w:val="15"/>
              </w:rPr>
            </w:pPr>
            <w:r>
              <w:rPr>
                <w:rFonts w:hint="eastAsia" w:ascii="宋体" w:hAnsi="宋体" w:eastAsia="宋体" w:cs="Times New Roman"/>
                <w:sz w:val="15"/>
                <w:szCs w:val="15"/>
              </w:rPr>
              <w:t>10.92</w:t>
            </w:r>
          </w:p>
        </w:tc>
        <w:tc>
          <w:tcPr>
            <w:tcW w:w="1300" w:type="dxa"/>
          </w:tcPr>
          <w:p w14:paraId="00FDEA60">
            <w:pPr>
              <w:ind w:firstLine="320" w:firstLineChars="200"/>
              <w:rPr>
                <w:rFonts w:ascii="宋体" w:hAnsi="宋体" w:eastAsia="宋体" w:cs="Times New Roman"/>
                <w:sz w:val="15"/>
                <w:szCs w:val="15"/>
              </w:rPr>
            </w:pPr>
            <w:r>
              <w:rPr>
                <w:rFonts w:hint="eastAsia" w:ascii="宋体" w:hAnsi="宋体" w:eastAsia="宋体" w:cs="Times New Roman"/>
                <w:sz w:val="15"/>
                <w:szCs w:val="15"/>
              </w:rPr>
              <w:t>15.29</w:t>
            </w:r>
          </w:p>
        </w:tc>
      </w:tr>
      <w:tr w14:paraId="3981F431">
        <w:trPr>
          <w:jc w:val="center"/>
        </w:trPr>
        <w:tc>
          <w:tcPr>
            <w:tcW w:w="1299" w:type="dxa"/>
          </w:tcPr>
          <w:p w14:paraId="20ACD3B4">
            <w:pPr>
              <w:ind w:firstLine="320" w:firstLineChars="200"/>
              <w:rPr>
                <w:rFonts w:ascii="宋体" w:hAnsi="宋体" w:eastAsia="宋体" w:cs="Times New Roman"/>
                <w:sz w:val="15"/>
                <w:szCs w:val="15"/>
              </w:rPr>
            </w:pPr>
            <w:r>
              <w:rPr>
                <w:rFonts w:hint="eastAsia" w:ascii="宋体" w:hAnsi="宋体" w:eastAsia="宋体" w:cs="Times New Roman"/>
                <w:sz w:val="15"/>
                <w:szCs w:val="15"/>
              </w:rPr>
              <w:t>2100</w:t>
            </w:r>
          </w:p>
        </w:tc>
        <w:tc>
          <w:tcPr>
            <w:tcW w:w="1299" w:type="dxa"/>
          </w:tcPr>
          <w:p w14:paraId="34F955B0">
            <w:pPr>
              <w:ind w:firstLine="320" w:firstLineChars="200"/>
              <w:rPr>
                <w:rFonts w:ascii="宋体" w:hAnsi="宋体" w:eastAsia="宋体" w:cs="Times New Roman"/>
                <w:sz w:val="15"/>
                <w:szCs w:val="15"/>
              </w:rPr>
            </w:pPr>
            <w:r>
              <w:rPr>
                <w:rFonts w:hint="eastAsia" w:ascii="宋体" w:hAnsi="宋体" w:eastAsia="宋体" w:cs="Times New Roman"/>
                <w:sz w:val="15"/>
                <w:szCs w:val="15"/>
              </w:rPr>
              <w:t>8.00</w:t>
            </w:r>
          </w:p>
        </w:tc>
        <w:tc>
          <w:tcPr>
            <w:tcW w:w="1299" w:type="dxa"/>
          </w:tcPr>
          <w:p w14:paraId="26AFA359">
            <w:pPr>
              <w:ind w:firstLine="320" w:firstLineChars="200"/>
              <w:rPr>
                <w:rFonts w:ascii="宋体" w:hAnsi="宋体" w:eastAsia="宋体" w:cs="Times New Roman"/>
                <w:sz w:val="15"/>
                <w:szCs w:val="15"/>
              </w:rPr>
            </w:pPr>
            <w:r>
              <w:rPr>
                <w:rFonts w:hint="eastAsia" w:ascii="宋体" w:hAnsi="宋体" w:eastAsia="宋体" w:cs="Times New Roman"/>
                <w:sz w:val="15"/>
                <w:szCs w:val="15"/>
              </w:rPr>
              <w:t>10.33</w:t>
            </w:r>
          </w:p>
        </w:tc>
        <w:tc>
          <w:tcPr>
            <w:tcW w:w="1300" w:type="dxa"/>
          </w:tcPr>
          <w:p w14:paraId="35407F00">
            <w:pPr>
              <w:ind w:firstLine="320" w:firstLineChars="200"/>
              <w:rPr>
                <w:rFonts w:ascii="宋体" w:hAnsi="宋体" w:eastAsia="宋体" w:cs="Times New Roman"/>
                <w:sz w:val="15"/>
                <w:szCs w:val="15"/>
              </w:rPr>
            </w:pPr>
            <w:r>
              <w:rPr>
                <w:rFonts w:hint="eastAsia" w:ascii="宋体" w:hAnsi="宋体" w:eastAsia="宋体" w:cs="Times New Roman"/>
                <w:sz w:val="15"/>
                <w:szCs w:val="15"/>
              </w:rPr>
              <w:t>15.33</w:t>
            </w:r>
          </w:p>
        </w:tc>
      </w:tr>
      <w:tr w14:paraId="65AAF516">
        <w:trPr>
          <w:jc w:val="center"/>
        </w:trPr>
        <w:tc>
          <w:tcPr>
            <w:tcW w:w="1299" w:type="dxa"/>
          </w:tcPr>
          <w:p w14:paraId="27C1C3B5">
            <w:pPr>
              <w:ind w:firstLine="320" w:firstLineChars="200"/>
              <w:rPr>
                <w:rFonts w:ascii="宋体" w:hAnsi="宋体" w:eastAsia="宋体" w:cs="Times New Roman"/>
                <w:sz w:val="15"/>
                <w:szCs w:val="15"/>
              </w:rPr>
            </w:pPr>
            <w:r>
              <w:rPr>
                <w:rFonts w:hint="eastAsia" w:ascii="宋体" w:hAnsi="宋体" w:eastAsia="宋体" w:cs="Times New Roman"/>
                <w:sz w:val="15"/>
                <w:szCs w:val="15"/>
              </w:rPr>
              <w:t>人口峰值</w:t>
            </w:r>
          </w:p>
        </w:tc>
        <w:tc>
          <w:tcPr>
            <w:tcW w:w="1299" w:type="dxa"/>
          </w:tcPr>
          <w:p w14:paraId="1DC54F8B">
            <w:pPr>
              <w:ind w:firstLine="320" w:firstLineChars="200"/>
              <w:rPr>
                <w:rFonts w:ascii="宋体" w:hAnsi="宋体" w:eastAsia="宋体" w:cs="Times New Roman"/>
                <w:sz w:val="15"/>
                <w:szCs w:val="15"/>
              </w:rPr>
            </w:pPr>
            <w:r>
              <w:rPr>
                <w:rFonts w:hint="eastAsia" w:ascii="宋体" w:hAnsi="宋体" w:eastAsia="宋体" w:cs="Times New Roman"/>
                <w:sz w:val="15"/>
                <w:szCs w:val="15"/>
              </w:rPr>
              <w:t>14.02</w:t>
            </w:r>
          </w:p>
        </w:tc>
        <w:tc>
          <w:tcPr>
            <w:tcW w:w="1299" w:type="dxa"/>
          </w:tcPr>
          <w:p w14:paraId="5333749D">
            <w:pPr>
              <w:ind w:firstLine="320" w:firstLineChars="200"/>
              <w:rPr>
                <w:rFonts w:ascii="宋体" w:hAnsi="宋体" w:eastAsia="宋体" w:cs="Times New Roman"/>
                <w:sz w:val="15"/>
                <w:szCs w:val="15"/>
              </w:rPr>
            </w:pPr>
            <w:r>
              <w:rPr>
                <w:rFonts w:hint="eastAsia" w:ascii="宋体" w:hAnsi="宋体" w:eastAsia="宋体" w:cs="Times New Roman"/>
                <w:sz w:val="15"/>
                <w:szCs w:val="15"/>
              </w:rPr>
              <w:t>14.42</w:t>
            </w:r>
          </w:p>
        </w:tc>
        <w:tc>
          <w:tcPr>
            <w:tcW w:w="1300" w:type="dxa"/>
          </w:tcPr>
          <w:p w14:paraId="506CC581">
            <w:pPr>
              <w:ind w:firstLine="320" w:firstLineChars="200"/>
              <w:rPr>
                <w:rFonts w:ascii="宋体" w:hAnsi="宋体" w:eastAsia="宋体" w:cs="Times New Roman"/>
                <w:sz w:val="15"/>
                <w:szCs w:val="15"/>
              </w:rPr>
            </w:pPr>
            <w:r>
              <w:rPr>
                <w:rFonts w:hint="eastAsia" w:ascii="宋体" w:hAnsi="宋体" w:eastAsia="宋体" w:cs="Times New Roman"/>
                <w:sz w:val="15"/>
                <w:szCs w:val="15"/>
              </w:rPr>
              <w:t>15.5</w:t>
            </w:r>
          </w:p>
        </w:tc>
      </w:tr>
      <w:tr w14:paraId="218DE6B5">
        <w:trPr>
          <w:jc w:val="center"/>
        </w:trPr>
        <w:tc>
          <w:tcPr>
            <w:tcW w:w="1299" w:type="dxa"/>
          </w:tcPr>
          <w:p w14:paraId="0E4416FD">
            <w:pPr>
              <w:ind w:firstLine="320" w:firstLineChars="200"/>
              <w:rPr>
                <w:rFonts w:ascii="宋体" w:hAnsi="宋体" w:eastAsia="宋体" w:cs="Times New Roman"/>
                <w:sz w:val="15"/>
                <w:szCs w:val="15"/>
              </w:rPr>
            </w:pPr>
            <w:r>
              <w:rPr>
                <w:rFonts w:hint="eastAsia" w:ascii="宋体" w:hAnsi="宋体" w:eastAsia="宋体" w:cs="Times New Roman"/>
                <w:sz w:val="15"/>
                <w:szCs w:val="15"/>
              </w:rPr>
              <w:t>出现年份</w:t>
            </w:r>
          </w:p>
        </w:tc>
        <w:tc>
          <w:tcPr>
            <w:tcW w:w="1299" w:type="dxa"/>
          </w:tcPr>
          <w:p w14:paraId="1B1F0088">
            <w:pPr>
              <w:ind w:firstLine="320" w:firstLineChars="200"/>
              <w:rPr>
                <w:rFonts w:ascii="宋体" w:hAnsi="宋体" w:eastAsia="宋体" w:cs="Times New Roman"/>
                <w:sz w:val="15"/>
                <w:szCs w:val="15"/>
              </w:rPr>
            </w:pPr>
            <w:r>
              <w:rPr>
                <w:rFonts w:hint="eastAsia" w:ascii="宋体" w:hAnsi="宋体" w:eastAsia="宋体" w:cs="Times New Roman"/>
                <w:sz w:val="15"/>
                <w:szCs w:val="15"/>
              </w:rPr>
              <w:t>2026</w:t>
            </w:r>
          </w:p>
        </w:tc>
        <w:tc>
          <w:tcPr>
            <w:tcW w:w="1299" w:type="dxa"/>
          </w:tcPr>
          <w:p w14:paraId="28CE5B22">
            <w:pPr>
              <w:ind w:firstLine="320" w:firstLineChars="200"/>
              <w:rPr>
                <w:rFonts w:ascii="宋体" w:hAnsi="宋体" w:eastAsia="宋体" w:cs="Times New Roman"/>
                <w:sz w:val="15"/>
                <w:szCs w:val="15"/>
              </w:rPr>
            </w:pPr>
            <w:r>
              <w:rPr>
                <w:rFonts w:hint="eastAsia" w:ascii="宋体" w:hAnsi="宋体" w:eastAsia="宋体" w:cs="Times New Roman"/>
                <w:sz w:val="15"/>
                <w:szCs w:val="15"/>
              </w:rPr>
              <w:t>2030</w:t>
            </w:r>
          </w:p>
        </w:tc>
        <w:tc>
          <w:tcPr>
            <w:tcW w:w="1300" w:type="dxa"/>
          </w:tcPr>
          <w:p w14:paraId="574D07CB">
            <w:pPr>
              <w:ind w:firstLine="320" w:firstLineChars="200"/>
              <w:rPr>
                <w:rFonts w:ascii="宋体" w:hAnsi="宋体" w:eastAsia="宋体" w:cs="Times New Roman"/>
                <w:sz w:val="15"/>
                <w:szCs w:val="15"/>
              </w:rPr>
            </w:pPr>
            <w:r>
              <w:rPr>
                <w:rFonts w:hint="eastAsia" w:ascii="宋体" w:hAnsi="宋体" w:eastAsia="宋体" w:cs="Times New Roman"/>
                <w:sz w:val="15"/>
                <w:szCs w:val="15"/>
              </w:rPr>
              <w:t>2045</w:t>
            </w:r>
          </w:p>
        </w:tc>
      </w:tr>
    </w:tbl>
    <w:p w14:paraId="5D88851B">
      <w:pPr>
        <w:ind w:firstLine="380" w:firstLineChars="200"/>
        <w:rPr>
          <w:rFonts w:ascii="宋体" w:hAnsi="宋体" w:eastAsia="宋体" w:cs="Times New Roman"/>
          <w:sz w:val="18"/>
          <w:szCs w:val="18"/>
        </w:rPr>
      </w:pPr>
      <w:r>
        <w:rPr>
          <w:rFonts w:hint="eastAsia" w:ascii="宋体" w:hAnsi="宋体" w:eastAsia="宋体" w:cs="Times New Roman"/>
          <w:sz w:val="18"/>
          <w:szCs w:val="18"/>
        </w:rPr>
        <w:t>方案1：政策生育率水平1.62。2000～2010年总和生育率由1.8下降到1.62后保持不变；方案2：20世纪90年代后期中国妇女的总和生育率平均为1.8左右。假设总和生育率保持这一水平不变；方案3：更替水平为21.。假设2000～2010年总和生育率由1.8提高到更替水平2.1后保持不变。</w:t>
      </w:r>
    </w:p>
    <w:p w14:paraId="2EA19746">
      <w:pPr>
        <w:spacing w:line="300" w:lineRule="auto"/>
        <w:ind w:firstLine="440" w:firstLineChars="200"/>
        <w:rPr>
          <w:rFonts w:ascii="宋体" w:hAnsi="宋体" w:eastAsia="宋体" w:cs="Times New Roman"/>
          <w:b/>
        </w:rPr>
      </w:pPr>
      <w:r>
        <w:rPr>
          <w:rFonts w:hint="eastAsia" w:ascii="宋体" w:hAnsi="宋体" w:eastAsia="宋体" w:cs="Times New Roman"/>
          <w:b/>
        </w:rPr>
        <w:t>（三）对实行“一胎化”与“放开二胎”的未来百年人口预测</w:t>
      </w:r>
    </w:p>
    <w:p w14:paraId="691CA0D7">
      <w:pPr>
        <w:spacing w:line="300" w:lineRule="auto"/>
        <w:ind w:firstLine="440" w:firstLineChars="200"/>
        <w:rPr>
          <w:rFonts w:ascii="宋体" w:hAnsi="宋体" w:eastAsia="宋体" w:cs="Times New Roman"/>
        </w:rPr>
      </w:pPr>
      <w:r>
        <w:rPr>
          <w:rFonts w:hint="eastAsia" w:ascii="宋体" w:hAnsi="宋体" w:eastAsia="宋体" w:cs="Times New Roman"/>
        </w:rPr>
        <w:t>乔晓春和任强在假定我国2000年的总和生育（TFR）有3种可能，即TFR=2.0、TFR=1.8、TFR=1.6的前提条件下，分别将其作为三个方案来处理。每一个方案又分成两种情况，一种情况为在人口政策保持不变情况下的生育率自然下降，直到下降到1.2为止，以后保持不变，如方案1-1、2-1和3-1；另一种情况是到2020年以前使总和生育率自然下降，从2020年开始上调到2.0，接近更替水平，并保持不变，如方案1-2、2-2和3-2（见表4）。死亡率均按照联合国未来人口预测为中国所假定的平均预期寿命(见表5)。</w:t>
      </w:r>
    </w:p>
    <w:p w14:paraId="0EC19789">
      <w:pPr>
        <w:spacing w:line="300" w:lineRule="auto"/>
        <w:ind w:firstLine="380" w:firstLineChars="200"/>
        <w:jc w:val="center"/>
        <w:rPr>
          <w:rFonts w:ascii="宋体" w:hAnsi="宋体" w:eastAsia="宋体" w:cs="Times New Roman"/>
          <w:sz w:val="18"/>
          <w:szCs w:val="18"/>
        </w:rPr>
      </w:pPr>
      <w:r>
        <w:rPr>
          <w:rFonts w:hint="eastAsia" w:ascii="宋体" w:hAnsi="宋体" w:eastAsia="宋体" w:cs="Times New Roman"/>
          <w:sz w:val="18"/>
          <w:szCs w:val="18"/>
        </w:rPr>
        <w:t>表4生育率预测方案（TFR）</w:t>
      </w:r>
      <w:r>
        <w:rPr>
          <w:rFonts w:hint="eastAsia" w:ascii="宋体" w:hAnsi="宋体" w:eastAsia="宋体" w:cs="Times New Roman"/>
          <w:sz w:val="18"/>
          <w:szCs w:val="18"/>
          <w:vertAlign w:val="superscript"/>
        </w:rPr>
        <w:t>[12]</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36"/>
        <w:gridCol w:w="636"/>
        <w:gridCol w:w="636"/>
        <w:gridCol w:w="636"/>
        <w:gridCol w:w="636"/>
        <w:gridCol w:w="636"/>
        <w:gridCol w:w="636"/>
      </w:tblGrid>
      <w:tr w14:paraId="0B91CC66">
        <w:trPr>
          <w:jc w:val="center"/>
        </w:trPr>
        <w:tc>
          <w:tcPr>
            <w:tcW w:w="636" w:type="dxa"/>
          </w:tcPr>
          <w:p w14:paraId="5580C53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年代</w:t>
            </w:r>
          </w:p>
        </w:tc>
        <w:tc>
          <w:tcPr>
            <w:tcW w:w="636" w:type="dxa"/>
          </w:tcPr>
          <w:p w14:paraId="7F49224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方案</w:t>
            </w:r>
          </w:p>
          <w:p w14:paraId="6AA9368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1-1</w:t>
            </w:r>
          </w:p>
        </w:tc>
        <w:tc>
          <w:tcPr>
            <w:tcW w:w="636" w:type="dxa"/>
          </w:tcPr>
          <w:p w14:paraId="5487C54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方案</w:t>
            </w:r>
          </w:p>
          <w:p w14:paraId="41EB91D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567DABB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方案</w:t>
            </w:r>
          </w:p>
          <w:p w14:paraId="71C8AB0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2-1</w:t>
            </w:r>
          </w:p>
        </w:tc>
        <w:tc>
          <w:tcPr>
            <w:tcW w:w="636" w:type="dxa"/>
          </w:tcPr>
          <w:p w14:paraId="4810B93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方案</w:t>
            </w:r>
          </w:p>
          <w:p w14:paraId="72E2C6D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2-2</w:t>
            </w:r>
          </w:p>
        </w:tc>
        <w:tc>
          <w:tcPr>
            <w:tcW w:w="636" w:type="dxa"/>
          </w:tcPr>
          <w:p w14:paraId="7E402C9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方案</w:t>
            </w:r>
          </w:p>
          <w:p w14:paraId="4F599ED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3-1</w:t>
            </w:r>
          </w:p>
        </w:tc>
        <w:tc>
          <w:tcPr>
            <w:tcW w:w="636" w:type="dxa"/>
          </w:tcPr>
          <w:p w14:paraId="0D78230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方案</w:t>
            </w:r>
          </w:p>
          <w:p w14:paraId="71CE337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3-2</w:t>
            </w:r>
          </w:p>
        </w:tc>
      </w:tr>
      <w:tr w14:paraId="462DC84B">
        <w:trPr>
          <w:jc w:val="center"/>
        </w:trPr>
        <w:tc>
          <w:tcPr>
            <w:tcW w:w="636" w:type="dxa"/>
          </w:tcPr>
          <w:p w14:paraId="3A7161E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2000</w:t>
            </w:r>
          </w:p>
        </w:tc>
        <w:tc>
          <w:tcPr>
            <w:tcW w:w="636" w:type="dxa"/>
          </w:tcPr>
          <w:p w14:paraId="7C0B490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376C1B4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089B9A2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1.8</w:t>
            </w:r>
          </w:p>
        </w:tc>
        <w:tc>
          <w:tcPr>
            <w:tcW w:w="636" w:type="dxa"/>
          </w:tcPr>
          <w:p w14:paraId="0E47FFC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1.8</w:t>
            </w:r>
          </w:p>
        </w:tc>
        <w:tc>
          <w:tcPr>
            <w:tcW w:w="636" w:type="dxa"/>
          </w:tcPr>
          <w:p w14:paraId="570D723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1.6</w:t>
            </w:r>
          </w:p>
        </w:tc>
        <w:tc>
          <w:tcPr>
            <w:tcW w:w="636" w:type="dxa"/>
          </w:tcPr>
          <w:p w14:paraId="4BA2887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1.6</w:t>
            </w:r>
          </w:p>
        </w:tc>
      </w:tr>
      <w:tr w14:paraId="01C37513">
        <w:trPr>
          <w:jc w:val="center"/>
        </w:trPr>
        <w:tc>
          <w:tcPr>
            <w:tcW w:w="636" w:type="dxa"/>
          </w:tcPr>
          <w:p w14:paraId="4002567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2010</w:t>
            </w:r>
          </w:p>
        </w:tc>
        <w:tc>
          <w:tcPr>
            <w:tcW w:w="636" w:type="dxa"/>
          </w:tcPr>
          <w:p w14:paraId="389D646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1.9</w:t>
            </w:r>
          </w:p>
        </w:tc>
        <w:tc>
          <w:tcPr>
            <w:tcW w:w="636" w:type="dxa"/>
          </w:tcPr>
          <w:p w14:paraId="10AFE35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1.9</w:t>
            </w:r>
          </w:p>
        </w:tc>
        <w:tc>
          <w:tcPr>
            <w:tcW w:w="636" w:type="dxa"/>
          </w:tcPr>
          <w:p w14:paraId="47D416C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1.7</w:t>
            </w:r>
          </w:p>
        </w:tc>
        <w:tc>
          <w:tcPr>
            <w:tcW w:w="636" w:type="dxa"/>
          </w:tcPr>
          <w:p w14:paraId="4919F27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1.7</w:t>
            </w:r>
          </w:p>
        </w:tc>
        <w:tc>
          <w:tcPr>
            <w:tcW w:w="636" w:type="dxa"/>
          </w:tcPr>
          <w:p w14:paraId="1FF2FA9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w:t>
            </w:r>
          </w:p>
        </w:tc>
        <w:tc>
          <w:tcPr>
            <w:tcW w:w="636" w:type="dxa"/>
          </w:tcPr>
          <w:p w14:paraId="64429C2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1.9</w:t>
            </w:r>
          </w:p>
        </w:tc>
      </w:tr>
      <w:tr w14:paraId="2A247099">
        <w:trPr>
          <w:jc w:val="center"/>
        </w:trPr>
        <w:tc>
          <w:tcPr>
            <w:tcW w:w="636" w:type="dxa"/>
          </w:tcPr>
          <w:p w14:paraId="0F8EE88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2020</w:t>
            </w:r>
          </w:p>
        </w:tc>
        <w:tc>
          <w:tcPr>
            <w:tcW w:w="636" w:type="dxa"/>
          </w:tcPr>
          <w:p w14:paraId="6444934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1.8</w:t>
            </w:r>
          </w:p>
        </w:tc>
        <w:tc>
          <w:tcPr>
            <w:tcW w:w="636" w:type="dxa"/>
          </w:tcPr>
          <w:p w14:paraId="6AC191D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3B899AA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1.6</w:t>
            </w:r>
          </w:p>
        </w:tc>
        <w:tc>
          <w:tcPr>
            <w:tcW w:w="636" w:type="dxa"/>
          </w:tcPr>
          <w:p w14:paraId="4F642C6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2DD6A46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w:t>
            </w:r>
          </w:p>
        </w:tc>
        <w:tc>
          <w:tcPr>
            <w:tcW w:w="636" w:type="dxa"/>
          </w:tcPr>
          <w:p w14:paraId="35F6F62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r>
      <w:tr w14:paraId="014A3EC4">
        <w:trPr>
          <w:jc w:val="center"/>
        </w:trPr>
        <w:tc>
          <w:tcPr>
            <w:tcW w:w="636" w:type="dxa"/>
          </w:tcPr>
          <w:p w14:paraId="3A8D127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2030</w:t>
            </w:r>
          </w:p>
        </w:tc>
        <w:tc>
          <w:tcPr>
            <w:tcW w:w="636" w:type="dxa"/>
          </w:tcPr>
          <w:p w14:paraId="5AB1FC1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1.7</w:t>
            </w:r>
          </w:p>
        </w:tc>
        <w:tc>
          <w:tcPr>
            <w:tcW w:w="636" w:type="dxa"/>
          </w:tcPr>
          <w:p w14:paraId="3E69D83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3A86D9E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w:t>
            </w:r>
          </w:p>
        </w:tc>
        <w:tc>
          <w:tcPr>
            <w:tcW w:w="636" w:type="dxa"/>
          </w:tcPr>
          <w:p w14:paraId="0FC8235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0CA6CA0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w:t>
            </w:r>
          </w:p>
        </w:tc>
        <w:tc>
          <w:tcPr>
            <w:tcW w:w="636" w:type="dxa"/>
          </w:tcPr>
          <w:p w14:paraId="098748D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r>
      <w:tr w14:paraId="3F71EBAD">
        <w:trPr>
          <w:jc w:val="center"/>
        </w:trPr>
        <w:tc>
          <w:tcPr>
            <w:tcW w:w="636" w:type="dxa"/>
          </w:tcPr>
          <w:p w14:paraId="763BC0F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2040</w:t>
            </w:r>
          </w:p>
        </w:tc>
        <w:tc>
          <w:tcPr>
            <w:tcW w:w="636" w:type="dxa"/>
          </w:tcPr>
          <w:p w14:paraId="73B69AE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1.6</w:t>
            </w:r>
          </w:p>
        </w:tc>
        <w:tc>
          <w:tcPr>
            <w:tcW w:w="636" w:type="dxa"/>
          </w:tcPr>
          <w:p w14:paraId="47A61C2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1024597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w:t>
            </w:r>
          </w:p>
        </w:tc>
        <w:tc>
          <w:tcPr>
            <w:tcW w:w="636" w:type="dxa"/>
          </w:tcPr>
          <w:p w14:paraId="2B96E8C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346ED9A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5A38544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r>
      <w:tr w14:paraId="289516B6">
        <w:trPr>
          <w:jc w:val="center"/>
        </w:trPr>
        <w:tc>
          <w:tcPr>
            <w:tcW w:w="636" w:type="dxa"/>
          </w:tcPr>
          <w:p w14:paraId="5ACE545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2050</w:t>
            </w:r>
          </w:p>
        </w:tc>
        <w:tc>
          <w:tcPr>
            <w:tcW w:w="636" w:type="dxa"/>
          </w:tcPr>
          <w:p w14:paraId="57EB171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1.5</w:t>
            </w:r>
          </w:p>
        </w:tc>
        <w:tc>
          <w:tcPr>
            <w:tcW w:w="636" w:type="dxa"/>
          </w:tcPr>
          <w:p w14:paraId="02F4A20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53D38AB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w:t>
            </w:r>
          </w:p>
        </w:tc>
        <w:tc>
          <w:tcPr>
            <w:tcW w:w="636" w:type="dxa"/>
          </w:tcPr>
          <w:p w14:paraId="76565BE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4ED0917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3231DE1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r>
      <w:tr w14:paraId="0A0E2565">
        <w:trPr>
          <w:jc w:val="center"/>
        </w:trPr>
        <w:tc>
          <w:tcPr>
            <w:tcW w:w="636" w:type="dxa"/>
          </w:tcPr>
          <w:p w14:paraId="5BD9FFA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2060</w:t>
            </w:r>
          </w:p>
        </w:tc>
        <w:tc>
          <w:tcPr>
            <w:tcW w:w="636" w:type="dxa"/>
          </w:tcPr>
          <w:p w14:paraId="22B67E3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w:t>
            </w:r>
          </w:p>
        </w:tc>
        <w:tc>
          <w:tcPr>
            <w:tcW w:w="636" w:type="dxa"/>
          </w:tcPr>
          <w:p w14:paraId="578188A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4E12C02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5B314A7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698636F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05541F2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r>
      <w:tr w14:paraId="61BE0149">
        <w:trPr>
          <w:jc w:val="center"/>
        </w:trPr>
        <w:tc>
          <w:tcPr>
            <w:tcW w:w="636" w:type="dxa"/>
          </w:tcPr>
          <w:p w14:paraId="57B73B3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2070</w:t>
            </w:r>
          </w:p>
        </w:tc>
        <w:tc>
          <w:tcPr>
            <w:tcW w:w="636" w:type="dxa"/>
          </w:tcPr>
          <w:p w14:paraId="5498A90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w:t>
            </w:r>
          </w:p>
        </w:tc>
        <w:tc>
          <w:tcPr>
            <w:tcW w:w="636" w:type="dxa"/>
          </w:tcPr>
          <w:p w14:paraId="23D01F0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7BFC069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6DB07AD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5B1BBFB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0419289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r>
      <w:tr w14:paraId="2C091014">
        <w:trPr>
          <w:jc w:val="center"/>
        </w:trPr>
        <w:tc>
          <w:tcPr>
            <w:tcW w:w="636" w:type="dxa"/>
          </w:tcPr>
          <w:p w14:paraId="107C6A8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2080</w:t>
            </w:r>
          </w:p>
        </w:tc>
        <w:tc>
          <w:tcPr>
            <w:tcW w:w="636" w:type="dxa"/>
          </w:tcPr>
          <w:p w14:paraId="603F70A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1896034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46A6B6B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0405B19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6F1FED6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7E14E18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r>
      <w:tr w14:paraId="01DA4600">
        <w:trPr>
          <w:jc w:val="center"/>
        </w:trPr>
        <w:tc>
          <w:tcPr>
            <w:tcW w:w="636" w:type="dxa"/>
          </w:tcPr>
          <w:p w14:paraId="6A84B35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2090</w:t>
            </w:r>
          </w:p>
        </w:tc>
        <w:tc>
          <w:tcPr>
            <w:tcW w:w="636" w:type="dxa"/>
          </w:tcPr>
          <w:p w14:paraId="4C46825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589BA91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6D73A91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50D4F6D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0EFB9DC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59B96C0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r>
      <w:tr w14:paraId="52A72A1F">
        <w:trPr>
          <w:jc w:val="center"/>
        </w:trPr>
        <w:tc>
          <w:tcPr>
            <w:tcW w:w="636" w:type="dxa"/>
          </w:tcPr>
          <w:p w14:paraId="1D52063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2100</w:t>
            </w:r>
          </w:p>
        </w:tc>
        <w:tc>
          <w:tcPr>
            <w:tcW w:w="636" w:type="dxa"/>
          </w:tcPr>
          <w:p w14:paraId="3BA625A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2626807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17A7543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3402782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c>
          <w:tcPr>
            <w:tcW w:w="636" w:type="dxa"/>
          </w:tcPr>
          <w:p w14:paraId="209FC48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1.2</w:t>
            </w:r>
          </w:p>
        </w:tc>
        <w:tc>
          <w:tcPr>
            <w:tcW w:w="636" w:type="dxa"/>
          </w:tcPr>
          <w:p w14:paraId="1FFCCC1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w:t>
            </w:r>
          </w:p>
        </w:tc>
      </w:tr>
    </w:tbl>
    <w:p w14:paraId="76A17715">
      <w:pPr>
        <w:spacing w:line="300" w:lineRule="auto"/>
        <w:ind w:firstLine="440" w:firstLineChars="200"/>
        <w:rPr>
          <w:rFonts w:ascii="宋体" w:hAnsi="宋体" w:eastAsia="宋体" w:cs="Times New Roman"/>
        </w:rPr>
      </w:pPr>
    </w:p>
    <w:p w14:paraId="7BB1CAED">
      <w:pPr>
        <w:spacing w:line="300" w:lineRule="auto"/>
        <w:ind w:firstLine="380" w:firstLineChars="200"/>
        <w:jc w:val="center"/>
        <w:rPr>
          <w:rFonts w:ascii="宋体" w:hAnsi="宋体" w:eastAsia="宋体" w:cs="Times New Roman"/>
          <w:sz w:val="18"/>
          <w:szCs w:val="18"/>
        </w:rPr>
      </w:pPr>
      <w:r>
        <w:rPr>
          <w:rFonts w:hint="eastAsia" w:ascii="宋体" w:hAnsi="宋体" w:eastAsia="宋体" w:cs="Times New Roman"/>
          <w:sz w:val="18"/>
          <w:szCs w:val="18"/>
        </w:rPr>
        <w:t>表5平均预期寿命</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04"/>
        <w:gridCol w:w="1504"/>
        <w:gridCol w:w="1504"/>
        <w:gridCol w:w="1505"/>
      </w:tblGrid>
      <w:tr w14:paraId="1FC62414">
        <w:trPr>
          <w:jc w:val="center"/>
        </w:trPr>
        <w:tc>
          <w:tcPr>
            <w:tcW w:w="1504" w:type="dxa"/>
          </w:tcPr>
          <w:p w14:paraId="530335B2">
            <w:pPr>
              <w:ind w:firstLine="320" w:firstLineChars="200"/>
              <w:rPr>
                <w:rFonts w:ascii="宋体" w:hAnsi="宋体" w:eastAsia="宋体" w:cs="Times New Roman"/>
                <w:sz w:val="15"/>
                <w:szCs w:val="15"/>
              </w:rPr>
            </w:pPr>
            <w:r>
              <w:rPr>
                <w:rFonts w:hint="eastAsia" w:ascii="宋体" w:hAnsi="宋体" w:eastAsia="宋体" w:cs="Times New Roman"/>
                <w:sz w:val="15"/>
                <w:szCs w:val="15"/>
              </w:rPr>
              <w:t>性别</w:t>
            </w:r>
          </w:p>
        </w:tc>
        <w:tc>
          <w:tcPr>
            <w:tcW w:w="1504" w:type="dxa"/>
          </w:tcPr>
          <w:p w14:paraId="2C9FC68B">
            <w:pPr>
              <w:ind w:firstLine="320" w:firstLineChars="200"/>
              <w:rPr>
                <w:rFonts w:ascii="宋体" w:hAnsi="宋体" w:eastAsia="宋体" w:cs="Times New Roman"/>
                <w:sz w:val="15"/>
                <w:szCs w:val="15"/>
              </w:rPr>
            </w:pPr>
            <w:r>
              <w:rPr>
                <w:rFonts w:hint="eastAsia" w:ascii="宋体" w:hAnsi="宋体" w:eastAsia="宋体" w:cs="Times New Roman"/>
                <w:sz w:val="15"/>
                <w:szCs w:val="15"/>
              </w:rPr>
              <w:t>2000</w:t>
            </w:r>
          </w:p>
        </w:tc>
        <w:tc>
          <w:tcPr>
            <w:tcW w:w="1504" w:type="dxa"/>
          </w:tcPr>
          <w:p w14:paraId="7A729EDB">
            <w:pPr>
              <w:ind w:firstLine="320" w:firstLineChars="200"/>
              <w:rPr>
                <w:rFonts w:ascii="宋体" w:hAnsi="宋体" w:eastAsia="宋体" w:cs="Times New Roman"/>
                <w:sz w:val="15"/>
                <w:szCs w:val="15"/>
              </w:rPr>
            </w:pPr>
            <w:r>
              <w:rPr>
                <w:rFonts w:hint="eastAsia" w:ascii="宋体" w:hAnsi="宋体" w:eastAsia="宋体" w:cs="Times New Roman"/>
                <w:sz w:val="15"/>
                <w:szCs w:val="15"/>
              </w:rPr>
              <w:t>2050</w:t>
            </w:r>
          </w:p>
        </w:tc>
        <w:tc>
          <w:tcPr>
            <w:tcW w:w="1505" w:type="dxa"/>
          </w:tcPr>
          <w:p w14:paraId="1F1B080E">
            <w:pPr>
              <w:ind w:firstLine="320" w:firstLineChars="200"/>
              <w:rPr>
                <w:rFonts w:ascii="宋体" w:hAnsi="宋体" w:eastAsia="宋体" w:cs="Times New Roman"/>
                <w:sz w:val="15"/>
                <w:szCs w:val="15"/>
              </w:rPr>
            </w:pPr>
            <w:r>
              <w:rPr>
                <w:rFonts w:hint="eastAsia" w:ascii="宋体" w:hAnsi="宋体" w:eastAsia="宋体" w:cs="Times New Roman"/>
                <w:sz w:val="15"/>
                <w:szCs w:val="15"/>
              </w:rPr>
              <w:t>2100</w:t>
            </w:r>
          </w:p>
        </w:tc>
      </w:tr>
      <w:tr w14:paraId="1C172B17">
        <w:trPr>
          <w:jc w:val="center"/>
        </w:trPr>
        <w:tc>
          <w:tcPr>
            <w:tcW w:w="1504" w:type="dxa"/>
          </w:tcPr>
          <w:p w14:paraId="1C1FDE65">
            <w:pPr>
              <w:ind w:firstLine="320" w:firstLineChars="200"/>
              <w:rPr>
                <w:rFonts w:ascii="宋体" w:hAnsi="宋体" w:eastAsia="宋体" w:cs="Times New Roman"/>
                <w:sz w:val="15"/>
                <w:szCs w:val="15"/>
              </w:rPr>
            </w:pPr>
            <w:r>
              <w:rPr>
                <w:rFonts w:hint="eastAsia" w:ascii="宋体" w:hAnsi="宋体" w:eastAsia="宋体" w:cs="Times New Roman"/>
                <w:sz w:val="15"/>
                <w:szCs w:val="15"/>
              </w:rPr>
              <w:t>男</w:t>
            </w:r>
          </w:p>
        </w:tc>
        <w:tc>
          <w:tcPr>
            <w:tcW w:w="1504" w:type="dxa"/>
          </w:tcPr>
          <w:p w14:paraId="3C95F187">
            <w:pPr>
              <w:ind w:firstLine="320" w:firstLineChars="200"/>
              <w:rPr>
                <w:rFonts w:ascii="宋体" w:hAnsi="宋体" w:eastAsia="宋体" w:cs="Times New Roman"/>
                <w:sz w:val="15"/>
                <w:szCs w:val="15"/>
              </w:rPr>
            </w:pPr>
            <w:r>
              <w:rPr>
                <w:rFonts w:hint="eastAsia" w:ascii="宋体" w:hAnsi="宋体" w:eastAsia="宋体" w:cs="Times New Roman"/>
                <w:sz w:val="15"/>
                <w:szCs w:val="15"/>
              </w:rPr>
              <w:t>68.9</w:t>
            </w:r>
          </w:p>
        </w:tc>
        <w:tc>
          <w:tcPr>
            <w:tcW w:w="1504" w:type="dxa"/>
          </w:tcPr>
          <w:p w14:paraId="65C934BB">
            <w:pPr>
              <w:ind w:firstLine="320" w:firstLineChars="200"/>
              <w:rPr>
                <w:rFonts w:ascii="宋体" w:hAnsi="宋体" w:eastAsia="宋体" w:cs="Times New Roman"/>
                <w:sz w:val="15"/>
                <w:szCs w:val="15"/>
              </w:rPr>
            </w:pPr>
            <w:r>
              <w:rPr>
                <w:rFonts w:hint="eastAsia" w:ascii="宋体" w:hAnsi="宋体" w:eastAsia="宋体" w:cs="Times New Roman"/>
                <w:sz w:val="15"/>
                <w:szCs w:val="15"/>
              </w:rPr>
              <w:t>74.9</w:t>
            </w:r>
          </w:p>
        </w:tc>
        <w:tc>
          <w:tcPr>
            <w:tcW w:w="1505" w:type="dxa"/>
          </w:tcPr>
          <w:p w14:paraId="1DF71EF8">
            <w:pPr>
              <w:ind w:firstLine="320" w:firstLineChars="200"/>
              <w:rPr>
                <w:rFonts w:ascii="宋体" w:hAnsi="宋体" w:eastAsia="宋体" w:cs="Times New Roman"/>
                <w:sz w:val="15"/>
                <w:szCs w:val="15"/>
              </w:rPr>
            </w:pPr>
            <w:r>
              <w:rPr>
                <w:rFonts w:hint="eastAsia" w:ascii="宋体" w:hAnsi="宋体" w:eastAsia="宋体" w:cs="Times New Roman"/>
                <w:sz w:val="15"/>
                <w:szCs w:val="15"/>
              </w:rPr>
              <w:t>82.1</w:t>
            </w:r>
          </w:p>
        </w:tc>
      </w:tr>
      <w:tr w14:paraId="79A23AB3">
        <w:trPr>
          <w:jc w:val="center"/>
        </w:trPr>
        <w:tc>
          <w:tcPr>
            <w:tcW w:w="1504" w:type="dxa"/>
          </w:tcPr>
          <w:p w14:paraId="1DE660A0">
            <w:pPr>
              <w:ind w:firstLine="320" w:firstLineChars="200"/>
              <w:rPr>
                <w:rFonts w:ascii="宋体" w:hAnsi="宋体" w:eastAsia="宋体" w:cs="Times New Roman"/>
                <w:sz w:val="15"/>
                <w:szCs w:val="15"/>
              </w:rPr>
            </w:pPr>
            <w:r>
              <w:rPr>
                <w:rFonts w:hint="eastAsia" w:ascii="宋体" w:hAnsi="宋体" w:eastAsia="宋体" w:cs="Times New Roman"/>
                <w:sz w:val="15"/>
                <w:szCs w:val="15"/>
              </w:rPr>
              <w:t>女</w:t>
            </w:r>
          </w:p>
        </w:tc>
        <w:tc>
          <w:tcPr>
            <w:tcW w:w="1504" w:type="dxa"/>
          </w:tcPr>
          <w:p w14:paraId="786933D2">
            <w:pPr>
              <w:ind w:firstLine="320" w:firstLineChars="200"/>
              <w:rPr>
                <w:rFonts w:ascii="宋体" w:hAnsi="宋体" w:eastAsia="宋体" w:cs="Times New Roman"/>
                <w:sz w:val="15"/>
                <w:szCs w:val="15"/>
              </w:rPr>
            </w:pPr>
            <w:r>
              <w:rPr>
                <w:rFonts w:hint="eastAsia" w:ascii="宋体" w:hAnsi="宋体" w:eastAsia="宋体" w:cs="Times New Roman"/>
                <w:sz w:val="15"/>
                <w:szCs w:val="15"/>
              </w:rPr>
              <w:t>73.3</w:t>
            </w:r>
          </w:p>
        </w:tc>
        <w:tc>
          <w:tcPr>
            <w:tcW w:w="1504" w:type="dxa"/>
          </w:tcPr>
          <w:p w14:paraId="3B32ABA8">
            <w:pPr>
              <w:ind w:firstLine="320" w:firstLineChars="200"/>
              <w:rPr>
                <w:rFonts w:ascii="宋体" w:hAnsi="宋体" w:eastAsia="宋体" w:cs="Times New Roman"/>
                <w:sz w:val="15"/>
                <w:szCs w:val="15"/>
              </w:rPr>
            </w:pPr>
            <w:r>
              <w:rPr>
                <w:rFonts w:hint="eastAsia" w:ascii="宋体" w:hAnsi="宋体" w:eastAsia="宋体" w:cs="Times New Roman"/>
                <w:sz w:val="15"/>
                <w:szCs w:val="15"/>
              </w:rPr>
              <w:t>80.7</w:t>
            </w:r>
          </w:p>
        </w:tc>
        <w:tc>
          <w:tcPr>
            <w:tcW w:w="1505" w:type="dxa"/>
          </w:tcPr>
          <w:p w14:paraId="4E6DCF8E">
            <w:pPr>
              <w:ind w:firstLine="320" w:firstLineChars="200"/>
              <w:rPr>
                <w:rFonts w:ascii="宋体" w:hAnsi="宋体" w:eastAsia="宋体" w:cs="Times New Roman"/>
                <w:sz w:val="15"/>
                <w:szCs w:val="15"/>
              </w:rPr>
            </w:pPr>
            <w:r>
              <w:rPr>
                <w:rFonts w:hint="eastAsia" w:ascii="宋体" w:hAnsi="宋体" w:eastAsia="宋体" w:cs="Times New Roman"/>
                <w:sz w:val="15"/>
                <w:szCs w:val="15"/>
              </w:rPr>
              <w:t>86.9</w:t>
            </w:r>
          </w:p>
        </w:tc>
      </w:tr>
    </w:tbl>
    <w:p w14:paraId="7E471B80">
      <w:pPr>
        <w:spacing w:line="300" w:lineRule="auto"/>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资料来源：UnitedNations(2004).WorldPopulationto2300.UnitedNations.NewYork.</w:t>
      </w:r>
    </w:p>
    <w:p w14:paraId="245DE382">
      <w:pPr>
        <w:spacing w:line="300" w:lineRule="auto"/>
        <w:ind w:firstLine="440" w:firstLineChars="200"/>
        <w:rPr>
          <w:rFonts w:ascii="宋体" w:hAnsi="宋体" w:eastAsia="宋体" w:cs="Times New Roman"/>
        </w:rPr>
      </w:pPr>
      <w:r>
        <w:rPr>
          <w:rFonts w:hint="eastAsia" w:ascii="宋体" w:hAnsi="宋体" w:eastAsia="宋体" w:cs="Times New Roman"/>
        </w:rPr>
        <w:t>方案1是假定总和生育率在2000年为2.0，如果政策长期不变，但人们的生育观念却在不断下降的情况下，TFR持续下降。此时，人口自然增长率也会持续下降，在2033年人口增长率达到0，人口达到峰值，即14.66亿。人口总数到2010年为8.7亿。为了在达到零增长以后，人口增长率能够从负增长向零增长反弹，并最终围绕零增长波动，他还设计方案1-2。方案1-2的预测结果是人口在2043年达到零增长，峰值人口为14.93亿(见图一)，最低负增长幅度为-1.6‰，然后增长率反弹，在2085年又回到零增长，总人口为14.25亿。尽管人口会回到正增长，但增长率会非常低，并在不长时间再次返回到零增长。到2010年总人口为14.40亿。</w:t>
      </w:r>
    </w:p>
    <w:p w14:paraId="70F22F02">
      <w:pPr>
        <w:spacing w:line="300" w:lineRule="auto"/>
        <w:ind w:firstLine="380" w:firstLineChars="200"/>
        <w:jc w:val="center"/>
        <w:rPr>
          <w:rFonts w:ascii="宋体" w:hAnsi="宋体" w:eastAsia="宋体" w:cs="Times New Roman"/>
          <w:sz w:val="18"/>
          <w:szCs w:val="18"/>
        </w:rPr>
      </w:pPr>
      <w:r>
        <w:rPr>
          <w:rFonts w:hint="eastAsia" w:ascii="宋体" w:hAnsi="宋体" w:eastAsia="宋体" w:cs="Times New Roman"/>
          <w:sz w:val="18"/>
          <w:szCs w:val="18"/>
        </w:rPr>
        <w:t>图一方案1-1和1-2未来人口总数变化的比较</w:t>
      </w:r>
    </w:p>
    <w:p w14:paraId="1E2AF8B7">
      <w:pPr>
        <w:spacing w:line="300" w:lineRule="auto"/>
        <w:ind w:firstLine="440" w:firstLineChars="200"/>
        <w:jc w:val="center"/>
        <w:rPr>
          <w:rFonts w:ascii="宋体" w:hAnsi="宋体" w:eastAsia="宋体" w:cs="Times New Roman"/>
        </w:rPr>
      </w:pPr>
      <w:r>
        <w:rPr>
          <w:rFonts w:ascii="宋体" w:hAnsi="宋体" w:eastAsia="宋体" w:cs="Times New Roman"/>
        </w:rPr>
        <w:drawing>
          <wp:inline distT="0" distB="0" distL="0" distR="0">
            <wp:extent cx="4372610" cy="1941195"/>
            <wp:effectExtent l="0" t="0" r="21590" b="14605"/>
            <wp:docPr id="150" name="图片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4372610" cy="1941195"/>
                    </a:xfrm>
                    <a:prstGeom prst="rect">
                      <a:avLst/>
                    </a:prstGeom>
                    <a:noFill/>
                    <a:ln>
                      <a:noFill/>
                    </a:ln>
                  </pic:spPr>
                </pic:pic>
              </a:graphicData>
            </a:graphic>
          </wp:inline>
        </w:drawing>
      </w:r>
    </w:p>
    <w:p w14:paraId="7295CE92">
      <w:pPr>
        <w:spacing w:line="300" w:lineRule="auto"/>
        <w:ind w:firstLine="440" w:firstLineChars="200"/>
        <w:rPr>
          <w:rFonts w:ascii="宋体" w:hAnsi="宋体" w:eastAsia="宋体" w:cs="Times New Roman"/>
        </w:rPr>
      </w:pPr>
      <w:r>
        <w:rPr>
          <w:rFonts w:hint="eastAsia" w:ascii="宋体" w:hAnsi="宋体" w:eastAsia="宋体" w:cs="Times New Roman"/>
        </w:rPr>
        <w:t>方案2是假定总和生育率在2000年为1.8。如果生育率持续下降直到1.2，人口增长率也会持续下降。此时，人口达到零增长的时间是2024年，峰值人口为13.93亿。而总人口会持续下降到2100年的6.7亿（见图二）。如果在2020年将生育率向上调整到2.0，那么人口达到零增长的时间为2038年，峰值人口为14.34亿，到2100年人口总量会提高到13.32亿。</w:t>
      </w:r>
    </w:p>
    <w:p w14:paraId="0B2CCE79">
      <w:pPr>
        <w:spacing w:line="300" w:lineRule="auto"/>
        <w:ind w:firstLine="440" w:firstLineChars="200"/>
        <w:rPr>
          <w:rFonts w:ascii="宋体" w:hAnsi="宋体" w:eastAsia="宋体" w:cs="Times New Roman"/>
        </w:rPr>
      </w:pPr>
    </w:p>
    <w:p w14:paraId="02A033C2">
      <w:pPr>
        <w:spacing w:line="300" w:lineRule="auto"/>
        <w:ind w:firstLine="380" w:firstLineChars="200"/>
        <w:jc w:val="center"/>
        <w:rPr>
          <w:rFonts w:ascii="宋体" w:hAnsi="宋体" w:eastAsia="宋体" w:cs="Times New Roman"/>
          <w:sz w:val="18"/>
          <w:szCs w:val="18"/>
        </w:rPr>
      </w:pPr>
      <w:r>
        <w:rPr>
          <w:rFonts w:hint="eastAsia" w:ascii="宋体" w:hAnsi="宋体" w:eastAsia="宋体" w:cs="Times New Roman"/>
          <w:sz w:val="18"/>
          <w:szCs w:val="18"/>
        </w:rPr>
        <w:t>图二方案2-1和2-2未来人口总数变化的比较</w:t>
      </w:r>
    </w:p>
    <w:p w14:paraId="7CB29F1C">
      <w:pPr>
        <w:spacing w:line="300" w:lineRule="auto"/>
        <w:ind w:firstLine="440" w:firstLineChars="200"/>
        <w:jc w:val="center"/>
        <w:rPr>
          <w:rFonts w:ascii="宋体" w:hAnsi="宋体" w:eastAsia="宋体" w:cs="Times New Roman"/>
        </w:rPr>
      </w:pPr>
      <w:r>
        <w:rPr>
          <w:rFonts w:ascii="宋体" w:hAnsi="宋体" w:eastAsia="宋体" w:cs="Times New Roman"/>
        </w:rPr>
        <w:drawing>
          <wp:inline distT="0" distB="0" distL="0" distR="0">
            <wp:extent cx="4408805" cy="1951355"/>
            <wp:effectExtent l="0" t="0" r="10795" b="4445"/>
            <wp:docPr id="149"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4408805" cy="1951355"/>
                    </a:xfrm>
                    <a:prstGeom prst="rect">
                      <a:avLst/>
                    </a:prstGeom>
                    <a:noFill/>
                    <a:ln>
                      <a:noFill/>
                    </a:ln>
                  </pic:spPr>
                </pic:pic>
              </a:graphicData>
            </a:graphic>
          </wp:inline>
        </w:drawing>
      </w:r>
    </w:p>
    <w:p w14:paraId="36BF1BE7">
      <w:pPr>
        <w:spacing w:line="300" w:lineRule="auto"/>
        <w:ind w:firstLine="440" w:firstLineChars="200"/>
        <w:rPr>
          <w:rFonts w:ascii="宋体" w:hAnsi="宋体" w:eastAsia="宋体" w:cs="Times New Roman"/>
        </w:rPr>
      </w:pPr>
      <w:r>
        <w:rPr>
          <w:rFonts w:hint="eastAsia" w:ascii="宋体" w:hAnsi="宋体" w:eastAsia="宋体" w:cs="Times New Roman"/>
        </w:rPr>
        <w:t>方案3是假定总和生育率在2000年为1.6，如果生育率持续下降到1.2，人口增长率的下降将会比前面的两种自然下降方案还要快，人口达到零增长的时间为2021年，峰值人口为13.58亿，到2100年总人口为5.5亿。如果在2020年上调总和生育率，人口达到零增长的时间就会退后，即在2039年达到零增长，峰值人口为14.2亿，到2100年总人口为13.2亿（见图三）。</w:t>
      </w:r>
    </w:p>
    <w:p w14:paraId="60C1E995">
      <w:pPr>
        <w:spacing w:line="300" w:lineRule="auto"/>
        <w:ind w:firstLine="380" w:firstLineChars="200"/>
        <w:jc w:val="center"/>
        <w:rPr>
          <w:rFonts w:ascii="宋体" w:hAnsi="宋体" w:eastAsia="宋体" w:cs="Times New Roman"/>
          <w:sz w:val="18"/>
          <w:szCs w:val="18"/>
        </w:rPr>
      </w:pPr>
      <w:r>
        <w:rPr>
          <w:rFonts w:hint="eastAsia" w:ascii="宋体" w:hAnsi="宋体" w:eastAsia="宋体" w:cs="Times New Roman"/>
          <w:sz w:val="18"/>
          <w:szCs w:val="18"/>
        </w:rPr>
        <w:t>图三方案3-1和3-2未来人口总数变化的比较</w:t>
      </w:r>
    </w:p>
    <w:p w14:paraId="03FCC3BC">
      <w:pPr>
        <w:spacing w:line="300" w:lineRule="auto"/>
        <w:ind w:firstLine="440" w:firstLineChars="200"/>
        <w:jc w:val="center"/>
        <w:rPr>
          <w:rFonts w:ascii="宋体" w:hAnsi="宋体" w:eastAsia="宋体" w:cs="Times New Roman"/>
        </w:rPr>
      </w:pPr>
      <w:r>
        <w:rPr>
          <w:rFonts w:ascii="宋体" w:hAnsi="宋体" w:eastAsia="宋体" w:cs="Times New Roman"/>
        </w:rPr>
        <w:drawing>
          <wp:inline distT="0" distB="0" distL="0" distR="0">
            <wp:extent cx="4372610" cy="1951355"/>
            <wp:effectExtent l="0" t="0" r="21590" b="4445"/>
            <wp:docPr id="148"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图片 148"/>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4372610" cy="1951355"/>
                    </a:xfrm>
                    <a:prstGeom prst="rect">
                      <a:avLst/>
                    </a:prstGeom>
                    <a:noFill/>
                    <a:ln>
                      <a:noFill/>
                    </a:ln>
                  </pic:spPr>
                </pic:pic>
              </a:graphicData>
            </a:graphic>
          </wp:inline>
        </w:drawing>
      </w:r>
    </w:p>
    <w:p w14:paraId="3BC1DEE3">
      <w:pPr>
        <w:spacing w:line="300" w:lineRule="auto"/>
        <w:ind w:firstLine="440" w:firstLineChars="200"/>
        <w:rPr>
          <w:rFonts w:ascii="宋体" w:hAnsi="宋体" w:eastAsia="宋体" w:cs="Times New Roman"/>
        </w:rPr>
      </w:pPr>
      <w:r>
        <w:rPr>
          <w:rFonts w:hint="eastAsia" w:ascii="宋体" w:hAnsi="宋体" w:eastAsia="宋体" w:cs="Times New Roman"/>
        </w:rPr>
        <w:t>这里给出的三个方案，只是假定起始生育水平不同。很明显，如果生育率持续下降，起始生育水平越低，未来人口达到零增长的时间就会越早，人口在达到峰值时的规模也越小。从表6可以看出，根据乔晓春和任强的预测，政策调整与不调整，我国的人口总量达到峰值时规模差异很大，达到峰值人口时的最小规模为13.58亿，最大规模为14.93亿，相差1.35亿人；人口实现零增长的时间也差异很大，最早达到零增长的时间是2021年，最晚达到零增长的时间是2043年，相差22年。调整生育政策，放开“二胎”，使生育率保持在2.0左右，到2100年中国人口将在13.2～14.4亿范围内波动，这一规模仅比人口达到峰值时的规模减少了5000万至1亿人，并且人口规模会长期稳定在13亿～14亿这样一个高水平上，这将对我国的社会经济可持续发展带来不利的影响。下面再将各个预测单位和学者有代表性的观点总结如表7。</w:t>
      </w:r>
    </w:p>
    <w:p w14:paraId="5323B078">
      <w:pPr>
        <w:spacing w:line="300" w:lineRule="auto"/>
        <w:ind w:firstLine="380" w:firstLineChars="200"/>
        <w:jc w:val="center"/>
        <w:rPr>
          <w:rFonts w:ascii="宋体" w:hAnsi="宋体" w:eastAsia="宋体" w:cs="Times New Roman"/>
          <w:sz w:val="18"/>
          <w:szCs w:val="18"/>
        </w:rPr>
      </w:pPr>
      <w:r>
        <w:rPr>
          <w:rFonts w:hint="eastAsia" w:ascii="宋体" w:hAnsi="宋体" w:eastAsia="宋体" w:cs="Times New Roman"/>
          <w:sz w:val="18"/>
          <w:szCs w:val="18"/>
        </w:rPr>
        <w:t>表6三种预测方案结果的归纳</w:t>
      </w:r>
    </w:p>
    <w:tbl>
      <w:tblPr>
        <w:tblStyle w:val="1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193"/>
        <w:gridCol w:w="788"/>
        <w:gridCol w:w="702"/>
        <w:gridCol w:w="702"/>
        <w:gridCol w:w="702"/>
        <w:gridCol w:w="702"/>
        <w:gridCol w:w="702"/>
      </w:tblGrid>
      <w:tr w14:paraId="16624D2E">
        <w:trPr>
          <w:jc w:val="center"/>
        </w:trPr>
        <w:tc>
          <w:tcPr>
            <w:tcW w:w="3193" w:type="dxa"/>
          </w:tcPr>
          <w:p w14:paraId="6EE084FF">
            <w:pPr>
              <w:ind w:firstLine="320" w:firstLineChars="200"/>
              <w:jc w:val="center"/>
              <w:rPr>
                <w:rFonts w:ascii="宋体" w:hAnsi="宋体" w:eastAsia="宋体" w:cs="Times New Roman"/>
                <w:sz w:val="15"/>
                <w:szCs w:val="15"/>
              </w:rPr>
            </w:pPr>
          </w:p>
        </w:tc>
        <w:tc>
          <w:tcPr>
            <w:tcW w:w="1490" w:type="dxa"/>
            <w:gridSpan w:val="2"/>
          </w:tcPr>
          <w:p w14:paraId="6A91691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方案1</w:t>
            </w:r>
          </w:p>
          <w:p w14:paraId="25530B9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（TFR=2.0）</w:t>
            </w:r>
          </w:p>
        </w:tc>
        <w:tc>
          <w:tcPr>
            <w:tcW w:w="1404" w:type="dxa"/>
            <w:gridSpan w:val="2"/>
          </w:tcPr>
          <w:p w14:paraId="1C949A5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方案2</w:t>
            </w:r>
          </w:p>
          <w:p w14:paraId="1BBFA95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（TFR=1.8）</w:t>
            </w:r>
          </w:p>
        </w:tc>
        <w:tc>
          <w:tcPr>
            <w:tcW w:w="1404" w:type="dxa"/>
            <w:gridSpan w:val="2"/>
          </w:tcPr>
          <w:p w14:paraId="647F668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方案3</w:t>
            </w:r>
          </w:p>
          <w:p w14:paraId="5E55944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（TFR=1.6）</w:t>
            </w:r>
          </w:p>
        </w:tc>
      </w:tr>
      <w:tr w14:paraId="397A8385">
        <w:trPr>
          <w:jc w:val="center"/>
        </w:trPr>
        <w:tc>
          <w:tcPr>
            <w:tcW w:w="3193" w:type="dxa"/>
          </w:tcPr>
          <w:p w14:paraId="051D1501">
            <w:pPr>
              <w:ind w:firstLine="320" w:firstLineChars="200"/>
              <w:jc w:val="center"/>
              <w:rPr>
                <w:rFonts w:ascii="宋体" w:hAnsi="宋体" w:eastAsia="宋体" w:cs="Times New Roman"/>
                <w:sz w:val="15"/>
                <w:szCs w:val="15"/>
              </w:rPr>
            </w:pPr>
          </w:p>
        </w:tc>
        <w:tc>
          <w:tcPr>
            <w:tcW w:w="788" w:type="dxa"/>
          </w:tcPr>
          <w:p w14:paraId="5D6FDAC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政策</w:t>
            </w:r>
          </w:p>
          <w:p w14:paraId="10BAC1F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不变</w:t>
            </w:r>
          </w:p>
        </w:tc>
        <w:tc>
          <w:tcPr>
            <w:tcW w:w="702" w:type="dxa"/>
          </w:tcPr>
          <w:p w14:paraId="4E070F5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政策</w:t>
            </w:r>
          </w:p>
          <w:p w14:paraId="0099065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调整</w:t>
            </w:r>
          </w:p>
        </w:tc>
        <w:tc>
          <w:tcPr>
            <w:tcW w:w="702" w:type="dxa"/>
          </w:tcPr>
          <w:p w14:paraId="3E1B6AC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政策</w:t>
            </w:r>
          </w:p>
          <w:p w14:paraId="12CFE7D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不变</w:t>
            </w:r>
          </w:p>
        </w:tc>
        <w:tc>
          <w:tcPr>
            <w:tcW w:w="702" w:type="dxa"/>
          </w:tcPr>
          <w:p w14:paraId="4FA9F34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政策</w:t>
            </w:r>
          </w:p>
          <w:p w14:paraId="71E813C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调整</w:t>
            </w:r>
          </w:p>
        </w:tc>
        <w:tc>
          <w:tcPr>
            <w:tcW w:w="702" w:type="dxa"/>
          </w:tcPr>
          <w:p w14:paraId="56C5ED1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政策</w:t>
            </w:r>
          </w:p>
          <w:p w14:paraId="21655B2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不变</w:t>
            </w:r>
          </w:p>
        </w:tc>
        <w:tc>
          <w:tcPr>
            <w:tcW w:w="702" w:type="dxa"/>
          </w:tcPr>
          <w:p w14:paraId="31EEE5D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政策</w:t>
            </w:r>
          </w:p>
          <w:p w14:paraId="1421D5C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调整</w:t>
            </w:r>
          </w:p>
        </w:tc>
      </w:tr>
      <w:tr w14:paraId="067050AB">
        <w:trPr>
          <w:jc w:val="center"/>
        </w:trPr>
        <w:tc>
          <w:tcPr>
            <w:tcW w:w="3193" w:type="dxa"/>
          </w:tcPr>
          <w:p w14:paraId="7310592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人口达到峰值时规模（亿）</w:t>
            </w:r>
          </w:p>
        </w:tc>
        <w:tc>
          <w:tcPr>
            <w:tcW w:w="788" w:type="dxa"/>
          </w:tcPr>
          <w:p w14:paraId="39CB36BF">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14.46</w:t>
            </w:r>
          </w:p>
        </w:tc>
        <w:tc>
          <w:tcPr>
            <w:tcW w:w="702" w:type="dxa"/>
          </w:tcPr>
          <w:p w14:paraId="49B58D1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14.93</w:t>
            </w:r>
          </w:p>
        </w:tc>
        <w:tc>
          <w:tcPr>
            <w:tcW w:w="702" w:type="dxa"/>
          </w:tcPr>
          <w:p w14:paraId="6B99BDA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13.93</w:t>
            </w:r>
          </w:p>
        </w:tc>
        <w:tc>
          <w:tcPr>
            <w:tcW w:w="702" w:type="dxa"/>
          </w:tcPr>
          <w:p w14:paraId="6F56D97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14.34</w:t>
            </w:r>
          </w:p>
        </w:tc>
        <w:tc>
          <w:tcPr>
            <w:tcW w:w="702" w:type="dxa"/>
          </w:tcPr>
          <w:p w14:paraId="47F58A2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14.58</w:t>
            </w:r>
          </w:p>
        </w:tc>
        <w:tc>
          <w:tcPr>
            <w:tcW w:w="702" w:type="dxa"/>
          </w:tcPr>
          <w:p w14:paraId="26CA609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14.20</w:t>
            </w:r>
          </w:p>
        </w:tc>
      </w:tr>
      <w:tr w14:paraId="3D4CDAE9">
        <w:trPr>
          <w:jc w:val="center"/>
        </w:trPr>
        <w:tc>
          <w:tcPr>
            <w:tcW w:w="3193" w:type="dxa"/>
          </w:tcPr>
          <w:p w14:paraId="42C6F25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峰值或到零增长时间（年）</w:t>
            </w:r>
          </w:p>
        </w:tc>
        <w:tc>
          <w:tcPr>
            <w:tcW w:w="788" w:type="dxa"/>
          </w:tcPr>
          <w:p w14:paraId="7A0880F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2033</w:t>
            </w:r>
          </w:p>
        </w:tc>
        <w:tc>
          <w:tcPr>
            <w:tcW w:w="702" w:type="dxa"/>
          </w:tcPr>
          <w:p w14:paraId="2B908573">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2043</w:t>
            </w:r>
          </w:p>
        </w:tc>
        <w:tc>
          <w:tcPr>
            <w:tcW w:w="702" w:type="dxa"/>
          </w:tcPr>
          <w:p w14:paraId="17B2504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2024</w:t>
            </w:r>
          </w:p>
        </w:tc>
        <w:tc>
          <w:tcPr>
            <w:tcW w:w="702" w:type="dxa"/>
          </w:tcPr>
          <w:p w14:paraId="70E1A0C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2038</w:t>
            </w:r>
          </w:p>
        </w:tc>
        <w:tc>
          <w:tcPr>
            <w:tcW w:w="702" w:type="dxa"/>
          </w:tcPr>
          <w:p w14:paraId="59471D8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2021</w:t>
            </w:r>
          </w:p>
        </w:tc>
        <w:tc>
          <w:tcPr>
            <w:tcW w:w="702" w:type="dxa"/>
          </w:tcPr>
          <w:p w14:paraId="6983FED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2039</w:t>
            </w:r>
          </w:p>
        </w:tc>
      </w:tr>
      <w:tr w14:paraId="16D43A82">
        <w:trPr>
          <w:jc w:val="center"/>
        </w:trPr>
        <w:tc>
          <w:tcPr>
            <w:tcW w:w="3193" w:type="dxa"/>
          </w:tcPr>
          <w:p w14:paraId="2BCD6B9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最高负增长水平（‰）</w:t>
            </w:r>
          </w:p>
        </w:tc>
        <w:tc>
          <w:tcPr>
            <w:tcW w:w="788" w:type="dxa"/>
          </w:tcPr>
          <w:p w14:paraId="0B86B18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-11.6</w:t>
            </w:r>
          </w:p>
        </w:tc>
        <w:tc>
          <w:tcPr>
            <w:tcW w:w="702" w:type="dxa"/>
          </w:tcPr>
          <w:p w14:paraId="733B985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-1.6</w:t>
            </w:r>
          </w:p>
        </w:tc>
        <w:tc>
          <w:tcPr>
            <w:tcW w:w="702" w:type="dxa"/>
          </w:tcPr>
          <w:p w14:paraId="199B358E">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-14.4</w:t>
            </w:r>
          </w:p>
        </w:tc>
        <w:tc>
          <w:tcPr>
            <w:tcW w:w="702" w:type="dxa"/>
          </w:tcPr>
          <w:p w14:paraId="6B878BB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-2.5</w:t>
            </w:r>
          </w:p>
        </w:tc>
        <w:tc>
          <w:tcPr>
            <w:tcW w:w="702" w:type="dxa"/>
          </w:tcPr>
          <w:p w14:paraId="56A6B74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-16.2</w:t>
            </w:r>
          </w:p>
        </w:tc>
        <w:tc>
          <w:tcPr>
            <w:tcW w:w="702" w:type="dxa"/>
          </w:tcPr>
          <w:p w14:paraId="7F23D0D7">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-2.9</w:t>
            </w:r>
          </w:p>
        </w:tc>
      </w:tr>
      <w:tr w14:paraId="402E328A">
        <w:trPr>
          <w:jc w:val="center"/>
        </w:trPr>
        <w:tc>
          <w:tcPr>
            <w:tcW w:w="3193" w:type="dxa"/>
          </w:tcPr>
          <w:p w14:paraId="4CF4969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最高负增长出现时间（年）</w:t>
            </w:r>
          </w:p>
        </w:tc>
        <w:tc>
          <w:tcPr>
            <w:tcW w:w="788" w:type="dxa"/>
          </w:tcPr>
          <w:p w14:paraId="60DE89E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2100</w:t>
            </w:r>
          </w:p>
        </w:tc>
        <w:tc>
          <w:tcPr>
            <w:tcW w:w="702" w:type="dxa"/>
          </w:tcPr>
          <w:p w14:paraId="242FA00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2055</w:t>
            </w:r>
          </w:p>
        </w:tc>
        <w:tc>
          <w:tcPr>
            <w:tcW w:w="702" w:type="dxa"/>
          </w:tcPr>
          <w:p w14:paraId="1572858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2100</w:t>
            </w:r>
          </w:p>
        </w:tc>
        <w:tc>
          <w:tcPr>
            <w:tcW w:w="702" w:type="dxa"/>
          </w:tcPr>
          <w:p w14:paraId="1425B34C">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2055</w:t>
            </w:r>
          </w:p>
        </w:tc>
        <w:tc>
          <w:tcPr>
            <w:tcW w:w="702" w:type="dxa"/>
          </w:tcPr>
          <w:p w14:paraId="327EC354">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2100</w:t>
            </w:r>
          </w:p>
        </w:tc>
        <w:tc>
          <w:tcPr>
            <w:tcW w:w="702" w:type="dxa"/>
          </w:tcPr>
          <w:p w14:paraId="5FED85D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2055</w:t>
            </w:r>
          </w:p>
        </w:tc>
      </w:tr>
      <w:tr w14:paraId="112F6CF8">
        <w:trPr>
          <w:jc w:val="center"/>
        </w:trPr>
        <w:tc>
          <w:tcPr>
            <w:tcW w:w="3193" w:type="dxa"/>
          </w:tcPr>
          <w:p w14:paraId="4F79D3F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2100年60岁以上人口比例（%）</w:t>
            </w:r>
          </w:p>
        </w:tc>
        <w:tc>
          <w:tcPr>
            <w:tcW w:w="788" w:type="dxa"/>
          </w:tcPr>
          <w:p w14:paraId="4DD0F7B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44.9</w:t>
            </w:r>
          </w:p>
        </w:tc>
        <w:tc>
          <w:tcPr>
            <w:tcW w:w="702" w:type="dxa"/>
          </w:tcPr>
          <w:p w14:paraId="7D143A61">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30.7</w:t>
            </w:r>
          </w:p>
        </w:tc>
        <w:tc>
          <w:tcPr>
            <w:tcW w:w="702" w:type="dxa"/>
          </w:tcPr>
          <w:p w14:paraId="24A6D48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48.9</w:t>
            </w:r>
          </w:p>
        </w:tc>
        <w:tc>
          <w:tcPr>
            <w:tcW w:w="702" w:type="dxa"/>
          </w:tcPr>
          <w:p w14:paraId="39AAF952">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30.6</w:t>
            </w:r>
          </w:p>
        </w:tc>
        <w:tc>
          <w:tcPr>
            <w:tcW w:w="702" w:type="dxa"/>
          </w:tcPr>
          <w:p w14:paraId="70628C0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50.5</w:t>
            </w:r>
          </w:p>
        </w:tc>
        <w:tc>
          <w:tcPr>
            <w:tcW w:w="702" w:type="dxa"/>
          </w:tcPr>
          <w:p w14:paraId="73F72BA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30.6</w:t>
            </w:r>
          </w:p>
        </w:tc>
      </w:tr>
      <w:tr w14:paraId="578FF758">
        <w:trPr>
          <w:jc w:val="center"/>
        </w:trPr>
        <w:tc>
          <w:tcPr>
            <w:tcW w:w="3193" w:type="dxa"/>
          </w:tcPr>
          <w:p w14:paraId="509B46CD">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2100年65岁以上人口比例（%）</w:t>
            </w:r>
          </w:p>
        </w:tc>
        <w:tc>
          <w:tcPr>
            <w:tcW w:w="788" w:type="dxa"/>
          </w:tcPr>
          <w:p w14:paraId="4543E8B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37.2</w:t>
            </w:r>
          </w:p>
        </w:tc>
        <w:tc>
          <w:tcPr>
            <w:tcW w:w="702" w:type="dxa"/>
          </w:tcPr>
          <w:p w14:paraId="6775E138">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24.8</w:t>
            </w:r>
          </w:p>
        </w:tc>
        <w:tc>
          <w:tcPr>
            <w:tcW w:w="702" w:type="dxa"/>
          </w:tcPr>
          <w:p w14:paraId="02C8D86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41.1</w:t>
            </w:r>
          </w:p>
        </w:tc>
        <w:tc>
          <w:tcPr>
            <w:tcW w:w="702" w:type="dxa"/>
          </w:tcPr>
          <w:p w14:paraId="2D6E800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24.8</w:t>
            </w:r>
          </w:p>
        </w:tc>
        <w:tc>
          <w:tcPr>
            <w:tcW w:w="702" w:type="dxa"/>
          </w:tcPr>
          <w:p w14:paraId="25751AE0">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42.9</w:t>
            </w:r>
          </w:p>
        </w:tc>
        <w:tc>
          <w:tcPr>
            <w:tcW w:w="702" w:type="dxa"/>
          </w:tcPr>
          <w:p w14:paraId="77E8BA9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24.7</w:t>
            </w:r>
          </w:p>
        </w:tc>
      </w:tr>
      <w:tr w14:paraId="2707714B">
        <w:trPr>
          <w:jc w:val="center"/>
        </w:trPr>
        <w:tc>
          <w:tcPr>
            <w:tcW w:w="3193" w:type="dxa"/>
          </w:tcPr>
          <w:p w14:paraId="25CD6A4B">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2100年人口规模（亿）</w:t>
            </w:r>
          </w:p>
        </w:tc>
        <w:tc>
          <w:tcPr>
            <w:tcW w:w="788" w:type="dxa"/>
          </w:tcPr>
          <w:p w14:paraId="369DC645">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8.7</w:t>
            </w:r>
          </w:p>
        </w:tc>
        <w:tc>
          <w:tcPr>
            <w:tcW w:w="702" w:type="dxa"/>
          </w:tcPr>
          <w:p w14:paraId="77077EF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14.4</w:t>
            </w:r>
          </w:p>
        </w:tc>
        <w:tc>
          <w:tcPr>
            <w:tcW w:w="702" w:type="dxa"/>
          </w:tcPr>
          <w:p w14:paraId="0702B1E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6.7</w:t>
            </w:r>
          </w:p>
        </w:tc>
        <w:tc>
          <w:tcPr>
            <w:tcW w:w="702" w:type="dxa"/>
          </w:tcPr>
          <w:p w14:paraId="4597AE26">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13.3</w:t>
            </w:r>
          </w:p>
        </w:tc>
        <w:tc>
          <w:tcPr>
            <w:tcW w:w="702" w:type="dxa"/>
          </w:tcPr>
          <w:p w14:paraId="4E40856A">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5.5</w:t>
            </w:r>
          </w:p>
        </w:tc>
        <w:tc>
          <w:tcPr>
            <w:tcW w:w="702" w:type="dxa"/>
          </w:tcPr>
          <w:p w14:paraId="32C38BD9">
            <w:pPr>
              <w:ind w:firstLine="320" w:firstLineChars="200"/>
              <w:jc w:val="center"/>
              <w:rPr>
                <w:rFonts w:ascii="宋体" w:hAnsi="宋体" w:eastAsia="宋体" w:cs="Times New Roman"/>
                <w:sz w:val="15"/>
                <w:szCs w:val="15"/>
              </w:rPr>
            </w:pPr>
            <w:r>
              <w:rPr>
                <w:rFonts w:hint="eastAsia" w:ascii="宋体" w:hAnsi="宋体" w:eastAsia="宋体" w:cs="Times New Roman"/>
                <w:sz w:val="15"/>
                <w:szCs w:val="15"/>
              </w:rPr>
              <w:t>13.2</w:t>
            </w:r>
          </w:p>
        </w:tc>
      </w:tr>
    </w:tbl>
    <w:p w14:paraId="33A3F3A4">
      <w:pPr>
        <w:ind w:firstLine="320" w:firstLineChars="200"/>
        <w:jc w:val="center"/>
        <w:rPr>
          <w:rFonts w:ascii="宋体" w:hAnsi="宋体" w:eastAsia="宋体" w:cs="Times New Roman"/>
          <w:sz w:val="15"/>
          <w:szCs w:val="15"/>
        </w:rPr>
      </w:pPr>
    </w:p>
    <w:p w14:paraId="418843B2">
      <w:pPr>
        <w:spacing w:line="300" w:lineRule="auto"/>
        <w:ind w:firstLine="380" w:firstLineChars="200"/>
        <w:jc w:val="center"/>
        <w:rPr>
          <w:rFonts w:ascii="宋体" w:hAnsi="宋体" w:eastAsia="宋体" w:cs="Times New Roman"/>
          <w:sz w:val="18"/>
          <w:szCs w:val="18"/>
        </w:rPr>
      </w:pPr>
      <w:r>
        <w:rPr>
          <w:rFonts w:hint="eastAsia" w:ascii="宋体" w:hAnsi="宋体" w:eastAsia="宋体" w:cs="Times New Roman"/>
          <w:sz w:val="18"/>
          <w:szCs w:val="18"/>
        </w:rPr>
        <w:t>表7几种有代表性的生育政策建议和人口预测</w:t>
      </w:r>
    </w:p>
    <w:tbl>
      <w:tblPr>
        <w:tblStyle w:val="1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16"/>
        <w:gridCol w:w="1523"/>
        <w:gridCol w:w="1346"/>
        <w:gridCol w:w="1440"/>
        <w:gridCol w:w="1980"/>
        <w:gridCol w:w="1410"/>
      </w:tblGrid>
      <w:tr w14:paraId="21555F3F">
        <w:trPr>
          <w:trHeight w:val="681" w:hRule="atLeast"/>
        </w:trPr>
        <w:tc>
          <w:tcPr>
            <w:tcW w:w="1216" w:type="dxa"/>
          </w:tcPr>
          <w:p w14:paraId="63861C57">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预测单位或个人</w:t>
            </w:r>
          </w:p>
        </w:tc>
        <w:tc>
          <w:tcPr>
            <w:tcW w:w="1523" w:type="dxa"/>
          </w:tcPr>
          <w:p w14:paraId="35DDA48A">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中国人口信息研究中心的预测（方案A）</w:t>
            </w:r>
          </w:p>
        </w:tc>
        <w:tc>
          <w:tcPr>
            <w:tcW w:w="1346" w:type="dxa"/>
          </w:tcPr>
          <w:p w14:paraId="04302A9F">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中国人口信息研究中心的预测（方案B）</w:t>
            </w:r>
          </w:p>
        </w:tc>
        <w:tc>
          <w:tcPr>
            <w:tcW w:w="1440" w:type="dxa"/>
          </w:tcPr>
          <w:p w14:paraId="1EFD8F09">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中国人口信息研究中心的预测（方案C）</w:t>
            </w:r>
          </w:p>
        </w:tc>
        <w:tc>
          <w:tcPr>
            <w:tcW w:w="1980" w:type="dxa"/>
          </w:tcPr>
          <w:p w14:paraId="340F6AFF">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乔晓春和任强（方案D）</w:t>
            </w:r>
          </w:p>
        </w:tc>
        <w:tc>
          <w:tcPr>
            <w:tcW w:w="1410" w:type="dxa"/>
          </w:tcPr>
          <w:p w14:paraId="2823DDF3">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乔晓春和任强</w:t>
            </w:r>
          </w:p>
          <w:p w14:paraId="72288FAD">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（方案E）</w:t>
            </w:r>
          </w:p>
        </w:tc>
      </w:tr>
      <w:tr w14:paraId="311486B0">
        <w:tc>
          <w:tcPr>
            <w:tcW w:w="1216" w:type="dxa"/>
          </w:tcPr>
          <w:p w14:paraId="1D3E37AC">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生育政策建议</w:t>
            </w:r>
          </w:p>
        </w:tc>
        <w:tc>
          <w:tcPr>
            <w:tcW w:w="1523" w:type="dxa"/>
          </w:tcPr>
          <w:p w14:paraId="7C737ECD">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现行政策的基础上，从现在起，全国城市农村普遍允许双方独身子女夫妇可以生两孩</w:t>
            </w:r>
          </w:p>
        </w:tc>
        <w:tc>
          <w:tcPr>
            <w:tcW w:w="1346" w:type="dxa"/>
          </w:tcPr>
          <w:p w14:paraId="78B5E69C">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2010年后总和生育率为2.1（即2010年后放开二胎）</w:t>
            </w:r>
          </w:p>
        </w:tc>
        <w:tc>
          <w:tcPr>
            <w:tcW w:w="1440" w:type="dxa"/>
          </w:tcPr>
          <w:p w14:paraId="4C19A7E4">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总和生育率一直保持现在的1.8水平</w:t>
            </w:r>
          </w:p>
        </w:tc>
        <w:tc>
          <w:tcPr>
            <w:tcW w:w="1980" w:type="dxa"/>
          </w:tcPr>
          <w:p w14:paraId="5D12ADC7">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假定我国2000年的总和生育率为1.8，到2020年以前使总和生育率自然下降，从2020年开始上调到2.0，接近更替水平，并保持不变</w:t>
            </w:r>
          </w:p>
        </w:tc>
        <w:tc>
          <w:tcPr>
            <w:tcW w:w="1410" w:type="dxa"/>
          </w:tcPr>
          <w:p w14:paraId="062256F4">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假定我国2000年的总和生育率为1.8，使生育率下降到1.2后保持不变。</w:t>
            </w:r>
          </w:p>
        </w:tc>
      </w:tr>
      <w:tr w14:paraId="040EF0CF">
        <w:tc>
          <w:tcPr>
            <w:tcW w:w="1216" w:type="dxa"/>
          </w:tcPr>
          <w:p w14:paraId="788EE28A">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人口达到峰值时规模（亿）</w:t>
            </w:r>
          </w:p>
        </w:tc>
        <w:tc>
          <w:tcPr>
            <w:tcW w:w="1523" w:type="dxa"/>
          </w:tcPr>
          <w:p w14:paraId="20C29CF3">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15.44</w:t>
            </w:r>
          </w:p>
        </w:tc>
        <w:tc>
          <w:tcPr>
            <w:tcW w:w="1346" w:type="dxa"/>
          </w:tcPr>
          <w:p w14:paraId="7508D104">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15.50</w:t>
            </w:r>
          </w:p>
        </w:tc>
        <w:tc>
          <w:tcPr>
            <w:tcW w:w="1440" w:type="dxa"/>
          </w:tcPr>
          <w:p w14:paraId="0DD80F85">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14.42</w:t>
            </w:r>
          </w:p>
        </w:tc>
        <w:tc>
          <w:tcPr>
            <w:tcW w:w="1980" w:type="dxa"/>
          </w:tcPr>
          <w:p w14:paraId="313CEABB">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14.34</w:t>
            </w:r>
          </w:p>
        </w:tc>
        <w:tc>
          <w:tcPr>
            <w:tcW w:w="1410" w:type="dxa"/>
          </w:tcPr>
          <w:p w14:paraId="6151AEF8">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13.93</w:t>
            </w:r>
          </w:p>
        </w:tc>
      </w:tr>
      <w:tr w14:paraId="0D5DE471">
        <w:tc>
          <w:tcPr>
            <w:tcW w:w="1216" w:type="dxa"/>
          </w:tcPr>
          <w:p w14:paraId="343B6E47">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人口达到峰值时间（年）</w:t>
            </w:r>
          </w:p>
        </w:tc>
        <w:tc>
          <w:tcPr>
            <w:tcW w:w="1523" w:type="dxa"/>
          </w:tcPr>
          <w:p w14:paraId="2F70F3F0">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2040</w:t>
            </w:r>
          </w:p>
        </w:tc>
        <w:tc>
          <w:tcPr>
            <w:tcW w:w="1346" w:type="dxa"/>
          </w:tcPr>
          <w:p w14:paraId="36C11559">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2045</w:t>
            </w:r>
          </w:p>
        </w:tc>
        <w:tc>
          <w:tcPr>
            <w:tcW w:w="1440" w:type="dxa"/>
          </w:tcPr>
          <w:p w14:paraId="55CFD2FB">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2030</w:t>
            </w:r>
          </w:p>
        </w:tc>
        <w:tc>
          <w:tcPr>
            <w:tcW w:w="1980" w:type="dxa"/>
          </w:tcPr>
          <w:p w14:paraId="47FB7BE5">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2038</w:t>
            </w:r>
          </w:p>
        </w:tc>
        <w:tc>
          <w:tcPr>
            <w:tcW w:w="1410" w:type="dxa"/>
          </w:tcPr>
          <w:p w14:paraId="1390F217">
            <w:pPr>
              <w:adjustRightInd w:val="0"/>
              <w:snapToGrid w:val="0"/>
              <w:ind w:firstLine="320" w:firstLineChars="200"/>
              <w:rPr>
                <w:rFonts w:ascii="宋体" w:hAnsi="宋体" w:eastAsia="宋体" w:cs="Times New Roman"/>
                <w:sz w:val="15"/>
                <w:szCs w:val="15"/>
              </w:rPr>
            </w:pPr>
            <w:r>
              <w:rPr>
                <w:rFonts w:hint="eastAsia" w:ascii="宋体" w:hAnsi="宋体" w:eastAsia="宋体" w:cs="Times New Roman"/>
                <w:sz w:val="15"/>
                <w:szCs w:val="15"/>
              </w:rPr>
              <w:t>2024</w:t>
            </w:r>
          </w:p>
        </w:tc>
      </w:tr>
    </w:tbl>
    <w:p w14:paraId="11AF9BA3">
      <w:pPr>
        <w:spacing w:line="300" w:lineRule="auto"/>
        <w:ind w:firstLine="440" w:firstLineChars="200"/>
        <w:rPr>
          <w:rFonts w:ascii="宋体" w:hAnsi="宋体" w:eastAsia="宋体" w:cs="Times New Roman"/>
        </w:rPr>
      </w:pPr>
      <w:r>
        <w:rPr>
          <w:rFonts w:hint="eastAsia" w:ascii="宋体" w:hAnsi="宋体" w:eastAsia="宋体" w:cs="Times New Roman"/>
        </w:rPr>
        <w:t>分析表7可知，方案A是通过全国城市农村普遍允许双方独生子女夫妇可以生二孩的方式来实现“二胎”化；方案B和方案D都是放开“二胎”，区别在于放开“二胎”的时间，方案B放开“二胎”的时间为2010年，而方案D放开“二胎”的时间为2020年；方案C是假设保持目前的生育水平一直不变；方案E是在目前的生育水平下，通过生育政策控制、社会经济发展和生育文化进步的综合作用使生育率逐渐下降到1.2的水平，即基本实现“一胎化”。从表7可以看出，方案A～E，中国的人口总量达到峰值时规模差异很大，达到峰值人口时的最小规模为13.93亿，最大规模为15.5亿，相差1.57亿人；人口实现零增长的时间也差异很大，推行“一胎化”，达到人口零增长的时间是2045年，放开“二胎”最晚达到人口零增长的时间是2045年，相差21年。由此可见，任何形式的放开“二胎”都是不可取的。</w:t>
      </w:r>
    </w:p>
    <w:p w14:paraId="42120533">
      <w:pPr>
        <w:spacing w:before="147" w:beforeLines="50" w:after="147" w:afterLines="50" w:line="300" w:lineRule="auto"/>
        <w:ind w:firstLine="500" w:firstLineChars="200"/>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三、“一胎化”的成本-效益分析</w:t>
      </w:r>
    </w:p>
    <w:p w14:paraId="09F9D9AF">
      <w:pPr>
        <w:spacing w:line="300" w:lineRule="auto"/>
        <w:ind w:firstLine="440" w:firstLineChars="200"/>
        <w:rPr>
          <w:rFonts w:ascii="宋体" w:hAnsi="宋体" w:eastAsia="宋体" w:cs="Times New Roman"/>
        </w:rPr>
      </w:pPr>
      <w:r>
        <w:rPr>
          <w:rFonts w:hint="eastAsia" w:ascii="宋体" w:hAnsi="宋体" w:eastAsia="宋体" w:cs="Times New Roman"/>
        </w:rPr>
        <w:t>实行“一胎化”生育政策可以通过微观上控制每个家庭的规模，宏观上控制社会的人口数量，来促进家庭和社会经济的协调发展。科学合理的人口控制政策不仅能够获得控制人口数量的人口效益，还会获得相应的经济效益和健康效益。政府只有重视人口控制政策的成本一效益分析，将政策的制定和实施建立在这种科学分析的基础上，才能以尽可能低的、能为各方面所接受的成本来获得尽可能高的并从总体上有利于国家和每个家庭的效益。成本一效益分析的这一重要作用，对于正确制定和有效实施人口控制政策无疑具有极为重要的意义。</w:t>
      </w:r>
    </w:p>
    <w:p w14:paraId="0A1BE4CD">
      <w:pPr>
        <w:spacing w:line="300" w:lineRule="auto"/>
        <w:ind w:firstLine="440" w:firstLineChars="200"/>
        <w:rPr>
          <w:rFonts w:ascii="宋体" w:hAnsi="宋体" w:eastAsia="宋体" w:cs="Times New Roman"/>
          <w:b/>
        </w:rPr>
      </w:pPr>
      <w:r>
        <w:rPr>
          <w:rFonts w:hint="eastAsia" w:ascii="宋体" w:hAnsi="宋体" w:eastAsia="宋体" w:cs="Times New Roman"/>
          <w:b/>
        </w:rPr>
        <w:t>（一）“一胎化”的成本分析</w:t>
      </w:r>
    </w:p>
    <w:p w14:paraId="7A624077">
      <w:pPr>
        <w:spacing w:line="300" w:lineRule="auto"/>
        <w:ind w:firstLine="440" w:firstLineChars="200"/>
        <w:rPr>
          <w:rFonts w:ascii="宋体" w:hAnsi="宋体" w:eastAsia="宋体" w:cs="Times New Roman"/>
          <w:b/>
        </w:rPr>
      </w:pPr>
      <w:r>
        <w:rPr>
          <w:rFonts w:ascii="宋体" w:hAnsi="宋体" w:eastAsia="宋体" w:cs="Times New Roman"/>
          <w:b/>
        </w:rPr>
        <w:t>1</w:t>
      </w:r>
      <w:r>
        <w:rPr>
          <w:rFonts w:hint="eastAsia" w:ascii="宋体" w:hAnsi="宋体" w:eastAsia="宋体" w:cs="Times New Roman"/>
          <w:b/>
        </w:rPr>
        <w:t>．“一胎化”的货币成本</w:t>
      </w:r>
    </w:p>
    <w:p w14:paraId="27D7F316">
      <w:pPr>
        <w:spacing w:line="300" w:lineRule="auto"/>
        <w:ind w:firstLine="440" w:firstLineChars="200"/>
        <w:rPr>
          <w:rFonts w:ascii="宋体" w:hAnsi="宋体" w:eastAsia="宋体" w:cs="Times New Roman"/>
        </w:rPr>
      </w:pPr>
      <w:r>
        <w:rPr>
          <w:rFonts w:hint="eastAsia" w:ascii="宋体" w:hAnsi="宋体" w:eastAsia="宋体" w:cs="Times New Roman"/>
        </w:rPr>
        <w:t>“一胎化”的货币成本包括以下两种成本：一是个人实行节育所需支付的避孕药具和节育手术费用的货币成本。在这种成本中还包括个人为获得这些节育服务所要花费的时间成本；二是国家或有关组织为推行计划生育政策或支助计划生育活动所需支付的各种人力、物力、财力等成本（可总计折算为货币成本）。在此主要分析的是政府为实行“一胎化”生育政策所需要支付的货币成本。</w:t>
      </w:r>
    </w:p>
    <w:p w14:paraId="20C5D8FE">
      <w:pPr>
        <w:spacing w:line="300" w:lineRule="auto"/>
        <w:ind w:firstLine="440" w:firstLineChars="200"/>
        <w:rPr>
          <w:rFonts w:ascii="宋体" w:hAnsi="宋体" w:eastAsia="宋体" w:cs="Times New Roman"/>
          <w:b/>
        </w:rPr>
      </w:pPr>
      <w:r>
        <w:rPr>
          <w:rFonts w:hint="eastAsia" w:ascii="宋体" w:hAnsi="宋体" w:eastAsia="宋体" w:cs="Times New Roman"/>
          <w:b/>
        </w:rPr>
        <w:t>2．“一胎化”的健康成本</w:t>
      </w:r>
    </w:p>
    <w:p w14:paraId="7B347BC1">
      <w:pPr>
        <w:spacing w:line="300" w:lineRule="auto"/>
        <w:ind w:firstLine="440" w:firstLineChars="200"/>
        <w:rPr>
          <w:rFonts w:ascii="宋体" w:hAnsi="宋体" w:eastAsia="宋体" w:cs="Times New Roman"/>
        </w:rPr>
      </w:pPr>
      <w:r>
        <w:rPr>
          <w:rFonts w:hint="eastAsia" w:ascii="宋体" w:hAnsi="宋体" w:eastAsia="宋体" w:cs="Times New Roman"/>
        </w:rPr>
        <w:t>“一胎化”的健康成本是指各种节育措施在使用过程中可能产生的副作用给节育者带来的影响。根据各种调查和研究，从最广泛的意义上看，没有任何一种节育措施不具有某种副作用。但是，各种科学的节育措施经过多年研究、试验和不断地改进，目前它们的安全有效性是有保证的，副作用一般都不大。</w:t>
      </w:r>
    </w:p>
    <w:p w14:paraId="10C7475B">
      <w:pPr>
        <w:spacing w:line="300" w:lineRule="auto"/>
        <w:ind w:firstLine="440" w:firstLineChars="200"/>
        <w:rPr>
          <w:rFonts w:ascii="宋体" w:hAnsi="宋体" w:eastAsia="宋体" w:cs="Times New Roman"/>
          <w:b/>
        </w:rPr>
      </w:pPr>
      <w:r>
        <w:rPr>
          <w:rFonts w:hint="eastAsia" w:ascii="宋体" w:hAnsi="宋体" w:eastAsia="宋体" w:cs="Times New Roman"/>
          <w:b/>
        </w:rPr>
        <w:t>3．“一胎化”的社会心理成本</w:t>
      </w:r>
    </w:p>
    <w:p w14:paraId="261C477D">
      <w:pPr>
        <w:spacing w:line="300" w:lineRule="auto"/>
        <w:ind w:firstLine="440" w:firstLineChars="200"/>
        <w:rPr>
          <w:rFonts w:ascii="宋体" w:hAnsi="宋体" w:eastAsia="宋体" w:cs="Times New Roman"/>
        </w:rPr>
      </w:pPr>
      <w:r>
        <w:rPr>
          <w:rFonts w:hint="eastAsia" w:ascii="宋体" w:hAnsi="宋体" w:eastAsia="宋体" w:cs="Times New Roman"/>
        </w:rPr>
        <w:t>“一胎化”的社会心理成本是指在推行计划生育的条件下，由于个人和社会集团对节育所持的否定态度而形成的社会、文化和心理上的障碍。它可能以某种方式阻止人们实行节育或放弃节育。这种社会心理成本不同于上述的货币成本和健康成本，它是一种非物质性的成本，准确地测度和有效地支付很困难。</w:t>
      </w:r>
    </w:p>
    <w:p w14:paraId="03D0A47B">
      <w:pPr>
        <w:spacing w:line="300" w:lineRule="auto"/>
        <w:ind w:firstLine="440" w:firstLineChars="200"/>
        <w:rPr>
          <w:rFonts w:ascii="宋体" w:hAnsi="宋体" w:eastAsia="宋体" w:cs="Times New Roman"/>
        </w:rPr>
      </w:pPr>
      <w:r>
        <w:rPr>
          <w:rFonts w:hint="eastAsia" w:ascii="宋体" w:hAnsi="宋体" w:eastAsia="宋体" w:cs="Times New Roman"/>
        </w:rPr>
        <w:t>“一胎化”的成本问题是一个极其重要的问题，这种成本是否合理，能不能为社会和群众所接受，直接关系到计划生育的成败。实行“一胎化”生育政策的成本不可过高，要求大多数人能够接受，社会能够承担。否则，计划生育实际上也难以推行，若强制推行，还会引发严重的后果。在防止计划生育高成本的同时，又不能消极被动地等待低成本的来临，以至放松了合理的节育要求，使那些本来经过认真努力可以做到的事情也不去力争实现。随着现代生育文化的推广普及，实行“一胎化”生育政策的社会心理成本将会不断降低。同时，由于节育措施的副作用较小，节育者为此支付的健康成本并不高，而由此所得到的效益却很大，因此，下面主要分析政府为实行“一胎化”生育政策所需要支付的货币成本。</w:t>
      </w:r>
    </w:p>
    <w:p w14:paraId="234EC656">
      <w:pPr>
        <w:spacing w:line="300" w:lineRule="auto"/>
        <w:ind w:firstLine="440" w:firstLineChars="200"/>
        <w:rPr>
          <w:rFonts w:ascii="宋体" w:hAnsi="宋体" w:eastAsia="宋体" w:cs="Times New Roman"/>
        </w:rPr>
      </w:pPr>
      <w:r>
        <w:rPr>
          <w:rFonts w:hint="eastAsia" w:ascii="宋体" w:hAnsi="宋体" w:eastAsia="宋体" w:cs="Times New Roman"/>
        </w:rPr>
        <w:t>在不同生育水平下的人口预测中，刘金塘和林富德利用国家统计局1995年1%人口抽样调查数据，对当前实行“放开二胎”的生育政策世纪中国人口发展趋势进行了模拟（见表3方案3）。乔晓春和任强对实行“一胎化”生育政策进行了百年人口预测（见表4方案2-1）。两个生育政策方案均假设年总和生育率为1.8，更替水平为2.1，这种假设比较符合中国的国情，因此，利用这两个方案的人口预测数据经过分析得出，实行“一胎化”生育政策相比“放开二胎”生育政策的人口效益数据，即：实行“一胎化”的生育政策2024年可以达到人口增长的峰值，峰值人口为13.93亿人，2010～2024年，推行“一胎化”比“放开二胎”生育政策人口总量将减少1亿左右，2024年以后实行“一胎化”的生育政策的人口进入负增长阶段，而“放开二胎”生育政策的人口总量将继续增长，到2045年才可以达到人口增长的峰值，峰值人口为15.50亿人，这样两种方案的人口总量差距将逐渐增大到3亿左右，此后，在相当长的时间内“放开二胎”方案的人口总量保持在15亿人口以上，到2100年人口总量为15.33亿，而实行“一胎’生育政策的人口总量继续减少，到2100年为6.7亿人，两种方案的人口总量差距由3亿人口逐渐增长到8.63亿人。同时，根据“计划生育效益与投入研究课题组”的研究，我国多年来对计划生育事业投入了大量的人力、物力和财力，仅以货币形式计量的投入来看，1971～1998年，按当年价格计算，国家财政和非国家财政累计对计划生育的投入达926亿元，而同期因计划生育因素而少生3.38亿人，这样就可以推算出我国平均每少生个孩子政府仅需投入274元</w:t>
      </w:r>
      <w:r>
        <w:rPr>
          <w:rFonts w:hint="eastAsia" w:ascii="宋体" w:hAnsi="宋体" w:eastAsia="宋体" w:cs="Times New Roman"/>
          <w:vertAlign w:val="superscript"/>
        </w:rPr>
        <w:t>[13]</w:t>
      </w:r>
      <w:r>
        <w:rPr>
          <w:rFonts w:hint="eastAsia" w:ascii="宋体" w:hAnsi="宋体" w:eastAsia="宋体" w:cs="Times New Roman"/>
        </w:rPr>
        <w:t>。在此基础上利用实行“一胎化”生育政策相比“放开二胎”生育政策的人口效益与平均每少生一个孩子政府的货币投入的乘积就可以推算出未来几十年政府为推行“一胎化”生育政策所需要支付的货币成本，即：2010～2024年约为274亿元，到2045年将增加到约822亿元。</w:t>
      </w:r>
    </w:p>
    <w:p w14:paraId="7007A234">
      <w:pPr>
        <w:spacing w:line="300" w:lineRule="auto"/>
        <w:ind w:firstLine="440" w:firstLineChars="200"/>
        <w:rPr>
          <w:rFonts w:ascii="宋体" w:hAnsi="宋体" w:eastAsia="宋体" w:cs="Times New Roman"/>
          <w:b/>
        </w:rPr>
      </w:pPr>
      <w:r>
        <w:rPr>
          <w:rFonts w:hint="eastAsia" w:ascii="宋体" w:hAnsi="宋体" w:eastAsia="宋体" w:cs="Times New Roman"/>
          <w:b/>
        </w:rPr>
        <w:t>（二）“一胎化”的经济效益分析</w:t>
      </w:r>
    </w:p>
    <w:p w14:paraId="34BF2CD2">
      <w:pPr>
        <w:spacing w:line="300" w:lineRule="auto"/>
        <w:ind w:firstLine="440" w:firstLineChars="200"/>
        <w:rPr>
          <w:rFonts w:ascii="宋体" w:hAnsi="宋体" w:eastAsia="宋体" w:cs="Times New Roman"/>
        </w:rPr>
      </w:pPr>
      <w:r>
        <w:rPr>
          <w:rFonts w:hint="eastAsia" w:ascii="宋体" w:hAnsi="宋体" w:eastAsia="宋体" w:cs="Times New Roman"/>
        </w:rPr>
        <w:t>“一胎化”的经济效益（以下简称经济效益）主要是指因实行“一胎化”生育政策而少生的人口数所带来的效益，它主要可以通过因实行“一胎化”生育政策而少生的人口数对家庭和社会少年儿童抚养费的节省予以反映和计量。</w:t>
      </w:r>
    </w:p>
    <w:p w14:paraId="17C0BB9C">
      <w:pPr>
        <w:spacing w:line="300" w:lineRule="auto"/>
        <w:ind w:firstLine="440" w:firstLineChars="200"/>
        <w:rPr>
          <w:rFonts w:ascii="宋体" w:hAnsi="宋体" w:eastAsia="宋体" w:cs="Times New Roman"/>
        </w:rPr>
      </w:pPr>
      <w:r>
        <w:rPr>
          <w:rFonts w:hint="eastAsia" w:ascii="宋体" w:hAnsi="宋体" w:eastAsia="宋体" w:cs="Times New Roman"/>
        </w:rPr>
        <w:t>“计划生育效益与投入研究课题组”专门通过组织问卷调查、进行精细的统计分析，计算出了我国年平均每个0～16岁少年儿童的家庭和社会抚养费用数据，具体程序如下：一是我国1998年城市家庭平均每个0～16岁少年儿童抚养费最低需支付9.5万元（家庭抚养费1），若家庭再为少年儿童投保健康保险，抚养费将升至11.1万元（家庭抚养费2），若家庭再为0～3岁的孩子雇用保姆，抚养费将升至12.2万元（家庭抚养费3）。二是我国1998年农村家庭平均每个0～16岁少年儿童抚养费与上述城市家庭相对应的三类数据分别为3.6万元（家庭抚养费1）、3.8万元（家庭抚养费2）和4万元（家庭抚养费3）。其中“家庭抚养费3”的4万元除包括保姆费外，还包括家庭为生育二胎及以上的孩子所支付的社会抚养费（这在城市家庭中基本没有）。三是我国1998年城乡合计的0～16岁少年儿童抚养费与以上相对应的三类数据分别为5.1万元（家庭抚养费1）、5.7万元（家庭抚养费2）和5.9万元（家庭抚养费3）。四是1998年我国为每个0～16岁少年儿童平均支付的社会抚养费在城市为1.6万元，在农村为0.5万元，前者为后者的3倍多。如将城乡加权合计，同年我国平均每个少年儿童的社会抚养费为7781元。在1998年中国少年儿童的家庭和社会抚养费数据基础上，即可计算出二者之和的平均每个少年儿童的总抚养费。按照1998年的消费模式和物价水平，我国抚养一个孩子从母亲怀孕开始到16周岁止，全国平均所需支付的总抚养费最低为5.8万元，最高为6.7万元。其中城市最低11万元，最高13万元；农村最低4.1万元，最高4.4万元。</w:t>
      </w:r>
    </w:p>
    <w:p w14:paraId="2D73F9D9">
      <w:pPr>
        <w:spacing w:line="300" w:lineRule="auto"/>
        <w:ind w:firstLine="440" w:firstLineChars="200"/>
        <w:rPr>
          <w:rFonts w:ascii="宋体" w:hAnsi="宋体" w:eastAsia="宋体" w:cs="Times New Roman"/>
        </w:rPr>
      </w:pPr>
      <w:r>
        <w:rPr>
          <w:rFonts w:hint="eastAsia" w:ascii="宋体" w:hAnsi="宋体" w:eastAsia="宋体" w:cs="Times New Roman"/>
        </w:rPr>
        <w:t>按照1998年的消费模式和物价水平，我国抚养一个孩子从母亲怀孕开始到16周岁为止，全国平均所需支付的总抚养费最低为5.8万元，最高为6.7万元，取其高值，并利用实行“一胎化”生育政策相比“放开二胎”生育政策的人口效益，与我国抚养一个孩子从母亲怀孕开始到16周岁平均所需支付的总抚养费的乘积，就可以推算出未来几十年政府推行“一胎化”生育政策的经济效益，即2010～2014年，实行“一胎化”的生育政策将为国家节省的总抚养费约为6.7万亿元，到2045年实行“一胎化”的生育政策为国家节省的总抚养费将增加到约20.1万亿元。而同期政府为推行“一胎化”生育政策所需要支付的货币成本，2010～2024年仅为274亿元，到2045年约为822亿元，成本低于效益，政府推行“一胎化”生育政策的经济效益十分显著。随着社会经济的发展，国家经济实力的提高，教育投资的不断升高，我国为抚养每个0～16岁少年儿童平均所需支付的总抚养费必然大幅度上升，这样，由于“放开二胎”而多生的几亿人口将给家庭和社会带来沉重的经济负担，因此，我国不仅不能放松现行生育政策而且还要继续把城乡的生育水平降到一对夫妇一个孩子这一底线，即严格的“一胎化”生育政策。</w:t>
      </w:r>
    </w:p>
    <w:p w14:paraId="480407F5">
      <w:pPr>
        <w:spacing w:line="300" w:lineRule="auto"/>
        <w:ind w:firstLine="440" w:firstLineChars="200"/>
        <w:rPr>
          <w:rFonts w:ascii="宋体" w:hAnsi="宋体" w:eastAsia="宋体" w:cs="Times New Roman"/>
        </w:rPr>
      </w:pPr>
    </w:p>
    <w:p w14:paraId="4D2D6F5D">
      <w:pPr>
        <w:ind w:firstLine="440" w:firstLineChars="200"/>
        <w:rPr>
          <w:rFonts w:ascii="宋体" w:hAnsi="宋体" w:eastAsia="宋体" w:cs="Times New Roman"/>
          <w:b/>
        </w:rPr>
      </w:pPr>
      <w:r>
        <w:rPr>
          <w:rFonts w:hint="eastAsia" w:ascii="宋体" w:hAnsi="宋体" w:eastAsia="宋体" w:cs="Times New Roman"/>
          <w:b/>
        </w:rPr>
        <w:t>参考文献</w:t>
      </w:r>
    </w:p>
    <w:p w14:paraId="0EB34EEA">
      <w:pPr>
        <w:ind w:firstLine="380" w:firstLineChars="200"/>
        <w:rPr>
          <w:rFonts w:ascii="宋体" w:hAnsi="宋体" w:eastAsia="宋体" w:cs="Times New Roman"/>
          <w:sz w:val="18"/>
          <w:szCs w:val="18"/>
        </w:rPr>
      </w:pPr>
      <w:r>
        <w:rPr>
          <w:rFonts w:hint="eastAsia" w:ascii="宋体" w:hAnsi="宋体" w:eastAsia="宋体" w:cs="Times New Roman"/>
          <w:sz w:val="18"/>
          <w:szCs w:val="18"/>
        </w:rPr>
        <w:t>[1]曾毅：《逐步提高平均生育年龄对我国人口发展的影响》，《人口与经济》1990年第2期</w:t>
      </w:r>
    </w:p>
    <w:p w14:paraId="487A1199">
      <w:pPr>
        <w:ind w:firstLine="380" w:firstLineChars="200"/>
        <w:rPr>
          <w:rFonts w:ascii="宋体" w:hAnsi="宋体" w:eastAsia="宋体" w:cs="Times New Roman"/>
          <w:sz w:val="18"/>
          <w:szCs w:val="18"/>
        </w:rPr>
      </w:pPr>
      <w:r>
        <w:rPr>
          <w:rFonts w:hint="eastAsia" w:ascii="宋体" w:hAnsi="宋体" w:eastAsia="宋体" w:cs="Times New Roman"/>
          <w:sz w:val="18"/>
          <w:szCs w:val="18"/>
        </w:rPr>
        <w:t>[2]程恩富：《谈实现科学发展观的几个现实问题》，《北京日报》2007年4月30日</w:t>
      </w:r>
    </w:p>
    <w:p w14:paraId="42F94CE1">
      <w:pPr>
        <w:ind w:firstLine="380" w:firstLineChars="200"/>
        <w:rPr>
          <w:rFonts w:ascii="宋体" w:hAnsi="宋体" w:eastAsia="宋体" w:cs="Times New Roman"/>
          <w:sz w:val="18"/>
          <w:szCs w:val="18"/>
        </w:rPr>
      </w:pPr>
      <w:r>
        <w:rPr>
          <w:rFonts w:hint="eastAsia" w:ascii="宋体" w:hAnsi="宋体" w:eastAsia="宋体" w:cs="Times New Roman"/>
          <w:sz w:val="18"/>
          <w:szCs w:val="18"/>
        </w:rPr>
        <w:t>[3]李小平：《论中国人口的百年战略与对策——生育控制与农村社会经济问题的综合治理》，《战略与管理》2004年第3期</w:t>
      </w:r>
    </w:p>
    <w:p w14:paraId="76CC8BB5">
      <w:pPr>
        <w:ind w:firstLine="380" w:firstLineChars="200"/>
        <w:rPr>
          <w:rFonts w:ascii="宋体" w:hAnsi="宋体" w:eastAsia="宋体" w:cs="Times New Roman"/>
          <w:sz w:val="18"/>
          <w:szCs w:val="18"/>
        </w:rPr>
      </w:pPr>
      <w:r>
        <w:rPr>
          <w:rFonts w:hint="eastAsia" w:ascii="宋体" w:hAnsi="宋体" w:eastAsia="宋体" w:cs="Times New Roman"/>
          <w:sz w:val="18"/>
          <w:szCs w:val="18"/>
        </w:rPr>
        <w:t>[4]尹文耀：《中国独生子女家庭与二孩家庭生育模式百年模拟与选择》，《人口学刊》2001年第3期</w:t>
      </w:r>
    </w:p>
    <w:p w14:paraId="535AE240">
      <w:pPr>
        <w:ind w:firstLine="380" w:firstLineChars="200"/>
        <w:rPr>
          <w:rFonts w:ascii="宋体" w:hAnsi="宋体" w:eastAsia="宋体" w:cs="Times New Roman"/>
          <w:sz w:val="18"/>
          <w:szCs w:val="18"/>
        </w:rPr>
      </w:pPr>
      <w:r>
        <w:rPr>
          <w:rFonts w:hint="eastAsia" w:ascii="宋体" w:hAnsi="宋体" w:eastAsia="宋体" w:cs="Times New Roman"/>
          <w:sz w:val="18"/>
          <w:szCs w:val="18"/>
        </w:rPr>
        <w:t>[5]曾毅：《试论二孩晚育政策软着陆的必要性与可行性》，《中国社会科学》2006年第2期</w:t>
      </w:r>
    </w:p>
    <w:p w14:paraId="17A2F62B">
      <w:pPr>
        <w:ind w:firstLine="380" w:firstLineChars="200"/>
        <w:rPr>
          <w:rFonts w:ascii="宋体" w:hAnsi="宋体" w:eastAsia="宋体" w:cs="Times New Roman"/>
          <w:sz w:val="18"/>
          <w:szCs w:val="18"/>
        </w:rPr>
      </w:pPr>
      <w:r>
        <w:rPr>
          <w:rFonts w:hint="eastAsia" w:ascii="宋体" w:hAnsi="宋体" w:eastAsia="宋体" w:cs="Times New Roman"/>
          <w:sz w:val="18"/>
          <w:szCs w:val="18"/>
        </w:rPr>
        <w:t>[6]李建新：《论生育政策与中国人口老龄化》，《人口研究》2000年第2期</w:t>
      </w:r>
    </w:p>
    <w:p w14:paraId="4474D554">
      <w:pPr>
        <w:ind w:firstLine="380" w:firstLineChars="200"/>
        <w:rPr>
          <w:rFonts w:ascii="宋体" w:hAnsi="宋体" w:eastAsia="宋体" w:cs="Times New Roman"/>
          <w:sz w:val="18"/>
          <w:szCs w:val="18"/>
        </w:rPr>
      </w:pPr>
      <w:r>
        <w:rPr>
          <w:rFonts w:hint="eastAsia" w:ascii="宋体" w:hAnsi="宋体" w:eastAsia="宋体" w:cs="Times New Roman"/>
          <w:sz w:val="18"/>
          <w:szCs w:val="18"/>
        </w:rPr>
        <w:t>[7]穆光宗：《“一胎化政策”的反思》，《人口研究》2000年第4期</w:t>
      </w:r>
    </w:p>
    <w:p w14:paraId="60FC5F61">
      <w:pPr>
        <w:ind w:firstLine="380" w:firstLineChars="200"/>
        <w:rPr>
          <w:rFonts w:ascii="宋体" w:hAnsi="宋体" w:eastAsia="宋体" w:cs="Times New Roman"/>
          <w:sz w:val="18"/>
          <w:szCs w:val="18"/>
        </w:rPr>
      </w:pPr>
      <w:r>
        <w:rPr>
          <w:rFonts w:hint="eastAsia" w:ascii="宋体" w:hAnsi="宋体" w:eastAsia="宋体" w:cs="Times New Roman"/>
          <w:sz w:val="18"/>
          <w:szCs w:val="18"/>
        </w:rPr>
        <w:t>[8]刘金塘林富德：《从稳定低生育率到稳定人口：新世纪人口态势模拟》，《人口研究》2000年第4期</w:t>
      </w:r>
    </w:p>
    <w:p w14:paraId="78DC75D0">
      <w:pPr>
        <w:ind w:firstLine="380" w:firstLineChars="200"/>
        <w:rPr>
          <w:rFonts w:ascii="宋体" w:hAnsi="宋体" w:eastAsia="宋体" w:cs="Times New Roman"/>
          <w:sz w:val="18"/>
          <w:szCs w:val="18"/>
        </w:rPr>
      </w:pPr>
      <w:r>
        <w:rPr>
          <w:rFonts w:hint="eastAsia" w:ascii="宋体" w:hAnsi="宋体" w:eastAsia="宋体" w:cs="Times New Roman"/>
          <w:sz w:val="18"/>
          <w:szCs w:val="18"/>
        </w:rPr>
        <w:t>[9]刘金塘林富德：《21世纪中国人口发展前景》，《人口学刊》2001年第3期</w:t>
      </w:r>
    </w:p>
    <w:p w14:paraId="3C51E645">
      <w:pPr>
        <w:ind w:firstLine="380" w:firstLineChars="200"/>
        <w:rPr>
          <w:rFonts w:ascii="宋体" w:hAnsi="宋体" w:eastAsia="宋体" w:cs="Times New Roman"/>
          <w:sz w:val="18"/>
          <w:szCs w:val="18"/>
        </w:rPr>
      </w:pPr>
      <w:r>
        <w:rPr>
          <w:rFonts w:hint="eastAsia" w:ascii="宋体" w:hAnsi="宋体" w:eastAsia="宋体" w:cs="Times New Roman"/>
          <w:sz w:val="18"/>
          <w:szCs w:val="18"/>
        </w:rPr>
        <w:t>[10][11]“中国未来人口发展与生育政策研究”课题组：《中国未来人口发展与生育政策研究》，《人口研究》2000年第3期</w:t>
      </w:r>
    </w:p>
    <w:p w14:paraId="36FB596F">
      <w:pPr>
        <w:ind w:firstLine="380" w:firstLineChars="200"/>
        <w:rPr>
          <w:rFonts w:ascii="宋体" w:hAnsi="宋体" w:eastAsia="宋体" w:cs="Times New Roman"/>
          <w:sz w:val="18"/>
          <w:szCs w:val="18"/>
        </w:rPr>
      </w:pPr>
      <w:r>
        <w:rPr>
          <w:rFonts w:hint="eastAsia" w:ascii="宋体" w:hAnsi="宋体" w:eastAsia="宋体" w:cs="Times New Roman"/>
          <w:sz w:val="18"/>
          <w:szCs w:val="18"/>
        </w:rPr>
        <w:t>[12]乔晓春任强：《中国未来生育政策的选择》，《市场与人口分析》2006年第3期</w:t>
      </w:r>
    </w:p>
    <w:p w14:paraId="297459B8">
      <w:pPr>
        <w:ind w:firstLine="380" w:firstLineChars="200"/>
        <w:rPr>
          <w:rFonts w:ascii="宋体" w:hAnsi="宋体" w:eastAsia="宋体" w:cs="Times New Roman"/>
          <w:sz w:val="18"/>
          <w:szCs w:val="18"/>
        </w:rPr>
      </w:pPr>
      <w:r>
        <w:rPr>
          <w:rFonts w:hint="eastAsia" w:ascii="宋体" w:hAnsi="宋体" w:eastAsia="宋体" w:cs="Times New Roman"/>
          <w:sz w:val="18"/>
          <w:szCs w:val="18"/>
        </w:rPr>
        <w:t>[13]“计划生育效益与投入研究课题组”：《我国计划生育效益研究》，《人口与计划生育》2000年第5期</w:t>
      </w:r>
    </w:p>
    <w:p w14:paraId="63904435">
      <w:pPr>
        <w:ind w:firstLine="380" w:firstLineChars="200"/>
        <w:rPr>
          <w:rFonts w:ascii="宋体" w:hAnsi="宋体" w:eastAsia="宋体" w:cs="Times New Roman"/>
          <w:sz w:val="18"/>
          <w:szCs w:val="18"/>
        </w:rPr>
      </w:pPr>
      <w:r>
        <w:rPr>
          <w:rFonts w:hint="eastAsia" w:ascii="宋体" w:hAnsi="宋体" w:eastAsia="宋体" w:cs="Times New Roman"/>
          <w:sz w:val="18"/>
          <w:szCs w:val="18"/>
        </w:rPr>
        <w:t>[14]杨魁孚等：《中国计划生育效益与投入》，人民出版社，2000年</w:t>
      </w:r>
    </w:p>
    <w:p w14:paraId="4202B92C">
      <w:pPr>
        <w:ind w:firstLine="380" w:firstLineChars="200"/>
        <w:rPr>
          <w:rFonts w:ascii="宋体" w:hAnsi="宋体" w:eastAsia="宋体" w:cs="Times New Roman"/>
          <w:sz w:val="18"/>
          <w:szCs w:val="18"/>
        </w:rPr>
      </w:pPr>
      <w:r>
        <w:rPr>
          <w:rFonts w:hint="eastAsia" w:ascii="宋体" w:hAnsi="宋体" w:eastAsia="宋体" w:cs="Times New Roman"/>
          <w:sz w:val="18"/>
          <w:szCs w:val="18"/>
        </w:rPr>
        <w:t>[15]李宏规：《面向新世纪的重大决策》，《人口与计划生育》2000年第3期</w:t>
      </w:r>
    </w:p>
    <w:p w14:paraId="18A67BA7">
      <w:pPr>
        <w:ind w:firstLine="380" w:firstLineChars="200"/>
        <w:rPr>
          <w:rFonts w:ascii="宋体" w:hAnsi="宋体" w:eastAsia="宋体" w:cs="Times New Roman"/>
          <w:sz w:val="18"/>
          <w:szCs w:val="18"/>
        </w:rPr>
      </w:pPr>
      <w:r>
        <w:rPr>
          <w:rFonts w:hint="eastAsia" w:ascii="宋体" w:hAnsi="宋体" w:eastAsia="宋体" w:cs="Times New Roman"/>
          <w:sz w:val="18"/>
          <w:szCs w:val="18"/>
        </w:rPr>
        <w:t>[16]杨书章汤梦君：《稳定低生育水平面临的机遇与挑战》，《人口研究》2000年第4期</w:t>
      </w:r>
    </w:p>
    <w:p w14:paraId="7C75CC03">
      <w:pPr>
        <w:ind w:firstLine="380" w:firstLineChars="200"/>
        <w:rPr>
          <w:rFonts w:ascii="宋体" w:hAnsi="宋体" w:eastAsia="宋体" w:cs="Times New Roman"/>
          <w:sz w:val="18"/>
          <w:szCs w:val="18"/>
        </w:rPr>
      </w:pPr>
      <w:r>
        <w:rPr>
          <w:rFonts w:hint="eastAsia" w:ascii="宋体" w:hAnsi="宋体" w:eastAsia="宋体" w:cs="Times New Roman"/>
          <w:sz w:val="18"/>
          <w:szCs w:val="18"/>
        </w:rPr>
        <w:t>[17]于学军：《“十五”时期中国人口发展前瞻性研究》，《中国人口科学》2001年第1期</w:t>
      </w:r>
    </w:p>
    <w:p w14:paraId="1D3757FC">
      <w:pPr>
        <w:ind w:firstLine="440" w:firstLineChars="200"/>
        <w:rPr>
          <w:rFonts w:ascii="宋体" w:hAnsi="宋体" w:eastAsia="宋体" w:cs="Times New Roman"/>
        </w:rPr>
      </w:pPr>
    </w:p>
    <w:p w14:paraId="5EF88010">
      <w:pPr>
        <w:spacing w:line="300" w:lineRule="auto"/>
        <w:ind w:firstLine="440" w:firstLineChars="200"/>
        <w:rPr>
          <w:rFonts w:ascii="宋体" w:hAnsi="宋体" w:eastAsia="宋体" w:cs="Times New Roman"/>
        </w:rPr>
      </w:pPr>
      <w:r>
        <w:rPr>
          <w:rFonts w:hint="eastAsia" w:ascii="宋体" w:hAnsi="宋体" w:eastAsia="宋体" w:cs="Times New Roman"/>
        </w:rPr>
        <w:t>（原载《重庆社会科学》2008年第7期，第一作者为王爱华）</w:t>
      </w:r>
    </w:p>
    <w:p w14:paraId="4D814580">
      <w:pPr>
        <w:bidi w:val="0"/>
      </w:pPr>
      <w:r>
        <w:br w:type="page"/>
      </w:r>
    </w:p>
    <w:p w14:paraId="4044B3D0">
      <w:pPr>
        <w:spacing w:line="360" w:lineRule="auto"/>
        <w:ind w:firstLine="660" w:firstLineChars="200"/>
        <w:jc w:val="center"/>
        <w:outlineLvl w:val="1"/>
        <w:rPr>
          <w:rFonts w:ascii="黑体" w:hAnsi="黑体" w:eastAsia="黑体" w:cs="Times New Roman"/>
          <w:sz w:val="32"/>
          <w:szCs w:val="32"/>
        </w:rPr>
      </w:pPr>
      <w:bookmarkStart w:id="935" w:name="_Toc726"/>
      <w:bookmarkStart w:id="936" w:name="_Toc111193700"/>
      <w:bookmarkStart w:id="937" w:name="_Toc1772845588"/>
      <w:bookmarkStart w:id="938" w:name="_Toc541164604"/>
      <w:r>
        <w:rPr>
          <w:rFonts w:hint="eastAsia" w:ascii="黑体" w:hAnsi="黑体" w:eastAsia="黑体" w:cs="Times New Roman"/>
          <w:sz w:val="32"/>
          <w:szCs w:val="32"/>
        </w:rPr>
        <w:t>1</w:t>
      </w:r>
      <w:r>
        <w:rPr>
          <w:rFonts w:ascii="黑体" w:hAnsi="黑体" w:eastAsia="黑体" w:cs="Times New Roman"/>
          <w:sz w:val="32"/>
          <w:szCs w:val="32"/>
        </w:rPr>
        <w:t>0</w:t>
      </w:r>
      <w:r>
        <w:rPr>
          <w:rFonts w:hint="eastAsia" w:ascii="黑体" w:hAnsi="黑体" w:eastAsia="黑体" w:cs="Times New Roman"/>
          <w:sz w:val="32"/>
          <w:szCs w:val="32"/>
        </w:rPr>
        <w:t>经济学现代化须适应社会发展形势</w:t>
      </w:r>
      <w:bookmarkEnd w:id="935"/>
      <w:bookmarkEnd w:id="936"/>
      <w:bookmarkEnd w:id="937"/>
      <w:bookmarkEnd w:id="938"/>
    </w:p>
    <w:p w14:paraId="4A108874">
      <w:pPr>
        <w:spacing w:line="400" w:lineRule="exact"/>
        <w:ind w:firstLine="440" w:firstLineChars="200"/>
        <w:jc w:val="left"/>
        <w:rPr>
          <w:rFonts w:ascii="宋体" w:hAnsi="宋体" w:eastAsia="宋体" w:cs="Times New Roman"/>
          <w:szCs w:val="21"/>
        </w:rPr>
      </w:pPr>
      <w:r>
        <w:rPr>
          <w:rFonts w:ascii="宋体" w:hAnsi="宋体" w:eastAsia="宋体" w:cs="Times New Roman"/>
          <w:szCs w:val="21"/>
        </w:rPr>
        <w:t>目前</w:t>
      </w:r>
      <w:r>
        <w:rPr>
          <w:rFonts w:hint="eastAsia" w:ascii="宋体" w:hAnsi="宋体" w:eastAsia="宋体" w:cs="宋体"/>
          <w:szCs w:val="21"/>
        </w:rPr>
        <w:t>，</w:t>
      </w:r>
      <w:r>
        <w:rPr>
          <w:rFonts w:hint="eastAsia" w:ascii="宋体" w:hAnsi="宋体" w:eastAsia="宋体" w:cs="黑体"/>
          <w:szCs w:val="21"/>
        </w:rPr>
        <w:t>经济学界流行</w:t>
      </w:r>
      <w:r>
        <w:rPr>
          <w:rFonts w:ascii="宋体" w:hAnsi="宋体" w:eastAsia="宋体" w:cs="Times New Roman"/>
          <w:szCs w:val="21"/>
        </w:rPr>
        <w:t>“西方经济学本土化”、“西方经济学中国化”、“经济学与国际接轨”、“西方经济学是现代经济学”、“马克思主义经济学被西方经济取代是改革方向”、“中国经济学的国际化只有先从组织上让非马克思主义的‘海龟’执掌院校”之类的观点。我认为</w:t>
      </w:r>
      <w:r>
        <w:rPr>
          <w:rFonts w:hint="eastAsia" w:ascii="宋体" w:hAnsi="宋体" w:eastAsia="宋体" w:cs="宋体"/>
          <w:szCs w:val="21"/>
        </w:rPr>
        <w:t></w:t>
      </w:r>
      <w:r>
        <w:rPr>
          <w:rFonts w:hint="eastAsia" w:ascii="宋体" w:hAnsi="宋体" w:eastAsia="宋体" w:cs="黑体"/>
          <w:szCs w:val="21"/>
        </w:rPr>
        <w:t>这些观点或多或少存在片面性和错误</w:t>
      </w:r>
      <w:r>
        <w:rPr>
          <w:rFonts w:hint="eastAsia" w:ascii="宋体" w:hAnsi="宋体" w:eastAsia="宋体" w:cs="宋体"/>
          <w:szCs w:val="21"/>
        </w:rPr>
        <w:t>，较为正确</w:t>
      </w:r>
      <w:r>
        <w:rPr>
          <w:rFonts w:ascii="宋体" w:hAnsi="宋体" w:eastAsia="宋体" w:cs="Times New Roman"/>
          <w:szCs w:val="21"/>
        </w:rPr>
        <w:t>和可行的提法及原则是“中国经济学现代化”。</w:t>
      </w:r>
    </w:p>
    <w:p w14:paraId="03E32119">
      <w:pPr>
        <w:spacing w:line="400" w:lineRule="exact"/>
        <w:ind w:firstLine="440" w:firstLineChars="200"/>
        <w:jc w:val="left"/>
        <w:rPr>
          <w:rFonts w:ascii="宋体" w:hAnsi="宋体" w:eastAsia="宋体" w:cs="Times New Roman"/>
          <w:szCs w:val="21"/>
        </w:rPr>
      </w:pPr>
      <w:r>
        <w:rPr>
          <w:rFonts w:ascii="宋体" w:hAnsi="宋体" w:eastAsia="宋体" w:cs="Times New Roman"/>
          <w:szCs w:val="21"/>
        </w:rPr>
        <w:t>所谓中国经济学的现代化</w:t>
      </w:r>
      <w:r>
        <w:rPr>
          <w:rFonts w:hint="eastAsia" w:ascii="宋体" w:hAnsi="宋体" w:eastAsia="宋体" w:cs="宋体"/>
          <w:szCs w:val="21"/>
        </w:rPr>
        <w:t>，</w:t>
      </w:r>
      <w:r>
        <w:rPr>
          <w:rFonts w:hint="eastAsia" w:ascii="宋体" w:hAnsi="宋体" w:eastAsia="宋体" w:cs="黑体"/>
          <w:szCs w:val="21"/>
        </w:rPr>
        <w:t>是指我国的经济学教</w:t>
      </w:r>
      <w:r>
        <w:rPr>
          <w:rFonts w:ascii="宋体" w:hAnsi="宋体" w:eastAsia="宋体" w:cs="Times New Roman"/>
          <w:szCs w:val="21"/>
        </w:rPr>
        <w:t>学和研究必须适应现代社会经济全球化和市场经济的科学发展需要</w:t>
      </w:r>
      <w:r>
        <w:rPr>
          <w:rFonts w:hint="eastAsia" w:ascii="宋体" w:hAnsi="宋体" w:eastAsia="宋体" w:cs="宋体"/>
          <w:szCs w:val="21"/>
        </w:rPr>
        <w:t>，</w:t>
      </w:r>
      <w:r>
        <w:rPr>
          <w:rFonts w:hint="eastAsia" w:ascii="宋体" w:hAnsi="宋体" w:eastAsia="宋体" w:cs="黑体"/>
          <w:szCs w:val="21"/>
        </w:rPr>
        <w:t>在历史传承和</w:t>
      </w:r>
      <w:r>
        <w:rPr>
          <w:rFonts w:hint="eastAsia" w:ascii="宋体" w:hAnsi="宋体" w:eastAsia="宋体" w:cs="Times New Roman"/>
          <w:szCs w:val="21"/>
        </w:rPr>
        <w:t>现实借鉴中不断实现自</w:t>
      </w:r>
      <w:r>
        <w:rPr>
          <w:rFonts w:ascii="宋体" w:hAnsi="宋体" w:eastAsia="宋体" w:cs="Times New Roman"/>
          <w:szCs w:val="21"/>
        </w:rPr>
        <w:t>主综合创新的过程。具体来说</w:t>
      </w:r>
      <w:r>
        <w:rPr>
          <w:rFonts w:hint="eastAsia" w:ascii="宋体" w:hAnsi="宋体" w:eastAsia="宋体" w:cs="宋体"/>
          <w:szCs w:val="21"/>
        </w:rPr>
        <w:t>，</w:t>
      </w:r>
      <w:r>
        <w:rPr>
          <w:rFonts w:ascii="宋体" w:hAnsi="宋体" w:eastAsia="宋体" w:cs="Times New Roman"/>
          <w:szCs w:val="21"/>
        </w:rPr>
        <w:t>应当以“世情为鉴、国情为据</w:t>
      </w:r>
      <w:r>
        <w:rPr>
          <w:rFonts w:hint="eastAsia" w:ascii="宋体" w:hAnsi="宋体" w:eastAsia="宋体" w:cs="宋体"/>
          <w:szCs w:val="21"/>
        </w:rPr>
        <w:t>，</w:t>
      </w:r>
      <w:r>
        <w:rPr>
          <w:rFonts w:hint="eastAsia" w:ascii="宋体" w:hAnsi="宋体" w:eastAsia="宋体" w:cs="黑体"/>
          <w:szCs w:val="21"/>
        </w:rPr>
        <w:t>马学为体、西学为用、国学为根</w:t>
      </w:r>
      <w:r>
        <w:rPr>
          <w:rFonts w:hint="eastAsia" w:ascii="宋体" w:hAnsi="宋体" w:eastAsia="宋体" w:cs="宋体"/>
          <w:szCs w:val="21"/>
        </w:rPr>
        <w:t>，</w:t>
      </w:r>
      <w:r>
        <w:rPr>
          <w:rFonts w:ascii="宋体" w:hAnsi="宋体" w:eastAsia="宋体" w:cs="Times New Roman"/>
          <w:szCs w:val="21"/>
        </w:rPr>
        <w:t>综合创新”。它应当处理好三大知识体系的关系：一是中外马克思主义知识体系；二是各种各样的古现代西方知识体系；三是中国古近代的知识体系。对于三大思想和知识体系</w:t>
      </w:r>
      <w:r>
        <w:rPr>
          <w:rFonts w:hint="eastAsia" w:ascii="宋体" w:hAnsi="宋体" w:eastAsia="宋体" w:cs="宋体"/>
          <w:szCs w:val="21"/>
        </w:rPr>
        <w:t>，</w:t>
      </w:r>
      <w:r>
        <w:rPr>
          <w:rFonts w:hint="eastAsia" w:ascii="宋体" w:hAnsi="宋体" w:eastAsia="宋体" w:cs="黑体"/>
          <w:szCs w:val="21"/>
        </w:rPr>
        <w:t>一个可取的学术处理方法和思想原则就是：以马克</w:t>
      </w:r>
      <w:r>
        <w:rPr>
          <w:rFonts w:ascii="宋体" w:hAnsi="宋体" w:eastAsia="宋体" w:cs="Times New Roman"/>
          <w:szCs w:val="21"/>
        </w:rPr>
        <w:t>思主义科学知识为体或为导（对于政治经济学来说</w:t>
      </w:r>
      <w:r>
        <w:rPr>
          <w:rFonts w:hint="eastAsia" w:ascii="宋体" w:hAnsi="宋体" w:eastAsia="宋体" w:cs="宋体"/>
          <w:szCs w:val="21"/>
        </w:rPr>
        <w:t>，</w:t>
      </w:r>
      <w:r>
        <w:rPr>
          <w:rFonts w:hint="eastAsia" w:ascii="宋体" w:hAnsi="宋体" w:eastAsia="宋体" w:cs="黑体"/>
          <w:szCs w:val="21"/>
        </w:rPr>
        <w:t>应</w:t>
      </w:r>
      <w:r>
        <w:rPr>
          <w:rFonts w:ascii="宋体" w:hAnsi="宋体" w:eastAsia="宋体" w:cs="Times New Roman"/>
          <w:szCs w:val="21"/>
        </w:rPr>
        <w:t>为主体；而对于其他大多数经济学科和社会科学来说</w:t>
      </w:r>
      <w:r>
        <w:rPr>
          <w:rFonts w:hint="eastAsia" w:ascii="宋体" w:hAnsi="宋体" w:eastAsia="宋体" w:cs="宋体"/>
          <w:szCs w:val="21"/>
        </w:rPr>
        <w:t>，</w:t>
      </w:r>
      <w:r>
        <w:rPr>
          <w:rFonts w:ascii="宋体" w:hAnsi="宋体" w:eastAsia="宋体" w:cs="Times New Roman"/>
          <w:szCs w:val="21"/>
        </w:rPr>
        <w:t>应为指导）</w:t>
      </w:r>
      <w:r>
        <w:rPr>
          <w:rFonts w:hint="eastAsia" w:ascii="宋体" w:hAnsi="宋体" w:eastAsia="宋体" w:cs="宋体"/>
          <w:szCs w:val="21"/>
        </w:rPr>
        <w:t>，</w:t>
      </w:r>
      <w:r>
        <w:rPr>
          <w:rFonts w:hint="eastAsia" w:ascii="宋体" w:hAnsi="宋体" w:eastAsia="宋体" w:cs="黑体"/>
          <w:szCs w:val="21"/>
        </w:rPr>
        <w:t>以西方非马克思主义的科学知识和合理元</w:t>
      </w:r>
      <w:r>
        <w:rPr>
          <w:rFonts w:ascii="宋体" w:hAnsi="宋体" w:eastAsia="宋体" w:cs="Times New Roman"/>
          <w:szCs w:val="21"/>
        </w:rPr>
        <w:t>素为借用</w:t>
      </w:r>
      <w:r>
        <w:rPr>
          <w:rFonts w:hint="eastAsia" w:ascii="宋体" w:hAnsi="宋体" w:eastAsia="宋体" w:cs="宋体"/>
          <w:szCs w:val="21"/>
        </w:rPr>
        <w:t>，</w:t>
      </w:r>
      <w:r>
        <w:rPr>
          <w:rFonts w:hint="eastAsia" w:ascii="宋体" w:hAnsi="宋体" w:eastAsia="宋体" w:cs="黑体"/>
          <w:szCs w:val="21"/>
        </w:rPr>
        <w:t>以国家为根基和源头</w:t>
      </w:r>
      <w:r>
        <w:rPr>
          <w:rFonts w:hint="eastAsia" w:ascii="宋体" w:hAnsi="宋体" w:eastAsia="宋体" w:cs="宋体"/>
          <w:szCs w:val="21"/>
        </w:rPr>
        <w:t>，进行</w:t>
      </w:r>
      <w:r>
        <w:rPr>
          <w:rFonts w:hint="eastAsia" w:ascii="宋体" w:hAnsi="宋体" w:eastAsia="宋体" w:cs="Times New Roman"/>
          <w:szCs w:val="21"/>
        </w:rPr>
        <w:t>可持续的综合创</w:t>
      </w:r>
      <w:r>
        <w:rPr>
          <w:rFonts w:ascii="宋体" w:hAnsi="宋体" w:eastAsia="宋体" w:cs="Times New Roman"/>
          <w:szCs w:val="21"/>
        </w:rPr>
        <w:t>新和理论超越。一旦偏离这一原则</w:t>
      </w:r>
      <w:r>
        <w:rPr>
          <w:rFonts w:hint="eastAsia" w:ascii="宋体" w:hAnsi="宋体" w:eastAsia="宋体" w:cs="宋体"/>
          <w:szCs w:val="21"/>
        </w:rPr>
        <w:t>，</w:t>
      </w:r>
      <w:r>
        <w:rPr>
          <w:rFonts w:hint="eastAsia" w:ascii="宋体" w:hAnsi="宋体" w:eastAsia="宋体" w:cs="黑体"/>
          <w:szCs w:val="21"/>
        </w:rPr>
        <w:t>理论创新将难以</w:t>
      </w:r>
      <w:r>
        <w:rPr>
          <w:rFonts w:ascii="宋体" w:hAnsi="宋体" w:eastAsia="宋体" w:cs="Times New Roman"/>
          <w:szCs w:val="21"/>
        </w:rPr>
        <w:t>为继。</w:t>
      </w:r>
    </w:p>
    <w:p w14:paraId="3E295AC0">
      <w:pPr>
        <w:spacing w:line="400" w:lineRule="exact"/>
        <w:ind w:firstLine="440" w:firstLineChars="200"/>
        <w:jc w:val="left"/>
        <w:rPr>
          <w:rFonts w:ascii="宋体" w:hAnsi="宋体" w:eastAsia="宋体" w:cs="Times New Roman"/>
          <w:szCs w:val="21"/>
        </w:rPr>
      </w:pPr>
      <w:r>
        <w:rPr>
          <w:rFonts w:ascii="宋体" w:hAnsi="宋体" w:eastAsia="宋体" w:cs="Times New Roman"/>
          <w:szCs w:val="21"/>
        </w:rPr>
        <w:t>一是注重对重大现实经济问题进行体现科学发展观的理论和政策探讨；二是注重对经济学原理的超越性发展；三是注重对政治经济学理论的数学表达和分析；四是注重用现代政治经济学引领应用经济学创新；五是注重与国外马克思主义经济学的互动和借鉴。</w:t>
      </w:r>
    </w:p>
    <w:p w14:paraId="5DBA4FDE">
      <w:pPr>
        <w:spacing w:line="400" w:lineRule="exact"/>
        <w:ind w:firstLine="440" w:firstLineChars="200"/>
        <w:jc w:val="left"/>
        <w:rPr>
          <w:rFonts w:ascii="宋体" w:hAnsi="宋体" w:eastAsia="宋体" w:cs="Times New Roman"/>
          <w:szCs w:val="21"/>
        </w:rPr>
      </w:pPr>
      <w:r>
        <w:rPr>
          <w:rFonts w:hint="eastAsia" w:ascii="宋体" w:hAnsi="宋体" w:eastAsia="宋体" w:cs="Times New Roman"/>
          <w:szCs w:val="21"/>
        </w:rPr>
        <w:t>（原载《山西师大学报(社会科学版)》2</w:t>
      </w:r>
      <w:r>
        <w:rPr>
          <w:rFonts w:ascii="宋体" w:hAnsi="宋体" w:eastAsia="宋体" w:cs="Times New Roman"/>
          <w:szCs w:val="21"/>
        </w:rPr>
        <w:t>008</w:t>
      </w:r>
      <w:r>
        <w:rPr>
          <w:rFonts w:hint="eastAsia" w:ascii="宋体" w:hAnsi="宋体" w:eastAsia="宋体" w:cs="Times New Roman"/>
          <w:szCs w:val="21"/>
        </w:rPr>
        <w:t>年第4期）</w:t>
      </w:r>
    </w:p>
    <w:p w14:paraId="51337B74">
      <w:pPr>
        <w:spacing w:before="147" w:beforeLines="50" w:after="147" w:afterLines="50" w:line="300" w:lineRule="auto"/>
        <w:ind w:firstLine="660" w:firstLineChars="200"/>
        <w:jc w:val="center"/>
        <w:outlineLvl w:val="1"/>
        <w:rPr>
          <w:rFonts w:ascii="Times New Roman" w:hAnsi="Times New Roman" w:eastAsia="黑体" w:cs="Times New Roman"/>
          <w:sz w:val="32"/>
          <w:szCs w:val="32"/>
        </w:rPr>
      </w:pPr>
      <w:bookmarkStart w:id="939" w:name="_Toc111193701"/>
      <w:bookmarkStart w:id="940" w:name="_Toc4000"/>
      <w:bookmarkStart w:id="941" w:name="_Toc2027679038"/>
      <w:bookmarkStart w:id="942" w:name="_Toc760254383"/>
      <w:r>
        <w:rPr>
          <w:rFonts w:hint="eastAsia" w:ascii="Times New Roman" w:hAnsi="Times New Roman" w:eastAsia="黑体" w:cs="Times New Roman"/>
          <w:sz w:val="32"/>
          <w:szCs w:val="32"/>
        </w:rPr>
        <w:t>1</w:t>
      </w:r>
      <w:r>
        <w:rPr>
          <w:rFonts w:ascii="Times New Roman" w:hAnsi="Times New Roman" w:eastAsia="黑体" w:cs="Times New Roman"/>
          <w:sz w:val="32"/>
          <w:szCs w:val="32"/>
        </w:rPr>
        <w:t>1</w:t>
      </w:r>
      <w:r>
        <w:rPr>
          <w:rFonts w:hint="eastAsia" w:ascii="Times New Roman" w:hAnsi="Times New Roman" w:eastAsia="黑体" w:cs="Times New Roman"/>
          <w:sz w:val="32"/>
          <w:szCs w:val="32"/>
        </w:rPr>
        <w:t>解放思想必须摆脱各种教条主义</w:t>
      </w:r>
      <w:bookmarkEnd w:id="939"/>
      <w:bookmarkEnd w:id="940"/>
      <w:bookmarkEnd w:id="941"/>
      <w:bookmarkEnd w:id="942"/>
    </w:p>
    <w:p w14:paraId="6D0FBBC8">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当今我们要贯彻落实十七大精神，深入贯彻落实科学发展观，全面推进中国特色社会主义，必须继续解放思想。从目前来看，继续解放思想就必须克服三种教条主义。</w:t>
      </w:r>
    </w:p>
    <w:p w14:paraId="3F978EA1">
      <w:pPr>
        <w:widowControl/>
        <w:snapToGrid w:val="0"/>
        <w:spacing w:before="147" w:beforeLines="50" w:after="147" w:afterLines="50" w:line="300" w:lineRule="auto"/>
        <w:ind w:firstLine="500" w:firstLineChars="200"/>
        <w:rPr>
          <w:rFonts w:ascii="宋体" w:hAnsi="宋体" w:eastAsia="宋体" w:cs="Times New Roman"/>
          <w:b/>
          <w:sz w:val="24"/>
        </w:rPr>
      </w:pPr>
      <w:r>
        <w:rPr>
          <w:rFonts w:hint="eastAsia" w:ascii="宋体" w:hAnsi="宋体" w:eastAsia="宋体" w:cs="Times New Roman"/>
          <w:b/>
          <w:sz w:val="24"/>
        </w:rPr>
        <w:t>一、克服仍然存在着的对马克思主义、对中国特色社会主义的传统的教条主义的理解，简称为马教条</w:t>
      </w:r>
    </w:p>
    <w:p w14:paraId="4CEC2F0F">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马教条实际上是脱离了时代特征和中国的国情，只强调马恩著作的个别论断，而没有真正地贯彻要结合世情、国情和党情来考虑问题，来进行理论创新和政府决策。我们认为，即使是马克思主义基本原理也是可以创新的，比如马克思的劳动价值论，学术界已经进行了创新并形成了新的活劳动价值理论等等。我们需要用与时俱进的现代马克思主义的知识来进一步丰富我们的认识，</w:t>
      </w:r>
    </w:p>
    <w:p w14:paraId="0FF1E29A">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包括要积极吸收国外共产党和国外马克思主义学者的发展和创新，再加上我们自己的创新，使得马克思主义更加丰富，我们要用发展着的、创新的马克思主义理论来指导我们的各项工作。</w:t>
      </w:r>
    </w:p>
    <w:p w14:paraId="47D59F18">
      <w:pPr>
        <w:widowControl/>
        <w:snapToGrid w:val="0"/>
        <w:spacing w:before="147" w:beforeLines="50" w:after="147" w:afterLines="50" w:line="300" w:lineRule="auto"/>
        <w:ind w:firstLine="500" w:firstLineChars="200"/>
        <w:rPr>
          <w:rFonts w:ascii="宋体" w:hAnsi="宋体" w:eastAsia="宋体" w:cs="Times New Roman"/>
          <w:b/>
          <w:sz w:val="24"/>
        </w:rPr>
      </w:pPr>
      <w:r>
        <w:rPr>
          <w:rFonts w:hint="eastAsia" w:ascii="宋体" w:hAnsi="宋体" w:eastAsia="宋体" w:cs="Times New Roman"/>
          <w:b/>
          <w:sz w:val="24"/>
        </w:rPr>
        <w:t>二、克服对西方的学术理论和政策决策体制的教条主义理解，简称为洋教条</w:t>
      </w:r>
    </w:p>
    <w:p w14:paraId="27723359">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西方的学说理论和政策决策体制，有些方面可能并不是最科学的，或者本身就是错误的，但是如果我们把它奉为教条或者顶礼膜拜，就会影响我们科学的理论创新和各项政策体制创新。经过30年的反对马教条，对马克思主义、社会主义的教条主义的理解已经日渐式微，但是由于我们要深化改革，由于我们要借鉴国外经验，对西方的学术理论、政策体制有时候会走到另一个极端。所以当前我们要重点反对洋教条。反对洋教条，重点把握两点。</w:t>
      </w:r>
    </w:p>
    <w:p w14:paraId="0D955D56">
      <w:pPr>
        <w:widowControl/>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一是中国特色社会主义不是新自由主义</w:t>
      </w:r>
    </w:p>
    <w:p w14:paraId="42AD0BED">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新自由主义的经济理论和政策主张以下“四化”:</w:t>
      </w:r>
    </w:p>
    <w:p w14:paraId="32666FFF">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一，非调控化。反对凯恩斯主义的国家干预理论，认为管得最少的政府就是最好的政府，政府的责任就像一个守夜人，只要管简单的几条如安全保卫、收税等就行了。但我们知道，随着经济不断社会化、全球化，国家的经济职能有一部分是缩小了，有一部分还应当加强，但是新自由主义反对国家某些经济职能的加强，因为它代表着大的垄断组织的利益，属于他们的意识形态，所以跨国公司和垄断组织往往是支持新自由主义理论和政府的，就是让国家管得更少，让他们说了算，在经济、政治、文化各个方面他们都可以有主导权。</w:t>
      </w:r>
    </w:p>
    <w:p w14:paraId="121C5F49">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私有化。宣扬私有产权神话理论。新凯恩斯主义主要代表人物、美国克林顿总统的经济顾问委员会主席、曾获得诺贝尔经济学奖的斯蒂格利茨，在总结苏东国家为什么改革失败时，道出了一句真话:这些苏东国家相信西方产权神话理论。这个产权神话理论实是私有产权神话理论，这种理论是使得苏东改革年内经济大幅度倒退、生活水平大幅度下降的一个总根源。新自由主义强调私有化、反对公有制，比如说在中国目前就是反对社会主义初级阶段应当实行公有制为主体、多种所有制经济共同发展的制度，在西方国家新自由主义也是希望公有企业越少越好，主张全盘私有化。在过去凯恩斯主义时代，西方国家还是办了很多公有企业、国有企业的，在税收方面也做了很多改良主义措施，如实行高额累进税等，如果新自由主义盛行可能就要取消这些改良主义措施。</w:t>
      </w:r>
    </w:p>
    <w:p w14:paraId="24C8315D">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经济自由化。经济自由化，我们在一定程度上是可以接受的，但是新自由主义主张的经济自由化，实际上是要维护美国等发达资本主义国家主导下的不公正的经济全球化、经济自由化，反对发展中国家强烈要求建立国际经济新秩序。这点我们在世贸组织、国际货币基金组织、世界银行三大国际经济组织工作中间，在围绕这三大组织的一些政策博弈之间可以看出来。</w:t>
      </w:r>
    </w:p>
    <w:p w14:paraId="7D0F148D">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福利个人化。主张福利应当更多地由国家承担转向个人承担，反对建立福利国家。所以自里根和撒切尔夫人在美国和英国先后执政以后，新自由主义经济理论和政策也就变为现实，在发达国家里面，它和新老凯恩斯主义是平起平坐的，他们实行的是一种混合政策，但他们向发展中国家重点输出的理论和思想体系是新自由主义。实践下来，可以看到，苏东国家实行新自由主义，如俄罗斯叶利钦时代的前8年的改革，俄罗斯的GDP萎缩了一半，人民的实际生活水平下降了一半。从拉美来看，美国芝加哥学派的海归回到拉美以后实行新自由主义，十几年来，其结果导致拉美经济发生严重混乱，金融危机、经济危机、社会危机，最后导致政治危机。现在，巴西、委内瑞拉、玻利维亚这些国家都对新自由主义作了反思，新上台的政治家和政党是一致反对新自由主义的，正式提出要实行新社会主义的政府主张。在这世界著名的马克思主义经济学家美国麻省理工大学的大卫科斯教授、法国马恩河谷大学的狄茅内教授、日本东京大学的院士伊藤纯教授分别从美国、欧盟和日本三大经济实体几十年的统计资料实证分析证明，由于实行以“四化”为代表的新自由主义经济理论政策，导致这三大经济实体的经济发展速度比实行凯恩斯主义时期还要低。最近几十年发达国家的GDP的年均增长速度是2.4%左右尽管他们是高科技、新经济，又获得了苏东国家倒退的红利，还通过大卖军火策动战争等，通过一些国际组织，制定一些不合理的规章制度、交易规则，来合法地掠夺别国的财富，包括发行美元来掠夺别国财富。即使这样，发达国家近几十年2.4%的发展速度，远远低于我们中国年均9.9%的发展速度，也低于1953年到改革开放前，中国年均增长6.1%的发展速度。</w:t>
      </w:r>
    </w:p>
    <w:p w14:paraId="3C710F1A">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新自由主义经济政策又称为新保守主义经济政策，它在经济思想史上是落后、保守的，中国特色社会主义不是新自由主义。世界各国共产党、左翼政治家和学者、凯恩斯主义者都是反对新自由主义经济理论和政策的。中国改革要吸取华盛顿共识的错误主张的教训及实践的教训，完善我们的经济理论和政策体系。</w:t>
      </w:r>
    </w:p>
    <w:p w14:paraId="6DD26774">
      <w:pPr>
        <w:widowControl/>
        <w:spacing w:line="300" w:lineRule="auto"/>
        <w:ind w:firstLine="440" w:firstLineChars="200"/>
        <w:rPr>
          <w:rFonts w:ascii="宋体" w:hAnsi="宋体" w:eastAsia="宋体" w:cs="Times New Roman"/>
          <w:b/>
          <w:szCs w:val="21"/>
        </w:rPr>
      </w:pPr>
      <w:r>
        <w:rPr>
          <w:rFonts w:hint="eastAsia" w:ascii="宋体" w:hAnsi="宋体" w:eastAsia="宋体" w:cs="Times New Roman"/>
          <w:b/>
          <w:szCs w:val="21"/>
        </w:rPr>
        <w:t>二是中国特色社会主义也不是民主社会主义或社会民主主义</w:t>
      </w:r>
    </w:p>
    <w:p w14:paraId="75E15B4E">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民主社会主义是社会党国际过去的提法，现在他们连社会主义都不提了，现在社会党国际更多的是提社会民主主义。他们主张:第一，在指导思想及思想文化层面。中国特色社会主义是强调马克思主义为指导，要建设以社会主义核心价值体系为主要内容的社会主义先进文化。民主社会主义是坚决反对马克思主义的，它把凯恩斯主义、基督教学说、文艺复兴时期的一些理论、伯恩斯坦的修正主义、法国大革命的人权宣言、康德的伦理学和启蒙思想、黑格尔的辩证历史哲学等多元化的思想，形成了一个大杂烩，非常实用主义地来指导他们的理论和政策。</w:t>
      </w:r>
    </w:p>
    <w:p w14:paraId="75ED5452">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二，在经济制度层面。中国特色社会主义主张生产资料公有制主体地位，主体地位的基础上来建设社会主义市场经济。民主社会主义不强调所有制的改造，不主张公有制必须在社会主义社会中、在社会改革中必须占主体。而社会民主主义声称生产资料的结构不是衡量社会性质的标准，主张在维持私有制为主体的前提下适当发展一点国有经济、合作经济、集体经济等等，它主张的体制和我们初级阶段的体制是不一样的，我们是公有制为主体的混合经济，他们是私有制为主体的混合经济，并且维护财富和收入按资分配为主体的分配结构，而不是按劳分配为主体的分配结构。</w:t>
      </w:r>
    </w:p>
    <w:p w14:paraId="7568EB25">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三，在政治制度层面。中国特色社会主义主张工人阶级政党的领导，建设社会主义民主政治。社民党主张政党不是阶级的政党而是全民的政党，认为工人阶级已经失去了领导作用，抽象地提倡资产阶级的民主化、多元化，反对一切情况下实行共产党的领导，提倡资产阶级多党执政的国体，这是他们最主要的一个观点，所以在西方国家，信奉民主社会主义的社会党性质的政党，都是反对各国共产党的理论和政策的，从这一点也可以看出不同政党的区别。</w:t>
      </w:r>
    </w:p>
    <w:p w14:paraId="0C8B89EC">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四，在对外关系的层面。中国特色社会主义是主张在多极化的博弈中来推动世界的真正的和谐发展、和平发展、合作发展。民主社会主义主张什么，我们不能光看他的口号，要看他的实际作为。在伊拉克战争中，社会党性质的英国工党以及他的领袖布莱尔，在英国执政时，积极地支持美国攻打伊拉克，入侵伊拉克。美国的民主党也支持中国西藏独立这样法活动，等等，由此可以看出很多社会党性质的政党，即使他们执政了，也没有真正去维护世界的和平发展、和谐发展，反而利用他们的经济霸权地位来获取别国的很多财富，所以那种主张西方霸权主义和西方跨国垄断有合理性的辩护是不正确的。我们需要科学地促进经济全球化、政治民主化、文化多样化、军事防御化来顺应全球化过程中迫切需要的全球民主治理，顺应在经济、政治、文化各方面的民主治理这一大趋势。由此我们可以看出，民主社会主义及其政党的对外理论和政策是存在严重问题的。</w:t>
      </w:r>
    </w:p>
    <w:p w14:paraId="70B167E5">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第五，在终极目标层面。中国特色社会主义坚持社会主义初级阶段的基本纲领，其最高目标是共产主义，坚持社会主义初级阶段这一基本纲领和高级阶段最高纲领是有机统一的。但是民主社会主义抛弃了共产主义这一目标，从资产阶级的理性和抽象的伦理原则出发，要建立一个所谓社会公正、自由民主、世界和平的制度，但是他们实际上没有解决资本主义的经济政治文化的根源，我们可以看到，西方发达国家，包括发展中国家，都是问题成堆，而且这些问题很多都是致命性的，很难通过自身调节来解决，民主社会主义只是对此作出适当的改进而已。</w:t>
      </w:r>
    </w:p>
    <w:p w14:paraId="5865400E">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克服借助于当前中国的国学热，宣扬一种用儒家学说来儒化社会主义中国，甚至于提出儒化共产党的思潮，还有个别人主张非儒学而用道学，用老子的学说来替代社会主义核心价值体系，这样一种思潮我们把它叫做古教条。这种古教条也要破除，虽然马克思主义诞生于一百多年前，但马克思主义是在不断地与时俱进和中国化，如果马克思主义及其中国化理论都不能指导好中国的国家富强、人民生活的大改善，想依靠两千多年前的古代的孔子学说或者老子学说等等这些简单的理论、朴素的理论来指导当今中国的现代化建设，显然是比较幼稚的，这种倾向我们也要注意。因为古教条既反对马克思主义、中国特色社会主义、社会主义核心价值体系，同时可能反对西方的理论。西方理论我们是有借鉴、有批评的，和古教条是不完全一样的.当前中国的思想解放就是要用马克思主义及其中国化的理论创新成果作指导，把人们继续从马教条、重点从洋教条、注意从古教条等各种教条中解放出来，坚持解放思想与实事求是相统一，这是一个基本结论。</w:t>
      </w:r>
    </w:p>
    <w:p w14:paraId="4D7441C4">
      <w:pPr>
        <w:widowControl/>
        <w:spacing w:line="300" w:lineRule="auto"/>
        <w:ind w:firstLine="440" w:firstLineChars="200"/>
        <w:rPr>
          <w:rFonts w:ascii="宋体" w:hAnsi="宋体" w:eastAsia="宋体" w:cs="Times New Roman"/>
          <w:szCs w:val="21"/>
        </w:rPr>
      </w:pPr>
    </w:p>
    <w:p w14:paraId="2E67CFCF">
      <w:pPr>
        <w:widowControl/>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（原载于《学习月刊》2008年第9期)</w:t>
      </w:r>
    </w:p>
    <w:p w14:paraId="35941E5D">
      <w:pPr>
        <w:spacing w:line="300" w:lineRule="auto"/>
        <w:ind w:firstLine="440" w:firstLineChars="200"/>
        <w:rPr>
          <w:rFonts w:ascii="宋体" w:hAnsi="宋体" w:eastAsia="宋体" w:cs="Times New Roman"/>
          <w:szCs w:val="21"/>
        </w:rPr>
      </w:pPr>
      <w:r>
        <w:rPr>
          <w:rFonts w:ascii="宋体" w:hAnsi="宋体" w:eastAsia="宋体" w:cs="Times New Roman"/>
          <w:szCs w:val="21"/>
        </w:rPr>
        <w:br w:type="page"/>
      </w:r>
    </w:p>
    <w:p w14:paraId="1E18917B">
      <w:pPr>
        <w:spacing w:before="147" w:beforeLines="50" w:after="147" w:afterLines="50" w:line="300" w:lineRule="auto"/>
        <w:ind w:firstLine="660" w:firstLineChars="200"/>
        <w:jc w:val="center"/>
        <w:outlineLvl w:val="1"/>
        <w:rPr>
          <w:rFonts w:ascii="黑体" w:hAnsi="黑体" w:eastAsia="黑体" w:cs="Times New Roman"/>
          <w:sz w:val="32"/>
        </w:rPr>
      </w:pPr>
      <w:bookmarkStart w:id="943" w:name="_Toc257922015"/>
      <w:bookmarkStart w:id="944" w:name="_Toc111193702"/>
      <w:bookmarkStart w:id="945" w:name="_Toc28849"/>
      <w:bookmarkStart w:id="946" w:name="_Toc783597423"/>
      <w:bookmarkStart w:id="947" w:name="_Toc67715431"/>
      <w:r>
        <w:rPr>
          <w:rFonts w:hint="eastAsia" w:ascii="黑体" w:hAnsi="黑体" w:eastAsia="黑体" w:cs="Times New Roman"/>
          <w:sz w:val="32"/>
        </w:rPr>
        <w:t>1</w:t>
      </w:r>
      <w:r>
        <w:rPr>
          <w:rFonts w:ascii="黑体" w:hAnsi="黑体" w:eastAsia="黑体" w:cs="Times New Roman"/>
          <w:sz w:val="32"/>
        </w:rPr>
        <w:t>2</w:t>
      </w:r>
      <w:r>
        <w:rPr>
          <w:rFonts w:hint="eastAsia" w:ascii="黑体" w:hAnsi="黑体" w:eastAsia="黑体" w:cs="Times New Roman"/>
          <w:sz w:val="32"/>
        </w:rPr>
        <w:t>用西柏坡精神落实十七大的宏伟蓝图</w:t>
      </w:r>
      <w:bookmarkEnd w:id="943"/>
      <w:bookmarkEnd w:id="944"/>
      <w:bookmarkEnd w:id="945"/>
      <w:bookmarkEnd w:id="946"/>
      <w:bookmarkEnd w:id="947"/>
    </w:p>
    <w:p w14:paraId="04695756">
      <w:pPr>
        <w:spacing w:before="147" w:beforeLines="50" w:line="300" w:lineRule="auto"/>
        <w:ind w:firstLine="440" w:firstLineChars="200"/>
        <w:rPr>
          <w:rFonts w:ascii="宋体" w:hAnsi="宋体" w:eastAsia="宋体" w:cs="Times New Roman"/>
        </w:rPr>
      </w:pPr>
      <w:r>
        <w:rPr>
          <w:rFonts w:hint="eastAsia" w:ascii="宋体" w:hAnsi="宋体" w:eastAsia="宋体" w:cs="Times New Roman"/>
        </w:rPr>
        <w:t>在中国共产党第十七次代表大会上，胡锦涛总书记在《高举中国特色社会主义伟大旗帜，为夺取全面建设小康社会新胜利而奋斗》报告里，明确地向全党全国人民提出了实现全面建设小康社会奋斗目标的新要求，为我们党、国家和民族在经济建设、政治建设、文化建设、社会建设四个领域的发展做出了全面部署，为全党全国人民规划出了一幅建设我国社会主义和谐社会的具体而宏伟的蓝图。这是全党和全国人民，在实行改革开放近三十年后将要开辟的一个新的历史时期中所要实现的具体任务和达到的具体目标。</w:t>
      </w:r>
    </w:p>
    <w:p w14:paraId="1CA5CDBD">
      <w:pPr>
        <w:spacing w:line="300" w:lineRule="auto"/>
        <w:ind w:firstLine="440" w:firstLineChars="200"/>
        <w:rPr>
          <w:rFonts w:ascii="宋体" w:hAnsi="宋体" w:eastAsia="宋体" w:cs="Times New Roman"/>
        </w:rPr>
      </w:pPr>
      <w:r>
        <w:rPr>
          <w:rFonts w:hint="eastAsia" w:ascii="宋体" w:hAnsi="宋体" w:eastAsia="宋体" w:cs="Times New Roman"/>
        </w:rPr>
        <w:t>为实现党的十七大所制定的新部署和宏伟的蓝图，胡锦涛总书记在他的报告的结尾部分向全党提出了“四个一定”的要求：“我们一定要居安思危、增强忧患意识，始终保持对马克思主义、对中国特色社会主义、对实现中华民族伟大复兴的坚定信念；一定要戒骄戒躁、艰苦奋斗，牢记社会主义初级阶段基本国情，为党和人民事业不懈努力；一定要刻苦学习、埋头苦干，不断创造经得起实践、人民、历史检验的业绩；一定要加强团结、顾全大局，自觉维护全党的团结统一，保持党同人民群众的血肉联系，巩固全国各族人民的大团结，加强海内外中华儿女的大团结，促进中国人民同世界各国人民的大团结。”胡锦涛总书记提出的这“四个一定”，非常鲜明地体现出了我们党的西柏坡精神，这是我们党的宝贵的光荣传统。人们来到西柏坡，走进西柏坡纪念馆就看到这样一句十分撼动人心的话语：新中国从这里走来。这句看似十分平凡而普通的话，却深刻地表明了西柏坡与新中国的紧密关系，准确地说明了西柏坡革命圣地在中国革命和中国社会发展中的历史地位和历史作用。在1949年3月，一个新中国向全党全国人民走来的时候，我们党在西柏坡召开了七届二中全会，为全党迎接新中国、建设新中国，确定这样一个决定着并影响着今后中国建设和发展的基本方向和基本方针，即：“在革命胜利以后，使中国稳步地由农业国转变为工业国，把中国建设成一个伟大的社会主义国家。”</w:t>
      </w:r>
      <w:r>
        <w:rPr>
          <w:rFonts w:hint="eastAsia" w:ascii="宋体" w:hAnsi="宋体" w:eastAsia="宋体" w:cs="Times New Roman"/>
          <w:vertAlign w:val="superscript"/>
        </w:rPr>
        <w:t>[1]（P1437）</w:t>
      </w:r>
      <w:r>
        <w:rPr>
          <w:rFonts w:hint="eastAsia" w:ascii="宋体" w:hAnsi="宋体" w:eastAsia="宋体" w:cs="Times New Roman"/>
        </w:rPr>
        <w:t>这句话是作为纲领性文件的七届二中全会决议的中心和灵魂。在西柏坡做出的党的七届二中全会决议，是我国马克思主义发展史上一份具有里程碑意义的文件，由此不仅决定了西柏坡革命圣地的历史地位，特别是从那时产生了至今仍在鼓舞和鞭策全党和全国人民以谦虚谨慎、艰苦奋斗的作风来建设社会主义的西柏坡精神。</w:t>
      </w:r>
    </w:p>
    <w:p w14:paraId="66E05E77">
      <w:pPr>
        <w:spacing w:line="300" w:lineRule="auto"/>
        <w:ind w:firstLine="440" w:firstLineChars="200"/>
        <w:rPr>
          <w:rFonts w:ascii="宋体" w:hAnsi="宋体" w:eastAsia="宋体" w:cs="Times New Roman"/>
        </w:rPr>
      </w:pPr>
      <w:r>
        <w:rPr>
          <w:rFonts w:hint="eastAsia" w:ascii="宋体" w:hAnsi="宋体" w:eastAsia="宋体" w:cs="Times New Roman"/>
        </w:rPr>
        <w:t>大家知道，毛泽东在西柏坡召开的党的七届二中全会的讲话中有这样几段著名的话：</w:t>
      </w:r>
    </w:p>
    <w:p w14:paraId="77B3F9AA">
      <w:pPr>
        <w:spacing w:line="300" w:lineRule="auto"/>
        <w:ind w:firstLine="440" w:firstLineChars="200"/>
        <w:rPr>
          <w:rFonts w:ascii="宋体" w:hAnsi="宋体" w:eastAsia="宋体" w:cs="Times New Roman"/>
          <w:vertAlign w:val="superscript"/>
        </w:rPr>
      </w:pPr>
      <w:r>
        <w:rPr>
          <w:rFonts w:hint="eastAsia" w:ascii="宋体" w:hAnsi="宋体" w:eastAsia="宋体" w:cs="Times New Roman"/>
        </w:rPr>
        <w:t>——“无产阶级领导的以工农联盟为基础的人民民主专政，要求我们党去认真地团结全体工人阶级、全体农民阶级和广大的革命知识分子，这些是这个专政的领导力量和基础力量。同时也要求我们党去团结尽可能多的能够同我们合作的城市小资产阶级和民族资产阶级的代表人物，它们的知识分子和政治派别，必须反对右的迁就主义和‘左’的关门主义或敷衍主义两种倾向，而采取完全正确的态度。”</w:t>
      </w:r>
      <w:r>
        <w:rPr>
          <w:rFonts w:hint="eastAsia" w:ascii="宋体" w:hAnsi="宋体" w:eastAsia="宋体" w:cs="Times New Roman"/>
          <w:vertAlign w:val="superscript"/>
        </w:rPr>
        <w:t>[1]（P1437）</w:t>
      </w:r>
    </w:p>
    <w:p w14:paraId="5B7773DC">
      <w:pPr>
        <w:spacing w:line="300" w:lineRule="auto"/>
        <w:ind w:firstLine="440" w:firstLineChars="200"/>
        <w:rPr>
          <w:rFonts w:ascii="宋体" w:hAnsi="宋体" w:eastAsia="宋体" w:cs="Times New Roman"/>
        </w:rPr>
      </w:pPr>
      <w:r>
        <w:rPr>
          <w:rFonts w:hint="eastAsia" w:ascii="宋体" w:hAnsi="宋体" w:eastAsia="宋体" w:cs="Times New Roman"/>
        </w:rPr>
        <w:t>——“在拿枪的敌人被消灭以后，不拿枪的敌人依然存在，他们必然地要和我们作拚死的斗争，我们决不可以轻视这些敌人。如果我们现在不是这样地提出问题和认识问题，我们就要犯极大的错误。”</w:t>
      </w:r>
      <w:r>
        <w:rPr>
          <w:rFonts w:hint="eastAsia" w:ascii="宋体" w:hAnsi="宋体" w:eastAsia="宋体" w:cs="Times New Roman"/>
          <w:vertAlign w:val="superscript"/>
        </w:rPr>
        <w:t>[1]（P1427）</w:t>
      </w:r>
      <w:r>
        <w:rPr>
          <w:rFonts w:hint="eastAsia" w:ascii="宋体" w:hAnsi="宋体" w:eastAsia="宋体" w:cs="Times New Roman"/>
        </w:rPr>
        <w:t>“可能有这样一些共产党人，他们是不曾被拿枪的敌人征服过的，他们在这些敌人面前不愧英雄的称号；但是经不起人们用糖衣裹着的炮弹的攻击，他们在糖弹面前要打败仗。我们必须预防这种情况。”</w:t>
      </w:r>
      <w:r>
        <w:rPr>
          <w:rFonts w:hint="eastAsia" w:ascii="宋体" w:hAnsi="宋体" w:eastAsia="宋体" w:cs="Times New Roman"/>
          <w:vertAlign w:val="superscript"/>
        </w:rPr>
        <w:t>[1]（P1438）</w:t>
      </w:r>
    </w:p>
    <w:p w14:paraId="08408A60">
      <w:pPr>
        <w:spacing w:line="300" w:lineRule="auto"/>
        <w:ind w:firstLine="440" w:firstLineChars="200"/>
        <w:rPr>
          <w:rFonts w:ascii="宋体" w:hAnsi="宋体" w:eastAsia="宋体" w:cs="Times New Roman"/>
        </w:rPr>
      </w:pPr>
      <w:r>
        <w:rPr>
          <w:rFonts w:hint="eastAsia" w:ascii="宋体" w:hAnsi="宋体" w:eastAsia="宋体" w:cs="Times New Roman"/>
        </w:rPr>
        <w:t>——“夺取全国胜利，这只是万里长征走完了第一步。如果这一步也值得骄傲，那是比较渺小的，更值得骄傲的还在后头。在过了几十年之后来看中国人民民主革命的胜利，就会使人们感觉那好像只是一出长剧的一个短小的序幕。剧是必须从序幕开始的，但序幕还不是高潮。中国的革命是伟大的，但革命以后的路程更长，工作更伟大，更艰苦。这一点现在就必须向党内讲明白，务必使同志们继续地保持谦虚、谨慎、不骄、不躁的作风，务必使同志们继续地保持艰苦奋斗的作风。我们能够去掉不良作风，保持优良作风。我们能够学会我们原来不懂的东西。我们不但善于破坏一个旧世界，我们还将善于建设一个新世界。”[1]（P1439）</w:t>
      </w:r>
    </w:p>
    <w:p w14:paraId="08FBF3EA">
      <w:pPr>
        <w:spacing w:line="300" w:lineRule="auto"/>
        <w:ind w:firstLine="440" w:firstLineChars="200"/>
        <w:rPr>
          <w:rFonts w:ascii="宋体" w:hAnsi="宋体" w:eastAsia="宋体" w:cs="Times New Roman"/>
        </w:rPr>
      </w:pPr>
      <w:r>
        <w:rPr>
          <w:rFonts w:hint="eastAsia" w:ascii="宋体" w:hAnsi="宋体" w:eastAsia="宋体" w:cs="Times New Roman"/>
        </w:rPr>
        <w:t>毛泽东的这些话，是对我们后来称之为西柏坡精神的比较全面的概括和表述，是西柏坡革命精神的精髓。</w:t>
      </w:r>
    </w:p>
    <w:p w14:paraId="640DBF98">
      <w:pPr>
        <w:spacing w:line="300" w:lineRule="auto"/>
        <w:ind w:firstLine="440" w:firstLineChars="200"/>
        <w:rPr>
          <w:rFonts w:ascii="宋体" w:hAnsi="宋体" w:eastAsia="宋体" w:cs="Times New Roman"/>
        </w:rPr>
      </w:pPr>
      <w:r>
        <w:rPr>
          <w:rFonts w:hint="eastAsia" w:ascii="宋体" w:hAnsi="宋体" w:eastAsia="宋体" w:cs="Times New Roman"/>
        </w:rPr>
        <w:t>在党的十七大，胡锦涛总书记提出了“四个一定”，是在当前我国改革开放的新形势、新条件、新任务下，对七届二中全会产生的西柏坡精神的发扬光大，是对西柏坡革命精神的丰富和发展。按照毛泽东同志提出的“夺取全国胜利，这只是万里长征走完了第一步”，“中国的革命是伟大的，但革命以后的路程更长，工作更伟大，更艰苦。这一点现在就必须向党内讲明白”，胡锦涛总书记根据改革开放的新形势、新条件、新任务进一步告诫全党同志，“必须清醒认识到，实现全面建设小康社会的目标还需要继续奋斗十几年，基本实现现代化还需要继续奋斗几十年，巩固和发展社会主义制度则需要几代人、十几代人甚至几十代人坚持不懈地努力奋斗。”</w:t>
      </w:r>
    </w:p>
    <w:p w14:paraId="27B6033F">
      <w:pPr>
        <w:spacing w:line="300" w:lineRule="auto"/>
        <w:ind w:firstLine="440" w:firstLineChars="200"/>
        <w:rPr>
          <w:rFonts w:ascii="宋体" w:hAnsi="宋体" w:eastAsia="宋体" w:cs="Times New Roman"/>
        </w:rPr>
      </w:pPr>
      <w:r>
        <w:rPr>
          <w:rFonts w:hint="eastAsia" w:ascii="宋体" w:hAnsi="宋体" w:eastAsia="宋体" w:cs="Times New Roman"/>
        </w:rPr>
        <w:t>按照毛泽东同志提出的“不拿枪的敌人依然存在”，不要“经不起人们用糖衣裹着的炮弹的攻击”，胡锦涛总书记要求全党同志在改革开放的新形势、新条件、新任务下，“一定要居安思危、增强忧患意识，始终保持对马克思主义、对中国特色社会主义、对实现中华民族伟大复兴的坚定信念”。按照毛泽东同志提出的“务必使同志们继续地保持谦虚、谨慎、不骄、不躁的作风，务必使同志们继续地保持艰苦奋斗的作风”，胡锦涛总书记要求全党同志在改革开放的新形势、新条件、新任务下，“一定要戒骄戒躁、艰苦奋斗，牢记社会主义初级阶段基本国情，为党和人民事业不懈努力”。</w:t>
      </w:r>
    </w:p>
    <w:p w14:paraId="522DFB17">
      <w:pPr>
        <w:spacing w:line="300" w:lineRule="auto"/>
        <w:ind w:firstLine="440" w:firstLineChars="200"/>
        <w:rPr>
          <w:rFonts w:ascii="宋体" w:hAnsi="宋体" w:eastAsia="宋体" w:cs="Times New Roman"/>
        </w:rPr>
      </w:pPr>
      <w:r>
        <w:rPr>
          <w:rFonts w:hint="eastAsia" w:ascii="宋体" w:hAnsi="宋体" w:eastAsia="宋体" w:cs="Times New Roman"/>
        </w:rPr>
        <w:t>按照毛泽东同志提出的在建设社会主义的新中国时，要“学会我们原来不懂的东西，我们不但善于破坏一个旧世界，我们还将善于建设一个新世界”，胡锦涛总书记要求全党同志在改革开放的新形势、新条件、新任务下，“一定要刻苦学习、埋头苦干，不断创造经得起实践、人民、历史检验的业绩”。</w:t>
      </w:r>
    </w:p>
    <w:p w14:paraId="5BD064AF">
      <w:pPr>
        <w:spacing w:line="300" w:lineRule="auto"/>
        <w:ind w:firstLine="440" w:firstLineChars="200"/>
        <w:rPr>
          <w:rFonts w:ascii="宋体" w:hAnsi="宋体" w:eastAsia="宋体" w:cs="Times New Roman"/>
        </w:rPr>
      </w:pPr>
      <w:r>
        <w:rPr>
          <w:rFonts w:hint="eastAsia" w:ascii="宋体" w:hAnsi="宋体" w:eastAsia="宋体" w:cs="Times New Roman"/>
        </w:rPr>
        <w:t>按照毛泽东同志提出的要“认真地团结全体工人阶级、全体农民阶级和广大的革命知识分子”，“团结尽可能多的能够同我们合作的城市小资产阶级和民族资产阶级的代表人物，它们的知识分子和政治派别”，“必须反对右的迁就主义和‘左’的关门主义或敷衍主义两种倾向，而采取完全正确的态度”，胡锦涛总书记要求全党同志在改革开放的新形势、新条件、新任务下，“一定要加强团结、顾全大局，自觉维护全党的团结统一，保持党同人民群众的血肉联系，巩固全国各族人民的大团结，加强海内外中华儿女的大团结，促进中国人民同世界各国人民的大团结。”</w:t>
      </w:r>
    </w:p>
    <w:p w14:paraId="0768F75E">
      <w:pPr>
        <w:spacing w:line="300" w:lineRule="auto"/>
        <w:ind w:firstLine="440" w:firstLineChars="200"/>
        <w:rPr>
          <w:rFonts w:ascii="宋体" w:hAnsi="宋体" w:eastAsia="宋体" w:cs="Times New Roman"/>
        </w:rPr>
      </w:pPr>
      <w:r>
        <w:rPr>
          <w:rFonts w:hint="eastAsia" w:ascii="宋体" w:hAnsi="宋体" w:eastAsia="宋体" w:cs="Times New Roman"/>
        </w:rPr>
        <w:t>改革开放以来，邓小平、江泽民、胡锦涛这三届中央领导人，都与西柏坡革命圣地发生了十分密切的联系。</w:t>
      </w:r>
    </w:p>
    <w:p w14:paraId="6493742D">
      <w:pPr>
        <w:spacing w:line="300" w:lineRule="auto"/>
        <w:ind w:firstLine="440" w:firstLineChars="200"/>
        <w:rPr>
          <w:rFonts w:ascii="宋体" w:hAnsi="宋体" w:eastAsia="宋体" w:cs="Times New Roman"/>
        </w:rPr>
      </w:pPr>
      <w:r>
        <w:rPr>
          <w:rFonts w:hint="eastAsia" w:ascii="宋体" w:hAnsi="宋体" w:eastAsia="宋体" w:cs="Times New Roman"/>
        </w:rPr>
        <w:t>1984年8月，邓小平同志非常高兴地应邀为西柏坡纪念馆题写了馆名，从而切实地反映西柏坡革命圣地的历史地位，极大地提升了西柏坡革命圣地在全国的社会地位，掀起和推动了全党和全国人民学习西柏坡革命精神的热潮，这对于加强党在改革开放新时期的思想建设和作风建设发生了重大而积极的作用。</w:t>
      </w:r>
    </w:p>
    <w:p w14:paraId="3DCDE5B2">
      <w:pPr>
        <w:spacing w:line="300" w:lineRule="auto"/>
        <w:ind w:firstLine="440" w:firstLineChars="200"/>
        <w:rPr>
          <w:rFonts w:ascii="宋体" w:hAnsi="宋体" w:eastAsia="宋体" w:cs="Times New Roman"/>
        </w:rPr>
      </w:pPr>
      <w:r>
        <w:rPr>
          <w:rFonts w:hint="eastAsia" w:ascii="宋体" w:hAnsi="宋体" w:eastAsia="宋体" w:cs="Times New Roman"/>
        </w:rPr>
        <w:t>1991年9月，江泽民同志视察西柏坡，作了“牢记两个务必，建设有中国特色的社会主义”的题词。江泽民的题词，明确地把西柏坡精神、西柏坡光荣传统与建设有中国特色的社会主义这一改革开放的主题紧密地联系起来，更深入地揭示了西柏坡精神的精髓，提升了西柏坡精神在建设中国特色社会主义的伟大实践中所具有的当代价值。江泽民给西柏坡的题词，为我们中国思想界理论界深入挖掘和研究西柏坡精神的当代意义和历史作用，为我们深入研究、大力宣传和坚持不懈地推广西柏坡精神，指出了一个科学的方向。我认为，这一点应当特别引起我国思想界理论界的同志们在研究、宣传和推广中国特色的社会主义理论体系时，给予高度的关注。</w:t>
      </w:r>
    </w:p>
    <w:p w14:paraId="076667D6">
      <w:pPr>
        <w:spacing w:line="300" w:lineRule="auto"/>
        <w:ind w:firstLine="440" w:firstLineChars="200"/>
        <w:rPr>
          <w:rFonts w:ascii="宋体" w:hAnsi="宋体" w:eastAsia="宋体" w:cs="Times New Roman"/>
        </w:rPr>
      </w:pPr>
      <w:r>
        <w:rPr>
          <w:rFonts w:hint="eastAsia" w:ascii="宋体" w:hAnsi="宋体" w:eastAsia="宋体" w:cs="Times New Roman"/>
        </w:rPr>
        <w:t>2002年12月，在党的十六大上新当选的胡锦涛总书记，和中央书记处的同志来到西柏坡，进行了深入地学习和考察。他发出号召，要求全党同志重温毛泽东同志在党的七届二中全会上的讲话，牢记毛泽东同志当年倡导的“两个务必”，为实现党的十六大确定的目标和任务开拓进取、团结奋斗。胡锦涛考察西柏坡的行动和他提出的号召，也同样是把西柏坡革命精神、西柏坡光荣传统与建设中国特色社会主义联系了起来，因为建设中国特色的社会主义也是那时刚刚闭幕的党的十六大坚持的主题。</w:t>
      </w:r>
    </w:p>
    <w:p w14:paraId="6E28524C">
      <w:pPr>
        <w:spacing w:line="300" w:lineRule="auto"/>
        <w:ind w:firstLine="440" w:firstLineChars="200"/>
        <w:rPr>
          <w:rFonts w:ascii="宋体" w:hAnsi="宋体" w:eastAsia="宋体" w:cs="Times New Roman"/>
        </w:rPr>
      </w:pPr>
      <w:r>
        <w:rPr>
          <w:rFonts w:hint="eastAsia" w:ascii="宋体" w:hAnsi="宋体" w:eastAsia="宋体" w:cs="Times New Roman"/>
        </w:rPr>
        <w:t>当前，我们就是要用西柏坡精神，深入学习和贯彻十七大报告，响应胡锦涛总书记的号召，高举中国特色社会主义伟大旗帜，更加紧密地团结在党中央周围，万众一心，开拓奋进，为夺取全面建设小康社会新胜利、谱写人民美好生活新篇章而努力奋斗！</w:t>
      </w:r>
    </w:p>
    <w:p w14:paraId="1EFA0F2D">
      <w:pPr>
        <w:ind w:firstLine="440" w:firstLineChars="200"/>
        <w:rPr>
          <w:rFonts w:ascii="宋体" w:hAnsi="宋体" w:eastAsia="宋体" w:cs="Times New Roman"/>
        </w:rPr>
      </w:pPr>
    </w:p>
    <w:p w14:paraId="18859DA0">
      <w:pPr>
        <w:ind w:firstLine="440" w:firstLineChars="200"/>
        <w:rPr>
          <w:rFonts w:ascii="宋体" w:hAnsi="宋体" w:eastAsia="宋体" w:cs="Times New Roman"/>
          <w:b/>
        </w:rPr>
      </w:pPr>
      <w:r>
        <w:rPr>
          <w:rFonts w:hint="eastAsia" w:ascii="宋体" w:hAnsi="宋体" w:eastAsia="宋体" w:cs="Times New Roman"/>
          <w:b/>
        </w:rPr>
        <w:t>参考文献：</w:t>
      </w:r>
    </w:p>
    <w:p w14:paraId="374FC0C6">
      <w:pPr>
        <w:ind w:firstLine="380" w:firstLineChars="200"/>
        <w:rPr>
          <w:rFonts w:ascii="宋体" w:hAnsi="宋体" w:eastAsia="宋体" w:cs="Times New Roman"/>
          <w:sz w:val="18"/>
          <w:szCs w:val="18"/>
        </w:rPr>
      </w:pPr>
      <w:r>
        <w:rPr>
          <w:rFonts w:hint="eastAsia" w:ascii="宋体" w:hAnsi="宋体" w:eastAsia="宋体" w:cs="Times New Roman"/>
          <w:sz w:val="18"/>
          <w:szCs w:val="18"/>
        </w:rPr>
        <w:t>[1]毛泽东选集：第4卷[M].北京：人民出版社，1991.</w:t>
      </w:r>
    </w:p>
    <w:p w14:paraId="53D4F2BA">
      <w:pPr>
        <w:spacing w:line="300" w:lineRule="auto"/>
        <w:ind w:firstLine="440" w:firstLineChars="200"/>
        <w:rPr>
          <w:rFonts w:ascii="宋体" w:hAnsi="宋体" w:eastAsia="宋体" w:cs="Times New Roman"/>
        </w:rPr>
      </w:pPr>
    </w:p>
    <w:p w14:paraId="3DBF304E">
      <w:pPr>
        <w:spacing w:line="300" w:lineRule="auto"/>
        <w:ind w:firstLine="440" w:firstLineChars="200"/>
        <w:rPr>
          <w:rFonts w:ascii="宋体" w:hAnsi="宋体" w:eastAsia="宋体" w:cs="Times New Roman"/>
        </w:rPr>
      </w:pPr>
      <w:r>
        <w:rPr>
          <w:rFonts w:hint="eastAsia" w:ascii="宋体" w:hAnsi="宋体" w:eastAsia="宋体" w:cs="Times New Roman"/>
        </w:rPr>
        <w:t>（原载《中共宁波市委党校学报》2008年第5期）</w:t>
      </w:r>
    </w:p>
    <w:p w14:paraId="4C0FA0C4">
      <w:pPr>
        <w:ind w:firstLine="660" w:firstLineChars="200"/>
        <w:rPr>
          <w:rFonts w:ascii="Times New Roman" w:hAnsi="Times New Roman" w:eastAsia="宋体" w:cs="Times New Roman"/>
          <w:b/>
          <w:sz w:val="32"/>
        </w:rPr>
      </w:pPr>
      <w:r>
        <w:rPr>
          <w:rFonts w:ascii="Times New Roman" w:hAnsi="Times New Roman" w:eastAsia="宋体" w:cs="Times New Roman"/>
          <w:b/>
          <w:sz w:val="32"/>
        </w:rPr>
        <w:br w:type="page"/>
      </w:r>
    </w:p>
    <w:p w14:paraId="23C57D23">
      <w:pPr>
        <w:spacing w:before="147" w:beforeLines="50" w:after="147" w:afterLines="50" w:line="300" w:lineRule="auto"/>
        <w:ind w:firstLine="660" w:firstLineChars="200"/>
        <w:jc w:val="center"/>
        <w:outlineLvl w:val="1"/>
        <w:rPr>
          <w:rFonts w:ascii="Times New Roman" w:hAnsi="Times New Roman" w:eastAsia="黑体" w:cs="Times New Roman"/>
          <w:sz w:val="32"/>
          <w:szCs w:val="32"/>
        </w:rPr>
      </w:pPr>
      <w:bookmarkStart w:id="948" w:name="_Toc111193703"/>
      <w:bookmarkStart w:id="949" w:name="_Toc15777"/>
      <w:bookmarkStart w:id="950" w:name="_Toc1552164957"/>
      <w:bookmarkStart w:id="951" w:name="_Toc2074399554"/>
      <w:r>
        <w:rPr>
          <w:rFonts w:hint="eastAsia" w:ascii="Times New Roman" w:hAnsi="Times New Roman" w:eastAsia="黑体" w:cs="Times New Roman"/>
          <w:sz w:val="32"/>
          <w:szCs w:val="32"/>
        </w:rPr>
        <w:t>1</w:t>
      </w:r>
      <w:r>
        <w:rPr>
          <w:rFonts w:ascii="Times New Roman" w:hAnsi="Times New Roman" w:eastAsia="黑体" w:cs="Times New Roman"/>
          <w:sz w:val="32"/>
          <w:szCs w:val="32"/>
        </w:rPr>
        <w:t>3</w:t>
      </w:r>
      <w:r>
        <w:rPr>
          <w:rFonts w:hint="eastAsia" w:ascii="Times New Roman" w:hAnsi="Times New Roman" w:eastAsia="黑体" w:cs="Times New Roman"/>
          <w:sz w:val="32"/>
          <w:szCs w:val="32"/>
        </w:rPr>
        <w:t>中国经济学理论模式的缺陷与全面重建</w:t>
      </w:r>
      <w:bookmarkEnd w:id="948"/>
      <w:bookmarkEnd w:id="949"/>
      <w:bookmarkEnd w:id="950"/>
      <w:bookmarkEnd w:id="951"/>
    </w:p>
    <w:p w14:paraId="361B6999">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中国理论经济学在具体演进中，创新、改革与若干不良倾向是并存的。改革前的主要不良理论倾向在于模仿苏联经济学，改革后的主要不良倾向在于模仿西方经济学。重建社会主义理论经济学，必须以世界经济和人类经济的发展历史为大背景，与资本主义市场经济的多类模式相对照，重点从中外社会主义经济的多种实践中实证地描述出经济事物变动的基本现象，科学地提炼和抽象出合乎经济事物本质的规律性范畴和原理。近10年来，关于“中国经济学”的讨论热烈而又深刻，表明中国理论经济学经过50年的多阶段的曲折发展，现在确实到了全面重建的新时期。</w:t>
      </w:r>
    </w:p>
    <w:p w14:paraId="7A8B8048">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一、中国经济学理论模式的缺陷是什么?</w:t>
      </w:r>
    </w:p>
    <w:p w14:paraId="7B95E98B">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新中国50多年，理论经济学总体上以马克思主义为思想指导，以中国社会主义经济实践为源泉，取得了人类经济学说发展史上的重大成果，并对中国经济发展作出了巨大的贡献，为全世界的经济学发展提供了具有“中国学派”色彩的系统经济理论。然而，中国理论经济学在具体演进中，创新、改革与若干不良倾向是并存的。</w:t>
      </w:r>
    </w:p>
    <w:p w14:paraId="40941664">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总体上，对传统和现有的中国经济学理论模式缺陷可作如下概括:</w:t>
      </w:r>
    </w:p>
    <w:p w14:paraId="23E99D3C">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一，在规范分析层面，单纯进行社会主义与资本主义的范畴和规律对比，缺乏研究深度。中国传统的社会主义理论经济学受“苏联范式”的影响，在描述社会主义生产关系的现象和本质时，往往运用不同社会经济形态的简单对比来替代对其实证性的研究。实证性分析比重较少，规范性分析掩饰经济活动中的某些内在矛盾。有关社会主义经济体制和经济行为的一些价值性判断立意不高，理论视野不宽，甚至过于武断。尽管在社会主义政治经济学的初创阶段和发展过程中难以避免，但这毕竟是弊端之处。</w:t>
      </w:r>
    </w:p>
    <w:p w14:paraId="05C892AE">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二，在实证描述层面，没有继承马克思经济学高度重视数学方法的优良传统，缺乏定量分析。凡是了解外国经济学说史的人都确认，与英国的斯密、李嘉图，法国的魁奈、西斯蒙第以及德国的李斯特等人相比，马克思是同时代经济学大师中运用定量分析最多和最好的典范。那种以为马克思经济学不重视定量研究的看法是一个误点，那种以现代西方经济学大量采用数学方法来抨击马克思经济学，则属于一种无规则和反认识论的苛求。然而，十分遗憾的是，在过去社会主义理论经济学的理论研究中，的确没有继承和发扬马克思经济学的这一学术特色，没有借鉴当代西方经济学的一些分析工具，不少经济范畴、经济规律、经济运行和经济行为的阐述毫无量的规定性。</w:t>
      </w:r>
    </w:p>
    <w:p w14:paraId="7DD860A3">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三，在政策研究层面，一味地“唯上”和“跟风”，并作辩护性的解释，缺乏反思意识。一国的经济政策同经济实态和价值判断是紧密相连的，理论经济学的研究往往从不同的规范角度或实证角度推出相应的政策主张。问题在于，基于科学理论规范和实证描述之上的具体政策推导，同官僚主义的“唯意志论”的政策推行，有天壤之别。倘若社会主义理论经济学时时刻刻围绕主观多变的经济政策转，并以此来推导出实证性的结论和理论模型，那就会葬送这门学科。学界与官方的马克思主义往往是有联系，又有差别的。传统政治经济学演变的历史教训值得记取。</w:t>
      </w:r>
    </w:p>
    <w:p w14:paraId="4C1D2E3F">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四，在学科重构层面，以所谓市场经济学取代社会主义理论经济学，缺乏本质揭示。西方国家搞了数百年的商品经济和市场经济，并未出现市场经济学，尽管其政治经济学或经济学一直以资本主义市场经济为分析背景，以资本主义市场经济的资源配置为研究对象。传统社会主义理论经济学是研究计划经济的，改革后的社会主义理论经济学自然是研究社会主义市场经济的。不过，这属于政治经济学研究的现实经济体制及相关内涵发生了变化，并不意味着可以取消理论经济学，而用主要研究社会主义经济运行的市场经济学这门具体学科，来替代作为各门具体经济学科理论基础和指导的社会主义政治经济学。笼统地以经济运行或资源配置的一般分析排斥特定经济关系的揭示，以经济关系的具体实现形式的一般分析排斥特定经济关系本质和根本经济制度的揭示，是不足取的。</w:t>
      </w:r>
    </w:p>
    <w:p w14:paraId="27DB8694">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五，在方法变革层面，简单照搬西方经济学的范畴和理论，缺乏创新精神。改革陈旧的社会主义理论经济学需要进行方法论的拓展，其中包括科学地借鉴国外经济学的分析方法和理论模型。但现有的某些中国理论经济学作品“食洋不化”，以为西方经济学讲的观点都是真理，用的方法都是科学的，以致在分析方法、范畴体系和理论框架上作单纯的模仿，甚至认为只要在现代西方经济学的教科书中添加一些中国经济案例或实证资料，即为改革成功的现代社会主义理论经济学。这种“短平快式改革”的思潮比较时髦，操作起来也省力，迎合了出书快和出名快的市场价值观。可是，这终究不是严谨的思想和学术创新。</w:t>
      </w:r>
    </w:p>
    <w:p w14:paraId="6A6FBA5D">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二、重建中国经济学的思路是什么?</w:t>
      </w:r>
    </w:p>
    <w:p w14:paraId="0617CD7F">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究竟应当怎样科学地重建中国理论经济学，也就是说，依据什么思想方法和理论原则来创新呢?我们主张，以中外经济实践为思想源泉，以马克思经济学和新创的主要假设为基点，积极吸纳古今中外各种经济思想的合理成分，广泛借鉴相关社会科学和自然科学的可用方法，构造既超越马克思经济学范式，又超越西方经济学范式的新范式，即新建在世界经济大环境中主要反映中国初级社会主义市场经济独特性的经济学范式。</w:t>
      </w:r>
    </w:p>
    <w:p w14:paraId="5C90B1B4">
      <w:pPr>
        <w:widowControl/>
        <w:spacing w:line="300" w:lineRule="auto"/>
        <w:ind w:firstLine="440" w:firstLineChars="200"/>
        <w:rPr>
          <w:rFonts w:ascii="宋体" w:hAnsi="宋体" w:eastAsia="宋体" w:cs="宋体"/>
          <w:b/>
          <w:bCs/>
          <w:szCs w:val="21"/>
        </w:rPr>
      </w:pPr>
      <w:r>
        <w:rPr>
          <w:rFonts w:hint="eastAsia" w:ascii="宋体" w:hAnsi="宋体" w:eastAsia="宋体" w:cs="宋体"/>
          <w:b/>
          <w:bCs/>
          <w:szCs w:val="21"/>
        </w:rPr>
        <w:t>(一)思想源泉:中外社会主义经济多种实践</w:t>
      </w:r>
    </w:p>
    <w:p w14:paraId="11B439FD">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经济实践是经济认识的基础和检验经济学真理的唯一标准，科学的经济学理论永远是在经济实践的基础上产生，并随着经济实践的发展而发展。经济实践的内涵丰富多彩，并非单指一国一时一地的具体经济活动或实践。然而，人们在辨别某一经济理论的正确与否时，往往固执地引用某一时空范围内具体经济实践的案例来确立检验其真理性。局部的或短期的经济实践并不能全面检验某一经济学原理的正确性。从这个角度说，当代西方哲学中关于理论只能被“证伪”而不能被“证实”的认知方法有一定道理。即使是科学的经济学理论，也只能不断地被部分证实下去，而不可能通过一次或若干次具体实践就得到全面和永远地证实。</w:t>
      </w:r>
    </w:p>
    <w:p w14:paraId="042C6EDE">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以社会主义与市场经济能否有效结合的重要命题为例。国内外许多学者对此都持否定意见，并援引西方资本主义市场经济制度，苏东国家改革后的蜕变和我国公有经济比重下降来佐证。其实，与西方私有产权学派张五常在此问题上混乱的逻辑相比，该学派的创始人科斯讲得比较客观，指出过去已有私有制与市场经济相结合的经验，至于社会主义与市场经济能否相结合，这一点目前不能证伪。观察中外现有市场经济实践的表象和本质，可以部分地得到实证的说明，即社会主义或公有制与市场经济能有效结合。</w:t>
      </w:r>
    </w:p>
    <w:p w14:paraId="1F924608">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重建社会主义理论经济学，必须以世界经济和人类经济的发展历史为大背景，与资本主义市场经济的多类模式相对照，重点从中外社会主义经济的多种实践中实证地描述出经济事物变动的基本现象，科学地提炼和抽象出合乎经济事物本质的规律性范畴和原理。尽管恩格斯揭示过不成熟的经济关系与不成熟的经济理论之间的内在联系，但这并不妨碍社会主义经济理论的某种前瞻研究。事实上，社会主义市场经济的良性运转及其体制的不断完善，正有赖于社会主义理论经济学的变革与创新。即使是作为中国经济史的计划经济实践，也需要继续进行客观的实证分析和辩证的规范定性，以便成为新经济学的经济史基础。</w:t>
      </w:r>
    </w:p>
    <w:p w14:paraId="4A93FA03">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三、理论基点:马克思主义经济学的主要假设</w:t>
      </w:r>
    </w:p>
    <w:p w14:paraId="7FFC6842">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在19和20世纪，社会主义的定义有100多种。其中有资产阶级右翼和左翼的社会主义、小资产阶级的激进社会主义、空想或批判的社会主义，也有马克思主义的科学社会主义。中国社会主义理论经济学既然要从根本上反映作为先进生产力和生产关系代表的工人阶级利益，那就必定要以马克思经济学为理论指南。如果对以往“左”的教条主义采取矫枉过正的学术态度，便容易形成一种善意的折中主义或保守的右倾思潮，以为社会主义理论经济学只应进行“问题”的实证分析，而无须进行含有“主义”的价值判断，或者以为当代西方经济学教科书都是普遍真理，只要加点中国经济实例即为创新的社会主义理论经济学。</w:t>
      </w:r>
    </w:p>
    <w:p w14:paraId="27155F49">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其实，每个经济学流派均或多或少地确立了特定主义”的价值判断。斯密主义与李斯特主义，凯恩斯主义与货币主义等等，难道没有价值判断的“主义”之争?所以，症结不在于要不要“主义”一类的价值判断和思辨，而在于其客观性和科学性如何。</w:t>
      </w:r>
    </w:p>
    <w:p w14:paraId="52708AA8">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过去，由于人们强调马克思经济学的真理性和现实性，因而一律偏好使用“普遍原理”或“基本原理”之类的词汇，不愿或不敢退一步，把其某些经济思想同时也视为一种“理论假设”，似乎假设都是脱离实际的或无意义的空想和幻想，进而贬低了马克思经济学原理的重要性。出于同当代西方经济学对话或论战的需要，应当改变近代西方经济学和马克思经济学的用语习惯，经常采用“理论假设”一词及其逻辑叙述方法。如同西方经济学同时把“生产三要素”、“私有高绩效”、“自私经济人”等说成是原理、公理和假设一样，我们也可以把“劳动二重性”、“公有高绩效”、“集体经济人”等说成是原理、公理和假设。在某一经济学理论假设算不算作公理的问题上，渗透着研究者主体的不同价值判断。</w:t>
      </w:r>
    </w:p>
    <w:p w14:paraId="5B690AC8">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基于不同的方法和立场，即使马克思主义者拿出再硬的实证史料和逻辑证据，资产阶级经济学家也不一定承认马克思经济学的一些基本理论是正确的，但会确认其为理论假设，这有益于讨论的简化和深化。</w:t>
      </w:r>
    </w:p>
    <w:p w14:paraId="4B33919A">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此外，马克思经济学上某些被资本主义或前资本主义经济实践证明是正确的理论，以及属于对向社会主义过渡或社会主义的理论分析，均必须在中外社会主义经济实践中进行检验及展开逻辑体系的完善。从这个意义上说，那些原理、公理或理论预见，不妨都可称之为理论假设。</w:t>
      </w:r>
    </w:p>
    <w:p w14:paraId="083C5413">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简言之，采用马克思经济学的“劳动二重性”、“公有高绩效”和“集体经济人”(与西方经济学的“自私经济人”不同，“集体经济人”是利己与利他相结合的)等主要假设为理论基点，积极包容古今中外合理的经济思想，并由此构筑社会主义理论经济学的新假设和新范式，便能实现超越马克思经济学、苏联经济学和西方经济学的创新目标。</w:t>
      </w:r>
    </w:p>
    <w:p w14:paraId="56CB4E3E">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例如，从马克思经济学中概括出来的“公有高绩效”假设，是指生产资料归全社会成员共同所有的公有制体系能达到社会绩效最大化。从邓小平经济理论中概括出来的“公有高绩效”假设，是指生产资料全民所有制和集体所有制能达到社会绩效最大化。但其中均存在多种复杂的假设前提，如不存在严重的社会腐败，委托代理双方权责是合理的，国企承担额外社会义务需另行核算，政府政策和操作没出现大失误，选聘的经营者有较高素质，等等。只有大体同时具备这些前提条件，社会主义公有制与市场经济的结合才能呈现高绩效。倘若过去或现实生活中搞好社会主义公有制的假设条件不存在而导致低绩效，这并不能证明计划经济或市场经济的条件下公有制经济不可行。可见，重建中的社会主义理论经济学；必须借鉴西方经济学表述“科斯定理”、“帕累托最优”或“市场效率假设”等方式，精心研究马克思经济学经典和社会主义新经济理论所必然涉及到的这类假设及其前提条件，大幅度提高理论的科学解释力和预见力。</w:t>
      </w:r>
    </w:p>
    <w:p w14:paraId="177BE922">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四、学术渊源:古今中外经济学说的合理成分</w:t>
      </w:r>
    </w:p>
    <w:p w14:paraId="77BEB731">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广义地说，沿用式的继承、批判式的发展和否定式的摈弃等，均呈现出某种学术渊源联系。狭义地理解，也可将学术渊源界定为一种学术与另一种学术相互继承和发展的来源关系。重建中的中国社会主义理论经济学，不能采取传统的做法，只强调马克思经济学经典作家的学术地位和渊源关系，而盲目排斥其他；或者反过来，只强调西方资产阶级经济学经典作品的学术作用。</w:t>
      </w:r>
    </w:p>
    <w:p w14:paraId="6019E705">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综观人类经济理论变迁的历史，任何一种新的经济学术体系均难以彻底抛弃前人的思想，而往往是将超越和创新同继承有机地结合起来，在不同程度上有扬有弃。中国社会主义理论经济学的重建，应在保持与马克思经济学的主要学术渊源关系之外，放眼世界，综观历史，积极汲取古今中外一切经济学说的合理成分，并实现某些理论原创。其重点有两个:</w:t>
      </w:r>
    </w:p>
    <w:p w14:paraId="6A2B113C">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首先，创新的中国社会主义理论经济学，必须科学地汲取当代外国经济思想。现代主流西方经济学的理论和西方诺贝尔经济学奖得主的理论，自然要高度重视，但也不能轻视发达国家非主流经济学和发展中国家的经济学说。譬如，美国的激进政治经济学和加尔布雷思的制度主义，英国的凯恩斯左派经济学，发展中国家的“中心-外围”、“依附”和“不平等交换”等国际贸易理论，日本的非正统马克思主义经济学说，以及关于经济全球化悖论的经济思想，等等。其中，西方激进政治经济学关于“市场社会主义”的各种经济理论和政策主张，对我国完善社会主义市场经济理论与实践具有较直接的借鉴意义。</w:t>
      </w:r>
    </w:p>
    <w:p w14:paraId="7CF27EA2">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其次，创新的中国社会主义理论经济学，必须科学地汲取中国古近代经济思想。我国古代的消费思想、人口思想、财政思想、生态经济思想，康有为的社会主义“大同”经济学说，孙中山的“三民主义”经济理论等，均有一定的合理颗粒。台湾学者构建的“新儒学经济与管理”思想体系，加拿大华人学者倡导的“中庸经济学”理论，也值得高度关注。</w:t>
      </w:r>
    </w:p>
    <w:p w14:paraId="24BC4332">
      <w:pPr>
        <w:snapToGrid w:val="0"/>
        <w:spacing w:before="147" w:beforeLines="50" w:after="147" w:afterLines="50" w:line="30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五、研究方法:相关社会科学和自然科学的可用知识</w:t>
      </w:r>
    </w:p>
    <w:p w14:paraId="2D84166E">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马克思精通资产阶级政治经济学，但在最后构建《资本论》3卷本政治经济学新体系时，并未主要沿用当时西方经济学的一套方法，尽管这些经济学方法也曾被视为学术前沿和最新工具。这是因为，马克思要实现对传统政治经济学的充分革命和全新超越，决不能用那套新方法。事实上，马克思在重视以往经济学方法论的同时，重点是批判地借鉴了黑格尔的辩证法和费尔巴哈的唯物论，采用原创的唯物辩证法和历史唯物主义来改造政治经济学旧程式的。</w:t>
      </w:r>
    </w:p>
    <w:p w14:paraId="643A0454">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要真正实现同时超越马克思经济学和西方经济学，必须学习马克思的这一独创精神，突破中外政治经济学说史上的某些方法局限，在重建中国社会主义理论经济学的过程中广泛借鉴和采用相关社会科学和自然科学的可用知识，做到经济学方法论体系的有机整合。其中，我认为有以下10个关节点:</w:t>
      </w:r>
    </w:p>
    <w:p w14:paraId="5F710A3D">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——借鉴现代哲学的方法和知识。在整个社会科学领域，包括科学哲学在内的哲学方法对理论经济学的功用将逐渐凸现为最大和全面性的。人本主义、解释学、总体异化论和范式说等，具有不可忽视的影响。</w:t>
      </w:r>
    </w:p>
    <w:p w14:paraId="222FF79A">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借鉴现代政治学的方法和知识。尽管政治经济学名称中的“政治”原意并非指现代意义的政治，然而，理论经济学不是不要汲取政治学的营养。关于市场与国家或政府的关系，关于经济周期与行政推动或政治选举的关系，关于经济全球化与政治霸权主义的关系，无不需要结合一定的政治学方法和观点去透彻地解释之。</w:t>
      </w:r>
    </w:p>
    <w:p w14:paraId="10D85C4E">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——借鉴现代法学的方法和知识。理论经济学在研究经济制度和经济权利时，必定要涉及到中外法学的分析方法和理论，尤其是有关现代企业制度、市场制度和国家决策制度的问题。</w:t>
      </w:r>
    </w:p>
    <w:p w14:paraId="7B86C17C">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借鉴现代社会学的方法和知识。社会学中关于社会阶层及其分化理论，人的交往理论，社会发展的综合动力理论，财富和收入分配及贫富分化理论等，对理论经济学深入阐发阶级、交换和交易、经济制度变迁以及国民财富，不无学术意义。</w:t>
      </w:r>
    </w:p>
    <w:p w14:paraId="53BEA248">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借鉴现代伦理学的方法和知识。倘若说市场是第一只“看不见的手”和第一种调节经济的机制或力量，政府是一只“看得见的手”和第二种调节经济的机制或力量，那么，伦理便是第二只“看得见的手”和第三种调节经济的机制或力量。在个人、企业、市场、政府乃至全球经济活动中，伦理紧紧地与经济行为掺糅在一起，表现为对公平与效率、义与利、诚与信等不同理解。理论经济学理应纳进“道德”和“至善”等伦理学的概念(西方新制度经济学已接受“败德”和“机会主义”的术语)。</w:t>
      </w:r>
    </w:p>
    <w:p w14:paraId="231065A8">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借鉴现代美学的方法和知识。美是事物具有的某种形式、结构、属性和法则，是一种能产生某种美感的客观性质。经济活动中存在美与丑的现象，也有股市这类“野兽之美”的状态。“经济美”可归属为与自然美相并列的社会美范畴，是指人类经济活动中具有制度公正、运行有序和发展和谐等属性。“经济学美”是指经济学理论体系形式上的完整和谐与该理论所揭示的内容上的完整和谐。应当用中外美学的某些思想来提高理论经济学的科学抽象度和学术品位。</w:t>
      </w:r>
    </w:p>
    <w:p w14:paraId="30808245">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借鉴现代心理学的方法和知识。要改造西方经济学使用的“心理预期”、“心理偏好”和“主观效用”等范畴，吸收消费心理学、管理心理学和商业心理学基本理论层面的东西，并以现代心理学和社会心理学的知识去拓展理论经济学。</w:t>
      </w:r>
    </w:p>
    <w:p w14:paraId="3345AC43">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借鉴现代数学的方法和知识。不仅作为理论经济学重要内容的实证经济研究需要借助于各种数学方法，而且规范经济研究也需要采用数学工具。博弈论可以论证微观经济、宏观经济和宇观经济(全球经济)的许多理论问题。</w:t>
      </w:r>
    </w:p>
    <w:p w14:paraId="145C62F5">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借鉴现代生物学的方法和知识。人类是生物进化的产物，其经济活动和演化过程仍有与生物相似的一面，呈现为一定的仿生性。按照恩格斯的提示，在废除私有制和市场竞争制度之前，人类没有最终脱离动物界。凭借现代生物学和社会生物学的方法和理论，理论经济学可以充分发掘“利己人”“、利他人”“、自由人”“、市场人”和“计划人”等经济行为特征，从而更深刻地揭示社会主义市场经济的运行机制和演进规律。</w:t>
      </w:r>
    </w:p>
    <w:p w14:paraId="4C36036E">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借鉴系统论、信息论和场态论之类的方法和知识。依据系统优于非系统的特性，将经济对象和经济行为作系统化分析；依据层次系统优于非层次系统的特性，将经济系统作层次化分析；依据开放系统优于封闭系统的特性，将经济系统作开放状态分析。不确定性、风险、信息的对称与不对称等信息学观点，“场”等物理学观点和“社会场”的观点，均对经济改革与经济发展的理论层面考察具有方法论的价值。</w:t>
      </w:r>
    </w:p>
    <w:p w14:paraId="0F4B9093">
      <w:pPr>
        <w:widowControl/>
        <w:spacing w:line="300" w:lineRule="auto"/>
        <w:ind w:firstLine="440" w:firstLineChars="200"/>
        <w:jc w:val="left"/>
        <w:rPr>
          <w:rFonts w:ascii="宋体" w:hAnsi="宋体" w:eastAsia="宋体" w:cs="宋体"/>
          <w:kern w:val="0"/>
          <w:szCs w:val="21"/>
        </w:rPr>
      </w:pPr>
    </w:p>
    <w:p w14:paraId="7AE5791D">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rPr>
        <w:t>（原</w:t>
      </w:r>
      <w:r>
        <w:rPr>
          <w:rFonts w:hint="eastAsia" w:ascii="宋体" w:hAnsi="宋体" w:eastAsia="宋体" w:cs="宋体"/>
          <w:szCs w:val="21"/>
        </w:rPr>
        <w:t>载于《红旗文稿》2008年第18期）</w:t>
      </w:r>
    </w:p>
    <w:p w14:paraId="1AD72548">
      <w:pPr>
        <w:widowControl/>
        <w:spacing w:line="300" w:lineRule="auto"/>
        <w:ind w:firstLine="440" w:firstLineChars="200"/>
        <w:rPr>
          <w:rFonts w:ascii="宋体" w:hAnsi="宋体" w:eastAsia="宋体" w:cs="宋体"/>
          <w:szCs w:val="21"/>
        </w:rPr>
      </w:pPr>
      <w:r>
        <w:rPr>
          <w:rFonts w:ascii="宋体" w:hAnsi="宋体" w:eastAsia="宋体" w:cs="宋体"/>
          <w:szCs w:val="21"/>
        </w:rPr>
        <w:br w:type="page"/>
      </w:r>
    </w:p>
    <w:p w14:paraId="3C23B92E">
      <w:pPr>
        <w:keepNext/>
        <w:keepLines/>
        <w:spacing w:line="400" w:lineRule="exact"/>
        <w:ind w:firstLine="660" w:firstLineChars="200"/>
        <w:jc w:val="center"/>
        <w:outlineLvl w:val="1"/>
        <w:rPr>
          <w:rFonts w:ascii="黑体" w:hAnsi="黑体" w:eastAsia="黑体" w:cs="宋体"/>
          <w:kern w:val="0"/>
          <w:sz w:val="32"/>
          <w:szCs w:val="32"/>
          <w:lang w:val="zh-TW" w:eastAsia="zh-TW" w:bidi="zh-TW"/>
        </w:rPr>
      </w:pPr>
      <w:bookmarkStart w:id="952" w:name="_Toc13078"/>
      <w:bookmarkStart w:id="953" w:name="_Toc111193704"/>
      <w:bookmarkStart w:id="954" w:name="_Toc1752572190"/>
      <w:bookmarkStart w:id="955" w:name="_Toc36295033"/>
      <w:r>
        <w:rPr>
          <w:rFonts w:hint="eastAsia" w:ascii="黑体" w:hAnsi="黑体" w:eastAsia="黑体" w:cs="宋体"/>
          <w:kern w:val="0"/>
          <w:sz w:val="32"/>
          <w:szCs w:val="32"/>
          <w:lang w:val="zh-TW" w:bidi="zh-TW"/>
        </w:rPr>
        <w:t>1</w:t>
      </w:r>
      <w:r>
        <w:rPr>
          <w:rFonts w:ascii="黑体" w:hAnsi="黑体" w:eastAsia="PMingLiU" w:cs="宋体"/>
          <w:kern w:val="0"/>
          <w:sz w:val="32"/>
          <w:szCs w:val="32"/>
          <w:lang w:val="zh-TW" w:eastAsia="zh-TW" w:bidi="zh-TW"/>
        </w:rPr>
        <w:t>4</w:t>
      </w:r>
      <w:r>
        <w:rPr>
          <w:rFonts w:ascii="黑体" w:hAnsi="黑体" w:eastAsia="黑体" w:cs="宋体"/>
          <w:kern w:val="0"/>
          <w:sz w:val="32"/>
          <w:szCs w:val="32"/>
          <w:lang w:val="zh-TW" w:eastAsia="zh-TW" w:bidi="zh-TW"/>
        </w:rPr>
        <w:t>西方旧</w:t>
      </w:r>
      <w:r>
        <w:rPr>
          <w:rFonts w:ascii="黑体" w:hAnsi="黑体" w:eastAsia="黑体" w:cs="宋体"/>
          <w:kern w:val="0"/>
          <w:sz w:val="32"/>
          <w:szCs w:val="32"/>
          <w:lang w:val="zh-CN" w:bidi="zh-CN"/>
        </w:rPr>
        <w:t>“经</w:t>
      </w:r>
      <w:r>
        <w:rPr>
          <w:rFonts w:ascii="黑体" w:hAnsi="黑体" w:eastAsia="黑体" w:cs="宋体"/>
          <w:kern w:val="0"/>
          <w:sz w:val="32"/>
          <w:szCs w:val="32"/>
          <w:lang w:val="zh-TW" w:eastAsia="zh-TW" w:bidi="zh-TW"/>
        </w:rPr>
        <w:t>济人</w:t>
      </w:r>
      <w:r>
        <w:rPr>
          <w:rFonts w:hint="eastAsia" w:ascii="黑体" w:hAnsi="黑体" w:eastAsia="黑体" w:cs="宋体"/>
          <w:kern w:val="0"/>
          <w:sz w:val="32"/>
          <w:szCs w:val="32"/>
          <w:lang w:val="zh-TW" w:eastAsia="zh-TW" w:bidi="zh-TW"/>
        </w:rPr>
        <w:t>”</w:t>
      </w:r>
      <w:r>
        <w:rPr>
          <w:rFonts w:ascii="黑体" w:hAnsi="黑体" w:eastAsia="黑体" w:cs="宋体"/>
          <w:kern w:val="0"/>
          <w:sz w:val="32"/>
          <w:szCs w:val="32"/>
          <w:lang w:val="zh-TW" w:eastAsia="zh-TW" w:bidi="zh-TW"/>
        </w:rPr>
        <w:t>假设的批判与新“经济人</w:t>
      </w:r>
      <w:r>
        <w:rPr>
          <w:rFonts w:hint="eastAsia" w:ascii="黑体" w:hAnsi="黑体" w:eastAsia="黑体" w:cs="宋体"/>
          <w:kern w:val="0"/>
          <w:sz w:val="32"/>
          <w:szCs w:val="32"/>
          <w:lang w:val="zh-TW" w:eastAsia="zh-TW" w:bidi="zh-TW"/>
        </w:rPr>
        <w:t>”</w:t>
      </w:r>
      <w:r>
        <w:rPr>
          <w:rFonts w:ascii="黑体" w:hAnsi="黑体" w:eastAsia="黑体" w:cs="宋体"/>
          <w:kern w:val="0"/>
          <w:sz w:val="32"/>
          <w:szCs w:val="32"/>
          <w:lang w:val="zh-TW" w:eastAsia="zh-TW" w:bidi="zh-TW"/>
        </w:rPr>
        <w:t>理论的构建</w:t>
      </w:r>
      <w:bookmarkEnd w:id="952"/>
      <w:bookmarkEnd w:id="953"/>
      <w:bookmarkEnd w:id="954"/>
      <w:bookmarkEnd w:id="955"/>
    </w:p>
    <w:p w14:paraId="2E47761E">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内容提要本文主要介绍了西方经济学对于“经济人</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假设，并运用马克思主义理论对其进行分析和批判，最后提出了新的</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假设。</w:t>
      </w:r>
    </w:p>
    <w:p w14:paraId="44AEEDE8">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关键词</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经济人西方经济学马克思主义</w:t>
      </w:r>
    </w:p>
    <w:p w14:paraId="3AEFC5C6">
      <w:pPr>
        <w:snapToGrid w:val="0"/>
        <w:spacing w:before="147" w:beforeLines="50" w:after="147" w:afterLines="50" w:line="300" w:lineRule="auto"/>
        <w:ind w:firstLine="500" w:firstLineChars="200"/>
        <w:jc w:val="center"/>
        <w:rPr>
          <w:rFonts w:ascii="宋体" w:hAnsi="宋体" w:eastAsia="宋体" w:cs="Times New Roman"/>
          <w:b/>
          <w:bCs/>
          <w:sz w:val="24"/>
        </w:rPr>
      </w:pPr>
      <w:r>
        <w:rPr>
          <w:rFonts w:ascii="宋体" w:hAnsi="宋体" w:eastAsia="宋体" w:cs="Times New Roman"/>
          <w:b/>
          <w:bCs/>
          <w:sz w:val="24"/>
        </w:rPr>
        <w:t>一、西方主流经济学“经济人</w:t>
      </w:r>
      <w:r>
        <w:rPr>
          <w:rFonts w:hint="eastAsia" w:ascii="宋体" w:hAnsi="宋体" w:eastAsia="宋体" w:cs="Times New Roman"/>
          <w:b/>
          <w:bCs/>
          <w:sz w:val="24"/>
        </w:rPr>
        <w:t>”</w:t>
      </w:r>
      <w:r>
        <w:rPr>
          <w:rFonts w:ascii="宋体" w:hAnsi="宋体" w:eastAsia="宋体" w:cs="Times New Roman"/>
          <w:b/>
          <w:bCs/>
          <w:sz w:val="24"/>
        </w:rPr>
        <w:t>假设的演进路径</w:t>
      </w:r>
    </w:p>
    <w:p w14:paraId="24293D5C">
      <w:pPr>
        <w:spacing w:line="400" w:lineRule="exact"/>
        <w:ind w:firstLine="440" w:firstLineChars="200"/>
        <w:rPr>
          <w:rFonts w:ascii="宋体" w:hAnsi="宋体" w:eastAsia="宋体" w:cs="宋体"/>
          <w:kern w:val="0"/>
          <w:szCs w:val="21"/>
          <w:lang w:val="zh-TW" w:eastAsia="zh-TW" w:bidi="zh-TW"/>
        </w:rPr>
      </w:pPr>
      <w:r>
        <w:rPr>
          <w:rFonts w:ascii="宋体" w:hAnsi="宋体" w:eastAsia="宋体" w:cs="Times New Roman"/>
          <w:kern w:val="0"/>
          <w:szCs w:val="21"/>
          <w:lang w:val="zh-TW" w:eastAsia="zh-TW" w:bidi="zh-TW"/>
        </w:rPr>
        <w:t>17</w:t>
      </w:r>
      <w:r>
        <w:rPr>
          <w:rFonts w:ascii="宋体" w:hAnsi="宋体" w:eastAsia="宋体" w:cs="宋体"/>
          <w:kern w:val="0"/>
          <w:szCs w:val="21"/>
          <w:lang w:val="zh-TW" w:eastAsia="zh-TW" w:bidi="zh-TW"/>
        </w:rPr>
        <w:t>世纪和</w:t>
      </w:r>
      <w:r>
        <w:rPr>
          <w:rFonts w:ascii="宋体" w:hAnsi="宋体" w:eastAsia="宋体" w:cs="Times New Roman"/>
          <w:kern w:val="0"/>
          <w:szCs w:val="21"/>
          <w:lang w:val="zh-TW" w:eastAsia="zh-TW" w:bidi="zh-TW"/>
        </w:rPr>
        <w:t>18</w:t>
      </w:r>
      <w:r>
        <w:rPr>
          <w:rFonts w:ascii="宋体" w:hAnsi="宋体" w:eastAsia="宋体" w:cs="宋体"/>
          <w:kern w:val="0"/>
          <w:szCs w:val="21"/>
          <w:lang w:val="zh-TW" w:eastAsia="zh-TW" w:bidi="zh-TW"/>
        </w:rPr>
        <w:t>世纪上半叶，已有学者对经济生活中的主体</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人</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，作了伦理道德的分析。霍布斯的传世之作《利维坦》明确提出了人性自私论。这一论点由</w:t>
      </w:r>
      <w:r>
        <w:rPr>
          <w:rFonts w:ascii="宋体" w:hAnsi="宋体" w:eastAsia="宋体" w:cs="Times New Roman"/>
          <w:kern w:val="0"/>
          <w:szCs w:val="21"/>
          <w:lang w:val="zh-TW" w:eastAsia="zh-TW" w:bidi="zh-TW"/>
        </w:rPr>
        <w:t>18</w:t>
      </w:r>
      <w:r>
        <w:rPr>
          <w:rFonts w:ascii="宋体" w:hAnsi="宋体" w:eastAsia="宋体" w:cs="宋体"/>
          <w:kern w:val="0"/>
          <w:szCs w:val="21"/>
          <w:lang w:val="zh-TW" w:eastAsia="zh-TW" w:bidi="zh-TW"/>
        </w:rPr>
        <w:t>世纪初的经济学家孟德维尔给予了强有力的支持。他的代表作《蜜蜂的寓言》中，形象地描述了人的利己性是人从事经济活动的根本动力，而另一方面，正是由于人们的各种自利活动，才使社会经济得以存在和发展。</w:t>
      </w:r>
    </w:p>
    <w:p w14:paraId="2E82342D">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亚当</w:t>
      </w:r>
      <w:r>
        <w:rPr>
          <w:rFonts w:ascii="宋体" w:hAnsi="宋体" w:eastAsia="宋体" w:cs="宋体"/>
          <w:kern w:val="0"/>
          <w:szCs w:val="21"/>
          <w:lang w:bidi="en-US"/>
        </w:rPr>
        <w:t>•</w:t>
      </w:r>
      <w:r>
        <w:rPr>
          <w:rFonts w:ascii="宋体" w:hAnsi="宋体" w:eastAsia="宋体" w:cs="宋体"/>
          <w:kern w:val="0"/>
          <w:szCs w:val="21"/>
          <w:lang w:val="zh-TW" w:eastAsia="zh-TW" w:bidi="zh-TW"/>
        </w:rPr>
        <w:t>斯密并没有明确提出过“经济人</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这一概念和说法，但是后来的经济学家都公认只有从斯密开始</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思想才把哲学上的人性论纳入经济学研究的基本框架。斯密在其著作《国民财富的性质及原因的研究》中首先提出了人们行为动机的自利原则，并把它引入经济学理论体系之中，很明显地表达了他的</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济人”思想。</w:t>
      </w:r>
    </w:p>
    <w:p w14:paraId="34F4053D">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在斯密看来，人的本性是自私的，一切经济现象都根源于人的利己主义本性。处于市场交换中的每个人都</w:t>
      </w:r>
      <w:r>
        <w:rPr>
          <w:rFonts w:ascii="宋体" w:hAnsi="宋体" w:eastAsia="宋体" w:cs="宋体"/>
          <w:kern w:val="0"/>
          <w:szCs w:val="21"/>
          <w:lang w:val="zh-CN" w:bidi="zh-CN"/>
        </w:rPr>
        <w:t>心怀</w:t>
      </w:r>
      <w:r>
        <w:rPr>
          <w:rFonts w:hint="eastAsia" w:ascii="宋体" w:hAnsi="宋体" w:eastAsia="宋体" w:cs="宋体"/>
          <w:kern w:val="0"/>
          <w:szCs w:val="21"/>
          <w:lang w:val="zh-CN" w:bidi="zh-CN"/>
        </w:rPr>
        <w:t>“</w:t>
      </w:r>
      <w:r>
        <w:rPr>
          <w:rFonts w:ascii="宋体" w:hAnsi="宋体" w:eastAsia="宋体" w:cs="宋体"/>
          <w:kern w:val="0"/>
          <w:szCs w:val="21"/>
          <w:lang w:val="zh-TW" w:eastAsia="zh-TW" w:bidi="zh-TW"/>
        </w:rPr>
        <w:t>自利的打算</w:t>
      </w:r>
      <w:r>
        <w:rPr>
          <w:rFonts w:hint="eastAsia" w:ascii="宋体" w:hAnsi="宋体" w:eastAsia="宋体" w:cs="宋体"/>
          <w:kern w:val="0"/>
          <w:szCs w:val="21"/>
          <w:lang w:val="zh-CN" w:bidi="zh-CN"/>
        </w:rPr>
        <w:t>”</w:t>
      </w:r>
      <w:r>
        <w:rPr>
          <w:rFonts w:ascii="宋体" w:hAnsi="宋体" w:eastAsia="宋体" w:cs="宋体"/>
          <w:kern w:val="0"/>
          <w:szCs w:val="21"/>
          <w:lang w:val="zh-TW" w:eastAsia="zh-TW" w:bidi="zh-TW"/>
        </w:rPr>
        <w:t>，为对方提供</w:t>
      </w:r>
      <w:r>
        <w:rPr>
          <w:rFonts w:ascii="宋体" w:hAnsi="宋体" w:eastAsia="宋体" w:cs="宋体"/>
          <w:kern w:val="0"/>
          <w:szCs w:val="21"/>
          <w:lang w:val="zh-CN" w:bidi="zh-CN"/>
        </w:rPr>
        <w:t>“帮助</w:t>
      </w:r>
      <w:r>
        <w:rPr>
          <w:rFonts w:ascii="宋体" w:hAnsi="宋体" w:eastAsia="宋体" w:cs="宋体"/>
          <w:kern w:val="0"/>
          <w:szCs w:val="21"/>
          <w:lang w:val="zh-TW" w:eastAsia="zh-TW" w:bidi="zh-TW"/>
        </w:rPr>
        <w:t>”的目的绝不是出于利他，而是出于力图用自己的资本使其产品得到最大价值的利己目的。比如交换这种倾向，为人类所共有，亦为人类所特有，在其他各种动物中是找不到的。</w:t>
      </w:r>
      <w:r>
        <w:rPr>
          <w:rFonts w:ascii="宋体" w:hAnsi="宋体" w:eastAsia="宋体" w:cs="宋体"/>
          <w:kern w:val="0"/>
          <w:szCs w:val="21"/>
          <w:vertAlign w:val="superscript"/>
          <w:lang w:val="zh-TW" w:eastAsia="zh-TW" w:bidi="zh-TW"/>
        </w:rPr>
        <w:footnoteReference w:id="280"/>
      </w:r>
      <w:r>
        <w:rPr>
          <w:rFonts w:ascii="宋体" w:hAnsi="宋体" w:eastAsia="宋体" w:cs="宋体"/>
          <w:kern w:val="0"/>
          <w:szCs w:val="21"/>
          <w:lang w:val="zh-TW" w:eastAsia="zh-TW" w:bidi="zh-TW"/>
        </w:rPr>
        <w:t>而交换之所以产生，其根源就在于人的利己之心。所</w:t>
      </w:r>
      <w:r>
        <w:rPr>
          <w:rFonts w:ascii="宋体" w:hAnsi="宋体" w:eastAsia="宋体" w:cs="宋体"/>
          <w:kern w:val="0"/>
          <w:szCs w:val="21"/>
          <w:lang w:val="zh-CN" w:bidi="zh-CN"/>
        </w:rPr>
        <w:t>以,“</w:t>
      </w:r>
      <w:r>
        <w:rPr>
          <w:rFonts w:ascii="宋体" w:hAnsi="宋体" w:eastAsia="宋体" w:cs="宋体"/>
          <w:kern w:val="0"/>
          <w:szCs w:val="21"/>
          <w:lang w:val="zh-TW" w:eastAsia="zh-TW" w:bidi="zh-TW"/>
        </w:rPr>
        <w:t>倘若你要与别人交换东西时，你要这样说:请给我以我所需要的东西吧,同时，你也可以获得你所需要的东西。这句话是交易的通义。我们所需要的</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相互帮忙，大部分是依照这个方法取得的。我们每天所需要的食料和饮料，不是出自屠户、酿酒家或烙面师的恩惠，而是出自他们自私的打算。……我们不说自己有需要，而说对他们有利。”</w:t>
      </w:r>
      <w:r>
        <w:rPr>
          <w:rFonts w:ascii="宋体" w:hAnsi="宋体" w:eastAsia="宋体" w:cs="宋体"/>
          <w:kern w:val="0"/>
          <w:szCs w:val="21"/>
          <w:vertAlign w:val="superscript"/>
          <w:lang w:val="zh-TW" w:eastAsia="zh-TW" w:bidi="zh-TW"/>
        </w:rPr>
        <w:footnoteReference w:id="281"/>
      </w:r>
      <w:r>
        <w:rPr>
          <w:rFonts w:ascii="宋体" w:hAnsi="宋体" w:eastAsia="宋体" w:cs="宋体"/>
          <w:kern w:val="0"/>
          <w:szCs w:val="21"/>
          <w:lang w:val="zh-TW" w:eastAsia="zh-TW" w:bidi="zh-TW"/>
        </w:rPr>
        <w:t>他指出：</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每个人都努力使其生产物的价值能达到最高程度……他通常既不打算促进公共的利益，也不知道他自己是在什么程度上促进那种利益……他只是盘算他自己的安全；由于他管理产业的方式目的在于使其生产物的价值能达到最大程度，他所盘算的也只是他自己的利益。</w:t>
      </w:r>
      <w:r>
        <w:rPr>
          <w:rFonts w:hint="eastAsia" w:ascii="宋体" w:hAnsi="宋体" w:eastAsia="宋体" w:cs="宋体"/>
          <w:kern w:val="0"/>
          <w:szCs w:val="21"/>
          <w:lang w:val="zh-TW" w:eastAsia="zh-TW" w:bidi="zh-TW"/>
        </w:rPr>
        <w:t>”</w:t>
      </w:r>
      <w:r>
        <w:rPr>
          <w:rFonts w:ascii="宋体" w:hAnsi="宋体" w:eastAsia="宋体" w:cs="宋体"/>
          <w:kern w:val="0"/>
          <w:szCs w:val="21"/>
          <w:vertAlign w:val="superscript"/>
          <w:lang w:val="zh-TW" w:eastAsia="zh-TW" w:bidi="zh-TW"/>
        </w:rPr>
        <w:footnoteReference w:id="282"/>
      </w:r>
      <w:r>
        <w:rPr>
          <w:rFonts w:ascii="宋体" w:hAnsi="宋体" w:eastAsia="宋体" w:cs="宋体"/>
          <w:kern w:val="0"/>
          <w:szCs w:val="21"/>
          <w:lang w:val="zh-TW" w:eastAsia="zh-TW" w:bidi="zh-TW"/>
        </w:rPr>
        <w:t>此外，斯密在阐述他的经济思想时，举了很多现实的例子。</w:t>
      </w:r>
    </w:p>
    <w:p w14:paraId="43982085">
      <w:pPr>
        <w:spacing w:line="400" w:lineRule="exact"/>
        <w:ind w:firstLine="440" w:firstLineChars="200"/>
        <w:rPr>
          <w:rFonts w:ascii="宋体" w:hAnsi="宋体" w:eastAsia="宋体" w:cs="宋体"/>
          <w:kern w:val="0"/>
          <w:szCs w:val="21"/>
          <w:lang w:val="zh-TW" w:eastAsia="zh-TW" w:bidi="zh-TW"/>
        </w:rPr>
      </w:pPr>
      <w:bookmarkStart w:id="956" w:name="_Hlk111182290"/>
      <w:r>
        <w:rPr>
          <w:rFonts w:ascii="宋体" w:hAnsi="宋体" w:eastAsia="宋体" w:cs="宋体"/>
          <w:kern w:val="0"/>
          <w:szCs w:val="21"/>
          <w:lang w:val="zh-TW" w:eastAsia="zh-TW" w:bidi="zh-TW"/>
        </w:rPr>
        <w:t>边沁的“功利主义”学说认为，人类由痛苦和快乐主宰，功利就是趋利避害，每个人都按照功利原理行事。他认为整体的利益就是成员的利益总和，一项行动有利于增进整体利益时，就是符合功利原理的,就是有益的。他还对功利的计算进行了说明，就好像人类是在加减功利中获得幸福。西尼尔则把“经济人”自利动机概括为财富的最大化,“每个人都希望以尽可能少的牺牲取得更多的财富”。</w:t>
      </w:r>
      <w:r>
        <w:rPr>
          <w:rFonts w:ascii="宋体" w:hAnsi="宋体" w:eastAsia="宋体" w:cs="宋体"/>
          <w:kern w:val="0"/>
          <w:szCs w:val="21"/>
          <w:vertAlign w:val="superscript"/>
          <w:lang w:val="zh-TW" w:eastAsia="zh-TW" w:bidi="zh-TW"/>
        </w:rPr>
        <w:footnoteReference w:id="283"/>
      </w:r>
      <w:r>
        <w:rPr>
          <w:rFonts w:ascii="宋体" w:hAnsi="宋体" w:eastAsia="宋体" w:cs="宋体"/>
          <w:kern w:val="0"/>
          <w:szCs w:val="21"/>
          <w:lang w:val="zh-TW" w:eastAsia="zh-TW" w:bidi="zh-TW"/>
        </w:rPr>
        <w:t>他认为对财富的追求是人类的普遍本质，而追求荣誉、闲暇、公益等精神上的满足都是建立在财富满足的基础上的。</w:t>
      </w:r>
    </w:p>
    <w:bookmarkEnd w:id="956"/>
    <w:p w14:paraId="678EDCAB">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约翰</w:t>
      </w:r>
      <w:r>
        <w:rPr>
          <w:rFonts w:ascii="宋体" w:hAnsi="宋体" w:eastAsia="宋体" w:cs="宋体"/>
          <w:kern w:val="0"/>
          <w:szCs w:val="21"/>
          <w:lang w:bidi="en-US"/>
        </w:rPr>
        <w:t>•</w:t>
      </w:r>
      <w:r>
        <w:rPr>
          <w:rFonts w:ascii="宋体" w:hAnsi="宋体" w:eastAsia="宋体" w:cs="宋体"/>
          <w:kern w:val="0"/>
          <w:szCs w:val="21"/>
          <w:lang w:val="zh-TW" w:eastAsia="zh-TW" w:bidi="zh-TW"/>
        </w:rPr>
        <w:t>斯图亚特</w:t>
      </w:r>
      <w:r>
        <w:rPr>
          <w:rFonts w:ascii="宋体" w:hAnsi="宋体" w:eastAsia="宋体" w:cs="宋体"/>
          <w:kern w:val="0"/>
          <w:szCs w:val="21"/>
          <w:lang w:bidi="en-US"/>
        </w:rPr>
        <w:t>•</w:t>
      </w:r>
      <w:r>
        <w:rPr>
          <w:rFonts w:ascii="宋体" w:hAnsi="宋体" w:eastAsia="宋体" w:cs="宋体"/>
          <w:kern w:val="0"/>
          <w:szCs w:val="21"/>
          <w:lang w:val="zh-TW" w:eastAsia="zh-TW" w:bidi="zh-TW"/>
        </w:rPr>
        <w:t>穆勒根据以上的描述，提炼出了“经济人”假设的概念。他在</w:t>
      </w:r>
      <w:r>
        <w:rPr>
          <w:rFonts w:ascii="宋体" w:hAnsi="宋体" w:eastAsia="宋体" w:cs="Times New Roman"/>
          <w:kern w:val="0"/>
          <w:szCs w:val="21"/>
          <w:lang w:val="zh-TW" w:eastAsia="zh-TW" w:bidi="zh-TW"/>
        </w:rPr>
        <w:t>1836</w:t>
      </w:r>
      <w:r>
        <w:rPr>
          <w:rFonts w:ascii="宋体" w:hAnsi="宋体" w:eastAsia="宋体" w:cs="宋体"/>
          <w:kern w:val="0"/>
          <w:szCs w:val="21"/>
          <w:lang w:val="zh-TW" w:eastAsia="zh-TW" w:bidi="zh-TW"/>
        </w:rPr>
        <w:t>年发表的《政治经济学的定义》中指出</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济人”是对经济生产中的一般人的抽象，</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有两个特征：一是自私。即人们的行为动机是趋”利避害，是利己的。二是完全理性。即每个人都能够通过成本一收益或趋利避害原则来对其所面临的一切机会和目标及实现目标的手段进行优化选择。具体而言，在信息充分的前提条件下：第一，理性人具有关于他所处环境的完备知识，而且，这些知识即使不是绝对完备的，至少也相当丰富，相当透彻；第二，理性人有稳定的和条理清楚的偏好;第三，理性人有很强的计算能力，能算出每种选择的后果;第四，理性人能使其选中的方案自然达到其偏好尺度上的最高点，即理性人总是选择最优。用程式化的语言说，就是由于具备完全的信息和理性</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济人”能够找到实现目标的所有备选方案,预见这些方案的实施后果，并依据某种价值标准在这些方案中做出最优选择。</w:t>
      </w:r>
    </w:p>
    <w:p w14:paraId="2142CA2E">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李嘉图用抽象的逻辑演绎现实经济运动。由于引入了边际的概念,</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济人”的理性性质就有了量的表示，即个人追求财富最大化就可以直观地表示为经济变量求极值。至此</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济人”假说的内容被转化为“理性人的最大化</w:t>
      </w:r>
      <w:r>
        <w:rPr>
          <w:rFonts w:ascii="宋体" w:hAnsi="宋体" w:eastAsia="宋体" w:cs="宋体"/>
          <w:kern w:val="0"/>
          <w:szCs w:val="21"/>
          <w:lang w:val="zh-CN" w:bidi="zh-CN"/>
        </w:rPr>
        <w:t>”：</w:t>
      </w:r>
      <w:r>
        <w:rPr>
          <w:rFonts w:ascii="宋体" w:hAnsi="宋体" w:eastAsia="宋体" w:cs="宋体"/>
          <w:kern w:val="0"/>
          <w:szCs w:val="21"/>
          <w:lang w:val="zh-TW" w:eastAsia="zh-TW" w:bidi="zh-TW"/>
        </w:rPr>
        <w:t>就是消费者追求效用最大化；生产者追求产出最大化或成本最小化。</w:t>
      </w:r>
    </w:p>
    <w:p w14:paraId="7F609240">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此后，瓦尔拉斯和帕累托分别发明了基数效用论和序数效用论，量化了</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济人”的价值目标;希克斯解决了效用与货币收入之间的联系，并且用预算曲线与无差异曲线的切点确定最优消费组合，避免了可能涉及道德的价值判断。</w:t>
      </w:r>
      <w:r>
        <w:rPr>
          <w:rFonts w:ascii="宋体" w:hAnsi="宋体" w:eastAsia="宋体" w:cs="Times New Roman"/>
          <w:kern w:val="0"/>
          <w:szCs w:val="21"/>
          <w:lang w:val="zh-TW" w:eastAsia="zh-TW" w:bidi="zh-TW"/>
        </w:rPr>
        <w:t>20</w:t>
      </w:r>
      <w:r>
        <w:rPr>
          <w:rFonts w:ascii="宋体" w:hAnsi="宋体" w:eastAsia="宋体" w:cs="宋体"/>
          <w:kern w:val="0"/>
          <w:szCs w:val="21"/>
          <w:lang w:val="zh-TW" w:eastAsia="zh-TW" w:bidi="zh-TW"/>
        </w:rPr>
        <w:t>世纪</w:t>
      </w:r>
      <w:r>
        <w:rPr>
          <w:rFonts w:ascii="宋体" w:hAnsi="宋体" w:eastAsia="宋体" w:cs="Times New Roman"/>
          <w:kern w:val="0"/>
          <w:szCs w:val="21"/>
          <w:lang w:val="zh-TW" w:eastAsia="zh-TW" w:bidi="zh-TW"/>
        </w:rPr>
        <w:t>50</w:t>
      </w:r>
      <w:r>
        <w:rPr>
          <w:rFonts w:ascii="宋体" w:hAnsi="宋体" w:eastAsia="宋体" w:cs="宋体"/>
          <w:kern w:val="0"/>
          <w:szCs w:val="21"/>
          <w:lang w:val="zh-TW" w:eastAsia="zh-TW" w:bidi="zh-TW"/>
        </w:rPr>
        <w:t>年代</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w:t>
      </w:r>
      <w:r>
        <w:rPr>
          <w:rFonts w:ascii="宋体" w:hAnsi="宋体" w:eastAsia="宋体" w:cs="宋体"/>
          <w:kern w:val="0"/>
          <w:szCs w:val="21"/>
          <w:lang w:val="zh-CN" w:bidi="zh-CN"/>
        </w:rPr>
        <w:t>”假说</w:t>
      </w:r>
      <w:r>
        <w:rPr>
          <w:rFonts w:ascii="宋体" w:hAnsi="宋体" w:eastAsia="宋体" w:cs="宋体"/>
          <w:kern w:val="0"/>
          <w:szCs w:val="21"/>
          <w:lang w:val="zh-TW" w:eastAsia="zh-TW" w:bidi="zh-TW"/>
        </w:rPr>
        <w:t>发展到了极至，获得了纯粹工具主义的属性，彻底放弃了任何道德伦理观。阿尔钦提出完全“自利性”作为一种工具主义假设,放弃任何利他考虑；弗里得曼认为经济理论的基本假设不必受到现实检验,但一定要有预测能力，如果理论的假设能够用来预测未来,那么从理论导出的各种命题就是对世界的正确描述。一切命题只要推导逻辑正确，都是现实世界的一部分。</w:t>
      </w:r>
    </w:p>
    <w:p w14:paraId="5205467E">
      <w:pPr>
        <w:snapToGrid w:val="0"/>
        <w:spacing w:before="147" w:beforeLines="50" w:after="147" w:afterLines="50" w:line="300" w:lineRule="auto"/>
        <w:ind w:firstLine="500" w:firstLineChars="200"/>
        <w:jc w:val="center"/>
        <w:rPr>
          <w:rFonts w:ascii="宋体" w:hAnsi="宋体" w:eastAsia="宋体" w:cs="Times New Roman"/>
          <w:b/>
          <w:bCs/>
          <w:sz w:val="24"/>
        </w:rPr>
      </w:pPr>
      <w:r>
        <w:rPr>
          <w:rFonts w:ascii="宋体" w:hAnsi="宋体" w:eastAsia="宋体" w:cs="Times New Roman"/>
          <w:b/>
          <w:bCs/>
          <w:sz w:val="24"/>
        </w:rPr>
        <w:t>二、西方学界对主流经济学“经济人”假设的批判与思考</w:t>
      </w:r>
    </w:p>
    <w:p w14:paraId="3AEE5F9D">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济人”假设的提出引起了学者的广泛关注，特别是</w:t>
      </w:r>
      <w:r>
        <w:rPr>
          <w:rFonts w:ascii="宋体" w:hAnsi="宋体" w:eastAsia="宋体" w:cs="Times New Roman"/>
          <w:kern w:val="0"/>
          <w:szCs w:val="21"/>
          <w:lang w:val="zh-TW" w:eastAsia="zh-TW" w:bidi="zh-TW"/>
        </w:rPr>
        <w:t>20</w:t>
      </w:r>
      <w:r>
        <w:rPr>
          <w:rFonts w:ascii="宋体" w:hAnsi="宋体" w:eastAsia="宋体" w:cs="宋体"/>
          <w:kern w:val="0"/>
          <w:szCs w:val="21"/>
          <w:lang w:val="zh-TW" w:eastAsia="zh-TW" w:bidi="zh-TW"/>
        </w:rPr>
        <w:t>世纪以来，更是成为了西方经济学界以及哲学、社会科学界争论的焦点，也没有停止过来自经济学内部和外部的批判与思考。这些批判与思考主要来自四个方面。</w:t>
      </w:r>
    </w:p>
    <w:p w14:paraId="6B51EE76">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（一）运用有限理性理论进行修补</w:t>
      </w:r>
    </w:p>
    <w:p w14:paraId="57561D4D">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最大化行为假设是以完全理性为条件的，由于具有完全理性,“经济人”才能够找到实现目标的所有备选方案，预见这些方案的实施后果，并依据某种价值标准在这些方案中作出最优抉择。西蒙认为这种理性的定义是有缺陷的。其一，只有在确定性情况下完全理性才是适用的，而在风险和不确定性情况下，完全理性的含义就不准确了。其二,完全理性对抉择机制提出了三个极不现实的假定：（</w:t>
      </w:r>
      <w:r>
        <w:rPr>
          <w:rFonts w:ascii="宋体" w:hAnsi="宋体" w:eastAsia="宋体" w:cs="Times New Roman"/>
          <w:kern w:val="0"/>
          <w:szCs w:val="21"/>
          <w:lang w:val="zh-TW" w:eastAsia="zh-TW" w:bidi="zh-TW"/>
        </w:rPr>
        <w:t>1</w:t>
      </w:r>
      <w:r>
        <w:rPr>
          <w:rFonts w:ascii="宋体" w:hAnsi="宋体" w:eastAsia="宋体" w:cs="宋体"/>
          <w:kern w:val="0"/>
          <w:szCs w:val="21"/>
          <w:lang w:val="zh-TW" w:eastAsia="zh-TW" w:bidi="zh-TW"/>
        </w:rPr>
        <w:t>）所有备选方案都是现成的；（</w:t>
      </w:r>
      <w:r>
        <w:rPr>
          <w:rFonts w:ascii="宋体" w:hAnsi="宋体" w:eastAsia="宋体" w:cs="Times New Roman"/>
          <w:kern w:val="0"/>
          <w:szCs w:val="21"/>
          <w:lang w:val="zh-TW" w:eastAsia="zh-TW" w:bidi="zh-TW"/>
        </w:rPr>
        <w:t>2）</w:t>
      </w:r>
      <w:r>
        <w:rPr>
          <w:rFonts w:ascii="宋体" w:hAnsi="宋体" w:eastAsia="宋体" w:cs="宋体"/>
          <w:kern w:val="0"/>
          <w:szCs w:val="21"/>
          <w:lang w:val="zh-TW" w:eastAsia="zh-TW" w:bidi="zh-TW"/>
        </w:rPr>
        <w:t>在确定性、风险性和不确定性情况下，每个备选方案的后果都已知道；（</w:t>
      </w:r>
      <w:r>
        <w:rPr>
          <w:rFonts w:ascii="宋体" w:hAnsi="宋体" w:eastAsia="宋体" w:cs="Times New Roman"/>
          <w:kern w:val="0"/>
          <w:szCs w:val="21"/>
          <w:lang w:val="zh-TW" w:eastAsia="zh-TW" w:bidi="zh-TW"/>
        </w:rPr>
        <w:t>3）</w:t>
      </w:r>
      <w:r>
        <w:rPr>
          <w:rFonts w:ascii="宋体" w:hAnsi="宋体" w:eastAsia="宋体" w:cs="宋体"/>
          <w:kern w:val="0"/>
          <w:szCs w:val="21"/>
          <w:lang w:val="zh-TW" w:eastAsia="zh-TW" w:bidi="zh-TW"/>
        </w:rPr>
        <w:t>理性人对所有可能的后果的优劣一清二楚。事实上，人不可能知道全部的备选方案，外部环境是不正确的、复杂的，信息是不完全的，人的认识能力和计算能力是有限的，经济行为者不可能把所有的价值考虑统一到单一的综合性效用函数中，因而，人是有限理性的。由于人的理性是有限的，了解所有备选方案及其实施后果，对不确定的未来估计出一致的现实概率,实际上是办不到的。因此，决策过程中人们遵循的并不是最优原则，而是满意原则。也就是说,现实中消费者追求的不是效用最大化原则，而是满意原则。也就是说,现实中消费者追求的不是效用最大化而是适度效用；厂商追求的不是利润最大化而是适度利润。</w:t>
      </w:r>
    </w:p>
    <w:p w14:paraId="6FA0CA33">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有限理性说修正了</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济人”最大化的约束条件，贡献在于使“经济人”置身于交易成本为正的现实世界中。从决策过程来看</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济人”在约束条件下仍然是追求最优解的，尽管从决策的结果来看,他只得到了满意解。行为科学的心理实验同样也证明了个体选择的理性与非理性是并存的。</w:t>
      </w:r>
    </w:p>
    <w:p w14:paraId="338BFF0F">
      <w:pPr>
        <w:tabs>
          <w:tab w:val="left" w:pos="945"/>
        </w:tabs>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（二）</w:t>
      </w:r>
      <w:r>
        <w:rPr>
          <w:rFonts w:ascii="宋体" w:hAnsi="宋体" w:eastAsia="宋体" w:cs="宋体"/>
          <w:kern w:val="0"/>
          <w:szCs w:val="21"/>
          <w:lang w:val="zh-TW" w:eastAsia="zh-TW" w:bidi="zh-TW"/>
        </w:rPr>
        <w:tab/>
      </w:r>
      <w:r>
        <w:rPr>
          <w:rFonts w:ascii="宋体" w:hAnsi="宋体" w:eastAsia="宋体" w:cs="宋体"/>
          <w:kern w:val="0"/>
          <w:szCs w:val="21"/>
          <w:lang w:val="zh-TW" w:eastAsia="zh-TW" w:bidi="zh-TW"/>
        </w:rPr>
        <w:t>运用“社会一文化人</w:t>
      </w:r>
      <w:r>
        <w:rPr>
          <w:rFonts w:ascii="宋体" w:hAnsi="宋体" w:eastAsia="宋体" w:cs="宋体"/>
          <w:kern w:val="0"/>
          <w:szCs w:val="21"/>
          <w:lang w:val="zh-CN" w:bidi="zh-CN"/>
        </w:rPr>
        <w:t>”理</w:t>
      </w:r>
      <w:r>
        <w:rPr>
          <w:rFonts w:ascii="宋体" w:hAnsi="宋体" w:eastAsia="宋体" w:cs="宋体"/>
          <w:kern w:val="0"/>
          <w:szCs w:val="21"/>
          <w:lang w:val="zh-TW" w:eastAsia="zh-TW" w:bidi="zh-TW"/>
        </w:rPr>
        <w:t>论进行替代</w:t>
      </w:r>
    </w:p>
    <w:p w14:paraId="63E96721">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新制度学派代表人物诺斯指出:</w:t>
      </w:r>
      <w:r>
        <w:rPr>
          <w:rFonts w:ascii="宋体" w:hAnsi="宋体" w:eastAsia="宋体" w:cs="宋体"/>
          <w:kern w:val="0"/>
          <w:szCs w:val="21"/>
          <w:lang w:val="zh-CN" w:bidi="zh-CN"/>
        </w:rPr>
        <w:t>“人类</w:t>
      </w:r>
      <w:r>
        <w:rPr>
          <w:rFonts w:ascii="宋体" w:hAnsi="宋体" w:eastAsia="宋体" w:cs="宋体"/>
          <w:kern w:val="0"/>
          <w:szCs w:val="21"/>
          <w:lang w:val="zh-TW" w:eastAsia="zh-TW" w:bidi="zh-TW"/>
        </w:rPr>
        <w:t>行为比经济学家模型中的个人效用函数所包含的内容更为复杂。有许多情况不仅是一种财富最大化行为，而是利他的和自我施加的约束，它们会根本改变人们实际作出选择的结果。”</w:t>
      </w:r>
      <w:r>
        <w:rPr>
          <w:rFonts w:ascii="宋体" w:hAnsi="宋体" w:eastAsia="宋体" w:cs="宋体"/>
          <w:kern w:val="0"/>
          <w:szCs w:val="21"/>
          <w:vertAlign w:val="superscript"/>
          <w:lang w:val="zh-TW" w:eastAsia="zh-TW" w:bidi="zh-TW"/>
        </w:rPr>
        <w:footnoteReference w:id="284"/>
      </w:r>
      <w:r>
        <w:rPr>
          <w:rFonts w:ascii="宋体" w:hAnsi="宋体" w:eastAsia="宋体" w:cs="宋体"/>
          <w:kern w:val="0"/>
          <w:szCs w:val="21"/>
          <w:lang w:val="zh-TW" w:eastAsia="zh-TW" w:bidi="zh-TW"/>
        </w:rPr>
        <w:t>诺斯认为新古典经济学的</w:t>
      </w:r>
      <w:r>
        <w:rPr>
          <w:rFonts w:ascii="宋体" w:hAnsi="宋体" w:eastAsia="宋体" w:cs="宋体"/>
          <w:kern w:val="0"/>
          <w:szCs w:val="21"/>
          <w:lang w:val="zh-CN" w:bidi="zh-CN"/>
        </w:rPr>
        <w:t>“经济</w:t>
      </w:r>
      <w:r>
        <w:rPr>
          <w:rFonts w:ascii="宋体" w:hAnsi="宋体" w:eastAsia="宋体" w:cs="宋体"/>
          <w:kern w:val="0"/>
          <w:szCs w:val="21"/>
          <w:lang w:val="zh-TW" w:eastAsia="zh-TW" w:bidi="zh-TW"/>
        </w:rPr>
        <w:t>人”假设可以解释人们为什么总是按自我利益行事，也可以解释</w:t>
      </w:r>
      <w:r>
        <w:rPr>
          <w:rFonts w:ascii="宋体" w:hAnsi="宋体" w:eastAsia="宋体" w:cs="宋体"/>
          <w:kern w:val="0"/>
          <w:szCs w:val="21"/>
          <w:lang w:val="zh-CN" w:bidi="zh-CN"/>
        </w:rPr>
        <w:t>“搭便车”</w:t>
      </w:r>
      <w:r>
        <w:rPr>
          <w:rFonts w:ascii="宋体" w:hAnsi="宋体" w:eastAsia="宋体" w:cs="宋体"/>
          <w:kern w:val="0"/>
          <w:szCs w:val="21"/>
          <w:lang w:val="zh-TW" w:eastAsia="zh-TW" w:bidi="zh-TW"/>
        </w:rPr>
        <w:t>问题的原因与结果;但却不能解释人的利他行为，也无法解释为什么人们有时能回避个人利益而服从社会规则。他把诸如利他主义、意识形态和自愿负担约束等其他非财富最大化行为引入个人预期效用函数，从而建立了更加复杂的、更接近于现实的</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w:t>
      </w:r>
    </w:p>
    <w:p w14:paraId="2CDEFB16">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用“社会一文化人”来取代</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即用具有多重目标，并且其目标在形成过程中受到他人决策及文化结构和意识形态影响的人，来取代单纯追求经济利益最大化独来独往的人，无疑是一种意义深远的努力。它揭示出了人的多面性和复杂性,把对人的假定向现实又推进了一步，并且把人们的研究目标从给定的一种效用或福利函数引向研究个人目标或偏好的形成过程。实际上，马斯洛的需要层次论也可以看作是从这个角度对</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济人”的一种批判。</w:t>
      </w:r>
    </w:p>
    <w:p w14:paraId="047B2100">
      <w:pPr>
        <w:tabs>
          <w:tab w:val="left" w:pos="950"/>
        </w:tabs>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（三）</w:t>
      </w:r>
      <w:r>
        <w:rPr>
          <w:rFonts w:ascii="宋体" w:hAnsi="宋体" w:eastAsia="宋体" w:cs="宋体"/>
          <w:kern w:val="0"/>
          <w:szCs w:val="21"/>
          <w:lang w:val="zh-TW" w:eastAsia="zh-TW" w:bidi="zh-TW"/>
        </w:rPr>
        <w:tab/>
      </w:r>
      <w:r>
        <w:rPr>
          <w:rFonts w:ascii="宋体" w:hAnsi="宋体" w:eastAsia="宋体" w:cs="宋体"/>
          <w:kern w:val="0"/>
          <w:szCs w:val="21"/>
          <w:lang w:val="zh-TW" w:eastAsia="zh-TW" w:bidi="zh-TW"/>
        </w:rPr>
        <w:t>运用</w:t>
      </w:r>
      <w:r>
        <w:rPr>
          <w:rFonts w:ascii="宋体" w:hAnsi="宋体" w:eastAsia="宋体" w:cs="Times New Roman"/>
          <w:kern w:val="0"/>
          <w:szCs w:val="21"/>
          <w:lang w:val="zh-TW" w:eastAsia="zh-TW" w:bidi="zh-TW"/>
        </w:rPr>
        <w:t>“X</w:t>
      </w:r>
      <w:r>
        <w:rPr>
          <w:rFonts w:ascii="宋体" w:hAnsi="宋体" w:eastAsia="宋体" w:cs="宋体"/>
          <w:kern w:val="0"/>
          <w:szCs w:val="21"/>
          <w:lang w:val="zh-TW" w:eastAsia="zh-TW" w:bidi="zh-TW"/>
        </w:rPr>
        <w:t>效率</w:t>
      </w:r>
      <w:r>
        <w:rPr>
          <w:rFonts w:ascii="宋体" w:hAnsi="宋体" w:eastAsia="宋体" w:cs="宋体"/>
          <w:kern w:val="0"/>
          <w:szCs w:val="21"/>
          <w:lang w:val="zh-CN" w:bidi="zh-CN"/>
        </w:rPr>
        <w:t>”理</w:t>
      </w:r>
      <w:r>
        <w:rPr>
          <w:rFonts w:ascii="宋体" w:hAnsi="宋体" w:eastAsia="宋体" w:cs="宋体"/>
          <w:kern w:val="0"/>
          <w:szCs w:val="21"/>
          <w:lang w:val="zh-TW" w:eastAsia="zh-TW" w:bidi="zh-TW"/>
        </w:rPr>
        <w:t>论证伪</w:t>
      </w:r>
    </w:p>
    <w:p w14:paraId="7F69EDD6">
      <w:pPr>
        <w:spacing w:line="400" w:lineRule="exact"/>
        <w:ind w:firstLine="440" w:firstLineChars="200"/>
        <w:rPr>
          <w:rFonts w:ascii="宋体" w:hAnsi="宋体" w:eastAsia="宋体" w:cs="宋体"/>
          <w:kern w:val="0"/>
          <w:szCs w:val="21"/>
          <w:lang w:val="zh-TW" w:eastAsia="zh-TW" w:bidi="zh-TW"/>
        </w:rPr>
      </w:pPr>
      <w:r>
        <w:rPr>
          <w:rFonts w:ascii="宋体" w:hAnsi="宋体" w:eastAsia="宋体" w:cs="Times New Roman"/>
          <w:kern w:val="0"/>
          <w:szCs w:val="21"/>
          <w:lang w:val="zh-TW" w:eastAsia="zh-TW" w:bidi="zh-TW"/>
        </w:rPr>
        <w:t>1966</w:t>
      </w:r>
      <w:r>
        <w:rPr>
          <w:rFonts w:ascii="宋体" w:hAnsi="宋体" w:eastAsia="宋体" w:cs="宋体"/>
          <w:kern w:val="0"/>
          <w:szCs w:val="21"/>
          <w:lang w:val="zh-TW" w:eastAsia="zh-TW" w:bidi="zh-TW"/>
        </w:rPr>
        <w:t>年哈维</w:t>
      </w:r>
      <w:r>
        <w:rPr>
          <w:rFonts w:ascii="宋体" w:hAnsi="宋体" w:eastAsia="宋体" w:cs="宋体"/>
          <w:kern w:val="0"/>
          <w:szCs w:val="21"/>
          <w:lang w:bidi="en-US"/>
        </w:rPr>
        <w:t>•</w:t>
      </w:r>
      <w:r>
        <w:rPr>
          <w:rFonts w:ascii="宋体" w:hAnsi="宋体" w:eastAsia="宋体" w:cs="宋体"/>
          <w:kern w:val="0"/>
          <w:szCs w:val="21"/>
          <w:lang w:val="zh-TW" w:eastAsia="zh-TW" w:bidi="zh-TW"/>
        </w:rPr>
        <w:t>莱宾斯坦抓住新古典经济学基本假设与现实不一致的缺点开始对它进行全面的批判。他用</w:t>
      </w:r>
      <w:r>
        <w:rPr>
          <w:rFonts w:ascii="宋体" w:hAnsi="宋体" w:eastAsia="宋体" w:cs="Times New Roman"/>
          <w:kern w:val="0"/>
          <w:szCs w:val="21"/>
          <w:lang w:val="zh-TW" w:eastAsia="zh-TW" w:bidi="zh-TW"/>
        </w:rPr>
        <w:t>X</w:t>
      </w:r>
      <w:r>
        <w:rPr>
          <w:rFonts w:ascii="宋体" w:hAnsi="宋体" w:eastAsia="宋体" w:cs="宋体"/>
          <w:kern w:val="0"/>
          <w:szCs w:val="21"/>
          <w:lang w:val="zh-TW" w:eastAsia="zh-TW" w:bidi="zh-TW"/>
        </w:rPr>
        <w:t>效率理论揭示了人在生产领域中同在消费领域中一样，其行为也不是最大化的。所谓</w:t>
      </w:r>
      <w:r>
        <w:rPr>
          <w:rFonts w:ascii="宋体" w:hAnsi="宋体" w:eastAsia="宋体" w:cs="Times New Roman"/>
          <w:kern w:val="0"/>
          <w:szCs w:val="21"/>
          <w:lang w:val="zh-TW" w:eastAsia="zh-TW" w:bidi="zh-TW"/>
        </w:rPr>
        <w:t>“X</w:t>
      </w:r>
      <w:r>
        <w:rPr>
          <w:rFonts w:ascii="宋体" w:hAnsi="宋体" w:eastAsia="宋体" w:cs="宋体"/>
          <w:kern w:val="0"/>
          <w:szCs w:val="21"/>
          <w:lang w:val="zh-TW" w:eastAsia="zh-TW" w:bidi="zh-TW"/>
        </w:rPr>
        <w:t>效率理论</w:t>
      </w:r>
      <w:r>
        <w:rPr>
          <w:rFonts w:ascii="宋体" w:hAnsi="宋体" w:eastAsia="宋体" w:cs="宋体"/>
          <w:kern w:val="0"/>
          <w:szCs w:val="21"/>
          <w:lang w:val="zh-CN" w:bidi="zh-CN"/>
        </w:rPr>
        <w:t>”，是</w:t>
      </w:r>
      <w:r>
        <w:rPr>
          <w:rFonts w:ascii="宋体" w:hAnsi="宋体" w:eastAsia="宋体" w:cs="宋体"/>
          <w:kern w:val="0"/>
          <w:szCs w:val="21"/>
          <w:lang w:val="zh-TW" w:eastAsia="zh-TW" w:bidi="zh-TW"/>
        </w:rPr>
        <w:t>考虑生产组织内部因错过了充分利用现有资源的机会而造成的某种类型的低效率。这个</w:t>
      </w:r>
      <w:r>
        <w:rPr>
          <w:rFonts w:ascii="宋体" w:hAnsi="宋体" w:eastAsia="宋体" w:cs="Times New Roman"/>
          <w:kern w:val="0"/>
          <w:szCs w:val="21"/>
          <w:lang w:val="zh-TW" w:eastAsia="zh-TW" w:bidi="zh-TW"/>
        </w:rPr>
        <w:t>X</w:t>
      </w:r>
      <w:r>
        <w:rPr>
          <w:rFonts w:ascii="宋体" w:hAnsi="宋体" w:eastAsia="宋体" w:cs="宋体"/>
          <w:kern w:val="0"/>
          <w:szCs w:val="21"/>
          <w:lang w:val="zh-TW" w:eastAsia="zh-TW" w:bidi="zh-TW"/>
        </w:rPr>
        <w:t>代表造成非配置（低）效率的一切因素,</w:t>
      </w:r>
      <w:r>
        <w:rPr>
          <w:rFonts w:ascii="宋体" w:hAnsi="宋体" w:eastAsia="宋体" w:cs="Times New Roman"/>
          <w:kern w:val="0"/>
          <w:szCs w:val="21"/>
          <w:lang w:val="zh-TW" w:eastAsia="zh-TW" w:bidi="zh-TW"/>
        </w:rPr>
        <w:t>X</w:t>
      </w:r>
      <w:r>
        <w:rPr>
          <w:rFonts w:ascii="宋体" w:hAnsi="宋体" w:eastAsia="宋体" w:cs="宋体"/>
          <w:kern w:val="0"/>
          <w:szCs w:val="21"/>
          <w:lang w:val="zh-TW" w:eastAsia="zh-TW" w:bidi="zh-TW"/>
        </w:rPr>
        <w:t>低效率表现为企业的生产活动没有在生产可能性边界上进行。究其原因，主</w:t>
      </w:r>
      <w:r>
        <w:rPr>
          <w:rFonts w:ascii="宋体" w:hAnsi="宋体" w:eastAsia="宋体" w:cs="宋体"/>
          <w:kern w:val="0"/>
          <w:szCs w:val="21"/>
          <w:lang w:val="zh-CN" w:bidi="zh-CN"/>
        </w:rPr>
        <w:t>要是“</w:t>
      </w:r>
      <w:r>
        <w:rPr>
          <w:rFonts w:ascii="宋体" w:hAnsi="宋体" w:eastAsia="宋体" w:cs="宋体"/>
          <w:kern w:val="0"/>
          <w:szCs w:val="21"/>
          <w:lang w:val="zh-TW" w:eastAsia="zh-TW" w:bidi="zh-TW"/>
        </w:rPr>
        <w:t>完全地或部分地缺乏尽全力有效利用各种经济机会的动力由于动力（也可能是压力）不足，特别是由于直接从事生产组织工作的管理阶层和工人</w:t>
      </w:r>
      <w:r>
        <w:rPr>
          <w:rFonts w:ascii="宋体" w:hAnsi="宋体" w:eastAsia="宋体" w:cs="宋体"/>
          <w:kern w:val="0"/>
          <w:szCs w:val="21"/>
          <w:lang w:val="zh-CN" w:bidi="zh-CN"/>
        </w:rPr>
        <w:t>（即“</w:t>
      </w:r>
      <w:r>
        <w:rPr>
          <w:rFonts w:ascii="宋体" w:hAnsi="宋体" w:eastAsia="宋体" w:cs="宋体"/>
          <w:kern w:val="0"/>
          <w:szCs w:val="21"/>
          <w:lang w:val="zh-TW" w:eastAsia="zh-TW" w:bidi="zh-TW"/>
        </w:rPr>
        <w:t>内部人</w:t>
      </w:r>
      <w:r>
        <w:rPr>
          <w:rFonts w:ascii="宋体" w:hAnsi="宋体" w:eastAsia="宋体" w:cs="宋体"/>
          <w:kern w:val="0"/>
          <w:szCs w:val="21"/>
          <w:lang w:val="zh-CN" w:bidi="zh-CN"/>
        </w:rPr>
        <w:t>”</w:t>
      </w:r>
      <w:r>
        <w:rPr>
          <w:rFonts w:ascii="宋体" w:hAnsi="宋体" w:eastAsia="宋体" w:cs="宋体"/>
          <w:kern w:val="0"/>
          <w:szCs w:val="21"/>
          <w:lang w:bidi="en-US"/>
        </w:rPr>
        <w:t>）</w:t>
      </w:r>
      <w:r>
        <w:rPr>
          <w:rFonts w:ascii="宋体" w:hAnsi="宋体" w:eastAsia="宋体" w:cs="宋体"/>
          <w:kern w:val="0"/>
          <w:szCs w:val="21"/>
          <w:lang w:val="zh-TW" w:eastAsia="zh-TW" w:bidi="zh-TW"/>
        </w:rPr>
        <w:t>能修对自身的努力程度进行相机抉择，管理者和工人的行为在大部分时间里就成为最大化的了，此时，最大化成了一个特例。</w:t>
      </w:r>
    </w:p>
    <w:p w14:paraId="2AE1EDB5">
      <w:pPr>
        <w:tabs>
          <w:tab w:val="left" w:pos="950"/>
        </w:tabs>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（四）</w:t>
      </w:r>
      <w:r>
        <w:rPr>
          <w:rFonts w:ascii="宋体" w:hAnsi="宋体" w:eastAsia="宋体" w:cs="宋体"/>
          <w:kern w:val="0"/>
          <w:szCs w:val="21"/>
          <w:lang w:val="zh-TW" w:eastAsia="zh-TW" w:bidi="zh-TW"/>
        </w:rPr>
        <w:tab/>
      </w:r>
      <w:r>
        <w:rPr>
          <w:rFonts w:ascii="宋体" w:hAnsi="宋体" w:eastAsia="宋体" w:cs="宋体"/>
          <w:kern w:val="0"/>
          <w:szCs w:val="21"/>
          <w:lang w:val="zh-TW" w:eastAsia="zh-TW" w:bidi="zh-TW"/>
        </w:rPr>
        <w:t>运用博弈论进行批判</w:t>
      </w:r>
    </w:p>
    <w:p w14:paraId="711D03FA">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由纳什所推进的博弈论极为重视经济个体之间的直接相互作用，它把对方的策略和对方的支付也作为信息乃至共同知识引入博弈结构，主张在所有参与人的最优故略组合与支付组合中寻找博弈均衡。纳什指出：“一个理性的预测应该是唯一的，博弈方应该能够推导和利用它，并且从各个博弈方方面，具有可以预测到其他博弈方会做什么的知识，不会导致他的行为与该预测矛盾这样的原则。”</w:t>
      </w:r>
      <w:r>
        <w:rPr>
          <w:rFonts w:ascii="宋体" w:hAnsi="宋体" w:eastAsia="宋体" w:cs="宋体"/>
          <w:kern w:val="0"/>
          <w:szCs w:val="21"/>
          <w:vertAlign w:val="superscript"/>
          <w:lang w:val="zh-TW" w:eastAsia="zh-TW" w:bidi="zh-TW"/>
        </w:rPr>
        <w:footnoteReference w:id="285"/>
      </w:r>
      <w:r>
        <w:rPr>
          <w:rFonts w:ascii="宋体" w:hAnsi="宋体" w:eastAsia="宋体" w:cs="宋体"/>
          <w:kern w:val="0"/>
          <w:szCs w:val="21"/>
          <w:lang w:val="zh-TW" w:eastAsia="zh-TW" w:bidi="zh-TW"/>
        </w:rPr>
        <w:t>在如此理解的理性中，每个人的效用函数均包含着其他各方的优势战略，从而每个人的优势战略也以其他人的优势战略为条件。这不仅意味着对他人利益的认可、对他人理性的尊重，而且意味着互利性事实上已被引入人性结构,成为理性的内在内容，可以称之为交互理性。交互理性与个体理性的重要区别在于，它不是把竞争对手和其他个体简化为市场，不是把关于其他人策略的了解简化为价格,从而也不是仅以市场和价格为背景而在边际分析中寻找预算约束边际上的个人效用最大化。交互理性要求，直接面对对方，视对方为有血有肉的、同样具有理性能力并追求其效用的博弈者，在尊重对方利益和理性的条件下，寻找战略结合的支付组合中的均衡。均衡并不改变自利的前提，但却对自利的边界提出了更为严格的限制。</w:t>
      </w:r>
    </w:p>
    <w:p w14:paraId="72644A6F">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如此形式的交互理性显然是一种更完全的理性。它不仅要求更强的推理能力和预见能力，而且要求具有其他博弈方策略、理性及相关事情的知识，甚至还要求信任其他博弈方不会犯错误。这种理性的现实性很难保证。因而，纳什对博弈结构中的均衡点又提出过群体行为的解释:</w:t>
      </w:r>
      <w:r>
        <w:rPr>
          <w:rFonts w:ascii="宋体" w:hAnsi="宋体" w:eastAsia="宋体" w:cs="宋体"/>
          <w:kern w:val="0"/>
          <w:szCs w:val="21"/>
          <w:lang w:bidi="en-US"/>
        </w:rPr>
        <w:t>“</w:t>
      </w:r>
      <w:r>
        <w:rPr>
          <w:rFonts w:ascii="宋体" w:hAnsi="宋体" w:eastAsia="宋体" w:cs="宋体"/>
          <w:kern w:val="0"/>
          <w:szCs w:val="21"/>
          <w:lang w:val="zh-TW" w:eastAsia="zh-TW" w:bidi="zh-TW"/>
        </w:rPr>
        <w:t>在这个解释中，解并没有很显著的意义。我们并不需要假设参加者有关于整体博弈结构的充分知识，也不要求参加者有进行任何复杂的推理过程的愿望和能力，但必须假定参加者能够积累关于各种纯策略被采用时的相对优势的实证信息。”</w:t>
      </w:r>
      <w:r>
        <w:rPr>
          <w:rFonts w:ascii="宋体" w:hAnsi="宋体" w:eastAsia="宋体" w:cs="宋体"/>
          <w:kern w:val="0"/>
          <w:szCs w:val="21"/>
          <w:vertAlign w:val="superscript"/>
          <w:lang w:val="zh-TW" w:eastAsia="zh-TW" w:bidi="zh-TW"/>
        </w:rPr>
        <w:footnoteReference w:id="286"/>
      </w:r>
      <w:r>
        <w:rPr>
          <w:rFonts w:ascii="宋体" w:hAnsi="宋体" w:eastAsia="宋体" w:cs="宋体"/>
          <w:kern w:val="0"/>
          <w:szCs w:val="21"/>
          <w:lang w:val="zh-TW" w:eastAsia="zh-TW" w:bidi="zh-TW"/>
        </w:rPr>
        <w:t>按这种解释，纳什均衡的实现并不要求事先完全预测到，只要经过不断的学习（包括试错式学习）过程，只要能权衡采用各种策略（包括别人的策略）的结果是优是劣，就会最终达到稳定不变的均衡状态。这意味着理性的实现是一个过程，可以称之为过程理性。</w:t>
      </w:r>
    </w:p>
    <w:p w14:paraId="1A763D4B">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经过以上综合和修正后的主流经济学中</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是在市场制度中具有多元效用函数的个人,他能在给定的硬约束下通过成本一收益分析来最大化自己的效用，同时其行为还不同程度地受到意识形态软约束的影响，从而会产生不同的社会效果。他不再仅仅是以纯粹的物质利益为目标，而是明确地包括非经济利益和精神满足。他融合了利己和利他主义，不再是用“成本一收益”核算做</w:t>
      </w:r>
      <w:r>
        <w:rPr>
          <w:rFonts w:ascii="宋体" w:hAnsi="宋体" w:eastAsia="宋体" w:cs="宋体"/>
          <w:kern w:val="0"/>
          <w:szCs w:val="21"/>
          <w:lang w:val="zh-CN" w:bidi="zh-CN"/>
        </w:rPr>
        <w:t>出决策</w:t>
      </w:r>
      <w:r>
        <w:rPr>
          <w:rFonts w:ascii="宋体" w:hAnsi="宋体" w:eastAsia="宋体" w:cs="宋体"/>
          <w:kern w:val="0"/>
          <w:szCs w:val="21"/>
          <w:lang w:val="zh-TW" w:eastAsia="zh-TW" w:bidi="zh-TW"/>
        </w:rPr>
        <w:t>，而是在若干取舍之间做出选择，各种选择结果都将对个人福利产生不同的影响，选择的标准即是那些能为自己带来</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较多好处</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的行为。</w:t>
      </w:r>
    </w:p>
    <w:p w14:paraId="58B7A147">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由于</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济人”假设是作为西方经济学基本假定存在的，不言而喻，它所扮演的就是演绎推理的逻辑前提的角色。既然能够作为基本假设存在，就要求</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济人”假设能够诠释人经济行为的一般特性，但是现实生活中常常存在着</w:t>
      </w:r>
      <w:r>
        <w:rPr>
          <w:rFonts w:ascii="宋体" w:hAnsi="宋体" w:eastAsia="宋体" w:cs="宋体"/>
          <w:kern w:val="0"/>
          <w:szCs w:val="21"/>
          <w:lang w:val="zh-CN" w:bidi="zh-CN"/>
        </w:rPr>
        <w:t>与“经</w:t>
      </w:r>
      <w:r>
        <w:rPr>
          <w:rFonts w:ascii="宋体" w:hAnsi="宋体" w:eastAsia="宋体" w:cs="宋体"/>
          <w:kern w:val="0"/>
          <w:szCs w:val="21"/>
          <w:lang w:val="zh-TW" w:eastAsia="zh-TW" w:bidi="zh-TW"/>
        </w:rPr>
        <w:t>济人”假设不相符的事实，从而不断有学者对</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济人”假设提出质疑和批判，这就迫使西方经济学家不得不对</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济人”假设进行修正。</w:t>
      </w:r>
    </w:p>
    <w:p w14:paraId="2ECD8121">
      <w:pPr>
        <w:snapToGrid w:val="0"/>
        <w:spacing w:before="147" w:beforeLines="50" w:after="147" w:afterLines="50" w:line="300" w:lineRule="auto"/>
        <w:ind w:firstLine="500" w:firstLineChars="200"/>
        <w:jc w:val="center"/>
        <w:rPr>
          <w:rFonts w:ascii="宋体" w:hAnsi="宋体" w:eastAsia="宋体" w:cs="Times New Roman"/>
          <w:b/>
          <w:bCs/>
          <w:sz w:val="24"/>
        </w:rPr>
      </w:pPr>
      <w:r>
        <w:rPr>
          <w:rFonts w:ascii="宋体" w:hAnsi="宋体" w:eastAsia="宋体" w:cs="Times New Roman"/>
          <w:b/>
          <w:bCs/>
          <w:sz w:val="24"/>
        </w:rPr>
        <w:t>三、西方经济学对旧“</w:t>
      </w:r>
      <w:r>
        <w:rPr>
          <w:rFonts w:hint="eastAsia" w:ascii="宋体" w:hAnsi="宋体" w:eastAsia="宋体" w:cs="Times New Roman"/>
          <w:b/>
          <w:bCs/>
          <w:sz w:val="24"/>
        </w:rPr>
        <w:t>经济人</w:t>
      </w:r>
      <w:r>
        <w:rPr>
          <w:rFonts w:ascii="宋体" w:hAnsi="宋体" w:eastAsia="宋体" w:cs="Times New Roman"/>
          <w:b/>
          <w:bCs/>
          <w:sz w:val="24"/>
        </w:rPr>
        <w:t>”假设的修正</w:t>
      </w:r>
    </w:p>
    <w:p w14:paraId="5A7B1863">
      <w:pPr>
        <w:numPr>
          <w:ilvl w:val="0"/>
          <w:numId w:val="10"/>
        </w:numPr>
        <w:tabs>
          <w:tab w:val="left" w:pos="950"/>
        </w:tabs>
        <w:spacing w:line="400" w:lineRule="exact"/>
        <w:ind w:firstLine="440" w:firstLineChars="200"/>
        <w:jc w:val="left"/>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对“利己</w:t>
      </w:r>
      <w:r>
        <w:rPr>
          <w:rFonts w:ascii="宋体" w:hAnsi="宋体" w:eastAsia="宋体" w:cs="宋体"/>
          <w:kern w:val="0"/>
          <w:szCs w:val="21"/>
          <w:lang w:val="zh-CN" w:bidi="zh-CN"/>
        </w:rPr>
        <w:t>”假设</w:t>
      </w:r>
      <w:r>
        <w:rPr>
          <w:rFonts w:ascii="宋体" w:hAnsi="宋体" w:eastAsia="宋体" w:cs="宋体"/>
          <w:kern w:val="0"/>
          <w:szCs w:val="21"/>
          <w:lang w:val="zh-TW" w:eastAsia="zh-TW" w:bidi="zh-TW"/>
        </w:rPr>
        <w:t>的修正</w:t>
      </w:r>
    </w:p>
    <w:p w14:paraId="6D4BE0E3">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对</w:t>
      </w:r>
      <w:r>
        <w:rPr>
          <w:rFonts w:ascii="宋体" w:hAnsi="宋体" w:eastAsia="宋体" w:cs="宋体"/>
          <w:kern w:val="0"/>
          <w:szCs w:val="21"/>
          <w:lang w:val="zh-CN" w:bidi="zh-CN"/>
        </w:rPr>
        <w:t>“利已</w:t>
      </w:r>
      <w:r>
        <w:rPr>
          <w:rFonts w:ascii="宋体" w:hAnsi="宋体" w:eastAsia="宋体" w:cs="宋体"/>
          <w:kern w:val="0"/>
          <w:szCs w:val="21"/>
          <w:lang w:val="zh-TW" w:eastAsia="zh-TW" w:bidi="zh-TW"/>
        </w:rPr>
        <w:t>”本性的质疑可以</w:t>
      </w:r>
      <w:r>
        <w:rPr>
          <w:rFonts w:ascii="宋体" w:hAnsi="宋体" w:eastAsia="宋体" w:cs="宋体"/>
          <w:kern w:val="0"/>
          <w:szCs w:val="21"/>
          <w:lang w:val="zh-CN" w:bidi="zh-CN"/>
        </w:rPr>
        <w:t>说是“经</w:t>
      </w:r>
      <w:r>
        <w:rPr>
          <w:rFonts w:ascii="宋体" w:hAnsi="宋体" w:eastAsia="宋体" w:cs="宋体"/>
          <w:kern w:val="0"/>
          <w:szCs w:val="21"/>
          <w:lang w:val="zh-TW" w:eastAsia="zh-TW" w:bidi="zh-TW"/>
        </w:rPr>
        <w:t>济人”假设遭到的最早质疑和批判。以李斯特</w:t>
      </w:r>
      <w:r>
        <w:rPr>
          <w:rFonts w:ascii="宋体" w:hAnsi="宋体" w:eastAsia="宋体" w:cs="Times New Roman"/>
          <w:kern w:val="0"/>
          <w:szCs w:val="21"/>
          <w:lang w:bidi="en-US"/>
        </w:rPr>
        <w:t>(F.List)</w:t>
      </w:r>
      <w:r>
        <w:rPr>
          <w:rFonts w:ascii="宋体" w:hAnsi="宋体" w:eastAsia="宋体" w:cs="宋体"/>
          <w:kern w:val="0"/>
          <w:szCs w:val="21"/>
          <w:lang w:val="zh-TW" w:eastAsia="zh-TW" w:bidi="zh-TW"/>
        </w:rPr>
        <w:t>为首的德国历史学派主要针对斯</w:t>
      </w:r>
      <w:r>
        <w:rPr>
          <w:rFonts w:ascii="宋体" w:hAnsi="宋体" w:eastAsia="宋体" w:cs="宋体"/>
          <w:kern w:val="0"/>
          <w:szCs w:val="21"/>
          <w:lang w:val="zh-CN" w:bidi="zh-CN"/>
        </w:rPr>
        <w:t>密的“利已</w:t>
      </w:r>
      <w:r>
        <w:rPr>
          <w:rFonts w:ascii="宋体" w:hAnsi="宋体" w:eastAsia="宋体" w:cs="宋体"/>
          <w:kern w:val="0"/>
          <w:szCs w:val="21"/>
          <w:lang w:val="zh-TW" w:eastAsia="zh-TW" w:bidi="zh-TW"/>
        </w:rPr>
        <w:t>”观展开批判。德国历史学派指责说</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w:t>
      </w:r>
      <w:r>
        <w:rPr>
          <w:rFonts w:ascii="宋体" w:hAnsi="宋体" w:eastAsia="宋体" w:cs="宋体"/>
          <w:kern w:val="0"/>
          <w:szCs w:val="21"/>
          <w:lang w:val="zh-CN" w:bidi="zh-CN"/>
        </w:rPr>
        <w:t>“利已</w:t>
      </w:r>
      <w:r>
        <w:rPr>
          <w:rFonts w:ascii="宋体" w:hAnsi="宋体" w:eastAsia="宋体" w:cs="宋体"/>
          <w:kern w:val="0"/>
          <w:szCs w:val="21"/>
          <w:lang w:val="zh-TW" w:eastAsia="zh-TW" w:bidi="zh-TW"/>
        </w:rPr>
        <w:t>”性被视为其经济行为的唯一动机，那么人们在受到道德和情感等诸多方面动机激励下去追求的社会利益将被排除在外,这显然是不符合事实和有悖常理的，并且强调了历史与文化在形成人动机方面的作用。但是，以庞巴唯克</w:t>
      </w:r>
      <w:r>
        <w:rPr>
          <w:rFonts w:ascii="宋体" w:hAnsi="宋体" w:eastAsia="宋体" w:cs="Times New Roman"/>
          <w:kern w:val="0"/>
          <w:szCs w:val="21"/>
          <w:lang w:bidi="en-US"/>
        </w:rPr>
        <w:t>(E.Bohm-bawerk)</w:t>
      </w:r>
      <w:r>
        <w:rPr>
          <w:rFonts w:ascii="宋体" w:hAnsi="宋体" w:eastAsia="宋体" w:cs="宋体"/>
          <w:kern w:val="0"/>
          <w:szCs w:val="21"/>
          <w:lang w:val="zh-TW" w:eastAsia="zh-TW" w:bidi="zh-TW"/>
        </w:rPr>
        <w:t>为首的奥地利学派对这种质疑进行了反击，他们指出，若将道德法律等精神上因素逐一纳入</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中，那只不过是中世纪禁欲主义的再现,而对人利己本性的抽象不仅是可行的尤其从方法论的角度来看是必要的，这是因为对人经济行为的抽象是进行科学研究的基本前提。到新古典经济学时期，新古典经济学家更是将“经济人</w:t>
      </w:r>
      <w:r>
        <w:rPr>
          <w:rFonts w:ascii="宋体" w:hAnsi="宋体" w:eastAsia="宋体" w:cs="宋体"/>
          <w:kern w:val="0"/>
          <w:szCs w:val="21"/>
          <w:lang w:val="zh-CN" w:bidi="zh-CN"/>
        </w:rPr>
        <w:t>”的“</w:t>
      </w:r>
      <w:r>
        <w:rPr>
          <w:rFonts w:ascii="宋体" w:hAnsi="宋体" w:eastAsia="宋体" w:cs="宋体"/>
          <w:kern w:val="0"/>
          <w:szCs w:val="21"/>
          <w:lang w:val="zh-TW" w:eastAsia="zh-TW" w:bidi="zh-TW"/>
        </w:rPr>
        <w:t>利己”本性作为基本的假设前提，认为是不需证明的公理，把“利己</w:t>
      </w:r>
      <w:r>
        <w:rPr>
          <w:rFonts w:ascii="宋体" w:hAnsi="宋体" w:eastAsia="宋体" w:cs="宋体"/>
          <w:kern w:val="0"/>
          <w:szCs w:val="21"/>
          <w:lang w:val="zh-CN" w:bidi="zh-CN"/>
        </w:rPr>
        <w:t>”本</w:t>
      </w:r>
      <w:r>
        <w:rPr>
          <w:rFonts w:ascii="宋体" w:hAnsi="宋体" w:eastAsia="宋体" w:cs="宋体"/>
          <w:kern w:val="0"/>
          <w:szCs w:val="21"/>
          <w:lang w:val="zh-TW" w:eastAsia="zh-TW" w:bidi="zh-TW"/>
        </w:rPr>
        <w:t>性发展到了极端的个人模式。尤其是边际革命的产生，使得</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经济人</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的行为可以用数学、计量等方法更为精确的得以表达，当定量分析经济行为成为可能时，就使得</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济人”表面上更为科学、更具有迷惑性。</w:t>
      </w:r>
    </w:p>
    <w:p w14:paraId="247B05F2">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如果说对“经济人</w:t>
      </w:r>
      <w:r>
        <w:rPr>
          <w:rFonts w:ascii="宋体" w:hAnsi="宋体" w:eastAsia="宋体" w:cs="宋体"/>
          <w:kern w:val="0"/>
          <w:szCs w:val="21"/>
          <w:lang w:val="zh-CN" w:bidi="zh-CN"/>
        </w:rPr>
        <w:t>”的“</w:t>
      </w:r>
      <w:r>
        <w:rPr>
          <w:rFonts w:ascii="宋体" w:hAnsi="宋体" w:eastAsia="宋体" w:cs="宋体"/>
          <w:kern w:val="0"/>
          <w:szCs w:val="21"/>
          <w:lang w:val="zh-TW" w:eastAsia="zh-TW" w:bidi="zh-TW"/>
        </w:rPr>
        <w:t>利己”本性算得上完善的话，那么体现在</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济人”向“效用人”假设的转变，贝克尔</w:t>
      </w:r>
      <w:r>
        <w:rPr>
          <w:rFonts w:ascii="宋体" w:hAnsi="宋体" w:eastAsia="宋体" w:cs="Times New Roman"/>
          <w:kern w:val="0"/>
          <w:szCs w:val="21"/>
          <w:lang w:bidi="en-US"/>
        </w:rPr>
        <w:t>(GaryS.Becker)</w:t>
      </w:r>
      <w:r>
        <w:rPr>
          <w:rFonts w:ascii="宋体" w:hAnsi="宋体" w:eastAsia="宋体" w:cs="宋体"/>
          <w:kern w:val="0"/>
          <w:szCs w:val="21"/>
          <w:lang w:val="zh-TW" w:eastAsia="zh-TW" w:bidi="zh-TW"/>
        </w:rPr>
        <w:t>把“利他”的行为写进了个人效用函数，指出人在实现自身利益最大化的过程包含''利他的行为会更符合实际，并且他运用包含“利他”行为的经济模型分析了其他的非经济行为，这样就可以解释人的经济行为的多样性和人会受到道德、情感等诸多因素束缚的事实，使</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济人”看起来更能接近现实生活中的人，从而拓展了</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经济人”的“利已</w:t>
      </w:r>
      <w:r>
        <w:rPr>
          <w:rFonts w:ascii="宋体" w:hAnsi="宋体" w:eastAsia="宋体" w:cs="宋体"/>
          <w:kern w:val="0"/>
          <w:szCs w:val="21"/>
          <w:lang w:val="zh-CN" w:bidi="zh-CN"/>
        </w:rPr>
        <w:t>”本性</w:t>
      </w:r>
      <w:r>
        <w:rPr>
          <w:rFonts w:ascii="宋体" w:hAnsi="宋体" w:eastAsia="宋体" w:cs="宋体"/>
          <w:kern w:val="0"/>
          <w:szCs w:val="21"/>
          <w:lang w:val="zh-TW" w:eastAsia="zh-TW" w:bidi="zh-TW"/>
        </w:rPr>
        <w:t>,缓解了“利己</w:t>
      </w:r>
      <w:r>
        <w:rPr>
          <w:rFonts w:ascii="宋体" w:hAnsi="宋体" w:eastAsia="宋体" w:cs="宋体"/>
          <w:kern w:val="0"/>
          <w:szCs w:val="21"/>
          <w:lang w:val="zh-CN" w:bidi="zh-CN"/>
        </w:rPr>
        <w:t>”和“</w:t>
      </w:r>
      <w:r>
        <w:rPr>
          <w:rFonts w:ascii="宋体" w:hAnsi="宋体" w:eastAsia="宋体" w:cs="宋体"/>
          <w:kern w:val="0"/>
          <w:szCs w:val="21"/>
          <w:lang w:val="zh-TW" w:eastAsia="zh-TW" w:bidi="zh-TW"/>
        </w:rPr>
        <w:t>利他”的矛盾。</w:t>
      </w:r>
    </w:p>
    <w:p w14:paraId="20D4A624">
      <w:pPr>
        <w:numPr>
          <w:ilvl w:val="0"/>
          <w:numId w:val="10"/>
        </w:numPr>
        <w:tabs>
          <w:tab w:val="left" w:pos="950"/>
        </w:tabs>
        <w:spacing w:line="400" w:lineRule="exact"/>
        <w:ind w:firstLine="440" w:firstLineChars="200"/>
        <w:jc w:val="left"/>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对利润最大化的修正</w:t>
      </w:r>
    </w:p>
    <w:p w14:paraId="3B412C3C">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斯密创立的</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最初起源于对生产者经济行为的描述，但现实中的人不仅仅是指生产者，人群是由生产者、消费者、家庭、政府等各种团体组成的，面对不同个体和组织,仅用生产者利润最大化理论是不能解释现实问题的。因此，这就要求</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必须能合理解释所有人追求的利益最大化。面对这种指责，西方经济学拓展了追求利益最大化的主体,根据市场行为的不同把人划分为生产者、消费者、生产要素所有者，以及官员四类，运用了不同的最大化理论来解释说明，具体地说，就是消费者追求效用最大化，生产者追求利润最大化，生产要素所有者追求收入最大化，政府官员追求选票最大化。由此，利润最大化理论向涵盖所有行为人的最大化理论扩展，以使</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济人”假设更能接近现实生活。</w:t>
      </w:r>
    </w:p>
    <w:p w14:paraId="55141AAF">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最大化利益在现实生活中能否实现也遭到了质疑，在其中一个典型案例就是</w:t>
      </w:r>
      <w:r>
        <w:rPr>
          <w:rFonts w:ascii="宋体" w:hAnsi="宋体" w:eastAsia="宋体" w:cs="Times New Roman"/>
          <w:kern w:val="0"/>
          <w:szCs w:val="21"/>
          <w:lang w:val="zh-TW" w:eastAsia="zh-TW" w:bidi="zh-TW"/>
        </w:rPr>
        <w:t>“X</w:t>
      </w:r>
      <w:r>
        <w:rPr>
          <w:rFonts w:ascii="宋体" w:hAnsi="宋体" w:eastAsia="宋体" w:cs="宋体"/>
          <w:kern w:val="0"/>
          <w:szCs w:val="21"/>
          <w:lang w:val="zh-TW" w:eastAsia="zh-TW" w:bidi="zh-TW"/>
        </w:rPr>
        <w:t>效率”对生产者利润最大化假定的驳斥。</w:t>
      </w:r>
      <w:r>
        <w:rPr>
          <w:rFonts w:ascii="宋体" w:hAnsi="宋体" w:eastAsia="宋体" w:cs="Times New Roman"/>
          <w:kern w:val="0"/>
          <w:szCs w:val="21"/>
          <w:lang w:val="zh-TW" w:eastAsia="zh-TW" w:bidi="zh-TW"/>
        </w:rPr>
        <w:t>“X</w:t>
      </w:r>
      <w:r>
        <w:rPr>
          <w:rFonts w:ascii="宋体" w:hAnsi="宋体" w:eastAsia="宋体" w:cs="宋体"/>
          <w:kern w:val="0"/>
          <w:szCs w:val="21"/>
          <w:lang w:val="zh-TW" w:eastAsia="zh-TW" w:bidi="zh-TW"/>
        </w:rPr>
        <w:t>效率</w:t>
      </w:r>
      <w:r>
        <w:rPr>
          <w:rFonts w:ascii="宋体" w:hAnsi="宋体" w:eastAsia="宋体" w:cs="宋体"/>
          <w:kern w:val="0"/>
          <w:szCs w:val="21"/>
          <w:lang w:val="zh-CN" w:bidi="zh-CN"/>
        </w:rPr>
        <w:t>”由莱</w:t>
      </w:r>
      <w:r>
        <w:rPr>
          <w:rFonts w:ascii="宋体" w:hAnsi="宋体" w:eastAsia="宋体" w:cs="宋体"/>
          <w:kern w:val="0"/>
          <w:szCs w:val="21"/>
          <w:lang w:val="zh-TW" w:eastAsia="zh-TW" w:bidi="zh-TW"/>
        </w:rPr>
        <w:t>本斯泰</w:t>
      </w:r>
      <w:r>
        <w:rPr>
          <w:rFonts w:ascii="宋体" w:hAnsi="宋体" w:eastAsia="宋体" w:cs="宋体"/>
          <w:kern w:val="0"/>
          <w:szCs w:val="21"/>
          <w:lang w:bidi="en-US"/>
        </w:rPr>
        <w:t>(</w:t>
      </w:r>
      <w:r>
        <w:rPr>
          <w:rFonts w:ascii="宋体" w:hAnsi="宋体" w:eastAsia="宋体" w:cs="Times New Roman"/>
          <w:kern w:val="0"/>
          <w:szCs w:val="21"/>
          <w:lang w:bidi="en-US"/>
        </w:rPr>
        <w:t>Har</w:t>
      </w:r>
      <w:r>
        <w:rPr>
          <w:rFonts w:ascii="宋体" w:hAnsi="宋体" w:eastAsia="宋体" w:cs="Times New Roman"/>
          <w:kern w:val="0"/>
          <w:szCs w:val="21"/>
          <w:lang w:bidi="en-US"/>
        </w:rPr>
        <w:softHyphen/>
      </w:r>
      <w:r>
        <w:rPr>
          <w:rFonts w:ascii="宋体" w:hAnsi="宋体" w:eastAsia="宋体" w:cs="Times New Roman"/>
          <w:kern w:val="0"/>
          <w:szCs w:val="21"/>
          <w:lang w:bidi="en-US"/>
        </w:rPr>
        <w:t>veyLeibenstein)</w:t>
      </w:r>
      <w:r>
        <w:rPr>
          <w:rFonts w:ascii="宋体" w:hAnsi="宋体" w:eastAsia="宋体" w:cs="宋体"/>
          <w:kern w:val="0"/>
          <w:szCs w:val="21"/>
          <w:lang w:val="zh-TW" w:eastAsia="zh-TW" w:bidi="zh-TW"/>
        </w:rPr>
        <w:t>提出，他抓住新古典经济学有关生产者利润最大化的基本假”设与现实不一致的缺点，开始对它进行全面批判，并指明最大化的行为和结果”只能是一个特例，人们很难按照接近于完全的计算程序来作出决策，更多的情”况下出现了行为的非最大化。莱本斯泰还创造了一个“努力筋”的概念来度量这种低效率的程度。</w:t>
      </w:r>
    </w:p>
    <w:p w14:paraId="71204755">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针对此种非议，正统经济学的捍卫者斯蒂格勒</w:t>
      </w:r>
      <w:r>
        <w:rPr>
          <w:rFonts w:ascii="宋体" w:hAnsi="宋体" w:eastAsia="宋体" w:cs="Times New Roman"/>
          <w:kern w:val="0"/>
          <w:szCs w:val="21"/>
          <w:lang w:bidi="en-US"/>
        </w:rPr>
        <w:t>(G.Stigler)</w:t>
      </w:r>
      <w:r>
        <w:rPr>
          <w:rFonts w:ascii="宋体" w:hAnsi="宋体" w:eastAsia="宋体" w:cs="宋体"/>
          <w:kern w:val="0"/>
          <w:szCs w:val="21"/>
          <w:lang w:bidi="en-US"/>
        </w:rPr>
        <w:t>、</w:t>
      </w:r>
      <w:r>
        <w:rPr>
          <w:rFonts w:ascii="宋体" w:hAnsi="宋体" w:eastAsia="宋体" w:cs="宋体"/>
          <w:kern w:val="0"/>
          <w:szCs w:val="21"/>
          <w:lang w:val="zh-TW" w:eastAsia="zh-TW" w:bidi="zh-TW"/>
        </w:rPr>
        <w:t>塔洛克</w:t>
      </w:r>
      <w:r>
        <w:rPr>
          <w:rFonts w:ascii="宋体" w:hAnsi="宋体" w:eastAsia="宋体" w:cs="Times New Roman"/>
          <w:kern w:val="0"/>
          <w:szCs w:val="21"/>
          <w:lang w:bidi="en-US"/>
        </w:rPr>
        <w:t>(Tul-lock)</w:t>
      </w:r>
      <w:r>
        <w:rPr>
          <w:rFonts w:ascii="宋体" w:hAnsi="宋体" w:eastAsia="宋体" w:cs="宋体"/>
          <w:kern w:val="0"/>
          <w:szCs w:val="21"/>
          <w:lang w:val="zh-TW" w:eastAsia="zh-TW" w:bidi="zh-TW"/>
        </w:rPr>
        <w:t>等人给予了反驳。他们指出，生产者除了出于社会公平、伦理的角度虚”伪的不愿承认追求利润最大化的目标外，由于产权、寻租等行为的存在导致出现了低效率，但是这些问题的存在是与新古典经济学的分析框架不相矛盾的，仅以</w:t>
      </w:r>
      <w:r>
        <w:rPr>
          <w:rFonts w:ascii="宋体" w:hAnsi="宋体" w:eastAsia="宋体" w:cs="Times New Roman"/>
          <w:kern w:val="0"/>
          <w:szCs w:val="21"/>
          <w:lang w:val="zh-TW" w:eastAsia="zh-TW" w:bidi="zh-TW"/>
        </w:rPr>
        <w:t>“X</w:t>
      </w:r>
      <w:r>
        <w:rPr>
          <w:rFonts w:ascii="宋体" w:hAnsi="宋体" w:eastAsia="宋体" w:cs="宋体"/>
          <w:kern w:val="0"/>
          <w:szCs w:val="21"/>
          <w:lang w:val="zh-TW" w:eastAsia="zh-TW" w:bidi="zh-TW"/>
        </w:rPr>
        <w:t>效率</w:t>
      </w:r>
      <w:r>
        <w:rPr>
          <w:rFonts w:ascii="宋体" w:hAnsi="宋体" w:eastAsia="宋体" w:cs="宋体"/>
          <w:kern w:val="0"/>
          <w:szCs w:val="21"/>
          <w:lang w:val="zh-CN" w:bidi="zh-CN"/>
        </w:rPr>
        <w:t>”理论</w:t>
      </w:r>
      <w:r>
        <w:rPr>
          <w:rFonts w:ascii="宋体" w:hAnsi="宋体" w:eastAsia="宋体" w:cs="宋体"/>
          <w:kern w:val="0"/>
          <w:szCs w:val="21"/>
          <w:lang w:val="zh-TW" w:eastAsia="zh-TW" w:bidi="zh-TW"/>
        </w:rPr>
        <w:t>是不能驳倒新古典经济学</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济人”最大化行为命题的。</w:t>
      </w:r>
    </w:p>
    <w:p w14:paraId="457448E2">
      <w:pPr>
        <w:numPr>
          <w:ilvl w:val="0"/>
          <w:numId w:val="10"/>
        </w:numPr>
        <w:spacing w:line="400" w:lineRule="exact"/>
        <w:ind w:firstLine="440" w:firstLineChars="200"/>
        <w:jc w:val="left"/>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对完全理性的修正</w:t>
      </w:r>
    </w:p>
    <w:p w14:paraId="5452F247">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济人”的完全理性和完全信息受到了“有限理性”和信息不完全的挑战。赫伯特•西蒙</w:t>
      </w:r>
      <w:r>
        <w:rPr>
          <w:rFonts w:ascii="宋体" w:hAnsi="宋体" w:eastAsia="宋体" w:cs="Times New Roman"/>
          <w:kern w:val="0"/>
          <w:szCs w:val="21"/>
          <w:lang w:bidi="en-US"/>
        </w:rPr>
        <w:t>(Simon)</w:t>
      </w:r>
      <w:r>
        <w:rPr>
          <w:rFonts w:ascii="宋体" w:hAnsi="宋体" w:eastAsia="宋体" w:cs="宋体"/>
          <w:kern w:val="0"/>
          <w:szCs w:val="21"/>
          <w:lang w:val="zh-TW" w:eastAsia="zh-TW" w:bidi="zh-TW"/>
        </w:rPr>
        <w:t>是较早运用“有限理性”对完全理性假定进行批判的先行者之一。西蒙认为“有限理性</w:t>
      </w:r>
      <w:r>
        <w:rPr>
          <w:rFonts w:ascii="宋体" w:hAnsi="宋体" w:eastAsia="宋体" w:cs="宋体"/>
          <w:kern w:val="0"/>
          <w:szCs w:val="21"/>
          <w:lang w:val="zh-CN" w:bidi="zh-CN"/>
        </w:rPr>
        <w:t>”理</w:t>
      </w:r>
      <w:r>
        <w:rPr>
          <w:rFonts w:ascii="宋体" w:hAnsi="宋体" w:eastAsia="宋体" w:cs="宋体"/>
          <w:kern w:val="0"/>
          <w:szCs w:val="21"/>
          <w:lang w:val="zh-TW" w:eastAsia="zh-TW" w:bidi="zh-TW"/>
        </w:rPr>
        <w:t>论是考虑限制决策者信息处理能力的约束理论他提议将不完全信息、处理信息的费用和一些非传统的决策者目标函数引入经济分析。西蒙认为与“有限理性说”相匹配的只</w:t>
      </w:r>
      <w:r>
        <w:rPr>
          <w:rFonts w:ascii="宋体" w:hAnsi="宋体" w:eastAsia="宋体" w:cs="宋体"/>
          <w:kern w:val="0"/>
          <w:szCs w:val="21"/>
          <w:lang w:val="zh-CN" w:bidi="zh-CN"/>
        </w:rPr>
        <w:t>能是“</w:t>
      </w:r>
      <w:r>
        <w:rPr>
          <w:rFonts w:ascii="宋体" w:hAnsi="宋体" w:eastAsia="宋体" w:cs="宋体"/>
          <w:kern w:val="0"/>
          <w:szCs w:val="21"/>
          <w:lang w:val="zh-TW" w:eastAsia="zh-TW" w:bidi="zh-TW"/>
        </w:rPr>
        <w:t>令人满意准则</w:t>
      </w:r>
      <w:r>
        <w:rPr>
          <w:rFonts w:ascii="宋体" w:hAnsi="宋体" w:eastAsia="宋体" w:cs="宋体"/>
          <w:kern w:val="0"/>
          <w:szCs w:val="21"/>
          <w:lang w:val="zh-CN" w:bidi="zh-CN"/>
        </w:rPr>
        <w:t>”</w:t>
      </w:r>
      <w:r>
        <w:rPr>
          <w:rFonts w:ascii="宋体" w:hAnsi="宋体" w:eastAsia="宋体" w:cs="宋体"/>
          <w:kern w:val="0"/>
          <w:szCs w:val="21"/>
          <w:lang w:bidi="en-US"/>
        </w:rPr>
        <w:t>,</w:t>
      </w:r>
      <w:r>
        <w:rPr>
          <w:rFonts w:ascii="宋体" w:hAnsi="宋体" w:eastAsia="宋体" w:cs="宋体"/>
          <w:kern w:val="0"/>
          <w:szCs w:val="21"/>
          <w:lang w:val="zh-TW" w:eastAsia="zh-TW" w:bidi="zh-TW"/>
        </w:rPr>
        <w:t>也就是说如果完全理性是与最大或最优相对的话，那么有限理性便和次优(满意解)相为伍。至此，西蒙不仅对完全理性和完全信息提出质疑，同时也批判了</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济人”的最大化理论。</w:t>
      </w:r>
    </w:p>
    <w:p w14:paraId="38C3B50F">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新制度经济学则在针对完全理性观点的同时，指出了社会因素、历史和政治因素在经济生活中所起的巨大作用，强调采取制度、结构分析方法来说明社会的变动和在经济增长中的作用，与新古典经济学相比,新制度经济学的研究视角从单纯的资源配置问题转向了人与人的相互关系问题，提出了“个人选择”的社会性而与</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w:t>
      </w:r>
      <w:r>
        <w:rPr>
          <w:rFonts w:ascii="宋体" w:hAnsi="宋体" w:eastAsia="宋体" w:cs="宋体"/>
          <w:kern w:val="0"/>
          <w:szCs w:val="21"/>
          <w:lang w:val="zh-CN" w:bidi="zh-CN"/>
        </w:rPr>
        <w:t>”的“</w:t>
      </w:r>
      <w:r>
        <w:rPr>
          <w:rFonts w:ascii="宋体" w:hAnsi="宋体" w:eastAsia="宋体" w:cs="宋体"/>
          <w:kern w:val="0"/>
          <w:szCs w:val="21"/>
          <w:lang w:val="zh-TW" w:eastAsia="zh-TW" w:bidi="zh-TW"/>
        </w:rPr>
        <w:t>个人性”截然对立，主张用“社会一文化人</w:t>
      </w:r>
      <w:r>
        <w:rPr>
          <w:rFonts w:ascii="宋体" w:hAnsi="宋体" w:eastAsia="宋体" w:cs="宋体"/>
          <w:kern w:val="0"/>
          <w:szCs w:val="21"/>
          <w:lang w:val="zh-CN" w:bidi="zh-CN"/>
        </w:rPr>
        <w:t>”取代“经</w:t>
      </w:r>
      <w:r>
        <w:rPr>
          <w:rFonts w:ascii="宋体" w:hAnsi="宋体" w:eastAsia="宋体" w:cs="宋体"/>
          <w:kern w:val="0"/>
          <w:szCs w:val="21"/>
          <w:lang w:val="zh-TW" w:eastAsia="zh-TW" w:bidi="zh-TW"/>
        </w:rPr>
        <w:t>济人”。</w:t>
      </w:r>
    </w:p>
    <w:p w14:paraId="13FC0205">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针对西蒙的有限理性理论，卢卡斯(</w:t>
      </w:r>
      <w:r>
        <w:rPr>
          <w:rFonts w:ascii="宋体" w:hAnsi="宋体" w:eastAsia="宋体" w:cs="Times New Roman"/>
          <w:kern w:val="0"/>
          <w:szCs w:val="21"/>
          <w:lang w:eastAsia="zh-TW" w:bidi="en-US"/>
        </w:rPr>
        <w:t>Robert E.Lucas</w:t>
      </w:r>
      <w:r>
        <w:rPr>
          <w:rFonts w:ascii="宋体" w:hAnsi="宋体" w:eastAsia="宋体" w:cs="Times New Roman"/>
          <w:kern w:val="0"/>
          <w:szCs w:val="21"/>
          <w:lang w:val="zh-TW" w:eastAsia="zh-TW" w:bidi="zh-TW"/>
        </w:rPr>
        <w:t>)</w:t>
      </w:r>
      <w:r>
        <w:rPr>
          <w:rFonts w:ascii="宋体" w:hAnsi="宋体" w:eastAsia="宋体" w:cs="宋体"/>
          <w:kern w:val="0"/>
          <w:szCs w:val="21"/>
          <w:lang w:val="zh-TW" w:eastAsia="zh-TW" w:bidi="zh-TW"/>
        </w:rPr>
        <w:t>的理性预期，阿克洛”夫(</w:t>
      </w:r>
      <w:r>
        <w:rPr>
          <w:rFonts w:ascii="宋体" w:hAnsi="宋体" w:eastAsia="宋体" w:cs="Times New Roman"/>
          <w:kern w:val="0"/>
          <w:szCs w:val="21"/>
          <w:lang w:eastAsia="zh-TW" w:bidi="en-US"/>
        </w:rPr>
        <w:t>Georgy A.Akerlof)</w:t>
      </w:r>
      <w:r>
        <w:rPr>
          <w:rFonts w:ascii="宋体" w:hAnsi="宋体" w:eastAsia="宋体" w:cs="Times New Roman"/>
          <w:kern w:val="0"/>
          <w:szCs w:val="21"/>
          <w:lang w:val="zh-TW" w:eastAsia="zh-TW" w:bidi="zh-TW"/>
        </w:rPr>
        <w:t>,</w:t>
      </w:r>
      <w:r>
        <w:rPr>
          <w:rFonts w:ascii="宋体" w:hAnsi="宋体" w:eastAsia="宋体" w:cs="宋体"/>
          <w:kern w:val="0"/>
          <w:szCs w:val="21"/>
          <w:lang w:val="zh-TW" w:eastAsia="zh-TW" w:bidi="zh-TW"/>
        </w:rPr>
        <w:t>斯蒂格利茨</w:t>
      </w:r>
      <w:r>
        <w:rPr>
          <w:rFonts w:ascii="宋体" w:hAnsi="宋体" w:eastAsia="宋体" w:cs="Times New Roman"/>
          <w:kern w:val="0"/>
          <w:szCs w:val="21"/>
          <w:lang w:eastAsia="zh-TW" w:bidi="en-US"/>
        </w:rPr>
        <w:t>(JosePh E.Stiglitz)</w:t>
      </w:r>
      <w:r>
        <w:rPr>
          <w:rFonts w:ascii="宋体" w:hAnsi="宋体" w:eastAsia="宋体" w:cs="宋体"/>
          <w:kern w:val="0"/>
          <w:szCs w:val="21"/>
          <w:lang w:val="zh-TW" w:eastAsia="zh-TW" w:bidi="zh-TW"/>
        </w:rPr>
        <w:t>的信息经济学对“经济人”的不完备理性方面做出了重要的修正。卢卡斯的理性预期表明，即使人的认识是有限理性的，但是预期的存在可以把有限理性对完全理性的偏离程度最小化。阿克洛夫和斯蒂格利茨的信息经济学则表明，在信息不充分的情况下，</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在进行选择和决策时依然能够遵循最大化的行为原则，即使存在着“道德风险”和“逆向选择”这些不合常理的非理性行为，但这正是参与活动的行为主体的理性选择的结果,不能够因为受到信息不完全条件的约束就改变了行为主体的行为动机和决策的标准。</w:t>
      </w:r>
    </w:p>
    <w:p w14:paraId="14DA1022">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以上简要地回顾了对</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济人”假设的批判和修正，但是从这几次大的批判和修正中，我们依然能够看到，不管经过修正的</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与现实多么的接近，它所遵循的依然是西方经济学的分析范式和方法论，即依然沿用的是抽象、演绎的个人主义方法，将人在经济行为中的特征与其他领域中的特征孤立抽象的区分开，运用实证和规范的方法对“经济人</w:t>
      </w:r>
      <w:r>
        <w:rPr>
          <w:rFonts w:ascii="宋体" w:hAnsi="宋体" w:eastAsia="宋体" w:cs="宋体"/>
          <w:kern w:val="0"/>
          <w:szCs w:val="21"/>
          <w:lang w:val="zh-CN" w:bidi="zh-CN"/>
        </w:rPr>
        <w:t>”的</w:t>
      </w:r>
      <w:r>
        <w:rPr>
          <w:rFonts w:ascii="宋体" w:hAnsi="宋体" w:eastAsia="宋体" w:cs="宋体"/>
          <w:kern w:val="0"/>
          <w:szCs w:val="21"/>
          <w:lang w:val="zh-TW" w:eastAsia="zh-TW" w:bidi="zh-TW"/>
        </w:rPr>
        <w:t>假设进行拓展，利用证实和证伪两种形式的检验理论对理论前提条件、结论的有效性以及其本身的逻辑推理过程的合理性进行检验和验证，釆用边际分析和成本一收益分析手段为其</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济人”的天然合理性进行辩护。但是,最值得我们注意的是，上述西方经济学对</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济人”的修正与发展依然沿用的是唯心史观看待社会发展和人性的思维方式，尤其是用抽象的人性论来解释人的经济行为。西方经济学所作的这些努力归根到底还是不能掩饰</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所具有的硬伤，即不科学性，也就是不能用真正科学的唯物史观来看待社会的历史变迁和人性的本质，这是因为近代资产阶级思想家在人性问题上存在着两个共同缺陷：一是在研究人性时脱离人的社会性和社会关系，把抽象孤立的人性视为某种与生俱来、人人有之、永恒不变的人类共性;二是用这种抽象不变的人类共性来解释各种社会历史现象，把抽象孤立的人性看作是打开各种社会现象的钥匙，尤其是在解释人的经济行为方面。下面我们将运用马克思的科学理论深入地揭示</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济人”假设的不科学性。</w:t>
      </w:r>
    </w:p>
    <w:p w14:paraId="6B127800">
      <w:pPr>
        <w:jc w:val="left"/>
        <w:rPr>
          <w:rFonts w:ascii="宋体" w:hAnsi="宋体" w:eastAsia="宋体" w:cs="Times New Roman"/>
          <w:color w:val="000000"/>
          <w:kern w:val="0"/>
          <w:szCs w:val="21"/>
          <w:lang w:bidi="en-US"/>
        </w:rPr>
      </w:pPr>
      <w:bookmarkStart w:id="957" w:name="bookmark30"/>
      <w:r>
        <w:rPr>
          <w:rFonts w:ascii="宋体" w:hAnsi="宋体" w:eastAsia="宋体" w:cs="Times New Roman"/>
          <w:color w:val="000000"/>
          <w:kern w:val="0"/>
          <w:szCs w:val="21"/>
          <w:lang w:val="zh-TW" w:eastAsia="zh-TW" w:bidi="zh-TW"/>
        </w:rPr>
        <w:t>四、西方旧“经济人”假设的现代马克思主义评析</w:t>
      </w:r>
      <w:bookmarkEnd w:id="957"/>
    </w:p>
    <w:p w14:paraId="7341E56B">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正如当代法国经济心理学学会创始人阿尔布在</w:t>
      </w:r>
      <w:r>
        <w:rPr>
          <w:rFonts w:ascii="宋体" w:hAnsi="宋体" w:eastAsia="宋体" w:cs="宋体"/>
          <w:kern w:val="0"/>
          <w:szCs w:val="21"/>
          <w:lang w:val="zh-CN" w:bidi="zh-CN"/>
        </w:rPr>
        <w:t>批判“</w:t>
      </w:r>
      <w:r>
        <w:rPr>
          <w:rFonts w:ascii="宋体" w:hAnsi="宋体" w:eastAsia="宋体" w:cs="宋体"/>
          <w:kern w:val="0"/>
          <w:szCs w:val="21"/>
          <w:lang w:val="zh-TW" w:eastAsia="zh-TW" w:bidi="zh-TW"/>
        </w:rPr>
        <w:t>经济人的神话</w:t>
      </w:r>
      <w:r>
        <w:rPr>
          <w:rFonts w:ascii="宋体" w:hAnsi="宋体" w:eastAsia="宋体" w:cs="宋体"/>
          <w:kern w:val="0"/>
          <w:szCs w:val="21"/>
          <w:lang w:val="zh-CN" w:bidi="zh-CN"/>
        </w:rPr>
        <w:t>”时所</w:t>
      </w:r>
      <w:r>
        <w:rPr>
          <w:rFonts w:ascii="宋体" w:hAnsi="宋体" w:eastAsia="宋体" w:cs="宋体"/>
          <w:kern w:val="0"/>
          <w:szCs w:val="21"/>
          <w:lang w:val="zh-TW" w:eastAsia="zh-TW" w:bidi="zh-TW"/>
        </w:rPr>
        <w:t>说的,各门人文科学的进步，尤其是心理学、社会学和社会心理学的进步，使我们不难证明有关经济人的这.些论点是不够的或不确切的。具体说来，自私的旧</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济人”理念存在下列误点：</w:t>
      </w:r>
    </w:p>
    <w:p w14:paraId="6CB91801">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其一理念源于功利主义。</w:t>
      </w:r>
      <w:r>
        <w:rPr>
          <w:rFonts w:ascii="宋体" w:hAnsi="宋体" w:eastAsia="宋体" w:cs="Times New Roman"/>
          <w:kern w:val="0"/>
          <w:szCs w:val="21"/>
          <w:lang w:val="zh-TW" w:eastAsia="zh-TW" w:bidi="zh-TW"/>
        </w:rPr>
        <w:t>19</w:t>
      </w:r>
      <w:r>
        <w:rPr>
          <w:rFonts w:ascii="宋体" w:hAnsi="宋体" w:eastAsia="宋体" w:cs="宋体"/>
          <w:kern w:val="0"/>
          <w:szCs w:val="21"/>
          <w:lang w:val="zh-TW" w:eastAsia="zh-TW" w:bidi="zh-TW"/>
        </w:rPr>
        <w:t>世纪,边沁将大小私有者在经济活动中自发产生的功利标准泛推到伦理领域，把最大限度地追求个人利益的自私精神说成是最大多数人的最大幸福的途径。这是亚当•斯密经济学及其后继者的主要哲学方法。其实，休谟早先就批判过类似的观念，写道:“自私这个性质被渲染得太过火了，而且有些哲学家们所乐于尽情描写的人类的自私，就像我们在童话和小说中所遇到的任何有关妖怪的记载一样荒诞不经，与自然离得太远了。”</w:t>
      </w:r>
      <w:r>
        <w:rPr>
          <w:rFonts w:ascii="宋体" w:hAnsi="宋体" w:eastAsia="宋体" w:cs="宋体"/>
          <w:kern w:val="0"/>
          <w:szCs w:val="21"/>
          <w:vertAlign w:val="superscript"/>
          <w:lang w:val="zh-TW" w:eastAsia="zh-TW" w:bidi="zh-TW"/>
        </w:rPr>
        <w:footnoteReference w:id="287"/>
      </w:r>
    </w:p>
    <w:p w14:paraId="78C69E80">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其二理念同预设主义相吻合。现代科学哲学的预设主义认为，在科学发展中，存在某种预设的、超历史的、不变的、不可违背的方法、基本假设、推理原则和“元科学</w:t>
      </w:r>
      <w:r>
        <w:rPr>
          <w:rFonts w:ascii="宋体" w:hAnsi="宋体" w:eastAsia="宋体" w:cs="宋体"/>
          <w:kern w:val="0"/>
          <w:szCs w:val="21"/>
          <w:lang w:bidi="en-US"/>
        </w:rPr>
        <w:t>”</w:t>
      </w:r>
      <w:r>
        <w:rPr>
          <w:rFonts w:ascii="宋体" w:hAnsi="宋体" w:eastAsia="宋体" w:cs="宋体"/>
          <w:kern w:val="0"/>
          <w:szCs w:val="21"/>
          <w:lang w:val="zh-TW" w:eastAsia="zh-TW" w:bidi="zh-TW"/>
        </w:rPr>
        <w:t>概念。而“自私的经济人</w:t>
      </w:r>
      <w:r>
        <w:rPr>
          <w:rFonts w:ascii="宋体" w:hAnsi="宋体" w:eastAsia="宋体" w:cs="宋体"/>
          <w:kern w:val="0"/>
          <w:szCs w:val="21"/>
          <w:lang w:bidi="en-US"/>
        </w:rPr>
        <w:t>”</w:t>
      </w:r>
      <w:r>
        <w:rPr>
          <w:rFonts w:ascii="宋体" w:hAnsi="宋体" w:eastAsia="宋体" w:cs="宋体"/>
          <w:kern w:val="0"/>
          <w:szCs w:val="21"/>
          <w:lang w:val="zh-TW" w:eastAsia="zh-TW" w:bidi="zh-TW"/>
        </w:rPr>
        <w:t>理论恰恰强调，不管人在历史上和现实中是不是完全自私的，经济学必须以理性的“自私人</w:t>
      </w:r>
      <w:r>
        <w:rPr>
          <w:rFonts w:ascii="宋体" w:hAnsi="宋体" w:eastAsia="宋体" w:cs="宋体"/>
          <w:kern w:val="0"/>
          <w:szCs w:val="21"/>
          <w:lang w:bidi="en-US"/>
        </w:rPr>
        <w:t>”</w:t>
      </w:r>
      <w:r>
        <w:rPr>
          <w:rFonts w:ascii="宋体" w:hAnsi="宋体" w:eastAsia="宋体" w:cs="宋体"/>
          <w:kern w:val="0"/>
          <w:szCs w:val="21"/>
          <w:lang w:val="zh-TW" w:eastAsia="zh-TW" w:bidi="zh-TW"/>
        </w:rPr>
        <w:t>为不变的假设或预设，这是不可违背的分析方法和推理原则。被称之为经济哲学家的奥地利米塞斯在《经济学的认识论问题》一书中，就完全排斥经验的方法和历史的方法及实证主义方法，反对新康德主义者文德尔班和李凯尔特关于经济学是说明个别性的历史科学这一观点，而宣称经济学是以原子式个人主义为基础的规律化的先验理论,“先验的理论并不是来自经验”</w:t>
      </w:r>
      <w:r>
        <w:rPr>
          <w:rFonts w:ascii="宋体" w:hAnsi="宋体" w:eastAsia="宋体" w:cs="宋体"/>
          <w:kern w:val="0"/>
          <w:szCs w:val="21"/>
          <w:vertAlign w:val="superscript"/>
          <w:lang w:val="zh-TW" w:eastAsia="zh-TW" w:bidi="zh-TW"/>
        </w:rPr>
        <w:footnoteReference w:id="288"/>
      </w:r>
      <w:r>
        <w:rPr>
          <w:rFonts w:ascii="宋体" w:hAnsi="宋体" w:eastAsia="宋体" w:cs="宋体"/>
          <w:kern w:val="0"/>
          <w:szCs w:val="21"/>
          <w:lang w:val="zh-TW" w:eastAsia="zh-TW" w:bidi="zh-TW"/>
        </w:rPr>
        <w:t>。显然，这又沿袭了康德先验论的思维方法。</w:t>
      </w:r>
    </w:p>
    <w:p w14:paraId="1589F3A4">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其三理念充斥历史唯心论的精神</w:t>
      </w:r>
      <w:r>
        <w:rPr>
          <w:rFonts w:ascii="宋体" w:hAnsi="宋体" w:eastAsia="宋体" w:cs="宋体"/>
          <w:kern w:val="0"/>
          <w:szCs w:val="21"/>
          <w:lang w:val="zh-CN" w:bidi="zh-CN"/>
        </w:rPr>
        <w:t>。旧“</w:t>
      </w:r>
      <w:r>
        <w:rPr>
          <w:rFonts w:ascii="宋体" w:hAnsi="宋体" w:eastAsia="宋体" w:cs="宋体"/>
          <w:kern w:val="0"/>
          <w:szCs w:val="21"/>
          <w:lang w:val="zh-TW" w:eastAsia="zh-TW" w:bidi="zh-TW"/>
        </w:rPr>
        <w:t>经济人”理念视利己心为与生俱来和一成不变的东西，不分历史时点地把</w:t>
      </w:r>
      <w:r>
        <w:rPr>
          <w:rFonts w:ascii="宋体" w:hAnsi="宋体" w:eastAsia="宋体" w:cs="宋体"/>
          <w:kern w:val="0"/>
          <w:szCs w:val="21"/>
          <w:lang w:val="zh-CN" w:bidi="zh-CN"/>
        </w:rPr>
        <w:t>“自</w:t>
      </w:r>
      <w:r>
        <w:rPr>
          <w:rFonts w:ascii="宋体" w:hAnsi="宋体" w:eastAsia="宋体" w:cs="宋体"/>
          <w:kern w:val="0"/>
          <w:szCs w:val="21"/>
          <w:lang w:val="zh-TW" w:eastAsia="zh-TW" w:bidi="zh-TW"/>
        </w:rPr>
        <w:t>私人、抽象化、永恒化和绝对化，”无视特定的经济关系和经济制度对人的经济行为与经济心理的作用，这就有”意或无意地陷入了历史唯心主义的泥潭。连杜威也不赞同，他</w:t>
      </w:r>
      <w:r>
        <w:rPr>
          <w:rFonts w:ascii="宋体" w:hAnsi="宋体" w:eastAsia="宋体" w:cs="宋体"/>
          <w:kern w:val="0"/>
          <w:szCs w:val="21"/>
          <w:lang w:val="zh-CN" w:bidi="zh-CN"/>
        </w:rPr>
        <w:t>说：“</w:t>
      </w:r>
      <w:r>
        <w:rPr>
          <w:rFonts w:ascii="宋体" w:hAnsi="宋体" w:eastAsia="宋体" w:cs="宋体"/>
          <w:kern w:val="0"/>
          <w:szCs w:val="21"/>
          <w:lang w:val="zh-TW" w:eastAsia="zh-TW" w:bidi="zh-TW"/>
        </w:rPr>
        <w:t>事实上，经济制度与关系乃是人性中最以改变的表现方式。历史便是其变化幅度的活生生的证据。……如果人性是不可改变的，那么就不存在教育这类事情,我们从事教育的全部努力就注定会失败。”</w:t>
      </w:r>
      <w:r>
        <w:rPr>
          <w:rFonts w:ascii="宋体" w:hAnsi="宋体" w:eastAsia="宋体" w:cs="宋体"/>
          <w:kern w:val="0"/>
          <w:szCs w:val="21"/>
          <w:vertAlign w:val="superscript"/>
          <w:lang w:val="zh-TW" w:eastAsia="zh-TW" w:bidi="zh-TW"/>
        </w:rPr>
        <w:footnoteReference w:id="289"/>
      </w:r>
    </w:p>
    <w:p w14:paraId="6D1BA4DE">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其四理念渗透着形而上学的偏见。当代西方私有产权学派代表人物张五常曾经透彻地表达了主流经济学的信念:</w:t>
      </w:r>
      <w:r>
        <w:rPr>
          <w:rFonts w:ascii="宋体" w:hAnsi="宋体" w:eastAsia="宋体" w:cs="宋体"/>
          <w:kern w:val="0"/>
          <w:szCs w:val="21"/>
          <w:lang w:val="zh-CN" w:bidi="zh-CN"/>
        </w:rPr>
        <w:t>“经济</w:t>
      </w:r>
      <w:r>
        <w:rPr>
          <w:rFonts w:ascii="宋体" w:hAnsi="宋体" w:eastAsia="宋体" w:cs="宋体"/>
          <w:kern w:val="0"/>
          <w:szCs w:val="21"/>
          <w:lang w:val="zh-TW" w:eastAsia="zh-TW" w:bidi="zh-TW"/>
        </w:rPr>
        <w:t>学上最重要的基本假设是:每一个人无论何时何地，都会在局限约束条件下争取他个人最大利益。说得不雅一点，即每个人的行为都是一贯地、永远不变地，以自私为出发点。……在经济学的范畴内，任何行为都是这样看:捐钱、协助他人、上街行动等，都是以</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自私</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为出发点。”</w:t>
      </w:r>
      <w:r>
        <w:rPr>
          <w:rFonts w:ascii="宋体" w:hAnsi="宋体" w:eastAsia="宋体" w:cs="宋体"/>
          <w:kern w:val="0"/>
          <w:szCs w:val="21"/>
          <w:vertAlign w:val="superscript"/>
          <w:lang w:val="zh-TW" w:eastAsia="zh-TW" w:bidi="zh-TW"/>
        </w:rPr>
        <w:footnoteReference w:id="290"/>
      </w:r>
      <w:r>
        <w:rPr>
          <w:rFonts w:ascii="宋体" w:hAnsi="宋体" w:eastAsia="宋体" w:cs="宋体"/>
          <w:kern w:val="0"/>
          <w:szCs w:val="21"/>
          <w:lang w:val="zh-TW" w:eastAsia="zh-TW" w:bidi="zh-TW"/>
        </w:rPr>
        <w:t>略懂唯物辩证法的经济学家和哲学家，大概均不会首肯此类极端片面的、孤立的和静止的理性“自私人”观点。还是博兰在</w:t>
      </w:r>
      <w:r>
        <w:rPr>
          <w:rFonts w:ascii="宋体" w:hAnsi="宋体" w:eastAsia="宋体" w:cs="Times New Roman"/>
          <w:kern w:val="0"/>
          <w:szCs w:val="21"/>
          <w:lang w:val="zh-TW" w:eastAsia="zh-TW" w:bidi="zh-TW"/>
        </w:rPr>
        <w:t>1997</w:t>
      </w:r>
      <w:r>
        <w:rPr>
          <w:rFonts w:ascii="宋体" w:hAnsi="宋体" w:eastAsia="宋体" w:cs="宋体"/>
          <w:kern w:val="0"/>
          <w:szCs w:val="21"/>
          <w:lang w:val="zh-TW" w:eastAsia="zh-TW" w:bidi="zh-TW"/>
        </w:rPr>
        <w:t>年出版的《批判的经济学方法论》中写得对新古典经济学醉心于下述形而上学观点，即：每一位个别决策者都是理性的（至少在个人的行为能用理性的论据加以解释的程度上）。令人遗憾的是，当理性和个人主义联系在一起时，就会产生一种颇为机械的关于决策行为的观点——也就是个人被视为一台机器。”</w:t>
      </w:r>
      <w:r>
        <w:rPr>
          <w:rFonts w:ascii="宋体" w:hAnsi="宋体" w:eastAsia="宋体" w:cs="宋体"/>
          <w:kern w:val="0"/>
          <w:szCs w:val="21"/>
          <w:vertAlign w:val="superscript"/>
          <w:lang w:val="zh-TW" w:eastAsia="zh-TW" w:bidi="zh-TW"/>
        </w:rPr>
        <w:footnoteReference w:id="291"/>
      </w:r>
    </w:p>
    <w:p w14:paraId="51BEA781">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其五理念存有</w:t>
      </w:r>
      <w:r>
        <w:rPr>
          <w:rFonts w:ascii="宋体" w:hAnsi="宋体" w:eastAsia="宋体" w:cs="宋体"/>
          <w:kern w:val="0"/>
          <w:szCs w:val="21"/>
          <w:lang w:val="zh-CN" w:bidi="zh-CN"/>
        </w:rPr>
        <w:t>“经济</w:t>
      </w:r>
      <w:r>
        <w:rPr>
          <w:rFonts w:ascii="宋体" w:hAnsi="宋体" w:eastAsia="宋体" w:cs="宋体"/>
          <w:kern w:val="0"/>
          <w:szCs w:val="21"/>
          <w:lang w:val="zh-TW" w:eastAsia="zh-TW" w:bidi="zh-TW"/>
        </w:rPr>
        <w:t>一道德</w:t>
      </w:r>
      <w:r>
        <w:rPr>
          <w:rFonts w:ascii="宋体" w:hAnsi="宋体" w:eastAsia="宋体" w:cs="宋体"/>
          <w:kern w:val="0"/>
          <w:szCs w:val="21"/>
          <w:lang w:bidi="en-US"/>
        </w:rPr>
        <w:t>”</w:t>
      </w:r>
      <w:r>
        <w:rPr>
          <w:rFonts w:ascii="宋体" w:hAnsi="宋体" w:eastAsia="宋体" w:cs="宋体"/>
          <w:kern w:val="0"/>
          <w:szCs w:val="21"/>
          <w:lang w:val="zh-TW" w:eastAsia="zh-TW" w:bidi="zh-TW"/>
        </w:rPr>
        <w:t>二元悖论。斯密在《国民财富的性质及原</w:t>
      </w:r>
      <w:bookmarkStart w:id="958" w:name="bookmark31"/>
      <w:bookmarkEnd w:id="958"/>
      <w:r>
        <w:rPr>
          <w:rFonts w:ascii="宋体" w:hAnsi="宋体" w:eastAsia="宋体" w:cs="宋体"/>
          <w:kern w:val="0"/>
          <w:szCs w:val="21"/>
          <w:lang w:val="zh-TW" w:eastAsia="zh-TW" w:bidi="zh-TW"/>
        </w:rPr>
        <w:t>因的研究》中只确认经济领域的自私自利行为，而在《道德情操论》中，又确认道德领域的人可能有某些同情心和利他行为，这便形成一个</w:t>
      </w:r>
      <w:r>
        <w:rPr>
          <w:rFonts w:ascii="宋体" w:hAnsi="宋体" w:eastAsia="宋体" w:cs="宋体"/>
          <w:kern w:val="0"/>
          <w:szCs w:val="21"/>
          <w:lang w:val="zh-CN" w:bidi="zh-CN"/>
        </w:rPr>
        <w:t>“</w:t>
      </w:r>
      <w:r>
        <w:rPr>
          <w:rFonts w:ascii="宋体" w:hAnsi="宋体" w:eastAsia="宋体" w:cs="宋体"/>
          <w:kern w:val="0"/>
          <w:szCs w:val="21"/>
          <w:lang w:val="zh-TW" w:eastAsia="zh-TW" w:bidi="zh-TW"/>
        </w:rPr>
        <w:t>经济一道德</w:t>
      </w:r>
      <w:r>
        <w:rPr>
          <w:rFonts w:ascii="宋体" w:hAnsi="宋体" w:eastAsia="宋体" w:cs="宋体"/>
          <w:kern w:val="0"/>
          <w:szCs w:val="21"/>
          <w:lang w:bidi="en-US"/>
        </w:rPr>
        <w:t>”</w:t>
      </w:r>
      <w:r>
        <w:rPr>
          <w:rFonts w:ascii="宋体" w:hAnsi="宋体" w:eastAsia="宋体" w:cs="宋体"/>
          <w:kern w:val="0"/>
          <w:szCs w:val="21"/>
          <w:lang w:val="zh-TW" w:eastAsia="zh-TW" w:bidi="zh-TW"/>
        </w:rPr>
        <w:t>二元悖论。难道经济活动过程中没有道德和利他问题？完全和永恒的</w:t>
      </w:r>
      <w:r>
        <w:rPr>
          <w:rFonts w:ascii="宋体" w:hAnsi="宋体" w:eastAsia="宋体" w:cs="宋体"/>
          <w:kern w:val="0"/>
          <w:szCs w:val="21"/>
          <w:lang w:val="zh-CN" w:bidi="zh-CN"/>
        </w:rPr>
        <w:t>“自</w:t>
      </w:r>
      <w:r>
        <w:rPr>
          <w:rFonts w:ascii="宋体" w:hAnsi="宋体" w:eastAsia="宋体" w:cs="宋体"/>
          <w:kern w:val="0"/>
          <w:szCs w:val="21"/>
          <w:lang w:val="zh-TW" w:eastAsia="zh-TW" w:bidi="zh-TW"/>
        </w:rPr>
        <w:t>私人</w:t>
      </w:r>
      <w:r>
        <w:rPr>
          <w:rFonts w:ascii="宋体" w:hAnsi="宋体" w:eastAsia="宋体" w:cs="宋体"/>
          <w:kern w:val="0"/>
          <w:szCs w:val="21"/>
          <w:lang w:bidi="en-US"/>
        </w:rPr>
        <w:t>”</w:t>
      </w:r>
      <w:r>
        <w:rPr>
          <w:rFonts w:ascii="宋体" w:hAnsi="宋体" w:eastAsia="宋体" w:cs="宋体"/>
          <w:kern w:val="0"/>
          <w:szCs w:val="21"/>
          <w:lang w:val="zh-TW" w:eastAsia="zh-TW" w:bidi="zh-TW"/>
        </w:rPr>
        <w:t>与</w:t>
      </w:r>
      <w:r>
        <w:rPr>
          <w:rFonts w:ascii="宋体" w:hAnsi="宋体" w:eastAsia="宋体" w:cs="宋体"/>
          <w:kern w:val="0"/>
          <w:szCs w:val="21"/>
          <w:lang w:val="zh-CN" w:bidi="zh-CN"/>
        </w:rPr>
        <w:t>“</w:t>
      </w:r>
      <w:r>
        <w:rPr>
          <w:rFonts w:ascii="宋体" w:hAnsi="宋体" w:eastAsia="宋体" w:cs="宋体"/>
          <w:kern w:val="0"/>
          <w:szCs w:val="21"/>
          <w:lang w:val="zh-TW" w:eastAsia="zh-TW" w:bidi="zh-TW"/>
        </w:rPr>
        <w:t>道德人</w:t>
      </w:r>
      <w:r>
        <w:rPr>
          <w:rFonts w:ascii="宋体" w:hAnsi="宋体" w:eastAsia="宋体" w:cs="宋体"/>
          <w:kern w:val="0"/>
          <w:szCs w:val="21"/>
          <w:lang w:bidi="en-US"/>
        </w:rPr>
        <w:t>”</w:t>
      </w:r>
      <w:r>
        <w:rPr>
          <w:rFonts w:ascii="宋体" w:hAnsi="宋体" w:eastAsia="宋体" w:cs="宋体"/>
          <w:kern w:val="0"/>
          <w:szCs w:val="21"/>
          <w:lang w:val="zh-TW" w:eastAsia="zh-TW" w:bidi="zh-TW"/>
        </w:rPr>
        <w:t>或</w:t>
      </w:r>
      <w:r>
        <w:rPr>
          <w:rFonts w:ascii="宋体" w:hAnsi="宋体" w:eastAsia="宋体" w:cs="宋体"/>
          <w:kern w:val="0"/>
          <w:szCs w:val="21"/>
          <w:lang w:val="zh-CN" w:bidi="zh-CN"/>
        </w:rPr>
        <w:t>“</w:t>
      </w:r>
      <w:r>
        <w:rPr>
          <w:rFonts w:ascii="宋体" w:hAnsi="宋体" w:eastAsia="宋体" w:cs="宋体"/>
          <w:kern w:val="0"/>
          <w:szCs w:val="21"/>
          <w:lang w:val="zh-TW" w:eastAsia="zh-TW" w:bidi="zh-TW"/>
        </w:rPr>
        <w:t>利他人</w:t>
      </w:r>
      <w:r>
        <w:rPr>
          <w:rFonts w:ascii="宋体" w:hAnsi="宋体" w:eastAsia="宋体" w:cs="宋体"/>
          <w:kern w:val="0"/>
          <w:szCs w:val="21"/>
          <w:lang w:bidi="en-US"/>
        </w:rPr>
        <w:t>”</w:t>
      </w:r>
      <w:r>
        <w:rPr>
          <w:rFonts w:ascii="宋体" w:hAnsi="宋体" w:eastAsia="宋体" w:cs="宋体"/>
          <w:kern w:val="0"/>
          <w:szCs w:val="21"/>
          <w:lang w:val="zh-TW" w:eastAsia="zh-TW" w:bidi="zh-TW"/>
        </w:rPr>
        <w:t>行为如何协调？与西方一般经济学家因谈不清而不敢谈经济行为的道德问题不同，贝克尔撇开这一难题，承认在家庭和亲戚范围内有程度不一的利他行为，即</w:t>
      </w:r>
      <w:r>
        <w:rPr>
          <w:rFonts w:ascii="宋体" w:hAnsi="宋体" w:eastAsia="宋体" w:cs="宋体"/>
          <w:kern w:val="0"/>
          <w:szCs w:val="21"/>
          <w:lang w:val="zh-CN" w:bidi="zh-CN"/>
        </w:rPr>
        <w:t>主张“</w:t>
      </w:r>
      <w:r>
        <w:rPr>
          <w:rFonts w:ascii="宋体" w:hAnsi="宋体" w:eastAsia="宋体" w:cs="宋体"/>
          <w:kern w:val="0"/>
          <w:szCs w:val="21"/>
          <w:lang w:val="zh-TW" w:eastAsia="zh-TW" w:bidi="zh-TW"/>
        </w:rPr>
        <w:t>血亲利他主义”。但不管怎样,只要在经验或实践中存在利他行为（含家庭经济活动），完全的</w:t>
      </w:r>
      <w:r>
        <w:rPr>
          <w:rFonts w:ascii="宋体" w:hAnsi="宋体" w:eastAsia="宋体" w:cs="宋体"/>
          <w:kern w:val="0"/>
          <w:szCs w:val="21"/>
          <w:lang w:val="zh-CN" w:bidi="zh-CN"/>
        </w:rPr>
        <w:t>“</w:t>
      </w:r>
      <w:r>
        <w:rPr>
          <w:rFonts w:ascii="宋体" w:hAnsi="宋体" w:eastAsia="宋体" w:cs="宋体"/>
          <w:kern w:val="0"/>
          <w:szCs w:val="21"/>
          <w:lang w:val="zh-TW" w:eastAsia="zh-TW" w:bidi="zh-TW"/>
        </w:rPr>
        <w:t>天性利己主义”假说就被证”伪了。诚然，</w:t>
      </w:r>
      <w:r>
        <w:rPr>
          <w:rFonts w:ascii="宋体" w:hAnsi="宋体" w:eastAsia="宋体" w:cs="宋体"/>
          <w:kern w:val="0"/>
          <w:szCs w:val="21"/>
          <w:lang w:val="zh-CN" w:bidi="zh-CN"/>
        </w:rPr>
        <w:t>“</w:t>
      </w:r>
      <w:r>
        <w:rPr>
          <w:rFonts w:ascii="宋体" w:hAnsi="宋体" w:eastAsia="宋体" w:cs="宋体"/>
          <w:kern w:val="0"/>
          <w:szCs w:val="21"/>
          <w:lang w:val="zh-TW" w:eastAsia="zh-TW" w:bidi="zh-TW"/>
        </w:rPr>
        <w:t>血亲利他主义”也解不开</w:t>
      </w:r>
      <w:r>
        <w:rPr>
          <w:rFonts w:ascii="宋体" w:hAnsi="宋体" w:eastAsia="宋体" w:cs="宋体"/>
          <w:kern w:val="0"/>
          <w:szCs w:val="21"/>
          <w:lang w:val="zh-CN" w:bidi="zh-CN"/>
        </w:rPr>
        <w:t>“</w:t>
      </w:r>
      <w:r>
        <w:rPr>
          <w:rFonts w:ascii="宋体" w:hAnsi="宋体" w:eastAsia="宋体" w:cs="宋体"/>
          <w:kern w:val="0"/>
          <w:szCs w:val="21"/>
          <w:lang w:val="zh-TW" w:eastAsia="zh-TW" w:bidi="zh-TW"/>
        </w:rPr>
        <w:t>经济一道德</w:t>
      </w:r>
      <w:r>
        <w:rPr>
          <w:rFonts w:ascii="宋体" w:hAnsi="宋体" w:eastAsia="宋体" w:cs="宋体"/>
          <w:kern w:val="0"/>
          <w:szCs w:val="21"/>
          <w:lang w:bidi="en-US"/>
        </w:rPr>
        <w:t>”</w:t>
      </w:r>
      <w:r>
        <w:rPr>
          <w:rFonts w:ascii="宋体" w:hAnsi="宋体" w:eastAsia="宋体" w:cs="宋体"/>
          <w:kern w:val="0"/>
          <w:szCs w:val="21"/>
          <w:lang w:val="zh-TW" w:eastAsia="zh-TW" w:bidi="zh-TW"/>
        </w:rPr>
        <w:t>二元悖论的矛盾死结，因为它只是放宽了家庭这一领域的分析，非家庭的广大领域依然笼罩着“自私人”思维。</w:t>
      </w:r>
    </w:p>
    <w:p w14:paraId="34C05D13">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其六理念奉行唯理论的教条。西方主流经济学所说的理性，是指个人谋求自身私利的合理行为，因而</w:t>
      </w:r>
      <w:r>
        <w:rPr>
          <w:rFonts w:ascii="宋体" w:hAnsi="宋体" w:eastAsia="宋体" w:cs="宋体"/>
          <w:kern w:val="0"/>
          <w:szCs w:val="21"/>
          <w:lang w:val="zh-CN" w:bidi="zh-CN"/>
        </w:rPr>
        <w:t>“理性人”</w:t>
      </w:r>
      <w:r>
        <w:rPr>
          <w:rFonts w:ascii="宋体" w:hAnsi="宋体" w:eastAsia="宋体" w:cs="宋体"/>
          <w:kern w:val="0"/>
          <w:szCs w:val="21"/>
          <w:lang w:val="zh-TW" w:eastAsia="zh-TW" w:bidi="zh-TW"/>
        </w:rPr>
        <w:t>也就是</w:t>
      </w:r>
      <w:r>
        <w:rPr>
          <w:rFonts w:ascii="宋体" w:hAnsi="宋体" w:eastAsia="宋体" w:cs="宋体"/>
          <w:kern w:val="0"/>
          <w:szCs w:val="21"/>
          <w:lang w:val="zh-CN" w:bidi="zh-CN"/>
        </w:rPr>
        <w:t>“自</w:t>
      </w:r>
      <w:r>
        <w:rPr>
          <w:rFonts w:ascii="宋体" w:hAnsi="宋体" w:eastAsia="宋体" w:cs="宋体"/>
          <w:kern w:val="0"/>
          <w:szCs w:val="21"/>
          <w:lang w:val="zh-TW" w:eastAsia="zh-TW" w:bidi="zh-TW"/>
        </w:rPr>
        <w:t>私人”，甚至合称理性经济人在他们的视野里，人若不自私，那就属于非理性。这可称</w:t>
      </w:r>
      <w:r>
        <w:rPr>
          <w:rFonts w:ascii="宋体" w:hAnsi="宋体" w:eastAsia="宋体" w:cs="宋体"/>
          <w:kern w:val="0"/>
          <w:szCs w:val="21"/>
          <w:lang w:val="zh-CN" w:bidi="zh-CN"/>
        </w:rPr>
        <w:t>“自</w:t>
      </w:r>
      <w:r>
        <w:rPr>
          <w:rFonts w:ascii="宋体" w:hAnsi="宋体" w:eastAsia="宋体" w:cs="宋体"/>
          <w:kern w:val="0"/>
          <w:szCs w:val="21"/>
          <w:lang w:val="zh-TW" w:eastAsia="zh-TW" w:bidi="zh-TW"/>
        </w:rPr>
        <w:t>私拜物教”，是极端片面和夸大理性作用的观点。经验表明，自私不等于理性;某些自私行为属于非理性，如因故一时冲动而签订私人经济合同；某些理性行为属于利他，如有些匿名捐款。事实上，弗洛伊德主义及其心理实验也可印证，西蒙的“有限理性”假说比</w:t>
      </w:r>
      <w:r>
        <w:rPr>
          <w:rFonts w:ascii="宋体" w:hAnsi="宋体" w:eastAsia="宋体" w:cs="宋体"/>
          <w:kern w:val="0"/>
          <w:szCs w:val="21"/>
          <w:lang w:val="zh-CN" w:bidi="zh-CN"/>
        </w:rPr>
        <w:t>“完</w:t>
      </w:r>
      <w:r>
        <w:rPr>
          <w:rFonts w:ascii="宋体" w:hAnsi="宋体" w:eastAsia="宋体" w:cs="宋体"/>
          <w:kern w:val="0"/>
          <w:szCs w:val="21"/>
          <w:lang w:val="zh-TW" w:eastAsia="zh-TW" w:bidi="zh-TW"/>
        </w:rPr>
        <w:t>全理性”或</w:t>
      </w:r>
      <w:r>
        <w:rPr>
          <w:rFonts w:ascii="宋体" w:hAnsi="宋体" w:eastAsia="宋体" w:cs="宋体"/>
          <w:kern w:val="0"/>
          <w:szCs w:val="21"/>
          <w:lang w:val="zh-CN" w:bidi="zh-CN"/>
        </w:rPr>
        <w:t>“充分</w:t>
      </w:r>
      <w:r>
        <w:rPr>
          <w:rFonts w:ascii="宋体" w:hAnsi="宋体" w:eastAsia="宋体" w:cs="宋体"/>
          <w:kern w:val="0"/>
          <w:szCs w:val="21"/>
          <w:lang w:val="zh-TW" w:eastAsia="zh-TW" w:bidi="zh-TW"/>
        </w:rPr>
        <w:t>理性”假说要贴近现实。不过,“有限理性”假说仍是在旧“自私人”理论框架内的改良，没有本质上的创新，因为这一理论改良也无法</w:t>
      </w:r>
      <w:r>
        <w:rPr>
          <w:rFonts w:ascii="宋体" w:hAnsi="宋体" w:eastAsia="宋体" w:cs="宋体"/>
          <w:kern w:val="0"/>
          <w:szCs w:val="21"/>
          <w:lang w:val="zh-CN" w:bidi="zh-CN"/>
        </w:rPr>
        <w:t>阐明“</w:t>
      </w:r>
      <w:r>
        <w:rPr>
          <w:rFonts w:ascii="宋体" w:hAnsi="宋体" w:eastAsia="宋体" w:cs="宋体"/>
          <w:kern w:val="0"/>
          <w:szCs w:val="21"/>
          <w:lang w:val="zh-TW" w:eastAsia="zh-TW" w:bidi="zh-TW"/>
        </w:rPr>
        <w:t>抢银行是不是理性的”（博兰的问题），以及盗窃何害之有（张五常的主张）等逻辑怪题。</w:t>
      </w:r>
    </w:p>
    <w:p w14:paraId="79B8290E">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其七理念崇尚人类低级本能的意识。个人的本能或人类的本能是一切动物所共有的，是由生理决定的。而个人的本性或人类的本性则是由特定的社会环境所决定的</w:t>
      </w:r>
      <w:r>
        <w:rPr>
          <w:rFonts w:ascii="宋体" w:hAnsi="宋体" w:eastAsia="宋体" w:cs="宋体"/>
          <w:kern w:val="0"/>
          <w:szCs w:val="21"/>
          <w:lang w:val="zh-CN" w:bidi="zh-CN"/>
        </w:rPr>
        <w:t>。旧“</w:t>
      </w:r>
      <w:r>
        <w:rPr>
          <w:rFonts w:ascii="宋体" w:hAnsi="宋体" w:eastAsia="宋体" w:cs="宋体"/>
          <w:kern w:val="0"/>
          <w:szCs w:val="21"/>
          <w:lang w:val="zh-TW" w:eastAsia="zh-TW" w:bidi="zh-TW"/>
        </w:rPr>
        <w:t>自私人</w:t>
      </w:r>
      <w:r>
        <w:rPr>
          <w:rFonts w:ascii="宋体" w:hAnsi="宋体" w:eastAsia="宋体" w:cs="宋体"/>
          <w:kern w:val="0"/>
          <w:szCs w:val="21"/>
          <w:lang w:val="zh-CN" w:bidi="zh-CN"/>
        </w:rPr>
        <w:t>”</w:t>
      </w:r>
      <w:r>
        <w:rPr>
          <w:rFonts w:ascii="宋体" w:hAnsi="宋体" w:eastAsia="宋体" w:cs="宋体"/>
          <w:kern w:val="0"/>
          <w:szCs w:val="21"/>
          <w:lang w:val="zh-TW" w:eastAsia="zh-TW" w:bidi="zh-TW"/>
        </w:rPr>
        <w:t>理论却用个人的低级本能及其经济行为与经济心理替代人的多样化社会本性，形成思维的单一性和呆板性。美国凯里曾愤怒地指责:穆勒的</w:t>
      </w:r>
      <w:r>
        <w:rPr>
          <w:rFonts w:ascii="宋体" w:hAnsi="宋体" w:eastAsia="宋体" w:cs="宋体"/>
          <w:kern w:val="0"/>
          <w:szCs w:val="21"/>
          <w:lang w:bidi="en-US"/>
        </w:rPr>
        <w:t>“</w:t>
      </w:r>
      <w:r>
        <w:rPr>
          <w:rFonts w:ascii="宋体" w:hAnsi="宋体" w:eastAsia="宋体" w:cs="宋体"/>
          <w:kern w:val="0"/>
          <w:szCs w:val="21"/>
          <w:lang w:val="zh-TW" w:eastAsia="zh-TW" w:bidi="zh-TW"/>
        </w:rPr>
        <w:t>政治经济学的对象实际上不是人，而是受最盲目的情绪”驱策的想象的动物，他们的理论，讨论人性的最低级本能，却把人的最高尚利益看作是纯属干扰其理论体系的东西，因而是亵渎了大写的‘人</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字。”</w:t>
      </w:r>
      <w:r>
        <w:rPr>
          <w:rFonts w:ascii="宋体" w:hAnsi="宋体" w:eastAsia="宋体" w:cs="宋体"/>
          <w:kern w:val="0"/>
          <w:szCs w:val="21"/>
          <w:vertAlign w:val="superscript"/>
          <w:lang w:val="zh-TW" w:eastAsia="zh-TW" w:bidi="zh-TW"/>
        </w:rPr>
        <w:footnoteReference w:id="292"/>
      </w:r>
      <w:r>
        <w:rPr>
          <w:rFonts w:ascii="宋体" w:hAnsi="宋体" w:eastAsia="宋体" w:cs="宋体"/>
          <w:kern w:val="0"/>
          <w:szCs w:val="21"/>
          <w:lang w:val="zh-TW" w:eastAsia="zh-TW" w:bidi="zh-TW"/>
        </w:rPr>
        <w:t>曾是一名儿童教育者的哲学家波普尔指出，儿童本来是不喜欢暴力的，如果电影上播放危险的情景，他们就会闭上眼睛，但很快就被影响了，变得越来越想看到暴力，因为他们那种恐惧和反感已经被习惯所克制了。从波普尔的分析中可以推论出，人打人、人杀人或人吃人,都不是现代人的本性或真正理性。弗洛姆甚至把接纳倾向型、剥削倾向型、贮藏倾向型和市场倾向型的人格归于病态，而只把充分发挥自己的潜力，且不以损人利己来达到自己目的的生产倾向型人格，称作真正健康的人格。即使参照弗洛伊德关于</w:t>
      </w:r>
      <w:r>
        <w:rPr>
          <w:rFonts w:ascii="宋体" w:hAnsi="宋体" w:eastAsia="宋体" w:cs="宋体"/>
          <w:kern w:val="0"/>
          <w:szCs w:val="21"/>
          <w:lang w:val="zh-CN" w:bidi="zh-CN"/>
        </w:rPr>
        <w:t>“本我</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、“自我</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与</w:t>
      </w:r>
      <w:r>
        <w:rPr>
          <w:rFonts w:ascii="宋体" w:hAnsi="宋体" w:eastAsia="宋体" w:cs="宋体"/>
          <w:kern w:val="0"/>
          <w:szCs w:val="21"/>
          <w:lang w:val="zh-CN" w:bidi="zh-CN"/>
        </w:rPr>
        <w:t>“超</w:t>
      </w:r>
      <w:bookmarkStart w:id="959" w:name="bookmark36"/>
      <w:bookmarkEnd w:id="959"/>
      <w:r>
        <w:rPr>
          <w:rFonts w:ascii="宋体" w:hAnsi="宋体" w:eastAsia="宋体" w:cs="宋体"/>
          <w:kern w:val="0"/>
          <w:szCs w:val="21"/>
          <w:lang w:val="zh-TW" w:eastAsia="zh-TW" w:bidi="zh-TW"/>
        </w:rPr>
        <w:t>我</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的划分，也不能将天生的、原始的、本能的</w:t>
      </w:r>
      <w:r>
        <w:rPr>
          <w:rFonts w:ascii="宋体" w:hAnsi="宋体" w:eastAsia="宋体" w:cs="宋体"/>
          <w:kern w:val="0"/>
          <w:szCs w:val="21"/>
          <w:lang w:val="zh-CN" w:bidi="zh-CN"/>
        </w:rPr>
        <w:t>“本我</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等同于道德的、高级的、超个人的</w:t>
      </w:r>
      <w:r>
        <w:rPr>
          <w:rFonts w:ascii="宋体" w:hAnsi="宋体" w:eastAsia="宋体" w:cs="宋体"/>
          <w:kern w:val="0"/>
          <w:szCs w:val="21"/>
          <w:lang w:val="zh-CN" w:bidi="zh-CN"/>
        </w:rPr>
        <w:t>“超</w:t>
      </w:r>
      <w:r>
        <w:rPr>
          <w:rFonts w:ascii="宋体" w:hAnsi="宋体" w:eastAsia="宋体" w:cs="宋体"/>
          <w:kern w:val="0"/>
          <w:szCs w:val="21"/>
          <w:lang w:val="zh-TW" w:eastAsia="zh-TW" w:bidi="zh-TW"/>
        </w:rPr>
        <w:t>我</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，旧</w:t>
      </w:r>
      <w:r>
        <w:rPr>
          <w:rFonts w:ascii="宋体" w:hAnsi="宋体" w:eastAsia="宋体" w:cs="宋体"/>
          <w:kern w:val="0"/>
          <w:szCs w:val="21"/>
          <w:lang w:val="zh-CN" w:bidi="zh-CN"/>
        </w:rPr>
        <w:t>“自</w:t>
      </w:r>
      <w:r>
        <w:rPr>
          <w:rFonts w:ascii="宋体" w:hAnsi="宋体" w:eastAsia="宋体" w:cs="宋体"/>
          <w:kern w:val="0"/>
          <w:szCs w:val="21"/>
          <w:lang w:val="zh-TW" w:eastAsia="zh-TW" w:bidi="zh-TW"/>
        </w:rPr>
        <w:t>私人</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理念只相当于</w:t>
      </w:r>
      <w:r>
        <w:rPr>
          <w:rFonts w:ascii="宋体" w:hAnsi="宋体" w:eastAsia="宋体" w:cs="宋体"/>
          <w:kern w:val="0"/>
          <w:szCs w:val="21"/>
          <w:lang w:val="zh-CN" w:bidi="zh-CN"/>
        </w:rPr>
        <w:t>“本我</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层次和根据一般现实原则行事的理性“自我</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层次。</w:t>
      </w:r>
    </w:p>
    <w:p w14:paraId="4D15CB0A">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其八理念局限于</w:t>
      </w:r>
      <w:r>
        <w:rPr>
          <w:rFonts w:ascii="宋体" w:hAnsi="宋体" w:eastAsia="宋体" w:cs="宋体"/>
          <w:kern w:val="0"/>
          <w:szCs w:val="21"/>
          <w:lang w:val="zh-CN" w:bidi="zh-CN"/>
        </w:rPr>
        <w:t>“店老</w:t>
      </w:r>
      <w:r>
        <w:rPr>
          <w:rFonts w:ascii="宋体" w:hAnsi="宋体" w:eastAsia="宋体" w:cs="宋体"/>
          <w:kern w:val="0"/>
          <w:szCs w:val="21"/>
          <w:lang w:val="zh-TW" w:eastAsia="zh-TW" w:bidi="zh-TW"/>
        </w:rPr>
        <w:t>板”的狭隘思维和人性异化心理。在近代，过分强调个人主义的经济和哲学思想具有反封建和反禁欲的积极效应，但属于资产阶级缺乏学术严谨性的意识之一。德国历史学派李斯特在抨击斯密</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济人”的人性假设及其理论体系时就尖锐地指出：“这个学说是以店老板的观点来考虑一切问题的，完全否认了国家和国家利益的存在，一切都要听任个人安排，利己性格抬高到一切效力的创造者的地位</w:t>
      </w:r>
      <w:r>
        <w:rPr>
          <w:rFonts w:ascii="宋体" w:hAnsi="宋体" w:eastAsia="宋体" w:cs="宋体"/>
          <w:kern w:val="0"/>
          <w:szCs w:val="21"/>
          <w:lang w:val="zh-TW" w:bidi="zh-TW"/>
        </w:rPr>
        <w:t>”</w:t>
      </w:r>
      <w:r>
        <w:rPr>
          <w:rFonts w:ascii="宋体" w:hAnsi="宋体" w:eastAsia="宋体" w:cs="宋体"/>
          <w:kern w:val="0"/>
          <w:szCs w:val="21"/>
          <w:lang w:val="zh-TW" w:eastAsia="zh-TW" w:bidi="zh-TW"/>
        </w:rPr>
        <w:t>。</w:t>
      </w:r>
      <w:r>
        <w:rPr>
          <w:rFonts w:ascii="宋体" w:hAnsi="宋体" w:eastAsia="宋体" w:cs="宋体"/>
          <w:kern w:val="0"/>
          <w:szCs w:val="21"/>
          <w:vertAlign w:val="superscript"/>
          <w:lang w:val="zh-TW" w:eastAsia="zh-TW" w:bidi="zh-TW"/>
        </w:rPr>
        <w:footnoteReference w:id="293"/>
      </w:r>
      <w:r>
        <w:rPr>
          <w:rFonts w:ascii="宋体" w:hAnsi="宋体" w:eastAsia="宋体" w:cs="宋体"/>
          <w:kern w:val="0"/>
          <w:szCs w:val="21"/>
          <w:lang w:val="zh-TW" w:eastAsia="zh-TW" w:bidi="zh-TW"/>
        </w:rPr>
        <w:t>该学派认为，客观存在三种现实人的行为：一是在私人的经济中，一切以个人利益为转移；二是在强制的公有经济中，以社会全体利益为行动准则；三是在以慈善福利为目的的经济中，主要以伦理道德为行动规范。历史学派的这一经济哲学的思维逻辑有着深邃的意义。在马尔库塞和弗洛姆的理念里，人性异化是自有人类社会以来就存在的现象，只是在当代资本主义社会中变得更加突出和严重,并充分表现在生产和消费等各个方面。实际上，“店老板</w:t>
      </w:r>
      <w:r>
        <w:rPr>
          <w:rFonts w:ascii="宋体" w:hAnsi="宋体" w:eastAsia="宋体" w:cs="宋体"/>
          <w:kern w:val="0"/>
          <w:szCs w:val="21"/>
          <w:lang w:val="zh-TW" w:bidi="zh-TW"/>
        </w:rPr>
        <w:t>”</w:t>
      </w:r>
      <w:r>
        <w:rPr>
          <w:rFonts w:ascii="宋体" w:hAnsi="宋体" w:eastAsia="宋体" w:cs="宋体"/>
          <w:kern w:val="0"/>
          <w:szCs w:val="21"/>
          <w:lang w:val="zh-TW" w:eastAsia="zh-TW" w:bidi="zh-TW"/>
        </w:rPr>
        <w:t>的心理就是人性异化心理的重要反映，而不管西方</w:t>
      </w:r>
      <w:r>
        <w:rPr>
          <w:rFonts w:ascii="宋体" w:hAnsi="宋体" w:eastAsia="宋体" w:cs="宋体"/>
          <w:kern w:val="0"/>
          <w:szCs w:val="21"/>
          <w:lang w:val="zh-CN" w:bidi="zh-CN"/>
        </w:rPr>
        <w:t>“自</w:t>
      </w:r>
      <w:r>
        <w:rPr>
          <w:rFonts w:ascii="宋体" w:hAnsi="宋体" w:eastAsia="宋体" w:cs="宋体"/>
          <w:kern w:val="0"/>
          <w:szCs w:val="21"/>
          <w:lang w:val="zh-TW" w:eastAsia="zh-TW" w:bidi="zh-TW"/>
        </w:rPr>
        <w:t>私人</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理论披上多么豪华的数学理性的外衣，也掩饰不了其经济哲学思想的某种阶级和社会的印记。</w:t>
      </w:r>
    </w:p>
    <w:p w14:paraId="6152675C">
      <w:pPr>
        <w:snapToGrid w:val="0"/>
        <w:spacing w:before="147" w:beforeLines="50" w:after="147" w:afterLines="50" w:line="300" w:lineRule="auto"/>
        <w:ind w:firstLine="500" w:firstLineChars="200"/>
        <w:jc w:val="center"/>
        <w:rPr>
          <w:rFonts w:ascii="宋体" w:hAnsi="宋体" w:eastAsia="宋体" w:cs="Times New Roman"/>
          <w:b/>
          <w:bCs/>
          <w:sz w:val="24"/>
        </w:rPr>
      </w:pPr>
      <w:bookmarkStart w:id="960" w:name="bookmark39"/>
      <w:bookmarkStart w:id="961" w:name="bookmark38"/>
      <w:bookmarkStart w:id="962" w:name="bookmark37"/>
      <w:r>
        <w:rPr>
          <w:rFonts w:ascii="宋体" w:hAnsi="宋体" w:eastAsia="宋体" w:cs="Times New Roman"/>
          <w:b/>
          <w:bCs/>
          <w:sz w:val="24"/>
        </w:rPr>
        <w:t>五、新“经济人”假说和理论</w:t>
      </w:r>
      <w:bookmarkEnd w:id="960"/>
      <w:bookmarkEnd w:id="961"/>
      <w:bookmarkEnd w:id="962"/>
    </w:p>
    <w:p w14:paraId="51F7EBD4">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在构建新</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说和理论之前，我们先来看看马克思的相关论述。马克思丝毫不否认资本主义社会各种人性的客观存在。他把人看成是特定经济关系和经济利益的承担者，说:“我绝不用玫瑰色描绘资本家和地主的面貌。不过这里涉及的人，只是经济范畴的人格化，是一定的阶级关系和利益的承担者。”</w:t>
      </w:r>
      <w:r>
        <w:rPr>
          <w:rFonts w:ascii="宋体" w:hAnsi="宋体" w:eastAsia="宋体" w:cs="宋体"/>
          <w:kern w:val="0"/>
          <w:szCs w:val="21"/>
          <w:vertAlign w:val="superscript"/>
          <w:lang w:val="zh-TW" w:eastAsia="zh-TW" w:bidi="zh-TW"/>
        </w:rPr>
        <w:footnoteReference w:id="294"/>
      </w:r>
      <w:r>
        <w:rPr>
          <w:rFonts w:ascii="宋体" w:hAnsi="宋体" w:eastAsia="宋体" w:cs="宋体"/>
          <w:kern w:val="0"/>
          <w:szCs w:val="21"/>
          <w:lang w:val="zh-TW" w:eastAsia="zh-TW" w:bidi="zh-TW"/>
        </w:rPr>
        <w:t>他正确地指出了资本家在经济活动中的本性:“作为资本家，他只是人格化的资本。他的灵魂就是资本的灵魂。而资本只有一种生活本能，这就是增殖自身，获取剩余价值。</w:t>
      </w:r>
      <w:r>
        <w:rPr>
          <w:rFonts w:ascii="宋体" w:hAnsi="宋体" w:eastAsia="宋体" w:cs="宋体"/>
          <w:kern w:val="0"/>
          <w:szCs w:val="21"/>
          <w:lang w:val="zh-CN" w:bidi="zh-CN"/>
        </w:rPr>
        <w:t>价</w:t>
      </w:r>
      <w:r>
        <w:rPr>
          <w:rFonts w:ascii="宋体" w:hAnsi="宋体" w:eastAsia="宋体" w:cs="宋体"/>
          <w:kern w:val="0"/>
          <w:szCs w:val="21"/>
          <w:lang w:val="zh-TW" w:eastAsia="zh-TW" w:bidi="zh-TW"/>
        </w:rPr>
        <w:t>值增殖一是他的主观目的；只有在越来越多地占有抽象财富成为他的活动的唯一动机时，他才作为资本家或作为人格化的、有意志和意识的资本执行职能。”</w:t>
      </w:r>
      <w:r>
        <w:rPr>
          <w:rFonts w:ascii="宋体" w:hAnsi="宋体" w:eastAsia="宋体" w:cs="宋体"/>
          <w:kern w:val="0"/>
          <w:szCs w:val="21"/>
          <w:vertAlign w:val="superscript"/>
          <w:lang w:val="zh-TW" w:eastAsia="zh-TW" w:bidi="zh-TW"/>
        </w:rPr>
        <w:footnoteReference w:id="295"/>
      </w:r>
      <w:r>
        <w:rPr>
          <w:rFonts w:ascii="宋体" w:hAnsi="宋体" w:eastAsia="宋体" w:cs="宋体"/>
          <w:kern w:val="0"/>
          <w:szCs w:val="21"/>
          <w:lang w:val="zh-TW" w:eastAsia="zh-TW" w:bidi="zh-TW"/>
        </w:rPr>
        <w:t>可见，马克思认为作为</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济人”的资本家,是用最小的预付资本占有最大的剩余价值，至于被雇佣者的经济状况和使用价值，只有不与追求长期剩余价值极大化的</w:t>
      </w:r>
      <w:r>
        <w:rPr>
          <w:rFonts w:ascii="宋体" w:hAnsi="宋体" w:eastAsia="宋体" w:cs="宋体"/>
          <w:kern w:val="0"/>
          <w:szCs w:val="21"/>
          <w:lang w:val="zh-CN" w:bidi="zh-CN"/>
        </w:rPr>
        <w:t>“</w:t>
      </w:r>
      <w:r>
        <w:rPr>
          <w:rFonts w:ascii="宋体" w:hAnsi="宋体" w:eastAsia="宋体" w:cs="宋体"/>
          <w:kern w:val="0"/>
          <w:szCs w:val="21"/>
          <w:lang w:val="zh-TW" w:eastAsia="zh-TW" w:bidi="zh-TW"/>
        </w:rPr>
        <w:t>自私人</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目标相悖时，才予以考虑。另外，马克思论及工资和工作日问题时阐述的</w:t>
      </w:r>
      <w:r>
        <w:rPr>
          <w:rFonts w:ascii="宋体" w:hAnsi="宋体" w:eastAsia="宋体" w:cs="宋体"/>
          <w:kern w:val="0"/>
          <w:szCs w:val="21"/>
          <w:lang w:val="zh-CN" w:bidi="zh-CN"/>
        </w:rPr>
        <w:t>“</w:t>
      </w:r>
      <w:r>
        <w:rPr>
          <w:rFonts w:ascii="宋体" w:hAnsi="宋体" w:eastAsia="宋体" w:cs="宋体"/>
          <w:kern w:val="0"/>
          <w:szCs w:val="21"/>
          <w:lang w:val="zh-TW" w:eastAsia="zh-TW" w:bidi="zh-TW"/>
        </w:rPr>
        <w:t>二律背反</w:t>
      </w:r>
      <w:r>
        <w:rPr>
          <w:rFonts w:ascii="宋体" w:hAnsi="宋体" w:eastAsia="PMingLiU" w:cs="宋体"/>
          <w:kern w:val="0"/>
          <w:szCs w:val="21"/>
          <w:lang w:val="zh-TW" w:eastAsia="zh-TW" w:bidi="zh-TW"/>
        </w:rPr>
        <w:t>”</w:t>
      </w:r>
      <w:r>
        <w:rPr>
          <w:rFonts w:ascii="宋体" w:hAnsi="宋体" w:eastAsia="宋体" w:cs="宋体"/>
          <w:kern w:val="0"/>
          <w:szCs w:val="21"/>
          <w:lang w:val="zh-TW" w:eastAsia="zh-TW" w:bidi="zh-TW"/>
        </w:rPr>
        <w:t>现象，实质上也就是资本家与雇佣工人同时作为</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济人”所形成的矛盾冲突。籍此,英国出</w:t>
      </w:r>
      <w:bookmarkStart w:id="963" w:name="bookmark40"/>
      <w:bookmarkEnd w:id="963"/>
      <w:r>
        <w:rPr>
          <w:rFonts w:ascii="宋体" w:hAnsi="宋体" w:eastAsia="宋体" w:cs="宋体"/>
          <w:kern w:val="0"/>
          <w:szCs w:val="21"/>
          <w:lang w:val="zh-TW" w:eastAsia="zh-TW" w:bidi="zh-TW"/>
        </w:rPr>
        <w:t>版的《新帕尔格雷夫经济学辞典</w:t>
      </w:r>
      <w:r>
        <w:rPr>
          <w:rFonts w:ascii="宋体" w:hAnsi="宋体" w:eastAsia="宋体" w:cs="Times New Roman"/>
          <w:kern w:val="0"/>
          <w:szCs w:val="21"/>
          <w:lang w:bidi="en-US"/>
        </w:rPr>
        <w:t>X1989</w:t>
      </w:r>
      <w:r>
        <w:rPr>
          <w:rFonts w:ascii="宋体" w:hAnsi="宋体" w:eastAsia="宋体" w:cs="宋体"/>
          <w:kern w:val="0"/>
          <w:szCs w:val="21"/>
          <w:lang w:val="zh-TW" w:eastAsia="zh-TW" w:bidi="zh-TW"/>
        </w:rPr>
        <w:t>年）在</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济人”条目中，也确认马克思的理性模型。</w:t>
      </w:r>
    </w:p>
    <w:p w14:paraId="07EAF0AD">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毋庸置疑</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济人”假设对于经济学分析是非常必要的。它描述人们总是在既定的约束下选择和追求最有利于主体自身的经济方案，即寻求利益极大化。但是，在具体运用</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济人”假设进行科学分析时，我们不应忽视下列重要观点：</w:t>
      </w:r>
    </w:p>
    <w:p w14:paraId="6E022BBE">
      <w:pPr>
        <w:tabs>
          <w:tab w:val="left" w:pos="970"/>
        </w:tabs>
        <w:spacing w:line="400" w:lineRule="exact"/>
        <w:ind w:firstLine="440" w:firstLineChars="200"/>
        <w:rPr>
          <w:rFonts w:ascii="宋体" w:hAnsi="宋体" w:eastAsia="宋体" w:cs="宋体"/>
          <w:kern w:val="0"/>
          <w:szCs w:val="21"/>
          <w:lang w:val="zh-TW" w:eastAsia="zh-TW" w:bidi="zh-TW"/>
        </w:rPr>
      </w:pPr>
      <w:bookmarkStart w:id="964" w:name="bookmark43"/>
      <w:r>
        <w:rPr>
          <w:rFonts w:ascii="宋体" w:hAnsi="宋体" w:eastAsia="宋体" w:cs="宋体"/>
          <w:kern w:val="0"/>
          <w:szCs w:val="21"/>
          <w:lang w:val="zh-TW" w:eastAsia="zh-TW" w:bidi="zh-TW"/>
        </w:rPr>
        <w:t>（</w:t>
      </w:r>
      <w:bookmarkEnd w:id="964"/>
      <w:r>
        <w:rPr>
          <w:rFonts w:ascii="宋体" w:hAnsi="宋体" w:eastAsia="宋体" w:cs="宋体"/>
          <w:kern w:val="0"/>
          <w:szCs w:val="21"/>
          <w:lang w:val="zh-TW" w:eastAsia="zh-TW" w:bidi="zh-TW"/>
        </w:rPr>
        <w:t>一）</w:t>
      </w:r>
      <w:r>
        <w:rPr>
          <w:rFonts w:ascii="宋体" w:hAnsi="宋体" w:eastAsia="宋体" w:cs="宋体"/>
          <w:kern w:val="0"/>
          <w:szCs w:val="21"/>
          <w:lang w:val="zh-TW" w:eastAsia="zh-TW" w:bidi="zh-TW"/>
        </w:rPr>
        <w:tab/>
      </w:r>
      <w:r>
        <w:rPr>
          <w:rFonts w:ascii="宋体" w:hAnsi="宋体" w:eastAsia="宋体" w:cs="宋体"/>
          <w:kern w:val="0"/>
          <w:szCs w:val="21"/>
          <w:lang w:val="zh-TW" w:eastAsia="zh-TW" w:bidi="zh-TW"/>
        </w:rPr>
        <w:t>“经济人</w:t>
      </w:r>
      <w:r>
        <w:rPr>
          <w:rFonts w:ascii="宋体" w:hAnsi="宋体" w:eastAsia="宋体" w:cs="宋体"/>
          <w:kern w:val="0"/>
          <w:szCs w:val="21"/>
          <w:lang w:val="zh-CN" w:bidi="zh-CN"/>
        </w:rPr>
        <w:t>”假设</w:t>
      </w:r>
      <w:r>
        <w:rPr>
          <w:rFonts w:ascii="宋体" w:hAnsi="宋体" w:eastAsia="宋体" w:cs="宋体"/>
          <w:kern w:val="0"/>
          <w:szCs w:val="21"/>
          <w:lang w:val="zh-TW" w:eastAsia="zh-TW" w:bidi="zh-TW"/>
        </w:rPr>
        <w:t>中的人性观应建立在辩证唯物论的基点上</w:t>
      </w:r>
    </w:p>
    <w:p w14:paraId="78EE3FA6">
      <w:pPr>
        <w:spacing w:line="400" w:lineRule="exact"/>
        <w:ind w:firstLine="440" w:firstLineChars="200"/>
        <w:rPr>
          <w:rFonts w:ascii="宋体" w:hAnsi="宋体" w:eastAsia="PMingLiU" w:cs="宋体"/>
          <w:kern w:val="0"/>
          <w:szCs w:val="21"/>
          <w:lang w:val="zh-TW" w:eastAsia="zh-TW" w:bidi="zh-TW"/>
        </w:rPr>
      </w:pPr>
      <w:r>
        <w:rPr>
          <w:rFonts w:ascii="宋体" w:hAnsi="宋体" w:eastAsia="宋体" w:cs="宋体"/>
          <w:kern w:val="0"/>
          <w:szCs w:val="21"/>
          <w:lang w:val="zh-TW" w:eastAsia="zh-TW" w:bidi="zh-TW"/>
        </w:rPr>
        <w:t>斯密在《道德情操论》主张人性既不是完全利他，也不是完全利己，利己心和利他心都是人性中自然存在的不同侧面。但他没有将这一论点推广到经济学分析中,《国民财富的性质及成因的研究》仅以利己心为出发点来研究人类经济行为。这表明其理论的不彻底性和局限性。如果把本来有缺陷的理论再推向极端，视利己心为与生俱来和一成不变的东西，进而不分环境和时点，把</w:t>
      </w:r>
      <w:r>
        <w:rPr>
          <w:rFonts w:ascii="宋体" w:hAnsi="宋体" w:eastAsia="宋体" w:cs="宋体"/>
          <w:kern w:val="0"/>
          <w:szCs w:val="21"/>
          <w:lang w:val="zh-CN" w:bidi="zh-CN"/>
        </w:rPr>
        <w:t>“自</w:t>
      </w:r>
      <w:r>
        <w:rPr>
          <w:rFonts w:ascii="宋体" w:hAnsi="宋体" w:eastAsia="宋体" w:cs="宋体"/>
          <w:kern w:val="0"/>
          <w:szCs w:val="21"/>
          <w:lang w:val="zh-TW" w:eastAsia="zh-TW" w:bidi="zh-TW"/>
        </w:rPr>
        <w:t>私人”绝对化、永恒化和一般化，那么，就有意无意地陷入了历史唯心主义的泥潭。实际上，是一定的经济关系和经济环境规定了经济活动中人的本性或本质，而不是相反。已有经济学家揭示出：作为一个具有完整性和延续性的经济行为主体，其目标函数一般由三种子目标变量构成：第一种是独立自利变量，它的取值与其他人的利益无关（零相关），用</w:t>
      </w:r>
      <w:r>
        <w:rPr>
          <w:rFonts w:ascii="宋体" w:hAnsi="宋体" w:eastAsia="宋体" w:cs="Times New Roman"/>
          <w:kern w:val="0"/>
          <w:szCs w:val="21"/>
          <w:lang w:val="zh-TW" w:eastAsia="zh-TW" w:bidi="zh-TW"/>
        </w:rPr>
        <w:t>IX</w:t>
      </w:r>
      <w:r>
        <w:rPr>
          <w:rFonts w:ascii="宋体" w:hAnsi="宋体" w:eastAsia="宋体" w:cs="宋体"/>
          <w:kern w:val="0"/>
          <w:szCs w:val="21"/>
          <w:lang w:val="zh-TW" w:eastAsia="zh-TW" w:bidi="zh-TW"/>
        </w:rPr>
        <w:t>表示；第二种是利他收益变量，它的取值与他人利益正相关，用</w:t>
      </w:r>
      <w:r>
        <w:rPr>
          <w:rFonts w:ascii="宋体" w:hAnsi="宋体" w:eastAsia="宋体" w:cs="Times New Roman"/>
          <w:kern w:val="0"/>
          <w:szCs w:val="21"/>
          <w:lang w:bidi="en-US"/>
        </w:rPr>
        <w:t>HX</w:t>
      </w:r>
      <w:r>
        <w:rPr>
          <w:rFonts w:ascii="宋体" w:hAnsi="宋体" w:eastAsia="宋体" w:cs="宋体"/>
          <w:kern w:val="0"/>
          <w:szCs w:val="21"/>
          <w:lang w:val="zh-TW" w:eastAsia="zh-TW" w:bidi="zh-TW"/>
        </w:rPr>
        <w:t>表示；第三种是损人利己变量，它的取值与他人利益负相关，用</w:t>
      </w:r>
      <w:r>
        <w:rPr>
          <w:rFonts w:ascii="宋体" w:hAnsi="宋体" w:eastAsia="宋体" w:cs="Times New Roman"/>
          <w:kern w:val="0"/>
          <w:szCs w:val="21"/>
          <w:lang w:bidi="en-US"/>
        </w:rPr>
        <w:t>DX</w:t>
      </w:r>
      <w:r>
        <w:rPr>
          <w:rFonts w:ascii="宋体" w:hAnsi="宋体" w:eastAsia="宋体" w:cs="宋体"/>
          <w:kern w:val="0"/>
          <w:szCs w:val="21"/>
          <w:lang w:val="zh-TW" w:eastAsia="zh-TW" w:bidi="zh-TW"/>
        </w:rPr>
        <w:t>表示。用</w:t>
      </w:r>
      <w:r>
        <w:rPr>
          <w:rFonts w:ascii="宋体" w:hAnsi="宋体" w:eastAsia="宋体" w:cs="Times New Roman"/>
          <w:kern w:val="0"/>
          <w:szCs w:val="21"/>
          <w:lang w:bidi="en-US"/>
        </w:rPr>
        <w:t>Y</w:t>
      </w:r>
      <w:r>
        <w:rPr>
          <w:rFonts w:ascii="宋体" w:hAnsi="宋体" w:eastAsia="宋体" w:cs="宋体"/>
          <w:kern w:val="0"/>
          <w:szCs w:val="21"/>
          <w:lang w:val="zh-TW" w:eastAsia="zh-TW" w:bidi="zh-TW"/>
        </w:rPr>
        <w:t>表示的经济人总利益的目标函数为:</w:t>
      </w:r>
      <w:r>
        <w:rPr>
          <w:rFonts w:ascii="宋体" w:hAnsi="宋体" w:eastAsia="宋体" w:cs="Times New Roman"/>
          <w:kern w:val="0"/>
          <w:szCs w:val="21"/>
          <w:lang w:bidi="en-US"/>
        </w:rPr>
        <w:t>MAXY=F（IX,HX,DX）</w:t>
      </w:r>
      <w:r>
        <w:rPr>
          <w:rFonts w:ascii="宋体" w:hAnsi="宋体" w:eastAsia="宋体" w:cs="宋体"/>
          <w:kern w:val="0"/>
          <w:szCs w:val="21"/>
          <w:lang w:bidi="en-US"/>
        </w:rPr>
        <w:t>。</w:t>
      </w:r>
      <w:r>
        <w:rPr>
          <w:rFonts w:ascii="宋体" w:hAnsi="宋体" w:eastAsia="宋体" w:cs="宋体"/>
          <w:kern w:val="0"/>
          <w:szCs w:val="21"/>
          <w:lang w:val="zh-TW" w:eastAsia="zh-TW" w:bidi="zh-TW"/>
        </w:rPr>
        <w:t>三种变量的具体取值大小及在总目标中的权重如何，经济人以何种行为方式追求利益最大化，每个人在不同的时空场合会有很大的差别。这主要取决于制度环境和社会约束程度。当然，还有受大环境影响的个人偏好结构和个体素质差异方面的原因。</w:t>
      </w:r>
    </w:p>
    <w:p w14:paraId="6C36DF77">
      <w:pPr>
        <w:tabs>
          <w:tab w:val="left" w:pos="970"/>
        </w:tabs>
        <w:spacing w:line="400" w:lineRule="exact"/>
        <w:ind w:firstLine="440" w:firstLineChars="200"/>
        <w:rPr>
          <w:rFonts w:ascii="宋体" w:hAnsi="宋体" w:eastAsia="宋体" w:cs="宋体"/>
          <w:kern w:val="0"/>
          <w:szCs w:val="21"/>
          <w:lang w:val="zh-TW" w:eastAsia="zh-TW" w:bidi="zh-TW"/>
        </w:rPr>
      </w:pPr>
      <w:bookmarkStart w:id="965" w:name="bookmark44"/>
      <w:r>
        <w:rPr>
          <w:rFonts w:ascii="宋体" w:hAnsi="宋体" w:eastAsia="宋体" w:cs="宋体"/>
          <w:kern w:val="0"/>
          <w:szCs w:val="21"/>
          <w:lang w:val="zh-TW" w:eastAsia="zh-TW" w:bidi="zh-TW"/>
        </w:rPr>
        <w:t>（</w:t>
      </w:r>
      <w:bookmarkEnd w:id="965"/>
      <w:r>
        <w:rPr>
          <w:rFonts w:ascii="宋体" w:hAnsi="宋体" w:eastAsia="宋体" w:cs="宋体"/>
          <w:kern w:val="0"/>
          <w:szCs w:val="21"/>
          <w:lang w:val="zh-TW" w:eastAsia="zh-TW" w:bidi="zh-TW"/>
        </w:rPr>
        <w:t>二）</w:t>
      </w:r>
      <w:r>
        <w:rPr>
          <w:rFonts w:ascii="宋体" w:hAnsi="宋体" w:eastAsia="宋体" w:cs="宋体"/>
          <w:kern w:val="0"/>
          <w:szCs w:val="21"/>
          <w:lang w:val="zh-TW" w:eastAsia="zh-TW" w:bidi="zh-TW"/>
        </w:rPr>
        <w:tab/>
      </w:r>
      <w:r>
        <w:rPr>
          <w:rFonts w:ascii="宋体" w:hAnsi="宋体" w:eastAsia="宋体" w:cs="宋体"/>
          <w:kern w:val="0"/>
          <w:szCs w:val="21"/>
          <w:lang w:val="zh-TW" w:eastAsia="zh-TW" w:bidi="zh-TW"/>
        </w:rPr>
        <w:t>不能用</w:t>
      </w:r>
      <w:r>
        <w:rPr>
          <w:rFonts w:ascii="宋体" w:hAnsi="宋体" w:eastAsia="宋体" w:cs="宋体"/>
          <w:kern w:val="0"/>
          <w:szCs w:val="21"/>
          <w:lang w:val="zh-CN" w:bidi="zh-CN"/>
        </w:rPr>
        <w:t>“经济</w:t>
      </w:r>
      <w:r>
        <w:rPr>
          <w:rFonts w:ascii="宋体" w:hAnsi="宋体" w:eastAsia="宋体" w:cs="宋体"/>
          <w:kern w:val="0"/>
          <w:szCs w:val="21"/>
          <w:lang w:val="zh-TW" w:eastAsia="zh-TW" w:bidi="zh-TW"/>
        </w:rPr>
        <w:t>人”理论为盗窃等犯罪行为和损人利己行为辩解</w:t>
      </w:r>
    </w:p>
    <w:p w14:paraId="6C4F1472">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有人曾把斯密等人讲的</w:t>
      </w:r>
      <w:r>
        <w:rPr>
          <w:rFonts w:ascii="宋体" w:hAnsi="宋体" w:eastAsia="宋体" w:cs="宋体"/>
          <w:kern w:val="0"/>
          <w:szCs w:val="21"/>
          <w:lang w:val="zh-CN" w:bidi="zh-CN"/>
        </w:rPr>
        <w:t>“</w:t>
      </w:r>
      <w:r>
        <w:rPr>
          <w:rFonts w:ascii="宋体" w:hAnsi="宋体" w:eastAsia="宋体" w:cs="宋体"/>
          <w:kern w:val="0"/>
          <w:szCs w:val="21"/>
          <w:lang w:val="zh-TW" w:eastAsia="zh-TW" w:bidi="zh-TW"/>
        </w:rPr>
        <w:t>经济中的个人主义”宽泛化，认为盗窃何害之有？……盗窃是自私的行为。人若不因自私而去盗窃，防盗的费用当然是会减少，这对社会是有所增益的。但若不因为自私而不断地去争取利益,则自私所带给社会的贡献就减少了。此消彼长，可能得不偿失。在一般性的概念上，</w:t>
      </w:r>
      <w:r>
        <w:rPr>
          <w:rFonts w:ascii="宋体" w:hAnsi="宋体" w:eastAsia="等线" w:cs="宋体"/>
          <w:kern w:val="0"/>
          <w:szCs w:val="21"/>
          <w:lang w:val="zh-TW" w:bidi="zh-TW"/>
        </w:rPr>
        <w:t>‘</w:t>
      </w:r>
      <w:r>
        <w:rPr>
          <w:rFonts w:ascii="宋体" w:hAnsi="宋体" w:eastAsia="宋体" w:cs="宋体"/>
          <w:kern w:val="0"/>
          <w:szCs w:val="21"/>
          <w:lang w:val="zh-TW" w:eastAsia="zh-TW" w:bidi="zh-TW"/>
        </w:rPr>
        <w:t>盗窃'与</w:t>
      </w:r>
      <w:r>
        <w:rPr>
          <w:rFonts w:ascii="宋体" w:hAnsi="宋体" w:eastAsia="等线" w:cs="宋体"/>
          <w:kern w:val="0"/>
          <w:szCs w:val="21"/>
          <w:lang w:val="zh-TW" w:bidi="zh-TW"/>
        </w:rPr>
        <w:t>‘</w:t>
      </w:r>
      <w:r>
        <w:rPr>
          <w:rFonts w:ascii="宋体" w:hAnsi="宋体" w:eastAsia="宋体" w:cs="宋体"/>
          <w:kern w:val="0"/>
          <w:szCs w:val="21"/>
          <w:lang w:val="zh-TW" w:eastAsia="zh-TW" w:bidi="zh-TW"/>
        </w:rPr>
        <w:t>生产'都是在局限下为自利争取</w:t>
      </w:r>
      <w:r>
        <w:rPr>
          <w:rFonts w:ascii="宋体" w:hAnsi="宋体" w:eastAsia="等线" w:cs="宋体"/>
          <w:kern w:val="0"/>
          <w:szCs w:val="21"/>
          <w:lang w:val="zh-TW" w:bidi="zh-TW"/>
        </w:rPr>
        <w:t>‘</w:t>
      </w:r>
      <w:r>
        <w:rPr>
          <w:rFonts w:ascii="宋体" w:hAnsi="宋体" w:eastAsia="宋体" w:cs="宋体"/>
          <w:kern w:val="0"/>
          <w:szCs w:val="21"/>
          <w:lang w:val="zh-TW" w:eastAsia="zh-TW" w:bidi="zh-TW"/>
        </w:rPr>
        <w:t>极大化</w:t>
      </w:r>
      <w:r>
        <w:rPr>
          <w:rFonts w:ascii="宋体" w:hAnsi="宋体" w:eastAsia="宋体" w:cs="宋体"/>
          <w:kern w:val="0"/>
          <w:szCs w:val="21"/>
          <w:lang w:val="zh-TW" w:bidi="zh-TW"/>
        </w:rPr>
        <w:t>’</w:t>
      </w:r>
      <w:r>
        <w:rPr>
          <w:rFonts w:ascii="宋体" w:hAnsi="宋体" w:eastAsia="宋体" w:cs="宋体"/>
          <w:kern w:val="0"/>
          <w:szCs w:val="21"/>
          <w:lang w:val="zh-TW" w:eastAsia="zh-TW" w:bidi="zh-TW"/>
        </w:rPr>
        <w:t>我们不能接受自私的假设，而希望没有盗窃的行为。”按照此种逻辑可以类推:杀人何害之有？吸毒何害之有？强奸何害之有？若把盗窃等非法行为均看成同</w:t>
      </w:r>
      <w:r>
        <w:rPr>
          <w:rFonts w:ascii="宋体" w:hAnsi="宋体" w:eastAsia="等线" w:cs="宋体"/>
          <w:kern w:val="0"/>
          <w:szCs w:val="21"/>
          <w:lang w:val="zh-TW" w:bidi="zh-TW"/>
        </w:rPr>
        <w:t>‘</w:t>
      </w:r>
      <w:r>
        <w:rPr>
          <w:rFonts w:ascii="宋体" w:hAnsi="宋体" w:eastAsia="宋体" w:cs="宋体"/>
          <w:kern w:val="0"/>
          <w:szCs w:val="21"/>
          <w:lang w:val="zh-CN" w:bidi="zh-CN"/>
        </w:rPr>
        <w:t>生产’</w:t>
      </w:r>
      <w:r>
        <w:rPr>
          <w:rFonts w:ascii="宋体" w:hAnsi="宋体" w:eastAsia="宋体" w:cs="宋体"/>
          <w:kern w:val="0"/>
          <w:szCs w:val="21"/>
          <w:lang w:val="zh-TW" w:eastAsia="zh-TW" w:bidi="zh-TW"/>
        </w:rPr>
        <w:t>一样，强调利己损人对社会可能有利也可能有害。问题是损人所得的利益是否大过他人蒙受的损失。”这就难怪美国等私产制国家含经济犯罪在内的各种社会犯罪率极高，非法竞争和地下经济极为普遍。不难想像:有经济学家在那里论证，说什么只要损人所得的利益大过他人蒙受的损失，这种损人利己行为就是利大于弊，对增加经济总体利益有益等，人类社会各种公开或隐蔽的损人利己和犯罪行为还会减少吗？！我们也可以顺便理解某先生据此道理而提醒中国的话：“并非所有的贪污都有害。……全力肃贪不利于经济发展。</w:t>
      </w:r>
      <w:r>
        <w:rPr>
          <w:rFonts w:ascii="宋体" w:hAnsi="宋体" w:eastAsia="宋体" w:cs="宋体"/>
          <w:kern w:val="0"/>
          <w:szCs w:val="21"/>
          <w:lang w:val="zh-CN" w:bidi="zh-CN"/>
        </w:rPr>
        <w:t>……</w:t>
      </w:r>
      <w:r>
        <w:rPr>
          <w:rFonts w:ascii="宋体" w:hAnsi="宋体" w:eastAsia="宋体" w:cs="宋体"/>
          <w:kern w:val="0"/>
          <w:szCs w:val="21"/>
          <w:lang w:val="zh-TW" w:eastAsia="zh-TW" w:bidi="zh-TW"/>
        </w:rPr>
        <w:t>不能大事批评贪污的盛行。”看来，要谨防</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济人”理论在通俗化的过程中滑向庸俗化。</w:t>
      </w:r>
    </w:p>
    <w:p w14:paraId="6CB4746F">
      <w:pPr>
        <w:tabs>
          <w:tab w:val="left" w:pos="970"/>
        </w:tabs>
        <w:spacing w:line="400" w:lineRule="exact"/>
        <w:ind w:firstLine="440" w:firstLineChars="200"/>
        <w:rPr>
          <w:rFonts w:ascii="宋体" w:hAnsi="宋体" w:eastAsia="宋体" w:cs="宋体"/>
          <w:kern w:val="0"/>
          <w:szCs w:val="21"/>
          <w:lang w:val="zh-TW" w:eastAsia="zh-TW" w:bidi="zh-TW"/>
        </w:rPr>
      </w:pPr>
      <w:bookmarkStart w:id="966" w:name="bookmark45"/>
      <w:r>
        <w:rPr>
          <w:rFonts w:ascii="宋体" w:hAnsi="宋体" w:eastAsia="宋体" w:cs="宋体"/>
          <w:kern w:val="0"/>
          <w:szCs w:val="21"/>
          <w:lang w:val="zh-TW" w:eastAsia="zh-TW" w:bidi="zh-TW"/>
        </w:rPr>
        <w:t>（</w:t>
      </w:r>
      <w:bookmarkEnd w:id="966"/>
      <w:r>
        <w:rPr>
          <w:rFonts w:ascii="宋体" w:hAnsi="宋体" w:eastAsia="宋体" w:cs="宋体"/>
          <w:kern w:val="0"/>
          <w:szCs w:val="21"/>
          <w:lang w:val="zh-TW" w:eastAsia="zh-TW" w:bidi="zh-TW"/>
        </w:rPr>
        <w:t>三）</w:t>
      </w:r>
      <w:r>
        <w:rPr>
          <w:rFonts w:ascii="宋体" w:hAnsi="宋体" w:eastAsia="宋体" w:cs="宋体"/>
          <w:kern w:val="0"/>
          <w:szCs w:val="21"/>
          <w:lang w:val="zh-TW" w:eastAsia="zh-TW" w:bidi="zh-TW"/>
        </w:rPr>
        <w:tab/>
      </w:r>
      <w:r>
        <w:rPr>
          <w:rFonts w:ascii="宋体" w:hAnsi="宋体" w:eastAsia="宋体" w:cs="宋体"/>
          <w:kern w:val="0"/>
          <w:szCs w:val="21"/>
          <w:lang w:val="zh-TW" w:eastAsia="zh-TW" w:bidi="zh-TW"/>
        </w:rPr>
        <w:t>在市场经济活动中，个人行为主要是利己的，但也有利他的一面</w:t>
      </w:r>
    </w:p>
    <w:p w14:paraId="77C43005">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美国近年出现的“利他主义经济学”，已经从数学模型的分析中得出：在许多情况下，具有合作倾向的人，都比其他人更可能分享合作的同胞的好处；在其实践有可能被模仿时，甚至那些自觉选择其行为的自私的理性个体,也会觉得作利他主义的事合乎他们的利益。他们的模型证明：如果某些生物种是在集团竞争中延续下来的话,舍巳救人的利他主义者的遗传基因就不会消失;理智的利他主义者的利他主义小于不理智的利他主义者，他们将比不理智的利他主义者和自私的个体更适于生存。</w:t>
      </w:r>
      <w:r>
        <w:rPr>
          <w:rFonts w:ascii="宋体" w:hAnsi="宋体" w:eastAsia="宋体" w:cs="宋体"/>
          <w:kern w:val="0"/>
          <w:szCs w:val="21"/>
          <w:vertAlign w:val="superscript"/>
          <w:lang w:val="zh-TW" w:eastAsia="zh-TW" w:bidi="zh-TW"/>
        </w:rPr>
        <w:footnoteReference w:id="296"/>
      </w:r>
      <w:r>
        <w:rPr>
          <w:rFonts w:ascii="宋体" w:hAnsi="宋体" w:eastAsia="宋体" w:cs="宋体"/>
          <w:kern w:val="0"/>
          <w:szCs w:val="21"/>
          <w:lang w:val="zh-TW" w:eastAsia="zh-TW" w:bidi="zh-TW"/>
        </w:rPr>
        <w:t>美国经济学家加里</w:t>
      </w:r>
      <w:r>
        <w:rPr>
          <w:rFonts w:ascii="宋体" w:hAnsi="宋体" w:eastAsia="宋体" w:cs="宋体"/>
          <w:kern w:val="0"/>
          <w:szCs w:val="21"/>
          <w:lang w:bidi="en-US"/>
        </w:rPr>
        <w:t>•</w:t>
      </w:r>
      <w:r>
        <w:rPr>
          <w:rFonts w:ascii="宋体" w:hAnsi="宋体" w:eastAsia="宋体" w:cs="Times New Roman"/>
          <w:kern w:val="0"/>
          <w:szCs w:val="21"/>
          <w:lang w:bidi="en-US"/>
        </w:rPr>
        <w:t>S.</w:t>
      </w:r>
      <w:r>
        <w:rPr>
          <w:rFonts w:ascii="宋体" w:hAnsi="宋体" w:eastAsia="宋体" w:cs="宋体"/>
          <w:kern w:val="0"/>
          <w:szCs w:val="21"/>
          <w:lang w:val="zh-TW" w:eastAsia="zh-TW" w:bidi="zh-TW"/>
        </w:rPr>
        <w:t>贝克尔在《人类行为的经济分析》著作中也得出与某些人不同的研究结论:“即使自私的家庭成员有时对其他成员似乎也会采取利他主义行为</w:t>
      </w:r>
      <w:r>
        <w:rPr>
          <w:rFonts w:ascii="宋体" w:hAnsi="宋体" w:eastAsia="宋体" w:cs="宋体"/>
          <w:kern w:val="0"/>
          <w:szCs w:val="21"/>
          <w:lang w:bidi="en-US"/>
        </w:rPr>
        <w:t>，</w:t>
      </w:r>
      <w:r>
        <w:rPr>
          <w:rFonts w:ascii="宋体" w:hAnsi="宋体" w:eastAsia="宋体" w:cs="宋体"/>
          <w:kern w:val="0"/>
          <w:szCs w:val="21"/>
          <w:lang w:val="zh-TW" w:eastAsia="zh-TW" w:bidi="zh-TW"/>
        </w:rPr>
        <w:t>“对亲戚的利他主义是人类和动物，本性，的持久的遗传特性</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济学家的个人理性同社会生物学家的群体理性的结合能够形成更有说服力的分析。”</w:t>
      </w:r>
      <w:r>
        <w:rPr>
          <w:rFonts w:ascii="宋体" w:hAnsi="宋体" w:eastAsia="宋体" w:cs="宋体"/>
          <w:kern w:val="0"/>
          <w:szCs w:val="21"/>
          <w:vertAlign w:val="superscript"/>
          <w:lang w:val="zh-TW" w:eastAsia="zh-TW" w:bidi="zh-TW"/>
        </w:rPr>
        <w:footnoteReference w:id="297"/>
      </w:r>
      <w:r>
        <w:rPr>
          <w:rFonts w:ascii="宋体" w:hAnsi="宋体" w:eastAsia="宋体" w:cs="宋体"/>
          <w:kern w:val="0"/>
          <w:szCs w:val="21"/>
          <w:lang w:val="zh-TW" w:eastAsia="zh-TW" w:bidi="zh-TW"/>
        </w:rPr>
        <w:t>这些最新结论倒是很有见地的。由此说来,</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济人”范畴不应完全等同于利己主义的自私人经济活动中的利己性和某些与个人利益相关的利他性都是</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济人”的表现。我们必须承认广义</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济人”概念的科学意义（补充说明：经济理性主义与经济利己主义有差别，因为理智与感情或本能、利己与利他，是不同层面的问题。尽管它们有交叉，还是严格界定为妥）。</w:t>
      </w:r>
    </w:p>
    <w:p w14:paraId="705FB077">
      <w:pPr>
        <w:tabs>
          <w:tab w:val="left" w:pos="970"/>
        </w:tabs>
        <w:spacing w:line="400" w:lineRule="exact"/>
        <w:ind w:firstLine="440" w:firstLineChars="200"/>
        <w:rPr>
          <w:rFonts w:ascii="宋体" w:hAnsi="宋体" w:eastAsia="宋体" w:cs="宋体"/>
          <w:kern w:val="0"/>
          <w:szCs w:val="21"/>
          <w:lang w:val="zh-TW" w:eastAsia="zh-TW" w:bidi="zh-TW"/>
        </w:rPr>
      </w:pPr>
      <w:bookmarkStart w:id="967" w:name="bookmark46"/>
      <w:r>
        <w:rPr>
          <w:rFonts w:ascii="宋体" w:hAnsi="宋体" w:eastAsia="宋体" w:cs="宋体"/>
          <w:kern w:val="0"/>
          <w:szCs w:val="21"/>
          <w:lang w:val="zh-TW" w:eastAsia="zh-TW" w:bidi="zh-TW"/>
        </w:rPr>
        <w:t>（</w:t>
      </w:r>
      <w:bookmarkEnd w:id="967"/>
      <w:r>
        <w:rPr>
          <w:rFonts w:ascii="宋体" w:hAnsi="宋体" w:eastAsia="宋体" w:cs="宋体"/>
          <w:kern w:val="0"/>
          <w:szCs w:val="21"/>
          <w:lang w:val="zh-TW" w:eastAsia="zh-TW" w:bidi="zh-TW"/>
        </w:rPr>
        <w:t>四）</w:t>
      </w:r>
      <w:r>
        <w:rPr>
          <w:rFonts w:ascii="宋体" w:hAnsi="宋体" w:eastAsia="宋体" w:cs="宋体"/>
          <w:kern w:val="0"/>
          <w:szCs w:val="21"/>
          <w:lang w:val="zh-TW" w:eastAsia="zh-TW" w:bidi="zh-TW"/>
        </w:rPr>
        <w:tab/>
      </w:r>
      <w:r>
        <w:rPr>
          <w:rFonts w:ascii="宋体" w:hAnsi="宋体" w:eastAsia="宋体" w:cs="宋体"/>
          <w:kern w:val="0"/>
          <w:szCs w:val="21"/>
          <w:lang w:val="zh-TW" w:eastAsia="zh-TW" w:bidi="zh-TW"/>
        </w:rPr>
        <w:t>把一切利他行为均视为利己主义,是不合情理的</w:t>
      </w:r>
    </w:p>
    <w:p w14:paraId="2EFD3FBA">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CN" w:bidi="zh-CN"/>
        </w:rPr>
        <w:t>“</w:t>
      </w:r>
      <w:r>
        <w:rPr>
          <w:rFonts w:ascii="宋体" w:hAnsi="宋体" w:eastAsia="宋体" w:cs="宋体"/>
          <w:kern w:val="0"/>
          <w:szCs w:val="21"/>
          <w:lang w:val="zh-TW" w:eastAsia="zh-TW" w:bidi="zh-TW"/>
        </w:rPr>
        <w:t>经济学上所用的自私假设，是不仅限于个人本身</w:t>
      </w:r>
      <w:r>
        <w:rPr>
          <w:rFonts w:ascii="宋体" w:hAnsi="宋体" w:eastAsia="宋体" w:cs="宋体"/>
          <w:kern w:val="0"/>
          <w:szCs w:val="21"/>
          <w:lang w:bidi="en-US"/>
        </w:rPr>
        <w:t>一一</w:t>
      </w:r>
      <w:r>
        <w:rPr>
          <w:rFonts w:ascii="宋体" w:hAnsi="宋体" w:eastAsia="宋体" w:cs="宋体"/>
          <w:kern w:val="0"/>
          <w:szCs w:val="21"/>
          <w:lang w:val="zh-TW" w:eastAsia="zh-TW" w:bidi="zh-TW"/>
        </w:rPr>
        <w:t>亲属的照顾也是自私</w:t>
      </w:r>
      <w:r>
        <w:rPr>
          <w:rFonts w:ascii="宋体" w:hAnsi="宋体" w:eastAsia="宋体" w:cs="宋体"/>
          <w:kern w:val="0"/>
          <w:szCs w:val="21"/>
          <w:lang w:val="zh-CN" w:bidi="zh-CN"/>
        </w:rPr>
        <w:t>人是</w:t>
      </w:r>
      <w:r>
        <w:rPr>
          <w:rFonts w:ascii="宋体" w:hAnsi="宋体" w:eastAsia="宋体" w:cs="宋体"/>
          <w:kern w:val="0"/>
          <w:szCs w:val="21"/>
          <w:lang w:val="zh-TW" w:eastAsia="zh-TW" w:bidi="zh-TW"/>
        </w:rPr>
        <w:t>自私的</w:t>
      </w:r>
      <w:r>
        <w:rPr>
          <w:rFonts w:hint="eastAsia" w:ascii="宋体" w:hAnsi="宋体" w:eastAsia="宋体" w:cs="宋体"/>
          <w:kern w:val="0"/>
          <w:szCs w:val="21"/>
          <w:lang w:bidi="en-US"/>
        </w:rPr>
        <w:t>-</w:t>
      </w:r>
      <w:r>
        <w:rPr>
          <w:rFonts w:ascii="宋体" w:hAnsi="宋体" w:eastAsia="宋体" w:cs="宋体"/>
          <w:kern w:val="0"/>
          <w:szCs w:val="21"/>
          <w:lang w:bidi="en-US"/>
        </w:rPr>
        <w:t>--</w:t>
      </w:r>
      <w:r>
        <w:rPr>
          <w:rFonts w:ascii="宋体" w:hAnsi="宋体" w:eastAsia="宋体" w:cs="宋体"/>
          <w:kern w:val="0"/>
          <w:szCs w:val="21"/>
          <w:lang w:val="zh-TW" w:eastAsia="zh-TW" w:bidi="zh-TW"/>
        </w:rPr>
        <w:t>就是帮朋友、教学生、捐钱、为孩子劳碌，都是以自私为出发点联系某人一系列类似的言语，人们仿佛看到一幅</w:t>
      </w:r>
      <w:r>
        <w:rPr>
          <w:rFonts w:ascii="宋体" w:hAnsi="宋体" w:eastAsia="宋体" w:cs="宋体"/>
          <w:kern w:val="0"/>
          <w:szCs w:val="21"/>
          <w:lang w:val="zh-CN" w:bidi="zh-CN"/>
        </w:rPr>
        <w:t>“人</w:t>
      </w:r>
      <w:r>
        <w:rPr>
          <w:rFonts w:ascii="宋体" w:hAnsi="宋体" w:eastAsia="宋体" w:cs="宋体"/>
          <w:kern w:val="0"/>
          <w:szCs w:val="21"/>
          <w:lang w:val="zh-TW" w:eastAsia="zh-TW" w:bidi="zh-TW"/>
        </w:rPr>
        <w:t>不为己、天诛地灭</w:t>
      </w:r>
      <w:r>
        <w:rPr>
          <w:rFonts w:ascii="宋体" w:hAnsi="宋体" w:eastAsia="宋体" w:cs="宋体"/>
          <w:kern w:val="0"/>
          <w:szCs w:val="21"/>
          <w:lang w:bidi="en-US"/>
        </w:rPr>
        <w:t>”</w:t>
      </w:r>
      <w:r>
        <w:rPr>
          <w:rFonts w:ascii="宋体" w:hAnsi="宋体" w:eastAsia="宋体" w:cs="宋体"/>
          <w:kern w:val="0"/>
          <w:szCs w:val="21"/>
          <w:lang w:val="zh-TW" w:eastAsia="zh-TW" w:bidi="zh-TW"/>
        </w:rPr>
        <w:t>的众生画像。我们不否认这些经济社会活动中存在大量的自私现象,尤其是在私产制社会里。然而，也不能否认有些活动确属利他行为。以教学生为例，并不是所有教师的每次教书育人行为，都是为了自己的晋升或受表扬什么的。很多教师（师傅）把一些知识和绝技无私地传授给自己的学生（徒弟），甚至使个人的地位和收益受到影响。或许读者想知道，某人把论著献给</w:t>
      </w:r>
      <w:bookmarkStart w:id="968" w:name="bookmark47"/>
      <w:bookmarkEnd w:id="968"/>
      <w:r>
        <w:rPr>
          <w:rFonts w:ascii="宋体" w:hAnsi="宋体" w:eastAsia="宋体" w:cs="宋体"/>
          <w:kern w:val="0"/>
          <w:szCs w:val="21"/>
          <w:lang w:val="zh-TW" w:eastAsia="zh-TW" w:bidi="zh-TW"/>
        </w:rPr>
        <w:t>自己的导师雅明</w:t>
      </w:r>
      <w:r>
        <w:rPr>
          <w:rFonts w:ascii="宋体" w:hAnsi="宋体" w:eastAsia="宋体" w:cs="宋体"/>
          <w:kern w:val="0"/>
          <w:szCs w:val="21"/>
          <w:lang w:bidi="en-US"/>
        </w:rPr>
        <w:t>•</w:t>
      </w:r>
      <w:r>
        <w:rPr>
          <w:rFonts w:ascii="宋体" w:hAnsi="宋体" w:eastAsia="宋体" w:cs="宋体"/>
          <w:kern w:val="0"/>
          <w:szCs w:val="21"/>
          <w:lang w:val="zh-TW" w:eastAsia="zh-TW" w:bidi="zh-TW"/>
        </w:rPr>
        <w:t>艾智仁，当写下“他曾经将自己所创的产权经济学，毫无保留地传授了给一位中国学生</w:t>
      </w:r>
      <w:r>
        <w:rPr>
          <w:rFonts w:ascii="宋体" w:hAnsi="宋体" w:eastAsia="宋体" w:cs="宋体"/>
          <w:kern w:val="0"/>
          <w:szCs w:val="21"/>
          <w:lang w:bidi="en-US"/>
        </w:rPr>
        <w:t>”</w:t>
      </w:r>
      <w:r>
        <w:rPr>
          <w:rFonts w:ascii="宋体" w:hAnsi="宋体" w:eastAsia="宋体" w:cs="宋体"/>
          <w:kern w:val="0"/>
          <w:szCs w:val="21"/>
          <w:lang w:val="zh-TW" w:eastAsia="zh-TW" w:bidi="zh-TW"/>
        </w:rPr>
        <w:t>之时,是否回想得出这种毫无保留的传授也是一贯自私的。把“经济人”假设直接等同于现实生活中人的所有行为，这就超出了科学假设的范围，模糊了假设与事实的合理界限。在逻辑推理上，因为助人为乐有个“乐”字,就把助人行为视作自私的；因为革命者心里感到为反法西斯而牺牲是“光荣”的，就把其牺牲行为视作自私的；等等,诸如此类用主观欲望的满足来界说自私行为的唯心论观点，混淆了利他与利己的客观行为界限，也混淆了真善美与假恶丑的客观行为界限。我们不能不切实际地要求人们产生“助人为悲”</w:t>
      </w:r>
      <w:r>
        <w:rPr>
          <w:rFonts w:ascii="宋体" w:hAnsi="宋体" w:eastAsia="宋体" w:cs="宋体"/>
          <w:kern w:val="0"/>
          <w:szCs w:val="21"/>
          <w:lang w:val="zh-CN" w:bidi="zh-CN"/>
        </w:rPr>
        <w:t>、“牺</w:t>
      </w:r>
      <w:r>
        <w:rPr>
          <w:rFonts w:ascii="宋体" w:hAnsi="宋体" w:eastAsia="宋体" w:cs="宋体"/>
          <w:kern w:val="0"/>
          <w:szCs w:val="21"/>
          <w:lang w:val="zh-TW" w:eastAsia="zh-TW" w:bidi="zh-TW"/>
        </w:rPr>
        <w:t>牲可耻”一类的心理感觉以后，才算作利他行为。退一步讲，真的如此，那也说明社会还是有利他行为，而不是只存在利己行为。由此看来,“自私本身是否真理”，并非“无关重要在该问題上的科学认识应当是这样的，利己与利他、主观与客观，它们之间至少有四种典型组合：主观利己，客观利己；主观利己，客观利他；主观利他，客观利己；主观利他，客观利他。自然,其中舍去了利己的同时可能也利他、利他的同时可能也利己的复杂因素。”简言之，主观欲望的分析不能代替客观行为的判定。</w:t>
      </w:r>
    </w:p>
    <w:p w14:paraId="107617A2">
      <w:pPr>
        <w:tabs>
          <w:tab w:val="left" w:pos="937"/>
        </w:tabs>
        <w:spacing w:line="400" w:lineRule="exact"/>
        <w:ind w:firstLine="440" w:firstLineChars="200"/>
        <w:rPr>
          <w:rFonts w:ascii="宋体" w:hAnsi="宋体" w:eastAsia="宋体" w:cs="宋体"/>
          <w:kern w:val="0"/>
          <w:szCs w:val="21"/>
          <w:lang w:val="zh-TW" w:eastAsia="zh-TW" w:bidi="zh-TW"/>
        </w:rPr>
      </w:pPr>
      <w:bookmarkStart w:id="969" w:name="bookmark49"/>
      <w:r>
        <w:rPr>
          <w:rFonts w:ascii="宋体" w:hAnsi="宋体" w:eastAsia="宋体" w:cs="宋体"/>
          <w:kern w:val="0"/>
          <w:szCs w:val="21"/>
          <w:lang w:val="zh-TW" w:eastAsia="zh-TW" w:bidi="zh-TW"/>
        </w:rPr>
        <w:t>（</w:t>
      </w:r>
      <w:bookmarkEnd w:id="969"/>
      <w:r>
        <w:rPr>
          <w:rFonts w:ascii="宋体" w:hAnsi="宋体" w:eastAsia="宋体" w:cs="宋体"/>
          <w:kern w:val="0"/>
          <w:szCs w:val="21"/>
          <w:lang w:val="zh-TW" w:eastAsia="zh-TW" w:bidi="zh-TW"/>
        </w:rPr>
        <w:t>五）</w:t>
      </w:r>
      <w:r>
        <w:rPr>
          <w:rFonts w:ascii="宋体" w:hAnsi="宋体" w:eastAsia="宋体" w:cs="宋体"/>
          <w:kern w:val="0"/>
          <w:szCs w:val="21"/>
          <w:lang w:val="zh-TW" w:eastAsia="zh-TW" w:bidi="zh-TW"/>
        </w:rPr>
        <w:tab/>
      </w:r>
      <w:r>
        <w:rPr>
          <w:rFonts w:ascii="宋体" w:hAnsi="宋体" w:eastAsia="宋体" w:cs="宋体"/>
          <w:kern w:val="0"/>
          <w:szCs w:val="21"/>
          <w:lang w:val="zh-TW" w:eastAsia="zh-TW" w:bidi="zh-TW"/>
        </w:rPr>
        <w:t>建立在私产制和自由放任基础上的自私自利社会，做不到个人利益与社会利益高度有序的统一</w:t>
      </w:r>
    </w:p>
    <w:p w14:paraId="022B9812">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某先生在为张五常教授写书序时，极其推崇他的“自私人</w:t>
      </w:r>
      <w:r>
        <w:rPr>
          <w:rFonts w:ascii="宋体" w:hAnsi="宋体" w:eastAsia="宋体" w:cs="宋体"/>
          <w:kern w:val="0"/>
          <w:szCs w:val="21"/>
          <w:lang w:val="zh-CN" w:bidi="zh-CN"/>
        </w:rPr>
        <w:t>”理论</w:t>
      </w:r>
      <w:r>
        <w:rPr>
          <w:rFonts w:ascii="宋体" w:hAnsi="宋体" w:eastAsia="宋体" w:cs="宋体"/>
          <w:kern w:val="0"/>
          <w:szCs w:val="21"/>
          <w:lang w:val="zh-TW" w:eastAsia="zh-TW" w:bidi="zh-TW"/>
        </w:rPr>
        <w:t>，认为该理论</w:t>
      </w:r>
      <w:r>
        <w:rPr>
          <w:rFonts w:ascii="宋体" w:hAnsi="宋体" w:eastAsia="宋体" w:cs="宋体"/>
          <w:kern w:val="0"/>
          <w:szCs w:val="21"/>
          <w:lang w:val="zh-CN" w:bidi="zh-CN"/>
        </w:rPr>
        <w:t>一反</w:t>
      </w:r>
      <w:r>
        <w:rPr>
          <w:rFonts w:ascii="宋体" w:hAnsi="宋体" w:eastAsia="宋体" w:cs="宋体"/>
          <w:kern w:val="0"/>
          <w:szCs w:val="21"/>
          <w:lang w:val="zh-TW" w:eastAsia="zh-TW" w:bidi="zh-TW"/>
        </w:rPr>
        <w:t>百多年中国知识分子的强烈国族主义意识，把人而不是把国家放在第一位;承认活生生的人，皆有七情六欲、私字当头。</w:t>
      </w:r>
      <w:r>
        <w:rPr>
          <w:rFonts w:ascii="宋体" w:hAnsi="宋体" w:eastAsia="宋体" w:cs="宋体"/>
          <w:kern w:val="0"/>
          <w:szCs w:val="21"/>
          <w:lang w:val="zh-CN" w:bidi="zh-CN"/>
        </w:rPr>
        <w:t>对此</w:t>
      </w:r>
      <w:r>
        <w:rPr>
          <w:rFonts w:ascii="宋体" w:hAnsi="宋体" w:eastAsia="宋体" w:cs="宋体"/>
          <w:kern w:val="0"/>
          <w:szCs w:val="21"/>
          <w:lang w:val="zh-TW" w:eastAsia="zh-TW" w:bidi="zh-TW"/>
        </w:rPr>
        <w:t>类私利至上论和泛私化的辩护,笔者不再多说什么。德国历史学派代表人物李斯特一百多年前批评斯密的话，对把斯密经济人的人性假设推向极端的人来说，更显得鞭辟入里。他曾尖锐地指出：</w:t>
      </w:r>
      <w:r>
        <w:rPr>
          <w:rFonts w:ascii="宋体" w:hAnsi="宋体" w:eastAsia="宋体" w:cs="宋体"/>
          <w:kern w:val="0"/>
          <w:szCs w:val="21"/>
          <w:lang w:val="zh-CN" w:bidi="zh-CN"/>
        </w:rPr>
        <w:t>“</w:t>
      </w:r>
      <w:r>
        <w:rPr>
          <w:rFonts w:ascii="宋体" w:hAnsi="宋体" w:eastAsia="宋体" w:cs="宋体"/>
          <w:kern w:val="0"/>
          <w:szCs w:val="21"/>
          <w:lang w:val="zh-TW" w:eastAsia="zh-TW" w:bidi="zh-TW"/>
        </w:rPr>
        <w:t>这个学说是以店老板的观点来考虑一切问题的</w:t>
      </w:r>
      <w:r>
        <w:rPr>
          <w:rFonts w:ascii="宋体" w:hAnsi="宋体" w:eastAsia="宋体" w:cs="宋体"/>
          <w:kern w:val="0"/>
          <w:szCs w:val="21"/>
          <w:lang w:val="zh-CN" w:bidi="zh-CN"/>
        </w:rPr>
        <w:t>，完</w:t>
      </w:r>
      <w:r>
        <w:rPr>
          <w:rFonts w:ascii="宋体" w:hAnsi="宋体" w:eastAsia="宋体" w:cs="宋体"/>
          <w:kern w:val="0"/>
          <w:szCs w:val="21"/>
          <w:lang w:val="zh-TW" w:eastAsia="zh-TW" w:bidi="zh-TW"/>
        </w:rPr>
        <w:t>全否认了国家和国家利益的存在，一切都要听任个人安排</w:t>
      </w:r>
      <w:r>
        <w:rPr>
          <w:rFonts w:ascii="宋体" w:hAnsi="宋体" w:eastAsia="宋体" w:cs="宋体"/>
          <w:kern w:val="0"/>
          <w:szCs w:val="21"/>
          <w:lang w:val="zh-CN" w:bidi="zh-CN"/>
        </w:rPr>
        <w:t>，利</w:t>
      </w:r>
      <w:r>
        <w:rPr>
          <w:rFonts w:ascii="宋体" w:hAnsi="宋体" w:eastAsia="宋体" w:cs="宋体"/>
          <w:kern w:val="0"/>
          <w:szCs w:val="21"/>
          <w:lang w:val="zh-TW" w:eastAsia="zh-TW" w:bidi="zh-TW"/>
        </w:rPr>
        <w:t>己性格抬高到一切效力的创造者的地位。”</w:t>
      </w:r>
      <w:r>
        <w:rPr>
          <w:rFonts w:ascii="宋体" w:hAnsi="宋体" w:eastAsia="宋体" w:cs="宋体"/>
          <w:kern w:val="0"/>
          <w:szCs w:val="21"/>
          <w:vertAlign w:val="superscript"/>
          <w:lang w:val="zh-TW" w:eastAsia="zh-TW" w:bidi="zh-TW"/>
        </w:rPr>
        <w:footnoteReference w:id="298"/>
      </w:r>
      <w:r>
        <w:rPr>
          <w:rFonts w:ascii="宋体" w:hAnsi="宋体" w:eastAsia="宋体" w:cs="宋体"/>
          <w:kern w:val="0"/>
          <w:szCs w:val="21"/>
          <w:lang w:val="zh-TW" w:eastAsia="zh-TW" w:bidi="zh-TW"/>
        </w:rPr>
        <w:t>与私有产权学派的经济自由主义观点相左，当代西方国家干预主义也强调，不能放弃国家对私人经济行为必要的引导和调控。</w:t>
      </w:r>
      <w:r>
        <w:rPr>
          <w:rFonts w:ascii="宋体" w:hAnsi="宋体" w:eastAsia="宋体" w:cs="宋体"/>
          <w:kern w:val="0"/>
          <w:szCs w:val="21"/>
          <w:lang w:bidi="en-US"/>
        </w:rPr>
        <w:t>.</w:t>
      </w:r>
    </w:p>
    <w:p w14:paraId="7CFA435E">
      <w:pPr>
        <w:tabs>
          <w:tab w:val="left" w:pos="932"/>
        </w:tabs>
        <w:spacing w:line="400" w:lineRule="exact"/>
        <w:ind w:firstLine="440" w:firstLineChars="200"/>
        <w:rPr>
          <w:rFonts w:ascii="宋体" w:hAnsi="宋体" w:eastAsia="宋体" w:cs="宋体"/>
          <w:kern w:val="0"/>
          <w:szCs w:val="21"/>
          <w:lang w:val="zh-TW" w:eastAsia="zh-TW" w:bidi="zh-TW"/>
        </w:rPr>
      </w:pPr>
      <w:bookmarkStart w:id="970" w:name="bookmark50"/>
      <w:r>
        <w:rPr>
          <w:rFonts w:ascii="宋体" w:hAnsi="宋体" w:eastAsia="宋体" w:cs="宋体"/>
          <w:kern w:val="0"/>
          <w:szCs w:val="21"/>
          <w:lang w:val="zh-TW" w:eastAsia="zh-TW" w:bidi="zh-TW"/>
        </w:rPr>
        <w:t>（</w:t>
      </w:r>
      <w:bookmarkEnd w:id="970"/>
      <w:r>
        <w:rPr>
          <w:rFonts w:ascii="宋体" w:hAnsi="宋体" w:eastAsia="宋体" w:cs="宋体"/>
          <w:kern w:val="0"/>
          <w:szCs w:val="21"/>
          <w:lang w:val="zh-TW" w:eastAsia="zh-TW" w:bidi="zh-TW"/>
        </w:rPr>
        <w:t>六）</w:t>
      </w:r>
      <w:r>
        <w:rPr>
          <w:rFonts w:ascii="宋体" w:hAnsi="宋体" w:eastAsia="宋体" w:cs="宋体"/>
          <w:kern w:val="0"/>
          <w:szCs w:val="21"/>
          <w:lang w:val="zh-TW" w:eastAsia="zh-TW" w:bidi="zh-TW"/>
        </w:rPr>
        <w:tab/>
      </w:r>
      <w:r>
        <w:rPr>
          <w:rFonts w:ascii="宋体" w:hAnsi="宋体" w:eastAsia="宋体" w:cs="宋体"/>
          <w:kern w:val="0"/>
          <w:szCs w:val="21"/>
          <w:lang w:val="zh-TW" w:eastAsia="zh-TW" w:bidi="zh-TW"/>
        </w:rPr>
        <w:t>与以美国为代表的西方个体主义不同，以中国、日本和新加坡为代表”的东方整体主义已昭示出整体主义和利他性有着重要的经济分析价值</w:t>
      </w:r>
    </w:p>
    <w:p w14:paraId="2C266F17">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西方以提倡个人至上的新教伦理为始点的极端个体主义，虽然能在某种程度上推动经济和社会文化的发展，可是，正如布热津斯基在新著《大失控与大混乱》一书中所恍然大悟的:“以相对主义的享乐至上作为生活的基本指南是构不成任何坚实的社会支柱的；一个社会没有共同遵守的绝对确定的原则，相反却助长个人的自我满足，那么，这个社会就有解体的危险。”</w:t>
      </w:r>
      <w:r>
        <w:rPr>
          <w:rFonts w:ascii="宋体" w:hAnsi="宋体" w:eastAsia="宋体" w:cs="宋体"/>
          <w:kern w:val="0"/>
          <w:szCs w:val="21"/>
          <w:vertAlign w:val="superscript"/>
          <w:lang w:val="zh-TW" w:eastAsia="zh-TW" w:bidi="zh-TW"/>
        </w:rPr>
        <w:footnoteReference w:id="299"/>
      </w:r>
      <w:r>
        <w:rPr>
          <w:rFonts w:ascii="宋体" w:hAnsi="宋体" w:eastAsia="宋体" w:cs="宋体"/>
          <w:kern w:val="0"/>
          <w:szCs w:val="21"/>
          <w:lang w:val="zh-TW" w:eastAsia="zh-TW" w:bidi="zh-TW"/>
        </w:rPr>
        <w:t>与此有别，提倡以个人利益为基点的集体精神和文明社会主义，提倡以个人利益为基点的团队精神和儒家资本主义，构成了一种东方式经济文明，其重要经济特征是合群、乐群或利群，利用利己性，倡导利群性。东亚经济的迅速崛起，无疑证明了整体主义和利他性有着重要的经济分析价值，唯私论和马克斯</w:t>
      </w:r>
      <w:r>
        <w:rPr>
          <w:rFonts w:ascii="宋体" w:hAnsi="宋体" w:eastAsia="宋体" w:cs="宋体"/>
          <w:kern w:val="0"/>
          <w:szCs w:val="21"/>
          <w:lang w:bidi="en-US"/>
        </w:rPr>
        <w:t>•</w:t>
      </w:r>
      <w:r>
        <w:rPr>
          <w:rFonts w:ascii="宋体" w:hAnsi="宋体" w:eastAsia="宋体" w:cs="宋体"/>
          <w:kern w:val="0"/>
          <w:szCs w:val="21"/>
          <w:lang w:val="zh-TW" w:eastAsia="zh-TW" w:bidi="zh-TW"/>
        </w:rPr>
        <w:t>韦伯的儒教障碍论是失误了。</w:t>
      </w:r>
    </w:p>
    <w:p w14:paraId="32CC0A84">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依据人类实践和问题导向，并受马克思的思想启迪，我们认为必须确立一种新</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济人”假说和理论，即</w:t>
      </w:r>
      <w:r>
        <w:rPr>
          <w:rFonts w:ascii="宋体" w:hAnsi="宋体" w:eastAsia="宋体" w:cs="宋体"/>
          <w:kern w:val="0"/>
          <w:szCs w:val="21"/>
          <w:lang w:val="zh-CN" w:bidi="zh-CN"/>
        </w:rPr>
        <w:t>“利</w:t>
      </w:r>
      <w:r>
        <w:rPr>
          <w:rFonts w:ascii="宋体" w:hAnsi="宋体" w:eastAsia="宋体" w:cs="宋体"/>
          <w:kern w:val="0"/>
          <w:szCs w:val="21"/>
          <w:lang w:val="zh-TW" w:eastAsia="zh-TW" w:bidi="zh-TW"/>
        </w:rPr>
        <w:t>已和利他经济人假设</w:t>
      </w:r>
      <w:r>
        <w:rPr>
          <w:rFonts w:ascii="宋体" w:hAnsi="宋体" w:eastAsia="宋体" w:cs="宋体"/>
          <w:kern w:val="0"/>
          <w:szCs w:val="21"/>
          <w:lang w:bidi="en-US"/>
        </w:rPr>
        <w:t>”（“</w:t>
      </w:r>
      <w:r>
        <w:rPr>
          <w:rFonts w:ascii="宋体" w:hAnsi="宋体" w:eastAsia="宋体" w:cs="宋体"/>
          <w:kern w:val="0"/>
          <w:szCs w:val="21"/>
          <w:lang w:val="zh-CN" w:bidi="zh-CN"/>
        </w:rPr>
        <w:t>利</w:t>
      </w:r>
      <w:r>
        <w:rPr>
          <w:rFonts w:ascii="宋体" w:hAnsi="宋体" w:eastAsia="宋体" w:cs="宋体"/>
          <w:kern w:val="0"/>
          <w:szCs w:val="21"/>
          <w:lang w:val="zh-TW" w:eastAsia="zh-TW" w:bidi="zh-TW"/>
        </w:rPr>
        <w:t>已和利他双性经济人假设</w:t>
      </w:r>
      <w:r>
        <w:rPr>
          <w:rFonts w:ascii="宋体" w:hAnsi="宋体" w:eastAsia="宋体" w:cs="宋体"/>
          <w:kern w:val="0"/>
          <w:szCs w:val="21"/>
          <w:lang w:bidi="en-US"/>
        </w:rPr>
        <w:t>”），</w:t>
      </w:r>
      <w:r>
        <w:rPr>
          <w:rFonts w:ascii="宋体" w:hAnsi="宋体" w:eastAsia="宋体" w:cs="宋体"/>
          <w:kern w:val="0"/>
          <w:szCs w:val="21"/>
          <w:lang w:val="zh-TW" w:eastAsia="zh-TW" w:bidi="zh-TW"/>
        </w:rPr>
        <w:t>其方法论是整体主义、唯物主义和现实主义的。这是作为创新的现代马”克思主义政治经济学基本假设之一，也是超越现代西方经济学的</w:t>
      </w:r>
      <w:r>
        <w:rPr>
          <w:rFonts w:ascii="宋体" w:hAnsi="宋体" w:eastAsia="宋体" w:cs="宋体"/>
          <w:kern w:val="0"/>
          <w:szCs w:val="21"/>
          <w:lang w:val="zh-CN" w:bidi="zh-CN"/>
        </w:rPr>
        <w:t>“</w:t>
      </w:r>
      <w:r>
        <w:rPr>
          <w:rFonts w:ascii="宋体" w:hAnsi="宋体" w:eastAsia="宋体" w:cs="宋体"/>
          <w:kern w:val="0"/>
          <w:szCs w:val="21"/>
          <w:lang w:val="zh-TW" w:eastAsia="zh-TW" w:bidi="zh-TW"/>
        </w:rPr>
        <w:t>后现代经济学”理论。它对应</w:t>
      </w:r>
      <w:r>
        <w:rPr>
          <w:rFonts w:ascii="宋体" w:hAnsi="宋体" w:eastAsia="宋体" w:cs="宋体"/>
          <w:kern w:val="0"/>
          <w:szCs w:val="21"/>
          <w:lang w:val="zh-CN" w:bidi="zh-CN"/>
        </w:rPr>
        <w:t>“完</w:t>
      </w:r>
      <w:r>
        <w:rPr>
          <w:rFonts w:ascii="宋体" w:hAnsi="宋体" w:eastAsia="宋体" w:cs="宋体"/>
          <w:kern w:val="0"/>
          <w:szCs w:val="21"/>
          <w:lang w:val="zh-TW" w:eastAsia="zh-TW" w:bidi="zh-TW"/>
        </w:rPr>
        <w:t>全自私经济人假设”的三个基本命题，也包含三个基本命题:</w:t>
      </w:r>
      <w:r>
        <w:rPr>
          <w:rFonts w:ascii="宋体" w:hAnsi="宋体" w:eastAsia="宋体" w:cs="Times New Roman"/>
          <w:kern w:val="0"/>
          <w:szCs w:val="21"/>
          <w:lang w:bidi="en-US"/>
        </w:rPr>
        <w:t>1.</w:t>
      </w:r>
      <w:r>
        <w:rPr>
          <w:rFonts w:ascii="宋体" w:hAnsi="宋体" w:eastAsia="宋体" w:cs="宋体"/>
          <w:kern w:val="0"/>
          <w:szCs w:val="21"/>
          <w:lang w:val="zh-TW" w:eastAsia="zh-TW" w:bidi="zh-TW"/>
        </w:rPr>
        <w:t>经济活动中的人有利己和利他两种倾向或性质。</w:t>
      </w:r>
      <w:r>
        <w:rPr>
          <w:rFonts w:ascii="宋体" w:hAnsi="宋体" w:eastAsia="宋体" w:cs="Times New Roman"/>
          <w:kern w:val="0"/>
          <w:szCs w:val="21"/>
          <w:lang w:bidi="en-US"/>
        </w:rPr>
        <w:t>2.</w:t>
      </w:r>
      <w:r>
        <w:rPr>
          <w:rFonts w:ascii="宋体" w:hAnsi="宋体" w:eastAsia="宋体" w:cs="宋体"/>
          <w:kern w:val="0"/>
          <w:szCs w:val="21"/>
          <w:lang w:val="zh-TW" w:eastAsia="zh-TW" w:bidi="zh-TW"/>
        </w:rPr>
        <w:t>经济活动中的人具有理性与非理性两种状态。</w:t>
      </w:r>
      <w:r>
        <w:rPr>
          <w:rFonts w:ascii="宋体" w:hAnsi="宋体" w:eastAsia="宋体" w:cs="Times New Roman"/>
          <w:kern w:val="0"/>
          <w:szCs w:val="21"/>
          <w:lang w:bidi="en-US"/>
        </w:rPr>
        <w:t>3.</w:t>
      </w:r>
      <w:r>
        <w:rPr>
          <w:rFonts w:ascii="宋体" w:hAnsi="宋体" w:eastAsia="宋体" w:cs="宋体"/>
          <w:kern w:val="0"/>
          <w:szCs w:val="21"/>
          <w:lang w:val="zh-TW" w:eastAsia="zh-TW" w:bidi="zh-TW"/>
        </w:rPr>
        <w:t>良好的制度会使经济活动中的人在增进集体利益或社会利益最大化的过程中实现合理的个人利益最大化。</w:t>
      </w:r>
    </w:p>
    <w:p w14:paraId="274CB8BD">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关于第一个命题。作为逐渐脱离动物界和超越动物本能的人类，具有极其丰富的情感和理智，不是单纯地表现为完全的自私性。倘若我们摆脱单向度的思维定式，超出大小私有者的眼光去观察人类经历过的社会，便可明显地看到三种情形的利他主义（他人利益泛指除自己利益以外的别人利益、集体利益、国家利益和人类利益等）：（</w:t>
      </w:r>
      <w:r>
        <w:rPr>
          <w:rFonts w:ascii="宋体" w:hAnsi="宋体" w:eastAsia="宋体" w:cs="Times New Roman"/>
          <w:kern w:val="0"/>
          <w:szCs w:val="21"/>
          <w:lang w:val="zh-TW" w:eastAsia="zh-TW" w:bidi="zh-TW"/>
        </w:rPr>
        <w:t>1）</w:t>
      </w:r>
      <w:r>
        <w:rPr>
          <w:rFonts w:ascii="宋体" w:hAnsi="宋体" w:eastAsia="宋体" w:cs="宋体"/>
          <w:kern w:val="0"/>
          <w:szCs w:val="21"/>
          <w:lang w:val="zh-TW" w:eastAsia="zh-TW" w:bidi="zh-TW"/>
        </w:rPr>
        <w:t>愿意花费自己的时间、精力和财富，来换取某种即刻可见的他人利益；（</w:t>
      </w:r>
      <w:r>
        <w:rPr>
          <w:rFonts w:ascii="宋体" w:hAnsi="宋体" w:eastAsia="宋体" w:cs="Times New Roman"/>
          <w:kern w:val="0"/>
          <w:szCs w:val="21"/>
          <w:lang w:val="zh-TW" w:eastAsia="zh-TW" w:bidi="zh-TW"/>
        </w:rPr>
        <w:t>2）</w:t>
      </w:r>
      <w:r>
        <w:rPr>
          <w:rFonts w:ascii="宋体" w:hAnsi="宋体" w:eastAsia="宋体" w:cs="宋体"/>
          <w:kern w:val="0"/>
          <w:szCs w:val="21"/>
          <w:lang w:val="zh-TW" w:eastAsia="zh-TW" w:bidi="zh-TW"/>
        </w:rPr>
        <w:t>愿意花费自己的时间、精力和财富，来换取某种未来的他人利益；（</w:t>
      </w:r>
      <w:r>
        <w:rPr>
          <w:rFonts w:ascii="宋体" w:hAnsi="宋体" w:eastAsia="宋体" w:cs="Times New Roman"/>
          <w:kern w:val="0"/>
          <w:szCs w:val="21"/>
          <w:lang w:val="zh-TW" w:eastAsia="zh-TW" w:bidi="zh-TW"/>
        </w:rPr>
        <w:t>3）</w:t>
      </w:r>
      <w:r>
        <w:rPr>
          <w:rFonts w:ascii="宋体" w:hAnsi="宋体" w:eastAsia="宋体" w:cs="宋体"/>
          <w:kern w:val="0"/>
          <w:szCs w:val="21"/>
          <w:lang w:val="zh-TW" w:eastAsia="zh-TW" w:bidi="zh-TW"/>
        </w:rPr>
        <w:t>愿意花费自巳的时间、精力和财富，来换取某种实际无效的他人利益，即愿为他人利益而不讲究实际效果。除了后一种属于特殊和个别的利他行为之外，前两种利他行为既存在于单位、家庭和社会等各个范围，也存在于经济、军事、文化和政治等各个领域。可见，利已与利他是“经济人”（经济主体）可能具有的两种行为特性和行为倾向。</w:t>
      </w:r>
    </w:p>
    <w:p w14:paraId="79DD33F3">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至于社会上利己和利他哪种行为特征突出或占主导地位，那就取决于社会制度和各种环境。因为人的利己与利他是一种社会网络中的互动行为，具有交互性的内在机理，总是与特定的社会整体大环境和群体小环境相关联。摩尔根在潜心探究古代印第安人的原始经济生活后描绘道:</w:t>
      </w:r>
      <w:r>
        <w:rPr>
          <w:rFonts w:ascii="宋体" w:hAnsi="宋体" w:eastAsia="宋体" w:cs="宋体"/>
          <w:kern w:val="0"/>
          <w:szCs w:val="21"/>
          <w:lang w:val="zh-CN" w:bidi="zh-CN"/>
        </w:rPr>
        <w:t>“</w:t>
      </w:r>
      <w:r>
        <w:rPr>
          <w:rFonts w:ascii="宋体" w:hAnsi="宋体" w:eastAsia="宋体" w:cs="宋体"/>
          <w:kern w:val="0"/>
          <w:szCs w:val="21"/>
          <w:lang w:val="zh-TW" w:eastAsia="zh-TW" w:bidi="zh-TW"/>
        </w:rPr>
        <w:t>在很大程度上生活中的共产制是印第安部落的生活条件的必然结果。</w:t>
      </w:r>
      <w:r>
        <w:rPr>
          <w:rFonts w:ascii="宋体" w:hAnsi="宋体" w:eastAsia="宋体" w:cs="宋体"/>
          <w:kern w:val="0"/>
          <w:szCs w:val="21"/>
          <w:lang w:val="zh-CN" w:bidi="zh-CN"/>
        </w:rPr>
        <w:t>……</w:t>
      </w:r>
      <w:r>
        <w:rPr>
          <w:rFonts w:ascii="宋体" w:hAnsi="宋体" w:eastAsia="宋体" w:cs="宋体"/>
          <w:kern w:val="0"/>
          <w:szCs w:val="21"/>
          <w:lang w:val="zh-TW" w:eastAsia="zh-TW" w:bidi="zh-TW"/>
        </w:rPr>
        <w:t>在他们心里还没有产生任何可见程度的个人积蓄的欲望这些风俗习惯展示了他们的生活方式，并且揭示出他们的生活状况与文明社会的生活状况之间，以及没有个体特性的印第安家庭与文明社会高度个性化的家庭之间的巨大差异。”</w:t>
      </w:r>
      <w:r>
        <w:rPr>
          <w:rFonts w:ascii="宋体" w:hAnsi="宋体" w:eastAsia="宋体" w:cs="宋体"/>
          <w:kern w:val="0"/>
          <w:szCs w:val="21"/>
          <w:vertAlign w:val="superscript"/>
          <w:lang w:val="zh-TW" w:eastAsia="zh-TW" w:bidi="zh-TW"/>
        </w:rPr>
        <w:footnoteReference w:id="300"/>
      </w:r>
      <w:r>
        <w:rPr>
          <w:rFonts w:ascii="宋体" w:hAnsi="宋体" w:eastAsia="宋体" w:cs="宋体"/>
          <w:kern w:val="0"/>
          <w:szCs w:val="21"/>
          <w:lang w:val="zh-TW" w:eastAsia="zh-TW" w:bidi="zh-TW"/>
        </w:rPr>
        <w:t>毋容置疑，是以后数千年的多种私有制支配了人类社会,才促使私有经济的活动主体”逐渐驱散了利他心态，甚至见利忘义，惟利是图，损人利己。</w:t>
      </w:r>
    </w:p>
    <w:p w14:paraId="6A545EAD">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必须指出，把一切利他行为均视为利己行为，是不合情理的。旧</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理论的解释者认为，和尚救济穷人,雷锋助人为乐，抗洪牺牲者，反法西斯冲锋陷阵者等，都是自私的，因为当你觉得助人为乐和牺牲光荣时，已经满足了个人的心理需求和主观欲望。这种用主观欲望的满足来界定自私行为的唯心论方法，混淆了利己与利他的客观行为界限，也混淆了真善美与假恶丑的客观行为界限。我们不能不切实际地要求人们产生“助人为悲”、“牺牲可耻”的心理感觉之后，才算其为利他。</w:t>
      </w:r>
    </w:p>
    <w:p w14:paraId="406A106B">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关于第二个命题。与一般自然界的动物相比，人是有理性的动物。人的正常行为是从一定的理性出发,并反映人们对于个人与他人、与社会、与自然的相互关系的思考,决定着行为的形式和内容。广义地说，理性具有纯洁与肮脏、合理与荒唐、正义与邪恶、完善与欠缺、不变与可变、单一与多样、简单与复杂等特性。哲学家尼布尔正是在宽泛的意义上声称，理性归根结底是一种工具，既能服务于善，也能服务于恶。不过，狭义拋说,理性是指认识的纯洁、台理、正义和完善，是认识能力强和认识的高级阶段，而认识的不纯洁甚至肮脏、不合理甚至荒唐、不正义甚至邪恶以及不完善甚至欠缺，便相对地算作非理性。这就是为何有很多哲学家和经济学家歌颂真正理性的原由。可见，理性与非理性一般呈现出相对性、程度性和历史性。难怪马克思说:</w:t>
      </w:r>
      <w:r>
        <w:rPr>
          <w:rFonts w:ascii="宋体" w:hAnsi="宋体" w:eastAsia="宋体" w:cs="宋体"/>
          <w:kern w:val="0"/>
          <w:szCs w:val="21"/>
          <w:lang w:val="zh-CN" w:bidi="zh-CN"/>
        </w:rPr>
        <w:t>“</w:t>
      </w:r>
      <w:r>
        <w:rPr>
          <w:rFonts w:ascii="宋体" w:hAnsi="宋体" w:eastAsia="宋体" w:cs="宋体"/>
          <w:kern w:val="0"/>
          <w:szCs w:val="21"/>
          <w:lang w:val="zh-TW" w:eastAsia="zh-TW" w:bidi="zh-TW"/>
        </w:rPr>
        <w:t>人类理性最不纯洁，因为它只具有不完备的见解,每走一步要遇到新的待解决的任务”。</w:t>
      </w:r>
      <w:r>
        <w:rPr>
          <w:rFonts w:ascii="宋体" w:hAnsi="宋体" w:eastAsia="宋体" w:cs="宋体"/>
          <w:kern w:val="0"/>
          <w:szCs w:val="21"/>
          <w:vertAlign w:val="superscript"/>
          <w:lang w:val="zh-TW" w:eastAsia="zh-TW" w:bidi="zh-TW"/>
        </w:rPr>
        <w:footnoteReference w:id="301"/>
      </w:r>
    </w:p>
    <w:p w14:paraId="5715F035">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从狭义角度分析，经济活动中的人具有理性与非理性两种状态。循着上述确立的新观点，就可以合乎逻辑地解答中外学术界争论不休的难题。例如，抢银行是不是理性的？盗窃是不是理性的？卖淫是不是理性的（波斯纳曾分析过）？造假货是不是理性的？抽烟是不是理性的？</w:t>
      </w:r>
      <w:r>
        <w:rPr>
          <w:rFonts w:ascii="宋体" w:hAnsi="宋体" w:eastAsia="宋体" w:cs="宋体"/>
          <w:kern w:val="0"/>
          <w:szCs w:val="21"/>
          <w:lang w:val="zh-CN" w:bidi="zh-CN"/>
        </w:rPr>
        <w:t>从新“</w:t>
      </w:r>
      <w:r>
        <w:rPr>
          <w:rFonts w:ascii="宋体" w:hAnsi="宋体" w:eastAsia="宋体" w:cs="宋体"/>
          <w:kern w:val="0"/>
          <w:szCs w:val="21"/>
          <w:lang w:val="zh-TW" w:eastAsia="zh-TW" w:bidi="zh-TW"/>
        </w:rPr>
        <w:t>经济人</w:t>
      </w:r>
      <w:r>
        <w:rPr>
          <w:rFonts w:ascii="宋体" w:hAnsi="宋体" w:eastAsia="宋体" w:cs="宋体"/>
          <w:kern w:val="0"/>
          <w:szCs w:val="21"/>
          <w:lang w:val="zh-CN" w:bidi="zh-CN"/>
        </w:rPr>
        <w:t>”的</w:t>
      </w:r>
      <w:r>
        <w:rPr>
          <w:rFonts w:ascii="宋体" w:hAnsi="宋体" w:eastAsia="宋体" w:cs="宋体"/>
          <w:kern w:val="0"/>
          <w:szCs w:val="21"/>
          <w:lang w:val="zh-TW" w:eastAsia="zh-TW" w:bidi="zh-TW"/>
        </w:rPr>
        <w:t>理论来辨析，此类涉及经济的活动均属非理性，尽管他们在行动前一般经过构成其</w:t>
      </w:r>
      <w:r>
        <w:rPr>
          <w:rFonts w:ascii="宋体" w:hAnsi="宋体" w:eastAsia="宋体" w:cs="宋体"/>
          <w:kern w:val="0"/>
          <w:szCs w:val="21"/>
          <w:lang w:val="zh-CN" w:bidi="zh-CN"/>
        </w:rPr>
        <w:t>“</w:t>
      </w:r>
      <w:r>
        <w:rPr>
          <w:rFonts w:ascii="宋体" w:hAnsi="宋体" w:eastAsia="宋体" w:cs="宋体"/>
          <w:kern w:val="0"/>
          <w:szCs w:val="21"/>
          <w:lang w:val="zh-TW" w:eastAsia="zh-TW" w:bidi="zh-TW"/>
        </w:rPr>
        <w:t>行为动机的目的”和</w:t>
      </w:r>
      <w:r>
        <w:rPr>
          <w:rFonts w:ascii="宋体" w:hAnsi="宋体" w:eastAsia="宋体" w:cs="宋体"/>
          <w:kern w:val="0"/>
          <w:szCs w:val="21"/>
          <w:lang w:val="zh-CN" w:bidi="zh-CN"/>
        </w:rPr>
        <w:t>“</w:t>
      </w:r>
      <w:r>
        <w:rPr>
          <w:rFonts w:ascii="宋体" w:hAnsi="宋体" w:eastAsia="宋体" w:cs="宋体"/>
          <w:kern w:val="0"/>
          <w:szCs w:val="21"/>
          <w:lang w:val="zh-TW" w:eastAsia="zh-TW" w:bidi="zh-TW"/>
        </w:rPr>
        <w:t>限制其达到目标的约束条件</w:t>
      </w:r>
      <w:r>
        <w:rPr>
          <w:rFonts w:ascii="宋体" w:hAnsi="宋体" w:eastAsia="宋体" w:cs="宋体"/>
          <w:kern w:val="0"/>
          <w:szCs w:val="21"/>
          <w:lang w:val="zh-CN" w:bidi="zh-CN"/>
        </w:rPr>
        <w:t>”等“</w:t>
      </w:r>
      <w:r>
        <w:rPr>
          <w:rFonts w:ascii="宋体" w:hAnsi="宋体" w:eastAsia="宋体" w:cs="宋体"/>
          <w:kern w:val="0"/>
          <w:szCs w:val="21"/>
          <w:lang w:val="zh-TW" w:eastAsia="zh-TW" w:bidi="zh-TW"/>
        </w:rPr>
        <w:t>理性”的思考（旧</w:t>
      </w:r>
      <w:r>
        <w:rPr>
          <w:rFonts w:ascii="宋体" w:hAnsi="宋体" w:eastAsia="宋体" w:cs="宋体"/>
          <w:kern w:val="0"/>
          <w:szCs w:val="21"/>
          <w:lang w:val="zh-CN" w:bidi="zh-CN"/>
        </w:rPr>
        <w:t>“经济</w:t>
      </w:r>
      <w:r>
        <w:rPr>
          <w:rFonts w:ascii="宋体" w:hAnsi="宋体" w:eastAsia="宋体" w:cs="宋体"/>
          <w:kern w:val="0"/>
          <w:szCs w:val="21"/>
          <w:lang w:val="zh-TW" w:eastAsia="zh-TW" w:bidi="zh-TW"/>
        </w:rPr>
        <w:t>人”理论所强调）。其实，西蒙以企业家只能寻求</w:t>
      </w:r>
      <w:r>
        <w:rPr>
          <w:rFonts w:ascii="宋体" w:hAnsi="宋体" w:eastAsia="宋体" w:cs="宋体"/>
          <w:kern w:val="0"/>
          <w:szCs w:val="21"/>
          <w:lang w:val="zh-CN" w:bidi="zh-CN"/>
        </w:rPr>
        <w:t>“</w:t>
      </w:r>
      <w:r>
        <w:rPr>
          <w:rFonts w:ascii="宋体" w:hAnsi="宋体" w:eastAsia="宋体" w:cs="宋体"/>
          <w:kern w:val="0"/>
          <w:szCs w:val="21"/>
          <w:lang w:val="zh-TW" w:eastAsia="zh-TW" w:bidi="zh-TW"/>
        </w:rPr>
        <w:t>满意的利润”</w:t>
      </w:r>
      <w:r>
        <w:rPr>
          <w:rFonts w:ascii="宋体" w:hAnsi="宋体" w:eastAsia="宋体" w:cs="宋体"/>
          <w:kern w:val="0"/>
          <w:szCs w:val="21"/>
          <w:lang w:val="zh-CN" w:bidi="zh-CN"/>
        </w:rPr>
        <w:t>和“</w:t>
      </w:r>
      <w:r>
        <w:rPr>
          <w:rFonts w:ascii="宋体" w:hAnsi="宋体" w:eastAsia="宋体" w:cs="宋体"/>
          <w:kern w:val="0"/>
          <w:szCs w:val="21"/>
          <w:lang w:val="zh-TW" w:eastAsia="zh-TW" w:bidi="zh-TW"/>
        </w:rPr>
        <w:t>足够好”为”例，来用</w:t>
      </w:r>
      <w:r>
        <w:rPr>
          <w:rFonts w:ascii="宋体" w:hAnsi="宋体" w:eastAsia="宋体" w:cs="宋体"/>
          <w:kern w:val="0"/>
          <w:szCs w:val="21"/>
          <w:lang w:val="zh-CN" w:bidi="zh-CN"/>
        </w:rPr>
        <w:t>“有</w:t>
      </w:r>
      <w:r>
        <w:rPr>
          <w:rFonts w:ascii="宋体" w:hAnsi="宋体" w:eastAsia="宋体" w:cs="宋体"/>
          <w:kern w:val="0"/>
          <w:szCs w:val="21"/>
          <w:lang w:val="zh-TW" w:eastAsia="zh-TW" w:bidi="zh-TW"/>
        </w:rPr>
        <w:t>限理性</w:t>
      </w:r>
      <w:r>
        <w:rPr>
          <w:rFonts w:ascii="宋体" w:hAnsi="宋体" w:eastAsia="宋体" w:cs="宋体"/>
          <w:kern w:val="0"/>
          <w:szCs w:val="21"/>
          <w:lang w:val="zh-CN" w:bidi="zh-CN"/>
        </w:rPr>
        <w:t>”否定“</w:t>
      </w:r>
      <w:r>
        <w:rPr>
          <w:rFonts w:ascii="宋体" w:hAnsi="宋体" w:eastAsia="宋体" w:cs="宋体"/>
          <w:kern w:val="0"/>
          <w:szCs w:val="21"/>
          <w:lang w:val="zh-TW" w:eastAsia="zh-TW" w:bidi="zh-TW"/>
        </w:rPr>
        <w:t>最大化的理性”，是难以驳倒旧</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济人”理性的，因为谁又会主张</w:t>
      </w:r>
      <w:r>
        <w:rPr>
          <w:rFonts w:ascii="宋体" w:hAnsi="宋体" w:eastAsia="宋体" w:cs="宋体"/>
          <w:kern w:val="0"/>
          <w:szCs w:val="21"/>
          <w:lang w:val="zh-CN" w:bidi="zh-CN"/>
        </w:rPr>
        <w:t>“无限</w:t>
      </w:r>
      <w:r>
        <w:rPr>
          <w:rFonts w:ascii="宋体" w:hAnsi="宋体" w:eastAsia="宋体" w:cs="宋体"/>
          <w:kern w:val="0"/>
          <w:szCs w:val="21"/>
          <w:lang w:val="zh-TW" w:eastAsia="zh-TW" w:bidi="zh-TW"/>
        </w:rPr>
        <w:t>理性”和百分之百的</w:t>
      </w:r>
      <w:r>
        <w:rPr>
          <w:rFonts w:ascii="宋体" w:hAnsi="宋体" w:eastAsia="宋体" w:cs="宋体"/>
          <w:kern w:val="0"/>
          <w:szCs w:val="21"/>
          <w:lang w:val="zh-CN" w:bidi="zh-CN"/>
        </w:rPr>
        <w:t>“完全</w:t>
      </w:r>
      <w:r>
        <w:rPr>
          <w:rFonts w:ascii="宋体" w:hAnsi="宋体" w:eastAsia="宋体" w:cs="宋体"/>
          <w:kern w:val="0"/>
          <w:szCs w:val="21"/>
          <w:lang w:val="zh-TW" w:eastAsia="zh-TW" w:bidi="zh-TW"/>
        </w:rPr>
        <w:t>理性”呢？理性上追究约束条件下的最大化，不等于实际经济生活中能实现，但无法因此而否定</w:t>
      </w:r>
      <w:r>
        <w:rPr>
          <w:rFonts w:ascii="宋体" w:hAnsi="宋体" w:eastAsia="宋体" w:cs="宋体"/>
          <w:kern w:val="0"/>
          <w:szCs w:val="21"/>
          <w:lang w:val="zh-CN" w:bidi="zh-CN"/>
        </w:rPr>
        <w:t>“</w:t>
      </w:r>
      <w:r>
        <w:rPr>
          <w:rFonts w:ascii="宋体" w:hAnsi="宋体" w:eastAsia="宋体" w:cs="宋体"/>
          <w:kern w:val="0"/>
          <w:szCs w:val="21"/>
          <w:lang w:val="zh-TW" w:eastAsia="zh-TW" w:bidi="zh-TW"/>
        </w:rPr>
        <w:t>最大化的理”性况且，在约束条件下寻求</w:t>
      </w:r>
      <w:r>
        <w:rPr>
          <w:rFonts w:ascii="宋体" w:hAnsi="宋体" w:eastAsia="宋体" w:cs="宋体"/>
          <w:kern w:val="0"/>
          <w:szCs w:val="21"/>
          <w:lang w:val="zh-CN" w:bidi="zh-CN"/>
        </w:rPr>
        <w:t>“</w:t>
      </w:r>
      <w:r>
        <w:rPr>
          <w:rFonts w:ascii="宋体" w:hAnsi="宋体" w:eastAsia="宋体" w:cs="宋体"/>
          <w:kern w:val="0"/>
          <w:szCs w:val="21"/>
          <w:lang w:val="zh-TW" w:eastAsia="zh-TW" w:bidi="zh-TW"/>
        </w:rPr>
        <w:t>满意的利润”和</w:t>
      </w:r>
      <w:r>
        <w:rPr>
          <w:rFonts w:ascii="宋体" w:hAnsi="宋体" w:eastAsia="宋体" w:cs="宋体"/>
          <w:kern w:val="0"/>
          <w:szCs w:val="21"/>
          <w:lang w:val="zh-CN" w:bidi="zh-CN"/>
        </w:rPr>
        <w:t>“</w:t>
      </w:r>
      <w:r>
        <w:rPr>
          <w:rFonts w:ascii="宋体" w:hAnsi="宋体" w:eastAsia="宋体" w:cs="宋体"/>
          <w:kern w:val="0"/>
          <w:szCs w:val="21"/>
          <w:lang w:val="zh-TW" w:eastAsia="zh-TW" w:bidi="zh-TW"/>
        </w:rPr>
        <w:t>足够好”，实质上就是理性所寻求的利益相对最大化。</w:t>
      </w:r>
    </w:p>
    <w:p w14:paraId="15792E23">
      <w:pPr>
        <w:spacing w:line="400" w:lineRule="exact"/>
        <w:ind w:firstLine="440" w:firstLineChars="200"/>
        <w:rPr>
          <w:rFonts w:ascii="宋体" w:hAnsi="宋体" w:eastAsia="宋体" w:cs="宋体"/>
          <w:kern w:val="0"/>
          <w:szCs w:val="21"/>
          <w:lang w:val="zh-TW" w:eastAsia="zh-TW" w:bidi="zh-TW"/>
        </w:rPr>
      </w:pPr>
      <w:bookmarkStart w:id="971" w:name="bookmark51"/>
      <w:bookmarkEnd w:id="971"/>
      <w:r>
        <w:rPr>
          <w:rFonts w:ascii="宋体" w:hAnsi="宋体" w:eastAsia="宋体" w:cs="宋体"/>
          <w:kern w:val="0"/>
          <w:szCs w:val="21"/>
          <w:lang w:val="zh-TW" w:eastAsia="zh-TW" w:bidi="zh-TW"/>
        </w:rPr>
        <w:t>关于第三个命题。在私有经济范围内，个人追求自身利益最大化的自由行动会无意而正负效应程度不同地增减社会公共利益，并非如旧</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理论所说的，只要有良好的制度保证,个人追求自身利益最大化的自由行动肯定会无意而有效地增进社会公共利益。这是因为：根本经济制度与具体经济制度（确切地说是具体经济体制）有紧密的关联，私有制必然从根本上限制良好经济制度或体制的建立和健全；个人一味地优先追求自身利益最大化,经常会同各类群体利益和社会利益发生矛盾与冲突，个人利益的总和不一定等于群体利益或社会利益的总和与潜在的最大化。</w:t>
      </w:r>
    </w:p>
    <w:p w14:paraId="26B8AD31">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从理论上分析，在社会公有经济范围内，良好的制度会使经济活动中的人在增进集体利益和社会利益最大化的过程中实现合理的个人利益最大化。这是因为：在良好的制度下，公有经济的基点是为集体或社会谋利益，作为在其中活动的个人及其理性首先要服从集体理性或社会理性，即首先寻求集体利益最大化（类似戴维</w:t>
      </w:r>
      <w:r>
        <w:rPr>
          <w:rFonts w:ascii="宋体" w:hAnsi="宋体" w:eastAsia="宋体" w:cs="宋体"/>
          <w:kern w:val="0"/>
          <w:szCs w:val="21"/>
          <w:lang w:bidi="en-US"/>
        </w:rPr>
        <w:t>•</w:t>
      </w:r>
      <w:r>
        <w:rPr>
          <w:rFonts w:ascii="宋体" w:hAnsi="宋体" w:eastAsia="宋体" w:cs="宋体"/>
          <w:kern w:val="0"/>
          <w:szCs w:val="21"/>
          <w:lang w:val="zh-TW" w:eastAsia="zh-TW" w:bidi="zh-TW"/>
        </w:rPr>
        <w:t>米勒等所说的</w:t>
      </w:r>
      <w:r>
        <w:rPr>
          <w:rFonts w:ascii="宋体" w:hAnsi="宋体" w:eastAsia="宋体" w:cs="宋体"/>
          <w:kern w:val="0"/>
          <w:szCs w:val="21"/>
          <w:lang w:val="zh-CN" w:bidi="zh-CN"/>
        </w:rPr>
        <w:t>“社群</w:t>
      </w:r>
      <w:r>
        <w:rPr>
          <w:rFonts w:ascii="宋体" w:hAnsi="宋体" w:eastAsia="宋体" w:cs="宋体"/>
          <w:kern w:val="0"/>
          <w:szCs w:val="21"/>
          <w:lang w:val="zh-TW" w:eastAsia="zh-TW" w:bidi="zh-TW"/>
        </w:rPr>
        <w:t>”，但这里不谈社会理性与集体理性的矛盾）或社会利益最大化，否则，就会因个人主义而受到利益制约和利益损失;在良好的制度下，已经取得相对最大化的集体利益或社会利益，必然较公平地分配到每个人（如按劳分配等），从而最终实现个人利益的最大化。</w:t>
      </w:r>
    </w:p>
    <w:p w14:paraId="378856AA">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现在，直观的流行思维可能会以某些公有企业不景气为理由来非议上述理念，这肯定不能成立。诚然，以上理论探析的正确性有待于详细的逻辑证明和实践检验，尤其是公有制能否实际达到高绩效,须以高水平管理的操作为前提。但迄今为止的公有制实践，已经部分地有力证实了新</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济人”理论。哲学上的证伪主义有些绝对化。理论不是不能被证实，而是可能一直被不断地或间歇地部分证实。所谓实践是检验真理的标准，也并非单指某一时点上的具体经验或实践。</w:t>
      </w:r>
    </w:p>
    <w:p w14:paraId="56C94696">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应当指出，近有新的论文一方面辩解说假定人自私，绝非倡导人们自私，另一方面又赞同“人为财死，鸟为食亡”的“完全利己经济人假设</w:t>
      </w:r>
      <w:r>
        <w:rPr>
          <w:rFonts w:ascii="宋体" w:hAnsi="宋体" w:eastAsia="宋体" w:cs="宋体"/>
          <w:kern w:val="0"/>
          <w:szCs w:val="21"/>
          <w:lang w:bidi="en-US"/>
        </w:rPr>
        <w:t>”,</w:t>
      </w:r>
      <w:r>
        <w:rPr>
          <w:rFonts w:ascii="宋体" w:hAnsi="宋体" w:eastAsia="宋体" w:cs="宋体"/>
          <w:kern w:val="0"/>
          <w:szCs w:val="21"/>
          <w:lang w:val="zh-TW" w:eastAsia="zh-TW" w:bidi="zh-TW"/>
        </w:rPr>
        <w:t>并只承认人的自私可以导致社会协作与公共福利的增加。</w:t>
      </w:r>
      <w:r>
        <w:rPr>
          <w:rFonts w:ascii="宋体" w:hAnsi="宋体" w:eastAsia="宋体" w:cs="宋体"/>
          <w:kern w:val="0"/>
          <w:szCs w:val="21"/>
          <w:vertAlign w:val="superscript"/>
          <w:lang w:val="zh-TW" w:eastAsia="zh-TW" w:bidi="zh-TW"/>
        </w:rPr>
        <w:footnoteReference w:id="302"/>
      </w:r>
      <w:r>
        <w:rPr>
          <w:rFonts w:ascii="宋体" w:hAnsi="宋体" w:eastAsia="宋体" w:cs="宋体"/>
          <w:kern w:val="0"/>
          <w:szCs w:val="21"/>
          <w:lang w:val="zh-TW" w:eastAsia="zh-TW" w:bidi="zh-TW"/>
        </w:rPr>
        <w:t>其实，西方已有日渐增多的文献探讨利他经济人假设和理论模型,利他经济人假设对制度安排、诚信建设和荣辱观教育等都具有积极的作用，更可以导致社会协作与公共福利的增加。</w:t>
      </w:r>
    </w:p>
    <w:p w14:paraId="5E87B856">
      <w:pPr>
        <w:spacing w:line="400" w:lineRule="exact"/>
        <w:ind w:firstLine="440" w:firstLineChars="200"/>
        <w:rPr>
          <w:rFonts w:ascii="宋体" w:hAnsi="宋体" w:eastAsia="宋体" w:cs="宋体"/>
          <w:kern w:val="0"/>
          <w:szCs w:val="21"/>
          <w:lang w:val="zh-TW" w:eastAsia="zh-TW" w:bidi="zh-TW"/>
        </w:rPr>
      </w:pPr>
      <w:r>
        <w:rPr>
          <w:rFonts w:ascii="宋体" w:hAnsi="宋体" w:eastAsia="宋体" w:cs="Times New Roman"/>
          <w:kern w:val="0"/>
          <w:szCs w:val="21"/>
          <w:lang w:val="zh-TW" w:eastAsia="zh-TW" w:bidi="zh-TW"/>
        </w:rPr>
        <w:t>2</w:t>
      </w:r>
      <w:r>
        <w:rPr>
          <w:rFonts w:ascii="宋体" w:hAnsi="宋体" w:eastAsia="宋体" w:cs="宋体"/>
          <w:kern w:val="0"/>
          <w:szCs w:val="21"/>
          <w:lang w:val="zh-TW" w:eastAsia="zh-TW" w:bidi="zh-TW"/>
        </w:rPr>
        <w:t>。世纪西方著名的经济学家凯恩斯曾作出一个经济哲学的重要预言：一旦民众都实现了物质富足，人们</w:t>
      </w:r>
      <w:r>
        <w:rPr>
          <w:rFonts w:ascii="宋体" w:hAnsi="宋体" w:eastAsia="宋体" w:cs="宋体"/>
          <w:kern w:val="0"/>
          <w:szCs w:val="21"/>
          <w:lang w:val="zh-CN" w:bidi="zh-CN"/>
        </w:rPr>
        <w:t>就会</w:t>
      </w:r>
      <w:r>
        <w:rPr>
          <w:rFonts w:ascii="宋体" w:hAnsi="宋体" w:eastAsia="宋体" w:cs="宋体"/>
          <w:kern w:val="0"/>
          <w:szCs w:val="21"/>
          <w:lang w:val="zh-TW" w:eastAsia="zh-TW" w:bidi="zh-TW"/>
        </w:rPr>
        <w:t>“再一次把目的看得重于手段，宁愿追求善而不追求实用</w:t>
      </w:r>
      <w:r>
        <w:rPr>
          <w:rFonts w:ascii="宋体" w:hAnsi="宋体" w:eastAsia="宋体" w:cs="宋体"/>
          <w:kern w:val="0"/>
          <w:szCs w:val="21"/>
          <w:lang w:bidi="en-US"/>
        </w:rPr>
        <w:t>”；</w:t>
      </w:r>
      <w:r>
        <w:rPr>
          <w:rFonts w:ascii="宋体" w:hAnsi="宋体" w:eastAsia="宋体" w:cs="宋体"/>
          <w:kern w:val="0"/>
          <w:szCs w:val="21"/>
          <w:lang w:val="zh-TW" w:eastAsia="zh-TW" w:bidi="zh-TW"/>
        </w:rPr>
        <w:t>到那时，社会将“回到最稳定可靠的宗教原则与传统原则——即以贪婪为邪恶，以高利贷勒索为不端行为，以爱财为可憎</w:t>
      </w:r>
      <w:r>
        <w:rPr>
          <w:rFonts w:hint="eastAsia" w:ascii="宋体" w:hAnsi="宋体" w:eastAsia="宋体" w:cs="宋体"/>
          <w:kern w:val="0"/>
          <w:szCs w:val="21"/>
          <w:lang w:val="zh-CN" w:bidi="zh-CN"/>
        </w:rPr>
        <w:t>。</w:t>
      </w:r>
      <w:r>
        <w:rPr>
          <w:rFonts w:ascii="宋体" w:hAnsi="宋体" w:eastAsia="宋体" w:cs="宋体"/>
          <w:kern w:val="0"/>
          <w:szCs w:val="21"/>
          <w:lang w:val="zh-CN" w:bidi="zh-CN"/>
        </w:rPr>
        <w:t>可是</w:t>
      </w:r>
      <w:r>
        <w:rPr>
          <w:rFonts w:ascii="宋体" w:hAnsi="宋体" w:eastAsia="宋体" w:cs="宋体"/>
          <w:kern w:val="0"/>
          <w:szCs w:val="21"/>
          <w:lang w:val="zh-TW" w:eastAsia="zh-TW" w:bidi="zh-TW"/>
        </w:rPr>
        <w:t>，要注意这样的时候还没有到来。至少在一百年内，我们还必须对己对人扬言美就是恶，恶就是美；因为恶实用，美不实用。我们还会有稍长一段时冋要把贪婪、高利贷剥削、防范戒备奉为信条。只有这样，才能把我们从经济必然性的地道里引领出来见到天日。”</w:t>
      </w:r>
      <w:r>
        <w:rPr>
          <w:rFonts w:ascii="宋体" w:hAnsi="宋体" w:eastAsia="宋体" w:cs="宋体"/>
          <w:kern w:val="0"/>
          <w:szCs w:val="21"/>
          <w:vertAlign w:val="superscript"/>
          <w:lang w:val="zh-TW" w:eastAsia="zh-TW" w:bidi="zh-TW"/>
        </w:rPr>
        <w:footnoteReference w:id="303"/>
      </w:r>
      <w:r>
        <w:rPr>
          <w:rFonts w:ascii="宋体" w:hAnsi="宋体" w:eastAsia="宋体" w:cs="Times New Roman"/>
          <w:kern w:val="0"/>
          <w:szCs w:val="21"/>
          <w:lang w:val="zh-TW" w:eastAsia="zh-TW" w:bidi="zh-TW"/>
        </w:rPr>
        <w:t>20</w:t>
      </w:r>
      <w:r>
        <w:rPr>
          <w:rFonts w:ascii="宋体" w:hAnsi="宋体" w:eastAsia="宋体" w:cs="宋体"/>
          <w:kern w:val="0"/>
          <w:szCs w:val="21"/>
          <w:lang w:val="zh-TW" w:eastAsia="zh-TW" w:bidi="zh-TW"/>
        </w:rPr>
        <w:t>世纪最有影响的基督教哲学家尼布尔也作出了杰出的预见:“社会冲突和不公正的根源建立在人的无知与自私上，资本主义通过使人的关系带有日益增强的技术性而更清楚地揭示出人类活动的经济动机，它使经济学家亚当</w:t>
      </w:r>
      <w:r>
        <w:rPr>
          <w:rFonts w:hint="eastAsia" w:ascii="宋体" w:hAnsi="宋体" w:eastAsia="宋体" w:cs="宋体"/>
          <w:kern w:val="0"/>
          <w:szCs w:val="21"/>
          <w:lang w:val="zh-TW" w:eastAsia="zh-TW" w:bidi="zh-TW"/>
        </w:rPr>
        <w:t>·</w:t>
      </w:r>
      <w:r>
        <w:rPr>
          <w:rFonts w:ascii="宋体" w:hAnsi="宋体" w:eastAsia="宋体" w:cs="宋体"/>
          <w:kern w:val="0"/>
          <w:szCs w:val="21"/>
          <w:lang w:val="zh-TW" w:eastAsia="zh-TW" w:bidi="zh-TW"/>
        </w:rPr>
        <w:t>斯密抽象出来的经济人成为活生生的现实。</w:t>
      </w:r>
      <w:r>
        <w:rPr>
          <w:rFonts w:ascii="宋体" w:hAnsi="宋体" w:eastAsia="宋体" w:cs="宋体"/>
          <w:kern w:val="0"/>
          <w:szCs w:val="21"/>
          <w:lang w:val="zh-CN" w:bidi="zh-CN"/>
        </w:rPr>
        <w:t>……</w:t>
      </w:r>
      <w:r>
        <w:rPr>
          <w:rFonts w:ascii="宋体" w:hAnsi="宋体" w:eastAsia="宋体" w:cs="宋体"/>
          <w:kern w:val="0"/>
          <w:szCs w:val="21"/>
          <w:lang w:val="zh-TW" w:eastAsia="zh-TW" w:bidi="zh-TW"/>
        </w:rPr>
        <w:t>通过使一个具有特定经济地位的个人更明确地加入一个自觉的社会政治集团并让他们建立起能表达集团共同利益的组织，从而加剧了阶级之间的冲突和对抗。</w:t>
      </w:r>
      <w:r>
        <w:rPr>
          <w:rFonts w:ascii="宋体" w:hAnsi="宋体" w:eastAsia="宋体" w:cs="宋体"/>
          <w:kern w:val="0"/>
          <w:szCs w:val="21"/>
          <w:lang w:val="zh-CN" w:bidi="zh-CN"/>
        </w:rPr>
        <w:t>……</w:t>
      </w:r>
      <w:r>
        <w:rPr>
          <w:rFonts w:ascii="宋体" w:hAnsi="宋体" w:eastAsia="宋体" w:cs="宋体"/>
          <w:kern w:val="0"/>
          <w:szCs w:val="21"/>
          <w:lang w:val="zh-TW" w:eastAsia="zh-TW" w:bidi="zh-TW"/>
        </w:rPr>
        <w:t>事实上，马克思主义的社会主义足够正确地说明了产业工人对社会和历史的看法，从而使它成为所有自觉的有政治才智的产业工人可以接受的社会和政治哲学。”</w:t>
      </w:r>
      <w:r>
        <w:rPr>
          <w:rFonts w:ascii="宋体" w:hAnsi="宋体" w:eastAsia="宋体" w:cs="宋体"/>
          <w:kern w:val="0"/>
          <w:szCs w:val="21"/>
          <w:vertAlign w:val="superscript"/>
          <w:lang w:val="zh-TW" w:eastAsia="zh-TW" w:bidi="zh-TW"/>
        </w:rPr>
        <w:footnoteReference w:id="304"/>
      </w:r>
      <w:r>
        <w:rPr>
          <w:rFonts w:ascii="宋体" w:hAnsi="宋体" w:eastAsia="宋体" w:cs="宋体"/>
          <w:kern w:val="0"/>
          <w:szCs w:val="21"/>
          <w:lang w:val="zh-TW" w:eastAsia="zh-TW" w:bidi="zh-TW"/>
        </w:rPr>
        <w:t>这两位思想大师都可对新</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济人”的假设和理论加以佐证。</w:t>
      </w:r>
    </w:p>
    <w:p w14:paraId="41DC941D">
      <w:pPr>
        <w:spacing w:line="400" w:lineRule="exact"/>
        <w:ind w:firstLine="440" w:firstLineChars="200"/>
        <w:jc w:val="center"/>
        <w:rPr>
          <w:rFonts w:ascii="宋体" w:hAnsi="宋体" w:eastAsia="宋体" w:cs="宋体"/>
          <w:kern w:val="0"/>
          <w:szCs w:val="21"/>
          <w:lang w:val="zh-TW" w:eastAsia="zh-TW" w:bidi="zh-TW"/>
        </w:rPr>
      </w:pPr>
      <w:r>
        <w:rPr>
          <w:rFonts w:ascii="宋体" w:hAnsi="宋体" w:eastAsia="宋体" w:cs="宋体"/>
          <w:kern w:val="0"/>
          <w:szCs w:val="21"/>
          <w:lang w:val="zh-TW" w:eastAsia="zh-TW" w:bidi="zh-TW"/>
        </w:rPr>
        <w:t>参考文献</w:t>
      </w:r>
    </w:p>
    <w:p w14:paraId="52709042">
      <w:pPr>
        <w:spacing w:line="400" w:lineRule="exact"/>
        <w:rPr>
          <w:rFonts w:ascii="宋体" w:hAnsi="宋体" w:eastAsia="宋体" w:cs="宋体"/>
          <w:kern w:val="0"/>
          <w:szCs w:val="21"/>
          <w:lang w:val="zh-TW" w:eastAsia="zh-TW" w:bidi="zh-TW"/>
        </w:rPr>
      </w:pPr>
      <w:r>
        <w:rPr>
          <w:rFonts w:ascii="宋体" w:hAnsi="宋体" w:eastAsia="宋体" w:cs="宋体"/>
          <w:kern w:val="0"/>
          <w:szCs w:val="21"/>
          <w:lang w:val="zh-TW" w:eastAsia="zh-TW" w:bidi="zh-TW"/>
        </w:rPr>
        <w:t>［</w:t>
      </w:r>
      <w:r>
        <w:rPr>
          <w:rFonts w:hint="eastAsia" w:ascii="宋体" w:hAnsi="宋体" w:eastAsia="宋体" w:cs="宋体"/>
          <w:kern w:val="0"/>
          <w:szCs w:val="21"/>
          <w:lang w:val="zh-TW" w:bidi="zh-TW"/>
        </w:rPr>
        <w:t>1］</w:t>
      </w:r>
      <w:r>
        <w:rPr>
          <w:rFonts w:ascii="宋体" w:hAnsi="宋体" w:eastAsia="宋体" w:cs="宋体"/>
          <w:kern w:val="0"/>
          <w:szCs w:val="21"/>
          <w:lang w:val="zh-TW" w:eastAsia="zh-TW" w:bidi="zh-TW"/>
        </w:rPr>
        <w:t>马克思、恩格斯.马克思恩格斯全集</w:t>
      </w:r>
      <w:r>
        <w:rPr>
          <w:rFonts w:ascii="宋体" w:hAnsi="宋体" w:eastAsia="宋体" w:cs="Times New Roman"/>
          <w:kern w:val="0"/>
          <w:szCs w:val="21"/>
          <w:lang w:bidi="en-US"/>
        </w:rPr>
        <w:t>［M］.</w:t>
      </w:r>
      <w:r>
        <w:rPr>
          <w:rFonts w:ascii="宋体" w:hAnsi="宋体" w:eastAsia="宋体" w:cs="宋体"/>
          <w:kern w:val="0"/>
          <w:szCs w:val="21"/>
          <w:lang w:val="zh-TW" w:eastAsia="zh-TW" w:bidi="zh-TW"/>
        </w:rPr>
        <w:t>第</w:t>
      </w:r>
      <w:r>
        <w:rPr>
          <w:rFonts w:ascii="宋体" w:hAnsi="宋体" w:eastAsia="宋体" w:cs="Times New Roman"/>
          <w:kern w:val="0"/>
          <w:szCs w:val="21"/>
          <w:lang w:val="zh-TW" w:eastAsia="zh-TW" w:bidi="zh-TW"/>
        </w:rPr>
        <w:t>23</w:t>
      </w:r>
      <w:r>
        <w:rPr>
          <w:rFonts w:hint="eastAsia" w:ascii="微软雅黑" w:hAnsi="微软雅黑" w:eastAsia="微软雅黑" w:cs="微软雅黑"/>
          <w:kern w:val="0"/>
          <w:szCs w:val="21"/>
          <w:lang w:val="zh-TW" w:eastAsia="zh-TW" w:bidi="zh-TW"/>
        </w:rPr>
        <w:t>〜</w:t>
      </w:r>
      <w:r>
        <w:rPr>
          <w:rFonts w:ascii="宋体" w:hAnsi="宋体" w:eastAsia="宋体" w:cs="Times New Roman"/>
          <w:kern w:val="0"/>
          <w:szCs w:val="21"/>
          <w:lang w:val="zh-TW" w:eastAsia="zh-TW" w:bidi="zh-TW"/>
        </w:rPr>
        <w:t>25</w:t>
      </w:r>
      <w:r>
        <w:rPr>
          <w:rFonts w:ascii="宋体" w:hAnsi="宋体" w:eastAsia="宋体" w:cs="宋体"/>
          <w:kern w:val="0"/>
          <w:szCs w:val="21"/>
          <w:lang w:val="zh-TW" w:eastAsia="zh-TW" w:bidi="zh-TW"/>
        </w:rPr>
        <w:t>卷.北京：人民出版社</w:t>
      </w:r>
      <w:r>
        <w:rPr>
          <w:rFonts w:ascii="宋体" w:hAnsi="宋体" w:eastAsia="宋体" w:cs="Times New Roman"/>
          <w:kern w:val="0"/>
          <w:szCs w:val="21"/>
          <w:lang w:bidi="en-US"/>
        </w:rPr>
        <w:t>,1972.</w:t>
      </w:r>
    </w:p>
    <w:p w14:paraId="6514DCEF">
      <w:pPr>
        <w:tabs>
          <w:tab w:val="left" w:pos="432"/>
        </w:tabs>
        <w:spacing w:line="400" w:lineRule="exact"/>
        <w:rPr>
          <w:rFonts w:ascii="宋体" w:hAnsi="宋体" w:eastAsia="宋体" w:cs="宋体"/>
          <w:kern w:val="0"/>
          <w:szCs w:val="21"/>
          <w:lang w:val="zh-TW" w:eastAsia="zh-TW" w:bidi="zh-TW"/>
        </w:rPr>
      </w:pPr>
      <w:bookmarkStart w:id="972" w:name="bookmark53"/>
      <w:r>
        <w:rPr>
          <w:rFonts w:ascii="宋体" w:hAnsi="宋体" w:eastAsia="宋体" w:cs="Times New Roman"/>
          <w:kern w:val="0"/>
          <w:szCs w:val="21"/>
          <w:lang w:bidi="en-US"/>
        </w:rPr>
        <w:t>［</w:t>
      </w:r>
      <w:bookmarkEnd w:id="972"/>
      <w:r>
        <w:rPr>
          <w:rFonts w:ascii="宋体" w:hAnsi="宋体" w:eastAsia="宋体" w:cs="Times New Roman"/>
          <w:kern w:val="0"/>
          <w:szCs w:val="21"/>
          <w:lang w:bidi="en-US"/>
        </w:rPr>
        <w:t>2］</w:t>
      </w:r>
      <w:r>
        <w:rPr>
          <w:rFonts w:ascii="宋体" w:hAnsi="宋体" w:eastAsia="宋体" w:cs="宋体"/>
          <w:kern w:val="0"/>
          <w:szCs w:val="21"/>
          <w:lang w:val="zh-TW" w:eastAsia="zh-TW" w:bidi="zh-TW"/>
        </w:rPr>
        <w:t>程恩富.西方产权理论评析</w:t>
      </w:r>
      <w:r>
        <w:rPr>
          <w:rFonts w:ascii="宋体" w:hAnsi="宋体" w:eastAsia="宋体" w:cs="Times New Roman"/>
          <w:kern w:val="0"/>
          <w:szCs w:val="21"/>
          <w:lang w:bidi="en-US"/>
        </w:rPr>
        <w:t>［M］.</w:t>
      </w:r>
      <w:r>
        <w:rPr>
          <w:rFonts w:ascii="宋体" w:hAnsi="宋体" w:eastAsia="宋体" w:cs="宋体"/>
          <w:kern w:val="0"/>
          <w:szCs w:val="21"/>
          <w:lang w:val="zh-TW" w:eastAsia="zh-TW" w:bidi="zh-TW"/>
        </w:rPr>
        <w:t>北京：当代中国出版社</w:t>
      </w:r>
      <w:r>
        <w:rPr>
          <w:rFonts w:ascii="宋体" w:hAnsi="宋体" w:eastAsia="宋体" w:cs="Times New Roman"/>
          <w:kern w:val="0"/>
          <w:szCs w:val="21"/>
          <w:lang w:bidi="en-US"/>
        </w:rPr>
        <w:t>,1997.</w:t>
      </w:r>
    </w:p>
    <w:p w14:paraId="0E506060">
      <w:pPr>
        <w:tabs>
          <w:tab w:val="left" w:pos="432"/>
        </w:tabs>
        <w:spacing w:line="400" w:lineRule="exact"/>
        <w:rPr>
          <w:rFonts w:ascii="宋体" w:hAnsi="宋体" w:eastAsia="宋体" w:cs="宋体"/>
          <w:kern w:val="0"/>
          <w:szCs w:val="21"/>
          <w:lang w:val="zh-TW" w:eastAsia="zh-TW" w:bidi="zh-TW"/>
        </w:rPr>
      </w:pPr>
      <w:bookmarkStart w:id="973" w:name="bookmark54"/>
      <w:r>
        <w:rPr>
          <w:rFonts w:ascii="宋体" w:hAnsi="宋体" w:eastAsia="宋体" w:cs="Times New Roman"/>
          <w:kern w:val="0"/>
          <w:szCs w:val="21"/>
          <w:lang w:bidi="en-US"/>
        </w:rPr>
        <w:t>［</w:t>
      </w:r>
      <w:bookmarkEnd w:id="973"/>
      <w:r>
        <w:rPr>
          <w:rFonts w:ascii="宋体" w:hAnsi="宋体" w:eastAsia="宋体" w:cs="Times New Roman"/>
          <w:kern w:val="0"/>
          <w:szCs w:val="21"/>
          <w:lang w:bidi="en-US"/>
        </w:rPr>
        <w:t>3］</w:t>
      </w:r>
      <w:r>
        <w:rPr>
          <w:rFonts w:ascii="宋体" w:hAnsi="宋体" w:eastAsia="宋体" w:cs="宋体"/>
          <w:kern w:val="0"/>
          <w:szCs w:val="21"/>
          <w:lang w:val="zh-TW" w:eastAsia="zh-TW" w:bidi="zh-TW"/>
        </w:rPr>
        <w:t>贝克尔.人类行为的经济分析</w:t>
      </w:r>
      <w:r>
        <w:rPr>
          <w:rFonts w:ascii="宋体" w:hAnsi="宋体" w:eastAsia="宋体" w:cs="Times New Roman"/>
          <w:kern w:val="0"/>
          <w:szCs w:val="21"/>
          <w:lang w:bidi="en-US"/>
        </w:rPr>
        <w:t>［M］.</w:t>
      </w:r>
      <w:r>
        <w:rPr>
          <w:rFonts w:ascii="宋体" w:hAnsi="宋体" w:eastAsia="宋体" w:cs="宋体"/>
          <w:kern w:val="0"/>
          <w:szCs w:val="21"/>
          <w:lang w:val="zh-TW" w:eastAsia="zh-TW" w:bidi="zh-TW"/>
        </w:rPr>
        <w:t>上海：三联出版社</w:t>
      </w:r>
      <w:r>
        <w:rPr>
          <w:rFonts w:ascii="宋体" w:hAnsi="宋体" w:eastAsia="宋体" w:cs="Times New Roman"/>
          <w:kern w:val="0"/>
          <w:szCs w:val="21"/>
          <w:lang w:bidi="en-US"/>
        </w:rPr>
        <w:t>,1993.</w:t>
      </w:r>
    </w:p>
    <w:p w14:paraId="4AA4D681">
      <w:pPr>
        <w:tabs>
          <w:tab w:val="left" w:pos="432"/>
        </w:tabs>
        <w:spacing w:line="400" w:lineRule="exact"/>
        <w:rPr>
          <w:rFonts w:ascii="宋体" w:hAnsi="宋体" w:eastAsia="宋体" w:cs="宋体"/>
          <w:kern w:val="0"/>
          <w:szCs w:val="21"/>
          <w:lang w:val="zh-TW" w:eastAsia="zh-TW" w:bidi="zh-TW"/>
        </w:rPr>
      </w:pPr>
      <w:bookmarkStart w:id="974" w:name="bookmark55"/>
      <w:r>
        <w:rPr>
          <w:rFonts w:ascii="宋体" w:hAnsi="宋体" w:eastAsia="宋体" w:cs="Times New Roman"/>
          <w:kern w:val="0"/>
          <w:szCs w:val="21"/>
          <w:lang w:bidi="en-US"/>
        </w:rPr>
        <w:t>［</w:t>
      </w:r>
      <w:bookmarkEnd w:id="974"/>
      <w:r>
        <w:rPr>
          <w:rFonts w:ascii="宋体" w:hAnsi="宋体" w:eastAsia="宋体" w:cs="Times New Roman"/>
          <w:kern w:val="0"/>
          <w:szCs w:val="21"/>
          <w:lang w:bidi="en-US"/>
        </w:rPr>
        <w:t>4］</w:t>
      </w:r>
      <w:r>
        <w:rPr>
          <w:rFonts w:ascii="宋体" w:hAnsi="宋体" w:eastAsia="宋体" w:cs="宋体"/>
          <w:kern w:val="0"/>
          <w:szCs w:val="21"/>
          <w:lang w:val="zh-TW" w:eastAsia="zh-TW" w:bidi="zh-TW"/>
        </w:rPr>
        <w:t>哈</w:t>
      </w:r>
      <w:r>
        <w:rPr>
          <w:rFonts w:ascii="宋体" w:hAnsi="宋体" w:eastAsia="宋体" w:cs="宋体"/>
          <w:kern w:val="0"/>
          <w:szCs w:val="21"/>
          <w:lang w:val="zh-CN" w:bidi="zh-CN"/>
        </w:rPr>
        <w:t>耶克.</w:t>
      </w:r>
      <w:r>
        <w:rPr>
          <w:rFonts w:ascii="宋体" w:hAnsi="宋体" w:eastAsia="宋体" w:cs="宋体"/>
          <w:kern w:val="0"/>
          <w:szCs w:val="21"/>
          <w:lang w:val="zh-TW" w:eastAsia="zh-TW" w:bidi="zh-TW"/>
        </w:rPr>
        <w:t>个人主义与经济秩序</w:t>
      </w:r>
      <w:r>
        <w:rPr>
          <w:rFonts w:ascii="宋体" w:hAnsi="宋体" w:eastAsia="宋体" w:cs="Times New Roman"/>
          <w:kern w:val="0"/>
          <w:szCs w:val="21"/>
          <w:lang w:bidi="en-US"/>
        </w:rPr>
        <w:t>［M］.</w:t>
      </w:r>
      <w:r>
        <w:rPr>
          <w:rFonts w:ascii="宋体" w:hAnsi="宋体" w:eastAsia="宋体" w:cs="宋体"/>
          <w:kern w:val="0"/>
          <w:szCs w:val="21"/>
          <w:lang w:val="zh-TW" w:eastAsia="zh-TW" w:bidi="zh-TW"/>
        </w:rPr>
        <w:t>北京:北京经济学院出版社</w:t>
      </w:r>
      <w:r>
        <w:rPr>
          <w:rFonts w:ascii="宋体" w:hAnsi="宋体" w:eastAsia="宋体" w:cs="Times New Roman"/>
          <w:kern w:val="0"/>
          <w:szCs w:val="21"/>
          <w:lang w:bidi="en-US"/>
        </w:rPr>
        <w:t>,1989.</w:t>
      </w:r>
    </w:p>
    <w:p w14:paraId="3C3F453B">
      <w:pPr>
        <w:tabs>
          <w:tab w:val="left" w:pos="432"/>
        </w:tabs>
        <w:spacing w:line="400" w:lineRule="exact"/>
        <w:rPr>
          <w:rFonts w:ascii="宋体" w:hAnsi="宋体" w:eastAsia="宋体" w:cs="宋体"/>
          <w:kern w:val="0"/>
          <w:szCs w:val="21"/>
          <w:lang w:val="zh-TW" w:eastAsia="zh-TW" w:bidi="zh-TW"/>
        </w:rPr>
      </w:pPr>
      <w:bookmarkStart w:id="975" w:name="bookmark56"/>
      <w:r>
        <w:rPr>
          <w:rFonts w:ascii="宋体" w:hAnsi="宋体" w:eastAsia="宋体" w:cs="Times New Roman"/>
          <w:kern w:val="0"/>
          <w:szCs w:val="21"/>
          <w:lang w:bidi="en-US"/>
        </w:rPr>
        <w:t>［</w:t>
      </w:r>
      <w:bookmarkEnd w:id="975"/>
      <w:r>
        <w:rPr>
          <w:rFonts w:ascii="宋体" w:hAnsi="宋体" w:eastAsia="宋体" w:cs="Times New Roman"/>
          <w:kern w:val="0"/>
          <w:szCs w:val="21"/>
          <w:lang w:bidi="en-US"/>
        </w:rPr>
        <w:t>5］</w:t>
      </w:r>
      <w:r>
        <w:rPr>
          <w:rFonts w:ascii="宋体" w:hAnsi="宋体" w:eastAsia="宋体" w:cs="宋体"/>
          <w:kern w:val="0"/>
          <w:szCs w:val="21"/>
          <w:lang w:val="zh-TW" w:eastAsia="zh-TW" w:bidi="zh-TW"/>
        </w:rPr>
        <w:t>斯密.国民财富的性质及原因的研究</w:t>
      </w:r>
      <w:r>
        <w:rPr>
          <w:rFonts w:ascii="宋体" w:hAnsi="宋体" w:eastAsia="宋体" w:cs="Times New Roman"/>
          <w:kern w:val="0"/>
          <w:szCs w:val="21"/>
          <w:lang w:bidi="en-US"/>
        </w:rPr>
        <w:t>［M］.</w:t>
      </w:r>
      <w:r>
        <w:rPr>
          <w:rFonts w:ascii="宋体" w:hAnsi="宋体" w:eastAsia="宋体" w:cs="宋体"/>
          <w:kern w:val="0"/>
          <w:szCs w:val="21"/>
          <w:lang w:val="zh-TW" w:eastAsia="zh-TW" w:bidi="zh-TW"/>
        </w:rPr>
        <w:t>上册.北京：商务印书馆</w:t>
      </w:r>
      <w:r>
        <w:rPr>
          <w:rFonts w:ascii="宋体" w:hAnsi="宋体" w:eastAsia="宋体" w:cs="Times New Roman"/>
          <w:kern w:val="0"/>
          <w:szCs w:val="21"/>
          <w:lang w:bidi="en-US"/>
        </w:rPr>
        <w:t>,1974.</w:t>
      </w:r>
    </w:p>
    <w:p w14:paraId="1AC6FDC1">
      <w:pPr>
        <w:tabs>
          <w:tab w:val="left" w:pos="432"/>
        </w:tabs>
        <w:spacing w:line="400" w:lineRule="exact"/>
        <w:rPr>
          <w:rFonts w:ascii="宋体" w:hAnsi="宋体" w:eastAsia="宋体" w:cs="宋体"/>
          <w:kern w:val="0"/>
          <w:szCs w:val="21"/>
          <w:lang w:val="zh-TW" w:eastAsia="zh-TW" w:bidi="zh-TW"/>
        </w:rPr>
      </w:pPr>
      <w:bookmarkStart w:id="976" w:name="bookmark57"/>
      <w:r>
        <w:rPr>
          <w:rFonts w:ascii="宋体" w:hAnsi="宋体" w:eastAsia="宋体" w:cs="Times New Roman"/>
          <w:kern w:val="0"/>
          <w:szCs w:val="21"/>
          <w:lang w:bidi="en-US"/>
        </w:rPr>
        <w:t>［</w:t>
      </w:r>
      <w:bookmarkEnd w:id="976"/>
      <w:r>
        <w:rPr>
          <w:rFonts w:ascii="宋体" w:hAnsi="宋体" w:eastAsia="宋体" w:cs="Times New Roman"/>
          <w:kern w:val="0"/>
          <w:szCs w:val="21"/>
          <w:lang w:bidi="en-US"/>
        </w:rPr>
        <w:t>6］</w:t>
      </w:r>
      <w:r>
        <w:rPr>
          <w:rFonts w:ascii="宋体" w:hAnsi="宋体" w:eastAsia="宋体" w:cs="宋体"/>
          <w:kern w:val="0"/>
          <w:szCs w:val="21"/>
          <w:lang w:val="zh-TW" w:eastAsia="zh-TW" w:bidi="zh-TW"/>
        </w:rPr>
        <w:t>杨静</w:t>
      </w:r>
      <w:r>
        <w:rPr>
          <w:rFonts w:ascii="宋体" w:hAnsi="宋体" w:eastAsia="宋体" w:cs="宋体"/>
          <w:kern w:val="0"/>
          <w:szCs w:val="21"/>
          <w:lang w:val="zh-CN" w:bidi="zh-CN"/>
        </w:rPr>
        <w:t>.“经</w:t>
      </w:r>
      <w:r>
        <w:rPr>
          <w:rFonts w:ascii="宋体" w:hAnsi="宋体" w:eastAsia="宋体" w:cs="宋体"/>
          <w:kern w:val="0"/>
          <w:szCs w:val="21"/>
          <w:lang w:val="zh-TW" w:eastAsia="zh-TW" w:bidi="zh-TW"/>
        </w:rPr>
        <w:t>济人</w:t>
      </w:r>
      <w:r>
        <w:rPr>
          <w:rFonts w:ascii="宋体" w:hAnsi="宋体" w:eastAsia="宋体" w:cs="宋体"/>
          <w:kern w:val="0"/>
          <w:szCs w:val="21"/>
          <w:lang w:val="zh-CN" w:bidi="zh-CN"/>
        </w:rPr>
        <w:t>”假设</w:t>
      </w:r>
      <w:r>
        <w:rPr>
          <w:rFonts w:ascii="宋体" w:hAnsi="宋体" w:eastAsia="宋体" w:cs="宋体"/>
          <w:kern w:val="0"/>
          <w:szCs w:val="21"/>
          <w:lang w:val="zh-TW" w:eastAsia="zh-TW" w:bidi="zh-TW"/>
        </w:rPr>
        <w:t>的反思与评判</w:t>
      </w:r>
      <w:r>
        <w:rPr>
          <w:rFonts w:ascii="宋体" w:hAnsi="宋体" w:eastAsia="宋体" w:cs="Times New Roman"/>
          <w:kern w:val="0"/>
          <w:szCs w:val="21"/>
          <w:lang w:bidi="en-US"/>
        </w:rPr>
        <w:t>［J］.</w:t>
      </w:r>
      <w:r>
        <w:rPr>
          <w:rFonts w:ascii="宋体" w:hAnsi="宋体" w:eastAsia="宋体" w:cs="宋体"/>
          <w:kern w:val="0"/>
          <w:szCs w:val="21"/>
          <w:lang w:val="zh-TW" w:eastAsia="zh-TW" w:bidi="zh-TW"/>
        </w:rPr>
        <w:t>上海经济研究</w:t>
      </w:r>
      <w:r>
        <w:rPr>
          <w:rFonts w:ascii="宋体" w:hAnsi="宋体" w:eastAsia="宋体" w:cs="Times New Roman"/>
          <w:kern w:val="0"/>
          <w:szCs w:val="21"/>
          <w:lang w:bidi="en-US"/>
        </w:rPr>
        <w:t>,2006(2).</w:t>
      </w:r>
    </w:p>
    <w:p w14:paraId="55E3E890">
      <w:pPr>
        <w:tabs>
          <w:tab w:val="left" w:pos="432"/>
        </w:tabs>
        <w:spacing w:line="400" w:lineRule="exact"/>
        <w:rPr>
          <w:rFonts w:ascii="宋体" w:hAnsi="宋体" w:eastAsia="宋体" w:cs="宋体"/>
          <w:kern w:val="0"/>
          <w:szCs w:val="21"/>
          <w:lang w:val="zh-TW" w:eastAsia="zh-TW" w:bidi="zh-TW"/>
        </w:rPr>
      </w:pPr>
      <w:bookmarkStart w:id="977" w:name="bookmark58"/>
      <w:r>
        <w:rPr>
          <w:rFonts w:ascii="宋体" w:hAnsi="宋体" w:eastAsia="宋体" w:cs="Times New Roman"/>
          <w:kern w:val="0"/>
          <w:szCs w:val="21"/>
          <w:lang w:bidi="en-US"/>
        </w:rPr>
        <w:t>［</w:t>
      </w:r>
      <w:bookmarkEnd w:id="977"/>
      <w:r>
        <w:rPr>
          <w:rFonts w:ascii="宋体" w:hAnsi="宋体" w:eastAsia="宋体" w:cs="Times New Roman"/>
          <w:kern w:val="0"/>
          <w:szCs w:val="21"/>
          <w:lang w:bidi="en-US"/>
        </w:rPr>
        <w:t>7］</w:t>
      </w:r>
      <w:r>
        <w:rPr>
          <w:rFonts w:ascii="宋体" w:hAnsi="宋体" w:eastAsia="宋体" w:cs="宋体"/>
          <w:kern w:val="0"/>
          <w:szCs w:val="21"/>
          <w:lang w:val="zh-TW" w:eastAsia="zh-TW" w:bidi="zh-TW"/>
        </w:rPr>
        <w:t>杨</w:t>
      </w:r>
      <w:r>
        <w:rPr>
          <w:rFonts w:ascii="宋体" w:hAnsi="宋体" w:eastAsia="宋体" w:cs="宋体"/>
          <w:kern w:val="0"/>
          <w:szCs w:val="21"/>
          <w:lang w:val="zh-CN" w:bidi="zh-CN"/>
        </w:rPr>
        <w:t>春学.</w:t>
      </w:r>
      <w:r>
        <w:rPr>
          <w:rFonts w:ascii="宋体" w:hAnsi="宋体" w:eastAsia="宋体" w:cs="宋体"/>
          <w:kern w:val="0"/>
          <w:szCs w:val="21"/>
          <w:lang w:val="zh-TW" w:eastAsia="zh-TW" w:bidi="zh-TW"/>
        </w:rPr>
        <w:t>利他主义经济学的追求</w:t>
      </w:r>
      <w:r>
        <w:rPr>
          <w:rFonts w:ascii="宋体" w:hAnsi="宋体" w:eastAsia="宋体" w:cs="Times New Roman"/>
          <w:kern w:val="0"/>
          <w:szCs w:val="21"/>
          <w:lang w:bidi="en-US"/>
        </w:rPr>
        <w:t>［J］.</w:t>
      </w:r>
      <w:r>
        <w:rPr>
          <w:rFonts w:ascii="宋体" w:hAnsi="宋体" w:eastAsia="宋体" w:cs="宋体"/>
          <w:kern w:val="0"/>
          <w:szCs w:val="21"/>
          <w:lang w:val="zh-TW" w:eastAsia="zh-TW" w:bidi="zh-TW"/>
        </w:rPr>
        <w:t>经济研究</w:t>
      </w:r>
      <w:r>
        <w:rPr>
          <w:rFonts w:ascii="宋体" w:hAnsi="宋体" w:eastAsia="宋体" w:cs="Times New Roman"/>
          <w:kern w:val="0"/>
          <w:szCs w:val="21"/>
          <w:lang w:bidi="en-US"/>
        </w:rPr>
        <w:t>,2001(4).</w:t>
      </w:r>
    </w:p>
    <w:p w14:paraId="3272431E">
      <w:pPr>
        <w:tabs>
          <w:tab w:val="left" w:pos="432"/>
        </w:tabs>
        <w:spacing w:line="400" w:lineRule="exact"/>
        <w:rPr>
          <w:rFonts w:ascii="宋体" w:hAnsi="宋体" w:eastAsia="宋体" w:cs="宋体"/>
          <w:kern w:val="0"/>
          <w:szCs w:val="21"/>
          <w:lang w:val="zh-TW" w:eastAsia="zh-TW" w:bidi="zh-TW"/>
        </w:rPr>
      </w:pPr>
      <w:bookmarkStart w:id="978" w:name="bookmark59"/>
      <w:r>
        <w:rPr>
          <w:rFonts w:ascii="宋体" w:hAnsi="宋体" w:eastAsia="宋体" w:cs="Times New Roman"/>
          <w:kern w:val="0"/>
          <w:szCs w:val="21"/>
          <w:lang w:bidi="en-US"/>
        </w:rPr>
        <w:t>［</w:t>
      </w:r>
      <w:bookmarkEnd w:id="978"/>
      <w:r>
        <w:rPr>
          <w:rFonts w:ascii="宋体" w:hAnsi="宋体" w:eastAsia="宋体" w:cs="Times New Roman"/>
          <w:kern w:val="0"/>
          <w:szCs w:val="21"/>
          <w:lang w:bidi="en-US"/>
        </w:rPr>
        <w:t>8］</w:t>
      </w:r>
      <w:r>
        <w:rPr>
          <w:rFonts w:ascii="宋体" w:hAnsi="宋体" w:eastAsia="宋体" w:cs="宋体"/>
          <w:kern w:val="0"/>
          <w:szCs w:val="21"/>
          <w:lang w:val="zh-TW" w:eastAsia="zh-TW" w:bidi="zh-TW"/>
        </w:rPr>
        <w:t>李炳炎、江皓</w:t>
      </w:r>
      <w:r>
        <w:rPr>
          <w:rFonts w:ascii="宋体" w:hAnsi="宋体" w:eastAsia="宋体" w:cs="宋体"/>
          <w:kern w:val="0"/>
          <w:szCs w:val="21"/>
          <w:lang w:val="zh-CN" w:bidi="zh-CN"/>
        </w:rPr>
        <w:t>.“科</w:t>
      </w:r>
      <w:r>
        <w:rPr>
          <w:rFonts w:ascii="宋体" w:hAnsi="宋体" w:eastAsia="宋体" w:cs="宋体"/>
          <w:kern w:val="0"/>
          <w:szCs w:val="21"/>
          <w:lang w:val="zh-TW" w:eastAsia="zh-TW" w:bidi="zh-TW"/>
        </w:rPr>
        <w:t>学经济人”:现代马克思主义经济学的基本假设</w:t>
      </w:r>
      <w:r>
        <w:rPr>
          <w:rFonts w:ascii="宋体" w:hAnsi="宋体" w:eastAsia="宋体" w:cs="Times New Roman"/>
          <w:kern w:val="0"/>
          <w:szCs w:val="21"/>
          <w:lang w:bidi="en-US"/>
        </w:rPr>
        <w:t>［J］</w:t>
      </w:r>
      <w:r>
        <w:rPr>
          <w:rFonts w:ascii="宋体" w:hAnsi="宋体" w:eastAsia="宋体" w:cs="宋体"/>
          <w:kern w:val="0"/>
          <w:szCs w:val="21"/>
          <w:lang w:val="zh-TW" w:eastAsia="zh-TW" w:bidi="zh-TW"/>
        </w:rPr>
        <w:t>学术研究</w:t>
      </w:r>
      <w:r>
        <w:rPr>
          <w:rFonts w:ascii="宋体" w:hAnsi="宋体" w:eastAsia="宋体" w:cs="Times New Roman"/>
          <w:kern w:val="0"/>
          <w:szCs w:val="21"/>
          <w:lang w:val="zh-TW" w:eastAsia="zh-TW" w:bidi="zh-TW"/>
        </w:rPr>
        <w:t>,2005”</w:t>
      </w:r>
      <w:r>
        <w:rPr>
          <w:rFonts w:ascii="宋体" w:hAnsi="宋体" w:eastAsia="宋体" w:cs="Times New Roman"/>
          <w:kern w:val="0"/>
          <w:szCs w:val="21"/>
          <w:lang w:bidi="en-US"/>
        </w:rPr>
        <w:t>(12).</w:t>
      </w:r>
    </w:p>
    <w:p w14:paraId="5D28321B">
      <w:pPr>
        <w:tabs>
          <w:tab w:val="left" w:pos="432"/>
        </w:tabs>
        <w:spacing w:line="400" w:lineRule="exact"/>
        <w:rPr>
          <w:rFonts w:ascii="宋体" w:hAnsi="宋体" w:eastAsia="宋体" w:cs="宋体"/>
          <w:kern w:val="0"/>
          <w:szCs w:val="21"/>
          <w:lang w:val="zh-TW" w:eastAsia="zh-TW" w:bidi="zh-TW"/>
        </w:rPr>
      </w:pPr>
      <w:bookmarkStart w:id="979" w:name="bookmark60"/>
      <w:r>
        <w:rPr>
          <w:rFonts w:ascii="宋体" w:hAnsi="宋体" w:eastAsia="宋体" w:cs="Times New Roman"/>
          <w:kern w:val="0"/>
          <w:szCs w:val="21"/>
          <w:lang w:bidi="en-US"/>
        </w:rPr>
        <w:t>［</w:t>
      </w:r>
      <w:bookmarkEnd w:id="979"/>
      <w:r>
        <w:rPr>
          <w:rFonts w:ascii="宋体" w:hAnsi="宋体" w:eastAsia="宋体" w:cs="Times New Roman"/>
          <w:kern w:val="0"/>
          <w:szCs w:val="21"/>
          <w:lang w:bidi="en-US"/>
        </w:rPr>
        <w:t>9］</w:t>
      </w:r>
      <w:r>
        <w:rPr>
          <w:rFonts w:ascii="宋体" w:hAnsi="宋体" w:eastAsia="宋体" w:cs="宋体"/>
          <w:kern w:val="0"/>
          <w:szCs w:val="21"/>
          <w:lang w:val="zh-TW" w:eastAsia="zh-TW" w:bidi="zh-TW"/>
        </w:rPr>
        <w:t>曾中秋.经济人假设的理论挑战及其超越</w:t>
      </w:r>
      <w:r>
        <w:rPr>
          <w:rFonts w:ascii="宋体" w:hAnsi="宋体" w:eastAsia="宋体" w:cs="Times New Roman"/>
          <w:kern w:val="0"/>
          <w:szCs w:val="21"/>
          <w:lang w:bidi="en-US"/>
        </w:rPr>
        <w:t>［J］.</w:t>
      </w:r>
      <w:r>
        <w:rPr>
          <w:rFonts w:ascii="宋体" w:hAnsi="宋体" w:eastAsia="宋体" w:cs="宋体"/>
          <w:kern w:val="0"/>
          <w:szCs w:val="21"/>
          <w:lang w:val="zh-TW" w:eastAsia="zh-TW" w:bidi="zh-TW"/>
        </w:rPr>
        <w:t>江汉论坛</w:t>
      </w:r>
      <w:r>
        <w:rPr>
          <w:rFonts w:ascii="宋体" w:hAnsi="宋体" w:eastAsia="宋体" w:cs="Times New Roman"/>
          <w:kern w:val="0"/>
          <w:szCs w:val="21"/>
          <w:lang w:bidi="en-US"/>
        </w:rPr>
        <w:t>,2004(8).</w:t>
      </w:r>
    </w:p>
    <w:p w14:paraId="72CB077C">
      <w:pPr>
        <w:tabs>
          <w:tab w:val="left" w:pos="601"/>
        </w:tabs>
        <w:spacing w:line="400" w:lineRule="exact"/>
        <w:ind w:firstLine="440" w:firstLineChars="200"/>
        <w:rPr>
          <w:rFonts w:ascii="宋体" w:hAnsi="宋体" w:eastAsia="宋体" w:cs="宋体"/>
          <w:kern w:val="0"/>
          <w:szCs w:val="21"/>
          <w:lang w:val="zh-TW" w:eastAsia="zh-TW" w:bidi="zh-TW"/>
        </w:rPr>
      </w:pPr>
      <w:bookmarkStart w:id="980" w:name="bookmark64"/>
      <w:bookmarkEnd w:id="980"/>
      <w:r>
        <w:rPr>
          <w:rFonts w:ascii="宋体" w:hAnsi="宋体" w:eastAsia="宋体" w:cs="宋体"/>
          <w:kern w:val="0"/>
          <w:szCs w:val="21"/>
          <w:lang w:val="zh-TW" w:eastAsia="zh-TW" w:bidi="zh-TW"/>
        </w:rPr>
        <w:t>（</w:t>
      </w:r>
      <w:r>
        <w:rPr>
          <w:rFonts w:hint="eastAsia" w:ascii="宋体" w:hAnsi="宋体" w:eastAsia="宋体" w:cs="宋体"/>
          <w:kern w:val="0"/>
          <w:szCs w:val="21"/>
          <w:lang w:val="zh-TW" w:eastAsia="zh-TW" w:bidi="zh-TW"/>
        </w:rPr>
        <w:t>原载《海派经济学》2</w:t>
      </w:r>
      <w:r>
        <w:rPr>
          <w:rFonts w:ascii="宋体" w:hAnsi="宋体" w:eastAsia="宋体" w:cs="宋体"/>
          <w:kern w:val="0"/>
          <w:szCs w:val="21"/>
          <w:lang w:val="zh-TW" w:eastAsia="zh-TW" w:bidi="zh-TW"/>
        </w:rPr>
        <w:t>008年第</w:t>
      </w:r>
      <w:r>
        <w:rPr>
          <w:rFonts w:hint="eastAsia" w:ascii="宋体" w:hAnsi="宋体" w:eastAsia="宋体" w:cs="宋体"/>
          <w:kern w:val="0"/>
          <w:szCs w:val="21"/>
          <w:lang w:val="zh-TW" w:eastAsia="zh-TW" w:bidi="zh-TW"/>
        </w:rPr>
        <w:t>4</w:t>
      </w:r>
      <w:r>
        <w:rPr>
          <w:rFonts w:ascii="宋体" w:hAnsi="宋体" w:eastAsia="宋体" w:cs="宋体"/>
          <w:kern w:val="0"/>
          <w:szCs w:val="21"/>
          <w:lang w:val="zh-TW" w:eastAsia="zh-TW" w:bidi="zh-TW"/>
        </w:rPr>
        <w:t>期，第二作者为朱奎）</w:t>
      </w:r>
    </w:p>
    <w:p w14:paraId="3ED34A80">
      <w:pPr>
        <w:widowControl/>
        <w:spacing w:line="300" w:lineRule="auto"/>
        <w:ind w:firstLine="440" w:firstLineChars="200"/>
        <w:rPr>
          <w:rFonts w:ascii="宋体" w:hAnsi="宋体" w:eastAsia="宋体" w:cs="宋体"/>
          <w:szCs w:val="21"/>
          <w:lang w:eastAsia="zh-TW"/>
        </w:rPr>
      </w:pPr>
    </w:p>
    <w:p w14:paraId="4ACD2CE2">
      <w:pPr>
        <w:spacing w:before="147" w:beforeLines="50" w:after="147" w:afterLines="50" w:line="300" w:lineRule="auto"/>
        <w:ind w:firstLine="660" w:firstLineChars="200"/>
        <w:jc w:val="center"/>
        <w:outlineLvl w:val="1"/>
        <w:rPr>
          <w:rFonts w:ascii="Times New Roman" w:hAnsi="Times New Roman" w:eastAsia="黑体" w:cs="Times New Roman"/>
          <w:sz w:val="32"/>
          <w:szCs w:val="32"/>
        </w:rPr>
      </w:pPr>
      <w:bookmarkStart w:id="981" w:name="_Toc30680"/>
      <w:bookmarkStart w:id="982" w:name="_Toc111193705"/>
      <w:bookmarkStart w:id="983" w:name="_Toc595095078"/>
      <w:bookmarkStart w:id="984" w:name="_Toc125263883"/>
      <w:r>
        <w:rPr>
          <w:rFonts w:hint="eastAsia" w:ascii="Times New Roman" w:hAnsi="Times New Roman" w:eastAsia="黑体" w:cs="Times New Roman"/>
          <w:sz w:val="32"/>
          <w:szCs w:val="32"/>
        </w:rPr>
        <w:t>1</w:t>
      </w:r>
      <w:r>
        <w:rPr>
          <w:rFonts w:ascii="Times New Roman" w:hAnsi="Times New Roman" w:eastAsia="黑体" w:cs="Times New Roman"/>
          <w:sz w:val="32"/>
          <w:szCs w:val="32"/>
        </w:rPr>
        <w:t>5</w:t>
      </w:r>
      <w:r>
        <w:rPr>
          <w:rFonts w:hint="eastAsia" w:ascii="Times New Roman" w:hAnsi="Times New Roman" w:eastAsia="黑体" w:cs="Times New Roman"/>
          <w:sz w:val="32"/>
          <w:szCs w:val="32"/>
        </w:rPr>
        <w:t>改革以来六次思想解放与经济学现代化五大态势</w:t>
      </w:r>
      <w:bookmarkEnd w:id="981"/>
      <w:bookmarkEnd w:id="982"/>
      <w:bookmarkEnd w:id="983"/>
      <w:bookmarkEnd w:id="984"/>
    </w:p>
    <w:p w14:paraId="11FE9663">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我国社会主义经济体制改革的演进与思想解放和经济理论发展是紧密相连的。所谓思想解放，就是在摆脱各种错误思维定式束缚后的一种认识升华和观念创新。反思想僵化或“左”、反右或自由化，都属于思想解放。新时期30年来，大小程度不同的思想解放有六次:</w:t>
      </w:r>
    </w:p>
    <w:p w14:paraId="51DA160D">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一次思想大解放，始于1978年5月，主题是提出实践是检验真理的唯一标准。这次思想解放对于经济体制改革的影响是巨大的，开始突破传统计划经济体制，实行计划经济为主、市场调节为辅的新体制，试行对内搞活和对外开放的各项措施。</w:t>
      </w:r>
    </w:p>
    <w:p w14:paraId="488EF63C">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二次思想大解放，始于1984年10月，主题是制订经济体制改革的纲领。此次思想解放直接作用于经济体制改革，掀起了整个经济领域的“革命”。开始建立由商品市场、资金市场、劳务市场和技术市场等在内的社会主义市场体系，提倡市场竞争和运用经济杠杆，启动塑造有计划商品经济体制。</w:t>
      </w:r>
    </w:p>
    <w:p w14:paraId="143AD684">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三次思想大解放，始于1987年10月，主题是确立社会主义初级阶段的理论。这次思想解放促进了经济体制改革的较快发展，加快了缩小指令性计划的速度，转向以间接管理为主的宏观经济调节体系，分阶段地进行计划、投资、物资、财政、金融、外贸等方面体制的配套改革。</w:t>
      </w:r>
    </w:p>
    <w:p w14:paraId="4A2F3B6F">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四次思想大解放，始于1992年2月，主题是设定要建立社会主义市场经济体制。此次思想解放直接促成向社会主义市场经济体制的全方位改革，在充分发挥市场配置资源的基础作用的同时，积极改善宏观调控机制，逐步实现了“低通胀、高增长”的新局面。</w:t>
      </w:r>
    </w:p>
    <w:p w14:paraId="238B7BBB">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五次思想大解放，始于1997年9月，主题是公有制的实现形式和社会主义初级阶段的基本经济制度理论。这次思想解放促使经济体制改革进入攻坚阶段，股份制、股份合作制和非公有制发展迅猛，实施科教兴国战略和可持续发展战略。</w:t>
      </w:r>
    </w:p>
    <w:p w14:paraId="6E7AC78F">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第六次思想大解放，始于2003年10月，主题是坚持以人为本，树立全面协调可持续的科学发展观。这次思想解放促使经济体制改革进入最后完善阶段，转变经济发展方式，全面推动人口资源环境的可持续发展体制建设，并突出自主创新和创新性国家的体制建设，全面开展“八个统筹”为主要内容的统筹兼顾体制建设，注重以人为本和民生取向的社会主义和谐社会体制建设。</w:t>
      </w:r>
    </w:p>
    <w:p w14:paraId="177BBA82">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伴随着六次思想解放所进行的30年经济体制改革，其实质是依据社会生产力和现代市场经济发展的内在要求，重构和完善社会主义初级阶段的基本经济形态:</w:t>
      </w:r>
    </w:p>
    <w:p w14:paraId="221756A8">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一是建立和完善公有主体型的多种类产权形态；二是建立和完善劳动主体型的多要素分配形态；三是建立和完善国家主导型的多结构市场形态；四是建立和完善自力主导型的多方位开放形态。</w:t>
      </w:r>
    </w:p>
    <w:p w14:paraId="361FD630">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与此同时，中国经济学正在走向现代化。所谓中国经济学的现代化，是指我国的经济学教学和研究必须适应现代社会主义经济全球化和市场经济的科学发展需要，在历史传承和现实借鉴中不断实现自主综合创新的过程。具体来说，应当以“世情为鉴、国情为据，马学为体、西学为用、国学为根，综合创新”。它应当处理好三大知识体系的关系。第一，中外马克思主义知识体系。马克思主义思想体系是各种各样的，仅日本马克思主义经济学就分成四五个流派。第二，各种各样的古现代西方知识体系。除了西方马克思主义以外的知识体系，包括它的现代主流或非主流的思想和知识体系。第三，中国古近代的知识体系。主要以古代为主，也可以涵盖部分演进到近代的知识体系。对于三大思想和知识体系，一个可取的学术处理方法和思想原则就是:以马克思主义科学知识为体或为导(对于政治经济学来说，应为主体；而对于其他大多数经济学科和社会科学来说，应为指导)，以西方非马克思主义的科学知识和合理元素为借用，以国学为根基和源头，进行可持续的综合创新和理论超越。一旦偏离这一原则，理论创新将难以为继。</w:t>
      </w:r>
    </w:p>
    <w:p w14:paraId="22B2D7A3">
      <w:pPr>
        <w:widowControl/>
        <w:spacing w:line="300" w:lineRule="auto"/>
        <w:ind w:firstLine="440" w:firstLineChars="200"/>
        <w:rPr>
          <w:rFonts w:ascii="宋体" w:hAnsi="宋体" w:eastAsia="宋体" w:cs="宋体"/>
          <w:szCs w:val="21"/>
        </w:rPr>
      </w:pPr>
      <w:r>
        <w:rPr>
          <w:rFonts w:hint="eastAsia" w:ascii="宋体" w:hAnsi="宋体" w:eastAsia="宋体" w:cs="宋体"/>
          <w:szCs w:val="21"/>
        </w:rPr>
        <w:t>改革开放以来，我国一大批老中青马克思主义经济学家正是以此为原则进行理论研究和政策探讨的，传承和创新工作成效显著。近年有更大的进展，从而中国经济学的现代化呈现出五大科学发展态势。一是注重对重大现实经济问题进行体现科学发展观的理论和政策探讨。中国经济学的现代化已经紧密结合马克思主义中国化理论和中国特色社会主义经济理论体系，用科学发展观引领社会主义市场经济健康发展。二是注重对经济学原理的超越性发展。中国经济学的现代化已经加强了马克思主义经济学的方法、假设、原理的学术创新。现代马克思主义经济学已经强调理论假设和研究方法的现实性、科学性和辩证性，因而具有更大的理论认知功能和社会建设功能。三是注重对政治经济学理论的数学表达和分析。中国经济学的现代化已经继承《资本论》最先高度重视数学的优良学术传统，并科学借鉴现代西方经济学的采用数理方法，体现数理分析的《新编现代政治经济学》教材今年问世。四是注重用现代政治经济学引领应用经济学创新。中国经济学的现代化已经逐渐体现在理论经济学和应用经济学的各个学科，而积极运用现代政治经济学的创新理论来指导和引领其他理论经济学，尤其是应用经济学，属于当务之急。五是注重与国外马克思主义经济学的互动和借鉴。中国经济学的现代化已经逐步与国外当代马克思主义经济学实行“引进来、走出去”的双向交流，因为国外经济学科学的主要学缩前沿在马克思主义经济理论研究领域。这种双向学术交流和借鉴是中国经济学现代化的重要走向和图像。</w:t>
      </w:r>
    </w:p>
    <w:p w14:paraId="17CC01BD">
      <w:pPr>
        <w:widowControl/>
        <w:spacing w:line="300" w:lineRule="auto"/>
        <w:ind w:firstLine="440" w:firstLineChars="200"/>
        <w:rPr>
          <w:rFonts w:ascii="宋体" w:hAnsi="宋体" w:eastAsia="宋体" w:cs="宋体"/>
          <w:szCs w:val="21"/>
        </w:rPr>
      </w:pPr>
    </w:p>
    <w:p w14:paraId="288223B6">
      <w:pPr>
        <w:widowControl/>
        <w:spacing w:line="300" w:lineRule="auto"/>
        <w:ind w:firstLine="440" w:firstLineChars="200"/>
        <w:jc w:val="left"/>
        <w:rPr>
          <w:rFonts w:ascii="宋体" w:hAnsi="宋体" w:eastAsia="宋体" w:cs="宋体"/>
          <w:szCs w:val="21"/>
        </w:rPr>
      </w:pPr>
      <w:r>
        <w:rPr>
          <w:rFonts w:hint="eastAsia" w:ascii="宋体" w:hAnsi="宋体" w:eastAsia="宋体" w:cs="宋体"/>
          <w:kern w:val="0"/>
          <w:szCs w:val="21"/>
        </w:rPr>
        <w:t>（原</w:t>
      </w:r>
      <w:r>
        <w:rPr>
          <w:rFonts w:hint="eastAsia" w:ascii="宋体" w:hAnsi="宋体" w:eastAsia="宋体" w:cs="宋体"/>
          <w:szCs w:val="21"/>
        </w:rPr>
        <w:t>载于《财经科学》2008年第10期）</w:t>
      </w:r>
    </w:p>
    <w:p w14:paraId="1505DB59">
      <w:pPr>
        <w:widowControl/>
        <w:spacing w:line="300" w:lineRule="auto"/>
        <w:ind w:firstLine="440" w:firstLineChars="200"/>
        <w:rPr>
          <w:rFonts w:ascii="宋体" w:hAnsi="宋体" w:eastAsia="宋体" w:cs="宋体"/>
          <w:szCs w:val="21"/>
        </w:rPr>
      </w:pPr>
      <w:r>
        <w:rPr>
          <w:rFonts w:ascii="宋体" w:hAnsi="宋体" w:eastAsia="宋体" w:cs="宋体"/>
          <w:szCs w:val="21"/>
        </w:rPr>
        <w:br w:type="page"/>
      </w:r>
    </w:p>
    <w:bookmarkEnd w:id="868"/>
    <w:bookmarkEnd w:id="869"/>
    <w:bookmarkEnd w:id="870"/>
    <w:p w14:paraId="7A64C321">
      <w:pPr>
        <w:keepNext/>
        <w:keepLines/>
        <w:widowControl/>
        <w:spacing w:before="147" w:beforeLines="50" w:after="147" w:afterLines="50" w:line="300" w:lineRule="auto"/>
        <w:ind w:firstLine="660" w:firstLineChars="200"/>
        <w:jc w:val="center"/>
        <w:outlineLvl w:val="1"/>
        <w:rPr>
          <w:rFonts w:ascii="Times New Roman" w:hAnsi="Times New Roman" w:eastAsia="黑体" w:cs="Times New Roman"/>
          <w:sz w:val="32"/>
          <w:szCs w:val="32"/>
        </w:rPr>
      </w:pPr>
      <w:bookmarkStart w:id="985" w:name="_Toc111193706"/>
      <w:bookmarkStart w:id="986" w:name="_Toc19557"/>
      <w:bookmarkStart w:id="987" w:name="_Toc931631867"/>
      <w:bookmarkStart w:id="988" w:name="_Toc776107521"/>
      <w:r>
        <w:rPr>
          <w:rFonts w:hint="eastAsia" w:ascii="Times New Roman" w:hAnsi="Times New Roman" w:eastAsia="黑体" w:cs="Times New Roman"/>
          <w:sz w:val="32"/>
          <w:szCs w:val="32"/>
        </w:rPr>
        <w:t>1</w:t>
      </w:r>
      <w:r>
        <w:rPr>
          <w:rFonts w:ascii="Times New Roman" w:hAnsi="Times New Roman" w:eastAsia="黑体" w:cs="Times New Roman"/>
          <w:sz w:val="32"/>
          <w:szCs w:val="32"/>
        </w:rPr>
        <w:t>6</w:t>
      </w:r>
      <w:r>
        <w:rPr>
          <w:rFonts w:hint="eastAsia" w:ascii="Times New Roman" w:hAnsi="Times New Roman" w:eastAsia="黑体" w:cs="Times New Roman"/>
          <w:sz w:val="32"/>
          <w:szCs w:val="32"/>
        </w:rPr>
        <w:t>坚持和发展中国特色社会主义理论和实践</w:t>
      </w:r>
      <w:bookmarkEnd w:id="985"/>
      <w:bookmarkEnd w:id="986"/>
      <w:bookmarkEnd w:id="987"/>
      <w:bookmarkEnd w:id="988"/>
    </w:p>
    <w:p w14:paraId="6C25EC6E">
      <w:pPr>
        <w:spacing w:line="300" w:lineRule="auto"/>
        <w:ind w:firstLine="440" w:firstLineChars="200"/>
        <w:rPr>
          <w:rFonts w:ascii="宋体" w:hAnsi="宋体" w:eastAsia="宋体" w:cs="宋体"/>
          <w:szCs w:val="21"/>
        </w:rPr>
      </w:pPr>
      <w:r>
        <w:rPr>
          <w:rFonts w:hint="eastAsia" w:ascii="宋体" w:hAnsi="宋体" w:eastAsia="宋体" w:cs="宋体"/>
          <w:szCs w:val="21"/>
        </w:rPr>
        <w:t>党的十七大报告指出，改革开放以来我们取得一切成绩和进步的根本原因，归结起来就是：开辟了中国特色社会主义道路，形成了中国特色社会主义理论体系。当前，我们要坚持这条道路和这个理论体系，就要充分认识高举中国特色社会主义伟大旗帜的意义，并深刻把握中国特色社会主义的基本内涵及与民主社会主义的本质区别。</w:t>
      </w:r>
    </w:p>
    <w:p w14:paraId="4C9B8B2A">
      <w:pPr>
        <w:snapToGrid w:val="0"/>
        <w:spacing w:before="147" w:beforeLines="50" w:after="147" w:afterLines="50" w:line="300" w:lineRule="auto"/>
        <w:ind w:firstLine="500" w:firstLineChars="200"/>
        <w:jc w:val="center"/>
        <w:rPr>
          <w:rFonts w:ascii="宋体" w:hAnsi="宋体" w:eastAsia="宋体" w:cs="Times New Roman"/>
          <w:b/>
          <w:bCs/>
          <w:sz w:val="24"/>
        </w:rPr>
      </w:pPr>
      <w:bookmarkStart w:id="989" w:name="_Toc20530"/>
      <w:bookmarkStart w:id="990" w:name="_Toc880"/>
      <w:bookmarkStart w:id="991" w:name="_Toc20013"/>
      <w:bookmarkStart w:id="992" w:name="_Toc25410"/>
      <w:r>
        <w:rPr>
          <w:rFonts w:hint="eastAsia" w:ascii="宋体" w:hAnsi="宋体" w:eastAsia="宋体" w:cs="Times New Roman"/>
          <w:b/>
          <w:bCs/>
          <w:sz w:val="24"/>
        </w:rPr>
        <w:t>一、高举中国特色社会主义旗帜的重大意义</w:t>
      </w:r>
      <w:bookmarkEnd w:id="989"/>
      <w:bookmarkEnd w:id="990"/>
      <w:bookmarkEnd w:id="991"/>
      <w:bookmarkEnd w:id="992"/>
    </w:p>
    <w:p w14:paraId="79EC50EF">
      <w:pPr>
        <w:spacing w:line="300" w:lineRule="auto"/>
        <w:ind w:firstLine="440" w:firstLineChars="200"/>
        <w:rPr>
          <w:rFonts w:ascii="宋体" w:hAnsi="宋体" w:eastAsia="宋体" w:cs="宋体"/>
          <w:szCs w:val="21"/>
        </w:rPr>
      </w:pPr>
      <w:r>
        <w:rPr>
          <w:rFonts w:hint="eastAsia" w:ascii="宋体" w:hAnsi="宋体" w:eastAsia="宋体" w:cs="宋体"/>
          <w:szCs w:val="21"/>
        </w:rPr>
        <w:t>经过近30年的深刻社会变革，我国社会处于新的历史起点上；东方的“睡狮”已经醒来并大踏步走向世界，成为世界经济发展的重要引擎；世界社会主义运动在曲折中探索复兴之路。在这一历史进程的关键时刻，中国共产党的十七大对中国未来绘出怎样的发展蓝图，必然既牵动着全中国人民的心，也牵系着世界五大洲的目光。</w:t>
      </w:r>
    </w:p>
    <w:p w14:paraId="61627A03">
      <w:pPr>
        <w:spacing w:line="300" w:lineRule="auto"/>
        <w:ind w:firstLine="440" w:firstLineChars="200"/>
        <w:rPr>
          <w:rFonts w:ascii="宋体" w:hAnsi="宋体" w:eastAsia="宋体" w:cs="宋体"/>
          <w:szCs w:val="21"/>
        </w:rPr>
      </w:pPr>
      <w:r>
        <w:rPr>
          <w:rFonts w:hint="eastAsia" w:ascii="宋体" w:hAnsi="宋体" w:eastAsia="宋体" w:cs="宋体"/>
          <w:szCs w:val="21"/>
        </w:rPr>
        <w:t>在举国关注、举世瞩目的中国共产党第十七次全国代表大会上，胡锦涛总书记代表十六届中央委员会作的报告，全面把握了我国发展所处的历史方位，科学描绘出我国改革开放和社会主义现代化建设的发展前景，是中国共产党面向世界、面向未来的政治宣言，是引领全国各族人民继续为实现全面建设小康社会目标而团结奋斗的行动纲领。这个报告最突出的特点，就是鲜明地高举中国特色社会主义的伟大旗帜，对党内外、国内外关于我们党今后举什么旗、走什么路这一普遍关注的重大问题集中而鲜明的回答。</w:t>
      </w:r>
    </w:p>
    <w:p w14:paraId="62C8F64E">
      <w:pPr>
        <w:spacing w:line="300" w:lineRule="auto"/>
        <w:ind w:firstLine="440" w:firstLineChars="200"/>
        <w:rPr>
          <w:rFonts w:ascii="宋体" w:hAnsi="宋体" w:eastAsia="宋体" w:cs="宋体"/>
          <w:szCs w:val="21"/>
        </w:rPr>
      </w:pPr>
      <w:r>
        <w:rPr>
          <w:rFonts w:hint="eastAsia" w:ascii="宋体" w:hAnsi="宋体" w:eastAsia="宋体" w:cs="宋体"/>
          <w:szCs w:val="21"/>
        </w:rPr>
        <w:t>虽然探索中国自己的社会主义发展道路，是新中国成立以来党领导人民进行的不懈追求，虽然邓小平在我国进入改革开放新时期就把建设中国特色社会主义作为基本结论明确提出，虽然党的十二大以来的历届全国代表大会都贯彻着中国特色社会主义这一基本主题和基本目标，但党的十七大第一次在党的全国代表大会的报告中强调中国特色社会主义是我们的旗帜，意义仍然重大而深远。</w:t>
      </w:r>
    </w:p>
    <w:p w14:paraId="18B5FFD0">
      <w:pPr>
        <w:spacing w:line="300" w:lineRule="auto"/>
        <w:ind w:firstLine="440" w:firstLineChars="200"/>
        <w:rPr>
          <w:rFonts w:ascii="宋体" w:hAnsi="宋体" w:eastAsia="宋体" w:cs="宋体"/>
          <w:szCs w:val="21"/>
        </w:rPr>
      </w:pPr>
      <w:r>
        <w:rPr>
          <w:rFonts w:hint="eastAsia" w:ascii="宋体" w:hAnsi="宋体" w:eastAsia="宋体" w:cs="宋体"/>
          <w:szCs w:val="21"/>
        </w:rPr>
        <w:t>恩格斯曾说，一个政党的正式纲领，就是公开树立起来的旗帜。</w:t>
      </w:r>
      <w:r>
        <w:rPr>
          <w:rFonts w:ascii="宋体" w:hAnsi="宋体" w:eastAsia="宋体" w:cs="宋体"/>
          <w:szCs w:val="21"/>
          <w:vertAlign w:val="superscript"/>
        </w:rPr>
        <w:footnoteReference w:id="305"/>
      </w:r>
      <w:r>
        <w:rPr>
          <w:rFonts w:hint="eastAsia" w:ascii="宋体" w:hAnsi="宋体" w:eastAsia="宋体" w:cs="宋体"/>
          <w:szCs w:val="21"/>
        </w:rPr>
        <w:t>建设中国特色的社会主义，是我们党在整个社会主义探索过程中、特别是改革开放以来的新探索中全部理论成果的集中体现，是我们党在目前这个历史阶段的行动纲领。党的十七大鲜明地高举起中国特色社会主义这面旗帜，表明我们党对中国特色社会主义的认识更深化、更丰富、更全面、更坚定了。纲领就是旗帜，明确的纲领就是鲜明的旗帜，纲领的科学性和坚定性，决定着旗帜的鲜明性和号召力。</w:t>
      </w:r>
    </w:p>
    <w:p w14:paraId="0A9A5976">
      <w:pPr>
        <w:spacing w:line="300" w:lineRule="auto"/>
        <w:ind w:firstLine="440" w:firstLineChars="200"/>
        <w:rPr>
          <w:rFonts w:ascii="宋体" w:hAnsi="宋体" w:eastAsia="宋体" w:cs="宋体"/>
          <w:szCs w:val="21"/>
        </w:rPr>
      </w:pPr>
      <w:r>
        <w:rPr>
          <w:rFonts w:hint="eastAsia" w:ascii="宋体" w:hAnsi="宋体" w:eastAsia="宋体" w:cs="宋体"/>
          <w:szCs w:val="21"/>
        </w:rPr>
        <w:t>旗帜就是指导方针，它表明我们以当代中国发展着的马克思主义指导新的实践；旗帜就是理想和信念，它表明中国特色社会主义已成为全民族的共同理想和信念，成为最大限度地凝聚人心、团结全国各族人民共同奋斗的精神力量；旗帜就是方向和道路，它显示了我们坚定地走自己创造的社会主义现代化道路的决心，它表明我们明确了能够代表中国广大人民的根本利益并带来福祉的中华民族复兴之路，停顿和倒退是没有出路的，走新自由主义或民主社会主义的资本主义道路，更是邪路一条，而只有建设中国特色的社会主义，才能使人民富裕幸福，国家兴旺发达。可见，中国特色社会主义是当代中国发展进步的旗帜，是全党、全国各族人民团结奋斗的旗帜。</w:t>
      </w:r>
    </w:p>
    <w:p w14:paraId="23C3A30A">
      <w:pPr>
        <w:spacing w:line="300" w:lineRule="auto"/>
        <w:ind w:firstLine="440" w:firstLineChars="200"/>
        <w:rPr>
          <w:rFonts w:ascii="宋体" w:hAnsi="宋体" w:eastAsia="宋体" w:cs="宋体"/>
          <w:szCs w:val="21"/>
        </w:rPr>
      </w:pPr>
      <w:r>
        <w:rPr>
          <w:rFonts w:hint="eastAsia" w:ascii="宋体" w:hAnsi="宋体" w:eastAsia="宋体" w:cs="宋体"/>
          <w:szCs w:val="21"/>
        </w:rPr>
        <w:t>中国特色社会主义能够成为当代中国发展进步的旗帜，首先在于它坚持了科学社会主义的基本原则。科学社会主义作为人类文明进步的旗帜，是其创始人运用历史唯物主义的科学方法，揭示了社会发展进步的一般规律和人类追求的共同理想，人类社会发展的基本趋势和共同方向。科学社会主义创始人虽然揭示了社会主义最终必然代替资本主义的历史基本趋势，但并没有先验地描绘未来新社会的具体细节，只是揭示了未来新社会的一般本质和一般特征，他们反对把科学社会主义变为“一般历史哲学理论”的万能钥匙，并且把社会主义看作是一个充满运动、经常变化的历史有机体。因此，中国特色社会主义，在本质上就是科学社会主义的一种现实形态。高举这面旗帜，就与非科学社会主义的思潮和道路划清了界线。</w:t>
      </w:r>
    </w:p>
    <w:p w14:paraId="4E27BB9A">
      <w:pPr>
        <w:spacing w:line="300" w:lineRule="auto"/>
        <w:ind w:firstLine="440" w:firstLineChars="200"/>
        <w:rPr>
          <w:rFonts w:ascii="宋体" w:hAnsi="宋体" w:eastAsia="宋体" w:cs="宋体"/>
          <w:szCs w:val="21"/>
        </w:rPr>
      </w:pPr>
      <w:r>
        <w:rPr>
          <w:rFonts w:hint="eastAsia" w:ascii="宋体" w:hAnsi="宋体" w:eastAsia="宋体" w:cs="宋体"/>
          <w:szCs w:val="21"/>
        </w:rPr>
        <w:t>中国特色社会主义能够成为当代中国发展进步的旗帜，还在于她是扎根于中国现实的有生命力、有活力的社会主义。现实中的社会主义是依据人类发展的一般规律，在特定历史条件下的创造性实践过程。科学社会主义要从理论转变为现实，必须与每个国家的社会实际相结合，并依据时代特征赋予其民族和时代特色。正如邓小平指出的“社会主义必须是切合中国实际的有中国特色的社会主义”。实践表明，脱离初级阶段的现实社会历史条件搞社会主义，是不可能成功的；完全照抄、照搬别国模式，也行不通，必须坚持科学社会主义的基本原则，结合特定的社会历史条件进行探索和创造。</w:t>
      </w:r>
    </w:p>
    <w:p w14:paraId="10AF60D9">
      <w:pPr>
        <w:spacing w:line="300" w:lineRule="auto"/>
        <w:ind w:firstLine="440" w:firstLineChars="200"/>
        <w:rPr>
          <w:rFonts w:ascii="宋体" w:hAnsi="宋体" w:eastAsia="宋体" w:cs="宋体"/>
          <w:szCs w:val="21"/>
        </w:rPr>
      </w:pPr>
      <w:r>
        <w:rPr>
          <w:rFonts w:hint="eastAsia" w:ascii="宋体" w:hAnsi="宋体" w:eastAsia="宋体" w:cs="宋体"/>
          <w:szCs w:val="21"/>
        </w:rPr>
        <w:t>胡锦涛总书记在党的“十七大”报告中精辟概括中国特色社会主义道路的基本内涵，就是在中国共产党领导下，立足基本国情，以经济建设为中心，坚持四项基本原则，坚持改革开放，解放和发展社会生产力，巩固和完善社会主义制度，建设社会主义市场经济、社会主义民主政治、社会主义先进文化、社会主义和谐社会，建设富强、民主、文明、和谐的社会主义现代化国家。</w:t>
      </w:r>
    </w:p>
    <w:p w14:paraId="0CE1EA8C">
      <w:pPr>
        <w:spacing w:line="300" w:lineRule="auto"/>
        <w:ind w:firstLine="440" w:firstLineChars="200"/>
        <w:rPr>
          <w:rFonts w:ascii="宋体" w:hAnsi="宋体" w:eastAsia="宋体" w:cs="宋体"/>
          <w:szCs w:val="21"/>
        </w:rPr>
      </w:pPr>
      <w:r>
        <w:rPr>
          <w:rFonts w:hint="eastAsia" w:ascii="宋体" w:hAnsi="宋体" w:eastAsia="宋体" w:cs="宋体"/>
          <w:szCs w:val="21"/>
        </w:rPr>
        <w:t>历史和现实一再表明，中国特色社会主义道路是当代中国发展进步的唯一正确的道路，实现国家富强、民族振兴、人民幸福的唯一正确的道路。只有社会主义才能救中国，是历史的结论；只有中国特色社会主义才能发展中国，是现实和时代的要求。中国特色社会主义，是中国共产党和中国人民在特定的世界历史环境和中国历史条件下的伟大创造，既是历史的逻辑、时代的要求，也是历史的选择、人民的选择，是我们夺取全面建设小康社会新胜利、推进社会主义现代化、实现中华民族伟大复兴的必由之路。</w:t>
      </w:r>
    </w:p>
    <w:p w14:paraId="0B8000CC">
      <w:pPr>
        <w:spacing w:line="300" w:lineRule="auto"/>
        <w:ind w:firstLine="440" w:firstLineChars="200"/>
        <w:rPr>
          <w:rFonts w:ascii="宋体" w:hAnsi="宋体" w:eastAsia="宋体" w:cs="宋体"/>
          <w:szCs w:val="21"/>
        </w:rPr>
      </w:pPr>
      <w:r>
        <w:rPr>
          <w:rFonts w:hint="eastAsia" w:ascii="宋体" w:hAnsi="宋体" w:eastAsia="宋体" w:cs="宋体"/>
          <w:szCs w:val="21"/>
        </w:rPr>
        <w:t>十七大报告提到“世情、国情、党情”，我们认为这“三情”很关键，应当以“世情为鉴、国情为据、党情为要”。世情为鉴，是讲我们要以其他国家和地区的发展经验教训为借鉴；国情为据，是讲我们要以我国社会主义初级阶段的具体国情为依据；党情为要，是讲我们要以中国共产党的实际党情为领要。十六大以来，以胡锦涛同志为总书记的党中央把对中国特色社会主义事业总体布局的认识，从三位一体扩展为四位一体，即经济建设、政治建设、文化建设和社会建设，并加强党的建设和国防建设。这是对中国特色社会主义的丰富和发展。以胡锦涛同志为总书记的党中央提出科学发展观和构建社会主义和谐社会等一系列重大战略思想，是马克思主义中国化的最新成果，是中国特色社会主义的重要组成部分。事实上，无论是坚持和发展中国特色社会主义，还是提出和深入贯彻落实科学发展观，都是立足社会主义初级阶段基本国情，总结我国发展实践，借鉴国外发展经验，适应世情、国情和党情新的发展要求提出来的，并顺应了党心和民心。</w:t>
      </w:r>
    </w:p>
    <w:p w14:paraId="51093F25">
      <w:pPr>
        <w:spacing w:line="300" w:lineRule="auto"/>
        <w:ind w:firstLine="440" w:firstLineChars="200"/>
        <w:rPr>
          <w:rFonts w:ascii="宋体" w:hAnsi="宋体" w:eastAsia="宋体" w:cs="宋体"/>
          <w:szCs w:val="21"/>
        </w:rPr>
      </w:pPr>
      <w:r>
        <w:rPr>
          <w:rFonts w:hint="eastAsia" w:ascii="宋体" w:hAnsi="宋体" w:eastAsia="宋体" w:cs="宋体"/>
          <w:szCs w:val="21"/>
        </w:rPr>
        <w:t>因此，我们要乘党的十七大之东风，更紧密团结在以胡锦涛为总书记的党中央周围，高举中国特色社会主义的伟大旗帜，坚持党在社会主义初级阶段的基本路线，继续解放思想，不断创新，锐意改革，不懈奋斗，努力把中国特色社会主义继续推向前进，早日实现和谐的全面小康社会。</w:t>
      </w:r>
    </w:p>
    <w:p w14:paraId="1671D7B2">
      <w:pPr>
        <w:snapToGrid w:val="0"/>
        <w:spacing w:before="147" w:beforeLines="50" w:after="147" w:afterLines="50" w:line="300" w:lineRule="auto"/>
        <w:ind w:firstLine="500" w:firstLineChars="200"/>
        <w:jc w:val="center"/>
        <w:rPr>
          <w:rFonts w:ascii="宋体" w:hAnsi="宋体" w:eastAsia="宋体" w:cs="Times New Roman"/>
          <w:b/>
          <w:bCs/>
          <w:sz w:val="24"/>
        </w:rPr>
      </w:pPr>
      <w:bookmarkStart w:id="993" w:name="_Toc20447"/>
      <w:bookmarkStart w:id="994" w:name="_Toc26148"/>
      <w:bookmarkStart w:id="995" w:name="_Toc14503"/>
      <w:bookmarkStart w:id="996" w:name="_Toc14835"/>
      <w:r>
        <w:rPr>
          <w:rFonts w:hint="eastAsia" w:ascii="宋体" w:hAnsi="宋体" w:eastAsia="宋体" w:cs="Times New Roman"/>
          <w:b/>
          <w:bCs/>
          <w:sz w:val="24"/>
        </w:rPr>
        <w:t>二、中国特色社会主义的基本特征和内涵</w:t>
      </w:r>
      <w:bookmarkEnd w:id="993"/>
      <w:bookmarkEnd w:id="994"/>
      <w:bookmarkEnd w:id="995"/>
      <w:bookmarkEnd w:id="996"/>
    </w:p>
    <w:p w14:paraId="6A0141F7">
      <w:pPr>
        <w:spacing w:line="300" w:lineRule="auto"/>
        <w:ind w:firstLine="440" w:firstLineChars="200"/>
        <w:rPr>
          <w:rFonts w:ascii="宋体" w:hAnsi="宋体" w:eastAsia="宋体" w:cs="宋体"/>
          <w:szCs w:val="21"/>
        </w:rPr>
      </w:pPr>
      <w:r>
        <w:rPr>
          <w:rFonts w:hint="eastAsia" w:ascii="宋体" w:hAnsi="宋体" w:eastAsia="宋体" w:cs="宋体"/>
          <w:szCs w:val="21"/>
        </w:rPr>
        <w:t>目前，我们理论工作者须积极响应党的十七大报告关于要继续深化对中国特色社会主义理论和实践的研究和探索的号召，科学阐明中国特色社会主义的基本特征和内涵，并分清与民主社会主义的本质区别，以便中国特色社会主义的道路越走越宽、越走越顺。</w:t>
      </w:r>
    </w:p>
    <w:p w14:paraId="4AB46573">
      <w:pPr>
        <w:spacing w:line="300" w:lineRule="auto"/>
        <w:ind w:firstLine="440" w:firstLineChars="200"/>
        <w:rPr>
          <w:rFonts w:ascii="宋体" w:hAnsi="宋体" w:eastAsia="宋体" w:cs="宋体"/>
          <w:szCs w:val="21"/>
        </w:rPr>
      </w:pPr>
      <w:r>
        <w:rPr>
          <w:rFonts w:hint="eastAsia" w:ascii="宋体" w:hAnsi="宋体" w:eastAsia="宋体" w:cs="宋体"/>
          <w:szCs w:val="21"/>
        </w:rPr>
        <w:t>第一，从指导思想层面看，中国特色社会主义坚持马克思主义的指导地位。中国特色社会主义主张用马克思主义为灵魂的社会主义核心价值体系，引领各种社会思潮和社会主义实践。马克思主义作为科学的世界观和方法论，是社会主义运动的理论基础，应该在中国特色社会主义实践中占指导地位。以马克思主义为指导，就是要把马克思主义普遍原理与中国现阶段的实际结合起来，指导中国特色社会主义实践，研究新情况，总结新经验，解决新问题。马克思主义是一个开放的、随着科学和实践的发展而不断前进的科学体系，具有强大的持久生命力和科学的解释力。因此，在胡锦涛总书记的报告中，强调“中国特色社会主义道路之所以完全正确、之所以能够引领中国发展进步，关键在于我们既坚持了科学社会主义的基本原则，又根据我国实际和时代特征赋予其鲜明的中国特色。”；“深入学习马克思列宁主义、毛泽东思想、邓小平理论和‘三个代表’重要思想，在全党开展深入学习实践科学发展观活动，坚持用发展着的马克思主义指导客观世界和主观世界的改造，进一步把握共产党执政规律、社会主义建设规律、人类社会发展规律，提高运用科学理论分析和解决实际问题能力。”</w:t>
      </w:r>
    </w:p>
    <w:p w14:paraId="2B8DC59E">
      <w:pPr>
        <w:spacing w:line="300" w:lineRule="auto"/>
        <w:ind w:firstLine="440" w:firstLineChars="200"/>
        <w:rPr>
          <w:rFonts w:ascii="宋体" w:hAnsi="宋体" w:eastAsia="宋体" w:cs="宋体"/>
          <w:szCs w:val="21"/>
        </w:rPr>
      </w:pPr>
      <w:r>
        <w:rPr>
          <w:rFonts w:hint="eastAsia" w:ascii="宋体" w:hAnsi="宋体" w:eastAsia="宋体" w:cs="宋体"/>
          <w:szCs w:val="21"/>
        </w:rPr>
        <w:t>民主社会主义反对把马克思主义作为唯一的指导思想，主张世界观和指导思想的多元化，提倡社会主义思想构成和来源的多样性。他们把基督教学说、法国大革命的人权宣言、康德的伦理学与启蒙思想、黑格尔的辨证历史哲学、伯恩施坦的修正主义、凯恩斯主义经济学等都作为自己的思想来源和构成，将多种思想观点熔为一炉，冠之为“多元化”和“思想民主”。</w:t>
      </w:r>
    </w:p>
    <w:p w14:paraId="7F75F877">
      <w:pPr>
        <w:spacing w:line="300" w:lineRule="auto"/>
        <w:ind w:firstLine="440" w:firstLineChars="200"/>
        <w:rPr>
          <w:rFonts w:ascii="宋体" w:hAnsi="宋体" w:eastAsia="宋体" w:cs="宋体"/>
          <w:szCs w:val="21"/>
        </w:rPr>
      </w:pPr>
      <w:r>
        <w:rPr>
          <w:rFonts w:hint="eastAsia" w:ascii="宋体" w:hAnsi="宋体" w:eastAsia="宋体" w:cs="宋体"/>
          <w:szCs w:val="21"/>
        </w:rPr>
        <w:t>第二，从经济制度层面看，中国特色社会主义坚持市场经济条件下生产资料公有制的主体地位。中国特色社会主义认为，社会主义与资本主义在基本经济制度上具有决定意义的差别就在于生产资料社会所有制结构（邓小平语），以质与量都占优势的生产资料公有制为主体、国有经济为主导，对于强国富民、国民凝聚力和建设社会主义具有举足轻重的作用，是共产党执政等上层建筑的社会主义性质的经济基础（江泽民语）。尽管由于目前中国生产力不发达，还不能实现完全的生产资料公有制，但在发展各种私有制经济的同时必须坚持公有制的主体地位。只有坚持市场经济条件下公有制的主体地位，才能真正完善以按劳分配为主体的财富和收入分配制度，实现共同富裕和公平正义，才能真正落实以人为本的科学发展观，实现国民经济又好又快地良性发展。因此，在胡锦涛总书记的报告中强调“坚持和完善公有制为主体、多种所有制经济共同发展的基本经济制度，毫不动摇地巩固和发展公有制经济，毫不动摇地鼓励、支持、引导非公有制经济发展”。</w:t>
      </w:r>
    </w:p>
    <w:p w14:paraId="70C73D4F">
      <w:pPr>
        <w:spacing w:line="300" w:lineRule="auto"/>
        <w:ind w:firstLine="440" w:firstLineChars="200"/>
        <w:rPr>
          <w:rFonts w:ascii="宋体" w:hAnsi="宋体" w:eastAsia="宋体" w:cs="宋体"/>
          <w:szCs w:val="21"/>
        </w:rPr>
      </w:pPr>
      <w:r>
        <w:rPr>
          <w:rFonts w:hint="eastAsia" w:ascii="宋体" w:hAnsi="宋体" w:eastAsia="宋体" w:cs="宋体"/>
          <w:szCs w:val="21"/>
        </w:rPr>
        <w:t>民主社会主义否定生产资料公有制的主体地位，认为社会主义可以在不改变生产资料资本主义私有制的条件下实现，声称生产资料主体结构不是衡量社会性质的标准。他们主张在维持多种私有制主体的基础上，实行国有企业、私人企业和其他经济成分并存的“混合经济”制度，并维护以按资分配为主体的财富和收入分配制度。</w:t>
      </w:r>
    </w:p>
    <w:p w14:paraId="68A82E52">
      <w:pPr>
        <w:spacing w:line="300" w:lineRule="auto"/>
        <w:ind w:firstLine="440" w:firstLineChars="200"/>
        <w:rPr>
          <w:rFonts w:ascii="宋体" w:hAnsi="宋体" w:eastAsia="宋体" w:cs="宋体"/>
          <w:szCs w:val="21"/>
        </w:rPr>
      </w:pPr>
      <w:r>
        <w:rPr>
          <w:rFonts w:hint="eastAsia" w:ascii="宋体" w:hAnsi="宋体" w:eastAsia="宋体" w:cs="宋体"/>
          <w:szCs w:val="21"/>
        </w:rPr>
        <w:t>第三，从政治制度层面看，中国特色社会主义坚持工人阶级政党的领导。中国特色社会主义坚持共产党的工人阶级先锋队性质和民主集中制原则，坚持共产党对社会主义事业的领导。在新的科学技术革命面前，工人阶级仍然是先进生产力发展要求的代表和先进生产关系的体现者，仍然是推翻资本主义，建设社会主义、共产主义历史使命的承担者。在多种社会阶层出现和并存的新格局下，共产党仍然必须保持工人阶级先锋队的性质，全心全意依靠工人阶级。现阶段实行共产党领导下的多党合作和政治协商制度，而民主集中制是共产党及其执政国家的根本组织原则和组织制度，是正确处理党内外各种关系的政治准则。因此，在胡锦涛总书记的报告中，强调“深化政治体制改革，必须坚持正确政治方向，以保证人民当家作主为根本，以增强党和国家活力、调动人民积极性为目标，扩大社会主义民主，建设社会主义法治国家，发展社会主义政治文明。”</w:t>
      </w:r>
    </w:p>
    <w:p w14:paraId="17C52DE6">
      <w:pPr>
        <w:spacing w:line="300" w:lineRule="auto"/>
        <w:ind w:firstLine="440" w:firstLineChars="200"/>
        <w:rPr>
          <w:rFonts w:ascii="宋体" w:hAnsi="宋体" w:eastAsia="宋体" w:cs="宋体"/>
          <w:szCs w:val="21"/>
        </w:rPr>
      </w:pPr>
      <w:r>
        <w:rPr>
          <w:rFonts w:hint="eastAsia" w:ascii="宋体" w:hAnsi="宋体" w:eastAsia="宋体" w:cs="宋体"/>
          <w:szCs w:val="21"/>
        </w:rPr>
        <w:t>各种名称的社会党和社会党国际否定工人阶级政党领导的必要性，反对民主集中制原则。公开宣称他们的党是由具有不同信仰和思想的人组成的一个共同体，不是一个阶级的党，而是“全民党”。他们认为，由于生产力的变化，工人阶级已经丧失其为历史动力的主导作用，社会主义将由那些随着生产力发展而出现的社会阶层来领导，而不是由工人阶级来领导。同时，与他们提倡的民主化、多元化相适应，他们反对一切情况下的一党领导制，提倡资产阶级多党轮流执政的国体。在党的组织原则上，他们反对必要的集中制和党员的先进性和模范作用，不主张严格的组织纪律。他们只反对传统社会主义的首脑（官员）独断型民主模式，而不反对私人垄断型民主模式，缺乏官民互动型民主模式的改革目标。</w:t>
      </w:r>
    </w:p>
    <w:p w14:paraId="6C74F97F">
      <w:pPr>
        <w:spacing w:line="300" w:lineRule="auto"/>
        <w:ind w:firstLine="440" w:firstLineChars="200"/>
        <w:rPr>
          <w:rFonts w:ascii="宋体" w:hAnsi="宋体" w:eastAsia="宋体" w:cs="宋体"/>
          <w:szCs w:val="21"/>
        </w:rPr>
      </w:pPr>
      <w:r>
        <w:rPr>
          <w:rFonts w:hint="eastAsia" w:ascii="宋体" w:hAnsi="宋体" w:eastAsia="宋体" w:cs="宋体"/>
          <w:szCs w:val="21"/>
        </w:rPr>
        <w:t>第四，从对外关系层面看，中国特色社会主义坚持推动世界和谐发展。中国特色社会主义在对外关系理论和政策上都真正主张平等互利，和平合作，切实推动世界和谐发展。中国在政治、军事、经济和文化等各个对外领域，永远不称霸，强调国家不分大小强弱，一律平等。要超越意识形态和社会制度不同，来处理国家间的多种关系和全球问题。在全球化大趋势中，各国之间政治上要友好协商而不单边强权，军事上要限于自防而不先发制人，经济上要合作互利而不以邻为壑，文化上要交流互学而不损人利己。具有中国特色的社会主义中国以经济建设为中心，自然要通过经济开放积极参与经济全球化，为强国富民和全世界作出应有的贡献。因此，在胡锦涛总书记的报告中，强调“我们主张，各国人民携手努力，推动建设持久和平、共同繁荣的和谐世界。为此，应该遵循联合国宪章宗旨和原则，恪守国际法和公认的国际关系准则，在国际关系中弘扬民主、和睦、协作、共赢精神。”</w:t>
      </w:r>
    </w:p>
    <w:p w14:paraId="6A3FD5C9">
      <w:pPr>
        <w:spacing w:line="300" w:lineRule="auto"/>
        <w:ind w:firstLine="440" w:firstLineChars="200"/>
        <w:rPr>
          <w:rFonts w:ascii="宋体" w:hAnsi="宋体" w:eastAsia="宋体" w:cs="宋体"/>
          <w:szCs w:val="21"/>
        </w:rPr>
      </w:pPr>
      <w:r>
        <w:rPr>
          <w:rFonts w:hint="eastAsia" w:ascii="宋体" w:hAnsi="宋体" w:eastAsia="宋体" w:cs="宋体"/>
          <w:szCs w:val="21"/>
        </w:rPr>
        <w:t>民主社会主义表面上赞成对外关系要平等、和平，而实际行动上经常背离。在两次世界大战中、二战以后和后冷战以来，许多国家的社会党实行对外军事扩张和入侵，推行经济、政治和文化的霸权主义和新帝国政策，强调一霸数强型的单边独裁或多边垄断，破坏了联合国主导型的全球民主治理。</w:t>
      </w:r>
    </w:p>
    <w:p w14:paraId="2E55B618">
      <w:pPr>
        <w:spacing w:line="300" w:lineRule="auto"/>
        <w:ind w:firstLine="440" w:firstLineChars="200"/>
        <w:rPr>
          <w:rFonts w:ascii="宋体" w:hAnsi="宋体" w:eastAsia="宋体" w:cs="宋体"/>
          <w:szCs w:val="21"/>
        </w:rPr>
      </w:pPr>
      <w:r>
        <w:rPr>
          <w:rFonts w:hint="eastAsia" w:ascii="宋体" w:hAnsi="宋体" w:eastAsia="宋体" w:cs="宋体"/>
          <w:szCs w:val="21"/>
        </w:rPr>
        <w:t>第五，从终极目标层面看，中国特色社会主义坚持社会主义本质和共产主义奋斗目标。中国特色社会主义坚持解放生产力、发展生产力，消灭剥削，消除两极分化，实现共同富裕的社会主义本质和原则，并最终要在生产力极大发展的社会主义基础上，实现共产主义。这是一个漫长的历史演变过程和制度创新历程。因此，在胡锦涛总书记的报告中，强调“加强党员、干部理想信念教育和思想道德建设，使广大党员、干部成为实践社会主义核心价值体系的模范，做共产主义远大理想和中国特色社会主义共同理想的坚定信仰者、科学发展观的忠实执行者、社会主义荣辱观的自觉实践者、社会和谐的积极促进者。”</w:t>
      </w:r>
    </w:p>
    <w:p w14:paraId="2CA9FBEF">
      <w:pPr>
        <w:spacing w:line="300" w:lineRule="auto"/>
        <w:ind w:firstLine="440" w:firstLineChars="200"/>
        <w:rPr>
          <w:rFonts w:ascii="宋体" w:hAnsi="宋体" w:eastAsia="宋体" w:cs="宋体"/>
          <w:szCs w:val="21"/>
        </w:rPr>
      </w:pPr>
      <w:r>
        <w:rPr>
          <w:rFonts w:hint="eastAsia" w:ascii="宋体" w:hAnsi="宋体" w:eastAsia="宋体" w:cs="宋体"/>
          <w:szCs w:val="21"/>
        </w:rPr>
        <w:t>民主社会主义抛弃共产主义奋斗目标，从资产阶级的理性和伦理原则如自由、平等、公正、互助等出发，提出民主社会主义的目标是为一个社会公正、自由民主、世界和平的制度而奋斗。他们认为资本主义社会各种弊病和矛盾产生的根源不在于资本主义根本经济、政治和文化制度本身，也不在于阶级剥削和压迫的存在，而是违背了所谓人类一般的理性、伦理原则。要解决资本主义的痼疾，不需要替代资本主义根本制度，只要按照上述原则不断地对其改良即可。</w:t>
      </w:r>
    </w:p>
    <w:p w14:paraId="41BE2CA4">
      <w:pPr>
        <w:spacing w:line="300" w:lineRule="auto"/>
        <w:ind w:firstLine="440" w:firstLineChars="200"/>
        <w:rPr>
          <w:rFonts w:ascii="宋体" w:hAnsi="宋体" w:eastAsia="宋体" w:cs="Times New Roman"/>
          <w:szCs w:val="21"/>
        </w:rPr>
      </w:pPr>
    </w:p>
    <w:p w14:paraId="6BEBB964">
      <w:pPr>
        <w:spacing w:line="300" w:lineRule="auto"/>
        <w:ind w:firstLine="440" w:firstLineChars="200"/>
        <w:rPr>
          <w:rFonts w:ascii="宋体" w:hAnsi="宋体" w:eastAsia="宋体" w:cs="Times New Roman"/>
          <w:szCs w:val="21"/>
        </w:rPr>
      </w:pPr>
      <w:r>
        <w:rPr>
          <w:rFonts w:hint="eastAsia" w:ascii="宋体" w:hAnsi="宋体" w:eastAsia="宋体" w:cs="Times New Roman"/>
          <w:szCs w:val="21"/>
        </w:rPr>
        <w:t>（原载于《南京理工大学学报（社会科学版）》2008年第5期，第二作者为</w:t>
      </w:r>
    </w:p>
    <w:p w14:paraId="5F474AEE">
      <w:pPr>
        <w:spacing w:line="300" w:lineRule="auto"/>
        <w:ind w:firstLine="440" w:firstLineChars="200"/>
        <w:rPr>
          <w:rFonts w:ascii="宋体" w:hAnsi="宋体" w:eastAsia="宋体" w:cs="Times New Roman"/>
          <w:szCs w:val="21"/>
        </w:rPr>
      </w:pPr>
    </w:p>
    <w:p w14:paraId="4457FA5A">
      <w:pPr>
        <w:ind w:firstLine="440" w:firstLineChars="200"/>
      </w:pPr>
    </w:p>
    <w:p w14:paraId="2AEE2BF6">
      <w:pPr>
        <w:keepNext/>
        <w:keepLines/>
        <w:widowControl/>
        <w:spacing w:before="147" w:beforeLines="50" w:after="147" w:afterLines="50" w:line="300" w:lineRule="auto"/>
        <w:ind w:firstLine="660" w:firstLineChars="200"/>
        <w:jc w:val="center"/>
        <w:outlineLvl w:val="1"/>
        <w:rPr>
          <w:rFonts w:ascii="Times New Roman" w:hAnsi="Times New Roman" w:eastAsia="黑体" w:cs="Times New Roman"/>
          <w:sz w:val="32"/>
          <w:szCs w:val="32"/>
        </w:rPr>
      </w:pPr>
      <w:bookmarkStart w:id="997" w:name="_Toc111193707"/>
      <w:bookmarkStart w:id="998" w:name="_Toc28594"/>
      <w:bookmarkStart w:id="999" w:name="_Toc633518392"/>
      <w:bookmarkStart w:id="1000" w:name="_Toc223433569"/>
      <w:r>
        <w:rPr>
          <w:rFonts w:hint="eastAsia" w:ascii="Times New Roman" w:hAnsi="Times New Roman" w:eastAsia="黑体" w:cs="Times New Roman"/>
          <w:sz w:val="32"/>
          <w:szCs w:val="32"/>
        </w:rPr>
        <w:t>1</w:t>
      </w:r>
      <w:r>
        <w:rPr>
          <w:rFonts w:ascii="Times New Roman" w:hAnsi="Times New Roman" w:eastAsia="黑体" w:cs="Times New Roman"/>
          <w:sz w:val="32"/>
          <w:szCs w:val="32"/>
        </w:rPr>
        <w:t>7</w:t>
      </w:r>
      <w:r>
        <w:rPr>
          <w:rFonts w:hint="eastAsia" w:ascii="Times New Roman" w:hAnsi="Times New Roman" w:eastAsia="黑体" w:cs="Times New Roman"/>
          <w:sz w:val="32"/>
          <w:szCs w:val="32"/>
        </w:rPr>
        <w:t>不断加深关于社会主义初级阶段的认识</w:t>
      </w:r>
      <w:bookmarkEnd w:id="997"/>
      <w:bookmarkEnd w:id="998"/>
      <w:bookmarkEnd w:id="999"/>
      <w:bookmarkEnd w:id="1000"/>
    </w:p>
    <w:p w14:paraId="5302BE71">
      <w:pPr>
        <w:spacing w:line="300" w:lineRule="auto"/>
        <w:ind w:firstLine="440" w:firstLineChars="200"/>
        <w:rPr>
          <w:rFonts w:ascii="宋体" w:hAnsi="宋体" w:eastAsia="宋体" w:cs="宋体"/>
          <w:szCs w:val="21"/>
        </w:rPr>
      </w:pPr>
      <w:r>
        <w:rPr>
          <w:rFonts w:hint="eastAsia" w:ascii="宋体" w:hAnsi="宋体" w:eastAsia="宋体" w:cs="宋体"/>
          <w:szCs w:val="21"/>
        </w:rPr>
        <w:t>在我党历史上，把马克思列宁主义同中国实际和时代精神相结合，有过两次历史性飞跃，产生了两个理论成果—毛泽东思想和邓小平理论。新民主主义是毛泽东思想的精华和重要组成部分，初级阶段理论是邓小平理论体系的基石。而胡锦涛同志在党的十七大报告中关于初级阶段的阐述，又进一步丰富了邓小平和江泽民同志关于社会主义初级阶段的理论。当前，回顾和不断深化认识初级阶段理论和实践，对于深入贯彻落实科学发展观和全面建设小康社会是十分有益的。</w:t>
      </w:r>
    </w:p>
    <w:p w14:paraId="5DE4A391">
      <w:pPr>
        <w:snapToGrid w:val="0"/>
        <w:spacing w:before="147" w:beforeLines="50" w:after="147" w:afterLines="50" w:line="300" w:lineRule="auto"/>
        <w:ind w:firstLine="500" w:firstLineChars="200"/>
        <w:jc w:val="center"/>
        <w:rPr>
          <w:rFonts w:ascii="宋体" w:hAnsi="宋体" w:eastAsia="宋体" w:cs="Times New Roman"/>
          <w:b/>
          <w:bCs/>
          <w:sz w:val="24"/>
        </w:rPr>
      </w:pPr>
      <w:bookmarkStart w:id="1001" w:name="_Toc27143"/>
      <w:bookmarkStart w:id="1002" w:name="_Toc20526"/>
      <w:bookmarkStart w:id="1003" w:name="_Toc2045"/>
      <w:bookmarkStart w:id="1004" w:name="_Toc11424"/>
      <w:r>
        <w:rPr>
          <w:rFonts w:hint="eastAsia" w:ascii="宋体" w:hAnsi="宋体" w:eastAsia="宋体" w:cs="Times New Roman"/>
          <w:b/>
          <w:bCs/>
          <w:sz w:val="24"/>
        </w:rPr>
        <w:t>一、社会主义初级阶段的思想渊源和概念确立</w:t>
      </w:r>
      <w:bookmarkEnd w:id="1001"/>
      <w:bookmarkEnd w:id="1002"/>
      <w:bookmarkEnd w:id="1003"/>
      <w:bookmarkEnd w:id="1004"/>
    </w:p>
    <w:p w14:paraId="0D8AB32B">
      <w:pPr>
        <w:spacing w:line="300" w:lineRule="auto"/>
        <w:ind w:firstLine="440" w:firstLineChars="200"/>
        <w:rPr>
          <w:rFonts w:ascii="宋体" w:hAnsi="宋体" w:eastAsia="宋体" w:cs="宋体"/>
          <w:szCs w:val="21"/>
        </w:rPr>
      </w:pPr>
      <w:r>
        <w:rPr>
          <w:rFonts w:hint="eastAsia" w:ascii="宋体" w:hAnsi="宋体" w:eastAsia="宋体" w:cs="宋体"/>
          <w:szCs w:val="21"/>
        </w:rPr>
        <w:t>马克思在19世纪70年代明确提出，未来的共产主义社会将分为第一阶段（或低级阶段）和高级阶段两个阶段。后来，列宁把共产主义第一阶段叫做社会主义社会。然而，无论是马克思称作的“第一阶段”，还是列宁称作的社会主义，都应该是具备高度发展的生产力水平以及较完善的社会主义生产关系。马克思设想“第一阶段”不仅已经完全消灭了阶级和阶级的差别，消灭了商品货币关系，实现了很高水平的统一的全社会公有制，甚至国家也变成了非阶级性国家，从而达到向共产主义过渡的条件。列宁也是如此，强调在社会主义社会是实现了生产资料公有和按劳分配，实行没有商品货币关系的计划经济，消灭了阶级（包括工农阶级差别），国家正在消亡等等。</w:t>
      </w:r>
    </w:p>
    <w:p w14:paraId="113893BB">
      <w:pPr>
        <w:spacing w:line="300" w:lineRule="auto"/>
        <w:ind w:firstLine="440" w:firstLineChars="200"/>
        <w:rPr>
          <w:rFonts w:ascii="宋体" w:hAnsi="宋体" w:eastAsia="宋体" w:cs="宋体"/>
          <w:szCs w:val="21"/>
        </w:rPr>
      </w:pPr>
      <w:r>
        <w:rPr>
          <w:rFonts w:hint="eastAsia" w:ascii="宋体" w:hAnsi="宋体" w:eastAsia="宋体" w:cs="宋体"/>
          <w:szCs w:val="21"/>
        </w:rPr>
        <w:t>按照斯大林和毛泽东关于社会主义的思想，我国在1956年社会主义改造结束后宣布基本上建立了社会主义经济制度，依据在于基本建立了生产资料公有制、按劳分配和计划经济为主导的生产关系，尽管社会生产力还相对落后。事实上，宣布中国1956年以后进入的社会主义社会，与马恩列关于社会主义社会确立的标准是很远的。关于这个问题，1957年1月，毛泽东在一次讨论知识分子问题的座谈会时指出：说我们已进入了社会主义，进入是进入了，但尚未完成，不要说已经完成；我国的社会主义制度还刚刚建立，还没有完全建成，还不是完全巩固。</w:t>
      </w:r>
    </w:p>
    <w:p w14:paraId="1D71DFAE">
      <w:pPr>
        <w:spacing w:line="300" w:lineRule="auto"/>
        <w:ind w:firstLine="440" w:firstLineChars="200"/>
        <w:rPr>
          <w:rFonts w:ascii="宋体" w:hAnsi="宋体" w:eastAsia="宋体" w:cs="宋体"/>
          <w:szCs w:val="21"/>
        </w:rPr>
      </w:pPr>
      <w:r>
        <w:rPr>
          <w:rFonts w:hint="eastAsia" w:ascii="宋体" w:hAnsi="宋体" w:eastAsia="宋体" w:cs="宋体"/>
          <w:szCs w:val="21"/>
        </w:rPr>
        <w:t>那么，对于已经进入社会主义，但不够格、不完备的社会主义在理论上给予一个什么称谓呢？马克思对共产主义第一阶段内未曾再作过什么阶段的划分。列宁1919年12月在《关于星期六义务劳动》一文中强调说：我们在剥夺了地主资本家之后，只获得了建设初级形式的社会主义的可能性，但是，这里还丝毫没有共产主义的东西。1958年11月，毛泽东在郑州会议上曾经指出过：我们只是进入了不完全、不发达的社会主义，或者叫做社会主义初期阶段。很明显，列宁的“初级形式”社会主义和毛泽东的“初期阶段”，不是我们现在所提的“初级阶段”，因为还没有包含公有制为主体和市场经济体制的内容，但对初级阶段理论具有一定的思想启示，可以视作理论源头。</w:t>
      </w:r>
    </w:p>
    <w:p w14:paraId="3C711FF4">
      <w:pPr>
        <w:spacing w:line="300" w:lineRule="auto"/>
        <w:ind w:firstLine="440" w:firstLineChars="200"/>
        <w:rPr>
          <w:rFonts w:ascii="宋体" w:hAnsi="宋体" w:eastAsia="宋体" w:cs="宋体"/>
          <w:szCs w:val="21"/>
        </w:rPr>
      </w:pPr>
      <w:r>
        <w:rPr>
          <w:rFonts w:hint="eastAsia" w:ascii="宋体" w:hAnsi="宋体" w:eastAsia="宋体" w:cs="宋体"/>
          <w:szCs w:val="21"/>
        </w:rPr>
        <w:t>遗憾的是，关于社会主义社会从“进入”到“建成期间”必须历经很长一个建设时期的理论构想，没有得到很好的坚持并付诸实践。在苏联，列宁的实践过于短促，列宁逝世后，苏联于1936年就宣布基本上实现了社会主义。在我国，毛泽东关于“初期阶段”的认识也没有得到很好贯彻。从50年代开始，社会主义国家兴起了一阵向共产主义过渡的浪潮，开展各种形式的运动，提出各种各样的口号，用各种方式鼓励人们的“共产主义”热情。这股思潮也影响到我国，1958年起开始刮“共产风”，企图跑步进入共产主义社会，使得进入社会主义大门以后的社会主义建设事业误入歧途。</w:t>
      </w:r>
    </w:p>
    <w:p w14:paraId="038DC4DE">
      <w:pPr>
        <w:spacing w:line="300" w:lineRule="auto"/>
        <w:ind w:firstLine="440" w:firstLineChars="200"/>
        <w:rPr>
          <w:rFonts w:ascii="宋体" w:hAnsi="宋体" w:eastAsia="宋体" w:cs="宋体"/>
          <w:szCs w:val="21"/>
        </w:rPr>
      </w:pPr>
      <w:r>
        <w:rPr>
          <w:rFonts w:hint="eastAsia" w:ascii="宋体" w:hAnsi="宋体" w:eastAsia="宋体" w:cs="宋体"/>
          <w:szCs w:val="21"/>
        </w:rPr>
        <w:t>前人的理论启示，特别是历史的教训，越来越清楚地告诉人们：搞好社会主义建设的出发点，在于必须给社会主义作科学的历史定位。传统中国社会主义的弊端与超越历史阶段密切相关。党的十一届三中全会后，邓小平一再强调要注重对社会主义发展阶段进行再认识。1980年，他在谈到建国30年的经验时强调指出：不要离开现实和超越阶段采取一些“左”的办法，这样是搞不成社会主义的。以后，邓小平逐步作出理论概括，直至1987年8月在党的十三大召开前，他在会见意大利共产党领导人时指出：我们党的十三大要阐述中国社会主义是处在一个什么阶段，就是处在初级阶段，是初级阶段的社会主义。社会主义本身是共产主义的初级阶段，而我们中国又处在社会主义的初级阶段，就是不发达的阶段。至此，“社会主义初级阶段”这一概念正式被确立，并被党的十四大、十五大、十六大和十七大报告所不断强调和阐发。胡锦涛同志在党的十七大报告中深刻地指出：“强调认清社会主义初级阶段基本国情，不是要妄自菲薄、自甘落后，也不是要脱离实际、急于求成，而是要坚持把它作为推进改革、谋划发展的根本依据。我们必须始终保持清醒头脑，立足社会主义初级阶段这个最大的实际，科学分析我国全面参与经济全球化的新机遇新挑战，全面认识工业化、信息化、城镇化、市场化、国际化深入发展的新形势新任务，深刻把握我国发展面临的新课题新矛盾，更加自觉地走科学发展道路，奋力开拓中国特色社会主义更为广阔的发展前景。”这就又深化了对社会主义初级阶段的认识。</w:t>
      </w:r>
    </w:p>
    <w:p w14:paraId="539DDCB3">
      <w:pPr>
        <w:snapToGrid w:val="0"/>
        <w:spacing w:before="147" w:beforeLines="50" w:after="147" w:afterLines="50" w:line="300" w:lineRule="auto"/>
        <w:ind w:firstLine="500" w:firstLineChars="200"/>
        <w:jc w:val="center"/>
        <w:rPr>
          <w:rFonts w:ascii="宋体" w:hAnsi="宋体" w:eastAsia="宋体" w:cs="Times New Roman"/>
          <w:b/>
          <w:bCs/>
          <w:sz w:val="24"/>
        </w:rPr>
      </w:pPr>
      <w:bookmarkStart w:id="1005" w:name="_Toc16508"/>
      <w:bookmarkStart w:id="1006" w:name="_Toc18658"/>
      <w:bookmarkStart w:id="1007" w:name="_Toc17512"/>
      <w:bookmarkStart w:id="1008" w:name="_Toc23173"/>
      <w:bookmarkStart w:id="1009" w:name="_Toc10404"/>
      <w:r>
        <w:rPr>
          <w:rFonts w:hint="eastAsia" w:ascii="宋体" w:hAnsi="宋体" w:eastAsia="宋体" w:cs="Times New Roman"/>
          <w:b/>
          <w:bCs/>
          <w:sz w:val="24"/>
        </w:rPr>
        <w:t>二、初级阶段社会主义的特定社会性质和发展程度</w:t>
      </w:r>
      <w:bookmarkEnd w:id="1005"/>
      <w:bookmarkEnd w:id="1006"/>
      <w:bookmarkEnd w:id="1007"/>
      <w:bookmarkEnd w:id="1008"/>
      <w:bookmarkEnd w:id="1009"/>
    </w:p>
    <w:p w14:paraId="604901A0">
      <w:pPr>
        <w:spacing w:line="300" w:lineRule="auto"/>
        <w:ind w:firstLine="440" w:firstLineChars="200"/>
        <w:rPr>
          <w:rFonts w:ascii="宋体" w:hAnsi="宋体" w:eastAsia="宋体" w:cs="宋体"/>
          <w:szCs w:val="21"/>
        </w:rPr>
      </w:pPr>
      <w:r>
        <w:rPr>
          <w:rFonts w:hint="eastAsia" w:ascii="宋体" w:hAnsi="宋体" w:eastAsia="宋体" w:cs="宋体"/>
          <w:szCs w:val="21"/>
        </w:rPr>
        <w:t>如何看待初级阶段的社会性质？党的十三大报告界定社会主义初级阶段的有两层含义：一是表明我国社会已经是社会主义社会，我们必须坚持而不能离开社会主义。二是表明我国社会主义社会还处在初级阶段，我们必须从这个实际出发，而不能超越这个阶段。一是表明性质，二是表明程度。这里的“一”，实际是从生产关系角度界定初级阶段的社会主义的特定性质；“二”是从生产力角度强调这个社会主义初级阶段还很不发达。但在把握这个问题时，对“一”和“二”的关注不能片面。往往对“二”的注重超过“一”，这出于对以往历史的总结和纠偏无可非议，但不能因此疏忽了“一”，因为直接对社会性质的界定，除了生产力方面的基础状况，还仍然要直接以生产关系的状况作为特征和标准的。</w:t>
      </w:r>
    </w:p>
    <w:p w14:paraId="0AF87C45">
      <w:pPr>
        <w:spacing w:line="300" w:lineRule="auto"/>
        <w:ind w:firstLine="440" w:firstLineChars="200"/>
        <w:rPr>
          <w:rFonts w:ascii="宋体" w:hAnsi="宋体" w:eastAsia="宋体" w:cs="宋体"/>
          <w:szCs w:val="21"/>
        </w:rPr>
      </w:pPr>
      <w:r>
        <w:rPr>
          <w:rFonts w:hint="eastAsia" w:ascii="宋体" w:hAnsi="宋体" w:eastAsia="宋体" w:cs="宋体"/>
          <w:szCs w:val="21"/>
        </w:rPr>
        <w:t>社会主义初级阶段同当代资本主义社会的本质差别，在于占主体的所有制性质不同，前者是公有制占主体，后者是私有制占主体；社会主义初级阶段同社会主义非初级阶段（或称后初级阶段），如中级阶段或高级阶段的部分质的区别，应该主要在于生产力水平不同以及由此所引起的所有制结构和生产关系的不同。</w:t>
      </w:r>
    </w:p>
    <w:p w14:paraId="12D358CD">
      <w:pPr>
        <w:spacing w:line="300" w:lineRule="auto"/>
        <w:ind w:firstLine="440" w:firstLineChars="200"/>
        <w:rPr>
          <w:rFonts w:ascii="宋体" w:hAnsi="宋体" w:eastAsia="宋体" w:cs="宋体"/>
          <w:szCs w:val="21"/>
        </w:rPr>
      </w:pPr>
      <w:r>
        <w:rPr>
          <w:rFonts w:hint="eastAsia" w:ascii="宋体" w:hAnsi="宋体" w:eastAsia="宋体" w:cs="宋体"/>
          <w:szCs w:val="21"/>
        </w:rPr>
        <w:t>目前，我国的生产关系还很不完善，离马列主义阐述的社会主义所要求的生产关系还有很大距离。然而，这个逐步升华和较高程度的生产关系必须是和现实生产力相适应，是具有丰厚生产力基础的先进的生产关系，而不是人为拔高的社会主义生产关系。回顾历史，因为我们不顾生产力的状况，建立同生产力不相适应的“先进”的生产关系，加快了新民主主义向社会主义过渡，并欲结束过渡到共产主义，其结果，使我国的社会主义建设事业曲折坎坷，社会主义制度的优越性不能得到充分体现。同理，如果我们现在一味不顾生产关系方面的要求，不坚持、发展和完善社会主义生产关系和基本经济制度，疏忽对此作深刻理解和正确把握，也会犯“右”的错误，从而有悖于坚持社会主义的方向，以致最终影响社会主义的建成。当然，就目前看，坚持社会主义方向，坚持公有制为主体的原则，必须深化对社会主义初级阶段“公有制为主体，多种所有制共同发展”这一社会所有制结构的理论研究和实践探索。如同党的十七大报告所说，“必须毫不动摇地巩固和发展公有制经济”，“必须毫不动摇地鼓励、支持和引导非公有制经济发展”，做到认识上有深化，实践上有创新。</w:t>
      </w:r>
    </w:p>
    <w:p w14:paraId="0CF7C715">
      <w:pPr>
        <w:spacing w:line="300" w:lineRule="auto"/>
        <w:ind w:firstLine="440" w:firstLineChars="200"/>
        <w:rPr>
          <w:rFonts w:ascii="宋体" w:hAnsi="宋体" w:eastAsia="宋体" w:cs="宋体"/>
          <w:szCs w:val="21"/>
        </w:rPr>
      </w:pPr>
      <w:r>
        <w:rPr>
          <w:rFonts w:hint="eastAsia" w:ascii="宋体" w:hAnsi="宋体" w:eastAsia="宋体" w:cs="宋体"/>
          <w:szCs w:val="21"/>
        </w:rPr>
        <w:t>这里特别要指出，决定初级阶段社会主义的根本因素，在于无论从生产关系角度看，还是从生产力要求看，离完全建成社会主义，或说是结束社会主义初级阶段，尚有很长远的距离。具体地说，不仅是第二层含义中的生产力方面，程度还很低，就是第一层含义的生产关系方面，也有个程度很低的问题。要把两个方面的程度提高，则需要很长时间。因此，社会主义初级阶段是相当长期的历史阶段。党的十三大、十五大、十六大和十七大的报告再次确认这一点，并多次作了充分阐述。</w:t>
      </w:r>
    </w:p>
    <w:p w14:paraId="08164B88">
      <w:pPr>
        <w:spacing w:line="300" w:lineRule="auto"/>
        <w:ind w:firstLine="440" w:firstLineChars="200"/>
        <w:rPr>
          <w:rFonts w:ascii="宋体" w:hAnsi="宋体" w:eastAsia="宋体" w:cs="宋体"/>
          <w:szCs w:val="21"/>
        </w:rPr>
      </w:pPr>
      <w:r>
        <w:rPr>
          <w:rFonts w:hint="eastAsia" w:ascii="宋体" w:hAnsi="宋体" w:eastAsia="宋体" w:cs="宋体"/>
          <w:szCs w:val="21"/>
        </w:rPr>
        <w:t>党的十三大报告对初级阶段社会主义做了五个方面的集中阐述，这就是：（1）逐步摆脱贫穷落后；（2）逐步转变为现代化的工业国；（3）逐步转变为商品经济高度发达；（4）建立和发展充满活力的各种体制；（5）艰苦创业以实现中华民族的伟大复兴。</w:t>
      </w:r>
    </w:p>
    <w:p w14:paraId="7176624C">
      <w:pPr>
        <w:spacing w:line="300" w:lineRule="auto"/>
        <w:ind w:firstLine="440" w:firstLineChars="200"/>
        <w:rPr>
          <w:rFonts w:ascii="宋体" w:hAnsi="宋体" w:eastAsia="宋体" w:cs="宋体"/>
          <w:szCs w:val="21"/>
        </w:rPr>
      </w:pPr>
      <w:r>
        <w:rPr>
          <w:rFonts w:hint="eastAsia" w:ascii="宋体" w:hAnsi="宋体" w:eastAsia="宋体" w:cs="宋体"/>
          <w:szCs w:val="21"/>
        </w:rPr>
        <w:t>党的十五大报告则进一步对初级阶段社会主义的基本特征作了九个方面的系统概括：（1）社会主义初级阶段，是逐步摆脱不发达状态，基本实现社会主义现代化的历史阶段；（2）是由农业人口占很大比重，主要依靠手工劳动的农业国，逐步转变为非农业人口占多数、包含现代农业和现代服务的工业化国家的历史阶段；（3）是由自然经济半自然经济占很大比重，逐步转变为经济市场化程度较高的历史阶段；（4）是由文盲半文盲人口占很大比重、科技教育文化落后，逐步转变为科技教育文化比较发达的历史阶段；（5）是由贫困人口占很大比重、人民生活水平比较低，逐步转变为全体人民比较富裕的历史阶段；（6）是由地区经济文化很不平衡，通过有先有后的发展，逐步缩小差距的历史阶段；（7）是通过改革和探索，建立和完善比较成熟的充满活力的社会主义市场经济体制、社会主义民主政治体制和其他方面体制的历史阶段；（8）是广大人民牢固树立建设有中国特色社会主义共同理想，自强不息，锐意进取，艰苦奋斗，勤俭建国，在建设物质文明的同时努力建设精神文明的历史阶段；（9）是逐步缩小同世界先进水平的差距，在社会主义基础上实现中华民族伟大复兴的历史阶段。</w:t>
      </w:r>
    </w:p>
    <w:p w14:paraId="084B3939">
      <w:pPr>
        <w:spacing w:line="300" w:lineRule="auto"/>
        <w:ind w:firstLine="440" w:firstLineChars="200"/>
        <w:rPr>
          <w:rFonts w:ascii="宋体" w:hAnsi="宋体" w:eastAsia="宋体" w:cs="宋体"/>
          <w:szCs w:val="21"/>
        </w:rPr>
      </w:pPr>
      <w:r>
        <w:rPr>
          <w:rFonts w:hint="eastAsia" w:ascii="宋体" w:hAnsi="宋体" w:eastAsia="宋体" w:cs="宋体"/>
          <w:szCs w:val="21"/>
        </w:rPr>
        <w:t>党的十六大报告在阐述社会主义初级阶段的状况时又指出七点“：我国生产力和科技、教育还比较落后，实现工业化和现代化还有很长的路要走；城乡二元经济结构还没有改变，地区差距扩大的趋势尚未扭转，贫困人口还为数不少；人口总量继续增加，老龄人口比重上升，就业和社会保障压力增大；生态环境、自然资源和经济社会发展的矛盾日益突出；我们仍然面临发达国家在经济科技等方面占优势的压力；经济体制和其他方面的管理体制还不完善；民主法制建设和思想道德建设等方面还存在一些不容忽视的问题。”因此，党的十六大通过的新党章再次确认：“我国正处于并将长期处于社会主义初级阶段。这是在经济文化落后的中国建设社会主义现代化不可逾越的历史阶段，需要上百年的时间。”</w:t>
      </w:r>
    </w:p>
    <w:p w14:paraId="1BB65ECC">
      <w:pPr>
        <w:spacing w:line="300" w:lineRule="auto"/>
        <w:ind w:firstLine="440" w:firstLineChars="200"/>
        <w:rPr>
          <w:rFonts w:ascii="宋体" w:hAnsi="宋体" w:eastAsia="宋体" w:cs="宋体"/>
          <w:szCs w:val="21"/>
        </w:rPr>
      </w:pPr>
      <w:r>
        <w:rPr>
          <w:rFonts w:hint="eastAsia" w:ascii="宋体" w:hAnsi="宋体" w:eastAsia="宋体" w:cs="宋体"/>
          <w:szCs w:val="21"/>
        </w:rPr>
        <w:t>党的十七大报告对初级阶段社会主义社会进入新世纪新阶段后呈现一系列新的阶段性特征作了实事求是的阐述，“主要是：经济实力显著增强，同时生产力水平总体上还不高，自主创新能力还不强，长期形成的结构性矛盾和粗放型增长方式尚未根本改变；社会主义市场经济体制初步建立，同时影响发展的体制机制障碍依然存在，改革攻坚面临深层次矛盾和问题；人民生活总体上达到小康水平，同时收入分配差距拉大趋势还未根本扭转，城乡贫困人口和低收入人口还有相当数量，统筹兼顾各方面利益难度加大；协调发展取得显著成绩，同时农业基础薄弱、农村发展滞后的局面尚未改变，缩小城乡、区域发展差距和促进经济社会协调发展任务艰巨；社会主义民主政治不断发展、依法治国基本方略扎实贯彻，同时民主法制建设与扩大人民民主和经济社会发展的要求还不完全适应，政治体制改革需要继续深化；社会主义文化更加繁荣，同时人民精神文化需求日趋旺盛，人们思想活动的独立性、选择性、多变性、差异性明显增强，对发展社会主义先进文化提出了更高要求；社会活力显著增强，同时社会结构、社会组织形式、社会利益格局发生深刻变化，社会建设和管理面临诸多新课题；对外开放日益扩大，同时面临的国际竞争日趋激烈，发达国家在经济科技上占优势的压力长期存在，可以预见和难以预见的风险增多，统筹国内发展和对外开放要求更高。这些情况表明，经过新中国成立以来特别是改革开放以来的不懈努力，我国取得了举世瞩目的发展成就，从生产力到生产关系、从经济基础到上层建筑都发生了意义深远的重大变化，但我国仍处于并将长期处于社会主义初级阶段的基本国情没有变，人民日益增长的物质文化需要同落后的社会生产之间的矛盾这一社会主要矛盾没有变。当前我国发展的阶段性特征，是社会主义初级阶段基本国情在新世纪新阶段的具体表现。”</w:t>
      </w:r>
    </w:p>
    <w:p w14:paraId="0DB20E0C">
      <w:pPr>
        <w:spacing w:line="300" w:lineRule="auto"/>
        <w:ind w:firstLine="440" w:firstLineChars="200"/>
        <w:rPr>
          <w:rFonts w:ascii="宋体" w:hAnsi="宋体" w:eastAsia="宋体" w:cs="宋体"/>
          <w:szCs w:val="21"/>
        </w:rPr>
      </w:pPr>
      <w:r>
        <w:rPr>
          <w:rFonts w:hint="eastAsia" w:ascii="宋体" w:hAnsi="宋体" w:eastAsia="宋体" w:cs="宋体"/>
          <w:szCs w:val="21"/>
        </w:rPr>
        <w:t>应该说，党的十三大、十五大和十六大报告，对社会主义初级阶段特征和任务的阐述，都不仅包括了生产力方面的内容，而且还包括了生产关系和上层建筑方面的内容。此外，无论是党的十三大报告中的三个“逐步”，党的十五大报告中的七个“逐步”，党的十六大报告中的七个要逐步摆脱的状况，还是党的十七大报告中的“八个同时”，加上四个报告中所使用的其他量度性很强的词汇，都深刻表明了完成初级阶段历史使命的长期性，这需要几代人共同为之而努力奋斗。</w:t>
      </w:r>
    </w:p>
    <w:p w14:paraId="16379CE1">
      <w:pPr>
        <w:snapToGrid w:val="0"/>
        <w:spacing w:before="147" w:beforeLines="50" w:after="147" w:afterLines="50" w:line="300" w:lineRule="auto"/>
        <w:ind w:firstLine="500" w:firstLineChars="200"/>
        <w:jc w:val="center"/>
        <w:rPr>
          <w:rFonts w:ascii="宋体" w:hAnsi="宋体" w:eastAsia="宋体" w:cs="Times New Roman"/>
          <w:b/>
          <w:bCs/>
          <w:sz w:val="24"/>
        </w:rPr>
      </w:pPr>
      <w:bookmarkStart w:id="1010" w:name="_Toc497"/>
      <w:bookmarkStart w:id="1011" w:name="_Toc9923"/>
      <w:bookmarkStart w:id="1012" w:name="_Toc13350"/>
      <w:bookmarkStart w:id="1013" w:name="_Toc14546"/>
      <w:bookmarkStart w:id="1014" w:name="_Toc23772"/>
      <w:r>
        <w:rPr>
          <w:rFonts w:hint="eastAsia" w:ascii="宋体" w:hAnsi="宋体" w:eastAsia="宋体" w:cs="Times New Roman"/>
          <w:b/>
          <w:bCs/>
          <w:sz w:val="24"/>
        </w:rPr>
        <w:t>三、立足初级阶段和基本路线，全面建设中国特色社会主义</w:t>
      </w:r>
      <w:bookmarkEnd w:id="1010"/>
      <w:bookmarkEnd w:id="1011"/>
      <w:bookmarkEnd w:id="1012"/>
      <w:bookmarkEnd w:id="1013"/>
      <w:bookmarkEnd w:id="1014"/>
    </w:p>
    <w:p w14:paraId="791E1BA6">
      <w:pPr>
        <w:spacing w:line="300" w:lineRule="auto"/>
        <w:ind w:firstLine="440" w:firstLineChars="200"/>
        <w:rPr>
          <w:rFonts w:ascii="宋体" w:hAnsi="宋体" w:eastAsia="宋体" w:cs="宋体"/>
          <w:szCs w:val="21"/>
        </w:rPr>
      </w:pPr>
      <w:r>
        <w:rPr>
          <w:rFonts w:hint="eastAsia" w:ascii="宋体" w:hAnsi="宋体" w:eastAsia="宋体" w:cs="宋体"/>
          <w:szCs w:val="21"/>
        </w:rPr>
        <w:t>建设中国特色的社会主义，这个命题表明要有特色地建设社会主义。“特色”的基本含义，便是把马克思主义基本原理与“世情”、特别是“国情”和“党情”相结合，在建设社会主义的过程中要走出自己的独特道路，既不是步苏东国家后尘而倒退到资本主义经济政治文化制度去，也不是固守中国传统社会主义模式。为此，必须坚定不移地立足初级阶段来建设社会主义，以实现十七大所强调的二0二0年实现全面建成小康社会的奋斗目标。这就是：“我们已经朝着十六大确立的全面建设小康社会的目标迈出了坚实步伐，今后要继续努力奋斗，确保到二0二0年实现全面建成小康社会的奋斗目标。到二0二0年全面建设小康社会目标实现之时，我们这个历史悠久的文明古国和发展中社会主义大国，将成为工业化基本实现、综合国力显著增强、国内市场总体规模位居世界前列的国家，成为人民富裕程度普遍提高、生活质量明显改善、生态环境良好的国家，成为人民享有更加充分民主权利、具有更高文明素质和精神追求的国家，成为各方面制度更加完善、社会更加充满活力而又安定团结的国家，成为对外更加开放、更加具有亲和力、为人类文明作出更大贡献的国家。”</w:t>
      </w:r>
    </w:p>
    <w:p w14:paraId="602627D9">
      <w:pPr>
        <w:spacing w:line="300" w:lineRule="auto"/>
        <w:ind w:firstLine="440" w:firstLineChars="200"/>
        <w:rPr>
          <w:rFonts w:ascii="宋体" w:hAnsi="宋体" w:eastAsia="宋体" w:cs="宋体"/>
          <w:szCs w:val="21"/>
        </w:rPr>
      </w:pPr>
      <w:r>
        <w:rPr>
          <w:rFonts w:hint="eastAsia" w:ascii="宋体" w:hAnsi="宋体" w:eastAsia="宋体" w:cs="宋体"/>
          <w:szCs w:val="21"/>
        </w:rPr>
        <w:t>立足初级阶段来全面进行中国特色社会主义经济、政治、文化和社会“四位一体”的建设，就必须坚持党在社会主义初级阶段的基本路线和基本纲领。党的基本路线是党在一定历史时期为解决社会主要矛盾而制定的行动纲领，是总揽全局的根本指导方针，是党制定各项具体方针、政策的依据，是全党统一思想统一行动的基础。</w:t>
      </w:r>
    </w:p>
    <w:p w14:paraId="46E1F75F">
      <w:pPr>
        <w:spacing w:line="300" w:lineRule="auto"/>
        <w:ind w:firstLine="440" w:firstLineChars="200"/>
        <w:rPr>
          <w:rFonts w:ascii="宋体" w:hAnsi="宋体" w:eastAsia="宋体" w:cs="宋体"/>
          <w:szCs w:val="21"/>
        </w:rPr>
      </w:pPr>
      <w:r>
        <w:rPr>
          <w:rFonts w:hint="eastAsia" w:ascii="宋体" w:hAnsi="宋体" w:eastAsia="宋体" w:cs="宋体"/>
          <w:szCs w:val="21"/>
        </w:rPr>
        <w:t>在我党历史上，曾经提出过五次基本路线或总路线。一是在民主革命时期，我们党提出了新民主主义革命时期的总路线，取得了新民主主义革命的伟大胜利。二是新中国成立以后，1952年下半年开始提出，1953年作了完整表述的，从新民主主义到社会主义过渡时期的总路线，取得了社会主义改造的成功，建立了社会主义基本制度。三是1956年9月提出过党的八大“路线”，可惜，这条正确路线不久就被放弃了。四是1958年党的八大二次会议通过了“鼓足干劲、力争上游、多快好省地建设社会主义”的总路线。这条路线虽然反映了人民群众迫切要求改变我国经济文化落后面貌的愿望，但带有急于求成的“左”的指导思想色彩，结果导致了“大跃进”以及刮“共产风”的失误。五是1962年党的八届十中全会上，毛泽东强调社会主义社会还存在着阶级、阶级矛盾和阶级斗争，存在着社会主义同资本主义两条道路的斗争，存在着资本主义复辟的危险性，并提出了以阶级斗争为纲的基本路线。这条基本路线导致了“文化大革命”这场全局性、长时间的“左”倾严重错误，给国家和人民带来了的灾难。可见，我党制定的历次基本路线的正确与否，均会给党、祖国和人民的命运和前途形成重大的影响。</w:t>
      </w:r>
    </w:p>
    <w:p w14:paraId="529EA31A">
      <w:pPr>
        <w:spacing w:line="300" w:lineRule="auto"/>
        <w:ind w:firstLine="440" w:firstLineChars="200"/>
        <w:rPr>
          <w:rFonts w:ascii="宋体" w:hAnsi="宋体" w:eastAsia="宋体" w:cs="宋体"/>
          <w:szCs w:val="21"/>
        </w:rPr>
      </w:pPr>
      <w:r>
        <w:rPr>
          <w:rFonts w:hint="eastAsia" w:ascii="宋体" w:hAnsi="宋体" w:eastAsia="宋体" w:cs="宋体"/>
          <w:szCs w:val="21"/>
        </w:rPr>
        <w:t>党的十一届三中全会以后，我党不断深化对初级阶段和初级阶段主要矛盾等的认识，于1987年10月党的十三大系统地阐述了社会主义初级阶段理论，并在总结历史经验教训的基础上，明确完整地概括了党在社会主义初级阶段的基本路线，即“领导和团结全国各族人民，以经济建设为中心，坚持四项基本原则，坚持改革开放，自力更生，艰苦创业，为把我国建设成为富强、民主、文明的社会主义现代化国家而奋斗。”</w:t>
      </w:r>
    </w:p>
    <w:p w14:paraId="3BFFAEAF">
      <w:pPr>
        <w:spacing w:line="300" w:lineRule="auto"/>
        <w:ind w:firstLine="440" w:firstLineChars="200"/>
        <w:rPr>
          <w:rFonts w:ascii="宋体" w:hAnsi="宋体" w:eastAsia="宋体" w:cs="宋体"/>
          <w:szCs w:val="21"/>
        </w:rPr>
      </w:pPr>
      <w:r>
        <w:rPr>
          <w:rFonts w:hint="eastAsia" w:ascii="宋体" w:hAnsi="宋体" w:eastAsia="宋体" w:cs="宋体"/>
          <w:szCs w:val="21"/>
        </w:rPr>
        <w:t>党的十三大以后，我党一直坚持这条正确的基本路线，在发展社会生产力、提高人民生活水平和综合国力各层面均取得了举世瞩目的伟大成就。在党的十六大上，江泽民同志再次强调全党要毫不动摇地坚持党在社会主义初级阶段的基本路线，把以经济建设为中心同四项基本原则、改革开放这两个基本点统一于建设中国特色社会主义的伟大实践之中，并且提出了“全面建设小康社会的目标”和“本世纪头二十年经济建设和改革的主要任务”，从而科学地描绘出初级阶段社会主义新的发展面貌和宏伟蓝图，也就是说，全面建设小康社会是我国社会主义初级阶段中一个十分重要的新阶段。</w:t>
      </w:r>
    </w:p>
    <w:p w14:paraId="08A23AB2">
      <w:pPr>
        <w:spacing w:line="300" w:lineRule="auto"/>
        <w:ind w:firstLine="440" w:firstLineChars="200"/>
        <w:rPr>
          <w:rFonts w:ascii="宋体" w:hAnsi="宋体" w:eastAsia="宋体" w:cs="宋体"/>
          <w:szCs w:val="21"/>
        </w:rPr>
      </w:pPr>
      <w:r>
        <w:rPr>
          <w:rFonts w:hint="eastAsia" w:ascii="宋体" w:hAnsi="宋体" w:eastAsia="宋体" w:cs="宋体"/>
          <w:szCs w:val="21"/>
        </w:rPr>
        <w:t>面对新世纪新阶段，党的十七大报告正确地指出：“科学发展观，是立足社会主义初级阶段基本国情，总结我国发展实践，借鉴国外发展经验，适应新的发展要求提出来的。”又强调“深入贯彻落实科学发展观，要求我们始终坚持“一个中心、两个基本点”的基本路线。党的基本路线是党和国家的生命线，是实现科学发展的政治保证。以经济建设为中心是兴国之要，是我们党、我们国家兴旺发达和长治久安的根本要求；四项基本原则是立国之本，是我们党、我们国家生存发展的政治基石；改革开放是强国之路，是我们党、我们国家发展进步的活力源泉。要坚持把以经济建设为中心同四项基本原则、改革开放这两个基本点统一于发展中国特色社会主义的伟大实践，任何时候都决不能动摇。”</w:t>
      </w:r>
    </w:p>
    <w:p w14:paraId="7A7B74BA">
      <w:pPr>
        <w:spacing w:line="300" w:lineRule="auto"/>
        <w:ind w:firstLine="440" w:firstLineChars="200"/>
        <w:rPr>
          <w:rFonts w:ascii="宋体" w:hAnsi="宋体" w:eastAsia="宋体" w:cs="宋体"/>
          <w:szCs w:val="21"/>
        </w:rPr>
      </w:pPr>
      <w:r>
        <w:rPr>
          <w:rFonts w:hint="eastAsia" w:ascii="宋体" w:hAnsi="宋体" w:eastAsia="宋体" w:cs="宋体"/>
          <w:szCs w:val="21"/>
        </w:rPr>
        <w:t>当前，立足初级阶段和基本路线，全面建设中国特色社会主义，需要继续解放思想。继续解放思想有广阔的空间，凡是不符合、不利于中国特色社会主义和深入落实科学发展观的一切观念、理论、体制、机制、政策和措施，都应当突破，逐步地消除和克服。就十七大报告强调的“四位一体”建设来说，具体内容可包括：在经济建设上：要重点突破公有制不能与市场经济高效结合的中外传统思维，以及唯GDP的传统经济发展方式和机制，继续完善社会主义性质的市场经济体制和根本转变经济发展方式（含对外经济发展方式）。在政治建设上：要重点突破不能推进超越西方资本主义宪政的社会主义新型宪政的传统思维，继续完善党内民主与社会（人民）民主互动型的社会主义民主政治体制机制。在文化建设上：要重点突破偏离社会主义核心价值体系的各种貌新实旧的思维，继续完善社会主义先进文化发展的体制机制。在社会建设上：要重点突破公平与效率高低反向变动的替代思维，塑造公平与效率高低同向变动的互促思维及其政策，在此为基础继续完善以民生为轴心的社会主义和谐社会。</w:t>
      </w:r>
    </w:p>
    <w:p w14:paraId="271E8549">
      <w:pPr>
        <w:spacing w:line="300" w:lineRule="auto"/>
        <w:ind w:firstLine="440" w:firstLineChars="200"/>
        <w:rPr>
          <w:rFonts w:ascii="宋体" w:hAnsi="宋体" w:eastAsia="宋体" w:cs="宋体"/>
          <w:szCs w:val="21"/>
        </w:rPr>
      </w:pPr>
      <w:r>
        <w:rPr>
          <w:rFonts w:hint="eastAsia" w:ascii="宋体" w:hAnsi="宋体" w:eastAsia="宋体" w:cs="宋体"/>
          <w:szCs w:val="21"/>
        </w:rPr>
        <w:t>我们坚信，在中国共产党领导下，立足基本国情，以经济建设为中心，坚持四项基本原则，坚持改革开放，解放和发展社会生产力，巩固和完善社会主义制度，建设社会主义市场经济、社会主义民主政治、社会主义先进文化、社会主义和谐社会，就一定能够早日实现建设富强民主文明和谐的社会主义现代化国家的宏伟目标。</w:t>
      </w:r>
    </w:p>
    <w:p w14:paraId="7C249760">
      <w:pPr>
        <w:snapToGrid w:val="0"/>
        <w:spacing w:before="147" w:beforeLines="50" w:after="147" w:afterLines="50" w:line="300" w:lineRule="auto"/>
        <w:ind w:firstLine="500" w:firstLineChars="200"/>
        <w:jc w:val="center"/>
        <w:rPr>
          <w:rFonts w:ascii="宋体" w:hAnsi="宋体" w:eastAsia="宋体" w:cs="Times New Roman"/>
          <w:b/>
          <w:bCs/>
          <w:sz w:val="24"/>
        </w:rPr>
      </w:pPr>
      <w:bookmarkStart w:id="1015" w:name="_Toc20847"/>
      <w:bookmarkStart w:id="1016" w:name="_Toc4839"/>
      <w:bookmarkStart w:id="1017" w:name="_Toc9500"/>
      <w:bookmarkStart w:id="1018" w:name="_Toc2942"/>
      <w:bookmarkStart w:id="1019" w:name="_Toc6944"/>
      <w:r>
        <w:rPr>
          <w:rFonts w:hint="eastAsia" w:ascii="宋体" w:hAnsi="宋体" w:eastAsia="宋体" w:cs="Times New Roman"/>
          <w:b/>
          <w:bCs/>
          <w:sz w:val="24"/>
        </w:rPr>
        <w:t>四、中国特色社会主义关于初级阶段经济观的独创性</w:t>
      </w:r>
      <w:bookmarkEnd w:id="1015"/>
      <w:bookmarkEnd w:id="1016"/>
      <w:bookmarkEnd w:id="1017"/>
      <w:bookmarkEnd w:id="1018"/>
      <w:bookmarkEnd w:id="1019"/>
    </w:p>
    <w:p w14:paraId="629601F0">
      <w:pPr>
        <w:spacing w:line="300" w:lineRule="auto"/>
        <w:ind w:firstLine="440" w:firstLineChars="200"/>
        <w:rPr>
          <w:rFonts w:ascii="宋体" w:hAnsi="宋体" w:eastAsia="宋体" w:cs="宋体"/>
          <w:szCs w:val="21"/>
        </w:rPr>
      </w:pPr>
      <w:r>
        <w:rPr>
          <w:rFonts w:hint="eastAsia" w:ascii="宋体" w:hAnsi="宋体" w:eastAsia="宋体" w:cs="宋体"/>
          <w:szCs w:val="21"/>
        </w:rPr>
        <w:t>在近现代政治经济学和科学社会主义发展史上，邓小平创立的中国特色社会主义理论关于初级阶段社会主义的经济观具有独创性和新颖性。其初级阶段社会主义经济观及其制度公式＝公有制主体＋按劳分配主体＋调控型市场经济。具体说来，就是在所有制结构层面，实行市场化的多种公有制并占主体，保持在质上和量上的优势，同时发展各类非公有制经济，成为所有制结构中的辅体。在分配结构层面，实行市场型的多种按劳分配并占主体，同时发展各类按资分配，成为分配结构中的辅体。在资源配置或调节机制层面，实行以市场调节为基础的市场经济制度，同时保持较强的国家调节。</w:t>
      </w:r>
    </w:p>
    <w:p w14:paraId="7723EE0E">
      <w:pPr>
        <w:spacing w:line="300" w:lineRule="auto"/>
        <w:ind w:firstLine="440" w:firstLineChars="200"/>
        <w:rPr>
          <w:rFonts w:ascii="宋体" w:hAnsi="宋体" w:eastAsia="宋体" w:cs="宋体"/>
          <w:szCs w:val="21"/>
        </w:rPr>
      </w:pPr>
      <w:r>
        <w:rPr>
          <w:rFonts w:hint="eastAsia" w:ascii="宋体" w:hAnsi="宋体" w:eastAsia="宋体" w:cs="宋体"/>
          <w:szCs w:val="21"/>
        </w:rPr>
        <w:t>中国特色社会主义关于初级社会主义的经济制度观具有重要的理论和实践意义，打破了西方学界和政界至今仍占主流的近现代经济学和政治学的陈腐教条，把作为主体的公有制度与市场经济制度相结合。若操作得法，社会主义或公有制可以比资本主义或私有制更适合市场经济制度，产生更高的整体绩效和社会公平。</w:t>
      </w:r>
    </w:p>
    <w:p w14:paraId="147D8926">
      <w:pPr>
        <w:spacing w:line="300" w:lineRule="auto"/>
        <w:ind w:firstLine="440" w:firstLineChars="200"/>
        <w:rPr>
          <w:rFonts w:ascii="宋体" w:hAnsi="宋体" w:eastAsia="宋体" w:cs="宋体"/>
          <w:szCs w:val="21"/>
        </w:rPr>
      </w:pPr>
      <w:r>
        <w:rPr>
          <w:rFonts w:hint="eastAsia" w:ascii="宋体" w:hAnsi="宋体" w:eastAsia="宋体" w:cs="宋体"/>
          <w:szCs w:val="21"/>
        </w:rPr>
        <w:t>难解的问题在于：中国特色社会主义的这一独创性理论同以前的马克思主义经典理论是什么关系呢？马克思、恩格斯和列宁的社会主义经济制度观及其公式＝完全社会所有制＋完全社会按劳分配＋完全计划经济。那种认为列宁主张社会主义有商品生产和商品交换的看法是不精确的，因为他与马克思和恩格斯一样，强调从资本主义社会向社会主义社会过渡的时期，才存在商品货币关系。而斯大林和毛泽东降低了社会主义的经济制度标准，其社会主义经济制度观及其公式＝两种公有制＋货币型按劳分配＋商品型计划经济。</w:t>
      </w:r>
    </w:p>
    <w:p w14:paraId="43CC3094">
      <w:pPr>
        <w:spacing w:line="300" w:lineRule="auto"/>
        <w:ind w:firstLine="440" w:firstLineChars="200"/>
        <w:rPr>
          <w:rFonts w:ascii="宋体" w:hAnsi="宋体" w:eastAsia="宋体" w:cs="宋体"/>
          <w:szCs w:val="21"/>
        </w:rPr>
      </w:pPr>
      <w:r>
        <w:rPr>
          <w:rFonts w:hint="eastAsia" w:ascii="宋体" w:hAnsi="宋体" w:eastAsia="宋体" w:cs="宋体"/>
          <w:szCs w:val="21"/>
        </w:rPr>
        <w:t>笔者的独特研究看法是：上述马克思主义经典作家关于进入社会主义起点标志的不同观点，属于三种科学社会主义及其经济制度观；由于划分标准的独特性，因而狭义的三种科学社会主义观都是可以成立的，各个社会主义国家可以自由选择（越南实行“定向社会主义的市场经济”，就选择了马、恩、列这种社会主义观），并不妨碍广义社会主义的建设和改革；不过，我们没有必要用其中的一种理论去有意贬低或否定另外两种理论，因为他们属于划分标准的分歧，而非社会发展本质和最终方向的区别；中国特色社会主义关于初级阶段社会主义经济观的真正贡献，在于共产党执政后不是急于消灭市场经济和私有制，而是有效利用它们去为社会主义服务。</w:t>
      </w:r>
    </w:p>
    <w:p w14:paraId="45051106">
      <w:pPr>
        <w:spacing w:line="300" w:lineRule="auto"/>
        <w:ind w:firstLine="440" w:firstLineChars="200"/>
        <w:rPr>
          <w:rFonts w:ascii="宋体" w:hAnsi="宋体" w:eastAsia="宋体" w:cs="宋体"/>
          <w:szCs w:val="21"/>
        </w:rPr>
      </w:pPr>
      <w:r>
        <w:rPr>
          <w:rFonts w:hint="eastAsia" w:ascii="宋体" w:hAnsi="宋体" w:eastAsia="宋体" w:cs="宋体"/>
          <w:szCs w:val="21"/>
        </w:rPr>
        <w:t>应当指出，邓小平创立的中国特色社会主义关于初级阶段社会主义经济制度和社会主义本质的理论，同当代社会党国际的民主社会主义或社会民主主义理论有本质上的区别。后者认为，社会主义的制度特征和本质是“自由、公正、互助”。自由是指每个人都可以发展自己的个性，参与政治、经济和文化活动；公正是指每个人都享有各种机会均等，其中包括社会保障、财产和收入以及权利的平等分配；互助是指个人之间相互乐于彼此承担责任，使别人获得与自己同等的平等和自由权利。国内个别学者与此相似的新表述为：社会主义=社会公正+市场经济。实际上，此类貌似新颖的表述背离了中国特色社会主义的经济观，抛弃了公有制和按劳分配占主体，其结果，是不可能较充分地实现“自由、公正、互助”，也不可能建设好社会主义类型和性质的市场经济，并影响社会主义民主政治、先进文化和和谐社会的全面建设。</w:t>
      </w:r>
    </w:p>
    <w:p w14:paraId="75BE86FA">
      <w:pPr>
        <w:spacing w:line="300" w:lineRule="auto"/>
        <w:ind w:firstLine="440" w:firstLineChars="200"/>
        <w:rPr>
          <w:rFonts w:ascii="宋体" w:hAnsi="宋体" w:eastAsia="宋体" w:cs="宋体"/>
          <w:szCs w:val="21"/>
        </w:rPr>
      </w:pPr>
    </w:p>
    <w:p w14:paraId="7F63A7A8">
      <w:pPr>
        <w:spacing w:line="300" w:lineRule="auto"/>
        <w:ind w:firstLine="440" w:firstLineChars="200"/>
        <w:rPr>
          <w:rFonts w:hint="eastAsia" w:ascii="宋体" w:hAnsi="宋体" w:eastAsia="宋体" w:cs="宋体"/>
          <w:szCs w:val="21"/>
        </w:rPr>
        <w:sectPr>
          <w:footnotePr>
            <w:numFmt w:val="decimalEnclosedCircleChinese"/>
            <w:numRestart w:val="eachPage"/>
          </w:footnotePr>
          <w:pgSz w:w="11850" w:h="16783"/>
          <w:pgMar w:top="1440" w:right="1800" w:bottom="1440" w:left="1800" w:header="851" w:footer="992" w:gutter="0"/>
          <w:pgNumType w:fmt="decimal"/>
          <w:cols w:space="720" w:num="1"/>
          <w:docGrid w:type="linesAndChars" w:linePitch="294" w:charSpace="2252"/>
        </w:sectPr>
      </w:pPr>
      <w:r>
        <w:rPr>
          <w:rFonts w:hint="eastAsia" w:ascii="宋体" w:hAnsi="宋体" w:eastAsia="宋体" w:cs="宋体"/>
          <w:szCs w:val="21"/>
        </w:rPr>
        <w:t>（原载于《中共云南省委党校学报》2008年第6期，第一作者为徐惠平</w:t>
      </w:r>
    </w:p>
    <w:p w14:paraId="1E8DE5A9">
      <w:pPr>
        <w:ind w:firstLine="360"/>
        <w:jc w:val="center"/>
        <w:outlineLvl w:val="9"/>
        <w:rPr>
          <w:rFonts w:hint="eastAsia"/>
          <w:lang w:val="en-US" w:eastAsia="zh-CN"/>
        </w:rPr>
      </w:pPr>
    </w:p>
    <w:p w14:paraId="0408B931">
      <w:pPr>
        <w:jc w:val="both"/>
        <w:outlineLvl w:val="9"/>
      </w:pPr>
    </w:p>
    <w:sdt>
      <w:sdtPr>
        <w:rPr>
          <w:lang w:val="zh-CN"/>
        </w:rPr>
        <w:id w:val="567436390"/>
        <w:docPartObj>
          <w:docPartGallery w:val="Table of Contents"/>
          <w:docPartUnique/>
        </w:docPartObj>
      </w:sdtPr>
      <w:sdtEndPr>
        <w:rPr>
          <w:rFonts w:asciiTheme="minorHAnsi" w:hAnsiTheme="minorHAnsi" w:eastAsiaTheme="minorEastAsia" w:cstheme="minorBidi"/>
          <w:b/>
          <w:bCs/>
          <w:color w:val="auto"/>
          <w:kern w:val="2"/>
          <w:sz w:val="21"/>
          <w:szCs w:val="22"/>
          <w:lang w:val="zh-CN"/>
        </w:rPr>
      </w:sdtEndPr>
      <w:sdtContent>
        <w:p w14:paraId="52F24B94">
          <w:pPr>
            <w:ind w:firstLine="360" w:firstLineChars="0"/>
            <w:jc w:val="center"/>
            <w:outlineLvl w:val="1"/>
            <w:rPr>
              <w:rFonts w:eastAsia="宋体" w:cs="Times New Roman"/>
              <w:b/>
              <w:color w:val="000000"/>
              <w:sz w:val="21"/>
              <w:szCs w:val="21"/>
            </w:rPr>
          </w:pPr>
          <w:bookmarkStart w:id="1020" w:name="_Toc319692518"/>
          <w:bookmarkStart w:id="1021" w:name="_Toc1446579227"/>
          <w:bookmarkStart w:id="1022" w:name="_Toc18076"/>
          <w:r>
            <w:rPr>
              <w:rFonts w:hint="eastAsia"/>
              <w:lang w:val="en-US" w:eastAsia="zh-CN"/>
            </w:rPr>
            <w:t>18</w:t>
          </w:r>
          <w:r>
            <w:rPr>
              <w:rFonts w:hint="eastAsia" w:eastAsia="宋体" w:cs="Times New Roman"/>
              <w:b/>
              <w:color w:val="000000"/>
              <w:sz w:val="21"/>
              <w:szCs w:val="21"/>
            </w:rPr>
            <w:t>论马克思主义与可持续发展</w:t>
          </w:r>
          <w:bookmarkEnd w:id="1020"/>
          <w:bookmarkEnd w:id="1021"/>
          <w:bookmarkEnd w:id="1022"/>
        </w:p>
        <w:p w14:paraId="0C469215">
          <w:pPr>
            <w:ind w:firstLine="360"/>
            <w:rPr>
              <w:rFonts w:eastAsia="宋体" w:cs="Times New Roman"/>
              <w:color w:val="000000"/>
              <w:sz w:val="21"/>
              <w:szCs w:val="21"/>
            </w:rPr>
          </w:pPr>
        </w:p>
        <w:p w14:paraId="7164FC86">
          <w:pPr>
            <w:ind w:firstLine="360"/>
            <w:rPr>
              <w:rFonts w:eastAsia="宋体" w:cs="Times New Roman"/>
              <w:color w:val="000000"/>
              <w:sz w:val="21"/>
              <w:szCs w:val="21"/>
            </w:rPr>
          </w:pPr>
          <w:r>
            <w:rPr>
              <w:rFonts w:hint="eastAsia" w:eastAsia="宋体" w:cs="Times New Roman"/>
              <w:color w:val="000000"/>
              <w:sz w:val="21"/>
              <w:szCs w:val="21"/>
            </w:rPr>
            <w:t>胡锦涛同志在党的十七大报告中倡导科学发展观，而科学发展集中体现之一是可持续发展，因为不以最广大人民利益为本的发展、不全面的发展、非协调的发展，以及非和谐的发展，都将导致发展的延缓或者停滞，是不可持续的。</w:t>
          </w:r>
        </w:p>
        <w:p w14:paraId="12419E57">
          <w:pPr>
            <w:ind w:firstLine="360"/>
            <w:rPr>
              <w:rFonts w:eastAsia="宋体" w:cs="Times New Roman"/>
              <w:color w:val="000000"/>
              <w:sz w:val="21"/>
              <w:szCs w:val="21"/>
            </w:rPr>
          </w:pPr>
          <w:r>
            <w:rPr>
              <w:rFonts w:hint="eastAsia" w:eastAsia="宋体" w:cs="Times New Roman"/>
              <w:color w:val="000000"/>
              <w:sz w:val="21"/>
              <w:szCs w:val="21"/>
            </w:rPr>
            <w:t>同时，我们看到，可持续发展涉及的人口、资源和环境问题，伴随当今世界的经济日益全球化，已经成为了全球性的共同问题。当今世界的财富占有和收入分配的两极分化更加严重，除中国之外的世界赤贫人口还在继续增加，全球失业人口居高不下，劳动人口的人均工作时间减少徘徊不前、甚至变相增加。全球以追逐利润为目标的现代工业的生产方式，还不断地开拓新的投资领域和扩大生产规模，以更快的速度耗尽可再生和不可再生的资源，并不断地向自然界排放大量有害物质。以追求享乐和功利为时尚的现代人类的生活和消费方式，还在不断地挖掘人的消费潜能和刺激人的消费欲望，并不断向自然界遗弃更大规模的生活垃圾。现代工业和人类对资源的消耗和对环境的污染已经超过自然本身的吸收能力、补偿能力、再生能力和恢复能力，这不仅导致全球的生态环境危机，而且人类自身的生存也处于危险之中，人类正面临可持续发展的危机。</w:t>
          </w:r>
        </w:p>
        <w:p w14:paraId="45482546">
          <w:pPr>
            <w:ind w:firstLine="360"/>
            <w:rPr>
              <w:rFonts w:eastAsia="宋体" w:cs="Times New Roman"/>
              <w:color w:val="000000"/>
              <w:sz w:val="21"/>
              <w:szCs w:val="21"/>
            </w:rPr>
          </w:pPr>
          <w:r>
            <w:rPr>
              <w:rFonts w:hint="eastAsia" w:eastAsia="宋体" w:cs="Times New Roman"/>
              <w:color w:val="000000"/>
              <w:sz w:val="21"/>
              <w:szCs w:val="21"/>
            </w:rPr>
            <w:t>因此，人类不得不思考人口、资源、环境与发展的关系，不得不反思以牺牲生态谋求经济增长、以牺牲劳工谋求资本增值、以牺牲他人谋求自身福利、以牺牲整体谋求局部发展、以牺牲长远谋求眼前利益、以牺牲精神谋求物质占有、以牺牲后代人谋求当代人享受的不可持续的发展方式，不得不挖掘当代人类社会经济走向不可持续发展道路的深层根源，不得不探求人类可持续发展的道路、方式和前景。作为全人类的精神财富，马克思主义为人类社会和自然界的可持续发展提供了科学的世界观和方法论，马克思主义本身就蕴涵着可持续发展的核心理念，并在发展目标上与可持续发展达到了完美的统一。</w:t>
          </w:r>
        </w:p>
        <w:p w14:paraId="48BD1BA8">
          <w:pPr>
            <w:ind w:firstLine="360"/>
            <w:rPr>
              <w:rFonts w:eastAsia="宋体" w:cs="Times New Roman"/>
              <w:b/>
              <w:color w:val="000000"/>
              <w:sz w:val="21"/>
              <w:szCs w:val="21"/>
            </w:rPr>
          </w:pPr>
          <w:r>
            <w:rPr>
              <w:rFonts w:hint="eastAsia" w:eastAsia="宋体" w:cs="Times New Roman"/>
              <w:b/>
              <w:color w:val="000000"/>
              <w:sz w:val="21"/>
              <w:szCs w:val="21"/>
            </w:rPr>
            <w:t>一、马克思主义提供了可持续发展的科学方法论</w:t>
          </w:r>
        </w:p>
        <w:p w14:paraId="4CC3DCE7">
          <w:pPr>
            <w:ind w:firstLine="360"/>
            <w:rPr>
              <w:rFonts w:eastAsia="宋体" w:cs="Times New Roman"/>
              <w:color w:val="000000"/>
              <w:sz w:val="21"/>
              <w:szCs w:val="21"/>
            </w:rPr>
          </w:pPr>
          <w:r>
            <w:rPr>
              <w:rFonts w:hint="eastAsia" w:eastAsia="宋体" w:cs="Times New Roman"/>
              <w:color w:val="000000"/>
              <w:sz w:val="21"/>
              <w:szCs w:val="21"/>
            </w:rPr>
            <w:t>马克思主义的辩证唯物论把自然置于人赖以生存和发展的前提和基础的地位，表明可持续发展的客观物质基础是良好的生态环境和足够的自然资源。马克思指出：“自然界，就他自身不是人的身体而言，是人的无机的身体。人靠自然界生活。这就是说，自然界是人为了不致死亡而必须与之处于持续不断的交互作用过程的、人的身体。所谓人的肉体生活和精神生活同自然界相联系，不外是说自然界同自身相联系，因为人是自然界的一部分。”</w:t>
          </w:r>
          <w:r>
            <w:rPr>
              <w:rFonts w:eastAsia="宋体" w:cs="Times New Roman"/>
              <w:color w:val="000000"/>
              <w:sz w:val="21"/>
              <w:szCs w:val="21"/>
              <w:vertAlign w:val="superscript"/>
            </w:rPr>
            <w:footnoteReference w:id="306"/>
          </w:r>
          <w:r>
            <w:rPr>
              <w:rFonts w:hint="eastAsia" w:eastAsia="宋体" w:cs="Times New Roman"/>
              <w:color w:val="000000"/>
              <w:sz w:val="21"/>
              <w:szCs w:val="21"/>
            </w:rPr>
            <w:t>自然不仅给人类生产和发展提供生产资料、劳动对象和活动场所，甚至直接提供生活资料，而且自然环境的差异是社会分工的自然基础，制约着社会生产的布局、结构和规模。因此，可持续发展必须做到“保护生态环境”、“进行生态修复”和“污染防治”，“发展清洁能源和可再生能源”，“建设资源节约型、环境友好型社会”</w:t>
          </w:r>
          <w:r>
            <w:rPr>
              <w:rFonts w:eastAsia="宋体" w:cs="Times New Roman"/>
              <w:color w:val="000000"/>
              <w:sz w:val="21"/>
              <w:szCs w:val="21"/>
              <w:vertAlign w:val="superscript"/>
            </w:rPr>
            <w:footnoteReference w:id="307"/>
          </w:r>
          <w:r>
            <w:rPr>
              <w:rFonts w:hint="eastAsia" w:eastAsia="宋体" w:cs="Times New Roman"/>
              <w:color w:val="000000"/>
              <w:sz w:val="21"/>
              <w:szCs w:val="21"/>
            </w:rPr>
            <w:t>，否则，生态恶化和环境污染，人类就不能够也无法在地球上生存，当然谈不上“可持续发展”。其次，马克思主义的辩证唯物论表明，自在的自然世界自身具有不以人的意志为转移的客观规律。这就要求可持续发展必须尊重自然规律，否则必然遭到自然的惩罚，导致发展的非可持续性。恩格斯告诫人类，“我们统治自然界，决不像征服者统治异族人一样，决不是像站在自然界之外的人似的，——相反地，我们连同我们的肉、血和头脑都是属于自然界和存在于自然界之中的；我们对自然界的全部统治力量，就在于我们比其他一切生物强，能够认识和正确运用自然规律。”</w:t>
          </w:r>
          <w:r>
            <w:rPr>
              <w:rFonts w:eastAsia="宋体" w:cs="Times New Roman"/>
              <w:color w:val="000000"/>
              <w:sz w:val="21"/>
              <w:szCs w:val="21"/>
              <w:vertAlign w:val="superscript"/>
            </w:rPr>
            <w:footnoteReference w:id="308"/>
          </w:r>
          <w:r>
            <w:rPr>
              <w:rFonts w:hint="eastAsia" w:eastAsia="宋体" w:cs="Times New Roman"/>
              <w:color w:val="000000"/>
              <w:sz w:val="21"/>
              <w:szCs w:val="21"/>
            </w:rPr>
            <w:t>恩格斯当时就看到人类因不尊重自然规律而遭受到的惩罚和导致的发展的不可持续性，“美索不达米亚、希腊、小亚细亚以及其他各地的居民，为了得到耕地，毁灭了森林，但是他们做梦也想不到，这些地方今天竟因此而成为不毛之地，因为他们使这些地方失去了森林，也就失去了水分的积聚中心和贮藏库。阿尔卑斯山的意大利人，当他们在山南坡把在山北坡得到精心保护的那同一种枞树林砍光用尽时，没有预料到，这样一来，他们就把本地区的高山畜牧业的根基毁掉了；他们更没有预料到，他们这样做，竟使山泉在一年中的大部分时间内枯竭了，同时在雨季又使更加凶猛的洪水倾泻到平原上。”</w:t>
          </w:r>
          <w:r>
            <w:rPr>
              <w:rFonts w:eastAsia="宋体" w:cs="Times New Roman"/>
              <w:color w:val="000000"/>
              <w:sz w:val="21"/>
              <w:szCs w:val="21"/>
              <w:vertAlign w:val="superscript"/>
            </w:rPr>
            <w:footnoteReference w:id="309"/>
          </w:r>
          <w:r>
            <w:rPr>
              <w:rFonts w:hint="eastAsia" w:eastAsia="宋体" w:cs="Times New Roman"/>
              <w:color w:val="000000"/>
              <w:sz w:val="21"/>
              <w:szCs w:val="21"/>
            </w:rPr>
            <w:t>同时，马克思主义的辩证唯物论指明，作为自为的、主体的人，能够在认识和正确运用自然规律的前提下，充分发挥人的能动性和自觉性，去利用自然和改造自然，保持发展的持续性。既不主张忽视和不尊重自然规律的“控制”自然和“征服”自然的“人类中心主义”，又不主张人是自然奴役和无条件地顺从自然的“生态中心主义”或“自然中心主义”，主张人与自然和谐相处，在符合“生态原则”或“自然原则”的前提下达到经济丰裕和社会自由的充分实现。</w:t>
          </w:r>
        </w:p>
        <w:p w14:paraId="084980F7">
          <w:pPr>
            <w:ind w:firstLine="360"/>
            <w:rPr>
              <w:rFonts w:eastAsia="宋体" w:cs="Times New Roman"/>
              <w:color w:val="000000"/>
              <w:sz w:val="21"/>
              <w:szCs w:val="21"/>
            </w:rPr>
          </w:pPr>
          <w:r>
            <w:rPr>
              <w:rFonts w:hint="eastAsia" w:eastAsia="宋体" w:cs="Times New Roman"/>
              <w:color w:val="000000"/>
              <w:sz w:val="21"/>
              <w:szCs w:val="21"/>
            </w:rPr>
            <w:t>马克思主义辩证地看待经济发展与环境问题、资源限制的关系。缺乏环保意识、忽视生态自然规律的、粗放式的经济发展会造成环境的破坏，导致发展的非可持续性；而注重环境保护、尊重生态自然规律的集约式的经济发展又会有助于环境的改善，达到发展的可持续性。可持续发展的基础是发展，不能因为保护环境就“限制增长”或者要求“零增长”或“负增长”。若不解决人口的贫困问题，也不可能实现保护生态环境。因为贫困人口会为短期生存需要而破坏环境和掠夺性使用自然资源。因此，停止经济发展，甚至负经济增长并不一定能解决环境问题。同样，既不能因为经济发展受到现有资源的约束而放弃经济发展，又不能因为人类开发新资源的潜力巨大，而在经济发展中不注重资源节约和提高资源的利用效率。停止经济发展或者采取负增长只能是延缓现有资源的使用时间，并没有解决现有的资源的有限性问题。而经济发展却给人类提供了更多时间和空间，不断地开发新资源和替代资源。人类发展史也正如此，以能源为例，19 世纪中期以前，人类能源以柴草为主，在1860 年全世界的能源结构中，木柴占75%，煤以及少量的石油、天然气仅占25%。1900 年，进入煤炭时代，煤在能耗中占到57.6%，柴草下降到40%以下。20 世纪60 年代中叶，进入石油时代，石油和天然气在总能耗中的比率超过了煤炭。虽然以现有已探明的储量和开采趋势等数据进行乐观的估计，煤和原油也将会在未来200－300 年的时间内开采完和消耗尽。</w:t>
          </w:r>
          <w:r>
            <w:rPr>
              <w:rFonts w:eastAsia="宋体" w:cs="Times New Roman"/>
              <w:color w:val="000000"/>
              <w:sz w:val="21"/>
              <w:szCs w:val="21"/>
              <w:vertAlign w:val="superscript"/>
            </w:rPr>
            <w:footnoteReference w:id="310"/>
          </w:r>
          <w:r>
            <w:rPr>
              <w:rFonts w:hint="eastAsia" w:eastAsia="宋体" w:cs="Times New Roman"/>
              <w:color w:val="000000"/>
              <w:sz w:val="21"/>
              <w:szCs w:val="21"/>
            </w:rPr>
            <w:t>但是，人类一定会凭借自身的智慧和科技能力在煤和石油枯竭之前开发出更经济的替代能源。然而即便如此，人类依然需要节约和集约地使用这些能源资源，因为这些能源资源在使用的过程中，释放的过量温室气体和大量有毒气体如果没有处理，会对环境造成破坏。因此，为保持发展的可持续性，对可再生资源的利用率必须控制在可再生率之下，对不可再生资源的利用率不能超过替代能源的开发利用率。但是，通过提高再生资源的再生率、不可再生资源的开发利用率，仍然可以提高再生资源和不可再生资源的利用量，满足人类可持续扩大再生产的需要。其次，马克思主义辩证地看待科技对自然的影响。科技的进步，一方面表明人类对自然规律的认识和利用的深化，提高了现有资源的利用效率和开发替代资源的能力，以及解决环境问题的能力；另一方面却可能导致以更大规模和更快速率耗竭现有资源，而且人类因对科技产品的消费而产生的大量工业废弃物和生活垃圾，超过了自然的同化和吸收能力，造成了对自然的破坏。但是，这正说明科技本身是中性的，环境问题的产生，不是在于科技的进步，而是在于科技的如何使用。如果科技仅仅是不顾生态环境破坏的财富和利润追逐的工具，那么科技的应用必然带来生态灾难。正如恩格斯指出的，蒸汽技术“只有它的资本主义的应用才使它主要地集中于城市，并把工厂乡村转变为工厂城市。但是，这样一来它就同时破坏了它自己运行的条件。蒸汽机的第一需要和大工业中差不多一切生产部门的主要需要，就是比较纯洁的水。但是工厂城市把一切水都变成臭气冲天的污水。……要消灭这样新的恶性循环，要消灭这个不断重新产生的现代工业的矛盾，又只有消灭现代工业的资本主义性质才有可能。只有按照一个统一的大的计划协调地配置自己的生产力的社会，才能使工业在全国分布得最适合于它自身的发展和其他生产要素的保持或发展。”</w:t>
          </w:r>
          <w:r>
            <w:rPr>
              <w:rFonts w:eastAsia="宋体" w:cs="Times New Roman"/>
              <w:color w:val="000000"/>
              <w:sz w:val="21"/>
              <w:szCs w:val="21"/>
              <w:vertAlign w:val="superscript"/>
            </w:rPr>
            <w:footnoteReference w:id="311"/>
          </w:r>
          <w:r>
            <w:rPr>
              <w:rFonts w:hint="eastAsia" w:eastAsia="宋体" w:cs="Times New Roman"/>
              <w:color w:val="000000"/>
              <w:sz w:val="21"/>
              <w:szCs w:val="21"/>
            </w:rPr>
            <w:t>因此，解决环境问题，实现可持续发展，并不是停止科技进步，而是改变技术的使用方式。</w:t>
          </w:r>
        </w:p>
        <w:p w14:paraId="25B681F3">
          <w:pPr>
            <w:ind w:firstLine="360"/>
            <w:rPr>
              <w:rFonts w:eastAsia="宋体" w:cs="Times New Roman"/>
              <w:color w:val="000000"/>
              <w:sz w:val="21"/>
              <w:szCs w:val="21"/>
            </w:rPr>
          </w:pPr>
          <w:r>
            <w:rPr>
              <w:rFonts w:hint="eastAsia" w:eastAsia="宋体" w:cs="Times New Roman"/>
              <w:color w:val="000000"/>
              <w:sz w:val="21"/>
              <w:szCs w:val="21"/>
            </w:rPr>
            <w:t>马克思主义的历史唯物论表明，人与自然的关系是发展变化的，与人与人关系的发展史伴随的是人与自然关系的发展史。在人类社会的初期，人类从属、顺从和敬畏自然，自然居于人与自然关系的主导和显赫的地位。马克思和恩格斯指出：“自然界起初是作为一种完全异己的、有无限威力的和不可征服的力量与人们对立的，人们同自然界的关系完全像动物同自然界的关系一样，人们就像牲畜一样慑服于自然界，因而，这是对自然界的一种纯粹动物式的意识（自然宗教）”</w:t>
          </w:r>
          <w:r>
            <w:rPr>
              <w:rFonts w:eastAsia="宋体" w:cs="Times New Roman"/>
              <w:color w:val="000000"/>
              <w:sz w:val="21"/>
              <w:szCs w:val="21"/>
              <w:vertAlign w:val="superscript"/>
            </w:rPr>
            <w:footnoteReference w:id="312"/>
          </w:r>
          <w:r>
            <w:rPr>
              <w:rFonts w:hint="eastAsia" w:eastAsia="宋体" w:cs="Times New Roman"/>
              <w:color w:val="000000"/>
              <w:sz w:val="21"/>
              <w:szCs w:val="21"/>
            </w:rPr>
            <w:t>。随着生产力的发展和生产关系的变化，人类走向了支配、控制和征服自然，人上升到人与自然关系的主导和显赫的位置，于是生态自然问题开始显现并日益严重，导致人类发展的非可持续性。恩格斯当时就看到资本主义“关于这种惊人的经济变化必然带来的一些现象，……所有已经或者正在经历这种过程的国家，或多或少都有这样的情况。地力损耗——如在美国；森林消失——如在英国和法国，目前在德国和美国也是如此；气候改变、江河淤浅在俄国大概比其他任何地方都厉害”</w:t>
          </w:r>
          <w:r>
            <w:rPr>
              <w:rFonts w:eastAsia="宋体" w:cs="Times New Roman"/>
              <w:color w:val="000000"/>
              <w:sz w:val="21"/>
              <w:szCs w:val="21"/>
              <w:vertAlign w:val="superscript"/>
            </w:rPr>
            <w:footnoteReference w:id="313"/>
          </w:r>
          <w:r>
            <w:rPr>
              <w:rFonts w:hint="eastAsia" w:eastAsia="宋体" w:cs="Times New Roman"/>
              <w:color w:val="000000"/>
              <w:sz w:val="21"/>
              <w:szCs w:val="21"/>
            </w:rPr>
            <w:t>。随着生产力的进一步发展，人类对自然规律认识逐渐深入，但是，“仅仅有认识还是不够的，为此需要对我们的直到目前为止的生产方式，以及同这种生产方式一起对我们的现今的整个社会制度实行完全的变革”</w:t>
          </w:r>
          <w:r>
            <w:rPr>
              <w:rFonts w:eastAsia="宋体" w:cs="Times New Roman"/>
              <w:color w:val="000000"/>
              <w:sz w:val="21"/>
              <w:szCs w:val="21"/>
              <w:vertAlign w:val="superscript"/>
            </w:rPr>
            <w:footnoteReference w:id="314"/>
          </w:r>
          <w:r>
            <w:rPr>
              <w:rFonts w:hint="eastAsia" w:eastAsia="宋体" w:cs="Times New Roman"/>
              <w:color w:val="000000"/>
              <w:sz w:val="21"/>
              <w:szCs w:val="21"/>
            </w:rPr>
            <w:t>，从而达到人与自然的关系的和谐，实现可持续发展。马克思主义的历史唯物论还从历史的角度揭示，发达国家与发展中国家在解决环境问题上应承担共同而有差别的责任。当今面临的全球环境问题主要是发达国家长期发展和工业化过程中积累的结果，发达国家今天积累的大量财富是建立在其前代人大量耗竭自然资源和排放废弃物基础上的，因此，其当代人在享受财富的同时需要在治理环境问题上承担更多责任。同时，发达国家今天较高的生活水平需要比发展中国家消耗更多的人均资源，而且必然排放更多的人均废弃物，这也需要相应承担更大的治理环境问题的责任。还必须看到，当今发达国家环境的改善，一部分是由于发达国家对外污染输出的结果。发达国家不仅直接向发展中国家输出在本国禁止使用的有毒工业产品、工业废弃物以及生活垃圾，而且把“肮脏产业”、“耗能产业”转移到发展中国家。因此，发达国家不仅需要减少本国的污染排放，而且有责任把环保和治污技术向发展中国家进行廉价转移。当然，发展中国家在加速发展的同时，不仅需要承担与其能力相适应的治理环境问题的责任，而且需要节约资源、提高资源的利用率以及尽可能减少污染的排放，以不损害后代人满足其需要的能力。在实现前代人、当代人和后代人之间代际公平和当代人代内公平的基础上，保障发展的可持续性。</w:t>
          </w:r>
        </w:p>
        <w:p w14:paraId="317A0BFE">
          <w:pPr>
            <w:ind w:firstLine="360"/>
            <w:rPr>
              <w:rFonts w:eastAsia="宋体" w:cs="Times New Roman"/>
              <w:b/>
              <w:color w:val="000000"/>
              <w:sz w:val="21"/>
              <w:szCs w:val="21"/>
            </w:rPr>
          </w:pPr>
          <w:r>
            <w:rPr>
              <w:rFonts w:hint="eastAsia" w:eastAsia="宋体" w:cs="Times New Roman"/>
              <w:b/>
              <w:color w:val="000000"/>
              <w:sz w:val="21"/>
              <w:szCs w:val="21"/>
            </w:rPr>
            <w:t>二、马克思主义蕴涵着可持续发展的核心理念</w:t>
          </w:r>
        </w:p>
        <w:p w14:paraId="20A228B5">
          <w:pPr>
            <w:ind w:firstLine="360"/>
            <w:rPr>
              <w:rFonts w:eastAsia="宋体" w:cs="Times New Roman"/>
              <w:color w:val="000000"/>
              <w:sz w:val="21"/>
              <w:szCs w:val="21"/>
            </w:rPr>
          </w:pPr>
          <w:r>
            <w:rPr>
              <w:rFonts w:hint="eastAsia" w:eastAsia="宋体" w:cs="Times New Roman"/>
              <w:color w:val="000000"/>
              <w:sz w:val="21"/>
              <w:szCs w:val="21"/>
            </w:rPr>
            <w:t>马克思主义不仅给可持续发展提供了科学的方法论，而且正是在科学方法论的支撑下，马克思主义经典作家已经对可持续发展的核心理念作了大量阐述，如循环和节约经济思想、适度人口思想、全面协调发展思想、适度和绿色消费思想。</w:t>
          </w:r>
        </w:p>
        <w:p w14:paraId="51AABC7E">
          <w:pPr>
            <w:ind w:firstLine="360"/>
            <w:rPr>
              <w:rFonts w:eastAsia="宋体" w:cs="Times New Roman"/>
              <w:color w:val="000000"/>
              <w:sz w:val="21"/>
              <w:szCs w:val="21"/>
            </w:rPr>
          </w:pPr>
          <w:r>
            <w:rPr>
              <w:rFonts w:hint="eastAsia" w:eastAsia="宋体" w:cs="Times New Roman"/>
              <w:color w:val="000000"/>
              <w:sz w:val="21"/>
              <w:szCs w:val="21"/>
            </w:rPr>
            <w:t>关于循环和节约经济思想，马克思主义经典作家不仅论述了循环经济的“减量化”、“再利用”、“再循环”（3Rs）原则和可行性条件，而且对不同的节约方式进行了阐述。马克思指出：“把生产排泄物减少到最低限度和把一切进入生产中去的原料和辅助材料的直接利用提到最高限度。”</w:t>
          </w:r>
          <w:r>
            <w:rPr>
              <w:rFonts w:eastAsia="宋体" w:cs="Times New Roman"/>
              <w:color w:val="000000"/>
              <w:sz w:val="21"/>
              <w:szCs w:val="21"/>
              <w:vertAlign w:val="superscript"/>
            </w:rPr>
            <w:footnoteReference w:id="315"/>
          </w:r>
          <w:r>
            <w:rPr>
              <w:rFonts w:hint="eastAsia" w:eastAsia="宋体" w:cs="Times New Roman"/>
              <w:color w:val="000000"/>
              <w:sz w:val="21"/>
              <w:szCs w:val="21"/>
            </w:rPr>
            <w:t>这正是循环经济中所要求的在生产的输入端贯彻的“减量化”（reduce）原则，而至于从源头能减少多少资源的使用和废弃物的排放，不仅“取决于所使用的机器和工具的质量”，而且“还取决于原料本身的质量”</w:t>
          </w:r>
          <w:r>
            <w:rPr>
              <w:rFonts w:eastAsia="宋体" w:cs="Times New Roman"/>
              <w:color w:val="000000"/>
              <w:sz w:val="21"/>
              <w:szCs w:val="21"/>
              <w:vertAlign w:val="superscript"/>
            </w:rPr>
            <w:footnoteReference w:id="316"/>
          </w:r>
          <w:r>
            <w:rPr>
              <w:rFonts w:hint="eastAsia" w:eastAsia="宋体" w:cs="Times New Roman"/>
              <w:color w:val="000000"/>
              <w:sz w:val="21"/>
              <w:szCs w:val="21"/>
            </w:rPr>
            <w:t>。这就要求从提高工艺技术、改进生产流程、革新产品设计和开发新型材料等方面提高资源的利用率，实现“减量化”的目标。马克思积极评价科技进步对生产和消费废弃物“再利用”（reuse）的积极价值，“化学工业提供了废物利用的最显著的例子。它不仅找到新的方法来利用本工业的废料，而且还利用其他各种各样工业的废料，例如，把以前几乎毫无用处的煤焦油转化为苯胺染料，茜红染料（茜素），近来甚至把它转化为药品。”</w:t>
          </w:r>
          <w:r>
            <w:rPr>
              <w:rFonts w:eastAsia="宋体" w:cs="Times New Roman"/>
              <w:color w:val="000000"/>
              <w:sz w:val="21"/>
              <w:szCs w:val="21"/>
              <w:vertAlign w:val="superscript"/>
            </w:rPr>
            <w:footnoteReference w:id="317"/>
          </w:r>
          <w:r>
            <w:rPr>
              <w:rFonts w:hint="eastAsia" w:eastAsia="宋体" w:cs="Times New Roman"/>
              <w:color w:val="000000"/>
              <w:sz w:val="21"/>
              <w:szCs w:val="21"/>
            </w:rPr>
            <w:t>马克思高度赞扬通过资源的“再循环”（recycle）而实现的节约。“关于生产条件节约的另一个大类，情况也是如此。我们指的是生产排泄物，即所谓的生产废料再转化为同一个产业部门或另一个产业部门的新的生产要素；这是这样一个过程，通过这个过程，这种所谓的排泄物就再回到生产从而消费（生产消费或个人消费）的循环中。”</w:t>
          </w:r>
          <w:r>
            <w:rPr>
              <w:rFonts w:eastAsia="宋体" w:cs="Times New Roman"/>
              <w:color w:val="000000"/>
              <w:sz w:val="21"/>
              <w:szCs w:val="21"/>
              <w:vertAlign w:val="superscript"/>
            </w:rPr>
            <w:footnoteReference w:id="318"/>
          </w:r>
          <w:r>
            <w:rPr>
              <w:rFonts w:hint="eastAsia" w:eastAsia="宋体" w:cs="Times New Roman"/>
              <w:color w:val="000000"/>
              <w:sz w:val="21"/>
              <w:szCs w:val="21"/>
            </w:rPr>
            <w:t>马克思看到人们对农产品消费的排泄物不能回到土地而造成的巨大浪费和污染，“消费排泄物对农业来说最为重要。在利用这种排泄物方面，资本主义经济浪费很大；例如，在伦敦，450 万人的粪便，就没有什么好的处理方法，只好花很多钱用来污染泰晤士河。”</w:t>
          </w:r>
          <w:r>
            <w:rPr>
              <w:rFonts w:eastAsia="宋体" w:cs="Times New Roman"/>
              <w:color w:val="000000"/>
              <w:sz w:val="21"/>
              <w:szCs w:val="21"/>
              <w:vertAlign w:val="superscript"/>
            </w:rPr>
            <w:footnoteReference w:id="319"/>
          </w:r>
          <w:r>
            <w:rPr>
              <w:rFonts w:hint="eastAsia" w:eastAsia="宋体" w:cs="Times New Roman"/>
              <w:color w:val="000000"/>
              <w:sz w:val="21"/>
              <w:szCs w:val="21"/>
            </w:rPr>
            <w:t>而且，马克思严格区分了因废弃物“再利用”和“再循环”而实现的节约与提高资源利用率而进行“减量化”节约的不同。“应该把这种通过生产排泄物的再利用而造成的节约和由于废料的减少而造成的节约区别开来”</w:t>
          </w:r>
          <w:r>
            <w:rPr>
              <w:rFonts w:eastAsia="宋体" w:cs="Times New Roman"/>
              <w:color w:val="000000"/>
              <w:sz w:val="21"/>
              <w:szCs w:val="21"/>
              <w:vertAlign w:val="superscript"/>
            </w:rPr>
            <w:footnoteReference w:id="320"/>
          </w:r>
          <w:r>
            <w:rPr>
              <w:rFonts w:hint="eastAsia" w:eastAsia="宋体" w:cs="Times New Roman"/>
              <w:color w:val="000000"/>
              <w:sz w:val="21"/>
              <w:szCs w:val="21"/>
            </w:rPr>
            <w:t>，这就要求在工艺技术、生产流程、产品设计和原料采用等方面，还要优先考虑产品生产和消费产生的废弃物可以“再利用”和“再循环”的方案。马克思还充分阐述了循环经济的技术和经济上的可行性。科技的进步不仅发现了废弃物的有用性质，而且通过科技的进步带来机器的应用和改良，提高了资源的利用率，“由于机器的改良，废料减少了”</w:t>
          </w:r>
          <w:r>
            <w:rPr>
              <w:rFonts w:eastAsia="宋体" w:cs="Times New Roman"/>
              <w:color w:val="000000"/>
              <w:sz w:val="21"/>
              <w:szCs w:val="21"/>
              <w:vertAlign w:val="superscript"/>
            </w:rPr>
            <w:footnoteReference w:id="321"/>
          </w:r>
          <w:r>
            <w:rPr>
              <w:rFonts w:hint="eastAsia" w:eastAsia="宋体" w:cs="Times New Roman"/>
              <w:color w:val="000000"/>
              <w:sz w:val="21"/>
              <w:szCs w:val="21"/>
            </w:rPr>
            <w:t>，而且，“机器的改良，使那些在原有形式上本来不能利用的物质，获得一种在新的生产中可以利用的形态”</w:t>
          </w:r>
          <w:r>
            <w:rPr>
              <w:rFonts w:eastAsia="宋体" w:cs="Times New Roman"/>
              <w:color w:val="000000"/>
              <w:sz w:val="21"/>
              <w:szCs w:val="21"/>
              <w:vertAlign w:val="superscript"/>
            </w:rPr>
            <w:footnoteReference w:id="322"/>
          </w:r>
          <w:r>
            <w:rPr>
              <w:rFonts w:hint="eastAsia" w:eastAsia="宋体" w:cs="Times New Roman"/>
              <w:color w:val="000000"/>
              <w:sz w:val="21"/>
              <w:szCs w:val="21"/>
            </w:rPr>
            <w:t>。由于原材料价格的上涨、大规模生产和不变资本的节约，循环经济也具有经济上的可行性。“原料的日益昂贵，自然成为废物利用的刺激。”</w:t>
          </w:r>
          <w:r>
            <w:rPr>
              <w:rFonts w:eastAsia="宋体" w:cs="Times New Roman"/>
              <w:color w:val="000000"/>
              <w:sz w:val="21"/>
              <w:szCs w:val="21"/>
              <w:vertAlign w:val="superscript"/>
            </w:rPr>
            <w:footnoteReference w:id="323"/>
          </w:r>
          <w:r>
            <w:rPr>
              <w:rFonts w:hint="eastAsia" w:eastAsia="宋体" w:cs="Times New Roman"/>
              <w:color w:val="000000"/>
              <w:sz w:val="21"/>
              <w:szCs w:val="21"/>
            </w:rPr>
            <w:t xml:space="preserve"> “由于大规模社会劳动所产生的废料数量很大，这些废料本身才重新成为贸易的对象，从而成为新的生产要素。这种废料，只有作为共同生产的废料，因而只有作为大规模生产的废料，才对生产过程有这样重要的意义，才仍然是交换价值的承担者。这种废料——撇开它作为新的生产要素所起的作用——会按照它可以重新出售的程度降低原料的费用，因为正常范围内的废料，即原料加工时平均必然损失的数量，总是要算在原料的费用中。在可变资本的量已定，剩余价值率已定时，不变资本这一部分的费用的减少，会相应地提高利润率。”</w:t>
          </w:r>
          <w:r>
            <w:rPr>
              <w:rFonts w:eastAsia="宋体" w:cs="Times New Roman"/>
              <w:color w:val="000000"/>
              <w:sz w:val="21"/>
              <w:szCs w:val="21"/>
              <w:vertAlign w:val="superscript"/>
            </w:rPr>
            <w:footnoteReference w:id="324"/>
          </w:r>
          <w:r>
            <w:rPr>
              <w:rFonts w:hint="eastAsia" w:eastAsia="宋体" w:cs="Times New Roman"/>
              <w:color w:val="000000"/>
              <w:sz w:val="21"/>
              <w:szCs w:val="21"/>
            </w:rPr>
            <w:t>这就提示人们需要从技术上和经济上两方面，实现从“资源—产品—废物”的不可持续的传统经济发展方式向“资源—产品—再生资源”的可持续的循环经济发展方式转变。</w:t>
          </w:r>
        </w:p>
        <w:p w14:paraId="6AEEC1C3">
          <w:pPr>
            <w:ind w:firstLine="360"/>
            <w:rPr>
              <w:rFonts w:eastAsia="宋体" w:cs="Times New Roman"/>
              <w:color w:val="000000"/>
              <w:sz w:val="21"/>
              <w:szCs w:val="21"/>
            </w:rPr>
          </w:pPr>
          <w:r>
            <w:rPr>
              <w:rFonts w:hint="eastAsia" w:eastAsia="宋体" w:cs="Times New Roman"/>
              <w:color w:val="000000"/>
              <w:sz w:val="21"/>
              <w:szCs w:val="21"/>
            </w:rPr>
            <w:t>关于适度人口思想，马克思主义经典作家不仅提出人自身的生产的可持续问题，而且提出人自身生产要与物质生产和自然相适应，才能保持发展的可持续性。恩格斯指出：“根据唯物主义观点，历史中的决定性因素，归根结蒂是直接生活的生产和再生产。但是，生产本身又有两种。一方面是生活资料即食物、衣服、住房以及为此所必需的工具的生产；另一方面是人自身的生产，即种的蕃衍。”</w:t>
          </w:r>
          <w:r>
            <w:rPr>
              <w:rFonts w:eastAsia="宋体" w:cs="Times New Roman"/>
              <w:color w:val="000000"/>
              <w:sz w:val="21"/>
              <w:szCs w:val="21"/>
              <w:vertAlign w:val="superscript"/>
            </w:rPr>
            <w:footnoteReference w:id="325"/>
          </w:r>
          <w:r>
            <w:rPr>
              <w:rFonts w:hint="eastAsia" w:eastAsia="宋体" w:cs="Times New Roman"/>
              <w:color w:val="000000"/>
              <w:sz w:val="21"/>
              <w:szCs w:val="21"/>
            </w:rPr>
            <w:t>人口生产同样涉及人与自然的关系和人与人之间的关系，“生命的生产，无论是通过劳动而达到的自己生命的生产，或是通过生育而达到的他人生命的生产，就立即表现为双重关系：一方面是自然关系，另一方面是社会关系”</w:t>
          </w:r>
          <w:r>
            <w:rPr>
              <w:rFonts w:eastAsia="宋体" w:cs="Times New Roman"/>
              <w:color w:val="000000"/>
              <w:sz w:val="21"/>
              <w:szCs w:val="21"/>
              <w:vertAlign w:val="superscript"/>
            </w:rPr>
            <w:footnoteReference w:id="326"/>
          </w:r>
          <w:r>
            <w:rPr>
              <w:rFonts w:hint="eastAsia" w:eastAsia="宋体" w:cs="Times New Roman"/>
              <w:color w:val="000000"/>
              <w:sz w:val="21"/>
              <w:szCs w:val="21"/>
            </w:rPr>
            <w:t>。因为即使保持人均生活水平不下降，随着人口规模急剧扩大，对物质总需求也会迅速增加，这就要求扩大再生产，从而加大对资源需求和环境的压力。而如果人口的增长率超过了生产的增长率，必然导致人均生活水平的下降。因此，保持适度的人口出生率和适度的人口总量是必要的。同时，适度人口还意味着人口中的劳动力结构和数量的供给，与简单再生产或扩大再生产对劳动力的需求相符合。马克思指出：“生产资料的数量，必须足以吸收劳动量，足以通过这个劳动量转化为产品。如果没有充分的生产资料，……劳动就不能得到利用；……就没有用处。如果现有生产资料多于可供支配的劳动，生产资料就不能被劳动充分利用，不能转化为产品。”</w:t>
          </w:r>
          <w:r>
            <w:rPr>
              <w:rFonts w:eastAsia="宋体" w:cs="Times New Roman"/>
              <w:color w:val="000000"/>
              <w:sz w:val="21"/>
              <w:szCs w:val="21"/>
              <w:vertAlign w:val="superscript"/>
            </w:rPr>
            <w:footnoteReference w:id="327"/>
          </w:r>
          <w:r>
            <w:rPr>
              <w:rFonts w:hint="eastAsia" w:eastAsia="宋体" w:cs="Times New Roman"/>
              <w:color w:val="000000"/>
              <w:sz w:val="21"/>
              <w:szCs w:val="21"/>
            </w:rPr>
            <w:t>如果人和物的比例关系不能满足社会扩大再生产，甚至简单再生产的需要，发展的可持续就会遭到破坏。当然，人类社会的可持续发展不是建立在人口数量的不断增加上，而是依靠人口质量和素质的提升带来的劳动生产率的提高上。马克思强调人口素质提高的重要性，“真正的财富就是所有个人的发达的生产力”</w:t>
          </w:r>
          <w:r>
            <w:rPr>
              <w:rFonts w:eastAsia="宋体" w:cs="Times New Roman"/>
              <w:color w:val="000000"/>
              <w:sz w:val="21"/>
              <w:szCs w:val="21"/>
              <w:vertAlign w:val="superscript"/>
            </w:rPr>
            <w:footnoteReference w:id="328"/>
          </w:r>
          <w:r>
            <w:rPr>
              <w:rFonts w:hint="eastAsia" w:eastAsia="宋体" w:cs="Times New Roman"/>
              <w:color w:val="000000"/>
              <w:sz w:val="21"/>
              <w:szCs w:val="21"/>
            </w:rPr>
            <w:t>。马克思当时就看到，随着资本有机构成的提高和技术水平的提升，同样的生产规模对劳动力的数量需求下降，而对劳动力的素质要求却提高了。同样，人口的数量和质量也会反过来影响生产的方式。低素质的人口必然采取外延式、粗放型的生产方式，这种生产方式对自然资源的投入大而产出低，对生态环境损害大，而经济效益和社会效益低，是不可持续的。“个人的充分发展又作为最大的生产力反作用于劳动生产力”</w:t>
          </w:r>
          <w:r>
            <w:rPr>
              <w:rFonts w:eastAsia="宋体" w:cs="Times New Roman"/>
              <w:color w:val="000000"/>
              <w:sz w:val="21"/>
              <w:szCs w:val="21"/>
              <w:vertAlign w:val="superscript"/>
            </w:rPr>
            <w:footnoteReference w:id="329"/>
          </w:r>
          <w:r>
            <w:rPr>
              <w:rFonts w:hint="eastAsia" w:eastAsia="宋体" w:cs="Times New Roman"/>
              <w:color w:val="000000"/>
              <w:sz w:val="21"/>
              <w:szCs w:val="21"/>
            </w:rPr>
            <w:t>，而控制人口数量和提高人口质量，也需要像物质生产一样需要转变生产观念和实施生产计划。恩格斯指出：“……必须立刻进行这种（社会主义）改革，原因是只有这种改革，只有通过这种改革来教育群众，才能够从道德上限制生殖的本能”。“如果说共产主义社会在将来某个时候不得不像已经对物的生产进行调节那样，同时也对人的生产进行调节，那么正是这个社会，而且只有这个社会才能无困难地</w:t>
          </w:r>
          <w:r>
            <w:rPr>
              <w:rFonts w:eastAsia="宋体" w:cs="Times New Roman"/>
              <w:color w:val="000000"/>
              <w:sz w:val="21"/>
              <w:szCs w:val="21"/>
              <w:vertAlign w:val="superscript"/>
            </w:rPr>
            <w:footnoteReference w:id="330"/>
          </w:r>
          <w:r>
            <w:rPr>
              <w:rFonts w:hint="eastAsia" w:eastAsia="宋体" w:cs="Times New Roman"/>
              <w:color w:val="000000"/>
              <w:sz w:val="21"/>
              <w:szCs w:val="21"/>
            </w:rPr>
            <w:t>做到这点。”</w:t>
          </w:r>
        </w:p>
        <w:p w14:paraId="226D2D76">
          <w:pPr>
            <w:ind w:firstLine="360"/>
            <w:rPr>
              <w:rFonts w:eastAsia="宋体" w:cs="Times New Roman"/>
              <w:color w:val="000000"/>
              <w:sz w:val="21"/>
              <w:szCs w:val="21"/>
            </w:rPr>
          </w:pPr>
          <w:r>
            <w:rPr>
              <w:rFonts w:hint="eastAsia" w:eastAsia="宋体" w:cs="Times New Roman"/>
              <w:color w:val="000000"/>
              <w:sz w:val="21"/>
              <w:szCs w:val="21"/>
            </w:rPr>
            <w:t>关于全面协调发展思想，马克思主义经典作家不仅论述了经济内部不同部门要协调发展，而且论述了城市与乡村的区域间、工业与农业的产业间的统筹发展。马克思在论述简单再生产和扩大再生产时，详细阐述了生产资料生产部类和消费资料生产部类之间应按一定比例协调发展，才能保证整个简单再生产和扩大再生产的持续进行。马克思还指出：“城市和乡村的对立的消灭不仅是可能的。它已经成为工业生产本身的直接必需，同样它也已经成为农业生产和公共卫生事业的必需。只有通过城市和乡村的融合，现在的空气、水和土地的污染才能排除，只有通过这种融合，才能使现在城市中日益病弱的大众把粪便用于促进植物的生长，而不是任其引起疾病。”</w:t>
          </w:r>
          <w:r>
            <w:rPr>
              <w:rFonts w:eastAsia="宋体" w:cs="Times New Roman"/>
              <w:color w:val="000000"/>
              <w:sz w:val="21"/>
              <w:szCs w:val="21"/>
              <w:vertAlign w:val="superscript"/>
            </w:rPr>
            <w:footnoteReference w:id="331"/>
          </w:r>
          <w:r>
            <w:rPr>
              <w:rFonts w:hint="eastAsia" w:eastAsia="宋体" w:cs="Times New Roman"/>
              <w:color w:val="000000"/>
              <w:sz w:val="21"/>
              <w:szCs w:val="21"/>
            </w:rPr>
            <w:t>而且通过一定的组织形式可以发挥城乡的优点而避免二者的缺陷，“公民公社将从事工业生产和农业生产，将把城市和农村生活方式的优点结合起来，避免二者的片面性和缺点”</w:t>
          </w:r>
          <w:r>
            <w:rPr>
              <w:rFonts w:eastAsia="宋体" w:cs="Times New Roman"/>
              <w:color w:val="000000"/>
              <w:sz w:val="21"/>
              <w:szCs w:val="21"/>
              <w:vertAlign w:val="superscript"/>
            </w:rPr>
            <w:footnoteReference w:id="332"/>
          </w:r>
          <w:r>
            <w:rPr>
              <w:rFonts w:hint="eastAsia" w:eastAsia="宋体" w:cs="Times New Roman"/>
              <w:color w:val="000000"/>
              <w:sz w:val="21"/>
              <w:szCs w:val="21"/>
            </w:rPr>
            <w:t>。并且通过工业与农业的协调发展来消除城乡的差别，“把农业和工业结合起来，促使城乡对立逐步消灭”</w:t>
          </w:r>
          <w:r>
            <w:rPr>
              <w:rFonts w:eastAsia="宋体" w:cs="Times New Roman"/>
              <w:color w:val="000000"/>
              <w:sz w:val="21"/>
              <w:szCs w:val="21"/>
              <w:vertAlign w:val="superscript"/>
            </w:rPr>
            <w:footnoteReference w:id="333"/>
          </w:r>
          <w:r>
            <w:rPr>
              <w:rFonts w:hint="eastAsia" w:eastAsia="宋体" w:cs="Times New Roman"/>
              <w:color w:val="000000"/>
              <w:sz w:val="21"/>
              <w:szCs w:val="21"/>
            </w:rPr>
            <w:t>。其次，马克思主义经典作家还强调了精神文化生产与物质资料生产的协调发展，认为物质资料生产的发展虽然决定了精神文化生产的发展，但是精神文化生产的发展也对物质资料生产的发展起到反作用。“要研究精神生产和物质生产之间的联系，首先必须把这种物质生产本身不是当作一般范畴来考察，而是从一定的历史的形式来考察。……如果物质生产本身不从它的特殊的历史的形式来看，那就不可能理解与它相适应的精神生产的特征以及这两种生产的相互作用。”</w:t>
          </w:r>
          <w:r>
            <w:rPr>
              <w:rFonts w:eastAsia="宋体" w:cs="Times New Roman"/>
              <w:color w:val="000000"/>
              <w:sz w:val="21"/>
              <w:szCs w:val="21"/>
              <w:vertAlign w:val="superscript"/>
            </w:rPr>
            <w:footnoteReference w:id="334"/>
          </w:r>
          <w:r>
            <w:rPr>
              <w:rFonts w:hint="eastAsia" w:eastAsia="宋体" w:cs="Times New Roman"/>
              <w:color w:val="000000"/>
              <w:sz w:val="21"/>
              <w:szCs w:val="21"/>
            </w:rPr>
            <w:t>而且，精神文化生产发展的成果要与物质资料生产的成果一样为人民所共享，“……使每个人都有充分的闲暇时间去获得从历史上遗留下来的文化——科学、艺术、社交方式等等——中一切真正有价值的东西；并且不仅是去获得，而且还要把这一切从统治阶级的独占品变成全社会的共同财富并加以进一步发展。”</w:t>
          </w:r>
          <w:r>
            <w:rPr>
              <w:rFonts w:eastAsia="宋体" w:cs="Times New Roman"/>
              <w:color w:val="000000"/>
              <w:sz w:val="21"/>
              <w:szCs w:val="21"/>
              <w:vertAlign w:val="superscript"/>
            </w:rPr>
            <w:footnoteReference w:id="335"/>
          </w:r>
          <w:r>
            <w:rPr>
              <w:rFonts w:hint="eastAsia" w:eastAsia="宋体" w:cs="Times New Roman"/>
              <w:color w:val="000000"/>
              <w:sz w:val="21"/>
              <w:szCs w:val="21"/>
            </w:rPr>
            <w:t>第三，马克思主义经典作家把全面协调发展的目的指向了人，强调实现人的全面而自由的发展。“一切民族，不管他们所处的历史环境如何，都注定要走这条道路，——以便最后都达到在保证社会劳动生产力极高度发展的同时又保证每个生产者个人最全面的发展的这样一种经济形态。”</w:t>
          </w:r>
          <w:r>
            <w:rPr>
              <w:rFonts w:eastAsia="宋体" w:cs="Times New Roman"/>
              <w:color w:val="000000"/>
              <w:sz w:val="21"/>
              <w:szCs w:val="21"/>
              <w:vertAlign w:val="superscript"/>
            </w:rPr>
            <w:footnoteReference w:id="336"/>
          </w:r>
          <w:r>
            <w:rPr>
              <w:rFonts w:hint="eastAsia" w:eastAsia="宋体" w:cs="Times New Roman"/>
              <w:color w:val="000000"/>
              <w:sz w:val="21"/>
              <w:szCs w:val="21"/>
            </w:rPr>
            <w:t>“……人类全部力量的全面发展成为目的本身。在这里，人不是在某一种规定性上再生产自己，而是生产出他的全面性”</w:t>
          </w:r>
          <w:r>
            <w:rPr>
              <w:rFonts w:eastAsia="宋体" w:cs="Times New Roman"/>
              <w:color w:val="000000"/>
              <w:sz w:val="21"/>
              <w:szCs w:val="21"/>
              <w:vertAlign w:val="superscript"/>
            </w:rPr>
            <w:footnoteReference w:id="337"/>
          </w:r>
          <w:r>
            <w:rPr>
              <w:rFonts w:hint="eastAsia" w:eastAsia="宋体" w:cs="Times New Roman"/>
              <w:color w:val="000000"/>
              <w:sz w:val="21"/>
              <w:szCs w:val="21"/>
            </w:rPr>
            <w:t>。人的全面、充分和自由的发展是建立在生产力的高度发展的基础上的，“而只有这样的条件，才能为一个更高级的、以每一个人的全面而自由的发展为基本原则的社会形式建立现实基础”</w:t>
          </w:r>
          <w:r>
            <w:rPr>
              <w:rFonts w:eastAsia="宋体" w:cs="Times New Roman"/>
              <w:color w:val="000000"/>
              <w:sz w:val="21"/>
              <w:szCs w:val="21"/>
              <w:vertAlign w:val="superscript"/>
            </w:rPr>
            <w:footnoteReference w:id="338"/>
          </w:r>
          <w:r>
            <w:rPr>
              <w:rFonts w:hint="eastAsia" w:eastAsia="宋体" w:cs="Times New Roman"/>
              <w:color w:val="000000"/>
              <w:sz w:val="21"/>
              <w:szCs w:val="21"/>
            </w:rPr>
            <w:t>。而人的全面、充分和自由的发展又进一步推动生产力的进一步发展，“节约劳动时间等于增加自由时间，即增加使个人得到充分发展的时间，而个人的充分发展又作为最大的生产力反作用于劳动生产力”</w:t>
          </w:r>
          <w:r>
            <w:rPr>
              <w:rFonts w:eastAsia="宋体" w:cs="Times New Roman"/>
              <w:color w:val="000000"/>
              <w:sz w:val="21"/>
              <w:szCs w:val="21"/>
              <w:vertAlign w:val="superscript"/>
            </w:rPr>
            <w:footnoteReference w:id="339"/>
          </w:r>
          <w:r>
            <w:rPr>
              <w:rFonts w:hint="eastAsia" w:eastAsia="宋体" w:cs="Times New Roman"/>
              <w:color w:val="000000"/>
              <w:sz w:val="21"/>
              <w:szCs w:val="21"/>
            </w:rPr>
            <w:t>。</w:t>
          </w:r>
        </w:p>
        <w:p w14:paraId="63996B78">
          <w:pPr>
            <w:ind w:firstLine="360"/>
            <w:rPr>
              <w:rFonts w:eastAsia="宋体" w:cs="Times New Roman"/>
              <w:color w:val="000000"/>
              <w:sz w:val="21"/>
              <w:szCs w:val="21"/>
            </w:rPr>
          </w:pPr>
          <w:r>
            <w:rPr>
              <w:rFonts w:hint="eastAsia" w:eastAsia="宋体" w:cs="Times New Roman"/>
              <w:color w:val="000000"/>
              <w:sz w:val="21"/>
              <w:szCs w:val="21"/>
            </w:rPr>
            <w:t>关于适度消费和绿色消费思想，马克思主义经典作家不仅强调了消费对环境的压力，不能超过自然生态环境的吸收能力、补偿能力、再生能力和恢复能力，而且论述了消费要与经济发展水平和生产能力相适应，同时避免过度奢侈消费和消费不足。在马克思看来，“奢侈是自然必要性的对立面。必要的需要就是本身归结为自然主体的那种个人的需要”</w:t>
          </w:r>
          <w:r>
            <w:rPr>
              <w:rFonts w:eastAsia="宋体" w:cs="Times New Roman"/>
              <w:color w:val="000000"/>
              <w:sz w:val="21"/>
              <w:szCs w:val="21"/>
              <w:vertAlign w:val="superscript"/>
            </w:rPr>
            <w:footnoteReference w:id="340"/>
          </w:r>
          <w:r>
            <w:rPr>
              <w:rFonts w:hint="eastAsia" w:eastAsia="宋体" w:cs="Times New Roman"/>
              <w:color w:val="000000"/>
              <w:sz w:val="21"/>
              <w:szCs w:val="21"/>
            </w:rPr>
            <w:t>。恩格斯指出：“在一种与人类本性相称的状态下，……社会应当考虑，靠它所支配的资料能够生产些什么，并根据生产力和广大消费者之间的这种关系来确定，应该把生产提高多少或缩减多少，应该允许生产或限制生产多少奢侈品。”</w:t>
          </w:r>
          <w:r>
            <w:rPr>
              <w:rFonts w:eastAsia="宋体" w:cs="Times New Roman"/>
              <w:color w:val="000000"/>
              <w:sz w:val="21"/>
              <w:szCs w:val="21"/>
              <w:vertAlign w:val="superscript"/>
            </w:rPr>
            <w:footnoteReference w:id="341"/>
          </w:r>
          <w:r>
            <w:rPr>
              <w:rFonts w:hint="eastAsia" w:eastAsia="宋体" w:cs="Times New Roman"/>
              <w:color w:val="000000"/>
              <w:sz w:val="21"/>
              <w:szCs w:val="21"/>
            </w:rPr>
            <w:t>还看到奢侈浪费在资本主义私有制的条件下的必然性，“但资本主义生产的进步不仅创立了一个享乐世界；随着投机和信用事业的发展，它还开辟了千百个突然致富的源泉。在一定的发展阶段上，已经习以为常的挥霍，作为炫耀富有从而取得信贷的手段，甚至成了‘不幸的’资本家营业上的一种必要。奢侈被列入资本的交际费用。……但是资本家的挥霍仍然和积累一同增加，一方决不会妨碍另一方。”</w:t>
          </w:r>
          <w:r>
            <w:rPr>
              <w:rFonts w:eastAsia="宋体" w:cs="Times New Roman"/>
              <w:color w:val="000000"/>
              <w:sz w:val="21"/>
              <w:szCs w:val="21"/>
              <w:vertAlign w:val="superscript"/>
            </w:rPr>
            <w:footnoteReference w:id="342"/>
          </w:r>
          <w:r>
            <w:rPr>
              <w:rFonts w:hint="eastAsia" w:eastAsia="宋体" w:cs="Times New Roman"/>
              <w:color w:val="000000"/>
              <w:sz w:val="21"/>
              <w:szCs w:val="21"/>
            </w:rPr>
            <w:t>马克思主义经典作家不仅强调对可循环和再利用的产品的绿色消费理念，而且强调人类要不断增加对发展资料和精神产品的消费，从而把绿色消费的理念提高到前所未有的高度。人类对物质产品的适度消费，绝不仅仅意味着人类的自我克制，而是有更多时间进行教育培训和精神文化的消费，从而在实质意义上实现人类的解放和全面发展，同时通过这种“绿色”的全面消费而实现的人类素质的提高反过来又促进生产力的发展。在马克思经济学的视阈内，“真正的经济——节约——是劳动时间的节约。而这种节约就等于发展生产力。可见，决不是禁欲，而是发展生产力，发展生产的能力，因而既是发展消费的能力，又是发展消费的资料。消费的能力是消费的条件，因而是消费的首要手段，而这种能力是一种个人才能的发展，生产力的发展。”</w:t>
          </w:r>
          <w:r>
            <w:rPr>
              <w:rFonts w:eastAsia="宋体" w:cs="Times New Roman"/>
              <w:color w:val="000000"/>
              <w:sz w:val="21"/>
              <w:szCs w:val="21"/>
              <w:vertAlign w:val="superscript"/>
            </w:rPr>
            <w:footnoteReference w:id="343"/>
          </w:r>
          <w:r>
            <w:rPr>
              <w:rFonts w:hint="eastAsia" w:eastAsia="宋体" w:cs="Times New Roman"/>
              <w:color w:val="000000"/>
              <w:sz w:val="21"/>
              <w:szCs w:val="21"/>
            </w:rPr>
            <w:t>马克思认为“工人必须有时间满足精神需要和社会需要”</w:t>
          </w:r>
          <w:r>
            <w:rPr>
              <w:rFonts w:eastAsia="宋体" w:cs="Times New Roman"/>
              <w:color w:val="000000"/>
              <w:sz w:val="21"/>
              <w:szCs w:val="21"/>
              <w:vertAlign w:val="superscript"/>
            </w:rPr>
            <w:footnoteReference w:id="344"/>
          </w:r>
          <w:r>
            <w:rPr>
              <w:rFonts w:hint="eastAsia" w:eastAsia="宋体" w:cs="Times New Roman"/>
              <w:color w:val="000000"/>
              <w:sz w:val="21"/>
              <w:szCs w:val="21"/>
            </w:rPr>
            <w:t>，“……不仅可能保证一切社会成员有富足的和一天比一天充裕的物质生活，而且还可能保证他们的体力和智力获得充分的自由的发展和运用”</w:t>
          </w:r>
          <w:r>
            <w:rPr>
              <w:rFonts w:eastAsia="宋体" w:cs="Times New Roman"/>
              <w:color w:val="000000"/>
              <w:sz w:val="21"/>
              <w:szCs w:val="21"/>
              <w:vertAlign w:val="superscript"/>
            </w:rPr>
            <w:footnoteReference w:id="345"/>
          </w:r>
          <w:r>
            <w:rPr>
              <w:rFonts w:hint="eastAsia" w:eastAsia="宋体" w:cs="Times New Roman"/>
              <w:color w:val="000000"/>
              <w:sz w:val="21"/>
              <w:szCs w:val="21"/>
            </w:rPr>
            <w:t>。</w:t>
          </w:r>
        </w:p>
        <w:p w14:paraId="2F01C15C">
          <w:pPr>
            <w:ind w:firstLine="360"/>
            <w:rPr>
              <w:rFonts w:eastAsia="宋体" w:cs="Times New Roman"/>
              <w:b/>
              <w:color w:val="000000"/>
              <w:sz w:val="21"/>
              <w:szCs w:val="21"/>
            </w:rPr>
          </w:pPr>
          <w:r>
            <w:rPr>
              <w:rFonts w:hint="eastAsia" w:eastAsia="宋体" w:cs="Times New Roman"/>
              <w:b/>
              <w:color w:val="000000"/>
              <w:sz w:val="21"/>
              <w:szCs w:val="21"/>
            </w:rPr>
            <w:t>三、马克思主义与可持续发展目标相同</w:t>
          </w:r>
        </w:p>
        <w:p w14:paraId="3A1F88AA">
          <w:pPr>
            <w:ind w:firstLine="360"/>
            <w:rPr>
              <w:rFonts w:eastAsia="宋体" w:cs="Times New Roman"/>
              <w:color w:val="000000"/>
              <w:sz w:val="21"/>
              <w:szCs w:val="21"/>
            </w:rPr>
          </w:pPr>
          <w:r>
            <w:rPr>
              <w:rFonts w:hint="eastAsia" w:eastAsia="宋体" w:cs="Times New Roman"/>
              <w:color w:val="000000"/>
              <w:sz w:val="21"/>
              <w:szCs w:val="21"/>
            </w:rPr>
            <w:t>马克思主义经典作家深刻地揭示了资本主义社会经济发展的不可持续性，指出资本主义私有制和私有资本积累规律必然引发人的不平等、非均衡和片面发展，带来人的异化和人与自然关系的灾难。马克思指出资本主义私有制社会同以往社会相比具有巨大的历史进步性，赞扬资产阶级在它不到一百年的统治中所创造的财富，比过去一切世代所创造的财富还要多还要大，但是，又同时指出建立在资本主义私有制基础上的资本积累和生产，受到资本主义财富占有和收入分配两极分化以及劳动阶级有效消费不足的限制，资本主义的社会经济发展必然不断地被周期性的经济危机所打断。私有资本运动的规律强迫资本家，以牺牲劳工的身体、健康和闲暇，降低劳工的工作条件，压低劳工的生存条件以及损害环境等手段，实现可变资本和不变资本的节约和利润最大化。“资本主义生产方式按照它的矛盾的、对立的性质，还把浪费工人的生命和健康，压低工人的生存条件本身，看作不变资本使用上的节约，从而看作提高利润率的手段。……使工人挤在一个狭窄的有害健康的场所，用资本家的话来说，这叫作节约建筑物；把危险的机器塞进同一些场所而不安装安全设备；对于那些按其性质来说有害健康的生产过程，或对于像采矿业中那样有危险的生产过程，不采取任何预防措施，等等。”</w:t>
          </w:r>
          <w:r>
            <w:rPr>
              <w:rFonts w:eastAsia="宋体" w:cs="Times New Roman"/>
              <w:color w:val="000000"/>
              <w:sz w:val="21"/>
              <w:szCs w:val="21"/>
              <w:vertAlign w:val="superscript"/>
            </w:rPr>
            <w:footnoteReference w:id="346"/>
          </w:r>
          <w:r>
            <w:rPr>
              <w:rFonts w:hint="eastAsia" w:eastAsia="宋体" w:cs="Times New Roman"/>
              <w:color w:val="000000"/>
              <w:sz w:val="21"/>
              <w:szCs w:val="21"/>
            </w:rPr>
            <w:t xml:space="preserve"> “在各个资本家都是为了直接的利润而从事生产和交换的地方，他们首先考虑的只能是最近的最直接的结果。……而不再关心商品和买主以后将是怎样的。……西班牙的种植场主曾在古巴焚烧山坡上的森林，以为木灰作为肥料足够最能盈利的咖啡树施用一个世代之久，至于后来热带的倾盆大雨竟冲毁毫无掩护的沃土而只留下赤裸裸的岩石，这同他们又有什么相干呢？”</w:t>
          </w:r>
          <w:r>
            <w:rPr>
              <w:rFonts w:eastAsia="宋体" w:cs="Times New Roman"/>
              <w:color w:val="000000"/>
              <w:sz w:val="21"/>
              <w:szCs w:val="21"/>
              <w:vertAlign w:val="superscript"/>
            </w:rPr>
            <w:footnoteReference w:id="347"/>
          </w:r>
          <w:r>
            <w:rPr>
              <w:rFonts w:hint="eastAsia" w:eastAsia="宋体" w:cs="Times New Roman"/>
              <w:color w:val="000000"/>
              <w:sz w:val="21"/>
              <w:szCs w:val="21"/>
            </w:rPr>
            <w:t>私人资本对利润的追逐是过去一段时期和当今世界社会危机和生态危机的根源。</w:t>
          </w:r>
        </w:p>
        <w:p w14:paraId="37FCD668">
          <w:pPr>
            <w:ind w:firstLine="360"/>
            <w:rPr>
              <w:rFonts w:eastAsia="宋体" w:cs="Times New Roman"/>
              <w:color w:val="000000"/>
              <w:sz w:val="21"/>
              <w:szCs w:val="21"/>
            </w:rPr>
          </w:pPr>
          <w:r>
            <w:rPr>
              <w:rFonts w:hint="eastAsia" w:eastAsia="宋体" w:cs="Times New Roman"/>
              <w:color w:val="000000"/>
              <w:sz w:val="21"/>
              <w:szCs w:val="21"/>
            </w:rPr>
            <w:t>马克思指明，只有积极扬弃资本主义私有制，实行自然和生产资料共同所有、经济计划统筹、社会民主治理，才能达到人道主义和自然主义的统一、人的解放与自然解放的统一，才能真正解决人与自然、人与人之间的对立矛盾，实现人与自然、人与人、人与社会、社会与自然的和谐和人类的可持续发展。“共产主义是私有财产即人的自我异化的积极的扬弃，因而是通过人并且为了人而对人的本质的真正占有；因此，它是人向自身、向社会的即合乎人性的人的复归，这种复归是完全的，自觉的和在以往发展的全部财富的范围内生成的。这种共产主义，作为完成了的自然主义＝人道主义，而作为完成了的人道主义＝自然主义，它是人和自然之间、人和人之间的矛盾的真正解决，是存在和本质、对象化和自我确证、自由和必然、个体和类之间的斗争的真正解决。”</w:t>
          </w:r>
          <w:r>
            <w:rPr>
              <w:rFonts w:eastAsia="宋体" w:cs="Times New Roman"/>
              <w:color w:val="000000"/>
              <w:sz w:val="21"/>
              <w:szCs w:val="21"/>
              <w:vertAlign w:val="superscript"/>
            </w:rPr>
            <w:footnoteReference w:id="348"/>
          </w:r>
          <w:r>
            <w:rPr>
              <w:rFonts w:hint="eastAsia" w:eastAsia="宋体" w:cs="Times New Roman"/>
              <w:color w:val="000000"/>
              <w:sz w:val="21"/>
              <w:szCs w:val="21"/>
            </w:rPr>
            <w:t>从而实现“人类与自然的和解以及人类本身的和解”</w:t>
          </w:r>
          <w:r>
            <w:rPr>
              <w:rFonts w:eastAsia="宋体" w:cs="Times New Roman"/>
              <w:color w:val="000000"/>
              <w:sz w:val="21"/>
              <w:szCs w:val="21"/>
              <w:vertAlign w:val="superscript"/>
            </w:rPr>
            <w:footnoteReference w:id="349"/>
          </w:r>
          <w:r>
            <w:rPr>
              <w:rFonts w:hint="eastAsia" w:eastAsia="宋体" w:cs="Times New Roman"/>
              <w:color w:val="000000"/>
              <w:sz w:val="21"/>
              <w:szCs w:val="21"/>
            </w:rPr>
            <w:t>，并且“社会化的人，联合起来的生产者，将合理地调节他们和自然之间的物质变换，把它置于他们的共同控制之下，而不让它作为一种盲目的力量来统治自己；靠消耗最小的力量，在最无愧于和最适合于他们的人类本性的条件下来进行这种物质变换”</w:t>
          </w:r>
          <w:r>
            <w:rPr>
              <w:rFonts w:eastAsia="宋体" w:cs="Times New Roman"/>
              <w:color w:val="000000"/>
              <w:sz w:val="21"/>
              <w:szCs w:val="21"/>
              <w:vertAlign w:val="superscript"/>
            </w:rPr>
            <w:footnoteReference w:id="350"/>
          </w:r>
          <w:r>
            <w:rPr>
              <w:rFonts w:hint="eastAsia" w:eastAsia="宋体" w:cs="Times New Roman"/>
              <w:color w:val="000000"/>
              <w:sz w:val="21"/>
              <w:szCs w:val="21"/>
            </w:rPr>
            <w:t>。可持续发展是社会主义和共产主义社会的重要特征，因而国外生态马克思主义或生态社会主义强调人类要不断追求和践行可持续发展。事实上，也只有马克思主义的生态环境价值观，在实现对世界的胜利的社会主义改造的基础上，才是应当和最终必然普世的“普世价值观”之一。</w:t>
          </w:r>
        </w:p>
        <w:p w14:paraId="2EC0E18C">
          <w:pPr>
            <w:ind w:firstLine="360"/>
            <w:rPr>
              <w:rFonts w:eastAsia="宋体" w:cs="Times New Roman"/>
              <w:color w:val="000000"/>
              <w:sz w:val="21"/>
              <w:szCs w:val="21"/>
            </w:rPr>
          </w:pPr>
          <w:r>
            <w:rPr>
              <w:rFonts w:hint="eastAsia" w:eastAsia="宋体" w:cs="Times New Roman"/>
              <w:color w:val="000000"/>
              <w:sz w:val="21"/>
              <w:szCs w:val="21"/>
            </w:rPr>
            <w:t>可持续发展应是满足当代人需求又不损害子孙后代满足其需求能力的，满足一个群体、地区或国家需求又未损害别的群体、地区或国家人群满足其需求能力的，人与自然、人与人、人与社会、社会与自然和谐的发展。解决可持续发展问题，必须与解决人口贫困问题结合起来，保护和满足社会所有人民的基本需要，普遍提供可持续生存的基本条件，如食物、卫生和教育，以保证人们不会为了短期生存需要而被迫耗尽自然资源；人口发展要与变化着的生态系统提供的生产潜力相协调；对可再生资源的利用率必须控制在可再生率之下；对不可再生资源的利用率不能超过替代能源的开发利用率；对环境污染和生态的破坏不能超过环境和生态的净化能力。提倡通过转变价值观念和改变生活方式来实现可持续发展。诚然，只有逐步改造非社会主义的市场体系和生产关系，建立一个不被利润和国内生产总值的追逐所支配，而以最大限度地满足人们物质、精神和生态环境需要为目的的社会，才能建立和完善资源节约型和环境友好型的“两型社会”，向真正实现人的全面、自由和协调发展的方向挺进。</w:t>
          </w:r>
        </w:p>
        <w:p w14:paraId="46830F74">
          <w:pPr>
            <w:ind w:firstLine="360"/>
            <w:rPr>
              <w:rFonts w:eastAsia="宋体" w:cs="Times New Roman"/>
              <w:color w:val="000000"/>
              <w:sz w:val="21"/>
              <w:szCs w:val="21"/>
            </w:rPr>
          </w:pPr>
        </w:p>
        <w:p w14:paraId="15F32D27">
          <w:pPr>
            <w:spacing w:line="360" w:lineRule="auto"/>
          </w:pPr>
          <w:r>
            <w:rPr>
              <w:rFonts w:hint="eastAsia" w:eastAsia="宋体" w:cs="Times New Roman"/>
              <w:color w:val="000000"/>
              <w:sz w:val="21"/>
              <w:szCs w:val="21"/>
            </w:rPr>
            <w:t>（原载《马克思主义研究》2008年第12期，第二作者为王中保）</w:t>
          </w:r>
        </w:p>
      </w:sdtContent>
    </w:sdt>
    <w:p w14:paraId="3457EF77">
      <w:pPr>
        <w:spacing w:before="0" w:after="0" w:line="400" w:lineRule="exact"/>
        <w:ind w:firstLine="440" w:firstLineChars="200"/>
        <w:outlineLvl w:val="9"/>
      </w:pPr>
      <w:r>
        <w:br w:type="page"/>
      </w:r>
    </w:p>
    <w:p w14:paraId="310CC27B">
      <w:pPr>
        <w:spacing w:before="0" w:after="0" w:line="400" w:lineRule="exact"/>
        <w:ind w:firstLine="440" w:firstLineChars="200"/>
        <w:outlineLvl w:val="9"/>
      </w:pPr>
    </w:p>
    <w:p w14:paraId="3DDF3E0D">
      <w:pPr>
        <w:spacing w:before="0" w:after="0" w:line="400" w:lineRule="exact"/>
        <w:ind w:firstLine="440" w:firstLineChars="200"/>
        <w:outlineLvl w:val="9"/>
      </w:pPr>
    </w:p>
    <w:p w14:paraId="40A3BCE8">
      <w:pPr>
        <w:spacing w:before="0" w:after="0" w:line="400" w:lineRule="exact"/>
        <w:ind w:firstLine="440" w:firstLineChars="200"/>
        <w:outlineLvl w:val="9"/>
      </w:pPr>
    </w:p>
    <w:p w14:paraId="1CC372F1">
      <w:pPr>
        <w:pStyle w:val="2"/>
        <w:spacing w:before="0" w:after="0" w:line="400" w:lineRule="exact"/>
        <w:ind w:firstLine="660" w:firstLineChars="200"/>
      </w:pPr>
      <w:bookmarkStart w:id="1023" w:name="_Toc21595"/>
      <w:bookmarkStart w:id="1024" w:name="_Toc68065232"/>
      <w:bookmarkStart w:id="1025" w:name="_Toc994700502"/>
      <w:r>
        <w:t>2009年</w:t>
      </w:r>
      <w:bookmarkEnd w:id="1023"/>
      <w:bookmarkEnd w:id="1024"/>
      <w:bookmarkEnd w:id="1025"/>
    </w:p>
    <w:p w14:paraId="0FA13F19"/>
    <w:p w14:paraId="539F4966">
      <w:pPr>
        <w:keepNext/>
        <w:keepLines/>
        <w:widowControl/>
        <w:spacing w:line="480" w:lineRule="auto"/>
        <w:ind w:firstLine="198"/>
        <w:jc w:val="center"/>
        <w:outlineLvl w:val="1"/>
        <w:rPr>
          <w:rFonts w:ascii="黑体" w:hAnsi="黑体" w:eastAsia="黑体" w:cs="Times New Roman"/>
          <w:kern w:val="0"/>
          <w:sz w:val="32"/>
          <w:szCs w:val="32"/>
        </w:rPr>
      </w:pPr>
      <w:bookmarkStart w:id="1026" w:name="_Toc13523"/>
      <w:bookmarkStart w:id="1027" w:name="_Toc1511054020"/>
      <w:bookmarkStart w:id="1028" w:name="_Toc1918628866"/>
      <w:r>
        <w:rPr>
          <w:rFonts w:hint="eastAsia" w:ascii="黑体" w:hAnsi="黑体" w:eastAsia="黑体" w:cs="Times New Roman"/>
          <w:kern w:val="0"/>
          <w:sz w:val="32"/>
          <w:szCs w:val="32"/>
        </w:rPr>
        <w:t>1“猛虎”是怎样放出笼的</w:t>
      </w:r>
      <w:r>
        <w:rPr>
          <w:rFonts w:hint="eastAsia" w:ascii="黑体" w:hAnsi="黑体" w:eastAsia="黑体" w:cs="Times New Roman"/>
          <w:kern w:val="0"/>
          <w:sz w:val="24"/>
          <w:szCs w:val="24"/>
        </w:rPr>
        <w:t>——</w:t>
      </w:r>
      <w:r>
        <w:rPr>
          <w:rFonts w:hint="eastAsia" w:ascii="黑体" w:hAnsi="黑体" w:eastAsia="黑体" w:cs="Times New Roman"/>
          <w:kern w:val="0"/>
          <w:sz w:val="32"/>
          <w:szCs w:val="32"/>
        </w:rPr>
        <w:t>论金融自由化与美国金融危机</w:t>
      </w:r>
      <w:bookmarkEnd w:id="1026"/>
      <w:bookmarkEnd w:id="1027"/>
      <w:bookmarkEnd w:id="1028"/>
    </w:p>
    <w:p w14:paraId="6A671A53">
      <w:pPr>
        <w:keepNext/>
        <w:keepLines/>
        <w:widowControl/>
        <w:spacing w:line="400" w:lineRule="exact"/>
        <w:ind w:firstLine="440" w:firstLineChars="200"/>
        <w:rPr>
          <w:rFonts w:ascii="黑体" w:hAnsi="黑体" w:eastAsia="黑体" w:cs="Times New Roman"/>
          <w:kern w:val="0"/>
          <w:sz w:val="32"/>
          <w:szCs w:val="32"/>
        </w:rPr>
      </w:pPr>
      <w:r>
        <w:rPr>
          <w:rFonts w:hint="eastAsia" w:ascii="宋体" w:hAnsi="宋体" w:eastAsia="宋体" w:cs="宋体"/>
          <w:szCs w:val="21"/>
        </w:rPr>
        <w:t>20世纪80年代以来，与世界范围内大规模金融自由化浪潮相伴到来的，是愈演愈烈的金融危机，这已为历史所证实。当前，一场严重的金融危机再次促使我们深入探究金融自由化同金融危机产生之间的关联，并从中获得警醒与启示。</w:t>
      </w:r>
    </w:p>
    <w:p w14:paraId="04BBF3D0">
      <w:pPr>
        <w:spacing w:line="360" w:lineRule="auto"/>
        <w:jc w:val="center"/>
        <w:rPr>
          <w:rFonts w:ascii="黑体" w:hAnsi="黑体" w:eastAsia="黑体" w:cs="宋体"/>
          <w:sz w:val="24"/>
          <w:szCs w:val="24"/>
        </w:rPr>
      </w:pPr>
      <w:r>
        <w:rPr>
          <w:rFonts w:hint="eastAsia" w:ascii="黑体" w:hAnsi="黑体" w:eastAsia="黑体" w:cs="Times New Roman"/>
          <w:sz w:val="24"/>
          <w:szCs w:val="24"/>
        </w:rPr>
        <w:t>一、始于</w:t>
      </w:r>
      <w:r>
        <w:rPr>
          <w:rFonts w:ascii="黑体" w:hAnsi="黑体" w:eastAsia="黑体" w:cs="Times New Roman"/>
          <w:sz w:val="24"/>
          <w:szCs w:val="24"/>
        </w:rPr>
        <w:t>20</w:t>
      </w:r>
      <w:r>
        <w:rPr>
          <w:rFonts w:hint="eastAsia" w:ascii="黑体" w:hAnsi="黑体" w:eastAsia="黑体" w:cs="Times New Roman"/>
          <w:sz w:val="24"/>
          <w:szCs w:val="24"/>
        </w:rPr>
        <w:t>世纪</w:t>
      </w:r>
      <w:r>
        <w:rPr>
          <w:rFonts w:ascii="黑体" w:hAnsi="黑体" w:eastAsia="黑体" w:cs="Times New Roman"/>
          <w:sz w:val="24"/>
          <w:szCs w:val="24"/>
        </w:rPr>
        <w:t>80</w:t>
      </w:r>
      <w:r>
        <w:rPr>
          <w:rFonts w:hint="eastAsia" w:ascii="黑体" w:hAnsi="黑体" w:eastAsia="黑体" w:cs="Times New Roman"/>
          <w:sz w:val="24"/>
          <w:szCs w:val="24"/>
        </w:rPr>
        <w:t>年代金融自由化浪潮加剧了世界金融动荡</w:t>
      </w:r>
    </w:p>
    <w:p w14:paraId="7767E683">
      <w:pPr>
        <w:spacing w:line="400" w:lineRule="exact"/>
        <w:ind w:firstLine="440" w:firstLineChars="200"/>
        <w:rPr>
          <w:rFonts w:ascii="宋体" w:hAnsi="宋体" w:eastAsia="宋体" w:cs="宋体"/>
          <w:szCs w:val="21"/>
        </w:rPr>
      </w:pPr>
      <w:r>
        <w:rPr>
          <w:rFonts w:hint="eastAsia" w:ascii="宋体" w:hAnsi="宋体" w:eastAsia="宋体" w:cs="宋体"/>
          <w:szCs w:val="21"/>
        </w:rPr>
        <w:t>金融自由化是指不断减少政府对金融部门运行的管制和干预，转而由市场力量决定的过程，在实践中主要集中在价格的自由化、业务经营自由化、市场准入自由化和资本流动自由化等几个方面。</w:t>
      </w:r>
    </w:p>
    <w:p w14:paraId="5E6B14C3">
      <w:pPr>
        <w:spacing w:line="400" w:lineRule="exact"/>
        <w:ind w:firstLine="440" w:firstLineChars="200"/>
        <w:rPr>
          <w:rFonts w:ascii="宋体" w:hAnsi="宋体" w:eastAsia="宋体" w:cs="宋体"/>
          <w:szCs w:val="21"/>
        </w:rPr>
      </w:pPr>
      <w:r>
        <w:rPr>
          <w:rFonts w:hint="eastAsia" w:ascii="宋体" w:hAnsi="宋体" w:eastAsia="宋体" w:cs="宋体"/>
          <w:szCs w:val="21"/>
        </w:rPr>
        <w:t>20世纪80年代以来，发达国家相继放松金融管制，发展中国家则先后展开了以金融自由放任维特点的金融深化和金融发展为旗帜的金融体制改革。特别是80年代后期90年代以来，</w:t>
      </w:r>
    </w:p>
    <w:p w14:paraId="6D320BBB">
      <w:pPr>
        <w:spacing w:line="400" w:lineRule="exact"/>
        <w:ind w:firstLine="440" w:firstLineChars="200"/>
        <w:rPr>
          <w:rFonts w:ascii="宋体" w:hAnsi="宋体" w:eastAsia="宋体" w:cs="宋体"/>
          <w:szCs w:val="21"/>
        </w:rPr>
      </w:pPr>
      <w:r>
        <w:rPr>
          <w:rFonts w:hint="eastAsia" w:ascii="宋体" w:hAnsi="宋体" w:eastAsia="宋体" w:cs="宋体"/>
          <w:szCs w:val="21"/>
        </w:rPr>
        <w:t>在“华盛顿共识”的压力下，拉美国家为了得到国际经济组织和西方国家的援助以摆脱债务危机，东亚和东南亚国家为了更好地实施出口导向战略，转轨国家为了加快市场化步伐，都在推进金融自由化改革和金融开放政策。</w:t>
      </w:r>
    </w:p>
    <w:p w14:paraId="324ED2F0">
      <w:pPr>
        <w:spacing w:line="400" w:lineRule="exact"/>
        <w:ind w:firstLine="440" w:firstLineChars="200"/>
        <w:rPr>
          <w:rFonts w:ascii="宋体" w:hAnsi="宋体" w:eastAsia="宋体" w:cs="宋体"/>
          <w:szCs w:val="21"/>
        </w:rPr>
      </w:pPr>
      <w:r>
        <w:rPr>
          <w:rFonts w:hint="eastAsia" w:ascii="宋体" w:hAnsi="宋体" w:eastAsia="宋体" w:cs="宋体"/>
          <w:szCs w:val="21"/>
        </w:rPr>
        <w:t>不少国家原本企望金融自由市场化改革能够带来经济繁荣，然而事与愿违，自布雷顿森林体系崩溃以后开始显现的国际金融动荡，伴随着金融自由化的进程而日益加剧，大大小小的金融危机频繁发生，破坏程度不断加深。</w:t>
      </w:r>
    </w:p>
    <w:p w14:paraId="0DD137E9">
      <w:pPr>
        <w:spacing w:line="400" w:lineRule="exact"/>
        <w:ind w:firstLine="440" w:firstLineChars="200"/>
        <w:rPr>
          <w:rFonts w:ascii="宋体" w:hAnsi="宋体" w:eastAsia="宋体" w:cs="宋体"/>
          <w:szCs w:val="21"/>
        </w:rPr>
      </w:pPr>
      <w:r>
        <w:rPr>
          <w:rFonts w:hint="eastAsia" w:ascii="宋体" w:hAnsi="宋体" w:eastAsia="宋体" w:cs="宋体"/>
          <w:szCs w:val="21"/>
        </w:rPr>
        <w:t>在发达国家，80年代中期以后美国经历了一场储蓄信贷协会危机，90年代初出现了欧洲货币体系危机，日本则因泡沫经济诱发严重的金融危机并且经济十几年长期不振；在发展中国家，80年代初的拉美债务危机、90年代中期的墨西哥金融危机和其后的亚洲金融危机，更是对金融体系带来巨大冲击，对经济发展造成严重伤害，甚至引发社会动荡。一系列惨痛的现实促使人们展开反思，尝试在理论上分析金融自由化与金融不稳定及金融危机之间的内在联系，提出了“金融约束”等新一代金融发展理论，发展中国家金融自由化改革的实践步伐也趋于审慎。</w:t>
      </w:r>
    </w:p>
    <w:p w14:paraId="73CEBDB4">
      <w:pPr>
        <w:spacing w:line="360" w:lineRule="auto"/>
        <w:jc w:val="center"/>
        <w:rPr>
          <w:rFonts w:ascii="黑体" w:hAnsi="黑体" w:eastAsia="黑体" w:cs="Times New Roman"/>
          <w:sz w:val="24"/>
          <w:szCs w:val="24"/>
        </w:rPr>
      </w:pPr>
      <w:r>
        <w:rPr>
          <w:rFonts w:hint="eastAsia" w:ascii="黑体" w:hAnsi="黑体" w:eastAsia="黑体" w:cs="Times New Roman"/>
          <w:sz w:val="24"/>
          <w:szCs w:val="24"/>
        </w:rPr>
        <w:t>二、美国继续推动金融自由化导致基本矛盾进一步激化</w:t>
      </w:r>
    </w:p>
    <w:p w14:paraId="047F754D">
      <w:pPr>
        <w:spacing w:line="400" w:lineRule="exact"/>
        <w:ind w:firstLine="440" w:firstLineChars="200"/>
        <w:rPr>
          <w:rFonts w:ascii="宋体" w:hAnsi="宋体" w:eastAsia="宋体" w:cs="宋体"/>
          <w:szCs w:val="21"/>
        </w:rPr>
      </w:pPr>
      <w:r>
        <w:rPr>
          <w:rFonts w:hint="eastAsia" w:ascii="宋体" w:hAnsi="宋体" w:eastAsia="宋体" w:cs="宋体"/>
          <w:szCs w:val="21"/>
        </w:rPr>
        <w:t>到20世纪末，大规模的金融自由化改革接近尾声，然而，改革形成的格局已经很难逆转，资本主义生产方式扩张的内在冲动决定了金融自由化进程不可能就此中断，主要发达国家需要推进这一趋势以扩大自身利益，而被卷入经济全球化的广大发展中国家也难以从中挣脱。金融自由化进程的继续深化，加剧了资本主义基本矛盾的激化。</w:t>
      </w:r>
    </w:p>
    <w:p w14:paraId="29D0877F">
      <w:pPr>
        <w:spacing w:line="400" w:lineRule="exact"/>
        <w:ind w:firstLine="440" w:firstLineChars="200"/>
        <w:rPr>
          <w:rFonts w:ascii="宋体" w:hAnsi="宋体" w:eastAsia="宋体" w:cs="宋体"/>
          <w:szCs w:val="21"/>
        </w:rPr>
      </w:pPr>
      <w:r>
        <w:rPr>
          <w:rFonts w:hint="eastAsia" w:ascii="宋体" w:hAnsi="宋体" w:eastAsia="宋体" w:cs="宋体"/>
          <w:b/>
          <w:bCs/>
          <w:szCs w:val="21"/>
        </w:rPr>
        <w:t>（一）金融自由化导致利益更多向资本家倾斜，工人的所得下降。</w:t>
      </w:r>
    </w:p>
    <w:p w14:paraId="48C94BCF">
      <w:pPr>
        <w:spacing w:line="400" w:lineRule="exact"/>
        <w:ind w:firstLine="440" w:firstLineChars="200"/>
        <w:rPr>
          <w:rFonts w:ascii="宋体" w:hAnsi="宋体" w:eastAsia="宋体" w:cs="宋体"/>
          <w:szCs w:val="21"/>
        </w:rPr>
      </w:pPr>
      <w:r>
        <w:rPr>
          <w:rFonts w:hint="eastAsia" w:ascii="宋体" w:hAnsi="宋体" w:eastAsia="宋体" w:cs="宋体"/>
          <w:szCs w:val="21"/>
        </w:rPr>
        <w:t>在新自由主义条件下，工人在与资本的博弈中处于弱势地位，企业利润不断上涨，工资却不升反降。而金融自由化使得工人在与资本的力量对比中处境更加不利。发达国家的过剩资本为了追逐更多利润，到广大发展中国家寻找廉价的劳动力，大量的制造业生产向发展中国家转移。这有利于压低全世界、特别是西方国家这些原高工资国家工人的谈判能力。加之美国奉行新自由主义政策，国内工人工资被打压、社会福利被削减，导致贫富分化加剧，矛盾趋于尖锐。2005年，美国最富有的1%和1‰的人所拥有的财富都达到了1928年以来的最高水平。最富有的1‰的人口只有30万，但他们的收入与最穷的50%的（约1.5亿）人口的总收入相当。不仅是美国，英国、日本等发达国家近二十年来的基尼系数也在扩大，中产阶层也遭到削弱。</w:t>
      </w:r>
    </w:p>
    <w:p w14:paraId="032EFB4C">
      <w:pPr>
        <w:spacing w:line="400" w:lineRule="exact"/>
        <w:ind w:firstLine="440" w:firstLineChars="200"/>
        <w:rPr>
          <w:rFonts w:ascii="宋体" w:hAnsi="宋体" w:eastAsia="宋体" w:cs="宋体"/>
          <w:szCs w:val="21"/>
        </w:rPr>
      </w:pPr>
      <w:r>
        <w:rPr>
          <w:rFonts w:hint="eastAsia" w:ascii="宋体" w:hAnsi="宋体" w:eastAsia="宋体" w:cs="宋体"/>
          <w:b/>
          <w:bCs/>
          <w:szCs w:val="21"/>
        </w:rPr>
        <w:t>（二）金融自由化导致利益更多地向金融垄断资本倾斜，实体部门利润下降。</w:t>
      </w:r>
    </w:p>
    <w:p w14:paraId="71ECFC89">
      <w:pPr>
        <w:spacing w:line="400" w:lineRule="exact"/>
        <w:ind w:firstLine="440" w:firstLineChars="200"/>
        <w:rPr>
          <w:rFonts w:ascii="宋体" w:hAnsi="宋体" w:eastAsia="宋体" w:cs="宋体"/>
          <w:szCs w:val="21"/>
        </w:rPr>
      </w:pPr>
      <w:r>
        <w:rPr>
          <w:rFonts w:hint="eastAsia" w:ascii="宋体" w:hAnsi="宋体" w:eastAsia="宋体" w:cs="宋体"/>
          <w:szCs w:val="21"/>
        </w:rPr>
        <w:t>对于美国来说，大量产业转移出去之后自身就形成了空心化，因而必须在发展金融产业和虚拟经济方面确立绝对优势，并从中获取更多的利润。美国国内金融自由化改革正是符合了这一目标，满足金融资本自由逐利的要求。美国自1980年通过《存款机构放松管制与货币控制法》，一步步放松了对金融机构的管制。</w:t>
      </w:r>
    </w:p>
    <w:p w14:paraId="5863A834">
      <w:pPr>
        <w:spacing w:line="400" w:lineRule="exact"/>
        <w:ind w:firstLine="440" w:firstLineChars="200"/>
        <w:rPr>
          <w:rFonts w:ascii="宋体" w:hAnsi="宋体" w:eastAsia="宋体" w:cs="宋体"/>
          <w:szCs w:val="21"/>
        </w:rPr>
      </w:pPr>
      <w:r>
        <w:rPr>
          <w:rFonts w:hint="eastAsia" w:ascii="宋体" w:hAnsi="宋体" w:eastAsia="宋体" w:cs="宋体"/>
          <w:szCs w:val="21"/>
        </w:rPr>
        <w:t>自由化环境导致金融机构为了追逐利润而过度竞争，并转向投机业务和金融创新，增大了金融体系风险。为了获取高额利润，投资银行不遗余力地开发出一系列高杠杆率的金融衍生产品。</w:t>
      </w:r>
    </w:p>
    <w:p w14:paraId="11F075EA">
      <w:pPr>
        <w:spacing w:line="400" w:lineRule="exact"/>
        <w:ind w:firstLine="440" w:firstLineChars="200"/>
        <w:rPr>
          <w:rFonts w:ascii="宋体" w:hAnsi="宋体" w:eastAsia="宋体" w:cs="宋体"/>
          <w:szCs w:val="21"/>
        </w:rPr>
      </w:pPr>
      <w:r>
        <w:rPr>
          <w:rFonts w:hint="eastAsia" w:ascii="宋体" w:hAnsi="宋体" w:eastAsia="宋体" w:cs="宋体"/>
          <w:szCs w:val="21"/>
        </w:rPr>
        <w:t>美国当局对于金融风险和经济泡沫并不是毫无察觉，但作为金融资本家们的利益共同体，依然疏于监管。2000年美国的网络经济股泡沫破裂，曾造成数千亿美元的损失；以2001年安然公司事件为开端的一系列财务欺诈丑闻，一度将股市拖入熊市。而美联储选择了用降息等宽松货币政策来应对，以新的更大的房地产泡沫取代已破裂的泡沫。</w:t>
      </w:r>
    </w:p>
    <w:p w14:paraId="0A6DCFBC">
      <w:pPr>
        <w:spacing w:line="400" w:lineRule="exact"/>
        <w:ind w:firstLine="440" w:firstLineChars="200"/>
        <w:rPr>
          <w:rFonts w:ascii="宋体" w:hAnsi="宋体" w:eastAsia="宋体" w:cs="宋体"/>
          <w:szCs w:val="21"/>
        </w:rPr>
      </w:pPr>
      <w:r>
        <w:rPr>
          <w:rFonts w:hint="eastAsia" w:ascii="宋体" w:hAnsi="宋体" w:eastAsia="宋体" w:cs="宋体"/>
          <w:szCs w:val="21"/>
        </w:rPr>
        <w:t>美国的金融自由化不仅弱化了监管、增大了金融系统性风险，而且导致社会财富向金融部门集中，虚拟经济与实体经济的脱节日益严重。刚刚大学毕业的金融工程师收入是土木工程师的4倍；雷曼公司总裁在数年间获得3.5亿美元的薪酬；华尔街占所有公司利润总额的40%，而实体经济只占60%。</w:t>
      </w:r>
    </w:p>
    <w:p w14:paraId="73CC6CB1">
      <w:pPr>
        <w:spacing w:line="400" w:lineRule="exact"/>
        <w:ind w:firstLine="440" w:firstLineChars="200"/>
        <w:rPr>
          <w:rFonts w:ascii="宋体" w:hAnsi="宋体" w:eastAsia="宋体" w:cs="宋体"/>
          <w:szCs w:val="21"/>
        </w:rPr>
      </w:pPr>
      <w:r>
        <w:rPr>
          <w:rFonts w:hint="eastAsia" w:ascii="宋体" w:hAnsi="宋体" w:eastAsia="宋体" w:cs="宋体"/>
          <w:b/>
          <w:bCs/>
          <w:szCs w:val="21"/>
        </w:rPr>
        <w:t>（三）金融自由化导致利益更多地向美国等发达国家倾斜，发展中国家地位相对下降。</w:t>
      </w:r>
    </w:p>
    <w:p w14:paraId="778A6321">
      <w:pPr>
        <w:spacing w:line="400" w:lineRule="exact"/>
        <w:ind w:firstLine="440" w:firstLineChars="200"/>
        <w:rPr>
          <w:rFonts w:ascii="宋体" w:hAnsi="宋体" w:eastAsia="宋体" w:cs="宋体"/>
          <w:szCs w:val="21"/>
        </w:rPr>
      </w:pPr>
      <w:r>
        <w:rPr>
          <w:rFonts w:hint="eastAsia" w:ascii="宋体" w:hAnsi="宋体" w:eastAsia="宋体" w:cs="宋体"/>
          <w:szCs w:val="21"/>
        </w:rPr>
        <w:t>新自由主义主导下的经济全球化，必然要推行金融自由化的全球化。金融垄断资本是垄断资本的高级形态，它现在已不再满足于通过资本自由流动，以股权和技术垄断等手段层层控制子公司、孙公司，而是要进一步通过国家战略，利用在国际金融市场和国际货币体系中的控制权或主动权，大力推动各国金融自由化，这样就可以在必要时对别国货币政策、汇率政策、中央银行的行动乃至整个金融体系施加影响，进而影响到该国的实体经济。作为世界上经济最为强大的国家，美国不仅要通过金融机制在全球配置资源，还要通过金融霸权在全球争夺资源。</w:t>
      </w:r>
    </w:p>
    <w:p w14:paraId="00F09EBE">
      <w:pPr>
        <w:spacing w:line="400" w:lineRule="exact"/>
        <w:ind w:firstLine="440" w:firstLineChars="200"/>
        <w:rPr>
          <w:rFonts w:ascii="宋体" w:hAnsi="宋体" w:eastAsia="宋体" w:cs="宋体"/>
          <w:szCs w:val="21"/>
        </w:rPr>
      </w:pPr>
      <w:r>
        <w:rPr>
          <w:rFonts w:hint="eastAsia" w:ascii="宋体" w:hAnsi="宋体" w:eastAsia="宋体" w:cs="宋体"/>
          <w:szCs w:val="21"/>
        </w:rPr>
        <w:t>在当前世界金融体系下，发展中国家难以摆脱来自外部的压力，实际上仍在延续金融开放和自由化的进程，并处于不利地位。例如，新兴市场国家通过出口得到的美元储备因受到种种限制而无法顺利地在美国实现直接投资和并购美国企业，只好大量购买美国国债、政府机构债券和其他金融产品；美国的股票市场吸引了海外优质公司在此上市，让美国投资者分享成长红利和垄断利润；发达国家借助于国际经济组织，对接受经济援助的国家或成为成员的国家附加放松金融管制等条件，加速这些国家的金融开放；等等。</w:t>
      </w:r>
    </w:p>
    <w:p w14:paraId="056AC210">
      <w:pPr>
        <w:spacing w:line="400" w:lineRule="exact"/>
        <w:ind w:firstLine="200"/>
        <w:rPr>
          <w:rFonts w:ascii="宋体" w:hAnsi="宋体" w:eastAsia="宋体" w:cs="宋体"/>
          <w:szCs w:val="21"/>
        </w:rPr>
      </w:pPr>
      <w:r>
        <w:rPr>
          <w:rFonts w:hint="eastAsia" w:ascii="宋体" w:hAnsi="宋体" w:eastAsia="宋体" w:cs="宋体"/>
          <w:szCs w:val="21"/>
        </w:rPr>
        <w:t>新自由主义主导下的经济全球化以及它积极推进的金融自由化，加大了世界经济发展的不平衡性，发达资本主义国家在此进程中的获益大大超过发展中国家，全世界的收入和财富的不平等急剧扩大。</w:t>
      </w:r>
    </w:p>
    <w:p w14:paraId="554EF25D">
      <w:pPr>
        <w:spacing w:line="400" w:lineRule="exact"/>
        <w:ind w:firstLine="440" w:firstLineChars="200"/>
        <w:rPr>
          <w:rFonts w:ascii="宋体" w:hAnsi="宋体" w:eastAsia="宋体" w:cs="宋体"/>
          <w:szCs w:val="21"/>
        </w:rPr>
      </w:pPr>
      <w:r>
        <w:rPr>
          <w:rFonts w:hint="eastAsia" w:ascii="宋体" w:hAnsi="宋体" w:eastAsia="宋体" w:cs="宋体"/>
          <w:szCs w:val="21"/>
        </w:rPr>
        <w:t>由上述分析可见，近年来由美国主导的金融自由化加剧了资本主义基本矛盾，预示着一场新的经济危机必然到来。</w:t>
      </w:r>
    </w:p>
    <w:p w14:paraId="342B7CCB">
      <w:pPr>
        <w:spacing w:line="360" w:lineRule="auto"/>
        <w:jc w:val="center"/>
        <w:rPr>
          <w:rFonts w:ascii="黑体" w:hAnsi="黑体" w:eastAsia="黑体" w:cs="Times New Roman"/>
          <w:sz w:val="24"/>
          <w:szCs w:val="24"/>
        </w:rPr>
      </w:pPr>
      <w:r>
        <w:rPr>
          <w:rFonts w:hint="eastAsia" w:ascii="黑体" w:hAnsi="黑体" w:eastAsia="黑体" w:cs="Times New Roman"/>
          <w:sz w:val="24"/>
          <w:szCs w:val="24"/>
        </w:rPr>
        <w:t>三、金融自由化直接助长了美国“次贷”泡沫的累积</w:t>
      </w:r>
    </w:p>
    <w:p w14:paraId="4C8C2D8D">
      <w:pPr>
        <w:spacing w:line="400" w:lineRule="exact"/>
        <w:ind w:firstLine="440" w:firstLineChars="200"/>
        <w:rPr>
          <w:rFonts w:ascii="宋体" w:hAnsi="宋体" w:eastAsia="宋体" w:cs="宋体"/>
          <w:b/>
          <w:bCs/>
          <w:szCs w:val="21"/>
        </w:rPr>
      </w:pPr>
      <w:r>
        <w:rPr>
          <w:rFonts w:hint="eastAsia" w:ascii="宋体" w:hAnsi="宋体" w:eastAsia="宋体" w:cs="宋体"/>
          <w:b/>
          <w:bCs/>
          <w:szCs w:val="21"/>
        </w:rPr>
        <w:t>（一）金融自由化鼓励了消费信贷尤其是次级房贷的膨胀。</w:t>
      </w:r>
    </w:p>
    <w:p w14:paraId="53301950">
      <w:pPr>
        <w:spacing w:line="400" w:lineRule="exact"/>
        <w:ind w:firstLine="440" w:firstLineChars="200"/>
        <w:rPr>
          <w:rFonts w:ascii="宋体" w:hAnsi="宋体" w:eastAsia="宋体" w:cs="宋体"/>
          <w:b/>
          <w:bCs/>
          <w:szCs w:val="21"/>
        </w:rPr>
      </w:pPr>
      <w:r>
        <w:rPr>
          <w:rFonts w:hint="eastAsia" w:ascii="宋体" w:hAnsi="宋体" w:eastAsia="宋体" w:cs="宋体"/>
          <w:szCs w:val="21"/>
        </w:rPr>
        <w:t>通过发展借贷消费，家庭消费支出可以实现远高于可支配收入的增速，从而减缓经济衰退。实际上，正是得益于居民债务的快速扩张，美国才能较为平稳和迅速地从本世纪初的衰退中重返一派繁荣景象。这主要是通过美联储大幅降息、增加货币投放实现的，同时也是在金融自由化加剧了银行间竞争的条件下进行的。激烈的竞争促使银行开展高回报、高风险的业务，这在住房次级抵押贷款市场尤为明显。在监管缺失的情况下，美国贷款发放机构为追求短期效益、抢占市场份额，降低了住房抵押贷款标准，并进行了一系列的“创新”：购房无需提供首付，可从银行获得全部资金；贷款的前几年可以只偿还利息，不用偿还本金；采用浮动利率；等等。这样一来，次级按揭规模迅速膨胀，掠夺性贷款不可避免地发生，众多低收入家庭陷入了债务链条。</w:t>
      </w:r>
    </w:p>
    <w:p w14:paraId="1CEF644F">
      <w:pPr>
        <w:spacing w:line="400" w:lineRule="exact"/>
        <w:ind w:firstLine="440" w:firstLineChars="200"/>
        <w:rPr>
          <w:rFonts w:ascii="宋体" w:hAnsi="宋体" w:eastAsia="宋体" w:cs="宋体"/>
          <w:b/>
          <w:bCs/>
          <w:szCs w:val="21"/>
        </w:rPr>
      </w:pPr>
      <w:r>
        <w:rPr>
          <w:rFonts w:hint="eastAsia" w:ascii="宋体" w:hAnsi="宋体" w:eastAsia="宋体" w:cs="宋体"/>
          <w:b/>
          <w:bCs/>
          <w:szCs w:val="21"/>
        </w:rPr>
        <w:t>（二）金融自由化助长了金融资产泡沫尤其是“次贷”衍生产品泡沫。</w:t>
      </w:r>
    </w:p>
    <w:p w14:paraId="00F11615">
      <w:pPr>
        <w:spacing w:line="400" w:lineRule="exact"/>
        <w:ind w:firstLine="440" w:firstLineChars="200"/>
        <w:rPr>
          <w:rFonts w:ascii="宋体" w:hAnsi="宋体" w:eastAsia="宋体" w:cs="宋体"/>
          <w:szCs w:val="21"/>
        </w:rPr>
      </w:pPr>
      <w:r>
        <w:rPr>
          <w:rFonts w:hint="eastAsia" w:ascii="宋体" w:hAnsi="宋体" w:eastAsia="宋体" w:cs="宋体"/>
          <w:szCs w:val="21"/>
        </w:rPr>
        <w:t>依靠增加的消费支出拉动经济增长还仅仅是一个开始，只有当居民举债消费的是大宗耐用消费品，进而金融机构将这一消费信贷进行证券化，并且进一步衍生出利润更为丰厚的金融创新产品时，才能使同一笔债务幻化出多重存在，最大限度地为大资本家们创造盈利，而能够完成这一使命非房地产及其金融化莫属。现代经济运行中的房地产部门吸附了巨额的储蓄和贷款，可以视为泛金融部门，而美国更是把房地产的金融化推向极致。通过所谓金融创新，美国以有限的有形住宅产品，衍生出可以反复出售并且具有高杠杆率的虚拟金融产品行销全球，为华尔街的金融大亨们带来巨额财富。</w:t>
      </w:r>
    </w:p>
    <w:p w14:paraId="182F61C9">
      <w:pPr>
        <w:spacing w:line="400" w:lineRule="exact"/>
        <w:ind w:firstLine="440" w:firstLineChars="200"/>
        <w:rPr>
          <w:rFonts w:ascii="宋体" w:hAnsi="宋体" w:eastAsia="宋体" w:cs="宋体"/>
          <w:szCs w:val="21"/>
        </w:rPr>
      </w:pPr>
      <w:r>
        <w:rPr>
          <w:rFonts w:hint="eastAsia" w:ascii="宋体" w:hAnsi="宋体" w:eastAsia="宋体" w:cs="宋体"/>
          <w:szCs w:val="21"/>
        </w:rPr>
        <w:t>根据国际清算银行保守估计，2006年底，美国境内的股票、债券、外汇、大宗商品期货和金融衍生品市值约为400万亿美元，为当年美国GDP的36倍左右。面对虚拟经济的过度膨胀，号称金融市场最为成熟、监管最为完善的美国却没能提出预警和加强监管，这是值得思考的。一方面，美国政府和美联储所代表并维护的正是金融垄断资本的利益，它不可能进行严格监管。另一方面，金融自由化促进了经济的深度金融化和金融的经营混合化，从而使得金融业与非金融业、金融部门内部各种业务的界限趋于模糊，在客观上也增加了金融监管的难度。</w:t>
      </w:r>
    </w:p>
    <w:p w14:paraId="207412EA">
      <w:pPr>
        <w:spacing w:line="400" w:lineRule="exact"/>
        <w:ind w:firstLine="440" w:firstLineChars="200"/>
        <w:rPr>
          <w:rFonts w:ascii="宋体" w:hAnsi="宋体" w:eastAsia="宋体" w:cs="宋体"/>
          <w:szCs w:val="21"/>
        </w:rPr>
      </w:pPr>
      <w:r>
        <w:rPr>
          <w:rFonts w:hint="eastAsia" w:ascii="宋体" w:hAnsi="宋体" w:eastAsia="宋体" w:cs="宋体"/>
          <w:szCs w:val="21"/>
        </w:rPr>
        <w:t>泡沫是注定无法长久持续的，2004年以来美国利率提高并触发房价下跌，成为引发“次贷”危机的导火索。</w:t>
      </w:r>
    </w:p>
    <w:p w14:paraId="396941EE">
      <w:pPr>
        <w:spacing w:line="360" w:lineRule="auto"/>
        <w:jc w:val="center"/>
        <w:rPr>
          <w:rFonts w:ascii="黑体" w:hAnsi="黑体" w:eastAsia="黑体" w:cs="Times New Roman"/>
          <w:sz w:val="24"/>
          <w:szCs w:val="24"/>
        </w:rPr>
      </w:pPr>
      <w:r>
        <w:rPr>
          <w:rFonts w:hint="eastAsia" w:ascii="黑体" w:hAnsi="黑体" w:eastAsia="黑体" w:cs="Times New Roman"/>
          <w:sz w:val="24"/>
          <w:szCs w:val="24"/>
        </w:rPr>
        <w:t>四、金融自由化埋下了美国金融危机恶性扩散的隐患</w:t>
      </w:r>
    </w:p>
    <w:p w14:paraId="7EDB78A4">
      <w:pPr>
        <w:spacing w:line="400" w:lineRule="exact"/>
        <w:ind w:firstLine="440" w:firstLineChars="200"/>
        <w:rPr>
          <w:rFonts w:ascii="宋体" w:hAnsi="宋体" w:eastAsia="宋体" w:cs="宋体"/>
          <w:szCs w:val="21"/>
        </w:rPr>
      </w:pPr>
      <w:r>
        <w:rPr>
          <w:rFonts w:hint="eastAsia" w:ascii="宋体" w:hAnsi="宋体" w:eastAsia="宋体" w:cs="宋体"/>
          <w:szCs w:val="21"/>
        </w:rPr>
        <w:t>金融自由化不仅助长了“次贷”泡沫，而且埋下了危机在各国间加速传播的隐患。美国利用已经确立的金融优势，大力推动各国的金融自由化，使许多国家日益与国际金融市场相依存，从而便于对别国的金融运行乃至实体经济运行施加影响，进而获得现实利益或是转嫁危机损失。</w:t>
      </w:r>
    </w:p>
    <w:p w14:paraId="2A1B98AE">
      <w:pPr>
        <w:spacing w:line="400" w:lineRule="exact"/>
        <w:ind w:firstLine="440" w:firstLineChars="200"/>
        <w:rPr>
          <w:rFonts w:ascii="宋体" w:hAnsi="宋体" w:eastAsia="宋体" w:cs="宋体"/>
          <w:szCs w:val="21"/>
        </w:rPr>
      </w:pPr>
      <w:r>
        <w:rPr>
          <w:rFonts w:hint="eastAsia" w:ascii="宋体" w:hAnsi="宋体" w:eastAsia="宋体" w:cs="宋体"/>
          <w:szCs w:val="21"/>
        </w:rPr>
        <w:t>随着美国“次贷”危机发展成全球金融危机，美国作为世界最大的债务国，已将它的各类债权人深深拖入泥潭而无法自拔，轻者一举一动受到牵制、唯恐美元资产缩水，重者金融稳定遭到侵蚀、甚至经济安全遭受破坏。例如，金融风暴中第一个被刮倒的主权国家冰岛，这个以高收入、高福利著称的北欧岛国，由于银行为了投资美国次级按揭资产等长期资产，曾在国际资金市场大量借入低利短债，过分借贷导致总外债规模竟达国内生产总值的12倍，以致危机爆发后出现了国家濒于破产的危险境地。相反，奥地利因选择继续发展旅游业等实体经济，则受影响较小。</w:t>
      </w:r>
    </w:p>
    <w:p w14:paraId="48A7FDA7">
      <w:pPr>
        <w:spacing w:line="400" w:lineRule="exact"/>
        <w:ind w:firstLine="440" w:firstLineChars="200"/>
        <w:rPr>
          <w:rFonts w:ascii="宋体" w:hAnsi="宋体" w:eastAsia="宋体" w:cs="宋体"/>
          <w:szCs w:val="21"/>
        </w:rPr>
      </w:pPr>
      <w:r>
        <w:rPr>
          <w:rFonts w:hint="eastAsia" w:ascii="宋体" w:hAnsi="宋体" w:eastAsia="宋体" w:cs="宋体"/>
          <w:szCs w:val="21"/>
        </w:rPr>
        <w:t>新兴市场国家自身的金融运行和经济状况原本尚属良好，但由于出口依存度或外资依存度较高，正日益感受到巨大的压力。在国际信贷市场冻结的情况下，一些依赖外部融资的国家，例如经常账户赤字、外汇储备又不足的波罗的海三国，负有大量外债特别是近期需要偿还大量短期外债的韩国，都面临着资金来源难以接续的困境。而美国有可能趁其他国家因为缺乏流动性、难以偿还美元债务之机，通过抄底其他国家资产，或通过国际货币基金组织借债给陷入困境的国家，加强对其他国家的金融控制。</w:t>
      </w:r>
    </w:p>
    <w:p w14:paraId="4D6EF08D">
      <w:pPr>
        <w:spacing w:line="400" w:lineRule="exact"/>
        <w:ind w:firstLine="200"/>
        <w:rPr>
          <w:rFonts w:ascii="宋体" w:hAnsi="宋体" w:eastAsia="宋体" w:cs="宋体"/>
          <w:szCs w:val="21"/>
        </w:rPr>
      </w:pPr>
    </w:p>
    <w:p w14:paraId="78406E91">
      <w:pPr>
        <w:spacing w:line="400" w:lineRule="exact"/>
        <w:ind w:firstLine="200"/>
        <w:rPr>
          <w:rFonts w:ascii="宋体" w:hAnsi="宋体" w:eastAsia="宋体" w:cs="宋体"/>
          <w:szCs w:val="21"/>
        </w:rPr>
      </w:pPr>
      <w:r>
        <w:rPr>
          <w:rFonts w:hint="eastAsia" w:ascii="宋体" w:hAnsi="宋体" w:eastAsia="宋体" w:cs="宋体"/>
          <w:szCs w:val="21"/>
        </w:rPr>
        <w:t>（原载于《红旗文稿》2009年第1期，第二作者为王佳菲）</w:t>
      </w:r>
    </w:p>
    <w:p w14:paraId="5488C875">
      <w:pPr>
        <w:widowControl/>
        <w:spacing w:line="400" w:lineRule="exact"/>
        <w:ind w:firstLine="200"/>
        <w:rPr>
          <w:rFonts w:ascii="宋体" w:hAnsi="宋体" w:eastAsia="宋体" w:cs="宋体"/>
          <w:szCs w:val="21"/>
        </w:rPr>
        <w:sectPr>
          <w:footnotePr>
            <w:numFmt w:val="decimalEnclosedCircleChinese"/>
            <w:numRestart w:val="eachPage"/>
          </w:footnotePr>
          <w:pgSz w:w="11906" w:h="16838"/>
          <w:pgMar w:top="1440" w:right="1800" w:bottom="1440" w:left="1800" w:header="851" w:footer="992" w:gutter="0"/>
          <w:pgNumType w:fmt="decimal"/>
          <w:cols w:space="720" w:num="1"/>
          <w:docGrid w:type="linesAndChars" w:linePitch="294" w:charSpace="2252"/>
        </w:sectPr>
      </w:pPr>
    </w:p>
    <w:p w14:paraId="43FD0A34">
      <w:pPr>
        <w:keepNext/>
        <w:keepLines/>
        <w:widowControl/>
        <w:spacing w:line="480" w:lineRule="auto"/>
        <w:ind w:firstLine="198"/>
        <w:jc w:val="center"/>
        <w:outlineLvl w:val="1"/>
        <w:rPr>
          <w:rFonts w:ascii="黑体" w:hAnsi="黑体" w:eastAsia="黑体" w:cs="Times New Roman"/>
          <w:kern w:val="0"/>
          <w:sz w:val="32"/>
          <w:szCs w:val="32"/>
        </w:rPr>
      </w:pPr>
      <w:bookmarkStart w:id="1029" w:name="_Toc29374"/>
      <w:bookmarkStart w:id="1030" w:name="_Toc143304718"/>
      <w:bookmarkStart w:id="1031" w:name="_Toc1928391157"/>
      <w:r>
        <w:rPr>
          <w:rFonts w:hint="eastAsia" w:ascii="黑体" w:hAnsi="黑体" w:eastAsia="黑体" w:cs="Times New Roman"/>
          <w:kern w:val="0"/>
          <w:sz w:val="32"/>
          <w:szCs w:val="32"/>
        </w:rPr>
        <w:t>2关于我国企业职工权益保护状况的调研报告</w:t>
      </w:r>
      <w:bookmarkEnd w:id="1029"/>
      <w:bookmarkEnd w:id="1030"/>
      <w:bookmarkEnd w:id="1031"/>
    </w:p>
    <w:p w14:paraId="6F1FC62E">
      <w:pPr>
        <w:spacing w:line="360" w:lineRule="auto"/>
        <w:jc w:val="center"/>
        <w:rPr>
          <w:rFonts w:ascii="黑体" w:hAnsi="黑体" w:eastAsia="黑体" w:cs="Times New Roman"/>
          <w:sz w:val="24"/>
          <w:szCs w:val="24"/>
        </w:rPr>
      </w:pPr>
      <w:r>
        <w:rPr>
          <w:rFonts w:hint="eastAsia" w:ascii="黑体" w:hAnsi="黑体" w:eastAsia="黑体" w:cs="Times New Roman"/>
          <w:sz w:val="24"/>
          <w:szCs w:val="24"/>
        </w:rPr>
        <w:t>一、引言</w:t>
      </w:r>
    </w:p>
    <w:p w14:paraId="6F118CB5">
      <w:pPr>
        <w:spacing w:line="360" w:lineRule="auto"/>
        <w:ind w:firstLine="440" w:firstLineChars="200"/>
        <w:rPr>
          <w:rFonts w:ascii="宋体" w:hAnsi="宋体" w:eastAsia="宋体" w:cs="宋体"/>
          <w:szCs w:val="21"/>
        </w:rPr>
      </w:pPr>
      <w:r>
        <w:rPr>
          <w:rFonts w:hint="eastAsia" w:ascii="宋体" w:hAnsi="宋体" w:eastAsia="宋体" w:cs="宋体"/>
          <w:szCs w:val="21"/>
        </w:rPr>
        <w:t>恩格斯曾经指出,资本和劳动的关系是现代全部社会体系所依以旋转的轴心。自从资本主义产生以来,资本和劳动之间的矛盾一直是社会最基本的矛盾,劳动关系一直是社会经济生活最基本的社会关系。在当代中国,劳动关系同样是整个社会最基本的经济关系。构建和谐劳动关系,对于构建和谐社会,推动经济社会健康协调可持续发展,具有十分重要的意义。自20世纪80年代以来,随着市场化和全球化的不断推进,在新型劳动关系体制建设取得长足进展的同时,我国劳动者权益保护状况却趋向恶化,劳动关系日趋紧张。官方统计表明,全国各级劳动争议仲裁委员会受理的劳动争议案件从1994年的1.9余件上升到2006年的44.7万件,增加了20余倍,立案受理劳动争议案件涉及的劳动者人数也从7万余人上升到近68万人。劳资纠纷不断、劳动关系恶化已经成为影响我国经济社会稳定发展的重要隐患。因此,如何切实保护劳动者权益、构建和谐劳动关系已成为一个摆在我们面前的具有重大理论和现实意义的研究课题。</w:t>
      </w:r>
    </w:p>
    <w:p w14:paraId="0C6548E7">
      <w:pPr>
        <w:spacing w:line="360" w:lineRule="auto"/>
        <w:ind w:firstLine="440" w:firstLineChars="200"/>
        <w:rPr>
          <w:rFonts w:ascii="宋体" w:hAnsi="宋体" w:eastAsia="宋体" w:cs="宋体"/>
          <w:szCs w:val="21"/>
        </w:rPr>
      </w:pPr>
      <w:r>
        <w:rPr>
          <w:rFonts w:hint="eastAsia" w:ascii="宋体" w:hAnsi="宋体" w:eastAsia="宋体" w:cs="宋体"/>
          <w:szCs w:val="21"/>
        </w:rPr>
        <w:t>本项调研旨在深入了解各类企业职工权益保护状况、探析企业职工权益受损原因、寻求企业职工权益保护渠道、提出企业职工权益保护的机制和策略、推进和谐劳动关系构建。本项调研共向北京、上海、山东、山西、福建、贵州、河北、河南等地的企业职工发放调查问卷3000份,回收有效问卷2712份。其中,国有企业、集体企业、民营企业和外资企业职工所占比例分别为47.5%、10.2%、33.2%和9.1%：16岁以下、16～18岁(不包括18岁)、18～30岁、31～60岁和60岁以职工上分别占0.4%、6.9%、40.1%、51.1%和1.4%：男、女职工比例分别为55.9%和44.1%：初中及初中以下、高中或中专、大学和研究生学历职工的比例分别为18.1%、44.6%、35.4%和1.9%：在本企业工作年限为3年以下、3～6年、7～12年和12年以上职工比例分别为27.5%、23.5%、17.0%和32.0%：一般员工、基层管理者、中层管理者和高层管理者分别占70.3%、20.2%、8.4%和1.0%。同时,本调研针对职工权益保护的重点问题在上述地区进行实地访谈调研,采访了15个企业的150余人,召开群体座谈会12次,实地访谈对象包括企业管理层、工会干部和普通职工以及相关政府部门工作人员。</w:t>
      </w:r>
    </w:p>
    <w:p w14:paraId="4575F787">
      <w:pPr>
        <w:spacing w:line="360" w:lineRule="auto"/>
        <w:jc w:val="center"/>
        <w:rPr>
          <w:rFonts w:ascii="黑体" w:hAnsi="黑体" w:eastAsia="黑体" w:cs="Times New Roman"/>
          <w:sz w:val="24"/>
          <w:szCs w:val="24"/>
        </w:rPr>
      </w:pPr>
      <w:r>
        <w:rPr>
          <w:rFonts w:hint="eastAsia" w:ascii="黑体" w:hAnsi="黑体" w:eastAsia="黑体" w:cs="Times New Roman"/>
          <w:sz w:val="24"/>
          <w:szCs w:val="24"/>
        </w:rPr>
        <w:t>二、我国企业职工权益保护的现状分析</w:t>
      </w:r>
    </w:p>
    <w:p w14:paraId="3B4C66E7">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目前,我国企业职工权益状况在许多方面尚未达到我国《劳动法》等法律法规的要求,仍然处于较低水平：与我国经济社会发展的阶段性和经济发展的不平衡性相对应,我国企业职工权益保护也表现出层次性、差异性和复杂性：随着我国社会主义市场经济体制改革的不断深入,我国企业职工权益保护在政府积极推动、工会努力维权和职工主动参与下也在逐步得到加强和改善。</w:t>
      </w:r>
    </w:p>
    <w:p w14:paraId="46BCE8CD">
      <w:pPr>
        <w:adjustRightInd w:val="0"/>
        <w:spacing w:line="400" w:lineRule="exact"/>
        <w:ind w:firstLine="440" w:firstLineChars="200"/>
        <w:rPr>
          <w:rFonts w:ascii="宋体" w:hAnsi="宋体" w:eastAsia="宋体" w:cs="宋体"/>
          <w:szCs w:val="21"/>
        </w:rPr>
      </w:pPr>
      <w:r>
        <w:rPr>
          <w:rFonts w:hint="eastAsia" w:ascii="宋体" w:hAnsi="宋体" w:eastAsia="宋体" w:cs="宋体"/>
          <w:b/>
          <w:bCs/>
          <w:szCs w:val="21"/>
        </w:rPr>
        <w:t>企业职工享有的权益处于较低水平</w:t>
      </w:r>
    </w:p>
    <w:p w14:paraId="6993ADDA">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1.企业职工工资水平较低。我国企业职工收入虽然逐年上升,但始终慢于GDP的增长,目前仍然处于较低水平。国际劳工组织公布的数据显示,2000～2005年,中国的人均产值增长了64%,但工资总额占GDP的比重却从12%降至11%,延续了1980年代以来不断下降的趋势。这不仅大大低于发达国家的水平,甚至低于许多发展中国家的水平。根据本次调研的问卷统计,83.2%的企业职工月工资额在个税起征点1600元以下。</w:t>
      </w:r>
    </w:p>
    <w:p w14:paraId="0EB3E6E5">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2.企业劳动用工不规范。本次调查显示,有23.8%的职工没有与企业签订劳动合同,只有31.6%的书面劳动合同签订时征求了职工的意见,许多企业未能按照《劳动法》和劳动部门提供的样本去制订合同,合同条款不全面,而且许多劳动合同条款权利、义务不对等,片面强调用人单位的权利和职工的义务,对职工的权益规定的少而空或者没有明确规定,个别企业劳动合同甚至含有违法内容。更为严重的是,许多企业并没有认真履行劳动合同,任意解除劳动合同,随意开除和辞退员工的现象大量存在。</w:t>
      </w:r>
    </w:p>
    <w:p w14:paraId="12B7862E">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3.企业职工的休息休假权没有切实执行。调查显示,职工每周正常休息2天的仅占50.7%,企业职工加班大多是企业的硬性要求或者企业布置的工作过多,在8小时内难以</w:t>
      </w:r>
    </w:p>
    <w:p w14:paraId="76297636">
      <w:pPr>
        <w:adjustRightInd w:val="0"/>
        <w:spacing w:line="400" w:lineRule="exact"/>
        <w:ind w:firstLine="200"/>
        <w:rPr>
          <w:rFonts w:ascii="宋体" w:hAnsi="宋体" w:eastAsia="宋体" w:cs="宋体"/>
          <w:szCs w:val="21"/>
        </w:rPr>
      </w:pPr>
      <w:r>
        <w:rPr>
          <w:rFonts w:ascii="宋体" w:hAnsi="宋体" w:eastAsia="宋体" w:cs="宋体"/>
          <w:szCs w:val="21"/>
        </w:rPr>
        <w:drawing>
          <wp:anchor distT="0" distB="0" distL="114300" distR="114300" simplePos="0" relativeHeight="251697152" behindDoc="0" locked="0" layoutInCell="1" allowOverlap="1">
            <wp:simplePos x="0" y="0"/>
            <wp:positionH relativeFrom="column">
              <wp:posOffset>304165</wp:posOffset>
            </wp:positionH>
            <wp:positionV relativeFrom="paragraph">
              <wp:posOffset>304800</wp:posOffset>
            </wp:positionV>
            <wp:extent cx="4386580" cy="595630"/>
            <wp:effectExtent l="0" t="0" r="7620" b="13970"/>
            <wp:wrapTopAndBottom/>
            <wp:docPr id="107" name="图片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图片 107"/>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4386580" cy="595630"/>
                    </a:xfrm>
                    <a:prstGeom prst="rect">
                      <a:avLst/>
                    </a:prstGeom>
                    <a:noFill/>
                    <a:ln>
                      <a:noFill/>
                    </a:ln>
                  </pic:spPr>
                </pic:pic>
              </a:graphicData>
            </a:graphic>
          </wp:anchor>
        </w:drawing>
      </w:r>
      <w:r>
        <w:rPr>
          <w:rFonts w:hint="eastAsia" w:ascii="宋体" w:hAnsi="宋体" w:eastAsia="宋体" w:cs="宋体"/>
          <w:szCs w:val="21"/>
        </w:rPr>
        <w:t>完成(见表1),职工被迫加班的占87.4%。</w:t>
      </w:r>
    </w:p>
    <w:p w14:paraId="639A7CED">
      <w:pPr>
        <w:adjustRightInd w:val="0"/>
        <w:spacing w:line="400" w:lineRule="exact"/>
        <w:ind w:firstLine="200"/>
        <w:jc w:val="center"/>
        <w:rPr>
          <w:rFonts w:ascii="宋体" w:hAnsi="宋体" w:eastAsia="宋体" w:cs="宋体"/>
          <w:b/>
          <w:sz w:val="18"/>
          <w:szCs w:val="18"/>
        </w:rPr>
      </w:pPr>
      <w:r>
        <w:rPr>
          <w:rFonts w:hint="eastAsia" w:ascii="宋体" w:hAnsi="宋体" w:eastAsia="宋体" w:cs="宋体"/>
          <w:b/>
          <w:sz w:val="18"/>
          <w:szCs w:val="18"/>
        </w:rPr>
        <w:t>表1 职工加班的原因</w:t>
      </w:r>
    </w:p>
    <w:p w14:paraId="633EC16D">
      <w:pPr>
        <w:adjustRightInd w:val="0"/>
        <w:spacing w:line="400" w:lineRule="exact"/>
        <w:ind w:firstLine="440" w:firstLineChars="200"/>
        <w:rPr>
          <w:rFonts w:ascii="宋体" w:hAnsi="宋体" w:eastAsia="宋体" w:cs="宋体"/>
          <w:b/>
          <w:sz w:val="18"/>
          <w:szCs w:val="18"/>
        </w:rPr>
      </w:pPr>
      <w:r>
        <w:rPr>
          <w:rFonts w:ascii="宋体" w:hAnsi="宋体" w:eastAsia="宋体" w:cs="宋体"/>
          <w:szCs w:val="21"/>
        </w:rPr>
        <w:drawing>
          <wp:anchor distT="0" distB="0" distL="114300" distR="114300" simplePos="0" relativeHeight="251698176" behindDoc="0" locked="0" layoutInCell="1" allowOverlap="1">
            <wp:simplePos x="0" y="0"/>
            <wp:positionH relativeFrom="column">
              <wp:posOffset>280670</wp:posOffset>
            </wp:positionH>
            <wp:positionV relativeFrom="paragraph">
              <wp:posOffset>1391285</wp:posOffset>
            </wp:positionV>
            <wp:extent cx="4310380" cy="962025"/>
            <wp:effectExtent l="0" t="0" r="7620" b="3175"/>
            <wp:wrapTopAndBottom/>
            <wp:docPr id="108" name="图片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图片 108"/>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4310380" cy="962025"/>
                    </a:xfrm>
                    <a:prstGeom prst="rect">
                      <a:avLst/>
                    </a:prstGeom>
                    <a:noFill/>
                    <a:ln>
                      <a:noFill/>
                    </a:ln>
                  </pic:spPr>
                </pic:pic>
              </a:graphicData>
            </a:graphic>
          </wp:anchor>
        </w:drawing>
      </w:r>
      <w:r>
        <w:rPr>
          <w:rFonts w:hint="eastAsia" w:ascii="宋体" w:hAnsi="宋体" w:eastAsia="宋体" w:cs="宋体"/>
          <w:szCs w:val="21"/>
        </w:rPr>
        <w:t>4.企业职工加班未得到法定补偿。根据《劳动法》的规定,职工在工作日、休息日、节假日加班,企业应分别支付不低于1.5倍、2倍和3倍的正常日工资。实地调研发现,许多企业管理者和职工都不清楚此项具体规定,只知道职工加班应当被支付加班工资。调查显示,职工在这三种时间加班得到法定补偿的比例仅仅分别为19.7%。19.0%和30.3%(参见表2)。</w:t>
      </w:r>
    </w:p>
    <w:p w14:paraId="71F722B1">
      <w:pPr>
        <w:adjustRightInd w:val="0"/>
        <w:spacing w:line="400" w:lineRule="exact"/>
        <w:ind w:firstLine="440" w:firstLineChars="200"/>
        <w:rPr>
          <w:rFonts w:ascii="宋体" w:hAnsi="宋体" w:eastAsia="宋体" w:cs="宋体"/>
          <w:b/>
          <w:sz w:val="18"/>
          <w:szCs w:val="18"/>
        </w:rPr>
      </w:pPr>
      <w:r>
        <w:rPr>
          <w:rFonts w:hint="eastAsia" w:ascii="宋体" w:hAnsi="宋体" w:eastAsia="宋体" w:cs="宋体"/>
          <w:szCs w:val="21"/>
        </w:rPr>
        <w:t>5.企业职工社会保险参保率较低。根据2006年中国统计年鉴,数据2005年我国城镇就业人员为27331万人,参加养老保险的人数为13120.4万人,仅占48.0%：参加基本医疗保险人数为10021.7万人,仅占36.7%：参加失业保险人数为10647.7万人,仅占39.0%：参加工伤保险的人数为8478.0万人,仅占31.0%：参加生育保险的人数为5408.0万人,占19.8%。近两年我国社会保险的覆盖面有所扩大,但是职工的社会保险参保率仍然较低。</w:t>
      </w:r>
    </w:p>
    <w:p w14:paraId="23BC7A3B">
      <w:pPr>
        <w:adjustRightInd w:val="0"/>
        <w:spacing w:line="400" w:lineRule="exact"/>
        <w:ind w:firstLine="440" w:firstLineChars="200"/>
        <w:rPr>
          <w:rFonts w:ascii="宋体" w:hAnsi="宋体" w:eastAsia="宋体" w:cs="宋体"/>
          <w:b/>
          <w:sz w:val="18"/>
          <w:szCs w:val="18"/>
        </w:rPr>
      </w:pPr>
      <w:r>
        <w:rPr>
          <w:rFonts w:hint="eastAsia" w:ascii="宋体" w:hAnsi="宋体" w:eastAsia="宋体" w:cs="宋体"/>
          <w:szCs w:val="21"/>
        </w:rPr>
        <w:t>6.企业劳动安全设施缺位。企业的安全生产和卫生条件存在不符合国家标准情况,职工因工伤亡和患职业病情况频繁发生,“过劳死”现象开始出现。企业为降低生产成本,减少对生产安全和卫生设施的投资,劳保用品的发放不足,导致职工伤亡和职业病频繁出现,超时用工现象普遍存在。根据此次调研的问卷调查统计,57.0%的职工遇到过因工伤亡或患职业病的情况。</w:t>
      </w:r>
    </w:p>
    <w:p w14:paraId="0A8425B5">
      <w:pPr>
        <w:adjustRightInd w:val="0"/>
        <w:spacing w:line="400" w:lineRule="exact"/>
        <w:ind w:firstLine="440" w:firstLineChars="200"/>
        <w:rPr>
          <w:rFonts w:ascii="宋体" w:hAnsi="宋体" w:eastAsia="宋体" w:cs="宋体"/>
          <w:b/>
          <w:sz w:val="18"/>
          <w:szCs w:val="18"/>
        </w:rPr>
      </w:pPr>
      <w:r>
        <w:rPr>
          <w:rFonts w:ascii="宋体" w:hAnsi="宋体" w:eastAsia="宋体" w:cs="宋体"/>
          <w:szCs w:val="21"/>
        </w:rPr>
        <w:drawing>
          <wp:anchor distT="0" distB="0" distL="114300" distR="114300" simplePos="0" relativeHeight="251699200" behindDoc="0" locked="0" layoutInCell="1" allowOverlap="1">
            <wp:simplePos x="0" y="0"/>
            <wp:positionH relativeFrom="column">
              <wp:posOffset>461645</wp:posOffset>
            </wp:positionH>
            <wp:positionV relativeFrom="paragraph">
              <wp:posOffset>1599565</wp:posOffset>
            </wp:positionV>
            <wp:extent cx="4657725" cy="1143000"/>
            <wp:effectExtent l="0" t="0" r="15875" b="0"/>
            <wp:wrapTopAndBottom/>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4657725" cy="1143000"/>
                    </a:xfrm>
                    <a:prstGeom prst="rect">
                      <a:avLst/>
                    </a:prstGeom>
                    <a:noFill/>
                    <a:ln>
                      <a:noFill/>
                    </a:ln>
                  </pic:spPr>
                </pic:pic>
              </a:graphicData>
            </a:graphic>
          </wp:anchor>
        </w:drawing>
      </w:r>
      <w:r>
        <w:rPr>
          <w:rFonts w:hint="eastAsia" w:ascii="宋体" w:hAnsi="宋体" w:eastAsia="宋体" w:cs="宋体"/>
          <w:szCs w:val="21"/>
        </w:rPr>
        <w:t>7.企业职工地位和归属感下降。调查显示,认同“老板或领导是企业的主人,职工只是雇佣劳动者”的人数占被调查者的50.8%,显著多于认同“职工是企业的主人翁”的人数(参见表3)：64.3%的职工从未参与过企业生产技术的改进、经营方针的制定、企业管理人员的任命、工资薪酬的调整、劳动保护方案的拟定和财务状况的监督等企业经营管理活动：71.1%的职工认为向企业提出建议没有作用或作用不大。企业职工的主人翁意识下降,职工的知情权、参与权和发展权没有保障。</w:t>
      </w:r>
    </w:p>
    <w:p w14:paraId="00DE7422">
      <w:pPr>
        <w:adjustRightInd w:val="0"/>
        <w:spacing w:line="400" w:lineRule="exact"/>
        <w:ind w:firstLine="440" w:firstLineChars="200"/>
        <w:rPr>
          <w:rFonts w:ascii="宋体" w:hAnsi="宋体" w:eastAsia="宋体" w:cs="宋体"/>
          <w:szCs w:val="21"/>
        </w:rPr>
      </w:pPr>
      <w:r>
        <w:rPr>
          <w:rFonts w:ascii="宋体" w:hAnsi="宋体" w:eastAsia="宋体" w:cs="宋体"/>
          <w:szCs w:val="21"/>
        </w:rPr>
        <w:drawing>
          <wp:anchor distT="0" distB="0" distL="114300" distR="114300" simplePos="0" relativeHeight="251700224" behindDoc="0" locked="0" layoutInCell="1" allowOverlap="1">
            <wp:simplePos x="0" y="0"/>
            <wp:positionH relativeFrom="column">
              <wp:posOffset>671195</wp:posOffset>
            </wp:positionH>
            <wp:positionV relativeFrom="paragraph">
              <wp:posOffset>2614295</wp:posOffset>
            </wp:positionV>
            <wp:extent cx="4162425" cy="1743075"/>
            <wp:effectExtent l="0" t="0" r="3175" b="9525"/>
            <wp:wrapTopAndBottom/>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4162425" cy="1743075"/>
                    </a:xfrm>
                    <a:prstGeom prst="rect">
                      <a:avLst/>
                    </a:prstGeom>
                    <a:noFill/>
                    <a:ln>
                      <a:noFill/>
                    </a:ln>
                  </pic:spPr>
                </pic:pic>
              </a:graphicData>
            </a:graphic>
          </wp:anchor>
        </w:drawing>
      </w:r>
      <w:r>
        <w:rPr>
          <w:rFonts w:hint="eastAsia" w:ascii="宋体" w:hAnsi="宋体" w:eastAsia="宋体" w:cs="宋体"/>
          <w:szCs w:val="21"/>
        </w:rPr>
        <w:t>8.劳动争议协调机制有待健全。劳动争议逐年增多,但大多数企业的内部劳动争议协调机制尚未建立或不完善。调查显示,遇到过劳动争议的职工比例为61.9%：劳动报酬问题是产生劳动争议的首要原因,其次是工伤或职业病问题(参见表4)：仅有16.6%的企业建立了劳动争议协调委员会,且发生劳动争议时,职工更愿意找上一级领导进行解决。</w:t>
      </w:r>
    </w:p>
    <w:p w14:paraId="29A3E570">
      <w:pPr>
        <w:spacing w:line="400" w:lineRule="exact"/>
        <w:ind w:firstLine="200"/>
        <w:jc w:val="center"/>
        <w:rPr>
          <w:rFonts w:ascii="宋体" w:hAnsi="宋体" w:eastAsia="宋体" w:cs="宋体"/>
          <w:b/>
          <w:sz w:val="18"/>
          <w:szCs w:val="18"/>
        </w:rPr>
      </w:pPr>
      <w:r>
        <w:rPr>
          <w:rFonts w:hint="eastAsia" w:ascii="宋体" w:hAnsi="宋体" w:eastAsia="宋体" w:cs="宋体"/>
          <w:b/>
          <w:sz w:val="18"/>
          <w:szCs w:val="18"/>
        </w:rPr>
        <w:t>表4 企业发生劳动争议的原因</w:t>
      </w:r>
    </w:p>
    <w:p w14:paraId="6ADD6063">
      <w:pPr>
        <w:adjustRightInd w:val="0"/>
        <w:spacing w:line="400" w:lineRule="exact"/>
        <w:ind w:firstLine="440" w:firstLineChars="200"/>
        <w:rPr>
          <w:rFonts w:ascii="宋体" w:hAnsi="宋体" w:eastAsia="宋体" w:cs="宋体"/>
          <w:b/>
          <w:bCs/>
          <w:szCs w:val="21"/>
        </w:rPr>
      </w:pPr>
      <w:r>
        <w:rPr>
          <w:rFonts w:hint="eastAsia" w:ascii="宋体" w:hAnsi="宋体" w:eastAsia="宋体" w:cs="宋体"/>
          <w:b/>
          <w:bCs/>
          <w:szCs w:val="21"/>
        </w:rPr>
        <w:t>(二)企业职工的权益保护状况表现出层次性、差异性和复杂性</w:t>
      </w:r>
    </w:p>
    <w:p w14:paraId="65A35A41">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调查显示,不同所有制、不同规模、不同经济效益、不同经营状况、不同行业、不同区域的企业职工权益保护状况差别甚大,我国企业职工权益保护状况表现出明显的层次性、差异性和复杂性。</w:t>
      </w:r>
    </w:p>
    <w:p w14:paraId="760CA714">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从企业性质看,公有制企业的职工权益保护状况整体上好于非公企业。</w:t>
      </w:r>
    </w:p>
    <w:p w14:paraId="016B4ED5">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(1)国有企业与职工签订书面劳动合同的比例高,合同签订和履行较为规范。</w:t>
      </w:r>
    </w:p>
    <w:p w14:paraId="3D335CF3">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调查显示,国有企业、集体企业、民营企业和外资企业中,书面劳动合同的签订率分别为88.0%、68.8%、51.6%和89.5%,企业与职工签订书面劳动合同或达成口头就业协议没有出现收取招聘费用、保证金或抵押金和扣押身份证等证件等情形的比例分别为94.0%、74.3%、87.4%和89.1%,企业没有因职工在工作期间患职业病或者因工负伤并被确认丧失或者部分丧失劳动能力,在患病或者负伤但在规定的医疗期内,女职工在孕期、产期、哺乳期内,代表职工与企业协商、谈判等情况,而解除劳动合同或辞退职工的比例分别为92.7%、73.6%、82.6%和85.5%。</w:t>
      </w:r>
    </w:p>
    <w:p w14:paraId="6B4FAF97">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(2)国有企业职工薪酬权和休息休假权得到较好的保障。</w:t>
      </w:r>
    </w:p>
    <w:p w14:paraId="1807D133">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调查显示,国有企业、集体企业、民营企业和外资企业职工没有因为法定节假日、婚丧假、病假和依法参加社会活动等不工作而扣减薪酬的比例分别为61.4%、61.6%、56.1%和54.4%,在治疗工伤或职业病期间工资正常发放的比例分别为55.1%、34.1%、33.7%和39.5%。平均每日工作时间不超过8小时的比例分别为70.7%、71.7%、49.4%、75.0%,每周正常休息两天的比例分别为60.5%、31.5%、24.2%、72.6%。</w:t>
      </w:r>
    </w:p>
    <w:p w14:paraId="32FF1B8B">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(3)国有企业较为重视职工安全卫生和职业技能或管理的培训。</w:t>
      </w:r>
    </w:p>
    <w:p w14:paraId="40FC51EF">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调查显示,国有企业、集体企业、民营企业和外资企业职工接受过安全卫生知识的培训的比例分别为69.5%、52.9%、53.7%和58.1%,职工参加过本企业组织的职业技术、技能或管理方面的培训的比例分别为80.8%、56.9%、58.0%、66.9%。</w:t>
      </w:r>
    </w:p>
    <w:p w14:paraId="3CA27D9E">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(4)国有企业为职工办理社会保险或基金的比例较高。</w:t>
      </w:r>
    </w:p>
    <w:p w14:paraId="1695C661">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调查显示,国有企业、集体企业、民营企业和外资企业为职工办理养老保险的比例分别为88.3%、58.3%、48.7%和86.3%,办理医疗保险的比例分别为85.8%、45.3%、43.9%和88.3%,办理失业保险的比例分别为67.2%、42.8%、30.3%和64.1%,办理工伤保险的比例分别为50.1%、52.2%、55.2%和55.2%,办理生育保险的比例分别为31.8%、15.6%、17.2%和36.7%,办理住房公积金的比例分别为71.4%、14.5%、18.7%和75.8%。</w:t>
      </w:r>
    </w:p>
    <w:p w14:paraId="67615C21">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(5)男女就业平等和女职工权益在国有企业得到较好维护。</w:t>
      </w:r>
    </w:p>
    <w:p w14:paraId="01D13E81">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调查显示,国有企业、集体企业、民营企业和外资企业女职工没有因结婚、怀孕、产期和哺乳期而被辞退的比例分别为95.1%、85.5%、90.1%和92.3%,在产假期间工资正常发放的比例分别为59.9%、42.0%、19.7%和45.6%。</w:t>
      </w:r>
    </w:p>
    <w:p w14:paraId="620D1B93">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(6)国有企业是设立职工权益维护组织最广泛的企业类型。</w:t>
      </w:r>
    </w:p>
    <w:p w14:paraId="0C25D8E7">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调查显示,95%的国有企业设有工会组织,55%的职工加入了工会,76.2%的国有企业设有职工代表大会,国有企业工会、职工代表大会、劳动争议协调委员会、劳动安全委员会和劳动监察组织的设立率均大大高于民营企业(参见表5)。</w:t>
      </w:r>
    </w:p>
    <w:p w14:paraId="1AB98A4C">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(7)国有企业职工对本企业的认同感和归属感相对较强。</w:t>
      </w:r>
    </w:p>
    <w:p w14:paraId="21FD286A">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调查显示,国有企业、集体企业、民营企业和外资企业职工认同“老板或领导是企业的主人,职工只是雇佣劳动者”的比例分别为48.7%、34.1%、58.3%和54.0%,如果有再次择业机会还会选择在原类型企业工作的比例分别为55.4%、28.6%、11.8%和46.4%。</w:t>
      </w:r>
    </w:p>
    <w:p w14:paraId="48C0864A">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2.从企业规模看,规模较大企业的职工权益保护状况整体上好于规模较小企业。通过实地调研和访谈发现,规模较大企业,不管是国有企业、民营企业、还是外资企业,企业的工会、职代会、劳动安全委员会等职工权益维护组织相对较为健全,职工工资一般都以打入银行卡的方式定期发放,基本没有出现拖欠职工工资的现象。规模较大企业注重对职工的技能培训、鼓励员工签订长期劳动合同,一般都按照国家规定为职工交纳社会保险或基金。规模较大企业还注重培养企业文化、组织职工参与各种文体活动、关心职工的生活状况、劳保用品的发放和福利提供较好。</w:t>
      </w:r>
    </w:p>
    <w:p w14:paraId="7EEDA52C">
      <w:pPr>
        <w:adjustRightInd w:val="0"/>
        <w:spacing w:line="400" w:lineRule="exact"/>
        <w:ind w:firstLine="440" w:firstLineChars="200"/>
        <w:rPr>
          <w:rFonts w:ascii="宋体" w:hAnsi="宋体" w:eastAsia="宋体" w:cs="宋体"/>
          <w:b/>
          <w:bCs/>
          <w:szCs w:val="21"/>
        </w:rPr>
      </w:pPr>
      <w:r>
        <w:rPr>
          <w:rFonts w:ascii="宋体" w:hAnsi="宋体" w:eastAsia="宋体" w:cs="宋体"/>
          <w:szCs w:val="21"/>
        </w:rPr>
        <w:drawing>
          <wp:anchor distT="0" distB="0" distL="114300" distR="114300" simplePos="0" relativeHeight="251701248" behindDoc="0" locked="0" layoutInCell="1" allowOverlap="1">
            <wp:simplePos x="0" y="0"/>
            <wp:positionH relativeFrom="column">
              <wp:posOffset>347345</wp:posOffset>
            </wp:positionH>
            <wp:positionV relativeFrom="paragraph">
              <wp:posOffset>1274445</wp:posOffset>
            </wp:positionV>
            <wp:extent cx="4881880" cy="1195705"/>
            <wp:effectExtent l="0" t="0" r="20320" b="23495"/>
            <wp:wrapTopAndBottom/>
            <wp:docPr id="111" name="图片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11"/>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4881880" cy="1195705"/>
                    </a:xfrm>
                    <a:prstGeom prst="rect">
                      <a:avLst/>
                    </a:prstGeom>
                    <a:noFill/>
                    <a:ln>
                      <a:noFill/>
                    </a:ln>
                  </pic:spPr>
                </pic:pic>
              </a:graphicData>
            </a:graphic>
          </wp:anchor>
        </w:drawing>
      </w:r>
      <w:r>
        <w:rPr>
          <w:rFonts w:hint="eastAsia" w:ascii="宋体" w:hAnsi="宋体" w:eastAsia="宋体" w:cs="宋体"/>
          <w:szCs w:val="21"/>
        </w:rPr>
        <w:t>3.从企业经济效益看,经济效益较好企业的职工权益保护状况好于经济效益较差企业。通过实地调研和访谈发现,经济效益较好的企业一般都会按照劳动合同的规定定期发放职工工资和交纳社会保险金或基金,而经济效益转差的企业或者经济效益一直较差的企业的现金流常常出现问题,企业工资的拖欠和克扣经常发生,职工的流动性较大,企业的安全卫生保护措施较弱,劳动争议案件大量出现。</w:t>
      </w:r>
    </w:p>
    <w:p w14:paraId="52D92B30">
      <w:pPr>
        <w:adjustRightInd w:val="0"/>
        <w:spacing w:line="400" w:lineRule="exact"/>
        <w:ind w:firstLine="200"/>
        <w:jc w:val="center"/>
        <w:rPr>
          <w:rFonts w:ascii="宋体" w:hAnsi="宋体" w:eastAsia="宋体" w:cs="宋体"/>
          <w:b/>
          <w:sz w:val="18"/>
          <w:szCs w:val="18"/>
        </w:rPr>
      </w:pPr>
      <w:r>
        <w:rPr>
          <w:rFonts w:hint="eastAsia" w:ascii="宋体" w:hAnsi="宋体" w:eastAsia="宋体" w:cs="宋体"/>
          <w:b/>
          <w:sz w:val="18"/>
          <w:szCs w:val="18"/>
        </w:rPr>
        <w:t>表5 不同类型企业维权组织建立情况(%)</w:t>
      </w:r>
    </w:p>
    <w:p w14:paraId="3B478A8C">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4.从企业经营状况看,正常运转的企业的职工权益保护状况好于改制或破产企业。企业一旦进入改制或破产状态,通常伴随职工的下岗分流,出现职工安置和补偿、工资拖欠、社会保险费欠缴等问题。通过实地调研和访谈发现,一些突发的群体性事件,如集体上访、阻断交通等,重要原因就是改制或破产企业的职工经济补偿和利益问题没有妥善处置。在面临下岗分流的压力下,一些在岗职工对一些侵犯他们权益的做法、措施也不敢声张,而企业的原有职工维权机制通常处于瘫痪状态,职工的合法权益无法得到有效维护。</w:t>
      </w:r>
    </w:p>
    <w:p w14:paraId="6816C620">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5.从企业所在行业看,采矿业和建筑业的职工权益保护状况劣于制造业和其他行业。采矿业和建筑业企业的职工的工作环境和工作条件恶劣,因此企业需要具备较高的安全卫生生产条件和标准,而要达到较高的安全卫生生产条件和标准需要企业较大的生产成本投入,一些企业为了追求更大的利润往往降低安全卫生方面的投入,而这些企业的职工以农民工和非正式工为主,职工流动性大,导致企业和职工都忽视职工合法权益的保护。通过调研和实地访谈发现,一些采矿业和建筑业企业与职工签订除足额发放工资外,生老病死和工伤都与企业无关的所谓“生死合同”。</w:t>
      </w:r>
    </w:p>
    <w:p w14:paraId="49A47123">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6.从企业职工类别看,在本企业工作年限长的、职位高的、学历高的职工的权益保护状况好于工作年限短的、职位低的和学历低的职工。根据此次调研的问卷调查统计,工作年限分别为3年以下、3～6年、7～12年和12年以上的企业职工书面合同签订率分别为44.0%、72.7%、88.4%和92.8%,养老保险的参保率分别为38.5%、65.8%、89.3%和95.5%,医疗保险的参保率分别为33.9%、62.0%、85.8%和91.9%,失业保险的参保率分别为25.5%、50.1%、67.8%和67.9%,住房公积金的办理率分别为21.0%、37.1%、61.4%、73.6%,可见工作年限越长的职工,书面合同签订率越高,社会保险和基金的交纳率也越高：工作职位分别为一般职工、基层管理者、中层管理者和高层管理者的书面合同签订率分别为71.1%、78.7%、83.7%和89.3%,养老保险的参保率分别68.7%、73.9%、89.0%和96.4%,医疗保险的参保率分别为64.4%、71.6%、84.1%和92.9%,失业保险的参保率分别为46.7%、61.1%、72.3%和89.3%,住房公积金的办理率分别为45.6%、50.3%、66.5%、78.6%,可见工作职位越高的职工,书面合同签订率越高,社会保险和基金的交纳率也越高：学历分别为初中及以下、高中或中专、大学和研究生的企业职工书面合同签订率分别为70.0%、66.5%、84.7%和88.0%,养老保险的参保率分别为67.1%、64.0%、83.4%和84.0%,医疗保险的参保率分别为58.2%、60.6%、81.2%和88.0%,失业保险的参保率分别为37.0%、46.2%、66.8%和80.0%,住房公积金的办理率分别为35.8%、39.3%、65.2%、82.0%,可见学历越高的职工,书面合同签订率越高,社会保险和基金的交纳率也越高。</w:t>
      </w:r>
    </w:p>
    <w:p w14:paraId="1AA74B4C">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7.从企业用工形式看,正式工的权益保护状况好于合同工、临时工和派遣工。实地调研和访谈结果显示,许多企业出现了同工不同酬现象,一些国有企业或集体企业改制后,原有工人一般为正式工,改制后进入企业的工人一般为合同工、临时工或派遣工,这些职工享有的工资水平、社会保障、技能培训等都低于原有正式工人。合同工或临时工及派遣工的工资和福利水平一般由职工与企业或者派出机构与企业谈判决定,在劳动力市场供过于求的情况下,这些职工的工资和福利水平被压低,他们的就业稳定性也差,社会保险或基金的交纳率较低。</w:t>
      </w:r>
    </w:p>
    <w:p w14:paraId="5935A36D">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8.从企业职工身份看,当地户籍职工的权益保护状况优于非当地的城镇户籍职工和农民工。通过实地调研和访谈我们发现,许多企业大量雇佣非当地的城镇户籍职工和农民工,但大都没有为其交纳养老保险、医疗保险、失业保险和住房公积金等社会保险或基金,而且这些职工工资的拖欠和扣押现象严重。据全国总工会公布的资料显示,2004年以前全国进城务工的农民工被拖欠的工资在1000亿元左右,全国农民工的数量有1亿人左右,即每名农民工平均被拖欠1000元左右,近70%的农民工有过被拖欠工资的经历。虽然近几年各级政府大力推进解决农民工工资拖欠问题,并取得显著成效,但是农民工工资拖欠问题仍然大量存在。</w:t>
      </w:r>
    </w:p>
    <w:p w14:paraId="3A22C2F9">
      <w:pPr>
        <w:adjustRightInd w:val="0"/>
        <w:spacing w:line="400" w:lineRule="exact"/>
        <w:ind w:firstLine="440" w:firstLineChars="200"/>
        <w:rPr>
          <w:rFonts w:ascii="宋体" w:hAnsi="宋体" w:eastAsia="宋体" w:cs="宋体"/>
          <w:szCs w:val="21"/>
        </w:rPr>
      </w:pPr>
      <w:r>
        <w:rPr>
          <w:rFonts w:hint="eastAsia" w:ascii="宋体" w:hAnsi="宋体" w:eastAsia="宋体" w:cs="宋体"/>
          <w:b/>
          <w:bCs/>
          <w:szCs w:val="21"/>
        </w:rPr>
        <w:t>(三)我国企业职工权益保护在政府积极推动、工会努力维权和职工主动参与下逐步得到加强和改善</w:t>
      </w:r>
    </w:p>
    <w:p w14:paraId="223FC315">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首先,面对我国职工权益保护水平较低和劳动争议数量迅速增加的现状,我国政府从科学发展观和构建社会主义和谐社会的战略高度出发,多层次、多角度努力维护职工的合法权益,以构建和谐的劳动关系。这主要表现在:相继出台了一系列保护职工权益的法律法规,仅2007年就出台和颁布了3部事关企业职工权益的法律:《中华人民共和国劳动合同法》、《中华人民共和国就业促进法》和《中华人民共和国劳动争议调节仲裁法》,并积极开展劳动法等法律、法规的执法检查,及时纠正企业侵犯职工权益的行为：不断加强我国的社会保障体系建设,因地制宜地建立和完善职工的医疗卫生、生育养老、失业就业、住房、教育培训等社会保障、社会救济和社会优抚制度：各地政府不断采取提高最低工资水平等政策措施改善职工权益的保护。其次,我国企业工会的独立意识、自身角色意识和维护职工权益意识开始增强。企业工会的组建方式从“自上而下”向“自下而上”转变,企业工会的功能定位从维护企业利益向维护职工利益转变,从文体活动型向集体谈判型和职工维权型转变。最后,随着社会主义市场经济的不断发展,我国企业职工的权益意识开始增强,敢于主动维护自己的合法权益。</w:t>
      </w:r>
    </w:p>
    <w:p w14:paraId="32C2F259">
      <w:pPr>
        <w:spacing w:line="360" w:lineRule="auto"/>
        <w:jc w:val="center"/>
        <w:rPr>
          <w:rFonts w:ascii="黑体" w:hAnsi="黑体" w:eastAsia="黑体" w:cs="Times New Roman"/>
          <w:sz w:val="24"/>
          <w:szCs w:val="24"/>
        </w:rPr>
      </w:pPr>
      <w:r>
        <w:rPr>
          <w:rFonts w:hint="eastAsia" w:ascii="黑体" w:hAnsi="黑体" w:eastAsia="黑体" w:cs="Times New Roman"/>
          <w:sz w:val="24"/>
          <w:szCs w:val="24"/>
        </w:rPr>
        <w:t>三、我国企业职工权益屡受侵害的原因</w:t>
      </w:r>
    </w:p>
    <w:p w14:paraId="6BF03965">
      <w:pPr>
        <w:adjustRightInd w:val="0"/>
        <w:spacing w:line="400" w:lineRule="exact"/>
        <w:ind w:firstLine="440" w:firstLineChars="200"/>
        <w:rPr>
          <w:rFonts w:ascii="宋体" w:hAnsi="宋体" w:eastAsia="宋体" w:cs="宋体"/>
          <w:b/>
          <w:bCs/>
          <w:szCs w:val="21"/>
        </w:rPr>
      </w:pPr>
      <w:r>
        <w:rPr>
          <w:rFonts w:hint="eastAsia" w:ascii="宋体" w:hAnsi="宋体" w:eastAsia="宋体" w:cs="宋体"/>
          <w:b/>
          <w:bCs/>
          <w:szCs w:val="21"/>
        </w:rPr>
        <w:t>(一)全球劳工形势恶化的不利影响</w:t>
      </w:r>
    </w:p>
    <w:p w14:paraId="53F5EE04">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20世纪80年代以后,西方右翼政党的理论和政策在资本主义各国占据主导地位,西方各国推行了解除管制、私有化、削减或取消社会福利计划、变累进税为固不退税以及限制工会等一系列新自由主义政策措施,导致资本在劳资关系中的主导作用逐渐增强,工人阶级则在一定程度上产生分化,且其整体状况趋于不断恶化。</w:t>
      </w:r>
    </w:p>
    <w:p w14:paraId="5ACA498F">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经济全球化和国际垄断资本主义的迅猛扩张,进一步强化了“强资本弱劳工”的政治格局。经济全球化步伐的不断加快,加速了国际垄断资本在世界范围内的流动,改变了世界要素资源的配置格局,尤其影响了劳动要素在各国的供求和劳资力量对比关系。由于发达国家劳动力成本一般高于发展中国家,且许多发展中国家为吸引外资和实施出口导向战略,竞相制定优惠政策,对跨国公司采取超国民待遇,甚至采取“竞争到底线”的做法,众多的跨国公司大量地将生产转移到发展中国家,并将“非工会化”纳入公司的发展战略。结果,不但使发展中国家的劳动者及其工会组织处于十分不利地位,还导致发达国家的工人阶级及其工会组织与发展中国家的工人阶级及其工会组织产生严重的“利益分裂”和冲突,强化了国际垄断资本的主导地位。</w:t>
      </w:r>
    </w:p>
    <w:p w14:paraId="74D8E6C0">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此外,由于资本组织生产方式的变革和小规模批量生产的流行导致大规模工会的组织困难和工会谈判能力的下降,以及曾经对资本主义国家资本恶化工人状况发挥过重要抑制作用的苏联东欧社会主义国家相继发生“蜕变”,工会运动在发达资本主义国家遭受到极大挫折,工会的力量和作用逐渐减弱。国际劳工组织的资料显示,自20世纪70年代以来西方国家普遍面临着工会数量和会员人数下降的趋势。2003年与1970年相比,美国工会密度下降了11.1%,法国下降了13.5%,日本下降了15.4%,英国下降了15.6%,即使工会力量强大的德国,工会密度也下降了9.4%。</w:t>
      </w:r>
    </w:p>
    <w:p w14:paraId="5A307039">
      <w:pPr>
        <w:adjustRightInd w:val="0"/>
        <w:spacing w:line="400" w:lineRule="exact"/>
        <w:ind w:firstLine="440" w:firstLineChars="200"/>
        <w:rPr>
          <w:rFonts w:ascii="宋体" w:hAnsi="宋体" w:eastAsia="宋体" w:cs="宋体"/>
          <w:b/>
          <w:bCs/>
          <w:szCs w:val="21"/>
        </w:rPr>
      </w:pPr>
      <w:r>
        <w:rPr>
          <w:rFonts w:hint="eastAsia" w:ascii="宋体" w:hAnsi="宋体" w:eastAsia="宋体" w:cs="宋体"/>
          <w:b/>
          <w:bCs/>
          <w:szCs w:val="21"/>
        </w:rPr>
        <w:t>(二)我国企业所有制结构变化的负面效应</w:t>
      </w:r>
    </w:p>
    <w:p w14:paraId="467CBD49">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伴随国有企业和集体企业的改制,作为公有制载体的国有企业和集体企业数目锐减,而民营企业和外资企业等非公有制企业数目迅速增加。在国有企业和集体企业改制和改革前,企业工人在意识形态上不仅被视为企业的主人,而且被视为国家的主人,拥有很高的政治地位：企业的目标并不仅仅是经济利润最大化,常常兼顾社会公益目标,比如解决就业、维护社会公平等,劳动法律法规的执行和劳动保护很容易顺畅地实施,比如8小时工作制、劳动安全卫生的国家标准、劳保用品的足额发放、职业病的防治、女职工特殊保护等等,都得到了较为切实的执行。在企业内部,作为职工参与的组织,工会和职代会大都能够较为完整地组建和发挥沟通职工的作用,职工能够积极参与企业管理和献言献策。虽然职工的工资水平较低,但是职工却享有从生到死的全程的国家福利保障,从提供住房到医疗报销,从幼儿入托到员工培训,无所不包。</w:t>
      </w:r>
    </w:p>
    <w:p w14:paraId="4F0D7ADE">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但是,伴随20世纪90年代中后期的国有企业和集体企业的改制和改革,许多国有企业和集体企业转化为了民营企业。为了保护投资人的利益,“下岗分流,减员增效”成了社会“最响亮”的口号,大量职工从公有制企业转移到民营企业等非公有制企业就业。一方面,许多民营企业通过弱化职工权益保护,来达到降低生产成本提高企业利润的目的,同时随着资本集团利益的形成,资本对法律、制度框架和社会文化的影响日益显现,主流知识分子的话语体系也在相当程度被资本的利益所左右,例如过分地强调我国廉价劳动力的所谓劳动力成本“竞争优势”,对职工的生存现状进行有意无意的忽视,抬高资本的主权和利益。另一方面,即使是没有改变公有制性质的国有企业,由于过度市场化的改制,企业作为独立的经济主体不断地向追求利润最大化的单一目标转化。企业一方面通过压低职工工资水平和降低职工福利等手段提高企业效益,另一方面把企业原先承担的住房、医疗和教育等保障剥离给社会,导致职工权益自觉或不自觉地受到忽视,并常常受到侵害。与此同时,企业管理者的权威不断地得到强化,不再强调职工是企业的主人翁,日益忽视职工的参与决策权。与工人政治地位下降相伴随的是职工经济权益维护力度的相对或绝对下滑。</w:t>
      </w:r>
    </w:p>
    <w:p w14:paraId="0F2955AB">
      <w:pPr>
        <w:adjustRightInd w:val="0"/>
        <w:spacing w:line="400" w:lineRule="exact"/>
        <w:ind w:firstLine="440" w:firstLineChars="200"/>
        <w:rPr>
          <w:rFonts w:ascii="宋体" w:hAnsi="宋体" w:eastAsia="宋体" w:cs="宋体"/>
          <w:b/>
          <w:bCs/>
          <w:szCs w:val="21"/>
        </w:rPr>
      </w:pPr>
      <w:r>
        <w:rPr>
          <w:rFonts w:hint="eastAsia" w:ascii="宋体" w:hAnsi="宋体" w:eastAsia="宋体" w:cs="宋体"/>
          <w:b/>
          <w:bCs/>
          <w:szCs w:val="21"/>
        </w:rPr>
        <w:t>(三)劳动力供求的总量矛盾和结构性矛盾的现实制约我国劳动力市场供过于求和供需结构性矛盾将会长期存在。</w:t>
      </w:r>
      <w:r>
        <w:rPr>
          <w:rFonts w:hint="eastAsia" w:ascii="宋体" w:hAnsi="宋体" w:eastAsia="宋体" w:cs="宋体"/>
          <w:szCs w:val="21"/>
        </w:rPr>
        <w:t>劳动力市场供过于求和供需结构性矛盾对我国职工权益状况有一种向下的压力,不利于我国职工权益状况的改善。随着国有企业改制的不断推进,城市不仅存在大量“下岗工人”等待就业,还面临大量的农村劳动力转移人口,甚至较高素质的劳动力市场上也出现了大学生“毕业即失业”的情况。在市场经济条件下,劳动力作为一种生产要素,出现了供过于求和绝对过剩,劳动力价格便会趋于下降,企业职工权益状况在庞大的产业后备军的压力下自然难以得到有效改善。</w:t>
      </w:r>
    </w:p>
    <w:p w14:paraId="27860531">
      <w:pPr>
        <w:adjustRightInd w:val="0"/>
        <w:spacing w:line="400" w:lineRule="exact"/>
        <w:ind w:firstLine="440" w:firstLineChars="200"/>
        <w:rPr>
          <w:rFonts w:ascii="宋体" w:hAnsi="宋体" w:eastAsia="宋体" w:cs="宋体"/>
          <w:b/>
          <w:bCs/>
          <w:szCs w:val="21"/>
        </w:rPr>
      </w:pPr>
      <w:r>
        <w:rPr>
          <w:rFonts w:hint="eastAsia" w:ascii="宋体" w:hAnsi="宋体" w:eastAsia="宋体" w:cs="宋体"/>
          <w:szCs w:val="21"/>
        </w:rPr>
        <w:t>劳动力市场供过于求进一步强化了资本的权力,加剧了劳资双方力量的不均衡。在劳动力过剩的情况下,劳动者为争夺有限就业机会而展开了激烈的竞争。为得到工作机会,劳动者往往竞相降低工资和工作条件的要求,甚至要求“零工资”就业。在遭受企业不公正的待遇甚至人身伤害时,劳动者也大都只能忍气吞声,得过且过。这样,企业自然不会重视职工劳动条件的改善和劳动者福利的提高。</w:t>
      </w:r>
    </w:p>
    <w:p w14:paraId="5E378F14">
      <w:pPr>
        <w:adjustRightInd w:val="0"/>
        <w:spacing w:line="400" w:lineRule="exact"/>
        <w:ind w:firstLine="440" w:firstLineChars="200"/>
        <w:rPr>
          <w:rFonts w:ascii="宋体" w:hAnsi="宋体" w:eastAsia="宋体" w:cs="宋体"/>
          <w:b/>
          <w:bCs/>
          <w:szCs w:val="21"/>
        </w:rPr>
      </w:pPr>
      <w:r>
        <w:rPr>
          <w:rFonts w:hint="eastAsia" w:ascii="宋体" w:hAnsi="宋体" w:eastAsia="宋体" w:cs="宋体"/>
          <w:b/>
          <w:bCs/>
          <w:szCs w:val="21"/>
        </w:rPr>
        <w:t>(四)职工及工会的维权意识和维权能力不强</w:t>
      </w:r>
    </w:p>
    <w:p w14:paraId="30D714DB">
      <w:pPr>
        <w:adjustRightInd w:val="0"/>
        <w:spacing w:line="400" w:lineRule="exact"/>
        <w:ind w:firstLine="440" w:firstLineChars="200"/>
        <w:rPr>
          <w:rFonts w:ascii="宋体" w:hAnsi="宋体" w:eastAsia="宋体" w:cs="宋体"/>
          <w:b/>
          <w:bCs/>
          <w:szCs w:val="21"/>
        </w:rPr>
      </w:pPr>
      <w:r>
        <w:rPr>
          <w:rFonts w:ascii="宋体" w:hAnsi="宋体" w:eastAsia="宋体" w:cs="宋体"/>
          <w:szCs w:val="21"/>
        </w:rPr>
        <w:drawing>
          <wp:anchor distT="0" distB="0" distL="114300" distR="114300" simplePos="0" relativeHeight="251702272" behindDoc="0" locked="0" layoutInCell="1" allowOverlap="1">
            <wp:simplePos x="0" y="0"/>
            <wp:positionH relativeFrom="column">
              <wp:posOffset>275590</wp:posOffset>
            </wp:positionH>
            <wp:positionV relativeFrom="paragraph">
              <wp:posOffset>3201670</wp:posOffset>
            </wp:positionV>
            <wp:extent cx="4138930" cy="490855"/>
            <wp:effectExtent l="0" t="0" r="1270" b="17145"/>
            <wp:wrapTopAndBottom/>
            <wp:docPr id="112" name="图片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图片 11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a:xfrm>
                      <a:off x="0" y="0"/>
                      <a:ext cx="4138930" cy="490855"/>
                    </a:xfrm>
                    <a:prstGeom prst="rect">
                      <a:avLst/>
                    </a:prstGeom>
                    <a:noFill/>
                    <a:ln>
                      <a:noFill/>
                    </a:ln>
                  </pic:spPr>
                </pic:pic>
              </a:graphicData>
            </a:graphic>
          </wp:anchor>
        </w:drawing>
      </w:r>
      <w:r>
        <w:rPr>
          <w:rFonts w:hint="eastAsia" w:ascii="宋体" w:hAnsi="宋体" w:eastAsia="宋体" w:cs="宋体"/>
          <w:szCs w:val="21"/>
        </w:rPr>
        <w:t>调查显示,我国企业职工对劳动法律法规的了解比较欠缺。企业职工了解《劳动法》的比例最高,但也仅达到62.4%,对其他法律法规了解的比例更低(参见表6)。企业职工法律意识的淡薄导致其维权意识和维权能力亟待提升。在中国变成一座“世界工厂”的同时,世界上最庞大的产业工人阶层也在中国形成,它由原在国有企业工作的“老工人”和农民进城务工的“新工人”组成。“老工人”长期生活在国家福利的“襁褓”中,比较缺乏独立的“劳工意识”和“劳工思想”,但是当这些“老工人”面临“下岗分流”和补偿问题时,却表现出很强的“结社能力”,即通过自己结成的组织来表达自己的诉求。但是,由于“老工人”大多缺乏稀缺的技术和社会保障的支撑,在劳动力市场供过于求的情况下,这些“老工人”与市场和企业主的讨价还价能力明显不足。相反,随着我国农业发展和国家支农惠农政策的实施,作为“新工人”的农民工,却具有很强的与市场和企业主讨价还价的能力,却缺乏“结社能力”。总体而言,我国企业职工的主动维权意识还处于起步阶段,有效维权能力还需要切实加强。</w:t>
      </w:r>
    </w:p>
    <w:p w14:paraId="46CF798F">
      <w:pPr>
        <w:adjustRightInd w:val="0"/>
        <w:spacing w:line="400" w:lineRule="exact"/>
        <w:ind w:firstLine="200"/>
        <w:jc w:val="center"/>
        <w:rPr>
          <w:rFonts w:ascii="宋体" w:hAnsi="宋体" w:eastAsia="宋体" w:cs="宋体"/>
          <w:b/>
          <w:sz w:val="18"/>
          <w:szCs w:val="18"/>
        </w:rPr>
      </w:pPr>
      <w:r>
        <w:rPr>
          <w:rFonts w:hint="eastAsia" w:ascii="宋体" w:hAnsi="宋体" w:eastAsia="宋体" w:cs="宋体"/>
          <w:b/>
          <w:sz w:val="18"/>
          <w:szCs w:val="18"/>
        </w:rPr>
        <w:t>表6 职工对劳动法律法规的了解情况</w:t>
      </w:r>
    </w:p>
    <w:p w14:paraId="28221A93">
      <w:pPr>
        <w:adjustRightInd w:val="0"/>
        <w:spacing w:line="400" w:lineRule="exact"/>
        <w:ind w:firstLine="200"/>
        <w:rPr>
          <w:rFonts w:ascii="宋体" w:hAnsi="宋体" w:eastAsia="宋体" w:cs="宋体"/>
          <w:szCs w:val="21"/>
        </w:rPr>
      </w:pPr>
    </w:p>
    <w:p w14:paraId="03EAC07C">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工会的维权意识和维权能力也有待提升。尽管目前我国工会组织已取得很大发展,但是工会组织的维权意识和维权能力与社会主义市场经济的要求尚存在明显差距。目前国有企业工会行政化、非公有企业工会形式化的现象十分严重,工会组织普遍缺乏独立性和自主性,相当多的民营企业工会由雇主或企业方控制或操纵。工会组织没有罢工的法律条款支持,缺乏有力的制度性手段来制衡雇主或雇主组织,相反雇主却可以通过解雇工会主席和工人、关闭工厂、迁移工厂和异地投资等手段来要挟工会和工人。这样,工会维权能力受到严重制约和限制。行业性工会、区域性工会建设滞后也严重影响了工会维权能力的提升。在一个分散化、小型化的经济结构中,在企业职工流动性越来越大的情况下,按照企业内“集体谈判”和企业内工会维权的思路来工作,必然弱化工会的维权能力。</w:t>
      </w:r>
    </w:p>
    <w:p w14:paraId="0C8BA29E">
      <w:pPr>
        <w:adjustRightInd w:val="0"/>
        <w:spacing w:line="400" w:lineRule="exact"/>
        <w:ind w:firstLine="440" w:firstLineChars="200"/>
        <w:rPr>
          <w:rFonts w:ascii="宋体" w:hAnsi="宋体" w:eastAsia="宋体" w:cs="宋体"/>
          <w:szCs w:val="21"/>
        </w:rPr>
      </w:pPr>
      <w:r>
        <w:rPr>
          <w:rFonts w:hint="eastAsia" w:ascii="宋体" w:hAnsi="宋体" w:eastAsia="宋体" w:cs="宋体"/>
          <w:b/>
          <w:bCs/>
          <w:szCs w:val="21"/>
        </w:rPr>
        <w:t>(五)政府职能定位与社会保障体系的缺位影响</w:t>
      </w:r>
    </w:p>
    <w:p w14:paraId="49EBAE5C">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在社会主义市场经济体制构建过程中,政府由职工权益的直接保护者逐渐转变为职工权益保护的间接调控者。由于政府职能的转化,政府原有承担的职能撤去,政府职能的重新定位还不明确,导致我国职工权益状况的一定程度的恶化。首先,政府职能的转换扩大了企业与劳动者之间利益博弈的空间,带来了劳动者权益保护的失控和无序状态。由于政府缺乏独立于企业与劳动者的公共服务和公平维权意识,在劳动关系中的角色和定位不清晰,在维护职工权益和处理纷繁复杂的劳动争议中缺乏有力措施和手段,甚至出现不知所措和无所作为。其次,政府非科学的政绩观,导致企业与劳动者的利益博弈的天平向企业方倾斜。片面追求GDP的扭曲政绩观使得许多地方政府力争为企业提供各种优惠和保护,往往以牺牲职工的权益,如降低工作环境和工作条件标准来迎合企业的利益。再次,政府的劳动监察不力。政府劳动监察部门为了所谓改善投资环境,对劳动违法行为往往睁一只眼闭一只眼,不能及时严格查处劳动违法案件,而且劳动监察部门力量不足,工作人员严重短缺,无法有效开展劳动执法和检查活动。</w:t>
      </w:r>
    </w:p>
    <w:p w14:paraId="1986ED62">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政府承担的社会保障体系的构建尚处于探索之中,劳动争议等劳动法律制度建设也相对滞后,均不利于我国职工权益的保护。完善、有效的社会保障体系可以为职工提供最低的生活和权益保障,增强职工与企业主的博弈能力,从而有利于企业职工权益的保护。由于我国缺乏完整和统一的社会保险、社会救济和社会优抚构成的社会保障体系,企业职工的保险保障主要依赖企业来承担,他们往往只能容忍企业对自己合法权益的侵犯。同时,我国各项劳动法律制度尚存在许多不完善的地方,例如劳动争议制度在解决劳动争议时,职工维护自己权益的成本较高,企业的违法成本较低,这样就导致企业不会主动地维护职工的合法权益,职工合法权益受到侵害时便只能忍气吞声。而且,我国现有的各项劳动法律制度也没有切实地被执行,“有法不依、违法不究”现象严重,导致我国企业职工权益难以得到有效的维护。</w:t>
      </w:r>
    </w:p>
    <w:p w14:paraId="6702473F">
      <w:pPr>
        <w:adjustRightInd w:val="0"/>
        <w:spacing w:line="400" w:lineRule="exact"/>
        <w:ind w:firstLine="440" w:firstLineChars="200"/>
        <w:rPr>
          <w:rFonts w:ascii="宋体" w:hAnsi="宋体" w:eastAsia="宋体" w:cs="宋体"/>
          <w:szCs w:val="21"/>
        </w:rPr>
      </w:pPr>
      <w:r>
        <w:rPr>
          <w:rFonts w:hint="eastAsia" w:ascii="宋体" w:hAnsi="宋体" w:eastAsia="宋体" w:cs="宋体"/>
          <w:b/>
          <w:bCs/>
          <w:szCs w:val="21"/>
        </w:rPr>
        <w:t>(六)企业社会责任意识的亟待提高</w:t>
      </w:r>
    </w:p>
    <w:p w14:paraId="29628AA8">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在我国市场经济建立的初始阶段,企业的社会责任意识不强,企业经营目标片面化和短期化,不愿履行职工权益保护的职责。首先,企业片面追求短期利润最大化,习惯于通过降低劳动条件和劳动标准,忽视职工的安全卫生,压低劳动的工资水平,延长工作日,以实现企业利润最大化。许多企业没有认识到低薪酬和低劳动力成本总是与低技能劳动力相对应,低技能员工必然塑造低竞争力的企业。这不仅导致企业的生存空间越来越小,而且严重影响了我国企业职工享有职工权益水平的提升。其次,企业行为短期化,企业没有认识到企业的后续发展能力来自职工素质的提高。当企业把职工的工资水平压低到劳动力自身简单再生产的水平时,职工的自身的教育和医疗匮乏导致职工只能依赖自己的“青春”来糊口,职工的文化素质和身体素质没有得到加强和改善,尤其是许多民营企业依赖不断地雇佣农村源源不断地输出的青壮年劳动力来生存,一旦农村劳动力输出中断,企业也就面临生存的危机。实地调查发现,一些企业不重视职工的技能培训和精神文化生活,通过违反和规避劳动法律法规等手段,逃避承担为劳动者购买各种社会保险的义务,企图以扣押劳动者证件和拖欠劳动者工资等手段达到约束劳动者长期为企业服务和目的。企业的社会责任意识欠缺,企业经营目标片面化和企业行为短期化,制约了我国企业职工权益保护水平的提升。</w:t>
      </w:r>
    </w:p>
    <w:p w14:paraId="1E6963A4">
      <w:pPr>
        <w:spacing w:line="360" w:lineRule="auto"/>
        <w:jc w:val="center"/>
        <w:rPr>
          <w:rFonts w:ascii="黑体" w:hAnsi="黑体" w:eastAsia="黑体" w:cs="Times New Roman"/>
          <w:sz w:val="24"/>
          <w:szCs w:val="24"/>
        </w:rPr>
      </w:pPr>
      <w:r>
        <w:rPr>
          <w:rFonts w:hint="eastAsia" w:ascii="黑体" w:hAnsi="黑体" w:eastAsia="黑体" w:cs="Times New Roman"/>
          <w:sz w:val="24"/>
          <w:szCs w:val="24"/>
        </w:rPr>
        <w:t>四、我国企业职工权益保护的提升策略</w:t>
      </w:r>
    </w:p>
    <w:p w14:paraId="286D4626">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强化企业职工权益保护,是对我国现存生产关系的一次重大调整。我们必须以科学发展观与社会主义和谐社会理论为指导,构建适应社会主义市场经济本质要求的新型劳动关系,明确劳动者权益保护的基本原则,进一步完善我国的劳动法律体系,加强劳动执法监察,强化制度建设,构建劳动者权益保护的有效机制,充分发挥政府、工会、雇主组织的积极作用,平衡劳资双方的力量与权益。</w:t>
      </w:r>
    </w:p>
    <w:p w14:paraId="7FE1B6CF">
      <w:pPr>
        <w:adjustRightInd w:val="0"/>
        <w:spacing w:line="400" w:lineRule="exact"/>
        <w:ind w:firstLine="440" w:firstLineChars="200"/>
        <w:rPr>
          <w:rFonts w:ascii="宋体" w:hAnsi="宋体" w:eastAsia="宋体" w:cs="宋体"/>
          <w:szCs w:val="21"/>
        </w:rPr>
      </w:pPr>
      <w:r>
        <w:rPr>
          <w:rFonts w:hint="eastAsia" w:ascii="宋体" w:hAnsi="宋体" w:eastAsia="宋体" w:cs="宋体"/>
          <w:b/>
          <w:bCs/>
          <w:szCs w:val="21"/>
        </w:rPr>
        <w:t>(一)适应社会主义市场经济的本质要求,构筑新型劳动关系</w:t>
      </w:r>
    </w:p>
    <w:p w14:paraId="3481BBF4">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理论分析和实践经验表明,劳动者权益的具体内容和实现程度首先取决于劳动关系的性质和特点,要切实有效保护企业职工权益,必须调整我国目前的劳动关系,构筑新型和谐的劳动关系。构建新型劳动关系是现阶段中国有效保护企业职工权益的基本前提。</w:t>
      </w:r>
    </w:p>
    <w:p w14:paraId="4B888EE0">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1.新型劳动关系本质上是不同生产要素所有者在共同利益驱动下的一种平等合作关系。现代生产过程是各种生产要素所有者通过合作而获得收益的过程。合作既有利益一致的一面,也有利益冲突的一面。一方面,资本所有者和劳动力所有者作为生产要素的提供者,无论是社会财富的创造,还是双方各自利益的实现,都以对方的存在为前提：另一方面,作为独立的利益主体,资本所有者所追求的目标是实现利润的最大化以及资产的增值保值,而劳动者所追求的目标主要是工资与福利的最大化以及良好的工作环境和人际关系。二者此消彼长的静态利益格局容易使双方在争取利益的过程中形成冲突,甚至使合作关系难以为继。要减少劳资双方的利益冲突,增强劳资利益的一致性,关键在于确立劳动力所有者与劳动力使用者之间的平等地位,形成劳资之间平等合作的劳动关系。这就要求劳资双方彼此尊重、承认对方的权利和利益,双方拥有相对平衡的谈判地位和谈判能力。只有如此,才能有效化解劳资矛盾,这样的劳动关系才是一种和谐的劳动关系。</w:t>
      </w:r>
    </w:p>
    <w:p w14:paraId="139B33DA">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2.新型劳动关系是劳资双方共同参与企业的经营管理、打破资本垄断经营权的合作型劳动关系。劳资之间的平等合作不仅要求双方共同参与生产,而且要求双方共同参与管理,特别是事关双方利益的各项活动,双方必须共同参与决策,这样才能体现劳资双方合作的平等性。在现代市场经济中,劳方参与企业经营管理不仅仅是为了保障和提升劳动者的地位和利益,更重要的是,它是现代公司治理的客观要求,是提高企业运营效率的重要手段。实践表明,在现代市场经济条件下,共同参与不仅有利于实现劳资之间的利益平衡,而且有利于提高企业的经营效率。</w:t>
      </w:r>
    </w:p>
    <w:p w14:paraId="4C25F6D8">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3.新型劳动关系是一种收益分享型的劳动关系。劳动者分享合作收益,表明劳动者不仅仅是生产要素的提供者,也是企业经营的受益者。只有当劳动者分享合作收益的时候,劳资之间平等合作的关系才能落到实处,这样的劳动关系才能够和谐,能够稳定。所谓合作收益,是劳动和资本以及其他生产要素通过合作生产和经营而产生的,超过每一种生产要素单独生产经营所获得的收益之和的部分,是生产要素由于合作产生的额外收益。劳动者参与企业额外收益分享的标志有两个:一是劳动者的总体收入大于劳动力价值,如果劳动者收入等于劳动力价值,那就说明工人没有分享企业额外收益,仅仅是生产要素出卖者,劳动与资本等其他生产要素还不是合作关系：二是劳动者收入增长率不低于其他要素所有者收入的增长率,劳动者的收入应该随企业的发展而不断增长,如果只有企业利润的增长,没有劳动者收入的相应增长,那就表明劳动者没有分享到企业发展的果实。</w:t>
      </w:r>
    </w:p>
    <w:p w14:paraId="2F31B7EB">
      <w:pPr>
        <w:adjustRightInd w:val="0"/>
        <w:spacing w:line="400" w:lineRule="exact"/>
        <w:ind w:firstLine="440" w:firstLineChars="200"/>
        <w:rPr>
          <w:rFonts w:ascii="宋体" w:hAnsi="宋体" w:eastAsia="宋体" w:cs="宋体"/>
          <w:szCs w:val="21"/>
        </w:rPr>
      </w:pPr>
      <w:r>
        <w:rPr>
          <w:rFonts w:hint="eastAsia" w:ascii="宋体" w:hAnsi="宋体" w:eastAsia="宋体" w:cs="宋体"/>
          <w:b/>
          <w:bCs/>
          <w:szCs w:val="21"/>
        </w:rPr>
        <w:t>(二)强化“劳工权益”意识,明确企业职工权益保护的基本原则</w:t>
      </w:r>
    </w:p>
    <w:p w14:paraId="78BC3357">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1.权益确认原则。马克思认为,劳动是生产的真正灵魂,只要社会还没有围绕着劳动这个太阳旋转,它就绝不可能达到均衡。因此,劳动者权益理应得到文明社会的高度确认与保护。而且,我们所追求的改革目标是社会主义市场经济,只要我们不放弃社会主义这个前提,就必须把劳动者的权益保障放在中心地位,因为社会主义社会就其本质而言是一个劳动者主导的社会,提高职工的生活水平和社会地位是中国现代化建设的初衷和最终目标。因此,我国劳动者的各项权益不仅应得到《劳动法》等劳动法规的确认与保护,更应得到《宪法》、《公司法》等重要法规的高度认可与有效保护。强调“劳工权益”,重提“劳工神圣”,不仅是坚持社会主义和马克思主义原则的政治要求和法律要求,而且也是建立完善的市场经济体制的内在要求。</w:t>
      </w:r>
    </w:p>
    <w:p w14:paraId="72346955">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2.广泛覆盖原则。劳动者权益保护不仅应承认和保护劳动者的劳动权、劳动报酬权等基本权益,还应承认和保护劳动者的集体行动权等各项权益。同时,劳动者权益保护不仅应保护劳动者的一切权益,更应保护一切劳动者的合法权益。改革开放以来,我国企业劳动者群体逐渐出现了明显的分层,固定工、合同工、季节工、小时工、劳务承包工、劳务派遣工等多种用工形式和职工身份并存。在劳动者分层中,处在较低层的劳动者是那些技能较低、替代性较强、竞争力较弱、流动性较大的普通劳动者,由于各种原因,他们往往处于劳动法规的覆盖范围之外,成为劳资冲突和社会不安定的根源。强化我国企业职工权益保护,必须关注各层次劳动者的权益状况,赋予所有企业劳动者以劳动法意义上的“劳动者待遇”,保护一切劳动者的合法权益。</w:t>
      </w:r>
    </w:p>
    <w:p w14:paraId="4A916146">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3.适度保护原则。根据历史唯物主义理论,劳动者各项权益的具体标准和保护程度受生产力发展水平和生产关系性质所制约,劳动者权益保护不能脱离社会经济的发展水平,必须做到与社会经济水平的同步协调发展。从我国的实际出发,我国劳动者各项权益的具体标准与保护程度不宜一厢情愿地片面拔高,而应参照国际劳工标准和各国经验结合中国国情量力而为。同时,在全面保护一切劳动者的各项合法权益的前提下,应加强劳动者基本权益的保护,即有效承认结社自由和集体谈判权利、消除所有形式的强迫劳动或强制劳动、有效废除童工以及消除就业和职业歧视,并重点保护劳动者的劳动就业权。在我国劳动力供给总体大于需求的情况下,保护劳动者的劳动就业权,不仅关系到劳动者个人的生存状态,而且直接关系到社会的安全稳定。</w:t>
      </w:r>
    </w:p>
    <w:p w14:paraId="75958BB9">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4.劳资两利原则。资本和劳动是市场经济的一对孪生儿,我们既不能只站在资本的立场上以牺牲劳动者的权益为代价片面地维护资本的利益,也不能不顾及资本的利益,单方面强调劳动者权益保护,现阶段的中国保护企业职工权益必须跳出“零和博弈”的“彼之所得必为我之所失”的思维逻辑。只有尊重、承认劳资双方各自的权利和利益,实现劳资双方权益的平衡,使雇主与雇员双方的权益都得以维护,并在此基础上进行劳资合作,才能有效地提高生产效率,真正实现双方各自利益的最大化和劳资共赢,从而真正有效地保护劳动者权益。</w:t>
      </w:r>
    </w:p>
    <w:p w14:paraId="3806E266">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5.动态调整原则。劳动者各项权益的具体标准和实现程度取决于生产力。水平和生产关系的性质,也必然随着社会经济的发展与进步而不断变化和调整。从世界范围来看,劳工权益作为一项法定权利,其内容随着社会进步而不断丰富和发展。随着我国社会主义市场经济的发展和社会的进步,我国劳动者各项权益的具体标准和保护程度也应不断地进行动态调整,以不断地改善劳动者的权益状况。</w:t>
      </w:r>
    </w:p>
    <w:p w14:paraId="43D92F29">
      <w:pPr>
        <w:adjustRightInd w:val="0"/>
        <w:spacing w:line="400" w:lineRule="exact"/>
        <w:ind w:firstLine="440" w:firstLineChars="200"/>
        <w:rPr>
          <w:rFonts w:ascii="宋体" w:hAnsi="宋体" w:eastAsia="宋体" w:cs="宋体"/>
          <w:szCs w:val="21"/>
        </w:rPr>
      </w:pPr>
      <w:r>
        <w:rPr>
          <w:rFonts w:hint="eastAsia" w:ascii="宋体" w:hAnsi="宋体" w:eastAsia="宋体" w:cs="宋体"/>
          <w:b/>
          <w:bCs/>
          <w:szCs w:val="21"/>
        </w:rPr>
        <w:t>（三）完善法律体系,加强劳动执法监察力度</w:t>
      </w:r>
    </w:p>
    <w:p w14:paraId="6719DC03">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国际经验表明,健全完善的法律体系是协调劳资关系和保障劳工权益的基本保证。社会主义市场经济是法治经济,在市场经济条件下,劳动者权益保护必须纳入法制轨道。然而,尽管我国目前已经初步形成了以宪法和劳动法为核心的保护劳动者权益的多层次的法律体系,初步实现了劳动者权益保护的法制化、规范化,但是,劳动者权益屡受侵害的现状表明,我国的劳动法制状况仍有许多问题亟需解决。</w:t>
      </w:r>
    </w:p>
    <w:p w14:paraId="6C0A180C">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首先,修改和完善《宪法》和《公司法》等重要法律的有关条款,高度认可和有效保护企业职工作为国家和社会主人应有的各项劳动者权益。劳动者权益实质上是与资本财产权相对应的生存权。在现代社会,生存权优位应是一个法制国家基本的法律原则,作为一个现代国家,不仅“私有财产保障”需要入宪,“生存权保障”更应入宪入法。其次,修改完善我国现行的劳动法规,理清模糊不清甚至相互矛盾的有关条款,减少原则性规定和选择性条款,增加操作性强的规定和强制性条款,贯彻“经济、便利、及时”的原则,完善劳动争议仲裁诉讼制度,降低劳动者的法律救济成本：尽快出台和完善关于劳动标准、劳资集体谈判、劳动争议处理以及规制不当劳动行为等方面的劳动配套法规,建立健全工资、工时、劳动定额和安全卫生等劳动标准体系,并指导各类企业通过集体协商方式,按照国家或行业劳动基准健全企业内部劳动标准。再次,应“坚持从我国国情出发,尽量与国际惯例接轨”,扩大国际劳工公约尤其是核心公约的批准范围。最后,应加强劳动执法和劳动监察,改变“重立法、轻执法”的法制状况,建立健全有职有权、执法严明公正、运行高效的劳动监察体系和制度。</w:t>
      </w:r>
    </w:p>
    <w:p w14:paraId="612E7250">
      <w:pPr>
        <w:adjustRightInd w:val="0"/>
        <w:spacing w:line="400" w:lineRule="exact"/>
        <w:ind w:firstLine="440" w:firstLineChars="200"/>
        <w:rPr>
          <w:rFonts w:ascii="宋体" w:hAnsi="宋体" w:eastAsia="宋体" w:cs="宋体"/>
          <w:szCs w:val="21"/>
        </w:rPr>
      </w:pPr>
      <w:r>
        <w:rPr>
          <w:rFonts w:hint="eastAsia" w:ascii="宋体" w:hAnsi="宋体" w:eastAsia="宋体" w:cs="宋体"/>
          <w:b/>
          <w:bCs/>
          <w:szCs w:val="21"/>
        </w:rPr>
        <w:t>(四)加强制度建设,完善劳动者权益保护机制</w:t>
      </w:r>
    </w:p>
    <w:p w14:paraId="23EE3AB3">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我国目前已初步建立了以劳动合同管理、集体协商和集体合同、劳动争议处理为主要内容的劳动关系协调机制,在促进劳动关系和谐方面发挥了重要作用。但是,随着社会主义市场经济改革的不断推进,现行的劳动关系协调机制面临着巨大的挑战,各项劳动制度需要进一步规范和完善,以使我国的企业职工权益保护真正步入法制化、规范化、有序化的轨道。首先,建立和完善三方协商机制。要根据国家有关法律法规和国际惯例,尽快解决阻碍和制约三方协商机制建立和运行的重点问题,合理确定三方协商机制的处理内容、关系原则和具体制度安排。其次,建立企业劳动关系预警机制。为防止劳动者权益侵害现象的发生和劳资冲突的恶化,必须建立事前预警防范机制,包括劳动者参与机制、企业厂务公开机制等。第三,建立和完善集体合同制度和集体谈判机制。要积极培育工会、雇主组织等集体谈判主体,规范集体合同内容和集体谈判程序,拓展集体合同和集体谈判的适用范围。第四,借鉴SA8000标准,建立企业劳动标准认证机制。SA8000标准对企业的劳动时间、劳动报酬、工作环境、禁用童工、雇员健康与安全、员工培训等方面都有明确的指标要求。适应国际潮流,我国也应借鉴SA8000标准,建立企业劳动标准认证机制,规范企业内部劳动标准。第五,完善劳动争议处理制度,建立健全劳动争议处理机制。企业内部应建立劳动关系协调委员会,形成经常性的争议调解机制,同时建立劳动争议民间调解机构,使企业内部调解与外部调解结合起来,并积极探索劳动争议仲裁诉讼制度的改革。第六,培育和规范民间组织,建立NGO动员下的公众参与机制。发挥一切有利于调整劳动关系的社会力量和公众的作用,使其发展成为保护劳动者权益的有益的补充形式。</w:t>
      </w:r>
    </w:p>
    <w:p w14:paraId="7900EBAA">
      <w:pPr>
        <w:adjustRightInd w:val="0"/>
        <w:spacing w:line="400" w:lineRule="exact"/>
        <w:ind w:firstLine="440" w:firstLineChars="200"/>
        <w:rPr>
          <w:rFonts w:ascii="宋体" w:hAnsi="宋体" w:eastAsia="宋体" w:cs="宋体"/>
          <w:szCs w:val="21"/>
        </w:rPr>
      </w:pPr>
      <w:r>
        <w:rPr>
          <w:rFonts w:hint="eastAsia" w:ascii="宋体" w:hAnsi="宋体" w:eastAsia="宋体" w:cs="宋体"/>
          <w:b/>
          <w:bCs/>
          <w:szCs w:val="21"/>
        </w:rPr>
        <w:t>(五)充分发挥政府、工会、雇主组织的积极作用,平衡劳资权益</w:t>
      </w:r>
    </w:p>
    <w:p w14:paraId="485C502C">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1.充分发挥政府在宏观管理中的作用。市场经济条件下的政府是公平、竞争与和谐的市场秩序的维护者。政府应采用法律的、行政的、经济的手段,为构建和谐劳动关系和保护劳动者权益创造条件和发挥作用。主要有:推动各种相关的法律法规制定和完善,对企业职工的各种合法权益进行界定并通过相应的手段给予保护：监督和保证相关法律的贯彻执行,对各种侵害职工权益的行为给予处罚：作为居间协调的“第三方”,对各种劳资纠纷进行协调处理：全面落实“积极的就业政策”,努力创造更多就业机会,改善劳动力供求总量不平衡的态势,强化就业服务和失业调控：促进国有企业发展,鼓励中小民营企业发展,国有企业的发展不仅能更好的坚持公有制的主体地位,也能为民营企业在维护职工权益方面作出表率：制定合理的收入分配政策,保障企业职工收入水平的正常增长,防止收入差距过分悬殊：完善社会保障立法,增加政府投入,建立广覆盖、有梯次的社会保障体系：构建国民教育体系,加大教育投资力度,改善教育结构,大力发展职业技术教育和培训,提高劳动者的素质。</w:t>
      </w:r>
    </w:p>
    <w:p w14:paraId="3FC599A2">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2.使工会真正成为工人利益的代表。增强工会维权能力,发挥工会作用,进一步加大“组织起来,切实维权”的工作力度。随着市场经济进程的深化,我国企业(雇主)一方的权利、地位和经济利益,处于相对提高的趋势之中,而职工一方则处于劣势和被动地位,在这种格局下,劳动者权益的保护和提高,仅仅依靠个人力量是远远不够的,劳动者必须依靠组织的力量来维护自己的权益,充分发挥工会组织的作用。发挥工会在协调劳动关系中职工合法权益代表者和维护者作用的基本保证是加强市场经济条件下的工会组织建设。当前加强工会组织建设工作的重点,应是抓好非公企业的工会组织建设,扩大工会组织在非公企业中的覆盖面,并按《工会法》规定的任务、职责进行卓有成效的工作,当劳资双方发生矛盾时,工会组织应及时进行沟通和协调,以化解分歧,营造和谐的劳资关系。同时,还应有力推进行业工会与区域工会的建设,充分发挥它们在集体谈判中的积极作用。此外,适应市场经济的要求,工会在自身的代表性、自主性、独立性、工作内容、活动方式、组织原则等方面都要发生相应的改变。</w:t>
      </w:r>
    </w:p>
    <w:p w14:paraId="5FB4ADF6">
      <w:pPr>
        <w:adjustRightInd w:val="0"/>
        <w:spacing w:line="400" w:lineRule="exact"/>
        <w:ind w:firstLine="440" w:firstLineChars="200"/>
        <w:rPr>
          <w:rFonts w:ascii="宋体" w:hAnsi="宋体" w:eastAsia="宋体" w:cs="宋体"/>
          <w:szCs w:val="21"/>
        </w:rPr>
      </w:pPr>
      <w:r>
        <w:rPr>
          <w:rFonts w:hint="eastAsia" w:ascii="宋体" w:hAnsi="宋体" w:eastAsia="宋体" w:cs="宋体"/>
          <w:szCs w:val="21"/>
        </w:rPr>
        <w:t>3.强化企业社会责任意识,规范和引导雇主组织建设,充分发挥雇主组织的积极作用。必须健全和完善职工代表大会制度：完善职工董事、监事制度,保障职工的决策参与和监督参与：完善职工持股制度,保障职工所有参与：多渠道推进收益分享,让职工分享企业发展成果：强化企业社会责任,提升企业经营理念。同时,必须提高雇主组织与工会的合作水平。雇主组织作为一个整体,考虑和处理问题往往更加社会化,有利于消解单个企业(雇主)的非理性不合作行为,从而在协调劳资关系方面发挥积极作用。为充分发挥雇主组织在协调劳动关系和保护劳动者权益方面的积极作用,应尽快出台和完善雇主组织立法,培育、整合现有雇主组织,适度强化其代表性和自主性,提高它们与工会组织合作处理劳资冲突的水平和能力。</w:t>
      </w:r>
    </w:p>
    <w:p w14:paraId="0DFD659A">
      <w:pPr>
        <w:adjustRightInd w:val="0"/>
        <w:spacing w:line="400" w:lineRule="exact"/>
        <w:ind w:firstLine="200"/>
        <w:rPr>
          <w:rFonts w:ascii="宋体" w:hAnsi="宋体" w:eastAsia="宋体" w:cs="宋体"/>
          <w:szCs w:val="21"/>
        </w:rPr>
      </w:pPr>
    </w:p>
    <w:p w14:paraId="27EFA913">
      <w:pPr>
        <w:adjustRightInd w:val="0"/>
        <w:snapToGrid w:val="0"/>
        <w:spacing w:line="400" w:lineRule="exact"/>
        <w:ind w:firstLine="200"/>
        <w:rPr>
          <w:rFonts w:ascii="宋体" w:hAnsi="宋体" w:eastAsia="宋体" w:cs="宋体"/>
          <w:b/>
          <w:bCs/>
          <w:szCs w:val="21"/>
        </w:rPr>
      </w:pPr>
      <w:r>
        <w:rPr>
          <w:rFonts w:hint="eastAsia" w:ascii="宋体" w:hAnsi="宋体" w:eastAsia="宋体" w:cs="宋体"/>
          <w:b/>
          <w:bCs/>
          <w:szCs w:val="21"/>
        </w:rPr>
        <w:t>参考文献:</w:t>
      </w:r>
    </w:p>
    <w:p w14:paraId="1B7A994B">
      <w:pPr>
        <w:adjustRightInd w:val="0"/>
        <w:spacing w:line="400" w:lineRule="exact"/>
        <w:ind w:firstLine="200"/>
        <w:rPr>
          <w:rFonts w:ascii="宋体" w:hAnsi="宋体" w:eastAsia="宋体" w:cs="宋体"/>
          <w:sz w:val="18"/>
          <w:szCs w:val="18"/>
        </w:rPr>
      </w:pPr>
      <w:r>
        <w:rPr>
          <w:rFonts w:hint="eastAsia" w:ascii="宋体" w:hAnsi="宋体" w:eastAsia="宋体" w:cs="宋体"/>
          <w:sz w:val="18"/>
          <w:szCs w:val="18"/>
        </w:rPr>
        <w:t>[1]常凯.2004.劳动力市场与劳工保护[J].中国党政干部论坛(11):28-30.</w:t>
      </w:r>
    </w:p>
    <w:p w14:paraId="712D03A4">
      <w:pPr>
        <w:adjustRightInd w:val="0"/>
        <w:spacing w:line="400" w:lineRule="exact"/>
        <w:ind w:firstLine="200"/>
        <w:rPr>
          <w:rFonts w:ascii="宋体" w:hAnsi="宋体" w:eastAsia="宋体" w:cs="宋体"/>
          <w:sz w:val="18"/>
          <w:szCs w:val="18"/>
        </w:rPr>
      </w:pPr>
      <w:r>
        <w:rPr>
          <w:rFonts w:hint="eastAsia" w:ascii="宋体" w:hAnsi="宋体" w:eastAsia="宋体" w:cs="宋体"/>
          <w:sz w:val="18"/>
          <w:szCs w:val="18"/>
        </w:rPr>
        <w:t>[2]董保华.2006.劳动关系调整的社会化与国际化[M].上海:上海交通大学出版社.</w:t>
      </w:r>
    </w:p>
    <w:p w14:paraId="45D55ABF">
      <w:pPr>
        <w:adjustRightInd w:val="0"/>
        <w:spacing w:line="400" w:lineRule="exact"/>
        <w:ind w:firstLine="200"/>
        <w:rPr>
          <w:rFonts w:ascii="宋体" w:hAnsi="宋体" w:eastAsia="宋体" w:cs="宋体"/>
          <w:sz w:val="18"/>
          <w:szCs w:val="18"/>
        </w:rPr>
      </w:pPr>
      <w:r>
        <w:rPr>
          <w:rFonts w:hint="eastAsia" w:ascii="宋体" w:hAnsi="宋体" w:eastAsia="宋体" w:cs="宋体"/>
          <w:sz w:val="18"/>
          <w:szCs w:val="18"/>
        </w:rPr>
        <w:t>[3]吕景春.2006.和谐劳动关系:制度安排与机制创新[J].经济学家(6):11-18.</w:t>
      </w:r>
    </w:p>
    <w:p w14:paraId="07481379">
      <w:pPr>
        <w:adjustRightInd w:val="0"/>
        <w:spacing w:line="400" w:lineRule="exact"/>
        <w:ind w:firstLine="200"/>
        <w:rPr>
          <w:rFonts w:ascii="宋体" w:hAnsi="宋体" w:eastAsia="宋体" w:cs="宋体"/>
          <w:sz w:val="18"/>
          <w:szCs w:val="18"/>
        </w:rPr>
      </w:pPr>
      <w:r>
        <w:rPr>
          <w:rFonts w:hint="eastAsia" w:ascii="宋体" w:hAnsi="宋体" w:eastAsia="宋体" w:cs="宋体"/>
          <w:sz w:val="18"/>
          <w:szCs w:val="18"/>
        </w:rPr>
        <w:t>全国总工会.2007.加快解决农民工工资拖欠问题[OL].http:www.actu.org.2007-11-03.</w:t>
      </w:r>
    </w:p>
    <w:p w14:paraId="20564924">
      <w:pPr>
        <w:adjustRightInd w:val="0"/>
        <w:spacing w:line="400" w:lineRule="exact"/>
        <w:ind w:firstLine="200"/>
        <w:rPr>
          <w:rFonts w:ascii="宋体" w:hAnsi="宋体" w:eastAsia="宋体" w:cs="宋体"/>
          <w:sz w:val="18"/>
          <w:szCs w:val="18"/>
        </w:rPr>
      </w:pPr>
      <w:r>
        <w:rPr>
          <w:rFonts w:hint="eastAsia" w:ascii="宋体" w:hAnsi="宋体" w:eastAsia="宋体" w:cs="宋体"/>
          <w:sz w:val="18"/>
          <w:szCs w:val="18"/>
        </w:rPr>
        <w:t>[4]2006年度劳动和社会保障事业发展统计公报[OL].http:www.stats.gov.cn</w:t>
      </w:r>
    </w:p>
    <w:p w14:paraId="7BD90DBA">
      <w:pPr>
        <w:adjustRightInd w:val="0"/>
        <w:spacing w:line="400" w:lineRule="exact"/>
        <w:ind w:firstLine="200"/>
        <w:rPr>
          <w:rFonts w:ascii="宋体" w:hAnsi="宋体" w:eastAsia="宋体" w:cs="宋体"/>
          <w:sz w:val="18"/>
          <w:szCs w:val="18"/>
        </w:rPr>
      </w:pPr>
      <w:r>
        <w:rPr>
          <w:rFonts w:hint="eastAsia" w:ascii="宋体" w:hAnsi="宋体" w:eastAsia="宋体" w:cs="宋体"/>
          <w:sz w:val="18"/>
          <w:szCs w:val="18"/>
        </w:rPr>
        <w:t>[5]恩格斯.1964.马克思恩格斯全集(第16卷)[M].北京:人民出版社.</w:t>
      </w:r>
    </w:p>
    <w:p w14:paraId="652820D2">
      <w:pPr>
        <w:adjustRightInd w:val="0"/>
        <w:spacing w:line="400" w:lineRule="exact"/>
        <w:ind w:firstLine="200"/>
        <w:rPr>
          <w:rFonts w:ascii="宋体" w:hAnsi="宋体" w:eastAsia="宋体" w:cs="宋体"/>
          <w:sz w:val="18"/>
          <w:szCs w:val="18"/>
        </w:rPr>
      </w:pPr>
      <w:r>
        <w:rPr>
          <w:rFonts w:hint="eastAsia" w:ascii="宋体" w:hAnsi="宋体" w:eastAsia="宋体" w:cs="宋体"/>
          <w:sz w:val="18"/>
          <w:szCs w:val="18"/>
        </w:rPr>
        <w:t>[6]马克思.1964.马克思恩格斯全集(第18卷)[M].北京:人民出版社.</w:t>
      </w:r>
    </w:p>
    <w:p w14:paraId="448A4B52">
      <w:pPr>
        <w:adjustRightInd w:val="0"/>
        <w:spacing w:line="400" w:lineRule="exact"/>
        <w:ind w:firstLine="200"/>
        <w:rPr>
          <w:rFonts w:ascii="宋体" w:hAnsi="宋体" w:eastAsia="宋体" w:cs="宋体"/>
          <w:sz w:val="18"/>
          <w:szCs w:val="18"/>
        </w:rPr>
      </w:pPr>
      <w:r>
        <w:rPr>
          <w:rFonts w:hint="eastAsia" w:ascii="宋体" w:hAnsi="宋体" w:eastAsia="宋体" w:cs="宋体"/>
          <w:sz w:val="18"/>
          <w:szCs w:val="18"/>
        </w:rPr>
        <w:t>[7]沈源.2006.社会转型与工人阶级的再形成[J].社会学研究(2):14-36.</w:t>
      </w:r>
    </w:p>
    <w:p w14:paraId="5A41B1A3">
      <w:pPr>
        <w:adjustRightInd w:val="0"/>
        <w:spacing w:line="400" w:lineRule="exact"/>
        <w:ind w:firstLine="200"/>
        <w:rPr>
          <w:rFonts w:ascii="宋体" w:hAnsi="宋体" w:eastAsia="宋体" w:cs="宋体"/>
          <w:sz w:val="18"/>
          <w:szCs w:val="18"/>
        </w:rPr>
      </w:pPr>
      <w:r>
        <w:rPr>
          <w:rFonts w:hint="eastAsia" w:ascii="宋体" w:hAnsi="宋体" w:eastAsia="宋体" w:cs="宋体"/>
          <w:sz w:val="18"/>
          <w:szCs w:val="18"/>
        </w:rPr>
        <w:t>[8]杨鹏飞.2006.新合作主义能否整合中国的劳动关系[J].社会科学(8):32-40.</w:t>
      </w:r>
    </w:p>
    <w:p w14:paraId="16DD9C13">
      <w:pPr>
        <w:adjustRightInd w:val="0"/>
        <w:spacing w:line="400" w:lineRule="exact"/>
        <w:ind w:firstLine="200"/>
        <w:rPr>
          <w:rFonts w:ascii="宋体" w:hAnsi="宋体" w:eastAsia="宋体" w:cs="宋体"/>
          <w:sz w:val="18"/>
          <w:szCs w:val="18"/>
        </w:rPr>
      </w:pPr>
      <w:r>
        <w:rPr>
          <w:rFonts w:hint="eastAsia" w:ascii="宋体" w:hAnsi="宋体" w:eastAsia="宋体" w:cs="宋体"/>
          <w:sz w:val="18"/>
          <w:szCs w:val="18"/>
        </w:rPr>
        <w:t>[9]中国统计年鉴(2006)[Z].北京:中国统计出版社.</w:t>
      </w:r>
    </w:p>
    <w:p w14:paraId="0825F282">
      <w:pPr>
        <w:adjustRightInd w:val="0"/>
        <w:snapToGrid w:val="0"/>
        <w:spacing w:line="400" w:lineRule="exact"/>
        <w:ind w:firstLine="200"/>
        <w:rPr>
          <w:rFonts w:ascii="宋体" w:hAnsi="宋体" w:eastAsia="宋体" w:cs="宋体"/>
          <w:szCs w:val="21"/>
        </w:rPr>
      </w:pPr>
      <w:r>
        <w:rPr>
          <w:rFonts w:hint="eastAsia" w:ascii="宋体" w:hAnsi="宋体" w:eastAsia="宋体" w:cs="宋体"/>
          <w:szCs w:val="21"/>
        </w:rPr>
        <w:t>（原载于《经济经纬》第2009年第1期，第二作者为胡乐明，第三作者为王中保，第四作者为彭五堂）</w:t>
      </w:r>
      <w:r>
        <w:rPr>
          <w:rFonts w:ascii="宋体" w:hAnsi="宋体" w:eastAsia="宋体" w:cs="宋体"/>
          <w:szCs w:val="21"/>
        </w:rPr>
        <w:br w:type="page"/>
      </w:r>
    </w:p>
    <w:p w14:paraId="30F6D889">
      <w:pPr>
        <w:keepNext/>
        <w:keepLines/>
        <w:widowControl/>
        <w:spacing w:line="480" w:lineRule="auto"/>
        <w:ind w:firstLine="198"/>
        <w:jc w:val="center"/>
        <w:outlineLvl w:val="1"/>
        <w:rPr>
          <w:rFonts w:ascii="黑体" w:hAnsi="黑体" w:eastAsia="黑体" w:cs="Times New Roman"/>
          <w:kern w:val="0"/>
          <w:sz w:val="32"/>
          <w:szCs w:val="32"/>
        </w:rPr>
      </w:pPr>
      <w:bookmarkStart w:id="1032" w:name="_Toc26037"/>
      <w:bookmarkStart w:id="1033" w:name="_Toc1193227139"/>
      <w:bookmarkStart w:id="1034" w:name="_Toc646975175"/>
      <w:r>
        <w:rPr>
          <w:rFonts w:hint="eastAsia" w:ascii="黑体" w:hAnsi="黑体" w:eastAsia="黑体" w:cs="Times New Roman"/>
          <w:kern w:val="0"/>
          <w:sz w:val="32"/>
          <w:szCs w:val="32"/>
        </w:rPr>
        <w:t>3蕴含丰富科学发展观的陈云经济思想研究</w:t>
      </w:r>
      <w:bookmarkEnd w:id="1032"/>
      <w:bookmarkEnd w:id="1033"/>
      <w:bookmarkEnd w:id="1034"/>
    </w:p>
    <w:p w14:paraId="68BDA54D">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陈云的经济思想，是我国第一代和第二代中央领导集体思想宝库的重要组成部分。胡锦涛总书记在陈云诞辰百年纪念大会上发表重要讲话时说：“陈云同志是伟大的无产阶级革命家、政治家，杰出的马克思主义者，中国社会主义经济建设的开创者和奠基人之一，党和国家久经考验的卓越领导人，是以毛泽东同志为核心的党的第一代中央领导集体和以邓小平同志为核心的党的第二代中央领导集体的重要成员。”</w:t>
      </w:r>
      <w:r>
        <w:rPr>
          <w:rFonts w:hint="eastAsia" w:ascii="宋体" w:hAnsi="宋体" w:eastAsia="宋体" w:cs="Times New Roman"/>
          <w:szCs w:val="21"/>
          <w:vertAlign w:val="superscript"/>
        </w:rPr>
        <w:t>[1]</w:t>
      </w:r>
      <w:r>
        <w:rPr>
          <w:rFonts w:hint="eastAsia" w:ascii="宋体" w:hAnsi="宋体" w:eastAsia="宋体" w:cs="Times New Roman"/>
          <w:szCs w:val="21"/>
        </w:rPr>
        <w:t>因此，研究陈云蕴含丰富科学发展理念的经济思想，既是对老一代伟大的无产阶级革命家和中国社会主义经济建设的开创者、奠基人的纪念，又是我们学习、研究和深入贯彻落实科学发展观的现实需要。</w:t>
      </w:r>
    </w:p>
    <w:p w14:paraId="5E46C42E">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研究陈云经济思想的科学发展意蕴，至少应着眼于两个层面，一是其萌芽性的科学发展观理念研究；二是其经济工作方法对我们深入贯彻落实科学发展观的重要启示。</w:t>
      </w:r>
    </w:p>
    <w:p w14:paraId="6611E3FF">
      <w:pPr>
        <w:spacing w:line="400" w:lineRule="exact"/>
        <w:ind w:firstLine="500" w:firstLineChars="200"/>
        <w:rPr>
          <w:rFonts w:ascii="黑体" w:hAnsi="黑体" w:eastAsia="黑体" w:cs="Times New Roman"/>
          <w:sz w:val="24"/>
          <w:szCs w:val="18"/>
        </w:rPr>
      </w:pPr>
      <w:r>
        <w:rPr>
          <w:rFonts w:hint="eastAsia" w:ascii="黑体" w:hAnsi="黑体" w:eastAsia="黑体" w:cs="Times New Roman"/>
          <w:sz w:val="24"/>
          <w:szCs w:val="18"/>
        </w:rPr>
        <w:t>一、陈云“把发展作为党执政兴国第一要务”思想的萌芽与科学发展观的第一要义</w:t>
      </w:r>
    </w:p>
    <w:p w14:paraId="109FB342">
      <w:pPr>
        <w:spacing w:line="400" w:lineRule="exact"/>
        <w:ind w:firstLine="440" w:firstLineChars="200"/>
        <w:rPr>
          <w:rFonts w:ascii="Calibri" w:hAnsi="Calibri" w:eastAsia="宋体" w:cs="Times New Roman"/>
          <w:b/>
          <w:color w:val="FF0000"/>
          <w:sz w:val="24"/>
          <w:szCs w:val="18"/>
        </w:rPr>
      </w:pPr>
      <w:r>
        <w:rPr>
          <w:rFonts w:hint="eastAsia" w:ascii="宋体" w:hAnsi="宋体" w:eastAsia="宋体" w:cs="Times New Roman"/>
          <w:szCs w:val="21"/>
        </w:rPr>
        <w:t>科学发展观的第一要义是发展。正如党的十七大报告所指出的那样：“必须坚持把发展作为党执政兴国的第一要务。发展，对于全面建设小康社会、加快推进社会主义现代化，具有决定性意义。”因此，“要牢牢扭住经济建设这个中心，坚持聚精会神搞建设、一心一意谋发展，不断解放和发展社会生产力。”</w:t>
      </w:r>
      <w:r>
        <w:rPr>
          <w:rFonts w:hint="eastAsia" w:ascii="宋体" w:hAnsi="宋体" w:eastAsia="宋体" w:cs="Times New Roman"/>
          <w:szCs w:val="21"/>
          <w:vertAlign w:val="superscript"/>
        </w:rPr>
        <w:t>[2]</w:t>
      </w:r>
      <w:r>
        <w:rPr>
          <w:rFonts w:hint="eastAsia" w:ascii="宋体" w:hAnsi="宋体" w:eastAsia="宋体" w:cs="Times New Roman"/>
          <w:szCs w:val="21"/>
        </w:rPr>
        <w:t>（以下凡党的十七大报告的引文不再加注）这在一定意义上，是对我国社会主义建设历史经验和规律的高度概括和总结。陈云“坚持把发展作为党执政兴国的第一要务”的萌芽思想，是其中一个不可或缺的部分。</w:t>
      </w:r>
    </w:p>
    <w:p w14:paraId="64D41527">
      <w:pPr>
        <w:spacing w:line="400" w:lineRule="exact"/>
        <w:ind w:firstLine="440" w:firstLineChars="200"/>
        <w:rPr>
          <w:rFonts w:ascii="Calibri" w:hAnsi="Calibri" w:eastAsia="宋体" w:cs="Times New Roman"/>
          <w:b/>
          <w:color w:val="FF0000"/>
          <w:sz w:val="24"/>
          <w:szCs w:val="18"/>
        </w:rPr>
      </w:pPr>
      <w:r>
        <w:rPr>
          <w:rFonts w:hint="eastAsia" w:ascii="宋体" w:hAnsi="宋体" w:eastAsia="宋体" w:cs="Times New Roman"/>
          <w:b/>
          <w:szCs w:val="21"/>
        </w:rPr>
        <w:t>（一）陈云“坚持把发展作为党执政兴国的第一要务”思想的萌芽</w:t>
      </w:r>
    </w:p>
    <w:p w14:paraId="5BE5C91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陈云参与领导新中国经济工作时期，我们党还没有提出“科学发展观，第一要义是发展”、“坚持把发展作为党执政兴国的第一要务”等重要思想。但仔细研究可以发现，陈云在主持中央经济工作的几十年中始终贯穿着萌芽性的“必须坚持把发展作为党执政兴国的第一要务”的科学发展观思想。仅上个世纪70 年代末，陈云就对“发展”的迫切性一再强调。1978年12月在中央工作会议上，陈云严肃地指出：“建国快30 年了，现在还有讨饭的，怎么行呢？”“如果老是不解决这个问题，恐怕农民就会造反，支部书记会带队进城要饭。”</w:t>
      </w:r>
      <w:r>
        <w:rPr>
          <w:rFonts w:hint="eastAsia" w:ascii="宋体" w:hAnsi="宋体" w:eastAsia="宋体" w:cs="Times New Roman"/>
          <w:szCs w:val="21"/>
          <w:vertAlign w:val="superscript"/>
        </w:rPr>
        <w:t>[3]（p.236）</w:t>
      </w:r>
      <w:r>
        <w:rPr>
          <w:rFonts w:hint="eastAsia" w:ascii="宋体" w:hAnsi="宋体" w:eastAsia="宋体" w:cs="Times New Roman"/>
          <w:szCs w:val="21"/>
        </w:rPr>
        <w:t>1979 年3 月21 日的中央政治局会议上，陈云再次尖锐地指出：“革命胜利30 年了，人民要求改善生活。有没有改善？有。但不少地方还有要饭的，这是个大问题。”“不估计到这种情况， 整个经济搞不好。”“这个现实的情况，是制定建设蓝图的出发点。”</w:t>
      </w:r>
      <w:r>
        <w:rPr>
          <w:rFonts w:hint="eastAsia" w:ascii="宋体" w:hAnsi="宋体" w:eastAsia="宋体" w:cs="Times New Roman"/>
          <w:szCs w:val="21"/>
          <w:vertAlign w:val="superscript"/>
        </w:rPr>
        <w:t>[3]（p.250）</w:t>
      </w:r>
      <w:r>
        <w:rPr>
          <w:rFonts w:hint="eastAsia" w:ascii="宋体" w:hAnsi="宋体" w:eastAsia="宋体" w:cs="Times New Roman"/>
          <w:szCs w:val="21"/>
        </w:rPr>
        <w:t>由此足见陈云对经济发展重要意义认识的深刻，加速经济发展心情的迫切，以及其“努力实现以人为本、全面协调可持续的科学发展，实现各方面事业有机统一、社会成员团结和睦的和谐发展” 等科学发展观思想的萌芽。可以说，陈云“坚持把发展作为党执政兴国的第一要务”这一科学发展观思想的萌芽，根植于他对经济发展对社会主义所具有的“决定性意义”的深刻认识和实践体验。</w:t>
      </w:r>
    </w:p>
    <w:p w14:paraId="1322F5D4">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陈云这一具有萌芽特征的科学发展观经济思想，对于我们贯彻落实科学发展观最重要的启示，就是立足于“人民要求改善生活”和建立“有利于人民的社会主义经济”来认识发展的重要意义。这一启示，用党的十七大主题和科学发展观表述，就是“高举中国特色社会主义伟大旗帜”，“始终把实现好、维护好、发展好最广大人民的根本利益作为党和国家一切工作的出发点和落脚点……， 做到发展为了人民、发展依靠人民、发展成果由人民共享”。在此基础上，再“牢牢扭住经济建设这个中心，坚持聚精会神搞建设、一心一意谋发展，不断解放和发展社会生产力”，采取各种发展措施，“实现又好又快发展”，使社会主义的本质和优越性充分彰显。</w:t>
      </w:r>
    </w:p>
    <w:p w14:paraId="7EAFF8BD">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中国特色社会主义经济基础，一直处于迫切要求加强的过程之中。赶超西方发达国家的强烈愿望，始终在站起来的中国人民心中处于核心地位。由此看“急于求成”的发展思想长期影响着人们， 同时也影响着许多地方的发展。因此，怎样认识“发展”，对于贯彻落实科学发展观，实现“科学发展”，依然很重要。</w:t>
      </w:r>
    </w:p>
    <w:p w14:paraId="0354E83B">
      <w:pPr>
        <w:spacing w:line="400" w:lineRule="exact"/>
        <w:ind w:firstLine="440" w:firstLineChars="200"/>
        <w:rPr>
          <w:rFonts w:ascii="宋体" w:hAnsi="宋体" w:eastAsia="宋体" w:cs="Times New Roman"/>
          <w:b/>
          <w:szCs w:val="21"/>
        </w:rPr>
      </w:pPr>
      <w:r>
        <w:rPr>
          <w:rFonts w:hint="eastAsia" w:ascii="宋体" w:hAnsi="宋体" w:eastAsia="宋体" w:cs="Times New Roman"/>
          <w:b/>
          <w:szCs w:val="21"/>
        </w:rPr>
        <w:t>（二）正确理解、深刻认识“发展”的内涵</w:t>
      </w:r>
    </w:p>
    <w:p w14:paraId="7203E11C">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1978 年，陈云针对当时面临的经济问题指出：“我们要坚持实事求是， 就是要根据现状，找出解决问题的办法。首先要弄清事实，这是关键问题。”</w:t>
      </w:r>
      <w:r>
        <w:rPr>
          <w:rFonts w:hint="eastAsia" w:ascii="宋体" w:hAnsi="宋体" w:eastAsia="宋体" w:cs="Times New Roman"/>
          <w:szCs w:val="21"/>
          <w:vertAlign w:val="superscript"/>
        </w:rPr>
        <w:t>[3]（p.235）</w:t>
      </w:r>
      <w:r>
        <w:rPr>
          <w:rFonts w:hint="eastAsia" w:ascii="宋体" w:hAnsi="宋体" w:eastAsia="宋体" w:cs="Times New Roman"/>
          <w:szCs w:val="21"/>
        </w:rPr>
        <w:t>“首先要弄清事实，这是关键问题”，是陈云经济思想的精髓之一，也是其经济工作方法。我们今天深入贯彻落实科学发展观，应该像陈云“首先要弄清事实”那样，首先弄清什么是“发展”这一关键问题。</w:t>
      </w:r>
    </w:p>
    <w:p w14:paraId="5C245FAB">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科学发展观的“发展”，并不等同于“增长”的发展。其完整的含义是： 在世界观和方法论上， 是现存事物运动发展内部矛盾运动为根本动力的“发展”；在中国特色社会主义建设实践上， 是坚持四项基本原则和全面建设小康社会目标不断完善上的“发展”；在人与自然的关系上，是尊重自然规律，重视把握自然限度，构建人与自然生态化和谐共存的“发展”；在人的社会地位和自身素质升华提高上， 是人民当家作主和积极推进、实现人的全面而自由发展为价值取向的“发展”。基于这些科学发展观的“发展”理念，我们党根据中国特色社会主义主要矛盾以及国家面临的内外政治、经济形势所包含的矛盾运动态势，把发展提到了“第一要务”高度，并提出了构建社会主义和谐社会及和谐世界的目标；在党的十六大提出物质文明、政治文明、精神文明、生态良好的文明建设的基础上，党的十七大提出了“建设生态文明”，“生态文明观念在全社会牢固确立” 的历史任务和社会建设的新要求； 基于中国特色社会主义基本经济制度，提出了“以人为本”，“尊重人民主体地位，发挥人民首创精神，保障人民各项权益，走共同富裕道路，促进人的全面发展，做到发展为了人民、发展依靠人民、发展成果由人民共享”；尤其是党的十七大把“加快转变经济增长方式”改为“加快转变经济发展方式”后，科学发展理念已渗透到经济建设的各个方面。但由于过去相当长时期经济建设中把发展等同于增长的惯性，即较少顾及资源的承载力和人民生活水平的提高上，过分追求GDP增长的现象惯性，一些地方现在依然存在违背经济规律，妨碍科学发展，影响社会和谐的现象，这其中最为重要的原因是对“发展”缺乏正确认识，或者根本不清楚什么是科学发展观的“发展”。这种认识不改进提高，科学发展观不仅难以真正贯彻，而且会扭曲科学发展观的“发展”内涵。</w:t>
      </w:r>
    </w:p>
    <w:p w14:paraId="3649981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可以说，领会陈云立足于“人民要求改善生活”来认识发展的重要意义和实事求是的经济思想精髓，光大陈云按经济规律办事的思想方法和工作方法，树立正确的“发展”理念，是我们深入贯彻落实科学发展观首先要解决的问题。</w:t>
      </w:r>
    </w:p>
    <w:p w14:paraId="71A779CB">
      <w:pPr>
        <w:spacing w:line="400" w:lineRule="exact"/>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二、陈云一切“有利于人民”的经济思想与科学发展观的核心</w:t>
      </w:r>
    </w:p>
    <w:p w14:paraId="4C80FA44">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科学发展观把以人为本作为核心，这是对马克思主义关于人类发展的出发点、落脚点思想的继承、运用和发展，也是对党全心全意为人民服务的宗旨在新的历史起点上的创造性阐发和升华。其中，包括对陈云一切“有利于人民”的经济思想的继承和发展。</w:t>
      </w:r>
    </w:p>
    <w:p w14:paraId="5F06FD8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陈云一向十分关注并反复强调经济发展的目的性和社会主义性质。“一要吃饭，二要建设”，是陈云在主持中央财政工作时提出的基本理财方针。早在1956年，针对社会主义改造中出现“只顾完成产值和利润” 的急于求成现象，陈云警示性地指出，这“不能适应人民消费的需要”，“要把我国资本主义工商业和个体农业、手工业，改造成为这样一种有利于人民的社会主义经济。”“在我国出现的决不会是资本主义市场，而是适合于我国情况和人民需要的社会主义的市场。”</w:t>
      </w:r>
      <w:r>
        <w:rPr>
          <w:rFonts w:hint="eastAsia" w:ascii="宋体" w:hAnsi="宋体" w:eastAsia="宋体" w:cs="Times New Roman"/>
          <w:szCs w:val="21"/>
          <w:vertAlign w:val="superscript"/>
        </w:rPr>
        <w:t>[3]（pp.5、7、12-13）</w:t>
      </w:r>
      <w:r>
        <w:rPr>
          <w:rFonts w:hint="eastAsia" w:ascii="宋体" w:hAnsi="宋体" w:eastAsia="宋体" w:cs="Times New Roman"/>
          <w:szCs w:val="21"/>
        </w:rPr>
        <w:t>近30年后的l985年6月29日，针对经济建设和经济体制改革忽视甚至忘记经济建设和改革目的的情况， 陈云尖锐地指出：“在党中央领导下我们国家现在进行的经济建设，是社会主义的经济建设，经济体制改革也是社会主义的经济体制改革。任何一个共产党员，每时每刻都必须牢记，我们是搞社会主义的四个现代化，不能搞别的现代化；我们进行的事业，是社会主义事业。”</w:t>
      </w:r>
      <w:r>
        <w:rPr>
          <w:rFonts w:hint="eastAsia" w:ascii="宋体" w:hAnsi="宋体" w:eastAsia="宋体" w:cs="Times New Roman"/>
          <w:szCs w:val="21"/>
          <w:vertAlign w:val="superscript"/>
        </w:rPr>
        <w:t>[3]（pp.250、347、251）</w:t>
      </w:r>
    </w:p>
    <w:p w14:paraId="4A2A957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陈云这些始终一切以人民利益、人民需要为出发点的经济思想，既是他对社会主义经济建设本质和规律的深刻认识，又是他在经济建设中对我们党全心全意为人民服务宗旨的具体阐释和实践。而当我们从科学发展观以人为本核心的理论高度，来认识陈云这一经济思想时，可以寻到科学发展观以人为本核心思想的历史渊源。</w:t>
      </w:r>
    </w:p>
    <w:p w14:paraId="1AA48FB1">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人类历史的发展，经历了一个从物本主义到神本主义再到人本主义的规律性变迁升华过程。当今世界的基本发展理念，日渐进入人本主义的轨道。在人类发展理念这一深层变迁过程中，历史业已证明，资本主义较早提出的所谓以人为本的人本主义，反映的是劳动大众从物的奴隶到神的奴隶再到人（生产资料私人垄断者）的奴隶的经济社会发展过程，深深打着物本主义和神本主义历史烙印。马克思主义科学人本主义， 是按照人的异化复归规律，让人力产权的基本生存权、全面发展权、公平共享权、主人履责权</w:t>
      </w:r>
      <w:r>
        <w:rPr>
          <w:rFonts w:hint="eastAsia" w:ascii="宋体" w:hAnsi="宋体" w:eastAsia="宋体" w:cs="Times New Roman"/>
          <w:szCs w:val="21"/>
          <w:vertAlign w:val="superscript"/>
        </w:rPr>
        <w:t>[4]</w:t>
      </w:r>
      <w:r>
        <w:rPr>
          <w:rFonts w:hint="eastAsia" w:ascii="宋体" w:hAnsi="宋体" w:eastAsia="宋体" w:cs="Times New Roman"/>
          <w:szCs w:val="21"/>
        </w:rPr>
        <w:t>得以尽可能地充分实现，使所有人成为物和社会的主人，尽可能保障人的全面而自由发展的人本主义。迄今为止，两千多年私有制为基础的社会历史和近一百年公有制为基础的社会主义历史的一个基本结论是，人成为物的和社会的主人，并可能实现人的全面、自由发展的基本经济制度，只能是公有制为主体、多种所有制经济共同发展的基本经济制度。因而，在中国特色社会主义建设中，必须“毫不动摇地巩固和发展公有制经济，毫不动摇地鼓励、支持、引导非公有制经济发展”。坚持这两个“毫不动摇”的目的，用陈云的话说， 就是建立“有利于人民的社会主义经济”。当然，这既是科学社会主义基本原则，又是我们党建设中国特色社会主义一贯坚持的科学社会主义常识性内容。但是，国际上东欧被“和平演变”，国内新自由主义思潮对中国特色社会主义经济基础的严重削弱， 使一些人，包括一些老资格的专家学者，对科学社会主义的这些基本原则发生了动摇。因此，在深入贯彻落实科学发展观，全面落实党的十七大精神过程中，我们应该也必须像陈云那样，政治上清醒、坚定地时刻牢记，“我们国家现在进行的经济建设，是社会主义的经济建设，经济体制改革也是社会主义的经济体制改革”；“要始终把实现好、维护好、发展好最广大人民的根本利益作为党和国家一切工作的出发点和落脚点……做到发展为了人民、发展依靠人民、发展成果由人民共享”。从而把科学发展观以人为本的核心思想，进一步落实出成效，造福于人民，用中国特色社会主义建设更加辉煌的成就，排除新自由主义思潮和民主社会主义思潮的干扰，推进中华民族的伟大复兴。</w:t>
      </w:r>
    </w:p>
    <w:p w14:paraId="168CBE22">
      <w:pPr>
        <w:spacing w:line="400" w:lineRule="exact"/>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三、陈云有计划按比例发展的经济思想与科学发展观的基本要求</w:t>
      </w:r>
    </w:p>
    <w:p w14:paraId="434A9BEF">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科学发展观的基本要求是“全面协调可持续”， 其科学内涵正如十七大报告所表述的那样：“要按照中国特色社会主义事业总体布局，全面推进经济建设、政治建设、文化建设、社会建设，促进现代化建设各个环节、各个方面相协调，促进生产关系与生产力、上层建筑与经济基础相协调。坚持生产发展、生活富裕、生态良好的文明发展道路，建设资源节约型、环境友好型社会，实现速度和结构质量效益相统一、经济发展与人口资源环境相协调，使人民在良好生态环境中生产生活，实现经济社会永续发展。”这是我党对马克思社会基本矛盾理论和社会化经济有计划按比例发展理论中国化的现代表述。其基本运行方式是，以社会主义基本经济制度为基础“按照中国特色社会主义事业总体布局”，既坚持国家宏观调控，又充分发挥市场对资源的基础性配置作用，保障经济社会的“全面（是‘各个方面’而不是片面追求GDP——本文作者注。下同。）协调（而不是速度和结构质量效益、经济发展与人口资源环境失调、消费需求结构畸形、收入分配相对两极分化）可持续（而不是不顾环境、资源承载力地‘吃子孙饭’、不同阶级、阶层之间利益对抗性矛盾尖锐）发展”，来不断满足人们日益增长的物质、文化和良好生态环境的需要。</w:t>
      </w:r>
    </w:p>
    <w:p w14:paraId="1498C43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对于社会化大生产必须按比例分配社会劳动的规律，不仅是马克思以及马克思以后的马克思主义者的观点，凯恩斯等许多西方济学家也以某种方式认可并提出了国家干预经济的政策措施。但近年来，一些学者受新自由主义的影响，打着否定苏联传统计划经济的幌子，神化私有产权，奉行市场原教旨主义，形而上学地把马克思主义经济理论家一贯倡导的基于社会化大生产的有计划按比例分配社会劳动的经济发展规律，戴上计划经济的帽子并予以否定。事实上， 中国的新自由主义对马克思主义经济学的全盘否定，已在很大程度上阻碍了科学发展观“全面协调可持续”基本要求的贯彻落实。当前，美国次贷危机诱发的金融危机已演化为全面经济危机的趋势， 严重威胁着我国经济的“全面协调可持续”发展。我们党把科学发展观的基本要求定义为“全面协调可持续”，是对中国特色社会主义经济规律的高度概括。其理论依据，即马克思主义的社会化大生产必须按比例分配社会劳动的规律；其实践依据，即依据科学社会主义基本原则总结的社会主义建设经验。其中，包括陈云作为我国社会主义建设规律最初探索者所做出的重要贡献。</w:t>
      </w:r>
    </w:p>
    <w:p w14:paraId="7CDA74D2">
      <w:pPr>
        <w:spacing w:line="400" w:lineRule="exact"/>
        <w:ind w:firstLine="440" w:firstLineChars="200"/>
        <w:rPr>
          <w:rFonts w:ascii="宋体" w:hAnsi="宋体" w:eastAsia="宋体" w:cs="Times New Roman"/>
          <w:szCs w:val="21"/>
          <w:vertAlign w:val="superscript"/>
        </w:rPr>
      </w:pPr>
      <w:r>
        <w:rPr>
          <w:rFonts w:hint="eastAsia" w:ascii="宋体" w:hAnsi="宋体" w:eastAsia="宋体" w:cs="Times New Roman"/>
          <w:szCs w:val="21"/>
        </w:rPr>
        <w:t>对于陈云的有计划按比例发展经济思想，著名统计学家李成瑞分析说， 新中国建立后，陈云主持全国财政、外汇、物资的统一管理和调度过程中，迅速制止了长期战争形成的严重通货膨胀，奠定了综合平衡思想的经验基础；在制定和实施第一个五年计划的过程中，及时努力地纠正了1953年、1956年的两次小冒进，使综合平衡的思想臻于成熟，并于1957年初从理论上作了系统的阐述。“有人认为陈云的综合平衡思想是在高度集中的计划经济体制下产生的，而且只适用于高度集中的计划经济体制，这是一种误解。上述史实说明，他的综合平衡思想是在多种经济成份并存，计划经济尚未建立或开始建立的情况下产生和逐步形成的。他关于综合平衡的论述，包含着理论与方法两个层次。其中的理论层次是有计划按比例发展规律的反映，在社会主义经济发展中是长期适用的；而实施方法的层次则是随着各个时期经济体制的不同而变化的。”</w:t>
      </w:r>
      <w:r>
        <w:rPr>
          <w:rFonts w:hint="eastAsia" w:ascii="宋体" w:hAnsi="宋体" w:eastAsia="宋体" w:cs="Times New Roman"/>
          <w:szCs w:val="21"/>
          <w:vertAlign w:val="superscript"/>
        </w:rPr>
        <w:t>[5]</w:t>
      </w:r>
    </w:p>
    <w:p w14:paraId="10B1B6C0">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陈云有计划按比例发展的经济思想，在1979 年的有关文献中表达得十分明确：“有计划工作的规则：有计划按比例。这一思想来之于马克思。”“在社会主义革命还没有在一个国家胜利以前，马克思就设想过社会主义经济将是有计划按比例发展的，这个理论是完全正确的。”“整个社会主义时期必须有两种经济：（1）计划经济部分（有计划按比例的部分）；（2）市场经济部分（即不作计划，只根据市场供求的变化进行生产，即带有盲目性的部分）。”“第一部分是基本的主要的；第二部分是从属的次要的，但又是必需的。”</w:t>
      </w:r>
      <w:r>
        <w:rPr>
          <w:rFonts w:hint="eastAsia" w:ascii="宋体" w:hAnsi="宋体" w:eastAsia="宋体" w:cs="Times New Roman"/>
          <w:szCs w:val="21"/>
          <w:vertAlign w:val="superscript"/>
        </w:rPr>
        <w:t>[3]（pp.244-245）</w:t>
      </w:r>
      <w:r>
        <w:rPr>
          <w:rFonts w:hint="eastAsia" w:ascii="宋体" w:hAnsi="宋体" w:eastAsia="宋体" w:cs="Times New Roman"/>
          <w:szCs w:val="21"/>
        </w:rPr>
        <w:t>陈云的有计划按比例发展的经济思想，后来被学界称之为“鸟笼经济理论”。</w:t>
      </w:r>
    </w:p>
    <w:p w14:paraId="06A4F8E2">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陈云有计划按比例发展经济思想中另外一个不可忽视的内涵，是关于人与自然关系的萌芽思想。1979年，陈云写信给当时的国务院领导，他指出：“经济建设必须尽早注意的两个问题”，“（一）全国各地的水资源情况。……今后工厂的设立必须注意到用水。”“（二）工业污染问题。……今后办厂必须把处理污染问题放在设计的首要位置，真正做到防害于先，这是重大问题。”</w:t>
      </w:r>
      <w:r>
        <w:rPr>
          <w:rFonts w:hint="eastAsia" w:ascii="宋体" w:hAnsi="宋体" w:eastAsia="宋体" w:cs="Times New Roman"/>
          <w:szCs w:val="21"/>
          <w:vertAlign w:val="superscript"/>
        </w:rPr>
        <w:t>[3]（p.263）</w:t>
      </w:r>
      <w:r>
        <w:rPr>
          <w:rFonts w:hint="eastAsia" w:ascii="宋体" w:hAnsi="宋体" w:eastAsia="宋体" w:cs="Times New Roman"/>
          <w:szCs w:val="21"/>
        </w:rPr>
        <w:t xml:space="preserve"> 陈云这一人类社会系统与自然生态系统之间按比例协调发展的经济思想，在党的经济建设思想史上，理应视为党的十七大提出“建设生态文明”，“生态文明观念在全社会牢固确立”重要精神的萌芽。</w:t>
      </w:r>
    </w:p>
    <w:p w14:paraId="1C7FD5F9">
      <w:pPr>
        <w:spacing w:line="400" w:lineRule="exact"/>
        <w:ind w:firstLine="440" w:firstLineChars="200"/>
        <w:rPr>
          <w:rFonts w:ascii="宋体" w:hAnsi="宋体" w:eastAsia="宋体" w:cs="Times New Roman"/>
          <w:szCs w:val="21"/>
          <w:vertAlign w:val="superscript"/>
        </w:rPr>
      </w:pPr>
      <w:r>
        <w:rPr>
          <w:rFonts w:hint="eastAsia" w:ascii="宋体" w:hAnsi="宋体" w:eastAsia="宋体" w:cs="Times New Roman"/>
          <w:szCs w:val="21"/>
        </w:rPr>
        <w:t>对于陈云的经济有计划按比例发展思想，毛泽东、邓小平都有过高度评价。1958 年，“大跃进”初期，对于高征购、高指标、浮夸风等违反经济规律的现象，陈云曾有与毛泽东不同的看法。1957 年，陈云提出“建设规模要和国力相适应”、“要重视研究国民经济的比例关系”，并具体提出“重工业、轻工业、农业的投资比例，要根据毛主席在《论十大关系》所提出的方针加以安排”等等。</w:t>
      </w:r>
      <w:r>
        <w:rPr>
          <w:rFonts w:hint="eastAsia" w:ascii="宋体" w:hAnsi="宋体" w:eastAsia="宋体" w:cs="Times New Roman"/>
          <w:szCs w:val="21"/>
          <w:vertAlign w:val="superscript"/>
        </w:rPr>
        <w:t>[3]（pp.52、56-57）</w:t>
      </w:r>
      <w:r>
        <w:rPr>
          <w:rFonts w:hint="eastAsia" w:ascii="宋体" w:hAnsi="宋体" w:eastAsia="宋体" w:cs="Times New Roman"/>
          <w:szCs w:val="21"/>
        </w:rPr>
        <w:t>毛泽东当时对这些话并不高兴，曾批评陈云离“右派”只有50 米。但是，1959年4月，毛泽东说：“在武昌发表1959年粮、棉、钢、煤的数字问题上，正确的就是陈云一个人。一月上旬，也是他正确，不是别个正确，别个同志不善谋。”到1959年6 月底，毛泽东又说：“不晓得讲了多少年的有计划按比例发展，就是不注意，不是综合平衡。各个工业部门跟农业部门的联系，重、轻、农的联系，就没有顾到。”</w:t>
      </w:r>
      <w:r>
        <w:rPr>
          <w:rFonts w:hint="eastAsia" w:ascii="宋体" w:hAnsi="宋体" w:eastAsia="宋体" w:cs="Times New Roman"/>
          <w:szCs w:val="21"/>
          <w:vertAlign w:val="superscript"/>
        </w:rPr>
        <w:t>[6]（pp.940、949）</w:t>
      </w:r>
    </w:p>
    <w:p w14:paraId="71CC0194">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邓小平对陈云有计划按比例发展经济思想进行了高度评价， 比毛泽东更为及时了当。1980年12月16日，陈云在中央工作会议上一再强调“按经济规律办事”，认为对许多方面，“在一定时期内，国家干预是必要的”、“好事要做，又要量力而行”等等。</w:t>
      </w:r>
      <w:r>
        <w:rPr>
          <w:rFonts w:hint="eastAsia" w:ascii="宋体" w:hAnsi="宋体" w:eastAsia="宋体" w:cs="Times New Roman"/>
          <w:szCs w:val="21"/>
          <w:vertAlign w:val="superscript"/>
        </w:rPr>
        <w:t>[3]（pp.278-279）</w:t>
      </w:r>
      <w:r>
        <w:rPr>
          <w:rFonts w:hint="eastAsia" w:ascii="宋体" w:hAnsi="宋体" w:eastAsia="宋体" w:cs="Times New Roman"/>
          <w:szCs w:val="21"/>
        </w:rPr>
        <w:t>几天后，即1980年12月25日，也是在这个会议上，邓小平说：“我完全同意陈云同志的讲话。这个讲话在一系列的问题上正确地总结了我国三十一年来经济工作的经验教训，是我们今后长期的指导方针。”“我们的经济一直存在着比例严重失调的问题。……到三中全会前后，更发展成为财政不平衡、信贷不平衡、物资不平衡、外汇收支不平衡的局面。”“生产建设、行政设施、人民生活的改善，都要量力而行，量入为出。这就是实事求是。”</w:t>
      </w:r>
      <w:r>
        <w:rPr>
          <w:rFonts w:hint="eastAsia" w:ascii="宋体" w:hAnsi="宋体" w:eastAsia="宋体" w:cs="Times New Roman"/>
          <w:szCs w:val="21"/>
          <w:vertAlign w:val="superscript"/>
        </w:rPr>
        <w:t>[7]（pp.354-355）</w:t>
      </w:r>
    </w:p>
    <w:p w14:paraId="002EEC28">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从毛泽东、邓小平对陈云有计划按比例发展经济思想的高度评价，我们既可以看出毛泽东、邓小平的领袖胸怀和实事求是精神，又可以看出陈云对经济有计划按比例发展思想的重大贡献。经济有计划按比例发展思想，作为社会主义的建设经验和宝贵的精神财富，在上个世纪80年代被许多政治经济学教科书结合马克思的有关论述，概括为社会主义有计划按比例发展规律。虽然社会化经济有计划按比例发展规律，曾经在我国长期社会主义经济建设中，因计划的比例过大、过细，计划的商品过多，而使我们的经济体制成为高度集权的计划经济，事与愿违地在相当程度上偏离了按比例发展规律的本质要求（这是我们进行经济体制改革的主要原因），但这不是这一规律本身的错，是对规律运用出现的失误。现在从科学发展观的理论高度总结这段历史，可以说，毛泽东、邓小平、陈云关于有计划按比例发展经济思想，已经构成我们党提出“全面协调可持续”发展观念的历史经验基础。即有计划按比例发展规律，现在已经升华为科学发展观的全面协调可持续理论。当前，深入贯彻落实科学发展观所进行的扩大内需和构建公平高效、共同富裕的收入分配体制；调整经济结构和生产力布局；加强经济宏观调控以防止经济“冷热病”；建设生态文明以处理好人与自然的关系等等，无不基于这一规律。因此，进一步总结陈云等老一代有计划按比例发展的经济思想，排除新自由主义思潮的市场原教旨主义干扰，应该是我们深入贯彻落实科学发展观，实现中国特色社会主义经济全面协调可持续发展的重要理论和实践任务之一。</w:t>
      </w:r>
    </w:p>
    <w:p w14:paraId="1846E39A">
      <w:pPr>
        <w:spacing w:line="400" w:lineRule="exact"/>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四、陈云的统筹兼顾经济思想与科学发展观的根本方法</w:t>
      </w:r>
    </w:p>
    <w:p w14:paraId="5D39F51B">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科学发展观统筹兼顾的根本方法，是科学发展观落到实处、见出成效的基本路径，十分重要。为此，党的十七大报告指出：“要正确认识和妥善处理中国特色社会主义事业中的重大关系，统筹城乡发展、区域发展、经济社会发展、人与自然和谐发展、国内发展和对外开放，统筹中央和地方关系，统筹个人利益和集体利益、局部利益和整体利益、当前利益和长远利益，充分调动各方面积极性。统筹国内国际两个大局，树立世界眼光，加强战略思维，善于从国际形势发展变化中把握发展机遇、应对风险挑战，营造良好国际环境。既要总揽全局、统筹规划，又要抓住牵动全局的主要工作、事关群众利益的突出问题，着力推进、重点突破。”十七大报告这些对科学发展观统筹兼顾根本方法的精辟概括，其思想理论来源和历史实践基础之一，是陈云的统筹兼顾经济建设思想和实践经验。</w:t>
      </w:r>
    </w:p>
    <w:p w14:paraId="588BD941">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陈云的统筹兼顾经济思想，在《陈云文选》中随处可见，贯穿陈云几十年经济工作的始终。陈云有计划按比例发展经济思想，是其统筹兼顾经济思想在宏观经济管理上的集中表现。而其相对微观或集宏观、中观、微观于一体的统筹兼顾经济思想，从他在党的“八大”二次全会上所作的《解决猪肉和其他副食品供应紧张的办法》</w:t>
      </w:r>
      <w:r>
        <w:rPr>
          <w:rFonts w:hint="eastAsia" w:ascii="宋体" w:hAnsi="宋体" w:eastAsia="宋体" w:cs="Times New Roman"/>
          <w:szCs w:val="21"/>
          <w:vertAlign w:val="superscript"/>
        </w:rPr>
        <w:t>[3]（pp.14-16）</w:t>
      </w:r>
      <w:r>
        <w:rPr>
          <w:rFonts w:hint="eastAsia" w:ascii="宋体" w:hAnsi="宋体" w:eastAsia="宋体" w:cs="Times New Roman"/>
          <w:szCs w:val="21"/>
        </w:rPr>
        <w:t>这一讲话，可见一斑。陈云针对当时解决猪肉和其他副食品供应紧张等问题，从粮食的购销到猪的收购、从猪的饲养到猪病的防治、从养殖业到种植业、从价格政策到贸易政策、从市场开放到市场管理等等，统筹兼顾地作了较为全面详尽的安排。现在回过头来，从贯彻落实科学发展观的角度看，可以说，陈云较早地探索或演义了科学发展观的统筹兼顾根本方法。</w:t>
      </w:r>
    </w:p>
    <w:p w14:paraId="05293C5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陈云的统筹兼顾经济思想，还散见于他关于马克思主义哲学性理论著述中。如《怎样才能少犯错误》、《怎样使我们的认识更正确些》、《不唯上、不唯书、只唯实，交换、比较、反复》等等。那些闪耀着辩证唯物主义光辉的思想观点，包含着具有鲜明实践特色的统筹兼顾经济思想，这是他留给我们的宝贵的精神财富。</w:t>
      </w:r>
    </w:p>
    <w:p w14:paraId="473E43BD">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当然，陈云的统筹兼顾经济思想，还没有达到科学发展观根本方法的境界。在理论抽象的深刻层次以及立意高远上，要比科学发展观的统筹兼顾根本方法思想逊色些。尽管如此，有一点应该是毋容置疑的。那就是，陈云具有鲜明实践特色的统筹兼顾思想，为科学发展观统筹兼顾根本方法的思想奠定了历史实践基础。这样，我们在陈云统筹兼顾经济思想构成与科学发展观既一脉相承又与时俱进的历史内涵上，再次看到了陈云在中国特色社会主义理论体系形成、创立和不断完善的过程中，做出的历史性杰出贡献。而这，正是研究陈云统筹兼顾经济思想的现实意义之所在。</w:t>
      </w:r>
    </w:p>
    <w:p w14:paraId="060F51BF">
      <w:pPr>
        <w:spacing w:line="400" w:lineRule="exact"/>
        <w:ind w:firstLine="500" w:firstLineChars="200"/>
        <w:jc w:val="center"/>
        <w:rPr>
          <w:rFonts w:ascii="黑体" w:hAnsi="黑体" w:eastAsia="黑体" w:cs="Times New Roman"/>
          <w:sz w:val="24"/>
          <w:szCs w:val="18"/>
        </w:rPr>
      </w:pPr>
      <w:r>
        <w:rPr>
          <w:rFonts w:hint="eastAsia" w:ascii="黑体" w:hAnsi="黑体" w:eastAsia="黑体" w:cs="Times New Roman"/>
          <w:sz w:val="24"/>
          <w:szCs w:val="18"/>
        </w:rPr>
        <w:t>五、结语</w:t>
      </w:r>
    </w:p>
    <w:p w14:paraId="4D318CC1">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党的十七大报告中的三个“我们要永远铭记”，是新一届党中央高举中国特色社会主义伟大旗帜，坚定不移走中国特色社会主义伟大道路的坚强决心和信心的表达，也是新一届党中央对民主社会主义思潮和新自由主义思潮的历史虚无主义舆论的有力回应。从科学发展观的发展要义、以人为本核心、全面协调可持续的基本要求、统筹兼顾的根本方法四个层面反观陈云经济思想，管窥我们党第一代和第二代中央领导集体为科学发展观等中国特色社会主义理论体系的形成、创新和发展，为中国特色社会主义道路的开辟和取得举世瞩目的伟大成就所奠定的历史性实践基础和理论基础，进一步领略陈云等老一代中国特色社会主义奠基者政治上始终清醒、坚定，工作上实事求是、求真务实的领袖风采，无论对于我们深刻领会党的十七大报告的三个“我们要永远铭记”精神所包含的既一脉相承又与时俱进的历史内涵，还是对于我们进一步深入学习和贯彻落实科学发展观，更好地高举中国特色社会主义伟大旗帜， 加速中国特色社会主义建设，实现中华民族的伟大复兴，都具有重要的理论意义和实践意义。</w:t>
      </w:r>
    </w:p>
    <w:p w14:paraId="6A52DDA5">
      <w:pPr>
        <w:spacing w:line="400" w:lineRule="exact"/>
        <w:ind w:firstLine="200"/>
        <w:rPr>
          <w:rFonts w:ascii="宋体" w:hAnsi="宋体" w:eastAsia="宋体" w:cs="Times New Roman"/>
          <w:szCs w:val="21"/>
        </w:rPr>
      </w:pPr>
    </w:p>
    <w:p w14:paraId="19FA807D">
      <w:pPr>
        <w:spacing w:line="400" w:lineRule="exact"/>
        <w:ind w:firstLine="200"/>
        <w:rPr>
          <w:rFonts w:ascii="宋体" w:hAnsi="宋体" w:eastAsia="宋体" w:cs="Times New Roman"/>
          <w:b/>
          <w:szCs w:val="21"/>
        </w:rPr>
      </w:pPr>
      <w:r>
        <w:rPr>
          <w:rFonts w:hint="eastAsia" w:ascii="宋体" w:hAnsi="宋体" w:eastAsia="宋体" w:cs="Times New Roman"/>
          <w:b/>
          <w:szCs w:val="21"/>
        </w:rPr>
        <w:t>[参考文献]</w:t>
      </w:r>
    </w:p>
    <w:p w14:paraId="1D610893">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[1] 胡锦涛.在陈云诞辰百年纪念大会上的讲话[EB/OL].新华网，</w:t>
      </w:r>
      <w:r>
        <w:rPr>
          <w:rFonts w:ascii="宋体" w:hAnsi="宋体" w:eastAsia="宋体" w:cs="Times New Roman"/>
          <w:sz w:val="18"/>
          <w:szCs w:val="18"/>
        </w:rPr>
        <w:t>2005-6-13.</w:t>
      </w:r>
    </w:p>
    <w:p w14:paraId="7EF47575">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[2] 胡锦涛.高举中国特色社会主义伟大旗帜为夺取全面建设小康社会新胜利而奋斗[J].求是，2007，(21).</w:t>
      </w:r>
    </w:p>
    <w:p w14:paraId="186BF245">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[3] 陈云文选(第3 卷)[M].北京:人民出版社，1995.</w:t>
      </w:r>
    </w:p>
    <w:p w14:paraId="6E8F5EE7">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[4] 程言君.再论人力产权及其对我国改革的意义[J]. 探索，2007，(2).</w:t>
      </w:r>
    </w:p>
    <w:p w14:paraId="49F91935">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[5] 李成瑞.按照历史的本来面目研究和理解陈云的经济思想[EB/OL].人大经济论坛网，2005-9-5.</w:t>
      </w:r>
    </w:p>
    <w:p w14:paraId="01E5D6BB">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[6] 逄先知，金冲及主编.毛泽东传[M].北京:中央文献出版社，</w:t>
      </w:r>
      <w:r>
        <w:rPr>
          <w:rFonts w:ascii="宋体" w:hAnsi="宋体" w:eastAsia="宋体" w:cs="Times New Roman"/>
          <w:sz w:val="18"/>
          <w:szCs w:val="18"/>
        </w:rPr>
        <w:t>2003.</w:t>
      </w:r>
    </w:p>
    <w:p w14:paraId="7E89295E">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[7] 邓小平文选(第2 卷)[M].北京:人民出版社，1994.（原载于《毛泽东邓小平理论研究》2009 年第2 期）</w:t>
      </w:r>
    </w:p>
    <w:p w14:paraId="38446719">
      <w:pPr>
        <w:spacing w:line="400" w:lineRule="exact"/>
        <w:ind w:firstLine="200"/>
        <w:rPr>
          <w:rFonts w:ascii="宋体" w:hAnsi="宋体" w:eastAsia="宋体" w:cs="Times New Roman"/>
          <w:szCs w:val="21"/>
        </w:rPr>
      </w:pPr>
    </w:p>
    <w:p w14:paraId="7FF1B62F">
      <w:pPr>
        <w:spacing w:line="400" w:lineRule="exact"/>
        <w:ind w:firstLine="200"/>
        <w:rPr>
          <w:rFonts w:ascii="宋体" w:hAnsi="宋体" w:eastAsia="宋体" w:cs="Times New Roman"/>
          <w:szCs w:val="21"/>
        </w:rPr>
      </w:pPr>
      <w:r>
        <w:rPr>
          <w:rFonts w:hint="eastAsia" w:ascii="宋体" w:hAnsi="宋体" w:eastAsia="宋体" w:cs="Times New Roman"/>
          <w:szCs w:val="21"/>
        </w:rPr>
        <w:t>（原载《毛泽东邓小平理论研究》2009年第2期）</w:t>
      </w:r>
    </w:p>
    <w:p w14:paraId="70E6277A">
      <w:pPr>
        <w:widowControl/>
        <w:spacing w:line="400" w:lineRule="exact"/>
        <w:ind w:firstLine="200"/>
        <w:rPr>
          <w:rFonts w:ascii="宋体" w:hAnsi="宋体" w:eastAsia="宋体" w:cs="Times New Roman"/>
          <w:szCs w:val="21"/>
        </w:rPr>
      </w:pPr>
      <w:r>
        <w:rPr>
          <w:rFonts w:ascii="宋体" w:hAnsi="宋体" w:eastAsia="宋体" w:cs="Times New Roman"/>
          <w:szCs w:val="21"/>
        </w:rPr>
        <w:br w:type="page"/>
      </w:r>
    </w:p>
    <w:p w14:paraId="79EA32B7">
      <w:pPr>
        <w:spacing w:line="480" w:lineRule="auto"/>
        <w:ind w:firstLine="198"/>
        <w:jc w:val="center"/>
        <w:outlineLvl w:val="1"/>
        <w:rPr>
          <w:rFonts w:ascii="黑体" w:hAnsi="黑体" w:eastAsia="黑体" w:cs="宋体"/>
          <w:kern w:val="0"/>
          <w:sz w:val="32"/>
          <w:szCs w:val="32"/>
        </w:rPr>
      </w:pPr>
      <w:bookmarkStart w:id="1035" w:name="_Toc30392"/>
      <w:bookmarkStart w:id="1036" w:name="_Toc1366229487"/>
      <w:bookmarkStart w:id="1037" w:name="_Toc1002061464"/>
      <w:r>
        <w:rPr>
          <w:rFonts w:hint="eastAsia" w:ascii="黑体" w:hAnsi="黑体" w:eastAsia="黑体" w:cs="宋体"/>
          <w:kern w:val="0"/>
          <w:sz w:val="32"/>
          <w:szCs w:val="32"/>
        </w:rPr>
        <w:t>4建立体现科学发展观要求的经济社会综合评价体系：科学发展观由理论到实践的纽带</w:t>
      </w:r>
      <w:bookmarkEnd w:id="1035"/>
      <w:bookmarkEnd w:id="1036"/>
      <w:bookmarkEnd w:id="1037"/>
    </w:p>
    <w:p w14:paraId="147D2329">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中共十六届三中全会提出了</w:t>
      </w:r>
      <w:r>
        <w:rPr>
          <w:rFonts w:hint="eastAsia" w:ascii="宋体" w:hAnsi="宋体" w:eastAsia="宋体" w:cs="B6+cajcd fnta1"/>
          <w:kern w:val="0"/>
          <w:szCs w:val="21"/>
        </w:rPr>
        <w:t>“</w:t>
      </w:r>
      <w:r>
        <w:rPr>
          <w:rFonts w:hint="eastAsia" w:ascii="宋体" w:hAnsi="宋体" w:eastAsia="宋体" w:cs="宋体"/>
          <w:kern w:val="0"/>
          <w:szCs w:val="21"/>
        </w:rPr>
        <w:t>科学发展观</w:t>
      </w:r>
      <w:r>
        <w:rPr>
          <w:rFonts w:hint="eastAsia" w:ascii="宋体" w:hAnsi="宋体" w:eastAsia="宋体" w:cs="B6+cajcd fnta1"/>
          <w:kern w:val="0"/>
          <w:szCs w:val="21"/>
        </w:rPr>
        <w:t>”</w:t>
      </w:r>
      <w:r>
        <w:rPr>
          <w:rFonts w:hint="eastAsia" w:ascii="宋体" w:hAnsi="宋体" w:eastAsia="宋体" w:cs="宋体"/>
          <w:kern w:val="0"/>
          <w:szCs w:val="21"/>
        </w:rPr>
        <w:t>的思想</w:t>
      </w:r>
      <w:r>
        <w:rPr>
          <w:rFonts w:hint="eastAsia" w:ascii="宋体" w:hAnsi="宋体" w:eastAsia="宋体" w:cs="B4+CAJ FNT00"/>
          <w:kern w:val="0"/>
          <w:szCs w:val="21"/>
        </w:rPr>
        <w:t>,</w:t>
      </w:r>
      <w:r>
        <w:rPr>
          <w:rFonts w:hint="eastAsia" w:ascii="宋体" w:hAnsi="宋体" w:eastAsia="宋体" w:cs="宋体"/>
          <w:kern w:val="0"/>
          <w:szCs w:val="21"/>
        </w:rPr>
        <w:t>即</w:t>
      </w:r>
      <w:r>
        <w:rPr>
          <w:rFonts w:hint="eastAsia" w:ascii="宋体" w:hAnsi="宋体" w:eastAsia="宋体" w:cs="B6+cajcd fnta1"/>
          <w:kern w:val="0"/>
          <w:szCs w:val="21"/>
        </w:rPr>
        <w:t>“</w:t>
      </w:r>
      <w:r>
        <w:rPr>
          <w:rFonts w:hint="eastAsia" w:ascii="宋体" w:hAnsi="宋体" w:eastAsia="宋体" w:cs="宋体"/>
          <w:kern w:val="0"/>
          <w:szCs w:val="21"/>
        </w:rPr>
        <w:t>坚持以人为本</w:t>
      </w:r>
      <w:r>
        <w:rPr>
          <w:rFonts w:hint="eastAsia" w:ascii="宋体" w:hAnsi="宋体" w:eastAsia="宋体" w:cs="B4+CAJ FNT00"/>
          <w:kern w:val="0"/>
          <w:szCs w:val="21"/>
        </w:rPr>
        <w:t>,</w:t>
      </w:r>
      <w:r>
        <w:rPr>
          <w:rFonts w:hint="eastAsia" w:ascii="宋体" w:hAnsi="宋体" w:eastAsia="宋体" w:cs="宋体"/>
          <w:kern w:val="0"/>
          <w:szCs w:val="21"/>
        </w:rPr>
        <w:t>树立全面</w:t>
      </w:r>
      <w:r>
        <w:rPr>
          <w:rFonts w:hint="eastAsia" w:ascii="宋体" w:hAnsi="宋体" w:eastAsia="宋体" w:cs="B6+cajcd fnta1"/>
          <w:kern w:val="0"/>
          <w:szCs w:val="21"/>
        </w:rPr>
        <w:t>、</w:t>
      </w:r>
      <w:r>
        <w:rPr>
          <w:rFonts w:hint="eastAsia" w:ascii="宋体" w:hAnsi="宋体" w:eastAsia="宋体" w:cs="宋体"/>
          <w:kern w:val="0"/>
          <w:szCs w:val="21"/>
        </w:rPr>
        <w:t>协调</w:t>
      </w:r>
      <w:r>
        <w:rPr>
          <w:rFonts w:hint="eastAsia" w:ascii="宋体" w:hAnsi="宋体" w:eastAsia="宋体" w:cs="B6+cajcd fnta1"/>
          <w:kern w:val="0"/>
          <w:szCs w:val="21"/>
        </w:rPr>
        <w:t>、</w:t>
      </w:r>
      <w:r>
        <w:rPr>
          <w:rFonts w:hint="eastAsia" w:ascii="宋体" w:hAnsi="宋体" w:eastAsia="宋体" w:cs="宋体"/>
          <w:kern w:val="0"/>
          <w:szCs w:val="21"/>
        </w:rPr>
        <w:t>可持续的发展观</w:t>
      </w:r>
      <w:r>
        <w:rPr>
          <w:rFonts w:hint="eastAsia" w:ascii="宋体" w:hAnsi="宋体" w:eastAsia="宋体" w:cs="B4+CAJ FNT00"/>
          <w:kern w:val="0"/>
          <w:szCs w:val="21"/>
        </w:rPr>
        <w:t>,</w:t>
      </w:r>
      <w:r>
        <w:rPr>
          <w:rFonts w:hint="eastAsia" w:ascii="宋体" w:hAnsi="宋体" w:eastAsia="宋体" w:cs="宋体"/>
          <w:kern w:val="0"/>
          <w:szCs w:val="21"/>
        </w:rPr>
        <w:t>促进经济社会和人的全面发展</w:t>
      </w:r>
      <w:r>
        <w:rPr>
          <w:rFonts w:hint="eastAsia" w:ascii="宋体" w:hAnsi="宋体" w:eastAsia="宋体" w:cs="B6+cajcd fnta1"/>
          <w:kern w:val="0"/>
          <w:szCs w:val="21"/>
        </w:rPr>
        <w:t>”</w:t>
      </w:r>
      <w:r>
        <w:rPr>
          <w:rFonts w:hint="eastAsia" w:ascii="宋体" w:hAnsi="宋体" w:eastAsia="宋体" w:cs="B4+CAJ FNT00"/>
          <w:kern w:val="0"/>
          <w:szCs w:val="21"/>
        </w:rPr>
        <w:t>,</w:t>
      </w:r>
      <w:r>
        <w:rPr>
          <w:rFonts w:hint="eastAsia" w:ascii="宋体" w:hAnsi="宋体" w:eastAsia="宋体" w:cs="宋体"/>
          <w:kern w:val="0"/>
          <w:szCs w:val="21"/>
        </w:rPr>
        <w:t>按照</w:t>
      </w:r>
      <w:r>
        <w:rPr>
          <w:rFonts w:hint="eastAsia" w:ascii="宋体" w:hAnsi="宋体" w:eastAsia="宋体" w:cs="B6+cajcd fnta1"/>
          <w:kern w:val="0"/>
          <w:szCs w:val="21"/>
        </w:rPr>
        <w:t>“</w:t>
      </w:r>
      <w:r>
        <w:rPr>
          <w:rFonts w:hint="eastAsia" w:ascii="宋体" w:hAnsi="宋体" w:eastAsia="宋体" w:cs="宋体"/>
          <w:kern w:val="0"/>
          <w:szCs w:val="21"/>
        </w:rPr>
        <w:t>统筹城乡发展</w:t>
      </w:r>
      <w:r>
        <w:rPr>
          <w:rFonts w:hint="eastAsia" w:ascii="宋体" w:hAnsi="宋体" w:eastAsia="宋体" w:cs="B6+cajcd fnta1"/>
          <w:kern w:val="0"/>
          <w:szCs w:val="21"/>
        </w:rPr>
        <w:t>、</w:t>
      </w:r>
      <w:r>
        <w:rPr>
          <w:rFonts w:hint="eastAsia" w:ascii="宋体" w:hAnsi="宋体" w:eastAsia="宋体" w:cs="宋体"/>
          <w:kern w:val="0"/>
          <w:szCs w:val="21"/>
        </w:rPr>
        <w:t>统筹区域发展</w:t>
      </w:r>
      <w:r>
        <w:rPr>
          <w:rFonts w:hint="eastAsia" w:ascii="宋体" w:hAnsi="宋体" w:eastAsia="宋体" w:cs="B6+cajcd fnta1"/>
          <w:kern w:val="0"/>
          <w:szCs w:val="21"/>
        </w:rPr>
        <w:t>、</w:t>
      </w:r>
      <w:r>
        <w:rPr>
          <w:rFonts w:hint="eastAsia" w:ascii="宋体" w:hAnsi="宋体" w:eastAsia="宋体" w:cs="宋体"/>
          <w:kern w:val="0"/>
          <w:szCs w:val="21"/>
        </w:rPr>
        <w:t>统筹经济社会发展</w:t>
      </w:r>
      <w:r>
        <w:rPr>
          <w:rFonts w:hint="eastAsia" w:ascii="宋体" w:hAnsi="宋体" w:eastAsia="宋体" w:cs="B6+cajcd fnta1"/>
          <w:kern w:val="0"/>
          <w:szCs w:val="21"/>
        </w:rPr>
        <w:t>、</w:t>
      </w:r>
      <w:r>
        <w:rPr>
          <w:rFonts w:hint="eastAsia" w:ascii="宋体" w:hAnsi="宋体" w:eastAsia="宋体" w:cs="宋体"/>
          <w:kern w:val="0"/>
          <w:szCs w:val="21"/>
        </w:rPr>
        <w:t>统筹人与自然和谐发展</w:t>
      </w:r>
      <w:r>
        <w:rPr>
          <w:rFonts w:hint="eastAsia" w:ascii="宋体" w:hAnsi="宋体" w:eastAsia="宋体" w:cs="B6+cajcd fnta1"/>
          <w:kern w:val="0"/>
          <w:szCs w:val="21"/>
        </w:rPr>
        <w:t>、</w:t>
      </w:r>
      <w:r>
        <w:rPr>
          <w:rFonts w:hint="eastAsia" w:ascii="宋体" w:hAnsi="宋体" w:eastAsia="宋体" w:cs="宋体"/>
          <w:kern w:val="0"/>
          <w:szCs w:val="21"/>
        </w:rPr>
        <w:t>统筹国内发展和对外开放</w:t>
      </w:r>
      <w:r>
        <w:rPr>
          <w:rFonts w:hint="eastAsia" w:ascii="宋体" w:hAnsi="宋体" w:eastAsia="宋体" w:cs="B6+cajcd fnta1"/>
          <w:kern w:val="0"/>
          <w:szCs w:val="21"/>
        </w:rPr>
        <w:t>”</w:t>
      </w:r>
      <w:r>
        <w:rPr>
          <w:rFonts w:hint="eastAsia" w:ascii="宋体" w:hAnsi="宋体" w:eastAsia="宋体" w:cs="宋体"/>
          <w:kern w:val="0"/>
          <w:szCs w:val="21"/>
        </w:rPr>
        <w:t>的要求推进各项事业的改革和发展</w:t>
      </w:r>
      <w:r>
        <w:rPr>
          <w:rFonts w:hint="eastAsia" w:ascii="宋体" w:hAnsi="宋体" w:eastAsia="宋体" w:cs="B6+cajcd fnta1"/>
          <w:kern w:val="0"/>
          <w:szCs w:val="21"/>
        </w:rPr>
        <w:t>。</w:t>
      </w:r>
      <w:r>
        <w:rPr>
          <w:rFonts w:hint="eastAsia" w:ascii="宋体" w:hAnsi="宋体" w:eastAsia="宋体" w:cs="宋体"/>
          <w:kern w:val="0"/>
          <w:szCs w:val="21"/>
        </w:rPr>
        <w:t>中共十六届四中全会通过的</w:t>
      </w:r>
      <w:r>
        <w:rPr>
          <w:rFonts w:hint="eastAsia" w:ascii="宋体" w:hAnsi="宋体" w:eastAsia="宋体" w:cs="B6+cajcd fnta1"/>
          <w:kern w:val="0"/>
          <w:szCs w:val="21"/>
        </w:rPr>
        <w:t>《</w:t>
      </w:r>
      <w:r>
        <w:rPr>
          <w:rFonts w:hint="eastAsia" w:ascii="宋体" w:hAnsi="宋体" w:eastAsia="宋体" w:cs="宋体"/>
          <w:kern w:val="0"/>
          <w:szCs w:val="21"/>
        </w:rPr>
        <w:t>中共中央关于加强党的执政能力建设的决定</w:t>
      </w:r>
      <w:r>
        <w:rPr>
          <w:rFonts w:hint="eastAsia" w:ascii="宋体" w:hAnsi="宋体" w:eastAsia="宋体" w:cs="B6+cajcd fnta1"/>
          <w:kern w:val="0"/>
          <w:szCs w:val="21"/>
        </w:rPr>
        <w:t>》</w:t>
      </w:r>
      <w:r>
        <w:rPr>
          <w:rFonts w:hint="eastAsia" w:ascii="宋体" w:hAnsi="宋体" w:eastAsia="宋体" w:cs="宋体"/>
          <w:kern w:val="0"/>
          <w:szCs w:val="21"/>
        </w:rPr>
        <w:t>中指出</w:t>
      </w:r>
      <w:r>
        <w:rPr>
          <w:rFonts w:hint="eastAsia" w:ascii="宋体" w:hAnsi="宋体" w:eastAsia="宋体" w:cs="B4+CAJ FNT00"/>
          <w:kern w:val="0"/>
          <w:szCs w:val="21"/>
        </w:rPr>
        <w:t>：</w:t>
      </w:r>
      <w:r>
        <w:rPr>
          <w:rFonts w:hint="eastAsia" w:ascii="宋体" w:hAnsi="宋体" w:eastAsia="宋体" w:cs="B6+cajcd fnta1"/>
          <w:kern w:val="0"/>
          <w:szCs w:val="21"/>
        </w:rPr>
        <w:t>“</w:t>
      </w:r>
      <w:r>
        <w:rPr>
          <w:rFonts w:hint="eastAsia" w:ascii="宋体" w:hAnsi="宋体" w:eastAsia="宋体" w:cs="宋体"/>
          <w:kern w:val="0"/>
          <w:szCs w:val="21"/>
        </w:rPr>
        <w:t>坚持把发展作为党执政兴国的第一要务</w:t>
      </w:r>
      <w:r>
        <w:rPr>
          <w:rFonts w:hint="eastAsia" w:ascii="宋体" w:hAnsi="宋体" w:eastAsia="宋体" w:cs="B4+CAJ FNT00"/>
          <w:kern w:val="0"/>
          <w:szCs w:val="21"/>
        </w:rPr>
        <w:t>,</w:t>
      </w:r>
      <w:r>
        <w:rPr>
          <w:rFonts w:hint="eastAsia" w:ascii="宋体" w:hAnsi="宋体" w:eastAsia="宋体" w:cs="宋体"/>
          <w:kern w:val="0"/>
          <w:szCs w:val="21"/>
        </w:rPr>
        <w:t>不断提高驾驭社会主义市场经济的能力</w:t>
      </w:r>
      <w:r>
        <w:rPr>
          <w:rFonts w:hint="eastAsia" w:ascii="宋体" w:hAnsi="宋体" w:eastAsia="宋体" w:cs="B4+CAJ FNT00"/>
          <w:kern w:val="0"/>
          <w:szCs w:val="21"/>
        </w:rPr>
        <w:t>,</w:t>
      </w:r>
      <w:r>
        <w:rPr>
          <w:rFonts w:hint="eastAsia" w:ascii="宋体" w:hAnsi="宋体" w:eastAsia="宋体" w:cs="宋体"/>
          <w:kern w:val="0"/>
          <w:szCs w:val="21"/>
        </w:rPr>
        <w:t>坚持以人为本</w:t>
      </w:r>
      <w:r>
        <w:rPr>
          <w:rFonts w:hint="eastAsia" w:ascii="宋体" w:hAnsi="宋体" w:eastAsia="宋体" w:cs="B4+CAJ FNT00"/>
          <w:kern w:val="0"/>
          <w:szCs w:val="21"/>
        </w:rPr>
        <w:t>,</w:t>
      </w:r>
      <w:r>
        <w:rPr>
          <w:rFonts w:hint="eastAsia" w:ascii="宋体" w:hAnsi="宋体" w:eastAsia="宋体" w:cs="宋体"/>
          <w:kern w:val="0"/>
          <w:szCs w:val="21"/>
        </w:rPr>
        <w:t>树立全面</w:t>
      </w:r>
      <w:r>
        <w:rPr>
          <w:rFonts w:hint="eastAsia" w:ascii="宋体" w:hAnsi="宋体" w:eastAsia="宋体" w:cs="B6+cajcd fnta1"/>
          <w:kern w:val="0"/>
          <w:szCs w:val="21"/>
        </w:rPr>
        <w:t>、</w:t>
      </w:r>
      <w:r>
        <w:rPr>
          <w:rFonts w:hint="eastAsia" w:ascii="宋体" w:hAnsi="宋体" w:eastAsia="宋体" w:cs="宋体"/>
          <w:kern w:val="0"/>
          <w:szCs w:val="21"/>
        </w:rPr>
        <w:t>协调</w:t>
      </w:r>
      <w:r>
        <w:rPr>
          <w:rFonts w:hint="eastAsia" w:ascii="宋体" w:hAnsi="宋体" w:eastAsia="宋体" w:cs="B6+cajcd fnta1"/>
          <w:kern w:val="0"/>
          <w:szCs w:val="21"/>
        </w:rPr>
        <w:t>、</w:t>
      </w:r>
      <w:r>
        <w:rPr>
          <w:rFonts w:hint="eastAsia" w:ascii="宋体" w:hAnsi="宋体" w:eastAsia="宋体" w:cs="宋体"/>
          <w:kern w:val="0"/>
          <w:szCs w:val="21"/>
        </w:rPr>
        <w:t>可持续的发展观</w:t>
      </w:r>
      <w:r>
        <w:rPr>
          <w:rFonts w:hint="eastAsia" w:ascii="宋体" w:hAnsi="宋体" w:eastAsia="宋体" w:cs="B4+CAJ FNT00"/>
          <w:kern w:val="0"/>
          <w:szCs w:val="21"/>
        </w:rPr>
        <w:t>,</w:t>
      </w:r>
      <w:r>
        <w:rPr>
          <w:rFonts w:hint="eastAsia" w:ascii="宋体" w:hAnsi="宋体" w:eastAsia="宋体" w:cs="宋体"/>
          <w:kern w:val="0"/>
          <w:szCs w:val="21"/>
        </w:rPr>
        <w:t>更好地推动经济社会发展</w:t>
      </w:r>
      <w:r>
        <w:rPr>
          <w:rFonts w:hint="eastAsia" w:ascii="宋体" w:hAnsi="宋体" w:eastAsia="宋体" w:cs="B4+CAJ FNT00"/>
          <w:kern w:val="0"/>
          <w:szCs w:val="21"/>
        </w:rPr>
        <w:t>,</w:t>
      </w:r>
      <w:r>
        <w:rPr>
          <w:rFonts w:hint="eastAsia" w:ascii="宋体" w:hAnsi="宋体" w:eastAsia="宋体" w:cs="宋体"/>
          <w:kern w:val="0"/>
          <w:szCs w:val="21"/>
        </w:rPr>
        <w:t>建立体现科学发展观要求的经济社会发展综合评价体系</w:t>
      </w:r>
      <w:r>
        <w:rPr>
          <w:rFonts w:hint="eastAsia" w:ascii="宋体" w:hAnsi="宋体" w:eastAsia="宋体" w:cs="B6+cajcd fnta1"/>
          <w:kern w:val="0"/>
          <w:szCs w:val="21"/>
        </w:rPr>
        <w:t>。”</w:t>
      </w:r>
      <w:r>
        <w:rPr>
          <w:rFonts w:hint="eastAsia" w:ascii="宋体" w:hAnsi="宋体" w:eastAsia="宋体" w:cs="宋体"/>
          <w:kern w:val="0"/>
          <w:szCs w:val="21"/>
        </w:rPr>
        <w:t>所以</w:t>
      </w:r>
      <w:r>
        <w:rPr>
          <w:rFonts w:hint="eastAsia" w:ascii="宋体" w:hAnsi="宋体" w:eastAsia="宋体" w:cs="B4+CAJ FNT00"/>
          <w:kern w:val="0"/>
          <w:szCs w:val="21"/>
        </w:rPr>
        <w:t>,</w:t>
      </w:r>
      <w:r>
        <w:rPr>
          <w:rFonts w:hint="eastAsia" w:ascii="宋体" w:hAnsi="宋体" w:eastAsia="宋体" w:cs="宋体"/>
          <w:kern w:val="0"/>
          <w:szCs w:val="21"/>
        </w:rPr>
        <w:t>建立体现科学发展观要求的经济社会综合评价体系</w:t>
      </w:r>
      <w:r>
        <w:rPr>
          <w:rFonts w:hint="eastAsia" w:ascii="宋体" w:hAnsi="宋体" w:eastAsia="宋体" w:cs="B4+CAJ FNT00"/>
          <w:kern w:val="0"/>
          <w:szCs w:val="21"/>
        </w:rPr>
        <w:t>,</w:t>
      </w:r>
      <w:r>
        <w:rPr>
          <w:rFonts w:hint="eastAsia" w:ascii="宋体" w:hAnsi="宋体" w:eastAsia="宋体" w:cs="宋体"/>
          <w:kern w:val="0"/>
          <w:szCs w:val="21"/>
        </w:rPr>
        <w:t>是科学发展观由理论到实践的纽带</w:t>
      </w:r>
      <w:r>
        <w:rPr>
          <w:rFonts w:hint="eastAsia" w:ascii="宋体" w:hAnsi="宋体" w:eastAsia="宋体" w:cs="B6+cajcd fnta1"/>
          <w:kern w:val="0"/>
          <w:szCs w:val="21"/>
        </w:rPr>
        <w:t>。</w:t>
      </w:r>
    </w:p>
    <w:p w14:paraId="595B8E61">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从经济理论研究的视角看</w:t>
      </w:r>
      <w:r>
        <w:rPr>
          <w:rFonts w:hint="eastAsia" w:ascii="宋体" w:hAnsi="宋体" w:eastAsia="宋体" w:cs="B4+CAJ FNT00"/>
          <w:kern w:val="0"/>
          <w:szCs w:val="21"/>
        </w:rPr>
        <w:t>,</w:t>
      </w:r>
      <w:r>
        <w:rPr>
          <w:rFonts w:hint="eastAsia" w:ascii="宋体" w:hAnsi="宋体" w:eastAsia="宋体" w:cs="宋体"/>
          <w:kern w:val="0"/>
          <w:szCs w:val="21"/>
        </w:rPr>
        <w:t>长期以来</w:t>
      </w:r>
      <w:r>
        <w:rPr>
          <w:rFonts w:hint="eastAsia" w:ascii="宋体" w:hAnsi="宋体" w:eastAsia="宋体" w:cs="B4+CAJ FNT00"/>
          <w:kern w:val="0"/>
          <w:szCs w:val="21"/>
        </w:rPr>
        <w:t>,</w:t>
      </w:r>
      <w:r>
        <w:rPr>
          <w:rFonts w:hint="eastAsia" w:ascii="宋体" w:hAnsi="宋体" w:eastAsia="宋体" w:cs="宋体"/>
          <w:kern w:val="0"/>
          <w:szCs w:val="21"/>
        </w:rPr>
        <w:t>经济理论和经济政策研究从根本上讲还是把经济系统作为一个独立系统来看待</w:t>
      </w:r>
      <w:r>
        <w:rPr>
          <w:rFonts w:hint="eastAsia" w:ascii="宋体" w:hAnsi="宋体" w:eastAsia="宋体" w:cs="B4+CAJ FNT00"/>
          <w:kern w:val="0"/>
          <w:szCs w:val="21"/>
        </w:rPr>
        <w:t>,</w:t>
      </w:r>
      <w:r>
        <w:rPr>
          <w:rFonts w:hint="eastAsia" w:ascii="宋体" w:hAnsi="宋体" w:eastAsia="宋体" w:cs="宋体"/>
          <w:kern w:val="0"/>
          <w:szCs w:val="21"/>
        </w:rPr>
        <w:t>单一研究经济系统量的增加和结构改善</w:t>
      </w:r>
      <w:r>
        <w:rPr>
          <w:rFonts w:hint="eastAsia" w:ascii="宋体" w:hAnsi="宋体" w:eastAsia="宋体" w:cs="B4+CAJ FNT00"/>
          <w:kern w:val="0"/>
          <w:szCs w:val="21"/>
        </w:rPr>
        <w:t>(</w:t>
      </w:r>
      <w:r>
        <w:rPr>
          <w:rFonts w:hint="eastAsia" w:ascii="宋体" w:hAnsi="宋体" w:eastAsia="宋体" w:cs="宋体"/>
          <w:kern w:val="0"/>
          <w:szCs w:val="21"/>
        </w:rPr>
        <w:t>经济增长和经济结构调整</w:t>
      </w:r>
      <w:r>
        <w:rPr>
          <w:rFonts w:hint="eastAsia" w:ascii="宋体" w:hAnsi="宋体" w:eastAsia="宋体" w:cs="B4+CAJ FNT00"/>
          <w:kern w:val="0"/>
          <w:szCs w:val="21"/>
        </w:rPr>
        <w:t>),</w:t>
      </w:r>
      <w:r>
        <w:rPr>
          <w:rFonts w:hint="eastAsia" w:ascii="宋体" w:hAnsi="宋体" w:eastAsia="宋体" w:cs="宋体"/>
          <w:kern w:val="0"/>
          <w:szCs w:val="21"/>
        </w:rPr>
        <w:t>本质上仍然循着经济增长的路径展开</w:t>
      </w:r>
      <w:r>
        <w:rPr>
          <w:rFonts w:hint="eastAsia" w:ascii="宋体" w:hAnsi="宋体" w:eastAsia="宋体" w:cs="B4+CAJ FNT00"/>
          <w:kern w:val="0"/>
          <w:szCs w:val="21"/>
        </w:rPr>
        <w:t>,</w:t>
      </w:r>
      <w:r>
        <w:rPr>
          <w:rFonts w:hint="eastAsia" w:ascii="宋体" w:hAnsi="宋体" w:eastAsia="宋体" w:cs="宋体"/>
          <w:kern w:val="0"/>
          <w:szCs w:val="21"/>
        </w:rPr>
        <w:t>忽视了经济增长或经济发展与资源环境系统之间的内在联系</w:t>
      </w:r>
      <w:r>
        <w:rPr>
          <w:rFonts w:hint="eastAsia" w:ascii="宋体" w:hAnsi="宋体" w:eastAsia="宋体" w:cs="B4+CAJ FNT00"/>
          <w:kern w:val="0"/>
          <w:szCs w:val="21"/>
        </w:rPr>
        <w:t>,</w:t>
      </w:r>
      <w:r>
        <w:rPr>
          <w:rFonts w:hint="eastAsia" w:ascii="宋体" w:hAnsi="宋体" w:eastAsia="宋体" w:cs="宋体"/>
          <w:kern w:val="0"/>
          <w:szCs w:val="21"/>
        </w:rPr>
        <w:t>或者说我们的经济理论研究和经济政策研究根本没有找到经济系统与资源环境系统之间联系的切入点</w:t>
      </w:r>
      <w:r>
        <w:rPr>
          <w:rFonts w:hint="eastAsia" w:ascii="宋体" w:hAnsi="宋体" w:eastAsia="宋体" w:cs="B4+CAJ FNT00"/>
          <w:kern w:val="0"/>
          <w:szCs w:val="21"/>
        </w:rPr>
        <w:t>,</w:t>
      </w:r>
      <w:r>
        <w:rPr>
          <w:rFonts w:hint="eastAsia" w:ascii="宋体" w:hAnsi="宋体" w:eastAsia="宋体" w:cs="宋体"/>
          <w:kern w:val="0"/>
          <w:szCs w:val="21"/>
        </w:rPr>
        <w:t>这是建立体现科学发展观要求的经济社会综合评价体系必须要解决的重要问题</w:t>
      </w:r>
      <w:r>
        <w:rPr>
          <w:rFonts w:hint="eastAsia" w:ascii="宋体" w:hAnsi="宋体" w:eastAsia="宋体" w:cs="B6+cajcd fnta1"/>
          <w:kern w:val="0"/>
          <w:szCs w:val="21"/>
        </w:rPr>
        <w:t>。</w:t>
      </w:r>
    </w:p>
    <w:p w14:paraId="10EC7CB3">
      <w:pPr>
        <w:autoSpaceDE w:val="0"/>
        <w:autoSpaceDN w:val="0"/>
        <w:adjustRightInd w:val="0"/>
        <w:spacing w:line="360" w:lineRule="auto"/>
        <w:ind w:firstLine="500" w:firstLineChars="200"/>
        <w:jc w:val="center"/>
        <w:rPr>
          <w:rFonts w:ascii="宋体" w:hAnsi="宋体" w:eastAsia="宋体" w:cs="宋体"/>
          <w:b/>
          <w:kern w:val="0"/>
          <w:sz w:val="24"/>
          <w:szCs w:val="24"/>
        </w:rPr>
      </w:pPr>
      <w:r>
        <w:rPr>
          <w:rFonts w:hint="eastAsia" w:ascii="宋体" w:hAnsi="宋体" w:eastAsia="宋体" w:cs="宋体"/>
          <w:b/>
          <w:kern w:val="0"/>
          <w:sz w:val="24"/>
          <w:szCs w:val="24"/>
        </w:rPr>
        <w:t>一</w:t>
      </w:r>
      <w:r>
        <w:rPr>
          <w:rFonts w:hint="eastAsia" w:ascii="宋体" w:hAnsi="宋体" w:eastAsia="宋体" w:cs="B6+cajcd fnta1"/>
          <w:b/>
          <w:kern w:val="0"/>
          <w:sz w:val="24"/>
          <w:szCs w:val="24"/>
        </w:rPr>
        <w:t>、</w:t>
      </w:r>
      <w:r>
        <w:rPr>
          <w:rFonts w:hint="eastAsia" w:ascii="宋体" w:hAnsi="宋体" w:eastAsia="宋体" w:cs="宋体"/>
          <w:b/>
          <w:kern w:val="0"/>
          <w:sz w:val="24"/>
          <w:szCs w:val="24"/>
        </w:rPr>
        <w:t>科学发展观研究的若干重要问题与存在的不足</w:t>
      </w:r>
    </w:p>
    <w:p w14:paraId="3C6952A2">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学术界对科学发展观的深入研究主要围绕以下一些重要问题展开</w:t>
      </w:r>
      <w:r>
        <w:rPr>
          <w:rFonts w:hint="eastAsia" w:ascii="宋体" w:hAnsi="宋体" w:eastAsia="宋体" w:cs="B4+CAJ FNT00"/>
          <w:kern w:val="0"/>
          <w:szCs w:val="21"/>
        </w:rPr>
        <w:t>：</w:t>
      </w:r>
    </w:p>
    <w:p w14:paraId="78EDE279">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第一</w:t>
      </w:r>
      <w:r>
        <w:rPr>
          <w:rFonts w:hint="eastAsia" w:ascii="宋体" w:hAnsi="宋体" w:eastAsia="宋体" w:cs="B4+CAJ FNT00"/>
          <w:kern w:val="0"/>
          <w:szCs w:val="21"/>
        </w:rPr>
        <w:t>,</w:t>
      </w:r>
      <w:r>
        <w:rPr>
          <w:rFonts w:hint="eastAsia" w:ascii="宋体" w:hAnsi="宋体" w:eastAsia="宋体" w:cs="宋体"/>
          <w:kern w:val="0"/>
          <w:szCs w:val="21"/>
        </w:rPr>
        <w:t>科学发展观的背景和理论渊源</w:t>
      </w:r>
      <w:r>
        <w:rPr>
          <w:rFonts w:hint="eastAsia" w:ascii="宋体" w:hAnsi="宋体" w:eastAsia="宋体" w:cs="B6+cajcd fnta1"/>
          <w:kern w:val="0"/>
          <w:szCs w:val="21"/>
        </w:rPr>
        <w:t>。</w:t>
      </w:r>
      <w:r>
        <w:rPr>
          <w:rFonts w:hint="eastAsia" w:ascii="宋体" w:hAnsi="宋体" w:eastAsia="宋体" w:cs="宋体"/>
          <w:kern w:val="0"/>
          <w:szCs w:val="21"/>
        </w:rPr>
        <w:t>科学发展观是中国共产党在科学判断国际形势和世界发展趋势的基础上提出来的</w:t>
      </w:r>
      <w:r>
        <w:rPr>
          <w:rFonts w:hint="eastAsia" w:ascii="宋体" w:hAnsi="宋体" w:eastAsia="宋体" w:cs="B4+CAJ FNT00"/>
          <w:kern w:val="0"/>
          <w:szCs w:val="21"/>
        </w:rPr>
        <w:t>,</w:t>
      </w:r>
      <w:r>
        <w:rPr>
          <w:rFonts w:hint="eastAsia" w:ascii="宋体" w:hAnsi="宋体" w:eastAsia="宋体" w:cs="宋体"/>
          <w:kern w:val="0"/>
          <w:szCs w:val="21"/>
        </w:rPr>
        <w:t>反映了当代最新的发展理念</w:t>
      </w:r>
      <w:r>
        <w:rPr>
          <w:rFonts w:hint="eastAsia" w:ascii="宋体" w:hAnsi="宋体" w:eastAsia="宋体" w:cs="B4+CAJ FNT00"/>
          <w:kern w:val="0"/>
          <w:szCs w:val="21"/>
        </w:rPr>
        <w:t>,</w:t>
      </w:r>
      <w:r>
        <w:rPr>
          <w:rFonts w:hint="eastAsia" w:ascii="宋体" w:hAnsi="宋体" w:eastAsia="宋体" w:cs="宋体"/>
          <w:kern w:val="0"/>
          <w:szCs w:val="21"/>
        </w:rPr>
        <w:t>顺应了世界发展的潮流</w:t>
      </w:r>
      <w:r>
        <w:rPr>
          <w:rFonts w:hint="eastAsia" w:ascii="宋体" w:hAnsi="宋体" w:eastAsia="宋体" w:cs="B4+CAJ FNT00"/>
          <w:kern w:val="0"/>
          <w:szCs w:val="21"/>
        </w:rPr>
        <w:t>,</w:t>
      </w:r>
      <w:r>
        <w:rPr>
          <w:rFonts w:hint="eastAsia" w:ascii="宋体" w:hAnsi="宋体" w:eastAsia="宋体" w:cs="宋体"/>
          <w:kern w:val="0"/>
          <w:szCs w:val="21"/>
        </w:rPr>
        <w:t>是对人类社会发展经验和教训的深刻总结和科学概括</w:t>
      </w:r>
      <w:r>
        <w:rPr>
          <w:rFonts w:hint="eastAsia" w:ascii="宋体" w:hAnsi="宋体" w:eastAsia="宋体" w:cs="B4+CAJ FNT00"/>
          <w:kern w:val="0"/>
          <w:szCs w:val="21"/>
        </w:rPr>
        <w:t>；</w:t>
      </w:r>
      <w:r>
        <w:rPr>
          <w:rFonts w:hint="eastAsia" w:ascii="宋体" w:hAnsi="宋体" w:eastAsia="宋体" w:cs="宋体"/>
          <w:kern w:val="0"/>
          <w:szCs w:val="21"/>
        </w:rPr>
        <w:t>科学发展观是中国共产党总结我国社会主现代化建设的实践经验</w:t>
      </w:r>
      <w:r>
        <w:rPr>
          <w:rFonts w:hint="eastAsia" w:ascii="宋体" w:hAnsi="宋体" w:eastAsia="宋体" w:cs="B4+CAJ FNT00"/>
          <w:kern w:val="0"/>
          <w:szCs w:val="21"/>
        </w:rPr>
        <w:t>,</w:t>
      </w:r>
      <w:r>
        <w:rPr>
          <w:rFonts w:hint="eastAsia" w:ascii="宋体" w:hAnsi="宋体" w:eastAsia="宋体" w:cs="宋体"/>
          <w:kern w:val="0"/>
          <w:szCs w:val="21"/>
        </w:rPr>
        <w:t>借鉴世界其他国家发展的经验教训</w:t>
      </w:r>
      <w:r>
        <w:rPr>
          <w:rFonts w:hint="eastAsia" w:ascii="宋体" w:hAnsi="宋体" w:eastAsia="宋体" w:cs="B4+CAJ FNT00"/>
          <w:kern w:val="0"/>
          <w:szCs w:val="21"/>
        </w:rPr>
        <w:t>,</w:t>
      </w:r>
      <w:r>
        <w:rPr>
          <w:rFonts w:hint="eastAsia" w:ascii="宋体" w:hAnsi="宋体" w:eastAsia="宋体" w:cs="宋体"/>
          <w:kern w:val="0"/>
          <w:szCs w:val="21"/>
        </w:rPr>
        <w:t>立足中国国情和社会发展的阶段性特征</w:t>
      </w:r>
      <w:r>
        <w:rPr>
          <w:rFonts w:hint="eastAsia" w:ascii="宋体" w:hAnsi="宋体" w:eastAsia="宋体" w:cs="B4+CAJ FNT00"/>
          <w:kern w:val="0"/>
          <w:szCs w:val="21"/>
        </w:rPr>
        <w:t>,</w:t>
      </w:r>
      <w:r>
        <w:rPr>
          <w:rFonts w:hint="eastAsia" w:ascii="宋体" w:hAnsi="宋体" w:eastAsia="宋体" w:cs="宋体"/>
          <w:kern w:val="0"/>
          <w:szCs w:val="21"/>
        </w:rPr>
        <w:t>紧扣发展中国特色社会主义市场经济这个主题</w:t>
      </w:r>
      <w:r>
        <w:rPr>
          <w:rFonts w:hint="eastAsia" w:ascii="宋体" w:hAnsi="宋体" w:eastAsia="宋体" w:cs="B4+CAJ FNT00"/>
          <w:kern w:val="0"/>
          <w:szCs w:val="21"/>
        </w:rPr>
        <w:t>,</w:t>
      </w:r>
      <w:r>
        <w:rPr>
          <w:rFonts w:hint="eastAsia" w:ascii="宋体" w:hAnsi="宋体" w:eastAsia="宋体" w:cs="宋体"/>
          <w:kern w:val="0"/>
          <w:szCs w:val="21"/>
        </w:rPr>
        <w:t>为促进经济社会和人的全面发展提出来的</w:t>
      </w:r>
      <w:r>
        <w:rPr>
          <w:rFonts w:hint="eastAsia" w:ascii="宋体" w:hAnsi="宋体" w:eastAsia="宋体" w:cs="B4+CAJ FNT00"/>
          <w:kern w:val="0"/>
          <w:szCs w:val="21"/>
        </w:rPr>
        <w:t>；</w:t>
      </w:r>
      <w:r>
        <w:rPr>
          <w:rFonts w:hint="eastAsia" w:ascii="宋体" w:hAnsi="宋体" w:eastAsia="宋体" w:cs="宋体"/>
          <w:kern w:val="0"/>
          <w:szCs w:val="21"/>
        </w:rPr>
        <w:t>科学发展观是马克思主义中国化的重大成果</w:t>
      </w:r>
      <w:r>
        <w:rPr>
          <w:rFonts w:hint="eastAsia" w:ascii="宋体" w:hAnsi="宋体" w:eastAsia="宋体" w:cs="B4+CAJ FNT00"/>
          <w:kern w:val="0"/>
          <w:szCs w:val="21"/>
        </w:rPr>
        <w:t>,</w:t>
      </w:r>
      <w:r>
        <w:rPr>
          <w:rFonts w:hint="eastAsia" w:ascii="宋体" w:hAnsi="宋体" w:eastAsia="宋体" w:cs="宋体"/>
          <w:kern w:val="0"/>
          <w:szCs w:val="21"/>
        </w:rPr>
        <w:t>是马克思关于发展的世界观和方法论的集中体现</w:t>
      </w:r>
      <w:r>
        <w:rPr>
          <w:rFonts w:hint="eastAsia" w:ascii="宋体" w:hAnsi="宋体" w:eastAsia="宋体" w:cs="B4+CAJ FNT00"/>
          <w:kern w:val="0"/>
          <w:szCs w:val="21"/>
        </w:rPr>
        <w:t>；</w:t>
      </w:r>
      <w:r>
        <w:rPr>
          <w:rFonts w:hint="eastAsia" w:ascii="宋体" w:hAnsi="宋体" w:eastAsia="宋体" w:cs="宋体"/>
          <w:kern w:val="0"/>
          <w:szCs w:val="21"/>
        </w:rPr>
        <w:t>科学发展观也是中国共产党继承一切人类文明先进思想的结晶</w:t>
      </w:r>
      <w:r>
        <w:rPr>
          <w:rFonts w:hint="eastAsia" w:ascii="宋体" w:hAnsi="宋体" w:eastAsia="宋体" w:cs="B4+CAJ FNT00"/>
          <w:kern w:val="0"/>
          <w:szCs w:val="21"/>
        </w:rPr>
        <w:t>；</w:t>
      </w:r>
      <w:r>
        <w:rPr>
          <w:rFonts w:hint="eastAsia" w:ascii="宋体" w:hAnsi="宋体" w:eastAsia="宋体" w:cs="宋体"/>
          <w:kern w:val="0"/>
          <w:szCs w:val="21"/>
        </w:rPr>
        <w:t>科学发展观是最广大人民群众利益诉求的根本体现</w:t>
      </w:r>
      <w:r>
        <w:rPr>
          <w:rFonts w:hint="eastAsia" w:ascii="宋体" w:hAnsi="宋体" w:eastAsia="宋体" w:cs="B6+cajcd fnta1"/>
          <w:kern w:val="0"/>
          <w:szCs w:val="21"/>
        </w:rPr>
        <w:t>。</w:t>
      </w:r>
    </w:p>
    <w:p w14:paraId="017F8B28">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第二</w:t>
      </w:r>
      <w:r>
        <w:rPr>
          <w:rFonts w:hint="eastAsia" w:ascii="宋体" w:hAnsi="宋体" w:eastAsia="宋体" w:cs="B4+CAJ FNT00"/>
          <w:kern w:val="0"/>
          <w:szCs w:val="21"/>
        </w:rPr>
        <w:t>,</w:t>
      </w:r>
      <w:r>
        <w:rPr>
          <w:rFonts w:hint="eastAsia" w:ascii="宋体" w:hAnsi="宋体" w:eastAsia="宋体" w:cs="宋体"/>
          <w:kern w:val="0"/>
          <w:szCs w:val="21"/>
        </w:rPr>
        <w:t>科学发展观的本质和核心</w:t>
      </w:r>
      <w:r>
        <w:rPr>
          <w:rFonts w:hint="eastAsia" w:ascii="宋体" w:hAnsi="宋体" w:eastAsia="宋体" w:cs="B6+cajcd fnta1"/>
          <w:kern w:val="0"/>
          <w:szCs w:val="21"/>
        </w:rPr>
        <w:t>。“</w:t>
      </w:r>
      <w:r>
        <w:rPr>
          <w:rFonts w:hint="eastAsia" w:ascii="宋体" w:hAnsi="宋体" w:eastAsia="宋体" w:cs="宋体"/>
          <w:kern w:val="0"/>
          <w:szCs w:val="21"/>
        </w:rPr>
        <w:t>以人为本</w:t>
      </w:r>
      <w:r>
        <w:rPr>
          <w:rFonts w:hint="eastAsia" w:ascii="宋体" w:hAnsi="宋体" w:eastAsia="宋体" w:cs="B6+cajcd fnta1"/>
          <w:kern w:val="0"/>
          <w:szCs w:val="21"/>
        </w:rPr>
        <w:t>”</w:t>
      </w:r>
      <w:r>
        <w:rPr>
          <w:rFonts w:hint="eastAsia" w:ascii="宋体" w:hAnsi="宋体" w:eastAsia="宋体" w:cs="宋体"/>
          <w:kern w:val="0"/>
          <w:szCs w:val="21"/>
        </w:rPr>
        <w:t>是科学发展观的核心理念</w:t>
      </w:r>
      <w:r>
        <w:rPr>
          <w:rFonts w:hint="eastAsia" w:ascii="宋体" w:hAnsi="宋体" w:eastAsia="宋体" w:cs="B4+CAJ FNT00"/>
          <w:kern w:val="0"/>
          <w:szCs w:val="21"/>
        </w:rPr>
        <w:t>,</w:t>
      </w:r>
      <w:r>
        <w:rPr>
          <w:rFonts w:hint="eastAsia" w:ascii="宋体" w:hAnsi="宋体" w:eastAsia="宋体" w:cs="宋体"/>
          <w:kern w:val="0"/>
          <w:szCs w:val="21"/>
        </w:rPr>
        <w:t>它与</w:t>
      </w:r>
      <w:r>
        <w:rPr>
          <w:rFonts w:hint="eastAsia" w:ascii="宋体" w:hAnsi="宋体" w:eastAsia="宋体" w:cs="B6+cajcd fnta1"/>
          <w:kern w:val="0"/>
          <w:szCs w:val="21"/>
        </w:rPr>
        <w:t>“</w:t>
      </w:r>
      <w:r>
        <w:rPr>
          <w:rFonts w:hint="eastAsia" w:ascii="宋体" w:hAnsi="宋体" w:eastAsia="宋体" w:cs="宋体"/>
          <w:kern w:val="0"/>
          <w:szCs w:val="21"/>
        </w:rPr>
        <w:t>人类中心主义</w:t>
      </w:r>
      <w:r>
        <w:rPr>
          <w:rFonts w:hint="eastAsia" w:ascii="宋体" w:hAnsi="宋体" w:eastAsia="宋体" w:cs="B6+cajcd fnta1"/>
          <w:kern w:val="0"/>
          <w:szCs w:val="21"/>
        </w:rPr>
        <w:t>”、“</w:t>
      </w:r>
      <w:r>
        <w:rPr>
          <w:rFonts w:hint="eastAsia" w:ascii="宋体" w:hAnsi="宋体" w:eastAsia="宋体" w:cs="宋体"/>
          <w:kern w:val="0"/>
          <w:szCs w:val="21"/>
        </w:rPr>
        <w:t>以个人为本</w:t>
      </w:r>
      <w:r>
        <w:rPr>
          <w:rFonts w:hint="eastAsia" w:ascii="宋体" w:hAnsi="宋体" w:eastAsia="宋体" w:cs="B6+cajcd fnta1"/>
          <w:kern w:val="0"/>
          <w:szCs w:val="21"/>
        </w:rPr>
        <w:t>”、“</w:t>
      </w:r>
      <w:r>
        <w:rPr>
          <w:rFonts w:hint="eastAsia" w:ascii="宋体" w:hAnsi="宋体" w:eastAsia="宋体" w:cs="宋体"/>
          <w:kern w:val="0"/>
          <w:szCs w:val="21"/>
        </w:rPr>
        <w:t>以我为本</w:t>
      </w:r>
      <w:r>
        <w:rPr>
          <w:rFonts w:hint="eastAsia" w:ascii="宋体" w:hAnsi="宋体" w:eastAsia="宋体" w:cs="B6+cajcd fnta1"/>
          <w:kern w:val="0"/>
          <w:szCs w:val="21"/>
        </w:rPr>
        <w:t>”</w:t>
      </w:r>
      <w:r>
        <w:rPr>
          <w:rFonts w:hint="eastAsia" w:ascii="宋体" w:hAnsi="宋体" w:eastAsia="宋体" w:cs="宋体"/>
          <w:kern w:val="0"/>
          <w:szCs w:val="21"/>
        </w:rPr>
        <w:t>等价值观有着本质的区别</w:t>
      </w:r>
      <w:r>
        <w:rPr>
          <w:rFonts w:hint="eastAsia" w:ascii="宋体" w:hAnsi="宋体" w:eastAsia="宋体" w:cs="B6+cajcd fnta1"/>
          <w:kern w:val="0"/>
          <w:szCs w:val="21"/>
        </w:rPr>
        <w:t>。“</w:t>
      </w:r>
      <w:r>
        <w:rPr>
          <w:rFonts w:hint="eastAsia" w:ascii="宋体" w:hAnsi="宋体" w:eastAsia="宋体" w:cs="宋体"/>
          <w:kern w:val="0"/>
          <w:szCs w:val="21"/>
        </w:rPr>
        <w:t>以人为本</w:t>
      </w:r>
      <w:r>
        <w:rPr>
          <w:rFonts w:hint="eastAsia" w:ascii="宋体" w:hAnsi="宋体" w:eastAsia="宋体" w:cs="B6+cajcd fnta1"/>
          <w:kern w:val="0"/>
          <w:szCs w:val="21"/>
        </w:rPr>
        <w:t>”</w:t>
      </w:r>
      <w:r>
        <w:rPr>
          <w:rFonts w:hint="eastAsia" w:ascii="宋体" w:hAnsi="宋体" w:eastAsia="宋体" w:cs="宋体"/>
          <w:kern w:val="0"/>
          <w:szCs w:val="21"/>
        </w:rPr>
        <w:t>的基本含义</w:t>
      </w:r>
      <w:r>
        <w:rPr>
          <w:rFonts w:hint="eastAsia" w:ascii="宋体" w:hAnsi="宋体" w:eastAsia="宋体" w:cs="B4+CAJ FNT00"/>
          <w:kern w:val="0"/>
          <w:szCs w:val="21"/>
        </w:rPr>
        <w:t>,</w:t>
      </w:r>
      <w:r>
        <w:rPr>
          <w:rFonts w:hint="eastAsia" w:ascii="宋体" w:hAnsi="宋体" w:eastAsia="宋体" w:cs="宋体"/>
          <w:kern w:val="0"/>
          <w:szCs w:val="21"/>
        </w:rPr>
        <w:t>就是突出人在世界中的主体地位</w:t>
      </w:r>
      <w:r>
        <w:rPr>
          <w:rFonts w:hint="eastAsia" w:ascii="宋体" w:hAnsi="宋体" w:eastAsia="宋体" w:cs="B4+CAJ FNT00"/>
          <w:kern w:val="0"/>
          <w:szCs w:val="21"/>
        </w:rPr>
        <w:t>,</w:t>
      </w:r>
      <w:r>
        <w:rPr>
          <w:rFonts w:hint="eastAsia" w:ascii="宋体" w:hAnsi="宋体" w:eastAsia="宋体" w:cs="宋体"/>
          <w:kern w:val="0"/>
          <w:szCs w:val="21"/>
        </w:rPr>
        <w:t>将人的发展作为发展的本质</w:t>
      </w:r>
      <w:r>
        <w:rPr>
          <w:rFonts w:hint="eastAsia" w:ascii="宋体" w:hAnsi="宋体" w:eastAsia="宋体" w:cs="B6+cajcd fnta1"/>
          <w:kern w:val="0"/>
          <w:szCs w:val="21"/>
        </w:rPr>
        <w:t>、</w:t>
      </w:r>
      <w:r>
        <w:rPr>
          <w:rFonts w:hint="eastAsia" w:ascii="宋体" w:hAnsi="宋体" w:eastAsia="宋体" w:cs="宋体"/>
          <w:kern w:val="0"/>
          <w:szCs w:val="21"/>
        </w:rPr>
        <w:t>目的</w:t>
      </w:r>
      <w:r>
        <w:rPr>
          <w:rFonts w:hint="eastAsia" w:ascii="宋体" w:hAnsi="宋体" w:eastAsia="宋体" w:cs="B6+cajcd fnta1"/>
          <w:kern w:val="0"/>
          <w:szCs w:val="21"/>
        </w:rPr>
        <w:t>、</w:t>
      </w:r>
      <w:r>
        <w:rPr>
          <w:rFonts w:hint="eastAsia" w:ascii="宋体" w:hAnsi="宋体" w:eastAsia="宋体" w:cs="宋体"/>
          <w:kern w:val="0"/>
          <w:szCs w:val="21"/>
        </w:rPr>
        <w:t>动力和标志</w:t>
      </w:r>
      <w:r>
        <w:rPr>
          <w:rFonts w:hint="eastAsia" w:ascii="宋体" w:hAnsi="宋体" w:eastAsia="宋体" w:cs="B4+CAJ FNT00"/>
          <w:kern w:val="0"/>
          <w:szCs w:val="21"/>
        </w:rPr>
        <w:t>,</w:t>
      </w:r>
      <w:r>
        <w:rPr>
          <w:rFonts w:hint="eastAsia" w:ascii="宋体" w:hAnsi="宋体" w:eastAsia="宋体" w:cs="宋体"/>
          <w:kern w:val="0"/>
          <w:szCs w:val="21"/>
        </w:rPr>
        <w:t>在人与自然</w:t>
      </w:r>
      <w:r>
        <w:rPr>
          <w:rFonts w:hint="eastAsia" w:ascii="宋体" w:hAnsi="宋体" w:eastAsia="宋体" w:cs="B6+cajcd fnta1"/>
          <w:kern w:val="0"/>
          <w:szCs w:val="21"/>
        </w:rPr>
        <w:t>、</w:t>
      </w:r>
      <w:r>
        <w:rPr>
          <w:rFonts w:hint="eastAsia" w:ascii="宋体" w:hAnsi="宋体" w:eastAsia="宋体" w:cs="宋体"/>
          <w:kern w:val="0"/>
          <w:szCs w:val="21"/>
        </w:rPr>
        <w:t>人与社会</w:t>
      </w:r>
      <w:r>
        <w:rPr>
          <w:rFonts w:hint="eastAsia" w:ascii="宋体" w:hAnsi="宋体" w:eastAsia="宋体" w:cs="B6+cajcd fnta1"/>
          <w:kern w:val="0"/>
          <w:szCs w:val="21"/>
        </w:rPr>
        <w:t>、</w:t>
      </w:r>
      <w:r>
        <w:rPr>
          <w:rFonts w:hint="eastAsia" w:ascii="宋体" w:hAnsi="宋体" w:eastAsia="宋体" w:cs="宋体"/>
          <w:kern w:val="0"/>
          <w:szCs w:val="21"/>
        </w:rPr>
        <w:t>人与人</w:t>
      </w:r>
      <w:r>
        <w:rPr>
          <w:rFonts w:hint="eastAsia" w:ascii="宋体" w:hAnsi="宋体" w:eastAsia="宋体" w:cs="B6+cajcd fnta1"/>
          <w:kern w:val="0"/>
          <w:szCs w:val="21"/>
        </w:rPr>
        <w:t>、</w:t>
      </w:r>
      <w:r>
        <w:rPr>
          <w:rFonts w:hint="eastAsia" w:ascii="宋体" w:hAnsi="宋体" w:eastAsia="宋体" w:cs="宋体"/>
          <w:kern w:val="0"/>
          <w:szCs w:val="21"/>
        </w:rPr>
        <w:t>当代人与后代人等多维关系中寻找和谐</w:t>
      </w:r>
      <w:r>
        <w:rPr>
          <w:rFonts w:hint="eastAsia" w:ascii="宋体" w:hAnsi="宋体" w:eastAsia="宋体" w:cs="B4+CAJ FNT00"/>
          <w:kern w:val="0"/>
          <w:szCs w:val="21"/>
        </w:rPr>
        <w:t>,</w:t>
      </w:r>
      <w:r>
        <w:rPr>
          <w:rFonts w:hint="eastAsia" w:ascii="宋体" w:hAnsi="宋体" w:eastAsia="宋体" w:cs="宋体"/>
          <w:kern w:val="0"/>
          <w:szCs w:val="21"/>
        </w:rPr>
        <w:t>从而实现对人性的充分尊重和人的价值的全面实现</w:t>
      </w:r>
      <w:r>
        <w:rPr>
          <w:rFonts w:hint="eastAsia" w:ascii="宋体" w:hAnsi="宋体" w:eastAsia="宋体" w:cs="B6+cajcd fnta1"/>
          <w:kern w:val="0"/>
          <w:szCs w:val="21"/>
        </w:rPr>
        <w:t>“</w:t>
      </w:r>
      <w:r>
        <w:rPr>
          <w:rFonts w:hint="eastAsia" w:ascii="宋体" w:hAnsi="宋体" w:eastAsia="宋体" w:cs="宋体"/>
          <w:kern w:val="0"/>
          <w:szCs w:val="21"/>
        </w:rPr>
        <w:t>以人为本</w:t>
      </w:r>
      <w:r>
        <w:rPr>
          <w:rFonts w:hint="eastAsia" w:ascii="宋体" w:hAnsi="宋体" w:eastAsia="宋体" w:cs="B6+cajcd fnta1"/>
          <w:kern w:val="0"/>
          <w:szCs w:val="21"/>
        </w:rPr>
        <w:t>”</w:t>
      </w:r>
      <w:r>
        <w:rPr>
          <w:rFonts w:hint="eastAsia" w:ascii="宋体" w:hAnsi="宋体" w:eastAsia="宋体" w:cs="宋体"/>
          <w:kern w:val="0"/>
          <w:szCs w:val="21"/>
        </w:rPr>
        <w:t>发展观是对历史上各种发展思想的承继与拓展</w:t>
      </w:r>
      <w:r>
        <w:rPr>
          <w:rFonts w:hint="eastAsia" w:ascii="宋体" w:hAnsi="宋体" w:eastAsia="宋体" w:cs="B6+cajcd fnta1"/>
          <w:kern w:val="0"/>
          <w:szCs w:val="21"/>
        </w:rPr>
        <w:t>。</w:t>
      </w:r>
      <w:r>
        <w:rPr>
          <w:rFonts w:hint="eastAsia" w:ascii="宋体" w:hAnsi="宋体" w:eastAsia="宋体" w:cs="宋体"/>
          <w:kern w:val="0"/>
          <w:szCs w:val="21"/>
        </w:rPr>
        <w:t>它既从人的自然属性方面强调了人与环境的协调发展</w:t>
      </w:r>
      <w:r>
        <w:rPr>
          <w:rFonts w:hint="eastAsia" w:ascii="宋体" w:hAnsi="宋体" w:eastAsia="宋体" w:cs="B4+CAJ FNT00"/>
          <w:kern w:val="0"/>
          <w:szCs w:val="21"/>
        </w:rPr>
        <w:t>,</w:t>
      </w:r>
      <w:r>
        <w:rPr>
          <w:rFonts w:hint="eastAsia" w:ascii="宋体" w:hAnsi="宋体" w:eastAsia="宋体" w:cs="宋体"/>
          <w:kern w:val="0"/>
          <w:szCs w:val="21"/>
        </w:rPr>
        <w:t>肯定了发展的可持续性取决于环境和资源的可持续性</w:t>
      </w:r>
      <w:r>
        <w:rPr>
          <w:rFonts w:hint="eastAsia" w:ascii="宋体" w:hAnsi="宋体" w:eastAsia="宋体" w:cs="B4+CAJ FNT00"/>
          <w:kern w:val="0"/>
          <w:szCs w:val="21"/>
        </w:rPr>
        <w:t>,</w:t>
      </w:r>
      <w:r>
        <w:rPr>
          <w:rFonts w:hint="eastAsia" w:ascii="宋体" w:hAnsi="宋体" w:eastAsia="宋体" w:cs="宋体"/>
          <w:kern w:val="0"/>
          <w:szCs w:val="21"/>
        </w:rPr>
        <w:t>又从人的社会属性方面突出了代际公平与代内公平一样重要</w:t>
      </w:r>
      <w:r>
        <w:rPr>
          <w:rFonts w:hint="eastAsia" w:ascii="宋体" w:hAnsi="宋体" w:eastAsia="宋体" w:cs="B4+CAJ FNT00"/>
          <w:kern w:val="0"/>
          <w:szCs w:val="21"/>
        </w:rPr>
        <w:t>,</w:t>
      </w:r>
      <w:r>
        <w:rPr>
          <w:rFonts w:hint="eastAsia" w:ascii="宋体" w:hAnsi="宋体" w:eastAsia="宋体" w:cs="宋体"/>
          <w:kern w:val="0"/>
          <w:szCs w:val="21"/>
        </w:rPr>
        <w:t>后代人拥有与当代人相同的生存权和发展权</w:t>
      </w:r>
      <w:r>
        <w:rPr>
          <w:rFonts w:hint="eastAsia" w:ascii="宋体" w:hAnsi="宋体" w:eastAsia="宋体" w:cs="B4+CAJ FNT00"/>
          <w:kern w:val="0"/>
          <w:szCs w:val="21"/>
        </w:rPr>
        <w:t>,</w:t>
      </w:r>
      <w:r>
        <w:rPr>
          <w:rFonts w:hint="eastAsia" w:ascii="宋体" w:hAnsi="宋体" w:eastAsia="宋体" w:cs="宋体"/>
          <w:kern w:val="0"/>
          <w:szCs w:val="21"/>
        </w:rPr>
        <w:t>当代人必须留给后代人生存和发展所需要的必要资本</w:t>
      </w:r>
      <w:r>
        <w:rPr>
          <w:rFonts w:hint="eastAsia" w:ascii="宋体" w:hAnsi="宋体" w:eastAsia="宋体" w:cs="B4+CAJ FNT00"/>
          <w:kern w:val="0"/>
          <w:szCs w:val="21"/>
        </w:rPr>
        <w:t>,</w:t>
      </w:r>
      <w:r>
        <w:rPr>
          <w:rFonts w:hint="eastAsia" w:ascii="宋体" w:hAnsi="宋体" w:eastAsia="宋体" w:cs="宋体"/>
          <w:kern w:val="0"/>
          <w:szCs w:val="21"/>
        </w:rPr>
        <w:t>包括环境资本</w:t>
      </w:r>
      <w:r>
        <w:rPr>
          <w:rFonts w:hint="eastAsia" w:ascii="宋体" w:hAnsi="宋体" w:eastAsia="宋体" w:cs="B4+CAJ FNT00"/>
          <w:kern w:val="0"/>
          <w:szCs w:val="21"/>
        </w:rPr>
        <w:t>,</w:t>
      </w:r>
      <w:r>
        <w:rPr>
          <w:rFonts w:hint="eastAsia" w:ascii="宋体" w:hAnsi="宋体" w:eastAsia="宋体" w:cs="宋体"/>
          <w:kern w:val="0"/>
          <w:szCs w:val="21"/>
        </w:rPr>
        <w:t>充分展现了其全面性</w:t>
      </w:r>
      <w:r>
        <w:rPr>
          <w:rFonts w:hint="eastAsia" w:ascii="宋体" w:hAnsi="宋体" w:eastAsia="宋体" w:cs="B6+cajcd fnta1"/>
          <w:kern w:val="0"/>
          <w:szCs w:val="21"/>
        </w:rPr>
        <w:t>、</w:t>
      </w:r>
      <w:r>
        <w:rPr>
          <w:rFonts w:hint="eastAsia" w:ascii="宋体" w:hAnsi="宋体" w:eastAsia="宋体" w:cs="宋体"/>
          <w:kern w:val="0"/>
          <w:szCs w:val="21"/>
        </w:rPr>
        <w:t>协调性和可持续发展性。正是因为新的发展观吸取了历史上各种发展思想的精华</w:t>
      </w:r>
      <w:r>
        <w:rPr>
          <w:rFonts w:hint="eastAsia" w:ascii="宋体" w:hAnsi="宋体" w:eastAsia="宋体" w:cs="B4+CAJ FNT00"/>
          <w:kern w:val="0"/>
          <w:szCs w:val="21"/>
        </w:rPr>
        <w:t>,</w:t>
      </w:r>
      <w:r>
        <w:rPr>
          <w:rFonts w:hint="eastAsia" w:ascii="宋体" w:hAnsi="宋体" w:eastAsia="宋体" w:cs="宋体"/>
          <w:kern w:val="0"/>
          <w:szCs w:val="21"/>
        </w:rPr>
        <w:t>才会显现出其科学性和系统性</w:t>
      </w:r>
      <w:r>
        <w:rPr>
          <w:rFonts w:hint="eastAsia" w:ascii="宋体" w:hAnsi="宋体" w:eastAsia="宋体" w:cs="B4+CAJ FNT00"/>
          <w:kern w:val="0"/>
          <w:szCs w:val="21"/>
        </w:rPr>
        <w:t>,</w:t>
      </w:r>
      <w:r>
        <w:rPr>
          <w:rFonts w:hint="eastAsia" w:ascii="宋体" w:hAnsi="宋体" w:eastAsia="宋体" w:cs="宋体"/>
          <w:kern w:val="0"/>
          <w:szCs w:val="21"/>
        </w:rPr>
        <w:t>触及人的全面发展的深层本质</w:t>
      </w:r>
      <w:r>
        <w:rPr>
          <w:rFonts w:hint="eastAsia" w:ascii="宋体" w:hAnsi="宋体" w:eastAsia="宋体" w:cs="B6+cajcd fnta1"/>
          <w:kern w:val="0"/>
          <w:szCs w:val="21"/>
        </w:rPr>
        <w:t>“</w:t>
      </w:r>
      <w:r>
        <w:rPr>
          <w:rFonts w:hint="eastAsia" w:ascii="宋体" w:hAnsi="宋体" w:eastAsia="宋体" w:cs="宋体"/>
          <w:kern w:val="0"/>
          <w:szCs w:val="21"/>
        </w:rPr>
        <w:t>以人为本</w:t>
      </w:r>
      <w:r>
        <w:rPr>
          <w:rFonts w:hint="eastAsia" w:ascii="宋体" w:hAnsi="宋体" w:eastAsia="宋体" w:cs="B6+cajcd fnta1"/>
          <w:kern w:val="0"/>
          <w:szCs w:val="21"/>
        </w:rPr>
        <w:t>”</w:t>
      </w:r>
      <w:r>
        <w:rPr>
          <w:rFonts w:hint="eastAsia" w:ascii="宋体" w:hAnsi="宋体" w:eastAsia="宋体" w:cs="宋体"/>
          <w:kern w:val="0"/>
          <w:szCs w:val="21"/>
        </w:rPr>
        <w:t>的发展观</w:t>
      </w:r>
      <w:r>
        <w:rPr>
          <w:rFonts w:hint="eastAsia" w:ascii="宋体" w:hAnsi="宋体" w:eastAsia="宋体" w:cs="B4+CAJ FNT00"/>
          <w:kern w:val="0"/>
          <w:szCs w:val="21"/>
        </w:rPr>
        <w:t>,</w:t>
      </w:r>
      <w:r>
        <w:rPr>
          <w:rFonts w:hint="eastAsia" w:ascii="宋体" w:hAnsi="宋体" w:eastAsia="宋体" w:cs="宋体"/>
          <w:kern w:val="0"/>
          <w:szCs w:val="21"/>
        </w:rPr>
        <w:t>肯定人是感性与理性的互渗</w:t>
      </w:r>
      <w:r>
        <w:rPr>
          <w:rFonts w:hint="eastAsia" w:ascii="宋体" w:hAnsi="宋体" w:eastAsia="宋体" w:cs="B6+cajcd fnta1"/>
          <w:kern w:val="0"/>
          <w:szCs w:val="21"/>
        </w:rPr>
        <w:t>、</w:t>
      </w:r>
      <w:r>
        <w:rPr>
          <w:rFonts w:hint="eastAsia" w:ascii="宋体" w:hAnsi="宋体" w:eastAsia="宋体" w:cs="宋体"/>
          <w:kern w:val="0"/>
          <w:szCs w:val="21"/>
        </w:rPr>
        <w:t>自然性与社会性的融合</w:t>
      </w:r>
      <w:r>
        <w:rPr>
          <w:rFonts w:hint="eastAsia" w:ascii="宋体" w:hAnsi="宋体" w:eastAsia="宋体" w:cs="B4+CAJ FNT00"/>
          <w:kern w:val="0"/>
          <w:szCs w:val="21"/>
        </w:rPr>
        <w:t>,</w:t>
      </w:r>
      <w:r>
        <w:rPr>
          <w:rFonts w:hint="eastAsia" w:ascii="宋体" w:hAnsi="宋体" w:eastAsia="宋体" w:cs="宋体"/>
          <w:kern w:val="0"/>
          <w:szCs w:val="21"/>
        </w:rPr>
        <w:t>肯定人的行为的创造性</w:t>
      </w:r>
      <w:r>
        <w:rPr>
          <w:rFonts w:hint="eastAsia" w:ascii="宋体" w:hAnsi="宋体" w:eastAsia="宋体" w:cs="B6+cajcd fnta1"/>
          <w:kern w:val="0"/>
          <w:szCs w:val="21"/>
        </w:rPr>
        <w:t>、</w:t>
      </w:r>
      <w:r>
        <w:rPr>
          <w:rFonts w:hint="eastAsia" w:ascii="宋体" w:hAnsi="宋体" w:eastAsia="宋体" w:cs="宋体"/>
          <w:kern w:val="0"/>
          <w:szCs w:val="21"/>
        </w:rPr>
        <w:t>合目的性与可调适性</w:t>
      </w:r>
      <w:r>
        <w:rPr>
          <w:rFonts w:hint="eastAsia" w:ascii="宋体" w:hAnsi="宋体" w:eastAsia="宋体" w:cs="B4+CAJ FNT00"/>
          <w:kern w:val="0"/>
          <w:szCs w:val="21"/>
        </w:rPr>
        <w:t>,</w:t>
      </w:r>
      <w:r>
        <w:rPr>
          <w:rFonts w:hint="eastAsia" w:ascii="宋体" w:hAnsi="宋体" w:eastAsia="宋体" w:cs="宋体"/>
          <w:kern w:val="0"/>
          <w:szCs w:val="21"/>
        </w:rPr>
        <w:t>肯定人在整个世界中的主体地位</w:t>
      </w:r>
      <w:r>
        <w:rPr>
          <w:rFonts w:hint="eastAsia" w:ascii="宋体" w:hAnsi="宋体" w:eastAsia="宋体" w:cs="B4+CAJ FNT00"/>
          <w:kern w:val="0"/>
          <w:szCs w:val="21"/>
        </w:rPr>
        <w:t>,</w:t>
      </w:r>
      <w:r>
        <w:rPr>
          <w:rFonts w:hint="eastAsia" w:ascii="宋体" w:hAnsi="宋体" w:eastAsia="宋体" w:cs="宋体"/>
          <w:kern w:val="0"/>
          <w:szCs w:val="21"/>
        </w:rPr>
        <w:t>因而它是对人的主体性的全面弘扬</w:t>
      </w:r>
      <w:r>
        <w:rPr>
          <w:rFonts w:hint="eastAsia" w:ascii="宋体" w:hAnsi="宋体" w:eastAsia="宋体" w:cs="B6+cajcd fnta1"/>
          <w:kern w:val="0"/>
          <w:szCs w:val="21"/>
        </w:rPr>
        <w:t>“</w:t>
      </w:r>
      <w:r>
        <w:rPr>
          <w:rFonts w:hint="eastAsia" w:ascii="宋体" w:hAnsi="宋体" w:eastAsia="宋体" w:cs="宋体"/>
          <w:kern w:val="0"/>
          <w:szCs w:val="21"/>
        </w:rPr>
        <w:t>以人为本</w:t>
      </w:r>
      <w:r>
        <w:rPr>
          <w:rFonts w:hint="eastAsia" w:ascii="宋体" w:hAnsi="宋体" w:eastAsia="宋体" w:cs="B6+cajcd fnta1"/>
          <w:kern w:val="0"/>
          <w:szCs w:val="21"/>
        </w:rPr>
        <w:t>”</w:t>
      </w:r>
      <w:r>
        <w:rPr>
          <w:rFonts w:hint="eastAsia" w:ascii="宋体" w:hAnsi="宋体" w:eastAsia="宋体" w:cs="宋体"/>
          <w:kern w:val="0"/>
          <w:szCs w:val="21"/>
        </w:rPr>
        <w:t>发展观的实践意义</w:t>
      </w:r>
      <w:r>
        <w:rPr>
          <w:rFonts w:hint="eastAsia" w:ascii="宋体" w:hAnsi="宋体" w:eastAsia="宋体" w:cs="B4+CAJ FNT00"/>
          <w:kern w:val="0"/>
          <w:szCs w:val="21"/>
        </w:rPr>
        <w:t>,</w:t>
      </w:r>
      <w:r>
        <w:rPr>
          <w:rFonts w:hint="eastAsia" w:ascii="宋体" w:hAnsi="宋体" w:eastAsia="宋体" w:cs="宋体"/>
          <w:kern w:val="0"/>
          <w:szCs w:val="21"/>
        </w:rPr>
        <w:t>首先就在于它确证了历史唯物主义关于人民群众创造历史的基本原理</w:t>
      </w:r>
      <w:r>
        <w:rPr>
          <w:rFonts w:hint="eastAsia" w:ascii="宋体" w:hAnsi="宋体" w:eastAsia="宋体" w:cs="B4+CAJ FNT00"/>
          <w:kern w:val="0"/>
          <w:szCs w:val="21"/>
        </w:rPr>
        <w:t>,</w:t>
      </w:r>
      <w:r>
        <w:rPr>
          <w:rFonts w:hint="eastAsia" w:ascii="宋体" w:hAnsi="宋体" w:eastAsia="宋体" w:cs="宋体"/>
          <w:kern w:val="0"/>
          <w:szCs w:val="21"/>
        </w:rPr>
        <w:t>体现了社会主义制度的本质特征</w:t>
      </w:r>
      <w:r>
        <w:rPr>
          <w:rFonts w:hint="eastAsia" w:ascii="宋体" w:hAnsi="宋体" w:eastAsia="宋体" w:cs="B4+CAJ FNT00"/>
          <w:kern w:val="0"/>
          <w:szCs w:val="21"/>
        </w:rPr>
        <w:t>,</w:t>
      </w:r>
      <w:r>
        <w:rPr>
          <w:rFonts w:hint="eastAsia" w:ascii="宋体" w:hAnsi="宋体" w:eastAsia="宋体" w:cs="宋体"/>
          <w:kern w:val="0"/>
          <w:szCs w:val="21"/>
        </w:rPr>
        <w:t>包含着新时期中国共产党执政为民的执政理念</w:t>
      </w:r>
      <w:r>
        <w:rPr>
          <w:rFonts w:hint="eastAsia" w:ascii="宋体" w:hAnsi="宋体" w:eastAsia="宋体" w:cs="B4+CAJ FNT00"/>
          <w:kern w:val="0"/>
          <w:szCs w:val="21"/>
        </w:rPr>
        <w:t>,</w:t>
      </w:r>
      <w:r>
        <w:rPr>
          <w:rFonts w:hint="eastAsia" w:ascii="宋体" w:hAnsi="宋体" w:eastAsia="宋体" w:cs="宋体"/>
          <w:kern w:val="0"/>
          <w:szCs w:val="21"/>
        </w:rPr>
        <w:t>对于确立我国的经济社会发展战略具有明确的导向性</w:t>
      </w:r>
      <w:r>
        <w:rPr>
          <w:rFonts w:hint="eastAsia" w:ascii="宋体" w:hAnsi="宋体" w:eastAsia="宋体" w:cs="B6+cajcd fnta1"/>
          <w:kern w:val="0"/>
          <w:szCs w:val="21"/>
        </w:rPr>
        <w:t>"</w:t>
      </w:r>
    </w:p>
    <w:p w14:paraId="5FA96315">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第三</w:t>
      </w:r>
      <w:r>
        <w:rPr>
          <w:rFonts w:hint="eastAsia" w:ascii="宋体" w:hAnsi="宋体" w:eastAsia="宋体" w:cs="B4+CAJ FNT00"/>
          <w:kern w:val="0"/>
          <w:szCs w:val="21"/>
        </w:rPr>
        <w:t>,</w:t>
      </w:r>
      <w:r>
        <w:rPr>
          <w:rFonts w:hint="eastAsia" w:ascii="宋体" w:hAnsi="宋体" w:eastAsia="宋体" w:cs="宋体"/>
          <w:kern w:val="0"/>
          <w:szCs w:val="21"/>
        </w:rPr>
        <w:t>全面协调可持续是科学发展观的基本要求</w:t>
      </w:r>
      <w:r>
        <w:rPr>
          <w:rFonts w:hint="eastAsia" w:ascii="宋体" w:hAnsi="宋体" w:eastAsia="宋体" w:cs="B6+cajcd fnta1"/>
          <w:kern w:val="0"/>
          <w:szCs w:val="21"/>
        </w:rPr>
        <w:t>。</w:t>
      </w:r>
      <w:r>
        <w:rPr>
          <w:rFonts w:hint="eastAsia" w:ascii="宋体" w:hAnsi="宋体" w:eastAsia="宋体" w:cs="宋体"/>
          <w:kern w:val="0"/>
          <w:szCs w:val="21"/>
        </w:rPr>
        <w:t>人类社会是一个自然系统与人工系统有机整合的复杂系统</w:t>
      </w:r>
      <w:r>
        <w:rPr>
          <w:rFonts w:hint="eastAsia" w:ascii="宋体" w:hAnsi="宋体" w:eastAsia="宋体" w:cs="B4+CAJ FNT00"/>
          <w:kern w:val="0"/>
          <w:szCs w:val="21"/>
        </w:rPr>
        <w:t>,</w:t>
      </w:r>
      <w:r>
        <w:rPr>
          <w:rFonts w:hint="eastAsia" w:ascii="宋体" w:hAnsi="宋体" w:eastAsia="宋体" w:cs="宋体"/>
          <w:kern w:val="0"/>
          <w:szCs w:val="21"/>
        </w:rPr>
        <w:t>包含经济系统</w:t>
      </w:r>
      <w:r>
        <w:rPr>
          <w:rFonts w:hint="eastAsia" w:ascii="宋体" w:hAnsi="宋体" w:eastAsia="宋体" w:cs="B6+cajcd fnta1"/>
          <w:kern w:val="0"/>
          <w:szCs w:val="21"/>
        </w:rPr>
        <w:t>、</w:t>
      </w:r>
      <w:r>
        <w:rPr>
          <w:rFonts w:hint="eastAsia" w:ascii="宋体" w:hAnsi="宋体" w:eastAsia="宋体" w:cs="宋体"/>
          <w:kern w:val="0"/>
          <w:szCs w:val="21"/>
        </w:rPr>
        <w:t>社会系统</w:t>
      </w:r>
      <w:r>
        <w:rPr>
          <w:rFonts w:hint="eastAsia" w:ascii="宋体" w:hAnsi="宋体" w:eastAsia="宋体" w:cs="B6+cajcd fnta1"/>
          <w:kern w:val="0"/>
          <w:szCs w:val="21"/>
        </w:rPr>
        <w:t>、</w:t>
      </w:r>
      <w:r>
        <w:rPr>
          <w:rFonts w:hint="eastAsia" w:ascii="宋体" w:hAnsi="宋体" w:eastAsia="宋体" w:cs="宋体"/>
          <w:kern w:val="0"/>
          <w:szCs w:val="21"/>
        </w:rPr>
        <w:t>政治系统</w:t>
      </w:r>
      <w:r>
        <w:rPr>
          <w:rFonts w:hint="eastAsia" w:ascii="宋体" w:hAnsi="宋体" w:eastAsia="宋体" w:cs="B6+cajcd fnta1"/>
          <w:kern w:val="0"/>
          <w:szCs w:val="21"/>
        </w:rPr>
        <w:t>、</w:t>
      </w:r>
      <w:r>
        <w:rPr>
          <w:rFonts w:hint="eastAsia" w:ascii="宋体" w:hAnsi="宋体" w:eastAsia="宋体" w:cs="宋体"/>
          <w:kern w:val="0"/>
          <w:szCs w:val="21"/>
        </w:rPr>
        <w:t>文化系统以及人口</w:t>
      </w:r>
      <w:r>
        <w:rPr>
          <w:rFonts w:hint="eastAsia" w:ascii="宋体" w:hAnsi="宋体" w:eastAsia="宋体" w:cs="B6+cajcd fnta1"/>
          <w:kern w:val="0"/>
          <w:szCs w:val="21"/>
        </w:rPr>
        <w:t>、</w:t>
      </w:r>
      <w:r>
        <w:rPr>
          <w:rFonts w:hint="eastAsia" w:ascii="宋体" w:hAnsi="宋体" w:eastAsia="宋体" w:cs="宋体"/>
          <w:kern w:val="0"/>
          <w:szCs w:val="21"/>
        </w:rPr>
        <w:t>资源</w:t>
      </w:r>
      <w:r>
        <w:rPr>
          <w:rFonts w:hint="eastAsia" w:ascii="宋体" w:hAnsi="宋体" w:eastAsia="宋体" w:cs="B6+cajcd fnta1"/>
          <w:kern w:val="0"/>
          <w:szCs w:val="21"/>
        </w:rPr>
        <w:t>、</w:t>
      </w:r>
      <w:r>
        <w:rPr>
          <w:rFonts w:hint="eastAsia" w:ascii="宋体" w:hAnsi="宋体" w:eastAsia="宋体" w:cs="宋体"/>
          <w:kern w:val="0"/>
          <w:szCs w:val="21"/>
        </w:rPr>
        <w:t>环境等多子系统</w:t>
      </w:r>
      <w:r>
        <w:rPr>
          <w:rFonts w:hint="eastAsia" w:ascii="宋体" w:hAnsi="宋体" w:eastAsia="宋体" w:cs="B4+CAJ FNT00"/>
          <w:kern w:val="0"/>
          <w:szCs w:val="21"/>
        </w:rPr>
        <w:t>,</w:t>
      </w:r>
      <w:r>
        <w:rPr>
          <w:rFonts w:hint="eastAsia" w:ascii="宋体" w:hAnsi="宋体" w:eastAsia="宋体" w:cs="宋体"/>
          <w:kern w:val="0"/>
          <w:szCs w:val="21"/>
        </w:rPr>
        <w:t>简单来说就是由以人为中心的社会系统</w:t>
      </w:r>
      <w:r>
        <w:rPr>
          <w:rFonts w:hint="eastAsia" w:ascii="宋体" w:hAnsi="宋体" w:eastAsia="宋体" w:cs="B4+CAJ FNT00"/>
          <w:kern w:val="0"/>
          <w:szCs w:val="21"/>
        </w:rPr>
        <w:t>(</w:t>
      </w:r>
      <w:r>
        <w:rPr>
          <w:rFonts w:hint="eastAsia" w:ascii="宋体" w:hAnsi="宋体" w:eastAsia="宋体" w:cs="宋体"/>
          <w:kern w:val="0"/>
          <w:szCs w:val="21"/>
        </w:rPr>
        <w:t>包括经济</w:t>
      </w:r>
      <w:r>
        <w:rPr>
          <w:rFonts w:hint="eastAsia" w:ascii="宋体" w:hAnsi="宋体" w:eastAsia="宋体" w:cs="B6+cajcd fnta1"/>
          <w:kern w:val="0"/>
          <w:szCs w:val="21"/>
        </w:rPr>
        <w:t>、</w:t>
      </w:r>
      <w:r>
        <w:rPr>
          <w:rFonts w:hint="eastAsia" w:ascii="宋体" w:hAnsi="宋体" w:eastAsia="宋体" w:cs="宋体"/>
          <w:kern w:val="0"/>
          <w:szCs w:val="21"/>
        </w:rPr>
        <w:t>政治</w:t>
      </w:r>
      <w:r>
        <w:rPr>
          <w:rFonts w:hint="eastAsia" w:ascii="宋体" w:hAnsi="宋体" w:eastAsia="宋体" w:cs="B6+cajcd fnta1"/>
          <w:kern w:val="0"/>
          <w:szCs w:val="21"/>
        </w:rPr>
        <w:t>、</w:t>
      </w:r>
      <w:r>
        <w:rPr>
          <w:rFonts w:hint="eastAsia" w:ascii="宋体" w:hAnsi="宋体" w:eastAsia="宋体" w:cs="宋体"/>
          <w:kern w:val="0"/>
          <w:szCs w:val="21"/>
        </w:rPr>
        <w:t>文化</w:t>
      </w:r>
      <w:r>
        <w:rPr>
          <w:rFonts w:hint="eastAsia" w:ascii="宋体" w:hAnsi="宋体" w:eastAsia="宋体" w:cs="B6+cajcd fnta1"/>
          <w:kern w:val="0"/>
          <w:szCs w:val="21"/>
        </w:rPr>
        <w:t>、</w:t>
      </w:r>
      <w:r>
        <w:rPr>
          <w:rFonts w:hint="eastAsia" w:ascii="宋体" w:hAnsi="宋体" w:eastAsia="宋体" w:cs="宋体"/>
          <w:kern w:val="0"/>
          <w:szCs w:val="21"/>
        </w:rPr>
        <w:t>人口等</w:t>
      </w:r>
      <w:r>
        <w:rPr>
          <w:rFonts w:hint="eastAsia" w:ascii="宋体" w:hAnsi="宋体" w:eastAsia="宋体" w:cs="B4+CAJ FNT00"/>
          <w:kern w:val="0"/>
          <w:szCs w:val="21"/>
        </w:rPr>
        <w:t>)</w:t>
      </w:r>
      <w:r>
        <w:rPr>
          <w:rFonts w:hint="eastAsia" w:ascii="宋体" w:hAnsi="宋体" w:eastAsia="宋体" w:cs="宋体"/>
          <w:kern w:val="0"/>
          <w:szCs w:val="21"/>
        </w:rPr>
        <w:t>和自然系统构成</w:t>
      </w:r>
      <w:r>
        <w:rPr>
          <w:rFonts w:hint="eastAsia" w:ascii="宋体" w:hAnsi="宋体" w:eastAsia="宋体" w:cs="B6+cajcd fnta1"/>
          <w:kern w:val="0"/>
          <w:szCs w:val="21"/>
        </w:rPr>
        <w:t>"</w:t>
      </w:r>
      <w:r>
        <w:rPr>
          <w:rFonts w:hint="eastAsia" w:ascii="宋体" w:hAnsi="宋体" w:eastAsia="宋体" w:cs="宋体"/>
          <w:kern w:val="0"/>
          <w:szCs w:val="21"/>
        </w:rPr>
        <w:t>人类社会的发展与进步就是各子系统之间交互作用的演进过程</w:t>
      </w:r>
      <w:r>
        <w:rPr>
          <w:rFonts w:hint="eastAsia" w:ascii="宋体" w:hAnsi="宋体" w:eastAsia="宋体" w:cs="B4+CAJ FNT00"/>
          <w:kern w:val="0"/>
          <w:szCs w:val="21"/>
        </w:rPr>
        <w:t>,</w:t>
      </w:r>
      <w:r>
        <w:rPr>
          <w:rFonts w:hint="eastAsia" w:ascii="宋体" w:hAnsi="宋体" w:eastAsia="宋体" w:cs="宋体"/>
          <w:kern w:val="0"/>
          <w:szCs w:val="21"/>
        </w:rPr>
        <w:t>是物质文明</w:t>
      </w:r>
      <w:r>
        <w:rPr>
          <w:rFonts w:hint="eastAsia" w:ascii="宋体" w:hAnsi="宋体" w:eastAsia="宋体" w:cs="B6+cajcd fnta1"/>
          <w:kern w:val="0"/>
          <w:szCs w:val="21"/>
        </w:rPr>
        <w:t>、</w:t>
      </w:r>
      <w:r>
        <w:rPr>
          <w:rFonts w:hint="eastAsia" w:ascii="宋体" w:hAnsi="宋体" w:eastAsia="宋体" w:cs="宋体"/>
          <w:kern w:val="0"/>
          <w:szCs w:val="21"/>
        </w:rPr>
        <w:t>精神文明</w:t>
      </w:r>
      <w:r>
        <w:rPr>
          <w:rFonts w:hint="eastAsia" w:ascii="宋体" w:hAnsi="宋体" w:eastAsia="宋体" w:cs="B6+cajcd fnta1"/>
          <w:kern w:val="0"/>
          <w:szCs w:val="21"/>
        </w:rPr>
        <w:t>、</w:t>
      </w:r>
      <w:r>
        <w:rPr>
          <w:rFonts w:hint="eastAsia" w:ascii="宋体" w:hAnsi="宋体" w:eastAsia="宋体" w:cs="宋体"/>
          <w:kern w:val="0"/>
          <w:szCs w:val="21"/>
        </w:rPr>
        <w:t>政治文明</w:t>
      </w:r>
      <w:r>
        <w:rPr>
          <w:rFonts w:hint="eastAsia" w:ascii="宋体" w:hAnsi="宋体" w:eastAsia="宋体" w:cs="B6+cajcd fnta1"/>
          <w:kern w:val="0"/>
          <w:szCs w:val="21"/>
        </w:rPr>
        <w:t>、</w:t>
      </w:r>
      <w:r>
        <w:rPr>
          <w:rFonts w:hint="eastAsia" w:ascii="宋体" w:hAnsi="宋体" w:eastAsia="宋体" w:cs="宋体"/>
          <w:kern w:val="0"/>
          <w:szCs w:val="21"/>
        </w:rPr>
        <w:t>生态文明的协同演进过程</w:t>
      </w:r>
      <w:r>
        <w:rPr>
          <w:rFonts w:hint="eastAsia" w:ascii="宋体" w:hAnsi="宋体" w:eastAsia="宋体" w:cs="B4+CAJ FNT00"/>
          <w:kern w:val="0"/>
          <w:szCs w:val="21"/>
        </w:rPr>
        <w:t>,</w:t>
      </w:r>
      <w:r>
        <w:rPr>
          <w:rFonts w:hint="eastAsia" w:ascii="宋体" w:hAnsi="宋体" w:eastAsia="宋体" w:cs="宋体"/>
          <w:kern w:val="0"/>
          <w:szCs w:val="21"/>
        </w:rPr>
        <w:t>科学发展观作为人类一切文明优秀思想的集大成者和人类发展规律的正确反映</w:t>
      </w:r>
      <w:r>
        <w:rPr>
          <w:rFonts w:hint="eastAsia" w:ascii="宋体" w:hAnsi="宋体" w:eastAsia="宋体" w:cs="B4+CAJ FNT00"/>
          <w:kern w:val="0"/>
          <w:szCs w:val="21"/>
        </w:rPr>
        <w:t>,</w:t>
      </w:r>
      <w:r>
        <w:rPr>
          <w:rFonts w:hint="eastAsia" w:ascii="宋体" w:hAnsi="宋体" w:eastAsia="宋体" w:cs="宋体"/>
          <w:kern w:val="0"/>
          <w:szCs w:val="21"/>
        </w:rPr>
        <w:t>全面</w:t>
      </w:r>
      <w:r>
        <w:rPr>
          <w:rFonts w:hint="eastAsia" w:ascii="宋体" w:hAnsi="宋体" w:eastAsia="宋体" w:cs="B6+cajcd fnta1"/>
          <w:kern w:val="0"/>
          <w:szCs w:val="21"/>
        </w:rPr>
        <w:t>、</w:t>
      </w:r>
      <w:r>
        <w:rPr>
          <w:rFonts w:hint="eastAsia" w:ascii="宋体" w:hAnsi="宋体" w:eastAsia="宋体" w:cs="宋体"/>
          <w:kern w:val="0"/>
          <w:szCs w:val="21"/>
        </w:rPr>
        <w:t>协调</w:t>
      </w:r>
      <w:r>
        <w:rPr>
          <w:rFonts w:hint="eastAsia" w:ascii="宋体" w:hAnsi="宋体" w:eastAsia="宋体" w:cs="B6+cajcd fnta1"/>
          <w:kern w:val="0"/>
          <w:szCs w:val="21"/>
        </w:rPr>
        <w:t>、</w:t>
      </w:r>
      <w:r>
        <w:rPr>
          <w:rFonts w:hint="eastAsia" w:ascii="宋体" w:hAnsi="宋体" w:eastAsia="宋体" w:cs="宋体"/>
          <w:kern w:val="0"/>
          <w:szCs w:val="21"/>
        </w:rPr>
        <w:t>可持续自然成为其最核心的系统原则</w:t>
      </w:r>
      <w:r>
        <w:rPr>
          <w:rFonts w:hint="eastAsia" w:ascii="宋体" w:hAnsi="宋体" w:eastAsia="宋体" w:cs="B6+cajcd fnta1"/>
          <w:kern w:val="0"/>
          <w:szCs w:val="21"/>
        </w:rPr>
        <w:t>。</w:t>
      </w:r>
    </w:p>
    <w:p w14:paraId="7F45154B">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第四</w:t>
      </w:r>
      <w:r>
        <w:rPr>
          <w:rFonts w:hint="eastAsia" w:ascii="宋体" w:hAnsi="宋体" w:eastAsia="宋体" w:cs="B4+CAJ FNT00"/>
          <w:kern w:val="0"/>
          <w:szCs w:val="21"/>
        </w:rPr>
        <w:t>,</w:t>
      </w:r>
      <w:r>
        <w:rPr>
          <w:rFonts w:hint="eastAsia" w:ascii="宋体" w:hAnsi="宋体" w:eastAsia="宋体" w:cs="宋体"/>
          <w:kern w:val="0"/>
          <w:szCs w:val="21"/>
        </w:rPr>
        <w:t>构建社会主义和谐社会是科学发展观的最终目标</w:t>
      </w:r>
      <w:r>
        <w:rPr>
          <w:rFonts w:hint="eastAsia" w:ascii="宋体" w:hAnsi="宋体" w:eastAsia="宋体" w:cs="B6+cajcd fnta1"/>
          <w:kern w:val="0"/>
          <w:szCs w:val="21"/>
        </w:rPr>
        <w:t>。</w:t>
      </w:r>
      <w:r>
        <w:rPr>
          <w:rFonts w:hint="eastAsia" w:ascii="宋体" w:hAnsi="宋体" w:eastAsia="宋体" w:cs="宋体"/>
          <w:kern w:val="0"/>
          <w:szCs w:val="21"/>
        </w:rPr>
        <w:t>物质文明的程度和社会物质财富的丰裕程度与社会和谐程度之间并不是一个完全正相关的关系</w:t>
      </w:r>
      <w:r>
        <w:rPr>
          <w:rFonts w:hint="eastAsia" w:ascii="宋体" w:hAnsi="宋体" w:eastAsia="宋体" w:cs="B4+CAJ FNT00"/>
          <w:kern w:val="0"/>
          <w:szCs w:val="21"/>
        </w:rPr>
        <w:t>,</w:t>
      </w:r>
      <w:r>
        <w:rPr>
          <w:rFonts w:hint="eastAsia" w:ascii="宋体" w:hAnsi="宋体" w:eastAsia="宋体" w:cs="宋体"/>
          <w:kern w:val="0"/>
          <w:szCs w:val="21"/>
        </w:rPr>
        <w:t>这已经被人类发展的历史尤其是工业文明以后的发展史所证明</w:t>
      </w:r>
      <w:r>
        <w:rPr>
          <w:rFonts w:hint="eastAsia" w:ascii="宋体" w:hAnsi="宋体" w:eastAsia="宋体" w:cs="B6+cajcd fnta1"/>
          <w:kern w:val="0"/>
          <w:szCs w:val="21"/>
        </w:rPr>
        <w:t>。</w:t>
      </w:r>
      <w:r>
        <w:rPr>
          <w:rFonts w:hint="eastAsia" w:ascii="宋体" w:hAnsi="宋体" w:eastAsia="宋体" w:cs="宋体"/>
          <w:kern w:val="0"/>
          <w:szCs w:val="21"/>
        </w:rPr>
        <w:t>科学发展观作为一种先进的发展观</w:t>
      </w:r>
      <w:r>
        <w:rPr>
          <w:rFonts w:hint="eastAsia" w:ascii="宋体" w:hAnsi="宋体" w:eastAsia="宋体" w:cs="B4+CAJ FNT00"/>
          <w:kern w:val="0"/>
          <w:szCs w:val="21"/>
        </w:rPr>
        <w:t>,</w:t>
      </w:r>
      <w:r>
        <w:rPr>
          <w:rFonts w:hint="eastAsia" w:ascii="宋体" w:hAnsi="宋体" w:eastAsia="宋体" w:cs="宋体"/>
          <w:kern w:val="0"/>
          <w:szCs w:val="21"/>
        </w:rPr>
        <w:t>就是要实现社会和谐</w:t>
      </w:r>
      <w:r>
        <w:rPr>
          <w:rFonts w:hint="eastAsia" w:ascii="宋体" w:hAnsi="宋体" w:eastAsia="宋体" w:cs="B4+CAJ FNT00"/>
          <w:kern w:val="0"/>
          <w:szCs w:val="21"/>
        </w:rPr>
        <w:t>,</w:t>
      </w:r>
      <w:r>
        <w:rPr>
          <w:rFonts w:hint="eastAsia" w:ascii="宋体" w:hAnsi="宋体" w:eastAsia="宋体" w:cs="宋体"/>
          <w:kern w:val="0"/>
          <w:szCs w:val="21"/>
        </w:rPr>
        <w:t>包括一定时期和一定历史条件下不同阶层的和谐</w:t>
      </w:r>
      <w:r>
        <w:rPr>
          <w:rFonts w:hint="eastAsia" w:ascii="宋体" w:hAnsi="宋体" w:eastAsia="宋体" w:cs="B6+cajcd fnta1"/>
          <w:kern w:val="0"/>
          <w:szCs w:val="21"/>
        </w:rPr>
        <w:t>、</w:t>
      </w:r>
      <w:r>
        <w:rPr>
          <w:rFonts w:hint="eastAsia" w:ascii="宋体" w:hAnsi="宋体" w:eastAsia="宋体" w:cs="宋体"/>
          <w:kern w:val="0"/>
          <w:szCs w:val="21"/>
        </w:rPr>
        <w:t>经济与社会的和谐</w:t>
      </w:r>
      <w:r>
        <w:rPr>
          <w:rFonts w:hint="eastAsia" w:ascii="宋体" w:hAnsi="宋体" w:eastAsia="宋体" w:cs="B6+cajcd fnta1"/>
          <w:kern w:val="0"/>
          <w:szCs w:val="21"/>
        </w:rPr>
        <w:t>、</w:t>
      </w:r>
      <w:r>
        <w:rPr>
          <w:rFonts w:hint="eastAsia" w:ascii="宋体" w:hAnsi="宋体" w:eastAsia="宋体" w:cs="宋体"/>
          <w:kern w:val="0"/>
          <w:szCs w:val="21"/>
        </w:rPr>
        <w:t>代际之间的和谐</w:t>
      </w:r>
      <w:r>
        <w:rPr>
          <w:rFonts w:hint="eastAsia" w:ascii="宋体" w:hAnsi="宋体" w:eastAsia="宋体" w:cs="B6+cajcd fnta1"/>
          <w:kern w:val="0"/>
          <w:szCs w:val="21"/>
        </w:rPr>
        <w:t>、</w:t>
      </w:r>
      <w:r>
        <w:rPr>
          <w:rFonts w:hint="eastAsia" w:ascii="宋体" w:hAnsi="宋体" w:eastAsia="宋体" w:cs="宋体"/>
          <w:kern w:val="0"/>
          <w:szCs w:val="21"/>
        </w:rPr>
        <w:t>人与自然的和谐</w:t>
      </w:r>
      <w:r>
        <w:rPr>
          <w:rFonts w:hint="eastAsia" w:ascii="宋体" w:hAnsi="宋体" w:eastAsia="宋体" w:cs="B6+cajcd fnta1"/>
          <w:kern w:val="0"/>
          <w:szCs w:val="21"/>
        </w:rPr>
        <w:t>、</w:t>
      </w:r>
      <w:r>
        <w:rPr>
          <w:rFonts w:hint="eastAsia" w:ascii="宋体" w:hAnsi="宋体" w:eastAsia="宋体" w:cs="宋体"/>
          <w:kern w:val="0"/>
          <w:szCs w:val="21"/>
        </w:rPr>
        <w:t>区域之间的和谐</w:t>
      </w:r>
      <w:r>
        <w:rPr>
          <w:rFonts w:hint="eastAsia" w:ascii="宋体" w:hAnsi="宋体" w:eastAsia="宋体" w:cs="B6+cajcd fnta1"/>
          <w:kern w:val="0"/>
          <w:szCs w:val="21"/>
        </w:rPr>
        <w:t>、</w:t>
      </w:r>
      <w:r>
        <w:rPr>
          <w:rFonts w:hint="eastAsia" w:ascii="宋体" w:hAnsi="宋体" w:eastAsia="宋体" w:cs="宋体"/>
          <w:kern w:val="0"/>
          <w:szCs w:val="21"/>
        </w:rPr>
        <w:t>国内与国际之间的和谐</w:t>
      </w:r>
      <w:r>
        <w:rPr>
          <w:rFonts w:hint="eastAsia" w:ascii="宋体" w:hAnsi="宋体" w:eastAsia="宋体" w:cs="B4+CAJ FNT00"/>
          <w:kern w:val="0"/>
          <w:szCs w:val="21"/>
        </w:rPr>
        <w:t>,</w:t>
      </w:r>
      <w:r>
        <w:rPr>
          <w:rFonts w:hint="eastAsia" w:ascii="宋体" w:hAnsi="宋体" w:eastAsia="宋体" w:cs="宋体"/>
          <w:kern w:val="0"/>
          <w:szCs w:val="21"/>
        </w:rPr>
        <w:t>等等</w:t>
      </w:r>
      <w:r>
        <w:rPr>
          <w:rFonts w:hint="eastAsia" w:ascii="宋体" w:hAnsi="宋体" w:eastAsia="宋体" w:cs="B4+CAJ FNT00"/>
          <w:kern w:val="0"/>
          <w:szCs w:val="21"/>
        </w:rPr>
        <w:t>,</w:t>
      </w:r>
      <w:r>
        <w:rPr>
          <w:rFonts w:hint="eastAsia" w:ascii="宋体" w:hAnsi="宋体" w:eastAsia="宋体" w:cs="宋体"/>
          <w:kern w:val="0"/>
          <w:szCs w:val="21"/>
        </w:rPr>
        <w:t>是所有人都能够公平地分享人类文明的成果</w:t>
      </w:r>
      <w:r>
        <w:rPr>
          <w:rFonts w:hint="eastAsia" w:ascii="宋体" w:hAnsi="宋体" w:eastAsia="宋体" w:cs="B6+cajcd fnta1"/>
          <w:kern w:val="0"/>
          <w:szCs w:val="21"/>
        </w:rPr>
        <w:t>。</w:t>
      </w:r>
    </w:p>
    <w:p w14:paraId="186F1B4A">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第五</w:t>
      </w:r>
      <w:r>
        <w:rPr>
          <w:rFonts w:hint="eastAsia" w:ascii="宋体" w:hAnsi="宋体" w:eastAsia="宋体" w:cs="B4+CAJ FNT00"/>
          <w:kern w:val="0"/>
          <w:szCs w:val="21"/>
        </w:rPr>
        <w:t>,</w:t>
      </w:r>
      <w:r>
        <w:rPr>
          <w:rFonts w:hint="eastAsia" w:ascii="宋体" w:hAnsi="宋体" w:eastAsia="宋体" w:cs="宋体"/>
          <w:kern w:val="0"/>
          <w:szCs w:val="21"/>
        </w:rPr>
        <w:t>科学发展观的路径</w:t>
      </w:r>
      <w:r>
        <w:rPr>
          <w:rFonts w:hint="eastAsia" w:ascii="宋体" w:hAnsi="宋体" w:eastAsia="宋体" w:cs="B6+cajcd fnta1"/>
          <w:kern w:val="0"/>
          <w:szCs w:val="21"/>
        </w:rPr>
        <w:t>。</w:t>
      </w:r>
      <w:r>
        <w:rPr>
          <w:rFonts w:hint="eastAsia" w:ascii="宋体" w:hAnsi="宋体" w:eastAsia="宋体" w:cs="宋体"/>
          <w:kern w:val="0"/>
          <w:szCs w:val="21"/>
        </w:rPr>
        <w:t>坚定不移地实施可持续发展战略是实现科学发展观的基本路径</w:t>
      </w:r>
      <w:r>
        <w:rPr>
          <w:rFonts w:hint="eastAsia" w:ascii="宋体" w:hAnsi="宋体" w:eastAsia="宋体" w:cs="B6+cajcd fnta1"/>
          <w:kern w:val="0"/>
          <w:szCs w:val="21"/>
        </w:rPr>
        <w:t>。</w:t>
      </w:r>
      <w:r>
        <w:rPr>
          <w:rFonts w:hint="eastAsia" w:ascii="宋体" w:hAnsi="宋体" w:eastAsia="宋体" w:cs="宋体"/>
          <w:kern w:val="0"/>
          <w:szCs w:val="21"/>
        </w:rPr>
        <w:t>我国人口众多</w:t>
      </w:r>
      <w:r>
        <w:rPr>
          <w:rFonts w:hint="eastAsia" w:ascii="宋体" w:hAnsi="宋体" w:eastAsia="宋体" w:cs="B4+CAJ FNT00"/>
          <w:kern w:val="0"/>
          <w:szCs w:val="21"/>
        </w:rPr>
        <w:t>,</w:t>
      </w:r>
      <w:r>
        <w:rPr>
          <w:rFonts w:hint="eastAsia" w:ascii="宋体" w:hAnsi="宋体" w:eastAsia="宋体" w:cs="宋体"/>
          <w:kern w:val="0"/>
          <w:szCs w:val="21"/>
        </w:rPr>
        <w:t>人均资源占有量少</w:t>
      </w:r>
      <w:r>
        <w:rPr>
          <w:rFonts w:hint="eastAsia" w:ascii="宋体" w:hAnsi="宋体" w:eastAsia="宋体" w:cs="B4+CAJ FNT00"/>
          <w:kern w:val="0"/>
          <w:szCs w:val="21"/>
        </w:rPr>
        <w:t>,</w:t>
      </w:r>
      <w:r>
        <w:rPr>
          <w:rFonts w:hint="eastAsia" w:ascii="宋体" w:hAnsi="宋体" w:eastAsia="宋体" w:cs="宋体"/>
          <w:kern w:val="0"/>
          <w:szCs w:val="21"/>
        </w:rPr>
        <w:t>生态环境承载能力弱</w:t>
      </w:r>
      <w:r>
        <w:rPr>
          <w:rFonts w:hint="eastAsia" w:ascii="宋体" w:hAnsi="宋体" w:eastAsia="宋体" w:cs="B4+CAJ FNT00"/>
          <w:kern w:val="0"/>
          <w:szCs w:val="21"/>
        </w:rPr>
        <w:t>,</w:t>
      </w:r>
      <w:r>
        <w:rPr>
          <w:rFonts w:hint="eastAsia" w:ascii="宋体" w:hAnsi="宋体" w:eastAsia="宋体" w:cs="宋体"/>
          <w:kern w:val="0"/>
          <w:szCs w:val="21"/>
        </w:rPr>
        <w:t>特别是随着经济快速增长</w:t>
      </w:r>
      <w:r>
        <w:rPr>
          <w:rFonts w:hint="eastAsia" w:ascii="宋体" w:hAnsi="宋体" w:eastAsia="宋体" w:cs="B4+CAJ FNT00"/>
          <w:kern w:val="0"/>
          <w:szCs w:val="21"/>
        </w:rPr>
        <w:t>,</w:t>
      </w:r>
      <w:r>
        <w:rPr>
          <w:rFonts w:hint="eastAsia" w:ascii="宋体" w:hAnsi="宋体" w:eastAsia="宋体" w:cs="宋体"/>
          <w:kern w:val="0"/>
          <w:szCs w:val="21"/>
        </w:rPr>
        <w:t>能源</w:t>
      </w:r>
      <w:r>
        <w:rPr>
          <w:rFonts w:hint="eastAsia" w:ascii="宋体" w:hAnsi="宋体" w:eastAsia="宋体" w:cs="B6+cajcd fnta1"/>
          <w:kern w:val="0"/>
          <w:szCs w:val="21"/>
        </w:rPr>
        <w:t>、</w:t>
      </w:r>
      <w:r>
        <w:rPr>
          <w:rFonts w:hint="eastAsia" w:ascii="宋体" w:hAnsi="宋体" w:eastAsia="宋体" w:cs="宋体"/>
          <w:kern w:val="0"/>
          <w:szCs w:val="21"/>
        </w:rPr>
        <w:t>土地</w:t>
      </w:r>
      <w:r>
        <w:rPr>
          <w:rFonts w:hint="eastAsia" w:ascii="宋体" w:hAnsi="宋体" w:eastAsia="宋体" w:cs="B6+cajcd fnta1"/>
          <w:kern w:val="0"/>
          <w:szCs w:val="21"/>
        </w:rPr>
        <w:t>、</w:t>
      </w:r>
      <w:r>
        <w:rPr>
          <w:rFonts w:hint="eastAsia" w:ascii="宋体" w:hAnsi="宋体" w:eastAsia="宋体" w:cs="宋体"/>
          <w:kern w:val="0"/>
          <w:szCs w:val="21"/>
        </w:rPr>
        <w:t>水</w:t>
      </w:r>
      <w:r>
        <w:rPr>
          <w:rFonts w:hint="eastAsia" w:ascii="宋体" w:hAnsi="宋体" w:eastAsia="宋体" w:cs="B6+cajcd fnta1"/>
          <w:kern w:val="0"/>
          <w:szCs w:val="21"/>
        </w:rPr>
        <w:t>、</w:t>
      </w:r>
      <w:r>
        <w:rPr>
          <w:rFonts w:hint="eastAsia" w:ascii="宋体" w:hAnsi="宋体" w:eastAsia="宋体" w:cs="宋体"/>
          <w:kern w:val="0"/>
          <w:szCs w:val="21"/>
        </w:rPr>
        <w:t>矿产等资源供需矛盾越来越尖锐</w:t>
      </w:r>
      <w:r>
        <w:rPr>
          <w:rFonts w:hint="eastAsia" w:ascii="宋体" w:hAnsi="宋体" w:eastAsia="宋体" w:cs="B4+CAJ FNT00"/>
          <w:kern w:val="0"/>
          <w:szCs w:val="21"/>
        </w:rPr>
        <w:t>,</w:t>
      </w:r>
      <w:r>
        <w:rPr>
          <w:rFonts w:hint="eastAsia" w:ascii="宋体" w:hAnsi="宋体" w:eastAsia="宋体" w:cs="宋体"/>
          <w:kern w:val="0"/>
          <w:szCs w:val="21"/>
        </w:rPr>
        <w:t>生态环境对经济社会发展的约束力不断强化</w:t>
      </w:r>
      <w:r>
        <w:rPr>
          <w:rFonts w:hint="eastAsia" w:ascii="宋体" w:hAnsi="宋体" w:eastAsia="宋体" w:cs="B4+CAJ FNT00"/>
          <w:kern w:val="0"/>
          <w:szCs w:val="21"/>
        </w:rPr>
        <w:t>,</w:t>
      </w:r>
      <w:r>
        <w:rPr>
          <w:rFonts w:hint="eastAsia" w:ascii="宋体" w:hAnsi="宋体" w:eastAsia="宋体" w:cs="宋体"/>
          <w:kern w:val="0"/>
          <w:szCs w:val="21"/>
        </w:rPr>
        <w:t>高度重视生态环境问题</w:t>
      </w:r>
      <w:r>
        <w:rPr>
          <w:rFonts w:hint="eastAsia" w:ascii="宋体" w:hAnsi="宋体" w:eastAsia="宋体" w:cs="B4+CAJ FNT00"/>
          <w:kern w:val="0"/>
          <w:szCs w:val="21"/>
        </w:rPr>
        <w:t>,</w:t>
      </w:r>
      <w:r>
        <w:rPr>
          <w:rFonts w:hint="eastAsia" w:ascii="宋体" w:hAnsi="宋体" w:eastAsia="宋体" w:cs="宋体"/>
          <w:kern w:val="0"/>
          <w:szCs w:val="21"/>
        </w:rPr>
        <w:t>增强中国的可持续发展能力</w:t>
      </w:r>
      <w:r>
        <w:rPr>
          <w:rFonts w:hint="eastAsia" w:ascii="宋体" w:hAnsi="宋体" w:eastAsia="宋体" w:cs="B4+CAJ FNT00"/>
          <w:kern w:val="0"/>
          <w:szCs w:val="21"/>
        </w:rPr>
        <w:t>,</w:t>
      </w:r>
      <w:r>
        <w:rPr>
          <w:rFonts w:hint="eastAsia" w:ascii="宋体" w:hAnsi="宋体" w:eastAsia="宋体" w:cs="宋体"/>
          <w:kern w:val="0"/>
          <w:szCs w:val="21"/>
        </w:rPr>
        <w:t>是关乎中华民族生存与发展的根本大计</w:t>
      </w:r>
      <w:r>
        <w:rPr>
          <w:rFonts w:hint="eastAsia" w:ascii="宋体" w:hAnsi="宋体" w:eastAsia="宋体" w:cs="B4+CAJ FNT00"/>
          <w:kern w:val="0"/>
          <w:szCs w:val="21"/>
        </w:rPr>
        <w:t>,</w:t>
      </w:r>
      <w:r>
        <w:rPr>
          <w:rFonts w:hint="eastAsia" w:ascii="宋体" w:hAnsi="宋体" w:eastAsia="宋体" w:cs="宋体"/>
          <w:kern w:val="0"/>
          <w:szCs w:val="21"/>
        </w:rPr>
        <w:t>也是实践科学发展观的基本路径</w:t>
      </w:r>
      <w:r>
        <w:rPr>
          <w:rFonts w:hint="eastAsia" w:ascii="宋体" w:hAnsi="宋体" w:eastAsia="宋体" w:cs="B6+cajcd fnta1"/>
          <w:kern w:val="0"/>
          <w:szCs w:val="21"/>
        </w:rPr>
        <w:t>。</w:t>
      </w:r>
    </w:p>
    <w:p w14:paraId="3C742AAE">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学术界从不同学科</w:t>
      </w:r>
      <w:r>
        <w:rPr>
          <w:rFonts w:hint="eastAsia" w:ascii="宋体" w:hAnsi="宋体" w:eastAsia="宋体" w:cs="B6+cajcd fnta1"/>
          <w:kern w:val="0"/>
          <w:szCs w:val="21"/>
        </w:rPr>
        <w:t>、</w:t>
      </w:r>
      <w:r>
        <w:rPr>
          <w:rFonts w:hint="eastAsia" w:ascii="宋体" w:hAnsi="宋体" w:eastAsia="宋体" w:cs="宋体"/>
          <w:kern w:val="0"/>
          <w:szCs w:val="21"/>
        </w:rPr>
        <w:t>从不同的视角和不同层面对科学发展观进行了深入的研究</w:t>
      </w:r>
      <w:r>
        <w:rPr>
          <w:rFonts w:hint="eastAsia" w:ascii="宋体" w:hAnsi="宋体" w:eastAsia="宋体" w:cs="B4+CAJ FNT00"/>
          <w:kern w:val="0"/>
          <w:szCs w:val="21"/>
        </w:rPr>
        <w:t>,</w:t>
      </w:r>
      <w:r>
        <w:rPr>
          <w:rFonts w:hint="eastAsia" w:ascii="宋体" w:hAnsi="宋体" w:eastAsia="宋体" w:cs="宋体"/>
          <w:kern w:val="0"/>
          <w:szCs w:val="21"/>
        </w:rPr>
        <w:t>科学发展观这座思想大厦的内容也越来越丰富</w:t>
      </w:r>
      <w:r>
        <w:rPr>
          <w:rFonts w:hint="eastAsia" w:ascii="宋体" w:hAnsi="宋体" w:eastAsia="宋体" w:cs="B4+CAJ FNT00"/>
          <w:kern w:val="0"/>
          <w:szCs w:val="21"/>
        </w:rPr>
        <w:t>,</w:t>
      </w:r>
      <w:r>
        <w:rPr>
          <w:rFonts w:hint="eastAsia" w:ascii="宋体" w:hAnsi="宋体" w:eastAsia="宋体" w:cs="宋体"/>
          <w:kern w:val="0"/>
          <w:szCs w:val="21"/>
        </w:rPr>
        <w:t>但是</w:t>
      </w:r>
      <w:r>
        <w:rPr>
          <w:rFonts w:hint="eastAsia" w:ascii="宋体" w:hAnsi="宋体" w:eastAsia="宋体" w:cs="B4+CAJ FNT00"/>
          <w:kern w:val="0"/>
          <w:szCs w:val="21"/>
        </w:rPr>
        <w:t>,</w:t>
      </w:r>
      <w:r>
        <w:rPr>
          <w:rFonts w:hint="eastAsia" w:ascii="宋体" w:hAnsi="宋体" w:eastAsia="宋体" w:cs="宋体"/>
          <w:kern w:val="0"/>
          <w:szCs w:val="21"/>
        </w:rPr>
        <w:t>从理论到实践的逻辑看</w:t>
      </w:r>
      <w:r>
        <w:rPr>
          <w:rFonts w:hint="eastAsia" w:ascii="宋体" w:hAnsi="宋体" w:eastAsia="宋体" w:cs="B4+CAJ FNT00"/>
          <w:kern w:val="0"/>
          <w:szCs w:val="21"/>
        </w:rPr>
        <w:t>,</w:t>
      </w:r>
      <w:r>
        <w:rPr>
          <w:rFonts w:hint="eastAsia" w:ascii="宋体" w:hAnsi="宋体" w:eastAsia="宋体" w:cs="宋体"/>
          <w:kern w:val="0"/>
          <w:szCs w:val="21"/>
        </w:rPr>
        <w:t>目前关于科学发展观的研究还存在一些不足</w:t>
      </w:r>
      <w:r>
        <w:rPr>
          <w:rFonts w:hint="eastAsia" w:ascii="宋体" w:hAnsi="宋体" w:eastAsia="宋体" w:cs="B4+CAJ FNT00"/>
          <w:kern w:val="0"/>
          <w:szCs w:val="21"/>
        </w:rPr>
        <w:t>,</w:t>
      </w:r>
      <w:r>
        <w:rPr>
          <w:rFonts w:hint="eastAsia" w:ascii="宋体" w:hAnsi="宋体" w:eastAsia="宋体" w:cs="宋体"/>
          <w:kern w:val="0"/>
          <w:szCs w:val="21"/>
        </w:rPr>
        <w:t>主要表现在</w:t>
      </w:r>
      <w:r>
        <w:rPr>
          <w:rFonts w:hint="eastAsia" w:ascii="宋体" w:hAnsi="宋体" w:eastAsia="宋体" w:cs="B4+CAJ FNT00"/>
          <w:kern w:val="0"/>
          <w:szCs w:val="21"/>
        </w:rPr>
        <w:t>：</w:t>
      </w:r>
      <w:r>
        <w:rPr>
          <w:rFonts w:hint="eastAsia" w:ascii="宋体" w:hAnsi="宋体" w:eastAsia="宋体" w:cs="宋体"/>
          <w:kern w:val="0"/>
          <w:szCs w:val="21"/>
        </w:rPr>
        <w:t>第一</w:t>
      </w:r>
      <w:r>
        <w:rPr>
          <w:rFonts w:hint="eastAsia" w:ascii="宋体" w:hAnsi="宋体" w:eastAsia="宋体" w:cs="B4+CAJ FNT00"/>
          <w:kern w:val="0"/>
          <w:szCs w:val="21"/>
        </w:rPr>
        <w:t>,</w:t>
      </w:r>
      <w:r>
        <w:rPr>
          <w:rFonts w:hint="eastAsia" w:ascii="宋体" w:hAnsi="宋体" w:eastAsia="宋体" w:cs="宋体"/>
          <w:kern w:val="0"/>
          <w:szCs w:val="21"/>
        </w:rPr>
        <w:t>宏观层面研究偏多</w:t>
      </w:r>
      <w:r>
        <w:rPr>
          <w:rFonts w:hint="eastAsia" w:ascii="宋体" w:hAnsi="宋体" w:eastAsia="宋体" w:cs="B4+CAJ FNT00"/>
          <w:kern w:val="0"/>
          <w:szCs w:val="21"/>
        </w:rPr>
        <w:t>,</w:t>
      </w:r>
      <w:r>
        <w:rPr>
          <w:rFonts w:hint="eastAsia" w:ascii="宋体" w:hAnsi="宋体" w:eastAsia="宋体" w:cs="宋体"/>
          <w:kern w:val="0"/>
          <w:szCs w:val="21"/>
        </w:rPr>
        <w:t>微观层面的研究不足</w:t>
      </w:r>
      <w:r>
        <w:rPr>
          <w:rFonts w:hint="eastAsia" w:ascii="宋体" w:hAnsi="宋体" w:eastAsia="宋体" w:cs="B6+cajcd fnta1"/>
          <w:kern w:val="0"/>
          <w:szCs w:val="21"/>
        </w:rPr>
        <w:t>。</w:t>
      </w:r>
      <w:r>
        <w:rPr>
          <w:rFonts w:hint="eastAsia" w:ascii="宋体" w:hAnsi="宋体" w:eastAsia="宋体" w:cs="宋体"/>
          <w:kern w:val="0"/>
          <w:szCs w:val="21"/>
        </w:rPr>
        <w:t>由于科学发展观提出的时间比较短</w:t>
      </w:r>
      <w:r>
        <w:rPr>
          <w:rFonts w:hint="eastAsia" w:ascii="宋体" w:hAnsi="宋体" w:eastAsia="宋体" w:cs="B4+CAJ FNT00"/>
          <w:kern w:val="0"/>
          <w:szCs w:val="21"/>
        </w:rPr>
        <w:t>,</w:t>
      </w:r>
      <w:r>
        <w:rPr>
          <w:rFonts w:hint="eastAsia" w:ascii="宋体" w:hAnsi="宋体" w:eastAsia="宋体" w:cs="宋体"/>
          <w:kern w:val="0"/>
          <w:szCs w:val="21"/>
        </w:rPr>
        <w:t>而且科学发展观是一个思想集成</w:t>
      </w:r>
      <w:r>
        <w:rPr>
          <w:rFonts w:hint="eastAsia" w:ascii="宋体" w:hAnsi="宋体" w:eastAsia="宋体" w:cs="B4+CAJ FNT00"/>
          <w:kern w:val="0"/>
          <w:szCs w:val="21"/>
        </w:rPr>
        <w:t>,</w:t>
      </w:r>
      <w:r>
        <w:rPr>
          <w:rFonts w:hint="eastAsia" w:ascii="宋体" w:hAnsi="宋体" w:eastAsia="宋体" w:cs="宋体"/>
          <w:kern w:val="0"/>
          <w:szCs w:val="21"/>
        </w:rPr>
        <w:t>理论界呈现这样的研究格局是必然的</w:t>
      </w:r>
      <w:r>
        <w:rPr>
          <w:rFonts w:hint="eastAsia" w:ascii="宋体" w:hAnsi="宋体" w:eastAsia="宋体" w:cs="B4+CAJ FNT00"/>
          <w:kern w:val="0"/>
          <w:szCs w:val="21"/>
        </w:rPr>
        <w:t>,</w:t>
      </w:r>
      <w:r>
        <w:rPr>
          <w:rFonts w:hint="eastAsia" w:ascii="宋体" w:hAnsi="宋体" w:eastAsia="宋体" w:cs="宋体"/>
          <w:kern w:val="0"/>
          <w:szCs w:val="21"/>
        </w:rPr>
        <w:t>从宏观层面向微观层面深入</w:t>
      </w:r>
      <w:r>
        <w:rPr>
          <w:rFonts w:hint="eastAsia" w:ascii="宋体" w:hAnsi="宋体" w:eastAsia="宋体" w:cs="B4+CAJ FNT00"/>
          <w:kern w:val="0"/>
          <w:szCs w:val="21"/>
        </w:rPr>
        <w:t>,</w:t>
      </w:r>
      <w:r>
        <w:rPr>
          <w:rFonts w:hint="eastAsia" w:ascii="宋体" w:hAnsi="宋体" w:eastAsia="宋体" w:cs="宋体"/>
          <w:kern w:val="0"/>
          <w:szCs w:val="21"/>
        </w:rPr>
        <w:t>是理论研究深化必然的逻辑路径</w:t>
      </w:r>
      <w:r>
        <w:rPr>
          <w:rFonts w:hint="eastAsia" w:ascii="宋体" w:hAnsi="宋体" w:eastAsia="宋体" w:cs="B6+cajcd fnta1"/>
          <w:kern w:val="0"/>
          <w:szCs w:val="21"/>
        </w:rPr>
        <w:t>。</w:t>
      </w:r>
    </w:p>
    <w:p w14:paraId="7B76DD6F">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第二</w:t>
      </w:r>
      <w:r>
        <w:rPr>
          <w:rFonts w:hint="eastAsia" w:ascii="宋体" w:hAnsi="宋体" w:eastAsia="宋体" w:cs="B4+CAJ FNT00"/>
          <w:kern w:val="0"/>
          <w:szCs w:val="21"/>
        </w:rPr>
        <w:t>,</w:t>
      </w:r>
      <w:r>
        <w:rPr>
          <w:rFonts w:hint="eastAsia" w:ascii="宋体" w:hAnsi="宋体" w:eastAsia="宋体" w:cs="宋体"/>
          <w:kern w:val="0"/>
          <w:szCs w:val="21"/>
        </w:rPr>
        <w:t>综合性</w:t>
      </w:r>
      <w:r>
        <w:rPr>
          <w:rFonts w:hint="eastAsia" w:ascii="宋体" w:hAnsi="宋体" w:eastAsia="宋体" w:cs="B6+cajcd fnta1"/>
          <w:kern w:val="0"/>
          <w:szCs w:val="21"/>
        </w:rPr>
        <w:t>、</w:t>
      </w:r>
      <w:r>
        <w:rPr>
          <w:rFonts w:hint="eastAsia" w:ascii="宋体" w:hAnsi="宋体" w:eastAsia="宋体" w:cs="宋体"/>
          <w:kern w:val="0"/>
          <w:szCs w:val="21"/>
        </w:rPr>
        <w:t>战略性研究偏多</w:t>
      </w:r>
      <w:r>
        <w:rPr>
          <w:rFonts w:hint="eastAsia" w:ascii="宋体" w:hAnsi="宋体" w:eastAsia="宋体" w:cs="B4+CAJ FNT00"/>
          <w:kern w:val="0"/>
          <w:szCs w:val="21"/>
        </w:rPr>
        <w:t>,</w:t>
      </w:r>
      <w:r>
        <w:rPr>
          <w:rFonts w:hint="eastAsia" w:ascii="宋体" w:hAnsi="宋体" w:eastAsia="宋体" w:cs="宋体"/>
          <w:kern w:val="0"/>
          <w:szCs w:val="21"/>
        </w:rPr>
        <w:t>动态性</w:t>
      </w:r>
      <w:r>
        <w:rPr>
          <w:rFonts w:hint="eastAsia" w:ascii="宋体" w:hAnsi="宋体" w:eastAsia="宋体" w:cs="B6+cajcd fnta1"/>
          <w:kern w:val="0"/>
          <w:szCs w:val="21"/>
        </w:rPr>
        <w:t>、</w:t>
      </w:r>
      <w:r>
        <w:rPr>
          <w:rFonts w:hint="eastAsia" w:ascii="宋体" w:hAnsi="宋体" w:eastAsia="宋体" w:cs="宋体"/>
          <w:kern w:val="0"/>
          <w:szCs w:val="21"/>
        </w:rPr>
        <w:t>层次性研究不足</w:t>
      </w:r>
      <w:r>
        <w:rPr>
          <w:rFonts w:hint="eastAsia" w:ascii="宋体" w:hAnsi="宋体" w:eastAsia="宋体" w:cs="B6+cajcd fnta1"/>
          <w:kern w:val="0"/>
          <w:szCs w:val="21"/>
        </w:rPr>
        <w:t>。</w:t>
      </w:r>
      <w:r>
        <w:rPr>
          <w:rFonts w:hint="eastAsia" w:ascii="宋体" w:hAnsi="宋体" w:eastAsia="宋体" w:cs="宋体"/>
          <w:kern w:val="0"/>
          <w:szCs w:val="21"/>
        </w:rPr>
        <w:t>发展和科学发展是一个渐近的过程</w:t>
      </w:r>
      <w:r>
        <w:rPr>
          <w:rFonts w:hint="eastAsia" w:ascii="宋体" w:hAnsi="宋体" w:eastAsia="宋体" w:cs="B4+CAJ FNT00"/>
          <w:kern w:val="0"/>
          <w:szCs w:val="21"/>
        </w:rPr>
        <w:t>,</w:t>
      </w:r>
      <w:r>
        <w:rPr>
          <w:rFonts w:hint="eastAsia" w:ascii="宋体" w:hAnsi="宋体" w:eastAsia="宋体" w:cs="宋体"/>
          <w:kern w:val="0"/>
          <w:szCs w:val="21"/>
        </w:rPr>
        <w:t>从唯经济增长到以人为本的全面发展</w:t>
      </w:r>
      <w:r>
        <w:rPr>
          <w:rFonts w:hint="eastAsia" w:ascii="宋体" w:hAnsi="宋体" w:eastAsia="宋体" w:cs="B6+cajcd fnta1"/>
          <w:kern w:val="0"/>
          <w:szCs w:val="21"/>
        </w:rPr>
        <w:t>、</w:t>
      </w:r>
      <w:r>
        <w:rPr>
          <w:rFonts w:hint="eastAsia" w:ascii="宋体" w:hAnsi="宋体" w:eastAsia="宋体" w:cs="宋体"/>
          <w:kern w:val="0"/>
          <w:szCs w:val="21"/>
        </w:rPr>
        <w:t>从线性发展到可持续发展等</w:t>
      </w:r>
      <w:r>
        <w:rPr>
          <w:rFonts w:hint="eastAsia" w:ascii="宋体" w:hAnsi="宋体" w:eastAsia="宋体" w:cs="B4+CAJ FNT00"/>
          <w:kern w:val="0"/>
          <w:szCs w:val="21"/>
        </w:rPr>
        <w:t>,</w:t>
      </w:r>
      <w:r>
        <w:rPr>
          <w:rFonts w:hint="eastAsia" w:ascii="宋体" w:hAnsi="宋体" w:eastAsia="宋体" w:cs="宋体"/>
          <w:kern w:val="0"/>
          <w:szCs w:val="21"/>
        </w:rPr>
        <w:t>无不佐证了这一论断</w:t>
      </w:r>
      <w:r>
        <w:rPr>
          <w:rFonts w:hint="eastAsia" w:ascii="宋体" w:hAnsi="宋体" w:eastAsia="宋体" w:cs="B6+cajcd fnta1"/>
          <w:kern w:val="0"/>
          <w:szCs w:val="21"/>
        </w:rPr>
        <w:t>。</w:t>
      </w:r>
      <w:r>
        <w:rPr>
          <w:rFonts w:hint="eastAsia" w:ascii="宋体" w:hAnsi="宋体" w:eastAsia="宋体" w:cs="宋体"/>
          <w:kern w:val="0"/>
          <w:szCs w:val="21"/>
        </w:rPr>
        <w:t>我国幅员辽阔</w:t>
      </w:r>
      <w:r>
        <w:rPr>
          <w:rFonts w:hint="eastAsia" w:ascii="宋体" w:hAnsi="宋体" w:eastAsia="宋体" w:cs="B4+CAJ FNT00"/>
          <w:kern w:val="0"/>
          <w:szCs w:val="21"/>
        </w:rPr>
        <w:t>,</w:t>
      </w:r>
      <w:r>
        <w:rPr>
          <w:rFonts w:hint="eastAsia" w:ascii="宋体" w:hAnsi="宋体" w:eastAsia="宋体" w:cs="宋体"/>
          <w:kern w:val="0"/>
          <w:szCs w:val="21"/>
        </w:rPr>
        <w:t>不同地区之间</w:t>
      </w:r>
      <w:r>
        <w:rPr>
          <w:rFonts w:hint="eastAsia" w:ascii="宋体" w:hAnsi="宋体" w:eastAsia="宋体" w:cs="B6+cajcd fnta1"/>
          <w:kern w:val="0"/>
          <w:szCs w:val="21"/>
        </w:rPr>
        <w:t>、</w:t>
      </w:r>
      <w:r>
        <w:rPr>
          <w:rFonts w:hint="eastAsia" w:ascii="宋体" w:hAnsi="宋体" w:eastAsia="宋体" w:cs="宋体"/>
          <w:kern w:val="0"/>
          <w:szCs w:val="21"/>
        </w:rPr>
        <w:t>城乡之间发展差异大</w:t>
      </w:r>
      <w:r>
        <w:rPr>
          <w:rFonts w:hint="eastAsia" w:ascii="宋体" w:hAnsi="宋体" w:eastAsia="宋体" w:cs="B4+CAJ FNT00"/>
          <w:kern w:val="0"/>
          <w:szCs w:val="21"/>
        </w:rPr>
        <w:t>,</w:t>
      </w:r>
      <w:r>
        <w:rPr>
          <w:rFonts w:hint="eastAsia" w:ascii="宋体" w:hAnsi="宋体" w:eastAsia="宋体" w:cs="宋体"/>
          <w:kern w:val="0"/>
          <w:szCs w:val="21"/>
        </w:rPr>
        <w:t>不同发展阶段具有不同的发展特征</w:t>
      </w:r>
      <w:r>
        <w:rPr>
          <w:rFonts w:hint="eastAsia" w:ascii="宋体" w:hAnsi="宋体" w:eastAsia="宋体" w:cs="B4+CAJ FNT00"/>
          <w:kern w:val="0"/>
          <w:szCs w:val="21"/>
        </w:rPr>
        <w:t>,</w:t>
      </w:r>
      <w:r>
        <w:rPr>
          <w:rFonts w:hint="eastAsia" w:ascii="宋体" w:hAnsi="宋体" w:eastAsia="宋体" w:cs="宋体"/>
          <w:kern w:val="0"/>
          <w:szCs w:val="21"/>
        </w:rPr>
        <w:t>推进科学发展的具体路径也有很大的差异性</w:t>
      </w:r>
      <w:r>
        <w:rPr>
          <w:rFonts w:hint="eastAsia" w:ascii="宋体" w:hAnsi="宋体" w:eastAsia="宋体" w:cs="B4+CAJ FNT00"/>
          <w:kern w:val="0"/>
          <w:szCs w:val="21"/>
        </w:rPr>
        <w:t>,</w:t>
      </w:r>
      <w:r>
        <w:rPr>
          <w:rFonts w:hint="eastAsia" w:ascii="宋体" w:hAnsi="宋体" w:eastAsia="宋体" w:cs="宋体"/>
          <w:kern w:val="0"/>
          <w:szCs w:val="21"/>
        </w:rPr>
        <w:t>所以实现科学发展观的目标要求我们必须立足现实</w:t>
      </w:r>
      <w:r>
        <w:rPr>
          <w:rFonts w:hint="eastAsia" w:ascii="宋体" w:hAnsi="宋体" w:eastAsia="宋体" w:cs="B4+CAJ FNT00"/>
          <w:kern w:val="0"/>
          <w:szCs w:val="21"/>
        </w:rPr>
        <w:t>,</w:t>
      </w:r>
      <w:r>
        <w:rPr>
          <w:rFonts w:hint="eastAsia" w:ascii="宋体" w:hAnsi="宋体" w:eastAsia="宋体" w:cs="宋体"/>
          <w:kern w:val="0"/>
          <w:szCs w:val="21"/>
        </w:rPr>
        <w:t>既不能超越发展所必需的必要条件</w:t>
      </w:r>
      <w:r>
        <w:rPr>
          <w:rFonts w:hint="eastAsia" w:ascii="宋体" w:hAnsi="宋体" w:eastAsia="宋体" w:cs="B4+CAJ FNT00"/>
          <w:kern w:val="0"/>
          <w:szCs w:val="21"/>
        </w:rPr>
        <w:t>,</w:t>
      </w:r>
      <w:r>
        <w:rPr>
          <w:rFonts w:hint="eastAsia" w:ascii="宋体" w:hAnsi="宋体" w:eastAsia="宋体" w:cs="宋体"/>
          <w:kern w:val="0"/>
          <w:szCs w:val="21"/>
        </w:rPr>
        <w:t>也不能落后于实践</w:t>
      </w:r>
      <w:r>
        <w:rPr>
          <w:rFonts w:hint="eastAsia" w:ascii="宋体" w:hAnsi="宋体" w:eastAsia="宋体" w:cs="B4+CAJ FNT00"/>
          <w:kern w:val="0"/>
          <w:szCs w:val="21"/>
        </w:rPr>
        <w:t>,</w:t>
      </w:r>
      <w:r>
        <w:rPr>
          <w:rFonts w:hint="eastAsia" w:ascii="宋体" w:hAnsi="宋体" w:eastAsia="宋体" w:cs="宋体"/>
          <w:kern w:val="0"/>
          <w:szCs w:val="21"/>
        </w:rPr>
        <w:t>针对不同地区不同的发展条件</w:t>
      </w:r>
      <w:r>
        <w:rPr>
          <w:rFonts w:hint="eastAsia" w:ascii="宋体" w:hAnsi="宋体" w:eastAsia="宋体" w:cs="B4+CAJ FNT00"/>
          <w:kern w:val="0"/>
          <w:szCs w:val="21"/>
        </w:rPr>
        <w:t>,</w:t>
      </w:r>
      <w:r>
        <w:rPr>
          <w:rFonts w:hint="eastAsia" w:ascii="宋体" w:hAnsi="宋体" w:eastAsia="宋体" w:cs="宋体"/>
          <w:kern w:val="0"/>
          <w:szCs w:val="21"/>
        </w:rPr>
        <w:t>贯彻落实科学发展观也要分阶段</w:t>
      </w:r>
      <w:r>
        <w:rPr>
          <w:rFonts w:hint="eastAsia" w:ascii="宋体" w:hAnsi="宋体" w:eastAsia="宋体" w:cs="B4+CAJ FNT00"/>
          <w:kern w:val="0"/>
          <w:szCs w:val="21"/>
        </w:rPr>
        <w:t>,</w:t>
      </w:r>
      <w:r>
        <w:rPr>
          <w:rFonts w:hint="eastAsia" w:ascii="宋体" w:hAnsi="宋体" w:eastAsia="宋体" w:cs="宋体"/>
          <w:kern w:val="0"/>
          <w:szCs w:val="21"/>
        </w:rPr>
        <w:t>因此</w:t>
      </w:r>
      <w:r>
        <w:rPr>
          <w:rFonts w:hint="eastAsia" w:ascii="宋体" w:hAnsi="宋体" w:eastAsia="宋体" w:cs="B4+CAJ FNT00"/>
          <w:kern w:val="0"/>
          <w:szCs w:val="21"/>
        </w:rPr>
        <w:t>,</w:t>
      </w:r>
      <w:r>
        <w:rPr>
          <w:rFonts w:hint="eastAsia" w:ascii="宋体" w:hAnsi="宋体" w:eastAsia="宋体" w:cs="宋体"/>
          <w:kern w:val="0"/>
          <w:szCs w:val="21"/>
        </w:rPr>
        <w:t>如何把握科学发展观的动态性</w:t>
      </w:r>
      <w:r>
        <w:rPr>
          <w:rFonts w:hint="eastAsia" w:ascii="宋体" w:hAnsi="宋体" w:eastAsia="宋体" w:cs="B6+cajcd fnta1"/>
          <w:kern w:val="0"/>
          <w:szCs w:val="21"/>
        </w:rPr>
        <w:t>、</w:t>
      </w:r>
      <w:r>
        <w:rPr>
          <w:rFonts w:hint="eastAsia" w:ascii="宋体" w:hAnsi="宋体" w:eastAsia="宋体" w:cs="宋体"/>
          <w:kern w:val="0"/>
          <w:szCs w:val="21"/>
        </w:rPr>
        <w:t>层次性</w:t>
      </w:r>
      <w:r>
        <w:rPr>
          <w:rFonts w:hint="eastAsia" w:ascii="宋体" w:hAnsi="宋体" w:eastAsia="宋体" w:cs="B4+CAJ FNT00"/>
          <w:kern w:val="0"/>
          <w:szCs w:val="21"/>
        </w:rPr>
        <w:t>,</w:t>
      </w:r>
      <w:r>
        <w:rPr>
          <w:rFonts w:hint="eastAsia" w:ascii="宋体" w:hAnsi="宋体" w:eastAsia="宋体" w:cs="宋体"/>
          <w:kern w:val="0"/>
          <w:szCs w:val="21"/>
        </w:rPr>
        <w:t>仍然是需要进一步研究的重要问题</w:t>
      </w:r>
      <w:r>
        <w:rPr>
          <w:rFonts w:hint="eastAsia" w:ascii="宋体" w:hAnsi="宋体" w:eastAsia="宋体" w:cs="B6+cajcd fnta1"/>
          <w:kern w:val="0"/>
          <w:szCs w:val="21"/>
        </w:rPr>
        <w:t>"</w:t>
      </w:r>
    </w:p>
    <w:p w14:paraId="68994218">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第三</w:t>
      </w:r>
      <w:r>
        <w:rPr>
          <w:rFonts w:hint="eastAsia" w:ascii="宋体" w:hAnsi="宋体" w:eastAsia="宋体" w:cs="B4+CAJ FNT00"/>
          <w:kern w:val="0"/>
          <w:szCs w:val="21"/>
        </w:rPr>
        <w:t>,</w:t>
      </w:r>
      <w:r>
        <w:rPr>
          <w:rFonts w:hint="eastAsia" w:ascii="宋体" w:hAnsi="宋体" w:eastAsia="宋体" w:cs="宋体"/>
          <w:kern w:val="0"/>
          <w:szCs w:val="21"/>
        </w:rPr>
        <w:t>理论研究偏多</w:t>
      </w:r>
      <w:r>
        <w:rPr>
          <w:rFonts w:hint="eastAsia" w:ascii="宋体" w:hAnsi="宋体" w:eastAsia="宋体" w:cs="B4+CAJ FNT00"/>
          <w:kern w:val="0"/>
          <w:szCs w:val="21"/>
        </w:rPr>
        <w:t>,</w:t>
      </w:r>
      <w:r>
        <w:rPr>
          <w:rFonts w:hint="eastAsia" w:ascii="宋体" w:hAnsi="宋体" w:eastAsia="宋体" w:cs="宋体"/>
          <w:kern w:val="0"/>
          <w:szCs w:val="21"/>
        </w:rPr>
        <w:t>应用研究不足</w:t>
      </w:r>
      <w:r>
        <w:rPr>
          <w:rFonts w:hint="eastAsia" w:ascii="宋体" w:hAnsi="宋体" w:eastAsia="宋体" w:cs="B6+cajcd fnta1"/>
          <w:kern w:val="0"/>
          <w:szCs w:val="21"/>
        </w:rPr>
        <w:t>。</w:t>
      </w:r>
      <w:r>
        <w:rPr>
          <w:rFonts w:hint="eastAsia" w:ascii="宋体" w:hAnsi="宋体" w:eastAsia="宋体" w:cs="宋体"/>
          <w:kern w:val="0"/>
          <w:szCs w:val="21"/>
        </w:rPr>
        <w:t>科学发展观作为一种全新的发展思想和发展理念</w:t>
      </w:r>
      <w:r>
        <w:rPr>
          <w:rFonts w:hint="eastAsia" w:ascii="宋体" w:hAnsi="宋体" w:eastAsia="宋体" w:cs="B4+CAJ FNT00"/>
          <w:kern w:val="0"/>
          <w:szCs w:val="21"/>
        </w:rPr>
        <w:t>,</w:t>
      </w:r>
      <w:r>
        <w:rPr>
          <w:rFonts w:hint="eastAsia" w:ascii="宋体" w:hAnsi="宋体" w:eastAsia="宋体" w:cs="宋体"/>
          <w:kern w:val="0"/>
          <w:szCs w:val="21"/>
        </w:rPr>
        <w:t>从提出到现在不过几年的实践</w:t>
      </w:r>
      <w:r>
        <w:rPr>
          <w:rFonts w:hint="eastAsia" w:ascii="宋体" w:hAnsi="宋体" w:eastAsia="宋体" w:cs="B4+CAJ FNT00"/>
          <w:kern w:val="0"/>
          <w:szCs w:val="21"/>
        </w:rPr>
        <w:t>,</w:t>
      </w:r>
      <w:r>
        <w:rPr>
          <w:rFonts w:hint="eastAsia" w:ascii="宋体" w:hAnsi="宋体" w:eastAsia="宋体" w:cs="宋体"/>
          <w:kern w:val="0"/>
          <w:szCs w:val="21"/>
        </w:rPr>
        <w:t>虽然从理论上进行了许多探索</w:t>
      </w:r>
      <w:r>
        <w:rPr>
          <w:rFonts w:hint="eastAsia" w:ascii="宋体" w:hAnsi="宋体" w:eastAsia="宋体" w:cs="B4+CAJ FNT00"/>
          <w:kern w:val="0"/>
          <w:szCs w:val="21"/>
        </w:rPr>
        <w:t>,</w:t>
      </w:r>
      <w:r>
        <w:rPr>
          <w:rFonts w:hint="eastAsia" w:ascii="宋体" w:hAnsi="宋体" w:eastAsia="宋体" w:cs="宋体"/>
          <w:kern w:val="0"/>
          <w:szCs w:val="21"/>
        </w:rPr>
        <w:t>但还需要进一步丰富和完善</w:t>
      </w:r>
      <w:r>
        <w:rPr>
          <w:rFonts w:hint="eastAsia" w:ascii="宋体" w:hAnsi="宋体" w:eastAsia="宋体" w:cs="B4+CAJ FNT00"/>
          <w:kern w:val="0"/>
          <w:szCs w:val="21"/>
        </w:rPr>
        <w:t>；</w:t>
      </w:r>
      <w:r>
        <w:rPr>
          <w:rFonts w:hint="eastAsia" w:ascii="宋体" w:hAnsi="宋体" w:eastAsia="宋体" w:cs="宋体"/>
          <w:kern w:val="0"/>
          <w:szCs w:val="21"/>
        </w:rPr>
        <w:t>同时</w:t>
      </w:r>
      <w:r>
        <w:rPr>
          <w:rFonts w:hint="eastAsia" w:ascii="宋体" w:hAnsi="宋体" w:eastAsia="宋体" w:cs="B4+CAJ FNT00"/>
          <w:kern w:val="0"/>
          <w:szCs w:val="21"/>
        </w:rPr>
        <w:t>,</w:t>
      </w:r>
      <w:r>
        <w:rPr>
          <w:rFonts w:hint="eastAsia" w:ascii="宋体" w:hAnsi="宋体" w:eastAsia="宋体" w:cs="宋体"/>
          <w:kern w:val="0"/>
          <w:szCs w:val="21"/>
        </w:rPr>
        <w:t>关于科学发展观的应用研究还没有非常贫乏</w:t>
      </w:r>
      <w:r>
        <w:rPr>
          <w:rFonts w:hint="eastAsia" w:ascii="宋体" w:hAnsi="宋体" w:eastAsia="宋体" w:cs="B4+CAJ FNT00"/>
          <w:kern w:val="0"/>
          <w:szCs w:val="21"/>
        </w:rPr>
        <w:t>,</w:t>
      </w:r>
      <w:r>
        <w:rPr>
          <w:rFonts w:hint="eastAsia" w:ascii="宋体" w:hAnsi="宋体" w:eastAsia="宋体" w:cs="宋体"/>
          <w:kern w:val="0"/>
          <w:szCs w:val="21"/>
        </w:rPr>
        <w:t>需要进行艰辛的探索</w:t>
      </w:r>
      <w:r>
        <w:rPr>
          <w:rFonts w:hint="eastAsia" w:ascii="宋体" w:hAnsi="宋体" w:eastAsia="宋体" w:cs="B6+cajcd fnta1"/>
          <w:kern w:val="0"/>
          <w:szCs w:val="21"/>
        </w:rPr>
        <w:t>。</w:t>
      </w:r>
    </w:p>
    <w:p w14:paraId="327CC074">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第四</w:t>
      </w:r>
      <w:r>
        <w:rPr>
          <w:rFonts w:hint="eastAsia" w:ascii="宋体" w:hAnsi="宋体" w:eastAsia="宋体" w:cs="B4+CAJ FNT00"/>
          <w:kern w:val="0"/>
          <w:szCs w:val="21"/>
        </w:rPr>
        <w:t>,</w:t>
      </w:r>
      <w:r>
        <w:rPr>
          <w:rFonts w:hint="eastAsia" w:ascii="宋体" w:hAnsi="宋体" w:eastAsia="宋体" w:cs="宋体"/>
          <w:kern w:val="0"/>
          <w:szCs w:val="21"/>
        </w:rPr>
        <w:t>科学发展观由理论到实践需要解决很多具体的理论问题和方法问题</w:t>
      </w:r>
      <w:r>
        <w:rPr>
          <w:rFonts w:hint="eastAsia" w:ascii="宋体" w:hAnsi="宋体" w:eastAsia="宋体" w:cs="B4+CAJ FNT00"/>
          <w:kern w:val="0"/>
          <w:szCs w:val="21"/>
        </w:rPr>
        <w:t>,</w:t>
      </w:r>
      <w:r>
        <w:rPr>
          <w:rFonts w:hint="eastAsia" w:ascii="宋体" w:hAnsi="宋体" w:eastAsia="宋体" w:cs="宋体"/>
          <w:kern w:val="0"/>
          <w:szCs w:val="21"/>
        </w:rPr>
        <w:t>最关键的是要解决约束问题和评价监测问题</w:t>
      </w:r>
      <w:r>
        <w:rPr>
          <w:rFonts w:hint="eastAsia" w:ascii="宋体" w:hAnsi="宋体" w:eastAsia="宋体" w:cs="B6+cajcd fnta1"/>
          <w:kern w:val="0"/>
          <w:szCs w:val="21"/>
        </w:rPr>
        <w:t>。</w:t>
      </w:r>
      <w:r>
        <w:rPr>
          <w:rFonts w:hint="eastAsia" w:ascii="宋体" w:hAnsi="宋体" w:eastAsia="宋体" w:cs="宋体"/>
          <w:kern w:val="0"/>
          <w:szCs w:val="21"/>
        </w:rPr>
        <w:t>所谓约束就是科学发展观的原则</w:t>
      </w:r>
      <w:r>
        <w:rPr>
          <w:rFonts w:hint="eastAsia" w:ascii="宋体" w:hAnsi="宋体" w:eastAsia="宋体" w:cs="B6+cajcd fnta1"/>
          <w:kern w:val="0"/>
          <w:szCs w:val="21"/>
        </w:rPr>
        <w:t>、</w:t>
      </w:r>
      <w:r>
        <w:rPr>
          <w:rFonts w:hint="eastAsia" w:ascii="宋体" w:hAnsi="宋体" w:eastAsia="宋体" w:cs="宋体"/>
          <w:kern w:val="0"/>
          <w:szCs w:val="21"/>
        </w:rPr>
        <w:t>核心价值观等要成为行为主体的自觉行动</w:t>
      </w:r>
      <w:r>
        <w:rPr>
          <w:rFonts w:hint="eastAsia" w:ascii="宋体" w:hAnsi="宋体" w:eastAsia="宋体" w:cs="B4+CAJ FNT00"/>
          <w:kern w:val="0"/>
          <w:szCs w:val="21"/>
        </w:rPr>
        <w:t>；</w:t>
      </w:r>
      <w:r>
        <w:rPr>
          <w:rFonts w:hint="eastAsia" w:ascii="宋体" w:hAnsi="宋体" w:eastAsia="宋体" w:cs="宋体"/>
          <w:kern w:val="0"/>
          <w:szCs w:val="21"/>
        </w:rPr>
        <w:t>所谓评价和监测</w:t>
      </w:r>
      <w:r>
        <w:rPr>
          <w:rFonts w:hint="eastAsia" w:ascii="宋体" w:hAnsi="宋体" w:eastAsia="宋体" w:cs="B4+CAJ FNT00"/>
          <w:kern w:val="0"/>
          <w:szCs w:val="21"/>
        </w:rPr>
        <w:t>,</w:t>
      </w:r>
      <w:r>
        <w:rPr>
          <w:rFonts w:hint="eastAsia" w:ascii="宋体" w:hAnsi="宋体" w:eastAsia="宋体" w:cs="宋体"/>
          <w:kern w:val="0"/>
          <w:szCs w:val="21"/>
        </w:rPr>
        <w:t>就是要有一整套科学的反映科学发展观要求的评价体系和监测体系</w:t>
      </w:r>
      <w:r>
        <w:rPr>
          <w:rFonts w:hint="eastAsia" w:ascii="宋体" w:hAnsi="宋体" w:eastAsia="宋体" w:cs="B4+CAJ FNT00"/>
          <w:kern w:val="0"/>
          <w:szCs w:val="21"/>
        </w:rPr>
        <w:t>,</w:t>
      </w:r>
      <w:r>
        <w:rPr>
          <w:rFonts w:hint="eastAsia" w:ascii="宋体" w:hAnsi="宋体" w:eastAsia="宋体" w:cs="宋体"/>
          <w:kern w:val="0"/>
          <w:szCs w:val="21"/>
        </w:rPr>
        <w:t>这是科学发展观由理论到实践的纽带</w:t>
      </w:r>
      <w:r>
        <w:rPr>
          <w:rFonts w:hint="eastAsia" w:ascii="宋体" w:hAnsi="宋体" w:eastAsia="宋体" w:cs="B6+cajcd fnta1"/>
          <w:kern w:val="0"/>
          <w:szCs w:val="21"/>
        </w:rPr>
        <w:t>。</w:t>
      </w:r>
    </w:p>
    <w:p w14:paraId="02DAE8BA">
      <w:pPr>
        <w:autoSpaceDE w:val="0"/>
        <w:autoSpaceDN w:val="0"/>
        <w:adjustRightInd w:val="0"/>
        <w:spacing w:line="360" w:lineRule="auto"/>
        <w:ind w:firstLine="500" w:firstLineChars="200"/>
        <w:jc w:val="center"/>
        <w:rPr>
          <w:rFonts w:ascii="宋体" w:hAnsi="宋体" w:eastAsia="宋体" w:cs="宋体"/>
          <w:b/>
          <w:kern w:val="0"/>
          <w:sz w:val="24"/>
          <w:szCs w:val="24"/>
        </w:rPr>
      </w:pPr>
      <w:r>
        <w:rPr>
          <w:rFonts w:hint="eastAsia" w:ascii="宋体" w:hAnsi="宋体" w:eastAsia="宋体" w:cs="宋体"/>
          <w:b/>
          <w:kern w:val="0"/>
          <w:sz w:val="24"/>
          <w:szCs w:val="24"/>
        </w:rPr>
        <w:t>二、科学发展观研究的不同视角</w:t>
      </w:r>
    </w:p>
    <w:p w14:paraId="0CBC1F1F">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自从科学发展观提出以后</w:t>
      </w:r>
      <w:r>
        <w:rPr>
          <w:rFonts w:hint="eastAsia" w:ascii="宋体" w:hAnsi="宋体" w:eastAsia="宋体" w:cs="B4+CAJ FNT00"/>
          <w:kern w:val="0"/>
          <w:szCs w:val="21"/>
        </w:rPr>
        <w:t>,</w:t>
      </w:r>
      <w:r>
        <w:rPr>
          <w:rFonts w:hint="eastAsia" w:ascii="宋体" w:hAnsi="宋体" w:eastAsia="宋体" w:cs="宋体"/>
          <w:kern w:val="0"/>
          <w:szCs w:val="21"/>
        </w:rPr>
        <w:t>不同的学科基于不同的视角从理论上进行了广泛深入的研究</w:t>
      </w:r>
      <w:r>
        <w:rPr>
          <w:rFonts w:hint="eastAsia" w:ascii="宋体" w:hAnsi="宋体" w:eastAsia="宋体" w:cs="B6+cajcd fnta1"/>
          <w:kern w:val="0"/>
          <w:szCs w:val="21"/>
        </w:rPr>
        <w:t>。</w:t>
      </w:r>
      <w:r>
        <w:rPr>
          <w:rFonts w:hint="eastAsia" w:ascii="宋体" w:hAnsi="宋体" w:eastAsia="宋体" w:cs="宋体"/>
          <w:kern w:val="0"/>
          <w:szCs w:val="21"/>
        </w:rPr>
        <w:t>哲学视野中的科学发展观侧重从它的哲学基础和哲学内涵</w:t>
      </w:r>
      <w:r>
        <w:rPr>
          <w:rFonts w:hint="eastAsia" w:ascii="宋体" w:hAnsi="宋体" w:eastAsia="宋体" w:cs="B6+cajcd fnta1"/>
          <w:kern w:val="0"/>
          <w:szCs w:val="21"/>
        </w:rPr>
        <w:t>、</w:t>
      </w:r>
      <w:r>
        <w:rPr>
          <w:rFonts w:hint="eastAsia" w:ascii="宋体" w:hAnsi="宋体" w:eastAsia="宋体" w:cs="宋体"/>
          <w:kern w:val="0"/>
          <w:szCs w:val="21"/>
        </w:rPr>
        <w:t>哲学原理上展开</w:t>
      </w:r>
      <w:r>
        <w:rPr>
          <w:rFonts w:hint="eastAsia" w:ascii="宋体" w:hAnsi="宋体" w:eastAsia="宋体" w:cs="B4+CAJ FNT00"/>
          <w:kern w:val="0"/>
          <w:szCs w:val="21"/>
        </w:rPr>
        <w:t>,</w:t>
      </w:r>
      <w:r>
        <w:rPr>
          <w:rFonts w:hint="eastAsia" w:ascii="宋体" w:hAnsi="宋体" w:eastAsia="宋体" w:cs="宋体"/>
          <w:kern w:val="0"/>
          <w:szCs w:val="21"/>
        </w:rPr>
        <w:t>认为科学发展观的哲学基础是马克思主义的辩证唯物主义和历史唯物主义</w:t>
      </w:r>
      <w:r>
        <w:rPr>
          <w:rFonts w:hint="eastAsia" w:ascii="宋体" w:hAnsi="宋体" w:eastAsia="宋体" w:cs="B6+cajcd fnta1"/>
          <w:kern w:val="0"/>
          <w:szCs w:val="21"/>
        </w:rPr>
        <w:t>。</w:t>
      </w:r>
      <w:r>
        <w:rPr>
          <w:rFonts w:hint="eastAsia" w:ascii="宋体" w:hAnsi="宋体" w:eastAsia="宋体" w:cs="宋体"/>
          <w:kern w:val="0"/>
          <w:szCs w:val="21"/>
        </w:rPr>
        <w:t>科学发展观是马克思主义唯物史观的深刻体现</w:t>
      </w:r>
      <w:r>
        <w:rPr>
          <w:rFonts w:hint="eastAsia" w:ascii="宋体" w:hAnsi="宋体" w:eastAsia="宋体" w:cs="B4+CAJ FNT00"/>
          <w:kern w:val="0"/>
          <w:szCs w:val="21"/>
        </w:rPr>
        <w:t>,</w:t>
      </w:r>
      <w:r>
        <w:rPr>
          <w:rFonts w:hint="eastAsia" w:ascii="宋体" w:hAnsi="宋体" w:eastAsia="宋体" w:cs="宋体"/>
          <w:kern w:val="0"/>
          <w:szCs w:val="21"/>
        </w:rPr>
        <w:t>是辩证唯物主义的开拓运用</w:t>
      </w:r>
      <w:r>
        <w:rPr>
          <w:rFonts w:hint="eastAsia" w:ascii="宋体" w:hAnsi="宋体" w:eastAsia="宋体" w:cs="B4+CAJ FNT00"/>
          <w:kern w:val="0"/>
          <w:szCs w:val="21"/>
        </w:rPr>
        <w:t>,</w:t>
      </w:r>
      <w:r>
        <w:rPr>
          <w:rFonts w:hint="eastAsia" w:ascii="宋体" w:hAnsi="宋体" w:eastAsia="宋体" w:cs="宋体"/>
          <w:kern w:val="0"/>
          <w:szCs w:val="21"/>
        </w:rPr>
        <w:t>是认识论原理的自觉展开</w:t>
      </w:r>
      <w:r>
        <w:rPr>
          <w:rFonts w:hint="eastAsia" w:ascii="宋体" w:hAnsi="宋体" w:eastAsia="宋体" w:cs="B4+CAJ FNT00"/>
          <w:kern w:val="0"/>
          <w:szCs w:val="21"/>
        </w:rPr>
        <w:t>,</w:t>
      </w:r>
      <w:r>
        <w:rPr>
          <w:rFonts w:hint="eastAsia" w:ascii="宋体" w:hAnsi="宋体" w:eastAsia="宋体" w:cs="宋体"/>
          <w:kern w:val="0"/>
          <w:szCs w:val="21"/>
        </w:rPr>
        <w:t>是辩证思维方法的综合集成</w:t>
      </w:r>
      <w:r>
        <w:rPr>
          <w:rFonts w:hint="eastAsia" w:ascii="宋体" w:hAnsi="宋体" w:eastAsia="宋体" w:cs="B6+cajcd fnta1"/>
          <w:kern w:val="0"/>
          <w:szCs w:val="21"/>
        </w:rPr>
        <w:t>。</w:t>
      </w:r>
      <w:r>
        <w:rPr>
          <w:rFonts w:hint="eastAsia" w:ascii="宋体" w:hAnsi="宋体" w:eastAsia="宋体" w:cs="宋体"/>
          <w:kern w:val="0"/>
          <w:szCs w:val="21"/>
        </w:rPr>
        <w:t>科学发展观作为一个哲学命题</w:t>
      </w:r>
      <w:r>
        <w:rPr>
          <w:rFonts w:hint="eastAsia" w:ascii="宋体" w:hAnsi="宋体" w:eastAsia="宋体" w:cs="B4+CAJ FNT00"/>
          <w:kern w:val="0"/>
          <w:szCs w:val="21"/>
        </w:rPr>
        <w:t>,</w:t>
      </w:r>
      <w:r>
        <w:rPr>
          <w:rFonts w:hint="eastAsia" w:ascii="宋体" w:hAnsi="宋体" w:eastAsia="宋体" w:cs="宋体"/>
          <w:kern w:val="0"/>
          <w:szCs w:val="21"/>
        </w:rPr>
        <w:t>深刻揭示了什么是发展</w:t>
      </w:r>
      <w:r>
        <w:rPr>
          <w:rFonts w:hint="eastAsia" w:ascii="宋体" w:hAnsi="宋体" w:eastAsia="宋体" w:cs="B4+CAJ FNT00"/>
          <w:kern w:val="0"/>
          <w:szCs w:val="21"/>
        </w:rPr>
        <w:t>,</w:t>
      </w:r>
      <w:r>
        <w:rPr>
          <w:rFonts w:hint="eastAsia" w:ascii="宋体" w:hAnsi="宋体" w:eastAsia="宋体" w:cs="宋体"/>
          <w:kern w:val="0"/>
          <w:szCs w:val="21"/>
        </w:rPr>
        <w:t>为什么要发展</w:t>
      </w:r>
      <w:r>
        <w:rPr>
          <w:rFonts w:hint="eastAsia" w:ascii="宋体" w:hAnsi="宋体" w:eastAsia="宋体" w:cs="B4+CAJ FNT00"/>
          <w:kern w:val="0"/>
          <w:szCs w:val="21"/>
        </w:rPr>
        <w:t>,</w:t>
      </w:r>
      <w:r>
        <w:rPr>
          <w:rFonts w:hint="eastAsia" w:ascii="宋体" w:hAnsi="宋体" w:eastAsia="宋体" w:cs="宋体"/>
          <w:kern w:val="0"/>
          <w:szCs w:val="21"/>
        </w:rPr>
        <w:t>发展的主体和发展的目的以及发展的基本要求等重大的理论问题</w:t>
      </w:r>
      <w:r>
        <w:rPr>
          <w:rFonts w:hint="eastAsia" w:ascii="宋体" w:hAnsi="宋体" w:eastAsia="宋体" w:cs="B6+cajcd fnta1"/>
          <w:kern w:val="0"/>
          <w:szCs w:val="21"/>
        </w:rPr>
        <w:t>。</w:t>
      </w:r>
      <w:r>
        <w:rPr>
          <w:rFonts w:hint="eastAsia" w:ascii="宋体" w:hAnsi="宋体" w:eastAsia="宋体" w:cs="宋体"/>
          <w:kern w:val="0"/>
          <w:szCs w:val="21"/>
        </w:rPr>
        <w:t>经济学视野中的科学发展观强调人们社会福利的实质改进</w:t>
      </w:r>
      <w:r>
        <w:rPr>
          <w:rFonts w:hint="eastAsia" w:ascii="宋体" w:hAnsi="宋体" w:eastAsia="宋体" w:cs="B6+cajcd fnta1"/>
          <w:kern w:val="0"/>
          <w:szCs w:val="21"/>
        </w:rPr>
        <w:t>“</w:t>
      </w:r>
      <w:r>
        <w:rPr>
          <w:rFonts w:hint="eastAsia" w:ascii="宋体" w:hAnsi="宋体" w:eastAsia="宋体" w:cs="宋体"/>
          <w:kern w:val="0"/>
          <w:szCs w:val="21"/>
        </w:rPr>
        <w:t>以人为本</w:t>
      </w:r>
      <w:r>
        <w:rPr>
          <w:rFonts w:hint="eastAsia" w:ascii="宋体" w:hAnsi="宋体" w:eastAsia="宋体" w:cs="B6+cajcd fnta1"/>
          <w:kern w:val="0"/>
          <w:szCs w:val="21"/>
        </w:rPr>
        <w:t>”</w:t>
      </w:r>
      <w:r>
        <w:rPr>
          <w:rFonts w:hint="eastAsia" w:ascii="宋体" w:hAnsi="宋体" w:eastAsia="宋体" w:cs="B4+CAJ FNT00"/>
          <w:kern w:val="0"/>
          <w:szCs w:val="21"/>
        </w:rPr>
        <w:t>,</w:t>
      </w:r>
      <w:r>
        <w:rPr>
          <w:rFonts w:hint="eastAsia" w:ascii="宋体" w:hAnsi="宋体" w:eastAsia="宋体" w:cs="宋体"/>
          <w:kern w:val="0"/>
          <w:szCs w:val="21"/>
        </w:rPr>
        <w:t>就是强调经济发展对于人的发展和福利所造成的影响</w:t>
      </w:r>
      <w:r>
        <w:rPr>
          <w:rFonts w:hint="eastAsia" w:ascii="宋体" w:hAnsi="宋体" w:eastAsia="宋体" w:cs="B6+cajcd fnta1"/>
          <w:kern w:val="0"/>
          <w:szCs w:val="21"/>
        </w:rPr>
        <w:t>。</w:t>
      </w:r>
      <w:r>
        <w:rPr>
          <w:rFonts w:hint="eastAsia" w:ascii="宋体" w:hAnsi="宋体" w:eastAsia="宋体" w:cs="宋体"/>
          <w:kern w:val="0"/>
          <w:szCs w:val="21"/>
        </w:rPr>
        <w:t>这就要求在发展经济过程中首先考虑人们福利水平的实际增进程度</w:t>
      </w:r>
      <w:r>
        <w:rPr>
          <w:rFonts w:hint="eastAsia" w:ascii="宋体" w:hAnsi="宋体" w:eastAsia="宋体" w:cs="B4+CAJ FNT00"/>
          <w:kern w:val="0"/>
          <w:szCs w:val="21"/>
        </w:rPr>
        <w:t>,</w:t>
      </w:r>
      <w:r>
        <w:rPr>
          <w:rFonts w:hint="eastAsia" w:ascii="宋体" w:hAnsi="宋体" w:eastAsia="宋体" w:cs="宋体"/>
          <w:kern w:val="0"/>
          <w:szCs w:val="21"/>
        </w:rPr>
        <w:t>而不仅仅是经济发展和增长的某些指标</w:t>
      </w:r>
      <w:r>
        <w:rPr>
          <w:rFonts w:hint="eastAsia" w:ascii="宋体" w:hAnsi="宋体" w:eastAsia="宋体" w:cs="B6+cajcd fnta1"/>
          <w:kern w:val="0"/>
          <w:szCs w:val="21"/>
        </w:rPr>
        <w:t>。</w:t>
      </w:r>
      <w:r>
        <w:rPr>
          <w:rFonts w:hint="eastAsia" w:ascii="宋体" w:hAnsi="宋体" w:eastAsia="宋体" w:cs="宋体"/>
          <w:kern w:val="0"/>
          <w:szCs w:val="21"/>
        </w:rPr>
        <w:t>具</w:t>
      </w:r>
      <w:r>
        <w:rPr>
          <w:rFonts w:hint="eastAsia" w:ascii="宋体" w:hAnsi="宋体" w:eastAsia="宋体" w:cs="B4+CAJ FNT00"/>
          <w:kern w:val="0"/>
          <w:szCs w:val="21"/>
        </w:rPr>
        <w:t>体</w:t>
      </w:r>
      <w:r>
        <w:rPr>
          <w:rFonts w:hint="eastAsia" w:ascii="宋体" w:hAnsi="宋体" w:eastAsia="宋体" w:cs="宋体"/>
          <w:kern w:val="0"/>
          <w:szCs w:val="21"/>
        </w:rPr>
        <w:t>来说</w:t>
      </w:r>
      <w:r>
        <w:rPr>
          <w:rFonts w:hint="eastAsia" w:ascii="宋体" w:hAnsi="宋体" w:eastAsia="宋体" w:cs="B4+CAJ FNT00"/>
          <w:kern w:val="0"/>
          <w:szCs w:val="21"/>
        </w:rPr>
        <w:t>,</w:t>
      </w:r>
      <w:r>
        <w:rPr>
          <w:rFonts w:hint="eastAsia" w:ascii="宋体" w:hAnsi="宋体" w:eastAsia="宋体" w:cs="宋体"/>
          <w:kern w:val="0"/>
          <w:szCs w:val="21"/>
        </w:rPr>
        <w:t>也就是要看人民群众的收入是否取得了实质性的增加</w:t>
      </w:r>
      <w:r>
        <w:rPr>
          <w:rFonts w:hint="eastAsia" w:ascii="宋体" w:hAnsi="宋体" w:eastAsia="宋体" w:cs="B4+CAJ FNT00"/>
          <w:kern w:val="0"/>
          <w:szCs w:val="21"/>
        </w:rPr>
        <w:t>,</w:t>
      </w:r>
      <w:r>
        <w:rPr>
          <w:rFonts w:hint="eastAsia" w:ascii="宋体" w:hAnsi="宋体" w:eastAsia="宋体" w:cs="宋体"/>
          <w:kern w:val="0"/>
          <w:szCs w:val="21"/>
        </w:rPr>
        <w:t>生活水平和质量是否取得了实质性的改善</w:t>
      </w:r>
      <w:r>
        <w:rPr>
          <w:rFonts w:hint="eastAsia" w:ascii="宋体" w:hAnsi="宋体" w:eastAsia="宋体" w:cs="B4+CAJ FNT00"/>
          <w:kern w:val="0"/>
          <w:szCs w:val="21"/>
        </w:rPr>
        <w:t>,</w:t>
      </w:r>
      <w:r>
        <w:rPr>
          <w:rFonts w:hint="eastAsia" w:ascii="宋体" w:hAnsi="宋体" w:eastAsia="宋体" w:cs="宋体"/>
          <w:kern w:val="0"/>
          <w:szCs w:val="21"/>
        </w:rPr>
        <w:t>推动了人的全面健康发展</w:t>
      </w:r>
      <w:r>
        <w:rPr>
          <w:rFonts w:hint="eastAsia" w:ascii="宋体" w:hAnsi="宋体" w:eastAsia="宋体" w:cs="B6+cajcd fnta1"/>
          <w:kern w:val="0"/>
          <w:szCs w:val="21"/>
        </w:rPr>
        <w:t>。</w:t>
      </w:r>
      <w:r>
        <w:rPr>
          <w:rFonts w:hint="eastAsia" w:ascii="宋体" w:hAnsi="宋体" w:eastAsia="宋体" w:cs="宋体"/>
          <w:kern w:val="0"/>
          <w:szCs w:val="21"/>
        </w:rPr>
        <w:t>强调从社会角度以全面的综合的效率为出发点</w:t>
      </w:r>
      <w:r>
        <w:rPr>
          <w:rFonts w:hint="eastAsia" w:ascii="宋体" w:hAnsi="宋体" w:eastAsia="宋体" w:cs="B4+CAJ FNT00"/>
          <w:kern w:val="0"/>
          <w:szCs w:val="21"/>
        </w:rPr>
        <w:t>,</w:t>
      </w:r>
      <w:r>
        <w:rPr>
          <w:rFonts w:hint="eastAsia" w:ascii="宋体" w:hAnsi="宋体" w:eastAsia="宋体" w:cs="宋体"/>
          <w:kern w:val="0"/>
          <w:szCs w:val="21"/>
        </w:rPr>
        <w:t>提高社会经济活动经济效率</w:t>
      </w:r>
      <w:r>
        <w:rPr>
          <w:rFonts w:hint="eastAsia" w:ascii="宋体" w:hAnsi="宋体" w:eastAsia="宋体" w:cs="B6+cajcd fnta1"/>
          <w:kern w:val="0"/>
          <w:szCs w:val="21"/>
        </w:rPr>
        <w:t>、</w:t>
      </w:r>
      <w:r>
        <w:rPr>
          <w:rFonts w:hint="eastAsia" w:ascii="宋体" w:hAnsi="宋体" w:eastAsia="宋体" w:cs="宋体"/>
          <w:kern w:val="0"/>
          <w:szCs w:val="21"/>
        </w:rPr>
        <w:t>兼顾社会上不同人群之间的公平程度</w:t>
      </w:r>
      <w:r>
        <w:rPr>
          <w:rFonts w:hint="eastAsia" w:ascii="宋体" w:hAnsi="宋体" w:eastAsia="宋体" w:cs="B4+CAJ FNT00"/>
          <w:kern w:val="0"/>
          <w:szCs w:val="21"/>
        </w:rPr>
        <w:t>,</w:t>
      </w:r>
      <w:r>
        <w:rPr>
          <w:rFonts w:hint="eastAsia" w:ascii="宋体" w:hAnsi="宋体" w:eastAsia="宋体" w:cs="宋体"/>
          <w:kern w:val="0"/>
          <w:szCs w:val="21"/>
        </w:rPr>
        <w:t>对于机会的平等和结果的平等</w:t>
      </w:r>
      <w:r>
        <w:rPr>
          <w:rFonts w:hint="eastAsia" w:ascii="宋体" w:hAnsi="宋体" w:eastAsia="宋体" w:cs="B4+CAJ FNT00"/>
          <w:kern w:val="0"/>
          <w:szCs w:val="21"/>
        </w:rPr>
        <w:t>,</w:t>
      </w:r>
      <w:r>
        <w:rPr>
          <w:rFonts w:hint="eastAsia" w:ascii="宋体" w:hAnsi="宋体" w:eastAsia="宋体" w:cs="宋体"/>
          <w:kern w:val="0"/>
          <w:szCs w:val="21"/>
        </w:rPr>
        <w:t>在主要强调机会平等的前提下</w:t>
      </w:r>
      <w:r>
        <w:rPr>
          <w:rFonts w:hint="eastAsia" w:ascii="宋体" w:hAnsi="宋体" w:eastAsia="宋体" w:cs="B4+CAJ FNT00"/>
          <w:kern w:val="0"/>
          <w:szCs w:val="21"/>
        </w:rPr>
        <w:t>,</w:t>
      </w:r>
      <w:r>
        <w:rPr>
          <w:rFonts w:hint="eastAsia" w:ascii="宋体" w:hAnsi="宋体" w:eastAsia="宋体" w:cs="宋体"/>
          <w:kern w:val="0"/>
          <w:szCs w:val="21"/>
        </w:rPr>
        <w:t>适当兼顾结果的平等</w:t>
      </w:r>
      <w:r>
        <w:rPr>
          <w:rFonts w:hint="eastAsia" w:ascii="宋体" w:hAnsi="宋体" w:eastAsia="宋体" w:cs="B6+cajcd fnta1"/>
          <w:kern w:val="0"/>
          <w:szCs w:val="21"/>
        </w:rPr>
        <w:t>。</w:t>
      </w:r>
      <w:r>
        <w:rPr>
          <w:rFonts w:hint="eastAsia" w:ascii="宋体" w:hAnsi="宋体" w:eastAsia="宋体" w:cs="宋体"/>
          <w:kern w:val="0"/>
          <w:szCs w:val="21"/>
        </w:rPr>
        <w:t>从结果角度来说</w:t>
      </w:r>
      <w:r>
        <w:rPr>
          <w:rFonts w:hint="eastAsia" w:ascii="宋体" w:hAnsi="宋体" w:eastAsia="宋体" w:cs="B4+CAJ FNT00"/>
          <w:kern w:val="0"/>
          <w:szCs w:val="21"/>
        </w:rPr>
        <w:t>,</w:t>
      </w:r>
      <w:r>
        <w:rPr>
          <w:rFonts w:hint="eastAsia" w:ascii="宋体" w:hAnsi="宋体" w:eastAsia="宋体" w:cs="宋体"/>
          <w:kern w:val="0"/>
          <w:szCs w:val="21"/>
        </w:rPr>
        <w:t>按照</w:t>
      </w:r>
      <w:r>
        <w:rPr>
          <w:rFonts w:hint="eastAsia" w:ascii="宋体" w:hAnsi="宋体" w:eastAsia="宋体" w:cs="B6+cajcd fnta1"/>
          <w:kern w:val="0"/>
          <w:szCs w:val="21"/>
        </w:rPr>
        <w:t>“</w:t>
      </w:r>
      <w:r>
        <w:rPr>
          <w:rFonts w:hint="eastAsia" w:ascii="宋体" w:hAnsi="宋体" w:eastAsia="宋体" w:cs="宋体"/>
          <w:kern w:val="0"/>
          <w:szCs w:val="21"/>
        </w:rPr>
        <w:t>以人为本</w:t>
      </w:r>
      <w:r>
        <w:rPr>
          <w:rFonts w:hint="eastAsia" w:ascii="宋体" w:hAnsi="宋体" w:eastAsia="宋体" w:cs="B6+cajcd fnta1"/>
          <w:kern w:val="0"/>
          <w:szCs w:val="21"/>
        </w:rPr>
        <w:t>”</w:t>
      </w:r>
      <w:r>
        <w:rPr>
          <w:rFonts w:hint="eastAsia" w:ascii="宋体" w:hAnsi="宋体" w:eastAsia="宋体" w:cs="宋体"/>
          <w:kern w:val="0"/>
          <w:szCs w:val="21"/>
        </w:rPr>
        <w:t>的原则</w:t>
      </w:r>
      <w:r>
        <w:rPr>
          <w:rFonts w:hint="eastAsia" w:ascii="宋体" w:hAnsi="宋体" w:eastAsia="宋体" w:cs="B4+CAJ FNT00"/>
          <w:kern w:val="0"/>
          <w:szCs w:val="21"/>
        </w:rPr>
        <w:t>,</w:t>
      </w:r>
      <w:r>
        <w:rPr>
          <w:rFonts w:hint="eastAsia" w:ascii="宋体" w:hAnsi="宋体" w:eastAsia="宋体" w:cs="宋体"/>
          <w:kern w:val="0"/>
          <w:szCs w:val="21"/>
        </w:rPr>
        <w:t>我们发展经济的基本目标应该是促进全体人民福利水平的提高与增进</w:t>
      </w:r>
      <w:r>
        <w:rPr>
          <w:rFonts w:hint="eastAsia" w:ascii="宋体" w:hAnsi="宋体" w:eastAsia="宋体" w:cs="B6+cajcd fnta1"/>
          <w:kern w:val="0"/>
          <w:szCs w:val="21"/>
        </w:rPr>
        <w:t>。</w:t>
      </w:r>
      <w:r>
        <w:rPr>
          <w:rFonts w:hint="eastAsia" w:ascii="宋体" w:hAnsi="宋体" w:eastAsia="宋体" w:cs="宋体"/>
          <w:kern w:val="0"/>
          <w:szCs w:val="21"/>
        </w:rPr>
        <w:t>这就要求我们必须兼顾不同人群之间的公平</w:t>
      </w:r>
      <w:r>
        <w:rPr>
          <w:rFonts w:hint="eastAsia" w:ascii="宋体" w:hAnsi="宋体" w:eastAsia="宋体" w:cs="B4+CAJ FNT00"/>
          <w:kern w:val="0"/>
          <w:szCs w:val="21"/>
        </w:rPr>
        <w:t>,</w:t>
      </w:r>
      <w:r>
        <w:rPr>
          <w:rFonts w:hint="eastAsia" w:ascii="宋体" w:hAnsi="宋体" w:eastAsia="宋体" w:cs="宋体"/>
          <w:kern w:val="0"/>
          <w:szCs w:val="21"/>
        </w:rPr>
        <w:t>强调短期利益与长期利益相结合</w:t>
      </w:r>
      <w:r>
        <w:rPr>
          <w:rFonts w:hint="eastAsia" w:ascii="宋体" w:hAnsi="宋体" w:eastAsia="宋体" w:cs="B4+CAJ FNT00"/>
          <w:kern w:val="0"/>
          <w:szCs w:val="21"/>
        </w:rPr>
        <w:t>,</w:t>
      </w:r>
      <w:r>
        <w:rPr>
          <w:rFonts w:hint="eastAsia" w:ascii="宋体" w:hAnsi="宋体" w:eastAsia="宋体" w:cs="宋体"/>
          <w:kern w:val="0"/>
          <w:szCs w:val="21"/>
        </w:rPr>
        <w:t>特别是在资源开发和利用</w:t>
      </w:r>
      <w:r>
        <w:rPr>
          <w:rFonts w:hint="eastAsia" w:ascii="宋体" w:hAnsi="宋体" w:eastAsia="宋体" w:cs="B6+cajcd fnta1"/>
          <w:kern w:val="0"/>
          <w:szCs w:val="21"/>
        </w:rPr>
        <w:t>、</w:t>
      </w:r>
      <w:r>
        <w:rPr>
          <w:rFonts w:hint="eastAsia" w:ascii="宋体" w:hAnsi="宋体" w:eastAsia="宋体" w:cs="宋体"/>
          <w:kern w:val="0"/>
          <w:szCs w:val="21"/>
        </w:rPr>
        <w:t>环境治理和生态保护</w:t>
      </w:r>
      <w:r>
        <w:rPr>
          <w:rFonts w:hint="eastAsia" w:ascii="宋体" w:hAnsi="宋体" w:eastAsia="宋体" w:cs="B6+cajcd fnta1"/>
          <w:kern w:val="0"/>
          <w:szCs w:val="21"/>
        </w:rPr>
        <w:t>、</w:t>
      </w:r>
      <w:r>
        <w:rPr>
          <w:rFonts w:hint="eastAsia" w:ascii="宋体" w:hAnsi="宋体" w:eastAsia="宋体" w:cs="宋体"/>
          <w:kern w:val="0"/>
          <w:szCs w:val="21"/>
        </w:rPr>
        <w:t>土地和城市规划</w:t>
      </w:r>
      <w:r>
        <w:rPr>
          <w:rFonts w:hint="eastAsia" w:ascii="宋体" w:hAnsi="宋体" w:eastAsia="宋体" w:cs="B6+cajcd fnta1"/>
          <w:kern w:val="0"/>
          <w:szCs w:val="21"/>
        </w:rPr>
        <w:t>、</w:t>
      </w:r>
      <w:r>
        <w:rPr>
          <w:rFonts w:hint="eastAsia" w:ascii="宋体" w:hAnsi="宋体" w:eastAsia="宋体" w:cs="宋体"/>
          <w:kern w:val="0"/>
          <w:szCs w:val="21"/>
        </w:rPr>
        <w:t>农村经济发展</w:t>
      </w:r>
      <w:r>
        <w:rPr>
          <w:rFonts w:hint="eastAsia" w:ascii="宋体" w:hAnsi="宋体" w:eastAsia="宋体" w:cs="B6+cajcd fnta1"/>
          <w:kern w:val="0"/>
          <w:szCs w:val="21"/>
        </w:rPr>
        <w:t>、</w:t>
      </w:r>
      <w:r>
        <w:rPr>
          <w:rFonts w:hint="eastAsia" w:ascii="宋体" w:hAnsi="宋体" w:eastAsia="宋体" w:cs="宋体"/>
          <w:kern w:val="0"/>
          <w:szCs w:val="21"/>
        </w:rPr>
        <w:t>人民健康等方面更要特别注意</w:t>
      </w:r>
      <w:r>
        <w:rPr>
          <w:rFonts w:hint="eastAsia" w:ascii="宋体" w:hAnsi="宋体" w:eastAsia="宋体" w:cs="B6+cajcd fnta1"/>
          <w:kern w:val="0"/>
          <w:szCs w:val="21"/>
        </w:rPr>
        <w:t>、</w:t>
      </w:r>
      <w:r>
        <w:rPr>
          <w:rFonts w:hint="eastAsia" w:ascii="宋体" w:hAnsi="宋体" w:eastAsia="宋体" w:cs="宋体"/>
          <w:kern w:val="0"/>
          <w:szCs w:val="21"/>
        </w:rPr>
        <w:t>强调经济内部的协调发展以及经济系统与社会系统</w:t>
      </w:r>
      <w:r>
        <w:rPr>
          <w:rFonts w:hint="eastAsia" w:ascii="宋体" w:hAnsi="宋体" w:eastAsia="宋体" w:cs="B6+cajcd fnta1"/>
          <w:kern w:val="0"/>
          <w:szCs w:val="21"/>
        </w:rPr>
        <w:t>、</w:t>
      </w:r>
      <w:r>
        <w:rPr>
          <w:rFonts w:hint="eastAsia" w:ascii="宋体" w:hAnsi="宋体" w:eastAsia="宋体" w:cs="宋体"/>
          <w:kern w:val="0"/>
          <w:szCs w:val="21"/>
        </w:rPr>
        <w:t>自然环境系统等有关方面的协调发展</w:t>
      </w:r>
      <w:r>
        <w:rPr>
          <w:rFonts w:hint="eastAsia" w:ascii="宋体" w:hAnsi="宋体" w:eastAsia="宋体" w:cs="B6+cajcd fnta1"/>
          <w:kern w:val="0"/>
          <w:szCs w:val="21"/>
        </w:rPr>
        <w:t>。</w:t>
      </w:r>
      <w:r>
        <w:rPr>
          <w:rFonts w:hint="eastAsia" w:ascii="宋体" w:hAnsi="宋体" w:eastAsia="宋体" w:cs="宋体"/>
          <w:kern w:val="0"/>
          <w:szCs w:val="21"/>
        </w:rPr>
        <w:t>伦理学视野下的科学发展观强调科学发展观所体现的伦理精神和伦理价值</w:t>
      </w:r>
      <w:r>
        <w:rPr>
          <w:rFonts w:hint="eastAsia" w:ascii="宋体" w:hAnsi="宋体" w:eastAsia="宋体" w:cs="B6+cajcd fnta1"/>
          <w:kern w:val="0"/>
          <w:szCs w:val="21"/>
        </w:rPr>
        <w:t>。</w:t>
      </w:r>
      <w:r>
        <w:rPr>
          <w:rFonts w:hint="eastAsia" w:ascii="宋体" w:hAnsi="宋体" w:eastAsia="宋体" w:cs="宋体"/>
          <w:kern w:val="0"/>
          <w:szCs w:val="21"/>
        </w:rPr>
        <w:t>现代伦理精神不仅是一定社会内在秩序的体系</w:t>
      </w:r>
      <w:r>
        <w:rPr>
          <w:rFonts w:hint="eastAsia" w:ascii="宋体" w:hAnsi="宋体" w:eastAsia="宋体" w:cs="B4+CAJ FNT00"/>
          <w:kern w:val="0"/>
          <w:szCs w:val="21"/>
        </w:rPr>
        <w:t>,</w:t>
      </w:r>
      <w:r>
        <w:rPr>
          <w:rFonts w:hint="eastAsia" w:ascii="宋体" w:hAnsi="宋体" w:eastAsia="宋体" w:cs="宋体"/>
          <w:kern w:val="0"/>
          <w:szCs w:val="21"/>
        </w:rPr>
        <w:t>而且体现了一定社会的人一社会一自然系统的内在秩序的协调</w:t>
      </w:r>
      <w:r>
        <w:rPr>
          <w:rFonts w:hint="eastAsia" w:ascii="宋体" w:hAnsi="宋体" w:eastAsia="宋体" w:cs="B4+CAJ FNT00"/>
          <w:kern w:val="0"/>
          <w:szCs w:val="21"/>
        </w:rPr>
        <w:t>；</w:t>
      </w:r>
      <w:r>
        <w:rPr>
          <w:rFonts w:hint="eastAsia" w:ascii="宋体" w:hAnsi="宋体" w:eastAsia="宋体" w:cs="宋体"/>
          <w:kern w:val="0"/>
          <w:szCs w:val="21"/>
        </w:rPr>
        <w:t>不仅体现人的目的</w:t>
      </w:r>
      <w:r>
        <w:rPr>
          <w:rFonts w:hint="eastAsia" w:ascii="宋体" w:hAnsi="宋体" w:eastAsia="宋体" w:cs="B6+cajcd fnta1"/>
          <w:kern w:val="0"/>
          <w:szCs w:val="21"/>
        </w:rPr>
        <w:t>——</w:t>
      </w:r>
      <w:r>
        <w:rPr>
          <w:rFonts w:hint="eastAsia" w:ascii="宋体" w:hAnsi="宋体" w:eastAsia="宋体" w:cs="宋体"/>
          <w:kern w:val="0"/>
          <w:szCs w:val="21"/>
        </w:rPr>
        <w:t>人们如何安顿人生</w:t>
      </w:r>
      <w:r>
        <w:rPr>
          <w:rFonts w:hint="eastAsia" w:ascii="宋体" w:hAnsi="宋体" w:eastAsia="宋体" w:cs="B4+CAJ FNT00"/>
          <w:kern w:val="0"/>
          <w:szCs w:val="21"/>
        </w:rPr>
        <w:t>,</w:t>
      </w:r>
      <w:r>
        <w:rPr>
          <w:rFonts w:hint="eastAsia" w:ascii="宋体" w:hAnsi="宋体" w:eastAsia="宋体" w:cs="宋体"/>
          <w:kern w:val="0"/>
          <w:szCs w:val="21"/>
        </w:rPr>
        <w:t>如何调节人的内在生命秩序</w:t>
      </w:r>
      <w:r>
        <w:rPr>
          <w:rFonts w:hint="eastAsia" w:ascii="宋体" w:hAnsi="宋体" w:eastAsia="宋体" w:cs="B4+CAJ FNT00"/>
          <w:kern w:val="0"/>
          <w:szCs w:val="21"/>
        </w:rPr>
        <w:t>,</w:t>
      </w:r>
      <w:r>
        <w:rPr>
          <w:rFonts w:hint="eastAsia" w:ascii="宋体" w:hAnsi="宋体" w:eastAsia="宋体" w:cs="宋体"/>
          <w:kern w:val="0"/>
          <w:szCs w:val="21"/>
        </w:rPr>
        <w:t>同时能认识和体悟自然的目的</w:t>
      </w:r>
      <w:r>
        <w:rPr>
          <w:rFonts w:hint="eastAsia" w:ascii="宋体" w:hAnsi="宋体" w:eastAsia="宋体" w:cs="B6+cajcd fnta1"/>
          <w:kern w:val="0"/>
          <w:szCs w:val="21"/>
        </w:rPr>
        <w:t>——</w:t>
      </w:r>
      <w:r>
        <w:rPr>
          <w:rFonts w:hint="eastAsia" w:ascii="宋体" w:hAnsi="宋体" w:eastAsia="宋体" w:cs="宋体"/>
          <w:kern w:val="0"/>
          <w:szCs w:val="21"/>
        </w:rPr>
        <w:t>包括人在内的生态价值</w:t>
      </w:r>
      <w:r>
        <w:rPr>
          <w:rFonts w:hint="eastAsia" w:ascii="宋体" w:hAnsi="宋体" w:eastAsia="宋体" w:cs="B6+cajcd fnta1"/>
          <w:kern w:val="0"/>
          <w:szCs w:val="21"/>
        </w:rPr>
        <w:t>、</w:t>
      </w:r>
      <w:r>
        <w:rPr>
          <w:rFonts w:hint="eastAsia" w:ascii="宋体" w:hAnsi="宋体" w:eastAsia="宋体" w:cs="宋体"/>
          <w:kern w:val="0"/>
          <w:szCs w:val="21"/>
        </w:rPr>
        <w:t>人在自然中的地位</w:t>
      </w:r>
      <w:r>
        <w:rPr>
          <w:rFonts w:hint="eastAsia" w:ascii="宋体" w:hAnsi="宋体" w:eastAsia="宋体" w:cs="B4+CAJ FNT00"/>
          <w:kern w:val="0"/>
          <w:szCs w:val="21"/>
        </w:rPr>
        <w:t>,</w:t>
      </w:r>
      <w:r>
        <w:rPr>
          <w:rFonts w:hint="eastAsia" w:ascii="宋体" w:hAnsi="宋体" w:eastAsia="宋体" w:cs="宋体"/>
          <w:kern w:val="0"/>
          <w:szCs w:val="21"/>
        </w:rPr>
        <w:t>人对人一社会一自然系统的内在秩序的责任与使命</w:t>
      </w:r>
      <w:r>
        <w:rPr>
          <w:rFonts w:hint="eastAsia" w:ascii="宋体" w:hAnsi="宋体" w:eastAsia="宋体" w:cs="B4+CAJ FNT00"/>
          <w:kern w:val="0"/>
          <w:szCs w:val="21"/>
        </w:rPr>
        <w:t>,</w:t>
      </w:r>
      <w:r>
        <w:rPr>
          <w:rFonts w:hint="eastAsia" w:ascii="宋体" w:hAnsi="宋体" w:eastAsia="宋体" w:cs="宋体"/>
          <w:kern w:val="0"/>
          <w:szCs w:val="21"/>
        </w:rPr>
        <w:t>进而确立相应的伦理规范和伦理行为的价值取向</w:t>
      </w:r>
      <w:r>
        <w:rPr>
          <w:rFonts w:hint="eastAsia" w:ascii="宋体" w:hAnsi="宋体" w:eastAsia="宋体" w:cs="B6+cajcd fnta1"/>
          <w:kern w:val="0"/>
          <w:szCs w:val="21"/>
        </w:rPr>
        <w:t>。</w:t>
      </w:r>
      <w:r>
        <w:rPr>
          <w:rFonts w:hint="eastAsia" w:ascii="宋体" w:hAnsi="宋体" w:eastAsia="宋体" w:cs="宋体"/>
          <w:kern w:val="0"/>
          <w:szCs w:val="21"/>
        </w:rPr>
        <w:t>从现代伦理学来看</w:t>
      </w:r>
      <w:r>
        <w:rPr>
          <w:rFonts w:hint="eastAsia" w:ascii="宋体" w:hAnsi="宋体" w:eastAsia="宋体" w:cs="B4+CAJ FNT00"/>
          <w:kern w:val="0"/>
          <w:szCs w:val="21"/>
        </w:rPr>
        <w:t>,</w:t>
      </w:r>
      <w:r>
        <w:rPr>
          <w:rFonts w:hint="eastAsia" w:ascii="宋体" w:hAnsi="宋体" w:eastAsia="宋体" w:cs="宋体"/>
          <w:kern w:val="0"/>
          <w:szCs w:val="21"/>
        </w:rPr>
        <w:t>伦理关系主要包括四个方面</w:t>
      </w:r>
      <w:r>
        <w:rPr>
          <w:rFonts w:hint="eastAsia" w:ascii="宋体" w:hAnsi="宋体" w:eastAsia="宋体" w:cs="B4+CAJ FNT00"/>
          <w:kern w:val="0"/>
          <w:szCs w:val="21"/>
        </w:rPr>
        <w:t>：</w:t>
      </w:r>
      <w:r>
        <w:rPr>
          <w:rFonts w:hint="eastAsia" w:ascii="宋体" w:hAnsi="宋体" w:eastAsia="宋体" w:cs="宋体"/>
          <w:kern w:val="0"/>
          <w:szCs w:val="21"/>
        </w:rPr>
        <w:t>人与社会的关系</w:t>
      </w:r>
      <w:r>
        <w:rPr>
          <w:rFonts w:hint="eastAsia" w:ascii="宋体" w:hAnsi="宋体" w:eastAsia="宋体" w:cs="B6+cajcd fnta1"/>
          <w:kern w:val="0"/>
          <w:szCs w:val="21"/>
        </w:rPr>
        <w:t>、</w:t>
      </w:r>
      <w:r>
        <w:rPr>
          <w:rFonts w:hint="eastAsia" w:ascii="宋体" w:hAnsi="宋体" w:eastAsia="宋体" w:cs="宋体"/>
          <w:kern w:val="0"/>
          <w:szCs w:val="21"/>
        </w:rPr>
        <w:t>人与人的关系</w:t>
      </w:r>
      <w:r>
        <w:rPr>
          <w:rFonts w:hint="eastAsia" w:ascii="宋体" w:hAnsi="宋体" w:eastAsia="宋体" w:cs="B6+cajcd fnta1"/>
          <w:kern w:val="0"/>
          <w:szCs w:val="21"/>
        </w:rPr>
        <w:t>、</w:t>
      </w:r>
      <w:r>
        <w:rPr>
          <w:rFonts w:hint="eastAsia" w:ascii="宋体" w:hAnsi="宋体" w:eastAsia="宋体" w:cs="宋体"/>
          <w:kern w:val="0"/>
          <w:szCs w:val="21"/>
        </w:rPr>
        <w:t>人与自我的关系和人与自然的关系</w:t>
      </w:r>
      <w:r>
        <w:rPr>
          <w:rFonts w:hint="eastAsia" w:ascii="宋体" w:hAnsi="宋体" w:eastAsia="宋体" w:cs="B6+cajcd fnta1"/>
          <w:kern w:val="0"/>
          <w:szCs w:val="21"/>
        </w:rPr>
        <w:t>。</w:t>
      </w:r>
      <w:r>
        <w:rPr>
          <w:rFonts w:hint="eastAsia" w:ascii="宋体" w:hAnsi="宋体" w:eastAsia="宋体" w:cs="宋体"/>
          <w:kern w:val="0"/>
          <w:szCs w:val="21"/>
        </w:rPr>
        <w:t>伦理关系之所以是一种价值关系</w:t>
      </w:r>
      <w:r>
        <w:rPr>
          <w:rFonts w:hint="eastAsia" w:ascii="宋体" w:hAnsi="宋体" w:eastAsia="宋体" w:cs="B4+CAJ FNT00"/>
          <w:kern w:val="0"/>
          <w:szCs w:val="21"/>
        </w:rPr>
        <w:t>,</w:t>
      </w:r>
      <w:r>
        <w:rPr>
          <w:rFonts w:hint="eastAsia" w:ascii="宋体" w:hAnsi="宋体" w:eastAsia="宋体" w:cs="宋体"/>
          <w:kern w:val="0"/>
          <w:szCs w:val="21"/>
        </w:rPr>
        <w:t>在于它蕴含着主体与客体相互作用的过程</w:t>
      </w:r>
      <w:r>
        <w:rPr>
          <w:rFonts w:hint="eastAsia" w:ascii="宋体" w:hAnsi="宋体" w:eastAsia="宋体" w:cs="B4+CAJ FNT00"/>
          <w:kern w:val="0"/>
          <w:szCs w:val="21"/>
        </w:rPr>
        <w:t>,</w:t>
      </w:r>
      <w:r>
        <w:rPr>
          <w:rFonts w:hint="eastAsia" w:ascii="宋体" w:hAnsi="宋体" w:eastAsia="宋体" w:cs="宋体"/>
          <w:kern w:val="0"/>
          <w:szCs w:val="21"/>
        </w:rPr>
        <w:t>这一过程亦是主体对社会进步</w:t>
      </w:r>
      <w:r>
        <w:rPr>
          <w:rFonts w:hint="eastAsia" w:ascii="宋体" w:hAnsi="宋体" w:eastAsia="宋体" w:cs="B6+cajcd fnta1"/>
          <w:kern w:val="0"/>
          <w:szCs w:val="21"/>
        </w:rPr>
        <w:t>、</w:t>
      </w:r>
      <w:r>
        <w:rPr>
          <w:rFonts w:hint="eastAsia" w:ascii="宋体" w:hAnsi="宋体" w:eastAsia="宋体" w:cs="宋体"/>
          <w:kern w:val="0"/>
          <w:szCs w:val="21"/>
        </w:rPr>
        <w:t>人际关系和谐</w:t>
      </w:r>
      <w:r>
        <w:rPr>
          <w:rFonts w:hint="eastAsia" w:ascii="宋体" w:hAnsi="宋体" w:eastAsia="宋体" w:cs="B6+cajcd fnta1"/>
          <w:kern w:val="0"/>
          <w:szCs w:val="21"/>
        </w:rPr>
        <w:t>、</w:t>
      </w:r>
      <w:r>
        <w:rPr>
          <w:rFonts w:hint="eastAsia" w:ascii="宋体" w:hAnsi="宋体" w:eastAsia="宋体" w:cs="宋体"/>
          <w:kern w:val="0"/>
          <w:szCs w:val="21"/>
        </w:rPr>
        <w:t>人与自然关系协调以及自我完善的追求过程</w:t>
      </w:r>
      <w:r>
        <w:rPr>
          <w:rFonts w:hint="eastAsia" w:ascii="宋体" w:hAnsi="宋体" w:eastAsia="宋体" w:cs="B6+cajcd fnta1"/>
          <w:kern w:val="0"/>
          <w:szCs w:val="21"/>
        </w:rPr>
        <w:t>。</w:t>
      </w:r>
      <w:r>
        <w:rPr>
          <w:rFonts w:hint="eastAsia" w:ascii="宋体" w:hAnsi="宋体" w:eastAsia="宋体" w:cs="宋体"/>
          <w:kern w:val="0"/>
          <w:szCs w:val="21"/>
        </w:rPr>
        <w:t>对于主体来说</w:t>
      </w:r>
      <w:r>
        <w:rPr>
          <w:rFonts w:hint="eastAsia" w:ascii="宋体" w:hAnsi="宋体" w:eastAsia="宋体" w:cs="B4+CAJ FNT00"/>
          <w:kern w:val="0"/>
          <w:szCs w:val="21"/>
        </w:rPr>
        <w:t>,</w:t>
      </w:r>
      <w:r>
        <w:rPr>
          <w:rFonts w:hint="eastAsia" w:ascii="宋体" w:hAnsi="宋体" w:eastAsia="宋体" w:cs="宋体"/>
          <w:kern w:val="0"/>
          <w:szCs w:val="21"/>
        </w:rPr>
        <w:t>在社会活动中</w:t>
      </w:r>
      <w:r>
        <w:rPr>
          <w:rFonts w:hint="eastAsia" w:ascii="宋体" w:hAnsi="宋体" w:eastAsia="宋体" w:cs="B4+CAJ FNT00"/>
          <w:kern w:val="0"/>
          <w:szCs w:val="21"/>
        </w:rPr>
        <w:t>,</w:t>
      </w:r>
      <w:r>
        <w:rPr>
          <w:rFonts w:hint="eastAsia" w:ascii="宋体" w:hAnsi="宋体" w:eastAsia="宋体" w:cs="宋体"/>
          <w:kern w:val="0"/>
          <w:szCs w:val="21"/>
        </w:rPr>
        <w:t>总要处理个人与他人</w:t>
      </w:r>
      <w:r>
        <w:rPr>
          <w:rFonts w:hint="eastAsia" w:ascii="宋体" w:hAnsi="宋体" w:eastAsia="宋体" w:cs="B6+cajcd fnta1"/>
          <w:kern w:val="0"/>
          <w:szCs w:val="21"/>
        </w:rPr>
        <w:t>、</w:t>
      </w:r>
      <w:r>
        <w:rPr>
          <w:rFonts w:hint="eastAsia" w:ascii="宋体" w:hAnsi="宋体" w:eastAsia="宋体" w:cs="宋体"/>
          <w:kern w:val="0"/>
          <w:szCs w:val="21"/>
        </w:rPr>
        <w:t>个人与社会</w:t>
      </w:r>
      <w:r>
        <w:rPr>
          <w:rFonts w:hint="eastAsia" w:ascii="宋体" w:hAnsi="宋体" w:eastAsia="宋体" w:cs="B6+cajcd fnta1"/>
          <w:kern w:val="0"/>
          <w:szCs w:val="21"/>
        </w:rPr>
        <w:t>、</w:t>
      </w:r>
      <w:r>
        <w:rPr>
          <w:rFonts w:hint="eastAsia" w:ascii="宋体" w:hAnsi="宋体" w:eastAsia="宋体" w:cs="宋体"/>
          <w:kern w:val="0"/>
          <w:szCs w:val="21"/>
        </w:rPr>
        <w:t>个人与自身以及人与自然等种种关系</w:t>
      </w:r>
      <w:r>
        <w:rPr>
          <w:rFonts w:hint="eastAsia" w:ascii="宋体" w:hAnsi="宋体" w:eastAsia="宋体" w:cs="B4+CAJ FNT00"/>
          <w:kern w:val="0"/>
          <w:szCs w:val="21"/>
        </w:rPr>
        <w:t>；</w:t>
      </w:r>
      <w:r>
        <w:rPr>
          <w:rFonts w:hint="eastAsia" w:ascii="宋体" w:hAnsi="宋体" w:eastAsia="宋体" w:cs="宋体"/>
          <w:kern w:val="0"/>
          <w:szCs w:val="21"/>
        </w:rPr>
        <w:t>在处理这些关系的过程中</w:t>
      </w:r>
      <w:r>
        <w:rPr>
          <w:rFonts w:hint="eastAsia" w:ascii="宋体" w:hAnsi="宋体" w:eastAsia="宋体" w:cs="B4+CAJ FNT00"/>
          <w:kern w:val="0"/>
          <w:szCs w:val="21"/>
        </w:rPr>
        <w:t>,</w:t>
      </w:r>
      <w:r>
        <w:rPr>
          <w:rFonts w:hint="eastAsia" w:ascii="宋体" w:hAnsi="宋体" w:eastAsia="宋体" w:cs="宋体"/>
          <w:kern w:val="0"/>
          <w:szCs w:val="21"/>
        </w:rPr>
        <w:t>主体的社会理想及行为目的便逐渐显现出来</w:t>
      </w:r>
      <w:r>
        <w:rPr>
          <w:rFonts w:hint="eastAsia" w:ascii="宋体" w:hAnsi="宋体" w:eastAsia="宋体" w:cs="B4+CAJ FNT00"/>
          <w:kern w:val="0"/>
          <w:szCs w:val="21"/>
        </w:rPr>
        <w:t>,</w:t>
      </w:r>
      <w:r>
        <w:rPr>
          <w:rFonts w:hint="eastAsia" w:ascii="宋体" w:hAnsi="宋体" w:eastAsia="宋体" w:cs="宋体"/>
          <w:kern w:val="0"/>
          <w:szCs w:val="21"/>
        </w:rPr>
        <w:t>进而对推进人一社会一自然这一超大系统运行的价值亦显现出来</w:t>
      </w:r>
      <w:r>
        <w:rPr>
          <w:rFonts w:hint="eastAsia" w:ascii="宋体" w:hAnsi="宋体" w:eastAsia="宋体" w:cs="B6+cajcd fnta1"/>
          <w:kern w:val="0"/>
          <w:szCs w:val="21"/>
        </w:rPr>
        <w:t>。</w:t>
      </w:r>
      <w:r>
        <w:rPr>
          <w:rFonts w:hint="eastAsia" w:ascii="宋体" w:hAnsi="宋体" w:eastAsia="宋体" w:cs="宋体"/>
          <w:kern w:val="0"/>
          <w:szCs w:val="21"/>
        </w:rPr>
        <w:t>上述伦理关系作为一种价值关系的抽象</w:t>
      </w:r>
      <w:r>
        <w:rPr>
          <w:rFonts w:hint="eastAsia" w:ascii="宋体" w:hAnsi="宋体" w:eastAsia="宋体" w:cs="B4+CAJ FNT00"/>
          <w:kern w:val="0"/>
          <w:szCs w:val="21"/>
        </w:rPr>
        <w:t>,</w:t>
      </w:r>
      <w:r>
        <w:rPr>
          <w:rFonts w:hint="eastAsia" w:ascii="宋体" w:hAnsi="宋体" w:eastAsia="宋体" w:cs="宋体"/>
          <w:kern w:val="0"/>
          <w:szCs w:val="21"/>
        </w:rPr>
        <w:t>其核心就是怎样推进人一社会一自然这一超大系统的协调发展</w:t>
      </w:r>
      <w:r>
        <w:rPr>
          <w:rFonts w:hint="eastAsia" w:ascii="宋体" w:hAnsi="宋体" w:eastAsia="宋体" w:cs="B4+CAJ FNT00"/>
          <w:kern w:val="0"/>
          <w:szCs w:val="21"/>
        </w:rPr>
        <w:t>,</w:t>
      </w:r>
      <w:r>
        <w:rPr>
          <w:rFonts w:hint="eastAsia" w:ascii="宋体" w:hAnsi="宋体" w:eastAsia="宋体" w:cs="宋体"/>
          <w:kern w:val="0"/>
          <w:szCs w:val="21"/>
        </w:rPr>
        <w:t>以及如何促进人的全面发展和完善</w:t>
      </w:r>
      <w:r>
        <w:rPr>
          <w:rFonts w:hint="eastAsia" w:ascii="宋体" w:hAnsi="宋体" w:eastAsia="宋体" w:cs="B4+CAJ FNT00"/>
          <w:kern w:val="0"/>
          <w:szCs w:val="21"/>
        </w:rPr>
        <w:t>,</w:t>
      </w:r>
      <w:r>
        <w:rPr>
          <w:rFonts w:hint="eastAsia" w:ascii="宋体" w:hAnsi="宋体" w:eastAsia="宋体" w:cs="宋体"/>
          <w:kern w:val="0"/>
          <w:szCs w:val="21"/>
        </w:rPr>
        <w:t>它集中体现了主体对自己在人一社会一自然系统中的地位和应担负的道德使命</w:t>
      </w:r>
      <w:r>
        <w:rPr>
          <w:rFonts w:hint="eastAsia" w:ascii="宋体" w:hAnsi="宋体" w:eastAsia="宋体" w:cs="B6+cajcd fnta1"/>
          <w:kern w:val="0"/>
          <w:szCs w:val="21"/>
        </w:rPr>
        <w:t>、</w:t>
      </w:r>
      <w:r>
        <w:rPr>
          <w:rFonts w:hint="eastAsia" w:ascii="宋体" w:hAnsi="宋体" w:eastAsia="宋体" w:cs="宋体"/>
          <w:kern w:val="0"/>
          <w:szCs w:val="21"/>
        </w:rPr>
        <w:t>道德义务</w:t>
      </w:r>
      <w:r>
        <w:rPr>
          <w:rFonts w:hint="eastAsia" w:ascii="宋体" w:hAnsi="宋体" w:eastAsia="宋体" w:cs="B6+cajcd fnta1"/>
          <w:kern w:val="0"/>
          <w:szCs w:val="21"/>
        </w:rPr>
        <w:t>、</w:t>
      </w:r>
      <w:r>
        <w:rPr>
          <w:rFonts w:hint="eastAsia" w:ascii="宋体" w:hAnsi="宋体" w:eastAsia="宋体" w:cs="宋体"/>
          <w:kern w:val="0"/>
          <w:szCs w:val="21"/>
        </w:rPr>
        <w:t>道德责任的自觉</w:t>
      </w:r>
      <w:r>
        <w:rPr>
          <w:rFonts w:hint="eastAsia" w:ascii="宋体" w:hAnsi="宋体" w:eastAsia="宋体" w:cs="B6+cajcd fnta1"/>
          <w:kern w:val="0"/>
          <w:szCs w:val="21"/>
        </w:rPr>
        <w:t>。</w:t>
      </w:r>
      <w:r>
        <w:rPr>
          <w:rFonts w:hint="eastAsia" w:ascii="宋体" w:hAnsi="宋体" w:eastAsia="宋体" w:cs="宋体"/>
          <w:kern w:val="0"/>
          <w:szCs w:val="21"/>
        </w:rPr>
        <w:t>经济伦理学则从经济理论的视角揭示了科学发展观的基石是</w:t>
      </w:r>
      <w:r>
        <w:rPr>
          <w:rFonts w:hint="eastAsia" w:ascii="宋体" w:hAnsi="宋体" w:eastAsia="宋体" w:cs="B6+cajcd fnta1"/>
          <w:kern w:val="0"/>
          <w:szCs w:val="21"/>
        </w:rPr>
        <w:t>“</w:t>
      </w:r>
      <w:r>
        <w:rPr>
          <w:rFonts w:hint="eastAsia" w:ascii="宋体" w:hAnsi="宋体" w:eastAsia="宋体" w:cs="宋体"/>
          <w:kern w:val="0"/>
          <w:szCs w:val="21"/>
        </w:rPr>
        <w:t>以人为本</w:t>
      </w:r>
      <w:r>
        <w:rPr>
          <w:rFonts w:hint="eastAsia" w:ascii="宋体" w:hAnsi="宋体" w:eastAsia="宋体" w:cs="B6+cajcd fnta1"/>
          <w:kern w:val="0"/>
          <w:szCs w:val="21"/>
        </w:rPr>
        <w:t>”</w:t>
      </w:r>
      <w:r>
        <w:rPr>
          <w:rFonts w:hint="eastAsia" w:ascii="宋体" w:hAnsi="宋体" w:eastAsia="宋体" w:cs="宋体"/>
          <w:kern w:val="0"/>
          <w:szCs w:val="21"/>
        </w:rPr>
        <w:t>的经济伦理思想</w:t>
      </w:r>
      <w:r>
        <w:rPr>
          <w:rFonts w:hint="eastAsia" w:ascii="宋体" w:hAnsi="宋体" w:eastAsia="宋体" w:cs="B6+cajcd fnta1"/>
          <w:kern w:val="0"/>
          <w:szCs w:val="21"/>
        </w:rPr>
        <w:t>、</w:t>
      </w:r>
      <w:r>
        <w:rPr>
          <w:rFonts w:hint="eastAsia" w:ascii="宋体" w:hAnsi="宋体" w:eastAsia="宋体" w:cs="宋体"/>
          <w:kern w:val="0"/>
          <w:szCs w:val="21"/>
        </w:rPr>
        <w:t>公平的经济伦理思想是科学发展观的伦理价值导向</w:t>
      </w:r>
      <w:r>
        <w:rPr>
          <w:rFonts w:hint="eastAsia" w:ascii="宋体" w:hAnsi="宋体" w:eastAsia="宋体" w:cs="B6+cajcd fnta1"/>
          <w:kern w:val="0"/>
          <w:szCs w:val="21"/>
        </w:rPr>
        <w:t>、“</w:t>
      </w:r>
      <w:r>
        <w:rPr>
          <w:rFonts w:hint="eastAsia" w:ascii="宋体" w:hAnsi="宋体" w:eastAsia="宋体" w:cs="宋体"/>
          <w:kern w:val="0"/>
          <w:szCs w:val="21"/>
        </w:rPr>
        <w:t>和谐共处</w:t>
      </w:r>
      <w:r>
        <w:rPr>
          <w:rFonts w:hint="eastAsia" w:ascii="宋体" w:hAnsi="宋体" w:eastAsia="宋体" w:cs="B6+cajcd fnta1"/>
          <w:kern w:val="0"/>
          <w:szCs w:val="21"/>
        </w:rPr>
        <w:t>、</w:t>
      </w:r>
      <w:r>
        <w:rPr>
          <w:rFonts w:hint="eastAsia" w:ascii="宋体" w:hAnsi="宋体" w:eastAsia="宋体" w:cs="宋体"/>
          <w:kern w:val="0"/>
          <w:szCs w:val="21"/>
        </w:rPr>
        <w:t>可持续发展</w:t>
      </w:r>
      <w:r>
        <w:rPr>
          <w:rFonts w:hint="eastAsia" w:ascii="宋体" w:hAnsi="宋体" w:eastAsia="宋体" w:cs="B6+cajcd fnta1"/>
          <w:kern w:val="0"/>
          <w:szCs w:val="21"/>
        </w:rPr>
        <w:t>”</w:t>
      </w:r>
      <w:r>
        <w:rPr>
          <w:rFonts w:hint="eastAsia" w:ascii="宋体" w:hAnsi="宋体" w:eastAsia="宋体" w:cs="宋体"/>
          <w:kern w:val="0"/>
          <w:szCs w:val="21"/>
        </w:rPr>
        <w:t>是科学发展观追求的最新发展模式</w:t>
      </w:r>
      <w:r>
        <w:rPr>
          <w:rFonts w:hint="eastAsia" w:ascii="宋体" w:hAnsi="宋体" w:eastAsia="宋体" w:cs="B6+cajcd fnta1"/>
          <w:kern w:val="0"/>
          <w:szCs w:val="21"/>
        </w:rPr>
        <w:t>。</w:t>
      </w:r>
      <w:r>
        <w:rPr>
          <w:rFonts w:hint="eastAsia" w:ascii="宋体" w:hAnsi="宋体" w:eastAsia="宋体" w:cs="宋体"/>
          <w:kern w:val="0"/>
          <w:szCs w:val="21"/>
        </w:rPr>
        <w:t>科学发展观构建了发展的理性精神与发展的伦理意蕴紧密联系</w:t>
      </w:r>
      <w:r>
        <w:rPr>
          <w:rFonts w:hint="eastAsia" w:ascii="宋体" w:hAnsi="宋体" w:eastAsia="宋体" w:cs="B6+cajcd fnta1"/>
          <w:kern w:val="0"/>
          <w:szCs w:val="21"/>
        </w:rPr>
        <w:t>、</w:t>
      </w:r>
      <w:r>
        <w:rPr>
          <w:rFonts w:hint="eastAsia" w:ascii="宋体" w:hAnsi="宋体" w:eastAsia="宋体" w:cs="宋体"/>
          <w:kern w:val="0"/>
          <w:szCs w:val="21"/>
        </w:rPr>
        <w:t>和谐统一的崭新发展理念</w:t>
      </w:r>
      <w:r>
        <w:rPr>
          <w:rFonts w:hint="eastAsia" w:ascii="宋体" w:hAnsi="宋体" w:eastAsia="宋体" w:cs="B6+cajcd fnta1"/>
          <w:kern w:val="0"/>
          <w:szCs w:val="21"/>
        </w:rPr>
        <w:t>"</w:t>
      </w:r>
      <w:r>
        <w:rPr>
          <w:rFonts w:hint="eastAsia" w:ascii="宋体" w:hAnsi="宋体" w:eastAsia="宋体" w:cs="宋体"/>
          <w:kern w:val="0"/>
          <w:szCs w:val="21"/>
        </w:rPr>
        <w:t>它汲取了古今中外经济伦理思想的精华</w:t>
      </w:r>
      <w:r>
        <w:rPr>
          <w:rFonts w:hint="eastAsia" w:ascii="宋体" w:hAnsi="宋体" w:eastAsia="宋体" w:cs="B4+CAJ FNT00"/>
          <w:kern w:val="0"/>
          <w:szCs w:val="21"/>
        </w:rPr>
        <w:t>,</w:t>
      </w:r>
      <w:r>
        <w:rPr>
          <w:rFonts w:hint="eastAsia" w:ascii="宋体" w:hAnsi="宋体" w:eastAsia="宋体" w:cs="宋体"/>
          <w:kern w:val="0"/>
          <w:szCs w:val="21"/>
        </w:rPr>
        <w:t>在充分认识当前我国经济建设和经济发展的新问题</w:t>
      </w:r>
      <w:r>
        <w:rPr>
          <w:rFonts w:hint="eastAsia" w:ascii="宋体" w:hAnsi="宋体" w:eastAsia="宋体" w:cs="B6+cajcd fnta1"/>
          <w:kern w:val="0"/>
          <w:szCs w:val="21"/>
        </w:rPr>
        <w:t>、</w:t>
      </w:r>
      <w:r>
        <w:rPr>
          <w:rFonts w:hint="eastAsia" w:ascii="宋体" w:hAnsi="宋体" w:eastAsia="宋体" w:cs="宋体"/>
          <w:kern w:val="0"/>
          <w:szCs w:val="21"/>
        </w:rPr>
        <w:t>新矛盾的墓础上</w:t>
      </w:r>
      <w:r>
        <w:rPr>
          <w:rFonts w:hint="eastAsia" w:ascii="宋体" w:hAnsi="宋体" w:eastAsia="宋体" w:cs="B4+CAJ FNT00"/>
          <w:kern w:val="0"/>
          <w:szCs w:val="21"/>
        </w:rPr>
        <w:t>,</w:t>
      </w:r>
      <w:r>
        <w:rPr>
          <w:rFonts w:hint="eastAsia" w:ascii="宋体" w:hAnsi="宋体" w:eastAsia="宋体" w:cs="宋体"/>
          <w:kern w:val="0"/>
          <w:szCs w:val="21"/>
        </w:rPr>
        <w:t>提出了要实现经济</w:t>
      </w:r>
      <w:r>
        <w:rPr>
          <w:rFonts w:hint="eastAsia" w:ascii="宋体" w:hAnsi="宋体" w:eastAsia="宋体" w:cs="B6+cajcd fnta1"/>
          <w:kern w:val="0"/>
          <w:szCs w:val="21"/>
        </w:rPr>
        <w:t>、</w:t>
      </w:r>
      <w:r>
        <w:rPr>
          <w:rFonts w:hint="eastAsia" w:ascii="宋体" w:hAnsi="宋体" w:eastAsia="宋体" w:cs="宋体"/>
          <w:kern w:val="0"/>
          <w:szCs w:val="21"/>
        </w:rPr>
        <w:t>社会和环境全面</w:t>
      </w:r>
      <w:r>
        <w:rPr>
          <w:rFonts w:hint="eastAsia" w:ascii="宋体" w:hAnsi="宋体" w:eastAsia="宋体" w:cs="B6+cajcd fnta1"/>
          <w:kern w:val="0"/>
          <w:szCs w:val="21"/>
        </w:rPr>
        <w:t>、</w:t>
      </w:r>
      <w:r>
        <w:rPr>
          <w:rFonts w:hint="eastAsia" w:ascii="宋体" w:hAnsi="宋体" w:eastAsia="宋体" w:cs="宋体"/>
          <w:kern w:val="0"/>
          <w:szCs w:val="21"/>
        </w:rPr>
        <w:t>协调</w:t>
      </w:r>
      <w:r>
        <w:rPr>
          <w:rFonts w:hint="eastAsia" w:ascii="宋体" w:hAnsi="宋体" w:eastAsia="宋体" w:cs="B6+cajcd fnta1"/>
          <w:kern w:val="0"/>
          <w:szCs w:val="21"/>
        </w:rPr>
        <w:t>、</w:t>
      </w:r>
      <w:r>
        <w:rPr>
          <w:rFonts w:hint="eastAsia" w:ascii="宋体" w:hAnsi="宋体" w:eastAsia="宋体" w:cs="宋体"/>
          <w:kern w:val="0"/>
          <w:szCs w:val="21"/>
        </w:rPr>
        <w:t>可持续发展的最终发展目标</w:t>
      </w:r>
      <w:r>
        <w:rPr>
          <w:rFonts w:hint="eastAsia" w:ascii="宋体" w:hAnsi="宋体" w:eastAsia="宋体" w:cs="B6+cajcd fnta1"/>
          <w:kern w:val="0"/>
          <w:szCs w:val="21"/>
        </w:rPr>
        <w:t>"</w:t>
      </w:r>
      <w:r>
        <w:rPr>
          <w:rFonts w:hint="eastAsia" w:ascii="宋体" w:hAnsi="宋体" w:eastAsia="宋体" w:cs="宋体"/>
          <w:kern w:val="0"/>
          <w:szCs w:val="21"/>
        </w:rPr>
        <w:t>文化学视野下的科学发展观</w:t>
      </w:r>
      <w:r>
        <w:rPr>
          <w:rFonts w:hint="eastAsia" w:ascii="宋体" w:hAnsi="宋体" w:eastAsia="宋体" w:cs="B4+CAJ FNT00"/>
          <w:kern w:val="0"/>
          <w:szCs w:val="21"/>
        </w:rPr>
        <w:t>,</w:t>
      </w:r>
      <w:r>
        <w:rPr>
          <w:rFonts w:hint="eastAsia" w:ascii="宋体" w:hAnsi="宋体" w:eastAsia="宋体" w:cs="宋体"/>
          <w:kern w:val="0"/>
          <w:szCs w:val="21"/>
        </w:rPr>
        <w:t>强调科学发展观所体现的人文内涵和人文精神</w:t>
      </w:r>
      <w:r>
        <w:rPr>
          <w:rFonts w:hint="eastAsia" w:ascii="宋体" w:hAnsi="宋体" w:eastAsia="宋体" w:cs="B6+cajcd fnta1"/>
          <w:kern w:val="0"/>
          <w:szCs w:val="21"/>
        </w:rPr>
        <w:t>"</w:t>
      </w:r>
      <w:r>
        <w:rPr>
          <w:rFonts w:hint="eastAsia" w:ascii="宋体" w:hAnsi="宋体" w:eastAsia="宋体" w:cs="宋体"/>
          <w:kern w:val="0"/>
          <w:szCs w:val="21"/>
        </w:rPr>
        <w:t>科学发展观揭示的人文内涵是一定时期</w:t>
      </w:r>
      <w:r>
        <w:rPr>
          <w:rFonts w:hint="eastAsia" w:ascii="宋体" w:hAnsi="宋体" w:eastAsia="宋体" w:cs="B6+cajcd fnta1"/>
          <w:kern w:val="0"/>
          <w:szCs w:val="21"/>
        </w:rPr>
        <w:t>、</w:t>
      </w:r>
      <w:r>
        <w:rPr>
          <w:rFonts w:hint="eastAsia" w:ascii="宋体" w:hAnsi="宋体" w:eastAsia="宋体" w:cs="宋体"/>
          <w:kern w:val="0"/>
          <w:szCs w:val="21"/>
        </w:rPr>
        <w:t>一定历史条件下的社会文化价值取向</w:t>
      </w:r>
      <w:r>
        <w:rPr>
          <w:rFonts w:hint="eastAsia" w:ascii="宋体" w:hAnsi="宋体" w:eastAsia="宋体" w:cs="B6+cajcd fnta1"/>
          <w:kern w:val="0"/>
          <w:szCs w:val="21"/>
        </w:rPr>
        <w:t>。</w:t>
      </w:r>
      <w:r>
        <w:rPr>
          <w:rFonts w:hint="eastAsia" w:ascii="宋体" w:hAnsi="宋体" w:eastAsia="宋体" w:cs="宋体"/>
          <w:kern w:val="0"/>
          <w:szCs w:val="21"/>
        </w:rPr>
        <w:t>科学发展观的核心是以人为本</w:t>
      </w:r>
      <w:r>
        <w:rPr>
          <w:rFonts w:hint="eastAsia" w:ascii="宋体" w:hAnsi="宋体" w:eastAsia="宋体" w:cs="B4+CAJ FNT00"/>
          <w:kern w:val="0"/>
          <w:szCs w:val="21"/>
        </w:rPr>
        <w:t>,</w:t>
      </w:r>
      <w:r>
        <w:rPr>
          <w:rFonts w:hint="eastAsia" w:ascii="宋体" w:hAnsi="宋体" w:eastAsia="宋体" w:cs="宋体"/>
          <w:kern w:val="0"/>
          <w:szCs w:val="21"/>
        </w:rPr>
        <w:t>一切价值取向都应以人民的根本利益为出发点</w:t>
      </w:r>
      <w:r>
        <w:rPr>
          <w:rFonts w:hint="eastAsia" w:ascii="宋体" w:hAnsi="宋体" w:eastAsia="宋体" w:cs="B6+cajcd fnta1"/>
          <w:kern w:val="0"/>
          <w:szCs w:val="21"/>
        </w:rPr>
        <w:t>、</w:t>
      </w:r>
      <w:r>
        <w:rPr>
          <w:rFonts w:hint="eastAsia" w:ascii="宋体" w:hAnsi="宋体" w:eastAsia="宋体" w:cs="宋体"/>
          <w:kern w:val="0"/>
          <w:szCs w:val="21"/>
        </w:rPr>
        <w:t>并以满足人民的需要作为一切社会经济活动的目的</w:t>
      </w:r>
      <w:r>
        <w:rPr>
          <w:rFonts w:hint="eastAsia" w:ascii="宋体" w:hAnsi="宋体" w:eastAsia="宋体" w:cs="B4+CAJ FNT00"/>
          <w:kern w:val="0"/>
          <w:szCs w:val="21"/>
        </w:rPr>
        <w:t>,</w:t>
      </w:r>
      <w:r>
        <w:rPr>
          <w:rFonts w:hint="eastAsia" w:ascii="宋体" w:hAnsi="宋体" w:eastAsia="宋体" w:cs="宋体"/>
          <w:kern w:val="0"/>
          <w:szCs w:val="21"/>
        </w:rPr>
        <w:t>确立社会伦理和生命伦理的标准</w:t>
      </w:r>
      <w:r>
        <w:rPr>
          <w:rFonts w:hint="eastAsia" w:ascii="宋体" w:hAnsi="宋体" w:eastAsia="宋体" w:cs="B6+cajcd fnta1"/>
          <w:kern w:val="0"/>
          <w:szCs w:val="21"/>
        </w:rPr>
        <w:t>。</w:t>
      </w:r>
      <w:r>
        <w:rPr>
          <w:rFonts w:hint="eastAsia" w:ascii="宋体" w:hAnsi="宋体" w:eastAsia="宋体" w:cs="宋体"/>
          <w:kern w:val="0"/>
          <w:szCs w:val="21"/>
        </w:rPr>
        <w:t>系统论视野下的科学发展观认为</w:t>
      </w:r>
      <w:r>
        <w:rPr>
          <w:rFonts w:hint="eastAsia" w:ascii="宋体" w:hAnsi="宋体" w:eastAsia="宋体" w:cs="B4+CAJ FNT00"/>
          <w:kern w:val="0"/>
          <w:szCs w:val="21"/>
        </w:rPr>
        <w:t>：</w:t>
      </w:r>
      <w:r>
        <w:rPr>
          <w:rFonts w:hint="eastAsia" w:ascii="宋体" w:hAnsi="宋体" w:eastAsia="宋体" w:cs="宋体"/>
          <w:kern w:val="0"/>
          <w:szCs w:val="21"/>
        </w:rPr>
        <w:t>发展系统是人类社会与自然构成的系统</w:t>
      </w:r>
      <w:r>
        <w:rPr>
          <w:rFonts w:hint="eastAsia" w:ascii="宋体" w:hAnsi="宋体" w:eastAsia="宋体" w:cs="B4+CAJ FNT00"/>
          <w:kern w:val="0"/>
          <w:szCs w:val="21"/>
        </w:rPr>
        <w:t>,</w:t>
      </w:r>
      <w:r>
        <w:rPr>
          <w:rFonts w:hint="eastAsia" w:ascii="宋体" w:hAnsi="宋体" w:eastAsia="宋体" w:cs="宋体"/>
          <w:kern w:val="0"/>
          <w:szCs w:val="21"/>
        </w:rPr>
        <w:t>在这个系统中</w:t>
      </w:r>
      <w:r>
        <w:rPr>
          <w:rFonts w:hint="eastAsia" w:ascii="宋体" w:hAnsi="宋体" w:eastAsia="宋体" w:cs="B4+CAJ FNT00"/>
          <w:kern w:val="0"/>
          <w:szCs w:val="21"/>
        </w:rPr>
        <w:t>,</w:t>
      </w:r>
      <w:r>
        <w:rPr>
          <w:rFonts w:hint="eastAsia" w:ascii="宋体" w:hAnsi="宋体" w:eastAsia="宋体" w:cs="宋体"/>
          <w:kern w:val="0"/>
          <w:szCs w:val="21"/>
        </w:rPr>
        <w:t>存在着人类社会与自然以及人与人的相互作用</w:t>
      </w:r>
      <w:r>
        <w:rPr>
          <w:rFonts w:hint="eastAsia" w:ascii="宋体" w:hAnsi="宋体" w:eastAsia="宋体" w:cs="B6+cajcd fnta1"/>
          <w:kern w:val="0"/>
          <w:szCs w:val="21"/>
        </w:rPr>
        <w:t>。</w:t>
      </w:r>
      <w:r>
        <w:rPr>
          <w:rFonts w:hint="eastAsia" w:ascii="宋体" w:hAnsi="宋体" w:eastAsia="宋体" w:cs="宋体"/>
          <w:kern w:val="0"/>
          <w:szCs w:val="21"/>
        </w:rPr>
        <w:t>人类社会与自然的相互作用表现为人类从自身利益出发</w:t>
      </w:r>
      <w:r>
        <w:rPr>
          <w:rFonts w:hint="eastAsia" w:ascii="宋体" w:hAnsi="宋体" w:eastAsia="宋体" w:cs="B4+CAJ FNT00"/>
          <w:kern w:val="0"/>
          <w:szCs w:val="21"/>
        </w:rPr>
        <w:t>,</w:t>
      </w:r>
      <w:r>
        <w:rPr>
          <w:rFonts w:hint="eastAsia" w:ascii="宋体" w:hAnsi="宋体" w:eastAsia="宋体" w:cs="宋体"/>
          <w:kern w:val="0"/>
          <w:szCs w:val="21"/>
        </w:rPr>
        <w:t>通过以自然为对象的对自然资源和环境进行的利用与改造</w:t>
      </w:r>
      <w:r>
        <w:rPr>
          <w:rFonts w:hint="eastAsia" w:ascii="宋体" w:hAnsi="宋体" w:eastAsia="宋体" w:cs="B6+cajcd fnta1"/>
          <w:kern w:val="0"/>
          <w:szCs w:val="21"/>
        </w:rPr>
        <w:t>。</w:t>
      </w:r>
      <w:r>
        <w:rPr>
          <w:rFonts w:hint="eastAsia" w:ascii="宋体" w:hAnsi="宋体" w:eastAsia="宋体" w:cs="宋体"/>
          <w:kern w:val="0"/>
          <w:szCs w:val="21"/>
        </w:rPr>
        <w:t>人与人的相互作用则表现为人类对自然资源和环境的利用与改造所做的各项准备</w:t>
      </w:r>
      <w:r>
        <w:rPr>
          <w:rFonts w:hint="eastAsia" w:ascii="宋体" w:hAnsi="宋体" w:eastAsia="宋体" w:cs="B4+CAJ FNT00"/>
          <w:kern w:val="0"/>
          <w:szCs w:val="21"/>
        </w:rPr>
        <w:t>,</w:t>
      </w:r>
      <w:r>
        <w:rPr>
          <w:rFonts w:hint="eastAsia" w:ascii="宋体" w:hAnsi="宋体" w:eastAsia="宋体" w:cs="宋体"/>
          <w:kern w:val="0"/>
          <w:szCs w:val="21"/>
        </w:rPr>
        <w:t>包括社会关系准备</w:t>
      </w:r>
      <w:r>
        <w:rPr>
          <w:rFonts w:hint="eastAsia" w:ascii="宋体" w:hAnsi="宋体" w:eastAsia="宋体" w:cs="B6+cajcd fnta1"/>
          <w:kern w:val="0"/>
          <w:szCs w:val="21"/>
        </w:rPr>
        <w:t>、</w:t>
      </w:r>
      <w:r>
        <w:rPr>
          <w:rFonts w:hint="eastAsia" w:ascii="宋体" w:hAnsi="宋体" w:eastAsia="宋体" w:cs="宋体"/>
          <w:kern w:val="0"/>
          <w:szCs w:val="21"/>
        </w:rPr>
        <w:t>生产力准备以及文化心态准备等</w:t>
      </w:r>
      <w:r>
        <w:rPr>
          <w:rFonts w:hint="eastAsia" w:ascii="宋体" w:hAnsi="宋体" w:eastAsia="宋体" w:cs="B4+CAJ FNT00"/>
          <w:kern w:val="0"/>
          <w:szCs w:val="21"/>
        </w:rPr>
        <w:t>,</w:t>
      </w:r>
      <w:r>
        <w:rPr>
          <w:rFonts w:hint="eastAsia" w:ascii="宋体" w:hAnsi="宋体" w:eastAsia="宋体" w:cs="宋体"/>
          <w:kern w:val="0"/>
          <w:szCs w:val="21"/>
        </w:rPr>
        <w:t>正是有了人与人以及人类社会与自然的相互作用</w:t>
      </w:r>
      <w:r>
        <w:rPr>
          <w:rFonts w:hint="eastAsia" w:ascii="宋体" w:hAnsi="宋体" w:eastAsia="宋体" w:cs="B4+CAJ FNT00"/>
          <w:kern w:val="0"/>
          <w:szCs w:val="21"/>
        </w:rPr>
        <w:t>,</w:t>
      </w:r>
      <w:r>
        <w:rPr>
          <w:rFonts w:hint="eastAsia" w:ascii="宋体" w:hAnsi="宋体" w:eastAsia="宋体" w:cs="宋体"/>
          <w:kern w:val="0"/>
          <w:szCs w:val="21"/>
        </w:rPr>
        <w:t>发展系统才得以运行</w:t>
      </w:r>
      <w:r>
        <w:rPr>
          <w:rFonts w:hint="eastAsia" w:ascii="宋体" w:hAnsi="宋体" w:eastAsia="宋体" w:cs="B6+cajcd fnta1"/>
          <w:kern w:val="0"/>
          <w:szCs w:val="21"/>
        </w:rPr>
        <w:t>。</w:t>
      </w:r>
    </w:p>
    <w:p w14:paraId="747926F8">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各种研究视角为我们全面理解科学发展观提供了不同的维度</w:t>
      </w:r>
      <w:r>
        <w:rPr>
          <w:rFonts w:hint="eastAsia" w:ascii="宋体" w:hAnsi="宋体" w:eastAsia="宋体" w:cs="B4+CAJ FNT00"/>
          <w:kern w:val="0"/>
          <w:szCs w:val="21"/>
        </w:rPr>
        <w:t>,</w:t>
      </w:r>
      <w:r>
        <w:rPr>
          <w:rFonts w:hint="eastAsia" w:ascii="宋体" w:hAnsi="宋体" w:eastAsia="宋体" w:cs="宋体"/>
          <w:kern w:val="0"/>
          <w:szCs w:val="21"/>
        </w:rPr>
        <w:t>但是这些研究并不能将科学发展观具体化</w:t>
      </w:r>
      <w:r>
        <w:rPr>
          <w:rFonts w:hint="eastAsia" w:ascii="宋体" w:hAnsi="宋体" w:eastAsia="宋体" w:cs="B4+CAJ FNT00"/>
          <w:kern w:val="0"/>
          <w:szCs w:val="21"/>
        </w:rPr>
        <w:t>,</w:t>
      </w:r>
      <w:r>
        <w:rPr>
          <w:rFonts w:hint="eastAsia" w:ascii="宋体" w:hAnsi="宋体" w:eastAsia="宋体" w:cs="宋体"/>
          <w:kern w:val="0"/>
          <w:szCs w:val="21"/>
        </w:rPr>
        <w:t>从而为建立体现科学发展观要求的经济社会综合评价体系提供直接的帮助</w:t>
      </w:r>
      <w:r>
        <w:rPr>
          <w:rFonts w:hint="eastAsia" w:ascii="宋体" w:hAnsi="宋体" w:eastAsia="宋体" w:cs="B4+CAJ FNT00"/>
          <w:kern w:val="0"/>
          <w:szCs w:val="21"/>
        </w:rPr>
        <w:t>,</w:t>
      </w:r>
      <w:r>
        <w:rPr>
          <w:rFonts w:hint="eastAsia" w:ascii="宋体" w:hAnsi="宋体" w:eastAsia="宋体" w:cs="宋体"/>
          <w:kern w:val="0"/>
          <w:szCs w:val="21"/>
        </w:rPr>
        <w:t>为此我们需要对科学发展观这一思想进行抽象和系统分析</w:t>
      </w:r>
      <w:r>
        <w:rPr>
          <w:rFonts w:hint="eastAsia" w:ascii="宋体" w:hAnsi="宋体" w:eastAsia="宋体" w:cs="B6+cajcd fnta1"/>
          <w:kern w:val="0"/>
          <w:szCs w:val="21"/>
        </w:rPr>
        <w:t>。</w:t>
      </w:r>
    </w:p>
    <w:p w14:paraId="19FA0E2D">
      <w:pPr>
        <w:autoSpaceDE w:val="0"/>
        <w:autoSpaceDN w:val="0"/>
        <w:adjustRightInd w:val="0"/>
        <w:spacing w:line="360" w:lineRule="auto"/>
        <w:ind w:firstLine="500" w:firstLineChars="200"/>
        <w:jc w:val="center"/>
        <w:rPr>
          <w:rFonts w:ascii="宋体" w:hAnsi="宋体" w:eastAsia="宋体" w:cs="宋体"/>
          <w:b/>
          <w:kern w:val="0"/>
          <w:sz w:val="24"/>
          <w:szCs w:val="24"/>
        </w:rPr>
      </w:pPr>
      <w:r>
        <w:rPr>
          <w:rFonts w:hint="eastAsia" w:ascii="宋体" w:hAnsi="宋体" w:eastAsia="宋体" w:cs="宋体"/>
          <w:b/>
          <w:kern w:val="0"/>
          <w:sz w:val="24"/>
          <w:szCs w:val="24"/>
        </w:rPr>
        <w:t>三、对科学发展观的抽象与模型化</w:t>
      </w:r>
    </w:p>
    <w:p w14:paraId="41BA97EE">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科学发展观把社会经济发展视作复杂问题来处理</w:t>
      </w:r>
      <w:r>
        <w:rPr>
          <w:rFonts w:hint="eastAsia" w:ascii="宋体" w:hAnsi="宋体" w:eastAsia="宋体" w:cs="B4+CAJ FNT00"/>
          <w:kern w:val="0"/>
          <w:szCs w:val="21"/>
        </w:rPr>
        <w:t>,</w:t>
      </w:r>
      <w:r>
        <w:rPr>
          <w:rFonts w:hint="eastAsia" w:ascii="宋体" w:hAnsi="宋体" w:eastAsia="宋体" w:cs="宋体"/>
          <w:kern w:val="0"/>
          <w:szCs w:val="21"/>
        </w:rPr>
        <w:t>强调发展的多维性和多层次性</w:t>
      </w:r>
      <w:r>
        <w:rPr>
          <w:rFonts w:hint="eastAsia" w:ascii="宋体" w:hAnsi="宋体" w:eastAsia="宋体" w:cs="B4+CAJ FNT00"/>
          <w:kern w:val="0"/>
          <w:szCs w:val="21"/>
        </w:rPr>
        <w:t>,</w:t>
      </w:r>
      <w:r>
        <w:rPr>
          <w:rFonts w:hint="eastAsia" w:ascii="宋体" w:hAnsi="宋体" w:eastAsia="宋体" w:cs="宋体"/>
          <w:kern w:val="0"/>
          <w:szCs w:val="21"/>
        </w:rPr>
        <w:t>重视发展中各种复杂的变量关系</w:t>
      </w:r>
      <w:r>
        <w:rPr>
          <w:rFonts w:hint="eastAsia" w:ascii="宋体" w:hAnsi="宋体" w:eastAsia="宋体" w:cs="B4+CAJ FNT00"/>
          <w:kern w:val="0"/>
          <w:szCs w:val="21"/>
        </w:rPr>
        <w:t>,</w:t>
      </w:r>
      <w:r>
        <w:rPr>
          <w:rFonts w:hint="eastAsia" w:ascii="宋体" w:hAnsi="宋体" w:eastAsia="宋体" w:cs="宋体"/>
          <w:kern w:val="0"/>
          <w:szCs w:val="21"/>
        </w:rPr>
        <w:t>重视发展中出现的不确定性</w:t>
      </w:r>
      <w:r>
        <w:rPr>
          <w:rFonts w:hint="eastAsia" w:ascii="宋体" w:hAnsi="宋体" w:eastAsia="宋体" w:cs="B6+cajcd fnta1"/>
          <w:kern w:val="0"/>
          <w:szCs w:val="21"/>
        </w:rPr>
        <w:t>、</w:t>
      </w:r>
      <w:r>
        <w:rPr>
          <w:rFonts w:hint="eastAsia" w:ascii="宋体" w:hAnsi="宋体" w:eastAsia="宋体" w:cs="宋体"/>
          <w:kern w:val="0"/>
          <w:szCs w:val="21"/>
        </w:rPr>
        <w:t>偶然性和不稳定性</w:t>
      </w:r>
      <w:r>
        <w:rPr>
          <w:rFonts w:hint="eastAsia" w:ascii="宋体" w:hAnsi="宋体" w:eastAsia="宋体" w:cs="B4+CAJ FNT00"/>
          <w:kern w:val="0"/>
          <w:szCs w:val="21"/>
        </w:rPr>
        <w:t>,</w:t>
      </w:r>
      <w:r>
        <w:rPr>
          <w:rFonts w:hint="eastAsia" w:ascii="宋体" w:hAnsi="宋体" w:eastAsia="宋体" w:cs="宋体"/>
          <w:kern w:val="0"/>
          <w:szCs w:val="21"/>
        </w:rPr>
        <w:t>它从系统的非线性方面对社会发展进行整体</w:t>
      </w:r>
      <w:r>
        <w:rPr>
          <w:rFonts w:hint="eastAsia" w:ascii="宋体" w:hAnsi="宋体" w:eastAsia="宋体" w:cs="B6+cajcd fnta1"/>
          <w:kern w:val="0"/>
          <w:szCs w:val="21"/>
        </w:rPr>
        <w:t>、</w:t>
      </w:r>
      <w:r>
        <w:rPr>
          <w:rFonts w:hint="eastAsia" w:ascii="宋体" w:hAnsi="宋体" w:eastAsia="宋体" w:cs="宋体"/>
          <w:kern w:val="0"/>
          <w:szCs w:val="21"/>
        </w:rPr>
        <w:t>动态考察</w:t>
      </w:r>
      <w:r>
        <w:rPr>
          <w:rFonts w:hint="eastAsia" w:ascii="宋体" w:hAnsi="宋体" w:eastAsia="宋体" w:cs="B4+CAJ FNT00"/>
          <w:kern w:val="0"/>
          <w:szCs w:val="21"/>
        </w:rPr>
        <w:t>,</w:t>
      </w:r>
      <w:r>
        <w:rPr>
          <w:rFonts w:hint="eastAsia" w:ascii="宋体" w:hAnsi="宋体" w:eastAsia="宋体" w:cs="宋体"/>
          <w:kern w:val="0"/>
          <w:szCs w:val="21"/>
        </w:rPr>
        <w:t>认为发展不是取决于哪一对矛盾的相互关系或相互作用</w:t>
      </w:r>
      <w:r>
        <w:rPr>
          <w:rFonts w:hint="eastAsia" w:ascii="宋体" w:hAnsi="宋体" w:eastAsia="宋体" w:cs="B4+CAJ FNT00"/>
          <w:kern w:val="0"/>
          <w:szCs w:val="21"/>
        </w:rPr>
        <w:t>,</w:t>
      </w:r>
      <w:r>
        <w:rPr>
          <w:rFonts w:hint="eastAsia" w:ascii="宋体" w:hAnsi="宋体" w:eastAsia="宋体" w:cs="宋体"/>
          <w:kern w:val="0"/>
          <w:szCs w:val="21"/>
        </w:rPr>
        <w:t>而是取决于系统内部各要素</w:t>
      </w:r>
      <w:r>
        <w:rPr>
          <w:rFonts w:hint="eastAsia" w:ascii="宋体" w:hAnsi="宋体" w:eastAsia="宋体" w:cs="B6+cajcd fnta1"/>
          <w:kern w:val="0"/>
          <w:szCs w:val="21"/>
        </w:rPr>
        <w:t>、</w:t>
      </w:r>
      <w:r>
        <w:rPr>
          <w:rFonts w:hint="eastAsia" w:ascii="宋体" w:hAnsi="宋体" w:eastAsia="宋体" w:cs="宋体"/>
          <w:kern w:val="0"/>
          <w:szCs w:val="21"/>
        </w:rPr>
        <w:t>系统与系统</w:t>
      </w:r>
      <w:r>
        <w:rPr>
          <w:rFonts w:hint="eastAsia" w:ascii="宋体" w:hAnsi="宋体" w:eastAsia="宋体" w:cs="B6+cajcd fnta1"/>
          <w:kern w:val="0"/>
          <w:szCs w:val="21"/>
        </w:rPr>
        <w:t>、</w:t>
      </w:r>
      <w:r>
        <w:rPr>
          <w:rFonts w:hint="eastAsia" w:ascii="宋体" w:hAnsi="宋体" w:eastAsia="宋体" w:cs="宋体"/>
          <w:kern w:val="0"/>
          <w:szCs w:val="21"/>
        </w:rPr>
        <w:t>系统与环境之间的多种复杂的非线性的相互作用及其协调祸合</w:t>
      </w:r>
      <w:r>
        <w:rPr>
          <w:rFonts w:hint="eastAsia" w:ascii="宋体" w:hAnsi="宋体" w:eastAsia="宋体" w:cs="B6+cajcd fnta1"/>
          <w:kern w:val="0"/>
          <w:szCs w:val="21"/>
        </w:rPr>
        <w:t>。</w:t>
      </w:r>
    </w:p>
    <w:p w14:paraId="0F2DD3ED">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科学发展观是一个多维的系统思想</w:t>
      </w:r>
      <w:r>
        <w:rPr>
          <w:rFonts w:hint="eastAsia" w:ascii="宋体" w:hAnsi="宋体" w:eastAsia="宋体" w:cs="B4+CAJ FNT00"/>
          <w:kern w:val="0"/>
          <w:szCs w:val="21"/>
        </w:rPr>
        <w:t>,</w:t>
      </w:r>
      <w:r>
        <w:rPr>
          <w:rFonts w:hint="eastAsia" w:ascii="宋体" w:hAnsi="宋体" w:eastAsia="宋体" w:cs="宋体"/>
          <w:kern w:val="0"/>
          <w:szCs w:val="21"/>
        </w:rPr>
        <w:t>是在多维要素的交互作用</w:t>
      </w:r>
      <w:r>
        <w:rPr>
          <w:rFonts w:hint="eastAsia" w:ascii="宋体" w:hAnsi="宋体" w:eastAsia="宋体" w:cs="B6+cajcd fnta1"/>
          <w:kern w:val="0"/>
          <w:szCs w:val="21"/>
        </w:rPr>
        <w:t>、</w:t>
      </w:r>
      <w:r>
        <w:rPr>
          <w:rFonts w:hint="eastAsia" w:ascii="宋体" w:hAnsi="宋体" w:eastAsia="宋体" w:cs="宋体"/>
          <w:kern w:val="0"/>
          <w:szCs w:val="21"/>
        </w:rPr>
        <w:t>融合</w:t>
      </w:r>
      <w:r>
        <w:rPr>
          <w:rFonts w:hint="eastAsia" w:ascii="宋体" w:hAnsi="宋体" w:eastAsia="宋体" w:cs="B6+cajcd fnta1"/>
          <w:kern w:val="0"/>
          <w:szCs w:val="21"/>
        </w:rPr>
        <w:t>、</w:t>
      </w:r>
      <w:r>
        <w:rPr>
          <w:rFonts w:hint="eastAsia" w:ascii="宋体" w:hAnsi="宋体" w:eastAsia="宋体" w:cs="宋体"/>
          <w:kern w:val="0"/>
          <w:szCs w:val="21"/>
        </w:rPr>
        <w:t>整合的有机整体</w:t>
      </w:r>
      <w:r>
        <w:rPr>
          <w:rFonts w:hint="eastAsia" w:ascii="宋体" w:hAnsi="宋体" w:eastAsia="宋体" w:cs="B6+cajcd fnta1"/>
          <w:kern w:val="0"/>
          <w:szCs w:val="21"/>
        </w:rPr>
        <w:t>"</w:t>
      </w:r>
      <w:r>
        <w:rPr>
          <w:rFonts w:hint="eastAsia" w:ascii="宋体" w:hAnsi="宋体" w:eastAsia="宋体" w:cs="宋体"/>
          <w:kern w:val="0"/>
          <w:szCs w:val="21"/>
        </w:rPr>
        <w:t>具有以下特征</w:t>
      </w:r>
      <w:r>
        <w:rPr>
          <w:rFonts w:hint="eastAsia" w:ascii="宋体" w:hAnsi="宋体" w:eastAsia="宋体" w:cs="B4+CAJ FNT00"/>
          <w:kern w:val="0"/>
          <w:szCs w:val="21"/>
        </w:rPr>
        <w:t>：</w:t>
      </w:r>
      <w:r>
        <w:rPr>
          <w:rFonts w:hint="eastAsia" w:ascii="宋体" w:hAnsi="宋体" w:eastAsia="宋体" w:cs="宋体"/>
          <w:kern w:val="0"/>
          <w:szCs w:val="21"/>
        </w:rPr>
        <w:t>一是多维性</w:t>
      </w:r>
      <w:r>
        <w:rPr>
          <w:rFonts w:hint="eastAsia" w:ascii="宋体" w:hAnsi="宋体" w:eastAsia="宋体" w:cs="B4+CAJ FNT00"/>
          <w:kern w:val="0"/>
          <w:szCs w:val="21"/>
        </w:rPr>
        <w:t>,</w:t>
      </w:r>
      <w:r>
        <w:rPr>
          <w:rFonts w:hint="eastAsia" w:ascii="宋体" w:hAnsi="宋体" w:eastAsia="宋体" w:cs="宋体"/>
          <w:kern w:val="0"/>
          <w:szCs w:val="21"/>
        </w:rPr>
        <w:t>发展是多维要素交互作用形成的合力</w:t>
      </w:r>
      <w:r>
        <w:rPr>
          <w:rFonts w:hint="eastAsia" w:ascii="宋体" w:hAnsi="宋体" w:eastAsia="宋体" w:cs="B4+CAJ FNT00"/>
          <w:kern w:val="0"/>
          <w:szCs w:val="21"/>
        </w:rPr>
        <w:t>；</w:t>
      </w:r>
      <w:r>
        <w:rPr>
          <w:rFonts w:hint="eastAsia" w:ascii="宋体" w:hAnsi="宋体" w:eastAsia="宋体" w:cs="宋体"/>
          <w:kern w:val="0"/>
          <w:szCs w:val="21"/>
        </w:rPr>
        <w:t>二是协同性</w:t>
      </w:r>
      <w:r>
        <w:rPr>
          <w:rFonts w:hint="eastAsia" w:ascii="宋体" w:hAnsi="宋体" w:eastAsia="宋体" w:cs="B6+cajcd fnta1"/>
          <w:kern w:val="0"/>
          <w:szCs w:val="21"/>
        </w:rPr>
        <w:t>。</w:t>
      </w:r>
      <w:r>
        <w:rPr>
          <w:rFonts w:hint="eastAsia" w:ascii="宋体" w:hAnsi="宋体" w:eastAsia="宋体" w:cs="宋体"/>
          <w:kern w:val="0"/>
          <w:szCs w:val="21"/>
        </w:rPr>
        <w:t>发展首先是系统与要素之间协同</w:t>
      </w:r>
      <w:r>
        <w:rPr>
          <w:rFonts w:hint="eastAsia" w:ascii="宋体" w:hAnsi="宋体" w:eastAsia="宋体" w:cs="B4+CAJ FNT00"/>
          <w:kern w:val="0"/>
          <w:szCs w:val="21"/>
        </w:rPr>
        <w:t>,</w:t>
      </w:r>
      <w:r>
        <w:rPr>
          <w:rFonts w:hint="eastAsia" w:ascii="宋体" w:hAnsi="宋体" w:eastAsia="宋体" w:cs="宋体"/>
          <w:kern w:val="0"/>
          <w:szCs w:val="21"/>
        </w:rPr>
        <w:t>系统</w:t>
      </w:r>
      <w:r>
        <w:rPr>
          <w:rFonts w:hint="eastAsia" w:ascii="宋体" w:hAnsi="宋体" w:eastAsia="宋体" w:cs="B6+cajcd fnta1"/>
          <w:kern w:val="0"/>
          <w:szCs w:val="21"/>
        </w:rPr>
        <w:t>“</w:t>
      </w:r>
      <w:r>
        <w:rPr>
          <w:rFonts w:hint="eastAsia" w:ascii="宋体" w:hAnsi="宋体" w:eastAsia="宋体" w:cs="宋体"/>
          <w:kern w:val="0"/>
          <w:szCs w:val="21"/>
        </w:rPr>
        <w:t>合力</w:t>
      </w:r>
      <w:r>
        <w:rPr>
          <w:rFonts w:hint="eastAsia" w:ascii="宋体" w:hAnsi="宋体" w:eastAsia="宋体" w:cs="B6+cajcd fnta1"/>
          <w:kern w:val="0"/>
          <w:szCs w:val="21"/>
        </w:rPr>
        <w:t>”</w:t>
      </w:r>
      <w:r>
        <w:rPr>
          <w:rFonts w:hint="eastAsia" w:ascii="宋体" w:hAnsi="宋体" w:eastAsia="宋体" w:cs="宋体"/>
          <w:kern w:val="0"/>
          <w:szCs w:val="21"/>
        </w:rPr>
        <w:t>离不开要素</w:t>
      </w:r>
      <w:r>
        <w:rPr>
          <w:rFonts w:hint="eastAsia" w:ascii="宋体" w:hAnsi="宋体" w:eastAsia="宋体" w:cs="B6+cajcd fnta1"/>
          <w:kern w:val="0"/>
          <w:szCs w:val="21"/>
        </w:rPr>
        <w:t>“</w:t>
      </w:r>
      <w:r>
        <w:rPr>
          <w:rFonts w:hint="eastAsia" w:ascii="宋体" w:hAnsi="宋体" w:eastAsia="宋体" w:cs="宋体"/>
          <w:kern w:val="0"/>
          <w:szCs w:val="21"/>
        </w:rPr>
        <w:t>分力</w:t>
      </w:r>
      <w:r>
        <w:rPr>
          <w:rFonts w:hint="eastAsia" w:ascii="宋体" w:hAnsi="宋体" w:eastAsia="宋体" w:cs="B6+cajcd fnta1"/>
          <w:kern w:val="0"/>
          <w:szCs w:val="21"/>
        </w:rPr>
        <w:t>”</w:t>
      </w:r>
      <w:r>
        <w:rPr>
          <w:rFonts w:hint="eastAsia" w:ascii="宋体" w:hAnsi="宋体" w:eastAsia="宋体" w:cs="B4+CAJ FNT00"/>
          <w:kern w:val="0"/>
          <w:szCs w:val="21"/>
        </w:rPr>
        <w:t>,</w:t>
      </w:r>
      <w:r>
        <w:rPr>
          <w:rFonts w:hint="eastAsia" w:ascii="宋体" w:hAnsi="宋体" w:eastAsia="宋体" w:cs="B6+cajcd fnta1"/>
          <w:kern w:val="0"/>
          <w:szCs w:val="21"/>
        </w:rPr>
        <w:t>“</w:t>
      </w:r>
      <w:r>
        <w:rPr>
          <w:rFonts w:hint="eastAsia" w:ascii="宋体" w:hAnsi="宋体" w:eastAsia="宋体" w:cs="宋体"/>
          <w:kern w:val="0"/>
          <w:szCs w:val="21"/>
        </w:rPr>
        <w:t>分力</w:t>
      </w:r>
      <w:r>
        <w:rPr>
          <w:rFonts w:hint="eastAsia" w:ascii="宋体" w:hAnsi="宋体" w:eastAsia="宋体" w:cs="B6+cajcd fnta1"/>
          <w:kern w:val="0"/>
          <w:szCs w:val="21"/>
        </w:rPr>
        <w:t>”</w:t>
      </w:r>
      <w:r>
        <w:rPr>
          <w:rFonts w:hint="eastAsia" w:ascii="宋体" w:hAnsi="宋体" w:eastAsia="宋体" w:cs="宋体"/>
          <w:kern w:val="0"/>
          <w:szCs w:val="21"/>
        </w:rPr>
        <w:t>融合成系统</w:t>
      </w:r>
      <w:r>
        <w:rPr>
          <w:rFonts w:hint="eastAsia" w:ascii="宋体" w:hAnsi="宋体" w:eastAsia="宋体" w:cs="B6+cajcd fnta1"/>
          <w:kern w:val="0"/>
          <w:szCs w:val="21"/>
        </w:rPr>
        <w:t>“</w:t>
      </w:r>
      <w:r>
        <w:rPr>
          <w:rFonts w:hint="eastAsia" w:ascii="宋体" w:hAnsi="宋体" w:eastAsia="宋体" w:cs="宋体"/>
          <w:kern w:val="0"/>
          <w:szCs w:val="21"/>
        </w:rPr>
        <w:t>合力</w:t>
      </w:r>
      <w:r>
        <w:rPr>
          <w:rFonts w:hint="eastAsia" w:ascii="宋体" w:hAnsi="宋体" w:eastAsia="宋体" w:cs="B6+cajcd fnta1"/>
          <w:kern w:val="0"/>
          <w:szCs w:val="21"/>
        </w:rPr>
        <w:t>”；</w:t>
      </w:r>
      <w:r>
        <w:rPr>
          <w:rFonts w:hint="eastAsia" w:ascii="宋体" w:hAnsi="宋体" w:eastAsia="宋体" w:cs="宋体"/>
          <w:kern w:val="0"/>
          <w:szCs w:val="21"/>
        </w:rPr>
        <w:t>其次</w:t>
      </w:r>
      <w:r>
        <w:rPr>
          <w:rFonts w:hint="eastAsia" w:ascii="宋体" w:hAnsi="宋体" w:eastAsia="宋体" w:cs="B4+CAJ FNT00"/>
          <w:kern w:val="0"/>
          <w:szCs w:val="21"/>
        </w:rPr>
        <w:t>,</w:t>
      </w:r>
      <w:r>
        <w:rPr>
          <w:rFonts w:hint="eastAsia" w:ascii="宋体" w:hAnsi="宋体" w:eastAsia="宋体" w:cs="宋体"/>
          <w:kern w:val="0"/>
          <w:szCs w:val="21"/>
        </w:rPr>
        <w:t>发展要素之间的依存性增强</w:t>
      </w:r>
      <w:r>
        <w:rPr>
          <w:rFonts w:hint="eastAsia" w:ascii="宋体" w:hAnsi="宋体" w:eastAsia="宋体" w:cs="B4+CAJ FNT00"/>
          <w:kern w:val="0"/>
          <w:szCs w:val="21"/>
        </w:rPr>
        <w:t>；</w:t>
      </w:r>
      <w:r>
        <w:rPr>
          <w:rFonts w:hint="eastAsia" w:ascii="宋体" w:hAnsi="宋体" w:eastAsia="宋体" w:cs="宋体"/>
          <w:kern w:val="0"/>
          <w:szCs w:val="21"/>
        </w:rPr>
        <w:t>最后</w:t>
      </w:r>
      <w:r>
        <w:rPr>
          <w:rFonts w:hint="eastAsia" w:ascii="宋体" w:hAnsi="宋体" w:eastAsia="宋体" w:cs="B4+CAJ FNT00"/>
          <w:kern w:val="0"/>
          <w:szCs w:val="21"/>
        </w:rPr>
        <w:t>,</w:t>
      </w:r>
      <w:r>
        <w:rPr>
          <w:rFonts w:hint="eastAsia" w:ascii="宋体" w:hAnsi="宋体" w:eastAsia="宋体" w:cs="宋体"/>
          <w:kern w:val="0"/>
          <w:szCs w:val="21"/>
        </w:rPr>
        <w:t>系统与系统环境的协同</w:t>
      </w:r>
      <w:r>
        <w:rPr>
          <w:rFonts w:hint="eastAsia" w:ascii="宋体" w:hAnsi="宋体" w:eastAsia="宋体" w:cs="B4+CAJ FNT00"/>
          <w:kern w:val="0"/>
          <w:szCs w:val="21"/>
        </w:rPr>
        <w:t>,</w:t>
      </w:r>
      <w:r>
        <w:rPr>
          <w:rFonts w:hint="eastAsia" w:ascii="宋体" w:hAnsi="宋体" w:eastAsia="宋体" w:cs="宋体"/>
          <w:kern w:val="0"/>
          <w:szCs w:val="21"/>
        </w:rPr>
        <w:t>系统受环境制约又制约着环境</w:t>
      </w:r>
      <w:r>
        <w:rPr>
          <w:rFonts w:hint="eastAsia" w:ascii="宋体" w:hAnsi="宋体" w:eastAsia="宋体" w:cs="B4+CAJ FNT00"/>
          <w:kern w:val="0"/>
          <w:szCs w:val="21"/>
        </w:rPr>
        <w:t>,</w:t>
      </w:r>
      <w:r>
        <w:rPr>
          <w:rFonts w:hint="eastAsia" w:ascii="宋体" w:hAnsi="宋体" w:eastAsia="宋体" w:cs="宋体"/>
          <w:kern w:val="0"/>
          <w:szCs w:val="21"/>
        </w:rPr>
        <w:t>在双向互动中协同发展</w:t>
      </w:r>
      <w:r>
        <w:rPr>
          <w:rFonts w:hint="eastAsia" w:ascii="宋体" w:hAnsi="宋体" w:eastAsia="宋体" w:cs="B4+CAJ FNT00"/>
          <w:kern w:val="0"/>
          <w:szCs w:val="21"/>
        </w:rPr>
        <w:t>,</w:t>
      </w:r>
      <w:r>
        <w:rPr>
          <w:rFonts w:hint="eastAsia" w:ascii="宋体" w:hAnsi="宋体" w:eastAsia="宋体" w:cs="宋体"/>
          <w:kern w:val="0"/>
          <w:szCs w:val="21"/>
        </w:rPr>
        <w:t>成为发展的机制</w:t>
      </w:r>
      <w:r>
        <w:rPr>
          <w:rFonts w:hint="eastAsia" w:ascii="宋体" w:hAnsi="宋体" w:eastAsia="宋体" w:cs="B4+CAJ FNT00"/>
          <w:kern w:val="0"/>
          <w:szCs w:val="21"/>
        </w:rPr>
        <w:t>；</w:t>
      </w:r>
      <w:r>
        <w:rPr>
          <w:rFonts w:hint="eastAsia" w:ascii="宋体" w:hAnsi="宋体" w:eastAsia="宋体" w:cs="宋体"/>
          <w:kern w:val="0"/>
          <w:szCs w:val="21"/>
        </w:rPr>
        <w:t>三是开放性</w:t>
      </w:r>
      <w:r>
        <w:rPr>
          <w:rFonts w:hint="eastAsia" w:ascii="宋体" w:hAnsi="宋体" w:eastAsia="宋体" w:cs="B4+CAJ FNT00"/>
          <w:kern w:val="0"/>
          <w:szCs w:val="21"/>
        </w:rPr>
        <w:t>,</w:t>
      </w:r>
      <w:r>
        <w:rPr>
          <w:rFonts w:hint="eastAsia" w:ascii="宋体" w:hAnsi="宋体" w:eastAsia="宋体" w:cs="宋体"/>
          <w:kern w:val="0"/>
          <w:szCs w:val="21"/>
        </w:rPr>
        <w:t>全球化和网络化</w:t>
      </w:r>
      <w:r>
        <w:rPr>
          <w:rFonts w:hint="eastAsia" w:ascii="宋体" w:hAnsi="宋体" w:eastAsia="宋体" w:cs="B4+CAJ FNT00"/>
          <w:kern w:val="0"/>
          <w:szCs w:val="21"/>
        </w:rPr>
        <w:t>,</w:t>
      </w:r>
      <w:r>
        <w:rPr>
          <w:rFonts w:hint="eastAsia" w:ascii="宋体" w:hAnsi="宋体" w:eastAsia="宋体" w:cs="宋体"/>
          <w:kern w:val="0"/>
          <w:szCs w:val="21"/>
        </w:rPr>
        <w:t>增强了人类社会的关联性</w:t>
      </w:r>
      <w:r>
        <w:rPr>
          <w:rFonts w:hint="eastAsia" w:ascii="宋体" w:hAnsi="宋体" w:eastAsia="宋体" w:cs="B4+CAJ FNT00"/>
          <w:kern w:val="0"/>
          <w:szCs w:val="21"/>
        </w:rPr>
        <w:t>,</w:t>
      </w:r>
      <w:r>
        <w:rPr>
          <w:rFonts w:hint="eastAsia" w:ascii="宋体" w:hAnsi="宋体" w:eastAsia="宋体" w:cs="宋体"/>
          <w:kern w:val="0"/>
          <w:szCs w:val="21"/>
        </w:rPr>
        <w:t>任何一个系统和要素都不能独立于网络之外</w:t>
      </w:r>
      <w:r>
        <w:rPr>
          <w:rFonts w:hint="eastAsia" w:ascii="宋体" w:hAnsi="宋体" w:eastAsia="宋体" w:cs="B4+CAJ FNT00"/>
          <w:kern w:val="0"/>
          <w:szCs w:val="21"/>
        </w:rPr>
        <w:t>,</w:t>
      </w:r>
      <w:r>
        <w:rPr>
          <w:rFonts w:hint="eastAsia" w:ascii="宋体" w:hAnsi="宋体" w:eastAsia="宋体" w:cs="宋体"/>
          <w:kern w:val="0"/>
          <w:szCs w:val="21"/>
        </w:rPr>
        <w:t>这就决定了世界的开放性</w:t>
      </w:r>
      <w:r>
        <w:rPr>
          <w:rFonts w:hint="eastAsia" w:ascii="宋体" w:hAnsi="宋体" w:eastAsia="宋体" w:cs="B4+CAJ FNT00"/>
          <w:kern w:val="0"/>
          <w:szCs w:val="21"/>
        </w:rPr>
        <w:t>；</w:t>
      </w:r>
      <w:r>
        <w:rPr>
          <w:rFonts w:hint="eastAsia" w:ascii="宋体" w:hAnsi="宋体" w:eastAsia="宋体" w:cs="宋体"/>
          <w:kern w:val="0"/>
          <w:szCs w:val="21"/>
        </w:rPr>
        <w:t>四是综合性</w:t>
      </w:r>
      <w:r>
        <w:rPr>
          <w:rFonts w:hint="eastAsia" w:ascii="宋体" w:hAnsi="宋体" w:eastAsia="宋体" w:cs="B4+CAJ FNT00"/>
          <w:kern w:val="0"/>
          <w:szCs w:val="21"/>
        </w:rPr>
        <w:t>,</w:t>
      </w:r>
      <w:r>
        <w:rPr>
          <w:rFonts w:hint="eastAsia" w:ascii="宋体" w:hAnsi="宋体" w:eastAsia="宋体" w:cs="宋体"/>
          <w:kern w:val="0"/>
          <w:szCs w:val="21"/>
        </w:rPr>
        <w:t>系统是各个要素有机联系的整体</w:t>
      </w:r>
      <w:r>
        <w:rPr>
          <w:rFonts w:hint="eastAsia" w:ascii="宋体" w:hAnsi="宋体" w:eastAsia="宋体" w:cs="B4+CAJ FNT00"/>
          <w:kern w:val="0"/>
          <w:szCs w:val="21"/>
        </w:rPr>
        <w:t>,</w:t>
      </w:r>
      <w:r>
        <w:rPr>
          <w:rFonts w:hint="eastAsia" w:ascii="宋体" w:hAnsi="宋体" w:eastAsia="宋体" w:cs="宋体"/>
          <w:kern w:val="0"/>
          <w:szCs w:val="21"/>
        </w:rPr>
        <w:t>整体的功能不是各要素功能简单叠加</w:t>
      </w:r>
      <w:r>
        <w:rPr>
          <w:rFonts w:hint="eastAsia" w:ascii="宋体" w:hAnsi="宋体" w:eastAsia="宋体" w:cs="B4+CAJ FNT00"/>
          <w:kern w:val="0"/>
          <w:szCs w:val="21"/>
        </w:rPr>
        <w:t>,</w:t>
      </w:r>
      <w:r>
        <w:rPr>
          <w:rFonts w:hint="eastAsia" w:ascii="宋体" w:hAnsi="宋体" w:eastAsia="宋体" w:cs="宋体"/>
          <w:kern w:val="0"/>
          <w:szCs w:val="21"/>
        </w:rPr>
        <w:t>发展的根本途径是社会系统的综合</w:t>
      </w:r>
      <w:r>
        <w:rPr>
          <w:rFonts w:hint="eastAsia" w:ascii="宋体" w:hAnsi="宋体" w:eastAsia="宋体" w:cs="B6+cajcd fnta1"/>
          <w:kern w:val="0"/>
          <w:szCs w:val="21"/>
        </w:rPr>
        <w:t>、</w:t>
      </w:r>
      <w:r>
        <w:rPr>
          <w:rFonts w:hint="eastAsia" w:ascii="宋体" w:hAnsi="宋体" w:eastAsia="宋体" w:cs="宋体"/>
          <w:kern w:val="0"/>
          <w:szCs w:val="21"/>
        </w:rPr>
        <w:t>整合</w:t>
      </w:r>
      <w:r>
        <w:rPr>
          <w:rFonts w:hint="eastAsia" w:ascii="宋体" w:hAnsi="宋体" w:eastAsia="宋体" w:cs="B4+CAJ FNT00"/>
          <w:kern w:val="0"/>
          <w:szCs w:val="21"/>
        </w:rPr>
        <w:t>,</w:t>
      </w:r>
      <w:r>
        <w:rPr>
          <w:rFonts w:hint="eastAsia" w:ascii="宋体" w:hAnsi="宋体" w:eastAsia="宋体" w:cs="宋体"/>
          <w:kern w:val="0"/>
          <w:szCs w:val="21"/>
        </w:rPr>
        <w:t>寻求整体最优化</w:t>
      </w:r>
      <w:r>
        <w:rPr>
          <w:rFonts w:hint="eastAsia" w:ascii="宋体" w:hAnsi="宋体" w:eastAsia="宋体" w:cs="B6+cajcd fnta1"/>
          <w:kern w:val="0"/>
          <w:szCs w:val="21"/>
        </w:rPr>
        <w:t>。</w:t>
      </w:r>
    </w:p>
    <w:p w14:paraId="7310F418">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如果我们把科学发展观进行高度的抽象</w:t>
      </w:r>
      <w:r>
        <w:rPr>
          <w:rFonts w:hint="eastAsia" w:ascii="宋体" w:hAnsi="宋体" w:eastAsia="宋体" w:cs="B4+CAJ FNT00"/>
          <w:kern w:val="0"/>
          <w:szCs w:val="21"/>
        </w:rPr>
        <w:t>,</w:t>
      </w:r>
      <w:r>
        <w:rPr>
          <w:rFonts w:hint="eastAsia" w:ascii="宋体" w:hAnsi="宋体" w:eastAsia="宋体" w:cs="宋体"/>
          <w:kern w:val="0"/>
          <w:szCs w:val="21"/>
        </w:rPr>
        <w:t>其实质是要解决一个和谐问题</w:t>
      </w:r>
      <w:r>
        <w:rPr>
          <w:rFonts w:hint="eastAsia" w:ascii="宋体" w:hAnsi="宋体" w:eastAsia="宋体" w:cs="B4+CAJ FNT00"/>
          <w:kern w:val="0"/>
          <w:szCs w:val="21"/>
        </w:rPr>
        <w:t>,</w:t>
      </w:r>
      <w:r>
        <w:rPr>
          <w:rFonts w:hint="eastAsia" w:ascii="宋体" w:hAnsi="宋体" w:eastAsia="宋体" w:cs="宋体"/>
          <w:kern w:val="0"/>
          <w:szCs w:val="21"/>
        </w:rPr>
        <w:t>包括两个方面</w:t>
      </w:r>
      <w:r>
        <w:rPr>
          <w:rFonts w:hint="eastAsia" w:ascii="宋体" w:hAnsi="宋体" w:eastAsia="宋体" w:cs="B4+CAJ FNT00"/>
          <w:kern w:val="0"/>
          <w:szCs w:val="21"/>
        </w:rPr>
        <w:t>,</w:t>
      </w:r>
      <w:r>
        <w:rPr>
          <w:rFonts w:hint="eastAsia" w:ascii="宋体" w:hAnsi="宋体" w:eastAsia="宋体" w:cs="宋体"/>
          <w:kern w:val="0"/>
          <w:szCs w:val="21"/>
        </w:rPr>
        <w:t>一个是以人和为人类活动以及由此产生的经济社会关系为核心的社会经济系统内部的和谐</w:t>
      </w:r>
      <w:r>
        <w:rPr>
          <w:rFonts w:hint="eastAsia" w:ascii="宋体" w:hAnsi="宋体" w:eastAsia="宋体" w:cs="B4+CAJ FNT00"/>
          <w:kern w:val="0"/>
          <w:szCs w:val="21"/>
        </w:rPr>
        <w:t>,</w:t>
      </w:r>
      <w:r>
        <w:rPr>
          <w:rFonts w:hint="eastAsia" w:ascii="宋体" w:hAnsi="宋体" w:eastAsia="宋体" w:cs="宋体"/>
          <w:kern w:val="0"/>
          <w:szCs w:val="21"/>
        </w:rPr>
        <w:t>也就是以一定的发展成果为基础</w:t>
      </w:r>
      <w:r>
        <w:rPr>
          <w:rFonts w:hint="eastAsia" w:ascii="宋体" w:hAnsi="宋体" w:eastAsia="宋体" w:cs="B4+CAJ FNT00"/>
          <w:kern w:val="0"/>
          <w:szCs w:val="21"/>
        </w:rPr>
        <w:t>,</w:t>
      </w:r>
      <w:r>
        <w:rPr>
          <w:rFonts w:hint="eastAsia" w:ascii="宋体" w:hAnsi="宋体" w:eastAsia="宋体" w:cs="宋体"/>
          <w:kern w:val="0"/>
          <w:szCs w:val="21"/>
        </w:rPr>
        <w:t>每个人公平</w:t>
      </w:r>
      <w:r>
        <w:rPr>
          <w:rFonts w:hint="eastAsia" w:ascii="宋体" w:hAnsi="宋体" w:eastAsia="宋体" w:cs="B4+CAJ FNT00"/>
          <w:kern w:val="0"/>
          <w:szCs w:val="21"/>
        </w:rPr>
        <w:t>(</w:t>
      </w:r>
      <w:r>
        <w:rPr>
          <w:rFonts w:hint="eastAsia" w:ascii="宋体" w:hAnsi="宋体" w:eastAsia="宋体" w:cs="宋体"/>
          <w:kern w:val="0"/>
          <w:szCs w:val="21"/>
        </w:rPr>
        <w:t>不是平均</w:t>
      </w:r>
      <w:r>
        <w:rPr>
          <w:rFonts w:hint="eastAsia" w:ascii="宋体" w:hAnsi="宋体" w:eastAsia="宋体" w:cs="B4+CAJ FNT00"/>
          <w:kern w:val="0"/>
          <w:szCs w:val="21"/>
        </w:rPr>
        <w:t>)</w:t>
      </w:r>
      <w:r>
        <w:rPr>
          <w:rFonts w:hint="eastAsia" w:ascii="宋体" w:hAnsi="宋体" w:eastAsia="宋体" w:cs="宋体"/>
          <w:kern w:val="0"/>
          <w:szCs w:val="21"/>
        </w:rPr>
        <w:t>分享社会发展成果的机会和权利</w:t>
      </w:r>
      <w:r>
        <w:rPr>
          <w:rFonts w:hint="eastAsia" w:ascii="宋体" w:hAnsi="宋体" w:eastAsia="宋体" w:cs="B4+CAJ FNT00"/>
          <w:kern w:val="0"/>
          <w:szCs w:val="21"/>
        </w:rPr>
        <w:t>,</w:t>
      </w:r>
      <w:r>
        <w:rPr>
          <w:rFonts w:hint="eastAsia" w:ascii="宋体" w:hAnsi="宋体" w:eastAsia="宋体" w:cs="宋体"/>
          <w:kern w:val="0"/>
          <w:szCs w:val="21"/>
        </w:rPr>
        <w:t>包括区域协调问题</w:t>
      </w:r>
      <w:r>
        <w:rPr>
          <w:rFonts w:hint="eastAsia" w:ascii="宋体" w:hAnsi="宋体" w:eastAsia="宋体" w:cs="B4+CAJ FNT00"/>
          <w:kern w:val="0"/>
          <w:szCs w:val="21"/>
        </w:rPr>
        <w:t>,</w:t>
      </w:r>
      <w:r>
        <w:rPr>
          <w:rFonts w:hint="eastAsia" w:ascii="宋体" w:hAnsi="宋体" w:eastAsia="宋体" w:cs="宋体"/>
          <w:kern w:val="0"/>
          <w:szCs w:val="21"/>
        </w:rPr>
        <w:t>国内与国外的问题本质上都属于社会经济系统内部协调的范围</w:t>
      </w:r>
      <w:r>
        <w:rPr>
          <w:rFonts w:hint="eastAsia" w:ascii="宋体" w:hAnsi="宋体" w:eastAsia="宋体" w:cs="B6+cajcd fnta1"/>
          <w:kern w:val="0"/>
          <w:szCs w:val="21"/>
        </w:rPr>
        <w:t>。</w:t>
      </w:r>
      <w:r>
        <w:rPr>
          <w:rFonts w:hint="eastAsia" w:ascii="宋体" w:hAnsi="宋体" w:eastAsia="宋体" w:cs="宋体"/>
          <w:kern w:val="0"/>
          <w:szCs w:val="21"/>
        </w:rPr>
        <w:t>另一方面,社会经济系统内部的和谐必须以其赖以存在的环境安全(生态安全)作为前提条件,没有环境安全或生态安全,以人为中心的社会经济系统的内部和谐就不可能实现(5.12大地震就是一个最好的佐证,还有现在形形色色的环境生态危机事件充分说明了这一点),这就是要处理好人与自然的和谐,也就是以人为中心的社会经济系统与自然生态系统的和谐</w:t>
      </w:r>
      <w:r>
        <w:rPr>
          <w:rFonts w:hint="eastAsia" w:ascii="宋体" w:hAnsi="宋体" w:eastAsia="宋体" w:cs="B6+cajcd fnta1"/>
          <w:kern w:val="0"/>
          <w:szCs w:val="21"/>
        </w:rPr>
        <w:t>。</w:t>
      </w:r>
      <w:r>
        <w:rPr>
          <w:rFonts w:hint="eastAsia" w:ascii="宋体" w:hAnsi="宋体" w:eastAsia="宋体" w:cs="宋体"/>
          <w:kern w:val="0"/>
          <w:szCs w:val="21"/>
        </w:rPr>
        <w:t>由此我们可以据此建立一个关于科学发展观的二维模型</w:t>
      </w:r>
      <w:r>
        <w:rPr>
          <w:rFonts w:hint="eastAsia" w:ascii="宋体" w:hAnsi="宋体" w:eastAsia="宋体" w:cs="B6+cajcd fnta1"/>
          <w:kern w:val="0"/>
          <w:szCs w:val="21"/>
        </w:rPr>
        <w:t>。</w:t>
      </w:r>
      <w:r>
        <w:rPr>
          <w:rFonts w:hint="eastAsia" w:ascii="宋体" w:hAnsi="宋体" w:eastAsia="宋体" w:cs="宋体"/>
          <w:kern w:val="0"/>
          <w:szCs w:val="21"/>
        </w:rPr>
        <w:t>设</w:t>
      </w:r>
      <w:r>
        <w:rPr>
          <w:rFonts w:ascii="Times New Roman" w:hAnsi="Times New Roman" w:eastAsia="宋体" w:cs="Times New Roman"/>
          <w:position w:val="-10"/>
          <w:szCs w:val="24"/>
        </w:rPr>
        <w:object>
          <v:shape id="_x0000_i1201" o:spt="75" type="#_x0000_t75" style="height:13.5pt;width:10.9pt;" o:ole="t" filled="f" o:preferrelative="t" stroked="f" coordsize="21600,21600">
            <v:path/>
            <v:fill on="f" focussize="0,0"/>
            <v:stroke on="f" joinstyle="miter"/>
            <v:imagedata r:id="rId121" o:title=""/>
            <o:lock v:ext="edit" aspectratio="t"/>
            <w10:wrap type="none"/>
            <w10:anchorlock/>
          </v:shape>
          <o:OLEObject Type="Embed" ProgID="Equation.3" ShapeID="_x0000_i1201" DrawAspect="Content" ObjectID="_1468075776" r:id="rId120">
            <o:LockedField>false</o:LockedField>
          </o:OLEObject>
        </w:object>
      </w:r>
      <w:r>
        <w:rPr>
          <w:rFonts w:hint="eastAsia" w:ascii="宋体" w:hAnsi="宋体" w:eastAsia="宋体" w:cs="宋体"/>
          <w:kern w:val="0"/>
          <w:szCs w:val="21"/>
        </w:rPr>
        <w:t>表示科学发展观的目标,</w:t>
      </w:r>
      <w:r>
        <w:rPr>
          <w:rFonts w:ascii="Times New Roman" w:hAnsi="Times New Roman" w:eastAsia="宋体" w:cs="Times New Roman"/>
          <w:position w:val="-6"/>
          <w:szCs w:val="24"/>
        </w:rPr>
        <w:object>
          <v:shape id="_x0000_i1202" o:spt="75" type="#_x0000_t75" style="height:10.9pt;width:11.65pt;" o:ole="t" filled="f" o:preferrelative="t" stroked="f" coordsize="21600,21600">
            <v:path/>
            <v:fill on="f" focussize="0,0"/>
            <v:stroke on="f" joinstyle="miter"/>
            <v:imagedata r:id="rId123" o:title=""/>
            <o:lock v:ext="edit" aspectratio="t"/>
            <w10:wrap type="none"/>
            <w10:anchorlock/>
          </v:shape>
          <o:OLEObject Type="Embed" ProgID="Equation.3" ShapeID="_x0000_i1202" DrawAspect="Content" ObjectID="_1468075777" r:id="rId122">
            <o:LockedField>false</o:LockedField>
          </o:OLEObject>
        </w:object>
      </w:r>
      <w:r>
        <w:rPr>
          <w:rFonts w:hint="eastAsia" w:ascii="宋体" w:hAnsi="宋体" w:eastAsia="宋体" w:cs="宋体"/>
          <w:kern w:val="0"/>
          <w:szCs w:val="21"/>
        </w:rPr>
        <w:t>表示以人为中心的社会经济系统的内部和谐度，</w:t>
      </w:r>
      <w:r>
        <w:rPr>
          <w:rFonts w:ascii="Times New Roman" w:hAnsi="Times New Roman" w:eastAsia="宋体" w:cs="Times New Roman"/>
          <w:position w:val="-10"/>
          <w:szCs w:val="24"/>
        </w:rPr>
        <w:object>
          <v:shape id="_x0000_i1203" o:spt="75" type="#_x0000_t75" style="height:16.15pt;width:11.65pt;" o:ole="t" filled="f" o:preferrelative="t" stroked="f" coordsize="21600,21600">
            <v:path/>
            <v:fill on="f" focussize="0,0"/>
            <v:stroke on="f" joinstyle="miter"/>
            <v:imagedata r:id="rId125" o:title=""/>
            <o:lock v:ext="edit" aspectratio="t"/>
            <w10:wrap type="none"/>
            <w10:anchorlock/>
          </v:shape>
          <o:OLEObject Type="Embed" ProgID="Equation.3" ShapeID="_x0000_i1203" DrawAspect="Content" ObjectID="_1468075778" r:id="rId124">
            <o:LockedField>false</o:LockedField>
          </o:OLEObject>
        </w:object>
      </w:r>
      <w:r>
        <w:rPr>
          <w:rFonts w:hint="eastAsia" w:ascii="宋体" w:hAnsi="宋体" w:eastAsia="宋体" w:cs="宋体"/>
          <w:kern w:val="0"/>
          <w:szCs w:val="21"/>
        </w:rPr>
        <w:t>表示人与自然的和谐度,</w:t>
      </w:r>
      <w:r>
        <w:rPr>
          <w:rFonts w:ascii="Times New Roman" w:hAnsi="Times New Roman" w:eastAsia="宋体" w:cs="Times New Roman"/>
          <w:position w:val="-6"/>
          <w:szCs w:val="24"/>
        </w:rPr>
        <w:object>
          <v:shape id="_x0000_i1204" o:spt="75" type="#_x0000_t75" style="height:14.65pt;width:10.9pt;" o:ole="t" filled="f" o:preferrelative="t" stroked="f" coordsize="21600,21600">
            <v:path/>
            <v:fill on="f" focussize="0,0"/>
            <v:stroke on="f" joinstyle="miter"/>
            <v:imagedata r:id="rId127" o:title=""/>
            <o:lock v:ext="edit" aspectratio="t"/>
            <w10:wrap type="none"/>
            <w10:anchorlock/>
          </v:shape>
          <o:OLEObject Type="Embed" ProgID="Equation.3" ShapeID="_x0000_i1204" DrawAspect="Content" ObjectID="_1468075779" r:id="rId126">
            <o:LockedField>false</o:LockedField>
          </o:OLEObject>
        </w:object>
      </w:r>
      <w:r>
        <w:rPr>
          <w:rFonts w:hint="eastAsia" w:ascii="宋体" w:hAnsi="宋体" w:eastAsia="宋体" w:cs="宋体"/>
          <w:kern w:val="0"/>
          <w:szCs w:val="21"/>
        </w:rPr>
        <w:t>表示环境安全,则这个模型可以用下列数学表达式进行描述：目标函数：</w:t>
      </w:r>
      <w:r>
        <w:rPr>
          <w:rFonts w:hint="eastAsia" w:ascii="宋体" w:hAnsi="宋体" w:eastAsia="宋体" w:cs="宋体"/>
          <w:kern w:val="0"/>
          <w:position w:val="-10"/>
          <w:szCs w:val="21"/>
        </w:rPr>
        <w:object>
          <v:shape id="_x0000_i1205" o:spt="75" type="#_x0000_t75" style="height:16.15pt;width:85.5pt;" o:ole="t" filled="f" o:preferrelative="t" stroked="f" coordsize="21600,21600">
            <v:path/>
            <v:fill on="f" focussize="0,0"/>
            <v:stroke on="f" joinstyle="miter"/>
            <v:imagedata r:id="rId129" o:title=""/>
            <o:lock v:ext="edit" aspectratio="t"/>
            <w10:wrap type="none"/>
            <w10:anchorlock/>
          </v:shape>
          <o:OLEObject Type="Embed" ProgID="Equation.3" ShapeID="_x0000_i1205" DrawAspect="Content" ObjectID="_1468075780" r:id="rId128">
            <o:LockedField>false</o:LockedField>
          </o:OLEObject>
        </w:object>
      </w:r>
      <w:r>
        <w:rPr>
          <w:rFonts w:hint="eastAsia" w:ascii="宋体" w:hAnsi="宋体" w:eastAsia="宋体" w:cs="宋体"/>
          <w:kern w:val="0"/>
          <w:szCs w:val="21"/>
        </w:rPr>
        <w:t>约束条件：</w:t>
      </w:r>
      <w:r>
        <w:rPr>
          <w:rFonts w:hint="eastAsia" w:ascii="宋体" w:hAnsi="宋体" w:eastAsia="宋体" w:cs="宋体"/>
          <w:kern w:val="0"/>
          <w:position w:val="-6"/>
          <w:szCs w:val="21"/>
        </w:rPr>
        <w:object>
          <v:shape id="_x0000_i1206" o:spt="75" type="#_x0000_t75" style="height:14.65pt;width:10.9pt;" o:ole="t" filled="f" o:preferrelative="t" stroked="f" coordsize="21600,21600">
            <v:path/>
            <v:fill on="f" focussize="0,0"/>
            <v:stroke on="f" joinstyle="miter"/>
            <v:imagedata r:id="rId131" o:title=""/>
            <o:lock v:ext="edit" aspectratio="t"/>
            <w10:wrap type="none"/>
            <w10:anchorlock/>
          </v:shape>
          <o:OLEObject Type="Embed" ProgID="Equation.3" ShapeID="_x0000_i1206" DrawAspect="Content" ObjectID="_1468075781" r:id="rId130">
            <o:LockedField>false</o:LockedField>
          </o:OLEObject>
        </w:object>
      </w:r>
      <w:r>
        <w:rPr>
          <w:rFonts w:hint="eastAsia" w:ascii="宋体" w:hAnsi="宋体" w:eastAsia="宋体" w:cs="宋体"/>
          <w:kern w:val="0"/>
          <w:szCs w:val="21"/>
        </w:rPr>
        <w:t>要实践科学发展观,使科学发展观真正由理论转化成人类的自觉行动</w:t>
      </w:r>
      <w:r>
        <w:rPr>
          <w:rFonts w:hint="eastAsia" w:ascii="宋体" w:hAnsi="宋体" w:eastAsia="宋体" w:cs="B6+cajcd fnta1"/>
          <w:kern w:val="0"/>
          <w:szCs w:val="21"/>
        </w:rPr>
        <w:t>。</w:t>
      </w:r>
      <w:r>
        <w:rPr>
          <w:rFonts w:hint="eastAsia" w:ascii="宋体" w:hAnsi="宋体" w:eastAsia="宋体" w:cs="宋体"/>
          <w:kern w:val="0"/>
          <w:szCs w:val="21"/>
        </w:rPr>
        <w:t>建立体现科学发展观要求的经济社会综合评价体系是科学发展观由理论到实践的纽带,为此,建立关于科学发展观的逻辑体系是必要的</w:t>
      </w:r>
      <w:r>
        <w:rPr>
          <w:rFonts w:hint="eastAsia" w:ascii="宋体" w:hAnsi="宋体" w:eastAsia="宋体" w:cs="B6+cajcd fnta1"/>
          <w:kern w:val="0"/>
          <w:szCs w:val="21"/>
        </w:rPr>
        <w:t>。</w:t>
      </w:r>
      <w:r>
        <w:rPr>
          <w:rFonts w:hint="eastAsia" w:ascii="宋体" w:hAnsi="宋体" w:eastAsia="宋体" w:cs="宋体"/>
          <w:kern w:val="0"/>
          <w:szCs w:val="21"/>
        </w:rPr>
        <w:t>设</w:t>
      </w:r>
      <w:r>
        <w:rPr>
          <w:rFonts w:hint="eastAsia" w:ascii="宋体" w:hAnsi="宋体" w:eastAsia="宋体" w:cs="宋体"/>
          <w:kern w:val="0"/>
          <w:position w:val="-12"/>
          <w:szCs w:val="21"/>
        </w:rPr>
        <w:object>
          <v:shape id="_x0000_i1207" o:spt="75" type="#_x0000_t75" style="height:18.4pt;width:11.65pt;" o:ole="t" filled="f" o:preferrelative="t" stroked="f" coordsize="21600,21600">
            <v:path/>
            <v:fill on="f" focussize="0,0"/>
            <v:stroke on="f" joinstyle="miter"/>
            <v:imagedata r:id="rId133" o:title=""/>
            <o:lock v:ext="edit" aspectratio="t"/>
            <w10:wrap type="none"/>
            <w10:anchorlock/>
          </v:shape>
          <o:OLEObject Type="Embed" ProgID="Equation.3" ShapeID="_x0000_i1207" DrawAspect="Content" ObjectID="_1468075782" r:id="rId132">
            <o:LockedField>false</o:LockedField>
          </o:OLEObject>
        </w:object>
      </w:r>
      <w:r>
        <w:rPr>
          <w:rFonts w:hint="eastAsia" w:ascii="宋体" w:hAnsi="宋体" w:eastAsia="宋体" w:cs="宋体"/>
          <w:kern w:val="0"/>
          <w:szCs w:val="21"/>
        </w:rPr>
        <w:t>表示第i(i=1,2……,n)个子系统,</w:t>
      </w:r>
      <w:r>
        <w:rPr>
          <w:rFonts w:hint="eastAsia" w:ascii="宋体" w:hAnsi="宋体" w:eastAsia="宋体" w:cs="宋体"/>
          <w:kern w:val="0"/>
          <w:position w:val="-12"/>
          <w:szCs w:val="21"/>
        </w:rPr>
        <w:object>
          <v:shape id="_x0000_i1208" o:spt="75" type="#_x0000_t75" style="height:18.4pt;width:14.65pt;" o:ole="t" filled="f" o:preferrelative="t" stroked="f" coordsize="21600,21600">
            <v:path/>
            <v:fill on="f" focussize="0,0"/>
            <v:stroke on="f" joinstyle="miter"/>
            <v:imagedata r:id="rId135" o:title=""/>
            <o:lock v:ext="edit" aspectratio="t"/>
            <w10:wrap type="none"/>
            <w10:anchorlock/>
          </v:shape>
          <o:OLEObject Type="Embed" ProgID="Equation.3" ShapeID="_x0000_i1208" DrawAspect="Content" ObjectID="_1468075783" r:id="rId134">
            <o:LockedField>false</o:LockedField>
          </o:OLEObject>
        </w:object>
      </w:r>
      <w:r>
        <w:rPr>
          <w:rFonts w:hint="eastAsia" w:ascii="宋体" w:hAnsi="宋体" w:eastAsia="宋体" w:cs="宋体"/>
          <w:kern w:val="0"/>
          <w:szCs w:val="21"/>
        </w:rPr>
        <w:t>,</w:t>
      </w:r>
      <w:r>
        <w:rPr>
          <w:rFonts w:hint="eastAsia" w:ascii="宋体" w:hAnsi="宋体" w:eastAsia="宋体" w:cs="宋体"/>
          <w:kern w:val="0"/>
          <w:position w:val="-12"/>
          <w:szCs w:val="21"/>
        </w:rPr>
        <w:object>
          <v:shape id="_x0000_i1209" o:spt="75" type="#_x0000_t75" style="height:18.4pt;width:14.65pt;" o:ole="t" filled="f" o:preferrelative="t" stroked="f" coordsize="21600,21600">
            <v:path/>
            <v:fill on="f" focussize="0,0"/>
            <v:stroke on="f" joinstyle="miter"/>
            <v:imagedata r:id="rId137" o:title=""/>
            <o:lock v:ext="edit" aspectratio="t"/>
            <w10:wrap type="none"/>
            <w10:anchorlock/>
          </v:shape>
          <o:OLEObject Type="Embed" ProgID="Equation.3" ShapeID="_x0000_i1209" DrawAspect="Content" ObjectID="_1468075784" r:id="rId136">
            <o:LockedField>false</o:LockedField>
          </o:OLEObject>
        </w:object>
      </w:r>
      <w:r>
        <w:rPr>
          <w:rFonts w:hint="eastAsia" w:ascii="宋体" w:hAnsi="宋体" w:eastAsia="宋体" w:cs="宋体"/>
          <w:kern w:val="0"/>
          <w:szCs w:val="21"/>
        </w:rPr>
        <w:t>和</w:t>
      </w:r>
      <w:r>
        <w:rPr>
          <w:rFonts w:hint="eastAsia" w:ascii="宋体" w:hAnsi="宋体" w:eastAsia="宋体" w:cs="宋体"/>
          <w:kern w:val="0"/>
          <w:position w:val="-12"/>
          <w:szCs w:val="21"/>
        </w:rPr>
        <w:object>
          <v:shape id="_x0000_i1210" o:spt="75" type="#_x0000_t75" style="height:18.4pt;width:13.5pt;" o:ole="t" filled="f" o:preferrelative="t" stroked="f" coordsize="21600,21600">
            <v:path/>
            <v:fill on="f" focussize="0,0"/>
            <v:stroke on="f" joinstyle="miter"/>
            <v:imagedata r:id="rId139" o:title=""/>
            <o:lock v:ext="edit" aspectratio="t"/>
            <w10:wrap type="none"/>
            <w10:anchorlock/>
          </v:shape>
          <o:OLEObject Type="Embed" ProgID="Equation.3" ShapeID="_x0000_i1210" DrawAspect="Content" ObjectID="_1468075785" r:id="rId138">
            <o:LockedField>false</o:LockedField>
          </o:OLEObject>
        </w:object>
      </w:r>
      <w:r>
        <w:rPr>
          <w:rFonts w:hint="eastAsia" w:ascii="宋体" w:hAnsi="宋体" w:eastAsia="宋体" w:cs="B6+cajcd fnta1"/>
          <w:kern w:val="0"/>
          <w:szCs w:val="21"/>
        </w:rPr>
        <w:t>、</w:t>
      </w:r>
      <w:r>
        <w:rPr>
          <w:rFonts w:hint="eastAsia" w:ascii="宋体" w:hAnsi="宋体" w:eastAsia="宋体" w:cs="宋体"/>
          <w:kern w:val="0"/>
          <w:szCs w:val="21"/>
        </w:rPr>
        <w:t>分别表示子系统</w:t>
      </w:r>
      <w:r>
        <w:rPr>
          <w:rFonts w:hint="eastAsia" w:ascii="宋体" w:hAnsi="宋体" w:eastAsia="宋体" w:cs="宋体"/>
          <w:kern w:val="0"/>
          <w:position w:val="-12"/>
          <w:szCs w:val="21"/>
        </w:rPr>
        <w:object>
          <v:shape id="_x0000_i1211" o:spt="75" type="#_x0000_t75" style="height:18.4pt;width:11.65pt;" o:ole="t" filled="f" o:preferrelative="t" stroked="f" coordsize="21600,21600">
            <v:path/>
            <v:fill on="f" focussize="0,0"/>
            <v:stroke on="f" joinstyle="miter"/>
            <v:imagedata r:id="rId133" o:title=""/>
            <o:lock v:ext="edit" aspectratio="t"/>
            <w10:wrap type="none"/>
            <w10:anchorlock/>
          </v:shape>
          <o:OLEObject Type="Embed" ProgID="Equation.3" ShapeID="_x0000_i1211" DrawAspect="Content" ObjectID="_1468075786" r:id="rId140">
            <o:LockedField>false</o:LockedField>
          </o:OLEObject>
        </w:object>
      </w:r>
      <w:r>
        <w:rPr>
          <w:rFonts w:hint="eastAsia" w:ascii="宋体" w:hAnsi="宋体" w:eastAsia="宋体" w:cs="宋体"/>
          <w:kern w:val="0"/>
          <w:szCs w:val="21"/>
        </w:rPr>
        <w:t>的要素</w:t>
      </w:r>
      <w:r>
        <w:rPr>
          <w:rFonts w:hint="eastAsia" w:ascii="宋体" w:hAnsi="宋体" w:eastAsia="宋体" w:cs="B6+cajcd fnta1"/>
          <w:kern w:val="0"/>
          <w:szCs w:val="21"/>
        </w:rPr>
        <w:t>、</w:t>
      </w:r>
      <w:r>
        <w:rPr>
          <w:rFonts w:hint="eastAsia" w:ascii="宋体" w:hAnsi="宋体" w:eastAsia="宋体" w:cs="宋体"/>
          <w:kern w:val="0"/>
          <w:szCs w:val="21"/>
        </w:rPr>
        <w:t>结构和功能目标；</w:t>
      </w:r>
      <w:r>
        <w:rPr>
          <w:rFonts w:hint="eastAsia" w:ascii="宋体" w:hAnsi="宋体" w:eastAsia="宋体" w:cs="宋体"/>
          <w:kern w:val="0"/>
          <w:position w:val="-12"/>
          <w:szCs w:val="21"/>
        </w:rPr>
        <w:object>
          <v:shape id="_x0000_i1212" o:spt="75" type="#_x0000_t75" style="height:18.4pt;width:18.4pt;" o:ole="t" filled="f" o:preferrelative="t" stroked="f" coordsize="21600,21600">
            <v:path/>
            <v:fill on="f" focussize="0,0"/>
            <v:stroke on="f" joinstyle="miter"/>
            <v:imagedata r:id="rId142" o:title=""/>
            <o:lock v:ext="edit" aspectratio="t"/>
            <w10:wrap type="none"/>
            <w10:anchorlock/>
          </v:shape>
          <o:OLEObject Type="Embed" ProgID="Equation.3" ShapeID="_x0000_i1212" DrawAspect="Content" ObjectID="_1468075787" r:id="rId141">
            <o:LockedField>false</o:LockedField>
          </o:OLEObject>
        </w:object>
      </w:r>
      <w:r>
        <w:rPr>
          <w:rFonts w:hint="eastAsia" w:ascii="宋体" w:hAnsi="宋体" w:eastAsia="宋体" w:cs="宋体"/>
          <w:kern w:val="0"/>
          <w:szCs w:val="21"/>
        </w:rPr>
        <w:t>己表示系统关系的集合,系统关系即包括子系统与复合系统的关系,也包括子系统之间的相互关系,还包括子系统内部各要素之间的关系；</w:t>
      </w:r>
      <w:r>
        <w:rPr>
          <w:rFonts w:hint="eastAsia" w:ascii="宋体" w:hAnsi="宋体" w:eastAsia="宋体" w:cs="宋体"/>
          <w:kern w:val="0"/>
          <w:position w:val="-12"/>
          <w:szCs w:val="21"/>
        </w:rPr>
        <w:object>
          <v:shape id="_x0000_i1213" o:spt="75" type="#_x0000_t75" style="height:18.4pt;width:16.9pt;" o:ole="t" filled="f" o:preferrelative="t" stroked="f" coordsize="21600,21600">
            <v:path/>
            <v:fill on="f" focussize="0,0"/>
            <v:stroke on="f" joinstyle="miter"/>
            <v:imagedata r:id="rId144" o:title=""/>
            <o:lock v:ext="edit" aspectratio="t"/>
            <w10:wrap type="none"/>
            <w10:anchorlock/>
          </v:shape>
          <o:OLEObject Type="Embed" ProgID="Equation.3" ShapeID="_x0000_i1213" DrawAspect="Content" ObjectID="_1468075788" r:id="rId143">
            <o:LockedField>false</o:LockedField>
          </o:OLEObject>
        </w:object>
      </w:r>
      <w:r>
        <w:rPr>
          <w:rFonts w:hint="eastAsia" w:ascii="宋体" w:hAnsi="宋体" w:eastAsia="宋体" w:cs="宋体"/>
          <w:kern w:val="0"/>
          <w:szCs w:val="21"/>
        </w:rPr>
        <w:t>是系统约束条件的集合,子系统的约束条件和复合系统的约束条件是不相同的；A为复合系统的目标集合；T和L分别表示时间和空间变量,n是子系统的数量</w:t>
      </w:r>
      <w:r>
        <w:rPr>
          <w:rFonts w:hint="eastAsia" w:ascii="宋体" w:hAnsi="宋体" w:eastAsia="宋体" w:cs="B6+cajcd fnta1"/>
          <w:kern w:val="0"/>
          <w:szCs w:val="21"/>
        </w:rPr>
        <w:t>。</w:t>
      </w:r>
      <w:r>
        <w:rPr>
          <w:rFonts w:hint="eastAsia" w:ascii="宋体" w:hAnsi="宋体" w:eastAsia="宋体" w:cs="宋体"/>
          <w:kern w:val="0"/>
          <w:szCs w:val="21"/>
        </w:rPr>
        <w:t>则科学发展观要实现的目标可以表示为：</w:t>
      </w:r>
      <w:r>
        <w:rPr>
          <w:rFonts w:hint="eastAsia" w:ascii="宋体" w:hAnsi="宋体" w:eastAsia="宋体" w:cs="宋体"/>
          <w:kern w:val="0"/>
          <w:position w:val="-12"/>
          <w:szCs w:val="21"/>
        </w:rPr>
        <w:object>
          <v:shape id="_x0000_i1214" o:spt="75" type="#_x0000_t75" style="height:18.4pt;width:130.5pt;" o:ole="t" filled="f" o:preferrelative="t" stroked="f" coordsize="21600,21600">
            <v:path/>
            <v:fill on="f" focussize="0,0"/>
            <v:stroke on="f" joinstyle="miter"/>
            <v:imagedata r:id="rId146" o:title=""/>
            <o:lock v:ext="edit" aspectratio="t"/>
            <w10:wrap type="none"/>
            <w10:anchorlock/>
          </v:shape>
          <o:OLEObject Type="Embed" ProgID="Equation.3" ShapeID="_x0000_i1214" DrawAspect="Content" ObjectID="_1468075789" r:id="rId145">
            <o:LockedField>false</o:LockedField>
          </o:OLEObject>
        </w:object>
      </w:r>
      <w:r>
        <w:rPr>
          <w:rFonts w:hint="eastAsia" w:ascii="宋体" w:hAnsi="宋体" w:eastAsia="宋体" w:cs="宋体"/>
          <w:kern w:val="0"/>
          <w:szCs w:val="21"/>
        </w:rPr>
        <w:t>，</w:t>
      </w:r>
      <w:r>
        <w:rPr>
          <w:rFonts w:hint="eastAsia" w:ascii="宋体" w:hAnsi="宋体" w:eastAsia="宋体" w:cs="宋体"/>
          <w:kern w:val="0"/>
          <w:position w:val="-12"/>
          <w:szCs w:val="21"/>
        </w:rPr>
        <w:object>
          <v:shape id="_x0000_i1215" o:spt="75" type="#_x0000_t75" style="height:18.4pt;width:106.9pt;" o:ole="t" filled="f" o:preferrelative="t" stroked="f" coordsize="21600,21600">
            <v:path/>
            <v:fill on="f" focussize="0,0"/>
            <v:stroke on="f" joinstyle="miter"/>
            <v:imagedata r:id="rId148" o:title=""/>
            <o:lock v:ext="edit" aspectratio="t"/>
            <w10:wrap type="none"/>
            <w10:anchorlock/>
          </v:shape>
          <o:OLEObject Type="Embed" ProgID="Equation.3" ShapeID="_x0000_i1215" DrawAspect="Content" ObjectID="_1468075790" r:id="rId147">
            <o:LockedField>false</o:LockedField>
          </o:OLEObject>
        </w:object>
      </w:r>
      <w:r>
        <w:rPr>
          <w:rFonts w:hint="eastAsia" w:ascii="宋体" w:hAnsi="宋体" w:eastAsia="宋体" w:cs="宋体"/>
          <w:kern w:val="0"/>
          <w:szCs w:val="21"/>
        </w:rPr>
        <w:t>。贯彻科学发展观最终必须归结到某一个具体的空间范围,也就是特定的区域,区域作为一个地理单元,其人口</w:t>
      </w:r>
      <w:r>
        <w:rPr>
          <w:rFonts w:hint="eastAsia" w:ascii="宋体" w:hAnsi="宋体" w:eastAsia="宋体" w:cs="B6+cajcd fnta1"/>
          <w:kern w:val="0"/>
          <w:szCs w:val="21"/>
        </w:rPr>
        <w:t>、</w:t>
      </w:r>
      <w:r>
        <w:rPr>
          <w:rFonts w:hint="eastAsia" w:ascii="宋体" w:hAnsi="宋体" w:eastAsia="宋体" w:cs="宋体"/>
          <w:kern w:val="0"/>
          <w:szCs w:val="21"/>
        </w:rPr>
        <w:t>社会</w:t>
      </w:r>
      <w:r>
        <w:rPr>
          <w:rFonts w:hint="eastAsia" w:ascii="宋体" w:hAnsi="宋体" w:eastAsia="宋体" w:cs="B6+cajcd fnta1"/>
          <w:kern w:val="0"/>
          <w:szCs w:val="21"/>
        </w:rPr>
        <w:t>、</w:t>
      </w:r>
      <w:r>
        <w:rPr>
          <w:rFonts w:hint="eastAsia" w:ascii="宋体" w:hAnsi="宋体" w:eastAsia="宋体" w:cs="宋体"/>
          <w:kern w:val="0"/>
          <w:szCs w:val="21"/>
        </w:rPr>
        <w:t>经济</w:t>
      </w:r>
      <w:r>
        <w:rPr>
          <w:rFonts w:hint="eastAsia" w:ascii="宋体" w:hAnsi="宋体" w:eastAsia="宋体" w:cs="B6+cajcd fnta1"/>
          <w:kern w:val="0"/>
          <w:szCs w:val="21"/>
        </w:rPr>
        <w:t>、</w:t>
      </w:r>
      <w:r>
        <w:rPr>
          <w:rFonts w:hint="eastAsia" w:ascii="宋体" w:hAnsi="宋体" w:eastAsia="宋体" w:cs="宋体"/>
          <w:kern w:val="0"/>
          <w:szCs w:val="21"/>
        </w:rPr>
        <w:t>资源</w:t>
      </w:r>
      <w:r>
        <w:rPr>
          <w:rFonts w:hint="eastAsia" w:ascii="宋体" w:hAnsi="宋体" w:eastAsia="宋体" w:cs="B6+cajcd fnta1"/>
          <w:kern w:val="0"/>
          <w:szCs w:val="21"/>
        </w:rPr>
        <w:t>、</w:t>
      </w:r>
      <w:r>
        <w:rPr>
          <w:rFonts w:hint="eastAsia" w:ascii="宋体" w:hAnsi="宋体" w:eastAsia="宋体" w:cs="宋体"/>
          <w:kern w:val="0"/>
          <w:szCs w:val="21"/>
        </w:rPr>
        <w:t>环境等祸合成具有区域特点的复合系统,区域是一个无边界概念,可以是一个特定的地区</w:t>
      </w:r>
      <w:r>
        <w:rPr>
          <w:rFonts w:hint="eastAsia" w:ascii="宋体" w:hAnsi="宋体" w:eastAsia="宋体" w:cs="B6+cajcd fnta1"/>
          <w:kern w:val="0"/>
          <w:szCs w:val="21"/>
        </w:rPr>
        <w:t>、</w:t>
      </w:r>
      <w:r>
        <w:rPr>
          <w:rFonts w:hint="eastAsia" w:ascii="宋体" w:hAnsi="宋体" w:eastAsia="宋体" w:cs="宋体"/>
          <w:kern w:val="0"/>
          <w:szCs w:val="21"/>
        </w:rPr>
        <w:t>一个省</w:t>
      </w:r>
      <w:r>
        <w:rPr>
          <w:rFonts w:hint="eastAsia" w:ascii="宋体" w:hAnsi="宋体" w:eastAsia="宋体" w:cs="B6+cajcd fnta1"/>
          <w:kern w:val="0"/>
          <w:szCs w:val="21"/>
        </w:rPr>
        <w:t>、</w:t>
      </w:r>
      <w:r>
        <w:rPr>
          <w:rFonts w:hint="eastAsia" w:ascii="宋体" w:hAnsi="宋体" w:eastAsia="宋体" w:cs="宋体"/>
          <w:kern w:val="0"/>
          <w:szCs w:val="21"/>
        </w:rPr>
        <w:t>一个国家甚至全球</w:t>
      </w:r>
      <w:r>
        <w:rPr>
          <w:rFonts w:hint="eastAsia" w:ascii="宋体" w:hAnsi="宋体" w:eastAsia="宋体" w:cs="B6+cajcd fnta1"/>
          <w:kern w:val="0"/>
          <w:szCs w:val="21"/>
        </w:rPr>
        <w:t>。</w:t>
      </w:r>
    </w:p>
    <w:p w14:paraId="431309CB">
      <w:pPr>
        <w:autoSpaceDE w:val="0"/>
        <w:autoSpaceDN w:val="0"/>
        <w:adjustRightInd w:val="0"/>
        <w:spacing w:line="360" w:lineRule="auto"/>
        <w:ind w:firstLine="500" w:firstLineChars="200"/>
        <w:jc w:val="center"/>
        <w:rPr>
          <w:rFonts w:ascii="宋体" w:hAnsi="宋体" w:eastAsia="宋体" w:cs="宋体"/>
          <w:b/>
          <w:kern w:val="0"/>
          <w:sz w:val="24"/>
          <w:szCs w:val="24"/>
        </w:rPr>
      </w:pPr>
      <w:r>
        <w:rPr>
          <w:rFonts w:hint="eastAsia" w:ascii="宋体" w:hAnsi="宋体" w:eastAsia="宋体" w:cs="宋体"/>
          <w:b/>
          <w:kern w:val="0"/>
          <w:sz w:val="24"/>
          <w:szCs w:val="24"/>
        </w:rPr>
        <w:t>四、经济社会综合评价体系创新是科学发展观由理论到实戏的桥梁和纽带</w:t>
      </w:r>
    </w:p>
    <w:p w14:paraId="0DE22930">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B6+cajcd fnta1"/>
          <w:kern w:val="0"/>
          <w:szCs w:val="21"/>
        </w:rPr>
        <w:t>《</w:t>
      </w:r>
      <w:r>
        <w:rPr>
          <w:rFonts w:hint="eastAsia" w:ascii="宋体" w:hAnsi="宋体" w:eastAsia="宋体" w:cs="宋体"/>
          <w:kern w:val="0"/>
          <w:szCs w:val="21"/>
        </w:rPr>
        <w:t>中共中央关于制定国民经济和社会发展第十一个五年规划的建议</w:t>
      </w:r>
      <w:r>
        <w:rPr>
          <w:rFonts w:hint="eastAsia" w:ascii="宋体" w:hAnsi="宋体" w:eastAsia="宋体" w:cs="B6+cajcd fnta1"/>
          <w:kern w:val="0"/>
          <w:szCs w:val="21"/>
        </w:rPr>
        <w:t>》</w:t>
      </w:r>
      <w:r>
        <w:rPr>
          <w:rFonts w:hint="eastAsia" w:ascii="宋体" w:hAnsi="宋体" w:eastAsia="宋体" w:cs="宋体"/>
          <w:kern w:val="0"/>
          <w:szCs w:val="21"/>
        </w:rPr>
        <w:t>提出,</w:t>
      </w:r>
      <w:r>
        <w:rPr>
          <w:rFonts w:hint="eastAsia" w:ascii="宋体" w:hAnsi="宋体" w:eastAsia="宋体" w:cs="B6+cajcd fnta1"/>
          <w:kern w:val="0"/>
          <w:szCs w:val="21"/>
        </w:rPr>
        <w:t>“</w:t>
      </w:r>
      <w:r>
        <w:rPr>
          <w:rFonts w:hint="eastAsia" w:ascii="宋体" w:hAnsi="宋体" w:eastAsia="宋体" w:cs="宋体"/>
          <w:kern w:val="0"/>
          <w:szCs w:val="21"/>
        </w:rPr>
        <w:t>要深化对科学发展观基本内涵和精神实质的认识,建立符合科学发展观要求的经济社会发展综合评价体系</w:t>
      </w:r>
      <w:r>
        <w:rPr>
          <w:rFonts w:hint="eastAsia" w:ascii="宋体" w:hAnsi="宋体" w:eastAsia="宋体" w:cs="B6+cajcd fnta1"/>
          <w:kern w:val="0"/>
          <w:szCs w:val="21"/>
        </w:rPr>
        <w:t>。”</w:t>
      </w:r>
      <w:r>
        <w:rPr>
          <w:rFonts w:hint="eastAsia" w:ascii="宋体" w:hAnsi="宋体" w:eastAsia="宋体" w:cs="宋体"/>
          <w:kern w:val="0"/>
          <w:szCs w:val="21"/>
        </w:rPr>
        <w:t>建立体现科学发展观要求的经济社会综合评价体系,就是把科学发展观体现在具体的</w:t>
      </w:r>
      <w:r>
        <w:rPr>
          <w:rFonts w:hint="eastAsia" w:ascii="宋体" w:hAnsi="宋体" w:eastAsia="宋体" w:cs="B6+cajcd fnta1"/>
          <w:kern w:val="0"/>
          <w:szCs w:val="21"/>
        </w:rPr>
        <w:t>、</w:t>
      </w:r>
      <w:r>
        <w:rPr>
          <w:rFonts w:hint="eastAsia" w:ascii="宋体" w:hAnsi="宋体" w:eastAsia="宋体" w:cs="宋体"/>
          <w:kern w:val="0"/>
          <w:szCs w:val="21"/>
        </w:rPr>
        <w:t>可量化的指标上,规范和引导各方面的发展观念和发展模式,促进正确的政绩导向</w:t>
      </w:r>
      <w:r>
        <w:rPr>
          <w:rFonts w:hint="eastAsia" w:ascii="宋体" w:hAnsi="宋体" w:eastAsia="宋体" w:cs="B6+cajcd fnta1"/>
          <w:kern w:val="0"/>
          <w:szCs w:val="21"/>
        </w:rPr>
        <w:t>、</w:t>
      </w:r>
      <w:r>
        <w:rPr>
          <w:rFonts w:hint="eastAsia" w:ascii="宋体" w:hAnsi="宋体" w:eastAsia="宋体" w:cs="宋体"/>
          <w:kern w:val="0"/>
          <w:szCs w:val="21"/>
        </w:rPr>
        <w:t>用人导向规范化</w:t>
      </w:r>
      <w:r>
        <w:rPr>
          <w:rFonts w:hint="eastAsia" w:ascii="宋体" w:hAnsi="宋体" w:eastAsia="宋体" w:cs="B6+cajcd fnta1"/>
          <w:kern w:val="0"/>
          <w:szCs w:val="21"/>
        </w:rPr>
        <w:t>、</w:t>
      </w:r>
      <w:r>
        <w:rPr>
          <w:rFonts w:hint="eastAsia" w:ascii="宋体" w:hAnsi="宋体" w:eastAsia="宋体" w:cs="宋体"/>
          <w:kern w:val="0"/>
          <w:szCs w:val="21"/>
        </w:rPr>
        <w:t>制度化,使科学发展观能够真正落到实处</w:t>
      </w:r>
      <w:r>
        <w:rPr>
          <w:rFonts w:hint="eastAsia" w:ascii="宋体" w:hAnsi="宋体" w:eastAsia="宋体" w:cs="B6+cajcd fnta1"/>
          <w:kern w:val="0"/>
          <w:szCs w:val="21"/>
        </w:rPr>
        <w:t>。</w:t>
      </w:r>
      <w:r>
        <w:rPr>
          <w:rFonts w:hint="eastAsia" w:ascii="宋体" w:hAnsi="宋体" w:eastAsia="宋体" w:cs="宋体"/>
          <w:kern w:val="0"/>
          <w:szCs w:val="21"/>
        </w:rPr>
        <w:t>科学发展观作为人类社会一种全新的发展思想,从理论到实践还需要解决许多问题,还有一段甚至很长一段布满荆棘的路要走,除了理论研究的不断深入以外,关键是要建立一整套对社会经济活动主体包括政府</w:t>
      </w:r>
      <w:r>
        <w:rPr>
          <w:rFonts w:hint="eastAsia" w:ascii="宋体" w:hAnsi="宋体" w:eastAsia="宋体" w:cs="B6+cajcd fnta1"/>
          <w:kern w:val="0"/>
          <w:szCs w:val="21"/>
        </w:rPr>
        <w:t>、</w:t>
      </w:r>
      <w:r>
        <w:rPr>
          <w:rFonts w:hint="eastAsia" w:ascii="宋体" w:hAnsi="宋体" w:eastAsia="宋体" w:cs="宋体"/>
          <w:kern w:val="0"/>
          <w:szCs w:val="21"/>
        </w:rPr>
        <w:t>企业和家庭(个人)的行为具有强约束力的规范,这些规范可能是政治层面的,也可能是经济层面的,还可能是法律层面的,或者伦理层面的抑或其他层面的内容,如社会共同的价值取向</w:t>
      </w:r>
      <w:r>
        <w:rPr>
          <w:rFonts w:hint="eastAsia" w:ascii="宋体" w:hAnsi="宋体" w:eastAsia="宋体" w:cs="B6+cajcd fnta1"/>
          <w:kern w:val="0"/>
          <w:szCs w:val="21"/>
        </w:rPr>
        <w:t>、</w:t>
      </w:r>
      <w:r>
        <w:rPr>
          <w:rFonts w:hint="eastAsia" w:ascii="宋体" w:hAnsi="宋体" w:eastAsia="宋体" w:cs="宋体"/>
          <w:kern w:val="0"/>
          <w:szCs w:val="21"/>
        </w:rPr>
        <w:t>人类生存的意义等方面的内容,无论哪个层面,这些规范一定要能够对行为者的行为产生强约束力,否则,再先进的思想也是没有实际意义的</w:t>
      </w:r>
      <w:r>
        <w:rPr>
          <w:rFonts w:hint="eastAsia" w:ascii="宋体" w:hAnsi="宋体" w:eastAsia="宋体" w:cs="B6+cajcd fnta1"/>
          <w:kern w:val="0"/>
          <w:szCs w:val="21"/>
        </w:rPr>
        <w:t>。</w:t>
      </w:r>
      <w:r>
        <w:rPr>
          <w:rFonts w:hint="eastAsia" w:ascii="宋体" w:hAnsi="宋体" w:eastAsia="宋体" w:cs="宋体"/>
          <w:kern w:val="0"/>
          <w:szCs w:val="21"/>
        </w:rPr>
        <w:t>一直以来,不同的发展观都有与之相适应的评价标准和评价体系,在货币产生以前,实物量一直是衡量人类活动成果的主要尺度；货币产生以后,价值量代替了食物量成为衡量人类活动的主要尺度；自从发明了GDP或GNP以后,这个指标统治了所有人的行为,甚至发展到GDP或GNP拜物教的地步,各个国家以各自不同的方式疯狂地追求GDP或GNP的快速增长,把GDP或GNP视为解决人类一切问题的灵丹妙药</w:t>
      </w:r>
      <w:r>
        <w:rPr>
          <w:rFonts w:hint="eastAsia" w:ascii="宋体" w:hAnsi="宋体" w:eastAsia="宋体" w:cs="B6+cajcd fnta1"/>
          <w:kern w:val="0"/>
          <w:szCs w:val="21"/>
        </w:rPr>
        <w:t>。</w:t>
      </w:r>
      <w:r>
        <w:rPr>
          <w:rFonts w:hint="eastAsia" w:ascii="宋体" w:hAnsi="宋体" w:eastAsia="宋体" w:cs="宋体"/>
          <w:kern w:val="0"/>
          <w:szCs w:val="21"/>
        </w:rPr>
        <w:t>虽然学术界甚至在社会生活实践中,这个指标不断遭到垢病并找到了一些替代指标,如人类发展指数</w:t>
      </w:r>
      <w:r>
        <w:rPr>
          <w:rFonts w:hint="eastAsia" w:ascii="宋体" w:hAnsi="宋体" w:eastAsia="宋体" w:cs="B6+cajcd fnta1"/>
          <w:kern w:val="0"/>
          <w:szCs w:val="21"/>
        </w:rPr>
        <w:t>、</w:t>
      </w:r>
      <w:r>
        <w:rPr>
          <w:rFonts w:hint="eastAsia" w:ascii="宋体" w:hAnsi="宋体" w:eastAsia="宋体" w:cs="宋体"/>
          <w:kern w:val="0"/>
          <w:szCs w:val="21"/>
        </w:rPr>
        <w:t>GGDP(绿色GDP)等,但最终都没有能够替代掉,这是对人类智慧的极大挑战</w:t>
      </w:r>
      <w:r>
        <w:rPr>
          <w:rFonts w:hint="eastAsia" w:ascii="宋体" w:hAnsi="宋体" w:eastAsia="宋体" w:cs="B6+cajcd fnta1"/>
          <w:kern w:val="0"/>
          <w:szCs w:val="21"/>
        </w:rPr>
        <w:t>。</w:t>
      </w:r>
      <w:r>
        <w:rPr>
          <w:rFonts w:hint="eastAsia" w:ascii="宋体" w:hAnsi="宋体" w:eastAsia="宋体" w:cs="宋体"/>
          <w:kern w:val="0"/>
          <w:szCs w:val="21"/>
        </w:rPr>
        <w:t>GDP或GNP为什么能够始终统治人类的一切活动,原因有两个,一是简单,不需要建立什么体系就可以把人类活动的成果(当然这种成果不一定是真实的),并且以此为基础可以衍生许多关系指标,如人均GDP等；二是这个指标契合了人类自私的本性,即人性的一方面,它对行为主体的行为约束力之强是无法形容的,以致人们无需任何驱动和激励就自觉地成为GDP或GNP的俘虏</w:t>
      </w:r>
      <w:r>
        <w:rPr>
          <w:rFonts w:hint="eastAsia" w:ascii="宋体" w:hAnsi="宋体" w:eastAsia="宋体" w:cs="B6+cajcd fnta1"/>
          <w:kern w:val="0"/>
          <w:szCs w:val="21"/>
        </w:rPr>
        <w:t>。</w:t>
      </w:r>
      <w:r>
        <w:rPr>
          <w:rFonts w:hint="eastAsia" w:ascii="宋体" w:hAnsi="宋体" w:eastAsia="宋体" w:cs="宋体"/>
          <w:kern w:val="0"/>
          <w:szCs w:val="21"/>
        </w:rPr>
        <w:t>科学发展观不同于过去的发展思想,要使科学发展观成为人们的自觉行动,在社会经济生活乃至政治生活中处处体现科学发展观的原则和要求,也需要建立一个类似GDP或GNP的评价尺度</w:t>
      </w:r>
      <w:r>
        <w:rPr>
          <w:rFonts w:hint="eastAsia" w:ascii="宋体" w:hAnsi="宋体" w:eastAsia="宋体" w:cs="B6+cajcd fnta1"/>
          <w:kern w:val="0"/>
          <w:szCs w:val="21"/>
        </w:rPr>
        <w:t>。</w:t>
      </w:r>
      <w:r>
        <w:rPr>
          <w:rFonts w:hint="eastAsia" w:ascii="宋体" w:hAnsi="宋体" w:eastAsia="宋体" w:cs="宋体"/>
          <w:kern w:val="0"/>
          <w:szCs w:val="21"/>
        </w:rPr>
        <w:t>所以,建立体现科学发展观要求的经济社会综合评价体系是科学发展观由理论到实践的纽带,既是一个统一并深化对科学发展观的认识过程,也是一个促进落实科学发展观的过程</w:t>
      </w:r>
      <w:r>
        <w:rPr>
          <w:rFonts w:hint="eastAsia" w:ascii="宋体" w:hAnsi="宋体" w:eastAsia="宋体" w:cs="B6+cajcd fnta1"/>
          <w:kern w:val="0"/>
          <w:szCs w:val="21"/>
        </w:rPr>
        <w:t>。</w:t>
      </w:r>
    </w:p>
    <w:p w14:paraId="300DDC35">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程恩富教授和曹立村博士在</w:t>
      </w:r>
      <w:r>
        <w:rPr>
          <w:rFonts w:hint="eastAsia" w:ascii="宋体" w:hAnsi="宋体" w:eastAsia="宋体" w:cs="B6+cajcd fnta1"/>
          <w:kern w:val="0"/>
          <w:szCs w:val="21"/>
        </w:rPr>
        <w:t>《</w:t>
      </w:r>
      <w:r>
        <w:rPr>
          <w:rFonts w:hint="eastAsia" w:ascii="宋体" w:hAnsi="宋体" w:eastAsia="宋体" w:cs="宋体"/>
          <w:kern w:val="0"/>
          <w:szCs w:val="21"/>
        </w:rPr>
        <w:t>GDPW：衡量科学发展的经济价值新标尺</w:t>
      </w:r>
      <w:r>
        <w:rPr>
          <w:rFonts w:hint="eastAsia" w:ascii="宋体" w:hAnsi="宋体" w:eastAsia="宋体" w:cs="B6+cajcd fnta1"/>
          <w:kern w:val="0"/>
          <w:szCs w:val="21"/>
        </w:rPr>
        <w:t>》</w:t>
      </w:r>
      <w:r>
        <w:rPr>
          <w:rFonts w:hint="eastAsia" w:ascii="宋体" w:hAnsi="宋体" w:eastAsia="宋体" w:cs="宋体"/>
          <w:kern w:val="0"/>
          <w:szCs w:val="21"/>
        </w:rPr>
        <w:t>一文中比较系统地批判了GDP在理论基础和实践应用上的局限性,提出了GDPW(国内生产福利总值)的概念,认为GDPW是衡量科学发展的经济价值目标的全新的标尺,其主要的理由是GDPW由于克服了GDP的固有缺陷(GDP只反映市场化成果而没有将非市场化但实际上构成人类福利的活动成果纳入核算范围</w:t>
      </w:r>
      <w:r>
        <w:rPr>
          <w:rFonts w:hint="eastAsia" w:ascii="宋体" w:hAnsi="宋体" w:eastAsia="宋体" w:cs="B6+cajcd fnta1"/>
          <w:kern w:val="0"/>
          <w:szCs w:val="21"/>
        </w:rPr>
        <w:t>、</w:t>
      </w:r>
      <w:r>
        <w:rPr>
          <w:rFonts w:hint="eastAsia" w:ascii="宋体" w:hAnsi="宋体" w:eastAsia="宋体" w:cs="宋体"/>
          <w:kern w:val="0"/>
          <w:szCs w:val="21"/>
        </w:rPr>
        <w:t>GDP只反映了货币化的成果而没有将非货币化但实际上构成人类福利的活动成果纳入核算范围</w:t>
      </w:r>
      <w:r>
        <w:rPr>
          <w:rFonts w:hint="eastAsia" w:ascii="宋体" w:hAnsi="宋体" w:eastAsia="宋体" w:cs="B6+cajcd fnta1"/>
          <w:kern w:val="0"/>
          <w:szCs w:val="21"/>
        </w:rPr>
        <w:t>、</w:t>
      </w:r>
      <w:r>
        <w:rPr>
          <w:rFonts w:hint="eastAsia" w:ascii="宋体" w:hAnsi="宋体" w:eastAsia="宋体" w:cs="宋体"/>
          <w:kern w:val="0"/>
          <w:szCs w:val="21"/>
        </w:rPr>
        <w:t>GDP没有将经济活动的负外部性纳入核算范围等)而在客观上能够真实地反映实际的净福利内容及其变化,所以真正体现了科学发展观</w:t>
      </w:r>
      <w:r>
        <w:rPr>
          <w:rFonts w:hint="eastAsia" w:ascii="宋体" w:hAnsi="宋体" w:eastAsia="宋体" w:cs="B6+cajcd fnta1"/>
          <w:kern w:val="0"/>
          <w:szCs w:val="21"/>
        </w:rPr>
        <w:t>“</w:t>
      </w:r>
      <w:r>
        <w:rPr>
          <w:rFonts w:hint="eastAsia" w:ascii="宋体" w:hAnsi="宋体" w:eastAsia="宋体" w:cs="宋体"/>
          <w:kern w:val="0"/>
          <w:szCs w:val="21"/>
        </w:rPr>
        <w:t>以人为本</w:t>
      </w:r>
      <w:r>
        <w:rPr>
          <w:rFonts w:hint="eastAsia" w:ascii="宋体" w:hAnsi="宋体" w:eastAsia="宋体" w:cs="B6+cajcd fnta1"/>
          <w:kern w:val="0"/>
          <w:szCs w:val="21"/>
        </w:rPr>
        <w:t>”</w:t>
      </w:r>
      <w:r>
        <w:rPr>
          <w:rFonts w:hint="eastAsia" w:ascii="宋体" w:hAnsi="宋体" w:eastAsia="宋体" w:cs="宋体"/>
          <w:kern w:val="0"/>
          <w:szCs w:val="21"/>
        </w:rPr>
        <w:t>的核心理念</w:t>
      </w:r>
      <w:r>
        <w:rPr>
          <w:rFonts w:hint="eastAsia" w:ascii="宋体" w:hAnsi="宋体" w:eastAsia="宋体" w:cs="B6+cajcd fnta1"/>
          <w:kern w:val="0"/>
          <w:szCs w:val="21"/>
        </w:rPr>
        <w:t>。</w:t>
      </w:r>
      <w:r>
        <w:rPr>
          <w:rFonts w:hint="eastAsia" w:ascii="宋体" w:hAnsi="宋体" w:eastAsia="宋体" w:cs="宋体"/>
          <w:kern w:val="0"/>
          <w:szCs w:val="21"/>
        </w:rPr>
        <w:t>GDPW在概念体系上包含下列几个相互关联的重要概念：正内部性生产(正规生产和非正规生产)</w:t>
      </w:r>
      <w:r>
        <w:rPr>
          <w:rFonts w:hint="eastAsia" w:ascii="宋体" w:hAnsi="宋体" w:eastAsia="宋体" w:cs="B6+cajcd fnta1"/>
          <w:kern w:val="0"/>
          <w:szCs w:val="21"/>
        </w:rPr>
        <w:t>、</w:t>
      </w:r>
      <w:r>
        <w:rPr>
          <w:rFonts w:hint="eastAsia" w:ascii="宋体" w:hAnsi="宋体" w:eastAsia="宋体" w:cs="宋体"/>
          <w:kern w:val="0"/>
          <w:szCs w:val="21"/>
        </w:rPr>
        <w:t>市场化生产和非市场化生产</w:t>
      </w:r>
      <w:r>
        <w:rPr>
          <w:rFonts w:hint="eastAsia" w:ascii="宋体" w:hAnsi="宋体" w:eastAsia="宋体" w:cs="B6+cajcd fnta1"/>
          <w:kern w:val="0"/>
          <w:szCs w:val="21"/>
        </w:rPr>
        <w:t>、</w:t>
      </w:r>
      <w:r>
        <w:rPr>
          <w:rFonts w:hint="eastAsia" w:ascii="宋体" w:hAnsi="宋体" w:eastAsia="宋体" w:cs="宋体"/>
          <w:kern w:val="0"/>
          <w:szCs w:val="21"/>
        </w:rPr>
        <w:t>负内部性生产(破坏性生产和补偿性生产)</w:t>
      </w:r>
      <w:r>
        <w:rPr>
          <w:rFonts w:hint="eastAsia" w:ascii="宋体" w:hAnsi="宋体" w:eastAsia="宋体" w:cs="B6+cajcd fnta1"/>
          <w:kern w:val="0"/>
          <w:szCs w:val="21"/>
        </w:rPr>
        <w:t>、</w:t>
      </w:r>
      <w:r>
        <w:rPr>
          <w:rFonts w:hint="eastAsia" w:ascii="宋体" w:hAnsi="宋体" w:eastAsia="宋体" w:cs="宋体"/>
          <w:kern w:val="0"/>
          <w:szCs w:val="21"/>
        </w:rPr>
        <w:t>负外部性经济福利净值等,这样就大大拓展了国民经济核算的范围和内容,为建立体现科学发展观要求的经济社会综合评价体系提供了一种全新的尺度</w:t>
      </w:r>
      <w:r>
        <w:rPr>
          <w:rFonts w:hint="eastAsia" w:ascii="宋体" w:hAnsi="宋体" w:eastAsia="宋体" w:cs="B6+cajcd fnta1"/>
          <w:kern w:val="0"/>
          <w:szCs w:val="21"/>
        </w:rPr>
        <w:t>。</w:t>
      </w:r>
    </w:p>
    <w:p w14:paraId="1366B1BD">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建立体现科学发展观要求的经济社会发展综合评价体系是对传统的评价体系创新,因此必须全面系统地反映科学发展观的内涵和在科学发展观指导下要达到的目标</w:t>
      </w:r>
      <w:r>
        <w:rPr>
          <w:rFonts w:hint="eastAsia" w:ascii="宋体" w:hAnsi="宋体" w:eastAsia="宋体" w:cs="B6+cajcd fnta1"/>
          <w:kern w:val="0"/>
          <w:szCs w:val="21"/>
        </w:rPr>
        <w:t>。</w:t>
      </w:r>
      <w:r>
        <w:rPr>
          <w:rFonts w:hint="eastAsia" w:ascii="宋体" w:hAnsi="宋体" w:eastAsia="宋体" w:cs="宋体"/>
          <w:kern w:val="0"/>
          <w:szCs w:val="21"/>
        </w:rPr>
        <w:t>具体要求是：</w:t>
      </w:r>
    </w:p>
    <w:p w14:paraId="4E24E8E6">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第一,要真正体现科学发展观的核心理念：以人为本</w:t>
      </w:r>
      <w:r>
        <w:rPr>
          <w:rFonts w:hint="eastAsia" w:ascii="宋体" w:hAnsi="宋体" w:eastAsia="宋体" w:cs="B6+cajcd fnta1"/>
          <w:kern w:val="0"/>
          <w:szCs w:val="21"/>
        </w:rPr>
        <w:t>。</w:t>
      </w:r>
      <w:r>
        <w:rPr>
          <w:rFonts w:hint="eastAsia" w:ascii="宋体" w:hAnsi="宋体" w:eastAsia="宋体" w:cs="宋体"/>
          <w:kern w:val="0"/>
          <w:szCs w:val="21"/>
        </w:rPr>
        <w:t>科学发展观的核心思想是</w:t>
      </w:r>
      <w:r>
        <w:rPr>
          <w:rFonts w:hint="eastAsia" w:ascii="宋体" w:hAnsi="宋体" w:eastAsia="宋体" w:cs="B6+cajcd fnta1"/>
          <w:kern w:val="0"/>
          <w:szCs w:val="21"/>
        </w:rPr>
        <w:t>“</w:t>
      </w:r>
      <w:r>
        <w:rPr>
          <w:rFonts w:hint="eastAsia" w:ascii="宋体" w:hAnsi="宋体" w:eastAsia="宋体" w:cs="宋体"/>
          <w:kern w:val="0"/>
          <w:szCs w:val="21"/>
        </w:rPr>
        <w:t>以人为本</w:t>
      </w:r>
      <w:r>
        <w:rPr>
          <w:rFonts w:hint="eastAsia" w:ascii="宋体" w:hAnsi="宋体" w:eastAsia="宋体" w:cs="B6+cajcd fnta1"/>
          <w:kern w:val="0"/>
          <w:szCs w:val="21"/>
        </w:rPr>
        <w:t>”</w:t>
      </w:r>
      <w:r>
        <w:rPr>
          <w:rFonts w:hint="eastAsia" w:ascii="宋体" w:hAnsi="宋体" w:eastAsia="宋体" w:cs="宋体"/>
          <w:kern w:val="0"/>
          <w:szCs w:val="21"/>
        </w:rPr>
        <w:t>,这就要求把人的全面发展放在首要地位</w:t>
      </w:r>
      <w:r>
        <w:rPr>
          <w:rFonts w:hint="eastAsia" w:ascii="宋体" w:hAnsi="宋体" w:eastAsia="宋体" w:cs="B6+cajcd fnta1"/>
          <w:kern w:val="0"/>
          <w:szCs w:val="21"/>
        </w:rPr>
        <w:t>。</w:t>
      </w:r>
      <w:r>
        <w:rPr>
          <w:rFonts w:hint="eastAsia" w:ascii="宋体" w:hAnsi="宋体" w:eastAsia="宋体" w:cs="宋体"/>
          <w:kern w:val="0"/>
          <w:szCs w:val="21"/>
        </w:rPr>
        <w:t>因此,关系人民群众在经济</w:t>
      </w:r>
      <w:r>
        <w:rPr>
          <w:rFonts w:hint="eastAsia" w:ascii="宋体" w:hAnsi="宋体" w:eastAsia="宋体" w:cs="B6+cajcd fnta1"/>
          <w:kern w:val="0"/>
          <w:szCs w:val="21"/>
        </w:rPr>
        <w:t>、</w:t>
      </w:r>
      <w:r>
        <w:rPr>
          <w:rFonts w:hint="eastAsia" w:ascii="宋体" w:hAnsi="宋体" w:eastAsia="宋体" w:cs="宋体"/>
          <w:kern w:val="0"/>
          <w:szCs w:val="21"/>
        </w:rPr>
        <w:t>社会</w:t>
      </w:r>
      <w:r>
        <w:rPr>
          <w:rFonts w:hint="eastAsia" w:ascii="宋体" w:hAnsi="宋体" w:eastAsia="宋体" w:cs="B6+cajcd fnta1"/>
          <w:kern w:val="0"/>
          <w:szCs w:val="21"/>
        </w:rPr>
        <w:t>、</w:t>
      </w:r>
      <w:r>
        <w:rPr>
          <w:rFonts w:hint="eastAsia" w:ascii="宋体" w:hAnsi="宋体" w:eastAsia="宋体" w:cs="宋体"/>
          <w:kern w:val="0"/>
          <w:szCs w:val="21"/>
        </w:rPr>
        <w:t>政治</w:t>
      </w:r>
      <w:r>
        <w:rPr>
          <w:rFonts w:hint="eastAsia" w:ascii="宋体" w:hAnsi="宋体" w:eastAsia="宋体" w:cs="B6+cajcd fnta1"/>
          <w:kern w:val="0"/>
          <w:szCs w:val="21"/>
        </w:rPr>
        <w:t>、</w:t>
      </w:r>
      <w:r>
        <w:rPr>
          <w:rFonts w:hint="eastAsia" w:ascii="宋体" w:hAnsi="宋体" w:eastAsia="宋体" w:cs="宋体"/>
          <w:kern w:val="0"/>
          <w:szCs w:val="21"/>
        </w:rPr>
        <w:t>文化等各方面发展的重要指标都要纳入综合评价体系</w:t>
      </w:r>
      <w:r>
        <w:rPr>
          <w:rFonts w:hint="eastAsia" w:ascii="宋体" w:hAnsi="宋体" w:eastAsia="宋体" w:cs="B6+cajcd fnta1"/>
          <w:kern w:val="0"/>
          <w:szCs w:val="21"/>
        </w:rPr>
        <w:t>。</w:t>
      </w:r>
    </w:p>
    <w:p w14:paraId="6E18EAF8">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第二,要真正体现科学发展观的基本要求：全面</w:t>
      </w:r>
      <w:r>
        <w:rPr>
          <w:rFonts w:hint="eastAsia" w:ascii="宋体" w:hAnsi="宋体" w:eastAsia="宋体" w:cs="B6+cajcd fnta1"/>
          <w:kern w:val="0"/>
          <w:szCs w:val="21"/>
        </w:rPr>
        <w:t>、</w:t>
      </w:r>
      <w:r>
        <w:rPr>
          <w:rFonts w:hint="eastAsia" w:ascii="宋体" w:hAnsi="宋体" w:eastAsia="宋体" w:cs="宋体"/>
          <w:kern w:val="0"/>
          <w:szCs w:val="21"/>
        </w:rPr>
        <w:t>协调和可持续</w:t>
      </w:r>
      <w:r>
        <w:rPr>
          <w:rFonts w:hint="eastAsia" w:ascii="宋体" w:hAnsi="宋体" w:eastAsia="宋体" w:cs="B6+cajcd fnta1"/>
          <w:kern w:val="0"/>
          <w:szCs w:val="21"/>
        </w:rPr>
        <w:t>。</w:t>
      </w:r>
      <w:r>
        <w:rPr>
          <w:rFonts w:hint="eastAsia" w:ascii="宋体" w:hAnsi="宋体" w:eastAsia="宋体" w:cs="宋体"/>
          <w:kern w:val="0"/>
          <w:szCs w:val="21"/>
        </w:rPr>
        <w:t>这就要求统筹考虑城乡</w:t>
      </w:r>
      <w:r>
        <w:rPr>
          <w:rFonts w:hint="eastAsia" w:ascii="宋体" w:hAnsi="宋体" w:eastAsia="宋体" w:cs="B6+cajcd fnta1"/>
          <w:kern w:val="0"/>
          <w:szCs w:val="21"/>
        </w:rPr>
        <w:t>、</w:t>
      </w:r>
      <w:r>
        <w:rPr>
          <w:rFonts w:hint="eastAsia" w:ascii="宋体" w:hAnsi="宋体" w:eastAsia="宋体" w:cs="宋体"/>
          <w:kern w:val="0"/>
          <w:szCs w:val="21"/>
        </w:rPr>
        <w:t>区域</w:t>
      </w:r>
      <w:r>
        <w:rPr>
          <w:rFonts w:hint="eastAsia" w:ascii="宋体" w:hAnsi="宋体" w:eastAsia="宋体" w:cs="B6+cajcd fnta1"/>
          <w:kern w:val="0"/>
          <w:szCs w:val="21"/>
        </w:rPr>
        <w:t>、</w:t>
      </w:r>
      <w:r>
        <w:rPr>
          <w:rFonts w:hint="eastAsia" w:ascii="宋体" w:hAnsi="宋体" w:eastAsia="宋体" w:cs="宋体"/>
          <w:kern w:val="0"/>
          <w:szCs w:val="21"/>
        </w:rPr>
        <w:t>经济社会</w:t>
      </w:r>
      <w:r>
        <w:rPr>
          <w:rFonts w:hint="eastAsia" w:ascii="宋体" w:hAnsi="宋体" w:eastAsia="宋体" w:cs="B6+cajcd fnta1"/>
          <w:kern w:val="0"/>
          <w:szCs w:val="21"/>
        </w:rPr>
        <w:t>、</w:t>
      </w:r>
      <w:r>
        <w:rPr>
          <w:rFonts w:hint="eastAsia" w:ascii="宋体" w:hAnsi="宋体" w:eastAsia="宋体" w:cs="宋体"/>
          <w:kern w:val="0"/>
          <w:szCs w:val="21"/>
        </w:rPr>
        <w:t>人与自然</w:t>
      </w:r>
      <w:r>
        <w:rPr>
          <w:rFonts w:hint="eastAsia" w:ascii="宋体" w:hAnsi="宋体" w:eastAsia="宋体" w:cs="B6+cajcd fnta1"/>
          <w:kern w:val="0"/>
          <w:szCs w:val="21"/>
        </w:rPr>
        <w:t>、</w:t>
      </w:r>
      <w:r>
        <w:rPr>
          <w:rFonts w:hint="eastAsia" w:ascii="宋体" w:hAnsi="宋体" w:eastAsia="宋体" w:cs="宋体"/>
          <w:kern w:val="0"/>
          <w:szCs w:val="21"/>
        </w:rPr>
        <w:t>国内发展与对外开放等方面是否协调,政治</w:t>
      </w:r>
      <w:r>
        <w:rPr>
          <w:rFonts w:hint="eastAsia" w:ascii="宋体" w:hAnsi="宋体" w:eastAsia="宋体" w:cs="B6+cajcd fnta1"/>
          <w:kern w:val="0"/>
          <w:szCs w:val="21"/>
        </w:rPr>
        <w:t>、</w:t>
      </w:r>
      <w:r>
        <w:rPr>
          <w:rFonts w:hint="eastAsia" w:ascii="宋体" w:hAnsi="宋体" w:eastAsia="宋体" w:cs="宋体"/>
          <w:kern w:val="0"/>
          <w:szCs w:val="21"/>
        </w:rPr>
        <w:t>人口</w:t>
      </w:r>
      <w:r>
        <w:rPr>
          <w:rFonts w:hint="eastAsia" w:ascii="宋体" w:hAnsi="宋体" w:eastAsia="宋体" w:cs="B6+cajcd fnta1"/>
          <w:kern w:val="0"/>
          <w:szCs w:val="21"/>
        </w:rPr>
        <w:t>、</w:t>
      </w:r>
      <w:r>
        <w:rPr>
          <w:rFonts w:hint="eastAsia" w:ascii="宋体" w:hAnsi="宋体" w:eastAsia="宋体" w:cs="宋体"/>
          <w:kern w:val="0"/>
          <w:szCs w:val="21"/>
        </w:rPr>
        <w:t>资源</w:t>
      </w:r>
      <w:r>
        <w:rPr>
          <w:rFonts w:hint="eastAsia" w:ascii="宋体" w:hAnsi="宋体" w:eastAsia="宋体" w:cs="B6+cajcd fnta1"/>
          <w:kern w:val="0"/>
          <w:szCs w:val="21"/>
        </w:rPr>
        <w:t>、</w:t>
      </w:r>
      <w:r>
        <w:rPr>
          <w:rFonts w:hint="eastAsia" w:ascii="宋体" w:hAnsi="宋体" w:eastAsia="宋体" w:cs="宋体"/>
          <w:kern w:val="0"/>
          <w:szCs w:val="21"/>
        </w:rPr>
        <w:t>环境等是否协调,不仅要考虑当前的发展,也要考虑未来的发展,不能以牺牲后人的发展为代价来盲目追求当代人的快速发展</w:t>
      </w:r>
      <w:r>
        <w:rPr>
          <w:rFonts w:hint="eastAsia" w:ascii="宋体" w:hAnsi="宋体" w:eastAsia="宋体" w:cs="B6+cajcd fnta1"/>
          <w:kern w:val="0"/>
          <w:szCs w:val="21"/>
        </w:rPr>
        <w:t>。</w:t>
      </w:r>
      <w:r>
        <w:rPr>
          <w:rFonts w:hint="eastAsia" w:ascii="宋体" w:hAnsi="宋体" w:eastAsia="宋体" w:cs="宋体"/>
          <w:kern w:val="0"/>
          <w:szCs w:val="21"/>
        </w:rPr>
        <w:t>这方面的指标特别是资源利用</w:t>
      </w:r>
      <w:r>
        <w:rPr>
          <w:rFonts w:hint="eastAsia" w:ascii="宋体" w:hAnsi="宋体" w:eastAsia="宋体" w:cs="B6+cajcd fnta1"/>
          <w:kern w:val="0"/>
          <w:szCs w:val="21"/>
        </w:rPr>
        <w:t>、</w:t>
      </w:r>
      <w:r>
        <w:rPr>
          <w:rFonts w:hint="eastAsia" w:ascii="宋体" w:hAnsi="宋体" w:eastAsia="宋体" w:cs="宋体"/>
          <w:kern w:val="0"/>
          <w:szCs w:val="21"/>
        </w:rPr>
        <w:t>环境保护等方面的指标都需要加以认真考虑并执行</w:t>
      </w:r>
      <w:r>
        <w:rPr>
          <w:rFonts w:hint="eastAsia" w:ascii="宋体" w:hAnsi="宋体" w:eastAsia="宋体" w:cs="B6+cajcd fnta1"/>
          <w:kern w:val="0"/>
          <w:szCs w:val="21"/>
        </w:rPr>
        <w:t>。</w:t>
      </w:r>
    </w:p>
    <w:p w14:paraId="7B99BDFF">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第三,要真正体现科学发展观的根本目标：构建社会主义和谐社会</w:t>
      </w:r>
      <w:r>
        <w:rPr>
          <w:rFonts w:hint="eastAsia" w:ascii="宋体" w:hAnsi="宋体" w:eastAsia="宋体" w:cs="B6+cajcd fnta1"/>
          <w:kern w:val="0"/>
          <w:szCs w:val="21"/>
        </w:rPr>
        <w:t>。</w:t>
      </w:r>
      <w:r>
        <w:rPr>
          <w:rFonts w:hint="eastAsia" w:ascii="宋体" w:hAnsi="宋体" w:eastAsia="宋体" w:cs="宋体"/>
          <w:kern w:val="0"/>
          <w:szCs w:val="21"/>
        </w:rPr>
        <w:t>这就要求按照构建和谐社会的要求,加强社会建设,完善社会管理,促进社会和谐</w:t>
      </w:r>
      <w:r>
        <w:rPr>
          <w:rFonts w:hint="eastAsia" w:ascii="宋体" w:hAnsi="宋体" w:eastAsia="宋体" w:cs="B6+cajcd fnta1"/>
          <w:kern w:val="0"/>
          <w:szCs w:val="21"/>
        </w:rPr>
        <w:t>。</w:t>
      </w:r>
    </w:p>
    <w:p w14:paraId="7E1F0775">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传统的建立经济社会综合评价体系的逻辑顺序是以人为中心</w:t>
      </w:r>
      <w:r>
        <w:rPr>
          <w:rFonts w:hint="eastAsia" w:ascii="宋体" w:hAnsi="宋体" w:eastAsia="宋体" w:cs="B6+cajcd fnta1"/>
          <w:kern w:val="0"/>
          <w:szCs w:val="21"/>
        </w:rPr>
        <w:t>、</w:t>
      </w:r>
      <w:r>
        <w:rPr>
          <w:rFonts w:hint="eastAsia" w:ascii="宋体" w:hAnsi="宋体" w:eastAsia="宋体" w:cs="宋体"/>
          <w:kern w:val="0"/>
          <w:szCs w:val="21"/>
        </w:rPr>
        <w:t>以人的需要和满足为评价尺度,来建立反映经济社会发展评价体系,这样的评价体系只能反映经济社会发展的状态以及人类活动对自然的影响力,无法建立起人与自然和谐评价尺度和量化指标,因而这样的评价体系对人类行为没有任何的约束力</w:t>
      </w:r>
      <w:r>
        <w:rPr>
          <w:rFonts w:hint="eastAsia" w:ascii="宋体" w:hAnsi="宋体" w:eastAsia="宋体" w:cs="B6+cajcd fnta1"/>
          <w:kern w:val="0"/>
          <w:szCs w:val="21"/>
        </w:rPr>
        <w:t>。</w:t>
      </w:r>
      <w:r>
        <w:rPr>
          <w:rFonts w:hint="eastAsia" w:ascii="宋体" w:hAnsi="宋体" w:eastAsia="宋体" w:cs="宋体"/>
          <w:kern w:val="0"/>
          <w:szCs w:val="21"/>
        </w:rPr>
        <w:t>体现科学发展观要求的经济社会综合评价体系首先是要建立一个能反映人与自然之间和谐的尺度,并将这个尺度嵌入经济社会发展系统,构建体现科学发展观要求的经济社会综合评价体系,这种逻辑路径可以概括为</w:t>
      </w:r>
      <w:r>
        <w:rPr>
          <w:rFonts w:hint="eastAsia" w:ascii="宋体" w:hAnsi="宋体" w:eastAsia="宋体" w:cs="B6+cajcd fnta1"/>
          <w:kern w:val="0"/>
          <w:szCs w:val="21"/>
        </w:rPr>
        <w:t>“</w:t>
      </w:r>
      <w:r>
        <w:rPr>
          <w:rFonts w:hint="eastAsia" w:ascii="宋体" w:hAnsi="宋体" w:eastAsia="宋体" w:cs="宋体"/>
          <w:kern w:val="0"/>
          <w:szCs w:val="21"/>
        </w:rPr>
        <w:t>由外向内</w:t>
      </w:r>
      <w:r>
        <w:rPr>
          <w:rFonts w:hint="eastAsia" w:ascii="宋体" w:hAnsi="宋体" w:eastAsia="宋体" w:cs="B6+cajcd fnta1"/>
          <w:kern w:val="0"/>
          <w:szCs w:val="21"/>
        </w:rPr>
        <w:t>”</w:t>
      </w:r>
      <w:r>
        <w:rPr>
          <w:rFonts w:hint="eastAsia" w:ascii="宋体" w:hAnsi="宋体" w:eastAsia="宋体" w:cs="宋体"/>
          <w:kern w:val="0"/>
          <w:szCs w:val="21"/>
        </w:rPr>
        <w:t>即先找到人与自然和谐的标杆,在此墓础上向经济社会发展系统渗透,解决经济社会发展系统内部的和谐,按照</w:t>
      </w:r>
      <w:r>
        <w:rPr>
          <w:rFonts w:hint="eastAsia" w:ascii="宋体" w:hAnsi="宋体" w:eastAsia="宋体" w:cs="B6+cajcd fnta1"/>
          <w:kern w:val="0"/>
          <w:szCs w:val="21"/>
        </w:rPr>
        <w:t>“</w:t>
      </w:r>
      <w:r>
        <w:rPr>
          <w:rFonts w:hint="eastAsia" w:ascii="宋体" w:hAnsi="宋体" w:eastAsia="宋体" w:cs="宋体"/>
          <w:kern w:val="0"/>
          <w:szCs w:val="21"/>
        </w:rPr>
        <w:t>由外向内</w:t>
      </w:r>
      <w:r>
        <w:rPr>
          <w:rFonts w:hint="eastAsia" w:ascii="宋体" w:hAnsi="宋体" w:eastAsia="宋体" w:cs="B6+cajcd fnta1"/>
          <w:kern w:val="0"/>
          <w:szCs w:val="21"/>
        </w:rPr>
        <w:t>”</w:t>
      </w:r>
      <w:r>
        <w:rPr>
          <w:rFonts w:hint="eastAsia" w:ascii="宋体" w:hAnsi="宋体" w:eastAsia="宋体" w:cs="宋体"/>
          <w:kern w:val="0"/>
          <w:szCs w:val="21"/>
        </w:rPr>
        <w:t>的逻辑路径建立起来的综合评价体系能够提供更多的信息量,指标体系对行为主体更具有约束力,更能反应经济社会发展过程的问题</w:t>
      </w:r>
      <w:r>
        <w:rPr>
          <w:rFonts w:hint="eastAsia" w:ascii="宋体" w:hAnsi="宋体" w:eastAsia="宋体" w:cs="B6+cajcd fnta1"/>
          <w:kern w:val="0"/>
          <w:szCs w:val="21"/>
        </w:rPr>
        <w:t>。</w:t>
      </w:r>
      <w:r>
        <w:rPr>
          <w:rFonts w:hint="eastAsia" w:ascii="宋体" w:hAnsi="宋体" w:eastAsia="宋体" w:cs="宋体"/>
          <w:kern w:val="0"/>
          <w:szCs w:val="21"/>
        </w:rPr>
        <w:t>如前所述,体现科学发展观要求的经济社会发展综合评价体系本质上是要解决一个核心为题</w:t>
      </w:r>
      <w:r>
        <w:rPr>
          <w:rFonts w:hint="eastAsia" w:ascii="宋体" w:hAnsi="宋体" w:eastAsia="宋体" w:cs="B6+cajcd fnta1"/>
          <w:kern w:val="0"/>
          <w:szCs w:val="21"/>
        </w:rPr>
        <w:t>——</w:t>
      </w:r>
      <w:r>
        <w:rPr>
          <w:rFonts w:hint="eastAsia" w:ascii="宋体" w:hAnsi="宋体" w:eastAsia="宋体" w:cs="宋体"/>
          <w:kern w:val="0"/>
          <w:szCs w:val="21"/>
        </w:rPr>
        <w:t>和谐,包括人与自然的和谐和以人为中心的经济社会发展系统内部的和谐</w:t>
      </w:r>
      <w:r>
        <w:rPr>
          <w:rFonts w:hint="eastAsia" w:ascii="宋体" w:hAnsi="宋体" w:eastAsia="宋体" w:cs="B6+cajcd fnta1"/>
          <w:kern w:val="0"/>
          <w:szCs w:val="21"/>
        </w:rPr>
        <w:t>。</w:t>
      </w:r>
    </w:p>
    <w:p w14:paraId="4D492A3D">
      <w:pPr>
        <w:autoSpaceDE w:val="0"/>
        <w:autoSpaceDN w:val="0"/>
        <w:adjustRightInd w:val="0"/>
        <w:spacing w:line="360" w:lineRule="auto"/>
        <w:ind w:firstLine="500" w:firstLineChars="200"/>
        <w:jc w:val="center"/>
        <w:rPr>
          <w:rFonts w:ascii="宋体" w:hAnsi="宋体" w:eastAsia="宋体" w:cs="宋体"/>
          <w:b/>
          <w:kern w:val="0"/>
          <w:sz w:val="24"/>
          <w:szCs w:val="24"/>
        </w:rPr>
      </w:pPr>
      <w:r>
        <w:rPr>
          <w:rFonts w:hint="eastAsia" w:ascii="宋体" w:hAnsi="宋体" w:eastAsia="宋体" w:cs="宋体"/>
          <w:b/>
          <w:kern w:val="0"/>
          <w:sz w:val="24"/>
          <w:szCs w:val="24"/>
        </w:rPr>
        <w:t>五、人与自然和谐是体现科学发展观要求的核心标竿之一</w:t>
      </w:r>
    </w:p>
    <w:p w14:paraId="777DDEF8">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一直以来,人类始终在致力解决以人为中心的社会经济系统的内部问题,坚信物质财富的极大丰富可以拯救人世间一切陷于苦难中的生灵,贫困问题</w:t>
      </w:r>
      <w:r>
        <w:rPr>
          <w:rFonts w:hint="eastAsia" w:ascii="宋体" w:hAnsi="宋体" w:eastAsia="宋体" w:cs="B6+cajcd fnta1"/>
          <w:kern w:val="0"/>
          <w:szCs w:val="21"/>
        </w:rPr>
        <w:t>、</w:t>
      </w:r>
      <w:r>
        <w:rPr>
          <w:rFonts w:hint="eastAsia" w:ascii="宋体" w:hAnsi="宋体" w:eastAsia="宋体" w:cs="宋体"/>
          <w:kern w:val="0"/>
          <w:szCs w:val="21"/>
        </w:rPr>
        <w:t>战争</w:t>
      </w:r>
      <w:r>
        <w:rPr>
          <w:rFonts w:hint="eastAsia" w:ascii="宋体" w:hAnsi="宋体" w:eastAsia="宋体" w:cs="B6+cajcd fnta1"/>
          <w:kern w:val="0"/>
          <w:szCs w:val="21"/>
        </w:rPr>
        <w:t>、</w:t>
      </w:r>
      <w:r>
        <w:rPr>
          <w:rFonts w:hint="eastAsia" w:ascii="宋体" w:hAnsi="宋体" w:eastAsia="宋体" w:cs="宋体"/>
          <w:kern w:val="0"/>
          <w:szCs w:val="21"/>
        </w:rPr>
        <w:t>饥俄</w:t>
      </w:r>
      <w:r>
        <w:rPr>
          <w:rFonts w:hint="eastAsia" w:ascii="宋体" w:hAnsi="宋体" w:eastAsia="宋体" w:cs="B6+cajcd fnta1"/>
          <w:kern w:val="0"/>
          <w:szCs w:val="21"/>
        </w:rPr>
        <w:t>、</w:t>
      </w:r>
      <w:r>
        <w:rPr>
          <w:rFonts w:hint="eastAsia" w:ascii="宋体" w:hAnsi="宋体" w:eastAsia="宋体" w:cs="宋体"/>
          <w:kern w:val="0"/>
          <w:szCs w:val="21"/>
        </w:rPr>
        <w:t>社会不公等都会随着物质财富的增加迎刃而解,结果,物质财富虽然得到史无前例的增长,但贫困问题</w:t>
      </w:r>
      <w:r>
        <w:rPr>
          <w:rFonts w:hint="eastAsia" w:ascii="宋体" w:hAnsi="宋体" w:eastAsia="宋体" w:cs="B6+cajcd fnta1"/>
          <w:kern w:val="0"/>
          <w:szCs w:val="21"/>
        </w:rPr>
        <w:t>、</w:t>
      </w:r>
      <w:r>
        <w:rPr>
          <w:rFonts w:hint="eastAsia" w:ascii="宋体" w:hAnsi="宋体" w:eastAsia="宋体" w:cs="宋体"/>
          <w:kern w:val="0"/>
          <w:szCs w:val="21"/>
        </w:rPr>
        <w:t>战争等这些社会痛疾并没有因此得到解决,同时物质财富增长的代价是地球生命支持系统被破坏,人类社会发展的基础被削弱,全球性环境危机的总爆发唤醒了人类的环境意识,人与自然之间的矛盾和冲突通过各种形式表现出来,环境问题成为人类发展最大的约束因子</w:t>
      </w:r>
      <w:r>
        <w:rPr>
          <w:rFonts w:hint="eastAsia" w:ascii="宋体" w:hAnsi="宋体" w:eastAsia="宋体" w:cs="B6+cajcd fnta1"/>
          <w:kern w:val="0"/>
          <w:szCs w:val="21"/>
        </w:rPr>
        <w:t>。</w:t>
      </w:r>
      <w:r>
        <w:rPr>
          <w:rFonts w:hint="eastAsia" w:ascii="宋体" w:hAnsi="宋体" w:eastAsia="宋体" w:cs="宋体"/>
          <w:kern w:val="0"/>
          <w:szCs w:val="21"/>
        </w:rPr>
        <w:t>科学发展观要解决的问题是由不同属性的子系统相互交织</w:t>
      </w:r>
      <w:r>
        <w:rPr>
          <w:rFonts w:hint="eastAsia" w:ascii="宋体" w:hAnsi="宋体" w:eastAsia="宋体" w:cs="B6+cajcd fnta1"/>
          <w:kern w:val="0"/>
          <w:szCs w:val="21"/>
        </w:rPr>
        <w:t>、</w:t>
      </w:r>
      <w:r>
        <w:rPr>
          <w:rFonts w:hint="eastAsia" w:ascii="宋体" w:hAnsi="宋体" w:eastAsia="宋体" w:cs="宋体"/>
          <w:kern w:val="0"/>
          <w:szCs w:val="21"/>
        </w:rPr>
        <w:t>相互作用</w:t>
      </w:r>
      <w:r>
        <w:rPr>
          <w:rFonts w:hint="eastAsia" w:ascii="宋体" w:hAnsi="宋体" w:eastAsia="宋体" w:cs="B6+cajcd fnta1"/>
          <w:kern w:val="0"/>
          <w:szCs w:val="21"/>
        </w:rPr>
        <w:t>、</w:t>
      </w:r>
      <w:r>
        <w:rPr>
          <w:rFonts w:hint="eastAsia" w:ascii="宋体" w:hAnsi="宋体" w:eastAsia="宋体" w:cs="宋体"/>
          <w:kern w:val="0"/>
          <w:szCs w:val="21"/>
        </w:rPr>
        <w:t>相互渗透而构成的具有特定结构和功能的复杂系统的系统目标,而不是一个单一目标</w:t>
      </w:r>
      <w:r>
        <w:rPr>
          <w:rFonts w:hint="eastAsia" w:ascii="宋体" w:hAnsi="宋体" w:eastAsia="宋体" w:cs="B6+cajcd fnta1"/>
          <w:kern w:val="0"/>
          <w:szCs w:val="21"/>
        </w:rPr>
        <w:t>。</w:t>
      </w:r>
      <w:r>
        <w:rPr>
          <w:rFonts w:hint="eastAsia" w:ascii="宋体" w:hAnsi="宋体" w:eastAsia="宋体" w:cs="宋体"/>
          <w:kern w:val="0"/>
          <w:szCs w:val="21"/>
        </w:rPr>
        <w:t>长期以来,人们始终找不到一个具有高度约束力的衡量人类发展水平和发展质量的尺度</w:t>
      </w:r>
      <w:r>
        <w:rPr>
          <w:rFonts w:hint="eastAsia" w:ascii="宋体" w:hAnsi="宋体" w:eastAsia="宋体" w:cs="B6+cajcd fnta1"/>
          <w:kern w:val="0"/>
          <w:szCs w:val="21"/>
        </w:rPr>
        <w:t>。</w:t>
      </w:r>
      <w:r>
        <w:rPr>
          <w:rFonts w:hint="eastAsia" w:ascii="宋体" w:hAnsi="宋体" w:eastAsia="宋体" w:cs="宋体"/>
          <w:kern w:val="0"/>
          <w:szCs w:val="21"/>
        </w:rPr>
        <w:t>GDP或GNP虽然被认为是20世纪人类最伟大的发明之一,但不能否认GDP或GNP拜物教也把人类推向了误区</w:t>
      </w:r>
      <w:r>
        <w:rPr>
          <w:rFonts w:hint="eastAsia" w:ascii="宋体" w:hAnsi="宋体" w:eastAsia="宋体" w:cs="B6+cajcd fnta1"/>
          <w:kern w:val="0"/>
          <w:szCs w:val="21"/>
        </w:rPr>
        <w:t>。</w:t>
      </w:r>
      <w:r>
        <w:rPr>
          <w:rFonts w:hint="eastAsia" w:ascii="宋体" w:hAnsi="宋体" w:eastAsia="宋体" w:cs="宋体"/>
          <w:kern w:val="0"/>
          <w:szCs w:val="21"/>
        </w:rPr>
        <w:t>关于人与自然的关系,从古到今,人与自然的关系问题就是哲学</w:t>
      </w:r>
      <w:r>
        <w:rPr>
          <w:rFonts w:hint="eastAsia" w:ascii="宋体" w:hAnsi="宋体" w:eastAsia="宋体" w:cs="B6+cajcd fnta1"/>
          <w:kern w:val="0"/>
          <w:szCs w:val="21"/>
        </w:rPr>
        <w:t>、</w:t>
      </w:r>
      <w:r>
        <w:rPr>
          <w:rFonts w:hint="eastAsia" w:ascii="宋体" w:hAnsi="宋体" w:eastAsia="宋体" w:cs="宋体"/>
          <w:kern w:val="0"/>
          <w:szCs w:val="21"/>
        </w:rPr>
        <w:t>伦理学</w:t>
      </w:r>
      <w:r>
        <w:rPr>
          <w:rFonts w:hint="eastAsia" w:ascii="宋体" w:hAnsi="宋体" w:eastAsia="宋体" w:cs="B6+cajcd fnta1"/>
          <w:kern w:val="0"/>
          <w:szCs w:val="21"/>
        </w:rPr>
        <w:t>、</w:t>
      </w:r>
      <w:r>
        <w:rPr>
          <w:rFonts w:hint="eastAsia" w:ascii="宋体" w:hAnsi="宋体" w:eastAsia="宋体" w:cs="宋体"/>
          <w:kern w:val="0"/>
          <w:szCs w:val="21"/>
        </w:rPr>
        <w:t>美学等讨论的重点问题,古代的</w:t>
      </w:r>
      <w:r>
        <w:rPr>
          <w:rFonts w:hint="eastAsia" w:ascii="宋体" w:hAnsi="宋体" w:eastAsia="宋体" w:cs="B6+cajcd fnta1"/>
          <w:kern w:val="0"/>
          <w:szCs w:val="21"/>
        </w:rPr>
        <w:t>“</w:t>
      </w:r>
      <w:r>
        <w:rPr>
          <w:rFonts w:hint="eastAsia" w:ascii="宋体" w:hAnsi="宋体" w:eastAsia="宋体" w:cs="宋体"/>
          <w:kern w:val="0"/>
          <w:szCs w:val="21"/>
        </w:rPr>
        <w:t>天人合一</w:t>
      </w:r>
      <w:r>
        <w:rPr>
          <w:rFonts w:hint="eastAsia" w:ascii="宋体" w:hAnsi="宋体" w:eastAsia="宋体" w:cs="B6+cajcd fnta1"/>
          <w:kern w:val="0"/>
          <w:szCs w:val="21"/>
        </w:rPr>
        <w:t>”、“</w:t>
      </w:r>
      <w:r>
        <w:rPr>
          <w:rFonts w:hint="eastAsia" w:ascii="宋体" w:hAnsi="宋体" w:eastAsia="宋体" w:cs="宋体"/>
          <w:kern w:val="0"/>
          <w:szCs w:val="21"/>
        </w:rPr>
        <w:t>天人合德</w:t>
      </w:r>
      <w:r>
        <w:rPr>
          <w:rFonts w:hint="eastAsia" w:ascii="宋体" w:hAnsi="宋体" w:eastAsia="宋体" w:cs="B6+cajcd fnta1"/>
          <w:kern w:val="0"/>
          <w:szCs w:val="21"/>
        </w:rPr>
        <w:t>”</w:t>
      </w:r>
      <w:r>
        <w:rPr>
          <w:rFonts w:hint="eastAsia" w:ascii="宋体" w:hAnsi="宋体" w:eastAsia="宋体" w:cs="宋体"/>
          <w:kern w:val="0"/>
          <w:szCs w:val="21"/>
        </w:rPr>
        <w:t>思想,是人们处理人与自然之间关系的思想精健,即使是今天看,这种思想依然具有先进性</w:t>
      </w:r>
      <w:r>
        <w:rPr>
          <w:rFonts w:hint="eastAsia" w:ascii="宋体" w:hAnsi="宋体" w:eastAsia="宋体" w:cs="B6+cajcd fnta1"/>
          <w:kern w:val="0"/>
          <w:szCs w:val="21"/>
        </w:rPr>
        <w:t>。“</w:t>
      </w:r>
      <w:r>
        <w:rPr>
          <w:rFonts w:hint="eastAsia" w:ascii="宋体" w:hAnsi="宋体" w:eastAsia="宋体" w:cs="宋体"/>
          <w:kern w:val="0"/>
          <w:szCs w:val="21"/>
        </w:rPr>
        <w:t>经济——社会——环境协同论</w:t>
      </w:r>
      <w:r>
        <w:rPr>
          <w:rFonts w:hint="eastAsia" w:ascii="宋体" w:hAnsi="宋体" w:eastAsia="宋体" w:cs="B6+cajcd fnta1"/>
          <w:kern w:val="0"/>
          <w:szCs w:val="21"/>
        </w:rPr>
        <w:t>”</w:t>
      </w:r>
      <w:r>
        <w:rPr>
          <w:rFonts w:hint="eastAsia" w:ascii="宋体" w:hAnsi="宋体" w:eastAsia="宋体" w:cs="宋体"/>
          <w:kern w:val="0"/>
          <w:szCs w:val="21"/>
        </w:rPr>
        <w:t>以及</w:t>
      </w:r>
      <w:r>
        <w:rPr>
          <w:rFonts w:hint="eastAsia" w:ascii="宋体" w:hAnsi="宋体" w:eastAsia="宋体" w:cs="B6+cajcd fnta1"/>
          <w:kern w:val="0"/>
          <w:szCs w:val="21"/>
        </w:rPr>
        <w:t>“</w:t>
      </w:r>
      <w:r>
        <w:rPr>
          <w:rFonts w:hint="eastAsia" w:ascii="宋体" w:hAnsi="宋体" w:eastAsia="宋体" w:cs="宋体"/>
          <w:kern w:val="0"/>
          <w:szCs w:val="21"/>
        </w:rPr>
        <w:t>可持续发展</w:t>
      </w:r>
      <w:r>
        <w:rPr>
          <w:rFonts w:hint="eastAsia" w:ascii="宋体" w:hAnsi="宋体" w:eastAsia="宋体" w:cs="B6+cajcd fnta1"/>
          <w:kern w:val="0"/>
          <w:szCs w:val="21"/>
        </w:rPr>
        <w:t>”</w:t>
      </w:r>
      <w:r>
        <w:rPr>
          <w:rFonts w:hint="eastAsia" w:ascii="宋体" w:hAnsi="宋体" w:eastAsia="宋体" w:cs="宋体"/>
          <w:kern w:val="0"/>
          <w:szCs w:val="21"/>
        </w:rPr>
        <w:t>等都是人类关于人与自然之间关系的认识的升华,但是这些思想在某种程度上都存在一个共同的缺陷：即仅仅停留在认识论的层面,缺乏可操作性和可测度性,人与自然的和谐究竟是一个什么样的图景,没有人能明确界定,这就产生了一个很大的问题：人与自然之间的和谐还只能停留在理念上</w:t>
      </w:r>
      <w:r>
        <w:rPr>
          <w:rFonts w:hint="eastAsia" w:ascii="宋体" w:hAnsi="宋体" w:eastAsia="宋体" w:cs="B6+cajcd fnta1"/>
          <w:kern w:val="0"/>
          <w:szCs w:val="21"/>
        </w:rPr>
        <w:t>。</w:t>
      </w:r>
      <w:r>
        <w:rPr>
          <w:rFonts w:hint="eastAsia" w:ascii="宋体" w:hAnsi="宋体" w:eastAsia="宋体" w:cs="宋体"/>
          <w:kern w:val="0"/>
          <w:szCs w:val="21"/>
        </w:rPr>
        <w:t>人与自然之间的和谐对于实践科学发展观是一个硬约束,所以是体现科学发展观的核心标竿,究竟应该用什么尺度来衡量人与自然之间的和谐?笔者提出了河流承载力的概念,因为这个概念能够把这两条主线(人与自然和谐</w:t>
      </w:r>
      <w:r>
        <w:rPr>
          <w:rFonts w:hint="eastAsia" w:ascii="宋体" w:hAnsi="宋体" w:eastAsia="宋体" w:cs="B6+cajcd fnta1"/>
          <w:kern w:val="0"/>
          <w:szCs w:val="21"/>
        </w:rPr>
        <w:t>、</w:t>
      </w:r>
      <w:r>
        <w:rPr>
          <w:rFonts w:hint="eastAsia" w:ascii="宋体" w:hAnsi="宋体" w:eastAsia="宋体" w:cs="宋体"/>
          <w:kern w:val="0"/>
          <w:szCs w:val="21"/>
        </w:rPr>
        <w:t>社会经济系统内部的和谐)统一起来,形成一个有机的整体即解决人与自然之间的关系问题,使人与自然之间的关系不再停留在定性描述层面,实现了定量研究人与自然之间关系</w:t>
      </w:r>
      <w:r>
        <w:rPr>
          <w:rFonts w:hint="eastAsia" w:ascii="宋体" w:hAnsi="宋体" w:eastAsia="宋体" w:cs="B6+cajcd fnta1"/>
          <w:kern w:val="0"/>
          <w:szCs w:val="21"/>
        </w:rPr>
        <w:t>。</w:t>
      </w:r>
      <w:r>
        <w:rPr>
          <w:rFonts w:hint="eastAsia" w:ascii="宋体" w:hAnsi="宋体" w:eastAsia="宋体" w:cs="宋体"/>
          <w:kern w:val="0"/>
          <w:szCs w:val="21"/>
        </w:rPr>
        <w:t>同时,通过河流承载力所具有的联动机制,将经济管理和社会管理的重心引向一个全新的领域</w:t>
      </w:r>
      <w:r>
        <w:rPr>
          <w:rFonts w:hint="eastAsia" w:ascii="宋体" w:hAnsi="宋体" w:eastAsia="宋体" w:cs="B6+cajcd fnta1"/>
          <w:kern w:val="0"/>
          <w:szCs w:val="21"/>
        </w:rPr>
        <w:t>)</w:t>
      </w:r>
      <w:r>
        <w:rPr>
          <w:rFonts w:hint="eastAsia" w:ascii="宋体" w:hAnsi="宋体" w:eastAsia="宋体" w:cs="宋体"/>
          <w:kern w:val="0"/>
          <w:szCs w:val="21"/>
        </w:rPr>
        <w:t>行为控制和行为管理,从而实现以人为中心的经济社会发展系统内部及其各子系统之间的和谐(关于这个问题,笔者将在另外的文章中予以专门讨论)</w:t>
      </w:r>
      <w:r>
        <w:rPr>
          <w:rFonts w:hint="eastAsia" w:ascii="宋体" w:hAnsi="宋体" w:eastAsia="宋体" w:cs="B6+cajcd fnta1"/>
          <w:kern w:val="0"/>
          <w:szCs w:val="21"/>
        </w:rPr>
        <w:t>。</w:t>
      </w:r>
    </w:p>
    <w:p w14:paraId="5852DCAF">
      <w:pPr>
        <w:autoSpaceDE w:val="0"/>
        <w:autoSpaceDN w:val="0"/>
        <w:adjustRightInd w:val="0"/>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总之,我国正处于全面建设小康社会的重要时期,必须吸取世界各国尤其是发达国家发展的经验教训,确立符合中国国情的发展思想</w:t>
      </w:r>
      <w:r>
        <w:rPr>
          <w:rFonts w:hint="eastAsia" w:ascii="宋体" w:hAnsi="宋体" w:eastAsia="宋体" w:cs="B6+cajcd fnta1"/>
          <w:kern w:val="0"/>
          <w:szCs w:val="21"/>
        </w:rPr>
        <w:t>。</w:t>
      </w:r>
      <w:r>
        <w:rPr>
          <w:rFonts w:hint="eastAsia" w:ascii="宋体" w:hAnsi="宋体" w:eastAsia="宋体" w:cs="宋体"/>
          <w:kern w:val="0"/>
          <w:szCs w:val="21"/>
        </w:rPr>
        <w:t>科学发展观为解决城乡协调发展问题</w:t>
      </w:r>
      <w:r>
        <w:rPr>
          <w:rFonts w:hint="eastAsia" w:ascii="宋体" w:hAnsi="宋体" w:eastAsia="宋体" w:cs="B6+cajcd fnta1"/>
          <w:kern w:val="0"/>
          <w:szCs w:val="21"/>
        </w:rPr>
        <w:t>、</w:t>
      </w:r>
      <w:r>
        <w:rPr>
          <w:rFonts w:hint="eastAsia" w:ascii="宋体" w:hAnsi="宋体" w:eastAsia="宋体" w:cs="宋体"/>
          <w:kern w:val="0"/>
          <w:szCs w:val="21"/>
        </w:rPr>
        <w:t>实现区域协调发展问题</w:t>
      </w:r>
      <w:r>
        <w:rPr>
          <w:rFonts w:hint="eastAsia" w:ascii="宋体" w:hAnsi="宋体" w:eastAsia="宋体" w:cs="B6+cajcd fnta1"/>
          <w:kern w:val="0"/>
          <w:szCs w:val="21"/>
        </w:rPr>
        <w:t>、</w:t>
      </w:r>
      <w:r>
        <w:rPr>
          <w:rFonts w:hint="eastAsia" w:ascii="宋体" w:hAnsi="宋体" w:eastAsia="宋体" w:cs="宋体"/>
          <w:kern w:val="0"/>
          <w:szCs w:val="21"/>
        </w:rPr>
        <w:t>促进社会公平与正义问题</w:t>
      </w:r>
      <w:r>
        <w:rPr>
          <w:rFonts w:hint="eastAsia" w:ascii="宋体" w:hAnsi="宋体" w:eastAsia="宋体" w:cs="B6+cajcd fnta1"/>
          <w:kern w:val="0"/>
          <w:szCs w:val="21"/>
        </w:rPr>
        <w:t>、</w:t>
      </w:r>
      <w:r>
        <w:rPr>
          <w:rFonts w:hint="eastAsia" w:ascii="宋体" w:hAnsi="宋体" w:eastAsia="宋体" w:cs="宋体"/>
          <w:kern w:val="0"/>
          <w:szCs w:val="21"/>
        </w:rPr>
        <w:t>构建和谐社会问题</w:t>
      </w:r>
      <w:r>
        <w:rPr>
          <w:rFonts w:hint="eastAsia" w:ascii="宋体" w:hAnsi="宋体" w:eastAsia="宋体" w:cs="B6+cajcd fnta1"/>
          <w:kern w:val="0"/>
          <w:szCs w:val="21"/>
        </w:rPr>
        <w:t>、</w:t>
      </w:r>
      <w:r>
        <w:rPr>
          <w:rFonts w:hint="eastAsia" w:ascii="宋体" w:hAnsi="宋体" w:eastAsia="宋体" w:cs="宋体"/>
          <w:kern w:val="0"/>
          <w:szCs w:val="21"/>
        </w:rPr>
        <w:t>环境与发展问题</w:t>
      </w:r>
      <w:r>
        <w:rPr>
          <w:rFonts w:hint="eastAsia" w:ascii="宋体" w:hAnsi="宋体" w:eastAsia="宋体" w:cs="B6+cajcd fnta1"/>
          <w:kern w:val="0"/>
          <w:szCs w:val="21"/>
        </w:rPr>
        <w:t>、</w:t>
      </w:r>
      <w:r>
        <w:rPr>
          <w:rFonts w:hint="eastAsia" w:ascii="宋体" w:hAnsi="宋体" w:eastAsia="宋体" w:cs="宋体"/>
          <w:kern w:val="0"/>
          <w:szCs w:val="21"/>
        </w:rPr>
        <w:t>人的全面发展问题等等融入其理论体系之中,反映了实践上广大人民群众的利益诉求</w:t>
      </w:r>
      <w:r>
        <w:rPr>
          <w:rFonts w:hint="eastAsia" w:ascii="宋体" w:hAnsi="宋体" w:eastAsia="宋体" w:cs="B6+cajcd fnta1"/>
          <w:kern w:val="0"/>
          <w:szCs w:val="21"/>
        </w:rPr>
        <w:t>、</w:t>
      </w:r>
      <w:r>
        <w:rPr>
          <w:rFonts w:hint="eastAsia" w:ascii="宋体" w:hAnsi="宋体" w:eastAsia="宋体" w:cs="宋体"/>
          <w:kern w:val="0"/>
          <w:szCs w:val="21"/>
        </w:rPr>
        <w:t>体现了人类社会发展的基本规律和根本目的,是人类一切优秀文明成果的集中体现</w:t>
      </w:r>
      <w:r>
        <w:rPr>
          <w:rFonts w:hint="eastAsia" w:ascii="宋体" w:hAnsi="宋体" w:eastAsia="宋体" w:cs="B6+cajcd fnta1"/>
          <w:kern w:val="0"/>
          <w:szCs w:val="21"/>
        </w:rPr>
        <w:t>。</w:t>
      </w:r>
    </w:p>
    <w:p w14:paraId="16831117">
      <w:pPr>
        <w:autoSpaceDE w:val="0"/>
        <w:autoSpaceDN w:val="0"/>
        <w:adjustRightInd w:val="0"/>
        <w:spacing w:line="400" w:lineRule="exact"/>
        <w:ind w:firstLine="200"/>
        <w:rPr>
          <w:rFonts w:ascii="宋体" w:hAnsi="宋体" w:eastAsia="宋体" w:cs="宋体"/>
          <w:kern w:val="0"/>
          <w:szCs w:val="21"/>
        </w:rPr>
      </w:pPr>
    </w:p>
    <w:p w14:paraId="36ACC401">
      <w:pPr>
        <w:autoSpaceDE w:val="0"/>
        <w:autoSpaceDN w:val="0"/>
        <w:adjustRightInd w:val="0"/>
        <w:spacing w:line="400" w:lineRule="exact"/>
        <w:ind w:firstLine="200"/>
        <w:rPr>
          <w:rFonts w:ascii="宋体" w:hAnsi="宋体" w:eastAsia="宋体" w:cs="宋体"/>
          <w:b/>
          <w:kern w:val="0"/>
          <w:szCs w:val="21"/>
        </w:rPr>
      </w:pPr>
      <w:r>
        <w:rPr>
          <w:rFonts w:hint="eastAsia" w:ascii="宋体" w:hAnsi="宋体" w:eastAsia="宋体" w:cs="宋体"/>
          <w:b/>
          <w:kern w:val="0"/>
          <w:szCs w:val="21"/>
        </w:rPr>
        <w:t>参考文献</w:t>
      </w:r>
    </w:p>
    <w:p w14:paraId="16D3A2A6">
      <w:pPr>
        <w:autoSpaceDE w:val="0"/>
        <w:autoSpaceDN w:val="0"/>
        <w:adjustRightInd w:val="0"/>
        <w:spacing w:line="400" w:lineRule="exact"/>
        <w:ind w:firstLine="200"/>
        <w:rPr>
          <w:rFonts w:ascii="宋体" w:hAnsi="宋体" w:eastAsia="宋体" w:cs="B6+cajcd fnta1"/>
          <w:kern w:val="0"/>
          <w:sz w:val="18"/>
          <w:szCs w:val="18"/>
        </w:rPr>
      </w:pPr>
      <w:r>
        <w:rPr>
          <w:rFonts w:hint="eastAsia" w:ascii="宋体" w:hAnsi="宋体" w:eastAsia="宋体" w:cs="宋体"/>
          <w:kern w:val="0"/>
          <w:sz w:val="18"/>
          <w:szCs w:val="18"/>
        </w:rPr>
        <w:t>[1]胡锦涛：《全面贯彻落实科学发展观,推动经济社会又快又好发展》，《求是》2006年第1期。</w:t>
      </w:r>
    </w:p>
    <w:p w14:paraId="2DD23CB7">
      <w:pPr>
        <w:autoSpaceDE w:val="0"/>
        <w:autoSpaceDN w:val="0"/>
        <w:adjustRightInd w:val="0"/>
        <w:spacing w:line="400" w:lineRule="exact"/>
        <w:ind w:firstLine="200"/>
        <w:rPr>
          <w:rFonts w:ascii="宋体" w:hAnsi="宋体" w:eastAsia="宋体" w:cs="宋体"/>
          <w:kern w:val="0"/>
          <w:sz w:val="18"/>
          <w:szCs w:val="18"/>
        </w:rPr>
      </w:pPr>
      <w:r>
        <w:rPr>
          <w:rFonts w:hint="eastAsia" w:ascii="宋体" w:hAnsi="宋体" w:eastAsia="宋体" w:cs="B6+cajcd fnta1"/>
          <w:kern w:val="0"/>
          <w:sz w:val="18"/>
          <w:szCs w:val="18"/>
        </w:rPr>
        <w:t>[</w:t>
      </w:r>
      <w:r>
        <w:rPr>
          <w:rFonts w:hint="eastAsia" w:ascii="宋体" w:hAnsi="宋体" w:eastAsia="宋体" w:cs="宋体"/>
          <w:kern w:val="0"/>
          <w:sz w:val="18"/>
          <w:szCs w:val="18"/>
        </w:rPr>
        <w:t>2]中共中央宣传部理论局：《科学发展观学习读本</w:t>
      </w:r>
      <w:r>
        <w:rPr>
          <w:rFonts w:hint="eastAsia" w:ascii="宋体" w:hAnsi="宋体" w:eastAsia="宋体" w:cs="B6+cajcd fnta1"/>
          <w:kern w:val="0"/>
          <w:sz w:val="18"/>
          <w:szCs w:val="18"/>
        </w:rPr>
        <w:t>》，</w:t>
      </w:r>
      <w:r>
        <w:rPr>
          <w:rFonts w:hint="eastAsia" w:ascii="宋体" w:hAnsi="宋体" w:eastAsia="宋体" w:cs="宋体"/>
          <w:kern w:val="0"/>
          <w:sz w:val="18"/>
          <w:szCs w:val="18"/>
        </w:rPr>
        <w:t>学习出版社206年版</w:t>
      </w:r>
    </w:p>
    <w:p w14:paraId="6FE171E9">
      <w:pPr>
        <w:autoSpaceDE w:val="0"/>
        <w:autoSpaceDN w:val="0"/>
        <w:adjustRightInd w:val="0"/>
        <w:spacing w:line="400" w:lineRule="exact"/>
        <w:ind w:firstLine="200"/>
        <w:rPr>
          <w:rFonts w:ascii="宋体" w:hAnsi="宋体" w:eastAsia="宋体" w:cs="B6+cajcd fnta1"/>
          <w:kern w:val="0"/>
          <w:sz w:val="18"/>
          <w:szCs w:val="18"/>
        </w:rPr>
      </w:pPr>
      <w:r>
        <w:rPr>
          <w:rFonts w:hint="eastAsia" w:ascii="宋体" w:hAnsi="宋体" w:eastAsia="宋体" w:cs="宋体"/>
          <w:kern w:val="0"/>
          <w:sz w:val="18"/>
          <w:szCs w:val="18"/>
        </w:rPr>
        <w:t>[3]杨信礼：《科学发展观研究》，人民出版社2007年版。</w:t>
      </w:r>
    </w:p>
    <w:p w14:paraId="737E9559">
      <w:pPr>
        <w:autoSpaceDE w:val="0"/>
        <w:autoSpaceDN w:val="0"/>
        <w:adjustRightInd w:val="0"/>
        <w:spacing w:line="400" w:lineRule="exact"/>
        <w:ind w:firstLine="200"/>
        <w:rPr>
          <w:rFonts w:ascii="宋体" w:hAnsi="宋体" w:eastAsia="宋体" w:cs="宋体"/>
          <w:kern w:val="0"/>
          <w:sz w:val="18"/>
          <w:szCs w:val="18"/>
        </w:rPr>
      </w:pPr>
      <w:r>
        <w:rPr>
          <w:rFonts w:hint="eastAsia" w:ascii="宋体" w:hAnsi="宋体" w:eastAsia="宋体" w:cs="B6+cajcd fnta1"/>
          <w:kern w:val="0"/>
          <w:sz w:val="18"/>
          <w:szCs w:val="18"/>
        </w:rPr>
        <w:t>[4]</w:t>
      </w:r>
      <w:r>
        <w:rPr>
          <w:rFonts w:hint="eastAsia" w:ascii="宋体" w:hAnsi="宋体" w:eastAsia="宋体" w:cs="宋体"/>
          <w:kern w:val="0"/>
          <w:sz w:val="18"/>
          <w:szCs w:val="18"/>
        </w:rPr>
        <w:t>冯国瑞：《科学发展观的哲学基础》，《高校理论战线》2005年第3期。</w:t>
      </w:r>
    </w:p>
    <w:p w14:paraId="7D50271F">
      <w:pPr>
        <w:autoSpaceDE w:val="0"/>
        <w:autoSpaceDN w:val="0"/>
        <w:adjustRightInd w:val="0"/>
        <w:spacing w:line="400" w:lineRule="exact"/>
        <w:ind w:firstLine="200"/>
        <w:rPr>
          <w:rFonts w:ascii="宋体" w:hAnsi="宋体" w:eastAsia="宋体" w:cs="宋体"/>
          <w:kern w:val="0"/>
          <w:sz w:val="18"/>
          <w:szCs w:val="18"/>
        </w:rPr>
      </w:pPr>
      <w:r>
        <w:rPr>
          <w:rFonts w:hint="eastAsia" w:ascii="宋体" w:hAnsi="宋体" w:eastAsia="宋体" w:cs="宋体"/>
          <w:kern w:val="0"/>
          <w:sz w:val="18"/>
          <w:szCs w:val="18"/>
        </w:rPr>
        <w:t>[5]林文肯：《科学发展观：马克思主义哲学的生动体现</w:t>
      </w:r>
      <w:r>
        <w:rPr>
          <w:rFonts w:hint="eastAsia" w:ascii="宋体" w:hAnsi="宋体" w:eastAsia="宋体" w:cs="B6+cajcd fnta1"/>
          <w:kern w:val="0"/>
          <w:sz w:val="18"/>
          <w:szCs w:val="18"/>
        </w:rPr>
        <w:t>》，《</w:t>
      </w:r>
      <w:r>
        <w:rPr>
          <w:rFonts w:hint="eastAsia" w:ascii="宋体" w:hAnsi="宋体" w:eastAsia="宋体" w:cs="宋体"/>
          <w:kern w:val="0"/>
          <w:sz w:val="18"/>
          <w:szCs w:val="18"/>
        </w:rPr>
        <w:t>求是》2004年第17期。</w:t>
      </w:r>
    </w:p>
    <w:p w14:paraId="346F2B91">
      <w:pPr>
        <w:autoSpaceDE w:val="0"/>
        <w:autoSpaceDN w:val="0"/>
        <w:adjustRightInd w:val="0"/>
        <w:spacing w:line="400" w:lineRule="exact"/>
        <w:ind w:firstLine="200"/>
        <w:rPr>
          <w:rFonts w:ascii="宋体" w:hAnsi="宋体" w:eastAsia="宋体" w:cs="宋体"/>
          <w:kern w:val="0"/>
          <w:sz w:val="18"/>
          <w:szCs w:val="18"/>
        </w:rPr>
      </w:pPr>
      <w:r>
        <w:rPr>
          <w:rFonts w:hint="eastAsia" w:ascii="宋体" w:hAnsi="宋体" w:eastAsia="宋体" w:cs="宋体"/>
          <w:kern w:val="0"/>
          <w:sz w:val="18"/>
          <w:szCs w:val="18"/>
        </w:rPr>
        <w:t>[6]王志伟：《经济学视角下的科学发展观》，《内蒙古财经学院学报》2004年第3期。</w:t>
      </w:r>
    </w:p>
    <w:p w14:paraId="0F9345EF">
      <w:pPr>
        <w:autoSpaceDE w:val="0"/>
        <w:autoSpaceDN w:val="0"/>
        <w:adjustRightInd w:val="0"/>
        <w:spacing w:line="400" w:lineRule="exact"/>
        <w:ind w:firstLine="200"/>
        <w:rPr>
          <w:rFonts w:ascii="宋体" w:hAnsi="宋体" w:eastAsia="宋体" w:cs="宋体"/>
          <w:kern w:val="0"/>
          <w:sz w:val="18"/>
          <w:szCs w:val="18"/>
        </w:rPr>
      </w:pPr>
      <w:r>
        <w:rPr>
          <w:rFonts w:hint="eastAsia" w:ascii="宋体" w:hAnsi="宋体" w:eastAsia="宋体" w:cs="宋体"/>
          <w:kern w:val="0"/>
          <w:sz w:val="18"/>
          <w:szCs w:val="18"/>
        </w:rPr>
        <w:t>[7</w:t>
      </w:r>
      <w:r>
        <w:rPr>
          <w:rFonts w:hint="eastAsia" w:ascii="宋体" w:hAnsi="宋体" w:eastAsia="宋体" w:cs="B6+cajcd fnta1"/>
          <w:kern w:val="0"/>
          <w:sz w:val="18"/>
          <w:szCs w:val="18"/>
        </w:rPr>
        <w:t>]</w:t>
      </w:r>
      <w:r>
        <w:rPr>
          <w:rFonts w:hint="eastAsia" w:ascii="宋体" w:hAnsi="宋体" w:eastAsia="宋体" w:cs="宋体"/>
          <w:kern w:val="0"/>
          <w:sz w:val="18"/>
          <w:szCs w:val="18"/>
        </w:rPr>
        <w:t>陈爱华：《科学发展观的伦理之维</w:t>
      </w:r>
      <w:r>
        <w:rPr>
          <w:rFonts w:hint="eastAsia" w:ascii="宋体" w:hAnsi="宋体" w:eastAsia="宋体" w:cs="B6+cajcd fnta1"/>
          <w:kern w:val="0"/>
          <w:sz w:val="18"/>
          <w:szCs w:val="18"/>
        </w:rPr>
        <w:t>》，《</w:t>
      </w:r>
      <w:r>
        <w:rPr>
          <w:rFonts w:hint="eastAsia" w:ascii="宋体" w:hAnsi="宋体" w:eastAsia="宋体" w:cs="宋体"/>
          <w:kern w:val="0"/>
          <w:sz w:val="18"/>
          <w:szCs w:val="18"/>
        </w:rPr>
        <w:t>南京政治学院学报》2005年第2期。</w:t>
      </w:r>
    </w:p>
    <w:p w14:paraId="16BEE511">
      <w:pPr>
        <w:autoSpaceDE w:val="0"/>
        <w:autoSpaceDN w:val="0"/>
        <w:adjustRightInd w:val="0"/>
        <w:spacing w:line="400" w:lineRule="exact"/>
        <w:ind w:firstLine="200"/>
        <w:rPr>
          <w:rFonts w:ascii="宋体" w:hAnsi="宋体" w:eastAsia="宋体" w:cs="宋体"/>
          <w:kern w:val="0"/>
          <w:sz w:val="18"/>
          <w:szCs w:val="18"/>
        </w:rPr>
      </w:pPr>
      <w:r>
        <w:rPr>
          <w:rFonts w:hint="eastAsia" w:ascii="宋体" w:hAnsi="宋体" w:eastAsia="宋体" w:cs="宋体"/>
          <w:kern w:val="0"/>
          <w:sz w:val="18"/>
          <w:szCs w:val="18"/>
        </w:rPr>
        <w:t>[8]杨国蓉：《科学发展观的文化诊释</w:t>
      </w:r>
      <w:r>
        <w:rPr>
          <w:rFonts w:hint="eastAsia" w:ascii="宋体" w:hAnsi="宋体" w:eastAsia="宋体" w:cs="B6+cajcd fnta1"/>
          <w:kern w:val="0"/>
          <w:sz w:val="18"/>
          <w:szCs w:val="18"/>
        </w:rPr>
        <w:t>》，《</w:t>
      </w:r>
      <w:r>
        <w:rPr>
          <w:rFonts w:hint="eastAsia" w:ascii="宋体" w:hAnsi="宋体" w:eastAsia="宋体" w:cs="宋体"/>
          <w:kern w:val="0"/>
          <w:sz w:val="18"/>
          <w:szCs w:val="18"/>
        </w:rPr>
        <w:t>探索》2005年第2期。</w:t>
      </w:r>
    </w:p>
    <w:p w14:paraId="47C00637">
      <w:pPr>
        <w:autoSpaceDE w:val="0"/>
        <w:autoSpaceDN w:val="0"/>
        <w:adjustRightInd w:val="0"/>
        <w:spacing w:line="400" w:lineRule="exact"/>
        <w:ind w:firstLine="200"/>
        <w:rPr>
          <w:rFonts w:ascii="宋体" w:hAnsi="宋体" w:eastAsia="宋体" w:cs="宋体"/>
          <w:kern w:val="0"/>
          <w:sz w:val="18"/>
          <w:szCs w:val="18"/>
        </w:rPr>
      </w:pPr>
      <w:r>
        <w:rPr>
          <w:rFonts w:hint="eastAsia" w:ascii="宋体" w:hAnsi="宋体" w:eastAsia="宋体" w:cs="宋体"/>
          <w:kern w:val="0"/>
          <w:sz w:val="18"/>
          <w:szCs w:val="18"/>
        </w:rPr>
        <w:t>[9</w:t>
      </w:r>
      <w:r>
        <w:rPr>
          <w:rFonts w:hint="eastAsia" w:ascii="宋体" w:hAnsi="宋体" w:eastAsia="宋体" w:cs="B6+cajcd fnta1"/>
          <w:kern w:val="0"/>
          <w:sz w:val="18"/>
          <w:szCs w:val="18"/>
        </w:rPr>
        <w:t>]</w:t>
      </w:r>
      <w:r>
        <w:rPr>
          <w:rFonts w:hint="eastAsia" w:ascii="宋体" w:hAnsi="宋体" w:eastAsia="宋体" w:cs="宋体"/>
          <w:kern w:val="0"/>
          <w:sz w:val="18"/>
          <w:szCs w:val="18"/>
        </w:rPr>
        <w:t>沈晓珊：《系统科学视域中的发展观》，《南京政治学院学报》2002年第2期。</w:t>
      </w:r>
    </w:p>
    <w:p w14:paraId="658A62F1">
      <w:pPr>
        <w:autoSpaceDE w:val="0"/>
        <w:autoSpaceDN w:val="0"/>
        <w:adjustRightInd w:val="0"/>
        <w:spacing w:line="400" w:lineRule="exact"/>
        <w:ind w:firstLine="200"/>
        <w:rPr>
          <w:rFonts w:ascii="宋体" w:hAnsi="宋体" w:eastAsia="宋体" w:cs="宋体"/>
          <w:kern w:val="0"/>
          <w:sz w:val="18"/>
          <w:szCs w:val="18"/>
        </w:rPr>
      </w:pPr>
      <w:r>
        <w:rPr>
          <w:rFonts w:hint="eastAsia" w:ascii="宋体" w:hAnsi="宋体" w:eastAsia="宋体" w:cs="宋体"/>
          <w:kern w:val="0"/>
          <w:sz w:val="18"/>
          <w:szCs w:val="18"/>
        </w:rPr>
        <w:t>[10]程恩富</w:t>
      </w:r>
      <w:r>
        <w:rPr>
          <w:rFonts w:hint="eastAsia" w:ascii="宋体" w:hAnsi="宋体" w:eastAsia="宋体" w:cs="B6+cajcd fnta1"/>
          <w:kern w:val="0"/>
          <w:sz w:val="18"/>
          <w:szCs w:val="18"/>
        </w:rPr>
        <w:t>、</w:t>
      </w:r>
      <w:r>
        <w:rPr>
          <w:rFonts w:hint="eastAsia" w:ascii="宋体" w:hAnsi="宋体" w:eastAsia="宋体" w:cs="宋体"/>
          <w:kern w:val="0"/>
          <w:sz w:val="18"/>
          <w:szCs w:val="18"/>
        </w:rPr>
        <w:t>曹立村：《GDPW：衡量科学发展的经济价值新标尺</w:t>
      </w:r>
      <w:r>
        <w:rPr>
          <w:rFonts w:hint="eastAsia" w:ascii="宋体" w:hAnsi="宋体" w:eastAsia="宋体" w:cs="B6+cajcd fnta1"/>
          <w:kern w:val="0"/>
          <w:sz w:val="18"/>
          <w:szCs w:val="18"/>
        </w:rPr>
        <w:t>》，《</w:t>
      </w:r>
      <w:r>
        <w:rPr>
          <w:rFonts w:hint="eastAsia" w:ascii="宋体" w:hAnsi="宋体" w:eastAsia="宋体" w:cs="宋体"/>
          <w:kern w:val="0"/>
          <w:sz w:val="18"/>
          <w:szCs w:val="18"/>
        </w:rPr>
        <w:t>经济纵横》2009年第2期。</w:t>
      </w:r>
    </w:p>
    <w:p w14:paraId="691CAB19">
      <w:pPr>
        <w:autoSpaceDE w:val="0"/>
        <w:autoSpaceDN w:val="0"/>
        <w:adjustRightInd w:val="0"/>
        <w:spacing w:line="400" w:lineRule="exact"/>
        <w:ind w:firstLine="200"/>
        <w:rPr>
          <w:rFonts w:ascii="宋体" w:hAnsi="宋体" w:eastAsia="宋体" w:cs="宋体"/>
          <w:kern w:val="0"/>
          <w:szCs w:val="21"/>
        </w:rPr>
      </w:pPr>
    </w:p>
    <w:p w14:paraId="5A7E442F">
      <w:pPr>
        <w:autoSpaceDE w:val="0"/>
        <w:autoSpaceDN w:val="0"/>
        <w:adjustRightInd w:val="0"/>
        <w:spacing w:line="400" w:lineRule="exact"/>
        <w:ind w:firstLine="200"/>
        <w:rPr>
          <w:rFonts w:ascii="宋体" w:hAnsi="宋体" w:eastAsia="宋体" w:cs="宋体"/>
          <w:kern w:val="0"/>
          <w:szCs w:val="21"/>
        </w:rPr>
      </w:pPr>
      <w:r>
        <w:rPr>
          <w:rFonts w:hint="eastAsia" w:ascii="宋体" w:hAnsi="宋体" w:eastAsia="宋体" w:cs="宋体"/>
          <w:kern w:val="0"/>
          <w:szCs w:val="21"/>
        </w:rPr>
        <w:t>（原载《海派经济学》2009年第1期。第二作者为王朝科）</w:t>
      </w:r>
    </w:p>
    <w:p w14:paraId="7C40D0DB">
      <w:pPr>
        <w:spacing w:line="400" w:lineRule="exact"/>
        <w:ind w:firstLine="200"/>
      </w:pPr>
      <w:r>
        <w:rPr>
          <w:rFonts w:hint="eastAsia" w:ascii="宋体" w:hAnsi="宋体" w:eastAsia="宋体" w:cs="Times New Roman"/>
          <w:szCs w:val="21"/>
        </w:rPr>
        <w:br w:type="page"/>
      </w:r>
    </w:p>
    <w:p w14:paraId="029F77ED">
      <w:pPr>
        <w:keepNext/>
        <w:keepLines/>
        <w:spacing w:line="400" w:lineRule="exact"/>
        <w:ind w:firstLine="200"/>
        <w:jc w:val="center"/>
        <w:outlineLvl w:val="1"/>
        <w:rPr>
          <w:rFonts w:ascii="宋体" w:hAnsi="宋体" w:eastAsia="宋体" w:cs="Times New Roman"/>
          <w:b/>
          <w:bCs/>
          <w:kern w:val="0"/>
          <w:sz w:val="32"/>
          <w:szCs w:val="32"/>
        </w:rPr>
      </w:pPr>
      <w:bookmarkStart w:id="1038" w:name="_Toc27999"/>
      <w:bookmarkStart w:id="1039" w:name="_Toc1323834285"/>
      <w:bookmarkStart w:id="1040" w:name="_Toc1080265674"/>
      <w:r>
        <w:rPr>
          <w:rFonts w:hint="eastAsia" w:ascii="黑体" w:hAnsi="黑体" w:eastAsia="黑体" w:cs="Times New Roman"/>
          <w:kern w:val="0"/>
          <w:sz w:val="32"/>
          <w:szCs w:val="32"/>
        </w:rPr>
        <w:t>5坚持公有制为主体、多种所有制经济共同发展的基本经济制度</w:t>
      </w:r>
      <w:r>
        <w:rPr>
          <w:rFonts w:ascii="宋体" w:hAnsi="宋体" w:eastAsia="宋体" w:cs="Times New Roman"/>
          <w:b/>
          <w:bCs/>
          <w:kern w:val="0"/>
          <w:sz w:val="32"/>
          <w:szCs w:val="32"/>
          <w:vertAlign w:val="superscript"/>
        </w:rPr>
        <w:footnoteReference w:id="351"/>
      </w:r>
      <w:bookmarkEnd w:id="1038"/>
      <w:bookmarkEnd w:id="1039"/>
      <w:bookmarkEnd w:id="1040"/>
    </w:p>
    <w:p w14:paraId="03059C8B">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中华人民共和国宪法》和《中华人民共和国物权法》都规定，“国家在社会主义初级阶段，坚持公有制为主体、多种所有制经济共同发展的基本经济制度”，可见，社会主义初级阶段的基本经济制度，这是当代中国立国的最基本的经济纲领，也是因物的归属和利用而产生的民事关系行为中必须坚持的最基本的经济实践原则。我们能否深刻理解这个基本经济制度，将关系到能否真正高举中国特色社会主义伟大旗帜，遵照社会主义核心价值体系的要求，同心同德，团结奋斗，实现国家的长治久安。</w:t>
      </w:r>
    </w:p>
    <w:p w14:paraId="6C8E5371">
      <w:pPr>
        <w:autoSpaceDE w:val="0"/>
        <w:autoSpaceDN w:val="0"/>
        <w:adjustRightInd w:val="0"/>
        <w:spacing w:line="360" w:lineRule="auto"/>
        <w:ind w:firstLine="500" w:firstLineChars="200"/>
        <w:jc w:val="center"/>
        <w:rPr>
          <w:rFonts w:ascii="宋体" w:hAnsi="宋体" w:eastAsia="宋体" w:cs="宋体"/>
          <w:b/>
          <w:kern w:val="0"/>
          <w:sz w:val="24"/>
          <w:szCs w:val="24"/>
        </w:rPr>
      </w:pPr>
      <w:r>
        <w:rPr>
          <w:rFonts w:hint="eastAsia" w:ascii="宋体" w:hAnsi="宋体" w:eastAsia="宋体" w:cs="宋体"/>
          <w:b/>
          <w:kern w:val="0"/>
          <w:sz w:val="24"/>
          <w:szCs w:val="24"/>
        </w:rPr>
        <w:t>一、坚持公有制为主体、多种所有制经济共同发展是对中国社会的经济发展规律的遵循</w:t>
      </w:r>
    </w:p>
    <w:p w14:paraId="1AF5DB53">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社会主义初级阶段的基本经济制度，指的是当代中国经济的社会形态。马克思在《资本论》序言中指出，“我的观点是把经济的社会形态的发展理解为一种自然史的过程”</w:t>
      </w:r>
      <w:r>
        <w:rPr>
          <w:rFonts w:ascii="宋体" w:hAnsi="宋体" w:eastAsia="宋体" w:cs="Times New Roman"/>
          <w:szCs w:val="21"/>
          <w:vertAlign w:val="superscript"/>
        </w:rPr>
        <w:footnoteReference w:id="352"/>
      </w:r>
      <w:r>
        <w:rPr>
          <w:rFonts w:hint="eastAsia" w:ascii="宋体" w:hAnsi="宋体" w:eastAsia="宋体" w:cs="Times New Roman"/>
          <w:szCs w:val="21"/>
        </w:rPr>
        <w:t>。“经济的社会形态”（德文</w:t>
      </w:r>
      <w:r>
        <w:rPr>
          <w:rFonts w:ascii="Times New Roman" w:hAnsi="Times New Roman" w:eastAsia="宋体" w:cs="Times New Roman"/>
          <w:szCs w:val="21"/>
        </w:rPr>
        <w:t>Die Ökonomishe  Gesellschaftsformation）</w:t>
      </w:r>
      <w:r>
        <w:rPr>
          <w:rFonts w:hint="eastAsia" w:ascii="宋体" w:hAnsi="宋体" w:eastAsia="宋体" w:cs="Times New Roman"/>
          <w:szCs w:val="21"/>
        </w:rPr>
        <w:t>指的就是生产中的社会关系或者生产资料所有制，把它的发展过程理解为像自然界的运动那样，存在不以人的意志为转移的客观规律，这就是唯物史观，是“唯一科学的历史观”</w:t>
      </w:r>
      <w:r>
        <w:rPr>
          <w:rFonts w:ascii="宋体" w:hAnsi="宋体" w:eastAsia="宋体" w:cs="Times New Roman"/>
          <w:szCs w:val="21"/>
          <w:vertAlign w:val="superscript"/>
        </w:rPr>
        <w:footnoteReference w:id="353"/>
      </w:r>
      <w:r>
        <w:rPr>
          <w:rFonts w:hint="eastAsia" w:ascii="宋体" w:hAnsi="宋体" w:eastAsia="宋体" w:cs="Times New Roman"/>
          <w:szCs w:val="21"/>
        </w:rPr>
        <w:t>。</w:t>
      </w:r>
    </w:p>
    <w:p w14:paraId="23ECCEA2">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生产资料所有制是在生产过程中，由生产资料（生产的客观条件）所有权归属所决定的人们之间的社会关系。初看起来，人与人之间的生产关系是同人的主观意志联系在一起的，为什么存在客观规律？这是因为所有制的状态是由一定历史阶段社会生产力的发展水平决定的，而生产力是物质的，其发展水平是可以用自然科学的精确性指明的。</w:t>
      </w:r>
    </w:p>
    <w:p w14:paraId="02A84C99">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我国确立以公有制为主体、多种所有制经济共同发展的基本经济制度，这是对中国经济的社会形态发展客观规律的遵循。在当代中国，现代、近代和古代生产力多层次并存。建立在机器生产基础上的近代生产力和以电子信息技术为标志的现代生产力，都提出了社会化生产的要求；尽管资本主义生产关系在某种程度上也能被动地（如通过经济危机）适应这种要求，但是公有制则是社会化生产方式本身的必然要求。我国的所有制以公有制为主体就体现了这种要求。只有形成以公有制为主体、多种所有制经济共同发展这样的格局，才能促进社会生产力以较快的速度发展。由多层次生产力的状况决定，我国的公有制经济还不可能覆盖全社会，还必须同时发展私营经济、个体经济，利用外资经济，但是，事物的性质是由其多种矛盾中的主要矛盾的性质决定的。“社会主义制度是中华人民共和国的根本制度”（见宪法“总纲”第一条第二款）。</w:t>
      </w:r>
    </w:p>
    <w:p w14:paraId="1684C412">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有人认为，中国过去长期处在半封建半殖民地的社会，因此，必须“补资本主义的课”，这是很大的认识误区。这种观点忽视了，即使相对于近代的机器生产力，公有制比起私有制也更能适应；而且，决定一国所有制的因素，必须从本国多方面具体因素的综合作用出发，才能做出利国利民的正确选择。</w:t>
      </w:r>
    </w:p>
    <w:p w14:paraId="7FC61783">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我国选择社会主义基本经济制度，这是由国际经济环境和国情等历史条件决定的。近现代经济史表明，外国资本主义发展到垄断资本主义，尤其是国家垄断资本主义阶段，早已对发展中国家的经济现代化形成霸权主义的限制。发达资本主义国家为了缓和自己国内固有的私有制和生产社会化的对抗性矛盾，求得持续的生存，不能不通过经济、政治和文化等手段，把发展中国家的生产力水平控制在用亿万件衣服换它们一架飞机的水平上，不能不迫使发展中国家为它们的高消费提供石油、矿产等能源和资源，因而，当代一般的发展中国家，尤其是像中国这样的人口众多、原先生产力十分落后的大国想走欧美式的资本主义道路，已经失去了外部条件。正如荷兰阿姆斯特丹大学费兰克教授所说，发达国家有过“未开发”（undeveloped）阶段，但是从来未经历当代发展中国家的这种“不发达”（underdeveloped）阶段，这种“不发达”，正这是作为“中心”的发达国家对“外围”国家的压迫造成的。</w:t>
      </w:r>
    </w:p>
    <w:p w14:paraId="5814CE4A">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当今我国作为发展中国家，要真正独立自主地屹立在世界的东方，靠发展资本主义经济是不可能摆脱外国霸权主义控制的。私有制经济不可能形成坚强的整体性的民族经济合力；而中国民族资产阶级具有软弱性和妥协性，旧民主主义革命的失败证明了这一点。我国属于资产阶级革命性质的新民主主义革命，是由代表先进生产力的工人阶级通过共产党领导人民大众才取得胜利的。人民大众要巩固和发展民主革命胜利的果实，只有从新民主主义转向社会主义。中国只有走社会主义道路才能保证社会生产力真正独立自主地发展起来，这是因为唯有建立并巩固公有制这个经济基础才能使整个中华民族众志成城，形成抵挡外国霸权主义欺负和压制的根本条件。这就是只有社会主义能够救中国的基本道理。新中国建立以来近60年的实践已经证明，正是社会主义根本制度保证了新中国社会生产力的快速发展，增强了中国的经济实力、国防实力和民族凝聚力。</w:t>
      </w:r>
    </w:p>
    <w:p w14:paraId="7CA853CD">
      <w:pPr>
        <w:widowControl/>
        <w:spacing w:line="36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二、中国绝不能搞私有化</w:t>
      </w:r>
    </w:p>
    <w:p w14:paraId="3B8963A4">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坚持公有制为主体就意味着决不能搞私有化。所谓私有化，其含义并不是指人们拿出自己的存款投资私营经济活动；而是指把现有的国有经济、集体经济通过诸如“经理层购买（MBO）”、拍买等各种方式转化为私营经济。经济学上的新自由主义竭力鼓吹私有化；一段时间以来，媒体上有人宣传“民营化”，其实也是指私有化。其理论根据，一是认为，中国必须发展市场经济，而不搞私有化就不能使市场经济真正发展起来；二是认为，私有制经济符合人的利己本性；三是认为公有制经济没有效率。</w:t>
      </w:r>
    </w:p>
    <w:p w14:paraId="357A92DF">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第一条理由缺乏根据。市场经济是一种间接实现的社会分工制度，或者说是一种“资源配置方式”，它是由生产力水平决定的生产社会性的间接性决定的，而不是由私有制决定的，也不是只能同私有制结合在一起。正如邓小平同志深刻指出的，“市场经济不等于资本主义，社会主义也有市场”</w:t>
      </w:r>
      <w:r>
        <w:rPr>
          <w:rFonts w:ascii="宋体" w:hAnsi="宋体" w:eastAsia="宋体" w:cs="Times New Roman"/>
          <w:szCs w:val="21"/>
          <w:vertAlign w:val="superscript"/>
        </w:rPr>
        <w:footnoteReference w:id="354"/>
      </w:r>
      <w:r>
        <w:rPr>
          <w:rFonts w:hint="eastAsia" w:ascii="宋体" w:hAnsi="宋体" w:eastAsia="宋体" w:cs="Times New Roman"/>
          <w:szCs w:val="21"/>
        </w:rPr>
        <w:t>。因此，说发展市场经济就要搞私有化，这是站不住脚的。</w:t>
      </w:r>
    </w:p>
    <w:p w14:paraId="2F5EC1B7">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第二条理由凭借的是唯心史观。在唯物史观看来，人从来没有天生的利己性，人在经济中的社会属性是生产关系的人格化。资产阶级经济学鼓吹的利己经济人，不过是资本关系的人格化即资本家的属性，显然，搞人人都当资本家的市场经济是主观臆想。</w:t>
      </w:r>
    </w:p>
    <w:p w14:paraId="404D33F2">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第三条理由不符合事实。在公有制基础上，必然催生出大批能够公而忘私具有社会主义价值观的人，必然形成共同的理想和信念。举世公认的汶川抗震救灾的精神难道可以用人的自利本性来解释吗？可以说，公有制适应社会化生产方式，不但是由于它有助于国家从共同利益出发，统筹协调，因而能更好地发挥市场能够形成符合生产力客观需要的社会分工这种长处，同时更好地克服市场经济固有的自发性和调节资源配置的滞后性；而且也因为在它基础上可以产生人们的共同理想和凝聚力，从而调动起广大劳动人民的生产积极性和服从全局遵守纪律的自觉性，这是公有制相对于私有制有更高局部和整体效率的绝对优势。</w:t>
      </w:r>
    </w:p>
    <w:p w14:paraId="4CB68C0D">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新中国建国以来，公有制的平均经济效率明显高于资本主义经济。即使在计划产品经济条件下，从1949年到1978年，包括“大跃进”和“文革”阶段的失误导致的效率下降在内，国有工业企业的总产值年增长率平均也达到13.7%</w:t>
      </w:r>
      <w:r>
        <w:rPr>
          <w:rFonts w:ascii="宋体" w:hAnsi="宋体" w:eastAsia="宋体" w:cs="Times New Roman"/>
          <w:szCs w:val="21"/>
          <w:vertAlign w:val="superscript"/>
        </w:rPr>
        <w:footnoteReference w:id="355"/>
      </w:r>
      <w:r>
        <w:rPr>
          <w:rFonts w:hint="eastAsia" w:ascii="宋体" w:hAnsi="宋体" w:eastAsia="宋体" w:cs="Times New Roman"/>
          <w:szCs w:val="21"/>
        </w:rPr>
        <w:t>。改革开放以来，在20世纪90年代，国有企业出现过60%多亏损的情况，这种向市场经济体制转轨过程中发生的暂时现象，并不能说明公有制的效率就一定低于私有制。须知私有制低效和破产乃是市场经济司空见惯的现象；有人在本次世界金融危机之前统计，在我国，成活10年以上的私营企业只占24.8%，6年至10年的占42.3%，5年以下的占了32.9%</w:t>
      </w:r>
      <w:r>
        <w:rPr>
          <w:rFonts w:ascii="宋体" w:hAnsi="宋体" w:eastAsia="宋体" w:cs="Times New Roman"/>
          <w:szCs w:val="21"/>
          <w:vertAlign w:val="superscript"/>
        </w:rPr>
        <w:footnoteReference w:id="356"/>
      </w:r>
      <w:r>
        <w:rPr>
          <w:rFonts w:hint="eastAsia" w:ascii="宋体" w:hAnsi="宋体" w:eastAsia="宋体" w:cs="Times New Roman"/>
          <w:szCs w:val="21"/>
        </w:rPr>
        <w:t>。要看到，国有企业一旦从高度集中的计划产品经济体制下解脱出来，就能发挥提高生产率的优越性，焕发活力。2006年全国国有企业累计实现销售收入16.2万亿元，比2003年增长50.9%，年均增长14.7%；实现利润1.2万亿元，比2003年增长147.3%，年均增长35.2%；上缴税金1.4万亿元，比2003年增长72%，年均增长19.8%；企业资产总额29万亿元，比2003年增长45.7%，年均增长13.4%；户均资产2.4亿元，比2003年增长84.6%，年均增长22.7%。国务院国资委研究室总结了中央企业在改革中贯彻落实党中央关于在国企改革中坚持“权利、义务和责任相统一，管资产和管人、管事相结合”原则的成功经验，并坚信“遵循企业发展规律，国有企业一定能搞好”</w:t>
      </w:r>
      <w:r>
        <w:rPr>
          <w:rFonts w:ascii="宋体" w:hAnsi="宋体" w:eastAsia="宋体" w:cs="Times New Roman"/>
          <w:szCs w:val="21"/>
          <w:vertAlign w:val="superscript"/>
        </w:rPr>
        <w:footnoteReference w:id="357"/>
      </w:r>
      <w:r>
        <w:rPr>
          <w:rFonts w:hint="eastAsia" w:ascii="宋体" w:hAnsi="宋体" w:eastAsia="宋体" w:cs="Times New Roman"/>
          <w:szCs w:val="21"/>
        </w:rPr>
        <w:t>。这是很有说服力的。</w:t>
      </w:r>
    </w:p>
    <w:p w14:paraId="2BA3645B">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私有化必然导致公有制失去主体地位。一旦私有经济的比重在国民经济中超过必要的限度，在私有资本积累规律的作用下，必然引起失业率增长、财富和收入两极分化等一连串不良经济现象和由此派生的社会不和谐。20世纪90年代以来，在新自由主义的私有化思潮影响下，苏东是倒退的十年，拉美是失去的十年，日本是爬行的十年，美欧是缓升的十年，被联合国认定的49个最不发达的国家（亦称第四世界），也没有通过私有化等新自由主义途径富强起来，有的反而更加贫穷。这为世人敲响了警钟。</w:t>
      </w:r>
    </w:p>
    <w:p w14:paraId="416B92FF">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可见，中国必须始终坚持公有制为主体，而绝不能搞私有化。正如江泽民同志指出的，“没有国有经济为核心的公有制经济，就没有社会主义的经济基础，也就没有我们共产党执政以及整个社会主义上层建筑的经济基础和强大物质手段。这一点，各级领导干部特别是高级干部必须有清醒的认识。”</w:t>
      </w:r>
      <w:r>
        <w:rPr>
          <w:rFonts w:ascii="宋体" w:hAnsi="宋体" w:eastAsia="宋体" w:cs="Times New Roman"/>
          <w:szCs w:val="21"/>
          <w:vertAlign w:val="superscript"/>
        </w:rPr>
        <w:footnoteReference w:id="358"/>
      </w:r>
    </w:p>
    <w:p w14:paraId="4AF0ABC8">
      <w:pPr>
        <w:widowControl/>
        <w:spacing w:line="36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三、坚持公有制为主体是对“纯而又纯”的公有制的积极扬弃</w:t>
      </w:r>
    </w:p>
    <w:p w14:paraId="4D195246">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强调公有制是我国社会主义制度的经济基础，并不意味着只能搞单一的、“纯而又纯”的公有制。如果这样理解，那是一种形而上学的观点。马克思指出，“社会史上的各个时代，正如地球史上的各个时代一样，是不能划出抽象的严格的界限的。”</w:t>
      </w:r>
      <w:r>
        <w:rPr>
          <w:rFonts w:ascii="宋体" w:hAnsi="宋体" w:eastAsia="宋体" w:cs="Times New Roman"/>
          <w:szCs w:val="21"/>
          <w:vertAlign w:val="superscript"/>
        </w:rPr>
        <w:footnoteReference w:id="359"/>
      </w:r>
      <w:r>
        <w:rPr>
          <w:rFonts w:hint="eastAsia" w:ascii="宋体" w:hAnsi="宋体" w:eastAsia="宋体" w:cs="Times New Roman"/>
          <w:szCs w:val="21"/>
        </w:rPr>
        <w:t>不言而喻，各个时代的现实所有制，是不可能像书本上抽象的概念那样纯而又纯的。马克思还指出，“相同的经济基础——按主要条件来说相同——可以由于无数不同的经验的情况，自然条件，种族关系，各种从外部发生的历史影响等等，而在现象上显示出无穷无尽的变异和色彩差异，这些变异和差异只有通过对这些经验上已存在的情况进行分析才可以理解。”</w:t>
      </w:r>
      <w:r>
        <w:rPr>
          <w:rFonts w:ascii="宋体" w:hAnsi="宋体" w:eastAsia="宋体" w:cs="Times New Roman"/>
          <w:szCs w:val="21"/>
          <w:vertAlign w:val="superscript"/>
        </w:rPr>
        <w:footnoteReference w:id="360"/>
      </w:r>
      <w:r>
        <w:rPr>
          <w:rFonts w:hint="eastAsia" w:ascii="宋体" w:hAnsi="宋体" w:eastAsia="宋体" w:cs="Times New Roman"/>
          <w:szCs w:val="21"/>
        </w:rPr>
        <w:t>因此，决不能按照形式逻辑那种非此即彼的思维方法，照搬书本对某种所有制本身的定义来裁剪现实。</w:t>
      </w:r>
    </w:p>
    <w:p w14:paraId="16BD590D">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新中国建立之后，我们坚定不移地选择社会主义道路是完全正确的，公有制的经济基础，这是我国国力越来越强，实现自立于世界民族之林的根基。然而实践证明，从公有制的概念出发，排斥商品流通关系，按公有制“越大越公越好”也就是“越纯越好”的主观设想来管理公有制经济，带来很大弊端。那种企业机构设置对应于上级行政机构，“麻雀虽小，五脏俱全”，缺乏自主经营活力的僵化情况；那种把农民房前屋后的小菜地当作“资本主义尾巴”去砍掉的消极后果，人们至今记忆犹新。因此，必须进行管理体制改革。</w:t>
      </w:r>
    </w:p>
    <w:p w14:paraId="183DB9E4">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实行以公有制为主体、多种所有制经济共同发展的基本经济制度，是对计划产品经济体制下的公有制的积极扬弃，也就是坚决抛弃高度集中、政企不分的管理方式，实现公有制与市场经济的高效结合，更好地发挥公有制能够自我调节生产关系、能做到全国一盘棋、能取得较高的总效率、广大劳动者能树立主人翁意识、最终达到共同富裕等多方面的高于资本主义经济的优势。</w:t>
      </w:r>
    </w:p>
    <w:p w14:paraId="0E795A8B">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如果说，在任何时代对于现实的所有制都不应当理解为纯而又纯，那么对于社会主义初级阶段的所有制，就更不应当把它理解为“纯而又纯”。</w:t>
      </w:r>
    </w:p>
    <w:p w14:paraId="00BADAFE">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如果用“纯而又纯”的思想方法去认识公有制，那么，在国民经济的总体结构上，就会忽视有现实生产力决定而必然存在的一定程度的非公有制经济，仍然是我国社会主义市场经济的重要组成部分；就会忽视一切符合“三个有利于”的所有制形式都可以而且应该用来为社会主义服务。这将不利于发展和壮大整个中华民族的经济。</w:t>
      </w:r>
    </w:p>
    <w:p w14:paraId="5D18029F">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如果用“纯而又纯”的思想方法去认识公有制的企业形式，那么，在社会主义市场经济的企业层面，将极大地束缚公有制的手脚。因为，市场经济的竞争、集中机制和信用制度，必然产生不同所有制资本之间的控制和反控制，发生资本之间的并购、交融等。股份制、股份合作制和合伙制等所谓“混合经济形式”，正是市场经济的内在机制作用的必然结果。公有制经济尤其是国有经济需要利用市场经济的机制和各种企业组织形式，才能真正巩固自己的主体地位和发挥主导作用。</w:t>
      </w:r>
    </w:p>
    <w:p w14:paraId="504D3572">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当然，扬弃“纯而又纯”的公有制形式，不等于不存在“纯而又纯”的公有资本（包括国有资本和集体资本）。对于社会主义市场经济条件下的“混合经济”，如同我们认识所有市场经济现象一样，必须树立劳动二重性的观点，“这是对事实的全部理解的基础”</w:t>
      </w:r>
      <w:r>
        <w:rPr>
          <w:rFonts w:ascii="宋体" w:hAnsi="宋体" w:eastAsia="宋体" w:cs="Times New Roman"/>
          <w:szCs w:val="21"/>
          <w:vertAlign w:val="superscript"/>
        </w:rPr>
        <w:footnoteReference w:id="361"/>
      </w:r>
      <w:r>
        <w:rPr>
          <w:rFonts w:hint="eastAsia" w:ascii="宋体" w:hAnsi="宋体" w:eastAsia="宋体" w:cs="Times New Roman"/>
          <w:szCs w:val="21"/>
        </w:rPr>
        <w:t>。这个基本观点要求我们从使用价值和价值两个角度理解混合经济现象，例如，在股份制企业的实物形态上，各方投资形成的实物资产，已合为一体，被统一支配使用。但是，价值层面来看，各方出资者对资本价值的投入是有明晰的产权数量边界的，产权关系是十分明晰的，毫不混合的，各方出资人正是按股权数额代表的资本价值额，来行使自己的经济权益的。可见，扬弃“纯而又纯”的公有制形式，绝不等于模糊公有制的性质。认识社会主义市场经济条件下的公有制，最重要的是要明白公有资本价值的所有权属“公”不属“私”，坚持公有制为主体就是要力求公有资本中在股份制企业掌握控股权。那种用“混合经济”来混淆公私所有制经济的性质区别，或者把股份制这种企业组织形式当作公有制企业本身的说法都是不科学的。</w:t>
      </w:r>
    </w:p>
    <w:p w14:paraId="765A2062">
      <w:pPr>
        <w:widowControl/>
        <w:spacing w:line="36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四、坚持公有制为主体、多种所有制经济共同发展的基本经济制度要求正确处理两个“毫不动摇”的辩证关系</w:t>
      </w:r>
    </w:p>
    <w:p w14:paraId="61413E07">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社会主义初级阶段是一个相当长的历史阶段，占主体地位的公有制经济将同非公有制经济长期并存，它们需要在市场经济中各得其所，发挥各自优势，相互促进，共同发展，才能更好地实现自身的发展。党的十七大重申了党的十六大提出的两个“毫不动摇”，即“毫不动摇地巩固和发展公有制经济，毫不动摇地鼓励、支持、引导非公有制经济发展”。</w:t>
      </w:r>
    </w:p>
    <w:p w14:paraId="63062334">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在现实经济生活中，可以看到，目前出现的一种倾向是比较强调后一个“毫不动摇”，而淡化前一个“毫不动摇”。因此，很有必要对这两个“毫不动摇”的关系进行一番研讨。我们认为，党中央提出两个“毫不动摇”，是为了进一步巩固和完善社会主义基本经济制度。因此，我们在经济实践中落实两个“毫不动摇”，是服务于以公有制为主体、多种所有制经济共同发展的。这就是说，后一个“毫不动摇”是以前一个“毫不动摇”为前提的；如果公有制的主体地位动摇了，后一个“毫不动摇”就失去了中国特色社会主义赋予的规定性。当然，前一个“毫不动摇”也不可能孤军独进，必须借助于后一个“毫不动摇”。说到底，是深化对两个“毫不动摇”辩证关系的认识。</w:t>
      </w:r>
    </w:p>
    <w:p w14:paraId="6D48CA78">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一方面，应当充分认识两个“毫不动摇”之间的依赖性。要认识公有制经济的巩固和发展需要同时发展非公有制经济。因为，（1）这是充分调动社会潜在经济资源的要求。公有制经济为了集中力量办大事和收紧拳头提高国际竞争力，在结构调整中势必留下空挡；这就需要利用非公有制经济的形式调动社会的闲置资金和劳动力资源，这样才能搞活流通、繁荣市场、促进国民经济经济全面增长。（2），这是公有制经济在市场经济运行中发展自身的需要。私营经济的存在和发展，在许多方面可以为社会主义公有制经济提供有利条件：从生产领域来看，投资量较小的非公有制经济可以成为生产一般零部件，或者进行局部组装的中小企业，而有助于国有大中型企业充分利用社会分工，抓住核心技术，实行专业化生产；公有制经济可以借助于私营经济扩大自身，可以通过控股、兼并等方式，及时吸纳私人资本或外国资本，扩大生产规模；当公有制企业积存一定的尚不足以独立投资或控股投资的闲置资金时，可以把它们作为参股资本，投入经营较好、又急需扩大经营规模的私营经济，这就能使闲置资金成为增值的资本，使公有制经济获得利益。从流通领域来看，公有制经济可以充分利用非公有制经济布局灵活、大小零售点延伸广泛等特点，将公有制的大型批发业和私营小型批发、零售业结合起来，形成适应市场需求的销售链，加快公有资本的循环与周转，在经济运行中增强自身增值能力。</w:t>
      </w:r>
    </w:p>
    <w:p w14:paraId="6B840A91">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也要充分认识，非公有制经济的健康生存和发展，不能不依赖于占主体地位的公有制经济。这是因为：（1）面对外国资本的竞争，非公有制经济必须借助于国有经济的强大，才能作为民族经济的组成部分得以生存发展。（2）非公有制经济的发展需要国有经济提供支撑。经过60年的艰苦奋斗，国有经济已经控制着社会再生产所需要的矿产品、能源等主要原材料，粮食、棉花等战略性物资，以及交通、信息和金融等市场经济的基础设施，非公有制经济必须依靠公有制经济，才能获得更加雄厚的物质支撑。（3）非公有制经济需要从公有制经济吸取营养，克服自身弊病。私有制决定了私营经济内部管理的专制性；家族制的经营方式，更会对科学管理造成人为制约；而公有制经济则具有遵纪守法的组织约束力、思想政治教育的凝聚力、内部管理的民主性、自觉调节和完善管理体制的主动性等优点。私营经济需要从公有制经济中吸取这些营养，才能适应社会主义市场经济的要求。（4）非公有制经济需要公有制经济发挥主体、主导作用，自身才有稳定发展的外部环境。公有制是社会主义市场经济避免发生经济危机的基础；非公有制经济依靠公有制经济，才有良好的经济环境。（5）从历史发展的长期趋势看，私营经济发展的最终出路是转向社会主义公有制经济。当然，这只能由社会生产力发展的客观要求来决定。改革开放以来的事实表明，中国私营经济的发展正是依赖于公有制经济的支持、鼓励和引导下才发展起来的。从这个角度来看，支持、鼓励和引导非公有制经济发展，丝毫也不意味着要削弱公有制经济尤其是国有经济，相反，私营经济的健康发展，在中国是离不开公有制经济的巩固和发展的。</w:t>
      </w:r>
    </w:p>
    <w:p w14:paraId="4B100710">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另一方面，也绝不能忽视两个“毫不动摇”之间的矛盾。即使撇开个体、私营经济时有发生的经营假冒伪劣、偷税漏税、行贿欺诈等情况，也必须充分认识公私两种经济之间客观存在的矛盾关系。主要是：经济资源和市场占有上有竞争，尤其是专业技术人才的竞争；私营企业主的高收入对公有制经济管理层人员会形成诱惑，对公有制经济稳定管理队伍带来不利；国有、集体经济同私营经济并存，为一些人假公济私提供了便利；在股份制合资企业，可能出现私人资本排斥公有资本等。存在这些矛盾的根本原因，是因为两种生产关系的性质存在对立性。只有正视和正确处理这些矛盾，才能促进两者相互促进，共同发展。</w:t>
      </w:r>
    </w:p>
    <w:p w14:paraId="32B2562E">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总而言之，在社会主义初级阶段，看不到公有制经济同非公有制经济两者统一的方面，或者回避两者对立的方面，都会给公有制经济带来不利或损失，都会阻碍整个中国民族经济的发展。必须明白，在社会主义基本经济制度限度内的私营经济，具有国家资本主义性质，它从属于公有制经济，是有利于人民的；但是，如果盲目地搞私有化，那就势必动摇公有制经济的主体地位，势必使私营经济作为社会主义市场经济组成部分的性质发生蜕变，从而使社会主义基本经济制度发生蜕变，这是绝不可等闲视之的。</w:t>
      </w:r>
    </w:p>
    <w:p w14:paraId="106B5C49">
      <w:pPr>
        <w:widowControl/>
        <w:spacing w:line="36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五、坚持基本经济制度是应对国际经济危机的根本保证</w:t>
      </w:r>
    </w:p>
    <w:p w14:paraId="4FB7CAC4">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当前，面对国际金融危机，强调坚持以公有制为主体、多种所有制经济共同发展的社会主义基本经济制度，具有特别重大的意义。这是因为，只有发挥它的优越性，才能在实践中建立和完善社会主义市场经济的宏观调控机制，</w:t>
      </w:r>
    </w:p>
    <w:p w14:paraId="793BFE12">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社会主义市场经济的宏观调控机制与发达资本主义的宏观调控机制相比，其特征和优势在于它以公有制为基础。有人把社会主义市场经济的特征概括为“有宏观调控的市场经济”，这没有抓住本质。因为这只是说到了国家垄断资本主义阶段的市场经济与自由资本主义阶段的市场经济相比的特征，只是看到了资本主义经济本身两个阶段的特征。社会主义市场经济的特征不但在于一开始就有自觉的宏观调控，而且它是以占主体地位的公有制为基础的。坚持公有制的主体地位乃是社会主义市场经济避免经济危机的根本保证。</w:t>
      </w:r>
    </w:p>
    <w:p w14:paraId="35821179">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为什么微观经济层面公有制经济有占主体地位，宏观调控才能取得根本成效？主要原因是：（1）它可以消除个人收入的两极分化，从而可以有效地把社会生产与社会消费之间的矛盾，控制在非对抗性的范围内，这是消除经济危机的基本条件。不可忘记唯物史观揭示的一条极为基本的经济学原理，“分配关系本质上和生产关系是同一的，是生产关系的反面”</w:t>
      </w:r>
      <w:r>
        <w:rPr>
          <w:rFonts w:ascii="宋体" w:hAnsi="宋体" w:eastAsia="宋体" w:cs="Times New Roman"/>
          <w:szCs w:val="21"/>
          <w:vertAlign w:val="superscript"/>
        </w:rPr>
        <w:footnoteReference w:id="362"/>
      </w:r>
      <w:r>
        <w:rPr>
          <w:rFonts w:hint="eastAsia" w:ascii="宋体" w:hAnsi="宋体" w:eastAsia="宋体" w:cs="Times New Roman"/>
          <w:szCs w:val="21"/>
        </w:rPr>
        <w:t>，就是说，个人收入分配关系是由生产资料所有制决定的。邓小平强调，“只要我国经济中公有制占主体地位，就可以避免两极分化”</w:t>
      </w:r>
      <w:r>
        <w:rPr>
          <w:rFonts w:ascii="宋体" w:hAnsi="宋体" w:eastAsia="宋体" w:cs="Times New Roman"/>
          <w:szCs w:val="21"/>
          <w:vertAlign w:val="superscript"/>
        </w:rPr>
        <w:footnoteReference w:id="363"/>
      </w:r>
      <w:r>
        <w:rPr>
          <w:rFonts w:hint="eastAsia" w:ascii="宋体" w:hAnsi="宋体" w:eastAsia="宋体" w:cs="Times New Roman"/>
          <w:szCs w:val="21"/>
        </w:rPr>
        <w:t>，讲的就是这个道理。发达资本主义国家尽管有宏观调控，但是由于其私有制的经济基础没有改变，两极分化始终存在，这就无法从根本上改变市场供求之间的矛盾，所以经济危机仍然不可避免。（2）它是企业层面从整体利益和共同的长远利益出发，自觉服从国家计划指导的基本保证。须知国家计划对私营经济并没有严格的约束力，如果在公有制不占主体地位，那么，国家的宏观调控作用也就不可能到位和有效的实现。可见，那种认为只要坚持国有经济的主导地位，公有制是否占主体地位并不重要的观点，是主观的、不合实践逻辑的。</w:t>
      </w:r>
    </w:p>
    <w:p w14:paraId="7BF801CF">
      <w:pPr>
        <w:widowControl/>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普遍认同，要走出宏观经济困境，必须拉动内需。靠国家追加财政投资，靠鼓励群众创业，现象上都有道理。但是，只要承认财政的最终来源在物质生产，创业有创公有制之业和私有制之业的性质区分，只要承认上述两个原因，那么，我们的投资和创业，就必须与巩固和发展社会主义基本经济制度紧密的联系起来，唯有如此，才能真正标本兼治，变困境为机遇，促进国民经济实现又好又快的科学发展。这正是我们提振信心，共渡时艰的底气所在。</w:t>
      </w:r>
    </w:p>
    <w:p w14:paraId="5132F710">
      <w:pPr>
        <w:spacing w:line="400" w:lineRule="exact"/>
        <w:ind w:firstLine="440" w:firstLineChars="200"/>
        <w:rPr>
          <w:rFonts w:ascii="宋体" w:hAnsi="宋体" w:eastAsia="宋体" w:cs="Times New Roman"/>
          <w:sz w:val="32"/>
          <w:szCs w:val="24"/>
        </w:rPr>
      </w:pPr>
      <w:r>
        <w:rPr>
          <w:rFonts w:hint="eastAsia" w:ascii="宋体" w:hAnsi="宋体" w:eastAsia="宋体" w:cs="宋体"/>
          <w:kern w:val="0"/>
          <w:szCs w:val="21"/>
        </w:rPr>
        <w:t>（原载于《海派经济学》第24辑，上海财经大学出版社2009年2月版，主要内容发表在《光明日报》2009年4月5日第3版，第二作者为何干强）</w:t>
      </w:r>
    </w:p>
    <w:p w14:paraId="2018FA08">
      <w:pPr>
        <w:widowControl/>
        <w:spacing w:line="400" w:lineRule="exact"/>
        <w:ind w:firstLine="200"/>
        <w:rPr>
          <w:rFonts w:ascii="宋体" w:hAnsi="宋体" w:eastAsia="宋体" w:cs="Times New Roman"/>
          <w:szCs w:val="21"/>
        </w:rPr>
      </w:pPr>
    </w:p>
    <w:p w14:paraId="44F8E000">
      <w:pPr>
        <w:widowControl/>
        <w:spacing w:line="400" w:lineRule="exact"/>
        <w:ind w:firstLine="200"/>
        <w:rPr>
          <w:rFonts w:ascii="宋体" w:hAnsi="宋体" w:eastAsia="宋体" w:cs="Times New Roman"/>
          <w:szCs w:val="21"/>
        </w:rPr>
      </w:pPr>
      <w:r>
        <w:rPr>
          <w:rFonts w:ascii="宋体" w:hAnsi="宋体" w:eastAsia="宋体" w:cs="Times New Roman"/>
          <w:szCs w:val="21"/>
        </w:rPr>
        <w:br w:type="page"/>
      </w:r>
    </w:p>
    <w:p w14:paraId="68CFD343">
      <w:pPr>
        <w:pStyle w:val="11"/>
        <w:spacing w:before="0" w:beforeLines="0" w:after="0" w:afterLines="0" w:line="480" w:lineRule="auto"/>
        <w:ind w:left="0" w:leftChars="0" w:firstLine="198"/>
        <w:jc w:val="center"/>
        <w:rPr>
          <w:rFonts w:ascii="黑体" w:hAnsi="黑体" w:eastAsia="黑体" w:cs="Times New Roman"/>
          <w:b w:val="0"/>
          <w:bCs w:val="0"/>
          <w:sz w:val="32"/>
          <w:szCs w:val="24"/>
        </w:rPr>
      </w:pPr>
      <w:bookmarkStart w:id="1041" w:name="_Toc13859"/>
      <w:bookmarkStart w:id="1042" w:name="_Toc1752245075"/>
      <w:bookmarkStart w:id="1043" w:name="_Toc1198431180"/>
      <w:r>
        <w:rPr>
          <w:rFonts w:ascii="黑体" w:hAnsi="黑体" w:eastAsia="黑体" w:cs="Times New Roman"/>
          <w:b w:val="0"/>
          <w:bCs w:val="0"/>
          <w:sz w:val="32"/>
          <w:szCs w:val="24"/>
        </w:rPr>
        <w:t>6</w:t>
      </w:r>
      <w:r>
        <w:rPr>
          <w:rFonts w:hint="eastAsia" w:ascii="黑体" w:hAnsi="黑体" w:eastAsia="黑体" w:cs="Times New Roman"/>
          <w:b w:val="0"/>
          <w:bCs w:val="0"/>
          <w:sz w:val="32"/>
          <w:szCs w:val="24"/>
        </w:rPr>
        <w:t>如何建立国内生产福利总值核算体系</w:t>
      </w:r>
      <w:bookmarkEnd w:id="1041"/>
      <w:bookmarkEnd w:id="1042"/>
      <w:bookmarkEnd w:id="1043"/>
    </w:p>
    <w:p w14:paraId="17712B42">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长期以来，GDP成为衡量我国国民经济的第一指标。在追求经济增长的过程中，我们付出了太多代价。因此，引入“国内生产福利总值”（</w:t>
      </w:r>
      <w:r>
        <w:rPr>
          <w:rFonts w:ascii="Times New Roman" w:hAnsi="Times New Roman" w:eastAsia="宋体" w:cs="Times New Roman"/>
          <w:szCs w:val="24"/>
        </w:rPr>
        <w:t>Gross Domestic Product of Welfare，</w:t>
      </w:r>
      <w:r>
        <w:rPr>
          <w:rFonts w:hint="eastAsia" w:ascii="宋体" w:hAnsi="宋体" w:eastAsia="宋体" w:cs="Times New Roman"/>
          <w:szCs w:val="24"/>
        </w:rPr>
        <w:t>以下均简称为GDPW）指标，并检验经济增长中的国民福利水平，具有重要的现实意义。</w:t>
      </w:r>
    </w:p>
    <w:p w14:paraId="73F6303C">
      <w:pPr>
        <w:widowControl/>
        <w:spacing w:line="36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一、实现以人为本是科学发展的价值取向</w:t>
      </w:r>
    </w:p>
    <w:p w14:paraId="1CC599EC">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传统发展观是一种“物本主义”的经济发展观。它以单纯的经济增长为价值目标，将社会发展归之为经济发展，将经济发展归之为经济增长。在现实经济中表现为坚持唯GDP论，把GDP作为衡量政绩的标杆。然而，片面地追求GDP增长，必然使人们饱尝有增长无发展甚至增长与发展负相关的恶果，造成GDP与人们生活水平的严重背离。从价值论角度看，“物”毕竟不是人类发展的全部，更不是人类社会的终极价值目标。而传统发展观的一个致命缺陷就在于它只关注如何发展得更快，而对“为了什么而发展”和“怎样发展才是好的发展”这样一个目的论、价值论问题并不关心。其结果正如美国学者威利斯·哈曼博士所说：“我们的发展速度越来越快，但我们却迷失了方向。”这样的发展观总体上表现为工具理性的过度膨胀和价值理性的缺失。而科学发展观的提出，正是对传统发展观的价值理性缺失这一不足的积极回应。科学发展观的基本内涵是“坚持以人为本，树立全面、协调、可持续的发展观，促进经济、社会和人的全面发展”。可以看出，科学的经济发展必须坚持以人为本。这一命题包含两方面含义：一是经济发展目的必须紧紧围绕人的全面发展或以人的生命和生活的改善与提升为中心，显然这是从人的主观目的和要求着眼。二是经济的发展从未离开过人。但这并不意味经济体制与政策制定完全出于“父爱主义”。严格意义上说，在一种充满伦理和道德关怀的“父爱主义”体制中，人们没有创造性，没有主人翁精神。当生活中的一切皆被人为安排妥当后，人就只能在那所谓的安乐窝里丧失自我。经济的发展，最终要体现在人民生活水平的提高上。改革和发展的各项措施的目标都是让人民群众得到尽可能多的实惠，让全体人民共享经济发展成果，过上比较富裕、民主、文明的生活。可见，在经济发展中，人始终处于中心地位。以人为本，关注人的生活及自由和全面的发展是科学发展的价值取向。科学发展观用价值理性抗衡了工具理性的过度膨胀，防止了发展中出现的“价值迷失”，体现了工具理性与价值理性的一致。它所追求的“以人为本”、“人的全面发展”体现了价值理性上的终极关怀原则。从纵向上看，它是人类发展价值取向上的“价值跃迁”。</w:t>
      </w:r>
    </w:p>
    <w:p w14:paraId="569D9777">
      <w:pPr>
        <w:spacing w:line="400" w:lineRule="exact"/>
        <w:ind w:firstLine="500" w:firstLineChars="200"/>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二、GDP核算体系存在的缺陷</w:t>
      </w:r>
    </w:p>
    <w:p w14:paraId="085B61F0">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以人为本的科学发展观体现在经济上就是国民经济的发展必须以实现人们的福利增进为目标。科学发展的价值取向的实现有赖于建立科学的国民经济核算指标体系，以引领经济的科学发展，而现行的GDP指标体系存在若干缺陷，难以担此重任。从实践核算的角度看，缺陷主要表现在：第一，以GDP为代表的国民账户核算体系（SNA）总量指标只测算市场经济活动的直接成果，而忽略许多对福利来说非常重要的其他方面。虽然市场经济活动成果是构成经济福利的主要内容，但远非经济福利或总福利的全部。如，发生在家庭内部的经济活动及自我服务性活动所创造的最终产品和劳务的价值由于没有通过市场进行而无法统计在GDP中；以逃税漏税为目的但产品合法的非正规性生产价值在GDP中也无法得到反映，尽管它们实际能增加社会成员的福利。第二，GDP只能反映增长部分的“数量”，尚无法反映增长部分的“质量”。GDP仅仅衡量经济过程中通过交易的产品与服务的总和，并假定任何货币交易都“增加”社会福利，但对交易结果是增加还是减少国民福利，并不能加以辨识。如，它把有损国民福利的“非法生产”（如性服务、毒品生产与交易等）隐性地内含于社会财富之中。因此，GDP中损害国民福利的部分导致GDP对发展的不真实表达。第三，GDP只反映经济增长的“流量”，不反映经济增长的“存量”。因此，容易产生牺牲存量，追逐增量的愚蠢行为，进而出现灾害、事故等损失有利于经济增长的荒诞怪论，这就是“破坏创造需求”这一荒谬理论的根源。第四，以GDP为代表的SNA总量指标没有反映那些没有明确收费的外部成本或收益（如污染和工作环境等）。在现行的市场构架下，许多资源和环境因素没有被市场涵盖，没有所有权，也没有价格。因此，人们在使用资源时没有一个硬性约束，容易造成资源浪费或过度开发等问题。而且，使用资源所造成的环境污染没有明确的、人格化的承担者。这些都使外部成本和收益在GDP中无法得到反映。第五，GDP使用的一般估价原则是实际交换价值，它与经济理论中完全竞争条件下的价格理论是不同的，因为它也反映了市场失灵的所有方面。如，存在垄断情况下的实际交换价值就是垄断价格，而在垄断市场，社会福利会由于垄断而“无谓地”发生损失。但GDP却由于采用了实际交换价值而无法反映这种损失，因而会高估实际社会福利。</w:t>
      </w:r>
    </w:p>
    <w:p w14:paraId="1FC75C86">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正是鉴于以GDP为核心的国民经济核算体系的福利缺陷，早在20世纪70年代初，美国经济学家诺德豪斯</w:t>
      </w:r>
      <w:r>
        <w:rPr>
          <w:rFonts w:ascii="Times New Roman" w:hAnsi="Times New Roman" w:eastAsia="宋体" w:cs="Times New Roman"/>
          <w:szCs w:val="24"/>
        </w:rPr>
        <w:t>（WilliamNordhaus）</w:t>
      </w:r>
      <w:r>
        <w:rPr>
          <w:rFonts w:hint="eastAsia" w:ascii="宋体" w:hAnsi="宋体" w:eastAsia="宋体" w:cs="Times New Roman"/>
          <w:szCs w:val="24"/>
        </w:rPr>
        <w:t>（1972）教授和托宾</w:t>
      </w:r>
      <w:r>
        <w:rPr>
          <w:rFonts w:ascii="Times New Roman" w:hAnsi="Times New Roman" w:eastAsia="宋体" w:cs="Times New Roman"/>
          <w:szCs w:val="24"/>
        </w:rPr>
        <w:t>（JamesTobin）</w:t>
      </w:r>
      <w:r>
        <w:rPr>
          <w:rFonts w:hint="eastAsia" w:ascii="宋体" w:hAnsi="宋体" w:eastAsia="宋体" w:cs="Times New Roman"/>
          <w:szCs w:val="24"/>
        </w:rPr>
        <w:t>教授就从经济福利的角度认识到有关传统总量核算指标的不足，提出了“经济福利尺度（MEW）”概念，并主张以MEW指标取代传统的国民生产总值（GNP）指标。与此同时，经济学家萨缪尔森（</w:t>
      </w:r>
      <w:r>
        <w:rPr>
          <w:rFonts w:ascii="Times New Roman" w:hAnsi="Times New Roman" w:eastAsia="宋体" w:cs="Times New Roman"/>
          <w:szCs w:val="24"/>
        </w:rPr>
        <w:t>P.A.Samuelson）</w:t>
      </w:r>
      <w:r>
        <w:rPr>
          <w:rFonts w:hint="eastAsia" w:ascii="宋体" w:hAnsi="宋体" w:eastAsia="宋体" w:cs="Times New Roman"/>
          <w:szCs w:val="24"/>
        </w:rPr>
        <w:t>在诺德豪斯教授和托宾教授研究的基础上，进一步提出了替代GNP的“净经济福利/国民净福利（NEW）”指标（1973）。诺德豪斯和托宾以及萨缪尔森开创了对国民福利核算的研究，随后，许多学者也提出了其他一些核算指标。如，可持续经济福利指数（ISEW）、真实发展指数（GPI）、国民幸福总值（GNH）、国民生活快乐指数（GNC）等。虽然国内也有一些学者对GDP的替代性指标进行了研究，但进展不大。经济福利尺度、国民净福利等这些作为传统宏观核算指标的替代，在经济学中都还不成熟，在现实中也难以推行。基于GDP等指标在衡量科学发展的经济价值目标上存在严重缺陷，甚至出现严重背离，因此有必要运用新理念、新方法对GDP进行科学修正，以适应科学发展的经济价值目标的要求。</w:t>
      </w:r>
    </w:p>
    <w:p w14:paraId="6D67F5A0">
      <w:pPr>
        <w:spacing w:line="400" w:lineRule="exact"/>
        <w:ind w:firstLine="500" w:firstLineChars="200"/>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三、如何建立GDPW核算体系</w:t>
      </w:r>
    </w:p>
    <w:p w14:paraId="65EAF5A4">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借鉴前人研究成果，针对我国科学发展的经济现实需求，本文现提出一个新的核算指标——国内生产福利总值（GDPW）。GDPW核算体系建立问题是一个新的研究课题，要求我们按照科学研究的范式，建立自身的研究框架，形成科学的理论体系。</w:t>
      </w:r>
    </w:p>
    <w:p w14:paraId="63B9881C">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（一）GDPW核算的概念结构</w:t>
      </w:r>
    </w:p>
    <w:p w14:paraId="12D3B642">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与其他任何研究框架相同，GDPW框架也内含一个较为复杂的概念结构，其中既有反映研究对象本质规定的基本范畴，也有与基本范畴相联系的辅助范畴。具体来说包括以下几大概念：</w:t>
      </w:r>
    </w:p>
    <w:p w14:paraId="34F7EED5">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1.福利的定义。从国内外对福利的定义来看，福利有主观与客观之分，即主观福利与客观福利两个不同质的概念。主观福利是从主观方面评估客体的效用，是主体偏好对客体效用的一种描述。与主观福利相反，客观福利的术语在国外学界虽有提出，但在内容上一直含混不清。杨缅昆（2008）认为，客观福利可以定义为能使个人获得幸福感或满意感的客观事物，本文赞同这一观点。从经济学角度看，如果客体对主体具有有用性，那么客体就具有使用价值。客观福利是从客体对主体的作用来看待客体价值的。它是客体向主体提供利益的一种描述。从价值论角度看，客观福利论是以马克思主义的客观价值论为基础的，而主观福利论则以西方经济学的主观效用论为基础。可见，主观福利与客观福利具有不同的内在规定性。一个表现为个人的主观评价，另一个是不受主观评价左右的客观事物。显然，严格区分这两种不同性质的福利概念，是科学构建GDPW核算研究框架的重要前提。GDPW核算是从宏观层面上对福利现象进行反映和描述的系统。因此，GDPW考察的对象应是客观福利，而非主观福利。这一主张建立在以下认识基础上：首先，与GDP核算框架一样，以客观福利概念为基础的GDPW核算，考察的对象也是由货物和服务组成的客观事物。不同的是，GDP核算是从生产角度考察这些客观事物，而GDPW核算则从能否增进社会成员幸福感的角度来考察。因此，前者反映的是名义GDPW，后者才是实际的GDPW。更具体地说，GDPW指标不仅包括GDP内的国民经济生产过程中所创造的正、负效用（正、负福利），也容纳了排除在GDP核算之外的国民经济生产过程派生的正、负效用（正、负福利）。其次，以客观福利概念为基础的GDPW核算框架并没有失去GDP核算框架原有的作为宏观调控工具的基本功能。非但如此，这一框架具有GDP核算框架不具有的功能。如，GDPW核算不是一个纯粹的经济核算系统，它容纳了自然环境和社会环境的核算，有助于反映生产系统与环境系统、社会系统之间的各种数量关系。显然，这对制定科学发展政策具有重要意义。</w:t>
      </w:r>
    </w:p>
    <w:p w14:paraId="7D18FC0E">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2.GDPW的定义。根据GDP定义，本文认为，GDPW是指一国（或地区）在一定时期内所有常住单位生产经营活动所创造的最终福利总值。本文设计的GDPW作为一种替代的现代化理念，是经济、自然和社会三个系统所产生的正效用与负效用的集合，本质上反映的是客观福利的问题。它是衡量人们生产活动所创造的福利的指数，可以有效补充和修正GDP存在的不足和缺陷。本文之所以使用GDPW概念，而非国民经济福利、经济净福利、净经济福利、可持续经济福利等名词，是基于以下几方面原因：首先，从研究目的看，国内生产总值是国民经济核算的核心指标，而GDPW是针对国内生产总值在福利上的缺失，基于福利视角对GDP进行修正的指标。它并不是GDP的替代，本质上它仍是GDP。GDPW概念既体现其与国内生产总值概念的内在统一性，又体现国民经济发展的价值目标，即国民经济增长是以国民福利水平的增进为目标。因而，GDPW概念较好地体现了本文的研究目的。其次，从研究对象看，政治经济学的观点认为经济是指社会物质资料生产和再生产的过程，包括物质资料的直接生产过程以及由它决定的交换、分配和消费过程，其内容包括生产力和生产关系两个方面；而广义生产也包括生产力和生产关系两个方面，因而，两者具有同一性。但国内生产总值中的生产是狭义的概念，即仅指物质资料的直接生产过程，不包括分配、交换、消费，它与政治经济学的经济概念不具有同一性。国民经济福利、经济净福利等指标名义上是对GDP的修正，但事实上已失去了GDP的内在功能。尽管GDP存在先天的缺陷和不足，但作为当今世界通行的宏观经济指标，它也具有综合性强和简便易行的优点。GDPW本质上是GDP，因而，GDPW比国民经济福利、经济净福利等指标更具适用性。此外，虽然理论上使用净值概念更具科学性，使用总值概念似乎是一种倒退，但在统计核算的现实条件下，固定资产折旧价值的确定仍具有较大的主观性，因而，GDPW比国内生产福利净值更具合理性。最后，从研究思路看，GDPW核算包括正负内部性生产福利价值核算与负外部性福利价值核算等内容。其中，负外部性福利价值核算包括自然资源环境成本与社会成本核算等内容。虽然自然资源环境成本与社会成本并不属于国民经济范畴，但本文的成本定义是根据马克思的再生产理论，使用的是损失恢复的概念，即补偿损失所必须耗费的生产成果，也即为福利损失。这样就在GDP与自然资源环境成本、社会成本之间建立了内在的联系，将外部效应内部化，使GDPW既不失GDP的内在功能，又不失福利尺度功能，实现了两者的有机统一。而其他指标仅是对影响福利因素在GDP中进行简单的加减，没有体现这些影响因素与生产之间的内在联系。并且，对正负内部性生产福利价值核算，扩展了GDP核算的范围，使GDP能更加全面、真实地反映国民经济发展的现实状况。总之，GD2PW比国民经济福利、经济净福利等指标更具科学性和操作性。</w:t>
      </w:r>
    </w:p>
    <w:p w14:paraId="1BE1244D">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3.正、负内部性生产福利价值的定义。这两大概念是GDP核算框架转化为GDPW核算框架的重要中介变量。国家掌握的市场交易信息并不能涵盖所有通过市场交易的人类生产活动。一些由于具有明显的社会危害或影响国家正常经济秩序的活动，因政府禁止而转入地下，如，制贩毒品、黄色制品、非法军火生意、走私、卖淫、拐卖人口等。这类生产对社会福利产生负效应，故本文称之为负内部性生产，这部分生产在政府的官方统计中没有它们的影子。另外，一些出于逃漏税目的而转入地下的社会经济活动在国民统计账户中也没有反映，但从这类生产的最终产品福利价值而言，它们对国民福利具有正效应，本文则称之为正内部性生产。</w:t>
      </w:r>
    </w:p>
    <w:p w14:paraId="301BF219">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4.负外部性福利价值的定义。负外部性福利价值是根据外部性经济理论而界定的概念，衡量的是经济、社会对国民福利产生的外部性影响价值。负外部性福利价值包括两部分：自然资源环境成本与社会成本。自然资源环境成本是国民经济外部性对资源环境的影响。因为资源环境也是国民财富，是国民福利在资源环境上的体现。自然资源环境成本主要包括资源耗减和环境退化。社会成本是指社会活动以及社会因素给人们造成的损失，如社会管理、社会安全等。其中社会安全包括自然灾害、人为事故、违法犯罪等。严格地说，因社会活动主体多元，社会活动内容广泛，故社会成本也是多方面的，不止包括社会管理成本与社会安全成本，还可以包括社会和谐成本、社会改革成本、社会稳定成本等。它反映的是社会对经济及人们福利的外部性影响。从本质上说，无论是自然环境成本还是社会成本都是对人们福利价值的外部性影响，因而可将两者统称为负外部性福利价值。</w:t>
      </w:r>
    </w:p>
    <w:p w14:paraId="3CB11EFF">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（二）GDPW核算的理论基础</w:t>
      </w:r>
    </w:p>
    <w:p w14:paraId="4C686A78">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任何研究框架，都不是由单一理论而是由相互联系的一簇理论支持的，GDPW研究框架同样如此。GDPW研究框架从本质上说是人-经济-环境核算一体化的研究框架。具体地说，它是在以经济系统为研究对象的传统SNA框架基础上，容纳人、资源、环境三大因素，并将四者有机结合起来的以人为中心的一种研究框架。相对传统的SNA框架，GDPW研究框架无论在内容上还是范围上都发生了巨大变化。因此，从构造GDPW框架角度看，除凯恩斯经济理论外，还需以下经济理论作为其研究基础：第一，科学发展观理论。GDPW是适应科学发展观要求而提出的核算指标。科学发展观的第一要义是发展，核心是以人为本，基本要求是全面协调可持续发展，根本方法是统筹兼顾。它要求将人口、经济、环境有机统一起来，并突出以人为中心。从2003年党的十六届三中全会提出以来，科学发展观理论已日趋成熟。因此，这一重大战略思想必然成为建立GDPW研究框架首要的理论基础。第二，庇古福利经济理论。著名经济学家庇古的福利经济理论，尤其是其中的外部性理论之所以能成为构造GDPW框架的理论基础，主要是因为：首先，GDPW指标从本质上讲是反映福利总量而不是生产总量的综合性指标，其研究对象与福利经济学的研究对象基本一致。其次，经济外部性理论以市场经济为立足点，研究游离于市场经济外的因素对市场的影响；而GDPW研究框架则以反映市场活动的传统SNA框架为基点，通过考察环境资源等外部性因素的影响，使作为单纯经济指标的GDP转化为实际福利指标的GDPW。可见，在研究内容上，GDPW框架与经济外部性理论是相通的。最后，根据经济外部性理论，一种活动是外部性活动抑或内部性活动的衡量标准是宏观成本与微观成本是否存在差异，这为构建GDPW核算研究框架提供了理论依据和核算原则。第三，环境经济理论。环境学的基本范畴是环境、自然资源，主要研究内容是人类生存的自然环境、自然资源的结构、变化，保护环境、减少污染的方法，新能源、可替代能源的开发技术等。在人类高度重视环境保护的今天，环境学还研究人类社会活动，如，国家环境行为、国家环境政策等。现在，不少环境主义者认为人类的环境意识应由环境损失的事后补偿转变为环境状况的预先防护，故主张环境学要研究自然环境与人类社会发展的冲突，特别是由环境问题而引发的现代可持续发展思想及相关理论，如，罗宾逊（Robinson）和廷克</w:t>
      </w:r>
      <w:r>
        <w:rPr>
          <w:rFonts w:hint="eastAsia" w:ascii="Times New Roman" w:hAnsi="Times New Roman" w:eastAsia="宋体" w:cs="Times New Roman"/>
          <w:szCs w:val="24"/>
        </w:rPr>
        <w:t>（Tinker）（1998）</w:t>
      </w:r>
      <w:r>
        <w:rPr>
          <w:rFonts w:hint="eastAsia" w:ascii="宋体" w:hAnsi="宋体" w:eastAsia="宋体" w:cs="Times New Roman"/>
          <w:szCs w:val="24"/>
        </w:rPr>
        <w:t>的可持续发展“三支柱论”，戈利</w:t>
      </w:r>
      <w:r>
        <w:rPr>
          <w:rFonts w:ascii="Times New Roman" w:hAnsi="Times New Roman" w:eastAsia="宋体" w:cs="Times New Roman"/>
          <w:szCs w:val="24"/>
        </w:rPr>
        <w:t>（Golley）（1990）</w:t>
      </w:r>
      <w:r>
        <w:rPr>
          <w:rFonts w:hint="eastAsia" w:ascii="宋体" w:hAnsi="宋体" w:eastAsia="宋体" w:cs="Times New Roman"/>
          <w:szCs w:val="24"/>
        </w:rPr>
        <w:t>的可持续发展“生态论”，戴利</w:t>
      </w:r>
      <w:r>
        <w:rPr>
          <w:rFonts w:hint="eastAsia" w:ascii="Times New Roman" w:hAnsi="Times New Roman" w:eastAsia="宋体" w:cs="Times New Roman"/>
          <w:szCs w:val="24"/>
        </w:rPr>
        <w:t>（Daly）</w:t>
      </w:r>
      <w:r>
        <w:rPr>
          <w:rFonts w:hint="eastAsia" w:ascii="宋体" w:hAnsi="宋体" w:eastAsia="宋体" w:cs="Times New Roman"/>
          <w:szCs w:val="24"/>
        </w:rPr>
        <w:t>和柯布</w:t>
      </w:r>
      <w:r>
        <w:rPr>
          <w:rFonts w:hint="eastAsia" w:ascii="Times New Roman" w:hAnsi="Times New Roman" w:eastAsia="宋体" w:cs="Times New Roman"/>
          <w:szCs w:val="24"/>
        </w:rPr>
        <w:t>（Cobb）（1989）</w:t>
      </w:r>
      <w:r>
        <w:rPr>
          <w:rFonts w:hint="eastAsia" w:ascii="宋体" w:hAnsi="宋体" w:eastAsia="宋体" w:cs="Times New Roman"/>
          <w:szCs w:val="24"/>
        </w:rPr>
        <w:t>、皮尔斯</w:t>
      </w:r>
      <w:r>
        <w:rPr>
          <w:rFonts w:hint="eastAsia" w:ascii="Times New Roman" w:hAnsi="Times New Roman" w:eastAsia="宋体" w:cs="Times New Roman"/>
          <w:szCs w:val="24"/>
        </w:rPr>
        <w:t>（Pearce）</w:t>
      </w:r>
      <w:r>
        <w:rPr>
          <w:rFonts w:hint="eastAsia" w:ascii="宋体" w:hAnsi="宋体" w:eastAsia="宋体" w:cs="Times New Roman"/>
          <w:szCs w:val="24"/>
        </w:rPr>
        <w:t>和特纳</w:t>
      </w:r>
      <w:r>
        <w:rPr>
          <w:rFonts w:hint="eastAsia" w:ascii="Times New Roman" w:hAnsi="Times New Roman" w:eastAsia="宋体" w:cs="Times New Roman"/>
          <w:szCs w:val="24"/>
        </w:rPr>
        <w:t>（Turner）（1990）</w:t>
      </w:r>
      <w:r>
        <w:rPr>
          <w:rFonts w:hint="eastAsia" w:ascii="宋体" w:hAnsi="宋体" w:eastAsia="宋体" w:cs="Times New Roman"/>
          <w:szCs w:val="24"/>
        </w:rPr>
        <w:t>的可持续发展“资本论”等。环境经济理论对GDPW核算体系的形成和核算范围的划定都具有重要的指导意义。</w:t>
      </w:r>
    </w:p>
    <w:p w14:paraId="04B6F970">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（三）GDPW核算的基本框架</w:t>
      </w:r>
    </w:p>
    <w:p w14:paraId="01F92175">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1.设计思路。GDPW是适应科学发展观要求的新的核算指标，其研究框架的“硬核”体现为一种“以人为本”的科学发展观思想，即应以人为中心构造研究框架。因为经济发展的本质或最终目的在于人们福利的增进，在于是否能促进每个人自由而全面的发展。GDPW是与GDP框架紧密联系的，是对现行GDP框架的改进，而不是完全脱离现行GDP的研究框架。因此，可在现行GDP研究框架的基础上，引入对福利增进的影响分析，通过对现行GDP的调整，使其外在数值与内含福利一致化，从而建立适应科学发展的经济价值目标的国民经济核算体系。此外，根据概念，GDPW还必须核算外部性经济因素对福利的影响，如环境污染等，因此其研究范围不仅涉及经济系统，还将包括环境资源系统、社会系统等方面，以弥补现行GDP框架的不足，从而使GDPW框架成为一个既有新功能又能保持传统GDP功能的研究框架。</w:t>
      </w:r>
    </w:p>
    <w:p w14:paraId="54F8FA8A">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2.核算公式。根据以上设计思路，可建立如下GDPW核算公式：</w:t>
      </w:r>
    </w:p>
    <w:p w14:paraId="0343DAA9">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1）不考虑外部性情况下GDPW的核算公式：从生产法分析，GDPW=现行GDP+正内部性生产福利价值；从支出法分析，GDPW=现行GDP-负内部性生产福利价值；从综合角度分析，GD2PW=现行GDP+正内部性生产福利价值-负内部性生产福利价值，其中：正内部性生产福利价值=非正规性生产价值+非市场性生产价值，负内部性生产福利价值=非法生产价值。GDPW具体调整核算时，可使用生产法或支出法核算公式。为了便于分析，这三种核算公式只做了粗略描述，而非具体的核算公式。要说明的是，虽然正负内部性生产都应纳入GDPW核算范围，但只有正内部性生产是创造福利的，故在生产法中加入；负内部性生产（非法生产）创造的是负福利产品，并且从支出法角度看，正内部性生产价值实际上都已包括在GDP之中，因此，在按照支出法核算时，不能再将非正规性生产福利价值再加入GDP，以避免重复计算，只是将非法生产价值从GDP中扣除。同时，这些处理方法与SNA（1993）是不同的，SNA（1993）是将非正规性生产价值和非法生产价值均作为GDP的增项处理。</w:t>
      </w:r>
    </w:p>
    <w:p w14:paraId="2849526E">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2）考虑外部性情况下GDPW的核算公式：GDPW=现行GDP+正内部性生产福利价值-负内部性生产福利价值-负外部性福利价值；负外部性福利价值=自然资源环境成本+社会成本；社会成本=社会管理成本+社会安全成本；社会管理成本=政府社会成本；政府社会成本=政府决策失误成本+政府腐败成本+政府行政失效成本；社会安全成本=自然灾害损失成本+人为事故损失成本+违法犯罪成本。</w:t>
      </w:r>
    </w:p>
    <w:p w14:paraId="4B626D91">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3）几点说明。在解读以上公式时，需要注意以下几方面：①从现行GDP转化为GDPW必须经过三个步骤：一是基于福利的生产因素调整；二是基于福利的环境因素调整；三是基于福利的社会因素调整。②生产因素调整的意义在于，传统的GDP计入了大量负福利性价值，在转化为GD2PW过程中，有必要将这些价值予以扣除。同时存在未计入GDP的正福利性价值，也有必要将这些价值予以计入。③关于正内部性生产核算。非正规性生产和非市场性生产是正内部性生产的两大核算内容。非正规性生产虽然违反有关法规，但对人们的福利水平、国民经济发展具有一定积极作用，应纳入GDP核算范围。之所以使用内部性概念，是因为这些生产本身属于国民经济的生产范围，是遗漏的部分。非市场性生产包括多方面，如，文教体卫、政府服务、住房无付酬服务（或称家务劳动）等，但文教体卫和政府服务等产出已计入GDP，而发生在家庭内部的经济活动以及自我服务性活动创造的最终产品和劳务的价值没有纳入GDP核算范围，而它为社会创造价值是不争的客观事实，理应将其纳入。④关于负内部性生产即非法生产的核算。非法生产又称犯罪经济，它具有很强的隐蔽性，核算困难大，GDP没有将其纳入核算范围。但本文认为非法生产是国民经济中客观存在的经济现象，GDP应全面真实地反映国民经济发展的现实，不能因其核算难度大就将其排除在外，况且目前国内外对非法生产的核算已有大量有价值的研究成果，应借鉴发达国家非法生产核算的经验，在理论上不断创新，在实践中不断探索，并最终将其纳入国民经济统计核算体系。⑤关于自然资源环境成本。自然资源环境成本包括资源耗减和环境退化，是因经济外部性而产生的，应将其从GDP中扣减，这是可持续发展观的客观要求。在GDPW研究过程中出现的形形色色的概念范畴中，资源耗减和环境退化两大范畴很重要。因为这两大范畴不仅在理论上揭示了经济系统与环境、资源系统之间的内在联系，而且从方法上也可直接转化为指标范畴，成为现行GDP转化为GDPW的重要中介变量。虽然从表面上看资源耗减和环境退化代表两种不同的现象，但就本质而言，两者是一致的，都是经济活动对环境系统的一种消耗，区别在于资源耗减表现为有形消耗，而环境退化更多地表现为无形消耗。正是基于这一认识，可将两者视为经济活动的资源环境成本，甚至看作是经济活动的生产成本（中间消耗）。以这一理论认识为前提的结论是，从现行GDP转化为GDPW的过程中，将资源耗减和环境退化从GDP中扣除是GDPW核算的重要内容，反映了经济可持续发展的要求。⑥关于社会成本。基于核算的复杂性，以简化核算出发，本文仅核算两种社会成本。之所以将这些成本从GDP中扣除主要基于以下原因：首先，从“成本效益观”的角度看，自然灾害损失、事故损失及社会管理成本实际上是国民经济发展过程中产生的“成本”，将这些损失作为“成本”从GDP中扣除，有助于树立经济科学发展的成本效益观；其次，以上使用的“成本”概念，并非会计核算意义上的成本概念，而是从损失恢复的角度来定义的（包括自然资源环境成本），即经济外部性和社会外部性造成福利损失后，要弥补并恢复原有福利水平，必然要耗费的资源或财富。最后，从能否创造福利增加值的角度看，GDP核算国内生产创造的增加值，GDPW则核算国内生产创造的福利增加值，补偿各类损失的生产目的是弥补福利损失，维持人们正常的福利水平。补偿各类损失的生产仅是国民经济福利创造的“中间投入”，不是最终福利产品，故作为GDPW核算中的减项。⑦根据公式可知，以福利数量为计算依据的GDP仅仅表现为名义GDPW，即由于内部性和外部性损害因素的影响，现行GDP的外在数值并不是其内含福利质量的真实体现。而两者之间的差异，恰恰是内部性和外部性损害因素共同作用的结果。可见，将内部性和外部性损害进行货币化估算，并以此对GDP进行调整，目的在于使调整后的GDP的外在数值与其内含的福利质量相吻合。这正是本文将正、负内部性生产价值与负外部性福利价值作为GDPW核算加减因素的理论诠释。⑧经上述因素调整后形成的GDPW是以福利核算为主线的经济、环境、社会一体化的核算指标。由于GDPW核算是一个包括经济学、核算学、环境学、行政管理学等跨学科的研究框架，其理论内容和研究方法十分复杂，因此这一框架从方法论角度看并不是完美无缺的，仍有许多理论和方法问题等待研究解决。</w:t>
      </w:r>
    </w:p>
    <w:p w14:paraId="220463E1">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（四）GDPW核算的基本原则</w:t>
      </w:r>
    </w:p>
    <w:p w14:paraId="352571F5">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1.客观福利原则。这是思考GDPW核算问题时必须首要关注的原则。这一原则表明，只有那些有利于人们福利增进的、能用货币价值表现的客观价值成果，才能被列入GDPW的核算范围。从福利角度分析，GDPW核算必须有承载体，而这个承载体就是国民产品。一般而言，所谓国民产品通常是指社会最终产品。法国著名经济学家瓦尔拉斯（L.Walras）提出以有用性原则作为判断产品是否属于国民经济福利核算范围的最终产品的标准，即如果一种活动成果具有满足某种需要的能力或效用，该活动成果就具有有用性，应视为社会最终产品。在开展GDP生产、分配和使用的核算时，人们普遍接受这个标准。然而，在GDP核算基础上开展国民经济福利核算研究时，西方学者又提出了强有用性和弱有用性两种不同的判断标准。强有用性标准是指只要某种产品能满足人们的需要，不论是道德的还是非道德的，不论是合法的还是非法的，都具有有用性。现行SNA就是按照强有用性标准对社会最终产品进行确定的。在SNA体系内，只要能满足社会成员需要的产品和劳务，无论是满足整体需要还是满足个人需要，都应纳入社会最终产品的核算范围。即使是不合法的地下经济生产，违背道德标准的毒品生产，也纳入国民生产核算范畴。正如SNA（1993）所指出：“符合交易特征，特别是交易双方有共同协议时的非法活动与合法活动按同样方式处理。某些货物和服务，如麻醉品，其生产或消费可能是非法的，但这样的货物和服务的市场交易在账户中必须记录。”然而，一部分研究国民经济福利核算的学者，如，诺德豪斯和托宾、美国的肯德瑞克（Kendirick）和佐洛塔斯（Zolotas）、英国的贝克曼（Beckeman）以及澳大利亚的斯诺克斯（Snooks）等人，并不同意在国民经济福利核算中使用强有用性标准。因为国民经济福利与国民生产是两个不同的经济概念，一种经济活动成果是否能成为社会最终产品，从而成为国民经济福利核算的客观对象，并不是唯一决定于活动成果是否满足需要即有用性的性质，而是在很大程度上与活动成果是否能增进个人福利的性质息息相关。相对于瓦尔拉斯的强有用性标准，上述判断经济活动成果的思想被后来学者们概括为弱有用性标准。那么，GDPW核算应当遵循什么样的标准呢？GDPW的内涵本质上与GDP是一致的，差别在于它是从福利的角度对GDP进行修正，生产与福利是两个联系紧密的概念，生产是前提，福利是结果，因此GDP核算和GDPW核算并非两个独立的系统，两者是有机统一的。GDPW核算是在GDP核算的基础上，根据福利标准对GDP核算的修正，因此，将GDP转化为GDPW，不仅要考虑GDP核算之外的外部性因素调整问题，而且要考虑GDP核算的内部性因素调整问题。基于此，本文的GDPW核算范围基本上坚持SNA的强有用性标准，即只要能满足社会成员需要的产品和劳务，无论是满足整体需要还是满足个人需要，都应纳入社会最终产品的核算范围。但不合法的、违背道德标准的生产以及对人们的福利没有贡献的生产，应从GDP中扣除作为GDPW中的负内部性生产福利价值部分。因为这些最终产品或服务是有损或无益于人们福利的，即GDPW核算范围界定标准是在合法、道德基础上的强有用性标准，本文将这一标准称为准强有用性标准，它介于强与弱两种有用性标准之间。</w:t>
      </w:r>
    </w:p>
    <w:p w14:paraId="00175D6E">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2.主体性原则。GDPW核算的主体，即一国经济领土上具有经济利益中心的常驻单位。如果一个企业或一个人在该国的经济领土范围内有一个场所（住所、厂房或其他建筑物），并将之用以长期的经营活动，那么它就是一个经济利益主体。在“个人主义”的市场体系中，这类主体即为经济学中所谓的“经济人”，他按照“最小最大化原则”组织自己的各种经济行为。其中最小化和最大化的对象——成本和收益，都是以该“利益主体”为边界计算得来的。在存在外部性的情况下，成本和收益并不能精确描述各主体经济行为的福利影响。在市场体系中，这些成本和收益都是用产品或服务的市场价格来表示的。因此，具体来说，各行为主体的生产结果——产品或服务的市场价格无法准确描述它们带来的福利影响。这便解释了为什么用市场价值（价格）来表示人类生产活动价值会为GDP核算带来偏差。</w:t>
      </w:r>
    </w:p>
    <w:p w14:paraId="075F1A81">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现在的问题是外部性有正有负，一人所得即为另一人所失，那么为什么将所有主体的成本支出（支出法）或收益（收入法）简单加总起来，所得的核算结果还会出现偏差呢？原因就在于主体的选择上。有两个主体在现行GDP核算理念中显然被忽略了：其一是自然环境；其二是当代人类的后代。自然环境一方面作为人类生存空间的一部分，构成人类福利的重要要素；另一方面又在人类的生产活动中扮演着重要角色。与矿产、土地等自然资源相异，自然环境在更多的情况下表现为公共品的特征，即消费上的非排他性和非竞争性，因而“公地悲剧”在它身上就表现得特别明显。没有哪个市场中的利益主体会为南极上空的臭氧黑洞带来的福利损失而采取行动，因为该类行动的成本巨大，而其行为后果却是纯粹的公共品，无法获得足够的收益补偿。对当代人类的后代，虽然经济学家在理论研究中可以将他们的福利折现，从而将其行为纳入当期的研究中，但在现实中却无法做到。由于未来人在现实的市场中没有发言权，因而当现代人的行为对他们有负的外部性时，他们也无法反对。所以，市场价格体系也不能准确地将这类由后代为当代人承担的成本反映出来。</w:t>
      </w:r>
    </w:p>
    <w:p w14:paraId="1BFC1F00">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3.准市场性原则。这个原则要求构成GDPW的经济量具有商品或准商品的性质。有些观点认为，国民经济总量应有纯市场性，即经济总量必须能够实现市场交换。这种看法是不全面的，它往往会排斥一些市场化程度较低但仍有重大经济意义的经济量。之所以采取准市场标准，是因为以纯市场标准来衡量GDPW会受到市场化程度的影响，使经济发展程度不同的经济体的福利总量统计范围不一致；另外准市场化标准可描述的是较全面的生产福利流量，若不包括这些流量，就无法全面解释经济主体接下来的一系列消费行为。执行准市场化标准，就是一方面反映市场化的经济福利总量，另一方面对不具市场性的经济活动进行一定的市场假设——虚拟一个市场，在这个“准市场”中生产福利流量得以流动，其流量应和相应的市场产品相对照。虚拟的方法一般有两种：一是用在市场上交易的该类产品的价格，来虚拟没有在市场上交易的该类产品的价值；二是用该类生产活动的费用、成本来虚拟其产品的价值。按照准市场标准，在GDPW统计中生产范围的活动可概括如下：（1）所有提供或准备提供给其他单位的货物和服务的生产，包括生产这些货物和服务过程所消耗的货物和服务的生产。（2）生产者用于自身最终消费和资本形成的一切货物的自给性生产。（3）自有住房服务和不付酬家庭雇员提供的家庭或个人服务的自给性生产。</w:t>
      </w:r>
    </w:p>
    <w:p w14:paraId="6666781C">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此外，GDPW核算还遵循时间性原则、所有权原则等GDP核算基本原则。通过以上准则可知，GDPW的统计范围以客观福利概念为基础，核算内容十分丰富。</w:t>
      </w:r>
    </w:p>
    <w:p w14:paraId="69CB2F13">
      <w:pPr>
        <w:spacing w:line="400" w:lineRule="exact"/>
        <w:ind w:firstLine="200"/>
        <w:rPr>
          <w:rFonts w:ascii="宋体" w:hAnsi="宋体" w:eastAsia="宋体" w:cs="Times New Roman"/>
          <w:szCs w:val="24"/>
        </w:rPr>
      </w:pPr>
    </w:p>
    <w:p w14:paraId="3FBD218C">
      <w:pPr>
        <w:spacing w:line="400" w:lineRule="exact"/>
        <w:ind w:firstLine="200"/>
        <w:rPr>
          <w:rFonts w:ascii="宋体" w:hAnsi="宋体" w:eastAsia="宋体" w:cs="Times New Roman"/>
          <w:szCs w:val="24"/>
        </w:rPr>
      </w:pPr>
      <w:r>
        <w:rPr>
          <w:rFonts w:hint="eastAsia" w:ascii="宋体" w:hAnsi="宋体" w:eastAsia="宋体" w:cs="Times New Roman"/>
          <w:szCs w:val="24"/>
        </w:rPr>
        <w:t>参考文献：</w:t>
      </w:r>
    </w:p>
    <w:p w14:paraId="535C587C">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[1]杨缅昆.绿色国内生产总值研究框架的方法论研究[J].经济评论，2005，（6）.</w:t>
      </w:r>
    </w:p>
    <w:p w14:paraId="081FF5EE">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[2]杨缅昆.国民福利：诺德豪斯——托宾核算模式评析[J].统计研究，2007，（5）.</w:t>
      </w:r>
    </w:p>
    <w:p w14:paraId="3E30EF90">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[3]杨缅昆.论国民福利核算框架下的福利概念[J].统计研究，2008，（4）.</w:t>
      </w:r>
    </w:p>
    <w:p w14:paraId="567CAE44">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[4]宋小川.中国的GDP及其若干统计问题[J].经济研究，</w:t>
      </w:r>
      <w:r>
        <w:rPr>
          <w:rFonts w:ascii="宋体" w:hAnsi="宋体" w:eastAsia="宋体" w:cs="Times New Roman"/>
          <w:sz w:val="18"/>
          <w:szCs w:val="18"/>
        </w:rPr>
        <w:t>2007，（8）.</w:t>
      </w:r>
    </w:p>
    <w:p w14:paraId="32AF5895">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[5]蒋锦洪.经济发展的价值追求与人本向度[J].华东师范大学学报，2007，（2）.</w:t>
      </w:r>
    </w:p>
    <w:p w14:paraId="4E3CF2E5">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[6]傅如良.科学发展观的价值跃迁[N].光明日报，2007-</w:t>
      </w:r>
      <w:r>
        <w:rPr>
          <w:rFonts w:ascii="宋体" w:hAnsi="宋体" w:eastAsia="宋体" w:cs="Times New Roman"/>
          <w:sz w:val="18"/>
          <w:szCs w:val="18"/>
        </w:rPr>
        <w:t>10-01.</w:t>
      </w:r>
    </w:p>
    <w:p w14:paraId="7CA9A1B4">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[7]耿建新，张宏亮.我国绿色国民经济核算体系的框架及其评价[J].城市发展研究，2006，（4）.</w:t>
      </w:r>
    </w:p>
    <w:p w14:paraId="5E57FC9E">
      <w:pPr>
        <w:spacing w:line="400" w:lineRule="exact"/>
        <w:ind w:firstLine="200"/>
        <w:rPr>
          <w:rFonts w:ascii="宋体" w:hAnsi="宋体" w:eastAsia="宋体" w:cs="Times New Roman"/>
          <w:szCs w:val="24"/>
        </w:rPr>
      </w:pPr>
    </w:p>
    <w:p w14:paraId="4C92BFFE">
      <w:pPr>
        <w:spacing w:line="400" w:lineRule="exact"/>
        <w:ind w:firstLine="200"/>
        <w:rPr>
          <w:rFonts w:ascii="宋体" w:hAnsi="宋体" w:eastAsia="宋体" w:cs="Times New Roman"/>
          <w:szCs w:val="24"/>
        </w:rPr>
      </w:pPr>
      <w:r>
        <w:rPr>
          <w:rFonts w:hint="eastAsia" w:ascii="宋体" w:hAnsi="宋体" w:eastAsia="宋体" w:cs="Times New Roman"/>
          <w:szCs w:val="24"/>
        </w:rPr>
        <w:t>（原载于《经济纵横》2009年第3期，第二作者为曹立村）</w:t>
      </w:r>
      <w:r>
        <w:rPr>
          <w:rFonts w:ascii="宋体" w:hAnsi="宋体" w:eastAsia="宋体" w:cs="Times New Roman"/>
          <w:szCs w:val="24"/>
        </w:rPr>
        <w:br w:type="page"/>
      </w:r>
    </w:p>
    <w:p w14:paraId="651608B1">
      <w:pPr>
        <w:keepNext/>
        <w:keepLines/>
        <w:widowControl/>
        <w:spacing w:line="480" w:lineRule="auto"/>
        <w:ind w:firstLine="198"/>
        <w:jc w:val="center"/>
        <w:outlineLvl w:val="1"/>
        <w:rPr>
          <w:rFonts w:ascii="黑体" w:hAnsi="黑体" w:eastAsia="黑体" w:cs="Times New Roman"/>
          <w:kern w:val="0"/>
          <w:sz w:val="32"/>
          <w:szCs w:val="32"/>
        </w:rPr>
      </w:pPr>
      <w:bookmarkStart w:id="1044" w:name="_Toc12443"/>
      <w:bookmarkStart w:id="1045" w:name="_Toc1539724214"/>
      <w:bookmarkStart w:id="1046" w:name="_Toc783717047"/>
      <w:r>
        <w:rPr>
          <w:rFonts w:ascii="黑体" w:hAnsi="黑体" w:eastAsia="黑体" w:cs="Times New Roman"/>
          <w:kern w:val="0"/>
          <w:sz w:val="32"/>
          <w:szCs w:val="32"/>
        </w:rPr>
        <w:t>7</w:t>
      </w:r>
      <w:r>
        <w:rPr>
          <w:rFonts w:hint="eastAsia" w:ascii="黑体" w:hAnsi="黑体" w:eastAsia="黑体" w:cs="Times New Roman"/>
          <w:kern w:val="0"/>
          <w:sz w:val="32"/>
          <w:szCs w:val="32"/>
        </w:rPr>
        <w:t>加快转变对外经济发展方式须实现“五个控制和提升”</w:t>
      </w:r>
      <w:bookmarkEnd w:id="1044"/>
      <w:bookmarkEnd w:id="1045"/>
      <w:bookmarkEnd w:id="1046"/>
    </w:p>
    <w:p w14:paraId="514F50C5">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改革开放以来，我国主要逐步推行基于比较优势基础上的“出口导向”战略，对经济增长和社会进步做出了贡献，但是，较为粗放的对外开放模式已经引发了一系列经济社会问题，妨碍了产业结构的提升和国民福利的增加。这说明，以单向引进和数量扩张为特征、以资源高消耗为手段、以环境遭破坏为代价的粗放型对外经济发展模式已经不能适应转变经济发展方式的新要求。我们必须在科学发展观的指导下，建立起“低损耗、高效益；双向互动，自主创新”的“精益型”对外开放模式，统筹国内经济发展与对外开放的关系，促进国民经济又好又快地持续发展。具体应做到“五个提升”。</w:t>
      </w:r>
    </w:p>
    <w:p w14:paraId="5795DCB1">
      <w:pPr>
        <w:widowControl/>
        <w:spacing w:line="36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一、适当降低外贸依存度，提升消费拉动增长的作用</w:t>
      </w:r>
    </w:p>
    <w:p w14:paraId="06576325">
      <w:pPr>
        <w:spacing w:line="400" w:lineRule="exact"/>
        <w:ind w:firstLine="440" w:firstLineChars="200"/>
        <w:rPr>
          <w:rFonts w:ascii="宋体" w:hAnsi="宋体" w:eastAsia="宋体" w:cs="Times New Roman"/>
          <w:szCs w:val="21"/>
        </w:rPr>
      </w:pPr>
      <w:r>
        <w:rPr>
          <w:rFonts w:ascii="宋体" w:hAnsi="宋体" w:eastAsia="宋体" w:cs="Times New Roman"/>
          <w:szCs w:val="21"/>
        </w:rPr>
        <w:t>对外贸易依存度是指在一定时期内（通常为一年）一国或地区的进出口贸易总值占其国内生产总值或国民生产总值的比重</w:t>
      </w:r>
      <w:r>
        <w:rPr>
          <w:rFonts w:hint="eastAsia" w:ascii="宋体" w:hAnsi="宋体" w:eastAsia="宋体" w:cs="Times New Roman"/>
          <w:szCs w:val="21"/>
        </w:rPr>
        <w:t>，是衡量一国经济发展对对外贸易依赖程度的重要指标</w:t>
      </w:r>
      <w:r>
        <w:rPr>
          <w:rFonts w:ascii="宋体" w:hAnsi="宋体" w:eastAsia="宋体" w:cs="Times New Roman"/>
          <w:szCs w:val="21"/>
        </w:rPr>
        <w:t>。</w:t>
      </w:r>
      <w:r>
        <w:rPr>
          <w:rFonts w:hint="eastAsia" w:ascii="宋体" w:hAnsi="宋体" w:eastAsia="宋体" w:cs="Times New Roman"/>
          <w:szCs w:val="21"/>
        </w:rPr>
        <w:t>改革开放以来，我国对外贸易规模逐年扩大。进出口总额从</w:t>
      </w:r>
      <w:r>
        <w:rPr>
          <w:rFonts w:ascii="宋体" w:hAnsi="宋体" w:eastAsia="宋体" w:cs="Times New Roman"/>
          <w:szCs w:val="21"/>
        </w:rPr>
        <w:t>1978年</w:t>
      </w:r>
      <w:r>
        <w:rPr>
          <w:rFonts w:hint="eastAsia" w:ascii="宋体" w:hAnsi="宋体" w:eastAsia="宋体" w:cs="Times New Roman"/>
          <w:szCs w:val="21"/>
        </w:rPr>
        <w:t>的</w:t>
      </w:r>
      <w:r>
        <w:rPr>
          <w:rFonts w:ascii="宋体" w:hAnsi="宋体" w:eastAsia="宋体" w:cs="Times New Roman"/>
          <w:szCs w:val="21"/>
        </w:rPr>
        <w:t>20</w:t>
      </w:r>
      <w:r>
        <w:rPr>
          <w:rFonts w:hint="eastAsia" w:ascii="宋体" w:hAnsi="宋体" w:eastAsia="宋体" w:cs="Times New Roman"/>
          <w:szCs w:val="21"/>
        </w:rPr>
        <w:t>6</w:t>
      </w:r>
      <w:r>
        <w:rPr>
          <w:rFonts w:ascii="宋体" w:hAnsi="宋体" w:eastAsia="宋体" w:cs="Times New Roman"/>
          <w:szCs w:val="21"/>
        </w:rPr>
        <w:t>亿美元，</w:t>
      </w:r>
      <w:r>
        <w:rPr>
          <w:rFonts w:hint="eastAsia" w:ascii="宋体" w:hAnsi="宋体" w:eastAsia="宋体" w:cs="Times New Roman"/>
          <w:szCs w:val="21"/>
        </w:rPr>
        <w:t>发展到</w:t>
      </w:r>
      <w:r>
        <w:rPr>
          <w:rFonts w:ascii="宋体" w:hAnsi="宋体" w:eastAsia="宋体" w:cs="Times New Roman"/>
          <w:szCs w:val="21"/>
        </w:rPr>
        <w:t>200</w:t>
      </w:r>
      <w:r>
        <w:rPr>
          <w:rFonts w:hint="eastAsia" w:ascii="宋体" w:hAnsi="宋体" w:eastAsia="宋体" w:cs="Times New Roman"/>
          <w:szCs w:val="21"/>
        </w:rPr>
        <w:t>8</w:t>
      </w:r>
      <w:r>
        <w:rPr>
          <w:rFonts w:ascii="宋体" w:hAnsi="宋体" w:eastAsia="宋体" w:cs="Times New Roman"/>
          <w:szCs w:val="21"/>
        </w:rPr>
        <w:t>年</w:t>
      </w:r>
      <w:r>
        <w:rPr>
          <w:rFonts w:hint="eastAsia" w:ascii="宋体" w:hAnsi="宋体" w:eastAsia="宋体" w:cs="Times New Roman"/>
          <w:szCs w:val="21"/>
        </w:rPr>
        <w:t>的25616</w:t>
      </w:r>
      <w:r>
        <w:rPr>
          <w:rFonts w:ascii="宋体" w:hAnsi="宋体" w:eastAsia="宋体" w:cs="Times New Roman"/>
          <w:szCs w:val="21"/>
        </w:rPr>
        <w:t>亿美元，</w:t>
      </w:r>
      <w:r>
        <w:rPr>
          <w:rFonts w:hint="eastAsia" w:ascii="宋体" w:hAnsi="宋体" w:eastAsia="宋体" w:cs="Times New Roman"/>
          <w:szCs w:val="21"/>
        </w:rPr>
        <w:t>30年</w:t>
      </w:r>
      <w:r>
        <w:rPr>
          <w:rFonts w:ascii="宋体" w:hAnsi="宋体" w:eastAsia="宋体" w:cs="Times New Roman"/>
          <w:szCs w:val="21"/>
        </w:rPr>
        <w:t>增长</w:t>
      </w:r>
      <w:r>
        <w:rPr>
          <w:rFonts w:hint="eastAsia" w:ascii="宋体" w:hAnsi="宋体" w:eastAsia="宋体" w:cs="Times New Roman"/>
          <w:szCs w:val="21"/>
        </w:rPr>
        <w:t>了</w:t>
      </w:r>
      <w:r>
        <w:rPr>
          <w:rFonts w:ascii="宋体" w:hAnsi="宋体" w:eastAsia="宋体" w:cs="Times New Roman"/>
          <w:szCs w:val="21"/>
        </w:rPr>
        <w:t>1</w:t>
      </w:r>
      <w:r>
        <w:rPr>
          <w:rFonts w:hint="eastAsia" w:ascii="宋体" w:hAnsi="宋体" w:eastAsia="宋体" w:cs="Times New Roman"/>
          <w:szCs w:val="21"/>
        </w:rPr>
        <w:t>2</w:t>
      </w:r>
      <w:r>
        <w:rPr>
          <w:rFonts w:ascii="宋体" w:hAnsi="宋体" w:eastAsia="宋体" w:cs="Times New Roman"/>
          <w:szCs w:val="21"/>
        </w:rPr>
        <w:t>4倍</w:t>
      </w:r>
      <w:r>
        <w:rPr>
          <w:rFonts w:hint="eastAsia" w:ascii="宋体" w:hAnsi="宋体" w:eastAsia="宋体" w:cs="Times New Roman"/>
          <w:szCs w:val="21"/>
        </w:rPr>
        <w:t>。与此同时，外贸依存度也由</w:t>
      </w:r>
      <w:r>
        <w:rPr>
          <w:rFonts w:ascii="宋体" w:hAnsi="宋体" w:eastAsia="宋体" w:cs="Times New Roman"/>
          <w:szCs w:val="21"/>
        </w:rPr>
        <w:t xml:space="preserve">1978 </w:t>
      </w:r>
      <w:r>
        <w:rPr>
          <w:rFonts w:hint="eastAsia" w:ascii="宋体" w:hAnsi="宋体" w:eastAsia="宋体" w:cs="Times New Roman"/>
          <w:szCs w:val="21"/>
        </w:rPr>
        <w:t>年的</w:t>
      </w:r>
      <w:r>
        <w:rPr>
          <w:rFonts w:ascii="宋体" w:hAnsi="宋体" w:eastAsia="宋体" w:cs="Times New Roman"/>
          <w:szCs w:val="21"/>
        </w:rPr>
        <w:t>9.74%</w:t>
      </w:r>
      <w:r>
        <w:rPr>
          <w:rFonts w:hint="eastAsia" w:ascii="宋体" w:hAnsi="宋体" w:eastAsia="宋体" w:cs="Times New Roman"/>
          <w:szCs w:val="21"/>
        </w:rPr>
        <w:t>，提高到了</w:t>
      </w:r>
      <w:r>
        <w:rPr>
          <w:rFonts w:ascii="宋体" w:hAnsi="宋体" w:eastAsia="宋体" w:cs="Times New Roman"/>
          <w:szCs w:val="21"/>
        </w:rPr>
        <w:t>200</w:t>
      </w:r>
      <w:r>
        <w:rPr>
          <w:rFonts w:hint="eastAsia" w:ascii="宋体" w:hAnsi="宋体" w:eastAsia="宋体" w:cs="Times New Roman"/>
          <w:szCs w:val="21"/>
        </w:rPr>
        <w:t>8</w:t>
      </w:r>
      <w:r>
        <w:rPr>
          <w:rFonts w:ascii="宋体" w:hAnsi="宋体" w:eastAsia="宋体" w:cs="Times New Roman"/>
          <w:szCs w:val="21"/>
        </w:rPr>
        <w:t xml:space="preserve"> </w:t>
      </w:r>
      <w:r>
        <w:rPr>
          <w:rFonts w:hint="eastAsia" w:ascii="宋体" w:hAnsi="宋体" w:eastAsia="宋体" w:cs="Times New Roman"/>
          <w:szCs w:val="21"/>
        </w:rPr>
        <w:t>年的58</w:t>
      </w:r>
      <w:r>
        <w:rPr>
          <w:rFonts w:ascii="宋体" w:hAnsi="宋体" w:eastAsia="宋体" w:cs="Times New Roman"/>
          <w:szCs w:val="21"/>
        </w:rPr>
        <w:t>%</w:t>
      </w:r>
      <w:r>
        <w:rPr>
          <w:rFonts w:hint="eastAsia" w:ascii="宋体" w:hAnsi="宋体" w:eastAsia="宋体" w:cs="Times New Roman"/>
          <w:szCs w:val="21"/>
        </w:rPr>
        <w:t>。这一指标在此前的2004年和2005年最高峰值时曾一度高达70%，2007年仍居于66%的高位。</w:t>
      </w:r>
      <w:r>
        <w:rPr>
          <w:rFonts w:ascii="宋体" w:hAnsi="宋体" w:eastAsia="宋体" w:cs="Times New Roman"/>
          <w:szCs w:val="21"/>
          <w:vertAlign w:val="superscript"/>
        </w:rPr>
        <w:footnoteReference w:id="364"/>
      </w:r>
      <w:r>
        <w:rPr>
          <w:rFonts w:ascii="宋体" w:hAnsi="宋体" w:eastAsia="宋体" w:cs="Times New Roman"/>
          <w:szCs w:val="21"/>
        </w:rPr>
        <w:t>根据WTO和IMF的数据测算</w:t>
      </w:r>
      <w:r>
        <w:rPr>
          <w:rFonts w:hint="eastAsia" w:ascii="宋体" w:hAnsi="宋体" w:eastAsia="宋体" w:cs="Times New Roman"/>
          <w:szCs w:val="21"/>
        </w:rPr>
        <w:t>，</w:t>
      </w:r>
      <w:r>
        <w:rPr>
          <w:rFonts w:ascii="宋体" w:hAnsi="宋体" w:eastAsia="宋体" w:cs="Times New Roman"/>
          <w:szCs w:val="21"/>
        </w:rPr>
        <w:t>全球平均贸易依存度2003年接近45</w:t>
      </w:r>
      <w:r>
        <w:rPr>
          <w:rFonts w:hint="eastAsia" w:ascii="宋体" w:hAnsi="宋体" w:eastAsia="宋体" w:cs="Times New Roman"/>
          <w:szCs w:val="21"/>
        </w:rPr>
        <w:t>%</w:t>
      </w:r>
      <w:r>
        <w:rPr>
          <w:rFonts w:ascii="宋体" w:hAnsi="宋体" w:eastAsia="宋体" w:cs="Times New Roman"/>
          <w:szCs w:val="21"/>
        </w:rPr>
        <w:t>。其中，发达国家平均水平</w:t>
      </w:r>
      <w:r>
        <w:rPr>
          <w:rFonts w:hint="eastAsia" w:ascii="宋体" w:hAnsi="宋体" w:eastAsia="宋体" w:cs="Times New Roman"/>
          <w:szCs w:val="21"/>
        </w:rPr>
        <w:t>为</w:t>
      </w:r>
      <w:r>
        <w:rPr>
          <w:rFonts w:ascii="宋体" w:hAnsi="宋体" w:eastAsia="宋体" w:cs="Times New Roman"/>
          <w:szCs w:val="21"/>
        </w:rPr>
        <w:t>38.4%，发展中国家平均水平</w:t>
      </w:r>
      <w:r>
        <w:rPr>
          <w:rFonts w:hint="eastAsia" w:ascii="宋体" w:hAnsi="宋体" w:eastAsia="宋体" w:cs="Times New Roman"/>
          <w:szCs w:val="21"/>
        </w:rPr>
        <w:t>为</w:t>
      </w:r>
      <w:r>
        <w:rPr>
          <w:rFonts w:ascii="宋体" w:hAnsi="宋体" w:eastAsia="宋体" w:cs="Times New Roman"/>
          <w:szCs w:val="21"/>
        </w:rPr>
        <w:t>51%</w:t>
      </w:r>
      <w:r>
        <w:rPr>
          <w:rFonts w:hint="eastAsia" w:ascii="宋体" w:hAnsi="宋体" w:eastAsia="宋体" w:cs="Times New Roman"/>
          <w:szCs w:val="21"/>
        </w:rPr>
        <w:t xml:space="preserve">。显而易见，我国的外贸依存度不仅远远高于发达国家，而且也高于绝大多数的发展中国家，甚至一度超出了发展中国家平均水平的19%左右。 </w:t>
      </w:r>
    </w:p>
    <w:p w14:paraId="563FAA68">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过度依赖对外贸易，必然会加大经济运行的风险。一旦世界经济出现剧烈波动，将对我国产生巨大冲击甚至威胁</w:t>
      </w:r>
      <w:r>
        <w:rPr>
          <w:rFonts w:ascii="宋体" w:hAnsi="宋体" w:eastAsia="宋体" w:cs="Times New Roman"/>
          <w:szCs w:val="21"/>
        </w:rPr>
        <w:t>国家经济安全</w:t>
      </w:r>
      <w:r>
        <w:rPr>
          <w:rFonts w:hint="eastAsia" w:ascii="宋体" w:hAnsi="宋体" w:eastAsia="宋体" w:cs="Times New Roman"/>
          <w:szCs w:val="21"/>
        </w:rPr>
        <w:t>。2008年“金融海啸”所引发的一系列冲击就是鲜明的例证。受其影响，我国2009年1月的进出口总值为1418亿美元，比去年同期下降了近三成。其中出口下降了17.5%，进口下降了43.1%。这是中国十余年来创纪录的两位数跌幅，尤其出口已经连续三个月出现了负增长。</w:t>
      </w:r>
      <w:r>
        <w:rPr>
          <w:rFonts w:ascii="宋体" w:hAnsi="宋体" w:eastAsia="宋体" w:cs="Times New Roman"/>
          <w:szCs w:val="21"/>
          <w:vertAlign w:val="superscript"/>
        </w:rPr>
        <w:footnoteReference w:id="365"/>
      </w:r>
    </w:p>
    <w:p w14:paraId="23C558C6">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在严峻的国际经济形势面前，我们更需加快经济发展方式转变的步伐。要降低外贸依存度，提升消费拉动增长的作用，努力做到消费、投资和出口相协调。但是，促进内需拉动增长的作用，绝非依靠在个别城市向个别社会群体发放消费券就能够解决的问题。促进消费的关键环节在于打破束缚个人消费的瓶颈，即完善全社会医疗和社会保障体系，加大基础教育和健康卫生方面的公共投资，有效改善人们的消费预期，提高消费倾向。同时要加大农业和农村基础设施的投资，切实提高农民收入，着力促进农村消费，尽快启动巨大的农村消费市场。</w:t>
      </w:r>
    </w:p>
    <w:p w14:paraId="2CD61F82">
      <w:pPr>
        <w:widowControl/>
        <w:spacing w:line="36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二、适当控制外资依存度，提升中外资本协调使用的效益</w:t>
      </w:r>
    </w:p>
    <w:p w14:paraId="6983210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开放以来对外资的充分利用对我们的经济增长和社会进步起到了不可替代的作用。中国已经成为世界上吸收外商直接投资最多的国家之一。但是，也为此付出了巨大的成本。例如土地成本。尽管国家明令禁止以压低地价为手段进行招商，但一些地方政府为了达到引资目的，仍然不惜以低于成本价格甚至无偿出让工业用地来吸引外资，致使引资“门槛一降再降、成本一减再减、空间一让再让”。2006年，审计部门审计调查87个开发区，发现其中60个开发区存在违规低价出让土地的行为。在江苏的苏州，其工业用地开发成本平均为每亩20万元，但为了引进外资，却将地价压至每亩15万元。前些年苏北地区协议出让的土地最低每亩几百元，一般也就几千元。</w:t>
      </w:r>
      <w:r>
        <w:rPr>
          <w:rFonts w:ascii="宋体" w:hAnsi="宋体" w:eastAsia="宋体" w:cs="Times New Roman"/>
          <w:szCs w:val="21"/>
          <w:vertAlign w:val="superscript"/>
        </w:rPr>
        <w:footnoteReference w:id="366"/>
      </w:r>
      <w:r>
        <w:rPr>
          <w:rFonts w:hint="eastAsia" w:ascii="宋体" w:hAnsi="宋体" w:eastAsia="宋体" w:cs="Times New Roman"/>
          <w:szCs w:val="21"/>
        </w:rPr>
        <w:t>表面看这些资金搞活了地方经济，其实质是把土地这样一个稀缺且不可再生的资源贱卖。</w:t>
      </w:r>
    </w:p>
    <w:p w14:paraId="04D18B46">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又如税收成本。长期以来，外资企业在我国一直享受“超国民待遇”。除了堂而皇之地享受合法的免税、减税和低税率保护伞，他们还要利用非法手段进行避税和逃税等活动。据统计，外资企业利用各种手法偷漏的税款金额每年至少有1000亿元。所谓的“超国民”待遇不仅使外资企业规避了社会发展的义务，使政府财政收入减少，同时也人为地制造了一个不平等的竞争环境，使国内企业很容易开始就输在起跑线上。</w:t>
      </w:r>
    </w:p>
    <w:p w14:paraId="7163D1F1">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再如环境成本。“外资利润流走，留下生态失衡”的现象令人较为普遍。发达国家从保护本国环境、调整产业结构的目的出发，通过国际经济合作、国际投资或跨国公司经营等途径，将造纸、建材、制药、纺织、化工等污染严重的行业转移到中国等发展中国家。一些地方政府由于引资心切和管理薄弱，大大降低在国际上或本国（本地区）企业奉行的环保标准和治污成本，甚至不惜牺牲当地居民的长远利益，对那些污染严重、破坏生态平衡的项目也大开方便之门。导致这些地区虽然表面上短期经济收益增加，但与其付出的巨大的生态成本相比较，其长期的社会收益可能为负。</w:t>
      </w:r>
      <w:r>
        <w:rPr>
          <w:rFonts w:ascii="宋体" w:hAnsi="宋体" w:eastAsia="宋体" w:cs="Times New Roman"/>
          <w:szCs w:val="21"/>
        </w:rPr>
        <w:t>被</w:t>
      </w:r>
      <w:r>
        <w:rPr>
          <w:rFonts w:hint="eastAsia" w:ascii="宋体" w:hAnsi="宋体" w:eastAsia="宋体" w:cs="Times New Roman"/>
          <w:szCs w:val="21"/>
        </w:rPr>
        <w:t>中国</w:t>
      </w:r>
      <w:r>
        <w:rPr>
          <w:rFonts w:ascii="宋体" w:hAnsi="宋体" w:eastAsia="宋体" w:cs="Times New Roman"/>
          <w:szCs w:val="21"/>
        </w:rPr>
        <w:t>环保部门点名批评过的跨国公司的数量，已经从</w:t>
      </w:r>
      <w:r>
        <w:rPr>
          <w:rFonts w:hint="eastAsia" w:ascii="宋体" w:hAnsi="宋体" w:eastAsia="宋体" w:cs="Times New Roman"/>
          <w:szCs w:val="21"/>
        </w:rPr>
        <w:t>2006</w:t>
      </w:r>
      <w:r>
        <w:rPr>
          <w:rFonts w:ascii="宋体" w:hAnsi="宋体" w:eastAsia="宋体" w:cs="Times New Roman"/>
          <w:szCs w:val="21"/>
        </w:rPr>
        <w:t>年的八九十家增加到目前的近三百家。从2006年起</w:t>
      </w:r>
      <w:r>
        <w:rPr>
          <w:rFonts w:hint="eastAsia" w:ascii="宋体" w:hAnsi="宋体" w:eastAsia="宋体" w:cs="Times New Roman"/>
          <w:szCs w:val="21"/>
        </w:rPr>
        <w:t>，这个</w:t>
      </w:r>
      <w:r>
        <w:rPr>
          <w:rFonts w:ascii="宋体" w:hAnsi="宋体" w:eastAsia="宋体" w:cs="Times New Roman"/>
          <w:szCs w:val="21"/>
        </w:rPr>
        <w:t>NGO组织每年都收集环保部门公开批评的污染企业的资料，绘制成中国污染地图。</w:t>
      </w:r>
      <w:r>
        <w:rPr>
          <w:rFonts w:hint="eastAsia" w:ascii="宋体" w:hAnsi="宋体" w:eastAsia="宋体" w:cs="Times New Roman"/>
          <w:szCs w:val="21"/>
        </w:rPr>
        <w:t>他们</w:t>
      </w:r>
      <w:r>
        <w:rPr>
          <w:rFonts w:ascii="宋体" w:hAnsi="宋体" w:eastAsia="宋体" w:cs="Times New Roman"/>
          <w:szCs w:val="21"/>
        </w:rPr>
        <w:t>认为，跨国企业在中国污染状况呈上升势头，原因</w:t>
      </w:r>
      <w:r>
        <w:rPr>
          <w:rFonts w:hint="eastAsia" w:ascii="宋体" w:hAnsi="宋体" w:eastAsia="宋体" w:cs="Times New Roman"/>
          <w:szCs w:val="21"/>
        </w:rPr>
        <w:t>在于他们</w:t>
      </w:r>
      <w:r>
        <w:rPr>
          <w:rFonts w:ascii="宋体" w:hAnsi="宋体" w:eastAsia="宋体" w:cs="Times New Roman"/>
          <w:szCs w:val="21"/>
        </w:rPr>
        <w:t>执行双重标准，在中国缺乏环境责任感。</w:t>
      </w:r>
      <w:r>
        <w:rPr>
          <w:rFonts w:hint="eastAsia" w:ascii="宋体" w:hAnsi="宋体" w:eastAsia="宋体" w:cs="Times New Roman"/>
          <w:szCs w:val="21"/>
        </w:rPr>
        <w:t xml:space="preserve"> </w:t>
      </w:r>
    </w:p>
    <w:p w14:paraId="33688E4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正如《1999世界投资报告》中所写到的:“有必要认识到跨国公司的目标与政府的目标并不一致：政府试图促进本国范围内经济的发展，而跨国公司试图增强其在国际范围内的竞争力。因此，并不是所有的FDI都总是并自动地符合东道国的最佳利益。有些会对发展造成负面影响”。因此，我们不能再继续沉浸在引资规模的扩张上，而是要追求引资质量的提高。要逐步</w:t>
      </w:r>
      <w:r>
        <w:rPr>
          <w:rFonts w:ascii="宋体" w:hAnsi="宋体" w:eastAsia="宋体" w:cs="Times New Roman"/>
          <w:szCs w:val="21"/>
        </w:rPr>
        <w:t>取消</w:t>
      </w:r>
      <w:r>
        <w:rPr>
          <w:rFonts w:hint="eastAsia" w:ascii="宋体" w:hAnsi="宋体" w:eastAsia="宋体" w:cs="Times New Roman"/>
          <w:szCs w:val="21"/>
        </w:rPr>
        <w:t>外</w:t>
      </w:r>
      <w:r>
        <w:rPr>
          <w:rFonts w:ascii="宋体" w:hAnsi="宋体" w:eastAsia="宋体" w:cs="Times New Roman"/>
          <w:szCs w:val="21"/>
        </w:rPr>
        <w:t>资企业在税收</w:t>
      </w:r>
      <w:r>
        <w:rPr>
          <w:rFonts w:hint="eastAsia" w:ascii="宋体" w:hAnsi="宋体" w:eastAsia="宋体" w:cs="Times New Roman"/>
          <w:szCs w:val="21"/>
        </w:rPr>
        <w:t>方面的</w:t>
      </w:r>
      <w:r>
        <w:rPr>
          <w:rFonts w:ascii="宋体" w:hAnsi="宋体" w:eastAsia="宋体" w:cs="Times New Roman"/>
          <w:szCs w:val="21"/>
        </w:rPr>
        <w:t>优惠</w:t>
      </w:r>
      <w:r>
        <w:rPr>
          <w:rFonts w:hint="eastAsia" w:ascii="宋体" w:hAnsi="宋体" w:eastAsia="宋体" w:cs="Times New Roman"/>
          <w:szCs w:val="21"/>
        </w:rPr>
        <w:t>，保证国内企业得到公平的竞争环境。要通过提高环保标准来提高投资门槛，吸引真正有实力的投资者。要对外资投资方向加强引导，调整引资政策，使外商的投资逐渐向服务业和高新技术产业转移。调整过去对所有外商项目一视同仁的优惠政策，对世界领先的或者我国急需的高科技项目进行有计划和有重点的扶持，鼓励其在中国设立研发中心。可将外商投资设立R&amp;D机构明确为《外商投资产业目录》中的鼓励类项目，并对其实行一定优惠，引导他们进入到高技术含量的领域进行投资，提升外资使用的质量。</w:t>
      </w:r>
    </w:p>
    <w:p w14:paraId="02CFEC7C">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合理利用和引进外资的同时，还要充分唤醒和启动国内已有的巨大储蓄存款资源。</w:t>
      </w:r>
      <w:r>
        <w:rPr>
          <w:rFonts w:ascii="宋体" w:hAnsi="宋体" w:eastAsia="宋体" w:cs="Times New Roman"/>
          <w:szCs w:val="21"/>
        </w:rPr>
        <w:t>存差通常是指商业银行存款减去贷款的差值。从1995年我国金融机构首次出现存差开始，</w:t>
      </w:r>
      <w:r>
        <w:rPr>
          <w:rFonts w:hint="eastAsia" w:ascii="宋体" w:hAnsi="宋体" w:eastAsia="宋体" w:cs="Times New Roman"/>
          <w:szCs w:val="21"/>
        </w:rPr>
        <w:t>近年</w:t>
      </w:r>
      <w:r>
        <w:rPr>
          <w:rFonts w:ascii="宋体" w:hAnsi="宋体" w:eastAsia="宋体" w:cs="Times New Roman"/>
          <w:szCs w:val="21"/>
        </w:rPr>
        <w:t>存差</w:t>
      </w:r>
      <w:r>
        <w:rPr>
          <w:rFonts w:hint="eastAsia" w:ascii="宋体" w:hAnsi="宋体" w:eastAsia="宋体" w:cs="Times New Roman"/>
          <w:szCs w:val="21"/>
        </w:rPr>
        <w:t>已</w:t>
      </w:r>
      <w:r>
        <w:rPr>
          <w:rFonts w:ascii="宋体" w:hAnsi="宋体" w:eastAsia="宋体" w:cs="Times New Roman"/>
          <w:szCs w:val="21"/>
        </w:rPr>
        <w:t>突破了10万亿元的大关</w:t>
      </w:r>
      <w:r>
        <w:rPr>
          <w:rFonts w:hint="eastAsia" w:ascii="宋体" w:hAnsi="宋体" w:eastAsia="宋体" w:cs="Times New Roman"/>
          <w:szCs w:val="21"/>
        </w:rPr>
        <w:t>。这表明我国目前</w:t>
      </w:r>
      <w:r>
        <w:rPr>
          <w:rFonts w:ascii="宋体" w:hAnsi="宋体" w:eastAsia="宋体" w:cs="Times New Roman"/>
          <w:szCs w:val="21"/>
        </w:rPr>
        <w:t>储蓄增长相对过快，信贷增长相对不足，资金闲置和使用效率低</w:t>
      </w:r>
      <w:r>
        <w:rPr>
          <w:rFonts w:hint="eastAsia" w:ascii="宋体" w:hAnsi="宋体" w:eastAsia="宋体" w:cs="Times New Roman"/>
          <w:szCs w:val="21"/>
        </w:rPr>
        <w:t>。在这种新形势下，倘若继续如饥似渴地引进外资，势必产生“挤出效应”，影响中资的有效配置和利用效益。因此，适当控制外资依存度，提升中外资协调使用的经济效益，是亟需统一认识和创新政策的重大问题。</w:t>
      </w:r>
    </w:p>
    <w:p w14:paraId="4E0EB32B">
      <w:pPr>
        <w:widowControl/>
        <w:spacing w:line="36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三、适当降低外技依存度，提升自主创新的能力</w:t>
      </w:r>
    </w:p>
    <w:p w14:paraId="1458C202">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对外技术依存度是反映一个国家对技术引进依赖程度的指标。我国中长期科技发展规划战略研究对国家对外技术依存度的计算采取的公式是：</w:t>
      </w:r>
    </w:p>
    <w:p w14:paraId="6CDF774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技术依存度（%）＝技术引进经费/（R&amp;D经费＋技术引进经费）</w:t>
      </w:r>
    </w:p>
    <w:p w14:paraId="1E980A0F">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一般而言，一个国家的对外技术依存度较高，表明该国对国外技术的依赖程度较强；反之，技术依存度较低则表明该国自主创新成分较大。我国对外技术依存度高达50%，而美日仅为5%。尤其是关键技术自给率低，占固定资产投资40%左右的设备投资中，有60%以上要靠进口来满足，高科技含量的关键装备基本上依赖进口。许多重点领域特别是国防领域的对外技术依赖，会对国家安全构成严峻挑战。</w:t>
      </w:r>
      <w:r>
        <w:rPr>
          <w:rFonts w:ascii="宋体" w:hAnsi="宋体" w:eastAsia="宋体" w:cs="Times New Roman"/>
          <w:szCs w:val="21"/>
          <w:vertAlign w:val="superscript"/>
        </w:rPr>
        <w:footnoteReference w:id="367"/>
      </w:r>
      <w:r>
        <w:rPr>
          <w:rFonts w:hint="eastAsia" w:ascii="宋体" w:hAnsi="宋体" w:eastAsia="宋体" w:cs="Times New Roman"/>
          <w:szCs w:val="21"/>
        </w:rPr>
        <w:t xml:space="preserve"> </w:t>
      </w:r>
    </w:p>
    <w:p w14:paraId="5E5F513C">
      <w:pPr>
        <w:spacing w:line="400" w:lineRule="exact"/>
        <w:ind w:firstLine="440" w:firstLineChars="200"/>
        <w:rPr>
          <w:rFonts w:ascii="宋体" w:hAnsi="宋体" w:eastAsia="宋体" w:cs="Times New Roman"/>
          <w:szCs w:val="21"/>
        </w:rPr>
      </w:pPr>
      <w:r>
        <w:rPr>
          <w:rFonts w:ascii="宋体" w:hAnsi="宋体" w:eastAsia="宋体" w:cs="Times New Roman"/>
          <w:szCs w:val="21"/>
        </w:rPr>
        <w:t>中国被称为“世界工厂”，</w:t>
      </w:r>
      <w:r>
        <w:rPr>
          <w:rFonts w:hint="eastAsia" w:ascii="宋体" w:hAnsi="宋体" w:eastAsia="宋体" w:cs="Times New Roman"/>
          <w:szCs w:val="21"/>
        </w:rPr>
        <w:t>但是绝大多数的</w:t>
      </w:r>
      <w:r>
        <w:rPr>
          <w:rFonts w:ascii="宋体" w:hAnsi="宋体" w:eastAsia="宋体" w:cs="Times New Roman"/>
          <w:szCs w:val="21"/>
        </w:rPr>
        <w:t>出口企业没有核心技术，</w:t>
      </w:r>
      <w:r>
        <w:rPr>
          <w:rFonts w:hint="eastAsia" w:ascii="宋体" w:hAnsi="宋体" w:eastAsia="宋体" w:cs="Times New Roman"/>
          <w:szCs w:val="21"/>
        </w:rPr>
        <w:t>不具备</w:t>
      </w:r>
      <w:r>
        <w:rPr>
          <w:rFonts w:ascii="宋体" w:hAnsi="宋体" w:eastAsia="宋体" w:cs="Times New Roman"/>
          <w:szCs w:val="21"/>
        </w:rPr>
        <w:t>核心竞争力</w:t>
      </w:r>
      <w:r>
        <w:rPr>
          <w:rFonts w:hint="eastAsia" w:ascii="宋体" w:hAnsi="宋体" w:eastAsia="宋体" w:cs="Times New Roman"/>
          <w:szCs w:val="21"/>
        </w:rPr>
        <w:t>。</w:t>
      </w:r>
      <w:r>
        <w:rPr>
          <w:rFonts w:ascii="宋体" w:hAnsi="宋体" w:eastAsia="宋体" w:cs="Times New Roman"/>
          <w:szCs w:val="21"/>
        </w:rPr>
        <w:t>比如中国的纺织品、服装、皮革产品的国际市场份额都是全球第一，但国际竞争力仅为第12位、第30位和第13位。我国是世界上最大的</w:t>
      </w:r>
      <w:r>
        <w:rPr>
          <w:rFonts w:hint="eastAsia" w:ascii="宋体" w:hAnsi="宋体" w:eastAsia="宋体" w:cs="Times New Roman"/>
          <w:szCs w:val="21"/>
        </w:rPr>
        <w:t>DVD</w:t>
      </w:r>
      <w:r>
        <w:rPr>
          <w:rFonts w:ascii="宋体" w:hAnsi="宋体" w:eastAsia="宋体" w:cs="Times New Roman"/>
          <w:szCs w:val="21"/>
        </w:rPr>
        <w:t>生产国和出口国，但在</w:t>
      </w:r>
      <w:r>
        <w:rPr>
          <w:rFonts w:hint="eastAsia" w:ascii="宋体" w:hAnsi="宋体" w:eastAsia="宋体" w:cs="Times New Roman"/>
          <w:szCs w:val="21"/>
        </w:rPr>
        <w:t>DVD</w:t>
      </w:r>
      <w:r>
        <w:rPr>
          <w:rFonts w:ascii="宋体" w:hAnsi="宋体" w:eastAsia="宋体" w:cs="Times New Roman"/>
          <w:szCs w:val="21"/>
        </w:rPr>
        <w:t>的57项关键技术中，我国掌握的仅有9项。</w:t>
      </w:r>
      <w:r>
        <w:rPr>
          <w:rFonts w:hint="eastAsia" w:ascii="宋体" w:hAnsi="宋体" w:eastAsia="宋体" w:cs="Times New Roman"/>
          <w:szCs w:val="21"/>
        </w:rPr>
        <w:t>很多企业并不积极努力创立</w:t>
      </w:r>
      <w:r>
        <w:rPr>
          <w:rFonts w:ascii="宋体" w:hAnsi="宋体" w:eastAsia="宋体" w:cs="Times New Roman"/>
          <w:szCs w:val="21"/>
        </w:rPr>
        <w:t>自主</w:t>
      </w:r>
      <w:r>
        <w:rPr>
          <w:rFonts w:hint="eastAsia" w:ascii="宋体" w:hAnsi="宋体" w:eastAsia="宋体" w:cs="Times New Roman"/>
          <w:szCs w:val="21"/>
        </w:rPr>
        <w:t>独立的知识产权和知名品牌，只是简单地依靠</w:t>
      </w:r>
      <w:r>
        <w:rPr>
          <w:rFonts w:ascii="宋体" w:hAnsi="宋体" w:eastAsia="宋体" w:cs="Times New Roman"/>
          <w:szCs w:val="21"/>
        </w:rPr>
        <w:t>来料加工、代工贴牌</w:t>
      </w:r>
      <w:r>
        <w:rPr>
          <w:rFonts w:hint="eastAsia" w:ascii="宋体" w:hAnsi="宋体" w:eastAsia="宋体" w:cs="Times New Roman"/>
          <w:szCs w:val="21"/>
        </w:rPr>
        <w:t>来</w:t>
      </w:r>
      <w:r>
        <w:rPr>
          <w:rFonts w:ascii="宋体" w:hAnsi="宋体" w:eastAsia="宋体" w:cs="Times New Roman"/>
          <w:szCs w:val="21"/>
        </w:rPr>
        <w:t>维持生产运营，赚取生产链低端的</w:t>
      </w:r>
      <w:r>
        <w:rPr>
          <w:rFonts w:hint="eastAsia" w:ascii="宋体" w:hAnsi="宋体" w:eastAsia="宋体" w:cs="Times New Roman"/>
          <w:szCs w:val="21"/>
        </w:rPr>
        <w:t>微薄</w:t>
      </w:r>
      <w:r>
        <w:rPr>
          <w:rFonts w:ascii="宋体" w:hAnsi="宋体" w:eastAsia="宋体" w:cs="Times New Roman"/>
          <w:szCs w:val="21"/>
        </w:rPr>
        <w:t>利润。</w:t>
      </w:r>
      <w:r>
        <w:rPr>
          <w:rFonts w:hint="eastAsia" w:ascii="宋体" w:hAnsi="宋体" w:eastAsia="宋体" w:cs="Times New Roman"/>
          <w:szCs w:val="21"/>
        </w:rPr>
        <w:t>根据国际经验，在来料加工的贸易方式中，国家实际能够得到的外汇收入约为贸易额的20%，国民所得更为有限。在一些产品的贴牌生产过程中，利润额的92%都要被外资公司拿走，中国最多只剩8%。因此，高额利润的诱惑是他们热衷投资加工贸易的最主要原因。表面看来，跨国公司投入或转让的大多是针对中国国内市场的所谓“适用技术”，而实质上这些技术在国际上仅仅是二三流、已经过时的技术。真正的高新技术、上游环节技术、产品开发技术却很少在我国转让或投入。因为对投资方而言，技术是其在东道国的立身之本，他们必须对技术进行严密的控制，要采取一切手段防止技术特别是核心技术的外溢。而另一方面，我们国内的合资企业却过于依赖对方提供的现成技术，自主开发动力不足，消极地影响了自主技术进步的速度。目前国内拥有自主知识产权核心技术的企业仅有万分之三。</w:t>
      </w:r>
    </w:p>
    <w:p w14:paraId="1778A1FC">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事实证明，“三高一低”（高污染、高能耗、高依存度、低附加值）模式下获取的贸易利益终究只能是暂时的、阶段性的和伴随巨大代价的。照此模式继续下去，只能使我们丧失技术进步的动力，过度依赖发达国家的高科技产品，导致外贸结构畸形、贸易条件恶化、社会整体福利水平下降，并最终陷入“比较优势陷阱”。因此，我国的对外贸易战略虽然要重视发挥“比较优势”，但不能以比较优势战略作为唯一的战略模式，需要解放思想，突破以比较优势理论为基础的传统国际分工模式的束缚，变“比较优势战略”为</w:t>
      </w:r>
      <w:r>
        <w:rPr>
          <w:rFonts w:ascii="宋体" w:hAnsi="宋体" w:eastAsia="宋体" w:cs="Times New Roman"/>
          <w:szCs w:val="21"/>
        </w:rPr>
        <w:t>“知识产权优势”。只有具有自主知识产权的优势，企业和产业的竞争优势才有可能形成并长期保持。或者说，知识产权优势是持久高端竞争优势的必要性条件。</w:t>
      </w:r>
      <w:r>
        <w:rPr>
          <w:rFonts w:hint="eastAsia" w:ascii="宋体" w:hAnsi="宋体" w:eastAsia="宋体" w:cs="Times New Roman"/>
          <w:szCs w:val="21"/>
        </w:rPr>
        <w:t>我们要</w:t>
      </w:r>
      <w:r>
        <w:rPr>
          <w:rFonts w:ascii="宋体" w:hAnsi="宋体" w:eastAsia="宋体" w:cs="Times New Roman"/>
          <w:szCs w:val="21"/>
        </w:rPr>
        <w:t>大力发展控股、控技（尤其是核心技术</w:t>
      </w:r>
      <w:r>
        <w:rPr>
          <w:rFonts w:hint="eastAsia" w:ascii="宋体" w:hAnsi="宋体" w:eastAsia="宋体" w:cs="Times New Roman"/>
          <w:szCs w:val="21"/>
        </w:rPr>
        <w:t>和技术标准</w:t>
      </w:r>
      <w:r>
        <w:rPr>
          <w:rFonts w:ascii="宋体" w:hAnsi="宋体" w:eastAsia="宋体" w:cs="Times New Roman"/>
          <w:szCs w:val="21"/>
        </w:rPr>
        <w:t>）和控牌（尤其是名牌）的“三控型”民族企业集团，突出培育和发挥知识产权优势，早日真正打造出中国的世界工厂而非世界加工厂，从而尽快完成从贸易大国向贸易强国、经济大国向经济强国的转型。那种只强调保护国内外知识产权，不强调创造自主知识产权的做法；那种主要寄希望于依赖式不断引进外资、外技和外牌的策略；那种看不到跨国公司在华</w:t>
      </w:r>
      <w:r>
        <w:rPr>
          <w:rFonts w:hint="eastAsia" w:ascii="宋体" w:hAnsi="宋体" w:eastAsia="宋体" w:cs="Times New Roman"/>
          <w:szCs w:val="21"/>
        </w:rPr>
        <w:t>投资</w:t>
      </w:r>
      <w:r>
        <w:rPr>
          <w:rFonts w:ascii="宋体" w:hAnsi="宋体" w:eastAsia="宋体" w:cs="Times New Roman"/>
          <w:szCs w:val="21"/>
        </w:rPr>
        <w:t>双面效应的思维，都是不</w:t>
      </w:r>
      <w:r>
        <w:rPr>
          <w:rFonts w:hint="eastAsia" w:ascii="宋体" w:hAnsi="宋体" w:eastAsia="宋体" w:cs="Times New Roman"/>
          <w:szCs w:val="21"/>
        </w:rPr>
        <w:t>科学</w:t>
      </w:r>
      <w:r>
        <w:rPr>
          <w:rFonts w:ascii="宋体" w:hAnsi="宋体" w:eastAsia="宋体" w:cs="Times New Roman"/>
          <w:szCs w:val="21"/>
        </w:rPr>
        <w:t>的</w:t>
      </w:r>
      <w:r>
        <w:rPr>
          <w:rFonts w:hint="eastAsia" w:ascii="宋体" w:hAnsi="宋体" w:eastAsia="宋体" w:cs="Times New Roman"/>
          <w:szCs w:val="21"/>
        </w:rPr>
        <w:t>僵化</w:t>
      </w:r>
      <w:r>
        <w:rPr>
          <w:rFonts w:ascii="宋体" w:hAnsi="宋体" w:eastAsia="宋体" w:cs="Times New Roman"/>
          <w:szCs w:val="21"/>
        </w:rPr>
        <w:t>开放理念。</w:t>
      </w:r>
      <w:r>
        <w:rPr>
          <w:rFonts w:ascii="宋体" w:hAnsi="宋体" w:eastAsia="宋体" w:cs="Times New Roman"/>
          <w:szCs w:val="21"/>
          <w:vertAlign w:val="superscript"/>
        </w:rPr>
        <w:footnoteReference w:id="368"/>
      </w:r>
    </w:p>
    <w:p w14:paraId="14B715B2">
      <w:pPr>
        <w:widowControl/>
        <w:spacing w:line="36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 xml:space="preserve">四、适当降低“外源”依存度，提升配置能源的效率 </w:t>
      </w:r>
    </w:p>
    <w:p w14:paraId="09B86A40">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20世纪90年代以来，中国的“外源”（指某些进口比例很高的外国能源和资源，如石油、铁矿石等）使用急剧增长。以石油为例，根据国际能源机构(IEA)统计，90年代世界石油消费需求增加的25%来自中国，2003年这一比重上升到33% 。由于对未来中国经济的增长持乐观态度，有关机构认为中国对能源的需求还将进一步增加。如果按照2020年中国经济翻两番计算，届时中国能源需求将达到9.2亿吨，即使中国能源利用效率能够提高一倍，仍然需要4.6亿吨，而中国的石油产量估计最多能够达到1.8～2亿吨，缺口在2.5～3亿吨左右(IEA，2000)。</w:t>
      </w:r>
      <w:r>
        <w:rPr>
          <w:rFonts w:ascii="宋体" w:hAnsi="宋体" w:eastAsia="宋体" w:cs="Times New Roman"/>
          <w:szCs w:val="21"/>
          <w:vertAlign w:val="superscript"/>
        </w:rPr>
        <w:footnoteReference w:id="369"/>
      </w:r>
      <w:r>
        <w:rPr>
          <w:rFonts w:hint="eastAsia" w:ascii="宋体" w:hAnsi="宋体" w:eastAsia="宋体" w:cs="Times New Roman"/>
          <w:szCs w:val="21"/>
        </w:rPr>
        <w:t>石油从1993年成为净进口国以来，对外依存度逐年上升，目前达到46.6%，已接近50%的警戒线。中国能源需求的对外依存度在未来二三十年将继续呈扩大状态。</w:t>
      </w:r>
    </w:p>
    <w:p w14:paraId="3F7BE9D8">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 xml:space="preserve">能源对外依存度过高对中国经济的影响是不言而喻的。首先是导致大量国民财富外流。根据国家信息中心测算，单纯由于涨价因素，2005年一年中国就有相当于1200亿元人民币的国民财富转移到产油国和国外石油巨头手中，近年来能源价格暴涨使中国国民财富净溢出的总额更是达到数千亿元人民币。可见，能源高度依赖进口会使我国未来的经济发展背上沉重的成本负担。同时，过度依赖国外能源会威胁国家的政治安全和经济安全，并且容易引发更多的国际争端。 </w:t>
      </w:r>
    </w:p>
    <w:p w14:paraId="496E9A61">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尽管能源大量依赖进口存在着较高的风险，但由于国内能源供给数量有限，进口仍然会成为中国能源供给的重要方式之一。问题的根本在于，如何把握能源进口的依赖程度。一些舆论认为，中国目前的能源对外依赖度没有必要警戒，其理由一是从国外进口开采成本低，符合经济规律。二是中国到目前为止并未遭遇过政治上的禁运。事实上，国际原油价格一度突破百元大关、日日高企的原油价格令低成本说不攻自破，而至今没有遭遇禁运也绝不能推论出未来就没有遭遇禁运的可能。因此，中国能源进口高依存度“无风险”论并不能成立。防范措施一是在于尽快建立起自己的石油战略储备体系，形成一道基本的防火墙。二是要坚持鼓励和支持对新能源的开发和利用。三是要从政策上重奖节能，重罚浪费。</w:t>
      </w:r>
    </w:p>
    <w:p w14:paraId="745F637D">
      <w:pPr>
        <w:widowControl/>
        <w:spacing w:line="36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 xml:space="preserve">五、适当控制外汇储备规模，提升使用外汇的收益 </w:t>
      </w:r>
    </w:p>
    <w:p w14:paraId="4A8D08EA">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截至2008年末，我国外汇储备已达1.95万亿美元，位居世界第一，远远领先于第二位日本的1万亿美元储备。充足的外汇储备有利于增强我国的对外支付和清偿能力，防范国际收支和金融风险，而且有利于提高海内外对中国经济的信心。但是，如果长时间和大幅度地超过合理规模，则必然给经济发展带来诸多负面影响。</w:t>
      </w:r>
    </w:p>
    <w:p w14:paraId="5E7B60D4">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首先，外汇储备结构不合理会导致国民财富大量流失。</w:t>
      </w:r>
      <w:r>
        <w:rPr>
          <w:rFonts w:ascii="宋体" w:hAnsi="宋体" w:eastAsia="宋体" w:cs="Times New Roman"/>
          <w:szCs w:val="21"/>
        </w:rPr>
        <w:t>虽然自人民币汇率改革以来，我国外汇储备已经开始转向一揽子储备方式，但无可否认的是，其中美元储备还是大头</w:t>
      </w:r>
      <w:r>
        <w:rPr>
          <w:rFonts w:hint="eastAsia" w:ascii="宋体" w:hAnsi="宋体" w:eastAsia="宋体" w:cs="Times New Roman"/>
          <w:szCs w:val="21"/>
        </w:rPr>
        <w:t>。因此近年来日趋走低的美元汇率已经使我国的外汇储备蒙受了巨大的贬值损失。而2008年爆发的美国次贷危机更把中国外汇储备的保值风险推到了历史最高点。</w:t>
      </w:r>
      <w:r>
        <w:rPr>
          <w:rFonts w:ascii="宋体" w:hAnsi="宋体" w:eastAsia="宋体" w:cs="Times New Roman"/>
          <w:szCs w:val="21"/>
        </w:rPr>
        <w:t>中国一直是</w:t>
      </w:r>
      <w:r>
        <w:rPr>
          <w:rFonts w:hint="eastAsia" w:ascii="宋体" w:hAnsi="宋体" w:eastAsia="宋体" w:cs="Times New Roman"/>
          <w:szCs w:val="21"/>
        </w:rPr>
        <w:t>仅次于日本的</w:t>
      </w:r>
      <w:r>
        <w:rPr>
          <w:rFonts w:ascii="宋体" w:hAnsi="宋体" w:eastAsia="宋体" w:cs="Times New Roman"/>
          <w:szCs w:val="21"/>
        </w:rPr>
        <w:t>美国国债第二大买主</w:t>
      </w:r>
      <w:r>
        <w:rPr>
          <w:rFonts w:hint="eastAsia" w:ascii="宋体" w:hAnsi="宋体" w:eastAsia="宋体" w:cs="Times New Roman"/>
          <w:szCs w:val="21"/>
        </w:rPr>
        <w:t>。2008年</w:t>
      </w:r>
      <w:r>
        <w:rPr>
          <w:rFonts w:ascii="宋体" w:hAnsi="宋体" w:eastAsia="宋体" w:cs="Times New Roman"/>
          <w:szCs w:val="21"/>
        </w:rPr>
        <w:t>中国持有美国债券组合投资有1.06万亿美元。其中51%是美国的国债，42%是GSE(美国政府相关企业债券)，剩余的7%是企业债券,包括资产支持证券和抵押债务证券等。其中，持有的“二房”债券可能高达3760亿美元。</w:t>
      </w:r>
      <w:r>
        <w:rPr>
          <w:rFonts w:hint="eastAsia" w:ascii="宋体" w:hAnsi="宋体" w:eastAsia="宋体" w:cs="Times New Roman"/>
          <w:szCs w:val="21"/>
        </w:rPr>
        <w:t>随着金融危机暴发所引发的一系列企业倒闭、破产和经济萧条等后果的逐渐显现，中国外汇储备所蒙受的巨大经济损失也已经在所难免。尤其近日来美国通过了所谓的巨额救市法案。近8000亿美元的救市资金很大一部分要通过发行债券来筹集。已经在美元储备上饱尝教训的中国，此番更需慎而行之。</w:t>
      </w:r>
    </w:p>
    <w:p w14:paraId="1C4B3057">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其次，超高的外汇储备加大了人民币升值的压力。“外汇储备过万亿”被美国等发达国家看作是人民币币值低估的最具体表现。他们开始更加强硬地要求人民币升值，并且以各种制裁措施相威胁。这无疑引发了更多的国际争端，导致更多贸易摩擦和更高贸易壁垒的出现。</w:t>
      </w:r>
    </w:p>
    <w:p w14:paraId="0930C2DA">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再次，外汇储备规模过大最终会把它的消极负面影响作用到国内经济生活上，引起国内流动性过剩，非理性投资活动膨胀，价格机制扭曲，宏观调控难度加大。解决外汇储备过度的问题，不仅要控制低收益的加工贸易的发展规模，从根源上减少贸易顺差，降低外汇储备激增的速度。同时也要合理配置手中已有的外汇资源。从基础设施建设到社会保障体系的完善，从西部开发到东北振兴都需要大量的资本投入作为保证。巨额的外汇储备是我们来之不易的宝贵财富，除了合理地安排其在境外的投资结构，尽可能实现保值和增值以外，还应当有计划地激活这些资源，用于国内急需和有建设性意义的社会保障、基础教育、医疗卫生和环境保护等事业。也可以搞“主权基金”，或直接进行“海外购物”，购买高端技术及设备或相关物资等。总之要降低货币资本储存的机会成本，提高资本配置的经济效率。</w:t>
      </w:r>
    </w:p>
    <w:p w14:paraId="573433BF">
      <w:pPr>
        <w:spacing w:line="400" w:lineRule="exact"/>
        <w:ind w:firstLine="440" w:firstLineChars="200"/>
        <w:rPr>
          <w:rFonts w:ascii="宋体" w:hAnsi="宋体" w:eastAsia="宋体" w:cs="Times New Roman"/>
          <w:szCs w:val="21"/>
        </w:rPr>
      </w:pPr>
    </w:p>
    <w:p w14:paraId="51A953A8">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（原载《经济学动态》2009年第4期，第二作者为尹栾玉）</w:t>
      </w:r>
    </w:p>
    <w:p w14:paraId="1BEF1D32">
      <w:pPr>
        <w:bidi w:val="0"/>
      </w:pPr>
      <w:r>
        <w:br w:type="page"/>
      </w:r>
    </w:p>
    <w:p w14:paraId="76EC9EFD">
      <w:pPr>
        <w:keepNext/>
        <w:keepLines/>
        <w:widowControl/>
        <w:spacing w:line="480" w:lineRule="auto"/>
        <w:ind w:firstLine="198"/>
        <w:jc w:val="center"/>
        <w:outlineLvl w:val="1"/>
        <w:rPr>
          <w:rFonts w:ascii="黑体" w:hAnsi="黑体" w:eastAsia="黑体" w:cs="Times New Roman"/>
          <w:kern w:val="0"/>
          <w:sz w:val="32"/>
          <w:szCs w:val="32"/>
        </w:rPr>
      </w:pPr>
      <w:bookmarkStart w:id="1047" w:name="_Toc29212"/>
      <w:bookmarkStart w:id="1048" w:name="_Toc966918348"/>
      <w:bookmarkStart w:id="1049" w:name="_Toc1415201878"/>
      <w:r>
        <w:rPr>
          <w:rFonts w:hint="eastAsia" w:ascii="黑体" w:hAnsi="黑体" w:eastAsia="黑体" w:cs="Times New Roman"/>
          <w:kern w:val="0"/>
          <w:sz w:val="32"/>
          <w:szCs w:val="32"/>
        </w:rPr>
        <w:t>8关于“马克思基本定理”近期在日本的争论</w:t>
      </w:r>
      <w:bookmarkEnd w:id="1047"/>
      <w:bookmarkEnd w:id="1048"/>
      <w:bookmarkEnd w:id="1049"/>
    </w:p>
    <w:p w14:paraId="110463C7">
      <w:pPr>
        <w:autoSpaceDE w:val="0"/>
        <w:autoSpaceDN w:val="0"/>
        <w:spacing w:line="400" w:lineRule="exact"/>
        <w:ind w:firstLine="440" w:firstLineChars="200"/>
        <w:rPr>
          <w:rFonts w:ascii="宋体" w:hAnsi="宋体" w:eastAsia="宋体" w:cs="HGBZ_CNKI"/>
          <w:kern w:val="0"/>
          <w:position w:val="1"/>
          <w:szCs w:val="21"/>
          <w:lang w:val="zh-CN" w:bidi="zh-CN"/>
        </w:rPr>
      </w:pPr>
      <w:r>
        <w:rPr>
          <w:rFonts w:hint="eastAsia" w:ascii="宋体" w:hAnsi="宋体" w:eastAsia="宋体" w:cs="HGBZ_CNKI"/>
          <w:kern w:val="0"/>
          <w:position w:val="1"/>
          <w:szCs w:val="21"/>
          <w:lang w:val="zh-CN" w:bidi="zh-CN"/>
        </w:rPr>
        <w:t>〔</w:t>
      </w:r>
      <w:r>
        <w:rPr>
          <w:rFonts w:hint="eastAsia" w:ascii="宋体" w:hAnsi="宋体" w:eastAsia="宋体" w:cs="华光黑体_CNKI"/>
          <w:kern w:val="0"/>
          <w:position w:val="1"/>
          <w:szCs w:val="21"/>
          <w:lang w:val="zh-CN" w:bidi="zh-CN"/>
        </w:rPr>
        <w:t>摘要</w:t>
      </w:r>
      <w:r>
        <w:rPr>
          <w:rFonts w:hint="eastAsia" w:ascii="宋体" w:hAnsi="宋体" w:eastAsia="宋体" w:cs="HGBZ_CNKI"/>
          <w:kern w:val="0"/>
          <w:position w:val="1"/>
          <w:szCs w:val="21"/>
          <w:lang w:val="zh-CN" w:bidi="zh-CN"/>
        </w:rPr>
        <w:t>〕</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马克思基本定理</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是马克思剩余价值理论的核心内容</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直接由劳动价值论导出</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无须证明</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然而</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近年来日本学者提出了所谓不受剥削工人的存在性问题</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之所以产生这一异议</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问题出在吉原毅和松尾匡对</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净产出</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的界定上</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按照吉原毅和松尾匡先前的逻辑</w:t>
      </w:r>
      <w:r>
        <w:rPr>
          <w:rFonts w:hint="eastAsia" w:ascii="宋体" w:hAnsi="宋体" w:eastAsia="宋体" w:cs="宋体"/>
          <w:kern w:val="0"/>
          <w:szCs w:val="21"/>
          <w:lang w:val="zh-CN" w:bidi="zh-CN"/>
        </w:rPr>
        <w:t>，</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单位的劳动力对应的净产出是</w:t>
      </w:r>
      <w:r>
        <w:rPr>
          <w:rFonts w:hint="eastAsia" w:ascii="宋体" w:hAnsi="宋体" w:eastAsia="宋体" w:cs="HGBZ_CNKI"/>
          <w:kern w:val="0"/>
          <w:szCs w:val="21"/>
          <w:lang w:val="zh-CN" w:bidi="zh-CN"/>
        </w:rPr>
        <w:t>2</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净产出中的</w:t>
      </w:r>
      <w:r>
        <w:rPr>
          <w:rFonts w:hint="eastAsia" w:ascii="宋体" w:hAnsi="宋体" w:eastAsia="宋体" w:cs="HGBZ_CNKI"/>
          <w:kern w:val="0"/>
          <w:szCs w:val="21"/>
          <w:lang w:val="zh-CN" w:bidi="zh-CN"/>
        </w:rPr>
        <w:t>0</w:t>
      </w:r>
      <w:r>
        <w:rPr>
          <w:rFonts w:hint="eastAsia" w:ascii="宋体" w:hAnsi="宋体" w:eastAsia="宋体" w:cs="微软雅黑"/>
          <w:kern w:val="0"/>
          <w:szCs w:val="21"/>
          <w:lang w:val="zh-CN" w:bidi="zh-CN"/>
        </w:rPr>
        <w:t>.</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单位被资本家无偿占有</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因此</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如果投入</w:t>
      </w:r>
      <w:r>
        <w:rPr>
          <w:rFonts w:hint="eastAsia" w:ascii="宋体" w:hAnsi="宋体" w:eastAsia="宋体" w:cs="HGBZ_CNKI"/>
          <w:kern w:val="0"/>
          <w:szCs w:val="21"/>
          <w:lang w:val="zh-CN" w:bidi="zh-CN"/>
        </w:rPr>
        <w:t>1</w:t>
      </w:r>
      <w:r>
        <w:rPr>
          <w:rFonts w:hint="eastAsia" w:ascii="宋体" w:hAnsi="宋体" w:eastAsia="宋体" w:cs="微软雅黑"/>
          <w:kern w:val="0"/>
          <w:szCs w:val="21"/>
          <w:lang w:val="zh-CN" w:bidi="zh-CN"/>
        </w:rPr>
        <w:t>.</w:t>
      </w:r>
      <w:r>
        <w:rPr>
          <w:rFonts w:hint="eastAsia" w:ascii="宋体" w:hAnsi="宋体" w:eastAsia="宋体" w:cs="HGBZ_CNKI"/>
          <w:kern w:val="0"/>
          <w:szCs w:val="21"/>
          <w:lang w:val="zh-CN" w:bidi="zh-CN"/>
        </w:rPr>
        <w:t>5</w:t>
      </w:r>
      <w:r>
        <w:rPr>
          <w:rFonts w:hint="eastAsia" w:ascii="宋体" w:hAnsi="宋体" w:eastAsia="宋体" w:cs="华光楷体_CNKI"/>
          <w:kern w:val="0"/>
          <w:szCs w:val="21"/>
          <w:lang w:val="zh-CN" w:bidi="zh-CN"/>
        </w:rPr>
        <w:t>单位劳动力</w:t>
      </w:r>
      <w:r>
        <w:rPr>
          <w:rFonts w:hint="eastAsia" w:ascii="宋体" w:hAnsi="宋体" w:eastAsia="宋体" w:cs="宋体"/>
          <w:kern w:val="0"/>
          <w:szCs w:val="21"/>
          <w:lang w:val="zh-CN" w:bidi="zh-CN"/>
        </w:rPr>
        <w:t>，</w:t>
      </w:r>
      <w:r>
        <w:rPr>
          <w:rFonts w:hint="eastAsia" w:ascii="宋体" w:hAnsi="宋体" w:eastAsia="宋体" w:cs="华光楷体_CNKI"/>
          <w:kern w:val="0"/>
          <w:szCs w:val="21"/>
          <w:lang w:val="zh-CN" w:bidi="zh-CN"/>
        </w:rPr>
        <w:t>其对应的净产出是</w:t>
      </w:r>
      <w:r>
        <w:rPr>
          <w:rFonts w:hint="eastAsia" w:ascii="宋体" w:hAnsi="宋体" w:eastAsia="宋体" w:cs="HGBZ_CNKI"/>
          <w:kern w:val="0"/>
          <w:szCs w:val="21"/>
          <w:lang w:val="zh-CN" w:bidi="zh-CN"/>
        </w:rPr>
        <w:t>3</w:t>
      </w:r>
      <w:r>
        <w:rPr>
          <w:rFonts w:hint="eastAsia" w:ascii="宋体" w:hAnsi="宋体" w:eastAsia="宋体" w:cs="华光楷体_CNKI"/>
          <w:kern w:val="0"/>
          <w:szCs w:val="21"/>
          <w:lang w:val="zh-CN" w:bidi="zh-CN"/>
        </w:rPr>
        <w:t>而不是</w:t>
      </w:r>
      <w:r>
        <w:rPr>
          <w:rFonts w:hint="eastAsia" w:ascii="宋体" w:hAnsi="宋体" w:eastAsia="宋体" w:cs="HGBZ_CNKI"/>
          <w:kern w:val="0"/>
          <w:szCs w:val="21"/>
          <w:lang w:val="zh-CN" w:bidi="zh-CN"/>
        </w:rPr>
        <w:t>1</w:t>
      </w:r>
      <w:r>
        <w:rPr>
          <w:rFonts w:hint="eastAsia" w:ascii="宋体" w:hAnsi="宋体" w:eastAsia="宋体" w:cs="微软雅黑"/>
          <w:kern w:val="0"/>
          <w:szCs w:val="21"/>
          <w:lang w:val="zh-CN" w:bidi="zh-CN"/>
        </w:rPr>
        <w:t>.</w:t>
      </w:r>
      <w:r>
        <w:rPr>
          <w:rFonts w:hint="eastAsia" w:ascii="宋体" w:hAnsi="宋体" w:eastAsia="宋体" w:cs="HGBZ_CNKI"/>
          <w:kern w:val="0"/>
          <w:szCs w:val="21"/>
          <w:lang w:val="zh-CN" w:bidi="zh-CN"/>
        </w:rPr>
        <w:t>5</w:t>
      </w:r>
      <w:r>
        <w:rPr>
          <w:rFonts w:hint="eastAsia" w:ascii="宋体" w:hAnsi="宋体" w:eastAsia="宋体" w:cs="宋体"/>
          <w:kern w:val="0"/>
          <w:szCs w:val="21"/>
          <w:lang w:val="zh-CN" w:bidi="zh-CN"/>
        </w:rPr>
        <w:t>，</w:t>
      </w:r>
      <w:r>
        <w:rPr>
          <w:rFonts w:hint="eastAsia" w:ascii="宋体" w:hAnsi="宋体" w:eastAsia="宋体" w:cs="华光楷体_CNKI"/>
          <w:kern w:val="0"/>
          <w:szCs w:val="21"/>
          <w:lang w:val="zh-CN" w:bidi="zh-CN"/>
        </w:rPr>
        <w:t>所以不存在正利润条件下不受剥削工人的存在性问题</w:t>
      </w:r>
      <w:r>
        <w:rPr>
          <w:rFonts w:hint="eastAsia" w:ascii="宋体" w:hAnsi="宋体" w:eastAsia="宋体" w:cs="HGBZ_CNKI"/>
          <w:kern w:val="0"/>
          <w:szCs w:val="21"/>
          <w:lang w:val="zh-CN" w:bidi="zh-CN"/>
        </w:rPr>
        <w:t>。</w:t>
      </w:r>
      <w:r>
        <w:rPr>
          <w:rFonts w:hint="eastAsia" w:ascii="宋体" w:hAnsi="宋体" w:eastAsia="宋体" w:cs="华光楷体_CNKI"/>
          <w:kern w:val="0"/>
          <w:szCs w:val="21"/>
          <w:lang w:val="zh-CN" w:bidi="zh-CN"/>
        </w:rPr>
        <w:t>实际上</w:t>
      </w:r>
      <w:r>
        <w:rPr>
          <w:rFonts w:hint="eastAsia" w:ascii="宋体" w:hAnsi="宋体" w:eastAsia="宋体" w:cs="宋体"/>
          <w:kern w:val="0"/>
          <w:szCs w:val="21"/>
          <w:lang w:val="zh-CN" w:bidi="zh-CN"/>
        </w:rPr>
        <w:t>，</w:t>
      </w:r>
      <w:r>
        <w:rPr>
          <w:rFonts w:hint="eastAsia" w:ascii="宋体" w:hAnsi="宋体" w:eastAsia="宋体" w:cs="华光楷体_CNKI"/>
          <w:kern w:val="0"/>
          <w:szCs w:val="21"/>
          <w:lang w:val="zh-CN" w:bidi="zh-CN"/>
        </w:rPr>
        <w:t>从逻辑分析的角度看</w:t>
      </w:r>
      <w:r>
        <w:rPr>
          <w:rFonts w:hint="eastAsia" w:ascii="宋体" w:hAnsi="宋体" w:eastAsia="宋体" w:cs="宋体"/>
          <w:kern w:val="0"/>
          <w:szCs w:val="21"/>
          <w:lang w:val="zh-CN" w:bidi="zh-CN"/>
        </w:rPr>
        <w:t>，</w:t>
      </w:r>
      <w:r>
        <w:rPr>
          <w:rFonts w:hint="eastAsia" w:ascii="宋体" w:hAnsi="宋体" w:eastAsia="宋体" w:cs="华光楷体_CNKI"/>
          <w:kern w:val="0"/>
          <w:szCs w:val="21"/>
          <w:lang w:val="zh-CN" w:bidi="zh-CN"/>
        </w:rPr>
        <w:t>只要认可劳动价值论</w:t>
      </w:r>
      <w:r>
        <w:rPr>
          <w:rFonts w:hint="eastAsia" w:ascii="宋体" w:hAnsi="宋体" w:eastAsia="宋体" w:cs="宋体"/>
          <w:kern w:val="0"/>
          <w:szCs w:val="21"/>
          <w:lang w:val="zh-CN" w:bidi="zh-CN"/>
        </w:rPr>
        <w:t>，</w:t>
      </w:r>
      <w:r>
        <w:rPr>
          <w:rFonts w:hint="eastAsia" w:ascii="宋体" w:hAnsi="宋体" w:eastAsia="宋体" w:cs="华光楷体_CNKI"/>
          <w:kern w:val="0"/>
          <w:szCs w:val="21"/>
          <w:lang w:val="zh-CN" w:bidi="zh-CN"/>
        </w:rPr>
        <w:t>马克思基本定理无疑是正确的</w:t>
      </w:r>
      <w:r>
        <w:rPr>
          <w:rFonts w:hint="eastAsia" w:ascii="宋体" w:hAnsi="宋体" w:eastAsia="宋体" w:cs="宋体"/>
          <w:kern w:val="0"/>
          <w:szCs w:val="21"/>
          <w:lang w:val="zh-CN" w:bidi="zh-CN"/>
        </w:rPr>
        <w:t>，</w:t>
      </w:r>
      <w:r>
        <w:rPr>
          <w:rFonts w:hint="eastAsia" w:ascii="宋体" w:hAnsi="宋体" w:eastAsia="宋体" w:cs="华光楷体_CNKI"/>
          <w:kern w:val="0"/>
          <w:szCs w:val="21"/>
          <w:lang w:val="zh-CN" w:bidi="zh-CN"/>
        </w:rPr>
        <w:t>是一个不言自明的定理</w:t>
      </w:r>
      <w:r>
        <w:rPr>
          <w:rFonts w:hint="eastAsia" w:ascii="宋体" w:hAnsi="宋体" w:eastAsia="宋体" w:cs="宋体"/>
          <w:kern w:val="0"/>
          <w:szCs w:val="21"/>
          <w:lang w:val="zh-CN" w:bidi="zh-CN"/>
        </w:rPr>
        <w:t>，</w:t>
      </w:r>
      <w:r>
        <w:rPr>
          <w:rFonts w:hint="eastAsia" w:ascii="宋体" w:hAnsi="宋体" w:eastAsia="宋体" w:cs="华光楷体_CNKI"/>
          <w:kern w:val="0"/>
          <w:szCs w:val="21"/>
          <w:lang w:val="zh-CN" w:bidi="zh-CN"/>
        </w:rPr>
        <w:t>但是我们仍可以用数理分析工具给予马克思基本定理一个精确的证明</w:t>
      </w:r>
      <w:r>
        <w:rPr>
          <w:rFonts w:hint="eastAsia" w:ascii="宋体" w:hAnsi="宋体" w:eastAsia="宋体" w:cs="HGBZ_CNKI"/>
          <w:kern w:val="0"/>
          <w:szCs w:val="21"/>
          <w:lang w:val="zh-CN" w:bidi="zh-CN"/>
        </w:rPr>
        <w:t>。</w:t>
      </w:r>
      <w:r>
        <w:rPr>
          <w:rFonts w:hint="eastAsia" w:ascii="宋体" w:hAnsi="宋体" w:eastAsia="宋体" w:cs="华光楷体_CNKI"/>
          <w:kern w:val="0"/>
          <w:szCs w:val="21"/>
          <w:lang w:val="zh-CN" w:bidi="zh-CN"/>
        </w:rPr>
        <w:t>也就是说</w:t>
      </w:r>
      <w:r>
        <w:rPr>
          <w:rFonts w:hint="eastAsia" w:ascii="宋体" w:hAnsi="宋体" w:eastAsia="宋体" w:cs="宋体"/>
          <w:kern w:val="0"/>
          <w:szCs w:val="21"/>
          <w:lang w:val="zh-CN" w:bidi="zh-CN"/>
        </w:rPr>
        <w:t>，</w:t>
      </w:r>
      <w:r>
        <w:rPr>
          <w:rFonts w:hint="eastAsia" w:ascii="宋体" w:hAnsi="宋体" w:eastAsia="宋体" w:cs="华光楷体_CNKI"/>
          <w:kern w:val="0"/>
          <w:szCs w:val="21"/>
          <w:lang w:val="zh-CN" w:bidi="zh-CN"/>
        </w:rPr>
        <w:t>所有的部门都存在正的利润的前提条件是劳动力价值小于他所付出的劳动时间</w:t>
      </w:r>
      <w:r>
        <w:rPr>
          <w:rFonts w:hint="eastAsia" w:ascii="宋体" w:hAnsi="宋体" w:eastAsia="宋体" w:cs="HGBZ_CNKI"/>
          <w:kern w:val="0"/>
          <w:szCs w:val="21"/>
          <w:lang w:val="zh-CN" w:bidi="zh-CN"/>
        </w:rPr>
        <w:t>。</w:t>
      </w:r>
      <w:r>
        <w:rPr>
          <w:rFonts w:hint="eastAsia" w:ascii="宋体" w:hAnsi="宋体" w:eastAsia="宋体" w:cs="华光楷体_CNKI"/>
          <w:kern w:val="0"/>
          <w:szCs w:val="21"/>
          <w:lang w:val="zh-CN" w:bidi="zh-CN"/>
        </w:rPr>
        <w:t>因此</w:t>
      </w:r>
      <w:r>
        <w:rPr>
          <w:rFonts w:hint="eastAsia" w:ascii="宋体" w:hAnsi="宋体" w:eastAsia="宋体" w:cs="宋体"/>
          <w:kern w:val="0"/>
          <w:szCs w:val="21"/>
          <w:lang w:val="zh-CN" w:bidi="zh-CN"/>
        </w:rPr>
        <w:t>，</w:t>
      </w:r>
      <w:r>
        <w:rPr>
          <w:rFonts w:hint="eastAsia" w:ascii="宋体" w:hAnsi="宋体" w:eastAsia="宋体" w:cs="华光楷体_CNKI"/>
          <w:kern w:val="0"/>
          <w:szCs w:val="21"/>
          <w:lang w:val="zh-CN" w:bidi="zh-CN"/>
        </w:rPr>
        <w:t>剩余劳动的存在是利润存在的前提</w:t>
      </w:r>
      <w:r>
        <w:rPr>
          <w:rFonts w:hint="eastAsia" w:ascii="宋体" w:hAnsi="宋体" w:eastAsia="宋体" w:cs="HGBZ_CNKI"/>
          <w:kern w:val="0"/>
          <w:szCs w:val="21"/>
          <w:lang w:val="zh-CN" w:bidi="zh-CN"/>
        </w:rPr>
        <w:t>。</w:t>
      </w:r>
      <w:r>
        <w:rPr>
          <w:rFonts w:hint="eastAsia" w:ascii="宋体" w:hAnsi="宋体" w:eastAsia="宋体" w:cs="华光楷体_CNKI"/>
          <w:kern w:val="0"/>
          <w:szCs w:val="21"/>
          <w:lang w:val="zh-CN" w:bidi="zh-CN"/>
        </w:rPr>
        <w:t>所谓的</w:t>
      </w:r>
      <w:r>
        <w:rPr>
          <w:rFonts w:hint="eastAsia" w:ascii="宋体" w:hAnsi="宋体" w:eastAsia="宋体" w:cs="HGBZ_CNKI"/>
          <w:kern w:val="0"/>
          <w:szCs w:val="21"/>
          <w:lang w:val="zh-CN" w:bidi="zh-CN"/>
        </w:rPr>
        <w:t>“</w:t>
      </w:r>
      <w:r>
        <w:rPr>
          <w:rFonts w:hint="eastAsia" w:ascii="宋体" w:hAnsi="宋体" w:eastAsia="宋体" w:cs="华光楷体_CNKI"/>
          <w:kern w:val="0"/>
          <w:szCs w:val="21"/>
          <w:lang w:val="zh-CN" w:bidi="zh-CN"/>
        </w:rPr>
        <w:t>马克思基本定理</w:t>
      </w:r>
      <w:r>
        <w:rPr>
          <w:rFonts w:hint="eastAsia" w:ascii="宋体" w:hAnsi="宋体" w:eastAsia="宋体" w:cs="HGBZ_CNKI"/>
          <w:kern w:val="0"/>
          <w:szCs w:val="21"/>
          <w:lang w:val="zh-CN" w:bidi="zh-CN"/>
        </w:rPr>
        <w:t>”</w:t>
      </w:r>
      <w:r>
        <w:rPr>
          <w:rFonts w:hint="eastAsia" w:ascii="宋体" w:hAnsi="宋体" w:eastAsia="宋体" w:cs="华光楷体_CNKI"/>
          <w:kern w:val="0"/>
          <w:szCs w:val="21"/>
          <w:lang w:val="zh-CN" w:bidi="zh-CN"/>
        </w:rPr>
        <w:t>可以理解为马克思劳动价值论的一个引理</w:t>
      </w:r>
      <w:r>
        <w:rPr>
          <w:rFonts w:hint="eastAsia" w:ascii="宋体" w:hAnsi="宋体" w:eastAsia="宋体" w:cs="HGBZ_CNKI"/>
          <w:kern w:val="0"/>
          <w:szCs w:val="21"/>
          <w:lang w:val="zh-CN" w:bidi="zh-CN"/>
        </w:rPr>
        <w:t>。</w:t>
      </w:r>
    </w:p>
    <w:p w14:paraId="0C714A71">
      <w:pPr>
        <w:autoSpaceDE w:val="0"/>
        <w:autoSpaceDN w:val="0"/>
        <w:spacing w:line="400" w:lineRule="exact"/>
        <w:ind w:firstLine="440" w:firstLineChars="200"/>
        <w:rPr>
          <w:rFonts w:ascii="宋体" w:hAnsi="宋体" w:eastAsia="宋体" w:cs="华光书宋_CNKI"/>
          <w:kern w:val="0"/>
          <w:szCs w:val="21"/>
          <w:lang w:val="zh-CN" w:bidi="zh-CN"/>
        </w:rPr>
      </w:pPr>
      <w:r>
        <w:rPr>
          <w:rFonts w:hint="eastAsia" w:ascii="宋体" w:hAnsi="宋体" w:eastAsia="宋体" w:cs="华光书宋_CNKI"/>
          <w:kern w:val="0"/>
          <w:position w:val="1"/>
          <w:szCs w:val="21"/>
          <w:lang w:val="zh-CN" w:bidi="zh-CN"/>
        </w:rPr>
        <w:t>〔关键词〕</w:t>
      </w:r>
      <w:r>
        <w:rPr>
          <w:rFonts w:hint="eastAsia" w:ascii="宋体" w:hAnsi="宋体" w:eastAsia="宋体" w:cs="华光书宋_CNKI"/>
          <w:kern w:val="0"/>
          <w:szCs w:val="21"/>
          <w:lang w:val="zh-CN" w:bidi="zh-CN"/>
        </w:rPr>
        <w:t>马克思基本定理；劳动价值论；净产出；不受剥削工人存在性</w:t>
      </w:r>
    </w:p>
    <w:p w14:paraId="3EDE1935">
      <w:pPr>
        <w:widowControl/>
        <w:spacing w:line="360" w:lineRule="auto"/>
        <w:ind w:firstLine="500" w:firstLineChars="200"/>
        <w:jc w:val="center"/>
        <w:rPr>
          <w:rFonts w:ascii="宋体" w:hAnsi="宋体" w:eastAsia="宋体" w:cs="Times New Roman"/>
          <w:b/>
          <w:bCs/>
          <w:sz w:val="24"/>
        </w:rPr>
      </w:pPr>
      <w:r>
        <w:rPr>
          <w:rFonts w:hint="eastAsia" w:ascii="宋体" w:hAnsi="宋体" w:eastAsia="宋体" w:cs="Times New Roman"/>
          <w:b/>
          <w:bCs/>
          <w:sz w:val="24"/>
        </w:rPr>
        <w:t>一、马克思基本定理</w:t>
      </w:r>
    </w:p>
    <w:p w14:paraId="45BF62DE">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所谓</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马克思基本定理</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ＦｕｎｄａｍｅｎｔａｌＭａｒｘ</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ｉａｎＴｈｅｏｒｅｍ</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即ＦＭＴ</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指剩余价值是利润的源泉</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用数学语言来表述</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就是指正的剩余价值率是正的利润率的充要条件</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这个定理首先由置盐信雄在</w:t>
      </w:r>
      <w:r>
        <w:rPr>
          <w:rFonts w:hint="eastAsia" w:ascii="宋体" w:hAnsi="宋体" w:eastAsia="宋体" w:cs="HGBZ_CNKI"/>
          <w:kern w:val="0"/>
          <w:szCs w:val="21"/>
          <w:lang w:val="zh-CN" w:bidi="zh-CN"/>
        </w:rPr>
        <w:t>1963</w:t>
      </w:r>
      <w:r>
        <w:rPr>
          <w:rFonts w:ascii="宋体" w:hAnsi="宋体" w:eastAsia="宋体" w:cs="华光书宋_CNKI"/>
          <w:kern w:val="0"/>
          <w:szCs w:val="21"/>
          <w:lang w:val="zh-CN" w:bidi="zh-CN"/>
        </w:rPr>
        <w:t>年发表的</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马克思一些基本定理的数学说明</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一文中提出</w:t>
      </w:r>
      <w:r>
        <w:rPr>
          <w:rFonts w:hint="eastAsia" w:ascii="宋体" w:hAnsi="宋体" w:eastAsia="宋体" w:cs="HGBZ_CNKI"/>
          <w:kern w:val="0"/>
          <w:szCs w:val="21"/>
          <w:lang w:val="zh-CN" w:bidi="zh-CN"/>
        </w:rPr>
        <w:t>。20</w:t>
      </w:r>
      <w:r>
        <w:rPr>
          <w:rFonts w:ascii="宋体" w:hAnsi="宋体" w:eastAsia="宋体" w:cs="华光书宋_CNKI"/>
          <w:kern w:val="0"/>
          <w:szCs w:val="21"/>
          <w:lang w:val="zh-CN" w:bidi="zh-CN"/>
        </w:rPr>
        <w:t>世纪</w:t>
      </w:r>
      <w:r>
        <w:rPr>
          <w:rFonts w:hint="eastAsia" w:ascii="宋体" w:hAnsi="宋体" w:eastAsia="宋体" w:cs="HGBZ_CNKI"/>
          <w:kern w:val="0"/>
          <w:szCs w:val="21"/>
          <w:lang w:val="zh-CN" w:bidi="zh-CN"/>
        </w:rPr>
        <w:t>70</w:t>
      </w:r>
      <w:r>
        <w:rPr>
          <w:rFonts w:ascii="宋体" w:hAnsi="宋体" w:eastAsia="宋体" w:cs="华光书宋_CNKI"/>
          <w:kern w:val="0"/>
          <w:szCs w:val="21"/>
          <w:lang w:val="zh-CN" w:bidi="zh-CN"/>
        </w:rPr>
        <w:t>年代斯蒂德曼在</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按照斯拉法思想研究马克思</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一书中又进行了详细讨论</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他指出负剩余价值条件下也可产生正利润</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ＦＭＴ不仅与劳动价值论</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转型问题及剩余价值理论息息相关</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更重要的是</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关系到马克思整个经济学体系的正确与否</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因此马克思主义者</w:t>
      </w:r>
      <w:r>
        <w:rPr>
          <w:rFonts w:ascii="宋体" w:hAnsi="宋体" w:eastAsia="宋体" w:cs="华光书宋_CNKI"/>
          <w:kern w:val="0"/>
          <w:szCs w:val="21"/>
          <w:u w:val="single"/>
          <w:lang w:val="zh-CN" w:bidi="zh-CN"/>
        </w:rPr>
        <w:t>非常关注这个问题</w:t>
      </w:r>
      <w:r>
        <w:rPr>
          <w:rFonts w:hint="eastAsia" w:ascii="宋体" w:hAnsi="宋体" w:eastAsia="宋体" w:cs="HGBZ_CNKI"/>
          <w:kern w:val="0"/>
          <w:szCs w:val="21"/>
          <w:u w:val="single"/>
          <w:lang w:val="zh-CN" w:bidi="zh-CN"/>
        </w:rPr>
        <w:t>。</w:t>
      </w:r>
    </w:p>
    <w:p w14:paraId="1AE10F03">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先来看一下斯蒂德曼的反对意见</w:t>
      </w:r>
      <w:r>
        <w:rPr>
          <w:rFonts w:hint="eastAsia" w:ascii="宋体" w:hAnsi="宋体" w:eastAsia="宋体" w:cs="华光书宋_CNKI"/>
          <w:kern w:val="0"/>
          <w:position w:val="9"/>
          <w:szCs w:val="21"/>
          <w:lang w:val="zh-CN" w:bidi="zh-CN"/>
        </w:rPr>
        <w:t>〔1〕</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他假设</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一个社会可用两种生产方法来生产两种商品</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两种生产过程的投入产出关系如表</w:t>
      </w:r>
      <w:r>
        <w:rPr>
          <w:rFonts w:hint="eastAsia" w:ascii="宋体" w:hAnsi="宋体" w:eastAsia="宋体" w:cs="华光书宋_CNKI"/>
          <w:kern w:val="0"/>
          <w:szCs w:val="21"/>
          <w:lang w:val="zh-CN" w:bidi="zh-CN"/>
        </w:rPr>
        <w:t>1：</w:t>
      </w:r>
    </w:p>
    <w:p w14:paraId="29EDD17B">
      <w:pPr>
        <w:autoSpaceDE w:val="0"/>
        <w:autoSpaceDN w:val="0"/>
        <w:spacing w:line="400" w:lineRule="exact"/>
        <w:ind w:firstLine="440" w:firstLineChars="200"/>
        <w:rPr>
          <w:rFonts w:ascii="宋体" w:hAnsi="宋体" w:eastAsia="宋体" w:cs="华光书宋_CNKI"/>
          <w:kern w:val="0"/>
          <w:szCs w:val="21"/>
          <w:lang w:val="zh-CN" w:bidi="zh-CN"/>
        </w:rPr>
      </w:pPr>
      <w:r>
        <w:rPr>
          <w:rFonts w:hint="eastAsia" w:ascii="宋体" w:hAnsi="宋体" w:eastAsia="宋体" w:cs="华光书宋_CNKI"/>
          <w:kern w:val="0"/>
          <w:szCs w:val="21"/>
          <w:lang w:val="zh-CN" w:bidi="zh-CN"/>
        </w:rPr>
        <w:t>表1两种生产过程的投入产出关系</w:t>
      </w:r>
    </w:p>
    <w:tbl>
      <w:tblPr>
        <w:tblStyle w:val="31"/>
        <w:tblpPr w:leftFromText="180" w:rightFromText="180" w:vertAnchor="text" w:horzAnchor="page" w:tblpXSpec="center" w:tblpY="302"/>
        <w:tblW w:w="11078"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019"/>
        <w:gridCol w:w="1608"/>
        <w:gridCol w:w="1608"/>
        <w:gridCol w:w="1619"/>
        <w:gridCol w:w="1608"/>
        <w:gridCol w:w="1616"/>
      </w:tblGrid>
      <w:tr w14:paraId="62CEC318">
        <w:trPr>
          <w:trHeight w:val="406" w:hRule="atLeast"/>
        </w:trPr>
        <w:tc>
          <w:tcPr>
            <w:tcW w:w="3019" w:type="dxa"/>
            <w:vMerge w:val="restart"/>
            <w:tcBorders>
              <w:left w:val="nil"/>
            </w:tcBorders>
          </w:tcPr>
          <w:p w14:paraId="10EDEACB">
            <w:pPr>
              <w:autoSpaceDE w:val="0"/>
              <w:autoSpaceDN w:val="0"/>
              <w:spacing w:line="400" w:lineRule="exact"/>
              <w:ind w:firstLine="482" w:firstLineChars="200"/>
              <w:rPr>
                <w:rFonts w:ascii="宋体" w:hAnsi="宋体" w:eastAsia="宋体" w:cs="华光书宋_CNKI"/>
                <w:kern w:val="0"/>
                <w:sz w:val="22"/>
                <w:szCs w:val="21"/>
                <w:lang w:val="zh-CN" w:eastAsia="en-US" w:bidi="zh-CN"/>
              </w:rPr>
            </w:pPr>
            <w:r>
              <w:rPr>
                <w:rFonts w:ascii="宋体" w:hAnsi="宋体" w:eastAsia="宋体" w:cs="华光书宋_CNKI"/>
                <w:w w:val="105"/>
                <w:kern w:val="0"/>
                <w:sz w:val="22"/>
                <w:szCs w:val="21"/>
                <w:lang w:val="zh-CN" w:eastAsia="en-US" w:bidi="zh-CN"/>
              </w:rPr>
              <w:t>生产方法</w:t>
            </w:r>
          </w:p>
        </w:tc>
        <w:tc>
          <w:tcPr>
            <w:tcW w:w="4835" w:type="dxa"/>
            <w:gridSpan w:val="3"/>
          </w:tcPr>
          <w:p w14:paraId="0AFD4053">
            <w:pPr>
              <w:tabs>
                <w:tab w:val="left" w:pos="1193"/>
              </w:tabs>
              <w:autoSpaceDE w:val="0"/>
              <w:autoSpaceDN w:val="0"/>
              <w:spacing w:line="400" w:lineRule="exact"/>
              <w:ind w:firstLine="482" w:firstLineChars="200"/>
              <w:rPr>
                <w:rFonts w:ascii="宋体" w:hAnsi="宋体" w:eastAsia="宋体" w:cs="华光书宋_CNKI"/>
                <w:kern w:val="0"/>
                <w:sz w:val="22"/>
                <w:szCs w:val="21"/>
                <w:lang w:val="zh-CN" w:eastAsia="en-US" w:bidi="zh-CN"/>
              </w:rPr>
            </w:pPr>
            <w:r>
              <w:rPr>
                <w:rFonts w:ascii="宋体" w:hAnsi="宋体" w:eastAsia="宋体" w:cs="华光书宋_CNKI"/>
                <w:w w:val="105"/>
                <w:kern w:val="0"/>
                <w:sz w:val="22"/>
                <w:szCs w:val="21"/>
                <w:lang w:val="zh-CN" w:eastAsia="en-US" w:bidi="zh-CN"/>
              </w:rPr>
              <w:t>投</w:t>
            </w:r>
            <w:r>
              <w:rPr>
                <w:rFonts w:ascii="宋体" w:hAnsi="宋体" w:eastAsia="宋体" w:cs="华光书宋_CNKI"/>
                <w:w w:val="105"/>
                <w:kern w:val="0"/>
                <w:sz w:val="22"/>
                <w:szCs w:val="21"/>
                <w:lang w:val="zh-CN" w:eastAsia="en-US" w:bidi="zh-CN"/>
              </w:rPr>
              <w:tab/>
            </w:r>
            <w:r>
              <w:rPr>
                <w:rFonts w:ascii="宋体" w:hAnsi="宋体" w:eastAsia="宋体" w:cs="华光书宋_CNKI"/>
                <w:w w:val="105"/>
                <w:kern w:val="0"/>
                <w:sz w:val="22"/>
                <w:szCs w:val="21"/>
                <w:lang w:val="zh-CN" w:eastAsia="en-US" w:bidi="zh-CN"/>
              </w:rPr>
              <w:t>入</w:t>
            </w:r>
          </w:p>
        </w:tc>
        <w:tc>
          <w:tcPr>
            <w:tcW w:w="3224" w:type="dxa"/>
            <w:gridSpan w:val="2"/>
            <w:tcBorders>
              <w:right w:val="nil"/>
            </w:tcBorders>
          </w:tcPr>
          <w:p w14:paraId="2B39CE30">
            <w:pPr>
              <w:tabs>
                <w:tab w:val="left" w:pos="873"/>
              </w:tabs>
              <w:autoSpaceDE w:val="0"/>
              <w:autoSpaceDN w:val="0"/>
              <w:spacing w:line="400" w:lineRule="exact"/>
              <w:ind w:firstLine="482" w:firstLineChars="200"/>
              <w:rPr>
                <w:rFonts w:ascii="宋体" w:hAnsi="宋体" w:eastAsia="宋体" w:cs="华光书宋_CNKI"/>
                <w:kern w:val="0"/>
                <w:sz w:val="22"/>
                <w:szCs w:val="21"/>
                <w:lang w:val="zh-CN" w:eastAsia="en-US" w:bidi="zh-CN"/>
              </w:rPr>
            </w:pPr>
            <w:r>
              <w:rPr>
                <w:rFonts w:ascii="宋体" w:hAnsi="宋体" w:eastAsia="宋体" w:cs="华光书宋_CNKI"/>
                <w:w w:val="105"/>
                <w:kern w:val="0"/>
                <w:sz w:val="22"/>
                <w:szCs w:val="21"/>
                <w:lang w:val="zh-CN" w:eastAsia="en-US" w:bidi="zh-CN"/>
              </w:rPr>
              <w:t>产</w:t>
            </w:r>
            <w:r>
              <w:rPr>
                <w:rFonts w:ascii="宋体" w:hAnsi="宋体" w:eastAsia="宋体" w:cs="华光书宋_CNKI"/>
                <w:w w:val="105"/>
                <w:kern w:val="0"/>
                <w:sz w:val="22"/>
                <w:szCs w:val="21"/>
                <w:lang w:val="zh-CN" w:eastAsia="en-US" w:bidi="zh-CN"/>
              </w:rPr>
              <w:tab/>
            </w:r>
            <w:r>
              <w:rPr>
                <w:rFonts w:ascii="宋体" w:hAnsi="宋体" w:eastAsia="宋体" w:cs="华光书宋_CNKI"/>
                <w:w w:val="105"/>
                <w:kern w:val="0"/>
                <w:sz w:val="22"/>
                <w:szCs w:val="21"/>
                <w:lang w:val="zh-CN" w:eastAsia="en-US" w:bidi="zh-CN"/>
              </w:rPr>
              <w:t>出</w:t>
            </w:r>
          </w:p>
        </w:tc>
      </w:tr>
      <w:tr w14:paraId="0651695E">
        <w:trPr>
          <w:trHeight w:val="768" w:hRule="atLeast"/>
        </w:trPr>
        <w:tc>
          <w:tcPr>
            <w:tcW w:w="3019" w:type="dxa"/>
            <w:vMerge w:val="continue"/>
            <w:tcBorders>
              <w:top w:val="nil"/>
              <w:left w:val="nil"/>
            </w:tcBorders>
          </w:tcPr>
          <w:p w14:paraId="754E2598">
            <w:pPr>
              <w:autoSpaceDE w:val="0"/>
              <w:autoSpaceDN w:val="0"/>
              <w:spacing w:line="400" w:lineRule="exact"/>
              <w:ind w:firstLine="460" w:firstLineChars="200"/>
              <w:rPr>
                <w:rFonts w:ascii="宋体" w:hAnsi="宋体" w:eastAsia="宋体" w:cs="华光书宋_CNKI"/>
                <w:kern w:val="0"/>
                <w:sz w:val="22"/>
                <w:szCs w:val="21"/>
                <w:lang w:val="zh-CN" w:eastAsia="en-US" w:bidi="zh-CN"/>
              </w:rPr>
            </w:pPr>
          </w:p>
        </w:tc>
        <w:tc>
          <w:tcPr>
            <w:tcW w:w="1608" w:type="dxa"/>
          </w:tcPr>
          <w:p w14:paraId="34AB3EA8">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商品</w:t>
            </w:r>
            <w:r>
              <w:rPr>
                <w:rFonts w:hint="eastAsia" w:ascii="宋体" w:hAnsi="宋体" w:eastAsia="宋体" w:cs="华光书宋_CNKI"/>
                <w:w w:val="190"/>
                <w:kern w:val="0"/>
                <w:sz w:val="22"/>
                <w:szCs w:val="21"/>
                <w:lang w:val="zh-CN" w:eastAsia="en-US" w:bidi="zh-CN"/>
              </w:rPr>
              <w:t>1</w:t>
            </w:r>
          </w:p>
        </w:tc>
        <w:tc>
          <w:tcPr>
            <w:tcW w:w="1608" w:type="dxa"/>
          </w:tcPr>
          <w:p w14:paraId="446042B5">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商品</w:t>
            </w:r>
            <w:r>
              <w:rPr>
                <w:rFonts w:hint="eastAsia" w:ascii="宋体" w:hAnsi="宋体" w:eastAsia="宋体" w:cs="华光书宋_CNKI"/>
                <w:w w:val="190"/>
                <w:kern w:val="0"/>
                <w:sz w:val="22"/>
                <w:szCs w:val="21"/>
                <w:lang w:val="zh-CN" w:eastAsia="en-US" w:bidi="zh-CN"/>
              </w:rPr>
              <w:t>2</w:t>
            </w:r>
          </w:p>
        </w:tc>
        <w:tc>
          <w:tcPr>
            <w:tcW w:w="1619" w:type="dxa"/>
          </w:tcPr>
          <w:p w14:paraId="3FFBEABD">
            <w:pPr>
              <w:autoSpaceDE w:val="0"/>
              <w:autoSpaceDN w:val="0"/>
              <w:spacing w:line="400" w:lineRule="exact"/>
              <w:ind w:firstLine="482" w:firstLineChars="200"/>
              <w:rPr>
                <w:rFonts w:ascii="宋体" w:hAnsi="宋体" w:eastAsia="宋体" w:cs="华光书宋_CNKI"/>
                <w:kern w:val="0"/>
                <w:sz w:val="22"/>
                <w:szCs w:val="21"/>
                <w:lang w:val="zh-CN" w:eastAsia="en-US" w:bidi="zh-CN"/>
              </w:rPr>
            </w:pPr>
            <w:r>
              <w:rPr>
                <w:rFonts w:ascii="宋体" w:hAnsi="宋体" w:eastAsia="宋体" w:cs="华光书宋_CNKI"/>
                <w:w w:val="105"/>
                <w:kern w:val="0"/>
                <w:sz w:val="22"/>
                <w:szCs w:val="21"/>
                <w:lang w:val="zh-CN" w:eastAsia="en-US" w:bidi="zh-CN"/>
              </w:rPr>
              <w:t>劳动</w:t>
            </w:r>
          </w:p>
        </w:tc>
        <w:tc>
          <w:tcPr>
            <w:tcW w:w="1608" w:type="dxa"/>
          </w:tcPr>
          <w:p w14:paraId="765D4259">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商品</w:t>
            </w:r>
            <w:r>
              <w:rPr>
                <w:rFonts w:hint="eastAsia" w:ascii="宋体" w:hAnsi="宋体" w:eastAsia="宋体" w:cs="华光书宋_CNKI"/>
                <w:w w:val="190"/>
                <w:kern w:val="0"/>
                <w:sz w:val="22"/>
                <w:szCs w:val="21"/>
                <w:lang w:val="zh-CN" w:eastAsia="en-US" w:bidi="zh-CN"/>
              </w:rPr>
              <w:t>1</w:t>
            </w:r>
          </w:p>
        </w:tc>
        <w:tc>
          <w:tcPr>
            <w:tcW w:w="1616" w:type="dxa"/>
            <w:tcBorders>
              <w:right w:val="nil"/>
            </w:tcBorders>
          </w:tcPr>
          <w:p w14:paraId="10F6E94E">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商品</w:t>
            </w:r>
            <w:r>
              <w:rPr>
                <w:rFonts w:hint="eastAsia" w:ascii="宋体" w:hAnsi="宋体" w:eastAsia="宋体" w:cs="华光书宋_CNKI"/>
                <w:w w:val="190"/>
                <w:kern w:val="0"/>
                <w:sz w:val="22"/>
                <w:szCs w:val="21"/>
                <w:lang w:val="zh-CN" w:eastAsia="en-US" w:bidi="zh-CN"/>
              </w:rPr>
              <w:t>2</w:t>
            </w:r>
          </w:p>
        </w:tc>
      </w:tr>
      <w:tr w14:paraId="70AE09F4">
        <w:trPr>
          <w:trHeight w:val="723" w:hRule="atLeast"/>
        </w:trPr>
        <w:tc>
          <w:tcPr>
            <w:tcW w:w="3019" w:type="dxa"/>
            <w:tcBorders>
              <w:left w:val="nil"/>
            </w:tcBorders>
          </w:tcPr>
          <w:p w14:paraId="29B3297C">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生产过程</w:t>
            </w:r>
            <w:r>
              <w:rPr>
                <w:rFonts w:hint="eastAsia" w:ascii="宋体" w:hAnsi="宋体" w:eastAsia="宋体" w:cs="华光书宋_CNKI"/>
                <w:w w:val="135"/>
                <w:kern w:val="0"/>
                <w:sz w:val="22"/>
                <w:szCs w:val="21"/>
                <w:lang w:val="zh-CN" w:eastAsia="en-US" w:bidi="zh-CN"/>
              </w:rPr>
              <w:t>1</w:t>
            </w:r>
          </w:p>
        </w:tc>
        <w:tc>
          <w:tcPr>
            <w:tcW w:w="1608" w:type="dxa"/>
          </w:tcPr>
          <w:p w14:paraId="31FD3073">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5</w:t>
            </w:r>
          </w:p>
        </w:tc>
        <w:tc>
          <w:tcPr>
            <w:tcW w:w="1608" w:type="dxa"/>
          </w:tcPr>
          <w:p w14:paraId="69A8CC6D">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0</w:t>
            </w:r>
          </w:p>
        </w:tc>
        <w:tc>
          <w:tcPr>
            <w:tcW w:w="1619" w:type="dxa"/>
          </w:tcPr>
          <w:p w14:paraId="10710219">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1</w:t>
            </w:r>
          </w:p>
        </w:tc>
        <w:tc>
          <w:tcPr>
            <w:tcW w:w="1608" w:type="dxa"/>
          </w:tcPr>
          <w:p w14:paraId="0B7DDDB4">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6</w:t>
            </w:r>
          </w:p>
        </w:tc>
        <w:tc>
          <w:tcPr>
            <w:tcW w:w="1616" w:type="dxa"/>
            <w:tcBorders>
              <w:right w:val="nil"/>
            </w:tcBorders>
          </w:tcPr>
          <w:p w14:paraId="5FD7DBB9">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1</w:t>
            </w:r>
          </w:p>
        </w:tc>
      </w:tr>
      <w:tr w14:paraId="54170FA8">
        <w:trPr>
          <w:trHeight w:val="798" w:hRule="atLeast"/>
        </w:trPr>
        <w:tc>
          <w:tcPr>
            <w:tcW w:w="3019" w:type="dxa"/>
            <w:tcBorders>
              <w:left w:val="nil"/>
            </w:tcBorders>
          </w:tcPr>
          <w:p w14:paraId="5776C4FE">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生产过程</w:t>
            </w:r>
            <w:r>
              <w:rPr>
                <w:rFonts w:hint="eastAsia" w:ascii="宋体" w:hAnsi="宋体" w:eastAsia="宋体" w:cs="华光书宋_CNKI"/>
                <w:w w:val="135"/>
                <w:kern w:val="0"/>
                <w:sz w:val="22"/>
                <w:szCs w:val="21"/>
                <w:lang w:val="zh-CN" w:eastAsia="en-US" w:bidi="zh-CN"/>
              </w:rPr>
              <w:t>2</w:t>
            </w:r>
          </w:p>
        </w:tc>
        <w:tc>
          <w:tcPr>
            <w:tcW w:w="1608" w:type="dxa"/>
          </w:tcPr>
          <w:p w14:paraId="388A6D95">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0</w:t>
            </w:r>
          </w:p>
        </w:tc>
        <w:tc>
          <w:tcPr>
            <w:tcW w:w="1608" w:type="dxa"/>
          </w:tcPr>
          <w:p w14:paraId="1844C4D9">
            <w:pPr>
              <w:autoSpaceDE w:val="0"/>
              <w:autoSpaceDN w:val="0"/>
              <w:spacing w:line="400" w:lineRule="exact"/>
              <w:ind w:firstLine="614" w:firstLineChars="200"/>
              <w:rPr>
                <w:rFonts w:ascii="宋体" w:hAnsi="宋体" w:eastAsia="宋体" w:cs="华光书宋_CNKI"/>
                <w:kern w:val="0"/>
                <w:sz w:val="22"/>
                <w:szCs w:val="21"/>
                <w:lang w:val="zh-CN" w:eastAsia="en-US" w:bidi="zh-CN"/>
              </w:rPr>
            </w:pPr>
            <w:r>
              <w:rPr>
                <w:rFonts w:ascii="宋体" w:hAnsi="宋体" w:eastAsia="宋体" w:cs="华光书宋_CNKI"/>
                <w:spacing w:val="-77"/>
                <w:w w:val="205"/>
                <w:kern w:val="0"/>
                <w:sz w:val="22"/>
                <w:szCs w:val="21"/>
                <w:lang w:val="zh-CN" w:eastAsia="en-US" w:bidi="zh-CN"/>
              </w:rPr>
              <w:t>1</w:t>
            </w:r>
            <w:r>
              <w:rPr>
                <w:rFonts w:ascii="宋体" w:hAnsi="宋体" w:eastAsia="宋体" w:cs="华光书宋_CNKI"/>
                <w:w w:val="205"/>
                <w:kern w:val="0"/>
                <w:sz w:val="22"/>
                <w:szCs w:val="21"/>
                <w:lang w:val="zh-CN" w:eastAsia="en-US" w:bidi="zh-CN"/>
              </w:rPr>
              <w:t>0</w:t>
            </w:r>
          </w:p>
        </w:tc>
        <w:tc>
          <w:tcPr>
            <w:tcW w:w="1619" w:type="dxa"/>
          </w:tcPr>
          <w:p w14:paraId="24D9992A">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1</w:t>
            </w:r>
          </w:p>
        </w:tc>
        <w:tc>
          <w:tcPr>
            <w:tcW w:w="1608" w:type="dxa"/>
          </w:tcPr>
          <w:p w14:paraId="4B56FE0F">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3</w:t>
            </w:r>
          </w:p>
        </w:tc>
        <w:tc>
          <w:tcPr>
            <w:tcW w:w="1616" w:type="dxa"/>
            <w:tcBorders>
              <w:right w:val="nil"/>
            </w:tcBorders>
          </w:tcPr>
          <w:p w14:paraId="1353A83D">
            <w:pPr>
              <w:autoSpaceDE w:val="0"/>
              <w:autoSpaceDN w:val="0"/>
              <w:spacing w:line="400" w:lineRule="exact"/>
              <w:ind w:firstLine="614" w:firstLineChars="200"/>
              <w:rPr>
                <w:rFonts w:ascii="宋体" w:hAnsi="宋体" w:eastAsia="宋体" w:cs="华光书宋_CNKI"/>
                <w:kern w:val="0"/>
                <w:sz w:val="22"/>
                <w:szCs w:val="21"/>
                <w:lang w:val="zh-CN" w:eastAsia="en-US" w:bidi="zh-CN"/>
              </w:rPr>
            </w:pPr>
            <w:r>
              <w:rPr>
                <w:rFonts w:ascii="宋体" w:hAnsi="宋体" w:eastAsia="宋体" w:cs="华光书宋_CNKI"/>
                <w:spacing w:val="-77"/>
                <w:w w:val="205"/>
                <w:kern w:val="0"/>
                <w:sz w:val="22"/>
                <w:szCs w:val="21"/>
                <w:lang w:val="zh-CN" w:eastAsia="en-US" w:bidi="zh-CN"/>
              </w:rPr>
              <w:t>1</w:t>
            </w:r>
            <w:r>
              <w:rPr>
                <w:rFonts w:ascii="宋体" w:hAnsi="宋体" w:eastAsia="宋体" w:cs="华光书宋_CNKI"/>
                <w:w w:val="205"/>
                <w:kern w:val="0"/>
                <w:sz w:val="22"/>
                <w:szCs w:val="21"/>
                <w:lang w:val="zh-CN" w:eastAsia="en-US" w:bidi="zh-CN"/>
              </w:rPr>
              <w:t>2</w:t>
            </w:r>
          </w:p>
        </w:tc>
      </w:tr>
    </w:tbl>
    <w:p w14:paraId="0F4C3959">
      <w:pPr>
        <w:autoSpaceDE w:val="0"/>
        <w:autoSpaceDN w:val="0"/>
        <w:spacing w:line="400" w:lineRule="exact"/>
        <w:ind w:firstLine="440" w:firstLineChars="200"/>
        <w:rPr>
          <w:rFonts w:ascii="宋体" w:hAnsi="宋体" w:eastAsia="宋体" w:cs="华光书宋_CNKI"/>
          <w:kern w:val="0"/>
          <w:szCs w:val="21"/>
          <w:lang w:val="zh-CN" w:bidi="zh-CN"/>
        </w:rPr>
      </w:pPr>
    </w:p>
    <w:p w14:paraId="70569D25">
      <w:pPr>
        <w:autoSpaceDE w:val="0"/>
        <w:autoSpaceDN w:val="0"/>
        <w:spacing w:line="400" w:lineRule="exact"/>
        <w:ind w:firstLine="440" w:firstLineChars="200"/>
        <w:rPr>
          <w:rFonts w:ascii="宋体" w:hAnsi="宋体" w:eastAsia="宋体" w:cs="华光书宋_CNKI"/>
          <w:kern w:val="0"/>
          <w:szCs w:val="21"/>
          <w:lang w:val="zh-CN" w:bidi="zh-CN"/>
        </w:rPr>
      </w:pPr>
    </w:p>
    <w:p w14:paraId="30DC2EF7">
      <w:pPr>
        <w:autoSpaceDE w:val="0"/>
        <w:autoSpaceDN w:val="0"/>
        <w:spacing w:line="400" w:lineRule="exact"/>
        <w:ind w:firstLine="440" w:firstLineChars="200"/>
        <w:rPr>
          <w:rFonts w:ascii="宋体" w:hAnsi="宋体" w:eastAsia="宋体" w:cs="华光书宋_CNKI"/>
          <w:kern w:val="0"/>
          <w:szCs w:val="21"/>
          <w:lang w:val="zh-CN" w:bidi="zh-CN"/>
        </w:rPr>
      </w:pPr>
    </w:p>
    <w:p w14:paraId="78B48531">
      <w:pPr>
        <w:autoSpaceDE w:val="0"/>
        <w:autoSpaceDN w:val="0"/>
        <w:spacing w:line="400" w:lineRule="exact"/>
        <w:ind w:firstLine="440" w:firstLineChars="200"/>
        <w:rPr>
          <w:rFonts w:ascii="宋体" w:hAnsi="宋体" w:eastAsia="宋体" w:cs="华光书宋_CNKI"/>
          <w:kern w:val="0"/>
          <w:szCs w:val="21"/>
          <w:lang w:val="zh-CN" w:bidi="zh-CN"/>
        </w:rPr>
      </w:pPr>
    </w:p>
    <w:p w14:paraId="35BF223D">
      <w:pPr>
        <w:autoSpaceDE w:val="0"/>
        <w:autoSpaceDN w:val="0"/>
        <w:spacing w:line="400" w:lineRule="exact"/>
        <w:ind w:firstLine="440" w:firstLineChars="200"/>
        <w:rPr>
          <w:rFonts w:ascii="宋体" w:hAnsi="宋体" w:eastAsia="宋体" w:cs="华光书宋_CNKI"/>
          <w:kern w:val="0"/>
          <w:szCs w:val="21"/>
          <w:lang w:val="zh-CN" w:bidi="zh-CN"/>
        </w:rPr>
      </w:pPr>
    </w:p>
    <w:p w14:paraId="7AC4F0BA">
      <w:pPr>
        <w:autoSpaceDE w:val="0"/>
        <w:autoSpaceDN w:val="0"/>
        <w:spacing w:line="400" w:lineRule="exact"/>
        <w:ind w:firstLine="440" w:firstLineChars="200"/>
        <w:rPr>
          <w:rFonts w:ascii="宋体" w:hAnsi="宋体" w:eastAsia="宋体" w:cs="华光书宋_CNKI"/>
          <w:kern w:val="0"/>
          <w:szCs w:val="21"/>
          <w:lang w:val="zh-CN" w:bidi="zh-CN"/>
        </w:rPr>
      </w:pPr>
    </w:p>
    <w:p w14:paraId="2ED0C5EE">
      <w:pPr>
        <w:autoSpaceDE w:val="0"/>
        <w:autoSpaceDN w:val="0"/>
        <w:spacing w:line="400" w:lineRule="exact"/>
        <w:ind w:firstLine="440" w:firstLineChars="200"/>
        <w:rPr>
          <w:rFonts w:ascii="宋体" w:hAnsi="宋体" w:eastAsia="宋体" w:cs="华光书宋_CNKI"/>
          <w:kern w:val="0"/>
          <w:szCs w:val="21"/>
          <w:lang w:val="zh-CN" w:bidi="zh-CN"/>
        </w:rPr>
      </w:pPr>
    </w:p>
    <w:p w14:paraId="68F0FDA4">
      <w:pPr>
        <w:autoSpaceDE w:val="0"/>
        <w:autoSpaceDN w:val="0"/>
        <w:spacing w:line="400" w:lineRule="exact"/>
        <w:ind w:firstLine="440" w:firstLineChars="200"/>
        <w:rPr>
          <w:rFonts w:ascii="宋体" w:hAnsi="宋体" w:eastAsia="宋体" w:cs="华光书宋_CNKI"/>
          <w:kern w:val="0"/>
          <w:szCs w:val="21"/>
          <w:lang w:val="zh-CN" w:bidi="zh-CN"/>
        </w:rPr>
      </w:pPr>
    </w:p>
    <w:p w14:paraId="35083D60">
      <w:pPr>
        <w:autoSpaceDE w:val="0"/>
        <w:autoSpaceDN w:val="0"/>
        <w:spacing w:line="400" w:lineRule="exact"/>
        <w:ind w:firstLine="440" w:firstLineChars="200"/>
        <w:rPr>
          <w:rFonts w:ascii="宋体" w:hAnsi="宋体" w:eastAsia="宋体" w:cs="华光书宋_CNKI"/>
          <w:kern w:val="0"/>
          <w:szCs w:val="21"/>
          <w:lang w:val="zh-CN" w:bidi="zh-CN"/>
        </w:rPr>
      </w:pPr>
    </w:p>
    <w:p w14:paraId="03348A06">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表</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用实物量和劳动单位表示社会所面临的两种生产条件</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如果</w:t>
      </w:r>
      <w:r>
        <w:rPr>
          <w:rFonts w:hint="eastAsia" w:ascii="宋体" w:hAnsi="宋体" w:eastAsia="宋体" w:cs="HGBZ_CNKI"/>
          <w:kern w:val="0"/>
          <w:szCs w:val="21"/>
          <w:lang w:val="zh-CN" w:bidi="zh-CN"/>
        </w:rPr>
        <w:t>6</w:t>
      </w:r>
      <w:r>
        <w:rPr>
          <w:rFonts w:ascii="宋体" w:hAnsi="宋体" w:eastAsia="宋体" w:cs="华光书宋_CNKI"/>
          <w:kern w:val="0"/>
          <w:szCs w:val="21"/>
          <w:lang w:val="zh-CN" w:bidi="zh-CN"/>
        </w:rPr>
        <w:t>单位劳动的实际工资是</w:t>
      </w:r>
      <w:r>
        <w:rPr>
          <w:rFonts w:hint="eastAsia" w:ascii="宋体" w:hAnsi="宋体" w:eastAsia="宋体" w:cs="HGBZ_CNKI"/>
          <w:kern w:val="0"/>
          <w:szCs w:val="21"/>
          <w:lang w:val="zh-CN" w:bidi="zh-CN"/>
        </w:rPr>
        <w:t>3</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和</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2</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这个在生产过程结束后才支付的实际工资和上述生产条件一起</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将决定利润率ｒ和用劳动量表示的商品价格Ｐ</w:t>
      </w:r>
      <w:r>
        <w:rPr>
          <w:rFonts w:hint="eastAsia" w:ascii="宋体" w:hAnsi="宋体" w:eastAsia="宋体" w:cs="华光书宋_CNKI"/>
          <w:kern w:val="0"/>
          <w:position w:val="-2"/>
          <w:szCs w:val="21"/>
          <w:lang w:val="zh-CN" w:bidi="zh-CN"/>
        </w:rPr>
        <w:t>1</w:t>
      </w:r>
      <w:r>
        <w:rPr>
          <w:rFonts w:ascii="宋体" w:hAnsi="宋体" w:eastAsia="宋体" w:cs="华光书宋_CNKI"/>
          <w:kern w:val="0"/>
          <w:szCs w:val="21"/>
          <w:lang w:val="zh-CN" w:bidi="zh-CN"/>
        </w:rPr>
        <w:t>和Ｐ</w:t>
      </w:r>
      <w:r>
        <w:rPr>
          <w:rFonts w:hint="eastAsia" w:ascii="宋体" w:hAnsi="宋体" w:eastAsia="宋体" w:cs="华光书宋_CNKI"/>
          <w:kern w:val="0"/>
          <w:position w:val="-2"/>
          <w:szCs w:val="21"/>
          <w:lang w:val="zh-CN" w:bidi="zh-CN"/>
        </w:rPr>
        <w:t>2</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这时决定ｒ</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Ｐ</w:t>
      </w:r>
      <w:r>
        <w:rPr>
          <w:rFonts w:hint="eastAsia" w:ascii="宋体" w:hAnsi="宋体" w:eastAsia="宋体" w:cs="华光书宋_CNKI"/>
          <w:kern w:val="0"/>
          <w:position w:val="-2"/>
          <w:szCs w:val="21"/>
          <w:lang w:val="zh-CN" w:bidi="zh-CN"/>
        </w:rPr>
        <w:t>1</w:t>
      </w:r>
      <w:r>
        <w:rPr>
          <w:rFonts w:ascii="宋体" w:hAnsi="宋体" w:eastAsia="宋体" w:cs="华光书宋_CNKI"/>
          <w:kern w:val="0"/>
          <w:szCs w:val="21"/>
          <w:lang w:val="zh-CN" w:bidi="zh-CN"/>
        </w:rPr>
        <w:t>和Ｐ</w:t>
      </w:r>
      <w:r>
        <w:rPr>
          <w:rFonts w:hint="eastAsia" w:ascii="宋体" w:hAnsi="宋体" w:eastAsia="宋体" w:cs="华光书宋_CNKI"/>
          <w:kern w:val="0"/>
          <w:position w:val="-2"/>
          <w:szCs w:val="21"/>
          <w:lang w:val="zh-CN" w:bidi="zh-CN"/>
        </w:rPr>
        <w:t>2</w:t>
      </w:r>
      <w:r>
        <w:rPr>
          <w:rFonts w:ascii="宋体" w:hAnsi="宋体" w:eastAsia="宋体" w:cs="华光书宋_CNKI"/>
          <w:kern w:val="0"/>
          <w:szCs w:val="21"/>
          <w:lang w:val="zh-CN" w:bidi="zh-CN"/>
        </w:rPr>
        <w:t>的三个公式是</w:t>
      </w:r>
      <w:r>
        <w:rPr>
          <w:rFonts w:hint="eastAsia" w:ascii="宋体" w:hAnsi="宋体" w:eastAsia="宋体" w:cs="华光书宋_CNKI"/>
          <w:kern w:val="0"/>
          <w:szCs w:val="21"/>
          <w:lang w:val="zh-CN" w:bidi="zh-CN"/>
        </w:rPr>
        <w:t>：</w:t>
      </w:r>
    </w:p>
    <w:p w14:paraId="16E9D846">
      <w:pPr>
        <w:autoSpaceDE w:val="0"/>
        <w:autoSpaceDN w:val="0"/>
        <w:spacing w:line="400" w:lineRule="exact"/>
        <w:ind w:firstLine="440" w:firstLineChars="200"/>
        <w:rPr>
          <w:rFonts w:ascii="宋体" w:hAnsi="宋体" w:eastAsia="宋体" w:cs="华光书宋_CNKI"/>
          <w:kern w:val="0"/>
          <w:szCs w:val="21"/>
          <w:lang w:val="zh-CN" w:bidi="zh-CN"/>
        </w:rPr>
      </w:pPr>
      <w:r>
        <w:rPr>
          <w:rFonts w:hint="eastAsia" w:ascii="宋体" w:hAnsi="宋体" w:eastAsia="宋体" w:cs="华光书宋_CNKI"/>
          <w:kern w:val="0"/>
          <w:szCs w:val="21"/>
          <w:lang w:val="zh-CN" w:bidi="zh-CN"/>
        </w:rPr>
        <w:t>（1＋</w:t>
      </w:r>
      <w:r>
        <w:rPr>
          <w:rFonts w:ascii="宋体" w:hAnsi="宋体" w:eastAsia="宋体" w:cs="华光书宋_CNKI"/>
          <w:kern w:val="0"/>
          <w:szCs w:val="21"/>
          <w:lang w:val="zh-CN" w:bidi="zh-CN"/>
        </w:rPr>
        <w:t>ｒ</w:t>
      </w:r>
      <w:r>
        <w:rPr>
          <w:rFonts w:hint="eastAsia" w:ascii="宋体" w:hAnsi="宋体" w:eastAsia="宋体" w:cs="华光书宋_CNKI"/>
          <w:kern w:val="0"/>
          <w:szCs w:val="21"/>
          <w:lang w:val="zh-CN" w:bidi="zh-CN"/>
        </w:rPr>
        <w:t>）5</w:t>
      </w:r>
      <w:r>
        <w:rPr>
          <w:rFonts w:ascii="宋体" w:hAnsi="宋体" w:eastAsia="宋体" w:cs="华光书宋_CNKI"/>
          <w:kern w:val="0"/>
          <w:szCs w:val="21"/>
          <w:lang w:val="zh-CN" w:bidi="zh-CN"/>
        </w:rPr>
        <w:t>Ｐ</w:t>
      </w:r>
      <w:r>
        <w:rPr>
          <w:rFonts w:hint="eastAsia" w:ascii="宋体" w:hAnsi="宋体" w:eastAsia="宋体" w:cs="华光书宋_CNKI"/>
          <w:kern w:val="0"/>
          <w:position w:val="-2"/>
          <w:szCs w:val="21"/>
          <w:lang w:val="zh-CN" w:bidi="zh-CN"/>
        </w:rPr>
        <w:t>1</w:t>
      </w:r>
      <w:r>
        <w:rPr>
          <w:rFonts w:hint="eastAsia" w:ascii="宋体" w:hAnsi="宋体" w:eastAsia="宋体" w:cs="华光书宋_CNKI"/>
          <w:kern w:val="0"/>
          <w:szCs w:val="21"/>
          <w:lang w:val="zh-CN" w:bidi="zh-CN"/>
        </w:rPr>
        <w:t>＋1＝6</w:t>
      </w:r>
      <w:r>
        <w:rPr>
          <w:rFonts w:ascii="宋体" w:hAnsi="宋体" w:eastAsia="宋体" w:cs="华光书宋_CNKI"/>
          <w:kern w:val="0"/>
          <w:szCs w:val="21"/>
          <w:lang w:val="zh-CN" w:bidi="zh-CN"/>
        </w:rPr>
        <w:t>Ｐ</w:t>
      </w:r>
      <w:r>
        <w:rPr>
          <w:rFonts w:hint="eastAsia" w:ascii="宋体" w:hAnsi="宋体" w:eastAsia="宋体" w:cs="华光书宋_CNKI"/>
          <w:kern w:val="0"/>
          <w:position w:val="-2"/>
          <w:szCs w:val="21"/>
          <w:lang w:val="zh-CN" w:bidi="zh-CN"/>
        </w:rPr>
        <w:t>1</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Ｐ</w:t>
      </w:r>
      <w:r>
        <w:rPr>
          <w:rFonts w:hint="eastAsia" w:ascii="宋体" w:hAnsi="宋体" w:eastAsia="宋体" w:cs="华光书宋_CNKI"/>
          <w:kern w:val="0"/>
          <w:position w:val="-2"/>
          <w:szCs w:val="21"/>
          <w:lang w:val="zh-CN" w:bidi="zh-CN"/>
        </w:rPr>
        <w:t>2</w:t>
      </w:r>
    </w:p>
    <w:p w14:paraId="09383256">
      <w:pPr>
        <w:autoSpaceDE w:val="0"/>
        <w:autoSpaceDN w:val="0"/>
        <w:spacing w:line="400" w:lineRule="exact"/>
        <w:ind w:firstLine="440" w:firstLineChars="200"/>
        <w:rPr>
          <w:rFonts w:ascii="宋体" w:hAnsi="宋体" w:eastAsia="宋体" w:cs="华光书宋_CNKI"/>
          <w:kern w:val="0"/>
          <w:szCs w:val="21"/>
          <w:lang w:val="zh-CN" w:bidi="zh-CN"/>
        </w:rPr>
      </w:pPr>
      <w:r>
        <w:rPr>
          <w:rFonts w:hint="eastAsia" w:ascii="宋体" w:hAnsi="宋体" w:eastAsia="宋体" w:cs="华光书宋_CNKI"/>
          <w:kern w:val="0"/>
          <w:szCs w:val="21"/>
          <w:lang w:val="zh-CN" w:bidi="zh-CN"/>
        </w:rPr>
        <w:t>（1＋</w:t>
      </w:r>
      <w:r>
        <w:rPr>
          <w:rFonts w:ascii="宋体" w:hAnsi="宋体" w:eastAsia="宋体" w:cs="华光书宋_CNKI"/>
          <w:kern w:val="0"/>
          <w:szCs w:val="21"/>
          <w:lang w:val="zh-CN" w:bidi="zh-CN"/>
        </w:rPr>
        <w:t>ｒ</w:t>
      </w:r>
      <w:r>
        <w:rPr>
          <w:rFonts w:hint="eastAsia" w:ascii="宋体" w:hAnsi="宋体" w:eastAsia="宋体" w:cs="华光书宋_CNKI"/>
          <w:kern w:val="0"/>
          <w:szCs w:val="21"/>
          <w:lang w:val="zh-CN" w:bidi="zh-CN"/>
        </w:rPr>
        <w:t>）10</w:t>
      </w:r>
      <w:r>
        <w:rPr>
          <w:rFonts w:ascii="宋体" w:hAnsi="宋体" w:eastAsia="宋体" w:cs="华光书宋_CNKI"/>
          <w:kern w:val="0"/>
          <w:szCs w:val="21"/>
          <w:lang w:val="zh-CN" w:bidi="zh-CN"/>
        </w:rPr>
        <w:t>Ｐ</w:t>
      </w:r>
      <w:r>
        <w:rPr>
          <w:rFonts w:hint="eastAsia" w:ascii="宋体" w:hAnsi="宋体" w:eastAsia="宋体" w:cs="华光书宋_CNKI"/>
          <w:kern w:val="0"/>
          <w:position w:val="-2"/>
          <w:szCs w:val="21"/>
          <w:lang w:val="zh-CN" w:bidi="zh-CN"/>
        </w:rPr>
        <w:t>2</w:t>
      </w:r>
      <w:r>
        <w:rPr>
          <w:rFonts w:hint="eastAsia" w:ascii="宋体" w:hAnsi="宋体" w:eastAsia="宋体" w:cs="华光书宋_CNKI"/>
          <w:kern w:val="0"/>
          <w:szCs w:val="21"/>
          <w:lang w:val="zh-CN" w:bidi="zh-CN"/>
        </w:rPr>
        <w:t>＋1＝3</w:t>
      </w:r>
      <w:r>
        <w:rPr>
          <w:rFonts w:ascii="宋体" w:hAnsi="宋体" w:eastAsia="宋体" w:cs="华光书宋_CNKI"/>
          <w:kern w:val="0"/>
          <w:szCs w:val="21"/>
          <w:lang w:val="zh-CN" w:bidi="zh-CN"/>
        </w:rPr>
        <w:t>Ｐ</w:t>
      </w:r>
      <w:r>
        <w:rPr>
          <w:rFonts w:hint="eastAsia" w:ascii="宋体" w:hAnsi="宋体" w:eastAsia="宋体" w:cs="华光书宋_CNKI"/>
          <w:kern w:val="0"/>
          <w:position w:val="-2"/>
          <w:szCs w:val="21"/>
          <w:lang w:val="zh-CN" w:bidi="zh-CN"/>
        </w:rPr>
        <w:t>1</w:t>
      </w:r>
      <w:r>
        <w:rPr>
          <w:rFonts w:hint="eastAsia" w:ascii="宋体" w:hAnsi="宋体" w:eastAsia="宋体" w:cs="华光书宋_CNKI"/>
          <w:kern w:val="0"/>
          <w:szCs w:val="21"/>
          <w:lang w:val="zh-CN" w:bidi="zh-CN"/>
        </w:rPr>
        <w:t>＋12</w:t>
      </w:r>
      <w:r>
        <w:rPr>
          <w:rFonts w:ascii="宋体" w:hAnsi="宋体" w:eastAsia="宋体" w:cs="华光书宋_CNKI"/>
          <w:kern w:val="0"/>
          <w:szCs w:val="21"/>
          <w:lang w:val="zh-CN" w:bidi="zh-CN"/>
        </w:rPr>
        <w:t>Ｐ</w:t>
      </w:r>
      <w:r>
        <w:rPr>
          <w:rFonts w:hint="eastAsia" w:ascii="宋体" w:hAnsi="宋体" w:eastAsia="宋体" w:cs="华光书宋_CNKI"/>
          <w:kern w:val="0"/>
          <w:position w:val="-2"/>
          <w:szCs w:val="21"/>
          <w:lang w:val="zh-CN" w:bidi="zh-CN"/>
        </w:rPr>
        <w:t>2</w:t>
      </w:r>
      <w:r>
        <w:rPr>
          <w:rFonts w:hint="eastAsia" w:ascii="宋体" w:hAnsi="宋体" w:eastAsia="宋体" w:cs="华光书宋_CNKI"/>
          <w:kern w:val="0"/>
          <w:szCs w:val="21"/>
          <w:lang w:val="zh-CN" w:bidi="zh-CN"/>
        </w:rPr>
        <w:t>3</w:t>
      </w:r>
      <w:r>
        <w:rPr>
          <w:rFonts w:ascii="宋体" w:hAnsi="宋体" w:eastAsia="宋体" w:cs="华光书宋_CNKI"/>
          <w:kern w:val="0"/>
          <w:szCs w:val="21"/>
          <w:lang w:val="zh-CN" w:bidi="zh-CN"/>
        </w:rPr>
        <w:t>Ｐ</w:t>
      </w:r>
      <w:r>
        <w:rPr>
          <w:rFonts w:hint="eastAsia" w:ascii="宋体" w:hAnsi="宋体" w:eastAsia="宋体" w:cs="华光书宋_CNKI"/>
          <w:kern w:val="0"/>
          <w:position w:val="-2"/>
          <w:szCs w:val="21"/>
          <w:lang w:val="zh-CN" w:bidi="zh-CN"/>
        </w:rPr>
        <w:t>1</w:t>
      </w:r>
      <w:r>
        <w:rPr>
          <w:rFonts w:hint="eastAsia" w:ascii="宋体" w:hAnsi="宋体" w:eastAsia="宋体" w:cs="华光书宋_CNKI"/>
          <w:kern w:val="0"/>
          <w:szCs w:val="21"/>
          <w:lang w:val="zh-CN" w:bidi="zh-CN"/>
        </w:rPr>
        <w:t>＋5</w:t>
      </w:r>
      <w:r>
        <w:rPr>
          <w:rFonts w:ascii="宋体" w:hAnsi="宋体" w:eastAsia="宋体" w:cs="华光书宋_CNKI"/>
          <w:kern w:val="0"/>
          <w:szCs w:val="21"/>
          <w:lang w:val="zh-CN" w:bidi="zh-CN"/>
        </w:rPr>
        <w:t>Ｐ</w:t>
      </w:r>
      <w:r>
        <w:rPr>
          <w:rFonts w:hint="eastAsia" w:ascii="宋体" w:hAnsi="宋体" w:eastAsia="宋体" w:cs="华光书宋_CNKI"/>
          <w:kern w:val="0"/>
          <w:position w:val="-2"/>
          <w:szCs w:val="21"/>
          <w:lang w:val="zh-CN" w:bidi="zh-CN"/>
        </w:rPr>
        <w:t>2</w:t>
      </w:r>
      <w:r>
        <w:rPr>
          <w:rFonts w:hint="eastAsia" w:ascii="宋体" w:hAnsi="宋体" w:eastAsia="宋体" w:cs="华光书宋_CNKI"/>
          <w:kern w:val="0"/>
          <w:szCs w:val="21"/>
          <w:lang w:val="zh-CN" w:bidi="zh-CN"/>
        </w:rPr>
        <w:t>＝6</w:t>
      </w:r>
    </w:p>
    <w:p w14:paraId="6E147137">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解得</w:t>
      </w:r>
      <w:r>
        <w:rPr>
          <w:rFonts w:hint="eastAsia" w:ascii="宋体" w:hAnsi="宋体" w:eastAsia="宋体" w:cs="华光书宋_CNKI"/>
          <w:kern w:val="0"/>
          <w:szCs w:val="21"/>
          <w:lang w:val="zh-CN" w:bidi="zh-CN"/>
        </w:rPr>
        <w:t>：</w:t>
      </w:r>
    </w:p>
    <w:p w14:paraId="51C2B7E1">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ｒ</w:t>
      </w:r>
      <w:r>
        <w:rPr>
          <w:rFonts w:hint="eastAsia" w:ascii="宋体" w:hAnsi="宋体" w:eastAsia="宋体" w:cs="HGBZ_CNKI"/>
          <w:kern w:val="0"/>
          <w:szCs w:val="21"/>
          <w:lang w:val="zh-CN" w:bidi="zh-CN"/>
        </w:rPr>
        <w:t>＝20％</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Ｐ</w:t>
      </w:r>
      <w:r>
        <w:rPr>
          <w:rFonts w:hint="eastAsia" w:ascii="宋体" w:hAnsi="宋体" w:eastAsia="宋体" w:cs="HGBZ_CNKI"/>
          <w:kern w:val="0"/>
          <w:position w:val="-2"/>
          <w:szCs w:val="21"/>
          <w:lang w:val="zh-CN" w:bidi="zh-CN"/>
        </w:rPr>
        <w:t>1</w:t>
      </w:r>
      <w:r>
        <w:rPr>
          <w:rFonts w:hint="eastAsia" w:ascii="宋体" w:hAnsi="宋体" w:eastAsia="宋体" w:cs="HGBZ_CNKI"/>
          <w:kern w:val="0"/>
          <w:szCs w:val="21"/>
          <w:lang w:val="zh-CN" w:bidi="zh-CN"/>
        </w:rPr>
        <w:t>＝1／3</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Ｐ</w:t>
      </w:r>
      <w:r>
        <w:rPr>
          <w:rFonts w:hint="eastAsia" w:ascii="宋体" w:hAnsi="宋体" w:eastAsia="宋体" w:cs="HGBZ_CNKI"/>
          <w:kern w:val="0"/>
          <w:position w:val="-2"/>
          <w:szCs w:val="21"/>
          <w:lang w:val="zh-CN" w:bidi="zh-CN"/>
        </w:rPr>
        <w:t>2</w:t>
      </w:r>
      <w:r>
        <w:rPr>
          <w:rFonts w:hint="eastAsia" w:ascii="宋体" w:hAnsi="宋体" w:eastAsia="宋体" w:cs="HGBZ_CNKI"/>
          <w:kern w:val="0"/>
          <w:szCs w:val="21"/>
          <w:lang w:val="zh-CN" w:bidi="zh-CN"/>
        </w:rPr>
        <w:t>＝1</w:t>
      </w:r>
    </w:p>
    <w:p w14:paraId="3D3F67C2">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此时</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利润率和商品价格均为正值</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下面来看看商品的价值和剩余价值率</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如果社会总劳动投入为</w:t>
      </w:r>
      <w:r>
        <w:rPr>
          <w:rFonts w:hint="eastAsia" w:ascii="宋体" w:hAnsi="宋体" w:eastAsia="宋体" w:cs="HGBZ_CNKI"/>
          <w:kern w:val="0"/>
          <w:szCs w:val="21"/>
          <w:lang w:val="zh-CN" w:bidi="zh-CN"/>
        </w:rPr>
        <w:t>6</w:t>
      </w:r>
      <w:r>
        <w:rPr>
          <w:rFonts w:ascii="宋体" w:hAnsi="宋体" w:eastAsia="宋体" w:cs="华光书宋_CNKI"/>
          <w:kern w:val="0"/>
          <w:szCs w:val="21"/>
          <w:lang w:val="zh-CN" w:bidi="zh-CN"/>
        </w:rPr>
        <w:t>单位</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其中</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单位用于生产过程</w:t>
      </w:r>
      <w:r>
        <w:rPr>
          <w:rFonts w:hint="eastAsia" w:ascii="宋体" w:hAnsi="宋体" w:eastAsia="宋体" w:cs="HGBZ_CNKI"/>
          <w:kern w:val="0"/>
          <w:szCs w:val="21"/>
          <w:lang w:val="zh-CN" w:bidi="zh-CN"/>
        </w:rPr>
        <w:t>1</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另一单位用于生产过程</w:t>
      </w:r>
      <w:r>
        <w:rPr>
          <w:rFonts w:hint="eastAsia" w:ascii="宋体" w:hAnsi="宋体" w:eastAsia="宋体" w:cs="HGBZ_CNKI"/>
          <w:kern w:val="0"/>
          <w:szCs w:val="21"/>
          <w:lang w:val="zh-CN" w:bidi="zh-CN"/>
        </w:rPr>
        <w:t>2</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全社会的总劳动和总产品经过这样配置后</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投入产出关系如表</w:t>
      </w:r>
      <w:r>
        <w:rPr>
          <w:rFonts w:hint="eastAsia" w:ascii="宋体" w:hAnsi="宋体" w:eastAsia="宋体" w:cs="HGBZ_CNKI"/>
          <w:kern w:val="0"/>
          <w:szCs w:val="21"/>
          <w:lang w:val="zh-CN" w:bidi="zh-CN"/>
        </w:rPr>
        <w:t>2：</w:t>
      </w:r>
    </w:p>
    <w:p w14:paraId="3949F8B0">
      <w:pPr>
        <w:autoSpaceDE w:val="0"/>
        <w:autoSpaceDN w:val="0"/>
        <w:spacing w:line="400" w:lineRule="exact"/>
        <w:ind w:firstLine="440" w:firstLineChars="200"/>
        <w:rPr>
          <w:rFonts w:ascii="宋体" w:hAnsi="宋体" w:eastAsia="宋体" w:cs="华光书宋_CNKI"/>
          <w:kern w:val="0"/>
          <w:szCs w:val="21"/>
          <w:lang w:val="zh-CN" w:bidi="zh-CN"/>
        </w:rPr>
      </w:pPr>
      <w:r>
        <w:rPr>
          <w:rFonts w:hint="eastAsia" w:ascii="宋体" w:hAnsi="宋体" w:eastAsia="宋体" w:cs="华光书宋_CNKI"/>
          <w:kern w:val="0"/>
          <w:szCs w:val="21"/>
          <w:lang w:val="zh-CN" w:bidi="zh-CN"/>
        </w:rPr>
        <w:t>表2两种生产过程的投入产出关系</w:t>
      </w:r>
    </w:p>
    <w:tbl>
      <w:tblPr>
        <w:tblStyle w:val="31"/>
        <w:tblpPr w:leftFromText="180" w:rightFromText="180" w:vertAnchor="text" w:horzAnchor="page" w:tblpXSpec="center" w:tblpY="156"/>
        <w:tblW w:w="11139" w:type="dxa"/>
        <w:tblInd w:w="0" w:type="dxa"/>
        <w:tblBorders>
          <w:top w:val="single" w:color="000000" w:sz="6" w:space="0"/>
          <w:left w:val="single" w:color="000000" w:sz="6" w:space="0"/>
          <w:bottom w:val="single" w:color="000000" w:sz="6" w:space="0"/>
          <w:right w:val="single" w:color="000000" w:sz="6" w:space="0"/>
          <w:insideH w:val="single" w:color="000000" w:sz="6" w:space="0"/>
          <w:insideV w:val="single" w:color="000000" w:sz="6" w:space="0"/>
        </w:tblBorders>
        <w:tblLayout w:type="fixed"/>
        <w:tblCellMar>
          <w:top w:w="0" w:type="dxa"/>
          <w:left w:w="0" w:type="dxa"/>
          <w:bottom w:w="0" w:type="dxa"/>
          <w:right w:w="0" w:type="dxa"/>
        </w:tblCellMar>
      </w:tblPr>
      <w:tblGrid>
        <w:gridCol w:w="3036"/>
        <w:gridCol w:w="1618"/>
        <w:gridCol w:w="1618"/>
        <w:gridCol w:w="1626"/>
        <w:gridCol w:w="1618"/>
        <w:gridCol w:w="1623"/>
      </w:tblGrid>
      <w:tr w14:paraId="22F88AD5">
        <w:trPr>
          <w:trHeight w:val="416" w:hRule="atLeast"/>
        </w:trPr>
        <w:tc>
          <w:tcPr>
            <w:tcW w:w="3036" w:type="dxa"/>
            <w:vMerge w:val="restart"/>
            <w:tcBorders>
              <w:left w:val="nil"/>
            </w:tcBorders>
          </w:tcPr>
          <w:p w14:paraId="3A02E3D6">
            <w:pPr>
              <w:autoSpaceDE w:val="0"/>
              <w:autoSpaceDN w:val="0"/>
              <w:spacing w:line="400" w:lineRule="exact"/>
              <w:ind w:firstLine="482" w:firstLineChars="200"/>
              <w:rPr>
                <w:rFonts w:ascii="宋体" w:hAnsi="宋体" w:eastAsia="宋体" w:cs="华光书宋_CNKI"/>
                <w:kern w:val="0"/>
                <w:sz w:val="22"/>
                <w:szCs w:val="21"/>
                <w:lang w:val="zh-CN" w:eastAsia="en-US" w:bidi="zh-CN"/>
              </w:rPr>
            </w:pPr>
            <w:r>
              <w:rPr>
                <w:rFonts w:ascii="宋体" w:hAnsi="宋体" w:eastAsia="宋体" w:cs="华光书宋_CNKI"/>
                <w:w w:val="105"/>
                <w:kern w:val="0"/>
                <w:sz w:val="22"/>
                <w:szCs w:val="21"/>
                <w:lang w:val="zh-CN" w:eastAsia="en-US" w:bidi="zh-CN"/>
              </w:rPr>
              <w:t>生产方法</w:t>
            </w:r>
          </w:p>
        </w:tc>
        <w:tc>
          <w:tcPr>
            <w:tcW w:w="4862" w:type="dxa"/>
            <w:gridSpan w:val="3"/>
          </w:tcPr>
          <w:p w14:paraId="485EE716">
            <w:pPr>
              <w:tabs>
                <w:tab w:val="left" w:pos="1193"/>
              </w:tabs>
              <w:autoSpaceDE w:val="0"/>
              <w:autoSpaceDN w:val="0"/>
              <w:spacing w:line="400" w:lineRule="exact"/>
              <w:ind w:firstLine="482" w:firstLineChars="200"/>
              <w:rPr>
                <w:rFonts w:ascii="宋体" w:hAnsi="宋体" w:eastAsia="宋体" w:cs="华光书宋_CNKI"/>
                <w:kern w:val="0"/>
                <w:sz w:val="22"/>
                <w:szCs w:val="21"/>
                <w:lang w:val="zh-CN" w:eastAsia="en-US" w:bidi="zh-CN"/>
              </w:rPr>
            </w:pPr>
            <w:r>
              <w:rPr>
                <w:rFonts w:ascii="宋体" w:hAnsi="宋体" w:eastAsia="宋体" w:cs="华光书宋_CNKI"/>
                <w:w w:val="105"/>
                <w:kern w:val="0"/>
                <w:sz w:val="22"/>
                <w:szCs w:val="21"/>
                <w:lang w:val="zh-CN" w:eastAsia="en-US" w:bidi="zh-CN"/>
              </w:rPr>
              <w:t>投</w:t>
            </w:r>
            <w:r>
              <w:rPr>
                <w:rFonts w:ascii="宋体" w:hAnsi="宋体" w:eastAsia="宋体" w:cs="华光书宋_CNKI"/>
                <w:w w:val="105"/>
                <w:kern w:val="0"/>
                <w:sz w:val="22"/>
                <w:szCs w:val="21"/>
                <w:lang w:val="zh-CN" w:eastAsia="en-US" w:bidi="zh-CN"/>
              </w:rPr>
              <w:tab/>
            </w:r>
            <w:r>
              <w:rPr>
                <w:rFonts w:ascii="宋体" w:hAnsi="宋体" w:eastAsia="宋体" w:cs="华光书宋_CNKI"/>
                <w:w w:val="105"/>
                <w:kern w:val="0"/>
                <w:sz w:val="22"/>
                <w:szCs w:val="21"/>
                <w:lang w:val="zh-CN" w:eastAsia="en-US" w:bidi="zh-CN"/>
              </w:rPr>
              <w:t>入</w:t>
            </w:r>
          </w:p>
        </w:tc>
        <w:tc>
          <w:tcPr>
            <w:tcW w:w="3241" w:type="dxa"/>
            <w:gridSpan w:val="2"/>
            <w:tcBorders>
              <w:right w:val="nil"/>
            </w:tcBorders>
          </w:tcPr>
          <w:p w14:paraId="1893CF6C">
            <w:pPr>
              <w:tabs>
                <w:tab w:val="left" w:pos="873"/>
              </w:tabs>
              <w:autoSpaceDE w:val="0"/>
              <w:autoSpaceDN w:val="0"/>
              <w:spacing w:line="400" w:lineRule="exact"/>
              <w:ind w:firstLine="482" w:firstLineChars="200"/>
              <w:rPr>
                <w:rFonts w:ascii="宋体" w:hAnsi="宋体" w:eastAsia="宋体" w:cs="华光书宋_CNKI"/>
                <w:kern w:val="0"/>
                <w:sz w:val="22"/>
                <w:szCs w:val="21"/>
                <w:lang w:val="zh-CN" w:eastAsia="en-US" w:bidi="zh-CN"/>
              </w:rPr>
            </w:pPr>
            <w:r>
              <w:rPr>
                <w:rFonts w:ascii="宋体" w:hAnsi="宋体" w:eastAsia="宋体" w:cs="华光书宋_CNKI"/>
                <w:w w:val="105"/>
                <w:kern w:val="0"/>
                <w:sz w:val="22"/>
                <w:szCs w:val="21"/>
                <w:lang w:val="zh-CN" w:eastAsia="en-US" w:bidi="zh-CN"/>
              </w:rPr>
              <w:t>产</w:t>
            </w:r>
            <w:r>
              <w:rPr>
                <w:rFonts w:ascii="宋体" w:hAnsi="宋体" w:eastAsia="宋体" w:cs="华光书宋_CNKI"/>
                <w:w w:val="105"/>
                <w:kern w:val="0"/>
                <w:sz w:val="22"/>
                <w:szCs w:val="21"/>
                <w:lang w:val="zh-CN" w:eastAsia="en-US" w:bidi="zh-CN"/>
              </w:rPr>
              <w:tab/>
            </w:r>
            <w:r>
              <w:rPr>
                <w:rFonts w:ascii="宋体" w:hAnsi="宋体" w:eastAsia="宋体" w:cs="华光书宋_CNKI"/>
                <w:w w:val="105"/>
                <w:kern w:val="0"/>
                <w:sz w:val="22"/>
                <w:szCs w:val="21"/>
                <w:lang w:val="zh-CN" w:eastAsia="en-US" w:bidi="zh-CN"/>
              </w:rPr>
              <w:t>出</w:t>
            </w:r>
          </w:p>
        </w:tc>
      </w:tr>
      <w:tr w14:paraId="4FCDD608">
        <w:trPr>
          <w:trHeight w:val="777" w:hRule="atLeast"/>
        </w:trPr>
        <w:tc>
          <w:tcPr>
            <w:tcW w:w="3036" w:type="dxa"/>
            <w:vMerge w:val="continue"/>
            <w:tcBorders>
              <w:top w:val="nil"/>
              <w:left w:val="nil"/>
            </w:tcBorders>
          </w:tcPr>
          <w:p w14:paraId="0FD2188D">
            <w:pPr>
              <w:autoSpaceDE w:val="0"/>
              <w:autoSpaceDN w:val="0"/>
              <w:spacing w:line="400" w:lineRule="exact"/>
              <w:ind w:firstLine="460" w:firstLineChars="200"/>
              <w:rPr>
                <w:rFonts w:ascii="宋体" w:hAnsi="宋体" w:eastAsia="宋体" w:cs="华光书宋_CNKI"/>
                <w:kern w:val="0"/>
                <w:sz w:val="22"/>
                <w:szCs w:val="21"/>
                <w:lang w:val="zh-CN" w:eastAsia="en-US" w:bidi="zh-CN"/>
              </w:rPr>
            </w:pPr>
          </w:p>
        </w:tc>
        <w:tc>
          <w:tcPr>
            <w:tcW w:w="1618" w:type="dxa"/>
          </w:tcPr>
          <w:p w14:paraId="2FF5BBA8">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商品</w:t>
            </w:r>
            <w:r>
              <w:rPr>
                <w:rFonts w:hint="eastAsia" w:ascii="宋体" w:hAnsi="宋体" w:eastAsia="宋体" w:cs="华光书宋_CNKI"/>
                <w:w w:val="190"/>
                <w:kern w:val="0"/>
                <w:sz w:val="22"/>
                <w:szCs w:val="21"/>
                <w:lang w:val="zh-CN" w:eastAsia="en-US" w:bidi="zh-CN"/>
              </w:rPr>
              <w:t>1</w:t>
            </w:r>
          </w:p>
        </w:tc>
        <w:tc>
          <w:tcPr>
            <w:tcW w:w="1618" w:type="dxa"/>
          </w:tcPr>
          <w:p w14:paraId="5987C8E5">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商品</w:t>
            </w:r>
            <w:r>
              <w:rPr>
                <w:rFonts w:hint="eastAsia" w:ascii="宋体" w:hAnsi="宋体" w:eastAsia="宋体" w:cs="华光书宋_CNKI"/>
                <w:w w:val="190"/>
                <w:kern w:val="0"/>
                <w:sz w:val="22"/>
                <w:szCs w:val="21"/>
                <w:lang w:val="zh-CN" w:eastAsia="en-US" w:bidi="zh-CN"/>
              </w:rPr>
              <w:t>2</w:t>
            </w:r>
          </w:p>
        </w:tc>
        <w:tc>
          <w:tcPr>
            <w:tcW w:w="1626" w:type="dxa"/>
          </w:tcPr>
          <w:p w14:paraId="3967CA07">
            <w:pPr>
              <w:autoSpaceDE w:val="0"/>
              <w:autoSpaceDN w:val="0"/>
              <w:spacing w:line="400" w:lineRule="exact"/>
              <w:ind w:firstLine="460" w:firstLineChars="200"/>
              <w:rPr>
                <w:rFonts w:ascii="宋体" w:hAnsi="宋体" w:eastAsia="宋体" w:cs="华光书宋_CNKI"/>
                <w:kern w:val="0"/>
                <w:sz w:val="22"/>
                <w:szCs w:val="21"/>
                <w:lang w:val="zh-CN" w:eastAsia="en-US" w:bidi="zh-CN"/>
              </w:rPr>
            </w:pPr>
            <w:r>
              <w:rPr>
                <w:rFonts w:ascii="宋体" w:hAnsi="宋体" w:eastAsia="宋体" w:cs="华光书宋_CNKI"/>
                <w:kern w:val="0"/>
                <w:sz w:val="22"/>
                <w:szCs w:val="21"/>
                <w:lang w:val="zh-CN" w:eastAsia="en-US" w:bidi="zh-CN"/>
              </w:rPr>
              <w:t>劳动</w:t>
            </w:r>
          </w:p>
        </w:tc>
        <w:tc>
          <w:tcPr>
            <w:tcW w:w="1618" w:type="dxa"/>
          </w:tcPr>
          <w:p w14:paraId="7D25C3D9">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商品</w:t>
            </w:r>
            <w:r>
              <w:rPr>
                <w:rFonts w:hint="eastAsia" w:ascii="宋体" w:hAnsi="宋体" w:eastAsia="宋体" w:cs="华光书宋_CNKI"/>
                <w:w w:val="190"/>
                <w:kern w:val="0"/>
                <w:sz w:val="22"/>
                <w:szCs w:val="21"/>
                <w:lang w:val="zh-CN" w:eastAsia="en-US" w:bidi="zh-CN"/>
              </w:rPr>
              <w:t>1</w:t>
            </w:r>
          </w:p>
        </w:tc>
        <w:tc>
          <w:tcPr>
            <w:tcW w:w="1623" w:type="dxa"/>
            <w:tcBorders>
              <w:right w:val="nil"/>
            </w:tcBorders>
          </w:tcPr>
          <w:p w14:paraId="443A404B">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商品</w:t>
            </w:r>
            <w:r>
              <w:rPr>
                <w:rFonts w:hint="eastAsia" w:ascii="宋体" w:hAnsi="宋体" w:eastAsia="宋体" w:cs="华光书宋_CNKI"/>
                <w:w w:val="190"/>
                <w:kern w:val="0"/>
                <w:sz w:val="22"/>
                <w:szCs w:val="21"/>
                <w:lang w:val="zh-CN" w:eastAsia="en-US" w:bidi="zh-CN"/>
              </w:rPr>
              <w:t>2</w:t>
            </w:r>
          </w:p>
        </w:tc>
      </w:tr>
      <w:tr w14:paraId="2CA6B3A6">
        <w:trPr>
          <w:trHeight w:val="728" w:hRule="atLeast"/>
        </w:trPr>
        <w:tc>
          <w:tcPr>
            <w:tcW w:w="3036" w:type="dxa"/>
            <w:tcBorders>
              <w:left w:val="nil"/>
            </w:tcBorders>
          </w:tcPr>
          <w:p w14:paraId="2E12D47B">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生产过程</w:t>
            </w:r>
            <w:r>
              <w:rPr>
                <w:rFonts w:hint="eastAsia" w:ascii="宋体" w:hAnsi="宋体" w:eastAsia="宋体" w:cs="华光书宋_CNKI"/>
                <w:w w:val="190"/>
                <w:kern w:val="0"/>
                <w:sz w:val="22"/>
                <w:szCs w:val="21"/>
                <w:lang w:val="zh-CN" w:eastAsia="en-US" w:bidi="zh-CN"/>
              </w:rPr>
              <w:t>1</w:t>
            </w:r>
          </w:p>
        </w:tc>
        <w:tc>
          <w:tcPr>
            <w:tcW w:w="1618" w:type="dxa"/>
          </w:tcPr>
          <w:p w14:paraId="151A3910">
            <w:pPr>
              <w:autoSpaceDE w:val="0"/>
              <w:autoSpaceDN w:val="0"/>
              <w:spacing w:line="400" w:lineRule="exact"/>
              <w:ind w:firstLine="614" w:firstLineChars="200"/>
              <w:rPr>
                <w:rFonts w:ascii="宋体" w:hAnsi="宋体" w:eastAsia="宋体" w:cs="华光书宋_CNKI"/>
                <w:kern w:val="0"/>
                <w:sz w:val="22"/>
                <w:szCs w:val="21"/>
                <w:lang w:val="zh-CN" w:eastAsia="en-US" w:bidi="zh-CN"/>
              </w:rPr>
            </w:pPr>
            <w:r>
              <w:rPr>
                <w:rFonts w:ascii="宋体" w:hAnsi="宋体" w:eastAsia="宋体" w:cs="华光书宋_CNKI"/>
                <w:spacing w:val="-77"/>
                <w:w w:val="205"/>
                <w:kern w:val="0"/>
                <w:sz w:val="22"/>
                <w:szCs w:val="21"/>
                <w:lang w:val="zh-CN" w:eastAsia="en-US" w:bidi="zh-CN"/>
              </w:rPr>
              <w:t>2</w:t>
            </w:r>
            <w:r>
              <w:rPr>
                <w:rFonts w:ascii="宋体" w:hAnsi="宋体" w:eastAsia="宋体" w:cs="华光书宋_CNKI"/>
                <w:w w:val="205"/>
                <w:kern w:val="0"/>
                <w:sz w:val="22"/>
                <w:szCs w:val="21"/>
                <w:lang w:val="zh-CN" w:eastAsia="en-US" w:bidi="zh-CN"/>
              </w:rPr>
              <w:t>5</w:t>
            </w:r>
          </w:p>
        </w:tc>
        <w:tc>
          <w:tcPr>
            <w:tcW w:w="1618" w:type="dxa"/>
          </w:tcPr>
          <w:p w14:paraId="303A0E48">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0</w:t>
            </w:r>
          </w:p>
        </w:tc>
        <w:tc>
          <w:tcPr>
            <w:tcW w:w="1626" w:type="dxa"/>
          </w:tcPr>
          <w:p w14:paraId="3E1F6B2A">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5</w:t>
            </w:r>
          </w:p>
        </w:tc>
        <w:tc>
          <w:tcPr>
            <w:tcW w:w="1618" w:type="dxa"/>
          </w:tcPr>
          <w:p w14:paraId="46E8D690">
            <w:pPr>
              <w:autoSpaceDE w:val="0"/>
              <w:autoSpaceDN w:val="0"/>
              <w:spacing w:line="400" w:lineRule="exact"/>
              <w:ind w:firstLine="614" w:firstLineChars="200"/>
              <w:rPr>
                <w:rFonts w:ascii="宋体" w:hAnsi="宋体" w:eastAsia="宋体" w:cs="华光书宋_CNKI"/>
                <w:kern w:val="0"/>
                <w:sz w:val="22"/>
                <w:szCs w:val="21"/>
                <w:lang w:val="zh-CN" w:eastAsia="en-US" w:bidi="zh-CN"/>
              </w:rPr>
            </w:pPr>
            <w:r>
              <w:rPr>
                <w:rFonts w:ascii="宋体" w:hAnsi="宋体" w:eastAsia="宋体" w:cs="华光书宋_CNKI"/>
                <w:spacing w:val="-77"/>
                <w:w w:val="205"/>
                <w:kern w:val="0"/>
                <w:sz w:val="22"/>
                <w:szCs w:val="21"/>
                <w:lang w:val="zh-CN" w:eastAsia="en-US" w:bidi="zh-CN"/>
              </w:rPr>
              <w:t>3</w:t>
            </w:r>
            <w:r>
              <w:rPr>
                <w:rFonts w:ascii="宋体" w:hAnsi="宋体" w:eastAsia="宋体" w:cs="华光书宋_CNKI"/>
                <w:w w:val="205"/>
                <w:kern w:val="0"/>
                <w:sz w:val="22"/>
                <w:szCs w:val="21"/>
                <w:lang w:val="zh-CN" w:eastAsia="en-US" w:bidi="zh-CN"/>
              </w:rPr>
              <w:t>0</w:t>
            </w:r>
          </w:p>
        </w:tc>
        <w:tc>
          <w:tcPr>
            <w:tcW w:w="1623" w:type="dxa"/>
            <w:tcBorders>
              <w:right w:val="nil"/>
            </w:tcBorders>
          </w:tcPr>
          <w:p w14:paraId="42626355">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5</w:t>
            </w:r>
          </w:p>
        </w:tc>
      </w:tr>
      <w:tr w14:paraId="30905A3F">
        <w:trPr>
          <w:trHeight w:val="728" w:hRule="atLeast"/>
        </w:trPr>
        <w:tc>
          <w:tcPr>
            <w:tcW w:w="3036" w:type="dxa"/>
            <w:tcBorders>
              <w:left w:val="nil"/>
            </w:tcBorders>
          </w:tcPr>
          <w:p w14:paraId="62EB1C68">
            <w:pPr>
              <w:autoSpaceDE w:val="0"/>
              <w:autoSpaceDN w:val="0"/>
              <w:spacing w:line="400" w:lineRule="exact"/>
              <w:ind w:firstLine="526" w:firstLineChars="200"/>
              <w:rPr>
                <w:rFonts w:ascii="宋体" w:hAnsi="宋体" w:eastAsia="宋体" w:cs="华光书宋_CNKI"/>
                <w:kern w:val="0"/>
                <w:sz w:val="22"/>
                <w:szCs w:val="21"/>
                <w:lang w:val="zh-CN" w:eastAsia="en-US" w:bidi="zh-CN"/>
              </w:rPr>
            </w:pPr>
            <w:r>
              <w:rPr>
                <w:rFonts w:ascii="宋体" w:hAnsi="宋体" w:eastAsia="宋体" w:cs="华光书宋_CNKI"/>
                <w:w w:val="115"/>
                <w:kern w:val="0"/>
                <w:sz w:val="22"/>
                <w:szCs w:val="21"/>
                <w:lang w:val="zh-CN" w:eastAsia="en-US" w:bidi="zh-CN"/>
              </w:rPr>
              <w:t>生产过程</w:t>
            </w:r>
            <w:r>
              <w:rPr>
                <w:rFonts w:hint="eastAsia" w:ascii="宋体" w:hAnsi="宋体" w:eastAsia="宋体" w:cs="华光书宋_CNKI"/>
                <w:w w:val="190"/>
                <w:kern w:val="0"/>
                <w:sz w:val="22"/>
                <w:szCs w:val="21"/>
                <w:lang w:val="zh-CN" w:eastAsia="en-US" w:bidi="zh-CN"/>
              </w:rPr>
              <w:t>2</w:t>
            </w:r>
          </w:p>
        </w:tc>
        <w:tc>
          <w:tcPr>
            <w:tcW w:w="1618" w:type="dxa"/>
          </w:tcPr>
          <w:p w14:paraId="0BA03615">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0</w:t>
            </w:r>
          </w:p>
        </w:tc>
        <w:tc>
          <w:tcPr>
            <w:tcW w:w="1618" w:type="dxa"/>
          </w:tcPr>
          <w:p w14:paraId="08732E23">
            <w:pPr>
              <w:autoSpaceDE w:val="0"/>
              <w:autoSpaceDN w:val="0"/>
              <w:spacing w:line="400" w:lineRule="exact"/>
              <w:ind w:firstLine="614" w:firstLineChars="200"/>
              <w:rPr>
                <w:rFonts w:ascii="宋体" w:hAnsi="宋体" w:eastAsia="宋体" w:cs="华光书宋_CNKI"/>
                <w:kern w:val="0"/>
                <w:sz w:val="22"/>
                <w:szCs w:val="21"/>
                <w:lang w:val="zh-CN" w:eastAsia="en-US" w:bidi="zh-CN"/>
              </w:rPr>
            </w:pPr>
            <w:r>
              <w:rPr>
                <w:rFonts w:ascii="宋体" w:hAnsi="宋体" w:eastAsia="宋体" w:cs="华光书宋_CNKI"/>
                <w:spacing w:val="-77"/>
                <w:w w:val="205"/>
                <w:kern w:val="0"/>
                <w:sz w:val="22"/>
                <w:szCs w:val="21"/>
                <w:lang w:val="zh-CN" w:eastAsia="en-US" w:bidi="zh-CN"/>
              </w:rPr>
              <w:t>1</w:t>
            </w:r>
            <w:r>
              <w:rPr>
                <w:rFonts w:ascii="宋体" w:hAnsi="宋体" w:eastAsia="宋体" w:cs="华光书宋_CNKI"/>
                <w:w w:val="205"/>
                <w:kern w:val="0"/>
                <w:sz w:val="22"/>
                <w:szCs w:val="21"/>
                <w:lang w:val="zh-CN" w:eastAsia="en-US" w:bidi="zh-CN"/>
              </w:rPr>
              <w:t>0</w:t>
            </w:r>
          </w:p>
        </w:tc>
        <w:tc>
          <w:tcPr>
            <w:tcW w:w="1626" w:type="dxa"/>
          </w:tcPr>
          <w:p w14:paraId="46A43B22">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1</w:t>
            </w:r>
          </w:p>
        </w:tc>
        <w:tc>
          <w:tcPr>
            <w:tcW w:w="1618" w:type="dxa"/>
          </w:tcPr>
          <w:p w14:paraId="33F69785">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3</w:t>
            </w:r>
          </w:p>
        </w:tc>
        <w:tc>
          <w:tcPr>
            <w:tcW w:w="1623" w:type="dxa"/>
            <w:tcBorders>
              <w:right w:val="nil"/>
            </w:tcBorders>
          </w:tcPr>
          <w:p w14:paraId="1DE18891">
            <w:pPr>
              <w:autoSpaceDE w:val="0"/>
              <w:autoSpaceDN w:val="0"/>
              <w:spacing w:line="400" w:lineRule="exact"/>
              <w:ind w:firstLine="614" w:firstLineChars="200"/>
              <w:rPr>
                <w:rFonts w:ascii="宋体" w:hAnsi="宋体" w:eastAsia="宋体" w:cs="华光书宋_CNKI"/>
                <w:kern w:val="0"/>
                <w:sz w:val="22"/>
                <w:szCs w:val="21"/>
                <w:lang w:val="zh-CN" w:eastAsia="en-US" w:bidi="zh-CN"/>
              </w:rPr>
            </w:pPr>
            <w:r>
              <w:rPr>
                <w:rFonts w:ascii="宋体" w:hAnsi="宋体" w:eastAsia="宋体" w:cs="华光书宋_CNKI"/>
                <w:spacing w:val="-77"/>
                <w:w w:val="205"/>
                <w:kern w:val="0"/>
                <w:sz w:val="22"/>
                <w:szCs w:val="21"/>
                <w:lang w:val="zh-CN" w:eastAsia="en-US" w:bidi="zh-CN"/>
              </w:rPr>
              <w:t>1</w:t>
            </w:r>
            <w:r>
              <w:rPr>
                <w:rFonts w:ascii="宋体" w:hAnsi="宋体" w:eastAsia="宋体" w:cs="华光书宋_CNKI"/>
                <w:w w:val="205"/>
                <w:kern w:val="0"/>
                <w:sz w:val="22"/>
                <w:szCs w:val="21"/>
                <w:lang w:val="zh-CN" w:eastAsia="en-US" w:bidi="zh-CN"/>
              </w:rPr>
              <w:t>2</w:t>
            </w:r>
          </w:p>
        </w:tc>
      </w:tr>
      <w:tr w14:paraId="7B00227D">
        <w:trPr>
          <w:trHeight w:val="797" w:hRule="atLeast"/>
        </w:trPr>
        <w:tc>
          <w:tcPr>
            <w:tcW w:w="3036" w:type="dxa"/>
            <w:tcBorders>
              <w:left w:val="nil"/>
            </w:tcBorders>
          </w:tcPr>
          <w:p w14:paraId="04B2470E">
            <w:pPr>
              <w:tabs>
                <w:tab w:val="left" w:pos="493"/>
              </w:tabs>
              <w:autoSpaceDE w:val="0"/>
              <w:autoSpaceDN w:val="0"/>
              <w:spacing w:line="400" w:lineRule="exact"/>
              <w:ind w:firstLine="482" w:firstLineChars="200"/>
              <w:rPr>
                <w:rFonts w:ascii="宋体" w:hAnsi="宋体" w:eastAsia="宋体" w:cs="华光书宋_CNKI"/>
                <w:kern w:val="0"/>
                <w:sz w:val="22"/>
                <w:szCs w:val="21"/>
                <w:lang w:val="zh-CN" w:eastAsia="en-US" w:bidi="zh-CN"/>
              </w:rPr>
            </w:pPr>
            <w:r>
              <w:rPr>
                <w:rFonts w:ascii="宋体" w:hAnsi="宋体" w:eastAsia="宋体" w:cs="华光书宋_CNKI"/>
                <w:w w:val="105"/>
                <w:kern w:val="0"/>
                <w:sz w:val="22"/>
                <w:szCs w:val="21"/>
                <w:lang w:val="zh-CN" w:eastAsia="en-US" w:bidi="zh-CN"/>
              </w:rPr>
              <w:t>总</w:t>
            </w:r>
            <w:r>
              <w:rPr>
                <w:rFonts w:ascii="宋体" w:hAnsi="宋体" w:eastAsia="宋体" w:cs="华光书宋_CNKI"/>
                <w:w w:val="105"/>
                <w:kern w:val="0"/>
                <w:sz w:val="22"/>
                <w:szCs w:val="21"/>
                <w:lang w:val="zh-CN" w:eastAsia="en-US" w:bidi="zh-CN"/>
              </w:rPr>
              <w:tab/>
            </w:r>
            <w:r>
              <w:rPr>
                <w:rFonts w:ascii="宋体" w:hAnsi="宋体" w:eastAsia="宋体" w:cs="华光书宋_CNKI"/>
                <w:w w:val="105"/>
                <w:kern w:val="0"/>
                <w:sz w:val="22"/>
                <w:szCs w:val="21"/>
                <w:lang w:val="zh-CN" w:eastAsia="en-US" w:bidi="zh-CN"/>
              </w:rPr>
              <w:t>计</w:t>
            </w:r>
          </w:p>
        </w:tc>
        <w:tc>
          <w:tcPr>
            <w:tcW w:w="1618" w:type="dxa"/>
          </w:tcPr>
          <w:p w14:paraId="7F68746A">
            <w:pPr>
              <w:autoSpaceDE w:val="0"/>
              <w:autoSpaceDN w:val="0"/>
              <w:spacing w:line="400" w:lineRule="exact"/>
              <w:ind w:firstLine="614" w:firstLineChars="200"/>
              <w:rPr>
                <w:rFonts w:ascii="宋体" w:hAnsi="宋体" w:eastAsia="宋体" w:cs="华光书宋_CNKI"/>
                <w:kern w:val="0"/>
                <w:sz w:val="22"/>
                <w:szCs w:val="21"/>
                <w:lang w:val="zh-CN" w:eastAsia="en-US" w:bidi="zh-CN"/>
              </w:rPr>
            </w:pPr>
            <w:r>
              <w:rPr>
                <w:rFonts w:ascii="宋体" w:hAnsi="宋体" w:eastAsia="宋体" w:cs="华光书宋_CNKI"/>
                <w:spacing w:val="-77"/>
                <w:w w:val="205"/>
                <w:kern w:val="0"/>
                <w:sz w:val="22"/>
                <w:szCs w:val="21"/>
                <w:lang w:val="zh-CN" w:eastAsia="en-US" w:bidi="zh-CN"/>
              </w:rPr>
              <w:t>2</w:t>
            </w:r>
            <w:r>
              <w:rPr>
                <w:rFonts w:ascii="宋体" w:hAnsi="宋体" w:eastAsia="宋体" w:cs="华光书宋_CNKI"/>
                <w:w w:val="205"/>
                <w:kern w:val="0"/>
                <w:sz w:val="22"/>
                <w:szCs w:val="21"/>
                <w:lang w:val="zh-CN" w:eastAsia="en-US" w:bidi="zh-CN"/>
              </w:rPr>
              <w:t>5</w:t>
            </w:r>
          </w:p>
        </w:tc>
        <w:tc>
          <w:tcPr>
            <w:tcW w:w="1618" w:type="dxa"/>
          </w:tcPr>
          <w:p w14:paraId="47271864">
            <w:pPr>
              <w:autoSpaceDE w:val="0"/>
              <w:autoSpaceDN w:val="0"/>
              <w:spacing w:line="400" w:lineRule="exact"/>
              <w:ind w:firstLine="614" w:firstLineChars="200"/>
              <w:rPr>
                <w:rFonts w:ascii="宋体" w:hAnsi="宋体" w:eastAsia="宋体" w:cs="华光书宋_CNKI"/>
                <w:kern w:val="0"/>
                <w:sz w:val="22"/>
                <w:szCs w:val="21"/>
                <w:lang w:val="zh-CN" w:eastAsia="en-US" w:bidi="zh-CN"/>
              </w:rPr>
            </w:pPr>
            <w:r>
              <w:rPr>
                <w:rFonts w:ascii="宋体" w:hAnsi="宋体" w:eastAsia="宋体" w:cs="华光书宋_CNKI"/>
                <w:spacing w:val="-77"/>
                <w:w w:val="205"/>
                <w:kern w:val="0"/>
                <w:sz w:val="22"/>
                <w:szCs w:val="21"/>
                <w:lang w:val="zh-CN" w:eastAsia="en-US" w:bidi="zh-CN"/>
              </w:rPr>
              <w:t>1</w:t>
            </w:r>
            <w:r>
              <w:rPr>
                <w:rFonts w:ascii="宋体" w:hAnsi="宋体" w:eastAsia="宋体" w:cs="华光书宋_CNKI"/>
                <w:w w:val="205"/>
                <w:kern w:val="0"/>
                <w:sz w:val="22"/>
                <w:szCs w:val="21"/>
                <w:lang w:val="zh-CN" w:eastAsia="en-US" w:bidi="zh-CN"/>
              </w:rPr>
              <w:t>0</w:t>
            </w:r>
          </w:p>
        </w:tc>
        <w:tc>
          <w:tcPr>
            <w:tcW w:w="1626" w:type="dxa"/>
          </w:tcPr>
          <w:p w14:paraId="2328F02A">
            <w:pPr>
              <w:autoSpaceDE w:val="0"/>
              <w:autoSpaceDN w:val="0"/>
              <w:spacing w:line="400" w:lineRule="exact"/>
              <w:ind w:firstLine="922" w:firstLineChars="200"/>
              <w:rPr>
                <w:rFonts w:ascii="宋体" w:hAnsi="宋体" w:eastAsia="宋体" w:cs="华光书宋_CNKI"/>
                <w:kern w:val="0"/>
                <w:sz w:val="22"/>
                <w:szCs w:val="21"/>
                <w:lang w:val="zh-CN" w:eastAsia="en-US" w:bidi="zh-CN"/>
              </w:rPr>
            </w:pPr>
            <w:r>
              <w:rPr>
                <w:rFonts w:ascii="宋体" w:hAnsi="宋体" w:eastAsia="宋体" w:cs="华光书宋_CNKI"/>
                <w:w w:val="205"/>
                <w:kern w:val="0"/>
                <w:sz w:val="22"/>
                <w:szCs w:val="21"/>
                <w:lang w:val="zh-CN" w:eastAsia="en-US" w:bidi="zh-CN"/>
              </w:rPr>
              <w:t>6</w:t>
            </w:r>
          </w:p>
        </w:tc>
        <w:tc>
          <w:tcPr>
            <w:tcW w:w="1618" w:type="dxa"/>
          </w:tcPr>
          <w:p w14:paraId="276B6303">
            <w:pPr>
              <w:autoSpaceDE w:val="0"/>
              <w:autoSpaceDN w:val="0"/>
              <w:spacing w:line="400" w:lineRule="exact"/>
              <w:ind w:firstLine="922" w:firstLineChars="200"/>
              <w:rPr>
                <w:rFonts w:ascii="宋体" w:hAnsi="宋体" w:eastAsia="宋体" w:cs="华光书宋_CNKI"/>
                <w:b/>
                <w:kern w:val="0"/>
                <w:sz w:val="22"/>
                <w:szCs w:val="21"/>
                <w:lang w:val="zh-CN" w:eastAsia="en-US" w:bidi="zh-CN"/>
              </w:rPr>
            </w:pPr>
            <w:r>
              <w:rPr>
                <w:rFonts w:ascii="宋体" w:hAnsi="宋体" w:eastAsia="宋体" w:cs="华光书宋_CNKI"/>
                <w:b/>
                <w:w w:val="205"/>
                <w:kern w:val="0"/>
                <w:sz w:val="22"/>
                <w:szCs w:val="21"/>
                <w:lang w:val="zh-CN" w:eastAsia="en-US" w:bidi="zh-CN"/>
              </w:rPr>
              <w:t>3</w:t>
            </w:r>
          </w:p>
        </w:tc>
        <w:tc>
          <w:tcPr>
            <w:tcW w:w="1623" w:type="dxa"/>
            <w:tcBorders>
              <w:right w:val="nil"/>
            </w:tcBorders>
          </w:tcPr>
          <w:p w14:paraId="4F4BAF49">
            <w:pPr>
              <w:autoSpaceDE w:val="0"/>
              <w:autoSpaceDN w:val="0"/>
              <w:spacing w:line="400" w:lineRule="exact"/>
              <w:ind w:firstLine="614" w:firstLineChars="200"/>
              <w:rPr>
                <w:rFonts w:ascii="宋体" w:hAnsi="宋体" w:eastAsia="宋体" w:cs="华光书宋_CNKI"/>
                <w:kern w:val="0"/>
                <w:sz w:val="22"/>
                <w:szCs w:val="21"/>
                <w:lang w:val="zh-CN" w:eastAsia="en-US" w:bidi="zh-CN"/>
              </w:rPr>
            </w:pPr>
            <w:r>
              <w:rPr>
                <w:rFonts w:ascii="宋体" w:hAnsi="宋体" w:eastAsia="宋体" w:cs="华光书宋_CNKI"/>
                <w:spacing w:val="-77"/>
                <w:w w:val="205"/>
                <w:kern w:val="0"/>
                <w:sz w:val="22"/>
                <w:szCs w:val="21"/>
                <w:lang w:val="zh-CN" w:eastAsia="en-US" w:bidi="zh-CN"/>
              </w:rPr>
              <w:t>1</w:t>
            </w:r>
            <w:r>
              <w:rPr>
                <w:rFonts w:ascii="宋体" w:hAnsi="宋体" w:eastAsia="宋体" w:cs="华光书宋_CNKI"/>
                <w:w w:val="205"/>
                <w:kern w:val="0"/>
                <w:sz w:val="22"/>
                <w:szCs w:val="21"/>
                <w:lang w:val="zh-CN" w:eastAsia="en-US" w:bidi="zh-CN"/>
              </w:rPr>
              <w:t>7</w:t>
            </w:r>
          </w:p>
        </w:tc>
      </w:tr>
    </w:tbl>
    <w:p w14:paraId="2D5FF6E6">
      <w:pPr>
        <w:autoSpaceDE w:val="0"/>
        <w:autoSpaceDN w:val="0"/>
        <w:spacing w:line="400" w:lineRule="exact"/>
        <w:ind w:firstLine="440" w:firstLineChars="200"/>
        <w:rPr>
          <w:rFonts w:ascii="宋体" w:hAnsi="宋体" w:eastAsia="宋体" w:cs="华光书宋_CNKI"/>
          <w:kern w:val="0"/>
          <w:szCs w:val="21"/>
          <w:lang w:val="zh-CN" w:bidi="zh-CN"/>
        </w:rPr>
      </w:pPr>
    </w:p>
    <w:p w14:paraId="74A94D85">
      <w:pPr>
        <w:autoSpaceDE w:val="0"/>
        <w:autoSpaceDN w:val="0"/>
        <w:spacing w:line="400" w:lineRule="exact"/>
        <w:ind w:firstLine="440" w:firstLineChars="200"/>
        <w:rPr>
          <w:rFonts w:ascii="宋体" w:hAnsi="宋体" w:eastAsia="宋体" w:cs="华光书宋_CNKI"/>
          <w:kern w:val="0"/>
          <w:szCs w:val="21"/>
          <w:lang w:val="zh-CN" w:bidi="zh-CN"/>
        </w:rPr>
      </w:pPr>
    </w:p>
    <w:p w14:paraId="447EC248">
      <w:pPr>
        <w:autoSpaceDE w:val="0"/>
        <w:autoSpaceDN w:val="0"/>
        <w:spacing w:line="400" w:lineRule="exact"/>
        <w:ind w:firstLine="440" w:firstLineChars="200"/>
        <w:rPr>
          <w:rFonts w:ascii="宋体" w:hAnsi="宋体" w:eastAsia="宋体" w:cs="华光书宋_CNKI"/>
          <w:kern w:val="0"/>
          <w:szCs w:val="21"/>
          <w:lang w:val="zh-CN" w:bidi="zh-CN"/>
        </w:rPr>
      </w:pPr>
    </w:p>
    <w:p w14:paraId="1C2B85CF">
      <w:pPr>
        <w:autoSpaceDE w:val="0"/>
        <w:autoSpaceDN w:val="0"/>
        <w:spacing w:line="400" w:lineRule="exact"/>
        <w:ind w:firstLine="440" w:firstLineChars="200"/>
        <w:rPr>
          <w:rFonts w:ascii="宋体" w:hAnsi="宋体" w:eastAsia="宋体" w:cs="华光书宋_CNKI"/>
          <w:kern w:val="0"/>
          <w:szCs w:val="21"/>
          <w:lang w:val="zh-CN" w:bidi="zh-CN"/>
        </w:rPr>
      </w:pPr>
    </w:p>
    <w:p w14:paraId="3DFE24B7">
      <w:pPr>
        <w:autoSpaceDE w:val="0"/>
        <w:autoSpaceDN w:val="0"/>
        <w:spacing w:line="400" w:lineRule="exact"/>
        <w:ind w:firstLine="440" w:firstLineChars="200"/>
        <w:rPr>
          <w:rFonts w:ascii="宋体" w:hAnsi="宋体" w:eastAsia="宋体" w:cs="华光书宋_CNKI"/>
          <w:kern w:val="0"/>
          <w:szCs w:val="21"/>
          <w:lang w:val="zh-CN" w:bidi="zh-CN"/>
        </w:rPr>
      </w:pPr>
    </w:p>
    <w:p w14:paraId="54214523">
      <w:pPr>
        <w:autoSpaceDE w:val="0"/>
        <w:autoSpaceDN w:val="0"/>
        <w:spacing w:line="400" w:lineRule="exact"/>
        <w:ind w:firstLine="440" w:firstLineChars="200"/>
        <w:rPr>
          <w:rFonts w:ascii="宋体" w:hAnsi="宋体" w:eastAsia="宋体" w:cs="华光书宋_CNKI"/>
          <w:kern w:val="0"/>
          <w:szCs w:val="21"/>
          <w:lang w:val="zh-CN" w:bidi="zh-CN"/>
        </w:rPr>
      </w:pPr>
    </w:p>
    <w:p w14:paraId="36624C15">
      <w:pPr>
        <w:autoSpaceDE w:val="0"/>
        <w:autoSpaceDN w:val="0"/>
        <w:spacing w:line="400" w:lineRule="exact"/>
        <w:ind w:firstLine="440" w:firstLineChars="200"/>
        <w:rPr>
          <w:rFonts w:ascii="宋体" w:hAnsi="宋体" w:eastAsia="宋体" w:cs="华光书宋_CNKI"/>
          <w:kern w:val="0"/>
          <w:szCs w:val="21"/>
          <w:lang w:val="zh-CN" w:bidi="zh-CN"/>
        </w:rPr>
      </w:pPr>
    </w:p>
    <w:p w14:paraId="3580400B">
      <w:pPr>
        <w:autoSpaceDE w:val="0"/>
        <w:autoSpaceDN w:val="0"/>
        <w:spacing w:line="400" w:lineRule="exact"/>
        <w:ind w:firstLine="440" w:firstLineChars="200"/>
        <w:rPr>
          <w:rFonts w:ascii="宋体" w:hAnsi="宋体" w:eastAsia="宋体" w:cs="华光书宋_CNKI"/>
          <w:kern w:val="0"/>
          <w:szCs w:val="21"/>
          <w:lang w:val="zh-CN" w:bidi="zh-CN"/>
        </w:rPr>
      </w:pPr>
    </w:p>
    <w:p w14:paraId="58431195">
      <w:pPr>
        <w:autoSpaceDE w:val="0"/>
        <w:autoSpaceDN w:val="0"/>
        <w:spacing w:line="400" w:lineRule="exact"/>
        <w:ind w:firstLine="440" w:firstLineChars="200"/>
        <w:rPr>
          <w:rFonts w:ascii="宋体" w:hAnsi="宋体" w:eastAsia="宋体" w:cs="华光书宋_CNKI"/>
          <w:kern w:val="0"/>
          <w:szCs w:val="21"/>
          <w:lang w:val="zh-CN" w:bidi="zh-CN"/>
        </w:rPr>
      </w:pPr>
    </w:p>
    <w:p w14:paraId="4DE6C76D">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从表</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可以看出</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社会净产品是</w:t>
      </w:r>
      <w:r>
        <w:rPr>
          <w:rFonts w:hint="eastAsia" w:ascii="宋体" w:hAnsi="宋体" w:eastAsia="宋体" w:cs="HGBZ_CNKI"/>
          <w:kern w:val="0"/>
          <w:szCs w:val="21"/>
          <w:lang w:val="zh-CN" w:bidi="zh-CN"/>
        </w:rPr>
        <w:t>8</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和</w:t>
      </w:r>
      <w:r>
        <w:rPr>
          <w:rFonts w:hint="eastAsia" w:ascii="宋体" w:hAnsi="宋体" w:eastAsia="宋体" w:cs="HGBZ_CNKI"/>
          <w:kern w:val="0"/>
          <w:szCs w:val="21"/>
          <w:lang w:val="zh-CN" w:bidi="zh-CN"/>
        </w:rPr>
        <w:t>7</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2</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扣去作为实际工资的</w:t>
      </w:r>
      <w:r>
        <w:rPr>
          <w:rFonts w:hint="eastAsia" w:ascii="宋体" w:hAnsi="宋体" w:eastAsia="宋体" w:cs="HGBZ_CNKI"/>
          <w:kern w:val="0"/>
          <w:szCs w:val="21"/>
          <w:lang w:val="zh-CN" w:bidi="zh-CN"/>
        </w:rPr>
        <w:t>3</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和</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2</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资本家获得的净产品是</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和</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根据表</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可以计算商品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和</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的价值Ｌ</w:t>
      </w:r>
      <w:r>
        <w:rPr>
          <w:rFonts w:hint="eastAsia" w:ascii="宋体" w:hAnsi="宋体" w:eastAsia="宋体" w:cs="HGBZ_CNKI"/>
          <w:kern w:val="0"/>
          <w:position w:val="-2"/>
          <w:szCs w:val="21"/>
          <w:lang w:val="zh-CN" w:bidi="zh-CN"/>
        </w:rPr>
        <w:t>1</w:t>
      </w:r>
      <w:r>
        <w:rPr>
          <w:rFonts w:ascii="宋体" w:hAnsi="宋体" w:eastAsia="宋体" w:cs="华光书宋_CNKI"/>
          <w:kern w:val="0"/>
          <w:szCs w:val="21"/>
          <w:lang w:val="zh-CN" w:bidi="zh-CN"/>
        </w:rPr>
        <w:t>和Ｌ</w:t>
      </w:r>
      <w:r>
        <w:rPr>
          <w:rFonts w:hint="eastAsia" w:ascii="宋体" w:hAnsi="宋体" w:eastAsia="宋体" w:cs="HGBZ_CNKI"/>
          <w:kern w:val="0"/>
          <w:position w:val="-2"/>
          <w:szCs w:val="21"/>
          <w:lang w:val="zh-CN" w:bidi="zh-CN"/>
        </w:rPr>
        <w:t>2</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决定Ｌ</w:t>
      </w:r>
      <w:r>
        <w:rPr>
          <w:rFonts w:hint="eastAsia" w:ascii="宋体" w:hAnsi="宋体" w:eastAsia="宋体" w:cs="HGBZ_CNKI"/>
          <w:kern w:val="0"/>
          <w:position w:val="-2"/>
          <w:szCs w:val="21"/>
          <w:lang w:val="zh-CN" w:bidi="zh-CN"/>
        </w:rPr>
        <w:t>1</w:t>
      </w:r>
      <w:r>
        <w:rPr>
          <w:rFonts w:ascii="宋体" w:hAnsi="宋体" w:eastAsia="宋体" w:cs="华光书宋_CNKI"/>
          <w:kern w:val="0"/>
          <w:szCs w:val="21"/>
          <w:lang w:val="zh-CN" w:bidi="zh-CN"/>
        </w:rPr>
        <w:t>和Ｌ</w:t>
      </w:r>
      <w:r>
        <w:rPr>
          <w:rFonts w:hint="eastAsia" w:ascii="宋体" w:hAnsi="宋体" w:eastAsia="宋体" w:cs="HGBZ_CNKI"/>
          <w:kern w:val="0"/>
          <w:position w:val="-2"/>
          <w:szCs w:val="21"/>
          <w:lang w:val="zh-CN" w:bidi="zh-CN"/>
        </w:rPr>
        <w:t>2</w:t>
      </w:r>
      <w:r>
        <w:rPr>
          <w:rFonts w:ascii="宋体" w:hAnsi="宋体" w:eastAsia="宋体" w:cs="华光书宋_CNKI"/>
          <w:kern w:val="0"/>
          <w:szCs w:val="21"/>
          <w:lang w:val="zh-CN" w:bidi="zh-CN"/>
        </w:rPr>
        <w:t>的两个公式是</w:t>
      </w:r>
      <w:r>
        <w:rPr>
          <w:rFonts w:hint="eastAsia" w:ascii="宋体" w:hAnsi="宋体" w:eastAsia="宋体" w:cs="HGBZ_CNKI"/>
          <w:kern w:val="0"/>
          <w:szCs w:val="21"/>
          <w:lang w:val="zh-CN" w:bidi="zh-CN"/>
        </w:rPr>
        <w:t>：</w:t>
      </w:r>
    </w:p>
    <w:p w14:paraId="23E2D18C">
      <w:pPr>
        <w:autoSpaceDE w:val="0"/>
        <w:autoSpaceDN w:val="0"/>
        <w:spacing w:line="400" w:lineRule="exact"/>
        <w:ind w:firstLine="440" w:firstLineChars="200"/>
        <w:rPr>
          <w:rFonts w:ascii="宋体" w:hAnsi="宋体" w:eastAsia="宋体" w:cs="华光书宋_CNKI"/>
          <w:kern w:val="0"/>
          <w:szCs w:val="21"/>
          <w:lang w:val="zh-CN" w:bidi="zh-CN"/>
        </w:rPr>
      </w:pPr>
      <w:r>
        <w:rPr>
          <w:rFonts w:hint="eastAsia" w:ascii="宋体" w:hAnsi="宋体" w:eastAsia="宋体" w:cs="华光书宋_CNKI"/>
          <w:kern w:val="0"/>
          <w:szCs w:val="21"/>
          <w:lang w:val="zh-CN" w:bidi="zh-CN"/>
        </w:rPr>
        <w:t>5</w:t>
      </w:r>
      <w:r>
        <w:rPr>
          <w:rFonts w:ascii="宋体" w:hAnsi="宋体" w:eastAsia="宋体" w:cs="华光书宋_CNKI"/>
          <w:kern w:val="0"/>
          <w:szCs w:val="21"/>
          <w:lang w:val="zh-CN" w:bidi="zh-CN"/>
        </w:rPr>
        <w:t>Ｌ</w:t>
      </w:r>
      <w:r>
        <w:rPr>
          <w:rFonts w:hint="eastAsia" w:ascii="宋体" w:hAnsi="宋体" w:eastAsia="宋体" w:cs="华光书宋_CNKI"/>
          <w:kern w:val="0"/>
          <w:position w:val="-2"/>
          <w:szCs w:val="21"/>
          <w:lang w:val="zh-CN" w:bidi="zh-CN"/>
        </w:rPr>
        <w:t>1</w:t>
      </w:r>
      <w:r>
        <w:rPr>
          <w:rFonts w:hint="eastAsia" w:ascii="宋体" w:hAnsi="宋体" w:eastAsia="宋体" w:cs="华光书宋_CNKI"/>
          <w:kern w:val="0"/>
          <w:szCs w:val="21"/>
          <w:lang w:val="zh-CN" w:bidi="zh-CN"/>
        </w:rPr>
        <w:t>＋1＝6</w:t>
      </w:r>
      <w:r>
        <w:rPr>
          <w:rFonts w:ascii="宋体" w:hAnsi="宋体" w:eastAsia="宋体" w:cs="华光书宋_CNKI"/>
          <w:kern w:val="0"/>
          <w:szCs w:val="21"/>
          <w:lang w:val="zh-CN" w:bidi="zh-CN"/>
        </w:rPr>
        <w:t>Ｌ</w:t>
      </w:r>
      <w:r>
        <w:rPr>
          <w:rFonts w:hint="eastAsia" w:ascii="宋体" w:hAnsi="宋体" w:eastAsia="宋体" w:cs="华光书宋_CNKI"/>
          <w:kern w:val="0"/>
          <w:position w:val="-2"/>
          <w:szCs w:val="21"/>
          <w:lang w:val="zh-CN" w:bidi="zh-CN"/>
        </w:rPr>
        <w:t>1</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Ｌ</w:t>
      </w:r>
      <w:r>
        <w:rPr>
          <w:rFonts w:hint="eastAsia" w:ascii="宋体" w:hAnsi="宋体" w:eastAsia="宋体" w:cs="华光书宋_CNKI"/>
          <w:kern w:val="0"/>
          <w:position w:val="-2"/>
          <w:szCs w:val="21"/>
          <w:lang w:val="zh-CN" w:bidi="zh-CN"/>
        </w:rPr>
        <w:t>2</w:t>
      </w:r>
    </w:p>
    <w:p w14:paraId="33800055">
      <w:pPr>
        <w:autoSpaceDE w:val="0"/>
        <w:autoSpaceDN w:val="0"/>
        <w:spacing w:line="400" w:lineRule="exact"/>
        <w:ind w:firstLine="440" w:firstLineChars="200"/>
        <w:rPr>
          <w:rFonts w:ascii="宋体" w:hAnsi="宋体" w:eastAsia="宋体" w:cs="华光书宋_CNKI"/>
          <w:kern w:val="0"/>
          <w:szCs w:val="21"/>
          <w:lang w:val="zh-CN" w:bidi="zh-CN"/>
        </w:rPr>
      </w:pPr>
      <w:r>
        <w:rPr>
          <w:rFonts w:hint="eastAsia" w:ascii="宋体" w:hAnsi="宋体" w:eastAsia="宋体" w:cs="华光书宋_CNKI"/>
          <w:kern w:val="0"/>
          <w:szCs w:val="21"/>
          <w:lang w:val="zh-CN" w:bidi="zh-CN"/>
        </w:rPr>
        <w:t>10</w:t>
      </w:r>
      <w:r>
        <w:rPr>
          <w:rFonts w:ascii="宋体" w:hAnsi="宋体" w:eastAsia="宋体" w:cs="华光书宋_CNKI"/>
          <w:kern w:val="0"/>
          <w:szCs w:val="21"/>
          <w:lang w:val="zh-CN" w:bidi="zh-CN"/>
        </w:rPr>
        <w:t>Ｌ</w:t>
      </w:r>
      <w:r>
        <w:rPr>
          <w:rFonts w:hint="eastAsia" w:ascii="宋体" w:hAnsi="宋体" w:eastAsia="宋体" w:cs="华光书宋_CNKI"/>
          <w:kern w:val="0"/>
          <w:position w:val="-2"/>
          <w:szCs w:val="21"/>
          <w:lang w:val="zh-CN" w:bidi="zh-CN"/>
        </w:rPr>
        <w:t>2</w:t>
      </w:r>
      <w:r>
        <w:rPr>
          <w:rFonts w:hint="eastAsia" w:ascii="宋体" w:hAnsi="宋体" w:eastAsia="宋体" w:cs="华光书宋_CNKI"/>
          <w:kern w:val="0"/>
          <w:szCs w:val="21"/>
          <w:lang w:val="zh-CN" w:bidi="zh-CN"/>
        </w:rPr>
        <w:t>＋1＝3</w:t>
      </w:r>
      <w:r>
        <w:rPr>
          <w:rFonts w:ascii="宋体" w:hAnsi="宋体" w:eastAsia="宋体" w:cs="华光书宋_CNKI"/>
          <w:kern w:val="0"/>
          <w:szCs w:val="21"/>
          <w:lang w:val="zh-CN" w:bidi="zh-CN"/>
        </w:rPr>
        <w:t>Ｌ</w:t>
      </w:r>
      <w:r>
        <w:rPr>
          <w:rFonts w:hint="eastAsia" w:ascii="宋体" w:hAnsi="宋体" w:eastAsia="宋体" w:cs="华光书宋_CNKI"/>
          <w:kern w:val="0"/>
          <w:position w:val="-2"/>
          <w:szCs w:val="21"/>
          <w:lang w:val="zh-CN" w:bidi="zh-CN"/>
        </w:rPr>
        <w:t>1</w:t>
      </w:r>
      <w:r>
        <w:rPr>
          <w:rFonts w:hint="eastAsia" w:ascii="宋体" w:hAnsi="宋体" w:eastAsia="宋体" w:cs="华光书宋_CNKI"/>
          <w:kern w:val="0"/>
          <w:szCs w:val="21"/>
          <w:lang w:val="zh-CN" w:bidi="zh-CN"/>
        </w:rPr>
        <w:t>＋12</w:t>
      </w:r>
      <w:r>
        <w:rPr>
          <w:rFonts w:ascii="宋体" w:hAnsi="宋体" w:eastAsia="宋体" w:cs="华光书宋_CNKI"/>
          <w:kern w:val="0"/>
          <w:szCs w:val="21"/>
          <w:lang w:val="zh-CN" w:bidi="zh-CN"/>
        </w:rPr>
        <w:t>Ｌ</w:t>
      </w:r>
      <w:r>
        <w:rPr>
          <w:rFonts w:hint="eastAsia" w:ascii="宋体" w:hAnsi="宋体" w:eastAsia="宋体" w:cs="华光书宋_CNKI"/>
          <w:kern w:val="0"/>
          <w:position w:val="-2"/>
          <w:szCs w:val="21"/>
          <w:lang w:val="zh-CN" w:bidi="zh-CN"/>
        </w:rPr>
        <w:t>2</w:t>
      </w:r>
    </w:p>
    <w:p w14:paraId="4D69E4D0">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解得</w:t>
      </w:r>
      <w:r>
        <w:rPr>
          <w:rFonts w:hint="eastAsia" w:ascii="宋体" w:hAnsi="宋体" w:eastAsia="宋体" w:cs="华光书宋_CNKI"/>
          <w:kern w:val="0"/>
          <w:szCs w:val="21"/>
          <w:lang w:val="zh-CN" w:bidi="zh-CN"/>
        </w:rPr>
        <w:t>：</w:t>
      </w:r>
    </w:p>
    <w:p w14:paraId="129F2632">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Ｌ</w:t>
      </w:r>
      <w:r>
        <w:rPr>
          <w:rFonts w:hint="eastAsia" w:ascii="宋体" w:hAnsi="宋体" w:eastAsia="宋体" w:cs="HGBZ_CNKI"/>
          <w:kern w:val="0"/>
          <w:position w:val="-2"/>
          <w:szCs w:val="21"/>
          <w:lang w:val="zh-CN" w:bidi="zh-CN"/>
        </w:rPr>
        <w:t>1</w:t>
      </w:r>
      <w:r>
        <w:rPr>
          <w:rFonts w:hint="eastAsia" w:ascii="宋体" w:hAnsi="宋体" w:eastAsia="宋体" w:cs="HGBZ_CNKI"/>
          <w:kern w:val="0"/>
          <w:szCs w:val="21"/>
          <w:lang w:val="zh-CN" w:bidi="zh-CN"/>
        </w:rPr>
        <w:t>＝－1</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Ｌ</w:t>
      </w:r>
      <w:r>
        <w:rPr>
          <w:rFonts w:hint="eastAsia" w:ascii="宋体" w:hAnsi="宋体" w:eastAsia="宋体" w:cs="HGBZ_CNKI"/>
          <w:kern w:val="0"/>
          <w:position w:val="-2"/>
          <w:szCs w:val="21"/>
          <w:lang w:val="zh-CN" w:bidi="zh-CN"/>
        </w:rPr>
        <w:t>2</w:t>
      </w:r>
      <w:r>
        <w:rPr>
          <w:rFonts w:hint="eastAsia" w:ascii="宋体" w:hAnsi="宋体" w:eastAsia="宋体" w:cs="HGBZ_CNKI"/>
          <w:kern w:val="0"/>
          <w:szCs w:val="21"/>
          <w:lang w:val="zh-CN" w:bidi="zh-CN"/>
        </w:rPr>
        <w:t>＝2</w:t>
      </w:r>
    </w:p>
    <w:p w14:paraId="0120C6C9">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根据这两个价值</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可以计算出上述实际工资所构成的劳动力价值Ｖ</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资本家净产品所构成的剩余价值Ｓ和劳动力新创造的价值Ｖ</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Ｓ</w:t>
      </w:r>
      <w:r>
        <w:rPr>
          <w:rFonts w:hint="eastAsia" w:ascii="宋体" w:hAnsi="宋体" w:eastAsia="宋体" w:cs="HGBZ_CNKI"/>
          <w:kern w:val="0"/>
          <w:szCs w:val="21"/>
          <w:lang w:val="zh-CN" w:bidi="zh-CN"/>
        </w:rPr>
        <w:t>：</w:t>
      </w:r>
    </w:p>
    <w:p w14:paraId="0FC55A4D">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Ｖ</w:t>
      </w:r>
      <w:r>
        <w:rPr>
          <w:rFonts w:hint="eastAsia" w:ascii="宋体" w:hAnsi="宋体" w:eastAsia="宋体" w:cs="华光书宋_CNKI"/>
          <w:kern w:val="0"/>
          <w:szCs w:val="21"/>
          <w:lang w:val="zh-CN" w:bidi="zh-CN"/>
        </w:rPr>
        <w:t>＝3×（－1）＋5×2＝7</w:t>
      </w:r>
      <w:r>
        <w:rPr>
          <w:rFonts w:ascii="宋体" w:hAnsi="宋体" w:eastAsia="宋体" w:cs="华光书宋_CNKI"/>
          <w:kern w:val="0"/>
          <w:szCs w:val="21"/>
          <w:lang w:val="zh-CN" w:bidi="zh-CN"/>
        </w:rPr>
        <w:t>Ｓ</w:t>
      </w:r>
      <w:r>
        <w:rPr>
          <w:rFonts w:hint="eastAsia" w:ascii="宋体" w:hAnsi="宋体" w:eastAsia="宋体" w:cs="华光书宋_CNKI"/>
          <w:kern w:val="0"/>
          <w:szCs w:val="21"/>
          <w:lang w:val="zh-CN" w:bidi="zh-CN"/>
        </w:rPr>
        <w:t>＝5×（－1）＋2×2＝－1</w:t>
      </w:r>
      <w:r>
        <w:rPr>
          <w:rFonts w:ascii="宋体" w:hAnsi="宋体" w:eastAsia="宋体" w:cs="华光书宋_CNKI"/>
          <w:kern w:val="0"/>
          <w:szCs w:val="21"/>
          <w:lang w:val="zh-CN" w:bidi="zh-CN"/>
        </w:rPr>
        <w:t>Ｖ</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Ｓ</w:t>
      </w:r>
      <w:r>
        <w:rPr>
          <w:rFonts w:hint="eastAsia" w:ascii="宋体" w:hAnsi="宋体" w:eastAsia="宋体" w:cs="华光书宋_CNKI"/>
          <w:kern w:val="0"/>
          <w:szCs w:val="21"/>
          <w:lang w:val="zh-CN" w:bidi="zh-CN"/>
        </w:rPr>
        <w:t>＝7＋（－1）＝6</w:t>
      </w:r>
    </w:p>
    <w:p w14:paraId="44AEAF52">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ab/>
      </w:r>
      <w:r>
        <w:rPr>
          <w:rFonts w:ascii="宋体" w:hAnsi="宋体" w:eastAsia="宋体" w:cs="华光书宋_CNKI"/>
          <w:kern w:val="0"/>
          <w:szCs w:val="21"/>
          <w:lang w:val="zh-CN" w:bidi="zh-CN"/>
        </w:rPr>
        <w:t>斯蒂德曼进而认为</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在负的剩余价值</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Ｓ</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条件下</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利润率可以为正数</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ｒ</w:t>
      </w:r>
      <w:r>
        <w:rPr>
          <w:rFonts w:hint="eastAsia" w:ascii="宋体" w:hAnsi="宋体" w:eastAsia="宋体" w:cs="HGBZ_CNKI"/>
          <w:kern w:val="0"/>
          <w:szCs w:val="21"/>
          <w:lang w:val="zh-CN" w:bidi="zh-CN"/>
        </w:rPr>
        <w:t>＝20％）。</w:t>
      </w:r>
      <w:r>
        <w:rPr>
          <w:rFonts w:ascii="宋体" w:hAnsi="宋体" w:eastAsia="宋体" w:cs="华光书宋_CNKI"/>
          <w:kern w:val="0"/>
          <w:szCs w:val="21"/>
          <w:lang w:val="zh-CN" w:bidi="zh-CN"/>
        </w:rPr>
        <w:t>他还对正的剩余价值条件下利润率可以为负数的情况进行了论证</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他最后得出结论</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在联合生产条件下</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如果采用马克思加总计算的价值定义</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那么</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正的剩余价值的存在不是正利润的必要条件</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也不是它的充分条件</w:t>
      </w:r>
      <w:r>
        <w:rPr>
          <w:rFonts w:hint="eastAsia" w:ascii="宋体" w:hAnsi="宋体" w:eastAsia="宋体" w:cs="HGBZ_CNKI"/>
          <w:kern w:val="0"/>
          <w:szCs w:val="21"/>
          <w:lang w:val="zh-CN" w:bidi="zh-CN"/>
        </w:rPr>
        <w:t>。</w:t>
      </w:r>
    </w:p>
    <w:p w14:paraId="1F14824D">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如果先不考虑斯蒂德曼用产出作为投入在技术上是否合理</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只考虑生产过程本身</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那么在生产过程</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中的产出及生产过程</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中的产出各自应是一种商品</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而不应该是商品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和商品</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两种商品</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如果说商品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和商品</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价值量的确定存在困难的话</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那么这种困难在非联合生产过程中同样存在</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比如非联合生产过程中同一种商品人为分割后其各部分价值量的确定仍是困难的</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究竟商品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和商品</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的价值量如何确定</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是另外一个问题</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可以通过独立商品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和商品</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的生产过程来确定</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或者通过流通领域中价值形式的反作用来体现</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商品生产方法不同对应的价值不同非常正常</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不同生产者有不同的个别劳动时间和个别价值是常态</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因此</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通过联立方程求解得出负的剩余价值同样也是正常现象</w:t>
      </w:r>
      <w:r>
        <w:rPr>
          <w:rFonts w:hint="eastAsia" w:ascii="宋体" w:hAnsi="宋体" w:eastAsia="宋体" w:cs="HGBZ_CNKI"/>
          <w:kern w:val="0"/>
          <w:szCs w:val="21"/>
          <w:lang w:val="zh-CN" w:bidi="zh-CN"/>
        </w:rPr>
        <w:t>。</w:t>
      </w:r>
    </w:p>
    <w:p w14:paraId="006A5355">
      <w:pPr>
        <w:autoSpaceDE w:val="0"/>
        <w:autoSpaceDN w:val="0"/>
        <w:spacing w:line="400" w:lineRule="exact"/>
        <w:ind w:firstLine="440" w:firstLineChars="200"/>
        <w:rPr>
          <w:rFonts w:ascii="宋体" w:hAnsi="宋体" w:eastAsia="宋体" w:cs="华光书宋_CNKI"/>
          <w:kern w:val="0"/>
          <w:szCs w:val="21"/>
          <w:lang w:val="zh-CN" w:bidi="zh-CN"/>
        </w:rPr>
      </w:pPr>
      <w:r>
        <w:rPr>
          <w:rFonts w:hint="eastAsia" w:ascii="宋体" w:hAnsi="宋体" w:eastAsia="宋体" w:cs="HGBZ_CNKI"/>
          <w:kern w:val="0"/>
          <w:szCs w:val="21"/>
          <w:lang w:val="zh-CN" w:bidi="zh-CN"/>
        </w:rPr>
        <w:t>21</w:t>
      </w:r>
      <w:r>
        <w:rPr>
          <w:rFonts w:ascii="宋体" w:hAnsi="宋体" w:eastAsia="宋体" w:cs="华光书宋_CNKI"/>
          <w:kern w:val="0"/>
          <w:szCs w:val="21"/>
          <w:lang w:val="zh-CN" w:bidi="zh-CN"/>
        </w:rPr>
        <w:t>世纪初以来</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关于</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马克思基本定理</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问题在日本又引起激烈的争论</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这场争论主要由吉原毅和松尾匡教授引起</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不过他们是从另外一个角度对这个问题进行了探讨</w:t>
      </w:r>
      <w:r>
        <w:rPr>
          <w:rFonts w:hint="eastAsia" w:ascii="宋体" w:hAnsi="宋体" w:eastAsia="宋体" w:cs="HGBZ_CNKI"/>
          <w:kern w:val="0"/>
          <w:szCs w:val="21"/>
          <w:lang w:val="zh-CN" w:bidi="zh-CN"/>
        </w:rPr>
        <w:t>。</w:t>
      </w:r>
    </w:p>
    <w:p w14:paraId="6A07332A">
      <w:pPr>
        <w:autoSpaceDE w:val="0"/>
        <w:autoSpaceDN w:val="0"/>
        <w:spacing w:line="360" w:lineRule="auto"/>
        <w:ind w:firstLine="500" w:firstLineChars="200"/>
        <w:jc w:val="center"/>
        <w:rPr>
          <w:rFonts w:ascii="宋体" w:hAnsi="宋体" w:eastAsia="宋体" w:cs="华光书宋_CNKI"/>
          <w:b/>
          <w:bCs/>
          <w:kern w:val="0"/>
          <w:sz w:val="24"/>
          <w:szCs w:val="24"/>
          <w:lang w:val="zh-CN" w:bidi="zh-CN"/>
        </w:rPr>
      </w:pPr>
      <w:r>
        <w:rPr>
          <w:rFonts w:hint="eastAsia" w:ascii="宋体" w:hAnsi="宋体" w:eastAsia="宋体" w:cs="华光书宋_CNKI"/>
          <w:b/>
          <w:bCs/>
          <w:kern w:val="0"/>
          <w:sz w:val="24"/>
          <w:szCs w:val="24"/>
          <w:lang w:val="zh-CN" w:bidi="zh-CN"/>
        </w:rPr>
        <w:t>二、不受剥削工人存在性问题</w:t>
      </w:r>
    </w:p>
    <w:p w14:paraId="064EA86D">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吉原毅</w:t>
      </w:r>
      <w:r>
        <w:rPr>
          <w:rFonts w:hint="eastAsia" w:ascii="宋体" w:hAnsi="宋体" w:eastAsia="宋体" w:cs="HGBZ_CNKI"/>
          <w:kern w:val="0"/>
          <w:szCs w:val="21"/>
          <w:lang w:val="zh-CN" w:bidi="zh-CN"/>
        </w:rPr>
        <w:t>（2</w:t>
      </w:r>
      <w:r>
        <w:rPr>
          <w:rFonts w:hint="eastAsia" w:ascii="宋体" w:hAnsi="宋体" w:eastAsia="宋体" w:cs="HGBZ_CNKI"/>
          <w:b/>
          <w:bCs/>
          <w:kern w:val="0"/>
          <w:szCs w:val="21"/>
          <w:lang w:val="zh-CN" w:bidi="zh-CN"/>
        </w:rPr>
        <w:t>0</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认为</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如果允许工人阶级中存在不同的消费集</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那么在利润为正的条件下就有可能存在不受剥削的某些个别的工人</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换句话说</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正的剩余价值率并非是正的利润率的充分条件</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松尾匡</w:t>
      </w:r>
      <w:r>
        <w:rPr>
          <w:rFonts w:hint="eastAsia" w:ascii="宋体" w:hAnsi="宋体" w:eastAsia="宋体" w:cs="HGBZ_CNKI"/>
          <w:kern w:val="0"/>
          <w:szCs w:val="21"/>
          <w:lang w:val="zh-CN" w:bidi="zh-CN"/>
        </w:rPr>
        <w:t>（2</w:t>
      </w:r>
      <w:r>
        <w:rPr>
          <w:rFonts w:hint="eastAsia" w:ascii="宋体" w:hAnsi="宋体" w:eastAsia="宋体" w:cs="HGBZ_CNKI"/>
          <w:b/>
          <w:bCs/>
          <w:kern w:val="0"/>
          <w:szCs w:val="21"/>
          <w:lang w:val="zh-CN" w:bidi="zh-CN"/>
        </w:rPr>
        <w:t>0</w:t>
      </w:r>
      <w:r>
        <w:rPr>
          <w:rFonts w:hint="eastAsia" w:ascii="宋体" w:hAnsi="宋体" w:eastAsia="宋体" w:cs="HGBZ_CNKI"/>
          <w:kern w:val="0"/>
          <w:szCs w:val="21"/>
          <w:lang w:val="zh-CN" w:bidi="zh-CN"/>
        </w:rPr>
        <w:t>4）</w:t>
      </w:r>
      <w:r>
        <w:rPr>
          <w:rFonts w:ascii="宋体" w:hAnsi="宋体" w:eastAsia="宋体" w:cs="华光书宋_CNKI"/>
          <w:kern w:val="0"/>
          <w:szCs w:val="21"/>
          <w:lang w:val="zh-CN" w:bidi="zh-CN"/>
        </w:rPr>
        <w:t>对吉原毅的数例进行了批评</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吉原毅</w:t>
      </w:r>
      <w:r>
        <w:rPr>
          <w:rFonts w:hint="eastAsia" w:ascii="宋体" w:hAnsi="宋体" w:eastAsia="宋体" w:cs="HGBZ_CNKI"/>
          <w:kern w:val="0"/>
          <w:szCs w:val="21"/>
          <w:lang w:val="zh-CN" w:bidi="zh-CN"/>
        </w:rPr>
        <w:t>（2</w:t>
      </w:r>
      <w:r>
        <w:rPr>
          <w:rFonts w:hint="eastAsia" w:ascii="宋体" w:hAnsi="宋体" w:eastAsia="宋体" w:cs="HGBZ_CNKI"/>
          <w:b/>
          <w:bCs/>
          <w:kern w:val="0"/>
          <w:szCs w:val="21"/>
          <w:lang w:val="zh-CN" w:bidi="zh-CN"/>
        </w:rPr>
        <w:t>0</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认同了松尾匡的批评</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对其数例进行修正</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并给出了在利润为正的条件下个别工人不受剥削存在性的一般条件</w:t>
      </w:r>
      <w:r>
        <w:rPr>
          <w:rFonts w:hint="eastAsia" w:ascii="宋体" w:hAnsi="宋体" w:eastAsia="宋体" w:cs="HGBZ_CNKI"/>
          <w:kern w:val="0"/>
          <w:szCs w:val="21"/>
          <w:lang w:val="zh-CN" w:bidi="zh-CN"/>
        </w:rPr>
        <w:t>。</w:t>
      </w:r>
      <w:r>
        <w:rPr>
          <w:rFonts w:hint="eastAsia" w:ascii="宋体" w:hAnsi="宋体" w:eastAsia="宋体" w:cs="HGBZ_CNKI"/>
          <w:kern w:val="0"/>
          <w:position w:val="9"/>
          <w:szCs w:val="21"/>
          <w:lang w:val="zh-CN" w:bidi="zh-CN"/>
        </w:rPr>
        <w:t>〔2〕</w:t>
      </w:r>
    </w:p>
    <w:p w14:paraId="60FBF8B0">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松尾匡</w:t>
      </w:r>
      <w:r>
        <w:rPr>
          <w:rFonts w:hint="eastAsia" w:ascii="宋体" w:hAnsi="宋体" w:eastAsia="宋体" w:cs="HGBZ_CNKI"/>
          <w:kern w:val="0"/>
          <w:szCs w:val="21"/>
          <w:lang w:val="zh-CN" w:bidi="zh-CN"/>
        </w:rPr>
        <w:t>（2</w:t>
      </w:r>
      <w:r>
        <w:rPr>
          <w:rFonts w:hint="eastAsia" w:ascii="宋体" w:hAnsi="宋体" w:eastAsia="宋体" w:cs="HGBZ_CNKI"/>
          <w:b/>
          <w:bCs/>
          <w:kern w:val="0"/>
          <w:szCs w:val="21"/>
          <w:lang w:val="zh-CN" w:bidi="zh-CN"/>
        </w:rPr>
        <w:t>0</w:t>
      </w:r>
      <w:r>
        <w:rPr>
          <w:rFonts w:hint="eastAsia" w:ascii="宋体" w:hAnsi="宋体" w:eastAsia="宋体" w:cs="HGBZ_CNKI"/>
          <w:kern w:val="0"/>
          <w:szCs w:val="21"/>
          <w:lang w:val="zh-CN" w:bidi="zh-CN"/>
        </w:rPr>
        <w:t>4、2</w:t>
      </w:r>
      <w:r>
        <w:rPr>
          <w:rFonts w:hint="eastAsia" w:ascii="宋体" w:hAnsi="宋体" w:eastAsia="宋体" w:cs="HGBZ_CNKI"/>
          <w:b/>
          <w:bCs/>
          <w:kern w:val="0"/>
          <w:szCs w:val="21"/>
          <w:lang w:val="zh-CN" w:bidi="zh-CN"/>
        </w:rPr>
        <w:t>0</w:t>
      </w:r>
      <w:r>
        <w:rPr>
          <w:rFonts w:hint="eastAsia" w:ascii="宋体" w:hAnsi="宋体" w:eastAsia="宋体" w:cs="HGBZ_CNKI"/>
          <w:kern w:val="0"/>
          <w:szCs w:val="21"/>
          <w:lang w:val="zh-CN" w:bidi="zh-CN"/>
        </w:rPr>
        <w:t>6）</w:t>
      </w:r>
      <w:r>
        <w:rPr>
          <w:rFonts w:ascii="宋体" w:hAnsi="宋体" w:eastAsia="宋体" w:cs="华光书宋_CNKI"/>
          <w:kern w:val="0"/>
          <w:szCs w:val="21"/>
          <w:lang w:val="zh-CN" w:bidi="zh-CN"/>
        </w:rPr>
        <w:t>用一个简单的数例对吉原毅</w:t>
      </w:r>
      <w:r>
        <w:rPr>
          <w:rFonts w:hint="eastAsia" w:ascii="宋体" w:hAnsi="宋体" w:eastAsia="宋体" w:cs="HGBZ_CNKI"/>
          <w:kern w:val="0"/>
          <w:szCs w:val="21"/>
          <w:lang w:val="zh-CN" w:bidi="zh-CN"/>
        </w:rPr>
        <w:t>（2</w:t>
      </w:r>
      <w:r>
        <w:rPr>
          <w:rFonts w:hint="eastAsia" w:ascii="宋体" w:hAnsi="宋体" w:eastAsia="宋体" w:cs="HGBZ_CNKI"/>
          <w:b/>
          <w:bCs/>
          <w:kern w:val="0"/>
          <w:szCs w:val="21"/>
          <w:lang w:val="zh-CN" w:bidi="zh-CN"/>
        </w:rPr>
        <w:t>0</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的主要观点进行证明</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他假定有一个联合生产过程</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生产商品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和商品</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投入一单位劳动</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商品的净产出为</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个单位</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商品</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的净产出也为</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个单位</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如下图中ｘ线上的ｙ点所示</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和商品</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的相对价格假定为</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比</w:t>
      </w:r>
      <w:r>
        <w:rPr>
          <w:rFonts w:hint="eastAsia" w:ascii="宋体" w:hAnsi="宋体" w:eastAsia="宋体" w:cs="HGBZ_CNKI"/>
          <w:kern w:val="0"/>
          <w:szCs w:val="21"/>
          <w:lang w:val="zh-CN" w:bidi="zh-CN"/>
        </w:rPr>
        <w:t>1.</w:t>
      </w:r>
    </w:p>
    <w:p w14:paraId="46FB52A0">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drawing>
          <wp:anchor distT="0" distB="0" distL="0" distR="0" simplePos="0" relativeHeight="251695104" behindDoc="0" locked="0" layoutInCell="1" allowOverlap="1">
            <wp:simplePos x="0" y="0"/>
            <wp:positionH relativeFrom="page">
              <wp:posOffset>2358390</wp:posOffset>
            </wp:positionH>
            <wp:positionV relativeFrom="paragraph">
              <wp:posOffset>2540</wp:posOffset>
            </wp:positionV>
            <wp:extent cx="2013585" cy="1679575"/>
            <wp:effectExtent l="0" t="0" r="18415" b="22225"/>
            <wp:wrapNone/>
            <wp:docPr id="113"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age4.png"/>
                    <pic:cNvPicPr>
                      <a:picLocks noChangeAspect="1"/>
                    </pic:cNvPicPr>
                  </pic:nvPicPr>
                  <pic:blipFill>
                    <a:blip r:embed="rId149" cstate="print"/>
                    <a:stretch>
                      <a:fillRect/>
                    </a:stretch>
                  </pic:blipFill>
                  <pic:spPr>
                    <a:xfrm>
                      <a:off x="0" y="0"/>
                      <a:ext cx="2013839" cy="1679828"/>
                    </a:xfrm>
                    <a:prstGeom prst="rect">
                      <a:avLst/>
                    </a:prstGeom>
                  </pic:spPr>
                </pic:pic>
              </a:graphicData>
            </a:graphic>
          </wp:anchor>
        </w:drawing>
      </w:r>
    </w:p>
    <w:p w14:paraId="60BF1378">
      <w:pPr>
        <w:autoSpaceDE w:val="0"/>
        <w:autoSpaceDN w:val="0"/>
        <w:spacing w:line="400" w:lineRule="exact"/>
        <w:ind w:firstLine="440" w:firstLineChars="200"/>
        <w:rPr>
          <w:rFonts w:ascii="宋体" w:hAnsi="宋体" w:eastAsia="宋体" w:cs="HGBZ_CNKI"/>
          <w:kern w:val="0"/>
          <w:szCs w:val="21"/>
          <w:lang w:val="zh-CN" w:bidi="zh-CN"/>
        </w:rPr>
      </w:pPr>
    </w:p>
    <w:p w14:paraId="7F01E0D3">
      <w:pPr>
        <w:autoSpaceDE w:val="0"/>
        <w:autoSpaceDN w:val="0"/>
        <w:spacing w:line="400" w:lineRule="exact"/>
        <w:ind w:firstLine="440" w:firstLineChars="200"/>
        <w:rPr>
          <w:rFonts w:ascii="宋体" w:hAnsi="宋体" w:eastAsia="宋体" w:cs="HGBZ_CNKI"/>
          <w:kern w:val="0"/>
          <w:szCs w:val="21"/>
          <w:lang w:val="zh-CN" w:bidi="zh-CN"/>
        </w:rPr>
      </w:pPr>
    </w:p>
    <w:p w14:paraId="23C4F11D">
      <w:pPr>
        <w:autoSpaceDE w:val="0"/>
        <w:autoSpaceDN w:val="0"/>
        <w:spacing w:line="400" w:lineRule="exact"/>
        <w:ind w:firstLine="440" w:firstLineChars="200"/>
        <w:rPr>
          <w:rFonts w:ascii="宋体" w:hAnsi="宋体" w:eastAsia="宋体" w:cs="华光书宋_CNKI"/>
          <w:kern w:val="0"/>
          <w:szCs w:val="21"/>
          <w:lang w:val="zh-CN" w:bidi="zh-CN"/>
        </w:rPr>
      </w:pPr>
    </w:p>
    <w:p w14:paraId="3E172DAF">
      <w:pPr>
        <w:autoSpaceDE w:val="0"/>
        <w:autoSpaceDN w:val="0"/>
        <w:spacing w:line="400" w:lineRule="exact"/>
        <w:ind w:firstLine="440" w:firstLineChars="200"/>
        <w:rPr>
          <w:rFonts w:ascii="宋体" w:hAnsi="宋体" w:eastAsia="宋体" w:cs="华光书宋_CNKI"/>
          <w:kern w:val="0"/>
          <w:szCs w:val="21"/>
          <w:lang w:val="zh-CN" w:bidi="zh-CN"/>
        </w:rPr>
      </w:pPr>
    </w:p>
    <w:p w14:paraId="57B2F145">
      <w:pPr>
        <w:autoSpaceDE w:val="0"/>
        <w:autoSpaceDN w:val="0"/>
        <w:spacing w:line="400" w:lineRule="exact"/>
        <w:ind w:firstLine="440" w:firstLineChars="200"/>
        <w:rPr>
          <w:rFonts w:ascii="宋体" w:hAnsi="宋体" w:eastAsia="宋体" w:cs="华光书宋_CNKI"/>
          <w:kern w:val="0"/>
          <w:szCs w:val="21"/>
          <w:lang w:val="zh-CN" w:bidi="zh-CN"/>
        </w:rPr>
      </w:pPr>
    </w:p>
    <w:p w14:paraId="7448EF55">
      <w:pPr>
        <w:autoSpaceDE w:val="0"/>
        <w:autoSpaceDN w:val="0"/>
        <w:spacing w:line="400" w:lineRule="exact"/>
        <w:ind w:firstLine="440" w:firstLineChars="200"/>
        <w:rPr>
          <w:rFonts w:ascii="宋体" w:hAnsi="宋体" w:eastAsia="宋体" w:cs="华光书宋_CNKI"/>
          <w:kern w:val="0"/>
          <w:szCs w:val="21"/>
          <w:lang w:val="zh-CN" w:bidi="zh-CN"/>
        </w:rPr>
      </w:pPr>
    </w:p>
    <w:p w14:paraId="3D2F13FE">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假设有两种类型的工人</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一种类型的工人偏好商品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而另一种类型的工人偏好商品</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类型</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的工人将得到</w:t>
      </w:r>
      <w:r>
        <w:rPr>
          <w:rFonts w:hint="eastAsia" w:ascii="宋体" w:hAnsi="宋体" w:eastAsia="宋体" w:cs="HGBZ_CNKI"/>
          <w:kern w:val="0"/>
          <w:szCs w:val="21"/>
          <w:lang w:val="zh-CN" w:bidi="zh-CN"/>
        </w:rPr>
        <w:t>1</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单位的商品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类型</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的工人将得到</w:t>
      </w:r>
      <w:r>
        <w:rPr>
          <w:rFonts w:hint="eastAsia" w:ascii="宋体" w:hAnsi="宋体" w:eastAsia="宋体" w:cs="HGBZ_CNKI"/>
          <w:kern w:val="0"/>
          <w:szCs w:val="21"/>
          <w:lang w:val="zh-CN" w:bidi="zh-CN"/>
        </w:rPr>
        <w:t>1</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单位的商品</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当这两种类型的工人各被雇佣一半时</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如图中两条线交点Ｒ所示</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即工人所得为</w:t>
      </w:r>
      <w:r>
        <w:rPr>
          <w:rFonts w:hint="eastAsia" w:ascii="宋体" w:hAnsi="宋体" w:eastAsia="宋体" w:cs="HGBZ_CNKI"/>
          <w:kern w:val="0"/>
          <w:szCs w:val="21"/>
          <w:lang w:val="zh-CN" w:bidi="zh-CN"/>
        </w:rPr>
        <w:t>（0</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75</w:t>
      </w:r>
      <w:r>
        <w:rPr>
          <w:rFonts w:hint="eastAsia" w:ascii="宋体" w:hAnsi="宋体" w:eastAsia="宋体" w:cs="宋体"/>
          <w:kern w:val="0"/>
          <w:szCs w:val="21"/>
          <w:lang w:val="zh-CN" w:bidi="zh-CN"/>
        </w:rPr>
        <w:t>，</w:t>
      </w:r>
      <w:r>
        <w:rPr>
          <w:rFonts w:hint="eastAsia" w:ascii="宋体" w:hAnsi="宋体" w:eastAsia="宋体" w:cs="HGBZ_CNKI"/>
          <w:kern w:val="0"/>
          <w:szCs w:val="21"/>
          <w:lang w:val="zh-CN" w:bidi="zh-CN"/>
        </w:rPr>
        <w:t>0</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75）</w:t>
      </w:r>
      <w:r>
        <w:rPr>
          <w:rFonts w:ascii="宋体" w:hAnsi="宋体" w:eastAsia="宋体" w:cs="华光书宋_CNKI"/>
          <w:kern w:val="0"/>
          <w:szCs w:val="21"/>
          <w:lang w:val="zh-CN" w:bidi="zh-CN"/>
        </w:rPr>
        <w:t>时</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资本家手中就会有</w:t>
      </w:r>
      <w:r>
        <w:rPr>
          <w:rFonts w:hint="eastAsia" w:ascii="宋体" w:hAnsi="宋体" w:eastAsia="宋体" w:cs="HGBZ_CNKI"/>
          <w:kern w:val="0"/>
          <w:szCs w:val="21"/>
          <w:lang w:val="zh-CN" w:bidi="zh-CN"/>
        </w:rPr>
        <w:t>（0</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25</w:t>
      </w:r>
      <w:r>
        <w:rPr>
          <w:rFonts w:hint="eastAsia" w:ascii="宋体" w:hAnsi="宋体" w:eastAsia="宋体" w:cs="宋体"/>
          <w:kern w:val="0"/>
          <w:szCs w:val="21"/>
          <w:lang w:val="zh-CN" w:bidi="zh-CN"/>
        </w:rPr>
        <w:t>，</w:t>
      </w:r>
      <w:r>
        <w:rPr>
          <w:rFonts w:hint="eastAsia" w:ascii="宋体" w:hAnsi="宋体" w:eastAsia="宋体" w:cs="HGBZ_CNKI"/>
          <w:kern w:val="0"/>
          <w:szCs w:val="21"/>
          <w:lang w:val="zh-CN" w:bidi="zh-CN"/>
        </w:rPr>
        <w:t>0</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25）</w:t>
      </w:r>
      <w:r>
        <w:rPr>
          <w:rFonts w:ascii="宋体" w:hAnsi="宋体" w:eastAsia="宋体" w:cs="华光书宋_CNKI"/>
          <w:kern w:val="0"/>
          <w:szCs w:val="21"/>
          <w:lang w:val="zh-CN" w:bidi="zh-CN"/>
        </w:rPr>
        <w:t>的剩余产品</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这意味着存在正的利润</w:t>
      </w:r>
      <w:r>
        <w:rPr>
          <w:rFonts w:hint="eastAsia" w:ascii="宋体" w:hAnsi="宋体" w:eastAsia="宋体" w:cs="HGBZ_CNKI"/>
          <w:kern w:val="0"/>
          <w:szCs w:val="21"/>
          <w:lang w:val="zh-CN" w:bidi="zh-CN"/>
        </w:rPr>
        <w:t>。</w:t>
      </w:r>
    </w:p>
    <w:p w14:paraId="1E8FED26">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但是观察每个工人的实际工资集</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提供一单位的劳动力</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类型</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工人得到</w:t>
      </w:r>
      <w:r>
        <w:rPr>
          <w:rFonts w:hint="eastAsia" w:ascii="宋体" w:hAnsi="宋体" w:eastAsia="宋体" w:cs="HGBZ_CNKI"/>
          <w:kern w:val="0"/>
          <w:szCs w:val="21"/>
          <w:lang w:val="zh-CN" w:bidi="zh-CN"/>
        </w:rPr>
        <w:t>1</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单位的商品</w:t>
      </w:r>
      <w:r>
        <w:rPr>
          <w:rFonts w:hint="eastAsia" w:ascii="宋体" w:hAnsi="宋体" w:eastAsia="宋体" w:cs="HGBZ_CNKI"/>
          <w:kern w:val="0"/>
          <w:szCs w:val="21"/>
          <w:lang w:val="zh-CN" w:bidi="zh-CN"/>
        </w:rPr>
        <w:t>1</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其净产出需要</w:t>
      </w:r>
      <w:r>
        <w:rPr>
          <w:rFonts w:hint="eastAsia" w:ascii="宋体" w:hAnsi="宋体" w:eastAsia="宋体" w:cs="HGBZ_CNKI"/>
          <w:kern w:val="0"/>
          <w:szCs w:val="21"/>
          <w:lang w:val="zh-CN" w:bidi="zh-CN"/>
        </w:rPr>
        <w:t>1</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单位的劳动力</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同样</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类型</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工人得到</w:t>
      </w:r>
      <w:r>
        <w:rPr>
          <w:rFonts w:hint="eastAsia" w:ascii="宋体" w:hAnsi="宋体" w:eastAsia="宋体" w:cs="HGBZ_CNKI"/>
          <w:kern w:val="0"/>
          <w:szCs w:val="21"/>
          <w:lang w:val="zh-CN" w:bidi="zh-CN"/>
        </w:rPr>
        <w:t>1</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单位的商品</w:t>
      </w:r>
      <w:r>
        <w:rPr>
          <w:rFonts w:hint="eastAsia" w:ascii="宋体" w:hAnsi="宋体" w:eastAsia="宋体" w:cs="HGBZ_CNKI"/>
          <w:kern w:val="0"/>
          <w:szCs w:val="21"/>
          <w:lang w:val="zh-CN" w:bidi="zh-CN"/>
        </w:rPr>
        <w:t>2</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其净产出也要求</w:t>
      </w:r>
      <w:r>
        <w:rPr>
          <w:rFonts w:hint="eastAsia" w:ascii="宋体" w:hAnsi="宋体" w:eastAsia="宋体" w:cs="HGBZ_CNKI"/>
          <w:kern w:val="0"/>
          <w:szCs w:val="21"/>
          <w:lang w:val="zh-CN" w:bidi="zh-CN"/>
        </w:rPr>
        <w:t>1</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单位的劳动力</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吉原毅和松尾匡进而均认为</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两种类型的工人得到了比他们付出的劳动含有更多劳动力的产品</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这意味着单个的工人没有受到剥削</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但仍会有正的利润</w:t>
      </w:r>
      <w:r>
        <w:rPr>
          <w:rFonts w:hint="eastAsia" w:ascii="宋体" w:hAnsi="宋体" w:eastAsia="宋体" w:cs="HGBZ_CNKI"/>
          <w:kern w:val="0"/>
          <w:szCs w:val="21"/>
          <w:lang w:val="zh-CN" w:bidi="zh-CN"/>
        </w:rPr>
        <w:t>。</w:t>
      </w:r>
    </w:p>
    <w:p w14:paraId="739AA33D">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从上述论述中可以看出</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问题出在吉原毅和松尾匡对</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净产出</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的界定上</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按照吉原毅和松尾匡先前的逻辑</w:t>
      </w:r>
      <w:r>
        <w:rPr>
          <w:rFonts w:hint="eastAsia" w:ascii="宋体" w:hAnsi="宋体" w:eastAsia="宋体" w:cs="宋体"/>
          <w:kern w:val="0"/>
          <w:szCs w:val="21"/>
          <w:lang w:val="zh-CN" w:bidi="zh-CN"/>
        </w:rPr>
        <w:t>，</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单位的劳动力对应的净产出是</w:t>
      </w:r>
      <w:r>
        <w:rPr>
          <w:rFonts w:hint="eastAsia" w:ascii="宋体" w:hAnsi="宋体" w:eastAsia="宋体" w:cs="HGBZ_CNKI"/>
          <w:kern w:val="0"/>
          <w:szCs w:val="21"/>
          <w:lang w:val="zh-CN" w:bidi="zh-CN"/>
        </w:rPr>
        <w:t>2</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因此净产出中的</w:t>
      </w:r>
      <w:r>
        <w:rPr>
          <w:rFonts w:hint="eastAsia" w:ascii="宋体" w:hAnsi="宋体" w:eastAsia="宋体" w:cs="HGBZ_CNKI"/>
          <w:kern w:val="0"/>
          <w:szCs w:val="21"/>
          <w:lang w:val="zh-CN" w:bidi="zh-CN"/>
        </w:rPr>
        <w:t>0</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单位被资本家无偿占有</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因此</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如果投入</w:t>
      </w:r>
      <w:r>
        <w:rPr>
          <w:rFonts w:hint="eastAsia" w:ascii="宋体" w:hAnsi="宋体" w:eastAsia="宋体" w:cs="HGBZ_CNKI"/>
          <w:kern w:val="0"/>
          <w:szCs w:val="21"/>
          <w:lang w:val="zh-CN" w:bidi="zh-CN"/>
        </w:rPr>
        <w:t>1</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单位劳动力</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其对应的净产出是</w:t>
      </w:r>
      <w:r>
        <w:rPr>
          <w:rFonts w:hint="eastAsia" w:ascii="宋体" w:hAnsi="宋体" w:eastAsia="宋体" w:cs="HGBZ_CNKI"/>
          <w:kern w:val="0"/>
          <w:szCs w:val="21"/>
          <w:lang w:val="zh-CN" w:bidi="zh-CN"/>
        </w:rPr>
        <w:t>3</w:t>
      </w:r>
      <w:r>
        <w:rPr>
          <w:rFonts w:ascii="宋体" w:hAnsi="宋体" w:eastAsia="宋体" w:cs="华光书宋_CNKI"/>
          <w:kern w:val="0"/>
          <w:szCs w:val="21"/>
          <w:lang w:val="zh-CN" w:bidi="zh-CN"/>
        </w:rPr>
        <w:t>而不是</w:t>
      </w:r>
      <w:r>
        <w:rPr>
          <w:rFonts w:hint="eastAsia" w:ascii="宋体" w:hAnsi="宋体" w:eastAsia="宋体" w:cs="HGBZ_CNKI"/>
          <w:kern w:val="0"/>
          <w:szCs w:val="21"/>
          <w:lang w:val="zh-CN" w:bidi="zh-CN"/>
        </w:rPr>
        <w:t>1</w:t>
      </w:r>
      <w:r>
        <w:rPr>
          <w:rFonts w:hint="eastAsia" w:ascii="微软雅黑" w:hAnsi="微软雅黑" w:eastAsia="微软雅黑" w:cs="微软雅黑"/>
          <w:kern w:val="0"/>
          <w:szCs w:val="21"/>
          <w:lang w:val="zh-CN" w:bidi="zh-CN"/>
        </w:rPr>
        <w:t>∙</w:t>
      </w:r>
      <w:r>
        <w:rPr>
          <w:rFonts w:hint="eastAsia" w:ascii="宋体" w:hAnsi="宋体" w:eastAsia="宋体" w:cs="HGBZ_CNKI"/>
          <w:kern w:val="0"/>
          <w:szCs w:val="21"/>
          <w:lang w:val="zh-CN" w:bidi="zh-CN"/>
        </w:rPr>
        <w:t>5</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所以不存在正利润条件下不受剥削工人的存在性问题</w:t>
      </w:r>
      <w:r>
        <w:rPr>
          <w:rFonts w:hint="eastAsia" w:ascii="宋体" w:hAnsi="宋体" w:eastAsia="宋体" w:cs="HGBZ_CNKI"/>
          <w:kern w:val="0"/>
          <w:szCs w:val="21"/>
          <w:lang w:val="zh-CN" w:bidi="zh-CN"/>
        </w:rPr>
        <w:t>。</w:t>
      </w:r>
    </w:p>
    <w:p w14:paraId="3A4938CA">
      <w:pPr>
        <w:autoSpaceDE w:val="0"/>
        <w:autoSpaceDN w:val="0"/>
        <w:spacing w:line="360" w:lineRule="auto"/>
        <w:ind w:firstLine="500" w:firstLineChars="200"/>
        <w:jc w:val="center"/>
        <w:rPr>
          <w:rFonts w:ascii="宋体" w:hAnsi="宋体" w:eastAsia="宋体" w:cs="华光书宋_CNKI"/>
          <w:b/>
          <w:bCs/>
          <w:kern w:val="0"/>
          <w:sz w:val="24"/>
          <w:szCs w:val="24"/>
          <w:lang w:val="zh-CN" w:bidi="zh-CN"/>
        </w:rPr>
      </w:pPr>
      <w:r>
        <w:rPr>
          <w:rFonts w:hint="eastAsia" w:ascii="宋体" w:hAnsi="宋体" w:eastAsia="宋体" w:cs="华光书宋_CNKI"/>
          <w:b/>
          <w:bCs/>
          <w:kern w:val="0"/>
          <w:sz w:val="24"/>
          <w:szCs w:val="24"/>
          <w:lang w:val="zh-CN" w:bidi="zh-CN"/>
        </w:rPr>
        <w:t>三、马克思基本定理的证明</w:t>
      </w:r>
    </w:p>
    <w:p w14:paraId="560D31CD">
      <w:pPr>
        <w:autoSpaceDE w:val="0"/>
        <w:autoSpaceDN w:val="0"/>
        <w:spacing w:line="400" w:lineRule="exact"/>
        <w:ind w:firstLine="440" w:firstLineChars="200"/>
        <w:rPr>
          <w:rFonts w:ascii="宋体" w:hAnsi="宋体" w:eastAsia="宋体" w:cs="华光书宋_CNKI"/>
          <w:b/>
          <w:bCs/>
          <w:kern w:val="0"/>
          <w:sz w:val="24"/>
          <w:szCs w:val="24"/>
          <w:lang w:val="zh-CN" w:bidi="zh-CN"/>
        </w:rPr>
      </w:pPr>
      <w:r>
        <w:rPr>
          <w:rFonts w:ascii="宋体" w:hAnsi="宋体" w:eastAsia="宋体" w:cs="华光书宋_CNKI"/>
          <w:kern w:val="0"/>
          <w:szCs w:val="21"/>
          <w:lang w:val="zh-CN" w:bidi="zh-CN"/>
        </w:rPr>
        <w:t>毛利西马和凯特福斯注意到斯蒂德曼数例中商品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的价值是</w:t>
      </w:r>
      <w:r>
        <w:rPr>
          <w:rFonts w:hint="eastAsia" w:ascii="宋体" w:hAnsi="宋体" w:eastAsia="宋体" w:cs="HGBZ_CNKI"/>
          <w:kern w:val="0"/>
          <w:szCs w:val="21"/>
          <w:lang w:val="zh-CN" w:bidi="zh-CN"/>
        </w:rPr>
        <w:t>－1</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这个负数是导致负剩余价值的关键</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他们批评斯蒂德曼的负价值概念与马克思的价值概念毫无共通之处</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置盐信雄认为上述表</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的数例</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实际上是</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单位的劳动投入生产过程</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可得净产品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1（6－5＝1）</w:t>
      </w:r>
      <w:r>
        <w:rPr>
          <w:rFonts w:ascii="宋体" w:hAnsi="宋体" w:eastAsia="宋体" w:cs="华光书宋_CNKI"/>
          <w:kern w:val="0"/>
          <w:szCs w:val="21"/>
          <w:lang w:val="zh-CN" w:bidi="zh-CN"/>
        </w:rPr>
        <w:t>和</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2（1－0＝1）；</w:t>
      </w:r>
      <w:r>
        <w:rPr>
          <w:rFonts w:ascii="宋体" w:hAnsi="宋体" w:eastAsia="宋体" w:cs="华光书宋_CNKI"/>
          <w:kern w:val="0"/>
          <w:szCs w:val="21"/>
          <w:lang w:val="zh-CN" w:bidi="zh-CN"/>
        </w:rPr>
        <w:t>而投入生产过程</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可得净产品</w:t>
      </w:r>
      <w:r>
        <w:rPr>
          <w:rFonts w:hint="eastAsia" w:ascii="宋体" w:hAnsi="宋体" w:eastAsia="宋体" w:cs="HGBZ_CNKI"/>
          <w:kern w:val="0"/>
          <w:szCs w:val="21"/>
          <w:lang w:val="zh-CN" w:bidi="zh-CN"/>
        </w:rPr>
        <w:t>3</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1（3－0＝3）</w:t>
      </w:r>
      <w:r>
        <w:rPr>
          <w:rFonts w:ascii="宋体" w:hAnsi="宋体" w:eastAsia="宋体" w:cs="华光书宋_CNKI"/>
          <w:kern w:val="0"/>
          <w:szCs w:val="21"/>
          <w:lang w:val="zh-CN" w:bidi="zh-CN"/>
        </w:rPr>
        <w:t>和</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2（12－10＝2）</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因此生产过程</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优于生产过程</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的负价值</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来自这样的情况</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社会从生产过程</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中抽出</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单位劳动</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再把其中的</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单位劳动投入生产过程</w:t>
      </w:r>
      <w:r>
        <w:rPr>
          <w:rFonts w:hint="eastAsia" w:ascii="宋体" w:hAnsi="宋体" w:eastAsia="宋体" w:cs="HGBZ_CNKI"/>
          <w:kern w:val="0"/>
          <w:szCs w:val="21"/>
          <w:lang w:val="zh-CN" w:bidi="zh-CN"/>
        </w:rPr>
        <w:t>2</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这样</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全社会劳动耗费减少了</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单位</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相反净产品却增加了</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单位商品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然而</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这种负价值发生的前提是社会已经不恰当地选用落后的生产过程</w:t>
      </w:r>
      <w:r>
        <w:rPr>
          <w:rFonts w:hint="eastAsia" w:ascii="宋体" w:hAnsi="宋体" w:eastAsia="宋体" w:cs="HGBZ_CNKI"/>
          <w:kern w:val="0"/>
          <w:szCs w:val="21"/>
          <w:lang w:val="zh-CN" w:bidi="zh-CN"/>
        </w:rPr>
        <w:t>1</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在此生产过程中投入了过多的劳动</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而生产过程</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作为一个先进的生产过程被遗忘在一旁</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这种情况能在实际生活中发生吗</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对毛利西马以最少劳动投入量定义商品价值的做法</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置盐信雄认为</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在上述负价值现象发生前</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劳动者投入的劳动总是少于为再生产他实际工资所需的劳动</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即剩余价值总是存在</w:t>
      </w:r>
      <w:r>
        <w:rPr>
          <w:rFonts w:hint="eastAsia" w:ascii="宋体" w:hAnsi="宋体" w:eastAsia="宋体" w:cs="HGBZ_CNKI"/>
          <w:kern w:val="0"/>
          <w:szCs w:val="21"/>
          <w:lang w:val="zh-CN" w:bidi="zh-CN"/>
        </w:rPr>
        <w:t>）</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不论选用哪一生产过程所得出的产品总是超过劳动者的工资品总额</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即剩余产品总是存在</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后来</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置盐信雄进一步证明了不但在一般的联合生产条件下</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就是加上固定资本的存在和技术进步这个因素</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马克思基本定理仍能成立</w:t>
      </w:r>
      <w:r>
        <w:rPr>
          <w:rFonts w:hint="eastAsia" w:ascii="宋体" w:hAnsi="宋体" w:eastAsia="宋体" w:cs="HGBZ_CNKI"/>
          <w:kern w:val="0"/>
          <w:szCs w:val="21"/>
          <w:lang w:val="zh-CN" w:bidi="zh-CN"/>
        </w:rPr>
        <w:t>。</w:t>
      </w:r>
    </w:p>
    <w:p w14:paraId="09F5F581">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实际上</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从逻辑分析的角度看</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只要认可劳动价值论</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马克思基本定理无疑是正确的</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是一个不言自明的定理</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但是我们仍可以用数理分析工具给予马克思基本定理一个精确的证明</w:t>
      </w:r>
      <w:r>
        <w:rPr>
          <w:rFonts w:hint="eastAsia" w:ascii="宋体" w:hAnsi="宋体" w:eastAsia="宋体" w:cs="HGBZ_CNKI"/>
          <w:kern w:val="0"/>
          <w:szCs w:val="21"/>
          <w:lang w:val="zh-CN" w:bidi="zh-CN"/>
        </w:rPr>
        <w:t>。</w:t>
      </w:r>
    </w:p>
    <w:p w14:paraId="06858777">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HGBZ_CNKI"/>
          <w:kern w:val="0"/>
          <w:szCs w:val="21"/>
          <w:lang w:val="zh-CN" w:bidi="zh-CN"/>
        </w:rPr>
        <w:drawing>
          <wp:anchor distT="0" distB="0" distL="114300" distR="114300" simplePos="0" relativeHeight="251696128" behindDoc="0" locked="0" layoutInCell="1" allowOverlap="1">
            <wp:simplePos x="0" y="0"/>
            <wp:positionH relativeFrom="column">
              <wp:posOffset>2374900</wp:posOffset>
            </wp:positionH>
            <wp:positionV relativeFrom="paragraph">
              <wp:posOffset>968375</wp:posOffset>
            </wp:positionV>
            <wp:extent cx="798195" cy="639445"/>
            <wp:effectExtent l="0" t="0" r="14605" b="20955"/>
            <wp:wrapTopAndBottom/>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798195" cy="639445"/>
                    </a:xfrm>
                    <a:prstGeom prst="rect">
                      <a:avLst/>
                    </a:prstGeom>
                    <a:noFill/>
                    <a:ln>
                      <a:noFill/>
                    </a:ln>
                  </pic:spPr>
                </pic:pic>
              </a:graphicData>
            </a:graphic>
          </wp:anchor>
        </w:drawing>
      </w:r>
      <w:r>
        <w:rPr>
          <w:rFonts w:ascii="宋体" w:hAnsi="宋体" w:eastAsia="宋体" w:cs="华光书宋_CNKI"/>
          <w:kern w:val="0"/>
          <w:szCs w:val="21"/>
          <w:lang w:val="zh-CN" w:bidi="zh-CN"/>
        </w:rPr>
        <w:t>令ｐ</w:t>
      </w:r>
      <w:r>
        <w:rPr>
          <w:rFonts w:hint="eastAsia" w:ascii="宋体" w:hAnsi="宋体" w:eastAsia="宋体" w:cs="Malgun Gothic"/>
          <w:kern w:val="0"/>
          <w:szCs w:val="21"/>
          <w:lang w:val="zh-CN" w:bidi="zh-CN"/>
        </w:rPr>
        <w:t>′</w:t>
      </w:r>
      <w:r>
        <w:rPr>
          <w:rFonts w:hint="eastAsia" w:ascii="宋体" w:hAnsi="宋体" w:eastAsia="宋体" w:cs="HGBZ_CNKI"/>
          <w:kern w:val="0"/>
          <w:szCs w:val="21"/>
          <w:lang w:val="zh-CN" w:bidi="zh-CN"/>
        </w:rPr>
        <w:t>＝</w:t>
      </w:r>
      <w:r>
        <w:rPr>
          <w:rFonts w:hint="eastAsia" w:ascii="宋体" w:hAnsi="宋体" w:eastAsia="宋体" w:cs="Malgun Gothic"/>
          <w:kern w:val="0"/>
          <w:szCs w:val="21"/>
          <w:lang w:val="zh-CN" w:bidi="zh-CN"/>
        </w:rPr>
        <w:t>（</w:t>
      </w:r>
      <w:r>
        <w:rPr>
          <w:rFonts w:ascii="宋体" w:hAnsi="宋体" w:eastAsia="宋体" w:cs="华光书宋_CNKI"/>
          <w:kern w:val="0"/>
          <w:szCs w:val="21"/>
          <w:lang w:val="zh-CN" w:bidi="zh-CN"/>
        </w:rPr>
        <w:t>ｐ</w:t>
      </w:r>
      <w:r>
        <w:rPr>
          <w:rFonts w:hint="eastAsia" w:ascii="宋体" w:hAnsi="宋体" w:eastAsia="宋体" w:cs="HGBZ_CNKI"/>
          <w:kern w:val="0"/>
          <w:position w:val="-2"/>
          <w:szCs w:val="21"/>
          <w:lang w:val="zh-CN" w:bidi="zh-CN"/>
        </w:rPr>
        <w:t>1</w:t>
      </w:r>
      <w:r>
        <w:rPr>
          <w:rFonts w:ascii="宋体" w:hAnsi="宋体" w:eastAsia="宋体" w:cs="Malgun Gothic"/>
          <w:kern w:val="0"/>
          <w:szCs w:val="21"/>
          <w:lang w:val="zh-CN" w:bidi="zh-CN"/>
        </w:rPr>
        <w:t>，</w:t>
      </w:r>
      <w:r>
        <w:rPr>
          <w:rFonts w:ascii="宋体" w:hAnsi="宋体" w:eastAsia="宋体" w:cs="华光书宋_CNKI"/>
          <w:kern w:val="0"/>
          <w:szCs w:val="21"/>
          <w:lang w:val="zh-CN" w:bidi="zh-CN"/>
        </w:rPr>
        <w:t>ｐ</w:t>
      </w:r>
      <w:r>
        <w:rPr>
          <w:rFonts w:hint="eastAsia" w:ascii="宋体" w:hAnsi="宋体" w:eastAsia="宋体" w:cs="HGBZ_CNKI"/>
          <w:kern w:val="0"/>
          <w:position w:val="-2"/>
          <w:szCs w:val="21"/>
          <w:lang w:val="zh-CN" w:bidi="zh-CN"/>
        </w:rPr>
        <w:t>2</w:t>
      </w:r>
      <w:r>
        <w:rPr>
          <w:rFonts w:ascii="宋体" w:hAnsi="宋体" w:eastAsia="宋体" w:cs="Malgun Gothic"/>
          <w:kern w:val="0"/>
          <w:szCs w:val="21"/>
          <w:lang w:val="zh-CN" w:bidi="zh-CN"/>
        </w:rPr>
        <w:t>，</w:t>
      </w:r>
      <w:r>
        <w:rPr>
          <w:rFonts w:hint="eastAsia" w:ascii="宋体" w:hAnsi="宋体" w:eastAsia="宋体" w:cs="Malgun Gothic"/>
          <w:b/>
          <w:bCs/>
          <w:kern w:val="0"/>
          <w:szCs w:val="21"/>
          <w:lang w:val="zh-CN" w:bidi="zh-CN"/>
        </w:rPr>
        <w:t>．</w:t>
      </w:r>
      <w:r>
        <w:rPr>
          <w:rFonts w:hint="eastAsia" w:ascii="宋体" w:hAnsi="宋体" w:eastAsia="宋体" w:cs="Malgun Gothic"/>
          <w:kern w:val="0"/>
          <w:szCs w:val="21"/>
          <w:lang w:val="zh-CN" w:bidi="zh-CN"/>
        </w:rPr>
        <w:t>．</w:t>
      </w:r>
      <w:r>
        <w:rPr>
          <w:rFonts w:ascii="宋体" w:hAnsi="宋体" w:eastAsia="宋体" w:cs="Malgun Gothic"/>
          <w:kern w:val="0"/>
          <w:szCs w:val="21"/>
          <w:lang w:val="zh-CN" w:bidi="zh-CN"/>
        </w:rPr>
        <w:t>，</w:t>
      </w:r>
      <w:r>
        <w:rPr>
          <w:rFonts w:ascii="宋体" w:hAnsi="宋体" w:eastAsia="宋体" w:cs="华光书宋_CNKI"/>
          <w:kern w:val="0"/>
          <w:szCs w:val="21"/>
          <w:lang w:val="zh-CN" w:bidi="zh-CN"/>
        </w:rPr>
        <w:t>ｐ</w:t>
      </w:r>
      <w:r>
        <w:rPr>
          <w:rFonts w:ascii="宋体" w:hAnsi="宋体" w:eastAsia="宋体" w:cs="华光书宋_CNKI"/>
          <w:kern w:val="0"/>
          <w:position w:val="-2"/>
          <w:szCs w:val="21"/>
          <w:lang w:val="zh-CN" w:bidi="zh-CN"/>
        </w:rPr>
        <w:t>ｎ</w:t>
      </w:r>
      <w:r>
        <w:rPr>
          <w:rFonts w:hint="eastAsia" w:ascii="宋体" w:hAnsi="宋体" w:eastAsia="宋体" w:cs="Malgun Gothic"/>
          <w:kern w:val="0"/>
          <w:szCs w:val="21"/>
          <w:lang w:val="zh-CN" w:bidi="zh-CN"/>
        </w:rPr>
        <w:t>）</w:t>
      </w:r>
      <w:r>
        <w:rPr>
          <w:rFonts w:ascii="宋体" w:hAnsi="宋体" w:eastAsia="宋体" w:cs="华光书宋_CNKI"/>
          <w:kern w:val="0"/>
          <w:szCs w:val="21"/>
          <w:lang w:val="zh-CN" w:bidi="zh-CN"/>
        </w:rPr>
        <w:t>表示单位商品价格向量</w:t>
      </w:r>
      <w:r>
        <w:rPr>
          <w:rFonts w:hint="eastAsia" w:ascii="宋体" w:hAnsi="宋体" w:eastAsia="宋体" w:cs="宋体"/>
          <w:kern w:val="0"/>
          <w:szCs w:val="21"/>
          <w:lang w:val="zh-CN" w:bidi="zh-CN"/>
        </w:rPr>
        <w:t>，</w:t>
      </w:r>
      <w:r>
        <w:rPr>
          <w:rFonts w:hint="eastAsia" w:ascii="宋体" w:hAnsi="宋体" w:eastAsia="宋体" w:cs="Malgun Gothic"/>
          <w:kern w:val="0"/>
          <w:szCs w:val="21"/>
          <w:lang w:val="zh-CN" w:bidi="zh-CN"/>
        </w:rPr>
        <w:t>τ′</w:t>
      </w:r>
      <w:r>
        <w:rPr>
          <w:rFonts w:hint="eastAsia" w:ascii="宋体" w:hAnsi="宋体" w:eastAsia="宋体" w:cs="HGBZ_CNKI"/>
          <w:kern w:val="0"/>
          <w:szCs w:val="21"/>
          <w:lang w:val="zh-CN" w:bidi="zh-CN"/>
        </w:rPr>
        <w:t>＝</w:t>
      </w:r>
      <w:r>
        <w:rPr>
          <w:rFonts w:hint="eastAsia" w:ascii="宋体" w:hAnsi="宋体" w:eastAsia="宋体" w:cs="Malgun Gothic"/>
          <w:kern w:val="0"/>
          <w:szCs w:val="21"/>
          <w:lang w:val="zh-CN" w:bidi="zh-CN"/>
        </w:rPr>
        <w:t>（τ</w:t>
      </w:r>
      <w:r>
        <w:rPr>
          <w:rFonts w:hint="eastAsia" w:ascii="宋体" w:hAnsi="宋体" w:eastAsia="宋体" w:cs="HGBZ_CNKI"/>
          <w:kern w:val="0"/>
          <w:position w:val="-2"/>
          <w:szCs w:val="21"/>
          <w:lang w:val="zh-CN" w:bidi="zh-CN"/>
        </w:rPr>
        <w:t>1</w:t>
      </w:r>
      <w:r>
        <w:rPr>
          <w:rFonts w:ascii="宋体" w:hAnsi="宋体" w:eastAsia="宋体" w:cs="Malgun Gothic"/>
          <w:kern w:val="0"/>
          <w:szCs w:val="21"/>
          <w:lang w:val="zh-CN" w:bidi="zh-CN"/>
        </w:rPr>
        <w:t>，</w:t>
      </w:r>
      <w:r>
        <w:rPr>
          <w:rFonts w:hint="eastAsia" w:ascii="宋体" w:hAnsi="宋体" w:eastAsia="宋体" w:cs="Malgun Gothic"/>
          <w:kern w:val="0"/>
          <w:szCs w:val="21"/>
          <w:lang w:val="zh-CN" w:bidi="zh-CN"/>
        </w:rPr>
        <w:t>τ</w:t>
      </w:r>
      <w:r>
        <w:rPr>
          <w:rFonts w:hint="eastAsia" w:ascii="宋体" w:hAnsi="宋体" w:eastAsia="宋体" w:cs="HGBZ_CNKI"/>
          <w:kern w:val="0"/>
          <w:position w:val="-2"/>
          <w:szCs w:val="21"/>
          <w:lang w:val="zh-CN" w:bidi="zh-CN"/>
        </w:rPr>
        <w:t>2</w:t>
      </w:r>
      <w:r>
        <w:rPr>
          <w:rFonts w:ascii="宋体" w:hAnsi="宋体" w:eastAsia="宋体" w:cs="Malgun Gothic"/>
          <w:kern w:val="0"/>
          <w:szCs w:val="21"/>
          <w:lang w:val="zh-CN" w:bidi="zh-CN"/>
        </w:rPr>
        <w:t>，</w:t>
      </w:r>
      <w:r>
        <w:rPr>
          <w:rFonts w:hint="eastAsia" w:ascii="宋体" w:hAnsi="宋体" w:eastAsia="宋体" w:cs="Malgun Gothic"/>
          <w:b/>
          <w:bCs/>
          <w:kern w:val="0"/>
          <w:szCs w:val="21"/>
          <w:lang w:val="zh-CN" w:bidi="zh-CN"/>
        </w:rPr>
        <w:t>．</w:t>
      </w:r>
      <w:r>
        <w:rPr>
          <w:rFonts w:hint="eastAsia" w:ascii="宋体" w:hAnsi="宋体" w:eastAsia="宋体" w:cs="Malgun Gothic"/>
          <w:kern w:val="0"/>
          <w:szCs w:val="21"/>
          <w:lang w:val="zh-CN" w:bidi="zh-CN"/>
        </w:rPr>
        <w:t>．</w:t>
      </w:r>
      <w:r>
        <w:rPr>
          <w:rFonts w:ascii="宋体" w:hAnsi="宋体" w:eastAsia="宋体" w:cs="Malgun Gothic"/>
          <w:kern w:val="0"/>
          <w:szCs w:val="21"/>
          <w:lang w:val="zh-CN" w:bidi="zh-CN"/>
        </w:rPr>
        <w:t>，</w:t>
      </w:r>
      <w:r>
        <w:rPr>
          <w:rFonts w:hint="eastAsia" w:ascii="宋体" w:hAnsi="宋体" w:eastAsia="宋体" w:cs="Malgun Gothic"/>
          <w:kern w:val="0"/>
          <w:szCs w:val="21"/>
          <w:lang w:val="zh-CN" w:bidi="zh-CN"/>
        </w:rPr>
        <w:t>τ</w:t>
      </w:r>
      <w:r>
        <w:rPr>
          <w:rFonts w:ascii="宋体" w:hAnsi="宋体" w:eastAsia="宋体" w:cs="华光书宋_CNKI"/>
          <w:kern w:val="0"/>
          <w:position w:val="-2"/>
          <w:szCs w:val="21"/>
          <w:lang w:val="zh-CN" w:bidi="zh-CN"/>
        </w:rPr>
        <w:t>ｎ</w:t>
      </w:r>
      <w:r>
        <w:rPr>
          <w:rFonts w:hint="eastAsia" w:ascii="宋体" w:hAnsi="宋体" w:eastAsia="宋体" w:cs="Malgun Gothic"/>
          <w:kern w:val="0"/>
          <w:szCs w:val="21"/>
          <w:lang w:val="zh-CN" w:bidi="zh-CN"/>
        </w:rPr>
        <w:t>）</w:t>
      </w:r>
      <w:r>
        <w:rPr>
          <w:rFonts w:ascii="宋体" w:hAnsi="宋体" w:eastAsia="宋体" w:cs="华光书宋_CNKI"/>
          <w:kern w:val="0"/>
          <w:szCs w:val="21"/>
          <w:lang w:val="zh-CN" w:bidi="zh-CN"/>
        </w:rPr>
        <w:t>表示各种商品</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单位所需要的必要劳动量向量</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Ｒ</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Ｒ</w:t>
      </w:r>
      <w:r>
        <w:rPr>
          <w:rFonts w:hint="eastAsia" w:ascii="宋体" w:hAnsi="宋体" w:eastAsia="宋体" w:cs="HGBZ_CNKI"/>
          <w:kern w:val="0"/>
          <w:position w:val="-2"/>
          <w:szCs w:val="21"/>
          <w:lang w:val="zh-CN" w:bidi="zh-CN"/>
        </w:rPr>
        <w:t>1</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Ｒ</w:t>
      </w:r>
      <w:r>
        <w:rPr>
          <w:rFonts w:hint="eastAsia" w:ascii="宋体" w:hAnsi="宋体" w:eastAsia="宋体" w:cs="HGBZ_CNKI"/>
          <w:kern w:val="0"/>
          <w:position w:val="-2"/>
          <w:szCs w:val="21"/>
          <w:lang w:val="zh-CN" w:bidi="zh-CN"/>
        </w:rPr>
        <w:t>2</w:t>
      </w:r>
      <w:r>
        <w:rPr>
          <w:rFonts w:hint="eastAsia" w:ascii="宋体" w:hAnsi="宋体" w:eastAsia="宋体" w:cs="宋体"/>
          <w:kern w:val="0"/>
          <w:szCs w:val="21"/>
          <w:lang w:val="zh-CN" w:bidi="zh-CN"/>
        </w:rPr>
        <w:t>，</w:t>
      </w:r>
      <w:r>
        <w:rPr>
          <w:rFonts w:hint="eastAsia" w:ascii="宋体" w:hAnsi="宋体" w:eastAsia="宋体" w:cs="HGBZ_CNKI"/>
          <w:b/>
          <w:bCs/>
          <w:kern w:val="0"/>
          <w:szCs w:val="21"/>
          <w:lang w:val="zh-CN" w:bidi="zh-CN"/>
        </w:rPr>
        <w:t>．</w:t>
      </w:r>
      <w:r>
        <w:rPr>
          <w:rFonts w:hint="eastAsia" w:ascii="宋体" w:hAnsi="宋体" w:eastAsia="宋体" w:cs="HGBZ_CNKI"/>
          <w:kern w:val="0"/>
          <w:szCs w:val="21"/>
          <w:lang w:val="zh-CN" w:bidi="zh-CN"/>
        </w:rPr>
        <w:t>．</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Ｒ</w:t>
      </w:r>
      <w:r>
        <w:rPr>
          <w:rFonts w:ascii="宋体" w:hAnsi="宋体" w:eastAsia="宋体" w:cs="华光书宋_CNKI"/>
          <w:kern w:val="0"/>
          <w:position w:val="-2"/>
          <w:szCs w:val="21"/>
          <w:lang w:val="zh-CN" w:bidi="zh-CN"/>
        </w:rPr>
        <w:t>ｎ</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表示劳动者每单位劳动所得的实际工资</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生活资料</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向量</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Ａ是投入系数矩阵</w:t>
      </w:r>
      <w:r>
        <w:rPr>
          <w:rFonts w:hint="eastAsia" w:ascii="宋体" w:hAnsi="宋体" w:eastAsia="宋体" w:cs="HGBZ_CNKI"/>
          <w:kern w:val="0"/>
          <w:szCs w:val="21"/>
          <w:lang w:val="zh-CN" w:bidi="zh-CN"/>
        </w:rPr>
        <w:t>。</w:t>
      </w:r>
    </w:p>
    <w:p w14:paraId="0F3B2DB0">
      <w:pPr>
        <w:tabs>
          <w:tab w:val="left" w:pos="4375"/>
        </w:tabs>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如果所有部门的利润均为正值</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则有</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ｐ</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Ａｐ</w:t>
      </w:r>
      <w:r>
        <w:rPr>
          <w:rFonts w:hint="eastAsia" w:ascii="宋体" w:hAnsi="宋体" w:eastAsia="宋体" w:cs="HGBZ_CNKI"/>
          <w:kern w:val="0"/>
          <w:szCs w:val="21"/>
          <w:lang w:val="zh-CN" w:bidi="zh-CN"/>
        </w:rPr>
        <w:t>＋τ</w:t>
      </w:r>
      <w:r>
        <w:rPr>
          <w:rFonts w:ascii="宋体" w:hAnsi="宋体" w:eastAsia="宋体" w:cs="华光书宋_CNKI"/>
          <w:kern w:val="0"/>
          <w:szCs w:val="21"/>
          <w:lang w:val="zh-CN" w:bidi="zh-CN"/>
        </w:rPr>
        <w:t>Ｒｐ</w:t>
      </w:r>
      <w:r>
        <w:rPr>
          <w:rFonts w:ascii="宋体" w:hAnsi="宋体" w:eastAsia="宋体" w:cs="华光书宋_CNKI"/>
          <w:kern w:val="0"/>
          <w:szCs w:val="21"/>
          <w:lang w:val="zh-CN" w:bidi="zh-CN"/>
        </w:rPr>
        <w:tab/>
      </w:r>
      <w:r>
        <w:rPr>
          <w:rFonts w:hint="eastAsia" w:ascii="宋体" w:hAnsi="宋体" w:eastAsia="宋体" w:cs="HGBZ_CNKI"/>
          <w:kern w:val="0"/>
          <w:szCs w:val="21"/>
          <w:lang w:val="zh-CN" w:bidi="zh-CN"/>
        </w:rPr>
        <w:t>（1）</w:t>
      </w:r>
    </w:p>
    <w:p w14:paraId="2A706AF4">
      <w:pPr>
        <w:autoSpaceDE w:val="0"/>
        <w:autoSpaceDN w:val="0"/>
        <w:spacing w:line="400" w:lineRule="exact"/>
        <w:ind w:firstLine="440" w:firstLineChars="200"/>
        <w:rPr>
          <w:rFonts w:ascii="宋体" w:hAnsi="宋体" w:eastAsia="宋体" w:cs="华光书宋_CNKI"/>
          <w:kern w:val="0"/>
          <w:szCs w:val="21"/>
          <w:lang w:val="zh-CN" w:bidi="zh-CN"/>
        </w:rPr>
      </w:pP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式表明</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如果所有部门的利润为正值</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则各部门的单位商品价格大于单位商品中所包含的不变资本价格和劳动力价格之和</w:t>
      </w:r>
      <w:r>
        <w:rPr>
          <w:rFonts w:hint="eastAsia" w:ascii="宋体" w:hAnsi="宋体" w:eastAsia="宋体" w:cs="华光书宋_CNKI"/>
          <w:kern w:val="0"/>
          <w:szCs w:val="21"/>
          <w:lang w:val="zh-CN" w:bidi="zh-CN"/>
        </w:rPr>
        <w:t>。</w:t>
      </w:r>
    </w:p>
    <w:p w14:paraId="43A285C9">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令</w:t>
      </w:r>
      <w:r>
        <w:rPr>
          <w:rFonts w:hint="eastAsia" w:ascii="宋体" w:hAnsi="宋体" w:eastAsia="宋体" w:cs="HGBZ_CNKI"/>
          <w:kern w:val="0"/>
          <w:szCs w:val="21"/>
          <w:lang w:val="zh-CN" w:bidi="zh-CN"/>
        </w:rPr>
        <w:t>λ（λ＞0）</w:t>
      </w:r>
      <w:r>
        <w:rPr>
          <w:rFonts w:ascii="宋体" w:hAnsi="宋体" w:eastAsia="宋体" w:cs="华光书宋_CNKI"/>
          <w:kern w:val="0"/>
          <w:szCs w:val="21"/>
          <w:lang w:val="zh-CN" w:bidi="zh-CN"/>
        </w:rPr>
        <w:t>为劳动时间转换为货币的参数</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ｔ</w:t>
      </w:r>
      <w:r>
        <w:rPr>
          <w:rFonts w:hint="eastAsia" w:ascii="宋体" w:hAnsi="宋体" w:eastAsia="宋体" w:cs="Malgun Gothic"/>
          <w:kern w:val="0"/>
          <w:szCs w:val="21"/>
          <w:lang w:val="zh-CN" w:bidi="zh-CN"/>
        </w:rPr>
        <w:t>′</w:t>
      </w:r>
      <w:r>
        <w:rPr>
          <w:rFonts w:hint="eastAsia" w:ascii="宋体" w:hAnsi="宋体" w:eastAsia="宋体" w:cs="HGBZ_CNKI"/>
          <w:kern w:val="0"/>
          <w:szCs w:val="21"/>
          <w:lang w:val="zh-CN" w:bidi="zh-CN"/>
        </w:rPr>
        <w:t>＝</w:t>
      </w:r>
      <w:r>
        <w:rPr>
          <w:rFonts w:hint="eastAsia" w:ascii="宋体" w:hAnsi="宋体" w:eastAsia="宋体" w:cs="Malgun Gothic"/>
          <w:kern w:val="0"/>
          <w:szCs w:val="21"/>
          <w:lang w:val="zh-CN" w:bidi="zh-CN"/>
        </w:rPr>
        <w:t>（</w:t>
      </w:r>
      <w:r>
        <w:rPr>
          <w:rFonts w:ascii="宋体" w:hAnsi="宋体" w:eastAsia="宋体" w:cs="华光书宋_CNKI"/>
          <w:kern w:val="0"/>
          <w:szCs w:val="21"/>
          <w:lang w:val="zh-CN" w:bidi="zh-CN"/>
        </w:rPr>
        <w:t>ｔ</w:t>
      </w:r>
      <w:r>
        <w:rPr>
          <w:rFonts w:hint="eastAsia" w:ascii="宋体" w:hAnsi="宋体" w:eastAsia="宋体" w:cs="HGBZ_CNKI"/>
          <w:kern w:val="0"/>
          <w:position w:val="-2"/>
          <w:szCs w:val="21"/>
          <w:lang w:val="zh-CN" w:bidi="zh-CN"/>
        </w:rPr>
        <w:t>1</w:t>
      </w:r>
      <w:r>
        <w:rPr>
          <w:rFonts w:ascii="宋体" w:hAnsi="宋体" w:eastAsia="宋体" w:cs="Malgun Gothic"/>
          <w:kern w:val="0"/>
          <w:szCs w:val="21"/>
          <w:lang w:val="zh-CN" w:bidi="zh-CN"/>
        </w:rPr>
        <w:t>，</w:t>
      </w:r>
      <w:r>
        <w:rPr>
          <w:rFonts w:ascii="宋体" w:hAnsi="宋体" w:eastAsia="宋体" w:cs="华光书宋_CNKI"/>
          <w:kern w:val="0"/>
          <w:szCs w:val="21"/>
          <w:lang w:val="zh-CN" w:bidi="zh-CN"/>
        </w:rPr>
        <w:t>ｔ</w:t>
      </w:r>
      <w:r>
        <w:rPr>
          <w:rFonts w:hint="eastAsia" w:ascii="宋体" w:hAnsi="宋体" w:eastAsia="宋体" w:cs="HGBZ_CNKI"/>
          <w:kern w:val="0"/>
          <w:position w:val="-2"/>
          <w:szCs w:val="21"/>
          <w:lang w:val="zh-CN" w:bidi="zh-CN"/>
        </w:rPr>
        <w:t>2</w:t>
      </w:r>
      <w:r>
        <w:rPr>
          <w:rFonts w:ascii="宋体" w:hAnsi="宋体" w:eastAsia="宋体" w:cs="Malgun Gothic"/>
          <w:kern w:val="0"/>
          <w:szCs w:val="21"/>
          <w:lang w:val="zh-CN" w:bidi="zh-CN"/>
        </w:rPr>
        <w:t>，</w:t>
      </w:r>
      <w:r>
        <w:rPr>
          <w:rFonts w:hint="eastAsia" w:ascii="宋体" w:hAnsi="宋体" w:eastAsia="宋体" w:cs="Malgun Gothic"/>
          <w:b/>
          <w:bCs/>
          <w:kern w:val="0"/>
          <w:szCs w:val="21"/>
          <w:lang w:val="zh-CN" w:bidi="zh-CN"/>
        </w:rPr>
        <w:t>．</w:t>
      </w:r>
      <w:r>
        <w:rPr>
          <w:rFonts w:hint="eastAsia" w:ascii="宋体" w:hAnsi="宋体" w:eastAsia="宋体" w:cs="Malgun Gothic"/>
          <w:kern w:val="0"/>
          <w:szCs w:val="21"/>
          <w:lang w:val="zh-CN" w:bidi="zh-CN"/>
        </w:rPr>
        <w:t>．</w:t>
      </w:r>
      <w:r>
        <w:rPr>
          <w:rFonts w:ascii="宋体" w:hAnsi="宋体" w:eastAsia="宋体" w:cs="Malgun Gothic"/>
          <w:kern w:val="0"/>
          <w:szCs w:val="21"/>
          <w:lang w:val="zh-CN" w:bidi="zh-CN"/>
        </w:rPr>
        <w:t>，</w:t>
      </w:r>
      <w:r>
        <w:rPr>
          <w:rFonts w:ascii="宋体" w:hAnsi="宋体" w:eastAsia="宋体" w:cs="华光书宋_CNKI"/>
          <w:kern w:val="0"/>
          <w:szCs w:val="21"/>
          <w:lang w:val="zh-CN" w:bidi="zh-CN"/>
        </w:rPr>
        <w:t>ｔ</w:t>
      </w:r>
      <w:r>
        <w:rPr>
          <w:rFonts w:ascii="宋体" w:hAnsi="宋体" w:eastAsia="宋体" w:cs="华光书宋_CNKI"/>
          <w:kern w:val="0"/>
          <w:position w:val="-2"/>
          <w:szCs w:val="21"/>
          <w:lang w:val="zh-CN" w:bidi="zh-CN"/>
        </w:rPr>
        <w:t>ｎ</w:t>
      </w:r>
      <w:r>
        <w:rPr>
          <w:rFonts w:hint="eastAsia" w:ascii="宋体" w:hAnsi="宋体" w:eastAsia="宋体" w:cs="Malgun Gothic"/>
          <w:kern w:val="0"/>
          <w:szCs w:val="21"/>
          <w:lang w:val="zh-CN" w:bidi="zh-CN"/>
        </w:rPr>
        <w:t>）</w:t>
      </w:r>
      <w:r>
        <w:rPr>
          <w:rFonts w:ascii="宋体" w:hAnsi="宋体" w:eastAsia="宋体" w:cs="华光书宋_CNKI"/>
          <w:kern w:val="0"/>
          <w:szCs w:val="21"/>
          <w:lang w:val="zh-CN" w:bidi="zh-CN"/>
        </w:rPr>
        <w:t>表示单位商品价值向量</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则</w:t>
      </w:r>
      <w:r>
        <w:rPr>
          <w:rFonts w:hint="eastAsia" w:ascii="宋体" w:hAnsi="宋体" w:eastAsia="宋体" w:cs="HGBZ_CNKI"/>
          <w:kern w:val="0"/>
          <w:szCs w:val="21"/>
          <w:lang w:val="zh-CN" w:bidi="zh-CN"/>
        </w:rPr>
        <w:t>：</w:t>
      </w:r>
    </w:p>
    <w:p w14:paraId="71199DDD">
      <w:pPr>
        <w:tabs>
          <w:tab w:val="left" w:pos="4375"/>
        </w:tabs>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ｐ</w:t>
      </w:r>
      <w:r>
        <w:rPr>
          <w:rFonts w:hint="eastAsia" w:ascii="宋体" w:hAnsi="宋体" w:eastAsia="宋体" w:cs="华光书宋_CNKI"/>
          <w:kern w:val="0"/>
          <w:szCs w:val="21"/>
          <w:lang w:val="zh-CN" w:bidi="zh-CN"/>
        </w:rPr>
        <w:t>＝λ</w:t>
      </w:r>
      <w:r>
        <w:rPr>
          <w:rFonts w:ascii="宋体" w:hAnsi="宋体" w:eastAsia="宋体" w:cs="华光书宋_CNKI"/>
          <w:kern w:val="0"/>
          <w:szCs w:val="21"/>
          <w:lang w:val="zh-CN" w:bidi="zh-CN"/>
        </w:rPr>
        <w:t>ｔ</w:t>
      </w:r>
      <w:r>
        <w:rPr>
          <w:rFonts w:ascii="宋体" w:hAnsi="宋体" w:eastAsia="宋体" w:cs="华光书宋_CNKI"/>
          <w:kern w:val="0"/>
          <w:szCs w:val="21"/>
          <w:lang w:val="zh-CN" w:bidi="zh-CN"/>
        </w:rPr>
        <w:tab/>
      </w:r>
      <w:r>
        <w:rPr>
          <w:rFonts w:hint="eastAsia" w:ascii="宋体" w:hAnsi="宋体" w:eastAsia="宋体" w:cs="华光书宋_CNKI"/>
          <w:kern w:val="0"/>
          <w:szCs w:val="21"/>
          <w:lang w:val="zh-CN" w:bidi="zh-CN"/>
        </w:rPr>
        <w:t>（2）</w:t>
      </w:r>
    </w:p>
    <w:p w14:paraId="5CB62546">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且</w:t>
      </w:r>
    </w:p>
    <w:p w14:paraId="1897F737">
      <w:pPr>
        <w:tabs>
          <w:tab w:val="left" w:pos="4375"/>
        </w:tabs>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ｔ</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Ａｔ</w:t>
      </w:r>
      <w:r>
        <w:rPr>
          <w:rFonts w:hint="eastAsia" w:ascii="宋体" w:hAnsi="宋体" w:eastAsia="宋体" w:cs="华光书宋_CNKI"/>
          <w:kern w:val="0"/>
          <w:szCs w:val="21"/>
          <w:lang w:val="zh-CN" w:bidi="zh-CN"/>
        </w:rPr>
        <w:t>＋τ</w:t>
      </w:r>
      <w:r>
        <w:rPr>
          <w:rFonts w:hint="eastAsia" w:ascii="宋体" w:hAnsi="宋体" w:eastAsia="宋体" w:cs="华光书宋_CNKI"/>
          <w:kern w:val="0"/>
          <w:szCs w:val="21"/>
          <w:lang w:val="zh-CN" w:bidi="zh-CN"/>
        </w:rPr>
        <w:tab/>
      </w:r>
      <w:r>
        <w:rPr>
          <w:rFonts w:hint="eastAsia" w:ascii="宋体" w:hAnsi="宋体" w:eastAsia="宋体" w:cs="华光书宋_CNKI"/>
          <w:kern w:val="0"/>
          <w:szCs w:val="21"/>
          <w:lang w:val="zh-CN" w:bidi="zh-CN"/>
        </w:rPr>
        <w:t>（3）</w:t>
      </w:r>
    </w:p>
    <w:p w14:paraId="22D53220">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把公式</w:t>
      </w: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代入公式</w:t>
      </w:r>
      <w:r>
        <w:rPr>
          <w:rFonts w:hint="eastAsia" w:ascii="宋体" w:hAnsi="宋体" w:eastAsia="宋体" w:cs="HGBZ_CNKI"/>
          <w:kern w:val="0"/>
          <w:szCs w:val="21"/>
          <w:lang w:val="zh-CN" w:bidi="zh-CN"/>
        </w:rPr>
        <w:t>（1）</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可得</w:t>
      </w:r>
      <w:r>
        <w:rPr>
          <w:rFonts w:hint="eastAsia" w:ascii="宋体" w:hAnsi="宋体" w:eastAsia="宋体" w:cs="HGBZ_CNKI"/>
          <w:kern w:val="0"/>
          <w:szCs w:val="21"/>
          <w:lang w:val="zh-CN" w:bidi="zh-CN"/>
        </w:rPr>
        <w:t>：</w:t>
      </w:r>
    </w:p>
    <w:p w14:paraId="14D299BB">
      <w:pPr>
        <w:tabs>
          <w:tab w:val="left" w:pos="4375"/>
        </w:tabs>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ｔ</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Ａｔ</w:t>
      </w:r>
      <w:r>
        <w:rPr>
          <w:rFonts w:hint="eastAsia" w:ascii="宋体" w:hAnsi="宋体" w:eastAsia="宋体" w:cs="华光书宋_CNKI"/>
          <w:kern w:val="0"/>
          <w:szCs w:val="21"/>
          <w:lang w:val="zh-CN" w:bidi="zh-CN"/>
        </w:rPr>
        <w:t>＋τ</w:t>
      </w:r>
      <w:r>
        <w:rPr>
          <w:rFonts w:ascii="宋体" w:hAnsi="宋体" w:eastAsia="宋体" w:cs="华光书宋_CNKI"/>
          <w:kern w:val="0"/>
          <w:szCs w:val="21"/>
          <w:lang w:val="zh-CN" w:bidi="zh-CN"/>
        </w:rPr>
        <w:t>Ｒｔ</w:t>
      </w:r>
      <w:r>
        <w:rPr>
          <w:rFonts w:ascii="宋体" w:hAnsi="宋体" w:eastAsia="宋体" w:cs="华光书宋_CNKI"/>
          <w:kern w:val="0"/>
          <w:szCs w:val="21"/>
          <w:lang w:val="zh-CN" w:bidi="zh-CN"/>
        </w:rPr>
        <w:tab/>
      </w:r>
      <w:r>
        <w:rPr>
          <w:rFonts w:hint="eastAsia" w:ascii="宋体" w:hAnsi="宋体" w:eastAsia="宋体" w:cs="华光书宋_CNKI"/>
          <w:kern w:val="0"/>
          <w:szCs w:val="21"/>
          <w:lang w:val="zh-CN" w:bidi="zh-CN"/>
        </w:rPr>
        <w:t>（4）</w:t>
      </w:r>
    </w:p>
    <w:p w14:paraId="2A438E26">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把公式</w:t>
      </w:r>
      <w:r>
        <w:rPr>
          <w:rFonts w:hint="eastAsia" w:ascii="宋体" w:hAnsi="宋体" w:eastAsia="宋体" w:cs="华光书宋_CNKI"/>
          <w:kern w:val="0"/>
          <w:szCs w:val="21"/>
          <w:lang w:val="zh-CN" w:bidi="zh-CN"/>
        </w:rPr>
        <w:t>（3）</w:t>
      </w:r>
      <w:r>
        <w:rPr>
          <w:rFonts w:ascii="宋体" w:hAnsi="宋体" w:eastAsia="宋体" w:cs="华光书宋_CNKI"/>
          <w:kern w:val="0"/>
          <w:szCs w:val="21"/>
          <w:lang w:val="zh-CN" w:bidi="zh-CN"/>
        </w:rPr>
        <w:t>代入公式</w:t>
      </w:r>
      <w:r>
        <w:rPr>
          <w:rFonts w:hint="eastAsia" w:ascii="宋体" w:hAnsi="宋体" w:eastAsia="宋体" w:cs="华光书宋_CNKI"/>
          <w:kern w:val="0"/>
          <w:szCs w:val="21"/>
          <w:lang w:val="zh-CN" w:bidi="zh-CN"/>
        </w:rPr>
        <w:t>（4）</w:t>
      </w:r>
      <w:r>
        <w:rPr>
          <w:rFonts w:ascii="宋体" w:hAnsi="宋体" w:eastAsia="宋体" w:cs="华光书宋_CNKI"/>
          <w:kern w:val="0"/>
          <w:szCs w:val="21"/>
          <w:lang w:val="zh-CN" w:bidi="zh-CN"/>
        </w:rPr>
        <w:t>可得</w:t>
      </w:r>
      <w:r>
        <w:rPr>
          <w:rFonts w:hint="eastAsia" w:ascii="宋体" w:hAnsi="宋体" w:eastAsia="宋体" w:cs="华光书宋_CNKI"/>
          <w:kern w:val="0"/>
          <w:szCs w:val="21"/>
          <w:lang w:val="zh-CN" w:bidi="zh-CN"/>
        </w:rPr>
        <w:t>：τ（1－</w:t>
      </w:r>
      <w:r>
        <w:rPr>
          <w:rFonts w:ascii="宋体" w:hAnsi="宋体" w:eastAsia="宋体" w:cs="华光书宋_CNKI"/>
          <w:kern w:val="0"/>
          <w:szCs w:val="21"/>
          <w:lang w:val="zh-CN" w:bidi="zh-CN"/>
        </w:rPr>
        <w:t>Ｒｔ</w:t>
      </w:r>
      <w:r>
        <w:rPr>
          <w:rFonts w:hint="eastAsia" w:ascii="宋体" w:hAnsi="宋体" w:eastAsia="宋体" w:cs="华光书宋_CNKI"/>
          <w:kern w:val="0"/>
          <w:szCs w:val="21"/>
          <w:lang w:val="zh-CN" w:bidi="zh-CN"/>
        </w:rPr>
        <w:t>）＞0</w:t>
      </w:r>
    </w:p>
    <w:p w14:paraId="0BD1C678">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华光书宋_CNKI"/>
          <w:kern w:val="0"/>
          <w:szCs w:val="21"/>
          <w:lang w:val="zh-CN" w:bidi="zh-CN"/>
        </w:rPr>
        <w:t>由于</w:t>
      </w:r>
      <w:r>
        <w:rPr>
          <w:rFonts w:hint="eastAsia" w:ascii="宋体" w:hAnsi="宋体" w:eastAsia="宋体" w:cs="HGBZ_CNKI"/>
          <w:kern w:val="0"/>
          <w:szCs w:val="21"/>
          <w:lang w:val="zh-CN" w:bidi="zh-CN"/>
        </w:rPr>
        <w:t>τ＞0</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所以</w:t>
      </w:r>
      <w:r>
        <w:rPr>
          <w:rFonts w:hint="eastAsia" w:ascii="宋体" w:hAnsi="宋体" w:eastAsia="宋体" w:cs="HGBZ_CNKI"/>
          <w:kern w:val="0"/>
          <w:szCs w:val="21"/>
          <w:lang w:val="zh-CN" w:bidi="zh-CN"/>
        </w:rPr>
        <w:t>：</w:t>
      </w:r>
    </w:p>
    <w:p w14:paraId="2927B734">
      <w:pPr>
        <w:tabs>
          <w:tab w:val="left" w:pos="4375"/>
        </w:tabs>
        <w:autoSpaceDE w:val="0"/>
        <w:autoSpaceDN w:val="0"/>
        <w:spacing w:line="400" w:lineRule="exact"/>
        <w:ind w:firstLine="440" w:firstLineChars="200"/>
        <w:rPr>
          <w:rFonts w:ascii="宋体" w:hAnsi="宋体" w:eastAsia="宋体" w:cs="华光书宋_CNKI"/>
          <w:kern w:val="0"/>
          <w:szCs w:val="21"/>
          <w:lang w:val="zh-CN" w:bidi="zh-CN"/>
        </w:rPr>
      </w:pPr>
      <w:r>
        <w:rPr>
          <w:rFonts w:hint="eastAsia" w:ascii="宋体" w:hAnsi="宋体" w:eastAsia="宋体" w:cs="华光书宋_CNKI"/>
          <w:kern w:val="0"/>
          <w:szCs w:val="21"/>
          <w:lang w:val="zh-CN" w:bidi="zh-CN"/>
        </w:rPr>
        <w:t>1－</w:t>
      </w:r>
      <w:r>
        <w:rPr>
          <w:rFonts w:ascii="宋体" w:hAnsi="宋体" w:eastAsia="宋体" w:cs="华光书宋_CNKI"/>
          <w:kern w:val="0"/>
          <w:szCs w:val="21"/>
          <w:lang w:val="zh-CN" w:bidi="zh-CN"/>
        </w:rPr>
        <w:t>Ｒｔ</w:t>
      </w:r>
      <w:r>
        <w:rPr>
          <w:rFonts w:hint="eastAsia" w:ascii="宋体" w:hAnsi="宋体" w:eastAsia="宋体" w:cs="华光书宋_CNKI"/>
          <w:kern w:val="0"/>
          <w:szCs w:val="21"/>
          <w:lang w:val="zh-CN" w:bidi="zh-CN"/>
        </w:rPr>
        <w:t>＞0</w:t>
      </w:r>
      <w:r>
        <w:rPr>
          <w:rFonts w:hint="eastAsia" w:ascii="宋体" w:hAnsi="宋体" w:eastAsia="宋体" w:cs="华光书宋_CNKI"/>
          <w:kern w:val="0"/>
          <w:szCs w:val="21"/>
          <w:lang w:val="zh-CN" w:bidi="zh-CN"/>
        </w:rPr>
        <w:tab/>
      </w:r>
      <w:r>
        <w:rPr>
          <w:rFonts w:hint="eastAsia" w:ascii="宋体" w:hAnsi="宋体" w:eastAsia="宋体" w:cs="华光书宋_CNKI"/>
          <w:kern w:val="0"/>
          <w:szCs w:val="21"/>
          <w:lang w:val="zh-CN" w:bidi="zh-CN"/>
        </w:rPr>
        <w:t>（5）</w:t>
      </w:r>
    </w:p>
    <w:p w14:paraId="4C0F3F21">
      <w:pPr>
        <w:tabs>
          <w:tab w:val="left" w:pos="4375"/>
        </w:tabs>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由于Ｒ表示劳动者每单位劳动所得的实际工资向量</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ｔ表示单位商品价值向量</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所以Ｒｔ为单位劳动时间的劳动力价值</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那么</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公式</w:t>
      </w:r>
      <w:r>
        <w:rPr>
          <w:rFonts w:hint="eastAsia" w:ascii="宋体" w:hAnsi="宋体" w:eastAsia="宋体" w:cs="HGBZ_CNKI"/>
          <w:kern w:val="0"/>
          <w:szCs w:val="21"/>
          <w:lang w:val="zh-CN" w:bidi="zh-CN"/>
        </w:rPr>
        <w:t>（5）</w:t>
      </w:r>
      <w:r>
        <w:rPr>
          <w:rFonts w:ascii="宋体" w:hAnsi="宋体" w:eastAsia="宋体" w:cs="华光书宋_CNKI"/>
          <w:kern w:val="0"/>
          <w:szCs w:val="21"/>
          <w:lang w:val="zh-CN" w:bidi="zh-CN"/>
        </w:rPr>
        <w:t>的含义为</w:t>
      </w: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Ｒｔ</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即劳动者所获得的报酬比他实际付出的少</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也就是说</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所有的部门都存在正的利润的前提条件是劳动力价值小于他所付出的劳动时间</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因此</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剩余劳动的存在是利润存在的前提</w:t>
      </w:r>
      <w:r>
        <w:rPr>
          <w:rFonts w:hint="eastAsia" w:ascii="宋体" w:hAnsi="宋体" w:eastAsia="宋体" w:cs="HGBZ_CNKI"/>
          <w:kern w:val="0"/>
          <w:szCs w:val="21"/>
          <w:lang w:val="zh-CN" w:bidi="zh-CN"/>
        </w:rPr>
        <w:t>。</w:t>
      </w:r>
      <w:r>
        <w:rPr>
          <w:rFonts w:hint="eastAsia" w:ascii="宋体" w:hAnsi="宋体" w:eastAsia="宋体" w:cs="HGBZ_CNKI"/>
          <w:kern w:val="0"/>
          <w:position w:val="9"/>
          <w:szCs w:val="21"/>
          <w:lang w:val="zh-CN" w:bidi="zh-CN"/>
        </w:rPr>
        <w:t>〔3〕</w:t>
      </w:r>
    </w:p>
    <w:p w14:paraId="2BD32F37">
      <w:pPr>
        <w:autoSpaceDE w:val="0"/>
        <w:autoSpaceDN w:val="0"/>
        <w:spacing w:line="400" w:lineRule="exact"/>
        <w:ind w:firstLine="440" w:firstLineChars="200"/>
        <w:rPr>
          <w:rFonts w:ascii="宋体" w:hAnsi="宋体" w:eastAsia="宋体" w:cs="华光书宋_CNKI"/>
          <w:kern w:val="0"/>
          <w:szCs w:val="21"/>
          <w:lang w:val="zh-CN" w:bidi="zh-CN"/>
        </w:rPr>
      </w:pPr>
      <w:r>
        <w:rPr>
          <w:rFonts w:ascii="宋体" w:hAnsi="宋体" w:eastAsia="宋体" w:cs="华光书宋_CNKI"/>
          <w:kern w:val="0"/>
          <w:szCs w:val="21"/>
          <w:lang w:val="zh-CN" w:bidi="zh-CN"/>
        </w:rPr>
        <w:tab/>
      </w:r>
      <w:r>
        <w:rPr>
          <w:rFonts w:ascii="宋体" w:hAnsi="宋体" w:eastAsia="宋体" w:cs="华光书宋_CNKI"/>
          <w:kern w:val="0"/>
          <w:szCs w:val="21"/>
          <w:lang w:val="zh-CN" w:bidi="zh-CN"/>
        </w:rPr>
        <w:t>上述对</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马克思基本定理</w:t>
      </w:r>
      <w:r>
        <w:rPr>
          <w:rFonts w:hint="eastAsia" w:ascii="宋体" w:hAnsi="宋体" w:eastAsia="宋体" w:cs="华光书宋_CNKI"/>
          <w:kern w:val="0"/>
          <w:szCs w:val="21"/>
          <w:lang w:val="zh-CN" w:bidi="zh-CN"/>
        </w:rPr>
        <w:t>”</w:t>
      </w:r>
      <w:r>
        <w:rPr>
          <w:rFonts w:ascii="宋体" w:hAnsi="宋体" w:eastAsia="宋体" w:cs="华光书宋_CNKI"/>
          <w:kern w:val="0"/>
          <w:szCs w:val="21"/>
          <w:lang w:val="zh-CN" w:bidi="zh-CN"/>
        </w:rPr>
        <w:t>的证明只不过是对马克思关于利润与剩余价值之间关系论述的数理表达</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或者可以说</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所谓的</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马克思基本定理</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可以理解为马克思劳动价值论的一个引理</w:t>
      </w:r>
      <w:r>
        <w:rPr>
          <w:rFonts w:hint="eastAsia" w:ascii="宋体" w:hAnsi="宋体" w:eastAsia="宋体" w:cs="华光书宋_CNKI"/>
          <w:kern w:val="0"/>
          <w:szCs w:val="21"/>
          <w:lang w:val="zh-CN" w:bidi="zh-CN"/>
        </w:rPr>
        <w:t>。</w:t>
      </w:r>
    </w:p>
    <w:p w14:paraId="33FAAF00">
      <w:pPr>
        <w:autoSpaceDE w:val="0"/>
        <w:autoSpaceDN w:val="0"/>
        <w:spacing w:line="400" w:lineRule="exact"/>
        <w:ind w:firstLine="440" w:firstLineChars="200"/>
        <w:rPr>
          <w:rFonts w:ascii="宋体" w:hAnsi="宋体" w:eastAsia="宋体" w:cs="华光书宋_CNKI"/>
          <w:kern w:val="0"/>
          <w:szCs w:val="21"/>
          <w:lang w:val="zh-CN" w:bidi="zh-CN"/>
        </w:rPr>
      </w:pPr>
      <w:r>
        <w:rPr>
          <w:rFonts w:hint="eastAsia" w:ascii="宋体" w:hAnsi="宋体" w:eastAsia="宋体" w:cs="华光书宋_CNKI"/>
          <w:kern w:val="0"/>
          <w:szCs w:val="21"/>
          <w:lang w:val="zh-CN" w:bidi="zh-CN"/>
        </w:rPr>
        <w:t>〔参考文献〕</w:t>
      </w:r>
    </w:p>
    <w:p w14:paraId="57C0CF54">
      <w:pPr>
        <w:autoSpaceDE w:val="0"/>
        <w:autoSpaceDN w:val="0"/>
        <w:spacing w:line="400" w:lineRule="exact"/>
        <w:ind w:firstLine="440" w:firstLineChars="200"/>
        <w:rPr>
          <w:rFonts w:ascii="宋体" w:hAnsi="宋体" w:eastAsia="宋体" w:cs="HGBZ_CNKI"/>
          <w:kern w:val="0"/>
          <w:szCs w:val="21"/>
          <w:lang w:val="zh-CN" w:bidi="zh-CN"/>
        </w:rPr>
      </w:pPr>
      <w:r>
        <w:rPr>
          <w:rFonts w:hint="eastAsia" w:ascii="宋体" w:hAnsi="宋体" w:eastAsia="宋体" w:cs="HGBZ_CNKI"/>
          <w:kern w:val="0"/>
          <w:szCs w:val="21"/>
          <w:lang w:val="zh-CN" w:bidi="zh-CN"/>
        </w:rPr>
        <w:t>〔1〕</w:t>
      </w:r>
      <w:r>
        <w:rPr>
          <w:rFonts w:ascii="宋体" w:hAnsi="宋体" w:eastAsia="宋体" w:cs="华光书宋_CNKI"/>
          <w:kern w:val="0"/>
          <w:szCs w:val="21"/>
          <w:lang w:val="zh-CN" w:bidi="zh-CN"/>
        </w:rPr>
        <w:t>斯蒂德曼</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按照斯拉法思想研究马克思</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Ｍ</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陈东威译</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商务印书馆</w:t>
      </w:r>
      <w:r>
        <w:rPr>
          <w:rFonts w:hint="eastAsia" w:ascii="宋体" w:hAnsi="宋体" w:eastAsia="宋体" w:cs="宋体"/>
          <w:kern w:val="0"/>
          <w:szCs w:val="21"/>
          <w:lang w:val="zh-CN" w:bidi="zh-CN"/>
        </w:rPr>
        <w:t>，</w:t>
      </w:r>
      <w:r>
        <w:rPr>
          <w:rFonts w:hint="eastAsia" w:ascii="宋体" w:hAnsi="宋体" w:eastAsia="宋体" w:cs="HGBZ_CNKI"/>
          <w:kern w:val="0"/>
          <w:szCs w:val="21"/>
          <w:lang w:val="zh-CN" w:bidi="zh-CN"/>
        </w:rPr>
        <w:t>1</w:t>
      </w:r>
      <w:r>
        <w:rPr>
          <w:rFonts w:hint="eastAsia" w:ascii="宋体" w:hAnsi="宋体" w:eastAsia="宋体" w:cs="HGBZ_CNKI"/>
          <w:b/>
          <w:bCs/>
          <w:kern w:val="0"/>
          <w:szCs w:val="21"/>
          <w:lang w:val="zh-CN" w:bidi="zh-CN"/>
        </w:rPr>
        <w:t>9</w:t>
      </w:r>
      <w:r>
        <w:rPr>
          <w:rFonts w:hint="eastAsia" w:ascii="宋体" w:hAnsi="宋体" w:eastAsia="宋体" w:cs="HGBZ_CNKI"/>
          <w:kern w:val="0"/>
          <w:szCs w:val="21"/>
          <w:lang w:val="zh-CN" w:bidi="zh-CN"/>
        </w:rPr>
        <w:t>1．</w:t>
      </w:r>
    </w:p>
    <w:p w14:paraId="4180109B">
      <w:pPr>
        <w:autoSpaceDE w:val="0"/>
        <w:autoSpaceDN w:val="0"/>
        <w:spacing w:line="400" w:lineRule="exact"/>
        <w:ind w:firstLine="440" w:firstLineChars="200"/>
        <w:rPr>
          <w:rFonts w:ascii="宋体" w:hAnsi="宋体" w:eastAsia="宋体" w:cs="HGBZ_CNKI"/>
          <w:kern w:val="0"/>
          <w:szCs w:val="21"/>
          <w:lang w:val="zh-CN" w:bidi="zh-CN"/>
        </w:rPr>
      </w:pPr>
      <w:r>
        <w:rPr>
          <w:rFonts w:hint="eastAsia" w:ascii="宋体" w:hAnsi="宋体" w:eastAsia="宋体" w:cs="HGBZ_CNKI"/>
          <w:kern w:val="0"/>
          <w:szCs w:val="21"/>
          <w:lang w:val="zh-CN" w:bidi="zh-CN"/>
        </w:rPr>
        <w:t>〔2〕</w:t>
      </w:r>
      <w:r>
        <w:rPr>
          <w:rFonts w:ascii="宋体" w:hAnsi="宋体" w:eastAsia="宋体" w:cs="华光书宋_CNKI"/>
          <w:kern w:val="0"/>
          <w:szCs w:val="21"/>
          <w:lang w:val="zh-CN" w:bidi="zh-CN"/>
        </w:rPr>
        <w:t>程恩富</w:t>
      </w:r>
      <w:r>
        <w:rPr>
          <w:rFonts w:hint="eastAsia" w:ascii="宋体" w:hAnsi="宋体" w:eastAsia="宋体" w:cs="宋体"/>
          <w:kern w:val="0"/>
          <w:szCs w:val="21"/>
          <w:lang w:val="zh-CN" w:bidi="zh-CN"/>
        </w:rPr>
        <w:t>，</w:t>
      </w:r>
      <w:r>
        <w:rPr>
          <w:rFonts w:ascii="宋体" w:hAnsi="宋体" w:eastAsia="宋体" w:cs="华光书宋_CNKI"/>
          <w:kern w:val="0"/>
          <w:szCs w:val="21"/>
          <w:lang w:val="zh-CN" w:bidi="zh-CN"/>
        </w:rPr>
        <w:t>顾海良主编</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海派经济学</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第</w:t>
      </w:r>
      <w:r>
        <w:rPr>
          <w:rFonts w:hint="eastAsia" w:ascii="宋体" w:hAnsi="宋体" w:eastAsia="宋体" w:cs="HGBZ_CNKI"/>
          <w:kern w:val="0"/>
          <w:szCs w:val="21"/>
          <w:lang w:val="zh-CN" w:bidi="zh-CN"/>
        </w:rPr>
        <w:t>14</w:t>
      </w:r>
      <w:r>
        <w:rPr>
          <w:rFonts w:ascii="宋体" w:hAnsi="宋体" w:eastAsia="宋体" w:cs="华光书宋_CNKI"/>
          <w:kern w:val="0"/>
          <w:szCs w:val="21"/>
          <w:lang w:val="zh-CN" w:bidi="zh-CN"/>
        </w:rPr>
        <w:t>辑</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Ｍ</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上海财经大学出版社</w:t>
      </w:r>
      <w:r>
        <w:rPr>
          <w:rFonts w:hint="eastAsia" w:ascii="宋体" w:hAnsi="宋体" w:eastAsia="宋体" w:cs="宋体"/>
          <w:kern w:val="0"/>
          <w:szCs w:val="21"/>
          <w:lang w:val="zh-CN" w:bidi="zh-CN"/>
        </w:rPr>
        <w:t>，</w:t>
      </w:r>
      <w:r>
        <w:rPr>
          <w:rFonts w:hint="eastAsia" w:ascii="宋体" w:hAnsi="宋体" w:eastAsia="宋体" w:cs="HGBZ_CNKI"/>
          <w:kern w:val="0"/>
          <w:szCs w:val="21"/>
          <w:lang w:val="zh-CN" w:bidi="zh-CN"/>
        </w:rPr>
        <w:t>2</w:t>
      </w:r>
      <w:r>
        <w:rPr>
          <w:rFonts w:hint="eastAsia" w:ascii="宋体" w:hAnsi="宋体" w:eastAsia="宋体" w:cs="HGBZ_CNKI"/>
          <w:b/>
          <w:bCs/>
          <w:kern w:val="0"/>
          <w:szCs w:val="21"/>
          <w:lang w:val="zh-CN" w:bidi="zh-CN"/>
        </w:rPr>
        <w:t>0</w:t>
      </w:r>
      <w:r>
        <w:rPr>
          <w:rFonts w:hint="eastAsia" w:ascii="宋体" w:hAnsi="宋体" w:eastAsia="宋体" w:cs="HGBZ_CNKI"/>
          <w:kern w:val="0"/>
          <w:szCs w:val="21"/>
          <w:lang w:val="zh-CN" w:bidi="zh-CN"/>
        </w:rPr>
        <w:t>6．141－142．</w:t>
      </w:r>
    </w:p>
    <w:p w14:paraId="41DC2705">
      <w:pPr>
        <w:autoSpaceDE w:val="0"/>
        <w:autoSpaceDN w:val="0"/>
        <w:spacing w:line="400" w:lineRule="exact"/>
        <w:ind w:firstLine="440" w:firstLineChars="200"/>
        <w:rPr>
          <w:rFonts w:ascii="宋体" w:hAnsi="宋体" w:eastAsia="宋体" w:cs="HGBZ_CNKI"/>
          <w:kern w:val="0"/>
          <w:szCs w:val="21"/>
          <w:lang w:val="zh-CN" w:bidi="zh-CN"/>
        </w:rPr>
      </w:pPr>
      <w:r>
        <w:rPr>
          <w:rFonts w:hint="eastAsia" w:ascii="宋体" w:hAnsi="宋体" w:eastAsia="宋体" w:cs="HGBZ_CNKI"/>
          <w:kern w:val="0"/>
          <w:szCs w:val="21"/>
          <w:lang w:val="zh-CN" w:bidi="zh-CN"/>
        </w:rPr>
        <w:t>〔3〕</w:t>
      </w:r>
      <w:r>
        <w:rPr>
          <w:rFonts w:ascii="宋体" w:hAnsi="宋体" w:eastAsia="宋体" w:cs="华光书宋_CNKI"/>
          <w:kern w:val="0"/>
          <w:szCs w:val="21"/>
          <w:lang w:val="zh-CN" w:bidi="zh-CN"/>
        </w:rPr>
        <w:t>张忠任</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数理政治经济学</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Ｍ</w:t>
      </w:r>
      <w:r>
        <w:rPr>
          <w:rFonts w:hint="eastAsia" w:ascii="宋体" w:hAnsi="宋体" w:eastAsia="宋体" w:cs="HGBZ_CNKI"/>
          <w:kern w:val="0"/>
          <w:szCs w:val="21"/>
          <w:lang w:val="zh-CN" w:bidi="zh-CN"/>
        </w:rPr>
        <w:t>〕．</w:t>
      </w:r>
      <w:r>
        <w:rPr>
          <w:rFonts w:ascii="宋体" w:hAnsi="宋体" w:eastAsia="宋体" w:cs="华光书宋_CNKI"/>
          <w:kern w:val="0"/>
          <w:szCs w:val="21"/>
          <w:lang w:val="zh-CN" w:bidi="zh-CN"/>
        </w:rPr>
        <w:t>经济科学出版社</w:t>
      </w:r>
      <w:r>
        <w:rPr>
          <w:rFonts w:hint="eastAsia" w:ascii="宋体" w:hAnsi="宋体" w:eastAsia="宋体" w:cs="宋体"/>
          <w:kern w:val="0"/>
          <w:szCs w:val="21"/>
          <w:lang w:val="zh-CN" w:bidi="zh-CN"/>
        </w:rPr>
        <w:t>，</w:t>
      </w:r>
      <w:r>
        <w:rPr>
          <w:rFonts w:hint="eastAsia" w:ascii="宋体" w:hAnsi="宋体" w:eastAsia="宋体" w:cs="HGBZ_CNKI"/>
          <w:kern w:val="0"/>
          <w:szCs w:val="21"/>
          <w:lang w:val="zh-CN" w:bidi="zh-CN"/>
        </w:rPr>
        <w:t>2</w:t>
      </w:r>
      <w:r>
        <w:rPr>
          <w:rFonts w:hint="eastAsia" w:ascii="宋体" w:hAnsi="宋体" w:eastAsia="宋体" w:cs="HGBZ_CNKI"/>
          <w:b/>
          <w:bCs/>
          <w:kern w:val="0"/>
          <w:szCs w:val="21"/>
          <w:lang w:val="zh-CN" w:bidi="zh-CN"/>
        </w:rPr>
        <w:t>0</w:t>
      </w:r>
      <w:r>
        <w:rPr>
          <w:rFonts w:hint="eastAsia" w:ascii="宋体" w:hAnsi="宋体" w:eastAsia="宋体" w:cs="HGBZ_CNKI"/>
          <w:kern w:val="0"/>
          <w:szCs w:val="21"/>
          <w:lang w:val="zh-CN" w:bidi="zh-CN"/>
        </w:rPr>
        <w:t>6．352－353．</w:t>
      </w:r>
    </w:p>
    <w:p w14:paraId="35FC482F">
      <w:pPr>
        <w:autoSpaceDE w:val="0"/>
        <w:autoSpaceDN w:val="0"/>
        <w:spacing w:line="400" w:lineRule="exact"/>
        <w:ind w:firstLine="440" w:firstLineChars="200"/>
        <w:rPr>
          <w:rFonts w:ascii="宋体" w:hAnsi="宋体" w:eastAsia="宋体" w:cs="HGBZ_CNKI"/>
          <w:kern w:val="0"/>
          <w:szCs w:val="21"/>
          <w:lang w:val="zh-CN" w:bidi="zh-CN"/>
        </w:rPr>
      </w:pPr>
      <w:r>
        <w:rPr>
          <w:rFonts w:ascii="宋体" w:hAnsi="宋体" w:eastAsia="宋体" w:cs="HGBZ_CNKI"/>
          <w:kern w:val="0"/>
          <w:szCs w:val="21"/>
          <w:lang w:val="zh-CN" w:bidi="zh-CN"/>
        </w:rPr>
        <w:t>（</w:t>
      </w:r>
      <w:r>
        <w:rPr>
          <w:rFonts w:hint="eastAsia" w:ascii="宋体" w:hAnsi="宋体" w:eastAsia="宋体" w:cs="HGBZ_CNKI"/>
          <w:kern w:val="0"/>
          <w:szCs w:val="21"/>
          <w:lang w:val="zh-CN" w:bidi="zh-CN"/>
        </w:rPr>
        <w:t>原载《社会科学研究》2</w:t>
      </w:r>
      <w:r>
        <w:rPr>
          <w:rFonts w:ascii="宋体" w:hAnsi="宋体" w:eastAsia="宋体" w:cs="HGBZ_CNKI"/>
          <w:kern w:val="0"/>
          <w:szCs w:val="21"/>
          <w:lang w:val="zh-CN" w:bidi="zh-CN"/>
        </w:rPr>
        <w:t>009年第</w:t>
      </w:r>
      <w:r>
        <w:rPr>
          <w:rFonts w:hint="eastAsia" w:ascii="宋体" w:hAnsi="宋体" w:eastAsia="宋体" w:cs="HGBZ_CNKI"/>
          <w:kern w:val="0"/>
          <w:szCs w:val="21"/>
          <w:lang w:val="zh-CN" w:bidi="zh-CN"/>
        </w:rPr>
        <w:t>3</w:t>
      </w:r>
      <w:r>
        <w:rPr>
          <w:rFonts w:ascii="宋体" w:hAnsi="宋体" w:eastAsia="宋体" w:cs="HGBZ_CNKI"/>
          <w:kern w:val="0"/>
          <w:szCs w:val="21"/>
          <w:lang w:val="zh-CN" w:bidi="zh-CN"/>
        </w:rPr>
        <w:t>期，第二</w:t>
      </w:r>
      <w:r>
        <w:rPr>
          <w:rFonts w:hint="eastAsia" w:ascii="宋体" w:hAnsi="宋体" w:eastAsia="宋体" w:cs="HGBZ_CNKI"/>
          <w:kern w:val="0"/>
          <w:szCs w:val="21"/>
          <w:lang w:val="zh-CN" w:bidi="zh-CN"/>
        </w:rPr>
        <w:t>作者为陈家涛。</w:t>
      </w:r>
      <w:r>
        <w:rPr>
          <w:rFonts w:ascii="宋体" w:hAnsi="宋体" w:eastAsia="宋体" w:cs="HGBZ_CNKI"/>
          <w:kern w:val="0"/>
          <w:szCs w:val="21"/>
          <w:lang w:val="zh-CN" w:bidi="zh-CN"/>
        </w:rPr>
        <w:t>）</w:t>
      </w:r>
    </w:p>
    <w:p w14:paraId="0D282427">
      <w:pPr>
        <w:spacing w:line="480" w:lineRule="auto"/>
        <w:ind w:firstLine="440" w:firstLineChars="200"/>
        <w:jc w:val="center"/>
        <w:rPr>
          <w:rFonts w:ascii="宋体" w:hAnsi="宋体" w:eastAsia="宋体" w:cs="宋体"/>
        </w:rPr>
      </w:pPr>
    </w:p>
    <w:p w14:paraId="378FCAC9">
      <w:pPr>
        <w:keepNext/>
        <w:keepLines/>
        <w:widowControl/>
        <w:spacing w:line="480" w:lineRule="auto"/>
        <w:ind w:firstLine="198"/>
        <w:jc w:val="center"/>
        <w:outlineLvl w:val="1"/>
        <w:rPr>
          <w:rFonts w:ascii="黑体" w:hAnsi="黑体" w:eastAsia="黑体" w:cs="Times New Roman"/>
          <w:kern w:val="0"/>
          <w:sz w:val="32"/>
          <w:szCs w:val="32"/>
        </w:rPr>
      </w:pPr>
      <w:bookmarkStart w:id="1050" w:name="_Toc19786"/>
      <w:bookmarkStart w:id="1051" w:name="_Toc987917987"/>
      <w:bookmarkStart w:id="1052" w:name="_Toc1916573021"/>
      <w:r>
        <w:rPr>
          <w:rFonts w:ascii="黑体" w:hAnsi="黑体" w:eastAsia="黑体" w:cs="Times New Roman"/>
          <w:kern w:val="0"/>
          <w:sz w:val="32"/>
          <w:szCs w:val="32"/>
        </w:rPr>
        <w:t>9</w:t>
      </w:r>
      <w:r>
        <w:rPr>
          <w:rFonts w:hint="eastAsia" w:ascii="黑体" w:hAnsi="黑体" w:eastAsia="黑体" w:cs="Times New Roman"/>
          <w:kern w:val="0"/>
          <w:sz w:val="32"/>
          <w:szCs w:val="32"/>
        </w:rPr>
        <w:t>马克思主义制度经济理论探讨</w:t>
      </w:r>
      <w:bookmarkEnd w:id="1050"/>
      <w:bookmarkEnd w:id="1051"/>
      <w:bookmarkEnd w:id="1052"/>
    </w:p>
    <w:p w14:paraId="05EE84C3">
      <w:pPr>
        <w:autoSpaceDE w:val="0"/>
        <w:autoSpaceDN w:val="0"/>
        <w:spacing w:line="360" w:lineRule="auto"/>
        <w:ind w:firstLine="500" w:firstLineChars="200"/>
        <w:jc w:val="center"/>
        <w:rPr>
          <w:rFonts w:ascii="宋体" w:hAnsi="宋体" w:eastAsia="宋体" w:cs="华光书宋_CNKI"/>
          <w:b/>
          <w:bCs/>
          <w:kern w:val="0"/>
          <w:sz w:val="24"/>
          <w:szCs w:val="24"/>
          <w:lang w:val="zh-CN" w:bidi="zh-CN"/>
        </w:rPr>
      </w:pPr>
      <w:r>
        <w:rPr>
          <w:rFonts w:hint="eastAsia" w:ascii="宋体" w:hAnsi="宋体" w:eastAsia="宋体" w:cs="华光书宋_CNKI"/>
          <w:b/>
          <w:bCs/>
          <w:kern w:val="0"/>
          <w:sz w:val="24"/>
          <w:szCs w:val="24"/>
          <w:lang w:val="zh-CN" w:bidi="zh-CN"/>
        </w:rPr>
        <w:t>一、关于经济制度的层次和基本框架的分析</w:t>
      </w:r>
    </w:p>
    <w:p w14:paraId="0977666D">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主义经济学是以生产关系或经济关系为研究对象的，由于这些经济关系均日益被制度化，因而也可以说是以经济关系及其经济制度为研究对象的。西方新制度经济学直接表述为以经济制度为研究对象。但是，研究对象上的相同并不意味着这两种理论的相同。这两种理论是建立在不同的方法论和价值观基础上的，因而它们研究的理论逻辑和得出的结论也是完全不同的</w:t>
      </w:r>
      <w:r>
        <w:rPr>
          <w:rFonts w:hint="eastAsia" w:ascii="宋体" w:hAnsi="宋体" w:eastAsia="宋体" w:cs="Times New Roman"/>
          <w:szCs w:val="24"/>
          <w:vertAlign w:val="superscript"/>
        </w:rPr>
        <w:t>[1]</w:t>
      </w:r>
      <w:r>
        <w:rPr>
          <w:rFonts w:hint="eastAsia" w:ascii="宋体" w:hAnsi="宋体" w:eastAsia="宋体" w:cs="Times New Roman"/>
          <w:szCs w:val="24"/>
        </w:rPr>
        <w:t>。</w:t>
      </w:r>
    </w:p>
    <w:p w14:paraId="082B7B6C">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把经济制度的内涵明确地界定为生产关系在法律上的反映。同时，马克思又对于制度赋予了更广泛的含义，他把制度视为社会认可的存在于各个方面的一系列规则。马克思把社会经济关系和经济制度作为分析的主要对象，在此基础上展开对其他制度的研究。</w:t>
      </w:r>
    </w:p>
    <w:p w14:paraId="40BED8A5">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把生产资料的所有制作为社会经济制度的核心和基础，因而对生产资料所有制的研究是马克思主义制度经济理论中心内容，并向两个方面展开对有关制度的分析：一方面是与生产力和经济发展直接相联系的各项具体制度，包括劳动制度、资本制度、工厂制度、土地制度、管理制度、税收制度等；另一方面是与政治、法律、文化发展相联系的各项制度，包括国家制度、政治制度、法律制度等。</w:t>
      </w:r>
    </w:p>
    <w:p w14:paraId="03073260">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在马克思主义制度经济理论的语境中，对制度的理解是广义的。它既包括社会的基本经济制度，也包括各项具体经济制度。这种广义的制度可以分为三个层次：一是社会的基本经济制度；二是反映社会基本经济制度，但又具有相对独立性的经济体制；三是以一定的经济体制为条件的各项具体的经济规章制度。这三方面的制度从不同的层次上作用于社会生产力和经济的发展。</w:t>
      </w:r>
    </w:p>
    <w:p w14:paraId="33735EA9">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首先，反映社会基本经济性质的制度从经济系统的根本（核心、基础）层次上影响社会生产力的发展和经济效率的提高。在现代社会中，存在着反映不同社会经济性质的两大基本经济制度：财产私有制度和财产公有制度（撇开财产个体私有经济制度，相应地派生出按资分配与按劳分配两种基本分配制度）。基本经济制度的选择是由不同的生产力性质、价值取向和基本国情来决定的，因而具有鲜明的社会性和阶级性。对于财产私有制度和财产公有制度，哪一种制度具有更高的经济效率，不同的经济理论有着完全不同的结论。马克思认为，在人类社会发展的不同历史阶段，由于生产力发展水平的不同，以及相应的社会条件不同，财产公有制度和财产私有制度对生产力发展和经济效率提高产生的影响作用也是不同的。但是，从发展趋势上说，随着社会生产力的发展和生产社会化程度的提高，现代财产公有制度比财产私有制度更能够促进生产力的发展和经济效率的提高，更能够促进经济公平和社会公正，这一点与西方新制度经济学的认知恰恰相反。</w:t>
      </w:r>
    </w:p>
    <w:p w14:paraId="11CA7DB0">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主义制度经济理论的一个重要特点在于它对基本经济制度有着深刻的分析，科学地揭示基本经济制度从根本上影响生产力发展和经济效率提高的内在规律和客观机制。坚持马克思主义的经济学说，就必然要坚持马克思关于基本经济制度从根本上影响生产力发展的理论。在基本经济制度的确定上，不仅是一个首要和重大的经济理论问题，而且是一个首要和重大的经济实践问题。</w:t>
      </w:r>
    </w:p>
    <w:p w14:paraId="4127031E">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其次，经济体制层次的制度从经济系统的总体层次上直接影响生产力的发展和经济效率的提高。这一层次的制度通过对社会经济关系、资源配置方式和经济运行机制的安排，使经济能够高效率地运转。作为经济体制层次的制度，既同社会基本经济制度的运转有着直接的联系，又有着自身的相对独立性，它不属于社会基本制度的范畴。例如，在计划体制与市场体制、计划调节（国家调节）与市场调节、开放体制与非开放体制等问题上，便是如此。在基本经济制度不变的条件下，可以通过这一层次制度变革来选择不同的经济体制模式，以更好地促进生产力，提升经济效率。</w:t>
      </w:r>
    </w:p>
    <w:p w14:paraId="251156DD">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研究经济体制层次的制度，客观依据主要是经济管理水平和管理价值观。从理论与实践分析，对涉及宇观经济（全球经济）、宏观经济、中观经济和微观经济的管理水平越高，就越可以采用较高级的经济（管理）体制。以一国或全球来说，经济管理水平越低，市场体制成分和市场调节手段就越多；反之，计划体制成分和计划调节（社会计划调节、国家计划调节、全球计划调节）手段就越多。作为经济发展及其体制演化趋势的一个样板，即越来越成为超国家的欧盟经济体制及其计划调节，已经成为明证。东盟、非盟等也会逐渐步其后尘。从20世纪80年代以来暂时流行的新自由主义经济体制观和管理价值观不可能根本阻挡体制发展的大趋势，当前国际金融危机和经济危机及其国内外应对体制和政策，再次印证了这一点。国际金融危机必然生成更好更多的国际金融体制及其管理调节手段。一国的金融和经济危机也必然生成更好更多的国家计划管理和调节手段。</w:t>
      </w:r>
    </w:p>
    <w:p w14:paraId="5F913ECE">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社会主义市场经济体制与资本主义市场经济体制相比较，不仅在根本经济制度层面有重大区别，而且在体制层面也有或也应有重要区别。对于以社会化大生产为生产力基础和以市场为资源配置基础方式的社会来说，在经济体制层次的制度方面必然具有共性的东西，在很多方面面临的问题和所要解决的矛盾都是共同的。倘若社会主义市场经济体制欲克服资本主义市场经济体制的某些严重弊端，实现国民经济又好又快的发展，达到更高目标的社会经济绩效和经济公平，只能实行“以市场调节为基础、以国家调节为主导”的“国家主导型市场经济体制”。</w:t>
      </w:r>
    </w:p>
    <w:p w14:paraId="6609E802">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最后，各项具体的规章制度从系统的具体层次上直接影响生产力的发展和经济效率的提高。这一层次的制度是通过对各类经济主体的利益关系、内部结构和操作机制的安排，使它们能够以最小的成本为代价来取得最大的经济利益，由此促进生产力和提升综合经济效率。各项具体的制度是以一定的经济体制为条件的，即经济体制从总体上制约着具体的制度。但作为具体的制度，它更具有多样性和灵活性。这一层次的制度更多的是以个体行为作为规范的对象，它在规定了个体具有的各项权利的基础上，也明确了相应的责任、义务和利益。正是通过这种权利、责任、义务和利益的规范，使经济活动能够高效率和公平公正地进行。</w:t>
      </w:r>
    </w:p>
    <w:p w14:paraId="00C6E2BF">
      <w:pPr>
        <w:autoSpaceDE w:val="0"/>
        <w:autoSpaceDN w:val="0"/>
        <w:spacing w:line="360" w:lineRule="auto"/>
        <w:ind w:firstLine="500" w:firstLineChars="200"/>
        <w:jc w:val="center"/>
        <w:rPr>
          <w:rFonts w:ascii="宋体" w:hAnsi="宋体" w:eastAsia="宋体" w:cs="华光书宋_CNKI"/>
          <w:b/>
          <w:bCs/>
          <w:kern w:val="0"/>
          <w:sz w:val="24"/>
          <w:szCs w:val="24"/>
          <w:lang w:val="zh-CN" w:bidi="zh-CN"/>
        </w:rPr>
      </w:pPr>
      <w:r>
        <w:rPr>
          <w:rFonts w:hint="eastAsia" w:ascii="宋体" w:hAnsi="宋体" w:eastAsia="宋体" w:cs="华光书宋_CNKI"/>
          <w:b/>
          <w:bCs/>
          <w:kern w:val="0"/>
          <w:sz w:val="24"/>
          <w:szCs w:val="24"/>
          <w:lang w:val="zh-CN" w:bidi="zh-CN"/>
        </w:rPr>
        <w:t>二、关于马克思主义制度经济理论的若干主要内容</w:t>
      </w:r>
    </w:p>
    <w:p w14:paraId="39004FB1">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1.关于经济发展与制度因素</w:t>
      </w:r>
    </w:p>
    <w:p w14:paraId="301E311C">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主义经济学认为，生产力是社会的生产力，因为孤立的人是无法进行社会生产的。马克思特别注重对经济发展和经济活动中的制度因素的研究。一方面，马克思总是把现实中的经济现象和经济活动置于一定的经济关系或经济制度下来进行分析，这样，才能在对经济现象和经济活动的发现中抓住事物的本质。另一方面，马克思又总是把经济的发展与经济制度的发展变化联系在一起，把生产力和经济发展看做经济制度演变的最终决定因素，运用历史唯物主义的观点揭示了经济制度演变的客观规律；同时也从生产力和经济发展的社会条件的角度探究经济制度与经济活动效率之间正反作用的内在联系[2]。在政治经济学的视野里，制度是经济发展的重要影响因子，但不是唯一的，因为还有自然条件和科技条件。</w:t>
      </w:r>
    </w:p>
    <w:p w14:paraId="5482D704">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2.关于经济制度的起源</w:t>
      </w:r>
    </w:p>
    <w:p w14:paraId="15C81FC4">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主义经济学明确强调，最早制度起源的特点在于它不是人们主观唯意志地做出安排的结果，而是人们为维持生存和生产而自发形成的。这也是制度的起源与制度的发展演化的根本差别。制度的形成本身就构成了社会生产不可缺少的一个组成部分。如果说制度的起源在于人与自然的关系，制度的形成同时也就构成了人类进行社会生产活动的不可缺少的一个组成部分。这样，人类的生产活动必然涉及两方面的关系：一方面是人与自然的关系；另一方面是人与人之间的关系。人与人之间的关系就是通过一定的生产关系或经济制度来体现的。因此，研究社会生产的一个重要内容是对生产关系或经济制度的研究。马克思关于人类学的思想和恩格斯的《家庭、私有制和国家的起源》，都充分表明了这一点。</w:t>
      </w:r>
    </w:p>
    <w:p w14:paraId="024E8857">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3.关于经济制度的本质</w:t>
      </w:r>
    </w:p>
    <w:p w14:paraId="1E3BBE69">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从马克思主义经济学精神看来，制度的本质反映的是不同的人（个人、集团或阶级等）之间的经济利益关系。对经济制度本质的这一界定，是从以下两个方面来认识的。</w:t>
      </w:r>
    </w:p>
    <w:p w14:paraId="1E7EA12C">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其一，一种经济制度是对不同的人在社会生产中居于不同地位的一种确认，并且这种确认具有强制性和约束性。在不同的社会中，不同利益集团、不同的阶级和阶层在社会生产中处于不同的地位，要使这种不同的地位能够保持下去，就要求有带有强制约束性的经济制度，而当一种制度能够使不同利益集团的不同地位保持下去时，实际上也就规范了他们之间的经济利益关系。因为不同的社会地位，不同的经济利益关系，意味着他们对社会经济利益不同的支配权利，从而决定了他们能够得到社会经济利益的不同份额。如果不改变既定的制度，那么，不同利益集团的社会地位、经济关系、经济权利不可能得到改变，社会经济利益的分配格局也不会变化。从这一意义上说，制度在本质上要解决的就是利益关系问题。</w:t>
      </w:r>
    </w:p>
    <w:p w14:paraId="161ACA95">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其二，任何一个集团、阶级或阶层的经济利益都要通过制度来保障。制度是由在社会经济中占优势的集团、阶级或阶层按照有利于维护自身利益的原则建立起来的，并且要求社会其他的集团、阶级或阶层按照这一制度的要求从事社会生产活动，以及从中得到利益。从这一点来说，现实的经济制度主要体现的总是在社会经济中占优势地位的集团和阶级的利益。在社会经济中占优势地位的集团或阶级，也会对现存的经济制度进行改变和调整，但这种改变和调整不会涉及制度性质的变化，而是在不改变基本性质的框架内，对其形式和局部内容的改变和调整，根本目的也是为了更好地实现自身的整体或长远利益。如果一种制度不能充分地体现高效率和高公平，那么，最终也是不能保证制度主导者的经济利益的。从这一意义上说，经济制度改变和调整的根本目的在于经济利益。</w:t>
      </w:r>
    </w:p>
    <w:p w14:paraId="4243C664">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正是基于对制度本质的深刻认识，因而把政治经济学的研究对象定位在研究生产关系即经济制度上。在马克思看来，在社会生产过程中属于生产力范畴的人与自然的关系，不是政治经济学所要研究的对象，这是自然科学要解决的问题。而在社会生产过程中属于生产关系范畴的人与人之间的关系，即体现经济利益关系的经济制度才是政治经济学研究的重点。生产力是人们获得经济利益的手段，经济利益才是人们从事经济活动的目的。因此，只有透过经济现象，揭示经济现象背后的经济关系的本质，才能科学地认识经济活动的实质，进而深刻认识一种社会经济制度。</w:t>
      </w:r>
    </w:p>
    <w:p w14:paraId="6C059E39">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4.关于经济制度的核心</w:t>
      </w:r>
    </w:p>
    <w:p w14:paraId="11DD9DD7">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从一定意义上看，经济制度是生产关系在法律上的反映，即生产过程中人与人之间相互关系的法律规范。但同时也可把经济制度视为得到社会认可的存在于各个方面的一系列经济规则，赋予经济制度更广泛的含义。马克思以前者为基础展开对其他制度的研究。因为在马克思看来，社会经济制度是人们从事经济活动的最重要的制度，其他的一切制度都是由此决定并在此基础上展开的。比如可以说，《资本论》就是揭示资本主义市场经济制度发生、发展与消亡的运动规律，因而政治经济学研究的任务就在于揭示经济制度运动的整个发展规律和机制。</w:t>
      </w:r>
    </w:p>
    <w:p w14:paraId="1CFDBC02">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把生产资料的所有制作为社会经济制度的核心，因而对生产资料所有制的研究是马克思主义制度经济理论的关键和基础。以此向两个方面展开对有关制度的分析：一是与生产力和经济发展直接相联系的各项具体制度，如劳动制度、资本制度、土地制度等；二是与政治、法律、社会、文化发展相联系的各项制度，如政治制度、社会制度、文化制度等。</w:t>
      </w:r>
    </w:p>
    <w:p w14:paraId="137BD4F1">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5.关于价值运动的制度条件</w:t>
      </w:r>
    </w:p>
    <w:p w14:paraId="1CB0079D">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认为，价值运动的制度条件之一是财产私有制度。商品和商品经济经济的出现是以社会分工和财产私有制度的存在和确立为条件的，因而是在一定的经济制度条件下才存在的。价值运动的制度条件之二是市场竞争制度。财产私有制度是使劳动产品成为商品的重要条件，或者说是使人类的劳动以价值的形式表现出来的重要条件，但不是唯一条件，因为价值的运动还涉及价值量的确定和价值的实现，而价值量的确定和价值的实现又是和市场竞争制度联系在一起的。因此，市场竞争制度是价值运动的又一制度条件。</w:t>
      </w:r>
    </w:p>
    <w:p w14:paraId="4D0D2ED9">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从公有制经济中的商品和商品经济的形成来看，需要推进马克思上述重要条件内涵的分析。当公有制企业处于完全独立或独立性较大的经济主体的条件下，其财产公有制度也必然会要求所生产的劳动产品转化为商品，进行市场交换和市场竞争，从而表现为价值运动。</w:t>
      </w:r>
    </w:p>
    <w:p w14:paraId="6A6EECD8">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6.关于雇佣劳动制度</w:t>
      </w:r>
    </w:p>
    <w:p w14:paraId="2EB67CCB">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认为，私人资本的运动包含了资本主义经济运行的主要内容，反映了资本主义经济发展的规律和实质。对资本主义经济的分析，始终是以私人资本的运动为主线的，而资本运动的起点是劳动力的商品化，因而建立在私人资本基础上的雇佣劳动制度是以劳动力成为商品作为前提条件的。在资本主义私有制基础上确立的雇佣劳动制度，就其本质来看，反映的是资本主义社会特有的经济关系。这一经济关系的基本特征是把私人资本与雇佣劳动的关系分解为私人资本对劳动力的购买和私人资本对劳动力的使用两层关系，雇佣劳动制度的本质就是通过这两层关系来体现的。</w:t>
      </w:r>
    </w:p>
    <w:p w14:paraId="17717429">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对马克思主义经济学的进一步分析，可知它有劳动、资本和剩余价值三大范畴体系。其中，劳动范畴体系中有具体劳动、抽象劳动、私人劳动、社会劳动、产业劳动、商业劳动、银行劳动、联合劳动等；资本范畴体系中有不变资本、可变资本、固定资本、流动资本、货币资本、生产资本、商品资本、产业资本、商业资本、银行资本、农业资本、土地资本、垄断资本等；剩余价值范畴体系中有利润、平均利润、超额利润、产业利润、商业利润、银行利润、农业利润、垄断利润、利息、绝对地租、级差地租等。须知，在关于资本主义的经济范畴中，雇佣劳动与资本是轴心；在资本主义市场经济制度中，雇佣劳动制度与资本制度是轴心。</w:t>
      </w:r>
    </w:p>
    <w:p w14:paraId="46B7381D">
      <w:pPr>
        <w:autoSpaceDE w:val="0"/>
        <w:autoSpaceDN w:val="0"/>
        <w:spacing w:line="360" w:lineRule="auto"/>
        <w:ind w:firstLine="500" w:firstLineChars="200"/>
        <w:jc w:val="center"/>
        <w:rPr>
          <w:rFonts w:ascii="宋体" w:hAnsi="宋体" w:eastAsia="宋体" w:cs="华光书宋_CNKI"/>
          <w:b/>
          <w:bCs/>
          <w:kern w:val="0"/>
          <w:sz w:val="24"/>
          <w:szCs w:val="24"/>
          <w:lang w:val="zh-CN" w:bidi="zh-CN"/>
        </w:rPr>
      </w:pPr>
      <w:r>
        <w:rPr>
          <w:rFonts w:hint="eastAsia" w:ascii="宋体" w:hAnsi="宋体" w:eastAsia="宋体" w:cs="华光书宋_CNKI"/>
          <w:b/>
          <w:bCs/>
          <w:kern w:val="0"/>
          <w:sz w:val="24"/>
          <w:szCs w:val="24"/>
          <w:lang w:val="zh-CN" w:bidi="zh-CN"/>
        </w:rPr>
        <w:t>三、马克思与西方学者关于制度理论的比较</w:t>
      </w:r>
    </w:p>
    <w:p w14:paraId="7B0C5C06">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1.关于制度的重要性</w:t>
      </w:r>
    </w:p>
    <w:p w14:paraId="6B18DC13">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制度对于经济发展的重要性，无论是西方新制度经济学，还是马克思主义制度经济学，均确认无疑。它们都相信经济发展和经济活动效率的提高，不仅涉及生产要素的投入问题，而且与经济制度有着直接的关系，认为制度是影响经济发展和效率的一个重要因素，因而也都把制度作为研究对象和研究范围。不过，也存有歧见。</w:t>
      </w:r>
    </w:p>
    <w:p w14:paraId="6B41751D">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西方新制度经济学认为，不管在什么条件下，经济制度对于经济发展都是第一位重要的，强调制度重于一切。而马克思主义制度经济学则认为，经济制度体现一定的经济关系和经济基础，归根到底还是由社会生产力决定的。经济制度和经济关系同生产力、科技和自然资源相比，对于经济发展和经济效率的作用是不同的，不能简单认为哪个更重要。只有当不改变经济制度，经济就难以更好更快发展的时候，改变经济制度才是最重要的；反之则其他因素可能更为重要。</w:t>
      </w:r>
    </w:p>
    <w:p w14:paraId="1F9D59C7">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2.关于私有制度的效率</w:t>
      </w:r>
    </w:p>
    <w:p w14:paraId="44AA7F52">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西方新制度经济学对制度问题的研究是以私有产权具有最高效率为立论基础的。他们围绕产权问题而展开的一切研究始终没有偏离这一核心观点，所做的一切分析最终要说明的也是这一观点。</w:t>
      </w:r>
    </w:p>
    <w:p w14:paraId="3D5DC5F9">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主义制度经济理论是以否认私有产权具有最高效率为立论基础的。马克思并不否认各种私有产权具有不同的效率，但否认它具有最高效率，从而为建立公有产权奠定了理论基础。从总体上认识这一点，是理解马克思主义制度经济理论关键之一。</w:t>
      </w:r>
    </w:p>
    <w:p w14:paraId="058F5EB9">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3.关于制度的现象与本质</w:t>
      </w:r>
    </w:p>
    <w:p w14:paraId="5A9071BC">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西方新制度经济学对产权、企业性质、交易费用等问题的研究，是从经济活动的现象入手的， 通过一系列的假设和抽象来分析制度因素对经济活动的影响。但他们的分析没有或很少涉及现象背后的经济本质。西方新制度经济学对制度理论作出的贡献和存在的局限，都与他们的这一分析特点有着直接的联系。马克思主义制度经济理论涉及的对生产、交换、分配、产权、企业问题的研究，既立足于对经济现象的分析，但更侧重于对现象背后经济本质的分析。从这一意义上说，马克思主义制度经济理论更具有科学性和深刻性。</w:t>
      </w:r>
    </w:p>
    <w:p w14:paraId="677D7E5F">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4.关于制度范畴的内涵</w:t>
      </w:r>
    </w:p>
    <w:p w14:paraId="5FD6F8F5">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在对制度范畴的理解上，西方新制度经济学要比马克思主义制度经济学更为宽泛，他们对制度的理解不仅包括“正规约束”的法律规范，而且还包括“非正规约束”的伦理道德规范。而马克思主义制度经济学只是把制度界定为社会经济关系的法律规范，而并不包括属于意识形态的伦理道德规范。当然，就西方新制度经济学研究涉及的主要内容来说，也是法律规范意义上的制度。但是，就对制度范畴研究的界定来说，马克思主义的制度经济理论在这一点上更准确。</w:t>
      </w:r>
    </w:p>
    <w:p w14:paraId="451F07FC">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这是因为，西方新制度经济学所涉及的制度是得到社会认可的、带有强制性的、能够约束人们行为的一种规范。这样的制度只能是法律意义上的规范，是人为地做出的一种规则安排。诚然，这种制度的调整、发展和变化会受到作为意识形态的伦理和文化的影响，但这只是影响，而不构成制度的本身。如果把这部分“非正规约束”也包括在制度范畴之中，就会使对制度研究涉及的面过于宽泛，从而模糊了制度经济学与伦理学的学科界限。</w:t>
      </w:r>
    </w:p>
    <w:p w14:paraId="1FEBE129">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5.关于制度范畴的研究重点</w:t>
      </w:r>
    </w:p>
    <w:p w14:paraId="77E4D426">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在对制度范畴研究重点的定位上，马克思研究的重点是经济制度，并且这种经济制度是有层次的，前面已有阐述。从不同的层次来揭示制度范畴的内涵，就使马克思主义制度经济理论具有显著的深刻性。</w:t>
      </w:r>
    </w:p>
    <w:p w14:paraId="50FF29B8">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西方新制度经济学在对制度研究中没有明确的层次性，他们更多的是从社会经济运行和微观层次来研究制度问题，以及从经济活动的效率方面来研究经济行为。例如，企业产权问题、由市场交易而引申出的交易费用问题等，而没有从人与人之间的实质关系方面来研究制度问题。这就决定了西方新制度经济学理论的局限性，因而其深刻性比马克思主义制度经济理论要逊色。</w:t>
      </w:r>
    </w:p>
    <w:p w14:paraId="35B6485B">
      <w:pPr>
        <w:spacing w:line="400" w:lineRule="exact"/>
        <w:ind w:firstLine="440" w:firstLineChars="200"/>
        <w:rPr>
          <w:rFonts w:ascii="宋体" w:hAnsi="宋体" w:eastAsia="宋体" w:cs="Times New Roman"/>
          <w:b/>
          <w:szCs w:val="24"/>
        </w:rPr>
      </w:pPr>
      <w:r>
        <w:rPr>
          <w:rFonts w:hint="eastAsia" w:ascii="宋体" w:hAnsi="宋体" w:eastAsia="宋体" w:cs="Times New Roman"/>
          <w:b/>
          <w:szCs w:val="24"/>
        </w:rPr>
        <w:t>6.两类制度理论的基本结论</w:t>
      </w:r>
    </w:p>
    <w:p w14:paraId="0CF60239">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马克思主义的创始人虽然没有从一般意义上给“制度”下过明确的定义，但他们的论著从不同方面、不同层次使用了制度概念，如“生产资料所有制”、“财产制度”、“工厂制度”、“土地制度”、“国债制度”、“税收制度”、“法律制度”、“保护关税制度”等，而且也是把“制度”视为一系列的包括多方面的规则。马克思主义政治经济学是研究社会生产关系及其发展规律的科学，它从本质关系上剖析了各种社会经济制度及与其相适应的政治、法律制度等。马克思和新制度经济学都重视制度及其作用，但对制度的分析具有重大的差别。</w:t>
      </w:r>
    </w:p>
    <w:p w14:paraId="028287CD">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其一，马克思把社会生产关系当做随着生产力的发展不断演变的人们之间的必然关系，将制度视为依存于这些客观关系、反映其要求的规则，视为历史的产物，而不是像西方制度经济学家那样，把制度描绘为符合于人性需要、由人们制定和选择的东西。</w:t>
      </w:r>
    </w:p>
    <w:p w14:paraId="13855D32">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其二，马克思本着历史唯物主义的分析，按照不同制度在社会中的地位，将它们分为经济基础与上层建筑两大类，论证了它们之间的辩证关系，并在每类中区别了基本的、主要的制度和其他制度。而西方新制度经济学家只是从一般意义上分析制度，对于各类制度没有做出本质性的划分，不能正确揭示社会经济制度大系统中各子系统之间的内在关系。</w:t>
      </w:r>
    </w:p>
    <w:p w14:paraId="17CB254C">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其三，马克思把生产资料所有制作为社会经济制度的核心，其他的一切制度都由此决定和在此基础上展开。而西方制度经济学家是把所有制的具体表现——产权制度作为核心制度，认为其他制度的性质与特征主要取决于产权制度。</w:t>
      </w:r>
    </w:p>
    <w:p w14:paraId="6BFCB979">
      <w:pPr>
        <w:spacing w:line="400" w:lineRule="exact"/>
        <w:ind w:firstLine="440" w:firstLineChars="200"/>
        <w:rPr>
          <w:rFonts w:ascii="宋体" w:hAnsi="宋体" w:eastAsia="宋体" w:cs="Times New Roman"/>
          <w:szCs w:val="24"/>
        </w:rPr>
      </w:pPr>
      <w:r>
        <w:rPr>
          <w:rFonts w:hint="eastAsia" w:ascii="宋体" w:hAnsi="宋体" w:eastAsia="宋体" w:cs="Times New Roman"/>
          <w:szCs w:val="24"/>
        </w:rPr>
        <w:t>其四，马克思侧重于从不同的社会经济形态和阶级关系上揭示制度的特征，而西方新制度经济学家只是在抽象意义上界定制度，认为制度与劳动、土地、资本一样，是一种影响生产与交易成本的稀缺资源，只关注制度与人们利益的关系，不研究制度的社会性质，没有揭示制度背后支配人们经济行为并决定制度的特殊性质的阶级关系或利益集团关系。</w:t>
      </w:r>
    </w:p>
    <w:p w14:paraId="475E2F3E">
      <w:pPr>
        <w:spacing w:line="400" w:lineRule="exact"/>
        <w:ind w:firstLine="200"/>
        <w:rPr>
          <w:rFonts w:ascii="宋体" w:hAnsi="宋体" w:eastAsia="宋体" w:cs="Times New Roman"/>
          <w:szCs w:val="24"/>
        </w:rPr>
      </w:pPr>
    </w:p>
    <w:p w14:paraId="00161FF8">
      <w:pPr>
        <w:spacing w:line="400" w:lineRule="exact"/>
        <w:ind w:firstLine="200"/>
        <w:rPr>
          <w:rFonts w:ascii="宋体" w:hAnsi="宋体" w:eastAsia="宋体" w:cs="Times New Roman"/>
          <w:b/>
          <w:szCs w:val="24"/>
        </w:rPr>
      </w:pPr>
      <w:r>
        <w:rPr>
          <w:rFonts w:hint="eastAsia" w:ascii="宋体" w:hAnsi="宋体" w:eastAsia="宋体" w:cs="Times New Roman"/>
          <w:b/>
          <w:szCs w:val="24"/>
        </w:rPr>
        <w:t>参考文献：</w:t>
      </w:r>
    </w:p>
    <w:p w14:paraId="39ECF495">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[1]顾钰民.马克思主义制度经济学[M].上海：复旦大学出版社，2005：6-9.</w:t>
      </w:r>
    </w:p>
    <w:p w14:paraId="6271D9D2">
      <w:pPr>
        <w:spacing w:line="400" w:lineRule="exact"/>
        <w:ind w:firstLine="200"/>
        <w:rPr>
          <w:rFonts w:ascii="宋体" w:hAnsi="宋体" w:eastAsia="宋体" w:cs="Times New Roman"/>
          <w:sz w:val="18"/>
          <w:szCs w:val="18"/>
        </w:rPr>
      </w:pPr>
      <w:r>
        <w:rPr>
          <w:rFonts w:hint="eastAsia" w:ascii="宋体" w:hAnsi="宋体" w:eastAsia="宋体" w:cs="Times New Roman"/>
          <w:sz w:val="18"/>
          <w:szCs w:val="18"/>
        </w:rPr>
        <w:t xml:space="preserve">[2]马克思恩格斯全集：第23卷[M].北京：人民出版社，1972：56-57. </w:t>
      </w:r>
    </w:p>
    <w:p w14:paraId="3F7F706E">
      <w:pPr>
        <w:spacing w:line="400" w:lineRule="exact"/>
        <w:ind w:firstLine="200"/>
        <w:rPr>
          <w:rFonts w:ascii="宋体" w:hAnsi="宋体" w:eastAsia="宋体" w:cs="Times New Roman"/>
          <w:szCs w:val="24"/>
        </w:rPr>
      </w:pPr>
    </w:p>
    <w:p w14:paraId="3E512B0C">
      <w:pPr>
        <w:spacing w:line="400" w:lineRule="exact"/>
        <w:ind w:firstLine="200"/>
        <w:rPr>
          <w:rFonts w:ascii="宋体" w:hAnsi="宋体" w:eastAsia="宋体" w:cs="Times New Roman"/>
          <w:szCs w:val="24"/>
        </w:rPr>
      </w:pPr>
      <w:r>
        <w:rPr>
          <w:rFonts w:hint="eastAsia" w:ascii="宋体" w:hAnsi="宋体" w:eastAsia="宋体" w:cs="Times New Roman"/>
          <w:szCs w:val="24"/>
        </w:rPr>
        <w:t>（原载《学习与探讨》2009年第3期）</w:t>
      </w:r>
    </w:p>
    <w:p w14:paraId="44464B0F">
      <w:pPr>
        <w:widowControl/>
        <w:spacing w:line="400" w:lineRule="exact"/>
        <w:ind w:firstLine="200"/>
        <w:rPr>
          <w:rFonts w:ascii="宋体" w:hAnsi="宋体" w:eastAsia="宋体" w:cs="Times New Roman"/>
          <w:szCs w:val="21"/>
        </w:rPr>
      </w:pPr>
      <w:r>
        <w:rPr>
          <w:rFonts w:ascii="Times New Roman" w:hAnsi="Times New Roman" w:eastAsia="宋体" w:cs="Times New Roman"/>
          <w:b/>
          <w:sz w:val="32"/>
          <w:szCs w:val="24"/>
        </w:rPr>
        <w:br w:type="page"/>
      </w:r>
    </w:p>
    <w:p w14:paraId="09F499C1">
      <w:pPr>
        <w:keepNext/>
        <w:keepLines/>
        <w:widowControl/>
        <w:spacing w:line="480" w:lineRule="auto"/>
        <w:ind w:firstLine="198"/>
        <w:jc w:val="center"/>
        <w:outlineLvl w:val="1"/>
        <w:rPr>
          <w:rFonts w:ascii="黑体" w:hAnsi="黑体" w:eastAsia="黑体" w:cs="Times New Roman"/>
          <w:kern w:val="0"/>
          <w:sz w:val="32"/>
          <w:szCs w:val="32"/>
        </w:rPr>
      </w:pPr>
      <w:bookmarkStart w:id="1053" w:name="_Toc1370"/>
      <w:bookmarkStart w:id="1054" w:name="_Toc1741532552"/>
      <w:bookmarkStart w:id="1055" w:name="_Toc1735542594"/>
      <w:r>
        <w:rPr>
          <w:rFonts w:ascii="黑体" w:hAnsi="黑体" w:eastAsia="黑体" w:cs="Times New Roman"/>
          <w:kern w:val="0"/>
          <w:sz w:val="32"/>
          <w:szCs w:val="32"/>
        </w:rPr>
        <w:t>10</w:t>
      </w:r>
      <w:r>
        <w:rPr>
          <w:rFonts w:hint="eastAsia" w:ascii="黑体" w:hAnsi="黑体" w:eastAsia="黑体" w:cs="Times New Roman"/>
          <w:kern w:val="0"/>
          <w:sz w:val="32"/>
          <w:szCs w:val="32"/>
        </w:rPr>
        <w:t>新中国60年经济发展是一个辉煌整体</w:t>
      </w:r>
      <w:bookmarkEnd w:id="1053"/>
      <w:bookmarkEnd w:id="1054"/>
      <w:bookmarkEnd w:id="1055"/>
    </w:p>
    <w:p w14:paraId="3A6C40B9">
      <w:pPr>
        <w:autoSpaceDE w:val="0"/>
        <w:autoSpaceDN w:val="0"/>
        <w:spacing w:line="360" w:lineRule="auto"/>
        <w:ind w:firstLine="500" w:firstLineChars="200"/>
        <w:jc w:val="center"/>
        <w:rPr>
          <w:rFonts w:ascii="宋体" w:hAnsi="宋体" w:eastAsia="宋体" w:cs="华光书宋_CNKI"/>
          <w:b/>
          <w:bCs/>
          <w:kern w:val="0"/>
          <w:sz w:val="24"/>
          <w:szCs w:val="24"/>
          <w:lang w:val="zh-CN" w:bidi="zh-CN"/>
        </w:rPr>
      </w:pPr>
      <w:r>
        <w:rPr>
          <w:rFonts w:hint="eastAsia" w:ascii="宋体" w:hAnsi="宋体" w:eastAsia="宋体" w:cs="华光书宋_CNKI"/>
          <w:b/>
          <w:bCs/>
          <w:kern w:val="0"/>
          <w:sz w:val="24"/>
          <w:szCs w:val="24"/>
          <w:lang w:val="zh-CN" w:bidi="zh-CN"/>
        </w:rPr>
        <w:t>一、引言：新中国60年发展的辉煌奇迹与认识问题</w:t>
      </w:r>
    </w:p>
    <w:p w14:paraId="3757AFB5">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众所周知，从20世纪中期开始在神州大地上已经发生和正在发生的一系列伟大的变革、伟大的建设，具有光照亘古的历史性意义。新中国的诞生，真正开启了中华民族伟大复兴的历史之门。新中国的建设，尽管经历了种种挫折和干扰，仍然取得了世界历史上任何其他国家从未达到过的辉煌成就。</w:t>
      </w:r>
    </w:p>
    <w:p w14:paraId="370A706A">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新中国60年的发展历史，可以大略分为改革开放前30年和改革开放后30年两个阶段或两个时期。中国在改革开放前1949-1978年的大约30年间完成了重化工业化、核工业化，建立了一个门类初步齐全、依靠内循环可以基本自给自足的国民经济体系，实现了包括导弹、卫星、核武器在内的自我武装，经济发展速度赶上并超过了世界大多数国家，年均GNP约为6.1%，可以跻身同期世界最快之列，社会生产力、综合国力、人民生活水平均比新中国成立前有较大提高，与主要发达国家的若干重要经济差距迅速缩小。</w:t>
      </w:r>
    </w:p>
    <w:p w14:paraId="3AB8B058">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改革开放以来的30年间，中国国民经济更是高速腾飞，年均GDP增速约为9.8%，远远高于同时期世界经济平均3%左右的增长速度，达到同期世界第一，大大超过德、日、美等国在其崛起甚至“黄金时期”的速度，现在国民经济总量已经超过德国跃升至世界第三。我国人均收入现已超过2000美元，人民生活实现了由温饱到总体小康的历史性跨越。世界第二大贸易国、外汇储备世界第一位、“神州”系列载人宇宙飞船发射成功、“嫦娥”探月工程取得成功、2008年北京奥运会举办成功等等，标志着我国综合国力和国际地位也居于世界前列。与此同时，我国在民主政治、文化、社会建设等方面也都取得显著成就。即使不谈1929-1933年的资本主义大危机，二战以来或冷战结束以来，西方国家每过几年或十几年就会发生经济衰退或经济危机，包括上世纪70年代的“滞涨”、目前正在全球愈演愈烈的源自美国的金融危机和经济危机，以及广大资本主义国家为了应对本次危机而掀起的又一轮规模巨大的国有化浪潮，表明新自由主义和社会民主主义的失灵，更使中国特色社会主义作为一种人类文明新模式，在对比中散发出更加耀眼的理想光芒。</w:t>
      </w:r>
    </w:p>
    <w:p w14:paraId="00F6B98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改革开放前后两个30年都是社会主义新中国60年历史的有机组成部分，都是作为一个整体的社会主义新中国历史，改革开放前后两个30年的关系，应当说改革开放前30年的发展为后30年发展奠定了物质文化基础，改革开放后30年的发展是在这个基础上的大发展。对此，党的十七大报告在“三个永远铭记”中有明确的阐述：“我们要永远铭记，改革开放伟大事业，是在以毛泽东同志为核心的党的第一代中央领导集体创立毛泽东思想，带领全党全国各族人民建立新中国、取得社会主义革命和建设伟大成就以及艰辛探索社会主义建设规律取得宝贵经验的基础上进行的。新民主主义革命的胜利，社会主义基本制度的建立，为当代中国一切发展进步奠定了根本政治前提和制度基础。”</w:t>
      </w:r>
    </w:p>
    <w:p w14:paraId="51FE674C">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但是，当今中国社会上有相当一些论著为了论证改革开放的必要性和伟大成就，对前30年发展采取历史虚无主义态度、或者片面地只讲失误和不足、甚至是用歪曲或污蔑的手段进行基本否定，割裂、扭曲改革开放前后两个30年的继承和发展关系。这对于我们科学认识新中国60年历史发展，从而总结历史经验教训、把握有关发展规律等是非常有害的。</w:t>
      </w:r>
    </w:p>
    <w:p w14:paraId="58B86E97">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要消除上述错误认识，真正树立新中国60年发展是一个辉煌整体的观点，其关键，一是要科学认识新中国前30年发展的辉煌绩效，二是要科学认识新中国前30年发展中存在的问题和失误与改革开放的原因。</w:t>
      </w:r>
    </w:p>
    <w:p w14:paraId="7B483227">
      <w:pPr>
        <w:autoSpaceDE w:val="0"/>
        <w:autoSpaceDN w:val="0"/>
        <w:spacing w:line="360" w:lineRule="auto"/>
        <w:ind w:firstLine="500" w:firstLineChars="200"/>
        <w:jc w:val="center"/>
        <w:rPr>
          <w:rFonts w:ascii="宋体" w:hAnsi="宋体" w:eastAsia="宋体" w:cs="华光书宋_CNKI"/>
          <w:b/>
          <w:bCs/>
          <w:kern w:val="0"/>
          <w:sz w:val="24"/>
          <w:szCs w:val="24"/>
          <w:lang w:val="zh-CN" w:bidi="zh-CN"/>
        </w:rPr>
      </w:pPr>
      <w:r>
        <w:rPr>
          <w:rFonts w:hint="eastAsia" w:ascii="宋体" w:hAnsi="宋体" w:eastAsia="宋体" w:cs="华光书宋_CNKI"/>
          <w:b/>
          <w:bCs/>
          <w:kern w:val="0"/>
          <w:sz w:val="24"/>
          <w:szCs w:val="24"/>
          <w:lang w:val="zh-CN" w:bidi="zh-CN"/>
        </w:rPr>
        <w:t>二、新中国前30年发展的辉煌绩效</w:t>
      </w:r>
    </w:p>
    <w:p w14:paraId="650D5308">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1949年新中国的成立，彻底结束了中国近代以来任人欺凌、饱受屈辱的历史，使中国最终加入了少数现代化后起国家的行列。从此，中国人民在中国共产党和自己的领袖毛泽东的领导下，开始了近代史上迟迟无法推进的大规模的现代化建设。此后的三十年间，毛泽东时代的中国在探索道路上尽管出现这样那样的失误和曲折，但总体而言取得了举世瞩目的发展成就，实现了经济社会的全面进步：中国成功地实现了现代经济起飞和增长，在国家工业化、农业发展等方面都取得重要成就，从根本上摆脱了在世界经济体系中日趋严重的边缘化地位。这是持公允立场的西方观察家也予以承认的基本事实。这里主要提供几组能够客观彰显新中国前30年发展辉煌绩效的纵横比较数据。</w:t>
      </w:r>
    </w:p>
    <w:p w14:paraId="14454071">
      <w:pPr>
        <w:spacing w:line="400" w:lineRule="exact"/>
        <w:ind w:firstLine="440" w:firstLineChars="200"/>
        <w:rPr>
          <w:rFonts w:ascii="宋体" w:hAnsi="宋体" w:eastAsia="宋体" w:cs="Times New Roman"/>
          <w:szCs w:val="21"/>
        </w:rPr>
      </w:pPr>
      <w:r>
        <w:rPr>
          <w:rFonts w:hint="eastAsia" w:ascii="宋体" w:hAnsi="宋体" w:eastAsia="宋体" w:cs="Times New Roman"/>
          <w:b/>
          <w:szCs w:val="21"/>
        </w:rPr>
        <w:t>1.与旧中国经济状况的纵向比较</w:t>
      </w:r>
      <w:r>
        <w:rPr>
          <w:rFonts w:hint="eastAsia" w:ascii="宋体" w:hAnsi="宋体" w:eastAsia="宋体" w:cs="Times New Roman"/>
          <w:szCs w:val="21"/>
          <w:vertAlign w:val="superscript"/>
        </w:rPr>
        <w:t>[1]（P163</w:t>
      </w:r>
      <w:r>
        <w:rPr>
          <w:rFonts w:ascii="宋体" w:hAnsi="宋体" w:eastAsia="宋体" w:cs="Times New Roman"/>
          <w:szCs w:val="21"/>
          <w:vertAlign w:val="superscript"/>
        </w:rPr>
        <w:t>–</w:t>
      </w:r>
      <w:r>
        <w:rPr>
          <w:rFonts w:hint="eastAsia" w:ascii="宋体" w:hAnsi="宋体" w:eastAsia="宋体" w:cs="Times New Roman"/>
          <w:szCs w:val="21"/>
          <w:vertAlign w:val="superscript"/>
        </w:rPr>
        <w:t>165）</w:t>
      </w:r>
    </w:p>
    <w:p w14:paraId="08E171B8">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自1840年鸦片战争到1949年的109年间，包括国民党统治的20多年在内，造就了中国近代史上一穷二白的社会格局，与世界主要国家的经济差距是在拉大的，而新中国成立后的30年间，许多经济差距在不断缩小。</w:t>
      </w:r>
    </w:p>
    <w:p w14:paraId="5AE5F66F">
      <w:pPr>
        <w:spacing w:line="400" w:lineRule="exact"/>
        <w:ind w:firstLine="440" w:firstLineChars="200"/>
        <w:rPr>
          <w:rFonts w:ascii="宋体" w:hAnsi="宋体" w:eastAsia="宋体" w:cs="Times New Roman"/>
          <w:szCs w:val="21"/>
          <w:vertAlign w:val="superscript"/>
        </w:rPr>
      </w:pPr>
      <w:r>
        <w:rPr>
          <w:rFonts w:hint="eastAsia" w:ascii="宋体" w:hAnsi="宋体" w:eastAsia="宋体" w:cs="Times New Roman"/>
          <w:szCs w:val="21"/>
        </w:rPr>
        <w:t>(1)新旧中国国民收入的发展比较。1929年至1949年，世界各国的国民收入增长了几倍、几十倍或几百倍，而旧中国却停滞不前。1920年国民收入为200亿元，到1949年为358亿元，增长79%，年均增长2%。人均国民收入在世界的排名位次有所后退，1933年人均国民收入约12美元，1949年27美元(另一算法是50美元)，仅高于印尼的25美元，在亚洲倒数第二。从1949到1978年，国民收入从358亿元增长到3350亿元，增加9倍多，按可比价格计算，30年约增长4.5倍，年平均增长15%，按人均数额计算，从66元增到343元。尽管人口增加迅猛而导致人均国民收入仍较低，但这一指标在国际上的位次还是提高的。国民收入中用于消费的部分也增加较快，1952年只有477亿元，1979年增加到2195亿元，增加4.6倍。扣除人口增长因素，近30年人均消费额增长1.6倍。</w:t>
      </w:r>
      <w:r>
        <w:rPr>
          <w:rFonts w:hint="eastAsia" w:ascii="宋体" w:hAnsi="宋体" w:eastAsia="宋体" w:cs="Times New Roman"/>
          <w:szCs w:val="21"/>
          <w:vertAlign w:val="superscript"/>
        </w:rPr>
        <w:t>[2]216-218</w:t>
      </w:r>
    </w:p>
    <w:p w14:paraId="12B203BD">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(2)新旧中国国民生产总值的发展比较。在1952年以前约70年时间里，国民生产总值从22.7亿美元增加到285.4亿美元(1952年是按当年价格计算的国内生产总值)，增长了11倍多，年均增长率为3.68%;新中国国民生产总值从1950年的380.6亿美元增加到1987年的5295.2亿美元(均按1980年的不变价和汇率计算)，37年增长12.9倍，年均增长率为7.37%。可见，旧中国年均增长率只相当于新中国的49.9%。</w:t>
      </w:r>
    </w:p>
    <w:p w14:paraId="766D6957">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(3)新旧中国工业的发展比较。1978年全国工业企业达到35万个，全民所有制企业固定资产3200亿元，相当于旧中国近百年积累起来的工业固定资产的25倍。1952-1978年，工业平均年增长速度达到11.2%。</w:t>
      </w:r>
    </w:p>
    <w:p w14:paraId="0BBBB4D4">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(4)新旧中国农业的发展比较。19世纪80年代农业总产值占国民生产总值的比重为90%，1952年为67.7%，1988年为40%。旧中国70年里这一比重下降22.3个百分点，年均下降0.4%;新中国36年里这一比重下降27.7个百分点，年均下降1.47%，比旧中国快2倍多。</w:t>
      </w:r>
    </w:p>
    <w:p w14:paraId="7E5D291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(5)新旧中国人均寿命的比较。长时期持续的经济增长和新的社会制度，使人民生活水平和生活质量普遍提高。这一点可以从人均寿命的延长这一重要的人文综合指标得以清楚反映。1978年我国男性公民平均寿命达66.95岁，女性达69.55岁，男女平均寿命为68岁，比50年代的57岁延长11岁，比解放前的35岁延长近1倍。</w:t>
      </w:r>
    </w:p>
    <w:p w14:paraId="7375BF8F">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正确判断应当是这样的：自鸦片战争开始至新中国成立前，中国从一个较强盛的封建帝国沦为半殖民地半封建的国家，并逐渐形成买办的封建的国家垄断资本主义经济基础。在这漫长的过程中，尽管社会生产力和人民生活有一点提高，但速度极为缓慢，与世界主要国家的经济和社会发展的差距拉大了，呈现出一副落后挨打和一穷二白的衰败社会画面。新中国成立后的30年，在主要资本主义国家实行经济封锁、对外援助较多和缺乏建设经验的条件下，尽管没有完全扭转一穷二白的遗留状况，但经济发展速度和人民生活改善比过去快，与世界多数国家的经济差距在缩小。</w:t>
      </w:r>
    </w:p>
    <w:p w14:paraId="634767D6">
      <w:pPr>
        <w:spacing w:line="400" w:lineRule="exact"/>
        <w:ind w:firstLine="440" w:firstLineChars="200"/>
        <w:rPr>
          <w:rFonts w:ascii="宋体" w:hAnsi="宋体" w:eastAsia="宋体" w:cs="Times New Roman"/>
          <w:b/>
          <w:szCs w:val="21"/>
        </w:rPr>
      </w:pPr>
      <w:r>
        <w:rPr>
          <w:rFonts w:hint="eastAsia" w:ascii="宋体" w:hAnsi="宋体" w:eastAsia="宋体" w:cs="Times New Roman"/>
          <w:b/>
          <w:szCs w:val="21"/>
        </w:rPr>
        <w:t>2.与条件相近国家经济发展总体水平的国际横向比较</w:t>
      </w:r>
    </w:p>
    <w:p w14:paraId="69E91DDF">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新中国前30年经济发展取得的重大进步，还可以通过国际、国别比较进一步确认。这里，分别以历史和国情与中国相近的印度和西方发达资本主义国家不同的发展阶段作为比较对象。</w:t>
      </w:r>
    </w:p>
    <w:p w14:paraId="398D31A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(1)与同时期印度经济的比较。从各种可比指标来看，20世纪50年代初我国的工业发展水平实际上低于印度，但是，在此后的二十多年里，中、印两国显示了完全不同的经济增长绩效。1949-1978年，印度工业生产发展速度比过去快得多，年平均增长率6%。然而新中国工业发展更迅速，1953-1979年的年平均增长为11.1%，除生铁产量外，包括钢、原煤、原油、水泥、硫酸、棉纱和发电量等在内的工业产量，都先后赶上并大大超过印度。1950-1976年，印度农业生产的年平均增长速度为2.5%，而我国，1953-1979年这一指标是3.4%。新中国30年，包括粮食、棉花、油菜、花生、茶叶、甘蔗、黄红麻、猪、羊和水产品在内的农产品以及农业劳动生产率都比印度增长得快。[1]166-167大多数权威人士认为，中国在国民生产总值增长率和人均国民收入增长率方面超过了印度，而印度和中国很可能是以相同的人均收入水平进入战后时代的。</w:t>
      </w:r>
    </w:p>
    <w:p w14:paraId="5060F6CC">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(2)与发达的资本主义国家的不同发展时期相比较。[1]166-167其一，与发达的资本主义国家繁荣发展时期对比。战后至70年代以前，是西方国家发展的黄金时代，1953-1978年主要资本主义国家工业生产年平均增长速度为：日本10.9%，西德5.7%，法国5.2%，美国4.0%，英国2.5%;1953-1976年其农业年平均增长速度为：法国2.5%，日本和英国2.1%，美国1.8%，西德1.3%。前述新中国大约同期的这两个指标都比发达国家高。其二，与发达的资本主义国家工业化初期对比。美国资本主义工业化初期的工业生产增长速度最快，1850-1859年为6.1%，1860-1869%年为8.2%，1870-1879年3.1%，1880-1889年为5.5%，1890-1899年为3.3%，而我国经济正常运转的第一个五年计划时期，工业生产平均每年增长18%。其三，与发达的资本主义国家起点相近时期对比。我国钢产量从1949年的15.8万吨提高到1979年3448万吨，花了30年时间，而类似的发展过程，美国用了40年(1872年的14.5万吨到1912年3195万吨)，日本用了53年(1910年的16.8万吨到1963年的3150万吨)，英国1860年为15万吨，用了120多年，才达一到3000万吨。</w:t>
      </w:r>
    </w:p>
    <w:p w14:paraId="6AB8BF1A">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上述比较表明，新中国前30年经济的发展速度至少不比另一个历史和国情相近的印度差，不比发达资本主义国家处于大致相同起点时的发展水平差，并且总体而言，也不比同时期处于“黄金时代”的发达资本主义国家的平均水平差。由此，可以得到这样一个基本结论，即新中国前30年经济发展总体上是成功的，它创造了比绝大多数资本主义国家高得多的经济发展速度。同一时期，新中国也进行了比其他国家更多的经济发展探索，犯了不少错误，因而也有许多教训。如果能正确地总结和对待这些教训，它同样会变成我们前进中的一种可贵的精神财富。</w:t>
      </w:r>
    </w:p>
    <w:p w14:paraId="05619E5E">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可以肯定地说，通过民族独立和经济现代化，实现中华民族的伟大复兴，是鸦片战争以来中国历史的主题，凝聚着几代中国人的探索和奋斗、光荣与梦想。从洋务运动依附性发展、维新变法向制度层面推进所进行的初步尝试，到孙中山对中国现代化道路的部分探索，中国人经历了上百年一次又一次的失败，直到中国共产党执政才开创了通向工业化和现代化的光明大道。</w:t>
      </w:r>
    </w:p>
    <w:p w14:paraId="430B451B">
      <w:pPr>
        <w:autoSpaceDE w:val="0"/>
        <w:autoSpaceDN w:val="0"/>
        <w:spacing w:line="360" w:lineRule="auto"/>
        <w:ind w:firstLine="500" w:firstLineChars="200"/>
        <w:jc w:val="center"/>
        <w:rPr>
          <w:rFonts w:ascii="宋体" w:hAnsi="宋体" w:eastAsia="宋体" w:cs="华光书宋_CNKI"/>
          <w:b/>
          <w:bCs/>
          <w:kern w:val="0"/>
          <w:sz w:val="24"/>
          <w:szCs w:val="24"/>
          <w:lang w:val="zh-CN" w:bidi="zh-CN"/>
        </w:rPr>
      </w:pPr>
      <w:r>
        <w:rPr>
          <w:rFonts w:hint="eastAsia" w:ascii="宋体" w:hAnsi="宋体" w:eastAsia="宋体" w:cs="华光书宋_CNKI"/>
          <w:b/>
          <w:bCs/>
          <w:kern w:val="0"/>
          <w:sz w:val="24"/>
          <w:szCs w:val="24"/>
          <w:lang w:val="zh-CN" w:bidi="zh-CN"/>
        </w:rPr>
        <w:t>三、新中国前30年发展中存在的问题和失误与改革开放的原因</w:t>
      </w:r>
    </w:p>
    <w:p w14:paraId="606F6694">
      <w:pPr>
        <w:spacing w:line="400" w:lineRule="exact"/>
        <w:ind w:firstLine="440" w:firstLineChars="200"/>
        <w:rPr>
          <w:rFonts w:ascii="宋体" w:hAnsi="宋体" w:eastAsia="宋体" w:cs="Times New Roman"/>
          <w:b/>
          <w:szCs w:val="21"/>
        </w:rPr>
      </w:pPr>
      <w:r>
        <w:rPr>
          <w:rFonts w:hint="eastAsia" w:ascii="宋体" w:hAnsi="宋体" w:eastAsia="宋体" w:cs="Times New Roman"/>
          <w:b/>
          <w:szCs w:val="21"/>
        </w:rPr>
        <w:t>1.新中国前30年发展中存在的问题和失误的简略分析</w:t>
      </w:r>
    </w:p>
    <w:p w14:paraId="608A9DFB">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从20世纪50年代到70年代，中国经济发展中存在的主要问题是经济增长中的波动幅度较大。以毛泽东同志为核心的新中国的第一代领导人对社会经济发展的蓝图审慎取选，殚精竭虑，但仍然由于追赶型战略选择这一总体背景，尤其是由于主观认识和客观实际之间产生的偏差等方面的原因，发生了“大跃进”和“文化大革命”这两次重大波折，从而导致经济发展在此期间发生了两次较大幅度的波动。如果没有这些偏差，新中国经济发展的绩效无疑会更好。考虑到那一时期的特定国内外社会政治历史和条件，对一个有着深远农业传统的民族国家来说，要求在大规模地推进现代经济发展和国家工业化建设的探索中不犯错误，这其实是难以完全做到的。</w:t>
      </w:r>
    </w:p>
    <w:p w14:paraId="408253F4">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1958-1960年的“大跃进”，是新中国历史上的一个重大事件，其间由于指导思想的失误，引发了一系列问题，特别是工农业比例失调、积累与消费比例失调、工业内部比例失调、财政赤字严重、市场供应紧张、消费品严重短缺等，这都是不可否认的。但同样不可否认的是，“大跃进”的本意，是用群众运动的方式来加速工业化。除全民性的“大炼钢铁”被后人视为荒唐事而反复强调外，在已建成的工业企业内部，虽然扩大了计划指标，但由于其技术性较强并有系统管理，因此，还是得到了迅速发展。第一，建成了一批重要工业项目，生产能力大为提高，中央和地方在各工业部门投入大量资金，先后施工的大中型工业项目达2200个左右，完成和部分完成并投产的有1100个，其中，钢铁、煤炭、石油化工、拖拉机、精密仪器、有机合成等工业部门迅速发展；第二，工业中国有企业固定资产原值由1957年的334.6亿元增至721.8亿元，增长1.16倍，工程技术人员由1957年的17.5万人增加到40多万人，增长1倍多;第三，技术革新和技术改造形成规模，并由此提高了广大职工的技能素质;第四，工业地区布局有了进一步改善；第五，国有企业的经营管理机制得以改革。这些都表明，“大跃进”虽然造成整个国民经济的暂时困难，但具体到工业的国有企业，依然有重大发展，从而支撑了中国经济渡过困难时期，并作为主干企业继续主导中国工业化现代化进程。</w:t>
      </w:r>
    </w:p>
    <w:p w14:paraId="1E443DBE">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经过20世纪60年代初的国民经济调整，中国经济社会恢复了稳步正常发展，但1966年开始的“文化大革命”又使之受到影响。但必须承认，党和国家的最高领导人还一直坚持中国工业化现代化的方向，并努力保持和发展国家资本和国有企业在工业化中的主导作用。因此，虽然有政治上各种因素的影响，国有企业，特别是大中型企业在困难中还有较大发展。需要特别指出的是，由于思想路线上的分歧，原苏联从60年代初即撤走了其援华专家，并停止了援华项目和技术，因此，这期间中国国有企业的发展，主要是“自力更生”，它也充分显示了中国是有能力在没有外援的情况下实现工业化的。这里，仅举几项主要工业产量的增长说明这个问题：1976年与1966年相比，钢2046万吨，增长33.6%；原煤4.83亿吨，增长91.7%；原油8716万吨，增长499%;发电量2031亿千瓦小时，增长146%；化肥524.4万吨，增长117.7%；水泥4670万吨，增长131.8%；机床15.7万台，增长186%；汽车13.52万辆，增长141.9%；全国工业总产值指数如以1952年为100，则1976年为1274.9。[3]</w:t>
      </w:r>
    </w:p>
    <w:p w14:paraId="27CD393D">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同时，还应看到，面对发展中存在的问题和失误，党和国家每次都是发现问题后就很快纠正解决，使经济重新出现加快发展的局面。如“大跃进”、“三年困难”时期中国经济曾下降，但在此后的1963年至1966年却连续高增长，四年间GDP增长率平均高达14%以上，成为历史上发展较好的时期之一。又如“文革”中的1967年和1968年也是负增长，而在此后的1969年和1970年GDP增长分别跃升至16.9%和19.4%，创共和国历史上的最高纪录。这不仅足以弥补个别年份的损失，而且不断创造出新成就，使中国经济整体上保持着比资本主义国家要快的发展。</w:t>
      </w:r>
    </w:p>
    <w:p w14:paraId="4BEC1CB2">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历史清楚说明，改革开放前30年中国在经济社会发展问题上的试验、探索、改革和调整从来就没有停止过，一直是在不断发现问题和解决问题、调查研究和争论中前进的。回顾历史，世界各国在经济发展过程中没有失误和挫折的情况是没有的。比较起来，资本主义国家的问题还更加严重。他们每一次经济波动和危机所造成的破坏都需多年才能恢复。“日本经济泡沫”、“亚洲金融危机”、“拉美经济危机”、“俄罗斯和东欧国家危机”等，这一系列国家所遭受的打击至今还没有完全恢复。改革开放前30年中国在经济社会发展上所发生的问题同资本主义不能相提并论。当时中国个别年份的失误和下降不过是发展中曲折的表现，从来都不是陷入无路可走状况或不能解决的矛盾中。如果把中国改革开放前30年在经济社会发展上出现的问题称为“失败”的话，那么，19世纪以来资本主义市场经济周期性反复发生的严重问题岂不是更加失败?</w:t>
      </w:r>
    </w:p>
    <w:p w14:paraId="6C78AB7C">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可见，面对新中国前30年经济社会变迁的历史功绩，有论著却误用交易费用和私有产权理论，只抓住“文革”、“大跃进”等急躁做法或错误，以偏概全，无限上纲，一笔抹杀所有历史成就，毫无道理可言。中国已经纠正了这些缺乏社会主义建设经验的弊病，并朝着新体制的健康方向发展。倘若一定要与含帝国主义和法西斯主义在内的私有制社会相比，那么，传统公有制社会这些问题性质的严重性及所造成的经济、政治和文化的损失，真可谓小巫见大巫了。</w:t>
      </w:r>
    </w:p>
    <w:p w14:paraId="4BA5B0A8">
      <w:pPr>
        <w:spacing w:line="400" w:lineRule="exact"/>
        <w:ind w:firstLine="440" w:firstLineChars="200"/>
        <w:rPr>
          <w:rFonts w:ascii="宋体" w:hAnsi="宋体" w:eastAsia="宋体" w:cs="Times New Roman"/>
          <w:szCs w:val="21"/>
        </w:rPr>
      </w:pPr>
      <w:r>
        <w:rPr>
          <w:rFonts w:hint="eastAsia" w:ascii="宋体" w:hAnsi="宋体" w:eastAsia="宋体" w:cs="Times New Roman"/>
          <w:b/>
          <w:szCs w:val="21"/>
        </w:rPr>
        <w:t>2.中国改革开放的原因</w:t>
      </w:r>
    </w:p>
    <w:p w14:paraId="2B9EB79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实际上，中国改革开放前30年更加主要的经济成就不在总量而在结构。新中国建立后仅仅30年时间，到70年代末期，就由过去一个“一穷二白”的国家，初步发展成为一个具有自己独立完整的工业体系的国家，不仅有了大型的钢铁基地、能源基地、石油化工基地，铁路公路干线遍布全国，而且自己能制造汽车、火车、飞机、万吨级巨轮、电子计算机、导弹、卫星。农业上完成了对许多大江大河的治理改造任务，解决控制住自然灾害，基本上实现了农田水利化等。此外，经济和科技的发展支持国防上取得多次战争的胜利，对帝国主义的侵略和包围给予了坚决地回击。</w:t>
      </w:r>
    </w:p>
    <w:p w14:paraId="717F4EF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历史已经充分证明，中国选择社会主义没有错，建设社会主义也是富有成效的。然而，中国人民是有高深智慧和高远志气的，对于经济社会发展业绩好于绝大多数私有制国家并不满足。究竟是哪些原因致使我国改革开放前30年发展没有全面超过一切资本主义国家的发展而要进行改革呢?其主要原因应该归结为两条：[1]168-170</w:t>
      </w:r>
    </w:p>
    <w:p w14:paraId="76B87F9E">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一是体制因素。资产的社会主义公有制和由此决定的按劳分配，是社会主义最基本的经济制度，这一制度本身具有的潜力和优势比私产制大得多。可是，在传统的经济管理体制下，经济制度优越性的内生机制作用没有获得充分发挥，其推动生产和科技进步的潜能未能完全被释放。所以，必须改革高度集权式的计划产品经济体制，塑造公有制为主体的市场经济体制，以适应现代人的素质和生产力的要求。一旦新型社会主义初级公有制与国家主导型市场机制有机地结合起来，整个国民经济必将全面超过一切私产制国家的发展速度。30年来尚未完全到位的改革开放实践，已经有力地证明这一点。</w:t>
      </w:r>
    </w:p>
    <w:p w14:paraId="2D3D43B8">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二是人口因素。社会主义公有制效率优势的实现程度，既取决于具体体制的相对优劣，也取决于人口、资源、原有基础和国际环境等状况的好坏。建国60年，尤其是近十几年来，我国社会生产力、综合国力和人民生活均有很大的提高。我国经济和社会发展的速度与质量并不差，但人均经济水平和人均国力没有较快的增长，仍处于世界中下地位，其根本原因是人口增加太快。事实明摆着，中国不逐步减轻人口压力的制约及由此带来的一系列负效应，即使社会主义基本制度和体制是十分完善的，人均国力也不可能在一、二百年左右赶上最发达的私有制国家。</w:t>
      </w:r>
    </w:p>
    <w:p w14:paraId="1EE43E6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另外，还要看到：第一，西方发达国家比现在的中国富裕是历史上形成的。旧中国的贫困正是帝国主义侵略和封建主义、官僚资本主义剥削与统治的结果。第二，西方各国原始积累过程十分残酷，不少发达国家都是对外发起侵略战争，通过新老殖民主义和霸权主义，非法或合法地大肆掠夺别国财富和世界资源。第三，资本主义国家主要保证的是少数人发财，社会财富和收入的贫富差距巨大。</w:t>
      </w:r>
    </w:p>
    <w:p w14:paraId="7445CB0F">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所以，正确的结论应该是：我国进行改革开放，实行社会主义市场经济体制，基本目的在于追求比传统社会主义计划经济体制更高的效率，计划经济功成身退，市场经济继往开来，“我们的改革是为了好上加好”[4]，是为了达到在现实条件约束下所能达到的最理想效率状态。至于传统体制下存在的资源高消耗、生活水平提高较慢等问题，部分同资本主义国家经济封锁、人口增长太快、科技基础较差、外援和备战较多等因素有关，并非都是体制问题。我们不能违反实证分析，通过有意贬低过去的绩效来论证改革的必要性，这是极不明智的。</w:t>
      </w:r>
    </w:p>
    <w:p w14:paraId="043B4241">
      <w:pPr>
        <w:autoSpaceDE w:val="0"/>
        <w:autoSpaceDN w:val="0"/>
        <w:spacing w:line="360" w:lineRule="auto"/>
        <w:ind w:firstLine="500" w:firstLineChars="200"/>
        <w:jc w:val="center"/>
        <w:rPr>
          <w:rFonts w:ascii="宋体" w:hAnsi="宋体" w:eastAsia="宋体" w:cs="华光书宋_CNKI"/>
          <w:b/>
          <w:bCs/>
          <w:kern w:val="0"/>
          <w:sz w:val="24"/>
          <w:szCs w:val="24"/>
          <w:lang w:val="zh-CN" w:bidi="zh-CN"/>
        </w:rPr>
      </w:pPr>
      <w:r>
        <w:rPr>
          <w:rFonts w:hint="eastAsia" w:ascii="宋体" w:hAnsi="宋体" w:eastAsia="宋体" w:cs="华光书宋_CNKI"/>
          <w:b/>
          <w:bCs/>
          <w:kern w:val="0"/>
          <w:sz w:val="24"/>
          <w:szCs w:val="24"/>
          <w:lang w:val="zh-CN" w:bidi="zh-CN"/>
        </w:rPr>
        <w:t>四、基本结论与继续发展的两大途径</w:t>
      </w:r>
    </w:p>
    <w:p w14:paraId="61513A17">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(1)新中国60年发展的整体绩效是辉煌的，堪称“中国奇迹”。新中国两个30年，单从经济发展速度说，前一个时期年均GNP约为6.1%，后一个时期年均GDP约为9.8%。如果考虑到中国是一个大国、特别是中国的人口规模和人口快速增长的事实，可以说，长达60年的如此高速发展在人类历史上是无与伦比的。与此同时，我国社会生产力、综合国力、人民生活水平等均有大幅提高，在民主政治、文化、社会建设等方面也都取得显著成就，有很多指标已经名列世界第一或是世界前位。历史已经充分证明，中国选择社会主义没有错，建设社会主义也是富有成效的，马克思主义关于落后国家可以进行社会主义革命和建设这一原理是正确的。在改革开放中逐步成形的中国特色社会主义作为一种先进的人类文明模式，则更加具有兼顾现实个性的社会理想光芒，今后中国的发展改革开放，也只能在坚持和完善中国特色社会主义的道路上继续前进。</w:t>
      </w:r>
    </w:p>
    <w:p w14:paraId="7FCBCADA">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(2)改革开放前后两个30年，作为一个整体社会主义新中国的历史，前者是后者发展的基础，后者是基于前者的更好更快的发展。尽管有一系列国内外不利因素，但得益于公有制内生机制的优势、共产党的执政和马克思主义及其中国化理论的指导，改革开放前30年取得了不可否定的史无前例变化和绩效，而改革开放后30年的发展绩效更高。假如这些不利因素大幅度减弱，中国的发展实绩完全可以远远超出一切资本主义国家。但改革开放以来，一些国内外舆论对新中国前30年的失误议论得较多，存在有不公正的评价，甚至说得一无是处。所以，有必要从理论上正确认识前30年的发展成就与历史遗产。</w:t>
      </w:r>
    </w:p>
    <w:p w14:paraId="41728B2C">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(3)不管是前30年还是后30年的发展经验都表明，我国要尽快在综合国力和人均国力上接近、赶上或超过一切资本主义国家，必须在体制与人口两个主要途径积极采取长期的有效措施。就体制层面分析，现阶段要在马克思主义及其中国化理论的指导下，不断克服历史虚无主义、新自由主义、民主社会主义和复古主义等的不良影响，在消除“泛市场化”和“市场万能论”过程中改进和加强国家调节，切实完善社会主义市场经济以及与之相适应的政治、文化和社会等各项体制机制，使中国特色社会主义的道路越走越宽。就人口层面分析，现阶段只有严格实行“先控后减”的人口调控政策，才能实现人口素质的较快提升，更好地促进人口同资源和生态环境相协调的可持续发展，从而尽快赶上欧美日韩等国的人均国民生产总值、人均国力和人均生活水平，真正实现高标准的共同富裕和科学发展目标，最终在社会主义与资本主义的比较中获得完全的优势。</w:t>
      </w:r>
    </w:p>
    <w:p w14:paraId="1B00491B">
      <w:pPr>
        <w:spacing w:line="400" w:lineRule="exact"/>
        <w:ind w:firstLine="440" w:firstLineChars="200"/>
        <w:rPr>
          <w:rFonts w:ascii="宋体" w:hAnsi="宋体" w:eastAsia="宋体" w:cs="Times New Roman"/>
          <w:szCs w:val="21"/>
        </w:rPr>
      </w:pPr>
    </w:p>
    <w:p w14:paraId="51FAC5AF">
      <w:pPr>
        <w:spacing w:line="400" w:lineRule="exact"/>
        <w:ind w:firstLine="440" w:firstLineChars="200"/>
        <w:rPr>
          <w:rFonts w:ascii="宋体" w:hAnsi="宋体" w:eastAsia="宋体" w:cs="Times New Roman"/>
          <w:b/>
          <w:szCs w:val="21"/>
        </w:rPr>
      </w:pPr>
      <w:r>
        <w:rPr>
          <w:rFonts w:hint="eastAsia" w:ascii="宋体" w:hAnsi="宋体" w:eastAsia="宋体" w:cs="Times New Roman"/>
          <w:b/>
          <w:szCs w:val="21"/>
        </w:rPr>
        <w:t>参考文献：</w:t>
      </w:r>
    </w:p>
    <w:p w14:paraId="7DE76102">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[1]程恩富.西方产权理论评析[M].北京：当代中国出版社，1997.</w:t>
      </w:r>
    </w:p>
    <w:p w14:paraId="395B6BCB">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[2]郑继兵，杨仑.艰难的历程：中国现代化的百年追求[M].哈尔滨：黑龙江人民出版社，1992.</w:t>
      </w:r>
    </w:p>
    <w:p w14:paraId="7EDD0693">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[3]刘永佶.国家资本及其国有企业是新中国工业化的基础和主干[J].当代中国史研究，2003(4).</w:t>
      </w:r>
    </w:p>
    <w:p w14:paraId="34C7D3E3">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[4]曹雷.讲学中南海：著名经济学家程恩富访谈[N].现代教育报，2004-06-21.</w:t>
      </w:r>
    </w:p>
    <w:p w14:paraId="41657504">
      <w:pPr>
        <w:spacing w:line="400" w:lineRule="exact"/>
        <w:ind w:firstLine="440" w:firstLineChars="200"/>
        <w:rPr>
          <w:rFonts w:ascii="宋体" w:hAnsi="宋体" w:eastAsia="宋体" w:cs="Times New Roman"/>
          <w:szCs w:val="21"/>
        </w:rPr>
      </w:pPr>
    </w:p>
    <w:p w14:paraId="0A7BC73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（原载《军队政工理论研究》2009年第4期，第一作者为曹雷）</w:t>
      </w:r>
    </w:p>
    <w:p w14:paraId="37BF1437">
      <w:pPr>
        <w:spacing w:line="400" w:lineRule="exact"/>
        <w:ind w:firstLine="440" w:firstLineChars="200"/>
        <w:rPr>
          <w:rFonts w:ascii="宋体" w:hAnsi="宋体" w:eastAsia="宋体" w:cs="Times New Roman"/>
          <w:szCs w:val="21"/>
        </w:rPr>
      </w:pPr>
    </w:p>
    <w:p w14:paraId="31373138">
      <w:pPr>
        <w:bidi w:val="0"/>
      </w:pPr>
      <w:r>
        <w:br w:type="page"/>
      </w:r>
    </w:p>
    <w:p w14:paraId="377A8510">
      <w:pPr>
        <w:keepNext/>
        <w:keepLines/>
        <w:widowControl/>
        <w:spacing w:line="480" w:lineRule="auto"/>
        <w:ind w:firstLine="198"/>
        <w:jc w:val="center"/>
        <w:outlineLvl w:val="1"/>
        <w:rPr>
          <w:rFonts w:ascii="黑体" w:hAnsi="黑体" w:eastAsia="黑体" w:cs="Times New Roman"/>
          <w:kern w:val="0"/>
          <w:sz w:val="32"/>
          <w:szCs w:val="32"/>
        </w:rPr>
      </w:pPr>
      <w:bookmarkStart w:id="1056" w:name="_Toc18001"/>
      <w:bookmarkStart w:id="1057" w:name="_Toc1882976501"/>
      <w:bookmarkStart w:id="1058" w:name="_Toc2141483804"/>
      <w:r>
        <w:rPr>
          <w:rFonts w:ascii="黑体" w:hAnsi="黑体" w:eastAsia="黑体" w:cs="Times New Roman"/>
          <w:kern w:val="0"/>
          <w:sz w:val="32"/>
          <w:szCs w:val="32"/>
        </w:rPr>
        <w:t>1</w:t>
      </w:r>
      <w:r>
        <w:rPr>
          <w:rFonts w:hint="eastAsia" w:ascii="黑体" w:hAnsi="黑体" w:eastAsia="黑体" w:cs="Times New Roman"/>
          <w:kern w:val="0"/>
          <w:sz w:val="32"/>
          <w:szCs w:val="32"/>
        </w:rPr>
        <w:t>1当前三大经济理论问题的争论</w:t>
      </w:r>
      <w:bookmarkEnd w:id="1056"/>
      <w:bookmarkEnd w:id="1057"/>
      <w:bookmarkEnd w:id="1058"/>
    </w:p>
    <w:p w14:paraId="54F799AE">
      <w:pPr>
        <w:autoSpaceDE w:val="0"/>
        <w:autoSpaceDN w:val="0"/>
        <w:spacing w:line="360" w:lineRule="auto"/>
        <w:ind w:firstLine="500" w:firstLineChars="200"/>
        <w:jc w:val="center"/>
        <w:rPr>
          <w:rFonts w:ascii="宋体" w:hAnsi="宋体" w:eastAsia="宋体" w:cs="华光书宋_CNKI"/>
          <w:b/>
          <w:bCs/>
          <w:kern w:val="0"/>
          <w:sz w:val="24"/>
          <w:szCs w:val="24"/>
          <w:lang w:val="zh-CN" w:bidi="zh-CN"/>
        </w:rPr>
      </w:pPr>
      <w:r>
        <w:rPr>
          <w:rFonts w:hint="eastAsia" w:ascii="宋体" w:hAnsi="宋体" w:eastAsia="宋体" w:cs="Times New Roman"/>
          <w:b/>
          <w:bCs/>
          <w:kern w:val="28"/>
          <w:sz w:val="24"/>
          <w:szCs w:val="32"/>
        </w:rPr>
        <w:t>一、改革开放30年的经济学分析</w:t>
      </w:r>
    </w:p>
    <w:p w14:paraId="69673948">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第一种观点认为，改革开放30年是马克思主义经济学理论指导中国具体实践的过程，开辟了中国特色社会主义经济发展道路。持该观点的学者认为，在马克思经济学理论的指导下，我国取得了巨大成就。在经济运行机制方面，由社会主义计划经济体制转向社会主义市场经济体制，由以国家计划为主进行资源配置，转变为在国家宏观调控下市场起资源配置的基础性作用。在所有制结构方面，从过去的单一公有制转变为改革后的公有制为主体、多种所有制经济共同发展。在分配制度方面，由平均主义的分配方式转变为按劳分配为主体、多种分配方式并存。[ 1 ]持这种观点的学者还指出，改革开放30年所取得的成就有目共睹，但同时还要看到存在的问题，如，收入差距扩大、社会阶层贫富差距加剧；教育体制改革、医疗体制改革、住房体制等改革过度市场化；国有企业改革政策存在一些失误，导致大量国有资产流失；过度追求经济效益，忽视环境保护，环境破坏严重，资源环境日趋紧张，等等。承认和正视这些问题并不是否认改革，而是为推进改革开放。解决这些问题，必须坚持以马克思主义经济学为指导，在更高层次上推进改革开放。关于经济运行机制，在继续坚持市场改革的同时，要重新强调和运用国家宏观调控的作用；关于所有制结构，在坚持多种所有制共同发展的同时，要重新强调“公有制为主体”，发展和壮大公有制经济；关于分配关系，要从“让一部分人先富起来”转向重视“共同富裕”，从“效率优先，兼顾公平”转向“初次分配和再分配都要处理好效率和公平的关系，再分配更加注重公平”。[ 2 ]</w:t>
      </w:r>
    </w:p>
    <w:p w14:paraId="615315DE">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第二种观点认为，改革开放30年取得的成就是遵循西方资产阶级主流经济学及其衍生经济政策的结果，改革就是向新自由主义经济学核心理念“华盛顿共识”靠拢的过程。[ 3 ]持该观点的学者认为，中国改革开放之所以取得巨大成就，就在于中国走了一条以市场化、私有化、非调控化为导向的改革道路。市场是配置资源的最佳工具，其配置资源的效率远胜于国家计划和政府干预，政府干预降低了资源配置效率，政府干预越少越好，市场作用越大越好。我国改革开放30年的过程，就是市场自由化过程，也是整个经济的非公有化过程。非公经济比例不断上升、公有经济比例不断下降，说明外资企业和私营企业等私有经济比国有企业和集体企业等公有经济具有更高的经济效率。[ 4 ]目前，改革开放仍存在一些问题，原因主要是市场化程度不够，政府干预过多，私有化还不彻底。</w:t>
      </w:r>
    </w:p>
    <w:p w14:paraId="4FAB567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第三种观点认为，中国实行的改革开放政策属于民主社会主义政策，中国改革开放走的是一条民主社会主义的道路。持该观点的学者认为，民主社会主义就是要保留资本主义生产方式，使其和平地长入社会主义，它既演变了资本主义，也演变了社会主义。中国所实行的改革开放政策，如，“实行包产到户，废止近乎单一的公有制，实行多种所有制共同发展，允许一部分人先富起来”，是把代表先进生产力的资本家请回来，是要发展混合私有制经济，这些政策都是对社会主义的演变或修正。</w:t>
      </w:r>
    </w:p>
    <w:p w14:paraId="7CB9E368">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以上三种观点对改革开放30年的经济学理论分析和总结涉及三个基本问题：首先，改革开放30年取得的巨大成就的原因是什么，即如何用经济学理论来解释改革开放30 年取得巨大成就。其次，总结或反思改革开放的教训是什么，即如何用经济学理论看待改革开放30年面临的问题和不足。最后，总结或反思改革开放的目的是什么，即用何种经济学理论指导继续推进改革开放或者说改革开放的方向是什么。</w:t>
      </w:r>
    </w:p>
    <w:p w14:paraId="34849E71">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我国改革开放是在坚持马克思主义经济理论的指导下和坚持社会主义制度的前提下进行的，主要内容是改革社会主义生产关系中不适应社会生产力发展的一些环节和方面，借鉴国外合理的管理经验和先进技术为我所用。改革既不是改变社会主义制度的性质，也不是照抄、照搬国外的发展模式。我国要建立和完善的社会主义市场经济，是要把社会主义基本制度和市场经济结合起来，充分发挥社会主义制度和市场经济二者的优势，这正是我国取得巨大成就的重要原因。我国在从传统高度集中的社会主义计划经济体制向社会主义市场经济体制转变的过程中，确实借鉴了西方资产阶级经济学关于市场经济一般规律的理论论述，并在实践中从过去过分强调集体利益转向适当强调个体利益，从几乎单纯的公有制经济转向适度降低公有制在经济中的比重和开创公有制的多种实现形式，鼓励、支持和引导个体、私营和外资等私有制经济发展。有人误以为我国改革开放是遵循了西方资产阶级主流经济学及其政策主张的逻辑。如果遵循西方资产阶级主流经济学及其政策主张的逻辑，我国就不可能坚持和完善公有制为主体和按劳分配为主体的基本经济制度。如果遵循了新自由主义经济学的逻辑，实行市场原教旨主义的市场经济，就不可能坚持和完善社会主义宏观调控和提高宏观调控水平，就不可能倡导独立自主的以自力更生为立足点的对外开放。显然，“中国经济改革和发展是以西方理论为指导的说法是不符合实际的”，这种说法会误导中国经济改革和发展的方向。[ 5 ]</w:t>
      </w:r>
    </w:p>
    <w:p w14:paraId="39CDBD67">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我国改革开放30年取得的巨大成就，不仅不是遵循西方资产阶级主流经济学及其衍生经济政策的结果，而且我国改革开放30年出现的收入和财富占有的差距过大、资源的破坏性开采和浪费性使用、环境污染严重、公有资产流失、私有制企业职工工作条件恶劣、腐败盛行等问题，恰恰是受到以新自由主义经济学为代表的西方资产阶级主流经济学宣传和影响的结果。西方资产阶级主流经济学倡导的企业片面追求利润最大化，导致企业不注重资源节约，肆意排放生产污染物，最大程度地压低工资和降低工作条件，甚至生产和兜售假冒伪劣商品，严重损害人民生命健康。民主社会主义本质上是资产阶级的改良思想和主张，虽然其主张的福利资本主义，对缓和资本和劳动的矛盾，改善工人阶级的生活状况具有积极意义，但其本质是为垄断资产阶级服务的。而我国改革开放30年探索和完善的是中国特色的社会主义，其实质是依据社会生产力和现代市场经济发展的内在要求，重构和完善社会主义初级阶段的基本经济形态：一是建立和完善公有主体型的多种类产权形态。二是建立和完善劳动主体型的多要素分配形态。三是建立和完善国家主导型的多结构市场形态。四是建立和完善自力主导型的多方位开放形态。[ 6 ]</w:t>
      </w:r>
    </w:p>
    <w:p w14:paraId="62CB1886">
      <w:pPr>
        <w:autoSpaceDE w:val="0"/>
        <w:autoSpaceDN w:val="0"/>
        <w:spacing w:line="360" w:lineRule="auto"/>
        <w:ind w:firstLine="50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rPr>
        <w:t>二、科学发展观的经济理论探讨</w:t>
      </w:r>
    </w:p>
    <w:p w14:paraId="4FD02D6A">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第一，关于科学发展观的核心“以人为本”的探讨。从所有制结构方面进行探讨的学者认为，科学发展必须完善以公有制为主体、多种所有制经济共同发展的社会主义基本经济制度。私有化的“改制”和私有制经济比重的扩大，严重削弱了社会主义的基本经济制度，必然造成居民收入差距的拉大，“发展成果由人民共享”的呼声甚高是其结果之一。只有公有制控制的生产力，才是劳动人民控制的生产力，产出的成果才直接属于劳动人民。在社会主义公有制经济中，劳动人民在实质上处于主人翁的经济地位，才能获得经济民主的权益。在公有制的基础上才能实现按劳分配的平等关系。人民共享发展成果的实现程度，归根到底取决于公有制经济的巩固和发展程度。而“私有制加公共财政再分配”的制度，不能解决两极分化问题，不是依靠人民的经济制度。积极构建依靠人民的经济制度，才能实现发展由人民共享的共同富裕。[ 7 ] [ 8 ]从收入分配关系方面探讨的学者认为，贯彻落实好“让发展的成果惠及全体人民”，必须理顺国民收入中起决定性作用的初次分配关系。生产资料所有制关系直接决定初次分配关系，也支配着再分配关系。主导全社会国民收入分配关系的，是占统治地位的生产资料所有制关系的控制者，是这种所有制关系中生产条件的所有者。“让发展的成果惠及全体人民”需要在完善社会主义基本经济制度的前提下，注重在公有制经济中完善国民收入初次分配关系，明晰和规范所有者、经营者和生产者的责、权、利关系，把国有资本、集体资本的保值增值与管理者、职工个人收入的总额挂起钩来，在促进公有资本保值增值前提下实现按劳分配；在公有资本控股企业中，合理地确定按股权分配总额和按劳分配总额之间的关系，促进初次分配关系既适应市场经济，又能体现按劳分配；逐步发展农民自愿组织的新型集体经济组织，实现土地规模经营，增进按劳分配；在非公有制经济中，通过加强社会主义法制等方式，促进改善劳资关系和分配。[ 9 ] [ 10 ] [ 11 ]从公平与效率关系方面探讨的学者认为，科学发展观要求效率都要服从以人为本的原则，并与实现广大人民群众的共同富裕结合起来。就利润率而言，资本所有者如果是私人，利润率提高并不意味着工人利益的增加，这就出现了是否公平的问题；资本所有者如果是国家或集体，利润率提高则意味着总体或集体劳动者利益的共同增加，但如何把这种增加落实到每个劳动者身上，也有一个分配是否公平的问题。就劳动生产率而言，如果管理者强制劳动者超出正常脑力、体力的承受程度，劳动时间过长、强度过大，这虽然会提高劳动生产率，却背离了劳动者健康生存的要求，也背离了劳动保护的要求，更背离了促进人的全面发展的要求。这样的效率是与科学发展观相违背的。公平在内涵上有多重具体含义，所有制关系的性质不同，衡量分配关系是否公平的尺度就不同，因而分配公平的内涵也不同。在我国，既存在着用按劳分配这个尺度衡量的劳动者之间的公平与否，又存在着用按生产要素的贡献分配这个尺度衡量的生产要素所有者之间的公平与否。以科学发展观为指导寻求效率与公平的具体统一。在我国，由社会主义初级阶段基本经济制度所决定，按劳分配为主体、多种分配方式并存的分配制度具有效率和相对公平的统一。[ 12 ] [ 13 ]</w:t>
      </w:r>
    </w:p>
    <w:p w14:paraId="3F2BD75A">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第二，关于全面发展、协调发展和可持续发展的探讨。从转变经济发展方式方面探讨的学者认为，为实现国民经济又好又快的发展，需要转变经济发展方式，而转变经济发展方式的实质是实现经济增长拉动力、贡献率、增长源三大转变。经济增长拉动力的转变是要提高消费在社会总需求中的比重，使消费成为经济增长的主要拉动力。经济增长贡献率的转变是要提高第三产业在产业结构中的比重，特别是大力推进现代服务业的发展，使第三产业成为对经济增长贡献率最大的产业。经济增长源的转变是要提高自主创新和科技成果向现实生产力的转化能力，使科技进步、劳动者素质提高、管理创新成为经济增长的主要源泉。为此，通过提高居民收入在国民收入分配中的比重，提高劳动报酬在初次分配中的比重，提高对消费品生产和服务业的投资力度，实现经济增长由主要依靠投资、出口拉动向依靠消费、投资、出口协调拉动转变。通过提高自主创新能力和科技成果向现实生产力的转化能力，实现粗放型增长向集约型增长转变。[ 14 ] [ 15 ]从提高自主创新能力方面探讨的学者认为，要通过技术进步来转变经济发展方式，实现科学发展，但对如何通过自主创新实现技术进步存在分歧。一些学者认为，改革开放以来，中国通过发挥后发优势，从国外大量引进本国没有的一般性的先进技术，实现了技术的长足进步，促进了本国经济的快速发展，已基本掌握世界上一般性的先进技术。从新世纪开始，中国进入了主要依靠自主创新，取得和采用高新技术的历史阶段。不管是转变粗放型经济增长方式，优化产业结构，克服高新技术的引进困难，满足国内市场对高新技术和高新技术产品的需求，还是提升国际竞争力、实现外贸持续发展，都需要进行自主创新，而且中国现在已经初步具备进行自主创新的必要的资本、技术、人才和制度基础。[ 16 ]另一些学者认为，我国的目标增长方式应是充分利用具有比较优势的廉价的劳动力要素的增长方式。应多利用引进技术来取得技术升级，只在涉及国防安全、我国已具有比较优势或者国外没有的产业领域等方面，进行自主创新，并且新产品和技术研发要尽量采用以劳动力来替代昂贵的自动化设备。[ 17 ]还有学者认为，由于我国是劳动要素非常密集的国家、人力资本高度短缺、技术创新效率低、创新体系不健全、自主创新缺乏金融支持，因此，我国不应采取自主创新的增长策略，而是继续坚持基于廉价劳动力比较优势的国际分工和竞争策略。[ 18 ]从协调人口资源环境方面探讨的学者认为，人口发展、资源使用和环境保护应相互协调，必须重视控制人口总量、提高人口素质和优化人口结构，但对中国如何协调人口与资源环境的关系存在分歧。一些学者认为，应严格执行计划生育的一胎政策，减少人口总量，从而缓解资源环境压力，优化人口教育结构，优化产业结构，优化资本与劳动配置结构，优化人口的地域分布结构。放宽或放开二胎不能解决出生性别比偏高所造成的男女失配问题，老龄化对人口和劳动力过剩的国家是有利的，加速人口老龄化有助于提高老年保障水平。[ 19 ]另一些学者认为，全面放开二胎政策虽然能使人口老化的程度得到一定缓解，但不利于解决人口对资源环境的压力和劳动就业的压力，从而影响社会经济的发展及人口素质和人民生活质量的提高。[ 20 ]</w:t>
      </w:r>
    </w:p>
    <w:p w14:paraId="6F4056B6">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学者们对科学发展观的探讨深化了对经济社会发展规律的认识。社会主义实行生产资料公有制不仅仅在于适应社会化大生产的需要，其根本原因在于保障按劳分配的实现，从而保证社会有效需求的充足和生产与消费的良性循环，进而实现社会经济比资本主义私有制经济以更快的速度、可持续地向前发展。因此，公有制是全面、协调、可持续的科学发展的经济基础。我国坚持和完善公有制为主体、多种所有制经济共同发展的基本经济制度是科学发展观的必然要求，这种制度既通过在数量和质量上都居于主体的公有制经济克服作为辅体的私有制经济的弊病，又可适应我国现阶段多层次的生产力发展状况，从而促进经济全面、协调、可持续的科学发展。[ 21 ]</w:t>
      </w:r>
    </w:p>
    <w:p w14:paraId="6E2B5B54">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我国落实科学发展需要转变经济发展方式、提升产业结构和完善管理制度机制，核心在于构建和提高自主创新能力。我国依靠廉价的丰富的劳动力资源所构建的具有“比较优势”的劳动密集型产业正面临附加值空间狭小、资源投入粗放、低水平过度竞争的约束。虽然为解决我国丰富劳动力就业问题，劳动密集型产业在相当长的时期内仍将是我国经济发展的重要产业，但发展劳动密集型产业不应作为我国产业发展的战略，否则会陷入“比较优势陷阱”，并在经济全球化的条件下扮演为发达资本主义国家打工的角色，始终处于产业分工的低端、经济发展圈的外围。我国提高自主创新能力需要执行知识产权优势战略，大力发展控股、控技(尤其是核心技术和技术标准)和控牌(尤其是名牌)的“三控型”民族企业集团，突出培育和发挥知识产权优势。[ 22 ]转变对外经济发展方式需要提升消费拉动增长的作用；适当控制外资依存度，提升协调利用中外资的效益；提升自主创新的能力；适当控制外汇储备规模，提升使用外汇的收益。早日把中国打造为“世界工厂”而非“世界加工厂”，从而尽快完成从贸易大国向贸易强国和经济大国向经济强国的转型。[ 23 ]我国落实科学发展观还需统筹人口、资源和环境的关系。科学发展的目的是实现人的全面、充分和自由发展，因此，为改善人与自然、人与人、人与社会和社会与自然的关系，控制人口数量和提高人口质量，也需要像物质生产一样转变人口生产观念和实施生产计划。根据我国现有的自然资源条件、人口发展现状和科学发展要求，我国的计划生育宜采取“城乡一胎、特殊二胎、严禁三胎、奖励无胎”的政策，并采取差异性的社会保障政策，比如，对于不生育的家庭实行高保，生一个女孩的家庭实行中保，生一个男孩的家庭实行低保，违规生二胎的家庭实行不保，变处罚为奖励，以提高我国人口素质、达到最佳人口数量。[ 24 ]</w:t>
      </w:r>
    </w:p>
    <w:p w14:paraId="74A99387">
      <w:pPr>
        <w:autoSpaceDE w:val="0"/>
        <w:autoSpaceDN w:val="0"/>
        <w:spacing w:line="360" w:lineRule="auto"/>
        <w:ind w:firstLine="50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rPr>
        <w:t>三、国际金融危机成因的经济学研究</w:t>
      </w:r>
    </w:p>
    <w:p w14:paraId="29CEB7A6">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第一种观点认为，当前国际金融危机的根源在于资本主义制度及资本主义的基本矛盾。持这种观点的学者认为，资本主义社会的基本矛盾是生产社会化和生产资料资本主义私人占有之间的矛盾，其表现之一为资本主义生产能力盲目扩大趋势同劳动群众有支付能力的需求相对缩小的矛盾，也即资本主义商品生产的供给过剩与劳动群众有支付手段的需求不足的矛盾。劳动群众购买力不足，造成有效需求不足，当生产过剩与有效需求不足的矛盾积累到一定程度，经济危机就会爆发。就美国次贷危机而言，由于美国资本主义社会固有矛盾的存在，导致资本和劳动收入分配两极分化，致使劳动群众购买力不足，造成有效需求不足。当次贷借款者无力还贷付息时，次贷危机就爆发了，此后演变为国际金融危机。</w:t>
      </w:r>
    </w:p>
    <w:p w14:paraId="485152AA">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另一种观点认为，此次国际金融危机是“过度消费”、“信息不对称”、“监管不力”、“政策失误”、“低估风险”、“金融衍生品泛滥”和“美式裙带资本主义”等因素造成的。持这种观点的学者认为，美国是一个过度消费的国家。引发此次金融危机的次贷危机就是美国居民对住房的购买需求大大超过其收入水平，只有通过住房抵押贷款才能满足需求，而无节制的负债必然会导致金融危机的爆发。持信息不对称论的学者认为，次级房贷债券在发行过程中信息不够透明，存在次债买卖双方和次贷买卖双方的信息不对称。当次级抵押贷款被打包成债券销售给投资者时，债券投资者无法确切了解次级贷款申请人的真实支付能力。银行把款项贷给了没有偿付能力的人，从而埋下危机隐患。持监管不力论的学者认为，美国政府的监管墨守成规和监管体系不健全。美国政府把对次级房贷债券这种金融衍生品的评估和监督责任完全让给私人信用评级机构，私人机构追逐利润目标而放弃了公允标准，以至于风险不断积累，最终导致危机的爆发。持政策失误论的学者认为，美联储长期实行低利率政策，催生了房地产泡沫，随后又连续加息，次贷购房者还贷负担不断加重，以至于无力还贷，加之房地产泡沫破裂，房价下跌，次贷危机爆发。持低估风险论的学者认为，一段时期以来，全球经济前所未有的高速增长导致投资者低估了风险，贷款机构放松了过去长期遵守的贷款发放、审核的基本标准，信用评级机构等都对前景过于乐观，忽视了隐藏的风险，致使危机爆发。持金融衍生品泛滥论的学者认为，美国政府、美联储、投资银行、评级机构、保险公司在内的各个市场参与者的共同作用，美国金融衍生工具不断涌现，投机过度，虚拟经济不断膨胀，严重脱离实体经济，以至于流动性过剩和风险膨胀。[ 25 ] [ 26 ] [ 27 ]持美式裙带资本主义论的学者认为，与一些亚洲国家以“姻亲”、“朋党”勾结为特色的“裙带资本主义”不同，“美式裙带资本主义”表现出私人资本与政府相结合，政府成为私人资本的保护伞。私人资本公司在议会和政府中培养自己的政治代言人，利用金钱和游说对政治家的决策施加巨大影响，以维护自己的经济利益。他们大搞“权钱交易”、“权力寻租”和假公济私。美国“两房”是官商勾结的典型，享有特权，可以发行得到政府“隐形担保”的债券，拥有或担保了美国市场上大约一半的房产按揭业务，成为次贷危机的最大推手。但是次贷危机爆发后却及时得到了政府救助。[ 28 ]</w:t>
      </w:r>
    </w:p>
    <w:p w14:paraId="5A2EA436">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上述观点从不同层面和不同角度对当前国际金融危机的成因作出了解释。“过度消费”、“信息不对称”、“监管不力”、“政策失误”、“低估风险”、“金融衍生品泛滥”和“美式裙带资本主义”等因素的确是在不同程度上说明了当前国际金融危机的诱因。但它们均属于金融危机爆发的浅层原因或操作层面的原因，没有深入到事物的内在本质，而金融危机的根源和本质恰恰是资本主义的私有制生产方式及其基本矛盾，即马克思揭示的生产的社会化与生产资料私人占有的矛盾，并表现为资本主义商品生产的供给过剩与劳动群众有支付能力的需求不足的矛盾。同时我们看到，这次国际金融危机是资本主义世界1929 ～1933年资本主义“经济大危机”爆发以来的“最大一次危机”，其影响范围之广和危害之重已超越了上世纪70年代的“石油危机”、上世纪80年代的墨西哥金融危机、上世纪90年代末的东南亚金融危机和本世纪初的阿根廷金融危机，又称“百年一遇的危机”。而这正是美国自上世纪80 年代以来以新自由主义形式的资本主义取代原来国家管制的资本主义的结果。</w:t>
      </w:r>
    </w:p>
    <w:p w14:paraId="089E9D8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经济全球化使美国金融危机演变为国际金融危机，而新自由主义主导的经济全球化加大了世界经济发展的不平衡性、波动性和不持续性，又加重了国际金融危机的程度。当今世界资本主义经济的基本矛盾是经济不断社会化和全球化，与生产要素的私人所有、集体所有和国家所有的矛盾及与国民经济的无政府状态或无秩序状态的矛盾。这个基本经济矛盾通过以下四种具体矛盾和中间环节导致次贷危机、金融危机和经济危机。其一，从微观基础分析，私有制及其企业管理模式容易形成高级管理层为追求个人巨额收入极大化，而短期和片面追求利润极大化，偏好采用风险较大的金融工具及次贷方式，从而酿成各种危机。其二，从经济结构分析，私有制结合市场经济容易形成生产相对过剩、实体经济与虚拟经济的比例失衡，从而酿成各种危机。其三，从经济调节分析，私有制垄断集团和金融寡头容易反对国家监管和调控，而资产阶级国家又为私有制经济基础服务，导致市场和国家调节双失灵，从而酿成各种危机。其四，从分配消费分析，私有制结合市场经济容易形成社会财富和收入分配的贫富分化，导致生产的无限扩大与群众有支付能力需求相对缩小的矛盾，群众被迫进行维持生计的含次贷在内的过度消费信贷，从而酿成各种危机。</w:t>
      </w:r>
    </w:p>
    <w:p w14:paraId="3845F39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应对国际金融危机不能只寄希望于各种形式的国家干预。1929 ～1933 年资本主义经济大危机后，资本主义国家曾普遍实行凯恩斯主义政策，流行对经济实行国家干预，许多人就此以为找到了防止和克服经济危机的灵丹妙方。但资本主义的实践表明，这一药方灵验了一时，长期来说并不灵验，进入上世纪70年代，资本主义世界普遍出现滞胀现象，因而不得不放弃凯恩斯主义政策，转而实行自由主义政策。时至今日，资本主义大危机再次爆发，自由主义政策再次失灵，资本主义政府又重新拾起凯恩斯主义政策工具来对付危机。实践必将继续证明，资本主义世界采用的凯恩斯主义的国家干预政策，最多只能延缓矛盾，依然不能从根本上解决资本主义的基本矛盾，资本主义的金融危机和经济危机必将继续爆发。[ 29 ]我国作为社会主义国家，应当注意既从基本制度层面，又从具体机制层面防范和预防危机。从基本经济制度层面，就要发展和壮大国有经济，坚持和完善公有制为主体的基本经济制度；从体制机制层面，就要发展和完善国家宏观调控，在夯实实体经济的基础上适度发展虚拟经济，发展和改进金融体制，加强和完善金融监管，以期保持我国社会主义经济比资本主义经济更快速、更全面、更协调和更持续的科学发展。[ 30 ]</w:t>
      </w:r>
    </w:p>
    <w:p w14:paraId="7619A309">
      <w:pPr>
        <w:spacing w:line="400" w:lineRule="exact"/>
        <w:ind w:firstLine="440" w:firstLineChars="200"/>
        <w:rPr>
          <w:rFonts w:ascii="宋体" w:hAnsi="宋体" w:eastAsia="宋体" w:cs="Times New Roman"/>
          <w:szCs w:val="21"/>
        </w:rPr>
      </w:pPr>
    </w:p>
    <w:p w14:paraId="1E8FEF8B">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参考文献：</w:t>
      </w:r>
    </w:p>
    <w:p w14:paraId="4F157F72">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 卫兴华.科学地总结改革开放30 年[J].高校理论战线，2008，(8).</w:t>
      </w:r>
    </w:p>
    <w:p w14:paraId="4BF84E97">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[2] 刘国光.试用马克思主义哲学方法总结改革开放30年[J].中国社会科学，2008，(6).</w:t>
      </w:r>
    </w:p>
    <w:p w14:paraId="0D574F7E">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[3] 姚　洋. 中国30年高增长的背景[J]. 招商周刊，2008，(20).</w:t>
      </w:r>
    </w:p>
    <w:p w14:paraId="33816BEA">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[4] 张维迎. 理解中国经济改革[J]. 中国市场， 2008，(3).</w:t>
      </w:r>
    </w:p>
    <w:p w14:paraId="6C19042A">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[5] 刘国光. 对经济学教学和研究中一些问题的看法[J].高校理论战线， 2005， (9) .</w:t>
      </w:r>
    </w:p>
    <w:p w14:paraId="564FE56A">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[6] 程恩富. 六次思想解放与经济体制改革和发展[A]. 刘国光等. 纵论改革开放30 年：刘国光等26 位学者多视角解析[C]. 郑州：河南人民出版社， 2008： 29.</w:t>
      </w:r>
    </w:p>
    <w:p w14:paraId="167E7815">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[7] 何干强. 论科学发展与完善依靠人民的经济制度[J].经济纵横， 2007， (6) .</w:t>
      </w:r>
    </w:p>
    <w:p w14:paraId="5152CE6E">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[8] 万宗凤. 科学发展观与社会主义基本经济制度[J]. 理论月刊， 2008， (7) .</w:t>
      </w:r>
    </w:p>
    <w:p w14:paraId="5AABE7BE">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[9] 何干强. 让发展的成果惠及全体人民： 理顺分配关系、完善分配制度的根本指导方针[J]. 贵州财经学院学报， 2005，(6) .</w:t>
      </w:r>
    </w:p>
    <w:p w14:paraId="10125F35">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[10] 刘国光. 关于分配与所有制若干问题的思考[J]. 高校理论战线， 2007， (10) .</w:t>
      </w:r>
    </w:p>
    <w:p w14:paraId="130496AF">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[11] 周新城. 怎样看待两极分化[J]. 北京交通大学学报，2006， (12) .</w:t>
      </w:r>
    </w:p>
    <w:p w14:paraId="4183C3A4">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[12] 何干强. 科学发展观视野中的效率与公平[N]. 人民日报， 2007 - 03 - 23. 　　</w:t>
      </w:r>
    </w:p>
    <w:p w14:paraId="6892C316">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[13]程恩富. 公平与效率交互同向论[J]. 经济纵横， 2005，(12) .</w:t>
      </w:r>
    </w:p>
    <w:p w14:paraId="0A66F799">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[14]顾钰民. 论经济发展方式的三大转变[J]. 福建论坛，2008， (8) .</w:t>
      </w:r>
    </w:p>
    <w:p w14:paraId="2F23325F">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[15]裴小革. 关于转变经济发展方式的几个理论问题[J].中共长春市委党校学报， 2008，(2).</w:t>
      </w:r>
    </w:p>
    <w:p w14:paraId="7CD3F97E">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[16]简新华，殷保森. 中国自主创新的动力和实现机制[J].江海学刊， 2008， (1) .</w:t>
      </w:r>
    </w:p>
    <w:p w14:paraId="1864A4C1">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[17]林毅夫，苏　剑. 论我国经济增长方式的转换[J]. 管理世界， 2007， (11) .</w:t>
      </w:r>
    </w:p>
    <w:p w14:paraId="061DF91D">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[18]华　民. 比较优势、自主创新、经济增长和收入分配：何为中国未来经济发展之道路[J]. 复旦学报， 2007， (5) .</w:t>
      </w:r>
    </w:p>
    <w:p w14:paraId="3B6AA45E">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[19]李小平. 控制和减少人口总量就是优化人口结构[J].重庆工学院学报， 2007， (9) .</w:t>
      </w:r>
    </w:p>
    <w:p w14:paraId="5BE9730C">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[ 20 ]刘金塘，林富德. 21世纪中国人口发展前景[J]. 人口学刊， 2001， (3) .</w:t>
      </w:r>
    </w:p>
    <w:p w14:paraId="5FCE94C5">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[ 21 ]程恩富，王中保. 论马克思主义与可持续发展[J]. 马克思主义研究， 2008， (12) .</w:t>
      </w:r>
    </w:p>
    <w:p w14:paraId="776FB28F">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[ 22 ]程恩富，丁晓钦. 构建知识产权优势理论与战略[J]. 当代经济研究， 2003， (9) .</w:t>
      </w:r>
    </w:p>
    <w:p w14:paraId="6ACCDB4D">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[ 23 ]程恩富. 转变对外经济发展方式须实现“五个提升”[N]. 光明日报， 2008 - 07 - 22.</w:t>
      </w:r>
    </w:p>
    <w:p w14:paraId="4A348BC0">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[ 24 ]程恩富. 谈实现科学发展观的几个现实问题[N]. 北京日报， 2007 - 04 - 30.</w:t>
      </w:r>
    </w:p>
    <w:p w14:paraId="424FDCB2">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[ 25 ]曹元芳，吴　超，刘伯酋. 美国次贷危机：原因、机制及教训[J]. 华北金融， 2008， (5) .</w:t>
      </w:r>
    </w:p>
    <w:p w14:paraId="38A91A0B">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[ 26 ]张　明. 美国次贷危机的根源、演进及前景[J]. 世界经济与政治， 2008， (12) .</w:t>
      </w:r>
    </w:p>
    <w:p w14:paraId="05DB6DDD">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[ 27 ]鲁维丽. 论次贷危机的成因及其对经济的影响[J]. 江西社会科学， 2008， (12) .</w:t>
      </w:r>
    </w:p>
    <w:p w14:paraId="63A12690">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[ 28 ]张　鑫. 从次贷危机看“裙带资本主义”[N]. 文汇报，2008 - 12 - 10.</w:t>
      </w:r>
    </w:p>
    <w:p w14:paraId="191CBE24">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[ 29 ]王中保. 企业公有性、效率与经济发展[J]. 当代经济研究， 2008， (6) .</w:t>
      </w:r>
    </w:p>
    <w:p w14:paraId="1F044987">
      <w:pPr>
        <w:spacing w:line="400" w:lineRule="exact"/>
        <w:ind w:firstLine="380" w:firstLineChars="200"/>
        <w:rPr>
          <w:rFonts w:ascii="宋体" w:hAnsi="宋体" w:eastAsia="宋体" w:cs="Times New Roman"/>
          <w:sz w:val="18"/>
          <w:szCs w:val="18"/>
        </w:rPr>
      </w:pPr>
      <w:r>
        <w:rPr>
          <w:rFonts w:hint="eastAsia" w:ascii="宋体" w:hAnsi="宋体" w:eastAsia="宋体" w:cs="Times New Roman"/>
          <w:sz w:val="18"/>
          <w:szCs w:val="18"/>
        </w:rPr>
        <w:t>[ 30 ]王伟光. 运用马克思主义立场、观点和方法科学认识美国金融危机的本质和原因：重读《资本论》和《帝国主义论》[J].马克思主义研究， 2009， (2) .</w:t>
      </w:r>
    </w:p>
    <w:p w14:paraId="71768C21">
      <w:pPr>
        <w:spacing w:line="400" w:lineRule="exact"/>
        <w:ind w:firstLine="440" w:firstLineChars="200"/>
        <w:rPr>
          <w:rFonts w:ascii="宋体" w:hAnsi="宋体" w:eastAsia="宋体" w:cs="Times New Roman"/>
          <w:szCs w:val="21"/>
        </w:rPr>
      </w:pPr>
    </w:p>
    <w:p w14:paraId="196D1224">
      <w:pPr>
        <w:spacing w:line="400" w:lineRule="exact"/>
        <w:ind w:firstLine="440" w:firstLineChars="200"/>
        <w:rPr>
          <w:rFonts w:ascii="宋体" w:hAnsi="宋体" w:eastAsia="宋体" w:cs="Times New Roman"/>
          <w:sz w:val="32"/>
          <w:szCs w:val="24"/>
        </w:rPr>
      </w:pPr>
      <w:r>
        <w:rPr>
          <w:rFonts w:hint="eastAsia" w:ascii="宋体" w:hAnsi="宋体" w:eastAsia="宋体" w:cs="Times New Roman"/>
          <w:szCs w:val="21"/>
        </w:rPr>
        <w:t>（原载《经济纵横》2009年第8期，第二作者为王中保，第三作者为崔云）</w:t>
      </w:r>
    </w:p>
    <w:p w14:paraId="21B3FB5F">
      <w:pPr>
        <w:bidi w:val="0"/>
      </w:pPr>
      <w:r>
        <w:br w:type="page"/>
      </w:r>
    </w:p>
    <w:p w14:paraId="7E99F4D1">
      <w:pPr>
        <w:keepNext/>
        <w:keepLines/>
        <w:widowControl/>
        <w:spacing w:line="480" w:lineRule="auto"/>
        <w:ind w:firstLine="198"/>
        <w:jc w:val="center"/>
        <w:outlineLvl w:val="1"/>
        <w:rPr>
          <w:rFonts w:ascii="黑体" w:hAnsi="黑体" w:eastAsia="黑体" w:cs="Times New Roman"/>
          <w:kern w:val="0"/>
          <w:sz w:val="32"/>
          <w:szCs w:val="32"/>
        </w:rPr>
      </w:pPr>
      <w:bookmarkStart w:id="1059" w:name="_Toc13866"/>
      <w:bookmarkStart w:id="1060" w:name="_Toc1867030115"/>
      <w:bookmarkStart w:id="1061" w:name="_Toc92370108"/>
      <w:r>
        <w:rPr>
          <w:rFonts w:hint="eastAsia" w:ascii="黑体" w:hAnsi="黑体" w:eastAsia="黑体" w:cs="Times New Roman"/>
          <w:kern w:val="0"/>
          <w:sz w:val="32"/>
          <w:szCs w:val="32"/>
        </w:rPr>
        <w:t>1</w:t>
      </w:r>
      <w:r>
        <w:rPr>
          <w:rFonts w:ascii="黑体" w:hAnsi="黑体" w:eastAsia="黑体" w:cs="Times New Roman"/>
          <w:kern w:val="0"/>
          <w:sz w:val="32"/>
          <w:szCs w:val="32"/>
        </w:rPr>
        <w:t>2</w:t>
      </w:r>
      <w:r>
        <w:rPr>
          <w:rFonts w:hint="eastAsia" w:ascii="黑体" w:hAnsi="黑体" w:eastAsia="黑体" w:cs="Times New Roman"/>
          <w:kern w:val="0"/>
          <w:sz w:val="32"/>
          <w:szCs w:val="32"/>
        </w:rPr>
        <w:t>中国可持续发展</w:t>
      </w:r>
      <w:r>
        <w:rPr>
          <w:rFonts w:ascii="黑体" w:hAnsi="黑体" w:eastAsia="黑体" w:cs="Times New Roman"/>
          <w:kern w:val="0"/>
          <w:sz w:val="32"/>
          <w:szCs w:val="32"/>
        </w:rPr>
        <w:t>:</w:t>
      </w:r>
      <w:r>
        <w:rPr>
          <w:rFonts w:hint="eastAsia" w:ascii="黑体" w:hAnsi="黑体" w:eastAsia="黑体" w:cs="Times New Roman"/>
          <w:kern w:val="0"/>
          <w:sz w:val="32"/>
          <w:szCs w:val="32"/>
        </w:rPr>
        <w:t>回顾与展望</w:t>
      </w:r>
      <w:bookmarkEnd w:id="1059"/>
      <w:bookmarkEnd w:id="1060"/>
      <w:bookmarkEnd w:id="1061"/>
    </w:p>
    <w:p w14:paraId="7278F55D">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可持续发展观发轫于</w:t>
      </w:r>
      <w:r>
        <w:rPr>
          <w:rFonts w:ascii="宋体" w:hAnsi="宋体" w:eastAsia="宋体" w:cs="Times New Roman"/>
          <w:szCs w:val="21"/>
        </w:rPr>
        <w:t>20</w:t>
      </w:r>
      <w:r>
        <w:rPr>
          <w:rFonts w:hint="eastAsia" w:ascii="宋体" w:hAnsi="宋体" w:eastAsia="宋体" w:cs="AdobeSongStd-Light"/>
          <w:szCs w:val="21"/>
        </w:rPr>
        <w:t>世纪</w:t>
      </w:r>
      <w:r>
        <w:rPr>
          <w:rFonts w:ascii="宋体" w:hAnsi="宋体" w:eastAsia="宋体" w:cs="Times New Roman"/>
          <w:szCs w:val="21"/>
        </w:rPr>
        <w:t>60</w:t>
      </w:r>
      <w:r>
        <w:rPr>
          <w:rFonts w:hint="eastAsia" w:ascii="宋体" w:hAnsi="宋体" w:eastAsia="宋体" w:cs="AdobeSongStd-Light"/>
          <w:szCs w:val="21"/>
        </w:rPr>
        <w:t>年代末</w:t>
      </w:r>
      <w:r>
        <w:rPr>
          <w:rFonts w:ascii="宋体" w:hAnsi="宋体" w:eastAsia="宋体" w:cs="Times New Roman"/>
          <w:szCs w:val="21"/>
        </w:rPr>
        <w:t>70</w:t>
      </w:r>
      <w:r>
        <w:rPr>
          <w:rFonts w:hint="eastAsia" w:ascii="宋体" w:hAnsi="宋体" w:eastAsia="宋体" w:cs="AdobeSongStd-Light"/>
          <w:szCs w:val="21"/>
        </w:rPr>
        <w:t>年代初。</w:t>
      </w:r>
      <w:r>
        <w:rPr>
          <w:rFonts w:ascii="宋体" w:hAnsi="宋体" w:eastAsia="宋体" w:cs="Times New Roman"/>
          <w:szCs w:val="21"/>
        </w:rPr>
        <w:t>1972</w:t>
      </w:r>
      <w:r>
        <w:rPr>
          <w:rFonts w:hint="eastAsia" w:ascii="宋体" w:hAnsi="宋体" w:eastAsia="宋体" w:cs="AdobeSongStd-Light"/>
          <w:szCs w:val="21"/>
        </w:rPr>
        <w:t>年联合国斯德哥尔摩的《人类环境宣言》</w:t>
      </w:r>
      <w:r>
        <w:rPr>
          <w:rFonts w:ascii="宋体" w:hAnsi="宋体" w:eastAsia="宋体" w:cs="Times New Roman"/>
          <w:szCs w:val="21"/>
        </w:rPr>
        <w:t>， 1981</w:t>
      </w:r>
      <w:r>
        <w:rPr>
          <w:rFonts w:hint="eastAsia" w:ascii="宋体" w:hAnsi="宋体" w:eastAsia="宋体" w:cs="AdobeSongStd-Light"/>
          <w:szCs w:val="21"/>
        </w:rPr>
        <w:t>年莱斯特·</w:t>
      </w:r>
      <w:r>
        <w:rPr>
          <w:rFonts w:ascii="宋体" w:hAnsi="宋体" w:eastAsia="宋体" w:cs="Times New Roman"/>
          <w:szCs w:val="21"/>
        </w:rPr>
        <w:t>R</w:t>
      </w:r>
      <w:r>
        <w:rPr>
          <w:rFonts w:hint="eastAsia" w:ascii="宋体" w:hAnsi="宋体" w:eastAsia="宋体" w:cs="AdobeSongStd-Light"/>
          <w:szCs w:val="21"/>
        </w:rPr>
        <w:t>·布朗的《建设一个可持续发展的社会》</w:t>
      </w:r>
      <w:r>
        <w:rPr>
          <w:rFonts w:ascii="宋体" w:hAnsi="宋体" w:eastAsia="宋体" w:cs="Times New Roman"/>
          <w:szCs w:val="21"/>
        </w:rPr>
        <w:t>， 1987</w:t>
      </w:r>
      <w:r>
        <w:rPr>
          <w:rFonts w:hint="eastAsia" w:ascii="宋体" w:hAnsi="宋体" w:eastAsia="宋体" w:cs="AdobeSongStd-Light"/>
          <w:szCs w:val="21"/>
        </w:rPr>
        <w:t>年布仑特兰德的《我们共同的未来》</w:t>
      </w:r>
      <w:r>
        <w:rPr>
          <w:rFonts w:ascii="宋体" w:hAnsi="宋体" w:eastAsia="宋体" w:cs="Times New Roman"/>
          <w:szCs w:val="21"/>
        </w:rPr>
        <w:t>， 1992</w:t>
      </w:r>
      <w:r>
        <w:rPr>
          <w:rFonts w:hint="eastAsia" w:ascii="宋体" w:hAnsi="宋体" w:eastAsia="宋体" w:cs="AdobeSongStd-Light"/>
          <w:szCs w:val="21"/>
        </w:rPr>
        <w:t>年里约热内卢“地球首脑会议”的《</w:t>
      </w:r>
      <w:r>
        <w:rPr>
          <w:rFonts w:ascii="宋体" w:hAnsi="宋体" w:eastAsia="宋体" w:cs="Times New Roman"/>
          <w:szCs w:val="21"/>
        </w:rPr>
        <w:t>21</w:t>
      </w:r>
      <w:r>
        <w:rPr>
          <w:rFonts w:hint="eastAsia" w:ascii="宋体" w:hAnsi="宋体" w:eastAsia="宋体" w:cs="AdobeSongStd-Light"/>
          <w:szCs w:val="21"/>
        </w:rPr>
        <w:t>世纪议程》</w:t>
      </w:r>
      <w:r>
        <w:rPr>
          <w:rFonts w:ascii="宋体" w:hAnsi="宋体" w:eastAsia="宋体" w:cs="Times New Roman"/>
          <w:szCs w:val="21"/>
        </w:rPr>
        <w:t>，</w:t>
      </w:r>
      <w:r>
        <w:rPr>
          <w:rFonts w:hint="eastAsia" w:ascii="宋体" w:hAnsi="宋体" w:eastAsia="宋体" w:cs="AdobeSongStd-Light"/>
          <w:szCs w:val="21"/>
        </w:rPr>
        <w:t>成为人类可持续发展思想发展史上的一个个里程碑。如果不是持守偏见</w:t>
      </w:r>
      <w:r>
        <w:rPr>
          <w:rFonts w:ascii="宋体" w:hAnsi="宋体" w:eastAsia="宋体" w:cs="Times New Roman"/>
          <w:szCs w:val="21"/>
        </w:rPr>
        <w:t>，</w:t>
      </w:r>
      <w:r>
        <w:rPr>
          <w:rFonts w:hint="eastAsia" w:ascii="宋体" w:hAnsi="宋体" w:eastAsia="宋体" w:cs="AdobeSongStd-Light"/>
          <w:szCs w:val="21"/>
        </w:rPr>
        <w:t>现今的人们会发现</w:t>
      </w:r>
      <w:r>
        <w:rPr>
          <w:rFonts w:ascii="宋体" w:hAnsi="宋体" w:eastAsia="宋体" w:cs="Times New Roman"/>
          <w:szCs w:val="21"/>
        </w:rPr>
        <w:t>，</w:t>
      </w:r>
      <w:r>
        <w:rPr>
          <w:rFonts w:hint="eastAsia" w:ascii="宋体" w:hAnsi="宋体" w:eastAsia="宋体" w:cs="AdobeSongStd-Light"/>
          <w:szCs w:val="21"/>
        </w:rPr>
        <w:t>在“人口和资源总量大国、人均资源小国”这一基本国情的大背景下</w:t>
      </w:r>
      <w:r>
        <w:rPr>
          <w:rFonts w:ascii="宋体" w:hAnsi="宋体" w:eastAsia="宋体" w:cs="Times New Roman"/>
          <w:szCs w:val="21"/>
        </w:rPr>
        <w:t>，</w:t>
      </w:r>
      <w:r>
        <w:rPr>
          <w:rFonts w:hint="eastAsia" w:ascii="宋体" w:hAnsi="宋体" w:eastAsia="宋体" w:cs="AdobeSongStd-Light"/>
          <w:szCs w:val="21"/>
        </w:rPr>
        <w:t>中国对可持续发展思想的接受</w:t>
      </w:r>
      <w:r>
        <w:rPr>
          <w:rFonts w:ascii="宋体" w:hAnsi="宋体" w:eastAsia="宋体" w:cs="Times New Roman"/>
          <w:szCs w:val="21"/>
        </w:rPr>
        <w:t>，</w:t>
      </w:r>
      <w:r>
        <w:rPr>
          <w:rFonts w:hint="eastAsia" w:ascii="宋体" w:hAnsi="宋体" w:eastAsia="宋体" w:cs="AdobeSongStd-Light"/>
          <w:szCs w:val="21"/>
        </w:rPr>
        <w:t>对可持续发展战略的制定</w:t>
      </w:r>
      <w:r>
        <w:rPr>
          <w:rFonts w:ascii="宋体" w:hAnsi="宋体" w:eastAsia="宋体" w:cs="Times New Roman"/>
          <w:szCs w:val="21"/>
        </w:rPr>
        <w:t>，</w:t>
      </w:r>
      <w:r>
        <w:rPr>
          <w:rFonts w:hint="eastAsia" w:ascii="宋体" w:hAnsi="宋体" w:eastAsia="宋体" w:cs="AdobeSongStd-Light"/>
          <w:szCs w:val="21"/>
        </w:rPr>
        <w:t>对建设可持续发展的社会所作的努力</w:t>
      </w:r>
      <w:r>
        <w:rPr>
          <w:rFonts w:ascii="宋体" w:hAnsi="宋体" w:eastAsia="宋体" w:cs="Times New Roman"/>
          <w:szCs w:val="21"/>
        </w:rPr>
        <w:t>，</w:t>
      </w:r>
      <w:r>
        <w:rPr>
          <w:rFonts w:hint="eastAsia" w:ascii="宋体" w:hAnsi="宋体" w:eastAsia="宋体" w:cs="AdobeSongStd-Light"/>
          <w:szCs w:val="21"/>
        </w:rPr>
        <w:t>都尽其可能地赶上了世界的步伐</w:t>
      </w:r>
      <w:r>
        <w:rPr>
          <w:rFonts w:ascii="宋体" w:hAnsi="宋体" w:eastAsia="宋体" w:cs="Times New Roman"/>
          <w:szCs w:val="21"/>
        </w:rPr>
        <w:t>，</w:t>
      </w:r>
      <w:r>
        <w:rPr>
          <w:rFonts w:hint="eastAsia" w:ascii="宋体" w:hAnsi="宋体" w:eastAsia="宋体" w:cs="AdobeSongStd-Light"/>
          <w:szCs w:val="21"/>
        </w:rPr>
        <w:t>并已逐渐步入了世界的前列。</w:t>
      </w:r>
    </w:p>
    <w:p w14:paraId="7386263A">
      <w:pPr>
        <w:autoSpaceDE w:val="0"/>
        <w:autoSpaceDN w:val="0"/>
        <w:spacing w:line="360" w:lineRule="auto"/>
        <w:ind w:firstLine="50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rPr>
        <w:t>一、中国可持续发展中的人口、资源、环境发展回顾</w:t>
      </w:r>
    </w:p>
    <w:p w14:paraId="0BD0A167">
      <w:pPr>
        <w:autoSpaceDE w:val="0"/>
        <w:autoSpaceDN w:val="0"/>
        <w:spacing w:line="360" w:lineRule="auto"/>
        <w:ind w:firstLine="440" w:firstLineChars="200"/>
        <w:rPr>
          <w:rFonts w:ascii="宋体" w:hAnsi="宋体" w:eastAsia="宋体" w:cs="Times New Roman"/>
          <w:b/>
          <w:bCs/>
          <w:kern w:val="28"/>
          <w:szCs w:val="24"/>
        </w:rPr>
      </w:pPr>
      <w:r>
        <w:rPr>
          <w:rFonts w:ascii="宋体" w:hAnsi="宋体" w:eastAsia="宋体" w:cs="Times New Roman"/>
          <w:b/>
          <w:bCs/>
          <w:kern w:val="28"/>
          <w:szCs w:val="24"/>
        </w:rPr>
        <w:t>(</w:t>
      </w:r>
      <w:r>
        <w:rPr>
          <w:rFonts w:hint="eastAsia" w:ascii="宋体" w:hAnsi="宋体" w:eastAsia="宋体" w:cs="Times New Roman"/>
          <w:b/>
          <w:bCs/>
          <w:kern w:val="28"/>
          <w:szCs w:val="24"/>
        </w:rPr>
        <w:t>一</w:t>
      </w:r>
      <w:r>
        <w:rPr>
          <w:rFonts w:ascii="宋体" w:hAnsi="宋体" w:eastAsia="宋体" w:cs="Times New Roman"/>
          <w:b/>
          <w:bCs/>
          <w:kern w:val="28"/>
          <w:szCs w:val="24"/>
        </w:rPr>
        <w:t>)</w:t>
      </w:r>
      <w:r>
        <w:rPr>
          <w:rFonts w:hint="eastAsia" w:ascii="宋体" w:hAnsi="宋体" w:eastAsia="宋体" w:cs="Times New Roman"/>
          <w:b/>
          <w:bCs/>
          <w:kern w:val="28"/>
          <w:szCs w:val="24"/>
        </w:rPr>
        <w:t>人口</w:t>
      </w:r>
    </w:p>
    <w:p w14:paraId="5870EC1F">
      <w:pPr>
        <w:autoSpaceDE w:val="0"/>
        <w:autoSpaceDN w:val="0"/>
        <w:spacing w:line="400" w:lineRule="exact"/>
        <w:ind w:firstLine="440" w:firstLineChars="200"/>
        <w:rPr>
          <w:rFonts w:ascii="宋体" w:hAnsi="宋体" w:eastAsia="宋体" w:cs="Times New Roman"/>
          <w:szCs w:val="21"/>
        </w:rPr>
      </w:pPr>
      <w:r>
        <w:rPr>
          <w:rFonts w:hint="eastAsia" w:ascii="宋体" w:hAnsi="宋体" w:eastAsia="宋体" w:cs="AdobeSongStd-Light"/>
          <w:szCs w:val="21"/>
        </w:rPr>
        <w:t>新中国成立</w:t>
      </w:r>
      <w:r>
        <w:rPr>
          <w:rFonts w:ascii="宋体" w:hAnsi="宋体" w:eastAsia="宋体" w:cs="Times New Roman"/>
          <w:szCs w:val="21"/>
        </w:rPr>
        <w:t>60</w:t>
      </w:r>
      <w:r>
        <w:rPr>
          <w:rFonts w:hint="eastAsia" w:ascii="宋体" w:hAnsi="宋体" w:eastAsia="宋体" w:cs="AdobeSongStd-Light"/>
          <w:szCs w:val="21"/>
        </w:rPr>
        <w:t>年来</w:t>
      </w:r>
      <w:r>
        <w:rPr>
          <w:rFonts w:ascii="宋体" w:hAnsi="宋体" w:eastAsia="宋体" w:cs="Times New Roman"/>
          <w:szCs w:val="21"/>
        </w:rPr>
        <w:t>，</w:t>
      </w:r>
      <w:r>
        <w:rPr>
          <w:rFonts w:hint="eastAsia" w:ascii="宋体" w:hAnsi="宋体" w:eastAsia="宋体" w:cs="AdobeSongStd-Light"/>
          <w:szCs w:val="21"/>
        </w:rPr>
        <w:t>中国的人口发展状况出现了多次起伏变化</w:t>
      </w:r>
      <w:r>
        <w:rPr>
          <w:rFonts w:ascii="宋体" w:hAnsi="宋体" w:eastAsia="宋体" w:cs="Times New Roman"/>
          <w:szCs w:val="21"/>
        </w:rPr>
        <w:t>，</w:t>
      </w:r>
      <w:r>
        <w:rPr>
          <w:rFonts w:hint="eastAsia" w:ascii="宋体" w:hAnsi="宋体" w:eastAsia="宋体" w:cs="AdobeSongStd-Light"/>
          <w:szCs w:val="21"/>
        </w:rPr>
        <w:t>最终实现了低生育水平总体保持稳定的重大突破</w:t>
      </w:r>
      <w:r>
        <w:rPr>
          <w:rFonts w:ascii="宋体" w:hAnsi="宋体" w:eastAsia="宋体" w:cs="Times New Roman"/>
          <w:szCs w:val="21"/>
        </w:rPr>
        <w:t>，</w:t>
      </w:r>
      <w:r>
        <w:rPr>
          <w:rFonts w:hint="eastAsia" w:ascii="宋体" w:hAnsi="宋体" w:eastAsia="宋体" w:cs="AdobeSongStd-Light"/>
          <w:szCs w:val="21"/>
        </w:rPr>
        <w:t>步入持续稳定健康发展的轨道。</w:t>
      </w:r>
    </w:p>
    <w:p w14:paraId="1B1C2271">
      <w:pPr>
        <w:autoSpaceDE w:val="0"/>
        <w:autoSpaceDN w:val="0"/>
        <w:spacing w:line="400" w:lineRule="exact"/>
        <w:ind w:firstLine="440" w:firstLineChars="200"/>
        <w:rPr>
          <w:rFonts w:ascii="宋体" w:hAnsi="宋体" w:eastAsia="宋体" w:cs="AdobeSongStd-Light"/>
          <w:szCs w:val="21"/>
        </w:rPr>
      </w:pPr>
      <w:r>
        <w:rPr>
          <w:rFonts w:ascii="宋体" w:hAnsi="宋体" w:eastAsia="宋体" w:cs="Times New Roman"/>
          <w:szCs w:val="21"/>
        </w:rPr>
        <w:t>1.20</w:t>
      </w:r>
      <w:r>
        <w:rPr>
          <w:rFonts w:hint="eastAsia" w:ascii="宋体" w:hAnsi="宋体" w:eastAsia="宋体" w:cs="AdobeSongStd-Light"/>
          <w:szCs w:val="21"/>
        </w:rPr>
        <w:t>世纪</w:t>
      </w:r>
      <w:r>
        <w:rPr>
          <w:rFonts w:ascii="宋体" w:hAnsi="宋体" w:eastAsia="宋体" w:cs="Times New Roman"/>
          <w:szCs w:val="21"/>
        </w:rPr>
        <w:t>50</w:t>
      </w:r>
      <w:r>
        <w:rPr>
          <w:rFonts w:hint="eastAsia" w:ascii="宋体" w:hAnsi="宋体" w:eastAsia="宋体" w:cs="AdobeSongStd-Light"/>
          <w:szCs w:val="21"/>
        </w:rPr>
        <w:t>—</w:t>
      </w:r>
      <w:r>
        <w:rPr>
          <w:rFonts w:ascii="宋体" w:hAnsi="宋体" w:eastAsia="宋体" w:cs="Times New Roman"/>
          <w:szCs w:val="21"/>
        </w:rPr>
        <w:t>60</w:t>
      </w:r>
      <w:r>
        <w:rPr>
          <w:rFonts w:hint="eastAsia" w:ascii="宋体" w:hAnsi="宋体" w:eastAsia="宋体" w:cs="AdobeSongStd-Light"/>
          <w:szCs w:val="21"/>
        </w:rPr>
        <w:t>年代属于快速增长阶段。这一阶段中国人口由</w:t>
      </w:r>
      <w:r>
        <w:rPr>
          <w:rFonts w:ascii="宋体" w:hAnsi="宋体" w:eastAsia="宋体" w:cs="Times New Roman"/>
          <w:szCs w:val="21"/>
        </w:rPr>
        <w:t>1950</w:t>
      </w:r>
      <w:r>
        <w:rPr>
          <w:rFonts w:hint="eastAsia" w:ascii="宋体" w:hAnsi="宋体" w:eastAsia="宋体" w:cs="AdobeSongStd-Light"/>
          <w:szCs w:val="21"/>
        </w:rPr>
        <w:t>年的</w:t>
      </w:r>
      <w:r>
        <w:rPr>
          <w:rFonts w:ascii="宋体" w:hAnsi="宋体" w:eastAsia="宋体" w:cs="Times New Roman"/>
          <w:szCs w:val="21"/>
        </w:rPr>
        <w:t>5</w:t>
      </w:r>
      <w:r>
        <w:rPr>
          <w:rFonts w:ascii="宋体" w:hAnsi="宋体" w:eastAsia="宋体" w:cs="cajcd-fntaa"/>
          <w:szCs w:val="21"/>
        </w:rPr>
        <w:t>1</w:t>
      </w:r>
      <w:r>
        <w:rPr>
          <w:rFonts w:ascii="宋体" w:hAnsi="宋体" w:eastAsia="宋体" w:cs="Times New Roman"/>
          <w:szCs w:val="21"/>
        </w:rPr>
        <w:t>52</w:t>
      </w:r>
      <w:r>
        <w:rPr>
          <w:rFonts w:hint="eastAsia" w:ascii="宋体" w:hAnsi="宋体" w:eastAsia="宋体" w:cs="AdobeSongStd-Light"/>
          <w:szCs w:val="21"/>
        </w:rPr>
        <w:t>亿人</w:t>
      </w:r>
      <w:r>
        <w:rPr>
          <w:rFonts w:ascii="宋体" w:hAnsi="宋体" w:eastAsia="宋体" w:cs="Times New Roman"/>
          <w:szCs w:val="21"/>
        </w:rPr>
        <w:t>，</w:t>
      </w:r>
      <w:r>
        <w:rPr>
          <w:rFonts w:hint="eastAsia" w:ascii="宋体" w:hAnsi="宋体" w:eastAsia="宋体" w:cs="AdobeSongStd-Light"/>
          <w:szCs w:val="21"/>
        </w:rPr>
        <w:t>增长到</w:t>
      </w:r>
      <w:r>
        <w:rPr>
          <w:rFonts w:ascii="宋体" w:hAnsi="宋体" w:eastAsia="宋体" w:cs="Times New Roman"/>
          <w:szCs w:val="21"/>
        </w:rPr>
        <w:t xml:space="preserve">1970 </w:t>
      </w:r>
      <w:r>
        <w:rPr>
          <w:rFonts w:hint="eastAsia" w:ascii="宋体" w:hAnsi="宋体" w:eastAsia="宋体" w:cs="AdobeSongStd-Light"/>
          <w:szCs w:val="21"/>
        </w:rPr>
        <w:t>年的</w:t>
      </w:r>
      <w:r>
        <w:rPr>
          <w:rFonts w:ascii="宋体" w:hAnsi="宋体" w:eastAsia="宋体" w:cs="Times New Roman"/>
          <w:szCs w:val="21"/>
        </w:rPr>
        <w:t>8</w:t>
      </w:r>
      <w:r>
        <w:rPr>
          <w:rFonts w:ascii="宋体" w:hAnsi="宋体" w:eastAsia="宋体" w:cs="cajcd-fntaa"/>
          <w:szCs w:val="21"/>
        </w:rPr>
        <w:t>1</w:t>
      </w:r>
      <w:r>
        <w:rPr>
          <w:rFonts w:ascii="宋体" w:hAnsi="宋体" w:eastAsia="宋体" w:cs="Times New Roman"/>
          <w:szCs w:val="21"/>
        </w:rPr>
        <w:t>3</w:t>
      </w:r>
      <w:r>
        <w:rPr>
          <w:rFonts w:hint="eastAsia" w:ascii="宋体" w:hAnsi="宋体" w:eastAsia="宋体" w:cs="AdobeSongStd-Light"/>
          <w:szCs w:val="21"/>
        </w:rPr>
        <w:t>亿人</w:t>
      </w:r>
      <w:r>
        <w:rPr>
          <w:rFonts w:ascii="宋体" w:hAnsi="宋体" w:eastAsia="宋体" w:cs="Times New Roman"/>
          <w:szCs w:val="21"/>
        </w:rPr>
        <w:t>，</w:t>
      </w:r>
      <w:r>
        <w:rPr>
          <w:rFonts w:hint="eastAsia" w:ascii="宋体" w:hAnsi="宋体" w:eastAsia="宋体" w:cs="AdobeSongStd-Light"/>
          <w:szCs w:val="21"/>
        </w:rPr>
        <w:t>总和生育率</w:t>
      </w:r>
      <w:r>
        <w:rPr>
          <w:rFonts w:ascii="宋体" w:hAnsi="宋体" w:eastAsia="宋体" w:cs="Times New Roman"/>
          <w:szCs w:val="21"/>
        </w:rPr>
        <w:t>( TFR )</w:t>
      </w:r>
      <w:r>
        <w:rPr>
          <w:rFonts w:hint="eastAsia" w:ascii="宋体" w:hAnsi="宋体" w:eastAsia="宋体" w:cs="AdobeSongStd-Light"/>
          <w:szCs w:val="21"/>
        </w:rPr>
        <w:t>年均逾</w:t>
      </w:r>
      <w:r>
        <w:rPr>
          <w:rFonts w:ascii="宋体" w:hAnsi="宋体" w:eastAsia="宋体" w:cs="Times New Roman"/>
          <w:szCs w:val="21"/>
        </w:rPr>
        <w:t>5</w:t>
      </w:r>
      <w:r>
        <w:rPr>
          <w:rFonts w:ascii="宋体" w:hAnsi="宋体" w:eastAsia="宋体" w:cs="cajcd-fntaa"/>
          <w:szCs w:val="21"/>
        </w:rPr>
        <w:t>1</w:t>
      </w:r>
      <w:r>
        <w:rPr>
          <w:rFonts w:ascii="宋体" w:hAnsi="宋体" w:eastAsia="宋体" w:cs="Times New Roman"/>
          <w:szCs w:val="21"/>
        </w:rPr>
        <w:t>89，</w:t>
      </w:r>
      <w:r>
        <w:rPr>
          <w:rFonts w:hint="eastAsia" w:ascii="宋体" w:hAnsi="宋体" w:eastAsia="宋体" w:cs="AdobeSongStd-Light"/>
          <w:szCs w:val="21"/>
        </w:rPr>
        <w:t>每</w:t>
      </w:r>
      <w:r>
        <w:rPr>
          <w:rFonts w:ascii="宋体" w:hAnsi="宋体" w:eastAsia="宋体" w:cs="Times New Roman"/>
          <w:szCs w:val="21"/>
        </w:rPr>
        <w:t>10</w:t>
      </w:r>
      <w:r>
        <w:rPr>
          <w:rFonts w:hint="eastAsia" w:ascii="宋体" w:hAnsi="宋体" w:eastAsia="宋体" w:cs="AdobeSongStd-Light"/>
          <w:szCs w:val="21"/>
        </w:rPr>
        <w:t>年增加</w:t>
      </w:r>
      <w:r>
        <w:rPr>
          <w:rFonts w:ascii="宋体" w:hAnsi="宋体" w:eastAsia="宋体" w:cs="Times New Roman"/>
          <w:szCs w:val="21"/>
        </w:rPr>
        <w:t>1</w:t>
      </w:r>
      <w:r>
        <w:rPr>
          <w:rFonts w:ascii="宋体" w:hAnsi="宋体" w:eastAsia="宋体" w:cs="cajcd-fntaa"/>
          <w:szCs w:val="21"/>
        </w:rPr>
        <w:t>1</w:t>
      </w:r>
      <w:r>
        <w:rPr>
          <w:rFonts w:ascii="宋体" w:hAnsi="宋体" w:eastAsia="宋体" w:cs="Times New Roman"/>
          <w:szCs w:val="21"/>
        </w:rPr>
        <w:t>4</w:t>
      </w:r>
      <w:r>
        <w:rPr>
          <w:rFonts w:hint="eastAsia" w:ascii="宋体" w:hAnsi="宋体" w:eastAsia="宋体" w:cs="AdobeSongStd-Light"/>
          <w:szCs w:val="21"/>
        </w:rPr>
        <w:t>亿人。其间经历了鼓励人口增长、号召节制生育、人口控制政策首次受挫、人口控制政策再起等时期。该阶段中国占世界人口比重为</w:t>
      </w:r>
      <w:r>
        <w:rPr>
          <w:rFonts w:ascii="宋体" w:hAnsi="宋体" w:eastAsia="宋体" w:cs="Times New Roman"/>
          <w:szCs w:val="21"/>
        </w:rPr>
        <w:t>22</w:t>
      </w:r>
      <w:r>
        <w:rPr>
          <w:rFonts w:hint="eastAsia" w:ascii="宋体" w:hAnsi="宋体" w:eastAsia="宋体" w:cs="cajcd-fntaa"/>
          <w:szCs w:val="21"/>
        </w:rPr>
        <w:t>.</w:t>
      </w:r>
      <w:r>
        <w:rPr>
          <w:rFonts w:ascii="宋体" w:hAnsi="宋体" w:eastAsia="宋体" w:cs="Times New Roman"/>
          <w:szCs w:val="21"/>
        </w:rPr>
        <w:t>07%</w:t>
      </w:r>
      <w:r>
        <w:rPr>
          <w:rFonts w:ascii="宋体" w:hAnsi="宋体" w:eastAsia="宋体" w:cs="Times New Roman"/>
          <w:szCs w:val="21"/>
          <w:vertAlign w:val="superscript"/>
        </w:rPr>
        <w:footnoteReference w:id="370"/>
      </w:r>
      <w:r>
        <w:rPr>
          <w:rFonts w:hint="eastAsia" w:ascii="宋体" w:hAnsi="宋体" w:eastAsia="宋体" w:cs="AdobeSongStd-Light"/>
          <w:szCs w:val="21"/>
        </w:rPr>
        <w:t>。</w:t>
      </w:r>
    </w:p>
    <w:p w14:paraId="78FC8075">
      <w:pPr>
        <w:autoSpaceDE w:val="0"/>
        <w:autoSpaceDN w:val="0"/>
        <w:spacing w:line="400" w:lineRule="exact"/>
        <w:ind w:firstLine="440" w:firstLineChars="200"/>
        <w:rPr>
          <w:rFonts w:ascii="宋体" w:hAnsi="宋体" w:eastAsia="宋体" w:cs="AdobeSongStd-Light"/>
          <w:szCs w:val="21"/>
        </w:rPr>
      </w:pPr>
      <w:r>
        <w:rPr>
          <w:rFonts w:ascii="宋体" w:hAnsi="宋体" w:eastAsia="宋体" w:cs="Times New Roman"/>
          <w:szCs w:val="21"/>
        </w:rPr>
        <w:t>2.20</w:t>
      </w:r>
      <w:r>
        <w:rPr>
          <w:rFonts w:hint="eastAsia" w:ascii="宋体" w:hAnsi="宋体" w:eastAsia="宋体" w:cs="AdobeSongStd-Light"/>
          <w:szCs w:val="21"/>
        </w:rPr>
        <w:t>世纪</w:t>
      </w:r>
      <w:r>
        <w:rPr>
          <w:rFonts w:ascii="宋体" w:hAnsi="宋体" w:eastAsia="宋体" w:cs="Times New Roman"/>
          <w:szCs w:val="21"/>
        </w:rPr>
        <w:t>70</w:t>
      </w:r>
      <w:r>
        <w:rPr>
          <w:rFonts w:hint="eastAsia" w:ascii="宋体" w:hAnsi="宋体" w:eastAsia="宋体" w:cs="AdobeSongStd-Light"/>
          <w:szCs w:val="21"/>
        </w:rPr>
        <w:t>年代属于惯性增长阶段。由</w:t>
      </w:r>
      <w:r>
        <w:rPr>
          <w:rFonts w:ascii="宋体" w:hAnsi="宋体" w:eastAsia="宋体" w:cs="Times New Roman"/>
          <w:szCs w:val="21"/>
        </w:rPr>
        <w:t>8</w:t>
      </w:r>
      <w:r>
        <w:rPr>
          <w:rFonts w:hint="eastAsia" w:ascii="宋体" w:hAnsi="宋体" w:eastAsia="宋体" w:cs="cajcd-fntaa"/>
          <w:szCs w:val="21"/>
        </w:rPr>
        <w:t>.</w:t>
      </w:r>
      <w:r>
        <w:rPr>
          <w:rFonts w:ascii="宋体" w:hAnsi="宋体" w:eastAsia="宋体" w:cs="Times New Roman"/>
          <w:szCs w:val="21"/>
        </w:rPr>
        <w:t>3</w:t>
      </w:r>
      <w:r>
        <w:rPr>
          <w:rFonts w:hint="eastAsia" w:ascii="宋体" w:hAnsi="宋体" w:eastAsia="宋体" w:cs="AdobeSongStd-Light"/>
          <w:szCs w:val="21"/>
        </w:rPr>
        <w:t>亿人增长到</w:t>
      </w:r>
      <w:r>
        <w:rPr>
          <w:rFonts w:ascii="宋体" w:hAnsi="宋体" w:eastAsia="宋体" w:cs="Times New Roman"/>
          <w:szCs w:val="21"/>
        </w:rPr>
        <w:t>1980</w:t>
      </w:r>
      <w:r>
        <w:rPr>
          <w:rFonts w:hint="eastAsia" w:ascii="宋体" w:hAnsi="宋体" w:eastAsia="宋体" w:cs="AdobeSongStd-Light"/>
          <w:szCs w:val="21"/>
        </w:rPr>
        <w:t>年的</w:t>
      </w:r>
      <w:r>
        <w:rPr>
          <w:rFonts w:ascii="宋体" w:hAnsi="宋体" w:eastAsia="宋体" w:cs="Times New Roman"/>
          <w:szCs w:val="21"/>
        </w:rPr>
        <w:t>9</w:t>
      </w:r>
      <w:r>
        <w:rPr>
          <w:rFonts w:hint="eastAsia" w:ascii="宋体" w:hAnsi="宋体" w:eastAsia="宋体" w:cs="cajcd-fntaa"/>
          <w:szCs w:val="21"/>
        </w:rPr>
        <w:t>.</w:t>
      </w:r>
      <w:r>
        <w:rPr>
          <w:rFonts w:ascii="宋体" w:hAnsi="宋体" w:eastAsia="宋体" w:cs="Times New Roman"/>
          <w:szCs w:val="21"/>
        </w:rPr>
        <w:t>87</w:t>
      </w:r>
      <w:r>
        <w:rPr>
          <w:rFonts w:hint="eastAsia" w:ascii="宋体" w:hAnsi="宋体" w:eastAsia="宋体" w:cs="AdobeSongStd-Light"/>
          <w:szCs w:val="21"/>
        </w:rPr>
        <w:t>亿人。由于国家推行“晚稀少”的计划生育政策并在城乡普遍提供免费的计划生育服务</w:t>
      </w:r>
      <w:r>
        <w:rPr>
          <w:rFonts w:ascii="宋体" w:hAnsi="宋体" w:eastAsia="宋体" w:cs="Times New Roman"/>
          <w:szCs w:val="21"/>
        </w:rPr>
        <w:t>，</w:t>
      </w:r>
      <w:r>
        <w:rPr>
          <w:rFonts w:hint="eastAsia" w:ascii="宋体" w:hAnsi="宋体" w:eastAsia="宋体" w:cs="AdobeSongStd-Light"/>
          <w:szCs w:val="21"/>
        </w:rPr>
        <w:t>人口自然增长率从</w:t>
      </w:r>
      <w:r>
        <w:rPr>
          <w:rFonts w:ascii="宋体" w:hAnsi="宋体" w:eastAsia="宋体" w:cs="Times New Roman"/>
          <w:szCs w:val="21"/>
        </w:rPr>
        <w:t xml:space="preserve">1970 </w:t>
      </w:r>
      <w:r>
        <w:rPr>
          <w:rFonts w:hint="eastAsia" w:ascii="宋体" w:hAnsi="宋体" w:eastAsia="宋体" w:cs="AdobeSongStd-Light"/>
          <w:szCs w:val="21"/>
        </w:rPr>
        <w:t>年的</w:t>
      </w:r>
      <w:r>
        <w:rPr>
          <w:rFonts w:ascii="宋体" w:hAnsi="宋体" w:eastAsia="宋体" w:cs="Times New Roman"/>
          <w:szCs w:val="21"/>
        </w:rPr>
        <w:t>25</w:t>
      </w:r>
      <w:r>
        <w:rPr>
          <w:rFonts w:hint="eastAsia" w:ascii="宋体" w:hAnsi="宋体" w:eastAsia="宋体" w:cs="cajcd-fntaa"/>
          <w:szCs w:val="21"/>
        </w:rPr>
        <w:t>.</w:t>
      </w:r>
      <w:r>
        <w:rPr>
          <w:rFonts w:ascii="宋体" w:hAnsi="宋体" w:eastAsia="宋体" w:cs="Times New Roman"/>
          <w:szCs w:val="21"/>
        </w:rPr>
        <w:t>95%</w:t>
      </w:r>
      <w:r>
        <w:rPr>
          <w:rFonts w:hint="eastAsia" w:ascii="宋体" w:hAnsi="宋体" w:eastAsia="宋体" w:cs="AdobeSongStd-Light"/>
          <w:szCs w:val="21"/>
        </w:rPr>
        <w:t>下降到</w:t>
      </w:r>
      <w:r>
        <w:rPr>
          <w:rFonts w:ascii="宋体" w:hAnsi="宋体" w:eastAsia="宋体" w:cs="Times New Roman"/>
          <w:szCs w:val="21"/>
        </w:rPr>
        <w:t>1980</w:t>
      </w:r>
      <w:r>
        <w:rPr>
          <w:rFonts w:hint="eastAsia" w:ascii="宋体" w:hAnsi="宋体" w:eastAsia="宋体" w:cs="AdobeSongStd-Light"/>
          <w:szCs w:val="21"/>
        </w:rPr>
        <w:t>年的</w:t>
      </w:r>
      <w:r>
        <w:rPr>
          <w:rFonts w:ascii="宋体" w:hAnsi="宋体" w:eastAsia="宋体" w:cs="Times New Roman"/>
          <w:szCs w:val="21"/>
        </w:rPr>
        <w:t>11</w:t>
      </w:r>
      <w:r>
        <w:rPr>
          <w:rFonts w:hint="eastAsia" w:ascii="宋体" w:hAnsi="宋体" w:eastAsia="宋体" w:cs="cajcd-fntaa"/>
          <w:szCs w:val="21"/>
        </w:rPr>
        <w:t>.</w:t>
      </w:r>
      <w:r>
        <w:rPr>
          <w:rFonts w:ascii="宋体" w:hAnsi="宋体" w:eastAsia="宋体" w:cs="Times New Roman"/>
          <w:szCs w:val="21"/>
        </w:rPr>
        <w:t>87%，</w:t>
      </w:r>
      <w:r>
        <w:rPr>
          <w:rFonts w:hint="eastAsia" w:ascii="宋体" w:hAnsi="宋体" w:eastAsia="宋体" w:cs="AdobeSongStd-Light"/>
          <w:szCs w:val="21"/>
        </w:rPr>
        <w:t>总和生育率年均降至</w:t>
      </w:r>
      <w:r>
        <w:rPr>
          <w:rFonts w:ascii="宋体" w:hAnsi="宋体" w:eastAsia="宋体" w:cs="Times New Roman"/>
          <w:szCs w:val="21"/>
        </w:rPr>
        <w:t>4</w:t>
      </w:r>
      <w:r>
        <w:rPr>
          <w:rFonts w:hint="eastAsia" w:ascii="宋体" w:hAnsi="宋体" w:eastAsia="宋体" w:cs="cajcd-fntaa"/>
          <w:szCs w:val="21"/>
        </w:rPr>
        <w:t>.</w:t>
      </w:r>
      <w:r>
        <w:rPr>
          <w:rFonts w:ascii="宋体" w:hAnsi="宋体" w:eastAsia="宋体" w:cs="Times New Roman"/>
          <w:szCs w:val="21"/>
        </w:rPr>
        <w:t>09，</w:t>
      </w:r>
      <w:r>
        <w:rPr>
          <w:rFonts w:hint="eastAsia" w:ascii="宋体" w:hAnsi="宋体" w:eastAsia="宋体" w:cs="AdobeSongStd-Light"/>
          <w:szCs w:val="21"/>
        </w:rPr>
        <w:t>创造了中外人口控制史上的奇迹。但由于巨大的人口出生惯性</w:t>
      </w:r>
      <w:r>
        <w:rPr>
          <w:rFonts w:ascii="宋体" w:hAnsi="宋体" w:eastAsia="宋体" w:cs="AdobeSongStd-Light"/>
          <w:szCs w:val="21"/>
        </w:rPr>
        <w:t>，</w:t>
      </w:r>
      <w:r>
        <w:rPr>
          <w:rFonts w:hint="eastAsia" w:ascii="宋体" w:hAnsi="宋体" w:eastAsia="宋体" w:cs="AdobeSongStd-Light"/>
          <w:szCs w:val="21"/>
        </w:rPr>
        <w:t>导致</w:t>
      </w:r>
      <w:r>
        <w:rPr>
          <w:rFonts w:ascii="宋体" w:hAnsi="宋体" w:eastAsia="宋体" w:cs="AdobeSongStd-Light"/>
          <w:szCs w:val="21"/>
        </w:rPr>
        <w:t>10</w:t>
      </w:r>
      <w:r>
        <w:rPr>
          <w:rFonts w:hint="eastAsia" w:ascii="宋体" w:hAnsi="宋体" w:eastAsia="宋体" w:cs="AdobeSongStd-Light"/>
          <w:szCs w:val="21"/>
        </w:rPr>
        <w:t>年增长了</w:t>
      </w:r>
      <w:r>
        <w:rPr>
          <w:rFonts w:ascii="宋体" w:hAnsi="宋体" w:eastAsia="宋体" w:cs="AdobeSongStd-Light"/>
          <w:szCs w:val="21"/>
        </w:rPr>
        <w:t>1</w:t>
      </w:r>
      <w:r>
        <w:rPr>
          <w:rFonts w:hint="eastAsia" w:ascii="宋体" w:hAnsi="宋体" w:eastAsia="宋体" w:cs="cajcd-fntaa"/>
          <w:szCs w:val="21"/>
        </w:rPr>
        <w:t>.</w:t>
      </w:r>
      <w:r>
        <w:rPr>
          <w:rFonts w:ascii="宋体" w:hAnsi="宋体" w:eastAsia="宋体" w:cs="AdobeSongStd-Light"/>
          <w:szCs w:val="21"/>
        </w:rPr>
        <w:t>6</w:t>
      </w:r>
      <w:r>
        <w:rPr>
          <w:rFonts w:hint="eastAsia" w:ascii="宋体" w:hAnsi="宋体" w:eastAsia="宋体" w:cs="AdobeSongStd-Light"/>
          <w:szCs w:val="21"/>
        </w:rPr>
        <w:t>亿人。该阶段中国占世界人口比重为</w:t>
      </w:r>
      <w:r>
        <w:rPr>
          <w:rFonts w:ascii="宋体" w:hAnsi="宋体" w:eastAsia="宋体" w:cs="AdobeSongStd-Light"/>
          <w:szCs w:val="21"/>
        </w:rPr>
        <w:t>22</w:t>
      </w:r>
      <w:r>
        <w:rPr>
          <w:rFonts w:hint="eastAsia" w:ascii="宋体" w:hAnsi="宋体" w:eastAsia="宋体" w:cs="cajcd-fntaa"/>
          <w:szCs w:val="21"/>
        </w:rPr>
        <w:t>.</w:t>
      </w:r>
      <w:r>
        <w:rPr>
          <w:rFonts w:ascii="宋体" w:hAnsi="宋体" w:eastAsia="宋体" w:cs="AdobeSongStd-Light"/>
          <w:szCs w:val="21"/>
        </w:rPr>
        <w:t>48%，</w:t>
      </w:r>
      <w:r>
        <w:rPr>
          <w:rFonts w:hint="eastAsia" w:ascii="宋体" w:hAnsi="宋体" w:eastAsia="宋体" w:cs="AdobeSongStd-Light"/>
          <w:szCs w:val="21"/>
        </w:rPr>
        <w:t>属历史最高。</w:t>
      </w:r>
    </w:p>
    <w:p w14:paraId="1CCE4803">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szCs w:val="21"/>
        </w:rPr>
        <w:t>3.20</w:t>
      </w:r>
      <w:r>
        <w:rPr>
          <w:rFonts w:hint="eastAsia" w:ascii="宋体" w:hAnsi="宋体" w:eastAsia="宋体" w:cs="AdobeSongStd-Light"/>
          <w:szCs w:val="21"/>
        </w:rPr>
        <w:t>世纪</w:t>
      </w:r>
      <w:r>
        <w:rPr>
          <w:rFonts w:ascii="宋体" w:hAnsi="宋体" w:eastAsia="宋体" w:cs="AdobeSongStd-Light"/>
          <w:szCs w:val="21"/>
        </w:rPr>
        <w:t>80</w:t>
      </w:r>
      <w:r>
        <w:rPr>
          <w:rFonts w:hint="eastAsia" w:ascii="宋体" w:hAnsi="宋体" w:eastAsia="宋体" w:cs="AdobeSongStd-Light"/>
          <w:szCs w:val="21"/>
        </w:rPr>
        <w:t>—</w:t>
      </w:r>
      <w:r>
        <w:rPr>
          <w:rFonts w:ascii="宋体" w:hAnsi="宋体" w:eastAsia="宋体" w:cs="AdobeSongStd-Light"/>
          <w:szCs w:val="21"/>
        </w:rPr>
        <w:t>90</w:t>
      </w:r>
      <w:r>
        <w:rPr>
          <w:rFonts w:hint="eastAsia" w:ascii="宋体" w:hAnsi="宋体" w:eastAsia="宋体" w:cs="AdobeSongStd-Light"/>
          <w:szCs w:val="21"/>
        </w:rPr>
        <w:t>年代属于缓慢增长阶段。由</w:t>
      </w:r>
      <w:r>
        <w:rPr>
          <w:rFonts w:ascii="宋体" w:hAnsi="宋体" w:eastAsia="宋体" w:cs="AdobeSongStd-Light"/>
          <w:szCs w:val="21"/>
        </w:rPr>
        <w:t>9</w:t>
      </w:r>
      <w:r>
        <w:rPr>
          <w:rFonts w:hint="eastAsia" w:ascii="宋体" w:hAnsi="宋体" w:eastAsia="宋体" w:cs="cajcd-fntaa"/>
          <w:szCs w:val="21"/>
        </w:rPr>
        <w:t>.</w:t>
      </w:r>
      <w:r>
        <w:rPr>
          <w:rFonts w:ascii="宋体" w:hAnsi="宋体" w:eastAsia="宋体" w:cs="AdobeSongStd-Light"/>
          <w:szCs w:val="21"/>
        </w:rPr>
        <w:t>87</w:t>
      </w:r>
      <w:r>
        <w:rPr>
          <w:rFonts w:hint="eastAsia" w:ascii="宋体" w:hAnsi="宋体" w:eastAsia="宋体" w:cs="AdobeSongStd-Light"/>
          <w:szCs w:val="21"/>
        </w:rPr>
        <w:t>亿人增长到</w:t>
      </w:r>
      <w:r>
        <w:rPr>
          <w:rFonts w:ascii="宋体" w:hAnsi="宋体" w:eastAsia="宋体" w:cs="AdobeSongStd-Light"/>
          <w:szCs w:val="21"/>
        </w:rPr>
        <w:t>2000</w:t>
      </w:r>
      <w:r>
        <w:rPr>
          <w:rFonts w:hint="eastAsia" w:ascii="宋体" w:hAnsi="宋体" w:eastAsia="宋体" w:cs="AdobeSongStd-Light"/>
          <w:szCs w:val="21"/>
        </w:rPr>
        <w:t>年的</w:t>
      </w:r>
      <w:r>
        <w:rPr>
          <w:rFonts w:ascii="宋体" w:hAnsi="宋体" w:eastAsia="宋体" w:cs="AdobeSongStd-Light"/>
          <w:szCs w:val="21"/>
        </w:rPr>
        <w:t>12</w:t>
      </w:r>
      <w:r>
        <w:rPr>
          <w:rFonts w:hint="eastAsia" w:ascii="宋体" w:hAnsi="宋体" w:eastAsia="宋体" w:cs="AdobeSongStd-Light"/>
          <w:szCs w:val="21"/>
        </w:rPr>
        <w:t>.</w:t>
      </w:r>
      <w:r>
        <w:rPr>
          <w:rFonts w:ascii="宋体" w:hAnsi="宋体" w:eastAsia="宋体" w:cs="AdobeSongStd-Light"/>
          <w:szCs w:val="21"/>
        </w:rPr>
        <w:t>67</w:t>
      </w:r>
      <w:r>
        <w:rPr>
          <w:rFonts w:hint="eastAsia" w:ascii="宋体" w:hAnsi="宋体" w:eastAsia="宋体" w:cs="AdobeSongStd-Light"/>
          <w:szCs w:val="21"/>
        </w:rPr>
        <w:t>亿人</w:t>
      </w:r>
      <w:r>
        <w:rPr>
          <w:rFonts w:ascii="宋体" w:hAnsi="宋体" w:eastAsia="宋体" w:cs="AdobeSongStd-Light"/>
          <w:szCs w:val="21"/>
        </w:rPr>
        <w:t>，</w:t>
      </w:r>
      <w:r>
        <w:rPr>
          <w:rFonts w:hint="eastAsia" w:ascii="宋体" w:hAnsi="宋体" w:eastAsia="宋体" w:cs="AdobeSongStd-Light"/>
          <w:szCs w:val="21"/>
        </w:rPr>
        <w:t>每</w:t>
      </w:r>
      <w:r>
        <w:rPr>
          <w:rFonts w:ascii="宋体" w:hAnsi="宋体" w:eastAsia="宋体" w:cs="AdobeSongStd-Light"/>
          <w:szCs w:val="21"/>
        </w:rPr>
        <w:t>10</w:t>
      </w:r>
      <w:r>
        <w:rPr>
          <w:rFonts w:hint="eastAsia" w:ascii="宋体" w:hAnsi="宋体" w:eastAsia="宋体" w:cs="AdobeSongStd-Light"/>
          <w:szCs w:val="21"/>
        </w:rPr>
        <w:t>年增加</w:t>
      </w:r>
      <w:r>
        <w:rPr>
          <w:rFonts w:ascii="宋体" w:hAnsi="宋体" w:eastAsia="宋体" w:cs="AdobeSongStd-Light"/>
          <w:szCs w:val="21"/>
        </w:rPr>
        <w:t>1</w:t>
      </w:r>
      <w:r>
        <w:rPr>
          <w:rFonts w:hint="eastAsia" w:ascii="宋体" w:hAnsi="宋体" w:eastAsia="宋体" w:cs="cajcd-fntaa"/>
          <w:szCs w:val="21"/>
        </w:rPr>
        <w:t>.</w:t>
      </w:r>
      <w:r>
        <w:rPr>
          <w:rFonts w:ascii="宋体" w:hAnsi="宋体" w:eastAsia="宋体" w:cs="AdobeSongStd-Light"/>
          <w:szCs w:val="21"/>
        </w:rPr>
        <w:t>4</w:t>
      </w:r>
      <w:r>
        <w:rPr>
          <w:rFonts w:hint="eastAsia" w:ascii="宋体" w:hAnsi="宋体" w:eastAsia="宋体" w:cs="AdobeSongStd-Light"/>
          <w:szCs w:val="21"/>
        </w:rPr>
        <w:t>亿人。此阶段中国实行约束性计划生育政策</w:t>
      </w:r>
      <w:r>
        <w:rPr>
          <w:rFonts w:ascii="宋体" w:hAnsi="宋体" w:eastAsia="宋体" w:cs="AdobeSongStd-Light"/>
          <w:szCs w:val="21"/>
        </w:rPr>
        <w:t>，</w:t>
      </w:r>
      <w:r>
        <w:rPr>
          <w:rFonts w:hint="eastAsia" w:ascii="宋体" w:hAnsi="宋体" w:eastAsia="宋体" w:cs="AdobeSongStd-Light"/>
          <w:szCs w:val="21"/>
        </w:rPr>
        <w:t>总和生育率年均降至</w:t>
      </w:r>
      <w:r>
        <w:rPr>
          <w:rFonts w:ascii="宋体" w:hAnsi="宋体" w:eastAsia="宋体" w:cs="AdobeSongStd-Light"/>
          <w:szCs w:val="21"/>
        </w:rPr>
        <w:t>2</w:t>
      </w:r>
      <w:r>
        <w:rPr>
          <w:rFonts w:hint="eastAsia" w:ascii="宋体" w:hAnsi="宋体" w:eastAsia="宋体" w:cs="cajcd-fntaa"/>
          <w:szCs w:val="21"/>
        </w:rPr>
        <w:t>.</w:t>
      </w:r>
      <w:r>
        <w:rPr>
          <w:rFonts w:ascii="宋体" w:hAnsi="宋体" w:eastAsia="宋体" w:cs="AdobeSongStd-Light"/>
          <w:szCs w:val="21"/>
        </w:rPr>
        <w:t>18</w:t>
      </w:r>
      <w:r>
        <w:rPr>
          <w:rFonts w:hint="eastAsia" w:ascii="宋体" w:hAnsi="宋体" w:eastAsia="宋体" w:cs="AdobeSongStd-Light"/>
          <w:szCs w:val="21"/>
        </w:rPr>
        <w:t>,</w:t>
      </w:r>
      <w:r>
        <w:rPr>
          <w:rFonts w:ascii="宋体" w:hAnsi="宋体" w:eastAsia="宋体" w:cs="AdobeSongStd-Light"/>
          <w:szCs w:val="21"/>
        </w:rPr>
        <w:t>1993</w:t>
      </w:r>
      <w:r>
        <w:rPr>
          <w:rFonts w:hint="eastAsia" w:ascii="宋体" w:hAnsi="宋体" w:eastAsia="宋体" w:cs="AdobeSongStd-Light"/>
          <w:szCs w:val="21"/>
        </w:rPr>
        <w:t>年更是实现2.1的更替水平以下</w:t>
      </w:r>
      <w:r>
        <w:rPr>
          <w:rFonts w:ascii="宋体" w:hAnsi="宋体" w:eastAsia="宋体" w:cs="AdobeSongStd-Light"/>
          <w:szCs w:val="21"/>
        </w:rPr>
        <w:t>，</w:t>
      </w:r>
      <w:r>
        <w:rPr>
          <w:rFonts w:hint="eastAsia" w:ascii="宋体" w:hAnsi="宋体" w:eastAsia="宋体" w:cs="AdobeSongStd-Light"/>
          <w:szCs w:val="21"/>
        </w:rPr>
        <w:t>并至今一直维持这一水平之下</w:t>
      </w:r>
      <w:r>
        <w:rPr>
          <w:rFonts w:ascii="宋体" w:hAnsi="宋体" w:eastAsia="宋体" w:cs="AdobeSongStd-Light"/>
          <w:szCs w:val="21"/>
        </w:rPr>
        <w:t>，</w:t>
      </w:r>
      <w:r>
        <w:rPr>
          <w:rFonts w:hint="eastAsia" w:ascii="宋体" w:hAnsi="宋体" w:eastAsia="宋体" w:cs="AdobeSongStd-Light"/>
          <w:szCs w:val="21"/>
        </w:rPr>
        <w:t>处于“低生育”阶段。该阶段中国占世界人口比重降至</w:t>
      </w:r>
      <w:r>
        <w:rPr>
          <w:rFonts w:ascii="宋体" w:hAnsi="宋体" w:eastAsia="宋体" w:cs="AdobeSongStd-Light"/>
          <w:szCs w:val="21"/>
        </w:rPr>
        <w:t>21</w:t>
      </w:r>
      <w:r>
        <w:rPr>
          <w:rFonts w:hint="eastAsia" w:ascii="宋体" w:hAnsi="宋体" w:eastAsia="宋体" w:cs="cajcd-fntaa"/>
          <w:szCs w:val="21"/>
        </w:rPr>
        <w:t>.</w:t>
      </w:r>
      <w:r>
        <w:rPr>
          <w:rFonts w:ascii="宋体" w:hAnsi="宋体" w:eastAsia="宋体" w:cs="AdobeSongStd-Light"/>
          <w:szCs w:val="21"/>
        </w:rPr>
        <w:t>35%</w:t>
      </w:r>
      <w:r>
        <w:rPr>
          <w:rFonts w:hint="eastAsia" w:ascii="宋体" w:hAnsi="宋体" w:eastAsia="宋体" w:cs="AdobeSongStd-Light"/>
          <w:szCs w:val="21"/>
        </w:rPr>
        <w:t>。</w:t>
      </w:r>
    </w:p>
    <w:p w14:paraId="76225CD5">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szCs w:val="21"/>
        </w:rPr>
        <w:t>4. 2001</w:t>
      </w:r>
      <w:r>
        <w:rPr>
          <w:rFonts w:hint="eastAsia" w:ascii="宋体" w:hAnsi="宋体" w:eastAsia="宋体" w:cs="AdobeSongStd-Light"/>
          <w:szCs w:val="21"/>
        </w:rPr>
        <w:t>年以来属于较低生育增长阶段。由</w:t>
      </w:r>
      <w:r>
        <w:rPr>
          <w:rFonts w:ascii="宋体" w:hAnsi="宋体" w:eastAsia="宋体" w:cs="AdobeSongStd-Light"/>
          <w:szCs w:val="21"/>
        </w:rPr>
        <w:t>12</w:t>
      </w:r>
      <w:r>
        <w:rPr>
          <w:rFonts w:hint="eastAsia" w:ascii="宋体" w:hAnsi="宋体" w:eastAsia="宋体" w:cs="cajcd-fntaa"/>
          <w:szCs w:val="21"/>
        </w:rPr>
        <w:t>.</w:t>
      </w:r>
      <w:r>
        <w:rPr>
          <w:rFonts w:ascii="宋体" w:hAnsi="宋体" w:eastAsia="宋体" w:cs="AdobeSongStd-Light"/>
          <w:szCs w:val="21"/>
        </w:rPr>
        <w:t>67</w:t>
      </w:r>
      <w:r>
        <w:rPr>
          <w:rFonts w:hint="eastAsia" w:ascii="宋体" w:hAnsi="宋体" w:eastAsia="宋体" w:cs="AdobeSongStd-Light"/>
          <w:szCs w:val="21"/>
        </w:rPr>
        <w:t>亿人增长到</w:t>
      </w:r>
      <w:r>
        <w:rPr>
          <w:rFonts w:ascii="宋体" w:hAnsi="宋体" w:eastAsia="宋体" w:cs="AdobeSongStd-Light"/>
          <w:szCs w:val="21"/>
        </w:rPr>
        <w:t>2007</w:t>
      </w:r>
      <w:r>
        <w:rPr>
          <w:rFonts w:hint="eastAsia" w:ascii="宋体" w:hAnsi="宋体" w:eastAsia="宋体" w:cs="AdobeSongStd-Light"/>
          <w:szCs w:val="21"/>
        </w:rPr>
        <w:t>年的</w:t>
      </w:r>
      <w:r>
        <w:rPr>
          <w:rFonts w:ascii="宋体" w:hAnsi="宋体" w:eastAsia="宋体" w:cs="AdobeSongStd-Light"/>
          <w:szCs w:val="21"/>
        </w:rPr>
        <w:t>13</w:t>
      </w:r>
      <w:r>
        <w:rPr>
          <w:rFonts w:hint="eastAsia" w:ascii="宋体" w:hAnsi="宋体" w:eastAsia="宋体" w:cs="cajcd-fntaa"/>
          <w:szCs w:val="21"/>
        </w:rPr>
        <w:t>.</w:t>
      </w:r>
      <w:r>
        <w:rPr>
          <w:rFonts w:ascii="宋体" w:hAnsi="宋体" w:eastAsia="宋体" w:cs="AdobeSongStd-Light"/>
          <w:szCs w:val="21"/>
        </w:rPr>
        <w:t>21</w:t>
      </w:r>
      <w:r>
        <w:rPr>
          <w:rFonts w:hint="eastAsia" w:ascii="宋体" w:hAnsi="宋体" w:eastAsia="宋体" w:cs="AdobeSongStd-Light"/>
          <w:szCs w:val="21"/>
        </w:rPr>
        <w:t>亿人</w:t>
      </w:r>
      <w:r>
        <w:rPr>
          <w:rFonts w:ascii="宋体" w:hAnsi="宋体" w:eastAsia="宋体" w:cs="AdobeSongStd-Light"/>
          <w:szCs w:val="21"/>
          <w:vertAlign w:val="superscript"/>
        </w:rPr>
        <w:footnoteReference w:id="371"/>
      </w:r>
      <w:r>
        <w:rPr>
          <w:rFonts w:ascii="宋体" w:hAnsi="宋体" w:eastAsia="宋体" w:cs="AdobeSongStd-Light"/>
          <w:szCs w:val="21"/>
        </w:rPr>
        <w:t>，</w:t>
      </w:r>
      <w:r>
        <w:rPr>
          <w:rFonts w:hint="eastAsia" w:ascii="宋体" w:hAnsi="宋体" w:eastAsia="宋体" w:cs="AdobeSongStd-Light"/>
          <w:szCs w:val="21"/>
        </w:rPr>
        <w:t>总和生育率降至</w:t>
      </w:r>
      <w:r>
        <w:rPr>
          <w:rFonts w:ascii="宋体" w:hAnsi="宋体" w:eastAsia="宋体" w:cs="AdobeSongStd-Light"/>
          <w:szCs w:val="21"/>
        </w:rPr>
        <w:t>1</w:t>
      </w:r>
      <w:r>
        <w:rPr>
          <w:rFonts w:hint="eastAsia" w:ascii="宋体" w:hAnsi="宋体" w:eastAsia="宋体" w:cs="cajcd-fntaa"/>
          <w:szCs w:val="21"/>
        </w:rPr>
        <w:t>.</w:t>
      </w:r>
      <w:r>
        <w:rPr>
          <w:rFonts w:ascii="宋体" w:hAnsi="宋体" w:eastAsia="宋体" w:cs="AdobeSongStd-Light"/>
          <w:szCs w:val="21"/>
        </w:rPr>
        <w:t>72，</w:t>
      </w:r>
      <w:r>
        <w:rPr>
          <w:rFonts w:hint="eastAsia" w:ascii="宋体" w:hAnsi="宋体" w:eastAsia="宋体" w:cs="AdobeSongStd-Light"/>
          <w:szCs w:val="21"/>
        </w:rPr>
        <w:t>占世界人口比重</w:t>
      </w:r>
      <w:r>
        <w:rPr>
          <w:rFonts w:ascii="宋体" w:hAnsi="宋体" w:eastAsia="宋体" w:cs="AdobeSongStd-Light"/>
          <w:szCs w:val="21"/>
        </w:rPr>
        <w:t>20</w:t>
      </w:r>
      <w:r>
        <w:rPr>
          <w:rFonts w:hint="eastAsia" w:ascii="宋体" w:hAnsi="宋体" w:eastAsia="宋体" w:cs="cajcd-fntaa"/>
          <w:szCs w:val="21"/>
        </w:rPr>
        <w:t>.</w:t>
      </w:r>
      <w:r>
        <w:rPr>
          <w:rFonts w:ascii="宋体" w:hAnsi="宋体" w:eastAsia="宋体" w:cs="AdobeSongStd-Light"/>
          <w:szCs w:val="21"/>
        </w:rPr>
        <w:t>09%，</w:t>
      </w:r>
      <w:r>
        <w:rPr>
          <w:rFonts w:hint="eastAsia" w:ascii="宋体" w:hAnsi="宋体" w:eastAsia="宋体" w:cs="AdobeSongStd-Light"/>
          <w:szCs w:val="21"/>
        </w:rPr>
        <w:t>为历史最低。该阶段人口和计生工作从以前的“暴风骤雨”、“和风细雨”</w:t>
      </w:r>
      <w:r>
        <w:rPr>
          <w:rFonts w:ascii="宋体" w:hAnsi="宋体" w:eastAsia="宋体" w:cs="AdobeSongStd-Light"/>
          <w:szCs w:val="21"/>
        </w:rPr>
        <w:t>，</w:t>
      </w:r>
      <w:r>
        <w:rPr>
          <w:rFonts w:hint="eastAsia" w:ascii="宋体" w:hAnsi="宋体" w:eastAsia="宋体" w:cs="AdobeSongStd-Light"/>
          <w:szCs w:val="21"/>
        </w:rPr>
        <w:t>实现了到“春风化雨”的转变</w:t>
      </w:r>
      <w:r>
        <w:rPr>
          <w:rFonts w:ascii="宋体" w:hAnsi="宋体" w:eastAsia="宋体" w:cs="AdobeSongStd-Light"/>
          <w:szCs w:val="21"/>
        </w:rPr>
        <w:t>，</w:t>
      </w:r>
      <w:r>
        <w:rPr>
          <w:rFonts w:hint="eastAsia" w:ascii="宋体" w:hAnsi="宋体" w:eastAsia="宋体" w:cs="AdobeSongStd-Light"/>
          <w:szCs w:val="21"/>
        </w:rPr>
        <w:t>“九五”和“十五”控制目标顺利实现</w:t>
      </w:r>
      <w:r>
        <w:rPr>
          <w:rFonts w:ascii="宋体" w:hAnsi="宋体" w:eastAsia="宋体" w:cs="AdobeSongStd-Light"/>
          <w:szCs w:val="21"/>
        </w:rPr>
        <w:t>，</w:t>
      </w:r>
      <w:r>
        <w:rPr>
          <w:rFonts w:hint="eastAsia" w:ascii="宋体" w:hAnsi="宋体" w:eastAsia="宋体" w:cs="AdobeSongStd-Light"/>
          <w:szCs w:val="21"/>
        </w:rPr>
        <w:t>故又叫“优质服务和奖励扶助计划生育”阶段、“统筹解决人口问题”阶段</w:t>
      </w:r>
      <w:r>
        <w:rPr>
          <w:rFonts w:ascii="宋体" w:hAnsi="宋体" w:eastAsia="宋体" w:cs="AdobeSongStd-Light"/>
          <w:szCs w:val="21"/>
        </w:rPr>
        <w:t>，</w:t>
      </w:r>
      <w:r>
        <w:rPr>
          <w:rFonts w:hint="eastAsia" w:ascii="宋体" w:hAnsi="宋体" w:eastAsia="宋体" w:cs="AdobeSongStd-Light"/>
          <w:szCs w:val="21"/>
        </w:rPr>
        <w:t>中国控制人口工作持续发展。</w:t>
      </w:r>
    </w:p>
    <w:p w14:paraId="656C6BC4">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szCs w:val="21"/>
        </w:rPr>
        <w:t>60</w:t>
      </w:r>
      <w:r>
        <w:rPr>
          <w:rFonts w:hint="eastAsia" w:ascii="宋体" w:hAnsi="宋体" w:eastAsia="宋体" w:cs="AdobeSongStd-Light"/>
          <w:szCs w:val="21"/>
        </w:rPr>
        <w:t>年来中国的“人口和计划生育工作发展史</w:t>
      </w:r>
      <w:r>
        <w:rPr>
          <w:rFonts w:ascii="宋体" w:hAnsi="宋体" w:eastAsia="宋体" w:cs="AdobeSongStd-Light"/>
          <w:szCs w:val="21"/>
        </w:rPr>
        <w:t>，</w:t>
      </w:r>
      <w:r>
        <w:rPr>
          <w:rFonts w:hint="eastAsia" w:ascii="宋体" w:hAnsi="宋体" w:eastAsia="宋体" w:cs="AdobeSongStd-Light"/>
          <w:szCs w:val="21"/>
        </w:rPr>
        <w:t>是一部曲折、悲壮、辉煌的历史”</w:t>
      </w:r>
      <w:r>
        <w:rPr>
          <w:rFonts w:ascii="宋体" w:hAnsi="宋体" w:eastAsia="宋体" w:cs="AdobeSongStd-Light"/>
          <w:szCs w:val="21"/>
        </w:rPr>
        <w:t>，</w:t>
      </w:r>
      <w:r>
        <w:rPr>
          <w:rFonts w:hint="eastAsia" w:ascii="宋体" w:hAnsi="宋体" w:eastAsia="宋体" w:cs="AdobeSongStd-Light"/>
          <w:szCs w:val="21"/>
        </w:rPr>
        <w:t>是“前无古人的伟大实践”</w:t>
      </w:r>
      <w:r>
        <w:rPr>
          <w:rFonts w:ascii="宋体" w:hAnsi="宋体" w:eastAsia="宋体" w:cs="AdobeSongStd-Light"/>
          <w:szCs w:val="21"/>
          <w:vertAlign w:val="superscript"/>
        </w:rPr>
        <w:footnoteReference w:id="372"/>
      </w:r>
      <w:r>
        <w:rPr>
          <w:rFonts w:ascii="宋体" w:hAnsi="宋体" w:eastAsia="宋体" w:cs="AdobeSongStd-Light"/>
          <w:szCs w:val="21"/>
        </w:rPr>
        <w:t>，</w:t>
      </w:r>
      <w:r>
        <w:rPr>
          <w:rFonts w:hint="eastAsia" w:ascii="宋体" w:hAnsi="宋体" w:eastAsia="宋体" w:cs="AdobeSongStd-Light"/>
          <w:szCs w:val="21"/>
        </w:rPr>
        <w:t>总和生育率由</w:t>
      </w:r>
      <w:r>
        <w:rPr>
          <w:rFonts w:ascii="宋体" w:hAnsi="宋体" w:eastAsia="宋体" w:cs="AdobeSongStd-Light"/>
          <w:szCs w:val="21"/>
        </w:rPr>
        <w:t>1970</w:t>
      </w:r>
      <w:r>
        <w:rPr>
          <w:rFonts w:hint="eastAsia" w:ascii="宋体" w:hAnsi="宋体" w:eastAsia="宋体" w:cs="AdobeSongStd-Light"/>
          <w:szCs w:val="21"/>
        </w:rPr>
        <w:t>年的</w:t>
      </w:r>
      <w:r>
        <w:rPr>
          <w:rFonts w:ascii="宋体" w:hAnsi="宋体" w:eastAsia="宋体" w:cs="AdobeSongStd-Light"/>
          <w:szCs w:val="21"/>
        </w:rPr>
        <w:t>5</w:t>
      </w:r>
      <w:r>
        <w:rPr>
          <w:rFonts w:hint="eastAsia" w:ascii="宋体" w:hAnsi="宋体" w:eastAsia="宋体" w:cs="cajcd-fntaa"/>
          <w:szCs w:val="21"/>
        </w:rPr>
        <w:t>.</w:t>
      </w:r>
      <w:r>
        <w:rPr>
          <w:rFonts w:ascii="宋体" w:hAnsi="宋体" w:eastAsia="宋体" w:cs="AdobeSongStd-Light"/>
          <w:szCs w:val="21"/>
        </w:rPr>
        <w:t>8</w:t>
      </w:r>
      <w:r>
        <w:rPr>
          <w:rFonts w:hint="eastAsia" w:ascii="宋体" w:hAnsi="宋体" w:eastAsia="宋体" w:cs="AdobeSongStd-Light"/>
          <w:szCs w:val="21"/>
        </w:rPr>
        <w:t>降至</w:t>
      </w:r>
      <w:r>
        <w:rPr>
          <w:rFonts w:ascii="宋体" w:hAnsi="宋体" w:eastAsia="宋体" w:cs="AdobeSongStd-Light"/>
          <w:szCs w:val="21"/>
        </w:rPr>
        <w:t>1993</w:t>
      </w:r>
      <w:r>
        <w:rPr>
          <w:rFonts w:hint="eastAsia" w:ascii="宋体" w:hAnsi="宋体" w:eastAsia="宋体" w:cs="AdobeSongStd-Light"/>
          <w:szCs w:val="21"/>
        </w:rPr>
        <w:t>年</w:t>
      </w:r>
      <w:r>
        <w:rPr>
          <w:rFonts w:ascii="宋体" w:hAnsi="宋体" w:eastAsia="宋体" w:cs="AdobeSongStd-Light"/>
          <w:szCs w:val="21"/>
        </w:rPr>
        <w:t>2</w:t>
      </w:r>
      <w:r>
        <w:rPr>
          <w:rFonts w:hint="eastAsia" w:ascii="宋体" w:hAnsi="宋体" w:eastAsia="宋体" w:cs="cajcd-fntaa"/>
          <w:szCs w:val="21"/>
        </w:rPr>
        <w:t>.</w:t>
      </w:r>
      <w:r>
        <w:rPr>
          <w:rFonts w:ascii="宋体" w:hAnsi="宋体" w:eastAsia="宋体" w:cs="AdobeSongStd-Light"/>
          <w:szCs w:val="21"/>
        </w:rPr>
        <w:t>1</w:t>
      </w:r>
      <w:r>
        <w:rPr>
          <w:rFonts w:hint="eastAsia" w:ascii="宋体" w:hAnsi="宋体" w:eastAsia="宋体" w:cs="AdobeSongStd-Light"/>
          <w:szCs w:val="21"/>
        </w:rPr>
        <w:t>的更替水平</w:t>
      </w:r>
      <w:r>
        <w:rPr>
          <w:rFonts w:ascii="宋体" w:hAnsi="宋体" w:eastAsia="宋体" w:cs="AdobeSongStd-Light"/>
          <w:szCs w:val="21"/>
        </w:rPr>
        <w:t>，1998</w:t>
      </w:r>
      <w:r>
        <w:rPr>
          <w:rFonts w:hint="eastAsia" w:ascii="宋体" w:hAnsi="宋体" w:eastAsia="宋体" w:cs="AdobeSongStd-Light"/>
          <w:szCs w:val="21"/>
        </w:rPr>
        <w:t>年以后持续稳定在</w:t>
      </w:r>
      <w:r>
        <w:rPr>
          <w:rFonts w:ascii="宋体" w:hAnsi="宋体" w:eastAsia="宋体" w:cs="AdobeSongStd-Light"/>
          <w:szCs w:val="21"/>
        </w:rPr>
        <w:t>1</w:t>
      </w:r>
      <w:r>
        <w:rPr>
          <w:rFonts w:hint="eastAsia" w:ascii="宋体" w:hAnsi="宋体" w:eastAsia="宋体" w:cs="cajcd-fntaa"/>
          <w:szCs w:val="21"/>
        </w:rPr>
        <w:t>.</w:t>
      </w:r>
      <w:r>
        <w:rPr>
          <w:rFonts w:ascii="宋体" w:hAnsi="宋体" w:eastAsia="宋体" w:cs="AdobeSongStd-Light"/>
          <w:szCs w:val="21"/>
        </w:rPr>
        <w:t>8</w:t>
      </w:r>
      <w:r>
        <w:rPr>
          <w:rFonts w:hint="eastAsia" w:ascii="宋体" w:hAnsi="宋体" w:eastAsia="宋体" w:cs="AdobeSongStd-Light"/>
          <w:szCs w:val="21"/>
        </w:rPr>
        <w:t>左右</w:t>
      </w:r>
      <w:r>
        <w:rPr>
          <w:rFonts w:ascii="宋体" w:hAnsi="宋体" w:eastAsia="宋体" w:cs="AdobeSongStd-Light"/>
          <w:szCs w:val="21"/>
        </w:rPr>
        <w:t>，</w:t>
      </w:r>
      <w:r>
        <w:rPr>
          <w:rFonts w:hint="eastAsia" w:ascii="宋体" w:hAnsi="宋体" w:eastAsia="宋体" w:cs="AdobeSongStd-Light"/>
          <w:szCs w:val="21"/>
        </w:rPr>
        <w:t>完成了人口再生产类型从“高出生、低死亡、高增长”向“低出生、低死亡、低增长”迅速而重大的转变</w:t>
      </w:r>
      <w:r>
        <w:rPr>
          <w:rFonts w:ascii="宋体" w:hAnsi="宋体" w:eastAsia="宋体" w:cs="AdobeSongStd-Light"/>
          <w:szCs w:val="21"/>
        </w:rPr>
        <w:t>，</w:t>
      </w:r>
      <w:r>
        <w:rPr>
          <w:rFonts w:hint="eastAsia" w:ascii="宋体" w:hAnsi="宋体" w:eastAsia="宋体" w:cs="AdobeSongStd-Light"/>
          <w:szCs w:val="21"/>
        </w:rPr>
        <w:t>人口过快增长的势头被成功遏止</w:t>
      </w:r>
      <w:r>
        <w:rPr>
          <w:rFonts w:ascii="宋体" w:hAnsi="宋体" w:eastAsia="宋体" w:cs="AdobeSongStd-Light"/>
          <w:szCs w:val="21"/>
        </w:rPr>
        <w:t>，</w:t>
      </w:r>
      <w:r>
        <w:rPr>
          <w:rFonts w:hint="eastAsia" w:ascii="宋体" w:hAnsi="宋体" w:eastAsia="宋体" w:cs="AdobeSongStd-Light"/>
          <w:szCs w:val="21"/>
        </w:rPr>
        <w:t>因政策因素使全国累计少生</w:t>
      </w:r>
      <w:r>
        <w:rPr>
          <w:rFonts w:ascii="宋体" w:hAnsi="宋体" w:eastAsia="宋体" w:cs="AdobeSongStd-Light"/>
          <w:szCs w:val="21"/>
        </w:rPr>
        <w:t>4</w:t>
      </w:r>
      <w:r>
        <w:rPr>
          <w:rFonts w:hint="eastAsia" w:ascii="宋体" w:hAnsi="宋体" w:eastAsia="宋体" w:cs="AdobeSongStd-Light"/>
          <w:szCs w:val="21"/>
        </w:rPr>
        <w:t>亿多人</w:t>
      </w:r>
      <w:r>
        <w:rPr>
          <w:rFonts w:ascii="宋体" w:hAnsi="宋体" w:eastAsia="宋体" w:cs="AdobeSongStd-Light"/>
          <w:szCs w:val="21"/>
          <w:vertAlign w:val="superscript"/>
        </w:rPr>
        <w:footnoteReference w:id="373"/>
      </w:r>
      <w:r>
        <w:rPr>
          <w:rFonts w:ascii="宋体" w:hAnsi="宋体" w:eastAsia="宋体" w:cs="AdobeSongStd-Light"/>
          <w:szCs w:val="21"/>
        </w:rPr>
        <w:t>，</w:t>
      </w:r>
      <w:r>
        <w:rPr>
          <w:rFonts w:hint="eastAsia" w:ascii="宋体" w:hAnsi="宋体" w:eastAsia="宋体" w:cs="AdobeSongStd-Light"/>
          <w:szCs w:val="21"/>
        </w:rPr>
        <w:t>较大地改变了中国和世界人口发展的轨迹。</w:t>
      </w:r>
    </w:p>
    <w:p w14:paraId="5B6C4B40">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w:t>
      </w:r>
      <w:r>
        <w:rPr>
          <w:rFonts w:hint="eastAsia" w:ascii="宋体" w:hAnsi="宋体" w:eastAsia="宋体" w:cs="AdobeSongStd-Light"/>
          <w:b/>
          <w:szCs w:val="21"/>
        </w:rPr>
        <w:t>二</w:t>
      </w:r>
      <w:r>
        <w:rPr>
          <w:rFonts w:ascii="宋体" w:hAnsi="宋体" w:eastAsia="宋体" w:cs="AdobeSongStd-Light"/>
          <w:b/>
          <w:szCs w:val="21"/>
        </w:rPr>
        <w:t>)</w:t>
      </w:r>
      <w:r>
        <w:rPr>
          <w:rFonts w:hint="eastAsia" w:ascii="宋体" w:hAnsi="宋体" w:eastAsia="宋体" w:cs="AdobeSongStd-Light"/>
          <w:b/>
          <w:szCs w:val="21"/>
        </w:rPr>
        <w:t>资源</w:t>
      </w:r>
    </w:p>
    <w:p w14:paraId="1CB1B8AB">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szCs w:val="21"/>
        </w:rPr>
        <w:t>1.</w:t>
      </w:r>
      <w:r>
        <w:rPr>
          <w:rFonts w:hint="eastAsia" w:ascii="宋体" w:hAnsi="宋体" w:eastAsia="宋体" w:cs="AdobeSongStd-Light"/>
          <w:szCs w:val="21"/>
        </w:rPr>
        <w:t>改革前</w:t>
      </w:r>
      <w:r>
        <w:rPr>
          <w:rFonts w:ascii="宋体" w:hAnsi="宋体" w:eastAsia="宋体" w:cs="AdobeSongStd-Light"/>
          <w:szCs w:val="21"/>
        </w:rPr>
        <w:t>30</w:t>
      </w:r>
      <w:r>
        <w:rPr>
          <w:rFonts w:hint="eastAsia" w:ascii="宋体" w:hAnsi="宋体" w:eastAsia="宋体" w:cs="AdobeSongStd-Light"/>
          <w:szCs w:val="21"/>
        </w:rPr>
        <w:t>年</w:t>
      </w:r>
      <w:r>
        <w:rPr>
          <w:rFonts w:ascii="宋体" w:hAnsi="宋体" w:eastAsia="宋体" w:cs="AdobeSongStd-Light"/>
          <w:szCs w:val="21"/>
        </w:rPr>
        <w:t>，</w:t>
      </w:r>
      <w:r>
        <w:rPr>
          <w:rFonts w:hint="eastAsia" w:ascii="宋体" w:hAnsi="宋体" w:eastAsia="宋体" w:cs="AdobeSongStd-Light"/>
          <w:szCs w:val="21"/>
        </w:rPr>
        <w:t>资源无偿使用和资源保护工作起步阶段。</w:t>
      </w:r>
      <w:r>
        <w:rPr>
          <w:rFonts w:ascii="宋体" w:hAnsi="宋体" w:eastAsia="宋体" w:cs="AdobeSongStd-Light"/>
          <w:szCs w:val="21"/>
        </w:rPr>
        <w:t>20</w:t>
      </w:r>
      <w:r>
        <w:rPr>
          <w:rFonts w:hint="eastAsia" w:ascii="宋体" w:hAnsi="宋体" w:eastAsia="宋体" w:cs="AdobeSongStd-Light"/>
          <w:szCs w:val="21"/>
        </w:rPr>
        <w:t>世纪</w:t>
      </w:r>
      <w:r>
        <w:rPr>
          <w:rFonts w:ascii="宋体" w:hAnsi="宋体" w:eastAsia="宋体" w:cs="AdobeSongStd-Light"/>
          <w:szCs w:val="21"/>
        </w:rPr>
        <w:t>50</w:t>
      </w:r>
      <w:r>
        <w:rPr>
          <w:rFonts w:hint="eastAsia" w:ascii="宋体" w:hAnsi="宋体" w:eastAsia="宋体" w:cs="AdobeSongStd-Light"/>
          <w:szCs w:val="21"/>
        </w:rPr>
        <w:t>-</w:t>
      </w:r>
      <w:r>
        <w:rPr>
          <w:rFonts w:ascii="宋体" w:hAnsi="宋体" w:eastAsia="宋体" w:cs="AdobeSongStd-Light"/>
          <w:szCs w:val="21"/>
        </w:rPr>
        <w:t>60</w:t>
      </w:r>
      <w:r>
        <w:rPr>
          <w:rFonts w:hint="eastAsia" w:ascii="宋体" w:hAnsi="宋体" w:eastAsia="宋体" w:cs="AdobeSongStd-Light"/>
          <w:szCs w:val="21"/>
        </w:rPr>
        <w:t>年代</w:t>
      </w:r>
      <w:r>
        <w:rPr>
          <w:rFonts w:ascii="宋体" w:hAnsi="宋体" w:eastAsia="宋体" w:cs="AdobeSongStd-Light"/>
          <w:szCs w:val="21"/>
        </w:rPr>
        <w:t>，</w:t>
      </w:r>
      <w:r>
        <w:rPr>
          <w:rFonts w:hint="eastAsia" w:ascii="宋体" w:hAnsi="宋体" w:eastAsia="宋体" w:cs="AdobeSongStd-Light"/>
          <w:szCs w:val="21"/>
        </w:rPr>
        <w:t>是资源无偿使用时期。这一阶段</w:t>
      </w:r>
      <w:r>
        <w:rPr>
          <w:rFonts w:ascii="宋体" w:hAnsi="宋体" w:eastAsia="宋体" w:cs="AdobeSongStd-Light"/>
          <w:szCs w:val="21"/>
        </w:rPr>
        <w:t>，</w:t>
      </w:r>
      <w:r>
        <w:rPr>
          <w:rFonts w:hint="eastAsia" w:ascii="宋体" w:hAnsi="宋体" w:eastAsia="宋体" w:cs="AdobeSongStd-Light"/>
          <w:szCs w:val="21"/>
        </w:rPr>
        <w:t>公有制为基础确立起的自然资源全民所有的形式</w:t>
      </w:r>
      <w:r>
        <w:rPr>
          <w:rFonts w:ascii="宋体" w:hAnsi="宋体" w:eastAsia="宋体" w:cs="AdobeSongStd-Light"/>
          <w:szCs w:val="21"/>
        </w:rPr>
        <w:t>，</w:t>
      </w:r>
      <w:r>
        <w:rPr>
          <w:rFonts w:hint="eastAsia" w:ascii="宋体" w:hAnsi="宋体" w:eastAsia="宋体" w:cs="AdobeSongStd-Light"/>
          <w:szCs w:val="21"/>
        </w:rPr>
        <w:t>计划经济体制的管理方式</w:t>
      </w:r>
      <w:r>
        <w:rPr>
          <w:rFonts w:ascii="宋体" w:hAnsi="宋体" w:eastAsia="宋体" w:cs="AdobeSongStd-Light"/>
          <w:szCs w:val="21"/>
        </w:rPr>
        <w:t>，</w:t>
      </w:r>
      <w:r>
        <w:rPr>
          <w:rFonts w:hint="eastAsia" w:ascii="宋体" w:hAnsi="宋体" w:eastAsia="宋体" w:cs="AdobeSongStd-Light"/>
          <w:szCs w:val="21"/>
        </w:rPr>
        <w:t>决定了国家可以无偿占有和使用各种资源</w:t>
      </w:r>
      <w:r>
        <w:rPr>
          <w:rFonts w:ascii="宋体" w:hAnsi="宋体" w:eastAsia="宋体" w:cs="AdobeSongStd-Light"/>
          <w:szCs w:val="21"/>
        </w:rPr>
        <w:t>，</w:t>
      </w:r>
      <w:r>
        <w:rPr>
          <w:rFonts w:hint="eastAsia" w:ascii="宋体" w:hAnsi="宋体" w:eastAsia="宋体" w:cs="AdobeSongStd-Light"/>
          <w:szCs w:val="21"/>
        </w:rPr>
        <w:t>可以无偿拨付给企业和组织</w:t>
      </w:r>
      <w:r>
        <w:rPr>
          <w:rFonts w:ascii="宋体" w:hAnsi="宋体" w:eastAsia="宋体" w:cs="AdobeSongStd-Light"/>
          <w:szCs w:val="21"/>
        </w:rPr>
        <w:t>，</w:t>
      </w:r>
      <w:r>
        <w:rPr>
          <w:rFonts w:hint="eastAsia" w:ascii="宋体" w:hAnsi="宋体" w:eastAsia="宋体" w:cs="AdobeSongStd-Light"/>
          <w:szCs w:val="21"/>
        </w:rPr>
        <w:t>因而生产中没有资源成本意识</w:t>
      </w:r>
      <w:r>
        <w:rPr>
          <w:rFonts w:ascii="宋体" w:hAnsi="宋体" w:eastAsia="宋体" w:cs="AdobeSongStd-Light"/>
          <w:szCs w:val="21"/>
        </w:rPr>
        <w:t>，</w:t>
      </w:r>
      <w:r>
        <w:rPr>
          <w:rFonts w:hint="eastAsia" w:ascii="宋体" w:hAnsi="宋体" w:eastAsia="宋体" w:cs="AdobeSongStd-Light"/>
          <w:szCs w:val="21"/>
        </w:rPr>
        <w:t>存在资源的过度开发和浪费现象。尽管在资源保护方面也制定和颁布了一些法律法规</w:t>
      </w:r>
      <w:r>
        <w:rPr>
          <w:rFonts w:ascii="宋体" w:hAnsi="宋体" w:eastAsia="宋体" w:cs="AdobeSongStd-Light"/>
          <w:szCs w:val="21"/>
        </w:rPr>
        <w:t>，</w:t>
      </w:r>
      <w:r>
        <w:rPr>
          <w:rFonts w:hint="eastAsia" w:ascii="宋体" w:hAnsi="宋体" w:eastAsia="宋体" w:cs="AdobeSongStd-Light"/>
          <w:szCs w:val="21"/>
        </w:rPr>
        <w:t>如</w:t>
      </w:r>
      <w:r>
        <w:rPr>
          <w:rFonts w:ascii="宋体" w:hAnsi="宋体" w:eastAsia="宋体" w:cs="AdobeSongStd-Light"/>
          <w:szCs w:val="21"/>
        </w:rPr>
        <w:t>1950</w:t>
      </w:r>
      <w:r>
        <w:rPr>
          <w:rFonts w:hint="eastAsia" w:ascii="宋体" w:hAnsi="宋体" w:eastAsia="宋体" w:cs="AdobeSongStd-Light"/>
          <w:szCs w:val="21"/>
        </w:rPr>
        <w:t>的《矿业资源保护条例》</w:t>
      </w:r>
      <w:r>
        <w:rPr>
          <w:rFonts w:ascii="宋体" w:hAnsi="宋体" w:eastAsia="宋体" w:cs="AdobeSongStd-Light"/>
          <w:szCs w:val="21"/>
        </w:rPr>
        <w:t>，1953</w:t>
      </w:r>
      <w:r>
        <w:rPr>
          <w:rFonts w:hint="eastAsia" w:ascii="宋体" w:hAnsi="宋体" w:eastAsia="宋体" w:cs="AdobeSongStd-Light"/>
          <w:szCs w:val="21"/>
        </w:rPr>
        <w:t>年的《国家建设征用土地办法》</w:t>
      </w:r>
      <w:r>
        <w:rPr>
          <w:rFonts w:ascii="宋体" w:hAnsi="宋体" w:eastAsia="宋体" w:cs="AdobeSongStd-Light"/>
          <w:szCs w:val="21"/>
        </w:rPr>
        <w:t>，1957</w:t>
      </w:r>
      <w:r>
        <w:rPr>
          <w:rFonts w:hint="eastAsia" w:ascii="宋体" w:hAnsi="宋体" w:eastAsia="宋体" w:cs="AdobeSongStd-Light"/>
          <w:szCs w:val="21"/>
        </w:rPr>
        <w:t>年的《水土保持暂行纲要》</w:t>
      </w:r>
      <w:r>
        <w:rPr>
          <w:rFonts w:ascii="宋体" w:hAnsi="宋体" w:eastAsia="宋体" w:cs="AdobeSongStd-Light"/>
          <w:szCs w:val="21"/>
        </w:rPr>
        <w:t>，1960</w:t>
      </w:r>
      <w:r>
        <w:rPr>
          <w:rFonts w:hint="eastAsia" w:ascii="宋体" w:hAnsi="宋体" w:eastAsia="宋体" w:cs="AdobeSongStd-Light"/>
          <w:szCs w:val="21"/>
        </w:rPr>
        <w:t>年有关保持水土绿化荒山的《农业发展纲要》</w:t>
      </w:r>
      <w:r>
        <w:rPr>
          <w:rFonts w:ascii="宋体" w:hAnsi="宋体" w:eastAsia="宋体" w:cs="AdobeSongStd-Light"/>
          <w:szCs w:val="21"/>
        </w:rPr>
        <w:t>，1963</w:t>
      </w:r>
      <w:r>
        <w:rPr>
          <w:rFonts w:hint="eastAsia" w:ascii="宋体" w:hAnsi="宋体" w:eastAsia="宋体" w:cs="AdobeSongStd-Light"/>
          <w:szCs w:val="21"/>
        </w:rPr>
        <w:t>年的《森林保护条例》等</w:t>
      </w:r>
      <w:r>
        <w:rPr>
          <w:rFonts w:ascii="宋体" w:hAnsi="宋体" w:eastAsia="宋体" w:cs="AdobeSongStd-Light"/>
          <w:szCs w:val="21"/>
        </w:rPr>
        <w:t>，</w:t>
      </w:r>
      <w:r>
        <w:rPr>
          <w:rFonts w:hint="eastAsia" w:ascii="宋体" w:hAnsi="宋体" w:eastAsia="宋体" w:cs="AdobeSongStd-Light"/>
          <w:szCs w:val="21"/>
        </w:rPr>
        <w:t>但总体上人们强调“征服和改造自然的力量”</w:t>
      </w:r>
      <w:r>
        <w:rPr>
          <w:rFonts w:ascii="宋体" w:hAnsi="宋体" w:eastAsia="宋体" w:cs="AdobeSongStd-Light"/>
          <w:szCs w:val="21"/>
        </w:rPr>
        <w:t>，</w:t>
      </w:r>
      <w:r>
        <w:rPr>
          <w:rFonts w:hint="eastAsia" w:ascii="宋体" w:hAnsi="宋体" w:eastAsia="宋体" w:cs="AdobeSongStd-Light"/>
          <w:szCs w:val="21"/>
        </w:rPr>
        <w:t>“陶醉于对自然界的胜利之中”</w:t>
      </w:r>
      <w:r>
        <w:rPr>
          <w:rFonts w:ascii="宋体" w:hAnsi="宋体" w:eastAsia="宋体" w:cs="AdobeSongStd-Light"/>
          <w:szCs w:val="21"/>
          <w:vertAlign w:val="superscript"/>
        </w:rPr>
        <w:footnoteReference w:id="374"/>
      </w:r>
      <w:r>
        <w:rPr>
          <w:rFonts w:ascii="宋体" w:hAnsi="宋体" w:eastAsia="宋体" w:cs="AdobeSongStd-Light"/>
          <w:szCs w:val="21"/>
        </w:rPr>
        <w:t>，</w:t>
      </w:r>
      <w:r>
        <w:rPr>
          <w:rFonts w:hint="eastAsia" w:ascii="宋体" w:hAnsi="宋体" w:eastAsia="宋体" w:cs="AdobeSongStd-Light"/>
          <w:szCs w:val="21"/>
        </w:rPr>
        <w:t>谈不上对自然的敬畏</w:t>
      </w:r>
      <w:r>
        <w:rPr>
          <w:rFonts w:ascii="宋体" w:hAnsi="宋体" w:eastAsia="宋体" w:cs="AdobeSongStd-Light"/>
          <w:szCs w:val="21"/>
        </w:rPr>
        <w:t>，</w:t>
      </w:r>
      <w:r>
        <w:rPr>
          <w:rFonts w:hint="eastAsia" w:ascii="宋体" w:hAnsi="宋体" w:eastAsia="宋体" w:cs="AdobeSongStd-Light"/>
          <w:szCs w:val="21"/>
        </w:rPr>
        <w:t>缺乏对资源的有价性、有限性、系统性以及人类活动对资源环境的影响等认知</w:t>
      </w:r>
      <w:r>
        <w:rPr>
          <w:rFonts w:ascii="宋体" w:hAnsi="宋体" w:eastAsia="宋体" w:cs="AdobeSongStd-Light"/>
          <w:szCs w:val="21"/>
        </w:rPr>
        <w:t>，</w:t>
      </w:r>
      <w:r>
        <w:rPr>
          <w:rFonts w:hint="eastAsia" w:ascii="宋体" w:hAnsi="宋体" w:eastAsia="宋体" w:cs="AdobeSongStd-Light"/>
          <w:szCs w:val="21"/>
        </w:rPr>
        <w:t>资源保护意识淡漠。</w:t>
      </w:r>
      <w:r>
        <w:rPr>
          <w:rFonts w:ascii="宋体" w:hAnsi="宋体" w:eastAsia="宋体" w:cs="AdobeSongStd-Light"/>
          <w:szCs w:val="21"/>
        </w:rPr>
        <w:t>70</w:t>
      </w:r>
      <w:r>
        <w:rPr>
          <w:rFonts w:hint="eastAsia" w:ascii="宋体" w:hAnsi="宋体" w:eastAsia="宋体" w:cs="AdobeSongStd-Light"/>
          <w:szCs w:val="21"/>
        </w:rPr>
        <w:t>年代初</w:t>
      </w:r>
      <w:r>
        <w:rPr>
          <w:rFonts w:ascii="宋体" w:hAnsi="宋体" w:eastAsia="宋体" w:cs="AdobeSongStd-Light"/>
          <w:szCs w:val="21"/>
        </w:rPr>
        <w:t>，</w:t>
      </w:r>
      <w:r>
        <w:rPr>
          <w:rFonts w:hint="eastAsia" w:ascii="宋体" w:hAnsi="宋体" w:eastAsia="宋体" w:cs="AdobeSongStd-Light"/>
          <w:szCs w:val="21"/>
        </w:rPr>
        <w:t>媒体开始关注“公害”问题。该阶段颁布了针对自然资源利用和保护的政策法规</w:t>
      </w:r>
      <w:r>
        <w:rPr>
          <w:rFonts w:ascii="宋体" w:hAnsi="宋体" w:eastAsia="宋体" w:cs="AdobeSongStd-Light"/>
          <w:szCs w:val="21"/>
        </w:rPr>
        <w:t>，</w:t>
      </w:r>
      <w:r>
        <w:rPr>
          <w:rFonts w:hint="eastAsia" w:ascii="宋体" w:hAnsi="宋体" w:eastAsia="宋体" w:cs="AdobeSongStd-Light"/>
          <w:szCs w:val="21"/>
        </w:rPr>
        <w:t>如</w:t>
      </w:r>
      <w:r>
        <w:rPr>
          <w:rFonts w:ascii="宋体" w:hAnsi="宋体" w:eastAsia="宋体" w:cs="AdobeSongStd-Light"/>
          <w:szCs w:val="21"/>
        </w:rPr>
        <w:t>1972</w:t>
      </w:r>
      <w:r>
        <w:rPr>
          <w:rFonts w:hint="eastAsia" w:ascii="宋体" w:hAnsi="宋体" w:eastAsia="宋体" w:cs="AdobeSongStd-Light"/>
          <w:szCs w:val="21"/>
        </w:rPr>
        <w:t>年的育林基金管理办法</w:t>
      </w:r>
      <w:r>
        <w:rPr>
          <w:rFonts w:ascii="宋体" w:hAnsi="宋体" w:eastAsia="宋体" w:cs="AdobeSongStd-Light"/>
          <w:szCs w:val="21"/>
        </w:rPr>
        <w:t>，1973</w:t>
      </w:r>
      <w:r>
        <w:rPr>
          <w:rFonts w:hint="eastAsia" w:ascii="宋体" w:hAnsi="宋体" w:eastAsia="宋体" w:cs="AdobeSongStd-Light"/>
          <w:szCs w:val="21"/>
        </w:rPr>
        <w:t>年的节约用地指示和森林采伐更新规程</w:t>
      </w:r>
      <w:r>
        <w:rPr>
          <w:rFonts w:ascii="宋体" w:hAnsi="宋体" w:eastAsia="宋体" w:cs="AdobeSongStd-Light"/>
          <w:szCs w:val="21"/>
        </w:rPr>
        <w:t>，1975</w:t>
      </w:r>
      <w:r>
        <w:rPr>
          <w:rFonts w:hint="eastAsia" w:ascii="宋体" w:hAnsi="宋体" w:eastAsia="宋体" w:cs="AdobeSongStd-Light"/>
          <w:szCs w:val="21"/>
        </w:rPr>
        <w:t>年的水源保护工作意见和珍贵动物资源保护通知等</w:t>
      </w:r>
      <w:r>
        <w:rPr>
          <w:rFonts w:ascii="宋体" w:hAnsi="宋体" w:eastAsia="宋体" w:cs="AdobeSongStd-Light"/>
          <w:szCs w:val="21"/>
        </w:rPr>
        <w:t>，</w:t>
      </w:r>
      <w:r>
        <w:rPr>
          <w:rFonts w:hint="eastAsia" w:ascii="宋体" w:hAnsi="宋体" w:eastAsia="宋体" w:cs="AdobeSongStd-Light"/>
          <w:szCs w:val="21"/>
        </w:rPr>
        <w:t>在实践中发挥了促进作用</w:t>
      </w:r>
      <w:r>
        <w:rPr>
          <w:rFonts w:ascii="宋体" w:hAnsi="宋体" w:eastAsia="宋体" w:cs="AdobeSongStd-Light"/>
          <w:szCs w:val="21"/>
        </w:rPr>
        <w:t>，</w:t>
      </w:r>
      <w:r>
        <w:rPr>
          <w:rFonts w:hint="eastAsia" w:ascii="宋体" w:hAnsi="宋体" w:eastAsia="宋体" w:cs="AdobeSongStd-Light"/>
          <w:szCs w:val="21"/>
        </w:rPr>
        <w:t>中国现代意义上的资源保护利用工作开始加快。</w:t>
      </w:r>
    </w:p>
    <w:p w14:paraId="3C446711">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szCs w:val="21"/>
        </w:rPr>
        <w:t>2.70</w:t>
      </w:r>
      <w:r>
        <w:rPr>
          <w:rFonts w:hint="eastAsia" w:ascii="宋体" w:hAnsi="宋体" w:eastAsia="宋体" w:cs="AdobeSongStd-Light"/>
          <w:szCs w:val="21"/>
        </w:rPr>
        <w:t>年代末—</w:t>
      </w:r>
      <w:r>
        <w:rPr>
          <w:rFonts w:ascii="宋体" w:hAnsi="宋体" w:eastAsia="宋体" w:cs="AdobeSongStd-Light"/>
          <w:szCs w:val="21"/>
        </w:rPr>
        <w:t>21</w:t>
      </w:r>
      <w:r>
        <w:rPr>
          <w:rFonts w:hint="eastAsia" w:ascii="宋体" w:hAnsi="宋体" w:eastAsia="宋体" w:cs="AdobeSongStd-Light"/>
          <w:szCs w:val="21"/>
        </w:rPr>
        <w:t>世纪初</w:t>
      </w:r>
      <w:r>
        <w:rPr>
          <w:rFonts w:ascii="宋体" w:hAnsi="宋体" w:eastAsia="宋体" w:cs="AdobeSongStd-Light"/>
          <w:szCs w:val="21"/>
        </w:rPr>
        <w:t>，</w:t>
      </w:r>
      <w:r>
        <w:rPr>
          <w:rFonts w:hint="eastAsia" w:ascii="宋体" w:hAnsi="宋体" w:eastAsia="宋体" w:cs="AdobeSongStd-Light"/>
          <w:szCs w:val="21"/>
        </w:rPr>
        <w:t>建立与市场经济相适应的、可持续发展的资源保护和管理体系阶段。</w:t>
      </w:r>
      <w:r>
        <w:rPr>
          <w:rFonts w:ascii="宋体" w:hAnsi="宋体" w:eastAsia="宋体" w:cs="AdobeSongStd-Light"/>
          <w:szCs w:val="21"/>
        </w:rPr>
        <w:t>1978</w:t>
      </w:r>
      <w:r>
        <w:rPr>
          <w:rFonts w:hint="eastAsia" w:ascii="宋体" w:hAnsi="宋体" w:eastAsia="宋体" w:cs="AdobeSongStd-Light"/>
          <w:szCs w:val="21"/>
        </w:rPr>
        <w:t>、</w:t>
      </w:r>
      <w:r>
        <w:rPr>
          <w:rFonts w:ascii="宋体" w:hAnsi="宋体" w:eastAsia="宋体" w:cs="AdobeSongStd-Light"/>
          <w:szCs w:val="21"/>
        </w:rPr>
        <w:t>1982</w:t>
      </w:r>
      <w:r>
        <w:rPr>
          <w:rFonts w:hint="eastAsia" w:ascii="宋体" w:hAnsi="宋体" w:eastAsia="宋体" w:cs="AdobeSongStd-Light"/>
          <w:szCs w:val="21"/>
        </w:rPr>
        <w:t>年两部宪法和</w:t>
      </w:r>
      <w:r>
        <w:rPr>
          <w:rFonts w:ascii="宋体" w:hAnsi="宋体" w:eastAsia="宋体" w:cs="AdobeSongStd-Light"/>
          <w:szCs w:val="21"/>
        </w:rPr>
        <w:t>1979</w:t>
      </w:r>
      <w:r>
        <w:rPr>
          <w:rFonts w:hint="eastAsia" w:ascii="宋体" w:hAnsi="宋体" w:eastAsia="宋体" w:cs="AdobeSongStd-Light"/>
          <w:szCs w:val="21"/>
        </w:rPr>
        <w:t>年中国首部环境保护法的颁布实施</w:t>
      </w:r>
      <w:r>
        <w:rPr>
          <w:rFonts w:ascii="宋体" w:hAnsi="宋体" w:eastAsia="宋体" w:cs="AdobeSongStd-Light"/>
          <w:szCs w:val="21"/>
        </w:rPr>
        <w:t>，</w:t>
      </w:r>
      <w:r>
        <w:rPr>
          <w:rFonts w:hint="eastAsia" w:ascii="宋体" w:hAnsi="宋体" w:eastAsia="宋体" w:cs="AdobeSongStd-Light"/>
          <w:szCs w:val="21"/>
        </w:rPr>
        <w:t>使中国资源管理迈出市场化和法制化的步伐。之后</w:t>
      </w:r>
      <w:r>
        <w:rPr>
          <w:rFonts w:ascii="宋体" w:hAnsi="宋体" w:eastAsia="宋体" w:cs="AdobeSongStd-Light"/>
          <w:szCs w:val="21"/>
        </w:rPr>
        <w:t>，</w:t>
      </w:r>
      <w:r>
        <w:rPr>
          <w:rFonts w:hint="eastAsia" w:ascii="宋体" w:hAnsi="宋体" w:eastAsia="宋体" w:cs="AdobeSongStd-Light"/>
          <w:szCs w:val="21"/>
        </w:rPr>
        <w:t>中国政府制定了关于海洋、文物、森林、草原、土地、矿产、渔业、野生动物、矿产资源、水土等管理和保护法规</w:t>
      </w:r>
      <w:r>
        <w:rPr>
          <w:rFonts w:ascii="宋体" w:hAnsi="宋体" w:eastAsia="宋体" w:cs="AdobeSongStd-Light"/>
          <w:szCs w:val="21"/>
        </w:rPr>
        <w:t>，</w:t>
      </w:r>
      <w:r>
        <w:rPr>
          <w:rFonts w:hint="eastAsia" w:ascii="宋体" w:hAnsi="宋体" w:eastAsia="宋体" w:cs="AdobeSongStd-Light"/>
          <w:szCs w:val="21"/>
        </w:rPr>
        <w:t>《刑法》中还专节设立“破坏环境资源保护罪”等条款</w:t>
      </w:r>
      <w:r>
        <w:rPr>
          <w:rFonts w:ascii="宋体" w:hAnsi="宋体" w:eastAsia="宋体" w:cs="AdobeSongStd-Light"/>
          <w:szCs w:val="21"/>
        </w:rPr>
        <w:t>，</w:t>
      </w:r>
      <w:r>
        <w:rPr>
          <w:rFonts w:hint="eastAsia" w:ascii="宋体" w:hAnsi="宋体" w:eastAsia="宋体" w:cs="AdobeSongStd-Light"/>
          <w:szCs w:val="21"/>
        </w:rPr>
        <w:t>实现了由资源绝对公有、无偿授予到有偿转让的资源产权改革</w:t>
      </w:r>
      <w:r>
        <w:rPr>
          <w:rFonts w:ascii="宋体" w:hAnsi="宋体" w:eastAsia="宋体" w:cs="AdobeSongStd-Light"/>
          <w:szCs w:val="21"/>
        </w:rPr>
        <w:t>，</w:t>
      </w:r>
      <w:r>
        <w:rPr>
          <w:rFonts w:hint="eastAsia" w:ascii="宋体" w:hAnsi="宋体" w:eastAsia="宋体" w:cs="AdobeSongStd-Light"/>
          <w:szCs w:val="21"/>
        </w:rPr>
        <w:t>管理体制上由计划逐步向市场转变。如</w:t>
      </w:r>
      <w:r>
        <w:rPr>
          <w:rFonts w:ascii="宋体" w:hAnsi="宋体" w:eastAsia="宋体" w:cs="AdobeSongStd-Light"/>
          <w:szCs w:val="21"/>
        </w:rPr>
        <w:t>1980</w:t>
      </w:r>
      <w:r>
        <w:rPr>
          <w:rFonts w:hint="eastAsia" w:ascii="宋体" w:hAnsi="宋体" w:eastAsia="宋体" w:cs="AdobeSongStd-Light"/>
          <w:szCs w:val="21"/>
        </w:rPr>
        <w:t>年五届人大三次会议首次提出开征资源税</w:t>
      </w:r>
      <w:r>
        <w:rPr>
          <w:rFonts w:ascii="宋体" w:hAnsi="宋体" w:eastAsia="宋体" w:cs="AdobeSongStd-Light"/>
          <w:szCs w:val="21"/>
        </w:rPr>
        <w:t>， 1984</w:t>
      </w:r>
      <w:r>
        <w:rPr>
          <w:rFonts w:hint="eastAsia" w:ascii="宋体" w:hAnsi="宋体" w:eastAsia="宋体" w:cs="AdobeSongStd-Light"/>
          <w:szCs w:val="21"/>
        </w:rPr>
        <w:t>年发布《资源税条例》正式设立资源税</w:t>
      </w:r>
      <w:r>
        <w:rPr>
          <w:rFonts w:ascii="宋体" w:hAnsi="宋体" w:eastAsia="宋体" w:cs="AdobeSongStd-Light"/>
          <w:szCs w:val="21"/>
        </w:rPr>
        <w:t>，1986</w:t>
      </w:r>
      <w:r>
        <w:rPr>
          <w:rFonts w:hint="eastAsia" w:ascii="宋体" w:hAnsi="宋体" w:eastAsia="宋体" w:cs="AdobeSongStd-Light"/>
          <w:szCs w:val="21"/>
        </w:rPr>
        <w:t>年《矿产资源法》确立“税费并存”的资源开发制度</w:t>
      </w:r>
      <w:r>
        <w:rPr>
          <w:rFonts w:ascii="宋体" w:hAnsi="宋体" w:eastAsia="宋体" w:cs="AdobeSongStd-Light"/>
          <w:szCs w:val="21"/>
        </w:rPr>
        <w:t>，</w:t>
      </w:r>
      <w:r>
        <w:rPr>
          <w:rFonts w:hint="eastAsia" w:ascii="宋体" w:hAnsi="宋体" w:eastAsia="宋体" w:cs="AdobeSongStd-Light"/>
          <w:szCs w:val="21"/>
        </w:rPr>
        <w:t>促进了资源管理体制以市场化和法制化为取向的改革和进步。</w:t>
      </w:r>
      <w:r>
        <w:rPr>
          <w:rFonts w:ascii="宋体" w:hAnsi="宋体" w:eastAsia="宋体" w:cs="AdobeSongStd-Light"/>
          <w:szCs w:val="21"/>
        </w:rPr>
        <w:t>1992</w:t>
      </w:r>
      <w:r>
        <w:rPr>
          <w:rFonts w:hint="eastAsia" w:ascii="宋体" w:hAnsi="宋体" w:eastAsia="宋体" w:cs="AdobeSongStd-Light"/>
          <w:szCs w:val="21"/>
        </w:rPr>
        <w:t>年联合国环发大会</w:t>
      </w:r>
      <w:r>
        <w:rPr>
          <w:rFonts w:ascii="宋体" w:hAnsi="宋体" w:eastAsia="宋体" w:cs="AdobeSongStd-Light"/>
          <w:szCs w:val="21"/>
        </w:rPr>
        <w:t>(UNCED)</w:t>
      </w:r>
      <w:r>
        <w:rPr>
          <w:rFonts w:hint="eastAsia" w:ascii="宋体" w:hAnsi="宋体" w:eastAsia="宋体" w:cs="AdobeSongStd-Light"/>
          <w:szCs w:val="21"/>
        </w:rPr>
        <w:t>的召开和</w:t>
      </w:r>
      <w:r>
        <w:rPr>
          <w:rFonts w:ascii="宋体" w:hAnsi="宋体" w:eastAsia="宋体" w:cs="AdobeSongStd-Light"/>
          <w:szCs w:val="21"/>
        </w:rPr>
        <w:t>1994</w:t>
      </w:r>
      <w:r>
        <w:rPr>
          <w:rFonts w:hint="eastAsia" w:ascii="宋体" w:hAnsi="宋体" w:eastAsia="宋体" w:cs="AdobeSongStd-Light"/>
          <w:szCs w:val="21"/>
        </w:rPr>
        <w:t>《中国</w:t>
      </w:r>
      <w:r>
        <w:rPr>
          <w:rFonts w:ascii="宋体" w:hAnsi="宋体" w:eastAsia="宋体" w:cs="AdobeSongStd-Light"/>
          <w:szCs w:val="21"/>
        </w:rPr>
        <w:t>21</w:t>
      </w:r>
      <w:r>
        <w:rPr>
          <w:rFonts w:hint="eastAsia" w:ascii="宋体" w:hAnsi="宋体" w:eastAsia="宋体" w:cs="AdobeSongStd-Light"/>
          <w:szCs w:val="21"/>
        </w:rPr>
        <w:t>世纪人口、资源与发展白皮书》的发布</w:t>
      </w:r>
      <w:r>
        <w:rPr>
          <w:rFonts w:ascii="宋体" w:hAnsi="宋体" w:eastAsia="宋体" w:cs="AdobeSongStd-Light"/>
          <w:szCs w:val="21"/>
        </w:rPr>
        <w:t>，</w:t>
      </w:r>
      <w:r>
        <w:rPr>
          <w:rFonts w:hint="eastAsia" w:ascii="宋体" w:hAnsi="宋体" w:eastAsia="宋体" w:cs="AdobeSongStd-Light"/>
          <w:szCs w:val="21"/>
        </w:rPr>
        <w:t>促使可持续发展思想成为指导中国资源管理的核心思想。</w:t>
      </w:r>
      <w:r>
        <w:rPr>
          <w:rFonts w:ascii="宋体" w:hAnsi="宋体" w:eastAsia="宋体" w:cs="AdobeSongStd-Light"/>
          <w:szCs w:val="21"/>
        </w:rPr>
        <w:t>1996</w:t>
      </w:r>
      <w:r>
        <w:rPr>
          <w:rFonts w:hint="eastAsia" w:ascii="宋体" w:hAnsi="宋体" w:eastAsia="宋体" w:cs="AdobeSongStd-Light"/>
          <w:szCs w:val="21"/>
        </w:rPr>
        <w:t>年修正的《矿产资源法》</w:t>
      </w:r>
      <w:r>
        <w:rPr>
          <w:rFonts w:ascii="宋体" w:hAnsi="宋体" w:eastAsia="宋体" w:cs="AdobeSongStd-Light"/>
          <w:szCs w:val="21"/>
        </w:rPr>
        <w:t>，</w:t>
      </w:r>
      <w:r>
        <w:rPr>
          <w:rFonts w:hint="eastAsia" w:ascii="宋体" w:hAnsi="宋体" w:eastAsia="宋体" w:cs="AdobeSongStd-Light"/>
          <w:szCs w:val="21"/>
        </w:rPr>
        <w:t>确认了“有偿取得”和“依法转让”制度</w:t>
      </w:r>
      <w:r>
        <w:rPr>
          <w:rFonts w:ascii="宋体" w:hAnsi="宋体" w:eastAsia="宋体" w:cs="AdobeSongStd-Light"/>
          <w:szCs w:val="21"/>
        </w:rPr>
        <w:t>，</w:t>
      </w:r>
      <w:r>
        <w:rPr>
          <w:rFonts w:hint="eastAsia" w:ascii="宋体" w:hAnsi="宋体" w:eastAsia="宋体" w:cs="AdobeSongStd-Light"/>
          <w:szCs w:val="21"/>
        </w:rPr>
        <w:t>标志着资源产权进入“可交易”阶段。世纪之交中央连续召开了五次资源环境工作座谈会</w:t>
      </w:r>
      <w:r>
        <w:rPr>
          <w:rFonts w:ascii="宋体" w:hAnsi="宋体" w:eastAsia="宋体" w:cs="AdobeSongStd-Light"/>
          <w:szCs w:val="21"/>
        </w:rPr>
        <w:t>，</w:t>
      </w:r>
      <w:r>
        <w:rPr>
          <w:rFonts w:hint="eastAsia" w:ascii="宋体" w:hAnsi="宋体" w:eastAsia="宋体" w:cs="AdobeSongStd-Light"/>
          <w:szCs w:val="21"/>
        </w:rPr>
        <w:t>其间</w:t>
      </w:r>
      <w:r>
        <w:rPr>
          <w:rFonts w:ascii="宋体" w:hAnsi="宋体" w:eastAsia="宋体" w:cs="AdobeSongStd-Light"/>
          <w:szCs w:val="21"/>
        </w:rPr>
        <w:t>，</w:t>
      </w:r>
      <w:r>
        <w:rPr>
          <w:rFonts w:hint="eastAsia" w:ascii="宋体" w:hAnsi="宋体" w:eastAsia="宋体" w:cs="AdobeSongStd-Light"/>
          <w:szCs w:val="21"/>
        </w:rPr>
        <w:t>制定或修订了有关土地、海域使用、草原、水资源、农业、公路、种子等管理法规</w:t>
      </w:r>
      <w:r>
        <w:rPr>
          <w:rFonts w:ascii="宋体" w:hAnsi="宋体" w:eastAsia="宋体" w:cs="AdobeSongStd-Light"/>
          <w:szCs w:val="21"/>
        </w:rPr>
        <w:t>，</w:t>
      </w:r>
      <w:r>
        <w:rPr>
          <w:rFonts w:hint="eastAsia" w:ascii="宋体" w:hAnsi="宋体" w:eastAsia="宋体" w:cs="AdobeSongStd-Light"/>
          <w:szCs w:val="21"/>
        </w:rPr>
        <w:t>进一步明确了资源的占有、使用、开发利用方式</w:t>
      </w:r>
      <w:r>
        <w:rPr>
          <w:rFonts w:ascii="宋体" w:hAnsi="宋体" w:eastAsia="宋体" w:cs="AdobeSongStd-Light"/>
          <w:szCs w:val="21"/>
        </w:rPr>
        <w:t>，</w:t>
      </w:r>
      <w:r>
        <w:rPr>
          <w:rFonts w:hint="eastAsia" w:ascii="宋体" w:hAnsi="宋体" w:eastAsia="宋体" w:cs="AdobeSongStd-Light"/>
          <w:szCs w:val="21"/>
        </w:rPr>
        <w:t>并确立了完全有偿开发的第二代资源税制</w:t>
      </w:r>
      <w:r>
        <w:rPr>
          <w:rFonts w:ascii="宋体" w:hAnsi="宋体" w:eastAsia="宋体" w:cs="AdobeSongStd-Light"/>
          <w:szCs w:val="21"/>
        </w:rPr>
        <w:t>，</w:t>
      </w:r>
      <w:r>
        <w:rPr>
          <w:rFonts w:hint="eastAsia" w:ascii="宋体" w:hAnsi="宋体" w:eastAsia="宋体" w:cs="AdobeSongStd-Light"/>
          <w:szCs w:val="21"/>
        </w:rPr>
        <w:t>资源管理进一步市场化</w:t>
      </w:r>
      <w:r>
        <w:rPr>
          <w:rFonts w:ascii="宋体" w:hAnsi="宋体" w:eastAsia="宋体" w:cs="AdobeSongStd-Light"/>
          <w:szCs w:val="21"/>
        </w:rPr>
        <w:t>，</w:t>
      </w:r>
      <w:r>
        <w:rPr>
          <w:rFonts w:hint="eastAsia" w:ascii="宋体" w:hAnsi="宋体" w:eastAsia="宋体" w:cs="AdobeSongStd-Light"/>
          <w:szCs w:val="21"/>
        </w:rPr>
        <w:t>资源管理法律法规渐趋完善。</w:t>
      </w:r>
    </w:p>
    <w:p w14:paraId="3BC2004D">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szCs w:val="21"/>
        </w:rPr>
        <w:t>3.2004</w:t>
      </w:r>
      <w:r>
        <w:rPr>
          <w:rFonts w:hint="eastAsia" w:ascii="宋体" w:hAnsi="宋体" w:eastAsia="宋体" w:cs="AdobeSongStd-Light"/>
          <w:szCs w:val="21"/>
        </w:rPr>
        <w:t>年至今</w:t>
      </w:r>
      <w:r>
        <w:rPr>
          <w:rFonts w:ascii="宋体" w:hAnsi="宋体" w:eastAsia="宋体" w:cs="AdobeSongStd-Light"/>
          <w:szCs w:val="21"/>
        </w:rPr>
        <w:t>，</w:t>
      </w:r>
      <w:r>
        <w:rPr>
          <w:rFonts w:hint="eastAsia" w:ascii="宋体" w:hAnsi="宋体" w:eastAsia="宋体" w:cs="AdobeSongStd-Light"/>
          <w:szCs w:val="21"/>
        </w:rPr>
        <w:t>形成以科学发展观为指导的资源保护和管理体系阶段。</w:t>
      </w:r>
      <w:r>
        <w:rPr>
          <w:rFonts w:ascii="宋体" w:hAnsi="宋体" w:eastAsia="宋体" w:cs="AdobeSongStd-Light"/>
          <w:szCs w:val="21"/>
        </w:rPr>
        <w:t>2004</w:t>
      </w:r>
      <w:r>
        <w:rPr>
          <w:rFonts w:hint="eastAsia" w:ascii="宋体" w:hAnsi="宋体" w:eastAsia="宋体" w:cs="AdobeSongStd-Light"/>
          <w:szCs w:val="21"/>
        </w:rPr>
        <w:t>年</w:t>
      </w:r>
      <w:r>
        <w:rPr>
          <w:rFonts w:ascii="宋体" w:hAnsi="宋体" w:eastAsia="宋体" w:cs="AdobeSongStd-Light"/>
          <w:szCs w:val="21"/>
        </w:rPr>
        <w:t>3</w:t>
      </w:r>
      <w:r>
        <w:rPr>
          <w:rFonts w:hint="eastAsia" w:ascii="宋体" w:hAnsi="宋体" w:eastAsia="宋体" w:cs="AdobeSongStd-Light"/>
          <w:szCs w:val="21"/>
        </w:rPr>
        <w:t>月</w:t>
      </w:r>
      <w:r>
        <w:rPr>
          <w:rFonts w:ascii="宋体" w:hAnsi="宋体" w:eastAsia="宋体" w:cs="AdobeSongStd-Light"/>
          <w:szCs w:val="21"/>
        </w:rPr>
        <w:t>，</w:t>
      </w:r>
      <w:r>
        <w:rPr>
          <w:rFonts w:hint="eastAsia" w:ascii="宋体" w:hAnsi="宋体" w:eastAsia="宋体" w:cs="AdobeSongStd-Light"/>
          <w:szCs w:val="21"/>
        </w:rPr>
        <w:t>胡锦涛等中央领导在中央人口资源环境座谈会上指出</w:t>
      </w:r>
      <w:r>
        <w:rPr>
          <w:rFonts w:ascii="宋体" w:hAnsi="宋体" w:eastAsia="宋体" w:cs="AdobeSongStd-Light"/>
          <w:szCs w:val="21"/>
        </w:rPr>
        <w:t>，</w:t>
      </w:r>
      <w:r>
        <w:rPr>
          <w:rFonts w:hint="eastAsia" w:ascii="宋体" w:hAnsi="宋体" w:eastAsia="宋体" w:cs="AdobeSongStd-Light"/>
          <w:szCs w:val="21"/>
        </w:rPr>
        <w:t>要以科学发展观为指导</w:t>
      </w:r>
      <w:r>
        <w:rPr>
          <w:rFonts w:ascii="宋体" w:hAnsi="宋体" w:eastAsia="宋体" w:cs="AdobeSongStd-Light"/>
          <w:szCs w:val="21"/>
        </w:rPr>
        <w:t>，</w:t>
      </w:r>
      <w:r>
        <w:rPr>
          <w:rFonts w:hint="eastAsia" w:ascii="宋体" w:hAnsi="宋体" w:eastAsia="宋体" w:cs="AdobeSongStd-Light"/>
          <w:szCs w:val="21"/>
        </w:rPr>
        <w:t>实现经济发展和人口资源环境协调发展</w:t>
      </w:r>
      <w:r>
        <w:rPr>
          <w:rFonts w:ascii="宋体" w:hAnsi="宋体" w:eastAsia="宋体" w:cs="AdobeSongStd-Light"/>
          <w:szCs w:val="21"/>
        </w:rPr>
        <w:t>；</w:t>
      </w:r>
      <w:r>
        <w:rPr>
          <w:rFonts w:hint="eastAsia" w:ascii="宋体" w:hAnsi="宋体" w:eastAsia="宋体" w:cs="AdobeSongStd-Light"/>
          <w:szCs w:val="21"/>
        </w:rPr>
        <w:t>提出必须强化中国人口多、人均资源少的国情意识</w:t>
      </w:r>
      <w:r>
        <w:rPr>
          <w:rFonts w:ascii="宋体" w:hAnsi="宋体" w:eastAsia="宋体" w:cs="AdobeSongStd-Light"/>
          <w:szCs w:val="21"/>
        </w:rPr>
        <w:t>，</w:t>
      </w:r>
      <w:r>
        <w:rPr>
          <w:rFonts w:hint="eastAsia" w:ascii="宋体" w:hAnsi="宋体" w:eastAsia="宋体" w:cs="AdobeSongStd-Light"/>
          <w:szCs w:val="21"/>
        </w:rPr>
        <w:t>强化经济、社会和环境效益三统一的效益意识</w:t>
      </w:r>
      <w:r>
        <w:rPr>
          <w:rFonts w:ascii="宋体" w:hAnsi="宋体" w:eastAsia="宋体" w:cs="AdobeSongStd-Light"/>
          <w:szCs w:val="21"/>
        </w:rPr>
        <w:t>，</w:t>
      </w:r>
      <w:r>
        <w:rPr>
          <w:rFonts w:hint="eastAsia" w:ascii="宋体" w:hAnsi="宋体" w:eastAsia="宋体" w:cs="AdobeSongStd-Light"/>
          <w:szCs w:val="21"/>
        </w:rPr>
        <w:t>强化节约资源、保护生态和资源循环利用的可持续发展意识</w:t>
      </w:r>
      <w:r>
        <w:rPr>
          <w:rFonts w:ascii="宋体" w:hAnsi="宋体" w:eastAsia="宋体" w:cs="AdobeSongStd-Light"/>
          <w:szCs w:val="21"/>
        </w:rPr>
        <w:t>，</w:t>
      </w:r>
      <w:r>
        <w:rPr>
          <w:rFonts w:hint="eastAsia" w:ascii="宋体" w:hAnsi="宋体" w:eastAsia="宋体" w:cs="AdobeSongStd-Light"/>
          <w:szCs w:val="21"/>
        </w:rPr>
        <w:t>指出要进一步增强做好人口资源环境工作的责任感和紧迫感。特别是在</w:t>
      </w:r>
      <w:r>
        <w:rPr>
          <w:rFonts w:ascii="宋体" w:hAnsi="宋体" w:eastAsia="宋体" w:cs="AdobeSongStd-Light"/>
          <w:szCs w:val="21"/>
        </w:rPr>
        <w:t>2005</w:t>
      </w:r>
      <w:r>
        <w:rPr>
          <w:rFonts w:hint="eastAsia" w:ascii="宋体" w:hAnsi="宋体" w:eastAsia="宋体" w:cs="AdobeSongStd-Light"/>
          <w:szCs w:val="21"/>
        </w:rPr>
        <w:t>年的座谈会上</w:t>
      </w:r>
      <w:r>
        <w:rPr>
          <w:rFonts w:ascii="宋体" w:hAnsi="宋体" w:eastAsia="宋体" w:cs="AdobeSongStd-Light"/>
          <w:szCs w:val="21"/>
        </w:rPr>
        <w:t>，</w:t>
      </w:r>
      <w:r>
        <w:rPr>
          <w:rFonts w:hint="eastAsia" w:ascii="宋体" w:hAnsi="宋体" w:eastAsia="宋体" w:cs="AdobeSongStd-Light"/>
          <w:szCs w:val="21"/>
        </w:rPr>
        <w:t>胡锦涛总书记提出了“建立资源节约型、环境友好型社会”的目标</w:t>
      </w:r>
      <w:r>
        <w:rPr>
          <w:rFonts w:ascii="宋体" w:hAnsi="宋体" w:eastAsia="宋体" w:cs="AdobeSongStd-Light"/>
          <w:szCs w:val="21"/>
        </w:rPr>
        <w:t>，</w:t>
      </w:r>
      <w:r>
        <w:rPr>
          <w:rFonts w:hint="eastAsia" w:ascii="宋体" w:hAnsi="宋体" w:eastAsia="宋体" w:cs="AdobeSongStd-Light"/>
          <w:szCs w:val="21"/>
        </w:rPr>
        <w:t>强调要使经济增长建立在提高人口素质、高效利用资源、减少环境污染、注重质量效益的基础上。为此</w:t>
      </w:r>
      <w:r>
        <w:rPr>
          <w:rFonts w:ascii="宋体" w:hAnsi="宋体" w:eastAsia="宋体" w:cs="AdobeSongStd-Light"/>
          <w:szCs w:val="21"/>
        </w:rPr>
        <w:t>，</w:t>
      </w:r>
      <w:r>
        <w:rPr>
          <w:rFonts w:hint="eastAsia" w:ascii="宋体" w:hAnsi="宋体" w:eastAsia="宋体" w:cs="AdobeSongStd-Light"/>
          <w:szCs w:val="21"/>
        </w:rPr>
        <w:t>中国政府作出了巨大的努力</w:t>
      </w:r>
      <w:r>
        <w:rPr>
          <w:rFonts w:ascii="宋体" w:hAnsi="宋体" w:eastAsia="宋体" w:cs="AdobeSongStd-Light"/>
          <w:szCs w:val="21"/>
        </w:rPr>
        <w:t>，</w:t>
      </w:r>
      <w:r>
        <w:rPr>
          <w:rFonts w:hint="eastAsia" w:ascii="宋体" w:hAnsi="宋体" w:eastAsia="宋体" w:cs="AdobeSongStd-Light"/>
          <w:szCs w:val="21"/>
        </w:rPr>
        <w:t>节约和保护资源也上升为基本国策。这一阶段</w:t>
      </w:r>
      <w:r>
        <w:rPr>
          <w:rFonts w:ascii="宋体" w:hAnsi="宋体" w:eastAsia="宋体" w:cs="AdobeSongStd-Light"/>
          <w:szCs w:val="21"/>
        </w:rPr>
        <w:t>，</w:t>
      </w:r>
      <w:r>
        <w:rPr>
          <w:rFonts w:hint="eastAsia" w:ascii="宋体" w:hAnsi="宋体" w:eastAsia="宋体" w:cs="AdobeSongStd-Light"/>
          <w:szCs w:val="21"/>
        </w:rPr>
        <w:t>科学发展观和建设资源节约型社会的思想深入人心</w:t>
      </w:r>
      <w:r>
        <w:rPr>
          <w:rFonts w:ascii="宋体" w:hAnsi="宋体" w:eastAsia="宋体" w:cs="AdobeSongStd-Light"/>
          <w:szCs w:val="21"/>
        </w:rPr>
        <w:t>，</w:t>
      </w:r>
      <w:r>
        <w:rPr>
          <w:rFonts w:hint="eastAsia" w:ascii="宋体" w:hAnsi="宋体" w:eastAsia="宋体" w:cs="AdobeSongStd-Light"/>
          <w:szCs w:val="21"/>
        </w:rPr>
        <w:t>新的税费改革突飞猛进</w:t>
      </w:r>
      <w:r>
        <w:rPr>
          <w:rFonts w:ascii="宋体" w:hAnsi="宋体" w:eastAsia="宋体" w:cs="AdobeSongStd-Light"/>
          <w:szCs w:val="21"/>
        </w:rPr>
        <w:t>，</w:t>
      </w:r>
      <w:r>
        <w:rPr>
          <w:rFonts w:hint="eastAsia" w:ascii="宋体" w:hAnsi="宋体" w:eastAsia="宋体" w:cs="AdobeSongStd-Light"/>
          <w:szCs w:val="21"/>
        </w:rPr>
        <w:t>资源保护和管理日渐实现科学化。</w:t>
      </w:r>
    </w:p>
    <w:p w14:paraId="69F70578">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w:t>
      </w:r>
      <w:r>
        <w:rPr>
          <w:rFonts w:hint="eastAsia" w:ascii="宋体" w:hAnsi="宋体" w:eastAsia="宋体" w:cs="AdobeSongStd-Light"/>
          <w:b/>
          <w:szCs w:val="21"/>
        </w:rPr>
        <w:t>三</w:t>
      </w:r>
      <w:r>
        <w:rPr>
          <w:rFonts w:ascii="宋体" w:hAnsi="宋体" w:eastAsia="宋体" w:cs="AdobeSongStd-Light"/>
          <w:b/>
          <w:szCs w:val="21"/>
        </w:rPr>
        <w:t>)</w:t>
      </w:r>
      <w:r>
        <w:rPr>
          <w:rFonts w:hint="eastAsia" w:ascii="宋体" w:hAnsi="宋体" w:eastAsia="宋体" w:cs="AdobeSongStd-Light"/>
          <w:b/>
          <w:szCs w:val="21"/>
        </w:rPr>
        <w:t>环境</w:t>
      </w:r>
    </w:p>
    <w:p w14:paraId="43D66297">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szCs w:val="21"/>
        </w:rPr>
        <w:t>1.</w:t>
      </w:r>
      <w:r>
        <w:rPr>
          <w:rFonts w:hint="eastAsia" w:ascii="宋体" w:hAnsi="宋体" w:eastAsia="宋体" w:cs="AdobeSongStd-Light"/>
          <w:szCs w:val="21"/>
        </w:rPr>
        <w:t>改革前</w:t>
      </w:r>
      <w:r>
        <w:rPr>
          <w:rFonts w:ascii="宋体" w:hAnsi="宋体" w:eastAsia="宋体" w:cs="AdobeSongStd-Light"/>
          <w:szCs w:val="21"/>
        </w:rPr>
        <w:t>30</w:t>
      </w:r>
      <w:r>
        <w:rPr>
          <w:rFonts w:hint="eastAsia" w:ascii="宋体" w:hAnsi="宋体" w:eastAsia="宋体" w:cs="AdobeSongStd-Light"/>
          <w:szCs w:val="21"/>
        </w:rPr>
        <w:t>年</w:t>
      </w:r>
      <w:r>
        <w:rPr>
          <w:rFonts w:ascii="宋体" w:hAnsi="宋体" w:eastAsia="宋体" w:cs="AdobeSongStd-Light"/>
          <w:szCs w:val="21"/>
        </w:rPr>
        <w:t>，</w:t>
      </w:r>
      <w:r>
        <w:rPr>
          <w:rFonts w:hint="eastAsia" w:ascii="宋体" w:hAnsi="宋体" w:eastAsia="宋体" w:cs="AdobeSongStd-Light"/>
          <w:szCs w:val="21"/>
        </w:rPr>
        <w:t>建设带来环境破坏和环境保护工作起步阶段。</w:t>
      </w:r>
      <w:r>
        <w:rPr>
          <w:rFonts w:ascii="宋体" w:hAnsi="宋体" w:eastAsia="宋体" w:cs="AdobeSongStd-Light"/>
          <w:szCs w:val="21"/>
        </w:rPr>
        <w:t>20</w:t>
      </w:r>
      <w:r>
        <w:rPr>
          <w:rFonts w:hint="eastAsia" w:ascii="宋体" w:hAnsi="宋体" w:eastAsia="宋体" w:cs="AdobeSongStd-Light"/>
          <w:szCs w:val="21"/>
        </w:rPr>
        <w:t>世纪</w:t>
      </w:r>
      <w:r>
        <w:rPr>
          <w:rFonts w:ascii="宋体" w:hAnsi="宋体" w:eastAsia="宋体" w:cs="AdobeSongStd-Light"/>
          <w:szCs w:val="21"/>
        </w:rPr>
        <w:t>50</w:t>
      </w:r>
      <w:r>
        <w:rPr>
          <w:rFonts w:hint="eastAsia" w:ascii="宋体" w:hAnsi="宋体" w:eastAsia="宋体" w:cs="AdobeSongStd-Light"/>
          <w:szCs w:val="21"/>
        </w:rPr>
        <w:t>-</w:t>
      </w:r>
      <w:r>
        <w:rPr>
          <w:rFonts w:ascii="宋体" w:hAnsi="宋体" w:eastAsia="宋体" w:cs="AdobeSongStd-Light"/>
          <w:szCs w:val="21"/>
        </w:rPr>
        <w:t>60</w:t>
      </w:r>
      <w:r>
        <w:rPr>
          <w:rFonts w:hint="eastAsia" w:ascii="宋体" w:hAnsi="宋体" w:eastAsia="宋体" w:cs="AdobeSongStd-Light"/>
          <w:szCs w:val="21"/>
        </w:rPr>
        <w:t>年代</w:t>
      </w:r>
      <w:r>
        <w:rPr>
          <w:rFonts w:ascii="宋体" w:hAnsi="宋体" w:eastAsia="宋体" w:cs="AdobeSongStd-Light"/>
          <w:szCs w:val="21"/>
        </w:rPr>
        <w:t>，</w:t>
      </w:r>
      <w:r>
        <w:rPr>
          <w:rFonts w:hint="eastAsia" w:ascii="宋体" w:hAnsi="宋体" w:eastAsia="宋体" w:cs="AdobeSongStd-Light"/>
          <w:szCs w:val="21"/>
        </w:rPr>
        <w:t>大建设带来一定的环境破坏。旧中国饱受列强蚕食战痕累累</w:t>
      </w:r>
      <w:r>
        <w:rPr>
          <w:rFonts w:ascii="宋体" w:hAnsi="宋体" w:eastAsia="宋体" w:cs="AdobeSongStd-Light"/>
          <w:szCs w:val="21"/>
        </w:rPr>
        <w:t>，</w:t>
      </w:r>
      <w:r>
        <w:rPr>
          <w:rFonts w:hint="eastAsia" w:ascii="宋体" w:hAnsi="宋体" w:eastAsia="宋体" w:cs="AdobeSongStd-Light"/>
          <w:szCs w:val="21"/>
        </w:rPr>
        <w:t>共产党领导下的中国大地到处是被推崇的“浓烟滚滚”、“移山填海”等建设场面。在初步建立起工业体系的同时</w:t>
      </w:r>
      <w:r>
        <w:rPr>
          <w:rFonts w:ascii="宋体" w:hAnsi="宋体" w:eastAsia="宋体" w:cs="AdobeSongStd-Light"/>
          <w:szCs w:val="21"/>
        </w:rPr>
        <w:t>，</w:t>
      </w:r>
      <w:r>
        <w:rPr>
          <w:rFonts w:hint="eastAsia" w:ascii="宋体" w:hAnsi="宋体" w:eastAsia="宋体" w:cs="AdobeSongStd-Light"/>
          <w:szCs w:val="21"/>
        </w:rPr>
        <w:t>我国也出现了工业“三废”的任意排放问题</w:t>
      </w:r>
      <w:r>
        <w:rPr>
          <w:rFonts w:ascii="宋体" w:hAnsi="宋体" w:eastAsia="宋体" w:cs="AdobeSongStd-Light"/>
          <w:szCs w:val="21"/>
        </w:rPr>
        <w:t>，</w:t>
      </w:r>
      <w:r>
        <w:rPr>
          <w:rFonts w:hint="eastAsia" w:ascii="宋体" w:hAnsi="宋体" w:eastAsia="宋体" w:cs="AdobeSongStd-Light"/>
          <w:szCs w:val="21"/>
        </w:rPr>
        <w:t>经济建设取得成绩的同时</w:t>
      </w:r>
      <w:r>
        <w:rPr>
          <w:rFonts w:ascii="宋体" w:hAnsi="宋体" w:eastAsia="宋体" w:cs="AdobeSongStd-Light"/>
          <w:szCs w:val="21"/>
        </w:rPr>
        <w:t>，</w:t>
      </w:r>
      <w:r>
        <w:rPr>
          <w:rFonts w:hint="eastAsia" w:ascii="宋体" w:hAnsi="宋体" w:eastAsia="宋体" w:cs="AdobeSongStd-Light"/>
          <w:szCs w:val="21"/>
        </w:rPr>
        <w:t>自然环境遭到严重破坏</w:t>
      </w:r>
      <w:r>
        <w:rPr>
          <w:rFonts w:ascii="宋体" w:hAnsi="宋体" w:eastAsia="宋体" w:cs="AdobeSongStd-Light"/>
          <w:szCs w:val="21"/>
        </w:rPr>
        <w:t>，</w:t>
      </w:r>
      <w:r>
        <w:rPr>
          <w:rFonts w:hint="eastAsia" w:ascii="宋体" w:hAnsi="宋体" w:eastAsia="宋体" w:cs="AdobeSongStd-Light"/>
          <w:szCs w:val="21"/>
        </w:rPr>
        <w:t>环境问题开始凸现出来。</w:t>
      </w:r>
      <w:r>
        <w:rPr>
          <w:rFonts w:ascii="宋体" w:hAnsi="宋体" w:eastAsia="宋体" w:cs="AdobeSongStd-Light"/>
          <w:szCs w:val="21"/>
        </w:rPr>
        <w:t>70</w:t>
      </w:r>
      <w:r>
        <w:rPr>
          <w:rFonts w:hint="eastAsia" w:ascii="宋体" w:hAnsi="宋体" w:eastAsia="宋体" w:cs="AdobeSongStd-Light"/>
          <w:szCs w:val="21"/>
        </w:rPr>
        <w:t>年代初</w:t>
      </w:r>
      <w:r>
        <w:rPr>
          <w:rFonts w:ascii="宋体" w:hAnsi="宋体" w:eastAsia="宋体" w:cs="AdobeSongStd-Light"/>
          <w:szCs w:val="21"/>
        </w:rPr>
        <w:t>，</w:t>
      </w:r>
      <w:r>
        <w:rPr>
          <w:rFonts w:hint="eastAsia" w:ascii="宋体" w:hAnsi="宋体" w:eastAsia="宋体" w:cs="AdobeSongStd-Light"/>
          <w:szCs w:val="21"/>
        </w:rPr>
        <w:t>环境保护工作逐步迈开步伐。</w:t>
      </w:r>
      <w:r>
        <w:rPr>
          <w:rFonts w:ascii="宋体" w:hAnsi="宋体" w:eastAsia="宋体" w:cs="AdobeSongStd-Light"/>
          <w:szCs w:val="21"/>
        </w:rPr>
        <w:t>60</w:t>
      </w:r>
      <w:r>
        <w:rPr>
          <w:rFonts w:hint="eastAsia" w:ascii="宋体" w:hAnsi="宋体" w:eastAsia="宋体" w:cs="AdobeSongStd-Light"/>
          <w:szCs w:val="21"/>
        </w:rPr>
        <w:t>年代末和</w:t>
      </w:r>
      <w:r>
        <w:rPr>
          <w:rFonts w:ascii="宋体" w:hAnsi="宋体" w:eastAsia="宋体" w:cs="AdobeSongStd-Light"/>
          <w:szCs w:val="21"/>
        </w:rPr>
        <w:t xml:space="preserve">70 </w:t>
      </w:r>
      <w:r>
        <w:rPr>
          <w:rFonts w:hint="eastAsia" w:ascii="宋体" w:hAnsi="宋体" w:eastAsia="宋体" w:cs="AdobeSongStd-Light"/>
          <w:szCs w:val="21"/>
        </w:rPr>
        <w:t>年代初</w:t>
      </w:r>
      <w:r>
        <w:rPr>
          <w:rFonts w:ascii="宋体" w:hAnsi="宋体" w:eastAsia="宋体" w:cs="AdobeSongStd-Light"/>
          <w:szCs w:val="21"/>
        </w:rPr>
        <w:t>，</w:t>
      </w:r>
      <w:r>
        <w:rPr>
          <w:rFonts w:hint="eastAsia" w:ascii="宋体" w:hAnsi="宋体" w:eastAsia="宋体" w:cs="AdobeSongStd-Light"/>
          <w:szCs w:val="21"/>
        </w:rPr>
        <w:t>中国政府受日本和国内“公害”的影响</w:t>
      </w:r>
      <w:r>
        <w:rPr>
          <w:rFonts w:ascii="宋体" w:hAnsi="宋体" w:eastAsia="宋体" w:cs="AdobeSongStd-Light"/>
          <w:szCs w:val="21"/>
        </w:rPr>
        <w:t>，</w:t>
      </w:r>
      <w:r>
        <w:rPr>
          <w:rFonts w:hint="eastAsia" w:ascii="宋体" w:hAnsi="宋体" w:eastAsia="宋体" w:cs="AdobeSongStd-Light"/>
          <w:szCs w:val="21"/>
        </w:rPr>
        <w:t>开始关注中国在工业化过程中面临的环境问题。</w:t>
      </w:r>
      <w:r>
        <w:rPr>
          <w:rFonts w:ascii="宋体" w:hAnsi="宋体" w:eastAsia="宋体" w:cs="AdobeSongStd-Light"/>
          <w:szCs w:val="21"/>
        </w:rPr>
        <w:t xml:space="preserve">1972 </w:t>
      </w:r>
      <w:r>
        <w:rPr>
          <w:rFonts w:hint="eastAsia" w:ascii="宋体" w:hAnsi="宋体" w:eastAsia="宋体" w:cs="AdobeSongStd-Light"/>
          <w:szCs w:val="21"/>
        </w:rPr>
        <w:t>年中国参加了斯德哥尔摩人类环境会议并提出了保护环境的</w:t>
      </w:r>
      <w:r>
        <w:rPr>
          <w:rFonts w:ascii="宋体" w:hAnsi="宋体" w:eastAsia="宋体" w:cs="AdobeSongStd-Light"/>
          <w:szCs w:val="21"/>
        </w:rPr>
        <w:t>32</w:t>
      </w:r>
      <w:r>
        <w:rPr>
          <w:rFonts w:hint="eastAsia" w:ascii="宋体" w:hAnsi="宋体" w:eastAsia="宋体" w:cs="AdobeSongStd-Light"/>
          <w:szCs w:val="21"/>
        </w:rPr>
        <w:t>字方针</w:t>
      </w:r>
      <w:r>
        <w:rPr>
          <w:rFonts w:ascii="宋体" w:hAnsi="宋体" w:eastAsia="宋体" w:cs="AdobeSongStd-Light"/>
          <w:szCs w:val="21"/>
        </w:rPr>
        <w:t>(</w:t>
      </w:r>
      <w:r>
        <w:rPr>
          <w:rFonts w:hint="eastAsia" w:ascii="宋体" w:hAnsi="宋体" w:eastAsia="宋体" w:cs="AdobeSongStd-Light"/>
          <w:szCs w:val="21"/>
        </w:rPr>
        <w:t>全面规划、合理布局、综合利用、化害为利、依靠群众、大家动手、保护环境、造福人民</w:t>
      </w:r>
      <w:r>
        <w:rPr>
          <w:rFonts w:ascii="宋体" w:hAnsi="宋体" w:eastAsia="宋体" w:cs="AdobeSongStd-Light"/>
          <w:szCs w:val="21"/>
        </w:rPr>
        <w:t>)</w:t>
      </w:r>
      <w:r>
        <w:rPr>
          <w:rFonts w:hint="eastAsia" w:ascii="宋体" w:hAnsi="宋体" w:eastAsia="宋体" w:cs="AdobeSongStd-Light"/>
          <w:szCs w:val="21"/>
        </w:rPr>
        <w:t>。</w:t>
      </w:r>
      <w:r>
        <w:rPr>
          <w:rFonts w:ascii="宋体" w:hAnsi="宋体" w:eastAsia="宋体" w:cs="AdobeSongStd-Light"/>
          <w:szCs w:val="21"/>
        </w:rPr>
        <w:t>1973</w:t>
      </w:r>
      <w:r>
        <w:rPr>
          <w:rFonts w:hint="eastAsia" w:ascii="宋体" w:hAnsi="宋体" w:eastAsia="宋体" w:cs="AdobeSongStd-Light"/>
          <w:szCs w:val="21"/>
        </w:rPr>
        <w:t>年中国召开了第一次环保方面的会议</w:t>
      </w:r>
      <w:r>
        <w:rPr>
          <w:rFonts w:ascii="宋体" w:hAnsi="宋体" w:eastAsia="宋体" w:cs="AdobeSongStd-Light"/>
          <w:szCs w:val="21"/>
        </w:rPr>
        <w:t>，</w:t>
      </w:r>
      <w:r>
        <w:rPr>
          <w:rFonts w:hint="eastAsia" w:ascii="宋体" w:hAnsi="宋体" w:eastAsia="宋体" w:cs="AdobeSongStd-Light"/>
          <w:szCs w:val="21"/>
        </w:rPr>
        <w:t>并开始在各省、区建立“三废”治理办公室</w:t>
      </w:r>
      <w:r>
        <w:rPr>
          <w:rFonts w:ascii="宋体" w:hAnsi="宋体" w:eastAsia="宋体" w:cs="AdobeSongStd-Light"/>
          <w:szCs w:val="21"/>
        </w:rPr>
        <w:t>，</w:t>
      </w:r>
      <w:r>
        <w:rPr>
          <w:rFonts w:hint="eastAsia" w:ascii="宋体" w:hAnsi="宋体" w:eastAsia="宋体" w:cs="AdobeSongStd-Light"/>
          <w:szCs w:val="21"/>
        </w:rPr>
        <w:t>并在</w:t>
      </w:r>
      <w:r>
        <w:rPr>
          <w:rFonts w:ascii="宋体" w:hAnsi="宋体" w:eastAsia="宋体" w:cs="AdobeSongStd-Light"/>
          <w:szCs w:val="21"/>
        </w:rPr>
        <w:t>1974</w:t>
      </w:r>
      <w:r>
        <w:rPr>
          <w:rFonts w:hint="eastAsia" w:ascii="宋体" w:hAnsi="宋体" w:eastAsia="宋体" w:cs="AdobeSongStd-Light"/>
          <w:szCs w:val="21"/>
        </w:rPr>
        <w:t>年</w:t>
      </w:r>
      <w:r>
        <w:rPr>
          <w:rFonts w:ascii="宋体" w:hAnsi="宋体" w:eastAsia="宋体" w:cs="AdobeSongStd-Light"/>
          <w:szCs w:val="21"/>
        </w:rPr>
        <w:t>5</w:t>
      </w:r>
      <w:r>
        <w:rPr>
          <w:rFonts w:hint="eastAsia" w:ascii="宋体" w:hAnsi="宋体" w:eastAsia="宋体" w:cs="AdobeSongStd-Light"/>
          <w:szCs w:val="21"/>
        </w:rPr>
        <w:t>月成立了国家一级的环境保护机构——国务院环境领导小组</w:t>
      </w:r>
      <w:r>
        <w:rPr>
          <w:rFonts w:ascii="宋体" w:hAnsi="宋体" w:eastAsia="宋体" w:cs="AdobeSongStd-Light"/>
          <w:szCs w:val="21"/>
        </w:rPr>
        <w:t>，</w:t>
      </w:r>
      <w:r>
        <w:rPr>
          <w:rFonts w:hint="eastAsia" w:ascii="宋体" w:hAnsi="宋体" w:eastAsia="宋体" w:cs="AdobeSongStd-Light"/>
          <w:szCs w:val="21"/>
        </w:rPr>
        <w:t>通过制定政策、行政法规和标准等控制环境污染。</w:t>
      </w:r>
      <w:r>
        <w:rPr>
          <w:rFonts w:ascii="宋体" w:hAnsi="宋体" w:eastAsia="宋体" w:cs="AdobeSongStd-Light"/>
          <w:szCs w:val="21"/>
        </w:rPr>
        <w:t>1975</w:t>
      </w:r>
      <w:r>
        <w:rPr>
          <w:rFonts w:hint="eastAsia" w:ascii="宋体" w:hAnsi="宋体" w:eastAsia="宋体" w:cs="AdobeSongStd-Light"/>
          <w:szCs w:val="21"/>
        </w:rPr>
        <w:t>年</w:t>
      </w:r>
      <w:r>
        <w:rPr>
          <w:rFonts w:ascii="宋体" w:hAnsi="宋体" w:eastAsia="宋体" w:cs="AdobeSongStd-Light"/>
          <w:szCs w:val="21"/>
        </w:rPr>
        <w:t>，</w:t>
      </w:r>
      <w:r>
        <w:rPr>
          <w:rFonts w:hint="eastAsia" w:ascii="宋体" w:hAnsi="宋体" w:eastAsia="宋体" w:cs="AdobeSongStd-Light"/>
          <w:szCs w:val="21"/>
        </w:rPr>
        <w:t>中国提出环境污染问题“五年控制、十年基本解决”的目标。这一阶段</w:t>
      </w:r>
      <w:r>
        <w:rPr>
          <w:rFonts w:ascii="宋体" w:hAnsi="宋体" w:eastAsia="宋体" w:cs="AdobeSongStd-Light"/>
          <w:szCs w:val="21"/>
        </w:rPr>
        <w:t>，</w:t>
      </w:r>
      <w:r>
        <w:rPr>
          <w:rFonts w:hint="eastAsia" w:ascii="宋体" w:hAnsi="宋体" w:eastAsia="宋体" w:cs="AdobeSongStd-Light"/>
          <w:szCs w:val="21"/>
        </w:rPr>
        <w:t>中国环境保护工作迈开了坚定的步伐。</w:t>
      </w:r>
    </w:p>
    <w:p w14:paraId="54845D32">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szCs w:val="21"/>
        </w:rPr>
        <w:t>2.20</w:t>
      </w:r>
      <w:r>
        <w:rPr>
          <w:rFonts w:hint="eastAsia" w:ascii="宋体" w:hAnsi="宋体" w:eastAsia="宋体" w:cs="AdobeSongStd-Light"/>
          <w:szCs w:val="21"/>
        </w:rPr>
        <w:t>世纪</w:t>
      </w:r>
      <w:r>
        <w:rPr>
          <w:rFonts w:ascii="宋体" w:hAnsi="宋体" w:eastAsia="宋体" w:cs="AdobeSongStd-Light"/>
          <w:szCs w:val="21"/>
        </w:rPr>
        <w:t>70</w:t>
      </w:r>
      <w:r>
        <w:rPr>
          <w:rFonts w:hint="eastAsia" w:ascii="宋体" w:hAnsi="宋体" w:eastAsia="宋体" w:cs="AdobeSongStd-Light"/>
          <w:szCs w:val="21"/>
        </w:rPr>
        <w:t>年代末—</w:t>
      </w:r>
      <w:r>
        <w:rPr>
          <w:rFonts w:ascii="宋体" w:hAnsi="宋体" w:eastAsia="宋体" w:cs="AdobeSongStd-Light"/>
          <w:szCs w:val="21"/>
        </w:rPr>
        <w:t>21</w:t>
      </w:r>
      <w:r>
        <w:rPr>
          <w:rFonts w:hint="eastAsia" w:ascii="宋体" w:hAnsi="宋体" w:eastAsia="宋体" w:cs="AdobeSongStd-Light"/>
          <w:szCs w:val="21"/>
        </w:rPr>
        <w:t>世纪初</w:t>
      </w:r>
      <w:r>
        <w:rPr>
          <w:rFonts w:ascii="宋体" w:hAnsi="宋体" w:eastAsia="宋体" w:cs="AdobeSongStd-Light"/>
          <w:szCs w:val="21"/>
        </w:rPr>
        <w:t>，</w:t>
      </w:r>
      <w:r>
        <w:rPr>
          <w:rFonts w:hint="eastAsia" w:ascii="宋体" w:hAnsi="宋体" w:eastAsia="宋体" w:cs="AdobeSongStd-Light"/>
          <w:szCs w:val="21"/>
        </w:rPr>
        <w:t>建立与市场经济相适应的、可持续发展的环境保护管理体系阶段。</w:t>
      </w:r>
      <w:r>
        <w:rPr>
          <w:rFonts w:ascii="宋体" w:hAnsi="宋体" w:eastAsia="宋体" w:cs="AdobeSongStd-Light"/>
          <w:szCs w:val="21"/>
        </w:rPr>
        <w:t>1978</w:t>
      </w:r>
      <w:r>
        <w:rPr>
          <w:rFonts w:hint="eastAsia" w:ascii="宋体" w:hAnsi="宋体" w:eastAsia="宋体" w:cs="AdobeSongStd-Light"/>
          <w:szCs w:val="21"/>
        </w:rPr>
        <w:t>年底</w:t>
      </w:r>
      <w:r>
        <w:rPr>
          <w:rFonts w:ascii="宋体" w:hAnsi="宋体" w:eastAsia="宋体" w:cs="AdobeSongStd-Light"/>
          <w:szCs w:val="21"/>
        </w:rPr>
        <w:t>，</w:t>
      </w:r>
      <w:r>
        <w:rPr>
          <w:rFonts w:hint="eastAsia" w:ascii="宋体" w:hAnsi="宋体" w:eastAsia="宋体" w:cs="AdobeSongStd-Light"/>
          <w:szCs w:val="21"/>
        </w:rPr>
        <w:t>中央批准国务院环保小组的《环保工作汇报要点》</w:t>
      </w:r>
      <w:r>
        <w:rPr>
          <w:rFonts w:ascii="宋体" w:hAnsi="宋体" w:eastAsia="宋体" w:cs="AdobeSongStd-Light"/>
          <w:szCs w:val="21"/>
        </w:rPr>
        <w:t>，</w:t>
      </w:r>
      <w:r>
        <w:rPr>
          <w:rFonts w:hint="eastAsia" w:ascii="宋体" w:hAnsi="宋体" w:eastAsia="宋体" w:cs="AdobeSongStd-Light"/>
          <w:szCs w:val="21"/>
        </w:rPr>
        <w:t>指出“绝不能走先建设</w:t>
      </w:r>
      <w:r>
        <w:rPr>
          <w:rFonts w:ascii="宋体" w:hAnsi="宋体" w:eastAsia="宋体" w:cs="AdobeSongStd-Light"/>
          <w:szCs w:val="21"/>
        </w:rPr>
        <w:t>，</w:t>
      </w:r>
      <w:r>
        <w:rPr>
          <w:rFonts w:hint="eastAsia" w:ascii="宋体" w:hAnsi="宋体" w:eastAsia="宋体" w:cs="AdobeSongStd-Light"/>
          <w:szCs w:val="21"/>
        </w:rPr>
        <w:t>后治理的弯路”</w:t>
      </w:r>
      <w:r>
        <w:rPr>
          <w:rFonts w:ascii="宋体" w:hAnsi="宋体" w:eastAsia="宋体" w:cs="AdobeSongStd-Light"/>
          <w:szCs w:val="21"/>
        </w:rPr>
        <w:t>，</w:t>
      </w:r>
      <w:r>
        <w:rPr>
          <w:rFonts w:hint="eastAsia" w:ascii="宋体" w:hAnsi="宋体" w:eastAsia="宋体" w:cs="AdobeSongStd-Light"/>
          <w:szCs w:val="21"/>
        </w:rPr>
        <w:t>这是第一次以党中央的名义对环保工作作出的指示。</w:t>
      </w:r>
      <w:r>
        <w:rPr>
          <w:rFonts w:ascii="宋体" w:hAnsi="宋体" w:eastAsia="宋体" w:cs="AdobeSongStd-Light"/>
          <w:szCs w:val="21"/>
        </w:rPr>
        <w:t xml:space="preserve">1979 </w:t>
      </w:r>
      <w:r>
        <w:rPr>
          <w:rFonts w:hint="eastAsia" w:ascii="宋体" w:hAnsi="宋体" w:eastAsia="宋体" w:cs="AdobeSongStd-Light"/>
          <w:szCs w:val="21"/>
        </w:rPr>
        <w:t>年</w:t>
      </w:r>
      <w:r>
        <w:rPr>
          <w:rFonts w:ascii="宋体" w:hAnsi="宋体" w:eastAsia="宋体" w:cs="AdobeSongStd-Light"/>
          <w:szCs w:val="21"/>
        </w:rPr>
        <w:t xml:space="preserve">9 </w:t>
      </w:r>
      <w:r>
        <w:rPr>
          <w:rFonts w:hint="eastAsia" w:ascii="宋体" w:hAnsi="宋体" w:eastAsia="宋体" w:cs="AdobeSongStd-Light"/>
          <w:szCs w:val="21"/>
        </w:rPr>
        <w:t>月第一部环境保护基本法——《中华人民共和国环境保护法</w:t>
      </w:r>
      <w:r>
        <w:rPr>
          <w:rFonts w:ascii="宋体" w:hAnsi="宋体" w:eastAsia="宋体" w:cs="AdobeSongStd-Light"/>
          <w:szCs w:val="21"/>
        </w:rPr>
        <w:t>(</w:t>
      </w:r>
      <w:r>
        <w:rPr>
          <w:rFonts w:hint="eastAsia" w:ascii="宋体" w:hAnsi="宋体" w:eastAsia="宋体" w:cs="AdobeSongStd-Light"/>
          <w:szCs w:val="21"/>
        </w:rPr>
        <w:t>试行</w:t>
      </w:r>
      <w:r>
        <w:rPr>
          <w:rFonts w:ascii="宋体" w:hAnsi="宋体" w:eastAsia="宋体" w:cs="AdobeSongStd-Light"/>
          <w:szCs w:val="21"/>
        </w:rPr>
        <w:t xml:space="preserve">) </w:t>
      </w:r>
      <w:r>
        <w:rPr>
          <w:rFonts w:hint="eastAsia" w:ascii="宋体" w:hAnsi="宋体" w:eastAsia="宋体" w:cs="AdobeSongStd-Light"/>
          <w:szCs w:val="21"/>
        </w:rPr>
        <w:t>》的颁布</w:t>
      </w:r>
      <w:r>
        <w:rPr>
          <w:rFonts w:ascii="宋体" w:hAnsi="宋体" w:eastAsia="宋体" w:cs="AdobeSongStd-Light"/>
          <w:szCs w:val="21"/>
        </w:rPr>
        <w:t>，</w:t>
      </w:r>
      <w:r>
        <w:rPr>
          <w:rFonts w:hint="eastAsia" w:ascii="宋体" w:hAnsi="宋体" w:eastAsia="宋体" w:cs="AdobeSongStd-Light"/>
          <w:szCs w:val="21"/>
        </w:rPr>
        <w:t>标志环境保护工作开始步入市场经济所要求的法制化轨道。</w:t>
      </w:r>
      <w:r>
        <w:rPr>
          <w:rFonts w:ascii="宋体" w:hAnsi="宋体" w:eastAsia="宋体" w:cs="AdobeSongStd-Light"/>
          <w:szCs w:val="21"/>
        </w:rPr>
        <w:t>1981</w:t>
      </w:r>
      <w:r>
        <w:rPr>
          <w:rFonts w:hint="eastAsia" w:ascii="宋体" w:hAnsi="宋体" w:eastAsia="宋体" w:cs="AdobeSongStd-Light"/>
          <w:szCs w:val="21"/>
        </w:rPr>
        <w:t>—</w:t>
      </w:r>
      <w:r>
        <w:rPr>
          <w:rFonts w:ascii="宋体" w:hAnsi="宋体" w:eastAsia="宋体" w:cs="AdobeSongStd-Light"/>
          <w:szCs w:val="21"/>
        </w:rPr>
        <w:t>1985</w:t>
      </w:r>
      <w:r>
        <w:rPr>
          <w:rFonts w:hint="eastAsia" w:ascii="宋体" w:hAnsi="宋体" w:eastAsia="宋体" w:cs="AdobeSongStd-Light"/>
          <w:szCs w:val="21"/>
        </w:rPr>
        <w:t>年的“六五”计划</w:t>
      </w:r>
      <w:r>
        <w:rPr>
          <w:rFonts w:ascii="宋体" w:hAnsi="宋体" w:eastAsia="宋体" w:cs="AdobeSongStd-Light"/>
          <w:szCs w:val="21"/>
        </w:rPr>
        <w:t>，</w:t>
      </w:r>
      <w:r>
        <w:rPr>
          <w:rFonts w:hint="eastAsia" w:ascii="宋体" w:hAnsi="宋体" w:eastAsia="宋体" w:cs="AdobeSongStd-Light"/>
          <w:szCs w:val="21"/>
        </w:rPr>
        <w:t>第一次纳入了环境保护的内容。</w:t>
      </w:r>
      <w:r>
        <w:rPr>
          <w:rFonts w:ascii="宋体" w:hAnsi="宋体" w:eastAsia="宋体" w:cs="AdobeSongStd-Light"/>
          <w:szCs w:val="21"/>
        </w:rPr>
        <w:t>1982</w:t>
      </w:r>
      <w:r>
        <w:rPr>
          <w:rFonts w:hint="eastAsia" w:ascii="宋体" w:hAnsi="宋体" w:eastAsia="宋体" w:cs="AdobeSongStd-Light"/>
          <w:szCs w:val="21"/>
        </w:rPr>
        <w:t>年修改后的《宪法》第</w:t>
      </w:r>
      <w:r>
        <w:rPr>
          <w:rFonts w:ascii="宋体" w:hAnsi="宋体" w:eastAsia="宋体" w:cs="AdobeSongStd-Light"/>
          <w:szCs w:val="21"/>
        </w:rPr>
        <w:t>26</w:t>
      </w:r>
      <w:r>
        <w:rPr>
          <w:rFonts w:hint="eastAsia" w:ascii="宋体" w:hAnsi="宋体" w:eastAsia="宋体" w:cs="AdobeSongStd-Light"/>
          <w:szCs w:val="21"/>
        </w:rPr>
        <w:t>条规定</w:t>
      </w:r>
      <w:r>
        <w:rPr>
          <w:rFonts w:ascii="宋体" w:hAnsi="宋体" w:eastAsia="宋体" w:cs="AdobeSongStd-Light"/>
          <w:szCs w:val="21"/>
        </w:rPr>
        <w:t>:</w:t>
      </w:r>
      <w:r>
        <w:rPr>
          <w:rFonts w:hint="eastAsia" w:ascii="宋体" w:hAnsi="宋体" w:eastAsia="宋体" w:cs="AdobeSongStd-Light"/>
          <w:szCs w:val="21"/>
        </w:rPr>
        <w:t>“国家保护和改善生活环境和生态环境</w:t>
      </w:r>
      <w:r>
        <w:rPr>
          <w:rFonts w:ascii="宋体" w:hAnsi="宋体" w:eastAsia="宋体" w:cs="AdobeSongStd-Light"/>
          <w:szCs w:val="21"/>
        </w:rPr>
        <w:t>，</w:t>
      </w:r>
      <w:r>
        <w:rPr>
          <w:rFonts w:hint="eastAsia" w:ascii="宋体" w:hAnsi="宋体" w:eastAsia="宋体" w:cs="AdobeSongStd-Light"/>
          <w:szCs w:val="21"/>
        </w:rPr>
        <w:t>防治污染和其他公害。”</w:t>
      </w:r>
      <w:r>
        <w:rPr>
          <w:rFonts w:ascii="宋体" w:hAnsi="宋体" w:eastAsia="宋体" w:cs="AdobeSongStd-Light"/>
          <w:szCs w:val="21"/>
        </w:rPr>
        <w:t>1983</w:t>
      </w:r>
      <w:r>
        <w:rPr>
          <w:rFonts w:hint="eastAsia" w:ascii="宋体" w:hAnsi="宋体" w:eastAsia="宋体" w:cs="AdobeSongStd-Light"/>
          <w:szCs w:val="21"/>
        </w:rPr>
        <w:t>年底北京召开的第二次全国环保会议</w:t>
      </w:r>
      <w:r>
        <w:rPr>
          <w:rFonts w:ascii="宋体" w:hAnsi="宋体" w:eastAsia="宋体" w:cs="AdobeSongStd-Light"/>
          <w:szCs w:val="21"/>
        </w:rPr>
        <w:t>，</w:t>
      </w:r>
      <w:r>
        <w:rPr>
          <w:rFonts w:hint="eastAsia" w:ascii="宋体" w:hAnsi="宋体" w:eastAsia="宋体" w:cs="AdobeSongStd-Light"/>
          <w:szCs w:val="21"/>
        </w:rPr>
        <w:t>成为中国环境保护的转折点</w:t>
      </w:r>
      <w:r>
        <w:rPr>
          <w:rFonts w:ascii="宋体" w:hAnsi="宋体" w:eastAsia="宋体" w:cs="AdobeSongStd-Light"/>
          <w:szCs w:val="21"/>
        </w:rPr>
        <w:t>，</w:t>
      </w:r>
      <w:r>
        <w:rPr>
          <w:rFonts w:hint="eastAsia" w:ascii="宋体" w:hAnsi="宋体" w:eastAsia="宋体" w:cs="AdobeSongStd-Light"/>
          <w:szCs w:val="21"/>
        </w:rPr>
        <w:t>会议把环境保护确立为基本国策</w:t>
      </w:r>
      <w:r>
        <w:rPr>
          <w:rFonts w:ascii="宋体" w:hAnsi="宋体" w:eastAsia="宋体" w:cs="AdobeSongStd-Light"/>
          <w:szCs w:val="21"/>
        </w:rPr>
        <w:t>，</w:t>
      </w:r>
      <w:r>
        <w:rPr>
          <w:rFonts w:hint="eastAsia" w:ascii="宋体" w:hAnsi="宋体" w:eastAsia="宋体" w:cs="AdobeSongStd-Light"/>
          <w:szCs w:val="21"/>
        </w:rPr>
        <w:t>制定了世纪末的环保战略目标。</w:t>
      </w:r>
      <w:r>
        <w:rPr>
          <w:rFonts w:ascii="宋体" w:hAnsi="宋体" w:eastAsia="宋体" w:cs="AdobeSongStd-Light"/>
          <w:szCs w:val="21"/>
        </w:rPr>
        <w:t>1986</w:t>
      </w:r>
      <w:r>
        <w:rPr>
          <w:rFonts w:hint="eastAsia" w:ascii="宋体" w:hAnsi="宋体" w:eastAsia="宋体" w:cs="AdobeSongStd-Light"/>
          <w:szCs w:val="21"/>
        </w:rPr>
        <w:t>年国家“七五”计划把环保五年计划第一次单独成章。</w:t>
      </w:r>
      <w:r>
        <w:rPr>
          <w:rFonts w:ascii="宋体" w:hAnsi="宋体" w:eastAsia="宋体" w:cs="AdobeSongStd-Light"/>
          <w:szCs w:val="21"/>
        </w:rPr>
        <w:t>1989</w:t>
      </w:r>
      <w:r>
        <w:rPr>
          <w:rFonts w:hint="eastAsia" w:ascii="宋体" w:hAnsi="宋体" w:eastAsia="宋体" w:cs="AdobeSongStd-Light"/>
          <w:szCs w:val="21"/>
        </w:rPr>
        <w:t>年第三次全国环保会议提出要“努力开拓有中国特色的环境保护道路”。至</w:t>
      </w:r>
      <w:r>
        <w:rPr>
          <w:rFonts w:ascii="宋体" w:hAnsi="宋体" w:eastAsia="宋体" w:cs="AdobeSongStd-Light"/>
          <w:szCs w:val="21"/>
        </w:rPr>
        <w:t>1989</w:t>
      </w:r>
      <w:r>
        <w:rPr>
          <w:rFonts w:hint="eastAsia" w:ascii="宋体" w:hAnsi="宋体" w:eastAsia="宋体" w:cs="AdobeSongStd-Light"/>
          <w:szCs w:val="21"/>
        </w:rPr>
        <w:t>年</w:t>
      </w:r>
      <w:r>
        <w:rPr>
          <w:rFonts w:ascii="宋体" w:hAnsi="宋体" w:eastAsia="宋体" w:cs="AdobeSongStd-Light"/>
          <w:szCs w:val="21"/>
        </w:rPr>
        <w:t>12</w:t>
      </w:r>
      <w:r>
        <w:rPr>
          <w:rFonts w:hint="eastAsia" w:ascii="宋体" w:hAnsi="宋体" w:eastAsia="宋体" w:cs="AdobeSongStd-Light"/>
          <w:szCs w:val="21"/>
        </w:rPr>
        <w:t>月颁布《中华人民共和国环境保护法》</w:t>
      </w:r>
      <w:r>
        <w:rPr>
          <w:rFonts w:ascii="宋体" w:hAnsi="宋体" w:eastAsia="宋体" w:cs="AdobeSongStd-Light"/>
          <w:szCs w:val="21"/>
        </w:rPr>
        <w:t>，</w:t>
      </w:r>
      <w:r>
        <w:rPr>
          <w:rFonts w:hint="eastAsia" w:ascii="宋体" w:hAnsi="宋体" w:eastAsia="宋体" w:cs="AdobeSongStd-Light"/>
          <w:szCs w:val="21"/>
        </w:rPr>
        <w:t>中国已逐步制定了“预防为主</w:t>
      </w:r>
      <w:r>
        <w:rPr>
          <w:rFonts w:ascii="宋体" w:hAnsi="宋体" w:eastAsia="宋体" w:cs="AdobeSongStd-Light"/>
          <w:szCs w:val="21"/>
        </w:rPr>
        <w:t>，</w:t>
      </w:r>
      <w:r>
        <w:rPr>
          <w:rFonts w:hint="eastAsia" w:ascii="宋体" w:hAnsi="宋体" w:eastAsia="宋体" w:cs="AdobeSongStd-Light"/>
          <w:szCs w:val="21"/>
        </w:rPr>
        <w:t>防治结合、综合治理”</w:t>
      </w:r>
      <w:r>
        <w:rPr>
          <w:rFonts w:ascii="宋体" w:hAnsi="宋体" w:eastAsia="宋体" w:cs="AdobeSongStd-Light"/>
          <w:szCs w:val="21"/>
        </w:rPr>
        <w:t>，</w:t>
      </w:r>
      <w:r>
        <w:rPr>
          <w:rFonts w:hint="eastAsia" w:ascii="宋体" w:hAnsi="宋体" w:eastAsia="宋体" w:cs="AdobeSongStd-Light"/>
          <w:szCs w:val="21"/>
        </w:rPr>
        <w:t>“谁污染</w:t>
      </w:r>
      <w:r>
        <w:rPr>
          <w:rFonts w:ascii="宋体" w:hAnsi="宋体" w:eastAsia="宋体" w:cs="AdobeSongStd-Light"/>
          <w:szCs w:val="21"/>
        </w:rPr>
        <w:t>，</w:t>
      </w:r>
      <w:r>
        <w:rPr>
          <w:rFonts w:hint="eastAsia" w:ascii="宋体" w:hAnsi="宋体" w:eastAsia="宋体" w:cs="AdobeSongStd-Light"/>
          <w:szCs w:val="21"/>
        </w:rPr>
        <w:t>谁治理”</w:t>
      </w:r>
      <w:r>
        <w:rPr>
          <w:rFonts w:ascii="宋体" w:hAnsi="宋体" w:eastAsia="宋体" w:cs="AdobeSongStd-Light"/>
          <w:szCs w:val="21"/>
        </w:rPr>
        <w:t>，</w:t>
      </w:r>
      <w:r>
        <w:rPr>
          <w:rFonts w:hint="eastAsia" w:ascii="宋体" w:hAnsi="宋体" w:eastAsia="宋体" w:cs="AdobeSongStd-Light"/>
          <w:szCs w:val="21"/>
        </w:rPr>
        <w:t>“强化环境管理”三项政策和“环境影响评价”等</w:t>
      </w:r>
      <w:r>
        <w:rPr>
          <w:rFonts w:ascii="宋体" w:hAnsi="宋体" w:eastAsia="宋体" w:cs="AdobeSongStd-Light"/>
          <w:szCs w:val="21"/>
        </w:rPr>
        <w:t>8</w:t>
      </w:r>
      <w:r>
        <w:rPr>
          <w:rFonts w:hint="eastAsia" w:ascii="宋体" w:hAnsi="宋体" w:eastAsia="宋体" w:cs="AdobeSongStd-Light"/>
          <w:szCs w:val="21"/>
        </w:rPr>
        <w:t>项制度</w:t>
      </w:r>
      <w:r>
        <w:rPr>
          <w:rFonts w:ascii="宋体" w:hAnsi="宋体" w:eastAsia="宋体" w:cs="AdobeSongStd-Light"/>
          <w:szCs w:val="21"/>
        </w:rPr>
        <w:t>，</w:t>
      </w:r>
      <w:r>
        <w:rPr>
          <w:rFonts w:hint="eastAsia" w:ascii="宋体" w:hAnsi="宋体" w:eastAsia="宋体" w:cs="AdobeSongStd-Light"/>
          <w:szCs w:val="21"/>
        </w:rPr>
        <w:t>并在环保机构设置和环境教育方面也取得了很大成绩。</w:t>
      </w:r>
      <w:r>
        <w:rPr>
          <w:rFonts w:ascii="宋体" w:hAnsi="宋体" w:eastAsia="宋体" w:cs="AdobeSongStd-Light"/>
          <w:szCs w:val="21"/>
        </w:rPr>
        <w:t xml:space="preserve">1992 </w:t>
      </w:r>
      <w:r>
        <w:rPr>
          <w:rFonts w:hint="eastAsia" w:ascii="宋体" w:hAnsi="宋体" w:eastAsia="宋体" w:cs="AdobeSongStd-Light"/>
          <w:szCs w:val="21"/>
        </w:rPr>
        <w:t>年联合国环发大会之后</w:t>
      </w:r>
      <w:r>
        <w:rPr>
          <w:rFonts w:ascii="宋体" w:hAnsi="宋体" w:eastAsia="宋体" w:cs="AdobeSongStd-Light"/>
          <w:szCs w:val="21"/>
        </w:rPr>
        <w:t>，</w:t>
      </w:r>
      <w:r>
        <w:rPr>
          <w:rFonts w:hint="eastAsia" w:ascii="宋体" w:hAnsi="宋体" w:eastAsia="宋体" w:cs="AdobeSongStd-Light"/>
          <w:szCs w:val="21"/>
        </w:rPr>
        <w:t>中国公布《中国环境保护与发展十大对策》</w:t>
      </w:r>
      <w:r>
        <w:rPr>
          <w:rFonts w:ascii="宋体" w:hAnsi="宋体" w:eastAsia="宋体" w:cs="AdobeSongStd-Light"/>
          <w:szCs w:val="21"/>
        </w:rPr>
        <w:t>，</w:t>
      </w:r>
      <w:r>
        <w:rPr>
          <w:rFonts w:hint="eastAsia" w:ascii="宋体" w:hAnsi="宋体" w:eastAsia="宋体" w:cs="AdobeSongStd-Light"/>
          <w:szCs w:val="21"/>
        </w:rPr>
        <w:t>明确提出在实现现代化的过程中</w:t>
      </w:r>
      <w:r>
        <w:rPr>
          <w:rFonts w:ascii="宋体" w:hAnsi="宋体" w:eastAsia="宋体" w:cs="AdobeSongStd-Light"/>
          <w:szCs w:val="21"/>
        </w:rPr>
        <w:t>，</w:t>
      </w:r>
      <w:r>
        <w:rPr>
          <w:rFonts w:hint="eastAsia" w:ascii="宋体" w:hAnsi="宋体" w:eastAsia="宋体" w:cs="AdobeSongStd-Light"/>
          <w:szCs w:val="21"/>
        </w:rPr>
        <w:t>必须实施可持续发展战略</w:t>
      </w:r>
      <w:r>
        <w:rPr>
          <w:rFonts w:ascii="宋体" w:hAnsi="宋体" w:eastAsia="宋体" w:cs="AdobeSongStd-Light"/>
          <w:szCs w:val="21"/>
          <w:vertAlign w:val="superscript"/>
        </w:rPr>
        <w:footnoteReference w:id="375"/>
      </w:r>
      <w:r>
        <w:rPr>
          <w:rFonts w:hint="eastAsia" w:ascii="宋体" w:hAnsi="宋体" w:eastAsia="宋体" w:cs="AdobeSongStd-Light"/>
          <w:szCs w:val="21"/>
        </w:rPr>
        <w:t>。</w:t>
      </w:r>
      <w:r>
        <w:rPr>
          <w:rFonts w:ascii="宋体" w:hAnsi="宋体" w:eastAsia="宋体" w:cs="AdobeSongStd-Light"/>
          <w:szCs w:val="21"/>
        </w:rPr>
        <w:t>1995</w:t>
      </w:r>
      <w:r>
        <w:rPr>
          <w:rFonts w:hint="eastAsia" w:ascii="宋体" w:hAnsi="宋体" w:eastAsia="宋体" w:cs="AdobeSongStd-Light"/>
          <w:szCs w:val="21"/>
        </w:rPr>
        <w:t>年</w:t>
      </w:r>
      <w:r>
        <w:rPr>
          <w:rFonts w:ascii="宋体" w:hAnsi="宋体" w:eastAsia="宋体" w:cs="AdobeSongStd-Light"/>
          <w:szCs w:val="21"/>
        </w:rPr>
        <w:t>，</w:t>
      </w:r>
      <w:r>
        <w:rPr>
          <w:rFonts w:hint="eastAsia" w:ascii="宋体" w:hAnsi="宋体" w:eastAsia="宋体" w:cs="AdobeSongStd-Light"/>
          <w:szCs w:val="21"/>
        </w:rPr>
        <w:t>《中国环境保护</w:t>
      </w:r>
      <w:r>
        <w:rPr>
          <w:rFonts w:ascii="宋体" w:hAnsi="宋体" w:eastAsia="宋体" w:cs="AdobeSongStd-Light"/>
          <w:szCs w:val="21"/>
        </w:rPr>
        <w:t>21</w:t>
      </w:r>
      <w:r>
        <w:rPr>
          <w:rFonts w:hint="eastAsia" w:ascii="宋体" w:hAnsi="宋体" w:eastAsia="宋体" w:cs="AdobeSongStd-Light"/>
          <w:szCs w:val="21"/>
        </w:rPr>
        <w:t>世纪议程》发布。</w:t>
      </w:r>
      <w:r>
        <w:rPr>
          <w:rFonts w:ascii="宋体" w:hAnsi="宋体" w:eastAsia="宋体" w:cs="AdobeSongStd-Light"/>
          <w:szCs w:val="21"/>
        </w:rPr>
        <w:t>1996</w:t>
      </w:r>
      <w:r>
        <w:rPr>
          <w:rFonts w:hint="eastAsia" w:ascii="宋体" w:hAnsi="宋体" w:eastAsia="宋体" w:cs="AdobeSongStd-Light"/>
          <w:szCs w:val="21"/>
        </w:rPr>
        <w:t>年第四次全国环保会议在进一步强调保护环境基本国策的基础上，确立了跨世纪绿色工程计划。</w:t>
      </w:r>
      <w:r>
        <w:rPr>
          <w:rFonts w:ascii="宋体" w:hAnsi="宋体" w:eastAsia="宋体" w:cs="AdobeSongStd-Light"/>
          <w:szCs w:val="21"/>
        </w:rPr>
        <w:t xml:space="preserve">1999 </w:t>
      </w:r>
      <w:r>
        <w:rPr>
          <w:rFonts w:hint="eastAsia" w:ascii="宋体" w:hAnsi="宋体" w:eastAsia="宋体" w:cs="AdobeSongStd-Light"/>
          <w:szCs w:val="21"/>
        </w:rPr>
        <w:t>年</w:t>
      </w:r>
      <w:r>
        <w:rPr>
          <w:rFonts w:ascii="宋体" w:hAnsi="宋体" w:eastAsia="宋体" w:cs="AdobeSongStd-Light"/>
          <w:szCs w:val="21"/>
        </w:rPr>
        <w:t xml:space="preserve">3 </w:t>
      </w:r>
      <w:r>
        <w:rPr>
          <w:rFonts w:hint="eastAsia" w:ascii="宋体" w:hAnsi="宋体" w:eastAsia="宋体" w:cs="AdobeSongStd-Light"/>
          <w:szCs w:val="21"/>
        </w:rPr>
        <w:t>月中央人口资源环境工作座谈会为贯彻环境可持续发展战略作出部署</w:t>
      </w:r>
      <w:r>
        <w:rPr>
          <w:rFonts w:ascii="宋体" w:hAnsi="宋体" w:eastAsia="宋体" w:cs="AdobeSongStd-Light"/>
          <w:szCs w:val="21"/>
        </w:rPr>
        <w:t>，</w:t>
      </w:r>
      <w:r>
        <w:rPr>
          <w:rFonts w:hint="eastAsia" w:ascii="宋体" w:hAnsi="宋体" w:eastAsia="宋体" w:cs="AdobeSongStd-Light"/>
          <w:szCs w:val="21"/>
        </w:rPr>
        <w:t>进一步指明了中国的环保工作方向。</w:t>
      </w:r>
      <w:r>
        <w:rPr>
          <w:rFonts w:ascii="宋体" w:hAnsi="宋体" w:eastAsia="宋体" w:cs="AdobeSongStd-Light"/>
          <w:szCs w:val="21"/>
        </w:rPr>
        <w:t>2003</w:t>
      </w:r>
      <w:r>
        <w:rPr>
          <w:rFonts w:hint="eastAsia" w:ascii="宋体" w:hAnsi="宋体" w:eastAsia="宋体" w:cs="AdobeSongStd-Light"/>
          <w:szCs w:val="21"/>
        </w:rPr>
        <w:t>年初第五次全国环保会议要求把环境保护工作摆到同发展生产力同样重要的位置</w:t>
      </w:r>
      <w:r>
        <w:rPr>
          <w:rFonts w:ascii="宋体" w:hAnsi="宋体" w:eastAsia="宋体" w:cs="AdobeSongStd-Light"/>
          <w:szCs w:val="21"/>
        </w:rPr>
        <w:t>，</w:t>
      </w:r>
      <w:r>
        <w:rPr>
          <w:rFonts w:hint="eastAsia" w:ascii="宋体" w:hAnsi="宋体" w:eastAsia="宋体" w:cs="AdobeSongStd-Light"/>
          <w:szCs w:val="21"/>
        </w:rPr>
        <w:t>走市场化和产业化的路子。在</w:t>
      </w:r>
      <w:r>
        <w:rPr>
          <w:rFonts w:ascii="宋体" w:hAnsi="宋体" w:eastAsia="宋体" w:cs="AdobeSongStd-Light"/>
          <w:szCs w:val="21"/>
        </w:rPr>
        <w:t>2003</w:t>
      </w:r>
      <w:r>
        <w:rPr>
          <w:rFonts w:hint="eastAsia" w:ascii="宋体" w:hAnsi="宋体" w:eastAsia="宋体" w:cs="AdobeSongStd-Light"/>
          <w:szCs w:val="21"/>
        </w:rPr>
        <w:t>年</w:t>
      </w:r>
      <w:r>
        <w:rPr>
          <w:rFonts w:ascii="宋体" w:hAnsi="宋体" w:eastAsia="宋体" w:cs="AdobeSongStd-Light"/>
          <w:szCs w:val="21"/>
        </w:rPr>
        <w:t>3</w:t>
      </w:r>
      <w:r>
        <w:rPr>
          <w:rFonts w:hint="eastAsia" w:ascii="宋体" w:hAnsi="宋体" w:eastAsia="宋体" w:cs="AdobeSongStd-Light"/>
          <w:szCs w:val="21"/>
        </w:rPr>
        <w:t>月的座谈会上</w:t>
      </w:r>
      <w:r>
        <w:rPr>
          <w:rFonts w:ascii="宋体" w:hAnsi="宋体" w:eastAsia="宋体" w:cs="AdobeSongStd-Light"/>
          <w:szCs w:val="21"/>
        </w:rPr>
        <w:t>，</w:t>
      </w:r>
      <w:r>
        <w:rPr>
          <w:rFonts w:hint="eastAsia" w:ascii="宋体" w:hAnsi="宋体" w:eastAsia="宋体" w:cs="AdobeSongStd-Light"/>
          <w:szCs w:val="21"/>
        </w:rPr>
        <w:t>胡锦涛总书记指出</w:t>
      </w:r>
      <w:r>
        <w:rPr>
          <w:rFonts w:ascii="宋体" w:hAnsi="宋体" w:eastAsia="宋体" w:cs="AdobeSongStd-Light"/>
          <w:szCs w:val="21"/>
        </w:rPr>
        <w:t>:</w:t>
      </w:r>
      <w:r>
        <w:rPr>
          <w:rFonts w:hint="eastAsia" w:ascii="宋体" w:hAnsi="宋体" w:eastAsia="宋体" w:cs="AdobeSongStd-Light"/>
          <w:szCs w:val="21"/>
        </w:rPr>
        <w:t>在推进发展中要充分考虑资源环境承受力</w:t>
      </w:r>
      <w:r>
        <w:rPr>
          <w:rFonts w:ascii="宋体" w:hAnsi="宋体" w:eastAsia="宋体" w:cs="AdobeSongStd-Light"/>
          <w:szCs w:val="21"/>
        </w:rPr>
        <w:t>，</w:t>
      </w:r>
      <w:r>
        <w:rPr>
          <w:rFonts w:hint="eastAsia" w:ascii="宋体" w:hAnsi="宋体" w:eastAsia="宋体" w:cs="AdobeSongStd-Light"/>
          <w:szCs w:val="21"/>
        </w:rPr>
        <w:t>积极发展循环经济。至此中国政府共颁布了</w:t>
      </w:r>
      <w:r>
        <w:rPr>
          <w:rFonts w:ascii="宋体" w:hAnsi="宋体" w:eastAsia="宋体" w:cs="AdobeSongStd-Light"/>
          <w:szCs w:val="21"/>
        </w:rPr>
        <w:t>800</w:t>
      </w:r>
      <w:r>
        <w:rPr>
          <w:rFonts w:hint="eastAsia" w:ascii="宋体" w:hAnsi="宋体" w:eastAsia="宋体" w:cs="AdobeSongStd-Light"/>
          <w:szCs w:val="21"/>
        </w:rPr>
        <w:t>余项国家环保标准</w:t>
      </w:r>
      <w:r>
        <w:rPr>
          <w:rFonts w:ascii="宋体" w:hAnsi="宋体" w:eastAsia="宋体" w:cs="AdobeSongStd-Light"/>
          <w:szCs w:val="21"/>
        </w:rPr>
        <w:t>，</w:t>
      </w:r>
      <w:r>
        <w:rPr>
          <w:rFonts w:hint="eastAsia" w:ascii="宋体" w:hAnsi="宋体" w:eastAsia="宋体" w:cs="AdobeSongStd-Light"/>
          <w:szCs w:val="21"/>
        </w:rPr>
        <w:t>设立全国各级环保行政主管部门</w:t>
      </w:r>
      <w:r>
        <w:rPr>
          <w:rFonts w:ascii="宋体" w:hAnsi="宋体" w:eastAsia="宋体" w:cs="AdobeSongStd-Light"/>
          <w:szCs w:val="21"/>
        </w:rPr>
        <w:t>3200</w:t>
      </w:r>
      <w:r>
        <w:rPr>
          <w:rFonts w:hint="eastAsia" w:ascii="宋体" w:hAnsi="宋体" w:eastAsia="宋体" w:cs="AdobeSongStd-Light"/>
          <w:szCs w:val="21"/>
        </w:rPr>
        <w:t>多个</w:t>
      </w:r>
      <w:r>
        <w:rPr>
          <w:rFonts w:ascii="宋体" w:hAnsi="宋体" w:eastAsia="宋体" w:cs="AdobeSongStd-Light"/>
          <w:szCs w:val="21"/>
        </w:rPr>
        <w:t>，</w:t>
      </w:r>
      <w:r>
        <w:rPr>
          <w:rFonts w:hint="eastAsia" w:ascii="宋体" w:hAnsi="宋体" w:eastAsia="宋体" w:cs="AdobeSongStd-Light"/>
          <w:szCs w:val="21"/>
        </w:rPr>
        <w:t>各级环境检察执法机构</w:t>
      </w:r>
      <w:r>
        <w:rPr>
          <w:rFonts w:ascii="宋体" w:hAnsi="宋体" w:eastAsia="宋体" w:cs="AdobeSongStd-Light"/>
          <w:szCs w:val="21"/>
        </w:rPr>
        <w:t>3 800</w:t>
      </w:r>
      <w:r>
        <w:rPr>
          <w:rFonts w:hint="eastAsia" w:ascii="宋体" w:hAnsi="宋体" w:eastAsia="宋体" w:cs="AdobeSongStd-Light"/>
          <w:szCs w:val="21"/>
        </w:rPr>
        <w:t>多个</w:t>
      </w:r>
      <w:r>
        <w:rPr>
          <w:rFonts w:ascii="宋体" w:hAnsi="宋体" w:eastAsia="宋体" w:cs="AdobeSongStd-Light"/>
          <w:szCs w:val="21"/>
        </w:rPr>
        <w:t>，</w:t>
      </w:r>
      <w:r>
        <w:rPr>
          <w:rFonts w:hint="eastAsia" w:ascii="宋体" w:hAnsi="宋体" w:eastAsia="宋体" w:cs="AdobeSongStd-Light"/>
          <w:szCs w:val="21"/>
        </w:rPr>
        <w:t>并已形成与市场经济相适应的、门类基本齐全的环保产业体系。</w:t>
      </w:r>
      <w:r>
        <w:rPr>
          <w:rFonts w:ascii="宋体" w:hAnsi="宋体" w:eastAsia="宋体" w:cs="AdobeSongStd-Light"/>
          <w:szCs w:val="21"/>
          <w:vertAlign w:val="superscript"/>
        </w:rPr>
        <w:footnoteReference w:id="376"/>
      </w:r>
    </w:p>
    <w:p w14:paraId="5DA425E6">
      <w:pPr>
        <w:autoSpaceDE w:val="0"/>
        <w:autoSpaceDN w:val="0"/>
        <w:spacing w:line="400" w:lineRule="exact"/>
        <w:ind w:firstLine="440" w:firstLineChars="200"/>
        <w:rPr>
          <w:rFonts w:ascii="宋体" w:hAnsi="宋体" w:eastAsia="宋体" w:cs="AdobeSongStd-Light,Bold"/>
          <w:b/>
          <w:bCs/>
          <w:szCs w:val="21"/>
        </w:rPr>
      </w:pPr>
      <w:r>
        <w:rPr>
          <w:rFonts w:ascii="宋体" w:hAnsi="宋体" w:eastAsia="宋体" w:cs="AdobeSongStd-Light"/>
          <w:szCs w:val="21"/>
        </w:rPr>
        <w:t>3.2004</w:t>
      </w:r>
      <w:r>
        <w:rPr>
          <w:rFonts w:hint="eastAsia" w:ascii="宋体" w:hAnsi="宋体" w:eastAsia="宋体" w:cs="AdobeSongStd-Light"/>
          <w:szCs w:val="21"/>
        </w:rPr>
        <w:t>年至今</w:t>
      </w:r>
      <w:r>
        <w:rPr>
          <w:rFonts w:ascii="宋体" w:hAnsi="宋体" w:eastAsia="宋体" w:cs="AdobeSongStd-Light"/>
          <w:szCs w:val="21"/>
        </w:rPr>
        <w:t>，</w:t>
      </w:r>
      <w:r>
        <w:rPr>
          <w:rFonts w:hint="eastAsia" w:ascii="宋体" w:hAnsi="宋体" w:eastAsia="宋体" w:cs="AdobeSongStd-Light"/>
          <w:szCs w:val="21"/>
        </w:rPr>
        <w:t>建立以科学发展观为指导的环境保护管理体系阶段。</w:t>
      </w:r>
      <w:r>
        <w:rPr>
          <w:rFonts w:ascii="宋体" w:hAnsi="宋体" w:eastAsia="宋体" w:cs="AdobeSongStd-Light"/>
          <w:szCs w:val="21"/>
        </w:rPr>
        <w:t>2005</w:t>
      </w:r>
      <w:r>
        <w:rPr>
          <w:rFonts w:hint="eastAsia" w:ascii="宋体" w:hAnsi="宋体" w:eastAsia="宋体" w:cs="AdobeSongStd-Light"/>
          <w:szCs w:val="21"/>
        </w:rPr>
        <w:t>年</w:t>
      </w:r>
      <w:r>
        <w:rPr>
          <w:rFonts w:ascii="宋体" w:hAnsi="宋体" w:eastAsia="宋体" w:cs="AdobeSongStd-Light"/>
          <w:szCs w:val="21"/>
        </w:rPr>
        <w:t>12</w:t>
      </w:r>
      <w:r>
        <w:rPr>
          <w:rFonts w:hint="eastAsia" w:ascii="宋体" w:hAnsi="宋体" w:eastAsia="宋体" w:cs="AdobeSongStd-Light"/>
          <w:szCs w:val="21"/>
        </w:rPr>
        <w:t>月国务院《关于落实科学发展观加强环境保护的决定》指出</w:t>
      </w:r>
      <w:r>
        <w:rPr>
          <w:rFonts w:ascii="宋体" w:hAnsi="宋体" w:eastAsia="宋体" w:cs="AdobeSongStd-Light"/>
          <w:szCs w:val="21"/>
        </w:rPr>
        <w:t>，</w:t>
      </w:r>
      <w:r>
        <w:rPr>
          <w:rFonts w:hint="eastAsia" w:ascii="宋体" w:hAnsi="宋体" w:eastAsia="宋体" w:cs="AdobeSongStd-Light"/>
          <w:szCs w:val="21"/>
        </w:rPr>
        <w:t>加强环境保护是落实科学发展观的重要举措</w:t>
      </w:r>
      <w:r>
        <w:rPr>
          <w:rFonts w:ascii="宋体" w:hAnsi="宋体" w:eastAsia="宋体" w:cs="AdobeSongStd-Light"/>
          <w:szCs w:val="21"/>
        </w:rPr>
        <w:t>，</w:t>
      </w:r>
      <w:r>
        <w:rPr>
          <w:rFonts w:hint="eastAsia" w:ascii="宋体" w:hAnsi="宋体" w:eastAsia="宋体" w:cs="AdobeSongStd-Light"/>
          <w:szCs w:val="21"/>
        </w:rPr>
        <w:t>是全面建设小康社会的内在要求。《决定》把环境保护摆到了更加重要的战略位置</w:t>
      </w:r>
      <w:r>
        <w:rPr>
          <w:rFonts w:ascii="宋体" w:hAnsi="宋体" w:eastAsia="宋体" w:cs="AdobeSongStd-Light"/>
          <w:szCs w:val="21"/>
        </w:rPr>
        <w:t>，</w:t>
      </w:r>
      <w:r>
        <w:rPr>
          <w:rFonts w:hint="eastAsia" w:ascii="宋体" w:hAnsi="宋体" w:eastAsia="宋体" w:cs="AdobeSongStd-Light"/>
          <w:szCs w:val="21"/>
        </w:rPr>
        <w:t>迈开了以科学发展观指导环保工作的第一步。</w:t>
      </w:r>
      <w:r>
        <w:rPr>
          <w:rFonts w:ascii="宋体" w:hAnsi="宋体" w:eastAsia="宋体" w:cs="AdobeSongStd-Light"/>
          <w:szCs w:val="21"/>
        </w:rPr>
        <w:t xml:space="preserve">2006 </w:t>
      </w:r>
      <w:r>
        <w:rPr>
          <w:rFonts w:hint="eastAsia" w:ascii="宋体" w:hAnsi="宋体" w:eastAsia="宋体" w:cs="AdobeSongStd-Light"/>
          <w:szCs w:val="21"/>
        </w:rPr>
        <w:t>年</w:t>
      </w:r>
      <w:r>
        <w:rPr>
          <w:rFonts w:ascii="宋体" w:hAnsi="宋体" w:eastAsia="宋体" w:cs="AdobeSongStd-Light"/>
          <w:szCs w:val="21"/>
        </w:rPr>
        <w:t xml:space="preserve">4 </w:t>
      </w:r>
      <w:r>
        <w:rPr>
          <w:rFonts w:hint="eastAsia" w:ascii="宋体" w:hAnsi="宋体" w:eastAsia="宋体" w:cs="AdobeSongStd-Light"/>
          <w:szCs w:val="21"/>
        </w:rPr>
        <w:t>月的第六次环保大会是中国环保事业发展进程中的又一次盛会</w:t>
      </w:r>
      <w:r>
        <w:rPr>
          <w:rFonts w:ascii="宋体" w:hAnsi="宋体" w:eastAsia="宋体" w:cs="AdobeSongStd-Light"/>
          <w:szCs w:val="21"/>
        </w:rPr>
        <w:t>，</w:t>
      </w:r>
      <w:r>
        <w:rPr>
          <w:rFonts w:hint="eastAsia" w:ascii="宋体" w:hAnsi="宋体" w:eastAsia="宋体" w:cs="AdobeSongStd-Light"/>
          <w:szCs w:val="21"/>
        </w:rPr>
        <w:t>政府首脑在大会讲话一开始就明确提出“必须把保护环境摆在更加重要的位置”</w:t>
      </w:r>
      <w:r>
        <w:rPr>
          <w:rFonts w:ascii="宋体" w:hAnsi="宋体" w:eastAsia="宋体" w:cs="AdobeSongStd-Light"/>
          <w:szCs w:val="21"/>
        </w:rPr>
        <w:t>，</w:t>
      </w:r>
      <w:r>
        <w:rPr>
          <w:rFonts w:hint="eastAsia" w:ascii="宋体" w:hAnsi="宋体" w:eastAsia="宋体" w:cs="AdobeSongStd-Light"/>
          <w:szCs w:val="21"/>
        </w:rPr>
        <w:t>并提出做好新形势下环保工作的“三个转变”</w:t>
      </w:r>
      <w:r>
        <w:rPr>
          <w:rFonts w:ascii="宋体" w:hAnsi="宋体" w:eastAsia="宋体" w:cs="AdobeSongStd-Light"/>
          <w:szCs w:val="21"/>
          <w:vertAlign w:val="superscript"/>
        </w:rPr>
        <w:footnoteReference w:id="377"/>
      </w:r>
      <w:r>
        <w:rPr>
          <w:rFonts w:ascii="宋体" w:hAnsi="宋体" w:eastAsia="宋体" w:cs="AdobeSongStd-Light"/>
          <w:szCs w:val="21"/>
        </w:rPr>
        <w:t xml:space="preserve"> ，</w:t>
      </w:r>
      <w:r>
        <w:rPr>
          <w:rFonts w:hint="eastAsia" w:ascii="宋体" w:hAnsi="宋体" w:eastAsia="宋体" w:cs="AdobeSongStd-Light"/>
          <w:szCs w:val="21"/>
        </w:rPr>
        <w:t>标志着中国环境与发展的关系正在发生战略性、方向性、历史性的转变。</w:t>
      </w:r>
      <w:r>
        <w:rPr>
          <w:rFonts w:ascii="宋体" w:hAnsi="宋体" w:eastAsia="宋体" w:cs="AdobeSongStd-Light"/>
          <w:szCs w:val="21"/>
        </w:rPr>
        <w:t>2007</w:t>
      </w:r>
      <w:r>
        <w:rPr>
          <w:rFonts w:hint="eastAsia" w:ascii="宋体" w:hAnsi="宋体" w:eastAsia="宋体" w:cs="AdobeSongStd-Light"/>
          <w:szCs w:val="21"/>
        </w:rPr>
        <w:t>年</w:t>
      </w:r>
      <w:r>
        <w:rPr>
          <w:rFonts w:ascii="宋体" w:hAnsi="宋体" w:eastAsia="宋体" w:cs="AdobeSongStd-Light"/>
          <w:szCs w:val="21"/>
        </w:rPr>
        <w:t>11</w:t>
      </w:r>
      <w:r>
        <w:rPr>
          <w:rFonts w:hint="eastAsia" w:ascii="宋体" w:hAnsi="宋体" w:eastAsia="宋体" w:cs="AdobeSongStd-Light"/>
          <w:szCs w:val="21"/>
        </w:rPr>
        <w:t>月《国家环境保护“十一五”规划纲要》公布。在科学发展观的指导下</w:t>
      </w:r>
      <w:r>
        <w:rPr>
          <w:rFonts w:ascii="宋体" w:hAnsi="宋体" w:eastAsia="宋体" w:cs="AdobeSongStd-Light"/>
          <w:szCs w:val="21"/>
        </w:rPr>
        <w:t>，</w:t>
      </w:r>
      <w:r>
        <w:rPr>
          <w:rFonts w:hint="eastAsia" w:ascii="宋体" w:hAnsi="宋体" w:eastAsia="宋体" w:cs="AdobeSongStd-Light"/>
          <w:szCs w:val="21"/>
        </w:rPr>
        <w:t>这一阶段中国的环境保护理念上升到前所未有的高度</w:t>
      </w:r>
      <w:r>
        <w:rPr>
          <w:rFonts w:ascii="宋体" w:hAnsi="宋体" w:eastAsia="宋体" w:cs="AdobeSongStd-Light"/>
          <w:szCs w:val="21"/>
        </w:rPr>
        <w:t>，</w:t>
      </w:r>
      <w:r>
        <w:rPr>
          <w:rFonts w:hint="eastAsia" w:ascii="宋体" w:hAnsi="宋体" w:eastAsia="宋体" w:cs="AdobeSongStd-Light"/>
          <w:szCs w:val="21"/>
        </w:rPr>
        <w:t>最广泛的环保“统一战线”逐渐形成</w:t>
      </w:r>
      <w:r>
        <w:rPr>
          <w:rFonts w:ascii="宋体" w:hAnsi="宋体" w:eastAsia="宋体" w:cs="AdobeSongStd-Light"/>
          <w:szCs w:val="21"/>
        </w:rPr>
        <w:t>，</w:t>
      </w:r>
      <w:r>
        <w:rPr>
          <w:rFonts w:hint="eastAsia" w:ascii="宋体" w:hAnsi="宋体" w:eastAsia="宋体" w:cs="AdobeSongStd-Light"/>
          <w:szCs w:val="21"/>
        </w:rPr>
        <w:t>迈出了历史性转变的坚实步伐</w:t>
      </w:r>
      <w:r>
        <w:rPr>
          <w:rFonts w:ascii="宋体" w:hAnsi="宋体" w:eastAsia="宋体" w:cs="AdobeSongStd-Light"/>
          <w:szCs w:val="21"/>
        </w:rPr>
        <w:t>，</w:t>
      </w:r>
      <w:r>
        <w:rPr>
          <w:rFonts w:hint="eastAsia" w:ascii="宋体" w:hAnsi="宋体" w:eastAsia="宋体" w:cs="AdobeSongStd-Light"/>
          <w:szCs w:val="21"/>
        </w:rPr>
        <w:t>环保事业焕发出空前的生机与活力。</w:t>
      </w:r>
    </w:p>
    <w:p w14:paraId="6AE66912">
      <w:pPr>
        <w:autoSpaceDE w:val="0"/>
        <w:autoSpaceDN w:val="0"/>
        <w:spacing w:line="360" w:lineRule="auto"/>
        <w:ind w:firstLine="50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rPr>
        <w:t>二、中国人口资源环境现状及对可持续发展的制约</w:t>
      </w:r>
    </w:p>
    <w:p w14:paraId="22EC1C77">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美国经济学家赫尔曼·</w:t>
      </w:r>
      <w:r>
        <w:rPr>
          <w:rFonts w:ascii="宋体" w:hAnsi="宋体" w:eastAsia="宋体" w:cs="AdobeSongStd-Light"/>
          <w:szCs w:val="21"/>
        </w:rPr>
        <w:t>E.</w:t>
      </w:r>
      <w:r>
        <w:rPr>
          <w:rFonts w:hint="eastAsia" w:ascii="宋体" w:hAnsi="宋体" w:eastAsia="宋体" w:cs="AdobeSongStd-Light"/>
          <w:szCs w:val="21"/>
        </w:rPr>
        <w:t>戴利指出“总量有限性”应该成为人类认识人口资源环境关系的最高原则和第一性命题</w:t>
      </w:r>
      <w:r>
        <w:rPr>
          <w:rFonts w:ascii="宋体" w:hAnsi="宋体" w:eastAsia="宋体" w:cs="AdobeSongStd-Light"/>
          <w:szCs w:val="21"/>
          <w:vertAlign w:val="superscript"/>
        </w:rPr>
        <w:footnoteReference w:id="378"/>
      </w:r>
      <w:r>
        <w:rPr>
          <w:rFonts w:hint="eastAsia" w:ascii="宋体" w:hAnsi="宋体" w:eastAsia="宋体" w:cs="AdobeSongStd-Light"/>
          <w:szCs w:val="21"/>
        </w:rPr>
        <w:t>。当以“人口、资源与环境经济学”的视角来讨论三者行为关系时</w:t>
      </w:r>
      <w:r>
        <w:rPr>
          <w:rFonts w:ascii="宋体" w:hAnsi="宋体" w:eastAsia="宋体" w:cs="AdobeSongStd-Light"/>
          <w:szCs w:val="21"/>
        </w:rPr>
        <w:t>，</w:t>
      </w:r>
      <w:r>
        <w:rPr>
          <w:rFonts w:hint="eastAsia" w:ascii="宋体" w:hAnsi="宋体" w:eastAsia="宋体" w:cs="AdobeSongStd-Light"/>
          <w:szCs w:val="21"/>
        </w:rPr>
        <w:t>我们看到</w:t>
      </w:r>
      <w:r>
        <w:rPr>
          <w:rFonts w:ascii="宋体" w:hAnsi="宋体" w:eastAsia="宋体" w:cs="AdobeSongStd-Light"/>
          <w:szCs w:val="21"/>
        </w:rPr>
        <w:t>，</w:t>
      </w:r>
      <w:r>
        <w:rPr>
          <w:rFonts w:hint="eastAsia" w:ascii="宋体" w:hAnsi="宋体" w:eastAsia="宋体" w:cs="AdobeSongStd-Light"/>
          <w:szCs w:val="21"/>
        </w:rPr>
        <w:t>由于国情的特殊性</w:t>
      </w:r>
      <w:r>
        <w:rPr>
          <w:rFonts w:ascii="宋体" w:hAnsi="宋体" w:eastAsia="宋体" w:cs="AdobeSongStd-Light"/>
          <w:szCs w:val="21"/>
        </w:rPr>
        <w:t>，</w:t>
      </w:r>
      <w:r>
        <w:rPr>
          <w:rFonts w:hint="eastAsia" w:ascii="宋体" w:hAnsi="宋体" w:eastAsia="宋体" w:cs="AdobeSongStd-Light"/>
          <w:szCs w:val="21"/>
        </w:rPr>
        <w:t>决定了中国面对着异乎寻常的可持续发展制约问题。一方面是人口资源环境的“总量有限性”问题</w:t>
      </w:r>
      <w:r>
        <w:rPr>
          <w:rFonts w:ascii="宋体" w:hAnsi="宋体" w:eastAsia="宋体" w:cs="AdobeSongStd-Light"/>
          <w:szCs w:val="21"/>
        </w:rPr>
        <w:t>；</w:t>
      </w:r>
      <w:r>
        <w:rPr>
          <w:rFonts w:hint="eastAsia" w:ascii="宋体" w:hAnsi="宋体" w:eastAsia="宋体" w:cs="AdobeSongStd-Light"/>
          <w:szCs w:val="21"/>
        </w:rPr>
        <w:t>另一方面还在于</w:t>
      </w:r>
      <w:r>
        <w:rPr>
          <w:rFonts w:ascii="宋体" w:hAnsi="宋体" w:eastAsia="宋体" w:cs="AdobeSongStd-Light"/>
          <w:szCs w:val="21"/>
        </w:rPr>
        <w:t>:</w:t>
      </w:r>
      <w:r>
        <w:rPr>
          <w:rFonts w:hint="eastAsia" w:ascii="宋体" w:hAnsi="宋体" w:eastAsia="宋体" w:cs="AdobeSongStd-Light"/>
          <w:szCs w:val="21"/>
        </w:rPr>
        <w:t>在由计划体制向市场体制转轨的过程中</w:t>
      </w:r>
      <w:r>
        <w:rPr>
          <w:rFonts w:ascii="宋体" w:hAnsi="宋体" w:eastAsia="宋体" w:cs="AdobeSongStd-Light"/>
          <w:szCs w:val="21"/>
        </w:rPr>
        <w:t>，</w:t>
      </w:r>
      <w:r>
        <w:rPr>
          <w:rFonts w:hint="eastAsia" w:ascii="宋体" w:hAnsi="宋体" w:eastAsia="宋体" w:cs="AdobeSongStd-Light"/>
          <w:szCs w:val="21"/>
        </w:rPr>
        <w:t>政策调整和制度创新的空间可能使我们走出一条独具特色的可持续发展之路</w:t>
      </w:r>
      <w:r>
        <w:rPr>
          <w:rFonts w:ascii="宋体" w:hAnsi="宋体" w:eastAsia="宋体" w:cs="AdobeSongStd-Light"/>
          <w:szCs w:val="21"/>
        </w:rPr>
        <w:t>，</w:t>
      </w:r>
      <w:r>
        <w:rPr>
          <w:rFonts w:hint="eastAsia" w:ascii="宋体" w:hAnsi="宋体" w:eastAsia="宋体" w:cs="AdobeSongStd-Light"/>
          <w:szCs w:val="21"/>
        </w:rPr>
        <w:t>但转轨极易产生的难以规避的系统残缺、政策体制空白和视阈盲区</w:t>
      </w:r>
      <w:r>
        <w:rPr>
          <w:rFonts w:ascii="宋体" w:hAnsi="宋体" w:eastAsia="宋体" w:cs="AdobeSongStd-Light"/>
          <w:szCs w:val="21"/>
        </w:rPr>
        <w:t>，</w:t>
      </w:r>
      <w:r>
        <w:rPr>
          <w:rFonts w:hint="eastAsia" w:ascii="宋体" w:hAnsi="宋体" w:eastAsia="宋体" w:cs="AdobeSongStd-Light"/>
          <w:szCs w:val="21"/>
        </w:rPr>
        <w:t>也可能使我们的政策和举措面临“打折”之虞。这就要求我们在中国人口资源环境现状及对可持续发展的制约程度上</w:t>
      </w:r>
      <w:r>
        <w:rPr>
          <w:rFonts w:ascii="宋体" w:hAnsi="宋体" w:eastAsia="宋体" w:cs="AdobeSongStd-Light"/>
          <w:szCs w:val="21"/>
        </w:rPr>
        <w:t>，</w:t>
      </w:r>
      <w:r>
        <w:rPr>
          <w:rFonts w:hint="eastAsia" w:ascii="宋体" w:hAnsi="宋体" w:eastAsia="宋体" w:cs="AdobeSongStd-Light"/>
          <w:szCs w:val="21"/>
        </w:rPr>
        <w:t>必须作出客观、理性的审视。</w:t>
      </w:r>
    </w:p>
    <w:p w14:paraId="7D913572">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w:t>
      </w:r>
      <w:r>
        <w:rPr>
          <w:rFonts w:hint="eastAsia" w:ascii="宋体" w:hAnsi="宋体" w:eastAsia="宋体" w:cs="AdobeSongStd-Light"/>
          <w:b/>
          <w:szCs w:val="21"/>
        </w:rPr>
        <w:t>一</w:t>
      </w:r>
      <w:r>
        <w:rPr>
          <w:rFonts w:ascii="宋体" w:hAnsi="宋体" w:eastAsia="宋体" w:cs="AdobeSongStd-Light"/>
          <w:b/>
          <w:szCs w:val="21"/>
        </w:rPr>
        <w:t>)</w:t>
      </w:r>
      <w:r>
        <w:rPr>
          <w:rFonts w:hint="eastAsia" w:ascii="宋体" w:hAnsi="宋体" w:eastAsia="宋体" w:cs="AdobeSongStd-Light"/>
          <w:b/>
          <w:szCs w:val="21"/>
        </w:rPr>
        <w:t>人口方面</w:t>
      </w:r>
    </w:p>
    <w:p w14:paraId="3E43A7E4">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szCs w:val="21"/>
        </w:rPr>
        <w:t>1.</w:t>
      </w:r>
      <w:r>
        <w:rPr>
          <w:rFonts w:hint="eastAsia" w:ascii="宋体" w:hAnsi="宋体" w:eastAsia="宋体" w:cs="AdobeSongStd-Light"/>
          <w:szCs w:val="21"/>
        </w:rPr>
        <w:t>人口总量压力。截至</w:t>
      </w:r>
      <w:r>
        <w:rPr>
          <w:rFonts w:ascii="宋体" w:hAnsi="宋体" w:eastAsia="宋体" w:cs="AdobeSongStd-Light"/>
          <w:szCs w:val="21"/>
        </w:rPr>
        <w:t>2007</w:t>
      </w:r>
      <w:r>
        <w:rPr>
          <w:rFonts w:hint="eastAsia" w:ascii="宋体" w:hAnsi="宋体" w:eastAsia="宋体" w:cs="AdobeSongStd-Light"/>
          <w:szCs w:val="21"/>
        </w:rPr>
        <w:t>年末</w:t>
      </w:r>
      <w:r>
        <w:rPr>
          <w:rFonts w:ascii="宋体" w:hAnsi="宋体" w:eastAsia="宋体" w:cs="AdobeSongStd-Light"/>
          <w:szCs w:val="21"/>
        </w:rPr>
        <w:t>，</w:t>
      </w:r>
      <w:r>
        <w:rPr>
          <w:rFonts w:hint="eastAsia" w:ascii="宋体" w:hAnsi="宋体" w:eastAsia="宋体" w:cs="AdobeSongStd-Light"/>
          <w:szCs w:val="21"/>
        </w:rPr>
        <w:t>中国总人口为</w:t>
      </w:r>
      <w:r>
        <w:rPr>
          <w:rFonts w:ascii="宋体" w:hAnsi="宋体" w:eastAsia="宋体" w:cs="AdobeSongStd-Light"/>
          <w:szCs w:val="21"/>
        </w:rPr>
        <w:t>13</w:t>
      </w:r>
      <w:r>
        <w:rPr>
          <w:rFonts w:ascii="宋体" w:hAnsi="宋体" w:eastAsia="宋体" w:cs="cajcd-fntaa"/>
          <w:szCs w:val="21"/>
        </w:rPr>
        <w:t>1</w:t>
      </w:r>
      <w:r>
        <w:rPr>
          <w:rFonts w:ascii="宋体" w:hAnsi="宋体" w:eastAsia="宋体" w:cs="AdobeSongStd-Light"/>
          <w:szCs w:val="21"/>
        </w:rPr>
        <w:t>21</w:t>
      </w:r>
      <w:r>
        <w:rPr>
          <w:rFonts w:hint="eastAsia" w:ascii="宋体" w:hAnsi="宋体" w:eastAsia="宋体" w:cs="AdobeSongStd-Light"/>
          <w:szCs w:val="21"/>
        </w:rPr>
        <w:t>万人。</w:t>
      </w:r>
      <w:r>
        <w:rPr>
          <w:rFonts w:ascii="宋体" w:hAnsi="宋体" w:eastAsia="宋体" w:cs="AdobeSongStd-Light"/>
          <w:szCs w:val="21"/>
          <w:vertAlign w:val="superscript"/>
        </w:rPr>
        <w:footnoteReference w:id="379"/>
      </w:r>
      <w:r>
        <w:rPr>
          <w:rFonts w:hint="eastAsia" w:ascii="宋体" w:hAnsi="宋体" w:eastAsia="宋体" w:cs="AdobeSongStd-Light"/>
          <w:szCs w:val="21"/>
        </w:rPr>
        <w:t>尽管自然增长率已处于低位</w:t>
      </w:r>
      <w:r>
        <w:rPr>
          <w:rFonts w:ascii="宋体" w:hAnsi="宋体" w:eastAsia="宋体" w:cs="AdobeSongStd-Light"/>
          <w:szCs w:val="21"/>
        </w:rPr>
        <w:t>，</w:t>
      </w:r>
      <w:r>
        <w:rPr>
          <w:rFonts w:hint="eastAsia" w:ascii="宋体" w:hAnsi="宋体" w:eastAsia="宋体" w:cs="AdobeSongStd-Light"/>
          <w:szCs w:val="21"/>
        </w:rPr>
        <w:t>但是在未来的近</w:t>
      </w:r>
      <w:r>
        <w:rPr>
          <w:rFonts w:ascii="宋体" w:hAnsi="宋体" w:eastAsia="宋体" w:cs="AdobeSongStd-Light"/>
          <w:szCs w:val="21"/>
        </w:rPr>
        <w:t>40</w:t>
      </w:r>
      <w:r>
        <w:rPr>
          <w:rFonts w:hint="eastAsia" w:ascii="宋体" w:hAnsi="宋体" w:eastAsia="宋体" w:cs="AdobeSongStd-Light"/>
          <w:szCs w:val="21"/>
        </w:rPr>
        <w:t>年内还将有</w:t>
      </w:r>
      <w:r>
        <w:rPr>
          <w:rFonts w:ascii="宋体" w:hAnsi="宋体" w:eastAsia="宋体" w:cs="AdobeSongStd-Light"/>
          <w:szCs w:val="21"/>
        </w:rPr>
        <w:t>3</w:t>
      </w:r>
      <w:r>
        <w:rPr>
          <w:rFonts w:hint="eastAsia" w:ascii="宋体" w:hAnsi="宋体" w:eastAsia="宋体" w:cs="AdobeSongStd-Light"/>
          <w:szCs w:val="21"/>
        </w:rPr>
        <w:t>亿人的增幅。人口压力有增无减。国家人口计生委主任张维庆强调指出</w:t>
      </w:r>
      <w:r>
        <w:rPr>
          <w:rFonts w:ascii="宋体" w:hAnsi="宋体" w:eastAsia="宋体" w:cs="AdobeSongStd-Light"/>
          <w:szCs w:val="21"/>
        </w:rPr>
        <w:t>，</w:t>
      </w:r>
      <w:r>
        <w:rPr>
          <w:rFonts w:hint="eastAsia" w:ascii="宋体" w:hAnsi="宋体" w:eastAsia="宋体" w:cs="AdobeSongStd-Light"/>
          <w:szCs w:val="21"/>
        </w:rPr>
        <w:t>计划生育是我国必须长期坚持的基本国策没有改变</w:t>
      </w:r>
      <w:r>
        <w:rPr>
          <w:rFonts w:ascii="宋体" w:hAnsi="宋体" w:eastAsia="宋体" w:cs="AdobeSongStd-Light"/>
          <w:szCs w:val="21"/>
        </w:rPr>
        <w:t>，</w:t>
      </w:r>
      <w:r>
        <w:rPr>
          <w:rFonts w:hint="eastAsia" w:ascii="宋体" w:hAnsi="宋体" w:eastAsia="宋体" w:cs="AdobeSongStd-Light"/>
          <w:szCs w:val="21"/>
        </w:rPr>
        <w:t>人口和计划生育工作是“天下第一要事”的地位没有改变</w:t>
      </w:r>
      <w:r>
        <w:rPr>
          <w:rFonts w:ascii="宋体" w:hAnsi="宋体" w:eastAsia="宋体" w:cs="AdobeSongStd-Light"/>
          <w:szCs w:val="21"/>
        </w:rPr>
        <w:t>，</w:t>
      </w:r>
      <w:r>
        <w:rPr>
          <w:rFonts w:hint="eastAsia" w:ascii="宋体" w:hAnsi="宋体" w:eastAsia="宋体" w:cs="AdobeSongStd-Light"/>
          <w:szCs w:val="21"/>
        </w:rPr>
        <w:t>人口和计划生育工作是“天下第一难事”的性质没有改变</w:t>
      </w:r>
      <w:r>
        <w:rPr>
          <w:rFonts w:ascii="宋体" w:hAnsi="宋体" w:eastAsia="宋体" w:cs="AdobeSongStd-Light"/>
          <w:szCs w:val="21"/>
          <w:vertAlign w:val="superscript"/>
        </w:rPr>
        <w:footnoteReference w:id="380"/>
      </w:r>
      <w:r>
        <w:rPr>
          <w:rFonts w:hint="eastAsia" w:ascii="宋体" w:hAnsi="宋体" w:eastAsia="宋体" w:cs="AdobeSongStd-Light"/>
          <w:szCs w:val="21"/>
        </w:rPr>
        <w:t>。这三个“没有改变”</w:t>
      </w:r>
      <w:r>
        <w:rPr>
          <w:rFonts w:ascii="宋体" w:hAnsi="宋体" w:eastAsia="宋体" w:cs="AdobeSongStd-Light"/>
          <w:szCs w:val="21"/>
        </w:rPr>
        <w:t>，</w:t>
      </w:r>
      <w:r>
        <w:rPr>
          <w:rFonts w:hint="eastAsia" w:ascii="宋体" w:hAnsi="宋体" w:eastAsia="宋体" w:cs="AdobeSongStd-Light"/>
          <w:szCs w:val="21"/>
        </w:rPr>
        <w:t>就是对中国人口数量因素的客观判断。</w:t>
      </w:r>
    </w:p>
    <w:p w14:paraId="3EF48BD3">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szCs w:val="21"/>
        </w:rPr>
        <w:t>2.</w:t>
      </w:r>
      <w:r>
        <w:rPr>
          <w:rFonts w:hint="eastAsia" w:ascii="宋体" w:hAnsi="宋体" w:eastAsia="宋体" w:cs="AdobeSongStd-Light"/>
          <w:szCs w:val="21"/>
        </w:rPr>
        <w:t>就业压力。就业是民生之本</w:t>
      </w:r>
      <w:r>
        <w:rPr>
          <w:rFonts w:ascii="宋体" w:hAnsi="宋体" w:eastAsia="宋体" w:cs="AdobeSongStd-Light"/>
          <w:szCs w:val="21"/>
        </w:rPr>
        <w:t>，</w:t>
      </w:r>
      <w:r>
        <w:rPr>
          <w:rFonts w:hint="eastAsia" w:ascii="宋体" w:hAnsi="宋体" w:eastAsia="宋体" w:cs="AdobeSongStd-Light"/>
          <w:szCs w:val="21"/>
        </w:rPr>
        <w:t>扩大就业是改善人民生活的最基本途径。尤其在中国</w:t>
      </w:r>
      <w:r>
        <w:rPr>
          <w:rFonts w:ascii="宋体" w:hAnsi="宋体" w:eastAsia="宋体" w:cs="AdobeSongStd-Light"/>
          <w:szCs w:val="21"/>
        </w:rPr>
        <w:t>，</w:t>
      </w:r>
      <w:r>
        <w:rPr>
          <w:rFonts w:hint="eastAsia" w:ascii="宋体" w:hAnsi="宋体" w:eastAsia="宋体" w:cs="AdobeSongStd-Light"/>
          <w:szCs w:val="21"/>
        </w:rPr>
        <w:t>搞好就业是解决民生问题的基础性工程。然而中国前所未有和持续增大的就业压力</w:t>
      </w:r>
      <w:r>
        <w:rPr>
          <w:rFonts w:ascii="宋体" w:hAnsi="宋体" w:eastAsia="宋体" w:cs="AdobeSongStd-Light"/>
          <w:szCs w:val="21"/>
        </w:rPr>
        <w:t>，</w:t>
      </w:r>
      <w:r>
        <w:rPr>
          <w:rFonts w:hint="eastAsia" w:ascii="宋体" w:hAnsi="宋体" w:eastAsia="宋体" w:cs="AdobeSongStd-Light"/>
          <w:szCs w:val="21"/>
        </w:rPr>
        <w:t>随着人口数量的增长愈加严峻。按现行标准</w:t>
      </w:r>
      <w:r>
        <w:rPr>
          <w:rFonts w:ascii="宋体" w:hAnsi="宋体" w:eastAsia="宋体" w:cs="AdobeSongStd-Light"/>
          <w:szCs w:val="21"/>
        </w:rPr>
        <w:t>，</w:t>
      </w:r>
      <w:r>
        <w:rPr>
          <w:rFonts w:hint="eastAsia" w:ascii="宋体" w:hAnsi="宋体" w:eastAsia="宋体" w:cs="AdobeSongStd-Light"/>
          <w:szCs w:val="21"/>
        </w:rPr>
        <w:t>以女</w:t>
      </w:r>
      <w:r>
        <w:rPr>
          <w:rFonts w:ascii="宋体" w:hAnsi="宋体" w:eastAsia="宋体" w:cs="AdobeSongStd-Light"/>
          <w:szCs w:val="21"/>
        </w:rPr>
        <w:t>16</w:t>
      </w:r>
      <w:r>
        <w:rPr>
          <w:rFonts w:hint="eastAsia" w:ascii="宋体" w:hAnsi="宋体" w:eastAsia="宋体" w:cs="AdobeSongStd-Light"/>
          <w:szCs w:val="21"/>
        </w:rPr>
        <w:t>—</w:t>
      </w:r>
      <w:r>
        <w:rPr>
          <w:rFonts w:ascii="宋体" w:hAnsi="宋体" w:eastAsia="宋体" w:cs="AdobeSongStd-Light"/>
          <w:szCs w:val="21"/>
        </w:rPr>
        <w:t>54</w:t>
      </w:r>
      <w:r>
        <w:rPr>
          <w:rFonts w:hint="eastAsia" w:ascii="宋体" w:hAnsi="宋体" w:eastAsia="宋体" w:cs="AdobeSongStd-Light"/>
          <w:szCs w:val="21"/>
        </w:rPr>
        <w:t>岁和男</w:t>
      </w:r>
      <w:r>
        <w:rPr>
          <w:rFonts w:ascii="宋体" w:hAnsi="宋体" w:eastAsia="宋体" w:cs="AdobeSongStd-Light"/>
          <w:szCs w:val="21"/>
        </w:rPr>
        <w:t>16</w:t>
      </w:r>
      <w:r>
        <w:rPr>
          <w:rFonts w:hint="eastAsia" w:ascii="宋体" w:hAnsi="宋体" w:eastAsia="宋体" w:cs="AdobeSongStd-Light"/>
          <w:szCs w:val="21"/>
        </w:rPr>
        <w:t>—</w:t>
      </w:r>
      <w:r>
        <w:rPr>
          <w:rFonts w:ascii="宋体" w:hAnsi="宋体" w:eastAsia="宋体" w:cs="AdobeSongStd-Light"/>
          <w:szCs w:val="21"/>
        </w:rPr>
        <w:t>59</w:t>
      </w:r>
      <w:r>
        <w:rPr>
          <w:rFonts w:hint="eastAsia" w:ascii="宋体" w:hAnsi="宋体" w:eastAsia="宋体" w:cs="AdobeSongStd-Light"/>
          <w:szCs w:val="21"/>
        </w:rPr>
        <w:t>岁为劳动年龄人口进行预测</w:t>
      </w:r>
      <w:r>
        <w:rPr>
          <w:rFonts w:ascii="宋体" w:hAnsi="宋体" w:eastAsia="宋体" w:cs="AdobeSongStd-Light"/>
          <w:szCs w:val="21"/>
        </w:rPr>
        <w:t>， 2010</w:t>
      </w:r>
      <w:r>
        <w:rPr>
          <w:rFonts w:hint="eastAsia" w:ascii="宋体" w:hAnsi="宋体" w:eastAsia="宋体" w:cs="AdobeSongStd-Light"/>
          <w:szCs w:val="21"/>
        </w:rPr>
        <w:t>—</w:t>
      </w:r>
      <w:r>
        <w:rPr>
          <w:rFonts w:ascii="宋体" w:hAnsi="宋体" w:eastAsia="宋体" w:cs="AdobeSongStd-Light"/>
          <w:szCs w:val="21"/>
        </w:rPr>
        <w:t>2030</w:t>
      </w:r>
      <w:r>
        <w:rPr>
          <w:rFonts w:hint="eastAsia" w:ascii="宋体" w:hAnsi="宋体" w:eastAsia="宋体" w:cs="AdobeSongStd-Light"/>
          <w:szCs w:val="21"/>
        </w:rPr>
        <w:t>年将持续在</w:t>
      </w:r>
      <w:r>
        <w:rPr>
          <w:rFonts w:ascii="宋体" w:hAnsi="宋体" w:eastAsia="宋体" w:cs="AdobeSongStd-Light"/>
          <w:szCs w:val="21"/>
        </w:rPr>
        <w:t>9</w:t>
      </w:r>
      <w:r>
        <w:rPr>
          <w:rFonts w:hint="eastAsia" w:ascii="宋体" w:hAnsi="宋体" w:eastAsia="宋体" w:cs="AdobeSongStd-Light"/>
          <w:szCs w:val="21"/>
        </w:rPr>
        <w:t>亿人左右</w:t>
      </w:r>
      <w:r>
        <w:rPr>
          <w:rFonts w:ascii="宋体" w:hAnsi="宋体" w:eastAsia="宋体" w:cs="AdobeSongStd-Light"/>
          <w:szCs w:val="21"/>
        </w:rPr>
        <w:t>，</w:t>
      </w:r>
      <w:r>
        <w:rPr>
          <w:rFonts w:hint="eastAsia" w:ascii="宋体" w:hAnsi="宋体" w:eastAsia="宋体" w:cs="AdobeSongStd-Light"/>
          <w:szCs w:val="21"/>
        </w:rPr>
        <w:t>比重约为</w:t>
      </w:r>
      <w:r>
        <w:rPr>
          <w:rFonts w:ascii="宋体" w:hAnsi="宋体" w:eastAsia="宋体" w:cs="AdobeSongStd-Light"/>
          <w:szCs w:val="21"/>
        </w:rPr>
        <w:t>64% ，</w:t>
      </w:r>
      <w:r>
        <w:rPr>
          <w:rFonts w:hint="eastAsia" w:ascii="宋体" w:hAnsi="宋体" w:eastAsia="宋体" w:cs="AdobeSongStd-Light"/>
          <w:szCs w:val="21"/>
        </w:rPr>
        <w:t>本世纪前</w:t>
      </w:r>
      <w:r>
        <w:rPr>
          <w:rFonts w:ascii="宋体" w:hAnsi="宋体" w:eastAsia="宋体" w:cs="AdobeSongStd-Light"/>
          <w:szCs w:val="21"/>
        </w:rPr>
        <w:t>50</w:t>
      </w:r>
      <w:r>
        <w:rPr>
          <w:rFonts w:hint="eastAsia" w:ascii="宋体" w:hAnsi="宋体" w:eastAsia="宋体" w:cs="AdobeSongStd-Light"/>
          <w:szCs w:val="21"/>
        </w:rPr>
        <w:t>年劳动年龄人口增幅将持续快于总人口增幅</w:t>
      </w:r>
      <w:r>
        <w:rPr>
          <w:rFonts w:ascii="宋体" w:hAnsi="宋体" w:eastAsia="宋体" w:cs="AdobeSongStd-Light"/>
          <w:szCs w:val="21"/>
        </w:rPr>
        <w:t>，</w:t>
      </w:r>
      <w:r>
        <w:rPr>
          <w:rFonts w:hint="eastAsia" w:ascii="宋体" w:hAnsi="宋体" w:eastAsia="宋体" w:cs="AdobeSongStd-Light"/>
          <w:szCs w:val="21"/>
        </w:rPr>
        <w:t>每年新增劳动年龄人口</w:t>
      </w:r>
      <w:r>
        <w:rPr>
          <w:rFonts w:ascii="宋体" w:hAnsi="宋体" w:eastAsia="宋体" w:cs="AdobeSongStd-Light"/>
          <w:szCs w:val="21"/>
        </w:rPr>
        <w:t xml:space="preserve">1100 </w:t>
      </w:r>
      <w:r>
        <w:rPr>
          <w:rFonts w:hint="eastAsia" w:ascii="宋体" w:hAnsi="宋体" w:eastAsia="宋体" w:cs="AdobeSongStd-Light"/>
          <w:szCs w:val="21"/>
        </w:rPr>
        <w:t>多万人。仅就农村来看</w:t>
      </w:r>
      <w:r>
        <w:rPr>
          <w:rFonts w:ascii="宋体" w:hAnsi="宋体" w:eastAsia="宋体" w:cs="AdobeSongStd-Light"/>
          <w:szCs w:val="21"/>
        </w:rPr>
        <w:t>，</w:t>
      </w:r>
      <w:r>
        <w:rPr>
          <w:rFonts w:hint="eastAsia" w:ascii="宋体" w:hAnsi="宋体" w:eastAsia="宋体" w:cs="AdobeSongStd-Light"/>
          <w:szCs w:val="21"/>
        </w:rPr>
        <w:t>本世纪头</w:t>
      </w:r>
      <w:r>
        <w:rPr>
          <w:rFonts w:ascii="宋体" w:hAnsi="宋体" w:eastAsia="宋体" w:cs="AdobeSongStd-Light"/>
          <w:szCs w:val="21"/>
        </w:rPr>
        <w:t>30</w:t>
      </w:r>
      <w:r>
        <w:rPr>
          <w:rFonts w:hint="eastAsia" w:ascii="宋体" w:hAnsi="宋体" w:eastAsia="宋体" w:cs="AdobeSongStd-Light"/>
          <w:szCs w:val="21"/>
        </w:rPr>
        <w:t>年随着非农化速度的加快</w:t>
      </w:r>
      <w:r>
        <w:rPr>
          <w:rFonts w:ascii="宋体" w:hAnsi="宋体" w:eastAsia="宋体" w:cs="AdobeSongStd-Light"/>
          <w:szCs w:val="21"/>
        </w:rPr>
        <w:t>，</w:t>
      </w:r>
      <w:r>
        <w:rPr>
          <w:rFonts w:hint="eastAsia" w:ascii="宋体" w:hAnsi="宋体" w:eastAsia="宋体" w:cs="AdobeSongStd-Light"/>
          <w:szCs w:val="21"/>
        </w:rPr>
        <w:t>农村剩余劳动力人口约保持在</w:t>
      </w:r>
      <w:r>
        <w:rPr>
          <w:rFonts w:ascii="宋体" w:hAnsi="宋体" w:eastAsia="宋体" w:cs="AdobeSongStd-Light"/>
          <w:szCs w:val="21"/>
        </w:rPr>
        <w:t>2</w:t>
      </w:r>
      <w:r>
        <w:rPr>
          <w:rFonts w:hint="eastAsia" w:ascii="宋体" w:hAnsi="宋体" w:eastAsia="宋体" w:cs="AdobeSongStd-Light"/>
          <w:szCs w:val="21"/>
        </w:rPr>
        <w:t>亿人。尽管目前人口年龄结构处于人口红利阶段</w:t>
      </w:r>
      <w:r>
        <w:rPr>
          <w:rFonts w:ascii="宋体" w:hAnsi="宋体" w:eastAsia="宋体" w:cs="AdobeSongStd-Light"/>
          <w:szCs w:val="21"/>
        </w:rPr>
        <w:t>，</w:t>
      </w:r>
      <w:r>
        <w:rPr>
          <w:rFonts w:hint="eastAsia" w:ascii="宋体" w:hAnsi="宋体" w:eastAsia="宋体" w:cs="AdobeSongStd-Light"/>
          <w:szCs w:val="21"/>
        </w:rPr>
        <w:t>但长期大量过剩的劳动力人口</w:t>
      </w:r>
      <w:r>
        <w:rPr>
          <w:rFonts w:ascii="宋体" w:hAnsi="宋体" w:eastAsia="宋体" w:cs="AdobeSongStd-Light"/>
          <w:szCs w:val="21"/>
        </w:rPr>
        <w:t>，</w:t>
      </w:r>
      <w:r>
        <w:rPr>
          <w:rFonts w:hint="eastAsia" w:ascii="宋体" w:hAnsi="宋体" w:eastAsia="宋体" w:cs="AdobeSongStd-Light"/>
          <w:szCs w:val="21"/>
        </w:rPr>
        <w:t>成为急需解决而又难以解决的巨大难题。</w:t>
      </w:r>
    </w:p>
    <w:p w14:paraId="124DADF4">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szCs w:val="21"/>
        </w:rPr>
        <w:t>3.</w:t>
      </w:r>
      <w:r>
        <w:rPr>
          <w:rFonts w:hint="eastAsia" w:ascii="宋体" w:hAnsi="宋体" w:eastAsia="宋体" w:cs="AdobeSongStd-Light"/>
          <w:szCs w:val="21"/>
        </w:rPr>
        <w:t>对资源环境的冲击。一说到中国的人口</w:t>
      </w:r>
      <w:r>
        <w:rPr>
          <w:rFonts w:ascii="宋体" w:hAnsi="宋体" w:eastAsia="宋体" w:cs="AdobeSongStd-Light"/>
          <w:szCs w:val="21"/>
        </w:rPr>
        <w:t>，</w:t>
      </w:r>
      <w:r>
        <w:rPr>
          <w:rFonts w:hint="eastAsia" w:ascii="宋体" w:hAnsi="宋体" w:eastAsia="宋体" w:cs="AdobeSongStd-Light"/>
          <w:szCs w:val="21"/>
        </w:rPr>
        <w:t>对资源环境的冲击是绕不过去话题。在《资本论》中</w:t>
      </w:r>
      <w:r>
        <w:rPr>
          <w:rFonts w:ascii="宋体" w:hAnsi="宋体" w:eastAsia="宋体" w:cs="AdobeSongStd-Light"/>
          <w:szCs w:val="21"/>
        </w:rPr>
        <w:t>，</w:t>
      </w:r>
      <w:r>
        <w:rPr>
          <w:rFonts w:hint="eastAsia" w:ascii="宋体" w:hAnsi="宋体" w:eastAsia="宋体" w:cs="AdobeSongStd-Light"/>
          <w:szCs w:val="21"/>
        </w:rPr>
        <w:t>马克思指出劳动首先是“人类的自身的活动引起、调整和控制人和自然之间的物质变换的过程”</w:t>
      </w:r>
      <w:r>
        <w:rPr>
          <w:rFonts w:ascii="宋体" w:hAnsi="宋体" w:eastAsia="宋体" w:cs="cajcd-fnta0"/>
          <w:szCs w:val="21"/>
          <w:vertAlign w:val="superscript"/>
        </w:rPr>
        <w:footnoteReference w:id="381"/>
      </w:r>
      <w:r>
        <w:rPr>
          <w:rFonts w:hint="eastAsia" w:ascii="宋体" w:hAnsi="宋体" w:eastAsia="宋体" w:cs="AdobeSongStd-Light"/>
          <w:szCs w:val="21"/>
        </w:rPr>
        <w:t>。他阐述了“物质变换</w:t>
      </w:r>
      <w:r>
        <w:rPr>
          <w:rFonts w:ascii="宋体" w:hAnsi="宋体" w:eastAsia="宋体" w:cs="AdobeSongStd-Light"/>
          <w:szCs w:val="21"/>
        </w:rPr>
        <w:t>(</w:t>
      </w:r>
      <w:r>
        <w:rPr>
          <w:rFonts w:hint="eastAsia" w:ascii="宋体" w:hAnsi="宋体" w:eastAsia="宋体" w:cs="AdobeSongStd-Light"/>
          <w:szCs w:val="21"/>
        </w:rPr>
        <w:t>代谢</w:t>
      </w:r>
      <w:r>
        <w:rPr>
          <w:rFonts w:ascii="宋体" w:hAnsi="宋体" w:eastAsia="宋体" w:cs="AdobeSongStd-Light"/>
          <w:szCs w:val="21"/>
        </w:rPr>
        <w:t>)</w:t>
      </w:r>
      <w:r>
        <w:rPr>
          <w:rFonts w:hint="eastAsia" w:ascii="宋体" w:hAnsi="宋体" w:eastAsia="宋体" w:cs="AdobeSongStd-Light"/>
          <w:szCs w:val="21"/>
        </w:rPr>
        <w:t>”的理论</w:t>
      </w:r>
      <w:r>
        <w:rPr>
          <w:rFonts w:ascii="宋体" w:hAnsi="宋体" w:eastAsia="宋体" w:cs="AdobeSongStd-Light"/>
          <w:szCs w:val="21"/>
        </w:rPr>
        <w:t>，</w:t>
      </w:r>
      <w:r>
        <w:rPr>
          <w:rFonts w:hint="eastAsia" w:ascii="宋体" w:hAnsi="宋体" w:eastAsia="宋体" w:cs="AdobeSongStd-Light"/>
          <w:szCs w:val="21"/>
        </w:rPr>
        <w:t>提出人类对生态的破坏造成大自然物质代谢出现“裂缝”的严重后果。“物质变换”理论被学界称之为“可持续发展理论的先声”</w:t>
      </w:r>
      <w:r>
        <w:rPr>
          <w:rFonts w:ascii="宋体" w:hAnsi="宋体" w:eastAsia="宋体" w:cs="cajcd-fnta0"/>
          <w:szCs w:val="21"/>
          <w:vertAlign w:val="superscript"/>
        </w:rPr>
        <w:footnoteReference w:id="382"/>
      </w:r>
      <w:r>
        <w:rPr>
          <w:rFonts w:ascii="宋体" w:hAnsi="宋体" w:eastAsia="宋体" w:cs="AdobeSongStd-Light"/>
          <w:szCs w:val="21"/>
        </w:rPr>
        <w:t>，</w:t>
      </w:r>
      <w:r>
        <w:rPr>
          <w:rFonts w:hint="eastAsia" w:ascii="宋体" w:hAnsi="宋体" w:eastAsia="宋体" w:cs="AdobeSongStd-Light"/>
          <w:szCs w:val="21"/>
        </w:rPr>
        <w:t>促使人们对经济系统中人口资源环境这三个最基本的内生变量的密切相关度认识日益深刻。以此观之</w:t>
      </w:r>
      <w:r>
        <w:rPr>
          <w:rFonts w:ascii="宋体" w:hAnsi="宋体" w:eastAsia="宋体" w:cs="AdobeSongStd-Light"/>
          <w:szCs w:val="21"/>
        </w:rPr>
        <w:t>，</w:t>
      </w:r>
      <w:r>
        <w:rPr>
          <w:rFonts w:hint="eastAsia" w:ascii="宋体" w:hAnsi="宋体" w:eastAsia="宋体" w:cs="AdobeSongStd-Light"/>
          <w:szCs w:val="21"/>
        </w:rPr>
        <w:t>中国人口变量膨胀对资源环境的冲击</w:t>
      </w:r>
      <w:r>
        <w:rPr>
          <w:rFonts w:ascii="宋体" w:hAnsi="宋体" w:eastAsia="宋体" w:cs="AdobeSongStd-Light"/>
          <w:szCs w:val="21"/>
        </w:rPr>
        <w:t>，</w:t>
      </w:r>
      <w:r>
        <w:rPr>
          <w:rFonts w:hint="eastAsia" w:ascii="宋体" w:hAnsi="宋体" w:eastAsia="宋体" w:cs="AdobeSongStd-Light"/>
          <w:szCs w:val="21"/>
        </w:rPr>
        <w:t>可见一斑。目前乃至未来的中国</w:t>
      </w:r>
      <w:r>
        <w:rPr>
          <w:rFonts w:ascii="宋体" w:hAnsi="宋体" w:eastAsia="宋体" w:cs="AdobeSongStd-Light"/>
          <w:szCs w:val="21"/>
        </w:rPr>
        <w:t>，</w:t>
      </w:r>
      <w:r>
        <w:rPr>
          <w:rFonts w:hint="eastAsia" w:ascii="宋体" w:hAnsi="宋体" w:eastAsia="宋体" w:cs="AdobeSongStd-Light"/>
          <w:szCs w:val="21"/>
        </w:rPr>
        <w:t>显然还远不能只把环境保护当作可持续发展战略的同义语。人口尤其规模数量问题</w:t>
      </w:r>
      <w:r>
        <w:rPr>
          <w:rFonts w:ascii="宋体" w:hAnsi="宋体" w:eastAsia="宋体" w:cs="AdobeSongStd-Light"/>
          <w:szCs w:val="21"/>
        </w:rPr>
        <w:t>，</w:t>
      </w:r>
      <w:r>
        <w:rPr>
          <w:rFonts w:hint="eastAsia" w:ascii="宋体" w:hAnsi="宋体" w:eastAsia="宋体" w:cs="AdobeSongStd-Light"/>
          <w:szCs w:val="21"/>
        </w:rPr>
        <w:t>更是其中之义。</w:t>
      </w:r>
    </w:p>
    <w:p w14:paraId="2DD5B4C8">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w:t>
      </w:r>
      <w:r>
        <w:rPr>
          <w:rFonts w:hint="eastAsia" w:ascii="宋体" w:hAnsi="宋体" w:eastAsia="宋体" w:cs="AdobeSongStd-Light"/>
          <w:b/>
          <w:szCs w:val="21"/>
        </w:rPr>
        <w:t>二</w:t>
      </w:r>
      <w:r>
        <w:rPr>
          <w:rFonts w:ascii="宋体" w:hAnsi="宋体" w:eastAsia="宋体" w:cs="AdobeSongStd-Light"/>
          <w:b/>
          <w:szCs w:val="21"/>
        </w:rPr>
        <w:t>)</w:t>
      </w:r>
      <w:r>
        <w:rPr>
          <w:rFonts w:hint="eastAsia" w:ascii="宋体" w:hAnsi="宋体" w:eastAsia="宋体" w:cs="AdobeSongStd-Light"/>
          <w:b/>
          <w:szCs w:val="21"/>
        </w:rPr>
        <w:t>资源方面</w:t>
      </w:r>
    </w:p>
    <w:p w14:paraId="5B1A71CF">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中国素以“地大物博”著称。但用“</w:t>
      </w:r>
      <w:r>
        <w:rPr>
          <w:rFonts w:ascii="宋体" w:hAnsi="宋体" w:eastAsia="宋体" w:cs="AdobeSongStd-Light"/>
          <w:szCs w:val="21"/>
        </w:rPr>
        <w:t>13</w:t>
      </w:r>
      <w:r>
        <w:rPr>
          <w:rFonts w:hint="eastAsia" w:ascii="宋体" w:hAnsi="宋体" w:eastAsia="宋体" w:cs="AdobeSongStd-Light"/>
          <w:szCs w:val="21"/>
        </w:rPr>
        <w:t>亿”或“</w:t>
      </w:r>
      <w:r>
        <w:rPr>
          <w:rFonts w:ascii="宋体" w:hAnsi="宋体" w:eastAsia="宋体" w:cs="AdobeSongStd-Light"/>
          <w:szCs w:val="21"/>
        </w:rPr>
        <w:t>15</w:t>
      </w:r>
      <w:r>
        <w:rPr>
          <w:rFonts w:hint="eastAsia" w:ascii="宋体" w:hAnsi="宋体" w:eastAsia="宋体" w:cs="AdobeSongStd-Light"/>
          <w:szCs w:val="21"/>
        </w:rPr>
        <w:t>甚至</w:t>
      </w:r>
      <w:r>
        <w:rPr>
          <w:rFonts w:ascii="宋体" w:hAnsi="宋体" w:eastAsia="宋体" w:cs="AdobeSongStd-Light"/>
          <w:szCs w:val="21"/>
        </w:rPr>
        <w:t>16</w:t>
      </w:r>
      <w:r>
        <w:rPr>
          <w:rFonts w:hint="eastAsia" w:ascii="宋体" w:hAnsi="宋体" w:eastAsia="宋体" w:cs="AdobeSongStd-Light"/>
          <w:szCs w:val="21"/>
        </w:rPr>
        <w:t>亿”这个分母去除</w:t>
      </w:r>
      <w:r>
        <w:rPr>
          <w:rFonts w:ascii="宋体" w:hAnsi="宋体" w:eastAsia="宋体" w:cs="AdobeSongStd-Light"/>
          <w:szCs w:val="21"/>
        </w:rPr>
        <w:t>，</w:t>
      </w:r>
      <w:r>
        <w:rPr>
          <w:rFonts w:hint="eastAsia" w:ascii="宋体" w:hAnsi="宋体" w:eastAsia="宋体" w:cs="AdobeSongStd-Light"/>
          <w:szCs w:val="21"/>
        </w:rPr>
        <w:t>以下人均资源的贫乏</w:t>
      </w:r>
      <w:r>
        <w:rPr>
          <w:rFonts w:ascii="宋体" w:hAnsi="宋体" w:eastAsia="宋体" w:cs="AdobeSongStd-Light"/>
          <w:szCs w:val="21"/>
        </w:rPr>
        <w:t>，</w:t>
      </w:r>
      <w:r>
        <w:rPr>
          <w:rFonts w:hint="eastAsia" w:ascii="宋体" w:hAnsi="宋体" w:eastAsia="宋体" w:cs="AdobeSongStd-Light"/>
          <w:szCs w:val="21"/>
        </w:rPr>
        <w:t>就无法否认了。</w:t>
      </w:r>
    </w:p>
    <w:p w14:paraId="3F0A84B9">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土地资源。中国土地资源具有绝对量大而人均占有少、类型复杂多样而耕地比重</w:t>
      </w:r>
      <w:r>
        <w:rPr>
          <w:rFonts w:ascii="宋体" w:hAnsi="宋体" w:eastAsia="宋体" w:cs="AdobeSongStd-Light"/>
          <w:szCs w:val="21"/>
        </w:rPr>
        <w:t>(</w:t>
      </w:r>
      <w:r>
        <w:rPr>
          <w:rFonts w:hint="eastAsia" w:ascii="宋体" w:hAnsi="宋体" w:eastAsia="宋体" w:cs="AdobeSongStd-Light"/>
          <w:szCs w:val="21"/>
        </w:rPr>
        <w:t>仅占</w:t>
      </w:r>
      <w:r>
        <w:rPr>
          <w:rFonts w:ascii="宋体" w:hAnsi="宋体" w:eastAsia="宋体" w:cs="AdobeSongStd-Light"/>
          <w:szCs w:val="21"/>
        </w:rPr>
        <w:t>10% ，</w:t>
      </w:r>
      <w:r>
        <w:rPr>
          <w:rFonts w:hint="eastAsia" w:ascii="宋体" w:hAnsi="宋体" w:eastAsia="宋体" w:cs="AdobeSongStd-Light"/>
          <w:szCs w:val="21"/>
        </w:rPr>
        <w:t>不足世界人均的</w:t>
      </w:r>
      <w:r>
        <w:rPr>
          <w:rFonts w:ascii="宋体" w:hAnsi="宋体" w:eastAsia="宋体" w:cs="AdobeSongStd-Light"/>
          <w:szCs w:val="21"/>
        </w:rPr>
        <w:t>1/3)</w:t>
      </w:r>
      <w:r>
        <w:rPr>
          <w:rFonts w:hint="eastAsia" w:ascii="宋体" w:hAnsi="宋体" w:eastAsia="宋体" w:cs="AdobeSongStd-Light"/>
          <w:szCs w:val="21"/>
        </w:rPr>
        <w:t>较少、利用情况复杂且生产力地区差异明显、地区分布不均使保护开发问题突出等特点。</w:t>
      </w:r>
      <w:r>
        <w:rPr>
          <w:rFonts w:ascii="宋体" w:hAnsi="宋体" w:eastAsia="宋体" w:cs="AdobeSongStd-Light"/>
          <w:szCs w:val="21"/>
          <w:vertAlign w:val="superscript"/>
        </w:rPr>
        <w:footnoteReference w:id="383"/>
      </w:r>
      <w:r>
        <w:rPr>
          <w:rFonts w:hint="eastAsia" w:ascii="宋体" w:hAnsi="宋体" w:eastAsia="宋体" w:cs="AdobeSongStd-Light"/>
          <w:szCs w:val="21"/>
        </w:rPr>
        <w:t>作为人类生存发展最为重要的综合资源</w:t>
      </w:r>
      <w:r>
        <w:rPr>
          <w:rFonts w:ascii="宋体" w:hAnsi="宋体" w:eastAsia="宋体" w:cs="AdobeSongStd-Light"/>
          <w:szCs w:val="21"/>
        </w:rPr>
        <w:t>，</w:t>
      </w:r>
      <w:r>
        <w:rPr>
          <w:rFonts w:hint="eastAsia" w:ascii="宋体" w:hAnsi="宋体" w:eastAsia="宋体" w:cs="AdobeSongStd-Light"/>
          <w:szCs w:val="21"/>
        </w:rPr>
        <w:t>土地的利用方式和利用强度直接影响着经济社会的发展进程</w:t>
      </w:r>
      <w:r>
        <w:rPr>
          <w:rFonts w:ascii="宋体" w:hAnsi="宋体" w:eastAsia="宋体" w:cs="AdobeSongStd-Light"/>
          <w:szCs w:val="21"/>
        </w:rPr>
        <w:t>，</w:t>
      </w:r>
      <w:r>
        <w:rPr>
          <w:rFonts w:hint="eastAsia" w:ascii="宋体" w:hAnsi="宋体" w:eastAsia="宋体" w:cs="AdobeSongStd-Light"/>
          <w:szCs w:val="21"/>
        </w:rPr>
        <w:t>其利用的可持续性直接影响着经济社会的可持续性。如何合理利用土地这种稀缺资源</w:t>
      </w:r>
      <w:r>
        <w:rPr>
          <w:rFonts w:ascii="宋体" w:hAnsi="宋体" w:eastAsia="宋体" w:cs="AdobeSongStd-Light"/>
          <w:szCs w:val="21"/>
        </w:rPr>
        <w:t>，</w:t>
      </w:r>
      <w:r>
        <w:rPr>
          <w:rFonts w:hint="eastAsia" w:ascii="宋体" w:hAnsi="宋体" w:eastAsia="宋体" w:cs="AdobeSongStd-Light"/>
          <w:szCs w:val="21"/>
        </w:rPr>
        <w:t>以满足生产性、安全性、保护性、可行性、社会可承受性</w:t>
      </w:r>
      <w:r>
        <w:rPr>
          <w:rFonts w:ascii="宋体" w:hAnsi="宋体" w:eastAsia="宋体" w:cs="AdobeSongStd-Light"/>
          <w:szCs w:val="21"/>
        </w:rPr>
        <w:t>，</w:t>
      </w:r>
      <w:r>
        <w:rPr>
          <w:rFonts w:hint="eastAsia" w:ascii="宋体" w:hAnsi="宋体" w:eastAsia="宋体" w:cs="AdobeSongStd-Light"/>
          <w:szCs w:val="21"/>
        </w:rPr>
        <w:t>将是中国长期面对的问题。</w:t>
      </w:r>
    </w:p>
    <w:p w14:paraId="4CBAB18F">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淡水资源。中国人均径流量</w:t>
      </w:r>
      <w:r>
        <w:rPr>
          <w:rFonts w:ascii="宋体" w:hAnsi="宋体" w:eastAsia="宋体" w:cs="AdobeSongStd-Light"/>
          <w:szCs w:val="21"/>
        </w:rPr>
        <w:t>2200</w:t>
      </w:r>
      <w:r>
        <w:rPr>
          <w:rFonts w:hint="eastAsia" w:ascii="宋体" w:hAnsi="宋体" w:eastAsia="宋体" w:cs="AdobeSongStd-Light"/>
          <w:szCs w:val="21"/>
        </w:rPr>
        <w:t>平方米</w:t>
      </w:r>
      <w:r>
        <w:rPr>
          <w:rFonts w:ascii="宋体" w:hAnsi="宋体" w:eastAsia="宋体" w:cs="AdobeSongStd-Light"/>
          <w:szCs w:val="21"/>
        </w:rPr>
        <w:t>，</w:t>
      </w:r>
      <w:r>
        <w:rPr>
          <w:rFonts w:hint="eastAsia" w:ascii="宋体" w:hAnsi="宋体" w:eastAsia="宋体" w:cs="AdobeSongStd-Light"/>
          <w:szCs w:val="21"/>
        </w:rPr>
        <w:t>是世界人均的</w:t>
      </w:r>
      <w:r>
        <w:rPr>
          <w:rFonts w:ascii="宋体" w:hAnsi="宋体" w:eastAsia="宋体" w:cs="AdobeSongStd-Light"/>
          <w:szCs w:val="21"/>
        </w:rPr>
        <w:t>24</w:t>
      </w:r>
      <w:r>
        <w:rPr>
          <w:rFonts w:ascii="宋体" w:hAnsi="宋体" w:eastAsia="宋体" w:cs="cajcd-fntaa"/>
          <w:szCs w:val="21"/>
        </w:rPr>
        <w:t>1</w:t>
      </w:r>
      <w:r>
        <w:rPr>
          <w:rFonts w:ascii="宋体" w:hAnsi="宋体" w:eastAsia="宋体" w:cs="AdobeSongStd-Light"/>
          <w:szCs w:val="21"/>
        </w:rPr>
        <w:t>7%；</w:t>
      </w:r>
      <w:r>
        <w:rPr>
          <w:rFonts w:hint="eastAsia" w:ascii="宋体" w:hAnsi="宋体" w:eastAsia="宋体" w:cs="AdobeSongStd-Light"/>
          <w:szCs w:val="21"/>
        </w:rPr>
        <w:t>水资源南多北少的状况与耕地的南少北多、南北水土资源配合欠佳的状况依然突出。</w:t>
      </w:r>
      <w:r>
        <w:rPr>
          <w:rFonts w:ascii="宋体" w:hAnsi="宋体" w:eastAsia="宋体" w:cs="cajcd-fnta0"/>
          <w:szCs w:val="21"/>
        </w:rPr>
        <w:t></w:t>
      </w:r>
      <w:r>
        <w:rPr>
          <w:rFonts w:ascii="宋体" w:hAnsi="宋体" w:eastAsia="宋体" w:cs="cajcd-fnta0"/>
          <w:szCs w:val="21"/>
          <w:vertAlign w:val="superscript"/>
        </w:rPr>
        <w:footnoteReference w:id="384"/>
      </w:r>
      <w:r>
        <w:rPr>
          <w:rFonts w:hint="eastAsia" w:ascii="宋体" w:hAnsi="宋体" w:eastAsia="宋体" w:cs="AdobeSongStd-Light"/>
          <w:szCs w:val="21"/>
        </w:rPr>
        <w:t>中国早已被联合国确定为</w:t>
      </w:r>
      <w:r>
        <w:rPr>
          <w:rFonts w:ascii="宋体" w:hAnsi="宋体" w:eastAsia="宋体" w:cs="AdobeSongStd-Light"/>
          <w:szCs w:val="21"/>
        </w:rPr>
        <w:t>13</w:t>
      </w:r>
      <w:r>
        <w:rPr>
          <w:rFonts w:hint="eastAsia" w:ascii="宋体" w:hAnsi="宋体" w:eastAsia="宋体" w:cs="AdobeSongStd-Light"/>
          <w:szCs w:val="21"/>
        </w:rPr>
        <w:t>个严重缺水的国家之一。</w:t>
      </w:r>
    </w:p>
    <w:p w14:paraId="25118B5F">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矿产和能源。其根本特性之一就是可耗竭性</w:t>
      </w:r>
      <w:r>
        <w:rPr>
          <w:rFonts w:ascii="宋体" w:hAnsi="宋体" w:eastAsia="宋体" w:cs="AdobeSongStd-Light"/>
          <w:szCs w:val="21"/>
        </w:rPr>
        <w:t>，</w:t>
      </w:r>
      <w:r>
        <w:rPr>
          <w:rFonts w:hint="eastAsia" w:ascii="宋体" w:hAnsi="宋体" w:eastAsia="宋体" w:cs="AdobeSongStd-Light"/>
          <w:szCs w:val="21"/>
        </w:rPr>
        <w:t>因而对可持续发展具有非同寻常的制约性质。中国矿产资源总量约占世界的</w:t>
      </w:r>
      <w:r>
        <w:rPr>
          <w:rFonts w:ascii="宋体" w:hAnsi="宋体" w:eastAsia="宋体" w:cs="AdobeSongStd-Light"/>
          <w:szCs w:val="21"/>
        </w:rPr>
        <w:t>12%，</w:t>
      </w:r>
      <w:r>
        <w:rPr>
          <w:rFonts w:hint="eastAsia" w:ascii="宋体" w:hAnsi="宋体" w:eastAsia="宋体" w:cs="AdobeSongStd-Light"/>
          <w:szCs w:val="21"/>
        </w:rPr>
        <w:t>属世界第</w:t>
      </w:r>
      <w:r>
        <w:rPr>
          <w:rFonts w:ascii="宋体" w:hAnsi="宋体" w:eastAsia="宋体" w:cs="AdobeSongStd-Light"/>
          <w:szCs w:val="21"/>
        </w:rPr>
        <w:t>3</w:t>
      </w:r>
      <w:r>
        <w:rPr>
          <w:rFonts w:hint="eastAsia" w:ascii="宋体" w:hAnsi="宋体" w:eastAsia="宋体" w:cs="AdobeSongStd-Light"/>
          <w:szCs w:val="21"/>
        </w:rPr>
        <w:t>位</w:t>
      </w:r>
      <w:r>
        <w:rPr>
          <w:rFonts w:ascii="宋体" w:hAnsi="宋体" w:eastAsia="宋体" w:cs="AdobeSongStd-Light"/>
          <w:szCs w:val="21"/>
        </w:rPr>
        <w:t>，</w:t>
      </w:r>
      <w:r>
        <w:rPr>
          <w:rFonts w:hint="eastAsia" w:ascii="宋体" w:hAnsi="宋体" w:eastAsia="宋体" w:cs="AdobeSongStd-Light"/>
          <w:szCs w:val="21"/>
        </w:rPr>
        <w:t>但人均占有量仅为世界人均的</w:t>
      </w:r>
      <w:r>
        <w:rPr>
          <w:rFonts w:ascii="宋体" w:hAnsi="宋体" w:eastAsia="宋体" w:cs="AdobeSongStd-Light"/>
          <w:szCs w:val="21"/>
        </w:rPr>
        <w:t>58%，</w:t>
      </w:r>
      <w:r>
        <w:rPr>
          <w:rFonts w:hint="eastAsia" w:ascii="宋体" w:hAnsi="宋体" w:eastAsia="宋体" w:cs="AdobeSongStd-Light"/>
          <w:szCs w:val="21"/>
        </w:rPr>
        <w:t>且大宗支柱性矿产保有储量较低。中国石油可采储量仅占世界总量的</w:t>
      </w:r>
      <w:r>
        <w:rPr>
          <w:rFonts w:ascii="宋体" w:hAnsi="宋体" w:eastAsia="宋体" w:cs="AdobeSongStd-Light"/>
          <w:szCs w:val="21"/>
        </w:rPr>
        <w:t>2.4%，</w:t>
      </w:r>
      <w:r>
        <w:rPr>
          <w:rFonts w:hint="eastAsia" w:ascii="宋体" w:hAnsi="宋体" w:eastAsia="宋体" w:cs="AdobeSongStd-Light"/>
          <w:szCs w:val="21"/>
        </w:rPr>
        <w:t>人均不足世界平均的</w:t>
      </w:r>
      <w:r>
        <w:rPr>
          <w:rFonts w:ascii="宋体" w:hAnsi="宋体" w:eastAsia="宋体" w:cs="AdobeSongStd-Light"/>
          <w:szCs w:val="21"/>
        </w:rPr>
        <w:t>10%，1993</w:t>
      </w:r>
      <w:r>
        <w:rPr>
          <w:rFonts w:hint="eastAsia" w:ascii="宋体" w:hAnsi="宋体" w:eastAsia="宋体" w:cs="AdobeSongStd-Light"/>
          <w:szCs w:val="21"/>
        </w:rPr>
        <w:t>年已成为石油净进口国</w:t>
      </w:r>
      <w:r>
        <w:rPr>
          <w:rFonts w:ascii="宋体" w:hAnsi="宋体" w:eastAsia="宋体" w:cs="AdobeSongStd-Light"/>
          <w:szCs w:val="21"/>
        </w:rPr>
        <w:t>，</w:t>
      </w:r>
      <w:r>
        <w:rPr>
          <w:rFonts w:hint="eastAsia" w:ascii="宋体" w:hAnsi="宋体" w:eastAsia="宋体" w:cs="AdobeSongStd-Light"/>
          <w:szCs w:val="21"/>
        </w:rPr>
        <w:t>每年需大量外汇进口</w:t>
      </w:r>
      <w:r>
        <w:rPr>
          <w:rFonts w:ascii="宋体" w:hAnsi="宋体" w:eastAsia="宋体" w:cs="AdobeSongStd-Light"/>
          <w:szCs w:val="21"/>
        </w:rPr>
        <w:t>5</w:t>
      </w:r>
      <w:r>
        <w:rPr>
          <w:rFonts w:hint="eastAsia" w:ascii="宋体" w:hAnsi="宋体" w:eastAsia="宋体" w:cs="AdobeSongStd-Light"/>
          <w:szCs w:val="21"/>
        </w:rPr>
        <w:t>千万吨至</w:t>
      </w:r>
      <w:r>
        <w:rPr>
          <w:rFonts w:ascii="宋体" w:hAnsi="宋体" w:eastAsia="宋体" w:cs="AdobeSongStd-Light"/>
          <w:szCs w:val="21"/>
        </w:rPr>
        <w:t>l</w:t>
      </w:r>
      <w:r>
        <w:rPr>
          <w:rFonts w:hint="eastAsia" w:ascii="宋体" w:hAnsi="宋体" w:eastAsia="宋体" w:cs="AdobeSongStd-Light"/>
          <w:szCs w:val="21"/>
        </w:rPr>
        <w:t>亿吨。中国铁矿石世界最多</w:t>
      </w:r>
      <w:r>
        <w:rPr>
          <w:rFonts w:ascii="宋体" w:hAnsi="宋体" w:eastAsia="宋体" w:cs="AdobeSongStd-Light"/>
          <w:szCs w:val="21"/>
        </w:rPr>
        <w:t>，</w:t>
      </w:r>
      <w:r>
        <w:rPr>
          <w:rFonts w:hint="eastAsia" w:ascii="宋体" w:hAnsi="宋体" w:eastAsia="宋体" w:cs="AdobeSongStd-Light"/>
          <w:szCs w:val="21"/>
        </w:rPr>
        <w:t>但也仅占世界人均半数</w:t>
      </w:r>
      <w:r>
        <w:rPr>
          <w:rFonts w:ascii="宋体" w:hAnsi="宋体" w:eastAsia="宋体" w:cs="AdobeSongStd-Light"/>
          <w:szCs w:val="21"/>
        </w:rPr>
        <w:t>，</w:t>
      </w:r>
      <w:r>
        <w:rPr>
          <w:rFonts w:hint="eastAsia" w:ascii="宋体" w:hAnsi="宋体" w:eastAsia="宋体" w:cs="AdobeSongStd-Light"/>
          <w:szCs w:val="21"/>
        </w:rPr>
        <w:t>且贫矿和难选矿多达</w:t>
      </w:r>
      <w:r>
        <w:rPr>
          <w:rFonts w:ascii="宋体" w:hAnsi="宋体" w:eastAsia="宋体" w:cs="AdobeSongStd-Light"/>
          <w:szCs w:val="21"/>
        </w:rPr>
        <w:t>98%</w:t>
      </w:r>
      <w:r>
        <w:rPr>
          <w:rFonts w:hint="eastAsia" w:ascii="宋体" w:hAnsi="宋体" w:eastAsia="宋体" w:cs="AdobeSongStd-Light"/>
          <w:szCs w:val="21"/>
        </w:rPr>
        <w:t>。</w:t>
      </w:r>
    </w:p>
    <w:p w14:paraId="39A2ECD0">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生物资源。中国森林面积仅占世界的</w:t>
      </w:r>
      <w:r>
        <w:rPr>
          <w:rFonts w:ascii="宋体" w:hAnsi="宋体" w:eastAsia="宋体" w:cs="AdobeSongStd-Light"/>
          <w:szCs w:val="21"/>
        </w:rPr>
        <w:t>4%，</w:t>
      </w:r>
      <w:r>
        <w:rPr>
          <w:rFonts w:hint="eastAsia" w:ascii="宋体" w:hAnsi="宋体" w:eastAsia="宋体" w:cs="AdobeSongStd-Light"/>
          <w:szCs w:val="21"/>
        </w:rPr>
        <w:t>人均占有林地面积和林木总蓄积量仅为世界人均水平的</w:t>
      </w:r>
      <w:r>
        <w:rPr>
          <w:rFonts w:ascii="宋体" w:hAnsi="宋体" w:eastAsia="宋体" w:cs="AdobeSongStd-Light"/>
          <w:szCs w:val="21"/>
        </w:rPr>
        <w:t>12</w:t>
      </w:r>
      <w:r>
        <w:rPr>
          <w:rFonts w:hint="eastAsia" w:ascii="宋体" w:hAnsi="宋体" w:eastAsia="宋体" w:cs="cajcd-fntaa"/>
          <w:szCs w:val="21"/>
        </w:rPr>
        <w:t>.</w:t>
      </w:r>
      <w:r>
        <w:rPr>
          <w:rFonts w:ascii="宋体" w:hAnsi="宋体" w:eastAsia="宋体" w:cs="AdobeSongStd-Light"/>
          <w:szCs w:val="21"/>
        </w:rPr>
        <w:t>6%</w:t>
      </w:r>
      <w:r>
        <w:rPr>
          <w:rFonts w:hint="eastAsia" w:ascii="宋体" w:hAnsi="宋体" w:eastAsia="宋体" w:cs="AdobeSongStd-Light"/>
          <w:szCs w:val="21"/>
        </w:rPr>
        <w:t>和</w:t>
      </w:r>
      <w:r>
        <w:rPr>
          <w:rFonts w:ascii="宋体" w:hAnsi="宋体" w:eastAsia="宋体" w:cs="AdobeSongStd-Light"/>
          <w:szCs w:val="21"/>
        </w:rPr>
        <w:t>14</w:t>
      </w:r>
      <w:r>
        <w:rPr>
          <w:rFonts w:hint="eastAsia" w:ascii="宋体" w:hAnsi="宋体" w:eastAsia="宋体" w:cs="cajcd-fntaa"/>
          <w:szCs w:val="21"/>
        </w:rPr>
        <w:t>.</w:t>
      </w:r>
      <w:r>
        <w:rPr>
          <w:rFonts w:ascii="宋体" w:hAnsi="宋体" w:eastAsia="宋体" w:cs="AdobeSongStd-Light"/>
          <w:szCs w:val="21"/>
        </w:rPr>
        <w:t>2%；</w:t>
      </w:r>
      <w:r>
        <w:rPr>
          <w:rFonts w:hint="eastAsia" w:ascii="宋体" w:hAnsi="宋体" w:eastAsia="宋体" w:cs="AdobeSongStd-Light"/>
          <w:szCs w:val="21"/>
        </w:rPr>
        <w:t>草地面积居世界第</w:t>
      </w:r>
      <w:r>
        <w:rPr>
          <w:rFonts w:ascii="宋体" w:hAnsi="宋体" w:eastAsia="宋体" w:cs="AdobeSongStd-Light"/>
          <w:szCs w:val="21"/>
        </w:rPr>
        <w:t>2</w:t>
      </w:r>
      <w:r>
        <w:rPr>
          <w:rFonts w:hint="eastAsia" w:ascii="宋体" w:hAnsi="宋体" w:eastAsia="宋体" w:cs="AdobeSongStd-Light"/>
          <w:szCs w:val="21"/>
        </w:rPr>
        <w:t>但仅为世界人均的</w:t>
      </w:r>
      <w:r>
        <w:rPr>
          <w:rFonts w:ascii="宋体" w:hAnsi="宋体" w:eastAsia="宋体" w:cs="AdobeSongStd-Light"/>
          <w:szCs w:val="21"/>
        </w:rPr>
        <w:t>1/2，</w:t>
      </w:r>
      <w:r>
        <w:rPr>
          <w:rFonts w:hint="eastAsia" w:ascii="宋体" w:hAnsi="宋体" w:eastAsia="宋体" w:cs="AdobeSongStd-Light"/>
          <w:szCs w:val="21"/>
        </w:rPr>
        <w:t>且生产能力极低。中国物种资源丰富但占总数</w:t>
      </w:r>
      <w:r>
        <w:rPr>
          <w:rFonts w:ascii="宋体" w:hAnsi="宋体" w:eastAsia="宋体" w:cs="AdobeSongStd-Light"/>
          <w:szCs w:val="21"/>
        </w:rPr>
        <w:t>7</w:t>
      </w:r>
      <w:r>
        <w:rPr>
          <w:rFonts w:hint="eastAsia" w:ascii="宋体" w:hAnsi="宋体" w:eastAsia="宋体" w:cs="cajcd-fntaa"/>
          <w:szCs w:val="21"/>
        </w:rPr>
        <w:t>.</w:t>
      </w:r>
      <w:r>
        <w:rPr>
          <w:rFonts w:ascii="宋体" w:hAnsi="宋体" w:eastAsia="宋体" w:cs="AdobeSongStd-Light"/>
          <w:szCs w:val="21"/>
        </w:rPr>
        <w:t>7%</w:t>
      </w:r>
      <w:r>
        <w:rPr>
          <w:rFonts w:hint="eastAsia" w:ascii="宋体" w:hAnsi="宋体" w:eastAsia="宋体" w:cs="AdobeSongStd-Light"/>
          <w:szCs w:val="21"/>
        </w:rPr>
        <w:t>的</w:t>
      </w:r>
      <w:r>
        <w:rPr>
          <w:rFonts w:ascii="宋体" w:hAnsi="宋体" w:eastAsia="宋体" w:cs="AdobeSongStd-Light"/>
          <w:szCs w:val="21"/>
        </w:rPr>
        <w:t>398</w:t>
      </w:r>
      <w:r>
        <w:rPr>
          <w:rFonts w:hint="eastAsia" w:ascii="宋体" w:hAnsi="宋体" w:eastAsia="宋体" w:cs="AdobeSongStd-Light"/>
          <w:szCs w:val="21"/>
        </w:rPr>
        <w:t>种脊椎动物濒危</w:t>
      </w:r>
      <w:r>
        <w:rPr>
          <w:rFonts w:ascii="宋体" w:hAnsi="宋体" w:eastAsia="宋体" w:cs="AdobeSongStd-Light"/>
          <w:szCs w:val="21"/>
        </w:rPr>
        <w:t>，</w:t>
      </w:r>
      <w:r>
        <w:rPr>
          <w:rFonts w:hint="eastAsia" w:ascii="宋体" w:hAnsi="宋体" w:eastAsia="宋体" w:cs="AdobeSongStd-Light"/>
          <w:szCs w:val="21"/>
        </w:rPr>
        <w:t>占</w:t>
      </w:r>
      <w:r>
        <w:rPr>
          <w:rFonts w:ascii="宋体" w:hAnsi="宋体" w:eastAsia="宋体" w:cs="AdobeSongStd-Light"/>
          <w:szCs w:val="21"/>
        </w:rPr>
        <w:t>3</w:t>
      </w:r>
      <w:r>
        <w:rPr>
          <w:rFonts w:hint="eastAsia" w:ascii="宋体" w:hAnsi="宋体" w:eastAsia="宋体" w:cs="cajcd-fntaa"/>
          <w:szCs w:val="21"/>
        </w:rPr>
        <w:t>.</w:t>
      </w:r>
      <w:r>
        <w:rPr>
          <w:rFonts w:ascii="宋体" w:hAnsi="宋体" w:eastAsia="宋体" w:cs="AdobeSongStd-Light"/>
          <w:szCs w:val="21"/>
        </w:rPr>
        <w:t>4%</w:t>
      </w:r>
      <w:r>
        <w:rPr>
          <w:rFonts w:hint="eastAsia" w:ascii="宋体" w:hAnsi="宋体" w:eastAsia="宋体" w:cs="AdobeSongStd-Light"/>
          <w:szCs w:val="21"/>
        </w:rPr>
        <w:t>的</w:t>
      </w:r>
      <w:r>
        <w:rPr>
          <w:rFonts w:ascii="宋体" w:hAnsi="宋体" w:eastAsia="宋体" w:cs="AdobeSongStd-Light"/>
          <w:szCs w:val="21"/>
        </w:rPr>
        <w:t>1009</w:t>
      </w:r>
      <w:r>
        <w:rPr>
          <w:rFonts w:hint="eastAsia" w:ascii="宋体" w:hAnsi="宋体" w:eastAsia="宋体" w:cs="AdobeSongStd-Light"/>
          <w:szCs w:val="21"/>
        </w:rPr>
        <w:t>种高等植物濒危</w:t>
      </w:r>
      <w:r>
        <w:rPr>
          <w:rFonts w:ascii="宋体" w:hAnsi="宋体" w:eastAsia="宋体" w:cs="AdobeSongStd-Light"/>
          <w:szCs w:val="21"/>
        </w:rPr>
        <w:t>，</w:t>
      </w:r>
      <w:r>
        <w:rPr>
          <w:rFonts w:hint="eastAsia" w:ascii="宋体" w:hAnsi="宋体" w:eastAsia="宋体" w:cs="AdobeSongStd-Light"/>
          <w:szCs w:val="21"/>
        </w:rPr>
        <w:t>生物多样性受到严重威胁。</w:t>
      </w:r>
      <w:r>
        <w:rPr>
          <w:rFonts w:ascii="宋体" w:hAnsi="宋体" w:eastAsia="宋体" w:cs="cajcd-fnta0"/>
          <w:szCs w:val="21"/>
        </w:rPr>
        <w:t></w:t>
      </w:r>
      <w:r>
        <w:rPr>
          <w:rFonts w:ascii="宋体" w:hAnsi="宋体" w:eastAsia="宋体" w:cs="cajcd-fnta0"/>
          <w:szCs w:val="21"/>
          <w:vertAlign w:val="superscript"/>
        </w:rPr>
        <w:footnoteReference w:id="385"/>
      </w:r>
    </w:p>
    <w:p w14:paraId="0FA5BB50">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海洋资源。中国人均领海面积仅</w:t>
      </w:r>
      <w:r>
        <w:rPr>
          <w:rFonts w:ascii="宋体" w:hAnsi="宋体" w:eastAsia="宋体" w:cs="AdobeSongStd-Light"/>
          <w:szCs w:val="21"/>
        </w:rPr>
        <w:t>0</w:t>
      </w:r>
      <w:r>
        <w:rPr>
          <w:rFonts w:hint="eastAsia" w:ascii="宋体" w:hAnsi="宋体" w:eastAsia="宋体" w:cs="cajcd-fntaa"/>
          <w:szCs w:val="21"/>
        </w:rPr>
        <w:t>.</w:t>
      </w:r>
      <w:r>
        <w:rPr>
          <w:rFonts w:ascii="宋体" w:hAnsi="宋体" w:eastAsia="宋体" w:cs="AdobeSongStd-Light"/>
          <w:szCs w:val="21"/>
        </w:rPr>
        <w:t>0027</w:t>
      </w:r>
      <w:r>
        <w:rPr>
          <w:rFonts w:hint="eastAsia" w:ascii="宋体" w:hAnsi="宋体" w:eastAsia="宋体" w:cs="AdobeSongStd-Light"/>
          <w:szCs w:val="21"/>
        </w:rPr>
        <w:t>平方公里</w:t>
      </w:r>
      <w:r>
        <w:rPr>
          <w:rFonts w:ascii="宋体" w:hAnsi="宋体" w:eastAsia="宋体" w:cs="AdobeSongStd-Light"/>
          <w:szCs w:val="21"/>
        </w:rPr>
        <w:t>，</w:t>
      </w:r>
      <w:r>
        <w:rPr>
          <w:rFonts w:hint="eastAsia" w:ascii="宋体" w:hAnsi="宋体" w:eastAsia="宋体" w:cs="AdobeSongStd-Light"/>
          <w:szCs w:val="21"/>
        </w:rPr>
        <w:t>为世界人均的</w:t>
      </w:r>
      <w:r>
        <w:rPr>
          <w:rFonts w:ascii="宋体" w:hAnsi="宋体" w:eastAsia="宋体" w:cs="AdobeSongStd-Light"/>
          <w:szCs w:val="21"/>
        </w:rPr>
        <w:t>1/10，</w:t>
      </w:r>
      <w:r>
        <w:rPr>
          <w:rFonts w:hint="eastAsia" w:ascii="宋体" w:hAnsi="宋体" w:eastAsia="宋体" w:cs="AdobeSongStd-Light"/>
          <w:szCs w:val="21"/>
        </w:rPr>
        <w:t>在世界</w:t>
      </w:r>
      <w:r>
        <w:rPr>
          <w:rFonts w:ascii="宋体" w:hAnsi="宋体" w:eastAsia="宋体" w:cs="AdobeSongStd-Light"/>
          <w:szCs w:val="21"/>
        </w:rPr>
        <w:t>137</w:t>
      </w:r>
      <w:r>
        <w:rPr>
          <w:rFonts w:hint="eastAsia" w:ascii="宋体" w:hAnsi="宋体" w:eastAsia="宋体" w:cs="AdobeSongStd-Light"/>
          <w:szCs w:val="21"/>
        </w:rPr>
        <w:t>个沿海国家中排名第</w:t>
      </w:r>
      <w:r>
        <w:rPr>
          <w:rFonts w:ascii="宋体" w:hAnsi="宋体" w:eastAsia="宋体" w:cs="AdobeSongStd-Light"/>
          <w:szCs w:val="21"/>
        </w:rPr>
        <w:t>122</w:t>
      </w:r>
      <w:r>
        <w:rPr>
          <w:rFonts w:hint="eastAsia" w:ascii="宋体" w:hAnsi="宋体" w:eastAsia="宋体" w:cs="AdobeSongStd-Light"/>
          <w:szCs w:val="21"/>
        </w:rPr>
        <w:t>位</w:t>
      </w:r>
      <w:r>
        <w:rPr>
          <w:rFonts w:ascii="宋体" w:hAnsi="宋体" w:eastAsia="宋体" w:cs="AdobeSongStd-Light"/>
          <w:szCs w:val="21"/>
        </w:rPr>
        <w:t>，</w:t>
      </w:r>
      <w:r>
        <w:rPr>
          <w:rFonts w:hint="eastAsia" w:ascii="宋体" w:hAnsi="宋体" w:eastAsia="宋体" w:cs="AdobeSongStd-Light"/>
          <w:szCs w:val="21"/>
        </w:rPr>
        <w:t>且正面临两大威胁</w:t>
      </w:r>
      <w:r>
        <w:rPr>
          <w:rFonts w:ascii="宋体" w:hAnsi="宋体" w:eastAsia="宋体" w:cs="AdobeSongStd-Light"/>
          <w:szCs w:val="21"/>
        </w:rPr>
        <w:t>:</w:t>
      </w:r>
      <w:r>
        <w:rPr>
          <w:rFonts w:hint="eastAsia" w:ascii="宋体" w:hAnsi="宋体" w:eastAsia="宋体" w:cs="AdobeSongStd-Light"/>
          <w:szCs w:val="21"/>
        </w:rPr>
        <w:t>一是外国侵占。目前已有</w:t>
      </w:r>
      <w:r>
        <w:rPr>
          <w:rFonts w:ascii="宋体" w:hAnsi="宋体" w:eastAsia="宋体" w:cs="AdobeSongStd-Light"/>
          <w:szCs w:val="21"/>
        </w:rPr>
        <w:t>80</w:t>
      </w:r>
      <w:r>
        <w:rPr>
          <w:rFonts w:hint="eastAsia" w:ascii="宋体" w:hAnsi="宋体" w:eastAsia="宋体" w:cs="AdobeSongStd-Light"/>
          <w:szCs w:val="21"/>
        </w:rPr>
        <w:t>万平方公里海域被海洋邻国侵占</w:t>
      </w:r>
      <w:r>
        <w:rPr>
          <w:rFonts w:ascii="宋体" w:hAnsi="宋体" w:eastAsia="宋体" w:cs="AdobeSongStd-Light"/>
          <w:szCs w:val="21"/>
        </w:rPr>
        <w:t>，</w:t>
      </w:r>
      <w:r>
        <w:rPr>
          <w:rFonts w:hint="eastAsia" w:ascii="宋体" w:hAnsi="宋体" w:eastAsia="宋体" w:cs="AdobeSongStd-Light"/>
          <w:szCs w:val="21"/>
        </w:rPr>
        <w:t>他们在南海上的油井采量是中国海上石油采量的</w:t>
      </w:r>
      <w:r>
        <w:rPr>
          <w:rFonts w:ascii="宋体" w:hAnsi="宋体" w:eastAsia="宋体" w:cs="AdobeSongStd-Light"/>
          <w:szCs w:val="21"/>
        </w:rPr>
        <w:t>40</w:t>
      </w:r>
      <w:r>
        <w:rPr>
          <w:rFonts w:hint="eastAsia" w:ascii="宋体" w:hAnsi="宋体" w:eastAsia="宋体" w:cs="AdobeSongStd-Light"/>
          <w:szCs w:val="21"/>
        </w:rPr>
        <w:t>倍。二是污染日益严重。中国丰富的海洋资源开发率极低</w:t>
      </w:r>
      <w:r>
        <w:rPr>
          <w:rFonts w:ascii="宋体" w:hAnsi="宋体" w:eastAsia="宋体" w:cs="AdobeSongStd-Light"/>
          <w:szCs w:val="21"/>
        </w:rPr>
        <w:t>，</w:t>
      </w:r>
      <w:r>
        <w:rPr>
          <w:rFonts w:hint="eastAsia" w:ascii="宋体" w:hAnsi="宋体" w:eastAsia="宋体" w:cs="AdobeSongStd-Light"/>
          <w:szCs w:val="21"/>
        </w:rPr>
        <w:t>更有待保护。</w:t>
      </w:r>
    </w:p>
    <w:p w14:paraId="04424020">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结合人口因素看</w:t>
      </w:r>
      <w:r>
        <w:rPr>
          <w:rFonts w:ascii="宋体" w:hAnsi="宋体" w:eastAsia="宋体" w:cs="AdobeSongStd-Light"/>
          <w:szCs w:val="21"/>
        </w:rPr>
        <w:t>，</w:t>
      </w:r>
      <w:r>
        <w:rPr>
          <w:rFonts w:hint="eastAsia" w:ascii="宋体" w:hAnsi="宋体" w:eastAsia="宋体" w:cs="AdobeSongStd-Light"/>
          <w:szCs w:val="21"/>
        </w:rPr>
        <w:t>资源对中国未来可持续发展的制约体现在</w:t>
      </w:r>
      <w:r>
        <w:rPr>
          <w:rFonts w:ascii="宋体" w:hAnsi="宋体" w:eastAsia="宋体" w:cs="AdobeSongStd-Light"/>
          <w:szCs w:val="21"/>
        </w:rPr>
        <w:t>，</w:t>
      </w:r>
      <w:r>
        <w:rPr>
          <w:rFonts w:hint="eastAsia" w:ascii="宋体" w:hAnsi="宋体" w:eastAsia="宋体" w:cs="AdobeSongStd-Light"/>
          <w:szCs w:val="21"/>
        </w:rPr>
        <w:t>一是人口数量的增加和生活质量的提高</w:t>
      </w:r>
      <w:r>
        <w:rPr>
          <w:rFonts w:ascii="宋体" w:hAnsi="宋体" w:eastAsia="宋体" w:cs="AdobeSongStd-Light"/>
          <w:szCs w:val="21"/>
        </w:rPr>
        <w:t>，</w:t>
      </w:r>
      <w:r>
        <w:rPr>
          <w:rFonts w:hint="eastAsia" w:ascii="宋体" w:hAnsi="宋体" w:eastAsia="宋体" w:cs="AdobeSongStd-Light"/>
          <w:szCs w:val="21"/>
        </w:rPr>
        <w:t>使人均资源的消耗表现出很强的人口“分母加权效应”</w:t>
      </w:r>
      <w:r>
        <w:rPr>
          <w:rFonts w:ascii="宋体" w:hAnsi="宋体" w:eastAsia="宋体" w:cs="AdobeSongStd-Light"/>
          <w:szCs w:val="21"/>
        </w:rPr>
        <w:t>，</w:t>
      </w:r>
      <w:r>
        <w:rPr>
          <w:rFonts w:hint="eastAsia" w:ascii="宋体" w:hAnsi="宋体" w:eastAsia="宋体" w:cs="AdobeSongStd-Light"/>
          <w:szCs w:val="21"/>
        </w:rPr>
        <w:t>导致目前人均主要资源不足世界水平的</w:t>
      </w:r>
      <w:r>
        <w:rPr>
          <w:rFonts w:ascii="宋体" w:hAnsi="宋体" w:eastAsia="宋体" w:cs="AdobeSongStd-Light"/>
          <w:szCs w:val="21"/>
        </w:rPr>
        <w:t>1/3</w:t>
      </w:r>
      <w:r>
        <w:rPr>
          <w:rFonts w:hint="eastAsia" w:ascii="宋体" w:hAnsi="宋体" w:eastAsia="宋体" w:cs="AdobeSongStd-Light"/>
          <w:szCs w:val="21"/>
        </w:rPr>
        <w:t>-</w:t>
      </w:r>
      <w:r>
        <w:rPr>
          <w:rFonts w:ascii="宋体" w:hAnsi="宋体" w:eastAsia="宋体" w:cs="AdobeSongStd-Light"/>
          <w:szCs w:val="21"/>
        </w:rPr>
        <w:t>1/2</w:t>
      </w:r>
      <w:r>
        <w:rPr>
          <w:rFonts w:hint="eastAsia" w:ascii="宋体" w:hAnsi="宋体" w:eastAsia="宋体" w:cs="AdobeSongStd-Light"/>
          <w:szCs w:val="21"/>
        </w:rPr>
        <w:t>的状况更趋严峻</w:t>
      </w:r>
      <w:r>
        <w:rPr>
          <w:rFonts w:ascii="宋体" w:hAnsi="宋体" w:eastAsia="宋体" w:cs="AdobeSongStd-Light"/>
          <w:szCs w:val="21"/>
        </w:rPr>
        <w:t>，</w:t>
      </w:r>
      <w:r>
        <w:rPr>
          <w:rFonts w:hint="eastAsia" w:ascii="宋体" w:hAnsi="宋体" w:eastAsia="宋体" w:cs="AdobeSongStd-Light"/>
          <w:szCs w:val="21"/>
        </w:rPr>
        <w:t>资源安全问题日益突出。二是总体看中国目前各类资源在经济技术所能及的范围内都得到了高位开发利用</w:t>
      </w:r>
      <w:r>
        <w:rPr>
          <w:rFonts w:ascii="宋体" w:hAnsi="宋体" w:eastAsia="宋体" w:cs="AdobeSongStd-Light"/>
          <w:szCs w:val="21"/>
        </w:rPr>
        <w:t>，</w:t>
      </w:r>
      <w:r>
        <w:rPr>
          <w:rFonts w:hint="eastAsia" w:ascii="宋体" w:hAnsi="宋体" w:eastAsia="宋体" w:cs="AdobeSongStd-Light"/>
          <w:szCs w:val="21"/>
        </w:rPr>
        <w:t>然而由于总量上的绝对短缺和结构性相对短缺</w:t>
      </w:r>
      <w:r>
        <w:rPr>
          <w:rFonts w:ascii="宋体" w:hAnsi="宋体" w:eastAsia="宋体" w:cs="AdobeSongStd-Light"/>
          <w:szCs w:val="21"/>
        </w:rPr>
        <w:t>，</w:t>
      </w:r>
      <w:r>
        <w:rPr>
          <w:rFonts w:hint="eastAsia" w:ascii="宋体" w:hAnsi="宋体" w:eastAsia="宋体" w:cs="AdobeSongStd-Light"/>
          <w:szCs w:val="21"/>
        </w:rPr>
        <w:t>资源对经济社会发展的保证程度也将日趋降低。有研究表明</w:t>
      </w:r>
      <w:r>
        <w:rPr>
          <w:rFonts w:ascii="宋体" w:hAnsi="宋体" w:eastAsia="宋体" w:cs="AdobeSongStd-Light"/>
          <w:szCs w:val="21"/>
        </w:rPr>
        <w:t>，2001</w:t>
      </w:r>
      <w:r>
        <w:rPr>
          <w:rFonts w:hint="eastAsia" w:ascii="宋体" w:hAnsi="宋体" w:eastAsia="宋体" w:cs="AdobeSongStd-Light"/>
          <w:szCs w:val="21"/>
        </w:rPr>
        <w:t>年中国人均生态足迹、生态承载力分别为</w:t>
      </w:r>
      <w:r>
        <w:rPr>
          <w:rFonts w:ascii="宋体" w:hAnsi="宋体" w:eastAsia="宋体" w:cs="AdobeSongStd-Light"/>
          <w:szCs w:val="21"/>
        </w:rPr>
        <w:t>1</w:t>
      </w:r>
      <w:r>
        <w:rPr>
          <w:rFonts w:hint="eastAsia" w:ascii="宋体" w:hAnsi="宋体" w:eastAsia="宋体" w:cs="cajcd-fntaa"/>
          <w:szCs w:val="21"/>
        </w:rPr>
        <w:t>.</w:t>
      </w:r>
      <w:r>
        <w:rPr>
          <w:rFonts w:ascii="宋体" w:hAnsi="宋体" w:eastAsia="宋体" w:cs="AdobeSongStd-Light"/>
          <w:szCs w:val="21"/>
        </w:rPr>
        <w:t>47</w:t>
      </w:r>
      <w:r>
        <w:rPr>
          <w:rFonts w:hint="eastAsia" w:ascii="宋体" w:hAnsi="宋体" w:eastAsia="宋体" w:cs="AdobeSongStd-Light"/>
          <w:szCs w:val="21"/>
        </w:rPr>
        <w:t>、</w:t>
      </w:r>
      <w:r>
        <w:rPr>
          <w:rFonts w:ascii="宋体" w:hAnsi="宋体" w:eastAsia="宋体" w:cs="AdobeSongStd-Light"/>
          <w:szCs w:val="21"/>
        </w:rPr>
        <w:t>1</w:t>
      </w:r>
      <w:r>
        <w:rPr>
          <w:rFonts w:hint="eastAsia" w:ascii="宋体" w:hAnsi="宋体" w:eastAsia="宋体" w:cs="cajcd-fntaa"/>
          <w:szCs w:val="21"/>
        </w:rPr>
        <w:t>.</w:t>
      </w:r>
      <w:r>
        <w:rPr>
          <w:rFonts w:ascii="宋体" w:hAnsi="宋体" w:eastAsia="宋体" w:cs="AdobeSongStd-Light"/>
          <w:szCs w:val="21"/>
        </w:rPr>
        <w:t>05</w:t>
      </w:r>
      <w:r>
        <w:rPr>
          <w:rFonts w:hint="eastAsia" w:ascii="宋体" w:hAnsi="宋体" w:eastAsia="宋体" w:cs="AdobeSongStd-Light"/>
          <w:szCs w:val="21"/>
        </w:rPr>
        <w:t>公顷</w:t>
      </w:r>
      <w:r>
        <w:rPr>
          <w:rFonts w:ascii="宋体" w:hAnsi="宋体" w:eastAsia="宋体" w:cs="AdobeSongStd-Light"/>
          <w:szCs w:val="21"/>
        </w:rPr>
        <w:t>，</w:t>
      </w:r>
      <w:r>
        <w:rPr>
          <w:rFonts w:hint="eastAsia" w:ascii="宋体" w:hAnsi="宋体" w:eastAsia="宋体" w:cs="AdobeSongStd-Light"/>
          <w:szCs w:val="21"/>
        </w:rPr>
        <w:t>需求已超过资源的供给</w:t>
      </w:r>
      <w:r>
        <w:rPr>
          <w:rFonts w:ascii="宋体" w:hAnsi="宋体" w:eastAsia="宋体" w:cs="AdobeSongStd-Light"/>
          <w:szCs w:val="21"/>
        </w:rPr>
        <w:t>，</w:t>
      </w:r>
      <w:r>
        <w:rPr>
          <w:rFonts w:hint="eastAsia" w:ascii="宋体" w:hAnsi="宋体" w:eastAsia="宋体" w:cs="AdobeSongStd-Light"/>
          <w:szCs w:val="21"/>
        </w:rPr>
        <w:t>人均生态赤字达</w:t>
      </w:r>
      <w:r>
        <w:rPr>
          <w:rFonts w:ascii="宋体" w:hAnsi="宋体" w:eastAsia="宋体" w:cs="AdobeSongStd-Light"/>
          <w:szCs w:val="21"/>
        </w:rPr>
        <w:t>0</w:t>
      </w:r>
      <w:r>
        <w:rPr>
          <w:rFonts w:hint="eastAsia" w:ascii="宋体" w:hAnsi="宋体" w:eastAsia="宋体" w:cs="cajcd-fntaa"/>
          <w:szCs w:val="21"/>
        </w:rPr>
        <w:t>.</w:t>
      </w:r>
      <w:r>
        <w:rPr>
          <w:rFonts w:ascii="宋体" w:hAnsi="宋体" w:eastAsia="宋体" w:cs="AdobeSongStd-Light"/>
          <w:szCs w:val="21"/>
        </w:rPr>
        <w:t>42</w:t>
      </w:r>
      <w:r>
        <w:rPr>
          <w:rFonts w:hint="eastAsia" w:ascii="宋体" w:hAnsi="宋体" w:eastAsia="宋体" w:cs="AdobeSongStd-Light"/>
          <w:szCs w:val="21"/>
        </w:rPr>
        <w:t>公顷</w:t>
      </w:r>
      <w:r>
        <w:rPr>
          <w:rFonts w:ascii="宋体" w:hAnsi="宋体" w:eastAsia="宋体" w:cs="AdobeSongStd-Light"/>
          <w:szCs w:val="21"/>
        </w:rPr>
        <w:t>(</w:t>
      </w:r>
      <w:r>
        <w:rPr>
          <w:rFonts w:hint="eastAsia" w:ascii="宋体" w:hAnsi="宋体" w:eastAsia="宋体" w:cs="AdobeSongStd-Light"/>
          <w:szCs w:val="21"/>
        </w:rPr>
        <w:t>而世界人均资源生态承载力尚有</w:t>
      </w:r>
      <w:r>
        <w:rPr>
          <w:rFonts w:ascii="宋体" w:hAnsi="宋体" w:eastAsia="宋体" w:cs="AdobeSongStd-Light"/>
          <w:szCs w:val="21"/>
        </w:rPr>
        <w:t>0</w:t>
      </w:r>
      <w:r>
        <w:rPr>
          <w:rFonts w:hint="eastAsia" w:ascii="宋体" w:hAnsi="宋体" w:eastAsia="宋体" w:cs="AdobeSongStd-Light"/>
          <w:szCs w:val="21"/>
        </w:rPr>
        <w:t>.</w:t>
      </w:r>
      <w:r>
        <w:rPr>
          <w:rFonts w:ascii="宋体" w:hAnsi="宋体" w:eastAsia="宋体" w:cs="AdobeSongStd-Light"/>
          <w:szCs w:val="21"/>
        </w:rPr>
        <w:t>33</w:t>
      </w:r>
      <w:r>
        <w:rPr>
          <w:rFonts w:hint="eastAsia" w:ascii="宋体" w:hAnsi="宋体" w:eastAsia="宋体" w:cs="AdobeSongStd-Light"/>
          <w:szCs w:val="21"/>
        </w:rPr>
        <w:t>公顷盈余</w:t>
      </w:r>
      <w:r>
        <w:rPr>
          <w:rFonts w:ascii="宋体" w:hAnsi="宋体" w:eastAsia="宋体" w:cs="AdobeSongStd-Light"/>
          <w:szCs w:val="21"/>
        </w:rPr>
        <w:t>)</w:t>
      </w:r>
      <w:r>
        <w:rPr>
          <w:rFonts w:ascii="宋体" w:hAnsi="宋体" w:eastAsia="宋体" w:cs="cajcd-fnta0"/>
          <w:szCs w:val="21"/>
        </w:rPr>
        <w:t></w:t>
      </w:r>
      <w:r>
        <w:rPr>
          <w:rFonts w:ascii="宋体" w:hAnsi="宋体" w:eastAsia="宋体" w:cs="cajcd-fnta0"/>
          <w:szCs w:val="21"/>
          <w:vertAlign w:val="superscript"/>
        </w:rPr>
        <w:footnoteReference w:id="386"/>
      </w:r>
      <w:r>
        <w:rPr>
          <w:rFonts w:ascii="宋体" w:hAnsi="宋体" w:eastAsia="宋体" w:cs="AdobeSongStd-Light"/>
          <w:szCs w:val="21"/>
        </w:rPr>
        <w:t>，</w:t>
      </w:r>
      <w:r>
        <w:rPr>
          <w:rFonts w:hint="eastAsia" w:ascii="宋体" w:hAnsi="宋体" w:eastAsia="宋体" w:cs="AdobeSongStd-Light"/>
          <w:szCs w:val="21"/>
        </w:rPr>
        <w:t>说明中国目前的资源利用方式是不可持续的。</w:t>
      </w:r>
    </w:p>
    <w:p w14:paraId="7189571C">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w:t>
      </w:r>
      <w:r>
        <w:rPr>
          <w:rFonts w:hint="eastAsia" w:ascii="宋体" w:hAnsi="宋体" w:eastAsia="宋体" w:cs="AdobeSongStd-Light"/>
          <w:b/>
          <w:szCs w:val="21"/>
        </w:rPr>
        <w:t>三</w:t>
      </w:r>
      <w:r>
        <w:rPr>
          <w:rFonts w:ascii="宋体" w:hAnsi="宋体" w:eastAsia="宋体" w:cs="AdobeSongStd-Light"/>
          <w:b/>
          <w:szCs w:val="21"/>
        </w:rPr>
        <w:t>)</w:t>
      </w:r>
      <w:r>
        <w:rPr>
          <w:rFonts w:hint="eastAsia" w:ascii="宋体" w:hAnsi="宋体" w:eastAsia="宋体" w:cs="AdobeSongStd-Light"/>
          <w:b/>
          <w:szCs w:val="21"/>
        </w:rPr>
        <w:t>环境方面</w:t>
      </w:r>
    </w:p>
    <w:p w14:paraId="383514AC">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中国的生态环境承载着空前庞大的人口压力</w:t>
      </w:r>
      <w:r>
        <w:rPr>
          <w:rFonts w:ascii="宋体" w:hAnsi="宋体" w:eastAsia="宋体" w:cs="AdobeSongStd-Light"/>
          <w:szCs w:val="21"/>
        </w:rPr>
        <w:t>，</w:t>
      </w:r>
      <w:r>
        <w:rPr>
          <w:rFonts w:hint="eastAsia" w:ascii="宋体" w:hAnsi="宋体" w:eastAsia="宋体" w:cs="AdobeSongStd-Light"/>
          <w:szCs w:val="21"/>
        </w:rPr>
        <w:t>加上历史欠账、人为破坏等因素</w:t>
      </w:r>
      <w:r>
        <w:rPr>
          <w:rFonts w:ascii="宋体" w:hAnsi="宋体" w:eastAsia="宋体" w:cs="AdobeSongStd-Light"/>
          <w:szCs w:val="21"/>
        </w:rPr>
        <w:t>，</w:t>
      </w:r>
      <w:r>
        <w:rPr>
          <w:rFonts w:hint="eastAsia" w:ascii="宋体" w:hAnsi="宋体" w:eastAsia="宋体" w:cs="AdobeSongStd-Light"/>
          <w:szCs w:val="21"/>
        </w:rPr>
        <w:t>当前环境污染仍相当严重</w:t>
      </w:r>
      <w:r>
        <w:rPr>
          <w:rFonts w:ascii="宋体" w:hAnsi="宋体" w:eastAsia="宋体" w:cs="AdobeSongStd-Light"/>
          <w:szCs w:val="21"/>
        </w:rPr>
        <w:t>，</w:t>
      </w:r>
      <w:r>
        <w:rPr>
          <w:rFonts w:hint="eastAsia" w:ascii="宋体" w:hAnsi="宋体" w:eastAsia="宋体" w:cs="AdobeSongStd-Light"/>
          <w:szCs w:val="21"/>
        </w:rPr>
        <w:t>生态恶化的危险并未消除。</w:t>
      </w:r>
    </w:p>
    <w:p w14:paraId="240B3344">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水环境状况</w:t>
      </w:r>
      <w:r>
        <w:rPr>
          <w:rFonts w:ascii="宋体" w:hAnsi="宋体" w:eastAsia="宋体" w:cs="AdobeSongStd-Light"/>
          <w:szCs w:val="21"/>
        </w:rPr>
        <w:t>:2006</w:t>
      </w:r>
      <w:r>
        <w:rPr>
          <w:rFonts w:hint="eastAsia" w:ascii="宋体" w:hAnsi="宋体" w:eastAsia="宋体" w:cs="AdobeSongStd-Light"/>
          <w:szCs w:val="21"/>
        </w:rPr>
        <w:t>年全国废水排放总量</w:t>
      </w:r>
      <w:r>
        <w:rPr>
          <w:rFonts w:ascii="宋体" w:hAnsi="宋体" w:eastAsia="宋体" w:cs="AdobeSongStd-Light"/>
          <w:szCs w:val="21"/>
        </w:rPr>
        <w:t>536.8</w:t>
      </w:r>
      <w:r>
        <w:rPr>
          <w:rFonts w:hint="eastAsia" w:ascii="宋体" w:hAnsi="宋体" w:eastAsia="宋体" w:cs="AdobeSongStd-Light"/>
          <w:szCs w:val="21"/>
        </w:rPr>
        <w:t>亿吨</w:t>
      </w:r>
      <w:r>
        <w:rPr>
          <w:rFonts w:ascii="宋体" w:hAnsi="宋体" w:eastAsia="宋体" w:cs="AdobeSongStd-Light"/>
          <w:szCs w:val="21"/>
        </w:rPr>
        <w:t>，</w:t>
      </w:r>
      <w:r>
        <w:rPr>
          <w:rFonts w:hint="eastAsia" w:ascii="宋体" w:hAnsi="宋体" w:eastAsia="宋体" w:cs="AdobeSongStd-Light"/>
          <w:szCs w:val="21"/>
        </w:rPr>
        <w:t>其中城镇生活污水</w:t>
      </w:r>
      <w:r>
        <w:rPr>
          <w:rFonts w:ascii="宋体" w:hAnsi="宋体" w:eastAsia="宋体" w:cs="AdobeSongStd-Light"/>
          <w:szCs w:val="21"/>
        </w:rPr>
        <w:t>296.6</w:t>
      </w:r>
      <w:r>
        <w:rPr>
          <w:rFonts w:hint="eastAsia" w:ascii="宋体" w:hAnsi="宋体" w:eastAsia="宋体" w:cs="AdobeSongStd-Light"/>
          <w:szCs w:val="21"/>
        </w:rPr>
        <w:t>亿吨。目前污染物排放量超过水环境容量</w:t>
      </w:r>
      <w:r>
        <w:rPr>
          <w:rFonts w:ascii="宋体" w:hAnsi="宋体" w:eastAsia="宋体" w:cs="AdobeSongStd-Light"/>
          <w:szCs w:val="21"/>
        </w:rPr>
        <w:t>，</w:t>
      </w:r>
      <w:r>
        <w:rPr>
          <w:rFonts w:hint="eastAsia" w:ascii="宋体" w:hAnsi="宋体" w:eastAsia="宋体" w:cs="AdobeSongStd-Light"/>
          <w:szCs w:val="21"/>
        </w:rPr>
        <w:t>日益加重的面源氮、鳞污染加速着水环境的恶化</w:t>
      </w:r>
      <w:r>
        <w:rPr>
          <w:rFonts w:ascii="宋体" w:hAnsi="宋体" w:eastAsia="宋体" w:cs="AdobeSongStd-Light"/>
          <w:szCs w:val="21"/>
        </w:rPr>
        <w:t>；</w:t>
      </w:r>
      <w:r>
        <w:rPr>
          <w:rFonts w:hint="eastAsia" w:ascii="宋体" w:hAnsi="宋体" w:eastAsia="宋体" w:cs="AdobeSongStd-Light"/>
          <w:szCs w:val="21"/>
        </w:rPr>
        <w:t>区域生态破坏</w:t>
      </w:r>
      <w:r>
        <w:rPr>
          <w:rFonts w:ascii="宋体" w:hAnsi="宋体" w:eastAsia="宋体" w:cs="AdobeSongStd-Light"/>
          <w:szCs w:val="21"/>
        </w:rPr>
        <w:t>，</w:t>
      </w:r>
      <w:r>
        <w:rPr>
          <w:rFonts w:hint="eastAsia" w:ascii="宋体" w:hAnsi="宋体" w:eastAsia="宋体" w:cs="AdobeSongStd-Light"/>
          <w:szCs w:val="21"/>
        </w:rPr>
        <w:t>水源涵养功能降低</w:t>
      </w:r>
      <w:r>
        <w:rPr>
          <w:rFonts w:ascii="宋体" w:hAnsi="宋体" w:eastAsia="宋体" w:cs="AdobeSongStd-Light"/>
          <w:szCs w:val="21"/>
        </w:rPr>
        <w:t>，</w:t>
      </w:r>
      <w:r>
        <w:rPr>
          <w:rFonts w:hint="eastAsia" w:ascii="宋体" w:hAnsi="宋体" w:eastAsia="宋体" w:cs="AdobeSongStd-Light"/>
          <w:szCs w:val="21"/>
        </w:rPr>
        <w:t>更使水体环境恶化雪上加霜。许多河流面目全非</w:t>
      </w:r>
      <w:r>
        <w:rPr>
          <w:rFonts w:ascii="宋体" w:hAnsi="宋体" w:eastAsia="宋体" w:cs="AdobeSongStd-Light"/>
          <w:szCs w:val="21"/>
        </w:rPr>
        <w:t>，</w:t>
      </w:r>
      <w:r>
        <w:rPr>
          <w:rFonts w:hint="eastAsia" w:ascii="宋体" w:hAnsi="宋体" w:eastAsia="宋体" w:cs="AdobeSongStd-Light"/>
          <w:szCs w:val="21"/>
        </w:rPr>
        <w:t>成了黑水河、臭水河</w:t>
      </w:r>
      <w:r>
        <w:rPr>
          <w:rFonts w:ascii="宋体" w:hAnsi="宋体" w:eastAsia="宋体" w:cs="AdobeSongStd-Light"/>
          <w:szCs w:val="21"/>
        </w:rPr>
        <w:t>，</w:t>
      </w:r>
      <w:r>
        <w:rPr>
          <w:rFonts w:hint="eastAsia" w:ascii="宋体" w:hAnsi="宋体" w:eastAsia="宋体" w:cs="AdobeSongStd-Light"/>
          <w:szCs w:val="21"/>
        </w:rPr>
        <w:t>如淮河</w:t>
      </w:r>
      <w:r>
        <w:rPr>
          <w:rFonts w:ascii="宋体" w:hAnsi="宋体" w:eastAsia="宋体" w:cs="AdobeSongStd-Light"/>
          <w:szCs w:val="21"/>
        </w:rPr>
        <w:t xml:space="preserve">191 </w:t>
      </w:r>
      <w:r>
        <w:rPr>
          <w:rFonts w:hint="eastAsia" w:ascii="宋体" w:hAnsi="宋体" w:eastAsia="宋体" w:cs="AdobeSongStd-Light"/>
          <w:szCs w:val="21"/>
        </w:rPr>
        <w:t>条支流有</w:t>
      </w:r>
      <w:r>
        <w:rPr>
          <w:rFonts w:ascii="宋体" w:hAnsi="宋体" w:eastAsia="宋体" w:cs="AdobeSongStd-Light"/>
          <w:szCs w:val="21"/>
        </w:rPr>
        <w:t>80%</w:t>
      </w:r>
      <w:r>
        <w:rPr>
          <w:rFonts w:hint="eastAsia" w:ascii="宋体" w:hAnsi="宋体" w:eastAsia="宋体" w:cs="AdobeSongStd-Light"/>
          <w:szCs w:val="21"/>
        </w:rPr>
        <w:t>呈黑绿色</w:t>
      </w:r>
      <w:r>
        <w:rPr>
          <w:rFonts w:ascii="宋体" w:hAnsi="宋体" w:eastAsia="宋体" w:cs="AdobeSongStd-Light"/>
          <w:szCs w:val="21"/>
        </w:rPr>
        <w:t>，</w:t>
      </w:r>
      <w:r>
        <w:rPr>
          <w:rFonts w:hint="eastAsia" w:ascii="宋体" w:hAnsi="宋体" w:eastAsia="宋体" w:cs="AdobeSongStd-Light"/>
          <w:szCs w:val="21"/>
        </w:rPr>
        <w:t>一半以上河段丧失使用价值</w:t>
      </w:r>
      <w:r>
        <w:rPr>
          <w:rFonts w:ascii="宋体" w:hAnsi="宋体" w:eastAsia="宋体" w:cs="AdobeSongStd-Light"/>
          <w:szCs w:val="21"/>
        </w:rPr>
        <w:t>；</w:t>
      </w:r>
      <w:r>
        <w:rPr>
          <w:rFonts w:hint="eastAsia" w:ascii="宋体" w:hAnsi="宋体" w:eastAsia="宋体" w:cs="AdobeSongStd-Light"/>
          <w:szCs w:val="21"/>
        </w:rPr>
        <w:t>许多湖泊消失</w:t>
      </w:r>
      <w:r>
        <w:rPr>
          <w:rFonts w:ascii="宋体" w:hAnsi="宋体" w:eastAsia="宋体" w:cs="AdobeSongStd-Light"/>
          <w:szCs w:val="21"/>
        </w:rPr>
        <w:t>，</w:t>
      </w:r>
      <w:r>
        <w:rPr>
          <w:rFonts w:hint="eastAsia" w:ascii="宋体" w:hAnsi="宋体" w:eastAsia="宋体" w:cs="AdobeSongStd-Light"/>
          <w:szCs w:val="21"/>
        </w:rPr>
        <w:t>水源减少。</w:t>
      </w:r>
    </w:p>
    <w:p w14:paraId="66E628B5">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大气环境状况</w:t>
      </w:r>
      <w:r>
        <w:rPr>
          <w:rFonts w:ascii="宋体" w:hAnsi="宋体" w:eastAsia="宋体" w:cs="AdobeSongStd-Light"/>
          <w:szCs w:val="21"/>
        </w:rPr>
        <w:t>:</w:t>
      </w:r>
      <w:r>
        <w:rPr>
          <w:rFonts w:hint="eastAsia" w:ascii="宋体" w:hAnsi="宋体" w:eastAsia="宋体" w:cs="AdobeSongStd-Light"/>
          <w:szCs w:val="21"/>
        </w:rPr>
        <w:t>整体污染较为严重。</w:t>
      </w:r>
      <w:r>
        <w:rPr>
          <w:rFonts w:ascii="宋体" w:hAnsi="宋体" w:eastAsia="宋体" w:cs="AdobeSongStd-Light"/>
          <w:szCs w:val="21"/>
        </w:rPr>
        <w:t>2006</w:t>
      </w:r>
      <w:r>
        <w:rPr>
          <w:rFonts w:hint="eastAsia" w:ascii="宋体" w:hAnsi="宋体" w:eastAsia="宋体" w:cs="AdobeSongStd-Light"/>
          <w:szCs w:val="21"/>
        </w:rPr>
        <w:t>年</w:t>
      </w:r>
      <w:r>
        <w:rPr>
          <w:rFonts w:ascii="宋体" w:hAnsi="宋体" w:eastAsia="宋体" w:cs="AdobeSongStd-Light"/>
          <w:szCs w:val="21"/>
        </w:rPr>
        <w:t>，</w:t>
      </w:r>
      <w:r>
        <w:rPr>
          <w:rFonts w:hint="eastAsia" w:ascii="宋体" w:hAnsi="宋体" w:eastAsia="宋体" w:cs="AdobeSongStd-Light"/>
          <w:szCs w:val="21"/>
        </w:rPr>
        <w:t>全国废气中二氧化硫排放量</w:t>
      </w:r>
      <w:r>
        <w:rPr>
          <w:rFonts w:ascii="宋体" w:hAnsi="宋体" w:eastAsia="宋体" w:cs="AdobeSongStd-Light"/>
          <w:szCs w:val="21"/>
        </w:rPr>
        <w:t>2588</w:t>
      </w:r>
      <w:r>
        <w:rPr>
          <w:rFonts w:hint="eastAsia" w:ascii="宋体" w:hAnsi="宋体" w:eastAsia="宋体" w:cs="cajcd-fntaa"/>
          <w:szCs w:val="21"/>
        </w:rPr>
        <w:t>.</w:t>
      </w:r>
      <w:r>
        <w:rPr>
          <w:rFonts w:ascii="宋体" w:hAnsi="宋体" w:eastAsia="宋体" w:cs="AdobeSongStd-Light"/>
          <w:szCs w:val="21"/>
        </w:rPr>
        <w:t>8</w:t>
      </w:r>
      <w:r>
        <w:rPr>
          <w:rFonts w:hint="eastAsia" w:ascii="宋体" w:hAnsi="宋体" w:eastAsia="宋体" w:cs="AdobeSongStd-Light"/>
          <w:szCs w:val="21"/>
        </w:rPr>
        <w:t>万吨</w:t>
      </w:r>
      <w:r>
        <w:rPr>
          <w:rFonts w:ascii="宋体" w:hAnsi="宋体" w:eastAsia="宋体" w:cs="AdobeSongStd-Light"/>
          <w:szCs w:val="21"/>
        </w:rPr>
        <w:t>，</w:t>
      </w:r>
      <w:r>
        <w:rPr>
          <w:rFonts w:hint="eastAsia" w:ascii="宋体" w:hAnsi="宋体" w:eastAsia="宋体" w:cs="AdobeSongStd-Light"/>
          <w:szCs w:val="21"/>
        </w:rPr>
        <w:t>比上年增加</w:t>
      </w:r>
      <w:r>
        <w:rPr>
          <w:rFonts w:ascii="宋体" w:hAnsi="宋体" w:eastAsia="宋体" w:cs="AdobeSongStd-Light"/>
          <w:szCs w:val="21"/>
        </w:rPr>
        <w:t>1</w:t>
      </w:r>
      <w:r>
        <w:rPr>
          <w:rFonts w:hint="eastAsia" w:ascii="宋体" w:hAnsi="宋体" w:eastAsia="宋体" w:cs="cajcd-fntaa"/>
          <w:szCs w:val="21"/>
        </w:rPr>
        <w:t>.</w:t>
      </w:r>
      <w:r>
        <w:rPr>
          <w:rFonts w:ascii="宋体" w:hAnsi="宋体" w:eastAsia="宋体" w:cs="AdobeSongStd-Light"/>
          <w:szCs w:val="21"/>
        </w:rPr>
        <w:t>5%</w:t>
      </w:r>
      <w:r>
        <w:rPr>
          <w:rFonts w:hint="eastAsia" w:ascii="宋体" w:hAnsi="宋体" w:eastAsia="宋体" w:cs="AdobeSongStd-Light"/>
          <w:szCs w:val="21"/>
        </w:rPr>
        <w:t>。中国能源以煤为主</w:t>
      </w:r>
      <w:r>
        <w:rPr>
          <w:rFonts w:ascii="宋体" w:hAnsi="宋体" w:eastAsia="宋体" w:cs="AdobeSongStd-Light"/>
          <w:szCs w:val="21"/>
        </w:rPr>
        <w:t>，</w:t>
      </w:r>
      <w:r>
        <w:rPr>
          <w:rFonts w:hint="eastAsia" w:ascii="宋体" w:hAnsi="宋体" w:eastAsia="宋体" w:cs="AdobeSongStd-Light"/>
          <w:szCs w:val="21"/>
        </w:rPr>
        <w:t>燃烧时少有脱硫除尘装置</w:t>
      </w:r>
      <w:r>
        <w:rPr>
          <w:rFonts w:ascii="宋体" w:hAnsi="宋体" w:eastAsia="宋体" w:cs="AdobeSongStd-Light"/>
          <w:szCs w:val="21"/>
        </w:rPr>
        <w:t>，</w:t>
      </w:r>
      <w:r>
        <w:rPr>
          <w:rFonts w:hint="eastAsia" w:ascii="宋体" w:hAnsi="宋体" w:eastAsia="宋体" w:cs="AdobeSongStd-Light"/>
          <w:szCs w:val="21"/>
        </w:rPr>
        <w:t>造成大气污染</w:t>
      </w:r>
      <w:r>
        <w:rPr>
          <w:rFonts w:ascii="宋体" w:hAnsi="宋体" w:eastAsia="宋体" w:cs="AdobeSongStd-Light"/>
          <w:szCs w:val="21"/>
        </w:rPr>
        <w:t>，</w:t>
      </w:r>
      <w:r>
        <w:rPr>
          <w:rFonts w:hint="eastAsia" w:ascii="宋体" w:hAnsi="宋体" w:eastAsia="宋体" w:cs="AdobeSongStd-Light"/>
          <w:szCs w:val="21"/>
        </w:rPr>
        <w:t>污染形成的酸雨区面积已占国土面积的</w:t>
      </w:r>
      <w:r>
        <w:rPr>
          <w:rFonts w:ascii="宋体" w:hAnsi="宋体" w:eastAsia="宋体" w:cs="AdobeSongStd-Light"/>
          <w:szCs w:val="21"/>
        </w:rPr>
        <w:t>30%，</w:t>
      </w:r>
      <w:r>
        <w:rPr>
          <w:rFonts w:hint="eastAsia" w:ascii="宋体" w:hAnsi="宋体" w:eastAsia="宋体" w:cs="AdobeSongStd-Light"/>
          <w:szCs w:val="21"/>
        </w:rPr>
        <w:t>是世界三大酸雨区之一。全国</w:t>
      </w:r>
      <w:r>
        <w:rPr>
          <w:rFonts w:ascii="宋体" w:hAnsi="宋体" w:eastAsia="宋体" w:cs="AdobeSongStd-Light"/>
          <w:szCs w:val="21"/>
        </w:rPr>
        <w:t>600</w:t>
      </w:r>
      <w:r>
        <w:rPr>
          <w:rFonts w:hint="eastAsia" w:ascii="宋体" w:hAnsi="宋体" w:eastAsia="宋体" w:cs="AdobeSongStd-Light"/>
          <w:szCs w:val="21"/>
        </w:rPr>
        <w:t>多座城市</w:t>
      </w:r>
      <w:r>
        <w:rPr>
          <w:rFonts w:ascii="宋体" w:hAnsi="宋体" w:eastAsia="宋体" w:cs="AdobeSongStd-Light"/>
          <w:szCs w:val="21"/>
        </w:rPr>
        <w:t>，</w:t>
      </w:r>
      <w:r>
        <w:rPr>
          <w:rFonts w:hint="eastAsia" w:ascii="宋体" w:hAnsi="宋体" w:eastAsia="宋体" w:cs="AdobeSongStd-Light"/>
          <w:szCs w:val="21"/>
        </w:rPr>
        <w:t>大气质量符合国家一级标准的不足</w:t>
      </w:r>
      <w:r>
        <w:rPr>
          <w:rFonts w:ascii="宋体" w:hAnsi="宋体" w:eastAsia="宋体" w:cs="AdobeSongStd-Light"/>
          <w:szCs w:val="21"/>
        </w:rPr>
        <w:t>1%</w:t>
      </w:r>
      <w:r>
        <w:rPr>
          <w:rFonts w:hint="eastAsia" w:ascii="宋体" w:hAnsi="宋体" w:eastAsia="宋体" w:cs="AdobeSongStd-Light"/>
          <w:szCs w:val="21"/>
        </w:rPr>
        <w:t>。</w:t>
      </w:r>
    </w:p>
    <w:p w14:paraId="0C99C6FF">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土壤环境状况</w:t>
      </w:r>
      <w:r>
        <w:rPr>
          <w:rFonts w:ascii="宋体" w:hAnsi="宋体" w:eastAsia="宋体" w:cs="AdobeSongStd-Light"/>
          <w:szCs w:val="21"/>
        </w:rPr>
        <w:t>:</w:t>
      </w:r>
      <w:r>
        <w:rPr>
          <w:rFonts w:hint="eastAsia" w:ascii="宋体" w:hAnsi="宋体" w:eastAsia="宋体" w:cs="AdobeSongStd-Light"/>
          <w:szCs w:val="21"/>
        </w:rPr>
        <w:t>一是水土流失严重</w:t>
      </w:r>
      <w:r>
        <w:rPr>
          <w:rFonts w:ascii="宋体" w:hAnsi="宋体" w:eastAsia="宋体" w:cs="AdobeSongStd-Light"/>
          <w:szCs w:val="21"/>
        </w:rPr>
        <w:t>，</w:t>
      </w:r>
      <w:r>
        <w:rPr>
          <w:rFonts w:hint="eastAsia" w:ascii="宋体" w:hAnsi="宋体" w:eastAsia="宋体" w:cs="AdobeSongStd-Light"/>
          <w:szCs w:val="21"/>
        </w:rPr>
        <w:t>目前已逾</w:t>
      </w:r>
      <w:r>
        <w:rPr>
          <w:rFonts w:ascii="宋体" w:hAnsi="宋体" w:eastAsia="宋体" w:cs="AdobeSongStd-Light"/>
          <w:szCs w:val="21"/>
        </w:rPr>
        <w:t>356</w:t>
      </w:r>
      <w:r>
        <w:rPr>
          <w:rFonts w:hint="eastAsia" w:ascii="宋体" w:hAnsi="宋体" w:eastAsia="宋体" w:cs="AdobeSongStd-Light"/>
          <w:szCs w:val="21"/>
        </w:rPr>
        <w:t>万平方公里。虽然每年都加大治理力度</w:t>
      </w:r>
      <w:r>
        <w:rPr>
          <w:rFonts w:ascii="宋体" w:hAnsi="宋体" w:eastAsia="宋体" w:cs="AdobeSongStd-Light"/>
          <w:szCs w:val="21"/>
        </w:rPr>
        <w:t>，</w:t>
      </w:r>
      <w:r>
        <w:rPr>
          <w:rFonts w:hint="eastAsia" w:ascii="宋体" w:hAnsi="宋体" w:eastAsia="宋体" w:cs="AdobeSongStd-Light"/>
          <w:szCs w:val="21"/>
        </w:rPr>
        <w:t>但每年却新增流失面积</w:t>
      </w:r>
      <w:r>
        <w:rPr>
          <w:rFonts w:ascii="宋体" w:hAnsi="宋体" w:eastAsia="宋体" w:cs="AdobeSongStd-Light"/>
          <w:szCs w:val="21"/>
        </w:rPr>
        <w:t>100</w:t>
      </w:r>
      <w:r>
        <w:rPr>
          <w:rFonts w:hint="eastAsia" w:ascii="宋体" w:hAnsi="宋体" w:eastAsia="宋体" w:cs="AdobeSongStd-Light"/>
          <w:szCs w:val="21"/>
        </w:rPr>
        <w:t>万公顷</w:t>
      </w:r>
      <w:r>
        <w:rPr>
          <w:rFonts w:ascii="宋体" w:hAnsi="宋体" w:eastAsia="宋体" w:cs="AdobeSongStd-Light"/>
          <w:szCs w:val="21"/>
        </w:rPr>
        <w:t>，</w:t>
      </w:r>
      <w:r>
        <w:rPr>
          <w:rFonts w:hint="eastAsia" w:ascii="宋体" w:hAnsi="宋体" w:eastAsia="宋体" w:cs="AdobeSongStd-Light"/>
          <w:szCs w:val="21"/>
        </w:rPr>
        <w:t>土壤流失高达</w:t>
      </w:r>
      <w:r>
        <w:rPr>
          <w:rFonts w:ascii="宋体" w:hAnsi="宋体" w:eastAsia="宋体" w:cs="AdobeSongStd-Light"/>
          <w:szCs w:val="21"/>
        </w:rPr>
        <w:t>50</w:t>
      </w:r>
      <w:r>
        <w:rPr>
          <w:rFonts w:hint="eastAsia" w:ascii="宋体" w:hAnsi="宋体" w:eastAsia="宋体" w:cs="AdobeSongStd-Light"/>
          <w:szCs w:val="21"/>
        </w:rPr>
        <w:t>多亿吨。如黄河每立方米水含沙量在</w:t>
      </w:r>
      <w:r>
        <w:rPr>
          <w:rFonts w:ascii="宋体" w:hAnsi="宋体" w:eastAsia="宋体" w:cs="AdobeSongStd-Light"/>
          <w:szCs w:val="21"/>
        </w:rPr>
        <w:t>37</w:t>
      </w:r>
      <w:r>
        <w:rPr>
          <w:rFonts w:hint="eastAsia" w:ascii="宋体" w:hAnsi="宋体" w:eastAsia="宋体" w:cs="AdobeSongStd-Light"/>
          <w:szCs w:val="21"/>
        </w:rPr>
        <w:t>公斤以上</w:t>
      </w:r>
      <w:r>
        <w:rPr>
          <w:rFonts w:ascii="宋体" w:hAnsi="宋体" w:eastAsia="宋体" w:cs="AdobeSongStd-Light"/>
          <w:szCs w:val="21"/>
        </w:rPr>
        <w:t>，</w:t>
      </w:r>
      <w:r>
        <w:rPr>
          <w:rFonts w:hint="eastAsia" w:ascii="宋体" w:hAnsi="宋体" w:eastAsia="宋体" w:cs="AdobeSongStd-Light"/>
          <w:szCs w:val="21"/>
        </w:rPr>
        <w:t>为世界第一。长江每立方米含沙量也达</w:t>
      </w:r>
      <w:r>
        <w:rPr>
          <w:rFonts w:ascii="宋体" w:hAnsi="宋体" w:eastAsia="宋体" w:cs="AdobeSongStd-Light"/>
          <w:szCs w:val="21"/>
        </w:rPr>
        <w:t>l</w:t>
      </w:r>
      <w:r>
        <w:rPr>
          <w:rFonts w:hint="eastAsia" w:ascii="宋体" w:hAnsi="宋体" w:eastAsia="宋体" w:cs="AdobeSongStd-Light"/>
          <w:szCs w:val="21"/>
        </w:rPr>
        <w:t>公斤以上</w:t>
      </w:r>
      <w:r>
        <w:rPr>
          <w:rFonts w:ascii="宋体" w:hAnsi="宋体" w:eastAsia="宋体" w:cs="AdobeSongStd-Light"/>
          <w:szCs w:val="21"/>
        </w:rPr>
        <w:t>，</w:t>
      </w:r>
      <w:r>
        <w:rPr>
          <w:rFonts w:hint="eastAsia" w:ascii="宋体" w:hAnsi="宋体" w:eastAsia="宋体" w:cs="AdobeSongStd-Light"/>
          <w:szCs w:val="21"/>
        </w:rPr>
        <w:t>为世界第四。二是土地荒漠化和沙化严重。截至</w:t>
      </w:r>
      <w:r>
        <w:rPr>
          <w:rFonts w:ascii="宋体" w:hAnsi="宋体" w:eastAsia="宋体" w:cs="AdobeSongStd-Light"/>
          <w:szCs w:val="21"/>
        </w:rPr>
        <w:t>2004</w:t>
      </w:r>
      <w:r>
        <w:rPr>
          <w:rFonts w:hint="eastAsia" w:ascii="宋体" w:hAnsi="宋体" w:eastAsia="宋体" w:cs="AdobeSongStd-Light"/>
          <w:szCs w:val="21"/>
        </w:rPr>
        <w:t>年</w:t>
      </w:r>
      <w:r>
        <w:rPr>
          <w:rFonts w:ascii="宋体" w:hAnsi="宋体" w:eastAsia="宋体" w:cs="AdobeSongStd-Light"/>
          <w:szCs w:val="21"/>
        </w:rPr>
        <w:t>，</w:t>
      </w:r>
      <w:r>
        <w:rPr>
          <w:rFonts w:hint="eastAsia" w:ascii="宋体" w:hAnsi="宋体" w:eastAsia="宋体" w:cs="AdobeSongStd-Light"/>
          <w:szCs w:val="21"/>
        </w:rPr>
        <w:t>全国荒漠化土地面积为</w:t>
      </w:r>
      <w:r>
        <w:rPr>
          <w:rFonts w:ascii="宋体" w:hAnsi="宋体" w:eastAsia="宋体" w:cs="AdobeSongStd-Light"/>
          <w:szCs w:val="21"/>
        </w:rPr>
        <w:t>263</w:t>
      </w:r>
      <w:r>
        <w:rPr>
          <w:rFonts w:hint="eastAsia" w:ascii="宋体" w:hAnsi="宋体" w:eastAsia="宋体" w:cs="cajcd-fntaa"/>
          <w:szCs w:val="21"/>
        </w:rPr>
        <w:t>.</w:t>
      </w:r>
      <w:r>
        <w:rPr>
          <w:rFonts w:ascii="宋体" w:hAnsi="宋体" w:eastAsia="宋体" w:cs="AdobeSongStd-Light"/>
          <w:szCs w:val="21"/>
        </w:rPr>
        <w:t>62</w:t>
      </w:r>
      <w:r>
        <w:rPr>
          <w:rFonts w:hint="eastAsia" w:ascii="宋体" w:hAnsi="宋体" w:eastAsia="宋体" w:cs="AdobeSongStd-Light"/>
          <w:szCs w:val="21"/>
        </w:rPr>
        <w:t>万平方公里</w:t>
      </w:r>
      <w:r>
        <w:rPr>
          <w:rFonts w:ascii="宋体" w:hAnsi="宋体" w:eastAsia="宋体" w:cs="AdobeSongStd-Light"/>
          <w:szCs w:val="21"/>
        </w:rPr>
        <w:t>，</w:t>
      </w:r>
      <w:r>
        <w:rPr>
          <w:rFonts w:hint="eastAsia" w:ascii="宋体" w:hAnsi="宋体" w:eastAsia="宋体" w:cs="AdobeSongStd-Light"/>
          <w:szCs w:val="21"/>
        </w:rPr>
        <w:t>占国土总面积的</w:t>
      </w:r>
      <w:r>
        <w:rPr>
          <w:rFonts w:ascii="宋体" w:hAnsi="宋体" w:eastAsia="宋体" w:cs="AdobeSongStd-Light"/>
          <w:szCs w:val="21"/>
        </w:rPr>
        <w:t>27</w:t>
      </w:r>
      <w:r>
        <w:rPr>
          <w:rFonts w:hint="eastAsia" w:ascii="宋体" w:hAnsi="宋体" w:eastAsia="宋体" w:cs="cajcd-fntaa"/>
          <w:szCs w:val="21"/>
        </w:rPr>
        <w:t>.</w:t>
      </w:r>
      <w:r>
        <w:rPr>
          <w:rFonts w:ascii="宋体" w:hAnsi="宋体" w:eastAsia="宋体" w:cs="AdobeSongStd-Light"/>
          <w:szCs w:val="21"/>
        </w:rPr>
        <w:t>46%；</w:t>
      </w:r>
      <w:r>
        <w:rPr>
          <w:rFonts w:hint="eastAsia" w:ascii="宋体" w:hAnsi="宋体" w:eastAsia="宋体" w:cs="AdobeSongStd-Light"/>
          <w:szCs w:val="21"/>
        </w:rPr>
        <w:t>全国沙化土地面积为</w:t>
      </w:r>
      <w:r>
        <w:rPr>
          <w:rFonts w:ascii="宋体" w:hAnsi="宋体" w:eastAsia="宋体" w:cs="AdobeSongStd-Light"/>
          <w:szCs w:val="21"/>
        </w:rPr>
        <w:t>173</w:t>
      </w:r>
      <w:r>
        <w:rPr>
          <w:rFonts w:hint="eastAsia" w:ascii="宋体" w:hAnsi="宋体" w:eastAsia="宋体" w:cs="cajcd-fntaa"/>
          <w:szCs w:val="21"/>
        </w:rPr>
        <w:t>.</w:t>
      </w:r>
      <w:r>
        <w:rPr>
          <w:rFonts w:ascii="宋体" w:hAnsi="宋体" w:eastAsia="宋体" w:cs="AdobeSongStd-Light"/>
          <w:szCs w:val="21"/>
        </w:rPr>
        <w:t>97</w:t>
      </w:r>
      <w:r>
        <w:rPr>
          <w:rFonts w:hint="eastAsia" w:ascii="宋体" w:hAnsi="宋体" w:eastAsia="宋体" w:cs="AdobeSongStd-Light"/>
          <w:szCs w:val="21"/>
        </w:rPr>
        <w:t>万平方公里</w:t>
      </w:r>
      <w:r>
        <w:rPr>
          <w:rFonts w:ascii="宋体" w:hAnsi="宋体" w:eastAsia="宋体" w:cs="AdobeSongStd-Light"/>
          <w:szCs w:val="21"/>
        </w:rPr>
        <w:t>，</w:t>
      </w:r>
      <w:r>
        <w:rPr>
          <w:rFonts w:hint="eastAsia" w:ascii="宋体" w:hAnsi="宋体" w:eastAsia="宋体" w:cs="AdobeSongStd-Light"/>
          <w:szCs w:val="21"/>
        </w:rPr>
        <w:t>占国土总面积的</w:t>
      </w:r>
      <w:r>
        <w:rPr>
          <w:rFonts w:ascii="宋体" w:hAnsi="宋体" w:eastAsia="宋体" w:cs="AdobeSongStd-Light"/>
          <w:szCs w:val="21"/>
        </w:rPr>
        <w:t>18</w:t>
      </w:r>
      <w:r>
        <w:rPr>
          <w:rFonts w:hint="eastAsia" w:ascii="宋体" w:hAnsi="宋体" w:eastAsia="宋体" w:cs="cajcd-fntaa"/>
          <w:szCs w:val="21"/>
        </w:rPr>
        <w:t>.</w:t>
      </w:r>
      <w:r>
        <w:rPr>
          <w:rFonts w:ascii="宋体" w:hAnsi="宋体" w:eastAsia="宋体" w:cs="AdobeSongStd-Light"/>
          <w:szCs w:val="21"/>
        </w:rPr>
        <w:t>12%</w:t>
      </w:r>
      <w:r>
        <w:rPr>
          <w:rFonts w:hint="eastAsia" w:ascii="宋体" w:hAnsi="宋体" w:eastAsia="宋体" w:cs="AdobeSongStd-Light"/>
          <w:szCs w:val="21"/>
        </w:rPr>
        <w:t>。</w:t>
      </w:r>
      <w:r>
        <w:rPr>
          <w:rFonts w:ascii="宋体" w:hAnsi="宋体" w:eastAsia="宋体" w:cs="cajcd-fnta0"/>
          <w:szCs w:val="21"/>
        </w:rPr>
        <w:t></w:t>
      </w:r>
      <w:r>
        <w:rPr>
          <w:rFonts w:ascii="宋体" w:hAnsi="宋体" w:eastAsia="宋体" w:cs="AdobeSongStd-Light"/>
          <w:szCs w:val="21"/>
          <w:vertAlign w:val="superscript"/>
        </w:rPr>
        <w:footnoteReference w:id="387"/>
      </w:r>
      <w:r>
        <w:rPr>
          <w:rFonts w:hint="eastAsia" w:ascii="宋体" w:hAnsi="宋体" w:eastAsia="宋体" w:cs="AdobeSongStd-Light"/>
          <w:szCs w:val="21"/>
        </w:rPr>
        <w:t>中国每年因荒漠化而直接损失</w:t>
      </w:r>
      <w:r>
        <w:rPr>
          <w:rFonts w:ascii="宋体" w:hAnsi="宋体" w:eastAsia="宋体" w:cs="AdobeSongStd-Light"/>
          <w:szCs w:val="21"/>
        </w:rPr>
        <w:t>540</w:t>
      </w:r>
      <w:r>
        <w:rPr>
          <w:rFonts w:hint="eastAsia" w:ascii="宋体" w:hAnsi="宋体" w:eastAsia="宋体" w:cs="AdobeSongStd-Light"/>
          <w:szCs w:val="21"/>
        </w:rPr>
        <w:t>亿元。其他如盐碱渍化问题仍普遍存在</w:t>
      </w:r>
      <w:r>
        <w:rPr>
          <w:rFonts w:ascii="宋体" w:hAnsi="宋体" w:eastAsia="宋体" w:cs="AdobeSongStd-Light"/>
          <w:szCs w:val="21"/>
        </w:rPr>
        <w:t>，</w:t>
      </w:r>
      <w:r>
        <w:rPr>
          <w:rFonts w:hint="eastAsia" w:ascii="宋体" w:hAnsi="宋体" w:eastAsia="宋体" w:cs="AdobeSongStd-Light"/>
          <w:szCs w:val="21"/>
        </w:rPr>
        <w:t>土壤污染日趋严重</w:t>
      </w:r>
      <w:r>
        <w:rPr>
          <w:rFonts w:ascii="宋体" w:hAnsi="宋体" w:eastAsia="宋体" w:cs="AdobeSongStd-Light"/>
          <w:szCs w:val="21"/>
        </w:rPr>
        <w:t>，</w:t>
      </w:r>
      <w:r>
        <w:rPr>
          <w:rFonts w:hint="eastAsia" w:ascii="宋体" w:hAnsi="宋体" w:eastAsia="宋体" w:cs="AdobeSongStd-Light"/>
          <w:szCs w:val="21"/>
        </w:rPr>
        <w:t>这都给有限的土地资源和日益低下的土地生产能力造成巨大威胁。</w:t>
      </w:r>
    </w:p>
    <w:p w14:paraId="2DB1FA54">
      <w:pPr>
        <w:autoSpaceDE w:val="0"/>
        <w:autoSpaceDN w:val="0"/>
        <w:spacing w:line="400" w:lineRule="exact"/>
        <w:ind w:firstLine="440" w:firstLineChars="200"/>
        <w:rPr>
          <w:rFonts w:ascii="宋体" w:hAnsi="宋体" w:eastAsia="宋体" w:cs="AdobeSongStd-Light,Bold"/>
          <w:b/>
          <w:bCs/>
          <w:szCs w:val="21"/>
        </w:rPr>
      </w:pPr>
      <w:r>
        <w:rPr>
          <w:rFonts w:hint="eastAsia" w:ascii="宋体" w:hAnsi="宋体" w:eastAsia="宋体" w:cs="AdobeSongStd-Light"/>
          <w:szCs w:val="21"/>
        </w:rPr>
        <w:t>结合人口因素看</w:t>
      </w:r>
      <w:r>
        <w:rPr>
          <w:rFonts w:ascii="宋体" w:hAnsi="宋体" w:eastAsia="宋体" w:cs="AdobeSongStd-Light"/>
          <w:szCs w:val="21"/>
        </w:rPr>
        <w:t>，</w:t>
      </w:r>
      <w:r>
        <w:rPr>
          <w:rFonts w:hint="eastAsia" w:ascii="宋体" w:hAnsi="宋体" w:eastAsia="宋体" w:cs="AdobeSongStd-Light"/>
          <w:szCs w:val="21"/>
        </w:rPr>
        <w:t>环境在中国未来可持续发展的道路上压力更大。今后</w:t>
      </w:r>
      <w:r>
        <w:rPr>
          <w:rFonts w:ascii="宋体" w:hAnsi="宋体" w:eastAsia="宋体" w:cs="AdobeSongStd-Light"/>
          <w:szCs w:val="21"/>
        </w:rPr>
        <w:t>20</w:t>
      </w:r>
      <w:r>
        <w:rPr>
          <w:rFonts w:hint="eastAsia" w:ascii="宋体" w:hAnsi="宋体" w:eastAsia="宋体" w:cs="AdobeSongStd-Light"/>
          <w:szCs w:val="21"/>
        </w:rPr>
        <w:t>年中国生态环境的发展走势是：根本遏制土地沙化和水土流失的难度更大</w:t>
      </w:r>
      <w:r>
        <w:rPr>
          <w:rFonts w:ascii="宋体" w:hAnsi="宋体" w:eastAsia="宋体" w:cs="AdobeSongStd-Light"/>
          <w:szCs w:val="21"/>
        </w:rPr>
        <w:t>(</w:t>
      </w:r>
      <w:r>
        <w:rPr>
          <w:rFonts w:hint="eastAsia" w:ascii="宋体" w:hAnsi="宋体" w:eastAsia="宋体" w:cs="AdobeSongStd-Light"/>
          <w:szCs w:val="21"/>
        </w:rPr>
        <w:t>这将是困扰中国生态环境的最主要问题之一</w:t>
      </w:r>
      <w:r>
        <w:rPr>
          <w:rFonts w:ascii="宋体" w:hAnsi="宋体" w:eastAsia="宋体" w:cs="AdobeSongStd-Light"/>
          <w:szCs w:val="21"/>
        </w:rPr>
        <w:t>)；</w:t>
      </w:r>
      <w:r>
        <w:rPr>
          <w:rFonts w:hint="eastAsia" w:ascii="宋体" w:hAnsi="宋体" w:eastAsia="宋体" w:cs="AdobeSongStd-Light"/>
          <w:szCs w:val="21"/>
        </w:rPr>
        <w:t>森林植被结构简单、功能退化的状况短期内难以改变</w:t>
      </w:r>
      <w:r>
        <w:rPr>
          <w:rFonts w:ascii="宋体" w:hAnsi="宋体" w:eastAsia="宋体" w:cs="AdobeSongStd-Light"/>
          <w:szCs w:val="21"/>
        </w:rPr>
        <w:t>；</w:t>
      </w:r>
      <w:r>
        <w:rPr>
          <w:rFonts w:hint="eastAsia" w:ascii="宋体" w:hAnsi="宋体" w:eastAsia="宋体" w:cs="AdobeSongStd-Light"/>
          <w:szCs w:val="21"/>
        </w:rPr>
        <w:t>江河断流与地下水超采将愈演愈烈</w:t>
      </w:r>
      <w:r>
        <w:rPr>
          <w:rFonts w:ascii="宋体" w:hAnsi="宋体" w:eastAsia="宋体" w:cs="AdobeSongStd-Light"/>
          <w:szCs w:val="21"/>
        </w:rPr>
        <w:t>；</w:t>
      </w:r>
      <w:r>
        <w:rPr>
          <w:rFonts w:hint="eastAsia" w:ascii="宋体" w:hAnsi="宋体" w:eastAsia="宋体" w:cs="AdobeSongStd-Light"/>
          <w:szCs w:val="21"/>
        </w:rPr>
        <w:t>土壤污染的潜在危害将逐步凸显</w:t>
      </w:r>
      <w:r>
        <w:rPr>
          <w:rFonts w:ascii="宋体" w:hAnsi="宋体" w:eastAsia="宋体" w:cs="AdobeSongStd-Light"/>
          <w:szCs w:val="21"/>
        </w:rPr>
        <w:t>；</w:t>
      </w:r>
      <w:r>
        <w:rPr>
          <w:rFonts w:hint="eastAsia" w:ascii="宋体" w:hAnsi="宋体" w:eastAsia="宋体" w:cs="AdobeSongStd-Light"/>
          <w:szCs w:val="21"/>
        </w:rPr>
        <w:t>赤潮发生频率和强度继续加大。</w:t>
      </w:r>
      <w:r>
        <w:rPr>
          <w:rFonts w:ascii="宋体" w:hAnsi="宋体" w:eastAsia="宋体" w:cs="cajcd-fnta0"/>
          <w:szCs w:val="21"/>
        </w:rPr>
        <w:t></w:t>
      </w:r>
      <w:r>
        <w:rPr>
          <w:rFonts w:ascii="宋体" w:hAnsi="宋体" w:eastAsia="宋体" w:cs="cajcd-fnta0"/>
          <w:szCs w:val="21"/>
          <w:vertAlign w:val="superscript"/>
        </w:rPr>
        <w:footnoteReference w:id="388"/>
      </w:r>
    </w:p>
    <w:p w14:paraId="04EA1021">
      <w:pPr>
        <w:autoSpaceDE w:val="0"/>
        <w:autoSpaceDN w:val="0"/>
        <w:spacing w:line="360" w:lineRule="auto"/>
        <w:ind w:firstLine="500" w:firstLineChars="200"/>
        <w:jc w:val="center"/>
        <w:rPr>
          <w:rFonts w:eastAsia="宋体" w:cs="AdobeSongStd-Light" w:asciiTheme="majorHAnsi" w:hAnsiTheme="majorHAnsi"/>
          <w:b/>
          <w:bCs/>
          <w:kern w:val="28"/>
          <w:sz w:val="24"/>
          <w:szCs w:val="32"/>
        </w:rPr>
      </w:pPr>
      <w:r>
        <w:rPr>
          <w:rFonts w:hint="eastAsia" w:eastAsia="宋体" w:asciiTheme="majorHAnsi" w:hAnsiTheme="majorHAnsi" w:cstheme="majorBidi"/>
          <w:b/>
          <w:bCs/>
          <w:kern w:val="28"/>
          <w:sz w:val="24"/>
          <w:szCs w:val="32"/>
        </w:rPr>
        <w:t>三、中国人口与资源环境可持续发展的路径选择</w:t>
      </w:r>
    </w:p>
    <w:p w14:paraId="668E635C">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人口资源环境是可持续发展三个最基本的方面</w:t>
      </w:r>
      <w:r>
        <w:rPr>
          <w:rFonts w:ascii="宋体" w:hAnsi="宋体" w:eastAsia="宋体" w:cs="AdobeSongStd-Light"/>
          <w:szCs w:val="21"/>
        </w:rPr>
        <w:t>，</w:t>
      </w:r>
      <w:r>
        <w:rPr>
          <w:rFonts w:hint="eastAsia" w:ascii="宋体" w:hAnsi="宋体" w:eastAsia="宋体" w:cs="AdobeSongStd-Light"/>
          <w:szCs w:val="21"/>
        </w:rPr>
        <w:t>可持续发展其本质要求即协调好人口资源环境承载能力的关系。</w:t>
      </w:r>
    </w:p>
    <w:p w14:paraId="24733FA3">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b/>
          <w:szCs w:val="21"/>
        </w:rPr>
        <w:t>(</w:t>
      </w:r>
      <w:r>
        <w:rPr>
          <w:rFonts w:hint="eastAsia" w:ascii="宋体" w:hAnsi="宋体" w:eastAsia="宋体" w:cs="AdobeSongStd-Light"/>
          <w:b/>
          <w:szCs w:val="21"/>
        </w:rPr>
        <w:t>一</w:t>
      </w:r>
      <w:r>
        <w:rPr>
          <w:rFonts w:ascii="宋体" w:hAnsi="宋体" w:eastAsia="宋体" w:cs="AdobeSongStd-Light"/>
          <w:b/>
          <w:szCs w:val="21"/>
        </w:rPr>
        <w:t>)</w:t>
      </w:r>
      <w:r>
        <w:rPr>
          <w:rFonts w:hint="eastAsia" w:ascii="宋体" w:hAnsi="宋体" w:eastAsia="宋体" w:cs="AdobeSongStd-Light"/>
          <w:b/>
          <w:szCs w:val="21"/>
        </w:rPr>
        <w:t>坚定不移地走中国特色统筹解决人口问题的道路</w:t>
      </w:r>
      <w:r>
        <w:rPr>
          <w:rFonts w:ascii="宋体" w:hAnsi="宋体" w:eastAsia="宋体" w:cs="cajcd-fnta0"/>
          <w:b/>
          <w:szCs w:val="21"/>
        </w:rPr>
        <w:t></w:t>
      </w:r>
      <w:r>
        <w:rPr>
          <w:rFonts w:ascii="宋体" w:hAnsi="宋体" w:eastAsia="宋体" w:cs="cajcd-fnta0"/>
          <w:szCs w:val="21"/>
          <w:vertAlign w:val="superscript"/>
        </w:rPr>
        <w:footnoteReference w:id="389"/>
      </w:r>
    </w:p>
    <w:p w14:paraId="75FCB3DF">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1.</w:t>
      </w:r>
      <w:r>
        <w:rPr>
          <w:rFonts w:hint="eastAsia" w:ascii="宋体" w:hAnsi="宋体" w:eastAsia="宋体" w:cs="AdobeSongStd-Light"/>
          <w:b/>
          <w:szCs w:val="21"/>
        </w:rPr>
        <w:t>控制人口数量</w:t>
      </w:r>
      <w:r>
        <w:rPr>
          <w:rFonts w:ascii="宋体" w:hAnsi="宋体" w:eastAsia="宋体" w:cs="AdobeSongStd-Light"/>
          <w:b/>
          <w:szCs w:val="21"/>
        </w:rPr>
        <w:t>，</w:t>
      </w:r>
      <w:r>
        <w:rPr>
          <w:rFonts w:hint="eastAsia" w:ascii="宋体" w:hAnsi="宋体" w:eastAsia="宋体" w:cs="AdobeSongStd-Light"/>
          <w:b/>
          <w:szCs w:val="21"/>
        </w:rPr>
        <w:t>稳定低生育水平</w:t>
      </w:r>
      <w:r>
        <w:rPr>
          <w:rFonts w:ascii="宋体" w:hAnsi="宋体" w:eastAsia="宋体" w:cs="AdobeSongStd-Light"/>
          <w:b/>
          <w:szCs w:val="21"/>
        </w:rPr>
        <w:t>，</w:t>
      </w:r>
      <w:r>
        <w:rPr>
          <w:rFonts w:hint="eastAsia" w:ascii="宋体" w:hAnsi="宋体" w:eastAsia="宋体" w:cs="AdobeSongStd-Light"/>
          <w:b/>
          <w:szCs w:val="21"/>
        </w:rPr>
        <w:t>是统筹解决人口问题的首要任务</w:t>
      </w:r>
    </w:p>
    <w:p w14:paraId="2C7D7E3C">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中国的人口性质正处于马克思所揭示的“人口压迫生产力”的类型</w:t>
      </w:r>
      <w:r>
        <w:rPr>
          <w:rFonts w:ascii="宋体" w:hAnsi="宋体" w:eastAsia="宋体" w:cs="AdobeSongStd-Light"/>
          <w:szCs w:val="21"/>
          <w:vertAlign w:val="superscript"/>
        </w:rPr>
        <w:footnoteReference w:id="390"/>
      </w:r>
      <w:r>
        <w:rPr>
          <w:rFonts w:hint="eastAsia" w:ascii="宋体" w:hAnsi="宋体" w:eastAsia="宋体" w:cs="AdobeSongStd-Light"/>
          <w:szCs w:val="21"/>
        </w:rPr>
        <w:t>。这是人口与生产力不平衡发展的结果</w:t>
      </w:r>
      <w:r>
        <w:rPr>
          <w:rFonts w:ascii="宋体" w:hAnsi="宋体" w:eastAsia="宋体" w:cs="AdobeSongStd-Light"/>
          <w:szCs w:val="21"/>
        </w:rPr>
        <w:t>，</w:t>
      </w:r>
      <w:r>
        <w:rPr>
          <w:rFonts w:hint="eastAsia" w:ascii="宋体" w:hAnsi="宋体" w:eastAsia="宋体" w:cs="AdobeSongStd-Light"/>
          <w:szCs w:val="21"/>
        </w:rPr>
        <w:t>工作失误也难辞其咎。无视我国“人口压迫生产力”的事实</w:t>
      </w:r>
      <w:r>
        <w:rPr>
          <w:rFonts w:ascii="宋体" w:hAnsi="宋体" w:eastAsia="宋体" w:cs="AdobeSongStd-Light"/>
          <w:szCs w:val="21"/>
        </w:rPr>
        <w:t>，</w:t>
      </w:r>
      <w:r>
        <w:rPr>
          <w:rFonts w:hint="eastAsia" w:ascii="宋体" w:hAnsi="宋体" w:eastAsia="宋体" w:cs="AdobeSongStd-Light"/>
          <w:szCs w:val="21"/>
        </w:rPr>
        <w:t>否认在人口问题上个人与社会、局部与全局的矛盾</w:t>
      </w:r>
      <w:r>
        <w:rPr>
          <w:rFonts w:ascii="宋体" w:hAnsi="宋体" w:eastAsia="宋体" w:cs="AdobeSongStd-Light"/>
          <w:szCs w:val="21"/>
        </w:rPr>
        <w:t>，</w:t>
      </w:r>
      <w:r>
        <w:rPr>
          <w:rFonts w:hint="eastAsia" w:ascii="宋体" w:hAnsi="宋体" w:eastAsia="宋体" w:cs="AdobeSongStd-Light"/>
          <w:szCs w:val="21"/>
        </w:rPr>
        <w:t>机械拿西方一些人口学家</w:t>
      </w:r>
      <w:r>
        <w:rPr>
          <w:rFonts w:ascii="宋体" w:hAnsi="宋体" w:eastAsia="宋体" w:cs="AdobeSongStd-Light"/>
          <w:szCs w:val="21"/>
        </w:rPr>
        <w:t>(</w:t>
      </w:r>
      <w:r>
        <w:rPr>
          <w:rFonts w:hint="eastAsia" w:ascii="宋体" w:hAnsi="宋体" w:eastAsia="宋体" w:cs="AdobeSongStd-Light"/>
          <w:szCs w:val="21"/>
        </w:rPr>
        <w:t>如科赫</w:t>
      </w:r>
      <w:r>
        <w:rPr>
          <w:rFonts w:ascii="宋体" w:hAnsi="宋体" w:eastAsia="宋体" w:cs="AdobeSongStd-Light"/>
          <w:szCs w:val="21"/>
        </w:rPr>
        <w:t>)</w:t>
      </w:r>
      <w:r>
        <w:rPr>
          <w:rFonts w:hint="eastAsia" w:ascii="宋体" w:hAnsi="宋体" w:eastAsia="宋体" w:cs="AdobeSongStd-Light"/>
          <w:szCs w:val="21"/>
        </w:rPr>
        <w:t>通过政治、经济和社会发展而降低人口出生率的理论</w:t>
      </w:r>
      <w:r>
        <w:rPr>
          <w:rFonts w:ascii="宋体" w:hAnsi="宋体" w:eastAsia="宋体" w:cs="AdobeSongStd-Light"/>
          <w:szCs w:val="21"/>
        </w:rPr>
        <w:t>，</w:t>
      </w:r>
      <w:r>
        <w:rPr>
          <w:rFonts w:hint="eastAsia" w:ascii="宋体" w:hAnsi="宋体" w:eastAsia="宋体" w:cs="AdobeSongStd-Light"/>
          <w:szCs w:val="21"/>
        </w:rPr>
        <w:t>主张“发展是最好的避孕”</w:t>
      </w:r>
      <w:r>
        <w:rPr>
          <w:rFonts w:ascii="宋体" w:hAnsi="宋体" w:eastAsia="宋体" w:cs="AdobeSongStd-Light"/>
          <w:szCs w:val="21"/>
        </w:rPr>
        <w:t>，</w:t>
      </w:r>
      <w:r>
        <w:rPr>
          <w:rFonts w:hint="eastAsia" w:ascii="宋体" w:hAnsi="宋体" w:eastAsia="宋体" w:cs="AdobeSongStd-Light"/>
          <w:szCs w:val="21"/>
        </w:rPr>
        <w:t>认为我国应先发展经济后控制人口</w:t>
      </w:r>
      <w:r>
        <w:rPr>
          <w:rFonts w:ascii="宋体" w:hAnsi="宋体" w:eastAsia="宋体" w:cs="AdobeSongStd-Light"/>
          <w:szCs w:val="21"/>
        </w:rPr>
        <w:t>，</w:t>
      </w:r>
      <w:r>
        <w:rPr>
          <w:rFonts w:hint="eastAsia" w:ascii="宋体" w:hAnsi="宋体" w:eastAsia="宋体" w:cs="AdobeSongStd-Light"/>
          <w:szCs w:val="21"/>
        </w:rPr>
        <w:t>而不是计划控制人口以使其有利于经济社会的发展</w:t>
      </w:r>
      <w:r>
        <w:rPr>
          <w:rFonts w:ascii="宋体" w:hAnsi="宋体" w:eastAsia="宋体" w:cs="AdobeSongStd-Light"/>
          <w:szCs w:val="21"/>
        </w:rPr>
        <w:t xml:space="preserve">， </w:t>
      </w:r>
      <w:r>
        <w:rPr>
          <w:rFonts w:hint="eastAsia" w:ascii="宋体" w:hAnsi="宋体" w:eastAsia="宋体" w:cs="AdobeSongStd-Light"/>
          <w:szCs w:val="21"/>
        </w:rPr>
        <w:t>这是“人的依赖关系”</w:t>
      </w:r>
      <w:r>
        <w:rPr>
          <w:rFonts w:ascii="宋体" w:hAnsi="宋体" w:eastAsia="宋体" w:cs="cajcd-fnta0"/>
          <w:szCs w:val="21"/>
        </w:rPr>
        <w:t></w:t>
      </w:r>
      <w:r>
        <w:rPr>
          <w:rFonts w:ascii="宋体" w:hAnsi="宋体" w:eastAsia="宋体" w:cs="cajcd-fnta0"/>
          <w:szCs w:val="21"/>
          <w:vertAlign w:val="superscript"/>
        </w:rPr>
        <w:footnoteReference w:id="391"/>
      </w:r>
      <w:r>
        <w:rPr>
          <w:rFonts w:hint="eastAsia" w:ascii="宋体" w:hAnsi="宋体" w:eastAsia="宋体" w:cs="AdobeSongStd-Light"/>
          <w:szCs w:val="21"/>
        </w:rPr>
        <w:t>社会形态下的不合时宜的价值观。坐等经济高速发展后再降低生育率</w:t>
      </w:r>
      <w:r>
        <w:rPr>
          <w:rFonts w:ascii="宋体" w:hAnsi="宋体" w:eastAsia="宋体" w:cs="AdobeSongStd-Light"/>
          <w:szCs w:val="21"/>
        </w:rPr>
        <w:t>，</w:t>
      </w:r>
      <w:r>
        <w:rPr>
          <w:rFonts w:hint="eastAsia" w:ascii="宋体" w:hAnsi="宋体" w:eastAsia="宋体" w:cs="AdobeSongStd-Light"/>
          <w:szCs w:val="21"/>
        </w:rPr>
        <w:t>其结果是</w:t>
      </w:r>
      <w:r>
        <w:rPr>
          <w:rFonts w:ascii="宋体" w:hAnsi="宋体" w:eastAsia="宋体" w:cs="AdobeSongStd-Light"/>
          <w:szCs w:val="21"/>
        </w:rPr>
        <w:t>:</w:t>
      </w:r>
      <w:r>
        <w:rPr>
          <w:rFonts w:hint="eastAsia" w:ascii="宋体" w:hAnsi="宋体" w:eastAsia="宋体" w:cs="AdobeSongStd-Light"/>
          <w:szCs w:val="21"/>
        </w:rPr>
        <w:t>庞大的人口会以更加惊人的速度增长</w:t>
      </w:r>
      <w:r>
        <w:rPr>
          <w:rFonts w:ascii="宋体" w:hAnsi="宋体" w:eastAsia="宋体" w:cs="AdobeSongStd-Light"/>
          <w:szCs w:val="21"/>
        </w:rPr>
        <w:t>，</w:t>
      </w:r>
      <w:r>
        <w:rPr>
          <w:rFonts w:hint="eastAsia" w:ascii="宋体" w:hAnsi="宋体" w:eastAsia="宋体" w:cs="AdobeSongStd-Light"/>
          <w:szCs w:val="21"/>
        </w:rPr>
        <w:t>这将大大延缓我国经济现代化的进程。其他认为中国人口结构失衡问题已取代人口数量而上升到中国人口问题的首要方面的说法</w:t>
      </w:r>
      <w:r>
        <w:rPr>
          <w:rFonts w:ascii="宋体" w:hAnsi="宋体" w:eastAsia="宋体" w:cs="AdobeSongStd-Light"/>
          <w:szCs w:val="21"/>
        </w:rPr>
        <w:t>(</w:t>
      </w:r>
      <w:r>
        <w:rPr>
          <w:rFonts w:hint="eastAsia" w:ascii="宋体" w:hAnsi="宋体" w:eastAsia="宋体" w:cs="AdobeSongStd-Light"/>
          <w:szCs w:val="21"/>
        </w:rPr>
        <w:t>如将老龄化放置于人口数量问题之上、认为老龄化将会是压垮</w:t>
      </w:r>
      <w:r>
        <w:rPr>
          <w:rFonts w:ascii="宋体" w:hAnsi="宋体" w:eastAsia="宋体" w:cs="AdobeSongStd-Light"/>
          <w:szCs w:val="21"/>
        </w:rPr>
        <w:t xml:space="preserve">21 </w:t>
      </w:r>
      <w:r>
        <w:rPr>
          <w:rFonts w:hint="eastAsia" w:ascii="宋体" w:hAnsi="宋体" w:eastAsia="宋体" w:cs="AdobeSongStd-Light"/>
          <w:szCs w:val="21"/>
        </w:rPr>
        <w:t>世纪中国社会新的人口“包袱”</w:t>
      </w:r>
      <w:r>
        <w:rPr>
          <w:rFonts w:ascii="宋体" w:hAnsi="宋体" w:eastAsia="宋体" w:cs="AdobeSongStd-Light"/>
          <w:szCs w:val="21"/>
        </w:rPr>
        <w:t>) ，</w:t>
      </w:r>
      <w:r>
        <w:rPr>
          <w:rFonts w:hint="eastAsia" w:ascii="宋体" w:hAnsi="宋体" w:eastAsia="宋体" w:cs="AdobeSongStd-Light"/>
          <w:szCs w:val="21"/>
        </w:rPr>
        <w:t>其错误也是明显的。</w:t>
      </w:r>
    </w:p>
    <w:p w14:paraId="05344E46">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首先</w:t>
      </w:r>
      <w:r>
        <w:rPr>
          <w:rFonts w:ascii="宋体" w:hAnsi="宋体" w:eastAsia="宋体" w:cs="AdobeSongStd-Light"/>
          <w:szCs w:val="21"/>
        </w:rPr>
        <w:t>，</w:t>
      </w:r>
      <w:r>
        <w:rPr>
          <w:rFonts w:hint="eastAsia" w:ascii="宋体" w:hAnsi="宋体" w:eastAsia="宋体" w:cs="AdobeSongStd-Light"/>
          <w:szCs w:val="21"/>
        </w:rPr>
        <w:t>其认识上的根源</w:t>
      </w:r>
      <w:r>
        <w:rPr>
          <w:rFonts w:ascii="宋体" w:hAnsi="宋体" w:eastAsia="宋体" w:cs="AdobeSongStd-Light"/>
          <w:szCs w:val="21"/>
        </w:rPr>
        <w:t>，</w:t>
      </w:r>
      <w:r>
        <w:rPr>
          <w:rFonts w:hint="eastAsia" w:ascii="宋体" w:hAnsi="宋体" w:eastAsia="宋体" w:cs="AdobeSongStd-Light"/>
          <w:szCs w:val="21"/>
        </w:rPr>
        <w:t>在于“淡忘”了中国“最大的实际”——初级阶段人口多、底子薄的基本国情</w:t>
      </w:r>
      <w:r>
        <w:rPr>
          <w:rFonts w:ascii="宋体" w:hAnsi="宋体" w:eastAsia="宋体" w:cs="AdobeSongStd-Light"/>
          <w:szCs w:val="21"/>
        </w:rPr>
        <w:t>，</w:t>
      </w:r>
      <w:r>
        <w:rPr>
          <w:rFonts w:hint="eastAsia" w:ascii="宋体" w:hAnsi="宋体" w:eastAsia="宋体" w:cs="AdobeSongStd-Light"/>
          <w:szCs w:val="21"/>
        </w:rPr>
        <w:t>对中国人口仍在继续增长、生育率仍存在反弹的可能性</w:t>
      </w:r>
      <w:r>
        <w:rPr>
          <w:rFonts w:ascii="宋体" w:hAnsi="宋体" w:eastAsia="宋体" w:cs="AdobeSongStd-Light"/>
          <w:szCs w:val="21"/>
        </w:rPr>
        <w:t>(</w:t>
      </w:r>
      <w:r>
        <w:rPr>
          <w:rFonts w:hint="eastAsia" w:ascii="宋体" w:hAnsi="宋体" w:eastAsia="宋体" w:cs="AdobeSongStd-Light"/>
          <w:szCs w:val="21"/>
        </w:rPr>
        <w:t>希望生两个及以上孩子的妇女比例达</w:t>
      </w:r>
      <w:r>
        <w:rPr>
          <w:rFonts w:ascii="宋体" w:hAnsi="宋体" w:eastAsia="宋体" w:cs="AdobeSongStd-Light"/>
          <w:szCs w:val="21"/>
        </w:rPr>
        <w:t>7</w:t>
      </w:r>
      <w:r>
        <w:rPr>
          <w:rFonts w:hint="eastAsia" w:ascii="宋体" w:hAnsi="宋体" w:eastAsia="宋体" w:cs="AdobeSongStd-Light"/>
          <w:szCs w:val="21"/>
        </w:rPr>
        <w:t>0.</w:t>
      </w:r>
      <w:r>
        <w:rPr>
          <w:rFonts w:ascii="宋体" w:hAnsi="宋体" w:eastAsia="宋体" w:cs="AdobeSongStd-Light"/>
          <w:szCs w:val="21"/>
        </w:rPr>
        <w:t>7% )</w:t>
      </w:r>
      <w:r>
        <w:rPr>
          <w:rFonts w:ascii="宋体" w:hAnsi="宋体" w:eastAsia="宋体" w:cs="cajcd-fnta0"/>
          <w:szCs w:val="21"/>
          <w:vertAlign w:val="superscript"/>
        </w:rPr>
        <w:footnoteReference w:id="392"/>
      </w:r>
      <w:r>
        <w:rPr>
          <w:rFonts w:hint="eastAsia" w:ascii="宋体" w:hAnsi="宋体" w:eastAsia="宋体" w:cs="AdobeSongStd-Light"/>
          <w:szCs w:val="21"/>
        </w:rPr>
        <w:t>视而不见</w:t>
      </w:r>
      <w:r>
        <w:rPr>
          <w:rFonts w:ascii="宋体" w:hAnsi="宋体" w:eastAsia="宋体" w:cs="AdobeSongStd-Light"/>
          <w:szCs w:val="21"/>
        </w:rPr>
        <w:t>，</w:t>
      </w:r>
      <w:r>
        <w:rPr>
          <w:rFonts w:hint="eastAsia" w:ascii="宋体" w:hAnsi="宋体" w:eastAsia="宋体" w:cs="AdobeSongStd-Light"/>
          <w:szCs w:val="21"/>
        </w:rPr>
        <w:t>而对中国控制人口的负面影响却夸大其辞。人口数量问题在今后相当长的一个时期内仍将是中国社会经济发展的首要制约因素。因此</w:t>
      </w:r>
      <w:r>
        <w:rPr>
          <w:rFonts w:ascii="宋体" w:hAnsi="宋体" w:eastAsia="宋体" w:cs="AdobeSongStd-Light"/>
          <w:szCs w:val="21"/>
        </w:rPr>
        <w:t>，</w:t>
      </w:r>
      <w:r>
        <w:rPr>
          <w:rFonts w:hint="eastAsia" w:ascii="宋体" w:hAnsi="宋体" w:eastAsia="宋体" w:cs="AdobeSongStd-Light"/>
          <w:szCs w:val="21"/>
        </w:rPr>
        <w:t>坚持控制人口数量始终在中国可持续发展进程中占据着极其重要的地位。</w:t>
      </w:r>
    </w:p>
    <w:p w14:paraId="7EC5E40E">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其次是所谓一些“新的人口危机”问题。“从我国国情和国际经验看</w:t>
      </w:r>
      <w:r>
        <w:rPr>
          <w:rFonts w:ascii="宋体" w:hAnsi="宋体" w:eastAsia="宋体" w:cs="AdobeSongStd-Light"/>
          <w:szCs w:val="21"/>
        </w:rPr>
        <w:t>，</w:t>
      </w:r>
      <w:r>
        <w:rPr>
          <w:rFonts w:hint="eastAsia" w:ascii="宋体" w:hAnsi="宋体" w:eastAsia="宋体" w:cs="AdobeSongStd-Light"/>
          <w:szCs w:val="21"/>
        </w:rPr>
        <w:t>在可以预见的将来</w:t>
      </w:r>
      <w:r>
        <w:rPr>
          <w:rFonts w:ascii="宋体" w:hAnsi="宋体" w:eastAsia="宋体" w:cs="AdobeSongStd-Light"/>
          <w:szCs w:val="21"/>
        </w:rPr>
        <w:t>，</w:t>
      </w:r>
      <w:r>
        <w:rPr>
          <w:rFonts w:hint="eastAsia" w:ascii="宋体" w:hAnsi="宋体" w:eastAsia="宋体" w:cs="AdobeSongStd-Light"/>
          <w:szCs w:val="21"/>
        </w:rPr>
        <w:t>低生育水平不会成为一个新的人口危机。”</w:t>
      </w:r>
      <w:r>
        <w:rPr>
          <w:rFonts w:ascii="宋体" w:hAnsi="宋体" w:eastAsia="宋体" w:cs="cajcd-fnta0"/>
          <w:szCs w:val="21"/>
        </w:rPr>
        <w:t></w:t>
      </w:r>
      <w:r>
        <w:rPr>
          <w:rFonts w:ascii="宋体" w:hAnsi="宋体" w:eastAsia="宋体" w:cs="cajcd-fnta0"/>
          <w:szCs w:val="21"/>
          <w:vertAlign w:val="superscript"/>
        </w:rPr>
        <w:footnoteReference w:id="393"/>
      </w:r>
      <w:r>
        <w:rPr>
          <w:rFonts w:hint="eastAsia" w:ascii="宋体" w:hAnsi="宋体" w:eastAsia="宋体" w:cs="AdobeSongStd-Light"/>
          <w:szCs w:val="21"/>
        </w:rPr>
        <w:t>我们认为</w:t>
      </w:r>
      <w:r>
        <w:rPr>
          <w:rFonts w:ascii="宋体" w:hAnsi="宋体" w:eastAsia="宋体" w:cs="AdobeSongStd-Light"/>
          <w:szCs w:val="21"/>
        </w:rPr>
        <w:t>，</w:t>
      </w:r>
      <w:r>
        <w:rPr>
          <w:rFonts w:hint="eastAsia" w:ascii="宋体" w:hAnsi="宋体" w:eastAsia="宋体" w:cs="AdobeSongStd-Light"/>
          <w:szCs w:val="21"/>
        </w:rPr>
        <w:t>生育率的下降与老龄化和性别比偏高可能接踵而来</w:t>
      </w:r>
      <w:r>
        <w:rPr>
          <w:rFonts w:ascii="宋体" w:hAnsi="宋体" w:eastAsia="宋体" w:cs="AdobeSongStd-Light"/>
          <w:szCs w:val="21"/>
        </w:rPr>
        <w:t>，</w:t>
      </w:r>
      <w:r>
        <w:rPr>
          <w:rFonts w:hint="eastAsia" w:ascii="宋体" w:hAnsi="宋体" w:eastAsia="宋体" w:cs="AdobeSongStd-Light"/>
          <w:szCs w:val="21"/>
        </w:rPr>
        <w:t>但却非完全相关或全因全果的关系。放宽生育政策当然可以年轻化</w:t>
      </w:r>
      <w:r>
        <w:rPr>
          <w:rFonts w:ascii="宋体" w:hAnsi="宋体" w:eastAsia="宋体" w:cs="AdobeSongStd-Light"/>
          <w:szCs w:val="21"/>
        </w:rPr>
        <w:t>，</w:t>
      </w:r>
      <w:r>
        <w:rPr>
          <w:rFonts w:hint="eastAsia" w:ascii="宋体" w:hAnsi="宋体" w:eastAsia="宋体" w:cs="AdobeSongStd-Light"/>
          <w:szCs w:val="21"/>
        </w:rPr>
        <w:t>但可以肯定的是</w:t>
      </w:r>
      <w:r>
        <w:rPr>
          <w:rFonts w:ascii="宋体" w:hAnsi="宋体" w:eastAsia="宋体" w:cs="AdobeSongStd-Light"/>
          <w:szCs w:val="21"/>
        </w:rPr>
        <w:t>，</w:t>
      </w:r>
      <w:r>
        <w:rPr>
          <w:rFonts w:hint="eastAsia" w:ascii="宋体" w:hAnsi="宋体" w:eastAsia="宋体" w:cs="AdobeSongStd-Light"/>
          <w:szCs w:val="21"/>
        </w:rPr>
        <w:t>那样中国的问题将会更多、更尖锐、更难解决。解决老龄化问题</w:t>
      </w:r>
      <w:r>
        <w:rPr>
          <w:rFonts w:ascii="宋体" w:hAnsi="宋体" w:eastAsia="宋体" w:cs="AdobeSongStd-Light"/>
          <w:szCs w:val="21"/>
        </w:rPr>
        <w:t>，</w:t>
      </w:r>
      <w:r>
        <w:rPr>
          <w:rFonts w:hint="eastAsia" w:ascii="宋体" w:hAnsi="宋体" w:eastAsia="宋体" w:cs="AdobeSongStd-Light"/>
          <w:szCs w:val="21"/>
        </w:rPr>
        <w:t>绝不能像有些人主张的“立即全面恢复二胎政策”</w:t>
      </w:r>
      <w:r>
        <w:rPr>
          <w:rFonts w:ascii="宋体" w:hAnsi="宋体" w:eastAsia="宋体" w:cs="AdobeSongStd-Light"/>
          <w:szCs w:val="21"/>
        </w:rPr>
        <w:t>，</w:t>
      </w:r>
      <w:r>
        <w:rPr>
          <w:rFonts w:hint="eastAsia" w:ascii="宋体" w:hAnsi="宋体" w:eastAsia="宋体" w:cs="AdobeSongStd-Light"/>
          <w:szCs w:val="21"/>
        </w:rPr>
        <w:t>而应实行一种有差别的社会保障</w:t>
      </w:r>
      <w:r>
        <w:rPr>
          <w:rFonts w:ascii="宋体" w:hAnsi="宋体" w:eastAsia="宋体" w:cs="AdobeSongStd-Light"/>
          <w:szCs w:val="21"/>
        </w:rPr>
        <w:t>，</w:t>
      </w:r>
      <w:r>
        <w:rPr>
          <w:rFonts w:hint="eastAsia" w:ascii="宋体" w:hAnsi="宋体" w:eastAsia="宋体" w:cs="AdobeSongStd-Light"/>
          <w:szCs w:val="21"/>
        </w:rPr>
        <w:t>如对于不生育的家庭实行高保</w:t>
      </w:r>
      <w:r>
        <w:rPr>
          <w:rFonts w:ascii="宋体" w:hAnsi="宋体" w:eastAsia="宋体" w:cs="AdobeSongStd-Light"/>
          <w:szCs w:val="21"/>
        </w:rPr>
        <w:t>，</w:t>
      </w:r>
      <w:r>
        <w:rPr>
          <w:rFonts w:hint="eastAsia" w:ascii="宋体" w:hAnsi="宋体" w:eastAsia="宋体" w:cs="AdobeSongStd-Light"/>
          <w:szCs w:val="21"/>
        </w:rPr>
        <w:t>生一个女孩的实行中保</w:t>
      </w:r>
      <w:r>
        <w:rPr>
          <w:rFonts w:ascii="宋体" w:hAnsi="宋体" w:eastAsia="宋体" w:cs="AdobeSongStd-Light"/>
          <w:szCs w:val="21"/>
        </w:rPr>
        <w:t>，</w:t>
      </w:r>
      <w:r>
        <w:rPr>
          <w:rFonts w:hint="eastAsia" w:ascii="宋体" w:hAnsi="宋体" w:eastAsia="宋体" w:cs="AdobeSongStd-Light"/>
          <w:szCs w:val="21"/>
        </w:rPr>
        <w:t>生一个男孩的实行低保</w:t>
      </w:r>
      <w:r>
        <w:rPr>
          <w:rFonts w:ascii="宋体" w:hAnsi="宋体" w:eastAsia="宋体" w:cs="AdobeSongStd-Light"/>
          <w:szCs w:val="21"/>
        </w:rPr>
        <w:t>，</w:t>
      </w:r>
      <w:r>
        <w:rPr>
          <w:rFonts w:hint="eastAsia" w:ascii="宋体" w:hAnsi="宋体" w:eastAsia="宋体" w:cs="AdobeSongStd-Light"/>
          <w:szCs w:val="21"/>
        </w:rPr>
        <w:t>违纪生二胎的不保</w:t>
      </w:r>
      <w:r>
        <w:rPr>
          <w:rFonts w:ascii="宋体" w:hAnsi="宋体" w:eastAsia="宋体" w:cs="AdobeSongStd-Light"/>
          <w:szCs w:val="21"/>
        </w:rPr>
        <w:t>，</w:t>
      </w:r>
      <w:r>
        <w:rPr>
          <w:rFonts w:hint="eastAsia" w:ascii="宋体" w:hAnsi="宋体" w:eastAsia="宋体" w:cs="AdobeSongStd-Light"/>
          <w:szCs w:val="21"/>
        </w:rPr>
        <w:t>可考虑变处罚为奖励等。</w:t>
      </w:r>
    </w:p>
    <w:p w14:paraId="74BCF824">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再者</w:t>
      </w:r>
      <w:r>
        <w:rPr>
          <w:rFonts w:ascii="宋体" w:hAnsi="宋体" w:eastAsia="宋体" w:cs="AdobeSongStd-Light"/>
          <w:szCs w:val="21"/>
        </w:rPr>
        <w:t>，</w:t>
      </w:r>
      <w:r>
        <w:rPr>
          <w:rFonts w:hint="eastAsia" w:ascii="宋体" w:hAnsi="宋体" w:eastAsia="宋体" w:cs="AdobeSongStd-Light"/>
          <w:szCs w:val="21"/>
        </w:rPr>
        <w:t>还要注意现象与本质之别。如中国经济发展的速度高于人口增长的速度</w:t>
      </w:r>
      <w:r>
        <w:rPr>
          <w:rFonts w:ascii="宋体" w:hAnsi="宋体" w:eastAsia="宋体" w:cs="AdobeSongStd-Light"/>
          <w:szCs w:val="21"/>
        </w:rPr>
        <w:t>，</w:t>
      </w:r>
      <w:r>
        <w:rPr>
          <w:rFonts w:hint="eastAsia" w:ascii="宋体" w:hAnsi="宋体" w:eastAsia="宋体" w:cs="AdobeSongStd-Light"/>
          <w:szCs w:val="21"/>
        </w:rPr>
        <w:t>尤其是沿海发达地区。但这并不能由此认为中国庞大的人口规模并没有成为经济的增长制约因素</w:t>
      </w:r>
      <w:r>
        <w:rPr>
          <w:rFonts w:ascii="宋体" w:hAnsi="宋体" w:eastAsia="宋体" w:cs="AdobeSongStd-Light"/>
          <w:szCs w:val="21"/>
        </w:rPr>
        <w:t>，</w:t>
      </w:r>
      <w:r>
        <w:rPr>
          <w:rFonts w:hint="eastAsia" w:ascii="宋体" w:hAnsi="宋体" w:eastAsia="宋体" w:cs="AdobeSongStd-Light"/>
          <w:szCs w:val="21"/>
        </w:rPr>
        <w:t>更不意味着我国可持续发展之路就一马平川了。从我们对人口资源环境可持续发展的回顾和现状考量来看</w:t>
      </w:r>
      <w:r>
        <w:rPr>
          <w:rFonts w:ascii="宋体" w:hAnsi="宋体" w:eastAsia="宋体" w:cs="AdobeSongStd-Light"/>
          <w:szCs w:val="21"/>
        </w:rPr>
        <w:t>，</w:t>
      </w:r>
      <w:r>
        <w:rPr>
          <w:rFonts w:hint="eastAsia" w:ascii="宋体" w:hAnsi="宋体" w:eastAsia="宋体" w:cs="AdobeSongStd-Light"/>
          <w:szCs w:val="21"/>
        </w:rPr>
        <w:t>“突出的”问题是</w:t>
      </w:r>
      <w:r>
        <w:rPr>
          <w:rFonts w:ascii="宋体" w:hAnsi="宋体" w:eastAsia="宋体" w:cs="AdobeSongStd-Light"/>
          <w:szCs w:val="21"/>
        </w:rPr>
        <w:t>:</w:t>
      </w:r>
      <w:r>
        <w:rPr>
          <w:rFonts w:hint="eastAsia" w:ascii="宋体" w:hAnsi="宋体" w:eastAsia="宋体" w:cs="AdobeSongStd-Light"/>
          <w:szCs w:val="21"/>
        </w:rPr>
        <w:t>“经济增长的资源环境代价过大”</w:t>
      </w:r>
      <w:r>
        <w:rPr>
          <w:rFonts w:ascii="宋体" w:hAnsi="宋体" w:eastAsia="宋体" w:cs="cajcd-fnta0"/>
          <w:szCs w:val="21"/>
        </w:rPr>
        <w:t></w:t>
      </w:r>
      <w:r>
        <w:rPr>
          <w:rFonts w:ascii="宋体" w:hAnsi="宋体" w:eastAsia="宋体" w:cs="cajcd-fnta0"/>
          <w:szCs w:val="21"/>
          <w:vertAlign w:val="superscript"/>
        </w:rPr>
        <w:footnoteReference w:id="394"/>
      </w:r>
      <w:r>
        <w:rPr>
          <w:rFonts w:ascii="宋体" w:hAnsi="宋体" w:eastAsia="宋体" w:cs="cajcd-fnta6"/>
          <w:szCs w:val="21"/>
        </w:rPr>
        <w:t xml:space="preserve"> </w:t>
      </w:r>
      <w:r>
        <w:rPr>
          <w:rFonts w:hint="eastAsia" w:ascii="宋体" w:hAnsi="宋体" w:eastAsia="宋体" w:cs="AdobeSongStd-Light"/>
          <w:szCs w:val="21"/>
        </w:rPr>
        <w:t>。而这种“过大”根源还在于庞大的人口数量</w:t>
      </w:r>
      <w:r>
        <w:rPr>
          <w:rFonts w:ascii="宋体" w:hAnsi="宋体" w:eastAsia="宋体" w:cs="AdobeSongStd-Light"/>
          <w:szCs w:val="21"/>
        </w:rPr>
        <w:t>，</w:t>
      </w:r>
      <w:r>
        <w:rPr>
          <w:rFonts w:hint="eastAsia" w:ascii="宋体" w:hAnsi="宋体" w:eastAsia="宋体" w:cs="AdobeSongStd-Light"/>
          <w:szCs w:val="21"/>
        </w:rPr>
        <w:t>在于使资源环境不堪重负的人口规模。笔者和一些相关机构的联合调查表明</w:t>
      </w:r>
      <w:r>
        <w:rPr>
          <w:rFonts w:ascii="宋体" w:hAnsi="宋体" w:eastAsia="宋体" w:cs="AdobeSongStd-Light"/>
          <w:szCs w:val="21"/>
        </w:rPr>
        <w:t>，</w:t>
      </w:r>
      <w:r>
        <w:rPr>
          <w:rFonts w:hint="eastAsia" w:ascii="宋体" w:hAnsi="宋体" w:eastAsia="宋体" w:cs="AdobeSongStd-Light"/>
          <w:szCs w:val="21"/>
        </w:rPr>
        <w:t>与现在基本实现“一胎化”政策</w:t>
      </w:r>
      <w:r>
        <w:rPr>
          <w:rFonts w:ascii="宋体" w:hAnsi="宋体" w:eastAsia="宋体" w:cs="AdobeSongStd-Light"/>
          <w:szCs w:val="21"/>
        </w:rPr>
        <w:t>(</w:t>
      </w:r>
      <w:r>
        <w:rPr>
          <w:rFonts w:hint="eastAsia" w:ascii="宋体" w:hAnsi="宋体" w:eastAsia="宋体" w:cs="AdobeSongStd-Light"/>
          <w:szCs w:val="21"/>
        </w:rPr>
        <w:t>总和生育率</w:t>
      </w:r>
      <w:r>
        <w:rPr>
          <w:rFonts w:ascii="宋体" w:hAnsi="宋体" w:eastAsia="宋体" w:cs="AdobeSongStd-Light"/>
          <w:szCs w:val="21"/>
        </w:rPr>
        <w:t>1</w:t>
      </w:r>
      <w:r>
        <w:rPr>
          <w:rFonts w:ascii="宋体" w:hAnsi="宋体" w:eastAsia="宋体" w:cs="cajcd-fntaa"/>
          <w:szCs w:val="21"/>
        </w:rPr>
        <w:t>1</w:t>
      </w:r>
      <w:r>
        <w:rPr>
          <w:rFonts w:ascii="宋体" w:hAnsi="宋体" w:eastAsia="宋体" w:cs="AdobeSongStd-Light"/>
          <w:szCs w:val="21"/>
        </w:rPr>
        <w:t>2)</w:t>
      </w:r>
      <w:r>
        <w:rPr>
          <w:rFonts w:hint="eastAsia" w:ascii="宋体" w:hAnsi="宋体" w:eastAsia="宋体" w:cs="AdobeSongStd-Light"/>
          <w:szCs w:val="21"/>
        </w:rPr>
        <w:t>相比</w:t>
      </w:r>
      <w:r>
        <w:rPr>
          <w:rFonts w:ascii="宋体" w:hAnsi="宋体" w:eastAsia="宋体" w:cs="AdobeSongStd-Light"/>
          <w:szCs w:val="21"/>
        </w:rPr>
        <w:t>，</w:t>
      </w:r>
      <w:r>
        <w:rPr>
          <w:rFonts w:hint="eastAsia" w:ascii="宋体" w:hAnsi="宋体" w:eastAsia="宋体" w:cs="AdobeSongStd-Light"/>
          <w:szCs w:val="21"/>
        </w:rPr>
        <w:t>若在全国普遍允许双方独生子女夫妇可以生二胎</w:t>
      </w:r>
      <w:r>
        <w:rPr>
          <w:rFonts w:ascii="宋体" w:hAnsi="宋体" w:eastAsia="宋体" w:cs="AdobeSongStd-Light"/>
          <w:szCs w:val="21"/>
        </w:rPr>
        <w:t>，</w:t>
      </w:r>
      <w:r>
        <w:rPr>
          <w:rFonts w:hint="eastAsia" w:ascii="宋体" w:hAnsi="宋体" w:eastAsia="宋体" w:cs="AdobeSongStd-Light"/>
          <w:szCs w:val="21"/>
        </w:rPr>
        <w:t>那么中国的人口总量达到峰值时的规模分别为</w:t>
      </w:r>
      <w:r>
        <w:rPr>
          <w:rFonts w:ascii="宋体" w:hAnsi="宋体" w:eastAsia="宋体" w:cs="AdobeSongStd-Light"/>
          <w:szCs w:val="21"/>
        </w:rPr>
        <w:t>13</w:t>
      </w:r>
      <w:r>
        <w:rPr>
          <w:rFonts w:ascii="宋体" w:hAnsi="宋体" w:eastAsia="宋体" w:cs="cajcd-fntaa"/>
          <w:szCs w:val="21"/>
        </w:rPr>
        <w:t>1</w:t>
      </w:r>
      <w:r>
        <w:rPr>
          <w:rFonts w:ascii="宋体" w:hAnsi="宋体" w:eastAsia="宋体" w:cs="AdobeSongStd-Light"/>
          <w:szCs w:val="21"/>
        </w:rPr>
        <w:t>93</w:t>
      </w:r>
      <w:r>
        <w:rPr>
          <w:rFonts w:hint="eastAsia" w:ascii="宋体" w:hAnsi="宋体" w:eastAsia="宋体" w:cs="AdobeSongStd-Light"/>
          <w:szCs w:val="21"/>
        </w:rPr>
        <w:t>亿人和</w:t>
      </w:r>
      <w:r>
        <w:rPr>
          <w:rFonts w:ascii="宋体" w:hAnsi="宋体" w:eastAsia="宋体" w:cs="AdobeSongStd-Light"/>
          <w:szCs w:val="21"/>
        </w:rPr>
        <w:t>15</w:t>
      </w:r>
      <w:r>
        <w:rPr>
          <w:rFonts w:ascii="宋体" w:hAnsi="宋体" w:eastAsia="宋体" w:cs="cajcd-fntaa"/>
          <w:szCs w:val="21"/>
        </w:rPr>
        <w:t>1</w:t>
      </w:r>
      <w:r>
        <w:rPr>
          <w:rFonts w:ascii="宋体" w:hAnsi="宋体" w:eastAsia="宋体" w:cs="AdobeSongStd-Light"/>
          <w:szCs w:val="21"/>
        </w:rPr>
        <w:t>50</w:t>
      </w:r>
      <w:r>
        <w:rPr>
          <w:rFonts w:hint="eastAsia" w:ascii="宋体" w:hAnsi="宋体" w:eastAsia="宋体" w:cs="AdobeSongStd-Light"/>
          <w:szCs w:val="21"/>
        </w:rPr>
        <w:t>亿人</w:t>
      </w:r>
      <w:r>
        <w:rPr>
          <w:rFonts w:ascii="宋体" w:hAnsi="宋体" w:eastAsia="宋体" w:cs="AdobeSongStd-Light"/>
          <w:szCs w:val="21"/>
        </w:rPr>
        <w:t>，</w:t>
      </w:r>
      <w:r>
        <w:rPr>
          <w:rFonts w:hint="eastAsia" w:ascii="宋体" w:hAnsi="宋体" w:eastAsia="宋体" w:cs="AdobeSongStd-Light"/>
          <w:szCs w:val="21"/>
        </w:rPr>
        <w:t>两者相差</w:t>
      </w:r>
      <w:r>
        <w:rPr>
          <w:rFonts w:ascii="宋体" w:hAnsi="宋体" w:eastAsia="宋体" w:cs="AdobeSongStd-Light"/>
          <w:szCs w:val="21"/>
        </w:rPr>
        <w:t>1</w:t>
      </w:r>
      <w:r>
        <w:rPr>
          <w:rFonts w:ascii="宋体" w:hAnsi="宋体" w:eastAsia="宋体" w:cs="cajcd-fntaa"/>
          <w:szCs w:val="21"/>
        </w:rPr>
        <w:t>1</w:t>
      </w:r>
      <w:r>
        <w:rPr>
          <w:rFonts w:ascii="宋体" w:hAnsi="宋体" w:eastAsia="宋体" w:cs="AdobeSongStd-Light"/>
          <w:szCs w:val="21"/>
        </w:rPr>
        <w:t>57</w:t>
      </w:r>
      <w:r>
        <w:rPr>
          <w:rFonts w:hint="eastAsia" w:ascii="宋体" w:hAnsi="宋体" w:eastAsia="宋体" w:cs="AdobeSongStd-Light"/>
          <w:szCs w:val="21"/>
        </w:rPr>
        <w:t>亿人</w:t>
      </w:r>
      <w:r>
        <w:rPr>
          <w:rFonts w:ascii="宋体" w:hAnsi="宋体" w:eastAsia="宋体" w:cs="AdobeSongStd-Light"/>
          <w:szCs w:val="21"/>
        </w:rPr>
        <w:t>；</w:t>
      </w:r>
      <w:r>
        <w:rPr>
          <w:rFonts w:hint="eastAsia" w:ascii="宋体" w:hAnsi="宋体" w:eastAsia="宋体" w:cs="AdobeSongStd-Light"/>
          <w:szCs w:val="21"/>
        </w:rPr>
        <w:t>而达到人口零增长的时间</w:t>
      </w:r>
      <w:r>
        <w:rPr>
          <w:rFonts w:ascii="宋体" w:hAnsi="宋体" w:eastAsia="宋体" w:cs="AdobeSongStd-Light"/>
          <w:szCs w:val="21"/>
        </w:rPr>
        <w:t>，</w:t>
      </w:r>
      <w:r>
        <w:rPr>
          <w:rFonts w:hint="eastAsia" w:ascii="宋体" w:hAnsi="宋体" w:eastAsia="宋体" w:cs="AdobeSongStd-Light"/>
          <w:szCs w:val="21"/>
        </w:rPr>
        <w:t>“一胎化”为</w:t>
      </w:r>
      <w:r>
        <w:rPr>
          <w:rFonts w:ascii="宋体" w:hAnsi="宋体" w:eastAsia="宋体" w:cs="AdobeSongStd-Light"/>
          <w:szCs w:val="21"/>
        </w:rPr>
        <w:t>2024</w:t>
      </w:r>
      <w:r>
        <w:rPr>
          <w:rFonts w:hint="eastAsia" w:ascii="宋体" w:hAnsi="宋体" w:eastAsia="宋体" w:cs="AdobeSongStd-Light"/>
          <w:szCs w:val="21"/>
        </w:rPr>
        <w:t>年</w:t>
      </w:r>
      <w:r>
        <w:rPr>
          <w:rFonts w:ascii="宋体" w:hAnsi="宋体" w:eastAsia="宋体" w:cs="AdobeSongStd-Light"/>
          <w:szCs w:val="21"/>
        </w:rPr>
        <w:t>，</w:t>
      </w:r>
      <w:r>
        <w:rPr>
          <w:rFonts w:hint="eastAsia" w:ascii="宋体" w:hAnsi="宋体" w:eastAsia="宋体" w:cs="AdobeSongStd-Light"/>
          <w:szCs w:val="21"/>
        </w:rPr>
        <w:t>放开“二胎”为</w:t>
      </w:r>
      <w:r>
        <w:rPr>
          <w:rFonts w:ascii="宋体" w:hAnsi="宋体" w:eastAsia="宋体" w:cs="AdobeSongStd-Light"/>
          <w:szCs w:val="21"/>
        </w:rPr>
        <w:t>2045</w:t>
      </w:r>
      <w:r>
        <w:rPr>
          <w:rFonts w:hint="eastAsia" w:ascii="宋体" w:hAnsi="宋体" w:eastAsia="宋体" w:cs="AdobeSongStd-Light"/>
          <w:szCs w:val="21"/>
        </w:rPr>
        <w:t>年</w:t>
      </w:r>
      <w:r>
        <w:rPr>
          <w:rFonts w:ascii="宋体" w:hAnsi="宋体" w:eastAsia="宋体" w:cs="AdobeSongStd-Light"/>
          <w:szCs w:val="21"/>
        </w:rPr>
        <w:t>，</w:t>
      </w:r>
      <w:r>
        <w:rPr>
          <w:rFonts w:hint="eastAsia" w:ascii="宋体" w:hAnsi="宋体" w:eastAsia="宋体" w:cs="AdobeSongStd-Light"/>
          <w:szCs w:val="21"/>
        </w:rPr>
        <w:t>相差</w:t>
      </w:r>
      <w:r>
        <w:rPr>
          <w:rFonts w:ascii="宋体" w:hAnsi="宋体" w:eastAsia="宋体" w:cs="AdobeSongStd-Light"/>
          <w:szCs w:val="21"/>
        </w:rPr>
        <w:t>21</w:t>
      </w:r>
      <w:r>
        <w:rPr>
          <w:rFonts w:hint="eastAsia" w:ascii="宋体" w:hAnsi="宋体" w:eastAsia="宋体" w:cs="AdobeSongStd-Light"/>
          <w:szCs w:val="21"/>
        </w:rPr>
        <w:t>年。可见</w:t>
      </w:r>
      <w:r>
        <w:rPr>
          <w:rFonts w:ascii="宋体" w:hAnsi="宋体" w:eastAsia="宋体" w:cs="AdobeSongStd-Light"/>
          <w:szCs w:val="21"/>
        </w:rPr>
        <w:t>，</w:t>
      </w:r>
      <w:r>
        <w:rPr>
          <w:rFonts w:hint="eastAsia" w:ascii="宋体" w:hAnsi="宋体" w:eastAsia="宋体" w:cs="AdobeSongStd-Light"/>
          <w:szCs w:val="21"/>
        </w:rPr>
        <w:t>坚持严格的一胎政策</w:t>
      </w:r>
      <w:r>
        <w:rPr>
          <w:rFonts w:ascii="宋体" w:hAnsi="宋体" w:eastAsia="宋体" w:cs="AdobeSongStd-Light"/>
          <w:szCs w:val="21"/>
        </w:rPr>
        <w:t>，</w:t>
      </w:r>
      <w:r>
        <w:rPr>
          <w:rFonts w:hint="eastAsia" w:ascii="宋体" w:hAnsi="宋体" w:eastAsia="宋体" w:cs="AdobeSongStd-Light"/>
          <w:szCs w:val="21"/>
        </w:rPr>
        <w:t>控制人口这一占有资源的主要形式的总量规模</w:t>
      </w:r>
      <w:r>
        <w:rPr>
          <w:rFonts w:ascii="宋体" w:hAnsi="宋体" w:eastAsia="宋体" w:cs="AdobeSongStd-Light"/>
          <w:szCs w:val="21"/>
        </w:rPr>
        <w:t>，</w:t>
      </w:r>
      <w:r>
        <w:rPr>
          <w:rFonts w:hint="eastAsia" w:ascii="宋体" w:hAnsi="宋体" w:eastAsia="宋体" w:cs="AdobeSongStd-Light"/>
          <w:szCs w:val="21"/>
        </w:rPr>
        <w:t>对于减轻现实的和未来的中国自然资源和环境方面的压力意义重大。</w:t>
      </w:r>
    </w:p>
    <w:p w14:paraId="69BB2D32">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2.</w:t>
      </w:r>
      <w:r>
        <w:rPr>
          <w:rFonts w:hint="eastAsia" w:ascii="宋体" w:hAnsi="宋体" w:eastAsia="宋体" w:cs="AdobeSongStd-Light"/>
          <w:b/>
          <w:szCs w:val="21"/>
        </w:rPr>
        <w:t>在不冲击低生育水平和严格控制人口数量的同时</w:t>
      </w:r>
      <w:r>
        <w:rPr>
          <w:rFonts w:ascii="宋体" w:hAnsi="宋体" w:eastAsia="宋体" w:cs="AdobeSongStd-Light"/>
          <w:b/>
          <w:szCs w:val="21"/>
        </w:rPr>
        <w:t>，</w:t>
      </w:r>
      <w:r>
        <w:rPr>
          <w:rFonts w:hint="eastAsia" w:ascii="宋体" w:hAnsi="宋体" w:eastAsia="宋体" w:cs="AdobeSongStd-Light"/>
          <w:b/>
          <w:szCs w:val="21"/>
        </w:rPr>
        <w:t>要注重人口结构的调整和人口素质的提高</w:t>
      </w:r>
    </w:p>
    <w:p w14:paraId="1C42CB75">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其基本思路是</w:t>
      </w:r>
      <w:r>
        <w:rPr>
          <w:rFonts w:ascii="宋体" w:hAnsi="宋体" w:eastAsia="宋体" w:cs="AdobeSongStd-Light"/>
          <w:szCs w:val="21"/>
        </w:rPr>
        <w:t>:</w:t>
      </w:r>
      <w:r>
        <w:rPr>
          <w:rFonts w:hint="eastAsia" w:ascii="宋体" w:hAnsi="宋体" w:eastAsia="宋体" w:cs="AdobeSongStd-Light"/>
          <w:szCs w:val="21"/>
        </w:rPr>
        <w:t>全面理解三个“没有改变”</w:t>
      </w:r>
      <w:r>
        <w:rPr>
          <w:rFonts w:ascii="宋体" w:hAnsi="宋体" w:eastAsia="宋体" w:cs="AdobeSongStd-Light"/>
          <w:szCs w:val="21"/>
        </w:rPr>
        <w:t>，</w:t>
      </w:r>
      <w:r>
        <w:rPr>
          <w:rFonts w:hint="eastAsia" w:ascii="宋体" w:hAnsi="宋体" w:eastAsia="宋体" w:cs="AdobeSongStd-Light"/>
          <w:szCs w:val="21"/>
        </w:rPr>
        <w:t>努力保持更替水平以下的生育率以使人口总量适应可持续发展在中国国情下所要求的合理规模</w:t>
      </w:r>
      <w:r>
        <w:rPr>
          <w:rFonts w:ascii="宋体" w:hAnsi="宋体" w:eastAsia="宋体" w:cs="AdobeSongStd-Light"/>
          <w:szCs w:val="21"/>
        </w:rPr>
        <w:t>，</w:t>
      </w:r>
      <w:r>
        <w:rPr>
          <w:rFonts w:hint="eastAsia" w:ascii="宋体" w:hAnsi="宋体" w:eastAsia="宋体" w:cs="AdobeSongStd-Light"/>
          <w:szCs w:val="21"/>
        </w:rPr>
        <w:t>并“加强对低生育水平的实时监测和前瞻性研究”</w:t>
      </w:r>
      <w:r>
        <w:rPr>
          <w:rFonts w:ascii="宋体" w:hAnsi="宋体" w:eastAsia="宋体" w:cs="cajcd-fnta0"/>
          <w:szCs w:val="21"/>
        </w:rPr>
        <w:t></w:t>
      </w:r>
      <w:r>
        <w:rPr>
          <w:rFonts w:ascii="宋体" w:hAnsi="宋体" w:eastAsia="宋体" w:cs="cajcd-fnta0"/>
          <w:szCs w:val="21"/>
          <w:vertAlign w:val="superscript"/>
        </w:rPr>
        <w:footnoteReference w:id="395"/>
      </w:r>
      <w:r>
        <w:rPr>
          <w:rFonts w:ascii="宋体" w:hAnsi="宋体" w:eastAsia="宋体" w:cs="AdobeSongStd-Light"/>
          <w:szCs w:val="21"/>
        </w:rPr>
        <w:t>，</w:t>
      </w:r>
      <w:r>
        <w:rPr>
          <w:rFonts w:hint="eastAsia" w:ascii="宋体" w:hAnsi="宋体" w:eastAsia="宋体" w:cs="AdobeSongStd-Light"/>
          <w:szCs w:val="21"/>
        </w:rPr>
        <w:t>及时调整和完善相关公共政策</w:t>
      </w:r>
      <w:r>
        <w:rPr>
          <w:rFonts w:ascii="宋体" w:hAnsi="宋体" w:eastAsia="宋体" w:cs="AdobeSongStd-Light"/>
          <w:szCs w:val="21"/>
        </w:rPr>
        <w:t>，</w:t>
      </w:r>
      <w:r>
        <w:rPr>
          <w:rFonts w:hint="eastAsia" w:ascii="宋体" w:hAnsi="宋体" w:eastAsia="宋体" w:cs="AdobeSongStd-Light"/>
          <w:szCs w:val="21"/>
        </w:rPr>
        <w:t>如通过诸如加大保障力度和范围、取消户籍限制、加快城镇化、人口迁移流动等政策导向</w:t>
      </w:r>
      <w:r>
        <w:rPr>
          <w:rFonts w:ascii="宋体" w:hAnsi="宋体" w:eastAsia="宋体" w:cs="AdobeSongStd-Light"/>
          <w:szCs w:val="21"/>
        </w:rPr>
        <w:t>，</w:t>
      </w:r>
      <w:r>
        <w:rPr>
          <w:rFonts w:hint="eastAsia" w:ascii="宋体" w:hAnsi="宋体" w:eastAsia="宋体" w:cs="AdobeSongStd-Light"/>
          <w:szCs w:val="21"/>
        </w:rPr>
        <w:t>解决老龄化、区域人口负增长、抚养负担差异等结构性问题</w:t>
      </w:r>
      <w:r>
        <w:rPr>
          <w:rFonts w:ascii="宋体" w:hAnsi="宋体" w:eastAsia="宋体" w:cs="AdobeSongStd-Light"/>
          <w:szCs w:val="21"/>
        </w:rPr>
        <w:t>；</w:t>
      </w:r>
      <w:r>
        <w:rPr>
          <w:rFonts w:hint="eastAsia" w:ascii="宋体" w:hAnsi="宋体" w:eastAsia="宋体" w:cs="AdobeSongStd-Light"/>
          <w:szCs w:val="21"/>
        </w:rPr>
        <w:t>通过加大国民教育和计划生育奖励力度</w:t>
      </w:r>
      <w:r>
        <w:rPr>
          <w:rFonts w:ascii="宋体" w:hAnsi="宋体" w:eastAsia="宋体" w:cs="AdobeSongStd-Light"/>
          <w:szCs w:val="21"/>
        </w:rPr>
        <w:t>，</w:t>
      </w:r>
      <w:r>
        <w:rPr>
          <w:rFonts w:hint="eastAsia" w:ascii="宋体" w:hAnsi="宋体" w:eastAsia="宋体" w:cs="AdobeSongStd-Light"/>
          <w:szCs w:val="21"/>
        </w:rPr>
        <w:t>解决就业乃至性别结构性失衡等问题</w:t>
      </w:r>
      <w:r>
        <w:rPr>
          <w:rFonts w:ascii="宋体" w:hAnsi="宋体" w:eastAsia="宋体" w:cs="AdobeSongStd-Light"/>
          <w:szCs w:val="21"/>
        </w:rPr>
        <w:t>，</w:t>
      </w:r>
      <w:r>
        <w:rPr>
          <w:rFonts w:hint="eastAsia" w:ascii="宋体" w:hAnsi="宋体" w:eastAsia="宋体" w:cs="AdobeSongStd-Light"/>
          <w:szCs w:val="21"/>
        </w:rPr>
        <w:t>加快提高人口综合素质。</w:t>
      </w:r>
    </w:p>
    <w:p w14:paraId="4AC21508">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w:t>
      </w:r>
      <w:r>
        <w:rPr>
          <w:rFonts w:hint="eastAsia" w:ascii="宋体" w:hAnsi="宋体" w:eastAsia="宋体" w:cs="AdobeSongStd-Light"/>
          <w:b/>
          <w:szCs w:val="21"/>
        </w:rPr>
        <w:t>二</w:t>
      </w:r>
      <w:r>
        <w:rPr>
          <w:rFonts w:ascii="宋体" w:hAnsi="宋体" w:eastAsia="宋体" w:cs="AdobeSongStd-Light"/>
          <w:b/>
          <w:szCs w:val="21"/>
        </w:rPr>
        <w:t>)</w:t>
      </w:r>
      <w:r>
        <w:rPr>
          <w:rFonts w:hint="eastAsia" w:ascii="宋体" w:hAnsi="宋体" w:eastAsia="宋体" w:cs="AdobeSongStd-Light"/>
          <w:b/>
          <w:szCs w:val="21"/>
        </w:rPr>
        <w:t>坚定不移地走人口与资源协调发展的道路</w:t>
      </w:r>
    </w:p>
    <w:p w14:paraId="5FE1EA10">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1.</w:t>
      </w:r>
      <w:r>
        <w:rPr>
          <w:rFonts w:hint="eastAsia" w:ascii="宋体" w:hAnsi="宋体" w:eastAsia="宋体" w:cs="AdobeSongStd-Light"/>
          <w:b/>
          <w:szCs w:val="21"/>
        </w:rPr>
        <w:t>建立与人口发展相协调的促进资源可持续开发利用的宏观管理体制</w:t>
      </w:r>
    </w:p>
    <w:p w14:paraId="4CCB449A">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回顾中国可持续发展对资源的利用开发可见</w:t>
      </w:r>
      <w:r>
        <w:rPr>
          <w:rFonts w:ascii="宋体" w:hAnsi="宋体" w:eastAsia="宋体" w:cs="AdobeSongStd-Light"/>
          <w:szCs w:val="21"/>
        </w:rPr>
        <w:t>，</w:t>
      </w:r>
      <w:r>
        <w:rPr>
          <w:rFonts w:hint="eastAsia" w:ascii="宋体" w:hAnsi="宋体" w:eastAsia="宋体" w:cs="AdobeSongStd-Light"/>
          <w:szCs w:val="21"/>
        </w:rPr>
        <w:t>我们并非缺少宏观管理的理念</w:t>
      </w:r>
      <w:r>
        <w:rPr>
          <w:rFonts w:ascii="宋体" w:hAnsi="宋体" w:eastAsia="宋体" w:cs="AdobeSongStd-Light"/>
          <w:szCs w:val="21"/>
        </w:rPr>
        <w:t>，</w:t>
      </w:r>
      <w:r>
        <w:rPr>
          <w:rFonts w:hint="eastAsia" w:ascii="宋体" w:hAnsi="宋体" w:eastAsia="宋体" w:cs="AdobeSongStd-Light"/>
          <w:szCs w:val="21"/>
        </w:rPr>
        <w:t>而是亟待创新和完善管理体制。市场经济的不断发展</w:t>
      </w:r>
      <w:r>
        <w:rPr>
          <w:rFonts w:ascii="宋体" w:hAnsi="宋体" w:eastAsia="宋体" w:cs="AdobeSongStd-Light"/>
          <w:szCs w:val="21"/>
        </w:rPr>
        <w:t>，</w:t>
      </w:r>
      <w:r>
        <w:rPr>
          <w:rFonts w:hint="eastAsia" w:ascii="宋体" w:hAnsi="宋体" w:eastAsia="宋体" w:cs="AdobeSongStd-Light"/>
          <w:szCs w:val="21"/>
        </w:rPr>
        <w:t>对资源利用的宏观管理提出了更高的要求</w:t>
      </w:r>
      <w:r>
        <w:rPr>
          <w:rFonts w:ascii="宋体" w:hAnsi="宋体" w:eastAsia="宋体" w:cs="AdobeSongStd-Light"/>
          <w:szCs w:val="21"/>
        </w:rPr>
        <w:t>，</w:t>
      </w:r>
      <w:r>
        <w:rPr>
          <w:rFonts w:hint="eastAsia" w:ascii="宋体" w:hAnsi="宋体" w:eastAsia="宋体" w:cs="AdobeSongStd-Light"/>
          <w:szCs w:val="21"/>
        </w:rPr>
        <w:t>资源开发利用的总体规划势在必行。总体规划是政府对资源开发利用进行宏观调控的主要手段和有效途径</w:t>
      </w:r>
      <w:r>
        <w:rPr>
          <w:rFonts w:ascii="宋体" w:hAnsi="宋体" w:eastAsia="宋体" w:cs="AdobeSongStd-Light"/>
          <w:szCs w:val="21"/>
        </w:rPr>
        <w:t>，</w:t>
      </w:r>
      <w:r>
        <w:rPr>
          <w:rFonts w:hint="eastAsia" w:ascii="宋体" w:hAnsi="宋体" w:eastAsia="宋体" w:cs="AdobeSongStd-Light"/>
          <w:szCs w:val="21"/>
        </w:rPr>
        <w:t>是确保资源与人口规模相协调的可持续开发利用的基础性工作。加强和规范资源开发利用的规划和管理</w:t>
      </w:r>
      <w:r>
        <w:rPr>
          <w:rFonts w:ascii="宋体" w:hAnsi="宋体" w:eastAsia="宋体" w:cs="AdobeSongStd-Light"/>
          <w:szCs w:val="21"/>
        </w:rPr>
        <w:t>，</w:t>
      </w:r>
      <w:r>
        <w:rPr>
          <w:rFonts w:hint="eastAsia" w:ascii="宋体" w:hAnsi="宋体" w:eastAsia="宋体" w:cs="AdobeSongStd-Light"/>
          <w:szCs w:val="21"/>
        </w:rPr>
        <w:t>尽快完善各项配套政策和管理机制</w:t>
      </w:r>
      <w:r>
        <w:rPr>
          <w:rFonts w:ascii="宋体" w:hAnsi="宋体" w:eastAsia="宋体" w:cs="AdobeSongStd-Light"/>
          <w:szCs w:val="21"/>
        </w:rPr>
        <w:t>，</w:t>
      </w:r>
      <w:r>
        <w:rPr>
          <w:rFonts w:hint="eastAsia" w:ascii="宋体" w:hAnsi="宋体" w:eastAsia="宋体" w:cs="AdobeSongStd-Light"/>
          <w:szCs w:val="21"/>
        </w:rPr>
        <w:t>是实施资源可持续开发利用的保障。</w:t>
      </w:r>
    </w:p>
    <w:p w14:paraId="5B3AD593">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2.</w:t>
      </w:r>
      <w:r>
        <w:rPr>
          <w:rFonts w:hint="eastAsia" w:ascii="宋体" w:hAnsi="宋体" w:eastAsia="宋体" w:cs="AdobeSongStd-Light"/>
          <w:b/>
          <w:szCs w:val="21"/>
        </w:rPr>
        <w:t>切实提高资源利用效率</w:t>
      </w:r>
    </w:p>
    <w:p w14:paraId="323CE534">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如前所述</w:t>
      </w:r>
      <w:r>
        <w:rPr>
          <w:rFonts w:ascii="宋体" w:hAnsi="宋体" w:eastAsia="宋体" w:cs="AdobeSongStd-Light"/>
          <w:szCs w:val="21"/>
        </w:rPr>
        <w:t>，</w:t>
      </w:r>
      <w:r>
        <w:rPr>
          <w:rFonts w:hint="eastAsia" w:ascii="宋体" w:hAnsi="宋体" w:eastAsia="宋体" w:cs="AdobeSongStd-Light"/>
          <w:szCs w:val="21"/>
        </w:rPr>
        <w:t>经济长期的快速增长导致资源的“代价过大”</w:t>
      </w:r>
      <w:r>
        <w:rPr>
          <w:rFonts w:ascii="宋体" w:hAnsi="宋体" w:eastAsia="宋体" w:cs="AdobeSongStd-Light"/>
          <w:szCs w:val="21"/>
        </w:rPr>
        <w:t>，</w:t>
      </w:r>
      <w:r>
        <w:rPr>
          <w:rFonts w:hint="eastAsia" w:ascii="宋体" w:hAnsi="宋体" w:eastAsia="宋体" w:cs="AdobeSongStd-Light"/>
          <w:szCs w:val="21"/>
        </w:rPr>
        <w:t>即中国经济的增长在很大程度上是建立在对资源的高消耗甚至“掠夺”式开发之上的。我们所熟知的数据是</w:t>
      </w:r>
      <w:r>
        <w:rPr>
          <w:rFonts w:ascii="宋体" w:hAnsi="宋体" w:eastAsia="宋体" w:cs="AdobeSongStd-Light"/>
          <w:szCs w:val="21"/>
        </w:rPr>
        <w:t>，</w:t>
      </w:r>
      <w:r>
        <w:rPr>
          <w:rFonts w:hint="eastAsia" w:ascii="宋体" w:hAnsi="宋体" w:eastAsia="宋体" w:cs="AdobeSongStd-Light"/>
          <w:szCs w:val="21"/>
        </w:rPr>
        <w:t>中国资源生产率只相当于美国的</w:t>
      </w:r>
      <w:r>
        <w:rPr>
          <w:rFonts w:ascii="宋体" w:hAnsi="宋体" w:eastAsia="宋体" w:cs="AdobeSongStd-Light"/>
          <w:szCs w:val="21"/>
        </w:rPr>
        <w:t xml:space="preserve">1 /10， </w:t>
      </w:r>
      <w:r>
        <w:rPr>
          <w:rFonts w:hint="eastAsia" w:ascii="宋体" w:hAnsi="宋体" w:eastAsia="宋体" w:cs="AdobeSongStd-Light"/>
          <w:szCs w:val="21"/>
        </w:rPr>
        <w:t>日本的</w:t>
      </w:r>
      <w:r>
        <w:rPr>
          <w:rFonts w:ascii="宋体" w:hAnsi="宋体" w:eastAsia="宋体" w:cs="AdobeSongStd-Light"/>
          <w:szCs w:val="21"/>
        </w:rPr>
        <w:t xml:space="preserve">1 /20， </w:t>
      </w:r>
      <w:r>
        <w:rPr>
          <w:rFonts w:hint="eastAsia" w:ascii="宋体" w:hAnsi="宋体" w:eastAsia="宋体" w:cs="AdobeSongStd-Light"/>
          <w:szCs w:val="21"/>
        </w:rPr>
        <w:t>德国的</w:t>
      </w:r>
      <w:r>
        <w:rPr>
          <w:rFonts w:ascii="宋体" w:hAnsi="宋体" w:eastAsia="宋体" w:cs="AdobeSongStd-Light"/>
          <w:szCs w:val="21"/>
        </w:rPr>
        <w:t>1 /6</w:t>
      </w:r>
      <w:r>
        <w:rPr>
          <w:rFonts w:hint="eastAsia" w:ascii="宋体" w:hAnsi="宋体" w:eastAsia="宋体" w:cs="AdobeSongStd-Light"/>
          <w:szCs w:val="21"/>
        </w:rPr>
        <w:t>。可见中国</w:t>
      </w:r>
      <w:r>
        <w:rPr>
          <w:rFonts w:ascii="宋体" w:hAnsi="宋体" w:eastAsia="宋体" w:cs="AdobeSongStd-Light"/>
          <w:szCs w:val="21"/>
        </w:rPr>
        <w:t>GDP</w:t>
      </w:r>
      <w:r>
        <w:rPr>
          <w:rFonts w:hint="eastAsia" w:ascii="宋体" w:hAnsi="宋体" w:eastAsia="宋体" w:cs="AdobeSongStd-Light"/>
          <w:szCs w:val="21"/>
        </w:rPr>
        <w:t>因高消耗高污染而“缩水”。照此模式发展</w:t>
      </w:r>
      <w:r>
        <w:rPr>
          <w:rFonts w:ascii="宋体" w:hAnsi="宋体" w:eastAsia="宋体" w:cs="AdobeSongStd-Light"/>
          <w:szCs w:val="21"/>
        </w:rPr>
        <w:t>，2020</w:t>
      </w:r>
      <w:r>
        <w:rPr>
          <w:rFonts w:hint="eastAsia" w:ascii="宋体" w:hAnsi="宋体" w:eastAsia="宋体" w:cs="AdobeSongStd-Light"/>
          <w:szCs w:val="21"/>
        </w:rPr>
        <w:t>年人均翻两番的目标将难以达到。因此</w:t>
      </w:r>
      <w:r>
        <w:rPr>
          <w:rFonts w:ascii="宋体" w:hAnsi="宋体" w:eastAsia="宋体" w:cs="AdobeSongStd-Light"/>
          <w:szCs w:val="21"/>
        </w:rPr>
        <w:t>，</w:t>
      </w:r>
      <w:r>
        <w:rPr>
          <w:rFonts w:hint="eastAsia" w:ascii="宋体" w:hAnsi="宋体" w:eastAsia="宋体" w:cs="AdobeSongStd-Light"/>
          <w:szCs w:val="21"/>
        </w:rPr>
        <w:t>促进增长方式由主要依靠“拼资源”向主要依靠“提效率”的转变</w:t>
      </w:r>
      <w:r>
        <w:rPr>
          <w:rFonts w:ascii="宋体" w:hAnsi="宋体" w:eastAsia="宋体" w:cs="AdobeSongStd-Light"/>
          <w:szCs w:val="21"/>
        </w:rPr>
        <w:t>，</w:t>
      </w:r>
      <w:r>
        <w:rPr>
          <w:rFonts w:hint="eastAsia" w:ascii="宋体" w:hAnsi="宋体" w:eastAsia="宋体" w:cs="AdobeSongStd-Light"/>
          <w:szCs w:val="21"/>
        </w:rPr>
        <w:t>势在必行。为此</w:t>
      </w:r>
      <w:r>
        <w:rPr>
          <w:rFonts w:ascii="宋体" w:hAnsi="宋体" w:eastAsia="宋体" w:cs="AdobeSongStd-Light"/>
          <w:szCs w:val="21"/>
        </w:rPr>
        <w:t>，</w:t>
      </w:r>
      <w:r>
        <w:rPr>
          <w:rFonts w:hint="eastAsia" w:ascii="宋体" w:hAnsi="宋体" w:eastAsia="宋体" w:cs="AdobeSongStd-Light"/>
          <w:szCs w:val="21"/>
        </w:rPr>
        <w:t>依靠科技进步对提高资源生产率的重大问题进行攻关</w:t>
      </w:r>
      <w:r>
        <w:rPr>
          <w:rFonts w:ascii="宋体" w:hAnsi="宋体" w:eastAsia="宋体" w:cs="AdobeSongStd-Light"/>
          <w:szCs w:val="21"/>
        </w:rPr>
        <w:t>，</w:t>
      </w:r>
      <w:r>
        <w:rPr>
          <w:rFonts w:hint="eastAsia" w:ascii="宋体" w:hAnsi="宋体" w:eastAsia="宋体" w:cs="AdobeSongStd-Light"/>
          <w:szCs w:val="21"/>
        </w:rPr>
        <w:t>就成为中国在资源可持续发展道路上的必然选择。</w:t>
      </w:r>
    </w:p>
    <w:p w14:paraId="0C76F25A">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3.</w:t>
      </w:r>
      <w:r>
        <w:rPr>
          <w:rFonts w:hint="eastAsia" w:ascii="宋体" w:hAnsi="宋体" w:eastAsia="宋体" w:cs="AdobeSongStd-Light"/>
          <w:b/>
          <w:szCs w:val="21"/>
        </w:rPr>
        <w:t>走节约与开发并举的资源可持续发展道路</w:t>
      </w:r>
      <w:r>
        <w:rPr>
          <w:rFonts w:ascii="宋体" w:hAnsi="宋体" w:eastAsia="宋体" w:cs="AdobeSongStd-Light"/>
          <w:b/>
          <w:szCs w:val="21"/>
        </w:rPr>
        <w:t>，</w:t>
      </w:r>
      <w:r>
        <w:rPr>
          <w:rFonts w:hint="eastAsia" w:ascii="宋体" w:hAnsi="宋体" w:eastAsia="宋体" w:cs="AdobeSongStd-Light"/>
          <w:b/>
          <w:szCs w:val="21"/>
        </w:rPr>
        <w:t>倡导和建设资源节约型社会</w:t>
      </w:r>
    </w:p>
    <w:p w14:paraId="785A4921">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中国本来人均资源占有量不足世界平均水平的</w:t>
      </w:r>
      <w:r>
        <w:rPr>
          <w:rFonts w:ascii="宋体" w:hAnsi="宋体" w:eastAsia="宋体" w:cs="AdobeSongStd-Light"/>
          <w:szCs w:val="21"/>
        </w:rPr>
        <w:t>1 /2，</w:t>
      </w:r>
      <w:r>
        <w:rPr>
          <w:rFonts w:hint="eastAsia" w:ascii="宋体" w:hAnsi="宋体" w:eastAsia="宋体" w:cs="AdobeSongStd-Light"/>
          <w:szCs w:val="21"/>
        </w:rPr>
        <w:t>但在中国却也看到一些“怪”现象</w:t>
      </w:r>
      <w:r>
        <w:rPr>
          <w:rFonts w:ascii="宋体" w:hAnsi="宋体" w:eastAsia="宋体" w:cs="AdobeSongStd-Light"/>
          <w:szCs w:val="21"/>
        </w:rPr>
        <w:t>，</w:t>
      </w:r>
      <w:r>
        <w:rPr>
          <w:rFonts w:hint="eastAsia" w:ascii="宋体" w:hAnsi="宋体" w:eastAsia="宋体" w:cs="AdobeSongStd-Light"/>
          <w:szCs w:val="21"/>
        </w:rPr>
        <w:t>如作为一个产业的资源回收和循环利用部门发育迟缓</w:t>
      </w:r>
      <w:r>
        <w:rPr>
          <w:rFonts w:ascii="宋体" w:hAnsi="宋体" w:eastAsia="宋体" w:cs="AdobeSongStd-Light"/>
          <w:szCs w:val="21"/>
        </w:rPr>
        <w:t>，</w:t>
      </w:r>
      <w:r>
        <w:rPr>
          <w:rFonts w:hint="eastAsia" w:ascii="宋体" w:hAnsi="宋体" w:eastAsia="宋体" w:cs="AdobeSongStd-Light"/>
          <w:szCs w:val="21"/>
        </w:rPr>
        <w:t>发展严重滞后</w:t>
      </w:r>
      <w:r>
        <w:rPr>
          <w:rFonts w:ascii="宋体" w:hAnsi="宋体" w:eastAsia="宋体" w:cs="AdobeSongStd-Light"/>
          <w:szCs w:val="21"/>
        </w:rPr>
        <w:t>，</w:t>
      </w:r>
      <w:r>
        <w:rPr>
          <w:rFonts w:hint="eastAsia" w:ascii="宋体" w:hAnsi="宋体" w:eastAsia="宋体" w:cs="AdobeSongStd-Light"/>
          <w:szCs w:val="21"/>
        </w:rPr>
        <w:t>且公众节约资源的意识普遍不高。中国废钢铁的回收利用率是</w:t>
      </w:r>
      <w:r>
        <w:rPr>
          <w:rFonts w:ascii="宋体" w:hAnsi="宋体" w:eastAsia="宋体" w:cs="AdobeSongStd-Light"/>
          <w:szCs w:val="21"/>
        </w:rPr>
        <w:t>45% ，</w:t>
      </w:r>
      <w:r>
        <w:rPr>
          <w:rFonts w:hint="eastAsia" w:ascii="宋体" w:hAnsi="宋体" w:eastAsia="宋体" w:cs="AdobeSongStd-Light"/>
          <w:szCs w:val="21"/>
        </w:rPr>
        <w:t>废铜是</w:t>
      </w:r>
      <w:r>
        <w:rPr>
          <w:rFonts w:ascii="宋体" w:hAnsi="宋体" w:eastAsia="宋体" w:cs="AdobeSongStd-Light"/>
          <w:szCs w:val="21"/>
        </w:rPr>
        <w:t>30% ，</w:t>
      </w:r>
      <w:r>
        <w:rPr>
          <w:rFonts w:hint="eastAsia" w:ascii="宋体" w:hAnsi="宋体" w:eastAsia="宋体" w:cs="AdobeSongStd-Light"/>
          <w:szCs w:val="21"/>
        </w:rPr>
        <w:t>废橡胶是</w:t>
      </w:r>
      <w:r>
        <w:rPr>
          <w:rFonts w:ascii="宋体" w:hAnsi="宋体" w:eastAsia="宋体" w:cs="AdobeSongStd-Light"/>
          <w:szCs w:val="21"/>
        </w:rPr>
        <w:t>40% ，</w:t>
      </w:r>
      <w:r>
        <w:rPr>
          <w:rFonts w:hint="eastAsia" w:ascii="宋体" w:hAnsi="宋体" w:eastAsia="宋体" w:cs="AdobeSongStd-Light"/>
          <w:szCs w:val="21"/>
        </w:rPr>
        <w:t>而在发达国家均逾</w:t>
      </w:r>
      <w:r>
        <w:rPr>
          <w:rFonts w:ascii="宋体" w:hAnsi="宋体" w:eastAsia="宋体" w:cs="AdobeSongStd-Light"/>
          <w:szCs w:val="21"/>
        </w:rPr>
        <w:t>90%</w:t>
      </w:r>
      <w:r>
        <w:rPr>
          <w:rFonts w:hint="eastAsia" w:ascii="宋体" w:hAnsi="宋体" w:eastAsia="宋体" w:cs="AdobeSongStd-Light"/>
          <w:szCs w:val="21"/>
        </w:rPr>
        <w:t>。因此</w:t>
      </w:r>
      <w:r>
        <w:rPr>
          <w:rFonts w:ascii="宋体" w:hAnsi="宋体" w:eastAsia="宋体" w:cs="AdobeSongStd-Light"/>
          <w:szCs w:val="21"/>
        </w:rPr>
        <w:t>，</w:t>
      </w:r>
      <w:r>
        <w:rPr>
          <w:rFonts w:hint="eastAsia" w:ascii="宋体" w:hAnsi="宋体" w:eastAsia="宋体" w:cs="AdobeSongStd-Light"/>
          <w:szCs w:val="21"/>
        </w:rPr>
        <w:t>倡导和建设资源节约型社会</w:t>
      </w:r>
      <w:r>
        <w:rPr>
          <w:rFonts w:ascii="宋体" w:hAnsi="宋体" w:eastAsia="宋体" w:cs="AdobeSongStd-Light"/>
          <w:szCs w:val="21"/>
        </w:rPr>
        <w:t>，</w:t>
      </w:r>
      <w:r>
        <w:rPr>
          <w:rFonts w:hint="eastAsia" w:ascii="宋体" w:hAnsi="宋体" w:eastAsia="宋体" w:cs="AdobeSongStd-Light"/>
          <w:szCs w:val="21"/>
        </w:rPr>
        <w:t>是实现中国资源可持续发展的重要课题。通过科技攻关开发新的资源能源</w:t>
      </w:r>
      <w:r>
        <w:rPr>
          <w:rFonts w:ascii="宋体" w:hAnsi="宋体" w:eastAsia="宋体" w:cs="AdobeSongStd-Light"/>
          <w:szCs w:val="21"/>
        </w:rPr>
        <w:t>(</w:t>
      </w:r>
      <w:r>
        <w:rPr>
          <w:rFonts w:hint="eastAsia" w:ascii="宋体" w:hAnsi="宋体" w:eastAsia="宋体" w:cs="AdobeSongStd-Light"/>
          <w:szCs w:val="21"/>
        </w:rPr>
        <w:t>如加速开发和利用我国丰富的海洋资源等</w:t>
      </w:r>
      <w:r>
        <w:rPr>
          <w:rFonts w:ascii="宋体" w:hAnsi="宋体" w:eastAsia="宋体" w:cs="AdobeSongStd-Light"/>
          <w:szCs w:val="21"/>
        </w:rPr>
        <w:t>) ，</w:t>
      </w:r>
      <w:r>
        <w:rPr>
          <w:rFonts w:hint="eastAsia" w:ascii="宋体" w:hAnsi="宋体" w:eastAsia="宋体" w:cs="AdobeSongStd-Light"/>
          <w:szCs w:val="21"/>
        </w:rPr>
        <w:t>发展循环经济</w:t>
      </w:r>
      <w:r>
        <w:rPr>
          <w:rFonts w:ascii="宋体" w:hAnsi="宋体" w:eastAsia="宋体" w:cs="AdobeSongStd-Light"/>
          <w:szCs w:val="21"/>
        </w:rPr>
        <w:t>，</w:t>
      </w:r>
      <w:r>
        <w:rPr>
          <w:rFonts w:hint="eastAsia" w:ascii="宋体" w:hAnsi="宋体" w:eastAsia="宋体" w:cs="AdobeSongStd-Light"/>
          <w:szCs w:val="21"/>
        </w:rPr>
        <w:t>建立再生资源产业等</w:t>
      </w:r>
      <w:r>
        <w:rPr>
          <w:rFonts w:ascii="宋体" w:hAnsi="宋体" w:eastAsia="宋体" w:cs="AdobeSongStd-Light"/>
          <w:szCs w:val="21"/>
        </w:rPr>
        <w:t>，</w:t>
      </w:r>
      <w:r>
        <w:rPr>
          <w:rFonts w:hint="eastAsia" w:ascii="宋体" w:hAnsi="宋体" w:eastAsia="宋体" w:cs="AdobeSongStd-Light"/>
          <w:szCs w:val="21"/>
        </w:rPr>
        <w:t>均为中国资源可持续发展的题中应有之义。</w:t>
      </w:r>
    </w:p>
    <w:p w14:paraId="72E07F20">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w:t>
      </w:r>
      <w:r>
        <w:rPr>
          <w:rFonts w:hint="eastAsia" w:ascii="宋体" w:hAnsi="宋体" w:eastAsia="宋体" w:cs="AdobeSongStd-Light"/>
          <w:b/>
          <w:szCs w:val="21"/>
        </w:rPr>
        <w:t>三</w:t>
      </w:r>
      <w:r>
        <w:rPr>
          <w:rFonts w:ascii="宋体" w:hAnsi="宋体" w:eastAsia="宋体" w:cs="AdobeSongStd-Light"/>
          <w:b/>
          <w:szCs w:val="21"/>
        </w:rPr>
        <w:t>)</w:t>
      </w:r>
      <w:r>
        <w:rPr>
          <w:rFonts w:hint="eastAsia" w:ascii="宋体" w:hAnsi="宋体" w:eastAsia="宋体" w:cs="AdobeSongStd-Light"/>
          <w:b/>
          <w:szCs w:val="21"/>
        </w:rPr>
        <w:t>坚定不移地走人口与环境协调发展的道路</w:t>
      </w:r>
    </w:p>
    <w:p w14:paraId="2A1C399B">
      <w:pPr>
        <w:autoSpaceDE w:val="0"/>
        <w:autoSpaceDN w:val="0"/>
        <w:spacing w:line="400" w:lineRule="exact"/>
        <w:ind w:firstLine="440" w:firstLineChars="200"/>
        <w:rPr>
          <w:rFonts w:ascii="宋体" w:hAnsi="宋体" w:eastAsia="宋体" w:cs="AdobeSongStd-Light"/>
          <w:szCs w:val="21"/>
        </w:rPr>
      </w:pPr>
      <w:r>
        <w:rPr>
          <w:rFonts w:ascii="宋体" w:hAnsi="宋体" w:eastAsia="宋体" w:cs="AdobeSongStd-Light"/>
          <w:b/>
          <w:szCs w:val="21"/>
        </w:rPr>
        <w:t>1.</w:t>
      </w:r>
      <w:r>
        <w:rPr>
          <w:rFonts w:hint="eastAsia" w:ascii="宋体" w:hAnsi="宋体" w:eastAsia="宋体" w:cs="AdobeSongStd-Light"/>
          <w:b/>
          <w:szCs w:val="21"/>
        </w:rPr>
        <w:t>切实以科学发展观为指导</w:t>
      </w:r>
      <w:r>
        <w:rPr>
          <w:rFonts w:ascii="宋体" w:hAnsi="宋体" w:eastAsia="宋体" w:cs="AdobeSongStd-Light"/>
          <w:b/>
          <w:szCs w:val="21"/>
        </w:rPr>
        <w:t>，</w:t>
      </w:r>
      <w:r>
        <w:rPr>
          <w:rFonts w:hint="eastAsia" w:ascii="宋体" w:hAnsi="宋体" w:eastAsia="宋体" w:cs="AdobeSongStd-Light"/>
          <w:b/>
          <w:szCs w:val="21"/>
        </w:rPr>
        <w:t>尽快转变经济增长方</w:t>
      </w:r>
      <w:r>
        <w:rPr>
          <w:rFonts w:hint="eastAsia" w:ascii="宋体" w:hAnsi="宋体" w:eastAsia="宋体" w:cs="AdobeSongStd-Light"/>
          <w:szCs w:val="21"/>
        </w:rPr>
        <w:t>式</w:t>
      </w:r>
    </w:p>
    <w:p w14:paraId="23E5100A">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以内涵式扩大再生产为主要的增长方式</w:t>
      </w:r>
      <w:r>
        <w:rPr>
          <w:rFonts w:ascii="宋体" w:hAnsi="宋体" w:eastAsia="宋体" w:cs="AdobeSongStd-Light"/>
          <w:szCs w:val="21"/>
        </w:rPr>
        <w:t>，</w:t>
      </w:r>
      <w:r>
        <w:rPr>
          <w:rFonts w:hint="eastAsia" w:ascii="宋体" w:hAnsi="宋体" w:eastAsia="宋体" w:cs="AdobeSongStd-Light"/>
          <w:szCs w:val="21"/>
        </w:rPr>
        <w:t>要求在“优化结构”和“提高效益”两个方面下工夫。一般发展中国家第三产业的产值约在</w:t>
      </w:r>
      <w:r>
        <w:rPr>
          <w:rFonts w:ascii="宋体" w:hAnsi="宋体" w:eastAsia="宋体" w:cs="AdobeSongStd-Light"/>
          <w:szCs w:val="21"/>
        </w:rPr>
        <w:t>40%</w:t>
      </w:r>
      <w:r>
        <w:rPr>
          <w:rFonts w:hint="eastAsia" w:ascii="宋体" w:hAnsi="宋体" w:eastAsia="宋体" w:cs="AdobeSongStd-Light"/>
          <w:szCs w:val="21"/>
        </w:rPr>
        <w:t>左右</w:t>
      </w:r>
      <w:r>
        <w:rPr>
          <w:rFonts w:ascii="宋体" w:hAnsi="宋体" w:eastAsia="宋体" w:cs="AdobeSongStd-Light"/>
          <w:szCs w:val="21"/>
        </w:rPr>
        <w:t>，</w:t>
      </w:r>
      <w:r>
        <w:rPr>
          <w:rFonts w:hint="eastAsia" w:ascii="宋体" w:hAnsi="宋体" w:eastAsia="宋体" w:cs="AdobeSongStd-Light"/>
          <w:szCs w:val="21"/>
        </w:rPr>
        <w:t>一般发达国家</w:t>
      </w:r>
      <w:r>
        <w:rPr>
          <w:rFonts w:ascii="宋体" w:hAnsi="宋体" w:eastAsia="宋体" w:cs="AdobeSongStd-Light"/>
          <w:szCs w:val="21"/>
        </w:rPr>
        <w:t xml:space="preserve">60% </w:t>
      </w:r>
      <w:r>
        <w:rPr>
          <w:rFonts w:hint="eastAsia" w:ascii="宋体" w:hAnsi="宋体" w:eastAsia="宋体" w:cs="AdobeSongStd-Light"/>
          <w:szCs w:val="21"/>
        </w:rPr>
        <w:t>—</w:t>
      </w:r>
      <w:r>
        <w:rPr>
          <w:rFonts w:ascii="宋体" w:hAnsi="宋体" w:eastAsia="宋体" w:cs="AdobeSongStd-Light"/>
          <w:szCs w:val="21"/>
        </w:rPr>
        <w:t>70% ，</w:t>
      </w:r>
      <w:r>
        <w:rPr>
          <w:rFonts w:hint="eastAsia" w:ascii="宋体" w:hAnsi="宋体" w:eastAsia="宋体" w:cs="AdobeSongStd-Light"/>
          <w:szCs w:val="21"/>
        </w:rPr>
        <w:t>日本、美国、欧洲一些发达国家</w:t>
      </w:r>
      <w:r>
        <w:rPr>
          <w:rFonts w:ascii="宋体" w:hAnsi="宋体" w:eastAsia="宋体" w:cs="AdobeSongStd-Light"/>
          <w:szCs w:val="21"/>
        </w:rPr>
        <w:t xml:space="preserve">80% </w:t>
      </w:r>
      <w:r>
        <w:rPr>
          <w:rFonts w:hint="eastAsia" w:ascii="宋体" w:hAnsi="宋体" w:eastAsia="宋体" w:cs="AdobeSongStd-Light"/>
          <w:szCs w:val="21"/>
        </w:rPr>
        <w:t>—</w:t>
      </w:r>
      <w:r>
        <w:rPr>
          <w:rFonts w:ascii="宋体" w:hAnsi="宋体" w:eastAsia="宋体" w:cs="AdobeSongStd-Light"/>
          <w:szCs w:val="21"/>
        </w:rPr>
        <w:t>90% ，</w:t>
      </w:r>
      <w:r>
        <w:rPr>
          <w:rFonts w:hint="eastAsia" w:ascii="宋体" w:hAnsi="宋体" w:eastAsia="宋体" w:cs="AdobeSongStd-Light"/>
          <w:szCs w:val="21"/>
        </w:rPr>
        <w:t>而中国距</w:t>
      </w:r>
      <w:r>
        <w:rPr>
          <w:rFonts w:ascii="宋体" w:hAnsi="宋体" w:eastAsia="宋体" w:cs="AdobeSongStd-Light"/>
          <w:szCs w:val="21"/>
        </w:rPr>
        <w:t>40%</w:t>
      </w:r>
      <w:r>
        <w:rPr>
          <w:rFonts w:hint="eastAsia" w:ascii="宋体" w:hAnsi="宋体" w:eastAsia="宋体" w:cs="AdobeSongStd-Light"/>
          <w:szCs w:val="21"/>
        </w:rPr>
        <w:t>还有一些时日。根据国际上产业结构转换的一般规律</w:t>
      </w:r>
      <w:r>
        <w:rPr>
          <w:rFonts w:ascii="宋体" w:hAnsi="宋体" w:eastAsia="宋体" w:cs="AdobeSongStd-Light"/>
          <w:szCs w:val="21"/>
        </w:rPr>
        <w:t>，</w:t>
      </w:r>
      <w:r>
        <w:rPr>
          <w:rFonts w:hint="eastAsia" w:ascii="宋体" w:hAnsi="宋体" w:eastAsia="宋体" w:cs="AdobeSongStd-Light"/>
          <w:szCs w:val="21"/>
        </w:rPr>
        <w:t>中国要达到可持续发展的要求</w:t>
      </w:r>
      <w:r>
        <w:rPr>
          <w:rFonts w:ascii="宋体" w:hAnsi="宋体" w:eastAsia="宋体" w:cs="AdobeSongStd-Light"/>
          <w:szCs w:val="21"/>
        </w:rPr>
        <w:t>，</w:t>
      </w:r>
      <w:r>
        <w:rPr>
          <w:rFonts w:hint="eastAsia" w:ascii="宋体" w:hAnsi="宋体" w:eastAsia="宋体" w:cs="AdobeSongStd-Light"/>
          <w:szCs w:val="21"/>
        </w:rPr>
        <w:t>就必须尽快从重化工业阶段向高度开放的信息化和知识经济阶段过渡</w:t>
      </w:r>
      <w:r>
        <w:rPr>
          <w:rFonts w:ascii="宋体" w:hAnsi="宋体" w:eastAsia="宋体" w:cs="AdobeSongStd-Light"/>
          <w:szCs w:val="21"/>
        </w:rPr>
        <w:t>，</w:t>
      </w:r>
      <w:r>
        <w:rPr>
          <w:rFonts w:hint="eastAsia" w:ascii="宋体" w:hAnsi="宋体" w:eastAsia="宋体" w:cs="AdobeSongStd-Light"/>
          <w:szCs w:val="21"/>
        </w:rPr>
        <w:t>从资源能源密集型向依靠人力资本、知识资本、社会资本等知识和技术密集型转变</w:t>
      </w:r>
      <w:r>
        <w:rPr>
          <w:rFonts w:ascii="宋体" w:hAnsi="宋体" w:eastAsia="宋体" w:cs="AdobeSongStd-Light"/>
          <w:szCs w:val="21"/>
        </w:rPr>
        <w:t>，</w:t>
      </w:r>
      <w:r>
        <w:rPr>
          <w:rFonts w:hint="eastAsia" w:ascii="宋体" w:hAnsi="宋体" w:eastAsia="宋体" w:cs="AdobeSongStd-Light"/>
          <w:szCs w:val="21"/>
        </w:rPr>
        <w:t>这样就要求大力提高第一和第三次产业的技术构成和劳动生产率</w:t>
      </w:r>
      <w:r>
        <w:rPr>
          <w:rFonts w:ascii="宋体" w:hAnsi="宋体" w:eastAsia="宋体" w:cs="AdobeSongStd-Light"/>
          <w:szCs w:val="21"/>
        </w:rPr>
        <w:t>，</w:t>
      </w:r>
      <w:r>
        <w:rPr>
          <w:rFonts w:hint="eastAsia" w:ascii="宋体" w:hAnsi="宋体" w:eastAsia="宋体" w:cs="AdobeSongStd-Light"/>
          <w:szCs w:val="21"/>
        </w:rPr>
        <w:t>加快城镇化进程。“提高效益”要求实现以最小的投入获得最大产出的“资源-生产-资源再生”式的经济增长方式</w:t>
      </w:r>
      <w:r>
        <w:rPr>
          <w:rFonts w:ascii="宋体" w:hAnsi="宋体" w:eastAsia="宋体" w:cs="AdobeSongStd-Light"/>
          <w:szCs w:val="21"/>
        </w:rPr>
        <w:t>，</w:t>
      </w:r>
      <w:r>
        <w:rPr>
          <w:rFonts w:hint="eastAsia" w:ascii="宋体" w:hAnsi="宋体" w:eastAsia="宋体" w:cs="AdobeSongStd-Light"/>
          <w:szCs w:val="21"/>
        </w:rPr>
        <w:t>使生产和消费做到“资源最小化</w:t>
      </w:r>
      <w:r>
        <w:rPr>
          <w:rFonts w:ascii="宋体" w:hAnsi="宋体" w:eastAsia="宋体" w:cs="AdobeSongStd-Light"/>
          <w:szCs w:val="21"/>
        </w:rPr>
        <w:t>，</w:t>
      </w:r>
      <w:r>
        <w:rPr>
          <w:rFonts w:hint="eastAsia" w:ascii="宋体" w:hAnsi="宋体" w:eastAsia="宋体" w:cs="AdobeSongStd-Light"/>
          <w:szCs w:val="21"/>
        </w:rPr>
        <w:t>废物资源化</w:t>
      </w:r>
      <w:r>
        <w:rPr>
          <w:rFonts w:ascii="宋体" w:hAnsi="宋体" w:eastAsia="宋体" w:cs="AdobeSongStd-Light"/>
          <w:szCs w:val="21"/>
        </w:rPr>
        <w:t>，</w:t>
      </w:r>
      <w:r>
        <w:rPr>
          <w:rFonts w:hint="eastAsia" w:ascii="宋体" w:hAnsi="宋体" w:eastAsia="宋体" w:cs="AdobeSongStd-Light"/>
          <w:szCs w:val="21"/>
        </w:rPr>
        <w:t>排放无害化”。</w:t>
      </w:r>
    </w:p>
    <w:p w14:paraId="1AC9D3A7">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2.</w:t>
      </w:r>
      <w:r>
        <w:rPr>
          <w:rFonts w:hint="eastAsia" w:ascii="宋体" w:hAnsi="宋体" w:eastAsia="宋体" w:cs="AdobeSongStd-Light"/>
          <w:b/>
          <w:szCs w:val="21"/>
        </w:rPr>
        <w:t>继续加强制度建设和市场调节的力度</w:t>
      </w:r>
    </w:p>
    <w:p w14:paraId="2960A208">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传统的经济利益导向</w:t>
      </w:r>
      <w:r>
        <w:rPr>
          <w:rFonts w:ascii="宋体" w:hAnsi="宋体" w:eastAsia="宋体" w:cs="AdobeSongStd-Light"/>
          <w:szCs w:val="21"/>
        </w:rPr>
        <w:t>，</w:t>
      </w:r>
      <w:r>
        <w:rPr>
          <w:rFonts w:hint="eastAsia" w:ascii="宋体" w:hAnsi="宋体" w:eastAsia="宋体" w:cs="AdobeSongStd-Light"/>
          <w:szCs w:val="21"/>
        </w:rPr>
        <w:t>生产成本的“内部性”利益与生态环境的公共性和公共资源的“外部性”利益形成脱钩局面</w:t>
      </w:r>
      <w:r>
        <w:rPr>
          <w:rFonts w:ascii="宋体" w:hAnsi="宋体" w:eastAsia="宋体" w:cs="AdobeSongStd-Light"/>
          <w:szCs w:val="21"/>
        </w:rPr>
        <w:t>，</w:t>
      </w:r>
      <w:r>
        <w:rPr>
          <w:rFonts w:hint="eastAsia" w:ascii="宋体" w:hAnsi="宋体" w:eastAsia="宋体" w:cs="AdobeSongStd-Light"/>
          <w:szCs w:val="21"/>
        </w:rPr>
        <w:t>加上偏离可持续发展的极端掠夺</w:t>
      </w:r>
      <w:r>
        <w:rPr>
          <w:rFonts w:ascii="宋体" w:hAnsi="宋体" w:eastAsia="宋体" w:cs="AdobeSongStd-Light"/>
          <w:szCs w:val="21"/>
        </w:rPr>
        <w:t>，</w:t>
      </w:r>
      <w:r>
        <w:rPr>
          <w:rFonts w:hint="eastAsia" w:ascii="宋体" w:hAnsi="宋体" w:eastAsia="宋体" w:cs="AdobeSongStd-Light"/>
          <w:szCs w:val="21"/>
        </w:rPr>
        <w:t>以及经济过程中各种社会和政治力量的不合理运作</w:t>
      </w:r>
      <w:r>
        <w:rPr>
          <w:rFonts w:ascii="宋体" w:hAnsi="宋体" w:eastAsia="宋体" w:cs="cajcd-fnta0"/>
          <w:szCs w:val="21"/>
        </w:rPr>
        <w:t></w:t>
      </w:r>
      <w:r>
        <w:rPr>
          <w:rFonts w:ascii="宋体" w:hAnsi="宋体" w:eastAsia="宋体" w:cs="cajcd-fnta0"/>
          <w:szCs w:val="21"/>
          <w:vertAlign w:val="superscript"/>
        </w:rPr>
        <w:footnoteReference w:id="396"/>
      </w:r>
      <w:r>
        <w:rPr>
          <w:rFonts w:ascii="宋体" w:hAnsi="宋体" w:eastAsia="宋体" w:cs="cajcd-fnta6"/>
          <w:szCs w:val="21"/>
        </w:rPr>
        <w:t xml:space="preserve"> </w:t>
      </w:r>
      <w:r>
        <w:rPr>
          <w:rFonts w:ascii="宋体" w:hAnsi="宋体" w:eastAsia="宋体" w:cs="AdobeSongStd-Light"/>
          <w:szCs w:val="21"/>
        </w:rPr>
        <w:t>(</w:t>
      </w:r>
      <w:r>
        <w:rPr>
          <w:rFonts w:hint="eastAsia" w:ascii="宋体" w:hAnsi="宋体" w:eastAsia="宋体" w:cs="AdobeSongStd-Light"/>
          <w:szCs w:val="21"/>
        </w:rPr>
        <w:t>如地方保护主义和一些领导干部落后的政绩观</w:t>
      </w:r>
      <w:r>
        <w:rPr>
          <w:rFonts w:ascii="宋体" w:hAnsi="宋体" w:eastAsia="宋体" w:cs="AdobeSongStd-Light"/>
          <w:szCs w:val="21"/>
        </w:rPr>
        <w:t>)</w:t>
      </w:r>
      <w:r>
        <w:rPr>
          <w:rFonts w:hint="eastAsia" w:ascii="宋体" w:hAnsi="宋体" w:eastAsia="宋体" w:cs="AdobeSongStd-Light"/>
          <w:szCs w:val="21"/>
        </w:rPr>
        <w:t>等等</w:t>
      </w:r>
      <w:r>
        <w:rPr>
          <w:rFonts w:ascii="宋体" w:hAnsi="宋体" w:eastAsia="宋体" w:cs="AdobeSongStd-Light"/>
          <w:szCs w:val="21"/>
        </w:rPr>
        <w:t>，</w:t>
      </w:r>
      <w:r>
        <w:rPr>
          <w:rFonts w:hint="eastAsia" w:ascii="宋体" w:hAnsi="宋体" w:eastAsia="宋体" w:cs="AdobeSongStd-Light"/>
          <w:szCs w:val="21"/>
        </w:rPr>
        <w:t>诸多因素都是造成生态环境持续恶化的制度性原因。因此必须做到通过立法、制定政策、精细规划</w:t>
      </w:r>
      <w:r>
        <w:rPr>
          <w:rFonts w:ascii="宋体" w:hAnsi="宋体" w:eastAsia="宋体" w:cs="AdobeSongStd-Light"/>
          <w:szCs w:val="21"/>
        </w:rPr>
        <w:t>，</w:t>
      </w:r>
      <w:r>
        <w:rPr>
          <w:rFonts w:hint="eastAsia" w:ascii="宋体" w:hAnsi="宋体" w:eastAsia="宋体" w:cs="AdobeSongStd-Light"/>
          <w:szCs w:val="21"/>
        </w:rPr>
        <w:t>并通过完善市场机制对生态环境行为从宏观上进行调控和监督管理</w:t>
      </w:r>
      <w:r>
        <w:rPr>
          <w:rFonts w:ascii="宋体" w:hAnsi="宋体" w:eastAsia="宋体" w:cs="AdobeSongStd-Light"/>
          <w:szCs w:val="21"/>
        </w:rPr>
        <w:t>，</w:t>
      </w:r>
      <w:r>
        <w:rPr>
          <w:rFonts w:hint="eastAsia" w:ascii="宋体" w:hAnsi="宋体" w:eastAsia="宋体" w:cs="AdobeSongStd-Light"/>
          <w:szCs w:val="21"/>
        </w:rPr>
        <w:t>并彻底扭转环境违法成本过低的局面。</w:t>
      </w:r>
    </w:p>
    <w:p w14:paraId="56BC6614">
      <w:pPr>
        <w:autoSpaceDE w:val="0"/>
        <w:autoSpaceDN w:val="0"/>
        <w:spacing w:line="400" w:lineRule="exact"/>
        <w:ind w:firstLine="440" w:firstLineChars="200"/>
        <w:rPr>
          <w:rFonts w:ascii="宋体" w:hAnsi="宋体" w:eastAsia="宋体" w:cs="AdobeSongStd-Light"/>
          <w:b/>
          <w:szCs w:val="21"/>
        </w:rPr>
      </w:pPr>
      <w:r>
        <w:rPr>
          <w:rFonts w:ascii="宋体" w:hAnsi="宋体" w:eastAsia="宋体" w:cs="AdobeSongStd-Light"/>
          <w:b/>
          <w:szCs w:val="21"/>
        </w:rPr>
        <w:t>3.</w:t>
      </w:r>
      <w:r>
        <w:rPr>
          <w:rFonts w:hint="eastAsia" w:ascii="宋体" w:hAnsi="宋体" w:eastAsia="宋体" w:cs="AdobeSongStd-Light"/>
          <w:b/>
          <w:szCs w:val="21"/>
        </w:rPr>
        <w:t>提高公众环保意识</w:t>
      </w:r>
      <w:r>
        <w:rPr>
          <w:rFonts w:ascii="宋体" w:hAnsi="宋体" w:eastAsia="宋体" w:cs="AdobeSongStd-Light"/>
          <w:b/>
          <w:szCs w:val="21"/>
        </w:rPr>
        <w:t>，</w:t>
      </w:r>
      <w:r>
        <w:rPr>
          <w:rFonts w:hint="eastAsia" w:ascii="宋体" w:hAnsi="宋体" w:eastAsia="宋体" w:cs="AdobeSongStd-Light"/>
          <w:b/>
          <w:szCs w:val="21"/>
        </w:rPr>
        <w:t>倡导和建设环境友好型社会</w:t>
      </w:r>
    </w:p>
    <w:p w14:paraId="2C74DC21">
      <w:pPr>
        <w:autoSpaceDE w:val="0"/>
        <w:autoSpaceDN w:val="0"/>
        <w:spacing w:line="400" w:lineRule="exact"/>
        <w:ind w:firstLine="440" w:firstLineChars="200"/>
        <w:rPr>
          <w:rFonts w:ascii="宋体" w:hAnsi="宋体" w:eastAsia="宋体" w:cs="AdobeSongStd-Light,Bold"/>
          <w:b/>
          <w:bCs/>
          <w:szCs w:val="21"/>
        </w:rPr>
      </w:pPr>
      <w:r>
        <w:rPr>
          <w:rFonts w:hint="eastAsia" w:ascii="宋体" w:hAnsi="宋体" w:eastAsia="宋体" w:cs="AdobeSongStd-Light"/>
          <w:szCs w:val="21"/>
        </w:rPr>
        <w:t>应该指出</w:t>
      </w:r>
      <w:r>
        <w:rPr>
          <w:rFonts w:ascii="宋体" w:hAnsi="宋体" w:eastAsia="宋体" w:cs="AdobeSongStd-Light"/>
          <w:szCs w:val="21"/>
        </w:rPr>
        <w:t>，</w:t>
      </w:r>
      <w:r>
        <w:rPr>
          <w:rFonts w:hint="eastAsia" w:ascii="宋体" w:hAnsi="宋体" w:eastAsia="宋体" w:cs="AdobeSongStd-Light"/>
          <w:szCs w:val="21"/>
        </w:rPr>
        <w:t>中国环境形势的严峻程度将不可避免地随着人口总量的增长而加深。这时提高公众的环保意识自觉</w:t>
      </w:r>
      <w:r>
        <w:rPr>
          <w:rFonts w:ascii="宋体" w:hAnsi="宋体" w:eastAsia="宋体" w:cs="AdobeSongStd-Light"/>
          <w:szCs w:val="21"/>
        </w:rPr>
        <w:t>，</w:t>
      </w:r>
      <w:r>
        <w:rPr>
          <w:rFonts w:hint="eastAsia" w:ascii="宋体" w:hAnsi="宋体" w:eastAsia="宋体" w:cs="AdobeSongStd-Light"/>
          <w:szCs w:val="21"/>
        </w:rPr>
        <w:t>包括生态平衡意识和人口、资源、经济、社会发展与环境相协调的可持续发展的现代环境意识</w:t>
      </w:r>
      <w:r>
        <w:rPr>
          <w:rFonts w:ascii="宋体" w:hAnsi="宋体" w:eastAsia="宋体" w:cs="AdobeSongStd-Light"/>
          <w:szCs w:val="21"/>
        </w:rPr>
        <w:t>，</w:t>
      </w:r>
      <w:r>
        <w:rPr>
          <w:rFonts w:hint="eastAsia" w:ascii="宋体" w:hAnsi="宋体" w:eastAsia="宋体" w:cs="AdobeSongStd-Light"/>
          <w:szCs w:val="21"/>
        </w:rPr>
        <w:t>就成为我们的必然选择。树立集科学发展意识、适度人口意识、人均资源意识、环境承载意识、绿色消费意识等为一体的科学的可持续发展意识</w:t>
      </w:r>
      <w:r>
        <w:rPr>
          <w:rFonts w:ascii="宋体" w:hAnsi="宋体" w:eastAsia="宋体" w:cs="AdobeSongStd-Light"/>
          <w:szCs w:val="21"/>
        </w:rPr>
        <w:t>，</w:t>
      </w:r>
      <w:r>
        <w:rPr>
          <w:rFonts w:hint="eastAsia" w:ascii="宋体" w:hAnsi="宋体" w:eastAsia="宋体" w:cs="AdobeSongStd-Light"/>
          <w:szCs w:val="21"/>
        </w:rPr>
        <w:t>并非是短时期内所能及的。然而</w:t>
      </w:r>
      <w:r>
        <w:rPr>
          <w:rFonts w:ascii="宋体" w:hAnsi="宋体" w:eastAsia="宋体" w:cs="AdobeSongStd-Light"/>
          <w:szCs w:val="21"/>
        </w:rPr>
        <w:t>，</w:t>
      </w:r>
      <w:r>
        <w:rPr>
          <w:rFonts w:hint="eastAsia" w:ascii="宋体" w:hAnsi="宋体" w:eastAsia="宋体" w:cs="AdobeSongStd-Light"/>
          <w:szCs w:val="21"/>
        </w:rPr>
        <w:t>中国的人口与生态环境现实又显得如此的紧迫。环境保护作为社会性很强的事业</w:t>
      </w:r>
      <w:r>
        <w:rPr>
          <w:rFonts w:ascii="宋体" w:hAnsi="宋体" w:eastAsia="宋体" w:cs="AdobeSongStd-Light"/>
          <w:szCs w:val="21"/>
        </w:rPr>
        <w:t>，</w:t>
      </w:r>
      <w:r>
        <w:rPr>
          <w:rFonts w:hint="eastAsia" w:ascii="宋体" w:hAnsi="宋体" w:eastAsia="宋体" w:cs="AdobeSongStd-Light"/>
          <w:szCs w:val="21"/>
        </w:rPr>
        <w:t>需要广大公众科学合理的社会消费行为和经济责任上的敢于担当。十七大建设“环境友好型社会”的使命</w:t>
      </w:r>
      <w:r>
        <w:rPr>
          <w:rFonts w:ascii="宋体" w:hAnsi="宋体" w:eastAsia="宋体" w:cs="AdobeSongStd-Light"/>
          <w:szCs w:val="21"/>
        </w:rPr>
        <w:t>，</w:t>
      </w:r>
      <w:r>
        <w:rPr>
          <w:rFonts w:hint="eastAsia" w:ascii="宋体" w:hAnsi="宋体" w:eastAsia="宋体" w:cs="AdobeSongStd-Light"/>
          <w:szCs w:val="21"/>
        </w:rPr>
        <w:t>不能仅靠政府的努力</w:t>
      </w:r>
      <w:r>
        <w:rPr>
          <w:rFonts w:ascii="宋体" w:hAnsi="宋体" w:eastAsia="宋体" w:cs="AdobeSongStd-Light"/>
          <w:szCs w:val="21"/>
        </w:rPr>
        <w:t>，</w:t>
      </w:r>
      <w:r>
        <w:rPr>
          <w:rFonts w:hint="eastAsia" w:ascii="宋体" w:hAnsi="宋体" w:eastAsia="宋体" w:cs="AdobeSongStd-Light"/>
          <w:szCs w:val="21"/>
        </w:rPr>
        <w:t>根本的还是要靠中国广大公众的积极参与。</w:t>
      </w:r>
    </w:p>
    <w:p w14:paraId="0C954308">
      <w:pPr>
        <w:autoSpaceDE w:val="0"/>
        <w:autoSpaceDN w:val="0"/>
        <w:spacing w:line="400" w:lineRule="exact"/>
        <w:ind w:firstLine="440" w:firstLineChars="200"/>
        <w:rPr>
          <w:rFonts w:ascii="宋体" w:hAnsi="宋体" w:eastAsia="宋体" w:cs="AdobeSongStd-Light"/>
          <w:szCs w:val="21"/>
        </w:rPr>
      </w:pPr>
    </w:p>
    <w:p w14:paraId="25383E38">
      <w:pPr>
        <w:autoSpaceDE w:val="0"/>
        <w:autoSpaceDN w:val="0"/>
        <w:spacing w:line="400" w:lineRule="exact"/>
        <w:ind w:firstLine="440" w:firstLineChars="200"/>
        <w:rPr>
          <w:rFonts w:ascii="宋体" w:hAnsi="宋体" w:eastAsia="宋体" w:cs="AdobeSongStd-Light"/>
          <w:szCs w:val="21"/>
        </w:rPr>
      </w:pPr>
      <w:r>
        <w:rPr>
          <w:rFonts w:hint="eastAsia" w:ascii="宋体" w:hAnsi="宋体" w:eastAsia="宋体" w:cs="AdobeSongStd-Light"/>
          <w:szCs w:val="21"/>
        </w:rPr>
        <w:t>(原载《中州学刊》</w:t>
      </w:r>
      <w:r>
        <w:rPr>
          <w:rFonts w:ascii="宋体" w:hAnsi="宋体" w:eastAsia="宋体" w:cs="Times New Roman"/>
          <w:szCs w:val="21"/>
        </w:rPr>
        <w:t>2009</w:t>
      </w:r>
      <w:r>
        <w:rPr>
          <w:rFonts w:hint="eastAsia" w:ascii="宋体" w:hAnsi="宋体" w:eastAsia="宋体" w:cs="AdobeSongStd-Light"/>
          <w:szCs w:val="21"/>
        </w:rPr>
        <w:t>年第</w:t>
      </w:r>
      <w:r>
        <w:rPr>
          <w:rFonts w:ascii="宋体" w:hAnsi="宋体" w:eastAsia="宋体" w:cs="Times New Roman"/>
          <w:szCs w:val="21"/>
        </w:rPr>
        <w:t>5</w:t>
      </w:r>
      <w:r>
        <w:rPr>
          <w:rFonts w:hint="eastAsia" w:ascii="宋体" w:hAnsi="宋体" w:eastAsia="宋体" w:cs="AdobeSongStd-Light"/>
          <w:szCs w:val="21"/>
        </w:rPr>
        <w:t>期，第二作者为王新建)</w:t>
      </w:r>
    </w:p>
    <w:p w14:paraId="7530696A">
      <w:pPr>
        <w:keepNext/>
        <w:keepLines/>
        <w:widowControl/>
        <w:spacing w:line="480" w:lineRule="auto"/>
        <w:ind w:firstLine="198"/>
        <w:jc w:val="center"/>
        <w:outlineLvl w:val="1"/>
        <w:rPr>
          <w:rFonts w:ascii="黑体" w:hAnsi="黑体" w:eastAsia="黑体" w:cs="Times New Roman"/>
          <w:kern w:val="0"/>
          <w:sz w:val="32"/>
          <w:szCs w:val="32"/>
        </w:rPr>
      </w:pPr>
      <w:bookmarkStart w:id="1062" w:name="_Toc17362"/>
      <w:bookmarkStart w:id="1063" w:name="_Toc144092841"/>
      <w:bookmarkStart w:id="1064" w:name="_Toc1981212022"/>
      <w:r>
        <w:rPr>
          <w:rFonts w:hint="eastAsia" w:ascii="黑体" w:hAnsi="黑体" w:eastAsia="黑体" w:cs="Times New Roman"/>
          <w:kern w:val="0"/>
          <w:sz w:val="32"/>
          <w:szCs w:val="32"/>
        </w:rPr>
        <w:t>1</w:t>
      </w:r>
      <w:r>
        <w:rPr>
          <w:rFonts w:ascii="黑体" w:hAnsi="黑体" w:eastAsia="黑体" w:cs="Times New Roman"/>
          <w:kern w:val="0"/>
          <w:sz w:val="32"/>
          <w:szCs w:val="32"/>
        </w:rPr>
        <w:t>3</w:t>
      </w:r>
      <w:r>
        <w:rPr>
          <w:rFonts w:hint="eastAsia" w:ascii="黑体" w:hAnsi="黑体" w:eastAsia="黑体" w:cs="Times New Roman"/>
          <w:kern w:val="0"/>
          <w:sz w:val="32"/>
          <w:szCs w:val="32"/>
        </w:rPr>
        <w:t>如何看待中国经济发展模式</w:t>
      </w:r>
      <w:bookmarkEnd w:id="1062"/>
      <w:bookmarkEnd w:id="1063"/>
      <w:bookmarkEnd w:id="1064"/>
    </w:p>
    <w:p w14:paraId="57BC51F6">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一国或一地区经济发展取得显著成就或者具有突出特点，就会有相应的模式提出。不同的发展模式虽然各有特点，但是也有共性。不同发展模式具有不同的显著特点，但走同一发展模式从不同立场和角度观察也会得出不同的看法。从客观、全面和实质的角度看，经济发展的“中国模式”玩不是遵循“新自由主义模式”也不是遵循“民主社会主义模式”，而是独具中国特色的社会主义市场经济模式。</w:t>
      </w:r>
    </w:p>
    <w:p w14:paraId="29192A2F">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中国经济社会发展的巨大成就世所瞩目。中国经济发展总量GDP已经跃居世界第三位，仅次于美国和日本之后。迸出口总额跃居世界第三位，仅次于美国和德国之后。外汇储备跃居世界第位。特别是，中国改革开放后连续30年的经济长期持续高速增长，军均GDP增长率达到9.6%，就经济增长的时间之久和速度之快来说在世界范围内是首屈一指的。2008年中国人均国民总收入已经达到3292美元，步入了世界中等收入国家之列。尤其在2007年伊始的金融、经济危机席卷全球，发达国家和众多发展中国家纷纷受到冲击和陷入衰退时，中国经济依然强劲增长，2009年全年GDP增长率预计将超过8%。而此时又恰逢新中国成立60周茸．于是中外学者纷纷热议和关注经济社会发展的“中国模式”，以便总结和提炼、中国经济社会发展的道路、经验和规律，以资世界借鉴参考和中国承前启后。</w:t>
      </w:r>
    </w:p>
    <w:p w14:paraId="0DF96C6C">
      <w:pPr>
        <w:autoSpaceDE w:val="0"/>
        <w:autoSpaceDN w:val="0"/>
        <w:spacing w:line="360" w:lineRule="auto"/>
        <w:ind w:firstLine="500" w:firstLineChars="200"/>
        <w:jc w:val="center"/>
        <w:rPr>
          <w:rFonts w:ascii="宋体" w:hAnsi="宋体" w:eastAsia="宋体" w:cs="宋体"/>
          <w:b/>
          <w:bCs/>
          <w:kern w:val="0"/>
          <w:sz w:val="24"/>
          <w:szCs w:val="24"/>
          <w:lang w:bidi="ar"/>
        </w:rPr>
      </w:pPr>
      <w:r>
        <w:rPr>
          <w:rFonts w:hint="eastAsia" w:ascii="宋体" w:hAnsi="宋体" w:eastAsia="宋体" w:cs="宋体"/>
          <w:b/>
          <w:bCs/>
          <w:kern w:val="0"/>
          <w:sz w:val="24"/>
          <w:szCs w:val="24"/>
          <w:lang w:bidi="ar"/>
        </w:rPr>
        <w:t>一、关于经济发展“模式”说</w:t>
      </w:r>
    </w:p>
    <w:p w14:paraId="353772BA">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关于经济发展的“模式”说早已有之，－旦一国或一地区经济发展取得显著成就或者具有突出特点，就会有相应的模式提出。比如，以德国、瑞士、挪威、瑞典等为代表，强调政府作用和福利社会的“莱茵模式”，或者称为“民主社会主义模式”；以美国、英国为代表，强调自由竞争市场经济的“盎格鲁－撒克逊模式”，或者称为“自由资本主义模式”；以韩国、新加坡、中国香港和中国台湾等为代表，强调政府主导市场经济的“东亚模式济模式”；以墨西哥、阿根廷等为代表，强调践行经济“私有化、非调控化、自由化”为特征的“华盛顿共识”的“拉美模式”，因其是失败的，又被称为“拉美陷阱”；以俄罗斯等为代表，强调经济迅速“私有化、非调控化、自由化”而失败的“激进转轨模式”，或者称为“休克疗法”；以前苏联为代表，强调集中计划经济而取得巨大成就的“苏联模式”，因其弊端是明显的和主要是在斯大林执政时期实践的．因而又被称为“斯大林模式”；以越南为代表，强调利用市场经济的“社会主义走向的市场经济模式”，又称为“越南模式”，等等。不同的发展模式虽然各有特点，但是也有共性。比如，“民主社会主义模式”和“自由资本主义模式”都是以资本私有制为基础的发达资本主义国家的发展模式。而“拉美模式”和俄罗斯“激进转轨模式”则是以“自由资本主义模式”为样板的发展中资本主义国家的发展模式．因而也统称为“新自囱主义模”。“东亚模式”更多是以“民主社会主义模式”为样板的发展中资本主义国家的发展模式。苏联模式”“越南模式”“中国模式巴模式”等，都是以资本公有制为基础的社会主义国家的发展模式。只不过“苏联模式”和“古巴模式”突出的是计划手段的作用，而“越南模式”和“中国模式”突出的是利用市场手段的作用。</w:t>
      </w:r>
    </w:p>
    <w:p w14:paraId="74ACA257">
      <w:pPr>
        <w:autoSpaceDE w:val="0"/>
        <w:autoSpaceDN w:val="0"/>
        <w:spacing w:line="360" w:lineRule="auto"/>
        <w:ind w:firstLine="500" w:firstLineChars="200"/>
        <w:jc w:val="center"/>
        <w:rPr>
          <w:rFonts w:ascii="宋体" w:hAnsi="宋体" w:eastAsia="宋体" w:cs="宋体"/>
          <w:b/>
          <w:bCs/>
          <w:kern w:val="0"/>
          <w:sz w:val="24"/>
          <w:szCs w:val="24"/>
          <w:lang w:bidi="ar"/>
        </w:rPr>
      </w:pPr>
      <w:r>
        <w:rPr>
          <w:rFonts w:hint="eastAsia" w:ascii="宋体" w:hAnsi="宋体" w:eastAsia="宋体" w:cs="宋体"/>
          <w:b/>
          <w:bCs/>
          <w:kern w:val="0"/>
          <w:sz w:val="24"/>
          <w:szCs w:val="24"/>
          <w:lang w:bidi="ar"/>
        </w:rPr>
        <w:t>二、中国经济发展不是遵循“新自由主义模式”</w:t>
      </w:r>
    </w:p>
    <w:p w14:paraId="1F6E40A4">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通常人们更注重的是不同发展模式的特点，这些特点区分开了不同发展模式。不过，即使是同一个发展模式，中外学者站在不同立场和观察角度，得出的结论也不尽相同；即使是中国学者对中国经济发展模式的看法也不尽相同。比如一些学者认为，中国经济发展是遵循了“新自由主义模式”。这些学者认为：30年改革开放取得的成就是遵循西方资产阶级主流经济学及其衍生经济政策的结果，改革就是向新自由主义经济学核心理念一一“华盛顿共识”靠拢的过程。30年改革开放之所以取得巨大成就，就在于中国走了一条以市场化、私有化、非调控化为导向的改革道路。市场是配置资源的最佳工具，其配置资源的效率远胜于国家计划和政府干预，政府干预反而降低了资源配置效率。因此，政府干预越少越好，市场作用越大越好。企业家和个人是理性的“经济人”，企业家对利润的追求与个人对私人财产的追求，可以实现社会资源的最优配置。地方分权引起的地方竞争和对外开放引入的制度竞争是中国发展的推动力。30年改革开放的过程，就是市场自由化过程，也是整个经济的非公有化的过程。非公经济比例不上升、公有经济比例不断下降，说明外资企业和私营企业等私有经济比国有企业和集体企业等公有经济具有更高的经济效率。这些学者还认为，中国目前的改革开放仍然存在一些问题，原因主要是市场化程度不够，政府干预过多，私有化还不彻底，并提出要进一步推动市场自由化改革，减少政府干预。这些学者仅仅看到，中国在从传统高度集中的社会主义计划经济体制向社会主义市场经济体制转变的过程中，确实是借鉴了西方资产阶级经济学关于市场经济一般规律的理论论述，并在实践中从过去过分强调集体利益转向适当强调个体利益，从几乎单纯的公有制经济到－适度降低公有制经济中的比重和开创公有制的多种实现形式，鼓励、支持和引导个体、私营和外资等私有经济发展。于是，这些学者就误以为中国改革开放是遵循了西方资产阶级主流经济学及其政策主张的逻辑。事实上，如果遵循西方资产阶级主流经济学及其政策主张的逻辑，中国就不可能坚持和完善以公有制为主体和按劳分配为主体的基本经济制如果遵循了新自由主义经济学的逻辑，实行市场原教旨主义的市场经济，同样就不可能坚持和完善社会主义宏观调控和提高宏观调控水平，还不可能倡导独立自主的以自力更生为立足点的对外开放。显然，中国经济发展的“新自由主义模式”论没有抓住中国经济发展的主要特征。中国经济发展的新自由主义模式论提出中国经济改革和发展是以西方理论为指导的说法是不符合实际的，同时，也会误导中国经济改革和发展的方向。</w:t>
      </w:r>
    </w:p>
    <w:p w14:paraId="72B2193B">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同时应当看到，中国30军改革开放取得的巨大成就，不仅不是遵循西方资产阶级主流经济学及其衍生经济政策的结果，而且现阶段出现的收入和财富占有的差距、资源的破坏性开采和浪费性使用、环境污染、公有资产流失等问题，恰恰是受到以新自由主义经济学为代表的西方资产阶级主流经济学宣传和影响的结果。西方资产阶级主流经济学倡导企业片面追求利润最大化，导致企业不注重资源节约，恣意排放生产污染物，最大程度地压低工资和降低工作条件，甚至生产和兜售假冒伪劣商品，严重损害人民生命健康。个人唯一寻求财产最大化，引发个人损公肥私、行贿受贿、道德沦丧，甚至严重暴力犯罪。</w:t>
      </w:r>
    </w:p>
    <w:p w14:paraId="24DBADAA">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公有制企业，尤其是国有企业的布局、结构和行业的调整，甚至一些国有企业破产倒闭，是为了更好地发展壮大公有制经济，不能就此笼统地说公有制经济效率低。正如，一些私有制企业破产倒闭，不能证明私有制企业效率低一样。中国改革开放30年取得的巨大成就是以公有制为主体的多种经济成分共同发展的结果．充分体现了公有制经济的宏观和微观高效益，而中国改革开放30年经济的健康快速发展和未来的持续发展，更是归功子公有制经济的主体地位和国有经济的主导作用。因为只有保证公有制经济的主体地位才能保证按劳分配的主体地位和生产与消费的良性循环，从而保证经济的长期持续发展。反观之，以资本主义私有制为基础的市场经济，是按资分配为主体和收入分配的两极分化，必然出现有效消费不足和生产相对过剩，进而导致经济不断地被经济危机所打断，不可能长期持续高速发展。中国经济发展假若是遵循新自由主义模式，同样逃脱不了拉美模式失败的命运。相反，中国经济长期持续快速发展，恰恰说明中国并没有遵循经济发展的新自由主义模式。</w:t>
      </w:r>
    </w:p>
    <w:p w14:paraId="1B953B5A">
      <w:pPr>
        <w:autoSpaceDE w:val="0"/>
        <w:autoSpaceDN w:val="0"/>
        <w:spacing w:line="360" w:lineRule="auto"/>
        <w:ind w:firstLine="500" w:firstLineChars="200"/>
        <w:jc w:val="center"/>
        <w:rPr>
          <w:rFonts w:ascii="宋体" w:hAnsi="宋体" w:eastAsia="宋体" w:cs="宋体"/>
          <w:b/>
          <w:bCs/>
          <w:kern w:val="0"/>
          <w:sz w:val="24"/>
          <w:szCs w:val="24"/>
          <w:lang w:bidi="ar"/>
        </w:rPr>
      </w:pPr>
      <w:r>
        <w:rPr>
          <w:rFonts w:hint="eastAsia" w:ascii="宋体" w:hAnsi="宋体" w:eastAsia="宋体" w:cs="宋体"/>
          <w:b/>
          <w:bCs/>
          <w:kern w:val="0"/>
          <w:sz w:val="24"/>
          <w:szCs w:val="24"/>
          <w:lang w:bidi="ar"/>
        </w:rPr>
        <w:t>三、中国经济发展不是遵循“民主社会主义模式”</w:t>
      </w:r>
    </w:p>
    <w:p w14:paraId="46CC8FB4">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还有一些学者认为，中国经济发展是遵循和应该遵循“民主社会主义模式。这些学者认为，民主社会主义模式既演变了资本主义，也演变了社会主义。以瑞典为代表的社会民主党人就成功地创造了在发达资本主义国家的民主框架内和平过渡到社会主义的道路．即民主社会主义道路。民主社会主义模式是由民主宪政、混合私有制、社会市场经济、福利保障制度构成」中国所实行的改革开放政策，如“实行包产到户，废止近乎单一的公有制，实行多种所有制共同发展，允许一部分人先富起来”，是把代表先进生产力的资本家请回来，是要发展混合私有制经济，这些政策都是对社会主义的演变或者说修正，只是“为了避免‘修正主义’之嫌，我们称之为中国特色的社会主义道路”，中国所要建设的社会主义市场经济，是迈向民主社会主义道路的关键性一步。</w:t>
      </w:r>
    </w:p>
    <w:p w14:paraId="1FFBC7BB">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民主社会主义模式论者只看到中国私有制经济的发展，看不到公有制经济的主体地位和国有经济的主导作用；只看到中国允许一部分人先富起来，看不到中国按劳分配为主体，而且最终要消灭私有制及其剥削，消除两极分化，最终实现共同富裕；只看到社会主义市场经济与资本主义市场经济所具有的共性．看不到二者性质上的本质差别，即社会主义市场经济是建立在公有制为主体的市场经济基础之上，而资本主义市场经济是建立在私有制为主体的市场经济基础之上；只看到福利保障制度对于资本主义社会缓和资本与劳动的矛盾，改善工人阶级的生活状况具有积极意义，看不到福利资本主义是资产阶级的改良思想和主张，私有资本条件下的利润是为资产阶级所有，资本主义的福利保障制度所提供的合格的雇佣劳动力是为资产阶级剥削服务的，劳动阶级的地位没有根本改变。“民主社会主义模式”论者片面看待中国经济发展及其模式，误以为中国经济发展是遵循“民主社会主义模式”，而实际并非如此。</w:t>
      </w:r>
    </w:p>
    <w:p w14:paraId="5C115C11">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需要注意的是，中国的经济发展过程始终是在坚持马克思主义经济理论的指导下和坚持社会主义制度的前提下，改革社会主义生产关系中不适应社会生产力发展状况的一些环节和方面，借鉴国外合理的管理经验和先进技术为我所用。改革既不是改变社会主义制度的性质，发展也不是照抄、照搬国外的发展模式。中国要建立和完善的社会主义市场经济，是要把社会主义基本制度和市场经济结合起来，充分发挥社会主义制度和市场经济二者的优势。这正是中国取得巨大成就的重要原因。中国通过改革，突破了西方资产阶级经济学认为只有资本主义私有制才能与市场经济相结合的理念。‘实行社会主义基本制度与市场经济相结合的社会主义市场经济体制，是科学社会主义发展史上的伟大创举”，是马克思主义政治经济学的重大理论创新。如果把中国经济发展的模式说成“中国模式”，那这种模式无疑是社会主义的发展模式。因其具有中国特色，可以称为中国特色社会主义的经济发展模式（与政治发展、文化发展和社会发展相对应，还有中国特色社会主义的政治发展模式、文化发展模式和社会发展模式，统称为中国特色社会主义发展模式）。考虑到这种模式的显著特征即公有资本与市场经济相结合，经济发展的中国模式又可以称为中国特色社会主义市场经济模式。</w:t>
      </w:r>
    </w:p>
    <w:p w14:paraId="14D8AD69">
      <w:pPr>
        <w:autoSpaceDE w:val="0"/>
        <w:autoSpaceDN w:val="0"/>
        <w:spacing w:line="360" w:lineRule="auto"/>
        <w:ind w:firstLine="500" w:firstLineChars="200"/>
        <w:jc w:val="center"/>
        <w:rPr>
          <w:rFonts w:ascii="宋体" w:hAnsi="宋体" w:eastAsia="宋体" w:cs="Times New Roman"/>
          <w:b/>
          <w:bCs/>
          <w:sz w:val="24"/>
          <w:szCs w:val="24"/>
          <w:lang w:val="zh-CN"/>
        </w:rPr>
      </w:pPr>
      <w:r>
        <w:rPr>
          <w:rFonts w:hint="eastAsia" w:ascii="宋体" w:hAnsi="宋体" w:eastAsia="宋体" w:cs="Times New Roman"/>
          <w:b/>
          <w:bCs/>
          <w:sz w:val="24"/>
          <w:szCs w:val="24"/>
          <w:lang w:val="zh-CN"/>
        </w:rPr>
        <w:t>四、经济发展的中国模式的特征</w:t>
      </w:r>
    </w:p>
    <w:p w14:paraId="6EC4CEB5">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经济发展的中国模式或者说中国特色社会主义市场经济模式区别于其他模式的显著特征，是经济发展的“四主型”制度，即公有主体型的多种类产权制度、劳动主体型的多要素分配制度、国家主导型的多结构市场制度、自力主导型的多方位开放制度。</w:t>
      </w:r>
    </w:p>
    <w:p w14:paraId="1F034EFA">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第一，公有主体型的多种类产权制度。所谓公有主体型的多种类产权制度是指在公有制为主体的前提下（包含资产在质上和量上的优势｝，发展私有经济。中国在多种所有制的动态发展中。注重保持公有制与私有经济之间作为“主体－辅体”的所有制结构。当然，这种所有制结构的保持并非简单地控制私有经济的上升，而是在私有经济发展壮大的同时，巩固、发展和壮大公有制经济，始终保持公有经济的基础和主体地位与国有经济的主导和控制地位。</w:t>
      </w:r>
    </w:p>
    <w:p w14:paraId="4BEDC9C5">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第二，劳动主体型的多要素分配制度。所谓劳动主体型的多要素分配制度是指按劳分配为主体，多要素所有者可凭产权参与分配，经济公平与经济效率呈现交互同向和并重关系。公有制为主体的产权制度为按劳分配为主体的分配制度提供了可行性的前提条件。在多要素参与分配的条件下，中国注重提高劳动报酬在初次分配中的比重，着力提高低收入者收入，逐步提高最低工资标准，不断完善企业职工工资正常增长机制和支付保障机制。</w:t>
      </w:r>
    </w:p>
    <w:p w14:paraId="6A85DF9E">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第三，国家主导型的多结构市场制度。所谓国家主导型的多结构市场制度是指多结构地发展市场体系，发挥市场的基础性资源配置的作用。同时，在廉洁、廉价、民主和高效的基础上。发挥国家调节的主导型作用。中国经济在保持发挥市场调节资源配置的基础作用的同时，注重发挥国家的计划手段和财政、货币政策的调节作用，既用市场调节的优良功能去抑止“国家调节失灵”，又用国家调节的优良功能来纠正“市场调节失灵”，实现“基础－主导”的双重调节机制。</w:t>
      </w:r>
    </w:p>
    <w:p w14:paraId="319B1E6A">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第四，自力主导型的多所谓自力主导型的多方位开放制度是指要处理好引进国外技术和资本同自力更生地发展自主知识产权、高效利用本国资本关系，实行内需为主并与外需相结合的国内外经济交往关系，促进从追求引进数量的粗放型开放模式向追求引进效益的质量型开放模式转变。中国注重在结合比较优势与竞争优势的基础上，大力发展控股、控技（尤其是核心技术）和控牌（尤其是名牌）的“三控型”民族企业集团和民族跨国公司，突出培育和发挥知识产权优势，目的是打造出中国的“世界工厂”而非“世界加工厂”，实现从贸易大国向贸易强国、经济大国向经济强国的转型。</w:t>
      </w:r>
    </w:p>
    <w:p w14:paraId="04AD7089">
      <w:pPr>
        <w:widowControl/>
        <w:spacing w:line="400" w:lineRule="exact"/>
        <w:ind w:firstLine="440" w:firstLineChars="200"/>
        <w:rPr>
          <w:rFonts w:ascii="宋体" w:hAnsi="宋体" w:eastAsia="宋体" w:cs="Times New Roman"/>
          <w:szCs w:val="21"/>
          <w:lang w:val="zh-CN"/>
        </w:rPr>
      </w:pPr>
      <w:r>
        <w:rPr>
          <w:rFonts w:hint="eastAsia" w:ascii="宋体" w:hAnsi="宋体" w:eastAsia="宋体" w:cs="Times New Roman"/>
          <w:szCs w:val="21"/>
          <w:lang w:val="zh-CN"/>
        </w:rPr>
        <w:t>当然，经济发展的中国模式不仅仅是一种社会主义的发展模式。中国作为发展中国家，经济发展的中国模式还是一种发展中国家的发展模式；中国作为从社会主义计划经济向社会主义市场经济转轨的国家，经济发展的中国模式还是一种转轨模式。比如，在形成中国特色社会主义市场经济模式的过程中，转轨的速度是渐进的，转轨的步骤是试错的和由点到面的转轨的顺序是以先立后破为主的，转轨的方式是以强制和诱导并用的，等等。因此，经济发展的中国模式可以为社会主义国家、发展中国家和转轨国家借鉴是理所当然的。但是作为一种成功的经济发展模式，中国模式也具有一定程度的普遍意义，正直口一些专家学者指出的，它同样可以为发达国家所借鉴。</w:t>
      </w:r>
    </w:p>
    <w:p w14:paraId="38C7D38C">
      <w:pPr>
        <w:widowControl/>
        <w:spacing w:line="400" w:lineRule="exact"/>
        <w:ind w:firstLine="440" w:firstLineChars="200"/>
        <w:rPr>
          <w:rFonts w:ascii="宋体" w:hAnsi="宋体" w:eastAsia="宋体" w:cs="宋体"/>
          <w:kern w:val="0"/>
          <w:szCs w:val="21"/>
          <w:lang w:bidi="ar"/>
        </w:rPr>
      </w:pPr>
    </w:p>
    <w:p w14:paraId="3BD471E9">
      <w:pPr>
        <w:widowControl/>
        <w:spacing w:line="400" w:lineRule="exact"/>
        <w:ind w:firstLine="440" w:firstLineChars="200"/>
        <w:rPr>
          <w:rFonts w:ascii="宋体" w:hAnsi="宋体" w:eastAsia="宋体" w:cs="宋体"/>
          <w:szCs w:val="21"/>
        </w:rPr>
      </w:pPr>
      <w:r>
        <w:rPr>
          <w:rFonts w:hint="eastAsia" w:ascii="宋体" w:hAnsi="宋体" w:eastAsia="宋体" w:cs="宋体"/>
          <w:szCs w:val="21"/>
        </w:rPr>
        <w:t>（原载于《前线》2009年第10期》，第二作者为王中保）</w:t>
      </w:r>
    </w:p>
    <w:p w14:paraId="6B5FB614">
      <w:pPr>
        <w:bidi w:val="0"/>
      </w:pPr>
      <w:r>
        <w:br w:type="page"/>
      </w:r>
    </w:p>
    <w:p w14:paraId="4E4D6865">
      <w:pPr>
        <w:keepNext/>
        <w:keepLines/>
        <w:widowControl/>
        <w:spacing w:line="480" w:lineRule="auto"/>
        <w:ind w:firstLine="198"/>
        <w:jc w:val="center"/>
        <w:outlineLvl w:val="1"/>
        <w:rPr>
          <w:rFonts w:ascii="黑体" w:hAnsi="黑体" w:eastAsia="黑体" w:cs="Times New Roman"/>
          <w:kern w:val="0"/>
          <w:sz w:val="32"/>
          <w:szCs w:val="32"/>
        </w:rPr>
      </w:pPr>
      <w:bookmarkStart w:id="1065" w:name="_Toc25327"/>
      <w:bookmarkStart w:id="1066" w:name="_Toc1554308518"/>
      <w:bookmarkStart w:id="1067" w:name="_Toc1496507019"/>
      <w:r>
        <w:rPr>
          <w:rFonts w:hint="eastAsia" w:ascii="黑体" w:hAnsi="黑体" w:eastAsia="黑体" w:cs="Times New Roman"/>
          <w:kern w:val="0"/>
          <w:sz w:val="32"/>
          <w:szCs w:val="32"/>
        </w:rPr>
        <w:t>1</w:t>
      </w:r>
      <w:r>
        <w:rPr>
          <w:rFonts w:ascii="黑体" w:hAnsi="黑体" w:eastAsia="黑体" w:cs="Times New Roman"/>
          <w:kern w:val="0"/>
          <w:sz w:val="32"/>
          <w:szCs w:val="32"/>
        </w:rPr>
        <w:t>4</w:t>
      </w:r>
      <w:r>
        <w:rPr>
          <w:rFonts w:hint="eastAsia" w:ascii="黑体" w:hAnsi="黑体" w:eastAsia="黑体" w:cs="Times New Roman"/>
          <w:kern w:val="0"/>
          <w:sz w:val="32"/>
          <w:szCs w:val="32"/>
        </w:rPr>
        <w:t>中国经济发展模式辨析</w:t>
      </w:r>
      <w:bookmarkEnd w:id="1065"/>
      <w:bookmarkEnd w:id="1066"/>
      <w:bookmarkEnd w:id="1067"/>
    </w:p>
    <w:p w14:paraId="381C3F0F">
      <w:pPr>
        <w:spacing w:line="400" w:lineRule="exact"/>
        <w:ind w:firstLine="440" w:firstLineChars="200"/>
        <w:rPr>
          <w:rFonts w:ascii="宋体" w:hAnsi="宋体" w:eastAsia="宋体" w:cs="宋体"/>
        </w:rPr>
      </w:pPr>
      <w:r>
        <w:rPr>
          <w:rFonts w:hint="eastAsia" w:ascii="宋体" w:hAnsi="宋体" w:eastAsia="宋体" w:cs="宋体"/>
        </w:rPr>
        <w:t>中国经济社会发展的巨大成就引起世界的关注，特别是改革开放后连续30年的经济长期持续高速增长，年均GDP增长率达到9.6%，就经济增长的时间长度和速度来说，在世界范围内是首屈一指的。2008年中国人均国民总收入已经达到3292美元，步入了世界中等收入国家行列。尤其在2007年肇始的金融、经济危机席卷全球，发达国家和众多发展中国家纷纷陷入衰退时，中国经济依然强劲增长，2009年全年GDP增长率预计将超过8%。中国经济的优异表现引发了中外学者对中国经济发展模式的热议。</w:t>
      </w:r>
    </w:p>
    <w:p w14:paraId="5DAB9086">
      <w:pPr>
        <w:spacing w:line="400" w:lineRule="exact"/>
        <w:ind w:firstLine="440" w:firstLineChars="200"/>
        <w:rPr>
          <w:rFonts w:ascii="宋体" w:hAnsi="宋体" w:eastAsia="宋体" w:cs="宋体"/>
        </w:rPr>
      </w:pPr>
      <w:r>
        <w:rPr>
          <w:rFonts w:hint="eastAsia" w:ascii="宋体" w:hAnsi="宋体" w:eastAsia="宋体" w:cs="宋体"/>
        </w:rPr>
        <w:t>一国或一个地区经济发展取得显著成就或者具有突出特点，就会有相应的模式提出。比如，以德国、瑞士、挪威、瑞典等为代表，强调政府作用和福利社会的“莱茵模式”，或者称为“民主社会主义模式”；以美国、英国为代表，强调自由竞争市场经济的“盎格鲁—撒克逊模式”，或者称为“自由资本主义模式”；以韩国、新加坡、中国香港和中国台湾等为代表，强调政府主导市场经济的“东亚模式”，或者称为“新兴市场经济模式”；以墨西哥、阿根廷等为代表，强调践行经济“私有化、非调控化、自由化”为特征的基于“华盛顿共识”的“拉美模式”，因其是失败的，又被称为“拉美陷阱”；以俄罗斯等为代表，强调经济迅速“私有化、非调控化、自由化”而失败的“激进转轨模式”，或者称为“休克疗法”；以越南为代表，强调利用市场经济的“社会主义定向的市场经济模式”，又称为“越南模式”，等等。</w:t>
      </w:r>
    </w:p>
    <w:p w14:paraId="7CACB229">
      <w:pPr>
        <w:spacing w:line="400" w:lineRule="exact"/>
        <w:ind w:firstLine="440" w:firstLineChars="200"/>
        <w:rPr>
          <w:rFonts w:ascii="宋体" w:hAnsi="宋体" w:eastAsia="宋体" w:cs="宋体"/>
        </w:rPr>
      </w:pPr>
      <w:r>
        <w:rPr>
          <w:rFonts w:hint="eastAsia" w:ascii="宋体" w:hAnsi="宋体" w:eastAsia="宋体" w:cs="宋体"/>
        </w:rPr>
        <w:t>不同的发展模式虽然各有特点，但也有共性。不同发展模式具有不同的显著特点，但是同一发展模式从不同立场和角度观察也会得出不同的看法。从客观、全面和实质的角度看，中国经济发展模式既不是遵循“新自由主义模式”，也不是遵循“民主社会主义模式”，而是独具中国特色的社会主义市场经济模式。中国经济发展模式的显著特征是公有主体型的多种类产权制度、劳动主体型的多要素分配制度、国家主导型的多结构市场制度和自力主导型的多方位开放制度。一种具有显著特征的发展模式形成后，就会具有相对的稳定性。但是，同样也可能随着经济社会发展状况的变化而发生变化。党和政府需要警惕中国经济发展模式的蜕变。</w:t>
      </w:r>
    </w:p>
    <w:p w14:paraId="61BB2AA8">
      <w:pPr>
        <w:autoSpaceDE w:val="0"/>
        <w:autoSpaceDN w:val="0"/>
        <w:spacing w:line="360" w:lineRule="auto"/>
        <w:ind w:firstLine="500" w:firstLineChars="200"/>
        <w:jc w:val="center"/>
        <w:rPr>
          <w:rFonts w:ascii="宋体" w:hAnsi="宋体" w:eastAsia="宋体" w:cstheme="majorBidi"/>
          <w:b/>
          <w:bCs/>
          <w:kern w:val="28"/>
          <w:sz w:val="24"/>
          <w:szCs w:val="32"/>
        </w:rPr>
      </w:pPr>
      <w:r>
        <w:rPr>
          <w:rFonts w:hint="eastAsia" w:ascii="宋体" w:hAnsi="宋体" w:eastAsia="宋体" w:cstheme="majorBidi"/>
          <w:b/>
          <w:bCs/>
          <w:kern w:val="28"/>
          <w:sz w:val="24"/>
          <w:szCs w:val="32"/>
        </w:rPr>
        <w:t>一、中国经济发展不是遵循“新自由主义模式”</w:t>
      </w:r>
    </w:p>
    <w:p w14:paraId="4C250026">
      <w:pPr>
        <w:spacing w:line="400" w:lineRule="exact"/>
        <w:ind w:firstLine="440" w:firstLineChars="200"/>
        <w:rPr>
          <w:rFonts w:ascii="宋体" w:hAnsi="宋体" w:eastAsia="宋体" w:cs="宋体"/>
        </w:rPr>
      </w:pPr>
      <w:r>
        <w:rPr>
          <w:rFonts w:hint="eastAsia" w:ascii="宋体" w:hAnsi="宋体" w:eastAsia="宋体" w:cs="宋体"/>
        </w:rPr>
        <w:t>通常人们更注重的是不同发展模式的特点，这些特点区分开了不同发展模式。不过即使是同一个发展模式，中外学者站在不同立场和观察角度，得出的结论也不尽相同。即使是中国学者，对中国经济发展模式的看法也不尽相同。比如，有的学者认为，中国经济发展是遵循了“新自由主义模式”，30年改革开放取得的成就，是遵循西方资产阶级主流经济学及其衍生经济政策的结果，改革就是向新自由主义经济学核心理念“华盛顿共识”靠拢的过程。有学者认为，中国30年改革开放之所以取得巨大成就，就在于中国走了一条以市场化、私有化、非调控化为导向的改革道路。市场是配置资源的最佳工具，其配置资源的效率远胜于国家计划和政府干预，政府干预降低了资源配置效率，政府干预越少越好，市场作用越大越好。企业家和个人是理性的“经济人”，企业家对利润的追求与个人对私人财产的追求，可以实现社会资源的最优配置。地方分权引起的地方竞争和对外开放引入的制度竞争，是中国发展的推动力。30年改革开放的过程，就是市场自由化过程，也是整个经济的非公有化的过程。非公经济比例不断上升、公有经济比例不断下降，说明外资企业和私营企业等私有经济比国有企业和集体企业等公有经济具有更高的经济效率。这些学者认为，中国目前的改革开放仍然存在一些问题，原因主要是市场化程度不够，政府干预过多，私有化还不彻底，并提出要进一步推动市场自由化改革，减少政府干预。</w:t>
      </w:r>
    </w:p>
    <w:p w14:paraId="5D45AE1E">
      <w:pPr>
        <w:spacing w:line="400" w:lineRule="exact"/>
        <w:ind w:firstLine="440" w:firstLineChars="200"/>
        <w:rPr>
          <w:rFonts w:ascii="宋体" w:hAnsi="宋体" w:eastAsia="宋体" w:cs="宋体"/>
        </w:rPr>
      </w:pPr>
      <w:r>
        <w:rPr>
          <w:rFonts w:hint="eastAsia" w:ascii="宋体" w:hAnsi="宋体" w:eastAsia="宋体" w:cs="宋体"/>
        </w:rPr>
        <w:t>这些学者仅仅看到，中国在从传统高度集中的社会主义计划经济体制向社会主义市场经济体制转变的过程中，确实是借鉴了西方资产阶级经济学关于市场经济一般规律的理论论述，并在实践中从过去过分强调集体利益转向适当强调个体利益，从几乎单纯的公有制经济到适度降低公有制经济中的比重和开创公有制的多种实现形式，鼓励、支持与引导个体、私营和外资等私有制经济发展。于是，这些学者就误以为中国改革开放是遵循了西方资产阶级主流经济学及其政策主张的逻辑。事实上，如果遵循西方资产阶级主流经济学及其政策主张的逻辑，中国就不可能坚持和完善公有制为主体和按劳分配为主体的基本经济制度。如果遵循了新自由主义经济学的逻辑，实行市场原教旨主义的市场经济，同样就不可能坚持和完善社会主义宏观调控和提高宏观调控水平，也不可能倡导独立自主的以自力更生为立足点的对外开放。显然，中国经济发展的“新自由主义模式”论没有抓住中国经济发展的主要特征。中国经济发展的“新自由主义模式”论提出“中国经济改革和发展是以西方理论为指导的说法是不符合实际的”，同时，也“会误导中国经济改革和发展的方向”。</w:t>
      </w:r>
    </w:p>
    <w:p w14:paraId="739CDDD5">
      <w:pPr>
        <w:spacing w:line="400" w:lineRule="exact"/>
        <w:ind w:firstLine="440" w:firstLineChars="200"/>
        <w:rPr>
          <w:rFonts w:ascii="宋体" w:hAnsi="宋体" w:eastAsia="宋体" w:cs="宋体"/>
        </w:rPr>
      </w:pPr>
      <w:r>
        <w:rPr>
          <w:rFonts w:hint="eastAsia" w:ascii="宋体" w:hAnsi="宋体" w:eastAsia="宋体" w:cs="宋体"/>
        </w:rPr>
        <w:t>同时应当看到，中国30年改革开放取得的巨大成就，不仅不是遵循西方资产阶级主流经济学及其衍生经济政策的结果，而且中国改革开放30年出现的收入和财富占有的差距拉得过大、资源的破坏性开采和浪费性使用、环境严重污染、公有资产流失、私有制企业职工工作条件恶劣、腐败盛行等问题，恰恰是受到以新自由主义经济学为代表的西方资产阶级主流经济学宣传和影响的结果。西方资产阶级主流经济学倡导的企业片面追求利润最大化，导致企业不注重资源节约，恣意排放生产污染物，最大程度地压低工资和降低工作条件，甚至生产和兜售假冒伪劣商品，严重损害人民生命健康。个人寻求财产最大化，引发个人损公肥私、行贿受贿、道德沦丧，甚至严重暴力犯罪。收入和财富占有差距的不断扩大，也正是私有制经济过度发展的必然结果。</w:t>
      </w:r>
    </w:p>
    <w:p w14:paraId="10318CF9">
      <w:pPr>
        <w:spacing w:line="400" w:lineRule="exact"/>
        <w:ind w:firstLine="440" w:firstLineChars="200"/>
        <w:rPr>
          <w:rFonts w:ascii="宋体" w:hAnsi="宋体" w:eastAsia="宋体" w:cs="宋体"/>
        </w:rPr>
      </w:pPr>
      <w:r>
        <w:rPr>
          <w:rFonts w:hint="eastAsia" w:ascii="宋体" w:hAnsi="宋体" w:eastAsia="宋体" w:cs="宋体"/>
        </w:rPr>
        <w:t>公有制企业，尤其是国有企业的布局、结构和行业的调整，甚至一些国有企业破产倒闭，是为了更好地发展壮大公有制经济，不能就此笼统地说公有制经济效率低。正如一些私有制企业破产倒闭，不能证明私有制企业效率低一样。中国改革开放30年取得的巨大成就，是以公有制为主体的多种经济成分共同发展的结果，充分体现了公有制经济的宏观和微观高效益，而中国改革开放30年经济的持续发展和未来的继续持续发展，更应归功于公有制经济的主体地位和国有经济的主导作用。正是因为公有制经济占主体地位，才保证了按劳分配的主体地位和生产与消费的良性循环，从而保证了经济的长期持续发展。而以资本主义私有制为基础的市场经济，是按资分配为主体和收入分配的两极分化，必然会出现有效消费不足和生产相对过剩，因此经济总是不断地被经济危机所打断，是不可能长期持续高速发展的。中国经济发展假若是遵循“新自由主义模式”，同样逃脱不了“拉美模式”失败的命运；相反，中国经济长期持续快速发展，恰恰说明中国并没有遵循经济发展的“新自由主义模式”。</w:t>
      </w:r>
    </w:p>
    <w:p w14:paraId="73CAFDA5">
      <w:pPr>
        <w:autoSpaceDE w:val="0"/>
        <w:autoSpaceDN w:val="0"/>
        <w:spacing w:line="360" w:lineRule="auto"/>
        <w:ind w:firstLine="500" w:firstLineChars="200"/>
        <w:jc w:val="center"/>
        <w:rPr>
          <w:rFonts w:ascii="宋体" w:hAnsi="宋体" w:eastAsia="宋体" w:cstheme="majorBidi"/>
          <w:b/>
          <w:bCs/>
          <w:kern w:val="28"/>
          <w:sz w:val="24"/>
          <w:szCs w:val="32"/>
        </w:rPr>
      </w:pPr>
      <w:r>
        <w:rPr>
          <w:rFonts w:hint="eastAsia" w:ascii="宋体" w:hAnsi="宋体" w:eastAsia="宋体" w:cstheme="majorBidi"/>
          <w:b/>
          <w:bCs/>
          <w:kern w:val="28"/>
          <w:sz w:val="24"/>
          <w:szCs w:val="32"/>
        </w:rPr>
        <w:t>二、中国经济发展不是遵循“民主社会主义模式”</w:t>
      </w:r>
    </w:p>
    <w:p w14:paraId="26695D64">
      <w:pPr>
        <w:spacing w:line="400" w:lineRule="exact"/>
        <w:ind w:firstLine="440" w:firstLineChars="200"/>
        <w:rPr>
          <w:rFonts w:ascii="宋体" w:hAnsi="宋体" w:eastAsia="宋体" w:cs="宋体"/>
        </w:rPr>
      </w:pPr>
      <w:r>
        <w:rPr>
          <w:rFonts w:hint="eastAsia" w:ascii="宋体" w:hAnsi="宋体" w:eastAsia="宋体" w:cs="宋体"/>
        </w:rPr>
        <w:t>还有一些学者认为，中国经济发展是遵循并应该遵循“民主社会主义模式”。这些学者认为，民主社会主义模式既演变了资本主义，也演变了社会主义。以瑞典为代表的社会民主党人，成功地创造了在发达资本主义国家的民主框架内和平过渡到社会主义的道路，即民主社会主义道路。民主社会主义模式是由民主宪政、混合所有制、社会市场经济、福利保障制度构成。中国所实行的改革开放政策，如“实行包产到户，废止近乎单一的公有制，实行多种所有制共同发展，允许一部分人先富起来”，是把代表先进生产力的资本家请回来，是要发展混合所有制经济，这些政策都是对社会主义的演变或者说修正，只是“为了避免‘修正主义’之嫌，我们称之为中国特色的社会主义道路”，中国所要建设的社会主义市场经济，是迈向民主社会主义道路的关键性一步。这些学者还认为，资本主义国家的社会民主党既代表工人阶级的利益，又代表全社会的共同利益，是先进生产力的代表。“三个代表”重要思想和保护私有制载入宪法，从而获得宪法保证，标志着中国踏上了民主社会主义道路；改革开放以来，劳动生产率得到了极大提高，提高的劳动生产率归根结底是新制度战胜旧制度、正确路线战胜错误路线、民主社会主义战胜暴力社会主义最重要、最主要的东西。这些学者得出结论是，“中国走民主社会主义道路，就会开辟世界历史发展的新航道”。</w:t>
      </w:r>
    </w:p>
    <w:p w14:paraId="23FFE32D">
      <w:pPr>
        <w:spacing w:line="400" w:lineRule="exact"/>
        <w:ind w:firstLine="440" w:firstLineChars="200"/>
        <w:rPr>
          <w:rFonts w:ascii="宋体" w:hAnsi="宋体" w:eastAsia="宋体" w:cs="宋体"/>
        </w:rPr>
      </w:pPr>
      <w:r>
        <w:rPr>
          <w:rFonts w:hint="eastAsia" w:ascii="宋体" w:hAnsi="宋体" w:eastAsia="宋体" w:cs="宋体"/>
        </w:rPr>
        <w:t xml:space="preserve"> “民主社会主义模式”论者只看到中国私有制经济的发展，看不到公有制经济的主体地位和国有经济的主导作用；只看到中国允许一部分人先富起来，看不到中国按劳分配为主体，而且最终要消灭剥削，消除两极分化，实现共同富裕；只看到社会主义市场经济与资本主义市场经济所具有的共性，看不到二者性质上的本质差别，即社会主义市场经济是建立在公有制为主体的市场经济基础之上，而资本主义市场经济是建立在私有制为主体的市场经济基础之上；只看到中国鼓励、支持和引导私有制经济的发展，促进了生产力的发展，看不到现阶段由于中国生产力发展的不平衡性和多样性，鼓励、支持和引导私有制经济的发展正是适应部分落后生产力发展状况的需要，从而促进了落后生产力极大的发展；只看到一些私有资本及其所有者与现存的较先进的生产力水平相联系，看不到“解放生产力”、“发展生产力”是“代表先进生产力的发展要求”，并非一定与先进生产力相联系；只看到福利保障制度对于资本主义缓和资本与劳动的矛盾，改善工人阶级的生活状况具有积极意义，看不到福利资本主义是资产阶级的改良思想和主张，私有资本条件下的利润是为资产阶级所有，资本主义的福利保障制度所提供的合格的雇佣劳动力是为资产阶级剥削服务的。“民主社会主义模式”论者片面看待中国经济发展，误以为中国经济发展遵循和将要遵循“民主社会主义模式”，而实际并非如此。</w:t>
      </w:r>
    </w:p>
    <w:p w14:paraId="7D3BA7A0">
      <w:pPr>
        <w:spacing w:line="400" w:lineRule="exact"/>
        <w:ind w:firstLine="440" w:firstLineChars="200"/>
        <w:rPr>
          <w:rFonts w:ascii="宋体" w:hAnsi="宋体" w:eastAsia="宋体" w:cs="宋体"/>
        </w:rPr>
      </w:pPr>
      <w:r>
        <w:rPr>
          <w:rFonts w:hint="eastAsia" w:ascii="宋体" w:hAnsi="宋体" w:eastAsia="宋体" w:cs="宋体"/>
        </w:rPr>
        <w:t>中国经济始终是在坚持马克思主义经济理论的指导、坚持社会主义制度的前提下发展的。改革既不是改变社会主义制度的性质，发展也不是照抄、照搬国外的发展模式。中国要建立和完善的社会主义市场经济，是要把社会主义基本制度和市场经济结合起来，充分发挥社会主义制度和市场经济二者的优势，这正是中国取得巨大成就的重要原因。中国通过改革，突破了西方资产阶级经济学认为只有资本主义私有制才能与市场经济相结合的理念，“实行社会主义基本制度与市场经济相结合的社会主义市场经济体制，是科学社会主义发展史上的伟大创举”，是马克思主义政治经济学的重大理论创新。如果把中国经济发展的模式说成“中国模式”，这种模式无疑是社会主义的发展模式。因其具有中国特色，可以称为中国特色社会主义的经济发展模式（与政治发展、文化发展和社会发展相对应，还有中国特色社会主义的政治发展模式、文化发展模式和社会发展模式，统称为中国特色社会主义发展模式）。考虑到这种模式的显著特征即公有资本与市场经济相结合，中国经济发展模式又可以称为中国特色社会主义市场经济模式。</w:t>
      </w:r>
    </w:p>
    <w:p w14:paraId="3C80FA06">
      <w:pPr>
        <w:autoSpaceDE w:val="0"/>
        <w:autoSpaceDN w:val="0"/>
        <w:spacing w:line="360" w:lineRule="auto"/>
        <w:ind w:firstLine="500" w:firstLineChars="200"/>
        <w:jc w:val="center"/>
        <w:rPr>
          <w:rFonts w:ascii="宋体" w:hAnsi="宋体" w:eastAsia="宋体" w:cstheme="majorBidi"/>
          <w:b/>
          <w:bCs/>
          <w:kern w:val="28"/>
          <w:sz w:val="24"/>
          <w:szCs w:val="32"/>
        </w:rPr>
      </w:pPr>
      <w:r>
        <w:rPr>
          <w:rFonts w:hint="eastAsia" w:ascii="宋体" w:hAnsi="宋体" w:eastAsia="宋体" w:cstheme="majorBidi"/>
          <w:b/>
          <w:bCs/>
          <w:kern w:val="28"/>
          <w:sz w:val="24"/>
          <w:szCs w:val="32"/>
        </w:rPr>
        <w:t>三、中国经济发展模式的特征</w:t>
      </w:r>
    </w:p>
    <w:p w14:paraId="6E6F84DA">
      <w:pPr>
        <w:spacing w:line="400" w:lineRule="exact"/>
        <w:ind w:firstLine="440" w:firstLineChars="200"/>
        <w:rPr>
          <w:rFonts w:ascii="宋体" w:hAnsi="宋体" w:eastAsia="宋体" w:cs="宋体"/>
        </w:rPr>
      </w:pPr>
      <w:r>
        <w:rPr>
          <w:rFonts w:hint="eastAsia" w:ascii="宋体" w:hAnsi="宋体" w:eastAsia="宋体" w:cs="宋体"/>
        </w:rPr>
        <w:t>中国经济发展模式区别于其他模式的显著特征，是经济发展的“四主型”制度，即公有主体型的多种类产权制度，劳动主体型的多要素分配制度，国家主导型的多结构市场制度和自力主导型的多方位开放制度。</w:t>
      </w:r>
    </w:p>
    <w:p w14:paraId="1F4BE975">
      <w:pPr>
        <w:spacing w:line="400" w:lineRule="exact"/>
        <w:ind w:firstLine="440" w:firstLineChars="200"/>
        <w:rPr>
          <w:rFonts w:ascii="宋体" w:hAnsi="宋体" w:eastAsia="宋体" w:cs="宋体"/>
        </w:rPr>
      </w:pPr>
      <w:r>
        <w:rPr>
          <w:rFonts w:hint="eastAsia" w:ascii="宋体" w:hAnsi="宋体" w:eastAsia="宋体" w:cs="宋体"/>
        </w:rPr>
        <w:t>第一，公有主体型的多种类产权制度。所谓公有主体型的多种类产权制度，是指在公有制为主体的前提下（包含资产在质上和量上的优势），发展中外私有制经济。中国在多种所有制的动态发展中，注重保持公有制与私有制之间作为“主体－辅体”的所有制结构，当然，这种所有制结构的保持并非简单地控制私有制经济的上升，而是在私有制经济发展壮大的同时，巩固、发展和壮大公有制经济，始终保持公有经济的基础和主体地位与国有经济的主导和控制地位。</w:t>
      </w:r>
    </w:p>
    <w:p w14:paraId="3E9A1C85">
      <w:pPr>
        <w:spacing w:line="400" w:lineRule="exact"/>
        <w:ind w:firstLine="440" w:firstLineChars="200"/>
        <w:rPr>
          <w:rFonts w:ascii="宋体" w:hAnsi="宋体" w:eastAsia="宋体" w:cs="宋体"/>
        </w:rPr>
      </w:pPr>
      <w:r>
        <w:rPr>
          <w:rFonts w:hint="eastAsia" w:ascii="宋体" w:hAnsi="宋体" w:eastAsia="宋体" w:cs="宋体"/>
        </w:rPr>
        <w:t>第二，劳动主体型的多要素分配制度。所谓劳动主体型的多要素分配制度，是指按劳分配为主体，多要素所有者可凭产权参与分配，经济公平与经济效率呈现交互同向和并重关系。公有制为主体的产权制度，为按劳分配为主体的分配制度提供了可行性的前提条件。在多要素参与分配的条件下，中国注重提高劳动报酬在初次分配中的比重，着力提高低收入者收入，逐步提高最低工资标准，不断完善企业职工工资正常增长机制和支付保障机制。</w:t>
      </w:r>
    </w:p>
    <w:p w14:paraId="180C2BB6">
      <w:pPr>
        <w:spacing w:line="400" w:lineRule="exact"/>
        <w:ind w:firstLine="440" w:firstLineChars="200"/>
        <w:rPr>
          <w:rFonts w:ascii="宋体" w:hAnsi="宋体" w:eastAsia="宋体" w:cs="宋体"/>
        </w:rPr>
      </w:pPr>
      <w:r>
        <w:rPr>
          <w:rFonts w:hint="eastAsia" w:ascii="宋体" w:hAnsi="宋体" w:eastAsia="宋体" w:cs="宋体"/>
        </w:rPr>
        <w:t>第三，国家主导型的多结构市场制度。所谓国家主导型的多结构市场制度，是指多结构地发展市场体系，发挥市场的基础性配置资源的作用，同时，在廉洁、廉价、民主和高效的基础上，发挥国家调节的主导型作用。中国经济在保持发挥市场调节资源配置的基础作用的同时，注重发挥国家的计划手段和财政、货币政策的调节作用。既用市场调节的优良功能去抑止“国家调节失灵”，又用国家调节的优良功能来纠正“市场调节失灵”，实现一种“基础－主导”的双重调节机制。</w:t>
      </w:r>
    </w:p>
    <w:p w14:paraId="4EBA8364">
      <w:pPr>
        <w:spacing w:line="400" w:lineRule="exact"/>
        <w:ind w:firstLine="440" w:firstLineChars="200"/>
        <w:rPr>
          <w:rFonts w:ascii="宋体" w:hAnsi="宋体" w:eastAsia="宋体" w:cs="宋体"/>
        </w:rPr>
      </w:pPr>
      <w:r>
        <w:rPr>
          <w:rFonts w:hint="eastAsia" w:ascii="宋体" w:hAnsi="宋体" w:eastAsia="宋体" w:cs="宋体"/>
        </w:rPr>
        <w:t>第四，自力主导型的多方位开放制度。所谓自力主导型的多方位开放制度，是指要处理好引进国外技术和资本同自力更生地发展自主知识产权、高效利用本国资本关系，实行内需为主并与外需相结合的国内外经济交往关系，促进从追求引进数量的粗放型开放模式向追求引进效益的质量型开放模式转变。中国注重在结合比较优势与竞争优势的基础上，大力发展控股、控技（尤其是核心技术）和控牌（尤其是名牌）的“三控型”民族企业集团和民族跨国公司，突出培育和发挥知识产权优势，目的是打造出中国的世界工厂而非世界加工厂，实现从贸易大国向贸易强国、从经济大国向经济强国的转型。</w:t>
      </w:r>
    </w:p>
    <w:p w14:paraId="5121CBB9">
      <w:pPr>
        <w:spacing w:line="400" w:lineRule="exact"/>
        <w:ind w:firstLine="440" w:firstLineChars="200"/>
        <w:rPr>
          <w:rFonts w:ascii="宋体" w:hAnsi="宋体" w:eastAsia="宋体" w:cs="宋体"/>
        </w:rPr>
      </w:pPr>
      <w:r>
        <w:rPr>
          <w:rFonts w:hint="eastAsia" w:ascii="宋体" w:hAnsi="宋体" w:eastAsia="宋体" w:cs="宋体"/>
        </w:rPr>
        <w:t>中国经济发展模式不仅仅是一种社会主义的发展模式。因此，中国经济发展模式可以为社会主义国家、发展中国家和转轨国家借鉴是理所当然的。但作为一种成功的经济发展模式，中国模式也具有一定程度的普遍意义，正如一些专家学者指出的，它同样可以为发达国家所借鉴。</w:t>
      </w:r>
    </w:p>
    <w:p w14:paraId="15CFFE6F">
      <w:pPr>
        <w:spacing w:line="400" w:lineRule="exact"/>
        <w:ind w:firstLine="440" w:firstLineChars="200"/>
        <w:rPr>
          <w:rFonts w:ascii="宋体" w:hAnsi="宋体" w:eastAsia="宋体" w:cs="宋体"/>
        </w:rPr>
      </w:pPr>
      <w:r>
        <w:rPr>
          <w:rFonts w:hint="eastAsia" w:ascii="宋体" w:hAnsi="宋体" w:eastAsia="宋体" w:cs="宋体"/>
        </w:rPr>
        <w:t>一种具有显著特征的发展模式形成后，就会具有相对的稳定性。但是，同样也可能随着经济社会发展状况的变化而发生变化。问题在于，不仅仅是“量变”而已，发生“质变”的发展模式已经不同于先前的发展模式；问题的关键还在于，发生“质变”后的发展模式是否还能促进经济社会的快速持续发展。就中国而言，如果私有制经济的比例上升，公有制经济的比例下降，而公有制经济始终在量和质上还保持对私有制经济的优势，那么这种经济产权结构的特点，依然是“公有主体型的产权制度”，并且这种“公有主体型的产权制度”可以为“劳动主体型的多要素分配制度”提供前提条件，并保障经济的长期快速持续发展；相反，如果私有制经济的比例不断上升，公有制的比例不断下降，达到私有制经济在量和质上都超过了公有制经济，这时经济产权结构的特点，则是“私有主体型的产权制度”，由此会导致按资分配为主体的分配制度，社会阶层的收入差距和贫富差距加大就是必然的了，生产和消费的良性循环就会断裂，经济社会的继续持续快速发展就会相应丧失。因此，如何保持和完善中国特色的经济发展模式，是需要学者和中国政府进一步深入思考的。</w:t>
      </w:r>
    </w:p>
    <w:p w14:paraId="4F183313">
      <w:pPr>
        <w:spacing w:line="400" w:lineRule="exact"/>
        <w:ind w:firstLine="440" w:firstLineChars="200"/>
        <w:rPr>
          <w:rFonts w:ascii="宋体" w:hAnsi="宋体" w:eastAsia="宋体" w:cs="宋体"/>
        </w:rPr>
      </w:pPr>
    </w:p>
    <w:p w14:paraId="56E1D6B6">
      <w:pPr>
        <w:spacing w:line="400" w:lineRule="exact"/>
        <w:ind w:firstLine="440" w:firstLineChars="200"/>
        <w:rPr>
          <w:rFonts w:ascii="宋体" w:hAnsi="宋体" w:eastAsia="宋体" w:cs="宋体"/>
        </w:rPr>
      </w:pPr>
      <w:r>
        <w:rPr>
          <w:rFonts w:hint="eastAsia" w:ascii="宋体" w:hAnsi="宋体" w:eastAsia="宋体" w:cs="宋体"/>
        </w:rPr>
        <w:t>（原载于《经济纵横》2009年第6期，第二作者为王中保）</w:t>
      </w:r>
      <w:r>
        <w:rPr>
          <w:rFonts w:ascii="宋体" w:hAnsi="宋体" w:eastAsia="宋体" w:cs="宋体"/>
        </w:rPr>
        <w:br w:type="page"/>
      </w:r>
    </w:p>
    <w:p w14:paraId="79EF8743">
      <w:pPr>
        <w:keepNext/>
        <w:keepLines/>
        <w:widowControl/>
        <w:spacing w:line="480" w:lineRule="auto"/>
        <w:ind w:firstLine="198"/>
        <w:jc w:val="center"/>
        <w:outlineLvl w:val="1"/>
        <w:rPr>
          <w:rFonts w:ascii="黑体" w:hAnsi="黑体" w:eastAsia="黑体" w:cs="Times New Roman"/>
          <w:kern w:val="0"/>
          <w:sz w:val="32"/>
          <w:szCs w:val="32"/>
        </w:rPr>
      </w:pPr>
      <w:bookmarkStart w:id="1068" w:name="_Toc20046"/>
      <w:bookmarkStart w:id="1069" w:name="_Toc1272179918"/>
      <w:bookmarkStart w:id="1070" w:name="_Toc464994669"/>
      <w:r>
        <w:rPr>
          <w:rFonts w:hint="eastAsia" w:ascii="黑体" w:hAnsi="黑体" w:eastAsia="黑体" w:cs="Times New Roman"/>
          <w:kern w:val="0"/>
          <w:sz w:val="32"/>
          <w:szCs w:val="32"/>
        </w:rPr>
        <w:t>1</w:t>
      </w:r>
      <w:r>
        <w:rPr>
          <w:rFonts w:ascii="黑体" w:hAnsi="黑体" w:eastAsia="黑体" w:cs="Times New Roman"/>
          <w:kern w:val="0"/>
          <w:sz w:val="32"/>
          <w:szCs w:val="32"/>
        </w:rPr>
        <w:t>5</w:t>
      </w:r>
      <w:r>
        <w:rPr>
          <w:rFonts w:hint="eastAsia" w:ascii="黑体" w:hAnsi="黑体" w:eastAsia="黑体" w:cs="Times New Roman"/>
          <w:kern w:val="0"/>
          <w:sz w:val="32"/>
          <w:szCs w:val="32"/>
        </w:rPr>
        <w:t>略论新中国经济发展绩效</w:t>
      </w:r>
      <w:bookmarkEnd w:id="1068"/>
      <w:bookmarkEnd w:id="1069"/>
      <w:bookmarkEnd w:id="1070"/>
    </w:p>
    <w:p w14:paraId="1664C5DF">
      <w:pPr>
        <w:autoSpaceDE w:val="0"/>
        <w:autoSpaceDN w:val="0"/>
        <w:spacing w:line="360" w:lineRule="auto"/>
        <w:ind w:firstLine="500" w:firstLineChars="200"/>
        <w:jc w:val="center"/>
        <w:rPr>
          <w:rFonts w:ascii="宋体" w:hAnsi="宋体" w:eastAsia="宋体" w:cstheme="majorBidi"/>
          <w:b/>
          <w:bCs/>
          <w:kern w:val="28"/>
          <w:sz w:val="24"/>
          <w:szCs w:val="32"/>
        </w:rPr>
      </w:pPr>
      <w:r>
        <w:rPr>
          <w:rFonts w:hint="eastAsia" w:ascii="宋体" w:hAnsi="宋体" w:eastAsia="宋体" w:cstheme="majorBidi"/>
          <w:b/>
          <w:bCs/>
          <w:kern w:val="28"/>
          <w:sz w:val="24"/>
          <w:szCs w:val="32"/>
        </w:rPr>
        <w:t>一、新中国前30年发展的良好绩效</w:t>
      </w:r>
    </w:p>
    <w:p w14:paraId="2D6A65F1">
      <w:pPr>
        <w:spacing w:line="400" w:lineRule="exact"/>
        <w:ind w:firstLine="440" w:firstLineChars="200"/>
        <w:rPr>
          <w:rFonts w:ascii="宋体" w:hAnsi="宋体" w:eastAsia="宋体" w:cs="宋体"/>
          <w:kern w:val="10"/>
          <w:szCs w:val="21"/>
        </w:rPr>
      </w:pPr>
      <w:r>
        <w:rPr>
          <w:rFonts w:hint="eastAsia" w:ascii="宋体" w:hAnsi="宋体" w:eastAsia="宋体" w:cs="宋体"/>
          <w:kern w:val="10"/>
          <w:szCs w:val="21"/>
        </w:rPr>
        <w:t>我们主要提供几组能够客观彰显</w:t>
      </w:r>
      <w:r>
        <w:rPr>
          <w:rFonts w:hint="eastAsia" w:ascii="宋体" w:hAnsi="宋体" w:eastAsia="宋体" w:cs="宋体"/>
          <w:szCs w:val="21"/>
        </w:rPr>
        <w:t>新中国前30年发展辉煌绩效的</w:t>
      </w:r>
      <w:r>
        <w:rPr>
          <w:rFonts w:hint="eastAsia" w:ascii="宋体" w:hAnsi="宋体" w:eastAsia="宋体" w:cs="宋体"/>
          <w:kern w:val="10"/>
          <w:szCs w:val="21"/>
        </w:rPr>
        <w:t>纵横比较的数据。</w:t>
      </w:r>
    </w:p>
    <w:p w14:paraId="4F92AD92">
      <w:pPr>
        <w:spacing w:line="400" w:lineRule="exact"/>
        <w:ind w:firstLine="440" w:firstLineChars="200"/>
        <w:rPr>
          <w:rFonts w:ascii="宋体" w:hAnsi="宋体" w:eastAsia="宋体" w:cs="宋体"/>
          <w:b/>
          <w:kern w:val="10"/>
          <w:szCs w:val="21"/>
        </w:rPr>
      </w:pPr>
      <w:r>
        <w:rPr>
          <w:rFonts w:hint="eastAsia" w:ascii="宋体" w:hAnsi="宋体" w:eastAsia="宋体" w:cs="宋体"/>
          <w:b/>
          <w:kern w:val="10"/>
          <w:szCs w:val="21"/>
        </w:rPr>
        <w:t>（一）</w:t>
      </w:r>
      <w:r>
        <w:rPr>
          <w:rFonts w:hint="eastAsia" w:ascii="宋体" w:hAnsi="宋体" w:eastAsia="宋体" w:cs="宋体"/>
          <w:b/>
          <w:szCs w:val="21"/>
        </w:rPr>
        <w:t>与</w:t>
      </w:r>
      <w:r>
        <w:rPr>
          <w:rFonts w:hint="eastAsia" w:ascii="宋体" w:hAnsi="宋体" w:eastAsia="宋体" w:cs="宋体"/>
          <w:b/>
          <w:kern w:val="10"/>
          <w:szCs w:val="21"/>
        </w:rPr>
        <w:t>旧中国经济状况的纵向比较</w:t>
      </w:r>
      <w:r>
        <w:rPr>
          <w:vertAlign w:val="superscript"/>
        </w:rPr>
        <w:footnoteReference w:id="397"/>
      </w:r>
    </w:p>
    <w:p w14:paraId="082C44B6">
      <w:pPr>
        <w:spacing w:line="400" w:lineRule="exact"/>
        <w:ind w:firstLine="440" w:firstLineChars="200"/>
        <w:rPr>
          <w:rFonts w:ascii="宋体" w:hAnsi="宋体" w:eastAsia="宋体" w:cs="宋体"/>
          <w:szCs w:val="21"/>
        </w:rPr>
      </w:pPr>
      <w:r>
        <w:rPr>
          <w:rFonts w:hint="eastAsia" w:ascii="宋体" w:hAnsi="宋体" w:eastAsia="宋体" w:cs="宋体"/>
          <w:szCs w:val="21"/>
        </w:rPr>
        <w:t>自1840年鸦片战争到1949年的109年间，包括国民党统治的20多年在内，造就了中国近代史上一穷二白的社会格局，与世界主要国家的经济差距是在拉大的，而新中国成立后的30年间，许多经济差距在不断缩小。</w:t>
      </w:r>
    </w:p>
    <w:p w14:paraId="50BCEFCD">
      <w:pPr>
        <w:spacing w:line="400" w:lineRule="exact"/>
        <w:ind w:firstLine="440" w:firstLineChars="200"/>
        <w:rPr>
          <w:rFonts w:ascii="宋体" w:hAnsi="宋体" w:eastAsia="宋体" w:cs="宋体"/>
          <w:kern w:val="10"/>
          <w:szCs w:val="21"/>
        </w:rPr>
      </w:pPr>
      <w:r>
        <w:rPr>
          <w:rFonts w:hint="eastAsia" w:ascii="宋体" w:hAnsi="宋体" w:eastAsia="宋体" w:cs="宋体"/>
          <w:szCs w:val="21"/>
        </w:rPr>
        <w:t>1、新旧中国国民收入的发展比较。1920年国民收入为200亿元，到1949年为358亿元，增长79％，年均增长2％。</w:t>
      </w:r>
      <w:r>
        <w:rPr>
          <w:rFonts w:hint="eastAsia" w:ascii="宋体" w:hAnsi="宋体" w:eastAsia="宋体" w:cs="宋体"/>
          <w:kern w:val="10"/>
          <w:szCs w:val="21"/>
        </w:rPr>
        <w:t>从1949到1979年，国民收入从358亿元增长到1978年的3350亿元，增加9倍多，按可比价格计算，30年约增长4.5倍，年平均增长15％。</w:t>
      </w:r>
    </w:p>
    <w:p w14:paraId="5862A789">
      <w:pPr>
        <w:spacing w:line="400" w:lineRule="exact"/>
        <w:ind w:firstLine="440" w:firstLineChars="200"/>
        <w:rPr>
          <w:rFonts w:ascii="宋体" w:hAnsi="宋体" w:eastAsia="宋体" w:cs="宋体"/>
          <w:szCs w:val="21"/>
        </w:rPr>
      </w:pPr>
      <w:r>
        <w:rPr>
          <w:rFonts w:hint="eastAsia" w:ascii="宋体" w:hAnsi="宋体" w:eastAsia="宋体" w:cs="宋体"/>
          <w:szCs w:val="21"/>
        </w:rPr>
        <w:t>2、新旧中国国民生产总值的发展比较。在1952年以前约70年时间里，国民生产总值从22.7亿美元增加到285.4亿美元（1952年是按当年价格计算的国内生产总值），增长了11倍多，年均增长率为3.68％；新中国国民生产总值从1950年的380.6亿美元增加到1987年的5295.2亿美元（均按1980年的不变价和汇率计算），37年增长12.9倍，年均增长率为7.37％。可见，旧中国年均增长率只相当于新中国的49.9％。</w:t>
      </w:r>
    </w:p>
    <w:p w14:paraId="2403C3B5">
      <w:pPr>
        <w:spacing w:line="400" w:lineRule="exact"/>
        <w:ind w:firstLine="440" w:firstLineChars="200"/>
        <w:rPr>
          <w:rFonts w:ascii="宋体" w:hAnsi="宋体" w:eastAsia="宋体" w:cs="宋体"/>
          <w:szCs w:val="21"/>
        </w:rPr>
      </w:pPr>
      <w:r>
        <w:rPr>
          <w:rFonts w:hint="eastAsia" w:ascii="宋体" w:hAnsi="宋体" w:eastAsia="宋体" w:cs="宋体"/>
          <w:szCs w:val="21"/>
        </w:rPr>
        <w:t>3、新旧中国工业的发展比较。1978年全国工业企业达到35万个，全民所有制企业固定资产3200亿元，相当于旧中国近百年积累起来的工业固定资产的25倍。1952－1978年，工业平均年增长速度达到11.2％。再以旧中国经济最繁荣的1936年两种工业产量为例。人均发电量：美国1144.5度，英国514.9度，苏联219.3度，印度13.43度，中国7.9度，美、英、苏、印分别是中国的141倍、63倍、27倍、1.7倍。人均钢产量：美国376.3公斤，英国253.2公斤，苏联95.3公斤，印度11.7公斤，中国0.9公斤，四国分别为中国的418倍、281倍、106倍、13倍。到新中国建立32年后的1981年，在人均发电量方面，美、英、苏分别只是中国的33倍、16.3倍、16倍，印度仅为中国的一半；在人均钢产量方面，美、英、苏分别只是中国的13.3倍、5.4倍、15.7倍，印度仅为中国的42％。</w:t>
      </w:r>
    </w:p>
    <w:p w14:paraId="464B2516">
      <w:pPr>
        <w:spacing w:line="400" w:lineRule="exact"/>
        <w:ind w:firstLine="440" w:firstLineChars="200"/>
        <w:rPr>
          <w:rFonts w:ascii="宋体" w:hAnsi="宋体" w:eastAsia="宋体" w:cs="宋体"/>
          <w:szCs w:val="21"/>
        </w:rPr>
      </w:pPr>
      <w:r>
        <w:rPr>
          <w:rFonts w:hint="eastAsia" w:ascii="宋体" w:hAnsi="宋体" w:eastAsia="宋体" w:cs="宋体"/>
          <w:szCs w:val="21"/>
        </w:rPr>
        <w:t>4、新旧中国农业的发展比较。19世纪80年代农业总产值占国民生产总值的比重为90％，1952年为67.7％，1988年为40％。旧中国70年里这一比重下降22.3个百分点，年均下降0.4％；新中国36年里这一比重下降27.7个百分点，年均下降1.47％，比旧中国快2倍多。1915年全国非农业就业人口占就业总人口的比重为5－10％，1952年和1986年，这一比重分别为16.5％和38.9％，新旧中国在各自的40年里分别使这一比重上升22个百分点和不到10个百分点。</w:t>
      </w:r>
    </w:p>
    <w:p w14:paraId="0A4E0237">
      <w:pPr>
        <w:spacing w:line="400" w:lineRule="exact"/>
        <w:ind w:firstLine="440" w:firstLineChars="200"/>
        <w:rPr>
          <w:rFonts w:ascii="宋体" w:hAnsi="宋体" w:eastAsia="宋体" w:cs="宋体"/>
          <w:kern w:val="10"/>
          <w:szCs w:val="21"/>
        </w:rPr>
      </w:pPr>
      <w:r>
        <w:rPr>
          <w:rFonts w:hint="eastAsia" w:ascii="宋体" w:hAnsi="宋体" w:eastAsia="宋体" w:cs="宋体"/>
          <w:kern w:val="10"/>
          <w:szCs w:val="21"/>
        </w:rPr>
        <w:t>5、新旧中国人均寿命的比较。长时期持续的经济增长和新的社会制度，使人民生活水平和生活质量普遍提高。这一点可以从人均寿命的延长这一重要的人文综合指标得以清楚反映。1978年我国男女平均寿命为68岁，比50年代的57岁延长11岁，比解放前的35岁延长近1倍。</w:t>
      </w:r>
      <w:r>
        <w:rPr>
          <w:rFonts w:ascii="宋体" w:hAnsi="宋体" w:eastAsia="宋体" w:cs="宋体"/>
          <w:kern w:val="10"/>
          <w:szCs w:val="21"/>
          <w:vertAlign w:val="superscript"/>
        </w:rPr>
        <w:footnoteReference w:id="398"/>
      </w:r>
    </w:p>
    <w:p w14:paraId="453AAB11">
      <w:pPr>
        <w:spacing w:line="400" w:lineRule="exact"/>
        <w:ind w:firstLine="440" w:firstLineChars="200"/>
        <w:rPr>
          <w:rFonts w:ascii="宋体" w:hAnsi="宋体" w:eastAsia="宋体" w:cs="宋体"/>
          <w:szCs w:val="21"/>
        </w:rPr>
      </w:pPr>
      <w:r>
        <w:rPr>
          <w:rFonts w:hint="eastAsia" w:ascii="宋体" w:hAnsi="宋体" w:eastAsia="宋体" w:cs="宋体"/>
          <w:szCs w:val="21"/>
        </w:rPr>
        <w:t>正确判断应当是这样的：自鸦片战争开始至新中国成立前，中国从一个较强盛的封建帝国沦为半殖民地半封建的国家，并逐渐形成买办的封建的国家垄断资本主义经济基础。在这漫长的过程中，尽管社会生产力和人民生活有一点提高，但速度极为缓慢，与世界主要国家的经济和社会发展的差距拉大了，呈现出一副落后挨打和一穷二白的衰败社会画面。新中国成立后的30年，在主要资本主义国家实行经济封锁、对外援助较多和缺乏建设经验的条件下，尽管没有完全扭转一穷二白的遗留状况，但经济发展速度和人民生活改善比过去快，与世界多数国家的经济差距在缩小。因此，即使不拿新中国初期与国民党后期相比，而是对比新中国30年与国民党统治20多年的发展速度，其结论仍然是前者业绩较大。</w:t>
      </w:r>
    </w:p>
    <w:p w14:paraId="2A7BB907">
      <w:pPr>
        <w:spacing w:line="400" w:lineRule="exact"/>
        <w:ind w:firstLine="440" w:firstLineChars="200"/>
        <w:rPr>
          <w:rFonts w:ascii="宋体" w:hAnsi="宋体" w:eastAsia="宋体" w:cs="宋体"/>
          <w:b/>
          <w:kern w:val="10"/>
          <w:szCs w:val="21"/>
        </w:rPr>
      </w:pPr>
      <w:r>
        <w:rPr>
          <w:rFonts w:hint="eastAsia" w:ascii="宋体" w:hAnsi="宋体" w:eastAsia="宋体" w:cs="宋体"/>
          <w:b/>
          <w:kern w:val="10"/>
          <w:szCs w:val="21"/>
        </w:rPr>
        <w:t>（二）与条件相近国家经济发展总体水平的国际横向比较</w:t>
      </w:r>
    </w:p>
    <w:p w14:paraId="2A7C0D3E">
      <w:pPr>
        <w:pStyle w:val="13"/>
        <w:spacing w:line="400" w:lineRule="exact"/>
        <w:ind w:firstLine="442"/>
        <w:rPr>
          <w:rFonts w:ascii="宋体" w:hAnsi="宋体" w:cs="宋体"/>
          <w:kern w:val="10"/>
          <w:sz w:val="21"/>
          <w:szCs w:val="21"/>
        </w:rPr>
      </w:pPr>
      <w:r>
        <w:rPr>
          <w:rFonts w:hint="eastAsia" w:ascii="宋体" w:hAnsi="宋体" w:cs="宋体"/>
          <w:kern w:val="10"/>
          <w:sz w:val="21"/>
          <w:szCs w:val="21"/>
        </w:rPr>
        <w:t>经济发展水平的国际比较，也许更能体现相同或相近条件下各个国家的进步程度。关于毛泽东时代中国经济取得的重大进步，我们也可以通过国际、国别比较进一步确认。这里，我们分别以历史和国情与中国相近的印度和西方发达资本主义国家不同的发展阶段作为比较对象。</w:t>
      </w:r>
    </w:p>
    <w:p w14:paraId="0E6DA590">
      <w:pPr>
        <w:spacing w:line="400" w:lineRule="exact"/>
        <w:ind w:firstLine="440" w:firstLineChars="200"/>
        <w:rPr>
          <w:rFonts w:ascii="宋体" w:hAnsi="宋体" w:eastAsia="宋体" w:cs="宋体"/>
          <w:bCs/>
          <w:kern w:val="10"/>
          <w:szCs w:val="21"/>
        </w:rPr>
      </w:pPr>
      <w:r>
        <w:rPr>
          <w:rFonts w:hint="eastAsia" w:ascii="宋体" w:hAnsi="宋体" w:eastAsia="宋体" w:cs="宋体"/>
          <w:kern w:val="10"/>
          <w:szCs w:val="21"/>
        </w:rPr>
        <w:t>1、与同时期印度经济的比较。从各种可比指标来看，五十年代初我国的工业发展水平实际上低于印度，但是，在此后的二十多年里中、印两国显示了完全不同的经济增长绩效。1949－1978年，印度工业生产发展速度比过去快得多，年平均增长率6％。然而新中国工业发展更迅速，1953-1979年的年平均增长为11.1％，除生铁产量外，包括钢、原煤、原油、水泥、硫酸、棉纱和发电量等在内的工业产量，都先后赶上并大大超过印度。1950－1976年，印度农业生产的年平均增长速度为2.5％，而我国，1953－1979年这一指标是3.4％。新中国30年，包括粮食、棉花、油菜、花生、茶叶、甘蔗、黄红麻、猪、羊和水产品在内的农产品以及农业劳动生产率都比印度增长得快。</w:t>
      </w:r>
      <w:r>
        <w:rPr>
          <w:rFonts w:ascii="宋体" w:hAnsi="宋体" w:eastAsia="宋体" w:cs="宋体"/>
          <w:kern w:val="10"/>
          <w:szCs w:val="21"/>
          <w:vertAlign w:val="superscript"/>
        </w:rPr>
        <w:footnoteReference w:id="399"/>
      </w:r>
      <w:r>
        <w:rPr>
          <w:rFonts w:hint="eastAsia" w:ascii="宋体" w:hAnsi="宋体" w:eastAsia="宋体" w:cs="宋体"/>
          <w:kern w:val="10"/>
          <w:szCs w:val="21"/>
        </w:rPr>
        <w:t>比较经济学家格雷戈里和斯图尔特等大多数权威人士认为，中国在国民生产总值增长率和人均国民收入增长率方面超过了印度，而印度和中国很可能是以相同的人均收入水平进入战后时代的。</w:t>
      </w:r>
      <w:r>
        <w:rPr>
          <w:rFonts w:ascii="宋体" w:hAnsi="宋体" w:eastAsia="宋体" w:cs="宋体"/>
          <w:kern w:val="10"/>
          <w:szCs w:val="21"/>
          <w:vertAlign w:val="superscript"/>
        </w:rPr>
        <w:footnoteReference w:id="400"/>
      </w:r>
    </w:p>
    <w:p w14:paraId="53AD46BD">
      <w:pPr>
        <w:spacing w:line="400" w:lineRule="exact"/>
        <w:ind w:firstLine="440" w:firstLineChars="200"/>
        <w:rPr>
          <w:rFonts w:ascii="宋体" w:hAnsi="宋体" w:eastAsia="宋体" w:cs="宋体"/>
          <w:kern w:val="10"/>
          <w:szCs w:val="21"/>
        </w:rPr>
      </w:pPr>
      <w:r>
        <w:rPr>
          <w:rFonts w:hint="eastAsia" w:ascii="宋体" w:hAnsi="宋体" w:eastAsia="宋体" w:cs="宋体"/>
          <w:kern w:val="10"/>
          <w:szCs w:val="21"/>
        </w:rPr>
        <w:t>2、与发达的资本主义国家的不同发展时期相比较</w:t>
      </w:r>
      <w:r>
        <w:rPr>
          <w:rFonts w:ascii="宋体" w:hAnsi="宋体" w:eastAsia="宋体" w:cs="宋体"/>
          <w:kern w:val="10"/>
          <w:szCs w:val="21"/>
          <w:vertAlign w:val="superscript"/>
        </w:rPr>
        <w:footnoteReference w:id="401"/>
      </w:r>
      <w:r>
        <w:rPr>
          <w:rFonts w:hint="eastAsia" w:ascii="宋体" w:hAnsi="宋体" w:eastAsia="宋体" w:cs="宋体"/>
          <w:kern w:val="10"/>
          <w:szCs w:val="21"/>
        </w:rPr>
        <w:t>。其一，与发达的资本主义国家繁荣发展时期对比。战后70年代以前是西方国家发展的黄金时代，1953－1978年主要资本主义国家工业生产年平均增长速度为：日本10.9％，西德5.7％，法国5.2％，美国4.0％，英国2.5％；1953－1976年其农业年平均增长速度为：法国2.5％，日本和英国2.1％，美国1.8％，西德1.3％。前述新中国大约同期的这两个指标都比发达国家高。</w:t>
      </w:r>
    </w:p>
    <w:p w14:paraId="76963B09">
      <w:pPr>
        <w:spacing w:line="400" w:lineRule="exact"/>
        <w:ind w:firstLine="440" w:firstLineChars="200"/>
        <w:rPr>
          <w:rFonts w:ascii="宋体" w:hAnsi="宋体" w:eastAsia="宋体" w:cs="宋体"/>
          <w:kern w:val="10"/>
          <w:szCs w:val="21"/>
        </w:rPr>
      </w:pPr>
      <w:r>
        <w:rPr>
          <w:rFonts w:hint="eastAsia" w:ascii="宋体" w:hAnsi="宋体" w:eastAsia="宋体" w:cs="宋体"/>
          <w:kern w:val="10"/>
          <w:szCs w:val="21"/>
        </w:rPr>
        <w:t>其二，与发达的资本主义国家工业化初期对比。美国资本主义工业化初期的工业生产增长速度最快，1850－1859年为6.1％，1860-1869％年为8.2％，1870－1879年3.1％，1880－1889年为5.5％，1890－1899年为3.3％，而我国经济正常运转的第一个五年计划时期，工业生产平均每年增长18％。</w:t>
      </w:r>
    </w:p>
    <w:p w14:paraId="1BA1E69C">
      <w:pPr>
        <w:spacing w:line="400" w:lineRule="exact"/>
        <w:ind w:firstLine="440" w:firstLineChars="200"/>
        <w:rPr>
          <w:rFonts w:ascii="宋体" w:hAnsi="宋体" w:eastAsia="宋体" w:cs="宋体"/>
          <w:kern w:val="10"/>
          <w:szCs w:val="21"/>
        </w:rPr>
      </w:pPr>
      <w:r>
        <w:rPr>
          <w:rFonts w:hint="eastAsia" w:ascii="宋体" w:hAnsi="宋体" w:eastAsia="宋体" w:cs="宋体"/>
          <w:kern w:val="10"/>
          <w:szCs w:val="21"/>
        </w:rPr>
        <w:t>其三，与发达的资本主义国家起点相近时期对比。我国钢产量从1949年的15.8万吨提高到1979年3448万吨，花了30年时间，而类似的发展过程，美国用了40年（1872年的14.5万吨到1912年3195万吨），日本用了53年（1910年的16.8万吨到1963年的3150万吨），英国1860年为15万吨，用了120多年，才达一到3000万吨。这是单项实物量的变化对照。整个工业价值量的变化对照同样能说明问题。1952年我国工业生产的“底子”，总量比1860年美国工业生产的“底子”大，而以这两个年份为起点的工业增长速度，中国大大地快于美国。1860-1880年美国工业总产值从18.9亿美元上升到53.7亿美元，20年才增长了180％；1952-1957年我国工业总产值（不包括手工业）从270.2亿元上升到650.2亿元，五年就增长了141％。</w:t>
      </w:r>
    </w:p>
    <w:p w14:paraId="6E6C2A43">
      <w:pPr>
        <w:spacing w:line="400" w:lineRule="exact"/>
        <w:ind w:firstLine="440" w:firstLineChars="200"/>
        <w:rPr>
          <w:rFonts w:ascii="宋体" w:hAnsi="宋体" w:eastAsia="宋体" w:cs="宋体"/>
          <w:kern w:val="10"/>
          <w:szCs w:val="21"/>
        </w:rPr>
      </w:pPr>
      <w:r>
        <w:rPr>
          <w:rFonts w:hint="eastAsia" w:ascii="宋体" w:hAnsi="宋体" w:eastAsia="宋体" w:cs="宋体"/>
          <w:kern w:val="10"/>
          <w:szCs w:val="21"/>
        </w:rPr>
        <w:t>上述比较表明，新中国前30年经济的发展速度至少不比另一个历史和国情相近的印度差，不比发达资本主义国家处于大致相同起点时的发展水平差，并且总体而言，也不比同时期处于“黄金时代”的发达资本主义国家的平均水平差。由此，我们可以得到这样一个基本结论，即新中国前30年经济发展总体上是成功的，它创造了比绝大多数资本主义国家高得多的经济发展速度。这是因为，从总体上看，</w:t>
      </w:r>
      <w:r>
        <w:rPr>
          <w:rFonts w:hint="eastAsia" w:ascii="宋体" w:hAnsi="宋体" w:eastAsia="宋体" w:cs="宋体"/>
          <w:kern w:val="0"/>
          <w:szCs w:val="21"/>
        </w:rPr>
        <w:t>中国改革开放前30年的经济成就不仅表现在总量上，而且表现在结构上。它由过去一个“一穷二白”的国家，初步发展成为一个具有自己独立完整的工业体系的国家，不仅有了大型的钢铁基地、能源基地、石油化工基地，铁路公路干线遍布全国，而且自己能制造汽车、火车、飞机、万吨级巨轮、电子计算机、导弹卫星上天。农业上完成了对许多大江大河的治理改造任务，较快控制住某些严重的自然灾害，基本上实现了农田水利化等。</w:t>
      </w:r>
      <w:r>
        <w:rPr>
          <w:rFonts w:hint="eastAsia" w:ascii="宋体" w:hAnsi="宋体" w:eastAsia="宋体" w:cs="宋体"/>
          <w:szCs w:val="21"/>
        </w:rPr>
        <w:t>经济发展速度赶上并超过了世界绝大多数国家，年均GNP约为6.1%，可以跻身同期世界最快之列，社会生产力、综合国力、人民生活水平均比解放前有较大提高，与主要发达国家的若干重要经济差距迅速缩小。</w:t>
      </w:r>
      <w:r>
        <w:rPr>
          <w:rFonts w:hint="eastAsia" w:ascii="宋体" w:hAnsi="宋体" w:eastAsia="宋体" w:cs="宋体"/>
          <w:kern w:val="10"/>
          <w:szCs w:val="21"/>
        </w:rPr>
        <w:t>同一时期，新中国也进行了比其他国家更多的经济发展探索，犯了不少错误，因而也有许多经济教训，这需要正确地总结和对待。</w:t>
      </w:r>
    </w:p>
    <w:p w14:paraId="6D8FBFD9">
      <w:pPr>
        <w:autoSpaceDE w:val="0"/>
        <w:autoSpaceDN w:val="0"/>
        <w:spacing w:line="360" w:lineRule="auto"/>
        <w:ind w:firstLine="500" w:firstLineChars="200"/>
        <w:jc w:val="center"/>
        <w:rPr>
          <w:rFonts w:ascii="宋体" w:hAnsi="宋体" w:eastAsia="宋体"/>
          <w:b/>
          <w:bCs/>
          <w:sz w:val="24"/>
          <w:szCs w:val="28"/>
        </w:rPr>
      </w:pPr>
      <w:r>
        <w:rPr>
          <w:rFonts w:hint="eastAsia" w:ascii="宋体" w:hAnsi="宋体" w:eastAsia="宋体"/>
          <w:b/>
          <w:bCs/>
          <w:sz w:val="24"/>
          <w:szCs w:val="28"/>
        </w:rPr>
        <w:t>二、改革开放的缘由和又快又好的绩效</w:t>
      </w:r>
    </w:p>
    <w:p w14:paraId="36FC915E">
      <w:pPr>
        <w:spacing w:line="400" w:lineRule="exact"/>
        <w:ind w:firstLine="440" w:firstLineChars="200"/>
        <w:rPr>
          <w:rFonts w:ascii="宋体" w:hAnsi="宋体" w:eastAsia="宋体" w:cs="宋体"/>
          <w:szCs w:val="21"/>
        </w:rPr>
      </w:pPr>
      <w:r>
        <w:rPr>
          <w:rFonts w:hint="eastAsia" w:ascii="宋体" w:hAnsi="宋体" w:eastAsia="宋体" w:cs="宋体"/>
          <w:kern w:val="0"/>
          <w:szCs w:val="21"/>
        </w:rPr>
        <w:t>改革开放前30年中国在经济社会发展上所发生的问题同资本主义不能相提并论。当时中国个别年份的失误和下降不过是发展中曲折的表现，从来都不是陷入无路可走状况或不能解决的矛盾中。如果把中国改革开放前30年在经济社会发展上出现的问题称为“失败”的话，那么，19世纪以来资本主义市场经济周期性反复发生的严重问题岂不是更加失败？</w:t>
      </w:r>
      <w:r>
        <w:rPr>
          <w:rFonts w:hint="eastAsia" w:ascii="宋体" w:hAnsi="宋体" w:eastAsia="宋体" w:cs="宋体"/>
          <w:szCs w:val="21"/>
        </w:rPr>
        <w:t>历史已经充分证明，中国选择社会主义没有错，建设社会主义也是富有成效的。然而，中国人民是有高深智慧和高远志气的，对于经济社会发展业绩好于绝大多数私有制国家并不满足。究竟是哪些原因致使我国改革开放前30年发展没有全面超过一切资本主义国家的发展而要进行改革呢？其主要原因应该归结为两条：</w:t>
      </w:r>
      <w:r>
        <w:rPr>
          <w:rFonts w:ascii="宋体" w:hAnsi="宋体" w:eastAsia="宋体" w:cs="宋体"/>
          <w:szCs w:val="21"/>
          <w:vertAlign w:val="superscript"/>
        </w:rPr>
        <w:footnoteReference w:id="402"/>
      </w:r>
    </w:p>
    <w:p w14:paraId="1212120C">
      <w:pPr>
        <w:spacing w:line="400" w:lineRule="exact"/>
        <w:ind w:firstLine="440" w:firstLineChars="200"/>
        <w:rPr>
          <w:rFonts w:ascii="宋体" w:hAnsi="宋体" w:eastAsia="宋体" w:cs="宋体"/>
          <w:szCs w:val="21"/>
        </w:rPr>
      </w:pPr>
      <w:r>
        <w:rPr>
          <w:rFonts w:hint="eastAsia" w:ascii="宋体" w:hAnsi="宋体" w:eastAsia="宋体" w:cs="宋体"/>
          <w:szCs w:val="21"/>
        </w:rPr>
        <w:t>一是体制因素。资产的社会主义公有制和由此决定的按劳分配，是社会主义最基本的经济制度，这一制度本身具有的潜力和优势比私产制大得多。可是，在传统的经济管理体制下，经济制度优越性的内生机制作用没有获得充分发挥，其推动生产和科技进步的潜能未能完全被释放。所以，必须改革高度集权式的计划产品经济体制，塑造公有制为主体的市场经济体制，以适应现代人的素质（尤其是领导者的管理愿望和能力）和生产力的要求。一旦新型社会主义初级公有制与国家主导型市场机制有机地结合起来，整个国民经济必将全面超过一切私产制国家的发展速度。30年尚未完全到位的改革开放实践，已经有力地证明这一点。</w:t>
      </w:r>
    </w:p>
    <w:p w14:paraId="577AE786">
      <w:pPr>
        <w:spacing w:line="400" w:lineRule="exact"/>
        <w:ind w:firstLine="440" w:firstLineChars="200"/>
        <w:rPr>
          <w:rFonts w:ascii="宋体" w:hAnsi="宋体" w:eastAsia="宋体" w:cs="宋体"/>
          <w:szCs w:val="21"/>
        </w:rPr>
      </w:pPr>
      <w:r>
        <w:rPr>
          <w:rFonts w:hint="eastAsia" w:ascii="宋体" w:hAnsi="宋体" w:eastAsia="宋体" w:cs="宋体"/>
          <w:szCs w:val="21"/>
        </w:rPr>
        <w:t>二是人口因素。社会主义公有制效率优势的实现程度，既取决于具体体制的相对优劣，也取决于人口、资源、原有基础和国际环境等状况的好坏。建国60年，尤其是近十几年来，我国社会生产力、综合国力和人民生活均有很大的提高。我国经济和社会发展的速度与质量并不慢，但人均经济水平和人均国力没有较快的增长，仍处于世界中下地位，其根本原因是人口增加太快。有学者以我国建国40年时的情况为例说明：40年间净增近6亿人口，相当于美国人口的2.5倍多。据估算，6亿人口在成年之前的生活费需36900亿元，超过40年全民所有制新增固定资产（15619亿元）的一倍多。</w:t>
      </w:r>
      <w:r>
        <w:rPr>
          <w:rFonts w:ascii="宋体" w:hAnsi="宋体" w:eastAsia="宋体" w:cs="宋体"/>
          <w:szCs w:val="21"/>
          <w:vertAlign w:val="superscript"/>
        </w:rPr>
        <w:footnoteReference w:id="403"/>
      </w:r>
      <w:r>
        <w:rPr>
          <w:rFonts w:hint="eastAsia" w:ascii="宋体" w:hAnsi="宋体" w:eastAsia="宋体" w:cs="宋体"/>
          <w:szCs w:val="21"/>
        </w:rPr>
        <w:t>如果中国人口像美国等发达国家那样基本稳定，人均国民经济发展和生活消费的水平将呈现另一番更新的景像。所以，我国必须坚定不移地继续推行“控制人口数量、提高人口质量”的基本国策，并争取在百年左右使人口总数回减至7亿之内。遗憾的是，美国领导层出于不可告人的政治经济目的，极力反对中国实行计划生育；有人撇开现代人口经济学和生态经济学的基本常识，以香港、日本个别例子和特殊情况以及“没有兄弟姊妹的社会”是“恐怖”的为论据，也反对“一家一孩的政策”。事实明摆着，中国不逐步减轻人口压力的制约及由此带来的一系列负效应，即使社会主义基本制度和体制是十分完善的，人均国力也不可能在一、二百年左右赶上最发达的私有制国家。</w:t>
      </w:r>
    </w:p>
    <w:p w14:paraId="3B6F25BA">
      <w:pPr>
        <w:spacing w:line="400" w:lineRule="exact"/>
        <w:ind w:firstLine="440" w:firstLineChars="200"/>
        <w:rPr>
          <w:rFonts w:ascii="宋体" w:hAnsi="宋体" w:eastAsia="宋体" w:cs="宋体"/>
          <w:szCs w:val="21"/>
        </w:rPr>
      </w:pPr>
      <w:r>
        <w:rPr>
          <w:rFonts w:hint="eastAsia" w:ascii="宋体" w:hAnsi="宋体" w:eastAsia="宋体" w:cs="宋体"/>
          <w:szCs w:val="21"/>
        </w:rPr>
        <w:t>另外，还要看到:第一，西方发达国家比现在的中国富裕是历史上形成的。旧中国的贫困正是帝国主义侵略和封建主义、官僚资本主义剥削与统治的结果。第二，西方各国原始积累过程十分残酷，不少发达国家都是对外发起侵略战争，通过新老殖民主义和霸权主义，非法或合法地大肆掠夺别国财富和世界资源。美国现在来自国外的收入占其财富总量的一半左右。第三，资本主义国家主要保证的是少数人发财，社会财富和收入的贫富差距巨大，贫困和饥饿人口。就美国而言，它是19世纪末以来世界上最大的“暴发户”，其历史机遇、可利用因素及致富途径来说，是任何一个国家都无可比拟的:较少的人口拥有特别丰富的资源；在两次世界大战中发了横财;靠发行美元等经济手段使用世界资源和获取别国财富；利用经济和科技上的“马太效应”和移民政策，千方百计地把别国的科技精英集中于美国。</w:t>
      </w:r>
    </w:p>
    <w:p w14:paraId="6455EFB7">
      <w:pPr>
        <w:spacing w:line="400" w:lineRule="exact"/>
        <w:ind w:firstLine="440" w:firstLineChars="200"/>
        <w:rPr>
          <w:rFonts w:ascii="宋体" w:hAnsi="宋体" w:eastAsia="宋体" w:cs="宋体"/>
          <w:kern w:val="10"/>
          <w:szCs w:val="21"/>
        </w:rPr>
      </w:pPr>
      <w:r>
        <w:rPr>
          <w:rFonts w:hint="eastAsia" w:ascii="宋体" w:hAnsi="宋体" w:eastAsia="宋体" w:cs="宋体"/>
          <w:kern w:val="10"/>
          <w:szCs w:val="21"/>
        </w:rPr>
        <w:t>所以，正确的结论应该是：我国进行改革开放，实行社会主义市场经济体制，基本目的在于追求比传统社会主义计划经济体制更高的效率，计划经济功成身退，市场经济继往开来，“我们的改革是为了好上加好”</w:t>
      </w:r>
      <w:r>
        <w:rPr>
          <w:rFonts w:ascii="宋体" w:hAnsi="宋体" w:eastAsia="宋体" w:cs="宋体"/>
          <w:kern w:val="10"/>
          <w:szCs w:val="21"/>
          <w:vertAlign w:val="superscript"/>
        </w:rPr>
        <w:footnoteReference w:id="404"/>
      </w:r>
      <w:r>
        <w:rPr>
          <w:rFonts w:hint="eastAsia" w:ascii="宋体" w:hAnsi="宋体" w:eastAsia="宋体" w:cs="宋体"/>
          <w:kern w:val="10"/>
          <w:szCs w:val="21"/>
        </w:rPr>
        <w:t>，是为了达到在现实条件约束下所能达到的最理想效率状态。至于传统体制下存在的资源高消耗、生活水平提高较慢等问题，部分同资本主义国家经济封锁、人口增长太快、科技基础较差、外援和备战较多等因素有关，并非都是体制问题。我们不能违反实证分析，通过有意贬低过去的绩效来论证改革的必要性，这是极不明智的。</w:t>
      </w:r>
    </w:p>
    <w:p w14:paraId="01DDD557">
      <w:pPr>
        <w:spacing w:line="400" w:lineRule="exact"/>
        <w:ind w:firstLine="440" w:firstLineChars="200"/>
        <w:rPr>
          <w:rFonts w:ascii="宋体" w:hAnsi="宋体" w:eastAsia="宋体" w:cs="宋体"/>
          <w:szCs w:val="21"/>
        </w:rPr>
      </w:pPr>
      <w:r>
        <w:rPr>
          <w:rFonts w:hint="eastAsia" w:ascii="宋体" w:hAnsi="宋体" w:eastAsia="宋体" w:cs="宋体"/>
          <w:szCs w:val="21"/>
        </w:rPr>
        <w:t>事实表明，改革开放以来的30年间，中国国民经济更是高速腾飞，年均GDP增速约为9.8%，远远高于同时期世界经济平均3%左右的增长速度，达到同期世界第一，大大超过德、日、美等国在其崛起甚至“黄金时期”的速度，现在国民经济总量已经超过德国跃升至世界第三，明年将超过日本。我国人均收入现已超过2000美元，增长了约9倍，农村贫困人口由2.5亿减少到1400万人，人民生活实现了由温饱到总体小康的历史性跨越。世界第二大贸易国、外汇储备世界第一位、“神州”系列载人宇宙飞船发射成功、“嫦娥”探月工程取得成功、2008年北京奥运会举办成功等等，标志着我国综合国力和国际地位也居于世界前列。与此同时，我国在民主政治、文化、社会建设等方面也都取得显著成就。即使不谈1929-1933年资本主义大危机，二战以来或冷战结束以来，西方国家每过几年或十几年就会发生经济衰退或经济危机，包括上世纪70年代的“滞涨”、目前正在全球愈演愈烈的源自美国金融危机和经济危机，以及广大资本主义国家为了应对本次危机而掀起的又一轮规模巨大的国有化浪潮，表明新自由主义和社会民主主义的失灵，更使中国特色社会主义作为一种人类文明新模式，在对比中散发出更加耀眼的理想光芒。</w:t>
      </w:r>
    </w:p>
    <w:p w14:paraId="359A6FCB">
      <w:pPr>
        <w:spacing w:line="400" w:lineRule="exact"/>
        <w:ind w:firstLine="440" w:firstLineChars="200"/>
        <w:rPr>
          <w:rFonts w:ascii="宋体" w:hAnsi="宋体" w:eastAsia="宋体" w:cs="宋体"/>
          <w:kern w:val="10"/>
          <w:szCs w:val="21"/>
        </w:rPr>
      </w:pPr>
    </w:p>
    <w:p w14:paraId="5197C333">
      <w:pPr>
        <w:snapToGrid w:val="0"/>
        <w:spacing w:line="400" w:lineRule="exact"/>
        <w:ind w:firstLine="440" w:firstLineChars="200"/>
        <w:rPr>
          <w:rFonts w:ascii="宋体" w:hAnsi="宋体" w:eastAsia="宋体" w:cs="宋体"/>
          <w:b/>
          <w:szCs w:val="21"/>
        </w:rPr>
      </w:pPr>
      <w:r>
        <w:rPr>
          <w:rFonts w:hint="eastAsia" w:ascii="宋体" w:hAnsi="宋体" w:eastAsia="宋体" w:cs="宋体"/>
          <w:b/>
          <w:szCs w:val="21"/>
        </w:rPr>
        <w:t>参考文献：</w:t>
      </w:r>
    </w:p>
    <w:p w14:paraId="1F64677E">
      <w:pPr>
        <w:snapToGrid w:val="0"/>
        <w:spacing w:line="400" w:lineRule="exact"/>
        <w:ind w:firstLine="380" w:firstLineChars="200"/>
        <w:rPr>
          <w:rFonts w:ascii="宋体" w:hAnsi="宋体" w:eastAsia="宋体" w:cs="宋体"/>
          <w:sz w:val="18"/>
          <w:szCs w:val="18"/>
        </w:rPr>
      </w:pPr>
      <w:r>
        <w:rPr>
          <w:rFonts w:hint="eastAsia" w:ascii="宋体" w:hAnsi="宋体" w:eastAsia="宋体" w:cs="宋体"/>
          <w:sz w:val="18"/>
          <w:szCs w:val="18"/>
        </w:rPr>
        <w:t>1、</w:t>
      </w:r>
      <w:r>
        <w:rPr>
          <w:rFonts w:hint="eastAsia" w:ascii="宋体" w:hAnsi="宋体" w:eastAsia="宋体" w:cs="宋体"/>
          <w:kern w:val="10"/>
          <w:sz w:val="18"/>
          <w:szCs w:val="18"/>
        </w:rPr>
        <w:t>董金明：《</w:t>
      </w:r>
      <w:r>
        <w:rPr>
          <w:rFonts w:hint="eastAsia" w:ascii="宋体" w:hAnsi="宋体" w:eastAsia="宋体" w:cs="宋体"/>
          <w:sz w:val="18"/>
          <w:szCs w:val="18"/>
        </w:rPr>
        <w:t>毛泽东时代中国经济发展的绩效及现实启示</w:t>
      </w:r>
      <w:r>
        <w:rPr>
          <w:rFonts w:hint="eastAsia" w:ascii="宋体" w:hAnsi="宋体" w:eastAsia="宋体" w:cs="宋体"/>
          <w:kern w:val="10"/>
          <w:sz w:val="18"/>
          <w:szCs w:val="18"/>
        </w:rPr>
        <w:t>》，《海派经济学（季刊）》，上海财经大学出版社2005年第9辑。</w:t>
      </w:r>
    </w:p>
    <w:p w14:paraId="32C3DFE6">
      <w:pPr>
        <w:spacing w:line="400" w:lineRule="exact"/>
        <w:ind w:firstLine="380" w:firstLineChars="200"/>
        <w:rPr>
          <w:rFonts w:ascii="宋体" w:hAnsi="宋体" w:eastAsia="宋体" w:cs="宋体"/>
          <w:kern w:val="10"/>
          <w:sz w:val="18"/>
          <w:szCs w:val="18"/>
        </w:rPr>
      </w:pPr>
      <w:r>
        <w:rPr>
          <w:rFonts w:hint="eastAsia" w:ascii="宋体" w:hAnsi="宋体" w:eastAsia="宋体" w:cs="宋体"/>
          <w:sz w:val="18"/>
          <w:szCs w:val="18"/>
        </w:rPr>
        <w:t>2、</w:t>
      </w:r>
      <w:r>
        <w:rPr>
          <w:rFonts w:hint="eastAsia" w:ascii="宋体" w:hAnsi="宋体" w:eastAsia="宋体" w:cs="宋体"/>
          <w:kern w:val="10"/>
          <w:sz w:val="18"/>
          <w:szCs w:val="18"/>
        </w:rPr>
        <w:t>程恩富：《西方产权理论评析》，当代中国出版社，1997年版。</w:t>
      </w:r>
    </w:p>
    <w:p w14:paraId="6B1A5F1A">
      <w:pPr>
        <w:snapToGrid w:val="0"/>
        <w:spacing w:line="400" w:lineRule="exact"/>
        <w:ind w:firstLine="380" w:firstLineChars="200"/>
        <w:rPr>
          <w:rFonts w:ascii="宋体" w:hAnsi="宋体" w:eastAsia="宋体" w:cs="宋体"/>
          <w:sz w:val="18"/>
          <w:szCs w:val="18"/>
        </w:rPr>
      </w:pPr>
      <w:r>
        <w:rPr>
          <w:rFonts w:hint="eastAsia" w:ascii="宋体" w:hAnsi="宋体" w:eastAsia="宋体" w:cs="宋体"/>
          <w:sz w:val="18"/>
          <w:szCs w:val="18"/>
        </w:rPr>
        <w:t>3、杨承训、张新宁:《中国道路与发达资本主义国家比较研究》，载《学习论坛》2004年第11期。</w:t>
      </w:r>
    </w:p>
    <w:p w14:paraId="690538DA">
      <w:pPr>
        <w:spacing w:line="400" w:lineRule="exact"/>
        <w:ind w:firstLine="500" w:firstLineChars="200"/>
        <w:rPr>
          <w:rFonts w:ascii="宋体" w:hAnsi="宋体" w:eastAsia="宋体"/>
          <w:sz w:val="24"/>
        </w:rPr>
      </w:pPr>
    </w:p>
    <w:p w14:paraId="5F26E4C1">
      <w:pPr>
        <w:spacing w:line="400" w:lineRule="exact"/>
        <w:ind w:firstLine="440" w:firstLineChars="200"/>
        <w:rPr>
          <w:rFonts w:ascii="宋体" w:hAnsi="宋体" w:eastAsia="宋体" w:cs="Times New Roman"/>
          <w:sz w:val="32"/>
          <w:szCs w:val="24"/>
        </w:rPr>
      </w:pPr>
      <w:r>
        <w:rPr>
          <w:rFonts w:hint="eastAsia" w:ascii="宋体" w:hAnsi="宋体" w:eastAsia="宋体"/>
        </w:rPr>
        <w:t xml:space="preserve">       （原载中国社科院《中直党建》2009年第12期）</w:t>
      </w:r>
    </w:p>
    <w:p w14:paraId="79591A24">
      <w:pPr>
        <w:spacing w:line="400" w:lineRule="exact"/>
        <w:ind w:firstLine="440" w:firstLineChars="200"/>
        <w:rPr>
          <w:rFonts w:ascii="宋体" w:hAnsi="宋体" w:eastAsia="宋体"/>
        </w:rPr>
      </w:pPr>
    </w:p>
    <w:p w14:paraId="00A96A93">
      <w:pPr>
        <w:keepNext w:val="0"/>
        <w:keepLines w:val="0"/>
        <w:pageBreakBefore w:val="0"/>
        <w:widowControl w:val="0"/>
        <w:tabs>
          <w:tab w:val="left" w:pos="6120"/>
        </w:tabs>
        <w:kinsoku/>
        <w:wordWrap/>
        <w:overflowPunct/>
        <w:topLinePunct w:val="0"/>
        <w:autoSpaceDE/>
        <w:autoSpaceDN/>
        <w:bidi w:val="0"/>
        <w:adjustRightInd/>
        <w:snapToGrid/>
        <w:ind w:left="0" w:right="0" w:firstLine="363"/>
        <w:jc w:val="center"/>
        <w:textAlignment w:val="auto"/>
        <w:outlineLvl w:val="1"/>
        <w:rPr>
          <w:rFonts w:eastAsia="宋体" w:cs="Times New Roman"/>
          <w:b/>
          <w:color w:val="000000"/>
          <w:sz w:val="28"/>
          <w:szCs w:val="28"/>
        </w:rPr>
      </w:pPr>
      <w:bookmarkStart w:id="1071" w:name="_Toc3903"/>
      <w:bookmarkStart w:id="1072" w:name="_Toc1180692294"/>
      <w:bookmarkStart w:id="1073" w:name="_Toc472410450"/>
      <w:r>
        <w:rPr>
          <w:rFonts w:hint="eastAsia" w:eastAsia="宋体" w:cs="Times New Roman"/>
          <w:b/>
          <w:color w:val="000000"/>
          <w:sz w:val="28"/>
          <w:szCs w:val="28"/>
          <w:lang w:val="en-US" w:eastAsia="zh-CN"/>
        </w:rPr>
        <w:t>16</w:t>
      </w:r>
      <w:r>
        <w:rPr>
          <w:rFonts w:hint="eastAsia" w:eastAsia="宋体" w:cs="Times New Roman"/>
          <w:b/>
          <w:color w:val="000000"/>
          <w:sz w:val="28"/>
          <w:szCs w:val="28"/>
        </w:rPr>
        <w:t>论推进中国经济学现代化的学术原则  ——主析“马学”、“西学”与“国学”之关系</w:t>
      </w:r>
      <w:bookmarkEnd w:id="1071"/>
      <w:bookmarkEnd w:id="1072"/>
      <w:bookmarkEnd w:id="1073"/>
    </w:p>
    <w:p w14:paraId="5E67E0B8">
      <w:pPr>
        <w:ind w:firstLine="360"/>
        <w:jc w:val="center"/>
        <w:rPr>
          <w:rFonts w:eastAsia="宋体" w:cs="Times New Roman"/>
          <w:b/>
          <w:color w:val="000000"/>
          <w:sz w:val="21"/>
          <w:szCs w:val="21"/>
        </w:rPr>
      </w:pPr>
    </w:p>
    <w:p w14:paraId="3DFBD65A">
      <w:pPr>
        <w:ind w:firstLine="360"/>
        <w:jc w:val="center"/>
        <w:rPr>
          <w:rFonts w:eastAsia="宋体" w:cs="Times New Roman"/>
          <w:b/>
          <w:color w:val="000000"/>
          <w:sz w:val="21"/>
          <w:szCs w:val="21"/>
        </w:rPr>
      </w:pPr>
      <w:r>
        <w:rPr>
          <w:rFonts w:hint="eastAsia" w:eastAsia="宋体" w:cs="Times New Roman"/>
          <w:b/>
          <w:color w:val="000000"/>
          <w:sz w:val="21"/>
          <w:szCs w:val="21"/>
        </w:rPr>
        <w:t>一、问题的提出</w:t>
      </w:r>
    </w:p>
    <w:p w14:paraId="7C3D98A9">
      <w:pPr>
        <w:ind w:firstLine="360"/>
        <w:rPr>
          <w:rFonts w:eastAsia="宋体" w:cs="Times New Roman"/>
          <w:color w:val="000000"/>
          <w:sz w:val="21"/>
          <w:szCs w:val="21"/>
        </w:rPr>
      </w:pPr>
      <w:r>
        <w:rPr>
          <w:rFonts w:hint="eastAsia" w:eastAsia="宋体" w:cs="Times New Roman"/>
          <w:color w:val="000000"/>
          <w:sz w:val="21"/>
          <w:szCs w:val="21"/>
        </w:rPr>
        <w:t>1994 年初，程恩富在《21 世纪：重建中国经济学》</w:t>
      </w:r>
      <w:r>
        <w:rPr>
          <w:rFonts w:eastAsia="宋体" w:cs="Times New Roman"/>
          <w:color w:val="000000"/>
          <w:sz w:val="21"/>
          <w:szCs w:val="21"/>
          <w:vertAlign w:val="superscript"/>
        </w:rPr>
        <w:footnoteReference w:id="405"/>
      </w:r>
      <w:r>
        <w:rPr>
          <w:rFonts w:hint="eastAsia" w:eastAsia="宋体" w:cs="Times New Roman"/>
          <w:color w:val="000000"/>
          <w:sz w:val="21"/>
          <w:szCs w:val="21"/>
        </w:rPr>
        <w:t>一文中曾对中国经济学的发展阶段和前景作了总体判断，引起连锁反响。关于“中国经济学向何处去”</w:t>
      </w:r>
      <w:r>
        <w:rPr>
          <w:rFonts w:eastAsia="宋体" w:cs="Times New Roman"/>
          <w:color w:val="000000"/>
          <w:sz w:val="21"/>
          <w:szCs w:val="21"/>
          <w:vertAlign w:val="superscript"/>
        </w:rPr>
        <w:footnoteReference w:id="406"/>
      </w:r>
      <w:r>
        <w:rPr>
          <w:rFonts w:hint="eastAsia" w:eastAsia="宋体" w:cs="Times New Roman"/>
          <w:color w:val="000000"/>
          <w:sz w:val="21"/>
          <w:szCs w:val="21"/>
        </w:rPr>
        <w:t>，一直是经济理论界的热门话题。后来，这个话题又由一些学者以如何推进中国经济学的“国际化”、如何推进“现代经济学的本土化”等形式提了出来。</w:t>
      </w:r>
      <w:r>
        <w:rPr>
          <w:rFonts w:eastAsia="宋体" w:cs="Times New Roman"/>
          <w:color w:val="000000"/>
          <w:sz w:val="21"/>
          <w:szCs w:val="21"/>
          <w:vertAlign w:val="superscript"/>
        </w:rPr>
        <w:footnoteReference w:id="407"/>
      </w:r>
      <w:r>
        <w:rPr>
          <w:rFonts w:hint="eastAsia" w:eastAsia="宋体" w:cs="Times New Roman"/>
          <w:color w:val="000000"/>
          <w:sz w:val="21"/>
          <w:szCs w:val="21"/>
        </w:rPr>
        <w:t>在上述问题引导下，目前理论界流行诸如“西方经济学本土化”、“西方经济学中国化”、“中国经济学必须西方化或国际化”、“经济学要与国际接轨”、“西方经济学是现代经济学和建设经济学、马克思经济学是批判经济学或破坏经济学”、“西方经济学是发展市场经济的科学基础”、 “政治经济学是意识形态而非学术”、“马克思主义经济学被西方经济学取代是改革方向”、“中国经济学的国际化只有先从组织上让非马克思主义的‘海归’执掌院校”之类的解答。这是值得商榷的。</w:t>
      </w:r>
    </w:p>
    <w:p w14:paraId="19157588">
      <w:pPr>
        <w:ind w:firstLine="360"/>
        <w:rPr>
          <w:rFonts w:eastAsia="宋体" w:cs="Times New Roman"/>
          <w:color w:val="000000"/>
          <w:sz w:val="21"/>
          <w:szCs w:val="21"/>
        </w:rPr>
      </w:pPr>
      <w:r>
        <w:rPr>
          <w:rFonts w:hint="eastAsia" w:eastAsia="宋体" w:cs="Times New Roman"/>
          <w:color w:val="000000"/>
          <w:sz w:val="21"/>
          <w:szCs w:val="21"/>
        </w:rPr>
        <w:t>从科学创新的角度来看，提出问题是先导，但是，问题本身必须反映客观事实的内在矛盾和发展要求。从思维主体对客体事物的反作用来看，倘若提出的问题只是反映了事实的表面矛盾，或者只是反映了事物的假象显示的矛盾，那只能对人们的思维起误导作用。只有反映了客观事实的内在矛盾和发展要求的问题，才能真正引导人们正确认识事物的本质和表象，从而达到正确地改造事物和实现主体价值目标的作用。</w:t>
      </w:r>
    </w:p>
    <w:p w14:paraId="5DB1967F">
      <w:pPr>
        <w:ind w:firstLine="360"/>
        <w:rPr>
          <w:rFonts w:eastAsia="宋体" w:cs="Times New Roman"/>
          <w:color w:val="000000"/>
          <w:sz w:val="21"/>
          <w:szCs w:val="21"/>
        </w:rPr>
      </w:pPr>
      <w:r>
        <w:rPr>
          <w:rFonts w:hint="eastAsia" w:eastAsia="宋体" w:cs="Times New Roman"/>
          <w:color w:val="000000"/>
          <w:sz w:val="21"/>
          <w:szCs w:val="21"/>
        </w:rPr>
        <w:t>中国自1956 年完成了属于社会主义准备阶段的新民主主义革命以来，便已经处于社会主义社会初级阶段，并逐步形成马克思主义指导下的包括经济学在内的中国特色社会主义文化。中国经济学作为应当科学地揭示当代中国经济运行和发展规律的重要理论，必须适应当代国际经济环境对中国社会主义经济提出的挑战，必须适应中国社会主义初级阶段的经济科学发展的要求。因而，对于中国经济学发展趋势的正确提问，就决不是如何与现代西方经济学的接轨、使现代西方经济学“本土化”的问题，而应当是如何在唯物史观的指导下，推进中国经济学在科学轨道上实现现代化的问题。进一步说，也就是我国的经济学教学和研究如何适应现代社会主义市场经济和趋向社会主义的经济全球化的科学发展的需要，实现马克思主义经济学在中国的现代化和具体化的问题。</w:t>
      </w:r>
    </w:p>
    <w:p w14:paraId="4B4D61DC">
      <w:pPr>
        <w:ind w:firstLine="360"/>
        <w:rPr>
          <w:rFonts w:eastAsia="宋体" w:cs="Times New Roman"/>
          <w:color w:val="000000"/>
          <w:sz w:val="21"/>
          <w:szCs w:val="21"/>
        </w:rPr>
      </w:pPr>
      <w:r>
        <w:rPr>
          <w:rFonts w:hint="eastAsia" w:eastAsia="宋体" w:cs="Times New Roman"/>
          <w:color w:val="000000"/>
          <w:sz w:val="21"/>
          <w:szCs w:val="21"/>
        </w:rPr>
        <w:t>“问题和解决问题的手段同时产生。”</w:t>
      </w:r>
      <w:r>
        <w:rPr>
          <w:rFonts w:eastAsia="宋体" w:cs="Times New Roman"/>
          <w:color w:val="000000"/>
          <w:sz w:val="21"/>
          <w:szCs w:val="21"/>
          <w:vertAlign w:val="superscript"/>
        </w:rPr>
        <w:footnoteReference w:id="408"/>
      </w:r>
      <w:r>
        <w:rPr>
          <w:rFonts w:hint="eastAsia" w:eastAsia="宋体" w:cs="Times New Roman"/>
          <w:color w:val="000000"/>
          <w:sz w:val="21"/>
          <w:szCs w:val="21"/>
        </w:rPr>
        <w:t>分析如何推进中国经济学现代化这个问题涉及方方面面，我们认为，就解决这个问题的基本方针和原则而言（可能总体上适合整个哲学社会科学），可以扼要地概括为：“马学为体、西学为用、国学为根，世情为鉴、国情为据，综合创新”。这里，“马学为体、西学为用”的用语，是对中国清朝末年洋务派官僚张之洞的所谓“中学为体，西学为用”这种表述在形式上的借用和内容上的创新。</w:t>
      </w:r>
      <w:r>
        <w:rPr>
          <w:rFonts w:eastAsia="宋体" w:cs="Times New Roman"/>
          <w:color w:val="000000"/>
          <w:sz w:val="21"/>
          <w:szCs w:val="21"/>
          <w:vertAlign w:val="superscript"/>
        </w:rPr>
        <w:footnoteReference w:id="409"/>
      </w:r>
      <w:r>
        <w:rPr>
          <w:rFonts w:hint="eastAsia" w:eastAsia="宋体" w:cs="Times New Roman"/>
          <w:color w:val="000000"/>
          <w:sz w:val="21"/>
          <w:szCs w:val="21"/>
        </w:rPr>
        <w:t>下面将较为详细地阐述我们对上述基本原则的一些看法，以期理论界展开研讨。</w:t>
      </w:r>
    </w:p>
    <w:p w14:paraId="382F35ED">
      <w:pPr>
        <w:ind w:firstLine="360"/>
        <w:jc w:val="center"/>
        <w:rPr>
          <w:rFonts w:eastAsia="宋体" w:cs="Times New Roman"/>
          <w:b/>
          <w:color w:val="000000"/>
          <w:sz w:val="21"/>
          <w:szCs w:val="21"/>
        </w:rPr>
      </w:pPr>
      <w:r>
        <w:rPr>
          <w:rFonts w:hint="eastAsia" w:eastAsia="宋体" w:cs="Times New Roman"/>
          <w:b/>
          <w:color w:val="000000"/>
          <w:sz w:val="21"/>
          <w:szCs w:val="21"/>
        </w:rPr>
        <w:t>二、“马学为体”</w:t>
      </w:r>
    </w:p>
    <w:p w14:paraId="2C8A4E41">
      <w:pPr>
        <w:ind w:firstLine="360"/>
        <w:rPr>
          <w:rFonts w:eastAsia="宋体" w:cs="Times New Roman"/>
          <w:color w:val="000000"/>
          <w:sz w:val="21"/>
          <w:szCs w:val="21"/>
        </w:rPr>
      </w:pPr>
      <w:r>
        <w:rPr>
          <w:rFonts w:hint="eastAsia" w:eastAsia="宋体" w:cs="Times New Roman"/>
          <w:color w:val="000000"/>
          <w:sz w:val="21"/>
          <w:szCs w:val="21"/>
        </w:rPr>
        <w:t>“马学”是指中外马克思主义知识体系。这里的“马学”，指的是中外马克思主义经济知识体系。它是在唯物史观和唯物辩证法指导下形成的内容极为丰富的中外马克思主义经济思想，包含19世纪中期以来马克思创作的《资本论》及其继承、丰富和拓展的经济学方法和理论。“体”，在中国古代哲学语言中具有“根本的、内在的”含义。</w:t>
      </w:r>
      <w:r>
        <w:rPr>
          <w:rFonts w:eastAsia="宋体" w:cs="Times New Roman"/>
          <w:color w:val="000000"/>
          <w:sz w:val="21"/>
          <w:szCs w:val="21"/>
          <w:vertAlign w:val="superscript"/>
        </w:rPr>
        <w:footnoteReference w:id="410"/>
      </w:r>
      <w:r>
        <w:rPr>
          <w:rFonts w:hint="eastAsia" w:eastAsia="宋体" w:cs="Times New Roman"/>
          <w:color w:val="000000"/>
          <w:sz w:val="21"/>
          <w:szCs w:val="21"/>
        </w:rPr>
        <w:t>强调中国经济学现代化必须坚持“马学为体”，就是要始终坚持马克思主义经济学是中国现代经济学的根本和主导。这就是说，中国经济学的现代化，在研究方向上，必须始终毫不动摇地坚持唯物史观和唯物辩证法的指引，“沿着马克思的理论的道路前进”</w:t>
      </w:r>
      <w:r>
        <w:rPr>
          <w:rFonts w:eastAsia="宋体" w:cs="Times New Roman"/>
          <w:color w:val="000000"/>
          <w:sz w:val="21"/>
          <w:szCs w:val="21"/>
          <w:vertAlign w:val="superscript"/>
        </w:rPr>
        <w:footnoteReference w:id="411"/>
      </w:r>
      <w:r>
        <w:rPr>
          <w:rFonts w:hint="eastAsia" w:eastAsia="宋体" w:cs="Times New Roman"/>
          <w:color w:val="000000"/>
          <w:sz w:val="21"/>
          <w:szCs w:val="21"/>
        </w:rPr>
        <w:t>；在内容上，必须毫不动摇地以马克思主义经济学知识体系中的基本范畴、科学原理为主体，面对新的历史条件进行拓展和创新；在处理中外多元经济思想的关系上，必须毫不动摇地坚持马克思主义经济学的指导地位。“马学为体”是中国经济学现代化必须强调的根本原则。一旦偏离这一原则，理论创新将难以为继，经济学的现代化将偏离科学化的轨道。必须充分认识，中国经济学的现代化，绝不是一个简单的时空发展概念，而是在时空发展中的不断科学化的过程。只有“马学为体”，才能保证实现中国经济学的现代化创新始终沿着科学的轨道前进。</w:t>
      </w:r>
    </w:p>
    <w:p w14:paraId="4EA04EBB">
      <w:pPr>
        <w:ind w:firstLine="360"/>
        <w:rPr>
          <w:rFonts w:eastAsia="宋体" w:cs="Times New Roman"/>
          <w:color w:val="000000"/>
          <w:sz w:val="21"/>
          <w:szCs w:val="21"/>
        </w:rPr>
      </w:pPr>
      <w:r>
        <w:rPr>
          <w:rFonts w:hint="eastAsia" w:eastAsia="宋体" w:cs="Times New Roman"/>
          <w:color w:val="000000"/>
          <w:sz w:val="21"/>
          <w:szCs w:val="21"/>
        </w:rPr>
        <w:t>同任何领域的学科一样，经济学有科学与非科学之分。科学的经济学必定是能够揭示经济现实的内外在机制和发展变化规律，深刻地从本质原因阐明表面经济现象的学说。它必定是能够分清经济现象的真相与假象的学说，从而是能够指导人们遵循客观规律从事经济实践，推动经济的社会形态按其内在规律向前发展的科学。由于经济学研究的现实对象与人们的物质利益关系不可分割地联系在一起，因而只有彻底抛弃为私人及其集团谋利益的狭隘眼界，站在客观公正的立场上，才有可能做到实事求是地反映经济现实的本来面目，使经济学成为科学。显然，只有站在工人阶级立场上的经济学，才有公正无私的可能性；而只有贯彻唯物史观基本思想，才能客观辩证地揭示经济现实的真相。在人类有经济思想以来，能够实现唯物史观科学思想与公正无私的立场相统一的经济学，唯有马克思经济学和后马克思经济学。这就是中国经济学的现代化为何必须“马学为体”的缘由。</w:t>
      </w:r>
    </w:p>
    <w:p w14:paraId="4C6D6F8D">
      <w:pPr>
        <w:ind w:firstLine="360"/>
        <w:rPr>
          <w:rFonts w:eastAsia="宋体" w:cs="Times New Roman"/>
          <w:color w:val="000000"/>
          <w:sz w:val="21"/>
          <w:szCs w:val="21"/>
        </w:rPr>
      </w:pPr>
      <w:r>
        <w:rPr>
          <w:rFonts w:hint="eastAsia" w:eastAsia="宋体" w:cs="Times New Roman"/>
          <w:color w:val="000000"/>
          <w:sz w:val="21"/>
          <w:szCs w:val="21"/>
        </w:rPr>
        <w:t>强调“马学为体”，有必要纠正近些年来流行的一些对马克思主义经济学的认识误区。</w:t>
      </w:r>
    </w:p>
    <w:p w14:paraId="3CFC8062">
      <w:pPr>
        <w:ind w:firstLine="360"/>
        <w:rPr>
          <w:rFonts w:eastAsia="宋体" w:cs="Times New Roman"/>
          <w:color w:val="000000"/>
          <w:sz w:val="21"/>
          <w:szCs w:val="21"/>
        </w:rPr>
      </w:pPr>
      <w:r>
        <w:rPr>
          <w:rFonts w:hint="eastAsia" w:eastAsia="宋体" w:cs="Times New Roman"/>
          <w:color w:val="000000"/>
          <w:sz w:val="21"/>
          <w:szCs w:val="21"/>
        </w:rPr>
        <w:t>——有论著把马克思主义经济学视为与西方经济学各种流派相提并论的一种理论流派。这种观点是幼稚的或抱有宗派主义成见的。事实上，马克思主义经济学是以作出开创性贡献的马克思的名字命名的科学经济思想体系的总称。它是时代和实践的产物，是人类经济科学思想长期发展的硕果。作为人类的科学思想，如果没有马克思这个人物的出现，在历史发展到那个时代，它迟早也会通过别的人物程度不同地生成和发展。正如恩格斯指出的，“如果说马克思发现了唯物史观，那么梯叶里、米涅、基佐以及1850 年以前英国所有的历史编纂学家则表明，人们已经在这方面作过努力，而摩尔根对于同一观点的发现表明，发现这一观点的时机已经成熟了，这一观点必定被发现。”</w:t>
      </w:r>
      <w:r>
        <w:rPr>
          <w:rFonts w:eastAsia="宋体" w:cs="Times New Roman"/>
          <w:color w:val="000000"/>
          <w:sz w:val="21"/>
          <w:szCs w:val="21"/>
          <w:vertAlign w:val="superscript"/>
        </w:rPr>
        <w:footnoteReference w:id="412"/>
      </w:r>
      <w:r>
        <w:rPr>
          <w:rFonts w:hint="eastAsia" w:eastAsia="宋体" w:cs="Times New Roman"/>
          <w:color w:val="000000"/>
          <w:sz w:val="21"/>
          <w:szCs w:val="21"/>
        </w:rPr>
        <w:t>可见，以唯物史观和唯物辩证法作为基本方法的马克思主义经济学，不仅属于工人阶级，而且属于整个人类。当经济实践和认知能力已经使人类具备了科学地反映客观近现代经济运动规律的时候，马克思主义经济学就必然会产生出来，必然随着人类社会经济实践的延续而进一步丰富和发展。</w:t>
      </w:r>
    </w:p>
    <w:p w14:paraId="5955C595">
      <w:pPr>
        <w:ind w:firstLine="360"/>
        <w:rPr>
          <w:rFonts w:eastAsia="宋体" w:cs="Times New Roman"/>
          <w:color w:val="000000"/>
          <w:sz w:val="21"/>
          <w:szCs w:val="21"/>
        </w:rPr>
      </w:pPr>
      <w:r>
        <w:rPr>
          <w:rFonts w:hint="eastAsia" w:eastAsia="宋体" w:cs="Times New Roman"/>
          <w:color w:val="000000"/>
          <w:sz w:val="21"/>
          <w:szCs w:val="21"/>
        </w:rPr>
        <w:t>从经济思想体系的视野来看，应当说，科学经济学的现代化，指的就是马克思主义经济学的现代化。非科学的经济学当然也会在新的历史条件下采取某种现代的形式和内容或者说现代化，但是，形式上的现代式样和部分内容的客观性并不能说明经济学整个知识体系达到了现代历史条件下的科学性。例如，现代西方经济学的数理实证形式似乎很现代，但是并没有跳出近代西方经济学亚当·斯密“利己经济人论”、萨伊“三要素价值论”和马歇尔“均衡方法论”的陈旧观念，其范畴的“核心带”内容依然是很片面的、不科学的，甚至连历史上李嘉图的思想深度都没有达到。</w:t>
      </w:r>
      <w:r>
        <w:rPr>
          <w:rFonts w:eastAsia="宋体" w:cs="Times New Roman"/>
          <w:color w:val="000000"/>
          <w:sz w:val="21"/>
          <w:szCs w:val="21"/>
          <w:vertAlign w:val="superscript"/>
        </w:rPr>
        <w:footnoteReference w:id="413"/>
      </w:r>
      <w:r>
        <w:rPr>
          <w:rFonts w:hint="eastAsia" w:eastAsia="宋体" w:cs="Times New Roman"/>
          <w:color w:val="000000"/>
          <w:sz w:val="21"/>
          <w:szCs w:val="21"/>
        </w:rPr>
        <w:t>只有渗透唯物史观和唯物辩证法的马克思主义经济学的现代化，才是科学经济学的现代化。应当这样认识，马克思主义经济学是一个学派（恩格斯使用过“马克思学派”一词），但同时又是一个相对最正确的一个学派，因而可以成为中外经济实践的指导性理论和政策基础。</w:t>
      </w:r>
    </w:p>
    <w:p w14:paraId="47D60512">
      <w:pPr>
        <w:ind w:firstLine="360"/>
        <w:rPr>
          <w:rFonts w:eastAsia="宋体" w:cs="Times New Roman"/>
          <w:color w:val="000000"/>
          <w:sz w:val="21"/>
          <w:szCs w:val="21"/>
        </w:rPr>
      </w:pPr>
      <w:r>
        <w:rPr>
          <w:rFonts w:hint="eastAsia" w:eastAsia="宋体" w:cs="Times New Roman"/>
          <w:color w:val="000000"/>
          <w:sz w:val="21"/>
          <w:szCs w:val="21"/>
        </w:rPr>
        <w:t>——有论著说，马克思创作《资本论》的目的（任务、使命）是“革命”，而当今的中国的任务是“建设”，因而要把马克思“革命的经济学”创新为“建设的经济学”，强调政治经济学资本主义部分的任务只是批判，社会主义部分的任务只是建设。按照这种观点，中国经济学的现代化，其含义就是构建“建设的经济学”。这是一种似是而非的说法，只会给人们造成马克思开创的经济学已经过时、政治经济学社会主义部分没有批判的方法、内容和任务等错觉。其实，这种说法曲解了马克思主义经济学立论的科学目的——揭示人类社会发展的客观经济规律，重点是阐明资本主义市场经济的规律和运行机制。</w:t>
      </w:r>
    </w:p>
    <w:p w14:paraId="062EA5BE">
      <w:pPr>
        <w:ind w:firstLine="360"/>
        <w:rPr>
          <w:rFonts w:eastAsia="宋体" w:cs="Times New Roman"/>
          <w:color w:val="000000"/>
          <w:sz w:val="21"/>
          <w:szCs w:val="21"/>
        </w:rPr>
      </w:pPr>
      <w:r>
        <w:rPr>
          <w:rFonts w:hint="eastAsia" w:eastAsia="宋体" w:cs="Times New Roman"/>
          <w:color w:val="000000"/>
          <w:sz w:val="21"/>
          <w:szCs w:val="21"/>
        </w:rPr>
        <w:t>须知唯物史观的基本思想，就是“把经济的社会形态的发展理解为一种自然史的过程”</w:t>
      </w:r>
      <w:r>
        <w:rPr>
          <w:rFonts w:eastAsia="宋体" w:cs="Times New Roman"/>
          <w:color w:val="000000"/>
          <w:sz w:val="21"/>
          <w:szCs w:val="21"/>
          <w:vertAlign w:val="superscript"/>
        </w:rPr>
        <w:footnoteReference w:id="414"/>
      </w:r>
      <w:r>
        <w:rPr>
          <w:rFonts w:hint="eastAsia" w:eastAsia="宋体" w:cs="Times New Roman"/>
          <w:color w:val="000000"/>
          <w:sz w:val="21"/>
          <w:szCs w:val="21"/>
        </w:rPr>
        <w:t>。马克思十分清楚地表明，他创作《资本论》的“最终目的就是揭示现代社会的经济运动规律”</w:t>
      </w:r>
      <w:r>
        <w:rPr>
          <w:rFonts w:eastAsia="宋体" w:cs="Times New Roman"/>
          <w:color w:val="000000"/>
          <w:sz w:val="21"/>
          <w:szCs w:val="21"/>
          <w:vertAlign w:val="superscript"/>
        </w:rPr>
        <w:footnoteReference w:id="415"/>
      </w:r>
      <w:r>
        <w:rPr>
          <w:rFonts w:hint="eastAsia" w:eastAsia="宋体" w:cs="Times New Roman"/>
          <w:color w:val="000000"/>
          <w:sz w:val="21"/>
          <w:szCs w:val="21"/>
        </w:rPr>
        <w:t>。对于中国的科学经济学体系来说，无论是新民主主义革命和建设时期，还是社会主义革命或改革和建设时期，其立论的目的都是为了揭示客观经济规律。实现了这个目的，在前一时期就能为根据地和解放区的经济建设以及整个经济和政治的革命取得胜利服务，在当今时期就能为认清现代资本主义市场经济的痼疾和中国特色社会主义经济建设顺利发展服务。只有明确了经济学的这种科学目的，才能在理论创新过程中，遵循实事求是和解放思想相一致的原则，克服把批判与建设对立起来的片面僵化思维，辩证地把对国内外的错误经济理论和实践的科学批判同正确经济理论和实践的不断建设融合起来，进而自觉地把中国经济学的现代化与科学化结合起来，防止限于追求表面形式的“现代化”，拜倒在西方主流经济学的过度数学化和形式主义的学术窠臼之中。任何不断完善的完整认识和实践，都是不破不立，有破有立，破中有立，立中有破，经济学也不能偏离这一辩证的思维方法。</w:t>
      </w:r>
    </w:p>
    <w:p w14:paraId="0B7E0CB9">
      <w:pPr>
        <w:ind w:firstLine="360"/>
        <w:rPr>
          <w:rFonts w:eastAsia="宋体" w:cs="Times New Roman"/>
          <w:color w:val="000000"/>
          <w:sz w:val="21"/>
          <w:szCs w:val="21"/>
        </w:rPr>
      </w:pPr>
      <w:r>
        <w:rPr>
          <w:rFonts w:hint="eastAsia" w:eastAsia="宋体" w:cs="Times New Roman"/>
          <w:color w:val="000000"/>
          <w:sz w:val="21"/>
          <w:szCs w:val="21"/>
        </w:rPr>
        <w:t>——有论著认为，强调马克思主义的指导地位，这只不过是出于“意识形态的原因”，具有意识形态的经济学“不是学术”。这种说法完全无视马克思主义经济学是有史以来唯一科学的思想体系；同时，还在人们中造成了一种经济学的科学性与意识形态性相对立的印象。其实，学科研究对象的实质是由人们的物质利益关系所决定的，各种理论经济学都不可避免地代表一定集团（在阶级社会中表现为阶级及其阶层）的利益，都不可避免地既是学术体系，又是一种理论信仰和经济意识形态表现为学术性、意识形态性的统一。马克思主义经济学和西方经济学概莫能外。马克思主义经济学的意识形态性质，体现在它代表和维护工人阶级和绝大多数人的经济利益，进而成为解放全人类的经济学说，具有学术性、科学性与意识形态性、阶级性以及实践性相一致的鲜明特征。 因此，马克思主义经济学公开声明它代表工人阶级的利益，这正表现了它的科学性质。西方经济学明明代表资产阶级利益，明明只会用“利己经济人”的有色眼镜去片面地分析复杂的经济关系，却竭力掩盖自己具有意识形态的性质，用所谓经济学的非意识形态性来标榜自己的“学术性”或“科学性”，掩盖自己的非科学性，这不过是凸显它在科学上的虚弱性。</w:t>
      </w:r>
    </w:p>
    <w:p w14:paraId="1075F61B">
      <w:pPr>
        <w:ind w:firstLine="360"/>
        <w:rPr>
          <w:rFonts w:eastAsia="宋体" w:cs="Times New Roman"/>
          <w:color w:val="000000"/>
          <w:sz w:val="21"/>
          <w:szCs w:val="21"/>
        </w:rPr>
      </w:pPr>
      <w:r>
        <w:rPr>
          <w:rFonts w:hint="eastAsia" w:eastAsia="宋体" w:cs="Times New Roman"/>
          <w:color w:val="000000"/>
          <w:sz w:val="21"/>
          <w:szCs w:val="21"/>
        </w:rPr>
        <w:t>——此外，有论著推断说，西方市场经济搞了二三百年，发达资本主义国家的市场经济及其体制很成熟了，因而研究市场经济的西方经济学也很成熟和科学了，以为经济发达国家的经济学一定是先进的。这是一种错觉，用生产力发展与自然科学发展的状况来定性社会科学的先进与否问题，是明显有误的。发达资本主义国家的主流经济学，是为垄断资产阶级利益集团服务的，极端的利己主义和霸权主义，使这种经济学不可能客观地分析问题。其貌似高深的数理形式，往往是用数学逻辑的科学来掩盖、替代经济逻辑分析的贫乏。中外经济学界已有大量学者撰写了批判性的论著。</w:t>
      </w:r>
      <w:r>
        <w:rPr>
          <w:rFonts w:eastAsia="宋体" w:cs="Times New Roman"/>
          <w:color w:val="000000"/>
          <w:sz w:val="21"/>
          <w:szCs w:val="21"/>
          <w:vertAlign w:val="superscript"/>
        </w:rPr>
        <w:footnoteReference w:id="416"/>
      </w:r>
      <w:r>
        <w:rPr>
          <w:rFonts w:hint="eastAsia" w:eastAsia="宋体" w:cs="Times New Roman"/>
          <w:color w:val="000000"/>
          <w:sz w:val="21"/>
          <w:szCs w:val="21"/>
        </w:rPr>
        <w:t>与世界各国的社会主义经济制度相比，19 世纪20 年代以来众多周期性经济危机和当前的西方金融危机，从根本上不断验证了资本主义市场经济制度的相对落后性和低效率性，不断验证了为这一制度辩护和出谋划策的西方经济学也不可能是先进的。只有渗透唯物史观的科学思想方法，站在无私的工人阶级立场上，为人类大多数人谋福利，推动社会主义生产关系和经济制度去适应经济社会化和全球化大趋势的经济学，才具有整体的科学性和先进性。</w:t>
      </w:r>
    </w:p>
    <w:p w14:paraId="61AB13A6">
      <w:pPr>
        <w:ind w:firstLine="360"/>
        <w:rPr>
          <w:rFonts w:eastAsia="宋体" w:cs="Times New Roman"/>
          <w:color w:val="000000"/>
          <w:sz w:val="21"/>
          <w:szCs w:val="21"/>
        </w:rPr>
      </w:pPr>
      <w:r>
        <w:rPr>
          <w:rFonts w:hint="eastAsia" w:eastAsia="宋体" w:cs="Times New Roman"/>
          <w:color w:val="000000"/>
          <w:sz w:val="21"/>
          <w:szCs w:val="21"/>
        </w:rPr>
        <w:t>在追求经济学科学化的意义上，可以说，越是坚持“马学为体”，就越能促进中国经济学的现代化；而越是偏离“马学为体”，越是追随现代西方经济学，中国经济学越难以实现科学的现代化，而且有可能使中国经济学陷入现代资产阶级经济学“学术殖民地”和“马前卒”的可悲地位。这是值得高度警惕的。</w:t>
      </w:r>
    </w:p>
    <w:p w14:paraId="36C92FBF">
      <w:pPr>
        <w:ind w:firstLine="360"/>
        <w:jc w:val="center"/>
        <w:rPr>
          <w:rFonts w:eastAsia="宋体" w:cs="Times New Roman"/>
          <w:b/>
          <w:color w:val="000000"/>
          <w:sz w:val="21"/>
          <w:szCs w:val="21"/>
        </w:rPr>
      </w:pPr>
      <w:r>
        <w:rPr>
          <w:rFonts w:hint="eastAsia" w:eastAsia="宋体" w:cs="Times New Roman"/>
          <w:b/>
          <w:color w:val="000000"/>
          <w:sz w:val="21"/>
          <w:szCs w:val="21"/>
        </w:rPr>
        <w:t>三、“西学为用”</w:t>
      </w:r>
    </w:p>
    <w:p w14:paraId="100D48D7">
      <w:pPr>
        <w:ind w:firstLine="360"/>
        <w:rPr>
          <w:rFonts w:eastAsia="宋体" w:cs="Times New Roman"/>
          <w:color w:val="000000"/>
          <w:sz w:val="21"/>
          <w:szCs w:val="21"/>
        </w:rPr>
      </w:pPr>
      <w:r>
        <w:rPr>
          <w:rFonts w:hint="eastAsia" w:eastAsia="宋体" w:cs="Times New Roman"/>
          <w:color w:val="000000"/>
          <w:sz w:val="21"/>
          <w:szCs w:val="21"/>
        </w:rPr>
        <w:t>强调“马学为体”，便意味着不宜“西学为体”。“西学”是指西方马克思主义以外的知识体系。这里的西学，指的是西方的马克思主义经济学以外的经济知识体系，主要指阐述西方主流经济思想的西方经济学。西方经济学在新中国成立以来的学科含义中历来十分明确，不是地域性的概念，而是具有社会和阶级性质的概念。它是资产阶级经济学的总称，不包括西方资本主义国家的马克思主义经济学。现代资产阶级经济学简称为现代西方经济学。</w:t>
      </w:r>
    </w:p>
    <w:p w14:paraId="6D3DB6E1">
      <w:pPr>
        <w:ind w:firstLine="360"/>
        <w:rPr>
          <w:rFonts w:eastAsia="宋体" w:cs="Times New Roman"/>
          <w:color w:val="000000"/>
          <w:sz w:val="21"/>
          <w:szCs w:val="21"/>
        </w:rPr>
      </w:pPr>
      <w:r>
        <w:rPr>
          <w:rFonts w:hint="eastAsia" w:eastAsia="宋体" w:cs="Times New Roman"/>
          <w:color w:val="000000"/>
          <w:sz w:val="21"/>
          <w:szCs w:val="21"/>
        </w:rPr>
        <w:t>我们应当充分认识现代西方经济学或西方主流经济学的非科学性。就整体看，它们仍然保持着当年马克思揭示的资产阶级经济学的非科学的固有特征。这主要是：（1）表面性（即庸俗性）。例如，研究市场经济的总供给和总需求关系，主要停留在流通领域，用心理等因素解释“有效需求”，看不到市场供求关系的深层问题实质上是阶级关系，是生产资料所有制决定的生产关系和分配关系。（2）主观性。例如，单纯用“自私经济人”假设，来解释和演绎整个微观经济和宏观经济复杂的经济运动。（3）片面性。例如，沿袭斯密由于不懂劳动二重性、不懂资本流通和一般商品流通的区别和联系而丢掉了不变资本价值（实质是丢掉了生产生产资料的第Ⅰ部类产品价值的Ⅰc 这一部分）所形成的“斯密教条”，仅以企业与居民的交换流程为基础分析宏观经济运动，把储蓄等于投资当作宏观经济平衡的基本条件，从而无法弄清各产业部门在再生产中的价值补偿和实物补偿的途径，无法科学地解决社会再生产运动中的产业结构调整问题。（4）虚伪性和辩护性。例如，认为基于生产资料所有制的资本主义生产方式是优越的，而只需改进资本主义分配方式，为资本主义经济对抗性的基本矛盾辩护，宣扬“私有产权神话”、“市场原教旨主义”、“社会主义是通向奴役之路”等。所以，从整体上说，现代西方经济学不是科学的经济思想体系。那种把现代西方经济学等同于“现代经济学”，主张“现代经济学本土化”的观点；那种认为中国经济学应当与西方经济学“国际接轨”，才有出路的观点，无异于把中国经济学推向整体上非科学的老胡同。</w:t>
      </w:r>
    </w:p>
    <w:p w14:paraId="0519A42A">
      <w:pPr>
        <w:ind w:firstLine="360"/>
        <w:rPr>
          <w:rFonts w:eastAsia="宋体" w:cs="Times New Roman"/>
          <w:color w:val="000000"/>
          <w:sz w:val="21"/>
          <w:szCs w:val="21"/>
        </w:rPr>
      </w:pPr>
      <w:r>
        <w:rPr>
          <w:rFonts w:hint="eastAsia" w:eastAsia="宋体" w:cs="Times New Roman"/>
          <w:color w:val="000000"/>
          <w:sz w:val="21"/>
          <w:szCs w:val="21"/>
        </w:rPr>
        <w:t>但是，不能使用“西学为体”，不等于不要“西学为用”。我们所说的“西学为用”，当然不是“西学为体”意义上的“为用”，而是在“马学为体”前提下对“西学”有扬有弃的借鉴和利用。按照我国古代哲学的“体用”一般含义，“‘体’是最根本的、内在的，‘用’是‘体’的表现和产物”</w:t>
      </w:r>
      <w:r>
        <w:rPr>
          <w:rFonts w:eastAsia="宋体" w:cs="Times New Roman"/>
          <w:color w:val="000000"/>
          <w:sz w:val="21"/>
          <w:szCs w:val="21"/>
          <w:vertAlign w:val="superscript"/>
        </w:rPr>
        <w:footnoteReference w:id="417"/>
      </w:r>
      <w:r>
        <w:rPr>
          <w:rFonts w:hint="eastAsia" w:eastAsia="宋体" w:cs="Times New Roman"/>
          <w:color w:val="000000"/>
          <w:sz w:val="21"/>
          <w:szCs w:val="21"/>
        </w:rPr>
        <w:t>。从这种“体”“用”一致的思维看“马学”与“西学”，可以看到，两者之“体”存在唯物史观和唯心史观基本方法的根本区别，存在劳动价值论与要素价值论基本观点的根本区别；相应地，两者的“用”或者说表现形式和发生作用的方式也存在一些差异。譬如，在理论结构上，西方经济学分为微观经济学和宏观经济学两大缺乏有机联系的理论板块；而马克思主义政治经济学则从抽象上升到具体，是一个再现一定历史条件下的社会经济形态的有机理论体系（“直接生产过程、流通过程、生产的总过程”的“三过程体系”，或者再加“国家经济过程、国际经济过程”的“五过程体系”</w:t>
      </w:r>
      <w:r>
        <w:rPr>
          <w:rFonts w:eastAsia="宋体" w:cs="Times New Roman"/>
          <w:color w:val="000000"/>
          <w:sz w:val="21"/>
          <w:szCs w:val="21"/>
          <w:vertAlign w:val="superscript"/>
        </w:rPr>
        <w:footnoteReference w:id="418"/>
      </w:r>
      <w:r>
        <w:rPr>
          <w:rFonts w:hint="eastAsia" w:eastAsia="宋体" w:cs="Times New Roman"/>
          <w:color w:val="000000"/>
          <w:sz w:val="21"/>
          <w:szCs w:val="21"/>
        </w:rPr>
        <w:t>）。然而，如果把“马学”与“西学”的“体用”区别绝对化，以为“马学为体”就不能借鉴、利用“西学”，那就陷入了孤立地对待“马学”、“西学”的形而上学误区，在思想方法上就连近代的张之洞都不如了。</w:t>
      </w:r>
    </w:p>
    <w:p w14:paraId="544EA8CE">
      <w:pPr>
        <w:ind w:firstLine="360"/>
        <w:rPr>
          <w:rFonts w:eastAsia="宋体" w:cs="Times New Roman"/>
          <w:color w:val="000000"/>
          <w:sz w:val="21"/>
          <w:szCs w:val="21"/>
        </w:rPr>
      </w:pPr>
      <w:r>
        <w:rPr>
          <w:rFonts w:hint="eastAsia" w:eastAsia="宋体" w:cs="Times New Roman"/>
          <w:color w:val="000000"/>
          <w:sz w:val="21"/>
          <w:szCs w:val="21"/>
        </w:rPr>
        <w:t>我们在坚持“马学”“体用”一致的同时，有必要提出“西学为用”（这与毛泽东提出的“洋为中用”的精神是一致的，是批判地借鉴和利用的意思，而非“体用一致”意义上的“用”）。这是因为，在唯物史观看来，西方占主流地位的现代资产阶级经济学，作为观念的东西，它毕竟是“移入人的头脑并在人的头脑中改造过的物质的东西”</w:t>
      </w:r>
      <w:r>
        <w:rPr>
          <w:rFonts w:eastAsia="宋体" w:cs="Times New Roman"/>
          <w:color w:val="000000"/>
          <w:sz w:val="21"/>
          <w:szCs w:val="21"/>
          <w:vertAlign w:val="superscript"/>
        </w:rPr>
        <w:footnoteReference w:id="419"/>
      </w:r>
      <w:r>
        <w:rPr>
          <w:rFonts w:hint="eastAsia" w:eastAsia="宋体" w:cs="Times New Roman"/>
          <w:color w:val="000000"/>
          <w:sz w:val="21"/>
          <w:szCs w:val="21"/>
        </w:rPr>
        <w:t xml:space="preserve"> 。尽管由于唯心史观方法论的妨碍，它不可能全面深刻地、实事求是地揭示发达或不发达资本主义经济的运动和发展规律，但是，从它具有的片面性、表面性和扭曲性的理论内容中，我们仍然能够通过分析，或多或少地从中发现许多现代历史条件下的经济事实和合理元素。马克思主义者可以受其启发，从其片面性分析中创新出全面性的理论，从其表面性分析中创新出结合表面性的实质性的理论，从其扭曲性分析中创新出正确性的理论。由于生产力水平和经济管理水平需要不断提高，因而对于包含生产力高度发展的社会经济形态多种信息的西方经济学知识体系，无论如何都不应抱不屑一顾的幼稚态度。</w:t>
      </w:r>
    </w:p>
    <w:p w14:paraId="2D49D4EA">
      <w:pPr>
        <w:ind w:firstLine="360"/>
        <w:rPr>
          <w:rFonts w:eastAsia="宋体" w:cs="Times New Roman"/>
          <w:color w:val="000000"/>
          <w:sz w:val="21"/>
          <w:szCs w:val="21"/>
        </w:rPr>
      </w:pPr>
      <w:r>
        <w:rPr>
          <w:rFonts w:hint="eastAsia" w:eastAsia="宋体" w:cs="Times New Roman"/>
          <w:color w:val="000000"/>
          <w:sz w:val="21"/>
          <w:szCs w:val="21"/>
        </w:rPr>
        <w:t>还应当认识到，尽管总体上说现代西方经济学不是科学的理论体系，但这不等于说它不包含任何科学成分。在西方经济学众多流派中，有的描述了社会分工制度、市场竞争机制对于生产力发展的促进作用，有的承认了资本主义社会失业、危机的不可避免，有的创建了宏观经济运行的总量分析、调控和预测方法，有的揭示出产业发展和经济增长的某些规律，有的对企业管理一般制度作了不同角度的研究，有的形成了经济政策学，凡此种种，或多或少地反映了社会经济、市场经济、资本主义市场经济的客观状况和人类探索真理的历程，提出了不少可改用或直接有用的经济范畴。这是我们坚持和发展马克思主义经济学的一个重要理论素材和思想来源。</w:t>
      </w:r>
    </w:p>
    <w:p w14:paraId="24065F1F">
      <w:pPr>
        <w:ind w:firstLine="360"/>
        <w:rPr>
          <w:rFonts w:eastAsia="宋体" w:cs="Times New Roman"/>
          <w:color w:val="000000"/>
          <w:sz w:val="21"/>
          <w:szCs w:val="21"/>
        </w:rPr>
      </w:pPr>
      <w:r>
        <w:rPr>
          <w:rFonts w:hint="eastAsia" w:eastAsia="宋体" w:cs="Times New Roman"/>
          <w:color w:val="000000"/>
          <w:sz w:val="21"/>
          <w:szCs w:val="21"/>
        </w:rPr>
        <w:t>在对待“西学”的态度上，马克思为我们树立了讲科学的榜样。他把资产阶级经济思想史上的“在科学史上是有意义的，能够多少恰当地从理论上表现当时的经济状况”</w:t>
      </w:r>
      <w:r>
        <w:rPr>
          <w:rFonts w:eastAsia="宋体" w:cs="Times New Roman"/>
          <w:color w:val="000000"/>
          <w:sz w:val="21"/>
          <w:szCs w:val="21"/>
          <w:vertAlign w:val="superscript"/>
        </w:rPr>
        <w:footnoteReference w:id="420"/>
      </w:r>
      <w:r>
        <w:rPr>
          <w:rFonts w:hint="eastAsia" w:eastAsia="宋体" w:cs="Times New Roman"/>
          <w:color w:val="000000"/>
          <w:sz w:val="21"/>
          <w:szCs w:val="21"/>
        </w:rPr>
        <w:t>的经济见解，作为创立《资本论》的思想来源之一。在彻底批判资产阶级经济学非科学性和辩护性的同时，对于资产阶级经济学家提出的有一定合理性的经济范畴和科学原理，马克思采取的态度是，对它们用唯物史观的分析方法进行“术语的革命”</w:t>
      </w:r>
      <w:r>
        <w:rPr>
          <w:rFonts w:eastAsia="宋体" w:cs="Times New Roman"/>
          <w:color w:val="000000"/>
          <w:sz w:val="21"/>
          <w:szCs w:val="21"/>
          <w:vertAlign w:val="superscript"/>
        </w:rPr>
        <w:footnoteReference w:id="421"/>
      </w:r>
      <w:r>
        <w:rPr>
          <w:rFonts w:hint="eastAsia" w:eastAsia="宋体" w:cs="Times New Roman"/>
          <w:color w:val="000000"/>
          <w:sz w:val="21"/>
          <w:szCs w:val="21"/>
        </w:rPr>
        <w:t>和分析改造，并加以充分运用。比如，对于资产阶级经济学广泛使用的价值范畴，他通过唯物辩证的分析，赋予了它是抽象人类劳动的凝结这种科学含义。正是法国布阿吉尔贝尔的有关论述，启发马克思提出决定价值的社会必要劳动时间的含义是合乎社会再生产比例的劳动时间的这个命题</w:t>
      </w:r>
      <w:r>
        <w:rPr>
          <w:rFonts w:eastAsia="宋体" w:cs="Times New Roman"/>
          <w:color w:val="000000"/>
          <w:sz w:val="21"/>
          <w:szCs w:val="21"/>
          <w:vertAlign w:val="superscript"/>
        </w:rPr>
        <w:footnoteReference w:id="422"/>
      </w:r>
      <w:r>
        <w:rPr>
          <w:rFonts w:hint="eastAsia" w:eastAsia="宋体" w:cs="Times New Roman"/>
          <w:color w:val="000000"/>
          <w:sz w:val="21"/>
          <w:szCs w:val="21"/>
        </w:rPr>
        <w:t>；对固定资本和流动资本这对范畴，他以劳动二重性的科学眼光，揭示出它们的形式区别在于价值流通和价值周转的根本差别，于是科学地划清了两者的界限。又如，马克思是在非常认真地分析研究了重农学派魁奈的经济表，研究了斯密在考察固定资本和流动资本时不自觉地表述的关于社会再生产的思想片断，才揭示出研究社会再生产要从社会总产品出发，弄清生产资料生产和消费资料生产这两大生产部类之间的交换关系，弄清全社会的产品价值构成要素之间如何形成合理的组合，使各种社会产品要素在货币流通的中介作用下，既实现价值补偿，又实现实物补偿，从而才形成了科学的社会再生产原理。</w:t>
      </w:r>
      <w:r>
        <w:rPr>
          <w:rFonts w:eastAsia="宋体" w:cs="Times New Roman"/>
          <w:color w:val="000000"/>
          <w:sz w:val="21"/>
          <w:szCs w:val="21"/>
          <w:vertAlign w:val="superscript"/>
        </w:rPr>
        <w:footnoteReference w:id="423"/>
      </w:r>
      <w:r>
        <w:rPr>
          <w:rFonts w:hint="eastAsia" w:eastAsia="宋体" w:cs="Times New Roman"/>
          <w:color w:val="000000"/>
          <w:sz w:val="21"/>
          <w:szCs w:val="21"/>
        </w:rPr>
        <w:t>就这样，一批原本是资产阶级经济学的范畴和原理，经过马克思革命性的批判、借鉴和创新，以崭新的含义纳入了马克思经济学的科学系统。</w:t>
      </w:r>
    </w:p>
    <w:p w14:paraId="5C8C4BDD">
      <w:pPr>
        <w:ind w:firstLine="360"/>
        <w:rPr>
          <w:rFonts w:eastAsia="宋体" w:cs="Times New Roman"/>
          <w:color w:val="000000"/>
          <w:sz w:val="21"/>
          <w:szCs w:val="21"/>
        </w:rPr>
      </w:pPr>
      <w:r>
        <w:rPr>
          <w:rFonts w:hint="eastAsia" w:eastAsia="宋体" w:cs="Times New Roman"/>
          <w:color w:val="000000"/>
          <w:sz w:val="21"/>
          <w:szCs w:val="21"/>
        </w:rPr>
        <w:t>毫无疑问，我们今天也必须“西学为用”，充分地运用现代西方经济学的思想资料，学会从中筛选、改进和吸收一切有价值的科学思想成分，融入有中国特色的现代马克思主义经济学体系之中。在这个意义上说，中国经济学的现代化必须与国外经济学实行“引进来、走出去”的双向交流。尤其要看到，国外经济学某些学术前沿，恰好是马克思主义经济理论曾经提出过的，如制度分析就是如此。可以相信，马克思主义经济学在回应各种思想的碰撞中，更能显示它的科学力量！</w:t>
      </w:r>
    </w:p>
    <w:p w14:paraId="45B702E4">
      <w:pPr>
        <w:ind w:firstLine="360"/>
        <w:rPr>
          <w:rFonts w:eastAsia="宋体" w:cs="Times New Roman"/>
          <w:color w:val="000000"/>
          <w:sz w:val="21"/>
          <w:szCs w:val="21"/>
        </w:rPr>
      </w:pPr>
      <w:r>
        <w:rPr>
          <w:rFonts w:hint="eastAsia" w:eastAsia="宋体" w:cs="Times New Roman"/>
          <w:color w:val="000000"/>
          <w:sz w:val="21"/>
          <w:szCs w:val="21"/>
        </w:rPr>
        <w:t>这里有必要指出，决不能把“西学为用”与一种流行的倾向混同起来，这种倾向认为，马克思主义经济学没有应用价值，在解决市场经济的实际问题方面只能用“西学”。应当承认，在过去的计划产品经济体制下，以及在这种体制下形成的传统政治经济学教科书，往往存在以实用主义或者以僵化的思想对待马克思主义经济学的态度。例如，把《资本论》理解为包容一切经济实践的著作，殊不知马克思强调，《资本论》主要是阐明资本的一般运动规律的，像国家经济行为、对外贸易、世界市场和市场竞争的实际运动、信用制度的具体形式和手段等，并没有纳入《资本论》的写作计划，“资本主义生产的这些比较具体的形式，只有在理解了资本的一般性质以后，才能得到全面的说明；不过这样的说明不在本书计划之内，而属于本书一个可能的续篇的内容。”</w:t>
      </w:r>
      <w:r>
        <w:rPr>
          <w:rFonts w:eastAsia="宋体" w:cs="Times New Roman"/>
          <w:color w:val="000000"/>
          <w:sz w:val="21"/>
          <w:szCs w:val="21"/>
          <w:vertAlign w:val="superscript"/>
        </w:rPr>
        <w:footnoteReference w:id="424"/>
      </w:r>
      <w:r>
        <w:rPr>
          <w:rFonts w:hint="eastAsia" w:eastAsia="宋体" w:cs="Times New Roman"/>
          <w:color w:val="000000"/>
          <w:sz w:val="21"/>
          <w:szCs w:val="21"/>
        </w:rPr>
        <w:t>由于存在对马克思主义经济学的上述严重误解，多年来，中国马克思主义经济理论在应用经济学领域进展很慢。一些应用经济学家直接照搬西方应用经济学进行教学和研究，以致产生只有西方经济学才有应用价值这种错觉的重要原因。也由于上述原因，中国经济学在马克思主义经济学的“用”上，下的工夫还很不够，还远不能满足中国特色社会主义经济实践的要求。然而，这并不意味着在马克思主义经济学的“体”中应当毫无原则地注入西学的“用”。以上我们已经强调，马克思主义经济学之“体”有自己的“用”。</w:t>
      </w:r>
    </w:p>
    <w:p w14:paraId="760244BE">
      <w:pPr>
        <w:ind w:firstLine="360"/>
        <w:rPr>
          <w:rFonts w:eastAsia="宋体" w:cs="Times New Roman"/>
          <w:color w:val="000000"/>
          <w:sz w:val="21"/>
          <w:szCs w:val="21"/>
        </w:rPr>
      </w:pPr>
      <w:r>
        <w:rPr>
          <w:rFonts w:hint="eastAsia" w:eastAsia="宋体" w:cs="Times New Roman"/>
          <w:color w:val="000000"/>
          <w:sz w:val="21"/>
          <w:szCs w:val="21"/>
        </w:rPr>
        <w:t>正确的态度是，我们必须努力完成马克思没有完成的任务。处于社会主义市场经济和经济全球化新的历史条件下，在弄清资本一般性质的基础上，弄清由此产生的一系列现代具体经济形式，创建马克思主义的现代应用经济学，如马克思主义金融学、马克思主义贸易学、马克思主义财政学等。正是这方面的重要任务，决定了我们应当尤其重视现代西方应用经济学，努力吸收“西学”这方面的有益成分，同时加快发展马克思主义的理论经济学和应用经济学。这样的“西学为用”，是为丰富和发展马克思主义经济学之“体”服务的，也是中国经济学现代化的内在要求。</w:t>
      </w:r>
    </w:p>
    <w:p w14:paraId="4C653E22">
      <w:pPr>
        <w:ind w:firstLine="360"/>
        <w:jc w:val="center"/>
        <w:rPr>
          <w:rFonts w:eastAsia="宋体" w:cs="Times New Roman"/>
          <w:b/>
          <w:color w:val="000000"/>
          <w:sz w:val="21"/>
          <w:szCs w:val="21"/>
        </w:rPr>
      </w:pPr>
      <w:r>
        <w:rPr>
          <w:rFonts w:hint="eastAsia" w:eastAsia="宋体" w:cs="Times New Roman"/>
          <w:b/>
          <w:color w:val="000000"/>
          <w:sz w:val="21"/>
          <w:szCs w:val="21"/>
        </w:rPr>
        <w:t>四、“国学为根”</w:t>
      </w:r>
    </w:p>
    <w:p w14:paraId="0F24A57C">
      <w:pPr>
        <w:ind w:firstLine="360"/>
        <w:rPr>
          <w:rFonts w:eastAsia="宋体" w:cs="Times New Roman"/>
          <w:color w:val="000000"/>
          <w:sz w:val="21"/>
          <w:szCs w:val="21"/>
        </w:rPr>
      </w:pPr>
      <w:r>
        <w:rPr>
          <w:rFonts w:hint="eastAsia" w:eastAsia="宋体" w:cs="Times New Roman"/>
          <w:color w:val="000000"/>
          <w:sz w:val="21"/>
          <w:szCs w:val="21"/>
        </w:rPr>
        <w:t>广义的“国学”是指中国古近代社会科学和自然科学的知识体系；较狭义的“国学”是单指中国古近代社会科学知识体系或单指中国古近代自然科学知识体系。本文所说的国学，指的是中国古近代知识体系中的经济思想。国学为根，就是要在中国经济学现代化过程中，重视中国古近代经济思想中的精华，并以此为根基。正如毛泽东曾强调“古为今用”，“我们这个民族有数千年的历史，有它的特点，有它的许多珍贵品。”“从孔夫子到孙中山，我们应当给以总结，承继这一份珍贵的遗产。”</w:t>
      </w:r>
      <w:r>
        <w:rPr>
          <w:rFonts w:eastAsia="宋体" w:cs="Times New Roman"/>
          <w:color w:val="000000"/>
          <w:sz w:val="21"/>
          <w:szCs w:val="21"/>
          <w:vertAlign w:val="superscript"/>
        </w:rPr>
        <w:footnoteReference w:id="425"/>
      </w:r>
      <w:r>
        <w:rPr>
          <w:rFonts w:hint="eastAsia" w:eastAsia="宋体" w:cs="Times New Roman"/>
          <w:color w:val="000000"/>
          <w:sz w:val="21"/>
          <w:szCs w:val="21"/>
        </w:rPr>
        <w:t>这对于形成中国特点、中国气派和中国风格的经济学现代体系，具有不可低估的思想价值。</w:t>
      </w:r>
    </w:p>
    <w:p w14:paraId="3D681A79">
      <w:pPr>
        <w:ind w:firstLine="360"/>
        <w:rPr>
          <w:rFonts w:eastAsia="宋体" w:cs="Times New Roman"/>
          <w:color w:val="000000"/>
          <w:sz w:val="21"/>
          <w:szCs w:val="21"/>
        </w:rPr>
      </w:pPr>
      <w:r>
        <w:rPr>
          <w:rFonts w:hint="eastAsia" w:eastAsia="宋体" w:cs="Times New Roman"/>
          <w:color w:val="000000"/>
          <w:sz w:val="21"/>
          <w:szCs w:val="21"/>
        </w:rPr>
        <w:t>在唯物史观看来，中国本土历史上形成的各种经济思想，都是一定历史时期经济事实的多重反映。它们直接、间接甚至扭曲地反映着的，不仅有在相同历史条件下各国普遍存在的经济因素，而且有中国特殊的国情和文化因素，这些特殊性因素所生成的经济思想属于中国经济学之“根”。同时，借用生物学的说法，传统的经济因素属于中国经济形态的“基因”。只要中国作为民族国家还存在，这些“基因”就会存在。在中国经济学的现代化的进程中，始终重视中国的特殊国情和历史传统因素及其经济思想，才有助于形成具有中国特色的现代马克思主义经济学。</w:t>
      </w:r>
    </w:p>
    <w:p w14:paraId="5A701B0C">
      <w:pPr>
        <w:ind w:firstLine="360"/>
        <w:rPr>
          <w:rFonts w:eastAsia="宋体" w:cs="Times New Roman"/>
          <w:color w:val="000000"/>
          <w:sz w:val="21"/>
          <w:szCs w:val="21"/>
        </w:rPr>
      </w:pPr>
      <w:r>
        <w:rPr>
          <w:rFonts w:hint="eastAsia" w:eastAsia="宋体" w:cs="Times New Roman"/>
          <w:color w:val="000000"/>
          <w:sz w:val="21"/>
          <w:szCs w:val="21"/>
        </w:rPr>
        <w:t>不言而喻，古近代经济思想不可能达到唯物史观思想方法的高度。作为认识主体的经济思想家，除了少数人代表革命农民的利益之外，多数人站在统治阶级或剥削阶级立场上，观察和分析经济问题。他们对当时经济形态的理解，不能不有一定程度的表面性和片面性，有的往往是扭曲地反映经济现实。因此，我们主张以“国学为根”，不是说可以简单地、不分青红皂白地弘扬“国学”，而是主张剔除其封建性的糟粕，吸收其体现中国优良传统的、科学性的精华。</w:t>
      </w:r>
    </w:p>
    <w:p w14:paraId="451191B3">
      <w:pPr>
        <w:ind w:firstLine="360"/>
        <w:rPr>
          <w:rFonts w:eastAsia="宋体" w:cs="Times New Roman"/>
          <w:color w:val="000000"/>
          <w:sz w:val="21"/>
          <w:szCs w:val="21"/>
        </w:rPr>
      </w:pPr>
      <w:r>
        <w:rPr>
          <w:rFonts w:hint="eastAsia" w:eastAsia="宋体" w:cs="Times New Roman"/>
          <w:color w:val="000000"/>
          <w:sz w:val="21"/>
          <w:szCs w:val="21"/>
        </w:rPr>
        <w:t>历史地看，中国古近代经济思想中，包括许多给当代人诸多启发的科学成分，确实是很了不起的。例如，我们在史书中可以读到“劳则富”</w:t>
      </w:r>
      <w:r>
        <w:rPr>
          <w:rFonts w:eastAsia="宋体" w:cs="Times New Roman"/>
          <w:color w:val="000000"/>
          <w:sz w:val="21"/>
          <w:szCs w:val="21"/>
          <w:vertAlign w:val="superscript"/>
        </w:rPr>
        <w:footnoteReference w:id="426"/>
      </w:r>
      <w:r>
        <w:rPr>
          <w:rFonts w:hint="eastAsia" w:eastAsia="宋体" w:cs="Times New Roman"/>
          <w:color w:val="000000"/>
          <w:sz w:val="21"/>
          <w:szCs w:val="21"/>
        </w:rPr>
        <w:t>、“节用而爱人，使民以时”</w:t>
      </w:r>
      <w:r>
        <w:rPr>
          <w:rFonts w:eastAsia="宋体" w:cs="Times New Roman"/>
          <w:color w:val="000000"/>
          <w:sz w:val="21"/>
          <w:szCs w:val="21"/>
          <w:vertAlign w:val="superscript"/>
        </w:rPr>
        <w:footnoteReference w:id="427"/>
      </w:r>
      <w:r>
        <w:rPr>
          <w:rFonts w:hint="eastAsia" w:eastAsia="宋体" w:cs="Times New Roman"/>
          <w:color w:val="000000"/>
          <w:sz w:val="21"/>
          <w:szCs w:val="21"/>
        </w:rPr>
        <w:t>、“治国之道，必先富民”</w:t>
      </w:r>
      <w:r>
        <w:rPr>
          <w:rFonts w:eastAsia="宋体" w:cs="Times New Roman"/>
          <w:color w:val="000000"/>
          <w:sz w:val="21"/>
          <w:szCs w:val="21"/>
          <w:vertAlign w:val="superscript"/>
        </w:rPr>
        <w:footnoteReference w:id="428"/>
      </w:r>
      <w:r>
        <w:rPr>
          <w:rFonts w:hint="eastAsia" w:eastAsia="宋体" w:cs="Times New Roman"/>
          <w:color w:val="000000"/>
          <w:sz w:val="21"/>
          <w:szCs w:val="21"/>
        </w:rPr>
        <w:t>、“俭节则昌，淫佚（逸）则亡”</w:t>
      </w:r>
      <w:r>
        <w:rPr>
          <w:rFonts w:eastAsia="宋体" w:cs="Times New Roman"/>
          <w:color w:val="000000"/>
          <w:sz w:val="21"/>
          <w:szCs w:val="21"/>
          <w:vertAlign w:val="superscript"/>
        </w:rPr>
        <w:footnoteReference w:id="429"/>
      </w:r>
      <w:r>
        <w:rPr>
          <w:rFonts w:hint="eastAsia" w:eastAsia="宋体" w:cs="Times New Roman"/>
          <w:color w:val="000000"/>
          <w:sz w:val="21"/>
          <w:szCs w:val="21"/>
        </w:rPr>
        <w:t>等等，这些经济思想认识到劳动创造财富，富民才能强国，主张爱护劳动力，珍惜劳动时间，崇尚节俭，反对浪费；我国古籍中关于预先规划国家经济活动（如《管子》的“国规”思想）、封山禁猎、封湖禁渔等记载，包含着从全局布局生产力，力求经济持续发展等等，可以说是现代国家调控、可持续发展思想的先声。这些思想反映了人类社会经济运动的一般要求，具有长远的思想价值。</w:t>
      </w:r>
    </w:p>
    <w:p w14:paraId="2B7380C6">
      <w:pPr>
        <w:ind w:firstLine="360"/>
        <w:rPr>
          <w:rFonts w:eastAsia="宋体" w:cs="Times New Roman"/>
          <w:color w:val="000000"/>
          <w:sz w:val="21"/>
          <w:szCs w:val="21"/>
        </w:rPr>
      </w:pPr>
      <w:r>
        <w:rPr>
          <w:rFonts w:hint="eastAsia" w:eastAsia="宋体" w:cs="Times New Roman"/>
          <w:color w:val="000000"/>
          <w:sz w:val="21"/>
          <w:szCs w:val="21"/>
        </w:rPr>
        <w:t>研究中国古近代经济思想，尤其可以发现一些体现中国特殊国情因素的科学经济思想。例如，汉代初年的晁错，为了充实国家北部边境的防务，提出“移民实边”的建议。他改变秦王朝为达到同样目的用政治权利强迫移民的方式，用经济方式鼓励人民迁移边疆，凡应募的自由民均赐以某种低级的官职并免除其家人的劳役，并先行修好住所，备置器具，使移民“至有所居，作有所用”。尽管他当时的建议并未得到落实，但是，其移民建议把安定人民生活与防卫边境结合在一起，周密细致，难能可贵。</w:t>
      </w:r>
      <w:r>
        <w:rPr>
          <w:rFonts w:eastAsia="宋体" w:cs="Times New Roman"/>
          <w:color w:val="000000"/>
          <w:sz w:val="21"/>
          <w:szCs w:val="21"/>
          <w:vertAlign w:val="superscript"/>
        </w:rPr>
        <w:footnoteReference w:id="430"/>
      </w:r>
      <w:r>
        <w:rPr>
          <w:rFonts w:hint="eastAsia" w:eastAsia="宋体" w:cs="Times New Roman"/>
          <w:color w:val="000000"/>
          <w:sz w:val="21"/>
          <w:szCs w:val="21"/>
        </w:rPr>
        <w:t>两千多年后的今天，看“移民实边”的经济思想，这显然是由中国有广阔的内陆边境这种国情所决定的，至今也有现实意义。新中国成立以来，毛泽东、党中央关于“屯垦戍边”的重大决策以及新疆生产建设兵团在我国西北边疆地区创造的巨大业绩，可以说正是“移民实边”这种中国特有的传统经济思想的现代创新，具有显著的中国特色。这种举措在西方发展经济学中是看不到的。如果把思想凝固在西方经济学教科书关于城市化这种发展战略上，便不会想到“屯垦戍边”这种从国情出发的成功决策。又如，中国疆土辽阔，每年不同地区大小自然灾害或多或少总难避免，因而历代思想家很少不接触救灾荒问题的。南宋时期的董煟撰写了《救荒活民书》，评价了前人提出的各种救灾荒措施，系统地提出了自己的救荒政策。</w:t>
      </w:r>
      <w:r>
        <w:rPr>
          <w:rFonts w:eastAsia="宋体" w:cs="Times New Roman"/>
          <w:color w:val="000000"/>
          <w:sz w:val="21"/>
          <w:szCs w:val="21"/>
          <w:vertAlign w:val="superscript"/>
        </w:rPr>
        <w:footnoteReference w:id="431"/>
      </w:r>
      <w:r>
        <w:rPr>
          <w:rFonts w:hint="eastAsia" w:eastAsia="宋体" w:cs="Times New Roman"/>
          <w:color w:val="000000"/>
          <w:sz w:val="21"/>
          <w:szCs w:val="21"/>
        </w:rPr>
        <w:t>这些政策涉及丰年与歉年之间、城市与乡村之间、官府与百姓之间、灾区与非灾区之间、赈济救灾与依靠市场之间等等关系的处理意见，为现代的救灾救荒提供了宝贵的思想资料。我国在经济现代化过程中，仍然需要不断地与自然灾害作斗争，研究历代关于救灾救荒和反贫困的经济思想，必将有益于中国现代经济学的历史厚重感和丰满。</w:t>
      </w:r>
    </w:p>
    <w:p w14:paraId="64FB04B6">
      <w:pPr>
        <w:ind w:firstLine="360"/>
        <w:rPr>
          <w:rFonts w:eastAsia="宋体" w:cs="Times New Roman"/>
          <w:color w:val="000000"/>
          <w:sz w:val="21"/>
          <w:szCs w:val="21"/>
        </w:rPr>
      </w:pPr>
      <w:r>
        <w:rPr>
          <w:rFonts w:hint="eastAsia" w:eastAsia="宋体" w:cs="Times New Roman"/>
          <w:color w:val="000000"/>
          <w:sz w:val="21"/>
          <w:szCs w:val="21"/>
        </w:rPr>
        <w:t>研究中国古近代知识体系中的经济思想，还有助于增强推进中国经济学现代化的民族自信力，纠正那种一讲经济现代化，就只想到西方经济学的学术自卑乃至崇洋心理。历史展示出我国古近代产生过许多卓越的经济思想，如春秋战国“百家争鸣”时期，产生了《管子》（相传为崇奉管仲的一些学者所作）这样的系统论述经济管理的著作，内容涉及经济哲学思想、经济与政治的关系、财富与劳动的关系，阐释了分配、消费、贸易、财政以及市场、货币、价格等广泛的经济范畴，堪称世界范围内的罕见的经济学辉煌巨著；产生了一批具有深刻思想的大家，如墨翟把“利”归结于物质财富，那时就提出了与西方近代斯密思想相近的“交相利”的思想（彼此相利，利人就是利己）；范蠡提出了可能是全世界最早的经济循环论</w:t>
      </w:r>
      <w:r>
        <w:rPr>
          <w:rFonts w:eastAsia="宋体" w:cs="Times New Roman"/>
          <w:color w:val="000000"/>
          <w:sz w:val="21"/>
          <w:szCs w:val="21"/>
          <w:vertAlign w:val="superscript"/>
        </w:rPr>
        <w:footnoteReference w:id="432"/>
      </w:r>
      <w:r>
        <w:rPr>
          <w:rFonts w:hint="eastAsia" w:eastAsia="宋体" w:cs="Times New Roman"/>
          <w:color w:val="000000"/>
          <w:sz w:val="21"/>
          <w:szCs w:val="21"/>
        </w:rPr>
        <w:t>；还有关于人口问题的理论和政策的长期争论与探讨，这些思想都可与西方古希腊等思想家对人类的贡献相媲美。</w:t>
      </w:r>
    </w:p>
    <w:p w14:paraId="619041BF">
      <w:pPr>
        <w:ind w:firstLine="360"/>
        <w:rPr>
          <w:rFonts w:eastAsia="宋体" w:cs="Times New Roman"/>
          <w:color w:val="000000"/>
          <w:sz w:val="21"/>
          <w:szCs w:val="21"/>
        </w:rPr>
      </w:pPr>
      <w:r>
        <w:rPr>
          <w:rFonts w:hint="eastAsia" w:eastAsia="宋体" w:cs="Times New Roman"/>
          <w:color w:val="000000"/>
          <w:sz w:val="21"/>
          <w:szCs w:val="21"/>
        </w:rPr>
        <w:t>就近代具有进步意义的经济思想而言，洪秀全的《天朝田亩制度》和《资政新篇》，反映了农业空想社会主义和工商业资本主义的经济思想和政策主张；康有为在政治上虽然是保皇的改良主义者，但他的《大同书》,是用“国学”语言和智慧来表达社会主义的经济思想和终极经济模式，是具有中国风格的最具想象力的空想社会主义著作，足以名列世界伟大空想社会主义思想家之列，并在一定意义上成为“国学”的集大成者和终极者，成为“马学”的同盟者；体现新生资本主义生产关系发展要求的经济思想也并不单纯是西方的舶来品，以孙中山为代表的、反帝反封建、扶助农工的中国式的民族资本主义思想，以及平均地权和抑制私人大资本的小资产阶级经济思想，也有“马学”和建设国有经济为主导和控制力以及公有制为主体的初级社会主义可溯源、可借鉴之元素。</w:t>
      </w:r>
    </w:p>
    <w:p w14:paraId="142E4741">
      <w:pPr>
        <w:ind w:firstLine="360"/>
        <w:rPr>
          <w:rFonts w:eastAsia="宋体" w:cs="Times New Roman"/>
          <w:color w:val="000000"/>
          <w:sz w:val="21"/>
          <w:szCs w:val="21"/>
        </w:rPr>
      </w:pPr>
      <w:r>
        <w:rPr>
          <w:rFonts w:hint="eastAsia" w:eastAsia="宋体" w:cs="Times New Roman"/>
          <w:color w:val="000000"/>
          <w:sz w:val="21"/>
          <w:szCs w:val="21"/>
        </w:rPr>
        <w:t>显然，在推进中国现代经济学具有中国特点、中国气派和中国风格的过程中，如果忽视“国学为根”，而是推崇经济学的“西化”、“国际化”，进行西方经济学的“思想拷贝”和“学术盗版”，其后果只能是使越来越多的经济学人变成忘记本国的经济思想史和经济史，缺乏民族精神和学术创新能力的“理论搬运工”。近些年来，这种倾向实际已经蔓延。目前不少高校忽视或者不开中国经济史和中国经济思想史的课程，师资尤其紧缺，是应当引起高度重视的时候了！</w:t>
      </w:r>
    </w:p>
    <w:p w14:paraId="44B6829F">
      <w:pPr>
        <w:ind w:firstLine="360"/>
        <w:jc w:val="center"/>
        <w:rPr>
          <w:rFonts w:eastAsia="宋体" w:cs="Times New Roman"/>
          <w:b/>
          <w:color w:val="000000"/>
          <w:sz w:val="21"/>
          <w:szCs w:val="21"/>
        </w:rPr>
      </w:pPr>
      <w:r>
        <w:rPr>
          <w:rFonts w:hint="eastAsia" w:eastAsia="宋体" w:cs="Times New Roman"/>
          <w:b/>
          <w:color w:val="000000"/>
          <w:sz w:val="21"/>
          <w:szCs w:val="21"/>
        </w:rPr>
        <w:t>五、“世情为鉴”和“国情为据”</w:t>
      </w:r>
    </w:p>
    <w:p w14:paraId="0C0A196D">
      <w:pPr>
        <w:ind w:firstLine="360"/>
        <w:rPr>
          <w:rFonts w:eastAsia="宋体" w:cs="Times New Roman"/>
          <w:color w:val="000000"/>
          <w:sz w:val="21"/>
          <w:szCs w:val="21"/>
        </w:rPr>
      </w:pPr>
      <w:r>
        <w:rPr>
          <w:rFonts w:hint="eastAsia" w:eastAsia="宋体" w:cs="Times New Roman"/>
          <w:color w:val="000000"/>
          <w:sz w:val="21"/>
          <w:szCs w:val="21"/>
        </w:rPr>
        <w:t>“马学”、“西学” 和“国学”，这三大知识体系的本身都属于学术结晶、思想资料和理论来源的范畴。前面阐述的“马学为体、西学为用、国学为根”，无非是我们在推进中国经济学现代化进程中对这三大知识体系的作用定位和价值取向。然而不能忘记，已经形成的三大知识体系都是观念形态的东西。它们归根到底都不过是经济事实在人的头脑中的某种反映。我们强调“马学为体”，这是因为“马学”同“西学”和“国学”相比，具有较大的科学性和较多的真理性，即“马学”客观地反映了一定历史条件下的经济的社会形态的运动和发展规律，并为人们在新的历史条件下进一步探索不断演变的客观经济运动和发展规律，提供了科学的方法。但是，我们决不能认为，中国经济学的现代化只要同现有的思想材料打交道，就可以完成。我们认真地研究先辈们和同辈们存在的经济思想文献，为的是继承已有的智慧，获得人类发展到当代应达到的最高科学思维能力。而要全面深入地推进中国经济学的现代化，我们还必须密切结合新的中外经济实践，才能圆满地做到。结合现代中外经济实践，是推进中国经济学现代化的至关重要的环节。</w:t>
      </w:r>
    </w:p>
    <w:p w14:paraId="2A88E6A9">
      <w:pPr>
        <w:ind w:firstLine="360"/>
        <w:rPr>
          <w:rFonts w:eastAsia="宋体" w:cs="Times New Roman"/>
          <w:color w:val="000000"/>
          <w:sz w:val="21"/>
          <w:szCs w:val="21"/>
        </w:rPr>
      </w:pPr>
      <w:r>
        <w:rPr>
          <w:rFonts w:hint="eastAsia" w:eastAsia="宋体" w:cs="Times New Roman"/>
          <w:color w:val="000000"/>
          <w:sz w:val="21"/>
          <w:szCs w:val="21"/>
        </w:rPr>
        <w:t>结合实践，就是要遵循“通过实践而发现真理，又通过实践而证实真理和发展真理”</w:t>
      </w:r>
      <w:r>
        <w:rPr>
          <w:rFonts w:eastAsia="宋体" w:cs="Times New Roman"/>
          <w:color w:val="000000"/>
          <w:sz w:val="21"/>
          <w:szCs w:val="21"/>
          <w:vertAlign w:val="superscript"/>
        </w:rPr>
        <w:footnoteReference w:id="433"/>
      </w:r>
      <w:r>
        <w:rPr>
          <w:rFonts w:hint="eastAsia" w:eastAsia="宋体" w:cs="Times New Roman"/>
          <w:color w:val="000000"/>
          <w:sz w:val="21"/>
          <w:szCs w:val="21"/>
        </w:rPr>
        <w:t>的认识规律，来推进中国经济学的现代化。作为经济领域科学真理的现代马克思主义经济学，不是天才的头脑中固有的，也不是实践自发可提供的。它只能来自人的头脑自觉运用科学的思维方法，对经济事实进行科学的抽象和正确的反映。 只有通过社会经济实践这个不可缺少的中介过程，人们才有可能从经济的表面现象深入到经济的内部本质，从而发现经济规律和内在经济机理，并用理论形式再现它们。马克思的研究方法没有过时，他说“研究必须充分地占有材料，分析它的各种发展形式，探寻这些形式的内在联系。只有这项工作完成以后，现实的运动才能适当地叙述出来。”</w:t>
      </w:r>
      <w:r>
        <w:rPr>
          <w:rFonts w:eastAsia="宋体" w:cs="Times New Roman"/>
          <w:color w:val="000000"/>
          <w:sz w:val="21"/>
          <w:szCs w:val="21"/>
          <w:vertAlign w:val="superscript"/>
        </w:rPr>
        <w:footnoteReference w:id="434"/>
      </w:r>
      <w:r>
        <w:rPr>
          <w:rFonts w:hint="eastAsia" w:eastAsia="宋体" w:cs="Times New Roman"/>
          <w:color w:val="000000"/>
          <w:sz w:val="21"/>
          <w:szCs w:val="21"/>
        </w:rPr>
        <w:t>曾经领导我国财经工作、作出过卓越贡献的老一辈经济领导人陈云提出，“不唯上、不唯书、只唯实，交换、比较、反复”</w:t>
      </w:r>
      <w:r>
        <w:rPr>
          <w:rFonts w:eastAsia="宋体" w:cs="Times New Roman"/>
          <w:color w:val="000000"/>
          <w:sz w:val="21"/>
          <w:szCs w:val="21"/>
          <w:vertAlign w:val="superscript"/>
        </w:rPr>
        <w:footnoteReference w:id="435"/>
      </w:r>
      <w:r>
        <w:rPr>
          <w:rFonts w:hint="eastAsia" w:eastAsia="宋体" w:cs="Times New Roman"/>
          <w:color w:val="000000"/>
          <w:sz w:val="21"/>
          <w:szCs w:val="21"/>
        </w:rPr>
        <w:t>，这也是我们应当遵循的结合实践的原则和学风。</w:t>
      </w:r>
    </w:p>
    <w:p w14:paraId="0EB4A0B9">
      <w:pPr>
        <w:ind w:firstLine="360"/>
        <w:rPr>
          <w:rFonts w:eastAsia="宋体" w:cs="Times New Roman"/>
          <w:color w:val="000000"/>
          <w:sz w:val="21"/>
          <w:szCs w:val="21"/>
        </w:rPr>
      </w:pPr>
      <w:r>
        <w:rPr>
          <w:rFonts w:hint="eastAsia" w:eastAsia="宋体" w:cs="Times New Roman"/>
          <w:color w:val="000000"/>
          <w:sz w:val="21"/>
          <w:szCs w:val="21"/>
        </w:rPr>
        <w:t>在经济不断社会化和全球化的今天，必须确立世界的眼光，面向全球范围的中外经济实践，做到“世情为鉴”和“国情为据”，知己知彼，方能科学地推进中国经济学的现代化。</w:t>
      </w:r>
    </w:p>
    <w:p w14:paraId="6047B7B6">
      <w:pPr>
        <w:ind w:firstLine="360"/>
        <w:rPr>
          <w:rFonts w:eastAsia="宋体" w:cs="Times New Roman"/>
          <w:color w:val="000000"/>
          <w:sz w:val="21"/>
          <w:szCs w:val="21"/>
        </w:rPr>
      </w:pPr>
      <w:r>
        <w:rPr>
          <w:rFonts w:hint="eastAsia" w:eastAsia="宋体" w:cs="Times New Roman"/>
          <w:color w:val="000000"/>
          <w:sz w:val="21"/>
          <w:szCs w:val="21"/>
        </w:rPr>
        <w:t>（1）“世情为鉴”。“世情”有多样和深邃的含义，从经济的角度是指世界各国和世界总体经济的历史、现状和趋势。经济“世情”的来龙去脉和正反多方面的经验教训，对于中国经济学的现代化有着不可忽视的重要实践来源。以20 世纪90 年代以来美国经济的发展为例，如果全面地弄清情况，便可以看到其发展的两类原因：一类是出于高科技推动的生产力、信息化和经济全球化，以及经济关系、经济体制和政策的相应调整，这是一般原因。另一类是特殊原因，如苏联解体、东欧国家的相对削弱和经互会的瓦解等，使美国在资源、市场、技术、人员和军火等方面获利巨大；包括金融在内的经济霸权主义的特殊地位，使美国成为较为安全的贸易和投资场所，是贸易逆差最大和资本净流入最大的国家，并通过大量发行美元、各种对冲基金、控制国际经济组织等，来主导制定和推行较有利于美国的国际经济秩序和规则及某些保护主义措施，合法与非法地占有了别国的大量财富，客观上也推动了本国的经济增长。这后一原因的“经验”不但不能照搬，而且是必须高度警惕的。事实上，美国在实行新自由主义的经济政策后，经济似乎有了相当发展，但即使有高科技、高利润军火和经济霸权，美国经济发展速度也并不快，而且发生过经济衰退，近年又发生影响全球的“次贷危机”和金融危机。可见，美国经验教训不可照搬。</w:t>
      </w:r>
    </w:p>
    <w:p w14:paraId="58B17D95">
      <w:pPr>
        <w:ind w:firstLine="360"/>
        <w:rPr>
          <w:rFonts w:eastAsia="宋体" w:cs="Times New Roman"/>
          <w:color w:val="000000"/>
          <w:sz w:val="21"/>
          <w:szCs w:val="21"/>
        </w:rPr>
      </w:pPr>
      <w:r>
        <w:rPr>
          <w:rFonts w:hint="eastAsia" w:eastAsia="宋体" w:cs="Times New Roman"/>
          <w:color w:val="000000"/>
          <w:sz w:val="21"/>
          <w:szCs w:val="21"/>
        </w:rPr>
        <w:t>又如，新自由主义主张非调控化的市场原教旨主义、宣扬“私有产权神话”、反对建立国际经济新秩序、反对建立福利国家而主张福利个人化和贫富两极分化。在美英等发达国家推行下，一度成为全球盛行的经济学思潮。然而，纵观近10 年来这种思潮主导下的经济全球化实践，可以清晰地看到：苏东是出现倒退的10 年，拉美是失去的10 年，日本是爬行的10 年，美欧是缓升的10 年。被联合国认定的49 个最不发达的国家(亦称第四世界)，并没有通过私有化和发达资本主义国家主导的经济全球化途径富强起来，有的反而更加贫穷。近年来，拉美国家纷纷倾向“社会主义”，这显示出，新自由主义主导全球化阶段正走向终结，经济全球化终将趋向社会主义主导的阶段。</w:t>
      </w:r>
    </w:p>
    <w:p w14:paraId="39D675F1">
      <w:pPr>
        <w:ind w:firstLine="360"/>
        <w:rPr>
          <w:rFonts w:eastAsia="宋体" w:cs="Times New Roman"/>
          <w:color w:val="000000"/>
          <w:sz w:val="21"/>
          <w:szCs w:val="21"/>
        </w:rPr>
      </w:pPr>
      <w:r>
        <w:rPr>
          <w:rFonts w:hint="eastAsia" w:eastAsia="宋体" w:cs="Times New Roman"/>
          <w:color w:val="000000"/>
          <w:sz w:val="21"/>
          <w:szCs w:val="21"/>
        </w:rPr>
        <w:t>以上述“世情”为鉴，中国现代经济学对西方现代经济学“中看难中用”的理论，对美国经济发展的经验和新自由主义经济政策，就不能采取欣赏、照搬的态度。</w:t>
      </w:r>
      <w:r>
        <w:rPr>
          <w:rFonts w:eastAsia="宋体" w:cs="Times New Roman"/>
          <w:color w:val="000000"/>
          <w:sz w:val="21"/>
          <w:szCs w:val="21"/>
          <w:vertAlign w:val="superscript"/>
        </w:rPr>
        <w:footnoteReference w:id="436"/>
      </w:r>
    </w:p>
    <w:p w14:paraId="6D6FB963">
      <w:pPr>
        <w:ind w:firstLine="360"/>
        <w:rPr>
          <w:rFonts w:eastAsia="宋体" w:cs="Times New Roman"/>
          <w:color w:val="000000"/>
          <w:sz w:val="21"/>
          <w:szCs w:val="21"/>
        </w:rPr>
      </w:pPr>
      <w:r>
        <w:rPr>
          <w:rFonts w:hint="eastAsia" w:eastAsia="宋体" w:cs="Times New Roman"/>
          <w:color w:val="000000"/>
          <w:sz w:val="21"/>
          <w:szCs w:val="21"/>
        </w:rPr>
        <w:t>（2）“国情为据”。创造中国特色、中国气派和中国风格的科学现代经济学，只能依据由生产力水平决定的社会形态、文化传统、自然环境等复杂因素构成的国情，其中又包含各种“色层”的省情、市情、县情和城乡差别实情等；中国人民的当代社会经济实践是在这种现实的国情下展开的，也只有广大人民群众的经济实践，才具有鲜活性和深刻性，才有可能将经济国情的多样性和层次性显示出来。因此，只有依靠广大人民群众的经济实践，才能做到“国情为据”，这是中国经济学现代化进程中实现科学创新的主要现实源泉。</w:t>
      </w:r>
    </w:p>
    <w:p w14:paraId="06B7E0FD">
      <w:pPr>
        <w:ind w:firstLine="360"/>
        <w:rPr>
          <w:rFonts w:eastAsia="宋体" w:cs="Times New Roman"/>
          <w:color w:val="000000"/>
          <w:sz w:val="21"/>
          <w:szCs w:val="21"/>
        </w:rPr>
      </w:pPr>
      <w:r>
        <w:rPr>
          <w:rFonts w:hint="eastAsia" w:eastAsia="宋体" w:cs="Times New Roman"/>
          <w:color w:val="000000"/>
          <w:sz w:val="21"/>
          <w:szCs w:val="21"/>
        </w:rPr>
        <w:t>改革开放30 年来，广大人民群众最重要的经济实践是极其丰富的，值得科学抽象和总结。就“中国模式”或“北京共识”的经济制度和战略内涵而言，至少可以提炼为“五结构说”，即共同主张要建立和完善“五个结构”：一是公有制主体型的多种产权结构；二是劳动主体型的多种分配结构；三是国家主导型的多种市场结构；四是自力主导型的多种开放结构；五是科学发展型的多种战略结构。其中，实践和理论难点在努力实现社会主义公有制与市场经济的高效结合。要充分看到，中国城市已经出现了一批富有实力、活力和竞争力的国有大型和特大型企业及企业集团。中国农村也出现了一批坚持社会主义公有制，在市场经济环境中实现共同致富的典型，如河南的南街村和刘庄、江苏的华西村和长江村等。从它们的实践经验中，可以发现前无古人的市场经济与公有制有效结合的新规律和新机理。只有从这些富有创造性的社会主义经济新生事物和实践经验中吸取营养，才能真正推进中国马克思主义经济学的现代化。</w:t>
      </w:r>
    </w:p>
    <w:p w14:paraId="1EEB7266">
      <w:pPr>
        <w:ind w:firstLine="360"/>
        <w:jc w:val="center"/>
        <w:rPr>
          <w:rFonts w:eastAsia="宋体" w:cs="Times New Roman"/>
          <w:b/>
          <w:color w:val="000000"/>
          <w:sz w:val="21"/>
          <w:szCs w:val="21"/>
        </w:rPr>
      </w:pPr>
      <w:r>
        <w:rPr>
          <w:rFonts w:hint="eastAsia" w:eastAsia="宋体" w:cs="Times New Roman"/>
          <w:b/>
          <w:color w:val="000000"/>
          <w:sz w:val="21"/>
          <w:szCs w:val="21"/>
        </w:rPr>
        <w:t>六、“综合创新”</w:t>
      </w:r>
    </w:p>
    <w:p w14:paraId="2CAF56DD">
      <w:pPr>
        <w:ind w:firstLine="360"/>
        <w:rPr>
          <w:rFonts w:eastAsia="宋体" w:cs="Times New Roman"/>
          <w:color w:val="000000"/>
          <w:sz w:val="21"/>
          <w:szCs w:val="21"/>
        </w:rPr>
      </w:pPr>
      <w:r>
        <w:rPr>
          <w:rFonts w:hint="eastAsia" w:eastAsia="宋体" w:cs="Times New Roman"/>
          <w:color w:val="000000"/>
          <w:sz w:val="21"/>
          <w:szCs w:val="21"/>
        </w:rPr>
        <w:t>上述阐发的“马学为体”、“西学为用”、“国学为根”、“世情为鉴”、“国情为据”，它们最终都要贯彻和落脚到中国经济学现代化进程中的“综合创新”上。</w:t>
      </w:r>
    </w:p>
    <w:p w14:paraId="021876A5">
      <w:pPr>
        <w:ind w:firstLine="360"/>
        <w:rPr>
          <w:rFonts w:eastAsia="宋体" w:cs="Times New Roman"/>
          <w:color w:val="000000"/>
          <w:sz w:val="21"/>
          <w:szCs w:val="21"/>
        </w:rPr>
      </w:pPr>
      <w:r>
        <w:rPr>
          <w:rFonts w:hint="eastAsia" w:eastAsia="宋体" w:cs="Times New Roman"/>
          <w:color w:val="000000"/>
          <w:sz w:val="21"/>
          <w:szCs w:val="21"/>
        </w:rPr>
        <w:t>从哲学层面上说，经济学现代化的“综合创新”，就是人的思维充分运用各种思想资料，结合现代历史条件下的社会实践，实事求是地反映经济现实运动和发展趋势，并形成科学经济理论的过程。唯物史观方法论认为，思维要实事求是地反映现实，就必须尽可能详细地占有各种历史的和现实的经济材料，运用唯物辩证法（它是客观事物运动的一般辩证法在人的头脑中的反映）努力发现其中的内在联系，并客观地、全面深入地加以分析。而全面深入地揭示经济现实运动和发展的规律，也就是综合。分析与综合是对立的统一，不断地贯穿在思维与现实之间反映与被反映的过程之中。没有分析，就不可能综合；没有在不断分析过程中的相应的不断综合，也就不能做到深入的分析和全面的综合。而分析与综合要做到逐步地接近真理，就必须建立在不断发展的社会实践的基础上。因此，在唯物史观看来，中国经济学现代化进程中的“综合创新”，也就是运用唯物辩证法，对古今中外的经济实践、对“马学”、“西学”和“国学”三大知识体系所提供的经济事实和思想材料进行分析与综合的过程。“综合创新”，意味着积极吸收和正确处理三大知识体系之间的相互关系，以及理论上的分析综合与实践检验之间的关系。</w:t>
      </w:r>
    </w:p>
    <w:p w14:paraId="2388D86A">
      <w:pPr>
        <w:ind w:firstLine="360"/>
        <w:rPr>
          <w:rFonts w:eastAsia="宋体" w:cs="Times New Roman"/>
          <w:color w:val="000000"/>
          <w:sz w:val="21"/>
          <w:szCs w:val="21"/>
        </w:rPr>
      </w:pPr>
      <w:r>
        <w:rPr>
          <w:rFonts w:hint="eastAsia" w:eastAsia="宋体" w:cs="Times New Roman"/>
          <w:color w:val="000000"/>
          <w:sz w:val="21"/>
          <w:szCs w:val="21"/>
        </w:rPr>
        <w:t>由此可见，中国经济学现代化过程中的这种“综合创新”，乃是追求真理的经济学者在唯物史观指导下发挥主观能动性的过程。在这个过程中，“马学为体”、“西学为用”、“国学为根”应当成为正确发挥主观能动性的基本学术原则。这就是说，要以中外马克思主义科学的经济学理论为主体或导体，以西方非马克思主义经济学知识和合理元素为借用，以古近代的经济思想史料为思想源头和根基，进行实质性的综合创新和理论超越。</w:t>
      </w:r>
    </w:p>
    <w:p w14:paraId="1EF34D90">
      <w:pPr>
        <w:ind w:firstLine="360"/>
        <w:rPr>
          <w:rFonts w:eastAsia="宋体" w:cs="Times New Roman"/>
          <w:color w:val="000000"/>
          <w:sz w:val="21"/>
          <w:szCs w:val="21"/>
        </w:rPr>
      </w:pPr>
      <w:r>
        <w:rPr>
          <w:rFonts w:hint="eastAsia" w:eastAsia="宋体" w:cs="Times New Roman"/>
          <w:color w:val="000000"/>
          <w:sz w:val="21"/>
          <w:szCs w:val="21"/>
        </w:rPr>
        <w:t>应当看到，中国经济学的现代化要在科学的轨道上前进，道路不会平坦。作为理论经济学的“马学”与“西学”，由于本质上各自都必然代表一定阶级的经济利益，这种经济利益之间的对立性，不可避免地通过理论的人格化，即坚持“马学为本”和坚持“西学为本”的经济学家，在他们之间的学术交流和思想博弈表现出来。马克思指出，“政治经济学所研究的材料的特殊性，把人们心中最激烈、最卑鄙、最恶劣的感情，把代表私人利益的复仇女神召唤到战场上来反对自由的科学研究。”</w:t>
      </w:r>
      <w:r>
        <w:rPr>
          <w:rFonts w:eastAsia="宋体" w:cs="Times New Roman"/>
          <w:color w:val="000000"/>
          <w:sz w:val="21"/>
          <w:szCs w:val="21"/>
          <w:vertAlign w:val="superscript"/>
        </w:rPr>
        <w:footnoteReference w:id="437"/>
      </w:r>
      <w:r>
        <w:rPr>
          <w:rFonts w:hint="eastAsia" w:eastAsia="宋体" w:cs="Times New Roman"/>
          <w:color w:val="000000"/>
          <w:sz w:val="21"/>
          <w:szCs w:val="21"/>
        </w:rPr>
        <w:t>这种情况在中外经济思想发展史上是得到证实的。由此说来，中国经济学的现代化，不单纯是学术上一般的坚持“马学为本”和对“西学”、“国学”的有扬有弃的创造性思维活动，而且不可避免地包含着复杂的意识形态的互动和交锋。追求真理的经济学者对此应当有充分的思想准备，并在这种博弈中采取主动积极的态度。因为真理通过人格化才能战胜谬误，追求真理的经济学者应当力求成为人格化的真理，应当具有捍卫真理的主动性、为真理而奋斗不止的自觉性。</w:t>
      </w:r>
    </w:p>
    <w:p w14:paraId="70859E37">
      <w:pPr>
        <w:ind w:firstLine="360"/>
        <w:rPr>
          <w:rFonts w:eastAsia="宋体" w:cs="Times New Roman"/>
          <w:color w:val="000000"/>
          <w:sz w:val="21"/>
          <w:szCs w:val="21"/>
        </w:rPr>
      </w:pPr>
      <w:r>
        <w:rPr>
          <w:rFonts w:hint="eastAsia" w:eastAsia="宋体" w:cs="Times New Roman"/>
          <w:color w:val="000000"/>
          <w:sz w:val="21"/>
          <w:szCs w:val="21"/>
        </w:rPr>
        <w:t>坚持“马学为本”的“综合创新”，除了必须主动应对经济学领域同西方学术思想和意识形态的论争之外，还必须努力纠正中外学界存在的思想方法的认识误区。例如，目前流行甚广的误区就是：哪国经济强大，就认为要照搬哪国的经济制度及其主流经济学范式；或者以为市场经济体制只有一种固定的模式，可以不管市场经济制度的所有制性质的社会规定和国别类型，照抄照讲所谓“无国度性”、“无阶段性”、“无阶级性”和“无意识形态性”的西方经济学范式。在片面地、绝对地、机械地看事物的形而上学思想方法影响下，过去出现过的对经济学 “苏联范式”的盲目崇拜，现在又以倾向“美国范式”表现出来，殊不知以美国为代表的现代西方经济学已陷入“范式危机”而无法自拔。现代西方经济学的分化并生成众说纷纭的许多流派，部分表明它并未完全真正形成经济学体系、核心和方法的共同“范式”。诚然，西方经济学相对计划产品经济体制下的传统政治经济学，在现代市场观念和实证分析、数量分析、边际分析等研究方法方面，拓宽了人们的视野，的确给中国经济学带来了某些新思想、新方法。不过，注重经济理论形式的现代化并不能表明理论内容的科学化，盲目地崇拜现代西方经济学的某些形式主义方法和理论，只会使中国和世界的整个经济学现代化走入歧途。西方国家的许多主流经济学家也看出了这一点，如凯恩斯、列昂节夫、科斯、斯蒂格利茨，还有许多左翼激进经济学家，都不同程度地批评过经济学追求形式化的害处。</w:t>
      </w:r>
      <w:r>
        <w:rPr>
          <w:rFonts w:eastAsia="宋体" w:cs="Times New Roman"/>
          <w:color w:val="000000"/>
          <w:sz w:val="21"/>
          <w:szCs w:val="21"/>
          <w:vertAlign w:val="superscript"/>
        </w:rPr>
        <w:footnoteReference w:id="438"/>
      </w:r>
      <w:r>
        <w:rPr>
          <w:rFonts w:hint="eastAsia" w:eastAsia="宋体" w:cs="Times New Roman"/>
          <w:color w:val="000000"/>
          <w:sz w:val="21"/>
          <w:szCs w:val="21"/>
        </w:rPr>
        <w:t>所以，中国学者就更应纠正这种错误认识。</w:t>
      </w:r>
    </w:p>
    <w:p w14:paraId="193C6CEA">
      <w:pPr>
        <w:ind w:firstLine="360"/>
        <w:rPr>
          <w:rFonts w:eastAsia="宋体" w:cs="Times New Roman"/>
          <w:color w:val="000000"/>
          <w:sz w:val="21"/>
          <w:szCs w:val="21"/>
        </w:rPr>
      </w:pPr>
      <w:r>
        <w:rPr>
          <w:rFonts w:hint="eastAsia" w:eastAsia="宋体" w:cs="Times New Roman"/>
          <w:color w:val="000000"/>
          <w:sz w:val="21"/>
          <w:szCs w:val="21"/>
        </w:rPr>
        <w:t>中国经济学现代化的“综合创新”，为的是形成具有中国特色、中国风格和中国气派的中国现代马克思主义经济学。这需要确立自主创新的志气和方法。应当结合中外实践，从简单引进和模仿国外经济学的自在方式，实现向理论创新的自觉或自为方式的转变，不断提高“文化自觉”和“理论自觉”的意识。这意味着要实现两个超越：既在具体化的意义上超越马列经典经济学，又在科学范式的意义上超越当代西方经济学；要体现两种实践：既体现东西方市场经济实践，又体现有中国特色的社会主义实践；要显现两种创新：既要有经济学的某些常规发展，又要有其范式的革命。它将是一种科学反映经济现代性的“后现代经济学”，同时也将是一种“后马克思经济学新综合”。也就是在唯物史观指导下，以世界眼光，坚持“马学”为指导或主体，在当代国外经济学继续分化和局部综合的基础上，去实现全面系统的科学大综合。其中包括分析和借鉴国外马克思主义经济理论、西方左翼激进经济理论、新老凯恩斯主义经济理论（其理论地位和作用总体相当于马克思所说的“资产阶级古典经济学”，而多种新自由主义经济学的理论地位和作用总体相当于马克思所说的“资产阶级庸俗经济学”，但也不等于没有任何可取之处）、克鲁格曼国际经济理论、发展经济学、比较经济学以及“中心—外围”等发展中国家经济理论；积极汲取当代哲学、伦理学、美学、心理学、法学、政治学、系统学、场态学、生物学、数学等多学科的可用方法。</w:t>
      </w:r>
      <w:r>
        <w:rPr>
          <w:rFonts w:eastAsia="宋体" w:cs="Times New Roman"/>
          <w:color w:val="000000"/>
          <w:sz w:val="21"/>
          <w:szCs w:val="21"/>
          <w:vertAlign w:val="superscript"/>
        </w:rPr>
        <w:footnoteReference w:id="439"/>
      </w:r>
    </w:p>
    <w:p w14:paraId="7ABE7A99">
      <w:pPr>
        <w:ind w:firstLine="360"/>
        <w:rPr>
          <w:rFonts w:eastAsia="宋体" w:cs="Times New Roman"/>
          <w:color w:val="000000"/>
          <w:sz w:val="21"/>
          <w:szCs w:val="21"/>
        </w:rPr>
      </w:pPr>
      <w:r>
        <w:rPr>
          <w:rFonts w:hint="eastAsia" w:eastAsia="宋体" w:cs="Times New Roman"/>
          <w:color w:val="000000"/>
          <w:sz w:val="21"/>
          <w:szCs w:val="21"/>
        </w:rPr>
        <w:t>在这个综合创新的过程中，中国的马克思主义经济学者应当同各国学界和政界（如国外执政或不执政的共产党）的马克思主义经济研究者建立密切的良性互动关系。同时，要遵循学术发展规律，坚定不移地贯彻落实“双百方针”，允许和鼓励马克思主义思想体系内部发展不同经济学派，在活跃的学术争鸣中深化理论研究，探索和构建中外学界马克思主义与政界马克思主义的良性互动机制。这必将有利于中国乃至全球经济学的现代化。</w:t>
      </w:r>
    </w:p>
    <w:p w14:paraId="4E991CB7">
      <w:pPr>
        <w:ind w:firstLine="360"/>
        <w:rPr>
          <w:rFonts w:eastAsia="宋体" w:cs="Times New Roman"/>
          <w:color w:val="000000"/>
          <w:sz w:val="21"/>
          <w:szCs w:val="21"/>
        </w:rPr>
      </w:pPr>
      <w:r>
        <w:rPr>
          <w:rFonts w:hint="eastAsia" w:eastAsia="宋体" w:cs="Times New Roman"/>
          <w:color w:val="000000"/>
          <w:sz w:val="21"/>
          <w:szCs w:val="21"/>
        </w:rPr>
        <w:t>当前，中国经济学在改革开放和“学术走出去战略”的推动下正在快速向前发展。我国一大批老中青经济学家结合建设中国特色社会主义经济和经济全球化的伟大实践，正在积极推进中国马克思主义经济学的现代化，目前已呈现出经济学的“五大发展态势”。即注重对重大现实经济问题进行体现科学发展观的理论和政策探讨、注重对经济学原理的超越性发展、注重对政治经济学理论的数学表达和分析、注重用现代马克思主义政治经济学引领应用经济学创新、注重与国外马克思主义经济学的互动和借鉴，并已经产生了一批富有开拓性的理论成果。</w:t>
      </w:r>
      <w:r>
        <w:rPr>
          <w:rFonts w:eastAsia="宋体" w:cs="Times New Roman"/>
          <w:color w:val="000000"/>
          <w:sz w:val="21"/>
          <w:szCs w:val="21"/>
          <w:vertAlign w:val="superscript"/>
        </w:rPr>
        <w:footnoteReference w:id="440"/>
      </w:r>
      <w:r>
        <w:rPr>
          <w:rFonts w:hint="eastAsia" w:eastAsia="宋体" w:cs="Times New Roman"/>
          <w:color w:val="000000"/>
          <w:sz w:val="21"/>
          <w:szCs w:val="21"/>
        </w:rPr>
        <w:t>这种发展态势的出现，正是马克思主义经济学具有强大生命力和持续创新力的表现，也反映出中国社会主义现代化建设的内在要求。我们坚信，坚持“马学为体、西学为用、国学为根，世情为鉴、国情为据，综合创新”的基本思维方法和学术原则，必将使中国经济学的现代化道路越走越宽广，并为中国特色社会主义经济和世界经济的科学发展作出应有贡献。</w:t>
      </w:r>
    </w:p>
    <w:p w14:paraId="742CB534">
      <w:pPr>
        <w:ind w:firstLine="360"/>
        <w:rPr>
          <w:rFonts w:eastAsia="宋体" w:cs="Times New Roman"/>
          <w:color w:val="000000"/>
          <w:sz w:val="21"/>
          <w:szCs w:val="21"/>
        </w:rPr>
      </w:pPr>
      <w:r>
        <w:rPr>
          <w:rFonts w:hint="eastAsia" w:eastAsia="宋体" w:cs="Times New Roman"/>
          <w:color w:val="000000"/>
          <w:sz w:val="21"/>
          <w:szCs w:val="21"/>
        </w:rPr>
        <w:t>参考文献：</w:t>
      </w:r>
    </w:p>
    <w:p w14:paraId="4B185D9B">
      <w:pPr>
        <w:ind w:firstLine="360"/>
        <w:rPr>
          <w:rFonts w:eastAsia="宋体" w:cs="Times New Roman"/>
          <w:color w:val="000000"/>
          <w:sz w:val="21"/>
          <w:szCs w:val="21"/>
        </w:rPr>
      </w:pPr>
      <w:r>
        <w:rPr>
          <w:rFonts w:hint="eastAsia" w:eastAsia="宋体" w:cs="Times New Roman"/>
          <w:color w:val="000000"/>
          <w:sz w:val="21"/>
          <w:szCs w:val="21"/>
        </w:rPr>
        <w:t>[1] 程恩富：《21 世纪：重建中国经济学》，《社会科学报》1994 年4 月7 日。</w:t>
      </w:r>
    </w:p>
    <w:p w14:paraId="197CADED">
      <w:pPr>
        <w:ind w:firstLine="360"/>
        <w:rPr>
          <w:rFonts w:eastAsia="宋体" w:cs="Times New Roman"/>
          <w:color w:val="000000"/>
          <w:sz w:val="21"/>
          <w:szCs w:val="21"/>
        </w:rPr>
      </w:pPr>
      <w:r>
        <w:rPr>
          <w:rFonts w:hint="eastAsia" w:eastAsia="宋体" w:cs="Times New Roman"/>
          <w:color w:val="000000"/>
          <w:sz w:val="21"/>
          <w:szCs w:val="21"/>
        </w:rPr>
        <w:t>[2] 于光远、董辅礽：《中国经济学向何处去》，北京：经济科学出版社，1997 年。</w:t>
      </w:r>
    </w:p>
    <w:p w14:paraId="321CC51B">
      <w:pPr>
        <w:ind w:firstLine="360"/>
        <w:rPr>
          <w:rFonts w:eastAsia="宋体" w:cs="Times New Roman"/>
          <w:color w:val="000000"/>
          <w:sz w:val="21"/>
          <w:szCs w:val="21"/>
        </w:rPr>
      </w:pPr>
      <w:r>
        <w:rPr>
          <w:rFonts w:hint="eastAsia" w:eastAsia="宋体" w:cs="Times New Roman"/>
          <w:color w:val="000000"/>
          <w:sz w:val="21"/>
          <w:szCs w:val="21"/>
        </w:rPr>
        <w:t>[3] 马克思：《资本论》第1 卷，北京：人民出版社，2004 年。</w:t>
      </w:r>
    </w:p>
    <w:p w14:paraId="3EB406A9">
      <w:pPr>
        <w:ind w:firstLine="360"/>
        <w:rPr>
          <w:rFonts w:eastAsia="宋体" w:cs="Times New Roman"/>
          <w:color w:val="000000"/>
          <w:sz w:val="21"/>
          <w:szCs w:val="21"/>
        </w:rPr>
      </w:pPr>
      <w:r>
        <w:rPr>
          <w:rFonts w:hint="eastAsia" w:eastAsia="宋体" w:cs="Times New Roman"/>
          <w:color w:val="000000"/>
          <w:sz w:val="21"/>
          <w:szCs w:val="21"/>
        </w:rPr>
        <w:t>[4] 余 斌：《微观经济学批判》，北京：中国经济出版社，2004 年。</w:t>
      </w:r>
    </w:p>
    <w:p w14:paraId="3FAEEAF0">
      <w:pPr>
        <w:ind w:firstLine="360"/>
        <w:rPr>
          <w:rFonts w:eastAsia="宋体" w:cs="Times New Roman"/>
          <w:color w:val="000000"/>
          <w:sz w:val="21"/>
          <w:szCs w:val="21"/>
        </w:rPr>
      </w:pPr>
      <w:r>
        <w:rPr>
          <w:rFonts w:hint="eastAsia" w:eastAsia="宋体" w:cs="Times New Roman"/>
          <w:color w:val="000000"/>
          <w:sz w:val="21"/>
          <w:szCs w:val="21"/>
        </w:rPr>
        <w:t>[5] 陈其人：《世界经济发展研究》，上海：上海人民出版社，2002 年。</w:t>
      </w:r>
    </w:p>
    <w:p w14:paraId="03FBEE9F">
      <w:pPr>
        <w:ind w:firstLine="360"/>
        <w:rPr>
          <w:rFonts w:eastAsia="宋体" w:cs="Times New Roman"/>
          <w:color w:val="000000"/>
          <w:sz w:val="21"/>
          <w:szCs w:val="21"/>
        </w:rPr>
      </w:pPr>
      <w:r>
        <w:rPr>
          <w:rFonts w:hint="eastAsia" w:eastAsia="宋体" w:cs="Times New Roman"/>
          <w:color w:val="000000"/>
          <w:sz w:val="21"/>
          <w:szCs w:val="21"/>
        </w:rPr>
        <w:t>[6] 胡寄窗：《中国经济思想史简编》，北京：中国社会科学出版社，1981 年。</w:t>
      </w:r>
    </w:p>
    <w:p w14:paraId="7717DA98">
      <w:pPr>
        <w:ind w:firstLine="360"/>
        <w:rPr>
          <w:rFonts w:eastAsia="宋体" w:cs="Times New Roman"/>
          <w:color w:val="000000"/>
          <w:sz w:val="21"/>
          <w:szCs w:val="21"/>
        </w:rPr>
      </w:pPr>
    </w:p>
    <w:p w14:paraId="2F0669AD">
      <w:pPr>
        <w:ind w:firstLine="360"/>
        <w:rPr>
          <w:rFonts w:eastAsia="宋体" w:cs="Times New Roman"/>
          <w:color w:val="000000"/>
          <w:sz w:val="21"/>
          <w:szCs w:val="21"/>
        </w:rPr>
      </w:pPr>
      <w:r>
        <w:rPr>
          <w:rFonts w:hint="eastAsia" w:eastAsia="宋体" w:cs="Times New Roman"/>
          <w:color w:val="000000"/>
          <w:sz w:val="21"/>
          <w:szCs w:val="21"/>
        </w:rPr>
        <w:t>（原载《马克思主义研究》2009年第4期，第二作者为何干强）</w:t>
      </w:r>
    </w:p>
    <w:p w14:paraId="6CECF810">
      <w:pPr>
        <w:rPr>
          <w:rFonts w:eastAsia="宋体" w:cs="Times New Roman"/>
          <w:sz w:val="21"/>
          <w:szCs w:val="24"/>
        </w:rPr>
      </w:pPr>
    </w:p>
    <w:p w14:paraId="6B892E1F">
      <w:pPr>
        <w:autoSpaceDE w:val="0"/>
        <w:autoSpaceDN w:val="0"/>
        <w:adjustRightInd w:val="0"/>
        <w:spacing w:before="2"/>
        <w:ind w:firstLine="357"/>
        <w:outlineLvl w:val="1"/>
        <w:rPr>
          <w:rFonts w:ascii="宋体" w:hAnsi="宋体" w:eastAsia="宋体" w:cs="Times New Roman"/>
          <w:b/>
          <w:color w:val="000000"/>
          <w:sz w:val="28"/>
          <w:szCs w:val="28"/>
        </w:rPr>
      </w:pPr>
      <w:bookmarkStart w:id="1074" w:name="_Toc257922099"/>
      <w:bookmarkStart w:id="1075" w:name="_Toc27566"/>
      <w:bookmarkStart w:id="1076" w:name="_Toc15106"/>
      <w:bookmarkStart w:id="1077" w:name="_Toc78713297"/>
      <w:bookmarkStart w:id="1078" w:name="_Toc1146486978"/>
      <w:bookmarkStart w:id="1079" w:name="_Toc555390191"/>
      <w:r>
        <w:rPr>
          <w:rFonts w:hint="eastAsia" w:ascii="宋体" w:hAnsi="宋体" w:eastAsia="宋体" w:cs="Times New Roman"/>
          <w:b/>
          <w:color w:val="000000"/>
          <w:sz w:val="28"/>
          <w:szCs w:val="28"/>
          <w:lang w:val="en-US" w:eastAsia="zh-CN"/>
        </w:rPr>
        <w:t>17</w:t>
      </w:r>
      <w:r>
        <w:rPr>
          <w:rFonts w:hint="eastAsia" w:ascii="宋体" w:hAnsi="宋体" w:eastAsia="宋体" w:cs="Times New Roman"/>
          <w:b/>
          <w:color w:val="000000"/>
          <w:sz w:val="28"/>
          <w:szCs w:val="28"/>
        </w:rPr>
        <w:t>当前西方金融和经济危机与全球治理</w:t>
      </w:r>
      <w:bookmarkEnd w:id="1074"/>
      <w:bookmarkEnd w:id="1075"/>
      <w:bookmarkEnd w:id="1076"/>
      <w:bookmarkEnd w:id="1077"/>
      <w:bookmarkEnd w:id="1078"/>
      <w:bookmarkEnd w:id="1079"/>
    </w:p>
    <w:p w14:paraId="038A74D0">
      <w:pPr>
        <w:tabs>
          <w:tab w:val="center" w:pos="4680"/>
        </w:tabs>
        <w:ind w:left="-110" w:leftChars="-50" w:right="-110" w:rightChars="-50" w:firstLine="360"/>
        <w:jc w:val="center"/>
        <w:rPr>
          <w:rFonts w:ascii="宋体" w:hAnsi="宋体" w:eastAsia="宋体" w:cs="Times New Roman"/>
          <w:b/>
          <w:color w:val="000000"/>
          <w:sz w:val="21"/>
          <w:szCs w:val="21"/>
        </w:rPr>
      </w:pPr>
    </w:p>
    <w:p w14:paraId="47EE0EFA">
      <w:pPr>
        <w:tabs>
          <w:tab w:val="center" w:pos="4680"/>
        </w:tabs>
        <w:ind w:left="-110" w:leftChars="-50" w:right="-110" w:rightChars="-50" w:firstLine="360"/>
        <w:jc w:val="center"/>
        <w:rPr>
          <w:rFonts w:ascii="宋体" w:hAnsi="宋体" w:eastAsia="宋体" w:cs="Times New Roman"/>
          <w:b/>
          <w:color w:val="000000"/>
          <w:sz w:val="21"/>
          <w:szCs w:val="21"/>
        </w:rPr>
      </w:pPr>
      <w:r>
        <w:rPr>
          <w:rFonts w:hint="eastAsia" w:ascii="宋体" w:hAnsi="宋体" w:eastAsia="宋体" w:cs="Times New Roman"/>
          <w:b/>
          <w:color w:val="000000"/>
          <w:sz w:val="21"/>
          <w:szCs w:val="21"/>
        </w:rPr>
        <w:t>一、金融和经济危机的根源在于全球资本主义基本矛盾</w:t>
      </w:r>
    </w:p>
    <w:p w14:paraId="304C91F2">
      <w:pPr>
        <w:tabs>
          <w:tab w:val="center" w:pos="4680"/>
        </w:tabs>
        <w:ind w:firstLine="360"/>
        <w:jc w:val="center"/>
        <w:rPr>
          <w:rFonts w:ascii="宋体" w:hAnsi="宋体" w:eastAsia="宋体" w:cs="Times New Roman"/>
          <w:color w:val="000000"/>
          <w:sz w:val="21"/>
          <w:szCs w:val="21"/>
        </w:rPr>
      </w:pPr>
    </w:p>
    <w:p w14:paraId="2D625CE5">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美国政府国民按揭协会，在1970年就创造了世界首个按揭抵押债券，把条件相近的若干个按揭债务一起打包，制成凭证，再将这些按揭债务作为抵押的凭证卖给投资者，于是，债务的利息收入和风险就传给了投资者。</w:t>
      </w:r>
    </w:p>
    <w:p w14:paraId="454524E8">
      <w:pPr>
        <w:ind w:firstLine="546" w:firstLineChars="249"/>
        <w:rPr>
          <w:rFonts w:ascii="宋体" w:hAnsi="宋体" w:eastAsia="宋体" w:cs="Times New Roman"/>
          <w:color w:val="000000"/>
          <w:sz w:val="21"/>
          <w:szCs w:val="21"/>
        </w:rPr>
      </w:pPr>
      <w:r>
        <w:rPr>
          <w:rFonts w:hint="eastAsia" w:ascii="宋体" w:hAnsi="宋体" w:eastAsia="宋体" w:cs="Times New Roman"/>
          <w:color w:val="000000"/>
          <w:sz w:val="21"/>
          <w:szCs w:val="21"/>
        </w:rPr>
        <w:t>2001年，国民按揭协会等三家主要相似机构的住房贷款证券化部分，已经占所有抵押贷款的近一半。美国按揭贷款市场按照信用等级的高低，分为优质贷款、次级贷款和介于二者之间的贷款三种。所谓次贷危机，是指大规模向偿还能力差的低收入阶层贷款买房，并将这种住房贷款（次级贷款）证券化所引起的金融性危机。</w:t>
      </w:r>
    </w:p>
    <w:p w14:paraId="291C1C14">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2002年至2007年，美国房地产市场投机严重，房价上涨速度惊人，房地产市场出现泡沫。据估计，2007年初美国房地产市场房屋总价值约21万亿美元，其中有8万亿美元是投机的价值，泡沫占房屋总价值的38%。期间，按揭市场的两个变化为后来的危机埋下了隐患。第一，银行以前给购房人提供贷款，往往自己持有按揭，在未来25-30年的时间里不断从购房人那里收取本金和利息。现在，放贷机构则把按揭出售给投资银行或其他金融机构。这些投资银行再把不同的按揭放在一起，变成一种“有按揭支撑的证券”在市场上出售。第二，金融机构在2004年抛出所谓的次级按揭借贷。借贷者买房时不再需要像以前那样交纳20%或更高的首付，银行也不再对借贷者的背景和收入情况进行任何审查。</w:t>
      </w:r>
    </w:p>
    <w:p w14:paraId="46990367">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由此可见，不要以为所有的“金融创新”工具、手段或产品都是利大于弊的，都要采用和照搬。本来就是信用差的次级贷款，再加上不断证券化来层层转嫁收益与风险，就必然形成“隐患”。当低收入的贷款者收入稳定，或住房价格不断攀升等经济形势好的时期，次贷及其证券化的巨大危机是被掩盖、潜藏的，一旦经济状况逆转，次贷危机就难以避免。</w:t>
      </w:r>
    </w:p>
    <w:p w14:paraId="7BB6DB7F">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导致当前西方金融和经济危机的理论和政策是新自由主义。2006年在上海，70多位世界马克思主义经济学家共同签署的《关于经济全球化与现代马克思主义经济学的宣言》中，也表明了对新自由主义及其主导下的经济全球化这一主题的看法。现在，新自由主义又结出了“次贷危机—金融危机—经济危机”这个恶果。</w:t>
      </w:r>
    </w:p>
    <w:p w14:paraId="3A486277">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80年代，这种处于统治地位的资本主义形式发生了急剧变化，新自由主义形式的资本主义取代了原来国家管制的资本主义形式。新自由主义形式的资本主义的理论和政策有：一是私有化；二是非调控化（包括自由、残酷的竞争取代了有节制的竞争，放松对经济和金融的管制，政府不再对宏观经济进行积极调控，追求低通胀率而非低失业率）；三是自由化或全球化；四是福利个人化（社会福利急剧减少）；五是贫富分化；六是工会弱化（大型企业和政府打击、削弱工会力量，劳动市场格局改变，资方完全控制劳方）。</w:t>
      </w:r>
    </w:p>
    <w:p w14:paraId="545EE836">
      <w:pPr>
        <w:ind w:firstLine="440" w:firstLineChars="200"/>
        <w:rPr>
          <w:rFonts w:ascii="宋体" w:hAnsi="宋体" w:eastAsia="宋体" w:cs="Times New Roman"/>
          <w:color w:val="000000"/>
          <w:sz w:val="21"/>
          <w:szCs w:val="20"/>
        </w:rPr>
      </w:pPr>
      <w:r>
        <w:rPr>
          <w:rFonts w:hint="eastAsia" w:ascii="宋体" w:hAnsi="宋体" w:eastAsia="宋体" w:cs="Times New Roman"/>
          <w:color w:val="000000"/>
          <w:sz w:val="21"/>
          <w:szCs w:val="20"/>
        </w:rPr>
        <w:t xml:space="preserve">新自由主义主导下的经济全球化的负面效应有三个“可能加大”：一是可能加大世界经济发展的不平衡性。由于发达资本主义国家在经济发展中占有明显的优势，因此，在经济全球化的进程中他们的获益也大大超过发展中国家。这就使得南北国家的发展不平衡差距在全球范围内进一步扩大。特别是发达国家和发展中国家人均国内生产总值和知识产权等方面的指标相差悬殊。这种发展的不平衡具体体现在对外贸易、科学技术力量等方面。                </w:t>
      </w:r>
    </w:p>
    <w:p w14:paraId="50E978DF">
      <w:pPr>
        <w:ind w:firstLine="360"/>
        <w:rPr>
          <w:rFonts w:ascii="宋体" w:hAnsi="宋体" w:eastAsia="宋体" w:cs="Times New Roman"/>
          <w:color w:val="000000"/>
          <w:sz w:val="21"/>
          <w:szCs w:val="20"/>
        </w:rPr>
      </w:pPr>
      <w:r>
        <w:rPr>
          <w:rFonts w:hint="eastAsia" w:ascii="宋体" w:hAnsi="宋体" w:eastAsia="宋体" w:cs="Times New Roman"/>
          <w:color w:val="000000"/>
          <w:sz w:val="21"/>
          <w:szCs w:val="20"/>
        </w:rPr>
        <w:t xml:space="preserve">    二是可能加大世界经济发展的波动性。例如，1994年墨西哥发生的金融危机，1995年2月巴林银行的倒闭，1997年发生的东南亚金融危机，接着阿根廷金融和经济危机，以及与国际金融密切相关的苏东国家经济的大规模倒退，日本经济10多年启动不起来，处于新经济的美国也发生了衰退和这次次贷危机等等，都对世界经济发展造成了巨大的损失。这充分暴露出，无序的世界金融市场等发展过程中给世界经济带来的消极影响。                </w:t>
      </w:r>
    </w:p>
    <w:p w14:paraId="5601B5DD">
      <w:pPr>
        <w:ind w:firstLine="360"/>
        <w:rPr>
          <w:rFonts w:ascii="宋体" w:hAnsi="宋体" w:eastAsia="宋体" w:cs="Times New Roman"/>
          <w:color w:val="000000"/>
          <w:sz w:val="21"/>
          <w:szCs w:val="20"/>
        </w:rPr>
      </w:pPr>
      <w:r>
        <w:rPr>
          <w:rFonts w:hint="eastAsia" w:ascii="宋体" w:hAnsi="宋体" w:eastAsia="宋体" w:cs="Times New Roman"/>
          <w:color w:val="000000"/>
          <w:sz w:val="21"/>
          <w:szCs w:val="20"/>
        </w:rPr>
        <w:t>三是可能加大世界经济发展的矛盾性。当代资本主义的矛盾错综交织，使全球经济充满了不平衡、不协调、不稳定和各种危机。在发达国家之间，以及发达国家与欠发达国家之间的贸易战、货币战接连不断，并波及到整个世界。发达资本主义国家，尤其是美国，凭借他们的经济实力和在世界中的优势地位，对别国的干预、制裁、威胁越演越烈，甚至发动军事侵略。这理所当然地引起其他国家的反击，从而加剧了世界范围内的矛盾、摩擦和斗争。这对世界经济的发展同样造成了不利的影响。</w:t>
      </w:r>
    </w:p>
    <w:p w14:paraId="1A88DAE0">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 xml:space="preserve"> 资本主义体系的这个现象不足为怪。事实上，正如英国《金融时报》塞缪尔·布里坦认为，在过去300年中，世界资本主义就一直在繁荣与萧条之间交替；列宁也早就指出过，资本主义国家时而发展占上风，时而停滞占上风。那么，为什么新自由主义的资本主义更容易导致金融危机？二者的关联性体现在两个方面。第一，解除对金融的管制。解除管制是新自由主义的资本主义的一个重要特征。没有国家严密监管的金融市场是非常不稳定的。1945年-1973年间，在国家管制的资本主义条件下，美国中央银行和政府迫使金融资本尽量把钱借贷给实体经济部门的企业。这种情况下，金融机构不能按照自己的意愿去追求最大限度的利润，相反，它们被分成各种不同的类型，只能从事指定类型的业务。</w:t>
      </w:r>
    </w:p>
    <w:p w14:paraId="0BA06FF6">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1980年-1982年间，美国国会通过了两个重要法案，解除了对金融机构的管制。这样，美国的银行及其他金融机构就可以自由地追逐最大利润。因此，越来越多的金融机构被吸引从事投机性业务。由于能给金融机构带来很高的回报，诸如次级贷款和由按揭所支撑的证券以及其他的所谓“创新”不断增加。例如，避险基金（对冲基金）每年的回报率高达25%，而要获得如此高的利润率，只有一种途径——把大量的钱借出去，提高债务水平。</w:t>
      </w:r>
    </w:p>
    <w:p w14:paraId="4DC5A7F0">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第二，贫富分化日益严重。新自由主义造成了日益严重的贫富分化，GDP增长的绝大部分都进入了少数富有阶层的口袋。2005年，美国最富有的1%和1‰的人所拥有的财富都达到了1928年以来的最高水平。最富有的1‰的人口只有30万，他们的收入与最穷的50%的人口的总收入是相当的，而最穷的50%的人口有1.5亿。从1980年到2005年，最富有的1‰的人口的收入占社会总收入的份额翻了番。之所以如此，原因在于在新自由主义条件下，工人和工会在与资本的博弈中处于弱势地位，社会缺乏为工人提供援助的相应政策和计划，导致工资不升反降，而利润却不断上涨。</w:t>
      </w:r>
    </w:p>
    <w:p w14:paraId="58401681">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贫富分化带来的问题是，谁来购买不断增加的产出？结果是，进入21世纪以来，工薪家庭的收入水平或者停滞或者下降，他们不得不把房屋作为抵押进行借贷以保持之前的生活水平。到2006年，这种债务已经变得过高而无法持续下去，工薪家庭发现他们已经很难再靠其收入进行正常借贷了，之前的债务也无力偿还了，于是，爆发了危机。近年美国人口调查局等公布的统计报告也可证明这一点。据称，2007年没有保险的美国人数量还有4570万；总人口中的12.5%生活在联邦贫困线标准以下，而贫困儿童的数量却增加了50万，达到1330万；工薪收入者中，1%的高收入者的收入占所有工资收入的23%，是1928年以来最高值。</w:t>
      </w:r>
    </w:p>
    <w:p w14:paraId="124E54FA">
      <w:pPr>
        <w:snapToGrid w:val="0"/>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总而言之，这次金融危机是1980年以来新自由主义在全世界泛滥所导致的一个非常符合逻辑的结果。与马克思和列宁时代相比，当今世界资本主义经济的基本矛盾是经济不断社会化和全球化，与生产要素的私人所有、集体所有和国家所有的矛盾，与国民经济的无政府状态或无秩序状态的矛盾。这个扩展了的全球基本经济矛盾通过以下四种具体矛盾和中间环节导致次贷危机、金融危机和经济危机。</w:t>
      </w:r>
    </w:p>
    <w:p w14:paraId="24B6CFA0">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其一，从微观基础分析，私有制及其企业管理模式容易形成高级管理层为追求个人巨额收入极大化而追求利润极大化，日益采用风险较大的金融工具以及次贷方式，从而酿成各种危机。</w:t>
      </w:r>
    </w:p>
    <w:p w14:paraId="0C040321">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其二，从经济结构分析，私有制结合市场经济容易形成生产相对过剩、实体经济与虚拟经济的比例失衡，从而酿成各种危机。</w:t>
      </w:r>
    </w:p>
    <w:p w14:paraId="670121AB">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其三，从经济调节分析，私有制垄断集团和金融寡头容易反对国家监管和调控，而资产阶级国家又为私有制经济基础服务，导致市场和国家调节双失灵，从而酿成各种危机。</w:t>
      </w:r>
    </w:p>
    <w:p w14:paraId="7E3399AC">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其四，从分配消费分析，私有制结合市场经济容易形成社会财富和收入分配的贫富分化，导致生产的无限扩大与群众有支付能力需求相对缩小的矛盾，群众被迫进行维持生计的含次贷在内的过度消费信贷，从而酿成各种危机。</w:t>
      </w:r>
    </w:p>
    <w:p w14:paraId="205EE551">
      <w:pPr>
        <w:ind w:firstLine="550" w:firstLineChars="250"/>
        <w:rPr>
          <w:rFonts w:ascii="宋体" w:hAnsi="宋体" w:eastAsia="宋体" w:cs="Times New Roman"/>
          <w:color w:val="000000"/>
          <w:sz w:val="21"/>
          <w:szCs w:val="21"/>
        </w:rPr>
      </w:pPr>
    </w:p>
    <w:p w14:paraId="37CA67DB">
      <w:pPr>
        <w:ind w:firstLine="550" w:firstLineChars="250"/>
        <w:rPr>
          <w:rFonts w:ascii="宋体" w:hAnsi="宋体" w:eastAsia="宋体" w:cs="Times New Roman"/>
          <w:b/>
          <w:color w:val="000000"/>
          <w:sz w:val="21"/>
          <w:szCs w:val="21"/>
        </w:rPr>
      </w:pPr>
      <w:r>
        <w:rPr>
          <w:rFonts w:hint="eastAsia" w:ascii="宋体" w:hAnsi="宋体" w:eastAsia="宋体" w:cs="Times New Roman"/>
          <w:color w:val="000000"/>
          <w:sz w:val="21"/>
          <w:szCs w:val="21"/>
        </w:rPr>
        <w:t xml:space="preserve">          </w:t>
      </w:r>
      <w:r>
        <w:rPr>
          <w:rFonts w:hint="eastAsia" w:ascii="宋体" w:hAnsi="宋体" w:eastAsia="宋体" w:cs="Times New Roman"/>
          <w:b/>
          <w:color w:val="000000"/>
          <w:sz w:val="21"/>
          <w:szCs w:val="21"/>
        </w:rPr>
        <w:t xml:space="preserve">  二、全球治理的理论与类型</w:t>
      </w:r>
    </w:p>
    <w:p w14:paraId="3A07830B">
      <w:pPr>
        <w:ind w:firstLine="550" w:firstLineChars="250"/>
        <w:rPr>
          <w:rFonts w:ascii="宋体" w:hAnsi="宋体" w:eastAsia="宋体" w:cs="Times New Roman"/>
          <w:b/>
          <w:color w:val="000000"/>
          <w:sz w:val="21"/>
          <w:szCs w:val="21"/>
        </w:rPr>
      </w:pPr>
    </w:p>
    <w:p w14:paraId="7249C376">
      <w:pPr>
        <w:ind w:firstLine="550" w:firstLineChars="250"/>
        <w:rPr>
          <w:rFonts w:ascii="宋体" w:hAnsi="宋体" w:eastAsia="宋体" w:cs="Times New Roman"/>
          <w:color w:val="000000"/>
          <w:sz w:val="21"/>
          <w:szCs w:val="21"/>
        </w:rPr>
      </w:pPr>
      <w:r>
        <w:rPr>
          <w:rFonts w:hint="eastAsia" w:ascii="宋体" w:hAnsi="宋体" w:eastAsia="宋体" w:cs="Times New Roman"/>
          <w:color w:val="000000"/>
          <w:sz w:val="21"/>
          <w:szCs w:val="21"/>
        </w:rPr>
        <w:t>20世纪90年代以来，伴随着金融危机和经济危机频发、南北贫富差距扩大、地缘冲突加剧、生态环境恶化等全球性问题的凸现，全球治理问题日益受到各国政府、学者和公众的关注，相关论著层出不穷，讨论涉及民族国家主权、国际行为体、公民社会、文明与文化等诸多方面。然而，相关理论之间的分歧也是十分明显的。</w:t>
      </w:r>
    </w:p>
    <w:p w14:paraId="154BDC1B">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美国马丁·休伊森和蒂莫西·辛克莱（Martin Hewson, Timothy J.Sinclair）认为，全球治理主要有三个彼此交叉和相互竞争的理论流派。第一种理论流派关注正在上升的塑造全球治理形式的政治力量。无论是个人政治视野的变化，全球政治经济跨国精英的权力增大，还是全球公民社会的兴起，尤其是信息精英的崛起，都被认为值得进行深入的探究，以寻求对全球变革主动力的恰当理解。基于一体化和碎片化并存背景下权威位置的迁移，美国詹姆斯·罗西诺(James N.Rosenau)认为，全球治理的基本分析单位是“权威空间”(spheres of authority,SOAs)而不是国家或政府；全球治理是一种由共同目标支持的活动，这些活动的主体未必是政府，也无须依靠国家的强制力量来实现；全球治理重视正式规则，更应重视容易被忽视的对国际秩序运作必不可少的非正式、非权威的方面。与之类似，英国戴维·赫尔德（</w:t>
      </w:r>
      <w:r>
        <w:rPr>
          <w:rFonts w:ascii="宋体" w:hAnsi="宋体" w:eastAsia="宋体" w:cs="Times New Roman"/>
          <w:color w:val="000000"/>
          <w:sz w:val="21"/>
          <w:szCs w:val="21"/>
        </w:rPr>
        <w:t>David Held</w:t>
      </w:r>
      <w:r>
        <w:rPr>
          <w:rFonts w:hint="eastAsia" w:ascii="宋体" w:hAnsi="宋体" w:eastAsia="宋体" w:cs="Times New Roman"/>
          <w:color w:val="000000"/>
          <w:sz w:val="21"/>
          <w:szCs w:val="21"/>
        </w:rPr>
        <w:t>）认为，全球治理是为实现公共目标进行社会协调的过程，在这一过程，国家、国际组织、跨国公司、国际商业机构以及民间社会团体之间，已经形成了一个巨大的全球治理之网，可以由此想象一种“世界主义的民主”。全球治理的该种理论流派，强调从多个向度重构权威的趋势，试图为分析全球变革提供一个整体性的研究方法。</w:t>
      </w:r>
    </w:p>
    <w:p w14:paraId="6B7EB41F">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全球治理的第二种理论流派试图追溯和关注全球规制模式的广泛变化。美国奥兰·扬（Oran R. Young）认为，全球治理是由国际、跨国和混合型规制组合而成的范畴。国际规制是由国家组成、处理国际社会问题的制度性安排；跨国规制是由非国家行为体组成、处理全球市民社会问题的制度性安排；混合规制是国家与非国家行为体共同发挥作用的、处理国际社会与全球市民社会问题的制度性安排。由于全球市民社会的各种力量能够给国际规制的运作施加相当大的压力，而国际社会也能对跨国规制的运行施加压力，因此，必须更加关注国家与非国家行为体以复杂方式互动于其中的各种安排。全球治理的该种使用方法凸现了“没有政府的治理”之理念，并且提供了在最低限度建立行政机构的同时实现治理功能的前景。</w:t>
      </w:r>
    </w:p>
    <w:p w14:paraId="1B65C6A8">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全球治理的第三种理论流派关注当代世界组织处理全球问题能力的变化所具有的潜在意义。鉴于联合国、国际货币基金组织和世界银行等其他世界组织应对全球性问题的重要作用，美国克雷格·墨菲(Craig Murphy)等学者将全球治理等同于世界组织的活动，集中关注世界组织“对于那些必然对全球各个地方产生冲击的问题的辨识和管理”。全球治理的该种理论流派的一个普遍主题是，强调全球公民社会对于全球性组织复兴的重要性。以革新全球性组织为目的的社会民主项目，试图将世界组织嵌入全球公民社会的框架之中，由此全球公民社会对于世界组织的影响将越来越大；通过鼓励民主治理，世界组织也将积极推动全球公民社会的拓展。</w:t>
      </w:r>
    </w:p>
    <w:p w14:paraId="078204F5">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尽管上述全球治理的三种主要理论流派从不同侧面皆有助于人们理解当代复杂多样的全球生活和世界秩序及其变动，但是，对于“全球治理”，学者们至今并没有一致的、明确的定义，类似的概念还有：“世界政治的治理”、“世界范围的治理”、“国际秩序的治理”、“全球秩序的治理”和“国际治理”等。正如一位批评者所指出的，“全球治理”似乎已成为一个“什么都是或毫无意义”的时髦词语。作为一个概念工具，“全球治理”需要被赋予一个更加简约且可操作的含义。作为一个理论领域，全球治理的许多重大问题还有待更加深入的理论探讨。</w:t>
      </w:r>
    </w:p>
    <w:p w14:paraId="515695D3">
      <w:pPr>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同时，我们必须注意，各种全球治理理论隐含的消极因素。某些全球治理理论建立在政府的作用和国家的主权日益削弱、民族国家的疆界日益模糊不清这一前提之上，过分强调治理的跨国性和全球性，过分弱化国家主权和主权国家在国内和国际治理的作用，客观上有可能成为资本主义大国和垄断资本跨国公司干涉别国内政、谋求国际霸权的理论依据。某些全球治理理论建立在国际社会达到观念趋同的前提之上，过分强调建立共同价值观念的要求，过分弱化发展中国家的民族意识和国家观念，只不过是新自由主义和西方中心主义在经济全球化背景下的变种，其终极目标是建立西方资本主义模式的世界秩序。某些全球治理理论建立于现存的国际组织和国际规则之上，过分强调受美国等西方发达国家主导或左右的国际政府组织和非政府组织以及国际规则和机制的作用，客观上使得全球治理很难彻底摆脱发达资本主义国家的操纵。总之，不仅全球治理的实践会被扭曲，全球治理理论本身也有可能被扭曲为西方资本主义强国实现自己利益的工具。</w:t>
      </w:r>
    </w:p>
    <w:p w14:paraId="14DF5D64">
      <w:pPr>
        <w:ind w:firstLine="430" w:firstLineChars="196"/>
        <w:rPr>
          <w:rFonts w:ascii="宋体" w:hAnsi="宋体" w:eastAsia="宋体" w:cs="Times New Roman"/>
          <w:color w:val="000000"/>
          <w:sz w:val="21"/>
          <w:szCs w:val="21"/>
        </w:rPr>
      </w:pPr>
      <w:r>
        <w:rPr>
          <w:rFonts w:hint="eastAsia" w:ascii="宋体" w:hAnsi="宋体" w:eastAsia="宋体" w:cs="Times New Roman"/>
          <w:color w:val="000000"/>
          <w:sz w:val="21"/>
          <w:szCs w:val="21"/>
        </w:rPr>
        <w:t>本学会首届论坛宣言指出，伴随全球化的加速发展，全球秩序正面临着越来越多的问题和挑战，世界体系变革和再造已经提上日程。面对各种全球性问题和世界体系的变革要求，马克思主义经济学有责任也有能力发挥重要而积极的作用。</w:t>
      </w:r>
    </w:p>
    <w:p w14:paraId="2552AC24">
      <w:pPr>
        <w:ind w:firstLine="430" w:firstLineChars="196"/>
        <w:rPr>
          <w:rFonts w:ascii="宋体" w:hAnsi="宋体" w:eastAsia="宋体" w:cs="Times New Roman"/>
          <w:color w:val="000000"/>
          <w:sz w:val="21"/>
          <w:szCs w:val="21"/>
        </w:rPr>
      </w:pPr>
      <w:r>
        <w:rPr>
          <w:rFonts w:hint="eastAsia" w:ascii="宋体" w:hAnsi="宋体" w:eastAsia="宋体" w:cs="Times New Roman"/>
          <w:color w:val="000000"/>
          <w:sz w:val="21"/>
          <w:szCs w:val="21"/>
        </w:rPr>
        <w:t>回顾历史，我们可以发现，20世纪以来全球政治经济的治理大致经历了三种类型。（1）列强争霸或帝国争夺型治理。1900－1945年，伴随着英国霸权地位的日渐衰落和美国等国势力的不断提升，世界强国之间冲突和竞争剧烈，维护国际政治经济体系稳定的国际组织和国际规则缺失，各国之间弱肉强食，单边主义政策盛行，“以邻为壑”式的贸易战与货币战频发，国际政治经济体系动荡剧烈，爆发了两次世界热战及一系列殖民主义战和一次严重的世界性经济危机。但是，苏联等社会主义国家的诞生，使全球政治经济的民主治理出现了许多积极的因素。</w:t>
      </w:r>
    </w:p>
    <w:p w14:paraId="6663E626">
      <w:pPr>
        <w:ind w:firstLine="430" w:firstLineChars="196"/>
        <w:rPr>
          <w:rFonts w:ascii="宋体" w:hAnsi="宋体" w:eastAsia="宋体" w:cs="Times New Roman"/>
          <w:color w:val="000000"/>
          <w:sz w:val="21"/>
          <w:szCs w:val="21"/>
        </w:rPr>
      </w:pPr>
      <w:r>
        <w:rPr>
          <w:rFonts w:hint="eastAsia" w:ascii="宋体" w:hAnsi="宋体" w:eastAsia="宋体" w:cs="Times New Roman"/>
          <w:color w:val="000000"/>
          <w:sz w:val="21"/>
          <w:szCs w:val="21"/>
        </w:rPr>
        <w:t>（2）两超阵营型治理。1946－1989年，美苏两个超级大国分别支配了资本主义和社会主义两大阵营，各方都尽力维持着自己的势力范围并把矛盾控制于自己的阵营，维持了世界政治经济体系的一种相对平衡和稳定。美国以西方世界霸主自居，出于遏止“苏联共产主义扩张”的政治需要，容忍了西欧和日本等国长期的“搭便车”行为，为西方资本主义世界体系提供了诸如自由开放的国际贸易体制、稳定的国际货币体系、国际安全和对外援助等国际公共物品。在军事政治领域，美国组建了北约集团，向其盟国提供安全和核保护伞；在经济贸易领域，美国主导了以GATT为核心的自由贸易体制和国际贸易规则，从而维系了西方资本主义国际体系的某种长期稳定。在此期间，落后国家的民族解放战争也纷纷胜利，第三世界国家作用不断扩大，世界经济政治的民主治理的积极因素继续提升；但是，主要资本主义国家长期发动的“冷战”，严重妨碍全球经济、政治和文化进步，军备竞赛加剧。</w:t>
      </w:r>
    </w:p>
    <w:p w14:paraId="3E616235">
      <w:pPr>
        <w:ind w:firstLine="430" w:firstLineChars="196"/>
        <w:rPr>
          <w:rFonts w:ascii="宋体" w:hAnsi="宋体" w:eastAsia="宋体" w:cs="Times New Roman"/>
          <w:color w:val="000000"/>
          <w:sz w:val="21"/>
          <w:szCs w:val="21"/>
        </w:rPr>
      </w:pPr>
      <w:r>
        <w:rPr>
          <w:rFonts w:hint="eastAsia" w:ascii="宋体" w:hAnsi="宋体" w:eastAsia="宋体" w:cs="Times New Roman"/>
          <w:color w:val="000000"/>
          <w:sz w:val="21"/>
          <w:szCs w:val="21"/>
        </w:rPr>
        <w:t>（3）一霸数强型治理。1990年至今，随着冷战的结束，美国成为了唯一的超级大国，没有其他国家或国家集团能够扮演平衡者的角色。为了巩固“全球领导地位”，美国不断交替使用“单边主义”、“多边主义”战略手段阻遏多极化趋势，从立足于联合国转移到国际货币基金组织、世界银行、世界贸易组织、国际能源机构和北约军事组织等，主导国际规则的制定，推行新自由主义、新帝国主义政策，越来越露骨地把接受西方国家的价值观作为它提供对外援助和贷款的先决条件，越来越露骨把国际政策变成促进或维护其本国实力、遏制或削弱他国实力，实现自己利益的工具，破坏了全球经济、政治和文化的民主治理。这导致维持国际体系稳定的行动能力明显降低，导致全球公共物品供给相对不足，各种全球性问题不断凸现。仅在在经济领域，世界范围内的贸易战、金融战、资源战、科技战等层出不穷。只是今年美国奥巴马总统执政，美国的政策和行为才有些值得关注的变化。</w:t>
      </w:r>
    </w:p>
    <w:p w14:paraId="2BE4A166">
      <w:pPr>
        <w:ind w:firstLine="430" w:firstLineChars="196"/>
        <w:rPr>
          <w:rFonts w:ascii="宋体" w:hAnsi="宋体" w:eastAsia="宋体" w:cs="Times New Roman"/>
          <w:color w:val="000000"/>
          <w:sz w:val="21"/>
          <w:szCs w:val="21"/>
        </w:rPr>
      </w:pPr>
      <w:r>
        <w:rPr>
          <w:rFonts w:hint="eastAsia" w:ascii="宋体" w:hAnsi="宋体" w:eastAsia="宋体" w:cs="Times New Roman"/>
          <w:color w:val="000000"/>
          <w:sz w:val="21"/>
          <w:szCs w:val="21"/>
        </w:rPr>
        <w:t>展望未来，实现全球经济政治的民主治理，任重而道远。为了提升现时期全球经济政治的民主治理水平，我认为，必须首先改革联合国以及国际货币基金组织等国际机构，构建联合国主导型治理框架，即第四种治理类型。例如，应改革联合国安理会的构成和机制，增加发展中国家的理事名额，激励世界各国和地区政治实体共同参与全球事务决策，提高其代表性和决策效率；应改革国际货币基金组织和世界银行的代表机制和表决权等，改变少数富国对重大决策拥有否决权的现状，制定更有效的金融规则和危机处理机制，加强对全球资本流动的监管；应改革世界贸易组织及其规则，保证发展中国家更多地参与决策并从中受益，确保贸易活动不损害民族利益和劳工权益；应尽快确立全球统一的货币即“世元”、全球统一的语言即“世界语”；取消美国控制下的北约和某些国际法律机构，重新建立联合国领导下的维和部队和国际法律机构。只有这样，才能重新建立一种各国共同负责的全球经济政治文化新秩序，公正发展经济全球化、政治民主化、文化多样化、军事自卫化。</w:t>
      </w:r>
    </w:p>
    <w:p w14:paraId="5070F246">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目前，西方金融和经济危机的全球肆虐，又一次宣告了新自由资本主义的失败，世界体系的变革和再造恰逢其时。我们对此似乎应该得出三个结论：第一个结论，这一次西方金融和经济危机，不光是金融危机，而且金融和经济危机的根源不在于操作什么操作问题，或者是信心不足问题，或者是诚信不足问题，而在于全球资本主义基本矛盾。第二个结论，解决的办法就是用全球社会主义逐步取代全球资本主义。二战后的苏东国家剧变以后，实际上是资本主义的西风逐渐压倒社会主义的东风，而二战以后到苏东巨变之前，这是社会主义东风逐步压倒资本主义西风的时期。不过，以这次危机为标志和起点，世界社会主义正式走出了低谷，我们要通过自己的实际工作来逐步促进世界社会主义高潮的出现。第三个结论，中国特色社会主义没有经济危机，只是受西方国际金融和经济危机的影响，并已采取强有力的措施，在消除其不良影响。中国模式必将推动世界社会主义的未来发展。</w:t>
      </w:r>
    </w:p>
    <w:p w14:paraId="15BCAB7D">
      <w:pPr>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我坚信，全世界的马克思主义学者一定会为彻底消除人类的各种经济危机，为全球经济政治文化的民主治理与人类未来的福祉作出应有的贡献！</w:t>
      </w:r>
    </w:p>
    <w:p w14:paraId="40C08E11">
      <w:pPr>
        <w:ind w:firstLine="360"/>
        <w:rPr>
          <w:rFonts w:ascii="宋体" w:hAnsi="宋体" w:eastAsia="宋体" w:cs="Times New Roman"/>
          <w:b/>
          <w:color w:val="000000"/>
          <w:sz w:val="21"/>
          <w:szCs w:val="21"/>
        </w:rPr>
      </w:pPr>
      <w:r>
        <w:rPr>
          <w:rFonts w:hint="eastAsia" w:ascii="宋体" w:hAnsi="宋体" w:eastAsia="宋体" w:cs="Times New Roman"/>
          <w:color w:val="000000"/>
          <w:sz w:val="21"/>
          <w:szCs w:val="21"/>
        </w:rPr>
        <w:t>（原载《管理学刊》2009年第1期</w:t>
      </w:r>
      <w:r>
        <w:rPr>
          <w:rFonts w:hint="eastAsia" w:ascii="宋体" w:hAnsi="宋体" w:eastAsia="宋体" w:cs="Times New Roman"/>
          <w:b/>
          <w:color w:val="000000"/>
          <w:sz w:val="21"/>
          <w:szCs w:val="21"/>
        </w:rPr>
        <w:t xml:space="preserve"> ）</w:t>
      </w:r>
    </w:p>
    <w:p w14:paraId="49A12076">
      <w:pPr>
        <w:rPr>
          <w:rFonts w:eastAsia="宋体" w:cs="Times New Roman"/>
          <w:sz w:val="21"/>
          <w:szCs w:val="24"/>
        </w:rPr>
      </w:pPr>
    </w:p>
    <w:p w14:paraId="3582BA89">
      <w:pPr>
        <w:rPr>
          <w:rFonts w:eastAsia="宋体" w:cs="Times New Roman"/>
          <w:sz w:val="21"/>
          <w:szCs w:val="24"/>
        </w:rPr>
      </w:pPr>
    </w:p>
    <w:p w14:paraId="13975ADF">
      <w:pPr>
        <w:rPr>
          <w:rFonts w:eastAsia="宋体" w:cs="Times New Roman"/>
          <w:sz w:val="21"/>
          <w:szCs w:val="24"/>
        </w:rPr>
      </w:pPr>
    </w:p>
    <w:p w14:paraId="4E586E9A">
      <w:pPr>
        <w:autoSpaceDE w:val="0"/>
        <w:autoSpaceDN w:val="0"/>
        <w:adjustRightInd w:val="0"/>
        <w:ind w:firstLine="1100" w:firstLineChars="500"/>
        <w:outlineLvl w:val="1"/>
        <w:rPr>
          <w:rFonts w:eastAsia="宋体" w:cs="Times New Roman"/>
          <w:b/>
          <w:color w:val="000000"/>
          <w:sz w:val="21"/>
          <w:szCs w:val="21"/>
        </w:rPr>
      </w:pPr>
      <w:bookmarkStart w:id="1080" w:name="_Toc16205"/>
      <w:bookmarkStart w:id="1081" w:name="_Toc21728"/>
      <w:bookmarkStart w:id="1082" w:name="_Toc1783358362"/>
      <w:bookmarkStart w:id="1083" w:name="_Toc1479010275"/>
      <w:r>
        <w:rPr>
          <w:rFonts w:hint="eastAsia" w:eastAsia="宋体" w:cs="Times New Roman"/>
          <w:b/>
          <w:color w:val="000000"/>
          <w:sz w:val="21"/>
          <w:szCs w:val="21"/>
          <w:lang w:val="en-US" w:eastAsia="zh-CN"/>
        </w:rPr>
        <w:t>18</w:t>
      </w:r>
      <w:r>
        <w:rPr>
          <w:rFonts w:hint="eastAsia" w:eastAsia="宋体" w:cs="Times New Roman"/>
          <w:b/>
          <w:color w:val="000000"/>
          <w:sz w:val="21"/>
          <w:szCs w:val="21"/>
        </w:rPr>
        <w:t>改革开放与马克思主义经济学创新</w:t>
      </w:r>
      <w:bookmarkEnd w:id="1080"/>
      <w:bookmarkEnd w:id="1081"/>
      <w:bookmarkEnd w:id="1082"/>
      <w:bookmarkEnd w:id="1083"/>
    </w:p>
    <w:p w14:paraId="49A6FA07">
      <w:pPr>
        <w:ind w:firstLine="360"/>
        <w:rPr>
          <w:rFonts w:eastAsia="宋体" w:cs="Times New Roman"/>
          <w:color w:val="000000"/>
          <w:sz w:val="21"/>
          <w:szCs w:val="21"/>
        </w:rPr>
      </w:pPr>
    </w:p>
    <w:p w14:paraId="182698A1">
      <w:pPr>
        <w:ind w:firstLine="360"/>
        <w:rPr>
          <w:rFonts w:eastAsia="宋体" w:cs="Times New Roman"/>
          <w:b/>
          <w:color w:val="000000"/>
          <w:sz w:val="21"/>
          <w:szCs w:val="21"/>
        </w:rPr>
      </w:pPr>
      <w:r>
        <w:rPr>
          <w:rFonts w:hint="eastAsia" w:eastAsia="宋体" w:cs="Times New Roman"/>
          <w:b/>
          <w:color w:val="000000"/>
          <w:sz w:val="21"/>
          <w:szCs w:val="21"/>
        </w:rPr>
        <w:t>一、六次思想解放推动经济改革开放</w:t>
      </w:r>
    </w:p>
    <w:p w14:paraId="2A2FCC81">
      <w:pPr>
        <w:ind w:firstLine="360"/>
        <w:rPr>
          <w:rFonts w:eastAsia="宋体" w:cs="Times New Roman"/>
          <w:color w:val="000000"/>
          <w:sz w:val="21"/>
          <w:szCs w:val="21"/>
        </w:rPr>
      </w:pPr>
      <w:r>
        <w:rPr>
          <w:rFonts w:hint="eastAsia" w:eastAsia="宋体" w:cs="Times New Roman"/>
          <w:color w:val="000000"/>
          <w:sz w:val="21"/>
          <w:szCs w:val="21"/>
        </w:rPr>
        <w:t>我国社会主义经济体制改革的演进与思想解放和经济理论发展是紧密相连的。所谓思想解放，就是在摆脱各种错误思维定势束缚后的一种认识升华和观念创新。反思想僵化或“左”、反右或自由化，都属于思想解放。新时期30年来，大小程度不同的思想解放有六次。</w:t>
      </w:r>
    </w:p>
    <w:p w14:paraId="1061911F">
      <w:pPr>
        <w:ind w:firstLine="360"/>
        <w:rPr>
          <w:rFonts w:eastAsia="宋体" w:cs="Times New Roman"/>
          <w:color w:val="000000"/>
          <w:sz w:val="21"/>
          <w:szCs w:val="21"/>
        </w:rPr>
      </w:pPr>
      <w:r>
        <w:rPr>
          <w:rFonts w:hint="eastAsia" w:eastAsia="宋体" w:cs="Times New Roman"/>
          <w:color w:val="000000"/>
          <w:sz w:val="21"/>
          <w:szCs w:val="21"/>
        </w:rPr>
        <w:t>第一次思想大解放，始于1978年5月，主题是提出实践是检验真理的唯一标准。这次思想解放对于经济体制改革的影响是巨大的，开始突破传统计划经济体制，实行计划经济为主、市场调节为辅的新体制，试行对内搞活和对外开放的各项措施。</w:t>
      </w:r>
    </w:p>
    <w:p w14:paraId="1F237A52">
      <w:pPr>
        <w:ind w:firstLine="360"/>
        <w:rPr>
          <w:rFonts w:eastAsia="宋体" w:cs="Times New Roman"/>
          <w:color w:val="000000"/>
          <w:sz w:val="21"/>
          <w:szCs w:val="21"/>
        </w:rPr>
      </w:pPr>
      <w:r>
        <w:rPr>
          <w:rFonts w:hint="eastAsia" w:eastAsia="宋体" w:cs="Times New Roman"/>
          <w:color w:val="000000"/>
          <w:sz w:val="21"/>
          <w:szCs w:val="21"/>
        </w:rPr>
        <w:t>第二次思想大解放，始于1984年10月，主题是制订经济体制改革的纲领。此次思想解放直接作用于经济体制改革，掀起了整个经济领域的革命。开始建立由商品市场、资金市场、劳务市场和技术市场等在内的社会主义市场体系，提倡市场竞争和运用经济杠杆，启动有计划的商品经济体制。</w:t>
      </w:r>
    </w:p>
    <w:p w14:paraId="4F0B1822">
      <w:pPr>
        <w:ind w:firstLine="360"/>
        <w:rPr>
          <w:rFonts w:eastAsia="宋体" w:cs="Times New Roman"/>
          <w:color w:val="000000"/>
          <w:sz w:val="21"/>
          <w:szCs w:val="21"/>
        </w:rPr>
      </w:pPr>
      <w:r>
        <w:rPr>
          <w:rFonts w:hint="eastAsia" w:eastAsia="宋体" w:cs="Times New Roman"/>
          <w:color w:val="000000"/>
          <w:sz w:val="21"/>
          <w:szCs w:val="21"/>
        </w:rPr>
        <w:t>第三次思想大解放，始于1987年10月，主题是确立社会主义初级阶段的理论。这次思想解放促进了经济体制改革的较快发展，加快了缩小指令性计划的速度，转向以间接管理为主的宏观经济调节体系，分阶段地进行计划、投资、物资、财政、金融、外贸等方面体制的配套改革。</w:t>
      </w:r>
    </w:p>
    <w:p w14:paraId="588BF5C8">
      <w:pPr>
        <w:ind w:firstLine="360"/>
        <w:rPr>
          <w:rFonts w:eastAsia="宋体" w:cs="Times New Roman"/>
          <w:color w:val="000000"/>
          <w:sz w:val="21"/>
          <w:szCs w:val="21"/>
        </w:rPr>
      </w:pPr>
      <w:r>
        <w:rPr>
          <w:rFonts w:hint="eastAsia" w:eastAsia="宋体" w:cs="Times New Roman"/>
          <w:color w:val="000000"/>
          <w:sz w:val="21"/>
          <w:szCs w:val="21"/>
        </w:rPr>
        <w:t>第四次思想大解放，始于1992年2月，主题是设定要建立社会主义市场经济体制。此次思想解放直接促成向社会主义市场经济体制的全方位改革，在充分发挥市场配置资源的基础作用的同时，积极改善宏观调控机制，逐步实现了“低通胀、高增长”的新局面。</w:t>
      </w:r>
    </w:p>
    <w:p w14:paraId="20FE5C2F">
      <w:pPr>
        <w:ind w:firstLine="360"/>
        <w:rPr>
          <w:rFonts w:eastAsia="宋体" w:cs="Times New Roman"/>
          <w:color w:val="000000"/>
          <w:sz w:val="21"/>
          <w:szCs w:val="21"/>
        </w:rPr>
      </w:pPr>
      <w:r>
        <w:rPr>
          <w:rFonts w:hint="eastAsia" w:eastAsia="宋体" w:cs="Times New Roman"/>
          <w:color w:val="000000"/>
          <w:sz w:val="21"/>
          <w:szCs w:val="21"/>
        </w:rPr>
        <w:t>第五次思想大解放，始于1997年9月，主题是公有制的实现形式和社会主义初级阶段的基本经济制度理论。这次思想解放促使经济体制改革进入攻坚阶段，股份制、股份合作制和非公有制发展迅猛，实施科教兴国战略和可持续发展战略。第六次思想大解放，始于2003年10月，主题是坚持以人为本，树立全面协调可持续的科学发展观。这次思想解放促使经济体制改革进入最后完善阶段，转变经济发展方式，全面推动人口资源环境的可持续发展体制建设，并突出自主创新和创新型国家的体制建设，全面开展“八个统筹”为主要内容的统筹兼顾体制建设，注重以人为本和民生取向的社会主义和谐社会体制建设。</w:t>
      </w:r>
    </w:p>
    <w:p w14:paraId="1A98C0DD">
      <w:pPr>
        <w:ind w:firstLine="360"/>
        <w:rPr>
          <w:rFonts w:eastAsia="宋体" w:cs="Times New Roman"/>
          <w:color w:val="000000"/>
          <w:sz w:val="21"/>
          <w:szCs w:val="21"/>
        </w:rPr>
      </w:pPr>
      <w:r>
        <w:rPr>
          <w:rFonts w:hint="eastAsia" w:eastAsia="宋体" w:cs="Times New Roman"/>
          <w:color w:val="000000"/>
          <w:sz w:val="21"/>
          <w:szCs w:val="21"/>
        </w:rPr>
        <w:t>伴随着六次思想解放所进行的30年经济体制改革，其实质是依据社会生产力和现代市场经济发展的内在要求，重构和完善社会主义初级阶段的基本经济形态：一是建立和完善公有主体型的多种类产权形态；二是建立和完善劳动主体型的多要素分配形态；三是建立和完善国家主导型的多结构市场形态；四是建立和完善自力主导型的多方位开放形态。</w:t>
      </w:r>
    </w:p>
    <w:p w14:paraId="6FDA039F">
      <w:pPr>
        <w:ind w:firstLine="360"/>
        <w:rPr>
          <w:rFonts w:eastAsia="宋体" w:cs="Times New Roman"/>
          <w:b/>
          <w:color w:val="000000"/>
          <w:sz w:val="21"/>
          <w:szCs w:val="21"/>
        </w:rPr>
      </w:pPr>
      <w:r>
        <w:rPr>
          <w:rFonts w:hint="eastAsia" w:eastAsia="宋体" w:cs="Times New Roman"/>
          <w:b/>
          <w:color w:val="000000"/>
          <w:sz w:val="21"/>
          <w:szCs w:val="21"/>
        </w:rPr>
        <w:t>二、改革以来马克思主义经济学八大创新</w:t>
      </w:r>
    </w:p>
    <w:p w14:paraId="5F54E695">
      <w:pPr>
        <w:ind w:firstLine="360"/>
        <w:rPr>
          <w:rFonts w:eastAsia="宋体" w:cs="Times New Roman"/>
          <w:color w:val="000000"/>
          <w:sz w:val="21"/>
          <w:szCs w:val="21"/>
        </w:rPr>
      </w:pPr>
      <w:r>
        <w:rPr>
          <w:rFonts w:hint="eastAsia" w:eastAsia="宋体" w:cs="Times New Roman"/>
          <w:color w:val="000000"/>
          <w:sz w:val="21"/>
          <w:szCs w:val="21"/>
        </w:rPr>
        <w:t>改革以来理论界流传一种论调，说马克思主义经济学家一贯思想僵化，反对社会主义改革。近年来，中外真正的马克思主义经济学家联合新老凯恩斯主义者和左翼经济学家等，都在重点批评新自由主义经济学，更是被扣上“极左”、“走回头路”、“反对改革”的帽子，包括深受“三民主义”影响的朗咸平教授（本人已确认这一影响）也被强加这些政治帽子。其实，中央领导已经作出了科学的判断：批判新自由主义，要长流水，不断线，抵御其对我国改革的负面影响； 现在全党正在“三个代表”重要思想的指引下进行理论创新，要高度警惕自由化分子接过理论创新的旗帜，成套搬用资产阶级新自由主义的理论，把改革引向西方政治家和理论家鼓吹的方向和轨道上去。中央领导的这番话，也是坚定的马克思主义经济学家和广大人民的共识。</w:t>
      </w:r>
    </w:p>
    <w:p w14:paraId="5FDCE62B">
      <w:pPr>
        <w:ind w:firstLine="360"/>
        <w:rPr>
          <w:rFonts w:eastAsia="宋体" w:cs="Times New Roman"/>
          <w:color w:val="000000"/>
          <w:sz w:val="21"/>
          <w:szCs w:val="21"/>
        </w:rPr>
      </w:pPr>
      <w:r>
        <w:rPr>
          <w:rFonts w:hint="eastAsia" w:eastAsia="宋体" w:cs="Times New Roman"/>
          <w:color w:val="000000"/>
          <w:sz w:val="21"/>
          <w:szCs w:val="21"/>
        </w:rPr>
        <w:t>笔者想说明一个事实，即创新的马克思主义经济学家（“新马派”）是我国改革的最早倡导者!由于马克思主义经济学家一贯比较谦虚，反对市场炒作和学术泡沫，而自由市场本又极易导致学术市场“假冒伪劣理论商品”的泛滥，因而容易出现一批被中外媒体吹捧的“主流经济学家”、“著名经济学家”。其中有些“改革家”只是社会主义市场取向改革的“同路人”，实质属于资本主义市场取向改革的“改革家”或“改向家”（类似匈牙利的经济学家科尔奈、苏联的经济学家波波夫） 。前年，西方媒体再次发挥“西强我弱”的攻势，又选择了几乎都在西方国家获得学位的“华尔街版的中国十大经济学家”，试图影响我国正在激烈进行的“现代马克思主义经济学与现代西方经济学关系”的争论。值得欣慰的是，广大网民猛烈抨击某些所谓“主流经济学家”、“媒体经济学家”，这本质上是广大人民群众自觉地反对资产阶级自由化和新自由主义经济思潮的一种正义行动。</w:t>
      </w:r>
    </w:p>
    <w:p w14:paraId="2B4E4F14">
      <w:pPr>
        <w:ind w:firstLine="360"/>
        <w:rPr>
          <w:rFonts w:eastAsia="宋体" w:cs="Times New Roman"/>
          <w:color w:val="000000"/>
          <w:sz w:val="21"/>
          <w:szCs w:val="21"/>
        </w:rPr>
      </w:pPr>
      <w:r>
        <w:rPr>
          <w:rFonts w:hint="eastAsia" w:eastAsia="宋体" w:cs="Times New Roman"/>
          <w:color w:val="000000"/>
          <w:sz w:val="21"/>
          <w:szCs w:val="21"/>
        </w:rPr>
        <w:t>可以列举许多事例证明，现在仍然坚定的马克思主义经济学家是我国改革的最早倡导者。不过，他们往往不是市场塑造的“媒体经济学家”或“主流经济学家”，而是学界较为认同的“杰出经济学家”。现仅以中国人民大学孟捷教授的文章依次介绍的经济学家及其八大理论创新如下：刘国光、于祖尧、苏星、卫兴华、杨圣明、张薰华、许涤新和后继者刘思华、程恩富。</w:t>
      </w:r>
    </w:p>
    <w:p w14:paraId="04182B3A">
      <w:pPr>
        <w:ind w:firstLine="360"/>
        <w:rPr>
          <w:rFonts w:eastAsia="宋体" w:cs="Times New Roman"/>
          <w:color w:val="000000"/>
          <w:sz w:val="21"/>
          <w:szCs w:val="21"/>
        </w:rPr>
      </w:pPr>
      <w:r>
        <w:rPr>
          <w:rFonts w:hint="eastAsia" w:eastAsia="宋体" w:cs="Times New Roman"/>
          <w:color w:val="000000"/>
          <w:sz w:val="21"/>
          <w:szCs w:val="21"/>
        </w:rPr>
        <w:t>中国社科院刘国光研究员是主张缩小指令性计划和市场改革取向的最早倡导者和创新者。在1979年7月一次关于经济体制改革取向问题的座谈会中他明确提出，高度集权的苏联模式仅是社会主义经济体制模式之一，东欧国家偏重分权、偏于分散的市场体制和用经济办法管理经济的模式，也是社会主义经济体制的重要模式之一。我国经济体制改革在选择模式时，“要解放思想，按照实践是检验真理的惟一标准来决定我们的取舍</w:t>
      </w:r>
      <w:r>
        <w:rPr>
          <w:rFonts w:ascii="Cambria Math" w:hAnsi="Cambria Math" w:eastAsia="宋体" w:cs="Cambria Math"/>
          <w:color w:val="000000"/>
          <w:sz w:val="21"/>
          <w:szCs w:val="21"/>
        </w:rPr>
        <w:t>⋯⋯</w:t>
      </w:r>
      <w:r>
        <w:rPr>
          <w:rFonts w:hint="eastAsia" w:eastAsia="宋体" w:cs="Times New Roman"/>
          <w:color w:val="000000"/>
          <w:sz w:val="21"/>
          <w:szCs w:val="21"/>
        </w:rPr>
        <w:t>只要有利于经济的发展和人民生活水平的提高，都是可以采取的，没有什么政治帽子问题，只有适不适合一个国家各个时期的具体历史条件和经济发展条件的问题，也就是适不适合一国国情的问题”，市场机制是实行分权管理体制的重要手段。①随后，在与人合著的《论社会主义经济中计划与市场的关系》一文中，从生产与需求脱节、计划价格脱离实际、供给制资金分配体制的缺陷、企业结构上自给自足倾向的原因等方面，翔实论证了社会主义经济中计划与市场相结合的必然性，并对计划经济条件下如何利用市场的问题和市场机制条件下如何加强经济发展的计划性问题，提出了完整、系统的改革举措与政策建议。这一报告受到当时国内经济学界、特别是政府决策部门和中央领导的高度重视，对我国社会主义市场改革取向的抉择产生了重要影响。中国经济体制改革初期的不同意见是激烈的，在80 年代初期，刘国光教授因他在改革取向抉择关键时期的这一历史性贡献而受到高层批评，但他没有退却。1984年，刘国光课题组提出《建设有中国特色的经济体制的总体设想》，开始独创性地阐述“双重模式转换”目标，逐步形成经济学的创新理论和政策体系，成为对改革影响最大的马克思主义经济学家。</w:t>
      </w:r>
    </w:p>
    <w:p w14:paraId="4DC1C98B">
      <w:pPr>
        <w:ind w:firstLine="360"/>
        <w:rPr>
          <w:rFonts w:eastAsia="宋体" w:cs="Times New Roman"/>
          <w:color w:val="000000"/>
          <w:sz w:val="21"/>
          <w:szCs w:val="21"/>
        </w:rPr>
      </w:pPr>
      <w:r>
        <w:rPr>
          <w:rFonts w:hint="eastAsia" w:eastAsia="宋体" w:cs="Times New Roman"/>
          <w:color w:val="000000"/>
          <w:sz w:val="21"/>
          <w:szCs w:val="21"/>
        </w:rPr>
        <w:t>1979年4月，在江苏省无锡市举行的全国价值规律理论讨论会，是中共十一届三中全会以来，也是解放以来中国经济学界规模最大的一次盛会。非常值得一提的理论突破是，在这次会议上，中国社科院经济研究所于祖尧研究员提交的《试论社会主义市场经济》一文，是国内最早正式提出“社会主义市场经济”概念和理论的。文章指出：“社会主义既然实行商品制度，那么，社会主义经济在本质上就不能不是一种特殊的市场经济，只不过它的性质和特征同资本主义市场经济有原则的区别。</w:t>
      </w:r>
      <w:r>
        <w:rPr>
          <w:rFonts w:ascii="Cambria Math" w:hAnsi="Cambria Math" w:eastAsia="宋体" w:cs="Cambria Math"/>
          <w:color w:val="000000"/>
          <w:sz w:val="21"/>
          <w:szCs w:val="21"/>
        </w:rPr>
        <w:t>⋯⋯</w:t>
      </w:r>
      <w:r>
        <w:rPr>
          <w:rFonts w:hint="eastAsia" w:eastAsia="宋体" w:cs="Times New Roman"/>
          <w:color w:val="000000"/>
          <w:sz w:val="21"/>
          <w:szCs w:val="21"/>
        </w:rPr>
        <w:t>为了加快实现四个现代化</w:t>
      </w:r>
      <w:r>
        <w:rPr>
          <w:rFonts w:eastAsia="宋体" w:cs="Times New Roman"/>
          <w:color w:val="000000"/>
          <w:sz w:val="21"/>
          <w:szCs w:val="21"/>
        </w:rPr>
        <w:t>，</w:t>
      </w:r>
      <w:r>
        <w:rPr>
          <w:rFonts w:hint="eastAsia" w:eastAsia="宋体" w:cs="Times New Roman"/>
          <w:color w:val="000000"/>
          <w:sz w:val="21"/>
          <w:szCs w:val="21"/>
        </w:rPr>
        <w:t>搞好经济改革，应当怎样正确地对待市场经济，这是我们经济学界需要认真研究的重大课题。”②此后30年来，于祖尧发表了关于建立和完善社会主义市场经济体制的一系列论著，深刻地阐明中国特色社会主义经济理论和政策。可见，现在仍坚定的马克思主义经济学家于祖尧（套用一句流行的话，应当是“于市场”） ，是我国社会主义市场经济理论的最早倡导者和杰出贡献者。</w:t>
      </w:r>
    </w:p>
    <w:p w14:paraId="58DBB59B">
      <w:pPr>
        <w:ind w:firstLine="360"/>
        <w:rPr>
          <w:rFonts w:eastAsia="宋体" w:cs="Times New Roman"/>
          <w:color w:val="000000"/>
          <w:sz w:val="21"/>
          <w:szCs w:val="21"/>
        </w:rPr>
      </w:pPr>
      <w:r>
        <w:rPr>
          <w:rFonts w:hint="eastAsia" w:eastAsia="宋体" w:cs="Times New Roman"/>
          <w:color w:val="000000"/>
          <w:sz w:val="21"/>
          <w:szCs w:val="21"/>
        </w:rPr>
        <w:t>1983年7月，中央党校苏星教授在《红旗》第14期上发表的《试论工业公司》一文中明确指出：“社会主义社会的物质技术基础也是社会化的大生产。在消灭生产资料的资本主义私有制、建立生产资料公有制以后，依然需要利用股份公司和托拉斯一类的社会化大生产组织形式，利用它们的管理经验</w:t>
      </w:r>
      <w:r>
        <w:rPr>
          <w:rFonts w:eastAsia="宋体" w:cs="Times New Roman"/>
          <w:color w:val="000000"/>
          <w:sz w:val="21"/>
          <w:szCs w:val="21"/>
        </w:rPr>
        <w:t>，</w:t>
      </w:r>
      <w:r>
        <w:rPr>
          <w:rFonts w:hint="eastAsia" w:eastAsia="宋体" w:cs="Times New Roman"/>
          <w:color w:val="000000"/>
          <w:sz w:val="21"/>
          <w:szCs w:val="21"/>
        </w:rPr>
        <w:t>使之为社会主义经济服务。</w:t>
      </w:r>
      <w:r>
        <w:rPr>
          <w:rFonts w:ascii="Cambria Math" w:hAnsi="Cambria Math" w:eastAsia="宋体" w:cs="Cambria Math"/>
          <w:color w:val="000000"/>
          <w:sz w:val="21"/>
          <w:szCs w:val="21"/>
        </w:rPr>
        <w:t>⋯⋯</w:t>
      </w:r>
      <w:r>
        <w:rPr>
          <w:rFonts w:hint="eastAsia" w:eastAsia="宋体" w:cs="Times New Roman"/>
          <w:color w:val="000000"/>
          <w:sz w:val="21"/>
          <w:szCs w:val="21"/>
        </w:rPr>
        <w:t>股份公司一类经济组织，作为社会化生产的组织形式，按理应当更适合于生产资料公有制的性质。因为在生产资料公有制的条件下，企业之间的根本利益是一致的，它们在国家政策的引导下，可以遵循自愿互利的原则，广泛组织公司和其他各种形式的联合体，不存在私有制的限制。当然，社会主义的公司和资本主义的公司在性质上是根本不同的。我们向资本主义的公司和托拉斯学习，主要是学习它们组织社会化大生产，特别是专业化和联合的经验，而不能照抄照搬。”以后，他对所有制和农村改革发展等一些问题，都发表过理论和政策探讨的论著。可见，今年刚去世的著名马克思主义经济学家苏星（套用一句流行的话，应当是“苏股份”）是我国社会主义股份制理论的最早倡导者和杰出贡献者。</w:t>
      </w:r>
    </w:p>
    <w:p w14:paraId="2623320B">
      <w:pPr>
        <w:ind w:firstLine="360"/>
        <w:rPr>
          <w:rFonts w:eastAsia="宋体" w:cs="Times New Roman"/>
          <w:color w:val="000000"/>
          <w:sz w:val="21"/>
          <w:szCs w:val="21"/>
        </w:rPr>
      </w:pPr>
      <w:r>
        <w:rPr>
          <w:rFonts w:hint="eastAsia" w:eastAsia="宋体" w:cs="Times New Roman"/>
          <w:color w:val="000000"/>
          <w:sz w:val="21"/>
          <w:szCs w:val="21"/>
        </w:rPr>
        <w:t>在1986 年《江西社会科学》第4 期刊发的《关于我国经济体制改革的理论问题》一文中，中国人民大学经济学院卫兴华教授提出：“社会主义经济体制似不应仅仅归结为一个管理体制问题。社会主义经济体制，首先包括社会主义经济制度运行和实现的具体形式，如公有制的运行和实现形式，按劳分配的运行和实现形式，以及其他社会主义生产关系的运行和实现形式等。”在同期发表的其他论文中，也强调提出：“发展和完善公有制，就需要完善公有制的实现形式。”他在《经济经纬》2004年第6期发表的《不要混同“公有制形式”和“公有制实现形式”》一文中又进一步指出，“国有经济和集体经济是公有制的存在形式，不是实现形式，股份制的性质取决于入股资本的性质，私有资本组织的股份制，依然是私有制。</w:t>
      </w:r>
      <w:r>
        <w:rPr>
          <w:rFonts w:ascii="Cambria Math" w:hAnsi="Cambria Math" w:eastAsia="宋体" w:cs="Cambria Math"/>
          <w:color w:val="000000"/>
          <w:sz w:val="21"/>
          <w:szCs w:val="21"/>
        </w:rPr>
        <w:t>⋯⋯</w:t>
      </w:r>
      <w:r>
        <w:rPr>
          <w:rFonts w:hint="eastAsia" w:eastAsia="宋体" w:cs="Times New Roman"/>
          <w:color w:val="000000"/>
          <w:sz w:val="21"/>
          <w:szCs w:val="21"/>
        </w:rPr>
        <w:t>也不能认为</w:t>
      </w:r>
      <w:r>
        <w:rPr>
          <w:rFonts w:eastAsia="宋体" w:cs="Times New Roman"/>
          <w:color w:val="000000"/>
          <w:sz w:val="21"/>
          <w:szCs w:val="21"/>
        </w:rPr>
        <w:t>，</w:t>
      </w:r>
      <w:r>
        <w:rPr>
          <w:rFonts w:hint="eastAsia" w:eastAsia="宋体" w:cs="Times New Roman"/>
          <w:color w:val="000000"/>
          <w:sz w:val="21"/>
          <w:szCs w:val="21"/>
        </w:rPr>
        <w:t>股份制成为公有制的主要实现形式，就否定或取代国有经济和集体经济这两种公有制形式。”卫兴华在所有制、分配、经济运行和经济发展等一系列经济现实问题都有研究，对马克思主义经济学许多基本原理均进行过深刻探讨，是高质高产的马克思主义理论家。</w:t>
      </w:r>
    </w:p>
    <w:p w14:paraId="706F541C">
      <w:pPr>
        <w:ind w:firstLine="360"/>
        <w:rPr>
          <w:rFonts w:eastAsia="宋体" w:cs="Times New Roman"/>
          <w:color w:val="000000"/>
          <w:sz w:val="21"/>
          <w:szCs w:val="21"/>
        </w:rPr>
      </w:pPr>
      <w:r>
        <w:rPr>
          <w:rFonts w:hint="eastAsia" w:eastAsia="宋体" w:cs="Times New Roman"/>
          <w:color w:val="000000"/>
          <w:sz w:val="21"/>
          <w:szCs w:val="21"/>
        </w:rPr>
        <w:t>1984年1 月，中国社科院杨圣明研究员在《中国经济发展战略问题研究》一书中明确提出：“寻找出适当的收入差距，既促进经济效率的提高，又有利于社会平等， 乃是重要的战略问题。</w:t>
      </w:r>
      <w:r>
        <w:rPr>
          <w:rFonts w:ascii="Cambria Math" w:hAnsi="Cambria Math" w:eastAsia="宋体" w:cs="Cambria Math"/>
          <w:color w:val="000000"/>
          <w:sz w:val="21"/>
          <w:szCs w:val="21"/>
        </w:rPr>
        <w:t>⋯⋯</w:t>
      </w:r>
      <w:r>
        <w:rPr>
          <w:rFonts w:hint="eastAsia" w:eastAsia="宋体" w:cs="Times New Roman"/>
          <w:color w:val="000000"/>
          <w:sz w:val="21"/>
          <w:szCs w:val="21"/>
        </w:rPr>
        <w:t>我国是社会主义国家</w:t>
      </w:r>
      <w:r>
        <w:rPr>
          <w:rFonts w:eastAsia="宋体" w:cs="Times New Roman"/>
          <w:color w:val="000000"/>
          <w:sz w:val="21"/>
          <w:szCs w:val="21"/>
        </w:rPr>
        <w:t>，</w:t>
      </w:r>
      <w:r>
        <w:rPr>
          <w:rFonts w:hint="eastAsia" w:eastAsia="宋体" w:cs="Times New Roman"/>
          <w:color w:val="000000"/>
          <w:sz w:val="21"/>
          <w:szCs w:val="21"/>
        </w:rPr>
        <w:t>既不能放弃平等</w:t>
      </w:r>
      <w:r>
        <w:rPr>
          <w:rFonts w:eastAsia="宋体" w:cs="Times New Roman"/>
          <w:color w:val="000000"/>
          <w:sz w:val="21"/>
          <w:szCs w:val="21"/>
        </w:rPr>
        <w:t>，</w:t>
      </w:r>
      <w:r>
        <w:rPr>
          <w:rFonts w:hint="eastAsia" w:eastAsia="宋体" w:cs="Times New Roman"/>
          <w:color w:val="000000"/>
          <w:sz w:val="21"/>
          <w:szCs w:val="21"/>
        </w:rPr>
        <w:t>也不能失去效率，要兼而有之。过去我们比较重视平等，但在一定程度上轻视效率。今后我们要重视效率，扩大收入差距，但是，决不能忽视平等问题。</w:t>
      </w:r>
      <w:r>
        <w:rPr>
          <w:rFonts w:ascii="Cambria Math" w:hAnsi="Cambria Math" w:eastAsia="宋体" w:cs="Cambria Math"/>
          <w:color w:val="000000"/>
          <w:sz w:val="21"/>
          <w:szCs w:val="21"/>
        </w:rPr>
        <w:t>⋯⋯</w:t>
      </w:r>
      <w:r>
        <w:rPr>
          <w:rFonts w:hint="eastAsia" w:eastAsia="宋体" w:cs="Times New Roman"/>
          <w:color w:val="000000"/>
          <w:sz w:val="21"/>
          <w:szCs w:val="21"/>
        </w:rPr>
        <w:t>我们在相当长的时期内强调效率</w:t>
      </w:r>
      <w:r>
        <w:rPr>
          <w:rFonts w:eastAsia="宋体" w:cs="Times New Roman"/>
          <w:color w:val="000000"/>
          <w:sz w:val="21"/>
          <w:szCs w:val="21"/>
        </w:rPr>
        <w:t>，</w:t>
      </w:r>
      <w:r>
        <w:rPr>
          <w:rFonts w:hint="eastAsia" w:eastAsia="宋体" w:cs="Times New Roman"/>
          <w:color w:val="000000"/>
          <w:sz w:val="21"/>
          <w:szCs w:val="21"/>
        </w:rPr>
        <w:t>扩大收入差距，并不是最终目的。我们要从目前的比较平等开始，经过扩大差距、提高效率的阶段，最终实现真正的社会平等。这种论断，根本不同于50年代库兹涅茨提出的所谓‘倒</w:t>
      </w:r>
      <w:r>
        <w:rPr>
          <w:rFonts w:eastAsia="宋体" w:cs="Times New Roman"/>
          <w:color w:val="000000"/>
          <w:sz w:val="21"/>
          <w:szCs w:val="21"/>
        </w:rPr>
        <w:t>U</w:t>
      </w:r>
      <w:r>
        <w:rPr>
          <w:rFonts w:hint="eastAsia" w:eastAsia="宋体" w:cs="Times New Roman"/>
          <w:color w:val="000000"/>
          <w:sz w:val="21"/>
          <w:szCs w:val="21"/>
        </w:rPr>
        <w:t>字形’假说。</w:t>
      </w:r>
      <w:r>
        <w:rPr>
          <w:rFonts w:ascii="Cambria Math" w:hAnsi="Cambria Math" w:eastAsia="宋体" w:cs="Cambria Math"/>
          <w:color w:val="000000"/>
          <w:sz w:val="21"/>
          <w:szCs w:val="21"/>
        </w:rPr>
        <w:t>⋯⋯</w:t>
      </w:r>
      <w:r>
        <w:rPr>
          <w:rFonts w:hint="eastAsia" w:eastAsia="宋体" w:cs="Times New Roman"/>
          <w:color w:val="000000"/>
          <w:sz w:val="21"/>
          <w:szCs w:val="21"/>
        </w:rPr>
        <w:t>与资本主义各国的情况不同，我国已经实现了生产资料社会主义公有制，通过对居民收入的有计划有步骤地调节，能够把效率和平等有机地结合起来，防止社会的两极分化，使我国最终创造出比资本主义更高的劳动效率。”③以后，在一些论著中，又进一步阐明和创新公平与效率以及与此相关的劳动价值论和分配论。可见，现在坚定的著名马克思主义经济学家杨圣明，是我国社会主义公平与效率理论的最早提出者和杰出贡献者。</w:t>
      </w:r>
    </w:p>
    <w:p w14:paraId="3E7D7CB3">
      <w:pPr>
        <w:ind w:firstLine="360"/>
        <w:rPr>
          <w:rFonts w:eastAsia="宋体" w:cs="Times New Roman"/>
          <w:color w:val="000000"/>
          <w:sz w:val="21"/>
          <w:szCs w:val="21"/>
        </w:rPr>
      </w:pPr>
      <w:r>
        <w:rPr>
          <w:rFonts w:hint="eastAsia" w:eastAsia="宋体" w:cs="Times New Roman"/>
          <w:color w:val="000000"/>
          <w:sz w:val="21"/>
          <w:szCs w:val="21"/>
        </w:rPr>
        <w:t>1984年在港澳经济研究会成立大会上，杰出的《资本论》研究专家、复旦大学张薰华教授提交了论文《论社会主义经济中地租的必然性》，从理论到实践阐述这一思路。论文载于《中国房地产》杂志1984年第8期。1985年初，由于中央对土地管理体制改革的重视，上海市委研究室注意到这篇文章，嘱再写一篇《再论社会主义商品经济中地租的必然性——兼论上海土地使用问题》，载于该室《内部资料》第6 期（ 1985 年1 月21日印发） 。文中指出，“土地的有偿使用关系到土地的合理使用和土地的公有权问题。级差地租应该成为国家的财源之一，港澳的租地办法可以采用。”《再论》这篇文章又受到中央书记处研究室注意，嘱再补充，标题改为《论社会主义商品经济中地租的必然性》， 1985年4月10日载于该室内刊《调查与研究》第5期，发至全国各省市领导机关。这就为中国土地批租制度的建立提供了理论依据。根据以上机理，土地国有化不仅排除了土地私有制，而且排除了土地集体所有制。因为集体单位使用土地带来级差超额利润，也是社会转移来的价值，不是劳动创造的价值。同理，国有企业也不应无偿使用土地。无偿划拨土地实质上是将国有土地变为企业土地。1987年，在深圳参加“城市土地管理体制改革”讨论会上，张薰华教授就此提出论文《论土地国有化与地租的归属问题》。后来，深圳市政府将该市农村土地全部收归国有。改革以来，张薰华率先发表关于价格改革、保护环境、发展交通等一些现实经济问题的论著，对马克思主义经济理论有重要贡献。</w:t>
      </w:r>
    </w:p>
    <w:p w14:paraId="1801BEC1">
      <w:pPr>
        <w:ind w:firstLine="360"/>
        <w:rPr>
          <w:rFonts w:eastAsia="宋体" w:cs="Times New Roman"/>
          <w:color w:val="000000"/>
          <w:sz w:val="21"/>
          <w:szCs w:val="21"/>
        </w:rPr>
      </w:pPr>
      <w:r>
        <w:rPr>
          <w:rFonts w:hint="eastAsia" w:eastAsia="宋体" w:cs="Times New Roman"/>
          <w:color w:val="000000"/>
          <w:sz w:val="21"/>
          <w:szCs w:val="21"/>
        </w:rPr>
        <w:t>1980年3月，中国社科院经济研究所许涤新研究员在全国《资本论》研究会年会上所作的会长主旨报告是《马克思与生态经济学》，是我国第一个提出要重视环境和构建生态经济学的杰出马克思主义经济学家。他就此发表了相关论文。作为许涤新生态环境经济研究团队的主要学者和继承人刘思华， 1987年8月在定稿《理论生态经济学若干问题研究》一书时，论证社会主义生产的直接目的是保证人民的全面需要，就深刻地论述了社会主义满足人民生态、物质、精神三类需要的实现过程，也就是三大文明建设过程。他指出：“社会主义制度下，人民群众的全面需要及其满足程度和实现方式，是社会主义物质文明、精神文明、生态文明三大文明建设的根本问题。”④</w:t>
      </w:r>
    </w:p>
    <w:p w14:paraId="2EF83044">
      <w:pPr>
        <w:ind w:firstLine="360"/>
        <w:rPr>
          <w:rFonts w:eastAsia="宋体" w:cs="Times New Roman"/>
          <w:color w:val="000000"/>
          <w:sz w:val="21"/>
          <w:szCs w:val="21"/>
        </w:rPr>
      </w:pPr>
      <w:r>
        <w:rPr>
          <w:rFonts w:hint="eastAsia" w:eastAsia="宋体" w:cs="Times New Roman"/>
          <w:color w:val="000000"/>
          <w:sz w:val="21"/>
          <w:szCs w:val="21"/>
        </w:rPr>
        <w:t>2003年5月，在《在创建世界的工厂过程中实施知识产权优势战略》一文中，笔者提出：“比较优势是由一国资源禀赋和交易条件所决定的静态优势，是获取竞争优势的条件；竞争优势是一种将潜在优势转化为现实优势的综合能力的作用结果；比较优势作为一种潜在优势，只有最终转化为竞争优势，才能形成真正的出口竞争力。要实现我国出口产品的结构升级，就必须以国际经济综合竞争为导向，将现有的比较优势转化为竞争优势，而其中的关键就在于创造和培育我国的知识产权优势或知产型竞争优势。所谓知识产权优势，是指通过培育和发挥拥有自主知识产权的经济优势，是相对于比较优势、竞争优势而言的第三种优势。它避免了笼统的竞争优势的理论缺陷，而突出了以技术和品牌为核心的经济优势或竞争优势。它不仅应体现在我国的高新技术产业部门及具有战略意义的产业部门，必须掌握自主研究、自主开发、具有自主知识产权的核心技术，建立以自主知识产权为基础的标准体系，而且还体现在我国传统的民族产业或低端产品部门，包括劳动密集型产业部门，也必须塑造在国际上具有一定影响力的民族品牌和名牌。”⑤</w:t>
      </w:r>
    </w:p>
    <w:p w14:paraId="59ABC3D2">
      <w:pPr>
        <w:ind w:firstLine="360"/>
        <w:rPr>
          <w:rFonts w:eastAsia="宋体" w:cs="Times New Roman"/>
          <w:color w:val="000000"/>
          <w:sz w:val="21"/>
          <w:szCs w:val="21"/>
        </w:rPr>
      </w:pPr>
      <w:r>
        <w:rPr>
          <w:rFonts w:hint="eastAsia" w:eastAsia="宋体" w:cs="Times New Roman"/>
          <w:color w:val="000000"/>
          <w:sz w:val="21"/>
          <w:szCs w:val="21"/>
        </w:rPr>
        <w:t>从上述现代马克思主义经济学家理论联系实践的创新、甚至是原创中可以表明：中国政治经济学的转型，不是从传统政治经济学转向现代西方经济学，而是在科学扬弃和超越苏联经济学和现代西方经济学的基础上转向现代马克思主义政治经济学，包括现代社会主义市场经济和现代资本主义市场经济的基本理论。就理论经济学来说，世界主流经济学是西方经济学，而马克思主义经济学则是非主流经济学；改革后社会主义中国的主流经济学是现代马克思主义经济学，而现代西方经济学则是非主流经济学。共产党执政的社会主义国家，是不可能将资产阶级执政党奉为主流的经济学作为本国主流经济学的。同现代西方经济学一样，现代马克思主义政治经济学既是学术体系，又是一种理论信仰和意识形态，应当在学术和意识形态两个相关领域都发挥指导作用。如果只赞成马克思主义经济学作为经济意识形态的指导地位，而不赞成它在经济学教学和研究中的学术指导地位，则会架空马克思主义经济学。</w:t>
      </w:r>
    </w:p>
    <w:p w14:paraId="1E43EC7C">
      <w:pPr>
        <w:ind w:firstLine="360"/>
        <w:rPr>
          <w:rFonts w:eastAsia="宋体" w:cs="Times New Roman"/>
          <w:b/>
          <w:color w:val="000000"/>
          <w:sz w:val="21"/>
          <w:szCs w:val="21"/>
        </w:rPr>
      </w:pPr>
      <w:r>
        <w:rPr>
          <w:rFonts w:hint="eastAsia" w:eastAsia="宋体" w:cs="Times New Roman"/>
          <w:b/>
          <w:color w:val="000000"/>
          <w:sz w:val="21"/>
          <w:szCs w:val="21"/>
        </w:rPr>
        <w:t>三、经济学现代化的总体创新原则</w:t>
      </w:r>
    </w:p>
    <w:p w14:paraId="43FD87CF">
      <w:pPr>
        <w:ind w:firstLine="360"/>
        <w:rPr>
          <w:rFonts w:eastAsia="宋体" w:cs="Times New Roman"/>
          <w:color w:val="000000"/>
          <w:sz w:val="21"/>
          <w:szCs w:val="21"/>
        </w:rPr>
      </w:pPr>
      <w:r>
        <w:rPr>
          <w:rFonts w:hint="eastAsia" w:eastAsia="宋体" w:cs="Times New Roman"/>
          <w:color w:val="000000"/>
          <w:sz w:val="21"/>
          <w:szCs w:val="21"/>
        </w:rPr>
        <w:t>改革以来，“中国经济学向何处去”一直是经济理论界热门话题。1994年初，程恩富在《21世纪：重建中国经济学》⑥一文中曾对中国经济学的发展阶段和前景作了总体判断，后引起连锁反响。近年来，这个话题又被一些学者以如何推进中国经济学的“国际化”、如何推进“现代经济学的本土化”等形式提了出来。在上述问题引导下，目前理论界流行诸如“西方经济学本土化”、“西方经济学中国化”、“中国经济学必须西方化或国际化”、“经济学要与国际接轨”、“西方经济学是现代经济学”、“政治经济学不是学术”、“马克思主义经济学被西方经济学取代是改革方向”、“中国经济学的国际化只有先从组织上让非马克思主义的‘海龟’执掌院校”之类的解答。这是很值得商榷的。</w:t>
      </w:r>
    </w:p>
    <w:p w14:paraId="05C5E5DF">
      <w:pPr>
        <w:ind w:firstLine="360"/>
        <w:rPr>
          <w:rFonts w:eastAsia="宋体" w:cs="Times New Roman"/>
          <w:color w:val="000000"/>
          <w:sz w:val="21"/>
          <w:szCs w:val="21"/>
        </w:rPr>
      </w:pPr>
      <w:r>
        <w:rPr>
          <w:rFonts w:hint="eastAsia" w:eastAsia="宋体" w:cs="Times New Roman"/>
          <w:color w:val="000000"/>
          <w:sz w:val="21"/>
          <w:szCs w:val="21"/>
        </w:rPr>
        <w:t>中国经济学作为应当科学地揭示当代中国经济运行和发展规律的重要理论，必须适应当代国际经济环境对中国社会主义经济提出的挑战，必须适应中国社会主义初级阶段的经济科学发展的要求。因而，对于中国经济学发展趋势的正确提问，就决不是如何与现代西方经济学的接轨、使现代西方经济学“本土化”的问题。而应当是如何在唯物史观的指导下，推进中国经济学在科学轨道上实现现代化的问题。进一步说，也就是我国的经济学教学和研究如何适应现代社会主义经济全球化和市场经济的科学发展的需要，实现马克思主义经济学在中国的现代化、具体化的问题。</w:t>
      </w:r>
    </w:p>
    <w:p w14:paraId="1054188E">
      <w:pPr>
        <w:ind w:firstLine="360"/>
        <w:rPr>
          <w:rFonts w:eastAsia="宋体" w:cs="Times New Roman"/>
          <w:color w:val="000000"/>
          <w:sz w:val="21"/>
          <w:szCs w:val="21"/>
        </w:rPr>
      </w:pPr>
      <w:r>
        <w:rPr>
          <w:rFonts w:hint="eastAsia" w:eastAsia="宋体" w:cs="Times New Roman"/>
          <w:color w:val="000000"/>
          <w:sz w:val="21"/>
          <w:szCs w:val="21"/>
        </w:rPr>
        <w:t>分析如何推进中国经济学现代化这个问题涉及方方面面，就其解决这个问题的基本学术方针和总体创新原则而言，可以扼要地概括为：“马学为体、西学为用、国学为根，世情为鉴、国情为据，综合创新”⑦下面拟阐述对这一基本学术方针和总体创新原则的一些看法。</w:t>
      </w:r>
    </w:p>
    <w:p w14:paraId="1CD6F5BC">
      <w:pPr>
        <w:ind w:firstLine="360"/>
        <w:rPr>
          <w:rFonts w:eastAsia="宋体" w:cs="Times New Roman"/>
          <w:color w:val="000000"/>
          <w:sz w:val="21"/>
          <w:szCs w:val="21"/>
        </w:rPr>
      </w:pPr>
      <w:r>
        <w:rPr>
          <w:rFonts w:hint="eastAsia" w:eastAsia="宋体" w:cs="Times New Roman"/>
          <w:color w:val="000000"/>
          <w:sz w:val="21"/>
          <w:szCs w:val="21"/>
        </w:rPr>
        <w:t>（一）关于“马学为体”</w:t>
      </w:r>
    </w:p>
    <w:p w14:paraId="5D687154">
      <w:pPr>
        <w:ind w:firstLine="360"/>
        <w:rPr>
          <w:rFonts w:eastAsia="宋体" w:cs="Times New Roman"/>
          <w:color w:val="000000"/>
          <w:sz w:val="21"/>
          <w:szCs w:val="21"/>
        </w:rPr>
      </w:pPr>
      <w:r>
        <w:rPr>
          <w:rFonts w:hint="eastAsia" w:eastAsia="宋体" w:cs="Times New Roman"/>
          <w:color w:val="000000"/>
          <w:sz w:val="21"/>
          <w:szCs w:val="21"/>
        </w:rPr>
        <w:t>“马学”是指中外马克思主义知识体系。“体”，在中国古代哲学语言中具有“根本的、内在的”含义。⑧强调中国经济学现代化必须坚持“马学为体”，就是要始终坚持马克思主义经济学是中国现代经济学的根本和主导。这就是说，中国经济学的现代化在研究方向上，必须始终毫不动摇地坚持唯物史观的指引，遵循着马克思的理论的道路前进；在内容上，必须毫不动摇地以马克思主义经济学知识体系中的基本范畴、科学原理为主体，面对新的历史条件拓展和创新；在处理中外多元经济思想的关系上，必须毫不动摇地坚持马克思主义经济学的指导地位。</w:t>
      </w:r>
    </w:p>
    <w:p w14:paraId="5172103B">
      <w:pPr>
        <w:ind w:firstLine="360"/>
        <w:rPr>
          <w:rFonts w:eastAsia="宋体" w:cs="Times New Roman"/>
          <w:color w:val="000000"/>
          <w:sz w:val="21"/>
          <w:szCs w:val="21"/>
        </w:rPr>
      </w:pPr>
      <w:r>
        <w:rPr>
          <w:rFonts w:hint="eastAsia" w:eastAsia="宋体" w:cs="Times New Roman"/>
          <w:color w:val="000000"/>
          <w:sz w:val="21"/>
          <w:szCs w:val="21"/>
        </w:rPr>
        <w:t>“马学为体”是中国经济学现代化必须强调的根本原则，一旦偏离这一原则，理论创新将难以为继，经济学的现代化将偏离科学化的轨道。必须充分认识，中国经济学的现代化，决不是一个简单的时空发展概念，而是在时空发展中的不断科学化的过程。只有“马学为体”，才能保证实现中国经济学的现代化创新始终沿着科学的轨道前进。强调“马学为体”，有必要纠正近些年来流行的一些对马克思主义经济学的认识误区：一是把马克思主义经济学视为与西方经济学各种流派相提并论的一种理论流派；二是简单地把马克思主义经济学分割为“革命的经济学”与“建设的经济学”；三是宣扬马克思主义及其经济学只是意识形态非学术；四是认为生产力先进的美欧国家，其经济学也一定是先进的。</w:t>
      </w:r>
    </w:p>
    <w:p w14:paraId="533E2478">
      <w:pPr>
        <w:ind w:firstLine="360"/>
        <w:rPr>
          <w:rFonts w:eastAsia="宋体" w:cs="Times New Roman"/>
          <w:color w:val="000000"/>
          <w:sz w:val="21"/>
          <w:szCs w:val="21"/>
        </w:rPr>
      </w:pPr>
      <w:r>
        <w:rPr>
          <w:rFonts w:hint="eastAsia" w:eastAsia="宋体" w:cs="Times New Roman"/>
          <w:color w:val="000000"/>
          <w:sz w:val="21"/>
          <w:szCs w:val="21"/>
        </w:rPr>
        <w:t>在追求经济学科学化的意义上，可以说，越是坚持“马学为体”，就越能促进中国经济学的现代化。而越是偏离“马学为体”，越是追随西方现代经济学，中国经济学越难以实现科学的现代化，而且有可能使中国经济学陷入当代资产阶级经济学“学术殖民地”和“马前卒”的可悲地位。</w:t>
      </w:r>
    </w:p>
    <w:p w14:paraId="6B5694CC">
      <w:pPr>
        <w:ind w:firstLine="360"/>
        <w:rPr>
          <w:rFonts w:eastAsia="宋体" w:cs="Times New Roman"/>
          <w:color w:val="000000"/>
          <w:sz w:val="21"/>
          <w:szCs w:val="21"/>
        </w:rPr>
      </w:pPr>
      <w:r>
        <w:rPr>
          <w:rFonts w:hint="eastAsia" w:eastAsia="宋体" w:cs="Times New Roman"/>
          <w:color w:val="000000"/>
          <w:sz w:val="21"/>
          <w:szCs w:val="21"/>
        </w:rPr>
        <w:t>（二）关于“西学为用”</w:t>
      </w:r>
    </w:p>
    <w:p w14:paraId="361645BC">
      <w:pPr>
        <w:ind w:firstLine="360"/>
        <w:rPr>
          <w:rFonts w:eastAsia="宋体" w:cs="Times New Roman"/>
          <w:color w:val="000000"/>
          <w:sz w:val="21"/>
          <w:szCs w:val="21"/>
        </w:rPr>
      </w:pPr>
      <w:r>
        <w:rPr>
          <w:rFonts w:hint="eastAsia" w:eastAsia="宋体" w:cs="Times New Roman"/>
          <w:color w:val="000000"/>
          <w:sz w:val="21"/>
          <w:szCs w:val="21"/>
        </w:rPr>
        <w:t>撇开自然科学不论，西学是指西方马克思主义以外的社会科学知识体系，本文主要指阐述近现代主流经济思想的西方经济学。就整体看，西方主流经济学仍然保持着当年马克思揭示的资产阶级经济学的非科学的固有特征，如：表面性、片面性、主观性、虚伪性、辩护性和庸俗性，因而从整体上说，现代西方经济学不是科学的经济思想体系。</w:t>
      </w:r>
    </w:p>
    <w:p w14:paraId="0E3D9483">
      <w:pPr>
        <w:ind w:firstLine="360"/>
        <w:rPr>
          <w:rFonts w:eastAsia="宋体" w:cs="Times New Roman"/>
          <w:color w:val="000000"/>
          <w:sz w:val="21"/>
          <w:szCs w:val="21"/>
        </w:rPr>
      </w:pPr>
      <w:r>
        <w:rPr>
          <w:rFonts w:hint="eastAsia" w:eastAsia="宋体" w:cs="Times New Roman"/>
          <w:color w:val="000000"/>
          <w:sz w:val="21"/>
          <w:szCs w:val="21"/>
        </w:rPr>
        <w:t>但是，不能“西学为体”，并不等于不要“西学为用”。我们所说的“西学为用”，当然不是“西学为体”意义上的“为用”，而是在“马学为体”前提下对“西学”的借鉴和利用。按照我国古代哲学的“体用”一般含义，“‘体’是最根本的、内在的，‘用’是‘体’的表现和产物”。⑨用这种“体”“用”一致的思想看“马学”同“西学”，可以看到，两者之“体”存在唯物史观和唯心史观基本思想的根本区别；相应的，两者的“用”或者说表现形式和发生作用的方式也存在一系列差异。例如在理论形式上，西方经济学分为微观经济学和宏观经济经济学两大缺乏内在联系的理论板块；马克思主义政治经济学则从抽象到具体，是一个再现一定历史条件下的经济的社会形态的有机理论体系。然而，如果把“马学”与“西学”的“体用”区别绝对化，以为“马学为体”就绝对不能借鉴、利用“西学”，那就陷入了孤立地对待“马学”、“西学”的形而上学误区，在思想方法上就连近代的张之洞都不如了。</w:t>
      </w:r>
    </w:p>
    <w:p w14:paraId="4EC98A4A">
      <w:pPr>
        <w:ind w:firstLine="360"/>
        <w:rPr>
          <w:rFonts w:eastAsia="宋体" w:cs="Times New Roman"/>
          <w:color w:val="000000"/>
          <w:sz w:val="21"/>
          <w:szCs w:val="21"/>
        </w:rPr>
      </w:pPr>
      <w:r>
        <w:rPr>
          <w:rFonts w:hint="eastAsia" w:eastAsia="宋体" w:cs="Times New Roman"/>
          <w:color w:val="000000"/>
          <w:sz w:val="21"/>
          <w:szCs w:val="21"/>
        </w:rPr>
        <w:t>我们在坚持“马学”“体用”一致的同时，有必要提出“西学为用”。在西方经济学众多流派中，有的描述了社会分工制度、市场竞争机制对于生产力发展的促进作用，有的承认了资本主义社会失业、危机的不可避免，有的创建了宏观经济运行的总量分析、调控和预测方法，有的揭示出产业发展和经济增长的某些规律，有的对企业管理一般制度做了不同角度的研究，有的形成了经济政策学，凡此种种，或多或少地反映了资本主义市场经济的客观状况。只要我们能够剥离其不科学的成分，加以改造和充实，就能提炼出科学的经济思想。在对待“西学”的态度上，马克思在《资本论》中为我们树立了讲科学的榜样。许多原本是资产阶级经济学的范畴和原理，经过马克思革命性的批判、分析和借鉴，以崭新的含义纳入了马克思主义经济学的系统。</w:t>
      </w:r>
    </w:p>
    <w:p w14:paraId="55541C7B">
      <w:pPr>
        <w:ind w:firstLine="360"/>
        <w:rPr>
          <w:rFonts w:eastAsia="宋体" w:cs="Times New Roman"/>
          <w:color w:val="000000"/>
          <w:sz w:val="21"/>
          <w:szCs w:val="21"/>
        </w:rPr>
      </w:pPr>
      <w:r>
        <w:rPr>
          <w:rFonts w:hint="eastAsia" w:eastAsia="宋体" w:cs="Times New Roman"/>
          <w:color w:val="000000"/>
          <w:sz w:val="21"/>
          <w:szCs w:val="21"/>
        </w:rPr>
        <w:t>这里有必要指出，决不能把“西学为用”与一种流行的倾向混同起来。这种倾向认为，马克思主义经济学没有应用价值，在解决市场的实际经济问题方面只能用“西学”。改革以来，中国马克思主义经济学在应用领域进展受阻，因为一些应用经济学的学科负责人以基本照搬西方应用经济学为“创新”，存在一种“学术惰性”，由此产生只有西方经济学才有应用价值这种错觉。我们必须克服这一“学术惰性”，树立中国特色的学术创新自信和自觉，努力构建或完善马克思主义的现代应用经济学学科体系，如文化经济学、消费经济学、土地经济学、交通经济学、劳动经济学、产业经济学、国际贸易学、经济心理学、经济美学等。为此，也决定了我们应当尤其重视现代西方应用经济学，努力吸收“西学”这方面的有益元素，加快马克思主义的应用经济学的大发展、大繁荣。这样的“西学为用”，是为丰富和发展马克思主义学术及其中国化的“体”服务的，也是中国马克思主义经济学现代化的内在要求。</w:t>
      </w:r>
    </w:p>
    <w:p w14:paraId="5D1ECC88">
      <w:pPr>
        <w:ind w:firstLine="360"/>
        <w:rPr>
          <w:rFonts w:eastAsia="宋体" w:cs="Times New Roman"/>
          <w:color w:val="000000"/>
          <w:sz w:val="21"/>
          <w:szCs w:val="21"/>
        </w:rPr>
      </w:pPr>
      <w:r>
        <w:rPr>
          <w:rFonts w:hint="eastAsia" w:eastAsia="宋体" w:cs="Times New Roman"/>
          <w:color w:val="000000"/>
          <w:sz w:val="21"/>
          <w:szCs w:val="21"/>
        </w:rPr>
        <w:t>（三）关于“国学为根”</w:t>
      </w:r>
    </w:p>
    <w:p w14:paraId="356DC845">
      <w:pPr>
        <w:ind w:firstLine="360"/>
        <w:rPr>
          <w:rFonts w:eastAsia="宋体" w:cs="Times New Roman"/>
          <w:color w:val="000000"/>
          <w:sz w:val="21"/>
          <w:szCs w:val="21"/>
        </w:rPr>
      </w:pPr>
      <w:r>
        <w:rPr>
          <w:rFonts w:hint="eastAsia" w:eastAsia="宋体" w:cs="Times New Roman"/>
          <w:color w:val="000000"/>
          <w:sz w:val="21"/>
          <w:szCs w:val="21"/>
        </w:rPr>
        <w:t>撇开自然科学不论，国学是指中国古近代的社会科学知识体系，本文主要指古近代的经济思想。国学为根，就是要在中国经济学现代化过程中，重视自古以来经济思想中反映的一般经济规律和中国特殊经济国情的精华。正如毛泽东所强调的“古为今用”，“我们这个民族有数千年的历史，有它的特点，有他的许多珍贵品。”“从孔夫子到孙中山，我们应当给以总结，继承这一份珍贵的遗产。”⑩在中国经济学现代化的进程中，这对于形成中国特点、中国气派和中国风格具有不可低估的价值。</w:t>
      </w:r>
    </w:p>
    <w:p w14:paraId="6BCE48F4">
      <w:pPr>
        <w:ind w:firstLine="360"/>
        <w:rPr>
          <w:rFonts w:eastAsia="宋体" w:cs="Times New Roman"/>
          <w:color w:val="000000"/>
          <w:sz w:val="21"/>
          <w:szCs w:val="21"/>
        </w:rPr>
      </w:pPr>
      <w:r>
        <w:rPr>
          <w:rFonts w:hint="eastAsia" w:eastAsia="宋体" w:cs="Times New Roman"/>
          <w:color w:val="000000"/>
          <w:sz w:val="21"/>
          <w:szCs w:val="21"/>
        </w:rPr>
        <w:t>在唯物史观看来，中国本土历史上形成的各种经济思想，都是一定历史时期经济事实的反映。它们直接、间接甚至扭曲地反映着的，不仅有在相同历史条件下各国普遍存在的经济因素，而且有中国特殊的国情和文化因素。这些特殊性因素属于中国从古到今的“根”或者借用生物学的说法，属于中国经济形态的“基因”。只要中国作为民族国家还存在，这些“基因”就会存在。在中国经济学的现代化进程中，始终重视中国的特殊国情和历史传统因素，才有助于形成具有中国特色的现代马克思主义经济学。诚然，我们所说的“国学为根”，并不是说可以简单地、不分青红皂白地弘扬“国学”，而是主张剔除其封建性的经济思想糟粕， 吸收其体现中国优良传统的、科学性的精华。</w:t>
      </w:r>
    </w:p>
    <w:p w14:paraId="663603AB">
      <w:pPr>
        <w:ind w:firstLine="360"/>
        <w:rPr>
          <w:rFonts w:eastAsia="宋体" w:cs="Times New Roman"/>
          <w:color w:val="000000"/>
          <w:sz w:val="21"/>
          <w:szCs w:val="21"/>
        </w:rPr>
      </w:pPr>
      <w:r>
        <w:rPr>
          <w:rFonts w:hint="eastAsia" w:eastAsia="宋体" w:cs="Times New Roman"/>
          <w:color w:val="000000"/>
          <w:sz w:val="21"/>
          <w:szCs w:val="21"/>
        </w:rPr>
        <w:t>历史地看，中国古近代经济思想中，包括许多给当代人诸多启发的科学成分。它们是很了不起的。例如，我们在史书中可以读到“劳则富”</w:t>
      </w: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11</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 xml:space="preserve"> 、“节用而爱人，使民以时”</w:t>
      </w: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12</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、“治国之道，必先富民”</w:t>
      </w: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13</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、“俭节则昌，淫佚（逸）则亡”</w:t>
      </w: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14</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等等，这些经济思想认识到劳动创造财富，富民才能强国，主张爱护劳动力，珍惜劳动时间，崇尚节俭，反对浪费；我国古籍中关于预先规划国家经济活动（如《管子》的“国规”思想） 、封山禁猎、封湖禁渔等记载，包含着从全局布局生产力，力求经济持续发展等等，可以说是现代宏观调控、可持续发展思想的先声。这些思想反映了人类社会经济运动的一般要求，具有长远的历史价值。</w:t>
      </w:r>
    </w:p>
    <w:p w14:paraId="580E6C2E">
      <w:pPr>
        <w:ind w:firstLine="360"/>
        <w:rPr>
          <w:rFonts w:eastAsia="宋体" w:cs="Times New Roman"/>
          <w:color w:val="000000"/>
          <w:sz w:val="21"/>
          <w:szCs w:val="21"/>
        </w:rPr>
      </w:pPr>
      <w:r>
        <w:rPr>
          <w:rFonts w:hint="eastAsia" w:eastAsia="宋体" w:cs="Times New Roman"/>
          <w:color w:val="000000"/>
          <w:sz w:val="21"/>
          <w:szCs w:val="21"/>
        </w:rPr>
        <w:t>研究中国古近代知识体系中的经济思想，还有助于增强推进中国经济学现代化的民族自信力，纠正那种一讲经济现代化，就想到西方经济学的自卑乃至盲目崇洋心理。历史展示出我国古近代产生过许多卓越的经济思想，如春秋战国“百家争鸣”时期，产生了《管子》这样的系统论述经济管理的著作，内容涉及经济哲学思想、经济与政治的关系、财富与劳动的关系，阐释了分配、消费、增长、贸易、财政以及市场、货币、价格等广泛的经济范畴，堪称世界范围内的罕见的经济学辉煌巨著；产生了一批具有深刻思想的大家，如墨翟把“利”归结于物质财富，那时就提出了与西方近代斯密思想相近的“交相利”的思想（彼此相利，利人就是利己） ；范蠡提出了可能是全世界最早的经济循环论</w:t>
      </w: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15</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这些思想都可与西方古希腊色诺芬等思想家对人类的贡献相媲美。就近代具有进步意义的经济思想而言，洪秀全的《天朝田亩制度》和《资政新篇》，反映了农业空想社会主义和工商业资本主义的经济思想和政策主张；康有为在政治上虽然是保皇的改良主义者，但他的《大同书》，是用“国学”语言和智慧来表达社会主义的经济思想和终极经济模式，是具有中国风格的最具想象力的空想社会主义著作，足以名列世界伟大空想社会主义思想家之列，并在一定意义上成为“国学”的集大成者和终极者，成为“马学”的同盟者。体现新生资本主义生产关系发展要求的经济思想也并不单纯是西方的舶来品，以孙中山为代表的、反帝反封建、扶助农工的中国式的民族资本主义思想，以及平均地权和抑制私人大资本的小资产阶级经济思想，也有“马学”和建设国有经济为主导和控制力以及公有制为主体的初级社会主义可溯源、可借鉴之元素。</w:t>
      </w:r>
    </w:p>
    <w:p w14:paraId="73A5385D">
      <w:pPr>
        <w:ind w:firstLine="360"/>
        <w:rPr>
          <w:rFonts w:eastAsia="宋体" w:cs="Times New Roman"/>
          <w:color w:val="000000"/>
          <w:sz w:val="21"/>
          <w:szCs w:val="21"/>
        </w:rPr>
      </w:pPr>
      <w:r>
        <w:rPr>
          <w:rFonts w:hint="eastAsia" w:eastAsia="宋体" w:cs="Times New Roman"/>
          <w:color w:val="000000"/>
          <w:sz w:val="21"/>
          <w:szCs w:val="21"/>
        </w:rPr>
        <w:t>（四）关于“世情为鉴”和“国情为据”</w:t>
      </w:r>
    </w:p>
    <w:p w14:paraId="4C66E09A">
      <w:pPr>
        <w:ind w:firstLine="360"/>
        <w:rPr>
          <w:rFonts w:eastAsia="宋体" w:cs="Times New Roman"/>
          <w:color w:val="000000"/>
          <w:sz w:val="21"/>
          <w:szCs w:val="21"/>
        </w:rPr>
      </w:pPr>
      <w:r>
        <w:rPr>
          <w:rFonts w:hint="eastAsia" w:eastAsia="宋体" w:cs="Times New Roman"/>
          <w:color w:val="000000"/>
          <w:sz w:val="21"/>
          <w:szCs w:val="21"/>
        </w:rPr>
        <w:t>“马学”、“西学”和“国学”，这三大知识体系本身都属于思想资料和理论来源的范畴。要真正推进中国经济学的现代化，还必须结合当代国内外新的经济实践，以“世情为鉴”和“国情为据”。</w:t>
      </w:r>
    </w:p>
    <w:p w14:paraId="66BD4F78">
      <w:pPr>
        <w:ind w:firstLine="360"/>
        <w:rPr>
          <w:rFonts w:eastAsia="宋体" w:cs="Times New Roman"/>
          <w:color w:val="000000"/>
          <w:sz w:val="21"/>
          <w:szCs w:val="21"/>
        </w:rPr>
      </w:pPr>
      <w:r>
        <w:rPr>
          <w:rFonts w:hint="eastAsia" w:eastAsia="宋体" w:cs="Times New Roman"/>
          <w:color w:val="000000"/>
          <w:sz w:val="21"/>
          <w:szCs w:val="21"/>
        </w:rPr>
        <w:t>1.“世情为鉴”。“世情”有丰富的含义，从经济学的角度指整个世界及各国经济的历史、现状和未来的演化和发展状况。“世情”的真相是中国经济学在现代化进程中把握正确方向的重要借鉴。例如，世界新自由主义主张非调控化的市场原教旨主义、宣扬“私有产权神话”、反对建立国际经济新秩序、主张福利个人化。在美英等发达国家推行下，一度成为全球盛行的经济学思潮。然而，综观近10年左右的这种思潮主导下的经济全球化实践，可以清晰地看到：苏东出现倒退的十年，拉美是失去的十年，日本是爬行的十几年，美欧是缓升的十几年。被联合国认定的49个最不发达的国家（亦称第四世界） ，并没有通过私有化和发达资本主义国家主导的经济全球化途径富强起来，有的反而更加贫穷。近年来，拉美国家纷纷倾向社会主义，这显示出，新自由主义主导全球化阶段正逐步走向衰败，经济全球化终将趋向社会主义主导的阶段。以上述“世情”为鉴，中国现代经济学对美国和世界经济发展的正反两方面经验和新自由主义经济理论和政策应采取分析和甄别的科学态度。</w:t>
      </w:r>
    </w:p>
    <w:p w14:paraId="070EFE0D">
      <w:pPr>
        <w:ind w:firstLine="360"/>
        <w:rPr>
          <w:rFonts w:eastAsia="宋体" w:cs="Times New Roman"/>
          <w:color w:val="000000"/>
          <w:sz w:val="21"/>
          <w:szCs w:val="21"/>
        </w:rPr>
      </w:pPr>
      <w:r>
        <w:rPr>
          <w:rFonts w:hint="eastAsia" w:eastAsia="宋体" w:cs="Times New Roman"/>
          <w:color w:val="000000"/>
          <w:sz w:val="21"/>
          <w:szCs w:val="21"/>
        </w:rPr>
        <w:t>2.“国情为据”。构建和完善具有中国特色、中国气派和中国风格的科学现代经济学，只能依据由生产力水平最终决定的社会形态、文化传统、自然环境等复杂因素构成的国情，其中又包含着省情、市情、县情以及城、乡差别实情。改革开放30年来，广大人民群众最重要的实践就是围绕和努力实现社会主义公有制与市场经济的高效结合。中国经济学有必要总结这方面的成功经验。要充分看到，中国城市已经出现了一批富有实力、活力和竞争力的国有大型和特大型企业及企业集团；中国农村也出现了一批坚持社会主义公有制，在市场经济环境中实现共同致富的典型，如河南的南街村和刘庄、江苏的华西村、长江村等。从它们的实践经验中，可以发现前无古人的市场经济与公有制有效结合的新规律。只有从这些富有创造性的社会主义经济实践经验中吸取营养，才能真正推进中国马克思主义经济学的现代化。</w:t>
      </w:r>
    </w:p>
    <w:p w14:paraId="528E1A51">
      <w:pPr>
        <w:ind w:firstLine="360"/>
        <w:rPr>
          <w:rFonts w:eastAsia="宋体" w:cs="Times New Roman"/>
          <w:color w:val="000000"/>
          <w:sz w:val="21"/>
          <w:szCs w:val="21"/>
        </w:rPr>
      </w:pPr>
      <w:r>
        <w:rPr>
          <w:rFonts w:hint="eastAsia" w:eastAsia="宋体" w:cs="Times New Roman"/>
          <w:color w:val="000000"/>
          <w:sz w:val="21"/>
          <w:szCs w:val="21"/>
        </w:rPr>
        <w:t>（五）关于“综合创新”</w:t>
      </w:r>
    </w:p>
    <w:p w14:paraId="52DBE4B9">
      <w:pPr>
        <w:ind w:firstLine="360"/>
        <w:rPr>
          <w:rFonts w:eastAsia="宋体" w:cs="Times New Roman"/>
          <w:color w:val="000000"/>
          <w:sz w:val="21"/>
          <w:szCs w:val="21"/>
        </w:rPr>
      </w:pPr>
      <w:r>
        <w:rPr>
          <w:rFonts w:hint="eastAsia" w:eastAsia="宋体" w:cs="Times New Roman"/>
          <w:color w:val="000000"/>
          <w:sz w:val="21"/>
          <w:szCs w:val="21"/>
        </w:rPr>
        <w:t>上述理论上的“马学为体”、“西学为用”、“国学为根”，实践上的“世情为鉴”和“国情为据”，最终要落实到中国经济学现代化进程中的“综合创新”上。经济学现代化的“综合创新”，要求在综合前人经济思想的基础上，结合现代历史条件下的中外经济实践，科学创新已有的经济理论。没有分析，就不可能综合；没有在不断分析过程中的相应的不断综合，也就不能做到深入的分析和全面的综合。因此， 中国经济学现代化进程中的“综合创新”，是在结合当代中外实践的基础上，对“马学”、“西学”和“国学”三大知识体系提供的经济材料进行分析与综合的过程。“综合创新”，意味着正确处理三大知识体系之间的相互关系，以及对它们的分析综合与实践检验之间的关系。</w:t>
      </w:r>
    </w:p>
    <w:p w14:paraId="02688F3E">
      <w:pPr>
        <w:ind w:firstLine="360"/>
        <w:rPr>
          <w:rFonts w:eastAsia="宋体" w:cs="Times New Roman"/>
          <w:color w:val="000000"/>
          <w:sz w:val="21"/>
          <w:szCs w:val="21"/>
        </w:rPr>
      </w:pPr>
      <w:r>
        <w:rPr>
          <w:rFonts w:hint="eastAsia" w:eastAsia="宋体" w:cs="Times New Roman"/>
          <w:color w:val="000000"/>
          <w:sz w:val="21"/>
          <w:szCs w:val="21"/>
        </w:rPr>
        <w:t>中国经济学现代化过程中的这种“综合创新”，乃是追求真理的经济学者在唯物史观指导下发挥主观能动性的过程。也就是说，要以马克思主义科学经济学为根本，以西方非马克思主义经济学知识和合理元素为借用，以古近代的经济思想资料为弄清中国国情特征的历史源头，进行可持续的综合创新和理论超越。中国经济学现代化的“综合创新”，为的是形成具有中国特色、中国风格和中国气派的中国现代马克思主义经济学。应当从简单引进和模仿外国经济学的自在方式，实现向理论创新的自觉或自为方式的转变。这意味着，要实现两个超越：既在具体化的意义上超越马列经典经济学，又在科学范式的意义上超越当代西方经济学；要体现两种实践：既体现东西方市场经济实践，又体现有中国特色的社会主义实践；要显现两种创新：既要有经济学的某些常规发展，又要有其范式的革命。它将是一种科学反映经济现代性的“后现代经济学”，同时也将是一种“后马克思经济学新综合”，也就是在唯物史观指导下，以世界眼光，坚持“马学”这个根本，在当代国外经济学继续分化和局部综合的基础上，去实现全面系统的科学大综合。其中包括分析和借鉴西方马克思主义经济理论、西方激进经济理论、凯恩斯左翼经济理论、克鲁格曼国际经济理论、发展经济学、比较经济学以及“中心—外围”等发展中国家经济理论；积极汲取当代哲学、伦理学、美学、心理学、法学、政治学、系统学、场态学、生物学、数学等多学科的可用方法。</w:t>
      </w: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16</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w:t>
      </w:r>
    </w:p>
    <w:p w14:paraId="7D9A1C57">
      <w:pPr>
        <w:ind w:firstLine="360"/>
        <w:rPr>
          <w:rFonts w:eastAsia="宋体" w:cs="Times New Roman"/>
          <w:b/>
          <w:color w:val="000000"/>
          <w:sz w:val="21"/>
          <w:szCs w:val="21"/>
        </w:rPr>
      </w:pPr>
      <w:r>
        <w:rPr>
          <w:rFonts w:hint="eastAsia" w:eastAsia="宋体" w:cs="Times New Roman"/>
          <w:b/>
          <w:color w:val="000000"/>
          <w:sz w:val="21"/>
          <w:szCs w:val="21"/>
        </w:rPr>
        <w:t>四、经济学现代化的五个创新基石</w:t>
      </w:r>
    </w:p>
    <w:p w14:paraId="793699A5">
      <w:pPr>
        <w:ind w:firstLine="360"/>
        <w:rPr>
          <w:rFonts w:eastAsia="宋体" w:cs="Times New Roman"/>
          <w:color w:val="000000"/>
          <w:sz w:val="21"/>
          <w:szCs w:val="21"/>
        </w:rPr>
      </w:pPr>
      <w:r>
        <w:rPr>
          <w:rFonts w:hint="eastAsia" w:eastAsia="宋体" w:cs="Times New Roman"/>
          <w:color w:val="000000"/>
          <w:sz w:val="21"/>
          <w:szCs w:val="21"/>
        </w:rPr>
        <w:t>新时期30年，中国现代政治经济学总体上以马克思主义及其中国化经济思想为指导，以中外市场经济为实践源泉，取得了人类经济学说发展史上的重大成果，并对高绩效的中国经济发展和改革开放作出了巨大的贡献，体现出中华民族伟大的经济智慧，为全世界的经济学发展提供了具有“中国学派”色彩的系统经济理论。</w:t>
      </w:r>
    </w:p>
    <w:p w14:paraId="07B681DA">
      <w:pPr>
        <w:ind w:firstLine="360"/>
        <w:rPr>
          <w:rFonts w:eastAsia="宋体" w:cs="Times New Roman"/>
          <w:color w:val="000000"/>
          <w:sz w:val="21"/>
          <w:szCs w:val="21"/>
        </w:rPr>
      </w:pPr>
      <w:r>
        <w:rPr>
          <w:rFonts w:hint="eastAsia" w:eastAsia="宋体" w:cs="Times New Roman"/>
          <w:color w:val="000000"/>
          <w:sz w:val="21"/>
          <w:szCs w:val="21"/>
        </w:rPr>
        <w:t>创新马克思主义经济学范式的基石是什么?或者说“核心带”理论是什么? 在笔者看来，现代马克思主义经济学的基石或“核心带”理论，至少可以创新出五个最主要的理论假设并逐渐形成共识。</w:t>
      </w:r>
    </w:p>
    <w:p w14:paraId="1E56B433">
      <w:pPr>
        <w:ind w:firstLine="360"/>
        <w:rPr>
          <w:rFonts w:eastAsia="宋体" w:cs="Times New Roman"/>
          <w:color w:val="000000"/>
          <w:sz w:val="21"/>
          <w:szCs w:val="21"/>
        </w:rPr>
      </w:pPr>
      <w:r>
        <w:rPr>
          <w:rFonts w:hint="eastAsia" w:eastAsia="宋体" w:cs="Times New Roman"/>
          <w:color w:val="000000"/>
          <w:sz w:val="21"/>
          <w:szCs w:val="21"/>
        </w:rPr>
        <w:t>第一，新的活劳动创造价值假设。依据马克思关于活劳动创造为市场交换而生产的商品价值，以及纯粹为商品价值形态转换服务的流通不创造价值的科学精神，我们认为，凡是直接为市场交换而生产物质商品和精神商品，以及直接为劳动力商品的生产和再生产服务的劳动，其中包括自然人和法人实体的内部管理劳动和科技劳动，都属于创造价值的劳动或生产劳动。这一新的“活劳动价值说”，不仅没有否定马克思的核心思想和方法，而且恰恰是遵循了马克思研究物质生产领域价值创造的思路，并把它扩展到一切社会经济部门后所形成的必然结论。</w:t>
      </w:r>
    </w:p>
    <w:p w14:paraId="579BB5A2">
      <w:pPr>
        <w:ind w:firstLine="360"/>
        <w:rPr>
          <w:rFonts w:eastAsia="宋体" w:cs="Times New Roman"/>
          <w:color w:val="000000"/>
          <w:sz w:val="21"/>
          <w:szCs w:val="21"/>
        </w:rPr>
      </w:pPr>
      <w:r>
        <w:rPr>
          <w:rFonts w:hint="eastAsia" w:eastAsia="宋体" w:cs="Times New Roman"/>
          <w:color w:val="000000"/>
          <w:sz w:val="21"/>
          <w:szCs w:val="21"/>
        </w:rPr>
        <w:t>第二，利己利他经济人假设。马克思主义经典著作家没有全面阐述经济人理论，近现代西方经济学的经济人理论又有严重错误，那么，什么样的理论才是科学的? 依据人类实践和问题导向，并受马克思主义的思想启迪，我认为必须用一种新“经济人”假说和理论来为社会主义市场经济奠定基本假设和理论基础。其方法论是整体主义、唯物主义和现实主义的，具体也包含三个基本命题： 1. 经济活动中的人有利己和利他两种倾向或性质； 2. 经济活动中的人具有理性与非理性两种状态； 3. 良好的制度会使经济活动中的人在增进集体利益或社会利益最大化的过程中实现合理的个人利益最大化。至于社会上利己和利他哪种行为特征突出或占主导地位，那就取决于社会制度和各种环境。因为人的利己与利他是一种社会网络中的互动行为，具有交互性的内在机理，总是与特定的社会整体大环境和群体小环境相关联。</w:t>
      </w:r>
    </w:p>
    <w:p w14:paraId="5C660C68">
      <w:pPr>
        <w:ind w:firstLine="360"/>
        <w:rPr>
          <w:rFonts w:eastAsia="宋体" w:cs="Times New Roman"/>
          <w:color w:val="000000"/>
          <w:sz w:val="21"/>
          <w:szCs w:val="21"/>
        </w:rPr>
      </w:pPr>
      <w:r>
        <w:rPr>
          <w:rFonts w:hint="eastAsia" w:eastAsia="宋体" w:cs="Times New Roman"/>
          <w:color w:val="000000"/>
          <w:sz w:val="21"/>
          <w:szCs w:val="21"/>
        </w:rPr>
        <w:t>第三，资源和需求双约束假设。从辩证思维和假定的一致性或对称性来分析，尽管西方经济学家对资源与需求相互关系的描述有相当的道理，但仍然存在明显的逻辑缺陷。这是因为，当假定资源有限时，暗含着以一定的时点和条件为前提，而假定需求或需要无限时，并没有以一定的时点和条件为前提。把两个前提不一致或不对称的事物和概念放在一起，假定为是它们之间唯一的一对矛盾，这显然过于简单化和绝对化，缺乏完整的逻辑性和辩证性。从资源利用方面看，资源在一定条件下或在某个时点上是有限的，但又是无限的，因为包含资源在内的整个宇宙本身是无限的，科技发展也是无限的。从需求欲望方面看，需求在一定条件下或在某个时点上也是有限的，而且在商品经济中实际的需求，还是指有货币支付能力的需求，并非指人们脱离现实生产力和货币状况的空想性需要。合理需要本身也是有约束和限制的。因此，我们作这样的假设可能更全面和科学，即假定资源和需求都是有约束的，简称资源和需求双约束假设。</w:t>
      </w:r>
    </w:p>
    <w:p w14:paraId="3AE82CA4">
      <w:pPr>
        <w:ind w:firstLine="360"/>
        <w:rPr>
          <w:rFonts w:eastAsia="宋体" w:cs="Times New Roman"/>
          <w:color w:val="000000"/>
          <w:sz w:val="21"/>
          <w:szCs w:val="21"/>
        </w:rPr>
      </w:pPr>
      <w:r>
        <w:rPr>
          <w:rFonts w:hint="eastAsia" w:eastAsia="宋体" w:cs="Times New Roman"/>
          <w:color w:val="000000"/>
          <w:sz w:val="21"/>
          <w:szCs w:val="21"/>
        </w:rPr>
        <w:t>第四，公平与效率交促同向变动假设。经济学意义上的公平，是指有关经济活动的制度、权利、机会和结果等方面的平等和合理。经济公平具有客观性、历史性和相对性。经济学意义上的效率，是指经济资源的配置和产出状态。对于一个企业或社会来说，最高效率意味着资源处于最优配置状态，从而使特定范围内的需要得到最大满足或福利得到最大增进或财富得到最大增加。经济效率涉及到生产、分配、交换和消费各个领域，涉及到经济力和经济关系各个方面。它包括宏观经济效率和微观经济效率两大效率问题。经济公平与经济效率是交互促进并发生同方向变动的，即越是公平，越有效率；越是不公平，越是无效率。这同最近中央强调公平与效率的有机统一和更加注重社会公平是一致的。</w:t>
      </w:r>
    </w:p>
    <w:p w14:paraId="043B2076">
      <w:pPr>
        <w:ind w:firstLine="360"/>
        <w:rPr>
          <w:rFonts w:eastAsia="宋体" w:cs="Times New Roman"/>
          <w:color w:val="000000"/>
          <w:sz w:val="21"/>
          <w:szCs w:val="21"/>
        </w:rPr>
      </w:pPr>
      <w:r>
        <w:rPr>
          <w:rFonts w:hint="eastAsia" w:eastAsia="宋体" w:cs="Times New Roman"/>
          <w:color w:val="000000"/>
          <w:sz w:val="21"/>
          <w:szCs w:val="21"/>
        </w:rPr>
        <w:t>第五，公有制高绩效假设。从马克思经济学中概括出来的公有制高绩效假设，是指在计划经济条件下生产资料归全社会成员共同所有的公有制体系能达到社会绩效最大化。从邓小平经济理论中概括出来的公有制高绩效假设，是指在市场经济条件下生产资料全民所有制和集体所有制能达到社会绩效最大化。但其中均存在多种复杂的前提条件，如不存在严重的社会腐败，委托代理双方权责是合理的，国企承担额外社会义务需另行核算，政府的管理、政策和操作没出现大失误，选聘的经营者有较高素质，等等。只有大体同时具备这些前提条件，社会主义公有制与计划经济或市场经济的结合才能呈现高绩效。倘若过去或现实生活中搞好社会主义公有制的前提条件缺失而导致某些低绩效现象，这并不能证明计划经济或市场经济的条件下公有制经济不可行和必然低绩效。</w:t>
      </w:r>
    </w:p>
    <w:p w14:paraId="64E89D1B">
      <w:pPr>
        <w:ind w:firstLine="360"/>
        <w:rPr>
          <w:rFonts w:eastAsia="宋体" w:cs="Times New Roman"/>
          <w:b/>
          <w:color w:val="000000"/>
          <w:sz w:val="21"/>
          <w:szCs w:val="21"/>
        </w:rPr>
      </w:pPr>
      <w:r>
        <w:rPr>
          <w:rFonts w:hint="eastAsia" w:eastAsia="宋体" w:cs="Times New Roman"/>
          <w:b/>
          <w:color w:val="000000"/>
          <w:sz w:val="21"/>
          <w:szCs w:val="21"/>
        </w:rPr>
        <w:t>五、经济学现代化的五大态势</w:t>
      </w:r>
    </w:p>
    <w:p w14:paraId="7E5875EF">
      <w:pPr>
        <w:ind w:firstLine="360"/>
        <w:rPr>
          <w:rFonts w:eastAsia="宋体" w:cs="Times New Roman"/>
          <w:color w:val="000000"/>
          <w:sz w:val="21"/>
          <w:szCs w:val="21"/>
        </w:rPr>
      </w:pPr>
      <w:r>
        <w:rPr>
          <w:rFonts w:hint="eastAsia" w:eastAsia="宋体" w:cs="Times New Roman"/>
          <w:color w:val="000000"/>
          <w:sz w:val="21"/>
          <w:szCs w:val="21"/>
        </w:rPr>
        <w:t>改革开放以来，我国一大批老中青马克思主义经济学家事实上是以此为原则进行理论研究和政策探讨的，传承和创新工作成效显著。近年有更大的进展，从而中国经济学的现代化呈现出五大科学发展态势。</w:t>
      </w:r>
    </w:p>
    <w:p w14:paraId="2DEB045F">
      <w:pPr>
        <w:ind w:firstLine="360"/>
        <w:rPr>
          <w:rFonts w:eastAsia="宋体" w:cs="Times New Roman"/>
          <w:color w:val="000000"/>
          <w:sz w:val="21"/>
          <w:szCs w:val="21"/>
        </w:rPr>
      </w:pPr>
      <w:r>
        <w:rPr>
          <w:rFonts w:hint="eastAsia" w:eastAsia="宋体" w:cs="Times New Roman"/>
          <w:color w:val="000000"/>
          <w:sz w:val="21"/>
          <w:szCs w:val="21"/>
        </w:rPr>
        <w:t>一是注重对重大现实经济问题进行体现科学发展观的理论和政策探讨。中国经济学的现代化必须紧密结合马克思主义中国化理论和中国特色社会主义经济理论体系。经济学家于祖尧、项启源、杨圣明、卫兴华、纪宝成、张宇等已发表了许多论著，准确阐发马克思主义中国化的最新理论成果。近来，著名经济学家刘国光依据党的十七大精神，又撰文阐明“发挥国家计划在宏观调控中的导向作用”的意义，指出国家计划同财政政策、货币政策一样，是重要的宏观调控手段，强调市场必须“在国家宏观调控下”起资源配置的基础性作用是非常重要的；阐明“坚持和完善基本经济制度”的意义，提出公有制在社会总资产和经营性资产中占优势比例可能丧失这个问题；阐明我国贫富差距扩大最根本的原因在所有制结构的变化，需要从基本经济制度来最终地阻止向两级分化推进的趋势。经济学家杨承训探讨科学发展观与社会主义市场经济的依存机理，认为完善的社会主义市场经济体制为科学发展提供保障，针对市场经济的缺陷，须用科学发展观引领社会主义市场经济健康发展。</w:t>
      </w:r>
    </w:p>
    <w:p w14:paraId="1B8798F5">
      <w:pPr>
        <w:ind w:firstLine="360"/>
        <w:rPr>
          <w:rFonts w:eastAsia="宋体" w:cs="Times New Roman"/>
          <w:color w:val="000000"/>
          <w:sz w:val="21"/>
          <w:szCs w:val="21"/>
        </w:rPr>
      </w:pPr>
      <w:r>
        <w:rPr>
          <w:rFonts w:hint="eastAsia" w:eastAsia="宋体" w:cs="Times New Roman"/>
          <w:color w:val="000000"/>
          <w:sz w:val="21"/>
          <w:szCs w:val="21"/>
        </w:rPr>
        <w:t>二是注重对经济学原理的超越性发展。中国经济学的现代化必须加强马克思主义经济学的方法、假设、原理的学术创新。现代马克思主义经济学已经强调理论假设和研究方法的现实性、科学性和辩证性，因而具有更大的理论认知功能和社会建设功能。以《中国社会科学》去年发表的两篇论文为例。笔者在《现代马克思主义政治经济学的四大理论假设》长文中，主张在坚持马克思主义政治经济学基本精神与批判现代西方主流经济学假设的基础上，现代马克思主义政治经济学需提出并坚持四大理论假设，即“新的活劳动创造价值假设”、“利己和利他经济人假设”、“资源和需要双约束假设”、“公平与效率互促同向变动假设”；经济学家何干强在《论唯物史观的经济分析范式》一文中，论述思维中应当自觉运用的经济辩证法是客观辩证法在经济领域的特殊形式在头脑中的反映，作为经济分析工具，它包括具有分析功能的马克思主义经济学范畴、原理和形成唯物史观分析路径的辩证法要素这两个方面；与西方经济学分析方法对比，唯物史观经济分析范式具有显著的科学特征和优势。</w:t>
      </w:r>
    </w:p>
    <w:p w14:paraId="32BAC867">
      <w:pPr>
        <w:ind w:firstLine="360"/>
        <w:rPr>
          <w:rFonts w:eastAsia="宋体" w:cs="Times New Roman"/>
          <w:color w:val="000000"/>
          <w:sz w:val="21"/>
          <w:szCs w:val="21"/>
        </w:rPr>
      </w:pPr>
      <w:r>
        <w:rPr>
          <w:rFonts w:hint="eastAsia" w:eastAsia="宋体" w:cs="Times New Roman"/>
          <w:color w:val="000000"/>
          <w:sz w:val="21"/>
          <w:szCs w:val="21"/>
        </w:rPr>
        <w:t>三是注重对政治经济学理论的数学表达和分析。中国经济学的现代化必须继承《资本论》最先高度重视数学的优良学术传统，并科学借鉴现代西方经济学采用数学的方法。前年“全国首届现代政治经济学数学分析研讨会”在上海财经大学召开便是一个重要标志。冯金华、马艳、白暴力、丁堡骏、孟捷、余斌等一批知名中青年教授一致认为，现代政治经济学应该继承马克思重视数学分析的优良传统，充分借鉴数学分析的工具，进行马克思主义经济学原理的论证、阐述和发展，以弥补定性分析和规范分析的不足。诚然，现代政治经济学在运用数学分析方法进行理论传承和创新以及弥补现代政治经济学的缺憾时，应当坚持唯物辩证法为总的方法论原则，应当避免数学分析的形式主义和滥用，应当把数学分析与现代马克思主义政治经济学前提假设和理论基础结合起来，以期实现数学分析与现代政治经济学的有机结合。他们提交的论文和学术界发表的论著还从数学分析的视角，对现代政治经济学的劳动创造价值、价值转型、再生产循环、物质生产优先增长、利润率变动趋势等前沿问题进行了研讨。体现数学分析的《新编现代政治经济学》教材今年问世。</w:t>
      </w:r>
    </w:p>
    <w:p w14:paraId="0F7A58F7">
      <w:pPr>
        <w:ind w:firstLine="360"/>
        <w:rPr>
          <w:rFonts w:eastAsia="宋体" w:cs="Times New Roman"/>
          <w:color w:val="000000"/>
          <w:sz w:val="21"/>
          <w:szCs w:val="21"/>
        </w:rPr>
      </w:pPr>
      <w:r>
        <w:rPr>
          <w:rFonts w:hint="eastAsia" w:eastAsia="宋体" w:cs="Times New Roman"/>
          <w:color w:val="000000"/>
          <w:sz w:val="21"/>
          <w:szCs w:val="21"/>
        </w:rPr>
        <w:t>四是注重用现代政治经济学引领应用经济学创新。中国经济学的现代化必须体现在理论经济学和应用经济学的各个学科，而积极运用现代政治经济学的创新理论来指导和引领其他理论经济学、尤其是应用经济学，属于当务之急。前年在贵州大学召开的“全国首届现代马克思主义政治经济学与应用经济学创新”国际研讨会便是一个转折性发展态势，中外经济学家已经倡导用发展着的现代政治经济学理论引领应用经济学的创新和发展，充分发挥现代马克思主义理论经济学和应用经济学在学术研究、政策制定、经济管理中的作用；强调要建立和健全政治经济学与应用经济学的互动互促关系，发表更多的学科交叉成果；主张要运用现代政治经济学的方法和理论，在有扬有弃地借鉴现代西方应用经济学的基础上，真正实现学术原创和应用高效。目前，文化经济学、可持续发展经济学、劳动经济学、产业经济学、贸易学、金融学、财政学等，已产生用与时俱进的现代政治经济学观点进行理论创新的一些成果，就是似乎较难做到的会计学，国内外也有一定进展。同时，《新编现代政治经济学》等经济学教材已开始追溯经济思想的国学之根，弘扬中华文明。</w:t>
      </w:r>
    </w:p>
    <w:p w14:paraId="438653AE">
      <w:pPr>
        <w:ind w:firstLine="360"/>
        <w:rPr>
          <w:rFonts w:eastAsia="宋体" w:cs="Times New Roman"/>
          <w:color w:val="000000"/>
          <w:sz w:val="21"/>
          <w:szCs w:val="21"/>
        </w:rPr>
      </w:pPr>
      <w:r>
        <w:rPr>
          <w:rFonts w:hint="eastAsia" w:eastAsia="宋体" w:cs="Times New Roman"/>
          <w:color w:val="000000"/>
          <w:sz w:val="21"/>
          <w:szCs w:val="21"/>
        </w:rPr>
        <w:t>五是注重与国外马克思主义经济学的互动和借鉴。中国经济学的现代化必须与国外当代马克思主义经济学实行“引进来、走出去”的双向交流，因为国外经济学科学的主要学术前沿在马克思主义经济理论研究领域。近年全球学术团体——世界政治经济学学会在上海、日本和北京分别成功举办“经济全球化与现代马克思主义经济学”、“世界劳资关系的现代政治经济学观察”、“马克思主义与可持续发展”三届论坛，并发表了相关理论的共识宣言。</w:t>
      </w: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17</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从20多个世界主要国家的百位经济学家提交的众多论文来看，具有中国特色的经济学理论已经越来越受到各国学者的高度重视，越南日前也已出版笔者主编的《新编现代政治经济学》教材； 同时，我国学者正在选译100本国外马克思主义经济学名著，美国大卫·科茨、日本伊藤诚、法国迪劳内等世界著名马克思主义经济学家的前沿理论，已经被中国学者所关注和借鉴。这种双向学术交流和借鉴是中国经济学现代化的重要走势和图像。</w:t>
      </w:r>
    </w:p>
    <w:p w14:paraId="596B6CD1">
      <w:pPr>
        <w:ind w:firstLine="360"/>
        <w:rPr>
          <w:rFonts w:eastAsia="宋体" w:cs="Times New Roman"/>
          <w:color w:val="000000"/>
          <w:sz w:val="21"/>
          <w:szCs w:val="21"/>
        </w:rPr>
      </w:pPr>
      <w:r>
        <w:rPr>
          <w:rFonts w:hint="eastAsia" w:eastAsia="宋体" w:cs="Times New Roman"/>
          <w:color w:val="000000"/>
          <w:sz w:val="21"/>
          <w:szCs w:val="21"/>
        </w:rPr>
        <w:t>注　释：</w:t>
      </w:r>
    </w:p>
    <w:p w14:paraId="29E41B25">
      <w:pPr>
        <w:ind w:firstLine="360"/>
        <w:rPr>
          <w:rFonts w:eastAsia="宋体" w:cs="Times New Roman"/>
          <w:color w:val="000000"/>
          <w:sz w:val="21"/>
          <w:szCs w:val="21"/>
        </w:rPr>
      </w:pPr>
      <w:r>
        <w:rPr>
          <w:rFonts w:hint="eastAsia" w:eastAsia="宋体" w:cs="Times New Roman"/>
          <w:color w:val="000000"/>
          <w:sz w:val="21"/>
          <w:szCs w:val="21"/>
        </w:rPr>
        <w:t>①　座谈会中刘国光教授的发言题目为《对经济体制改革中几个重要问题的看法》，后载于《经济管理》1979年第11期。</w:t>
      </w:r>
    </w:p>
    <w:p w14:paraId="1E18A275">
      <w:pPr>
        <w:ind w:firstLine="360"/>
        <w:rPr>
          <w:rFonts w:eastAsia="宋体" w:cs="Times New Roman"/>
          <w:color w:val="000000"/>
          <w:sz w:val="21"/>
          <w:szCs w:val="21"/>
        </w:rPr>
      </w:pPr>
      <w:r>
        <w:rPr>
          <w:rFonts w:hint="eastAsia" w:eastAsia="宋体" w:cs="Times New Roman"/>
          <w:color w:val="000000"/>
          <w:sz w:val="21"/>
          <w:szCs w:val="21"/>
        </w:rPr>
        <w:t>②　《经济研究资料》第50期（1979年3月28日） ，并编</w:t>
      </w:r>
      <w:r>
        <w:rPr>
          <w:rFonts w:eastAsia="宋体" w:cs="Times New Roman"/>
          <w:color w:val="000000"/>
          <w:sz w:val="21"/>
          <w:szCs w:val="21"/>
        </w:rPr>
        <w:t>14</w:t>
      </w:r>
      <w:r>
        <w:rPr>
          <w:rFonts w:hint="eastAsia" w:eastAsia="宋体" w:cs="Times New Roman"/>
          <w:color w:val="000000"/>
          <w:sz w:val="21"/>
          <w:szCs w:val="21"/>
        </w:rPr>
        <w:t>入会议文集《社会主义经济中计划与市场的关系》，中国社会科学出版社1980年版。</w:t>
      </w:r>
    </w:p>
    <w:p w14:paraId="453FCF7C">
      <w:pPr>
        <w:ind w:firstLine="360"/>
        <w:rPr>
          <w:rFonts w:eastAsia="宋体" w:cs="Times New Roman"/>
          <w:color w:val="000000"/>
          <w:sz w:val="21"/>
          <w:szCs w:val="21"/>
        </w:rPr>
      </w:pPr>
      <w:r>
        <w:rPr>
          <w:rFonts w:hint="eastAsia" w:eastAsia="宋体" w:cs="Times New Roman"/>
          <w:color w:val="000000"/>
          <w:sz w:val="21"/>
          <w:szCs w:val="21"/>
        </w:rPr>
        <w:t>③　《杨圣明文集》，上海辞书出版社2005年版，第440 -442页。</w:t>
      </w:r>
    </w:p>
    <w:p w14:paraId="3C94607A">
      <w:pPr>
        <w:ind w:firstLine="360"/>
        <w:rPr>
          <w:rFonts w:eastAsia="宋体" w:cs="Times New Roman"/>
          <w:color w:val="000000"/>
          <w:sz w:val="21"/>
          <w:szCs w:val="21"/>
        </w:rPr>
      </w:pPr>
      <w:r>
        <w:rPr>
          <w:rFonts w:hint="eastAsia" w:eastAsia="宋体" w:cs="Times New Roman"/>
          <w:color w:val="000000"/>
          <w:sz w:val="21"/>
          <w:szCs w:val="21"/>
        </w:rPr>
        <w:t>④　《理论生态经济学若干问题研究》，广西人民出版社1989年版，第275页。</w:t>
      </w:r>
    </w:p>
    <w:p w14:paraId="0D59F254">
      <w:pPr>
        <w:ind w:firstLine="360"/>
        <w:rPr>
          <w:rFonts w:eastAsia="宋体" w:cs="Times New Roman"/>
          <w:color w:val="000000"/>
          <w:sz w:val="21"/>
          <w:szCs w:val="21"/>
        </w:rPr>
      </w:pPr>
      <w:r>
        <w:rPr>
          <w:rFonts w:hint="eastAsia" w:eastAsia="宋体" w:cs="Times New Roman"/>
          <w:color w:val="000000"/>
          <w:sz w:val="21"/>
          <w:szCs w:val="21"/>
        </w:rPr>
        <w:t>⑤　《国际经贸探索》2003年第3期。</w:t>
      </w:r>
    </w:p>
    <w:p w14:paraId="05050B96">
      <w:pPr>
        <w:ind w:firstLine="360"/>
        <w:rPr>
          <w:rFonts w:eastAsia="宋体" w:cs="Times New Roman"/>
          <w:color w:val="000000"/>
          <w:sz w:val="21"/>
          <w:szCs w:val="21"/>
        </w:rPr>
      </w:pPr>
      <w:r>
        <w:rPr>
          <w:rFonts w:hint="eastAsia" w:eastAsia="宋体" w:cs="Times New Roman"/>
          <w:color w:val="000000"/>
          <w:sz w:val="21"/>
          <w:szCs w:val="21"/>
        </w:rPr>
        <w:t>⑥　2006年4月3日在首届论坛的共识宣言指出：“新古典经济学已经成为世界上许多国家主流的经济学研究方法，其所主张的经济政策使世界人民付出了巨大的经济代价，并成为解决各种社会经济问题的障碍。马克思主义经济学为分析当代世界经济问题，以及分析资本主义制度和社会主义制度，提供了最好的理论基础。它为不断解决当今世界经济的严重问题打下了基础。同时，它也为社会主义和共产主义在世界范围内最终取代资本主义指明了方向，这正是人类实现其社会经济发展潜力所必需的。我们决心发展马克思主义经济学，并运用它来分析和解决当代人类所面临的社会经济问题。为此，我们要联合世界各国的马克思主义经济学家，并推动我们共同事业的发展。我们将努力扩大现代马克思主义经济学在学术活动、公共政策讨论以及其他领域的影响。”详见《海派经济学》（季刊） 2006 年总第14辑。</w:t>
      </w:r>
    </w:p>
    <w:p w14:paraId="5C5EE788">
      <w:pPr>
        <w:ind w:firstLine="360"/>
        <w:rPr>
          <w:rFonts w:eastAsia="宋体" w:cs="Times New Roman"/>
          <w:color w:val="000000"/>
          <w:sz w:val="21"/>
          <w:szCs w:val="21"/>
        </w:rPr>
      </w:pPr>
      <w:r>
        <w:rPr>
          <w:rFonts w:hint="eastAsia" w:eastAsia="宋体" w:cs="Times New Roman"/>
          <w:color w:val="000000"/>
          <w:sz w:val="21"/>
          <w:szCs w:val="21"/>
        </w:rPr>
        <w:t>⑦　参见程恩富：《21世纪：重建中国经济学》，《社会科学报》1994年4月7日。</w:t>
      </w:r>
    </w:p>
    <w:p w14:paraId="60E31112">
      <w:pPr>
        <w:ind w:firstLine="360"/>
        <w:rPr>
          <w:rFonts w:eastAsia="宋体" w:cs="Times New Roman"/>
          <w:color w:val="000000"/>
          <w:sz w:val="21"/>
          <w:szCs w:val="21"/>
        </w:rPr>
      </w:pPr>
      <w:r>
        <w:rPr>
          <w:rFonts w:hint="eastAsia" w:eastAsia="宋体" w:cs="Times New Roman"/>
          <w:color w:val="000000"/>
          <w:sz w:val="21"/>
          <w:szCs w:val="21"/>
        </w:rPr>
        <w:t>⑧　关于“体用”概念，人们往往想到张之洞在1898 年《劝学篇》中提出的“中学为体，西学为用”的主张。他所说的“用”，突破前期洋务派所划定的“西方技艺”，即器械与自然科学的范围，包含了“西方政艺”的部分内容，亦即主张在学校、赋税、武备、法律、通商等领域实施某些西方的模式；但是，他的“中学为体”，是要以儒家的“三纲五常”等伦理道德作为立国的不能更改的根本原则，所谓“西学为用”，不过是作为维护中国封建皇权和地主阶级统治的一种手段，从实质内容上看是改良主义的。但是，这并不妨碍我们从语言角度对“体用”概念的使用。我们完全可以赋予“体用”以崭新的现代科学含义。</w:t>
      </w:r>
    </w:p>
    <w:p w14:paraId="190524EE">
      <w:pPr>
        <w:ind w:firstLine="360"/>
        <w:rPr>
          <w:rFonts w:eastAsia="宋体" w:cs="Times New Roman"/>
          <w:color w:val="000000"/>
          <w:sz w:val="21"/>
          <w:szCs w:val="21"/>
        </w:rPr>
      </w:pPr>
      <w:r>
        <w:rPr>
          <w:rFonts w:hint="eastAsia" w:eastAsia="宋体" w:cs="Times New Roman"/>
          <w:color w:val="000000"/>
          <w:sz w:val="21"/>
          <w:szCs w:val="21"/>
        </w:rPr>
        <w:t>⑨⑩　参见《辞海》语词分册（上） ，上海辞书出版社1999年版，第200页。</w:t>
      </w:r>
    </w:p>
    <w:p w14:paraId="17A3B21F">
      <w:pPr>
        <w:ind w:firstLine="360"/>
        <w:rPr>
          <w:rFonts w:eastAsia="宋体" w:cs="Times New Roman"/>
          <w:color w:val="000000"/>
          <w:sz w:val="21"/>
          <w:szCs w:val="21"/>
        </w:rPr>
      </w:pP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11</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 xml:space="preserve"> 　《毛泽东选集》第2卷，人民出版社1991年版，第533- 534页。</w:t>
      </w:r>
    </w:p>
    <w:p w14:paraId="04FDFAD4">
      <w:pPr>
        <w:ind w:firstLine="360"/>
        <w:rPr>
          <w:rFonts w:eastAsia="宋体" w:cs="Times New Roman"/>
          <w:color w:val="000000"/>
          <w:sz w:val="21"/>
          <w:szCs w:val="21"/>
        </w:rPr>
      </w:pP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12</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　《大戴礼·武王践祚·履屡铭》，胡寄窗：《中国经济思想史简编》，中国社会科学出版社1981 年版，第2页。</w:t>
      </w:r>
    </w:p>
    <w:p w14:paraId="077CF5E0">
      <w:pPr>
        <w:ind w:firstLine="360"/>
        <w:rPr>
          <w:rFonts w:eastAsia="宋体" w:cs="Times New Roman"/>
          <w:color w:val="000000"/>
          <w:sz w:val="21"/>
          <w:szCs w:val="21"/>
        </w:rPr>
      </w:pP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13</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　《论语·学而》，胡寄窗：《中国经济思想史简编》，中国社会科学出版社1981年版，第47页。</w:t>
      </w:r>
    </w:p>
    <w:p w14:paraId="6503EB97">
      <w:pPr>
        <w:ind w:firstLine="360"/>
        <w:rPr>
          <w:rFonts w:eastAsia="宋体" w:cs="Times New Roman"/>
          <w:color w:val="000000"/>
          <w:sz w:val="21"/>
          <w:szCs w:val="21"/>
        </w:rPr>
      </w:pP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14</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　《管子·治国》，周伯棣：《中国财政思想史稿》，福建人民出版社1984年版，第2页。</w:t>
      </w:r>
    </w:p>
    <w:p w14:paraId="034A9C1B">
      <w:pPr>
        <w:ind w:firstLine="360"/>
        <w:rPr>
          <w:rFonts w:eastAsia="宋体" w:cs="Times New Roman"/>
          <w:color w:val="000000"/>
          <w:sz w:val="21"/>
          <w:szCs w:val="21"/>
        </w:rPr>
      </w:pP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15</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 xml:space="preserve"> 　《墨子间诂·辞过》，周伯棣：《中国财政思想史稿》，福建人民出版社1984年版，第104页。</w:t>
      </w:r>
    </w:p>
    <w:p w14:paraId="5AF2B5B9">
      <w:pPr>
        <w:ind w:firstLine="360"/>
        <w:rPr>
          <w:rFonts w:eastAsia="宋体" w:cs="Times New Roman"/>
          <w:color w:val="000000"/>
          <w:sz w:val="21"/>
          <w:szCs w:val="21"/>
        </w:rPr>
      </w:pP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16</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　参阅胡寄窗：《中国经济思想史简编》，中国社会科学出版社1981年版，第27 - 31页。</w:t>
      </w:r>
    </w:p>
    <w:p w14:paraId="6DDD7C45">
      <w:pPr>
        <w:ind w:firstLine="360"/>
        <w:rPr>
          <w:rFonts w:eastAsia="宋体" w:cs="Times New Roman"/>
          <w:color w:val="000000"/>
          <w:sz w:val="21"/>
          <w:szCs w:val="21"/>
        </w:rPr>
      </w:pPr>
      <w:r>
        <w:rPr>
          <w:rFonts w:eastAsia="宋体" w:cs="Times New Roman"/>
          <w:color w:val="000000"/>
          <w:sz w:val="21"/>
          <w:szCs w:val="21"/>
        </w:rPr>
        <w:fldChar w:fldCharType="begin"/>
      </w:r>
      <w:r>
        <w:rPr>
          <w:rFonts w:eastAsia="宋体" w:cs="Times New Roman"/>
          <w:color w:val="000000"/>
          <w:sz w:val="21"/>
          <w:szCs w:val="21"/>
        </w:rPr>
        <w:instrText xml:space="preserve"> </w:instrText>
      </w:r>
      <w:r>
        <w:rPr>
          <w:rFonts w:hint="eastAsia" w:eastAsia="宋体" w:cs="Times New Roman"/>
          <w:color w:val="000000"/>
          <w:sz w:val="21"/>
          <w:szCs w:val="21"/>
        </w:rPr>
        <w:instrText xml:space="preserve">eq \o\ac(○,</w:instrText>
      </w:r>
      <w:r>
        <w:rPr>
          <w:rFonts w:hint="eastAsia" w:eastAsia="宋体" w:cs="Times New Roman"/>
          <w:color w:val="000000"/>
          <w:position w:val="3"/>
          <w:sz w:val="21"/>
          <w:szCs w:val="21"/>
        </w:rPr>
        <w:instrText xml:space="preserve">17</w:instrText>
      </w:r>
      <w:r>
        <w:rPr>
          <w:rFonts w:hint="eastAsia" w:eastAsia="宋体" w:cs="Times New Roman"/>
          <w:color w:val="000000"/>
          <w:sz w:val="21"/>
          <w:szCs w:val="21"/>
        </w:rPr>
        <w:instrText xml:space="preserve">)</w:instrText>
      </w:r>
      <w:r>
        <w:rPr>
          <w:rFonts w:eastAsia="宋体" w:cs="Times New Roman"/>
          <w:color w:val="000000"/>
          <w:sz w:val="21"/>
          <w:szCs w:val="21"/>
        </w:rPr>
        <w:fldChar w:fldCharType="end"/>
      </w:r>
      <w:r>
        <w:rPr>
          <w:rFonts w:hint="eastAsia" w:eastAsia="宋体" w:cs="Times New Roman"/>
          <w:color w:val="000000"/>
          <w:sz w:val="21"/>
          <w:szCs w:val="21"/>
        </w:rPr>
        <w:t xml:space="preserve"> 　参见程恩富：《范式革命与常规理论发展——经济学的分化与综合》，《光明日报》2004年1月20日。</w:t>
      </w:r>
    </w:p>
    <w:p w14:paraId="547CB9FF">
      <w:pPr>
        <w:ind w:firstLine="360"/>
        <w:rPr>
          <w:rFonts w:eastAsia="宋体" w:cs="Times New Roman"/>
          <w:color w:val="000000"/>
          <w:sz w:val="21"/>
          <w:szCs w:val="21"/>
        </w:rPr>
      </w:pPr>
    </w:p>
    <w:p w14:paraId="3B7DE13A">
      <w:pPr>
        <w:ind w:firstLine="360"/>
        <w:rPr>
          <w:rFonts w:eastAsia="宋体" w:cs="Times New Roman"/>
          <w:color w:val="000000"/>
          <w:sz w:val="21"/>
          <w:szCs w:val="21"/>
        </w:rPr>
      </w:pPr>
      <w:r>
        <w:rPr>
          <w:rFonts w:hint="eastAsia" w:eastAsia="宋体" w:cs="Times New Roman"/>
          <w:color w:val="000000"/>
          <w:sz w:val="21"/>
          <w:szCs w:val="21"/>
        </w:rPr>
        <w:t>（原载《华南师范大学学报》（社会科学版）2009年第1期）</w:t>
      </w:r>
    </w:p>
    <w:p w14:paraId="77674D7A">
      <w:pPr>
        <w:rPr>
          <w:rFonts w:eastAsia="宋体" w:cs="Times New Roman"/>
          <w:sz w:val="21"/>
          <w:szCs w:val="24"/>
        </w:rPr>
      </w:pPr>
    </w:p>
    <w:p w14:paraId="782AB665">
      <w:pPr>
        <w:rPr>
          <w:rFonts w:eastAsia="宋体" w:cs="Times New Roman"/>
          <w:sz w:val="21"/>
          <w:szCs w:val="24"/>
        </w:rPr>
      </w:pPr>
    </w:p>
    <w:p w14:paraId="7D9A39D1">
      <w:pPr>
        <w:suppressLineNumbers/>
        <w:suppressAutoHyphens/>
        <w:overflowPunct w:val="0"/>
        <w:topLinePunct/>
        <w:ind w:firstLine="360"/>
        <w:jc w:val="center"/>
        <w:outlineLvl w:val="1"/>
        <w:rPr>
          <w:rFonts w:eastAsia="宋体" w:cs="Times New Roman"/>
          <w:b/>
          <w:color w:val="000000"/>
          <w:sz w:val="28"/>
          <w:szCs w:val="28"/>
        </w:rPr>
      </w:pPr>
      <w:bookmarkStart w:id="1084" w:name="_Toc257922064"/>
      <w:bookmarkStart w:id="1085" w:name="_Toc27205"/>
      <w:bookmarkStart w:id="1086" w:name="_Toc78713282"/>
      <w:bookmarkStart w:id="1087" w:name="_Toc30113"/>
      <w:bookmarkStart w:id="1088" w:name="_Toc474728955"/>
      <w:bookmarkStart w:id="1089" w:name="_Toc602477900"/>
      <w:r>
        <w:rPr>
          <w:rFonts w:hint="eastAsia" w:eastAsia="宋体" w:cs="Times New Roman"/>
          <w:b/>
          <w:color w:val="000000"/>
          <w:sz w:val="28"/>
          <w:szCs w:val="28"/>
          <w:lang w:val="en-US" w:eastAsia="zh-CN"/>
        </w:rPr>
        <w:t>19</w:t>
      </w:r>
      <w:r>
        <w:rPr>
          <w:rFonts w:hint="eastAsia" w:eastAsia="宋体" w:cs="Times New Roman"/>
          <w:b/>
          <w:color w:val="000000"/>
          <w:sz w:val="28"/>
          <w:szCs w:val="28"/>
        </w:rPr>
        <w:t>中国模式的经济体制特征和内涵</w:t>
      </w:r>
      <w:bookmarkEnd w:id="1084"/>
      <w:bookmarkEnd w:id="1085"/>
      <w:bookmarkEnd w:id="1086"/>
      <w:bookmarkEnd w:id="1087"/>
      <w:bookmarkEnd w:id="1088"/>
      <w:bookmarkEnd w:id="1089"/>
    </w:p>
    <w:p w14:paraId="40E5A8EE">
      <w:pPr>
        <w:overflowPunct w:val="0"/>
        <w:topLinePunct/>
        <w:ind w:firstLine="360"/>
        <w:rPr>
          <w:rFonts w:eastAsia="宋体" w:cs="Times New Roman"/>
          <w:b/>
          <w:color w:val="000000"/>
          <w:sz w:val="21"/>
          <w:szCs w:val="21"/>
        </w:rPr>
      </w:pPr>
    </w:p>
    <w:p w14:paraId="206ED42D">
      <w:pPr>
        <w:overflowPunct w:val="0"/>
        <w:topLinePunct/>
        <w:ind w:firstLine="360"/>
        <w:jc w:val="center"/>
        <w:rPr>
          <w:rFonts w:eastAsia="宋体" w:cs="Times New Roman"/>
          <w:b/>
          <w:color w:val="000000"/>
          <w:sz w:val="21"/>
          <w:szCs w:val="21"/>
        </w:rPr>
      </w:pPr>
      <w:r>
        <w:rPr>
          <w:rFonts w:hint="eastAsia" w:eastAsia="宋体" w:cs="Times New Roman"/>
          <w:b/>
          <w:color w:val="000000"/>
          <w:sz w:val="21"/>
          <w:szCs w:val="21"/>
        </w:rPr>
        <w:t>一、引言:要分清经济模式的两种含义</w:t>
      </w:r>
    </w:p>
    <w:p w14:paraId="078CCAF7">
      <w:pPr>
        <w:overflowPunct w:val="0"/>
        <w:topLinePunct/>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中国经济社会发展的巨大成就为世界瞩目。2008年中国经济发展总量GDP已经跃居世界第3位，仅次于美国和日本之后。进出口总额跃居世界第3位，仅次于美国和德国之后。外汇储备跃居世界第1位。特别是，中国改革开放后连续30年的经济长期持续高速增长，年均GDP增长率达到9.6%，就经济增长的速度之快和时间之久来说在世界范围内是首屈一指的。2008年中国人均国民总收入已经达到3292美元，步入了世界中等收入国家之列。尤其在2007年伊始的金融和经济危机席卷全球，发达国家和众多发展中国家纷纷陷入衰退和受其冲击时，中国经济依然强劲增长，2009年全年GDP增长率预计将超过8%。而此时又恰逢中国改革开放30周年和新中国成立60周年，因而中外学者纷纷热议和关注经济社会发展的“中国模式”，以便总结和提炼中国经济社会发展的道路、经验和规律，以资世界借鉴参考和中国承前启后。</w:t>
      </w:r>
    </w:p>
    <w:p w14:paraId="1FB09C77">
      <w:pPr>
        <w:overflowPunct w:val="0"/>
        <w:topLinePunct/>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关于经济发展的“模式”说早已有之，一旦一国或一个地区经济发展取得显著成就或者具有突出特点，就会有相应的模式提出。比如，以德国、瑞士、挪威、瑞典等为代表，强调政府作用和福利社会的“莱茵模式”，或者称为“民主社会主义模式”；以美国、英国为代表，强调自由竞争市场经济的“盎格鲁－撒克逊模式”，或者称为“自由资本主义模式”；以日本、韩国等为代表，强调政府主导市场经济的“东亚模式”；以墨西哥、阿根廷等为代表，强调践行经济“私有化、非调控化、自由化”为特征的“华盛顿共识”的“拉美模式”，因其是失败的，又被称为“拉美陷阱”；以俄罗斯等为代表，强调经济迅速“私有化、非调控化、自由化”而失败的“激进转型模式”，或者称为“休克疗法”；以苏联为代表，强调集中计划经济而取得巨大成就的“苏联模式”，因从斯大林执政时期开始实践的，因而又被称为“斯大林模式”；以越南为代表，强调利用市场经济的“社会主义定向的市场经济模式”，又称为“越南模式”，等等。</w:t>
      </w:r>
    </w:p>
    <w:p w14:paraId="217CB2F7">
      <w:pPr>
        <w:overflowPunct w:val="0"/>
        <w:topLinePunct/>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不同的发展模式虽然各有特点，但是也有共性。比如，“民主社会主义模式”和“自由资本主义模式”都是以资本私有制为基础的发达资本主义国家的发展模式。而“拉美模式”和俄罗斯“激进转型模式”则是以“自由资本主义模式”为样板的发展中资本主义国家的发展模式，因而也统称为“新自由主义模式”。“东亚模式”更多是以“民主社会主义”为样板的发展中资本主义国家的发展模式。“苏联模式”、“越南模式”、“中国模式”，乃至“古巴模式”等，都是以资本公有制为基础的社会主义国家的发展模式。只不过“苏联模式”和“古巴模式”突出的是计划手段的作用，而“越南模式”和“中国模式”突出的是利用市场手段的作用。</w:t>
      </w:r>
    </w:p>
    <w:p w14:paraId="050F832F">
      <w:pPr>
        <w:overflowPunct w:val="0"/>
        <w:topLinePunct/>
        <w:ind w:firstLine="44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可见，经济模式或经济发展模式有两种含义，一是从经济或产业发展的道路和特征来界定的，如一国工业化、城镇化等视角的概括；二是从经济或经济体制发展的特征和内涵来界定的。自然，这两者有联系和交叉，可以分别界定或混合界定。本文主要阐述</w:t>
      </w:r>
      <w:r>
        <w:rPr>
          <w:rFonts w:hint="eastAsia" w:eastAsia="宋体" w:cs="Times New Roman"/>
          <w:color w:val="000000"/>
          <w:sz w:val="21"/>
          <w:szCs w:val="21"/>
        </w:rPr>
        <w:t>中国模式的经济体制特征和内涵。</w:t>
      </w:r>
    </w:p>
    <w:p w14:paraId="2086C9E2">
      <w:pPr>
        <w:overflowPunct w:val="0"/>
        <w:topLinePunct/>
        <w:ind w:firstLine="360"/>
        <w:rPr>
          <w:rFonts w:eastAsia="宋体" w:cs="Times New Roman"/>
          <w:color w:val="000000"/>
          <w:sz w:val="21"/>
          <w:szCs w:val="21"/>
        </w:rPr>
      </w:pPr>
    </w:p>
    <w:p w14:paraId="43D87EAE">
      <w:pPr>
        <w:overflowPunct w:val="0"/>
        <w:topLinePunct/>
        <w:ind w:firstLine="360"/>
        <w:jc w:val="center"/>
        <w:rPr>
          <w:rFonts w:eastAsia="宋体" w:cs="Times New Roman"/>
          <w:b/>
          <w:color w:val="000000"/>
          <w:sz w:val="21"/>
          <w:szCs w:val="21"/>
        </w:rPr>
      </w:pPr>
      <w:r>
        <w:rPr>
          <w:rFonts w:hint="eastAsia" w:eastAsia="宋体" w:cs="Times New Roman"/>
          <w:b/>
          <w:color w:val="000000"/>
          <w:sz w:val="21"/>
          <w:szCs w:val="21"/>
        </w:rPr>
        <w:t>二、中国模式的经济体制特征和内涵</w:t>
      </w:r>
    </w:p>
    <w:p w14:paraId="21C5D942">
      <w:pPr>
        <w:overflowPunct w:val="0"/>
        <w:topLinePunct/>
        <w:ind w:firstLine="440" w:firstLineChars="200"/>
        <w:rPr>
          <w:rFonts w:ascii="宋体" w:hAnsi="宋体" w:eastAsia="宋体" w:cs="Times New Roman"/>
          <w:bCs/>
          <w:color w:val="000000"/>
          <w:sz w:val="21"/>
          <w:szCs w:val="21"/>
        </w:rPr>
      </w:pPr>
    </w:p>
    <w:p w14:paraId="009A7A60">
      <w:pPr>
        <w:overflowPunct w:val="0"/>
        <w:topLinePunct/>
        <w:ind w:firstLine="440" w:firstLineChars="200"/>
        <w:rPr>
          <w:rFonts w:ascii="宋体" w:hAnsi="宋体" w:eastAsia="宋体" w:cs="Times New Roman"/>
          <w:bCs/>
          <w:color w:val="000000"/>
          <w:sz w:val="21"/>
          <w:szCs w:val="21"/>
        </w:rPr>
      </w:pPr>
      <w:r>
        <w:rPr>
          <w:rFonts w:hint="eastAsia" w:ascii="宋体" w:hAnsi="宋体" w:eastAsia="宋体" w:cs="Times New Roman"/>
          <w:bCs/>
          <w:color w:val="000000"/>
          <w:sz w:val="21"/>
          <w:szCs w:val="21"/>
        </w:rPr>
        <w:t>经济发展的中国模式区别于其他模式的显著体制特征，是经济发展的四主型制度，即公有主体型的多种类产权制度，劳动主体型的多要素分配制度，国家主导型的多结构市场制度，自力主导型的多方位开放制度。</w:t>
      </w:r>
    </w:p>
    <w:p w14:paraId="34CCA67E">
      <w:pPr>
        <w:overflowPunct w:val="0"/>
        <w:topLinePunct/>
        <w:ind w:firstLine="360"/>
        <w:rPr>
          <w:rFonts w:ascii="宋体" w:hAnsi="宋体" w:eastAsia="宋体" w:cs="Times New Roman"/>
          <w:bCs/>
          <w:color w:val="000000"/>
          <w:sz w:val="21"/>
          <w:szCs w:val="21"/>
        </w:rPr>
      </w:pPr>
      <w:r>
        <w:rPr>
          <w:rFonts w:hint="eastAsia" w:ascii="宋体" w:hAnsi="宋体" w:eastAsia="宋体" w:cs="Times New Roman"/>
          <w:color w:val="000000"/>
          <w:sz w:val="21"/>
          <w:szCs w:val="21"/>
        </w:rPr>
        <w:t>第一，公有主体型的多种类产权制度。</w:t>
      </w:r>
      <w:r>
        <w:rPr>
          <w:rFonts w:hint="eastAsia" w:ascii="宋体" w:hAnsi="宋体" w:eastAsia="宋体" w:cs="Times New Roman"/>
          <w:bCs/>
          <w:color w:val="000000"/>
          <w:sz w:val="21"/>
          <w:szCs w:val="21"/>
        </w:rPr>
        <w:t>所谓公有主体型的多种类产权制度，是指在公有制为主体的前提下（包含资产在质上和量上的优势），发展中外私有制经济。中国在多种所有制的动态发展中注重保持公有制与私有之间作为“主体－辅体”的所有制结构，当然，这种所有制结构的保持并非简单地控制私有制经济的上升，而是在私有制经济适度发展的同时，巩固、发展和壮大公有制经济，始终保持公有经济的基础和主体地位与国有经济的主导和控制地位。公有制经济的基础和主体地位不仅体现在社会总资产中“既有量的优势，也要有质的优势”，而更重要的是体现在在经营性资产中“既有量的优势，也要有质的优势”。美国等以私有为产权主体的国家的山川矿物资源、军队、政府办公大楼、公立教育医疗机构、财政收入等资产都是国有的，其在社会总资产中的比例是占多数的，但是美国国有经营性资产却占全部经营性资产的极少数，而中国的国有资本和集体资本等公有资本却占中国经营性资产的多数。国有经济的基础产业服务功能、支柱产业构筑功能、流通产业调节功能、科学技术示范功能、社会整体创利功能和产权变迁导向功能通过国民经济中的就业人数比例、资本比例、国内生产总值比例和税收比例等体现出来。中国这种公有主体型的产权结构，为按劳分配为主体的分配结构、国家主导的经济调节结构和自力更生为立足点的开放类型等提供了前提和基础。</w:t>
      </w:r>
      <w:r>
        <w:rPr>
          <w:rFonts w:ascii="宋体" w:hAnsi="宋体" w:eastAsia="宋体" w:cs="Times New Roman"/>
          <w:bCs/>
          <w:color w:val="000000"/>
          <w:sz w:val="21"/>
          <w:szCs w:val="21"/>
          <w:vertAlign w:val="superscript"/>
        </w:rPr>
        <w:footnoteReference w:id="441"/>
      </w:r>
    </w:p>
    <w:p w14:paraId="46DA7B32">
      <w:pPr>
        <w:overflowPunct w:val="0"/>
        <w:topLinePunct/>
        <w:ind w:firstLine="440" w:firstLineChars="200"/>
        <w:rPr>
          <w:rFonts w:ascii="宋体" w:hAnsi="宋体" w:eastAsia="宋体" w:cs="Times New Roman"/>
          <w:bCs/>
          <w:color w:val="000000"/>
          <w:sz w:val="21"/>
          <w:szCs w:val="21"/>
        </w:rPr>
      </w:pPr>
      <w:r>
        <w:rPr>
          <w:rFonts w:hint="eastAsia" w:ascii="宋体" w:hAnsi="宋体" w:eastAsia="宋体" w:cs="Times New Roman"/>
          <w:color w:val="000000"/>
          <w:sz w:val="21"/>
          <w:szCs w:val="21"/>
        </w:rPr>
        <w:t>第二，劳动主体型的多要素分配制度。</w:t>
      </w:r>
      <w:r>
        <w:rPr>
          <w:rFonts w:hint="eastAsia" w:ascii="宋体" w:hAnsi="宋体" w:eastAsia="宋体" w:cs="Times New Roman"/>
          <w:bCs/>
          <w:color w:val="000000"/>
          <w:sz w:val="21"/>
          <w:szCs w:val="21"/>
        </w:rPr>
        <w:t>所谓劳动主体型的多要素分配制度，是指按劳分配为主体，多要素所有者可凭产权参与分配，经济公平与经济效率呈现交互同向和并重关系。公有为主体的产权制度为按劳分配为主体的分配制度提供了可行性的前提条件，而按劳分配为主体保证了生产和消费的良性循环和经济的可持续发展。美国等以私有为产权主体的国家是以按资分配为主体，这些国家的收入差距主要不是取决于工薪收入的差距，而是取决于财产占有多少导致的财产收入的差距。正如</w:t>
      </w:r>
      <w:r>
        <w:rPr>
          <w:rFonts w:hint="eastAsia" w:eastAsia="宋体" w:cs="Times New Roman"/>
          <w:color w:val="000000"/>
          <w:sz w:val="21"/>
          <w:szCs w:val="21"/>
        </w:rPr>
        <w:t>萨缪尔森和诺德豪斯</w:t>
      </w:r>
      <w:r>
        <w:rPr>
          <w:rFonts w:hint="eastAsia" w:ascii="宋体" w:hAnsi="宋体" w:eastAsia="宋体" w:cs="Times New Roman"/>
          <w:bCs/>
          <w:color w:val="000000"/>
          <w:sz w:val="21"/>
          <w:szCs w:val="21"/>
        </w:rPr>
        <w:t>“收入的差别最主要是由拥有财富的多寡造成的。······和财产差别相比，工资和个人能力的差别是微不足道的。······这种阶级差别也还没有消失：今天，较低层的或工人阶层的父母常常无法负担把他们的子女送进商学院或医学院所需要的费用——这些子女就被排除在整个高薪职业之外。”</w:t>
      </w:r>
      <w:r>
        <w:rPr>
          <w:rFonts w:ascii="宋体" w:hAnsi="宋体" w:eastAsia="宋体" w:cs="Times New Roman"/>
          <w:bCs/>
          <w:color w:val="000000"/>
          <w:sz w:val="21"/>
          <w:szCs w:val="21"/>
          <w:vertAlign w:val="superscript"/>
        </w:rPr>
        <w:footnoteReference w:id="442"/>
      </w:r>
      <w:r>
        <w:rPr>
          <w:rFonts w:hint="eastAsia" w:ascii="宋体" w:hAnsi="宋体" w:eastAsia="宋体" w:cs="Times New Roman"/>
          <w:bCs/>
          <w:color w:val="000000"/>
          <w:sz w:val="21"/>
          <w:szCs w:val="21"/>
        </w:rPr>
        <w:t xml:space="preserve"> 高效率无法脱离以合理的公有制经济体制为基础的公平分配的。资本主义的不公平，主要表现在私有财产制和按资分配及其派生现象上。与此相异，传统社会主义的不公平，主要表现在体制僵化和平均主义分配及其派生现象上。由此，中国改革走向了市场型按劳分配，市场竞争所形成的按劳取酬的合理收入差距，已经能最大限度地发挥人的潜力，使劳动资源在社会规模上得到优化配置。按劳分配相对于按资分配，客观上是较公平的，效率也是较高的。中国实行以按劳分配为主体的“先富—共富”的社会分配结构，既强调资本、土地、技术、信息等生产要素凭借所有权可以参与分配，又强调市场性按劳分配的机制和原则，呈现出适合现阶段生产力和市场经济发展的基本分配形态。这种劳动主体型的多要素分配制度的特点是强调第一次分配的公平与效率的基础作用，国家财税等再分配调节的公平与效率起辅助作用。在多要素参与分配的条件下，中国应注重提高劳动报酬在初次分配中的比重，着力提高中低收入者收入，逐步提高最低工资标准，不断完善企业职工工资正常增长机制和支付保障机制，不断提升城乡居民的社会保障和其他福利水准。</w:t>
      </w:r>
      <w:r>
        <w:rPr>
          <w:rFonts w:ascii="宋体" w:hAnsi="宋体" w:eastAsia="宋体" w:cs="Times New Roman"/>
          <w:bCs/>
          <w:color w:val="000000"/>
          <w:sz w:val="21"/>
          <w:szCs w:val="21"/>
          <w:vertAlign w:val="superscript"/>
        </w:rPr>
        <w:footnoteReference w:id="443"/>
      </w:r>
    </w:p>
    <w:p w14:paraId="49334700">
      <w:pPr>
        <w:overflowPunct w:val="0"/>
        <w:topLinePunct/>
        <w:ind w:firstLine="440" w:firstLineChars="200"/>
        <w:rPr>
          <w:rFonts w:ascii="宋体" w:hAnsi="宋体" w:eastAsia="宋体" w:cs="Times New Roman"/>
          <w:bCs/>
          <w:color w:val="000000"/>
          <w:sz w:val="21"/>
          <w:szCs w:val="21"/>
        </w:rPr>
      </w:pPr>
      <w:r>
        <w:rPr>
          <w:rFonts w:hint="eastAsia" w:ascii="宋体" w:hAnsi="宋体" w:eastAsia="宋体" w:cs="Times New Roman"/>
          <w:color w:val="000000"/>
          <w:sz w:val="21"/>
          <w:szCs w:val="21"/>
        </w:rPr>
        <w:t>第三，国家主导型的多结构市场制度。</w:t>
      </w:r>
      <w:r>
        <w:rPr>
          <w:rFonts w:hint="eastAsia" w:ascii="宋体" w:hAnsi="宋体" w:eastAsia="宋体" w:cs="Times New Roman"/>
          <w:bCs/>
          <w:color w:val="000000"/>
          <w:sz w:val="21"/>
          <w:szCs w:val="21"/>
        </w:rPr>
        <w:t>所谓国家主导型的多结构市场制度，是指多结构地发展市场体系，发挥市场的基础性配置资源的作用，同时在廉洁、廉价、民主和高效的基础上，发挥国家调节的主导型作用。中国确立和完善以各种商品和生产要素为交换对象的市场客体结构，以各种市场客体占有者或交换活动当事人为内涵的市场主体结构，以各种市场主体和客体活动地方和范围为基础的市场空间结构，以交换起终点的持续性和顺序性为特征的市场时间结构，形成结构完整、层次合理、机制灵活和偏向买方的市场体系。中国经济在保持发挥市场调节资源配置的基础作用的同时，注重发挥国家的计划手段和财政、货币政策的调节作用，维护宏观经济的稳定性、平衡性和持续性，以期全局利益的统一性和最大化。在廉洁、廉价、民主和高效的前提下，确立“小而强的政府”的主导地位或主脑地位。在既用市场调节的优良功能去抑止“国家调节失灵”，又要用国家调节的优良功能来纠正“市场调节失灵”，实现一种“基础－主导”的双重调节机制，形成强市场和强政府的“双强”格局，表现出国家的经济调节职能和作用强于和大于资本主义国家。</w:t>
      </w:r>
    </w:p>
    <w:p w14:paraId="399E093B">
      <w:pPr>
        <w:overflowPunct w:val="0"/>
        <w:topLinePunct/>
        <w:ind w:firstLine="440" w:firstLineChars="200"/>
        <w:rPr>
          <w:rFonts w:ascii="宋体" w:hAnsi="宋体" w:eastAsia="宋体" w:cs="Times New Roman"/>
          <w:bCs/>
          <w:color w:val="000000"/>
          <w:sz w:val="21"/>
          <w:szCs w:val="21"/>
        </w:rPr>
      </w:pPr>
      <w:r>
        <w:rPr>
          <w:rFonts w:hint="eastAsia" w:ascii="宋体" w:hAnsi="宋体" w:eastAsia="宋体" w:cs="Times New Roman"/>
          <w:color w:val="000000"/>
          <w:sz w:val="21"/>
          <w:szCs w:val="21"/>
        </w:rPr>
        <w:t>第四，自力主导型的多方位开放制度。</w:t>
      </w:r>
      <w:r>
        <w:rPr>
          <w:rFonts w:hint="eastAsia" w:ascii="宋体" w:hAnsi="宋体" w:eastAsia="宋体" w:cs="Times New Roman"/>
          <w:bCs/>
          <w:color w:val="000000"/>
          <w:sz w:val="21"/>
          <w:szCs w:val="21"/>
        </w:rPr>
        <w:t>所谓自力主导型的多方位开放制度，是指要处理好引进国外技术和资本同自力更生地发展自主知识产权、高效利用本国资本关系，实行内需为主并与外需相结合的国内外经济交往关系，促进从追求引进数量的粗放型开放模式向追求引进效益的质量型开放模式转变。中国在对外开放的过程中，既强调积极利用外国的资本、技术和人才，又强调独立自主和自力更生，主张“自力更生为主、争取外援为辅”，并使之成为现代化建设和对外开放的基本方针。中国在独立自主和依靠本国力量的基础上，逐渐实现对发展中国家和发达国家的多方位开放（还有内地与港澳台地区的双向开放），在第三产业、第二产业和第一产业的多层次开放，对商品和服务、资本、技术的多方面的开放，以及在东、中、西地区的多领域的开放。中国注重在结合比较优势与竞争优势的基础上，精心设计和调控引进资本、技术和人才的战略与策略，增强自主创新的程度，大力发展控股、控技（尤其是核心技术）和控牌（尤其是名牌）的“三控型”民族企业集团和民族跨国公司，突出培育和发挥知识产权优势，目的是打造出中国的世界工厂而非世界加工厂，争取商品和服务、资本、技术引进来的同时努力走出去，积极参与国际合作和国际竞争，以期实现从贸易大国向贸易强国、经济大国向经济强国的转型。</w:t>
      </w:r>
    </w:p>
    <w:p w14:paraId="46F572A0">
      <w:pPr>
        <w:overflowPunct w:val="0"/>
        <w:topLinePunct/>
        <w:ind w:firstLine="360"/>
        <w:rPr>
          <w:rFonts w:eastAsia="宋体" w:cs="Times New Roman"/>
          <w:color w:val="000000"/>
          <w:sz w:val="21"/>
          <w:szCs w:val="21"/>
        </w:rPr>
      </w:pPr>
    </w:p>
    <w:p w14:paraId="2BD408B6">
      <w:pPr>
        <w:overflowPunct w:val="0"/>
        <w:topLinePunct/>
        <w:ind w:firstLine="360"/>
        <w:jc w:val="center"/>
        <w:rPr>
          <w:rFonts w:eastAsia="宋体" w:cs="Times New Roman"/>
          <w:b/>
          <w:color w:val="000000"/>
          <w:sz w:val="21"/>
          <w:szCs w:val="21"/>
        </w:rPr>
      </w:pPr>
      <w:r>
        <w:rPr>
          <w:rFonts w:hint="eastAsia" w:eastAsia="宋体" w:cs="Times New Roman"/>
          <w:b/>
          <w:color w:val="000000"/>
          <w:sz w:val="21"/>
          <w:szCs w:val="21"/>
        </w:rPr>
        <w:t>三、中国模式的经济体制改革过程和性质</w:t>
      </w:r>
    </w:p>
    <w:p w14:paraId="6F3A8158">
      <w:pPr>
        <w:overflowPunct w:val="0"/>
        <w:topLinePunct/>
        <w:ind w:firstLine="360"/>
        <w:rPr>
          <w:rFonts w:eastAsia="宋体" w:cs="Times New Roman"/>
          <w:color w:val="000000"/>
          <w:sz w:val="21"/>
          <w:szCs w:val="21"/>
        </w:rPr>
      </w:pPr>
    </w:p>
    <w:p w14:paraId="5DA6DFCC">
      <w:pPr>
        <w:overflowPunct w:val="0"/>
        <w:topLinePunct/>
        <w:ind w:firstLine="440" w:firstLineChars="200"/>
        <w:rPr>
          <w:rFonts w:ascii="宋体" w:hAnsi="宋体" w:eastAsia="宋体" w:cs="Times New Roman"/>
          <w:bCs/>
          <w:color w:val="000000"/>
          <w:sz w:val="21"/>
          <w:szCs w:val="21"/>
        </w:rPr>
      </w:pPr>
      <w:r>
        <w:rPr>
          <w:rFonts w:hint="eastAsia" w:ascii="宋体" w:hAnsi="宋体" w:eastAsia="宋体" w:cs="Times New Roman"/>
          <w:bCs/>
          <w:color w:val="000000"/>
          <w:sz w:val="21"/>
          <w:szCs w:val="21"/>
        </w:rPr>
        <w:t>上述中国模式的经济体制特征昭示，经济发展的中国模式是一种具有显明中国特色社会主义经济的发展模式。诚然，中国作为最大的发展中国家，经济发展的中国模式又是一种发展中大国的发展模式；中国作为从社会主义计划经济体制向社会主义市场经济体制转型的国家，经济发展的中国模式还是一种经济转型模式。简言之，经济发展的中国体制模式是中国特色社会主义发展中大国的转型模式。</w:t>
      </w:r>
    </w:p>
    <w:p w14:paraId="506199C1">
      <w:pPr>
        <w:overflowPunct w:val="0"/>
        <w:topLinePunct/>
        <w:ind w:firstLine="550" w:firstLineChars="250"/>
        <w:rPr>
          <w:rFonts w:ascii="宋体" w:hAnsi="宋体" w:eastAsia="宋体" w:cs="Times New Roman"/>
          <w:bCs/>
          <w:color w:val="000000"/>
          <w:sz w:val="21"/>
          <w:szCs w:val="21"/>
        </w:rPr>
      </w:pPr>
      <w:r>
        <w:rPr>
          <w:rFonts w:hint="eastAsia" w:ascii="宋体" w:hAnsi="宋体" w:eastAsia="宋体" w:cs="Times New Roman"/>
          <w:bCs/>
          <w:color w:val="000000"/>
          <w:sz w:val="21"/>
          <w:szCs w:val="21"/>
        </w:rPr>
        <w:t>进一步分析，中国与俄罗斯等国家的经济体制改革和转型相比，首先，经济体制改革和转型的目标和定位不同。中国经济改革和转型的目标是建立社会主义市场经济，而俄罗斯等国家是建立资本主义市场经济，因而具有不同的体制特征。俄罗斯等国家改向为私有主体型的混合产权形态、按资分配为主体的两极分化分配形态、新自由主义（叶利钦时代）或凯恩斯主义（普京时代）的市场调节形态和依赖西方的开放经济形态。</w:t>
      </w:r>
    </w:p>
    <w:p w14:paraId="3877DBBB">
      <w:pPr>
        <w:overflowPunct w:val="0"/>
        <w:topLinePunct/>
        <w:ind w:firstLine="550" w:firstLineChars="250"/>
        <w:rPr>
          <w:rFonts w:ascii="宋体" w:hAnsi="宋体" w:eastAsia="宋体" w:cs="Times New Roman"/>
          <w:bCs/>
          <w:color w:val="000000"/>
          <w:sz w:val="21"/>
          <w:szCs w:val="21"/>
        </w:rPr>
      </w:pPr>
      <w:r>
        <w:rPr>
          <w:rFonts w:hint="eastAsia" w:ascii="宋体" w:hAnsi="宋体" w:eastAsia="宋体" w:cs="Times New Roman"/>
          <w:bCs/>
          <w:color w:val="000000"/>
          <w:sz w:val="21"/>
          <w:szCs w:val="21"/>
        </w:rPr>
        <w:t>其次，中国与俄罗斯等国家经济体制改革和转型的过程和路径不同。在经济体制改革和转型的速度上，中国是以渐进为主的，而俄罗斯等国家是以激进为主的；在经济体制改革和转型的步骤上，中国是局部试点和步步推进的，即试错的和由点到面的，而俄罗斯等国家是“一部到位”后再慢慢纠错的；在经济体制改革和转型的顺序上，中国是以先立后破为主的，而俄罗斯等国家是以先破后立为主的；在经济体制和转型的方式上，中国是以强制和诱导并用的，俄罗斯等国家是强制和命令式的，等等。</w:t>
      </w:r>
      <w:r>
        <w:rPr>
          <w:rFonts w:ascii="宋体" w:hAnsi="宋体" w:eastAsia="宋体" w:cs="Times New Roman"/>
          <w:bCs/>
          <w:color w:val="000000"/>
          <w:sz w:val="21"/>
          <w:szCs w:val="21"/>
          <w:vertAlign w:val="superscript"/>
        </w:rPr>
        <w:footnoteReference w:id="444"/>
      </w:r>
      <w:r>
        <w:rPr>
          <w:rFonts w:hint="eastAsia" w:ascii="宋体" w:hAnsi="宋体" w:eastAsia="宋体" w:cs="Times New Roman"/>
          <w:bCs/>
          <w:color w:val="000000"/>
          <w:sz w:val="21"/>
          <w:szCs w:val="21"/>
        </w:rPr>
        <w:t>经济发展的中国模式既然是一种优势较明显的社会主义发展模式、欠发达国家的发展模式和转型模式，为社会主义国家、发展中国家和转型国家提供某种参照和借鉴就是理所当然的。作为一种成功的经济发展模式，中国模式也具有一定程度的普遍意义，正如一些国外专家学者指出的，它同样可以为发达国家所借鉴。</w:t>
      </w:r>
    </w:p>
    <w:p w14:paraId="1081CBD2">
      <w:pPr>
        <w:overflowPunct w:val="0"/>
        <w:topLinePunct/>
        <w:ind w:firstLine="440" w:firstLineChars="200"/>
        <w:rPr>
          <w:rFonts w:ascii="宋体" w:hAnsi="宋体" w:eastAsia="宋体" w:cs="宋体"/>
          <w:color w:val="000000"/>
          <w:kern w:val="0"/>
          <w:sz w:val="21"/>
          <w:szCs w:val="21"/>
        </w:rPr>
      </w:pPr>
      <w:r>
        <w:rPr>
          <w:rFonts w:hint="eastAsia" w:ascii="宋体" w:hAnsi="宋体" w:eastAsia="宋体" w:cs="Times New Roman"/>
          <w:color w:val="000000"/>
          <w:sz w:val="21"/>
          <w:szCs w:val="21"/>
        </w:rPr>
        <w:t>通常人们更注重的是不同发展模式的特点，这些特点区分开了不同发展模式。不过即使是同一个发展模式，中外学者站在不同立场和观察角度，得出的结论也不尽相同。即使是我国学者对中国经济发展的模式的看法也不尽相同。比如一些论著认为，中国经济体制改革和发展是遵循了“新自由主义模式”。</w:t>
      </w:r>
      <w:r>
        <w:rPr>
          <w:rFonts w:hint="eastAsia" w:ascii="宋体" w:hAnsi="宋体" w:eastAsia="宋体" w:cs="宋体"/>
          <w:color w:val="000000"/>
          <w:kern w:val="0"/>
          <w:sz w:val="21"/>
          <w:szCs w:val="21"/>
        </w:rPr>
        <w:t xml:space="preserve"> 这些论著仅仅看到，中国在从传统高度集中的社会主义计划经济体制向社会主义市场经济体制转变的过程中，确实是借鉴了包括新自由主义在内的西方经济学关于市场经济的某些一般理论和政策，并在实践中从过去过分强调国家和集体利益转向适当强调局部和个体利益，从几乎单纯的公有制经济到适度降低公有制经济中的比重和开创公有制的多种实现形式，鼓励、支持和引导个体、私营和外资等私有制经济发展。于是，这些论著就误以为中国改革开放是遵循了西方主流经济学及其政策主张的逻辑。事实上，如果遵循西方主流经济学及其政策主张的核心逻辑，中国就不可能坚持和完善公有制为主体和按劳分配为主体的基本经济制度。如果遵循了新自由主义经济学的核心逻辑，实行市场原教旨主义的市场经济，同样就不可能坚持和完善社会主义国家调控体系和提高调控水平，也不可能不断提升独立自主和以自力更生为立足点的对外开放水平，逐步转变对外经济发展方式。显然，主要具有宣示性质的中国经济发展“新自由主义模式论”没有抓住中国经济发展的主要特征，所提出“中国经济改革和发展是以西方理论为指导的说法是不符合实际的”，同时，也“会误导中国经济改革和发展的方向”</w:t>
      </w:r>
      <w:r>
        <w:rPr>
          <w:rFonts w:ascii="宋体" w:hAnsi="宋体" w:eastAsia="宋体" w:cs="宋体"/>
          <w:color w:val="000000"/>
          <w:kern w:val="0"/>
          <w:sz w:val="21"/>
          <w:szCs w:val="21"/>
          <w:vertAlign w:val="superscript"/>
        </w:rPr>
        <w:footnoteReference w:id="445"/>
      </w:r>
      <w:r>
        <w:rPr>
          <w:rFonts w:hint="eastAsia" w:ascii="宋体" w:hAnsi="宋体" w:eastAsia="宋体" w:cs="宋体"/>
          <w:color w:val="000000"/>
          <w:kern w:val="0"/>
          <w:sz w:val="21"/>
          <w:szCs w:val="21"/>
        </w:rPr>
        <w:t>。</w:t>
      </w:r>
    </w:p>
    <w:p w14:paraId="582441F8">
      <w:pPr>
        <w:overflowPunct w:val="0"/>
        <w:topLinePunct/>
        <w:ind w:firstLine="440" w:firstLineChars="200"/>
        <w:rPr>
          <w:rFonts w:ascii="宋体" w:hAnsi="宋体" w:eastAsia="宋体" w:cs="宋体"/>
          <w:color w:val="000000"/>
          <w:kern w:val="0"/>
          <w:sz w:val="21"/>
          <w:szCs w:val="21"/>
        </w:rPr>
      </w:pPr>
      <w:r>
        <w:rPr>
          <w:rFonts w:hint="eastAsia" w:ascii="宋体" w:hAnsi="宋体" w:eastAsia="宋体" w:cs="宋体"/>
          <w:color w:val="000000"/>
          <w:kern w:val="0"/>
          <w:sz w:val="21"/>
          <w:szCs w:val="21"/>
        </w:rPr>
        <w:t>同时应当看到，中国30年改革开放取得的巨大成就，不仅不是遵循西方主流经济学及其衍生经济政策体系的结果，而且所出现的收入和财富占有的差距的逐渐过大、资源的破坏性开采和浪费性使用、环境严重污染、公有资产流失、某些私有制企业职工劳动条件恶劣、腐败盛行等问题，恰恰是受到以新自由主义经济学为代表的西方主流经济学理论和政策影响的结果。西方主流经济学倡导的企业片面追求利润最大化，导致企业不注重资源节约，恣意排放生产污染物，最大程度地压低工资和降低劳动条件，甚至生产和兜售假冒伪劣商品，严重损害人民生命健康。西方主流经济学倡导的“自私经济人论”强度追求个人利益最大化，引发经济行为主体不讲诚信、损公肥私、行贿受贿、走私贩私，甚至暴力犯罪等。收入和财富占有差距过分扩大的缘由在于中外私有企业的产权和初次分配制度，并影响到国有企业高管层收入不适当的自我膨胀和主管部门的行为。</w:t>
      </w:r>
    </w:p>
    <w:p w14:paraId="05DFE09D">
      <w:pPr>
        <w:overflowPunct w:val="0"/>
        <w:topLinePunct/>
        <w:ind w:firstLine="440" w:firstLineChars="200"/>
        <w:rPr>
          <w:rFonts w:ascii="宋体" w:hAnsi="宋体" w:eastAsia="宋体" w:cs="Times New Roman"/>
          <w:bCs/>
          <w:color w:val="000000"/>
          <w:sz w:val="21"/>
          <w:szCs w:val="21"/>
        </w:rPr>
      </w:pPr>
      <w:r>
        <w:rPr>
          <w:rFonts w:hint="eastAsia" w:ascii="宋体" w:hAnsi="宋体" w:eastAsia="宋体" w:cs="宋体"/>
          <w:color w:val="000000"/>
          <w:kern w:val="0"/>
          <w:sz w:val="21"/>
          <w:szCs w:val="21"/>
        </w:rPr>
        <w:t>这里有一个关键性的理论和政策难题值得分析和强调一下。公有制企业，尤其是国有企业的布局、结构和行业的调整，甚至一些国有企业破产倒闭，是为了更好地发展壮大公有制经济，不能以此笼统地说公有制经济效率低。正如一些私有制企业破产倒闭，不能直接证明私有制企业效率低一样。中国改革开放30年取得的巨大成就是以公有制为主体的多种经济成分共同发展的结果，充分体现了公有制经济的宏观和微观、内部和外部的整体效益。因为公有制经济的主体地位和国有经济的主导作用与控制力保证了按劳分配的主体地位和生产与消费的良性循环，从而保证了国民经济的又好又快的长期持续发展。反观之，以资本主义私有制为基础的市场经济，是按资分配为主体和收入分配的两极分化，是必然出现有效消费不足和生产相对过剩，从而经济总是不断地被经济危机所打断，是不可能长期持续高速发展的。中国经济体制改革和发展假若是遵循“新自由主义模式”，同样逃脱不了“拉美模式”失败的命运，必然连同发生金融危机和经济危机。当前我国之所以没有发生金融和经济危机，而只是受西方金融和经济危机不同程度的影响，并能继续8%以上的持续快速发展，恰恰说明中国模式之优越，也没有遵循经济体制改革和发展的“新自由主义模式”。</w:t>
      </w:r>
    </w:p>
    <w:p w14:paraId="76312C25">
      <w:pPr>
        <w:overflowPunct w:val="0"/>
        <w:topLinePunct/>
        <w:ind w:firstLine="440" w:firstLineChars="200"/>
        <w:rPr>
          <w:rFonts w:ascii="宋体" w:hAnsi="宋体" w:eastAsia="宋体" w:cs="宋体"/>
          <w:color w:val="000000"/>
          <w:kern w:val="0"/>
          <w:sz w:val="21"/>
          <w:szCs w:val="21"/>
        </w:rPr>
      </w:pPr>
      <w:r>
        <w:rPr>
          <w:rFonts w:hint="eastAsia" w:ascii="宋体" w:hAnsi="宋体" w:eastAsia="宋体" w:cs="宋体"/>
          <w:color w:val="000000"/>
          <w:kern w:val="0"/>
          <w:sz w:val="21"/>
          <w:szCs w:val="21"/>
        </w:rPr>
        <w:t>还有个别论著认为，中国经济体制改革和发展是遵循遵循了以瑞典为代表的“民主社会主义模式”。“民主社会主义模式论”只看到中国非公经济的发展，看不到公有制经济的主体地位和国有经济的主导控制作用；只看到中国允许一部分人先富起来，看不到中国按劳分配为主体，而且最终要消灭剥削，消除两极分化和实现共同富裕；只看到社会主义市场经济与资本主义市场经济所具有的共性，看不到二者性质上的本质差别，即社会主义市场经济或混合经济建立在公有制为主体的基础之上，而资本主义市场经济或混合经济建立在私有制为主体的基础之上；只看到福利保障制度对于资本主义缓和资本与劳动的矛盾，改善雇佣阶级的生活状况具有积极意义，看不到福利资本主义是一种迫于雇主与雇员的阶级博弈而实行的改良思想和政策，而非根本改变雇佣剥削的经济制度。可见，中国改革的“民主社会主义模式论”片面看待中国经济改革和发展，误以为中国经济发展遵循和将要遵循“民主社会主义模式”，而实际并非如此。</w:t>
      </w:r>
    </w:p>
    <w:p w14:paraId="346AE841">
      <w:pPr>
        <w:overflowPunct w:val="0"/>
        <w:topLinePunct/>
        <w:ind w:firstLine="440" w:firstLineChars="200"/>
        <w:rPr>
          <w:rFonts w:ascii="宋体" w:hAnsi="宋体" w:eastAsia="宋体" w:cs="宋体"/>
          <w:color w:val="000000"/>
          <w:kern w:val="0"/>
          <w:sz w:val="21"/>
          <w:szCs w:val="21"/>
        </w:rPr>
      </w:pPr>
      <w:r>
        <w:rPr>
          <w:rFonts w:hint="eastAsia" w:ascii="宋体" w:hAnsi="宋体" w:eastAsia="宋体" w:cs="宋体"/>
          <w:color w:val="000000"/>
          <w:kern w:val="0"/>
          <w:sz w:val="21"/>
          <w:szCs w:val="21"/>
        </w:rPr>
        <w:t>需要注意的是，中国的经济体制改革和发展过程始终是在坚持在马克思主义经济理论的指导下和坚持社会主义制度的前提下，改革社会主义生产关系中不适应社会生产力发展状况的一些环节和方面，借鉴国外合理的管理经验和先进技术为我所用。改革既不是改变社会主义制度的性质，发展也不是照抄、照搬国外的发展模式。中国要建立和完善的社会主义市场经济体制，是要把社会主义基本制度和市场经济结合起来，充分发挥社会主义制度和市场经济的二者的优势，这正是中国取得巨大成就的重要原因。中国通过改革，突破了西方资产阶级经济学认为只有资本主义私有制才能与市场经济相结合的理念，“实行社会主义基本制度与市场经济相结合的社会主义市场经济体制，是科学社会主义发展史上的伟大创举”</w:t>
      </w:r>
      <w:r>
        <w:rPr>
          <w:rFonts w:ascii="宋体" w:hAnsi="宋体" w:eastAsia="宋体" w:cs="宋体"/>
          <w:color w:val="000000"/>
          <w:kern w:val="0"/>
          <w:sz w:val="21"/>
          <w:szCs w:val="21"/>
          <w:vertAlign w:val="superscript"/>
        </w:rPr>
        <w:footnoteReference w:id="446"/>
      </w:r>
      <w:r>
        <w:rPr>
          <w:rFonts w:hint="eastAsia" w:ascii="宋体" w:hAnsi="宋体" w:eastAsia="宋体" w:cs="宋体"/>
          <w:color w:val="000000"/>
          <w:kern w:val="0"/>
          <w:sz w:val="21"/>
          <w:szCs w:val="21"/>
        </w:rPr>
        <w:t>，是马克思主义政治经济学的重大理论创新。因此，如果把中国</w:t>
      </w:r>
      <w:r>
        <w:rPr>
          <w:rFonts w:hint="eastAsia" w:ascii="宋体" w:hAnsi="宋体" w:eastAsia="宋体" w:cs="Times New Roman"/>
          <w:color w:val="000000"/>
          <w:sz w:val="21"/>
          <w:szCs w:val="21"/>
        </w:rPr>
        <w:t>经济发展的模式说成“中国模式”，这种模式无疑是社会主义的发展模式。因其具有中国特色，可以称为中国特色社会主义的经济发展模式（与政治发展、文化发展和社会发展相对应，还有中国特色社会主义的政治发展模式、文化发展模式和社会发展模式，统称为中国特色社会主义发展模式）。考虑到这种模式的显著特征即公有资本与市场经济相结合，经济发展的中国模式又可以称为中国特色社会主义市场经济模式。</w:t>
      </w:r>
    </w:p>
    <w:p w14:paraId="6DE0AA38">
      <w:pPr>
        <w:overflowPunct w:val="0"/>
        <w:topLinePunct/>
        <w:ind w:firstLine="440" w:firstLineChars="200"/>
        <w:rPr>
          <w:rFonts w:ascii="宋体" w:hAnsi="宋体" w:eastAsia="宋体" w:cs="Times New Roman"/>
          <w:color w:val="000000"/>
          <w:sz w:val="21"/>
          <w:szCs w:val="21"/>
        </w:rPr>
      </w:pPr>
      <w:r>
        <w:rPr>
          <w:rFonts w:hint="eastAsia" w:ascii="宋体" w:hAnsi="宋体" w:eastAsia="宋体" w:cs="Times New Roman"/>
          <w:bCs/>
          <w:color w:val="000000"/>
          <w:sz w:val="21"/>
          <w:szCs w:val="21"/>
        </w:rPr>
        <w:t xml:space="preserve">最后应指出，一种具有显著特征的发展模式形成后，就应具有相对的稳定性；不适当的过度市场化改革可能走向反面。按照中央文件规定，在2010前是完善社会主义市场经济体制，因而在笔者看来，尽管改革和完善是无止境的，但大规模的经济体制改革将基本结束，我国将进入“后市场取向改革”的微调改革和稳定发展时期，将以发展来统揽全局。 </w:t>
      </w:r>
    </w:p>
    <w:p w14:paraId="4BAD74EA">
      <w:pPr>
        <w:overflowPunct w:val="0"/>
        <w:topLinePunct/>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参考文献：</w:t>
      </w:r>
    </w:p>
    <w:p w14:paraId="6C93123B">
      <w:pPr>
        <w:kinsoku w:val="0"/>
        <w:overflowPunct w:val="0"/>
        <w:autoSpaceDE w:val="0"/>
        <w:autoSpaceDN w:val="0"/>
        <w:ind w:firstLine="546" w:firstLineChars="249"/>
        <w:rPr>
          <w:rFonts w:ascii="宋体" w:hAnsi="宋体" w:eastAsia="宋体" w:cs="Times New Roman"/>
          <w:bCs/>
          <w:color w:val="000000"/>
          <w:sz w:val="21"/>
          <w:szCs w:val="21"/>
        </w:rPr>
      </w:pPr>
      <w:r>
        <w:rPr>
          <w:rFonts w:hint="eastAsia" w:ascii="宋体" w:hAnsi="宋体" w:eastAsia="宋体" w:cs="Times New Roman"/>
          <w:color w:val="000000"/>
          <w:sz w:val="21"/>
          <w:szCs w:val="21"/>
        </w:rPr>
        <w:t>1、</w:t>
      </w:r>
      <w:r>
        <w:rPr>
          <w:rFonts w:hint="eastAsia" w:ascii="宋体" w:hAnsi="宋体" w:eastAsia="宋体" w:cs="Times New Roman"/>
          <w:bCs/>
          <w:color w:val="000000"/>
          <w:sz w:val="21"/>
          <w:szCs w:val="21"/>
        </w:rPr>
        <w:t>刘国光：《当前世界经济危机中中国的表现与中国特色社会主义模式的关系》，《高校理论战线》2009年第5期。</w:t>
      </w:r>
    </w:p>
    <w:p w14:paraId="66A18CC0">
      <w:pPr>
        <w:overflowPunct w:val="0"/>
        <w:topLinePunct/>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2、</w:t>
      </w:r>
      <w:r>
        <w:rPr>
          <w:rFonts w:hint="eastAsia" w:ascii="宋体" w:hAnsi="宋体" w:eastAsia="宋体" w:cs="Times New Roman"/>
          <w:bCs/>
          <w:color w:val="000000"/>
          <w:sz w:val="21"/>
          <w:szCs w:val="21"/>
        </w:rPr>
        <w:t>程恩富、李新、梁赞诺夫、希罗科拉德：《中俄经济学家论中俄经济改革》，经济科学出版社2000年版。</w:t>
      </w:r>
    </w:p>
    <w:p w14:paraId="5A201B26">
      <w:pPr>
        <w:overflowPunct w:val="0"/>
        <w:topLinePunct/>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3、</w:t>
      </w:r>
      <w:r>
        <w:rPr>
          <w:rFonts w:hint="eastAsia" w:ascii="宋体" w:hAnsi="宋体" w:eastAsia="宋体" w:cs="Times New Roman"/>
          <w:bCs/>
          <w:color w:val="000000"/>
          <w:sz w:val="21"/>
          <w:szCs w:val="21"/>
        </w:rPr>
        <w:t>张宇：《中国模式的含义与意义》，《政治经济学评论》2009年第1辑。</w:t>
      </w:r>
    </w:p>
    <w:p w14:paraId="4670F7E8">
      <w:pPr>
        <w:overflowPunct w:val="0"/>
        <w:topLinePunct/>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4、</w:t>
      </w:r>
      <w:r>
        <w:rPr>
          <w:rFonts w:hint="eastAsia" w:ascii="宋体" w:hAnsi="宋体" w:eastAsia="宋体" w:cs="Times New Roman"/>
          <w:bCs/>
          <w:color w:val="000000"/>
          <w:sz w:val="21"/>
          <w:szCs w:val="21"/>
        </w:rPr>
        <w:t>李炳炎、向刚：《“中国奇迹”与“中国模式”——中国30年经济改革的巨大成就与基本经验》，《江苏科技大学学报（社会科学版）》2009年第1期。</w:t>
      </w:r>
    </w:p>
    <w:p w14:paraId="2F948C44">
      <w:pPr>
        <w:overflowPunct w:val="0"/>
        <w:topLinePunct/>
        <w:ind w:firstLine="360"/>
        <w:rPr>
          <w:rFonts w:hint="eastAsia" w:ascii="宋体" w:hAnsi="宋体" w:eastAsia="宋体" w:cs="Times New Roman"/>
          <w:color w:val="000000"/>
          <w:sz w:val="21"/>
          <w:szCs w:val="21"/>
        </w:rPr>
      </w:pPr>
      <w:r>
        <w:rPr>
          <w:rFonts w:hint="eastAsia" w:ascii="宋体" w:hAnsi="宋体" w:eastAsia="宋体" w:cs="Times New Roman"/>
          <w:color w:val="000000"/>
          <w:sz w:val="21"/>
          <w:szCs w:val="21"/>
        </w:rPr>
        <w:t>5、程恩富、顾海良主编：《海派经济学》第22辑、23辑，上海财经大学出版社2008年版。</w:t>
      </w:r>
    </w:p>
    <w:p w14:paraId="4BB27CD6">
      <w:pPr>
        <w:overflowPunct w:val="0"/>
        <w:topLinePunct/>
        <w:ind w:firstLine="360"/>
        <w:rPr>
          <w:rFonts w:ascii="宋体" w:hAnsi="宋体" w:eastAsia="宋体" w:cs="Times New Roman"/>
          <w:color w:val="000000"/>
          <w:sz w:val="21"/>
          <w:szCs w:val="21"/>
        </w:rPr>
      </w:pPr>
      <w:r>
        <w:rPr>
          <w:rFonts w:hint="eastAsia" w:ascii="宋体" w:hAnsi="宋体" w:eastAsia="宋体" w:cs="Times New Roman"/>
          <w:color w:val="000000"/>
          <w:sz w:val="21"/>
          <w:szCs w:val="21"/>
        </w:rPr>
        <w:t>（原载《经济学动态》2009年第12期）</w:t>
      </w:r>
    </w:p>
    <w:p w14:paraId="3C5C689F">
      <w:pPr>
        <w:spacing w:line="400" w:lineRule="exact"/>
        <w:ind w:firstLine="440" w:firstLineChars="200"/>
        <w:rPr>
          <w:rFonts w:ascii="宋体" w:hAnsi="宋体" w:eastAsia="宋体"/>
        </w:rPr>
      </w:pPr>
    </w:p>
    <w:p w14:paraId="597C888A">
      <w:pPr>
        <w:pStyle w:val="2"/>
        <w:spacing w:before="0" w:after="0" w:line="400" w:lineRule="exact"/>
        <w:ind w:firstLine="660" w:firstLineChars="200"/>
      </w:pPr>
      <w:r>
        <w:rPr>
          <w:rFonts w:ascii="黑体" w:hAnsi="黑体" w:eastAsia="黑体" w:cs="Times New Roman"/>
          <w:sz w:val="32"/>
          <w:szCs w:val="24"/>
        </w:rPr>
        <w:br w:type="page"/>
      </w:r>
      <w:bookmarkStart w:id="1090" w:name="_Toc15169"/>
      <w:bookmarkStart w:id="1091" w:name="_Toc867798080"/>
      <w:bookmarkStart w:id="1092" w:name="_Toc460669695"/>
      <w:r>
        <w:rPr>
          <w:rFonts w:hint="eastAsia"/>
        </w:rPr>
        <w:t>2</w:t>
      </w:r>
      <w:r>
        <w:t>010年</w:t>
      </w:r>
      <w:bookmarkEnd w:id="1090"/>
      <w:bookmarkEnd w:id="1091"/>
      <w:bookmarkEnd w:id="1092"/>
    </w:p>
    <w:p w14:paraId="6C7BDDCF">
      <w:pPr>
        <w:keepNext/>
        <w:keepLines/>
        <w:widowControl/>
        <w:spacing w:line="480" w:lineRule="auto"/>
        <w:ind w:firstLine="198"/>
        <w:jc w:val="center"/>
        <w:outlineLvl w:val="1"/>
        <w:rPr>
          <w:rFonts w:ascii="黑体" w:hAnsi="黑体" w:eastAsia="黑体" w:cs="Times New Roman"/>
          <w:kern w:val="28"/>
          <w:sz w:val="32"/>
          <w:szCs w:val="24"/>
        </w:rPr>
      </w:pPr>
      <w:bookmarkStart w:id="1093" w:name="_Toc31739"/>
      <w:bookmarkStart w:id="1094" w:name="_Toc1520883783"/>
      <w:bookmarkStart w:id="1095" w:name="_Toc797016430"/>
      <w:r>
        <w:rPr>
          <w:rFonts w:hint="eastAsia" w:ascii="黑体" w:hAnsi="黑体" w:eastAsia="黑体" w:cs="Times New Roman"/>
          <w:kern w:val="0"/>
          <w:sz w:val="32"/>
          <w:szCs w:val="32"/>
        </w:rPr>
        <w:t>1中国经济学现代化的创新原则与发展态势</w:t>
      </w:r>
      <w:bookmarkEnd w:id="1093"/>
      <w:bookmarkEnd w:id="1094"/>
      <w:bookmarkEnd w:id="1095"/>
    </w:p>
    <w:p w14:paraId="62BA110A">
      <w:pPr>
        <w:autoSpaceDE w:val="0"/>
        <w:autoSpaceDN w:val="0"/>
        <w:spacing w:line="360" w:lineRule="auto"/>
        <w:ind w:firstLine="50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rPr>
        <w:t>一</w:t>
      </w:r>
      <w:r>
        <w:rPr>
          <w:rFonts w:hint="eastAsia" w:ascii="宋体" w:hAnsi="宋体" w:eastAsia="宋体" w:cs="B4+cajcd fnta1"/>
          <w:b/>
          <w:bCs/>
          <w:kern w:val="28"/>
          <w:sz w:val="24"/>
          <w:szCs w:val="32"/>
        </w:rPr>
        <w:t>、</w:t>
      </w:r>
      <w:r>
        <w:rPr>
          <w:rFonts w:hint="eastAsia" w:ascii="宋体" w:hAnsi="宋体" w:eastAsia="宋体" w:cs="Times New Roman"/>
          <w:b/>
          <w:bCs/>
          <w:kern w:val="28"/>
          <w:sz w:val="24"/>
          <w:szCs w:val="32"/>
        </w:rPr>
        <w:t>中国经济学现代化的总体创新原则</w:t>
      </w:r>
    </w:p>
    <w:p w14:paraId="5938B799">
      <w:pPr>
        <w:spacing w:line="400" w:lineRule="exact"/>
        <w:ind w:firstLine="440" w:firstLineChars="200"/>
        <w:rPr>
          <w:rFonts w:ascii="宋体" w:hAnsi="宋体" w:eastAsia="宋体" w:cs="宋体"/>
          <w:szCs w:val="21"/>
        </w:rPr>
      </w:pPr>
      <w:r>
        <w:rPr>
          <w:rFonts w:hint="eastAsia" w:ascii="宋体" w:hAnsi="宋体" w:eastAsia="宋体" w:cs="宋体"/>
          <w:szCs w:val="21"/>
        </w:rPr>
        <w:t>分析如何推进中国经济学现代化这个问题涉及方方面面</w:t>
      </w:r>
      <w:r>
        <w:rPr>
          <w:rFonts w:hint="eastAsia" w:ascii="宋体" w:hAnsi="宋体" w:eastAsia="宋体" w:cs="B5+CAJ FNT00"/>
          <w:szCs w:val="21"/>
        </w:rPr>
        <w:t>，</w:t>
      </w:r>
      <w:r>
        <w:rPr>
          <w:rFonts w:hint="eastAsia" w:ascii="宋体" w:hAnsi="宋体" w:eastAsia="宋体" w:cs="宋体"/>
          <w:szCs w:val="21"/>
        </w:rPr>
        <w:t>就其解决这个问题的基本学术方针和总体创新原则而言</w:t>
      </w:r>
      <w:r>
        <w:rPr>
          <w:rFonts w:hint="eastAsia" w:ascii="宋体" w:hAnsi="宋体" w:eastAsia="宋体" w:cs="B5+CAJ FNT00"/>
          <w:szCs w:val="21"/>
        </w:rPr>
        <w:t>，</w:t>
      </w:r>
      <w:r>
        <w:rPr>
          <w:rFonts w:hint="eastAsia" w:ascii="宋体" w:hAnsi="宋体" w:eastAsia="宋体" w:cs="宋体"/>
          <w:szCs w:val="21"/>
        </w:rPr>
        <w:t>可以扼要地概括为：</w:t>
      </w:r>
      <w:r>
        <w:rPr>
          <w:rFonts w:hint="eastAsia" w:ascii="宋体" w:hAnsi="宋体" w:eastAsia="宋体" w:cs="B4+cajcd fnta1"/>
          <w:szCs w:val="21"/>
        </w:rPr>
        <w:t>“</w:t>
      </w:r>
      <w:r>
        <w:rPr>
          <w:rFonts w:hint="eastAsia" w:ascii="宋体" w:hAnsi="宋体" w:eastAsia="宋体" w:cs="宋体"/>
          <w:szCs w:val="21"/>
        </w:rPr>
        <w:t>马学为体</w:t>
      </w:r>
      <w:r>
        <w:rPr>
          <w:rFonts w:hint="eastAsia" w:ascii="宋体" w:hAnsi="宋体" w:eastAsia="宋体" w:cs="B4+cajcd fnta1"/>
          <w:szCs w:val="21"/>
        </w:rPr>
        <w:t>、</w:t>
      </w:r>
      <w:r>
        <w:rPr>
          <w:rFonts w:hint="eastAsia" w:ascii="宋体" w:hAnsi="宋体" w:eastAsia="宋体" w:cs="宋体"/>
          <w:szCs w:val="21"/>
        </w:rPr>
        <w:t>西学为用</w:t>
      </w:r>
      <w:r>
        <w:rPr>
          <w:rFonts w:hint="eastAsia" w:ascii="宋体" w:hAnsi="宋体" w:eastAsia="宋体" w:cs="B4+cajcd fnta1"/>
          <w:szCs w:val="21"/>
        </w:rPr>
        <w:t>、</w:t>
      </w:r>
      <w:r>
        <w:rPr>
          <w:rFonts w:hint="eastAsia" w:ascii="宋体" w:hAnsi="宋体" w:eastAsia="宋体" w:cs="宋体"/>
          <w:szCs w:val="21"/>
        </w:rPr>
        <w:t>国学为根</w:t>
      </w:r>
      <w:r>
        <w:rPr>
          <w:rFonts w:hint="eastAsia" w:ascii="宋体" w:hAnsi="宋体" w:eastAsia="宋体" w:cs="B4+cajcd fnta1"/>
          <w:szCs w:val="21"/>
        </w:rPr>
        <w:t>、</w:t>
      </w:r>
      <w:r>
        <w:rPr>
          <w:rFonts w:hint="eastAsia" w:ascii="宋体" w:hAnsi="宋体" w:eastAsia="宋体" w:cs="宋体"/>
          <w:szCs w:val="21"/>
        </w:rPr>
        <w:t>世情为鉴</w:t>
      </w:r>
      <w:r>
        <w:rPr>
          <w:rFonts w:hint="eastAsia" w:ascii="宋体" w:hAnsi="宋体" w:eastAsia="宋体" w:cs="B4+cajcd fnta1"/>
          <w:szCs w:val="21"/>
        </w:rPr>
        <w:t>、</w:t>
      </w:r>
      <w:r>
        <w:rPr>
          <w:rFonts w:hint="eastAsia" w:ascii="宋体" w:hAnsi="宋体" w:eastAsia="宋体" w:cs="宋体"/>
          <w:szCs w:val="21"/>
        </w:rPr>
        <w:t>国情为据</w:t>
      </w:r>
      <w:r>
        <w:rPr>
          <w:rFonts w:hint="eastAsia" w:ascii="宋体" w:hAnsi="宋体" w:eastAsia="宋体" w:cs="B4+cajcd fnta1"/>
          <w:szCs w:val="21"/>
        </w:rPr>
        <w:t>、</w:t>
      </w:r>
      <w:r>
        <w:rPr>
          <w:rFonts w:hint="eastAsia" w:ascii="宋体" w:hAnsi="宋体" w:eastAsia="宋体" w:cs="宋体"/>
          <w:szCs w:val="21"/>
        </w:rPr>
        <w:t>综合创新</w:t>
      </w:r>
      <w:r>
        <w:rPr>
          <w:rFonts w:hint="eastAsia" w:ascii="宋体" w:hAnsi="宋体" w:eastAsia="宋体" w:cs="B4+cajcd fnta1"/>
          <w:szCs w:val="21"/>
        </w:rPr>
        <w:t>”。</w:t>
      </w:r>
    </w:p>
    <w:p w14:paraId="462F0CDC">
      <w:pPr>
        <w:spacing w:line="400" w:lineRule="exact"/>
        <w:ind w:firstLine="440" w:firstLineChars="200"/>
        <w:rPr>
          <w:rFonts w:ascii="宋体" w:hAnsi="宋体" w:eastAsia="宋体" w:cs="宋体"/>
          <w:szCs w:val="21"/>
        </w:rPr>
      </w:pPr>
      <w:r>
        <w:rPr>
          <w:rFonts w:hint="eastAsia" w:ascii="宋体" w:hAnsi="宋体" w:eastAsia="宋体" w:cs="宋体"/>
          <w:szCs w:val="21"/>
        </w:rPr>
        <w:t>第一</w:t>
      </w:r>
      <w:r>
        <w:rPr>
          <w:rFonts w:hint="eastAsia" w:ascii="宋体" w:hAnsi="宋体" w:eastAsia="宋体" w:cs="B5+CAJ FNT00"/>
          <w:szCs w:val="21"/>
        </w:rPr>
        <w:t>,</w:t>
      </w:r>
      <w:r>
        <w:rPr>
          <w:rFonts w:hint="eastAsia" w:ascii="宋体" w:hAnsi="宋体" w:eastAsia="宋体" w:cs="宋体"/>
          <w:szCs w:val="21"/>
        </w:rPr>
        <w:t>关于</w:t>
      </w:r>
      <w:r>
        <w:rPr>
          <w:rFonts w:hint="eastAsia" w:ascii="宋体" w:hAnsi="宋体" w:eastAsia="宋体" w:cs="B4+cajcd fnta1"/>
          <w:szCs w:val="21"/>
        </w:rPr>
        <w:t>“</w:t>
      </w:r>
      <w:r>
        <w:rPr>
          <w:rFonts w:hint="eastAsia" w:ascii="宋体" w:hAnsi="宋体" w:eastAsia="宋体" w:cs="宋体"/>
          <w:szCs w:val="21"/>
        </w:rPr>
        <w:t>马学为体</w:t>
      </w:r>
      <w:r>
        <w:rPr>
          <w:rFonts w:hint="eastAsia" w:ascii="宋体" w:hAnsi="宋体" w:eastAsia="宋体" w:cs="B4+cajcd fnta1"/>
          <w:szCs w:val="21"/>
        </w:rPr>
        <w:t>”。“</w:t>
      </w:r>
      <w:r>
        <w:rPr>
          <w:rFonts w:hint="eastAsia" w:ascii="宋体" w:hAnsi="宋体" w:eastAsia="宋体" w:cs="宋体"/>
          <w:szCs w:val="21"/>
        </w:rPr>
        <w:t>马学</w:t>
      </w:r>
      <w:r>
        <w:rPr>
          <w:rFonts w:hint="eastAsia" w:ascii="宋体" w:hAnsi="宋体" w:eastAsia="宋体" w:cs="B4+cajcd fnta1"/>
          <w:szCs w:val="21"/>
        </w:rPr>
        <w:t>”</w:t>
      </w:r>
      <w:r>
        <w:rPr>
          <w:rFonts w:hint="eastAsia" w:ascii="宋体" w:hAnsi="宋体" w:eastAsia="宋体" w:cs="宋体"/>
          <w:szCs w:val="21"/>
        </w:rPr>
        <w:t>是指中外马克思主义知识体系</w:t>
      </w:r>
      <w:r>
        <w:rPr>
          <w:rFonts w:hint="eastAsia" w:ascii="宋体" w:hAnsi="宋体" w:eastAsia="宋体" w:cs="B4+cajcd fnta1"/>
          <w:szCs w:val="21"/>
        </w:rPr>
        <w:t>。“</w:t>
      </w:r>
      <w:r>
        <w:rPr>
          <w:rFonts w:hint="eastAsia" w:ascii="宋体" w:hAnsi="宋体" w:eastAsia="宋体" w:cs="宋体"/>
          <w:szCs w:val="21"/>
        </w:rPr>
        <w:t>体</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在中国古代哲学语言中具有</w:t>
      </w:r>
      <w:r>
        <w:rPr>
          <w:rFonts w:hint="eastAsia" w:ascii="宋体" w:hAnsi="宋体" w:eastAsia="宋体" w:cs="B4+cajcd fnta1"/>
          <w:szCs w:val="21"/>
        </w:rPr>
        <w:t>“</w:t>
      </w:r>
      <w:r>
        <w:rPr>
          <w:rFonts w:hint="eastAsia" w:ascii="宋体" w:hAnsi="宋体" w:eastAsia="宋体" w:cs="宋体"/>
          <w:szCs w:val="21"/>
        </w:rPr>
        <w:t>根本的</w:t>
      </w:r>
      <w:r>
        <w:rPr>
          <w:rFonts w:hint="eastAsia" w:ascii="宋体" w:hAnsi="宋体" w:eastAsia="宋体" w:cs="B4+cajcd fnta1"/>
          <w:szCs w:val="21"/>
        </w:rPr>
        <w:t>、</w:t>
      </w:r>
      <w:r>
        <w:rPr>
          <w:rFonts w:hint="eastAsia" w:ascii="宋体" w:hAnsi="宋体" w:eastAsia="宋体" w:cs="宋体"/>
          <w:szCs w:val="21"/>
        </w:rPr>
        <w:t>内在的</w:t>
      </w:r>
      <w:r>
        <w:rPr>
          <w:rFonts w:hint="eastAsia" w:ascii="宋体" w:hAnsi="宋体" w:eastAsia="宋体" w:cs="B4+cajcd fnta1"/>
          <w:szCs w:val="21"/>
        </w:rPr>
        <w:t>”</w:t>
      </w:r>
      <w:r>
        <w:rPr>
          <w:rFonts w:hint="eastAsia" w:ascii="宋体" w:hAnsi="宋体" w:eastAsia="宋体" w:cs="宋体"/>
          <w:szCs w:val="21"/>
        </w:rPr>
        <w:t>含义</w:t>
      </w:r>
      <w:r>
        <w:rPr>
          <w:rFonts w:hint="eastAsia" w:ascii="宋体" w:hAnsi="宋体" w:eastAsia="宋体" w:cs="B4+cajcd fnta1"/>
          <w:szCs w:val="21"/>
        </w:rPr>
        <w:t>。</w:t>
      </w:r>
      <w:r>
        <w:rPr>
          <w:rFonts w:hint="eastAsia" w:ascii="宋体" w:hAnsi="宋体" w:eastAsia="宋体" w:cs="宋体"/>
          <w:szCs w:val="21"/>
        </w:rPr>
        <w:t>强调中国经济学现代化必须坚持</w:t>
      </w:r>
      <w:r>
        <w:rPr>
          <w:rFonts w:hint="eastAsia" w:ascii="宋体" w:hAnsi="宋体" w:eastAsia="宋体" w:cs="B4+cajcd fnta1"/>
          <w:szCs w:val="21"/>
        </w:rPr>
        <w:t>“</w:t>
      </w:r>
      <w:r>
        <w:rPr>
          <w:rFonts w:hint="eastAsia" w:ascii="宋体" w:hAnsi="宋体" w:eastAsia="宋体" w:cs="宋体"/>
          <w:szCs w:val="21"/>
        </w:rPr>
        <w:t>马学为体</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就是要始终坚持马克思主义经济学是中国现代经济学的根本和主导</w:t>
      </w:r>
      <w:r>
        <w:rPr>
          <w:rFonts w:hint="eastAsia" w:ascii="宋体" w:hAnsi="宋体" w:eastAsia="宋体" w:cs="B4+cajcd fnta1"/>
          <w:szCs w:val="21"/>
        </w:rPr>
        <w:t>。</w:t>
      </w:r>
      <w:r>
        <w:rPr>
          <w:rFonts w:hint="eastAsia" w:ascii="宋体" w:hAnsi="宋体" w:eastAsia="宋体" w:cs="宋体"/>
          <w:szCs w:val="21"/>
        </w:rPr>
        <w:t>这就是说</w:t>
      </w:r>
      <w:r>
        <w:rPr>
          <w:rFonts w:hint="eastAsia" w:ascii="宋体" w:hAnsi="宋体" w:eastAsia="宋体" w:cs="B5+CAJ FNT00"/>
          <w:szCs w:val="21"/>
        </w:rPr>
        <w:t>，</w:t>
      </w:r>
      <w:r>
        <w:rPr>
          <w:rFonts w:hint="eastAsia" w:ascii="宋体" w:hAnsi="宋体" w:eastAsia="宋体" w:cs="宋体"/>
          <w:szCs w:val="21"/>
        </w:rPr>
        <w:t>中国经济学的现代化在研究方向上</w:t>
      </w:r>
      <w:r>
        <w:rPr>
          <w:rFonts w:hint="eastAsia" w:ascii="宋体" w:hAnsi="宋体" w:eastAsia="宋体" w:cs="B5+CAJ FNT00"/>
          <w:szCs w:val="21"/>
        </w:rPr>
        <w:t>，</w:t>
      </w:r>
      <w:r>
        <w:rPr>
          <w:rFonts w:hint="eastAsia" w:ascii="宋体" w:hAnsi="宋体" w:eastAsia="宋体" w:cs="宋体"/>
          <w:szCs w:val="21"/>
        </w:rPr>
        <w:t>必须始终毫不动摇地坚持唯物史观的指引</w:t>
      </w:r>
      <w:r>
        <w:rPr>
          <w:rFonts w:hint="eastAsia" w:ascii="宋体" w:hAnsi="宋体" w:eastAsia="宋体" w:cs="B5+CAJ FNT00"/>
          <w:szCs w:val="21"/>
        </w:rPr>
        <w:t>，</w:t>
      </w:r>
      <w:r>
        <w:rPr>
          <w:rFonts w:hint="eastAsia" w:ascii="宋体" w:hAnsi="宋体" w:eastAsia="宋体" w:cs="宋体"/>
          <w:szCs w:val="21"/>
        </w:rPr>
        <w:t>遵循着马克思的理论的道路前进；在内容上</w:t>
      </w:r>
      <w:r>
        <w:rPr>
          <w:rFonts w:hint="eastAsia" w:ascii="宋体" w:hAnsi="宋体" w:eastAsia="宋体" w:cs="B5+CAJ FNT00"/>
          <w:szCs w:val="21"/>
        </w:rPr>
        <w:t>，</w:t>
      </w:r>
      <w:r>
        <w:rPr>
          <w:rFonts w:hint="eastAsia" w:ascii="宋体" w:hAnsi="宋体" w:eastAsia="宋体" w:cs="宋体"/>
          <w:szCs w:val="21"/>
        </w:rPr>
        <w:t>必须毫不动摇地以马克思主义经济学知识体系中的基本范畴</w:t>
      </w:r>
      <w:r>
        <w:rPr>
          <w:rFonts w:hint="eastAsia" w:ascii="宋体" w:hAnsi="宋体" w:eastAsia="宋体" w:cs="B4+cajcd fnta1"/>
          <w:szCs w:val="21"/>
        </w:rPr>
        <w:t>、</w:t>
      </w:r>
      <w:r>
        <w:rPr>
          <w:rFonts w:hint="eastAsia" w:ascii="宋体" w:hAnsi="宋体" w:eastAsia="宋体" w:cs="宋体"/>
          <w:szCs w:val="21"/>
        </w:rPr>
        <w:t>科学原理为主体</w:t>
      </w:r>
      <w:r>
        <w:rPr>
          <w:rFonts w:hint="eastAsia" w:ascii="宋体" w:hAnsi="宋体" w:eastAsia="宋体" w:cs="B5+CAJ FNT00"/>
          <w:szCs w:val="21"/>
        </w:rPr>
        <w:t>，</w:t>
      </w:r>
      <w:r>
        <w:rPr>
          <w:rFonts w:hint="eastAsia" w:ascii="宋体" w:hAnsi="宋体" w:eastAsia="宋体" w:cs="宋体"/>
          <w:szCs w:val="21"/>
        </w:rPr>
        <w:t>面对新的历史条件拓展和创新；在处理中外多元经济思想的关系上</w:t>
      </w:r>
      <w:r>
        <w:rPr>
          <w:rFonts w:hint="eastAsia" w:ascii="宋体" w:hAnsi="宋体" w:eastAsia="宋体" w:cs="B5+CAJ FNT00"/>
          <w:szCs w:val="21"/>
        </w:rPr>
        <w:t>，</w:t>
      </w:r>
      <w:r>
        <w:rPr>
          <w:rFonts w:hint="eastAsia" w:ascii="宋体" w:hAnsi="宋体" w:eastAsia="宋体" w:cs="宋体"/>
          <w:szCs w:val="21"/>
        </w:rPr>
        <w:t>必须毫不动摇地坚持马克思主义经济学的指导地位</w:t>
      </w:r>
      <w:r>
        <w:rPr>
          <w:rFonts w:hint="eastAsia" w:ascii="宋体" w:hAnsi="宋体" w:eastAsia="宋体" w:cs="B4+cajcd fnta1"/>
          <w:szCs w:val="21"/>
        </w:rPr>
        <w:t>。</w:t>
      </w:r>
    </w:p>
    <w:p w14:paraId="3F792243">
      <w:pPr>
        <w:spacing w:line="400" w:lineRule="exact"/>
        <w:ind w:firstLine="440" w:firstLineChars="200"/>
        <w:rPr>
          <w:rFonts w:ascii="宋体" w:hAnsi="宋体" w:eastAsia="宋体" w:cs="宋体"/>
          <w:szCs w:val="21"/>
        </w:rPr>
      </w:pPr>
      <w:r>
        <w:rPr>
          <w:rFonts w:hint="eastAsia" w:ascii="宋体" w:hAnsi="宋体" w:eastAsia="宋体" w:cs="宋体"/>
          <w:szCs w:val="21"/>
        </w:rPr>
        <w:t>强调</w:t>
      </w:r>
      <w:r>
        <w:rPr>
          <w:rFonts w:hint="eastAsia" w:ascii="宋体" w:hAnsi="宋体" w:eastAsia="宋体" w:cs="B4+cajcd fnta1"/>
          <w:szCs w:val="21"/>
        </w:rPr>
        <w:t>“</w:t>
      </w:r>
      <w:r>
        <w:rPr>
          <w:rFonts w:hint="eastAsia" w:ascii="宋体" w:hAnsi="宋体" w:eastAsia="宋体" w:cs="宋体"/>
          <w:szCs w:val="21"/>
        </w:rPr>
        <w:t>马学为体</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有必要纠正近些年来流行的一些对马克思主义经济学的认识误区：一是把马克思主义经济学视为与西方经济学各种流派相提并论的一种理论流派；二是简单地把马克思主义经济学分割为</w:t>
      </w:r>
      <w:r>
        <w:rPr>
          <w:rFonts w:hint="eastAsia" w:ascii="宋体" w:hAnsi="宋体" w:eastAsia="宋体" w:cs="B4+cajcd fnta1"/>
          <w:szCs w:val="21"/>
        </w:rPr>
        <w:t>“</w:t>
      </w:r>
      <w:r>
        <w:rPr>
          <w:rFonts w:hint="eastAsia" w:ascii="宋体" w:hAnsi="宋体" w:eastAsia="宋体" w:cs="宋体"/>
          <w:szCs w:val="21"/>
        </w:rPr>
        <w:t>革命的经济学</w:t>
      </w:r>
      <w:r>
        <w:rPr>
          <w:rFonts w:hint="eastAsia" w:ascii="宋体" w:hAnsi="宋体" w:eastAsia="宋体" w:cs="B4+cajcd fnta1"/>
          <w:szCs w:val="21"/>
        </w:rPr>
        <w:t>”</w:t>
      </w:r>
      <w:r>
        <w:rPr>
          <w:rFonts w:hint="eastAsia" w:ascii="宋体" w:hAnsi="宋体" w:eastAsia="宋体" w:cs="宋体"/>
          <w:szCs w:val="21"/>
        </w:rPr>
        <w:t>与</w:t>
      </w:r>
      <w:r>
        <w:rPr>
          <w:rFonts w:hint="eastAsia" w:ascii="宋体" w:hAnsi="宋体" w:eastAsia="宋体" w:cs="B4+cajcd fnta1"/>
          <w:szCs w:val="21"/>
        </w:rPr>
        <w:t>“</w:t>
      </w:r>
      <w:r>
        <w:rPr>
          <w:rFonts w:hint="eastAsia" w:ascii="宋体" w:hAnsi="宋体" w:eastAsia="宋体" w:cs="宋体"/>
          <w:szCs w:val="21"/>
        </w:rPr>
        <w:t>建设的经济学</w:t>
      </w:r>
      <w:r>
        <w:rPr>
          <w:rFonts w:hint="eastAsia" w:ascii="宋体" w:hAnsi="宋体" w:eastAsia="宋体" w:cs="B4+cajcd fnta1"/>
          <w:szCs w:val="21"/>
        </w:rPr>
        <w:t>”</w:t>
      </w:r>
      <w:r>
        <w:rPr>
          <w:rFonts w:hint="eastAsia" w:ascii="宋体" w:hAnsi="宋体" w:eastAsia="宋体" w:cs="宋体"/>
          <w:szCs w:val="21"/>
        </w:rPr>
        <w:t>；三是宣扬马克思主义及其经济学只是意识形态非学术；四是认为生产力先进的美欧国家</w:t>
      </w:r>
      <w:r>
        <w:rPr>
          <w:rFonts w:hint="eastAsia" w:ascii="宋体" w:hAnsi="宋体" w:eastAsia="宋体" w:cs="B5+CAJ FNT00"/>
          <w:szCs w:val="21"/>
        </w:rPr>
        <w:t>，</w:t>
      </w:r>
      <w:r>
        <w:rPr>
          <w:rFonts w:hint="eastAsia" w:ascii="宋体" w:hAnsi="宋体" w:eastAsia="宋体" w:cs="宋体"/>
          <w:szCs w:val="21"/>
        </w:rPr>
        <w:t>其经济学也一定是先进的</w:t>
      </w:r>
      <w:r>
        <w:rPr>
          <w:rFonts w:hint="eastAsia" w:ascii="宋体" w:hAnsi="宋体" w:eastAsia="宋体" w:cs="B4+cajcd fnta1"/>
          <w:szCs w:val="21"/>
        </w:rPr>
        <w:t>。</w:t>
      </w:r>
    </w:p>
    <w:p w14:paraId="15FBCE09">
      <w:pPr>
        <w:spacing w:line="400" w:lineRule="exact"/>
        <w:ind w:firstLine="440" w:firstLineChars="200"/>
        <w:rPr>
          <w:rFonts w:ascii="宋体" w:hAnsi="宋体" w:eastAsia="宋体" w:cs="宋体"/>
          <w:szCs w:val="21"/>
        </w:rPr>
      </w:pPr>
      <w:r>
        <w:rPr>
          <w:rFonts w:hint="eastAsia" w:ascii="宋体" w:hAnsi="宋体" w:eastAsia="宋体" w:cs="宋体"/>
          <w:szCs w:val="21"/>
        </w:rPr>
        <w:t>在追求经济学科学化的意义上</w:t>
      </w:r>
      <w:r>
        <w:rPr>
          <w:rFonts w:hint="eastAsia" w:ascii="宋体" w:hAnsi="宋体" w:eastAsia="宋体" w:cs="B5+CAJ FNT00"/>
          <w:szCs w:val="21"/>
        </w:rPr>
        <w:t>，</w:t>
      </w:r>
      <w:r>
        <w:rPr>
          <w:rFonts w:hint="eastAsia" w:ascii="宋体" w:hAnsi="宋体" w:eastAsia="宋体" w:cs="宋体"/>
          <w:szCs w:val="21"/>
        </w:rPr>
        <w:t>可以说</w:t>
      </w:r>
      <w:r>
        <w:rPr>
          <w:rFonts w:hint="eastAsia" w:ascii="宋体" w:hAnsi="宋体" w:eastAsia="宋体" w:cs="B5+CAJ FNT00"/>
          <w:szCs w:val="21"/>
        </w:rPr>
        <w:t>，</w:t>
      </w:r>
      <w:r>
        <w:rPr>
          <w:rFonts w:hint="eastAsia" w:ascii="宋体" w:hAnsi="宋体" w:eastAsia="宋体" w:cs="宋体"/>
          <w:szCs w:val="21"/>
        </w:rPr>
        <w:t>越是坚持</w:t>
      </w:r>
      <w:r>
        <w:rPr>
          <w:rFonts w:hint="eastAsia" w:ascii="宋体" w:hAnsi="宋体" w:eastAsia="宋体" w:cs="B4+cajcd fnta1"/>
          <w:szCs w:val="21"/>
        </w:rPr>
        <w:t>“</w:t>
      </w:r>
      <w:r>
        <w:rPr>
          <w:rFonts w:hint="eastAsia" w:ascii="宋体" w:hAnsi="宋体" w:eastAsia="宋体" w:cs="宋体"/>
          <w:szCs w:val="21"/>
        </w:rPr>
        <w:t>马学为体</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就越能促进中国经济学的现代化；而越是偏离</w:t>
      </w:r>
      <w:r>
        <w:rPr>
          <w:rFonts w:hint="eastAsia" w:ascii="宋体" w:hAnsi="宋体" w:eastAsia="宋体" w:cs="B4+cajcd fnta1"/>
          <w:szCs w:val="21"/>
        </w:rPr>
        <w:t>“</w:t>
      </w:r>
      <w:r>
        <w:rPr>
          <w:rFonts w:hint="eastAsia" w:ascii="宋体" w:hAnsi="宋体" w:eastAsia="宋体" w:cs="宋体"/>
          <w:szCs w:val="21"/>
        </w:rPr>
        <w:t>马学为体</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越是追随西方现代经济学</w:t>
      </w:r>
      <w:r>
        <w:rPr>
          <w:rFonts w:hint="eastAsia" w:ascii="宋体" w:hAnsi="宋体" w:eastAsia="宋体" w:cs="B5+CAJ FNT00"/>
          <w:szCs w:val="21"/>
        </w:rPr>
        <w:t>，</w:t>
      </w:r>
      <w:r>
        <w:rPr>
          <w:rFonts w:hint="eastAsia" w:ascii="宋体" w:hAnsi="宋体" w:eastAsia="宋体" w:cs="宋体"/>
          <w:szCs w:val="21"/>
        </w:rPr>
        <w:t>中国经济学越难以实现科学的现代化</w:t>
      </w:r>
      <w:r>
        <w:rPr>
          <w:rFonts w:hint="eastAsia" w:ascii="宋体" w:hAnsi="宋体" w:eastAsia="宋体" w:cs="B5+CAJ FNT00"/>
          <w:szCs w:val="21"/>
        </w:rPr>
        <w:t>，</w:t>
      </w:r>
      <w:r>
        <w:rPr>
          <w:rFonts w:hint="eastAsia" w:ascii="宋体" w:hAnsi="宋体" w:eastAsia="宋体" w:cs="宋体"/>
          <w:szCs w:val="21"/>
        </w:rPr>
        <w:t>而且有可能使中国经济学陷人当代资产阶级经济学</w:t>
      </w:r>
      <w:r>
        <w:rPr>
          <w:rFonts w:hint="eastAsia" w:ascii="宋体" w:hAnsi="宋体" w:eastAsia="宋体" w:cs="B4+cajcd fnta1"/>
          <w:szCs w:val="21"/>
        </w:rPr>
        <w:t>“</w:t>
      </w:r>
      <w:r>
        <w:rPr>
          <w:rFonts w:hint="eastAsia" w:ascii="宋体" w:hAnsi="宋体" w:eastAsia="宋体" w:cs="宋体"/>
          <w:szCs w:val="21"/>
        </w:rPr>
        <w:t>学术殖民地</w:t>
      </w:r>
      <w:r>
        <w:rPr>
          <w:rFonts w:hint="eastAsia" w:ascii="宋体" w:hAnsi="宋体" w:eastAsia="宋体" w:cs="B4+cajcd fnta1"/>
          <w:szCs w:val="21"/>
        </w:rPr>
        <w:t>”</w:t>
      </w:r>
      <w:r>
        <w:rPr>
          <w:rFonts w:hint="eastAsia" w:ascii="宋体" w:hAnsi="宋体" w:eastAsia="宋体" w:cs="宋体"/>
          <w:szCs w:val="21"/>
        </w:rPr>
        <w:t>和</w:t>
      </w:r>
      <w:r>
        <w:rPr>
          <w:rFonts w:hint="eastAsia" w:ascii="宋体" w:hAnsi="宋体" w:eastAsia="宋体" w:cs="B4+cajcd fnta1"/>
          <w:szCs w:val="21"/>
        </w:rPr>
        <w:t>“</w:t>
      </w:r>
      <w:r>
        <w:rPr>
          <w:rFonts w:hint="eastAsia" w:ascii="宋体" w:hAnsi="宋体" w:eastAsia="宋体" w:cs="宋体"/>
          <w:szCs w:val="21"/>
        </w:rPr>
        <w:t>马前卒</w:t>
      </w:r>
      <w:r>
        <w:rPr>
          <w:rFonts w:hint="eastAsia" w:ascii="宋体" w:hAnsi="宋体" w:eastAsia="宋体" w:cs="B4+cajcd fnta1"/>
          <w:szCs w:val="21"/>
        </w:rPr>
        <w:t>”</w:t>
      </w:r>
      <w:r>
        <w:rPr>
          <w:rFonts w:hint="eastAsia" w:ascii="宋体" w:hAnsi="宋体" w:eastAsia="宋体" w:cs="宋体"/>
          <w:szCs w:val="21"/>
        </w:rPr>
        <w:t>的可悲地位</w:t>
      </w:r>
      <w:r>
        <w:rPr>
          <w:rFonts w:hint="eastAsia" w:ascii="宋体" w:hAnsi="宋体" w:eastAsia="宋体" w:cs="B4+cajcd fnta1"/>
          <w:szCs w:val="21"/>
        </w:rPr>
        <w:t>。</w:t>
      </w:r>
    </w:p>
    <w:p w14:paraId="55024C42">
      <w:pPr>
        <w:spacing w:line="400" w:lineRule="exact"/>
        <w:ind w:firstLine="440" w:firstLineChars="200"/>
        <w:rPr>
          <w:rFonts w:ascii="宋体" w:hAnsi="宋体" w:eastAsia="宋体" w:cs="宋体"/>
          <w:szCs w:val="21"/>
        </w:rPr>
      </w:pPr>
      <w:r>
        <w:rPr>
          <w:rFonts w:hint="eastAsia" w:ascii="宋体" w:hAnsi="宋体" w:eastAsia="宋体" w:cs="宋体"/>
          <w:szCs w:val="21"/>
        </w:rPr>
        <w:t>第二</w:t>
      </w:r>
      <w:r>
        <w:rPr>
          <w:rFonts w:hint="eastAsia" w:ascii="宋体" w:hAnsi="宋体" w:eastAsia="宋体" w:cs="B5+CAJ FNT00"/>
          <w:szCs w:val="21"/>
        </w:rPr>
        <w:t>,</w:t>
      </w:r>
      <w:r>
        <w:rPr>
          <w:rFonts w:hint="eastAsia" w:ascii="宋体" w:hAnsi="宋体" w:eastAsia="宋体" w:cs="宋体"/>
          <w:szCs w:val="21"/>
        </w:rPr>
        <w:t>关于</w:t>
      </w:r>
      <w:r>
        <w:rPr>
          <w:rFonts w:hint="eastAsia" w:ascii="宋体" w:hAnsi="宋体" w:eastAsia="宋体" w:cs="B4+cajcd fnta1"/>
          <w:szCs w:val="21"/>
        </w:rPr>
        <w:t>“</w:t>
      </w:r>
      <w:r>
        <w:rPr>
          <w:rFonts w:hint="eastAsia" w:ascii="宋体" w:hAnsi="宋体" w:eastAsia="宋体" w:cs="宋体"/>
          <w:szCs w:val="21"/>
        </w:rPr>
        <w:t>西学为用</w:t>
      </w:r>
      <w:r>
        <w:rPr>
          <w:rFonts w:hint="eastAsia" w:ascii="宋体" w:hAnsi="宋体" w:eastAsia="宋体" w:cs="B4+cajcd fnta1"/>
          <w:szCs w:val="21"/>
        </w:rPr>
        <w:t>”。</w:t>
      </w:r>
      <w:r>
        <w:rPr>
          <w:rFonts w:hint="eastAsia" w:ascii="宋体" w:hAnsi="宋体" w:eastAsia="宋体" w:cs="宋体"/>
          <w:szCs w:val="21"/>
        </w:rPr>
        <w:t>撇开自然科学</w:t>
      </w:r>
      <w:r>
        <w:rPr>
          <w:rFonts w:hint="eastAsia" w:ascii="宋体" w:hAnsi="宋体" w:eastAsia="宋体" w:cs="B5+CAJ FNT00"/>
          <w:szCs w:val="21"/>
        </w:rPr>
        <w:t>，</w:t>
      </w:r>
      <w:r>
        <w:rPr>
          <w:rFonts w:hint="eastAsia" w:ascii="宋体" w:hAnsi="宋体" w:eastAsia="宋体" w:cs="宋体"/>
          <w:szCs w:val="21"/>
        </w:rPr>
        <w:t>西学是指西方马克思主义以外的社会科学知识体系</w:t>
      </w:r>
      <w:r>
        <w:rPr>
          <w:rFonts w:hint="eastAsia" w:ascii="宋体" w:hAnsi="宋体" w:eastAsia="宋体" w:cs="B5+CAJ FNT00"/>
          <w:szCs w:val="21"/>
        </w:rPr>
        <w:t>，</w:t>
      </w:r>
      <w:r>
        <w:rPr>
          <w:rFonts w:hint="eastAsia" w:ascii="宋体" w:hAnsi="宋体" w:eastAsia="宋体" w:cs="宋体"/>
          <w:szCs w:val="21"/>
        </w:rPr>
        <w:t>这里主要指阐述近现代主流经济思想的西方经济学</w:t>
      </w:r>
      <w:r>
        <w:rPr>
          <w:rFonts w:hint="eastAsia" w:ascii="宋体" w:hAnsi="宋体" w:eastAsia="宋体" w:cs="B4+cajcd fnta1"/>
          <w:szCs w:val="21"/>
        </w:rPr>
        <w:t>。</w:t>
      </w:r>
      <w:r>
        <w:rPr>
          <w:rFonts w:hint="eastAsia" w:ascii="宋体" w:hAnsi="宋体" w:eastAsia="宋体" w:cs="宋体"/>
          <w:szCs w:val="21"/>
        </w:rPr>
        <w:t>就整体看</w:t>
      </w:r>
      <w:r>
        <w:rPr>
          <w:rFonts w:hint="eastAsia" w:ascii="宋体" w:hAnsi="宋体" w:eastAsia="宋体" w:cs="B5+CAJ FNT00"/>
          <w:szCs w:val="21"/>
        </w:rPr>
        <w:t>,</w:t>
      </w:r>
      <w:r>
        <w:rPr>
          <w:rFonts w:hint="eastAsia" w:ascii="宋体" w:hAnsi="宋体" w:eastAsia="宋体" w:cs="宋体"/>
          <w:szCs w:val="21"/>
        </w:rPr>
        <w:t>西方主流经济学仍然保持着当年马克思揭示的资产阶级经济学的非科学的固有特征</w:t>
      </w:r>
      <w:r>
        <w:rPr>
          <w:rFonts w:hint="eastAsia" w:ascii="宋体" w:hAnsi="宋体" w:eastAsia="宋体" w:cs="B5+CAJ FNT00"/>
          <w:szCs w:val="21"/>
        </w:rPr>
        <w:t>，</w:t>
      </w:r>
      <w:r>
        <w:rPr>
          <w:rFonts w:hint="eastAsia" w:ascii="宋体" w:hAnsi="宋体" w:eastAsia="宋体" w:cs="宋体"/>
          <w:szCs w:val="21"/>
        </w:rPr>
        <w:t>如：表面性</w:t>
      </w:r>
      <w:r>
        <w:rPr>
          <w:rFonts w:hint="eastAsia" w:ascii="宋体" w:hAnsi="宋体" w:eastAsia="宋体" w:cs="B4+cajcd fnta1"/>
          <w:szCs w:val="21"/>
        </w:rPr>
        <w:t>、</w:t>
      </w:r>
      <w:r>
        <w:rPr>
          <w:rFonts w:hint="eastAsia" w:ascii="宋体" w:hAnsi="宋体" w:eastAsia="宋体" w:cs="宋体"/>
          <w:szCs w:val="21"/>
        </w:rPr>
        <w:t>片面性</w:t>
      </w:r>
      <w:r>
        <w:rPr>
          <w:rFonts w:hint="eastAsia" w:ascii="宋体" w:hAnsi="宋体" w:eastAsia="宋体" w:cs="B4+cajcd fnta1"/>
          <w:szCs w:val="21"/>
        </w:rPr>
        <w:t>、</w:t>
      </w:r>
      <w:r>
        <w:rPr>
          <w:rFonts w:hint="eastAsia" w:ascii="宋体" w:hAnsi="宋体" w:eastAsia="宋体" w:cs="宋体"/>
          <w:szCs w:val="21"/>
        </w:rPr>
        <w:t>主观性</w:t>
      </w:r>
      <w:r>
        <w:rPr>
          <w:rFonts w:hint="eastAsia" w:ascii="宋体" w:hAnsi="宋体" w:eastAsia="宋体" w:cs="B4+cajcd fnta1"/>
          <w:szCs w:val="21"/>
        </w:rPr>
        <w:t>、</w:t>
      </w:r>
      <w:r>
        <w:rPr>
          <w:rFonts w:hint="eastAsia" w:ascii="宋体" w:hAnsi="宋体" w:eastAsia="宋体" w:cs="宋体"/>
          <w:szCs w:val="21"/>
        </w:rPr>
        <w:t>虚伪性</w:t>
      </w:r>
      <w:r>
        <w:rPr>
          <w:rFonts w:hint="eastAsia" w:ascii="宋体" w:hAnsi="宋体" w:eastAsia="宋体" w:cs="B4+cajcd fnta1"/>
          <w:szCs w:val="21"/>
        </w:rPr>
        <w:t>、</w:t>
      </w:r>
      <w:r>
        <w:rPr>
          <w:rFonts w:hint="eastAsia" w:ascii="宋体" w:hAnsi="宋体" w:eastAsia="宋体" w:cs="宋体"/>
          <w:szCs w:val="21"/>
        </w:rPr>
        <w:t>辩护性和庸俗性</w:t>
      </w:r>
      <w:r>
        <w:rPr>
          <w:rFonts w:hint="eastAsia" w:ascii="宋体" w:hAnsi="宋体" w:eastAsia="宋体" w:cs="B5+CAJ FNT00"/>
          <w:szCs w:val="21"/>
        </w:rPr>
        <w:t>，</w:t>
      </w:r>
      <w:r>
        <w:rPr>
          <w:rFonts w:hint="eastAsia" w:ascii="宋体" w:hAnsi="宋体" w:eastAsia="宋体" w:cs="宋体"/>
          <w:szCs w:val="21"/>
        </w:rPr>
        <w:t>因而从整体上说</w:t>
      </w:r>
      <w:r>
        <w:rPr>
          <w:rFonts w:hint="eastAsia" w:ascii="宋体" w:hAnsi="宋体" w:eastAsia="宋体" w:cs="B5+CAJ FNT00"/>
          <w:szCs w:val="21"/>
        </w:rPr>
        <w:t>,</w:t>
      </w:r>
      <w:r>
        <w:rPr>
          <w:rFonts w:hint="eastAsia" w:ascii="宋体" w:hAnsi="宋体" w:eastAsia="宋体" w:cs="宋体"/>
          <w:szCs w:val="21"/>
        </w:rPr>
        <w:t>现代西方经济学不是科学的经济思想体系</w:t>
      </w:r>
      <w:r>
        <w:rPr>
          <w:rFonts w:hint="eastAsia" w:ascii="宋体" w:hAnsi="宋体" w:eastAsia="宋体" w:cs="B4+cajcd fnta1"/>
          <w:szCs w:val="21"/>
        </w:rPr>
        <w:t>。</w:t>
      </w:r>
    </w:p>
    <w:p w14:paraId="318DA766">
      <w:pPr>
        <w:tabs>
          <w:tab w:val="left" w:pos="3960"/>
        </w:tabs>
        <w:spacing w:line="400" w:lineRule="exact"/>
        <w:ind w:firstLine="440" w:firstLineChars="200"/>
        <w:rPr>
          <w:rFonts w:ascii="宋体" w:hAnsi="宋体" w:eastAsia="宋体" w:cs="宋体"/>
          <w:szCs w:val="21"/>
        </w:rPr>
      </w:pPr>
      <w:r>
        <w:rPr>
          <w:rFonts w:hint="eastAsia" w:ascii="宋体" w:hAnsi="宋体" w:eastAsia="宋体" w:cs="宋体"/>
          <w:szCs w:val="21"/>
        </w:rPr>
        <w:t>但是</w:t>
      </w:r>
      <w:r>
        <w:rPr>
          <w:rFonts w:hint="eastAsia" w:ascii="宋体" w:hAnsi="宋体" w:eastAsia="宋体" w:cs="B5+CAJ FNT00"/>
          <w:szCs w:val="21"/>
        </w:rPr>
        <w:t>，</w:t>
      </w:r>
      <w:r>
        <w:rPr>
          <w:rFonts w:hint="eastAsia" w:ascii="宋体" w:hAnsi="宋体" w:eastAsia="宋体" w:cs="宋体"/>
          <w:szCs w:val="21"/>
        </w:rPr>
        <w:t>不能</w:t>
      </w:r>
      <w:r>
        <w:rPr>
          <w:rFonts w:hint="eastAsia" w:ascii="宋体" w:hAnsi="宋体" w:eastAsia="宋体" w:cs="B4+cajcd fnta1"/>
          <w:szCs w:val="21"/>
        </w:rPr>
        <w:t>“</w:t>
      </w:r>
      <w:r>
        <w:rPr>
          <w:rFonts w:hint="eastAsia" w:ascii="宋体" w:hAnsi="宋体" w:eastAsia="宋体" w:cs="宋体"/>
          <w:szCs w:val="21"/>
        </w:rPr>
        <w:t>西学为体</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并不等于不要</w:t>
      </w:r>
      <w:r>
        <w:rPr>
          <w:rFonts w:hint="eastAsia" w:ascii="宋体" w:hAnsi="宋体" w:eastAsia="宋体" w:cs="B4+cajcd fnta1"/>
          <w:szCs w:val="21"/>
        </w:rPr>
        <w:t>“</w:t>
      </w:r>
      <w:r>
        <w:rPr>
          <w:rFonts w:hint="eastAsia" w:ascii="宋体" w:hAnsi="宋体" w:eastAsia="宋体" w:cs="宋体"/>
          <w:szCs w:val="21"/>
        </w:rPr>
        <w:t>西学为用</w:t>
      </w:r>
      <w:r>
        <w:rPr>
          <w:rFonts w:hint="eastAsia" w:ascii="宋体" w:hAnsi="宋体" w:eastAsia="宋体" w:cs="B4+cajcd fnta1"/>
          <w:szCs w:val="21"/>
        </w:rPr>
        <w:t>”。</w:t>
      </w:r>
      <w:r>
        <w:rPr>
          <w:rFonts w:hint="eastAsia" w:ascii="宋体" w:hAnsi="宋体" w:eastAsia="宋体" w:cs="宋体"/>
          <w:szCs w:val="21"/>
        </w:rPr>
        <w:t>我们所说的</w:t>
      </w:r>
      <w:r>
        <w:rPr>
          <w:rFonts w:hint="eastAsia" w:ascii="宋体" w:hAnsi="宋体" w:eastAsia="宋体" w:cs="B4+cajcd fnta1"/>
          <w:szCs w:val="21"/>
        </w:rPr>
        <w:t>“</w:t>
      </w:r>
      <w:r>
        <w:rPr>
          <w:rFonts w:hint="eastAsia" w:ascii="宋体" w:hAnsi="宋体" w:eastAsia="宋体" w:cs="宋体"/>
          <w:szCs w:val="21"/>
        </w:rPr>
        <w:t>西学为用</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当然不是</w:t>
      </w:r>
      <w:r>
        <w:rPr>
          <w:rFonts w:hint="eastAsia" w:ascii="宋体" w:hAnsi="宋体" w:eastAsia="宋体" w:cs="B4+cajcd fnta1"/>
          <w:szCs w:val="21"/>
        </w:rPr>
        <w:t>“</w:t>
      </w:r>
      <w:r>
        <w:rPr>
          <w:rFonts w:hint="eastAsia" w:ascii="宋体" w:hAnsi="宋体" w:eastAsia="宋体" w:cs="宋体"/>
          <w:szCs w:val="21"/>
        </w:rPr>
        <w:t>西学为体</w:t>
      </w:r>
      <w:r>
        <w:rPr>
          <w:rFonts w:hint="eastAsia" w:ascii="宋体" w:hAnsi="宋体" w:eastAsia="宋体" w:cs="B4+cajcd fnta1"/>
          <w:szCs w:val="21"/>
        </w:rPr>
        <w:t>”</w:t>
      </w:r>
      <w:r>
        <w:rPr>
          <w:rFonts w:hint="eastAsia" w:ascii="宋体" w:hAnsi="宋体" w:eastAsia="宋体" w:cs="宋体"/>
          <w:szCs w:val="21"/>
        </w:rPr>
        <w:t>意义上的</w:t>
      </w:r>
      <w:r>
        <w:rPr>
          <w:rFonts w:hint="eastAsia" w:ascii="宋体" w:hAnsi="宋体" w:eastAsia="宋体" w:cs="B4+cajcd fnta1"/>
          <w:szCs w:val="21"/>
        </w:rPr>
        <w:t>“</w:t>
      </w:r>
      <w:r>
        <w:rPr>
          <w:rFonts w:hint="eastAsia" w:ascii="宋体" w:hAnsi="宋体" w:eastAsia="宋体" w:cs="宋体"/>
          <w:szCs w:val="21"/>
        </w:rPr>
        <w:t>为用</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而是在</w:t>
      </w:r>
      <w:r>
        <w:rPr>
          <w:rFonts w:hint="eastAsia" w:ascii="宋体" w:hAnsi="宋体" w:eastAsia="宋体" w:cs="B4+cajcd fnta1"/>
          <w:szCs w:val="21"/>
        </w:rPr>
        <w:t>“</w:t>
      </w:r>
      <w:r>
        <w:rPr>
          <w:rFonts w:hint="eastAsia" w:ascii="宋体" w:hAnsi="宋体" w:eastAsia="宋体" w:cs="宋体"/>
          <w:szCs w:val="21"/>
        </w:rPr>
        <w:t>马学为体</w:t>
      </w:r>
      <w:r>
        <w:rPr>
          <w:rFonts w:hint="eastAsia" w:ascii="宋体" w:hAnsi="宋体" w:eastAsia="宋体" w:cs="B4+cajcd fnta1"/>
          <w:szCs w:val="21"/>
        </w:rPr>
        <w:t>”</w:t>
      </w:r>
      <w:r>
        <w:rPr>
          <w:rFonts w:hint="eastAsia" w:ascii="宋体" w:hAnsi="宋体" w:eastAsia="宋体" w:cs="宋体"/>
          <w:szCs w:val="21"/>
        </w:rPr>
        <w:t>前提下对</w:t>
      </w:r>
      <w:r>
        <w:rPr>
          <w:rFonts w:hint="eastAsia" w:ascii="宋体" w:hAnsi="宋体" w:eastAsia="宋体" w:cs="B4+cajcd fnta1"/>
          <w:szCs w:val="21"/>
        </w:rPr>
        <w:t>“</w:t>
      </w:r>
      <w:r>
        <w:rPr>
          <w:rFonts w:hint="eastAsia" w:ascii="宋体" w:hAnsi="宋体" w:eastAsia="宋体" w:cs="宋体"/>
          <w:szCs w:val="21"/>
        </w:rPr>
        <w:t>西学</w:t>
      </w:r>
      <w:r>
        <w:rPr>
          <w:rFonts w:hint="eastAsia" w:ascii="宋体" w:hAnsi="宋体" w:eastAsia="宋体" w:cs="B4+cajcd fnta1"/>
          <w:szCs w:val="21"/>
        </w:rPr>
        <w:t>”</w:t>
      </w:r>
      <w:r>
        <w:rPr>
          <w:rFonts w:hint="eastAsia" w:ascii="宋体" w:hAnsi="宋体" w:eastAsia="宋体" w:cs="宋体"/>
          <w:szCs w:val="21"/>
        </w:rPr>
        <w:t>借鉴和利用</w:t>
      </w:r>
      <w:r>
        <w:rPr>
          <w:rFonts w:hint="eastAsia" w:ascii="宋体" w:hAnsi="宋体" w:eastAsia="宋体" w:cs="B4+cajcd fnta1"/>
          <w:szCs w:val="21"/>
        </w:rPr>
        <w:t>。</w:t>
      </w:r>
      <w:r>
        <w:rPr>
          <w:rFonts w:hint="eastAsia" w:ascii="宋体" w:hAnsi="宋体" w:eastAsia="宋体" w:cs="宋体"/>
          <w:szCs w:val="21"/>
        </w:rPr>
        <w:t>按照我国古代哲学的</w:t>
      </w:r>
      <w:r>
        <w:rPr>
          <w:rFonts w:hint="eastAsia" w:ascii="宋体" w:hAnsi="宋体" w:eastAsia="宋体" w:cs="B4+cajcd fnta1"/>
          <w:szCs w:val="21"/>
        </w:rPr>
        <w:t>“</w:t>
      </w:r>
      <w:r>
        <w:rPr>
          <w:rFonts w:hint="eastAsia" w:ascii="宋体" w:hAnsi="宋体" w:eastAsia="宋体" w:cs="宋体"/>
          <w:szCs w:val="21"/>
        </w:rPr>
        <w:t>体用</w:t>
      </w:r>
      <w:r>
        <w:rPr>
          <w:rFonts w:hint="eastAsia" w:ascii="宋体" w:hAnsi="宋体" w:eastAsia="宋体" w:cs="B4+cajcd fnta1"/>
          <w:szCs w:val="21"/>
        </w:rPr>
        <w:t>”</w:t>
      </w:r>
      <w:r>
        <w:rPr>
          <w:rFonts w:hint="eastAsia" w:ascii="宋体" w:hAnsi="宋体" w:eastAsia="宋体" w:cs="宋体"/>
          <w:szCs w:val="21"/>
        </w:rPr>
        <w:t>一般含义</w:t>
      </w:r>
      <w:r>
        <w:rPr>
          <w:rFonts w:hint="eastAsia" w:ascii="宋体" w:hAnsi="宋体" w:eastAsia="宋体" w:cs="B5+CAJ FNT00"/>
          <w:szCs w:val="21"/>
        </w:rPr>
        <w:t>，</w:t>
      </w:r>
      <w:r>
        <w:rPr>
          <w:rFonts w:hint="eastAsia" w:ascii="宋体" w:hAnsi="宋体" w:eastAsia="宋体" w:cs="B4+cajcd fnta1"/>
          <w:szCs w:val="21"/>
        </w:rPr>
        <w:t>“‘</w:t>
      </w:r>
      <w:r>
        <w:rPr>
          <w:rFonts w:hint="eastAsia" w:ascii="宋体" w:hAnsi="宋体" w:eastAsia="宋体" w:cs="宋体"/>
          <w:szCs w:val="21"/>
        </w:rPr>
        <w:t>体</w:t>
      </w:r>
      <w:r>
        <w:rPr>
          <w:rFonts w:hint="eastAsia" w:ascii="宋体" w:hAnsi="宋体" w:eastAsia="宋体" w:cs="B4+cajcd fnta1"/>
          <w:szCs w:val="21"/>
        </w:rPr>
        <w:t>’</w:t>
      </w:r>
      <w:r>
        <w:rPr>
          <w:rFonts w:hint="eastAsia" w:ascii="宋体" w:hAnsi="宋体" w:eastAsia="宋体" w:cs="宋体"/>
          <w:szCs w:val="21"/>
        </w:rPr>
        <w:t>是最根本的</w:t>
      </w:r>
      <w:r>
        <w:rPr>
          <w:rFonts w:hint="eastAsia" w:ascii="宋体" w:hAnsi="宋体" w:eastAsia="宋体" w:cs="B4+cajcd fnta1"/>
          <w:szCs w:val="21"/>
        </w:rPr>
        <w:t>、</w:t>
      </w:r>
      <w:r>
        <w:rPr>
          <w:rFonts w:hint="eastAsia" w:ascii="宋体" w:hAnsi="宋体" w:eastAsia="宋体" w:cs="宋体"/>
          <w:szCs w:val="21"/>
        </w:rPr>
        <w:t>内在的</w:t>
      </w:r>
      <w:r>
        <w:rPr>
          <w:rFonts w:hint="eastAsia" w:ascii="宋体" w:hAnsi="宋体" w:eastAsia="宋体" w:cs="B5+CAJ FNT00"/>
          <w:szCs w:val="21"/>
        </w:rPr>
        <w:t>，</w:t>
      </w:r>
      <w:r>
        <w:rPr>
          <w:rFonts w:hint="eastAsia" w:ascii="宋体" w:hAnsi="宋体" w:eastAsia="宋体" w:cs="B4+cajcd fnta1"/>
          <w:szCs w:val="21"/>
        </w:rPr>
        <w:t>‘</w:t>
      </w:r>
      <w:r>
        <w:rPr>
          <w:rFonts w:hint="eastAsia" w:ascii="宋体" w:hAnsi="宋体" w:eastAsia="宋体" w:cs="宋体"/>
          <w:szCs w:val="21"/>
        </w:rPr>
        <w:t>用</w:t>
      </w:r>
      <w:r>
        <w:rPr>
          <w:rFonts w:hint="eastAsia" w:ascii="宋体" w:hAnsi="宋体" w:eastAsia="宋体" w:cs="B4+cajcd fnta1"/>
          <w:szCs w:val="21"/>
        </w:rPr>
        <w:t>’</w:t>
      </w:r>
      <w:r>
        <w:rPr>
          <w:rFonts w:hint="eastAsia" w:ascii="宋体" w:hAnsi="宋体" w:eastAsia="宋体" w:cs="宋体"/>
          <w:szCs w:val="21"/>
        </w:rPr>
        <w:t>是</w:t>
      </w:r>
      <w:r>
        <w:rPr>
          <w:rFonts w:hint="eastAsia" w:ascii="宋体" w:hAnsi="宋体" w:eastAsia="宋体" w:cs="B4+cajcd fnta1"/>
          <w:szCs w:val="21"/>
        </w:rPr>
        <w:t>‘</w:t>
      </w:r>
      <w:r>
        <w:rPr>
          <w:rFonts w:hint="eastAsia" w:ascii="宋体" w:hAnsi="宋体" w:eastAsia="宋体" w:cs="宋体"/>
          <w:szCs w:val="21"/>
        </w:rPr>
        <w:t>体</w:t>
      </w:r>
      <w:r>
        <w:rPr>
          <w:rFonts w:hint="eastAsia" w:ascii="宋体" w:hAnsi="宋体" w:eastAsia="宋体" w:cs="B4+cajcd fnta1"/>
          <w:szCs w:val="21"/>
        </w:rPr>
        <w:t>’</w:t>
      </w:r>
      <w:r>
        <w:rPr>
          <w:rFonts w:hint="eastAsia" w:ascii="宋体" w:hAnsi="宋体" w:eastAsia="宋体" w:cs="宋体"/>
          <w:szCs w:val="21"/>
        </w:rPr>
        <w:t>的表现和产物</w:t>
      </w:r>
      <w:r>
        <w:rPr>
          <w:rFonts w:hint="eastAsia" w:ascii="宋体" w:hAnsi="宋体" w:eastAsia="宋体" w:cs="B4+cajcd fnta1"/>
          <w:szCs w:val="21"/>
        </w:rPr>
        <w:t>。”</w:t>
      </w:r>
      <w:r>
        <w:rPr>
          <w:rFonts w:hint="eastAsia" w:ascii="宋体" w:hAnsi="宋体" w:eastAsia="宋体" w:cs="宋体"/>
          <w:szCs w:val="21"/>
        </w:rPr>
        <w:t>用这种</w:t>
      </w:r>
      <w:r>
        <w:rPr>
          <w:rFonts w:hint="eastAsia" w:ascii="宋体" w:hAnsi="宋体" w:eastAsia="宋体" w:cs="B4+cajcd fnta1"/>
          <w:szCs w:val="21"/>
        </w:rPr>
        <w:t>“</w:t>
      </w:r>
      <w:r>
        <w:rPr>
          <w:rFonts w:hint="eastAsia" w:ascii="宋体" w:hAnsi="宋体" w:eastAsia="宋体" w:cs="宋体"/>
          <w:szCs w:val="21"/>
        </w:rPr>
        <w:t>体</w:t>
      </w:r>
      <w:r>
        <w:rPr>
          <w:rFonts w:hint="eastAsia" w:ascii="宋体" w:hAnsi="宋体" w:eastAsia="宋体" w:cs="B4+cajcd fnta1"/>
          <w:szCs w:val="21"/>
        </w:rPr>
        <w:t>”“</w:t>
      </w:r>
      <w:r>
        <w:rPr>
          <w:rFonts w:hint="eastAsia" w:ascii="宋体" w:hAnsi="宋体" w:eastAsia="宋体" w:cs="宋体"/>
          <w:szCs w:val="21"/>
        </w:rPr>
        <w:t>体用</w:t>
      </w:r>
      <w:r>
        <w:rPr>
          <w:rFonts w:hint="eastAsia" w:ascii="宋体" w:hAnsi="宋体" w:eastAsia="宋体" w:cs="B4+cajcd fnta1"/>
          <w:szCs w:val="21"/>
        </w:rPr>
        <w:t>”</w:t>
      </w:r>
      <w:r>
        <w:rPr>
          <w:rFonts w:hint="eastAsia" w:ascii="宋体" w:hAnsi="宋体" w:eastAsia="宋体" w:cs="宋体"/>
          <w:szCs w:val="21"/>
        </w:rPr>
        <w:t>一般含义用</w:t>
      </w:r>
      <w:r>
        <w:rPr>
          <w:rFonts w:hint="eastAsia" w:ascii="宋体" w:hAnsi="宋体" w:eastAsia="宋体" w:cs="B4+cajcd fnta1"/>
          <w:szCs w:val="21"/>
        </w:rPr>
        <w:t>”</w:t>
      </w:r>
      <w:r>
        <w:rPr>
          <w:rFonts w:hint="eastAsia" w:ascii="宋体" w:hAnsi="宋体" w:eastAsia="宋体" w:cs="宋体"/>
          <w:szCs w:val="21"/>
        </w:rPr>
        <w:t>一致的思想看</w:t>
      </w:r>
      <w:r>
        <w:rPr>
          <w:rFonts w:hint="eastAsia" w:ascii="宋体" w:hAnsi="宋体" w:eastAsia="宋体" w:cs="B4+cajcd fnta1"/>
          <w:szCs w:val="21"/>
        </w:rPr>
        <w:t>“</w:t>
      </w:r>
      <w:r>
        <w:rPr>
          <w:rFonts w:hint="eastAsia" w:ascii="宋体" w:hAnsi="宋体" w:eastAsia="宋体" w:cs="宋体"/>
          <w:szCs w:val="21"/>
        </w:rPr>
        <w:t>马学</w:t>
      </w:r>
      <w:r>
        <w:rPr>
          <w:rFonts w:hint="eastAsia" w:ascii="宋体" w:hAnsi="宋体" w:eastAsia="宋体" w:cs="B4+cajcd fnta1"/>
          <w:szCs w:val="21"/>
        </w:rPr>
        <w:t>”</w:t>
      </w:r>
      <w:r>
        <w:rPr>
          <w:rFonts w:hint="eastAsia" w:ascii="宋体" w:hAnsi="宋体" w:eastAsia="宋体" w:cs="宋体"/>
          <w:szCs w:val="21"/>
        </w:rPr>
        <w:t>同</w:t>
      </w:r>
      <w:r>
        <w:rPr>
          <w:rFonts w:hint="eastAsia" w:ascii="宋体" w:hAnsi="宋体" w:eastAsia="宋体" w:cs="B4+cajcd fnta1"/>
          <w:szCs w:val="21"/>
        </w:rPr>
        <w:t>“</w:t>
      </w:r>
      <w:r>
        <w:rPr>
          <w:rFonts w:hint="eastAsia" w:ascii="宋体" w:hAnsi="宋体" w:eastAsia="宋体" w:cs="宋体"/>
          <w:szCs w:val="21"/>
        </w:rPr>
        <w:t>西学</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可以看到</w:t>
      </w:r>
      <w:r>
        <w:rPr>
          <w:rFonts w:hint="eastAsia" w:ascii="宋体" w:hAnsi="宋体" w:eastAsia="宋体" w:cs="B5+CAJ FNT00"/>
          <w:szCs w:val="21"/>
        </w:rPr>
        <w:t>，</w:t>
      </w:r>
      <w:r>
        <w:rPr>
          <w:rFonts w:hint="eastAsia" w:ascii="宋体" w:hAnsi="宋体" w:eastAsia="宋体" w:cs="宋体"/>
          <w:szCs w:val="21"/>
        </w:rPr>
        <w:t>两者之</w:t>
      </w:r>
      <w:r>
        <w:rPr>
          <w:rFonts w:hint="eastAsia" w:ascii="宋体" w:hAnsi="宋体" w:eastAsia="宋体" w:cs="B4+cajcd fnta1"/>
          <w:szCs w:val="21"/>
        </w:rPr>
        <w:t>“</w:t>
      </w:r>
      <w:r>
        <w:rPr>
          <w:rFonts w:hint="eastAsia" w:ascii="宋体" w:hAnsi="宋体" w:eastAsia="宋体" w:cs="宋体"/>
          <w:szCs w:val="21"/>
        </w:rPr>
        <w:t>体</w:t>
      </w:r>
      <w:r>
        <w:rPr>
          <w:rFonts w:hint="eastAsia" w:ascii="宋体" w:hAnsi="宋体" w:eastAsia="宋体" w:cs="B4+cajcd fnta1"/>
          <w:szCs w:val="21"/>
        </w:rPr>
        <w:t>”</w:t>
      </w:r>
      <w:r>
        <w:rPr>
          <w:rFonts w:hint="eastAsia" w:ascii="宋体" w:hAnsi="宋体" w:eastAsia="宋体" w:cs="宋体"/>
          <w:szCs w:val="21"/>
        </w:rPr>
        <w:t>存在唯物史观和唯心史观基本思想的根本区别；相应的</w:t>
      </w:r>
      <w:r>
        <w:rPr>
          <w:rFonts w:hint="eastAsia" w:ascii="宋体" w:hAnsi="宋体" w:eastAsia="宋体" w:cs="B5+CAJ FNT00"/>
          <w:szCs w:val="21"/>
        </w:rPr>
        <w:t>,</w:t>
      </w:r>
      <w:r>
        <w:rPr>
          <w:rFonts w:hint="eastAsia" w:ascii="宋体" w:hAnsi="宋体" w:eastAsia="宋体" w:cs="宋体"/>
          <w:szCs w:val="21"/>
        </w:rPr>
        <w:t>两者的</w:t>
      </w:r>
      <w:r>
        <w:rPr>
          <w:rFonts w:hint="eastAsia" w:ascii="宋体" w:hAnsi="宋体" w:eastAsia="宋体" w:cs="B4+cajcd fnta1"/>
          <w:szCs w:val="21"/>
        </w:rPr>
        <w:t>“</w:t>
      </w:r>
      <w:r>
        <w:rPr>
          <w:rFonts w:hint="eastAsia" w:ascii="宋体" w:hAnsi="宋体" w:eastAsia="宋体" w:cs="宋体"/>
          <w:szCs w:val="21"/>
        </w:rPr>
        <w:t>用</w:t>
      </w:r>
      <w:r>
        <w:rPr>
          <w:rFonts w:hint="eastAsia" w:ascii="宋体" w:hAnsi="宋体" w:eastAsia="宋体" w:cs="B4+cajcd fnta1"/>
          <w:szCs w:val="21"/>
        </w:rPr>
        <w:t>”</w:t>
      </w:r>
      <w:r>
        <w:rPr>
          <w:rFonts w:hint="eastAsia" w:ascii="宋体" w:hAnsi="宋体" w:eastAsia="宋体" w:cs="宋体"/>
          <w:szCs w:val="21"/>
        </w:rPr>
        <w:t>或者说表现形式和发生作用的方式也存在一系列差异</w:t>
      </w:r>
      <w:r>
        <w:rPr>
          <w:rFonts w:hint="eastAsia" w:ascii="宋体" w:hAnsi="宋体" w:eastAsia="宋体" w:cs="B5+CAJ FNT00"/>
          <w:szCs w:val="21"/>
        </w:rPr>
        <w:t>，</w:t>
      </w:r>
      <w:r>
        <w:rPr>
          <w:rFonts w:hint="eastAsia" w:ascii="宋体" w:hAnsi="宋体" w:eastAsia="宋体" w:cs="宋体"/>
          <w:szCs w:val="21"/>
        </w:rPr>
        <w:t>例如在理论形式上</w:t>
      </w:r>
      <w:r>
        <w:rPr>
          <w:rFonts w:hint="eastAsia" w:ascii="宋体" w:hAnsi="宋体" w:eastAsia="宋体" w:cs="B5+CAJ FNT00"/>
          <w:szCs w:val="21"/>
        </w:rPr>
        <w:t>，</w:t>
      </w:r>
      <w:r>
        <w:rPr>
          <w:rFonts w:hint="eastAsia" w:ascii="宋体" w:hAnsi="宋体" w:eastAsia="宋体" w:cs="宋体"/>
          <w:szCs w:val="21"/>
        </w:rPr>
        <w:t>西方经济学分为微观经济学和宏观经济经济学两大缺乏内在联系的理论板块；马克思主义政治经济学则从抽象上升到具体</w:t>
      </w:r>
      <w:r>
        <w:rPr>
          <w:rFonts w:hint="eastAsia" w:ascii="宋体" w:hAnsi="宋体" w:eastAsia="宋体" w:cs="B5+CAJ FNT00"/>
          <w:szCs w:val="21"/>
        </w:rPr>
        <w:t>，</w:t>
      </w:r>
      <w:r>
        <w:rPr>
          <w:rFonts w:hint="eastAsia" w:ascii="宋体" w:hAnsi="宋体" w:eastAsia="宋体" w:cs="宋体"/>
          <w:szCs w:val="21"/>
        </w:rPr>
        <w:t>是一个再现一定历史条件下的经济的社会形态的有机理论体系</w:t>
      </w:r>
      <w:r>
        <w:rPr>
          <w:rFonts w:hint="eastAsia" w:ascii="宋体" w:hAnsi="宋体" w:eastAsia="宋体" w:cs="B4+cajcd fnta1"/>
          <w:szCs w:val="21"/>
        </w:rPr>
        <w:t>。</w:t>
      </w:r>
      <w:r>
        <w:rPr>
          <w:rFonts w:hint="eastAsia" w:ascii="宋体" w:hAnsi="宋体" w:eastAsia="宋体" w:cs="宋体"/>
          <w:szCs w:val="21"/>
        </w:rPr>
        <w:t>然而</w:t>
      </w:r>
      <w:r>
        <w:rPr>
          <w:rFonts w:hint="eastAsia" w:ascii="宋体" w:hAnsi="宋体" w:eastAsia="宋体" w:cs="B5+CAJ FNT00"/>
          <w:szCs w:val="21"/>
        </w:rPr>
        <w:t>，</w:t>
      </w:r>
      <w:r>
        <w:rPr>
          <w:rFonts w:hint="eastAsia" w:ascii="宋体" w:hAnsi="宋体" w:eastAsia="宋体" w:cs="宋体"/>
          <w:szCs w:val="21"/>
        </w:rPr>
        <w:t>如果把</w:t>
      </w:r>
      <w:r>
        <w:rPr>
          <w:rFonts w:hint="eastAsia" w:ascii="宋体" w:hAnsi="宋体" w:eastAsia="宋体" w:cs="B4+cajcd fnta1"/>
          <w:szCs w:val="21"/>
        </w:rPr>
        <w:t>“</w:t>
      </w:r>
      <w:r>
        <w:rPr>
          <w:rFonts w:hint="eastAsia" w:ascii="宋体" w:hAnsi="宋体" w:eastAsia="宋体" w:cs="宋体"/>
          <w:szCs w:val="21"/>
        </w:rPr>
        <w:t>马学</w:t>
      </w:r>
      <w:r>
        <w:rPr>
          <w:rFonts w:hint="eastAsia" w:ascii="宋体" w:hAnsi="宋体" w:eastAsia="宋体" w:cs="B4+cajcd fnta1"/>
          <w:szCs w:val="21"/>
        </w:rPr>
        <w:t>”</w:t>
      </w:r>
      <w:r>
        <w:rPr>
          <w:rFonts w:hint="eastAsia" w:ascii="宋体" w:hAnsi="宋体" w:eastAsia="宋体" w:cs="宋体"/>
          <w:szCs w:val="21"/>
        </w:rPr>
        <w:t>与</w:t>
      </w:r>
      <w:r>
        <w:rPr>
          <w:rFonts w:hint="eastAsia" w:ascii="宋体" w:hAnsi="宋体" w:eastAsia="宋体" w:cs="B4+cajcd fnta1"/>
          <w:szCs w:val="21"/>
        </w:rPr>
        <w:t>“</w:t>
      </w:r>
      <w:r>
        <w:rPr>
          <w:rFonts w:hint="eastAsia" w:ascii="宋体" w:hAnsi="宋体" w:eastAsia="宋体" w:cs="宋体"/>
          <w:szCs w:val="21"/>
        </w:rPr>
        <w:t>西学</w:t>
      </w:r>
      <w:r>
        <w:rPr>
          <w:rFonts w:hint="eastAsia" w:ascii="宋体" w:hAnsi="宋体" w:eastAsia="宋体" w:cs="B4+cajcd fnta1"/>
          <w:szCs w:val="21"/>
        </w:rPr>
        <w:t>”</w:t>
      </w:r>
      <w:r>
        <w:rPr>
          <w:rFonts w:hint="eastAsia" w:ascii="宋体" w:hAnsi="宋体" w:eastAsia="宋体" w:cs="宋体"/>
          <w:szCs w:val="21"/>
        </w:rPr>
        <w:t>的</w:t>
      </w:r>
      <w:r>
        <w:rPr>
          <w:rFonts w:hint="eastAsia" w:ascii="宋体" w:hAnsi="宋体" w:eastAsia="宋体" w:cs="B4+cajcd fnta1"/>
          <w:szCs w:val="21"/>
        </w:rPr>
        <w:t>“</w:t>
      </w:r>
      <w:r>
        <w:rPr>
          <w:rFonts w:hint="eastAsia" w:ascii="宋体" w:hAnsi="宋体" w:eastAsia="宋体" w:cs="宋体"/>
          <w:szCs w:val="21"/>
        </w:rPr>
        <w:t>体用</w:t>
      </w:r>
      <w:r>
        <w:rPr>
          <w:rFonts w:hint="eastAsia" w:ascii="宋体" w:hAnsi="宋体" w:eastAsia="宋体" w:cs="B4+cajcd fnta1"/>
          <w:szCs w:val="21"/>
        </w:rPr>
        <w:t>”</w:t>
      </w:r>
      <w:r>
        <w:rPr>
          <w:rFonts w:hint="eastAsia" w:ascii="宋体" w:hAnsi="宋体" w:eastAsia="宋体" w:cs="宋体"/>
          <w:szCs w:val="21"/>
        </w:rPr>
        <w:t>区别绝对化</w:t>
      </w:r>
      <w:r>
        <w:rPr>
          <w:rFonts w:hint="eastAsia" w:ascii="宋体" w:hAnsi="宋体" w:eastAsia="宋体" w:cs="B5+CAJ FNT00"/>
          <w:szCs w:val="21"/>
        </w:rPr>
        <w:t>，</w:t>
      </w:r>
      <w:r>
        <w:rPr>
          <w:rFonts w:hint="eastAsia" w:ascii="宋体" w:hAnsi="宋体" w:eastAsia="宋体" w:cs="宋体"/>
          <w:szCs w:val="21"/>
        </w:rPr>
        <w:t>以为</w:t>
      </w:r>
      <w:r>
        <w:rPr>
          <w:rFonts w:hint="eastAsia" w:ascii="宋体" w:hAnsi="宋体" w:eastAsia="宋体" w:cs="B4+cajcd fnta1"/>
          <w:szCs w:val="21"/>
        </w:rPr>
        <w:t>“</w:t>
      </w:r>
      <w:r>
        <w:rPr>
          <w:rFonts w:hint="eastAsia" w:ascii="宋体" w:hAnsi="宋体" w:eastAsia="宋体" w:cs="宋体"/>
          <w:szCs w:val="21"/>
        </w:rPr>
        <w:t>马学为体</w:t>
      </w:r>
      <w:r>
        <w:rPr>
          <w:rFonts w:hint="eastAsia" w:ascii="宋体" w:hAnsi="宋体" w:eastAsia="宋体" w:cs="B4+cajcd fnta1"/>
          <w:szCs w:val="21"/>
        </w:rPr>
        <w:t>”</w:t>
      </w:r>
      <w:r>
        <w:rPr>
          <w:rFonts w:hint="eastAsia" w:ascii="宋体" w:hAnsi="宋体" w:eastAsia="宋体" w:cs="宋体"/>
          <w:szCs w:val="21"/>
        </w:rPr>
        <w:t>就绝对不能借鉴</w:t>
      </w:r>
      <w:r>
        <w:rPr>
          <w:rFonts w:hint="eastAsia" w:ascii="宋体" w:hAnsi="宋体" w:eastAsia="宋体" w:cs="B4+cajcd fnta1"/>
          <w:szCs w:val="21"/>
        </w:rPr>
        <w:t>、</w:t>
      </w:r>
      <w:r>
        <w:rPr>
          <w:rFonts w:hint="eastAsia" w:ascii="宋体" w:hAnsi="宋体" w:eastAsia="宋体" w:cs="宋体"/>
          <w:szCs w:val="21"/>
        </w:rPr>
        <w:t>利用</w:t>
      </w:r>
      <w:r>
        <w:rPr>
          <w:rFonts w:hint="eastAsia" w:ascii="宋体" w:hAnsi="宋体" w:eastAsia="宋体" w:cs="B4+cajcd fnta1"/>
          <w:szCs w:val="21"/>
        </w:rPr>
        <w:t>“</w:t>
      </w:r>
      <w:r>
        <w:rPr>
          <w:rFonts w:hint="eastAsia" w:ascii="宋体" w:hAnsi="宋体" w:eastAsia="宋体" w:cs="宋体"/>
          <w:szCs w:val="21"/>
        </w:rPr>
        <w:t>西学</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那就陷人了孤立地对待</w:t>
      </w:r>
      <w:r>
        <w:rPr>
          <w:rFonts w:hint="eastAsia" w:ascii="宋体" w:hAnsi="宋体" w:eastAsia="宋体" w:cs="B4+cajcd fnta1"/>
          <w:szCs w:val="21"/>
        </w:rPr>
        <w:t>“</w:t>
      </w:r>
      <w:r>
        <w:rPr>
          <w:rFonts w:hint="eastAsia" w:ascii="宋体" w:hAnsi="宋体" w:eastAsia="宋体" w:cs="宋体"/>
          <w:szCs w:val="21"/>
        </w:rPr>
        <w:t>马学</w:t>
      </w:r>
      <w:r>
        <w:rPr>
          <w:rFonts w:hint="eastAsia" w:ascii="宋体" w:hAnsi="宋体" w:eastAsia="宋体" w:cs="B4+cajcd fnta1"/>
          <w:szCs w:val="21"/>
        </w:rPr>
        <w:t>”、“</w:t>
      </w:r>
      <w:r>
        <w:rPr>
          <w:rFonts w:hint="eastAsia" w:ascii="宋体" w:hAnsi="宋体" w:eastAsia="宋体" w:cs="宋体"/>
          <w:szCs w:val="21"/>
        </w:rPr>
        <w:t>西学</w:t>
      </w:r>
      <w:r>
        <w:rPr>
          <w:rFonts w:hint="eastAsia" w:ascii="宋体" w:hAnsi="宋体" w:eastAsia="宋体" w:cs="B4+cajcd fnta1"/>
          <w:szCs w:val="21"/>
        </w:rPr>
        <w:t>”</w:t>
      </w:r>
      <w:r>
        <w:rPr>
          <w:rFonts w:hint="eastAsia" w:ascii="宋体" w:hAnsi="宋体" w:eastAsia="宋体" w:cs="宋体"/>
          <w:szCs w:val="21"/>
        </w:rPr>
        <w:t>的形而上学误区</w:t>
      </w:r>
      <w:r>
        <w:rPr>
          <w:rFonts w:hint="eastAsia" w:ascii="宋体" w:hAnsi="宋体" w:eastAsia="宋体" w:cs="B5+CAJ FNT00"/>
          <w:szCs w:val="21"/>
        </w:rPr>
        <w:t>,</w:t>
      </w:r>
      <w:r>
        <w:rPr>
          <w:rFonts w:hint="eastAsia" w:ascii="宋体" w:hAnsi="宋体" w:eastAsia="宋体" w:cs="宋体"/>
          <w:szCs w:val="21"/>
        </w:rPr>
        <w:t>在思想方法上就连近代的张之洞都不如了。</w:t>
      </w:r>
    </w:p>
    <w:p w14:paraId="5A4B4D41">
      <w:pPr>
        <w:spacing w:line="400" w:lineRule="exact"/>
        <w:ind w:firstLine="440" w:firstLineChars="200"/>
        <w:rPr>
          <w:rFonts w:ascii="宋体" w:hAnsi="宋体" w:eastAsia="宋体" w:cs="宋体"/>
          <w:szCs w:val="21"/>
        </w:rPr>
      </w:pPr>
      <w:r>
        <w:rPr>
          <w:rFonts w:hint="eastAsia" w:ascii="宋体" w:hAnsi="宋体" w:eastAsia="宋体" w:cs="宋体"/>
          <w:szCs w:val="21"/>
        </w:rPr>
        <w:t>我们在坚持</w:t>
      </w:r>
      <w:r>
        <w:rPr>
          <w:rFonts w:hint="eastAsia" w:ascii="宋体" w:hAnsi="宋体" w:eastAsia="宋体" w:cs="B4+cajcd fnta1"/>
          <w:szCs w:val="21"/>
        </w:rPr>
        <w:t>“</w:t>
      </w:r>
      <w:r>
        <w:rPr>
          <w:rFonts w:hint="eastAsia" w:ascii="宋体" w:hAnsi="宋体" w:eastAsia="宋体" w:cs="宋体"/>
          <w:szCs w:val="21"/>
        </w:rPr>
        <w:t>马学</w:t>
      </w:r>
      <w:r>
        <w:rPr>
          <w:rFonts w:hint="eastAsia" w:ascii="宋体" w:hAnsi="宋体" w:eastAsia="宋体" w:cs="B4+cajcd fnta1"/>
          <w:szCs w:val="21"/>
        </w:rPr>
        <w:t>”“</w:t>
      </w:r>
      <w:r>
        <w:rPr>
          <w:rFonts w:hint="eastAsia" w:ascii="宋体" w:hAnsi="宋体" w:eastAsia="宋体" w:cs="宋体"/>
          <w:szCs w:val="21"/>
        </w:rPr>
        <w:t>体用</w:t>
      </w:r>
      <w:r>
        <w:rPr>
          <w:rFonts w:hint="eastAsia" w:ascii="宋体" w:hAnsi="宋体" w:eastAsia="宋体" w:cs="B4+cajcd fnta1"/>
          <w:szCs w:val="21"/>
        </w:rPr>
        <w:t>”</w:t>
      </w:r>
      <w:r>
        <w:rPr>
          <w:rFonts w:hint="eastAsia" w:ascii="宋体" w:hAnsi="宋体" w:eastAsia="宋体" w:cs="宋体"/>
          <w:szCs w:val="21"/>
        </w:rPr>
        <w:t>一致的同时</w:t>
      </w:r>
      <w:r>
        <w:rPr>
          <w:rFonts w:hint="eastAsia" w:ascii="宋体" w:hAnsi="宋体" w:eastAsia="宋体" w:cs="B5+CAJ FNT00"/>
          <w:szCs w:val="21"/>
        </w:rPr>
        <w:t>，</w:t>
      </w:r>
      <w:r>
        <w:rPr>
          <w:rFonts w:hint="eastAsia" w:ascii="宋体" w:hAnsi="宋体" w:eastAsia="宋体" w:cs="宋体"/>
          <w:szCs w:val="21"/>
        </w:rPr>
        <w:t>有必要提出</w:t>
      </w:r>
      <w:r>
        <w:rPr>
          <w:rFonts w:hint="eastAsia" w:ascii="宋体" w:hAnsi="宋体" w:eastAsia="宋体" w:cs="B4+cajcd fnta1"/>
          <w:szCs w:val="21"/>
        </w:rPr>
        <w:t>“</w:t>
      </w:r>
      <w:r>
        <w:rPr>
          <w:rFonts w:hint="eastAsia" w:ascii="宋体" w:hAnsi="宋体" w:eastAsia="宋体" w:cs="宋体"/>
          <w:szCs w:val="21"/>
        </w:rPr>
        <w:t>西学为用</w:t>
      </w:r>
      <w:r>
        <w:rPr>
          <w:rFonts w:hint="eastAsia" w:ascii="宋体" w:hAnsi="宋体" w:eastAsia="宋体" w:cs="B4+cajcd fnta1"/>
          <w:szCs w:val="21"/>
        </w:rPr>
        <w:t>”。</w:t>
      </w:r>
      <w:r>
        <w:rPr>
          <w:rFonts w:hint="eastAsia" w:ascii="宋体" w:hAnsi="宋体" w:eastAsia="宋体" w:cs="宋体"/>
          <w:szCs w:val="21"/>
        </w:rPr>
        <w:t>在西方经济学众多流派中</w:t>
      </w:r>
      <w:r>
        <w:rPr>
          <w:rFonts w:hint="eastAsia" w:ascii="宋体" w:hAnsi="宋体" w:eastAsia="宋体" w:cs="B5+CAJ FNT00"/>
          <w:szCs w:val="21"/>
        </w:rPr>
        <w:t>,</w:t>
      </w:r>
      <w:r>
        <w:rPr>
          <w:rFonts w:hint="eastAsia" w:ascii="宋体" w:hAnsi="宋体" w:eastAsia="宋体" w:cs="宋体"/>
          <w:szCs w:val="21"/>
        </w:rPr>
        <w:t>有的描述了社会分工制度</w:t>
      </w:r>
      <w:r>
        <w:rPr>
          <w:rFonts w:hint="eastAsia" w:ascii="宋体" w:hAnsi="宋体" w:eastAsia="宋体" w:cs="B4+cajcd fnta1"/>
          <w:szCs w:val="21"/>
        </w:rPr>
        <w:t>、</w:t>
      </w:r>
      <w:r>
        <w:rPr>
          <w:rFonts w:hint="eastAsia" w:ascii="宋体" w:hAnsi="宋体" w:eastAsia="宋体" w:cs="宋体"/>
          <w:szCs w:val="21"/>
        </w:rPr>
        <w:t>市场竞争机制对于生产力发展的促进作用</w:t>
      </w:r>
      <w:r>
        <w:rPr>
          <w:rFonts w:hint="eastAsia" w:ascii="宋体" w:hAnsi="宋体" w:eastAsia="宋体" w:cs="B5+CAJ FNT00"/>
          <w:szCs w:val="21"/>
        </w:rPr>
        <w:t>，</w:t>
      </w:r>
      <w:r>
        <w:rPr>
          <w:rFonts w:hint="eastAsia" w:ascii="宋体" w:hAnsi="宋体" w:eastAsia="宋体" w:cs="宋体"/>
          <w:szCs w:val="21"/>
        </w:rPr>
        <w:t>有的承认了资本主义社会失业</w:t>
      </w:r>
      <w:r>
        <w:rPr>
          <w:rFonts w:hint="eastAsia" w:ascii="宋体" w:hAnsi="宋体" w:eastAsia="宋体" w:cs="B4+cajcd fnta1"/>
          <w:szCs w:val="21"/>
        </w:rPr>
        <w:t>、</w:t>
      </w:r>
      <w:r>
        <w:rPr>
          <w:rFonts w:hint="eastAsia" w:ascii="宋体" w:hAnsi="宋体" w:eastAsia="宋体" w:cs="宋体"/>
          <w:szCs w:val="21"/>
        </w:rPr>
        <w:t>危机的不可避免</w:t>
      </w:r>
      <w:r>
        <w:rPr>
          <w:rFonts w:hint="eastAsia" w:ascii="宋体" w:hAnsi="宋体" w:eastAsia="宋体" w:cs="B5+CAJ FNT00"/>
          <w:szCs w:val="21"/>
        </w:rPr>
        <w:t>,</w:t>
      </w:r>
      <w:r>
        <w:rPr>
          <w:rFonts w:hint="eastAsia" w:ascii="宋体" w:hAnsi="宋体" w:eastAsia="宋体" w:cs="宋体"/>
          <w:szCs w:val="21"/>
        </w:rPr>
        <w:t>有的创建了宏观经济运行的总量分析</w:t>
      </w:r>
      <w:r>
        <w:rPr>
          <w:rFonts w:hint="eastAsia" w:ascii="宋体" w:hAnsi="宋体" w:eastAsia="宋体" w:cs="B4+cajcd fnta1"/>
          <w:szCs w:val="21"/>
        </w:rPr>
        <w:t>、</w:t>
      </w:r>
      <w:r>
        <w:rPr>
          <w:rFonts w:hint="eastAsia" w:ascii="宋体" w:hAnsi="宋体" w:eastAsia="宋体" w:cs="宋体"/>
          <w:szCs w:val="21"/>
        </w:rPr>
        <w:t>调控和预测方法</w:t>
      </w:r>
      <w:r>
        <w:rPr>
          <w:rFonts w:hint="eastAsia" w:ascii="宋体" w:hAnsi="宋体" w:eastAsia="宋体" w:cs="B5+CAJ FNT00"/>
          <w:szCs w:val="21"/>
        </w:rPr>
        <w:t>，</w:t>
      </w:r>
      <w:r>
        <w:rPr>
          <w:rFonts w:hint="eastAsia" w:ascii="宋体" w:hAnsi="宋体" w:eastAsia="宋体" w:cs="宋体"/>
          <w:szCs w:val="21"/>
        </w:rPr>
        <w:t>有的揭示出产业发展和经济增长的某些规律</w:t>
      </w:r>
      <w:r>
        <w:rPr>
          <w:rFonts w:hint="eastAsia" w:ascii="宋体" w:hAnsi="宋体" w:eastAsia="宋体" w:cs="B5+CAJ FNT00"/>
          <w:szCs w:val="21"/>
        </w:rPr>
        <w:t>，</w:t>
      </w:r>
      <w:r>
        <w:rPr>
          <w:rFonts w:hint="eastAsia" w:ascii="宋体" w:hAnsi="宋体" w:eastAsia="宋体" w:cs="宋体"/>
          <w:szCs w:val="21"/>
        </w:rPr>
        <w:t>有的对企业管理一般制度做了不同角度的研究</w:t>
      </w:r>
      <w:r>
        <w:rPr>
          <w:rFonts w:hint="eastAsia" w:ascii="宋体" w:hAnsi="宋体" w:eastAsia="宋体" w:cs="B5+CAJ FNT00"/>
          <w:szCs w:val="21"/>
        </w:rPr>
        <w:t>,</w:t>
      </w:r>
      <w:r>
        <w:rPr>
          <w:rFonts w:hint="eastAsia" w:ascii="宋体" w:hAnsi="宋体" w:eastAsia="宋体" w:cs="宋体"/>
          <w:szCs w:val="21"/>
        </w:rPr>
        <w:t>有的形成了经济政策学</w:t>
      </w:r>
      <w:r>
        <w:rPr>
          <w:rFonts w:hint="eastAsia" w:ascii="宋体" w:hAnsi="宋体" w:eastAsia="宋体" w:cs="B5+CAJ FNT00"/>
          <w:szCs w:val="21"/>
        </w:rPr>
        <w:t>,</w:t>
      </w:r>
      <w:r>
        <w:rPr>
          <w:rFonts w:hint="eastAsia" w:ascii="宋体" w:hAnsi="宋体" w:eastAsia="宋体" w:cs="宋体"/>
          <w:szCs w:val="21"/>
        </w:rPr>
        <w:t>凡此种种</w:t>
      </w:r>
      <w:r>
        <w:rPr>
          <w:rFonts w:hint="eastAsia" w:ascii="宋体" w:hAnsi="宋体" w:eastAsia="宋体" w:cs="B5+CAJ FNT00"/>
          <w:szCs w:val="21"/>
        </w:rPr>
        <w:t>，</w:t>
      </w:r>
      <w:r>
        <w:rPr>
          <w:rFonts w:hint="eastAsia" w:ascii="宋体" w:hAnsi="宋体" w:eastAsia="宋体" w:cs="宋体"/>
          <w:szCs w:val="21"/>
        </w:rPr>
        <w:t>或多或少地反映了资本主义市场经济的客观状况</w:t>
      </w:r>
      <w:r>
        <w:rPr>
          <w:rFonts w:hint="eastAsia" w:ascii="宋体" w:hAnsi="宋体" w:eastAsia="宋体" w:cs="B4+cajcd fnta1"/>
          <w:szCs w:val="21"/>
        </w:rPr>
        <w:t>。</w:t>
      </w:r>
      <w:r>
        <w:rPr>
          <w:rFonts w:hint="eastAsia" w:ascii="宋体" w:hAnsi="宋体" w:eastAsia="宋体" w:cs="宋体"/>
          <w:szCs w:val="21"/>
        </w:rPr>
        <w:t>只要我们能够剥离其不科学的成分</w:t>
      </w:r>
      <w:r>
        <w:rPr>
          <w:rFonts w:hint="eastAsia" w:ascii="宋体" w:hAnsi="宋体" w:eastAsia="宋体" w:cs="B5+CAJ FNT00"/>
          <w:szCs w:val="21"/>
        </w:rPr>
        <w:t>,</w:t>
      </w:r>
      <w:r>
        <w:rPr>
          <w:rFonts w:hint="eastAsia" w:ascii="宋体" w:hAnsi="宋体" w:eastAsia="宋体" w:cs="宋体"/>
          <w:szCs w:val="21"/>
        </w:rPr>
        <w:t>加以改造和充实</w:t>
      </w:r>
      <w:r>
        <w:rPr>
          <w:rFonts w:hint="eastAsia" w:ascii="宋体" w:hAnsi="宋体" w:eastAsia="宋体" w:cs="B5+CAJ FNT00"/>
          <w:szCs w:val="21"/>
        </w:rPr>
        <w:t>,</w:t>
      </w:r>
      <w:r>
        <w:rPr>
          <w:rFonts w:hint="eastAsia" w:ascii="宋体" w:hAnsi="宋体" w:eastAsia="宋体" w:cs="宋体"/>
          <w:szCs w:val="21"/>
        </w:rPr>
        <w:t>就能提炼出科学的经济思想</w:t>
      </w:r>
      <w:r>
        <w:rPr>
          <w:rFonts w:hint="eastAsia" w:ascii="宋体" w:hAnsi="宋体" w:eastAsia="宋体" w:cs="B4+cajcd fnta1"/>
          <w:szCs w:val="21"/>
        </w:rPr>
        <w:t>。</w:t>
      </w:r>
      <w:r>
        <w:rPr>
          <w:rFonts w:hint="eastAsia" w:ascii="宋体" w:hAnsi="宋体" w:eastAsia="宋体" w:cs="宋体"/>
          <w:szCs w:val="21"/>
        </w:rPr>
        <w:t>在对待</w:t>
      </w:r>
      <w:r>
        <w:rPr>
          <w:rFonts w:hint="eastAsia" w:ascii="宋体" w:hAnsi="宋体" w:eastAsia="宋体" w:cs="B4+cajcd fnta1"/>
          <w:szCs w:val="21"/>
        </w:rPr>
        <w:t>“</w:t>
      </w:r>
      <w:r>
        <w:rPr>
          <w:rFonts w:hint="eastAsia" w:ascii="宋体" w:hAnsi="宋体" w:eastAsia="宋体" w:cs="宋体"/>
          <w:szCs w:val="21"/>
        </w:rPr>
        <w:t>西学</w:t>
      </w:r>
      <w:r>
        <w:rPr>
          <w:rFonts w:hint="eastAsia" w:ascii="宋体" w:hAnsi="宋体" w:eastAsia="宋体" w:cs="B4+cajcd fnta1"/>
          <w:szCs w:val="21"/>
        </w:rPr>
        <w:t>”</w:t>
      </w:r>
      <w:r>
        <w:rPr>
          <w:rFonts w:hint="eastAsia" w:ascii="宋体" w:hAnsi="宋体" w:eastAsia="宋体" w:cs="宋体"/>
          <w:szCs w:val="21"/>
        </w:rPr>
        <w:t>的态度上</w:t>
      </w:r>
      <w:r>
        <w:rPr>
          <w:rFonts w:hint="eastAsia" w:ascii="宋体" w:hAnsi="宋体" w:eastAsia="宋体" w:cs="B5+CAJ FNT00"/>
          <w:szCs w:val="21"/>
        </w:rPr>
        <w:t>，</w:t>
      </w:r>
      <w:r>
        <w:rPr>
          <w:rFonts w:hint="eastAsia" w:ascii="宋体" w:hAnsi="宋体" w:eastAsia="宋体" w:cs="宋体"/>
          <w:szCs w:val="21"/>
        </w:rPr>
        <w:t>马克思在</w:t>
      </w:r>
      <w:r>
        <w:rPr>
          <w:rFonts w:hint="eastAsia" w:ascii="宋体" w:hAnsi="宋体" w:eastAsia="宋体" w:cs="B4+cajcd fnta1"/>
          <w:szCs w:val="21"/>
        </w:rPr>
        <w:t>《</w:t>
      </w:r>
      <w:r>
        <w:rPr>
          <w:rFonts w:hint="eastAsia" w:ascii="宋体" w:hAnsi="宋体" w:eastAsia="宋体" w:cs="宋体"/>
          <w:szCs w:val="21"/>
        </w:rPr>
        <w:t>资本论</w:t>
      </w:r>
      <w:r>
        <w:rPr>
          <w:rFonts w:hint="eastAsia" w:ascii="宋体" w:hAnsi="宋体" w:eastAsia="宋体" w:cs="B4+cajcd fnta1"/>
          <w:szCs w:val="21"/>
        </w:rPr>
        <w:t>》</w:t>
      </w:r>
      <w:r>
        <w:rPr>
          <w:rFonts w:hint="eastAsia" w:ascii="宋体" w:hAnsi="宋体" w:eastAsia="宋体" w:cs="宋体"/>
          <w:szCs w:val="21"/>
        </w:rPr>
        <w:t>中为我们树立了讲科学的榜样</w:t>
      </w:r>
      <w:r>
        <w:rPr>
          <w:rFonts w:hint="eastAsia" w:ascii="宋体" w:hAnsi="宋体" w:eastAsia="宋体" w:cs="B4+cajcd fnta1"/>
          <w:szCs w:val="21"/>
        </w:rPr>
        <w:t>。</w:t>
      </w:r>
      <w:r>
        <w:rPr>
          <w:rFonts w:hint="eastAsia" w:ascii="宋体" w:hAnsi="宋体" w:eastAsia="宋体" w:cs="宋体"/>
          <w:szCs w:val="21"/>
        </w:rPr>
        <w:t>一大批原本是资产阶级经济学的范畴和原理</w:t>
      </w:r>
      <w:r>
        <w:rPr>
          <w:rFonts w:hint="eastAsia" w:ascii="宋体" w:hAnsi="宋体" w:eastAsia="宋体" w:cs="B5+CAJ FNT00"/>
          <w:szCs w:val="21"/>
        </w:rPr>
        <w:t>，</w:t>
      </w:r>
      <w:r>
        <w:rPr>
          <w:rFonts w:hint="eastAsia" w:ascii="宋体" w:hAnsi="宋体" w:eastAsia="宋体" w:cs="宋体"/>
          <w:szCs w:val="21"/>
        </w:rPr>
        <w:t>经过马克思革命性的批判</w:t>
      </w:r>
      <w:r>
        <w:rPr>
          <w:rFonts w:hint="eastAsia" w:ascii="宋体" w:hAnsi="宋体" w:eastAsia="宋体" w:cs="B4+cajcd fnta1"/>
          <w:szCs w:val="21"/>
        </w:rPr>
        <w:t>、</w:t>
      </w:r>
      <w:r>
        <w:rPr>
          <w:rFonts w:hint="eastAsia" w:ascii="宋体" w:hAnsi="宋体" w:eastAsia="宋体" w:cs="宋体"/>
          <w:szCs w:val="21"/>
        </w:rPr>
        <w:t>分析和借鉴</w:t>
      </w:r>
      <w:r>
        <w:rPr>
          <w:rFonts w:hint="eastAsia" w:ascii="宋体" w:hAnsi="宋体" w:eastAsia="宋体" w:cs="B5+CAJ FNT00"/>
          <w:szCs w:val="21"/>
        </w:rPr>
        <w:t>，</w:t>
      </w:r>
      <w:r>
        <w:rPr>
          <w:rFonts w:hint="eastAsia" w:ascii="宋体" w:hAnsi="宋体" w:eastAsia="宋体" w:cs="宋体"/>
          <w:szCs w:val="21"/>
        </w:rPr>
        <w:t>以崭新的含义纳人了马克思主义科学经济学的系统</w:t>
      </w:r>
      <w:r>
        <w:rPr>
          <w:rFonts w:hint="eastAsia" w:ascii="宋体" w:hAnsi="宋体" w:eastAsia="宋体" w:cs="B4+cajcd fnta1"/>
          <w:szCs w:val="21"/>
        </w:rPr>
        <w:t>。</w:t>
      </w:r>
      <w:r>
        <w:rPr>
          <w:rFonts w:hint="eastAsia" w:ascii="宋体" w:hAnsi="宋体" w:eastAsia="宋体" w:cs="宋体"/>
          <w:szCs w:val="21"/>
        </w:rPr>
        <w:t>这样的</w:t>
      </w:r>
      <w:r>
        <w:rPr>
          <w:rFonts w:hint="eastAsia" w:ascii="宋体" w:hAnsi="宋体" w:eastAsia="宋体" w:cs="B4+cajcd fnta1"/>
          <w:szCs w:val="21"/>
        </w:rPr>
        <w:t>“</w:t>
      </w:r>
      <w:r>
        <w:rPr>
          <w:rFonts w:hint="eastAsia" w:ascii="宋体" w:hAnsi="宋体" w:eastAsia="宋体" w:cs="宋体"/>
          <w:szCs w:val="21"/>
        </w:rPr>
        <w:t>西学为用</w:t>
      </w:r>
      <w:r>
        <w:rPr>
          <w:rFonts w:hint="eastAsia" w:ascii="宋体" w:hAnsi="宋体" w:eastAsia="宋体" w:cs="B4+cajcd fnta1"/>
          <w:szCs w:val="21"/>
        </w:rPr>
        <w:t>”</w:t>
      </w:r>
      <w:r>
        <w:rPr>
          <w:rFonts w:hint="eastAsia" w:ascii="宋体" w:hAnsi="宋体" w:eastAsia="宋体" w:cs="宋体"/>
          <w:szCs w:val="21"/>
        </w:rPr>
        <w:t>（毛泽东是提</w:t>
      </w:r>
      <w:r>
        <w:rPr>
          <w:rFonts w:hint="eastAsia" w:ascii="宋体" w:hAnsi="宋体" w:eastAsia="宋体" w:cs="B4+cajcd fnta1"/>
          <w:szCs w:val="21"/>
        </w:rPr>
        <w:t>“</w:t>
      </w:r>
      <w:r>
        <w:rPr>
          <w:rFonts w:hint="eastAsia" w:ascii="宋体" w:hAnsi="宋体" w:eastAsia="宋体" w:cs="宋体"/>
          <w:szCs w:val="21"/>
        </w:rPr>
        <w:t>洋为中用”）</w:t>
      </w:r>
      <w:r>
        <w:rPr>
          <w:rFonts w:hint="eastAsia" w:ascii="宋体" w:hAnsi="宋体" w:eastAsia="宋体" w:cs="B5+CAJ FNT00"/>
          <w:szCs w:val="21"/>
        </w:rPr>
        <w:t>，</w:t>
      </w:r>
      <w:r>
        <w:rPr>
          <w:rFonts w:hint="eastAsia" w:ascii="宋体" w:hAnsi="宋体" w:eastAsia="宋体" w:cs="宋体"/>
          <w:szCs w:val="21"/>
        </w:rPr>
        <w:t>是为丰富和发展马克思主义学术及其中国化的</w:t>
      </w:r>
      <w:r>
        <w:rPr>
          <w:rFonts w:hint="eastAsia" w:ascii="宋体" w:hAnsi="宋体" w:eastAsia="宋体" w:cs="B4+cajcd fnta1"/>
          <w:szCs w:val="21"/>
        </w:rPr>
        <w:t>“</w:t>
      </w:r>
      <w:r>
        <w:rPr>
          <w:rFonts w:hint="eastAsia" w:ascii="宋体" w:hAnsi="宋体" w:eastAsia="宋体" w:cs="宋体"/>
          <w:szCs w:val="21"/>
        </w:rPr>
        <w:t>体</w:t>
      </w:r>
      <w:r>
        <w:rPr>
          <w:rFonts w:hint="eastAsia" w:ascii="宋体" w:hAnsi="宋体" w:eastAsia="宋体" w:cs="B4+cajcd fnta1"/>
          <w:szCs w:val="21"/>
        </w:rPr>
        <w:t>”</w:t>
      </w:r>
      <w:r>
        <w:rPr>
          <w:rFonts w:hint="eastAsia" w:ascii="宋体" w:hAnsi="宋体" w:eastAsia="宋体" w:cs="宋体"/>
          <w:szCs w:val="21"/>
        </w:rPr>
        <w:t>服务的</w:t>
      </w:r>
      <w:r>
        <w:rPr>
          <w:rFonts w:hint="eastAsia" w:ascii="宋体" w:hAnsi="宋体" w:eastAsia="宋体" w:cs="B5+CAJ FNT00"/>
          <w:szCs w:val="21"/>
        </w:rPr>
        <w:t>,</w:t>
      </w:r>
      <w:r>
        <w:rPr>
          <w:rFonts w:hint="eastAsia" w:ascii="宋体" w:hAnsi="宋体" w:eastAsia="宋体" w:cs="宋体"/>
          <w:szCs w:val="21"/>
        </w:rPr>
        <w:t>也是中国马克思主义经济学现代化的内在要求</w:t>
      </w:r>
      <w:r>
        <w:rPr>
          <w:rFonts w:hint="eastAsia" w:ascii="宋体" w:hAnsi="宋体" w:eastAsia="宋体" w:cs="B4+cajcd fnta1"/>
          <w:szCs w:val="21"/>
        </w:rPr>
        <w:t>。</w:t>
      </w:r>
    </w:p>
    <w:p w14:paraId="5797E584">
      <w:pPr>
        <w:spacing w:line="400" w:lineRule="exact"/>
        <w:ind w:firstLine="440" w:firstLineChars="200"/>
        <w:rPr>
          <w:rFonts w:ascii="宋体" w:hAnsi="宋体" w:eastAsia="宋体" w:cs="宋体"/>
          <w:szCs w:val="21"/>
        </w:rPr>
      </w:pPr>
      <w:r>
        <w:rPr>
          <w:rFonts w:hint="eastAsia" w:ascii="宋体" w:hAnsi="宋体" w:eastAsia="宋体" w:cs="宋体"/>
          <w:szCs w:val="21"/>
        </w:rPr>
        <w:t>第三</w:t>
      </w:r>
      <w:r>
        <w:rPr>
          <w:rFonts w:hint="eastAsia" w:ascii="宋体" w:hAnsi="宋体" w:eastAsia="宋体" w:cs="B5+CAJ FNT00"/>
          <w:szCs w:val="21"/>
        </w:rPr>
        <w:t>，</w:t>
      </w:r>
      <w:r>
        <w:rPr>
          <w:rFonts w:hint="eastAsia" w:ascii="宋体" w:hAnsi="宋体" w:eastAsia="宋体" w:cs="宋体"/>
          <w:szCs w:val="21"/>
        </w:rPr>
        <w:t>关于</w:t>
      </w:r>
      <w:r>
        <w:rPr>
          <w:rFonts w:hint="eastAsia" w:ascii="宋体" w:hAnsi="宋体" w:eastAsia="宋体" w:cs="B4+cajcd fnta1"/>
          <w:szCs w:val="21"/>
        </w:rPr>
        <w:t>“</w:t>
      </w:r>
      <w:r>
        <w:rPr>
          <w:rFonts w:hint="eastAsia" w:ascii="宋体" w:hAnsi="宋体" w:eastAsia="宋体" w:cs="宋体"/>
          <w:szCs w:val="21"/>
        </w:rPr>
        <w:t>国学为根</w:t>
      </w:r>
      <w:r>
        <w:rPr>
          <w:rFonts w:hint="eastAsia" w:ascii="宋体" w:hAnsi="宋体" w:eastAsia="宋体" w:cs="B4+cajcd fnta1"/>
          <w:szCs w:val="21"/>
        </w:rPr>
        <w:t>”。</w:t>
      </w:r>
      <w:r>
        <w:rPr>
          <w:rFonts w:hint="eastAsia" w:ascii="宋体" w:hAnsi="宋体" w:eastAsia="宋体" w:cs="宋体"/>
          <w:szCs w:val="21"/>
        </w:rPr>
        <w:t>撇开自然科学</w:t>
      </w:r>
      <w:r>
        <w:rPr>
          <w:rFonts w:hint="eastAsia" w:ascii="宋体" w:hAnsi="宋体" w:eastAsia="宋体" w:cs="B5+CAJ FNT00"/>
          <w:szCs w:val="21"/>
        </w:rPr>
        <w:t>，</w:t>
      </w:r>
      <w:r>
        <w:rPr>
          <w:rFonts w:hint="eastAsia" w:ascii="宋体" w:hAnsi="宋体" w:eastAsia="宋体" w:cs="宋体"/>
          <w:szCs w:val="21"/>
        </w:rPr>
        <w:t>国学是指中国古近代的社会科学知识体系</w:t>
      </w:r>
      <w:r>
        <w:rPr>
          <w:rFonts w:hint="eastAsia" w:ascii="宋体" w:hAnsi="宋体" w:eastAsia="宋体" w:cs="B5+CAJ FNT00"/>
          <w:szCs w:val="21"/>
        </w:rPr>
        <w:t>，</w:t>
      </w:r>
      <w:r>
        <w:rPr>
          <w:rFonts w:hint="eastAsia" w:ascii="宋体" w:hAnsi="宋体" w:eastAsia="宋体" w:cs="宋体"/>
          <w:szCs w:val="21"/>
        </w:rPr>
        <w:t>这里主要指古近代的经济思想</w:t>
      </w:r>
      <w:r>
        <w:rPr>
          <w:rFonts w:hint="eastAsia" w:ascii="宋体" w:hAnsi="宋体" w:eastAsia="宋体" w:cs="B4+cajcd fnta1"/>
          <w:szCs w:val="21"/>
        </w:rPr>
        <w:t>。</w:t>
      </w:r>
      <w:r>
        <w:rPr>
          <w:rFonts w:hint="eastAsia" w:ascii="宋体" w:hAnsi="宋体" w:eastAsia="宋体" w:cs="宋体"/>
          <w:szCs w:val="21"/>
        </w:rPr>
        <w:t>国学为根</w:t>
      </w:r>
      <w:r>
        <w:rPr>
          <w:rFonts w:hint="eastAsia" w:ascii="宋体" w:hAnsi="宋体" w:eastAsia="宋体" w:cs="B5+CAJ FNT00"/>
          <w:szCs w:val="21"/>
        </w:rPr>
        <w:t>,</w:t>
      </w:r>
      <w:r>
        <w:rPr>
          <w:rFonts w:hint="eastAsia" w:ascii="宋体" w:hAnsi="宋体" w:eastAsia="宋体" w:cs="宋体"/>
          <w:szCs w:val="21"/>
        </w:rPr>
        <w:t>就是要在中国经济学现代化过程中</w:t>
      </w:r>
      <w:r>
        <w:rPr>
          <w:rFonts w:hint="eastAsia" w:ascii="宋体" w:hAnsi="宋体" w:eastAsia="宋体" w:cs="B5+CAJ FNT00"/>
          <w:szCs w:val="21"/>
        </w:rPr>
        <w:t>，</w:t>
      </w:r>
      <w:r>
        <w:rPr>
          <w:rFonts w:hint="eastAsia" w:ascii="宋体" w:hAnsi="宋体" w:eastAsia="宋体" w:cs="宋体"/>
          <w:szCs w:val="21"/>
        </w:rPr>
        <w:t>重视自古以来经济思想中反映一般经济规律和中国特殊经济国情的精华</w:t>
      </w:r>
      <w:r>
        <w:rPr>
          <w:rFonts w:hint="eastAsia" w:ascii="宋体" w:hAnsi="宋体" w:eastAsia="宋体" w:cs="B4+cajcd fnta1"/>
          <w:szCs w:val="21"/>
        </w:rPr>
        <w:t>。</w:t>
      </w:r>
      <w:r>
        <w:rPr>
          <w:rFonts w:hint="eastAsia" w:ascii="宋体" w:hAnsi="宋体" w:eastAsia="宋体" w:cs="宋体"/>
          <w:szCs w:val="21"/>
        </w:rPr>
        <w:t>正如毛泽东所强调的</w:t>
      </w:r>
      <w:r>
        <w:rPr>
          <w:rFonts w:hint="eastAsia" w:ascii="宋体" w:hAnsi="宋体" w:eastAsia="宋体" w:cs="B4+cajcd fnta1"/>
          <w:szCs w:val="21"/>
        </w:rPr>
        <w:t>“</w:t>
      </w:r>
      <w:r>
        <w:rPr>
          <w:rFonts w:hint="eastAsia" w:ascii="宋体" w:hAnsi="宋体" w:eastAsia="宋体" w:cs="宋体"/>
          <w:szCs w:val="21"/>
        </w:rPr>
        <w:t>古为今用</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B4+cajcd fnta1"/>
          <w:szCs w:val="21"/>
        </w:rPr>
        <w:t>“</w:t>
      </w:r>
      <w:r>
        <w:rPr>
          <w:rFonts w:hint="eastAsia" w:ascii="宋体" w:hAnsi="宋体" w:eastAsia="宋体" w:cs="宋体"/>
          <w:szCs w:val="21"/>
        </w:rPr>
        <w:t>我们这个民族有数千年的历史</w:t>
      </w:r>
      <w:r>
        <w:rPr>
          <w:rFonts w:hint="eastAsia" w:ascii="宋体" w:hAnsi="宋体" w:eastAsia="宋体" w:cs="B5+CAJ FNT00"/>
          <w:szCs w:val="21"/>
        </w:rPr>
        <w:t>,</w:t>
      </w:r>
      <w:r>
        <w:rPr>
          <w:rFonts w:hint="eastAsia" w:ascii="宋体" w:hAnsi="宋体" w:eastAsia="宋体" w:cs="宋体"/>
          <w:szCs w:val="21"/>
        </w:rPr>
        <w:t>有它的特点</w:t>
      </w:r>
      <w:r>
        <w:rPr>
          <w:rFonts w:hint="eastAsia" w:ascii="宋体" w:hAnsi="宋体" w:eastAsia="宋体" w:cs="B5+CAJ FNT00"/>
          <w:szCs w:val="21"/>
        </w:rPr>
        <w:t>，</w:t>
      </w:r>
      <w:r>
        <w:rPr>
          <w:rFonts w:hint="eastAsia" w:ascii="宋体" w:hAnsi="宋体" w:eastAsia="宋体" w:cs="宋体"/>
          <w:szCs w:val="21"/>
        </w:rPr>
        <w:t>有他的许多珍贵品。”</w:t>
      </w:r>
      <w:r>
        <w:rPr>
          <w:rFonts w:hint="eastAsia" w:ascii="宋体" w:hAnsi="宋体" w:eastAsia="宋体" w:cs="B4+cajcd fnta1"/>
          <w:szCs w:val="21"/>
        </w:rPr>
        <w:t>“</w:t>
      </w:r>
      <w:r>
        <w:rPr>
          <w:rFonts w:hint="eastAsia" w:ascii="宋体" w:hAnsi="宋体" w:eastAsia="宋体" w:cs="宋体"/>
          <w:szCs w:val="21"/>
        </w:rPr>
        <w:t>从孔夫子到孙中山</w:t>
      </w:r>
      <w:r>
        <w:rPr>
          <w:rFonts w:hint="eastAsia" w:ascii="宋体" w:hAnsi="宋体" w:eastAsia="宋体" w:cs="B5+CAJ FNT00"/>
          <w:szCs w:val="21"/>
        </w:rPr>
        <w:t>,</w:t>
      </w:r>
      <w:r>
        <w:rPr>
          <w:rFonts w:hint="eastAsia" w:ascii="宋体" w:hAnsi="宋体" w:eastAsia="宋体" w:cs="宋体"/>
          <w:szCs w:val="21"/>
        </w:rPr>
        <w:t>我们应当给以总结</w:t>
      </w:r>
      <w:r>
        <w:rPr>
          <w:rFonts w:hint="eastAsia" w:ascii="宋体" w:hAnsi="宋体" w:eastAsia="宋体" w:cs="B5+CAJ FNT00"/>
          <w:szCs w:val="21"/>
        </w:rPr>
        <w:t>，</w:t>
      </w:r>
      <w:r>
        <w:rPr>
          <w:rFonts w:hint="eastAsia" w:ascii="宋体" w:hAnsi="宋体" w:eastAsia="宋体" w:cs="宋体"/>
          <w:szCs w:val="21"/>
        </w:rPr>
        <w:t>继承这一份珍贵的遗产</w:t>
      </w:r>
      <w:r>
        <w:rPr>
          <w:rFonts w:hint="eastAsia" w:ascii="宋体" w:hAnsi="宋体" w:eastAsia="宋体" w:cs="B4+cajcd fnta1"/>
          <w:szCs w:val="21"/>
        </w:rPr>
        <w:t>。”</w:t>
      </w:r>
      <w:r>
        <w:rPr>
          <w:rFonts w:hint="eastAsia" w:ascii="宋体" w:hAnsi="宋体" w:eastAsia="宋体" w:cs="宋体"/>
          <w:szCs w:val="21"/>
        </w:rPr>
        <w:t>在中国经济学现代化的进程中</w:t>
      </w:r>
      <w:r>
        <w:rPr>
          <w:rFonts w:hint="eastAsia" w:ascii="宋体" w:hAnsi="宋体" w:eastAsia="宋体" w:cs="B5+CAJ FNT00"/>
          <w:szCs w:val="21"/>
        </w:rPr>
        <w:t>,</w:t>
      </w:r>
      <w:r>
        <w:rPr>
          <w:rFonts w:hint="eastAsia" w:ascii="宋体" w:hAnsi="宋体" w:eastAsia="宋体" w:cs="宋体"/>
          <w:szCs w:val="21"/>
        </w:rPr>
        <w:t>这对于形成中国特点</w:t>
      </w:r>
      <w:r>
        <w:rPr>
          <w:rFonts w:hint="eastAsia" w:ascii="宋体" w:hAnsi="宋体" w:eastAsia="宋体" w:cs="B4+cajcd fnta1"/>
          <w:szCs w:val="21"/>
        </w:rPr>
        <w:t>、</w:t>
      </w:r>
      <w:r>
        <w:rPr>
          <w:rFonts w:hint="eastAsia" w:ascii="宋体" w:hAnsi="宋体" w:eastAsia="宋体" w:cs="宋体"/>
          <w:szCs w:val="21"/>
        </w:rPr>
        <w:t>中国气派和中国风格具有不可低估的价值</w:t>
      </w:r>
      <w:r>
        <w:rPr>
          <w:rFonts w:hint="eastAsia" w:ascii="宋体" w:hAnsi="宋体" w:eastAsia="宋体" w:cs="B4+cajcd fnta1"/>
          <w:szCs w:val="21"/>
        </w:rPr>
        <w:t>。</w:t>
      </w:r>
    </w:p>
    <w:p w14:paraId="736D2B06">
      <w:pPr>
        <w:spacing w:line="400" w:lineRule="exact"/>
        <w:ind w:firstLine="440" w:firstLineChars="200"/>
        <w:rPr>
          <w:rFonts w:ascii="宋体" w:hAnsi="宋体" w:eastAsia="宋体" w:cs="宋体"/>
          <w:szCs w:val="21"/>
        </w:rPr>
      </w:pPr>
      <w:r>
        <w:rPr>
          <w:rFonts w:hint="eastAsia" w:ascii="宋体" w:hAnsi="宋体" w:eastAsia="宋体" w:cs="宋体"/>
          <w:szCs w:val="21"/>
        </w:rPr>
        <w:t>我们所说的</w:t>
      </w:r>
      <w:r>
        <w:rPr>
          <w:rFonts w:hint="eastAsia" w:ascii="宋体" w:hAnsi="宋体" w:eastAsia="宋体" w:cs="B4+cajcd fnta1"/>
          <w:szCs w:val="21"/>
        </w:rPr>
        <w:t>“</w:t>
      </w:r>
      <w:r>
        <w:rPr>
          <w:rFonts w:hint="eastAsia" w:ascii="宋体" w:hAnsi="宋体" w:eastAsia="宋体" w:cs="宋体"/>
          <w:szCs w:val="21"/>
        </w:rPr>
        <w:t>国学为根</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并不是说可以简单地</w:t>
      </w:r>
      <w:r>
        <w:rPr>
          <w:rFonts w:hint="eastAsia" w:ascii="宋体" w:hAnsi="宋体" w:eastAsia="宋体" w:cs="B4+cajcd fnta1"/>
          <w:szCs w:val="21"/>
        </w:rPr>
        <w:t>、</w:t>
      </w:r>
      <w:r>
        <w:rPr>
          <w:rFonts w:hint="eastAsia" w:ascii="宋体" w:hAnsi="宋体" w:eastAsia="宋体" w:cs="宋体"/>
          <w:szCs w:val="21"/>
        </w:rPr>
        <w:t>不分青红皂白地弘扬</w:t>
      </w:r>
      <w:r>
        <w:rPr>
          <w:rFonts w:hint="eastAsia" w:ascii="宋体" w:hAnsi="宋体" w:eastAsia="宋体" w:cs="B4+cajcd fnta1"/>
          <w:szCs w:val="21"/>
        </w:rPr>
        <w:t>“</w:t>
      </w:r>
      <w:r>
        <w:rPr>
          <w:rFonts w:hint="eastAsia" w:ascii="宋体" w:hAnsi="宋体" w:eastAsia="宋体" w:cs="宋体"/>
          <w:szCs w:val="21"/>
        </w:rPr>
        <w:t>国学</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而是主张剔除其封建性的经济思想糟粕</w:t>
      </w:r>
      <w:r>
        <w:rPr>
          <w:rFonts w:hint="eastAsia" w:ascii="宋体" w:hAnsi="宋体" w:eastAsia="宋体" w:cs="B5+CAJ FNT00"/>
          <w:szCs w:val="21"/>
        </w:rPr>
        <w:t>，</w:t>
      </w:r>
      <w:r>
        <w:rPr>
          <w:rFonts w:hint="eastAsia" w:ascii="宋体" w:hAnsi="宋体" w:eastAsia="宋体" w:cs="宋体"/>
          <w:szCs w:val="21"/>
        </w:rPr>
        <w:t>吸收其体现中国优良传统的</w:t>
      </w:r>
      <w:r>
        <w:rPr>
          <w:rFonts w:hint="eastAsia" w:ascii="宋体" w:hAnsi="宋体" w:eastAsia="宋体" w:cs="B4+cajcd fnta1"/>
          <w:szCs w:val="21"/>
        </w:rPr>
        <w:t>、</w:t>
      </w:r>
      <w:r>
        <w:rPr>
          <w:rFonts w:hint="eastAsia" w:ascii="宋体" w:hAnsi="宋体" w:eastAsia="宋体" w:cs="宋体"/>
          <w:szCs w:val="21"/>
        </w:rPr>
        <w:t>科学性的精华</w:t>
      </w:r>
      <w:r>
        <w:rPr>
          <w:rFonts w:hint="eastAsia" w:ascii="宋体" w:hAnsi="宋体" w:eastAsia="宋体" w:cs="B4+cajcd fnta1"/>
          <w:szCs w:val="21"/>
        </w:rPr>
        <w:t>。</w:t>
      </w:r>
      <w:r>
        <w:rPr>
          <w:rFonts w:hint="eastAsia" w:ascii="宋体" w:hAnsi="宋体" w:eastAsia="宋体" w:cs="宋体"/>
          <w:szCs w:val="21"/>
        </w:rPr>
        <w:t>历史展示出我国古近代产生过许多卓越的经济思想</w:t>
      </w:r>
      <w:r>
        <w:rPr>
          <w:rFonts w:hint="eastAsia" w:ascii="宋体" w:hAnsi="宋体" w:eastAsia="宋体" w:cs="B5+CAJ FNT00"/>
          <w:szCs w:val="21"/>
        </w:rPr>
        <w:t>，</w:t>
      </w:r>
      <w:r>
        <w:rPr>
          <w:rFonts w:hint="eastAsia" w:ascii="宋体" w:hAnsi="宋体" w:eastAsia="宋体" w:cs="宋体"/>
          <w:szCs w:val="21"/>
        </w:rPr>
        <w:t>如春秋战国</w:t>
      </w:r>
      <w:r>
        <w:rPr>
          <w:rFonts w:hint="eastAsia" w:ascii="宋体" w:hAnsi="宋体" w:eastAsia="宋体" w:cs="B4+cajcd fnta1"/>
          <w:szCs w:val="21"/>
        </w:rPr>
        <w:t>“</w:t>
      </w:r>
      <w:r>
        <w:rPr>
          <w:rFonts w:hint="eastAsia" w:ascii="宋体" w:hAnsi="宋体" w:eastAsia="宋体" w:cs="宋体"/>
          <w:szCs w:val="21"/>
        </w:rPr>
        <w:t>百家争鸣</w:t>
      </w:r>
      <w:r>
        <w:rPr>
          <w:rFonts w:hint="eastAsia" w:ascii="宋体" w:hAnsi="宋体" w:eastAsia="宋体" w:cs="B4+cajcd fnta1"/>
          <w:szCs w:val="21"/>
        </w:rPr>
        <w:t>”</w:t>
      </w:r>
      <w:r>
        <w:rPr>
          <w:rFonts w:hint="eastAsia" w:ascii="宋体" w:hAnsi="宋体" w:eastAsia="宋体" w:cs="宋体"/>
          <w:szCs w:val="21"/>
        </w:rPr>
        <w:t>时期</w:t>
      </w:r>
      <w:r>
        <w:rPr>
          <w:rFonts w:hint="eastAsia" w:ascii="宋体" w:hAnsi="宋体" w:eastAsia="宋体" w:cs="B5+CAJ FNT00"/>
          <w:szCs w:val="21"/>
        </w:rPr>
        <w:t>，</w:t>
      </w:r>
      <w:r>
        <w:rPr>
          <w:rFonts w:hint="eastAsia" w:ascii="宋体" w:hAnsi="宋体" w:eastAsia="宋体" w:cs="宋体"/>
          <w:szCs w:val="21"/>
        </w:rPr>
        <w:t>产生了</w:t>
      </w:r>
      <w:r>
        <w:rPr>
          <w:rFonts w:hint="eastAsia" w:ascii="宋体" w:hAnsi="宋体" w:eastAsia="宋体" w:cs="B4+cajcd fnta1"/>
          <w:szCs w:val="21"/>
        </w:rPr>
        <w:t>《</w:t>
      </w:r>
      <w:r>
        <w:rPr>
          <w:rFonts w:hint="eastAsia" w:ascii="宋体" w:hAnsi="宋体" w:eastAsia="宋体" w:cs="宋体"/>
          <w:szCs w:val="21"/>
        </w:rPr>
        <w:t>管子</w:t>
      </w:r>
      <w:r>
        <w:rPr>
          <w:rFonts w:hint="eastAsia" w:ascii="宋体" w:hAnsi="宋体" w:eastAsia="宋体" w:cs="B4+cajcd fnta1"/>
          <w:szCs w:val="21"/>
        </w:rPr>
        <w:t>》</w:t>
      </w:r>
      <w:r>
        <w:rPr>
          <w:rFonts w:hint="eastAsia" w:ascii="宋体" w:hAnsi="宋体" w:eastAsia="宋体" w:cs="宋体"/>
          <w:szCs w:val="21"/>
        </w:rPr>
        <w:t>（相传为崇奉管仲的一些学者所作）这样的系统论述经济管理的著作</w:t>
      </w:r>
      <w:r>
        <w:rPr>
          <w:rFonts w:hint="eastAsia" w:ascii="宋体" w:hAnsi="宋体" w:eastAsia="宋体" w:cs="B5+CAJ FNT00"/>
          <w:szCs w:val="21"/>
        </w:rPr>
        <w:t>，</w:t>
      </w:r>
      <w:r>
        <w:rPr>
          <w:rFonts w:hint="eastAsia" w:ascii="宋体" w:hAnsi="宋体" w:eastAsia="宋体" w:cs="宋体"/>
          <w:szCs w:val="21"/>
        </w:rPr>
        <w:t>内容涉及经济哲学思想</w:t>
      </w:r>
      <w:r>
        <w:rPr>
          <w:rFonts w:hint="eastAsia" w:ascii="宋体" w:hAnsi="宋体" w:eastAsia="宋体" w:cs="B4+cajcd fnta1"/>
          <w:szCs w:val="21"/>
        </w:rPr>
        <w:t>、</w:t>
      </w:r>
      <w:r>
        <w:rPr>
          <w:rFonts w:hint="eastAsia" w:ascii="宋体" w:hAnsi="宋体" w:eastAsia="宋体" w:cs="宋体"/>
          <w:szCs w:val="21"/>
        </w:rPr>
        <w:t>经济与政治的关系</w:t>
      </w:r>
      <w:r>
        <w:rPr>
          <w:rFonts w:hint="eastAsia" w:ascii="宋体" w:hAnsi="宋体" w:eastAsia="宋体" w:cs="B4+cajcd fnta1"/>
          <w:szCs w:val="21"/>
        </w:rPr>
        <w:t>、</w:t>
      </w:r>
      <w:r>
        <w:rPr>
          <w:rFonts w:hint="eastAsia" w:ascii="宋体" w:hAnsi="宋体" w:eastAsia="宋体" w:cs="宋体"/>
          <w:szCs w:val="21"/>
        </w:rPr>
        <w:t>财富与劳动的关系</w:t>
      </w:r>
      <w:r>
        <w:rPr>
          <w:rFonts w:hint="eastAsia" w:ascii="宋体" w:hAnsi="宋体" w:eastAsia="宋体" w:cs="B5+CAJ FNT00"/>
          <w:szCs w:val="21"/>
        </w:rPr>
        <w:t>，</w:t>
      </w:r>
      <w:r>
        <w:rPr>
          <w:rFonts w:hint="eastAsia" w:ascii="宋体" w:hAnsi="宋体" w:eastAsia="宋体" w:cs="宋体"/>
          <w:szCs w:val="21"/>
        </w:rPr>
        <w:t>阐释了分配</w:t>
      </w:r>
      <w:r>
        <w:rPr>
          <w:rFonts w:hint="eastAsia" w:ascii="宋体" w:hAnsi="宋体" w:eastAsia="宋体" w:cs="B4+cajcd fnta1"/>
          <w:szCs w:val="21"/>
        </w:rPr>
        <w:t>、</w:t>
      </w:r>
      <w:r>
        <w:rPr>
          <w:rFonts w:hint="eastAsia" w:ascii="宋体" w:hAnsi="宋体" w:eastAsia="宋体" w:cs="宋体"/>
          <w:szCs w:val="21"/>
        </w:rPr>
        <w:t>消费</w:t>
      </w:r>
      <w:r>
        <w:rPr>
          <w:rFonts w:hint="eastAsia" w:ascii="宋体" w:hAnsi="宋体" w:eastAsia="宋体" w:cs="B4+cajcd fnta1"/>
          <w:szCs w:val="21"/>
        </w:rPr>
        <w:t>、</w:t>
      </w:r>
      <w:r>
        <w:rPr>
          <w:rFonts w:hint="eastAsia" w:ascii="宋体" w:hAnsi="宋体" w:eastAsia="宋体" w:cs="宋体"/>
          <w:szCs w:val="21"/>
        </w:rPr>
        <w:t>增长</w:t>
      </w:r>
      <w:r>
        <w:rPr>
          <w:rFonts w:hint="eastAsia" w:ascii="宋体" w:hAnsi="宋体" w:eastAsia="宋体" w:cs="B4+cajcd fnta1"/>
          <w:szCs w:val="21"/>
        </w:rPr>
        <w:t>、</w:t>
      </w:r>
      <w:r>
        <w:rPr>
          <w:rFonts w:hint="eastAsia" w:ascii="宋体" w:hAnsi="宋体" w:eastAsia="宋体" w:cs="宋体"/>
          <w:szCs w:val="21"/>
        </w:rPr>
        <w:t>贸易</w:t>
      </w:r>
      <w:r>
        <w:rPr>
          <w:rFonts w:hint="eastAsia" w:ascii="宋体" w:hAnsi="宋体" w:eastAsia="宋体" w:cs="B4+cajcd fnta1"/>
          <w:szCs w:val="21"/>
        </w:rPr>
        <w:t>、</w:t>
      </w:r>
      <w:r>
        <w:rPr>
          <w:rFonts w:hint="eastAsia" w:ascii="宋体" w:hAnsi="宋体" w:eastAsia="宋体" w:cs="宋体"/>
          <w:szCs w:val="21"/>
        </w:rPr>
        <w:t>财政以及市场</w:t>
      </w:r>
      <w:r>
        <w:rPr>
          <w:rFonts w:hint="eastAsia" w:ascii="宋体" w:hAnsi="宋体" w:eastAsia="宋体" w:cs="B4+cajcd fnta1"/>
          <w:szCs w:val="21"/>
        </w:rPr>
        <w:t>、</w:t>
      </w:r>
      <w:r>
        <w:rPr>
          <w:rFonts w:hint="eastAsia" w:ascii="宋体" w:hAnsi="宋体" w:eastAsia="宋体" w:cs="宋体"/>
          <w:szCs w:val="21"/>
        </w:rPr>
        <w:t>货币</w:t>
      </w:r>
      <w:r>
        <w:rPr>
          <w:rFonts w:hint="eastAsia" w:ascii="宋体" w:hAnsi="宋体" w:eastAsia="宋体" w:cs="B4+cajcd fnta1"/>
          <w:szCs w:val="21"/>
        </w:rPr>
        <w:t>、</w:t>
      </w:r>
      <w:r>
        <w:rPr>
          <w:rFonts w:hint="eastAsia" w:ascii="宋体" w:hAnsi="宋体" w:eastAsia="宋体" w:cs="宋体"/>
          <w:szCs w:val="21"/>
        </w:rPr>
        <w:t>价格等广泛的经济范畴</w:t>
      </w:r>
      <w:r>
        <w:rPr>
          <w:rFonts w:hint="eastAsia" w:ascii="宋体" w:hAnsi="宋体" w:eastAsia="宋体" w:cs="B5+CAJ FNT00"/>
          <w:szCs w:val="21"/>
        </w:rPr>
        <w:t>，</w:t>
      </w:r>
      <w:r>
        <w:rPr>
          <w:rFonts w:hint="eastAsia" w:ascii="宋体" w:hAnsi="宋体" w:eastAsia="宋体" w:cs="宋体"/>
          <w:szCs w:val="21"/>
        </w:rPr>
        <w:t>堪称世界范围内的罕见的经济学辉煌巨著；产生了一批具有深刻思想的大家</w:t>
      </w:r>
      <w:r>
        <w:rPr>
          <w:rFonts w:hint="eastAsia" w:ascii="宋体" w:hAnsi="宋体" w:eastAsia="宋体" w:cs="B5+CAJ FNT00"/>
          <w:szCs w:val="21"/>
        </w:rPr>
        <w:t>，</w:t>
      </w:r>
      <w:r>
        <w:rPr>
          <w:rFonts w:hint="eastAsia" w:ascii="宋体" w:hAnsi="宋体" w:eastAsia="宋体" w:cs="宋体"/>
          <w:szCs w:val="21"/>
        </w:rPr>
        <w:t>如墨翟把</w:t>
      </w:r>
      <w:r>
        <w:rPr>
          <w:rFonts w:hint="eastAsia" w:ascii="宋体" w:hAnsi="宋体" w:eastAsia="宋体" w:cs="B4+cajcd fnta1"/>
          <w:szCs w:val="21"/>
        </w:rPr>
        <w:t>“</w:t>
      </w:r>
      <w:r>
        <w:rPr>
          <w:rFonts w:hint="eastAsia" w:ascii="宋体" w:hAnsi="宋体" w:eastAsia="宋体" w:cs="宋体"/>
          <w:szCs w:val="21"/>
        </w:rPr>
        <w:t>利</w:t>
      </w:r>
      <w:r>
        <w:rPr>
          <w:rFonts w:hint="eastAsia" w:ascii="宋体" w:hAnsi="宋体" w:eastAsia="宋体" w:cs="B4+cajcd fnta1"/>
          <w:szCs w:val="21"/>
        </w:rPr>
        <w:t>”</w:t>
      </w:r>
      <w:r>
        <w:rPr>
          <w:rFonts w:hint="eastAsia" w:ascii="宋体" w:hAnsi="宋体" w:eastAsia="宋体" w:cs="宋体"/>
          <w:szCs w:val="21"/>
        </w:rPr>
        <w:t>归结于物质财富</w:t>
      </w:r>
      <w:r>
        <w:rPr>
          <w:rFonts w:hint="eastAsia" w:ascii="宋体" w:hAnsi="宋体" w:eastAsia="宋体" w:cs="B5+CAJ FNT00"/>
          <w:szCs w:val="21"/>
        </w:rPr>
        <w:t>,</w:t>
      </w:r>
      <w:r>
        <w:rPr>
          <w:rFonts w:hint="eastAsia" w:ascii="宋体" w:hAnsi="宋体" w:eastAsia="宋体" w:cs="宋体"/>
          <w:szCs w:val="21"/>
        </w:rPr>
        <w:t>那时就提出了与西方近代斯密思想相近的</w:t>
      </w:r>
      <w:r>
        <w:rPr>
          <w:rFonts w:hint="eastAsia" w:ascii="宋体" w:hAnsi="宋体" w:eastAsia="宋体" w:cs="B4+cajcd fnta1"/>
          <w:szCs w:val="21"/>
        </w:rPr>
        <w:t>“</w:t>
      </w:r>
      <w:r>
        <w:rPr>
          <w:rFonts w:hint="eastAsia" w:ascii="宋体" w:hAnsi="宋体" w:eastAsia="宋体" w:cs="宋体"/>
          <w:szCs w:val="21"/>
        </w:rPr>
        <w:t>交相利</w:t>
      </w:r>
      <w:r>
        <w:rPr>
          <w:rFonts w:hint="eastAsia" w:ascii="宋体" w:hAnsi="宋体" w:eastAsia="宋体" w:cs="B4+cajcd fnta1"/>
          <w:szCs w:val="21"/>
        </w:rPr>
        <w:t>”</w:t>
      </w:r>
      <w:r>
        <w:rPr>
          <w:rFonts w:hint="eastAsia" w:ascii="宋体" w:hAnsi="宋体" w:eastAsia="宋体" w:cs="宋体"/>
          <w:szCs w:val="21"/>
        </w:rPr>
        <w:t>的思想（彼此相利</w:t>
      </w:r>
      <w:r>
        <w:rPr>
          <w:rFonts w:hint="eastAsia" w:ascii="宋体" w:hAnsi="宋体" w:eastAsia="宋体" w:cs="B5+CAJ FNT00"/>
          <w:szCs w:val="21"/>
        </w:rPr>
        <w:t>,</w:t>
      </w:r>
      <w:r>
        <w:rPr>
          <w:rFonts w:hint="eastAsia" w:ascii="宋体" w:hAnsi="宋体" w:eastAsia="宋体" w:cs="宋体"/>
          <w:szCs w:val="21"/>
        </w:rPr>
        <w:t>利人就是利己）；范蠢提出了可能是全世界最早的经济循环论</w:t>
      </w:r>
      <w:r>
        <w:rPr>
          <w:rFonts w:hint="eastAsia" w:ascii="宋体" w:hAnsi="宋体" w:eastAsia="宋体" w:cs="B5+CAJ FNT00"/>
          <w:szCs w:val="21"/>
        </w:rPr>
        <w:t>,</w:t>
      </w:r>
      <w:r>
        <w:rPr>
          <w:rFonts w:hint="eastAsia" w:ascii="宋体" w:hAnsi="宋体" w:eastAsia="宋体" w:cs="宋体"/>
          <w:szCs w:val="21"/>
        </w:rPr>
        <w:t>这些思想都可与西方古希腊色诺芬等思想家对人类的贡献相媲美</w:t>
      </w:r>
      <w:r>
        <w:rPr>
          <w:rFonts w:hint="eastAsia" w:ascii="宋体" w:hAnsi="宋体" w:eastAsia="宋体" w:cs="B4+cajcd fnta1"/>
          <w:szCs w:val="21"/>
        </w:rPr>
        <w:t>。</w:t>
      </w:r>
      <w:r>
        <w:rPr>
          <w:rFonts w:hint="eastAsia" w:ascii="宋体" w:hAnsi="宋体" w:eastAsia="宋体" w:cs="宋体"/>
          <w:szCs w:val="21"/>
        </w:rPr>
        <w:t>就近代具有进步意义的经济思想而言</w:t>
      </w:r>
      <w:r>
        <w:rPr>
          <w:rFonts w:hint="eastAsia" w:ascii="宋体" w:hAnsi="宋体" w:eastAsia="宋体" w:cs="B5+CAJ FNT00"/>
          <w:szCs w:val="21"/>
        </w:rPr>
        <w:t>，</w:t>
      </w:r>
      <w:r>
        <w:rPr>
          <w:rFonts w:hint="eastAsia" w:ascii="宋体" w:hAnsi="宋体" w:eastAsia="宋体" w:cs="宋体"/>
          <w:szCs w:val="21"/>
        </w:rPr>
        <w:t>洪秀全的</w:t>
      </w:r>
      <w:r>
        <w:rPr>
          <w:rFonts w:hint="eastAsia" w:ascii="宋体" w:hAnsi="宋体" w:eastAsia="宋体" w:cs="B4+cajcd fnta1"/>
          <w:szCs w:val="21"/>
        </w:rPr>
        <w:t>《</w:t>
      </w:r>
      <w:r>
        <w:rPr>
          <w:rFonts w:hint="eastAsia" w:ascii="宋体" w:hAnsi="宋体" w:eastAsia="宋体" w:cs="宋体"/>
          <w:szCs w:val="21"/>
        </w:rPr>
        <w:t>天朝田亩制度</w:t>
      </w:r>
      <w:r>
        <w:rPr>
          <w:rFonts w:hint="eastAsia" w:ascii="宋体" w:hAnsi="宋体" w:eastAsia="宋体" w:cs="B4+cajcd fnta1"/>
          <w:szCs w:val="21"/>
        </w:rPr>
        <w:t>》</w:t>
      </w:r>
      <w:r>
        <w:rPr>
          <w:rFonts w:hint="eastAsia" w:ascii="宋体" w:hAnsi="宋体" w:eastAsia="宋体" w:cs="宋体"/>
          <w:szCs w:val="21"/>
        </w:rPr>
        <w:t>和</w:t>
      </w:r>
      <w:r>
        <w:rPr>
          <w:rFonts w:hint="eastAsia" w:ascii="宋体" w:hAnsi="宋体" w:eastAsia="宋体" w:cs="B4+cajcd fnta1"/>
          <w:szCs w:val="21"/>
        </w:rPr>
        <w:t>《</w:t>
      </w:r>
      <w:r>
        <w:rPr>
          <w:rFonts w:hint="eastAsia" w:ascii="宋体" w:hAnsi="宋体" w:eastAsia="宋体" w:cs="宋体"/>
          <w:szCs w:val="21"/>
        </w:rPr>
        <w:t>资政新篇</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反映了农业空想社会主义和工商业资本主义的经济思想和政策主张；康有为在政治上虽然是保皇的改良主义者</w:t>
      </w:r>
      <w:r>
        <w:rPr>
          <w:rFonts w:hint="eastAsia" w:ascii="宋体" w:hAnsi="宋体" w:eastAsia="宋体" w:cs="B5+CAJ FNT00"/>
          <w:szCs w:val="21"/>
        </w:rPr>
        <w:t>,</w:t>
      </w:r>
      <w:r>
        <w:rPr>
          <w:rFonts w:hint="eastAsia" w:ascii="宋体" w:hAnsi="宋体" w:eastAsia="宋体" w:cs="宋体"/>
          <w:szCs w:val="21"/>
        </w:rPr>
        <w:t>但他的</w:t>
      </w:r>
      <w:r>
        <w:rPr>
          <w:rFonts w:hint="eastAsia" w:ascii="宋体" w:hAnsi="宋体" w:eastAsia="宋体" w:cs="B4+cajcd fnta1"/>
          <w:szCs w:val="21"/>
        </w:rPr>
        <w:t>《</w:t>
      </w:r>
      <w:r>
        <w:rPr>
          <w:rFonts w:hint="eastAsia" w:ascii="宋体" w:hAnsi="宋体" w:eastAsia="宋体" w:cs="宋体"/>
          <w:szCs w:val="21"/>
        </w:rPr>
        <w:t>大同书</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是用</w:t>
      </w:r>
      <w:r>
        <w:rPr>
          <w:rFonts w:hint="eastAsia" w:ascii="宋体" w:hAnsi="宋体" w:eastAsia="宋体" w:cs="B4+cajcd fnta1"/>
          <w:szCs w:val="21"/>
        </w:rPr>
        <w:t>“</w:t>
      </w:r>
      <w:r>
        <w:rPr>
          <w:rFonts w:hint="eastAsia" w:ascii="宋体" w:hAnsi="宋体" w:eastAsia="宋体" w:cs="宋体"/>
          <w:szCs w:val="21"/>
        </w:rPr>
        <w:t>国学</w:t>
      </w:r>
      <w:r>
        <w:rPr>
          <w:rFonts w:hint="eastAsia" w:ascii="宋体" w:hAnsi="宋体" w:eastAsia="宋体" w:cs="B4+cajcd fnta1"/>
          <w:szCs w:val="21"/>
        </w:rPr>
        <w:t>”</w:t>
      </w:r>
      <w:r>
        <w:rPr>
          <w:rFonts w:hint="eastAsia" w:ascii="宋体" w:hAnsi="宋体" w:eastAsia="宋体" w:cs="宋体"/>
          <w:szCs w:val="21"/>
        </w:rPr>
        <w:t>语言和智慧来表达社会主义的经济思想和终极经济模式</w:t>
      </w:r>
      <w:r>
        <w:rPr>
          <w:rFonts w:hint="eastAsia" w:ascii="宋体" w:hAnsi="宋体" w:eastAsia="宋体" w:cs="B5+CAJ FNT00"/>
          <w:szCs w:val="21"/>
        </w:rPr>
        <w:t>,</w:t>
      </w:r>
      <w:r>
        <w:rPr>
          <w:rFonts w:hint="eastAsia" w:ascii="宋体" w:hAnsi="宋体" w:eastAsia="宋体" w:cs="宋体"/>
          <w:szCs w:val="21"/>
        </w:rPr>
        <w:t>是具有中国风格的最具想象力的空想社会主义著作</w:t>
      </w:r>
      <w:r>
        <w:rPr>
          <w:rFonts w:hint="eastAsia" w:ascii="宋体" w:hAnsi="宋体" w:eastAsia="宋体" w:cs="B5+CAJ FNT00"/>
          <w:szCs w:val="21"/>
        </w:rPr>
        <w:t>，</w:t>
      </w:r>
      <w:r>
        <w:rPr>
          <w:rFonts w:hint="eastAsia" w:ascii="宋体" w:hAnsi="宋体" w:eastAsia="宋体" w:cs="宋体"/>
          <w:szCs w:val="21"/>
        </w:rPr>
        <w:t>足以名列世界伟大空想社会主义思想家之列</w:t>
      </w:r>
      <w:r>
        <w:rPr>
          <w:rFonts w:hint="eastAsia" w:ascii="宋体" w:hAnsi="宋体" w:eastAsia="宋体" w:cs="B5+CAJ FNT00"/>
          <w:szCs w:val="21"/>
        </w:rPr>
        <w:t>,</w:t>
      </w:r>
      <w:r>
        <w:rPr>
          <w:rFonts w:hint="eastAsia" w:ascii="宋体" w:hAnsi="宋体" w:eastAsia="宋体" w:cs="宋体"/>
          <w:szCs w:val="21"/>
        </w:rPr>
        <w:t>并在一定意义上成为</w:t>
      </w:r>
      <w:r>
        <w:rPr>
          <w:rFonts w:hint="eastAsia" w:ascii="宋体" w:hAnsi="宋体" w:eastAsia="宋体" w:cs="B4+cajcd fnta1"/>
          <w:szCs w:val="21"/>
        </w:rPr>
        <w:t>“</w:t>
      </w:r>
      <w:r>
        <w:rPr>
          <w:rFonts w:hint="eastAsia" w:ascii="宋体" w:hAnsi="宋体" w:eastAsia="宋体" w:cs="宋体"/>
          <w:szCs w:val="21"/>
        </w:rPr>
        <w:t>国学</w:t>
      </w:r>
      <w:r>
        <w:rPr>
          <w:rFonts w:hint="eastAsia" w:ascii="宋体" w:hAnsi="宋体" w:eastAsia="宋体" w:cs="B4+cajcd fnta1"/>
          <w:szCs w:val="21"/>
        </w:rPr>
        <w:t>”</w:t>
      </w:r>
      <w:r>
        <w:rPr>
          <w:rFonts w:hint="eastAsia" w:ascii="宋体" w:hAnsi="宋体" w:eastAsia="宋体" w:cs="宋体"/>
          <w:szCs w:val="21"/>
        </w:rPr>
        <w:t>的集大成者和终极者</w:t>
      </w:r>
      <w:r>
        <w:rPr>
          <w:rFonts w:hint="eastAsia" w:ascii="宋体" w:hAnsi="宋体" w:eastAsia="宋体" w:cs="B5+CAJ FNT00"/>
          <w:szCs w:val="21"/>
        </w:rPr>
        <w:t>，</w:t>
      </w:r>
      <w:r>
        <w:rPr>
          <w:rFonts w:hint="eastAsia" w:ascii="宋体" w:hAnsi="宋体" w:eastAsia="宋体" w:cs="宋体"/>
          <w:szCs w:val="21"/>
        </w:rPr>
        <w:t>成为</w:t>
      </w:r>
      <w:r>
        <w:rPr>
          <w:rFonts w:hint="eastAsia" w:ascii="宋体" w:hAnsi="宋体" w:eastAsia="宋体" w:cs="B4+cajcd fnta1"/>
          <w:szCs w:val="21"/>
        </w:rPr>
        <w:t>“</w:t>
      </w:r>
      <w:r>
        <w:rPr>
          <w:rFonts w:hint="eastAsia" w:ascii="宋体" w:hAnsi="宋体" w:eastAsia="宋体" w:cs="宋体"/>
          <w:szCs w:val="21"/>
        </w:rPr>
        <w:t>马学</w:t>
      </w:r>
      <w:r>
        <w:rPr>
          <w:rFonts w:hint="eastAsia" w:ascii="宋体" w:hAnsi="宋体" w:eastAsia="宋体" w:cs="B4+cajcd fnta1"/>
          <w:szCs w:val="21"/>
        </w:rPr>
        <w:t>”</w:t>
      </w:r>
      <w:r>
        <w:rPr>
          <w:rFonts w:hint="eastAsia" w:ascii="宋体" w:hAnsi="宋体" w:eastAsia="宋体" w:cs="宋体"/>
          <w:szCs w:val="21"/>
        </w:rPr>
        <w:t>的同盟者；体现新生资本主义生产关系发展要求的经济思想也并不单纯是西方的舶来品</w:t>
      </w:r>
      <w:r>
        <w:rPr>
          <w:rFonts w:hint="eastAsia" w:ascii="宋体" w:hAnsi="宋体" w:eastAsia="宋体" w:cs="B5+CAJ FNT00"/>
          <w:szCs w:val="21"/>
        </w:rPr>
        <w:t>，</w:t>
      </w:r>
      <w:r>
        <w:rPr>
          <w:rFonts w:hint="eastAsia" w:ascii="宋体" w:hAnsi="宋体" w:eastAsia="宋体" w:cs="宋体"/>
          <w:szCs w:val="21"/>
        </w:rPr>
        <w:t>以孙中山为代表的</w:t>
      </w:r>
      <w:r>
        <w:rPr>
          <w:rFonts w:hint="eastAsia" w:ascii="宋体" w:hAnsi="宋体" w:eastAsia="宋体" w:cs="B4+cajcd fnta1"/>
          <w:szCs w:val="21"/>
        </w:rPr>
        <w:t>、</w:t>
      </w:r>
      <w:r>
        <w:rPr>
          <w:rFonts w:hint="eastAsia" w:ascii="宋体" w:hAnsi="宋体" w:eastAsia="宋体" w:cs="宋体"/>
          <w:szCs w:val="21"/>
        </w:rPr>
        <w:t>反帝反封建</w:t>
      </w:r>
      <w:r>
        <w:rPr>
          <w:rFonts w:hint="eastAsia" w:ascii="宋体" w:hAnsi="宋体" w:eastAsia="宋体" w:cs="B4+cajcd fnta1"/>
          <w:szCs w:val="21"/>
        </w:rPr>
        <w:t>、</w:t>
      </w:r>
      <w:r>
        <w:rPr>
          <w:rFonts w:hint="eastAsia" w:ascii="宋体" w:hAnsi="宋体" w:eastAsia="宋体" w:cs="宋体"/>
          <w:szCs w:val="21"/>
        </w:rPr>
        <w:t>扶助农工</w:t>
      </w:r>
      <w:r>
        <w:rPr>
          <w:rFonts w:hint="eastAsia" w:ascii="宋体" w:hAnsi="宋体" w:eastAsia="宋体" w:cs="B4+cajcd fnta1"/>
          <w:szCs w:val="21"/>
        </w:rPr>
        <w:t>“</w:t>
      </w:r>
      <w:r>
        <w:rPr>
          <w:rFonts w:hint="eastAsia" w:ascii="宋体" w:hAnsi="宋体" w:eastAsia="宋体" w:cs="宋体"/>
          <w:szCs w:val="21"/>
        </w:rPr>
        <w:t>的中国式的民族资本主义思想</w:t>
      </w:r>
      <w:r>
        <w:rPr>
          <w:rFonts w:hint="eastAsia" w:ascii="宋体" w:hAnsi="宋体" w:eastAsia="宋体" w:cs="B5+CAJ FNT00"/>
          <w:szCs w:val="21"/>
        </w:rPr>
        <w:t>，</w:t>
      </w:r>
      <w:r>
        <w:rPr>
          <w:rFonts w:hint="eastAsia" w:ascii="宋体" w:hAnsi="宋体" w:eastAsia="宋体" w:cs="宋体"/>
          <w:szCs w:val="21"/>
        </w:rPr>
        <w:t>以及平均地权和抑制私人大资本的小资产阶级经济思想</w:t>
      </w:r>
      <w:r>
        <w:rPr>
          <w:rFonts w:hint="eastAsia" w:ascii="宋体" w:hAnsi="宋体" w:eastAsia="宋体" w:cs="B5+CAJ FNT00"/>
          <w:szCs w:val="21"/>
        </w:rPr>
        <w:t>,</w:t>
      </w:r>
      <w:r>
        <w:rPr>
          <w:rFonts w:hint="eastAsia" w:ascii="宋体" w:hAnsi="宋体" w:eastAsia="宋体" w:cs="宋体"/>
          <w:szCs w:val="21"/>
        </w:rPr>
        <w:t>也有</w:t>
      </w:r>
      <w:r>
        <w:rPr>
          <w:rFonts w:hint="eastAsia" w:ascii="宋体" w:hAnsi="宋体" w:eastAsia="宋体" w:cs="B4+cajcd fnta1"/>
          <w:szCs w:val="21"/>
        </w:rPr>
        <w:t>“</w:t>
      </w:r>
      <w:r>
        <w:rPr>
          <w:rFonts w:hint="eastAsia" w:ascii="宋体" w:hAnsi="宋体" w:eastAsia="宋体" w:cs="宋体"/>
          <w:szCs w:val="21"/>
        </w:rPr>
        <w:t>马学</w:t>
      </w:r>
      <w:r>
        <w:rPr>
          <w:rFonts w:hint="eastAsia" w:ascii="宋体" w:hAnsi="宋体" w:eastAsia="宋体" w:cs="B4+cajcd fnta1"/>
          <w:szCs w:val="21"/>
        </w:rPr>
        <w:t>”</w:t>
      </w:r>
      <w:r>
        <w:rPr>
          <w:rFonts w:hint="eastAsia" w:ascii="宋体" w:hAnsi="宋体" w:eastAsia="宋体" w:cs="宋体"/>
          <w:szCs w:val="21"/>
        </w:rPr>
        <w:t>和建设国有经济为主导和控制力以及公有制为主体的初级社会主义可溯源</w:t>
      </w:r>
      <w:r>
        <w:rPr>
          <w:rFonts w:hint="eastAsia" w:ascii="宋体" w:hAnsi="宋体" w:eastAsia="宋体" w:cs="B4+cajcd fnta1"/>
          <w:szCs w:val="21"/>
        </w:rPr>
        <w:t>、</w:t>
      </w:r>
      <w:r>
        <w:rPr>
          <w:rFonts w:hint="eastAsia" w:ascii="宋体" w:hAnsi="宋体" w:eastAsia="宋体" w:cs="宋体"/>
          <w:szCs w:val="21"/>
        </w:rPr>
        <w:t>可借鉴之元素</w:t>
      </w:r>
      <w:r>
        <w:rPr>
          <w:rFonts w:hint="eastAsia" w:ascii="宋体" w:hAnsi="宋体" w:eastAsia="宋体" w:cs="B4+cajcd fnta1"/>
          <w:szCs w:val="21"/>
        </w:rPr>
        <w:t>。</w:t>
      </w:r>
    </w:p>
    <w:p w14:paraId="44324EE1">
      <w:pPr>
        <w:spacing w:line="400" w:lineRule="exact"/>
        <w:ind w:firstLine="440" w:firstLineChars="200"/>
        <w:rPr>
          <w:rFonts w:ascii="宋体" w:hAnsi="宋体" w:eastAsia="宋体" w:cs="B4+cajcd fnta1"/>
          <w:szCs w:val="21"/>
        </w:rPr>
      </w:pPr>
      <w:r>
        <w:rPr>
          <w:rFonts w:hint="eastAsia" w:ascii="宋体" w:hAnsi="宋体" w:eastAsia="宋体" w:cs="宋体"/>
          <w:szCs w:val="21"/>
        </w:rPr>
        <w:t>第四</w:t>
      </w:r>
      <w:r>
        <w:rPr>
          <w:rFonts w:hint="eastAsia" w:ascii="宋体" w:hAnsi="宋体" w:eastAsia="宋体" w:cs="B5+CAJ FNT00"/>
          <w:szCs w:val="21"/>
        </w:rPr>
        <w:t>,</w:t>
      </w:r>
      <w:r>
        <w:rPr>
          <w:rFonts w:hint="eastAsia" w:ascii="宋体" w:hAnsi="宋体" w:eastAsia="宋体" w:cs="宋体"/>
          <w:szCs w:val="21"/>
        </w:rPr>
        <w:t>关于</w:t>
      </w:r>
      <w:r>
        <w:rPr>
          <w:rFonts w:hint="eastAsia" w:ascii="宋体" w:hAnsi="宋体" w:eastAsia="宋体" w:cs="B4+cajcd fnta1"/>
          <w:szCs w:val="21"/>
        </w:rPr>
        <w:t>“</w:t>
      </w:r>
      <w:r>
        <w:rPr>
          <w:rFonts w:hint="eastAsia" w:ascii="宋体" w:hAnsi="宋体" w:eastAsia="宋体" w:cs="宋体"/>
          <w:szCs w:val="21"/>
        </w:rPr>
        <w:t>世情为鉴</w:t>
      </w:r>
      <w:r>
        <w:rPr>
          <w:rFonts w:hint="eastAsia" w:ascii="宋体" w:hAnsi="宋体" w:eastAsia="宋体" w:cs="B4+cajcd fnta1"/>
          <w:szCs w:val="21"/>
        </w:rPr>
        <w:t>”</w:t>
      </w:r>
      <w:r>
        <w:rPr>
          <w:rFonts w:hint="eastAsia" w:ascii="宋体" w:hAnsi="宋体" w:eastAsia="宋体" w:cs="宋体"/>
          <w:szCs w:val="21"/>
        </w:rPr>
        <w:t>和</w:t>
      </w:r>
      <w:r>
        <w:rPr>
          <w:rFonts w:hint="eastAsia" w:ascii="宋体" w:hAnsi="宋体" w:eastAsia="宋体" w:cs="B4+cajcd fnta1"/>
          <w:szCs w:val="21"/>
        </w:rPr>
        <w:t>“</w:t>
      </w:r>
      <w:r>
        <w:rPr>
          <w:rFonts w:hint="eastAsia" w:ascii="宋体" w:hAnsi="宋体" w:eastAsia="宋体" w:cs="宋体"/>
          <w:szCs w:val="21"/>
        </w:rPr>
        <w:t>国情为据</w:t>
      </w:r>
      <w:r>
        <w:rPr>
          <w:rFonts w:hint="eastAsia" w:ascii="宋体" w:hAnsi="宋体" w:eastAsia="宋体" w:cs="B4+cajcd fnta1"/>
          <w:szCs w:val="21"/>
        </w:rPr>
        <w:t>”。“</w:t>
      </w:r>
      <w:r>
        <w:rPr>
          <w:rFonts w:hint="eastAsia" w:ascii="宋体" w:hAnsi="宋体" w:eastAsia="宋体" w:cs="宋体"/>
          <w:szCs w:val="21"/>
        </w:rPr>
        <w:t>马学</w:t>
      </w:r>
      <w:r>
        <w:rPr>
          <w:rFonts w:hint="eastAsia" w:ascii="宋体" w:hAnsi="宋体" w:eastAsia="宋体" w:cs="B4+cajcd fnta1"/>
          <w:szCs w:val="21"/>
        </w:rPr>
        <w:t>”、“</w:t>
      </w:r>
      <w:r>
        <w:rPr>
          <w:rFonts w:hint="eastAsia" w:ascii="宋体" w:hAnsi="宋体" w:eastAsia="宋体" w:cs="宋体"/>
          <w:szCs w:val="21"/>
        </w:rPr>
        <w:t>西学</w:t>
      </w:r>
      <w:r>
        <w:rPr>
          <w:rFonts w:hint="eastAsia" w:ascii="宋体" w:hAnsi="宋体" w:eastAsia="宋体" w:cs="B4+cajcd fnta1"/>
          <w:szCs w:val="21"/>
        </w:rPr>
        <w:t>”</w:t>
      </w:r>
      <w:r>
        <w:rPr>
          <w:rFonts w:hint="eastAsia" w:ascii="宋体" w:hAnsi="宋体" w:eastAsia="宋体" w:cs="宋体"/>
          <w:szCs w:val="21"/>
        </w:rPr>
        <w:t>和</w:t>
      </w:r>
      <w:r>
        <w:rPr>
          <w:rFonts w:hint="eastAsia" w:ascii="宋体" w:hAnsi="宋体" w:eastAsia="宋体" w:cs="B4+cajcd fnta1"/>
          <w:szCs w:val="21"/>
        </w:rPr>
        <w:t>“</w:t>
      </w:r>
      <w:r>
        <w:rPr>
          <w:rFonts w:hint="eastAsia" w:ascii="宋体" w:hAnsi="宋体" w:eastAsia="宋体" w:cs="宋体"/>
          <w:szCs w:val="21"/>
        </w:rPr>
        <w:t>国学</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这三大知识体系本身都属于思想资料和理论来源的范畴</w:t>
      </w:r>
      <w:r>
        <w:rPr>
          <w:rFonts w:hint="eastAsia" w:ascii="宋体" w:hAnsi="宋体" w:eastAsia="宋体" w:cs="B4+cajcd fnta1"/>
          <w:szCs w:val="21"/>
        </w:rPr>
        <w:t>。</w:t>
      </w:r>
      <w:r>
        <w:rPr>
          <w:rFonts w:hint="eastAsia" w:ascii="宋体" w:hAnsi="宋体" w:eastAsia="宋体" w:cs="宋体"/>
          <w:szCs w:val="21"/>
        </w:rPr>
        <w:t>要真正推进中国经济学的现代化</w:t>
      </w:r>
      <w:r>
        <w:rPr>
          <w:rFonts w:hint="eastAsia" w:ascii="宋体" w:hAnsi="宋体" w:eastAsia="宋体" w:cs="B5+CAJ FNT00"/>
          <w:szCs w:val="21"/>
        </w:rPr>
        <w:t>，</w:t>
      </w:r>
      <w:r>
        <w:rPr>
          <w:rFonts w:hint="eastAsia" w:ascii="宋体" w:hAnsi="宋体" w:eastAsia="宋体" w:cs="宋体"/>
          <w:szCs w:val="21"/>
        </w:rPr>
        <w:t>还必须结合当代国内外新的经济实践</w:t>
      </w:r>
      <w:r>
        <w:rPr>
          <w:rFonts w:hint="eastAsia" w:ascii="宋体" w:hAnsi="宋体" w:eastAsia="宋体" w:cs="B5+CAJ FNT00"/>
          <w:szCs w:val="21"/>
        </w:rPr>
        <w:t>，</w:t>
      </w:r>
      <w:r>
        <w:rPr>
          <w:rFonts w:hint="eastAsia" w:ascii="宋体" w:hAnsi="宋体" w:eastAsia="宋体" w:cs="宋体"/>
          <w:szCs w:val="21"/>
        </w:rPr>
        <w:t>以</w:t>
      </w:r>
      <w:r>
        <w:rPr>
          <w:rFonts w:hint="eastAsia" w:ascii="宋体" w:hAnsi="宋体" w:eastAsia="宋体" w:cs="B4+cajcd fnta1"/>
          <w:szCs w:val="21"/>
        </w:rPr>
        <w:t>“</w:t>
      </w:r>
      <w:r>
        <w:rPr>
          <w:rFonts w:hint="eastAsia" w:ascii="宋体" w:hAnsi="宋体" w:eastAsia="宋体" w:cs="宋体"/>
          <w:szCs w:val="21"/>
        </w:rPr>
        <w:t>世情为鉴</w:t>
      </w:r>
      <w:r>
        <w:rPr>
          <w:rFonts w:hint="eastAsia" w:ascii="宋体" w:hAnsi="宋体" w:eastAsia="宋体" w:cs="B4+cajcd fnta1"/>
          <w:szCs w:val="21"/>
        </w:rPr>
        <w:t>”</w:t>
      </w:r>
      <w:r>
        <w:rPr>
          <w:rFonts w:hint="eastAsia" w:ascii="宋体" w:hAnsi="宋体" w:eastAsia="宋体" w:cs="宋体"/>
          <w:szCs w:val="21"/>
        </w:rPr>
        <w:t>和</w:t>
      </w:r>
      <w:r>
        <w:rPr>
          <w:rFonts w:hint="eastAsia" w:ascii="宋体" w:hAnsi="宋体" w:eastAsia="宋体" w:cs="B4+cajcd fnta1"/>
          <w:szCs w:val="21"/>
        </w:rPr>
        <w:t>“</w:t>
      </w:r>
      <w:r>
        <w:rPr>
          <w:rFonts w:hint="eastAsia" w:ascii="宋体" w:hAnsi="宋体" w:eastAsia="宋体" w:cs="宋体"/>
          <w:szCs w:val="21"/>
        </w:rPr>
        <w:t>国情为据</w:t>
      </w:r>
      <w:r>
        <w:rPr>
          <w:rFonts w:hint="eastAsia" w:ascii="宋体" w:hAnsi="宋体" w:eastAsia="宋体" w:cs="B4+cajcd fnta1"/>
          <w:szCs w:val="21"/>
        </w:rPr>
        <w:t>”。</w:t>
      </w:r>
    </w:p>
    <w:p w14:paraId="23C627FC">
      <w:pPr>
        <w:spacing w:line="400" w:lineRule="exact"/>
        <w:ind w:firstLine="440" w:firstLineChars="200"/>
        <w:rPr>
          <w:rFonts w:ascii="宋体" w:hAnsi="宋体" w:eastAsia="宋体" w:cs="宋体"/>
          <w:szCs w:val="21"/>
        </w:rPr>
      </w:pPr>
      <w:r>
        <w:rPr>
          <w:rFonts w:hint="eastAsia" w:ascii="宋体" w:hAnsi="宋体" w:eastAsia="宋体" w:cs="B4+cajcd fnta1"/>
          <w:szCs w:val="21"/>
        </w:rPr>
        <w:t>“</w:t>
      </w:r>
      <w:r>
        <w:rPr>
          <w:rFonts w:hint="eastAsia" w:ascii="宋体" w:hAnsi="宋体" w:eastAsia="宋体" w:cs="宋体"/>
          <w:szCs w:val="21"/>
        </w:rPr>
        <w:t>世情</w:t>
      </w:r>
      <w:r>
        <w:rPr>
          <w:rFonts w:hint="eastAsia" w:ascii="宋体" w:hAnsi="宋体" w:eastAsia="宋体" w:cs="B4+cajcd fnta1"/>
          <w:szCs w:val="21"/>
        </w:rPr>
        <w:t>”</w:t>
      </w:r>
      <w:r>
        <w:rPr>
          <w:rFonts w:hint="eastAsia" w:ascii="宋体" w:hAnsi="宋体" w:eastAsia="宋体" w:cs="宋体"/>
          <w:szCs w:val="21"/>
        </w:rPr>
        <w:t>有丰富的含义</w:t>
      </w:r>
      <w:r>
        <w:rPr>
          <w:rFonts w:hint="eastAsia" w:ascii="宋体" w:hAnsi="宋体" w:eastAsia="宋体" w:cs="B5+CAJ FNT00"/>
          <w:szCs w:val="21"/>
        </w:rPr>
        <w:t>,</w:t>
      </w:r>
      <w:r>
        <w:rPr>
          <w:rFonts w:hint="eastAsia" w:ascii="宋体" w:hAnsi="宋体" w:eastAsia="宋体" w:cs="宋体"/>
          <w:szCs w:val="21"/>
        </w:rPr>
        <w:t>从经济学的角度指整个世界及各国经济的历史</w:t>
      </w:r>
      <w:r>
        <w:rPr>
          <w:rFonts w:hint="eastAsia" w:ascii="宋体" w:hAnsi="宋体" w:eastAsia="宋体" w:cs="B4+cajcd fnta1"/>
          <w:szCs w:val="21"/>
        </w:rPr>
        <w:t>、</w:t>
      </w:r>
      <w:r>
        <w:rPr>
          <w:rFonts w:hint="eastAsia" w:ascii="宋体" w:hAnsi="宋体" w:eastAsia="宋体" w:cs="宋体"/>
          <w:szCs w:val="21"/>
        </w:rPr>
        <w:t>现状和未来的演化和发展状况</w:t>
      </w:r>
      <w:r>
        <w:rPr>
          <w:rFonts w:hint="eastAsia" w:ascii="宋体" w:hAnsi="宋体" w:eastAsia="宋体" w:cs="B4+cajcd fnta1"/>
          <w:szCs w:val="21"/>
        </w:rPr>
        <w:t>。“</w:t>
      </w:r>
      <w:r>
        <w:rPr>
          <w:rFonts w:hint="eastAsia" w:ascii="宋体" w:hAnsi="宋体" w:eastAsia="宋体" w:cs="宋体"/>
          <w:szCs w:val="21"/>
        </w:rPr>
        <w:t>世情</w:t>
      </w:r>
      <w:r>
        <w:rPr>
          <w:rFonts w:hint="eastAsia" w:ascii="宋体" w:hAnsi="宋体" w:eastAsia="宋体" w:cs="B4+cajcd fnta1"/>
          <w:szCs w:val="21"/>
        </w:rPr>
        <w:t>”</w:t>
      </w:r>
      <w:r>
        <w:rPr>
          <w:rFonts w:hint="eastAsia" w:ascii="宋体" w:hAnsi="宋体" w:eastAsia="宋体" w:cs="宋体"/>
          <w:szCs w:val="21"/>
        </w:rPr>
        <w:t>的真相是中国经济学在现代化进程中把握正确方向的重要借鉴</w:t>
      </w:r>
      <w:r>
        <w:rPr>
          <w:rFonts w:hint="eastAsia" w:ascii="宋体" w:hAnsi="宋体" w:eastAsia="宋体" w:cs="B4+cajcd fnta1"/>
          <w:szCs w:val="21"/>
        </w:rPr>
        <w:t>。</w:t>
      </w:r>
      <w:r>
        <w:rPr>
          <w:rFonts w:hint="eastAsia" w:ascii="宋体" w:hAnsi="宋体" w:eastAsia="宋体" w:cs="宋体"/>
          <w:szCs w:val="21"/>
        </w:rPr>
        <w:t>例如</w:t>
      </w:r>
      <w:r>
        <w:rPr>
          <w:rFonts w:hint="eastAsia" w:ascii="宋体" w:hAnsi="宋体" w:eastAsia="宋体" w:cs="B5+CAJ FNT00"/>
          <w:szCs w:val="21"/>
        </w:rPr>
        <w:t>,</w:t>
      </w:r>
      <w:r>
        <w:rPr>
          <w:rFonts w:hint="eastAsia" w:ascii="宋体" w:hAnsi="宋体" w:eastAsia="宋体" w:cs="宋体"/>
          <w:szCs w:val="21"/>
        </w:rPr>
        <w:t>世界新自由主义主张非调控化的市场原教旨主义</w:t>
      </w:r>
      <w:r>
        <w:rPr>
          <w:rFonts w:hint="eastAsia" w:ascii="宋体" w:hAnsi="宋体" w:eastAsia="宋体" w:cs="B4+cajcd fnta1"/>
          <w:szCs w:val="21"/>
        </w:rPr>
        <w:t>、</w:t>
      </w:r>
      <w:r>
        <w:rPr>
          <w:rFonts w:hint="eastAsia" w:ascii="宋体" w:hAnsi="宋体" w:eastAsia="宋体" w:cs="宋体"/>
          <w:szCs w:val="21"/>
        </w:rPr>
        <w:t>宣扬</w:t>
      </w:r>
      <w:r>
        <w:rPr>
          <w:rFonts w:hint="eastAsia" w:ascii="宋体" w:hAnsi="宋体" w:eastAsia="宋体" w:cs="B4+cajcd fnta1"/>
          <w:szCs w:val="21"/>
        </w:rPr>
        <w:t>“</w:t>
      </w:r>
      <w:r>
        <w:rPr>
          <w:rFonts w:hint="eastAsia" w:ascii="宋体" w:hAnsi="宋体" w:eastAsia="宋体" w:cs="宋体"/>
          <w:szCs w:val="21"/>
        </w:rPr>
        <w:t>私有产权神话</w:t>
      </w:r>
      <w:r>
        <w:rPr>
          <w:rFonts w:hint="eastAsia" w:ascii="宋体" w:hAnsi="宋体" w:eastAsia="宋体" w:cs="B4+cajcd fnta1"/>
          <w:szCs w:val="21"/>
        </w:rPr>
        <w:t>”、</w:t>
      </w:r>
      <w:r>
        <w:rPr>
          <w:rFonts w:hint="eastAsia" w:ascii="宋体" w:hAnsi="宋体" w:eastAsia="宋体" w:cs="宋体"/>
          <w:szCs w:val="21"/>
        </w:rPr>
        <w:t>反对建立国际经济新秩序</w:t>
      </w:r>
      <w:r>
        <w:rPr>
          <w:rFonts w:hint="eastAsia" w:ascii="宋体" w:hAnsi="宋体" w:eastAsia="宋体" w:cs="B4+cajcd fnta1"/>
          <w:szCs w:val="21"/>
        </w:rPr>
        <w:t>、</w:t>
      </w:r>
      <w:r>
        <w:rPr>
          <w:rFonts w:hint="eastAsia" w:ascii="宋体" w:hAnsi="宋体" w:eastAsia="宋体" w:cs="宋体"/>
          <w:szCs w:val="21"/>
        </w:rPr>
        <w:t>主张福利个人化</w:t>
      </w:r>
      <w:r>
        <w:rPr>
          <w:rFonts w:hint="eastAsia" w:ascii="宋体" w:hAnsi="宋体" w:eastAsia="宋体" w:cs="B4+cajcd fnta1"/>
          <w:szCs w:val="21"/>
        </w:rPr>
        <w:t>。</w:t>
      </w:r>
      <w:r>
        <w:rPr>
          <w:rFonts w:hint="eastAsia" w:ascii="宋体" w:hAnsi="宋体" w:eastAsia="宋体" w:cs="宋体"/>
          <w:szCs w:val="21"/>
        </w:rPr>
        <w:t>在美英等发达国家推行下</w:t>
      </w:r>
      <w:r>
        <w:rPr>
          <w:rFonts w:hint="eastAsia" w:ascii="宋体" w:hAnsi="宋体" w:eastAsia="宋体" w:cs="B5+CAJ FNT00"/>
          <w:szCs w:val="21"/>
        </w:rPr>
        <w:t>，</w:t>
      </w:r>
      <w:r>
        <w:rPr>
          <w:rFonts w:hint="eastAsia" w:ascii="宋体" w:hAnsi="宋体" w:eastAsia="宋体" w:cs="宋体"/>
          <w:szCs w:val="21"/>
        </w:rPr>
        <w:t>一度成为全球盛行的经济学思潮</w:t>
      </w:r>
      <w:r>
        <w:rPr>
          <w:rFonts w:hint="eastAsia" w:ascii="宋体" w:hAnsi="宋体" w:eastAsia="宋体" w:cs="B4+cajcd fnta1"/>
          <w:szCs w:val="21"/>
        </w:rPr>
        <w:t>。</w:t>
      </w:r>
      <w:r>
        <w:rPr>
          <w:rFonts w:hint="eastAsia" w:ascii="宋体" w:hAnsi="宋体" w:eastAsia="宋体" w:cs="宋体"/>
          <w:szCs w:val="21"/>
        </w:rPr>
        <w:t>然而</w:t>
      </w:r>
      <w:r>
        <w:rPr>
          <w:rFonts w:hint="eastAsia" w:ascii="宋体" w:hAnsi="宋体" w:eastAsia="宋体" w:cs="B5+CAJ FNT00"/>
          <w:szCs w:val="21"/>
        </w:rPr>
        <w:t>,</w:t>
      </w:r>
      <w:r>
        <w:rPr>
          <w:rFonts w:hint="eastAsia" w:ascii="宋体" w:hAnsi="宋体" w:eastAsia="宋体" w:cs="宋体"/>
          <w:szCs w:val="21"/>
        </w:rPr>
        <w:t>综观近10年左右的这种思潮主导下的经济全球化实践</w:t>
      </w:r>
      <w:r>
        <w:rPr>
          <w:rFonts w:hint="eastAsia" w:ascii="宋体" w:hAnsi="宋体" w:eastAsia="宋体" w:cs="B5+CAJ FNT00"/>
          <w:szCs w:val="21"/>
        </w:rPr>
        <w:t>，</w:t>
      </w:r>
      <w:r>
        <w:rPr>
          <w:rFonts w:hint="eastAsia" w:ascii="宋体" w:hAnsi="宋体" w:eastAsia="宋体" w:cs="宋体"/>
          <w:szCs w:val="21"/>
        </w:rPr>
        <w:t>可以清晰地看到：苏东是出现倒退的十年</w:t>
      </w:r>
      <w:r>
        <w:rPr>
          <w:rFonts w:hint="eastAsia" w:ascii="宋体" w:hAnsi="宋体" w:eastAsia="宋体" w:cs="B5+CAJ FNT00"/>
          <w:szCs w:val="21"/>
        </w:rPr>
        <w:t>,</w:t>
      </w:r>
      <w:r>
        <w:rPr>
          <w:rFonts w:hint="eastAsia" w:ascii="宋体" w:hAnsi="宋体" w:eastAsia="宋体" w:cs="宋体"/>
          <w:szCs w:val="21"/>
        </w:rPr>
        <w:t>拉美是失去的十年</w:t>
      </w:r>
      <w:r>
        <w:rPr>
          <w:rFonts w:hint="eastAsia" w:ascii="宋体" w:hAnsi="宋体" w:eastAsia="宋体" w:cs="B5+CAJ FNT00"/>
          <w:szCs w:val="21"/>
        </w:rPr>
        <w:t>，</w:t>
      </w:r>
      <w:r>
        <w:rPr>
          <w:rFonts w:hint="eastAsia" w:ascii="宋体" w:hAnsi="宋体" w:eastAsia="宋体" w:cs="宋体"/>
          <w:szCs w:val="21"/>
        </w:rPr>
        <w:t>日本是爬行的十几年</w:t>
      </w:r>
      <w:r>
        <w:rPr>
          <w:rFonts w:hint="eastAsia" w:ascii="宋体" w:hAnsi="宋体" w:eastAsia="宋体" w:cs="B5+CAJ FNT00"/>
          <w:szCs w:val="21"/>
        </w:rPr>
        <w:t>，</w:t>
      </w:r>
      <w:r>
        <w:rPr>
          <w:rFonts w:hint="eastAsia" w:ascii="宋体" w:hAnsi="宋体" w:eastAsia="宋体" w:cs="宋体"/>
          <w:szCs w:val="21"/>
        </w:rPr>
        <w:t>美欧是缓升的十几年</w:t>
      </w:r>
      <w:r>
        <w:rPr>
          <w:rFonts w:hint="eastAsia" w:ascii="宋体" w:hAnsi="宋体" w:eastAsia="宋体" w:cs="B4+cajcd fnta1"/>
          <w:szCs w:val="21"/>
        </w:rPr>
        <w:t>。</w:t>
      </w:r>
      <w:r>
        <w:rPr>
          <w:rFonts w:hint="eastAsia" w:ascii="宋体" w:hAnsi="宋体" w:eastAsia="宋体" w:cs="宋体"/>
          <w:szCs w:val="21"/>
        </w:rPr>
        <w:t>被联合国认定的49个最不发达的国家（亦称第四世界）</w:t>
      </w:r>
      <w:r>
        <w:rPr>
          <w:rFonts w:hint="eastAsia" w:ascii="宋体" w:hAnsi="宋体" w:eastAsia="宋体" w:cs="B5+CAJ FNT00"/>
          <w:szCs w:val="21"/>
        </w:rPr>
        <w:t>，</w:t>
      </w:r>
      <w:r>
        <w:rPr>
          <w:rFonts w:hint="eastAsia" w:ascii="宋体" w:hAnsi="宋体" w:eastAsia="宋体" w:cs="宋体"/>
          <w:szCs w:val="21"/>
        </w:rPr>
        <w:t>并没有通过私有化和发达资本主义国家主导的经济全球化途径富强起来</w:t>
      </w:r>
      <w:r>
        <w:rPr>
          <w:rFonts w:hint="eastAsia" w:ascii="宋体" w:hAnsi="宋体" w:eastAsia="宋体" w:cs="B5+CAJ FNT00"/>
          <w:szCs w:val="21"/>
        </w:rPr>
        <w:t>,</w:t>
      </w:r>
      <w:r>
        <w:rPr>
          <w:rFonts w:hint="eastAsia" w:ascii="宋体" w:hAnsi="宋体" w:eastAsia="宋体" w:cs="宋体"/>
          <w:szCs w:val="21"/>
        </w:rPr>
        <w:t>有的反而更加贫穷</w:t>
      </w:r>
      <w:r>
        <w:rPr>
          <w:rFonts w:hint="eastAsia" w:ascii="宋体" w:hAnsi="宋体" w:eastAsia="宋体" w:cs="B4+cajcd fnta1"/>
          <w:szCs w:val="21"/>
        </w:rPr>
        <w:t>。</w:t>
      </w:r>
      <w:r>
        <w:rPr>
          <w:rFonts w:hint="eastAsia" w:ascii="宋体" w:hAnsi="宋体" w:eastAsia="宋体" w:cs="宋体"/>
          <w:szCs w:val="21"/>
        </w:rPr>
        <w:t>近年来</w:t>
      </w:r>
      <w:r>
        <w:rPr>
          <w:rFonts w:hint="eastAsia" w:ascii="宋体" w:hAnsi="宋体" w:eastAsia="宋体" w:cs="B5+CAJ FNT00"/>
          <w:szCs w:val="21"/>
        </w:rPr>
        <w:t>,</w:t>
      </w:r>
      <w:r>
        <w:rPr>
          <w:rFonts w:hint="eastAsia" w:ascii="宋体" w:hAnsi="宋体" w:eastAsia="宋体" w:cs="宋体"/>
          <w:szCs w:val="21"/>
        </w:rPr>
        <w:t>拉美国家纷纷倾向</w:t>
      </w:r>
      <w:r>
        <w:rPr>
          <w:rFonts w:hint="eastAsia" w:ascii="宋体" w:hAnsi="宋体" w:eastAsia="宋体" w:cs="B4+cajcd fnta1"/>
          <w:szCs w:val="21"/>
        </w:rPr>
        <w:t>“</w:t>
      </w:r>
      <w:r>
        <w:rPr>
          <w:rFonts w:hint="eastAsia" w:ascii="宋体" w:hAnsi="宋体" w:eastAsia="宋体" w:cs="宋体"/>
          <w:szCs w:val="21"/>
        </w:rPr>
        <w:t>社会主义</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这显示出</w:t>
      </w:r>
      <w:r>
        <w:rPr>
          <w:rFonts w:hint="eastAsia" w:ascii="宋体" w:hAnsi="宋体" w:eastAsia="宋体" w:cs="B5+CAJ FNT00"/>
          <w:szCs w:val="21"/>
        </w:rPr>
        <w:t>，</w:t>
      </w:r>
      <w:r>
        <w:rPr>
          <w:rFonts w:hint="eastAsia" w:ascii="宋体" w:hAnsi="宋体" w:eastAsia="宋体" w:cs="宋体"/>
          <w:szCs w:val="21"/>
        </w:rPr>
        <w:t>新自由主义主导全球化阶段正逐步走向衰败</w:t>
      </w:r>
      <w:r>
        <w:rPr>
          <w:rFonts w:hint="eastAsia" w:ascii="宋体" w:hAnsi="宋体" w:eastAsia="宋体" w:cs="B5+CAJ FNT00"/>
          <w:szCs w:val="21"/>
        </w:rPr>
        <w:t>，</w:t>
      </w:r>
      <w:r>
        <w:rPr>
          <w:rFonts w:hint="eastAsia" w:ascii="宋体" w:hAnsi="宋体" w:eastAsia="宋体" w:cs="宋体"/>
          <w:szCs w:val="21"/>
        </w:rPr>
        <w:t>经济全球化终将趋向社会主义主导的阶段</w:t>
      </w:r>
      <w:r>
        <w:rPr>
          <w:rFonts w:hint="eastAsia" w:ascii="宋体" w:hAnsi="宋体" w:eastAsia="宋体" w:cs="B4+cajcd fnta1"/>
          <w:szCs w:val="21"/>
        </w:rPr>
        <w:t>。</w:t>
      </w:r>
      <w:r>
        <w:rPr>
          <w:rFonts w:hint="eastAsia" w:ascii="宋体" w:hAnsi="宋体" w:eastAsia="宋体" w:cs="宋体"/>
          <w:szCs w:val="21"/>
        </w:rPr>
        <w:t>以上述</w:t>
      </w:r>
      <w:r>
        <w:rPr>
          <w:rFonts w:hint="eastAsia" w:ascii="宋体" w:hAnsi="宋体" w:eastAsia="宋体" w:cs="B4+cajcd fnta1"/>
          <w:szCs w:val="21"/>
        </w:rPr>
        <w:t>“</w:t>
      </w:r>
      <w:r>
        <w:rPr>
          <w:rFonts w:hint="eastAsia" w:ascii="宋体" w:hAnsi="宋体" w:eastAsia="宋体" w:cs="宋体"/>
          <w:szCs w:val="21"/>
        </w:rPr>
        <w:t>世情</w:t>
      </w:r>
      <w:r>
        <w:rPr>
          <w:rFonts w:hint="eastAsia" w:ascii="宋体" w:hAnsi="宋体" w:eastAsia="宋体" w:cs="B4+cajcd fnta1"/>
          <w:szCs w:val="21"/>
        </w:rPr>
        <w:t>”</w:t>
      </w:r>
      <w:r>
        <w:rPr>
          <w:rFonts w:hint="eastAsia" w:ascii="宋体" w:hAnsi="宋体" w:eastAsia="宋体" w:cs="宋体"/>
          <w:szCs w:val="21"/>
        </w:rPr>
        <w:t>为鉴</w:t>
      </w:r>
      <w:r>
        <w:rPr>
          <w:rFonts w:hint="eastAsia" w:ascii="宋体" w:hAnsi="宋体" w:eastAsia="宋体" w:cs="B5+CAJ FNT00"/>
          <w:szCs w:val="21"/>
        </w:rPr>
        <w:t>，</w:t>
      </w:r>
      <w:r>
        <w:rPr>
          <w:rFonts w:hint="eastAsia" w:ascii="宋体" w:hAnsi="宋体" w:eastAsia="宋体" w:cs="宋体"/>
          <w:szCs w:val="21"/>
        </w:rPr>
        <w:t>中国现代经济学对美国和世界经济发展的正反两方面经验和新自由主义经济理论和政策应采取分析和甄别的科学态度</w:t>
      </w:r>
      <w:r>
        <w:rPr>
          <w:rFonts w:hint="eastAsia" w:ascii="宋体" w:hAnsi="宋体" w:eastAsia="宋体" w:cs="B4+cajcd fnta1"/>
          <w:szCs w:val="21"/>
        </w:rPr>
        <w:t>。</w:t>
      </w:r>
    </w:p>
    <w:p w14:paraId="2672046D">
      <w:pPr>
        <w:tabs>
          <w:tab w:val="left" w:pos="4860"/>
        </w:tabs>
        <w:spacing w:line="400" w:lineRule="exact"/>
        <w:ind w:firstLine="440" w:firstLineChars="200"/>
        <w:rPr>
          <w:rFonts w:ascii="宋体" w:hAnsi="宋体" w:eastAsia="宋体" w:cs="宋体"/>
          <w:szCs w:val="21"/>
        </w:rPr>
      </w:pPr>
      <w:r>
        <w:rPr>
          <w:rFonts w:hint="eastAsia" w:ascii="宋体" w:hAnsi="宋体" w:eastAsia="宋体" w:cs="宋体"/>
          <w:szCs w:val="21"/>
        </w:rPr>
        <w:t>构建和完善具有中国特色</w:t>
      </w:r>
      <w:r>
        <w:rPr>
          <w:rFonts w:hint="eastAsia" w:ascii="宋体" w:hAnsi="宋体" w:eastAsia="宋体" w:cs="B4+cajcd fnta1"/>
          <w:szCs w:val="21"/>
        </w:rPr>
        <w:t>、</w:t>
      </w:r>
      <w:r>
        <w:rPr>
          <w:rFonts w:hint="eastAsia" w:ascii="宋体" w:hAnsi="宋体" w:eastAsia="宋体" w:cs="宋体"/>
          <w:szCs w:val="21"/>
        </w:rPr>
        <w:t>中国气派和中国风格的科学现代经济学</w:t>
      </w:r>
      <w:r>
        <w:rPr>
          <w:rFonts w:hint="eastAsia" w:ascii="宋体" w:hAnsi="宋体" w:eastAsia="宋体" w:cs="B5+CAJ FNT00"/>
          <w:szCs w:val="21"/>
        </w:rPr>
        <w:t>，</w:t>
      </w:r>
      <w:r>
        <w:rPr>
          <w:rFonts w:hint="eastAsia" w:ascii="宋体" w:hAnsi="宋体" w:eastAsia="宋体" w:cs="宋体"/>
          <w:szCs w:val="21"/>
        </w:rPr>
        <w:t>只能依据由生产力水平最终决定的社会形态</w:t>
      </w:r>
      <w:r>
        <w:rPr>
          <w:rFonts w:hint="eastAsia" w:ascii="宋体" w:hAnsi="宋体" w:eastAsia="宋体" w:cs="B4+cajcd fnta1"/>
          <w:szCs w:val="21"/>
        </w:rPr>
        <w:t>、</w:t>
      </w:r>
      <w:r>
        <w:rPr>
          <w:rFonts w:hint="eastAsia" w:ascii="宋体" w:hAnsi="宋体" w:eastAsia="宋体" w:cs="宋体"/>
          <w:szCs w:val="21"/>
        </w:rPr>
        <w:t>文化传统</w:t>
      </w:r>
      <w:r>
        <w:rPr>
          <w:rFonts w:hint="eastAsia" w:ascii="宋体" w:hAnsi="宋体" w:eastAsia="宋体" w:cs="B4+cajcd fnta1"/>
          <w:szCs w:val="21"/>
        </w:rPr>
        <w:t>、</w:t>
      </w:r>
      <w:r>
        <w:rPr>
          <w:rFonts w:hint="eastAsia" w:ascii="宋体" w:hAnsi="宋体" w:eastAsia="宋体" w:cs="宋体"/>
          <w:szCs w:val="21"/>
        </w:rPr>
        <w:t>自然环境等复杂因素构成的国情</w:t>
      </w:r>
      <w:r>
        <w:rPr>
          <w:rFonts w:hint="eastAsia" w:ascii="宋体" w:hAnsi="宋体" w:eastAsia="宋体" w:cs="B5+CAJ FNT00"/>
          <w:szCs w:val="21"/>
        </w:rPr>
        <w:t>,</w:t>
      </w:r>
      <w:r>
        <w:rPr>
          <w:rFonts w:hint="eastAsia" w:ascii="宋体" w:hAnsi="宋体" w:eastAsia="宋体" w:cs="宋体"/>
          <w:szCs w:val="21"/>
        </w:rPr>
        <w:t>其中又包含着各种</w:t>
      </w:r>
      <w:r>
        <w:rPr>
          <w:rFonts w:hint="eastAsia" w:ascii="宋体" w:hAnsi="宋体" w:eastAsia="宋体" w:cs="B4+cajcd fnta1"/>
          <w:szCs w:val="21"/>
        </w:rPr>
        <w:t>“</w:t>
      </w:r>
      <w:r>
        <w:rPr>
          <w:rFonts w:hint="eastAsia" w:ascii="宋体" w:hAnsi="宋体" w:eastAsia="宋体" w:cs="宋体"/>
          <w:szCs w:val="21"/>
        </w:rPr>
        <w:t>色层</w:t>
      </w:r>
      <w:r>
        <w:rPr>
          <w:rFonts w:hint="eastAsia" w:ascii="宋体" w:hAnsi="宋体" w:eastAsia="宋体" w:cs="B4+cajcd fnta1"/>
          <w:szCs w:val="21"/>
        </w:rPr>
        <w:t>”</w:t>
      </w:r>
      <w:r>
        <w:rPr>
          <w:rFonts w:hint="eastAsia" w:ascii="宋体" w:hAnsi="宋体" w:eastAsia="宋体" w:cs="宋体"/>
          <w:szCs w:val="21"/>
        </w:rPr>
        <w:t>的省情</w:t>
      </w:r>
      <w:r>
        <w:rPr>
          <w:rFonts w:hint="eastAsia" w:ascii="宋体" w:hAnsi="宋体" w:eastAsia="宋体" w:cs="B4+cajcd fnta1"/>
          <w:szCs w:val="21"/>
        </w:rPr>
        <w:t>、</w:t>
      </w:r>
      <w:r>
        <w:rPr>
          <w:rFonts w:hint="eastAsia" w:ascii="宋体" w:hAnsi="宋体" w:eastAsia="宋体" w:cs="宋体"/>
          <w:szCs w:val="21"/>
        </w:rPr>
        <w:t>市情</w:t>
      </w:r>
      <w:r>
        <w:rPr>
          <w:rFonts w:hint="eastAsia" w:ascii="宋体" w:hAnsi="宋体" w:eastAsia="宋体" w:cs="B4+cajcd fnta1"/>
          <w:szCs w:val="21"/>
        </w:rPr>
        <w:t>、</w:t>
      </w:r>
      <w:r>
        <w:rPr>
          <w:rFonts w:hint="eastAsia" w:ascii="宋体" w:hAnsi="宋体" w:eastAsia="宋体" w:cs="宋体"/>
          <w:szCs w:val="21"/>
        </w:rPr>
        <w:t>县情以及城</w:t>
      </w:r>
      <w:r>
        <w:rPr>
          <w:rFonts w:hint="eastAsia" w:ascii="宋体" w:hAnsi="宋体" w:eastAsia="宋体" w:cs="B4+cajcd fnta1"/>
          <w:szCs w:val="21"/>
        </w:rPr>
        <w:t>、</w:t>
      </w:r>
      <w:r>
        <w:rPr>
          <w:rFonts w:hint="eastAsia" w:ascii="宋体" w:hAnsi="宋体" w:eastAsia="宋体" w:cs="宋体"/>
          <w:szCs w:val="21"/>
        </w:rPr>
        <w:t>乡差别实情</w:t>
      </w:r>
      <w:r>
        <w:rPr>
          <w:rFonts w:hint="eastAsia" w:ascii="宋体" w:hAnsi="宋体" w:eastAsia="宋体" w:cs="B4+cajcd fnta1"/>
          <w:szCs w:val="21"/>
        </w:rPr>
        <w:t>。</w:t>
      </w:r>
      <w:r>
        <w:rPr>
          <w:rFonts w:hint="eastAsia" w:ascii="宋体" w:hAnsi="宋体" w:eastAsia="宋体" w:cs="宋体"/>
          <w:szCs w:val="21"/>
        </w:rPr>
        <w:t>改革开放30年来</w:t>
      </w:r>
      <w:r>
        <w:rPr>
          <w:rFonts w:hint="eastAsia" w:ascii="宋体" w:hAnsi="宋体" w:eastAsia="宋体" w:cs="B5+CAJ FNT00"/>
          <w:szCs w:val="21"/>
        </w:rPr>
        <w:t>，</w:t>
      </w:r>
      <w:r>
        <w:rPr>
          <w:rFonts w:hint="eastAsia" w:ascii="宋体" w:hAnsi="宋体" w:eastAsia="宋体" w:cs="宋体"/>
          <w:szCs w:val="21"/>
        </w:rPr>
        <w:t>广大人民群众最重要的实践就是围绕和努力实现社会主义公有制与市场经济的高效结合</w:t>
      </w:r>
      <w:r>
        <w:rPr>
          <w:rFonts w:hint="eastAsia" w:ascii="宋体" w:hAnsi="宋体" w:eastAsia="宋体" w:cs="B4+cajcd fnta1"/>
          <w:szCs w:val="21"/>
        </w:rPr>
        <w:t>。</w:t>
      </w:r>
      <w:r>
        <w:rPr>
          <w:rFonts w:hint="eastAsia" w:ascii="宋体" w:hAnsi="宋体" w:eastAsia="宋体" w:cs="宋体"/>
          <w:szCs w:val="21"/>
        </w:rPr>
        <w:t>中国经济学有必要总结这方面的成功经验</w:t>
      </w:r>
      <w:r>
        <w:rPr>
          <w:rFonts w:hint="eastAsia" w:ascii="宋体" w:hAnsi="宋体" w:eastAsia="宋体" w:cs="B4+cajcd fnta1"/>
          <w:szCs w:val="21"/>
        </w:rPr>
        <w:t>。</w:t>
      </w:r>
      <w:r>
        <w:rPr>
          <w:rFonts w:hint="eastAsia" w:ascii="宋体" w:hAnsi="宋体" w:eastAsia="宋体" w:cs="宋体"/>
          <w:szCs w:val="21"/>
        </w:rPr>
        <w:t>要充分看到</w:t>
      </w:r>
      <w:r>
        <w:rPr>
          <w:rFonts w:hint="eastAsia" w:ascii="宋体" w:hAnsi="宋体" w:eastAsia="宋体" w:cs="B5+CAJ FNT00"/>
          <w:szCs w:val="21"/>
        </w:rPr>
        <w:t>,</w:t>
      </w:r>
      <w:r>
        <w:rPr>
          <w:rFonts w:hint="eastAsia" w:ascii="宋体" w:hAnsi="宋体" w:eastAsia="宋体" w:cs="宋体"/>
          <w:szCs w:val="21"/>
        </w:rPr>
        <w:t>中国城市已经出现了一批富有实力</w:t>
      </w:r>
      <w:r>
        <w:rPr>
          <w:rFonts w:hint="eastAsia" w:ascii="宋体" w:hAnsi="宋体" w:eastAsia="宋体" w:cs="B4+cajcd fnta1"/>
          <w:szCs w:val="21"/>
        </w:rPr>
        <w:t>、</w:t>
      </w:r>
      <w:r>
        <w:rPr>
          <w:rFonts w:hint="eastAsia" w:ascii="宋体" w:hAnsi="宋体" w:eastAsia="宋体" w:cs="宋体"/>
          <w:szCs w:val="21"/>
        </w:rPr>
        <w:t>活力和竞争力的国有大型和特大型企业及企业集团</w:t>
      </w:r>
      <w:r>
        <w:rPr>
          <w:rFonts w:hint="eastAsia" w:ascii="宋体" w:hAnsi="宋体" w:eastAsia="宋体" w:cs="B5+CAJ FNT00"/>
          <w:szCs w:val="21"/>
        </w:rPr>
        <w:t>，</w:t>
      </w:r>
      <w:r>
        <w:rPr>
          <w:rFonts w:hint="eastAsia" w:ascii="宋体" w:hAnsi="宋体" w:eastAsia="宋体" w:cs="宋体"/>
          <w:szCs w:val="21"/>
        </w:rPr>
        <w:t>中国农村也出现了一批坚持社会主义公有制</w:t>
      </w:r>
      <w:r>
        <w:rPr>
          <w:rFonts w:hint="eastAsia" w:ascii="宋体" w:hAnsi="宋体" w:eastAsia="宋体" w:cs="B5+CAJ FNT00"/>
          <w:szCs w:val="21"/>
        </w:rPr>
        <w:t>,</w:t>
      </w:r>
      <w:r>
        <w:rPr>
          <w:rFonts w:hint="eastAsia" w:ascii="宋体" w:hAnsi="宋体" w:eastAsia="宋体" w:cs="宋体"/>
          <w:szCs w:val="21"/>
        </w:rPr>
        <w:t>在市场经济环境中实现共同致富的典型</w:t>
      </w:r>
      <w:r>
        <w:rPr>
          <w:rFonts w:hint="eastAsia" w:ascii="宋体" w:hAnsi="宋体" w:eastAsia="宋体" w:cs="B5+CAJ FNT00"/>
          <w:szCs w:val="21"/>
        </w:rPr>
        <w:t>，</w:t>
      </w:r>
      <w:r>
        <w:rPr>
          <w:rFonts w:hint="eastAsia" w:ascii="宋体" w:hAnsi="宋体" w:eastAsia="宋体" w:cs="宋体"/>
          <w:szCs w:val="21"/>
        </w:rPr>
        <w:t>如河南的南街村和刘庄</w:t>
      </w:r>
      <w:r>
        <w:rPr>
          <w:rFonts w:hint="eastAsia" w:ascii="宋体" w:hAnsi="宋体" w:eastAsia="宋体" w:cs="B4+cajcd fnta1"/>
          <w:szCs w:val="21"/>
        </w:rPr>
        <w:t>、</w:t>
      </w:r>
      <w:r>
        <w:rPr>
          <w:rFonts w:hint="eastAsia" w:ascii="宋体" w:hAnsi="宋体" w:eastAsia="宋体" w:cs="宋体"/>
          <w:szCs w:val="21"/>
        </w:rPr>
        <w:t>江苏的华西村和长江村等</w:t>
      </w:r>
      <w:r>
        <w:rPr>
          <w:rFonts w:hint="eastAsia" w:ascii="宋体" w:hAnsi="宋体" w:eastAsia="宋体" w:cs="B4+cajcd fnta1"/>
          <w:szCs w:val="21"/>
        </w:rPr>
        <w:t>。</w:t>
      </w:r>
      <w:r>
        <w:rPr>
          <w:rFonts w:hint="eastAsia" w:ascii="宋体" w:hAnsi="宋体" w:eastAsia="宋体" w:cs="宋体"/>
          <w:szCs w:val="21"/>
        </w:rPr>
        <w:t>从它们的实践经验中</w:t>
      </w:r>
      <w:r>
        <w:rPr>
          <w:rFonts w:hint="eastAsia" w:ascii="宋体" w:hAnsi="宋体" w:eastAsia="宋体" w:cs="B5+CAJ FNT00"/>
          <w:szCs w:val="21"/>
        </w:rPr>
        <w:t>，</w:t>
      </w:r>
      <w:r>
        <w:rPr>
          <w:rFonts w:hint="eastAsia" w:ascii="宋体" w:hAnsi="宋体" w:eastAsia="宋体" w:cs="宋体"/>
          <w:szCs w:val="21"/>
        </w:rPr>
        <w:t>可以发现前无古人的市场经济与公有制有效结合的新规律</w:t>
      </w:r>
      <w:r>
        <w:rPr>
          <w:rFonts w:hint="eastAsia" w:ascii="宋体" w:hAnsi="宋体" w:eastAsia="宋体" w:cs="B4+cajcd fnta1"/>
          <w:szCs w:val="21"/>
        </w:rPr>
        <w:t>。</w:t>
      </w:r>
      <w:r>
        <w:rPr>
          <w:rFonts w:hint="eastAsia" w:ascii="宋体" w:hAnsi="宋体" w:eastAsia="宋体" w:cs="宋体"/>
          <w:szCs w:val="21"/>
        </w:rPr>
        <w:t>只有从这些富有创造性的社会主义经济实践经验中吸取营养</w:t>
      </w:r>
      <w:r>
        <w:rPr>
          <w:rFonts w:hint="eastAsia" w:ascii="宋体" w:hAnsi="宋体" w:eastAsia="宋体" w:cs="B5+CAJ FNT00"/>
          <w:szCs w:val="21"/>
        </w:rPr>
        <w:t>，</w:t>
      </w:r>
      <w:r>
        <w:rPr>
          <w:rFonts w:hint="eastAsia" w:ascii="宋体" w:hAnsi="宋体" w:eastAsia="宋体" w:cs="宋体"/>
          <w:szCs w:val="21"/>
        </w:rPr>
        <w:t>才能真正推进中国马克思主义经济学的现代化</w:t>
      </w:r>
      <w:r>
        <w:rPr>
          <w:rFonts w:hint="eastAsia" w:ascii="宋体" w:hAnsi="宋体" w:eastAsia="宋体" w:cs="B4+cajcd fnta1"/>
          <w:szCs w:val="21"/>
        </w:rPr>
        <w:t>。</w:t>
      </w:r>
    </w:p>
    <w:p w14:paraId="59052F66">
      <w:pPr>
        <w:spacing w:line="400" w:lineRule="exact"/>
        <w:ind w:firstLine="440" w:firstLineChars="200"/>
        <w:rPr>
          <w:rFonts w:ascii="宋体" w:hAnsi="宋体" w:eastAsia="宋体" w:cs="宋体"/>
          <w:szCs w:val="21"/>
        </w:rPr>
      </w:pPr>
      <w:r>
        <w:rPr>
          <w:rFonts w:hint="eastAsia" w:ascii="宋体" w:hAnsi="宋体" w:eastAsia="宋体" w:cs="宋体"/>
          <w:szCs w:val="21"/>
        </w:rPr>
        <w:t>第五</w:t>
      </w:r>
      <w:r>
        <w:rPr>
          <w:rFonts w:hint="eastAsia" w:ascii="宋体" w:hAnsi="宋体" w:eastAsia="宋体" w:cs="B5+CAJ FNT00"/>
          <w:szCs w:val="21"/>
        </w:rPr>
        <w:t>,</w:t>
      </w:r>
      <w:r>
        <w:rPr>
          <w:rFonts w:hint="eastAsia" w:ascii="宋体" w:hAnsi="宋体" w:eastAsia="宋体" w:cs="宋体"/>
          <w:szCs w:val="21"/>
        </w:rPr>
        <w:t>关于</w:t>
      </w:r>
      <w:r>
        <w:rPr>
          <w:rFonts w:hint="eastAsia" w:ascii="宋体" w:hAnsi="宋体" w:eastAsia="宋体" w:cs="B4+cajcd fnta1"/>
          <w:szCs w:val="21"/>
        </w:rPr>
        <w:t>“</w:t>
      </w:r>
      <w:r>
        <w:rPr>
          <w:rFonts w:hint="eastAsia" w:ascii="宋体" w:hAnsi="宋体" w:eastAsia="宋体" w:cs="宋体"/>
          <w:szCs w:val="21"/>
        </w:rPr>
        <w:t>综合创新</w:t>
      </w:r>
      <w:r>
        <w:rPr>
          <w:rFonts w:hint="eastAsia" w:ascii="宋体" w:hAnsi="宋体" w:eastAsia="宋体" w:cs="B4+cajcd fnta1"/>
          <w:szCs w:val="21"/>
        </w:rPr>
        <w:t>”。</w:t>
      </w:r>
      <w:r>
        <w:rPr>
          <w:rFonts w:hint="eastAsia" w:ascii="宋体" w:hAnsi="宋体" w:eastAsia="宋体" w:cs="宋体"/>
          <w:szCs w:val="21"/>
        </w:rPr>
        <w:t>上述理论上的</w:t>
      </w:r>
      <w:r>
        <w:rPr>
          <w:rFonts w:hint="eastAsia" w:ascii="宋体" w:hAnsi="宋体" w:eastAsia="宋体" w:cs="B4+cajcd fnta1"/>
          <w:szCs w:val="21"/>
        </w:rPr>
        <w:t>“</w:t>
      </w:r>
      <w:r>
        <w:rPr>
          <w:rFonts w:hint="eastAsia" w:ascii="宋体" w:hAnsi="宋体" w:eastAsia="宋体" w:cs="宋体"/>
          <w:szCs w:val="21"/>
        </w:rPr>
        <w:t>马学为体</w:t>
      </w:r>
      <w:r>
        <w:rPr>
          <w:rFonts w:hint="eastAsia" w:ascii="宋体" w:hAnsi="宋体" w:eastAsia="宋体" w:cs="B4+cajcd fnta1"/>
          <w:szCs w:val="21"/>
        </w:rPr>
        <w:t>”、“</w:t>
      </w:r>
      <w:r>
        <w:rPr>
          <w:rFonts w:hint="eastAsia" w:ascii="宋体" w:hAnsi="宋体" w:eastAsia="宋体" w:cs="宋体"/>
          <w:szCs w:val="21"/>
        </w:rPr>
        <w:t>西学为用</w:t>
      </w:r>
      <w:r>
        <w:rPr>
          <w:rFonts w:hint="eastAsia" w:ascii="宋体" w:hAnsi="宋体" w:eastAsia="宋体" w:cs="B4+cajcd fnta1"/>
          <w:szCs w:val="21"/>
        </w:rPr>
        <w:t>”、“</w:t>
      </w:r>
      <w:r>
        <w:rPr>
          <w:rFonts w:hint="eastAsia" w:ascii="宋体" w:hAnsi="宋体" w:eastAsia="宋体" w:cs="宋体"/>
          <w:szCs w:val="21"/>
        </w:rPr>
        <w:t>国学为根</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实践上的</w:t>
      </w:r>
      <w:r>
        <w:rPr>
          <w:rFonts w:hint="eastAsia" w:ascii="宋体" w:hAnsi="宋体" w:eastAsia="宋体" w:cs="B4+cajcd fnta1"/>
          <w:szCs w:val="21"/>
        </w:rPr>
        <w:t>“</w:t>
      </w:r>
      <w:r>
        <w:rPr>
          <w:rFonts w:hint="eastAsia" w:ascii="宋体" w:hAnsi="宋体" w:eastAsia="宋体" w:cs="宋体"/>
          <w:szCs w:val="21"/>
        </w:rPr>
        <w:t>世情为鉴</w:t>
      </w:r>
      <w:r>
        <w:rPr>
          <w:rFonts w:hint="eastAsia" w:ascii="宋体" w:hAnsi="宋体" w:eastAsia="宋体" w:cs="B4+cajcd fnta1"/>
          <w:szCs w:val="21"/>
        </w:rPr>
        <w:t>”</w:t>
      </w:r>
      <w:r>
        <w:rPr>
          <w:rFonts w:hint="eastAsia" w:ascii="宋体" w:hAnsi="宋体" w:eastAsia="宋体" w:cs="宋体"/>
          <w:szCs w:val="21"/>
        </w:rPr>
        <w:t>和</w:t>
      </w:r>
      <w:r>
        <w:rPr>
          <w:rFonts w:hint="eastAsia" w:ascii="宋体" w:hAnsi="宋体" w:eastAsia="宋体" w:cs="B4+cajcd fnta1"/>
          <w:szCs w:val="21"/>
        </w:rPr>
        <w:t>“</w:t>
      </w:r>
      <w:r>
        <w:rPr>
          <w:rFonts w:hint="eastAsia" w:ascii="宋体" w:hAnsi="宋体" w:eastAsia="宋体" w:cs="宋体"/>
          <w:szCs w:val="21"/>
        </w:rPr>
        <w:t>国情为据</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它们最终要落实到中国经济学现代化进程中的</w:t>
      </w:r>
      <w:r>
        <w:rPr>
          <w:rFonts w:hint="eastAsia" w:ascii="宋体" w:hAnsi="宋体" w:eastAsia="宋体" w:cs="B4+cajcd fnta1"/>
          <w:szCs w:val="21"/>
        </w:rPr>
        <w:t>“</w:t>
      </w:r>
      <w:r>
        <w:rPr>
          <w:rFonts w:hint="eastAsia" w:ascii="宋体" w:hAnsi="宋体" w:eastAsia="宋体" w:cs="宋体"/>
          <w:szCs w:val="21"/>
        </w:rPr>
        <w:t>综合创新</w:t>
      </w:r>
      <w:r>
        <w:rPr>
          <w:rFonts w:hint="eastAsia" w:ascii="宋体" w:hAnsi="宋体" w:eastAsia="宋体" w:cs="B4+cajcd fnta1"/>
          <w:szCs w:val="21"/>
        </w:rPr>
        <w:t>”</w:t>
      </w:r>
      <w:r>
        <w:rPr>
          <w:rFonts w:hint="eastAsia" w:ascii="宋体" w:hAnsi="宋体" w:eastAsia="宋体" w:cs="宋体"/>
          <w:szCs w:val="21"/>
        </w:rPr>
        <w:t>上</w:t>
      </w:r>
      <w:r>
        <w:rPr>
          <w:rFonts w:hint="eastAsia" w:ascii="宋体" w:hAnsi="宋体" w:eastAsia="宋体" w:cs="B4+cajcd fnta1"/>
          <w:szCs w:val="21"/>
        </w:rPr>
        <w:t>。</w:t>
      </w:r>
      <w:r>
        <w:rPr>
          <w:rFonts w:hint="eastAsia" w:ascii="宋体" w:hAnsi="宋体" w:eastAsia="宋体" w:cs="宋体"/>
          <w:szCs w:val="21"/>
        </w:rPr>
        <w:t>经济学现代化的</w:t>
      </w:r>
      <w:r>
        <w:rPr>
          <w:rFonts w:hint="eastAsia" w:ascii="宋体" w:hAnsi="宋体" w:eastAsia="宋体" w:cs="B4+cajcd fnta1"/>
          <w:szCs w:val="21"/>
        </w:rPr>
        <w:t>“</w:t>
      </w:r>
      <w:r>
        <w:rPr>
          <w:rFonts w:hint="eastAsia" w:ascii="宋体" w:hAnsi="宋体" w:eastAsia="宋体" w:cs="宋体"/>
          <w:szCs w:val="21"/>
        </w:rPr>
        <w:t>综合创新</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要求在综合前人经济思想的基础上</w:t>
      </w:r>
      <w:r>
        <w:rPr>
          <w:rFonts w:hint="eastAsia" w:ascii="宋体" w:hAnsi="宋体" w:eastAsia="宋体" w:cs="B5+CAJ FNT00"/>
          <w:szCs w:val="21"/>
        </w:rPr>
        <w:t>，</w:t>
      </w:r>
      <w:r>
        <w:rPr>
          <w:rFonts w:hint="eastAsia" w:ascii="宋体" w:hAnsi="宋体" w:eastAsia="宋体" w:cs="宋体"/>
          <w:szCs w:val="21"/>
        </w:rPr>
        <w:t>结合现代历史条件下的中外经济实践</w:t>
      </w:r>
      <w:r>
        <w:rPr>
          <w:rFonts w:hint="eastAsia" w:ascii="宋体" w:hAnsi="宋体" w:eastAsia="宋体" w:cs="B5+CAJ FNT00"/>
          <w:szCs w:val="21"/>
        </w:rPr>
        <w:t>，</w:t>
      </w:r>
      <w:r>
        <w:rPr>
          <w:rFonts w:hint="eastAsia" w:ascii="宋体" w:hAnsi="宋体" w:eastAsia="宋体" w:cs="宋体"/>
          <w:szCs w:val="21"/>
        </w:rPr>
        <w:t>科学创新已有的经济理论</w:t>
      </w:r>
      <w:r>
        <w:rPr>
          <w:rFonts w:hint="eastAsia" w:ascii="宋体" w:hAnsi="宋体" w:eastAsia="宋体" w:cs="B4+cajcd fnta1"/>
          <w:szCs w:val="21"/>
        </w:rPr>
        <w:t>。</w:t>
      </w:r>
      <w:r>
        <w:rPr>
          <w:rFonts w:hint="eastAsia" w:ascii="宋体" w:hAnsi="宋体" w:eastAsia="宋体" w:cs="宋体"/>
          <w:szCs w:val="21"/>
        </w:rPr>
        <w:t>没有分析</w:t>
      </w:r>
      <w:r>
        <w:rPr>
          <w:rFonts w:hint="eastAsia" w:ascii="宋体" w:hAnsi="宋体" w:eastAsia="宋体" w:cs="B5+CAJ FNT00"/>
          <w:szCs w:val="21"/>
        </w:rPr>
        <w:t>，</w:t>
      </w:r>
      <w:r>
        <w:rPr>
          <w:rFonts w:hint="eastAsia" w:ascii="宋体" w:hAnsi="宋体" w:eastAsia="宋体" w:cs="宋体"/>
          <w:szCs w:val="21"/>
        </w:rPr>
        <w:t>就不可能综合；没有在不断分析过程中的相应的不断综合</w:t>
      </w:r>
      <w:r>
        <w:rPr>
          <w:rFonts w:hint="eastAsia" w:ascii="宋体" w:hAnsi="宋体" w:eastAsia="宋体" w:cs="B5+CAJ FNT00"/>
          <w:szCs w:val="21"/>
        </w:rPr>
        <w:t>，</w:t>
      </w:r>
      <w:r>
        <w:rPr>
          <w:rFonts w:hint="eastAsia" w:ascii="宋体" w:hAnsi="宋体" w:eastAsia="宋体" w:cs="宋体"/>
          <w:szCs w:val="21"/>
        </w:rPr>
        <w:t>也就不能做到深人的分析和全面的综合</w:t>
      </w:r>
      <w:r>
        <w:rPr>
          <w:rFonts w:hint="eastAsia" w:ascii="宋体" w:hAnsi="宋体" w:eastAsia="宋体" w:cs="B4+cajcd fnta1"/>
          <w:szCs w:val="21"/>
        </w:rPr>
        <w:t>。</w:t>
      </w:r>
      <w:r>
        <w:rPr>
          <w:rFonts w:hint="eastAsia" w:ascii="宋体" w:hAnsi="宋体" w:eastAsia="宋体" w:cs="宋体"/>
          <w:szCs w:val="21"/>
        </w:rPr>
        <w:t>因此</w:t>
      </w:r>
      <w:r>
        <w:rPr>
          <w:rFonts w:hint="eastAsia" w:ascii="宋体" w:hAnsi="宋体" w:eastAsia="宋体" w:cs="B5+CAJ FNT00"/>
          <w:szCs w:val="21"/>
        </w:rPr>
        <w:t>，</w:t>
      </w:r>
      <w:r>
        <w:rPr>
          <w:rFonts w:hint="eastAsia" w:ascii="宋体" w:hAnsi="宋体" w:eastAsia="宋体" w:cs="宋体"/>
          <w:szCs w:val="21"/>
        </w:rPr>
        <w:t>中国经济学现代化进程中的</w:t>
      </w:r>
      <w:r>
        <w:rPr>
          <w:rFonts w:hint="eastAsia" w:ascii="宋体" w:hAnsi="宋体" w:eastAsia="宋体" w:cs="B4+cajcd fnta1"/>
          <w:szCs w:val="21"/>
        </w:rPr>
        <w:t>“</w:t>
      </w:r>
      <w:r>
        <w:rPr>
          <w:rFonts w:hint="eastAsia" w:ascii="宋体" w:hAnsi="宋体" w:eastAsia="宋体" w:cs="宋体"/>
          <w:szCs w:val="21"/>
        </w:rPr>
        <w:t>综合创新</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在结合当代中外实践的基础上</w:t>
      </w:r>
      <w:r>
        <w:rPr>
          <w:rFonts w:hint="eastAsia" w:ascii="宋体" w:hAnsi="宋体" w:eastAsia="宋体" w:cs="B5+CAJ FNT00"/>
          <w:szCs w:val="21"/>
        </w:rPr>
        <w:t>,</w:t>
      </w:r>
      <w:r>
        <w:rPr>
          <w:rFonts w:hint="eastAsia" w:ascii="宋体" w:hAnsi="宋体" w:eastAsia="宋体" w:cs="宋体"/>
          <w:szCs w:val="21"/>
        </w:rPr>
        <w:t>对</w:t>
      </w:r>
      <w:r>
        <w:rPr>
          <w:rFonts w:hint="eastAsia" w:ascii="宋体" w:hAnsi="宋体" w:eastAsia="宋体" w:cs="B4+cajcd fnta1"/>
          <w:szCs w:val="21"/>
        </w:rPr>
        <w:t>“</w:t>
      </w:r>
      <w:r>
        <w:rPr>
          <w:rFonts w:hint="eastAsia" w:ascii="宋体" w:hAnsi="宋体" w:eastAsia="宋体" w:cs="宋体"/>
          <w:szCs w:val="21"/>
        </w:rPr>
        <w:t>马学</w:t>
      </w:r>
      <w:r>
        <w:rPr>
          <w:rFonts w:hint="eastAsia" w:ascii="宋体" w:hAnsi="宋体" w:eastAsia="宋体" w:cs="B4+cajcd fnta1"/>
          <w:szCs w:val="21"/>
        </w:rPr>
        <w:t>”、“</w:t>
      </w:r>
      <w:r>
        <w:rPr>
          <w:rFonts w:hint="eastAsia" w:ascii="宋体" w:hAnsi="宋体" w:eastAsia="宋体" w:cs="宋体"/>
          <w:szCs w:val="21"/>
        </w:rPr>
        <w:t>西学</w:t>
      </w:r>
      <w:r>
        <w:rPr>
          <w:rFonts w:hint="eastAsia" w:ascii="宋体" w:hAnsi="宋体" w:eastAsia="宋体" w:cs="B4+cajcd fnta1"/>
          <w:szCs w:val="21"/>
        </w:rPr>
        <w:t>”</w:t>
      </w:r>
      <w:r>
        <w:rPr>
          <w:rFonts w:hint="eastAsia" w:ascii="宋体" w:hAnsi="宋体" w:eastAsia="宋体" w:cs="宋体"/>
          <w:szCs w:val="21"/>
        </w:rPr>
        <w:t>和</w:t>
      </w:r>
      <w:r>
        <w:rPr>
          <w:rFonts w:hint="eastAsia" w:ascii="宋体" w:hAnsi="宋体" w:eastAsia="宋体" w:cs="B4+cajcd fnta1"/>
          <w:szCs w:val="21"/>
        </w:rPr>
        <w:t>“</w:t>
      </w:r>
      <w:r>
        <w:rPr>
          <w:rFonts w:hint="eastAsia" w:ascii="宋体" w:hAnsi="宋体" w:eastAsia="宋体" w:cs="宋体"/>
          <w:szCs w:val="21"/>
        </w:rPr>
        <w:t>国学</w:t>
      </w:r>
      <w:r>
        <w:rPr>
          <w:rFonts w:hint="eastAsia" w:ascii="宋体" w:hAnsi="宋体" w:eastAsia="宋体" w:cs="B4+cajcd fnta1"/>
          <w:szCs w:val="21"/>
        </w:rPr>
        <w:t>”</w:t>
      </w:r>
      <w:r>
        <w:rPr>
          <w:rFonts w:hint="eastAsia" w:ascii="宋体" w:hAnsi="宋体" w:eastAsia="宋体" w:cs="宋体"/>
          <w:szCs w:val="21"/>
        </w:rPr>
        <w:t>三大知识体系提供的经济材料进行分析与综合的过程</w:t>
      </w:r>
      <w:r>
        <w:rPr>
          <w:rFonts w:hint="eastAsia" w:ascii="宋体" w:hAnsi="宋体" w:eastAsia="宋体" w:cs="B4+cajcd fnta1"/>
          <w:szCs w:val="21"/>
        </w:rPr>
        <w:t>。“</w:t>
      </w:r>
      <w:r>
        <w:rPr>
          <w:rFonts w:hint="eastAsia" w:ascii="宋体" w:hAnsi="宋体" w:eastAsia="宋体" w:cs="宋体"/>
          <w:szCs w:val="21"/>
        </w:rPr>
        <w:t>综合创新</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意味着正确处理三大知识体系之间的相互关系</w:t>
      </w:r>
      <w:r>
        <w:rPr>
          <w:rFonts w:hint="eastAsia" w:ascii="宋体" w:hAnsi="宋体" w:eastAsia="宋体" w:cs="B5+CAJ FNT00"/>
          <w:szCs w:val="21"/>
        </w:rPr>
        <w:t>，</w:t>
      </w:r>
      <w:r>
        <w:rPr>
          <w:rFonts w:hint="eastAsia" w:ascii="宋体" w:hAnsi="宋体" w:eastAsia="宋体" w:cs="宋体"/>
          <w:szCs w:val="21"/>
        </w:rPr>
        <w:t>以及对他们的分析综合与实践检验之间的关系</w:t>
      </w:r>
      <w:r>
        <w:rPr>
          <w:rFonts w:hint="eastAsia" w:ascii="宋体" w:hAnsi="宋体" w:eastAsia="宋体" w:cs="B4+cajcd fnta1"/>
          <w:szCs w:val="21"/>
        </w:rPr>
        <w:t>。</w:t>
      </w:r>
    </w:p>
    <w:p w14:paraId="75B04FD8">
      <w:pPr>
        <w:spacing w:line="400" w:lineRule="exact"/>
        <w:ind w:firstLine="440" w:firstLineChars="200"/>
        <w:rPr>
          <w:rFonts w:ascii="宋体" w:hAnsi="宋体" w:eastAsia="宋体" w:cs="宋体"/>
          <w:szCs w:val="21"/>
        </w:rPr>
      </w:pPr>
      <w:r>
        <w:rPr>
          <w:rFonts w:hint="eastAsia" w:ascii="宋体" w:hAnsi="宋体" w:eastAsia="宋体" w:cs="宋体"/>
          <w:szCs w:val="21"/>
        </w:rPr>
        <w:t>中国经济学现代化过程中的这种</w:t>
      </w:r>
      <w:r>
        <w:rPr>
          <w:rFonts w:hint="eastAsia" w:ascii="宋体" w:hAnsi="宋体" w:eastAsia="宋体" w:cs="B4+cajcd fnta1"/>
          <w:szCs w:val="21"/>
        </w:rPr>
        <w:t>“</w:t>
      </w:r>
      <w:r>
        <w:rPr>
          <w:rFonts w:hint="eastAsia" w:ascii="宋体" w:hAnsi="宋体" w:eastAsia="宋体" w:cs="宋体"/>
          <w:szCs w:val="21"/>
        </w:rPr>
        <w:t>综合创新</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乃是追求真理的经济学者在唯物史观指导下发挥主观能动性的过程</w:t>
      </w:r>
      <w:r>
        <w:rPr>
          <w:rFonts w:hint="eastAsia" w:ascii="宋体" w:hAnsi="宋体" w:eastAsia="宋体" w:cs="B4+cajcd fnta1"/>
          <w:szCs w:val="21"/>
        </w:rPr>
        <w:t>。</w:t>
      </w:r>
      <w:r>
        <w:rPr>
          <w:rFonts w:hint="eastAsia" w:ascii="宋体" w:hAnsi="宋体" w:eastAsia="宋体" w:cs="宋体"/>
          <w:szCs w:val="21"/>
        </w:rPr>
        <w:t>也就是说</w:t>
      </w:r>
      <w:r>
        <w:rPr>
          <w:rFonts w:hint="eastAsia" w:ascii="宋体" w:hAnsi="宋体" w:eastAsia="宋体" w:cs="B5+CAJ FNT00"/>
          <w:szCs w:val="21"/>
        </w:rPr>
        <w:t>，</w:t>
      </w:r>
      <w:r>
        <w:rPr>
          <w:rFonts w:hint="eastAsia" w:ascii="宋体" w:hAnsi="宋体" w:eastAsia="宋体" w:cs="宋体"/>
          <w:szCs w:val="21"/>
        </w:rPr>
        <w:t>要以马克思主义科学经济学为根本</w:t>
      </w:r>
      <w:r>
        <w:rPr>
          <w:rFonts w:hint="eastAsia" w:ascii="宋体" w:hAnsi="宋体" w:eastAsia="宋体" w:cs="B5+CAJ FNT00"/>
          <w:szCs w:val="21"/>
        </w:rPr>
        <w:t>，</w:t>
      </w:r>
      <w:r>
        <w:rPr>
          <w:rFonts w:hint="eastAsia" w:ascii="宋体" w:hAnsi="宋体" w:eastAsia="宋体" w:cs="宋体"/>
          <w:szCs w:val="21"/>
        </w:rPr>
        <w:t>以西方非马克思主义经济学知识和合理元素为借用</w:t>
      </w:r>
      <w:r>
        <w:rPr>
          <w:rFonts w:hint="eastAsia" w:ascii="宋体" w:hAnsi="宋体" w:eastAsia="宋体" w:cs="B5+CAJ FNT00"/>
          <w:szCs w:val="21"/>
        </w:rPr>
        <w:t>，</w:t>
      </w:r>
      <w:r>
        <w:rPr>
          <w:rFonts w:hint="eastAsia" w:ascii="宋体" w:hAnsi="宋体" w:eastAsia="宋体" w:cs="宋体"/>
          <w:szCs w:val="21"/>
        </w:rPr>
        <w:t>以古近代的经济思想资料为弄清中国国情特征的历史源头</w:t>
      </w:r>
      <w:r>
        <w:rPr>
          <w:rFonts w:hint="eastAsia" w:ascii="宋体" w:hAnsi="宋体" w:eastAsia="宋体" w:cs="B5+CAJ FNT00"/>
          <w:szCs w:val="21"/>
        </w:rPr>
        <w:t>,</w:t>
      </w:r>
      <w:r>
        <w:rPr>
          <w:rFonts w:hint="eastAsia" w:ascii="宋体" w:hAnsi="宋体" w:eastAsia="宋体" w:cs="宋体"/>
          <w:szCs w:val="21"/>
        </w:rPr>
        <w:t>进行可持续的综合创新和理论超越</w:t>
      </w:r>
      <w:r>
        <w:rPr>
          <w:rFonts w:hint="eastAsia" w:ascii="宋体" w:hAnsi="宋体" w:eastAsia="宋体" w:cs="B4+cajcd fnta1"/>
          <w:szCs w:val="21"/>
        </w:rPr>
        <w:t>。</w:t>
      </w:r>
      <w:r>
        <w:rPr>
          <w:rFonts w:hint="eastAsia" w:ascii="宋体" w:hAnsi="宋体" w:eastAsia="宋体" w:cs="宋体"/>
          <w:szCs w:val="21"/>
        </w:rPr>
        <w:t>中国经济学现代化的</w:t>
      </w:r>
      <w:r>
        <w:rPr>
          <w:rFonts w:hint="eastAsia" w:ascii="宋体" w:hAnsi="宋体" w:eastAsia="宋体" w:cs="B4+cajcd fnta1"/>
          <w:szCs w:val="21"/>
        </w:rPr>
        <w:t>“</w:t>
      </w:r>
      <w:r>
        <w:rPr>
          <w:rFonts w:hint="eastAsia" w:ascii="宋体" w:hAnsi="宋体" w:eastAsia="宋体" w:cs="宋体"/>
          <w:szCs w:val="21"/>
        </w:rPr>
        <w:t>综合创新</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为的是形成具有中国特色</w:t>
      </w:r>
      <w:r>
        <w:rPr>
          <w:rFonts w:hint="eastAsia" w:ascii="宋体" w:hAnsi="宋体" w:eastAsia="宋体" w:cs="B4+cajcd fnta1"/>
          <w:szCs w:val="21"/>
        </w:rPr>
        <w:t>、</w:t>
      </w:r>
      <w:r>
        <w:rPr>
          <w:rFonts w:hint="eastAsia" w:ascii="宋体" w:hAnsi="宋体" w:eastAsia="宋体" w:cs="宋体"/>
          <w:szCs w:val="21"/>
        </w:rPr>
        <w:t>中国风格和中国气派的中国现代马克思主义经济学</w:t>
      </w:r>
      <w:r>
        <w:rPr>
          <w:rFonts w:hint="eastAsia" w:ascii="宋体" w:hAnsi="宋体" w:eastAsia="宋体" w:cs="B4+cajcd fnta1"/>
          <w:szCs w:val="21"/>
        </w:rPr>
        <w:t>。</w:t>
      </w:r>
      <w:r>
        <w:rPr>
          <w:rFonts w:hint="eastAsia" w:ascii="宋体" w:hAnsi="宋体" w:eastAsia="宋体" w:cs="宋体"/>
          <w:szCs w:val="21"/>
        </w:rPr>
        <w:t>应当从简单引进和模仿外国经济学的自在方式</w:t>
      </w:r>
      <w:r>
        <w:rPr>
          <w:rFonts w:hint="eastAsia" w:ascii="宋体" w:hAnsi="宋体" w:eastAsia="宋体" w:cs="B5+CAJ FNT00"/>
          <w:szCs w:val="21"/>
        </w:rPr>
        <w:t>，</w:t>
      </w:r>
      <w:r>
        <w:rPr>
          <w:rFonts w:hint="eastAsia" w:ascii="宋体" w:hAnsi="宋体" w:eastAsia="宋体" w:cs="宋体"/>
          <w:szCs w:val="21"/>
        </w:rPr>
        <w:t>实现向理论创新的自觉或自为方式的转变</w:t>
      </w:r>
      <w:r>
        <w:rPr>
          <w:rFonts w:hint="eastAsia" w:ascii="宋体" w:hAnsi="宋体" w:eastAsia="宋体" w:cs="B4+cajcd fnta1"/>
          <w:szCs w:val="21"/>
        </w:rPr>
        <w:t>。</w:t>
      </w:r>
      <w:r>
        <w:rPr>
          <w:rFonts w:hint="eastAsia" w:ascii="宋体" w:hAnsi="宋体" w:eastAsia="宋体" w:cs="宋体"/>
          <w:szCs w:val="21"/>
        </w:rPr>
        <w:t>这意味着</w:t>
      </w:r>
      <w:r>
        <w:rPr>
          <w:rFonts w:hint="eastAsia" w:ascii="宋体" w:hAnsi="宋体" w:eastAsia="宋体" w:cs="B5+CAJ FNT00"/>
          <w:szCs w:val="21"/>
        </w:rPr>
        <w:t>,</w:t>
      </w:r>
      <w:r>
        <w:rPr>
          <w:rFonts w:hint="eastAsia" w:ascii="宋体" w:hAnsi="宋体" w:eastAsia="宋体" w:cs="宋体"/>
          <w:szCs w:val="21"/>
        </w:rPr>
        <w:t>要实现两个超越：既在具体化的意义上超越马列经典经济学</w:t>
      </w:r>
      <w:r>
        <w:rPr>
          <w:rFonts w:hint="eastAsia" w:ascii="宋体" w:hAnsi="宋体" w:eastAsia="宋体" w:cs="B5+CAJ FNT00"/>
          <w:szCs w:val="21"/>
        </w:rPr>
        <w:t>,</w:t>
      </w:r>
      <w:r>
        <w:rPr>
          <w:rFonts w:hint="eastAsia" w:ascii="宋体" w:hAnsi="宋体" w:eastAsia="宋体" w:cs="宋体"/>
          <w:szCs w:val="21"/>
        </w:rPr>
        <w:t>又在科学范式的意义上超越当代西方经济学；要体现两种实践：既体现东西方市场经济实践</w:t>
      </w:r>
      <w:r>
        <w:rPr>
          <w:rFonts w:hint="eastAsia" w:ascii="宋体" w:hAnsi="宋体" w:eastAsia="宋体" w:cs="B5+CAJ FNT00"/>
          <w:szCs w:val="21"/>
        </w:rPr>
        <w:t>,</w:t>
      </w:r>
      <w:r>
        <w:rPr>
          <w:rFonts w:hint="eastAsia" w:ascii="宋体" w:hAnsi="宋体" w:eastAsia="宋体" w:cs="宋体"/>
          <w:szCs w:val="21"/>
        </w:rPr>
        <w:t>又体现有中国特色的社会主义实践；要显现两种创新：既要有经济学的某些常规发展</w:t>
      </w:r>
      <w:r>
        <w:rPr>
          <w:rFonts w:hint="eastAsia" w:ascii="宋体" w:hAnsi="宋体" w:eastAsia="宋体" w:cs="B5+CAJ FNT00"/>
          <w:szCs w:val="21"/>
        </w:rPr>
        <w:t>，</w:t>
      </w:r>
      <w:r>
        <w:rPr>
          <w:rFonts w:hint="eastAsia" w:ascii="宋体" w:hAnsi="宋体" w:eastAsia="宋体" w:cs="宋体"/>
          <w:szCs w:val="21"/>
        </w:rPr>
        <w:t>又要有其范式的革命</w:t>
      </w:r>
      <w:r>
        <w:rPr>
          <w:rFonts w:hint="eastAsia" w:ascii="宋体" w:hAnsi="宋体" w:eastAsia="宋体" w:cs="B4+cajcd fnta1"/>
          <w:szCs w:val="21"/>
        </w:rPr>
        <w:t>。</w:t>
      </w:r>
      <w:r>
        <w:rPr>
          <w:rFonts w:hint="eastAsia" w:ascii="宋体" w:hAnsi="宋体" w:eastAsia="宋体" w:cs="宋体"/>
          <w:szCs w:val="21"/>
        </w:rPr>
        <w:t>它将是一种科学反映经济现代性的</w:t>
      </w:r>
      <w:r>
        <w:rPr>
          <w:rFonts w:hint="eastAsia" w:ascii="宋体" w:hAnsi="宋体" w:eastAsia="宋体" w:cs="B4+cajcd fnta1"/>
          <w:szCs w:val="21"/>
        </w:rPr>
        <w:t>“</w:t>
      </w:r>
      <w:r>
        <w:rPr>
          <w:rFonts w:hint="eastAsia" w:ascii="宋体" w:hAnsi="宋体" w:eastAsia="宋体" w:cs="宋体"/>
          <w:szCs w:val="21"/>
        </w:rPr>
        <w:t>后现代经济学</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同时也将是一种</w:t>
      </w:r>
      <w:r>
        <w:rPr>
          <w:rFonts w:hint="eastAsia" w:ascii="宋体" w:hAnsi="宋体" w:eastAsia="宋体" w:cs="B4+cajcd fnta1"/>
          <w:szCs w:val="21"/>
        </w:rPr>
        <w:t>“</w:t>
      </w:r>
      <w:r>
        <w:rPr>
          <w:rFonts w:hint="eastAsia" w:ascii="宋体" w:hAnsi="宋体" w:eastAsia="宋体" w:cs="宋体"/>
          <w:szCs w:val="21"/>
        </w:rPr>
        <w:t>后马克思经济学新综合</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也就是在唯物史观指导下</w:t>
      </w:r>
      <w:r>
        <w:rPr>
          <w:rFonts w:hint="eastAsia" w:ascii="宋体" w:hAnsi="宋体" w:eastAsia="宋体" w:cs="B5+CAJ FNT00"/>
          <w:szCs w:val="21"/>
        </w:rPr>
        <w:t>，</w:t>
      </w:r>
      <w:r>
        <w:rPr>
          <w:rFonts w:hint="eastAsia" w:ascii="宋体" w:hAnsi="宋体" w:eastAsia="宋体" w:cs="宋体"/>
          <w:szCs w:val="21"/>
        </w:rPr>
        <w:t>以世界眼光</w:t>
      </w:r>
      <w:r>
        <w:rPr>
          <w:rFonts w:hint="eastAsia" w:ascii="宋体" w:hAnsi="宋体" w:eastAsia="宋体" w:cs="B5+CAJ FNT00"/>
          <w:szCs w:val="21"/>
        </w:rPr>
        <w:t>，</w:t>
      </w:r>
      <w:r>
        <w:rPr>
          <w:rFonts w:hint="eastAsia" w:ascii="宋体" w:hAnsi="宋体" w:eastAsia="宋体" w:cs="宋体"/>
          <w:szCs w:val="21"/>
        </w:rPr>
        <w:t>坚持</w:t>
      </w:r>
      <w:r>
        <w:rPr>
          <w:rFonts w:hint="eastAsia" w:ascii="宋体" w:hAnsi="宋体" w:eastAsia="宋体" w:cs="B4+cajcd fnta1"/>
          <w:szCs w:val="21"/>
        </w:rPr>
        <w:t>“</w:t>
      </w:r>
      <w:r>
        <w:rPr>
          <w:rFonts w:hint="eastAsia" w:ascii="宋体" w:hAnsi="宋体" w:eastAsia="宋体" w:cs="宋体"/>
          <w:szCs w:val="21"/>
        </w:rPr>
        <w:t>马学</w:t>
      </w:r>
      <w:r>
        <w:rPr>
          <w:rFonts w:hint="eastAsia" w:ascii="宋体" w:hAnsi="宋体" w:eastAsia="宋体" w:cs="B4+cajcd fnta1"/>
          <w:szCs w:val="21"/>
        </w:rPr>
        <w:t>”</w:t>
      </w:r>
      <w:r>
        <w:rPr>
          <w:rFonts w:hint="eastAsia" w:ascii="宋体" w:hAnsi="宋体" w:eastAsia="宋体" w:cs="宋体"/>
          <w:szCs w:val="21"/>
        </w:rPr>
        <w:t>这个根本</w:t>
      </w:r>
      <w:r>
        <w:rPr>
          <w:rFonts w:hint="eastAsia" w:ascii="宋体" w:hAnsi="宋体" w:eastAsia="宋体" w:cs="B5+CAJ FNT00"/>
          <w:szCs w:val="21"/>
        </w:rPr>
        <w:t>，</w:t>
      </w:r>
      <w:r>
        <w:rPr>
          <w:rFonts w:hint="eastAsia" w:ascii="宋体" w:hAnsi="宋体" w:eastAsia="宋体" w:cs="宋体"/>
          <w:szCs w:val="21"/>
        </w:rPr>
        <w:t>在当代国外经济学继续分化和局部综合的基础上</w:t>
      </w:r>
      <w:r>
        <w:rPr>
          <w:rFonts w:hint="eastAsia" w:ascii="宋体" w:hAnsi="宋体" w:eastAsia="宋体" w:cs="B5+CAJ FNT00"/>
          <w:szCs w:val="21"/>
        </w:rPr>
        <w:t>,</w:t>
      </w:r>
      <w:r>
        <w:rPr>
          <w:rFonts w:hint="eastAsia" w:ascii="宋体" w:hAnsi="宋体" w:eastAsia="宋体" w:cs="宋体"/>
          <w:szCs w:val="21"/>
        </w:rPr>
        <w:t>去实现全面系统的科学大综合</w:t>
      </w:r>
      <w:r>
        <w:rPr>
          <w:rFonts w:hint="eastAsia" w:ascii="宋体" w:hAnsi="宋体" w:eastAsia="宋体" w:cs="B4+cajcd fnta1"/>
          <w:szCs w:val="21"/>
        </w:rPr>
        <w:t>。</w:t>
      </w:r>
      <w:r>
        <w:rPr>
          <w:rFonts w:hint="eastAsia" w:ascii="宋体" w:hAnsi="宋体" w:eastAsia="宋体" w:cs="宋体"/>
          <w:szCs w:val="21"/>
        </w:rPr>
        <w:t>其中包括分析和借鉴西方马克思主义经济理论</w:t>
      </w:r>
      <w:r>
        <w:rPr>
          <w:rFonts w:hint="eastAsia" w:ascii="宋体" w:hAnsi="宋体" w:eastAsia="宋体" w:cs="B4+cajcd fnta1"/>
          <w:szCs w:val="21"/>
        </w:rPr>
        <w:t>、</w:t>
      </w:r>
      <w:r>
        <w:rPr>
          <w:rFonts w:hint="eastAsia" w:ascii="宋体" w:hAnsi="宋体" w:eastAsia="宋体" w:cs="宋体"/>
          <w:szCs w:val="21"/>
        </w:rPr>
        <w:t>西方激进经济理论</w:t>
      </w:r>
      <w:r>
        <w:rPr>
          <w:rFonts w:hint="eastAsia" w:ascii="宋体" w:hAnsi="宋体" w:eastAsia="宋体" w:cs="B4+cajcd fnta1"/>
          <w:szCs w:val="21"/>
        </w:rPr>
        <w:t>、</w:t>
      </w:r>
      <w:r>
        <w:rPr>
          <w:rFonts w:hint="eastAsia" w:ascii="宋体" w:hAnsi="宋体" w:eastAsia="宋体" w:cs="宋体"/>
          <w:szCs w:val="21"/>
        </w:rPr>
        <w:t>凯恩斯左翼经济理论</w:t>
      </w:r>
      <w:r>
        <w:rPr>
          <w:rFonts w:hint="eastAsia" w:ascii="宋体" w:hAnsi="宋体" w:eastAsia="宋体" w:cs="B4+cajcd fnta1"/>
          <w:szCs w:val="21"/>
        </w:rPr>
        <w:t>、</w:t>
      </w:r>
      <w:r>
        <w:rPr>
          <w:rFonts w:hint="eastAsia" w:ascii="宋体" w:hAnsi="宋体" w:eastAsia="宋体" w:cs="宋体"/>
          <w:szCs w:val="21"/>
        </w:rPr>
        <w:t>克鲁格曼国际经济理论</w:t>
      </w:r>
      <w:r>
        <w:rPr>
          <w:rFonts w:hint="eastAsia" w:ascii="宋体" w:hAnsi="宋体" w:eastAsia="宋体" w:cs="B4+cajcd fnta1"/>
          <w:szCs w:val="21"/>
        </w:rPr>
        <w:t>、</w:t>
      </w:r>
      <w:r>
        <w:rPr>
          <w:rFonts w:hint="eastAsia" w:ascii="宋体" w:hAnsi="宋体" w:eastAsia="宋体" w:cs="宋体"/>
          <w:szCs w:val="21"/>
        </w:rPr>
        <w:t>发展经济学</w:t>
      </w:r>
      <w:r>
        <w:rPr>
          <w:rFonts w:hint="eastAsia" w:ascii="宋体" w:hAnsi="宋体" w:eastAsia="宋体" w:cs="B4+cajcd fnta1"/>
          <w:szCs w:val="21"/>
        </w:rPr>
        <w:t>、</w:t>
      </w:r>
      <w:r>
        <w:rPr>
          <w:rFonts w:hint="eastAsia" w:ascii="宋体" w:hAnsi="宋体" w:eastAsia="宋体" w:cs="宋体"/>
          <w:szCs w:val="21"/>
        </w:rPr>
        <w:t>比较经济学以及</w:t>
      </w:r>
      <w:r>
        <w:rPr>
          <w:rFonts w:hint="eastAsia" w:ascii="宋体" w:hAnsi="宋体" w:eastAsia="宋体" w:cs="B4+cajcd fnta1"/>
          <w:szCs w:val="21"/>
        </w:rPr>
        <w:t>“</w:t>
      </w:r>
      <w:r>
        <w:rPr>
          <w:rFonts w:hint="eastAsia" w:ascii="宋体" w:hAnsi="宋体" w:eastAsia="宋体" w:cs="宋体"/>
          <w:szCs w:val="21"/>
        </w:rPr>
        <w:t>中心一外围</w:t>
      </w:r>
      <w:r>
        <w:rPr>
          <w:rFonts w:hint="eastAsia" w:ascii="宋体" w:hAnsi="宋体" w:eastAsia="宋体" w:cs="B4+cajcd fnta1"/>
          <w:szCs w:val="21"/>
        </w:rPr>
        <w:t>”</w:t>
      </w:r>
      <w:r>
        <w:rPr>
          <w:rFonts w:hint="eastAsia" w:ascii="宋体" w:hAnsi="宋体" w:eastAsia="宋体" w:cs="宋体"/>
          <w:szCs w:val="21"/>
        </w:rPr>
        <w:t>等发展中国家经济理论；积极汲取当代哲学</w:t>
      </w:r>
      <w:r>
        <w:rPr>
          <w:rFonts w:hint="eastAsia" w:ascii="宋体" w:hAnsi="宋体" w:eastAsia="宋体" w:cs="B4+cajcd fnta1"/>
          <w:szCs w:val="21"/>
        </w:rPr>
        <w:t>、</w:t>
      </w:r>
      <w:r>
        <w:rPr>
          <w:rFonts w:hint="eastAsia" w:ascii="宋体" w:hAnsi="宋体" w:eastAsia="宋体" w:cs="宋体"/>
          <w:szCs w:val="21"/>
        </w:rPr>
        <w:t>伦理学</w:t>
      </w:r>
      <w:r>
        <w:rPr>
          <w:rFonts w:hint="eastAsia" w:ascii="宋体" w:hAnsi="宋体" w:eastAsia="宋体" w:cs="B4+cajcd fnta1"/>
          <w:szCs w:val="21"/>
        </w:rPr>
        <w:t>、</w:t>
      </w:r>
      <w:r>
        <w:rPr>
          <w:rFonts w:hint="eastAsia" w:ascii="宋体" w:hAnsi="宋体" w:eastAsia="宋体" w:cs="宋体"/>
          <w:szCs w:val="21"/>
        </w:rPr>
        <w:t>美学</w:t>
      </w:r>
      <w:r>
        <w:rPr>
          <w:rFonts w:hint="eastAsia" w:ascii="宋体" w:hAnsi="宋体" w:eastAsia="宋体" w:cs="B4+cajcd fnta1"/>
          <w:szCs w:val="21"/>
        </w:rPr>
        <w:t>、</w:t>
      </w:r>
      <w:r>
        <w:rPr>
          <w:rFonts w:hint="eastAsia" w:ascii="宋体" w:hAnsi="宋体" w:eastAsia="宋体" w:cs="宋体"/>
          <w:szCs w:val="21"/>
        </w:rPr>
        <w:t>心理学</w:t>
      </w:r>
      <w:r>
        <w:rPr>
          <w:rFonts w:hint="eastAsia" w:ascii="宋体" w:hAnsi="宋体" w:eastAsia="宋体" w:cs="B4+cajcd fnta1"/>
          <w:szCs w:val="21"/>
        </w:rPr>
        <w:t>、</w:t>
      </w:r>
      <w:r>
        <w:rPr>
          <w:rFonts w:hint="eastAsia" w:ascii="宋体" w:hAnsi="宋体" w:eastAsia="宋体" w:cs="宋体"/>
          <w:szCs w:val="21"/>
        </w:rPr>
        <w:t>法学</w:t>
      </w:r>
      <w:r>
        <w:rPr>
          <w:rFonts w:hint="eastAsia" w:ascii="宋体" w:hAnsi="宋体" w:eastAsia="宋体" w:cs="B4+cajcd fnta1"/>
          <w:szCs w:val="21"/>
        </w:rPr>
        <w:t>、</w:t>
      </w:r>
      <w:r>
        <w:rPr>
          <w:rFonts w:hint="eastAsia" w:ascii="宋体" w:hAnsi="宋体" w:eastAsia="宋体" w:cs="宋体"/>
          <w:szCs w:val="21"/>
        </w:rPr>
        <w:t>政治学</w:t>
      </w:r>
      <w:r>
        <w:rPr>
          <w:rFonts w:hint="eastAsia" w:ascii="宋体" w:hAnsi="宋体" w:eastAsia="宋体" w:cs="B4+cajcd fnta1"/>
          <w:szCs w:val="21"/>
        </w:rPr>
        <w:t>、</w:t>
      </w:r>
      <w:r>
        <w:rPr>
          <w:rFonts w:hint="eastAsia" w:ascii="宋体" w:hAnsi="宋体" w:eastAsia="宋体" w:cs="宋体"/>
          <w:szCs w:val="21"/>
        </w:rPr>
        <w:t>系统学</w:t>
      </w:r>
      <w:r>
        <w:rPr>
          <w:rFonts w:hint="eastAsia" w:ascii="宋体" w:hAnsi="宋体" w:eastAsia="宋体" w:cs="B4+cajcd fnta1"/>
          <w:szCs w:val="21"/>
        </w:rPr>
        <w:t>、</w:t>
      </w:r>
      <w:r>
        <w:rPr>
          <w:rFonts w:hint="eastAsia" w:ascii="宋体" w:hAnsi="宋体" w:eastAsia="宋体" w:cs="宋体"/>
          <w:szCs w:val="21"/>
        </w:rPr>
        <w:t>场态学</w:t>
      </w:r>
      <w:r>
        <w:rPr>
          <w:rFonts w:hint="eastAsia" w:ascii="宋体" w:hAnsi="宋体" w:eastAsia="宋体" w:cs="B4+cajcd fnta1"/>
          <w:szCs w:val="21"/>
        </w:rPr>
        <w:t>、</w:t>
      </w:r>
      <w:r>
        <w:rPr>
          <w:rFonts w:hint="eastAsia" w:ascii="宋体" w:hAnsi="宋体" w:eastAsia="宋体" w:cs="宋体"/>
          <w:szCs w:val="21"/>
        </w:rPr>
        <w:t>生物学</w:t>
      </w:r>
      <w:r>
        <w:rPr>
          <w:rFonts w:hint="eastAsia" w:ascii="宋体" w:hAnsi="宋体" w:eastAsia="宋体" w:cs="B4+cajcd fnta1"/>
          <w:szCs w:val="21"/>
        </w:rPr>
        <w:t>、</w:t>
      </w:r>
      <w:r>
        <w:rPr>
          <w:rFonts w:hint="eastAsia" w:ascii="宋体" w:hAnsi="宋体" w:eastAsia="宋体" w:cs="宋体"/>
          <w:szCs w:val="21"/>
        </w:rPr>
        <w:t>数学等多学科的可用方法</w:t>
      </w:r>
      <w:r>
        <w:rPr>
          <w:rFonts w:hint="eastAsia" w:ascii="宋体" w:hAnsi="宋体" w:eastAsia="宋体" w:cs="B4+cajcd fnta1"/>
          <w:szCs w:val="21"/>
        </w:rPr>
        <w:t>。</w:t>
      </w:r>
    </w:p>
    <w:p w14:paraId="7F7A5918">
      <w:pPr>
        <w:autoSpaceDE w:val="0"/>
        <w:autoSpaceDN w:val="0"/>
        <w:spacing w:line="360" w:lineRule="auto"/>
        <w:ind w:firstLine="500" w:firstLineChars="200"/>
        <w:jc w:val="center"/>
        <w:rPr>
          <w:rFonts w:ascii="宋体" w:hAnsi="宋体" w:eastAsia="宋体" w:cs="Times New Roman"/>
          <w:b/>
          <w:bCs/>
          <w:kern w:val="28"/>
          <w:sz w:val="24"/>
          <w:szCs w:val="32"/>
        </w:rPr>
      </w:pPr>
      <w:r>
        <w:rPr>
          <w:rFonts w:hint="eastAsia" w:ascii="宋体" w:hAnsi="宋体" w:eastAsia="宋体" w:cs="Times New Roman"/>
          <w:b/>
          <w:bCs/>
          <w:kern w:val="28"/>
          <w:sz w:val="24"/>
          <w:szCs w:val="32"/>
        </w:rPr>
        <w:t>二</w:t>
      </w:r>
      <w:r>
        <w:rPr>
          <w:rFonts w:hint="eastAsia" w:ascii="宋体" w:hAnsi="宋体" w:eastAsia="宋体" w:cs="B4+cajcd fnta1"/>
          <w:b/>
          <w:bCs/>
          <w:kern w:val="28"/>
          <w:sz w:val="24"/>
          <w:szCs w:val="32"/>
        </w:rPr>
        <w:t>、</w:t>
      </w:r>
      <w:r>
        <w:rPr>
          <w:rFonts w:hint="eastAsia" w:ascii="宋体" w:hAnsi="宋体" w:eastAsia="宋体" w:cs="Times New Roman"/>
          <w:b/>
          <w:bCs/>
          <w:kern w:val="28"/>
          <w:sz w:val="24"/>
          <w:szCs w:val="32"/>
        </w:rPr>
        <w:t>中国马克思主义经济学现代化发展的五大态势</w:t>
      </w:r>
    </w:p>
    <w:p w14:paraId="54E69501">
      <w:pPr>
        <w:spacing w:line="400" w:lineRule="exact"/>
        <w:ind w:firstLine="440" w:firstLineChars="200"/>
        <w:rPr>
          <w:rFonts w:ascii="宋体" w:hAnsi="宋体" w:eastAsia="宋体" w:cs="宋体"/>
          <w:szCs w:val="21"/>
        </w:rPr>
      </w:pPr>
      <w:r>
        <w:rPr>
          <w:rFonts w:hint="eastAsia" w:ascii="宋体" w:hAnsi="宋体" w:eastAsia="宋体" w:cs="宋体"/>
          <w:szCs w:val="21"/>
        </w:rPr>
        <w:t>新中国60年</w:t>
      </w:r>
      <w:r>
        <w:rPr>
          <w:rFonts w:hint="eastAsia" w:ascii="宋体" w:hAnsi="宋体" w:eastAsia="宋体" w:cs="B5+CAJ FNT00"/>
          <w:szCs w:val="21"/>
        </w:rPr>
        <w:t>，</w:t>
      </w:r>
      <w:r>
        <w:rPr>
          <w:rFonts w:hint="eastAsia" w:ascii="宋体" w:hAnsi="宋体" w:eastAsia="宋体" w:cs="宋体"/>
          <w:szCs w:val="21"/>
        </w:rPr>
        <w:t>特别是改革开放以来</w:t>
      </w:r>
      <w:r>
        <w:rPr>
          <w:rFonts w:hint="eastAsia" w:ascii="宋体" w:hAnsi="宋体" w:eastAsia="宋体" w:cs="B5+CAJ FNT00"/>
          <w:szCs w:val="21"/>
        </w:rPr>
        <w:t>，</w:t>
      </w:r>
      <w:r>
        <w:rPr>
          <w:rFonts w:hint="eastAsia" w:ascii="宋体" w:hAnsi="宋体" w:eastAsia="宋体" w:cs="宋体"/>
          <w:szCs w:val="21"/>
        </w:rPr>
        <w:t>我国有一大批老中青马克思主义经济学家事实上是以上述为原则进行理论研究和政策探讨的</w:t>
      </w:r>
      <w:r>
        <w:rPr>
          <w:rFonts w:hint="eastAsia" w:ascii="宋体" w:hAnsi="宋体" w:eastAsia="宋体" w:cs="B5+CAJ FNT00"/>
          <w:szCs w:val="21"/>
        </w:rPr>
        <w:t>，</w:t>
      </w:r>
      <w:r>
        <w:rPr>
          <w:rFonts w:hint="eastAsia" w:ascii="宋体" w:hAnsi="宋体" w:eastAsia="宋体" w:cs="宋体"/>
          <w:szCs w:val="21"/>
        </w:rPr>
        <w:t>传承和创新工作成效显著</w:t>
      </w:r>
      <w:r>
        <w:rPr>
          <w:rFonts w:hint="eastAsia" w:ascii="宋体" w:hAnsi="宋体" w:eastAsia="宋体" w:cs="B4+cajcd fnta1"/>
          <w:szCs w:val="21"/>
        </w:rPr>
        <w:t>。</w:t>
      </w:r>
      <w:r>
        <w:rPr>
          <w:rFonts w:hint="eastAsia" w:ascii="宋体" w:hAnsi="宋体" w:eastAsia="宋体" w:cs="宋体"/>
          <w:szCs w:val="21"/>
        </w:rPr>
        <w:t>近些年有更大的进展</w:t>
      </w:r>
      <w:r>
        <w:rPr>
          <w:rFonts w:hint="eastAsia" w:ascii="宋体" w:hAnsi="宋体" w:eastAsia="宋体" w:cs="B5+CAJ FNT00"/>
          <w:szCs w:val="21"/>
        </w:rPr>
        <w:t>，</w:t>
      </w:r>
      <w:r>
        <w:rPr>
          <w:rFonts w:hint="eastAsia" w:ascii="宋体" w:hAnsi="宋体" w:eastAsia="宋体" w:cs="宋体"/>
          <w:szCs w:val="21"/>
        </w:rPr>
        <w:t>从而中国马克思主义经济学的现代化呈现出五大科学发展态势</w:t>
      </w:r>
      <w:r>
        <w:rPr>
          <w:rFonts w:hint="eastAsia" w:ascii="宋体" w:hAnsi="宋体" w:eastAsia="宋体" w:cs="B4+cajcd fnta1"/>
          <w:szCs w:val="21"/>
        </w:rPr>
        <w:t>。</w:t>
      </w:r>
    </w:p>
    <w:p w14:paraId="0E06203D">
      <w:pPr>
        <w:spacing w:line="400" w:lineRule="exact"/>
        <w:ind w:firstLine="440" w:firstLineChars="200"/>
        <w:rPr>
          <w:rFonts w:ascii="宋体" w:hAnsi="宋体" w:eastAsia="宋体" w:cs="宋体"/>
          <w:szCs w:val="21"/>
        </w:rPr>
      </w:pPr>
      <w:r>
        <w:rPr>
          <w:rFonts w:hint="eastAsia" w:ascii="宋体" w:hAnsi="宋体" w:eastAsia="宋体" w:cs="宋体"/>
          <w:szCs w:val="21"/>
        </w:rPr>
        <w:t>一是注重对重大现实经济问题进行体现科学发展观的理论和政策探讨</w:t>
      </w:r>
      <w:r>
        <w:rPr>
          <w:rFonts w:hint="eastAsia" w:ascii="宋体" w:hAnsi="宋体" w:eastAsia="宋体" w:cs="B4+cajcd fnta1"/>
          <w:szCs w:val="21"/>
        </w:rPr>
        <w:t>。</w:t>
      </w:r>
      <w:r>
        <w:rPr>
          <w:rFonts w:hint="eastAsia" w:ascii="宋体" w:hAnsi="宋体" w:eastAsia="宋体" w:cs="宋体"/>
          <w:szCs w:val="21"/>
        </w:rPr>
        <w:t>中国马克思主义经济学的现代化必须紧密结合马克思主义中国化理论和中国特色社会主义经济理论体系</w:t>
      </w:r>
      <w:r>
        <w:rPr>
          <w:rFonts w:hint="eastAsia" w:ascii="宋体" w:hAnsi="宋体" w:eastAsia="宋体" w:cs="B4+cajcd fnta1"/>
          <w:szCs w:val="21"/>
        </w:rPr>
        <w:t>。</w:t>
      </w:r>
      <w:r>
        <w:rPr>
          <w:rFonts w:hint="eastAsia" w:ascii="宋体" w:hAnsi="宋体" w:eastAsia="宋体" w:cs="宋体"/>
          <w:szCs w:val="21"/>
        </w:rPr>
        <w:t>经济学家于祖尧</w:t>
      </w:r>
      <w:r>
        <w:rPr>
          <w:rFonts w:hint="eastAsia" w:ascii="宋体" w:hAnsi="宋体" w:eastAsia="宋体" w:cs="B4+cajcd fnta1"/>
          <w:szCs w:val="21"/>
        </w:rPr>
        <w:t>、</w:t>
      </w:r>
      <w:r>
        <w:rPr>
          <w:rFonts w:hint="eastAsia" w:ascii="宋体" w:hAnsi="宋体" w:eastAsia="宋体" w:cs="宋体"/>
          <w:szCs w:val="21"/>
        </w:rPr>
        <w:t>项启源</w:t>
      </w:r>
      <w:r>
        <w:rPr>
          <w:rFonts w:hint="eastAsia" w:ascii="宋体" w:hAnsi="宋体" w:eastAsia="宋体" w:cs="B4+cajcd fnta1"/>
          <w:szCs w:val="21"/>
        </w:rPr>
        <w:t>、</w:t>
      </w:r>
      <w:r>
        <w:rPr>
          <w:rFonts w:hint="eastAsia" w:ascii="宋体" w:hAnsi="宋体" w:eastAsia="宋体" w:cs="宋体"/>
          <w:szCs w:val="21"/>
        </w:rPr>
        <w:t>杨圣明</w:t>
      </w:r>
      <w:r>
        <w:rPr>
          <w:rFonts w:hint="eastAsia" w:ascii="宋体" w:hAnsi="宋体" w:eastAsia="宋体" w:cs="B4+cajcd fnta1"/>
          <w:szCs w:val="21"/>
        </w:rPr>
        <w:t>、</w:t>
      </w:r>
      <w:r>
        <w:rPr>
          <w:rFonts w:hint="eastAsia" w:ascii="宋体" w:hAnsi="宋体" w:eastAsia="宋体" w:cs="宋体"/>
          <w:szCs w:val="21"/>
        </w:rPr>
        <w:t>吴树青</w:t>
      </w:r>
      <w:r>
        <w:rPr>
          <w:rFonts w:hint="eastAsia" w:ascii="宋体" w:hAnsi="宋体" w:eastAsia="宋体" w:cs="B4+cajcd fnta1"/>
          <w:szCs w:val="21"/>
        </w:rPr>
        <w:t>、</w:t>
      </w:r>
      <w:r>
        <w:rPr>
          <w:rFonts w:hint="eastAsia" w:ascii="宋体" w:hAnsi="宋体" w:eastAsia="宋体" w:cs="宋体"/>
          <w:szCs w:val="21"/>
        </w:rPr>
        <w:t>卫兴华</w:t>
      </w:r>
      <w:r>
        <w:rPr>
          <w:rFonts w:hint="eastAsia" w:ascii="宋体" w:hAnsi="宋体" w:eastAsia="宋体" w:cs="B4+cajcd fnta1"/>
          <w:szCs w:val="21"/>
        </w:rPr>
        <w:t>、</w:t>
      </w:r>
      <w:r>
        <w:rPr>
          <w:rFonts w:hint="eastAsia" w:ascii="宋体" w:hAnsi="宋体" w:eastAsia="宋体" w:cs="宋体"/>
          <w:szCs w:val="21"/>
        </w:rPr>
        <w:t>纪宝成</w:t>
      </w:r>
      <w:r>
        <w:rPr>
          <w:rFonts w:hint="eastAsia" w:ascii="宋体" w:hAnsi="宋体" w:eastAsia="宋体" w:cs="B4+cajcd fnta1"/>
          <w:szCs w:val="21"/>
        </w:rPr>
        <w:t>、</w:t>
      </w:r>
      <w:r>
        <w:rPr>
          <w:rFonts w:hint="eastAsia" w:ascii="宋体" w:hAnsi="宋体" w:eastAsia="宋体" w:cs="宋体"/>
          <w:szCs w:val="21"/>
        </w:rPr>
        <w:t>张宇等已发表了许多论著</w:t>
      </w:r>
      <w:r>
        <w:rPr>
          <w:rFonts w:hint="eastAsia" w:ascii="宋体" w:hAnsi="宋体" w:eastAsia="宋体" w:cs="B5+CAJ FNT00"/>
          <w:szCs w:val="21"/>
        </w:rPr>
        <w:t>,</w:t>
      </w:r>
      <w:r>
        <w:rPr>
          <w:rFonts w:hint="eastAsia" w:ascii="宋体" w:hAnsi="宋体" w:eastAsia="宋体" w:cs="宋体"/>
          <w:szCs w:val="21"/>
        </w:rPr>
        <w:t>准确阐发马克思主义中国化的最新理论成果</w:t>
      </w:r>
      <w:r>
        <w:rPr>
          <w:rFonts w:hint="eastAsia" w:ascii="宋体" w:hAnsi="宋体" w:eastAsia="宋体" w:cs="B4+cajcd fnta1"/>
          <w:szCs w:val="21"/>
        </w:rPr>
        <w:t>。</w:t>
      </w:r>
      <w:r>
        <w:rPr>
          <w:rFonts w:hint="eastAsia" w:ascii="宋体" w:hAnsi="宋体" w:eastAsia="宋体" w:cs="宋体"/>
          <w:szCs w:val="21"/>
        </w:rPr>
        <w:t>近年来</w:t>
      </w:r>
      <w:r>
        <w:rPr>
          <w:rFonts w:hint="eastAsia" w:ascii="宋体" w:hAnsi="宋体" w:eastAsia="宋体" w:cs="B5+CAJ FNT00"/>
          <w:szCs w:val="21"/>
        </w:rPr>
        <w:t>，</w:t>
      </w:r>
      <w:r>
        <w:rPr>
          <w:rFonts w:hint="eastAsia" w:ascii="宋体" w:hAnsi="宋体" w:eastAsia="宋体" w:cs="宋体"/>
          <w:szCs w:val="21"/>
        </w:rPr>
        <w:t>著名经济学家刘国光依据党的十七大精神</w:t>
      </w:r>
      <w:r>
        <w:rPr>
          <w:rFonts w:hint="eastAsia" w:ascii="宋体" w:hAnsi="宋体" w:eastAsia="宋体" w:cs="B5+CAJ FNT00"/>
          <w:szCs w:val="21"/>
        </w:rPr>
        <w:t>，</w:t>
      </w:r>
      <w:r>
        <w:rPr>
          <w:rFonts w:hint="eastAsia" w:ascii="宋体" w:hAnsi="宋体" w:eastAsia="宋体" w:cs="宋体"/>
          <w:szCs w:val="21"/>
        </w:rPr>
        <w:t>又撰文阐明</w:t>
      </w:r>
      <w:r>
        <w:rPr>
          <w:rFonts w:hint="eastAsia" w:ascii="宋体" w:hAnsi="宋体" w:eastAsia="宋体" w:cs="B4+cajcd fnta1"/>
          <w:szCs w:val="21"/>
        </w:rPr>
        <w:t>“</w:t>
      </w:r>
      <w:r>
        <w:rPr>
          <w:rFonts w:hint="eastAsia" w:ascii="宋体" w:hAnsi="宋体" w:eastAsia="宋体" w:cs="宋体"/>
          <w:szCs w:val="21"/>
        </w:rPr>
        <w:t>发挥国家计划在宏观调控中的导向作用</w:t>
      </w:r>
      <w:r>
        <w:rPr>
          <w:rFonts w:hint="eastAsia" w:ascii="宋体" w:hAnsi="宋体" w:eastAsia="宋体" w:cs="B4+cajcd fnta1"/>
          <w:szCs w:val="21"/>
        </w:rPr>
        <w:t>”</w:t>
      </w:r>
      <w:r>
        <w:rPr>
          <w:rFonts w:hint="eastAsia" w:ascii="宋体" w:hAnsi="宋体" w:eastAsia="宋体" w:cs="宋体"/>
          <w:szCs w:val="21"/>
        </w:rPr>
        <w:t>的意义</w:t>
      </w:r>
      <w:r>
        <w:rPr>
          <w:rFonts w:hint="eastAsia" w:ascii="宋体" w:hAnsi="宋体" w:eastAsia="宋体" w:cs="B5+CAJ FNT00"/>
          <w:szCs w:val="21"/>
        </w:rPr>
        <w:t>，</w:t>
      </w:r>
      <w:r>
        <w:rPr>
          <w:rFonts w:hint="eastAsia" w:ascii="宋体" w:hAnsi="宋体" w:eastAsia="宋体" w:cs="宋体"/>
          <w:szCs w:val="21"/>
        </w:rPr>
        <w:t>指出国家计划同财政政策</w:t>
      </w:r>
      <w:r>
        <w:rPr>
          <w:rFonts w:hint="eastAsia" w:ascii="宋体" w:hAnsi="宋体" w:eastAsia="宋体" w:cs="B4+cajcd fnta1"/>
          <w:szCs w:val="21"/>
        </w:rPr>
        <w:t>、</w:t>
      </w:r>
      <w:r>
        <w:rPr>
          <w:rFonts w:hint="eastAsia" w:ascii="宋体" w:hAnsi="宋体" w:eastAsia="宋体" w:cs="宋体"/>
          <w:szCs w:val="21"/>
        </w:rPr>
        <w:t>货币政策一样</w:t>
      </w:r>
      <w:r>
        <w:rPr>
          <w:rFonts w:hint="eastAsia" w:ascii="宋体" w:hAnsi="宋体" w:eastAsia="宋体" w:cs="B5+CAJ FNT00"/>
          <w:szCs w:val="21"/>
        </w:rPr>
        <w:t>，</w:t>
      </w:r>
      <w:r>
        <w:rPr>
          <w:rFonts w:hint="eastAsia" w:ascii="宋体" w:hAnsi="宋体" w:eastAsia="宋体" w:cs="宋体"/>
          <w:szCs w:val="21"/>
        </w:rPr>
        <w:t>是重要的宏观调控手段</w:t>
      </w:r>
      <w:r>
        <w:rPr>
          <w:rFonts w:hint="eastAsia" w:ascii="宋体" w:hAnsi="宋体" w:eastAsia="宋体" w:cs="B5+CAJ FNT00"/>
          <w:szCs w:val="21"/>
        </w:rPr>
        <w:t>，</w:t>
      </w:r>
      <w:r>
        <w:rPr>
          <w:rFonts w:hint="eastAsia" w:ascii="宋体" w:hAnsi="宋体" w:eastAsia="宋体" w:cs="宋体"/>
          <w:szCs w:val="21"/>
        </w:rPr>
        <w:t>强调市场必须</w:t>
      </w:r>
      <w:r>
        <w:rPr>
          <w:rFonts w:hint="eastAsia" w:ascii="宋体" w:hAnsi="宋体" w:eastAsia="宋体" w:cs="B4+cajcd fnta1"/>
          <w:szCs w:val="21"/>
        </w:rPr>
        <w:t>“</w:t>
      </w:r>
      <w:r>
        <w:rPr>
          <w:rFonts w:hint="eastAsia" w:ascii="宋体" w:hAnsi="宋体" w:eastAsia="宋体" w:cs="宋体"/>
          <w:szCs w:val="21"/>
        </w:rPr>
        <w:t>在国家宏观调控下</w:t>
      </w:r>
      <w:r>
        <w:rPr>
          <w:rFonts w:hint="eastAsia" w:ascii="宋体" w:hAnsi="宋体" w:eastAsia="宋体" w:cs="B4+cajcd fnta1"/>
          <w:szCs w:val="21"/>
        </w:rPr>
        <w:t>”</w:t>
      </w:r>
      <w:r>
        <w:rPr>
          <w:rFonts w:hint="eastAsia" w:ascii="宋体" w:hAnsi="宋体" w:eastAsia="宋体" w:cs="宋体"/>
          <w:szCs w:val="21"/>
        </w:rPr>
        <w:t>起资源配置的基础性作用是非常重要的；阐明</w:t>
      </w:r>
      <w:r>
        <w:rPr>
          <w:rFonts w:hint="eastAsia" w:ascii="宋体" w:hAnsi="宋体" w:eastAsia="宋体" w:cs="B4+cajcd fnta1"/>
          <w:szCs w:val="21"/>
        </w:rPr>
        <w:t>“</w:t>
      </w:r>
      <w:r>
        <w:rPr>
          <w:rFonts w:hint="eastAsia" w:ascii="宋体" w:hAnsi="宋体" w:eastAsia="宋体" w:cs="宋体"/>
          <w:szCs w:val="21"/>
        </w:rPr>
        <w:t>坚持和完善基本经济制度</w:t>
      </w:r>
      <w:r>
        <w:rPr>
          <w:rFonts w:hint="eastAsia" w:ascii="宋体" w:hAnsi="宋体" w:eastAsia="宋体" w:cs="B4+cajcd fnta1"/>
          <w:szCs w:val="21"/>
        </w:rPr>
        <w:t>”</w:t>
      </w:r>
      <w:r>
        <w:rPr>
          <w:rFonts w:hint="eastAsia" w:ascii="宋体" w:hAnsi="宋体" w:eastAsia="宋体" w:cs="宋体"/>
          <w:szCs w:val="21"/>
        </w:rPr>
        <w:t>的意义</w:t>
      </w:r>
      <w:r>
        <w:rPr>
          <w:rFonts w:hint="eastAsia" w:ascii="宋体" w:hAnsi="宋体" w:eastAsia="宋体" w:cs="B5+CAJ FNT00"/>
          <w:szCs w:val="21"/>
        </w:rPr>
        <w:t>，</w:t>
      </w:r>
      <w:r>
        <w:rPr>
          <w:rFonts w:hint="eastAsia" w:ascii="宋体" w:hAnsi="宋体" w:eastAsia="宋体" w:cs="宋体"/>
          <w:szCs w:val="21"/>
        </w:rPr>
        <w:t>提出公有制在社会总资产和经营性资产中占优势比例可能丧失这个问题；阐明我国贫富差距扩大最根本的原因在于所有制结构的变化</w:t>
      </w:r>
      <w:r>
        <w:rPr>
          <w:rFonts w:hint="eastAsia" w:ascii="宋体" w:hAnsi="宋体" w:eastAsia="宋体" w:cs="B5+CAJ FNT00"/>
          <w:szCs w:val="21"/>
        </w:rPr>
        <w:t>，</w:t>
      </w:r>
      <w:r>
        <w:rPr>
          <w:rFonts w:hint="eastAsia" w:ascii="宋体" w:hAnsi="宋体" w:eastAsia="宋体" w:cs="宋体"/>
          <w:szCs w:val="21"/>
        </w:rPr>
        <w:t>需要从基本经济制度来最终地阻止向两极分化推进趋势；阐明经济建设为中心与阶级斗争的关系</w:t>
      </w:r>
      <w:r>
        <w:rPr>
          <w:rFonts w:hint="eastAsia" w:ascii="宋体" w:hAnsi="宋体" w:eastAsia="宋体" w:cs="B5+CAJ FNT00"/>
          <w:szCs w:val="21"/>
        </w:rPr>
        <w:t>，</w:t>
      </w:r>
      <w:r>
        <w:rPr>
          <w:rFonts w:hint="eastAsia" w:ascii="宋体" w:hAnsi="宋体" w:eastAsia="宋体" w:cs="宋体"/>
          <w:szCs w:val="21"/>
        </w:rPr>
        <w:t>提出不能放弃作为马克思主义基本分析方法的阶级分析方法</w:t>
      </w:r>
      <w:r>
        <w:rPr>
          <w:rFonts w:hint="eastAsia" w:ascii="宋体" w:hAnsi="宋体" w:eastAsia="宋体" w:cs="B4+cajcd fnta1"/>
          <w:szCs w:val="21"/>
        </w:rPr>
        <w:t>。</w:t>
      </w:r>
      <w:r>
        <w:rPr>
          <w:rFonts w:hint="eastAsia" w:ascii="宋体" w:hAnsi="宋体" w:eastAsia="宋体" w:cs="宋体"/>
          <w:szCs w:val="21"/>
        </w:rPr>
        <w:t>经济学家杨承训探讨科学发展观与社会主义市场经济的依存机理</w:t>
      </w:r>
      <w:r>
        <w:rPr>
          <w:rFonts w:hint="eastAsia" w:ascii="宋体" w:hAnsi="宋体" w:eastAsia="宋体" w:cs="B5+CAJ FNT00"/>
          <w:szCs w:val="21"/>
        </w:rPr>
        <w:t>，</w:t>
      </w:r>
      <w:r>
        <w:rPr>
          <w:rFonts w:hint="eastAsia" w:ascii="宋体" w:hAnsi="宋体" w:eastAsia="宋体" w:cs="宋体"/>
          <w:szCs w:val="21"/>
        </w:rPr>
        <w:t>认为完善的社会主义市场经济体制为科学发展提供保障</w:t>
      </w:r>
      <w:r>
        <w:rPr>
          <w:rFonts w:hint="eastAsia" w:ascii="宋体" w:hAnsi="宋体" w:eastAsia="宋体" w:cs="B5+CAJ FNT00"/>
          <w:szCs w:val="21"/>
        </w:rPr>
        <w:t>,</w:t>
      </w:r>
      <w:r>
        <w:rPr>
          <w:rFonts w:hint="eastAsia" w:ascii="宋体" w:hAnsi="宋体" w:eastAsia="宋体" w:cs="宋体"/>
          <w:szCs w:val="21"/>
        </w:rPr>
        <w:t>针对市场经济的缺陷</w:t>
      </w:r>
      <w:r>
        <w:rPr>
          <w:rFonts w:hint="eastAsia" w:ascii="宋体" w:hAnsi="宋体" w:eastAsia="宋体" w:cs="B5+CAJ FNT00"/>
          <w:szCs w:val="21"/>
        </w:rPr>
        <w:t>，</w:t>
      </w:r>
      <w:r>
        <w:rPr>
          <w:rFonts w:hint="eastAsia" w:ascii="宋体" w:hAnsi="宋体" w:eastAsia="宋体" w:cs="宋体"/>
          <w:szCs w:val="21"/>
        </w:rPr>
        <w:t>须用科学发展观引领社会主义市场经济健康发展</w:t>
      </w:r>
      <w:r>
        <w:rPr>
          <w:rFonts w:hint="eastAsia" w:ascii="宋体" w:hAnsi="宋体" w:eastAsia="宋体" w:cs="B4+cajcd fnta1"/>
          <w:szCs w:val="21"/>
        </w:rPr>
        <w:t>。</w:t>
      </w:r>
      <w:r>
        <w:rPr>
          <w:rFonts w:hint="eastAsia" w:ascii="宋体" w:hAnsi="宋体" w:eastAsia="宋体" w:cs="宋体"/>
          <w:szCs w:val="21"/>
        </w:rPr>
        <w:t>笔者关于知识产权优势理论和发展战略</w:t>
      </w:r>
      <w:r>
        <w:rPr>
          <w:rFonts w:hint="eastAsia" w:ascii="宋体" w:hAnsi="宋体" w:eastAsia="宋体" w:cs="B4+cajcd fnta1"/>
          <w:szCs w:val="21"/>
        </w:rPr>
        <w:t>、</w:t>
      </w:r>
      <w:r>
        <w:rPr>
          <w:rFonts w:hint="eastAsia" w:ascii="宋体" w:hAnsi="宋体" w:eastAsia="宋体" w:cs="宋体"/>
          <w:szCs w:val="21"/>
        </w:rPr>
        <w:t>转变对内对外经济发展方式</w:t>
      </w:r>
      <w:r>
        <w:rPr>
          <w:rFonts w:hint="eastAsia" w:ascii="宋体" w:hAnsi="宋体" w:eastAsia="宋体" w:cs="B4+cajcd fnta1"/>
          <w:szCs w:val="21"/>
        </w:rPr>
        <w:t>、</w:t>
      </w:r>
      <w:r>
        <w:rPr>
          <w:rFonts w:hint="eastAsia" w:ascii="宋体" w:hAnsi="宋体" w:eastAsia="宋体" w:cs="宋体"/>
          <w:szCs w:val="21"/>
        </w:rPr>
        <w:t>先控后减的新人口改策论</w:t>
      </w:r>
      <w:r>
        <w:rPr>
          <w:rFonts w:hint="eastAsia" w:ascii="宋体" w:hAnsi="宋体" w:eastAsia="宋体" w:cs="B4+cajcd fnta1"/>
          <w:szCs w:val="21"/>
        </w:rPr>
        <w:t>、</w:t>
      </w:r>
      <w:r>
        <w:rPr>
          <w:rFonts w:hint="eastAsia" w:ascii="宋体" w:hAnsi="宋体" w:eastAsia="宋体" w:cs="宋体"/>
          <w:szCs w:val="21"/>
        </w:rPr>
        <w:t>集体经济和合作经济理论和政策以及养老保障体制调整等观点</w:t>
      </w:r>
      <w:r>
        <w:rPr>
          <w:rFonts w:hint="eastAsia" w:ascii="宋体" w:hAnsi="宋体" w:eastAsia="宋体" w:cs="B5+CAJ FNT00"/>
          <w:szCs w:val="21"/>
        </w:rPr>
        <w:t>，</w:t>
      </w:r>
      <w:r>
        <w:rPr>
          <w:rFonts w:hint="eastAsia" w:ascii="宋体" w:hAnsi="宋体" w:eastAsia="宋体" w:cs="宋体"/>
          <w:szCs w:val="21"/>
        </w:rPr>
        <w:t>促进了科学发展观经济层面的深人探讨</w:t>
      </w:r>
      <w:r>
        <w:rPr>
          <w:rFonts w:hint="eastAsia" w:ascii="宋体" w:hAnsi="宋体" w:eastAsia="宋体" w:cs="B4+cajcd fnta1"/>
          <w:szCs w:val="21"/>
        </w:rPr>
        <w:t>。</w:t>
      </w:r>
    </w:p>
    <w:p w14:paraId="22BC97B7">
      <w:pPr>
        <w:spacing w:line="400" w:lineRule="exact"/>
        <w:ind w:firstLine="440" w:firstLineChars="200"/>
        <w:rPr>
          <w:rFonts w:ascii="宋体" w:hAnsi="宋体" w:eastAsia="宋体" w:cs="宋体"/>
          <w:szCs w:val="21"/>
        </w:rPr>
      </w:pPr>
      <w:r>
        <w:rPr>
          <w:rFonts w:hint="eastAsia" w:ascii="宋体" w:hAnsi="宋体" w:eastAsia="宋体" w:cs="宋体"/>
          <w:szCs w:val="21"/>
        </w:rPr>
        <w:t>二是注重对经济学原理的超越性发展</w:t>
      </w:r>
      <w:r>
        <w:rPr>
          <w:rFonts w:hint="eastAsia" w:ascii="宋体" w:hAnsi="宋体" w:eastAsia="宋体" w:cs="B4+cajcd fnta1"/>
          <w:szCs w:val="21"/>
        </w:rPr>
        <w:t>。</w:t>
      </w:r>
      <w:r>
        <w:rPr>
          <w:rFonts w:hint="eastAsia" w:ascii="宋体" w:hAnsi="宋体" w:eastAsia="宋体" w:cs="宋体"/>
          <w:szCs w:val="21"/>
        </w:rPr>
        <w:t>中国马克思主义经济学的现代化必须加强马克思主义经济学的方法</w:t>
      </w:r>
      <w:r>
        <w:rPr>
          <w:rFonts w:hint="eastAsia" w:ascii="宋体" w:hAnsi="宋体" w:eastAsia="宋体" w:cs="B4+cajcd fnta1"/>
          <w:szCs w:val="21"/>
        </w:rPr>
        <w:t>、</w:t>
      </w:r>
      <w:r>
        <w:rPr>
          <w:rFonts w:hint="eastAsia" w:ascii="宋体" w:hAnsi="宋体" w:eastAsia="宋体" w:cs="宋体"/>
          <w:szCs w:val="21"/>
        </w:rPr>
        <w:t>假设</w:t>
      </w:r>
      <w:r>
        <w:rPr>
          <w:rFonts w:hint="eastAsia" w:ascii="宋体" w:hAnsi="宋体" w:eastAsia="宋体" w:cs="B4+cajcd fnta1"/>
          <w:szCs w:val="21"/>
        </w:rPr>
        <w:t>、</w:t>
      </w:r>
      <w:r>
        <w:rPr>
          <w:rFonts w:hint="eastAsia" w:ascii="宋体" w:hAnsi="宋体" w:eastAsia="宋体" w:cs="宋体"/>
          <w:szCs w:val="21"/>
        </w:rPr>
        <w:t>原理的学术创新</w:t>
      </w:r>
      <w:r>
        <w:rPr>
          <w:rFonts w:hint="eastAsia" w:ascii="宋体" w:hAnsi="宋体" w:eastAsia="宋体" w:cs="B4+cajcd fnta1"/>
          <w:szCs w:val="21"/>
        </w:rPr>
        <w:t>。</w:t>
      </w:r>
      <w:r>
        <w:rPr>
          <w:rFonts w:hint="eastAsia" w:ascii="宋体" w:hAnsi="宋体" w:eastAsia="宋体" w:cs="宋体"/>
          <w:szCs w:val="21"/>
        </w:rPr>
        <w:t>现代马克思主义经济学已经强调理论假设和研究方法的现实性</w:t>
      </w:r>
      <w:r>
        <w:rPr>
          <w:rFonts w:hint="eastAsia" w:ascii="宋体" w:hAnsi="宋体" w:eastAsia="宋体" w:cs="B4+cajcd fnta1"/>
          <w:szCs w:val="21"/>
        </w:rPr>
        <w:t>、</w:t>
      </w:r>
      <w:r>
        <w:rPr>
          <w:rFonts w:hint="eastAsia" w:ascii="宋体" w:hAnsi="宋体" w:eastAsia="宋体" w:cs="宋体"/>
          <w:szCs w:val="21"/>
        </w:rPr>
        <w:t>科学性和辩证性</w:t>
      </w:r>
      <w:r>
        <w:rPr>
          <w:rFonts w:hint="eastAsia" w:ascii="宋体" w:hAnsi="宋体" w:eastAsia="宋体" w:cs="B5+CAJ FNT00"/>
          <w:szCs w:val="21"/>
        </w:rPr>
        <w:t>，</w:t>
      </w:r>
      <w:r>
        <w:rPr>
          <w:rFonts w:hint="eastAsia" w:ascii="宋体" w:hAnsi="宋体" w:eastAsia="宋体" w:cs="宋体"/>
          <w:szCs w:val="21"/>
        </w:rPr>
        <w:t>因而具有更大的理论认知功能和社会建设功能</w:t>
      </w:r>
      <w:r>
        <w:rPr>
          <w:rFonts w:hint="eastAsia" w:ascii="宋体" w:hAnsi="宋体" w:eastAsia="宋体" w:cs="B4+cajcd fnta1"/>
          <w:szCs w:val="21"/>
        </w:rPr>
        <w:t>。</w:t>
      </w:r>
      <w:r>
        <w:rPr>
          <w:rFonts w:hint="eastAsia" w:ascii="宋体" w:hAnsi="宋体" w:eastAsia="宋体" w:cs="宋体"/>
          <w:szCs w:val="21"/>
        </w:rPr>
        <w:t>以</w:t>
      </w:r>
      <w:r>
        <w:rPr>
          <w:rFonts w:hint="eastAsia" w:ascii="宋体" w:hAnsi="宋体" w:eastAsia="宋体" w:cs="B4+cajcd fnta1"/>
          <w:szCs w:val="21"/>
        </w:rPr>
        <w:t>《</w:t>
      </w:r>
      <w:r>
        <w:rPr>
          <w:rFonts w:hint="eastAsia" w:ascii="宋体" w:hAnsi="宋体" w:eastAsia="宋体" w:cs="宋体"/>
          <w:szCs w:val="21"/>
        </w:rPr>
        <w:t>中国社会科学</w:t>
      </w:r>
      <w:r>
        <w:rPr>
          <w:rFonts w:hint="eastAsia" w:ascii="宋体" w:hAnsi="宋体" w:eastAsia="宋体" w:cs="B4+cajcd fnta1"/>
          <w:szCs w:val="21"/>
        </w:rPr>
        <w:t>》</w:t>
      </w:r>
      <w:r>
        <w:rPr>
          <w:rFonts w:hint="eastAsia" w:ascii="宋体" w:hAnsi="宋体" w:eastAsia="宋体" w:cs="宋体"/>
          <w:szCs w:val="21"/>
        </w:rPr>
        <w:t>去年发表的两篇论文为例</w:t>
      </w:r>
      <w:r>
        <w:rPr>
          <w:rFonts w:hint="eastAsia" w:ascii="宋体" w:hAnsi="宋体" w:eastAsia="宋体" w:cs="B4+cajcd fnta1"/>
          <w:szCs w:val="21"/>
        </w:rPr>
        <w:t>。</w:t>
      </w:r>
      <w:r>
        <w:rPr>
          <w:rFonts w:hint="eastAsia" w:ascii="宋体" w:hAnsi="宋体" w:eastAsia="宋体" w:cs="宋体"/>
          <w:szCs w:val="21"/>
        </w:rPr>
        <w:t>笔者在</w:t>
      </w:r>
      <w:r>
        <w:rPr>
          <w:rFonts w:hint="eastAsia" w:ascii="宋体" w:hAnsi="宋体" w:eastAsia="宋体" w:cs="B4+cajcd fnta1"/>
          <w:szCs w:val="21"/>
        </w:rPr>
        <w:t>《</w:t>
      </w:r>
      <w:r>
        <w:rPr>
          <w:rFonts w:hint="eastAsia" w:ascii="宋体" w:hAnsi="宋体" w:eastAsia="宋体" w:cs="宋体"/>
          <w:szCs w:val="21"/>
        </w:rPr>
        <w:t>现代马克思主义政治经济学的四大理论假设</w:t>
      </w:r>
      <w:r>
        <w:rPr>
          <w:rFonts w:hint="eastAsia" w:ascii="宋体" w:hAnsi="宋体" w:eastAsia="宋体" w:cs="B4+cajcd fnta1"/>
          <w:szCs w:val="21"/>
        </w:rPr>
        <w:t>》</w:t>
      </w:r>
      <w:r>
        <w:rPr>
          <w:rFonts w:hint="eastAsia" w:ascii="宋体" w:hAnsi="宋体" w:eastAsia="宋体" w:cs="宋体"/>
          <w:szCs w:val="21"/>
        </w:rPr>
        <w:t>长文中</w:t>
      </w:r>
      <w:r>
        <w:rPr>
          <w:rFonts w:hint="eastAsia" w:ascii="宋体" w:hAnsi="宋体" w:eastAsia="宋体" w:cs="B5+CAJ FNT00"/>
          <w:szCs w:val="21"/>
        </w:rPr>
        <w:t>，</w:t>
      </w:r>
      <w:r>
        <w:rPr>
          <w:rFonts w:hint="eastAsia" w:ascii="宋体" w:hAnsi="宋体" w:eastAsia="宋体" w:cs="宋体"/>
          <w:szCs w:val="21"/>
        </w:rPr>
        <w:t>主张在坚持马克思主义政治经济学基本精神与批判现代西方主流经济学假设的基础上</w:t>
      </w:r>
      <w:r>
        <w:rPr>
          <w:rFonts w:hint="eastAsia" w:ascii="宋体" w:hAnsi="宋体" w:eastAsia="宋体" w:cs="B5+CAJ FNT00"/>
          <w:szCs w:val="21"/>
        </w:rPr>
        <w:t>，</w:t>
      </w:r>
      <w:r>
        <w:rPr>
          <w:rFonts w:hint="eastAsia" w:ascii="宋体" w:hAnsi="宋体" w:eastAsia="宋体" w:cs="宋体"/>
          <w:szCs w:val="21"/>
        </w:rPr>
        <w:t>现代马克思主义政治经济学需提出并坚持四大理论假设</w:t>
      </w:r>
      <w:r>
        <w:rPr>
          <w:rFonts w:hint="eastAsia" w:ascii="宋体" w:hAnsi="宋体" w:eastAsia="宋体" w:cs="B5+CAJ FNT00"/>
          <w:szCs w:val="21"/>
        </w:rPr>
        <w:t>，</w:t>
      </w:r>
      <w:r>
        <w:rPr>
          <w:rFonts w:hint="eastAsia" w:ascii="宋体" w:hAnsi="宋体" w:eastAsia="宋体" w:cs="宋体"/>
          <w:szCs w:val="21"/>
        </w:rPr>
        <w:t>即</w:t>
      </w:r>
      <w:r>
        <w:rPr>
          <w:rFonts w:hint="eastAsia" w:ascii="宋体" w:hAnsi="宋体" w:eastAsia="宋体" w:cs="B4+cajcd fnta1"/>
          <w:szCs w:val="21"/>
        </w:rPr>
        <w:t>“</w:t>
      </w:r>
      <w:r>
        <w:rPr>
          <w:rFonts w:hint="eastAsia" w:ascii="宋体" w:hAnsi="宋体" w:eastAsia="宋体" w:cs="宋体"/>
          <w:szCs w:val="21"/>
        </w:rPr>
        <w:t>新的活劳动创造价值假设</w:t>
      </w:r>
      <w:r>
        <w:rPr>
          <w:rFonts w:hint="eastAsia" w:ascii="宋体" w:hAnsi="宋体" w:eastAsia="宋体" w:cs="B4+cajcd fnta1"/>
          <w:szCs w:val="21"/>
        </w:rPr>
        <w:t>”、“</w:t>
      </w:r>
      <w:r>
        <w:rPr>
          <w:rFonts w:hint="eastAsia" w:ascii="宋体" w:hAnsi="宋体" w:eastAsia="宋体" w:cs="宋体"/>
          <w:szCs w:val="21"/>
        </w:rPr>
        <w:t>利己和利他经济人假设</w:t>
      </w:r>
      <w:r>
        <w:rPr>
          <w:rFonts w:hint="eastAsia" w:ascii="宋体" w:hAnsi="宋体" w:eastAsia="宋体" w:cs="B4+cajcd fnta1"/>
          <w:szCs w:val="21"/>
        </w:rPr>
        <w:t>”、“</w:t>
      </w:r>
      <w:r>
        <w:rPr>
          <w:rFonts w:hint="eastAsia" w:ascii="宋体" w:hAnsi="宋体" w:eastAsia="宋体" w:cs="宋体"/>
          <w:szCs w:val="21"/>
        </w:rPr>
        <w:t>资源和需要双约束假设</w:t>
      </w:r>
      <w:r>
        <w:rPr>
          <w:rFonts w:hint="eastAsia" w:ascii="宋体" w:hAnsi="宋体" w:eastAsia="宋体" w:cs="B4+cajcd fnta1"/>
          <w:szCs w:val="21"/>
        </w:rPr>
        <w:t>”、“</w:t>
      </w:r>
      <w:r>
        <w:rPr>
          <w:rFonts w:hint="eastAsia" w:ascii="宋体" w:hAnsi="宋体" w:eastAsia="宋体" w:cs="宋体"/>
          <w:szCs w:val="21"/>
        </w:rPr>
        <w:t>公平与效率互促同向变动假设</w:t>
      </w:r>
      <w:r>
        <w:rPr>
          <w:rFonts w:hint="eastAsia" w:ascii="宋体" w:hAnsi="宋体" w:eastAsia="宋体" w:cs="B4+cajcd fnta1"/>
          <w:szCs w:val="21"/>
        </w:rPr>
        <w:t>”。</w:t>
      </w:r>
      <w:r>
        <w:rPr>
          <w:rFonts w:hint="eastAsia" w:ascii="宋体" w:hAnsi="宋体" w:eastAsia="宋体" w:cs="宋体"/>
          <w:szCs w:val="21"/>
        </w:rPr>
        <w:t>经济学家何干强在</w:t>
      </w:r>
      <w:r>
        <w:rPr>
          <w:rFonts w:hint="eastAsia" w:ascii="宋体" w:hAnsi="宋体" w:eastAsia="宋体" w:cs="B4+cajcd fnta1"/>
          <w:szCs w:val="21"/>
        </w:rPr>
        <w:t>《</w:t>
      </w:r>
      <w:r>
        <w:rPr>
          <w:rFonts w:hint="eastAsia" w:ascii="宋体" w:hAnsi="宋体" w:eastAsia="宋体" w:cs="宋体"/>
          <w:szCs w:val="21"/>
        </w:rPr>
        <w:t>论唯物史观的经济分析范式</w:t>
      </w:r>
      <w:r>
        <w:rPr>
          <w:rFonts w:hint="eastAsia" w:ascii="宋体" w:hAnsi="宋体" w:eastAsia="宋体" w:cs="B4+cajcd fnta1"/>
          <w:szCs w:val="21"/>
        </w:rPr>
        <w:t>》</w:t>
      </w:r>
      <w:r>
        <w:rPr>
          <w:rFonts w:hint="eastAsia" w:ascii="宋体" w:hAnsi="宋体" w:eastAsia="宋体" w:cs="宋体"/>
          <w:szCs w:val="21"/>
        </w:rPr>
        <w:t>一文中</w:t>
      </w:r>
      <w:r>
        <w:rPr>
          <w:rFonts w:hint="eastAsia" w:ascii="宋体" w:hAnsi="宋体" w:eastAsia="宋体" w:cs="B5+CAJ FNT00"/>
          <w:szCs w:val="21"/>
        </w:rPr>
        <w:t>，</w:t>
      </w:r>
      <w:r>
        <w:rPr>
          <w:rFonts w:hint="eastAsia" w:ascii="宋体" w:hAnsi="宋体" w:eastAsia="宋体" w:cs="宋体"/>
          <w:szCs w:val="21"/>
        </w:rPr>
        <w:t>论述思维中应当自觉运用的经济辩证法是客观辩证法在经济领域的特殊形式在头脑中的反映</w:t>
      </w:r>
      <w:r>
        <w:rPr>
          <w:rFonts w:hint="eastAsia" w:ascii="宋体" w:hAnsi="宋体" w:eastAsia="宋体" w:cs="B5+CAJ FNT00"/>
          <w:szCs w:val="21"/>
        </w:rPr>
        <w:t>，</w:t>
      </w:r>
      <w:r>
        <w:rPr>
          <w:rFonts w:hint="eastAsia" w:ascii="宋体" w:hAnsi="宋体" w:eastAsia="宋体" w:cs="宋体"/>
          <w:szCs w:val="21"/>
        </w:rPr>
        <w:t>作为经济分析工具</w:t>
      </w:r>
      <w:r>
        <w:rPr>
          <w:rFonts w:hint="eastAsia" w:ascii="宋体" w:hAnsi="宋体" w:eastAsia="宋体" w:cs="B5+CAJ FNT00"/>
          <w:szCs w:val="21"/>
        </w:rPr>
        <w:t>，</w:t>
      </w:r>
      <w:r>
        <w:rPr>
          <w:rFonts w:hint="eastAsia" w:ascii="宋体" w:hAnsi="宋体" w:eastAsia="宋体" w:cs="宋体"/>
          <w:szCs w:val="21"/>
        </w:rPr>
        <w:t>它包括具有分析功能的马克思主义经济学范畴</w:t>
      </w:r>
      <w:r>
        <w:rPr>
          <w:rFonts w:hint="eastAsia" w:ascii="宋体" w:hAnsi="宋体" w:eastAsia="宋体" w:cs="B4+cajcd fnta1"/>
          <w:szCs w:val="21"/>
        </w:rPr>
        <w:t>、</w:t>
      </w:r>
      <w:r>
        <w:rPr>
          <w:rFonts w:hint="eastAsia" w:ascii="宋体" w:hAnsi="宋体" w:eastAsia="宋体" w:cs="宋体"/>
          <w:szCs w:val="21"/>
        </w:rPr>
        <w:t>原理和形成唯物史观分析路径的辩证法要素这两个方面；与西方经济学分析方法对比</w:t>
      </w:r>
      <w:r>
        <w:rPr>
          <w:rFonts w:hint="eastAsia" w:ascii="宋体" w:hAnsi="宋体" w:eastAsia="宋体" w:cs="B5+CAJ FNT00"/>
          <w:szCs w:val="21"/>
        </w:rPr>
        <w:t>，</w:t>
      </w:r>
      <w:r>
        <w:rPr>
          <w:rFonts w:hint="eastAsia" w:ascii="宋体" w:hAnsi="宋体" w:eastAsia="宋体" w:cs="宋体"/>
          <w:szCs w:val="21"/>
        </w:rPr>
        <w:t>唯物史观经济分析范式具有显著的科学特征和优势</w:t>
      </w:r>
      <w:r>
        <w:rPr>
          <w:rFonts w:hint="eastAsia" w:ascii="宋体" w:hAnsi="宋体" w:eastAsia="宋体" w:cs="B4+cajcd fnta1"/>
          <w:szCs w:val="21"/>
        </w:rPr>
        <w:t>。</w:t>
      </w:r>
      <w:r>
        <w:rPr>
          <w:rFonts w:hint="eastAsia" w:ascii="宋体" w:hAnsi="宋体" w:eastAsia="宋体" w:cs="宋体"/>
          <w:szCs w:val="21"/>
        </w:rPr>
        <w:t>面对近年西方经济理论和制度引发的又一次严重金融和经济危机</w:t>
      </w:r>
      <w:r>
        <w:rPr>
          <w:rFonts w:hint="eastAsia" w:ascii="宋体" w:hAnsi="宋体" w:eastAsia="宋体" w:cs="B5+CAJ FNT00"/>
          <w:szCs w:val="21"/>
        </w:rPr>
        <w:t>,</w:t>
      </w:r>
      <w:r>
        <w:rPr>
          <w:rFonts w:hint="eastAsia" w:ascii="宋体" w:hAnsi="宋体" w:eastAsia="宋体" w:cs="宋体"/>
          <w:szCs w:val="21"/>
        </w:rPr>
        <w:t>刘国光</w:t>
      </w:r>
      <w:r>
        <w:rPr>
          <w:rFonts w:hint="eastAsia" w:ascii="宋体" w:hAnsi="宋体" w:eastAsia="宋体" w:cs="B4+cajcd fnta1"/>
          <w:szCs w:val="21"/>
        </w:rPr>
        <w:t>、</w:t>
      </w:r>
      <w:r>
        <w:rPr>
          <w:rFonts w:hint="eastAsia" w:ascii="宋体" w:hAnsi="宋体" w:eastAsia="宋体" w:cs="宋体"/>
          <w:szCs w:val="21"/>
        </w:rPr>
        <w:t>胡代光</w:t>
      </w:r>
      <w:r>
        <w:rPr>
          <w:rFonts w:hint="eastAsia" w:ascii="宋体" w:hAnsi="宋体" w:eastAsia="宋体" w:cs="B4+cajcd fnta1"/>
          <w:szCs w:val="21"/>
        </w:rPr>
        <w:t>、</w:t>
      </w:r>
      <w:r>
        <w:rPr>
          <w:rFonts w:hint="eastAsia" w:ascii="宋体" w:hAnsi="宋体" w:eastAsia="宋体" w:cs="宋体"/>
          <w:szCs w:val="21"/>
        </w:rPr>
        <w:t>何秉孟</w:t>
      </w:r>
      <w:r>
        <w:rPr>
          <w:rFonts w:hint="eastAsia" w:ascii="宋体" w:hAnsi="宋体" w:eastAsia="宋体" w:cs="B4+cajcd fnta1"/>
          <w:szCs w:val="21"/>
        </w:rPr>
        <w:t>、</w:t>
      </w:r>
      <w:r>
        <w:rPr>
          <w:rFonts w:hint="eastAsia" w:ascii="宋体" w:hAnsi="宋体" w:eastAsia="宋体" w:cs="宋体"/>
          <w:szCs w:val="21"/>
        </w:rPr>
        <w:t>吴易风</w:t>
      </w:r>
      <w:r>
        <w:rPr>
          <w:rFonts w:hint="eastAsia" w:ascii="宋体" w:hAnsi="宋体" w:eastAsia="宋体" w:cs="B4+cajcd fnta1"/>
          <w:szCs w:val="21"/>
        </w:rPr>
        <w:t>、</w:t>
      </w:r>
      <w:r>
        <w:rPr>
          <w:rFonts w:hint="eastAsia" w:ascii="宋体" w:hAnsi="宋体" w:eastAsia="宋体" w:cs="宋体"/>
          <w:szCs w:val="21"/>
        </w:rPr>
        <w:t>丁冰</w:t>
      </w:r>
      <w:r>
        <w:rPr>
          <w:rFonts w:hint="eastAsia" w:ascii="宋体" w:hAnsi="宋体" w:eastAsia="宋体" w:cs="B4+cajcd fnta1"/>
          <w:szCs w:val="21"/>
        </w:rPr>
        <w:t>、</w:t>
      </w:r>
      <w:r>
        <w:rPr>
          <w:rFonts w:hint="eastAsia" w:ascii="宋体" w:hAnsi="宋体" w:eastAsia="宋体" w:cs="宋体"/>
          <w:szCs w:val="21"/>
        </w:rPr>
        <w:t>周新城</w:t>
      </w:r>
      <w:r>
        <w:rPr>
          <w:rFonts w:hint="eastAsia" w:ascii="宋体" w:hAnsi="宋体" w:eastAsia="宋体" w:cs="B4+cajcd fnta1"/>
          <w:szCs w:val="21"/>
        </w:rPr>
        <w:t>、</w:t>
      </w:r>
      <w:r>
        <w:rPr>
          <w:rFonts w:hint="eastAsia" w:ascii="宋体" w:hAnsi="宋体" w:eastAsia="宋体" w:cs="宋体"/>
          <w:szCs w:val="21"/>
        </w:rPr>
        <w:t>胡乐明</w:t>
      </w:r>
      <w:r>
        <w:rPr>
          <w:rFonts w:hint="eastAsia" w:ascii="宋体" w:hAnsi="宋体" w:eastAsia="宋体" w:cs="B4+cajcd fnta1"/>
          <w:szCs w:val="21"/>
        </w:rPr>
        <w:t>、</w:t>
      </w:r>
      <w:r>
        <w:rPr>
          <w:rFonts w:hint="eastAsia" w:ascii="宋体" w:hAnsi="宋体" w:eastAsia="宋体" w:cs="宋体"/>
          <w:szCs w:val="21"/>
        </w:rPr>
        <w:t>李炳炎</w:t>
      </w:r>
      <w:r>
        <w:rPr>
          <w:rFonts w:hint="eastAsia" w:ascii="宋体" w:hAnsi="宋体" w:eastAsia="宋体" w:cs="B4+cajcd fnta1"/>
          <w:szCs w:val="21"/>
        </w:rPr>
        <w:t>、</w:t>
      </w:r>
      <w:r>
        <w:rPr>
          <w:rFonts w:hint="eastAsia" w:ascii="宋体" w:hAnsi="宋体" w:eastAsia="宋体" w:cs="宋体"/>
          <w:szCs w:val="21"/>
        </w:rPr>
        <w:t>赵磊和笔者都从操作政策</w:t>
      </w:r>
      <w:r>
        <w:rPr>
          <w:rFonts w:hint="eastAsia" w:ascii="宋体" w:hAnsi="宋体" w:eastAsia="宋体" w:cs="B4+cajcd fnta1"/>
          <w:szCs w:val="21"/>
        </w:rPr>
        <w:t>、</w:t>
      </w:r>
      <w:r>
        <w:rPr>
          <w:rFonts w:hint="eastAsia" w:ascii="宋体" w:hAnsi="宋体" w:eastAsia="宋体" w:cs="宋体"/>
          <w:szCs w:val="21"/>
        </w:rPr>
        <w:t>体制机制和根本制度三个层面分析其成因</w:t>
      </w:r>
      <w:r>
        <w:rPr>
          <w:rFonts w:hint="eastAsia" w:ascii="宋体" w:hAnsi="宋体" w:eastAsia="宋体" w:cs="B5+CAJ FNT00"/>
          <w:szCs w:val="21"/>
        </w:rPr>
        <w:t>，</w:t>
      </w:r>
      <w:r>
        <w:rPr>
          <w:rFonts w:hint="eastAsia" w:ascii="宋体" w:hAnsi="宋体" w:eastAsia="宋体" w:cs="宋体"/>
          <w:szCs w:val="21"/>
        </w:rPr>
        <w:t>发展了马克思恩格斯经济学和列宁经济学关于经济危机和经济周期的基本原理</w:t>
      </w:r>
      <w:r>
        <w:rPr>
          <w:rFonts w:hint="eastAsia" w:ascii="宋体" w:hAnsi="宋体" w:eastAsia="宋体" w:cs="B4+cajcd fnta1"/>
          <w:szCs w:val="21"/>
        </w:rPr>
        <w:t>。</w:t>
      </w:r>
    </w:p>
    <w:p w14:paraId="184842D1">
      <w:pPr>
        <w:spacing w:line="400" w:lineRule="exact"/>
        <w:ind w:firstLine="440" w:firstLineChars="200"/>
        <w:rPr>
          <w:rFonts w:ascii="宋体" w:hAnsi="宋体" w:eastAsia="宋体" w:cs="宋体"/>
          <w:szCs w:val="21"/>
        </w:rPr>
      </w:pPr>
      <w:r>
        <w:rPr>
          <w:rFonts w:hint="eastAsia" w:ascii="宋体" w:hAnsi="宋体" w:eastAsia="宋体" w:cs="宋体"/>
          <w:szCs w:val="21"/>
        </w:rPr>
        <w:t>三是注重对政治经济学理论的数学表达和分析</w:t>
      </w:r>
      <w:r>
        <w:rPr>
          <w:rFonts w:hint="eastAsia" w:ascii="宋体" w:hAnsi="宋体" w:eastAsia="宋体" w:cs="B4+cajcd fnta1"/>
          <w:szCs w:val="21"/>
        </w:rPr>
        <w:t>。</w:t>
      </w:r>
      <w:r>
        <w:rPr>
          <w:rFonts w:hint="eastAsia" w:ascii="宋体" w:hAnsi="宋体" w:eastAsia="宋体" w:cs="宋体"/>
          <w:szCs w:val="21"/>
        </w:rPr>
        <w:t>中国马克思主义经济学的现代化必须继承《资本论</w:t>
      </w:r>
      <w:r>
        <w:rPr>
          <w:rFonts w:hint="eastAsia" w:ascii="宋体" w:hAnsi="宋体" w:eastAsia="宋体" w:cs="B4+cajcd fnta1"/>
          <w:szCs w:val="21"/>
        </w:rPr>
        <w:t>》</w:t>
      </w:r>
      <w:r>
        <w:rPr>
          <w:rFonts w:hint="eastAsia" w:ascii="宋体" w:hAnsi="宋体" w:eastAsia="宋体" w:cs="宋体"/>
          <w:szCs w:val="21"/>
        </w:rPr>
        <w:t>最先高度重视数学的优良学术传统</w:t>
      </w:r>
      <w:r>
        <w:rPr>
          <w:rFonts w:hint="eastAsia" w:ascii="宋体" w:hAnsi="宋体" w:eastAsia="宋体" w:cs="B5+CAJ FNT00"/>
          <w:szCs w:val="21"/>
        </w:rPr>
        <w:t>，</w:t>
      </w:r>
      <w:r>
        <w:rPr>
          <w:rFonts w:hint="eastAsia" w:ascii="宋体" w:hAnsi="宋体" w:eastAsia="宋体" w:cs="宋体"/>
          <w:szCs w:val="21"/>
        </w:rPr>
        <w:t>并科学借鉴现代西方经济学采用数学的方法</w:t>
      </w:r>
      <w:r>
        <w:rPr>
          <w:rFonts w:hint="eastAsia" w:ascii="宋体" w:hAnsi="宋体" w:eastAsia="宋体" w:cs="B4+cajcd fnta1"/>
          <w:szCs w:val="21"/>
        </w:rPr>
        <w:t>。</w:t>
      </w:r>
      <w:r>
        <w:rPr>
          <w:rFonts w:hint="eastAsia" w:ascii="宋体" w:hAnsi="宋体" w:eastAsia="宋体" w:cs="宋体"/>
          <w:szCs w:val="21"/>
        </w:rPr>
        <w:t>近三年连续召开的三届</w:t>
      </w:r>
      <w:r>
        <w:rPr>
          <w:rFonts w:hint="eastAsia" w:ascii="宋体" w:hAnsi="宋体" w:eastAsia="宋体" w:cs="B4+cajcd fnta1"/>
          <w:szCs w:val="21"/>
        </w:rPr>
        <w:t>“</w:t>
      </w:r>
      <w:r>
        <w:rPr>
          <w:rFonts w:hint="eastAsia" w:ascii="宋体" w:hAnsi="宋体" w:eastAsia="宋体" w:cs="宋体"/>
          <w:szCs w:val="21"/>
        </w:rPr>
        <w:t>全国现代政治经济学数学分析研讨会</w:t>
      </w:r>
      <w:r>
        <w:rPr>
          <w:rFonts w:hint="eastAsia" w:ascii="宋体" w:hAnsi="宋体" w:eastAsia="宋体" w:cs="B4+cajcd fnta1"/>
          <w:szCs w:val="21"/>
        </w:rPr>
        <w:t>”</w:t>
      </w:r>
      <w:r>
        <w:rPr>
          <w:rFonts w:hint="eastAsia" w:ascii="宋体" w:hAnsi="宋体" w:eastAsia="宋体" w:cs="宋体"/>
          <w:szCs w:val="21"/>
        </w:rPr>
        <w:t>便是一个重要标志</w:t>
      </w:r>
      <w:r>
        <w:rPr>
          <w:rFonts w:hint="eastAsia" w:ascii="宋体" w:hAnsi="宋体" w:eastAsia="宋体" w:cs="B4+cajcd fnta1"/>
          <w:szCs w:val="21"/>
        </w:rPr>
        <w:t>。</w:t>
      </w:r>
      <w:r>
        <w:rPr>
          <w:rFonts w:hint="eastAsia" w:ascii="宋体" w:hAnsi="宋体" w:eastAsia="宋体" w:cs="宋体"/>
          <w:szCs w:val="21"/>
        </w:rPr>
        <w:t>张忠任</w:t>
      </w:r>
      <w:r>
        <w:rPr>
          <w:rFonts w:hint="eastAsia" w:ascii="宋体" w:hAnsi="宋体" w:eastAsia="宋体" w:cs="B4+cajcd fnta1"/>
          <w:szCs w:val="21"/>
        </w:rPr>
        <w:t>、</w:t>
      </w:r>
      <w:r>
        <w:rPr>
          <w:rFonts w:hint="eastAsia" w:ascii="宋体" w:hAnsi="宋体" w:eastAsia="宋体" w:cs="宋体"/>
          <w:szCs w:val="21"/>
        </w:rPr>
        <w:t>沈民鸣</w:t>
      </w:r>
      <w:r>
        <w:rPr>
          <w:rFonts w:hint="eastAsia" w:ascii="宋体" w:hAnsi="宋体" w:eastAsia="宋体" w:cs="B4+cajcd fnta1"/>
          <w:szCs w:val="21"/>
        </w:rPr>
        <w:t>、</w:t>
      </w:r>
      <w:r>
        <w:rPr>
          <w:rFonts w:hint="eastAsia" w:ascii="宋体" w:hAnsi="宋体" w:eastAsia="宋体" w:cs="宋体"/>
          <w:szCs w:val="21"/>
        </w:rPr>
        <w:t>冯金华</w:t>
      </w:r>
      <w:r>
        <w:rPr>
          <w:rFonts w:hint="eastAsia" w:ascii="宋体" w:hAnsi="宋体" w:eastAsia="宋体" w:cs="B4+cajcd fnta1"/>
          <w:szCs w:val="21"/>
        </w:rPr>
        <w:t>、</w:t>
      </w:r>
      <w:r>
        <w:rPr>
          <w:rFonts w:hint="eastAsia" w:ascii="宋体" w:hAnsi="宋体" w:eastAsia="宋体" w:cs="宋体"/>
          <w:szCs w:val="21"/>
        </w:rPr>
        <w:t>马艳</w:t>
      </w:r>
      <w:r>
        <w:rPr>
          <w:rFonts w:hint="eastAsia" w:ascii="宋体" w:hAnsi="宋体" w:eastAsia="宋体" w:cs="B4+cajcd fnta1"/>
          <w:szCs w:val="21"/>
        </w:rPr>
        <w:t>、</w:t>
      </w:r>
      <w:r>
        <w:rPr>
          <w:rFonts w:hint="eastAsia" w:ascii="宋体" w:hAnsi="宋体" w:eastAsia="宋体" w:cs="宋体"/>
          <w:szCs w:val="21"/>
        </w:rPr>
        <w:t>白暴力</w:t>
      </w:r>
      <w:r>
        <w:rPr>
          <w:rFonts w:hint="eastAsia" w:ascii="宋体" w:hAnsi="宋体" w:eastAsia="宋体" w:cs="B4+cajcd fnta1"/>
          <w:szCs w:val="21"/>
        </w:rPr>
        <w:t>、</w:t>
      </w:r>
      <w:r>
        <w:rPr>
          <w:rFonts w:hint="eastAsia" w:ascii="宋体" w:hAnsi="宋体" w:eastAsia="宋体" w:cs="宋体"/>
          <w:szCs w:val="21"/>
        </w:rPr>
        <w:t>丁堡骏</w:t>
      </w:r>
      <w:r>
        <w:rPr>
          <w:rFonts w:hint="eastAsia" w:ascii="宋体" w:hAnsi="宋体" w:eastAsia="宋体" w:cs="B4+cajcd fnta1"/>
          <w:szCs w:val="21"/>
        </w:rPr>
        <w:t>、</w:t>
      </w:r>
      <w:r>
        <w:rPr>
          <w:rFonts w:hint="eastAsia" w:ascii="宋体" w:hAnsi="宋体" w:eastAsia="宋体" w:cs="宋体"/>
          <w:szCs w:val="21"/>
        </w:rPr>
        <w:t>孟捷</w:t>
      </w:r>
      <w:r>
        <w:rPr>
          <w:rFonts w:hint="eastAsia" w:ascii="宋体" w:hAnsi="宋体" w:eastAsia="宋体" w:cs="B4+cajcd fnta1"/>
          <w:szCs w:val="21"/>
        </w:rPr>
        <w:t>、</w:t>
      </w:r>
      <w:r>
        <w:rPr>
          <w:rFonts w:hint="eastAsia" w:ascii="宋体" w:hAnsi="宋体" w:eastAsia="宋体" w:cs="宋体"/>
          <w:szCs w:val="21"/>
        </w:rPr>
        <w:t>余斌</w:t>
      </w:r>
      <w:r>
        <w:rPr>
          <w:rFonts w:hint="eastAsia" w:ascii="宋体" w:hAnsi="宋体" w:eastAsia="宋体" w:cs="B4+cajcd fnta1"/>
          <w:szCs w:val="21"/>
        </w:rPr>
        <w:t>、</w:t>
      </w:r>
      <w:r>
        <w:rPr>
          <w:rFonts w:hint="eastAsia" w:ascii="宋体" w:hAnsi="宋体" w:eastAsia="宋体" w:cs="宋体"/>
          <w:szCs w:val="21"/>
        </w:rPr>
        <w:t>朱奎</w:t>
      </w:r>
      <w:r>
        <w:rPr>
          <w:rFonts w:hint="eastAsia" w:ascii="宋体" w:hAnsi="宋体" w:eastAsia="宋体" w:cs="B4+cajcd fnta1"/>
          <w:szCs w:val="21"/>
        </w:rPr>
        <w:t>、</w:t>
      </w:r>
      <w:r>
        <w:rPr>
          <w:rFonts w:hint="eastAsia" w:ascii="宋体" w:hAnsi="宋体" w:eastAsia="宋体" w:cs="宋体"/>
          <w:szCs w:val="21"/>
        </w:rPr>
        <w:t>朱殊洋等一批知名中青年学者一致认为</w:t>
      </w:r>
      <w:r>
        <w:rPr>
          <w:rFonts w:hint="eastAsia" w:ascii="宋体" w:hAnsi="宋体" w:eastAsia="宋体" w:cs="B5+CAJ FNT00"/>
          <w:szCs w:val="21"/>
        </w:rPr>
        <w:t>，</w:t>
      </w:r>
      <w:r>
        <w:rPr>
          <w:rFonts w:hint="eastAsia" w:ascii="宋体" w:hAnsi="宋体" w:eastAsia="宋体" w:cs="宋体"/>
          <w:szCs w:val="21"/>
        </w:rPr>
        <w:t>现代政治经济学应该继承马克思重视数学分析的优良传统</w:t>
      </w:r>
      <w:r>
        <w:rPr>
          <w:rFonts w:hint="eastAsia" w:ascii="宋体" w:hAnsi="宋体" w:eastAsia="宋体" w:cs="B5+CAJ FNT00"/>
          <w:szCs w:val="21"/>
        </w:rPr>
        <w:t>，</w:t>
      </w:r>
      <w:r>
        <w:rPr>
          <w:rFonts w:hint="eastAsia" w:ascii="宋体" w:hAnsi="宋体" w:eastAsia="宋体" w:cs="宋体"/>
          <w:szCs w:val="21"/>
        </w:rPr>
        <w:t>充分借鉴数学分析的工具</w:t>
      </w:r>
      <w:r>
        <w:rPr>
          <w:rFonts w:hint="eastAsia" w:ascii="宋体" w:hAnsi="宋体" w:eastAsia="宋体" w:cs="B5+CAJ FNT00"/>
          <w:szCs w:val="21"/>
        </w:rPr>
        <w:t>，</w:t>
      </w:r>
      <w:r>
        <w:rPr>
          <w:rFonts w:hint="eastAsia" w:ascii="宋体" w:hAnsi="宋体" w:eastAsia="宋体" w:cs="宋体"/>
          <w:szCs w:val="21"/>
        </w:rPr>
        <w:t>进行马克思主义经济学原理的论证</w:t>
      </w:r>
      <w:r>
        <w:rPr>
          <w:rFonts w:hint="eastAsia" w:ascii="宋体" w:hAnsi="宋体" w:eastAsia="宋体" w:cs="B4+cajcd fnta1"/>
          <w:szCs w:val="21"/>
        </w:rPr>
        <w:t>、</w:t>
      </w:r>
      <w:r>
        <w:rPr>
          <w:rFonts w:hint="eastAsia" w:ascii="宋体" w:hAnsi="宋体" w:eastAsia="宋体" w:cs="宋体"/>
          <w:szCs w:val="21"/>
        </w:rPr>
        <w:t>阐述和发展</w:t>
      </w:r>
      <w:r>
        <w:rPr>
          <w:rFonts w:hint="eastAsia" w:ascii="宋体" w:hAnsi="宋体" w:eastAsia="宋体" w:cs="B5+CAJ FNT00"/>
          <w:szCs w:val="21"/>
        </w:rPr>
        <w:t>，</w:t>
      </w:r>
      <w:r>
        <w:rPr>
          <w:rFonts w:hint="eastAsia" w:ascii="宋体" w:hAnsi="宋体" w:eastAsia="宋体" w:cs="宋体"/>
          <w:szCs w:val="21"/>
        </w:rPr>
        <w:t>以弥补定性分析和规范分析的不足</w:t>
      </w:r>
      <w:r>
        <w:rPr>
          <w:rFonts w:hint="eastAsia" w:ascii="宋体" w:hAnsi="宋体" w:eastAsia="宋体" w:cs="B4+cajcd fnta1"/>
          <w:szCs w:val="21"/>
        </w:rPr>
        <w:t>。</w:t>
      </w:r>
      <w:r>
        <w:rPr>
          <w:rFonts w:hint="eastAsia" w:ascii="宋体" w:hAnsi="宋体" w:eastAsia="宋体" w:cs="宋体"/>
          <w:szCs w:val="21"/>
        </w:rPr>
        <w:t>诚然</w:t>
      </w:r>
      <w:r>
        <w:rPr>
          <w:rFonts w:hint="eastAsia" w:ascii="宋体" w:hAnsi="宋体" w:eastAsia="宋体" w:cs="B5+CAJ FNT00"/>
          <w:szCs w:val="21"/>
        </w:rPr>
        <w:t>,</w:t>
      </w:r>
      <w:r>
        <w:rPr>
          <w:rFonts w:hint="eastAsia" w:ascii="宋体" w:hAnsi="宋体" w:eastAsia="宋体" w:cs="宋体"/>
          <w:szCs w:val="21"/>
        </w:rPr>
        <w:t>现代政治经济学在运用数学分析方法进行理论传承和创新以及弥补现代政治经济学的缺憾时</w:t>
      </w:r>
      <w:r>
        <w:rPr>
          <w:rFonts w:hint="eastAsia" w:ascii="宋体" w:hAnsi="宋体" w:eastAsia="宋体" w:cs="B5+CAJ FNT00"/>
          <w:szCs w:val="21"/>
        </w:rPr>
        <w:t>，</w:t>
      </w:r>
      <w:r>
        <w:rPr>
          <w:rFonts w:hint="eastAsia" w:ascii="宋体" w:hAnsi="宋体" w:eastAsia="宋体" w:cs="宋体"/>
          <w:szCs w:val="21"/>
        </w:rPr>
        <w:t>应当坚持唯物辩证法为总的方法论原则</w:t>
      </w:r>
      <w:r>
        <w:rPr>
          <w:rFonts w:hint="eastAsia" w:ascii="宋体" w:hAnsi="宋体" w:eastAsia="宋体" w:cs="B5+CAJ FNT00"/>
          <w:szCs w:val="21"/>
        </w:rPr>
        <w:t>,</w:t>
      </w:r>
      <w:r>
        <w:rPr>
          <w:rFonts w:hint="eastAsia" w:ascii="宋体" w:hAnsi="宋体" w:eastAsia="宋体" w:cs="宋体"/>
          <w:szCs w:val="21"/>
        </w:rPr>
        <w:t>应当避免数学分析的形式主义和滥用</w:t>
      </w:r>
      <w:r>
        <w:rPr>
          <w:rFonts w:hint="eastAsia" w:ascii="宋体" w:hAnsi="宋体" w:eastAsia="宋体" w:cs="B5+CAJ FNT00"/>
          <w:szCs w:val="21"/>
        </w:rPr>
        <w:t>，</w:t>
      </w:r>
      <w:r>
        <w:rPr>
          <w:rFonts w:hint="eastAsia" w:ascii="宋体" w:hAnsi="宋体" w:eastAsia="宋体" w:cs="宋体"/>
          <w:szCs w:val="21"/>
        </w:rPr>
        <w:t>应当把数学分析与现代马克思主义政治经济学前提假设和理论基础结合起来</w:t>
      </w:r>
      <w:r>
        <w:rPr>
          <w:rFonts w:hint="eastAsia" w:ascii="宋体" w:hAnsi="宋体" w:eastAsia="宋体" w:cs="B5+CAJ FNT00"/>
          <w:szCs w:val="21"/>
        </w:rPr>
        <w:t>，</w:t>
      </w:r>
      <w:r>
        <w:rPr>
          <w:rFonts w:hint="eastAsia" w:ascii="宋体" w:hAnsi="宋体" w:eastAsia="宋体" w:cs="宋体"/>
          <w:szCs w:val="21"/>
        </w:rPr>
        <w:t>以期实现数学分析与现代政治经济学的有机结合</w:t>
      </w:r>
      <w:r>
        <w:rPr>
          <w:rFonts w:hint="eastAsia" w:ascii="宋体" w:hAnsi="宋体" w:eastAsia="宋体" w:cs="B4+cajcd fnta1"/>
          <w:szCs w:val="21"/>
        </w:rPr>
        <w:t>。</w:t>
      </w:r>
      <w:r>
        <w:rPr>
          <w:rFonts w:hint="eastAsia" w:ascii="宋体" w:hAnsi="宋体" w:eastAsia="宋体" w:cs="宋体"/>
          <w:szCs w:val="21"/>
        </w:rPr>
        <w:t>他们提交的论文和学术界发表的论著还从数学分析的视角</w:t>
      </w:r>
      <w:r>
        <w:rPr>
          <w:rFonts w:hint="eastAsia" w:ascii="宋体" w:hAnsi="宋体" w:eastAsia="宋体" w:cs="B5+CAJ FNT00"/>
          <w:szCs w:val="21"/>
        </w:rPr>
        <w:t>，</w:t>
      </w:r>
      <w:r>
        <w:rPr>
          <w:rFonts w:hint="eastAsia" w:ascii="宋体" w:hAnsi="宋体" w:eastAsia="宋体" w:cs="宋体"/>
          <w:szCs w:val="21"/>
        </w:rPr>
        <w:t>对现代政治经济学的劳动创造价值</w:t>
      </w:r>
      <w:r>
        <w:rPr>
          <w:rFonts w:hint="eastAsia" w:ascii="宋体" w:hAnsi="宋体" w:eastAsia="宋体" w:cs="B4+cajcd fnta1"/>
          <w:szCs w:val="21"/>
        </w:rPr>
        <w:t>、</w:t>
      </w:r>
      <w:r>
        <w:rPr>
          <w:rFonts w:hint="eastAsia" w:ascii="宋体" w:hAnsi="宋体" w:eastAsia="宋体" w:cs="宋体"/>
          <w:szCs w:val="21"/>
        </w:rPr>
        <w:t>价值转形</w:t>
      </w:r>
      <w:r>
        <w:rPr>
          <w:rFonts w:hint="eastAsia" w:ascii="宋体" w:hAnsi="宋体" w:eastAsia="宋体" w:cs="B4+cajcd fnta1"/>
          <w:szCs w:val="21"/>
        </w:rPr>
        <w:t>、</w:t>
      </w:r>
      <w:r>
        <w:rPr>
          <w:rFonts w:hint="eastAsia" w:ascii="宋体" w:hAnsi="宋体" w:eastAsia="宋体" w:cs="宋体"/>
          <w:szCs w:val="21"/>
        </w:rPr>
        <w:t>再生产循环</w:t>
      </w:r>
      <w:r>
        <w:rPr>
          <w:rFonts w:hint="eastAsia" w:ascii="宋体" w:hAnsi="宋体" w:eastAsia="宋体" w:cs="B4+cajcd fnta1"/>
          <w:szCs w:val="21"/>
        </w:rPr>
        <w:t>、</w:t>
      </w:r>
      <w:r>
        <w:rPr>
          <w:rFonts w:hint="eastAsia" w:ascii="宋体" w:hAnsi="宋体" w:eastAsia="宋体" w:cs="宋体"/>
          <w:szCs w:val="21"/>
        </w:rPr>
        <w:t>物质生产优先增长</w:t>
      </w:r>
      <w:r>
        <w:rPr>
          <w:rFonts w:hint="eastAsia" w:ascii="宋体" w:hAnsi="宋体" w:eastAsia="宋体" w:cs="B4+cajcd fnta1"/>
          <w:szCs w:val="21"/>
        </w:rPr>
        <w:t>、</w:t>
      </w:r>
      <w:r>
        <w:rPr>
          <w:rFonts w:hint="eastAsia" w:ascii="宋体" w:hAnsi="宋体" w:eastAsia="宋体" w:cs="宋体"/>
          <w:szCs w:val="21"/>
        </w:rPr>
        <w:t>利润率变动趋势等前沿间题进行了研讨</w:t>
      </w:r>
      <w:r>
        <w:rPr>
          <w:rFonts w:hint="eastAsia" w:ascii="宋体" w:hAnsi="宋体" w:eastAsia="宋体" w:cs="B4+cajcd fnta1"/>
          <w:szCs w:val="21"/>
        </w:rPr>
        <w:t>。</w:t>
      </w:r>
      <w:r>
        <w:rPr>
          <w:rFonts w:hint="eastAsia" w:ascii="宋体" w:hAnsi="宋体" w:eastAsia="宋体" w:cs="宋体"/>
          <w:szCs w:val="21"/>
        </w:rPr>
        <w:t>体现数学分析的初级</w:t>
      </w:r>
      <w:r>
        <w:rPr>
          <w:rFonts w:hint="eastAsia" w:ascii="宋体" w:hAnsi="宋体" w:eastAsia="宋体" w:cs="B4+cajcd fnta1"/>
          <w:szCs w:val="21"/>
        </w:rPr>
        <w:t>《</w:t>
      </w:r>
      <w:r>
        <w:rPr>
          <w:rFonts w:hint="eastAsia" w:ascii="宋体" w:hAnsi="宋体" w:eastAsia="宋体" w:cs="宋体"/>
          <w:szCs w:val="21"/>
        </w:rPr>
        <w:t>新编现代政治经济学</w:t>
      </w:r>
      <w:r>
        <w:rPr>
          <w:rFonts w:hint="eastAsia" w:ascii="宋体" w:hAnsi="宋体" w:eastAsia="宋体" w:cs="B4+cajcd fnta1"/>
          <w:szCs w:val="21"/>
        </w:rPr>
        <w:t>》</w:t>
      </w:r>
      <w:r>
        <w:rPr>
          <w:rFonts w:hint="eastAsia" w:ascii="宋体" w:hAnsi="宋体" w:eastAsia="宋体" w:cs="宋体"/>
          <w:szCs w:val="21"/>
        </w:rPr>
        <w:t>（程恩富等主编）百万字教材去年已由上海财经大学出版社出版</w:t>
      </w:r>
      <w:r>
        <w:rPr>
          <w:rFonts w:hint="eastAsia" w:ascii="宋体" w:hAnsi="宋体" w:eastAsia="宋体" w:cs="B5+CAJ FNT00"/>
          <w:szCs w:val="21"/>
        </w:rPr>
        <w:t>,</w:t>
      </w:r>
      <w:r>
        <w:rPr>
          <w:rFonts w:hint="eastAsia" w:ascii="宋体" w:hAnsi="宋体" w:eastAsia="宋体" w:cs="宋体"/>
          <w:szCs w:val="21"/>
        </w:rPr>
        <w:t>另外两本百万字的</w:t>
      </w:r>
      <w:r>
        <w:rPr>
          <w:rFonts w:hint="eastAsia" w:ascii="宋体" w:hAnsi="宋体" w:eastAsia="宋体" w:cs="B4+cajcd fnta1"/>
          <w:szCs w:val="21"/>
        </w:rPr>
        <w:t>《</w:t>
      </w:r>
      <w:r>
        <w:rPr>
          <w:rFonts w:hint="eastAsia" w:ascii="宋体" w:hAnsi="宋体" w:eastAsia="宋体" w:cs="宋体"/>
          <w:szCs w:val="21"/>
        </w:rPr>
        <w:t>中级现代政治经济学</w:t>
      </w:r>
      <w:r>
        <w:rPr>
          <w:rFonts w:hint="eastAsia" w:ascii="宋体" w:hAnsi="宋体" w:eastAsia="宋体" w:cs="B4+cajcd fnta1"/>
          <w:szCs w:val="21"/>
        </w:rPr>
        <w:t>》</w:t>
      </w:r>
      <w:r>
        <w:rPr>
          <w:rFonts w:hint="eastAsia" w:ascii="宋体" w:hAnsi="宋体" w:eastAsia="宋体" w:cs="宋体"/>
          <w:szCs w:val="21"/>
        </w:rPr>
        <w:t>和</w:t>
      </w:r>
      <w:r>
        <w:rPr>
          <w:rFonts w:hint="eastAsia" w:ascii="宋体" w:hAnsi="宋体" w:eastAsia="宋体" w:cs="B4+cajcd fnta1"/>
          <w:szCs w:val="21"/>
        </w:rPr>
        <w:t>《</w:t>
      </w:r>
      <w:r>
        <w:rPr>
          <w:rFonts w:hint="eastAsia" w:ascii="宋体" w:hAnsi="宋体" w:eastAsia="宋体" w:cs="宋体"/>
          <w:szCs w:val="21"/>
        </w:rPr>
        <w:t>高级现代政治经济学</w:t>
      </w:r>
      <w:r>
        <w:rPr>
          <w:rFonts w:hint="eastAsia" w:ascii="宋体" w:hAnsi="宋体" w:eastAsia="宋体" w:cs="B4+cajcd fnta1"/>
          <w:szCs w:val="21"/>
        </w:rPr>
        <w:t>》</w:t>
      </w:r>
      <w:r>
        <w:rPr>
          <w:rFonts w:hint="eastAsia" w:ascii="宋体" w:hAnsi="宋体" w:eastAsia="宋体" w:cs="宋体"/>
          <w:szCs w:val="21"/>
        </w:rPr>
        <w:t>教材也将先后问世</w:t>
      </w:r>
      <w:r>
        <w:rPr>
          <w:rFonts w:hint="eastAsia" w:ascii="宋体" w:hAnsi="宋体" w:eastAsia="宋体" w:cs="B4+cajcd fnta1"/>
          <w:szCs w:val="21"/>
        </w:rPr>
        <w:t>。</w:t>
      </w:r>
      <w:r>
        <w:rPr>
          <w:rFonts w:hint="eastAsia" w:ascii="宋体" w:hAnsi="宋体" w:eastAsia="宋体" w:cs="宋体"/>
          <w:szCs w:val="21"/>
        </w:rPr>
        <w:t>这套教材不仅在理论含量</w:t>
      </w:r>
      <w:r>
        <w:rPr>
          <w:rFonts w:hint="eastAsia" w:ascii="宋体" w:hAnsi="宋体" w:eastAsia="宋体" w:cs="B4+cajcd fnta1"/>
          <w:szCs w:val="21"/>
        </w:rPr>
        <w:t>、</w:t>
      </w:r>
      <w:r>
        <w:rPr>
          <w:rFonts w:hint="eastAsia" w:ascii="宋体" w:hAnsi="宋体" w:eastAsia="宋体" w:cs="宋体"/>
          <w:szCs w:val="21"/>
        </w:rPr>
        <w:t>方法论含量和学术创新度上大大超越马克思经济学</w:t>
      </w:r>
      <w:r>
        <w:rPr>
          <w:rFonts w:hint="eastAsia" w:ascii="宋体" w:hAnsi="宋体" w:eastAsia="宋体" w:cs="B4+cajcd fnta1"/>
          <w:szCs w:val="21"/>
        </w:rPr>
        <w:t>、</w:t>
      </w:r>
      <w:r>
        <w:rPr>
          <w:rFonts w:hint="eastAsia" w:ascii="宋体" w:hAnsi="宋体" w:eastAsia="宋体" w:cs="宋体"/>
          <w:szCs w:val="21"/>
        </w:rPr>
        <w:t>苏联经济学和西方经济学</w:t>
      </w:r>
      <w:r>
        <w:rPr>
          <w:rFonts w:hint="eastAsia" w:ascii="宋体" w:hAnsi="宋体" w:eastAsia="宋体" w:cs="B5+CAJ FNT00"/>
          <w:szCs w:val="21"/>
        </w:rPr>
        <w:t>，</w:t>
      </w:r>
      <w:r>
        <w:rPr>
          <w:rFonts w:hint="eastAsia" w:ascii="宋体" w:hAnsi="宋体" w:eastAsia="宋体" w:cs="宋体"/>
          <w:szCs w:val="21"/>
        </w:rPr>
        <w:t>而且</w:t>
      </w:r>
      <w:r>
        <w:rPr>
          <w:rFonts w:hint="eastAsia" w:ascii="宋体" w:hAnsi="宋体" w:eastAsia="宋体" w:cs="B4+cajcd fnta1"/>
          <w:szCs w:val="21"/>
        </w:rPr>
        <w:t>《</w:t>
      </w:r>
      <w:r>
        <w:rPr>
          <w:rFonts w:hint="eastAsia" w:ascii="宋体" w:hAnsi="宋体" w:eastAsia="宋体" w:cs="宋体"/>
          <w:szCs w:val="21"/>
        </w:rPr>
        <w:t>高级现代政治经济学</w:t>
      </w:r>
      <w:r>
        <w:rPr>
          <w:rFonts w:hint="eastAsia" w:ascii="宋体" w:hAnsi="宋体" w:eastAsia="宋体" w:cs="B4+cajcd fnta1"/>
          <w:szCs w:val="21"/>
        </w:rPr>
        <w:t>》</w:t>
      </w:r>
      <w:r>
        <w:rPr>
          <w:rFonts w:hint="eastAsia" w:ascii="宋体" w:hAnsi="宋体" w:eastAsia="宋体" w:cs="宋体"/>
          <w:szCs w:val="21"/>
        </w:rPr>
        <w:t>教材的数学含量将等于或略高于</w:t>
      </w:r>
      <w:r>
        <w:rPr>
          <w:rFonts w:hint="eastAsia" w:ascii="宋体" w:hAnsi="宋体" w:eastAsia="宋体" w:cs="B4+cajcd fnta1"/>
          <w:szCs w:val="21"/>
        </w:rPr>
        <w:t>《</w:t>
      </w:r>
      <w:r>
        <w:rPr>
          <w:rFonts w:hint="eastAsia" w:ascii="宋体" w:hAnsi="宋体" w:eastAsia="宋体" w:cs="宋体"/>
          <w:szCs w:val="21"/>
        </w:rPr>
        <w:t>高级西方经济学</w:t>
      </w:r>
      <w:r>
        <w:rPr>
          <w:rFonts w:hint="eastAsia" w:ascii="宋体" w:hAnsi="宋体" w:eastAsia="宋体" w:cs="B4+cajcd fnta1"/>
          <w:szCs w:val="21"/>
        </w:rPr>
        <w:t>》</w:t>
      </w:r>
      <w:r>
        <w:rPr>
          <w:rFonts w:hint="eastAsia" w:ascii="宋体" w:hAnsi="宋体" w:eastAsia="宋体" w:cs="宋体"/>
          <w:szCs w:val="21"/>
        </w:rPr>
        <w:t>教材</w:t>
      </w:r>
      <w:r>
        <w:rPr>
          <w:rFonts w:hint="eastAsia" w:ascii="宋体" w:hAnsi="宋体" w:eastAsia="宋体" w:cs="B4+cajcd fnta1"/>
          <w:szCs w:val="21"/>
        </w:rPr>
        <w:t>。</w:t>
      </w:r>
    </w:p>
    <w:p w14:paraId="5BC3223B">
      <w:pPr>
        <w:spacing w:line="400" w:lineRule="exact"/>
        <w:ind w:firstLine="440" w:firstLineChars="200"/>
        <w:rPr>
          <w:rFonts w:ascii="宋体" w:hAnsi="宋体" w:eastAsia="宋体" w:cs="宋体"/>
          <w:szCs w:val="21"/>
        </w:rPr>
      </w:pPr>
      <w:r>
        <w:rPr>
          <w:rFonts w:hint="eastAsia" w:ascii="宋体" w:hAnsi="宋体" w:eastAsia="宋体" w:cs="宋体"/>
          <w:szCs w:val="21"/>
        </w:rPr>
        <w:t>四是注重用现代政治经济学引领应用经济学创新</w:t>
      </w:r>
      <w:r>
        <w:rPr>
          <w:rFonts w:hint="eastAsia" w:ascii="宋体" w:hAnsi="宋体" w:eastAsia="宋体" w:cs="B4+cajcd fnta1"/>
          <w:szCs w:val="21"/>
        </w:rPr>
        <w:t>。</w:t>
      </w:r>
      <w:r>
        <w:rPr>
          <w:rFonts w:hint="eastAsia" w:ascii="宋体" w:hAnsi="宋体" w:eastAsia="宋体" w:cs="宋体"/>
          <w:szCs w:val="21"/>
        </w:rPr>
        <w:t>中国马克思主义经济学的现代化必须体现在理论经济学和应用经济学的各个学科</w:t>
      </w:r>
      <w:r>
        <w:rPr>
          <w:rFonts w:hint="eastAsia" w:ascii="宋体" w:hAnsi="宋体" w:eastAsia="宋体" w:cs="B5+CAJ FNT00"/>
          <w:szCs w:val="21"/>
        </w:rPr>
        <w:t>，</w:t>
      </w:r>
      <w:r>
        <w:rPr>
          <w:rFonts w:hint="eastAsia" w:ascii="宋体" w:hAnsi="宋体" w:eastAsia="宋体" w:cs="宋体"/>
          <w:szCs w:val="21"/>
        </w:rPr>
        <w:t>而积极运用现代政治经济学的创新理论来指导和引领其他理论经济学</w:t>
      </w:r>
      <w:r>
        <w:rPr>
          <w:rFonts w:hint="eastAsia" w:ascii="宋体" w:hAnsi="宋体" w:eastAsia="宋体" w:cs="B4+cajcd fnta1"/>
          <w:szCs w:val="21"/>
        </w:rPr>
        <w:t>、</w:t>
      </w:r>
      <w:r>
        <w:rPr>
          <w:rFonts w:hint="eastAsia" w:ascii="宋体" w:hAnsi="宋体" w:eastAsia="宋体" w:cs="宋体"/>
          <w:szCs w:val="21"/>
        </w:rPr>
        <w:t>尤其是应用经济学</w:t>
      </w:r>
      <w:r>
        <w:rPr>
          <w:rFonts w:hint="eastAsia" w:ascii="宋体" w:hAnsi="宋体" w:eastAsia="宋体" w:cs="B5+CAJ FNT00"/>
          <w:szCs w:val="21"/>
        </w:rPr>
        <w:t>，</w:t>
      </w:r>
      <w:r>
        <w:rPr>
          <w:rFonts w:hint="eastAsia" w:ascii="宋体" w:hAnsi="宋体" w:eastAsia="宋体" w:cs="宋体"/>
          <w:szCs w:val="21"/>
        </w:rPr>
        <w:t>属于当务之急</w:t>
      </w:r>
      <w:r>
        <w:rPr>
          <w:rFonts w:hint="eastAsia" w:ascii="宋体" w:hAnsi="宋体" w:eastAsia="宋体" w:cs="B4+cajcd fnta1"/>
          <w:szCs w:val="21"/>
        </w:rPr>
        <w:t>。</w:t>
      </w:r>
      <w:r>
        <w:rPr>
          <w:rFonts w:hint="eastAsia" w:ascii="宋体" w:hAnsi="宋体" w:eastAsia="宋体" w:cs="宋体"/>
          <w:szCs w:val="21"/>
        </w:rPr>
        <w:t>2007年</w:t>
      </w:r>
      <w:r>
        <w:rPr>
          <w:rFonts w:hint="eastAsia" w:ascii="宋体" w:hAnsi="宋体" w:eastAsia="宋体" w:cs="B4+cajcd fnta1"/>
          <w:szCs w:val="21"/>
        </w:rPr>
        <w:t>、</w:t>
      </w:r>
      <w:r>
        <w:rPr>
          <w:rFonts w:hint="eastAsia" w:ascii="宋体" w:hAnsi="宋体" w:eastAsia="宋体" w:cs="宋体"/>
          <w:szCs w:val="21"/>
        </w:rPr>
        <w:t>2009年分别召开的第一</w:t>
      </w:r>
      <w:r>
        <w:rPr>
          <w:rFonts w:hint="eastAsia" w:ascii="宋体" w:hAnsi="宋体" w:eastAsia="宋体" w:cs="B4+cajcd fnta1"/>
          <w:szCs w:val="21"/>
        </w:rPr>
        <w:t>、</w:t>
      </w:r>
      <w:r>
        <w:rPr>
          <w:rFonts w:hint="eastAsia" w:ascii="宋体" w:hAnsi="宋体" w:eastAsia="宋体" w:cs="宋体"/>
          <w:szCs w:val="21"/>
        </w:rPr>
        <w:t>二届</w:t>
      </w:r>
      <w:r>
        <w:rPr>
          <w:rFonts w:hint="eastAsia" w:ascii="宋体" w:hAnsi="宋体" w:eastAsia="宋体" w:cs="B4+cajcd fnta1"/>
          <w:szCs w:val="21"/>
        </w:rPr>
        <w:t>“</w:t>
      </w:r>
      <w:r>
        <w:rPr>
          <w:rFonts w:hint="eastAsia" w:ascii="宋体" w:hAnsi="宋体" w:eastAsia="宋体" w:cs="宋体"/>
          <w:szCs w:val="21"/>
        </w:rPr>
        <w:t>全国现代马克思主义政治经济学与应用经济学创新</w:t>
      </w:r>
      <w:r>
        <w:rPr>
          <w:rFonts w:hint="eastAsia" w:ascii="宋体" w:hAnsi="宋体" w:eastAsia="宋体" w:cs="B4+cajcd fnta1"/>
          <w:szCs w:val="21"/>
        </w:rPr>
        <w:t>”</w:t>
      </w:r>
      <w:r>
        <w:rPr>
          <w:rFonts w:hint="eastAsia" w:ascii="宋体" w:hAnsi="宋体" w:eastAsia="宋体" w:cs="宋体"/>
          <w:szCs w:val="21"/>
        </w:rPr>
        <w:t>研讨会便是一个转折性发展态势；中外经济学家已经倡导用发展着的现代政治经济学理论引领应用经济学的创新和发展</w:t>
      </w:r>
      <w:r>
        <w:rPr>
          <w:rFonts w:hint="eastAsia" w:ascii="宋体" w:hAnsi="宋体" w:eastAsia="宋体" w:cs="B5+CAJ FNT00"/>
          <w:szCs w:val="21"/>
        </w:rPr>
        <w:t>，</w:t>
      </w:r>
      <w:r>
        <w:rPr>
          <w:rFonts w:hint="eastAsia" w:ascii="宋体" w:hAnsi="宋体" w:eastAsia="宋体" w:cs="宋体"/>
          <w:szCs w:val="21"/>
        </w:rPr>
        <w:t>充分发挥现代马克思主义理论经济学和应用经济学在学术研究</w:t>
      </w:r>
      <w:r>
        <w:rPr>
          <w:rFonts w:hint="eastAsia" w:ascii="宋体" w:hAnsi="宋体" w:eastAsia="宋体" w:cs="B4+cajcd fnta1"/>
          <w:szCs w:val="21"/>
        </w:rPr>
        <w:t>、</w:t>
      </w:r>
      <w:r>
        <w:rPr>
          <w:rFonts w:hint="eastAsia" w:ascii="宋体" w:hAnsi="宋体" w:eastAsia="宋体" w:cs="宋体"/>
          <w:szCs w:val="21"/>
        </w:rPr>
        <w:t>政策制定</w:t>
      </w:r>
      <w:r>
        <w:rPr>
          <w:rFonts w:hint="eastAsia" w:ascii="宋体" w:hAnsi="宋体" w:eastAsia="宋体" w:cs="B4+cajcd fnta1"/>
          <w:szCs w:val="21"/>
        </w:rPr>
        <w:t>、</w:t>
      </w:r>
      <w:r>
        <w:rPr>
          <w:rFonts w:hint="eastAsia" w:ascii="宋体" w:hAnsi="宋体" w:eastAsia="宋体" w:cs="宋体"/>
          <w:szCs w:val="21"/>
        </w:rPr>
        <w:t>经济管理中的作用；强调要建立和健全政治经济学与应用经济学的互动互促关系</w:t>
      </w:r>
      <w:r>
        <w:rPr>
          <w:rFonts w:hint="eastAsia" w:ascii="宋体" w:hAnsi="宋体" w:eastAsia="宋体" w:cs="B5+CAJ FNT00"/>
          <w:szCs w:val="21"/>
        </w:rPr>
        <w:t>，</w:t>
      </w:r>
      <w:r>
        <w:rPr>
          <w:rFonts w:hint="eastAsia" w:ascii="宋体" w:hAnsi="宋体" w:eastAsia="宋体" w:cs="宋体"/>
          <w:szCs w:val="21"/>
        </w:rPr>
        <w:t>发表更多的学科交叉成果；主张要运用现代政治经济学的方法和理论</w:t>
      </w:r>
      <w:r>
        <w:rPr>
          <w:rFonts w:hint="eastAsia" w:ascii="宋体" w:hAnsi="宋体" w:eastAsia="宋体" w:cs="B5+CAJ FNT00"/>
          <w:szCs w:val="21"/>
        </w:rPr>
        <w:t>，</w:t>
      </w:r>
      <w:r>
        <w:rPr>
          <w:rFonts w:hint="eastAsia" w:ascii="宋体" w:hAnsi="宋体" w:eastAsia="宋体" w:cs="宋体"/>
          <w:szCs w:val="21"/>
        </w:rPr>
        <w:t>在有扬有弃地借鉴现代西方应用经济学的基础上</w:t>
      </w:r>
      <w:r>
        <w:rPr>
          <w:rFonts w:hint="eastAsia" w:ascii="宋体" w:hAnsi="宋体" w:eastAsia="宋体" w:cs="B5+CAJ FNT00"/>
          <w:szCs w:val="21"/>
        </w:rPr>
        <w:t>,</w:t>
      </w:r>
      <w:r>
        <w:rPr>
          <w:rFonts w:hint="eastAsia" w:ascii="宋体" w:hAnsi="宋体" w:eastAsia="宋体" w:cs="宋体"/>
          <w:szCs w:val="21"/>
        </w:rPr>
        <w:t>真正实现学术原创和应用高效</w:t>
      </w:r>
      <w:r>
        <w:rPr>
          <w:rFonts w:hint="eastAsia" w:ascii="宋体" w:hAnsi="宋体" w:eastAsia="宋体" w:cs="B4+cajcd fnta1"/>
          <w:szCs w:val="21"/>
        </w:rPr>
        <w:t>。</w:t>
      </w:r>
      <w:r>
        <w:rPr>
          <w:rFonts w:hint="eastAsia" w:ascii="宋体" w:hAnsi="宋体" w:eastAsia="宋体" w:cs="宋体"/>
          <w:szCs w:val="21"/>
        </w:rPr>
        <w:t>目前</w:t>
      </w:r>
      <w:r>
        <w:rPr>
          <w:rFonts w:hint="eastAsia" w:ascii="宋体" w:hAnsi="宋体" w:eastAsia="宋体" w:cs="B5+CAJ FNT00"/>
          <w:szCs w:val="21"/>
        </w:rPr>
        <w:t>,</w:t>
      </w:r>
      <w:r>
        <w:rPr>
          <w:rFonts w:hint="eastAsia" w:ascii="宋体" w:hAnsi="宋体" w:eastAsia="宋体" w:cs="宋体"/>
          <w:szCs w:val="21"/>
        </w:rPr>
        <w:t>文化经济学</w:t>
      </w:r>
      <w:r>
        <w:rPr>
          <w:rFonts w:hint="eastAsia" w:ascii="宋体" w:hAnsi="宋体" w:eastAsia="宋体" w:cs="B4+cajcd fnta1"/>
          <w:szCs w:val="21"/>
        </w:rPr>
        <w:t>、</w:t>
      </w:r>
      <w:r>
        <w:rPr>
          <w:rFonts w:hint="eastAsia" w:ascii="宋体" w:hAnsi="宋体" w:eastAsia="宋体" w:cs="宋体"/>
          <w:szCs w:val="21"/>
        </w:rPr>
        <w:t>可持续发展经济学</w:t>
      </w:r>
      <w:r>
        <w:rPr>
          <w:rFonts w:hint="eastAsia" w:ascii="宋体" w:hAnsi="宋体" w:eastAsia="宋体" w:cs="B4+cajcd fnta1"/>
          <w:szCs w:val="21"/>
        </w:rPr>
        <w:t>、</w:t>
      </w:r>
      <w:r>
        <w:rPr>
          <w:rFonts w:hint="eastAsia" w:ascii="宋体" w:hAnsi="宋体" w:eastAsia="宋体" w:cs="宋体"/>
          <w:szCs w:val="21"/>
        </w:rPr>
        <w:t>劳动经济学</w:t>
      </w:r>
      <w:r>
        <w:rPr>
          <w:rFonts w:hint="eastAsia" w:ascii="宋体" w:hAnsi="宋体" w:eastAsia="宋体" w:cs="B4+cajcd fnta1"/>
          <w:szCs w:val="21"/>
        </w:rPr>
        <w:t>、</w:t>
      </w:r>
      <w:r>
        <w:rPr>
          <w:rFonts w:hint="eastAsia" w:ascii="宋体" w:hAnsi="宋体" w:eastAsia="宋体" w:cs="宋体"/>
          <w:szCs w:val="21"/>
        </w:rPr>
        <w:t>产业经济学</w:t>
      </w:r>
      <w:r>
        <w:rPr>
          <w:rFonts w:hint="eastAsia" w:ascii="宋体" w:hAnsi="宋体" w:eastAsia="宋体" w:cs="B4+cajcd fnta1"/>
          <w:szCs w:val="21"/>
        </w:rPr>
        <w:t>、</w:t>
      </w:r>
      <w:r>
        <w:rPr>
          <w:rFonts w:hint="eastAsia" w:ascii="宋体" w:hAnsi="宋体" w:eastAsia="宋体" w:cs="宋体"/>
          <w:szCs w:val="21"/>
        </w:rPr>
        <w:t>贸易学</w:t>
      </w:r>
      <w:r>
        <w:rPr>
          <w:rFonts w:hint="eastAsia" w:ascii="宋体" w:hAnsi="宋体" w:eastAsia="宋体" w:cs="B4+cajcd fnta1"/>
          <w:szCs w:val="21"/>
        </w:rPr>
        <w:t>、</w:t>
      </w:r>
      <w:r>
        <w:rPr>
          <w:rFonts w:hint="eastAsia" w:ascii="宋体" w:hAnsi="宋体" w:eastAsia="宋体" w:cs="宋体"/>
          <w:szCs w:val="21"/>
        </w:rPr>
        <w:t>金融学</w:t>
      </w:r>
      <w:r>
        <w:rPr>
          <w:rFonts w:hint="eastAsia" w:ascii="宋体" w:hAnsi="宋体" w:eastAsia="宋体" w:cs="B4+cajcd fnta1"/>
          <w:szCs w:val="21"/>
        </w:rPr>
        <w:t>、</w:t>
      </w:r>
      <w:r>
        <w:rPr>
          <w:rFonts w:hint="eastAsia" w:ascii="宋体" w:hAnsi="宋体" w:eastAsia="宋体" w:cs="宋体"/>
          <w:szCs w:val="21"/>
        </w:rPr>
        <w:t>财政学等</w:t>
      </w:r>
      <w:r>
        <w:rPr>
          <w:rFonts w:hint="eastAsia" w:ascii="宋体" w:hAnsi="宋体" w:eastAsia="宋体" w:cs="B5+CAJ FNT00"/>
          <w:szCs w:val="21"/>
        </w:rPr>
        <w:t>，</w:t>
      </w:r>
      <w:r>
        <w:rPr>
          <w:rFonts w:hint="eastAsia" w:ascii="宋体" w:hAnsi="宋体" w:eastAsia="宋体" w:cs="宋体"/>
          <w:szCs w:val="21"/>
        </w:rPr>
        <w:t>已产生用与时俱进的现代政治经济学观点进行理论创新的一些成果</w:t>
      </w:r>
      <w:r>
        <w:rPr>
          <w:rFonts w:hint="eastAsia" w:ascii="宋体" w:hAnsi="宋体" w:eastAsia="宋体" w:cs="B5+CAJ FNT00"/>
          <w:szCs w:val="21"/>
        </w:rPr>
        <w:t>，</w:t>
      </w:r>
      <w:r>
        <w:rPr>
          <w:rFonts w:hint="eastAsia" w:ascii="宋体" w:hAnsi="宋体" w:eastAsia="宋体" w:cs="宋体"/>
          <w:szCs w:val="21"/>
        </w:rPr>
        <w:t>就是似乎较难做到的会计学</w:t>
      </w:r>
      <w:r>
        <w:rPr>
          <w:rFonts w:hint="eastAsia" w:ascii="宋体" w:hAnsi="宋体" w:eastAsia="宋体" w:cs="B5+CAJ FNT00"/>
          <w:szCs w:val="21"/>
        </w:rPr>
        <w:t>，</w:t>
      </w:r>
      <w:r>
        <w:rPr>
          <w:rFonts w:hint="eastAsia" w:ascii="宋体" w:hAnsi="宋体" w:eastAsia="宋体" w:cs="宋体"/>
          <w:szCs w:val="21"/>
        </w:rPr>
        <w:t>国内外也有一定进展</w:t>
      </w:r>
      <w:r>
        <w:rPr>
          <w:rFonts w:hint="eastAsia" w:ascii="宋体" w:hAnsi="宋体" w:eastAsia="宋体" w:cs="B4+cajcd fnta1"/>
          <w:szCs w:val="21"/>
        </w:rPr>
        <w:t>。</w:t>
      </w:r>
      <w:r>
        <w:rPr>
          <w:rFonts w:hint="eastAsia" w:ascii="宋体" w:hAnsi="宋体" w:eastAsia="宋体" w:cs="宋体"/>
          <w:szCs w:val="21"/>
        </w:rPr>
        <w:t>由刘国光和笔者总编的大约150本</w:t>
      </w:r>
      <w:r>
        <w:rPr>
          <w:rFonts w:hint="eastAsia" w:ascii="宋体" w:hAnsi="宋体" w:eastAsia="宋体" w:cs="B4+cajcd fnta1"/>
          <w:szCs w:val="21"/>
        </w:rPr>
        <w:t>《</w:t>
      </w:r>
      <w:r>
        <w:rPr>
          <w:rFonts w:hint="eastAsia" w:ascii="宋体" w:hAnsi="宋体" w:eastAsia="宋体" w:cs="宋体"/>
          <w:szCs w:val="21"/>
        </w:rPr>
        <w:t>中国经济科学百本教材</w:t>
      </w:r>
      <w:r>
        <w:rPr>
          <w:rFonts w:hint="eastAsia" w:ascii="宋体" w:hAnsi="宋体" w:eastAsia="宋体" w:cs="B4+cajcd fnta1"/>
          <w:szCs w:val="21"/>
        </w:rPr>
        <w:t>》</w:t>
      </w:r>
      <w:r>
        <w:rPr>
          <w:rFonts w:hint="eastAsia" w:ascii="宋体" w:hAnsi="宋体" w:eastAsia="宋体" w:cs="宋体"/>
          <w:szCs w:val="21"/>
        </w:rPr>
        <w:t>已经启动</w:t>
      </w:r>
      <w:r>
        <w:rPr>
          <w:rFonts w:hint="eastAsia" w:ascii="宋体" w:hAnsi="宋体" w:eastAsia="宋体" w:cs="B5+CAJ FNT00"/>
          <w:szCs w:val="21"/>
        </w:rPr>
        <w:t>，</w:t>
      </w:r>
      <w:r>
        <w:rPr>
          <w:rFonts w:hint="eastAsia" w:ascii="宋体" w:hAnsi="宋体" w:eastAsia="宋体" w:cs="宋体"/>
          <w:szCs w:val="21"/>
        </w:rPr>
        <w:t>将贯彻</w:t>
      </w:r>
      <w:r>
        <w:rPr>
          <w:rFonts w:hint="eastAsia" w:ascii="宋体" w:hAnsi="宋体" w:eastAsia="宋体" w:cs="B4+cajcd fnta1"/>
          <w:szCs w:val="21"/>
        </w:rPr>
        <w:t>“</w:t>
      </w:r>
      <w:r>
        <w:rPr>
          <w:rFonts w:hint="eastAsia" w:ascii="宋体" w:hAnsi="宋体" w:eastAsia="宋体" w:cs="宋体"/>
          <w:szCs w:val="21"/>
        </w:rPr>
        <w:t>马学为体</w:t>
      </w:r>
      <w:r>
        <w:rPr>
          <w:rFonts w:hint="eastAsia" w:ascii="宋体" w:hAnsi="宋体" w:eastAsia="宋体" w:cs="B4+cajcd fnta1"/>
          <w:szCs w:val="21"/>
        </w:rPr>
        <w:t>、</w:t>
      </w:r>
      <w:r>
        <w:rPr>
          <w:rFonts w:hint="eastAsia" w:ascii="宋体" w:hAnsi="宋体" w:eastAsia="宋体" w:cs="宋体"/>
          <w:szCs w:val="21"/>
        </w:rPr>
        <w:t>西学为用</w:t>
      </w:r>
      <w:r>
        <w:rPr>
          <w:rFonts w:hint="eastAsia" w:ascii="宋体" w:hAnsi="宋体" w:eastAsia="宋体" w:cs="B4+cajcd fnta1"/>
          <w:szCs w:val="21"/>
        </w:rPr>
        <w:t>、</w:t>
      </w:r>
      <w:r>
        <w:rPr>
          <w:rFonts w:hint="eastAsia" w:ascii="宋体" w:hAnsi="宋体" w:eastAsia="宋体" w:cs="宋体"/>
          <w:szCs w:val="21"/>
        </w:rPr>
        <w:t>国学为根</w:t>
      </w:r>
      <w:r>
        <w:rPr>
          <w:rFonts w:hint="eastAsia" w:ascii="宋体" w:hAnsi="宋体" w:eastAsia="宋体" w:cs="B5+CAJ FNT00"/>
          <w:szCs w:val="21"/>
        </w:rPr>
        <w:t>，</w:t>
      </w:r>
      <w:r>
        <w:rPr>
          <w:rFonts w:hint="eastAsia" w:ascii="宋体" w:hAnsi="宋体" w:eastAsia="宋体" w:cs="宋体"/>
          <w:szCs w:val="21"/>
        </w:rPr>
        <w:t>世情为鉴</w:t>
      </w:r>
      <w:r>
        <w:rPr>
          <w:rFonts w:hint="eastAsia" w:ascii="宋体" w:hAnsi="宋体" w:eastAsia="宋体" w:cs="B4+cajcd fnta1"/>
          <w:szCs w:val="21"/>
        </w:rPr>
        <w:t>、</w:t>
      </w:r>
      <w:r>
        <w:rPr>
          <w:rFonts w:hint="eastAsia" w:ascii="宋体" w:hAnsi="宋体" w:eastAsia="宋体" w:cs="宋体"/>
          <w:szCs w:val="21"/>
        </w:rPr>
        <w:t>国情为据</w:t>
      </w:r>
      <w:r>
        <w:rPr>
          <w:rFonts w:hint="eastAsia" w:ascii="宋体" w:hAnsi="宋体" w:eastAsia="宋体" w:cs="B5+CAJ FNT00"/>
          <w:szCs w:val="21"/>
        </w:rPr>
        <w:t>，</w:t>
      </w:r>
      <w:r>
        <w:rPr>
          <w:rFonts w:hint="eastAsia" w:ascii="宋体" w:hAnsi="宋体" w:eastAsia="宋体" w:cs="宋体"/>
          <w:szCs w:val="21"/>
        </w:rPr>
        <w:t>综合创新</w:t>
      </w:r>
      <w:r>
        <w:rPr>
          <w:rFonts w:hint="eastAsia" w:ascii="宋体" w:hAnsi="宋体" w:eastAsia="宋体" w:cs="B4+cajcd fnta1"/>
          <w:szCs w:val="21"/>
        </w:rPr>
        <w:t>”</w:t>
      </w:r>
      <w:r>
        <w:rPr>
          <w:rFonts w:hint="eastAsia" w:ascii="宋体" w:hAnsi="宋体" w:eastAsia="宋体" w:cs="宋体"/>
          <w:szCs w:val="21"/>
        </w:rPr>
        <w:t>的编写原则和精神</w:t>
      </w:r>
      <w:r>
        <w:rPr>
          <w:rFonts w:hint="eastAsia" w:ascii="宋体" w:hAnsi="宋体" w:eastAsia="宋体" w:cs="B5+CAJ FNT00"/>
          <w:szCs w:val="21"/>
        </w:rPr>
        <w:t>，</w:t>
      </w:r>
      <w:r>
        <w:rPr>
          <w:rFonts w:hint="eastAsia" w:ascii="宋体" w:hAnsi="宋体" w:eastAsia="宋体" w:cs="宋体"/>
          <w:szCs w:val="21"/>
        </w:rPr>
        <w:t>把与时俱进的中外马克思主义经济理论与其他理论经济学</w:t>
      </w:r>
      <w:r>
        <w:rPr>
          <w:rFonts w:hint="eastAsia" w:ascii="宋体" w:hAnsi="宋体" w:eastAsia="宋体" w:cs="B4+cajcd fnta1"/>
          <w:szCs w:val="21"/>
        </w:rPr>
        <w:t>、</w:t>
      </w:r>
      <w:r>
        <w:rPr>
          <w:rFonts w:hint="eastAsia" w:ascii="宋体" w:hAnsi="宋体" w:eastAsia="宋体" w:cs="宋体"/>
          <w:szCs w:val="21"/>
        </w:rPr>
        <w:t>应用经济学和交叉经济学的具体知识结合起来</w:t>
      </w:r>
      <w:r>
        <w:rPr>
          <w:rFonts w:hint="eastAsia" w:ascii="宋体" w:hAnsi="宋体" w:eastAsia="宋体" w:cs="B4+cajcd fnta1"/>
          <w:szCs w:val="21"/>
        </w:rPr>
        <w:t>。</w:t>
      </w:r>
      <w:r>
        <w:rPr>
          <w:rFonts w:hint="eastAsia" w:ascii="宋体" w:hAnsi="宋体" w:eastAsia="宋体" w:cs="宋体"/>
          <w:szCs w:val="21"/>
        </w:rPr>
        <w:t>同时</w:t>
      </w:r>
      <w:r>
        <w:rPr>
          <w:rFonts w:hint="eastAsia" w:ascii="宋体" w:hAnsi="宋体" w:eastAsia="宋体" w:cs="B5+CAJ FNT00"/>
          <w:szCs w:val="21"/>
        </w:rPr>
        <w:t>，</w:t>
      </w:r>
      <w:r>
        <w:rPr>
          <w:rFonts w:hint="eastAsia" w:ascii="宋体" w:hAnsi="宋体" w:eastAsia="宋体" w:cs="宋体"/>
          <w:szCs w:val="21"/>
        </w:rPr>
        <w:t>笔者主编的</w:t>
      </w:r>
      <w:r>
        <w:rPr>
          <w:rFonts w:hint="eastAsia" w:ascii="宋体" w:hAnsi="宋体" w:eastAsia="宋体" w:cs="B4+cajcd fnta1"/>
          <w:szCs w:val="21"/>
        </w:rPr>
        <w:t>《</w:t>
      </w:r>
      <w:r>
        <w:rPr>
          <w:rFonts w:hint="eastAsia" w:ascii="宋体" w:hAnsi="宋体" w:eastAsia="宋体" w:cs="宋体"/>
          <w:szCs w:val="21"/>
        </w:rPr>
        <w:t>新编现代政治经济学</w:t>
      </w:r>
      <w:r>
        <w:rPr>
          <w:rFonts w:hint="eastAsia" w:ascii="宋体" w:hAnsi="宋体" w:eastAsia="宋体" w:cs="B4+cajcd fnta1"/>
          <w:szCs w:val="21"/>
        </w:rPr>
        <w:t>》</w:t>
      </w:r>
      <w:r>
        <w:rPr>
          <w:rFonts w:hint="eastAsia" w:ascii="宋体" w:hAnsi="宋体" w:eastAsia="宋体" w:cs="宋体"/>
          <w:szCs w:val="21"/>
        </w:rPr>
        <w:t>等经济学教材和专著已开始追溯经济思想的国学之根</w:t>
      </w:r>
      <w:r>
        <w:rPr>
          <w:rFonts w:hint="eastAsia" w:ascii="宋体" w:hAnsi="宋体" w:eastAsia="宋体" w:cs="B5+CAJ FNT00"/>
          <w:szCs w:val="21"/>
        </w:rPr>
        <w:t>，</w:t>
      </w:r>
      <w:r>
        <w:rPr>
          <w:rFonts w:hint="eastAsia" w:ascii="宋体" w:hAnsi="宋体" w:eastAsia="宋体" w:cs="宋体"/>
          <w:szCs w:val="21"/>
        </w:rPr>
        <w:t>弘扬中华文明</w:t>
      </w:r>
      <w:r>
        <w:rPr>
          <w:rFonts w:hint="eastAsia" w:ascii="宋体" w:hAnsi="宋体" w:eastAsia="宋体" w:cs="B4+cajcd fnta1"/>
          <w:szCs w:val="21"/>
        </w:rPr>
        <w:t>。</w:t>
      </w:r>
    </w:p>
    <w:p w14:paraId="49B05392">
      <w:pPr>
        <w:spacing w:line="400" w:lineRule="exact"/>
        <w:ind w:firstLine="440" w:firstLineChars="200"/>
        <w:rPr>
          <w:rFonts w:ascii="宋体" w:hAnsi="宋体" w:eastAsia="宋体" w:cs="宋体"/>
          <w:szCs w:val="21"/>
        </w:rPr>
      </w:pPr>
      <w:r>
        <w:rPr>
          <w:rFonts w:hint="eastAsia" w:ascii="宋体" w:hAnsi="宋体" w:eastAsia="宋体" w:cs="宋体"/>
          <w:szCs w:val="21"/>
        </w:rPr>
        <w:t>五是注重与国外马克思主义经济学的互动和借鉴</w:t>
      </w:r>
      <w:r>
        <w:rPr>
          <w:rFonts w:hint="eastAsia" w:ascii="宋体" w:hAnsi="宋体" w:eastAsia="宋体" w:cs="B4+cajcd fnta1"/>
          <w:szCs w:val="21"/>
        </w:rPr>
        <w:t>。</w:t>
      </w:r>
      <w:r>
        <w:rPr>
          <w:rFonts w:hint="eastAsia" w:ascii="宋体" w:hAnsi="宋体" w:eastAsia="宋体" w:cs="宋体"/>
          <w:szCs w:val="21"/>
        </w:rPr>
        <w:t>中国马克思主义经济学的现代化必须与国外当代马克思主义经济学实行</w:t>
      </w:r>
      <w:r>
        <w:rPr>
          <w:rFonts w:hint="eastAsia" w:ascii="宋体" w:hAnsi="宋体" w:eastAsia="宋体" w:cs="B4+cajcd fnta1"/>
          <w:szCs w:val="21"/>
        </w:rPr>
        <w:t>“</w:t>
      </w:r>
      <w:r>
        <w:rPr>
          <w:rFonts w:hint="eastAsia" w:ascii="宋体" w:hAnsi="宋体" w:eastAsia="宋体" w:cs="宋体"/>
          <w:szCs w:val="21"/>
        </w:rPr>
        <w:t>引进来</w:t>
      </w:r>
      <w:r>
        <w:rPr>
          <w:rFonts w:hint="eastAsia" w:ascii="宋体" w:hAnsi="宋体" w:eastAsia="宋体" w:cs="B4+cajcd fnta1"/>
          <w:szCs w:val="21"/>
        </w:rPr>
        <w:t>、</w:t>
      </w:r>
      <w:r>
        <w:rPr>
          <w:rFonts w:hint="eastAsia" w:ascii="宋体" w:hAnsi="宋体" w:eastAsia="宋体" w:cs="宋体"/>
          <w:szCs w:val="21"/>
        </w:rPr>
        <w:t>走出去</w:t>
      </w:r>
      <w:r>
        <w:rPr>
          <w:rFonts w:hint="eastAsia" w:ascii="宋体" w:hAnsi="宋体" w:eastAsia="宋体" w:cs="B4+cajcd fnta1"/>
          <w:szCs w:val="21"/>
        </w:rPr>
        <w:t>”</w:t>
      </w:r>
      <w:r>
        <w:rPr>
          <w:rFonts w:hint="eastAsia" w:ascii="宋体" w:hAnsi="宋体" w:eastAsia="宋体" w:cs="宋体"/>
          <w:szCs w:val="21"/>
        </w:rPr>
        <w:t>的双向交流</w:t>
      </w:r>
      <w:r>
        <w:rPr>
          <w:rFonts w:hint="eastAsia" w:ascii="宋体" w:hAnsi="宋体" w:eastAsia="宋体" w:cs="B5+CAJ FNT00"/>
          <w:szCs w:val="21"/>
        </w:rPr>
        <w:t>，</w:t>
      </w:r>
      <w:r>
        <w:rPr>
          <w:rFonts w:hint="eastAsia" w:ascii="宋体" w:hAnsi="宋体" w:eastAsia="宋体" w:cs="宋体"/>
          <w:szCs w:val="21"/>
        </w:rPr>
        <w:t>因为国外经济学科学的主要学术前沿在马克思主义经济理论研究领域</w:t>
      </w:r>
      <w:r>
        <w:rPr>
          <w:rFonts w:hint="eastAsia" w:ascii="宋体" w:hAnsi="宋体" w:eastAsia="宋体" w:cs="B4+cajcd fnta1"/>
          <w:szCs w:val="21"/>
        </w:rPr>
        <w:t>。</w:t>
      </w:r>
      <w:r>
        <w:rPr>
          <w:rFonts w:hint="eastAsia" w:ascii="宋体" w:hAnsi="宋体" w:eastAsia="宋体" w:cs="宋体"/>
          <w:szCs w:val="21"/>
        </w:rPr>
        <w:t>近四年全球学术团体</w:t>
      </w:r>
      <w:r>
        <w:rPr>
          <w:rFonts w:hint="eastAsia" w:ascii="宋体" w:hAnsi="宋体" w:eastAsia="宋体" w:cs="B4+cajcd fnta1"/>
          <w:szCs w:val="21"/>
        </w:rPr>
        <w:t>）</w:t>
      </w:r>
      <w:r>
        <w:rPr>
          <w:rFonts w:hint="eastAsia" w:ascii="宋体" w:hAnsi="宋体" w:eastAsia="宋体" w:cs="宋体"/>
          <w:szCs w:val="21"/>
        </w:rPr>
        <w:t>世界政治经济学学会在上海</w:t>
      </w:r>
      <w:r>
        <w:rPr>
          <w:rFonts w:hint="eastAsia" w:ascii="宋体" w:hAnsi="宋体" w:eastAsia="宋体" w:cs="B4+cajcd fnta1"/>
          <w:szCs w:val="21"/>
        </w:rPr>
        <w:t>、</w:t>
      </w:r>
      <w:r>
        <w:rPr>
          <w:rFonts w:hint="eastAsia" w:ascii="宋体" w:hAnsi="宋体" w:eastAsia="宋体" w:cs="宋体"/>
          <w:szCs w:val="21"/>
        </w:rPr>
        <w:t>日本</w:t>
      </w:r>
      <w:r>
        <w:rPr>
          <w:rFonts w:hint="eastAsia" w:ascii="宋体" w:hAnsi="宋体" w:eastAsia="宋体" w:cs="B4+cajcd fnta1"/>
          <w:szCs w:val="21"/>
        </w:rPr>
        <w:t>、</w:t>
      </w:r>
      <w:r>
        <w:rPr>
          <w:rFonts w:hint="eastAsia" w:ascii="宋体" w:hAnsi="宋体" w:eastAsia="宋体" w:cs="宋体"/>
          <w:szCs w:val="21"/>
        </w:rPr>
        <w:t>北京和法国分别成功举办</w:t>
      </w:r>
      <w:r>
        <w:rPr>
          <w:rFonts w:hint="eastAsia" w:ascii="宋体" w:hAnsi="宋体" w:eastAsia="宋体" w:cs="B4+cajcd fnta1"/>
          <w:szCs w:val="21"/>
        </w:rPr>
        <w:t>“</w:t>
      </w:r>
      <w:r>
        <w:rPr>
          <w:rFonts w:hint="eastAsia" w:ascii="宋体" w:hAnsi="宋体" w:eastAsia="宋体" w:cs="宋体"/>
          <w:szCs w:val="21"/>
        </w:rPr>
        <w:t>经济全球化与现代马克思主义经济学</w:t>
      </w:r>
      <w:r>
        <w:rPr>
          <w:rFonts w:hint="eastAsia" w:ascii="宋体" w:hAnsi="宋体" w:eastAsia="宋体" w:cs="B4+cajcd fnta1"/>
          <w:szCs w:val="21"/>
        </w:rPr>
        <w:t>”、“</w:t>
      </w:r>
      <w:r>
        <w:rPr>
          <w:rFonts w:hint="eastAsia" w:ascii="宋体" w:hAnsi="宋体" w:eastAsia="宋体" w:cs="宋体"/>
          <w:szCs w:val="21"/>
        </w:rPr>
        <w:t>世界劳资关系的现代政治经济学观察</w:t>
      </w:r>
      <w:r>
        <w:rPr>
          <w:rFonts w:hint="eastAsia" w:ascii="宋体" w:hAnsi="宋体" w:eastAsia="宋体" w:cs="B4+cajcd fnta1"/>
          <w:szCs w:val="21"/>
        </w:rPr>
        <w:t>”、“</w:t>
      </w:r>
      <w:r>
        <w:rPr>
          <w:rFonts w:hint="eastAsia" w:ascii="宋体" w:hAnsi="宋体" w:eastAsia="宋体" w:cs="宋体"/>
          <w:szCs w:val="21"/>
        </w:rPr>
        <w:t>马克思主义与可持续发展</w:t>
      </w:r>
      <w:r>
        <w:rPr>
          <w:rFonts w:hint="eastAsia" w:ascii="宋体" w:hAnsi="宋体" w:eastAsia="宋体" w:cs="B4+cajcd fnta1"/>
          <w:szCs w:val="21"/>
        </w:rPr>
        <w:t>”、“</w:t>
      </w:r>
      <w:r>
        <w:rPr>
          <w:rFonts w:hint="eastAsia" w:ascii="宋体" w:hAnsi="宋体" w:eastAsia="宋体" w:cs="宋体"/>
          <w:szCs w:val="21"/>
        </w:rPr>
        <w:t>民族</w:t>
      </w:r>
      <w:r>
        <w:rPr>
          <w:rFonts w:hint="eastAsia" w:ascii="宋体" w:hAnsi="宋体" w:eastAsia="宋体" w:cs="B4+cajcd fnta1"/>
          <w:szCs w:val="21"/>
        </w:rPr>
        <w:t>、</w:t>
      </w:r>
      <w:r>
        <w:rPr>
          <w:rFonts w:hint="eastAsia" w:ascii="宋体" w:hAnsi="宋体" w:eastAsia="宋体" w:cs="宋体"/>
          <w:szCs w:val="21"/>
        </w:rPr>
        <w:t>国家和全球经济政治的民主治理</w:t>
      </w:r>
      <w:r>
        <w:rPr>
          <w:rFonts w:hint="eastAsia" w:ascii="宋体" w:hAnsi="宋体" w:eastAsia="宋体" w:cs="B4+cajcd fnta1"/>
          <w:szCs w:val="21"/>
        </w:rPr>
        <w:t>”</w:t>
      </w:r>
      <w:r>
        <w:rPr>
          <w:rFonts w:hint="eastAsia" w:ascii="宋体" w:hAnsi="宋体" w:eastAsia="宋体" w:cs="宋体"/>
          <w:szCs w:val="21"/>
        </w:rPr>
        <w:t>四届国际论坛</w:t>
      </w:r>
      <w:r>
        <w:rPr>
          <w:rFonts w:hint="eastAsia" w:ascii="宋体" w:hAnsi="宋体" w:eastAsia="宋体" w:cs="B5+CAJ FNT00"/>
          <w:szCs w:val="21"/>
        </w:rPr>
        <w:t>，</w:t>
      </w:r>
      <w:r>
        <w:rPr>
          <w:rFonts w:hint="eastAsia" w:ascii="宋体" w:hAnsi="宋体" w:eastAsia="宋体" w:cs="宋体"/>
          <w:szCs w:val="21"/>
        </w:rPr>
        <w:t>并发表了相关理论的共识宣言</w:t>
      </w:r>
      <w:r>
        <w:rPr>
          <w:rFonts w:hint="eastAsia" w:ascii="宋体" w:hAnsi="宋体" w:eastAsia="宋体" w:cs="B4+cajcd fnta1"/>
          <w:szCs w:val="21"/>
        </w:rPr>
        <w:t>。</w:t>
      </w:r>
      <w:r>
        <w:rPr>
          <w:rFonts w:hint="eastAsia" w:ascii="宋体" w:hAnsi="宋体" w:eastAsia="宋体" w:cs="宋体"/>
          <w:szCs w:val="21"/>
        </w:rPr>
        <w:t>从20多个世界主要国家的百位经济学家提交的众多论文来看</w:t>
      </w:r>
      <w:r>
        <w:rPr>
          <w:rFonts w:hint="eastAsia" w:ascii="宋体" w:hAnsi="宋体" w:eastAsia="宋体" w:cs="B5+CAJ FNT00"/>
          <w:szCs w:val="21"/>
        </w:rPr>
        <w:t>，</w:t>
      </w:r>
      <w:r>
        <w:rPr>
          <w:rFonts w:hint="eastAsia" w:ascii="宋体" w:hAnsi="宋体" w:eastAsia="宋体" w:cs="宋体"/>
          <w:szCs w:val="21"/>
        </w:rPr>
        <w:t>具有中国特色的经济学理论已经越来越受到各国学者的高度重视</w:t>
      </w:r>
      <w:r>
        <w:rPr>
          <w:rFonts w:hint="eastAsia" w:ascii="宋体" w:hAnsi="宋体" w:eastAsia="宋体" w:cs="B4+cajcd fnta1"/>
          <w:szCs w:val="21"/>
        </w:rPr>
        <w:t>。</w:t>
      </w:r>
      <w:r>
        <w:rPr>
          <w:rFonts w:hint="eastAsia" w:ascii="宋体" w:hAnsi="宋体" w:eastAsia="宋体" w:cs="宋体"/>
          <w:szCs w:val="21"/>
        </w:rPr>
        <w:t>中国马克思主义经济学家已越来越多地在国外马克思主义或左翼刊物发表文章</w:t>
      </w:r>
      <w:r>
        <w:rPr>
          <w:rFonts w:hint="eastAsia" w:ascii="宋体" w:hAnsi="宋体" w:eastAsia="宋体" w:cs="B5+CAJ FNT00"/>
          <w:szCs w:val="21"/>
        </w:rPr>
        <w:t>，</w:t>
      </w:r>
      <w:r>
        <w:rPr>
          <w:rFonts w:hint="eastAsia" w:ascii="宋体" w:hAnsi="宋体" w:eastAsia="宋体" w:cs="宋体"/>
          <w:szCs w:val="21"/>
        </w:rPr>
        <w:t>越南前年也已出版笔者主编的</w:t>
      </w:r>
      <w:r>
        <w:rPr>
          <w:rFonts w:hint="eastAsia" w:ascii="宋体" w:hAnsi="宋体" w:eastAsia="宋体" w:cs="B4+cajcd fnta1"/>
          <w:szCs w:val="21"/>
        </w:rPr>
        <w:t>《</w:t>
      </w:r>
      <w:r>
        <w:rPr>
          <w:rFonts w:hint="eastAsia" w:ascii="宋体" w:hAnsi="宋体" w:eastAsia="宋体" w:cs="宋体"/>
          <w:szCs w:val="21"/>
        </w:rPr>
        <w:t>新编现代政治经济学</w:t>
      </w:r>
      <w:r>
        <w:rPr>
          <w:rFonts w:hint="eastAsia" w:ascii="宋体" w:hAnsi="宋体" w:eastAsia="宋体" w:cs="B4+cajcd fnta1"/>
          <w:szCs w:val="21"/>
        </w:rPr>
        <w:t>》</w:t>
      </w:r>
      <w:r>
        <w:rPr>
          <w:rFonts w:hint="eastAsia" w:ascii="宋体" w:hAnsi="宋体" w:eastAsia="宋体" w:cs="宋体"/>
          <w:szCs w:val="21"/>
        </w:rPr>
        <w:t>教材</w:t>
      </w:r>
      <w:r>
        <w:rPr>
          <w:rFonts w:hint="eastAsia" w:ascii="宋体" w:hAnsi="宋体" w:eastAsia="宋体" w:cs="B4+cajcd fnta1"/>
          <w:szCs w:val="21"/>
        </w:rPr>
        <w:t>。</w:t>
      </w:r>
      <w:r>
        <w:rPr>
          <w:rFonts w:hint="eastAsia" w:ascii="宋体" w:hAnsi="宋体" w:eastAsia="宋体" w:cs="宋体"/>
          <w:szCs w:val="21"/>
        </w:rPr>
        <w:t>同时</w:t>
      </w:r>
      <w:r>
        <w:rPr>
          <w:rFonts w:hint="eastAsia" w:ascii="宋体" w:hAnsi="宋体" w:eastAsia="宋体" w:cs="B5+CAJ FNT00"/>
          <w:szCs w:val="21"/>
        </w:rPr>
        <w:t>,</w:t>
      </w:r>
      <w:r>
        <w:rPr>
          <w:rFonts w:hint="eastAsia" w:ascii="宋体" w:hAnsi="宋体" w:eastAsia="宋体" w:cs="宋体"/>
          <w:szCs w:val="21"/>
        </w:rPr>
        <w:t>我国学者正在选译100本国外马克思主义经济学名著</w:t>
      </w:r>
      <w:r>
        <w:rPr>
          <w:rFonts w:hint="eastAsia" w:ascii="宋体" w:hAnsi="宋体" w:eastAsia="宋体" w:cs="B5+CAJ FNT00"/>
          <w:szCs w:val="21"/>
        </w:rPr>
        <w:t>，</w:t>
      </w:r>
      <w:r>
        <w:rPr>
          <w:rFonts w:hint="eastAsia" w:ascii="宋体" w:hAnsi="宋体" w:eastAsia="宋体" w:cs="宋体"/>
          <w:szCs w:val="21"/>
        </w:rPr>
        <w:t>美国大卫</w:t>
      </w:r>
      <w:r>
        <w:rPr>
          <w:rFonts w:hint="eastAsia" w:ascii="宋体" w:hAnsi="宋体" w:eastAsia="宋体" w:cs="B4+cajcd fnta1"/>
          <w:szCs w:val="21"/>
        </w:rPr>
        <w:t>.</w:t>
      </w:r>
      <w:r>
        <w:rPr>
          <w:rFonts w:hint="eastAsia" w:ascii="宋体" w:hAnsi="宋体" w:eastAsia="宋体" w:cs="宋体"/>
          <w:szCs w:val="21"/>
        </w:rPr>
        <w:t>科茨</w:t>
      </w:r>
      <w:r>
        <w:rPr>
          <w:rFonts w:hint="eastAsia" w:ascii="宋体" w:hAnsi="宋体" w:eastAsia="宋体" w:cs="B4+cajcd fnta1"/>
          <w:szCs w:val="21"/>
        </w:rPr>
        <w:t>、</w:t>
      </w:r>
      <w:r>
        <w:rPr>
          <w:rFonts w:hint="eastAsia" w:ascii="宋体" w:hAnsi="宋体" w:eastAsia="宋体" w:cs="宋体"/>
          <w:szCs w:val="21"/>
        </w:rPr>
        <w:t>日本伊藤诚</w:t>
      </w:r>
      <w:r>
        <w:rPr>
          <w:rFonts w:hint="eastAsia" w:ascii="宋体" w:hAnsi="宋体" w:eastAsia="宋体" w:cs="B4+cajcd fnta1"/>
          <w:szCs w:val="21"/>
        </w:rPr>
        <w:t>、</w:t>
      </w:r>
      <w:r>
        <w:rPr>
          <w:rFonts w:hint="eastAsia" w:ascii="宋体" w:hAnsi="宋体" w:eastAsia="宋体" w:cs="宋体"/>
          <w:szCs w:val="21"/>
        </w:rPr>
        <w:t>法国迪劳内等世界著名马克思主义经济学家的前沿理论</w:t>
      </w:r>
      <w:r>
        <w:rPr>
          <w:rFonts w:hint="eastAsia" w:ascii="宋体" w:hAnsi="宋体" w:eastAsia="宋体" w:cs="B5+CAJ FNT00"/>
          <w:szCs w:val="21"/>
        </w:rPr>
        <w:t>，</w:t>
      </w:r>
      <w:r>
        <w:rPr>
          <w:rFonts w:hint="eastAsia" w:ascii="宋体" w:hAnsi="宋体" w:eastAsia="宋体" w:cs="宋体"/>
          <w:szCs w:val="21"/>
        </w:rPr>
        <w:t>已经被中国学者所关注和借鉴</w:t>
      </w:r>
      <w:r>
        <w:rPr>
          <w:rFonts w:hint="eastAsia" w:ascii="宋体" w:hAnsi="宋体" w:eastAsia="宋体" w:cs="B4+cajcd fnta1"/>
          <w:szCs w:val="21"/>
        </w:rPr>
        <w:t>。</w:t>
      </w:r>
      <w:r>
        <w:rPr>
          <w:rFonts w:hint="eastAsia" w:ascii="宋体" w:hAnsi="宋体" w:eastAsia="宋体" w:cs="宋体"/>
          <w:szCs w:val="21"/>
        </w:rPr>
        <w:t>世界政治经济学学会今年已开始年年颁发</w:t>
      </w:r>
      <w:r>
        <w:rPr>
          <w:rFonts w:hint="eastAsia" w:ascii="宋体" w:hAnsi="宋体" w:eastAsia="宋体" w:cs="B4+cajcd fnta1"/>
          <w:szCs w:val="21"/>
        </w:rPr>
        <w:t>“</w:t>
      </w:r>
      <w:r>
        <w:rPr>
          <w:rFonts w:hint="eastAsia" w:ascii="宋体" w:hAnsi="宋体" w:eastAsia="宋体" w:cs="宋体"/>
          <w:szCs w:val="21"/>
        </w:rPr>
        <w:t>21世纪现代政治经济学杰出成果奖</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明年创刊</w:t>
      </w:r>
      <w:r>
        <w:rPr>
          <w:rFonts w:hint="eastAsia" w:ascii="宋体" w:hAnsi="宋体" w:eastAsia="宋体" w:cs="B4+cajcd fnta1"/>
          <w:szCs w:val="21"/>
        </w:rPr>
        <w:t>《</w:t>
      </w:r>
      <w:r>
        <w:rPr>
          <w:rFonts w:hint="eastAsia" w:ascii="宋体" w:hAnsi="宋体" w:eastAsia="宋体" w:cs="宋体"/>
          <w:szCs w:val="21"/>
        </w:rPr>
        <w:t>世界政治经济学评论</w:t>
      </w:r>
      <w:r>
        <w:rPr>
          <w:rFonts w:hint="eastAsia" w:ascii="宋体" w:hAnsi="宋体" w:eastAsia="宋体" w:cs="B4+cajcd fnta1"/>
          <w:szCs w:val="21"/>
        </w:rPr>
        <w:t>》</w:t>
      </w:r>
      <w:r>
        <w:rPr>
          <w:rFonts w:hint="eastAsia" w:ascii="宋体" w:hAnsi="宋体" w:eastAsia="宋体" w:cs="B5+CAJ FNT00"/>
          <w:szCs w:val="21"/>
        </w:rPr>
        <w:t>,</w:t>
      </w:r>
      <w:r>
        <w:rPr>
          <w:rFonts w:hint="eastAsia" w:ascii="宋体" w:hAnsi="宋体" w:eastAsia="宋体" w:cs="宋体"/>
          <w:szCs w:val="21"/>
        </w:rPr>
        <w:t>将进一步推动中外乃至全球马克思主义经济学的全方位合作和交往</w:t>
      </w:r>
      <w:r>
        <w:rPr>
          <w:rFonts w:hint="eastAsia" w:ascii="宋体" w:hAnsi="宋体" w:eastAsia="宋体" w:cs="B4+cajcd fnta1"/>
          <w:szCs w:val="21"/>
        </w:rPr>
        <w:t>。</w:t>
      </w:r>
      <w:r>
        <w:rPr>
          <w:rFonts w:hint="eastAsia" w:ascii="宋体" w:hAnsi="宋体" w:eastAsia="宋体" w:cs="宋体"/>
          <w:szCs w:val="21"/>
        </w:rPr>
        <w:t>这种双向和全球学术交流和借鉴是中国马克思主义经济学现代化的重要走势和图像</w:t>
      </w:r>
      <w:r>
        <w:rPr>
          <w:rFonts w:hint="eastAsia" w:ascii="宋体" w:hAnsi="宋体" w:eastAsia="宋体" w:cs="B5+CAJ FNT00"/>
          <w:szCs w:val="21"/>
        </w:rPr>
        <w:t>，</w:t>
      </w:r>
      <w:r>
        <w:rPr>
          <w:rFonts w:hint="eastAsia" w:ascii="宋体" w:hAnsi="宋体" w:eastAsia="宋体" w:cs="宋体"/>
          <w:szCs w:val="21"/>
        </w:rPr>
        <w:t>而</w:t>
      </w:r>
      <w:r>
        <w:rPr>
          <w:rFonts w:hint="eastAsia" w:ascii="宋体" w:hAnsi="宋体" w:eastAsia="宋体" w:cs="B4+cajcd fnta1"/>
          <w:szCs w:val="21"/>
        </w:rPr>
        <w:t>“</w:t>
      </w:r>
      <w:r>
        <w:rPr>
          <w:rFonts w:hint="eastAsia" w:ascii="宋体" w:hAnsi="宋体" w:eastAsia="宋体" w:cs="宋体"/>
          <w:szCs w:val="21"/>
        </w:rPr>
        <w:t>学术话语权</w:t>
      </w:r>
      <w:r>
        <w:rPr>
          <w:rFonts w:hint="eastAsia" w:ascii="宋体" w:hAnsi="宋体" w:eastAsia="宋体" w:cs="B4+cajcd fnta1"/>
          <w:szCs w:val="21"/>
        </w:rPr>
        <w:t>”</w:t>
      </w:r>
      <w:r>
        <w:rPr>
          <w:rFonts w:hint="eastAsia" w:ascii="宋体" w:hAnsi="宋体" w:eastAsia="宋体" w:cs="宋体"/>
          <w:szCs w:val="21"/>
        </w:rPr>
        <w:t>是</w:t>
      </w:r>
      <w:r>
        <w:rPr>
          <w:rFonts w:hint="eastAsia" w:ascii="宋体" w:hAnsi="宋体" w:eastAsia="宋体" w:cs="B4+cajcd fnta1"/>
          <w:szCs w:val="21"/>
        </w:rPr>
        <w:t>“</w:t>
      </w:r>
      <w:r>
        <w:rPr>
          <w:rFonts w:hint="eastAsia" w:ascii="宋体" w:hAnsi="宋体" w:eastAsia="宋体" w:cs="宋体"/>
          <w:szCs w:val="21"/>
        </w:rPr>
        <w:t>软实力</w:t>
      </w:r>
      <w:r>
        <w:rPr>
          <w:rFonts w:hint="eastAsia" w:ascii="宋体" w:hAnsi="宋体" w:eastAsia="宋体" w:cs="B4+cajcd fnta1"/>
          <w:szCs w:val="21"/>
        </w:rPr>
        <w:t>”</w:t>
      </w:r>
      <w:r>
        <w:rPr>
          <w:rFonts w:hint="eastAsia" w:ascii="宋体" w:hAnsi="宋体" w:eastAsia="宋体" w:cs="宋体"/>
          <w:szCs w:val="21"/>
        </w:rPr>
        <w:t>的高端部分和表现</w:t>
      </w:r>
      <w:r>
        <w:rPr>
          <w:rFonts w:hint="eastAsia" w:ascii="宋体" w:hAnsi="宋体" w:eastAsia="宋体" w:cs="B4+cajcd fnta1"/>
          <w:szCs w:val="21"/>
        </w:rPr>
        <w:t>。</w:t>
      </w:r>
    </w:p>
    <w:p w14:paraId="6B60A007">
      <w:pPr>
        <w:spacing w:line="400" w:lineRule="exact"/>
        <w:ind w:firstLine="440" w:firstLineChars="200"/>
        <w:rPr>
          <w:rFonts w:ascii="宋体" w:hAnsi="宋体" w:eastAsia="宋体" w:cs="宋体"/>
          <w:szCs w:val="21"/>
        </w:rPr>
      </w:pPr>
      <w:r>
        <w:rPr>
          <w:rFonts w:hint="eastAsia" w:ascii="宋体" w:hAnsi="宋体" w:eastAsia="宋体" w:cs="宋体"/>
          <w:szCs w:val="21"/>
        </w:rPr>
        <w:t>参考文献：</w:t>
      </w:r>
    </w:p>
    <w:p w14:paraId="27699D64">
      <w:pPr>
        <w:spacing w:line="400" w:lineRule="exact"/>
        <w:ind w:firstLine="200"/>
        <w:rPr>
          <w:rFonts w:ascii="宋体" w:hAnsi="宋体" w:eastAsia="宋体" w:cs="宋体"/>
          <w:sz w:val="18"/>
          <w:szCs w:val="18"/>
        </w:rPr>
      </w:pPr>
      <w:r>
        <w:rPr>
          <w:rFonts w:hint="eastAsia" w:ascii="宋体" w:hAnsi="宋体" w:eastAsia="宋体" w:cs="宋体"/>
          <w:sz w:val="18"/>
          <w:szCs w:val="18"/>
        </w:rPr>
        <w:t>[l] 辞海[M] 语词分册（上）. 上海上海辞书出版社</w:t>
      </w:r>
      <w:r>
        <w:rPr>
          <w:rFonts w:hint="eastAsia" w:ascii="宋体" w:hAnsi="宋体" w:eastAsia="宋体" w:cs="B5+CAJ FNT00"/>
          <w:sz w:val="18"/>
          <w:szCs w:val="18"/>
        </w:rPr>
        <w:t>,</w:t>
      </w:r>
      <w:r>
        <w:rPr>
          <w:rFonts w:hint="eastAsia" w:ascii="宋体" w:hAnsi="宋体" w:eastAsia="宋体" w:cs="宋体"/>
          <w:sz w:val="18"/>
          <w:szCs w:val="18"/>
        </w:rPr>
        <w:t>2001.</w:t>
      </w:r>
    </w:p>
    <w:p w14:paraId="25F1F59A">
      <w:pPr>
        <w:spacing w:line="400" w:lineRule="exact"/>
        <w:ind w:firstLine="200"/>
        <w:rPr>
          <w:rFonts w:ascii="宋体" w:hAnsi="宋体" w:eastAsia="宋体" w:cs="宋体"/>
          <w:sz w:val="18"/>
          <w:szCs w:val="18"/>
        </w:rPr>
      </w:pPr>
      <w:r>
        <w:rPr>
          <w:rFonts w:hint="eastAsia" w:ascii="宋体" w:hAnsi="宋体" w:eastAsia="宋体" w:cs="宋体"/>
          <w:sz w:val="18"/>
          <w:szCs w:val="18"/>
        </w:rPr>
        <w:t>[2] 毛泽东选集[M]第2卷.北京：人民出版社</w:t>
      </w:r>
      <w:r>
        <w:rPr>
          <w:rFonts w:hint="eastAsia" w:ascii="宋体" w:hAnsi="宋体" w:eastAsia="宋体" w:cs="B5+CAJ FNT00"/>
          <w:sz w:val="18"/>
          <w:szCs w:val="18"/>
        </w:rPr>
        <w:t>，</w:t>
      </w:r>
      <w:r>
        <w:rPr>
          <w:rFonts w:hint="eastAsia" w:ascii="宋体" w:hAnsi="宋体" w:eastAsia="宋体" w:cs="宋体"/>
          <w:sz w:val="18"/>
          <w:szCs w:val="18"/>
        </w:rPr>
        <w:t>1991.</w:t>
      </w:r>
    </w:p>
    <w:p w14:paraId="142DB1EB">
      <w:pPr>
        <w:spacing w:line="400" w:lineRule="exact"/>
        <w:ind w:firstLine="200"/>
        <w:rPr>
          <w:rFonts w:ascii="宋体" w:hAnsi="宋体" w:eastAsia="宋体" w:cs="宋体"/>
          <w:sz w:val="18"/>
          <w:szCs w:val="18"/>
        </w:rPr>
      </w:pPr>
      <w:r>
        <w:rPr>
          <w:rFonts w:hint="eastAsia" w:ascii="宋体" w:hAnsi="宋体" w:eastAsia="宋体" w:cs="宋体"/>
          <w:sz w:val="18"/>
          <w:szCs w:val="18"/>
        </w:rPr>
        <w:t>[3] 胡寄窗.中国经济思想史简编</w:t>
      </w:r>
      <w:r>
        <w:rPr>
          <w:rFonts w:hint="eastAsia" w:ascii="宋体" w:hAnsi="宋体" w:eastAsia="宋体" w:cs="B4+cajcd fnta1"/>
          <w:sz w:val="18"/>
          <w:szCs w:val="18"/>
        </w:rPr>
        <w:t>[</w:t>
      </w:r>
      <w:r>
        <w:rPr>
          <w:rFonts w:hint="eastAsia" w:ascii="宋体" w:hAnsi="宋体" w:eastAsia="宋体" w:cs="宋体"/>
          <w:sz w:val="18"/>
          <w:szCs w:val="18"/>
        </w:rPr>
        <w:t>M].北京：中国社会科学出版社</w:t>
      </w:r>
      <w:r>
        <w:rPr>
          <w:rFonts w:hint="eastAsia" w:ascii="宋体" w:hAnsi="宋体" w:eastAsia="宋体" w:cs="B5+CAJ FNT00"/>
          <w:sz w:val="18"/>
          <w:szCs w:val="18"/>
        </w:rPr>
        <w:t>，</w:t>
      </w:r>
      <w:r>
        <w:rPr>
          <w:rFonts w:hint="eastAsia" w:ascii="宋体" w:hAnsi="宋体" w:eastAsia="宋体" w:cs="宋体"/>
          <w:sz w:val="18"/>
          <w:szCs w:val="18"/>
        </w:rPr>
        <w:t>1981</w:t>
      </w:r>
    </w:p>
    <w:p w14:paraId="2C2C1FB5">
      <w:pPr>
        <w:spacing w:line="400" w:lineRule="exact"/>
        <w:ind w:firstLine="200"/>
        <w:rPr>
          <w:rFonts w:ascii="宋体" w:hAnsi="宋体" w:eastAsia="宋体" w:cs="宋体"/>
          <w:sz w:val="18"/>
          <w:szCs w:val="18"/>
        </w:rPr>
      </w:pPr>
      <w:r>
        <w:rPr>
          <w:rFonts w:hint="eastAsia" w:ascii="宋体" w:hAnsi="宋体" w:eastAsia="宋体" w:cs="宋体"/>
          <w:sz w:val="18"/>
          <w:szCs w:val="18"/>
        </w:rPr>
        <w:t>[4] 程恩富.范式革命与常规理论发展</w:t>
      </w:r>
      <w:r>
        <w:rPr>
          <w:rFonts w:hint="eastAsia" w:ascii="宋体" w:hAnsi="宋体" w:eastAsia="宋体" w:cs="B4+cajcd fnta1"/>
          <w:sz w:val="18"/>
          <w:szCs w:val="18"/>
        </w:rPr>
        <w:t>——</w:t>
      </w:r>
      <w:r>
        <w:rPr>
          <w:rFonts w:hint="eastAsia" w:ascii="宋体" w:hAnsi="宋体" w:eastAsia="宋体" w:cs="宋体"/>
          <w:sz w:val="18"/>
          <w:szCs w:val="18"/>
        </w:rPr>
        <w:t>经济学的分化与综合[N].光明日报</w:t>
      </w:r>
      <w:r>
        <w:rPr>
          <w:rFonts w:hint="eastAsia" w:ascii="宋体" w:hAnsi="宋体" w:eastAsia="宋体" w:cs="B5+CAJ FNT00"/>
          <w:sz w:val="18"/>
          <w:szCs w:val="18"/>
        </w:rPr>
        <w:t>,</w:t>
      </w:r>
      <w:r>
        <w:rPr>
          <w:rFonts w:hint="eastAsia" w:ascii="宋体" w:hAnsi="宋体" w:eastAsia="宋体" w:cs="宋体"/>
          <w:sz w:val="18"/>
          <w:szCs w:val="18"/>
        </w:rPr>
        <w:t>2004-01-20.</w:t>
      </w:r>
    </w:p>
    <w:p w14:paraId="6EEF2895">
      <w:pPr>
        <w:spacing w:line="400" w:lineRule="exact"/>
        <w:ind w:firstLine="440" w:firstLineChars="200"/>
        <w:rPr>
          <w:rFonts w:ascii="宋体" w:hAnsi="宋体" w:eastAsia="宋体" w:cs="Times New Roman"/>
          <w:sz w:val="32"/>
          <w:szCs w:val="24"/>
        </w:rPr>
      </w:pPr>
      <w:r>
        <w:rPr>
          <w:rFonts w:hint="eastAsia" w:ascii="宋体" w:hAnsi="宋体" w:eastAsia="宋体" w:cs="宋体"/>
          <w:szCs w:val="21"/>
        </w:rPr>
        <w:t>（原载于《政治经济学评论》2010年第1期）</w:t>
      </w:r>
    </w:p>
    <w:p w14:paraId="1D19C74E">
      <w:pPr>
        <w:bidi w:val="0"/>
      </w:pPr>
      <w:r>
        <w:br w:type="page"/>
      </w:r>
    </w:p>
    <w:p w14:paraId="32955A51">
      <w:pPr>
        <w:keepNext/>
        <w:keepLines/>
        <w:widowControl/>
        <w:spacing w:line="480" w:lineRule="auto"/>
        <w:ind w:firstLine="198"/>
        <w:jc w:val="center"/>
        <w:outlineLvl w:val="1"/>
        <w:rPr>
          <w:rFonts w:ascii="黑体" w:hAnsi="黑体" w:eastAsia="黑体" w:cs="Times New Roman"/>
          <w:kern w:val="0"/>
          <w:sz w:val="32"/>
          <w:szCs w:val="32"/>
        </w:rPr>
      </w:pPr>
      <w:bookmarkStart w:id="1096" w:name="_Toc23288"/>
      <w:bookmarkStart w:id="1097" w:name="_Toc2143374287"/>
      <w:bookmarkStart w:id="1098" w:name="_Toc1599632671"/>
      <w:r>
        <w:rPr>
          <w:rFonts w:hint="eastAsia" w:ascii="黑体" w:hAnsi="黑体" w:eastAsia="黑体" w:cs="Times New Roman"/>
          <w:kern w:val="0"/>
          <w:sz w:val="32"/>
          <w:szCs w:val="32"/>
        </w:rPr>
        <w:t>2中国马克思主义理论研究60年</w:t>
      </w:r>
      <w:bookmarkEnd w:id="1096"/>
      <w:bookmarkEnd w:id="1097"/>
      <w:bookmarkEnd w:id="1098"/>
    </w:p>
    <w:p w14:paraId="3DD97BC1">
      <w:pPr>
        <w:spacing w:line="400" w:lineRule="exact"/>
        <w:ind w:firstLine="440" w:firstLineChars="200"/>
        <w:rPr>
          <w:rFonts w:ascii="宋体" w:hAnsi="宋体" w:eastAsia="宋体" w:cs="Times New Roman"/>
          <w:szCs w:val="21"/>
        </w:rPr>
      </w:pPr>
      <w:r>
        <w:rPr>
          <w:rFonts w:ascii="Times New Roman" w:hAnsi="Times New Roman" w:eastAsia="宋体" w:cs="Times New Roman"/>
          <w:szCs w:val="21"/>
        </w:rPr>
        <w:t>1840</w:t>
      </w:r>
      <w:r>
        <w:rPr>
          <w:rFonts w:hint="eastAsia" w:ascii="宋体" w:hAnsi="宋体" w:eastAsia="宋体" w:cs="Times New Roman"/>
          <w:szCs w:val="21"/>
        </w:rPr>
        <w:t>年鸦片战争的爆发，使中国逐步沦为半殖民地半封建社会。自此，如何取得民族独立和人民解放，如何实现国家繁荣富强和人民共同富裕，便成为中华民族无数仁人志士不懈求解的两大历史性课题。</w:t>
      </w:r>
      <w:r>
        <w:rPr>
          <w:rFonts w:ascii="Times New Roman" w:hAnsi="Times New Roman" w:eastAsia="宋体" w:cs="Times New Roman"/>
          <w:szCs w:val="21"/>
        </w:rPr>
        <w:t>19世纪40</w:t>
      </w:r>
      <w:r>
        <w:rPr>
          <w:rFonts w:hint="eastAsia" w:ascii="宋体" w:hAnsi="宋体" w:eastAsia="宋体" w:cs="Times New Roman"/>
          <w:szCs w:val="21"/>
        </w:rPr>
        <w:t>年代至建立新中国之前，中国人民掀起多次反帝反封建的革命浪潮，却大多以某种失败而告终；西方各种学说纷纷传入中国，却都未能改变中华民族的命运。</w:t>
      </w:r>
      <w:r>
        <w:rPr>
          <w:rFonts w:ascii="Times New Roman" w:hAnsi="Times New Roman" w:eastAsia="宋体" w:cs="Times New Roman"/>
          <w:szCs w:val="21"/>
        </w:rPr>
        <w:t>19</w:t>
      </w:r>
      <w:r>
        <w:rPr>
          <w:rFonts w:hint="eastAsia" w:ascii="宋体" w:hAnsi="宋体" w:eastAsia="宋体" w:cs="Times New Roman"/>
          <w:szCs w:val="21"/>
        </w:rPr>
        <w:t>世纪末，马克思主义开始传入中国。</w:t>
      </w:r>
      <w:r>
        <w:rPr>
          <w:rFonts w:ascii="Times New Roman" w:hAnsi="Times New Roman" w:eastAsia="宋体" w:cs="Times New Roman"/>
          <w:szCs w:val="21"/>
        </w:rPr>
        <w:t>1921年7月，</w:t>
      </w:r>
      <w:r>
        <w:rPr>
          <w:rFonts w:hint="eastAsia" w:ascii="宋体" w:hAnsi="宋体" w:eastAsia="宋体" w:cs="Times New Roman"/>
          <w:szCs w:val="21"/>
        </w:rPr>
        <w:t>中国共产党宣告成立，马克思主义成为指导中国革命的一面思想旗帜。自从有了马克思主义的指导，中国革命的面貌便焕然一新。在中国共产党的领导下，经</w:t>
      </w:r>
      <w:r>
        <w:rPr>
          <w:rFonts w:ascii="Times New Roman" w:hAnsi="Times New Roman" w:eastAsia="宋体" w:cs="Times New Roman"/>
          <w:szCs w:val="21"/>
        </w:rPr>
        <w:t>过28年的浴血奋战，1949</w:t>
      </w:r>
      <w:r>
        <w:rPr>
          <w:rFonts w:hint="eastAsia" w:ascii="宋体" w:hAnsi="宋体" w:eastAsia="宋体" w:cs="Times New Roman"/>
          <w:szCs w:val="21"/>
        </w:rPr>
        <w:t>年中华人民共和国宣告成立。</w:t>
      </w:r>
    </w:p>
    <w:p w14:paraId="0B0E4881">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中华人民共和国的成立，使中国的历史从此开辟了一个新的时代。以马克思主义理论武装的中国共产党，开始为实现国家繁荣富强和人民共同富裕的百年目标而不懈努力。经过艰辛探索和成功实践，中国特色社会主义伟大事业取得了世人瞩目的巨大成就。在中国共产党的领导下，再经过今后</w:t>
      </w:r>
      <w:r>
        <w:rPr>
          <w:rFonts w:ascii="Times New Roman" w:hAnsi="Times New Roman" w:eastAsia="宋体" w:cs="Times New Roman"/>
          <w:szCs w:val="21"/>
        </w:rPr>
        <w:t>40</w:t>
      </w:r>
      <w:r>
        <w:rPr>
          <w:rFonts w:hint="eastAsia" w:ascii="宋体" w:hAnsi="宋体" w:eastAsia="宋体" w:cs="Times New Roman"/>
          <w:szCs w:val="21"/>
        </w:rPr>
        <w:t>年左右的努力，我们一定能够充分实现国家的繁荣富强和人民的共同富裕，跻身世界强国之林。</w:t>
      </w:r>
    </w:p>
    <w:p w14:paraId="11EC329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中华民族争取民族独立和解放的百年历史，昭示着中国马克思主义理论研究的光辉前景；中国人民实现民族复兴和发展的百年征程，彰显了中国马克思主义理论研究的巨大力量。科学地总结、回顾中国马克思主义理论研究</w:t>
      </w:r>
      <w:r>
        <w:rPr>
          <w:rFonts w:ascii="Times New Roman" w:hAnsi="Times New Roman" w:eastAsia="宋体" w:cs="Times New Roman"/>
          <w:szCs w:val="21"/>
        </w:rPr>
        <w:t>60</w:t>
      </w:r>
      <w:r>
        <w:rPr>
          <w:rFonts w:hint="eastAsia" w:ascii="宋体" w:hAnsi="宋体" w:eastAsia="宋体" w:cs="Times New Roman"/>
          <w:szCs w:val="21"/>
        </w:rPr>
        <w:t>年来的发展历程，展望中国马克思主义理论研究的未来发展，对于推进中国特色社会主义伟大事业，无疑具有十分重大的意义。</w:t>
      </w:r>
    </w:p>
    <w:p w14:paraId="051DA605">
      <w:pPr>
        <w:autoSpaceDE w:val="0"/>
        <w:autoSpaceDN w:val="0"/>
        <w:spacing w:line="360" w:lineRule="auto"/>
        <w:ind w:firstLine="500" w:firstLineChars="200"/>
        <w:jc w:val="center"/>
        <w:rPr>
          <w:rFonts w:ascii="宋体" w:hAnsi="宋体" w:eastAsia="宋体" w:cs="Times New Roman"/>
          <w:b/>
          <w:bCs/>
          <w:sz w:val="24"/>
          <w:szCs w:val="24"/>
        </w:rPr>
      </w:pPr>
      <w:r>
        <w:rPr>
          <w:rFonts w:ascii="宋体" w:hAnsi="宋体" w:eastAsia="宋体" w:cs="Times New Roman"/>
          <w:b/>
          <w:bCs/>
          <w:sz w:val="24"/>
          <w:szCs w:val="24"/>
        </w:rPr>
        <w:t>一、</w:t>
      </w:r>
      <w:r>
        <w:rPr>
          <w:rFonts w:hint="eastAsia" w:ascii="宋体" w:hAnsi="宋体" w:eastAsia="宋体" w:cs="Times New Roman"/>
          <w:b/>
          <w:bCs/>
          <w:sz w:val="24"/>
          <w:szCs w:val="24"/>
        </w:rPr>
        <w:t>马克思主义理论研究60年发展概况</w:t>
      </w:r>
    </w:p>
    <w:p w14:paraId="5BB8E4A1">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经过数十年国内外知识界对马克思主义定义的探讨和争论，我们认为，可以给出马克思主义四层面的新定义。马克思主义是由马克思、恩格斯创立和后继者不断发展的理论体系（从创立主体层面界定），是关于自然、社会和思维发展的一般规律的学术思想和科学体系（从学术内涵层面界定），是工人阶级及其政党进行社会主义革命和建设以及过渡到共产主义社会的指导思想和科学体系（从社会功能层面界定），是关于人生信仰和核心价值的社会思想和科学体系（从价值观念层面界定）。</w:t>
      </w:r>
    </w:p>
    <w:p w14:paraId="2D741628">
      <w:pPr>
        <w:spacing w:line="400" w:lineRule="exact"/>
        <w:ind w:firstLine="440" w:firstLineChars="200"/>
        <w:rPr>
          <w:rFonts w:ascii="宋体" w:hAnsi="宋体" w:eastAsia="宋体" w:cs="Times New Roman"/>
          <w:szCs w:val="21"/>
        </w:rPr>
      </w:pPr>
      <w:r>
        <w:rPr>
          <w:rFonts w:ascii="Times New Roman" w:hAnsi="Times New Roman" w:eastAsia="宋体" w:cs="Times New Roman"/>
          <w:szCs w:val="21"/>
        </w:rPr>
        <w:t>60</w:t>
      </w:r>
      <w:r>
        <w:rPr>
          <w:rFonts w:hint="eastAsia" w:ascii="宋体" w:hAnsi="宋体" w:eastAsia="宋体" w:cs="Times New Roman"/>
          <w:szCs w:val="21"/>
        </w:rPr>
        <w:t>年来，新中国马克思主义理论研究走过了曲折的发展历程。依据研究主题、研究取向、研究方式以及总体格局等方面的差异，这一历程大致可以分为改革开放前后两个时期、四个阶段。</w:t>
      </w:r>
    </w:p>
    <w:p w14:paraId="10729886">
      <w:pPr>
        <w:spacing w:line="400" w:lineRule="exact"/>
        <w:ind w:firstLine="440" w:firstLineChars="200"/>
        <w:rPr>
          <w:rFonts w:ascii="宋体" w:hAnsi="宋体" w:eastAsia="宋体" w:cs="Times New Roman"/>
          <w:szCs w:val="21"/>
        </w:rPr>
      </w:pPr>
      <w:r>
        <w:rPr>
          <w:rFonts w:ascii="Times New Roman" w:hAnsi="Times New Roman" w:eastAsia="宋体" w:cs="Times New Roman"/>
          <w:b/>
          <w:bCs/>
          <w:szCs w:val="21"/>
        </w:rPr>
        <w:t>1949</w:t>
      </w:r>
      <w:r>
        <w:rPr>
          <w:rFonts w:hint="eastAsia" w:ascii="Times New Roman" w:hAnsi="Times New Roman" w:eastAsia="宋体" w:cs="Times New Roman"/>
          <w:b/>
          <w:szCs w:val="21"/>
        </w:rPr>
        <w:t>-</w:t>
      </w:r>
      <w:r>
        <w:rPr>
          <w:rFonts w:ascii="Times New Roman" w:hAnsi="Times New Roman" w:eastAsia="宋体" w:cs="Times New Roman"/>
          <w:b/>
          <w:bCs/>
          <w:szCs w:val="21"/>
        </w:rPr>
        <w:t>1965年</w:t>
      </w:r>
      <w:r>
        <w:rPr>
          <w:rFonts w:hint="eastAsia" w:ascii="宋体" w:hAnsi="宋体" w:eastAsia="宋体" w:cs="Times New Roman"/>
          <w:b/>
          <w:bCs/>
          <w:szCs w:val="21"/>
        </w:rPr>
        <w:t>，是马克思主义理论研究的奠基起步阶段。</w:t>
      </w:r>
      <w:r>
        <w:rPr>
          <w:rFonts w:hint="eastAsia" w:ascii="宋体" w:hAnsi="宋体" w:eastAsia="宋体" w:cs="Times New Roman"/>
          <w:szCs w:val="21"/>
        </w:rPr>
        <w:t>这一阶段，适应学习、宣传和普及马克思主义的需要，马克思主义经典著作的翻译和出版事业全面推进，马克思主义基本原理和主要著作的研究也取得了一定进展。同时，马克思主义理论研究和教学机构不断设立，马克思主义理论研究队伍不断壮大，马克思主义学科体系开始建立。</w:t>
      </w:r>
    </w:p>
    <w:p w14:paraId="1A3262FB">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马克思主义经典著作的翻译、出版和研究工作全面推进。</w:t>
      </w:r>
      <w:r>
        <w:rPr>
          <w:rFonts w:ascii="Times New Roman" w:hAnsi="Times New Roman" w:eastAsia="宋体" w:cs="Times New Roman"/>
          <w:szCs w:val="21"/>
        </w:rPr>
        <w:t>1953年1</w:t>
      </w:r>
      <w:r>
        <w:rPr>
          <w:rFonts w:hint="eastAsia" w:ascii="宋体" w:hAnsi="宋体" w:eastAsia="宋体" w:cs="Times New Roman"/>
          <w:szCs w:val="21"/>
        </w:rPr>
        <w:t>月，中共中央马克思恩格斯列宁斯大林著作编译局成立，开始有计划有系统地翻译、编辑、出版马恩列斯的全部著作。</w:t>
      </w:r>
      <w:r>
        <w:rPr>
          <w:rFonts w:ascii="Times New Roman" w:hAnsi="Times New Roman" w:eastAsia="宋体" w:cs="Times New Roman"/>
          <w:szCs w:val="21"/>
        </w:rPr>
        <w:t>1953</w:t>
      </w:r>
      <w:r>
        <w:rPr>
          <w:rFonts w:hint="eastAsia" w:ascii="宋体" w:hAnsi="宋体" w:eastAsia="宋体" w:cs="Times New Roman"/>
          <w:szCs w:val="21"/>
        </w:rPr>
        <w:t>年底《斯大林全集》中文版第1卷出版，开始了新中国马克思主义经典著作全集的出版。到1</w:t>
      </w:r>
      <w:r>
        <w:rPr>
          <w:rFonts w:ascii="Times New Roman" w:hAnsi="Times New Roman" w:eastAsia="宋体" w:cs="Times New Roman"/>
          <w:szCs w:val="21"/>
        </w:rPr>
        <w:t>956年，《斯大林全集》中文版共出版13卷。作为全集的补充，《斯大林文选》（上下册）于1962年出版。《列宁全集》中文版第1卷于1955年12月出版，到1963年出齐了39卷，1960年还出版了《列宁选集》4卷本。1956年底，《马克思恩格斯全集》中文版第1卷出版，至1966年</w:t>
      </w:r>
      <w:r>
        <w:rPr>
          <w:rFonts w:ascii="宋体" w:hAnsi="宋体" w:eastAsia="宋体" w:cs="Times New Roman"/>
          <w:szCs w:val="21"/>
        </w:rPr>
        <w:t>“文化大革命”</w:t>
      </w:r>
      <w:r>
        <w:rPr>
          <w:rFonts w:ascii="Times New Roman" w:hAnsi="Times New Roman" w:eastAsia="宋体" w:cs="Times New Roman"/>
          <w:szCs w:val="21"/>
        </w:rPr>
        <w:t>前出版了21卷。1950年5月，中共中央专门成立了毛泽东选集出版委员会。从1951年10月到1960年9月，《毛泽东选集》1</w:t>
      </w:r>
      <w:r>
        <w:rPr>
          <w:rFonts w:hint="eastAsia" w:ascii="Times New Roman" w:hAnsi="Times New Roman" w:eastAsia="宋体" w:cs="Times New Roman"/>
          <w:szCs w:val="21"/>
        </w:rPr>
        <w:t>-</w:t>
      </w:r>
      <w:r>
        <w:rPr>
          <w:rFonts w:ascii="Times New Roman" w:hAnsi="Times New Roman" w:eastAsia="宋体" w:cs="Times New Roman"/>
          <w:szCs w:val="21"/>
        </w:rPr>
        <w:t>4卷</w:t>
      </w:r>
      <w:r>
        <w:rPr>
          <w:rFonts w:hint="eastAsia" w:ascii="宋体" w:hAnsi="宋体" w:eastAsia="宋体" w:cs="Times New Roman"/>
          <w:szCs w:val="21"/>
        </w:rPr>
        <w:t>先后出版。此外，《资本论》、《剩余价值学说史》、《反杜林论》、《家庭、私有制和国家的起源》、《哲学笔记》等马克思主义经典著作单行本以及一些苏联的理论专著和教科书也在此期间翻译出版。与此同时，我国马克思主义理论工作者围绕社会主义改造、社会主义建设、社会主义发展的重大关系和问题，积极开展马克思主义经典著作和基本原理的研究，发表了一批重要的论著，如李达的《〈实践论〉解说》、《〈矛盾论〉解说》，艾思奇的《历史唯物论、社会发展史》，吴黎平的《社会主义史》等等。</w:t>
      </w:r>
    </w:p>
    <w:p w14:paraId="3591345E">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马克思主义理论研究和教学机构不断设立，研究队伍和学科体系不断壮大和充实。</w:t>
      </w:r>
      <w:r>
        <w:rPr>
          <w:rFonts w:ascii="Times New Roman" w:hAnsi="Times New Roman" w:eastAsia="宋体" w:cs="Times New Roman"/>
          <w:szCs w:val="21"/>
        </w:rPr>
        <w:t>1950年8</w:t>
      </w:r>
      <w:r>
        <w:rPr>
          <w:rFonts w:hint="eastAsia" w:ascii="宋体" w:hAnsi="宋体" w:eastAsia="宋体" w:cs="Times New Roman"/>
          <w:szCs w:val="21"/>
        </w:rPr>
        <w:t>月，政务院发出《关于实施高等学校课程改革的决定》，要求开设新民主主义的政治课程。</w:t>
      </w:r>
      <w:r>
        <w:rPr>
          <w:rFonts w:ascii="Times New Roman" w:hAnsi="Times New Roman" w:eastAsia="宋体" w:cs="Times New Roman"/>
          <w:szCs w:val="21"/>
        </w:rPr>
        <w:t>1952年10</w:t>
      </w:r>
      <w:r>
        <w:rPr>
          <w:rFonts w:hint="eastAsia" w:ascii="宋体" w:hAnsi="宋体" w:eastAsia="宋体" w:cs="Times New Roman"/>
          <w:szCs w:val="21"/>
        </w:rPr>
        <w:t>月，教育部发出《关于全国高等学校马克思列宁主义、毛泽东思想课程的指示》，要求高等学校开设“新民主主义理论”、“政治经济学”及“辩证唯物论与历史唯物论”。</w:t>
      </w:r>
      <w:r>
        <w:rPr>
          <w:rFonts w:ascii="Times New Roman" w:hAnsi="Times New Roman" w:eastAsia="宋体" w:cs="Times New Roman"/>
          <w:szCs w:val="21"/>
        </w:rPr>
        <w:t>1953年2</w:t>
      </w:r>
      <w:r>
        <w:rPr>
          <w:rFonts w:hint="eastAsia" w:ascii="宋体" w:hAnsi="宋体" w:eastAsia="宋体" w:cs="Times New Roman"/>
          <w:szCs w:val="21"/>
        </w:rPr>
        <w:t>月，教育部确定“马列主义基础”为各类型高等学校及专修科（二年以上）二年级必修课程。</w:t>
      </w:r>
      <w:r>
        <w:rPr>
          <w:rFonts w:ascii="Times New Roman" w:hAnsi="Times New Roman" w:eastAsia="宋体" w:cs="Times New Roman"/>
          <w:szCs w:val="21"/>
        </w:rPr>
        <w:t>1954</w:t>
      </w:r>
      <w:r>
        <w:rPr>
          <w:rFonts w:hint="eastAsia" w:ascii="宋体" w:hAnsi="宋体" w:eastAsia="宋体" w:cs="Times New Roman"/>
          <w:szCs w:val="21"/>
        </w:rPr>
        <w:t>年，全国高等院校普遍开设了“马克思主义哲学”、“政治经济学”、“联共（布）党史”、“中国革命史”等四门课程。相应地，全国高等院校相继设立了马列主义教研室，负责马列主义基础课程的教学。</w:t>
      </w:r>
      <w:r>
        <w:rPr>
          <w:rFonts w:ascii="Times New Roman" w:hAnsi="Times New Roman" w:eastAsia="宋体" w:cs="Times New Roman"/>
          <w:szCs w:val="21"/>
        </w:rPr>
        <w:t>1955年</w:t>
      </w:r>
      <w:r>
        <w:rPr>
          <w:rFonts w:hint="eastAsia" w:ascii="宋体" w:hAnsi="宋体" w:eastAsia="宋体" w:cs="Times New Roman"/>
          <w:szCs w:val="21"/>
        </w:rPr>
        <w:t>，中国科学院成立哲学社会科学学部，相继成立了文、史、哲、经、法等</w:t>
      </w:r>
      <w:r>
        <w:rPr>
          <w:rFonts w:ascii="Times New Roman" w:hAnsi="Times New Roman" w:eastAsia="宋体" w:cs="Times New Roman"/>
          <w:szCs w:val="21"/>
        </w:rPr>
        <w:t>15</w:t>
      </w:r>
      <w:r>
        <w:rPr>
          <w:rFonts w:hint="eastAsia" w:ascii="宋体" w:hAnsi="宋体" w:eastAsia="宋体" w:cs="Times New Roman"/>
          <w:szCs w:val="21"/>
        </w:rPr>
        <w:t>个研究所，马克思主义理论研究贯穿其中。</w:t>
      </w:r>
      <w:r>
        <w:rPr>
          <w:rFonts w:ascii="宋体" w:hAnsi="宋体" w:eastAsia="宋体" w:cs="Times New Roman"/>
          <w:szCs w:val="21"/>
        </w:rPr>
        <w:t>1956</w:t>
      </w:r>
      <w:r>
        <w:rPr>
          <w:rFonts w:hint="eastAsia" w:ascii="宋体" w:hAnsi="宋体" w:eastAsia="宋体" w:cs="Times New Roman"/>
          <w:szCs w:val="21"/>
        </w:rPr>
        <w:t>年，中国人民大学设立了马列主义基础系，为高等院校马列主义基础课程培养师资和研究人员。</w:t>
      </w:r>
      <w:r>
        <w:rPr>
          <w:rFonts w:ascii="宋体" w:hAnsi="宋体" w:eastAsia="宋体" w:cs="Times New Roman"/>
          <w:szCs w:val="21"/>
        </w:rPr>
        <w:t>1957</w:t>
      </w:r>
      <w:r>
        <w:rPr>
          <w:rFonts w:hint="eastAsia" w:ascii="宋体" w:hAnsi="宋体" w:eastAsia="宋体" w:cs="Times New Roman"/>
          <w:szCs w:val="21"/>
        </w:rPr>
        <w:t>年之后，中国人民大学等高等院校陆续设立了国际共产主义运动史专业，高等院校马列主义基础课程“联共（布）党史”变更为“国际共运史”，“中国革命史”变更为“中共党史”。</w:t>
      </w:r>
      <w:r>
        <w:rPr>
          <w:rFonts w:ascii="Times New Roman" w:hAnsi="Times New Roman" w:eastAsia="宋体" w:cs="Times New Roman"/>
          <w:szCs w:val="21"/>
        </w:rPr>
        <w:t>1964</w:t>
      </w:r>
      <w:r>
        <w:rPr>
          <w:rFonts w:hint="eastAsia" w:ascii="宋体" w:hAnsi="宋体" w:eastAsia="宋体" w:cs="Times New Roman"/>
          <w:szCs w:val="21"/>
        </w:rPr>
        <w:t>年经中共中央批准，中国人民大学成立了马列主义思想史研究所。</w:t>
      </w:r>
    </w:p>
    <w:p w14:paraId="4F33A3A0">
      <w:pPr>
        <w:spacing w:line="400" w:lineRule="exact"/>
        <w:ind w:firstLine="440" w:firstLineChars="200"/>
        <w:rPr>
          <w:rFonts w:ascii="宋体" w:hAnsi="宋体" w:eastAsia="宋体" w:cs="Times New Roman"/>
          <w:szCs w:val="21"/>
        </w:rPr>
      </w:pPr>
      <w:r>
        <w:rPr>
          <w:rFonts w:ascii="Times New Roman" w:hAnsi="Times New Roman" w:eastAsia="宋体" w:cs="Times New Roman"/>
          <w:b/>
          <w:bCs/>
          <w:szCs w:val="21"/>
        </w:rPr>
        <w:t>1966</w:t>
      </w:r>
      <w:r>
        <w:rPr>
          <w:rFonts w:hint="eastAsia" w:ascii="Times New Roman" w:hAnsi="Times New Roman" w:eastAsia="宋体" w:cs="Times New Roman"/>
          <w:b/>
          <w:szCs w:val="21"/>
        </w:rPr>
        <w:t>-</w:t>
      </w:r>
      <w:r>
        <w:rPr>
          <w:rFonts w:ascii="Times New Roman" w:hAnsi="Times New Roman" w:eastAsia="宋体" w:cs="Times New Roman"/>
          <w:b/>
          <w:bCs/>
          <w:szCs w:val="21"/>
        </w:rPr>
        <w:t>1978</w:t>
      </w:r>
      <w:r>
        <w:rPr>
          <w:rFonts w:hint="eastAsia" w:ascii="宋体" w:hAnsi="宋体" w:eastAsia="宋体" w:cs="Times New Roman"/>
          <w:b/>
          <w:bCs/>
          <w:szCs w:val="21"/>
        </w:rPr>
        <w:t>年，是马克思主义理论研究的僵化停滞阶段。</w:t>
      </w:r>
      <w:r>
        <w:rPr>
          <w:rFonts w:hint="eastAsia" w:ascii="宋体" w:hAnsi="宋体" w:eastAsia="宋体" w:cs="Times New Roman"/>
          <w:szCs w:val="21"/>
        </w:rPr>
        <w:t>从</w:t>
      </w:r>
      <w:r>
        <w:rPr>
          <w:rFonts w:ascii="Times New Roman" w:hAnsi="Times New Roman" w:eastAsia="宋体" w:cs="Times New Roman"/>
          <w:szCs w:val="21"/>
        </w:rPr>
        <w:t>1966</w:t>
      </w:r>
      <w:r>
        <w:rPr>
          <w:rFonts w:hint="eastAsia" w:ascii="宋体" w:hAnsi="宋体" w:eastAsia="宋体" w:cs="Times New Roman"/>
          <w:szCs w:val="21"/>
        </w:rPr>
        <w:t>年“文化大革命”开始到</w:t>
      </w:r>
      <w:r>
        <w:rPr>
          <w:rFonts w:ascii="Times New Roman" w:hAnsi="Times New Roman" w:eastAsia="宋体" w:cs="Times New Roman"/>
          <w:szCs w:val="21"/>
        </w:rPr>
        <w:t>1978</w:t>
      </w:r>
      <w:r>
        <w:rPr>
          <w:rFonts w:hint="eastAsia" w:ascii="宋体" w:hAnsi="宋体" w:eastAsia="宋体" w:cs="Times New Roman"/>
          <w:szCs w:val="21"/>
        </w:rPr>
        <w:t>年党的十一届三中全会召开之前，我国马克思主义理论研究工作遭受严重挫折并基本陷入僵化停滞状态。“文化大革命”开始之后，马克思主义经典著作的编译出版工作被中断，马克思主义理论研究机构和研究队伍被破坏，正常的马克思主义研究教学工作几乎完全停滞。“无产阶级专政下继续革命的理论”被作为马克思主义理论的重大发展而广为宣传，所谓的马克思主义研究工作大都仅仅是从马恩列斯著作中为这一理论的合理性寻找依据和注解</w:t>
      </w:r>
      <w:r>
        <w:rPr>
          <w:rStyle w:val="20"/>
          <w:rFonts w:ascii="宋体" w:hAnsi="宋体" w:eastAsia="宋体" w:cs="Times New Roman"/>
          <w:szCs w:val="21"/>
        </w:rPr>
        <w:footnoteReference w:id="447"/>
      </w:r>
      <w:r>
        <w:rPr>
          <w:rFonts w:hint="eastAsia" w:ascii="宋体" w:hAnsi="宋体" w:eastAsia="宋体" w:cs="Times New Roman"/>
          <w:szCs w:val="21"/>
        </w:rPr>
        <w:t>。</w:t>
      </w:r>
      <w:r>
        <w:rPr>
          <w:rFonts w:ascii="Times New Roman" w:hAnsi="Times New Roman" w:eastAsia="宋体" w:cs="Times New Roman"/>
          <w:szCs w:val="21"/>
        </w:rPr>
        <w:t>1970年11月</w:t>
      </w:r>
      <w:r>
        <w:rPr>
          <w:rFonts w:hint="eastAsia" w:ascii="宋体" w:hAnsi="宋体" w:eastAsia="宋体" w:cs="Times New Roman"/>
          <w:szCs w:val="21"/>
        </w:rPr>
        <w:t>中共中央发出通知，要求党的干部尤其是高级干部，必须认真学习《共产党宣言》、《法兰西内战》、《哥达纲领批判》、《反杜林论》、《国家与革命》、《唯物主义和经验批判主义》等</w:t>
      </w:r>
      <w:r>
        <w:rPr>
          <w:rFonts w:ascii="Times New Roman" w:hAnsi="Times New Roman" w:eastAsia="宋体" w:cs="Times New Roman"/>
          <w:szCs w:val="21"/>
        </w:rPr>
        <w:t>6</w:t>
      </w:r>
      <w:r>
        <w:rPr>
          <w:rFonts w:hint="eastAsia" w:ascii="宋体" w:hAnsi="宋体" w:eastAsia="宋体" w:cs="Times New Roman"/>
          <w:szCs w:val="21"/>
        </w:rPr>
        <w:t>部著作，以及《实践论》、《人的正确思想是从哪里来的？》等</w:t>
      </w:r>
      <w:r>
        <w:rPr>
          <w:rFonts w:ascii="Times New Roman" w:hAnsi="Times New Roman" w:eastAsia="宋体" w:cs="Times New Roman"/>
          <w:szCs w:val="21"/>
        </w:rPr>
        <w:t>5</w:t>
      </w:r>
      <w:r>
        <w:rPr>
          <w:rFonts w:hint="eastAsia" w:ascii="宋体" w:hAnsi="宋体" w:eastAsia="宋体" w:cs="Times New Roman"/>
          <w:szCs w:val="21"/>
        </w:rPr>
        <w:t>部著作。之后，中断四年的马克思主义经典著作编译出版工作开始恢复。</w:t>
      </w:r>
      <w:r>
        <w:rPr>
          <w:rFonts w:ascii="Times New Roman" w:hAnsi="Times New Roman" w:eastAsia="宋体" w:cs="Times New Roman"/>
          <w:szCs w:val="21"/>
        </w:rPr>
        <w:t>1972</w:t>
      </w:r>
      <w:r>
        <w:rPr>
          <w:rFonts w:hint="eastAsia" w:ascii="宋体" w:hAnsi="宋体" w:eastAsia="宋体" w:cs="Times New Roman"/>
          <w:szCs w:val="21"/>
        </w:rPr>
        <w:t>年重编出版了《马克思恩格斯选集》</w:t>
      </w:r>
      <w:r>
        <w:rPr>
          <w:rFonts w:ascii="Times New Roman" w:hAnsi="Times New Roman" w:eastAsia="宋体" w:cs="Times New Roman"/>
          <w:szCs w:val="21"/>
        </w:rPr>
        <w:t>4卷本和《列宁选集》4卷本；1974年出齐了《马克思恩格斯全集》的正卷39</w:t>
      </w:r>
      <w:r>
        <w:rPr>
          <w:rFonts w:hint="eastAsia" w:ascii="宋体" w:hAnsi="宋体" w:eastAsia="宋体" w:cs="Times New Roman"/>
          <w:szCs w:val="21"/>
        </w:rPr>
        <w:t>卷；大量印行了马克思主义经典著作的单行本；组织重印了《列宁全集》</w:t>
      </w:r>
      <w:r>
        <w:rPr>
          <w:rFonts w:ascii="Times New Roman" w:hAnsi="Times New Roman" w:eastAsia="宋体" w:cs="Times New Roman"/>
          <w:szCs w:val="21"/>
        </w:rPr>
        <w:t>39卷，并从1975</w:t>
      </w:r>
      <w:r>
        <w:rPr>
          <w:rFonts w:hint="eastAsia" w:ascii="宋体" w:hAnsi="宋体" w:eastAsia="宋体" w:cs="Times New Roman"/>
          <w:szCs w:val="21"/>
        </w:rPr>
        <w:t>年开始组织编辑《列宁文稿》。与此同时，不少马克思主义理论工作者开始对“文化大革命”及其相应理论和现实问题进行冷静反思，并艰难地坚持着自己的研究工作。</w:t>
      </w:r>
    </w:p>
    <w:p w14:paraId="31E9DF51">
      <w:pPr>
        <w:spacing w:line="400" w:lineRule="exact"/>
        <w:ind w:firstLine="440" w:firstLineChars="200"/>
        <w:rPr>
          <w:rFonts w:ascii="宋体" w:hAnsi="宋体" w:eastAsia="宋体" w:cs="Times New Roman"/>
          <w:szCs w:val="21"/>
        </w:rPr>
      </w:pPr>
      <w:r>
        <w:rPr>
          <w:rFonts w:ascii="Times New Roman" w:hAnsi="Times New Roman" w:eastAsia="宋体" w:cs="Times New Roman"/>
          <w:b/>
          <w:bCs/>
          <w:szCs w:val="21"/>
        </w:rPr>
        <w:t>1978</w:t>
      </w:r>
      <w:r>
        <w:rPr>
          <w:rFonts w:hint="eastAsia" w:ascii="Times New Roman" w:hAnsi="Times New Roman" w:eastAsia="宋体" w:cs="Times New Roman"/>
          <w:b/>
          <w:szCs w:val="21"/>
        </w:rPr>
        <w:t>-</w:t>
      </w:r>
      <w:r>
        <w:rPr>
          <w:rFonts w:ascii="Times New Roman" w:hAnsi="Times New Roman" w:eastAsia="宋体" w:cs="Times New Roman"/>
          <w:b/>
          <w:bCs/>
          <w:szCs w:val="21"/>
        </w:rPr>
        <w:t>1992</w:t>
      </w:r>
      <w:r>
        <w:rPr>
          <w:rFonts w:hint="eastAsia" w:ascii="宋体" w:hAnsi="宋体" w:eastAsia="宋体" w:cs="Times New Roman"/>
          <w:b/>
          <w:bCs/>
          <w:szCs w:val="21"/>
        </w:rPr>
        <w:t>年，是马克思主义理论研究的复兴发展阶段。</w:t>
      </w:r>
      <w:r>
        <w:rPr>
          <w:rFonts w:ascii="Times New Roman" w:hAnsi="Times New Roman" w:eastAsia="宋体" w:cs="Times New Roman"/>
          <w:szCs w:val="21"/>
        </w:rPr>
        <w:t>1978</w:t>
      </w:r>
      <w:r>
        <w:rPr>
          <w:rFonts w:hint="eastAsia" w:ascii="宋体" w:hAnsi="宋体" w:eastAsia="宋体" w:cs="Times New Roman"/>
          <w:szCs w:val="21"/>
        </w:rPr>
        <w:t>年党的十一届三中全会之后，我国的马克思主义理论研究从复兴走向大发展。这一阶段，马克思主义经典著作编译出版工作不断取得新的成果，一批马克思主义理论研究和教学机构得以恢复和新建，马克思主义理论研究领域逐步拓展，研究成果影响深远，学科体系恢复发展。</w:t>
      </w:r>
    </w:p>
    <w:p w14:paraId="43C274C6">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马克思主义经典著作编译、出版和研究工作成绩突出。这一阶段，该领域最突出的工作是我国开始自行编译出版</w:t>
      </w:r>
      <w:r>
        <w:rPr>
          <w:rFonts w:ascii="宋体" w:hAnsi="宋体" w:eastAsia="宋体" w:cs="Times New Roman"/>
          <w:szCs w:val="21"/>
        </w:rPr>
        <w:t>《马克思恩格斯全集》</w:t>
      </w:r>
      <w:r>
        <w:rPr>
          <w:rFonts w:hint="eastAsia" w:ascii="宋体" w:hAnsi="宋体" w:eastAsia="宋体" w:cs="Times New Roman"/>
          <w:szCs w:val="21"/>
        </w:rPr>
        <w:t>和</w:t>
      </w:r>
      <w:r>
        <w:rPr>
          <w:rFonts w:ascii="宋体" w:hAnsi="宋体" w:eastAsia="宋体" w:cs="Times New Roman"/>
          <w:szCs w:val="21"/>
        </w:rPr>
        <w:t>《列宁全集》</w:t>
      </w:r>
      <w:r>
        <w:rPr>
          <w:rFonts w:hint="eastAsia" w:ascii="宋体" w:hAnsi="宋体" w:eastAsia="宋体" w:cs="Times New Roman"/>
          <w:szCs w:val="21"/>
        </w:rPr>
        <w:t>的</w:t>
      </w:r>
      <w:r>
        <w:rPr>
          <w:rFonts w:ascii="宋体" w:hAnsi="宋体" w:eastAsia="宋体" w:cs="Times New Roman"/>
          <w:szCs w:val="21"/>
        </w:rPr>
        <w:t>中文第</w:t>
      </w:r>
      <w:r>
        <w:rPr>
          <w:rFonts w:ascii="Times New Roman" w:hAnsi="Times New Roman" w:eastAsia="宋体" w:cs="Times New Roman"/>
          <w:szCs w:val="21"/>
        </w:rPr>
        <w:t>2版。1982年5月，中共中央决定我国自行编译出版《列宁全集》中文第2版，并于1984</w:t>
      </w:r>
      <w:r>
        <w:rPr>
          <w:rFonts w:ascii="宋体" w:hAnsi="宋体" w:eastAsia="宋体" w:cs="Times New Roman"/>
          <w:szCs w:val="21"/>
        </w:rPr>
        <w:t>年起陆续出版，</w:t>
      </w:r>
      <w:r>
        <w:rPr>
          <w:rFonts w:ascii="Times New Roman" w:hAnsi="Times New Roman" w:eastAsia="宋体" w:cs="Times New Roman"/>
          <w:szCs w:val="21"/>
        </w:rPr>
        <w:t>1990年12月出齐</w:t>
      </w:r>
      <w:r>
        <w:rPr>
          <w:rFonts w:hint="eastAsia" w:ascii="Times New Roman" w:hAnsi="Times New Roman" w:eastAsia="宋体" w:cs="Times New Roman"/>
          <w:szCs w:val="21"/>
        </w:rPr>
        <w:t>，</w:t>
      </w:r>
      <w:r>
        <w:rPr>
          <w:rFonts w:ascii="Times New Roman" w:hAnsi="Times New Roman" w:eastAsia="宋体" w:cs="Times New Roman"/>
          <w:szCs w:val="21"/>
        </w:rPr>
        <w:t>共60</w:t>
      </w:r>
      <w:r>
        <w:rPr>
          <w:rFonts w:ascii="宋体" w:hAnsi="宋体" w:eastAsia="宋体" w:cs="Times New Roman"/>
          <w:szCs w:val="21"/>
        </w:rPr>
        <w:t>卷。《马克思恩格斯全集》中文第</w:t>
      </w:r>
      <w:r>
        <w:rPr>
          <w:rFonts w:ascii="Times New Roman" w:hAnsi="Times New Roman" w:eastAsia="宋体" w:cs="Times New Roman"/>
          <w:szCs w:val="21"/>
        </w:rPr>
        <w:t>1版的补卷</w:t>
      </w:r>
      <w:r>
        <w:rPr>
          <w:rFonts w:hint="eastAsia" w:ascii="Times New Roman" w:hAnsi="Times New Roman" w:eastAsia="宋体" w:cs="Times New Roman"/>
          <w:szCs w:val="21"/>
        </w:rPr>
        <w:t>，</w:t>
      </w:r>
      <w:r>
        <w:rPr>
          <w:rFonts w:ascii="Times New Roman" w:hAnsi="Times New Roman" w:eastAsia="宋体" w:cs="Times New Roman"/>
          <w:szCs w:val="21"/>
        </w:rPr>
        <w:t>共11</w:t>
      </w:r>
      <w:r>
        <w:rPr>
          <w:rFonts w:ascii="宋体" w:hAnsi="宋体" w:eastAsia="宋体" w:cs="Times New Roman"/>
          <w:szCs w:val="21"/>
        </w:rPr>
        <w:t>卷</w:t>
      </w:r>
      <w:r>
        <w:rPr>
          <w:rFonts w:hint="eastAsia" w:ascii="宋体" w:hAnsi="宋体" w:eastAsia="宋体" w:cs="Times New Roman"/>
          <w:szCs w:val="21"/>
        </w:rPr>
        <w:t>，</w:t>
      </w:r>
      <w:r>
        <w:rPr>
          <w:rFonts w:ascii="宋体" w:hAnsi="宋体" w:eastAsia="宋体" w:cs="Times New Roman"/>
          <w:szCs w:val="21"/>
        </w:rPr>
        <w:t>于</w:t>
      </w:r>
      <w:r>
        <w:rPr>
          <w:rFonts w:ascii="Times New Roman" w:hAnsi="Times New Roman" w:eastAsia="宋体" w:cs="Times New Roman"/>
          <w:szCs w:val="21"/>
        </w:rPr>
        <w:t>1985</w:t>
      </w:r>
      <w:r>
        <w:rPr>
          <w:rFonts w:ascii="宋体" w:hAnsi="宋体" w:eastAsia="宋体" w:cs="Times New Roman"/>
          <w:szCs w:val="21"/>
        </w:rPr>
        <w:t>年出齐之后，</w:t>
      </w:r>
      <w:r>
        <w:rPr>
          <w:rFonts w:ascii="Times New Roman" w:hAnsi="Times New Roman" w:eastAsia="宋体" w:cs="Times New Roman"/>
          <w:szCs w:val="21"/>
        </w:rPr>
        <w:t>1986年7</w:t>
      </w:r>
      <w:r>
        <w:rPr>
          <w:rFonts w:ascii="宋体" w:hAnsi="宋体" w:eastAsia="宋体" w:cs="Times New Roman"/>
          <w:szCs w:val="21"/>
        </w:rPr>
        <w:t>月中共中央决定我国自行编译出版《马克思恩格斯全集》中文第</w:t>
      </w:r>
      <w:r>
        <w:rPr>
          <w:rFonts w:ascii="Times New Roman" w:hAnsi="Times New Roman" w:eastAsia="宋体" w:cs="Times New Roman"/>
          <w:szCs w:val="21"/>
        </w:rPr>
        <w:t>2</w:t>
      </w:r>
      <w:r>
        <w:rPr>
          <w:rFonts w:ascii="宋体" w:hAnsi="宋体" w:eastAsia="宋体" w:cs="Times New Roman"/>
          <w:szCs w:val="21"/>
        </w:rPr>
        <w:t>版。同时，毛泽东、邓小平等我国老一辈革命家著作的编辑出版也硕果累累。</w:t>
      </w:r>
      <w:r>
        <w:rPr>
          <w:rFonts w:ascii="Times New Roman" w:hAnsi="Times New Roman" w:eastAsia="宋体" w:cs="Times New Roman"/>
          <w:szCs w:val="21"/>
        </w:rPr>
        <w:t>1986</w:t>
      </w:r>
      <w:r>
        <w:rPr>
          <w:rFonts w:ascii="宋体" w:hAnsi="宋体" w:eastAsia="宋体" w:cs="Times New Roman"/>
          <w:szCs w:val="21"/>
        </w:rPr>
        <w:t>年《毛泽东著作选读》（</w:t>
      </w:r>
      <w:r>
        <w:rPr>
          <w:rFonts w:hint="eastAsia" w:ascii="宋体" w:hAnsi="宋体" w:eastAsia="宋体" w:cs="Times New Roman"/>
          <w:szCs w:val="21"/>
        </w:rPr>
        <w:t>上下册</w:t>
      </w:r>
      <w:r>
        <w:rPr>
          <w:rFonts w:ascii="宋体" w:hAnsi="宋体" w:eastAsia="宋体" w:cs="Times New Roman"/>
          <w:szCs w:val="21"/>
        </w:rPr>
        <w:t>）出版；</w:t>
      </w:r>
      <w:r>
        <w:rPr>
          <w:rFonts w:ascii="Times New Roman" w:hAnsi="Times New Roman" w:eastAsia="宋体" w:cs="Times New Roman"/>
          <w:szCs w:val="21"/>
        </w:rPr>
        <w:t>1991</w:t>
      </w:r>
      <w:r>
        <w:rPr>
          <w:rFonts w:hint="eastAsia" w:ascii="宋体" w:hAnsi="宋体" w:eastAsia="宋体" w:cs="Times New Roman"/>
          <w:szCs w:val="21"/>
        </w:rPr>
        <w:t>年《毛泽东选集》</w:t>
      </w:r>
      <w:r>
        <w:rPr>
          <w:rFonts w:ascii="宋体" w:hAnsi="宋体" w:eastAsia="宋体" w:cs="Times New Roman"/>
          <w:szCs w:val="21"/>
        </w:rPr>
        <w:t>第</w:t>
      </w:r>
      <w:r>
        <w:rPr>
          <w:rFonts w:ascii="Times New Roman" w:hAnsi="Times New Roman" w:eastAsia="宋体" w:cs="Times New Roman"/>
          <w:szCs w:val="21"/>
        </w:rPr>
        <w:t>2版修订出版；1983</w:t>
      </w:r>
      <w:r>
        <w:rPr>
          <w:rFonts w:ascii="宋体" w:hAnsi="宋体" w:eastAsia="宋体" w:cs="Times New Roman"/>
          <w:szCs w:val="21"/>
        </w:rPr>
        <w:t>年《邓小平文选》</w:t>
      </w:r>
      <w:r>
        <w:rPr>
          <w:rFonts w:ascii="Times New Roman" w:hAnsi="Times New Roman" w:eastAsia="宋体" w:cs="Times New Roman"/>
          <w:szCs w:val="21"/>
        </w:rPr>
        <w:t>（1975</w:t>
      </w:r>
      <w:r>
        <w:rPr>
          <w:rFonts w:hint="eastAsia" w:ascii="Times New Roman" w:hAnsi="Times New Roman" w:eastAsia="宋体" w:cs="Times New Roman"/>
          <w:szCs w:val="21"/>
        </w:rPr>
        <w:t>-</w:t>
      </w:r>
      <w:r>
        <w:rPr>
          <w:rFonts w:ascii="Times New Roman" w:hAnsi="Times New Roman" w:eastAsia="宋体" w:cs="Times New Roman"/>
          <w:szCs w:val="21"/>
        </w:rPr>
        <w:t>1982年）出版；1987</w:t>
      </w:r>
      <w:r>
        <w:rPr>
          <w:rFonts w:ascii="宋体" w:hAnsi="宋体" w:eastAsia="宋体" w:cs="Times New Roman"/>
          <w:szCs w:val="21"/>
        </w:rPr>
        <w:t>年《建设有中国特色社会主义》（</w:t>
      </w:r>
      <w:r>
        <w:rPr>
          <w:rFonts w:hint="eastAsia" w:ascii="宋体" w:hAnsi="宋体" w:eastAsia="宋体" w:cs="Times New Roman"/>
          <w:szCs w:val="21"/>
        </w:rPr>
        <w:t>增订本</w:t>
      </w:r>
      <w:r>
        <w:rPr>
          <w:rFonts w:ascii="宋体" w:hAnsi="宋体" w:eastAsia="宋体" w:cs="Times New Roman"/>
          <w:szCs w:val="21"/>
        </w:rPr>
        <w:t>）出版；</w:t>
      </w:r>
      <w:r>
        <w:rPr>
          <w:rFonts w:ascii="Times New Roman" w:hAnsi="Times New Roman" w:eastAsia="宋体" w:cs="Times New Roman"/>
          <w:szCs w:val="21"/>
        </w:rPr>
        <w:t>1989年《邓小平文选》（1938</w:t>
      </w:r>
      <w:r>
        <w:rPr>
          <w:rFonts w:hint="eastAsia" w:ascii="Times New Roman" w:hAnsi="Times New Roman" w:eastAsia="宋体" w:cs="Times New Roman"/>
          <w:szCs w:val="21"/>
        </w:rPr>
        <w:t>-</w:t>
      </w:r>
      <w:r>
        <w:rPr>
          <w:rFonts w:ascii="Times New Roman" w:hAnsi="Times New Roman" w:eastAsia="宋体" w:cs="Times New Roman"/>
          <w:szCs w:val="21"/>
        </w:rPr>
        <w:t>1965年）</w:t>
      </w:r>
      <w:r>
        <w:rPr>
          <w:rFonts w:ascii="宋体" w:hAnsi="宋体" w:eastAsia="宋体" w:cs="Times New Roman"/>
          <w:szCs w:val="21"/>
        </w:rPr>
        <w:t>出版</w:t>
      </w:r>
      <w:r>
        <w:rPr>
          <w:rFonts w:hint="eastAsia" w:ascii="宋体" w:hAnsi="宋体" w:eastAsia="宋体" w:cs="Times New Roman"/>
          <w:szCs w:val="21"/>
        </w:rPr>
        <w:t>。在此期间，马恩列斯生平事业研究、马克思主义经典著作版本比较、文本研究、名篇解读等领域均全面展开并取得重要进展，呈现出良好发展态势，《资本论》、《关于费尔巴哈的提纲》、《反杜林论》、《哲学笔记》、《帝国主义是资本主义的最高阶段》等经典名篇引起了广泛而深入的研究。</w:t>
      </w:r>
    </w:p>
    <w:p w14:paraId="4A5339DD">
      <w:pPr>
        <w:spacing w:line="400" w:lineRule="exact"/>
        <w:ind w:firstLine="440" w:firstLineChars="200"/>
        <w:rPr>
          <w:rFonts w:ascii="宋体" w:hAnsi="宋体" w:eastAsia="宋体" w:cs="Times New Roman"/>
          <w:b/>
          <w:szCs w:val="21"/>
        </w:rPr>
      </w:pPr>
      <w:r>
        <w:rPr>
          <w:rFonts w:hint="eastAsia" w:ascii="宋体" w:hAnsi="宋体" w:eastAsia="宋体" w:cs="Times New Roman"/>
          <w:szCs w:val="21"/>
        </w:rPr>
        <w:t>马克思主义理论研究和教学机构不断壮大，人才培养体系逐步完善。</w:t>
      </w:r>
      <w:r>
        <w:rPr>
          <w:rFonts w:ascii="Times New Roman" w:hAnsi="Times New Roman" w:eastAsia="宋体" w:cs="Times New Roman"/>
          <w:szCs w:val="21"/>
        </w:rPr>
        <w:t>1978年5月</w:t>
      </w:r>
      <w:r>
        <w:rPr>
          <w:rFonts w:ascii="宋体" w:hAnsi="宋体" w:eastAsia="宋体" w:cs="Times New Roman"/>
          <w:szCs w:val="21"/>
        </w:rPr>
        <w:t>中国人民大学恢复重建了马列主义发展史研究所；</w:t>
      </w:r>
      <w:r>
        <w:rPr>
          <w:rFonts w:ascii="Times New Roman" w:hAnsi="Times New Roman" w:eastAsia="宋体" w:cs="Times New Roman"/>
          <w:szCs w:val="21"/>
        </w:rPr>
        <w:t>1979年7月</w:t>
      </w:r>
      <w:r>
        <w:rPr>
          <w:rFonts w:hint="eastAsia" w:ascii="Times New Roman" w:hAnsi="Times New Roman" w:eastAsia="宋体" w:cs="Times New Roman"/>
          <w:szCs w:val="21"/>
        </w:rPr>
        <w:t>，</w:t>
      </w:r>
      <w:r>
        <w:rPr>
          <w:rFonts w:ascii="宋体" w:hAnsi="宋体" w:eastAsia="宋体" w:cs="Times New Roman"/>
          <w:szCs w:val="21"/>
        </w:rPr>
        <w:t>中国社会科学院成立了马克思列宁主义毛泽东思想研究所；</w:t>
      </w:r>
      <w:r>
        <w:rPr>
          <w:rFonts w:ascii="Times New Roman" w:hAnsi="Times New Roman" w:eastAsia="宋体" w:cs="Times New Roman"/>
          <w:szCs w:val="21"/>
        </w:rPr>
        <w:t>1980年6月</w:t>
      </w:r>
      <w:r>
        <w:rPr>
          <w:rFonts w:hint="eastAsia" w:ascii="Times New Roman" w:hAnsi="Times New Roman" w:eastAsia="宋体" w:cs="Times New Roman"/>
          <w:szCs w:val="21"/>
        </w:rPr>
        <w:t>，</w:t>
      </w:r>
      <w:r>
        <w:rPr>
          <w:rFonts w:hint="eastAsia" w:ascii="宋体" w:hAnsi="宋体" w:eastAsia="宋体" w:cs="Times New Roman"/>
          <w:szCs w:val="21"/>
        </w:rPr>
        <w:t>北京大学成立了马克思列宁主义毛泽东思想研究所；中央党校、国防大学等高等院校和地方社会科学院也相继成立了马克思主义研究所或毛泽东思想研究所，以及承担马克思主义理论教学和研究任务的教研室。随着马克思主义研究领域的扩展和新兴学科的崛起，一些新的研究和教学机构也不断建立和发展起来，如</w:t>
      </w:r>
      <w:r>
        <w:rPr>
          <w:rFonts w:ascii="Times New Roman" w:hAnsi="Times New Roman" w:eastAsia="宋体" w:cs="Times New Roman"/>
          <w:szCs w:val="21"/>
        </w:rPr>
        <w:t>1989</w:t>
      </w:r>
      <w:r>
        <w:rPr>
          <w:rFonts w:hint="eastAsia" w:ascii="宋体" w:hAnsi="宋体" w:eastAsia="宋体" w:cs="Times New Roman"/>
          <w:szCs w:val="21"/>
        </w:rPr>
        <w:t>年国务院发展研究中心组建的世界社会主义研究所。与此同时，马克思主义理论人才培养体系也逐步完善。</w:t>
      </w:r>
      <w:r>
        <w:rPr>
          <w:rFonts w:ascii="Times New Roman" w:hAnsi="Times New Roman" w:eastAsia="宋体" w:cs="Times New Roman"/>
          <w:szCs w:val="21"/>
        </w:rPr>
        <w:t>1984年4</w:t>
      </w:r>
      <w:r>
        <w:rPr>
          <w:rFonts w:hint="eastAsia" w:ascii="宋体" w:hAnsi="宋体" w:eastAsia="宋体" w:cs="Times New Roman"/>
          <w:szCs w:val="21"/>
        </w:rPr>
        <w:t>月，教育部发出《关于在十二所院校设置思想政治教育专业的意见》，决定在部分高等院校设置思想政治教育专业，开办本科班、第二学士学位班、大专起点本科班。</w:t>
      </w:r>
      <w:r>
        <w:rPr>
          <w:rFonts w:ascii="Times New Roman" w:hAnsi="Times New Roman" w:eastAsia="宋体" w:cs="Times New Roman"/>
          <w:szCs w:val="21"/>
        </w:rPr>
        <w:t>1987年12月21</w:t>
      </w:r>
      <w:r>
        <w:rPr>
          <w:rFonts w:hint="eastAsia" w:ascii="宋体" w:hAnsi="宋体" w:eastAsia="宋体" w:cs="Times New Roman"/>
          <w:szCs w:val="21"/>
        </w:rPr>
        <w:t>日，原国家教委颁布的《普通高等学校社会科学本科专科目录》，首次将“思想政治教育”列入本科专业目录。</w:t>
      </w:r>
      <w:r>
        <w:rPr>
          <w:rFonts w:ascii="Times New Roman" w:hAnsi="Times New Roman" w:eastAsia="宋体" w:cs="Times New Roman"/>
          <w:szCs w:val="21"/>
        </w:rPr>
        <w:t>1987</w:t>
      </w:r>
      <w:r>
        <w:rPr>
          <w:rFonts w:ascii="宋体" w:hAnsi="宋体" w:eastAsia="宋体" w:cs="Times New Roman"/>
          <w:szCs w:val="21"/>
        </w:rPr>
        <w:t>年，国务院学位委员会修订硕士、博士研究生专业目录，增设思想政治教育专业。同年</w:t>
      </w:r>
      <w:r>
        <w:rPr>
          <w:rFonts w:ascii="Times New Roman" w:hAnsi="Times New Roman" w:eastAsia="宋体" w:cs="Times New Roman"/>
          <w:szCs w:val="21"/>
        </w:rPr>
        <w:t>9</w:t>
      </w:r>
      <w:r>
        <w:rPr>
          <w:rFonts w:ascii="宋体" w:hAnsi="宋体" w:eastAsia="宋体" w:cs="Times New Roman"/>
          <w:szCs w:val="21"/>
        </w:rPr>
        <w:t>月</w:t>
      </w:r>
      <w:r>
        <w:rPr>
          <w:rFonts w:hint="eastAsia" w:ascii="宋体" w:hAnsi="宋体" w:eastAsia="宋体" w:cs="Times New Roman"/>
          <w:szCs w:val="21"/>
        </w:rPr>
        <w:t>，</w:t>
      </w:r>
      <w:r>
        <w:rPr>
          <w:rFonts w:ascii="宋体" w:hAnsi="宋体" w:eastAsia="宋体" w:cs="Times New Roman"/>
          <w:szCs w:val="21"/>
        </w:rPr>
        <w:t>国家教委印发了《关于思想政治教育专业培养硕士研究生实施意见》，决定从</w:t>
      </w:r>
      <w:r>
        <w:rPr>
          <w:rFonts w:ascii="Times New Roman" w:hAnsi="Times New Roman" w:eastAsia="宋体" w:cs="Times New Roman"/>
          <w:szCs w:val="21"/>
        </w:rPr>
        <w:t>1988</w:t>
      </w:r>
      <w:r>
        <w:rPr>
          <w:rFonts w:ascii="宋体" w:hAnsi="宋体" w:eastAsia="宋体" w:cs="Times New Roman"/>
          <w:szCs w:val="21"/>
        </w:rPr>
        <w:t>年开始培养思想政治教育专业硕士研究生。</w:t>
      </w:r>
      <w:r>
        <w:rPr>
          <w:rFonts w:ascii="Times New Roman" w:hAnsi="Times New Roman" w:eastAsia="宋体" w:cs="Times New Roman"/>
          <w:szCs w:val="21"/>
        </w:rPr>
        <w:t>1988</w:t>
      </w:r>
      <w:r>
        <w:rPr>
          <w:rFonts w:ascii="宋体" w:hAnsi="宋体" w:eastAsia="宋体" w:cs="Times New Roman"/>
          <w:szCs w:val="21"/>
        </w:rPr>
        <w:t>年，复旦大学、武汉大学、南开大学等</w:t>
      </w:r>
      <w:r>
        <w:rPr>
          <w:rFonts w:ascii="Times New Roman" w:hAnsi="Times New Roman" w:eastAsia="宋体" w:cs="Times New Roman"/>
          <w:szCs w:val="21"/>
        </w:rPr>
        <w:t>10</w:t>
      </w:r>
      <w:r>
        <w:rPr>
          <w:rFonts w:ascii="宋体" w:hAnsi="宋体" w:eastAsia="宋体" w:cs="Times New Roman"/>
          <w:szCs w:val="21"/>
        </w:rPr>
        <w:t>所院校招收首批思想政治教育专业硕士研究生。</w:t>
      </w:r>
      <w:r>
        <w:rPr>
          <w:rFonts w:ascii="Times New Roman" w:hAnsi="Times New Roman" w:eastAsia="宋体" w:cs="Times New Roman"/>
          <w:szCs w:val="21"/>
        </w:rPr>
        <w:t>1990</w:t>
      </w:r>
      <w:r>
        <w:rPr>
          <w:rFonts w:ascii="宋体" w:hAnsi="宋体" w:eastAsia="宋体" w:cs="Times New Roman"/>
          <w:szCs w:val="21"/>
        </w:rPr>
        <w:t>年</w:t>
      </w:r>
      <w:r>
        <w:rPr>
          <w:rFonts w:hint="eastAsia" w:ascii="宋体" w:hAnsi="宋体" w:eastAsia="宋体" w:cs="Times New Roman"/>
          <w:szCs w:val="21"/>
        </w:rPr>
        <w:t>，国务院学位委员会第九次会议通过了《授予博士、硕士学位和培养研究生的学科、专业目录》，在法学门类政治学一级学科下设</w:t>
      </w:r>
      <w:r>
        <w:rPr>
          <w:rFonts w:ascii="宋体" w:hAnsi="宋体" w:eastAsia="宋体" w:cs="Times New Roman"/>
          <w:szCs w:val="21"/>
        </w:rPr>
        <w:t>马克思主义理论教育（</w:t>
      </w:r>
      <w:r>
        <w:rPr>
          <w:rFonts w:hint="eastAsia" w:ascii="宋体" w:hAnsi="宋体" w:eastAsia="宋体" w:cs="Times New Roman"/>
          <w:szCs w:val="21"/>
        </w:rPr>
        <w:t>含马克思主义原理、中国革命史、中国社会主义建设、世界政治经济和国际关系</w:t>
      </w:r>
      <w:r>
        <w:rPr>
          <w:rFonts w:ascii="宋体" w:hAnsi="宋体" w:eastAsia="宋体" w:cs="Times New Roman"/>
          <w:szCs w:val="21"/>
        </w:rPr>
        <w:t>）</w:t>
      </w:r>
      <w:r>
        <w:rPr>
          <w:rFonts w:hint="eastAsia" w:ascii="宋体" w:hAnsi="宋体" w:eastAsia="宋体" w:cs="Times New Roman"/>
          <w:szCs w:val="21"/>
        </w:rPr>
        <w:t>和</w:t>
      </w:r>
      <w:r>
        <w:rPr>
          <w:rFonts w:ascii="宋体" w:hAnsi="宋体" w:eastAsia="宋体" w:cs="Times New Roman"/>
          <w:szCs w:val="21"/>
        </w:rPr>
        <w:t>思想政治教育</w:t>
      </w:r>
      <w:r>
        <w:rPr>
          <w:rFonts w:hint="eastAsia" w:ascii="宋体" w:hAnsi="宋体" w:eastAsia="宋体" w:cs="Times New Roman"/>
          <w:szCs w:val="21"/>
        </w:rPr>
        <w:t>两个硕士学位授权点。此外，从</w:t>
      </w:r>
      <w:r>
        <w:rPr>
          <w:rFonts w:ascii="Times New Roman" w:hAnsi="Times New Roman" w:eastAsia="宋体" w:cs="Times New Roman"/>
          <w:szCs w:val="21"/>
        </w:rPr>
        <w:t>1981</w:t>
      </w:r>
      <w:r>
        <w:rPr>
          <w:rFonts w:hint="eastAsia" w:ascii="宋体" w:hAnsi="宋体" w:eastAsia="宋体" w:cs="Times New Roman"/>
          <w:szCs w:val="21"/>
        </w:rPr>
        <w:t>年我国恢复学位制度起，一些高等院校和研究机构陆续设立了马克思主义哲学、政治经济学、科学社会主义、国际共运史等学科的硕士和博士学位授予点。</w:t>
      </w:r>
    </w:p>
    <w:p w14:paraId="145C535A">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马克思主义理论研究领域逐步拓展，研究成果影响深远。党的十一届三中全会前夕，我国马克思主义理论工作者积极参与和推动真理标准问题大讨论，为促进思想解放，重新确立马克思主义思想路线，开启改革开放新时期发挥了思想先导作用。十一届三中全会以后，我国马克思主义理论工作者把马克思主义理论研究同总结历史经验教训结合起来，同当代社会主义理论与实践结合起来，同中国特色社会主义的伟大实践结合起来，不断拓展马克思主义理论研究领域，推动马克思主义理论研究向纵深发展。马克思主义经典作家思想史研究、斯大林和“苏东模式”研究、毛泽东思想研究、马克思主义发展史研究、国际共运史研究、社会主义思想史研究、“西方马克思主义”研究等领域及其相关重大问题研究，都取得了很大进展。这一时期，我国马克思主义理论发展取得的最大成果，是创立了邓小平理论。我国广大马克思主义理论工作者不仅以自己的创造性成果为这一理论的形成和发展作出了贡献，而且在学习、宣传、研究这一理论的基础上，围绕“什么是社会主义、如何建设社会主义”这一重大主题，深入研究社会主义初级阶段理论、社会主义本质、社会主义发展战略、社会主义市场经济和社会主义精神文明建设等重大问题，加深了对相对落后国家建设社会主义道路和规律的认识，开拓了马克思主义理论研究的新境界。</w:t>
      </w:r>
    </w:p>
    <w:p w14:paraId="31E91BAF">
      <w:pPr>
        <w:spacing w:line="400" w:lineRule="exact"/>
        <w:ind w:firstLine="440" w:firstLineChars="200"/>
        <w:rPr>
          <w:rFonts w:ascii="宋体" w:hAnsi="宋体" w:eastAsia="宋体" w:cs="Times New Roman"/>
          <w:szCs w:val="21"/>
        </w:rPr>
      </w:pPr>
      <w:r>
        <w:rPr>
          <w:rFonts w:ascii="Times New Roman" w:hAnsi="Times New Roman" w:eastAsia="宋体" w:cs="Times New Roman"/>
          <w:b/>
          <w:bCs/>
          <w:szCs w:val="21"/>
        </w:rPr>
        <w:t>1993</w:t>
      </w:r>
      <w:r>
        <w:rPr>
          <w:rFonts w:hint="eastAsia" w:ascii="宋体" w:hAnsi="宋体" w:eastAsia="宋体" w:cs="Times New Roman"/>
          <w:b/>
          <w:bCs/>
          <w:szCs w:val="21"/>
        </w:rPr>
        <w:t>年至今，是马克思主义理论研究的繁荣创新阶段。</w:t>
      </w:r>
      <w:r>
        <w:rPr>
          <w:rFonts w:hint="eastAsia" w:ascii="宋体" w:hAnsi="宋体" w:eastAsia="宋体" w:cs="Times New Roman"/>
          <w:szCs w:val="21"/>
        </w:rPr>
        <w:t>这一阶段，马克思主义理论研究空前繁荣，创新成果累累。尤其是党的十六大以来，在中央实施马克思主义理论研究和建设工程中，马克思主义经典著作编译、出版和研究工作继续稳步推进，马克思主义理论研究和教学队伍不断壮大，马克思主义理论研究领域和研究主题不断拓展和深化，以马克思主义理论一级学科为核心的整个学科体系趋于完善。</w:t>
      </w:r>
    </w:p>
    <w:p w14:paraId="28994788">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马克思主义经典著作编译、出版和研究工作大步推进。</w:t>
      </w:r>
      <w:r>
        <w:rPr>
          <w:rFonts w:ascii="宋体" w:hAnsi="宋体" w:eastAsia="宋体" w:cs="Times New Roman"/>
          <w:szCs w:val="21"/>
        </w:rPr>
        <w:t>《马克思恩格斯全集》中文第</w:t>
      </w:r>
      <w:r>
        <w:rPr>
          <w:rFonts w:ascii="Times New Roman" w:hAnsi="Times New Roman" w:eastAsia="宋体" w:cs="Times New Roman"/>
          <w:szCs w:val="21"/>
        </w:rPr>
        <w:t>2</w:t>
      </w:r>
      <w:r>
        <w:rPr>
          <w:rFonts w:ascii="宋体" w:hAnsi="宋体" w:eastAsia="宋体" w:cs="Times New Roman"/>
          <w:szCs w:val="21"/>
        </w:rPr>
        <w:t>版从</w:t>
      </w:r>
      <w:r>
        <w:rPr>
          <w:rFonts w:ascii="Times New Roman" w:hAnsi="Times New Roman" w:eastAsia="宋体" w:cs="Times New Roman"/>
          <w:szCs w:val="21"/>
        </w:rPr>
        <w:t>1995</w:t>
      </w:r>
      <w:r>
        <w:rPr>
          <w:rFonts w:ascii="宋体" w:hAnsi="宋体" w:eastAsia="宋体" w:cs="Times New Roman"/>
          <w:szCs w:val="21"/>
        </w:rPr>
        <w:t>年起陆续问世，到</w:t>
      </w:r>
      <w:r>
        <w:rPr>
          <w:rFonts w:ascii="Times New Roman" w:hAnsi="Times New Roman" w:eastAsia="宋体" w:cs="Times New Roman"/>
          <w:szCs w:val="21"/>
        </w:rPr>
        <w:t>2007年底已出版20卷，计划到本世纪20年代出齐，共60－70卷；《马克思恩格斯文集》（10卷）、《列宁专题文集》（5卷）即将完成编译出版；新版《马克思恩格斯选集》（4卷）、《列宁选集》（4卷），均于1995年出版；《邓小平文选》第3卷于1993年出版，《邓小平文选》第1、2卷第2版于1994年出版。与此同时，马克思主义经典著作研究更加全面、系统、深入。中央编译局2004</w:t>
      </w:r>
      <w:r>
        <w:rPr>
          <w:rFonts w:hint="eastAsia" w:ascii="宋体" w:hAnsi="宋体" w:eastAsia="宋体" w:cs="Times New Roman"/>
          <w:szCs w:val="21"/>
        </w:rPr>
        <w:t>年</w:t>
      </w:r>
      <w:r>
        <w:rPr>
          <w:rFonts w:ascii="宋体" w:hAnsi="宋体" w:eastAsia="宋体" w:cs="Times New Roman"/>
          <w:szCs w:val="21"/>
        </w:rPr>
        <w:t>牵头承担</w:t>
      </w:r>
      <w:r>
        <w:rPr>
          <w:rFonts w:hint="eastAsia" w:ascii="宋体" w:hAnsi="宋体" w:eastAsia="宋体" w:cs="Times New Roman"/>
          <w:szCs w:val="21"/>
        </w:rPr>
        <w:t>的马克思主义</w:t>
      </w:r>
      <w:r>
        <w:rPr>
          <w:rFonts w:ascii="宋体" w:hAnsi="宋体" w:eastAsia="宋体" w:cs="Times New Roman"/>
          <w:szCs w:val="21"/>
        </w:rPr>
        <w:t>经典著作基本观点</w:t>
      </w:r>
      <w:r>
        <w:rPr>
          <w:rFonts w:hint="eastAsia" w:ascii="宋体" w:hAnsi="宋体" w:eastAsia="宋体" w:cs="Times New Roman"/>
          <w:szCs w:val="21"/>
        </w:rPr>
        <w:t>研究课题，联合</w:t>
      </w:r>
      <w:r>
        <w:rPr>
          <w:rFonts w:ascii="宋体" w:hAnsi="宋体" w:eastAsia="宋体" w:cs="Times New Roman"/>
          <w:szCs w:val="21"/>
        </w:rPr>
        <w:t>中国社会科学院、中央党校、教育部、国防大学、军事科学院等单位</w:t>
      </w:r>
      <w:r>
        <w:rPr>
          <w:rFonts w:ascii="Times New Roman" w:hAnsi="Times New Roman" w:eastAsia="宋体" w:cs="Times New Roman"/>
          <w:szCs w:val="21"/>
        </w:rPr>
        <w:t>200多名专家学者参与研究，设置18个</w:t>
      </w:r>
      <w:r>
        <w:rPr>
          <w:rFonts w:ascii="宋体" w:hAnsi="宋体" w:eastAsia="宋体" w:cs="Times New Roman"/>
          <w:szCs w:val="21"/>
        </w:rPr>
        <w:t>子课题，</w:t>
      </w:r>
      <w:r>
        <w:rPr>
          <w:rFonts w:hint="eastAsia" w:ascii="宋体" w:hAnsi="宋体" w:eastAsia="宋体" w:cs="Times New Roman"/>
          <w:szCs w:val="21"/>
        </w:rPr>
        <w:t>致力于科学阐释</w:t>
      </w:r>
      <w:r>
        <w:rPr>
          <w:rFonts w:ascii="宋体" w:hAnsi="宋体" w:eastAsia="宋体" w:cs="Times New Roman"/>
          <w:szCs w:val="21"/>
        </w:rPr>
        <w:t>马克思主义经典著作的基本观点</w:t>
      </w:r>
      <w:r>
        <w:rPr>
          <w:rFonts w:hint="eastAsia" w:ascii="宋体" w:hAnsi="宋体" w:eastAsia="宋体" w:cs="Times New Roman"/>
          <w:szCs w:val="21"/>
        </w:rPr>
        <w:t>，</w:t>
      </w:r>
      <w:r>
        <w:rPr>
          <w:rFonts w:ascii="宋体" w:hAnsi="宋体" w:eastAsia="宋体" w:cs="Times New Roman"/>
          <w:szCs w:val="21"/>
        </w:rPr>
        <w:t>出版了《马克思主义研究论丛》</w:t>
      </w:r>
      <w:r>
        <w:rPr>
          <w:rFonts w:hint="eastAsia" w:ascii="宋体" w:hAnsi="宋体" w:eastAsia="宋体" w:cs="Times New Roman"/>
          <w:szCs w:val="21"/>
        </w:rPr>
        <w:t>。《共产党宣言》、《资本论》、《德意志意识形态》、《</w:t>
      </w:r>
      <w:r>
        <w:rPr>
          <w:rFonts w:ascii="Times New Roman" w:hAnsi="Times New Roman" w:eastAsia="宋体" w:cs="Times New Roman"/>
          <w:szCs w:val="21"/>
        </w:rPr>
        <w:t>1844</w:t>
      </w:r>
      <w:r>
        <w:rPr>
          <w:rFonts w:hint="eastAsia" w:ascii="宋体" w:hAnsi="宋体" w:eastAsia="宋体" w:cs="Times New Roman"/>
          <w:szCs w:val="21"/>
        </w:rPr>
        <w:t>经济学哲学手稿》等经典名篇引起了研讨新高潮。此外，随着对外学术交流的深入开展，《马克思恩格斯全集》历史考证版第</w:t>
      </w:r>
      <w:r>
        <w:rPr>
          <w:rFonts w:ascii="Times New Roman" w:hAnsi="Times New Roman" w:eastAsia="宋体" w:cs="Times New Roman"/>
          <w:szCs w:val="21"/>
        </w:rPr>
        <w:t>2版（MEGA2</w:t>
      </w:r>
      <w:r>
        <w:rPr>
          <w:rFonts w:hint="eastAsia" w:ascii="宋体" w:hAnsi="宋体" w:eastAsia="宋体" w:cs="Times New Roman"/>
          <w:szCs w:val="21"/>
        </w:rPr>
        <w:t>）等国外马克思主义经典著作文本的研究，也引起了国内学界的关注。</w:t>
      </w:r>
    </w:p>
    <w:p w14:paraId="4BDC5FE6">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马克思主义理论研究和教学机构不断壮大，学科设置趋于完善。随着邓小平理论研究的深入，上海社会科学院于</w:t>
      </w:r>
      <w:r>
        <w:rPr>
          <w:rFonts w:ascii="Times New Roman" w:hAnsi="Times New Roman" w:eastAsia="宋体" w:cs="Times New Roman"/>
          <w:szCs w:val="21"/>
        </w:rPr>
        <w:t>1993年2月13日</w:t>
      </w:r>
      <w:r>
        <w:rPr>
          <w:rFonts w:hint="eastAsia" w:ascii="宋体" w:hAnsi="宋体" w:eastAsia="宋体" w:cs="Times New Roman"/>
          <w:szCs w:val="21"/>
        </w:rPr>
        <w:t>成立全国首个邓小平理论研究中心之后，中央党校、中国社会科学院、国防大学、教育部分别成立了邓小平理论研究中心，许多省、市及其社会科学院和北京大学、复旦大学等高等院校也相继成立了邓小平理论研究机构。进入</w:t>
      </w:r>
      <w:r>
        <w:rPr>
          <w:rFonts w:ascii="Times New Roman" w:hAnsi="Times New Roman" w:eastAsia="宋体" w:cs="Times New Roman"/>
          <w:szCs w:val="21"/>
        </w:rPr>
        <w:t>21</w:t>
      </w:r>
      <w:r>
        <w:rPr>
          <w:rFonts w:hint="eastAsia" w:ascii="宋体" w:hAnsi="宋体" w:eastAsia="宋体" w:cs="Times New Roman"/>
          <w:szCs w:val="21"/>
        </w:rPr>
        <w:t>世纪之后，中共中央启动实施了规模宏大的马克思主义理论研究与建设工程，极大地团结凝聚了马克思主义理论研究队伍。经党中央批准，</w:t>
      </w:r>
      <w:r>
        <w:rPr>
          <w:rFonts w:ascii="Times New Roman" w:hAnsi="Times New Roman" w:eastAsia="宋体" w:cs="Times New Roman"/>
          <w:szCs w:val="21"/>
        </w:rPr>
        <w:t>2005年12月26</w:t>
      </w:r>
      <w:r>
        <w:rPr>
          <w:rFonts w:hint="eastAsia" w:ascii="宋体" w:hAnsi="宋体" w:eastAsia="宋体" w:cs="Times New Roman"/>
          <w:szCs w:val="21"/>
        </w:rPr>
        <w:t>日，中国社会科学院马克思主义研究院成立，全国数十所高等院校随后相继成立了马克思主义研究院、研究中心或学院。与此同时，马克思主义理论学科设置也趋于完善。</w:t>
      </w:r>
      <w:r>
        <w:rPr>
          <w:rFonts w:ascii="Times New Roman" w:hAnsi="Times New Roman" w:eastAsia="宋体" w:cs="Times New Roman"/>
          <w:szCs w:val="21"/>
        </w:rPr>
        <w:t>1995年</w:t>
      </w:r>
      <w:r>
        <w:rPr>
          <w:rFonts w:hint="eastAsia" w:ascii="宋体" w:hAnsi="宋体" w:eastAsia="宋体" w:cs="Times New Roman"/>
          <w:szCs w:val="21"/>
        </w:rPr>
        <w:t>，国务院学位委员会和国家教育委员会将“马克思主义理论教育”和“思想政治教育”两个学科整合为“马克思主义理论教育与思想政治教育”，隶属于法学门类，为政治学科下的一个二级学科。</w:t>
      </w:r>
      <w:r>
        <w:rPr>
          <w:rFonts w:ascii="Times New Roman" w:hAnsi="Times New Roman" w:eastAsia="宋体" w:cs="Times New Roman"/>
          <w:szCs w:val="21"/>
        </w:rPr>
        <w:t>1996年</w:t>
      </w:r>
      <w:r>
        <w:rPr>
          <w:rFonts w:hint="eastAsia" w:ascii="宋体" w:hAnsi="宋体" w:eastAsia="宋体" w:cs="Times New Roman"/>
          <w:szCs w:val="21"/>
        </w:rPr>
        <w:t>，武汉大学、中国人民大学、清华大学成为首批“马克思主义理论教育与思想政治教育”学科博士点。</w:t>
      </w:r>
      <w:r>
        <w:rPr>
          <w:rFonts w:ascii="Times New Roman" w:hAnsi="Times New Roman" w:eastAsia="宋体" w:cs="Times New Roman"/>
          <w:szCs w:val="21"/>
        </w:rPr>
        <w:t>2005年12月23</w:t>
      </w:r>
      <w:r>
        <w:rPr>
          <w:rFonts w:ascii="宋体" w:hAnsi="宋体" w:eastAsia="宋体" w:cs="Times New Roman"/>
          <w:szCs w:val="21"/>
        </w:rPr>
        <w:t>日</w:t>
      </w:r>
      <w:r>
        <w:rPr>
          <w:rFonts w:hint="eastAsia" w:ascii="宋体" w:hAnsi="宋体" w:eastAsia="宋体" w:cs="Times New Roman"/>
          <w:szCs w:val="21"/>
        </w:rPr>
        <w:t>，国务院学位委员会和教育部颁布学位</w:t>
      </w:r>
      <w:r>
        <w:rPr>
          <w:rFonts w:ascii="Times New Roman" w:hAnsi="Times New Roman" w:eastAsia="宋体" w:cs="Times New Roman"/>
          <w:szCs w:val="21"/>
        </w:rPr>
        <w:t>[2005]64</w:t>
      </w:r>
      <w:r>
        <w:rPr>
          <w:rFonts w:hint="eastAsia" w:ascii="宋体" w:hAnsi="宋体" w:eastAsia="宋体" w:cs="Times New Roman"/>
          <w:szCs w:val="21"/>
        </w:rPr>
        <w:t>号文件即《关于调整增设马克思主义理论一级学科及所属二级学科的通知》。该《通知》指出，增设“马克思主义理论”一级学科及所属二级学科，“马克思主义理论”一级学科暂设置于“法学”门类内，下设“马克思主义基本原理”、“马克思主义发展史”、“马克思主义中国化研究”、“国外马克思主义研究”、“思想政治教育”</w:t>
      </w:r>
      <w:r>
        <w:rPr>
          <w:rFonts w:ascii="Times New Roman" w:hAnsi="Times New Roman" w:eastAsia="宋体" w:cs="Times New Roman"/>
          <w:szCs w:val="21"/>
        </w:rPr>
        <w:t>5个二级学科。2008年4</w:t>
      </w:r>
      <w:r>
        <w:rPr>
          <w:rFonts w:hint="eastAsia" w:ascii="宋体" w:hAnsi="宋体" w:eastAsia="宋体" w:cs="Times New Roman"/>
          <w:szCs w:val="21"/>
        </w:rPr>
        <w:t>月又增设“中国近现代史基本问题研究”</w:t>
      </w:r>
      <w:r>
        <w:rPr>
          <w:rFonts w:ascii="Times New Roman" w:hAnsi="Times New Roman" w:eastAsia="宋体" w:cs="Times New Roman"/>
          <w:szCs w:val="21"/>
        </w:rPr>
        <w:t>1</w:t>
      </w:r>
      <w:r>
        <w:rPr>
          <w:rFonts w:hint="eastAsia" w:ascii="宋体" w:hAnsi="宋体" w:eastAsia="宋体" w:cs="Times New Roman"/>
          <w:szCs w:val="21"/>
        </w:rPr>
        <w:t>个二级学科。目前，马克思主义理论学科学位点拥有一级学科博士点</w:t>
      </w:r>
      <w:r>
        <w:rPr>
          <w:rFonts w:ascii="Times New Roman" w:hAnsi="Times New Roman" w:eastAsia="宋体" w:cs="Times New Roman"/>
          <w:szCs w:val="21"/>
        </w:rPr>
        <w:t>21</w:t>
      </w:r>
      <w:r>
        <w:rPr>
          <w:rFonts w:ascii="宋体" w:hAnsi="宋体" w:eastAsia="宋体" w:cs="Times New Roman"/>
          <w:szCs w:val="21"/>
        </w:rPr>
        <w:t>个、硕士点</w:t>
      </w:r>
      <w:r>
        <w:rPr>
          <w:rFonts w:ascii="Times New Roman" w:hAnsi="Times New Roman" w:eastAsia="宋体" w:cs="Times New Roman"/>
          <w:szCs w:val="21"/>
        </w:rPr>
        <w:t>73个；二级学科博士点213个，二级学科硕士点842</w:t>
      </w:r>
      <w:r>
        <w:rPr>
          <w:rFonts w:ascii="宋体" w:hAnsi="宋体" w:eastAsia="宋体" w:cs="Times New Roman"/>
          <w:szCs w:val="21"/>
        </w:rPr>
        <w:t>个</w:t>
      </w:r>
      <w:r>
        <w:rPr>
          <w:rFonts w:hint="eastAsia" w:ascii="宋体" w:hAnsi="宋体" w:eastAsia="宋体" w:cs="Times New Roman"/>
          <w:szCs w:val="21"/>
        </w:rPr>
        <w:t>。</w:t>
      </w:r>
    </w:p>
    <w:p w14:paraId="215A7F50">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马克思主义理论研究领域和研究主题不断深化，研究成果与时俱进。为解决我国改革开放和社会主义市场经济建设实践面临的重大问题，我国马克思主义理论工作者不断深化马克思主义基本原理、马克思主义发展史、马克思主义中国化、国外马克思主义等各个领域的研究，不断强化马克思主义理论体系整体性研究和中国特色社会主义理论体系研究，积极推动当代中国马克思主义大众化，努力用人民群众喜闻乐见的形式和通俗易懂的语言，宣传阐释中国特色社会主义理论体系。围绕“建设什么样的党、怎样建设党”这一重大问题，深入学习研究“三个代表”重要思想，认真探讨执政党执政能力建设和执政规律，科学总结苏东剧变、苏联解体的教训。围绕“实现什么样的发展、怎样发展”这一重大问题，深入研究阐释党中央提出的坚持以人为本、实现科学发展、构建社会主义和谐社会、完善社会主义市场经济、建设社会主义新农村、建设创新型国家、发展社会主义民主政治、建设社会主义核心价值体系等一系列重大战略思想。</w:t>
      </w:r>
    </w:p>
    <w:p w14:paraId="1244DFD9">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二、马克思主义理论研究60年主要成就</w:t>
      </w:r>
    </w:p>
    <w:p w14:paraId="60DF2E0A">
      <w:pPr>
        <w:spacing w:line="400" w:lineRule="exact"/>
        <w:ind w:firstLine="440" w:firstLineChars="200"/>
        <w:rPr>
          <w:rFonts w:ascii="宋体" w:hAnsi="宋体" w:eastAsia="宋体" w:cs="Times New Roman"/>
          <w:szCs w:val="21"/>
        </w:rPr>
      </w:pPr>
      <w:r>
        <w:rPr>
          <w:rFonts w:ascii="Times New Roman" w:hAnsi="Times New Roman" w:eastAsia="宋体" w:cs="Times New Roman"/>
          <w:szCs w:val="21"/>
        </w:rPr>
        <w:t>60年</w:t>
      </w:r>
      <w:r>
        <w:rPr>
          <w:rFonts w:hint="eastAsia" w:ascii="宋体" w:hAnsi="宋体" w:eastAsia="宋体" w:cs="Times New Roman"/>
          <w:szCs w:val="21"/>
        </w:rPr>
        <w:t>来，新中国马克思主义理论研究走过了不平凡的道路，也取得了不寻常的成就，充分发挥了认识世界、传承文明、创新理论、咨政育人、服务社会的作用，为中国特色社会主义伟大事业作出了重要贡献。下面，分别就马克思主义经典著作与基本原理研究、马克思主义发展史研究、马克思主义中国化研究、国外马克思主义研究等马克思主义理论重要研究领域取得的主要学术成就作一简要阐述。</w:t>
      </w:r>
    </w:p>
    <w:p w14:paraId="67EE5EED">
      <w:pPr>
        <w:spacing w:line="400" w:lineRule="exact"/>
        <w:ind w:firstLine="440" w:firstLineChars="200"/>
        <w:rPr>
          <w:rFonts w:ascii="宋体" w:hAnsi="宋体" w:eastAsia="宋体" w:cs="Times New Roman"/>
          <w:b/>
          <w:bCs/>
          <w:szCs w:val="21"/>
        </w:rPr>
      </w:pPr>
      <w:r>
        <w:rPr>
          <w:rFonts w:hint="eastAsia" w:ascii="宋体" w:hAnsi="宋体" w:eastAsia="宋体" w:cs="Times New Roman"/>
          <w:b/>
          <w:bCs/>
          <w:szCs w:val="21"/>
        </w:rPr>
        <w:t>1、马克思主义经典著作研究</w:t>
      </w:r>
    </w:p>
    <w:p w14:paraId="4684342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新中国成立之后，马克思主义经典著作的编译出版、宣传介绍、文本研究、版本比较、名篇解读等方面均取得重大进展，呈现出良好的发展态势。从</w:t>
      </w:r>
      <w:r>
        <w:rPr>
          <w:rFonts w:ascii="宋体" w:hAnsi="宋体" w:eastAsia="宋体" w:cs="Times New Roman"/>
          <w:szCs w:val="21"/>
        </w:rPr>
        <w:t>1953年中央编译局成立到2005</w:t>
      </w:r>
      <w:r>
        <w:rPr>
          <w:rFonts w:hint="eastAsia" w:ascii="宋体" w:hAnsi="宋体" w:eastAsia="宋体" w:cs="Times New Roman"/>
          <w:szCs w:val="21"/>
        </w:rPr>
        <w:t>年中国社会科学院马克思主义研究院成立，马克思主义经典著作的研究力量不断增强；从介绍学习苏联对马克思主义经典著作的解读到自行编译解读马克思主义经典著作文本和原文本，马克思主义经典著作的研究方法更加科学；从自我封闭式研究到“请进来”与“走出去”相结合，马克思主义经典著作研究视野的国际性和开放性不断增强；从粗浅的宣传介绍到系统的文本挖掘和联系实际，马克思主义经典著作研究成果的学理性和现实性不断提升。</w:t>
      </w:r>
    </w:p>
    <w:p w14:paraId="0207F654">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据不完全统计，仅从</w:t>
      </w:r>
      <w:r>
        <w:rPr>
          <w:rFonts w:ascii="宋体" w:hAnsi="宋体" w:eastAsia="宋体" w:cs="Times New Roman"/>
          <w:szCs w:val="21"/>
        </w:rPr>
        <w:t>1979年到2008年</w:t>
      </w:r>
      <w:r>
        <w:rPr>
          <w:rFonts w:hint="eastAsia" w:ascii="宋体" w:hAnsi="宋体" w:eastAsia="宋体" w:cs="Times New Roman"/>
          <w:szCs w:val="21"/>
        </w:rPr>
        <w:t>，我国关于部分马克思主义经典著作的研究论文篇数分别为：《资本论》，</w:t>
      </w:r>
      <w:r>
        <w:rPr>
          <w:rFonts w:ascii="宋体" w:hAnsi="宋体" w:eastAsia="宋体" w:cs="Times New Roman"/>
          <w:szCs w:val="21"/>
        </w:rPr>
        <w:t>2376篇；《共产党宣言》，877篇；《1844经济学哲学手稿》，396篇；《德意志意识形态》，311篇；《反杜林论》，157篇；《关于费尔巴哈</w:t>
      </w:r>
      <w:r>
        <w:rPr>
          <w:rFonts w:hint="eastAsia" w:ascii="宋体" w:hAnsi="宋体" w:eastAsia="宋体" w:cs="Times New Roman"/>
          <w:szCs w:val="21"/>
        </w:rPr>
        <w:t>的</w:t>
      </w:r>
      <w:r>
        <w:rPr>
          <w:rFonts w:ascii="宋体" w:hAnsi="宋体" w:eastAsia="宋体" w:cs="Times New Roman"/>
          <w:szCs w:val="21"/>
        </w:rPr>
        <w:t>提纲》，148篇；《哲学笔记》，145</w:t>
      </w:r>
      <w:r>
        <w:rPr>
          <w:rFonts w:hint="eastAsia" w:ascii="宋体" w:hAnsi="宋体" w:eastAsia="宋体" w:cs="Times New Roman"/>
          <w:szCs w:val="21"/>
        </w:rPr>
        <w:t>篇</w:t>
      </w:r>
      <w:r>
        <w:rPr>
          <w:rFonts w:ascii="宋体" w:hAnsi="宋体" w:eastAsia="宋体" w:cs="Times New Roman"/>
          <w:szCs w:val="21"/>
          <w:vertAlign w:val="superscript"/>
        </w:rPr>
        <w:footnoteReference w:id="448"/>
      </w:r>
      <w:r>
        <w:rPr>
          <w:rFonts w:hint="eastAsia" w:ascii="宋体" w:hAnsi="宋体" w:eastAsia="宋体" w:cs="Times New Roman"/>
          <w:szCs w:val="21"/>
        </w:rPr>
        <w:t>。诸如《马克思恩格斯列宁论意识形态》等专题摘编的出版物也不少。浩若烟海的马克思主义经典著作研究文献，围绕“什么是马克思主义、如何对待马克思主义”这一重大问题，几乎涉及了马克思主义经典作家理论思想的方方面面，近年尤其注重马克思主义经典作家关于社会主义的思想、关于</w:t>
      </w:r>
      <w:r>
        <w:rPr>
          <w:rFonts w:ascii="宋体" w:hAnsi="宋体" w:eastAsia="宋体" w:cs="Times New Roman"/>
          <w:szCs w:val="21"/>
        </w:rPr>
        <w:t>东方落后国家社会发展道路</w:t>
      </w:r>
      <w:r>
        <w:rPr>
          <w:rFonts w:hint="eastAsia" w:ascii="宋体" w:hAnsi="宋体" w:eastAsia="宋体" w:cs="Times New Roman"/>
          <w:szCs w:val="21"/>
        </w:rPr>
        <w:t>的</w:t>
      </w:r>
      <w:r>
        <w:rPr>
          <w:rFonts w:ascii="宋体" w:hAnsi="宋体" w:eastAsia="宋体" w:cs="Times New Roman"/>
          <w:szCs w:val="21"/>
        </w:rPr>
        <w:t>思想</w:t>
      </w:r>
      <w:r>
        <w:rPr>
          <w:rFonts w:hint="eastAsia" w:ascii="宋体" w:hAnsi="宋体" w:eastAsia="宋体" w:cs="Times New Roman"/>
          <w:szCs w:val="21"/>
        </w:rPr>
        <w:t>、</w:t>
      </w:r>
      <w:r>
        <w:rPr>
          <w:rFonts w:ascii="宋体" w:hAnsi="宋体" w:eastAsia="宋体" w:cs="Times New Roman"/>
          <w:szCs w:val="21"/>
        </w:rPr>
        <w:t>关于</w:t>
      </w:r>
      <w:r>
        <w:rPr>
          <w:rFonts w:hint="eastAsia" w:ascii="宋体" w:hAnsi="宋体" w:eastAsia="宋体" w:cs="Times New Roman"/>
          <w:szCs w:val="21"/>
        </w:rPr>
        <w:t>经济</w:t>
      </w:r>
      <w:r>
        <w:rPr>
          <w:rFonts w:ascii="宋体" w:hAnsi="宋体" w:eastAsia="宋体" w:cs="Times New Roman"/>
          <w:szCs w:val="21"/>
        </w:rPr>
        <w:t>全球化</w:t>
      </w:r>
      <w:r>
        <w:rPr>
          <w:rFonts w:hint="eastAsia" w:ascii="宋体" w:hAnsi="宋体" w:eastAsia="宋体" w:cs="Times New Roman"/>
          <w:szCs w:val="21"/>
        </w:rPr>
        <w:t>和经济危机的</w:t>
      </w:r>
      <w:r>
        <w:rPr>
          <w:rFonts w:ascii="宋体" w:hAnsi="宋体" w:eastAsia="宋体" w:cs="Times New Roman"/>
          <w:szCs w:val="21"/>
        </w:rPr>
        <w:t>思想</w:t>
      </w:r>
      <w:r>
        <w:rPr>
          <w:rFonts w:hint="eastAsia" w:ascii="宋体" w:hAnsi="宋体" w:eastAsia="宋体" w:cs="Times New Roman"/>
          <w:szCs w:val="21"/>
        </w:rPr>
        <w:t>、</w:t>
      </w:r>
      <w:r>
        <w:rPr>
          <w:rFonts w:ascii="宋体" w:hAnsi="宋体" w:eastAsia="宋体" w:cs="Times New Roman"/>
          <w:szCs w:val="21"/>
        </w:rPr>
        <w:t>关于人的全面发展和社会</w:t>
      </w:r>
      <w:r>
        <w:rPr>
          <w:rFonts w:hint="eastAsia" w:ascii="宋体" w:hAnsi="宋体" w:eastAsia="宋体" w:cs="Times New Roman"/>
          <w:szCs w:val="21"/>
        </w:rPr>
        <w:t>、自然</w:t>
      </w:r>
      <w:r>
        <w:rPr>
          <w:rFonts w:ascii="宋体" w:hAnsi="宋体" w:eastAsia="宋体" w:cs="Times New Roman"/>
          <w:szCs w:val="21"/>
        </w:rPr>
        <w:t>协调发展</w:t>
      </w:r>
      <w:r>
        <w:rPr>
          <w:rFonts w:hint="eastAsia" w:ascii="宋体" w:hAnsi="宋体" w:eastAsia="宋体" w:cs="Times New Roman"/>
          <w:szCs w:val="21"/>
        </w:rPr>
        <w:t>的</w:t>
      </w:r>
      <w:r>
        <w:rPr>
          <w:rFonts w:ascii="宋体" w:hAnsi="宋体" w:eastAsia="宋体" w:cs="Times New Roman"/>
          <w:szCs w:val="21"/>
        </w:rPr>
        <w:t>思想</w:t>
      </w:r>
      <w:r>
        <w:rPr>
          <w:rFonts w:hint="eastAsia" w:ascii="宋体" w:hAnsi="宋体" w:eastAsia="宋体" w:cs="Times New Roman"/>
          <w:szCs w:val="21"/>
        </w:rPr>
        <w:t>、关于</w:t>
      </w:r>
      <w:r>
        <w:rPr>
          <w:rFonts w:ascii="宋体" w:hAnsi="宋体" w:eastAsia="宋体" w:cs="Times New Roman"/>
          <w:szCs w:val="21"/>
        </w:rPr>
        <w:t>政治文明和执政党建设</w:t>
      </w:r>
      <w:r>
        <w:rPr>
          <w:rFonts w:hint="eastAsia" w:ascii="宋体" w:hAnsi="宋体" w:eastAsia="宋体" w:cs="Times New Roman"/>
          <w:szCs w:val="21"/>
        </w:rPr>
        <w:t>的</w:t>
      </w:r>
      <w:r>
        <w:rPr>
          <w:rFonts w:ascii="宋体" w:hAnsi="宋体" w:eastAsia="宋体" w:cs="Times New Roman"/>
          <w:szCs w:val="21"/>
        </w:rPr>
        <w:t>思想</w:t>
      </w:r>
      <w:r>
        <w:rPr>
          <w:rFonts w:hint="eastAsia" w:ascii="宋体" w:hAnsi="宋体" w:eastAsia="宋体" w:cs="Times New Roman"/>
          <w:szCs w:val="21"/>
        </w:rPr>
        <w:t>等基本观点的研究，为坚持和发展马克思主义，不断推进马克思主义中国化作出了重要贡献。</w:t>
      </w:r>
    </w:p>
    <w:p w14:paraId="2D697957">
      <w:pPr>
        <w:spacing w:line="400" w:lineRule="exact"/>
        <w:ind w:firstLine="440" w:firstLineChars="200"/>
        <w:rPr>
          <w:rFonts w:ascii="宋体" w:hAnsi="宋体" w:eastAsia="宋体" w:cs="Times New Roman"/>
          <w:b/>
          <w:szCs w:val="21"/>
        </w:rPr>
      </w:pPr>
      <w:r>
        <w:rPr>
          <w:rFonts w:hint="eastAsia" w:ascii="宋体" w:hAnsi="宋体" w:eastAsia="宋体" w:cs="Times New Roman"/>
          <w:b/>
          <w:szCs w:val="21"/>
        </w:rPr>
        <w:t>2、马克思主义基本原理研究</w:t>
      </w:r>
    </w:p>
    <w:p w14:paraId="68C2C894">
      <w:pPr>
        <w:spacing w:line="400" w:lineRule="exact"/>
        <w:ind w:firstLine="440" w:firstLineChars="200"/>
        <w:rPr>
          <w:rFonts w:ascii="宋体" w:hAnsi="宋体" w:eastAsia="宋体" w:cs="宋体"/>
          <w:kern w:val="0"/>
          <w:szCs w:val="21"/>
        </w:rPr>
      </w:pPr>
      <w:r>
        <w:rPr>
          <w:rFonts w:hint="eastAsia" w:ascii="宋体" w:hAnsi="宋体" w:eastAsia="宋体" w:cs="宋体"/>
          <w:kern w:val="0"/>
          <w:szCs w:val="21"/>
        </w:rPr>
        <w:t>马克思主义基本原理与中国具体实际相结合是中国革命、建设和</w:t>
      </w:r>
      <w:r>
        <w:rPr>
          <w:rFonts w:hint="eastAsia" w:ascii="宋体" w:hAnsi="宋体" w:eastAsia="宋体" w:cs="宋体"/>
          <w:bCs/>
          <w:kern w:val="0"/>
          <w:szCs w:val="21"/>
        </w:rPr>
        <w:t>改革</w:t>
      </w:r>
      <w:r>
        <w:rPr>
          <w:rFonts w:hint="eastAsia" w:ascii="宋体" w:hAnsi="宋体" w:eastAsia="宋体" w:cs="宋体"/>
          <w:kern w:val="0"/>
          <w:szCs w:val="21"/>
        </w:rPr>
        <w:t>的根本指导原则，马克思主义基本原理研究一直是我国马克思主义理论研究的重要领域。新中国成立以来，受苏联模式的影响，我国的马克思主义基本原理研究一直按照马克思主义哲学、政治经济学和科学社会主义三个组成部分分别进行，学者们围绕马克思主义三个组成部分各自的基本理论问题进行了广泛而深入的研究，先后取得了许多有重要影响的理论成果，如《辩证唯物主义与历史唯物主义》、《辩证唯物主义原理》、《历史唯物主义原理》、《政治经济学教科书》、《政治经济学（资本主义部分）》、《科学社会主义概论》、《科学社会主义原理》、《科学社会主义》等。</w:t>
      </w:r>
    </w:p>
    <w:p w14:paraId="6661C3E4">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改革开放以来，尤其是</w:t>
      </w:r>
      <w:r>
        <w:rPr>
          <w:rFonts w:ascii="宋体" w:hAnsi="宋体" w:eastAsia="宋体" w:cs="Times New Roman"/>
          <w:szCs w:val="21"/>
        </w:rPr>
        <w:t>1985</w:t>
      </w:r>
      <w:r>
        <w:rPr>
          <w:rFonts w:hint="eastAsia" w:ascii="宋体" w:hAnsi="宋体" w:eastAsia="宋体" w:cs="Times New Roman"/>
          <w:szCs w:val="21"/>
        </w:rPr>
        <w:t>年国家教委提出在高等院校开设“马克思主义原理”课程之后，从整体上研究马克思主义基本原理趋于活跃。进入</w:t>
      </w:r>
      <w:r>
        <w:rPr>
          <w:rFonts w:ascii="宋体" w:hAnsi="宋体" w:eastAsia="宋体" w:cs="Times New Roman"/>
          <w:szCs w:val="21"/>
        </w:rPr>
        <w:t>21</w:t>
      </w:r>
      <w:r>
        <w:rPr>
          <w:rFonts w:hint="eastAsia" w:ascii="宋体" w:hAnsi="宋体" w:eastAsia="宋体" w:cs="Times New Roman"/>
          <w:szCs w:val="21"/>
        </w:rPr>
        <w:t>世纪，随着马克思主义理论研究与建设工程的实施和“马克思主义基本原理”二级学科的正式设立，系统研究马克思主义基本原理日趋繁荣。学者们围绕“什么是马克思主义基本原理、如何对待马克思主义基本原理”这一重大问题，深入探讨了马克思主义基本原理的特点、内容和层次性，以及对待马克思主义基本原理的思想原则等理论问题，系统研究了物质决定意识、社会存在决定社会意识原理、客观世界相互联系永恒发展原理、人类社会形态由低级向高级演进和发展规律原理、剩余价值学说和资本主义基本矛盾与主要矛盾原理、现代马克思主义政治经济学基本原理和理论假设、社会主义历史必然性和工人阶级历史使命原理、阶级斗争与无产阶级革命原理、国家学说与无产阶级专政原理、人民群众是历史的创造者原理、无产阶级战略策略原理、无产阶级政党及其建设原理、科学社会主义本质特征原理、人的全面发展与共产主义原理等以及由这些原理构成的马克思主义理论体系，取得了一些较有影响的理论成果，如《马克思主义基本原理概论》等。</w:t>
      </w:r>
    </w:p>
    <w:p w14:paraId="7AAFBAE6">
      <w:pPr>
        <w:spacing w:line="400" w:lineRule="exact"/>
        <w:ind w:firstLine="440" w:firstLineChars="200"/>
        <w:rPr>
          <w:rFonts w:ascii="宋体" w:hAnsi="宋体" w:eastAsia="宋体" w:cs="Times New Roman"/>
          <w:b/>
          <w:bCs/>
          <w:szCs w:val="21"/>
        </w:rPr>
      </w:pPr>
      <w:r>
        <w:rPr>
          <w:rFonts w:hint="eastAsia" w:ascii="宋体" w:hAnsi="宋体" w:eastAsia="宋体" w:cs="Times New Roman"/>
          <w:b/>
          <w:bCs/>
          <w:szCs w:val="21"/>
        </w:rPr>
        <w:t>3、马克思主义发展史研究</w:t>
      </w:r>
    </w:p>
    <w:p w14:paraId="2F92B2C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新中国成立之后，马克思主义发展史的研究也较为侧重从哲学、政治经济学、科学社会主义三个组成部分分别进行研究。为从整体上研究马克思主义的孕育、形成和发展的历史，</w:t>
      </w:r>
      <w:r>
        <w:rPr>
          <w:rFonts w:ascii="宋体" w:hAnsi="宋体" w:eastAsia="宋体" w:cs="Times New Roman"/>
          <w:szCs w:val="21"/>
        </w:rPr>
        <w:t>20世纪80</w:t>
      </w:r>
      <w:r>
        <w:rPr>
          <w:rFonts w:hint="eastAsia" w:ascii="宋体" w:hAnsi="宋体" w:eastAsia="宋体" w:cs="Times New Roman"/>
          <w:szCs w:val="21"/>
        </w:rPr>
        <w:t>年代初，全国哲学社会科学规划会议把编写马克思主义发展史列为国家的重点科研项目，推动了我国马克思主义发展史的研究，取得了许多重要的研究成果</w:t>
      </w:r>
      <w:r>
        <w:rPr>
          <w:rFonts w:ascii="宋体" w:hAnsi="宋体" w:eastAsia="宋体" w:cs="Times New Roman"/>
          <w:szCs w:val="21"/>
          <w:vertAlign w:val="superscript"/>
        </w:rPr>
        <w:footnoteReference w:id="449"/>
      </w:r>
      <w:r>
        <w:rPr>
          <w:rFonts w:hint="eastAsia" w:ascii="宋体" w:hAnsi="宋体" w:eastAsia="宋体" w:cs="Times New Roman"/>
          <w:szCs w:val="21"/>
        </w:rPr>
        <w:t>。如中国人民大学马克思主义发展史研究所撰写的《马克思恩格斯思想史》、《列宁思想史》和《马克思主义发展史》（</w:t>
      </w:r>
      <w:r>
        <w:rPr>
          <w:rFonts w:ascii="宋体" w:hAnsi="宋体" w:eastAsia="宋体" w:cs="Times New Roman"/>
          <w:szCs w:val="21"/>
        </w:rPr>
        <w:t>4</w:t>
      </w:r>
      <w:r>
        <w:rPr>
          <w:rFonts w:hint="eastAsia" w:ascii="宋体" w:hAnsi="宋体" w:eastAsia="宋体" w:cs="Times New Roman"/>
          <w:szCs w:val="21"/>
        </w:rPr>
        <w:t>卷本）。除了一系列通史性的著作外，还出版了诸如《马克思主义诞生史》、《马克思主义形成史》、《马克思主义哲学史》（</w:t>
      </w:r>
      <w:r>
        <w:rPr>
          <w:rFonts w:ascii="宋体" w:hAnsi="宋体" w:eastAsia="宋体" w:cs="Times New Roman"/>
          <w:szCs w:val="21"/>
        </w:rPr>
        <w:t>8</w:t>
      </w:r>
      <w:r>
        <w:rPr>
          <w:rFonts w:hint="eastAsia" w:ascii="宋体" w:hAnsi="宋体" w:eastAsia="宋体" w:cs="Times New Roman"/>
          <w:szCs w:val="21"/>
        </w:rPr>
        <w:t>卷本）、《马克思主义哲学的历史与现状》、《马克思主义经济思想史》（</w:t>
      </w:r>
      <w:r>
        <w:rPr>
          <w:rFonts w:ascii="宋体" w:hAnsi="宋体" w:eastAsia="宋体" w:cs="Times New Roman"/>
          <w:szCs w:val="21"/>
        </w:rPr>
        <w:t>5</w:t>
      </w:r>
      <w:r>
        <w:rPr>
          <w:rFonts w:hint="eastAsia" w:ascii="宋体" w:hAnsi="宋体" w:eastAsia="宋体" w:cs="Times New Roman"/>
          <w:szCs w:val="21"/>
        </w:rPr>
        <w:t>卷本）、《马克思主义中国化理论创新</w:t>
      </w:r>
      <w:r>
        <w:rPr>
          <w:rFonts w:ascii="宋体" w:hAnsi="宋体" w:eastAsia="宋体" w:cs="Times New Roman"/>
          <w:szCs w:val="21"/>
        </w:rPr>
        <w:t>30</w:t>
      </w:r>
      <w:r>
        <w:rPr>
          <w:rFonts w:hint="eastAsia" w:ascii="宋体" w:hAnsi="宋体" w:eastAsia="宋体" w:cs="Times New Roman"/>
          <w:szCs w:val="21"/>
        </w:rPr>
        <w:t>年》等专题史的研究著作。此外，部分国外学者关于马克思主义发展史方面的研究成果也被翻译成中文出版，如南斯拉夫学者弗兰尼茨基的《马克思主义史》、英国学者麦克莱伦的《马克思主义以前的马克思》和《马克思以后的马克思主义》。</w:t>
      </w:r>
    </w:p>
    <w:p w14:paraId="4AC26115">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江泽民同志在党的十六大报告明确提出，必须“在全党深入进行马克思主义发展史的教育”，极大地促进了马克思主义发展史的研究。随着马克思主义理论研究与建设工程的实施，马克思主义发展史相关教材的编写工作陆续展开，国内马克思主义理论界对于马克思主义发展史的研究对象、历史分期以及时代主题等重大问题进行了深入研究，力求科学阐释马克思主义的发展阶段、发展趋势和基本规律。</w:t>
      </w:r>
    </w:p>
    <w:p w14:paraId="68BF6AB7">
      <w:pPr>
        <w:spacing w:line="400" w:lineRule="exact"/>
        <w:ind w:firstLine="440" w:firstLineChars="200"/>
        <w:rPr>
          <w:rFonts w:ascii="宋体" w:hAnsi="宋体" w:eastAsia="宋体" w:cs="Times New Roman"/>
          <w:b/>
          <w:bCs/>
          <w:szCs w:val="21"/>
        </w:rPr>
      </w:pPr>
      <w:r>
        <w:rPr>
          <w:rFonts w:hint="eastAsia" w:ascii="宋体" w:hAnsi="宋体" w:eastAsia="宋体" w:cs="Times New Roman"/>
          <w:b/>
          <w:bCs/>
          <w:szCs w:val="21"/>
        </w:rPr>
        <w:t>4、马克思主义中国化研究</w:t>
      </w:r>
    </w:p>
    <w:p w14:paraId="60FBD5FB">
      <w:pPr>
        <w:spacing w:line="400" w:lineRule="exact"/>
        <w:ind w:firstLine="440" w:firstLineChars="200"/>
        <w:rPr>
          <w:rFonts w:ascii="宋体" w:hAnsi="宋体" w:eastAsia="宋体" w:cs="Times New Roman"/>
          <w:bCs/>
          <w:szCs w:val="21"/>
        </w:rPr>
      </w:pPr>
      <w:r>
        <w:rPr>
          <w:rFonts w:hint="eastAsia" w:ascii="宋体" w:hAnsi="宋体" w:eastAsia="宋体" w:cs="Times New Roman"/>
          <w:bCs/>
          <w:szCs w:val="21"/>
        </w:rPr>
        <w:t>中国共产党从诞生之日起就把马克思主义确立为自己的指导思想，坚持把马克思主义基本原理同中国具体实际相结合，先后创立了毛泽东思想和包括邓小平理论、“三个代表”重要思想以及科学发展观等重大战略思想在内的中国特色社会主义理论体系两大理论成果。同时，自</w:t>
      </w:r>
      <w:r>
        <w:rPr>
          <w:rFonts w:ascii="宋体" w:hAnsi="宋体" w:eastAsia="宋体" w:cs="Times New Roman"/>
          <w:bCs/>
          <w:szCs w:val="21"/>
        </w:rPr>
        <w:t>1938年10</w:t>
      </w:r>
      <w:r>
        <w:rPr>
          <w:rFonts w:hint="eastAsia" w:ascii="宋体" w:hAnsi="宋体" w:eastAsia="宋体" w:cs="Times New Roman"/>
          <w:bCs/>
          <w:szCs w:val="21"/>
        </w:rPr>
        <w:t>月毛泽东于《论新阶段》首次提出马克思主义中国化的任务之后，这一问题便引起了中国马克思主义学者的广泛关注；改革开放以来尤其是进入</w:t>
      </w:r>
      <w:r>
        <w:rPr>
          <w:rFonts w:ascii="宋体" w:hAnsi="宋体" w:eastAsia="宋体" w:cs="Times New Roman"/>
          <w:bCs/>
          <w:szCs w:val="21"/>
        </w:rPr>
        <w:t>21</w:t>
      </w:r>
      <w:r>
        <w:rPr>
          <w:rFonts w:hint="eastAsia" w:ascii="宋体" w:hAnsi="宋体" w:eastAsia="宋体" w:cs="Times New Roman"/>
          <w:bCs/>
          <w:szCs w:val="21"/>
        </w:rPr>
        <w:t>世纪之后，我国马克思主义学界围绕实现马克思主义中国化的历史必然性、实现马克思主义中国化的条件和必须坚持的原则与要求、马克思主义中国化的历史进程和基本规律、马克思主义中国化的基本历史经验等基本问题以及马克思主义中国化两大理论成果进行了深入研究，取得了丰硕成果，不仅为马克思主义中国化两大理论成果的形成和发展作出了贡献，而且不断推动了中国社会科学的马克思主义化。</w:t>
      </w:r>
    </w:p>
    <w:p w14:paraId="7D457D2D">
      <w:pPr>
        <w:spacing w:line="400" w:lineRule="exact"/>
        <w:ind w:firstLine="440" w:firstLineChars="200"/>
        <w:rPr>
          <w:rFonts w:ascii="宋体" w:hAnsi="宋体" w:eastAsia="宋体" w:cs="Times New Roman"/>
          <w:bCs/>
          <w:szCs w:val="21"/>
        </w:rPr>
      </w:pPr>
      <w:r>
        <w:rPr>
          <w:rFonts w:hint="eastAsia" w:ascii="宋体" w:hAnsi="宋体" w:eastAsia="宋体" w:cs="Times New Roman"/>
          <w:bCs/>
          <w:szCs w:val="21"/>
        </w:rPr>
        <w:t>毛泽东思想研究是马克思主义中国化研究的重要领域。</w:t>
      </w:r>
      <w:r>
        <w:rPr>
          <w:rFonts w:ascii="宋体" w:hAnsi="宋体" w:eastAsia="宋体" w:cs="Times New Roman"/>
          <w:bCs/>
          <w:szCs w:val="21"/>
        </w:rPr>
        <w:t>60</w:t>
      </w:r>
      <w:r>
        <w:rPr>
          <w:rFonts w:hint="eastAsia" w:ascii="宋体" w:hAnsi="宋体" w:eastAsia="宋体" w:cs="Times New Roman"/>
          <w:bCs/>
          <w:szCs w:val="21"/>
        </w:rPr>
        <w:t>年来，国内毛泽东思想研究经历了学习宣传、通俗解释到断章取义、教条主义盛行，再到公正评价、科学解读的不同发展时期，研究领域和内容不断拓展，研究视野和方法不断更新，取得了一批有重要价值和影响的研究成果。据不完全统计，从</w:t>
      </w:r>
      <w:r>
        <w:rPr>
          <w:rFonts w:ascii="宋体" w:hAnsi="宋体" w:eastAsia="宋体" w:cs="Times New Roman"/>
          <w:bCs/>
          <w:szCs w:val="21"/>
        </w:rPr>
        <w:t>1949年到1978年，国内发表的毛泽东思想研究论文1万余篇，著作1300余种，1978年以后的成果数量和质量远远超过前30</w:t>
      </w:r>
      <w:r>
        <w:rPr>
          <w:rFonts w:hint="eastAsia" w:ascii="宋体" w:hAnsi="宋体" w:eastAsia="宋体" w:cs="Times New Roman"/>
          <w:bCs/>
          <w:szCs w:val="21"/>
        </w:rPr>
        <w:t>年</w:t>
      </w:r>
      <w:r>
        <w:rPr>
          <w:rFonts w:ascii="宋体" w:hAnsi="宋体" w:eastAsia="宋体" w:cs="Times New Roman"/>
          <w:bCs/>
          <w:szCs w:val="21"/>
          <w:vertAlign w:val="superscript"/>
        </w:rPr>
        <w:footnoteReference w:id="450"/>
      </w:r>
      <w:r>
        <w:rPr>
          <w:rFonts w:hint="eastAsia" w:ascii="宋体" w:hAnsi="宋体" w:eastAsia="宋体" w:cs="Times New Roman"/>
          <w:bCs/>
          <w:szCs w:val="21"/>
        </w:rPr>
        <w:t>，比较有影响和重要的论著有《毛泽东思想原理讲话》、《毛泽东思想史稿》、《毛泽东思想研究》、《毛泽东思想史》（</w:t>
      </w:r>
      <w:r>
        <w:rPr>
          <w:rFonts w:ascii="宋体" w:hAnsi="宋体" w:eastAsia="宋体" w:cs="Times New Roman"/>
          <w:bCs/>
          <w:szCs w:val="21"/>
        </w:rPr>
        <w:t>4</w:t>
      </w:r>
      <w:r>
        <w:rPr>
          <w:rFonts w:hint="eastAsia" w:ascii="宋体" w:hAnsi="宋体" w:eastAsia="宋体" w:cs="Times New Roman"/>
          <w:bCs/>
          <w:szCs w:val="21"/>
        </w:rPr>
        <w:t>卷本）、《毛泽东思想概论》以及《毛泽东研究》、《毛泽东思想的科学体系》、《毛泽东思想与实践》等大型丛书。众多的研究文献围绕毛泽东思想的科学体系和活的灵魂，毛泽东思想对马克思列宁主义的丰富与发展，周恩来、刘少奇和陈云等党内思想家、政治家对毛泽东思想的贡献以及毛泽东早期思想和晚期思想等方面，对毛泽东的哲学思想、经济思想、军事思想、教育思想以及毛泽东思想与当代中国特色社会主义实践等领域进行了深入研究，系统总结了马克思主义中国化的第一次历史性飞跃。</w:t>
      </w:r>
    </w:p>
    <w:p w14:paraId="48D27371">
      <w:pPr>
        <w:spacing w:line="400" w:lineRule="exact"/>
        <w:ind w:firstLine="440" w:firstLineChars="200"/>
        <w:rPr>
          <w:rFonts w:ascii="宋体" w:hAnsi="宋体" w:eastAsia="宋体" w:cs="Times New Roman"/>
          <w:bCs/>
          <w:szCs w:val="21"/>
        </w:rPr>
      </w:pPr>
      <w:r>
        <w:rPr>
          <w:rFonts w:hint="eastAsia" w:ascii="宋体" w:hAnsi="宋体" w:eastAsia="宋体" w:cs="Times New Roman"/>
          <w:bCs/>
          <w:szCs w:val="21"/>
        </w:rPr>
        <w:t>邓小平理论是中国特色社会主义理论体系的奠基者。自</w:t>
      </w:r>
      <w:r>
        <w:rPr>
          <w:rFonts w:ascii="宋体" w:hAnsi="宋体" w:eastAsia="宋体" w:cs="Times New Roman"/>
          <w:bCs/>
          <w:szCs w:val="21"/>
        </w:rPr>
        <w:t>20世纪70年代末以来，伴随着邓小平理论的逐步形成和发展，我国的邓小平理论研究大致经历了三个阶段：1987</w:t>
      </w:r>
      <w:r>
        <w:rPr>
          <w:rFonts w:hint="eastAsia" w:ascii="宋体" w:hAnsi="宋体" w:eastAsia="宋体" w:cs="Times New Roman"/>
          <w:bCs/>
          <w:szCs w:val="21"/>
        </w:rPr>
        <w:t>年党的十三大之前，围绕真理标准问题、战略重点转移问题、改革开放的必要性等问题和“走自己的路，建设有中国特色社会主义”这一科学命题进行了较为深入的研究；从党的十三大到十四大，围绕“建设有中国特色社会主义理论”深入系统地研究了社会主义初级阶段理论和党在社会主义初级阶段的基本路线等重大问题；党的十四大以来，邓小平理论研究在各个领域全方位、多层次、系统而整体地展开。近</w:t>
      </w:r>
      <w:r>
        <w:rPr>
          <w:rFonts w:ascii="宋体" w:hAnsi="宋体" w:eastAsia="宋体" w:cs="Times New Roman"/>
          <w:bCs/>
          <w:szCs w:val="21"/>
        </w:rPr>
        <w:t>30</w:t>
      </w:r>
      <w:r>
        <w:rPr>
          <w:rFonts w:hint="eastAsia" w:ascii="宋体" w:hAnsi="宋体" w:eastAsia="宋体" w:cs="Times New Roman"/>
          <w:bCs/>
          <w:szCs w:val="21"/>
        </w:rPr>
        <w:t>年来，我国邓小平理论研究围绕邓小平理论的形成与发展、科学体系和逻辑结构、基本特征和精神实质、与毛泽东思想的关系和比较、对马克思主义的历史贡献等方面，出版发表了一大批高质量有影响的综合性和专题性研究专著、研究丛书和研究论文，如《有中国特色社会主义——经济、政治、文化》、《邓小平建设有中国特色社会主义新论大纲》、《邓小平思想研究》、《邓小平思想发展概述》、《有中国特色社会主义理论体系研究》、《邓小平思想研究丛书》、《邓小平理论与实践研究丛书》等。</w:t>
      </w:r>
    </w:p>
    <w:p w14:paraId="0055F679">
      <w:pPr>
        <w:spacing w:line="400" w:lineRule="exact"/>
        <w:ind w:firstLine="440" w:firstLineChars="200"/>
        <w:rPr>
          <w:rFonts w:ascii="宋体" w:hAnsi="宋体" w:eastAsia="宋体" w:cs="Times New Roman"/>
          <w:szCs w:val="21"/>
        </w:rPr>
      </w:pPr>
      <w:r>
        <w:rPr>
          <w:rFonts w:hint="eastAsia" w:ascii="宋体" w:hAnsi="宋体" w:eastAsia="宋体" w:cs="Times New Roman"/>
          <w:bCs/>
          <w:szCs w:val="21"/>
        </w:rPr>
        <w:t>“三个代表”重要思想是在新的历史条件下对马克思主义政党的先进性理论和中国特色社会主义理论的丰富和发展。自</w:t>
      </w:r>
      <w:r>
        <w:rPr>
          <w:rFonts w:ascii="宋体" w:hAnsi="宋体" w:eastAsia="宋体" w:cs="Times New Roman"/>
          <w:bCs/>
          <w:szCs w:val="21"/>
        </w:rPr>
        <w:t>2000年2</w:t>
      </w:r>
      <w:r>
        <w:rPr>
          <w:rFonts w:hint="eastAsia" w:ascii="宋体" w:hAnsi="宋体" w:eastAsia="宋体" w:cs="Times New Roman"/>
          <w:bCs/>
          <w:szCs w:val="21"/>
        </w:rPr>
        <w:t>月江泽民同志明确提出“三个代表”重要思想以来，理论界围绕“三个代表”重要思想产生的必然性、理论和实践基础、科学内涵、精神实质、历史地位等问题，深入阐释了它是在国际形势发生重大变化的条件下对党的建设面临的严峻考验的科学回应，明确界定了“三个代表”重要思想与马克思主义、毛泽东思想、邓小平理论之间源与流的关系，深入探讨了执政党的建设规律，出版发表了一批有影响的重要理论成果，如《党的性质与“三个代表”的科学内涵》、《“三个代表”重要思想学习纲要》、</w:t>
      </w:r>
      <w:r>
        <w:rPr>
          <w:rFonts w:ascii="宋体" w:hAnsi="宋体" w:eastAsia="宋体" w:cs="Times New Roman"/>
          <w:szCs w:val="21"/>
        </w:rPr>
        <w:t>《与时俱进的理论新篇——“三个代表”重要思想解读》</w:t>
      </w:r>
      <w:r>
        <w:rPr>
          <w:rFonts w:hint="eastAsia" w:ascii="宋体" w:hAnsi="宋体" w:eastAsia="宋体" w:cs="Times New Roman"/>
          <w:szCs w:val="21"/>
        </w:rPr>
        <w:t>、《创新与超越：“三个代表”重要思想与中国共产党保持先进性研究》、《</w:t>
      </w:r>
      <w:r>
        <w:rPr>
          <w:rFonts w:ascii="宋体" w:hAnsi="宋体" w:eastAsia="宋体" w:cs="Times New Roman"/>
          <w:szCs w:val="21"/>
        </w:rPr>
        <w:t>“三个代表”</w:t>
      </w:r>
      <w:r>
        <w:rPr>
          <w:rFonts w:hint="eastAsia" w:ascii="宋体" w:hAnsi="宋体" w:eastAsia="宋体" w:cs="Times New Roman"/>
          <w:szCs w:val="21"/>
        </w:rPr>
        <w:t>与中国共产党执政规律》等。</w:t>
      </w:r>
    </w:p>
    <w:p w14:paraId="1C025AB7">
      <w:pPr>
        <w:spacing w:line="400" w:lineRule="exact"/>
        <w:ind w:firstLine="440" w:firstLineChars="200"/>
        <w:rPr>
          <w:rFonts w:ascii="宋体" w:hAnsi="宋体" w:eastAsia="宋体" w:cs="Times New Roman"/>
          <w:bCs/>
          <w:szCs w:val="21"/>
        </w:rPr>
      </w:pPr>
      <w:r>
        <w:rPr>
          <w:rFonts w:hint="eastAsia" w:ascii="宋体" w:hAnsi="宋体" w:eastAsia="宋体" w:cs="Times New Roman"/>
          <w:szCs w:val="21"/>
        </w:rPr>
        <w:t>党的十六大以来，以胡锦涛为总书记的党中央提出了科学发展观、构建社会主义和谐社会等重大战略思想，极大地推动了马克思主义中国化进程。理论界围绕着科学发展观的确立及其内涵、社会主义和谐社会的理论渊源与特征，以及如何落实科学发展观、构建社会主义和谐社会的路径选择等方面进行了全面研究，系统探索了中国特色社会主义发展理论的整体性创新，取得了一批重要而有影响的理论成果，如《科学发展观学习读本》、《中国和平发展与国家战略》、《构建社会主义和谐社会若干重大问题解析》、《马克思主义中国化最新成果读本》等。</w:t>
      </w:r>
    </w:p>
    <w:p w14:paraId="1B74CA08">
      <w:pPr>
        <w:spacing w:line="400" w:lineRule="exact"/>
        <w:ind w:firstLine="440" w:firstLineChars="200"/>
        <w:rPr>
          <w:rFonts w:ascii="宋体" w:hAnsi="宋体" w:eastAsia="宋体" w:cs="Tahoma"/>
          <w:b/>
          <w:szCs w:val="21"/>
        </w:rPr>
      </w:pPr>
      <w:r>
        <w:rPr>
          <w:rFonts w:hint="eastAsia" w:ascii="宋体" w:hAnsi="宋体" w:eastAsia="宋体" w:cs="Times New Roman"/>
          <w:b/>
          <w:bCs/>
          <w:szCs w:val="21"/>
        </w:rPr>
        <w:t>5、国外马克思主义研究</w:t>
      </w:r>
    </w:p>
    <w:p w14:paraId="6EBEC15D">
      <w:pPr>
        <w:spacing w:line="400" w:lineRule="exact"/>
        <w:ind w:firstLine="440" w:firstLineChars="200"/>
        <w:rPr>
          <w:rFonts w:ascii="宋体" w:hAnsi="宋体" w:eastAsia="宋体" w:cs="Tahoma"/>
          <w:szCs w:val="21"/>
        </w:rPr>
      </w:pPr>
      <w:r>
        <w:rPr>
          <w:rFonts w:hint="eastAsia" w:ascii="宋体" w:hAnsi="宋体" w:eastAsia="宋体" w:cs="Tahoma"/>
          <w:szCs w:val="21"/>
        </w:rPr>
        <w:t>国外马克思主义研究发端于</w:t>
      </w:r>
      <w:r>
        <w:rPr>
          <w:rFonts w:ascii="宋体" w:hAnsi="宋体" w:eastAsia="宋体" w:cs="Times New Roman"/>
          <w:szCs w:val="21"/>
        </w:rPr>
        <w:t>20世纪60年</w:t>
      </w:r>
      <w:r>
        <w:rPr>
          <w:rFonts w:hint="eastAsia" w:ascii="宋体" w:hAnsi="宋体" w:eastAsia="宋体" w:cs="Tahoma"/>
          <w:szCs w:val="21"/>
        </w:rPr>
        <w:t>代为“反修防修”而内部发行的萨特、梅洛-庞蒂、布洛赫等人的著作，</w:t>
      </w:r>
      <w:r>
        <w:rPr>
          <w:rFonts w:ascii="宋体" w:hAnsi="宋体" w:eastAsia="宋体" w:cs="Times New Roman"/>
          <w:szCs w:val="21"/>
        </w:rPr>
        <w:t>70年代末80年代初正式成为国内马克思主义理论研究的一个领域。80年</w:t>
      </w:r>
      <w:r>
        <w:rPr>
          <w:rFonts w:hint="eastAsia" w:ascii="宋体" w:hAnsi="宋体" w:eastAsia="宋体" w:cs="Tahoma"/>
          <w:szCs w:val="21"/>
        </w:rPr>
        <w:t>代初期，国外马克思主义研究主要集中于综述介绍“西方马克思主义”的源流、法兰克福学派“否定的辩证法”、社会批判理论及其代表人物的思想。</w:t>
      </w:r>
      <w:r>
        <w:rPr>
          <w:rFonts w:ascii="宋体" w:hAnsi="宋体" w:eastAsia="宋体" w:cs="Times New Roman"/>
          <w:szCs w:val="21"/>
        </w:rPr>
        <w:t>80</w:t>
      </w:r>
      <w:r>
        <w:rPr>
          <w:rFonts w:hint="eastAsia" w:ascii="宋体" w:hAnsi="宋体" w:eastAsia="宋体" w:cs="Tahoma"/>
          <w:szCs w:val="21"/>
        </w:rPr>
        <w:t>年代中后期，国外马克思主义研究围绕“西方马克思主义”的概念、起源、对象、特征、研究方法、现实意义及其在马克思主义哲学史上的地位等许多问题展开了广泛的讨论。</w:t>
      </w:r>
      <w:r>
        <w:rPr>
          <w:rFonts w:ascii="宋体" w:hAnsi="宋体" w:eastAsia="宋体" w:cs="Times New Roman"/>
          <w:szCs w:val="21"/>
        </w:rPr>
        <w:t>90</w:t>
      </w:r>
      <w:r>
        <w:rPr>
          <w:rFonts w:hint="eastAsia" w:ascii="宋体" w:hAnsi="宋体" w:eastAsia="宋体" w:cs="Tahoma"/>
          <w:szCs w:val="21"/>
        </w:rPr>
        <w:t>年代以后，国外马克思主义研究集中于评述“西方马克思主义”开创者卢卡奇和葛兰西等人的思想、法兰克福学派及其代表人物哈贝马斯和马尔库塞等人的思想、存在主义的马克思主义及其代表人物萨特的思想以及结构主义的马克思主义及其代表人物阿尔都塞的思想等方面。进入</w:t>
      </w:r>
      <w:r>
        <w:rPr>
          <w:rFonts w:ascii="宋体" w:hAnsi="宋体" w:eastAsia="宋体" w:cs="Times New Roman"/>
          <w:szCs w:val="21"/>
        </w:rPr>
        <w:t>21</w:t>
      </w:r>
      <w:r>
        <w:rPr>
          <w:rFonts w:hint="eastAsia" w:ascii="宋体" w:hAnsi="宋体" w:eastAsia="宋体" w:cs="Tahoma"/>
          <w:szCs w:val="21"/>
        </w:rPr>
        <w:t>世纪，</w:t>
      </w:r>
      <w:r>
        <w:rPr>
          <w:rFonts w:hint="eastAsia" w:ascii="宋体" w:hAnsi="宋体" w:eastAsia="宋体" w:cs="Times New Roman"/>
          <w:szCs w:val="21"/>
        </w:rPr>
        <w:t>以柯</w:t>
      </w:r>
      <w:r>
        <w:rPr>
          <w:rFonts w:ascii="宋体" w:hAnsi="宋体" w:eastAsia="宋体" w:cs="Times New Roman"/>
          <w:szCs w:val="21"/>
        </w:rPr>
        <w:t>亨</w:t>
      </w:r>
      <w:r>
        <w:rPr>
          <w:rFonts w:hint="eastAsia" w:ascii="宋体" w:hAnsi="宋体" w:eastAsia="宋体" w:cs="Times New Roman"/>
          <w:szCs w:val="21"/>
        </w:rPr>
        <w:t>、</w:t>
      </w:r>
      <w:r>
        <w:rPr>
          <w:rFonts w:ascii="宋体" w:hAnsi="宋体" w:eastAsia="宋体" w:cs="Times New Roman"/>
          <w:szCs w:val="21"/>
        </w:rPr>
        <w:t>罗默</w:t>
      </w:r>
      <w:r>
        <w:rPr>
          <w:rFonts w:hint="eastAsia" w:ascii="宋体" w:hAnsi="宋体" w:eastAsia="宋体" w:cs="Times New Roman"/>
          <w:szCs w:val="21"/>
        </w:rPr>
        <w:t>、</w:t>
      </w:r>
      <w:r>
        <w:rPr>
          <w:rFonts w:ascii="宋体" w:hAnsi="宋体" w:eastAsia="宋体" w:cs="Times New Roman"/>
          <w:szCs w:val="21"/>
        </w:rPr>
        <w:t>埃尔斯特</w:t>
      </w:r>
      <w:r>
        <w:rPr>
          <w:rFonts w:hint="eastAsia" w:ascii="宋体" w:hAnsi="宋体" w:eastAsia="宋体" w:cs="Times New Roman"/>
          <w:szCs w:val="21"/>
        </w:rPr>
        <w:t>等为代表的</w:t>
      </w:r>
      <w:r>
        <w:rPr>
          <w:rFonts w:ascii="宋体" w:hAnsi="宋体" w:eastAsia="宋体" w:cs="Times New Roman"/>
          <w:szCs w:val="21"/>
        </w:rPr>
        <w:t>分析</w:t>
      </w:r>
      <w:r>
        <w:rPr>
          <w:rFonts w:hint="eastAsia" w:ascii="宋体" w:hAnsi="宋体" w:eastAsia="宋体" w:cs="Times New Roman"/>
          <w:szCs w:val="21"/>
        </w:rPr>
        <w:t>学派的</w:t>
      </w:r>
      <w:r>
        <w:rPr>
          <w:rFonts w:ascii="宋体" w:hAnsi="宋体" w:eastAsia="宋体" w:cs="Times New Roman"/>
          <w:szCs w:val="21"/>
        </w:rPr>
        <w:t>马克思主义</w:t>
      </w:r>
      <w:r>
        <w:rPr>
          <w:rFonts w:hint="eastAsia" w:ascii="宋体" w:hAnsi="宋体" w:eastAsia="宋体" w:cs="Times New Roman"/>
          <w:szCs w:val="21"/>
        </w:rPr>
        <w:t>，以</w:t>
      </w:r>
      <w:r>
        <w:rPr>
          <w:rFonts w:ascii="宋体" w:hAnsi="宋体" w:eastAsia="宋体" w:cs="Times New Roman"/>
          <w:szCs w:val="21"/>
        </w:rPr>
        <w:t>詹姆逊</w:t>
      </w:r>
      <w:r>
        <w:rPr>
          <w:rFonts w:hint="eastAsia" w:ascii="宋体" w:hAnsi="宋体" w:eastAsia="宋体" w:cs="Times New Roman"/>
          <w:szCs w:val="21"/>
        </w:rPr>
        <w:t>、</w:t>
      </w:r>
      <w:r>
        <w:rPr>
          <w:rFonts w:ascii="宋体" w:hAnsi="宋体" w:eastAsia="宋体" w:cs="Times New Roman"/>
          <w:szCs w:val="21"/>
        </w:rPr>
        <w:t>哈维</w:t>
      </w:r>
      <w:r>
        <w:rPr>
          <w:rFonts w:hint="eastAsia" w:ascii="宋体" w:hAnsi="宋体" w:eastAsia="宋体" w:cs="Times New Roman"/>
          <w:szCs w:val="21"/>
        </w:rPr>
        <w:t>、德里达等为代表的</w:t>
      </w:r>
      <w:r>
        <w:rPr>
          <w:rFonts w:ascii="宋体" w:hAnsi="宋体" w:eastAsia="宋体" w:cs="Times New Roman"/>
          <w:szCs w:val="21"/>
        </w:rPr>
        <w:t>后现代</w:t>
      </w:r>
      <w:r>
        <w:rPr>
          <w:rFonts w:hint="eastAsia" w:ascii="宋体" w:hAnsi="宋体" w:eastAsia="宋体" w:cs="Times New Roman"/>
          <w:szCs w:val="21"/>
        </w:rPr>
        <w:t>主义</w:t>
      </w:r>
      <w:r>
        <w:rPr>
          <w:rFonts w:ascii="宋体" w:hAnsi="宋体" w:eastAsia="宋体" w:cs="Times New Roman"/>
          <w:szCs w:val="21"/>
        </w:rPr>
        <w:t>的马克思主义</w:t>
      </w:r>
      <w:r>
        <w:rPr>
          <w:rFonts w:hint="eastAsia" w:ascii="宋体" w:hAnsi="宋体" w:eastAsia="宋体" w:cs="Times New Roman"/>
          <w:szCs w:val="21"/>
        </w:rPr>
        <w:t>，以</w:t>
      </w:r>
      <w:r>
        <w:rPr>
          <w:rFonts w:ascii="宋体" w:hAnsi="宋体" w:eastAsia="宋体" w:cs="Times New Roman"/>
          <w:szCs w:val="21"/>
        </w:rPr>
        <w:t>佩珀</w:t>
      </w:r>
      <w:r>
        <w:rPr>
          <w:rFonts w:hint="eastAsia" w:ascii="宋体" w:hAnsi="宋体" w:eastAsia="宋体" w:cs="Times New Roman"/>
          <w:szCs w:val="21"/>
        </w:rPr>
        <w:t>、</w:t>
      </w:r>
      <w:r>
        <w:rPr>
          <w:rFonts w:ascii="宋体" w:hAnsi="宋体" w:eastAsia="宋体" w:cs="Times New Roman"/>
          <w:szCs w:val="21"/>
        </w:rPr>
        <w:t>奥康纳</w:t>
      </w:r>
      <w:r>
        <w:rPr>
          <w:rFonts w:hint="eastAsia" w:ascii="宋体" w:hAnsi="宋体" w:eastAsia="宋体" w:cs="Times New Roman"/>
          <w:szCs w:val="21"/>
        </w:rPr>
        <w:t>、</w:t>
      </w:r>
      <w:r>
        <w:rPr>
          <w:rFonts w:ascii="宋体" w:hAnsi="宋体" w:eastAsia="宋体" w:cs="Times New Roman"/>
          <w:szCs w:val="21"/>
        </w:rPr>
        <w:t>福斯特</w:t>
      </w:r>
      <w:r>
        <w:rPr>
          <w:rFonts w:hint="eastAsia" w:ascii="宋体" w:hAnsi="宋体" w:eastAsia="宋体" w:cs="Times New Roman"/>
          <w:szCs w:val="21"/>
        </w:rPr>
        <w:t>等为代表的</w:t>
      </w:r>
      <w:r>
        <w:rPr>
          <w:rFonts w:ascii="宋体" w:hAnsi="宋体" w:eastAsia="宋体" w:cs="Times New Roman"/>
          <w:szCs w:val="21"/>
        </w:rPr>
        <w:t>生态马克思主义</w:t>
      </w:r>
      <w:r>
        <w:rPr>
          <w:rFonts w:hint="eastAsia" w:ascii="宋体" w:hAnsi="宋体" w:eastAsia="宋体" w:cs="Times New Roman"/>
          <w:szCs w:val="21"/>
        </w:rPr>
        <w:t>等思潮，成为国外马克思主义研究</w:t>
      </w:r>
      <w:r>
        <w:rPr>
          <w:rFonts w:hint="eastAsia" w:ascii="宋体" w:hAnsi="宋体" w:eastAsia="宋体" w:cs="Tahoma"/>
          <w:szCs w:val="21"/>
        </w:rPr>
        <w:t>的焦点。</w:t>
      </w:r>
      <w:r>
        <w:rPr>
          <w:rFonts w:ascii="宋体" w:hAnsi="宋体" w:eastAsia="宋体" w:cs="Times New Roman"/>
          <w:szCs w:val="21"/>
        </w:rPr>
        <w:t>2005</w:t>
      </w:r>
      <w:r>
        <w:rPr>
          <w:rFonts w:hint="eastAsia" w:ascii="宋体" w:hAnsi="宋体" w:eastAsia="宋体" w:cs="Tahoma"/>
          <w:szCs w:val="21"/>
        </w:rPr>
        <w:t>年之后，随着“国外马克思主义研究”学科的设立，国外马克思主义研究在更加广泛的领域里展开，世界各国共产党的理论主张、国外左翼思想和中左翼思想也都已成为国外马克思主义研究关注的对象。</w:t>
      </w:r>
    </w:p>
    <w:p w14:paraId="047EC68A">
      <w:pPr>
        <w:spacing w:line="400" w:lineRule="exact"/>
        <w:ind w:firstLine="440" w:firstLineChars="200"/>
        <w:rPr>
          <w:rFonts w:ascii="宋体" w:hAnsi="宋体" w:eastAsia="宋体" w:cs="Tahoma"/>
          <w:szCs w:val="21"/>
        </w:rPr>
      </w:pPr>
      <w:r>
        <w:rPr>
          <w:rFonts w:ascii="宋体" w:hAnsi="宋体" w:eastAsia="宋体" w:cs="Times New Roman"/>
          <w:szCs w:val="21"/>
        </w:rPr>
        <w:t>30</w:t>
      </w:r>
      <w:r>
        <w:rPr>
          <w:rFonts w:hint="eastAsia" w:ascii="宋体" w:hAnsi="宋体" w:eastAsia="宋体" w:cs="Tahoma"/>
          <w:szCs w:val="21"/>
        </w:rPr>
        <w:t>年来，国外马克思主义研究经历了从重点探讨“西方马克思主义”和“新马克思主义”，到自我创新“国外马克思主义研究”学科的研究范式转换，从分散研究和以哲学为主走向综合研究和多分支学科齐头并进的研究领域拓展，从重点探讨国外研究马克思主义的学者理论到同时重视国外共产党的马克思主义理论的研究界别拓宽，呈现出崭新的研究局面。在此期间，</w:t>
      </w:r>
      <w:r>
        <w:rPr>
          <w:rFonts w:ascii="宋体" w:hAnsi="宋体" w:eastAsia="宋体" w:cs="Times New Roman"/>
          <w:szCs w:val="21"/>
        </w:rPr>
        <w:t>翻译出版了一大批有代表性的</w:t>
      </w:r>
      <w:r>
        <w:rPr>
          <w:rFonts w:hint="eastAsia" w:ascii="宋体" w:hAnsi="宋体" w:eastAsia="宋体" w:cs="Times New Roman"/>
          <w:szCs w:val="21"/>
        </w:rPr>
        <w:t>国外</w:t>
      </w:r>
      <w:r>
        <w:rPr>
          <w:rFonts w:ascii="宋体" w:hAnsi="宋体" w:eastAsia="宋体" w:cs="Times New Roman"/>
          <w:szCs w:val="21"/>
        </w:rPr>
        <w:t>马克思主义著作，</w:t>
      </w:r>
      <w:r>
        <w:rPr>
          <w:rFonts w:hint="eastAsia" w:ascii="宋体" w:hAnsi="宋体" w:eastAsia="宋体" w:cs="Times New Roman"/>
          <w:szCs w:val="21"/>
        </w:rPr>
        <w:t>如</w:t>
      </w:r>
      <w:r>
        <w:rPr>
          <w:rFonts w:ascii="宋体" w:hAnsi="宋体" w:eastAsia="宋体" w:cs="Times New Roman"/>
          <w:szCs w:val="21"/>
        </w:rPr>
        <w:t>卢卡奇的《历史与阶级意识》、《理性的毁灭》、《审美</w:t>
      </w:r>
      <w:r>
        <w:rPr>
          <w:rFonts w:hint="eastAsia" w:ascii="宋体" w:hAnsi="宋体" w:eastAsia="宋体" w:cs="Times New Roman"/>
          <w:szCs w:val="21"/>
        </w:rPr>
        <w:t>特征》</w:t>
      </w:r>
      <w:r>
        <w:rPr>
          <w:rFonts w:ascii="宋体" w:hAnsi="宋体" w:eastAsia="宋体" w:cs="Times New Roman"/>
          <w:szCs w:val="21"/>
        </w:rPr>
        <w:t>，柯尔施的《马克思主义和哲学》、《卡尔·马克思》，葛兰西的《狱中札记》，柯亨的《卡尔·马克思的历史理论》</w:t>
      </w:r>
      <w:r>
        <w:rPr>
          <w:rFonts w:hint="eastAsia" w:ascii="宋体" w:hAnsi="宋体" w:eastAsia="宋体" w:cs="Times New Roman"/>
          <w:szCs w:val="21"/>
        </w:rPr>
        <w:t>等</w:t>
      </w:r>
      <w:r>
        <w:rPr>
          <w:rFonts w:ascii="宋体" w:hAnsi="宋体" w:eastAsia="宋体" w:cs="Times New Roman"/>
          <w:szCs w:val="21"/>
        </w:rPr>
        <w:t>。</w:t>
      </w:r>
      <w:r>
        <w:rPr>
          <w:rFonts w:hint="eastAsia" w:ascii="宋体" w:hAnsi="宋体" w:eastAsia="宋体" w:cs="Times New Roman"/>
          <w:szCs w:val="21"/>
        </w:rPr>
        <w:t>同时，</w:t>
      </w:r>
      <w:r>
        <w:rPr>
          <w:rFonts w:ascii="宋体" w:hAnsi="宋体" w:eastAsia="宋体" w:cs="Times New Roman"/>
          <w:szCs w:val="21"/>
        </w:rPr>
        <w:t>学术界已有一大批</w:t>
      </w:r>
      <w:r>
        <w:rPr>
          <w:rFonts w:hint="eastAsia" w:ascii="宋体" w:hAnsi="宋体" w:eastAsia="宋体" w:cs="Times New Roman"/>
          <w:szCs w:val="21"/>
        </w:rPr>
        <w:t>重要的</w:t>
      </w:r>
      <w:r>
        <w:rPr>
          <w:rFonts w:ascii="宋体" w:hAnsi="宋体" w:eastAsia="宋体" w:cs="Times New Roman"/>
          <w:szCs w:val="21"/>
        </w:rPr>
        <w:t>研究专著</w:t>
      </w:r>
      <w:r>
        <w:rPr>
          <w:rFonts w:hint="eastAsia" w:ascii="宋体" w:hAnsi="宋体" w:eastAsia="宋体" w:cs="Times New Roman"/>
          <w:szCs w:val="21"/>
        </w:rPr>
        <w:t>和文献</w:t>
      </w:r>
      <w:r>
        <w:rPr>
          <w:rFonts w:ascii="宋体" w:hAnsi="宋体" w:eastAsia="宋体" w:cs="Times New Roman"/>
          <w:szCs w:val="21"/>
        </w:rPr>
        <w:t>陆续面世，</w:t>
      </w:r>
      <w:r>
        <w:rPr>
          <w:rFonts w:hint="eastAsia" w:ascii="宋体" w:hAnsi="宋体" w:eastAsia="宋体" w:cs="Times New Roman"/>
          <w:szCs w:val="21"/>
        </w:rPr>
        <w:t>如《西方马克思主义》、《西方马克思主义理论研究》、</w:t>
      </w:r>
      <w:r>
        <w:rPr>
          <w:rFonts w:ascii="宋体" w:hAnsi="宋体" w:eastAsia="宋体" w:cs="Times New Roman"/>
          <w:szCs w:val="21"/>
        </w:rPr>
        <w:t>《弗洛伊德的马克思主义》、《“西方马克思主义”的当代资本主义理论》、《法兰克福学派研究》</w:t>
      </w:r>
      <w:r>
        <w:rPr>
          <w:rFonts w:hint="eastAsia" w:ascii="宋体" w:hAnsi="宋体" w:eastAsia="宋体" w:cs="Times New Roman"/>
          <w:szCs w:val="21"/>
        </w:rPr>
        <w:t>、</w:t>
      </w:r>
      <w:r>
        <w:rPr>
          <w:rFonts w:ascii="宋体" w:hAnsi="宋体" w:eastAsia="宋体" w:cs="Times New Roman"/>
          <w:szCs w:val="21"/>
        </w:rPr>
        <w:t>《分析学派的马克思主义》</w:t>
      </w:r>
      <w:r>
        <w:rPr>
          <w:rFonts w:hint="eastAsia" w:ascii="宋体" w:hAnsi="宋体" w:eastAsia="宋体" w:cs="Times New Roman"/>
          <w:szCs w:val="21"/>
        </w:rPr>
        <w:t>、</w:t>
      </w:r>
      <w:r>
        <w:rPr>
          <w:rFonts w:ascii="宋体" w:hAnsi="宋体" w:eastAsia="宋体" w:cs="Times New Roman"/>
          <w:szCs w:val="21"/>
        </w:rPr>
        <w:t>《国外马克思主义哲学流派》、《“新马克思主义”析要》</w:t>
      </w:r>
      <w:r>
        <w:rPr>
          <w:rFonts w:hint="eastAsia" w:ascii="宋体" w:hAnsi="宋体" w:eastAsia="宋体" w:cs="Times New Roman"/>
          <w:szCs w:val="21"/>
        </w:rPr>
        <w:t>、</w:t>
      </w:r>
      <w:r>
        <w:rPr>
          <w:rFonts w:ascii="宋体" w:hAnsi="宋体" w:eastAsia="宋体" w:cs="Times New Roman"/>
          <w:szCs w:val="21"/>
        </w:rPr>
        <w:t>《折断的理性翅膀》</w:t>
      </w:r>
      <w:r>
        <w:rPr>
          <w:rFonts w:hint="eastAsia" w:ascii="宋体" w:hAnsi="宋体" w:eastAsia="宋体" w:cs="Times New Roman"/>
          <w:szCs w:val="21"/>
        </w:rPr>
        <w:t>、《欧洲发达国家共产党的变革》、《当代资本主义国家共产党》</w:t>
      </w:r>
      <w:r>
        <w:rPr>
          <w:rFonts w:hint="eastAsia" w:ascii="宋体" w:hAnsi="宋体" w:eastAsia="宋体" w:cs="Tahoma"/>
          <w:szCs w:val="21"/>
        </w:rPr>
        <w:t>等。</w:t>
      </w:r>
    </w:p>
    <w:p w14:paraId="6DC9B6F0">
      <w:pPr>
        <w:spacing w:line="400" w:lineRule="exact"/>
        <w:ind w:firstLine="440" w:firstLineChars="200"/>
        <w:rPr>
          <w:rFonts w:ascii="宋体" w:hAnsi="宋体" w:eastAsia="宋体" w:cs="Tahoma"/>
          <w:b/>
          <w:szCs w:val="21"/>
        </w:rPr>
      </w:pPr>
      <w:r>
        <w:rPr>
          <w:rFonts w:hint="eastAsia" w:ascii="宋体" w:hAnsi="宋体" w:eastAsia="宋体" w:cs="Times New Roman"/>
          <w:b/>
          <w:szCs w:val="21"/>
        </w:rPr>
        <w:t>6、</w:t>
      </w:r>
      <w:r>
        <w:rPr>
          <w:rFonts w:hint="eastAsia" w:ascii="宋体" w:hAnsi="宋体" w:eastAsia="宋体" w:cs="Tahoma"/>
          <w:b/>
          <w:szCs w:val="21"/>
        </w:rPr>
        <w:t>其他理论领域的研究</w:t>
      </w:r>
    </w:p>
    <w:p w14:paraId="7865AA7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新中国成立之后，一直十分重视研究国际共产主义运动的历史经验。</w:t>
      </w:r>
      <w:r>
        <w:rPr>
          <w:rFonts w:ascii="宋体" w:hAnsi="宋体" w:eastAsia="宋体" w:cs="Times New Roman"/>
          <w:szCs w:val="21"/>
        </w:rPr>
        <w:t>1958</w:t>
      </w:r>
      <w:r>
        <w:rPr>
          <w:rFonts w:hint="eastAsia" w:ascii="宋体" w:hAnsi="宋体" w:eastAsia="宋体" w:cs="Times New Roman"/>
          <w:szCs w:val="21"/>
        </w:rPr>
        <w:t>年出版了我国学者撰写的第一部《国际共产主义运动史》之后，有关国际共运史的著作和文献日益增多，相关研究机构陆续建立。研究的主要问题有：第一国际、第二国际和共产国际研究；伯恩施坦、考茨基等历史人物研究；二战后国际共产主义运动包括苏南冲突、匈牙利事件、苏共二十大研究；南斯拉夫、匈牙利等社会主义国家改革的理论与实践研究；苏东剧变后的国际共产主义运动研究以及国际金融危机与各国共产党和工人运动研究等方面</w:t>
      </w:r>
      <w:r>
        <w:rPr>
          <w:rFonts w:ascii="宋体" w:hAnsi="宋体" w:eastAsia="宋体" w:cs="Times New Roman"/>
          <w:szCs w:val="21"/>
          <w:vertAlign w:val="superscript"/>
        </w:rPr>
        <w:footnoteReference w:id="451"/>
      </w:r>
      <w:r>
        <w:rPr>
          <w:rFonts w:hint="eastAsia" w:ascii="宋体" w:hAnsi="宋体" w:eastAsia="宋体" w:cs="Times New Roman"/>
          <w:szCs w:val="21"/>
        </w:rPr>
        <w:t>。</w:t>
      </w:r>
    </w:p>
    <w:p w14:paraId="5BB1A8DC">
      <w:pPr>
        <w:spacing w:line="400" w:lineRule="exact"/>
        <w:ind w:firstLine="440" w:firstLineChars="200"/>
        <w:rPr>
          <w:rFonts w:ascii="宋体" w:hAnsi="宋体" w:eastAsia="宋体" w:cs="Times New Roman"/>
          <w:szCs w:val="21"/>
        </w:rPr>
      </w:pPr>
      <w:r>
        <w:rPr>
          <w:rFonts w:ascii="宋体" w:hAnsi="宋体" w:eastAsia="宋体" w:cs="Times New Roman"/>
          <w:szCs w:val="21"/>
        </w:rPr>
        <w:t>新中国成立初期，马克思主义史学理论研究和建设的重要内容之一，是介绍、学习苏联史学理论</w:t>
      </w:r>
      <w:r>
        <w:rPr>
          <w:rFonts w:hint="eastAsia" w:ascii="宋体" w:hAnsi="宋体" w:eastAsia="宋体" w:cs="Times New Roman"/>
          <w:szCs w:val="21"/>
        </w:rPr>
        <w:t>，</w:t>
      </w:r>
      <w:r>
        <w:rPr>
          <w:rFonts w:ascii="宋体" w:hAnsi="宋体" w:eastAsia="宋体" w:cs="Times New Roman"/>
          <w:szCs w:val="21"/>
        </w:rPr>
        <w:t>坚持唯物史观的指导作用，批判和清除资产阶级史学理论及封建主义传统史学的影响。大批苏联史学家的名著被译成中文出版，成为高校历史系的教材或教学参考用书。20世纪50年代和60年代初，马克思主义史学理论研究</w:t>
      </w:r>
      <w:r>
        <w:rPr>
          <w:rFonts w:hint="eastAsia" w:ascii="宋体" w:hAnsi="宋体" w:eastAsia="宋体" w:cs="Times New Roman"/>
          <w:szCs w:val="21"/>
        </w:rPr>
        <w:t>的</w:t>
      </w:r>
      <w:r>
        <w:rPr>
          <w:rFonts w:ascii="宋体" w:hAnsi="宋体" w:eastAsia="宋体" w:cs="Times New Roman"/>
          <w:szCs w:val="21"/>
        </w:rPr>
        <w:t>问题主要有：中国古代史分期</w:t>
      </w:r>
      <w:r>
        <w:rPr>
          <w:rFonts w:hint="eastAsia" w:ascii="宋体" w:hAnsi="宋体" w:eastAsia="宋体" w:cs="Times New Roman"/>
          <w:szCs w:val="21"/>
        </w:rPr>
        <w:t>、</w:t>
      </w:r>
      <w:r>
        <w:rPr>
          <w:rFonts w:ascii="宋体" w:hAnsi="宋体" w:eastAsia="宋体" w:cs="Times New Roman"/>
          <w:szCs w:val="21"/>
        </w:rPr>
        <w:t>中国封建土地制度</w:t>
      </w:r>
      <w:r>
        <w:rPr>
          <w:rFonts w:hint="eastAsia" w:ascii="宋体" w:hAnsi="宋体" w:eastAsia="宋体" w:cs="Times New Roman"/>
          <w:szCs w:val="21"/>
        </w:rPr>
        <w:t>、</w:t>
      </w:r>
      <w:r>
        <w:rPr>
          <w:rFonts w:ascii="宋体" w:hAnsi="宋体" w:eastAsia="宋体" w:cs="Times New Roman"/>
          <w:szCs w:val="21"/>
        </w:rPr>
        <w:t>中国古代农民战争</w:t>
      </w:r>
      <w:r>
        <w:rPr>
          <w:rFonts w:hint="eastAsia" w:ascii="宋体" w:hAnsi="宋体" w:eastAsia="宋体" w:cs="Times New Roman"/>
          <w:szCs w:val="21"/>
        </w:rPr>
        <w:t>、</w:t>
      </w:r>
      <w:r>
        <w:rPr>
          <w:rFonts w:ascii="宋体" w:hAnsi="宋体" w:eastAsia="宋体" w:cs="Times New Roman"/>
          <w:szCs w:val="21"/>
        </w:rPr>
        <w:t>汉民族形成</w:t>
      </w:r>
      <w:r>
        <w:rPr>
          <w:rFonts w:hint="eastAsia" w:ascii="宋体" w:hAnsi="宋体" w:eastAsia="宋体" w:cs="Times New Roman"/>
          <w:szCs w:val="21"/>
        </w:rPr>
        <w:t>、</w:t>
      </w:r>
      <w:r>
        <w:rPr>
          <w:rFonts w:ascii="宋体" w:hAnsi="宋体" w:eastAsia="宋体" w:cs="Times New Roman"/>
          <w:szCs w:val="21"/>
        </w:rPr>
        <w:t>中国资本主义萌芽</w:t>
      </w:r>
      <w:r>
        <w:rPr>
          <w:rFonts w:hint="eastAsia" w:ascii="宋体" w:hAnsi="宋体" w:eastAsia="宋体" w:cs="Times New Roman"/>
          <w:szCs w:val="21"/>
        </w:rPr>
        <w:t>等，</w:t>
      </w:r>
      <w:r>
        <w:rPr>
          <w:rFonts w:ascii="宋体" w:hAnsi="宋体" w:eastAsia="宋体" w:cs="Times New Roman"/>
          <w:szCs w:val="21"/>
        </w:rPr>
        <w:t>《中国通史简编》3编4册、多卷本《中国思想通史》等</w:t>
      </w:r>
      <w:r>
        <w:rPr>
          <w:rFonts w:hint="eastAsia" w:ascii="宋体" w:hAnsi="宋体" w:eastAsia="宋体" w:cs="Times New Roman"/>
          <w:szCs w:val="21"/>
        </w:rPr>
        <w:t>重要著作也</w:t>
      </w:r>
      <w:r>
        <w:rPr>
          <w:rFonts w:ascii="宋体" w:hAnsi="宋体" w:eastAsia="宋体" w:cs="Times New Roman"/>
          <w:szCs w:val="21"/>
        </w:rPr>
        <w:t>在这一时期出版。</w:t>
      </w:r>
      <w:r>
        <w:rPr>
          <w:rFonts w:hint="eastAsia" w:ascii="宋体" w:hAnsi="宋体" w:eastAsia="宋体" w:cs="Times New Roman"/>
          <w:szCs w:val="21"/>
        </w:rPr>
        <w:t>改革开放以来，</w:t>
      </w:r>
      <w:r>
        <w:rPr>
          <w:rFonts w:ascii="宋体" w:hAnsi="宋体" w:eastAsia="宋体" w:cs="Times New Roman"/>
          <w:szCs w:val="21"/>
        </w:rPr>
        <w:t>马克思主义史学理论研究进入新的发展阶段</w:t>
      </w:r>
      <w:r>
        <w:rPr>
          <w:rFonts w:hint="eastAsia" w:ascii="宋体" w:hAnsi="宋体" w:eastAsia="宋体" w:cs="Times New Roman"/>
          <w:szCs w:val="21"/>
        </w:rPr>
        <w:t>，</w:t>
      </w:r>
      <w:r>
        <w:rPr>
          <w:rFonts w:ascii="宋体" w:hAnsi="宋体" w:eastAsia="宋体" w:cs="Times New Roman"/>
          <w:szCs w:val="21"/>
        </w:rPr>
        <w:t>研究的主要问题有：历史发展规律与五种生产方式</w:t>
      </w:r>
      <w:r>
        <w:rPr>
          <w:rFonts w:hint="eastAsia" w:ascii="宋体" w:hAnsi="宋体" w:eastAsia="宋体" w:cs="Times New Roman"/>
          <w:szCs w:val="21"/>
        </w:rPr>
        <w:t>、</w:t>
      </w:r>
      <w:r>
        <w:rPr>
          <w:rFonts w:ascii="宋体" w:hAnsi="宋体" w:eastAsia="宋体" w:cs="Times New Roman"/>
          <w:szCs w:val="21"/>
        </w:rPr>
        <w:t>亚细亚生产方式</w:t>
      </w:r>
      <w:r>
        <w:rPr>
          <w:rFonts w:hint="eastAsia" w:ascii="宋体" w:hAnsi="宋体" w:eastAsia="宋体" w:cs="Times New Roman"/>
          <w:szCs w:val="21"/>
        </w:rPr>
        <w:t>、</w:t>
      </w:r>
      <w:r>
        <w:rPr>
          <w:rFonts w:ascii="宋体" w:hAnsi="宋体" w:eastAsia="宋体" w:cs="Times New Roman"/>
          <w:szCs w:val="21"/>
        </w:rPr>
        <w:t>“地区历史”和“世界历史”的范畴</w:t>
      </w:r>
      <w:r>
        <w:rPr>
          <w:rFonts w:hint="eastAsia" w:ascii="宋体" w:hAnsi="宋体" w:eastAsia="宋体" w:cs="Times New Roman"/>
          <w:szCs w:val="21"/>
        </w:rPr>
        <w:t>、</w:t>
      </w:r>
      <w:r>
        <w:rPr>
          <w:rFonts w:ascii="宋体" w:hAnsi="宋体" w:eastAsia="宋体" w:cs="Times New Roman"/>
          <w:szCs w:val="21"/>
        </w:rPr>
        <w:t>文明起源和早期国家形态</w:t>
      </w:r>
      <w:r>
        <w:rPr>
          <w:rFonts w:hint="eastAsia" w:ascii="宋体" w:hAnsi="宋体" w:eastAsia="宋体" w:cs="Times New Roman"/>
          <w:szCs w:val="21"/>
        </w:rPr>
        <w:t>、</w:t>
      </w:r>
      <w:r>
        <w:rPr>
          <w:rFonts w:ascii="宋体" w:hAnsi="宋体" w:eastAsia="宋体" w:cs="Times New Roman"/>
          <w:szCs w:val="21"/>
        </w:rPr>
        <w:t>历史发展的统一性和多样性</w:t>
      </w:r>
      <w:r>
        <w:rPr>
          <w:rFonts w:hint="eastAsia" w:ascii="宋体" w:hAnsi="宋体" w:eastAsia="宋体" w:cs="Times New Roman"/>
          <w:szCs w:val="21"/>
        </w:rPr>
        <w:t>、</w:t>
      </w:r>
      <w:r>
        <w:rPr>
          <w:rFonts w:ascii="宋体" w:hAnsi="宋体" w:eastAsia="宋体" w:cs="Times New Roman"/>
          <w:szCs w:val="21"/>
        </w:rPr>
        <w:t>历史发展</w:t>
      </w:r>
      <w:r>
        <w:rPr>
          <w:rFonts w:hint="eastAsia" w:ascii="宋体" w:hAnsi="宋体" w:eastAsia="宋体" w:cs="Times New Roman"/>
          <w:szCs w:val="21"/>
        </w:rPr>
        <w:t>和选择</w:t>
      </w:r>
      <w:r>
        <w:rPr>
          <w:rFonts w:ascii="宋体" w:hAnsi="宋体" w:eastAsia="宋体" w:cs="Times New Roman"/>
          <w:szCs w:val="21"/>
        </w:rPr>
        <w:t>的必然性</w:t>
      </w:r>
      <w:r>
        <w:rPr>
          <w:rFonts w:hint="eastAsia" w:ascii="宋体" w:hAnsi="宋体" w:eastAsia="宋体" w:cs="Times New Roman"/>
          <w:szCs w:val="21"/>
        </w:rPr>
        <w:t>和</w:t>
      </w:r>
      <w:r>
        <w:rPr>
          <w:rFonts w:ascii="宋体" w:hAnsi="宋体" w:eastAsia="宋体" w:cs="Times New Roman"/>
          <w:szCs w:val="21"/>
        </w:rPr>
        <w:t>偶然性</w:t>
      </w:r>
      <w:r>
        <w:rPr>
          <w:rFonts w:hint="eastAsia" w:ascii="宋体" w:hAnsi="宋体" w:eastAsia="宋体" w:cs="Times New Roman"/>
          <w:szCs w:val="21"/>
        </w:rPr>
        <w:t>等</w:t>
      </w:r>
      <w:r>
        <w:rPr>
          <w:rFonts w:ascii="宋体" w:hAnsi="宋体" w:eastAsia="宋体" w:cs="Times New Roman"/>
          <w:szCs w:val="21"/>
          <w:vertAlign w:val="superscript"/>
        </w:rPr>
        <w:footnoteReference w:id="452"/>
      </w:r>
      <w:r>
        <w:rPr>
          <w:rFonts w:hint="eastAsia" w:ascii="宋体" w:hAnsi="宋体" w:eastAsia="宋体" w:cs="Times New Roman"/>
          <w:szCs w:val="21"/>
        </w:rPr>
        <w:t>。</w:t>
      </w:r>
    </w:p>
    <w:p w14:paraId="771AF128">
      <w:pPr>
        <w:spacing w:line="400" w:lineRule="exact"/>
        <w:ind w:firstLine="440" w:firstLineChars="200"/>
        <w:rPr>
          <w:rFonts w:ascii="宋体" w:hAnsi="宋体" w:eastAsia="宋体" w:cs="Times New Roman"/>
          <w:szCs w:val="21"/>
        </w:rPr>
      </w:pPr>
      <w:r>
        <w:rPr>
          <w:rFonts w:ascii="宋体" w:hAnsi="宋体" w:eastAsia="宋体" w:cs="Arial"/>
          <w:kern w:val="0"/>
          <w:szCs w:val="21"/>
        </w:rPr>
        <w:t>新中国成立以来的前</w:t>
      </w:r>
      <w:r>
        <w:rPr>
          <w:rFonts w:ascii="宋体" w:hAnsi="宋体" w:eastAsia="宋体" w:cs="Times New Roman"/>
          <w:kern w:val="0"/>
          <w:szCs w:val="21"/>
        </w:rPr>
        <w:t>30年，是马克思主义宗教观的研究正式起步、初步发展，其后出现曲折，完全中断的时期。改革开放以来的30多</w:t>
      </w:r>
      <w:r>
        <w:rPr>
          <w:rFonts w:ascii="宋体" w:hAnsi="宋体" w:eastAsia="宋体" w:cs="Arial"/>
          <w:kern w:val="0"/>
          <w:szCs w:val="21"/>
        </w:rPr>
        <w:t>年，通过拨乱反正，解放思想，恢复深化，创新发展，马克思主义宗教观研究逐步进入更为科学和成熟的时期</w:t>
      </w:r>
      <w:r>
        <w:rPr>
          <w:rFonts w:hint="eastAsia" w:ascii="宋体" w:hAnsi="宋体" w:eastAsia="宋体" w:cs="Arial"/>
          <w:kern w:val="0"/>
          <w:szCs w:val="21"/>
        </w:rPr>
        <w:t>。</w:t>
      </w:r>
      <w:r>
        <w:rPr>
          <w:rFonts w:ascii="宋体" w:hAnsi="宋体" w:eastAsia="宋体" w:cs="Arial"/>
          <w:kern w:val="0"/>
          <w:szCs w:val="21"/>
        </w:rPr>
        <w:t>进入</w:t>
      </w:r>
      <w:r>
        <w:rPr>
          <w:rFonts w:ascii="宋体" w:hAnsi="宋体" w:eastAsia="宋体" w:cs="Times New Roman"/>
          <w:kern w:val="0"/>
          <w:szCs w:val="21"/>
        </w:rPr>
        <w:t>21</w:t>
      </w:r>
      <w:r>
        <w:rPr>
          <w:rFonts w:ascii="宋体" w:hAnsi="宋体" w:eastAsia="宋体" w:cs="Arial"/>
          <w:kern w:val="0"/>
          <w:szCs w:val="21"/>
        </w:rPr>
        <w:t>世纪，我国马克思主义宗教观研究的视角更加开阔，观点不断创新，集中出版了一批专门研究马克思、恩格斯宗教观的著作，</w:t>
      </w:r>
      <w:r>
        <w:rPr>
          <w:rFonts w:hint="eastAsia" w:ascii="宋体" w:hAnsi="宋体" w:eastAsia="宋体" w:cs="Arial"/>
          <w:kern w:val="0"/>
          <w:szCs w:val="21"/>
        </w:rPr>
        <w:t>致使</w:t>
      </w:r>
      <w:r>
        <w:rPr>
          <w:rFonts w:ascii="宋体" w:hAnsi="宋体" w:eastAsia="宋体" w:cs="Arial"/>
          <w:kern w:val="0"/>
          <w:szCs w:val="21"/>
        </w:rPr>
        <w:t>马克思主义宗教观的综合性研究得到了进一步拓展</w:t>
      </w:r>
      <w:r>
        <w:rPr>
          <w:rFonts w:hint="eastAsia" w:ascii="宋体" w:hAnsi="宋体" w:eastAsia="宋体" w:cs="Arial"/>
          <w:kern w:val="0"/>
          <w:szCs w:val="21"/>
        </w:rPr>
        <w:t>，</w:t>
      </w:r>
      <w:r>
        <w:rPr>
          <w:rFonts w:ascii="宋体" w:hAnsi="宋体" w:eastAsia="宋体" w:cs="Arial"/>
          <w:kern w:val="0"/>
          <w:szCs w:val="21"/>
        </w:rPr>
        <w:t>马克思主义宗教观中国化的研究成为亮点</w:t>
      </w:r>
      <w:r>
        <w:rPr>
          <w:rFonts w:hint="eastAsia" w:ascii="宋体" w:hAnsi="宋体" w:eastAsia="宋体" w:cs="Arial"/>
          <w:kern w:val="0"/>
          <w:szCs w:val="21"/>
        </w:rPr>
        <w:t>，</w:t>
      </w:r>
      <w:r>
        <w:rPr>
          <w:rFonts w:ascii="宋体" w:hAnsi="宋体" w:eastAsia="宋体" w:cs="Arial"/>
          <w:kern w:val="0"/>
          <w:szCs w:val="21"/>
        </w:rPr>
        <w:t>一大批论著集中</w:t>
      </w:r>
      <w:r>
        <w:rPr>
          <w:rFonts w:hint="eastAsia" w:ascii="宋体" w:hAnsi="宋体" w:eastAsia="宋体" w:cs="Arial"/>
          <w:kern w:val="0"/>
          <w:szCs w:val="21"/>
        </w:rPr>
        <w:t>探讨</w:t>
      </w:r>
      <w:r>
        <w:rPr>
          <w:rFonts w:ascii="宋体" w:hAnsi="宋体" w:eastAsia="宋体" w:cs="Arial"/>
          <w:kern w:val="0"/>
          <w:szCs w:val="21"/>
        </w:rPr>
        <w:t>中国化马克思主义宗教观的理论建构</w:t>
      </w:r>
      <w:r>
        <w:rPr>
          <w:rFonts w:hint="eastAsia" w:ascii="宋体" w:hAnsi="宋体" w:eastAsia="宋体" w:cs="Arial"/>
          <w:kern w:val="0"/>
          <w:szCs w:val="21"/>
        </w:rPr>
        <w:t>，如</w:t>
      </w:r>
      <w:r>
        <w:rPr>
          <w:rFonts w:ascii="宋体" w:hAnsi="宋体" w:eastAsia="宋体" w:cs="Arial"/>
          <w:kern w:val="0"/>
          <w:szCs w:val="21"/>
        </w:rPr>
        <w:t>《社会主义的宗教论》</w:t>
      </w:r>
      <w:r>
        <w:rPr>
          <w:rFonts w:hint="eastAsia" w:ascii="宋体" w:hAnsi="宋体" w:eastAsia="宋体" w:cs="Arial"/>
          <w:kern w:val="0"/>
          <w:szCs w:val="21"/>
        </w:rPr>
        <w:t>、</w:t>
      </w:r>
      <w:r>
        <w:rPr>
          <w:rFonts w:ascii="宋体" w:hAnsi="宋体" w:eastAsia="宋体" w:cs="Arial"/>
          <w:kern w:val="0"/>
          <w:szCs w:val="21"/>
        </w:rPr>
        <w:t>《论“中国特色社会主义宗教观”》</w:t>
      </w:r>
      <w:r>
        <w:rPr>
          <w:rFonts w:hint="eastAsia" w:ascii="宋体" w:hAnsi="宋体" w:eastAsia="宋体" w:cs="Arial"/>
          <w:kern w:val="0"/>
          <w:szCs w:val="21"/>
        </w:rPr>
        <w:t>、</w:t>
      </w:r>
      <w:r>
        <w:rPr>
          <w:rFonts w:ascii="宋体" w:hAnsi="宋体" w:eastAsia="宋体" w:cs="Arial"/>
          <w:kern w:val="0"/>
          <w:szCs w:val="21"/>
        </w:rPr>
        <w:t>《论马克思主义宗教观中国化的基本经验》</w:t>
      </w:r>
      <w:r>
        <w:rPr>
          <w:rFonts w:hint="eastAsia" w:ascii="宋体" w:hAnsi="宋体" w:eastAsia="宋体" w:cs="Arial"/>
          <w:kern w:val="0"/>
          <w:szCs w:val="21"/>
        </w:rPr>
        <w:t>、</w:t>
      </w:r>
      <w:r>
        <w:rPr>
          <w:rFonts w:ascii="宋体" w:hAnsi="宋体" w:eastAsia="宋体" w:cs="Arial"/>
          <w:kern w:val="0"/>
          <w:szCs w:val="21"/>
        </w:rPr>
        <w:t>《试论中国特色社会主义宗教理论体系》</w:t>
      </w:r>
      <w:r>
        <w:rPr>
          <w:rFonts w:hint="eastAsia" w:ascii="宋体" w:hAnsi="宋体" w:eastAsia="宋体" w:cs="Arial"/>
          <w:kern w:val="0"/>
          <w:szCs w:val="21"/>
        </w:rPr>
        <w:t>等</w:t>
      </w:r>
      <w:r>
        <w:rPr>
          <w:rFonts w:ascii="宋体" w:hAnsi="宋体" w:eastAsia="宋体" w:cs="Arial"/>
          <w:kern w:val="0"/>
          <w:szCs w:val="21"/>
          <w:vertAlign w:val="superscript"/>
        </w:rPr>
        <w:footnoteReference w:id="453"/>
      </w:r>
      <w:r>
        <w:rPr>
          <w:rFonts w:hint="eastAsia" w:ascii="宋体" w:hAnsi="宋体" w:eastAsia="宋体" w:cs="Arial"/>
          <w:kern w:val="0"/>
          <w:szCs w:val="21"/>
        </w:rPr>
        <w:t>。</w:t>
      </w:r>
    </w:p>
    <w:p w14:paraId="324D97F9">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此外，马克思主义政治学、伦理学、社会学、文艺学、美学等领域也取得了十分丰硕的研究成果。以上概述显然难以全面详细地反映我国马克思主义理论研究</w:t>
      </w:r>
      <w:r>
        <w:rPr>
          <w:rFonts w:ascii="宋体" w:hAnsi="宋体" w:eastAsia="宋体" w:cs="Times New Roman"/>
          <w:szCs w:val="21"/>
        </w:rPr>
        <w:t>60</w:t>
      </w:r>
      <w:r>
        <w:rPr>
          <w:rFonts w:hint="eastAsia" w:ascii="宋体" w:hAnsi="宋体" w:eastAsia="宋体" w:cs="Times New Roman"/>
          <w:szCs w:val="21"/>
        </w:rPr>
        <w:t>年各领域所取得的成就。</w:t>
      </w:r>
    </w:p>
    <w:p w14:paraId="35F229BE">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三、马克思主义理论研究的未来发展</w:t>
      </w:r>
    </w:p>
    <w:p w14:paraId="13291DAB">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总结历史，是为了开辟未来。“过去的成功是我们的财富，过去的错误也是我们的财富”</w:t>
      </w:r>
      <w:r>
        <w:rPr>
          <w:rFonts w:ascii="宋体" w:hAnsi="宋体" w:eastAsia="宋体" w:cs="Times New Roman"/>
          <w:szCs w:val="21"/>
          <w:vertAlign w:val="superscript"/>
        </w:rPr>
        <w:footnoteReference w:id="454"/>
      </w:r>
      <w:r>
        <w:rPr>
          <w:rFonts w:hint="eastAsia" w:ascii="宋体" w:hAnsi="宋体" w:eastAsia="宋体" w:cs="Times New Roman"/>
          <w:szCs w:val="21"/>
        </w:rPr>
        <w:t>。展望未来，随着时代的变化和中国特色社会主义伟大事业的推进，马克思主义理论研究必将开创新的局面，取得更大成就。</w:t>
      </w:r>
    </w:p>
    <w:p w14:paraId="13A7F8FF">
      <w:pPr>
        <w:spacing w:line="400" w:lineRule="exact"/>
        <w:ind w:firstLine="440" w:firstLineChars="200"/>
        <w:rPr>
          <w:rFonts w:ascii="宋体" w:hAnsi="宋体" w:eastAsia="宋体" w:cs="Times New Roman"/>
          <w:b/>
          <w:szCs w:val="21"/>
        </w:rPr>
      </w:pPr>
      <w:r>
        <w:rPr>
          <w:rFonts w:ascii="宋体" w:hAnsi="宋体" w:eastAsia="宋体" w:cs="Times New Roman"/>
          <w:b/>
          <w:szCs w:val="21"/>
        </w:rPr>
        <w:t>1</w:t>
      </w:r>
      <w:r>
        <w:rPr>
          <w:rFonts w:hint="eastAsia" w:ascii="宋体" w:hAnsi="宋体" w:eastAsia="宋体" w:cs="Times New Roman"/>
          <w:b/>
          <w:szCs w:val="21"/>
        </w:rPr>
        <w:t>、继续加强马克思主义经典著作编译出版研究工作，科学理解和对待马克思主义</w:t>
      </w:r>
    </w:p>
    <w:p w14:paraId="4FB56693">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加强</w:t>
      </w:r>
      <w:r>
        <w:rPr>
          <w:rFonts w:ascii="宋体" w:hAnsi="宋体" w:eastAsia="宋体" w:cs="Times New Roman"/>
          <w:szCs w:val="21"/>
        </w:rPr>
        <w:t>马克思主义经典著作</w:t>
      </w:r>
      <w:r>
        <w:rPr>
          <w:rFonts w:hint="eastAsia" w:ascii="宋体" w:hAnsi="宋体" w:eastAsia="宋体" w:cs="Times New Roman"/>
          <w:szCs w:val="21"/>
        </w:rPr>
        <w:t>编译出版和</w:t>
      </w:r>
      <w:r>
        <w:rPr>
          <w:rFonts w:ascii="宋体" w:hAnsi="宋体" w:eastAsia="宋体" w:cs="Times New Roman"/>
          <w:szCs w:val="21"/>
        </w:rPr>
        <w:t>研究，是坚持和发展马克思主义的必然要求。</w:t>
      </w:r>
      <w:r>
        <w:rPr>
          <w:rFonts w:hint="eastAsia" w:ascii="宋体" w:hAnsi="宋体" w:eastAsia="宋体" w:cs="Times New Roman"/>
          <w:szCs w:val="21"/>
        </w:rPr>
        <w:t>可以预见，随着《马克思恩格斯全集》中文第</w:t>
      </w:r>
      <w:r>
        <w:rPr>
          <w:rFonts w:ascii="宋体" w:hAnsi="宋体" w:eastAsia="宋体" w:cs="Times New Roman"/>
          <w:szCs w:val="21"/>
        </w:rPr>
        <w:t>2版各卷的陆续推出、《马克思恩格斯文集》10卷本和《列宁专题文集》5卷本</w:t>
      </w:r>
      <w:r>
        <w:rPr>
          <w:rFonts w:hint="eastAsia" w:ascii="宋体" w:hAnsi="宋体" w:eastAsia="宋体" w:cs="Times New Roman"/>
          <w:szCs w:val="21"/>
        </w:rPr>
        <w:t>的</w:t>
      </w:r>
      <w:r>
        <w:rPr>
          <w:rFonts w:ascii="宋体" w:hAnsi="宋体" w:eastAsia="宋体" w:cs="Times New Roman"/>
          <w:szCs w:val="21"/>
        </w:rPr>
        <w:t>问世</w:t>
      </w:r>
      <w:r>
        <w:rPr>
          <w:rFonts w:hint="eastAsia" w:ascii="宋体" w:hAnsi="宋体" w:eastAsia="宋体" w:cs="Times New Roman"/>
          <w:szCs w:val="21"/>
        </w:rPr>
        <w:t>、</w:t>
      </w:r>
      <w:r>
        <w:rPr>
          <w:rFonts w:ascii="宋体" w:hAnsi="宋体" w:eastAsia="宋体" w:cs="Times New Roman"/>
          <w:szCs w:val="21"/>
        </w:rPr>
        <w:t>MEGA2新文献</w:t>
      </w:r>
      <w:r>
        <w:rPr>
          <w:rFonts w:hint="eastAsia" w:ascii="宋体" w:hAnsi="宋体" w:eastAsia="宋体" w:cs="Times New Roman"/>
          <w:szCs w:val="21"/>
        </w:rPr>
        <w:t>和</w:t>
      </w:r>
      <w:r>
        <w:rPr>
          <w:rFonts w:ascii="宋体" w:hAnsi="宋体" w:eastAsia="宋体" w:cs="Times New Roman"/>
          <w:szCs w:val="21"/>
        </w:rPr>
        <w:t>相关资料的不断引进</w:t>
      </w:r>
      <w:r>
        <w:rPr>
          <w:rFonts w:hint="eastAsia" w:ascii="宋体" w:hAnsi="宋体" w:eastAsia="宋体" w:cs="Times New Roman"/>
          <w:szCs w:val="21"/>
        </w:rPr>
        <w:t>以及</w:t>
      </w:r>
      <w:r>
        <w:rPr>
          <w:rFonts w:ascii="宋体" w:hAnsi="宋体" w:eastAsia="宋体" w:cs="Times New Roman"/>
          <w:szCs w:val="21"/>
        </w:rPr>
        <w:t>一些新发现的经典文献译文</w:t>
      </w:r>
      <w:r>
        <w:rPr>
          <w:rFonts w:hint="eastAsia" w:ascii="宋体" w:hAnsi="宋体" w:eastAsia="宋体" w:cs="Times New Roman"/>
          <w:szCs w:val="21"/>
        </w:rPr>
        <w:t>的不断</w:t>
      </w:r>
      <w:r>
        <w:rPr>
          <w:rFonts w:ascii="宋体" w:hAnsi="宋体" w:eastAsia="宋体" w:cs="Times New Roman"/>
          <w:szCs w:val="21"/>
        </w:rPr>
        <w:t>面世</w:t>
      </w:r>
      <w:r>
        <w:rPr>
          <w:rFonts w:hint="eastAsia" w:ascii="宋体" w:hAnsi="宋体" w:eastAsia="宋体" w:cs="Times New Roman"/>
          <w:szCs w:val="21"/>
        </w:rPr>
        <w:t>，马克思主义经典著作和基本观点的研究必将取得更大进展。研究方法和研究路径作为马克思主义经典著作和基本观点研究的基础研究必将引起广大学者的广泛关注，马克思主义经典著作的文本研究、文本比较以及马克思主义经典作家的比较研究将会继续得到深化和提升，具有中国特色、中国气派和中国风格的“马克思主义学”作为马克思主义理论的新学科有望诞生。</w:t>
      </w:r>
    </w:p>
    <w:p w14:paraId="208B80A2">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马克思主义经典著作和基本观点的研究是科学理解和对待马克思主义的基础。围绕“什么是马克思主义、如何对待马克思主义</w:t>
      </w:r>
      <w:r>
        <w:rPr>
          <w:rFonts w:ascii="宋体" w:hAnsi="宋体" w:eastAsia="宋体" w:cs="Times New Roman"/>
          <w:szCs w:val="21"/>
        </w:rPr>
        <w:t>”</w:t>
      </w:r>
      <w:r>
        <w:rPr>
          <w:rFonts w:hint="eastAsia" w:ascii="宋体" w:hAnsi="宋体" w:eastAsia="宋体" w:cs="Times New Roman"/>
          <w:szCs w:val="21"/>
        </w:rPr>
        <w:t xml:space="preserve">这一重大问题，我国马克思主义理论工作者已经进行了持久热烈的探讨，取得了重大进展。但是应该看到，如何以发展的观点认识马克思主义，如何以整体的视野理解马克思主义，如何以科学的态度对待马克思主义，科学阐释马克思主义的本质属性、发展历史、创新机制，努力分清哪些是必须长期坚持的马克思主义基本原理，哪些是需要结合新的实际加以丰富发展的理论判断，哪些是必须破除的对马克思主义的教条式理解，哪些是必须澄清的附加在马克思主义名下的错误观点，仍将是今后马克思主义经典著作研究的努力方向。 </w:t>
      </w:r>
    </w:p>
    <w:p w14:paraId="020CD963">
      <w:pPr>
        <w:spacing w:line="400" w:lineRule="exact"/>
        <w:ind w:firstLine="440" w:firstLineChars="200"/>
        <w:rPr>
          <w:rFonts w:ascii="宋体" w:hAnsi="宋体" w:eastAsia="宋体" w:cs="Times New Roman"/>
          <w:b/>
          <w:szCs w:val="21"/>
        </w:rPr>
      </w:pPr>
      <w:r>
        <w:rPr>
          <w:rFonts w:hint="eastAsia" w:ascii="宋体" w:hAnsi="宋体" w:eastAsia="宋体" w:cs="Times New Roman"/>
          <w:b/>
          <w:szCs w:val="21"/>
        </w:rPr>
        <w:t>2、科学总结马克思主义理论研究的发展规律，不断推进马克思主义中国化进程</w:t>
      </w:r>
    </w:p>
    <w:p w14:paraId="36B64E6D">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坚持马克思主义的基本原理与中国的具体实际和世界的现实情况相结合，是中国革命和建设事业成功的要诀所在，也是中国马克思主义理论研究</w:t>
      </w:r>
      <w:r>
        <w:rPr>
          <w:rFonts w:ascii="宋体" w:hAnsi="宋体" w:eastAsia="宋体" w:cs="Times New Roman"/>
          <w:szCs w:val="21"/>
        </w:rPr>
        <w:t>60</w:t>
      </w:r>
      <w:r>
        <w:rPr>
          <w:rFonts w:hint="eastAsia" w:ascii="宋体" w:hAnsi="宋体" w:eastAsia="宋体" w:cs="Times New Roman"/>
          <w:szCs w:val="21"/>
        </w:rPr>
        <w:t>年的宝贵经验。繁荣马克思主义理论研究，不断推进马克思主义的中国化，必须继续坚持马克思主义基本原理与中国和世界的具体实际相结合的原则，正确处理“马学”、“西学”和“国学”的关系，坚持马克思主义的指导地位，积极吸收借鉴西方哲学社会科学的有益成果和中国传统文化的精华，加强研究世界各国尤其是当代资本主义的各种变化和问题，科学总结新中国成立</w:t>
      </w:r>
      <w:r>
        <w:rPr>
          <w:rFonts w:ascii="宋体" w:hAnsi="宋体" w:eastAsia="宋体" w:cs="Times New Roman"/>
          <w:szCs w:val="21"/>
        </w:rPr>
        <w:t>60年尤其是改革开放30</w:t>
      </w:r>
      <w:r>
        <w:rPr>
          <w:rFonts w:hint="eastAsia" w:ascii="宋体" w:hAnsi="宋体" w:eastAsia="宋体" w:cs="Times New Roman"/>
          <w:szCs w:val="21"/>
        </w:rPr>
        <w:t>年的伟大历程和历史经验，准确把握中国特色社会主义伟大实践的各种问题，实现马克思主义理论研究的综合创新，推动中国特色社会主义理论体系研究取得更大进展。简言之，要确立“马学为体、西学为用、国学为根，世情为鉴、国情为据，综合创新”的学术原则</w:t>
      </w:r>
      <w:r>
        <w:rPr>
          <w:rFonts w:ascii="宋体" w:hAnsi="宋体" w:eastAsia="宋体" w:cs="Times New Roman"/>
          <w:szCs w:val="21"/>
          <w:vertAlign w:val="superscript"/>
        </w:rPr>
        <w:footnoteReference w:id="455"/>
      </w:r>
      <w:r>
        <w:rPr>
          <w:rFonts w:hint="eastAsia" w:ascii="宋体" w:hAnsi="宋体" w:eastAsia="宋体" w:cs="Times New Roman"/>
          <w:szCs w:val="21"/>
        </w:rPr>
        <w:t>。</w:t>
      </w:r>
    </w:p>
    <w:p w14:paraId="351EABAD">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同时，通过科学总结</w:t>
      </w:r>
      <w:r>
        <w:rPr>
          <w:rFonts w:ascii="宋体" w:hAnsi="宋体" w:eastAsia="宋体" w:cs="Times New Roman"/>
          <w:szCs w:val="21"/>
        </w:rPr>
        <w:t>160</w:t>
      </w:r>
      <w:r>
        <w:rPr>
          <w:rFonts w:hint="eastAsia" w:ascii="宋体" w:hAnsi="宋体" w:eastAsia="宋体" w:cs="Times New Roman"/>
          <w:szCs w:val="21"/>
        </w:rPr>
        <w:t>年来马克思主义发展历史，探究马克思主义理论研究方法的演变规律，自觉更新马克思主义理论研究的思维方式和研究范式；探究马克思主义理论学科的建设规律，合理设置学科目录、学科边界、学科结构、学科功能和学科体系；探究马克思主义理论研究队伍和人才的成长规律，努力造就一批学贯中西的马克思主义理论大家、学科领军人物和较高素质的骨干人才；探究马克思主义学术精品的产出规律和机制，不断提升马克思主义研究的学术水平和思想境界，为继续推进马克思主义中国化历史进程提供有力学理支撑，无疑也是马克思主义理论研究和学科发展的努力方向。</w:t>
      </w:r>
    </w:p>
    <w:p w14:paraId="5958E4F1">
      <w:pPr>
        <w:spacing w:line="400" w:lineRule="exact"/>
        <w:ind w:firstLine="440" w:firstLineChars="200"/>
        <w:rPr>
          <w:rFonts w:ascii="宋体" w:hAnsi="宋体" w:eastAsia="宋体" w:cs="Times New Roman"/>
          <w:b/>
          <w:szCs w:val="21"/>
        </w:rPr>
      </w:pPr>
      <w:r>
        <w:rPr>
          <w:rFonts w:hint="eastAsia" w:ascii="宋体" w:hAnsi="宋体" w:eastAsia="宋体" w:cs="Times New Roman"/>
          <w:b/>
          <w:szCs w:val="21"/>
        </w:rPr>
        <w:t>3、不断拓展马克思主义理论研究的领域和深度，努力实现学术研究、理论宣传和政策探讨三者的有机结合</w:t>
      </w:r>
    </w:p>
    <w:p w14:paraId="112B3476">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马克思主义是一种不断发展的学术体系，而不是僵化之学。作为开放性的科学体系，马克思主义只有在发展创新中才能展示其旺盛的学术生命力。当代中国马克思主义学者必须结合世界资本主义和社会主义的最新变化，不断创新马克思主义学术研究，并最终构建“马克思主义学”的理论体系和学科体系，以适应国务院学位委员会把马克思主义理论作为一级学科的客观需要。当今世界正在发生急剧而深刻的变化，马克思主义学术研究面临着许多新的课题和挑战。例如，如何看待当代世界资本主义各种变化和发展趋势，科学解释当代资本主义的发展潜力和生命周期；如何看待当代世界社会主义运动遭遇的挫折和低潮，科学阐释科学社会主义的未来命运和发展道路；如何看待当代世界科学技术发展引起的人类社会生活各个领域的深刻变化，科学阐明马克思主义理论体系的当代价值；如何看待中国特色社会主义实践的成功经验和现实问题，科学阐发社会主义建设规律、共产党执政规律、人类社会发展规律，等等。运用马克思主义立场、观点、方法来研究新情况、解决新问题、得出新结论，是当代中国马克思主义学者的学术使命。中国社会科学要以马克思主义为指导，中国需要繁荣马克思主义范式的社会科学。</w:t>
      </w:r>
    </w:p>
    <w:p w14:paraId="0962A97C">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马克思主义是一种不断大众化的生动理论，而不是“玄奥”</w:t>
      </w:r>
      <w:r>
        <w:rPr>
          <w:rFonts w:ascii="宋体" w:hAnsi="宋体" w:eastAsia="宋体" w:cs="Times New Roman"/>
          <w:szCs w:val="21"/>
          <w:vertAlign w:val="superscript"/>
        </w:rPr>
        <w:footnoteReference w:id="456"/>
      </w:r>
      <w:r>
        <w:rPr>
          <w:rFonts w:hint="eastAsia" w:ascii="宋体" w:hAnsi="宋体" w:eastAsia="宋体" w:cs="Times New Roman"/>
          <w:szCs w:val="21"/>
        </w:rPr>
        <w:t>之学。作为反映工人阶级和劳动人民根本利益的理论和意识形态，马克思主义只有真正为广大人民群众所掌握才能成为改造世界的强大力量。当代中国马克思主义学者必须积极宣传马克思主义理论尤其是中国特色社会主义理论体系，不断推进马克思主义大众化。应当紧紧围绕什么是马克思主义、怎样对待马克思主义，什么是社会主义、怎样建设社会主义，建设什么样的党、怎样建设党，实现什么样的发展、怎样发展等重大理论和实际问题，宣传阐释中国特色社会主义理论体系的历史地位和指导意义；应当结合中华民族争取民族独立的百年历史和实现民族复兴的百年征程，宣传阐释历史和人民是怎样选择了马克思主义、选择了中国共产党、选择了社会主义道路，引导人们深刻认识只有社会主义才能救中国、只有中国特色社会主义才能发展中国，深刻认识中国共产党始终是我们事业发展的坚强领导核心；应当结合我们党开拓改革开放道路的艰辛历程和巨大成就，宣传阐释改革开放如何发展了中国、发展了社会主义、发展了马克思主义，引导人们深刻认识改革开放是决定当代中国命运的关键抉择；应当结合人民群众学习掌握马克思主义并转化为行动力量的途径方法，研究阐释马克思主义大众化的经验教训，不断推进当代中国马克思主义理论创新成果走向基层、深入群众。要构建主要研究马克思主义怎样有效传播的马克思主义传播学体系。人民大众要掌握马克思主义，马克思主义需要宣传而大众化。</w:t>
      </w:r>
    </w:p>
    <w:p w14:paraId="7E5FAE26">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马克思主义是一种不断应用的政策思路，而不是书斋之学。作为改造世界的理论工具，马克思主义只有在具体实践中才能体现其科学的应用价值。当代中国马克思主义学者必须适应国内外形势的发展和实践的要求，深入研究改革开放和现代化建设实践提出的重大问题，不断推出合乎马克思主义和中国特色社会主义内在要求和价值的应用性和政策性成果，更好地服务全面建设小康社会、加快推进社会主义现代化的历史任务。必须深入研究如何贯彻落实科学发展观，坚持社会主义初级阶段基本经济制度，进一步完善社会主义市场经济的体制和政策；深入研究如何把坚持党的领导、人民当家作主、依法治国有机统一起来，进一步深化政治体制改革，拓宽发展中国特色社会主义民主政治的体制和政策；深入研究如何坚持和巩固马克思主义在意识形态领域的指导地位，着力建设社会主义核心价值体系，巩固壮大主流思想舆论，推进文化创新，提高国家文化软实力的体制和政策；深入研究如何加快推进以改善民生为重点的社会建设，使全体人民共享改革发展成果的体制和政策；深入研究国际政治经济文化发展的变化，特别是当前国际金融和经济危机，完善应对国际形势变化的体制和政策；深入研究如何以执政能力建设和先进性建设为主线，全面推进党的建设的体制和政策。中国的智库要学会应用马克思主义，中国需要更多的马克思主义性质的智库。</w:t>
      </w:r>
    </w:p>
    <w:p w14:paraId="4A1A3BB9">
      <w:pPr>
        <w:spacing w:line="400" w:lineRule="exact"/>
        <w:ind w:firstLine="440" w:firstLineChars="200"/>
        <w:rPr>
          <w:rFonts w:ascii="宋体" w:hAnsi="宋体" w:eastAsia="宋体" w:cs="Times New Roman"/>
          <w:b/>
          <w:szCs w:val="21"/>
        </w:rPr>
      </w:pPr>
      <w:r>
        <w:rPr>
          <w:rFonts w:ascii="宋体" w:hAnsi="宋体" w:eastAsia="宋体" w:cs="Times New Roman"/>
          <w:b/>
          <w:szCs w:val="21"/>
        </w:rPr>
        <w:t>4</w:t>
      </w:r>
      <w:r>
        <w:rPr>
          <w:rFonts w:hint="eastAsia" w:ascii="宋体" w:hAnsi="宋体" w:eastAsia="宋体" w:cs="Times New Roman"/>
          <w:b/>
          <w:szCs w:val="21"/>
        </w:rPr>
        <w:t>、努力提升马克思主义理论研究的国际视野，大力构建全球马克思主义理论研究的“中国话语”</w:t>
      </w:r>
    </w:p>
    <w:p w14:paraId="3C247DD0">
      <w:pPr>
        <w:spacing w:line="400" w:lineRule="exact"/>
        <w:ind w:firstLine="440" w:firstLineChars="200"/>
        <w:rPr>
          <w:rFonts w:ascii="宋体" w:hAnsi="宋体" w:eastAsia="宋体" w:cs="宋体"/>
          <w:kern w:val="0"/>
          <w:szCs w:val="21"/>
        </w:rPr>
      </w:pPr>
      <w:r>
        <w:rPr>
          <w:rFonts w:hint="eastAsia" w:ascii="宋体" w:hAnsi="宋体" w:eastAsia="宋体" w:cs="Times New Roman"/>
          <w:szCs w:val="21"/>
        </w:rPr>
        <w:t>随着中国革命、建设和改革开放的巨大成功，中国马克思主义理论研究的国际影响也日趋扩大。</w:t>
      </w:r>
      <w:r>
        <w:rPr>
          <w:rFonts w:ascii="宋体" w:hAnsi="宋体" w:eastAsia="宋体" w:cs="Times New Roman"/>
          <w:szCs w:val="21"/>
        </w:rPr>
        <w:t>60</w:t>
      </w:r>
      <w:r>
        <w:rPr>
          <w:rFonts w:hint="eastAsia" w:ascii="宋体" w:hAnsi="宋体" w:eastAsia="宋体" w:cs="Times New Roman"/>
          <w:szCs w:val="21"/>
        </w:rPr>
        <w:t>年来，</w:t>
      </w:r>
      <w:r>
        <w:rPr>
          <w:rFonts w:hint="eastAsia" w:ascii="宋体" w:hAnsi="宋体" w:eastAsia="宋体" w:cs="宋体"/>
          <w:kern w:val="0"/>
          <w:szCs w:val="21"/>
        </w:rPr>
        <w:t>翻译出版了英、法、西、日等外文版《毛泽东选集》、《毛泽东著作选读》、《毛泽东军事文选》、《周恩来选集》、《刘少奇选集》、《朱德选集》、《邓小平文选》、《陈云文选》和俄文版《江泽民文集》以及不少学者的论著，向世界展示了马克思主义中国化的理论成果。与此同时，一大批国外学者如</w:t>
      </w:r>
      <w:r>
        <w:rPr>
          <w:rFonts w:ascii="宋体" w:hAnsi="宋体" w:eastAsia="宋体" w:cs="宋体"/>
          <w:kern w:val="0"/>
          <w:szCs w:val="21"/>
        </w:rPr>
        <w:t>施拉姆</w:t>
      </w:r>
      <w:r>
        <w:rPr>
          <w:rFonts w:hint="eastAsia" w:ascii="宋体" w:hAnsi="宋体" w:eastAsia="宋体" w:cs="宋体"/>
          <w:kern w:val="0"/>
          <w:szCs w:val="21"/>
        </w:rPr>
        <w:t>、魏斐德、沃马克、德里克、奈特、伊藤诚、大卫·科茨等人以马克思主义基本原理与中国具体实际的结合为主题，采用文本解读和理论透视两种主要方法，先后研究了马克思主义中国化和中国特色社会主义的经济、政治、文化、社会各个领域的理论和现实。</w:t>
      </w:r>
    </w:p>
    <w:p w14:paraId="1C4A697F">
      <w:pPr>
        <w:spacing w:line="400" w:lineRule="exact"/>
        <w:ind w:firstLine="440" w:firstLineChars="200"/>
        <w:rPr>
          <w:rFonts w:ascii="宋体" w:hAnsi="宋体" w:eastAsia="宋体" w:cs="Times New Roman"/>
          <w:szCs w:val="21"/>
        </w:rPr>
      </w:pPr>
      <w:r>
        <w:rPr>
          <w:rFonts w:hint="eastAsia" w:ascii="宋体" w:hAnsi="宋体" w:eastAsia="宋体" w:cs="宋体"/>
          <w:kern w:val="0"/>
          <w:szCs w:val="21"/>
        </w:rPr>
        <w:t>但是长期以来，我国马克思主义理论研究领域存在着“马克思主义的中国化”和“中国马克思主义的国际化”相互分离、相互割裂的不良状态</w:t>
      </w:r>
      <w:r>
        <w:rPr>
          <w:rFonts w:hint="eastAsia" w:ascii="宋体" w:hAnsi="宋体" w:eastAsia="宋体" w:cs="宋体"/>
          <w:kern w:val="0"/>
          <w:szCs w:val="21"/>
          <w:vertAlign w:val="superscript"/>
        </w:rPr>
        <w:footnoteReference w:id="457"/>
      </w:r>
      <w:r>
        <w:rPr>
          <w:rFonts w:hint="eastAsia" w:ascii="宋体" w:hAnsi="宋体" w:eastAsia="宋体" w:cs="宋体"/>
          <w:kern w:val="0"/>
          <w:szCs w:val="21"/>
        </w:rPr>
        <w:t>。中国马克思主义理论研究的未来发展必须加大</w:t>
      </w:r>
      <w:r>
        <w:rPr>
          <w:rFonts w:hint="eastAsia" w:ascii="宋体" w:hAnsi="宋体" w:eastAsia="宋体" w:cs="Times New Roman"/>
          <w:szCs w:val="21"/>
        </w:rPr>
        <w:t>“引进来、走出去”的双向交流，</w:t>
      </w:r>
      <w:r>
        <w:rPr>
          <w:rFonts w:hint="eastAsia" w:ascii="宋体" w:hAnsi="宋体" w:eastAsia="宋体" w:cs="宋体"/>
          <w:kern w:val="0"/>
          <w:szCs w:val="21"/>
        </w:rPr>
        <w:t>努力提升马克思主义理论研究的国际视野，大力构建全球马克思主义理论研究的“中国话语”。当代中国马克思主义学者必须透彻、全面了解国外马克思主义的历史和现状，展开与国外马克思主义学者的全方位、实质性的学术对话，同时积极地把马克思主义的中国社会科学和中国特色社会主义理论体系正确地介绍到世界各国，使之成为国际上最有生命力和影响力的理论思潮和学术前沿之一，不断增强中国马克思主义理论研究的国际话语权和国际影响力。我国必须大幅度提高作为高端“软实力”的学术思想影响力！</w:t>
      </w:r>
    </w:p>
    <w:p w14:paraId="29297AC6">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 xml:space="preserve"> 回顾和展望新中国马克思主义的理论研究，我们深刻地体会到，“理论在一个国家实现的程度，总是决定于理论满足这个国家的需要的程度”</w:t>
      </w:r>
      <w:r>
        <w:rPr>
          <w:rFonts w:ascii="宋体" w:hAnsi="宋体" w:eastAsia="宋体" w:cs="Times New Roman"/>
          <w:szCs w:val="21"/>
          <w:vertAlign w:val="superscript"/>
        </w:rPr>
        <w:footnoteReference w:id="458"/>
      </w:r>
      <w:r>
        <w:rPr>
          <w:rFonts w:hint="eastAsia" w:ascii="宋体" w:hAnsi="宋体" w:eastAsia="宋体" w:cs="Times New Roman"/>
          <w:szCs w:val="21"/>
        </w:rPr>
        <w:t>。历史已经证明并还将证明，中国需要马克思主义，中国特色社会主义伟大事业需要中国化的马克思主义。以马列主义及其中国化理论为指导，深入贯彻落实科学发展观，实事求是、解放思想、与时俱进、求真务实，贴近实际、贴近生活、贴近群众，中国马克思主义研究一定会开辟新境界，呈现新气象。在中国特色社会主义理论体系研究方面、在马克思主义中国化最新成果的教育普及方面、在马克思主义经典著作编译出版和基本观点研究方面、在建设充分反映马克思主义中国化最新成果的学科体系和教材体系方面、在马克思主义理论队伍建设方面、在马克思主义理论研究成果对外交流方面，均取得重大进展，从而为发展中国特色社会主义和复兴世界社会主义提供学术支持、宣传保证和创新动力。</w:t>
      </w:r>
    </w:p>
    <w:p w14:paraId="0B866134">
      <w:pPr>
        <w:spacing w:line="400" w:lineRule="exact"/>
        <w:ind w:firstLine="440" w:firstLineChars="200"/>
        <w:rPr>
          <w:rFonts w:ascii="宋体" w:hAnsi="宋体" w:eastAsia="宋体" w:cs="Times New Roman"/>
          <w:b/>
          <w:szCs w:val="21"/>
        </w:rPr>
      </w:pPr>
    </w:p>
    <w:p w14:paraId="61C10791">
      <w:pPr>
        <w:spacing w:line="400" w:lineRule="exact"/>
        <w:ind w:firstLine="440" w:firstLineChars="200"/>
        <w:rPr>
          <w:rFonts w:ascii="宋体" w:hAnsi="宋体" w:eastAsia="宋体" w:cs="Times New Roman"/>
          <w:b/>
          <w:szCs w:val="21"/>
        </w:rPr>
      </w:pPr>
      <w:r>
        <w:rPr>
          <w:rFonts w:hint="eastAsia" w:ascii="宋体" w:hAnsi="宋体" w:eastAsia="宋体" w:cs="Times New Roman"/>
          <w:b/>
          <w:szCs w:val="21"/>
        </w:rPr>
        <w:t>参考文献：</w:t>
      </w:r>
    </w:p>
    <w:p w14:paraId="357A401B">
      <w:pPr>
        <w:spacing w:line="400" w:lineRule="exact"/>
        <w:ind w:firstLine="380" w:firstLineChars="200"/>
        <w:rPr>
          <w:rFonts w:ascii="宋体" w:hAnsi="宋体" w:eastAsia="宋体" w:cs="Times New Roman"/>
          <w:sz w:val="18"/>
          <w:szCs w:val="18"/>
        </w:rPr>
      </w:pPr>
      <w:r>
        <w:rPr>
          <w:rFonts w:ascii="宋体" w:hAnsi="宋体" w:eastAsia="宋体" w:cs="Times New Roman"/>
          <w:sz w:val="18"/>
          <w:szCs w:val="18"/>
        </w:rPr>
        <w:t xml:space="preserve">[1] </w:t>
      </w:r>
      <w:r>
        <w:rPr>
          <w:rFonts w:hint="eastAsia" w:ascii="宋体" w:hAnsi="宋体" w:eastAsia="宋体" w:cs="Times New Roman"/>
          <w:sz w:val="18"/>
          <w:szCs w:val="18"/>
        </w:rPr>
        <w:t>中国社会科学院马克思主义研究学部课题组：《改革开放</w:t>
      </w:r>
      <w:r>
        <w:rPr>
          <w:rFonts w:ascii="宋体" w:hAnsi="宋体" w:eastAsia="宋体" w:cs="Times New Roman"/>
          <w:sz w:val="18"/>
          <w:szCs w:val="18"/>
        </w:rPr>
        <w:t>30</w:t>
      </w:r>
      <w:r>
        <w:rPr>
          <w:rFonts w:hint="eastAsia" w:ascii="宋体" w:hAnsi="宋体" w:eastAsia="宋体" w:cs="Times New Roman"/>
          <w:sz w:val="18"/>
          <w:szCs w:val="18"/>
        </w:rPr>
        <w:t>年中国马克思主义理论发展最具影响力的</w:t>
      </w:r>
      <w:r>
        <w:rPr>
          <w:rFonts w:ascii="宋体" w:hAnsi="宋体" w:eastAsia="宋体" w:cs="Times New Roman"/>
          <w:sz w:val="18"/>
          <w:szCs w:val="18"/>
        </w:rPr>
        <w:t>30</w:t>
      </w:r>
      <w:r>
        <w:rPr>
          <w:rFonts w:hint="eastAsia" w:ascii="宋体" w:hAnsi="宋体" w:eastAsia="宋体" w:cs="Times New Roman"/>
          <w:sz w:val="18"/>
          <w:szCs w:val="18"/>
        </w:rPr>
        <w:t>件大事》，载《马克思主义研究》</w:t>
      </w:r>
      <w:r>
        <w:rPr>
          <w:rFonts w:ascii="宋体" w:hAnsi="宋体" w:eastAsia="宋体" w:cs="Times New Roman"/>
          <w:sz w:val="18"/>
          <w:szCs w:val="18"/>
        </w:rPr>
        <w:t>2009</w:t>
      </w:r>
      <w:r>
        <w:rPr>
          <w:rFonts w:hint="eastAsia" w:ascii="宋体" w:hAnsi="宋体" w:eastAsia="宋体" w:cs="Times New Roman"/>
          <w:sz w:val="18"/>
          <w:szCs w:val="18"/>
        </w:rPr>
        <w:t>年第</w:t>
      </w:r>
      <w:r>
        <w:rPr>
          <w:rFonts w:ascii="宋体" w:hAnsi="宋体" w:eastAsia="宋体" w:cs="Times New Roman"/>
          <w:sz w:val="18"/>
          <w:szCs w:val="18"/>
        </w:rPr>
        <w:t>1</w:t>
      </w:r>
      <w:r>
        <w:rPr>
          <w:rFonts w:hint="eastAsia" w:ascii="宋体" w:hAnsi="宋体" w:eastAsia="宋体" w:cs="Times New Roman"/>
          <w:sz w:val="18"/>
          <w:szCs w:val="18"/>
        </w:rPr>
        <w:t>期。</w:t>
      </w:r>
    </w:p>
    <w:p w14:paraId="320ADF5C">
      <w:pPr>
        <w:spacing w:line="400" w:lineRule="exact"/>
        <w:ind w:firstLine="380" w:firstLineChars="200"/>
        <w:rPr>
          <w:rFonts w:ascii="宋体" w:hAnsi="宋体" w:eastAsia="宋体" w:cs="Times New Roman"/>
          <w:sz w:val="18"/>
          <w:szCs w:val="18"/>
        </w:rPr>
      </w:pPr>
      <w:r>
        <w:rPr>
          <w:rFonts w:ascii="宋体" w:hAnsi="宋体" w:eastAsia="宋体" w:cs="Times New Roman"/>
          <w:sz w:val="18"/>
          <w:szCs w:val="18"/>
        </w:rPr>
        <w:t xml:space="preserve">[2] </w:t>
      </w:r>
      <w:r>
        <w:rPr>
          <w:rFonts w:hint="eastAsia" w:ascii="宋体" w:hAnsi="宋体" w:eastAsia="宋体" w:cs="Times New Roman"/>
          <w:sz w:val="18"/>
          <w:szCs w:val="18"/>
        </w:rPr>
        <w:t>顾海良、梅荣政主编：《中国高校哲学社会科学发展报告：</w:t>
      </w:r>
      <w:r>
        <w:rPr>
          <w:rFonts w:ascii="宋体" w:hAnsi="宋体" w:eastAsia="宋体" w:cs="Times New Roman"/>
          <w:sz w:val="18"/>
          <w:szCs w:val="18"/>
        </w:rPr>
        <w:t>1978</w:t>
      </w:r>
      <w:r>
        <w:rPr>
          <w:rFonts w:hint="eastAsia" w:ascii="宋体" w:hAnsi="宋体" w:eastAsia="宋体" w:cs="Times New Roman"/>
          <w:sz w:val="18"/>
          <w:szCs w:val="18"/>
        </w:rPr>
        <w:t>－</w:t>
      </w:r>
      <w:r>
        <w:rPr>
          <w:rFonts w:ascii="宋体" w:hAnsi="宋体" w:eastAsia="宋体" w:cs="Times New Roman"/>
          <w:sz w:val="18"/>
          <w:szCs w:val="18"/>
        </w:rPr>
        <w:t>2008</w:t>
      </w:r>
      <w:r>
        <w:rPr>
          <w:rFonts w:hint="eastAsia" w:ascii="宋体" w:hAnsi="宋体" w:eastAsia="宋体" w:cs="Times New Roman"/>
          <w:sz w:val="18"/>
          <w:szCs w:val="18"/>
        </w:rPr>
        <w:t>（马克思主义理论卷）》，南宁：广西师范大学出版社，</w:t>
      </w:r>
      <w:r>
        <w:rPr>
          <w:rFonts w:ascii="宋体" w:hAnsi="宋体" w:eastAsia="宋体" w:cs="Times New Roman"/>
          <w:sz w:val="18"/>
          <w:szCs w:val="18"/>
        </w:rPr>
        <w:t>2008</w:t>
      </w:r>
      <w:r>
        <w:rPr>
          <w:rFonts w:hint="eastAsia" w:ascii="宋体" w:hAnsi="宋体" w:eastAsia="宋体" w:cs="Times New Roman"/>
          <w:sz w:val="18"/>
          <w:szCs w:val="18"/>
        </w:rPr>
        <w:t>年。</w:t>
      </w:r>
    </w:p>
    <w:p w14:paraId="4BCD46DE">
      <w:pPr>
        <w:spacing w:line="400" w:lineRule="exact"/>
        <w:ind w:firstLine="380" w:firstLineChars="200"/>
        <w:rPr>
          <w:rFonts w:ascii="宋体" w:hAnsi="宋体" w:eastAsia="宋体" w:cs="Times New Roman"/>
          <w:sz w:val="18"/>
          <w:szCs w:val="18"/>
        </w:rPr>
      </w:pPr>
      <w:r>
        <w:rPr>
          <w:rFonts w:ascii="宋体" w:hAnsi="宋体" w:eastAsia="宋体" w:cs="Times New Roman"/>
          <w:sz w:val="18"/>
          <w:szCs w:val="18"/>
        </w:rPr>
        <w:t xml:space="preserve">[3] </w:t>
      </w:r>
      <w:r>
        <w:rPr>
          <w:rFonts w:hint="eastAsia" w:ascii="宋体" w:hAnsi="宋体" w:eastAsia="宋体" w:cs="Times New Roman"/>
          <w:sz w:val="18"/>
          <w:szCs w:val="18"/>
        </w:rPr>
        <w:t>王伟光主编：《改革开放与中国特色社会主义》，北京：社会科学文献出版社，</w:t>
      </w:r>
      <w:r>
        <w:rPr>
          <w:rFonts w:ascii="宋体" w:hAnsi="宋体" w:eastAsia="宋体" w:cs="Times New Roman"/>
          <w:sz w:val="18"/>
          <w:szCs w:val="18"/>
        </w:rPr>
        <w:t>2009</w:t>
      </w:r>
      <w:r>
        <w:rPr>
          <w:rFonts w:hint="eastAsia" w:ascii="宋体" w:hAnsi="宋体" w:eastAsia="宋体" w:cs="Times New Roman"/>
          <w:sz w:val="18"/>
          <w:szCs w:val="18"/>
        </w:rPr>
        <w:t>年。</w:t>
      </w:r>
    </w:p>
    <w:p w14:paraId="33C16048">
      <w:pPr>
        <w:spacing w:line="400" w:lineRule="exact"/>
        <w:ind w:firstLine="380" w:firstLineChars="200"/>
        <w:rPr>
          <w:rFonts w:ascii="宋体" w:hAnsi="宋体" w:eastAsia="宋体" w:cs="Times New Roman"/>
          <w:sz w:val="18"/>
          <w:szCs w:val="18"/>
        </w:rPr>
      </w:pPr>
      <w:r>
        <w:rPr>
          <w:rFonts w:ascii="宋体" w:hAnsi="宋体" w:eastAsia="宋体" w:cs="Times New Roman"/>
          <w:sz w:val="18"/>
          <w:szCs w:val="18"/>
        </w:rPr>
        <w:t xml:space="preserve">[4] </w:t>
      </w:r>
      <w:r>
        <w:rPr>
          <w:rFonts w:hint="eastAsia" w:ascii="宋体" w:hAnsi="宋体" w:eastAsia="宋体" w:cs="Times New Roman"/>
          <w:sz w:val="18"/>
          <w:szCs w:val="18"/>
        </w:rPr>
        <w:t>中共中央宣传部理论局马克思主义理论研究和建设工程办公室编：《</w:t>
      </w:r>
      <w:r>
        <w:rPr>
          <w:rFonts w:ascii="宋体" w:hAnsi="宋体" w:eastAsia="宋体" w:cs="Times New Roman"/>
          <w:sz w:val="18"/>
          <w:szCs w:val="18"/>
        </w:rPr>
        <w:t>2006</w:t>
      </w:r>
      <w:r>
        <w:rPr>
          <w:rFonts w:hint="eastAsia" w:ascii="宋体" w:hAnsi="宋体" w:eastAsia="宋体" w:cs="Times New Roman"/>
          <w:sz w:val="18"/>
          <w:szCs w:val="18"/>
        </w:rPr>
        <w:t>年马克思主义理论研究和建设工程成果选编》，北京：学习出版社，</w:t>
      </w:r>
      <w:r>
        <w:rPr>
          <w:rFonts w:ascii="宋体" w:hAnsi="宋体" w:eastAsia="宋体" w:cs="Times New Roman"/>
          <w:sz w:val="18"/>
          <w:szCs w:val="18"/>
        </w:rPr>
        <w:t>2007</w:t>
      </w:r>
      <w:r>
        <w:rPr>
          <w:rFonts w:hint="eastAsia" w:ascii="宋体" w:hAnsi="宋体" w:eastAsia="宋体" w:cs="Times New Roman"/>
          <w:sz w:val="18"/>
          <w:szCs w:val="18"/>
        </w:rPr>
        <w:t>年。</w:t>
      </w:r>
    </w:p>
    <w:p w14:paraId="44981AF5">
      <w:pPr>
        <w:spacing w:line="400" w:lineRule="exact"/>
        <w:ind w:firstLine="380" w:firstLineChars="200"/>
        <w:rPr>
          <w:rFonts w:ascii="宋体" w:hAnsi="宋体" w:eastAsia="宋体" w:cs="Times New Roman"/>
          <w:sz w:val="18"/>
          <w:szCs w:val="18"/>
        </w:rPr>
      </w:pPr>
      <w:r>
        <w:rPr>
          <w:rFonts w:ascii="宋体" w:hAnsi="宋体" w:eastAsia="宋体" w:cs="Times New Roman"/>
          <w:sz w:val="18"/>
          <w:szCs w:val="18"/>
        </w:rPr>
        <w:t xml:space="preserve">[5] </w:t>
      </w:r>
      <w:r>
        <w:rPr>
          <w:rFonts w:hint="eastAsia" w:ascii="宋体" w:hAnsi="宋体" w:eastAsia="宋体" w:cs="Times New Roman"/>
          <w:sz w:val="18"/>
          <w:szCs w:val="18"/>
        </w:rPr>
        <w:t>郭冠清：《马克思主义经济学研究对象重新解读》，载《海派经济学》</w:t>
      </w:r>
      <w:r>
        <w:rPr>
          <w:rFonts w:ascii="宋体" w:hAnsi="宋体" w:eastAsia="宋体" w:cs="Times New Roman"/>
          <w:sz w:val="18"/>
          <w:szCs w:val="18"/>
        </w:rPr>
        <w:t>2003</w:t>
      </w:r>
      <w:r>
        <w:rPr>
          <w:rFonts w:hint="eastAsia" w:ascii="宋体" w:hAnsi="宋体" w:eastAsia="宋体" w:cs="Times New Roman"/>
          <w:sz w:val="18"/>
          <w:szCs w:val="18"/>
        </w:rPr>
        <w:t>卷第</w:t>
      </w:r>
      <w:r>
        <w:rPr>
          <w:rFonts w:ascii="宋体" w:hAnsi="宋体" w:eastAsia="宋体" w:cs="Times New Roman"/>
          <w:sz w:val="18"/>
          <w:szCs w:val="18"/>
        </w:rPr>
        <w:t>2</w:t>
      </w:r>
      <w:r>
        <w:rPr>
          <w:rFonts w:hint="eastAsia" w:ascii="宋体" w:hAnsi="宋体" w:eastAsia="宋体" w:cs="Times New Roman"/>
          <w:sz w:val="18"/>
          <w:szCs w:val="18"/>
        </w:rPr>
        <w:t>辑。</w:t>
      </w:r>
    </w:p>
    <w:p w14:paraId="392F5146">
      <w:pPr>
        <w:spacing w:line="400" w:lineRule="exact"/>
        <w:ind w:firstLine="380" w:firstLineChars="200"/>
        <w:rPr>
          <w:rFonts w:ascii="宋体" w:hAnsi="宋体" w:eastAsia="宋体" w:cs="Times New Roman"/>
          <w:sz w:val="18"/>
          <w:szCs w:val="18"/>
        </w:rPr>
      </w:pPr>
      <w:r>
        <w:rPr>
          <w:rFonts w:ascii="宋体" w:hAnsi="宋体" w:eastAsia="宋体" w:cs="Times New Roman"/>
          <w:sz w:val="18"/>
          <w:szCs w:val="18"/>
        </w:rPr>
        <w:t xml:space="preserve">[6] </w:t>
      </w:r>
      <w:r>
        <w:rPr>
          <w:rFonts w:hint="eastAsia" w:ascii="宋体" w:hAnsi="宋体" w:eastAsia="宋体" w:cs="Times New Roman"/>
          <w:sz w:val="18"/>
          <w:szCs w:val="18"/>
        </w:rPr>
        <w:t>程恩富主编：《马克思主义经济思想史》，上海：东方出版中心，</w:t>
      </w:r>
      <w:r>
        <w:rPr>
          <w:rFonts w:ascii="宋体" w:hAnsi="宋体" w:eastAsia="宋体" w:cs="Times New Roman"/>
          <w:sz w:val="18"/>
          <w:szCs w:val="18"/>
        </w:rPr>
        <w:t>2006</w:t>
      </w:r>
      <w:r>
        <w:rPr>
          <w:rFonts w:hint="eastAsia" w:ascii="宋体" w:hAnsi="宋体" w:eastAsia="宋体" w:cs="Times New Roman"/>
          <w:sz w:val="18"/>
          <w:szCs w:val="18"/>
        </w:rPr>
        <w:t>年。</w:t>
      </w:r>
    </w:p>
    <w:p w14:paraId="32368EAD">
      <w:pPr>
        <w:spacing w:line="400" w:lineRule="exact"/>
        <w:ind w:firstLine="440" w:firstLineChars="200"/>
        <w:rPr>
          <w:rFonts w:ascii="宋体" w:hAnsi="宋体" w:eastAsia="宋体" w:cs="Times New Roman"/>
          <w:szCs w:val="21"/>
        </w:rPr>
      </w:pPr>
    </w:p>
    <w:p w14:paraId="614324CB">
      <w:pPr>
        <w:spacing w:line="400" w:lineRule="exact"/>
        <w:ind w:firstLine="440" w:firstLineChars="200"/>
        <w:rPr>
          <w:rFonts w:ascii="宋体" w:hAnsi="宋体" w:eastAsia="宋体" w:cs="Times New Roman"/>
          <w:szCs w:val="21"/>
        </w:rPr>
      </w:pPr>
      <w:r>
        <w:rPr>
          <w:rFonts w:hint="eastAsia" w:ascii="宋体" w:hAnsi="宋体" w:eastAsia="宋体" w:cs="Times New Roman"/>
          <w:szCs w:val="21"/>
        </w:rPr>
        <w:t>（原载《马克思主义研究》2010年第2期，第二作者为胡乐明）</w:t>
      </w:r>
    </w:p>
    <w:p w14:paraId="3AB449A6">
      <w:pPr>
        <w:spacing w:line="400" w:lineRule="exact"/>
        <w:ind w:firstLine="380" w:firstLineChars="200"/>
      </w:pPr>
      <w:r>
        <w:rPr>
          <w:rFonts w:ascii="Times New Roman" w:hAnsi="Times New Roman" w:eastAsia="宋体" w:cs="Times New Roman"/>
          <w:b/>
          <w:sz w:val="18"/>
          <w:szCs w:val="18"/>
        </w:rPr>
        <w:br w:type="page"/>
      </w:r>
    </w:p>
    <w:p w14:paraId="5B5B91F4">
      <w:pPr>
        <w:keepNext/>
        <w:keepLines/>
        <w:widowControl/>
        <w:spacing w:line="480" w:lineRule="auto"/>
        <w:ind w:firstLine="198"/>
        <w:jc w:val="center"/>
        <w:outlineLvl w:val="1"/>
        <w:rPr>
          <w:rFonts w:ascii="黑体" w:hAnsi="黑体" w:eastAsia="黑体" w:cs="Times New Roman"/>
          <w:kern w:val="0"/>
          <w:sz w:val="32"/>
          <w:szCs w:val="32"/>
        </w:rPr>
      </w:pPr>
      <w:bookmarkStart w:id="1099" w:name="_Toc14386"/>
      <w:bookmarkStart w:id="1100" w:name="_Toc1800946831"/>
      <w:bookmarkStart w:id="1101" w:name="_Toc678524704"/>
      <w:r>
        <w:rPr>
          <w:rFonts w:hint="eastAsia" w:ascii="黑体" w:hAnsi="黑体" w:eastAsia="黑体" w:cs="Times New Roman"/>
          <w:kern w:val="0"/>
          <w:sz w:val="32"/>
          <w:szCs w:val="32"/>
        </w:rPr>
        <w:t>3超越霸权，建立全球经济政治文化新秩序</w:t>
      </w:r>
      <w:bookmarkEnd w:id="1099"/>
      <w:bookmarkEnd w:id="1100"/>
      <w:bookmarkEnd w:id="1101"/>
    </w:p>
    <w:p w14:paraId="45498660">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经济全球化要求突破国家的界限，使生产要素在全球统一自觉配置，但是，美国等资本主义国家却要利用知识产权、金融、语言等霸权，来制造和扩大世界财富分配失衡和南北发展失衡。必须超越西方霸权，建立一种各国共同负责的全球经济政治文化新秩序，公正发展经济全球化、政治民主化、文化多样化、军事自卫化，最终用社会主义全球化取代资本主义全球化。为此，中国要认清自己的合作对象。</w:t>
      </w:r>
    </w:p>
    <w:p w14:paraId="47A6954A">
      <w:pPr>
        <w:autoSpaceDE w:val="0"/>
        <w:autoSpaceDN w:val="0"/>
        <w:spacing w:line="360" w:lineRule="auto"/>
        <w:ind w:firstLine="500" w:firstLineChars="200"/>
        <w:jc w:val="center"/>
        <w:rPr>
          <w:rFonts w:ascii="Times New Roman" w:hAnsi="Times New Roman" w:eastAsia="宋体" w:cs="Times New Roman"/>
          <w:b/>
          <w:szCs w:val="24"/>
        </w:rPr>
      </w:pPr>
      <w:r>
        <w:rPr>
          <w:rFonts w:hint="eastAsia" w:ascii="宋体" w:hAnsi="宋体" w:eastAsia="宋体" w:cs="Times New Roman"/>
          <w:b/>
          <w:bCs/>
          <w:sz w:val="24"/>
          <w:szCs w:val="24"/>
        </w:rPr>
        <w:t>一、世界财富分配失衡和南北发展失衡</w:t>
      </w:r>
    </w:p>
    <w:p w14:paraId="088BA05B">
      <w:pPr>
        <w:spacing w:line="400" w:lineRule="exact"/>
        <w:ind w:firstLine="440" w:firstLineChars="200"/>
        <w:rPr>
          <w:rFonts w:ascii="Times New Roman" w:hAnsi="Times New Roman" w:eastAsia="宋体" w:cs="Times New Roman"/>
          <w:szCs w:val="24"/>
        </w:rPr>
      </w:pPr>
      <w:r>
        <w:rPr>
          <w:rFonts w:ascii="Times New Roman" w:hAnsi="Times New Roman" w:eastAsia="宋体" w:cs="Times New Roman"/>
          <w:szCs w:val="24"/>
        </w:rPr>
        <w:t>2009</w:t>
      </w:r>
      <w:r>
        <w:rPr>
          <w:rFonts w:hint="eastAsia" w:ascii="Times New Roman" w:hAnsi="Times New Roman" w:eastAsia="宋体" w:cs="Times New Roman"/>
          <w:szCs w:val="24"/>
        </w:rPr>
        <w:t>年</w:t>
      </w:r>
      <w:r>
        <w:rPr>
          <w:rFonts w:ascii="Times New Roman" w:hAnsi="Times New Roman" w:eastAsia="宋体" w:cs="Times New Roman"/>
          <w:szCs w:val="24"/>
        </w:rPr>
        <w:t>9</w:t>
      </w:r>
      <w:r>
        <w:rPr>
          <w:rFonts w:hint="eastAsia" w:ascii="Times New Roman" w:hAnsi="Times New Roman" w:eastAsia="宋体" w:cs="Times New Roman"/>
          <w:szCs w:val="24"/>
        </w:rPr>
        <w:t>月匹兹堡</w:t>
      </w:r>
      <w:r>
        <w:rPr>
          <w:rFonts w:ascii="Times New Roman" w:hAnsi="Times New Roman" w:eastAsia="宋体" w:cs="Times New Roman"/>
          <w:szCs w:val="24"/>
        </w:rPr>
        <w:t>G20</w:t>
      </w:r>
      <w:r>
        <w:rPr>
          <w:rFonts w:hint="eastAsia" w:ascii="Times New Roman" w:hAnsi="Times New Roman" w:eastAsia="宋体" w:cs="Times New Roman"/>
          <w:szCs w:val="24"/>
        </w:rPr>
        <w:t>峰会上，针对美国等国家提出解决全球经济失衡问题的动议，胡锦涛主席指出：“失衡既表现为部分国家储蓄消费失衡、贸易收支失衡，更表现为世界财富分配失衡、资源拥有和消耗失衡、国际货币体系失衡……，从根本上看，失衡根源是南北发展严重不平衡。”</w:t>
      </w:r>
    </w:p>
    <w:p w14:paraId="3FCE5E2C">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美国一直强调全球储蓄与消费失衡，但却忽视了这一表象背后更深层的失衡问题——世界财富分配失衡和南北发展失衡。当今世界，财富分布极不均衡。联合国大学世界经济发展研究所</w:t>
      </w:r>
      <w:r>
        <w:rPr>
          <w:rFonts w:ascii="Times New Roman" w:hAnsi="Times New Roman" w:eastAsia="宋体" w:cs="Times New Roman"/>
          <w:szCs w:val="24"/>
        </w:rPr>
        <w:t>2006</w:t>
      </w:r>
      <w:r>
        <w:rPr>
          <w:rFonts w:hint="eastAsia" w:ascii="Times New Roman" w:hAnsi="Times New Roman" w:eastAsia="宋体" w:cs="Times New Roman"/>
          <w:szCs w:val="24"/>
        </w:rPr>
        <w:t>年</w:t>
      </w:r>
      <w:r>
        <w:rPr>
          <w:rFonts w:ascii="Times New Roman" w:hAnsi="Times New Roman" w:eastAsia="宋体" w:cs="Times New Roman"/>
          <w:szCs w:val="24"/>
        </w:rPr>
        <w:t>12</w:t>
      </w:r>
      <w:r>
        <w:rPr>
          <w:rFonts w:hint="eastAsia" w:ascii="Times New Roman" w:hAnsi="Times New Roman" w:eastAsia="宋体" w:cs="Times New Roman"/>
          <w:szCs w:val="24"/>
        </w:rPr>
        <w:t>月发布了《世界家庭财富分配报告》，该报告被认为是国际上首次发布的包含所有国家以及所有财产构成的研究。该研究显示：从人口分布看，全球最富有的</w:t>
      </w:r>
      <w:r>
        <w:rPr>
          <w:rFonts w:ascii="Times New Roman" w:hAnsi="Times New Roman" w:eastAsia="宋体" w:cs="Times New Roman"/>
          <w:szCs w:val="24"/>
        </w:rPr>
        <w:t>10%</w:t>
      </w:r>
      <w:r>
        <w:rPr>
          <w:rFonts w:hint="eastAsia" w:ascii="Times New Roman" w:hAnsi="Times New Roman" w:eastAsia="宋体" w:cs="Times New Roman"/>
          <w:szCs w:val="24"/>
        </w:rPr>
        <w:t>的人拥有世界财富的</w:t>
      </w:r>
      <w:r>
        <w:rPr>
          <w:rFonts w:ascii="Times New Roman" w:hAnsi="Times New Roman" w:eastAsia="宋体" w:cs="Times New Roman"/>
          <w:szCs w:val="24"/>
        </w:rPr>
        <w:t>85%</w:t>
      </w:r>
      <w:r>
        <w:rPr>
          <w:rFonts w:hint="eastAsia" w:ascii="Times New Roman" w:hAnsi="Times New Roman" w:eastAsia="宋体" w:cs="Times New Roman"/>
          <w:szCs w:val="24"/>
        </w:rPr>
        <w:t>，世界底层的半数人口仅拥有世界财富的</w:t>
      </w:r>
      <w:r>
        <w:rPr>
          <w:rFonts w:ascii="Times New Roman" w:hAnsi="Times New Roman" w:eastAsia="宋体" w:cs="Times New Roman"/>
          <w:szCs w:val="24"/>
        </w:rPr>
        <w:t>1%</w:t>
      </w:r>
      <w:r>
        <w:rPr>
          <w:rFonts w:hint="eastAsia" w:ascii="Times New Roman" w:hAnsi="Times New Roman" w:eastAsia="宋体" w:cs="Times New Roman"/>
          <w:szCs w:val="24"/>
        </w:rPr>
        <w:t>。从区域分布看，世界上的财富主要集中在北美、欧洲和亚太地区部分经济发达的国家和地区，这些国家和地区的人拥有了世界上近</w:t>
      </w:r>
      <w:r>
        <w:rPr>
          <w:rFonts w:ascii="Times New Roman" w:hAnsi="Times New Roman" w:eastAsia="宋体" w:cs="Times New Roman"/>
          <w:szCs w:val="24"/>
        </w:rPr>
        <w:t>90%</w:t>
      </w:r>
      <w:r>
        <w:rPr>
          <w:rFonts w:hint="eastAsia" w:ascii="Times New Roman" w:hAnsi="Times New Roman" w:eastAsia="宋体" w:cs="Times New Roman"/>
          <w:szCs w:val="24"/>
        </w:rPr>
        <w:t>的财富。波士顿企业咨询公司</w:t>
      </w:r>
      <w:r>
        <w:rPr>
          <w:rFonts w:ascii="Times New Roman" w:hAnsi="Times New Roman" w:eastAsia="宋体" w:cs="Times New Roman"/>
          <w:szCs w:val="24"/>
        </w:rPr>
        <w:t>2009</w:t>
      </w:r>
      <w:r>
        <w:rPr>
          <w:rFonts w:hint="eastAsia" w:ascii="Times New Roman" w:hAnsi="Times New Roman" w:eastAsia="宋体" w:cs="Times New Roman"/>
          <w:szCs w:val="24"/>
        </w:rPr>
        <w:t>年</w:t>
      </w:r>
      <w:r>
        <w:rPr>
          <w:rFonts w:ascii="Times New Roman" w:hAnsi="Times New Roman" w:eastAsia="宋体" w:cs="Times New Roman"/>
          <w:szCs w:val="24"/>
        </w:rPr>
        <w:t>9</w:t>
      </w:r>
      <w:r>
        <w:rPr>
          <w:rFonts w:hint="eastAsia" w:ascii="Times New Roman" w:hAnsi="Times New Roman" w:eastAsia="宋体" w:cs="Times New Roman"/>
          <w:szCs w:val="24"/>
        </w:rPr>
        <w:t>月</w:t>
      </w:r>
      <w:r>
        <w:rPr>
          <w:rFonts w:ascii="Times New Roman" w:hAnsi="Times New Roman" w:eastAsia="宋体" w:cs="Times New Roman"/>
          <w:szCs w:val="24"/>
        </w:rPr>
        <w:t>15</w:t>
      </w:r>
      <w:r>
        <w:rPr>
          <w:rFonts w:hint="eastAsia" w:ascii="Times New Roman" w:hAnsi="Times New Roman" w:eastAsia="宋体" w:cs="Times New Roman"/>
          <w:szCs w:val="24"/>
        </w:rPr>
        <w:t>日发布的《世界财富报告》认为，受经济衰退影响财富大幅缩水的美国仍是世界上最富有的国家，同时也拥有最多的百万富翁，而欧洲则成为世界上最富庶的地区。真是“瘦死的骆驼比马大”。该咨询公司此前的研究结果显示，全球最富裕的</w:t>
      </w:r>
      <w:r>
        <w:rPr>
          <w:rFonts w:ascii="Times New Roman" w:hAnsi="Times New Roman" w:eastAsia="宋体" w:cs="Times New Roman"/>
          <w:szCs w:val="24"/>
        </w:rPr>
        <w:t>1%</w:t>
      </w:r>
      <w:r>
        <w:rPr>
          <w:rFonts w:hint="eastAsia" w:ascii="Times New Roman" w:hAnsi="Times New Roman" w:eastAsia="宋体" w:cs="Times New Roman"/>
          <w:szCs w:val="24"/>
        </w:rPr>
        <w:t>家庭掌握着全球</w:t>
      </w:r>
      <w:r>
        <w:rPr>
          <w:rFonts w:ascii="Times New Roman" w:hAnsi="Times New Roman" w:eastAsia="宋体" w:cs="Times New Roman"/>
          <w:szCs w:val="24"/>
        </w:rPr>
        <w:t>35%</w:t>
      </w:r>
      <w:r>
        <w:rPr>
          <w:rFonts w:hint="eastAsia" w:ascii="Times New Roman" w:hAnsi="Times New Roman" w:eastAsia="宋体" w:cs="Times New Roman"/>
          <w:szCs w:val="24"/>
        </w:rPr>
        <w:t>的财富。</w:t>
      </w:r>
    </w:p>
    <w:p w14:paraId="51ACE073">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发展中国家发展水平低，在全球经济份额中占比少。拿中国来说，尽管</w:t>
      </w:r>
      <w:r>
        <w:rPr>
          <w:rFonts w:ascii="Times New Roman" w:hAnsi="Times New Roman" w:eastAsia="宋体" w:cs="Times New Roman"/>
          <w:szCs w:val="24"/>
        </w:rPr>
        <w:t>GDP</w:t>
      </w:r>
      <w:r>
        <w:rPr>
          <w:rFonts w:hint="eastAsia" w:ascii="Times New Roman" w:hAnsi="Times New Roman" w:eastAsia="宋体" w:cs="Times New Roman"/>
          <w:szCs w:val="24"/>
        </w:rPr>
        <w:t>总量升至全球第三位，但</w:t>
      </w:r>
      <w:r>
        <w:rPr>
          <w:rFonts w:ascii="Times New Roman" w:hAnsi="Times New Roman" w:eastAsia="宋体" w:cs="Times New Roman"/>
          <w:szCs w:val="24"/>
        </w:rPr>
        <w:t>IMF</w:t>
      </w:r>
      <w:r>
        <w:rPr>
          <w:rFonts w:hint="eastAsia" w:ascii="Times New Roman" w:hAnsi="Times New Roman" w:eastAsia="宋体" w:cs="Times New Roman"/>
          <w:szCs w:val="24"/>
        </w:rPr>
        <w:t>在</w:t>
      </w:r>
      <w:r>
        <w:rPr>
          <w:rFonts w:ascii="Times New Roman" w:hAnsi="Times New Roman" w:eastAsia="宋体" w:cs="Times New Roman"/>
          <w:szCs w:val="24"/>
        </w:rPr>
        <w:t>2009</w:t>
      </w:r>
      <w:r>
        <w:rPr>
          <w:rFonts w:hint="eastAsia" w:ascii="Times New Roman" w:hAnsi="Times New Roman" w:eastAsia="宋体" w:cs="Times New Roman"/>
          <w:szCs w:val="24"/>
        </w:rPr>
        <w:t>年</w:t>
      </w:r>
      <w:r>
        <w:rPr>
          <w:rFonts w:ascii="Times New Roman" w:hAnsi="Times New Roman" w:eastAsia="宋体" w:cs="Times New Roman"/>
          <w:szCs w:val="24"/>
        </w:rPr>
        <w:t>4</w:t>
      </w:r>
      <w:r>
        <w:rPr>
          <w:rFonts w:hint="eastAsia" w:ascii="Times New Roman" w:hAnsi="Times New Roman" w:eastAsia="宋体" w:cs="Times New Roman"/>
          <w:szCs w:val="24"/>
        </w:rPr>
        <w:t>月推出的全球人均</w:t>
      </w:r>
      <w:r>
        <w:rPr>
          <w:rFonts w:ascii="Times New Roman" w:hAnsi="Times New Roman" w:eastAsia="宋体" w:cs="Times New Roman"/>
          <w:szCs w:val="24"/>
        </w:rPr>
        <w:t>GDP</w:t>
      </w:r>
      <w:r>
        <w:rPr>
          <w:rFonts w:hint="eastAsia" w:ascii="Times New Roman" w:hAnsi="Times New Roman" w:eastAsia="宋体" w:cs="Times New Roman"/>
          <w:szCs w:val="24"/>
        </w:rPr>
        <w:t>排名中，中国仅排在第</w:t>
      </w:r>
      <w:r>
        <w:rPr>
          <w:rFonts w:ascii="Times New Roman" w:hAnsi="Times New Roman" w:eastAsia="宋体" w:cs="Times New Roman"/>
          <w:szCs w:val="24"/>
        </w:rPr>
        <w:t>106</w:t>
      </w:r>
      <w:r>
        <w:rPr>
          <w:rFonts w:hint="eastAsia" w:ascii="Times New Roman" w:hAnsi="Times New Roman" w:eastAsia="宋体" w:cs="Times New Roman"/>
          <w:szCs w:val="24"/>
        </w:rPr>
        <w:t>位。所以，美国人指责中国人消费少是没道理的。可以说，财富分配不平衡是发展中国家消费不足的根本原因。</w:t>
      </w:r>
    </w:p>
    <w:p w14:paraId="1C9DB0AA">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发达国家国内的财富分布不均也是一个大问题。英国、法国超过</w:t>
      </w:r>
      <w:r>
        <w:rPr>
          <w:rFonts w:ascii="Times New Roman" w:hAnsi="Times New Roman" w:eastAsia="宋体" w:cs="Times New Roman"/>
          <w:szCs w:val="24"/>
        </w:rPr>
        <w:t>10%</w:t>
      </w:r>
      <w:r>
        <w:rPr>
          <w:rFonts w:hint="eastAsia" w:ascii="Times New Roman" w:hAnsi="Times New Roman" w:eastAsia="宋体" w:cs="Times New Roman"/>
          <w:szCs w:val="24"/>
        </w:rPr>
        <w:t>的富人占据社会财富的</w:t>
      </w:r>
      <w:r>
        <w:rPr>
          <w:rFonts w:ascii="Times New Roman" w:hAnsi="Times New Roman" w:eastAsia="宋体" w:cs="Times New Roman"/>
          <w:szCs w:val="24"/>
        </w:rPr>
        <w:t>50%</w:t>
      </w:r>
      <w:r>
        <w:rPr>
          <w:rFonts w:hint="eastAsia" w:ascii="Times New Roman" w:hAnsi="Times New Roman" w:eastAsia="宋体" w:cs="Times New Roman"/>
          <w:szCs w:val="24"/>
        </w:rPr>
        <w:t>，美国的这一比例则高达</w:t>
      </w:r>
      <w:r>
        <w:rPr>
          <w:rFonts w:ascii="Times New Roman" w:hAnsi="Times New Roman" w:eastAsia="宋体" w:cs="Times New Roman"/>
          <w:szCs w:val="24"/>
        </w:rPr>
        <w:t>70%</w:t>
      </w:r>
      <w:r>
        <w:rPr>
          <w:rFonts w:hint="eastAsia" w:ascii="Times New Roman" w:hAnsi="Times New Roman" w:eastAsia="宋体" w:cs="Times New Roman"/>
          <w:szCs w:val="24"/>
        </w:rPr>
        <w:t>。此次全球性的金融和经济危机，很大程度上就是美国的贫富差距拉大、负债经济难以为继的恶果。</w:t>
      </w:r>
    </w:p>
    <w:p w14:paraId="216B0829">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二、经济全球化与资本主义狭隘利益的矛盾</w:t>
      </w:r>
    </w:p>
    <w:p w14:paraId="5905F25E">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传统观点认为，经济危机是资本主义基本矛盾即生产的不断社会化与生产资料的资本主义私人占有之间的矛盾造成的，当前的全球危机证明这是完全正确的。不过这还不够，因为这只从一国内部来考察分析，而现在经济社会化已经升级为全球化了。现在是经济全球化时代，科技进步、生产力发展、流通大发展等等，使得人类社会作为一个整体的社会化程度越来越高。那么，这种经济全球化条件下的全球基本矛盾是什么呢？我认为，那就是经济的不断社会化和全球化与生产要素或生产资料的私人所有之间有冲突，甚至与集体所有、合作所有、国家所有也都有矛盾。也就是说，经济的全球化要求突破国家的界限，以使生产要素在全球统一自觉配置。但是，由于美国等资本主义国家不愿意搞公正发展的经济全球化，它要保持南北之间的差距，维护它本国的狭隘的利益，全球统一自觉配置也就无从谈起。相反，发达国家还要搞资源战、气候战、金融战、贸易战、货币战等等，来损人利己。这种种形式的博弈在本质上是因为现在的各种制度包括国有制度，都不适应经济全球化的需求。</w:t>
      </w:r>
    </w:p>
    <w:p w14:paraId="7A415D45">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既然现今的全球化无法扭转，怎么办才能维护自身利益呢？欧洲首先成立欧盟，东盟也成立起来，这实际上都是在现有的世界资本主义大框架范围内的局部改良，一个部分的质变。欧盟的产生、跨国公司的大规模的出现，实际上是在朝社会主义经济全球化大方向“蠕动”。过去列宁讲，国家垄断资本主义再进一步就是社会主义，现在我们可以称欧盟、跨国公司、国际垄断资本主义比国家垄断资本主义是更进一步，它们已逐渐站在全球社会主义的入口处。</w:t>
      </w:r>
    </w:p>
    <w:p w14:paraId="37F5AE72">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但是，个别国家地区的联合或合作，根本无法抵消全球资本主义分裂与霸权并存的消极作用。</w:t>
      </w:r>
    </w:p>
    <w:p w14:paraId="6E095CC3">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三、发达国家制造南北失衡的手段</w:t>
      </w:r>
    </w:p>
    <w:p w14:paraId="1F0F5461">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导致全球财富分配失衡的原因，当前最重要的就是知识产权的垄断。以信息技术为代表的现代科技的大发展，拉大了各国之间在信息资源及其占有方面的差距，或者说扩大了知识经济分布的不平衡。现代的南北鸿沟主要来源于发达国家对知识产权的垄断。自由竞争的资本主义阶段，商品输出为主要特征；到了垄断资本主义阶段，其特征是资本输出。现在，资本输出、商品输出仍然是存在的，但是作为上世纪</w:t>
      </w:r>
      <w:r>
        <w:rPr>
          <w:rFonts w:ascii="Times New Roman" w:hAnsi="Times New Roman" w:eastAsia="宋体" w:cs="Times New Roman"/>
          <w:szCs w:val="24"/>
        </w:rPr>
        <w:t>90</w:t>
      </w:r>
      <w:r>
        <w:rPr>
          <w:rFonts w:hint="eastAsia" w:ascii="Times New Roman" w:hAnsi="Times New Roman" w:eastAsia="宋体" w:cs="Times New Roman"/>
          <w:szCs w:val="24"/>
        </w:rPr>
        <w:t>年代至今以来的经济全球化阶段的输出，其突出特征是知识产权输出，垄断也不是一般的资本垄断，而是知识产权垄断。知识产权垄断导致南北差距比过去更大。它是靠商标、专利，靠核心技术、技术标准、技术许可证转让等手段，来拉大发达国家和发展中国家之间的差距。发达国家是“脑国”，发展中国家是“躯国”，知识产权这个经济发展的脑袋被以美国为代表的发达国家控制了。</w:t>
      </w:r>
    </w:p>
    <w:p w14:paraId="0AC26B01">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西方近现代经济学家在国际贸易方面早就有“比较优势”的说法，上世纪</w:t>
      </w:r>
      <w:r>
        <w:rPr>
          <w:rFonts w:ascii="Times New Roman" w:hAnsi="Times New Roman" w:eastAsia="宋体" w:cs="Times New Roman"/>
          <w:szCs w:val="24"/>
        </w:rPr>
        <w:t>90</w:t>
      </w:r>
      <w:r>
        <w:rPr>
          <w:rFonts w:hint="eastAsia" w:ascii="Times New Roman" w:hAnsi="Times New Roman" w:eastAsia="宋体" w:cs="Times New Roman"/>
          <w:szCs w:val="24"/>
        </w:rPr>
        <w:t>年代美国经济学家波特又提出了“竞争优势”，包含了六七个主要变量，我把它叫做综合竞争优势。这两个说法都是有缺陷的。综合竞争优势论最明显的问题是变量太多，不突出，就像一个人成绩好当然是有很多的因素影响，但一定有个最主要的因素。所以，前几年我提出了第三种优势理论——“知识产权优势”。我站在发展中国家自由公正的立场发现，西方经济学、国际贸易学不可能揭示这个真理，即使西方主流经济学家心里明白也不会说。</w:t>
      </w:r>
    </w:p>
    <w:p w14:paraId="0542448E">
      <w:pPr>
        <w:spacing w:line="400" w:lineRule="exact"/>
        <w:ind w:firstLine="440" w:firstLineChars="200"/>
        <w:rPr>
          <w:rFonts w:ascii="Times New Roman" w:hAnsi="Times New Roman" w:eastAsia="宋体" w:cs="Times New Roman"/>
          <w:szCs w:val="24"/>
        </w:rPr>
      </w:pPr>
      <w:r>
        <w:rPr>
          <w:rFonts w:ascii="Times New Roman" w:hAnsi="Times New Roman" w:eastAsia="宋体" w:cs="Times New Roman"/>
          <w:szCs w:val="24"/>
        </w:rPr>
        <w:t>2009</w:t>
      </w:r>
      <w:r>
        <w:rPr>
          <w:rFonts w:hint="eastAsia" w:ascii="Times New Roman" w:hAnsi="Times New Roman" w:eastAsia="宋体" w:cs="Times New Roman"/>
          <w:szCs w:val="24"/>
        </w:rPr>
        <w:t>年我在上海参加知识产权局的咨询专家会议，讲中国要有自主知识产权，要打破西方的垄断，打破垄断就是和西方一起对人类作出贡献，同时使得国际社会更加自由公正。但在座的一位跨国公司在华联合机构的代言人却说：中国应当提知识产权，但不要提自主知识产权，因为，自主知识产权就是用公的权力来支持私的经济，干预市场经济，会遭到西方发达国家的反对。这显然是站在西方跨国公司的立场上说话的。跨国公司在华的研发机构也是有利有弊的，它的目的是利用中国廉价的高科技人才以及土地、税收等资源来搞发明，但大头都归它。在国内，我最早强调“知识产权保护是基础，自主知识产权创新（创造）是目标”。近年来搞高速铁路的做法，我认为是比较成功的，就是除了自主创新之外，我们买发达国家的产品时一定要求对方把核心技术卖给我们。千万不能再重复改革头二十几年“用市场换技术”的老路了。</w:t>
      </w:r>
    </w:p>
    <w:p w14:paraId="0B4AF1B7">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导致南北差距巨大的第二个原因是美元霸权。美国通过美元的国际储蓄机制，合法地掠夺各国的、特别是发展中国家的财富。以中美之间的经济交换方式为例，能很清楚地揭示这种掠夺本质。中国利用廉价的劳动力、土地、生态资源、中高级人才等等各类资源进行多种类的生产经营，生产完了廉价卖给美国，美国就不生产了；然后，美国印钞票来换你的商品，你把赚来的钱又存在美国，等于又借给美国用，美国用的时候还不给你保值增值，利息是负的，因为它大量发行美元导致美元贬值；到最后，他还倒打一耙，指控你制造了经济失衡。美国的那么多财富不仅是美国人民创造的，更是全世界、特别是发展中国家的人民创造出来的。所以，我主张不仅要搞人民币的区域化和国际化，还要积极推动构建“世界元”体系，统一全球货币。</w:t>
      </w:r>
    </w:p>
    <w:p w14:paraId="20F7CCD5">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美英等发达国家还通过文化霸权掠夺别国的财富，其中很重要的依赖途径是语言，即英语。《经济动态》曾经发表过华南师大经管学院林勇院长的一篇语言经济学的好文章，就阐述了这一点。首先互联网</w:t>
      </w:r>
      <w:r>
        <w:rPr>
          <w:rFonts w:ascii="Times New Roman" w:hAnsi="Times New Roman" w:eastAsia="宋体" w:cs="Times New Roman"/>
          <w:szCs w:val="24"/>
        </w:rPr>
        <w:t>92%~95%</w:t>
      </w:r>
      <w:r>
        <w:rPr>
          <w:rFonts w:hint="eastAsia" w:ascii="Times New Roman" w:hAnsi="Times New Roman" w:eastAsia="宋体" w:cs="Times New Roman"/>
          <w:szCs w:val="24"/>
        </w:rPr>
        <w:t>都是英语，全世界的人都要学习英语，你都要买英语书，那么欧美的出版商也就发达了。英语杂志可以在世界发行，中文和其他国家语言的杂志很难国际化。我们现在要翻译英文书都要</w:t>
      </w:r>
      <w:r>
        <w:rPr>
          <w:rFonts w:ascii="Times New Roman" w:hAnsi="Times New Roman" w:eastAsia="宋体" w:cs="Times New Roman"/>
          <w:szCs w:val="24"/>
        </w:rPr>
        <w:t>8%</w:t>
      </w:r>
      <w:r>
        <w:rPr>
          <w:rFonts w:hint="eastAsia" w:ascii="Times New Roman" w:hAnsi="Times New Roman" w:eastAsia="宋体" w:cs="Times New Roman"/>
          <w:szCs w:val="24"/>
        </w:rPr>
        <w:t>左右的版税，这个钱很轻易地就进了他的腰包。还有影视作品，美国大片占据了发展中国家的巨大市场。所以，现在最应加速的全球化工作，除了“世元”以外，就是语言全球化。取代英语的，要么就是现在的世界语，要么就是联合国领导下再创造一个共同的语言，这样每个人的生命就变相延长了若干年。而且，全球每年几千亿美元的翻译费用，都可以节省下来，一举就能解决全球的很多贫困问题。</w:t>
      </w:r>
    </w:p>
    <w:p w14:paraId="53A3327E">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但搞“世元”和“世界语”谁最反对呢？是美国。所以，美国是阻碍世界公正发展经济全球化、政治民主化、文化多样化和军事自卫化的世界第一障碍。</w:t>
      </w:r>
    </w:p>
    <w:p w14:paraId="5D9D1A03">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四、全球治理的历史类型</w:t>
      </w:r>
    </w:p>
    <w:p w14:paraId="56118C30">
      <w:pPr>
        <w:spacing w:line="400" w:lineRule="exact"/>
        <w:ind w:firstLine="440" w:firstLineChars="200"/>
        <w:rPr>
          <w:rFonts w:ascii="Times New Roman" w:hAnsi="Times New Roman" w:eastAsia="宋体" w:cs="Times New Roman"/>
          <w:szCs w:val="24"/>
        </w:rPr>
      </w:pPr>
      <w:r>
        <w:rPr>
          <w:rFonts w:ascii="Times New Roman" w:hAnsi="Times New Roman" w:eastAsia="宋体" w:cs="Times New Roman"/>
          <w:szCs w:val="24"/>
        </w:rPr>
        <w:t>20</w:t>
      </w:r>
      <w:r>
        <w:rPr>
          <w:rFonts w:hint="eastAsia" w:ascii="Times New Roman" w:hAnsi="Times New Roman" w:eastAsia="宋体" w:cs="Times New Roman"/>
          <w:szCs w:val="24"/>
        </w:rPr>
        <w:t>世纪以来全球政治经济的治理大致经历了三种类型。</w:t>
      </w:r>
    </w:p>
    <w:p w14:paraId="077EA807">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第一，列强争霸或帝国争夺型治理。</w:t>
      </w:r>
      <w:r>
        <w:rPr>
          <w:rFonts w:ascii="Times New Roman" w:hAnsi="Times New Roman" w:eastAsia="宋体" w:cs="Times New Roman"/>
          <w:szCs w:val="24"/>
        </w:rPr>
        <w:t>1900</w:t>
      </w:r>
      <w:r>
        <w:rPr>
          <w:rFonts w:hint="eastAsia" w:ascii="Times New Roman" w:hAnsi="Times New Roman" w:eastAsia="宋体" w:cs="Times New Roman"/>
          <w:szCs w:val="24"/>
        </w:rPr>
        <w:t>～</w:t>
      </w:r>
      <w:r>
        <w:rPr>
          <w:rFonts w:ascii="Times New Roman" w:hAnsi="Times New Roman" w:eastAsia="宋体" w:cs="Times New Roman"/>
          <w:szCs w:val="24"/>
        </w:rPr>
        <w:t>1945</w:t>
      </w:r>
      <w:r>
        <w:rPr>
          <w:rFonts w:hint="eastAsia" w:ascii="Times New Roman" w:hAnsi="Times New Roman" w:eastAsia="宋体" w:cs="Times New Roman"/>
          <w:szCs w:val="24"/>
        </w:rPr>
        <w:t>年，伴随着英国霸权地位的日渐衰落和美国等国势力的不断提升，世界强国之间的冲突和竞争加剧，维护国际政治经济体系稳定的国际组织和国际规则缺失，各国之间弱肉强食，单边主义政策盛行，“以邻为壑”式的贸易战与货币战频发，国际政治经济体系剧烈动荡，爆发了两次世界大战及一系列殖民主义战争和一次严重的世界性经济危机。但是，苏联等社会主义国家的诞生，使全球政治经济的民主治理出现了许多积极的因素。</w:t>
      </w:r>
    </w:p>
    <w:p w14:paraId="3C330D2D">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第二，两超阵营型治理。</w:t>
      </w:r>
      <w:r>
        <w:rPr>
          <w:rFonts w:ascii="Times New Roman" w:hAnsi="Times New Roman" w:eastAsia="宋体" w:cs="Times New Roman"/>
          <w:szCs w:val="24"/>
        </w:rPr>
        <w:t>1946~1989</w:t>
      </w:r>
      <w:r>
        <w:rPr>
          <w:rFonts w:hint="eastAsia" w:ascii="Times New Roman" w:hAnsi="Times New Roman" w:eastAsia="宋体" w:cs="Times New Roman"/>
          <w:szCs w:val="24"/>
        </w:rPr>
        <w:t>年，美苏两个超级大国分别支配了资本主义和社会主义两大阵营，各方都尽力维持着自己的势力范围，维持了世界政治经济体系的一种相对的平衡和稳定。美国以西方世界霸主自居，出于遏止“苏联共产主义扩张”的政治需要，容忍了西欧和日本等国长期的“搭便车”行为，为西方资本主义世界体系提供了诸如自由开放的国际贸易体制、稳定的国际货币体系、国际安全和对外援助等国际公共物品。在军事政治领域，美国组建了北约集团，向其盟国提供安全和核保护伞；在经济贸易领域，美国主导了以</w:t>
      </w:r>
      <w:r>
        <w:rPr>
          <w:rFonts w:ascii="Times New Roman" w:hAnsi="Times New Roman" w:eastAsia="宋体" w:cs="Times New Roman"/>
          <w:szCs w:val="24"/>
        </w:rPr>
        <w:t>GATT</w:t>
      </w:r>
      <w:r>
        <w:rPr>
          <w:rFonts w:hint="eastAsia" w:ascii="Times New Roman" w:hAnsi="Times New Roman" w:eastAsia="宋体" w:cs="Times New Roman"/>
          <w:szCs w:val="24"/>
        </w:rPr>
        <w:t>为核心的自由贸易体制和国际贸易规则，从而维系了西方资本主义国际体系的某种长期稳定。在此期间，落后国家的民族解放战争也纷纷胜利，第三世界国家作用不断扩大，世界经济政治的民主治理的积极因素持续提升。但是，主要资本主义国家长期发动的</w:t>
      </w:r>
      <w:r>
        <w:rPr>
          <w:rFonts w:ascii="Times New Roman" w:hAnsi="Times New Roman" w:eastAsia="宋体" w:cs="Times New Roman"/>
          <w:szCs w:val="24"/>
        </w:rPr>
        <w:t xml:space="preserve"> </w:t>
      </w:r>
      <w:r>
        <w:rPr>
          <w:rFonts w:hint="eastAsia" w:ascii="Times New Roman" w:hAnsi="Times New Roman" w:eastAsia="宋体" w:cs="Times New Roman"/>
          <w:szCs w:val="24"/>
        </w:rPr>
        <w:t>“冷战”，严重妨碍全球经济、政治和文化进步，并使军备竞赛加剧。</w:t>
      </w:r>
    </w:p>
    <w:p w14:paraId="73BEA352">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第三，一霸数强型治理。</w:t>
      </w:r>
      <w:r>
        <w:rPr>
          <w:rFonts w:ascii="Times New Roman" w:hAnsi="Times New Roman" w:eastAsia="宋体" w:cs="Times New Roman"/>
          <w:szCs w:val="24"/>
        </w:rPr>
        <w:t>1990</w:t>
      </w:r>
      <w:r>
        <w:rPr>
          <w:rFonts w:hint="eastAsia" w:ascii="Times New Roman" w:hAnsi="Times New Roman" w:eastAsia="宋体" w:cs="Times New Roman"/>
          <w:szCs w:val="24"/>
        </w:rPr>
        <w:t>年至今，随着冷战的结束，美国成为了惟一的超级大国，没有其他国家或国家集团能够扮演平衡者的角色。为了巩固“全球领导地位”，美国不断交替使用“单边主义”、“多边主义”战略手段阻遏多极化趋势，从立足于联合国转移到国际货币基金组织、世界银行、世界贸易组织、国际能源机构和北约军事组织等，主导国际规则的制定，推行新自由主义、新帝国主义政策，越来越露骨地把接受西方国家的价值观作为它提供对外援助和贷款的先决条件，越来越露骨地把国际政策变成促进或维护其本国实力、遏制或削弱他国实力以实现自己利益的工具，破坏了全球经济、政治和文化的民主治理。这导致维持国际体系稳定的行动能力明显降低，导致全球公共物品供给相对不足，各种全球性问题不断凸现。仅在经济领域，世界范围内的贸易战、金融战、资源战、科技战等就层出不穷。</w:t>
      </w:r>
    </w:p>
    <w:p w14:paraId="0F91DE0D">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五、未来的全球民主治理与中国的举措</w:t>
      </w:r>
    </w:p>
    <w:p w14:paraId="53F5FA2C">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展望未来，超越霸权治理、实现全球经济政治的民主治理，任重而道远。为了提升现时期全球经济政治的民主治理水平，必须首先改革联合国以及国际货币基金组织等国际机构，构建联合国主导型治理框架。应改革联合国安理会的构成和机制，增加发展中国家的理事名额，激励世界各国和地区政治实体共同参与全球事务决策，提高其代表性和决策效率；应改革国际货币基金组织和世界银行的代表机制和表决权等，改变少数富国对重大决策拥有否决权的现状，制定更有效的金融规则和危机处理机制，加强对全球资本流动的监管；应改革世界贸易组织及其规则，保证发展中国家更多地参与决策并从中受益，确保贸易活动不损害民族利益和劳工权益；应尽快确立全球统一的货币即“世元”、全球统一的语言即“世界语”；取消美国控制下的北约和某些国际法律机构，重新建立联合国领导下的维和部队和国际法律机构。只有这样，才能重新建立一种各国共同负责的全球经济政治文化新秩序，公正发展经济全球化、政治民主化、文化多样化、军事自卫化。</w:t>
      </w:r>
    </w:p>
    <w:p w14:paraId="700B9C1B">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目前，西方金融和经济危机的肆虐，又一次宣告了新自由资本主义的失败，世界体系的变革和再造恰逢其时。对此应该得出三个结论：第一，这一次西方金融和经济危机，不仅是金融危机，不在于什么操作问题，或者是信心不足问题，或者是诚信不足问题，而在于全球资本主义基本矛盾。第二，长期解决的根本出路和办法就是用全球社会主义逐步取代全球资本主义。苏东国家剧变以后，实际上是资本主义的西风逐渐压倒社会主义的东风，而二战以后到苏东巨变之前，则是社会主义东风逐步压倒资本主义西风的时期。以这次全球危机为标志和起点，世界社会主义正式走出了低谷，各国进步人士要通过自己的实际工作来逐步促进世界社会主义高潮的出现。第三，中国特色社会主义没有经济危机，中国经济虽受到国际金融和经济危机的影响，但采取强有力的措施后，已经继续高涨。中国模式必将推动世界社会主义的未来发展。</w:t>
      </w:r>
    </w:p>
    <w:p w14:paraId="0CD628C1">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面对现实，发展中国家若要更好地维护本国以及世界劳动者的利益，就必须加强合作。合作对象有哪些呢？一是发展中国家之间的合作。比如说在哥本哈根气候会议上，中国、印度等国家加强了合作，对美国推行“气候霸权”，起了重要的遏制作用。我们越是团结得好，合作得好，就越能最大限度的维护发展中国家人民的利益。二是加强政党之间合作。现在是政党政治，尤其是对那些共产党或左翼党没有掌权的国家，只能通过政党的合作在国际上造舆论，使得各国的右翼力量受到遏制，国际社会因此而进步。三是加强全球工会的合作。因为除了共产党、左翼政党外，工会也是代表工人阶级、维护劳动者利益的一支重要力量。四是世界的马克思主义学者和左翼学者的合作。因为他们掌握一定的话语权，可以从学术和政策研究，从舆论方面，来促进世界更加和谐。媒体如果单独拿出来，就是第五个要合作的力量。中国要打破西方的政治封锁，打破他们在新疆、西藏、台湾等问题上丑化、妖魔化中国的局面，就必须加强与世界各国的媒体间的团结合作。中国现在外汇很多，媒体也很多，中国大的媒体集团应该主动地走出去并购（或采取其他合作方式）美国等发达国家的重要媒体，促使它们客观报道中国，维护世界公众的利益。当然美国等肯定会极力反对，那么，我们要以其人之道还治其人之身，指出其虚假的经济自由和新闻自由。</w:t>
      </w:r>
    </w:p>
    <w:p w14:paraId="65541B84">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有些合作要加强，有些则要削弱。比如，世界财富论坛以及世界经济论坛为什么总提要保护知识产权而不说财富分配不公的问题呢？因为它是跨国公司搞的，所以强调的始终是片面的经济自由化和全球化，有利于巩固发达国家的各种垄断地位。对这种论坛，不必太热心。全世界左翼则搞了一个世界社会论坛，参会的非政府组织比世界经济论坛更多，出席的人也更多，对于当前的世界，这个论坛揭示了很多真相和真理。我主张中国应该派人去参加世界社会论坛，甚至也可以在中国举办。这样，我们才能对世界的经济、政治、文化和军事发展的大趋势有个全面客观清醒的认识。再比如，中国是社会主义大国，大国要有大国的风范，要与其他国家平等交流，外交上要讲对等原则。美国的社会科学学者、哪怕他是诺贝尔奖获得者来华，国家领导人也根本没必要接见他，因为诺贝尔经济学奖是有很强的价值观和政治性的。对待西方左中右学者的方式至少应是一视同仁的。这些所谓的主流经济学大家到底有多少见识呢？面对全球危机他们个个面面相觑，哑口无言，以至于英国女王不久前责问他们为什么没有一个提出预警的。干吗抬举他们？</w:t>
      </w:r>
    </w:p>
    <w:p w14:paraId="032230B1">
      <w:pPr>
        <w:spacing w:line="400" w:lineRule="exact"/>
        <w:ind w:firstLine="440" w:firstLineChars="200"/>
        <w:rPr>
          <w:rFonts w:ascii="Times New Roman" w:hAnsi="Times New Roman" w:eastAsia="宋体" w:cs="Times New Roman"/>
          <w:szCs w:val="24"/>
        </w:rPr>
      </w:pPr>
    </w:p>
    <w:p w14:paraId="4ABFF5C6">
      <w:pPr>
        <w:spacing w:line="400" w:lineRule="exact"/>
        <w:ind w:firstLine="440" w:firstLineChars="200"/>
        <w:rPr>
          <w:rFonts w:ascii="Times New Roman" w:hAnsi="Times New Roman" w:eastAsia="宋体" w:cs="Times New Roman"/>
          <w:szCs w:val="24"/>
        </w:rPr>
      </w:pPr>
      <w:r>
        <w:rPr>
          <w:rFonts w:hint="eastAsia" w:ascii="Times New Roman" w:hAnsi="Times New Roman" w:eastAsia="宋体" w:cs="Times New Roman"/>
          <w:szCs w:val="24"/>
        </w:rPr>
        <w:t>（原载《绿叶》</w:t>
      </w:r>
      <w:r>
        <w:rPr>
          <w:rFonts w:ascii="Times New Roman" w:hAnsi="Times New Roman" w:eastAsia="宋体" w:cs="Times New Roman"/>
          <w:szCs w:val="24"/>
        </w:rPr>
        <w:t>2010</w:t>
      </w:r>
      <w:r>
        <w:rPr>
          <w:rFonts w:hint="eastAsia" w:ascii="Times New Roman" w:hAnsi="Times New Roman" w:eastAsia="宋体" w:cs="Times New Roman"/>
          <w:szCs w:val="24"/>
        </w:rPr>
        <w:t>年第</w:t>
      </w:r>
      <w:r>
        <w:rPr>
          <w:rFonts w:ascii="Times New Roman" w:hAnsi="Times New Roman" w:eastAsia="宋体" w:cs="Times New Roman"/>
          <w:szCs w:val="24"/>
        </w:rPr>
        <w:t>Z1</w:t>
      </w:r>
      <w:r>
        <w:rPr>
          <w:rFonts w:hint="eastAsia" w:ascii="Times New Roman" w:hAnsi="Times New Roman" w:eastAsia="宋体" w:cs="Times New Roman"/>
          <w:szCs w:val="24"/>
        </w:rPr>
        <w:t>期）</w:t>
      </w:r>
      <w:r>
        <w:rPr>
          <w:rFonts w:ascii="Times New Roman" w:hAnsi="Times New Roman" w:eastAsia="宋体" w:cs="Times New Roman"/>
          <w:szCs w:val="24"/>
        </w:rPr>
        <w:br w:type="page"/>
      </w:r>
    </w:p>
    <w:p w14:paraId="31496003">
      <w:pPr>
        <w:spacing w:line="400" w:lineRule="exact"/>
        <w:ind w:firstLine="440" w:firstLineChars="200"/>
        <w:rPr>
          <w:rFonts w:ascii="宋体" w:hAnsi="宋体" w:eastAsia="宋体" w:cs="Times New Roman"/>
          <w:color w:val="000000"/>
          <w:kern w:val="0"/>
          <w:szCs w:val="21"/>
          <w:lang w:bidi="en-US"/>
        </w:rPr>
      </w:pPr>
    </w:p>
    <w:p w14:paraId="394146A8">
      <w:pPr>
        <w:keepNext/>
        <w:keepLines/>
        <w:widowControl/>
        <w:spacing w:line="480" w:lineRule="auto"/>
        <w:ind w:firstLine="198"/>
        <w:jc w:val="center"/>
        <w:outlineLvl w:val="1"/>
        <w:rPr>
          <w:rFonts w:ascii="黑体" w:hAnsi="黑体" w:eastAsia="黑体" w:cs="Times New Roman"/>
          <w:kern w:val="0"/>
          <w:sz w:val="32"/>
          <w:szCs w:val="32"/>
        </w:rPr>
      </w:pPr>
      <w:bookmarkStart w:id="1102" w:name="_Toc11397"/>
      <w:bookmarkStart w:id="1103" w:name="_Toc1878867799"/>
      <w:bookmarkStart w:id="1104" w:name="_Toc826534558"/>
      <w:r>
        <w:rPr>
          <w:rFonts w:hint="eastAsia" w:ascii="黑体" w:hAnsi="黑体" w:eastAsia="黑体" w:cs="Times New Roman"/>
          <w:kern w:val="0"/>
          <w:sz w:val="32"/>
          <w:szCs w:val="32"/>
        </w:rPr>
        <w:t>4</w:t>
      </w:r>
      <w:r>
        <w:rPr>
          <w:rFonts w:ascii="黑体" w:hAnsi="黑体" w:eastAsia="黑体" w:cs="Times New Roman"/>
          <w:kern w:val="0"/>
          <w:sz w:val="32"/>
          <w:szCs w:val="32"/>
        </w:rPr>
        <w:t>新人口策论：先控后减</w:t>
      </w:r>
      <w:bookmarkEnd w:id="1102"/>
      <w:bookmarkEnd w:id="1103"/>
      <w:bookmarkEnd w:id="1104"/>
    </w:p>
    <w:p w14:paraId="18EE04FF">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中国</w:t>
      </w:r>
      <w:r>
        <w:rPr>
          <w:rFonts w:ascii="宋体" w:hAnsi="宋体" w:eastAsia="宋体" w:cs="Times New Roman"/>
          <w:color w:val="000000"/>
          <w:kern w:val="0"/>
          <w:szCs w:val="21"/>
          <w:lang w:val="zh-TW" w:eastAsia="zh-TW" w:bidi="zh-TW"/>
        </w:rPr>
        <w:t>30</w:t>
      </w:r>
      <w:r>
        <w:rPr>
          <w:rFonts w:ascii="宋体" w:hAnsi="宋体" w:eastAsia="宋体" w:cs="宋体"/>
          <w:color w:val="000000"/>
          <w:kern w:val="0"/>
          <w:szCs w:val="21"/>
          <w:lang w:val="zh-TW" w:eastAsia="zh-TW" w:bidi="zh-TW"/>
        </w:rPr>
        <w:t>年来实行的严格计划生育政策近年受 到质疑，有人认为未来</w:t>
      </w:r>
      <w:r>
        <w:rPr>
          <w:rFonts w:ascii="宋体" w:hAnsi="宋体" w:eastAsia="宋体" w:cs="Times New Roman"/>
          <w:color w:val="000000"/>
          <w:kern w:val="0"/>
          <w:szCs w:val="21"/>
          <w:lang w:val="zh-TW" w:eastAsia="zh-TW" w:bidi="zh-TW"/>
        </w:rPr>
        <w:t>30</w:t>
      </w:r>
      <w:r>
        <w:rPr>
          <w:rFonts w:ascii="宋体" w:hAnsi="宋体" w:eastAsia="宋体" w:cs="宋体"/>
          <w:color w:val="000000"/>
          <w:kern w:val="0"/>
          <w:szCs w:val="21"/>
          <w:lang w:val="zh-TW" w:eastAsia="zh-TW" w:bidi="zh-TW"/>
        </w:rPr>
        <w:t>年中国的人口老龄化会导 致人口危机。在这种情况下是继续严格实行一胎 政策，还是逐步放开二胎政策，成为近期社会各 界关注的话题。</w:t>
      </w:r>
    </w:p>
    <w:p w14:paraId="37398C50">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从马克思主义人口理论出发，社会生产一方 面是物质（含生态环境）和精神的生产，另一方 面是人类自身的生产。两种生产互为前提，相互 依存，共同对社会发展起着推动和制约作用。尽 管现代社会的人口变动不是社会发展的最主要力 量，但人口变动仍然对社会发展有重大影响。</w:t>
      </w:r>
    </w:p>
    <w:p w14:paraId="05E2B4D5">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CN" w:bidi="zh-CN"/>
        </w:rPr>
        <w:t>“两种</w:t>
      </w:r>
      <w:r>
        <w:rPr>
          <w:rFonts w:ascii="宋体" w:hAnsi="宋体" w:eastAsia="宋体" w:cs="宋体"/>
          <w:color w:val="000000"/>
          <w:kern w:val="0"/>
          <w:szCs w:val="21"/>
          <w:lang w:val="zh-TW" w:eastAsia="zh-TW" w:bidi="zh-TW"/>
        </w:rPr>
        <w:t>生产”的理论是唯物史观和政治经济学的 重要组成部分，揭示了两种生产的对立和统一是 人类社会存在和发展的基础。</w:t>
      </w:r>
    </w:p>
    <w:p w14:paraId="24BE03C0">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首先，人口现象和人口问题是由自然状况和社 会发展方式决定的社会现象与社会问题。一定空 间内的社会条件和自然条件，尤其是生产力发 展、生活水平以及相关社会制度和政策，客观上 制约着人口规模和人口再生产类型的转换。</w:t>
      </w:r>
    </w:p>
    <w:p w14:paraId="38AE030E">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其次，与资本主义社会相比较，社会主义社 会的人口数量和质量应当有计划地发展和调节， 使人口和劳动力的发展同整个经济社会发展状况 及生活水平提高相适应。</w:t>
      </w:r>
    </w:p>
    <w:p w14:paraId="0BB91965">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因此，马克思主义人口理论与我国计划生育 政策密切相关。那种认为主张计划生育就是背离 马克思主义的马尔萨斯观点，是不正确的。</w:t>
      </w:r>
    </w:p>
    <w:p w14:paraId="3BFF84B9">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新中国前</w:t>
      </w:r>
      <w:r>
        <w:rPr>
          <w:rFonts w:ascii="宋体" w:hAnsi="宋体" w:eastAsia="宋体" w:cs="Times New Roman"/>
          <w:color w:val="000000"/>
          <w:kern w:val="0"/>
          <w:szCs w:val="21"/>
          <w:lang w:val="zh-TW" w:eastAsia="zh-TW" w:bidi="zh-TW"/>
        </w:rPr>
        <w:t>30</w:t>
      </w:r>
      <w:r>
        <w:rPr>
          <w:rFonts w:ascii="宋体" w:hAnsi="宋体" w:eastAsia="宋体" w:cs="宋体"/>
          <w:color w:val="000000"/>
          <w:kern w:val="0"/>
          <w:szCs w:val="21"/>
          <w:lang w:val="zh-TW" w:eastAsia="zh-TW" w:bidi="zh-TW"/>
        </w:rPr>
        <w:t>年，现实可利用的生产资料同人 口和劳动力的数量比例失调，是导致相对贫穷落 后的原因之一。改革以来的</w:t>
      </w:r>
      <w:r>
        <w:rPr>
          <w:rFonts w:ascii="宋体" w:hAnsi="宋体" w:eastAsia="宋体" w:cs="Times New Roman"/>
          <w:color w:val="000000"/>
          <w:kern w:val="0"/>
          <w:szCs w:val="21"/>
          <w:lang w:val="zh-TW" w:eastAsia="zh-TW" w:bidi="zh-TW"/>
        </w:rPr>
        <w:t>30</w:t>
      </w:r>
      <w:r>
        <w:rPr>
          <w:rFonts w:ascii="宋体" w:hAnsi="宋体" w:eastAsia="宋体" w:cs="宋体"/>
          <w:color w:val="000000"/>
          <w:kern w:val="0"/>
          <w:szCs w:val="21"/>
          <w:lang w:val="zh-TW" w:eastAsia="zh-TW" w:bidi="zh-TW"/>
        </w:rPr>
        <w:t>年，为了减缓人口 规模的过快膨胀所开展的全民计划生育工作，使 人口再生产类型在社会生产力尚不发达的情况 下，实现了历史性转变，总和生育率从</w:t>
      </w:r>
      <w:r>
        <w:rPr>
          <w:rFonts w:ascii="宋体" w:hAnsi="宋体" w:eastAsia="宋体" w:cs="Times New Roman"/>
          <w:color w:val="000000"/>
          <w:kern w:val="0"/>
          <w:szCs w:val="21"/>
          <w:lang w:val="zh-TW" w:eastAsia="zh-TW" w:bidi="zh-TW"/>
        </w:rPr>
        <w:t>1970</w:t>
      </w:r>
      <w:r>
        <w:rPr>
          <w:rFonts w:ascii="宋体" w:hAnsi="宋体" w:eastAsia="宋体" w:cs="宋体"/>
          <w:color w:val="000000"/>
          <w:kern w:val="0"/>
          <w:szCs w:val="21"/>
          <w:lang w:val="zh-TW" w:eastAsia="zh-TW" w:bidi="zh-TW"/>
        </w:rPr>
        <w:t xml:space="preserve">年的 </w:t>
      </w:r>
      <w:r>
        <w:rPr>
          <w:rFonts w:ascii="宋体" w:hAnsi="宋体" w:eastAsia="宋体" w:cs="Times New Roman"/>
          <w:color w:val="000000"/>
          <w:kern w:val="0"/>
          <w:szCs w:val="21"/>
          <w:lang w:bidi="en-US"/>
        </w:rPr>
        <w:t>5.8</w:t>
      </w:r>
      <w:r>
        <w:rPr>
          <w:rFonts w:ascii="宋体" w:hAnsi="宋体" w:eastAsia="宋体" w:cs="宋体"/>
          <w:color w:val="000000"/>
          <w:kern w:val="0"/>
          <w:szCs w:val="21"/>
          <w:lang w:val="zh-TW" w:eastAsia="zh-TW" w:bidi="zh-TW"/>
        </w:rPr>
        <w:t>降至现在的</w:t>
      </w:r>
      <w:r>
        <w:rPr>
          <w:rFonts w:ascii="宋体" w:hAnsi="宋体" w:eastAsia="宋体" w:cs="Times New Roman"/>
          <w:color w:val="000000"/>
          <w:kern w:val="0"/>
          <w:szCs w:val="21"/>
          <w:lang w:bidi="en-US"/>
        </w:rPr>
        <w:t>1.8,</w:t>
      </w:r>
      <w:r>
        <w:rPr>
          <w:rFonts w:ascii="宋体" w:hAnsi="宋体" w:eastAsia="宋体" w:cs="宋体"/>
          <w:color w:val="000000"/>
          <w:kern w:val="0"/>
          <w:szCs w:val="21"/>
          <w:lang w:val="zh-TW" w:eastAsia="zh-TW" w:bidi="zh-TW"/>
        </w:rPr>
        <w:t>资源和环境压力得到有效缓 解，生活水平有了显著提高。人口再生产类型的 成功转型，为中华民族的复兴繁荣、生活水平较 快提高和现代化建设，以及全球人口控制作出了 突出贡献。</w:t>
      </w:r>
    </w:p>
    <w:p w14:paraId="594EAC74">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然而，中国的人口总量正在逼近或已超过国 内主要资源所能承载的极限。</w:t>
      </w:r>
      <w:r>
        <w:rPr>
          <w:rFonts w:ascii="宋体" w:hAnsi="宋体" w:eastAsia="宋体" w:cs="Times New Roman"/>
          <w:color w:val="000000"/>
          <w:kern w:val="0"/>
          <w:szCs w:val="21"/>
          <w:lang w:val="zh-TW" w:eastAsia="zh-TW" w:bidi="zh-TW"/>
        </w:rPr>
        <w:t>2008</w:t>
      </w:r>
      <w:r>
        <w:rPr>
          <w:rFonts w:ascii="宋体" w:hAnsi="宋体" w:eastAsia="宋体" w:cs="宋体"/>
          <w:color w:val="000000"/>
          <w:kern w:val="0"/>
          <w:szCs w:val="21"/>
          <w:lang w:val="zh-TW" w:eastAsia="zh-TW" w:bidi="zh-TW"/>
        </w:rPr>
        <w:t>年底中国人口 为</w:t>
      </w:r>
      <w:r>
        <w:rPr>
          <w:rFonts w:ascii="宋体" w:hAnsi="宋体" w:eastAsia="宋体" w:cs="Times New Roman"/>
          <w:color w:val="000000"/>
          <w:kern w:val="0"/>
          <w:szCs w:val="21"/>
          <w:lang w:bidi="en-US"/>
        </w:rPr>
        <w:t>13.28</w:t>
      </w:r>
      <w:r>
        <w:rPr>
          <w:rFonts w:ascii="宋体" w:hAnsi="宋体" w:eastAsia="宋体" w:cs="宋体"/>
          <w:color w:val="000000"/>
          <w:kern w:val="0"/>
          <w:szCs w:val="21"/>
          <w:lang w:val="zh-TW" w:eastAsia="zh-TW" w:bidi="zh-TW"/>
        </w:rPr>
        <w:t xml:space="preserve">亿，在今后较长时期内每年还将新增人口 </w:t>
      </w:r>
      <w:r>
        <w:rPr>
          <w:rFonts w:ascii="宋体" w:hAnsi="宋体" w:eastAsia="宋体" w:cs="Times New Roman"/>
          <w:color w:val="000000"/>
          <w:kern w:val="0"/>
          <w:szCs w:val="21"/>
          <w:lang w:val="zh-TW" w:eastAsia="zh-TW" w:bidi="zh-TW"/>
        </w:rPr>
        <w:t>700</w:t>
      </w:r>
      <w:r>
        <w:rPr>
          <w:rFonts w:ascii="宋体" w:hAnsi="宋体" w:eastAsia="宋体" w:cs="宋体"/>
          <w:color w:val="000000"/>
          <w:kern w:val="0"/>
          <w:szCs w:val="21"/>
          <w:lang w:val="zh-TW" w:eastAsia="zh-TW" w:bidi="zh-TW"/>
        </w:rPr>
        <w:t>万左右，人口总规模在较低生育率基础上继续 大量扩张，而且国内主要资源短缺严重，正向现 有可高效利用资源的人口极限规模推进。同时， 人口总量正在逼近国内生态安全所能承载的极 限。我国多数江</w:t>
      </w:r>
      <w:r>
        <w:rPr>
          <w:rFonts w:ascii="宋体" w:hAnsi="宋体" w:eastAsia="宋体" w:cs="宋体"/>
          <w:color w:val="000000"/>
          <w:kern w:val="0"/>
          <w:szCs w:val="21"/>
          <w:lang w:val="zh-CN" w:bidi="zh-CN"/>
        </w:rPr>
        <w:t>河湖泊</w:t>
      </w:r>
      <w:r>
        <w:rPr>
          <w:rFonts w:ascii="宋体" w:hAnsi="宋体" w:eastAsia="宋体" w:cs="宋体"/>
          <w:color w:val="000000"/>
          <w:kern w:val="0"/>
          <w:szCs w:val="21"/>
          <w:lang w:val="zh-TW" w:eastAsia="zh-TW" w:bidi="zh-TW"/>
        </w:rPr>
        <w:t>和近海严重污染，河流和 湖泊干涸，草原退化，湿地减少，荒漠扩大，多种野 生动物濒临灭绝，有害物质排放总量增加等等，这 些问题均直接或间接与人多相关。</w:t>
      </w:r>
    </w:p>
    <w:p w14:paraId="1A09E413">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严峻形势要求我们必须以马克思主义人口理 论精神来审视我国目前人口形势，理性缜密地考</w:t>
      </w:r>
    </w:p>
    <w:p w14:paraId="418E9355">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量我国人口发展战略和政策选择，我们倡导</w:t>
      </w:r>
      <w:r>
        <w:rPr>
          <w:rFonts w:ascii="宋体" w:hAnsi="宋体" w:eastAsia="宋体" w:cs="宋体"/>
          <w:color w:val="000000"/>
          <w:kern w:val="0"/>
          <w:szCs w:val="21"/>
          <w:lang w:val="zh-CN" w:bidi="zh-CN"/>
        </w:rPr>
        <w:t>“先</w:t>
      </w:r>
      <w:r>
        <w:rPr>
          <w:rFonts w:ascii="宋体" w:hAnsi="宋体" w:eastAsia="宋体" w:cs="宋体"/>
          <w:color w:val="000000"/>
          <w:kern w:val="0"/>
          <w:szCs w:val="21"/>
          <w:lang w:val="zh-TW" w:eastAsia="zh-TW" w:bidi="zh-TW"/>
        </w:rPr>
        <w:t>控后 减的新人口策论”，要点如下：</w:t>
      </w:r>
    </w:p>
    <w:p w14:paraId="4C7F454D">
      <w:pPr>
        <w:tabs>
          <w:tab w:val="left" w:pos="983"/>
        </w:tabs>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w:t>
      </w:r>
      <w:r>
        <w:rPr>
          <w:rFonts w:ascii="宋体" w:hAnsi="宋体" w:eastAsia="宋体" w:cs="Times New Roman"/>
          <w:color w:val="000000"/>
          <w:kern w:val="0"/>
          <w:szCs w:val="21"/>
          <w:lang w:val="zh-TW" w:eastAsia="zh-TW" w:bidi="zh-TW"/>
        </w:rPr>
        <w:t>1</w:t>
      </w:r>
      <w:r>
        <w:rPr>
          <w:rFonts w:ascii="宋体" w:hAnsi="宋体" w:eastAsia="宋体" w:cs="宋体"/>
          <w:color w:val="000000"/>
          <w:kern w:val="0"/>
          <w:szCs w:val="21"/>
          <w:lang w:val="zh-TW" w:eastAsia="zh-TW" w:bidi="zh-TW"/>
        </w:rPr>
        <w:t>）</w:t>
      </w:r>
      <w:r>
        <w:rPr>
          <w:rFonts w:ascii="宋体" w:hAnsi="宋体" w:eastAsia="宋体" w:cs="宋体"/>
          <w:color w:val="000000"/>
          <w:kern w:val="0"/>
          <w:szCs w:val="21"/>
          <w:lang w:val="zh-TW" w:eastAsia="zh-TW" w:bidi="zh-TW"/>
        </w:rPr>
        <w:tab/>
      </w:r>
      <w:r>
        <w:rPr>
          <w:rFonts w:ascii="宋体" w:hAnsi="宋体" w:eastAsia="宋体" w:cs="宋体"/>
          <w:color w:val="000000"/>
          <w:kern w:val="0"/>
          <w:szCs w:val="21"/>
          <w:lang w:val="zh-TW" w:eastAsia="zh-TW" w:bidi="zh-TW"/>
        </w:rPr>
        <w:t>树立全国一盘棋的统筹城乡人口方针，为 了使众多的农村剩余劳动力和农民工较快成为城市的 正式市民，不宜推行独生子女结婚可生二胎的政策。</w:t>
      </w:r>
    </w:p>
    <w:p w14:paraId="0902F128">
      <w:pPr>
        <w:tabs>
          <w:tab w:val="left" w:pos="997"/>
        </w:tabs>
        <w:spacing w:line="400" w:lineRule="exact"/>
        <w:ind w:firstLine="440" w:firstLineChars="200"/>
        <w:rPr>
          <w:rFonts w:ascii="宋体" w:hAnsi="宋体" w:eastAsia="宋体" w:cs="宋体"/>
          <w:kern w:val="0"/>
          <w:szCs w:val="21"/>
          <w:lang w:val="zh-TW" w:eastAsia="zh-TW" w:bidi="zh-TW"/>
        </w:rPr>
      </w:pPr>
      <w:r>
        <w:rPr>
          <w:rFonts w:ascii="宋体" w:hAnsi="宋体" w:eastAsia="宋体" w:cs="Times New Roman"/>
          <w:color w:val="000000"/>
          <w:kern w:val="0"/>
          <w:szCs w:val="21"/>
          <w:lang w:val="zh-TW" w:eastAsia="zh-TW" w:bidi="zh-TW"/>
        </w:rPr>
        <w:t>（2）</w:t>
      </w:r>
      <w:r>
        <w:rPr>
          <w:rFonts w:ascii="宋体" w:hAnsi="宋体" w:eastAsia="宋体" w:cs="Times New Roman"/>
          <w:color w:val="000000"/>
          <w:kern w:val="0"/>
          <w:szCs w:val="21"/>
          <w:lang w:val="zh-TW" w:eastAsia="zh-TW" w:bidi="zh-TW"/>
        </w:rPr>
        <w:tab/>
      </w:r>
      <w:r>
        <w:rPr>
          <w:rFonts w:ascii="宋体" w:hAnsi="宋体" w:eastAsia="宋体" w:cs="宋体"/>
          <w:color w:val="000000"/>
          <w:kern w:val="0"/>
          <w:szCs w:val="21"/>
          <w:lang w:val="zh-TW" w:eastAsia="zh-TW" w:bidi="zh-TW"/>
        </w:rPr>
        <w:t>国家一方面要把因实行严格计划生育所节 约的各种经费及时投入到老龄人口的生活和工作改善 等方面；另一方面要借鉴日本等发达国家经验，适当 提高退休年龄，消除让劳动人口（联合国统计分类中 的劳动年龄人口是指</w:t>
      </w:r>
      <w:r>
        <w:rPr>
          <w:rFonts w:ascii="宋体" w:hAnsi="宋体" w:eastAsia="宋体" w:cs="Times New Roman"/>
          <w:color w:val="000000"/>
          <w:kern w:val="0"/>
          <w:szCs w:val="21"/>
          <w:lang w:bidi="en-US"/>
        </w:rPr>
        <w:t>16-65</w:t>
      </w:r>
      <w:r>
        <w:rPr>
          <w:rFonts w:ascii="宋体" w:hAnsi="宋体" w:eastAsia="宋体" w:cs="宋体"/>
          <w:color w:val="000000"/>
          <w:kern w:val="0"/>
          <w:szCs w:val="21"/>
          <w:lang w:val="zh-TW" w:eastAsia="zh-TW" w:bidi="zh-TW"/>
        </w:rPr>
        <w:t>岁的人）提前退休而又实 际形成</w:t>
      </w:r>
      <w:r>
        <w:rPr>
          <w:rFonts w:ascii="宋体" w:hAnsi="宋体" w:eastAsia="宋体" w:cs="Times New Roman"/>
          <w:color w:val="000000"/>
          <w:kern w:val="0"/>
          <w:szCs w:val="21"/>
          <w:lang w:val="zh-TW" w:eastAsia="zh-TW" w:bidi="zh-TW"/>
        </w:rPr>
        <w:t>1/3</w:t>
      </w:r>
      <w:r>
        <w:rPr>
          <w:rFonts w:ascii="宋体" w:hAnsi="宋体" w:eastAsia="宋体" w:cs="宋体"/>
          <w:color w:val="000000"/>
          <w:kern w:val="0"/>
          <w:szCs w:val="21"/>
          <w:lang w:val="zh-TW" w:eastAsia="zh-TW" w:bidi="zh-TW"/>
        </w:rPr>
        <w:t>退休者再就业的不良局面，并相应提高老龄 人年龄的统计标准。</w:t>
      </w:r>
    </w:p>
    <w:p w14:paraId="524D29FB">
      <w:pPr>
        <w:tabs>
          <w:tab w:val="left" w:pos="992"/>
        </w:tabs>
        <w:spacing w:line="400" w:lineRule="exact"/>
        <w:ind w:firstLine="440" w:firstLineChars="200"/>
        <w:rPr>
          <w:rFonts w:ascii="宋体" w:hAnsi="宋体" w:eastAsia="宋体" w:cs="宋体"/>
          <w:kern w:val="0"/>
          <w:szCs w:val="21"/>
          <w:lang w:val="zh-TW" w:eastAsia="zh-TW" w:bidi="zh-TW"/>
        </w:rPr>
      </w:pPr>
      <w:r>
        <w:rPr>
          <w:rFonts w:ascii="宋体" w:hAnsi="宋体" w:eastAsia="宋体" w:cs="Times New Roman"/>
          <w:color w:val="000000"/>
          <w:kern w:val="0"/>
          <w:szCs w:val="21"/>
          <w:lang w:val="zh-TW" w:eastAsia="zh-TW" w:bidi="zh-TW"/>
        </w:rPr>
        <w:t>（3）</w:t>
      </w:r>
      <w:r>
        <w:rPr>
          <w:rFonts w:ascii="宋体" w:hAnsi="宋体" w:eastAsia="宋体" w:cs="Times New Roman"/>
          <w:color w:val="000000"/>
          <w:kern w:val="0"/>
          <w:szCs w:val="21"/>
          <w:lang w:val="zh-TW" w:eastAsia="zh-TW" w:bidi="zh-TW"/>
        </w:rPr>
        <w:tab/>
      </w:r>
      <w:r>
        <w:rPr>
          <w:rFonts w:ascii="宋体" w:hAnsi="宋体" w:eastAsia="宋体" w:cs="宋体"/>
          <w:color w:val="000000"/>
          <w:kern w:val="0"/>
          <w:szCs w:val="21"/>
          <w:lang w:val="zh-TW" w:eastAsia="zh-TW" w:bidi="zh-TW"/>
        </w:rPr>
        <w:t>国家应对包括兵役逝世或伤残在内的非正 常死亡以及失去劳动能力的家庭或个人，给予高额的 补贴或保障，以激励从事高风险工作的人们，为其解 决家庭生活的后顾之忧。</w:t>
      </w:r>
    </w:p>
    <w:p w14:paraId="7EB7ED96">
      <w:pPr>
        <w:tabs>
          <w:tab w:val="left" w:pos="992"/>
        </w:tabs>
        <w:spacing w:line="400" w:lineRule="exact"/>
        <w:ind w:firstLine="440" w:firstLineChars="200"/>
        <w:rPr>
          <w:rFonts w:ascii="宋体" w:hAnsi="宋体" w:eastAsia="宋体" w:cs="宋体"/>
          <w:kern w:val="0"/>
          <w:szCs w:val="21"/>
          <w:lang w:val="zh-TW" w:eastAsia="zh-TW" w:bidi="zh-TW"/>
        </w:rPr>
      </w:pPr>
      <w:r>
        <w:rPr>
          <w:rFonts w:ascii="宋体" w:hAnsi="宋体" w:eastAsia="宋体" w:cs="Times New Roman"/>
          <w:color w:val="000000"/>
          <w:kern w:val="0"/>
          <w:szCs w:val="21"/>
          <w:lang w:val="zh-TW" w:eastAsia="zh-TW" w:bidi="zh-TW"/>
        </w:rPr>
        <w:t>（4）</w:t>
      </w:r>
      <w:r>
        <w:rPr>
          <w:rFonts w:ascii="宋体" w:hAnsi="宋体" w:eastAsia="宋体" w:cs="Times New Roman"/>
          <w:color w:val="000000"/>
          <w:kern w:val="0"/>
          <w:szCs w:val="21"/>
          <w:lang w:val="zh-TW" w:eastAsia="zh-TW" w:bidi="zh-TW"/>
        </w:rPr>
        <w:tab/>
      </w:r>
      <w:r>
        <w:rPr>
          <w:rFonts w:ascii="宋体" w:hAnsi="宋体" w:eastAsia="宋体" w:cs="宋体"/>
          <w:color w:val="000000"/>
          <w:kern w:val="0"/>
          <w:szCs w:val="21"/>
          <w:lang w:val="zh-TW" w:eastAsia="zh-TW" w:bidi="zh-TW"/>
        </w:rPr>
        <w:t>发达国家越来越多的人们持少生育或不生 育的现代生育文化观，需要依靠国家不断加大奖励生 育的措施来靡持人口的再生产。而我国在人们尚未自 觉改变传统生育观和人口缩小到适度规模（</w:t>
      </w:r>
      <w:r>
        <w:rPr>
          <w:rFonts w:ascii="宋体" w:hAnsi="宋体" w:eastAsia="宋体" w:cs="Times New Roman"/>
          <w:color w:val="000000"/>
          <w:kern w:val="0"/>
          <w:szCs w:val="21"/>
          <w:lang w:val="zh-TW" w:eastAsia="zh-TW" w:bidi="zh-TW"/>
        </w:rPr>
        <w:t>5</w:t>
      </w:r>
      <w:r>
        <w:rPr>
          <w:rFonts w:ascii="宋体" w:hAnsi="宋体" w:eastAsia="宋体" w:cs="宋体"/>
          <w:color w:val="000000"/>
          <w:kern w:val="0"/>
          <w:szCs w:val="21"/>
          <w:lang w:val="zh-TW" w:eastAsia="zh-TW" w:bidi="zh-TW"/>
        </w:rPr>
        <w:t>亿人左 右）以前，则应坚持不懈地推行</w:t>
      </w:r>
      <w:r>
        <w:rPr>
          <w:rFonts w:ascii="宋体" w:hAnsi="宋体" w:eastAsia="宋体" w:cs="宋体"/>
          <w:color w:val="000000"/>
          <w:kern w:val="0"/>
          <w:szCs w:val="21"/>
          <w:lang w:val="zh-CN" w:bidi="zh-CN"/>
        </w:rPr>
        <w:t>“城乡</w:t>
      </w:r>
      <w:r>
        <w:rPr>
          <w:rFonts w:ascii="宋体" w:hAnsi="宋体" w:eastAsia="宋体" w:cs="宋体"/>
          <w:color w:val="000000"/>
          <w:kern w:val="0"/>
          <w:szCs w:val="21"/>
          <w:lang w:val="zh-TW" w:eastAsia="zh-TW" w:bidi="zh-TW"/>
        </w:rPr>
        <w:t>一胎、特殊二 胎、严禁三胎、奖励无胎”的</w:t>
      </w:r>
      <w:r>
        <w:rPr>
          <w:rFonts w:ascii="宋体" w:hAnsi="宋体" w:eastAsia="宋体" w:cs="宋体"/>
          <w:color w:val="000000"/>
          <w:kern w:val="0"/>
          <w:szCs w:val="21"/>
          <w:lang w:val="zh-CN" w:bidi="zh-CN"/>
        </w:rPr>
        <w:t>“一</w:t>
      </w:r>
      <w:r>
        <w:rPr>
          <w:rFonts w:ascii="宋体" w:hAnsi="宋体" w:eastAsia="宋体" w:cs="宋体"/>
          <w:color w:val="000000"/>
          <w:kern w:val="0"/>
          <w:szCs w:val="21"/>
          <w:lang w:val="zh-TW" w:eastAsia="zh-TW" w:bidi="zh-TW"/>
        </w:rPr>
        <w:t>胎化”新政。</w:t>
      </w:r>
    </w:p>
    <w:p w14:paraId="07A64416">
      <w:pPr>
        <w:tabs>
          <w:tab w:val="left" w:pos="983"/>
        </w:tabs>
        <w:spacing w:line="400" w:lineRule="exact"/>
        <w:ind w:firstLine="440" w:firstLineChars="200"/>
        <w:rPr>
          <w:rFonts w:ascii="宋体" w:hAnsi="宋体" w:eastAsia="宋体" w:cs="宋体"/>
          <w:kern w:val="0"/>
          <w:szCs w:val="21"/>
          <w:lang w:val="zh-TW" w:eastAsia="zh-TW" w:bidi="zh-TW"/>
        </w:rPr>
      </w:pPr>
      <w:r>
        <w:rPr>
          <w:rFonts w:ascii="宋体" w:hAnsi="宋体" w:eastAsia="宋体" w:cs="Times New Roman"/>
          <w:color w:val="000000"/>
          <w:kern w:val="0"/>
          <w:szCs w:val="21"/>
          <w:lang w:val="zh-TW" w:eastAsia="zh-TW" w:bidi="zh-TW"/>
        </w:rPr>
        <w:t>（5）</w:t>
      </w:r>
      <w:r>
        <w:rPr>
          <w:rFonts w:ascii="宋体" w:hAnsi="宋体" w:eastAsia="宋体" w:cs="Times New Roman"/>
          <w:color w:val="000000"/>
          <w:kern w:val="0"/>
          <w:szCs w:val="21"/>
          <w:lang w:val="zh-TW" w:eastAsia="zh-TW" w:bidi="zh-TW"/>
        </w:rPr>
        <w:tab/>
      </w:r>
      <w:r>
        <w:rPr>
          <w:rFonts w:ascii="宋体" w:hAnsi="宋体" w:eastAsia="宋体" w:cs="宋体"/>
          <w:color w:val="000000"/>
          <w:kern w:val="0"/>
          <w:szCs w:val="21"/>
          <w:lang w:val="zh-TW" w:eastAsia="zh-TW" w:bidi="zh-TW"/>
        </w:rPr>
        <w:t>在尚未改变传统偏好男孩的习俗以前，宜 实行一种有差别的变罚为奖的社会保障配套措施，</w:t>
      </w:r>
    </w:p>
    <w:p w14:paraId="16ACEE4B">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CN" w:bidi="zh-CN"/>
        </w:rPr>
        <w:t>“无胎</w:t>
      </w:r>
      <w:r>
        <w:rPr>
          <w:rFonts w:ascii="宋体" w:hAnsi="宋体" w:eastAsia="宋体" w:cs="宋体"/>
          <w:color w:val="000000"/>
          <w:kern w:val="0"/>
          <w:szCs w:val="21"/>
          <w:lang w:val="zh-TW" w:eastAsia="zh-TW" w:bidi="zh-TW"/>
        </w:rPr>
        <w:t>高保、女胎中保、男胎基保（低保）、超胎不 保”</w:t>
      </w:r>
      <w:r>
        <w:rPr>
          <w:rFonts w:ascii="宋体" w:hAnsi="宋体" w:eastAsia="宋体" w:cs="宋体"/>
          <w:color w:val="A29A90"/>
          <w:kern w:val="0"/>
          <w:szCs w:val="21"/>
          <w:lang w:val="zh-TW" w:eastAsia="zh-TW" w:bidi="zh-TW"/>
        </w:rPr>
        <w:t>。</w:t>
      </w:r>
      <w:r>
        <w:rPr>
          <w:rFonts w:ascii="宋体" w:hAnsi="宋体" w:eastAsia="宋体" w:cs="宋体"/>
          <w:color w:val="000000"/>
          <w:kern w:val="0"/>
          <w:szCs w:val="21"/>
          <w:lang w:val="zh-TW" w:eastAsia="zh-TW" w:bidi="zh-TW"/>
        </w:rPr>
        <w:t>尽快变处罚为多种奖励，促进生育和谐和计划 生育工作和谐。</w:t>
      </w:r>
    </w:p>
    <w:p w14:paraId="0DBD181A">
      <w:pPr>
        <w:tabs>
          <w:tab w:val="left" w:pos="992"/>
        </w:tabs>
        <w:spacing w:line="400" w:lineRule="exact"/>
        <w:ind w:firstLine="440" w:firstLineChars="200"/>
        <w:rPr>
          <w:rFonts w:ascii="宋体" w:hAnsi="宋体" w:eastAsia="宋体" w:cs="宋体"/>
          <w:kern w:val="0"/>
          <w:szCs w:val="21"/>
          <w:lang w:val="zh-TW" w:eastAsia="zh-TW" w:bidi="zh-TW"/>
        </w:rPr>
      </w:pPr>
      <w:r>
        <w:rPr>
          <w:rFonts w:ascii="宋体" w:hAnsi="宋体" w:eastAsia="宋体" w:cs="Times New Roman"/>
          <w:color w:val="000000"/>
          <w:kern w:val="0"/>
          <w:szCs w:val="21"/>
          <w:lang w:val="zh-TW" w:eastAsia="zh-TW" w:bidi="zh-TW"/>
        </w:rPr>
        <w:t>（6）</w:t>
      </w:r>
      <w:r>
        <w:rPr>
          <w:rFonts w:ascii="宋体" w:hAnsi="宋体" w:eastAsia="宋体" w:cs="Times New Roman"/>
          <w:color w:val="000000"/>
          <w:kern w:val="0"/>
          <w:szCs w:val="21"/>
          <w:lang w:val="zh-TW" w:eastAsia="zh-TW" w:bidi="zh-TW"/>
        </w:rPr>
        <w:tab/>
      </w:r>
      <w:r>
        <w:rPr>
          <w:rFonts w:ascii="宋体" w:hAnsi="宋体" w:eastAsia="宋体" w:cs="宋体"/>
          <w:color w:val="000000"/>
          <w:kern w:val="0"/>
          <w:szCs w:val="21"/>
          <w:lang w:val="zh-TW" w:eastAsia="zh-TW" w:bidi="zh-TW"/>
        </w:rPr>
        <w:t>建立人口控减提质型社会。与</w:t>
      </w:r>
      <w:r>
        <w:rPr>
          <w:rFonts w:ascii="宋体" w:hAnsi="宋体" w:eastAsia="宋体" w:cs="宋体"/>
          <w:color w:val="000000"/>
          <w:kern w:val="0"/>
          <w:szCs w:val="21"/>
          <w:lang w:val="zh-CN" w:bidi="zh-CN"/>
        </w:rPr>
        <w:t>“（经</w:t>
      </w:r>
      <w:r>
        <w:rPr>
          <w:rFonts w:ascii="宋体" w:hAnsi="宋体" w:eastAsia="宋体" w:cs="宋体"/>
          <w:color w:val="000000"/>
          <w:kern w:val="0"/>
          <w:szCs w:val="21"/>
          <w:lang w:val="zh-TW" w:eastAsia="zh-TW" w:bidi="zh-TW"/>
        </w:rPr>
        <w:t>济） 资源节约增效型社会”、</w:t>
      </w:r>
      <w:r>
        <w:rPr>
          <w:rFonts w:ascii="宋体" w:hAnsi="宋体" w:eastAsia="宋体" w:cs="宋体"/>
          <w:color w:val="000000"/>
          <w:kern w:val="0"/>
          <w:szCs w:val="21"/>
          <w:lang w:val="zh-CN" w:bidi="zh-CN"/>
        </w:rPr>
        <w:t>“（生</w:t>
      </w:r>
      <w:r>
        <w:rPr>
          <w:rFonts w:ascii="宋体" w:hAnsi="宋体" w:eastAsia="宋体" w:cs="宋体"/>
          <w:color w:val="000000"/>
          <w:kern w:val="0"/>
          <w:szCs w:val="21"/>
          <w:lang w:val="zh-TW" w:eastAsia="zh-TW" w:bidi="zh-TW"/>
        </w:rPr>
        <w:t>态）环境保护改善型 社会”相匹配的应是</w:t>
      </w:r>
      <w:r>
        <w:rPr>
          <w:rFonts w:ascii="宋体" w:hAnsi="宋体" w:eastAsia="宋体" w:cs="宋体"/>
          <w:color w:val="000000"/>
          <w:kern w:val="0"/>
          <w:szCs w:val="21"/>
          <w:lang w:val="zh-CN" w:bidi="zh-CN"/>
        </w:rPr>
        <w:t>“人</w:t>
      </w:r>
      <w:r>
        <w:rPr>
          <w:rFonts w:ascii="宋体" w:hAnsi="宋体" w:eastAsia="宋体" w:cs="宋体"/>
          <w:color w:val="000000"/>
          <w:kern w:val="0"/>
          <w:szCs w:val="21"/>
          <w:lang w:val="zh-TW" w:eastAsia="zh-TW" w:bidi="zh-TW"/>
        </w:rPr>
        <w:t>口控减提质型社会”</w:t>
      </w:r>
      <w:r>
        <w:rPr>
          <w:rFonts w:ascii="宋体" w:hAnsi="宋体" w:eastAsia="宋体" w:cs="宋体"/>
          <w:color w:val="A29A90"/>
          <w:kern w:val="0"/>
          <w:szCs w:val="21"/>
          <w:lang w:val="zh-TW" w:eastAsia="zh-TW" w:bidi="zh-TW"/>
        </w:rPr>
        <w:t>。</w:t>
      </w:r>
      <w:r>
        <w:rPr>
          <w:rFonts w:ascii="宋体" w:hAnsi="宋体" w:eastAsia="宋体" w:cs="宋体"/>
          <w:color w:val="000000"/>
          <w:kern w:val="0"/>
          <w:szCs w:val="21"/>
          <w:lang w:val="zh-TW" w:eastAsia="zh-TW" w:bidi="zh-TW"/>
        </w:rPr>
        <w:t>这</w:t>
      </w:r>
    </w:p>
    <w:p w14:paraId="24ABE7D1">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CN" w:bidi="zh-CN"/>
        </w:rPr>
        <w:t>“三型</w:t>
      </w:r>
      <w:r>
        <w:rPr>
          <w:rFonts w:ascii="宋体" w:hAnsi="宋体" w:eastAsia="宋体" w:cs="宋体"/>
          <w:color w:val="000000"/>
          <w:kern w:val="0"/>
          <w:szCs w:val="21"/>
          <w:lang w:val="zh-TW" w:eastAsia="zh-TW" w:bidi="zh-TW"/>
        </w:rPr>
        <w:t>社会”完整地体现了科学的可持续发展观，从 而为根本转变对内对外发展方式，缓减内外</w:t>
      </w:r>
      <w:r>
        <w:rPr>
          <w:rFonts w:ascii="宋体" w:hAnsi="宋体" w:eastAsia="宋体" w:cs="宋体"/>
          <w:color w:val="000000"/>
          <w:kern w:val="0"/>
          <w:szCs w:val="21"/>
          <w:lang w:val="zh-CN" w:bidi="zh-CN"/>
        </w:rPr>
        <w:t xml:space="preserve">“资源 </w:t>
      </w:r>
      <w:r>
        <w:rPr>
          <w:rFonts w:ascii="宋体" w:hAnsi="宋体" w:eastAsia="宋体" w:cs="宋体"/>
          <w:color w:val="000000"/>
          <w:kern w:val="0"/>
          <w:szCs w:val="21"/>
          <w:lang w:val="zh-TW" w:eastAsia="zh-TW" w:bidi="zh-TW"/>
        </w:rPr>
        <w:t>战” “环境战</w:t>
      </w:r>
      <w:r>
        <w:rPr>
          <w:rFonts w:ascii="宋体" w:hAnsi="宋体" w:eastAsia="宋体" w:cs="宋体"/>
          <w:color w:val="000000"/>
          <w:kern w:val="0"/>
          <w:szCs w:val="21"/>
          <w:lang w:bidi="en-US"/>
        </w:rPr>
        <w:t>"</w:t>
      </w:r>
      <w:r>
        <w:rPr>
          <w:rFonts w:ascii="宋体" w:hAnsi="宋体" w:eastAsia="宋体" w:cs="宋体"/>
          <w:color w:val="000000"/>
          <w:kern w:val="0"/>
          <w:szCs w:val="21"/>
          <w:lang w:val="zh-CN" w:bidi="zh-CN"/>
        </w:rPr>
        <w:t>"生</w:t>
      </w:r>
      <w:r>
        <w:rPr>
          <w:rFonts w:ascii="宋体" w:hAnsi="宋体" w:eastAsia="宋体" w:cs="宋体"/>
          <w:color w:val="000000"/>
          <w:kern w:val="0"/>
          <w:szCs w:val="21"/>
          <w:lang w:val="zh-TW" w:eastAsia="zh-TW" w:bidi="zh-TW"/>
        </w:rPr>
        <w:t>态战”</w:t>
      </w:r>
      <w:r>
        <w:rPr>
          <w:rFonts w:ascii="宋体" w:hAnsi="宋体" w:eastAsia="宋体" w:cs="宋体"/>
          <w:color w:val="000000"/>
          <w:kern w:val="0"/>
          <w:szCs w:val="21"/>
          <w:lang w:bidi="en-US"/>
        </w:rPr>
        <w:t>"</w:t>
      </w:r>
      <w:r>
        <w:rPr>
          <w:rFonts w:ascii="宋体" w:hAnsi="宋体" w:eastAsia="宋体" w:cs="宋体"/>
          <w:color w:val="000000"/>
          <w:kern w:val="0"/>
          <w:szCs w:val="21"/>
          <w:lang w:val="zh-TW" w:eastAsia="zh-TW" w:bidi="zh-TW"/>
        </w:rPr>
        <w:t>贸易战</w:t>
      </w:r>
      <w:r>
        <w:rPr>
          <w:rFonts w:ascii="宋体" w:hAnsi="宋体" w:eastAsia="宋体" w:cs="宋体"/>
          <w:color w:val="000000"/>
          <w:kern w:val="0"/>
          <w:szCs w:val="21"/>
          <w:lang w:bidi="en-US"/>
        </w:rPr>
        <w:t>"</w:t>
      </w:r>
      <w:r>
        <w:rPr>
          <w:rFonts w:ascii="宋体" w:hAnsi="宋体" w:eastAsia="宋体" w:cs="宋体"/>
          <w:color w:val="000000"/>
          <w:kern w:val="0"/>
          <w:szCs w:val="21"/>
          <w:lang w:val="zh-TW" w:eastAsia="zh-TW" w:bidi="zh-TW"/>
        </w:rPr>
        <w:t>和</w:t>
      </w:r>
      <w:r>
        <w:rPr>
          <w:rFonts w:ascii="宋体" w:hAnsi="宋体" w:eastAsia="宋体" w:cs="宋体"/>
          <w:color w:val="000000"/>
          <w:kern w:val="0"/>
          <w:szCs w:val="21"/>
          <w:lang w:bidi="en-US"/>
        </w:rPr>
        <w:t>"</w:t>
      </w:r>
      <w:r>
        <w:rPr>
          <w:rFonts w:ascii="宋体" w:hAnsi="宋体" w:eastAsia="宋体" w:cs="宋体"/>
          <w:color w:val="000000"/>
          <w:kern w:val="0"/>
          <w:szCs w:val="21"/>
          <w:lang w:val="zh-TW" w:eastAsia="zh-TW" w:bidi="zh-TW"/>
        </w:rPr>
        <w:t>移民战</w:t>
      </w:r>
      <w:r>
        <w:rPr>
          <w:rFonts w:ascii="宋体" w:hAnsi="宋体" w:eastAsia="宋体" w:cs="宋体"/>
          <w:color w:val="000000"/>
          <w:kern w:val="0"/>
          <w:szCs w:val="21"/>
          <w:lang w:bidi="en-US"/>
        </w:rPr>
        <w:t xml:space="preserve">" </w:t>
      </w:r>
      <w:r>
        <w:rPr>
          <w:rFonts w:ascii="宋体" w:hAnsi="宋体" w:eastAsia="宋体" w:cs="宋体"/>
          <w:color w:val="000000"/>
          <w:kern w:val="0"/>
          <w:szCs w:val="21"/>
          <w:lang w:val="zh-TW" w:eastAsia="zh-TW" w:bidi="zh-TW"/>
        </w:rPr>
        <w:t>等奠定础</w:t>
      </w:r>
    </w:p>
    <w:p w14:paraId="781C061D">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总之，衰有严格实行</w:t>
      </w:r>
      <w:r>
        <w:rPr>
          <w:rFonts w:ascii="宋体" w:hAnsi="宋体" w:eastAsia="宋体" w:cs="宋体"/>
          <w:color w:val="000000"/>
          <w:kern w:val="0"/>
          <w:szCs w:val="21"/>
          <w:lang w:val="zh-CN" w:bidi="zh-CN"/>
        </w:rPr>
        <w:t>“先控</w:t>
      </w:r>
      <w:r>
        <w:rPr>
          <w:rFonts w:ascii="宋体" w:hAnsi="宋体" w:eastAsia="宋体" w:cs="宋体"/>
          <w:color w:val="000000"/>
          <w:kern w:val="0"/>
          <w:szCs w:val="21"/>
          <w:lang w:val="zh-TW" w:eastAsia="zh-TW" w:bidi="zh-TW"/>
        </w:rPr>
        <w:t>后减”的人口调控政 策（总人口先控制在</w:t>
      </w:r>
      <w:r>
        <w:rPr>
          <w:rFonts w:ascii="宋体" w:hAnsi="宋体" w:eastAsia="宋体" w:cs="Times New Roman"/>
          <w:color w:val="000000"/>
          <w:kern w:val="0"/>
          <w:szCs w:val="21"/>
          <w:lang w:val="zh-TW" w:eastAsia="zh-TW" w:bidi="zh-TW"/>
        </w:rPr>
        <w:t>15</w:t>
      </w:r>
      <w:r>
        <w:rPr>
          <w:rFonts w:ascii="宋体" w:hAnsi="宋体" w:eastAsia="宋体" w:cs="宋体"/>
          <w:color w:val="000000"/>
          <w:kern w:val="0"/>
          <w:szCs w:val="21"/>
          <w:lang w:val="zh-TW" w:eastAsia="zh-TW" w:bidi="zh-TW"/>
        </w:rPr>
        <w:t>亿左右，后逐渐减至</w:t>
      </w:r>
      <w:r>
        <w:rPr>
          <w:rFonts w:ascii="宋体" w:hAnsi="宋体" w:eastAsia="宋体" w:cs="Times New Roman"/>
          <w:color w:val="000000"/>
          <w:kern w:val="0"/>
          <w:szCs w:val="21"/>
          <w:lang w:val="zh-TW" w:eastAsia="zh-TW" w:bidi="zh-TW"/>
        </w:rPr>
        <w:t>5</w:t>
      </w:r>
      <w:r>
        <w:rPr>
          <w:rFonts w:ascii="宋体" w:hAnsi="宋体" w:eastAsia="宋体" w:cs="宋体"/>
          <w:color w:val="000000"/>
          <w:kern w:val="0"/>
          <w:szCs w:val="21"/>
          <w:lang w:val="zh-TW" w:eastAsia="zh-TW" w:bidi="zh-TW"/>
        </w:rPr>
        <w:t>亿左 右），才能有效缓解我国社会主要经济矛盾和巨大就 业压力。不断膨胀的巨大人口规模所引起的社会需求 扩张已难以单靠发展生产和粗放式发展方式来满足，必 须倚靠人口规模的严格控制和缩减，才能使主要矛盾 和就业压力不因人口总量过快增长而加剧。只有严格 实行</w:t>
      </w:r>
      <w:r>
        <w:rPr>
          <w:rFonts w:ascii="宋体" w:hAnsi="宋体" w:eastAsia="宋体" w:cs="宋体"/>
          <w:color w:val="000000"/>
          <w:kern w:val="0"/>
          <w:szCs w:val="21"/>
          <w:lang w:val="zh-CN" w:bidi="zh-CN"/>
        </w:rPr>
        <w:t>“先控</w:t>
      </w:r>
      <w:r>
        <w:rPr>
          <w:rFonts w:ascii="宋体" w:hAnsi="宋体" w:eastAsia="宋体" w:cs="宋体"/>
          <w:color w:val="000000"/>
          <w:kern w:val="0"/>
          <w:szCs w:val="21"/>
          <w:lang w:val="zh-TW" w:eastAsia="zh-TW" w:bidi="zh-TW"/>
        </w:rPr>
        <w:t>后减”的人口调控政策，才能实现人口素 质的较快提升，更好地促进人口同资源和生态环境相 协调的可持续发展，从而尽快赶上欧美日韩等国的人 均国民生产总值、人均国力和人均生活水平，真正实 现高标准的共同富裕和科学发展目标，最终在社会主 义与资本主义的比较中获得完全的优势。</w:t>
      </w:r>
    </w:p>
    <w:p w14:paraId="7448C52D">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要实行</w:t>
      </w:r>
      <w:r>
        <w:rPr>
          <w:rFonts w:ascii="宋体" w:hAnsi="宋体" w:eastAsia="宋体" w:cs="宋体"/>
          <w:color w:val="000000"/>
          <w:kern w:val="0"/>
          <w:szCs w:val="21"/>
          <w:lang w:val="zh-CN" w:bidi="zh-CN"/>
        </w:rPr>
        <w:t>“先控</w:t>
      </w:r>
      <w:r>
        <w:rPr>
          <w:rFonts w:ascii="宋体" w:hAnsi="宋体" w:eastAsia="宋体" w:cs="宋体"/>
          <w:color w:val="000000"/>
          <w:kern w:val="0"/>
          <w:szCs w:val="21"/>
          <w:lang w:val="zh-TW" w:eastAsia="zh-TW" w:bidi="zh-TW"/>
        </w:rPr>
        <w:t>后减”的人口调控政策，并不是一 件很容易的事。必须像</w:t>
      </w:r>
      <w:r>
        <w:rPr>
          <w:rFonts w:ascii="宋体" w:hAnsi="宋体" w:eastAsia="宋体" w:cs="Times New Roman"/>
          <w:color w:val="000000"/>
          <w:kern w:val="0"/>
          <w:szCs w:val="21"/>
          <w:lang w:val="zh-TW" w:eastAsia="zh-TW" w:bidi="zh-TW"/>
        </w:rPr>
        <w:t>1980</w:t>
      </w:r>
      <w:r>
        <w:rPr>
          <w:rFonts w:ascii="宋体" w:hAnsi="宋体" w:eastAsia="宋体" w:cs="宋体"/>
          <w:color w:val="000000"/>
          <w:kern w:val="0"/>
          <w:szCs w:val="21"/>
          <w:lang w:val="zh-TW" w:eastAsia="zh-TW" w:bidi="zh-TW"/>
        </w:rPr>
        <w:t>年中央决定实行</w:t>
      </w:r>
      <w:r>
        <w:rPr>
          <w:rFonts w:ascii="宋体" w:hAnsi="宋体" w:eastAsia="宋体" w:cs="宋体"/>
          <w:color w:val="000000"/>
          <w:kern w:val="0"/>
          <w:szCs w:val="21"/>
          <w:lang w:val="zh-CN" w:bidi="zh-CN"/>
        </w:rPr>
        <w:t xml:space="preserve">“一胎 </w:t>
      </w:r>
      <w:r>
        <w:rPr>
          <w:rFonts w:ascii="宋体" w:hAnsi="宋体" w:eastAsia="宋体" w:cs="宋体"/>
          <w:color w:val="000000"/>
          <w:kern w:val="0"/>
          <w:szCs w:val="21"/>
          <w:lang w:val="zh-TW" w:eastAsia="zh-TW" w:bidi="zh-TW"/>
        </w:rPr>
        <w:t>化”计划生育政策那样，广泛通过立法、政策、宣 传、教育等配套措施，尽快大力推行</w:t>
      </w:r>
      <w:r>
        <w:rPr>
          <w:rFonts w:ascii="宋体" w:hAnsi="宋体" w:eastAsia="宋体" w:cs="宋体"/>
          <w:color w:val="000000"/>
          <w:kern w:val="0"/>
          <w:szCs w:val="21"/>
          <w:lang w:val="zh-CN" w:bidi="zh-CN"/>
        </w:rPr>
        <w:t>“先控</w:t>
      </w:r>
      <w:r>
        <w:rPr>
          <w:rFonts w:ascii="宋体" w:hAnsi="宋体" w:eastAsia="宋体" w:cs="宋体"/>
          <w:color w:val="000000"/>
          <w:kern w:val="0"/>
          <w:szCs w:val="21"/>
          <w:lang w:val="zh-TW" w:eastAsia="zh-TW" w:bidi="zh-TW"/>
        </w:rPr>
        <w:t xml:space="preserve">后减”的 </w:t>
      </w:r>
      <w:r>
        <w:rPr>
          <w:rFonts w:ascii="宋体" w:hAnsi="宋体" w:eastAsia="宋体" w:cs="宋体"/>
          <w:color w:val="000000"/>
          <w:kern w:val="0"/>
          <w:szCs w:val="21"/>
          <w:lang w:val="zh-CN" w:bidi="zh-CN"/>
        </w:rPr>
        <w:t>“一胎</w:t>
      </w:r>
      <w:r>
        <w:rPr>
          <w:rFonts w:ascii="宋体" w:hAnsi="宋体" w:eastAsia="宋体" w:cs="宋体"/>
          <w:color w:val="000000"/>
          <w:kern w:val="0"/>
          <w:szCs w:val="21"/>
          <w:lang w:val="zh-TW" w:eastAsia="zh-TW" w:bidi="zh-TW"/>
        </w:rPr>
        <w:t>化”计划生育新政，积极倡导</w:t>
      </w:r>
      <w:r>
        <w:rPr>
          <w:rFonts w:ascii="宋体" w:hAnsi="宋体" w:eastAsia="宋体" w:cs="宋体"/>
          <w:color w:val="000000"/>
          <w:kern w:val="0"/>
          <w:szCs w:val="21"/>
          <w:lang w:val="zh-CN" w:bidi="zh-CN"/>
        </w:rPr>
        <w:t>“人</w:t>
      </w:r>
      <w:r>
        <w:rPr>
          <w:rFonts w:ascii="宋体" w:hAnsi="宋体" w:eastAsia="宋体" w:cs="宋体"/>
          <w:color w:val="000000"/>
          <w:kern w:val="0"/>
          <w:szCs w:val="21"/>
          <w:lang w:val="zh-TW" w:eastAsia="zh-TW" w:bidi="zh-TW"/>
        </w:rPr>
        <w:t>口控减提质 型社会”。</w:t>
      </w:r>
    </w:p>
    <w:p w14:paraId="4B77D5AA">
      <w:pPr>
        <w:spacing w:line="400" w:lineRule="exact"/>
        <w:ind w:firstLine="440" w:firstLineChars="200"/>
        <w:rPr>
          <w:rFonts w:ascii="宋体" w:hAnsi="宋体" w:eastAsia="宋体" w:cs="宋体"/>
          <w:kern w:val="0"/>
          <w:szCs w:val="21"/>
          <w:lang w:val="zh-TW" w:eastAsia="zh-TW" w:bidi="zh-TW"/>
        </w:rPr>
      </w:pPr>
      <w:r>
        <w:rPr>
          <w:rFonts w:ascii="宋体" w:hAnsi="宋体" w:eastAsia="宋体" w:cs="宋体"/>
          <w:color w:val="000000"/>
          <w:kern w:val="0"/>
          <w:szCs w:val="21"/>
          <w:lang w:val="zh-TW" w:eastAsia="zh-TW" w:bidi="zh-TW"/>
        </w:rPr>
        <w:t>（</w:t>
      </w:r>
      <w:r>
        <w:rPr>
          <w:rFonts w:ascii="宋体" w:hAnsi="宋体" w:eastAsia="宋体" w:cs="宋体"/>
          <w:kern w:val="0"/>
          <w:szCs w:val="21"/>
          <w:lang w:val="zh-TW" w:eastAsia="zh-TW" w:bidi="zh-TW"/>
        </w:rPr>
        <w:t>原载《</w:t>
      </w:r>
      <w:r>
        <w:rPr>
          <w:rFonts w:hint="eastAsia" w:ascii="宋体" w:hAnsi="宋体" w:eastAsia="宋体" w:cs="宋体"/>
          <w:kern w:val="0"/>
          <w:szCs w:val="21"/>
          <w:lang w:val="zh-TW" w:eastAsia="zh-TW" w:bidi="zh-TW"/>
        </w:rPr>
        <w:t>广东商学院学报</w:t>
      </w:r>
      <w:r>
        <w:rPr>
          <w:rFonts w:ascii="宋体" w:hAnsi="宋体" w:eastAsia="宋体" w:cs="宋体"/>
          <w:kern w:val="0"/>
          <w:szCs w:val="21"/>
          <w:lang w:val="zh-TW" w:eastAsia="zh-TW" w:bidi="zh-TW"/>
        </w:rPr>
        <w:t>》</w:t>
      </w:r>
      <w:r>
        <w:rPr>
          <w:rFonts w:hint="eastAsia" w:ascii="宋体" w:hAnsi="宋体" w:eastAsia="宋体" w:cs="宋体"/>
          <w:kern w:val="0"/>
          <w:szCs w:val="21"/>
          <w:lang w:val="zh-TW" w:bidi="zh-TW"/>
        </w:rPr>
        <w:t>2</w:t>
      </w:r>
      <w:r>
        <w:rPr>
          <w:rFonts w:ascii="宋体" w:hAnsi="宋体" w:eastAsia="PMingLiU" w:cs="宋体"/>
          <w:kern w:val="0"/>
          <w:szCs w:val="21"/>
          <w:lang w:val="zh-TW" w:eastAsia="zh-TW" w:bidi="zh-TW"/>
        </w:rPr>
        <w:t>010</w:t>
      </w:r>
      <w:r>
        <w:rPr>
          <w:rFonts w:ascii="宋体" w:hAnsi="宋体" w:eastAsia="宋体" w:cs="宋体"/>
          <w:kern w:val="0"/>
          <w:szCs w:val="21"/>
          <w:lang w:val="zh-TW" w:eastAsia="zh-TW" w:bidi="zh-TW"/>
        </w:rPr>
        <w:t>年第</w:t>
      </w:r>
      <w:r>
        <w:rPr>
          <w:rFonts w:hint="eastAsia" w:ascii="宋体" w:hAnsi="宋体" w:eastAsia="宋体" w:cs="宋体"/>
          <w:kern w:val="0"/>
          <w:szCs w:val="21"/>
          <w:lang w:val="zh-TW" w:bidi="zh-TW"/>
        </w:rPr>
        <w:t>2</w:t>
      </w:r>
      <w:r>
        <w:rPr>
          <w:rFonts w:ascii="宋体" w:hAnsi="宋体" w:eastAsia="PMingLiU" w:cs="宋体"/>
          <w:kern w:val="0"/>
          <w:szCs w:val="21"/>
          <w:lang w:val="zh-TW" w:eastAsia="zh-TW" w:bidi="zh-TW"/>
        </w:rPr>
        <w:t>5</w:t>
      </w:r>
      <w:r>
        <w:rPr>
          <w:rFonts w:ascii="宋体" w:hAnsi="宋体" w:eastAsia="宋体" w:cs="宋体"/>
          <w:kern w:val="0"/>
          <w:szCs w:val="21"/>
          <w:lang w:val="zh-TW" w:eastAsia="zh-TW" w:bidi="zh-TW"/>
        </w:rPr>
        <w:t>期。</w:t>
      </w:r>
      <w:r>
        <w:rPr>
          <w:rFonts w:ascii="宋体" w:hAnsi="宋体" w:eastAsia="宋体" w:cs="宋体"/>
          <w:color w:val="000000"/>
          <w:kern w:val="0"/>
          <w:szCs w:val="21"/>
          <w:lang w:val="zh-TW" w:eastAsia="zh-TW" w:bidi="zh-TW"/>
        </w:rPr>
        <w:t>）</w:t>
      </w:r>
    </w:p>
    <w:p w14:paraId="4F56E034">
      <w:pPr>
        <w:keepNext/>
        <w:keepLines/>
        <w:widowControl/>
        <w:spacing w:line="480" w:lineRule="auto"/>
        <w:ind w:firstLine="198"/>
        <w:jc w:val="center"/>
        <w:outlineLvl w:val="1"/>
        <w:rPr>
          <w:rFonts w:ascii="黑体" w:hAnsi="黑体" w:eastAsia="黑体" w:cs="Times New Roman"/>
          <w:kern w:val="0"/>
          <w:sz w:val="32"/>
          <w:szCs w:val="32"/>
        </w:rPr>
      </w:pPr>
      <w:bookmarkStart w:id="1105" w:name="_Toc20537"/>
      <w:bookmarkStart w:id="1106" w:name="_Toc1531552305"/>
      <w:bookmarkStart w:id="1107" w:name="_Toc1642087510"/>
      <w:r>
        <w:rPr>
          <w:rFonts w:ascii="黑体" w:hAnsi="黑体" w:eastAsia="黑体" w:cs="Times New Roman"/>
          <w:kern w:val="0"/>
          <w:sz w:val="32"/>
          <w:szCs w:val="32"/>
        </w:rPr>
        <w:t>5</w:t>
      </w:r>
      <w:r>
        <w:rPr>
          <w:rFonts w:hint="eastAsia" w:ascii="黑体" w:hAnsi="黑体" w:eastAsia="黑体" w:cs="Times New Roman"/>
          <w:kern w:val="0"/>
          <w:sz w:val="32"/>
          <w:szCs w:val="32"/>
        </w:rPr>
        <w:t>用发展的马克思主义政治经济学引领应用经济学创新</w:t>
      </w:r>
      <w:bookmarkEnd w:id="1105"/>
      <w:bookmarkEnd w:id="1106"/>
      <w:bookmarkEnd w:id="1107"/>
    </w:p>
    <w:p w14:paraId="08F33911">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一、问题的提出</w:t>
      </w:r>
    </w:p>
    <w:p w14:paraId="6BE8007A">
      <w:pPr>
        <w:spacing w:line="400" w:lineRule="exact"/>
        <w:ind w:firstLine="440" w:firstLineChars="200"/>
        <w:rPr>
          <w:rFonts w:ascii="Calibri" w:hAnsi="Calibri" w:eastAsia="宋体" w:cs="Times New Roman"/>
        </w:rPr>
      </w:pPr>
      <w:r>
        <w:rPr>
          <w:rFonts w:hint="eastAsia" w:ascii="Calibri" w:hAnsi="Calibri" w:eastAsia="宋体" w:cs="Times New Roman"/>
        </w:rPr>
        <w:t>每当世界经济发生重大事件的时候——东欧剧变、苏联解体、全球化浪潮、亚洲金融危机乃至时下由美国次贷危机诱发的世界性经济危机等等，马克思的理论在欧美、在全球一再冲出书斋，让那些反马克思、怀疑马克思的西方主流经济学家也不得不承认马克思经济学思想的科学性和强大生命力，纷纷从马克思的著作中去寻找现实经济问题的答案。观察一种思想是否具有生命力，一是看其是否与现实历史的发展相吻合，二是看其是否能够对社会发展方向产生影响。马克思主义经济学是一门历史的科学，固然有其历史的局限性，但是它对社会经济发展历史的预见性以及对社会经济发展方向的影响力，是任何其他的理论都无法与之相比的。中国社会主义革命和社会主义建设尤其是改革开放以来的巨大成就是在马克思主义理论与中国具体实践相结合的中国特色社会主义理论指导下取得的，我们完全可以说，离开马克思主义的指导就不可能有中国特色的社会主义经济改革和建设的成就，就不可能形成有中国特色的社会主义经济改革和发展模式，这是不容怀疑的。但是很多学者还是坚持认为马克思主义经济学是革命的、破坏旧世界的经济学，而不是建设新世界的经济学。自20世纪90年代中期以后，我国理论经济学界“去马克思化”的倾向愈演愈烈，西方经济学主流化的声音甚嚣尘上，马克思主义经济学的指导地位被削弱、被边缘化，有人甚至错误地认为西方经济学是我国经济改革和经济发展的指导思想，中国经济改革和经济发展取得的举世瞩目的成就是西方经济学理论在我国成功运用的典范，有些经济学家公然主张用西方经济学取代马克思主义经济学；中国实行改革开放、建立社会主义市场经济体制成了社会主义失败论和马克思主义经济学过时论的证据。这种状况在一定程度上说明马克思主义经济学理论的发展和创新与现实世界的发展有差距，降低了马克思主义经济理论对现实经济问题的解释能力，这是必须要正视的事实。我国应用经济学的一些学科自觉或不自觉地脱离了现代马克思主义经济学的理论基础，不加甄别地直接照抄照搬现代西方应用经济学的论著，缺乏学术原创，处于学术“被殖民”或“学术搬运工”的状态。这有悖于中央倡导的构建具有中国特色、中国风格和中国气派的哲学社会科学体系的精神，因此，有必要加强用发展的马克思主义经济学的理论、观点和方法引领应用经济学的创新，夯实马克思主义经济学指导地位的根基，而不是仅仅停留在抱怨、忧虑、喊口号和不作为的层面上。</w:t>
      </w:r>
    </w:p>
    <w:p w14:paraId="70F89F79">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二、马克思主义经济学是一个科学体系</w:t>
      </w:r>
    </w:p>
    <w:p w14:paraId="6904FC62">
      <w:pPr>
        <w:spacing w:line="400" w:lineRule="exact"/>
        <w:ind w:firstLine="440" w:firstLineChars="200"/>
        <w:rPr>
          <w:rFonts w:ascii="Calibri" w:hAnsi="Calibri" w:eastAsia="宋体" w:cs="Times New Roman"/>
        </w:rPr>
      </w:pPr>
      <w:r>
        <w:rPr>
          <w:rFonts w:hint="eastAsia" w:ascii="Calibri" w:hAnsi="Calibri" w:eastAsia="宋体" w:cs="Times New Roman"/>
        </w:rPr>
        <w:t>对马克思主义经济学的看法，学术界存在多种观点。如张宇和孟捷教授将马克思主义经济学概括为三种形式：经典马克思主义经济学、传统马克思主义经济学和现代马克思主义经济学，从而实现马克思主义经济学在当代的继承、创新和发展。</w:t>
      </w:r>
      <w:r>
        <w:rPr>
          <w:rFonts w:hint="eastAsia" w:ascii="Calibri" w:hAnsi="Calibri" w:eastAsia="宋体" w:cs="Times New Roman"/>
          <w:sz w:val="18"/>
          <w:szCs w:val="18"/>
        </w:rPr>
        <w:footnoteReference w:id="459"/>
      </w:r>
      <w:r>
        <w:rPr>
          <w:rFonts w:hint="eastAsia" w:ascii="Calibri" w:hAnsi="Calibri" w:eastAsia="宋体" w:cs="Times New Roman"/>
        </w:rPr>
        <w:t>这种观点从马克思主义经济学发展的时间序列上进行归纳和分类，当然不失为一种可资借鉴的发展马克思主义经济学的思路，但是并没有回答马克思主义经济学是不是一个学科体系的问题，或者说只承认马克思主义经济学是一个学科而不是一个学科体系。</w:t>
      </w:r>
    </w:p>
    <w:p w14:paraId="5F926CA8">
      <w:pPr>
        <w:spacing w:line="400" w:lineRule="exact"/>
        <w:ind w:firstLine="440" w:firstLineChars="200"/>
        <w:rPr>
          <w:rFonts w:ascii="Calibri" w:hAnsi="Calibri" w:eastAsia="宋体" w:cs="Times New Roman"/>
        </w:rPr>
      </w:pPr>
      <w:r>
        <w:rPr>
          <w:rFonts w:hint="eastAsia" w:ascii="Calibri" w:hAnsi="Calibri" w:eastAsia="宋体" w:cs="Times New Roman"/>
        </w:rPr>
        <w:t>从学术界对马克思主义经济学理论体系的多种理解也可以很容易得出一个结论：马克思主义经济学不是一个学科体系。对经典马克思主义经济学的理解大致是以《资本论》和《帝国主义论》为蓝本来建立马克思主义政治经济学的理论体系的。对传统马克思主义经济学的理解实际上是以“苏联模式”为蓝本并结合我国的社会主义建设实践产生的新理论、新问题来建立政治经济学的理论体系，并将其人为地划分为社会主义和资本主义两个部分。与突破“两部分制”相对立的一种观点是“三部分制”，即由政治经济学原理、社会主义微观经济学、社会主义宏观经济学三部分组成。也有学者主张突破“两部分制”，这方面的理论成果还相当丰富，如程恩富教授的“五过程论”就是这方面的代表。对现代马克思主义经济学的理解，认为现代模式是探索创新中的模式，要求运用马克思主义经济学的方法论研究当代社会经济生活，是马克思主义经济学基本理论在当代的继承、发展与创新。在对待发展、创新马克思主义经济学，构建马克思主义政治经济学的现代形式这个问题的态度上，有人主张“修补式”，即在传统政治经济学的基础上，补充当代生活经济社会的元素，进行创新和发展；有人主张“嫁接式”，即将西方主流经济学的研究方法和成果嫁接到马克思主义政治经济学中来，重建中国特色的社会主义经济学；也有人主张“去马克思化”的“重构式”，即用所谓的现代经济学范式取代马克思的经济学范式，重建中国的政治经济学。无论是哪一种观点，一方面反映了马克思主义经济学学术界百家争鸣、积极探索、直面挑战的科学精神和学术气魄，另一方面也不可否认，马克思主义经济学学术界内部对事关马克思主义经济学发展创新的重大问题存在着严重的分歧，需要尽快实现统一。</w:t>
      </w:r>
    </w:p>
    <w:p w14:paraId="344CC497">
      <w:pPr>
        <w:spacing w:line="400" w:lineRule="exact"/>
        <w:ind w:firstLine="440" w:firstLineChars="200"/>
        <w:rPr>
          <w:rFonts w:ascii="Calibri" w:hAnsi="Calibri" w:eastAsia="宋体" w:cs="Times New Roman"/>
        </w:rPr>
      </w:pPr>
      <w:r>
        <w:rPr>
          <w:rFonts w:hint="eastAsia" w:ascii="Calibri" w:hAnsi="Calibri" w:eastAsia="宋体" w:cs="Times New Roman"/>
        </w:rPr>
        <w:t>在传统意义上，人们习惯于将马克思主义经济学作为马克思主义政治经济学的同义语，将两者完全等同起来，这种认识的危害性表现在：人为地割断了马克思主义政治经济学与其他应用学科之间的逻辑联系，实际上就是主动放弃了对应用经济学科的指导性，客观上为“学术殖民”提供了条件，为“学术搬运工”们提供了行动空间，更不用说用马克思主义政治经济学引领应用经济学创新了。西方经济学固然有许多值得批判的地方，但是也有值得马克思主义经济学借鉴的地方。比如以宏观经济学和微观经济学为核心，以国际经济学、国际贸易学、发展经济学、国际金融学、国际投资学、产业组织学等等为依托的学科体系。如果我们把宏观经济学和微观经济学视为西方经济学的理论经济学，那么其基本概念、基本理论、基本原理、基本的分析方法和分析技术等都渗透到了诸如国际金融、国际贸易、发展经济学等学科之中，体现了理论经济学对应用经济学的引领作用，这一点非常值得马克思主义经济学借鉴。所以，笔者认为，马克思主义经济学是包括马克思主义理论经济学（政治经济学）和马克思主义应用经济学两个层次在内的完善学科体系。实际上，这个观点也不是什么新的提法，马克思的六册写作计划已经可以被视为马克思主义经济学学科体系的雏形，这是马克思经济学思想的完整体现，只是由于马克思没有完成他的这个宏大的计划，后来者才一再忽视除《资本论》以外的经济学思想。在这个体系中，马克思主义政治经济学就应该是整个学科体系的基石，处于金字塔的塔尖，它除了揭示人类社会经济发展的一般规律以外，还必须能够为其他的学科提供基本概念、基本理论、基本方法、基本的分析范式和分析逻辑，甚至也包括一些基本的分析技术，只有这样，马克思主义政治经济学与应用经济学之间的天然联系才能建立起来，马克思主义政治经济学的指导地位才能实实在在地得到体现，也才能更好地用发展的马克思主义政治经济学引领应用经济学创新，改变中国的应用经济学被“学术殖民”的现状，也唯有如此，才能建立起具有中国特色、中国风格和中国气派的经济学学科体系。</w:t>
      </w:r>
    </w:p>
    <w:p w14:paraId="54DA7031">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三、用马克思主义政治经济学的元理论引领应用经济学创新</w:t>
      </w:r>
    </w:p>
    <w:p w14:paraId="4F223A8D">
      <w:pPr>
        <w:spacing w:line="400" w:lineRule="exact"/>
        <w:ind w:firstLine="440" w:firstLineChars="200"/>
        <w:rPr>
          <w:rFonts w:ascii="Calibri" w:hAnsi="Calibri" w:eastAsia="宋体" w:cs="Times New Roman"/>
        </w:rPr>
      </w:pPr>
      <w:r>
        <w:rPr>
          <w:rFonts w:hint="eastAsia" w:ascii="Calibri" w:hAnsi="Calibri" w:eastAsia="宋体" w:cs="Times New Roman"/>
        </w:rPr>
        <w:t>对马克思主义政治经济学的性质，恩格斯曾经在两个地方有过论述，一是1876年在《反杜林论》第二篇《政治经济学》中写道：“因此，政治经济学本质上是一门历史的科学。它所涉及的是历史性的即经常变化的材料；它首先研究生产和交换的每个个别发展阶段的特殊规律，而且只有在完成这种研究以后，它才能确立为数不多的、适用于生产一般和交换一般的、完全普遍的规律。同时，不言而喻，适用于一定的生产方式和交换形式的规律，对于具有这种生产方式和交换形式的一切历史时期也是适用的。”</w:t>
      </w:r>
      <w:r>
        <w:rPr>
          <w:rFonts w:hint="eastAsia" w:ascii="Calibri" w:hAnsi="Calibri" w:eastAsia="宋体" w:cs="Times New Roman"/>
          <w:sz w:val="18"/>
          <w:szCs w:val="18"/>
        </w:rPr>
        <w:footnoteReference w:id="460"/>
      </w:r>
      <w:r>
        <w:rPr>
          <w:rFonts w:hint="eastAsia" w:ascii="Calibri" w:hAnsi="Calibri" w:eastAsia="宋体" w:cs="Times New Roman"/>
        </w:rPr>
        <w:t>二是1895年恩格斯在写给威·桑巴特的信中谈到“不论资本家还是资产阶级经济学家都没有意识到：这种追求的真正目的是全部剩余价值按同等的比例分配给总资本。那么平均的过程事实上是怎样完成的呢?这是个非常有趣的问题，马克思本人对此谈得不多。但是，马克思的整个世界观不是教义，而是方法。它提供的不是现成的教条，而是进一步研究的出发点和供这种研究使用的方法。因此这里还有一些马克思自己在这部初稿中没有做完的工作要做。”</w:t>
      </w:r>
      <w:r>
        <w:rPr>
          <w:rFonts w:hint="eastAsia" w:ascii="Calibri" w:hAnsi="Calibri" w:eastAsia="宋体" w:cs="Times New Roman"/>
          <w:sz w:val="18"/>
          <w:szCs w:val="18"/>
        </w:rPr>
        <w:footnoteReference w:id="461"/>
      </w:r>
      <w:r>
        <w:rPr>
          <w:rFonts w:hint="eastAsia" w:ascii="Calibri" w:hAnsi="Calibri" w:eastAsia="宋体" w:cs="Times New Roman"/>
        </w:rPr>
        <w:t>文中加点的两句话经常被学者们广泛引用，笔者在这里进行了更全面一点的引用。这两段引文实际上告诉我们这样一个结论：马克思主义政治经济学不是教义和干巴巴的原理，而是随着历史的发展变化而不断丰富发展、具有高度开放性的思想体系和方法论体系，但同时，马克思主义政治经济学又蕴藏着适用于一切历史时期的元理论，也就是通常人们所说的马克思主义政治经济学的“硬核”。元理论抑或硬核是马克思主义政治经济学得以发展创新的基础，也是用发展的马克思主义政治经济学引领应用经济学创新的出发点，是马克思主义经济学体系中理论经济学与应用经济学内在的、本质联系的接点。究竟什么是马克思主义政治经济学的元理论?要回答这个问题可能相当困难。除了马克思创立的辩证唯物主义和历史唯物主义的方法论外，应该还有其他更具体的理论。纪宝成教授和张宇教授曾经提出过要加强对马克思主义经济学基本理论和基本观点的研究，并具体阐明了他们的学术主张：（1）对因主观和客观原因被忽略或简化了的马克思主义经典作家的科学观点要正本清源；（2）对与当前现实不符的观点要实事求是地根据实践的发展加以修正；（3）对因历史条件所限，马克思主义经典作家没有深入讨论和研究过的问题，要根据马克思主义的立场、观点和方法做出科学的解释；（4）要分清哪些是马克思主义经济学中不能动摇的基本观点，哪些观点是根据当时的历史提出的并随着历史的变迁而不断改变的具体结论。张宇、孟捷等主编：《高级政治经济学(第二版)》，北京：中国人民大学出版社，2006年，第17-18页。所谓“不能动摇的基本观点”就是本文所说的元理论，但是他们也没有更具体地指出哪些是“不能动摇的基本观点”。关于马克思主义政治经济学的元理论，目前我国学术界尚无比较系统和权威的研究成果，林岗教授和张宇教授关于马克思主义经济学的五个方法论命题——（1）从生产力与生产关系的矛盾运动中解释社会经济制度的变迁；（2）在历史形成的社会经济结构的整体制约中分析个体经济行为；（3）以生产资料所有制为基础确定整个经济制度的性质；（4）依据经济关系来理解政治法律制度和伦理规范；（5）通过社会实践实现社会经济发展规律与目的的统一，同上，第42-66页。具有先导性和奠基性的意义。程恩富教授关于现代马克思主义政治经济学的四大理论假设——（1）新的活劳动创造价值假设；（2）利己和利他经济人假设；（3）资源和需要双约束假设；（4）公平与效率互促同向变动假设，是对马克思主义政治经济学元理论研究的开创性工作。</w:t>
      </w:r>
      <w:r>
        <w:rPr>
          <w:rFonts w:hint="eastAsia" w:ascii="Calibri" w:hAnsi="Calibri" w:eastAsia="宋体" w:cs="Times New Roman"/>
          <w:sz w:val="18"/>
          <w:szCs w:val="18"/>
        </w:rPr>
        <w:footnoteReference w:id="462"/>
      </w:r>
      <w:r>
        <w:rPr>
          <w:rFonts w:hint="eastAsia" w:ascii="Calibri" w:hAnsi="Calibri" w:eastAsia="宋体" w:cs="Times New Roman"/>
        </w:rPr>
        <w:t>尽管对马克思主义政治经济学元理论的研究尚不成熟，有待深入系统的挖掘和凝练，但马克思主义政治经济学元理论无疑是引领应用经济学创新发展和构建马克思主义应用经济学学科体系的逻辑起点，同时也是马克思主义理论经济学与应用经济学内在联系的逻辑接点，有了这个逻辑接点，应用经济学理论体系的展开就获得了一个纲。</w:t>
      </w:r>
    </w:p>
    <w:p w14:paraId="739512F3">
      <w:pPr>
        <w:autoSpaceDE w:val="0"/>
        <w:autoSpaceDN w:val="0"/>
        <w:spacing w:line="360" w:lineRule="auto"/>
        <w:ind w:firstLine="500" w:firstLineChars="200"/>
        <w:jc w:val="center"/>
        <w:rPr>
          <w:rFonts w:ascii="Calibri" w:hAnsi="Calibri" w:eastAsia="宋体" w:cs="Times New Roman"/>
          <w:b/>
          <w:sz w:val="24"/>
        </w:rPr>
      </w:pPr>
      <w:r>
        <w:rPr>
          <w:rFonts w:hint="eastAsia" w:ascii="宋体" w:hAnsi="宋体" w:eastAsia="宋体" w:cs="Times New Roman"/>
          <w:b/>
          <w:bCs/>
          <w:sz w:val="24"/>
          <w:szCs w:val="24"/>
        </w:rPr>
        <w:t>四、用马克思主义政治经济学引领应用经济学创新的逻辑路径</w:t>
      </w:r>
    </w:p>
    <w:p w14:paraId="11427E28">
      <w:pPr>
        <w:spacing w:line="400" w:lineRule="exact"/>
        <w:ind w:firstLine="440" w:firstLineChars="200"/>
        <w:rPr>
          <w:rFonts w:ascii="Calibri" w:hAnsi="Calibri" w:eastAsia="宋体" w:cs="Times New Roman"/>
        </w:rPr>
      </w:pPr>
      <w:r>
        <w:rPr>
          <w:rFonts w:hint="eastAsia" w:ascii="Calibri" w:hAnsi="Calibri" w:eastAsia="宋体" w:cs="Times New Roman"/>
        </w:rPr>
        <w:t>由于马克思主义政治经济学的元理论还缺乏系统的、共识性的成果，加之不同的应用经济学也各有其自身的特质，所以在这里我们只能原则性地提出一种用发展的马克思主义政治经济学引领应用经济学创新的逻辑路径，我们将其概括为：根据马克思主义政治经济学的元理论，结合不同应用经济学的特质（研究对象和最终要达到的目的），确定元理论与应用经济学特质之间内在的逻辑联系，构建该应用经济学的概念体系和分析范式，进行应用经济学理论体系和方法体系的逻辑展开，从而实现对具体的经济现象和经济问题的科学解释，提出符合事物发展规律的政策建议。从整个经济学（包括理论经济学和应用经济学）学科体系的演化过程可以看出，绝大多数应用经济学学科都是从政治经济学这门基础性学科中衍生出来的，政治经济学与应用经济学之间本身就存在着天然的联系，它们原本理论相通、理论分层相关、分析方法相连、政策应用相通，因而才有经济学一、二、三级学科和研究方向的内在联系和差别。现在提倡社会科学各个学科之间以及社会科学和自然科学之间的相互渗透与交叉融合，说明社会科学与自然科学之间除了方法上的相互借鉴外，客观上也存在着共通的元理论，这是交叉与融合的基础。既然社会科学与自然科学之间都能够交叉与融合，难道经济科学内部政治经济学与应用经济学之间反而要人为割断它们的联系、断绝学术上的渊源关系吗?事实上，无论承认与否，用马克思主义政治经济学的元理论，在科学借鉴现代西方经济学的理论和方法的基础上，创新应用经济学的成功范例并不少见。如我国著名的《资本论》研究专家张熏华教授，运用马克思主义政治经济学的理论和方法，开创性地编写和撰写过《土地经济学》《交通经济学》和《环境经济学》等著作，为这些学科的建立和完善作出了重要的理论贡献。20世纪90年代初期，程恩富教授运用马克思主义政治经济学的原理和方法，在科学借鉴西方经济学合理成分的基础上，编写了国内第一部大文化领域的应用经济学著作——《文化经济学》，成为用现代政治经济学的元理论指导应用经济学创新的代表作之一。在国外也不乏用马克思主义政治经济学指导应用经济学创新获得成功的例子，据唐珏岚2007年向“首届现代马克思主义政治经济学与应用经济学创新”国际学术会议提交的论文——《20世纪90年代西方〈资本论〉研究现状》就列举了若干这方面的例子，如英国约克大学的史蒂夫·汤姆斯2005年在《会计学观察评论》上发表的《资产定价模型，劳动价值理论和它们对会计理论的意义》一文中就指出，西方主流的会计理论和金融理论无法合理解释真实的社会经济关系，而马克思的方法得到发展并被广泛应用于包括管理学、劳动合约和社会资本研究等方面，马克思的理论与现代金融和会计的分析方法结合，提供了对资本主义分析的基本工具。有的西方学者甚至根据马克思的劳动价值论，构建了现代资本主义的会计理论体系。总之，马克思主义政治经济学蕴藏着非常丰富的思想和科学价值，而应用经济学又是一个庞大的体系，有各自特定的研究对象、研究任务和研究方法。要实现用发展的马克思主义经济学引领并指导应用经济学创新，关键是要实现下列三个方面的结合：一是马克思主义政治经济学的元理论与具体的应用经济学研究对象的结合，并将这种结合通过统一的逻辑主线贯穿整个学科的全过程；二是马克思主义政治经济学的元理论与以具体的应用经济学学科的起始范畴和核心范畴为基础构成的多层次的概念体系相结合；三是马克思主义政治经济学的元理论要与具体的应用经济学学科的研究方法相结合，从而能够将现实经济问题归入一个规范、科学的分析框架中，并能形成有效结论，用以解决和指导社会经济实践。</w:t>
      </w:r>
    </w:p>
    <w:p w14:paraId="7BFA5061">
      <w:pPr>
        <w:spacing w:line="400" w:lineRule="exact"/>
        <w:ind w:firstLine="440" w:firstLineChars="200"/>
        <w:rPr>
          <w:rFonts w:ascii="Calibri" w:hAnsi="Calibri" w:eastAsia="宋体" w:cs="Times New Roman"/>
        </w:rPr>
      </w:pPr>
    </w:p>
    <w:p w14:paraId="614BD874">
      <w:pPr>
        <w:spacing w:line="400" w:lineRule="exact"/>
        <w:ind w:firstLine="440" w:firstLineChars="200"/>
        <w:rPr>
          <w:rFonts w:ascii="Calibri" w:hAnsi="Calibri" w:eastAsia="宋体" w:cs="Times New Roman"/>
        </w:rPr>
      </w:pPr>
      <w:r>
        <w:rPr>
          <w:rFonts w:hint="eastAsia" w:ascii="Calibri" w:hAnsi="Calibri" w:eastAsia="宋体" w:cs="Times New Roman"/>
        </w:rPr>
        <w:t>（原载于《教学与研究》2010年第2期。程恩富，王朝科）</w:t>
      </w:r>
    </w:p>
    <w:p w14:paraId="210BDDF1">
      <w:pPr>
        <w:spacing w:line="400" w:lineRule="exact"/>
        <w:ind w:firstLine="440" w:firstLineChars="200"/>
        <w:rPr>
          <w:rFonts w:ascii="Calibri" w:hAnsi="Calibri" w:eastAsia="宋体" w:cs="Times New Roman"/>
        </w:rPr>
      </w:pPr>
      <w:r>
        <w:rPr>
          <w:rFonts w:ascii="Calibri" w:hAnsi="Calibri" w:eastAsia="宋体" w:cs="Times New Roman"/>
        </w:rPr>
        <w:br w:type="page"/>
      </w:r>
    </w:p>
    <w:p w14:paraId="75EBDFB6">
      <w:pPr>
        <w:keepNext/>
        <w:keepLines/>
        <w:widowControl/>
        <w:spacing w:line="480" w:lineRule="auto"/>
        <w:ind w:firstLine="198"/>
        <w:jc w:val="center"/>
        <w:outlineLvl w:val="1"/>
        <w:rPr>
          <w:rFonts w:ascii="黑体" w:hAnsi="黑体" w:eastAsia="黑体" w:cs="Times New Roman"/>
          <w:kern w:val="0"/>
          <w:sz w:val="32"/>
          <w:szCs w:val="32"/>
        </w:rPr>
      </w:pPr>
      <w:bookmarkStart w:id="1108" w:name="_Toc13576"/>
      <w:bookmarkStart w:id="1109" w:name="_Toc1060597193"/>
      <w:bookmarkStart w:id="1110" w:name="_Toc1252432973"/>
      <w:r>
        <w:rPr>
          <w:rFonts w:ascii="黑体" w:hAnsi="黑体" w:eastAsia="黑体" w:cs="Times New Roman"/>
          <w:kern w:val="0"/>
          <w:sz w:val="32"/>
          <w:szCs w:val="32"/>
        </w:rPr>
        <w:t>6</w:t>
      </w:r>
      <w:r>
        <w:rPr>
          <w:rFonts w:hint="eastAsia" w:ascii="黑体" w:hAnsi="黑体" w:eastAsia="黑体" w:cs="Times New Roman"/>
          <w:kern w:val="0"/>
          <w:sz w:val="32"/>
          <w:szCs w:val="32"/>
        </w:rPr>
        <w:t>科学发展观的经济理论探讨</w:t>
      </w:r>
      <w:bookmarkEnd w:id="1108"/>
      <w:bookmarkEnd w:id="1109"/>
      <w:bookmarkEnd w:id="1110"/>
    </w:p>
    <w:p w14:paraId="669112D6">
      <w:pPr>
        <w:spacing w:line="400" w:lineRule="exact"/>
        <w:ind w:firstLine="440" w:firstLineChars="200"/>
        <w:rPr>
          <w:rFonts w:ascii="宋体" w:hAnsi="宋体" w:eastAsia="宋体" w:cs="宋体"/>
          <w:szCs w:val="21"/>
        </w:rPr>
      </w:pPr>
      <w:r>
        <w:rPr>
          <w:rFonts w:hint="eastAsia" w:ascii="宋体" w:hAnsi="宋体" w:eastAsia="宋体" w:cs="宋体"/>
          <w:szCs w:val="21"/>
        </w:rPr>
        <w:t>科学发展观是中国特色社会主义理论体系的最新理论成果，也是党和国家发展的重大战略思想。科学发展观的内涵和实现方式蕴涵深刻的经济理论。国际金融危机正是内生于资本主义制度下的经济非持续、非科学发展的表现，我国积极应对国际金融危机，进一步完善政策措施，需要在各个领域继续深入贯彻和落实科学发展观。坚持和完善公有制为主体、多种所有制经济共同发展的基本经济制度，统筹协调人口发展、资源利用和环境保护，转变经济发展方式、提升产业结构和优化管理制度机制，特别是构建和提高自主创新能力，都是科学发展的必然选择。</w:t>
      </w:r>
    </w:p>
    <w:p w14:paraId="4F374AC2">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一、基本经济制度是科学发展的经济基础</w:t>
      </w:r>
    </w:p>
    <w:p w14:paraId="1ADD31E4">
      <w:pPr>
        <w:spacing w:line="400" w:lineRule="exact"/>
        <w:ind w:firstLine="440" w:firstLineChars="200"/>
        <w:rPr>
          <w:rFonts w:ascii="宋体" w:hAnsi="宋体" w:eastAsia="宋体" w:cs="宋体"/>
          <w:szCs w:val="21"/>
        </w:rPr>
      </w:pPr>
      <w:r>
        <w:rPr>
          <w:rFonts w:hint="eastAsia" w:ascii="宋体" w:hAnsi="宋体" w:eastAsia="宋体" w:cs="宋体"/>
          <w:szCs w:val="21"/>
        </w:rPr>
        <w:t>科学发展需要发展和完善依靠人民和人民共享的经济制度，即以公有制为主体、多种所有制经济共同发展的社会主义基本经济制度。在社会主义公有制经济中，劳动人民才会真正处于“主人翁”的经济地位，真正实现经济民主的权益，切实贯彻按劳分配的原则，真正实现直接或间接分享经济产出的成果。因此，人民共享发展成果的实现程度，最终取决于公有制经济的巩固和发展程度。我们看到，西方国家实行“私有制加公共财政再分配”的制度，并未能够真正解决社会的两极分化问题，这种制度也不是依靠人民和人民共享的经济制度。积极发展和完善社会主义基本经济制度，可以实现发展由人民共享的共同富裕和社会和谐。</w:t>
      </w:r>
    </w:p>
    <w:p w14:paraId="36565BA5">
      <w:pPr>
        <w:spacing w:line="400" w:lineRule="exact"/>
        <w:ind w:firstLine="440" w:firstLineChars="200"/>
        <w:rPr>
          <w:rFonts w:ascii="宋体" w:hAnsi="宋体" w:eastAsia="宋体" w:cs="宋体"/>
          <w:szCs w:val="21"/>
        </w:rPr>
      </w:pPr>
      <w:r>
        <w:rPr>
          <w:rFonts w:hint="eastAsia" w:ascii="宋体" w:hAnsi="宋体" w:eastAsia="宋体" w:cs="宋体"/>
          <w:szCs w:val="21"/>
        </w:rPr>
        <w:t>贯彻落实好“让发展的成果惠及全体人民”，需要注重和完善国民收入中起着决定性作用的初次分配关系。我们知道，生产资料的所有制关系直接决定着初次分配关系，同时也支配着再分配关系。国民经济中生产资料的公有制经济占主体，决定了收入分配中按劳分配占主体。“让发展的成果惠及全体人民”需要在完善社会主义基本经济制度的前提下，在公有制经济中注重完善按劳分配的机制，构建国有资本、集体资本以及其他形式的公有资本的保值增值与管理者、职工劳动收入多少联系的有效机制，在促进公有资本保值增值的前提下实现按劳分配。具体到在公有资本独资、控股和参股的企业中，应合理地确定按资分配与按劳分配两者数额之间的关系，既满足公有资本在市场经济中发展壮大的需要，又能尽可能充分体现按劳分配的原则。推动发展形式多样的城镇和农村自愿组织的新型集体经济组织，增进国民经济中按劳分配的份额；通过健全社会主义劳动关系的法律制度，完善执法监察，推动私有制经济中劳动者收入占企业收入比重的不断提升。</w:t>
      </w:r>
    </w:p>
    <w:p w14:paraId="1A7BE20A">
      <w:pPr>
        <w:spacing w:line="400" w:lineRule="exact"/>
        <w:ind w:firstLine="440" w:firstLineChars="200"/>
        <w:rPr>
          <w:rFonts w:ascii="宋体" w:hAnsi="宋体" w:eastAsia="宋体" w:cs="宋体"/>
          <w:szCs w:val="21"/>
        </w:rPr>
      </w:pPr>
      <w:r>
        <w:rPr>
          <w:rFonts w:hint="eastAsia" w:ascii="宋体" w:hAnsi="宋体" w:eastAsia="宋体" w:cs="宋体"/>
          <w:szCs w:val="21"/>
        </w:rPr>
        <w:t>科学发展观要求把“以人为本”的原则贯彻到处理经济发展的效率和公平的关系中来。就企业利润而言，资本所有者如果是私人，利润提高可能是通过压低工人工资来实现的，或者虽然通过改进管理等提高了利润率，这只会导致资本所有者的所得增加，工人的收入并没有增加，这就出现了是否公平的问题；如果资本所有者是国家或集体，提高的利润归国家或集体所有，并可以用于公共设施建设、发展公共品和提高集体福利等，这样，劳动者总体或集体劳动者利益也会增加。当然，如何把这种公有利润分配到每个劳动者身上，也存在一个分配是否公平的问题。就劳动生产率而言，如果生产资料所有者和生产经营管理者通过强制劳动者延长劳动时间、超强度工作，超过了劳动者正常的身心承受程度，这虽然会提高企业劳动生产率和效率，但是却会损害劳动者的身心健康，也违背了劳动者持续发展和全面发展的要求，与科学发展观要求的“以人为本”背道而驰。公平在内涵上总是具体的、历史的，因而也是多样的。例如，生产资料所有制关系的性质不同，衡量收入分配关系是否公平的标准就会不同，因而分配是否公平的内涵也不同。我国既存在着用按劳分配这个标准来衡量劳动者收入分配是否公平的问题，又存在着用按资分配标准衡量的资本所有者之间的收入分配是否公平的问题，还存在按劳分配与按资分配比例是否公平的问题。我国社会主义初级阶段以公有制为主体、多种所有制经济共同发展的社会主义基本经济制度，决定了按劳分配为主体、多种分配方式并存的分配制度具有相对效率和公平的统一。</w:t>
      </w:r>
    </w:p>
    <w:p w14:paraId="2F557109">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二、转变经济发展方式是科学发展的必然要求</w:t>
      </w:r>
    </w:p>
    <w:p w14:paraId="74590432">
      <w:pPr>
        <w:spacing w:line="400" w:lineRule="exact"/>
        <w:ind w:firstLine="440" w:firstLineChars="200"/>
        <w:rPr>
          <w:rFonts w:ascii="宋体" w:hAnsi="宋体" w:eastAsia="宋体" w:cs="宋体"/>
          <w:szCs w:val="21"/>
        </w:rPr>
      </w:pPr>
      <w:r>
        <w:rPr>
          <w:rFonts w:hint="eastAsia" w:ascii="宋体" w:hAnsi="宋体" w:eastAsia="宋体" w:cs="宋体"/>
          <w:szCs w:val="21"/>
        </w:rPr>
        <w:t>为实现国民经济的全面发展、协调发展和可持续发展，需要转变经济发展方式。使经济增长的拉动力主要依靠投资和出口转变到主要依靠国内消费上来。大力发展第三产业，提高第三产业在产业结构中的比重，特别是大力推进现代服务业的发展，使第三产业成为经济增长的主要引擎。促进提高自主创新能力和科技成果向现实生产力的转化能力，使经济增长的动力主要依靠科技进步、劳动者素质提高和管理创新。为此，通过提高居民收入在国民收入分配中的比重，提高劳动报酬在初次分配中的比重，提高对消费品生产和服务业的投资力度，实现经济增长由主要依靠投资、出口拉动，向依靠以消费为主的消费、投资、出口协调拉动转变。通过提高自主创新能力和科技成果向现实生产力的转化能力，实现粗放型增长向集约型增长转变。</w:t>
      </w:r>
    </w:p>
    <w:p w14:paraId="32D0090A">
      <w:pPr>
        <w:spacing w:line="400" w:lineRule="exact"/>
        <w:ind w:firstLine="440" w:firstLineChars="200"/>
        <w:rPr>
          <w:rFonts w:ascii="宋体" w:hAnsi="宋体" w:eastAsia="宋体" w:cs="宋体"/>
          <w:szCs w:val="21"/>
        </w:rPr>
      </w:pPr>
      <w:r>
        <w:rPr>
          <w:rFonts w:hint="eastAsia" w:ascii="宋体" w:hAnsi="宋体" w:eastAsia="宋体" w:cs="宋体"/>
          <w:szCs w:val="21"/>
        </w:rPr>
        <w:t>我国依靠丰富的劳动力资源所构建的具有所谓“比较优势”的劳动密集型产业，正面临附加值空间狭小、资源投入粗放、低水平过度竞争的约束。虽然为解决丰富劳动力的就业问题，劳动密集型产业在相当长的时期内仍然会是我国经济发展的重要产业，但发展劳动密集型产业不应作为我国产业发展的战略，否则会陷入“比较优势陷阱”，并在经济全球化的条件下扮演为发达资本主义国家打工的角色，始终处于产业分工的低端、经济发展圈的外围和经济发展方式的依附。</w:t>
      </w:r>
    </w:p>
    <w:p w14:paraId="7622F964">
      <w:pPr>
        <w:spacing w:line="400" w:lineRule="exact"/>
        <w:ind w:firstLine="440" w:firstLineChars="200"/>
        <w:rPr>
          <w:rFonts w:ascii="宋体" w:hAnsi="宋体" w:eastAsia="宋体" w:cs="宋体"/>
          <w:szCs w:val="21"/>
        </w:rPr>
      </w:pPr>
      <w:r>
        <w:rPr>
          <w:rFonts w:hint="eastAsia" w:ascii="宋体" w:hAnsi="宋体" w:eastAsia="宋体" w:cs="宋体"/>
          <w:szCs w:val="21"/>
        </w:rPr>
        <w:t>我国自改革开放以来通过发挥后发优势，从国外大量引进本国没有的一般性的先进技术，实现了技术的长足进步，促进了国内经济的快速发展，已经基本掌握了世界上的一般性的先进技术。从新世纪开始，我国进入了主要依靠自主创新，取得和利用高新技术的历史阶段。不管是转变传统粗放型经济增长方式，优化产业结构，克服高新技术的引进困难来满足国内市场对高新技术和高新技术产品的需求，还是提升国际竞争力、实现外贸持续发展，都需要进行自主创新，而且我国现在已经初步具备进行自主创新的必要的资本、技术、人才和制度基础。</w:t>
      </w:r>
    </w:p>
    <w:p w14:paraId="0B7686CC">
      <w:pPr>
        <w:spacing w:line="400" w:lineRule="exact"/>
        <w:ind w:firstLine="440" w:firstLineChars="200"/>
        <w:rPr>
          <w:rFonts w:ascii="宋体" w:hAnsi="宋体" w:eastAsia="宋体" w:cs="宋体"/>
          <w:szCs w:val="21"/>
        </w:rPr>
      </w:pPr>
      <w:r>
        <w:rPr>
          <w:rFonts w:hint="eastAsia" w:ascii="宋体" w:hAnsi="宋体" w:eastAsia="宋体" w:cs="宋体"/>
          <w:szCs w:val="21"/>
        </w:rPr>
        <w:t>总之，转变对外经济发展方式，需要构建和提高自主创新能力，执行知识产权优势战略，大力发展控股、控技（尤其是核心技术和技术标准）和控牌（尤其是名牌）的“三控型”民族企业集团，突出培育和发挥知识产权优势。需要适当降低外贸依存度，提升消费拉动增长的作用；适当控制外资依存度，提升协调利用中外资的效益；积极降低外技依存度，提升自主创新的能力；适当控制外汇储备规模，提升使用外汇的收益。早日把中国打造为“世界工厂”而非“世界加工厂”，从而尽快完成从贸易大国向贸易强国和经济大国向经济强国的转型。</w:t>
      </w:r>
    </w:p>
    <w:p w14:paraId="4DC8F295">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三、科学发展观进一步深化了对经济发展规律的认识</w:t>
      </w:r>
    </w:p>
    <w:p w14:paraId="54C93C5E">
      <w:pPr>
        <w:spacing w:line="400" w:lineRule="exact"/>
        <w:ind w:firstLine="440" w:firstLineChars="200"/>
        <w:rPr>
          <w:rFonts w:ascii="宋体" w:hAnsi="宋体" w:eastAsia="宋体" w:cs="宋体"/>
          <w:szCs w:val="21"/>
        </w:rPr>
      </w:pPr>
      <w:r>
        <w:rPr>
          <w:rFonts w:hint="eastAsia" w:ascii="宋体" w:hAnsi="宋体" w:eastAsia="宋体" w:cs="宋体"/>
          <w:szCs w:val="21"/>
        </w:rPr>
        <w:t>中外的传统发展模式是以牺牲生态谋求经济增长、以牺牲劳工谋求资本增值、以牺牲他人谋求自身福利、以牺牲整体谋求局部发展、以牺牲长远谋求眼前利益、以牺牲精神谋求物质占有、以牺牲后代人谋求当代人享受，这种传统经济发展方式无法实现全面协调可持续发展。以私有制为主体的资本主义社会的私人资本的积累和生产，总是受到社会财富占有和收入分配两极分化以及劳动阶级有效消费不足的限制，其社会经济发展必然不断地被周期性的经济危机所打断。私有资本积累规律必然引发人的不平等、非均衡和片面发展，带来人的异化和人与自然关系的灾难。社会主义实行生产资料公有制不仅仅在于适应社会化大生产的需要，其根本原因在于保障按劳分配的实现，从而保证社会有效需求的充足和生产与消费的良性循环，进而实现社会经济比资本主义私有制经济以更快速度、可持续地向前发展。因此，公有制是全面、协调、可持续的科学发展的经济基础。我国坚持和完善公有制为主体、多种所有制经济共同发展的基本经济制度是科学发展观的必然要求，这种制度既通过在数量和质量上都居于主体的公有制经济克服作为辅体的私有制经济的弊病，又可以适应我国现阶段多层次的生产力发展状况，从而促进全面、协调、可持续的科学发展。</w:t>
      </w:r>
    </w:p>
    <w:p w14:paraId="3B0D16F6">
      <w:pPr>
        <w:spacing w:line="400" w:lineRule="exact"/>
        <w:ind w:firstLine="440" w:firstLineChars="200"/>
        <w:rPr>
          <w:rFonts w:ascii="宋体" w:hAnsi="宋体" w:eastAsia="宋体" w:cs="宋体"/>
          <w:szCs w:val="21"/>
        </w:rPr>
      </w:pPr>
      <w:r>
        <w:rPr>
          <w:rFonts w:hint="eastAsia" w:ascii="宋体" w:hAnsi="宋体" w:eastAsia="宋体" w:cs="宋体"/>
          <w:szCs w:val="21"/>
        </w:rPr>
        <w:t>我国落实科学发展观还需要统筹人口、资源和环境的关系。人既是科学发展的实施主体，又是科学发展的目的，即实现人的全面、充分和自由的发展，因此，人在人口、资源和环境的关系中处于能动和关键的位置。为改善人与自然、人与人、人与社会和社会与自然的关系，控制人口数量和提高人口质量，也需要像物质生产一样转变人口生产观念，实施生产计划。人自身的科学生产和发展，一方面受到物质生产方式和自然资源的限制；另一方面，随着经济发展带来的资本有机构成的提高和技术水平的提升，同样的生产规模对劳动力的数量需求下降，而对劳动力的素质要求却提高了；同时，人口的数量和质量也会反过来影响生产的方式，低素质的大量人口必然采取外延式、粗放型的生产方式，这种生产方式对自然资源的投入大而产出低，对生态环境损害大，而经济效益和社会效益低。</w:t>
      </w:r>
    </w:p>
    <w:p w14:paraId="469CF6C2">
      <w:pPr>
        <w:autoSpaceDE w:val="0"/>
        <w:autoSpaceDN w:val="0"/>
        <w:spacing w:line="360" w:lineRule="auto"/>
        <w:ind w:firstLine="50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四、落实科学发展观要求深刻认识国际金融危机的本质</w:t>
      </w:r>
    </w:p>
    <w:p w14:paraId="1E4615D4">
      <w:pPr>
        <w:spacing w:line="400" w:lineRule="exact"/>
        <w:ind w:firstLine="440" w:firstLineChars="200"/>
        <w:rPr>
          <w:rFonts w:ascii="宋体" w:hAnsi="宋体" w:eastAsia="宋体" w:cs="宋体"/>
          <w:szCs w:val="21"/>
        </w:rPr>
      </w:pPr>
      <w:r>
        <w:rPr>
          <w:rFonts w:hint="eastAsia" w:ascii="宋体" w:hAnsi="宋体" w:eastAsia="宋体" w:cs="宋体"/>
          <w:szCs w:val="21"/>
        </w:rPr>
        <w:t>金融危机的深层根源和本质是资本主义的私有制的生产方式及其基本矛盾，即马克思揭示的生产的社会化与生产资料私人占有的矛盾，并表现为资本主义商品生产的供给过剩与劳动群众有效需求不足的矛盾。一方面面对生产过剩，另一方面面对劳动群众没有货币购买能力时，现代资本主义创造了“信用消费”或者“透支消费”，来解决生产过剩和有效消费不足（即有支付能力的消费不足）问题，于是劳动群众出现了超出其即期收入的“过度消费”。实际上，这种“透支消费”只是暂时缓和了生产与消费的矛盾，推迟矛盾爆发的时间，并没有解决资本主义私有制市场经济带来的两极分化，因为“透支消费”只是把未来的收入转化为即期消费，而这种转化同时减少了未来收入用于消费的部分，而且要支付利息，因此，更加削弱了劳动群众未来的消费能力。如果劳动群众不断地“透支消费”，债务不断积累，资本主义的金融危机和经济危机必然以更大规模爆发。可见，此次国际金融危机的真正根源和经济实质，同上世纪的金融危机并没有本质区别。这次危机的根源还是在于资本主义制度，在于资本主义社会的基本矛盾。只要资本主义私有的经济制度存在，资本主义社会的基本矛盾就不会消除，经济危机就会周期性爆发，这是资本主义社会的客观经济规律。</w:t>
      </w:r>
    </w:p>
    <w:p w14:paraId="7F621E67">
      <w:pPr>
        <w:spacing w:line="400" w:lineRule="exact"/>
        <w:ind w:firstLine="440" w:firstLineChars="200"/>
        <w:rPr>
          <w:rFonts w:ascii="宋体" w:hAnsi="宋体" w:eastAsia="宋体" w:cs="宋体"/>
          <w:szCs w:val="21"/>
        </w:rPr>
      </w:pPr>
      <w:r>
        <w:rPr>
          <w:rFonts w:hint="eastAsia" w:ascii="宋体" w:hAnsi="宋体" w:eastAsia="宋体" w:cs="宋体"/>
          <w:szCs w:val="21"/>
        </w:rPr>
        <w:t>经济全球化使美国金融危机演变为国际金融危机，而新自由主义主导的经济全球化加大了世界经济发展的不平衡性、波动性和不持续性，又加重了国际金融危机的程度。当今世界资本主义经济的基本矛盾是经济不断社会化和全球化，与生产要素的私人所有、集体所有和国家所有的矛盾，以及与国民经济的无政府状态或无秩序状态的矛盾。</w:t>
      </w:r>
    </w:p>
    <w:p w14:paraId="683B37BB">
      <w:pPr>
        <w:spacing w:line="400" w:lineRule="exact"/>
        <w:ind w:firstLine="440" w:firstLineChars="200"/>
        <w:rPr>
          <w:rFonts w:ascii="宋体" w:hAnsi="宋体" w:eastAsia="宋体" w:cs="宋体"/>
          <w:szCs w:val="21"/>
        </w:rPr>
      </w:pPr>
      <w:r>
        <w:rPr>
          <w:rFonts w:hint="eastAsia" w:ascii="宋体" w:hAnsi="宋体" w:eastAsia="宋体" w:cs="宋体"/>
          <w:szCs w:val="21"/>
        </w:rPr>
        <w:t>应对国际金融危机不能只寄希望于各种形式的国家干预。在资本主义发展的过程中，资本主义国家政府曾交替使用自由主义的自由放任政策和凯恩斯主义的国家干预政策。一般说来，资本主义国家政府往往是在繁荣时期就采用放任市场自发地发挥作用的自由主义政策，在危机时期就采用国家干预的凯恩斯主义的政策。然而，无论是自由主义政策措施还是凯恩斯主义政策工具，都没有能够防止资本主义经济危机的再次发生，都未能根治资本主义的弊病。1929—1933年资本主义经济大危机以后，资本主义国家曾普遍实行凯恩斯主义政策，流行对经济实行国家干预，许多人就此以为找到了防止和克服经济危机的灵丹妙方。但是资本主义的实践表明，这一药方灵验了一时，长期来说并不灵验，进入20世纪70年代，资本主义世界普遍出现滞胀现象，无法解决，因而不得不放弃凯恩斯主义政策，转而实行自由主义政策。时至今日，资本主义大危机再次爆发，自由主义政策再次失灵，资本主义政府又重新拾起凯恩斯主义的政策工具来对付危机。实践必将继续证明，资本主义世界采用的凯恩斯主义的国家干预政策，只能缓和与延缓矛盾，依然不能从根本上解决资本主义的基本矛盾，资本主义的金融危机和经济危机必将继续爆发。</w:t>
      </w:r>
    </w:p>
    <w:p w14:paraId="383CE2B3">
      <w:pPr>
        <w:spacing w:line="400" w:lineRule="exact"/>
        <w:ind w:firstLine="440" w:firstLineChars="200"/>
        <w:rPr>
          <w:rFonts w:ascii="宋体" w:hAnsi="宋体" w:eastAsia="宋体" w:cs="宋体"/>
          <w:szCs w:val="21"/>
        </w:rPr>
      </w:pPr>
      <w:r>
        <w:rPr>
          <w:rFonts w:hint="eastAsia" w:ascii="宋体" w:hAnsi="宋体" w:eastAsia="宋体" w:cs="宋体"/>
          <w:szCs w:val="21"/>
        </w:rPr>
        <w:t>我国作为社会主义国家，应当注意既从基本制度层面，又从具体机制层面防范和预防危机。从基本经济制度层面，就要发展和壮大国有经济，坚持和完善公有制为主体的基本经济制度；从体制机制层面，就要发展和完善国家宏观调控，在夯实实体经济的基础上适度发展虚拟经济，发展和改进金融体制，加强和完善金融监管，以期保持我国社会主义经济更快速、更全面、协调和持续地科学发展。</w:t>
      </w:r>
    </w:p>
    <w:p w14:paraId="6747F3DB">
      <w:pPr>
        <w:spacing w:line="400" w:lineRule="exact"/>
        <w:ind w:firstLine="440" w:firstLineChars="200"/>
        <w:rPr>
          <w:rFonts w:ascii="宋体" w:hAnsi="宋体" w:eastAsia="宋体" w:cs="宋体"/>
          <w:szCs w:val="21"/>
        </w:rPr>
      </w:pPr>
    </w:p>
    <w:p w14:paraId="2E1E194C">
      <w:pPr>
        <w:spacing w:line="400" w:lineRule="exact"/>
        <w:ind w:firstLine="440" w:firstLineChars="200"/>
        <w:rPr>
          <w:rFonts w:ascii="宋体" w:hAnsi="宋体" w:eastAsia="宋体" w:cs="宋体"/>
          <w:szCs w:val="21"/>
        </w:rPr>
      </w:pPr>
      <w:r>
        <w:rPr>
          <w:rFonts w:hint="eastAsia" w:ascii="宋体" w:hAnsi="宋体" w:eastAsia="宋体" w:cs="宋体"/>
          <w:szCs w:val="21"/>
        </w:rPr>
        <w:t>（原载于《前线》2010年第4期，第二作者为王中保）</w:t>
      </w:r>
    </w:p>
    <w:p w14:paraId="5426807D">
      <w:pPr>
        <w:widowControl/>
        <w:spacing w:line="400" w:lineRule="exact"/>
        <w:ind w:firstLine="440" w:firstLineChars="200"/>
        <w:rPr>
          <w:rFonts w:ascii="宋体" w:hAnsi="宋体" w:eastAsia="宋体" w:cs="宋体"/>
          <w:szCs w:val="21"/>
        </w:rPr>
      </w:pPr>
    </w:p>
    <w:p w14:paraId="3EE53904">
      <w:pPr>
        <w:widowControl/>
        <w:spacing w:line="400" w:lineRule="exact"/>
        <w:ind w:firstLine="440" w:firstLineChars="200"/>
        <w:rPr>
          <w:rFonts w:ascii="宋体" w:hAnsi="宋体" w:eastAsia="宋体" w:cs="宋体"/>
          <w:szCs w:val="21"/>
        </w:rPr>
        <w:sectPr>
          <w:footnotePr>
            <w:numFmt w:val="decimalEnclosedCircleChinese"/>
            <w:numRestart w:val="eachPage"/>
          </w:footnotePr>
          <w:pgSz w:w="11850" w:h="16783"/>
          <w:pgMar w:top="1440" w:right="1800" w:bottom="1440" w:left="1800" w:header="851" w:footer="992" w:gutter="0"/>
          <w:pgNumType w:fmt="decimal"/>
          <w:cols w:space="720" w:num="1"/>
          <w:docGrid w:type="linesAndChars" w:linePitch="294" w:charSpace="2252"/>
        </w:sectPr>
      </w:pPr>
    </w:p>
    <w:p w14:paraId="0E7E16CA">
      <w:pPr>
        <w:keepNext/>
        <w:keepLines/>
        <w:widowControl/>
        <w:spacing w:line="480" w:lineRule="auto"/>
        <w:ind w:firstLine="198"/>
        <w:jc w:val="center"/>
        <w:outlineLvl w:val="1"/>
        <w:rPr>
          <w:rFonts w:ascii="黑体" w:hAnsi="黑体" w:eastAsia="黑体" w:cs="Times New Roman"/>
          <w:kern w:val="0"/>
          <w:sz w:val="32"/>
          <w:szCs w:val="32"/>
        </w:rPr>
      </w:pPr>
      <w:bookmarkStart w:id="1111" w:name="_Toc24837"/>
      <w:bookmarkStart w:id="1112" w:name="_Toc1342752651"/>
      <w:bookmarkStart w:id="1113" w:name="_Toc6269317"/>
      <w:r>
        <w:rPr>
          <w:rFonts w:ascii="黑体" w:hAnsi="黑体" w:eastAsia="黑体" w:cs="Times New Roman"/>
          <w:kern w:val="0"/>
          <w:sz w:val="32"/>
          <w:szCs w:val="32"/>
        </w:rPr>
        <w:t>7</w:t>
      </w:r>
      <w:r>
        <w:rPr>
          <w:rFonts w:hint="eastAsia" w:ascii="黑体" w:hAnsi="黑体" w:eastAsia="黑体" w:cs="Times New Roman"/>
          <w:kern w:val="0"/>
          <w:sz w:val="32"/>
          <w:szCs w:val="32"/>
        </w:rPr>
        <w:t>关于社会主义核心价值体系研究和践行情况的调查报告</w:t>
      </w:r>
      <w:bookmarkEnd w:id="1111"/>
      <w:bookmarkEnd w:id="1112"/>
      <w:bookmarkEnd w:id="1113"/>
    </w:p>
    <w:p w14:paraId="2E80CC4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2006年10月，中共十六届六中全会通过《中共中央关于构建社会主义和谐社会若干重大问题的决定》。《决定》第一次提出建设社会主义核心价值体系的战略任务。《决定》指出，社会主义核心价值体系包括四方面的基本内容，即马克思主义指导思想、中国特色社会主义共同理想、以爱国主义为核心的民族精神和以改革创新为核心的时代精神、以“八荣八耻”为主要内容的社会主义荣辱观。</w:t>
      </w:r>
    </w:p>
    <w:p w14:paraId="1A013B23">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2007年10月，胡锦涛总书记在中共十七大报告中提出，要“建设社会主义核心价值体系，增强社会主义意识形态的吸引力和凝聚力”。</w:t>
      </w:r>
    </w:p>
    <w:p w14:paraId="600B7D03">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中国社会科学院马克思主义研究学部于2007年底开始主持和承担了中国社会科学院重大国情调研课题—“关于社会主义核心价值体系研究和践行情况的调查”，对社会主义核心价值体系方面的宣传与研究、贯彻与落实情况进行了追踪调查。</w:t>
      </w:r>
    </w:p>
    <w:p w14:paraId="2EA97A33">
      <w:pPr>
        <w:autoSpaceDE w:val="0"/>
        <w:autoSpaceDN w:val="0"/>
        <w:spacing w:line="360" w:lineRule="auto"/>
        <w:ind w:firstLine="48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一、关于以马克思主义为指导，巩固全国各族人民团结奋斗的共同思想基础</w:t>
      </w:r>
    </w:p>
    <w:p w14:paraId="0161FEE6">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（一）取得的成绩与存在的问题</w:t>
      </w:r>
    </w:p>
    <w:p w14:paraId="66FD682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1.取得的成绩</w:t>
      </w:r>
    </w:p>
    <w:p w14:paraId="01C1C0F5">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对马克思主义作为全党全国各族人民团结奋斗的共同思想基础，广大干部和群众基本上有比较普遍的认同。调查显示，在回答“当今社会各种思潮纷呈复杂，马克思主义应不应该成为指导思想”时，实际回收1748份问卷中，有1080人选择“应该”，占调研对象总人数的61.78%。</w:t>
      </w:r>
    </w:p>
    <w:p w14:paraId="3BD2837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广大党员干部和群众充分认识到，在当今世界中，只有马克思主义才是先进文化的代表。在回答“您认为哪种文化是先进文化的代表”时，实际回收1748份问卷中，有1197人选择“马克思主义”，占调研对象总人数的68.48%。</w:t>
      </w:r>
    </w:p>
    <w:p w14:paraId="3BE32E1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广大党员干部和群众对列宁主义和毛泽东思想仍然保持着较高的认同程度。调查显示，在回答“您认为列宁主义是否过时”时，实际回收1748份问卷中，有1099人选择“否”，占调研对象总人数的62.87%。在回答“毛泽东思想有没有现实意义”时，实际回收1748份问卷中，有1279人选择“有”，占调研对象总人数的73.17%。</w:t>
      </w:r>
    </w:p>
    <w:p w14:paraId="0655F69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第四，对邓小平理论，绝大多数党员干部和群众都能做出正确的认识和评价。在回答“邓小平理论的核心是什么”时，实际回收1748份问卷中，有1541人选择“中国特色社会主义”，占调研对象总人数的88.16%。</w:t>
      </w:r>
    </w:p>
    <w:p w14:paraId="0CC665A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五，大多数党员干部和群众都十分认可，中国特色社会主义理论体系是马列主义和毛泽东思想的继承和发展。在回答“您认为中国特色社会主义理论体系与马列主义和毛泽东思想的关系是什么”时，实际回收1748份问卷中，有1364人选择“继承和发展”，占调研对象总人数的78.03%。</w:t>
      </w:r>
    </w:p>
    <w:p w14:paraId="4D3115F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六，以胡锦涛为总书记的新一届党中央提出科学发展观和构建社会主义和谐社会的新理念之后，由于党和政府推出了一系列新举措—解决收入差距扩大、重新构思医疗体制、建设社会主义新农村、重拳打击腐败等，受到广大人民群众的普遍欢迎和拥护。调查显示，在回答“您是否赞成用科学发展观统领经济社会发展全局”时，实际回收1748份问卷中，有1427人选择“赞成”，占调研对象总人数的81.64%。</w:t>
      </w:r>
    </w:p>
    <w:p w14:paraId="0EFD4296">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2.存在的问题</w:t>
      </w:r>
    </w:p>
    <w:p w14:paraId="35561E60">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有部分党员干部，虽然也承认马克思主义是共同思想基础，但却认为它只是政治宣传，不起实际作用，没有现实应用的价值和意义；有的表面上把马克思主义摆在重要位置，嘴里喊高举马克思主义伟大旗帜，却不付诸行动。有的虽然付诸行动，却热衷于做表面文章，搞形式主义，喊几句口号而已。至于共同思想基础的内涵是什么，为什么要巩固，怎样巩固，却不甚了了。</w:t>
      </w:r>
    </w:p>
    <w:p w14:paraId="2AA9D007">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目前在我国，认为马克思主义已经过时的观点，仍有一定的市场。甚至有一些人公开否定四项基本原则，主张资产阶级自由化，否定公有制，主张私有制。在回答“对‘逐步私有化是我国改革的方向’，您的看法怎样”时，实际回收1748份问卷中，有546人选择“赞同”，占调研对象总人数的31.24%，选择“反对”的有779人，占调研对象总人数的44.57%，另外，还有423人选择“说不清”，占调研对象总人数的24.20%。这表明，明确反对把私有化作为我国改革的方向的人，还不到调研对象总人数的一半，而“赞同”把私有化作为我国改革的方向和“说不清”的人，加起来却高达55.44%。这点很是令人担忧。</w:t>
      </w:r>
    </w:p>
    <w:p w14:paraId="3FB2BC2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此外，在回答如何看待“社会主义与资本主义逐步融合、走向趋同”的看法时，同样也印证了这点。实际回收1748份问卷中，有749人选择“赞同”，高达调研对象总人数的42.85%，选择“反对”的只有594人，占调研对象总人数的33.98%，另外有405人选择“说不清”，占调研对象总人数的23.17%。就是说，对待未来，将近有半数的人认为社会主义与资本主义会逐步融合、走向趋同。</w:t>
      </w:r>
    </w:p>
    <w:p w14:paraId="3CA2C127">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还有少部分人，攻击马克思主义，提倡西方的民主、多党制和三权分立。在回答“您对西方发达国家在发展中国家推行‘民主’、自由价值观的目的的看法”时，实际回收1748份问卷中，有833人选择是“使这些国家的人民享受真正的民主和自由”，高达调研对象总人数的47.65%，选择其目的是“推行西方畸型的民主政治模式”的只有621人，占调研对象总人数的35.53%，另外有294人选择“说不清”，占调研对象总人数的16.82%。</w:t>
      </w:r>
    </w:p>
    <w:p w14:paraId="09C4B3F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四，部分群众对践行社会主义核心价值体系中贯彻马克思主义为指导思想的评价不高。这也反映出，我们在学习和践行社会主义核心价值体系中，在贯彻马克思主义为指导思想方面，还存在薄弱环节。第五，马克思主义宣传教育方面的形式主义现象比较突出，马克思主义仍存在与现实生活相脱节、远离老百姓生活的问题。在回答“您认为马克思主义被弱化的原因是什么”时，实际回收1748份问卷中，有1029人选择“宣传教育形式化”，高达调研对象总人数的58.87%，位列其他四个候选项的第一。</w:t>
      </w:r>
    </w:p>
    <w:p w14:paraId="6E26D39E">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（二）取得成绩与存在问题的原因分析</w:t>
      </w:r>
    </w:p>
    <w:p w14:paraId="3E494AB6">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1.取得成绩的原因</w:t>
      </w:r>
    </w:p>
    <w:p w14:paraId="576F487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第一，改革开放的巨大成就，为理论成果深入人心提供了坚实的物质基础。中国特色社会主义建设取得的巨大成就和生动实践，增强了社会主义的凝聚力和信服力。</w:t>
      </w:r>
    </w:p>
    <w:p w14:paraId="32CAA3D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以胡锦涛为总书记的中共中央坚持全心全意为人民服务的宗旨，立党为公、执政为民，坚持情为民所系、权为民所用、利为民所谋，提出科学发展观和构建社会主义和谐社会的新理念，努力使广大人民群众共享改革和发展成果，得到广大人民群众的拥护。</w:t>
      </w:r>
    </w:p>
    <w:p w14:paraId="328CF255">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中国共产党重视自身建设，加强党的先进性教育和执政能力建设。党的先进性教育活动使人民群众更加认识到，中国共产党能够走在时代的前列，带领全国人民把中国特色社会主义现代化建设全面推向前进。</w:t>
      </w:r>
    </w:p>
    <w:p w14:paraId="78E1E2BD">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2.存在问题的原因</w:t>
      </w:r>
    </w:p>
    <w:p w14:paraId="0D8F92A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在部分党员领导干部中，社会主义和共产主义的理想信念逐渐淡化，甚至丧失，内心世界里早已不认同马克思主义，在人民群众中造成了恶劣的影响。在回答“您认为对共产主义理想信念产生危机的原因是什么”时，实际回收1748份问卷中，有916人选择了“部分领导干部和教育者自己不信仰共产主义”，占调研对象总人数的52.40%，位居六项选择的第二。</w:t>
      </w:r>
    </w:p>
    <w:p w14:paraId="6836689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党内腐败现象严重，使得人民群众对马克思主义理论产生疑问，甚至抵触。用马克思主义武装的党解决不了自身的腐败，客观上使群众认为马克思主义解决不了党内存在的问题。在回答“您认为对共产主义理想信念产生危机的原因是什么”时，实际回收1748份问卷中，有1329人选择“干部腐败问题”，占调研对象总人数的76.03%，位居六项选择的第一。</w:t>
      </w:r>
    </w:p>
    <w:p w14:paraId="2A0E148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一些地方党和政府的领导同志对意识形态领域的形势缺少忧患意识。在实际工作中重经济建设，轻理论学习，觉得思想政治工作可有可无，导致经济建设和理论学习“两张皮”现象愈演愈烈。第四，社会主义处于低潮，敌强我弱形势产生一定负面效应。苏东剧变使社会主义运动处于低谷，一些人特别是部分青年对社会主义的前途和生命力产生了怀疑，对社会主义的优越性产生了动摇。第五，我国处于改革攻坚阶段，面临一个社会矛盾的“凸显期”，热点难点问题和群体性事件增多；加之改革开放的深入推进和社会主义市场经济的不断发展，人们的价值选择、思维方式和生活方式多样性、多元化和多变性的特征日渐凸显，一些非马克思主义甚至反马克思主义的意识形态有所滋长，为统一思想、凝聚力量带来了一定的难度。</w:t>
      </w:r>
    </w:p>
    <w:p w14:paraId="4CCB22FD">
      <w:pPr>
        <w:autoSpaceDE w:val="0"/>
        <w:autoSpaceDN w:val="0"/>
        <w:spacing w:line="360" w:lineRule="auto"/>
        <w:ind w:firstLine="480" w:firstLineChars="200"/>
        <w:jc w:val="center"/>
        <w:rPr>
          <w:rFonts w:ascii="宋体" w:hAnsi="宋体" w:eastAsia="宋体" w:cs="Times New Roman"/>
          <w:b/>
          <w:sz w:val="24"/>
          <w:szCs w:val="24"/>
        </w:rPr>
      </w:pPr>
      <w:r>
        <w:rPr>
          <w:rFonts w:hint="eastAsia" w:ascii="宋体" w:hAnsi="宋体" w:eastAsia="宋体" w:cs="Times New Roman"/>
          <w:b/>
          <w:bCs/>
          <w:sz w:val="24"/>
          <w:szCs w:val="24"/>
        </w:rPr>
        <w:t>二、关于中国特色社会主义共同理想的教育</w:t>
      </w:r>
    </w:p>
    <w:p w14:paraId="1033097D">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（一）中国特色社会主义共同理想教育所取得的成绩和主要经验</w:t>
      </w:r>
    </w:p>
    <w:p w14:paraId="07FFFF5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1.取得的成绩</w:t>
      </w:r>
    </w:p>
    <w:p w14:paraId="402F8F9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在改革开放的新时期和新历史条件下，中国特色社会主义共同理想逐步成为中华民族团结奋斗的精神支柱和精神动力。这个共同理想把党、国家、民族与个人紧紧地联系在一起，强调了党要为实现自身在社会主义初级阶段的目标而奋斗，国家要基本实现现代化，民族要实现伟大复兴，个人要过上富裕的小康生活，代表和反映了中国社会最广大人民群众的根本利益，能为广大人民群众所认同和接受，成为我们党治国理政的旗帜、中华民族奋斗前行的向导、全国各族人民团结奋斗的坚强主心骨和强大推动力。</w:t>
      </w:r>
    </w:p>
    <w:p w14:paraId="0B9FFD8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中国特色社会主义共同理想得到广大干部群众的基本认同。调查显示，在回答“您同意中国特色社会主义是全国各族人民的共同理想吗”时，实际回收1748份问卷中，有1234人选择“同意”，占调研对象总人数的70.59%。</w:t>
      </w:r>
    </w:p>
    <w:p w14:paraId="0152D32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第三，大多数干部群众对于共同理想的认识是正确的。调查显示，在回答“您认为什么是全国各族人民的共同理想”时，实际回收1748份问卷中，有1397人选择“中国特色社会主义”，占调研对象总人数的79.92%。</w:t>
      </w:r>
    </w:p>
    <w:p w14:paraId="588F7633">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2.主要历史经验</w:t>
      </w:r>
    </w:p>
    <w:p w14:paraId="473646D5">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调查中，不少同志提到，高度重视共同理想教育，这是由中国共产党从事的事业的崇高性质所决定的，也是中国共产党在长期的革命、建设和改革的历程中总结出来的宝贵经验和优良传统。中国革命之所以能够渡过那些无比艰辛的岁月而最终取得胜利，很重要的原因就在于“革命理想高于天”。中国特色社会主义共同理想就是凝聚中华儿女的共同意志、整合各种力量、发展中国特色社会主义的精神支柱，是中华民族团结奋斗的精神动力。另一方面，中国特色社会主义事业的蓬勃发展，极大地增强了人们发展中国特色社会主义、实现中华民族伟大复兴的信心，有力地促进了中国特色社会主义共同理想教育。</w:t>
      </w:r>
    </w:p>
    <w:p w14:paraId="4042D292">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时代需要航标，社会需要榜样，思想需要先导。在典型教育的实践中，我们成功探索出了许多行之有效的具体形式，如中国中央电视台举办的大型评选活动《感动中国》，每年从社会各行各业推选出十位人物，他们或推动时代进步，或爱岗敬业，或以个人的行为，代表了社会发展方向，体现了共同理想的要求，使中国特色社会主义共同理想“人格化”和“可视化”，变得可亲、可信、可学，起到了极大的群体效仿效应，有力地推动了中国特色社会主义共同理想教育。</w:t>
      </w:r>
    </w:p>
    <w:p w14:paraId="72546E01">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（二）中国特色社会主义共同理想教育面临的挑战和存在的问题</w:t>
      </w:r>
    </w:p>
    <w:p w14:paraId="2CF90616">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1.中国特色社会主义共同理想教育面临着巨大的压力和挑战</w:t>
      </w:r>
    </w:p>
    <w:p w14:paraId="45D1E727">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中国特色社会主义共同理想遭到歪曲和攻击。这种歪曲和攻击来自国际、国内两方面。从国际上看，西方敌对势力为实现其“西化”、“分化”中国的图谋，动摇马克思主义在我国意识形态领域的指导地位，极力鼓吹马克思主义“过时论”、社会主义“失败论”、共产主义“渺茫论”等。在国内，随着改革开放的深入推进，马克思主义、社会主义、中国共产党的领导，遭受着来自“左”、右两方面的歪曲，造成了极大的思想混乱。</w:t>
      </w:r>
    </w:p>
    <w:p w14:paraId="55688AC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中国特色社会主义共同理想遭到冲击。这种冲击主要来自三方面：一是苏联解体、东欧剧变及西方发达国家的进一步发展对人们心理上的强烈冲击。社会主义和资本主义力量的一降一升，使一些人对社会主义运动、马克思主义理论、共产主义理想信念产生怀疑、迷惑甚至动摇，怀疑我国“红旗到底能打得多久”？二是市场经济负面效应的冲击，拜金主义、极端个人主义、享乐主义等不良风气在社会上滋生蔓延，冲击了对共产主义理想信念的追求。三是经济社会转型的冲击。随着改革的进一步深入，经济社会的剧烈变革，一些深层次矛盾和社会问题突显出来，许多热点、难点、焦点问题应运而生，造成思想上的困惑和理想上的迷失。</w:t>
      </w:r>
    </w:p>
    <w:p w14:paraId="246D84A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把共同理想理解为是建立“中国特色资本主义”。有一些人明确讲，他们理解的共同理想不是别的，是中国特色资本主义。调查结果也证明这点，在回答“您认为全国各族人民的共同理想是什么”时，实际回收1748份问卷中，还有101人选择“中国特色资本主义”，占调研对象总人数的5.78%。</w:t>
      </w:r>
    </w:p>
    <w:p w14:paraId="7D508506">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总之，理论上的困惑，思想上的混乱，众多的社会矛盾和问题，使一些人对中国特色社会主义的信念发生动摇，对中华民族的伟大复兴缺乏信心，这使得中国特色社会主义共同理想教育面临前所未有的挑战。</w:t>
      </w:r>
    </w:p>
    <w:p w14:paraId="68C43D4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2.中国特色社会主义共同理想教育自身面临的问题</w:t>
      </w:r>
    </w:p>
    <w:p w14:paraId="28E4A38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谈抽象的理论多，谈人们理想方面的实际情况少。在进行中国特色社会主义共同理想教育时，往往围绕着抽象的理论展开，停留在文本上，而全面地就人们理想方面的现状和问题做出分析的少，这让受教育者感到共同理想教育是与己无关的事情。</w:t>
      </w:r>
    </w:p>
    <w:p w14:paraId="17924D19">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将共同理想与个人理想割裂开来。在进行中国特色社会主义共同理想教育时，往往强调树立共同理想，却很少关注人们的个人理想如何确立。然而，离开个人理想来谈论树立共同理想，共同理想教育就成了一种和受教育者的需求不沾边的活动。第三，人们的社会主义理想信念比较淡薄，一些人对社会主义必然战胜资本主义的信念产生动摇，对建设中国特色社会主义事业缺乏信心，尤其是当代大学生的理想信念问题令人堪忧，他们的理想更多地是集中在生活和职业理想上，而对社会和道德理想则关注很少，只占10%左右。</w:t>
      </w:r>
    </w:p>
    <w:p w14:paraId="6ADCD01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针对新的时代特点，如何切实有效地开展中国特色社会主义共同理想教育，如何使中国特色社会主义共同理想教育经常化、制度化，如何从中国特色社会主义共同理想教育中总结规律性的认识等，仍是当前中国特色社会主义共同理想教育中迫切需要解决的重大问题。</w:t>
      </w:r>
    </w:p>
    <w:p w14:paraId="0709CC9B">
      <w:pPr>
        <w:autoSpaceDE w:val="0"/>
        <w:autoSpaceDN w:val="0"/>
        <w:spacing w:line="360" w:lineRule="auto"/>
        <w:ind w:firstLine="48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三、关于以爱国主义为核心的民族精神和以改革创新为核心的时代精神</w:t>
      </w:r>
    </w:p>
    <w:p w14:paraId="3261CE6E">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（一）取得的成绩</w:t>
      </w:r>
    </w:p>
    <w:p w14:paraId="5950101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第一，从总体上看，人们普遍认为，民族精神和时代精神建设取得了较大成绩。</w:t>
      </w:r>
    </w:p>
    <w:p w14:paraId="11FA857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回答“您认为我国目前在践行社会主义核心价值体系中，下列哪些方面相对做的最好”问题时，实际回收1748份问卷中，赞成时代精神和民族精神的分别占到了22.71%和21.05%，在五项中分列第二位和第三位。如果把二者合并为一项，它们所得到的赞同率则达到了43.86%，同其他三个内容相比遥遥领先。</w:t>
      </w:r>
    </w:p>
    <w:p w14:paraId="128E7080">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第二，作为社会主义核心价值体系的精髓，以爱国主义为核心的民族精神得到了人们的普遍认同，已经成为当代中国人民的精神支柱。</w:t>
      </w:r>
    </w:p>
    <w:p w14:paraId="74EFA5E5">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调查显示，在改革开放的新时期，人们对于以爱国主义为核心的民族精神表示了极大的支持和认同，普遍认为它们应该成为社会主义核心价值体系的精髓，成为当代中国人民的精神支柱。</w:t>
      </w:r>
    </w:p>
    <w:p w14:paraId="61F6CB36">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回答“您认为是否爱国主义应该成为我们民族精神的主要内容”时，实际回收1748份问卷中，选择“应该”的，有1362人，占调研对象总人数的77.92%。数据充分表明，人们对于爱国主义在民族精神中的核心地位是广泛认同的。</w:t>
      </w:r>
    </w:p>
    <w:p w14:paraId="5ECE6269">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第三，作为社会主义核心价值体系的精髓，改革创新已经成为当今中国的时代精神风尚。</w:t>
      </w:r>
    </w:p>
    <w:p w14:paraId="7823A60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随着改革开放事业的深入，改革创新精神越来越成为当今中国的时代精神风尚，得到当今中国人民的精神认同。</w:t>
      </w:r>
    </w:p>
    <w:p w14:paraId="01632AB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在回答“您认为是否改革开放已经成为我们今天时代精神的主要内容”时，实际回收1748份问卷中，选择“是”的人数达到1229，占调研对象总人数的70.31%。</w:t>
      </w:r>
    </w:p>
    <w:p w14:paraId="09C5DD8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而且，赞同改革创新成为当今时代精神主要内容的人当中，越是改革开放的直接实践者、越是在改革开放实践中承担主要力量的人，越赞同改革创新精神。调查显示，19岁以下、20～30岁、31～40岁、51岁以上、41～50岁五个年龄档的人群，对改革创新精神的赞同率依此呈上升趋势，分别是62.30%、68.97%、71.67%、73.56%、80.18%。</w:t>
      </w:r>
    </w:p>
    <w:p w14:paraId="070CB8B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第四，民族精神和时代精神建设在高学历人群中取得了较大成效。</w:t>
      </w:r>
    </w:p>
    <w:p w14:paraId="10C0AA2D">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同样是在回答“您认为我国目前在践行社会主义核心价值体系中，下列哪些方面相对做的最好”问题时，高学历的研究生对民族精神和时代精神建设成绩的肯定远远超出了其他三项内容。</w:t>
      </w:r>
    </w:p>
    <w:p w14:paraId="546EB9B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第五，民族精神和时代精神建设在与文化建设密切相关的职业群体中取得了较大成效。</w:t>
      </w:r>
    </w:p>
    <w:p w14:paraId="078CF76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回答“您认为我国目前在践行社会主义核心价值体系中，下列哪些方面相对做的最好”问题时，从事教学和科研的人员对这个与文化建设直接相关的职业群体对民族精神和时代精神建设的成就评价远远超过其他三个方面。</w:t>
      </w:r>
    </w:p>
    <w:p w14:paraId="7C1752DD">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这种现象同样出现在学生和国家公务员这些比较熟悉文化建设的群体中。</w:t>
      </w:r>
    </w:p>
    <w:p w14:paraId="727AD6F0">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而那些对文化建设领域相对比较不熟悉的社会群体如农民、农民工对民族精神和时代精神建设方面的成就的评价则低于上述群体。</w:t>
      </w:r>
    </w:p>
    <w:p w14:paraId="0144FB15">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（二）存在的问题</w:t>
      </w:r>
    </w:p>
    <w:p w14:paraId="5F7BD0A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第一，从总体上来看，有相当一部分人看不到民族精神同时代精神之间的内在联系。</w:t>
      </w:r>
    </w:p>
    <w:p w14:paraId="30E8E899">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回答“您认为爱国主义的民族精神和改革开放的时代精神的关系怎样”时，实际回收的1748份问卷中，认为二者没有关系的人数也有312人，占调研对象总人数的17.85%；同时还有105人认为二者之间的关系“说不清”，占调研对象总人数的6.01%。这就是说，有23.86%的人没有看到二者之间的内在联系，这个比例是不能忽视的。</w:t>
      </w:r>
    </w:p>
    <w:p w14:paraId="5F0B13C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第二，许多高学历人群，看不到民族精神同时代精神的内在联系，这很值得高度关注。</w:t>
      </w:r>
    </w:p>
    <w:p w14:paraId="3CE9D7B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在实际回收的310位研究生问卷中，有多达96人认为民族精神同时代精神没有关系，占调研对象总人数的30.97%，还有16人选择“说不清”，占调研对象总人数的5.16%。两项相加达36.13%。</w:t>
      </w:r>
    </w:p>
    <w:p w14:paraId="2CFA8C1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第三，有一些中国共产党党员对民族精神和时代精神的关系认识模糊，这种模糊甚至是触目惊心的。</w:t>
      </w:r>
    </w:p>
    <w:p w14:paraId="12FE7EB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中共中央反复强调，改革创新的时代精神是中华民族精神在当代的集中体现和创新发展。但是，却有一大批的中国共产党党员缺乏足够的政治敏感性，对党中央的这个判断没有正确理解。</w:t>
      </w:r>
    </w:p>
    <w:p w14:paraId="249C6A59">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回答“您认为爱国主义的民族精神和改革开放的时代精神的关系怎样”时，实际回收的617位中共党员的问卷中，选择“和谐统一”的，有407人，占调研对象总人数的65.96%；选择“两者没有关系”的高达189人，占调研对象总人数的30.63%；选择“说不清”的还有21人，占调研对象总人数的3.40%。</w:t>
      </w:r>
    </w:p>
    <w:p w14:paraId="4E0D64F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这个比例，同接受调查的民主党派、共青团员、一般群众相比，形成了非常明显的反差，这的确值得认真对待。</w:t>
      </w:r>
    </w:p>
    <w:p w14:paraId="4F5CF3F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第四，在对爱国主义与民族主义关系的理解上，有相当多的人把爱国主义和民族主义混为一谈，不能正确把握爱国主义的真正涵义，直接影响到以爱国主义为核心的民族精神的发展。</w:t>
      </w:r>
    </w:p>
    <w:p w14:paraId="300FA4C3">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回答“爱国主义是否等同于各种民族主义”时，实际回收的1748份问卷中，选择“不是”的只有987人，占调研对象总人数的56.46%，选择“是”的就有562人，占调研对象总人数的32.15%，还有199人选择“说不清”，占调研对象总人数的11.38%，后两项相加，达到43.53%。可见，人们在爱国主义同各种民族主义关系问题上，存在着比较严重的问题。</w:t>
      </w:r>
    </w:p>
    <w:p w14:paraId="758513B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第五，青少年和低学历人群对爱国主义和民族主义的关系的错误认识相当严重。</w:t>
      </w:r>
    </w:p>
    <w:p w14:paraId="30F06E7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从不同年龄层次的社会群体来看，19岁以下的青少年对爱国主义同民族主义之间关系的认识，存在着很大的误区。超过一半的人不清楚或者错误认识二者的关系。</w:t>
      </w:r>
    </w:p>
    <w:p w14:paraId="3BCDB21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实际回收的19岁以下人群的244份问卷中，有91人（37.30%）认为爱国主义与民族主义是等同的，占调研对象总人数的37.30%，有34人选择“说不清”二者的关系，占调研对象总人数的13.93%，二项相加，达到51.23%。可见青少年在爱国主义与民族主义关系认识上的巨大差距。</w:t>
      </w:r>
    </w:p>
    <w:p w14:paraId="7A84F842">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第六，有不少中共党员和共青团员对爱国主义和民族主义的关系也是模糊不清的，这对整个社会的认识无疑产生了不良的影响。</w:t>
      </w:r>
    </w:p>
    <w:p w14:paraId="1E4C881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回答“爱国主义是否等同于各种民族主义”时，实际回收的617位中共党员问卷中，选择“是”的，有193人，占调研对象总人数的31.28%，选择“说不清”的，有32人，占调研对象总人数的5.19%，二项相加，达到36.48%。</w:t>
      </w:r>
    </w:p>
    <w:p w14:paraId="3E631E0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在回答同一问题的611位共青团员问卷中，选择“是”的，有169人，占调研对象总人数的27.66%；选择“说不清”的有71人，占调研对象总人数的11.62%，二项相加，达到39.28%。</w:t>
      </w:r>
    </w:p>
    <w:p w14:paraId="0A76058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中共党员和共青团员在这个问题上的错误和模糊认识，对其他社会群体的思想有很大的误导性，直接影响到了广大群众对爱国主义和民族主义关系的认识。</w:t>
      </w:r>
    </w:p>
    <w:p w14:paraId="1965296E">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（三）产生对民族精神和时代精神错误认识的原因分析</w:t>
      </w:r>
    </w:p>
    <w:p w14:paraId="053DA0E0">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第一，对改革开放的一些错误认识，直接影响了人们对时代精神的把握，降低了改革创新精神在人们心目中的地位。</w:t>
      </w:r>
    </w:p>
    <w:p w14:paraId="27623456">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改革开放和中国特色社会主义事业蓬勃发展的过程中，确实存在着这样那样的杂音和干扰。一些人过度夸大改革开放攻坚阶段的社会矛盾和现实问题，认为这些矛盾和问题“都是改革开放惹的祸”，认为“改革开放并不是社会主义的自我完善和发展，相反是对社会主义本身的侵蚀和毁坏”，因此改革开放是成败同在、毁誉兼有，甚至是过大于功、得不偿失。一些群众受到“纯粹客观主义”的影响，切断社会主义制度同改革开放成果之间的内在联系，在享受改革开放成果的同时却并不认同社会主义制度的优越性。一些群众特别是一些弱势群体受到了“问题夸大论”的影响，在享受改革开放成果的同时却又否认改革开放的合理性，并不认同改革创新精神的作用，对以改革创新为核心的时代精神产生抵触。</w:t>
      </w:r>
    </w:p>
    <w:p w14:paraId="7D18ED00">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第二，一些错误思潮的泛滥，影响了人们对以爱国主义为核心的民族精神的正确把握，误导人们对爱国主义的理解。</w:t>
      </w:r>
    </w:p>
    <w:p w14:paraId="2760F83D">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当今时代，是一个思潮迸发的时代，在我国的思想文化领域，存在着各种各样的文化思潮，诸如民主社会主义、新自由主义、历史虚无主义、极端民族主义、后现代主义、新实用主义等。其中有些思潮否认民族精神的合理性，有些思潮以消解历史为标榜，有些思潮过度夸大地方性和民族性特点而否认中华民族精神的一体性，有些思潮则通过宣扬某些西方社会的所谓的优越性来否认中华民族精神的合理性，否认爱国主义的必要性，等等。</w:t>
      </w:r>
    </w:p>
    <w:p w14:paraId="7F7B2EE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第三，在爱国主义教育中，实际存在着某种程度的形式主义，过多地关注表面的形式化的东西，而忽视了对爱国主义本身的教育和培养，直接影响了青少年对爱国主义的正确理解。</w:t>
      </w:r>
    </w:p>
    <w:p w14:paraId="41CC021A">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有些地方、单位，仅仅注意搞了多少活动，开了多少基地，组织了多少次会议，而不注意把爱国主义和民族精神真正落实到青少年的思想深处，导致了青少年错误地把活动、会议等同于爱国主义本身；有些地方和单位过多地强调地方文化特色或某些民族文化的特殊性，而忽视了中华民族文化的整体性和中华民族精神的统一性，导致了青少年把地方性、特殊性等同于民族文化、民族精神。同时，值得注意的是，一些不正确、虚构的影视剧、文化作品，通过“戏说”、“再造”、“荒诞”等形式，过度夸大甚至编造某些所谓的“历史”，直接影响了青少年对真实历史的理解，误导了青少年对中华民族奋斗历程的认识，从而降低了爱国主义在他们心目中的位置。</w:t>
      </w:r>
    </w:p>
    <w:p w14:paraId="288F2440">
      <w:pPr>
        <w:widowControl/>
        <w:spacing w:line="400" w:lineRule="exact"/>
        <w:ind w:firstLine="480" w:firstLineChars="200"/>
        <w:rPr>
          <w:rFonts w:ascii="宋体" w:hAnsi="宋体" w:eastAsia="宋体" w:cs="Times New Roman"/>
          <w:b/>
          <w:sz w:val="24"/>
          <w:szCs w:val="24"/>
        </w:rPr>
      </w:pPr>
      <w:r>
        <w:rPr>
          <w:rFonts w:hint="eastAsia" w:ascii="宋体" w:hAnsi="宋体" w:eastAsia="宋体" w:cs="Times New Roman"/>
          <w:b/>
          <w:sz w:val="24"/>
          <w:szCs w:val="24"/>
        </w:rPr>
        <w:t>四、关于社会主义荣辱观的教育</w:t>
      </w:r>
    </w:p>
    <w:p w14:paraId="5CF3C134">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（一）取得的成绩及存在的问题</w:t>
      </w:r>
    </w:p>
    <w:p w14:paraId="4356B78D">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1.取得的成绩</w:t>
      </w:r>
    </w:p>
    <w:p w14:paraId="5647AC5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第一，社会主义荣辱观已经广为广大干部群众所了解，表明该项教育活动已经初见成效。</w:t>
      </w:r>
    </w:p>
    <w:p w14:paraId="4D72EE6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调查显示，在回答“您知道正在开展的社会主义荣辱观教育活动吗”时，实际回收1748份问卷中，有545人选择“很了解”，占调研对象总人数的31.18%，选择“基本了解”的有856人，占调研对象总人数的48.97%，两项相加，达到80.15%。由此可见，广大干部群众对于正在开展的社会主义荣辱观教育活动的知晓度相当高。</w:t>
      </w:r>
    </w:p>
    <w:p w14:paraId="14BE8732">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第二，大多数干部群众对社会主义荣辱观的深刻内涵有比较准确的认识。</w:t>
      </w:r>
    </w:p>
    <w:p w14:paraId="5BCE0427">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调查显示，对于社会主义荣辱观的深刻内涵，广大干部群众也有着比较准确的认识。在回答“您认为‘社会主义荣辱观’是对马克思主义道德观的继承和发展吗”时，实际回收1748份问卷中，有1105人选择“是”，占调研对象总人数的63.22%。在回答“您认为‘社会主义荣辱观’与我国传统美德思想是一脉相承的吗”时，实际回收1748份问卷中，有1183人选择“是”，占调研对象总人数的67.68%。</w:t>
      </w:r>
    </w:p>
    <w:p w14:paraId="4D7E519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第三，广大干部群众充分认识到了树立社会主义荣辱观的极端重要性，高度认同以“八荣八耻”为主要内容的社会主义荣辱观，并把它作为我国社会生活的主流价值观念加以认可。</w:t>
      </w:r>
    </w:p>
    <w:p w14:paraId="4DF87C9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改革开放以来，我国经济和社会发生了快速转型。与改革开放30年来所取得的巨大物质文明成就相比，精神文明方面的进展却不尽如人意，出现了价值观混乱和道德偏差的状况。官员贪污腐败、商人制假贩假、学者欺世盗名、青年拜金虚无、教育医疗卫生等公共领域惟利是图等各种不明是非、不知荣辱、不辨善恶、不分美丑的社会现象，严重影响了经济社会的持续健康发展。因此，建立一个道德有序的社会，已经成为广大干部群众的共识。</w:t>
      </w:r>
    </w:p>
    <w:p w14:paraId="1B4A15F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调查显示，在回答“对以‘社会主义荣辱观’作为我国社会生活的主流价值观念，您的看法”这一问题时，实际回收1748份问卷中，有920人选择“非常赞同”，占调研对象总人数的52.63%，有598人选择“基本赞同”，占调研对象总人数的34.21%，两项相加，高达86.84%。</w:t>
      </w:r>
    </w:p>
    <w:p w14:paraId="42CD16CD">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2.存在的问题</w:t>
      </w:r>
    </w:p>
    <w:p w14:paraId="3CFC899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第一，在对社会主义荣辱观的认识上存在一些偏差。</w:t>
      </w:r>
    </w:p>
    <w:p w14:paraId="6FEC2467">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一是还有一部分人对社会主义荣辱观缺乏深入的学习。从问卷调查结果可以看到，虽然表示“了解社会主义荣辱观”的人达到了达到80.15%，但其中表示“很了解”的仅占31.18%。另外，在受访人群中，依然有18.15%的人选择了“仅听说过”和“不清楚”，距离达到中共中央提出的要做到“家喻户晓、人人皆知、成为全体公民的广泛共识”的目标还有一定差距，并且仍有少部分人对社会主义荣辱观的基本内容、丰富内涵以及行为规范存在认识模糊和认识不清的状况，更有极少部分人依然存在“是非不分、荣辱不明，甚至颠倒是非，混淆善恶，以耻为荣”的情况。</w:t>
      </w:r>
    </w:p>
    <w:p w14:paraId="5BDB7E83">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二是人们对社会主义荣辱观的认识上存在一些偏差，尤其是一些人对于社会主义荣辱观实践主体的认识方面，仍存在一些错误认识。调查发现，仍然有一些人认为，中央强调的是“要引导广大干部群众特别是青少年树立社会主义荣辱观”，与自己没有什么关系，从而将自己排除在了学习和树立社会主义荣辱观的对象之外。</w:t>
      </w:r>
    </w:p>
    <w:p w14:paraId="7DEE6CF3">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第二，在社会主义荣辱观的认知与践行方面存在脱节现象。</w:t>
      </w:r>
    </w:p>
    <w:p w14:paraId="5475FED9">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调查显示，不少人对于社会主义荣辱观耳熟能详，他们不但熟知荣辱观的字面意思，并且口头上对荣辱、是非、善恶问题的判断总体上也比较明确，但是，在社会主义荣辱观的践行方面却存在相对滞后的情况，部分人在日常行为中的表现与认知情况存在脱节现象，在一些人身上甚至存在严重的知行不一的情况。</w:t>
      </w:r>
    </w:p>
    <w:p w14:paraId="594E6747">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社会主义荣辱观知行脱节的现象不仅存在于一些青少年和普通干部群众之中，而且也严重存在于一些高级领导干部身上。譬如，一些领导干部一边在会议上、甚至在电视上大讲反腐败的重要性，一边不择手段地聚敛钱财，贪污腐败。这种知行不一的现象，在人民群众中造成了很大的消极影响，甚至直接影响到党和政府的威信和执政基础，乃至影响到人们的理想信念。</w:t>
      </w:r>
    </w:p>
    <w:p w14:paraId="26A320A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调研问卷中，当问到“您认为对共产主义理想信念产生危机的原因是什么”时，在给出的包括“党章没有界定什么是共产主义基本特征“、“文科教科书极少阐述共产主义基本特征”、“苏东社会主义国家的蜕变”、“部分领导干部和教育者自己不信仰共产主义”、“干部腐败问题”、“西方学术思潮的影响”等六个备选择答案中，“干部腐败问题”高居第一位，在受访的1748人中，有1329人选择了这一答案，占76.03%。</w:t>
      </w:r>
    </w:p>
    <w:p w14:paraId="6634EAE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第三，在社会主义荣辱观的认知与践行中存在大是小非的现象。</w:t>
      </w:r>
    </w:p>
    <w:p w14:paraId="4A85B490">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调查显示，在“大”的方面，如爱国主义和民族主义情感等方面，广大干部群众和青少年大都有着比较明确的、正确的价值取向。但是，在一些“小”的方面，如艰苦奋斗、辛勤劳动、遵纪守法等方面却存在着一些认识不清，乃至荣辱倒置的状况，这种情况在青少年中表现得尤为突出。</w:t>
      </w:r>
    </w:p>
    <w:p w14:paraId="3A140C9C">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（二）取得成绩与存在问题的原因分析</w:t>
      </w:r>
    </w:p>
    <w:p w14:paraId="383D6660">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1.取得成绩的原因</w:t>
      </w:r>
    </w:p>
    <w:p w14:paraId="24F0AED2">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中共十一届三中全会以来，中央关于加强思想道德建设的两个决议、五个文件，明确把思想道德建设和先进文化建设摆在社会主义现代化建设事业的重要位置。</w:t>
      </w:r>
    </w:p>
    <w:p w14:paraId="4E5C2E3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无论是在问卷中还是在座谈访谈中，我们都深切感受到，中共中央对思想道德建设的高度重视以及在全国范围采取的上述措施，对于形成思想道德建设的良好氛围、形成“知荣辱、讲正气、树新风、促和谐”的文明风尚，起到了一定的积极作用。</w:t>
      </w:r>
    </w:p>
    <w:p w14:paraId="3B3FA9F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调研中我们还了解到，各新闻宣传部门注重在新闻报道中体现社会主义荣辱观的要求，注重在文化宣传中加大思想道德建设的力度。各级各类学校积极采取了一系列旨在提高青少年思想道德素质的措施。社会主义建设取得的巨大成就，增强了社会主义的凝聚力和信服力，成为思想教育最有力的现实教材和伟大学校。</w:t>
      </w:r>
    </w:p>
    <w:p w14:paraId="43973C7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调查中我们还了解到，大多数人对于改革开放和现代化建设的伟大成就给予了充分的肯定，对于我国的社会主义事业充满了信心。比如，一位大学生就深有感触地说：“社会主义真真切切地让我们过上了好日子，比我们父辈的日子好多了。”</w:t>
      </w:r>
    </w:p>
    <w:p w14:paraId="0641AE6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2.存在问题的原因</w:t>
      </w:r>
    </w:p>
    <w:p w14:paraId="40639B6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第一，社会主义荣辱观的宣传教育存在与现实生活相脱节、远离老百姓生活的问题。</w:t>
      </w:r>
    </w:p>
    <w:p w14:paraId="6D068E2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这主要表现在两个方面：其一，思想道德教育的内容过全，一些地方和部门局限于大而空的概念性号召。没有针对本部门本地区的实际，有针对性地开展思想道德教育的宣传学习，致使一些人缺乏学习的积极性主动性，对“社会主义荣辱观”教育缺乏热情和兴趣。其二，一些地方和单位在推进社会主义荣辱观的宣传和教育活动中，对先进典型宣传的针对性和层次性缺乏科学区分，与普通群众的距离较大，使人们感到难学难比。</w:t>
      </w:r>
    </w:p>
    <w:p w14:paraId="2FE3E75A">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第二，把社会主义荣辱观教育理解为简单的知识宣传，停留在常规的主题德育教育活动层面。</w:t>
      </w:r>
    </w:p>
    <w:p w14:paraId="525C1992">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调研显示，社会主义荣辱观教育活动中存在着把荣辱观教育等同于常规性的主题德育活动，只求轰轰烈烈的形式，不求实实在在的效果的现象。一些地区和部门对社会主义荣辱观教育活动的认识不到位，把出信息、上新闻作为追求目标，甚至于当作宣传本部门业绩的途径，这种只求轰动效应的短期行为明显违背德育规律；还有的部门存在“应付了事”的现象，教育形式缺乏吸引力，显得机械、枯燥。另外，在有些地区和部门开展的社会主义荣辱观教育活动中还存在单就教育而教育，缺乏践行机制的现象。第三，新技术手段的广泛应用，使人们接受信息的方式、方法和手段发生了很大变化，影响人们思想道德的因素增多。</w:t>
      </w:r>
    </w:p>
    <w:p w14:paraId="09E6D51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随着改革开放的深入推进和新技术手段的广泛应用，人们接受信息的方式、方法和手段发生了很大变化。特别是随着网络光盘和手机短信等新兴信息传播渠道的迅速兴起，使得影响人们思想的因素和渠道越来越复杂多样，许多干部群众接受的信息丰富而又庞杂，思想十分活跃。</w:t>
      </w:r>
    </w:p>
    <w:p w14:paraId="607B95B9">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尤其是随着改革开放的深入推进和社会主义市场经济的不断发展，人们的价值选择、思维方式和生活方式多样性、多元化和多变性的情况日渐显明，一些非马克思主义甚至反马克思主义的意识形态和学术思潮传播较广，理论信仰者增多。在问卷调查中得知，通过网络了解西方文化者在大学师生中均超过了50%。</w:t>
      </w:r>
    </w:p>
    <w:p w14:paraId="50B8932F">
      <w:pPr>
        <w:autoSpaceDE w:val="0"/>
        <w:autoSpaceDN w:val="0"/>
        <w:spacing w:line="360" w:lineRule="auto"/>
        <w:ind w:firstLine="480" w:firstLineChars="200"/>
        <w:jc w:val="center"/>
        <w:rPr>
          <w:rFonts w:ascii="宋体" w:hAnsi="宋体" w:eastAsia="宋体" w:cs="Times New Roman"/>
          <w:b/>
          <w:bCs/>
          <w:sz w:val="24"/>
          <w:szCs w:val="24"/>
        </w:rPr>
      </w:pPr>
      <w:r>
        <w:rPr>
          <w:rFonts w:hint="eastAsia" w:ascii="宋体" w:hAnsi="宋体" w:eastAsia="宋体" w:cs="Times New Roman"/>
          <w:b/>
          <w:bCs/>
          <w:sz w:val="24"/>
          <w:szCs w:val="24"/>
        </w:rPr>
        <w:t>五、对策建议</w:t>
      </w:r>
    </w:p>
    <w:p w14:paraId="68E263E8">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（一）理论研究层面</w:t>
      </w:r>
    </w:p>
    <w:p w14:paraId="00F43C0D">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要搞好社会主义核心价值体系建设，必须进一步深化社会主义核心价值体系的理论研究，使社会主义核心价值体系在理论上能够“说服人”、在内容上能够“引领人”、在形式上能够“吸引人”。</w:t>
      </w:r>
    </w:p>
    <w:p w14:paraId="735FC7B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深化社会主义核心价值体系本身的研究。中共中央已经对社会主义核心价值体系的基本方面和基本方向进行了阐述，在此基础上，有的学者提出“以人为本”是社会主义的核心价值，还有学者提出，“富强、民主、文明、和谐”是社会主义核心价值体系基本价值理念和价值目标的集中体现等，这说明社会主义核心价值体系亟需进一步深入研究。如何用社会主义核心价值体系的精髓坚持发展和扩充马克思主义基本原理，如何广泛地批判吸收中华传统文化、西方文化等人类先进文化成果，这些都是新时期关系社会主义核心价值体系建设的大题目。</w:t>
      </w:r>
    </w:p>
    <w:p w14:paraId="6166115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深化马克思主义基本理论的研究。要在马克思主义基本理论和科学社会主义基本原则问题上形成共识，奠定社会主义核心价值体系的思想基础。要站在广大人民群众的立场上，把马克思主义特别是科学社会主义的基本原则以简明扼要同时又绝不含糊的方式传达给大众。</w:t>
      </w:r>
    </w:p>
    <w:p w14:paraId="6E674740">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第三，继续深化对中国特色社会主义理论的系统性、完整性和综合性研究。</w:t>
      </w:r>
    </w:p>
    <w:p w14:paraId="693AE13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要对中国化马克思主义的新成果进行系统综合。清楚说明社会主义与资本主义的本质区别，深化对从邓小平的社会主义本质论到十六届六中全会提出的“社会和谐是中国特色社会主义的本质属性”理论的密切联系的研究。加强对邓小平理论、“三个代表重要思想”和科学发展观的内在逻辑关系的研究，使广大干部和群众明白，这三者之间虽然因改革发展的阶段不同，强调的重点不同，但作为建设中国特色社会主义理论的组成部分，其精神与实质是一致的。</w:t>
      </w:r>
    </w:p>
    <w:p w14:paraId="1431DA7D">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同时，要深化中国特色社会主义共同理想研究。</w:t>
      </w:r>
    </w:p>
    <w:p w14:paraId="7BED3A8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通过研究，搞清楚中国特色社会主义共同理想在社会主义核心价值体系中的地位，特别是它与马克思主义指导思想之间的关系；把握党对中国特色社会主义共同理想认识深化的经验与规律；中国特色社会主义共同理想同个人理想、远大理想之间的内在关系及如何把共同理想与个人理想、现实理想与远大理想统一起来等。</w:t>
      </w:r>
    </w:p>
    <w:p w14:paraId="159CB3C1">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（二）实际工作层面</w:t>
      </w:r>
    </w:p>
    <w:p w14:paraId="35EFE026">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第一，牢牢掌握党对意识形态工作的领导权和主动权，努力提高党领导和驾御意识形态工作的能力。</w:t>
      </w:r>
    </w:p>
    <w:p w14:paraId="3272C860">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社会主义核心价值体系是我国意识形态的集中体现，要积极掌握党对意识形态领导的领导权和主动权，努力提高党对意识形态问题的调查分析能力，提高党对意识形态领域苗头性、倾向性问题的洞察力，提高党对意识形态问题的科学预测能力，使意识形态作为国家机器的核心组成部分，能够真正捍卫国家和人民的利益。</w:t>
      </w:r>
    </w:p>
    <w:p w14:paraId="59CEEC5A">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第二，从源头上治理党内腐败，提高党的威信。社会主义核心价值体系是代表先进</w:t>
      </w:r>
    </w:p>
    <w:p w14:paraId="0772B1A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生产力、先进文化和最广大人民根本利益的先进价值体系，它首先应该在社会先进分子的价值实践中得到充分的体现。共产党作为工人阶级的先锋队，首先应该身体力行。但是，调查显示，党内腐败现象的盛行，已经严重地败坏了党和国家的声誉，危及到人民群众对马克思主义和社会主义的理想信念，引起广大干部和群众的强烈不满。因此，反腐败工作实际关系着党和国家的生死存亡，对任何腐败分子和腐败行为都要一查到底，决不能姑息。要坚持标本兼治、综合治理的方针，将预防腐败和惩治腐败相结合，从制度上解决权力制约、监督问题。强化党内监督、舆论监督、法律监督、群众监督，依法建立健全制约和监督权力运行的机制，通过体制创新铲除腐败行为滋生的土壤和条件。加大对我们党治理腐败已取得显著成绩的宣传力度，增强人民群众对党的向心力。</w:t>
      </w:r>
    </w:p>
    <w:p w14:paraId="295FA869">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第三，巩固和完善社会主义初级阶段的基本经济制度，形成全民共建、共享的财富创造和分配机制，逐步缩小和消除两极分化。</w:t>
      </w:r>
    </w:p>
    <w:p w14:paraId="3DDA7AF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社会主义核心价值体系是先进生产力和先进的基本经济制度在人们的道德情感和理想信念上的集中表现和反映。社会主义核心价值体系作为党的思想理论，要想有说服力和感召力，首先是通过实践结果来体现的。创新的理论必须具有符合全民共享发展成果的机制和广大群众认同的实践效应。当前，由于两极分化而导致的干群关系紧张问题已十分严重。这是对党执政能力的考验，也直接影响着人民群众对社会主义的信念和信心，影响着人民群众对社会主义核心价值体系的学习与践行。</w:t>
      </w:r>
    </w:p>
    <w:p w14:paraId="11DCFD8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第四，积极加强理想信念教育。</w:t>
      </w:r>
    </w:p>
    <w:p w14:paraId="5585234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首先，抓好党员领导干部的理想信念教育是关键。党员领导干部的理想信念如何，极大地影响着人民群众的理想信念。</w:t>
      </w:r>
    </w:p>
    <w:p w14:paraId="0E0BDD47">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我们要根据新形势新任务，全面加强各级党员领导干部的思想作风、工作作风、领导作风、生活作风、学风建设，切切实实把党风、政风搞好，才能建立起强有力的社会主义核心价值体系，切实引领广大人民群众坚定地走中国特色社会主义道路。其次，青少年是党和人民事业的未来，是祖国和民族的未来，对他们的共同理想教育，事关中国特色社会主义的前途命运。</w:t>
      </w:r>
    </w:p>
    <w:p w14:paraId="5B5A1CF9">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通过宣传教育，引导人民群众从中国革命的发展进程，认识我国选择社会主义道路的历史必然性；从我国改革开放和现代化建设的伟大成就中，认识社会主义的优越性；从国际共产主义运动的经验教训中，认识放弃社会主义的危害性。</w:t>
      </w:r>
    </w:p>
    <w:p w14:paraId="4209C34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第五，要进一步把知荣明耻与日常工作生活紧密结合起来，鼓励人们从自己、从小事做起。</w:t>
      </w:r>
    </w:p>
    <w:p w14:paraId="2B763F5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理想信念，知荣明耻不是空洞的、抽象的，它通过日常点滴的工作生活事务体现出来。在学习和践行社会主义荣辱观的活动中，要把践行社会主义荣辱观与日常工作生活紧密结合起来。既要关心那些事关国家、民族和人民群众根本利益的重大问题，也要关注那些与人们日常生活密切相关的细小的道德行为，鼓励每个社会成员从自己做起，从身边的点滴小事做起，在为家庭谋幸福、为他人送温暖、为社会做奉献的过程中，陶冶道德感情、锤炼道德意志、增强道德信念，自觉践行“八荣八耻”。</w:t>
      </w:r>
    </w:p>
    <w:p w14:paraId="45D4920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首先，党员干部要以身作则，带头践行社会主义荣辱观，发挥模范作用。</w:t>
      </w:r>
    </w:p>
    <w:p w14:paraId="5AD97E93">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调研中，我们更加深刻地体会到了党员领导干部以身作则、率先垂范、带头践行社会主义荣辱观的重要性。在回答“您认为如何才能建立和巩固社会主义核心价值体系”时，在所给出的五个选项中，选择“党的干部以身作则，带头践行，发挥模范作用”位居第一，在受访的1748人中，有1351人选择了这一答案，占到了77.55%。为此，党员领导干部必须不断加强自我教育，不仅要在本职岗位上带头贯彻党的根本宗旨、当好人民公仆，切实做到为民造福，而且要在社会生活中带头严格自律、严格要求，做“八荣八耻”的积极实践者，用自己的模范言行和人格力量为群众做出榜样。</w:t>
      </w:r>
    </w:p>
    <w:p w14:paraId="4A4830F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当然，树立和实践社会主义荣辱观，既要依靠党员干部的自觉，又离不开必要的监督。因此，还要建立健全选人用人机制和考核机制，完善干部评价体系，把树立和实践社会主义荣辱观的情况作为考核评价干部的重要内容。目前，这一点已成为许多人的共识。调研问卷中，在对“您认为做好社会主义价值体系的宣传教育和践行工作可以采取哪些措施”一题的回答中，受访的1748人中，1100人选择了“将社会主义核心价值的贯彻、落实和践行情况与领导干部的考核和晋升联系起来”这一答案，占调研对象总人数的62.93%。</w:t>
      </w:r>
    </w:p>
    <w:p w14:paraId="2BA5B85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其次，青少年是我们的未来，树立和践行社会主义荣辱观的重点还在青少年，主阵地在学校。因此，要注重把荣辱观教育与未成年人的思想道德建设以及大学生的思想政治教育结合起来。</w:t>
      </w:r>
    </w:p>
    <w:p w14:paraId="1B48FC1A">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各级各类学校还可以进一步针对不同阶段青少年的特点，通过树立先进典型大力弘扬社会正气，营造扬荣抑耻的良好氛围。同时，学校还应该加强制度建设尤其是管理制度建设，为树立社会主义荣辱观提供相应的制度保障，让青少年不想、不愿、不能、不敢做那些“不以荣为荣，不以耻为耻的事情”。</w:t>
      </w:r>
    </w:p>
    <w:p w14:paraId="7A0D5D35">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第六，深入持久地开展爱国主义教育。</w:t>
      </w:r>
    </w:p>
    <w:p w14:paraId="15F63402">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必须使爱国主义思想成为社会的主旋律，创造浓郁的爱国主义氛围，使人们在社会日常生活的各个方面，都能随时随处受到爱国主义思想和精神的感染、熏陶，建设好有中国特色的社会主义文化，才能固本强基，提高广大人民群众的自信力和自信心，也才能有效抵御封建主义和资本主义的腐朽文化侵蚀，构筑中华民族具有社会主义理想的伟大人格。</w:t>
      </w:r>
    </w:p>
    <w:p w14:paraId="10C6C9A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同时还要加强爱国主义教育的理论深度，使人们正确理解认识爱国主义的科学内涵。真正让人们认识到，爱国主义决不是极端的民族主义，我们既要继承和发扬中华民族的优秀成果，也要学习和吸收世界各国包括资本主义发达国家所创造的一切文明成果。</w:t>
      </w:r>
    </w:p>
    <w:p w14:paraId="6959EFA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第七，把社会主义核心价值体系作为选择和确定先进典型的重要标准。</w:t>
      </w:r>
    </w:p>
    <w:p w14:paraId="039D0E3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随着我国经济成分、组织形式、就业方式、利益关系和分配方式日益多样化，先进典型愈益多姿多彩、层出不穷，但是，不论他们来自哪个领域、从事何种职业，都应当是社会主义核心价值体系的积极倡导者和模范实践者。</w:t>
      </w:r>
    </w:p>
    <w:p w14:paraId="20CCF84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第八，必须积极探索用社会主义核心价值体系引领多样化的社会思潮的途径。</w:t>
      </w:r>
    </w:p>
    <w:p w14:paraId="58782A96">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社会主义核心价值体系的引领，要根据不同人群和人们的不同年龄阶段的特点，多形式、多渠道地进行。要运用现代化的传播手段，积极运用报纸、刊物、广播、电视、网络等现代传媒，注意运用影视、书刊、音乐、戏剧、美术、故事会等形式。建立社会主义核心价值体系的文化领导权，使之成为意识形态国家机器的重要组成部分，巩固马克思主义的指导思想地位，用社会主义核心价值体系来掌控文化话语权，形成有利褒扬高尚品德、谴责不良行为的舆论强势。大力扶持与主流价值观相符合的作品创作、宣传，进一步提高人们对马克思主义、中国特色社会主义的认同，增强人们爱国主义情感，明荣知耻。</w:t>
      </w:r>
    </w:p>
    <w:p w14:paraId="209E9162">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（原载《民主与科学》2</w:t>
      </w:r>
      <w:r>
        <w:rPr>
          <w:rFonts w:ascii="宋体" w:hAnsi="宋体" w:eastAsia="宋体" w:cs="Times New Roman"/>
          <w:szCs w:val="21"/>
        </w:rPr>
        <w:t>010</w:t>
      </w:r>
      <w:r>
        <w:rPr>
          <w:rFonts w:hint="eastAsia" w:ascii="宋体" w:hAnsi="宋体" w:eastAsia="宋体" w:cs="Times New Roman"/>
          <w:szCs w:val="21"/>
        </w:rPr>
        <w:t>年第</w:t>
      </w:r>
      <w:r>
        <w:rPr>
          <w:rFonts w:ascii="宋体" w:hAnsi="宋体" w:eastAsia="宋体" w:cs="Times New Roman"/>
          <w:szCs w:val="21"/>
        </w:rPr>
        <w:t>2</w:t>
      </w:r>
      <w:r>
        <w:rPr>
          <w:rFonts w:hint="eastAsia" w:ascii="宋体" w:hAnsi="宋体" w:eastAsia="宋体" w:cs="Times New Roman"/>
          <w:szCs w:val="21"/>
        </w:rPr>
        <w:t>期，第二作者为郑一明。）</w:t>
      </w:r>
    </w:p>
    <w:p w14:paraId="786C8B6B">
      <w:pPr>
        <w:widowControl/>
        <w:spacing w:line="400" w:lineRule="exact"/>
        <w:ind w:firstLine="420" w:firstLineChars="200"/>
        <w:rPr>
          <w:rFonts w:ascii="宋体" w:hAnsi="宋体" w:eastAsia="宋体" w:cs="Times New Roman"/>
          <w:szCs w:val="21"/>
        </w:rPr>
      </w:pPr>
      <w:r>
        <w:rPr>
          <w:rFonts w:ascii="宋体" w:hAnsi="宋体" w:eastAsia="宋体" w:cs="Times New Roman"/>
          <w:szCs w:val="21"/>
        </w:rPr>
        <w:br w:type="page"/>
      </w:r>
    </w:p>
    <w:p w14:paraId="3C14AFCD">
      <w:pPr>
        <w:keepNext/>
        <w:keepLines/>
        <w:widowControl/>
        <w:spacing w:line="480" w:lineRule="auto"/>
        <w:ind w:firstLine="198"/>
        <w:jc w:val="center"/>
        <w:outlineLvl w:val="1"/>
        <w:rPr>
          <w:rFonts w:ascii="黑体" w:hAnsi="黑体" w:eastAsia="黑体" w:cs="Times New Roman"/>
          <w:kern w:val="0"/>
          <w:sz w:val="32"/>
          <w:szCs w:val="32"/>
        </w:rPr>
      </w:pPr>
      <w:bookmarkStart w:id="1114" w:name="_Toc12098"/>
      <w:bookmarkStart w:id="1115" w:name="_Toc1885642681"/>
      <w:bookmarkStart w:id="1116" w:name="_Toc141712116"/>
      <w:r>
        <w:rPr>
          <w:rFonts w:ascii="黑体" w:hAnsi="黑体" w:eastAsia="黑体" w:cs="Times New Roman"/>
          <w:kern w:val="0"/>
          <w:sz w:val="32"/>
          <w:szCs w:val="32"/>
        </w:rPr>
        <w:t>8“先控后减”的新人口政策</w:t>
      </w:r>
      <w:bookmarkEnd w:id="1114"/>
      <w:bookmarkEnd w:id="1115"/>
      <w:bookmarkEnd w:id="1116"/>
    </w:p>
    <w:p w14:paraId="61E45ECC">
      <w:pPr>
        <w:spacing w:line="400" w:lineRule="exact"/>
        <w:ind w:firstLine="420" w:firstLineChars="200"/>
        <w:rPr>
          <w:rFonts w:ascii="宋体" w:hAnsi="宋体" w:eastAsia="PMingLiU" w:cs="宋体"/>
          <w:color w:val="000000"/>
          <w:kern w:val="0"/>
          <w:szCs w:val="21"/>
          <w:lang w:val="zh-TW" w:eastAsia="zh-TW" w:bidi="zh-TW"/>
        </w:rPr>
      </w:pPr>
      <w:r>
        <w:rPr>
          <w:rFonts w:hint="eastAsia" w:ascii="宋体" w:hAnsi="宋体" w:eastAsia="宋体" w:cs="宋体"/>
          <w:color w:val="000000"/>
          <w:kern w:val="0"/>
          <w:szCs w:val="21"/>
          <w:lang w:val="zh-TW" w:eastAsia="zh-TW" w:bidi="zh-TW"/>
        </w:rPr>
        <w:t>摘要：这</w:t>
      </w:r>
      <w:r>
        <w:rPr>
          <w:rFonts w:ascii="宋体" w:hAnsi="宋体" w:eastAsia="宋体" w:cs="宋体"/>
          <w:color w:val="000000"/>
          <w:kern w:val="0"/>
          <w:szCs w:val="21"/>
          <w:lang w:val="zh-TW" w:eastAsia="zh-TW" w:bidi="zh-TW"/>
        </w:rPr>
        <w:t>30年严格的计划生育政策，使得中国的总和生育率由5.8下降到1.8，少生了四亿人；近年，对于是继续严格实行一胎政策，还是逐步放开二胎政策，出现了大争鸣，渐成社会各界关注的焦点。人口多、底子薄、资源（环境）少的基本国情，决定了在人们尚未自觉改变传统生育观和人口收缩到适度规模（五亿人左右）以前，计划生育还应是中国的基本国策。与“（经济）资源节约增效型社会”、“（生态）环境保护改善型社会”相匹配，应尽快推行新人口政策，建设“人口控减提质型社会”。</w:t>
      </w:r>
    </w:p>
    <w:p w14:paraId="0B97FB2F">
      <w:pPr>
        <w:spacing w:line="400" w:lineRule="exact"/>
        <w:ind w:firstLine="420" w:firstLineChars="200"/>
        <w:rPr>
          <w:rFonts w:ascii="宋体" w:hAnsi="宋体" w:eastAsia="宋体" w:cs="宋体"/>
          <w:color w:val="000000"/>
          <w:kern w:val="0"/>
          <w:szCs w:val="21"/>
          <w:lang w:val="zh-TW" w:eastAsia="zh-TW" w:bidi="zh-TW"/>
        </w:rPr>
      </w:pPr>
      <w:r>
        <w:rPr>
          <w:rFonts w:hint="eastAsia" w:ascii="宋体" w:hAnsi="宋体" w:eastAsia="宋体" w:cs="宋体"/>
          <w:color w:val="000000"/>
          <w:kern w:val="0"/>
          <w:szCs w:val="21"/>
          <w:lang w:val="zh-TW" w:eastAsia="zh-TW" w:bidi="zh-TW"/>
        </w:rPr>
        <w:t>一、新中国人口发展与政策回顾</w:t>
      </w:r>
    </w:p>
    <w:p w14:paraId="6DF87BBF">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新中国成立后的前</w:t>
      </w:r>
      <w:r>
        <w:rPr>
          <w:rFonts w:ascii="宋体" w:hAnsi="宋体" w:eastAsia="宋体" w:cs="宋体"/>
          <w:color w:val="000000"/>
          <w:kern w:val="0"/>
          <w:szCs w:val="21"/>
          <w:lang w:val="zh-TW" w:bidi="zh-TW"/>
        </w:rPr>
        <w:t>30年，没有实行计划生育或实行不力，是导致改变贫穷落后面貌的潜力未能充分发挥的原因之一。改革以来的30年，为了减缓人口规模的过快膨胀，在全国范围内开展了轰轰烈烈的计划生育工作，使中国妇女总和生育率（TFR）由5.8下降到1.8，累计少生了四亿人，资源和环境压力得到有效缓解，生活水平有了显著提高。可以说，人口再生产类型的成功转型，为中华民族的复兴繁荣、生活水平较快提高和现代化建设，以及全球人口控制做出了突出的贡献。</w:t>
      </w:r>
    </w:p>
    <w:p w14:paraId="1457A73C">
      <w:pPr>
        <w:spacing w:line="400" w:lineRule="exact"/>
        <w:ind w:firstLine="420" w:firstLineChars="200"/>
        <w:rPr>
          <w:rFonts w:ascii="宋体" w:hAnsi="宋体" w:eastAsia="宋体" w:cs="宋体"/>
          <w:color w:val="000000"/>
          <w:kern w:val="0"/>
          <w:szCs w:val="21"/>
          <w:lang w:val="zh-TW" w:bidi="zh-TW"/>
        </w:rPr>
      </w:pPr>
      <w:r>
        <w:rPr>
          <w:rFonts w:ascii="宋体" w:hAnsi="宋体" w:eastAsia="宋体" w:cs="宋体"/>
          <w:color w:val="000000"/>
          <w:kern w:val="0"/>
          <w:szCs w:val="21"/>
          <w:lang w:val="zh-TW" w:bidi="zh-TW"/>
        </w:rPr>
        <w:t>60年来，中国的人口发展状况出现了多次起伏变化，最终实现了低生育水平总体保持稳定的重大突破，步入持续稳定健康发展的轨道。本文将这一发展过程概括如下。</w:t>
      </w:r>
    </w:p>
    <w:p w14:paraId="416A279C">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第一，</w:t>
      </w:r>
      <w:r>
        <w:rPr>
          <w:rFonts w:ascii="宋体" w:hAnsi="宋体" w:eastAsia="宋体" w:cs="宋体"/>
          <w:color w:val="000000"/>
          <w:kern w:val="0"/>
          <w:szCs w:val="21"/>
          <w:lang w:val="zh-TW" w:bidi="zh-TW"/>
        </w:rPr>
        <w:t>20世纪50～60年代属于快速增长阶段。这一阶段中国人口由1950年的5.52</w:t>
      </w:r>
      <w:r>
        <w:rPr>
          <w:rFonts w:hint="eastAsia" w:ascii="宋体" w:hAnsi="宋体" w:eastAsia="宋体" w:cs="宋体"/>
          <w:color w:val="000000"/>
          <w:kern w:val="0"/>
          <w:szCs w:val="21"/>
          <w:lang w:val="zh-TW" w:bidi="zh-TW"/>
        </w:rPr>
        <w:t>亿，增长到</w:t>
      </w:r>
      <w:r>
        <w:rPr>
          <w:rFonts w:ascii="宋体" w:hAnsi="宋体" w:eastAsia="宋体" w:cs="宋体"/>
          <w:color w:val="000000"/>
          <w:kern w:val="0"/>
          <w:szCs w:val="21"/>
          <w:lang w:val="zh-TW" w:bidi="zh-TW"/>
        </w:rPr>
        <w:t>1970年的8.3亿，总和生育率年均逾5.89，每10年增加1.4亿人。其间经历了鼓</w:t>
      </w:r>
      <w:r>
        <w:rPr>
          <w:rFonts w:hint="eastAsia" w:ascii="宋体" w:hAnsi="宋体" w:eastAsia="宋体" w:cs="宋体"/>
          <w:color w:val="000000"/>
          <w:kern w:val="0"/>
          <w:szCs w:val="21"/>
          <w:lang w:val="zh-TW" w:bidi="zh-TW"/>
        </w:rPr>
        <w:t>励人口增长、号召节制生育、人口控制政策首次受挫、人口控制政策再起等时期。该阶段中国占世界人口比重为</w:t>
      </w:r>
      <w:r>
        <w:rPr>
          <w:rFonts w:ascii="宋体" w:hAnsi="宋体" w:eastAsia="宋体" w:cs="宋体"/>
          <w:color w:val="000000"/>
          <w:kern w:val="0"/>
          <w:szCs w:val="21"/>
          <w:lang w:val="zh-TW" w:bidi="zh-TW"/>
        </w:rPr>
        <w:t>22.07%。</w:t>
      </w:r>
    </w:p>
    <w:p w14:paraId="0A6344B8">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第二，</w:t>
      </w:r>
      <w:r>
        <w:rPr>
          <w:rFonts w:ascii="宋体" w:hAnsi="宋体" w:eastAsia="宋体" w:cs="宋体"/>
          <w:color w:val="000000"/>
          <w:kern w:val="0"/>
          <w:szCs w:val="21"/>
          <w:lang w:val="zh-TW" w:bidi="zh-TW"/>
        </w:rPr>
        <w:t>70年代属于惯性增长阶段。由8.3亿增长到1980年的9.87亿。由于国家推行“晚稀少”的计划生育政策并在城乡普遍提供免费的计划生育服务，人口自然增长率从1970年的25.95%下降到1980年的11.87%，总和生育率年均降至4.09，创造了中外人口控制史上的奇迹。但由于巨大的人口出生惯性，导致10年增长了1.6亿。该阶段中国占世界人口比重为22.48%，属历史最高。</w:t>
      </w:r>
    </w:p>
    <w:p w14:paraId="7F7FB09D">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第三，</w:t>
      </w:r>
      <w:r>
        <w:rPr>
          <w:rFonts w:ascii="宋体" w:hAnsi="宋体" w:eastAsia="宋体" w:cs="宋体"/>
          <w:color w:val="000000"/>
          <w:kern w:val="0"/>
          <w:szCs w:val="21"/>
          <w:lang w:val="zh-TW" w:bidi="zh-TW"/>
        </w:rPr>
        <w:t>80～90年代属于缓慢增长阶段。由9.87亿增长到2000年的12.67亿，每10年增</w:t>
      </w:r>
    </w:p>
    <w:p w14:paraId="4D56A697">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加</w:t>
      </w:r>
      <w:r>
        <w:rPr>
          <w:rFonts w:ascii="宋体" w:hAnsi="宋体" w:eastAsia="宋体" w:cs="宋体"/>
          <w:color w:val="000000"/>
          <w:kern w:val="0"/>
          <w:szCs w:val="21"/>
          <w:lang w:val="zh-TW" w:bidi="zh-TW"/>
        </w:rPr>
        <w:t>1.4亿。此阶段中国实行约束性计划生育政策，总和生育率年均降至2.18，1993年更是实现2.1的更替水平以下，并至今一直维持这一水平之下，处于“低生育”阶段。该阶段中国占世界人口比重降至21.35%。</w:t>
      </w:r>
    </w:p>
    <w:p w14:paraId="2749E3F5">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第四，</w:t>
      </w:r>
      <w:r>
        <w:rPr>
          <w:rFonts w:ascii="宋体" w:hAnsi="宋体" w:eastAsia="宋体" w:cs="宋体"/>
          <w:color w:val="000000"/>
          <w:kern w:val="0"/>
          <w:szCs w:val="21"/>
          <w:lang w:val="zh-TW" w:bidi="zh-TW"/>
        </w:rPr>
        <w:t>2001年以来属于较低生育增长阶段。由12.67亿增长到2007年的13.21亿，8年</w:t>
      </w:r>
      <w:r>
        <w:rPr>
          <w:rFonts w:hint="eastAsia" w:ascii="宋体" w:hAnsi="宋体" w:eastAsia="宋体" w:cs="宋体"/>
          <w:color w:val="000000"/>
          <w:kern w:val="0"/>
          <w:szCs w:val="21"/>
          <w:lang w:val="zh-TW" w:bidi="zh-TW"/>
        </w:rPr>
        <w:t>增加</w:t>
      </w:r>
      <w:r>
        <w:rPr>
          <w:rFonts w:ascii="宋体" w:hAnsi="宋体" w:eastAsia="宋体" w:cs="宋体"/>
          <w:color w:val="000000"/>
          <w:kern w:val="0"/>
          <w:szCs w:val="21"/>
          <w:lang w:val="zh-TW" w:bidi="zh-TW"/>
        </w:rPr>
        <w:t>0.54亿人，总和生育率降至1.72，占世界人口比重20.09%，为历史最低。该阶段人口和计生工作从以前的“暴风骤雨”、“和风细雨”，实现了到“春风化雨”的转变，计划生育率始终保持在较高水平，“九五”和“十五”控制目标顺利实现，故又叫“优质服务和奖励扶助计划生育”阶段、“统筹解决人口问题”阶段，中国控制人口工作持续发展。</w:t>
      </w:r>
    </w:p>
    <w:p w14:paraId="14CD561E">
      <w:pPr>
        <w:spacing w:line="400" w:lineRule="exact"/>
        <w:ind w:firstLine="420" w:firstLineChars="200"/>
        <w:rPr>
          <w:rFonts w:ascii="宋体" w:hAnsi="宋体" w:eastAsia="宋体" w:cs="宋体"/>
          <w:color w:val="000000"/>
          <w:kern w:val="0"/>
          <w:szCs w:val="21"/>
          <w:lang w:val="zh-TW" w:bidi="zh-TW"/>
        </w:rPr>
      </w:pPr>
      <w:r>
        <w:rPr>
          <w:rFonts w:ascii="宋体" w:hAnsi="宋体" w:eastAsia="宋体" w:cs="宋体"/>
          <w:color w:val="000000"/>
          <w:kern w:val="0"/>
          <w:szCs w:val="21"/>
          <w:lang w:val="zh-TW" w:bidi="zh-TW"/>
        </w:rPr>
        <w:t>60年来中国的“人口和计划生育工作发展史，是一部曲折、悲壮、辉煌的历史”，是“前无古人的伟大实践”，总和生育率由1970年的5.8降至1993年2.1的更替水平，1998年以后持续稳定在1.8左右，完成了人口再生产类型从“高出生、低死亡、高增长”向“低出生、低死亡、低增长”的迅速而重大的转变，人口过快增长的势头被成功遏止住，因政策因素使全国累计少生四亿多人，这使中国13亿人口日和世界60亿人口日均晚到来四年，较大地改变了中国和世界人口发展的轨迹。但不能讳言，这一特殊历史时期的特殊政策在成</w:t>
      </w:r>
      <w:r>
        <w:rPr>
          <w:rFonts w:hint="eastAsia" w:ascii="宋体" w:hAnsi="宋体" w:eastAsia="宋体" w:cs="宋体"/>
          <w:color w:val="000000"/>
          <w:kern w:val="0"/>
          <w:szCs w:val="21"/>
          <w:lang w:val="zh-TW" w:bidi="zh-TW"/>
        </w:rPr>
        <w:t>功控制人口过快增长的同时，广大干部和群众为实行基本国策也做出了一定的奉献和牺牲。成就举世瞩目，代价难以全免。</w:t>
      </w:r>
    </w:p>
    <w:p w14:paraId="399FD601">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二、建议转向“先控后减”的新人口政策</w:t>
      </w:r>
    </w:p>
    <w:p w14:paraId="27F51E8E">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伴随</w:t>
      </w:r>
      <w:r>
        <w:rPr>
          <w:rFonts w:ascii="宋体" w:hAnsi="宋体" w:eastAsia="宋体" w:cs="宋体"/>
          <w:color w:val="000000"/>
          <w:kern w:val="0"/>
          <w:szCs w:val="21"/>
          <w:lang w:val="zh-TW" w:bidi="zh-TW"/>
        </w:rPr>
        <w:t>30年的较严格计划生育政策，一直存在要不要放宽的歧见，近年又出现了大争鸣。在今后的数十年内，是继续严格实行一胎政策，还是逐步放开二胎政策，渐成社会各界关注的焦点。</w:t>
      </w:r>
    </w:p>
    <w:p w14:paraId="329DD016">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以马克思主义人口理论精神来审视中国目前的人口形势，理性缜密地考量中国人口发展战略和政策选择，我们建议实行“先控后减的新人口政策”，其十个要点如下：</w:t>
      </w:r>
    </w:p>
    <w:p w14:paraId="7870BB2D">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第一，不断增加的中国人口总量，正在逼近国内主要资源所能承载的极限。</w:t>
      </w:r>
      <w:r>
        <w:rPr>
          <w:rFonts w:ascii="宋体" w:hAnsi="宋体" w:eastAsia="宋体" w:cs="宋体"/>
          <w:color w:val="000000"/>
          <w:kern w:val="0"/>
          <w:szCs w:val="21"/>
          <w:lang w:val="zh-TW" w:bidi="zh-TW"/>
        </w:rPr>
        <w:t>2008年底</w:t>
      </w:r>
      <w:r>
        <w:rPr>
          <w:rFonts w:hint="eastAsia" w:ascii="宋体" w:hAnsi="宋体" w:eastAsia="宋体" w:cs="宋体"/>
          <w:color w:val="000000"/>
          <w:kern w:val="0"/>
          <w:szCs w:val="21"/>
          <w:lang w:val="zh-TW" w:bidi="zh-TW"/>
        </w:rPr>
        <w:t>中国人口为</w:t>
      </w:r>
      <w:r>
        <w:rPr>
          <w:rFonts w:ascii="宋体" w:hAnsi="宋体" w:eastAsia="宋体" w:cs="宋体"/>
          <w:color w:val="000000"/>
          <w:kern w:val="0"/>
          <w:szCs w:val="21"/>
          <w:lang w:val="zh-TW" w:bidi="zh-TW"/>
        </w:rPr>
        <w:t>13.28亿，在今后较长时期内每年还将新增人口700万左右，人口总规模在较低生育率的基础上继续大量扩张，国内主要资源短缺严重，向现有可高效利用资源的人口极限规模推进。</w:t>
      </w:r>
    </w:p>
    <w:p w14:paraId="2B31C4AC">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二，不断增加的中国人口总量，正在逼近国内生态安全所能承载的极限。中国多数江河湖泊和近海受到严重污染，著名的河流和湖泊萎缩干涸，草原退化，湿地减少，荒漠扩大，多种野生动物濒临灭绝，排放有害物质总量增加等等，这些问题均不同程度地直接或间接与人多相关。</w:t>
      </w:r>
    </w:p>
    <w:p w14:paraId="255C48A3">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三，发达国家越来越多的人们持少生育或不生育的现代生育文化观，需要国家不断加大奖励生育的措施来维持人口的再生产。而中国在人们尚未自觉改变传统生育观和人口收缩到适度规模（五亿人左右）以前，则应坚持不懈地推行“城乡一胎、特殊二胎、严禁三胎、奖励无胎”的“一胎化”新政。少数民族、不良头胎难医治等可列入特殊情况。实行免费和奖励婚前体检，严惩怀孕性别查堕行为。</w:t>
      </w:r>
    </w:p>
    <w:p w14:paraId="11BE487B">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四，在尚未改变传统偏好男孩的习俗以前，实行一种有差别的变罚为奖的社会保障配套措施，“无胎高保、女胎中保、男胎基保（低保）、超胎不保”，即对于不生育的家庭实行高保，生一个女孩的家庭实行中保，生一个男孩的家庭实行低保或基保（社会普遍的基本或基础保障），违纪超生的家庭不保，可尽快变处罚为奖励，促进生育和谐和计划生育工作和谐。</w:t>
      </w:r>
    </w:p>
    <w:p w14:paraId="0EDAD43B">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第五，只有严格实行“先控后减”的人口调控政策（总人口先控制在</w:t>
      </w:r>
      <w:r>
        <w:rPr>
          <w:rFonts w:ascii="宋体" w:hAnsi="宋体" w:eastAsia="宋体" w:cs="宋体"/>
          <w:color w:val="000000"/>
          <w:kern w:val="0"/>
          <w:szCs w:val="21"/>
          <w:lang w:val="zh-TW" w:bidi="zh-TW"/>
        </w:rPr>
        <w:t>15亿左右，后逐渐减至五亿左右），才能有效缓解中国社会主要经济矛盾和巨大的就业压力。不断膨胀的巨大人口规模所引起的社会需要扩张已难以单靠发展生产和粗放式发展方式来满足。必须倚靠人口规模的严格控制和缩减，才能使主要矛盾和就业压力不因人口总量过快增长而加剧。</w:t>
      </w:r>
    </w:p>
    <w:p w14:paraId="7C7B2C85">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第六，只有严格实行“先控后减”的人口调控政策，才能实现人口素质的较快提升，</w:t>
      </w:r>
      <w:r>
        <w:rPr>
          <w:rFonts w:ascii="宋体" w:hAnsi="宋体" w:eastAsia="宋体" w:cs="宋体"/>
          <w:color w:val="000000"/>
          <w:kern w:val="0"/>
          <w:szCs w:val="21"/>
          <w:lang w:val="zh-TW" w:bidi="zh-TW"/>
        </w:rPr>
        <w:t>更好地促进人口同资源和生态环境相协调的可持续发展，从而尽快赶上欧美日韩等国的人均国民生产总值、人均国力和人均生活水平，真正实现高标准的共同富裕和科学发展目标，最终在社会主义与资本主义的比较中获得完全的优势。</w:t>
      </w:r>
    </w:p>
    <w:p w14:paraId="563A94F4">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七，树立全国一盘棋的统筹城乡人口方针，为了使众多的农村剩余劳动力和农民工较快成为北京、上海等城市的正式市民，所有城市均不宜推行市民两个独生子女结婚可生二胎的政策。要确保因严格计划生育所节省的经费用到改善老年人口的生活方面去。</w:t>
      </w:r>
      <w:r>
        <w:rPr>
          <w:rFonts w:ascii="宋体" w:hAnsi="宋体" w:eastAsia="宋体" w:cs="宋体"/>
          <w:color w:val="000000"/>
          <w:kern w:val="0"/>
          <w:szCs w:val="21"/>
          <w:lang w:val="zh-TW" w:bidi="zh-TW"/>
        </w:rPr>
        <w:t>第八，国家一方面要把严格计划生育所节约的各种经费及时投入到老龄人口的生活</w:t>
      </w:r>
      <w:r>
        <w:rPr>
          <w:rFonts w:hint="eastAsia" w:ascii="宋体" w:hAnsi="宋体" w:eastAsia="宋体" w:cs="宋体"/>
          <w:color w:val="000000"/>
          <w:kern w:val="0"/>
          <w:szCs w:val="21"/>
          <w:lang w:val="zh-TW" w:bidi="zh-TW"/>
        </w:rPr>
        <w:t>和工作改善等方面；另一方面要借鉴日本等发达国家经验，随着人的寿命提高而适当提高退休年龄，消除让劳动人口提前退休而又实际形成三分之一退休者再就业的不良局面。</w:t>
      </w:r>
    </w:p>
    <w:p w14:paraId="422360A3">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第九，国家应对包括兵役逝世或伤残在内的非正常人生夭折或失去劳动能力的不同情况，给予高低不一的家庭补贴或保障，以激励人们从事高风险的工作，并高水准地解决其家庭生活的后顾之忧。</w:t>
      </w:r>
    </w:p>
    <w:p w14:paraId="1C5AC8C3">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十，与“（经济）资源节约增效型社会”、“（生态）环境保护改善型社会”相匹配的应是“人口控减提质型社会”，这“三型社会”的结合才能完整地体现科学的可持续发展观，从而为根本转变对内对外发展方式，缓减内外“资源战”、“环境战”、“生态战”、“贸易战”和“移民战”等奠定基础。要像</w:t>
      </w:r>
      <w:r>
        <w:rPr>
          <w:rFonts w:ascii="宋体" w:hAnsi="宋体" w:eastAsia="宋体" w:cs="宋体"/>
          <w:color w:val="000000"/>
          <w:kern w:val="0"/>
          <w:szCs w:val="21"/>
          <w:lang w:val="zh-TW" w:bidi="zh-TW"/>
        </w:rPr>
        <w:t>1980年中央决定实行一胎化计划生育政策那样，广泛通过立法、政策、宣传、教育等配套措施，尽快大力推行先控后减的一胎化计划生育新政，积极倡导“人口控减提质型社会”（至于如何全面提高人口素质，需另文阐述）。</w:t>
      </w:r>
    </w:p>
    <w:p w14:paraId="74577C56">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三、对不同意见解疑</w:t>
      </w:r>
    </w:p>
    <w:p w14:paraId="40F5301B">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对于上述“新人口政策”，可以产生十点质疑，这里简要解疑释惑，以便深化讨论，逐步形成科学共识。</w:t>
      </w:r>
    </w:p>
    <w:p w14:paraId="62E09712">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一，关于人口人手说。认为“人手”生产的物品总比“人口”消费的要多，因而无需担心人口太多。这是当初批判马寅初人口政策的老调，反映的是一种无需提高劳动生产率和生活水平的落后生育观念。在由人口大国向人力资源强国的转变中，只有控减人口数量，</w:t>
      </w:r>
      <w:r>
        <w:rPr>
          <w:rFonts w:ascii="宋体" w:hAnsi="宋体" w:eastAsia="宋体" w:cs="宋体"/>
          <w:color w:val="000000"/>
          <w:kern w:val="0"/>
          <w:szCs w:val="21"/>
          <w:lang w:val="zh-TW" w:bidi="zh-TW"/>
        </w:rPr>
        <w:t>才能更快地提高人口质量和人均生活水平。事实上，有劳动能力的人要转化为现实从事劳动的人，以及能为单位和社会都提供该部门平均或超过平均的剩余劳动，是需要现实可利用的生产资料和科技水平的。</w:t>
      </w:r>
    </w:p>
    <w:p w14:paraId="1C87D94E">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二，关于生育权利说。认为公民个人有自由生育的权利，这种个人权利是神圣的，不受侵犯的，国家没有理由限制公民个人的生育自由。这是绝对生育权观念的反映，是一种片面的、抽象的、自私的权利观。首先，生育权利说仅仅片面地、孤立地抓住“自由决定”</w:t>
      </w:r>
      <w:r>
        <w:rPr>
          <w:rFonts w:ascii="宋体" w:hAnsi="宋体" w:eastAsia="宋体" w:cs="宋体"/>
          <w:color w:val="000000"/>
          <w:kern w:val="0"/>
          <w:szCs w:val="21"/>
          <w:lang w:val="zh-TW" w:bidi="zh-TW"/>
        </w:rPr>
        <w:t>的字眼，割裂了权利和义务的关系。1974年布加勒斯特世界人口会议《行动计划》对生育义务的定义是：夫妇和个人在行使这种(生育)权利时，有责任考虑他们现有子女和将来子女的需要以及他们对社会的责任。这一标准性表述，被广泛地应用于各种国际性文件中，</w:t>
      </w:r>
      <w:r>
        <w:rPr>
          <w:rFonts w:hint="eastAsia" w:ascii="宋体" w:hAnsi="宋体" w:eastAsia="宋体" w:cs="宋体"/>
          <w:color w:val="000000"/>
          <w:kern w:val="0"/>
          <w:szCs w:val="21"/>
          <w:lang w:val="zh-TW" w:bidi="zh-TW"/>
        </w:rPr>
        <w:t>并被各国政府所接受。较之传统文化和宗教中的生育义务，《行动计划》中的义务强调对子女负责——</w:t>
      </w:r>
      <w:r>
        <w:rPr>
          <w:rFonts w:ascii="宋体" w:hAnsi="宋体" w:eastAsia="宋体" w:cs="宋体"/>
          <w:color w:val="000000"/>
          <w:kern w:val="0"/>
          <w:szCs w:val="21"/>
          <w:lang w:val="zh-TW" w:bidi="zh-TW"/>
        </w:rPr>
        <w:t>要考虑子女的教育和生活水准等；强调对社会的责任——要考虑自己的生育决定对其所生活的社区和社会的平衡发展的影响，个人的生殖行为应当与社会的需要和愿望相适应。国际人发大会行动纲领在把生育权纳入人权范畴的同时也强调指出：生育不仅是自由的，也是有义务的和负责任的。《中华人民共和国人口与计划生育法》第17条也指出：“公民有生育的权利，也有依法实行计划生育的义务”。其次，生育权利说漠视中国的具体国情，缺乏科学、客观的公正立场。</w:t>
      </w:r>
      <w:r>
        <w:rPr>
          <w:rFonts w:hint="eastAsia" w:ascii="宋体" w:hAnsi="宋体" w:eastAsia="宋体" w:cs="宋体"/>
          <w:color w:val="000000"/>
          <w:kern w:val="0"/>
          <w:szCs w:val="21"/>
          <w:lang w:val="zh-TW" w:bidi="zh-TW"/>
        </w:rPr>
        <w:t>中国政府历届领导人论述人口问题，都是以人口多、底子薄这一最基本的国情为出发点的，是建立在对基本国情的科学判断和把握上的。对于一个</w:t>
      </w:r>
      <w:r>
        <w:rPr>
          <w:rFonts w:ascii="宋体" w:hAnsi="宋体" w:eastAsia="宋体" w:cs="宋体"/>
          <w:color w:val="000000"/>
          <w:kern w:val="0"/>
          <w:szCs w:val="21"/>
          <w:lang w:val="zh-TW" w:bidi="zh-TW"/>
        </w:rPr>
        <w:t>13亿之众的大国，国家人口政策首先要考虑的，只能是全体人民的生存发展和福祉的提升，而难以全面顾及脱离现实的所谓自由生育。</w:t>
      </w:r>
    </w:p>
    <w:p w14:paraId="33D2EEA0">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三，关于人口密度说。认为从人口密度来说，日本、韩国等国都比中国要高，但这些国家并没有控制人口规模和限制生育，因而中国限制生育自然是错误的，强调人口密度优势和规模优势是经济繁荣的必要条件。对此，首先，不能单纯以人口密度概念来衡量人口规模的合理性问题。人口密度仅考虑到地理面积，未顾及这一空间的资源和生态环境以及是否利用其他空间的资源等状况。其次，不能把人口密度与经济发展之间的关系简单化。人口密度的提高可能促进经济的发展，而并非任何条件下人口数量及其密度与经济发展都相互促进并成正比例或正向相关。美国等发达国家哪一个是因为人口多才强盛的？印度比哪个发达国家人口都多得多，为何数十年都发达不起来？韩国等人口不多，为何能较快地强盛起来？</w:t>
      </w:r>
    </w:p>
    <w:p w14:paraId="07D5297E">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四，关于人口老化说。事实上，中国老龄人口多，并非像人口老化说所主张的完全是由低生育率带来的，而首先是由中国“人口众多”这一突出国情所决定的。中国老龄人口规模虽大，但老龄人口比例却低。无论绝对规模还是相对规模，中国老龄人口占总人口的比例都远低于整个发达国家。同时，应看到人口老龄化并非等于人口老龄危机。如果人口老龄化并没有导致劳动力供给的短缺，那么就不存在所谓的人口老龄危机。不能以某些城市和地区的老龄化数据替代动态的老龄人口分布和地区差异。以个别国家所谓养老金的短缺问题来论证，也是站不住脚的。解决人口老龄化问题（含老龄人口问题）取决于人均劳动生产率而非抚养比。</w:t>
      </w:r>
    </w:p>
    <w:p w14:paraId="52C9686A">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五，关于性别失衡说。男女出生性别比的偏差，不能归咎于现行计划生育政策。按照出生概率，无论是只生一胎，还是头胎女孩可再生二胎，男女出生性别比应大体相同。事实上，造成出生性别比的偏差的主要原因，在于养老保障制度的缺陷、观念上的重男轻女、技术上的胎儿性别鉴定、社会上的一些不合理状态（如女性就业歧视）等，并非因计划生育政策而来，也不能因取消计划生育政策而去。性别失衡的现状必须扭转，只能靠综合治理。尤其要在建立一种有差别的变罚为奖的社会保障措施（“无胎高保、女胎中保、男胎基保或低保、超胎不保”）、严惩怀孕性别查堕行为、消除女性就业歧视、延长男性寿命这四个方面加以努力，才能为纠正出生性别比、人口性别失衡和婚配性别比的失衡扫清障碍。</w:t>
      </w:r>
    </w:p>
    <w:p w14:paraId="0DD3A9A5">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六，关于高质生二说。有人主张高职务和高学历的人应当生二胎。事实上，没有数据证明高职务父母的子女智力和素质自然就高。首先，从遗传学角度看，父母智商与子女智商具有不确定性。政界高干、学界高知和商界高管的孩子或其他孩子的智商均不具有同质性，其身体素质、智商水平和行为能力的差别可以很大。因为一个人的各种智商和能力主要不是天生出来的，而是通过教化和锻炼等各种社会化的途径自我砥砺出来的。高学历、高职务的父母与其后代的“人口素质”没有简单的因果关系。其次，一个民主社会应该坚决反对“血统论”倾向。要通过少生来优生，而不是通过“精英”多生来优生。与“少生快富”的口号一样，“少生优生”、“少生先富”的原则和精神应当普及。提高国民素质，不能仅倚靠那些所谓处于人口数量金字塔顶的高质人群。在目前的中国，整个民族素质的提高，同人口总量的“先控后减”密切相关。</w:t>
      </w:r>
    </w:p>
    <w:p w14:paraId="26D9CC7B">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第七，关于头胎较憨说。中国民间有一个说法：“老大憨，老二精，老三最聪敏。”这一</w:t>
      </w:r>
      <w:r>
        <w:rPr>
          <w:rFonts w:ascii="宋体" w:hAnsi="宋体" w:eastAsia="宋体" w:cs="宋体"/>
          <w:color w:val="000000"/>
          <w:kern w:val="0"/>
          <w:szCs w:val="21"/>
          <w:lang w:val="zh-TW" w:bidi="zh-TW"/>
        </w:rPr>
        <w:t>“俗语”也被一些主张放开二胎的论者拿来作为论据。其实，这个论据实在不怎么有力，在30年前讨论计划生育时已被统计数据所否定。</w:t>
      </w:r>
    </w:p>
    <w:p w14:paraId="4023F7D2">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第八，关于兵源风险说。有论者认为，“一旦发生战事或需要独生子女及其家庭奉献时，国防风险也就随之存在。”其实，这是一个可以相对合理解决的问题。首先，从绝对量上说，中国在整个</w:t>
      </w:r>
      <w:r>
        <w:rPr>
          <w:rFonts w:ascii="宋体" w:hAnsi="宋体" w:eastAsia="宋体" w:cs="宋体"/>
          <w:color w:val="000000"/>
          <w:kern w:val="0"/>
          <w:szCs w:val="21"/>
          <w:lang w:val="zh-TW" w:bidi="zh-TW"/>
        </w:rPr>
        <w:t>21世纪不会存在兵源不足问题。其次，不论在现实正常生活中，还是在和征兵和战场上，我们都不能把“独生子女”的生命权凌驾于“多子女”之上。不过，国家应对包括兵役逝世或伤残在内的非正常人生夭折或失去劳动能力的不同情况，立法给予高低不一的家庭补贴或保障。</w:t>
      </w:r>
    </w:p>
    <w:p w14:paraId="59D9A77C">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九，关于大国空巢说。论者认为，中国的计划生育政策已经导致了大国空巢、劳力短缺、学校破产；笃信“早婚早育多子多福”、“不孝有三无后为大”和“人口大国优势论”、“生育文化决定论（各民族的博弈归根到底是生育文化的博弈）”、“人口多多益善论”</w:t>
      </w:r>
      <w:r>
        <w:rPr>
          <w:rStyle w:val="20"/>
          <w:color w:val="000000"/>
          <w:kern w:val="0"/>
          <w:szCs w:val="21"/>
        </w:rPr>
        <w:footnoteReference w:id="463"/>
      </w:r>
      <w:r>
        <w:rPr>
          <w:rFonts w:ascii="宋体" w:hAnsi="宋体" w:eastAsia="宋体" w:cs="宋体"/>
          <w:color w:val="000000"/>
          <w:kern w:val="0"/>
          <w:szCs w:val="21"/>
          <w:lang w:val="zh-TW" w:bidi="zh-TW"/>
        </w:rPr>
        <w:t>。其背离事实是显而易见的，不多分析。</w:t>
      </w:r>
    </w:p>
    <w:p w14:paraId="313CB26B">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第十，关于独子性格说。独子性格说，是主张放开二胎的论者又一个非常重要的论据。然而，一旦全面审视学界有关中国独生子女的研究历程和结论便可看出，独子性格说远不能成为一个事实上的论据。一是认为独生子女有性格缺陷的研究成果在减少，认为独生子女具有积极性格特征或与非独生子女没有性格倾向方面差异的研究成果在增多。二是少数个案不能拿来作为独生子女整体定性的依据。三是部分独生子女的部分不良倾向，</w:t>
      </w:r>
      <w:r>
        <w:rPr>
          <w:rFonts w:ascii="宋体" w:hAnsi="宋体" w:eastAsia="宋体" w:cs="宋体"/>
          <w:color w:val="000000"/>
          <w:kern w:val="0"/>
          <w:szCs w:val="21"/>
          <w:lang w:val="zh-TW" w:bidi="zh-TW"/>
        </w:rPr>
        <w:t>完全可以在其社会化的过程中，通过教化和体制机制调整等社会交往实践予以纠正。就像非独生子女的部分不良倾向也是这样纠正的一样。一个社</w:t>
      </w:r>
      <w:r>
        <w:rPr>
          <w:rFonts w:hint="eastAsia" w:ascii="宋体" w:hAnsi="宋体" w:eastAsia="宋体" w:cs="宋体"/>
          <w:color w:val="000000"/>
          <w:kern w:val="0"/>
          <w:szCs w:val="21"/>
          <w:lang w:val="zh-TW" w:bidi="zh-TW"/>
        </w:rPr>
        <w:t>会大多数人的性格和言行的现实往往与该社会的各种制度、教育等密切相关。四是某些研究成果缺乏科学分析方法，并没有认清社会所影响或赋予两代人之间的性格倾向和差别。</w:t>
      </w:r>
    </w:p>
    <w:p w14:paraId="127B44DB">
      <w:pPr>
        <w:spacing w:line="400" w:lineRule="exact"/>
        <w:ind w:firstLine="420" w:firstLineChars="200"/>
        <w:rPr>
          <w:rFonts w:ascii="宋体" w:hAnsi="宋体" w:eastAsia="宋体" w:cs="宋体"/>
          <w:color w:val="000000"/>
          <w:kern w:val="0"/>
          <w:szCs w:val="21"/>
          <w:lang w:val="zh-TW" w:bidi="zh-TW"/>
        </w:rPr>
      </w:pPr>
      <w:r>
        <w:rPr>
          <w:rFonts w:hint="eastAsia" w:ascii="宋体" w:hAnsi="宋体" w:eastAsia="宋体" w:cs="宋体"/>
          <w:color w:val="000000"/>
          <w:kern w:val="0"/>
          <w:szCs w:val="21"/>
          <w:lang w:val="zh-TW" w:bidi="zh-TW"/>
        </w:rPr>
        <w:t>（原载《绿叶》2</w:t>
      </w:r>
      <w:r>
        <w:rPr>
          <w:rFonts w:ascii="宋体" w:hAnsi="宋体" w:eastAsia="宋体" w:cs="宋体"/>
          <w:color w:val="000000"/>
          <w:kern w:val="0"/>
          <w:szCs w:val="21"/>
          <w:lang w:val="zh-TW" w:bidi="zh-TW"/>
        </w:rPr>
        <w:t>010</w:t>
      </w:r>
      <w:r>
        <w:rPr>
          <w:rFonts w:hint="eastAsia" w:ascii="宋体" w:hAnsi="宋体" w:eastAsia="宋体" w:cs="宋体"/>
          <w:color w:val="000000"/>
          <w:kern w:val="0"/>
          <w:szCs w:val="21"/>
          <w:lang w:val="zh-TW" w:bidi="zh-TW"/>
        </w:rPr>
        <w:t>年第4期）</w:t>
      </w:r>
    </w:p>
    <w:p w14:paraId="1B132413">
      <w:pPr>
        <w:keepNext/>
        <w:keepLines/>
        <w:widowControl/>
        <w:spacing w:line="480" w:lineRule="auto"/>
        <w:ind w:firstLine="640" w:firstLineChars="200"/>
        <w:jc w:val="center"/>
        <w:outlineLvl w:val="1"/>
        <w:rPr>
          <w:rFonts w:ascii="黑体" w:hAnsi="黑体" w:eastAsia="黑体" w:cs="Times New Roman"/>
          <w:kern w:val="28"/>
          <w:sz w:val="32"/>
          <w:szCs w:val="24"/>
        </w:rPr>
      </w:pPr>
      <w:bookmarkStart w:id="1117" w:name="_Toc27041"/>
      <w:bookmarkStart w:id="1118" w:name="_Toc1580360788"/>
      <w:bookmarkStart w:id="1119" w:name="_Toc196169089"/>
      <w:r>
        <w:rPr>
          <w:rFonts w:hint="eastAsia" w:ascii="黑体" w:hAnsi="黑体" w:eastAsia="黑体" w:cs="Times New Roman"/>
          <w:kern w:val="28"/>
          <w:sz w:val="32"/>
          <w:szCs w:val="24"/>
        </w:rPr>
        <w:t>9国际金融危机对资本主义生存与发展的影响</w:t>
      </w:r>
      <w:bookmarkEnd w:id="1117"/>
      <w:bookmarkEnd w:id="1118"/>
      <w:bookmarkEnd w:id="1119"/>
    </w:p>
    <w:p w14:paraId="3A6ABB22">
      <w:pPr>
        <w:autoSpaceDE w:val="0"/>
        <w:autoSpaceDN w:val="0"/>
        <w:spacing w:line="360" w:lineRule="auto"/>
        <w:ind w:firstLine="480" w:firstLineChars="200"/>
        <w:jc w:val="center"/>
        <w:rPr>
          <w:rFonts w:ascii="宋体" w:hAnsi="宋体" w:eastAsia="宋体"/>
          <w:b/>
          <w:bCs/>
          <w:color w:val="000000"/>
          <w:sz w:val="24"/>
          <w:szCs w:val="24"/>
        </w:rPr>
      </w:pPr>
      <w:r>
        <w:rPr>
          <w:rFonts w:hint="eastAsia" w:ascii="宋体" w:hAnsi="宋体" w:eastAsia="宋体"/>
          <w:b/>
          <w:bCs/>
          <w:color w:val="000000"/>
          <w:sz w:val="24"/>
          <w:szCs w:val="24"/>
        </w:rPr>
        <w:t>一、这次国际金融危机的新特点和根源</w:t>
      </w:r>
    </w:p>
    <w:p w14:paraId="10F736A9">
      <w:pPr>
        <w:spacing w:line="400" w:lineRule="exact"/>
        <w:ind w:firstLine="420" w:firstLineChars="200"/>
        <w:rPr>
          <w:rFonts w:ascii="宋体" w:hAnsi="宋体" w:eastAsia="宋体" w:cs="宋体"/>
          <w:szCs w:val="21"/>
        </w:rPr>
      </w:pPr>
      <w:r>
        <w:rPr>
          <w:rFonts w:hint="eastAsia" w:ascii="宋体" w:hAnsi="宋体" w:eastAsia="宋体" w:cs="宋体"/>
          <w:szCs w:val="21"/>
        </w:rPr>
        <w:t>当前国际金融危机出现了一些值得密切关注的新特点。2008年，美国金融危机迅速蔓延扩散，演变为一场波及全世界的严重经济危机。当前美国官方宣布美经济已恢复增长，但这不值得人们乐观并放松警惕，美国巨大债务泡沫的破裂随时可能导致经济形势恶化，出现大萧条时期那样的双底型或多底型经济衰退。倘若美国的金融危机确实起源于市场恐慌和信心不足，那么美国政府采取注资挽救市场，应使投资者克服恐慌获得信心，市场应恢复正常运转。但事实是，通过扩大货币发行、消费信贷和政府借债都只是暂时推迟、缓解基本矛盾的激化，根本无法阻止矛盾不断积累。</w:t>
      </w:r>
    </w:p>
    <w:p w14:paraId="7480A3DD">
      <w:pPr>
        <w:spacing w:line="400" w:lineRule="exact"/>
        <w:ind w:firstLine="420" w:firstLineChars="200"/>
        <w:rPr>
          <w:rFonts w:ascii="宋体" w:hAnsi="宋体" w:eastAsia="宋体" w:cs="宋体"/>
          <w:szCs w:val="21"/>
        </w:rPr>
      </w:pPr>
      <w:r>
        <w:rPr>
          <w:rFonts w:hint="eastAsia" w:ascii="宋体" w:hAnsi="宋体" w:eastAsia="宋体" w:cs="宋体"/>
          <w:szCs w:val="21"/>
        </w:rPr>
        <w:t>广大民众购买力不足形成的生产相对过剩，在当代资本主义条件下主要表现为债务泡沫膨胀，越来越依靠寅吃卯粮的借贷消费来弥补需求不足。在过去的资本主义经济危机中，有效需求不足直接表现为生产过剩。但在这次危机中，有效需求不足则表现为“次贷”规模的过度膨胀，高风险与“次贷”相关的金融衍生品泛滥成灾，最终因大规模“次贷”违约引爆金融危机。</w:t>
      </w:r>
    </w:p>
    <w:p w14:paraId="16F468DD">
      <w:pPr>
        <w:spacing w:line="400" w:lineRule="exact"/>
        <w:ind w:firstLine="420" w:firstLineChars="200"/>
        <w:rPr>
          <w:rFonts w:ascii="宋体" w:hAnsi="宋体" w:eastAsia="宋体" w:cs="宋体"/>
          <w:szCs w:val="21"/>
        </w:rPr>
      </w:pPr>
      <w:r>
        <w:rPr>
          <w:rFonts w:hint="eastAsia" w:ascii="宋体" w:hAnsi="宋体" w:eastAsia="宋体" w:cs="宋体"/>
          <w:szCs w:val="21"/>
        </w:rPr>
        <w:t>这次西方国家爆发严重的金融和经济危机是1980年以来新自由主义在全世界泛滥所导致的一个非常符合逻辑的结果。当今世界资本主义经济的基本矛盾，通过四种具体矛盾和中间环节导致金融危机和经济危机。其一，从微观基础分析，私有制及其企业管理模式容易形成高级管理层为取得个人巨额收入极大化而追求利润极大化，日益采用风险较大的金融工具以及“次贷”方式，从而酿成各种危机。其二，从经济结构分析，私有制条件下的市场经济容易造成生产相对过剩，实体经济与虚拟经济的比例失衡，从而酿成各种危机。其三，从经济调节分析，私有制垄断集团和金融寡头容易反对国家监管和调控，而资本主义国家又为私有制经济服务，导致市场和国家调节双失灵，从而酿成各种危机。其四，从分配消费分析，私有制条件下的市场经济容易造成社会财富和收入分配的贫富分化，导致生产的无限扩大与群众有支付能力需求相对缩小的矛盾，群众被迫进行维持生计的含“次贷”在内的过度消费信贷，从而酿成各种危机。</w:t>
      </w:r>
    </w:p>
    <w:p w14:paraId="045F1A61">
      <w:pPr>
        <w:autoSpaceDE w:val="0"/>
        <w:autoSpaceDN w:val="0"/>
        <w:spacing w:line="360" w:lineRule="auto"/>
        <w:ind w:firstLine="480" w:firstLineChars="200"/>
        <w:jc w:val="center"/>
        <w:rPr>
          <w:rFonts w:ascii="宋体" w:hAnsi="宋体" w:eastAsia="宋体"/>
          <w:b/>
          <w:bCs/>
          <w:color w:val="000000"/>
          <w:sz w:val="24"/>
          <w:szCs w:val="24"/>
        </w:rPr>
      </w:pPr>
      <w:r>
        <w:rPr>
          <w:rFonts w:hint="eastAsia" w:ascii="宋体" w:hAnsi="宋体" w:eastAsia="宋体"/>
          <w:b/>
          <w:bCs/>
          <w:color w:val="000000"/>
          <w:sz w:val="24"/>
          <w:szCs w:val="24"/>
        </w:rPr>
        <w:t>二、西方资本主义可能陷入长期动荡甚至生存危机</w:t>
      </w:r>
    </w:p>
    <w:p w14:paraId="5D546359">
      <w:pPr>
        <w:spacing w:line="400" w:lineRule="exact"/>
        <w:ind w:firstLine="420" w:firstLineChars="200"/>
        <w:rPr>
          <w:rFonts w:ascii="宋体" w:hAnsi="宋体" w:eastAsia="宋体" w:cs="宋体"/>
          <w:b/>
          <w:bCs/>
          <w:szCs w:val="21"/>
        </w:rPr>
      </w:pPr>
      <w:r>
        <w:rPr>
          <w:rFonts w:hint="eastAsia" w:ascii="宋体" w:hAnsi="宋体" w:eastAsia="宋体" w:cs="宋体"/>
          <w:b/>
          <w:bCs/>
          <w:szCs w:val="21"/>
        </w:rPr>
        <w:t>（一）危机凸显金融体系的“有毒资产”难以根治</w:t>
      </w:r>
    </w:p>
    <w:p w14:paraId="3884F465">
      <w:pPr>
        <w:spacing w:line="400" w:lineRule="exact"/>
        <w:ind w:firstLine="420" w:firstLineChars="200"/>
        <w:rPr>
          <w:rFonts w:ascii="宋体" w:hAnsi="宋体" w:eastAsia="宋体" w:cs="宋体"/>
          <w:szCs w:val="21"/>
        </w:rPr>
      </w:pPr>
      <w:r>
        <w:rPr>
          <w:rFonts w:hint="eastAsia" w:ascii="宋体" w:hAnsi="宋体" w:eastAsia="宋体" w:cs="宋体"/>
          <w:szCs w:val="21"/>
        </w:rPr>
        <w:t>2009年3月在英国伦敦召开的20国集团（G20）峰会上，美欧各国领导人有意回避了银行体系的巨额“有毒资产”问题。尽管他们也承认，不解决这一关键性问题，经济刺激计划难以推动全球经济的复苏。“有毒资产”指的是表面上仍有价值而实际上将会变成坏账、亏损的资产，如“金融创新”制造出的各种衍生证券等。不同于正常经营中出现的不良资产，“有毒资产”往往涉及高杠杆金融投机的欺诈骗局。国际货币基金总裁卡恩认为，根据以前发生的120次银行危机的经验，不解决银行不良资产问题，就不可能出现真正的经济复苏。美国“次贷”危机引发了全球金融海啸，主要原因是金融衍生品损失远远超过“次贷”直接损失，导致美欧银行普遍陷入困境并形成巨额“有毒资产”。由于美欧长期缺乏金融监管已造成严重恶果，故仅仅承诺未来加强监管而不解决监管缺失的后果，不消除由于监管长期缺失而形成的巨额银行“有毒资产”，就无法消除危害社会公众的安全隐患。特别危险的是，美欧银行体系暴露出更令人惊讶的“有毒资产”数据，表明已显示出的问题可能只是“冰山一角”。</w:t>
      </w:r>
    </w:p>
    <w:p w14:paraId="4E883102">
      <w:pPr>
        <w:spacing w:line="400" w:lineRule="exact"/>
        <w:ind w:firstLine="420" w:firstLineChars="200"/>
        <w:rPr>
          <w:rFonts w:ascii="宋体" w:hAnsi="宋体" w:eastAsia="宋体" w:cs="宋体"/>
          <w:szCs w:val="21"/>
        </w:rPr>
      </w:pPr>
      <w:r>
        <w:rPr>
          <w:rFonts w:hint="eastAsia" w:ascii="宋体" w:hAnsi="宋体" w:eastAsia="宋体" w:cs="宋体"/>
          <w:szCs w:val="21"/>
        </w:rPr>
        <w:t>2009年2月11日，英国《每日电讯报》网站曾披露欧盟委员会的一份内部报告的数据，显示欧盟区整个银行体系的“有毒资产”数额高达25万亿美元，其庞大规模相当于2006年13.6万亿美元的欧盟区国内生产总值的183%。这个数据充分揭示了欧洲国家央行注入的数万亿欧元的流动性为何无效，因为相对于25万亿美元的银行“有毒资产”，这的确只是杯水车薪。正如美国经济学家斯蒂格利茨指出，美欧国家巨资救市仿佛“采取输血的办法挽救内脏大出血病人”，使巨额资金被银行“有毒资产”的黑洞白白浪费掉，导致缺乏资金的实体经济部门陷入资金更加匮乏的局面。</w:t>
      </w:r>
    </w:p>
    <w:p w14:paraId="4C5591DD">
      <w:pPr>
        <w:spacing w:line="400" w:lineRule="exact"/>
        <w:ind w:firstLine="420" w:firstLineChars="200"/>
        <w:rPr>
          <w:rFonts w:ascii="宋体" w:hAnsi="宋体" w:eastAsia="宋体" w:cs="宋体"/>
          <w:szCs w:val="21"/>
        </w:rPr>
      </w:pPr>
      <w:r>
        <w:rPr>
          <w:rFonts w:hint="eastAsia" w:ascii="宋体" w:hAnsi="宋体" w:eastAsia="宋体" w:cs="宋体"/>
          <w:szCs w:val="21"/>
        </w:rPr>
        <w:t>欧盟整个银行体系的“有毒资产”，其来源不是面向实体经济贷款形成的不良资产，而是来自高杠杆的金融衍生品投机泡沫形成的坏账，否则，它不可能以如此大的幅度超过欧盟国内生产总值的规模。同时，这也揭示出美欧巨资救市是徒劳无功的。难怪《每日电讯报》网站次日又匆忙删去了有关银行“有毒资产”的详细数据。这种欲盖弥彰的做法是为了掩盖欧洲银行坏账的严重程度，以免人们认识到事情的真相后彻底丧失救市信心，迫使政府不得不采取触动金融财团利益的措施。</w:t>
      </w:r>
    </w:p>
    <w:p w14:paraId="01DA9F6A">
      <w:pPr>
        <w:spacing w:line="400" w:lineRule="exact"/>
        <w:ind w:firstLine="420" w:firstLineChars="200"/>
        <w:rPr>
          <w:rFonts w:ascii="宋体" w:hAnsi="宋体" w:eastAsia="宋体" w:cs="宋体"/>
          <w:szCs w:val="21"/>
        </w:rPr>
      </w:pPr>
      <w:r>
        <w:rPr>
          <w:rFonts w:hint="eastAsia" w:ascii="宋体" w:hAnsi="宋体" w:eastAsia="宋体" w:cs="宋体"/>
          <w:szCs w:val="21"/>
        </w:rPr>
        <w:t>在这次国际金融危机中，金融衍生品对扩大风险的作用，充分暴露出，其不是避险工具而是投机谋利手段。这次国际金融危机的严重程度超过普通经济危机，原因在于美欧流行的金融创新具有两面性，即使金融创新的初始功能具有避险作用，但资本主义生产关系决定了其必须服从资本谋利贪欲。金融创新促使资本主义剥削形式发生变化，大大扩展了剥削的对象、程度和时空范围，使之延伸到各实体经济领域及不同地区和国家，牵涉各种社会阶层甚至未来几代人。华尔街通过金融创新制造出的金融衍生品泡沫，由于具有高杠杆性质，使金融投机获得了广阔空间，摆脱了自有资本的局限和政府金融监管的限制，可以依照金融资本的自由意志无束缚发展，加深了全球贫富分化和资本主义基本矛盾。</w:t>
      </w:r>
    </w:p>
    <w:p w14:paraId="6A45E5B3">
      <w:pPr>
        <w:spacing w:line="400" w:lineRule="exact"/>
        <w:ind w:firstLine="420" w:firstLineChars="200"/>
        <w:rPr>
          <w:rFonts w:ascii="宋体" w:hAnsi="宋体" w:eastAsia="宋体" w:cs="宋体"/>
          <w:b/>
          <w:bCs/>
          <w:szCs w:val="21"/>
        </w:rPr>
      </w:pPr>
      <w:r>
        <w:rPr>
          <w:rFonts w:hint="eastAsia" w:ascii="宋体" w:hAnsi="宋体" w:eastAsia="宋体" w:cs="宋体"/>
          <w:b/>
          <w:bCs/>
          <w:szCs w:val="21"/>
        </w:rPr>
        <w:t>（二）危机凸显私有制公司治理的弊端</w:t>
      </w:r>
    </w:p>
    <w:p w14:paraId="6344BAD7">
      <w:pPr>
        <w:spacing w:line="400" w:lineRule="exact"/>
        <w:ind w:firstLine="420" w:firstLineChars="200"/>
        <w:rPr>
          <w:rFonts w:ascii="宋体" w:hAnsi="宋体" w:eastAsia="宋体" w:cs="宋体"/>
          <w:szCs w:val="21"/>
        </w:rPr>
      </w:pPr>
      <w:r>
        <w:rPr>
          <w:rFonts w:hint="eastAsia" w:ascii="宋体" w:hAnsi="宋体" w:eastAsia="宋体" w:cs="宋体"/>
          <w:szCs w:val="21"/>
        </w:rPr>
        <w:t>在当前西方不断进行金融衍生品创新的大环境下，以私有产权为基础的股份公司治理结构正面临着巨大危机。资本主义总是不断进行各个层面的创新活动，包括生产力方面的科学技术创新，生产关系方面的剥削方式创新。这种剥削方式创新不断酿成巨大风险。西方的代议制民主政体架构，现代企业制度的公司治理架构，都无法抵御金融衍生品创新的诱惑腐蚀。近10年来，华尔街花了50亿美元游说、贿赂美国国会议员，促使国会在明知金融衍生品存在巨大风险的情况下，仍然通过了一系列放松监管的金融自由化法案。在金融衍生品创新的巨大诱惑之下，股份公司的治理结构难以遏制来自内部的腐败。即使高层经理在股份公司里拥有较大比重的股权，如10%、20%的股权，其一年收益也远远小于一次金融衍生品作弊的收益。西方大公司高管年薪一般为数千万美元，但金融衍生品的交易动辄成百上千亿美元，通过金融衍生品作弊带来的利益要大得多。政府不拥有企业产权，无法深入到股份公司内部，无法掌握会计审计、重大交易的详细信息，仅仅从外部监管不仅成本很高而且难以奏效。况且政府高官、美联储本身也是垄断财团利益的代理人，即使在风险充分曝光后，它们仍继续纵容金融衍生品投机。从微观经济角度分析，私有制企业为了追求私人巨额收入，会不计风险地采用“次贷”及相关的金融衍生品工具，并不断游说政府、国会为金融投机创造宽松条件，导致伦理失灵、市场失灵和政府监管失灵。</w:t>
      </w:r>
    </w:p>
    <w:p w14:paraId="7450DC4C">
      <w:pPr>
        <w:spacing w:line="400" w:lineRule="exact"/>
        <w:ind w:firstLine="420" w:firstLineChars="200"/>
        <w:rPr>
          <w:rFonts w:ascii="宋体" w:hAnsi="宋体" w:eastAsia="宋体" w:cs="宋体"/>
          <w:szCs w:val="21"/>
        </w:rPr>
      </w:pPr>
      <w:r>
        <w:rPr>
          <w:rFonts w:hint="eastAsia" w:ascii="宋体" w:hAnsi="宋体" w:eastAsia="宋体" w:cs="宋体"/>
          <w:szCs w:val="21"/>
        </w:rPr>
        <w:t>这次危机说明，金融衍生品泡沫对实体经济的巨大破坏，正日益瓦解西方资本主义的经济基础，并促使其面临日益深刻的生存挑战。西方社会改良时期，推行严格限制金融投机的监管政策，超出了凯恩斯主张的宏观货币财政政策范围，更多是迫于社会主义国家形成的强大压力，借鉴了马克思列宁主义关于金融必须为实体经济服务的理论。因此，二战后西方经济周期缓和，非但不能证明马克思列宁主义理论失效，反而恰恰证明了马克思列宁主义理论，具有影响现实和改变世界历史进程的强大生命力。即使在社会改良时期，美国金融财团也始终渴望回到甚至比大萧条前更少管制的资本主义。金融垄断财团始终将社会改良视为被迫采取的权宜之计，始终竭力支持新自由主义以求恢复自由放任资本主义。例如，花旗银行的老板沃特瑞斯顿为恢复自由放任资本主义，竭力支持哈耶克、弗里德曼等新自由主义经济学家。</w:t>
      </w:r>
    </w:p>
    <w:p w14:paraId="4DCA8F6C">
      <w:pPr>
        <w:spacing w:line="400" w:lineRule="exact"/>
        <w:ind w:firstLine="420" w:firstLineChars="200"/>
        <w:rPr>
          <w:rFonts w:ascii="宋体" w:hAnsi="宋体" w:eastAsia="宋体" w:cs="宋体"/>
          <w:b/>
          <w:bCs/>
          <w:szCs w:val="21"/>
        </w:rPr>
      </w:pPr>
      <w:r>
        <w:rPr>
          <w:rFonts w:hint="eastAsia" w:ascii="宋体" w:hAnsi="宋体" w:eastAsia="宋体" w:cs="宋体"/>
          <w:b/>
          <w:bCs/>
          <w:szCs w:val="21"/>
        </w:rPr>
        <w:t>（三）危机凸显贫富分化的加剧</w:t>
      </w:r>
    </w:p>
    <w:p w14:paraId="17353FEC">
      <w:pPr>
        <w:spacing w:line="400" w:lineRule="exact"/>
        <w:ind w:firstLine="420" w:firstLineChars="200"/>
        <w:rPr>
          <w:rFonts w:ascii="宋体" w:hAnsi="宋体" w:eastAsia="宋体" w:cs="宋体"/>
          <w:szCs w:val="21"/>
        </w:rPr>
      </w:pPr>
      <w:r>
        <w:rPr>
          <w:rFonts w:hint="eastAsia" w:ascii="宋体" w:hAnsi="宋体" w:eastAsia="宋体" w:cs="宋体"/>
          <w:szCs w:val="21"/>
        </w:rPr>
        <w:t>20世纪80年代以来，里根政府推行新自由主义造成了日益严重的贫富分化，GDP增长的绝大部分都进入了少数富有阶层的口袋。2005年，美国最富有的1%和1‰的人所拥有的财富都达到了1928年以来的最高水平。最富有的1‰人口只有30万，他们的收入与最穷的50%人口的总收入相当，而最穷的50%人口有1.5亿。美国最富的10%家庭的财富占社会财富的比例高达70%。由美国“次贷”危机引爆国际金融和经济危机的一个重要原因，就是贫富差距拉大，负债经济难以为继。其他发达国家也面临同样的问题，英国、法国超过10%的富人占据社会财富的50%。危机进一步增加了发达国家的贫困人口。</w:t>
      </w:r>
    </w:p>
    <w:p w14:paraId="71C90795">
      <w:pPr>
        <w:spacing w:line="400" w:lineRule="exact"/>
        <w:ind w:firstLine="420" w:firstLineChars="200"/>
        <w:rPr>
          <w:rFonts w:ascii="宋体" w:hAnsi="宋体" w:eastAsia="宋体" w:cs="宋体"/>
          <w:szCs w:val="21"/>
        </w:rPr>
      </w:pPr>
      <w:r>
        <w:rPr>
          <w:rFonts w:hint="eastAsia" w:ascii="宋体" w:hAnsi="宋体" w:eastAsia="宋体" w:cs="宋体"/>
          <w:szCs w:val="21"/>
        </w:rPr>
        <w:t>世界财富分配失衡和南北发展严重失衡。联合国大学世界经济发展研究所2006年12月发布的《世界家庭财富分配报告》显示：从人口分布看，全球最富有的10%的人拥有世界财富的85%，世界底层的半数人口仅拥有世界财富的l%。从区域分布看，世界上的财富主要集中在北美、欧洲和亚太地区部分经济发达的国家和地区，这些国家和地区的人拥有世界上近90%的财富。可以说，财富分配不平衡是发展中国家消费不足的根本原因，也是此次全球性金融和经济危机的一个重要原因。资本主义国家无法从根本上解决财富和收入的贫富对立，必然引起资本主义生存和发展的一系列问题。</w:t>
      </w:r>
    </w:p>
    <w:p w14:paraId="640E737A">
      <w:pPr>
        <w:spacing w:line="400" w:lineRule="exact"/>
        <w:ind w:firstLine="420" w:firstLineChars="200"/>
        <w:rPr>
          <w:rFonts w:ascii="宋体" w:hAnsi="宋体" w:eastAsia="宋体" w:cs="宋体"/>
          <w:b/>
          <w:bCs/>
          <w:szCs w:val="21"/>
        </w:rPr>
      </w:pPr>
      <w:r>
        <w:rPr>
          <w:rFonts w:hint="eastAsia" w:ascii="宋体" w:hAnsi="宋体" w:eastAsia="宋体" w:cs="宋体"/>
          <w:b/>
          <w:bCs/>
          <w:szCs w:val="21"/>
        </w:rPr>
        <w:t>（四）危机凸显国家调节的低效</w:t>
      </w:r>
    </w:p>
    <w:p w14:paraId="6C744ED4">
      <w:pPr>
        <w:spacing w:line="400" w:lineRule="exact"/>
        <w:ind w:firstLine="420" w:firstLineChars="200"/>
        <w:rPr>
          <w:rFonts w:ascii="宋体" w:hAnsi="宋体" w:eastAsia="宋体" w:cs="宋体"/>
          <w:szCs w:val="21"/>
        </w:rPr>
      </w:pPr>
      <w:r>
        <w:rPr>
          <w:rFonts w:hint="eastAsia" w:ascii="宋体" w:hAnsi="宋体" w:eastAsia="宋体" w:cs="宋体"/>
          <w:szCs w:val="21"/>
        </w:rPr>
        <w:t>当前美国经济呈现复苏迹象，得益于政府的巨额注资措施。美国著名金融评论家、《利率观察家》杂志主编吉姆格雷特认为，在美国二战后经历的前10次经济衰退中，美国政府平均采取的财政、货币刺激力度，仅为国内生产总值的2.9%，而当前美国政府采取的财政、货币刺激力度，达到了超过以前10倍以上的前所未有规模；20世纪30年代大萧条中，美国的国内生产总值下降了27%，当时政府采取的财政、货币刺激力度，也仅为国内生产总值的8.3%。据计算，同大萧条时期相比，美国为挽救一个百分点的经济衰退，付出的代价相当于大萧条时期的54倍，即为挽救危机所付出的代价，远远超过危机本身造成的损失。</w:t>
      </w:r>
    </w:p>
    <w:p w14:paraId="102F6D74">
      <w:pPr>
        <w:spacing w:line="400" w:lineRule="exact"/>
        <w:ind w:firstLine="420" w:firstLineChars="200"/>
        <w:rPr>
          <w:rFonts w:ascii="宋体" w:hAnsi="宋体" w:eastAsia="宋体" w:cs="宋体"/>
          <w:szCs w:val="21"/>
        </w:rPr>
      </w:pPr>
      <w:r>
        <w:rPr>
          <w:rFonts w:hint="eastAsia" w:ascii="宋体" w:hAnsi="宋体" w:eastAsia="宋体" w:cs="宋体"/>
          <w:szCs w:val="21"/>
        </w:rPr>
        <w:t>尽管美国政府和央行不断出台规模庞大的各种救市计划，国债泡沫和美元债务泡沫膨胀达到空前规模，但美国经济尚未完全摆脱金融危机的影响，依然处于不稳定的震荡状态。即使今后债务泡沫膨胀，刺激国内生产总值恢复增长，也只是从经济危机的“自然爆发状态”变成“人为压抑状态”。债务泡沫暂时压抑的需求不足矛盾仍在不断蓄积能量，债务清算期来临时就会更加强烈地爆发。</w:t>
      </w:r>
    </w:p>
    <w:p w14:paraId="25D6E4BF">
      <w:pPr>
        <w:spacing w:line="400" w:lineRule="exact"/>
        <w:ind w:firstLine="420" w:firstLineChars="200"/>
        <w:rPr>
          <w:rFonts w:ascii="宋体" w:hAnsi="宋体" w:eastAsia="宋体" w:cs="宋体"/>
          <w:szCs w:val="21"/>
        </w:rPr>
      </w:pPr>
      <w:r>
        <w:rPr>
          <w:rFonts w:hint="eastAsia" w:ascii="宋体" w:hAnsi="宋体" w:eastAsia="宋体" w:cs="宋体"/>
          <w:szCs w:val="21"/>
        </w:rPr>
        <w:t>西方垄断财团一方面竭力贬低维护社会利益的国家调节，一方面毫不犹豫地操纵政府为其谋求私利。资产阶级政党轮流执政和政治制度的低效率，主张“自私经济人”的理念和行为，必然导致市场失灵和伦理失灵基础上的国家调节失灵，从而影响资本主义的生存和发展。</w:t>
      </w:r>
    </w:p>
    <w:p w14:paraId="29D08AC4">
      <w:pPr>
        <w:spacing w:line="400" w:lineRule="exact"/>
        <w:ind w:firstLine="420" w:firstLineChars="200"/>
        <w:rPr>
          <w:rFonts w:ascii="宋体" w:hAnsi="宋体" w:eastAsia="宋体" w:cs="宋体"/>
          <w:szCs w:val="21"/>
        </w:rPr>
      </w:pPr>
      <w:r>
        <w:rPr>
          <w:rFonts w:hint="eastAsia" w:ascii="宋体" w:hAnsi="宋体" w:eastAsia="宋体" w:cs="宋体"/>
          <w:szCs w:val="21"/>
        </w:rPr>
        <w:t>美国作为拥有全球经济军事霸权的资本主义国家，不会坐视金融和经济危机侵蚀其国际地位，不会容忍美元霸权走向衰落。金融和经济危机削弱了美国的整体经济和军事实力，给美国的全球霸权地位带来了严重挑战。2009年美国财政赤字达到创纪录的1.4万亿元，挽救金融危机代价猛增，限制了美国在全球的庞大军事开支。美联储滥发货币挽救危机导致美元大幅度贬值，发展中国家纷纷提出以超主权国际货币替代美元。美元霸权地位面临着比布雷顿森林体系解体更为严重的挑战，迫使美国采取一系列特殊措施挽救全球霸权。</w:t>
      </w:r>
    </w:p>
    <w:p w14:paraId="2A01DF50">
      <w:pPr>
        <w:spacing w:line="400" w:lineRule="exact"/>
        <w:ind w:firstLine="420" w:firstLineChars="200"/>
        <w:rPr>
          <w:rFonts w:ascii="宋体" w:hAnsi="宋体" w:eastAsia="宋体" w:cs="宋体"/>
          <w:b/>
          <w:bCs/>
          <w:szCs w:val="21"/>
        </w:rPr>
      </w:pPr>
      <w:r>
        <w:rPr>
          <w:rFonts w:hint="eastAsia" w:ascii="宋体" w:hAnsi="宋体" w:eastAsia="宋体" w:cs="宋体"/>
          <w:b/>
          <w:bCs/>
          <w:szCs w:val="21"/>
        </w:rPr>
        <w:t>（一）借助美元霸权转嫁危机的损失，并掠夺全世界财富</w:t>
      </w:r>
    </w:p>
    <w:p w14:paraId="7B4ADBEA">
      <w:pPr>
        <w:spacing w:line="400" w:lineRule="exact"/>
        <w:ind w:firstLine="420" w:firstLineChars="200"/>
        <w:rPr>
          <w:rFonts w:ascii="宋体" w:hAnsi="宋体" w:eastAsia="宋体" w:cs="宋体"/>
          <w:szCs w:val="21"/>
        </w:rPr>
      </w:pPr>
      <w:r>
        <w:rPr>
          <w:rFonts w:hint="eastAsia" w:ascii="宋体" w:hAnsi="宋体" w:eastAsia="宋体" w:cs="宋体"/>
          <w:szCs w:val="21"/>
        </w:rPr>
        <w:t>美国纽约大学经济学教授鲁比尼曾准确预见了“次贷”危机，他称，现在美国整个国家的运作方式已经沦为骗局之国，政府、企业和银行都采取类似麦道夫的庞氏骗局，依靠不断制造绚丽的资产泡沫吸引并掠夺全世界的财富。根据美国财政部公布的统计数据，美国政府为应对危机致使财政赤字急剧扩大，不断膨胀的国债达到了惊人规模，其中不少卖给了世界各国的投资者。2010年美国政府的财政赤字预计将达到1.5万亿美元，美国政府维持运转迫切需要筹集3万亿美元，而美国一年的国内全部储蓄总额仅为6千亿美元。这就意味着美国必须继续制造泡沫，源源不断地吸收全世界财富，或者利用美元霸权滥发货币向全世界转嫁危机。正因为如此，美国金融财团正再次制造金融衍生品泡沫，促使全球资金流向美国。</w:t>
      </w:r>
    </w:p>
    <w:p w14:paraId="368F5DE2">
      <w:pPr>
        <w:spacing w:line="400" w:lineRule="exact"/>
        <w:ind w:firstLine="420" w:firstLineChars="200"/>
        <w:rPr>
          <w:rFonts w:ascii="宋体" w:hAnsi="宋体" w:eastAsia="宋体" w:cs="宋体"/>
          <w:b/>
          <w:bCs/>
          <w:szCs w:val="21"/>
        </w:rPr>
      </w:pPr>
      <w:r>
        <w:rPr>
          <w:rFonts w:hint="eastAsia" w:ascii="宋体" w:hAnsi="宋体" w:eastAsia="宋体" w:cs="宋体"/>
          <w:b/>
          <w:bCs/>
          <w:szCs w:val="21"/>
        </w:rPr>
        <w:t>（二）借助国家调节力量，扩大美国金融垄断财团对其他行业和其他国家的影响</w:t>
      </w:r>
    </w:p>
    <w:p w14:paraId="3846ADCC">
      <w:pPr>
        <w:spacing w:line="400" w:lineRule="exact"/>
        <w:ind w:firstLine="420" w:firstLineChars="200"/>
        <w:rPr>
          <w:rFonts w:ascii="宋体" w:hAnsi="宋体" w:eastAsia="宋体" w:cs="宋体"/>
          <w:szCs w:val="21"/>
        </w:rPr>
      </w:pPr>
      <w:r>
        <w:rPr>
          <w:rFonts w:hint="eastAsia" w:ascii="宋体" w:hAnsi="宋体" w:eastAsia="宋体" w:cs="宋体"/>
          <w:szCs w:val="21"/>
        </w:rPr>
        <w:t>2008年爆发金融危机之后，美国注入巨资挽救华尔街金融资本的各种救市计划，本质上是华尔街金融资本挟持政府和公众，为继续获取超额利润进行的一种新的剥削形式创新。美国华尔街金融资本以公众银行存款和养老金等为人质，还以世界各国的外汇储备为人质要挟美国及其他国家政府参与共同救市，收获丰厚赎金的效应已经产生严重的道德风险，数十、数百亿的救市注资远远超过正常经营收入。美国大银行凭借规模巨大的金融衍生品坏账，就可以要挟纳税人、政府和央行持续不断注资救市，何必还要辛苦地向实体经济发放贷款获得微薄收益。这就更加促使美国金融机构沉溺于虚拟泡沫经济。统计数据显示，美国金融机构利润更加依赖于投机赌博性交易，高盛的高风险投机性日均交易额达到2.45亿美元，同“次贷”危机前2007年第一季度的数据相比增加了一倍，显示出美国银行业潜伏着比“次贷”危机前更大的风险。</w:t>
      </w:r>
    </w:p>
    <w:p w14:paraId="49159E89">
      <w:pPr>
        <w:spacing w:line="400" w:lineRule="exact"/>
        <w:ind w:firstLine="420" w:firstLineChars="200"/>
        <w:rPr>
          <w:rFonts w:ascii="宋体" w:hAnsi="宋体" w:eastAsia="宋体" w:cs="宋体"/>
          <w:b/>
          <w:bCs/>
          <w:szCs w:val="21"/>
        </w:rPr>
      </w:pPr>
      <w:r>
        <w:rPr>
          <w:rFonts w:hint="eastAsia" w:ascii="宋体" w:hAnsi="宋体" w:eastAsia="宋体" w:cs="宋体"/>
          <w:b/>
          <w:bCs/>
          <w:szCs w:val="21"/>
        </w:rPr>
        <w:t>（三）加强对资源、碳排放交易、知识产权和自然垄断行业的控制，以继续谋取超额利润</w:t>
      </w:r>
    </w:p>
    <w:p w14:paraId="77821AE4">
      <w:pPr>
        <w:spacing w:line="400" w:lineRule="exact"/>
        <w:ind w:firstLine="420" w:firstLineChars="200"/>
        <w:rPr>
          <w:rFonts w:ascii="宋体" w:hAnsi="宋体" w:eastAsia="宋体" w:cs="宋体"/>
          <w:szCs w:val="21"/>
        </w:rPr>
      </w:pPr>
      <w:r>
        <w:rPr>
          <w:rFonts w:hint="eastAsia" w:ascii="宋体" w:hAnsi="宋体" w:eastAsia="宋体" w:cs="宋体"/>
          <w:szCs w:val="21"/>
        </w:rPr>
        <w:t>美国为维护全球霸权，特别重视加强对全球范围内自然资源的控制，中东、非洲地区的许多战争、冲突，都是围绕争夺自然资源展开的。美国垄断财团在许多投机泡沫破灭的情况下，更加重视将投资方向转向控制自然资源，波斯湾、中亚里海地区、南中国海、尼罗河流域等，都成为美国垄断资本为争夺资源竭力渗透并控制的地区。美国垄断财团还积极利用环保议题制造新的经济泡沫，利用气候变化问题创造一个巨大的碳排放限额及其衍生品交易市场，其规模将达到上万亿美元，并且随着碳减排计划实施而不断膨胀。据美国媒体揭露，碳排放限额交易制度实质上是允许华尔街将碳排放市场纳入其私人征税计划，通过向所有国家排放碳的实体经济部门征税来谋利，进一步加深有利于西方金融垄断资本的财富转移。美国还将通过碳排放征税来限制发展中国家增长。美国操纵国际组织在全球范围推行自然垄断和公益事业领域的私有化，逼迫发展中国家向跨国公司出售自然垄断行业的国有企业。它们鼓吹新自由主义，主张即使在自然垄断行业和公益事业领域，也必须取消政府管制和公共企业，并推行彻底的私有化，包括铁路、公路、供电、燃气、自来水、医院，等等。许多拉丁美洲和亚洲国家，接受新自由主义的经济改革和全面私有化方案，结果导致水、电等生活必需品的价格大幅度上涨，严重损害了公众利益，甚至引起社会动荡。</w:t>
      </w:r>
    </w:p>
    <w:p w14:paraId="25D49D7D">
      <w:pPr>
        <w:spacing w:line="400" w:lineRule="exact"/>
        <w:ind w:firstLine="420" w:firstLineChars="200"/>
        <w:rPr>
          <w:rFonts w:ascii="宋体" w:hAnsi="宋体" w:eastAsia="宋体" w:cs="宋体"/>
          <w:b/>
          <w:bCs/>
          <w:szCs w:val="21"/>
        </w:rPr>
      </w:pPr>
      <w:r>
        <w:rPr>
          <w:rFonts w:hint="eastAsia" w:ascii="宋体" w:hAnsi="宋体" w:eastAsia="宋体" w:cs="宋体"/>
          <w:b/>
          <w:bCs/>
          <w:szCs w:val="21"/>
        </w:rPr>
        <w:t>(四)利用新自由主义政策误导各国经济金融改革，策划隐蔽的经济金融战打击别国经济和货币体系</w:t>
      </w:r>
    </w:p>
    <w:p w14:paraId="56A1EEEF">
      <w:pPr>
        <w:spacing w:line="400" w:lineRule="exact"/>
        <w:ind w:firstLine="420" w:firstLineChars="200"/>
        <w:rPr>
          <w:rFonts w:ascii="宋体" w:hAnsi="宋体" w:eastAsia="宋体" w:cs="宋体"/>
          <w:szCs w:val="21"/>
        </w:rPr>
      </w:pPr>
      <w:r>
        <w:rPr>
          <w:rFonts w:hint="eastAsia" w:ascii="宋体" w:hAnsi="宋体" w:eastAsia="宋体" w:cs="宋体"/>
          <w:szCs w:val="21"/>
        </w:rPr>
        <w:t>美国为应对金融危机，采取了一系列与“华盛顿共识”截然相反的政策，但是，它在操纵国际货币基金组织，向许多发展中国家提供危机援助时，依然要求其接受“华盛顿共识”的一系列苛刻附加条件。20世纪80、90年代，美国曾操纵国际货币基金组织推动金融自由化政策，导致拉美、日本、东南亚、俄罗斯爆发严重的金融危机，达到打击国际对手，掠夺财富并维护美元霸权地位的目的。美国金融危机猛烈爆发之后，美国财长、高盛前总裁保尔森还公开“警告”中国不要因美国金融危机而放弃金融自由化的改革方向。2009年美元面临大幅度贬值时，美国金融垄断财团有意加速引爆迪拜、希腊等国债务泡沫危机，促使人们出于避险恐慌而大量买入美元，导致美元大幅度反弹，从而缓解了美元危机。据英国《每日电讯报》披露，在美国爆发金融危机前夜，美国华尔街重要金融机构曾在华盛顿召开会议，主要议题是利用所谓的“金融快速反应部队”——金融机构与对冲基金组织，针对中国发动一场“没有硝烟的金融战争”。美国金融界专家认为，一个国家金融市场逐步开放的5—8年时间内，其金融体系相对脆弱，实施金融袭击的成功可能性最大，因而未来3年到5年内是争取“延缓中国崛起”的机会。美国策划对华金融战的重点是通过理论和政策误导，诱使中国实行刺激泡沫经济的宏观货币政策，同时施压中国向西方银行开放投资和金融市场，通过炒作股市、楼市攫取投机暴利，然后趁泡沫破裂之机控制中国的银行业等战略行业。</w:t>
      </w:r>
    </w:p>
    <w:p w14:paraId="076F22C2">
      <w:pPr>
        <w:spacing w:line="400" w:lineRule="exact"/>
        <w:ind w:firstLine="420" w:firstLineChars="200"/>
        <w:rPr>
          <w:rFonts w:ascii="宋体" w:hAnsi="宋体" w:eastAsia="宋体" w:cs="宋体"/>
          <w:b/>
          <w:bCs/>
          <w:szCs w:val="21"/>
        </w:rPr>
      </w:pPr>
      <w:r>
        <w:rPr>
          <w:rFonts w:hint="eastAsia" w:ascii="宋体" w:hAnsi="宋体" w:eastAsia="宋体" w:cs="宋体"/>
          <w:b/>
          <w:bCs/>
          <w:szCs w:val="21"/>
        </w:rPr>
        <w:t>（五）一方面，通过滥发美元，掠夺全世界财富，转嫁危机损失；另一方面，为美元衰败后继续控制全球金融准备替代方案</w:t>
      </w:r>
    </w:p>
    <w:p w14:paraId="0BC6DFC5">
      <w:pPr>
        <w:spacing w:line="400" w:lineRule="exact"/>
        <w:ind w:firstLine="420" w:firstLineChars="200"/>
        <w:rPr>
          <w:rFonts w:ascii="宋体" w:hAnsi="宋体" w:eastAsia="宋体" w:cs="宋体"/>
          <w:szCs w:val="21"/>
        </w:rPr>
      </w:pPr>
      <w:r>
        <w:rPr>
          <w:rFonts w:hint="eastAsia" w:ascii="宋体" w:hAnsi="宋体" w:eastAsia="宋体" w:cs="宋体"/>
          <w:szCs w:val="21"/>
        </w:rPr>
        <w:t>美国乔治城大学教授、前总统克林顿的导师奎格利，是一位深得西方金融权势集团信任的学者，他著书透露，垄断财团的御用智库早就拟定详细计划，逐步建立一种由少数金融寡头统治世界的新秩序，最终发行由少数金融寡头控制的超主权世界货币。西方金融权势集团构想的这种超主权世界货币，与中国提出的替代美元的超主权世界货币截然不同。中国的设想是维护世界各国的金融货币主权，将超主权世界货币的作用局限于国际贸易、金融领域；而西方金融权势集团构想的超主权世界货币，将会彻底剥夺世界各国的经济金融主权，由西方金融寡头控制的世界货币替代各国的主权货币。西方金融权势集团深知这将会遭遇各国民众反对，有意推行旨在诱发全球金融危机和长期动荡的政策，同时诱惑各国央行推行天量信贷政策来挽救金融危机，以便在经济崩溃与恶性通货膨胀并存的全球灾难到来之时，归咎于各国央行和主权货币，误导各国民众出于对恶性通货膨胀造成极度痛苦的恐惧，愿意放弃各国主权货币，并接受金融寡头的全球统治。倘若美国金融财团剥夺各国金融主权的图谋得逞，就意味着，即使金融危机最终导致美元彻底丧失信誉，国际金融寡头也能通过其控制的新型世界储备货币，更加直接、有效地控制各国经济金融命脉，并掠夺其财富。</w:t>
      </w:r>
    </w:p>
    <w:p w14:paraId="1BC851F1">
      <w:pPr>
        <w:spacing w:line="400" w:lineRule="exact"/>
        <w:ind w:firstLine="420" w:firstLineChars="200"/>
        <w:rPr>
          <w:rFonts w:ascii="宋体" w:hAnsi="宋体" w:eastAsia="宋体" w:cs="宋体"/>
          <w:szCs w:val="21"/>
        </w:rPr>
      </w:pPr>
    </w:p>
    <w:p w14:paraId="10A42C43">
      <w:pPr>
        <w:spacing w:line="400" w:lineRule="exact"/>
        <w:ind w:firstLine="420" w:firstLineChars="200"/>
        <w:rPr>
          <w:rFonts w:ascii="宋体" w:hAnsi="宋体" w:eastAsia="宋体" w:cs="宋体"/>
          <w:szCs w:val="21"/>
        </w:rPr>
      </w:pPr>
      <w:r>
        <w:rPr>
          <w:rFonts w:hint="eastAsia" w:ascii="宋体" w:hAnsi="宋体" w:eastAsia="宋体" w:cs="宋体"/>
          <w:szCs w:val="21"/>
        </w:rPr>
        <w:t>（原载于《红旗文稿》2010年第11期，第二作者为杨斌）</w:t>
      </w:r>
    </w:p>
    <w:p w14:paraId="184B7680">
      <w:pPr>
        <w:spacing w:line="400" w:lineRule="exact"/>
        <w:ind w:firstLine="420" w:firstLineChars="200"/>
        <w:rPr>
          <w:rFonts w:ascii="宋体" w:hAnsi="宋体" w:eastAsia="宋体" w:cs="宋体"/>
          <w:szCs w:val="21"/>
        </w:rPr>
      </w:pPr>
      <w:r>
        <w:rPr>
          <w:rFonts w:ascii="宋体" w:hAnsi="宋体" w:eastAsia="宋体" w:cs="宋体"/>
          <w:szCs w:val="21"/>
        </w:rPr>
        <w:br w:type="page"/>
      </w:r>
    </w:p>
    <w:p w14:paraId="5E6EF2A0">
      <w:pPr>
        <w:autoSpaceDE w:val="0"/>
        <w:autoSpaceDN w:val="0"/>
        <w:spacing w:line="400" w:lineRule="exact"/>
        <w:ind w:firstLine="200"/>
        <w:rPr>
          <w:rFonts w:ascii="宋体" w:hAnsi="宋体" w:eastAsia="宋体" w:cs="宋体"/>
          <w:kern w:val="0"/>
          <w:szCs w:val="21"/>
          <w:lang w:val="zh-CN" w:bidi="zh-CN"/>
        </w:rPr>
      </w:pPr>
    </w:p>
    <w:p w14:paraId="655C5F56">
      <w:pPr>
        <w:autoSpaceDE w:val="0"/>
        <w:autoSpaceDN w:val="0"/>
        <w:spacing w:line="400" w:lineRule="exact"/>
        <w:ind w:firstLine="200"/>
        <w:rPr>
          <w:rFonts w:ascii="宋体" w:hAnsi="宋体" w:eastAsia="宋体" w:cs="宋体"/>
          <w:kern w:val="0"/>
          <w:szCs w:val="21"/>
          <w:lang w:val="zh-CN" w:bidi="zh-CN"/>
        </w:rPr>
      </w:pPr>
    </w:p>
    <w:p w14:paraId="0095C5E7">
      <w:pPr>
        <w:keepNext/>
        <w:keepLines/>
        <w:widowControl/>
        <w:spacing w:line="480" w:lineRule="auto"/>
        <w:ind w:firstLine="640" w:firstLineChars="200"/>
        <w:jc w:val="center"/>
        <w:outlineLvl w:val="1"/>
        <w:rPr>
          <w:rFonts w:ascii="黑体" w:hAnsi="黑体" w:eastAsia="黑体" w:cs="Times New Roman"/>
          <w:kern w:val="28"/>
          <w:sz w:val="32"/>
          <w:szCs w:val="24"/>
        </w:rPr>
      </w:pPr>
      <w:bookmarkStart w:id="1120" w:name="_Toc14383"/>
      <w:bookmarkStart w:id="1121" w:name="_Toc1046017820"/>
      <w:bookmarkStart w:id="1122" w:name="_Toc626480678"/>
      <w:r>
        <w:rPr>
          <w:rFonts w:ascii="黑体" w:hAnsi="黑体" w:eastAsia="黑体" w:cs="Times New Roman"/>
          <w:kern w:val="28"/>
          <w:sz w:val="32"/>
          <w:szCs w:val="24"/>
        </w:rPr>
        <w:t>10转变对外经济发展方式的“新开放策论”</w:t>
      </w:r>
      <w:bookmarkEnd w:id="1120"/>
      <w:bookmarkEnd w:id="1121"/>
      <w:bookmarkEnd w:id="1122"/>
    </w:p>
    <w:p w14:paraId="33CA22C1">
      <w:pPr>
        <w:pStyle w:val="21"/>
        <w:spacing w:line="400" w:lineRule="exact"/>
        <w:ind w:firstLine="420" w:firstLineChars="200"/>
        <w:jc w:val="both"/>
        <w:rPr>
          <w:sz w:val="21"/>
          <w:szCs w:val="21"/>
        </w:rPr>
      </w:pPr>
      <w:r>
        <w:rPr>
          <w:color w:val="000000"/>
          <w:sz w:val="21"/>
          <w:szCs w:val="21"/>
        </w:rPr>
        <w:t>从强调经济开放战略指导方针和主题变换的意义上说，</w:t>
      </w:r>
      <w:r>
        <w:rPr>
          <w:rFonts w:cs="Times New Roman"/>
          <w:b/>
          <w:bCs/>
          <w:color w:val="000000"/>
          <w:sz w:val="21"/>
          <w:szCs w:val="21"/>
        </w:rPr>
        <w:t>30</w:t>
      </w:r>
      <w:r>
        <w:rPr>
          <w:color w:val="000000"/>
          <w:sz w:val="21"/>
          <w:szCs w:val="21"/>
        </w:rPr>
        <w:t>多年的经济开放可分为三个阶段：第一阶段是强调</w:t>
      </w:r>
      <w:r>
        <w:rPr>
          <w:color w:val="000000"/>
          <w:sz w:val="21"/>
          <w:szCs w:val="21"/>
          <w:lang w:val="zh-CN" w:eastAsia="zh-CN" w:bidi="zh-CN"/>
        </w:rPr>
        <w:t>“引</w:t>
      </w:r>
      <w:r>
        <w:rPr>
          <w:color w:val="000000"/>
          <w:sz w:val="21"/>
          <w:szCs w:val="21"/>
        </w:rPr>
        <w:t>进来”的单一战略，单纯追求对外国的资本和技术等引进；第二阶段强调</w:t>
      </w:r>
      <w:r>
        <w:rPr>
          <w:color w:val="000000"/>
          <w:sz w:val="21"/>
          <w:szCs w:val="21"/>
          <w:lang w:val="zh-CN" w:eastAsia="zh-CN" w:bidi="zh-CN"/>
        </w:rPr>
        <w:t>“引进</w:t>
      </w:r>
      <w:r>
        <w:rPr>
          <w:color w:val="000000"/>
          <w:sz w:val="21"/>
          <w:szCs w:val="21"/>
        </w:rPr>
        <w:t>来和走出去”并重的战略，在继续追求</w:t>
      </w:r>
      <w:r>
        <w:rPr>
          <w:color w:val="000000"/>
          <w:sz w:val="21"/>
          <w:szCs w:val="21"/>
          <w:lang w:val="zh-CN" w:eastAsia="zh-CN" w:bidi="zh-CN"/>
        </w:rPr>
        <w:t>“引</w:t>
      </w:r>
      <w:r>
        <w:rPr>
          <w:color w:val="000000"/>
          <w:sz w:val="21"/>
          <w:szCs w:val="21"/>
        </w:rPr>
        <w:t>进来”的同时，实施中国企业走出去投资的举措；第三阶段强调</w:t>
      </w:r>
      <w:r>
        <w:rPr>
          <w:color w:val="000000"/>
          <w:sz w:val="21"/>
          <w:szCs w:val="21"/>
          <w:lang w:val="zh-CN" w:eastAsia="zh-CN" w:bidi="zh-CN"/>
        </w:rPr>
        <w:t>“自主</w:t>
      </w:r>
      <w:r>
        <w:rPr>
          <w:color w:val="000000"/>
          <w:sz w:val="21"/>
          <w:szCs w:val="21"/>
        </w:rPr>
        <w:t>创新”的新战略，实施自主知识产权和创新型国家的举措。</w:t>
      </w:r>
    </w:p>
    <w:p w14:paraId="659EFFF8">
      <w:pPr>
        <w:pStyle w:val="21"/>
        <w:spacing w:line="400" w:lineRule="exact"/>
        <w:ind w:firstLine="420" w:firstLineChars="200"/>
        <w:jc w:val="both"/>
        <w:rPr>
          <w:sz w:val="21"/>
          <w:szCs w:val="21"/>
        </w:rPr>
      </w:pPr>
      <w:r>
        <w:rPr>
          <w:rFonts w:cs="Times New Roman"/>
          <w:b/>
          <w:bCs/>
          <w:color w:val="000000"/>
          <w:sz w:val="21"/>
          <w:szCs w:val="21"/>
        </w:rPr>
        <w:t>2009</w:t>
      </w:r>
      <w:r>
        <w:rPr>
          <w:color w:val="000000"/>
          <w:sz w:val="21"/>
          <w:szCs w:val="21"/>
        </w:rPr>
        <w:t>年</w:t>
      </w:r>
      <w:r>
        <w:rPr>
          <w:rFonts w:cs="Times New Roman"/>
          <w:b/>
          <w:bCs/>
          <w:color w:val="000000"/>
          <w:sz w:val="21"/>
          <w:szCs w:val="21"/>
        </w:rPr>
        <w:t>3</w:t>
      </w:r>
      <w:r>
        <w:rPr>
          <w:color w:val="000000"/>
          <w:sz w:val="21"/>
          <w:szCs w:val="21"/>
        </w:rPr>
        <w:t>月，胡锦涛总书记在</w:t>
      </w:r>
      <w:r>
        <w:rPr>
          <w:color w:val="000000"/>
          <w:sz w:val="21"/>
          <w:szCs w:val="21"/>
          <w:lang w:val="zh-CN" w:eastAsia="zh-CN" w:bidi="zh-CN"/>
        </w:rPr>
        <w:t>“两</w:t>
      </w:r>
      <w:r>
        <w:rPr>
          <w:color w:val="000000"/>
          <w:sz w:val="21"/>
          <w:szCs w:val="21"/>
        </w:rPr>
        <w:t>会”期间广东代表团的讲话中首次提到要</w:t>
      </w:r>
      <w:r>
        <w:rPr>
          <w:color w:val="000000"/>
          <w:sz w:val="21"/>
          <w:szCs w:val="21"/>
          <w:lang w:val="zh-CN" w:eastAsia="zh-CN" w:bidi="zh-CN"/>
        </w:rPr>
        <w:t>“转</w:t>
      </w:r>
      <w:r>
        <w:rPr>
          <w:color w:val="000000"/>
          <w:sz w:val="21"/>
          <w:szCs w:val="21"/>
        </w:rPr>
        <w:t>变对外经济发展方式”</w:t>
      </w:r>
      <w:r>
        <w:rPr>
          <w:rStyle w:val="20"/>
          <w:rFonts w:ascii="宋体" w:hAnsi="宋体" w:eastAsia="宋体"/>
          <w:sz w:val="21"/>
          <w:szCs w:val="21"/>
        </w:rPr>
        <w:footnoteReference w:id="464"/>
      </w:r>
      <w:r>
        <w:rPr>
          <w:color w:val="000000"/>
          <w:sz w:val="21"/>
          <w:szCs w:val="21"/>
        </w:rPr>
        <w:t>。</w:t>
      </w:r>
      <w:r>
        <w:rPr>
          <w:rFonts w:cs="Times New Roman"/>
          <w:b/>
          <w:bCs/>
          <w:color w:val="000000"/>
          <w:sz w:val="21"/>
          <w:szCs w:val="21"/>
        </w:rPr>
        <w:t>2010</w:t>
      </w:r>
      <w:r>
        <w:rPr>
          <w:color w:val="000000"/>
          <w:sz w:val="21"/>
          <w:szCs w:val="21"/>
        </w:rPr>
        <w:t>年</w:t>
      </w:r>
      <w:r>
        <w:rPr>
          <w:rFonts w:cs="Times New Roman"/>
          <w:b/>
          <w:bCs/>
          <w:color w:val="000000"/>
          <w:sz w:val="21"/>
          <w:szCs w:val="21"/>
        </w:rPr>
        <w:t>2</w:t>
      </w:r>
      <w:r>
        <w:rPr>
          <w:color w:val="000000"/>
          <w:sz w:val="21"/>
          <w:szCs w:val="21"/>
        </w:rPr>
        <w:t>月</w:t>
      </w:r>
      <w:r>
        <w:rPr>
          <w:rFonts w:cs="Times New Roman"/>
          <w:b/>
          <w:bCs/>
          <w:color w:val="000000"/>
          <w:sz w:val="21"/>
          <w:szCs w:val="21"/>
        </w:rPr>
        <w:t>3</w:t>
      </w:r>
      <w:r>
        <w:rPr>
          <w:color w:val="000000"/>
          <w:sz w:val="21"/>
          <w:szCs w:val="21"/>
        </w:rPr>
        <w:t>日，在省部级主要领导干部深入贯彻落实科学发展观加快经济发展方式转变专题研讨班上，胡锦涛同志又深刻地指岀：</w:t>
      </w:r>
      <w:r>
        <w:rPr>
          <w:color w:val="000000"/>
          <w:sz w:val="21"/>
          <w:szCs w:val="21"/>
          <w:lang w:val="zh-CN" w:eastAsia="zh-CN" w:bidi="zh-CN"/>
        </w:rPr>
        <w:t>“国际</w:t>
      </w:r>
      <w:r>
        <w:rPr>
          <w:color w:val="000000"/>
          <w:sz w:val="21"/>
          <w:szCs w:val="21"/>
        </w:rPr>
        <w:t>金融危机对我国经济的冲击表面上是对经济增长速度的冲击，实质上是对经济发展方式的冲击。综合判断国际国内经济形势，转变经济发展方式已刻不容缓。”并把</w:t>
      </w:r>
      <w:r>
        <w:rPr>
          <w:color w:val="000000"/>
          <w:sz w:val="21"/>
          <w:szCs w:val="21"/>
          <w:lang w:val="zh-CN" w:eastAsia="zh-CN" w:bidi="zh-CN"/>
        </w:rPr>
        <w:t>“转</w:t>
      </w:r>
      <w:r>
        <w:rPr>
          <w:color w:val="000000"/>
          <w:sz w:val="21"/>
          <w:szCs w:val="21"/>
        </w:rPr>
        <w:t>变对外经济发展方式”作为八项重点工作之一。</w:t>
      </w:r>
    </w:p>
    <w:p w14:paraId="202AFF4D">
      <w:pPr>
        <w:pStyle w:val="21"/>
        <w:spacing w:line="400" w:lineRule="exact"/>
        <w:ind w:firstLine="420" w:firstLineChars="200"/>
        <w:jc w:val="both"/>
        <w:rPr>
          <w:rStyle w:val="28"/>
          <w:rFonts w:eastAsia="PMingLiU"/>
          <w:sz w:val="21"/>
          <w:szCs w:val="21"/>
        </w:rPr>
      </w:pPr>
      <w:r>
        <w:rPr>
          <w:color w:val="000000"/>
          <w:sz w:val="21"/>
          <w:szCs w:val="21"/>
        </w:rPr>
        <w:t>目前，在要不要和如何加快转变对外经济发展方式这一重大理论和政</w:t>
      </w:r>
      <w:r>
        <w:rPr>
          <w:rStyle w:val="28"/>
          <w:sz w:val="21"/>
          <w:szCs w:val="21"/>
        </w:rPr>
        <w:t>策问题上，存在歧见，亟须探讨。本文认为，我国的经济开放应在前三个阶段的基础上及时进入第四阶段，即强调并积极实施</w:t>
      </w:r>
      <w:r>
        <w:rPr>
          <w:rStyle w:val="28"/>
          <w:sz w:val="21"/>
          <w:szCs w:val="21"/>
          <w:lang w:val="zh-CN" w:eastAsia="zh-CN" w:bidi="zh-CN"/>
        </w:rPr>
        <w:t>“转变</w:t>
      </w:r>
      <w:r>
        <w:rPr>
          <w:rStyle w:val="28"/>
          <w:sz w:val="21"/>
          <w:szCs w:val="21"/>
        </w:rPr>
        <w:t>对外经济发展方式”的全新战略，适度控制对外资、外技、外产、外贸、外汇和外源的依赖程度，积极提升协调使用国内外各种广义资源的综合效益。这一新战略和新策论，在巩固和完善</w:t>
      </w:r>
      <w:r>
        <w:rPr>
          <w:rStyle w:val="28"/>
          <w:sz w:val="21"/>
          <w:szCs w:val="21"/>
          <w:lang w:val="zh-CN" w:eastAsia="zh-CN" w:bidi="zh-CN"/>
        </w:rPr>
        <w:t>“自力</w:t>
      </w:r>
      <w:r>
        <w:rPr>
          <w:rStyle w:val="28"/>
          <w:sz w:val="21"/>
          <w:szCs w:val="21"/>
        </w:rPr>
        <w:t>（更生）主导型多方位开放体系”的基础上，更加注重经济开放中的自主发展、高端竞争、经济安全、国家权益和民生实惠，以促进经济大国向经济强国、全面小康社会向生活富裕社会的根本转变。</w:t>
      </w:r>
    </w:p>
    <w:p w14:paraId="76FF15E5">
      <w:pPr>
        <w:pStyle w:val="21"/>
        <w:spacing w:line="400" w:lineRule="exact"/>
        <w:ind w:firstLine="420" w:firstLineChars="200"/>
        <w:jc w:val="both"/>
        <w:rPr>
          <w:rFonts w:eastAsia="PMingLiU"/>
          <w:sz w:val="21"/>
          <w:szCs w:val="21"/>
        </w:rPr>
      </w:pPr>
    </w:p>
    <w:p w14:paraId="3EF6911D">
      <w:pPr>
        <w:autoSpaceDE w:val="0"/>
        <w:autoSpaceDN w:val="0"/>
        <w:spacing w:line="360" w:lineRule="auto"/>
        <w:ind w:firstLine="480" w:firstLineChars="200"/>
        <w:jc w:val="center"/>
        <w:rPr>
          <w:rFonts w:ascii="宋体" w:hAnsi="宋体" w:eastAsia="宋体" w:cs="Times New Roman"/>
          <w:b/>
          <w:bCs/>
          <w:sz w:val="24"/>
          <w:szCs w:val="24"/>
        </w:rPr>
      </w:pPr>
      <w:r>
        <w:rPr>
          <w:rFonts w:ascii="宋体" w:hAnsi="宋体" w:eastAsia="宋体"/>
          <w:b/>
          <w:bCs/>
          <w:color w:val="000000"/>
          <w:sz w:val="24"/>
          <w:szCs w:val="24"/>
        </w:rPr>
        <w:t>一</w:t>
      </w:r>
      <w:r>
        <w:rPr>
          <w:rFonts w:hint="eastAsia" w:ascii="宋体" w:hAnsi="宋体" w:eastAsia="宋体"/>
          <w:b/>
          <w:bCs/>
          <w:sz w:val="24"/>
          <w:szCs w:val="24"/>
        </w:rPr>
        <w:t>、</w:t>
      </w:r>
      <w:r>
        <w:rPr>
          <w:rFonts w:ascii="宋体" w:hAnsi="宋体" w:eastAsia="宋体"/>
          <w:b/>
          <w:bCs/>
          <w:color w:val="000000"/>
          <w:sz w:val="24"/>
          <w:szCs w:val="24"/>
        </w:rPr>
        <w:t>我国传统开放型经济面临的问题</w:t>
      </w:r>
    </w:p>
    <w:p w14:paraId="27BB7336">
      <w:pPr>
        <w:pStyle w:val="21"/>
        <w:spacing w:line="400" w:lineRule="exact"/>
        <w:ind w:firstLine="420" w:firstLineChars="200"/>
        <w:jc w:val="both"/>
        <w:rPr>
          <w:sz w:val="21"/>
          <w:szCs w:val="21"/>
        </w:rPr>
      </w:pPr>
      <w:r>
        <w:rPr>
          <w:rFonts w:cs="Times New Roman"/>
          <w:b/>
          <w:bCs/>
          <w:color w:val="000000"/>
          <w:sz w:val="21"/>
          <w:szCs w:val="21"/>
        </w:rPr>
        <w:t>30</w:t>
      </w:r>
      <w:r>
        <w:rPr>
          <w:color w:val="000000"/>
          <w:sz w:val="21"/>
          <w:szCs w:val="21"/>
        </w:rPr>
        <w:t>多年开放型经济的发展，对中国经济增长起了推动作用。我国开放型经济是在发展初级阶段和粗放型条件下生成的，基本上是以追求引进资本和技术数量为主要特征，以注重增加国内生产总值和出口创汇为发展导向。这种偏重数量而忽视质量、偏重总量增长而忽视结构调整的对外经济发展方式，使目前的中国经济面临着巨大的风险，在实践中也难以为继。其弊端和内在风险主要体现在以下几个方面：</w:t>
      </w:r>
    </w:p>
    <w:p w14:paraId="5B2DECE2">
      <w:pPr>
        <w:pStyle w:val="21"/>
        <w:spacing w:line="400" w:lineRule="exact"/>
        <w:ind w:firstLine="420" w:firstLineChars="200"/>
        <w:jc w:val="both"/>
        <w:rPr>
          <w:b/>
          <w:bCs/>
          <w:sz w:val="21"/>
          <w:szCs w:val="21"/>
        </w:rPr>
      </w:pPr>
      <w:r>
        <w:rPr>
          <w:b/>
          <w:bCs/>
          <w:color w:val="000000"/>
          <w:sz w:val="21"/>
          <w:szCs w:val="21"/>
        </w:rPr>
        <w:t>（一）外国直接投资的过度利用及其负面影响</w:t>
      </w:r>
    </w:p>
    <w:p w14:paraId="326CFBB4">
      <w:pPr>
        <w:pStyle w:val="21"/>
        <w:spacing w:line="400" w:lineRule="exact"/>
        <w:ind w:firstLine="420" w:firstLineChars="200"/>
        <w:jc w:val="both"/>
        <w:rPr>
          <w:sz w:val="21"/>
          <w:szCs w:val="21"/>
        </w:rPr>
      </w:pPr>
      <w:r>
        <w:rPr>
          <w:color w:val="000000"/>
          <w:sz w:val="21"/>
          <w:szCs w:val="21"/>
        </w:rPr>
        <w:t>改革开放初期，在资本相对短缺的条件下，我国采取了积极利用外资的政策，推动了经济增长和社会进步。截至</w:t>
      </w:r>
      <w:r>
        <w:rPr>
          <w:rFonts w:cs="Times New Roman"/>
          <w:b/>
          <w:bCs/>
          <w:color w:val="000000"/>
          <w:sz w:val="21"/>
          <w:szCs w:val="21"/>
        </w:rPr>
        <w:t>2009</w:t>
      </w:r>
      <w:r>
        <w:rPr>
          <w:color w:val="000000"/>
          <w:sz w:val="21"/>
          <w:szCs w:val="21"/>
        </w:rPr>
        <w:t>年底，在华投资的外资企业达</w:t>
      </w:r>
      <w:r>
        <w:rPr>
          <w:rFonts w:cs="Times New Roman"/>
          <w:b/>
          <w:bCs/>
          <w:color w:val="000000"/>
          <w:sz w:val="21"/>
          <w:szCs w:val="21"/>
        </w:rPr>
        <w:t>68</w:t>
      </w:r>
      <w:r>
        <w:rPr>
          <w:color w:val="000000"/>
          <w:sz w:val="21"/>
          <w:szCs w:val="21"/>
        </w:rPr>
        <w:t>万家，外商投资总额逾</w:t>
      </w:r>
      <w:r>
        <w:rPr>
          <w:rFonts w:cs="Times New Roman"/>
          <w:b/>
          <w:bCs/>
          <w:color w:val="000000"/>
          <w:sz w:val="21"/>
          <w:szCs w:val="21"/>
        </w:rPr>
        <w:t>10000</w:t>
      </w:r>
      <w:r>
        <w:rPr>
          <w:color w:val="000000"/>
          <w:sz w:val="21"/>
          <w:szCs w:val="21"/>
        </w:rPr>
        <w:t>亿美元，连续</w:t>
      </w:r>
      <w:r>
        <w:rPr>
          <w:rFonts w:cs="Times New Roman"/>
          <w:b/>
          <w:bCs/>
          <w:color w:val="000000"/>
          <w:sz w:val="21"/>
          <w:szCs w:val="21"/>
        </w:rPr>
        <w:t>17</w:t>
      </w:r>
      <w:r>
        <w:rPr>
          <w:color w:val="000000"/>
          <w:sz w:val="21"/>
          <w:szCs w:val="21"/>
        </w:rPr>
        <w:t>年位居发展中国家之首，使我国成为世界上吸收外商直接投资最多的国家。然而，我国利用外资方面取得的成就，往往是以外资</w:t>
      </w:r>
      <w:r>
        <w:rPr>
          <w:color w:val="000000"/>
          <w:sz w:val="21"/>
          <w:szCs w:val="21"/>
          <w:lang w:val="zh-CN" w:eastAsia="zh-CN" w:bidi="zh-CN"/>
        </w:rPr>
        <w:t>“超</w:t>
      </w:r>
      <w:r>
        <w:rPr>
          <w:color w:val="000000"/>
          <w:sz w:val="21"/>
          <w:szCs w:val="21"/>
        </w:rPr>
        <w:t>国民待遇”所隐含的巨大成本为代价的，而这种代价的付出并不总是对经济长远发展有益。由于外国直接投资本身追求资本利益最大化的资本主义目的，发展中国家期望通过引进外资实现国家利益的初衷即使不是一厢情愿，在实践中往往也不能顺利实现。联合国贸发会议跨国公司与投资司在其编著的报告中也认为，引进外资对发展中国家的开放政策及其驾驭开放的能力，实质上是一种考验。</w:t>
      </w:r>
    </w:p>
    <w:p w14:paraId="472DF836">
      <w:pPr>
        <w:pStyle w:val="21"/>
        <w:spacing w:line="400" w:lineRule="exact"/>
        <w:ind w:firstLine="420" w:firstLineChars="200"/>
        <w:jc w:val="both"/>
        <w:rPr>
          <w:sz w:val="21"/>
          <w:szCs w:val="21"/>
        </w:rPr>
      </w:pPr>
      <w:r>
        <w:rPr>
          <w:color w:val="000000"/>
          <w:sz w:val="21"/>
          <w:szCs w:val="21"/>
        </w:rPr>
        <w:t>该报告指出：</w:t>
      </w:r>
      <w:r>
        <w:rPr>
          <w:color w:val="000000"/>
          <w:sz w:val="21"/>
          <w:szCs w:val="21"/>
          <w:lang w:val="zh-CN" w:eastAsia="zh-CN" w:bidi="zh-CN"/>
        </w:rPr>
        <w:t>“有</w:t>
      </w:r>
      <w:r>
        <w:rPr>
          <w:color w:val="000000"/>
          <w:sz w:val="21"/>
          <w:szCs w:val="21"/>
        </w:rPr>
        <w:t>必要认识到跨国公司的目标与政府的目标并不一致：政府试图促进本国范围内经济的发展，而跨国公司试图增强其在国际范围内的竞争力。因此，并不是所有的</w:t>
      </w:r>
      <w:r>
        <w:rPr>
          <w:rFonts w:cs="Times New Roman"/>
          <w:b/>
          <w:bCs/>
          <w:color w:val="000000"/>
          <w:sz w:val="21"/>
          <w:szCs w:val="21"/>
          <w:lang w:val="en-US" w:eastAsia="zh-CN" w:bidi="en-US"/>
        </w:rPr>
        <w:t>FDI</w:t>
      </w:r>
      <w:r>
        <w:rPr>
          <w:color w:val="000000"/>
          <w:sz w:val="21"/>
          <w:szCs w:val="21"/>
        </w:rPr>
        <w:t>都总是、并自动地符合东道国的最佳利益。有些会对发展造成负面影响</w:t>
      </w:r>
      <w:r>
        <w:rPr>
          <w:color w:val="000000"/>
          <w:sz w:val="21"/>
          <w:szCs w:val="21"/>
          <w:lang w:val="zh-CN" w:eastAsia="zh-CN" w:bidi="zh-CN"/>
        </w:rPr>
        <w:t>。”</w:t>
      </w:r>
      <w:r>
        <w:rPr>
          <w:rStyle w:val="20"/>
          <w:rFonts w:ascii="宋体" w:hAnsi="宋体" w:eastAsia="宋体"/>
          <w:sz w:val="21"/>
          <w:szCs w:val="21"/>
          <w:lang w:val="zh-CN" w:bidi="zh-CN"/>
        </w:rPr>
        <w:footnoteReference w:id="465"/>
      </w:r>
      <w:r>
        <w:rPr>
          <w:color w:val="000000"/>
          <w:sz w:val="21"/>
          <w:szCs w:val="21"/>
        </w:rPr>
        <w:t>这些负面影响包括：外资对东道国企业的并购、市场的占领、民族品牌的削弱，还包括对东道国就业、产业结构和经济安全的影响等。因此，需要结合我国引进外资付出的成本，来全面认识外资的作用。</w:t>
      </w:r>
    </w:p>
    <w:p w14:paraId="3440F93B">
      <w:pPr>
        <w:pStyle w:val="21"/>
        <w:spacing w:line="400" w:lineRule="exact"/>
        <w:ind w:firstLine="420" w:firstLineChars="200"/>
        <w:jc w:val="both"/>
        <w:rPr>
          <w:sz w:val="21"/>
          <w:szCs w:val="21"/>
        </w:rPr>
      </w:pPr>
      <w:r>
        <w:rPr>
          <w:color w:val="000000"/>
          <w:sz w:val="21"/>
          <w:szCs w:val="21"/>
        </w:rPr>
        <w:t>我国在利用外资方面付出的巨大成本，至少体现在以下几个方面：</w:t>
      </w:r>
    </w:p>
    <w:p w14:paraId="3627B407">
      <w:pPr>
        <w:pStyle w:val="21"/>
        <w:spacing w:line="400" w:lineRule="exact"/>
        <w:ind w:firstLine="420" w:firstLineChars="200"/>
        <w:jc w:val="both"/>
        <w:rPr>
          <w:sz w:val="21"/>
          <w:szCs w:val="21"/>
        </w:rPr>
      </w:pPr>
      <w:r>
        <w:rPr>
          <w:color w:val="000000"/>
          <w:sz w:val="21"/>
          <w:szCs w:val="21"/>
        </w:rPr>
        <w:t>第一，土地代价较大。在片面迫求国内生产总值和引进外资越多越好的总体格局下，一些地方政府为了达到引资目的，不惜以低于成本价格甚至无偿出让工业用地来吸引外资，致使引资</w:t>
      </w:r>
      <w:r>
        <w:rPr>
          <w:color w:val="000000"/>
          <w:sz w:val="21"/>
          <w:szCs w:val="21"/>
          <w:lang w:val="zh-CN" w:eastAsia="zh-CN" w:bidi="zh-CN"/>
        </w:rPr>
        <w:t>“门</w:t>
      </w:r>
      <w:r>
        <w:rPr>
          <w:color w:val="000000"/>
          <w:sz w:val="21"/>
          <w:szCs w:val="21"/>
        </w:rPr>
        <w:t>槛一降再降、成本一减再减、空间一让再让”。</w:t>
      </w:r>
      <w:r>
        <w:rPr>
          <w:rFonts w:cs="Times New Roman"/>
          <w:b/>
          <w:bCs/>
          <w:color w:val="000000"/>
          <w:sz w:val="21"/>
          <w:szCs w:val="21"/>
        </w:rPr>
        <w:t>2006</w:t>
      </w:r>
      <w:r>
        <w:rPr>
          <w:color w:val="000000"/>
          <w:sz w:val="21"/>
          <w:szCs w:val="21"/>
        </w:rPr>
        <w:t>年，审计部门审计调查</w:t>
      </w:r>
      <w:r>
        <w:rPr>
          <w:rFonts w:cs="Times New Roman"/>
          <w:b/>
          <w:bCs/>
          <w:color w:val="000000"/>
          <w:sz w:val="21"/>
          <w:szCs w:val="21"/>
        </w:rPr>
        <w:t>87</w:t>
      </w:r>
      <w:r>
        <w:rPr>
          <w:color w:val="000000"/>
          <w:sz w:val="21"/>
          <w:szCs w:val="21"/>
        </w:rPr>
        <w:t>个开发区，发现其中</w:t>
      </w:r>
      <w:r>
        <w:rPr>
          <w:rFonts w:cs="Times New Roman"/>
          <w:b/>
          <w:bCs/>
          <w:color w:val="000000"/>
          <w:sz w:val="21"/>
          <w:szCs w:val="21"/>
        </w:rPr>
        <w:t>60</w:t>
      </w:r>
      <w:r>
        <w:rPr>
          <w:color w:val="000000"/>
          <w:sz w:val="21"/>
          <w:szCs w:val="21"/>
        </w:rPr>
        <w:t>个开发区存在违规低价岀让土地的行为。在江苏省的苏州，其工业用地开发成本平均为每亩</w:t>
      </w:r>
      <w:r>
        <w:rPr>
          <w:rFonts w:cs="Times New Roman"/>
          <w:b/>
          <w:bCs/>
          <w:color w:val="000000"/>
          <w:sz w:val="21"/>
          <w:szCs w:val="21"/>
        </w:rPr>
        <w:t>20</w:t>
      </w:r>
      <w:r>
        <w:rPr>
          <w:color w:val="000000"/>
          <w:sz w:val="21"/>
          <w:szCs w:val="21"/>
        </w:rPr>
        <w:t>万元，但为了引进外资，却将地价压至每亩</w:t>
      </w:r>
      <w:r>
        <w:rPr>
          <w:rFonts w:cs="Times New Roman"/>
          <w:b/>
          <w:bCs/>
          <w:color w:val="000000"/>
          <w:sz w:val="21"/>
          <w:szCs w:val="21"/>
        </w:rPr>
        <w:t>15</w:t>
      </w:r>
      <w:r>
        <w:rPr>
          <w:color w:val="000000"/>
          <w:sz w:val="21"/>
          <w:szCs w:val="21"/>
        </w:rPr>
        <w:t>万元。前些年苏北地区协议出让的土地最低每亩几百元，一般也就几千元。</w:t>
      </w:r>
      <w:r>
        <w:rPr>
          <w:rStyle w:val="20"/>
          <w:rFonts w:ascii="宋体" w:hAnsi="宋体" w:eastAsia="宋体"/>
          <w:sz w:val="21"/>
          <w:szCs w:val="21"/>
        </w:rPr>
        <w:footnoteReference w:id="466"/>
      </w:r>
      <w:r>
        <w:rPr>
          <w:color w:val="000000"/>
          <w:sz w:val="21"/>
          <w:szCs w:val="21"/>
        </w:rPr>
        <w:t>表面看这些资金搞活了地方经济，其实质是把土地这样一个稀缺且不可再生的资源贱卖。我国引进外资的土地代价，还体现在继续对部分外资企业的政策优惠上，如</w:t>
      </w:r>
      <w:r>
        <w:rPr>
          <w:rFonts w:cs="Times New Roman"/>
          <w:b/>
          <w:bCs/>
          <w:color w:val="000000"/>
          <w:sz w:val="21"/>
          <w:szCs w:val="21"/>
        </w:rPr>
        <w:t>2010</w:t>
      </w:r>
      <w:r>
        <w:rPr>
          <w:color w:val="000000"/>
          <w:sz w:val="21"/>
          <w:szCs w:val="21"/>
        </w:rPr>
        <w:t>年</w:t>
      </w:r>
      <w:r>
        <w:rPr>
          <w:rFonts w:cs="Times New Roman"/>
          <w:b/>
          <w:bCs/>
          <w:color w:val="000000"/>
          <w:sz w:val="21"/>
          <w:szCs w:val="21"/>
        </w:rPr>
        <w:t>4</w:t>
      </w:r>
      <w:r>
        <w:rPr>
          <w:color w:val="000000"/>
          <w:sz w:val="21"/>
          <w:szCs w:val="21"/>
        </w:rPr>
        <w:t>月</w:t>
      </w:r>
      <w:r>
        <w:rPr>
          <w:rFonts w:cs="Times New Roman"/>
          <w:b/>
          <w:bCs/>
          <w:color w:val="000000"/>
          <w:sz w:val="21"/>
          <w:szCs w:val="21"/>
        </w:rPr>
        <w:t>6</w:t>
      </w:r>
      <w:r>
        <w:rPr>
          <w:color w:val="000000"/>
          <w:sz w:val="21"/>
          <w:szCs w:val="21"/>
        </w:rPr>
        <w:t>日颁布的《国务院关于进一步做好利用外资工作的若干意见》中就提出，对用地集约的国家鼓励类外商投资项目优先供应土地，</w:t>
      </w:r>
      <w:r>
        <w:rPr>
          <w:color w:val="000000"/>
          <w:sz w:val="21"/>
          <w:szCs w:val="21"/>
          <w:lang w:val="zh-CN" w:eastAsia="zh-CN" w:bidi="zh-CN"/>
        </w:rPr>
        <w:t>“在</w:t>
      </w:r>
      <w:r>
        <w:rPr>
          <w:color w:val="000000"/>
          <w:sz w:val="21"/>
          <w:szCs w:val="21"/>
        </w:rPr>
        <w:t>确定土地出让底价时可按不低于所在地土地等别相对应《全国工业用地出让最低价标准》的</w:t>
      </w:r>
      <w:r>
        <w:rPr>
          <w:rFonts w:cs="Times New Roman"/>
          <w:b/>
          <w:bCs/>
          <w:color w:val="000000"/>
          <w:sz w:val="21"/>
          <w:szCs w:val="21"/>
        </w:rPr>
        <w:t>70%</w:t>
      </w:r>
      <w:r>
        <w:rPr>
          <w:color w:val="000000"/>
          <w:sz w:val="21"/>
          <w:szCs w:val="21"/>
        </w:rPr>
        <w:t>执行”。这一优惠措施，使地方政府可以合法地对外资占用工业用地实施政策倾斜，而国内企业还没有参与市场竞争，仅在土地成本上就已处于不利地位。</w:t>
      </w:r>
    </w:p>
    <w:p w14:paraId="72476E8C">
      <w:pPr>
        <w:pStyle w:val="21"/>
        <w:spacing w:line="400" w:lineRule="exact"/>
        <w:ind w:firstLine="420" w:firstLineChars="200"/>
        <w:jc w:val="both"/>
        <w:rPr>
          <w:sz w:val="21"/>
          <w:szCs w:val="21"/>
        </w:rPr>
      </w:pPr>
      <w:r>
        <w:rPr>
          <w:color w:val="000000"/>
          <w:sz w:val="21"/>
          <w:szCs w:val="21"/>
        </w:rPr>
        <w:t>第二，税收代价较大。长期以来，外资企业在我国一直享受</w:t>
      </w:r>
      <w:r>
        <w:rPr>
          <w:color w:val="000000"/>
          <w:sz w:val="21"/>
          <w:szCs w:val="21"/>
          <w:lang w:val="zh-CN" w:eastAsia="zh-CN" w:bidi="zh-CN"/>
        </w:rPr>
        <w:t>“超</w:t>
      </w:r>
      <w:r>
        <w:rPr>
          <w:color w:val="000000"/>
          <w:sz w:val="21"/>
          <w:szCs w:val="21"/>
        </w:rPr>
        <w:t>国民待遇”。而外资企业通过政策优惠发展起来的产值及其市场占有率优势，</w:t>
      </w:r>
      <w:r>
        <w:rPr>
          <w:rStyle w:val="28"/>
          <w:sz w:val="21"/>
          <w:szCs w:val="21"/>
        </w:rPr>
        <w:t>在实践中并没有体现为相应的纳税贡献。据资料统计，</w:t>
      </w:r>
      <w:r>
        <w:rPr>
          <w:rStyle w:val="28"/>
          <w:rFonts w:cs="Times New Roman"/>
          <w:bCs/>
          <w:sz w:val="21"/>
          <w:szCs w:val="21"/>
        </w:rPr>
        <w:t>2009</w:t>
      </w:r>
      <w:r>
        <w:rPr>
          <w:rStyle w:val="28"/>
          <w:sz w:val="21"/>
          <w:szCs w:val="21"/>
        </w:rPr>
        <w:t>年外资企业产值已占我国工业产值的</w:t>
      </w:r>
      <w:r>
        <w:rPr>
          <w:rStyle w:val="28"/>
          <w:rFonts w:cs="Times New Roman"/>
          <w:bCs/>
          <w:sz w:val="21"/>
          <w:szCs w:val="21"/>
        </w:rPr>
        <w:t>30%</w:t>
      </w:r>
      <w:r>
        <w:rPr>
          <w:rStyle w:val="28"/>
          <w:sz w:val="21"/>
          <w:szCs w:val="21"/>
        </w:rPr>
        <w:t>以上，出口占</w:t>
      </w:r>
      <w:r>
        <w:rPr>
          <w:rStyle w:val="28"/>
          <w:rFonts w:cs="Times New Roman"/>
          <w:bCs/>
          <w:sz w:val="21"/>
          <w:szCs w:val="21"/>
        </w:rPr>
        <w:t>56%</w:t>
      </w:r>
      <w:r>
        <w:rPr>
          <w:rStyle w:val="28"/>
          <w:sz w:val="21"/>
          <w:szCs w:val="21"/>
        </w:rPr>
        <w:t>以上，但纳税仅占</w:t>
      </w:r>
      <w:r>
        <w:rPr>
          <w:rStyle w:val="28"/>
          <w:rFonts w:cs="Times New Roman"/>
          <w:bCs/>
          <w:sz w:val="21"/>
          <w:szCs w:val="21"/>
        </w:rPr>
        <w:t>20%,</w:t>
      </w:r>
      <w:r>
        <w:rPr>
          <w:rStyle w:val="20"/>
          <w:rFonts w:ascii="宋体" w:hAnsi="宋体" w:eastAsia="宋体" w:cs="Times New Roman"/>
          <w:b/>
          <w:bCs/>
          <w:sz w:val="21"/>
          <w:szCs w:val="21"/>
        </w:rPr>
        <w:footnoteReference w:id="467"/>
      </w:r>
      <w:r>
        <w:rPr>
          <w:rStyle w:val="28"/>
          <w:sz w:val="21"/>
          <w:szCs w:val="21"/>
        </w:rPr>
        <w:t>外资企业的纳税额与其经济规模并不对称。造成这种现象的原因，并不是外资企业纳税能力弱。相反，外资在中国市场取得的利润量巨大，远高于其在其他国家和地区投资的收益。仅以美国在华投资为例，据《人民日报》转载中美商会发布的调査报告，</w:t>
      </w:r>
      <w:r>
        <w:rPr>
          <w:rStyle w:val="28"/>
          <w:rFonts w:cs="Times New Roman"/>
          <w:bCs/>
          <w:sz w:val="21"/>
          <w:szCs w:val="21"/>
        </w:rPr>
        <w:t>2009</w:t>
      </w:r>
      <w:r>
        <w:rPr>
          <w:rStyle w:val="28"/>
          <w:sz w:val="21"/>
          <w:szCs w:val="21"/>
        </w:rPr>
        <w:t>年</w:t>
      </w:r>
      <w:r>
        <w:rPr>
          <w:rStyle w:val="28"/>
          <w:rFonts w:cs="Times New Roman"/>
          <w:bCs/>
          <w:sz w:val="21"/>
          <w:szCs w:val="21"/>
        </w:rPr>
        <w:t>71%</w:t>
      </w:r>
      <w:r>
        <w:rPr>
          <w:rStyle w:val="28"/>
          <w:sz w:val="21"/>
          <w:szCs w:val="21"/>
        </w:rPr>
        <w:t>的在华企业实现盈利,而</w:t>
      </w:r>
      <w:r>
        <w:rPr>
          <w:rStyle w:val="28"/>
          <w:rFonts w:cs="Times New Roman"/>
          <w:bCs/>
          <w:sz w:val="21"/>
          <w:szCs w:val="21"/>
        </w:rPr>
        <w:t>46%</w:t>
      </w:r>
      <w:r>
        <w:rPr>
          <w:rStyle w:val="28"/>
          <w:sz w:val="21"/>
          <w:szCs w:val="21"/>
        </w:rPr>
        <w:t>的受访企业在中国市场的利润率高于其全球利润率。</w:t>
      </w:r>
      <w:r>
        <w:rPr>
          <w:rStyle w:val="20"/>
          <w:rFonts w:ascii="宋体" w:hAnsi="宋体" w:eastAsia="宋体"/>
          <w:sz w:val="21"/>
          <w:szCs w:val="21"/>
        </w:rPr>
        <w:footnoteReference w:id="468"/>
      </w:r>
      <w:r>
        <w:rPr>
          <w:rStyle w:val="28"/>
          <w:sz w:val="21"/>
          <w:szCs w:val="21"/>
        </w:rPr>
        <w:t>可见，外资企业纳税比重相对较低，与经营状况相关性并不大(国内民营企业盈利能力总体上要低于外资企业)，而主要是由于我国对外资企业的税收优惠政策。</w:t>
      </w:r>
    </w:p>
    <w:p w14:paraId="5DB928F6">
      <w:pPr>
        <w:pStyle w:val="21"/>
        <w:spacing w:line="400" w:lineRule="exact"/>
        <w:ind w:firstLine="420" w:firstLineChars="200"/>
        <w:jc w:val="both"/>
        <w:rPr>
          <w:sz w:val="21"/>
          <w:szCs w:val="21"/>
        </w:rPr>
      </w:pPr>
      <w:r>
        <w:rPr>
          <w:color w:val="000000"/>
          <w:sz w:val="21"/>
          <w:szCs w:val="21"/>
        </w:rPr>
        <w:t>需要提及的是，外资企业除了堂而皇之地享受合法的免税、减税和低税率保护伞，还常常利用非法手段进行避税和逃税等活动。国内有学者估计，外资企业利用各种手法偷漏的税款金额每年至少有</w:t>
      </w:r>
      <w:r>
        <w:rPr>
          <w:rFonts w:cs="Times New Roman"/>
          <w:b/>
          <w:bCs/>
          <w:color w:val="000000"/>
          <w:sz w:val="21"/>
          <w:szCs w:val="21"/>
        </w:rPr>
        <w:t>1000</w:t>
      </w:r>
      <w:r>
        <w:rPr>
          <w:color w:val="000000"/>
          <w:sz w:val="21"/>
          <w:szCs w:val="21"/>
        </w:rPr>
        <w:t>亿元。所谓的</w:t>
      </w:r>
      <w:r>
        <w:rPr>
          <w:color w:val="000000"/>
          <w:sz w:val="21"/>
          <w:szCs w:val="21"/>
          <w:lang w:val="zh-CN" w:eastAsia="zh-CN" w:bidi="zh-CN"/>
        </w:rPr>
        <w:t>“超</w:t>
      </w:r>
      <w:r>
        <w:rPr>
          <w:color w:val="000000"/>
          <w:sz w:val="21"/>
          <w:szCs w:val="21"/>
        </w:rPr>
        <w:t>国民待遇”不仅使外资企业规避了社会发展的义务，使政府财政收入减少，同时也人为地制造了一个不平等的竞争环境，使国内企业开始就输在起跑线上。还有学者指出，内外资企业税制统一前，外资企业所得税水平仅为内资企业税收水平的一半左右。税收上的不公平待遇竟然使得很多境内企业转而以海外注册公司的形式生存，直接导致国内财政税收进一步流失。</w:t>
      </w:r>
      <w:r>
        <w:rPr>
          <w:rStyle w:val="20"/>
          <w:rFonts w:ascii="宋体" w:hAnsi="宋体" w:eastAsia="宋体"/>
          <w:sz w:val="21"/>
          <w:szCs w:val="21"/>
        </w:rPr>
        <w:footnoteReference w:id="469"/>
      </w:r>
      <w:r>
        <w:rPr>
          <w:color w:val="000000"/>
          <w:sz w:val="21"/>
          <w:szCs w:val="21"/>
        </w:rPr>
        <w:t>在这种情况下期望扩大外资引进规模和进入领域，来体现外资企业的所谓平等地位，更是南辕北辙。</w:t>
      </w:r>
      <w:r>
        <w:rPr>
          <w:rStyle w:val="20"/>
          <w:rFonts w:ascii="宋体" w:hAnsi="宋体" w:eastAsia="宋体"/>
          <w:sz w:val="21"/>
          <w:szCs w:val="21"/>
        </w:rPr>
        <w:footnoteReference w:id="470"/>
      </w:r>
    </w:p>
    <w:p w14:paraId="5331DE18">
      <w:pPr>
        <w:pStyle w:val="21"/>
        <w:spacing w:line="400" w:lineRule="exact"/>
        <w:ind w:firstLine="420" w:firstLineChars="200"/>
        <w:jc w:val="both"/>
        <w:rPr>
          <w:sz w:val="21"/>
          <w:szCs w:val="21"/>
        </w:rPr>
      </w:pPr>
      <w:r>
        <w:rPr>
          <w:color w:val="000000"/>
          <w:sz w:val="21"/>
          <w:szCs w:val="21"/>
        </w:rPr>
        <w:t>取消外资企业税收优惠是否会导致外资大规模撤离？事实说明，这种担心是完全多余的。我国</w:t>
      </w:r>
      <w:r>
        <w:rPr>
          <w:color w:val="000000"/>
          <w:sz w:val="21"/>
          <w:szCs w:val="21"/>
          <w:lang w:val="zh-CN" w:eastAsia="zh-CN" w:bidi="zh-CN"/>
        </w:rPr>
        <w:t>“两税</w:t>
      </w:r>
      <w:r>
        <w:rPr>
          <w:color w:val="000000"/>
          <w:sz w:val="21"/>
          <w:szCs w:val="21"/>
        </w:rPr>
        <w:t>合一”和《国务院关于进一步做好利用外资工作的若干意见》实施以来，国内吸引外资数量仍然在持续上升，</w:t>
      </w:r>
      <w:r>
        <w:rPr>
          <w:rFonts w:cs="Times New Roman"/>
          <w:b/>
          <w:bCs/>
          <w:color w:val="000000"/>
          <w:sz w:val="21"/>
          <w:szCs w:val="21"/>
        </w:rPr>
        <w:t>2010</w:t>
      </w:r>
      <w:r>
        <w:rPr>
          <w:color w:val="000000"/>
          <w:sz w:val="21"/>
          <w:szCs w:val="21"/>
        </w:rPr>
        <w:t>年</w:t>
      </w:r>
      <w:r>
        <w:rPr>
          <w:rFonts w:cs="Times New Roman"/>
          <w:b/>
          <w:bCs/>
          <w:color w:val="000000"/>
          <w:sz w:val="21"/>
          <w:szCs w:val="21"/>
        </w:rPr>
        <w:t>1</w:t>
      </w:r>
      <w:r>
        <w:rPr>
          <w:color w:val="000000"/>
          <w:sz w:val="21"/>
          <w:szCs w:val="21"/>
        </w:rPr>
        <w:t>月至</w:t>
      </w:r>
      <w:r>
        <w:rPr>
          <w:rFonts w:cs="Times New Roman"/>
          <w:b/>
          <w:bCs/>
          <w:color w:val="000000"/>
          <w:sz w:val="21"/>
          <w:szCs w:val="21"/>
        </w:rPr>
        <w:t>11</w:t>
      </w:r>
      <w:r>
        <w:rPr>
          <w:color w:val="000000"/>
          <w:sz w:val="21"/>
          <w:szCs w:val="21"/>
        </w:rPr>
        <w:t>月，全国新批设立外商投资企业</w:t>
      </w:r>
      <w:r>
        <w:rPr>
          <w:rFonts w:cs="Times New Roman"/>
          <w:b/>
          <w:bCs/>
          <w:color w:val="000000"/>
          <w:sz w:val="21"/>
          <w:szCs w:val="21"/>
        </w:rPr>
        <w:t>24302</w:t>
      </w:r>
      <w:r>
        <w:rPr>
          <w:color w:val="000000"/>
          <w:sz w:val="21"/>
          <w:szCs w:val="21"/>
        </w:rPr>
        <w:t>家，同比增长</w:t>
      </w:r>
      <w:r>
        <w:rPr>
          <w:rFonts w:cs="Times New Roman"/>
          <w:b/>
          <w:bCs/>
          <w:color w:val="000000"/>
          <w:sz w:val="21"/>
          <w:szCs w:val="21"/>
        </w:rPr>
        <w:t>17.97%</w:t>
      </w:r>
      <w:r>
        <w:rPr>
          <w:b/>
          <w:bCs/>
          <w:color w:val="000000"/>
          <w:sz w:val="21"/>
          <w:szCs w:val="21"/>
        </w:rPr>
        <w:t>；</w:t>
      </w:r>
      <w:r>
        <w:rPr>
          <w:color w:val="000000"/>
          <w:sz w:val="21"/>
          <w:szCs w:val="21"/>
        </w:rPr>
        <w:t>实际使用外资金额</w:t>
      </w:r>
      <w:r>
        <w:rPr>
          <w:rFonts w:cs="Times New Roman"/>
          <w:b/>
          <w:bCs/>
          <w:color w:val="000000"/>
          <w:sz w:val="21"/>
          <w:szCs w:val="21"/>
          <w:lang w:val="en-US" w:eastAsia="zh-CN" w:bidi="en-US"/>
        </w:rPr>
        <w:t>917.07</w:t>
      </w:r>
      <w:r>
        <w:rPr>
          <w:color w:val="000000"/>
          <w:sz w:val="21"/>
          <w:szCs w:val="21"/>
        </w:rPr>
        <w:t>亿美元，同比增长</w:t>
      </w:r>
      <w:r>
        <w:rPr>
          <w:rFonts w:cs="Times New Roman"/>
          <w:b/>
          <w:bCs/>
          <w:color w:val="000000"/>
          <w:sz w:val="21"/>
          <w:szCs w:val="21"/>
          <w:lang w:val="en-US" w:eastAsia="zh-CN" w:bidi="en-US"/>
        </w:rPr>
        <w:t>17.</w:t>
      </w:r>
      <w:r>
        <w:rPr>
          <w:rFonts w:cs="Times New Roman"/>
          <w:b/>
          <w:bCs/>
          <w:color w:val="000000"/>
          <w:sz w:val="21"/>
          <w:szCs w:val="21"/>
        </w:rPr>
        <w:t>73%</w:t>
      </w:r>
      <w:r>
        <w:rPr>
          <w:color w:val="000000"/>
          <w:sz w:val="21"/>
          <w:szCs w:val="21"/>
        </w:rPr>
        <w:t>。</w:t>
      </w:r>
      <w:r>
        <w:rPr>
          <w:rStyle w:val="20"/>
          <w:rFonts w:ascii="宋体" w:hAnsi="宋体" w:eastAsia="宋体"/>
          <w:sz w:val="21"/>
          <w:szCs w:val="21"/>
        </w:rPr>
        <w:footnoteReference w:id="471"/>
      </w:r>
      <w:r>
        <w:rPr>
          <w:color w:val="000000"/>
          <w:sz w:val="21"/>
          <w:szCs w:val="21"/>
        </w:rPr>
        <w:t>可见，对外资税收优惠并不是引进外资的必要条件，相反，我国如继续对外资实施优惠,只会给国内带来更大的税收、市场等利益损失。</w:t>
      </w:r>
      <w:r>
        <w:rPr>
          <w:rStyle w:val="20"/>
          <w:rFonts w:ascii="宋体" w:hAnsi="宋体" w:eastAsia="宋体"/>
          <w:sz w:val="21"/>
          <w:szCs w:val="21"/>
        </w:rPr>
        <w:footnoteReference w:id="472"/>
      </w:r>
      <w:r>
        <w:rPr>
          <w:color w:val="000000"/>
          <w:sz w:val="21"/>
          <w:szCs w:val="21"/>
        </w:rPr>
        <w:t>此外，外资的过度引进并没有促进就业。截至</w:t>
      </w:r>
      <w:r>
        <w:rPr>
          <w:rFonts w:cs="Times New Roman"/>
          <w:b/>
          <w:bCs/>
          <w:color w:val="000000"/>
          <w:sz w:val="21"/>
          <w:szCs w:val="21"/>
        </w:rPr>
        <w:t>2009</w:t>
      </w:r>
      <w:r>
        <w:rPr>
          <w:color w:val="000000"/>
          <w:sz w:val="21"/>
          <w:szCs w:val="21"/>
        </w:rPr>
        <w:t>年，我国外资企业直接吸纳就业近</w:t>
      </w:r>
      <w:r>
        <w:rPr>
          <w:rFonts w:cs="Times New Roman"/>
          <w:b/>
          <w:bCs/>
          <w:color w:val="000000"/>
          <w:sz w:val="21"/>
          <w:szCs w:val="21"/>
        </w:rPr>
        <w:t>5000</w:t>
      </w:r>
      <w:r>
        <w:rPr>
          <w:color w:val="000000"/>
          <w:sz w:val="21"/>
          <w:szCs w:val="21"/>
        </w:rPr>
        <w:t>万人,仅占全国就业总数</w:t>
      </w:r>
      <w:r>
        <w:rPr>
          <w:rFonts w:cs="Times New Roman"/>
          <w:b/>
          <w:bCs/>
          <w:color w:val="000000"/>
          <w:sz w:val="21"/>
          <w:szCs w:val="21"/>
        </w:rPr>
        <w:t>77995</w:t>
      </w:r>
      <w:r>
        <w:rPr>
          <w:color w:val="000000"/>
          <w:sz w:val="21"/>
          <w:szCs w:val="21"/>
        </w:rPr>
        <w:t>万人的</w:t>
      </w:r>
      <w:r>
        <w:rPr>
          <w:rFonts w:cs="Times New Roman"/>
          <w:b/>
          <w:bCs/>
          <w:color w:val="000000"/>
          <w:sz w:val="21"/>
          <w:szCs w:val="21"/>
        </w:rPr>
        <w:t>6.4%,</w:t>
      </w:r>
      <w:r>
        <w:rPr>
          <w:color w:val="000000"/>
          <w:sz w:val="21"/>
          <w:szCs w:val="21"/>
        </w:rPr>
        <w:t>享受税收优惠的外资企业，其就业容纳能力与其产值、市场占有率和税收贡献是不相称的。但外商直接投资对国内投资的</w:t>
      </w:r>
      <w:r>
        <w:rPr>
          <w:color w:val="000000"/>
          <w:sz w:val="21"/>
          <w:szCs w:val="21"/>
          <w:lang w:val="zh-CN" w:eastAsia="zh-CN" w:bidi="zh-CN"/>
        </w:rPr>
        <w:t>“挤出</w:t>
      </w:r>
      <w:r>
        <w:rPr>
          <w:color w:val="000000"/>
          <w:sz w:val="21"/>
          <w:szCs w:val="21"/>
        </w:rPr>
        <w:t>效应”，则不仅损害了民族产业，还在某种程度上加重了民生、就业、资源等经济社会问题。</w:t>
      </w:r>
    </w:p>
    <w:p w14:paraId="3250B03B">
      <w:pPr>
        <w:pStyle w:val="21"/>
        <w:spacing w:line="400" w:lineRule="exact"/>
        <w:ind w:firstLine="420" w:firstLineChars="200"/>
        <w:jc w:val="both"/>
        <w:rPr>
          <w:sz w:val="21"/>
          <w:szCs w:val="21"/>
        </w:rPr>
      </w:pPr>
      <w:r>
        <w:rPr>
          <w:color w:val="000000"/>
          <w:sz w:val="21"/>
          <w:szCs w:val="21"/>
        </w:rPr>
        <w:t>第三，环境代价较大。</w:t>
      </w:r>
      <w:r>
        <w:rPr>
          <w:color w:val="000000"/>
          <w:sz w:val="21"/>
          <w:szCs w:val="21"/>
          <w:lang w:val="zh-CN" w:eastAsia="zh-CN" w:bidi="zh-CN"/>
        </w:rPr>
        <w:t>“外</w:t>
      </w:r>
      <w:r>
        <w:rPr>
          <w:color w:val="000000"/>
          <w:sz w:val="21"/>
          <w:szCs w:val="21"/>
        </w:rPr>
        <w:t>资利润流走，留下生态失衡”的现象较为普遍。发达国家从保护本国环境、调整产业结构的目的出发，通过国际经济合作、国际投资或跨国公司经营等途径，将造纸、建材、制药、纺织、化工等污染严重的行业转移到中国等发展中国家。有学者指出，污染排放水平较高的制造业是外资流入的首选行业，经验观察和大量的实证研究均表明，</w:t>
      </w:r>
      <w:r>
        <w:rPr>
          <w:rFonts w:cs="Times New Roman"/>
          <w:b/>
          <w:bCs/>
          <w:color w:val="000000"/>
          <w:sz w:val="21"/>
          <w:szCs w:val="21"/>
        </w:rPr>
        <w:t>2000</w:t>
      </w:r>
      <w:r>
        <w:rPr>
          <w:color w:val="000000"/>
          <w:sz w:val="21"/>
          <w:szCs w:val="21"/>
        </w:rPr>
        <w:t>年以后我国实际利用外资的大规模增长，与我国工业二氧化硫、固体废弃物排放水平的大幅度攀升存在着一定的关系。</w:t>
      </w:r>
      <w:r>
        <w:rPr>
          <w:rStyle w:val="20"/>
          <w:rFonts w:ascii="宋体" w:hAnsi="宋体" w:eastAsia="宋体"/>
          <w:sz w:val="21"/>
          <w:szCs w:val="21"/>
        </w:rPr>
        <w:footnoteReference w:id="473"/>
      </w:r>
    </w:p>
    <w:p w14:paraId="293352CD">
      <w:pPr>
        <w:pStyle w:val="21"/>
        <w:spacing w:line="400" w:lineRule="exact"/>
        <w:ind w:firstLine="420" w:firstLineChars="200"/>
        <w:jc w:val="both"/>
        <w:rPr>
          <w:sz w:val="21"/>
          <w:szCs w:val="21"/>
        </w:rPr>
      </w:pPr>
      <w:r>
        <w:rPr>
          <w:color w:val="000000"/>
          <w:sz w:val="21"/>
          <w:szCs w:val="21"/>
        </w:rPr>
        <w:t>在污染和落后产业向我国转移的过程中，跨国公司起了主导作用。我国的一些地方政府由于引资心切和管理薄弱，大大降低在国际上或本国（本地区）企业奉行的环保标准和治污成本，甚至不惜牺牲当地居民的长远利益，对那些污染严重、破坏生态平衡的项目也大开方便之门。使跨国公司得以利用这些便利，通过规避环保成本来大肆攫取利益。据非政府组织</w:t>
      </w:r>
      <w:r>
        <w:rPr>
          <w:color w:val="000000"/>
          <w:sz w:val="21"/>
          <w:szCs w:val="21"/>
          <w:lang w:val="zh-CN" w:eastAsia="zh-CN" w:bidi="zh-CN"/>
        </w:rPr>
        <w:t>“公</w:t>
      </w:r>
      <w:r>
        <w:rPr>
          <w:color w:val="000000"/>
          <w:sz w:val="21"/>
          <w:szCs w:val="21"/>
        </w:rPr>
        <w:t>众与环境研究中心”统计，</w:t>
      </w:r>
      <w:r>
        <w:rPr>
          <w:rFonts w:cs="Times New Roman"/>
          <w:b/>
          <w:bCs/>
          <w:color w:val="000000"/>
          <w:sz w:val="21"/>
          <w:szCs w:val="21"/>
          <w:lang w:val="en-US" w:eastAsia="zh-CN" w:bidi="en-US"/>
        </w:rPr>
        <w:t>2006—2008</w:t>
      </w:r>
      <w:r>
        <w:rPr>
          <w:color w:val="000000"/>
          <w:sz w:val="21"/>
          <w:szCs w:val="21"/>
        </w:rPr>
        <w:t>年，被中国环保部门点名批评过的跨国公司的数量就从八九十家增加到近三百家。</w:t>
      </w:r>
      <w:r>
        <w:rPr>
          <w:rStyle w:val="20"/>
          <w:rFonts w:ascii="宋体" w:hAnsi="宋体" w:eastAsia="宋体"/>
          <w:sz w:val="21"/>
          <w:szCs w:val="21"/>
        </w:rPr>
        <w:footnoteReference w:id="474"/>
      </w:r>
      <w:r>
        <w:rPr>
          <w:color w:val="000000"/>
          <w:sz w:val="21"/>
          <w:szCs w:val="21"/>
        </w:rPr>
        <w:t>该研究中心认为,</w:t>
      </w:r>
      <w:r>
        <w:rPr>
          <w:rStyle w:val="28"/>
          <w:sz w:val="21"/>
          <w:szCs w:val="21"/>
        </w:rPr>
        <w:t>跨国企业在中国的污染状况呈上升势头，原因在于它们执行双重标准，在中国缺乏环境责任感。因此，表面上看，利用外资增加了引进外资地区的经济收益，但背后付出的却是巨大的生态成本和长期的社会收益，损害了经济长期发展的基础，并且很难在短期内消除影响。</w:t>
      </w:r>
    </w:p>
    <w:p w14:paraId="6EDC43FB">
      <w:pPr>
        <w:pStyle w:val="21"/>
        <w:spacing w:line="400" w:lineRule="exact"/>
        <w:ind w:firstLine="420" w:firstLineChars="200"/>
        <w:jc w:val="both"/>
        <w:rPr>
          <w:b/>
          <w:bCs/>
          <w:sz w:val="21"/>
          <w:szCs w:val="21"/>
        </w:rPr>
      </w:pPr>
      <w:r>
        <w:rPr>
          <w:b/>
          <w:bCs/>
          <w:color w:val="000000"/>
          <w:sz w:val="21"/>
          <w:szCs w:val="21"/>
        </w:rPr>
        <w:t>(二)</w:t>
      </w:r>
      <w:r>
        <w:rPr>
          <w:b/>
          <w:bCs/>
          <w:color w:val="000000"/>
          <w:sz w:val="21"/>
          <w:szCs w:val="21"/>
          <w:lang w:val="zh-CN" w:eastAsia="zh-CN" w:bidi="zh-CN"/>
        </w:rPr>
        <w:t>“外</w:t>
      </w:r>
      <w:r>
        <w:rPr>
          <w:b/>
          <w:bCs/>
          <w:color w:val="000000"/>
          <w:sz w:val="21"/>
          <w:szCs w:val="21"/>
        </w:rPr>
        <w:t>源”依赖性的增强及其对经济发展的制约</w:t>
      </w:r>
    </w:p>
    <w:p w14:paraId="626B4922">
      <w:pPr>
        <w:pStyle w:val="21"/>
        <w:spacing w:line="400" w:lineRule="exact"/>
        <w:ind w:firstLine="420" w:firstLineChars="200"/>
        <w:jc w:val="both"/>
        <w:rPr>
          <w:sz w:val="21"/>
          <w:szCs w:val="21"/>
        </w:rPr>
      </w:pPr>
      <w:r>
        <w:rPr>
          <w:color w:val="000000"/>
          <w:sz w:val="21"/>
          <w:szCs w:val="21"/>
        </w:rPr>
        <w:t>战略性资源的供给问题关系到我国经济的长期稳定发展。虽然中国拥有总量较大的国内资源，但人均拥有量却很贫乏，这大大限制了中国的工业生产和经济发展。</w:t>
      </w:r>
      <w:r>
        <w:rPr>
          <w:rFonts w:cs="Times New Roman"/>
          <w:b/>
          <w:bCs/>
          <w:color w:val="000000"/>
          <w:sz w:val="21"/>
          <w:szCs w:val="21"/>
        </w:rPr>
        <w:t>20</w:t>
      </w:r>
      <w:r>
        <w:rPr>
          <w:color w:val="000000"/>
          <w:sz w:val="21"/>
          <w:szCs w:val="21"/>
        </w:rPr>
        <w:t>世纪</w:t>
      </w:r>
      <w:r>
        <w:rPr>
          <w:rFonts w:cs="Times New Roman"/>
          <w:b/>
          <w:bCs/>
          <w:color w:val="000000"/>
          <w:sz w:val="21"/>
          <w:szCs w:val="21"/>
        </w:rPr>
        <w:t>90</w:t>
      </w:r>
      <w:r>
        <w:rPr>
          <w:color w:val="000000"/>
          <w:sz w:val="21"/>
          <w:szCs w:val="21"/>
        </w:rPr>
        <w:t>年代以来，中国的</w:t>
      </w:r>
      <w:r>
        <w:rPr>
          <w:color w:val="000000"/>
          <w:sz w:val="21"/>
          <w:szCs w:val="21"/>
          <w:lang w:val="zh-CN" w:eastAsia="zh-CN" w:bidi="zh-CN"/>
        </w:rPr>
        <w:t>“外源”(指</w:t>
      </w:r>
      <w:r>
        <w:rPr>
          <w:color w:val="000000"/>
          <w:sz w:val="21"/>
          <w:szCs w:val="21"/>
        </w:rPr>
        <w:t>某些进口比例很高的外国能源和资源，如石油、铁矿石等)使用急剧增长，岀口导向对外经济发展方式所需的能源原材料的约束日益加大，风险也越来越大。从能源消费看，根据国家统计局公布的数据，</w:t>
      </w:r>
      <w:r>
        <w:rPr>
          <w:rFonts w:cs="Times New Roman"/>
          <w:b/>
          <w:bCs/>
          <w:color w:val="000000"/>
          <w:sz w:val="21"/>
          <w:szCs w:val="21"/>
        </w:rPr>
        <w:t>2002</w:t>
      </w:r>
      <w:r>
        <w:rPr>
          <w:color w:val="000000"/>
          <w:sz w:val="21"/>
          <w:szCs w:val="21"/>
        </w:rPr>
        <w:t>年能源净进口占国内能源消费的比重仅为</w:t>
      </w:r>
      <w:r>
        <w:rPr>
          <w:rFonts w:cs="Times New Roman"/>
          <w:b/>
          <w:bCs/>
          <w:color w:val="000000"/>
          <w:sz w:val="21"/>
          <w:szCs w:val="21"/>
        </w:rPr>
        <w:t>0.9%,</w:t>
      </w:r>
      <w:r>
        <w:rPr>
          <w:color w:val="000000"/>
          <w:sz w:val="21"/>
          <w:szCs w:val="21"/>
        </w:rPr>
        <w:t>而</w:t>
      </w:r>
      <w:r>
        <w:rPr>
          <w:rFonts w:cs="Times New Roman"/>
          <w:b/>
          <w:bCs/>
          <w:color w:val="000000"/>
          <w:sz w:val="21"/>
          <w:szCs w:val="21"/>
        </w:rPr>
        <w:t>2006</w:t>
      </w:r>
      <w:r>
        <w:rPr>
          <w:color w:val="000000"/>
          <w:sz w:val="21"/>
          <w:szCs w:val="21"/>
        </w:rPr>
        <w:t>年即上升到</w:t>
      </w:r>
      <w:r>
        <w:rPr>
          <w:rFonts w:cs="Times New Roman"/>
          <w:b/>
          <w:bCs/>
          <w:color w:val="000000"/>
          <w:sz w:val="21"/>
          <w:szCs w:val="21"/>
          <w:lang w:val="en-US" w:eastAsia="zh-CN" w:bidi="en-US"/>
        </w:rPr>
        <w:t>6.</w:t>
      </w:r>
      <w:r>
        <w:rPr>
          <w:rFonts w:cs="Times New Roman"/>
          <w:b/>
          <w:bCs/>
          <w:color w:val="000000"/>
          <w:sz w:val="21"/>
          <w:szCs w:val="21"/>
        </w:rPr>
        <w:t>9%,</w:t>
      </w:r>
      <w:r>
        <w:rPr>
          <w:color w:val="000000"/>
          <w:sz w:val="21"/>
          <w:szCs w:val="21"/>
        </w:rPr>
        <w:t>而且进口主要集中在关键性的石油和煤炭等战略性资源上。以石油为例，自</w:t>
      </w:r>
      <w:r>
        <w:rPr>
          <w:rFonts w:cs="Times New Roman"/>
          <w:b/>
          <w:bCs/>
          <w:color w:val="000000"/>
          <w:sz w:val="21"/>
          <w:szCs w:val="21"/>
        </w:rPr>
        <w:t>1993</w:t>
      </w:r>
      <w:r>
        <w:rPr>
          <w:color w:val="000000"/>
          <w:sz w:val="21"/>
          <w:szCs w:val="21"/>
        </w:rPr>
        <w:t>年中国成为净进口国以来，对外依存度逐年上升。</w:t>
      </w:r>
      <w:r>
        <w:rPr>
          <w:rFonts w:cs="Times New Roman"/>
          <w:b/>
          <w:bCs/>
          <w:color w:val="000000"/>
          <w:sz w:val="21"/>
          <w:szCs w:val="21"/>
        </w:rPr>
        <w:t>2009</w:t>
      </w:r>
      <w:r>
        <w:rPr>
          <w:color w:val="000000"/>
          <w:sz w:val="21"/>
          <w:szCs w:val="21"/>
        </w:rPr>
        <w:t>年原油净进口</w:t>
      </w:r>
      <w:r>
        <w:rPr>
          <w:rFonts w:cs="Times New Roman"/>
          <w:b/>
          <w:bCs/>
          <w:color w:val="000000"/>
          <w:sz w:val="21"/>
          <w:szCs w:val="21"/>
          <w:lang w:val="en-US" w:eastAsia="zh-CN" w:bidi="en-US"/>
        </w:rPr>
        <w:t>1.99</w:t>
      </w:r>
      <w:r>
        <w:rPr>
          <w:color w:val="000000"/>
          <w:sz w:val="21"/>
          <w:szCs w:val="21"/>
        </w:rPr>
        <w:t>亿吨，增长</w:t>
      </w:r>
      <w:r>
        <w:rPr>
          <w:rFonts w:cs="Times New Roman"/>
          <w:b/>
          <w:bCs/>
          <w:color w:val="000000"/>
          <w:sz w:val="21"/>
          <w:szCs w:val="21"/>
          <w:lang w:val="en-US" w:eastAsia="zh-CN" w:bidi="en-US"/>
        </w:rPr>
        <w:t>13.</w:t>
      </w:r>
      <w:r>
        <w:rPr>
          <w:rFonts w:cs="Times New Roman"/>
          <w:b/>
          <w:bCs/>
          <w:color w:val="000000"/>
          <w:sz w:val="21"/>
          <w:szCs w:val="21"/>
        </w:rPr>
        <w:t>6%,</w:t>
      </w:r>
      <w:r>
        <w:rPr>
          <w:color w:val="000000"/>
          <w:sz w:val="21"/>
          <w:szCs w:val="21"/>
        </w:rPr>
        <w:t>中国原油对外依存度约为</w:t>
      </w:r>
      <w:r>
        <w:rPr>
          <w:rFonts w:cs="Times New Roman"/>
          <w:b/>
          <w:bCs/>
          <w:color w:val="000000"/>
          <w:sz w:val="21"/>
          <w:szCs w:val="21"/>
          <w:lang w:val="en-US" w:eastAsia="zh-CN" w:bidi="en-US"/>
        </w:rPr>
        <w:t>51.</w:t>
      </w:r>
      <w:r>
        <w:rPr>
          <w:rFonts w:cs="Times New Roman"/>
          <w:b/>
          <w:bCs/>
          <w:color w:val="000000"/>
          <w:sz w:val="21"/>
          <w:szCs w:val="21"/>
        </w:rPr>
        <w:t>3%,</w:t>
      </w:r>
      <w:r>
        <w:rPr>
          <w:color w:val="000000"/>
          <w:sz w:val="21"/>
          <w:szCs w:val="21"/>
        </w:rPr>
        <w:t>已经超过</w:t>
      </w:r>
      <w:r>
        <w:rPr>
          <w:rFonts w:cs="Times New Roman"/>
          <w:b/>
          <w:bCs/>
          <w:color w:val="000000"/>
          <w:sz w:val="21"/>
          <w:szCs w:val="21"/>
        </w:rPr>
        <w:t>50%</w:t>
      </w:r>
      <w:r>
        <w:rPr>
          <w:color w:val="000000"/>
          <w:sz w:val="21"/>
          <w:szCs w:val="21"/>
        </w:rPr>
        <w:t>的警戒线。</w:t>
      </w:r>
      <w:r>
        <w:rPr>
          <w:rStyle w:val="20"/>
          <w:rFonts w:ascii="宋体" w:hAnsi="宋体" w:eastAsia="宋体"/>
          <w:sz w:val="21"/>
          <w:szCs w:val="21"/>
        </w:rPr>
        <w:footnoteReference w:id="475"/>
      </w:r>
      <w:r>
        <w:rPr>
          <w:color w:val="000000"/>
          <w:sz w:val="21"/>
          <w:szCs w:val="21"/>
        </w:rPr>
        <w:t>在煤炭方面，海关总署的数据显示，</w:t>
      </w:r>
      <w:r>
        <w:rPr>
          <w:rFonts w:cs="Times New Roman"/>
          <w:b/>
          <w:bCs/>
          <w:color w:val="000000"/>
          <w:sz w:val="21"/>
          <w:szCs w:val="21"/>
        </w:rPr>
        <w:t>2009</w:t>
      </w:r>
      <w:r>
        <w:rPr>
          <w:color w:val="000000"/>
          <w:sz w:val="21"/>
          <w:szCs w:val="21"/>
        </w:rPr>
        <w:t>年</w:t>
      </w:r>
      <w:r>
        <w:rPr>
          <w:rFonts w:cs="Times New Roman"/>
          <w:b/>
          <w:bCs/>
          <w:color w:val="000000"/>
          <w:sz w:val="21"/>
          <w:szCs w:val="21"/>
          <w:lang w:val="en-US" w:eastAsia="zh-CN" w:bidi="en-US"/>
        </w:rPr>
        <w:t>1—12</w:t>
      </w:r>
      <w:r>
        <w:rPr>
          <w:color w:val="000000"/>
          <w:sz w:val="21"/>
          <w:szCs w:val="21"/>
        </w:rPr>
        <w:t>月我国煤炭进口</w:t>
      </w:r>
      <w:r>
        <w:rPr>
          <w:rFonts w:cs="Times New Roman"/>
          <w:b/>
          <w:bCs/>
          <w:color w:val="000000"/>
          <w:sz w:val="21"/>
          <w:szCs w:val="21"/>
          <w:lang w:val="en-US" w:eastAsia="zh-CN" w:bidi="en-US"/>
        </w:rPr>
        <w:t>12583.4</w:t>
      </w:r>
      <w:r>
        <w:rPr>
          <w:color w:val="000000"/>
          <w:sz w:val="21"/>
          <w:szCs w:val="21"/>
        </w:rPr>
        <w:t>万吨，同比增长</w:t>
      </w:r>
      <w:r>
        <w:rPr>
          <w:rFonts w:cs="Times New Roman"/>
          <w:b/>
          <w:bCs/>
          <w:color w:val="000000"/>
          <w:sz w:val="21"/>
          <w:szCs w:val="21"/>
        </w:rPr>
        <w:t>211.9%,</w:t>
      </w:r>
      <w:r>
        <w:rPr>
          <w:color w:val="000000"/>
          <w:sz w:val="21"/>
          <w:szCs w:val="21"/>
        </w:rPr>
        <w:t>而同期出口同比下降</w:t>
      </w:r>
      <w:r>
        <w:rPr>
          <w:rFonts w:cs="Times New Roman"/>
          <w:b/>
          <w:bCs/>
          <w:color w:val="000000"/>
          <w:sz w:val="21"/>
          <w:szCs w:val="21"/>
        </w:rPr>
        <w:t>50.7%,</w:t>
      </w:r>
      <w:r>
        <w:rPr>
          <w:color w:val="000000"/>
          <w:sz w:val="21"/>
          <w:szCs w:val="21"/>
        </w:rPr>
        <w:t>全年煤炭净进口达到了历史性的</w:t>
      </w:r>
      <w:r>
        <w:rPr>
          <w:rFonts w:cs="Times New Roman"/>
          <w:b/>
          <w:bCs/>
          <w:color w:val="000000"/>
          <w:sz w:val="21"/>
          <w:szCs w:val="21"/>
          <w:lang w:val="en-US" w:eastAsia="zh-CN" w:bidi="en-US"/>
        </w:rPr>
        <w:t>10343.</w:t>
      </w:r>
      <w:r>
        <w:rPr>
          <w:rFonts w:cs="Times New Roman"/>
          <w:b/>
          <w:bCs/>
          <w:color w:val="000000"/>
          <w:sz w:val="21"/>
          <w:szCs w:val="21"/>
        </w:rPr>
        <w:t>4</w:t>
      </w:r>
      <w:r>
        <w:rPr>
          <w:color w:val="000000"/>
          <w:sz w:val="21"/>
          <w:szCs w:val="21"/>
        </w:rPr>
        <w:t>万吨。</w:t>
      </w:r>
      <w:r>
        <w:rPr>
          <w:rStyle w:val="20"/>
          <w:rFonts w:ascii="宋体" w:hAnsi="宋体" w:eastAsia="宋体"/>
          <w:sz w:val="21"/>
          <w:szCs w:val="21"/>
        </w:rPr>
        <w:footnoteReference w:id="476"/>
      </w:r>
    </w:p>
    <w:p w14:paraId="442AC2FA">
      <w:pPr>
        <w:pStyle w:val="21"/>
        <w:spacing w:line="400" w:lineRule="exact"/>
        <w:ind w:firstLine="420" w:firstLineChars="200"/>
        <w:jc w:val="both"/>
        <w:rPr>
          <w:sz w:val="21"/>
          <w:szCs w:val="21"/>
        </w:rPr>
      </w:pPr>
      <w:r>
        <w:rPr>
          <w:color w:val="000000"/>
          <w:sz w:val="21"/>
          <w:szCs w:val="21"/>
        </w:rPr>
        <w:t>近年来，我国不仅在能源方面对外依赖性上升，在原材料上的进口比例也较大。其一，我国部分原材料进口大幅度增长。</w:t>
      </w:r>
      <w:r>
        <w:rPr>
          <w:rFonts w:cs="Times New Roman"/>
          <w:b/>
          <w:bCs/>
          <w:color w:val="000000"/>
          <w:sz w:val="21"/>
          <w:szCs w:val="21"/>
        </w:rPr>
        <w:t>2009</w:t>
      </w:r>
      <w:r>
        <w:rPr>
          <w:color w:val="000000"/>
          <w:sz w:val="21"/>
          <w:szCs w:val="21"/>
        </w:rPr>
        <w:t>年</w:t>
      </w:r>
      <w:r>
        <w:rPr>
          <w:rFonts w:cs="Times New Roman"/>
          <w:b/>
          <w:bCs/>
          <w:color w:val="000000"/>
          <w:sz w:val="21"/>
          <w:szCs w:val="21"/>
        </w:rPr>
        <w:t>3</w:t>
      </w:r>
      <w:r>
        <w:rPr>
          <w:color w:val="000000"/>
          <w:sz w:val="21"/>
          <w:szCs w:val="21"/>
        </w:rPr>
        <w:t>月中国进口铁矿石、桐都创下历史新高，分别达到</w:t>
      </w:r>
      <w:r>
        <w:rPr>
          <w:rFonts w:cs="Times New Roman"/>
          <w:b/>
          <w:bCs/>
          <w:color w:val="000000"/>
          <w:sz w:val="21"/>
          <w:szCs w:val="21"/>
        </w:rPr>
        <w:t>5210</w:t>
      </w:r>
      <w:r>
        <w:rPr>
          <w:color w:val="000000"/>
          <w:sz w:val="21"/>
          <w:szCs w:val="21"/>
        </w:rPr>
        <w:t>万吨和</w:t>
      </w:r>
      <w:r>
        <w:rPr>
          <w:rFonts w:cs="Times New Roman"/>
          <w:b/>
          <w:bCs/>
          <w:color w:val="000000"/>
          <w:sz w:val="21"/>
          <w:szCs w:val="21"/>
          <w:lang w:val="en-US" w:eastAsia="zh-CN" w:bidi="en-US"/>
        </w:rPr>
        <w:t>37.</w:t>
      </w:r>
      <w:r>
        <w:rPr>
          <w:rFonts w:cs="Times New Roman"/>
          <w:b/>
          <w:bCs/>
          <w:color w:val="000000"/>
          <w:sz w:val="21"/>
          <w:szCs w:val="21"/>
        </w:rPr>
        <w:t>49</w:t>
      </w:r>
      <w:r>
        <w:rPr>
          <w:color w:val="000000"/>
          <w:sz w:val="21"/>
          <w:szCs w:val="21"/>
        </w:rPr>
        <w:t>万吨；而钢材、未锻造铝及铝材也分别进口</w:t>
      </w:r>
      <w:r>
        <w:rPr>
          <w:rFonts w:cs="Times New Roman"/>
          <w:b/>
          <w:bCs/>
          <w:color w:val="000000"/>
          <w:sz w:val="21"/>
          <w:szCs w:val="21"/>
          <w:lang w:val="en-US" w:eastAsia="zh-CN" w:bidi="en-US"/>
        </w:rPr>
        <w:t>14.</w:t>
      </w:r>
      <w:r>
        <w:rPr>
          <w:rFonts w:cs="Times New Roman"/>
          <w:b/>
          <w:bCs/>
          <w:color w:val="000000"/>
          <w:sz w:val="21"/>
          <w:szCs w:val="21"/>
        </w:rPr>
        <w:t>7</w:t>
      </w:r>
      <w:r>
        <w:rPr>
          <w:color w:val="000000"/>
          <w:sz w:val="21"/>
          <w:szCs w:val="21"/>
        </w:rPr>
        <w:t>万吨和</w:t>
      </w:r>
      <w:r>
        <w:rPr>
          <w:rFonts w:cs="Times New Roman"/>
          <w:b/>
          <w:bCs/>
          <w:color w:val="000000"/>
          <w:sz w:val="21"/>
          <w:szCs w:val="21"/>
        </w:rPr>
        <w:t>127</w:t>
      </w:r>
      <w:r>
        <w:rPr>
          <w:color w:val="000000"/>
          <w:sz w:val="21"/>
          <w:szCs w:val="21"/>
        </w:rPr>
        <w:t>万吨，中国成为钢材及电解铝净进口国的日期日益逼近。不仅如此，我国大豆、油菜子等大宗农产品进</w:t>
      </w:r>
      <w:r>
        <w:rPr>
          <w:rStyle w:val="28"/>
          <w:sz w:val="21"/>
          <w:szCs w:val="21"/>
        </w:rPr>
        <w:t>口近年来也大幅度增长，接近历史高位。</w:t>
      </w:r>
      <w:r>
        <w:rPr>
          <w:rStyle w:val="20"/>
          <w:rFonts w:ascii="宋体" w:hAnsi="宋体" w:eastAsia="宋体"/>
          <w:sz w:val="21"/>
          <w:szCs w:val="21"/>
        </w:rPr>
        <w:footnoteReference w:id="477"/>
      </w:r>
      <w:r>
        <w:rPr>
          <w:rStyle w:val="28"/>
          <w:sz w:val="21"/>
          <w:szCs w:val="21"/>
        </w:rPr>
        <w:t>其二，部分原料进口量持续超越出口量。有关统计数据显示，</w:t>
      </w:r>
      <w:r>
        <w:rPr>
          <w:rStyle w:val="28"/>
          <w:rFonts w:cs="Times New Roman"/>
          <w:bCs/>
          <w:sz w:val="21"/>
          <w:szCs w:val="21"/>
        </w:rPr>
        <w:t>2010</w:t>
      </w:r>
      <w:r>
        <w:rPr>
          <w:rStyle w:val="28"/>
          <w:sz w:val="21"/>
          <w:szCs w:val="21"/>
        </w:rPr>
        <w:t>年</w:t>
      </w:r>
      <w:r>
        <w:rPr>
          <w:rStyle w:val="28"/>
          <w:rFonts w:cs="Times New Roman"/>
          <w:bCs/>
          <w:sz w:val="21"/>
          <w:szCs w:val="21"/>
          <w:lang w:val="en-US" w:eastAsia="zh-CN" w:bidi="en-US"/>
        </w:rPr>
        <w:t>1—3</w:t>
      </w:r>
      <w:r>
        <w:rPr>
          <w:rStyle w:val="28"/>
          <w:sz w:val="21"/>
          <w:szCs w:val="21"/>
        </w:rPr>
        <w:t>月份，我国大部分基本有机化工原料及主要无机原料（如硫酸、盐酸、硝酸）都呈现进口量大于出口量的格局，有的产品进口量大于出口量达数百倍（如甲苯、甲醇）甚至数千倍（如二乙醇胺），部分原料则完全依赖进口弥补国内供需缺口（如三乙醇胺）。</w:t>
      </w:r>
      <w:r>
        <w:rPr>
          <w:rStyle w:val="20"/>
          <w:rFonts w:ascii="宋体" w:hAnsi="宋体" w:eastAsia="宋体"/>
          <w:sz w:val="21"/>
          <w:szCs w:val="21"/>
        </w:rPr>
        <w:footnoteReference w:id="478"/>
      </w:r>
      <w:r>
        <w:rPr>
          <w:rStyle w:val="28"/>
          <w:sz w:val="21"/>
          <w:szCs w:val="21"/>
        </w:rPr>
        <w:t>其三，我国出口产业中来料加工部分占有较大比例。根据科普曼对</w:t>
      </w:r>
      <w:r>
        <w:rPr>
          <w:rStyle w:val="28"/>
          <w:rFonts w:cs="Times New Roman"/>
          <w:bCs/>
          <w:sz w:val="21"/>
          <w:szCs w:val="21"/>
        </w:rPr>
        <w:t>2006</w:t>
      </w:r>
      <w:r>
        <w:rPr>
          <w:rStyle w:val="28"/>
          <w:sz w:val="21"/>
          <w:szCs w:val="21"/>
        </w:rPr>
        <w:t>年中国外贸数据的测算，当年我国在对美出口</w:t>
      </w:r>
      <w:r>
        <w:rPr>
          <w:rStyle w:val="28"/>
          <w:rFonts w:cs="Times New Roman"/>
          <w:bCs/>
          <w:sz w:val="21"/>
          <w:szCs w:val="21"/>
        </w:rPr>
        <w:t>2010</w:t>
      </w:r>
      <w:r>
        <w:rPr>
          <w:rStyle w:val="28"/>
          <w:sz w:val="21"/>
          <w:szCs w:val="21"/>
        </w:rPr>
        <w:t>亿美元中,来自世界其他地区的原材料和零配件价值为</w:t>
      </w:r>
      <w:r>
        <w:rPr>
          <w:rStyle w:val="28"/>
          <w:rFonts w:cs="Times New Roman"/>
          <w:bCs/>
          <w:sz w:val="21"/>
          <w:szCs w:val="21"/>
        </w:rPr>
        <w:t>1130</w:t>
      </w:r>
      <w:r>
        <w:rPr>
          <w:rStyle w:val="28"/>
          <w:sz w:val="21"/>
          <w:szCs w:val="21"/>
        </w:rPr>
        <w:t>亿元，占总额的</w:t>
      </w:r>
      <w:r>
        <w:rPr>
          <w:rStyle w:val="28"/>
          <w:rFonts w:cs="Times New Roman"/>
          <w:bCs/>
          <w:sz w:val="21"/>
          <w:szCs w:val="21"/>
        </w:rPr>
        <w:t>55%</w:t>
      </w:r>
      <w:r>
        <w:rPr>
          <w:rStyle w:val="28"/>
          <w:sz w:val="21"/>
          <w:szCs w:val="21"/>
        </w:rPr>
        <w:t>。</w:t>
      </w:r>
      <w:r>
        <w:rPr>
          <w:rStyle w:val="20"/>
          <w:rFonts w:ascii="宋体" w:hAnsi="宋体" w:eastAsia="宋体"/>
          <w:sz w:val="21"/>
          <w:szCs w:val="21"/>
        </w:rPr>
        <w:footnoteReference w:id="479"/>
      </w:r>
      <w:r>
        <w:rPr>
          <w:rStyle w:val="28"/>
          <w:sz w:val="21"/>
          <w:szCs w:val="21"/>
        </w:rPr>
        <w:t>从总的发展趋势看，中国资源能源的对外依存度在未来二三十年还将继续呈扩大状态。</w:t>
      </w:r>
    </w:p>
    <w:p w14:paraId="53ACF5D0">
      <w:pPr>
        <w:pStyle w:val="21"/>
        <w:spacing w:line="400" w:lineRule="exact"/>
        <w:ind w:firstLine="420" w:firstLineChars="200"/>
        <w:jc w:val="both"/>
        <w:rPr>
          <w:sz w:val="21"/>
          <w:szCs w:val="21"/>
        </w:rPr>
      </w:pPr>
      <w:r>
        <w:rPr>
          <w:color w:val="000000"/>
          <w:sz w:val="21"/>
          <w:szCs w:val="21"/>
        </w:rPr>
        <w:t>我国对</w:t>
      </w:r>
      <w:r>
        <w:rPr>
          <w:color w:val="000000"/>
          <w:sz w:val="21"/>
          <w:szCs w:val="21"/>
          <w:lang w:val="zh-CN" w:eastAsia="zh-CN" w:bidi="zh-CN"/>
        </w:rPr>
        <w:t>“外</w:t>
      </w:r>
      <w:r>
        <w:rPr>
          <w:color w:val="000000"/>
          <w:sz w:val="21"/>
          <w:szCs w:val="21"/>
        </w:rPr>
        <w:t>源”需求的长期急剧增长可能造成多重不利后果：</w:t>
      </w:r>
    </w:p>
    <w:p w14:paraId="496AADD0">
      <w:pPr>
        <w:pStyle w:val="21"/>
        <w:spacing w:line="400" w:lineRule="exact"/>
        <w:ind w:firstLine="420" w:firstLineChars="200"/>
        <w:jc w:val="both"/>
        <w:rPr>
          <w:sz w:val="21"/>
          <w:szCs w:val="21"/>
        </w:rPr>
      </w:pPr>
      <w:r>
        <w:rPr>
          <w:color w:val="000000"/>
          <w:sz w:val="21"/>
          <w:szCs w:val="21"/>
        </w:rPr>
        <w:t>第一，增加我国能源供给的不确定性。由于国际市场原料不断涨价，外贸对经济效益提高的牵引作用会明显下降，社会风险越来越高。</w:t>
      </w:r>
      <w:r>
        <w:rPr>
          <w:rFonts w:cs="Times New Roman"/>
          <w:b/>
          <w:bCs/>
          <w:color w:val="000000"/>
          <w:sz w:val="21"/>
          <w:szCs w:val="21"/>
        </w:rPr>
        <w:t>2000</w:t>
      </w:r>
      <w:r>
        <w:rPr>
          <w:color w:val="000000"/>
          <w:sz w:val="21"/>
          <w:szCs w:val="21"/>
        </w:rPr>
        <w:t>年以来，国际市场原材料价格总体呈上升趋势，金融危机后国际市场原材料（如铁矿石等）价格上升更为迅猛，对经营管理粗放特征显著的国内产业产生了很大的成本压力，威胁一些企业的正常经营和职工就业。</w:t>
      </w:r>
    </w:p>
    <w:p w14:paraId="6B1BEF6B">
      <w:pPr>
        <w:pStyle w:val="21"/>
        <w:spacing w:line="400" w:lineRule="exact"/>
        <w:ind w:firstLine="420" w:firstLineChars="200"/>
        <w:jc w:val="both"/>
        <w:rPr>
          <w:sz w:val="21"/>
          <w:szCs w:val="21"/>
        </w:rPr>
      </w:pPr>
      <w:r>
        <w:rPr>
          <w:color w:val="000000"/>
          <w:sz w:val="21"/>
          <w:szCs w:val="21"/>
        </w:rPr>
        <w:t>第二，使我国面临利益损失和价格风险。经济发展过程中对“外源”依赖性的上升，导致我国能源供应容易受到实体因素以及投机因素的冲击，而直接导致利益损失。首先是导致大量国民财富外流。根据国家信息中心测算，单纯由于涨价因素，</w:t>
      </w:r>
      <w:r>
        <w:rPr>
          <w:rFonts w:cs="Times New Roman"/>
          <w:b/>
          <w:bCs/>
          <w:color w:val="000000"/>
          <w:sz w:val="21"/>
          <w:szCs w:val="21"/>
        </w:rPr>
        <w:t>2005</w:t>
      </w:r>
      <w:r>
        <w:rPr>
          <w:color w:val="000000"/>
          <w:sz w:val="21"/>
          <w:szCs w:val="21"/>
        </w:rPr>
        <w:t>年一年中国就有相当于</w:t>
      </w:r>
      <w:r>
        <w:rPr>
          <w:rFonts w:cs="Times New Roman"/>
          <w:b/>
          <w:bCs/>
          <w:color w:val="000000"/>
          <w:sz w:val="21"/>
          <w:szCs w:val="21"/>
        </w:rPr>
        <w:t>1200</w:t>
      </w:r>
      <w:r>
        <w:rPr>
          <w:color w:val="000000"/>
          <w:sz w:val="21"/>
          <w:szCs w:val="21"/>
        </w:rPr>
        <w:t>亿元人民币的国民财富转移到产油国和国外石油巨头手中，近年来能源价格暴涨使中国国民财富净溢出的总额更是达到数千亿元人民币。其次是使我国面临价格风险。</w:t>
      </w:r>
      <w:r>
        <w:rPr>
          <w:rFonts w:cs="Times New Roman"/>
          <w:b/>
          <w:bCs/>
          <w:color w:val="000000"/>
          <w:sz w:val="21"/>
          <w:szCs w:val="21"/>
        </w:rPr>
        <w:t>2005</w:t>
      </w:r>
      <w:r>
        <w:rPr>
          <w:color w:val="000000"/>
          <w:sz w:val="21"/>
          <w:szCs w:val="21"/>
        </w:rPr>
        <w:t>年以来，国际油价上涨幅度明显加快，与国际石油炒家的大肆投机活动有很大关系，这进一步增大了中国能源（主要是石油）供应的价格风险，使我国国内经济增长受到影响。</w:t>
      </w:r>
    </w:p>
    <w:p w14:paraId="6CA9DD2F">
      <w:pPr>
        <w:pStyle w:val="21"/>
        <w:spacing w:line="400" w:lineRule="exact"/>
        <w:ind w:firstLine="420" w:firstLineChars="200"/>
        <w:jc w:val="both"/>
        <w:rPr>
          <w:sz w:val="21"/>
          <w:szCs w:val="21"/>
        </w:rPr>
      </w:pPr>
      <w:r>
        <w:rPr>
          <w:color w:val="000000"/>
          <w:sz w:val="21"/>
          <w:szCs w:val="21"/>
        </w:rPr>
        <w:t>第三，削弱我国国际市场上的话语权。过度依赖</w:t>
      </w:r>
      <w:r>
        <w:rPr>
          <w:color w:val="000000"/>
          <w:sz w:val="21"/>
          <w:szCs w:val="21"/>
          <w:lang w:val="zh-CN" w:eastAsia="zh-CN" w:bidi="zh-CN"/>
        </w:rPr>
        <w:t>“外</w:t>
      </w:r>
      <w:r>
        <w:rPr>
          <w:color w:val="000000"/>
          <w:sz w:val="21"/>
          <w:szCs w:val="21"/>
        </w:rPr>
        <w:t>源”的发展模式，不仅使我国某些能源资源的消费受制于国际市场供应方的打压，也面对环境保护的指责。近年来，我国在铁矿石、石油等领域的谈判屡屡受到国际市场阻击，在国际谈判中处于被动和不利地位。尽管我国在发展中承担了更多的环境压力，但西方发达国家却罔顾我国人均能源消费量远低于发达国家的事实，鼓吹</w:t>
      </w:r>
      <w:r>
        <w:rPr>
          <w:color w:val="000000"/>
          <w:sz w:val="21"/>
          <w:szCs w:val="21"/>
          <w:lang w:val="zh-CN" w:eastAsia="zh-CN" w:bidi="zh-CN"/>
        </w:rPr>
        <w:t>“能源</w:t>
      </w:r>
      <w:r>
        <w:rPr>
          <w:color w:val="000000"/>
          <w:sz w:val="21"/>
          <w:szCs w:val="21"/>
        </w:rPr>
        <w:t>消费大国责任论”，在碳排放问题上对我国提出了过分的要求。</w:t>
      </w:r>
      <w:r>
        <w:rPr>
          <w:rStyle w:val="20"/>
          <w:rFonts w:ascii="宋体" w:hAnsi="宋体" w:eastAsia="宋体"/>
          <w:sz w:val="21"/>
          <w:szCs w:val="21"/>
        </w:rPr>
        <w:footnoteReference w:id="480"/>
      </w:r>
      <w:r>
        <w:rPr>
          <w:color w:val="000000"/>
          <w:sz w:val="21"/>
          <w:szCs w:val="21"/>
        </w:rPr>
        <w:t>这些因素的综合作用，无形中降低了我国在国际市场上的话语权和主导能力。</w:t>
      </w:r>
    </w:p>
    <w:p w14:paraId="75AC83B1">
      <w:pPr>
        <w:pStyle w:val="21"/>
        <w:spacing w:line="400" w:lineRule="exact"/>
        <w:ind w:firstLine="420" w:firstLineChars="200"/>
        <w:jc w:val="both"/>
        <w:rPr>
          <w:b/>
          <w:bCs/>
          <w:sz w:val="21"/>
          <w:szCs w:val="21"/>
        </w:rPr>
      </w:pPr>
      <w:r>
        <w:rPr>
          <w:b/>
          <w:bCs/>
          <w:color w:val="000000"/>
          <w:sz w:val="21"/>
          <w:szCs w:val="21"/>
        </w:rPr>
        <w:t>（三）对外技术依存度的提高及其冲击效应</w:t>
      </w:r>
    </w:p>
    <w:p w14:paraId="76A99C9B">
      <w:pPr>
        <w:pStyle w:val="21"/>
        <w:spacing w:line="400" w:lineRule="exact"/>
        <w:ind w:firstLine="420" w:firstLineChars="200"/>
        <w:jc w:val="both"/>
        <w:rPr>
          <w:sz w:val="21"/>
          <w:szCs w:val="21"/>
        </w:rPr>
      </w:pPr>
      <w:r>
        <w:rPr>
          <w:color w:val="000000"/>
          <w:sz w:val="21"/>
          <w:szCs w:val="21"/>
        </w:rPr>
        <w:t>对外技术依存度是反映一个国家对技术引进依赖程度的指标。一般认为，国家对外技术依存度与技术引进经费、研发经费相关。其计算公式为：</w:t>
      </w:r>
    </w:p>
    <w:p w14:paraId="31FE4FBA">
      <w:pPr>
        <w:pStyle w:val="21"/>
        <w:spacing w:line="400" w:lineRule="exact"/>
        <w:ind w:firstLine="420" w:firstLineChars="200"/>
        <w:jc w:val="both"/>
        <w:rPr>
          <w:sz w:val="21"/>
          <w:szCs w:val="21"/>
        </w:rPr>
      </w:pPr>
      <w:r>
        <w:rPr>
          <w:color w:val="000000"/>
          <w:sz w:val="21"/>
          <w:szCs w:val="21"/>
        </w:rPr>
        <w:t>技术依存度（%）=技术引进经费/</w:t>
      </w:r>
      <w:r>
        <w:rPr>
          <w:rFonts w:cs="Times New Roman"/>
          <w:b/>
          <w:bCs/>
          <w:color w:val="000000"/>
          <w:sz w:val="21"/>
          <w:szCs w:val="21"/>
          <w:lang w:val="en-US" w:eastAsia="zh-CN" w:bidi="en-US"/>
        </w:rPr>
        <w:t>（R&amp;D</w:t>
      </w:r>
      <w:r>
        <w:rPr>
          <w:color w:val="000000"/>
          <w:sz w:val="21"/>
          <w:szCs w:val="21"/>
        </w:rPr>
        <w:t>经费+技术引进经费）</w:t>
      </w:r>
    </w:p>
    <w:p w14:paraId="51ECA345">
      <w:pPr>
        <w:pStyle w:val="21"/>
        <w:spacing w:line="400" w:lineRule="exact"/>
        <w:ind w:firstLine="420" w:firstLineChars="200"/>
        <w:jc w:val="both"/>
        <w:rPr>
          <w:sz w:val="21"/>
          <w:szCs w:val="21"/>
        </w:rPr>
      </w:pPr>
      <w:r>
        <w:rPr>
          <w:color w:val="000000"/>
          <w:sz w:val="21"/>
          <w:szCs w:val="21"/>
        </w:rPr>
        <w:t>一般来说，不管是发展中国家，还是发达国家，适度引进国外的先进技术，可以对国内起示范效应，增强国内企业技术创新的动力，但对外技术依存度过高,则会造成国内企业依附于国外核心技术而在竞争中惨遭淘汰。由于技术依存度与研发经费成反比，过高的技术依存度，往往反映出国内研发能力的欠缺和技术保障能力的薄弱。换言之，一个国家的对外技术依存度越高，表明该国对国外技术的依赖程度越强；反之，技术依存度较低则表明该国自主创新成分越大。注重引资数量和岀口创汇导向的对外经济发展模式，使我国因重视国际贸易而片面注重引进国外先进技术，产生对外技术依存度过高的倾向。我国对外技术依存度过高及其负面影响,可以从以下方面来认识：</w:t>
      </w:r>
    </w:p>
    <w:p w14:paraId="7911CA3C">
      <w:pPr>
        <w:pStyle w:val="21"/>
        <w:spacing w:line="400" w:lineRule="exact"/>
        <w:ind w:firstLine="420" w:firstLineChars="200"/>
        <w:jc w:val="both"/>
        <w:rPr>
          <w:sz w:val="21"/>
          <w:szCs w:val="21"/>
        </w:rPr>
      </w:pPr>
      <w:r>
        <w:rPr>
          <w:rFonts w:cs="Times New Roman"/>
          <w:b/>
          <w:bCs/>
          <w:color w:val="000000"/>
          <w:sz w:val="21"/>
          <w:szCs w:val="21"/>
          <w:lang w:val="en-US" w:eastAsia="zh-CN" w:bidi="en-US"/>
        </w:rPr>
        <w:t>1.</w:t>
      </w:r>
      <w:r>
        <w:rPr>
          <w:color w:val="000000"/>
          <w:sz w:val="21"/>
          <w:szCs w:val="21"/>
        </w:rPr>
        <w:t>对外技术依存度过高不利于经济自主发展。在推进开放、进军国际市场的过程中，我国对外技术依存度指标变动的总趋势是由低向高发展。在开放初期，我国还坚持以我为主，依托大量自身技术和自有品牌发展,但经历合资合作等过程，我国原有技术、品牌被摒弃的同时，导致原始创新能力不足，技术自给率低，特别是关键技术自给率急剧下降。资料表明，</w:t>
      </w:r>
      <w:r>
        <w:rPr>
          <w:rFonts w:cs="Times New Roman"/>
          <w:b/>
          <w:bCs/>
          <w:color w:val="000000"/>
          <w:sz w:val="21"/>
          <w:szCs w:val="21"/>
        </w:rPr>
        <w:t>2005</w:t>
      </w:r>
      <w:r>
        <w:rPr>
          <w:color w:val="000000"/>
          <w:sz w:val="21"/>
          <w:szCs w:val="21"/>
        </w:rPr>
        <w:t>年我国占固定资产投资</w:t>
      </w:r>
      <w:r>
        <w:rPr>
          <w:rFonts w:cs="Times New Roman"/>
          <w:b/>
          <w:bCs/>
          <w:color w:val="000000"/>
          <w:sz w:val="21"/>
          <w:szCs w:val="21"/>
        </w:rPr>
        <w:t>40%</w:t>
      </w:r>
      <w:r>
        <w:rPr>
          <w:color w:val="000000"/>
          <w:sz w:val="21"/>
          <w:szCs w:val="21"/>
        </w:rPr>
        <w:t>左右的设备投资中，有</w:t>
      </w:r>
      <w:r>
        <w:rPr>
          <w:rFonts w:cs="Times New Roman"/>
          <w:b/>
          <w:bCs/>
          <w:color w:val="000000"/>
          <w:sz w:val="21"/>
          <w:szCs w:val="21"/>
        </w:rPr>
        <w:t>60%</w:t>
      </w:r>
      <w:r>
        <w:rPr>
          <w:color w:val="000000"/>
          <w:sz w:val="21"/>
          <w:szCs w:val="21"/>
        </w:rPr>
        <w:t>以上要靠进口来满足，高科技含量的关键装备基本上依赖进口。</w:t>
      </w:r>
      <w:r>
        <w:rPr>
          <w:rStyle w:val="20"/>
          <w:rFonts w:ascii="宋体" w:hAnsi="宋体" w:eastAsia="宋体"/>
          <w:sz w:val="21"/>
          <w:szCs w:val="21"/>
        </w:rPr>
        <w:footnoteReference w:id="481"/>
      </w:r>
      <w:r>
        <w:rPr>
          <w:rFonts w:cs="Times New Roman"/>
          <w:b/>
          <w:bCs/>
          <w:color w:val="000000"/>
          <w:sz w:val="21"/>
          <w:szCs w:val="21"/>
        </w:rPr>
        <w:t>2007</w:t>
      </w:r>
      <w:r>
        <w:rPr>
          <w:color w:val="000000"/>
          <w:sz w:val="21"/>
          <w:szCs w:val="21"/>
        </w:rPr>
        <w:t>年，我国的高新技术产业产值只占工业产值的</w:t>
      </w:r>
      <w:r>
        <w:rPr>
          <w:rFonts w:cs="Times New Roman"/>
          <w:b/>
          <w:bCs/>
          <w:color w:val="000000"/>
          <w:sz w:val="21"/>
          <w:szCs w:val="21"/>
        </w:rPr>
        <w:t>8%,</w:t>
      </w:r>
      <w:r>
        <w:rPr>
          <w:color w:val="000000"/>
          <w:sz w:val="21"/>
          <w:szCs w:val="21"/>
        </w:rPr>
        <w:t>而发达国家占</w:t>
      </w:r>
      <w:r>
        <w:rPr>
          <w:rFonts w:cs="Times New Roman"/>
          <w:b/>
          <w:bCs/>
          <w:color w:val="000000"/>
          <w:sz w:val="21"/>
          <w:szCs w:val="21"/>
        </w:rPr>
        <w:t>40%</w:t>
      </w:r>
      <w:r>
        <w:rPr>
          <w:b/>
          <w:bCs/>
          <w:color w:val="000000"/>
          <w:sz w:val="21"/>
          <w:szCs w:val="21"/>
        </w:rPr>
        <w:t>；</w:t>
      </w:r>
      <w:r>
        <w:rPr>
          <w:color w:val="000000"/>
          <w:sz w:val="21"/>
          <w:szCs w:val="21"/>
        </w:rPr>
        <w:t>软件产业产值我国只占世界比重的</w:t>
      </w:r>
      <w:r>
        <w:rPr>
          <w:rFonts w:cs="Times New Roman"/>
          <w:b/>
          <w:bCs/>
          <w:color w:val="000000"/>
          <w:sz w:val="21"/>
          <w:szCs w:val="21"/>
        </w:rPr>
        <w:t>7%,</w:t>
      </w:r>
      <w:r>
        <w:rPr>
          <w:color w:val="000000"/>
          <w:sz w:val="21"/>
          <w:szCs w:val="21"/>
        </w:rPr>
        <w:t>而美国、欧盟则占到</w:t>
      </w:r>
      <w:r>
        <w:rPr>
          <w:rFonts w:cs="Times New Roman"/>
          <w:b/>
          <w:bCs/>
          <w:color w:val="000000"/>
          <w:sz w:val="21"/>
          <w:szCs w:val="21"/>
        </w:rPr>
        <w:t>30%</w:t>
      </w:r>
      <w:r>
        <w:rPr>
          <w:color w:val="000000"/>
          <w:sz w:val="21"/>
          <w:szCs w:val="21"/>
        </w:rPr>
        <w:t>。在不到</w:t>
      </w:r>
      <w:r>
        <w:rPr>
          <w:rFonts w:cs="Times New Roman"/>
          <w:b/>
          <w:bCs/>
          <w:color w:val="000000"/>
          <w:sz w:val="21"/>
          <w:szCs w:val="21"/>
        </w:rPr>
        <w:t>30</w:t>
      </w:r>
      <w:r>
        <w:rPr>
          <w:color w:val="000000"/>
          <w:sz w:val="21"/>
          <w:szCs w:val="21"/>
        </w:rPr>
        <w:t>年的时间里，我国从开放初期的几乎主要依靠自我研发、自我发展，发展到技术对外依存度高达约</w:t>
      </w:r>
      <w:r>
        <w:rPr>
          <w:rFonts w:cs="Times New Roman"/>
          <w:b/>
          <w:bCs/>
          <w:color w:val="000000"/>
          <w:sz w:val="21"/>
          <w:szCs w:val="21"/>
        </w:rPr>
        <w:t>60%,</w:t>
      </w:r>
      <w:r>
        <w:rPr>
          <w:color w:val="000000"/>
          <w:sz w:val="21"/>
          <w:szCs w:val="21"/>
        </w:rPr>
        <w:t>与发达国家对外依存度的差距进一步拉大。</w:t>
      </w:r>
      <w:r>
        <w:rPr>
          <w:rStyle w:val="20"/>
          <w:rFonts w:ascii="宋体" w:hAnsi="宋体" w:eastAsia="宋体"/>
          <w:sz w:val="21"/>
          <w:szCs w:val="21"/>
        </w:rPr>
        <w:footnoteReference w:id="482"/>
      </w:r>
      <w:r>
        <w:rPr>
          <w:color w:val="000000"/>
          <w:sz w:val="21"/>
          <w:szCs w:val="21"/>
        </w:rPr>
        <w:t>对外技术依存度过高，会直接影响到我国的产业控制力。例如，近几年机械行业外资股权控制度一直维持</w:t>
      </w:r>
      <w:r>
        <w:rPr>
          <w:rFonts w:cs="Times New Roman"/>
          <w:b/>
          <w:bCs/>
          <w:color w:val="000000"/>
          <w:sz w:val="21"/>
          <w:szCs w:val="21"/>
        </w:rPr>
        <w:t>30%</w:t>
      </w:r>
      <w:r>
        <w:rPr>
          <w:color w:val="000000"/>
          <w:sz w:val="21"/>
          <w:szCs w:val="21"/>
        </w:rPr>
        <w:t>以上，车用发动机和汽车、摩托车配件等行业，外资也达到对企业的相对控制程度，而在文体用品制造业等轻工领域外资控制度已超过国际公认的安全标准。又如，</w:t>
      </w:r>
      <w:r>
        <w:rPr>
          <w:rFonts w:cs="Times New Roman"/>
          <w:b/>
          <w:bCs/>
          <w:color w:val="000000"/>
          <w:sz w:val="21"/>
          <w:szCs w:val="21"/>
        </w:rPr>
        <w:t>2008</w:t>
      </w:r>
      <w:r>
        <w:rPr>
          <w:color w:val="000000"/>
          <w:sz w:val="21"/>
          <w:szCs w:val="21"/>
        </w:rPr>
        <w:t>年以来，外资对钢铁、石化产业的技术控制度呈快速上升趋势，外资涉入并控制我国有色金属开采活动的步伐在加快。</w:t>
      </w:r>
      <w:r>
        <w:rPr>
          <w:rStyle w:val="20"/>
          <w:rFonts w:ascii="宋体" w:hAnsi="宋体" w:eastAsia="宋体"/>
          <w:sz w:val="21"/>
          <w:szCs w:val="21"/>
        </w:rPr>
        <w:footnoteReference w:id="483"/>
      </w:r>
      <w:r>
        <w:rPr>
          <w:color w:val="000000"/>
          <w:sz w:val="21"/>
          <w:szCs w:val="21"/>
        </w:rPr>
        <w:t>由于我国大多数出口企业在技术上不具备核心竞争力，其生产过程和产品市场逐渐被外资支配，经济自主性相应被削弱。</w:t>
      </w:r>
    </w:p>
    <w:p w14:paraId="1F7414EF">
      <w:pPr>
        <w:pStyle w:val="21"/>
        <w:numPr>
          <w:ilvl w:val="0"/>
          <w:numId w:val="11"/>
        </w:numPr>
        <w:spacing w:line="400" w:lineRule="exact"/>
        <w:ind w:firstLine="420" w:firstLineChars="200"/>
        <w:jc w:val="both"/>
        <w:rPr>
          <w:sz w:val="21"/>
          <w:szCs w:val="21"/>
        </w:rPr>
      </w:pPr>
      <w:r>
        <w:rPr>
          <w:color w:val="000000"/>
          <w:sz w:val="21"/>
          <w:szCs w:val="21"/>
        </w:rPr>
        <w:t>过度依赖国外技术不利于国际竞争。中国目前虽被称为</w:t>
      </w:r>
      <w:r>
        <w:rPr>
          <w:color w:val="000000"/>
          <w:sz w:val="21"/>
          <w:szCs w:val="21"/>
          <w:lang w:val="zh-CN" w:eastAsia="zh-CN" w:bidi="zh-CN"/>
        </w:rPr>
        <w:t>“世</w:t>
      </w:r>
      <w:r>
        <w:rPr>
          <w:color w:val="000000"/>
          <w:sz w:val="21"/>
          <w:szCs w:val="21"/>
        </w:rPr>
        <w:t>界工厂”，但总体上缺乏核心技术和品牌竞争力，不能从根本上保证自己的经济利益。如：中国是世界上最大的</w:t>
      </w:r>
      <w:r>
        <w:rPr>
          <w:rFonts w:cs="Times New Roman"/>
          <w:b/>
          <w:bCs/>
          <w:color w:val="000000"/>
          <w:sz w:val="21"/>
          <w:szCs w:val="21"/>
          <w:lang w:val="en-US" w:eastAsia="zh-CN" w:bidi="en-US"/>
        </w:rPr>
        <w:t>DVD</w:t>
      </w:r>
      <w:r>
        <w:rPr>
          <w:color w:val="000000"/>
          <w:sz w:val="21"/>
          <w:szCs w:val="21"/>
        </w:rPr>
        <w:t>生产国和出口国，但在</w:t>
      </w:r>
      <w:r>
        <w:rPr>
          <w:rFonts w:cs="Times New Roman"/>
          <w:b/>
          <w:bCs/>
          <w:color w:val="000000"/>
          <w:sz w:val="21"/>
          <w:szCs w:val="21"/>
          <w:lang w:val="en-US" w:eastAsia="zh-CN" w:bidi="en-US"/>
        </w:rPr>
        <w:t>DVD</w:t>
      </w:r>
      <w:r>
        <w:rPr>
          <w:color w:val="000000"/>
          <w:sz w:val="21"/>
          <w:szCs w:val="21"/>
        </w:rPr>
        <w:t>的</w:t>
      </w:r>
      <w:r>
        <w:rPr>
          <w:rFonts w:cs="Times New Roman"/>
          <w:b/>
          <w:bCs/>
          <w:color w:val="000000"/>
          <w:sz w:val="21"/>
          <w:szCs w:val="21"/>
        </w:rPr>
        <w:t>57</w:t>
      </w:r>
      <w:r>
        <w:rPr>
          <w:color w:val="000000"/>
          <w:sz w:val="21"/>
          <w:szCs w:val="21"/>
        </w:rPr>
        <w:t>项关键技术中，我国掌握的仅有</w:t>
      </w:r>
      <w:r>
        <w:rPr>
          <w:rFonts w:cs="Times New Roman"/>
          <w:b/>
          <w:bCs/>
          <w:color w:val="000000"/>
          <w:sz w:val="21"/>
          <w:szCs w:val="21"/>
        </w:rPr>
        <w:t>9</w:t>
      </w:r>
      <w:r>
        <w:rPr>
          <w:color w:val="000000"/>
          <w:sz w:val="21"/>
          <w:szCs w:val="21"/>
        </w:rPr>
        <w:t>项；中国的纺织品、服装、皮革产品的国际市场份额都是全球第一，但国际竞争力仅为第</w:t>
      </w:r>
      <w:r>
        <w:rPr>
          <w:rFonts w:cs="Times New Roman"/>
          <w:b/>
          <w:bCs/>
          <w:color w:val="000000"/>
          <w:sz w:val="21"/>
          <w:szCs w:val="21"/>
        </w:rPr>
        <w:t>12</w:t>
      </w:r>
      <w:r>
        <w:rPr>
          <w:color w:val="000000"/>
          <w:sz w:val="21"/>
          <w:szCs w:val="21"/>
        </w:rPr>
        <w:t>位、第</w:t>
      </w:r>
      <w:r>
        <w:rPr>
          <w:rFonts w:cs="Times New Roman"/>
          <w:b/>
          <w:bCs/>
          <w:color w:val="000000"/>
          <w:sz w:val="21"/>
          <w:szCs w:val="21"/>
        </w:rPr>
        <w:t>30</w:t>
      </w:r>
      <w:r>
        <w:rPr>
          <w:color w:val="000000"/>
          <w:sz w:val="21"/>
          <w:szCs w:val="21"/>
        </w:rPr>
        <w:t>位和第</w:t>
      </w:r>
      <w:r>
        <w:rPr>
          <w:rFonts w:cs="Times New Roman"/>
          <w:b/>
          <w:bCs/>
          <w:color w:val="000000"/>
          <w:sz w:val="21"/>
          <w:szCs w:val="21"/>
        </w:rPr>
        <w:t>13</w:t>
      </w:r>
      <w:r>
        <w:rPr>
          <w:color w:val="000000"/>
          <w:sz w:val="21"/>
          <w:szCs w:val="21"/>
        </w:rPr>
        <w:t>位。又如，目前中国汽车市场已经高度繁荣，产量达到世界第一，但中国汽车企业的竞争力却没有实质提升，合资汽车企业仍通常倾向于从外方直接获得技术援助，而不是通过自主开发形成独立的技术创新能力。</w:t>
      </w:r>
      <w:r>
        <w:rPr>
          <w:rStyle w:val="20"/>
          <w:rFonts w:ascii="宋体" w:hAnsi="宋体" w:eastAsia="宋体"/>
          <w:sz w:val="21"/>
          <w:szCs w:val="21"/>
        </w:rPr>
        <w:footnoteReference w:id="484"/>
      </w:r>
      <w:r>
        <w:rPr>
          <w:color w:val="000000"/>
          <w:sz w:val="21"/>
          <w:szCs w:val="21"/>
        </w:rPr>
        <w:t>根据</w:t>
      </w:r>
      <w:r>
        <w:rPr>
          <w:rStyle w:val="28"/>
          <w:sz w:val="21"/>
          <w:szCs w:val="21"/>
        </w:rPr>
        <w:t>国际经验，在来料加工的贸易方式中，生产国实际能够得到的外汇收入仅为贸易额的</w:t>
      </w:r>
      <w:r>
        <w:rPr>
          <w:rStyle w:val="28"/>
          <w:rFonts w:cs="Times New Roman"/>
          <w:b/>
          <w:bCs/>
          <w:sz w:val="21"/>
          <w:szCs w:val="21"/>
        </w:rPr>
        <w:t>20%</w:t>
      </w:r>
      <w:r>
        <w:rPr>
          <w:rStyle w:val="28"/>
          <w:sz w:val="21"/>
          <w:szCs w:val="21"/>
        </w:rPr>
        <w:t>左右，国民所得更为有限。中国目前大量从事贴牌生产的企业，其利润额的</w:t>
      </w:r>
      <w:r>
        <w:rPr>
          <w:rStyle w:val="28"/>
          <w:rFonts w:cs="Times New Roman"/>
          <w:b/>
          <w:bCs/>
          <w:sz w:val="21"/>
          <w:szCs w:val="21"/>
        </w:rPr>
        <w:t>92%</w:t>
      </w:r>
      <w:r>
        <w:rPr>
          <w:rStyle w:val="28"/>
          <w:sz w:val="21"/>
          <w:szCs w:val="21"/>
        </w:rPr>
        <w:t>都要被外资公司拿走，留在国内的不足</w:t>
      </w:r>
      <w:r>
        <w:rPr>
          <w:rStyle w:val="28"/>
          <w:rFonts w:cs="Times New Roman"/>
          <w:b/>
          <w:bCs/>
          <w:sz w:val="21"/>
          <w:szCs w:val="21"/>
        </w:rPr>
        <w:t>8%</w:t>
      </w:r>
      <w:r>
        <w:rPr>
          <w:rStyle w:val="28"/>
          <w:sz w:val="21"/>
          <w:szCs w:val="21"/>
        </w:rPr>
        <w:t>。令人痛心的是，在这样微薄的利润下，我国出口产品既要参与国际市场价格竞争，同时还要受到贸易伙伴国内知识产权法律的限制。例如，目前我国已经成为美国超级</w:t>
      </w:r>
      <w:r>
        <w:rPr>
          <w:rStyle w:val="28"/>
          <w:rFonts w:cs="Times New Roman"/>
          <w:b/>
          <w:bCs/>
          <w:sz w:val="21"/>
          <w:szCs w:val="21"/>
        </w:rPr>
        <w:t>301</w:t>
      </w:r>
      <w:r>
        <w:rPr>
          <w:rStyle w:val="28"/>
          <w:sz w:val="21"/>
          <w:szCs w:val="21"/>
        </w:rPr>
        <w:t>调查最多的国家。</w:t>
      </w:r>
      <w:r>
        <w:rPr>
          <w:rStyle w:val="20"/>
          <w:rFonts w:ascii="宋体" w:hAnsi="宋体" w:eastAsia="宋体"/>
          <w:sz w:val="21"/>
          <w:szCs w:val="21"/>
        </w:rPr>
        <w:footnoteReference w:id="485"/>
      </w:r>
      <w:r>
        <w:rPr>
          <w:rStyle w:val="28"/>
          <w:sz w:val="21"/>
          <w:szCs w:val="21"/>
        </w:rPr>
        <w:t>当中国放弃粗放式的价格竞争而转向技术和品牌竞争时，西方跨国企业却凭借其在知识产权领域的先发优势打压中国产品出口。据报道，目前我国已连续</w:t>
      </w:r>
      <w:r>
        <w:rPr>
          <w:rStyle w:val="28"/>
          <w:rFonts w:cs="Times New Roman"/>
          <w:b/>
          <w:bCs/>
          <w:sz w:val="21"/>
          <w:szCs w:val="21"/>
        </w:rPr>
        <w:t>6</w:t>
      </w:r>
      <w:r>
        <w:rPr>
          <w:rStyle w:val="28"/>
          <w:sz w:val="21"/>
          <w:szCs w:val="21"/>
        </w:rPr>
        <w:t>年位居</w:t>
      </w:r>
      <w:r>
        <w:rPr>
          <w:rStyle w:val="28"/>
          <w:rFonts w:cs="Times New Roman"/>
          <w:b/>
          <w:bCs/>
          <w:sz w:val="21"/>
          <w:szCs w:val="21"/>
        </w:rPr>
        <w:t>337</w:t>
      </w:r>
      <w:r>
        <w:rPr>
          <w:rStyle w:val="28"/>
          <w:sz w:val="21"/>
          <w:szCs w:val="21"/>
        </w:rPr>
        <w:t>调查涉案国家（地区）的首位。</w:t>
      </w:r>
      <w:r>
        <w:rPr>
          <w:rStyle w:val="20"/>
          <w:rFonts w:ascii="宋体" w:hAnsi="宋体" w:eastAsia="宋体"/>
          <w:sz w:val="21"/>
          <w:szCs w:val="21"/>
        </w:rPr>
        <w:footnoteReference w:id="486"/>
      </w:r>
      <w:r>
        <w:rPr>
          <w:rStyle w:val="28"/>
          <w:sz w:val="21"/>
          <w:szCs w:val="21"/>
        </w:rPr>
        <w:t>可见，对外技术依存度过高，已成为加剧我国国际贸易争端、恶化国际竞争环境的一个重要因素。</w:t>
      </w:r>
    </w:p>
    <w:p w14:paraId="2C408A95">
      <w:pPr>
        <w:pStyle w:val="21"/>
        <w:spacing w:line="400" w:lineRule="exact"/>
        <w:ind w:firstLine="420" w:firstLineChars="200"/>
        <w:jc w:val="both"/>
        <w:rPr>
          <w:sz w:val="21"/>
          <w:szCs w:val="21"/>
        </w:rPr>
      </w:pPr>
      <w:r>
        <w:rPr>
          <w:rFonts w:cs="Times New Roman"/>
          <w:b/>
          <w:bCs/>
          <w:color w:val="000000"/>
          <w:sz w:val="21"/>
          <w:szCs w:val="21"/>
          <w:lang w:val="en-US" w:eastAsia="zh-CN" w:bidi="en-US"/>
        </w:rPr>
        <w:t>3-</w:t>
      </w:r>
      <w:r>
        <w:rPr>
          <w:color w:val="000000"/>
          <w:sz w:val="21"/>
          <w:szCs w:val="21"/>
        </w:rPr>
        <w:t>对外技术依存度过高加剧国内低水平竞争。由于过度依赖于外国技术，我国现有的发明和专利主要还是集中在外观和实用新型技术上，原始技术特别是核心和关键技术一直难有重大突破，而外国投资商和技术拥有者却坐收巨大的专利</w:t>
      </w:r>
      <w:r>
        <w:rPr>
          <w:color w:val="000000"/>
          <w:sz w:val="21"/>
          <w:szCs w:val="21"/>
          <w:lang w:val="zh-CN" w:eastAsia="zh-CN" w:bidi="zh-CN"/>
        </w:rPr>
        <w:t>利益。</w:t>
      </w:r>
      <w:r>
        <w:rPr>
          <w:color w:val="000000"/>
          <w:sz w:val="21"/>
          <w:szCs w:val="21"/>
        </w:rPr>
        <w:t>过度依赖于外国技术，还导致国内企业短期化倾向严重。很多企业只是简单地依靠来料加工、代工贴牌来维持生产运营，赚取生产链低端的微薄利润，并不真正努力创立自主独立的知识产权和知名品牌，使产业陷入低水平重复建设和恶性竞争，从而加剧产业同一化的弊端，为产业结构进一步优化升级和转变国内经济发展方式增加了困难。</w:t>
      </w:r>
    </w:p>
    <w:p w14:paraId="4191C0E5">
      <w:pPr>
        <w:pStyle w:val="21"/>
        <w:spacing w:line="400" w:lineRule="exact"/>
        <w:ind w:firstLine="420" w:firstLineChars="200"/>
        <w:jc w:val="both"/>
        <w:rPr>
          <w:b/>
          <w:bCs/>
          <w:sz w:val="21"/>
          <w:szCs w:val="21"/>
        </w:rPr>
      </w:pPr>
      <w:r>
        <w:rPr>
          <w:b/>
          <w:bCs/>
          <w:color w:val="000000"/>
          <w:sz w:val="21"/>
          <w:szCs w:val="21"/>
        </w:rPr>
        <w:t>（四）外汇储备过大产生的利益损失和国际争端风险</w:t>
      </w:r>
    </w:p>
    <w:p w14:paraId="3E43BA5C">
      <w:pPr>
        <w:pStyle w:val="21"/>
        <w:spacing w:line="400" w:lineRule="exact"/>
        <w:ind w:firstLine="420" w:firstLineChars="200"/>
        <w:jc w:val="both"/>
        <w:rPr>
          <w:sz w:val="21"/>
          <w:szCs w:val="21"/>
        </w:rPr>
      </w:pPr>
      <w:r>
        <w:rPr>
          <w:color w:val="000000"/>
          <w:sz w:val="21"/>
          <w:szCs w:val="21"/>
        </w:rPr>
        <w:t>出口创汇导向型的对外经济发展方式所带来的问题，经过长期的积累，必然使我国在外汇储备规模和结构方面的矛盾日益突出。首先是外汇储备规模过大。从纵向角度看，在开放过程中我国外汇储备存在着过快增长的趋势。根据国家统计局公布的数据，</w:t>
      </w:r>
      <w:r>
        <w:rPr>
          <w:rFonts w:cs="Times New Roman"/>
          <w:b/>
          <w:bCs/>
          <w:color w:val="000000"/>
          <w:sz w:val="21"/>
          <w:szCs w:val="21"/>
        </w:rPr>
        <w:t>2000</w:t>
      </w:r>
      <w:r>
        <w:rPr>
          <w:color w:val="000000"/>
          <w:sz w:val="21"/>
          <w:szCs w:val="21"/>
        </w:rPr>
        <w:t>年我国外汇储备规模还仅有</w:t>
      </w:r>
      <w:r>
        <w:rPr>
          <w:rFonts w:cs="Times New Roman"/>
          <w:b/>
          <w:bCs/>
          <w:color w:val="000000"/>
          <w:sz w:val="21"/>
          <w:szCs w:val="21"/>
          <w:lang w:val="en-US" w:eastAsia="zh-CN" w:bidi="en-US"/>
        </w:rPr>
        <w:t>1655.7</w:t>
      </w:r>
      <w:r>
        <w:rPr>
          <w:color w:val="000000"/>
          <w:sz w:val="21"/>
          <w:szCs w:val="21"/>
        </w:rPr>
        <w:t>亿元，而</w:t>
      </w:r>
      <w:r>
        <w:rPr>
          <w:rFonts w:cs="Times New Roman"/>
          <w:b/>
          <w:bCs/>
          <w:color w:val="000000"/>
          <w:sz w:val="21"/>
          <w:szCs w:val="21"/>
        </w:rPr>
        <w:t>2009</w:t>
      </w:r>
      <w:r>
        <w:rPr>
          <w:color w:val="000000"/>
          <w:sz w:val="21"/>
          <w:szCs w:val="21"/>
        </w:rPr>
        <w:t>年末即达到</w:t>
      </w:r>
      <w:r>
        <w:rPr>
          <w:rFonts w:cs="Times New Roman"/>
          <w:b/>
          <w:bCs/>
          <w:color w:val="000000"/>
          <w:sz w:val="21"/>
          <w:szCs w:val="21"/>
        </w:rPr>
        <w:t>23992</w:t>
      </w:r>
      <w:r>
        <w:rPr>
          <w:color w:val="000000"/>
          <w:sz w:val="21"/>
          <w:szCs w:val="21"/>
        </w:rPr>
        <w:t>亿美元，这一上升势头仍在保持。据国家外汇管理局最新公布的数据，截至</w:t>
      </w:r>
      <w:r>
        <w:rPr>
          <w:rFonts w:cs="Times New Roman"/>
          <w:b/>
          <w:bCs/>
          <w:color w:val="000000"/>
          <w:sz w:val="21"/>
          <w:szCs w:val="21"/>
        </w:rPr>
        <w:t>2010</w:t>
      </w:r>
      <w:r>
        <w:rPr>
          <w:color w:val="000000"/>
          <w:sz w:val="21"/>
          <w:szCs w:val="21"/>
        </w:rPr>
        <w:t>年</w:t>
      </w:r>
      <w:r>
        <w:rPr>
          <w:rFonts w:cs="Times New Roman"/>
          <w:b/>
          <w:bCs/>
          <w:color w:val="000000"/>
          <w:sz w:val="21"/>
          <w:szCs w:val="21"/>
        </w:rPr>
        <w:t>10</w:t>
      </w:r>
      <w:r>
        <w:rPr>
          <w:color w:val="000000"/>
          <w:sz w:val="21"/>
          <w:szCs w:val="21"/>
        </w:rPr>
        <w:t>月我国外汇储备已达</w:t>
      </w:r>
      <w:r>
        <w:rPr>
          <w:rFonts w:cs="Times New Roman"/>
          <w:b/>
          <w:bCs/>
          <w:color w:val="000000"/>
          <w:sz w:val="21"/>
          <w:szCs w:val="21"/>
          <w:lang w:val="en-US" w:eastAsia="zh-CN" w:bidi="en-US"/>
        </w:rPr>
        <w:t>26483.</w:t>
      </w:r>
      <w:r>
        <w:rPr>
          <w:rFonts w:cs="Times New Roman"/>
          <w:b/>
          <w:bCs/>
          <w:color w:val="000000"/>
          <w:sz w:val="21"/>
          <w:szCs w:val="21"/>
        </w:rPr>
        <w:t>03</w:t>
      </w:r>
      <w:r>
        <w:rPr>
          <w:color w:val="000000"/>
          <w:sz w:val="21"/>
          <w:szCs w:val="21"/>
        </w:rPr>
        <w:t>亿美元，增长幅度超过了同期</w:t>
      </w:r>
      <w:r>
        <w:rPr>
          <w:rFonts w:cs="Times New Roman"/>
          <w:b/>
          <w:bCs/>
          <w:color w:val="000000"/>
          <w:sz w:val="21"/>
          <w:szCs w:val="21"/>
          <w:lang w:val="en-US" w:eastAsia="zh-CN" w:bidi="en-US"/>
        </w:rPr>
        <w:t>GDP</w:t>
      </w:r>
      <w:r>
        <w:rPr>
          <w:color w:val="000000"/>
          <w:sz w:val="21"/>
          <w:szCs w:val="21"/>
        </w:rPr>
        <w:t>的增长幅度。</w:t>
      </w:r>
      <w:r>
        <w:rPr>
          <w:rStyle w:val="20"/>
          <w:rFonts w:ascii="宋体" w:hAnsi="宋体" w:eastAsia="宋体"/>
          <w:sz w:val="21"/>
          <w:szCs w:val="21"/>
        </w:rPr>
        <w:footnoteReference w:id="487"/>
      </w:r>
      <w:r>
        <w:rPr>
          <w:color w:val="000000"/>
          <w:sz w:val="21"/>
          <w:szCs w:val="21"/>
        </w:rPr>
        <w:t>从横向角度看，我国外汇储备的规模过大，还体现在其相对国内生产总值的比重过高，</w:t>
      </w:r>
      <w:r>
        <w:rPr>
          <w:rFonts w:cs="Times New Roman"/>
          <w:b/>
          <w:bCs/>
          <w:color w:val="000000"/>
          <w:sz w:val="21"/>
          <w:szCs w:val="21"/>
        </w:rPr>
        <w:t>2008</w:t>
      </w:r>
      <w:r>
        <w:rPr>
          <w:color w:val="000000"/>
          <w:sz w:val="21"/>
          <w:szCs w:val="21"/>
        </w:rPr>
        <w:t>年我国外汇储备占国内生产总值的比重即已经接近</w:t>
      </w:r>
      <w:r>
        <w:rPr>
          <w:rFonts w:cs="Times New Roman"/>
          <w:b/>
          <w:bCs/>
          <w:color w:val="000000"/>
          <w:sz w:val="21"/>
          <w:szCs w:val="21"/>
        </w:rPr>
        <w:t>45%,</w:t>
      </w:r>
      <w:r>
        <w:rPr>
          <w:rStyle w:val="20"/>
          <w:rFonts w:ascii="宋体" w:hAnsi="宋体" w:eastAsia="宋体" w:cs="Times New Roman"/>
          <w:b/>
          <w:bCs/>
          <w:sz w:val="21"/>
          <w:szCs w:val="21"/>
        </w:rPr>
        <w:footnoteReference w:id="488"/>
      </w:r>
      <w:r>
        <w:rPr>
          <w:color w:val="000000"/>
          <w:sz w:val="21"/>
          <w:szCs w:val="21"/>
        </w:rPr>
        <w:t>而同期其他各主要经济大国一般保持在</w:t>
      </w:r>
      <w:r>
        <w:rPr>
          <w:rFonts w:cs="Times New Roman"/>
          <w:b/>
          <w:bCs/>
          <w:color w:val="000000"/>
          <w:sz w:val="21"/>
          <w:szCs w:val="21"/>
        </w:rPr>
        <w:t>25%</w:t>
      </w:r>
      <w:r>
        <w:rPr>
          <w:color w:val="000000"/>
          <w:sz w:val="21"/>
          <w:szCs w:val="21"/>
        </w:rPr>
        <w:t>以下。尽管美国因其美元地位是个例外，但德国这样外贸依存度高达</w:t>
      </w:r>
      <w:r>
        <w:rPr>
          <w:rFonts w:cs="Times New Roman"/>
          <w:b/>
          <w:bCs/>
          <w:color w:val="000000"/>
          <w:sz w:val="21"/>
          <w:szCs w:val="21"/>
        </w:rPr>
        <w:t>73%</w:t>
      </w:r>
      <w:r>
        <w:rPr>
          <w:color w:val="000000"/>
          <w:sz w:val="21"/>
          <w:szCs w:val="21"/>
        </w:rPr>
        <w:t>的国家，其外汇储备也仅仅维持在不到</w:t>
      </w:r>
      <w:r>
        <w:rPr>
          <w:rFonts w:cs="Times New Roman"/>
          <w:b/>
          <w:bCs/>
          <w:color w:val="000000"/>
          <w:sz w:val="21"/>
          <w:szCs w:val="21"/>
        </w:rPr>
        <w:t>11%</w:t>
      </w:r>
      <w:r>
        <w:rPr>
          <w:color w:val="000000"/>
          <w:sz w:val="21"/>
          <w:szCs w:val="21"/>
        </w:rPr>
        <w:t>的低水平（见表</w:t>
      </w:r>
      <w:r>
        <w:rPr>
          <w:rFonts w:cs="Times New Roman"/>
          <w:b/>
          <w:bCs/>
          <w:color w:val="000000"/>
          <w:sz w:val="21"/>
          <w:szCs w:val="21"/>
        </w:rPr>
        <w:t>1）</w:t>
      </w:r>
      <w:r>
        <w:rPr>
          <w:color w:val="000000"/>
          <w:sz w:val="21"/>
          <w:szCs w:val="21"/>
        </w:rPr>
        <w:t>。可见，中国外汇储备的规模，已经不仅仅远远高于发达资本主义国家，也高于一般发展中国家（如巴西、印度）的水平。</w:t>
      </w:r>
    </w:p>
    <w:tbl>
      <w:tblPr>
        <w:tblStyle w:val="17"/>
        <w:tblW w:w="0" w:type="auto"/>
        <w:jc w:val="center"/>
        <w:tblLayout w:type="fixed"/>
        <w:tblCellMar>
          <w:top w:w="0" w:type="dxa"/>
          <w:left w:w="10" w:type="dxa"/>
          <w:bottom w:w="0" w:type="dxa"/>
          <w:right w:w="10" w:type="dxa"/>
        </w:tblCellMar>
      </w:tblPr>
      <w:tblGrid>
        <w:gridCol w:w="840"/>
        <w:gridCol w:w="1906"/>
        <w:gridCol w:w="1747"/>
        <w:gridCol w:w="2674"/>
      </w:tblGrid>
      <w:tr w14:paraId="3F4731A7">
        <w:trPr>
          <w:trHeight w:val="365" w:hRule="exact"/>
          <w:jc w:val="center"/>
        </w:trPr>
        <w:tc>
          <w:tcPr>
            <w:tcW w:w="840" w:type="dxa"/>
            <w:shd w:val="clear" w:color="auto" w:fill="FFFFFF"/>
          </w:tcPr>
          <w:p w14:paraId="5EFE7E4E">
            <w:pPr>
              <w:pStyle w:val="32"/>
              <w:spacing w:line="400" w:lineRule="exact"/>
              <w:ind w:firstLine="420" w:firstLineChars="200"/>
              <w:jc w:val="both"/>
              <w:rPr>
                <w:sz w:val="21"/>
                <w:szCs w:val="21"/>
              </w:rPr>
            </w:pPr>
            <w:r>
              <w:rPr>
                <w:color w:val="000000"/>
                <w:sz w:val="21"/>
                <w:szCs w:val="21"/>
              </w:rPr>
              <w:t>表</w:t>
            </w:r>
            <w:r>
              <w:rPr>
                <w:rFonts w:cs="Times New Roman"/>
                <w:color w:val="000000"/>
                <w:sz w:val="21"/>
                <w:szCs w:val="21"/>
                <w:lang w:val="en-US" w:eastAsia="en-US" w:bidi="en-US"/>
              </w:rPr>
              <w:t>1</w:t>
            </w:r>
          </w:p>
        </w:tc>
        <w:tc>
          <w:tcPr>
            <w:tcW w:w="6327" w:type="dxa"/>
            <w:gridSpan w:val="3"/>
            <w:shd w:val="clear" w:color="auto" w:fill="FFFFFF"/>
          </w:tcPr>
          <w:p w14:paraId="5F0CB2B5">
            <w:pPr>
              <w:pStyle w:val="32"/>
              <w:spacing w:line="400" w:lineRule="exact"/>
              <w:ind w:firstLine="420" w:firstLineChars="200"/>
              <w:jc w:val="both"/>
              <w:rPr>
                <w:sz w:val="21"/>
                <w:szCs w:val="21"/>
              </w:rPr>
            </w:pPr>
            <w:r>
              <w:rPr>
                <w:rFonts w:cs="Times New Roman"/>
                <w:color w:val="000000"/>
                <w:sz w:val="21"/>
                <w:szCs w:val="21"/>
              </w:rPr>
              <w:t>2008</w:t>
            </w:r>
            <w:r>
              <w:rPr>
                <w:color w:val="000000"/>
                <w:sz w:val="21"/>
                <w:szCs w:val="21"/>
              </w:rPr>
              <w:t>年年末外汇储备占国内生产总值比重的国际比较</w:t>
            </w:r>
          </w:p>
        </w:tc>
      </w:tr>
      <w:tr w14:paraId="31ABB2E4">
        <w:trPr>
          <w:trHeight w:val="374" w:hRule="exact"/>
          <w:jc w:val="center"/>
        </w:trPr>
        <w:tc>
          <w:tcPr>
            <w:tcW w:w="840" w:type="dxa"/>
            <w:tcBorders>
              <w:top w:val="single" w:color="auto" w:sz="4" w:space="0"/>
            </w:tcBorders>
            <w:shd w:val="clear" w:color="auto" w:fill="FFFFFF"/>
            <w:vAlign w:val="center"/>
          </w:tcPr>
          <w:p w14:paraId="60FFE439">
            <w:pPr>
              <w:pStyle w:val="32"/>
              <w:spacing w:line="400" w:lineRule="exact"/>
              <w:ind w:firstLine="420" w:firstLineChars="200"/>
              <w:jc w:val="both"/>
              <w:rPr>
                <w:sz w:val="21"/>
                <w:szCs w:val="21"/>
              </w:rPr>
            </w:pPr>
            <w:r>
              <w:rPr>
                <w:color w:val="000000"/>
                <w:sz w:val="21"/>
                <w:szCs w:val="21"/>
              </w:rPr>
              <w:t>国家</w:t>
            </w:r>
          </w:p>
        </w:tc>
        <w:tc>
          <w:tcPr>
            <w:tcW w:w="1906" w:type="dxa"/>
            <w:tcBorders>
              <w:top w:val="single" w:color="auto" w:sz="4" w:space="0"/>
              <w:left w:val="single" w:color="auto" w:sz="4" w:space="0"/>
            </w:tcBorders>
            <w:shd w:val="clear" w:color="auto" w:fill="FFFFFF"/>
            <w:vAlign w:val="center"/>
          </w:tcPr>
          <w:p w14:paraId="370D8318">
            <w:pPr>
              <w:pStyle w:val="32"/>
              <w:spacing w:line="400" w:lineRule="exact"/>
              <w:ind w:firstLine="420" w:firstLineChars="200"/>
              <w:jc w:val="both"/>
              <w:rPr>
                <w:sz w:val="21"/>
                <w:szCs w:val="21"/>
              </w:rPr>
            </w:pPr>
            <w:r>
              <w:rPr>
                <w:color w:val="000000"/>
                <w:sz w:val="21"/>
                <w:szCs w:val="21"/>
              </w:rPr>
              <w:t>外汇储备（亿美元）</w:t>
            </w:r>
          </w:p>
        </w:tc>
        <w:tc>
          <w:tcPr>
            <w:tcW w:w="1747" w:type="dxa"/>
            <w:tcBorders>
              <w:top w:val="single" w:color="auto" w:sz="4" w:space="0"/>
              <w:left w:val="single" w:color="auto" w:sz="4" w:space="0"/>
            </w:tcBorders>
            <w:shd w:val="clear" w:color="auto" w:fill="FFFFFF"/>
            <w:vAlign w:val="center"/>
          </w:tcPr>
          <w:p w14:paraId="5A03B0B1">
            <w:pPr>
              <w:pStyle w:val="32"/>
              <w:spacing w:line="400" w:lineRule="exact"/>
              <w:ind w:firstLine="420" w:firstLineChars="200"/>
              <w:jc w:val="both"/>
              <w:rPr>
                <w:sz w:val="21"/>
                <w:szCs w:val="21"/>
              </w:rPr>
            </w:pPr>
            <w:r>
              <w:rPr>
                <w:color w:val="000000"/>
                <w:sz w:val="21"/>
                <w:szCs w:val="21"/>
              </w:rPr>
              <w:t>国内生产总值（亿美元）</w:t>
            </w:r>
          </w:p>
        </w:tc>
        <w:tc>
          <w:tcPr>
            <w:tcW w:w="2674" w:type="dxa"/>
            <w:tcBorders>
              <w:top w:val="single" w:color="auto" w:sz="4" w:space="0"/>
              <w:left w:val="single" w:color="auto" w:sz="4" w:space="0"/>
            </w:tcBorders>
            <w:shd w:val="clear" w:color="auto" w:fill="FFFFFF"/>
            <w:vAlign w:val="center"/>
          </w:tcPr>
          <w:p w14:paraId="21842C5F">
            <w:pPr>
              <w:pStyle w:val="32"/>
              <w:spacing w:line="400" w:lineRule="exact"/>
              <w:ind w:firstLine="420" w:firstLineChars="200"/>
              <w:jc w:val="both"/>
              <w:rPr>
                <w:sz w:val="21"/>
                <w:szCs w:val="21"/>
              </w:rPr>
            </w:pPr>
            <w:r>
              <w:rPr>
                <w:color w:val="000000"/>
                <w:sz w:val="21"/>
                <w:szCs w:val="21"/>
              </w:rPr>
              <w:t>外汇储备占国内生产总值比重（%）</w:t>
            </w:r>
          </w:p>
        </w:tc>
      </w:tr>
      <w:tr w14:paraId="72C6E81D">
        <w:trPr>
          <w:trHeight w:val="384" w:hRule="exact"/>
          <w:jc w:val="center"/>
        </w:trPr>
        <w:tc>
          <w:tcPr>
            <w:tcW w:w="840" w:type="dxa"/>
            <w:tcBorders>
              <w:top w:val="single" w:color="auto" w:sz="4" w:space="0"/>
            </w:tcBorders>
            <w:shd w:val="clear" w:color="auto" w:fill="FFFFFF"/>
            <w:vAlign w:val="center"/>
          </w:tcPr>
          <w:p w14:paraId="4A9E2583">
            <w:pPr>
              <w:pStyle w:val="32"/>
              <w:spacing w:line="400" w:lineRule="exact"/>
              <w:ind w:firstLine="420" w:firstLineChars="200"/>
              <w:jc w:val="both"/>
              <w:rPr>
                <w:sz w:val="21"/>
                <w:szCs w:val="21"/>
              </w:rPr>
            </w:pPr>
            <w:r>
              <w:rPr>
                <w:color w:val="000000"/>
                <w:sz w:val="21"/>
                <w:szCs w:val="21"/>
              </w:rPr>
              <w:t>中国</w:t>
            </w:r>
          </w:p>
        </w:tc>
        <w:tc>
          <w:tcPr>
            <w:tcW w:w="1906" w:type="dxa"/>
            <w:tcBorders>
              <w:top w:val="single" w:color="auto" w:sz="4" w:space="0"/>
              <w:left w:val="single" w:color="auto" w:sz="4" w:space="0"/>
            </w:tcBorders>
            <w:shd w:val="clear" w:color="auto" w:fill="FFFFFF"/>
            <w:vAlign w:val="center"/>
          </w:tcPr>
          <w:p w14:paraId="19E57562">
            <w:pPr>
              <w:pStyle w:val="32"/>
              <w:spacing w:line="400" w:lineRule="exact"/>
              <w:ind w:firstLine="420" w:firstLineChars="200"/>
              <w:jc w:val="both"/>
              <w:rPr>
                <w:sz w:val="21"/>
                <w:szCs w:val="21"/>
              </w:rPr>
            </w:pPr>
            <w:r>
              <w:rPr>
                <w:b/>
                <w:bCs/>
                <w:color w:val="000000"/>
                <w:sz w:val="21"/>
                <w:szCs w:val="21"/>
                <w:lang w:val="en-US" w:eastAsia="en-US" w:bidi="en-US"/>
              </w:rPr>
              <w:t>19460.</w:t>
            </w:r>
            <w:r>
              <w:rPr>
                <w:b/>
                <w:bCs/>
                <w:color w:val="000000"/>
                <w:sz w:val="21"/>
                <w:szCs w:val="21"/>
              </w:rPr>
              <w:t>3</w:t>
            </w:r>
          </w:p>
        </w:tc>
        <w:tc>
          <w:tcPr>
            <w:tcW w:w="1747" w:type="dxa"/>
            <w:tcBorders>
              <w:top w:val="single" w:color="auto" w:sz="4" w:space="0"/>
              <w:left w:val="single" w:color="auto" w:sz="4" w:space="0"/>
            </w:tcBorders>
            <w:shd w:val="clear" w:color="auto" w:fill="FFFFFF"/>
            <w:vAlign w:val="center"/>
          </w:tcPr>
          <w:p w14:paraId="5F9C4C79">
            <w:pPr>
              <w:pStyle w:val="32"/>
              <w:spacing w:line="400" w:lineRule="exact"/>
              <w:ind w:firstLine="420" w:firstLineChars="200"/>
              <w:jc w:val="both"/>
              <w:rPr>
                <w:sz w:val="21"/>
                <w:szCs w:val="21"/>
              </w:rPr>
            </w:pPr>
            <w:r>
              <w:rPr>
                <w:b/>
                <w:bCs/>
                <w:color w:val="000000"/>
                <w:sz w:val="21"/>
                <w:szCs w:val="21"/>
              </w:rPr>
              <w:t>43262</w:t>
            </w:r>
          </w:p>
        </w:tc>
        <w:tc>
          <w:tcPr>
            <w:tcW w:w="2674" w:type="dxa"/>
            <w:tcBorders>
              <w:top w:val="single" w:color="auto" w:sz="4" w:space="0"/>
              <w:left w:val="single" w:color="auto" w:sz="4" w:space="0"/>
            </w:tcBorders>
            <w:shd w:val="clear" w:color="auto" w:fill="FFFFFF"/>
            <w:vAlign w:val="center"/>
          </w:tcPr>
          <w:p w14:paraId="630E133F">
            <w:pPr>
              <w:pStyle w:val="32"/>
              <w:spacing w:line="400" w:lineRule="exact"/>
              <w:ind w:firstLine="420" w:firstLineChars="200"/>
              <w:jc w:val="both"/>
              <w:rPr>
                <w:sz w:val="21"/>
                <w:szCs w:val="21"/>
              </w:rPr>
            </w:pPr>
            <w:r>
              <w:rPr>
                <w:b/>
                <w:bCs/>
                <w:color w:val="000000"/>
                <w:sz w:val="21"/>
                <w:szCs w:val="21"/>
                <w:lang w:val="en-US" w:eastAsia="en-US" w:bidi="en-US"/>
              </w:rPr>
              <w:t>44.</w:t>
            </w:r>
            <w:r>
              <w:rPr>
                <w:b/>
                <w:bCs/>
                <w:color w:val="000000"/>
                <w:sz w:val="21"/>
                <w:szCs w:val="21"/>
              </w:rPr>
              <w:t>98</w:t>
            </w:r>
          </w:p>
        </w:tc>
      </w:tr>
      <w:tr w14:paraId="367ECDB5">
        <w:trPr>
          <w:trHeight w:val="374" w:hRule="exact"/>
          <w:jc w:val="center"/>
        </w:trPr>
        <w:tc>
          <w:tcPr>
            <w:tcW w:w="840" w:type="dxa"/>
            <w:shd w:val="clear" w:color="auto" w:fill="FFFFFF"/>
            <w:vAlign w:val="center"/>
          </w:tcPr>
          <w:p w14:paraId="39E790ED">
            <w:pPr>
              <w:pStyle w:val="32"/>
              <w:spacing w:line="400" w:lineRule="exact"/>
              <w:ind w:firstLine="420" w:firstLineChars="200"/>
              <w:jc w:val="both"/>
              <w:rPr>
                <w:sz w:val="21"/>
                <w:szCs w:val="21"/>
              </w:rPr>
            </w:pPr>
            <w:r>
              <w:rPr>
                <w:color w:val="000000"/>
                <w:sz w:val="21"/>
                <w:szCs w:val="21"/>
              </w:rPr>
              <w:t>美国</w:t>
            </w:r>
          </w:p>
        </w:tc>
        <w:tc>
          <w:tcPr>
            <w:tcW w:w="1906" w:type="dxa"/>
            <w:tcBorders>
              <w:left w:val="single" w:color="auto" w:sz="4" w:space="0"/>
            </w:tcBorders>
            <w:shd w:val="clear" w:color="auto" w:fill="FFFFFF"/>
            <w:vAlign w:val="center"/>
          </w:tcPr>
          <w:p w14:paraId="0FB59614">
            <w:pPr>
              <w:pStyle w:val="32"/>
              <w:spacing w:line="400" w:lineRule="exact"/>
              <w:ind w:firstLine="420" w:firstLineChars="200"/>
              <w:jc w:val="both"/>
              <w:rPr>
                <w:sz w:val="21"/>
                <w:szCs w:val="21"/>
              </w:rPr>
            </w:pPr>
            <w:r>
              <w:rPr>
                <w:b/>
                <w:bCs/>
                <w:color w:val="000000"/>
                <w:sz w:val="21"/>
                <w:szCs w:val="21"/>
                <w:lang w:val="en-US" w:eastAsia="en-US" w:bidi="en-US"/>
              </w:rPr>
              <w:t>495.8</w:t>
            </w:r>
          </w:p>
        </w:tc>
        <w:tc>
          <w:tcPr>
            <w:tcW w:w="1747" w:type="dxa"/>
            <w:tcBorders>
              <w:left w:val="single" w:color="auto" w:sz="4" w:space="0"/>
            </w:tcBorders>
            <w:shd w:val="clear" w:color="auto" w:fill="FFFFFF"/>
            <w:vAlign w:val="center"/>
          </w:tcPr>
          <w:p w14:paraId="5968A8A9">
            <w:pPr>
              <w:pStyle w:val="32"/>
              <w:spacing w:line="400" w:lineRule="exact"/>
              <w:ind w:firstLine="420" w:firstLineChars="200"/>
              <w:jc w:val="both"/>
              <w:rPr>
                <w:sz w:val="21"/>
                <w:szCs w:val="21"/>
              </w:rPr>
            </w:pPr>
            <w:r>
              <w:rPr>
                <w:b/>
                <w:bCs/>
                <w:color w:val="000000"/>
                <w:sz w:val="21"/>
                <w:szCs w:val="21"/>
              </w:rPr>
              <w:t>142043</w:t>
            </w:r>
          </w:p>
        </w:tc>
        <w:tc>
          <w:tcPr>
            <w:tcW w:w="2674" w:type="dxa"/>
            <w:tcBorders>
              <w:left w:val="single" w:color="auto" w:sz="4" w:space="0"/>
            </w:tcBorders>
            <w:shd w:val="clear" w:color="auto" w:fill="FFFFFF"/>
            <w:vAlign w:val="center"/>
          </w:tcPr>
          <w:p w14:paraId="7808D403">
            <w:pPr>
              <w:pStyle w:val="32"/>
              <w:spacing w:line="400" w:lineRule="exact"/>
              <w:ind w:firstLine="420" w:firstLineChars="200"/>
              <w:jc w:val="both"/>
              <w:rPr>
                <w:sz w:val="21"/>
                <w:szCs w:val="21"/>
              </w:rPr>
            </w:pPr>
            <w:r>
              <w:rPr>
                <w:b/>
                <w:bCs/>
                <w:color w:val="000000"/>
                <w:sz w:val="21"/>
                <w:szCs w:val="21"/>
                <w:lang w:val="en-US" w:eastAsia="en-US" w:bidi="en-US"/>
              </w:rPr>
              <w:t>0.</w:t>
            </w:r>
            <w:r>
              <w:rPr>
                <w:b/>
                <w:bCs/>
                <w:color w:val="000000"/>
                <w:sz w:val="21"/>
                <w:szCs w:val="21"/>
              </w:rPr>
              <w:t>35</w:t>
            </w:r>
          </w:p>
        </w:tc>
      </w:tr>
      <w:tr w14:paraId="25F6E1C4">
        <w:trPr>
          <w:trHeight w:val="374" w:hRule="exact"/>
          <w:jc w:val="center"/>
        </w:trPr>
        <w:tc>
          <w:tcPr>
            <w:tcW w:w="840" w:type="dxa"/>
            <w:shd w:val="clear" w:color="auto" w:fill="FFFFFF"/>
            <w:vAlign w:val="center"/>
          </w:tcPr>
          <w:p w14:paraId="7A4D9F21">
            <w:pPr>
              <w:pStyle w:val="32"/>
              <w:spacing w:line="400" w:lineRule="exact"/>
              <w:ind w:firstLine="420" w:firstLineChars="200"/>
              <w:jc w:val="both"/>
              <w:rPr>
                <w:sz w:val="21"/>
                <w:szCs w:val="21"/>
              </w:rPr>
            </w:pPr>
            <w:r>
              <w:rPr>
                <w:color w:val="000000"/>
                <w:sz w:val="21"/>
                <w:szCs w:val="21"/>
              </w:rPr>
              <w:t>德国</w:t>
            </w:r>
          </w:p>
        </w:tc>
        <w:tc>
          <w:tcPr>
            <w:tcW w:w="1906" w:type="dxa"/>
            <w:tcBorders>
              <w:left w:val="single" w:color="auto" w:sz="4" w:space="0"/>
            </w:tcBorders>
            <w:shd w:val="clear" w:color="auto" w:fill="FFFFFF"/>
            <w:vAlign w:val="center"/>
          </w:tcPr>
          <w:p w14:paraId="1F083563">
            <w:pPr>
              <w:pStyle w:val="32"/>
              <w:spacing w:line="400" w:lineRule="exact"/>
              <w:ind w:firstLine="420" w:firstLineChars="200"/>
              <w:jc w:val="both"/>
              <w:rPr>
                <w:sz w:val="21"/>
                <w:szCs w:val="21"/>
              </w:rPr>
            </w:pPr>
            <w:r>
              <w:rPr>
                <w:b/>
                <w:bCs/>
                <w:color w:val="000000"/>
                <w:sz w:val="21"/>
                <w:szCs w:val="21"/>
                <w:lang w:val="en-US" w:eastAsia="en-US" w:bidi="en-US"/>
              </w:rPr>
              <w:t>385.6</w:t>
            </w:r>
          </w:p>
        </w:tc>
        <w:tc>
          <w:tcPr>
            <w:tcW w:w="1747" w:type="dxa"/>
            <w:tcBorders>
              <w:left w:val="single" w:color="auto" w:sz="4" w:space="0"/>
            </w:tcBorders>
            <w:shd w:val="clear" w:color="auto" w:fill="FFFFFF"/>
            <w:vAlign w:val="center"/>
          </w:tcPr>
          <w:p w14:paraId="4FACF136">
            <w:pPr>
              <w:pStyle w:val="32"/>
              <w:spacing w:line="400" w:lineRule="exact"/>
              <w:ind w:firstLine="420" w:firstLineChars="200"/>
              <w:jc w:val="both"/>
              <w:rPr>
                <w:sz w:val="21"/>
                <w:szCs w:val="21"/>
              </w:rPr>
            </w:pPr>
            <w:r>
              <w:rPr>
                <w:b/>
                <w:bCs/>
                <w:color w:val="000000"/>
                <w:sz w:val="21"/>
                <w:szCs w:val="21"/>
              </w:rPr>
              <w:t>36528</w:t>
            </w:r>
          </w:p>
        </w:tc>
        <w:tc>
          <w:tcPr>
            <w:tcW w:w="2674" w:type="dxa"/>
            <w:tcBorders>
              <w:left w:val="single" w:color="auto" w:sz="4" w:space="0"/>
            </w:tcBorders>
            <w:shd w:val="clear" w:color="auto" w:fill="FFFFFF"/>
            <w:vAlign w:val="center"/>
          </w:tcPr>
          <w:p w14:paraId="5C8A6862">
            <w:pPr>
              <w:pStyle w:val="32"/>
              <w:spacing w:line="400" w:lineRule="exact"/>
              <w:ind w:firstLine="420" w:firstLineChars="200"/>
              <w:jc w:val="both"/>
              <w:rPr>
                <w:sz w:val="21"/>
                <w:szCs w:val="21"/>
              </w:rPr>
            </w:pPr>
            <w:r>
              <w:rPr>
                <w:b/>
                <w:bCs/>
                <w:color w:val="000000"/>
                <w:sz w:val="21"/>
                <w:szCs w:val="21"/>
                <w:lang w:val="en-US" w:eastAsia="en-US" w:bidi="en-US"/>
              </w:rPr>
              <w:t>10.</w:t>
            </w:r>
            <w:r>
              <w:rPr>
                <w:b/>
                <w:bCs/>
                <w:color w:val="000000"/>
                <w:sz w:val="21"/>
                <w:szCs w:val="21"/>
              </w:rPr>
              <w:t>56</w:t>
            </w:r>
          </w:p>
        </w:tc>
      </w:tr>
      <w:tr w14:paraId="36A7316A">
        <w:trPr>
          <w:trHeight w:val="374" w:hRule="exact"/>
          <w:jc w:val="center"/>
        </w:trPr>
        <w:tc>
          <w:tcPr>
            <w:tcW w:w="840" w:type="dxa"/>
            <w:shd w:val="clear" w:color="auto" w:fill="FFFFFF"/>
            <w:vAlign w:val="center"/>
          </w:tcPr>
          <w:p w14:paraId="3469CE05">
            <w:pPr>
              <w:pStyle w:val="32"/>
              <w:spacing w:line="400" w:lineRule="exact"/>
              <w:ind w:firstLine="420" w:firstLineChars="200"/>
              <w:jc w:val="both"/>
              <w:rPr>
                <w:sz w:val="21"/>
                <w:szCs w:val="21"/>
              </w:rPr>
            </w:pPr>
            <w:r>
              <w:rPr>
                <w:color w:val="000000"/>
                <w:sz w:val="21"/>
                <w:szCs w:val="21"/>
              </w:rPr>
              <w:t>日本</w:t>
            </w:r>
          </w:p>
        </w:tc>
        <w:tc>
          <w:tcPr>
            <w:tcW w:w="1906" w:type="dxa"/>
            <w:tcBorders>
              <w:left w:val="single" w:color="auto" w:sz="4" w:space="0"/>
            </w:tcBorders>
            <w:shd w:val="clear" w:color="auto" w:fill="FFFFFF"/>
            <w:vAlign w:val="center"/>
          </w:tcPr>
          <w:p w14:paraId="20579073">
            <w:pPr>
              <w:pStyle w:val="32"/>
              <w:spacing w:line="400" w:lineRule="exact"/>
              <w:ind w:firstLine="420" w:firstLineChars="200"/>
              <w:jc w:val="both"/>
              <w:rPr>
                <w:sz w:val="21"/>
                <w:szCs w:val="21"/>
              </w:rPr>
            </w:pPr>
            <w:r>
              <w:rPr>
                <w:b/>
                <w:bCs/>
                <w:color w:val="000000"/>
                <w:sz w:val="21"/>
                <w:szCs w:val="21"/>
                <w:lang w:val="en-US" w:eastAsia="en-US" w:bidi="en-US"/>
              </w:rPr>
              <w:t>10036.</w:t>
            </w:r>
            <w:r>
              <w:rPr>
                <w:b/>
                <w:bCs/>
                <w:color w:val="000000"/>
                <w:sz w:val="21"/>
                <w:szCs w:val="21"/>
              </w:rPr>
              <w:t>7</w:t>
            </w:r>
          </w:p>
        </w:tc>
        <w:tc>
          <w:tcPr>
            <w:tcW w:w="1747" w:type="dxa"/>
            <w:tcBorders>
              <w:left w:val="single" w:color="auto" w:sz="4" w:space="0"/>
            </w:tcBorders>
            <w:shd w:val="clear" w:color="auto" w:fill="FFFFFF"/>
            <w:vAlign w:val="center"/>
          </w:tcPr>
          <w:p w14:paraId="471C26BB">
            <w:pPr>
              <w:pStyle w:val="32"/>
              <w:spacing w:line="400" w:lineRule="exact"/>
              <w:ind w:firstLine="420" w:firstLineChars="200"/>
              <w:jc w:val="both"/>
              <w:rPr>
                <w:sz w:val="21"/>
                <w:szCs w:val="21"/>
              </w:rPr>
            </w:pPr>
            <w:r>
              <w:rPr>
                <w:b/>
                <w:bCs/>
                <w:color w:val="000000"/>
                <w:sz w:val="21"/>
                <w:szCs w:val="21"/>
              </w:rPr>
              <w:t>49093</w:t>
            </w:r>
          </w:p>
        </w:tc>
        <w:tc>
          <w:tcPr>
            <w:tcW w:w="2674" w:type="dxa"/>
            <w:tcBorders>
              <w:left w:val="single" w:color="auto" w:sz="4" w:space="0"/>
            </w:tcBorders>
            <w:shd w:val="clear" w:color="auto" w:fill="FFFFFF"/>
            <w:vAlign w:val="center"/>
          </w:tcPr>
          <w:p w14:paraId="033FC711">
            <w:pPr>
              <w:pStyle w:val="32"/>
              <w:spacing w:line="400" w:lineRule="exact"/>
              <w:ind w:firstLine="420" w:firstLineChars="200"/>
              <w:jc w:val="both"/>
              <w:rPr>
                <w:sz w:val="21"/>
                <w:szCs w:val="21"/>
              </w:rPr>
            </w:pPr>
            <w:r>
              <w:rPr>
                <w:b/>
                <w:bCs/>
                <w:color w:val="000000"/>
                <w:sz w:val="21"/>
                <w:szCs w:val="21"/>
                <w:lang w:val="en-US" w:eastAsia="en-US" w:bidi="en-US"/>
              </w:rPr>
              <w:t>20.44</w:t>
            </w:r>
          </w:p>
        </w:tc>
      </w:tr>
      <w:tr w14:paraId="3EFF01DE">
        <w:trPr>
          <w:trHeight w:val="374" w:hRule="exact"/>
          <w:jc w:val="center"/>
        </w:trPr>
        <w:tc>
          <w:tcPr>
            <w:tcW w:w="840" w:type="dxa"/>
            <w:shd w:val="clear" w:color="auto" w:fill="FFFFFF"/>
            <w:vAlign w:val="center"/>
          </w:tcPr>
          <w:p w14:paraId="48CEB95A">
            <w:pPr>
              <w:pStyle w:val="32"/>
              <w:spacing w:line="400" w:lineRule="exact"/>
              <w:ind w:firstLine="420" w:firstLineChars="200"/>
              <w:jc w:val="both"/>
              <w:rPr>
                <w:sz w:val="21"/>
                <w:szCs w:val="21"/>
              </w:rPr>
            </w:pPr>
            <w:r>
              <w:rPr>
                <w:color w:val="000000"/>
                <w:sz w:val="21"/>
                <w:szCs w:val="21"/>
              </w:rPr>
              <w:t>韩国</w:t>
            </w:r>
          </w:p>
        </w:tc>
        <w:tc>
          <w:tcPr>
            <w:tcW w:w="1906" w:type="dxa"/>
            <w:tcBorders>
              <w:left w:val="single" w:color="auto" w:sz="4" w:space="0"/>
            </w:tcBorders>
            <w:shd w:val="clear" w:color="auto" w:fill="FFFFFF"/>
            <w:vAlign w:val="center"/>
          </w:tcPr>
          <w:p w14:paraId="1FB031B3">
            <w:pPr>
              <w:pStyle w:val="32"/>
              <w:spacing w:line="400" w:lineRule="exact"/>
              <w:ind w:firstLine="420" w:firstLineChars="200"/>
              <w:jc w:val="both"/>
              <w:rPr>
                <w:sz w:val="21"/>
                <w:szCs w:val="21"/>
              </w:rPr>
            </w:pPr>
            <w:r>
              <w:rPr>
                <w:b/>
                <w:bCs/>
                <w:color w:val="000000"/>
                <w:sz w:val="21"/>
                <w:szCs w:val="21"/>
                <w:lang w:val="en-US" w:eastAsia="en-US" w:bidi="en-US"/>
              </w:rPr>
              <w:t>2004.8</w:t>
            </w:r>
          </w:p>
        </w:tc>
        <w:tc>
          <w:tcPr>
            <w:tcW w:w="1747" w:type="dxa"/>
            <w:tcBorders>
              <w:left w:val="single" w:color="auto" w:sz="4" w:space="0"/>
            </w:tcBorders>
            <w:shd w:val="clear" w:color="auto" w:fill="FFFFFF"/>
            <w:vAlign w:val="center"/>
          </w:tcPr>
          <w:p w14:paraId="1F49708A">
            <w:pPr>
              <w:pStyle w:val="32"/>
              <w:spacing w:line="400" w:lineRule="exact"/>
              <w:ind w:firstLine="420" w:firstLineChars="200"/>
              <w:jc w:val="both"/>
              <w:rPr>
                <w:sz w:val="21"/>
                <w:szCs w:val="21"/>
              </w:rPr>
            </w:pPr>
            <w:r>
              <w:rPr>
                <w:b/>
                <w:bCs/>
                <w:color w:val="000000"/>
                <w:sz w:val="21"/>
                <w:szCs w:val="21"/>
              </w:rPr>
              <w:t>9291</w:t>
            </w:r>
          </w:p>
        </w:tc>
        <w:tc>
          <w:tcPr>
            <w:tcW w:w="2674" w:type="dxa"/>
            <w:tcBorders>
              <w:left w:val="single" w:color="auto" w:sz="4" w:space="0"/>
            </w:tcBorders>
            <w:shd w:val="clear" w:color="auto" w:fill="FFFFFF"/>
            <w:vAlign w:val="center"/>
          </w:tcPr>
          <w:p w14:paraId="5EA64484">
            <w:pPr>
              <w:pStyle w:val="32"/>
              <w:spacing w:line="400" w:lineRule="exact"/>
              <w:ind w:firstLine="420" w:firstLineChars="200"/>
              <w:jc w:val="both"/>
              <w:rPr>
                <w:sz w:val="21"/>
                <w:szCs w:val="21"/>
              </w:rPr>
            </w:pPr>
            <w:r>
              <w:rPr>
                <w:b/>
                <w:bCs/>
                <w:color w:val="000000"/>
                <w:sz w:val="21"/>
                <w:szCs w:val="21"/>
                <w:lang w:val="en-US" w:eastAsia="en-US" w:bidi="en-US"/>
              </w:rPr>
              <w:t>21.58</w:t>
            </w:r>
          </w:p>
        </w:tc>
      </w:tr>
      <w:tr w14:paraId="73BA828A">
        <w:trPr>
          <w:trHeight w:val="379" w:hRule="exact"/>
          <w:jc w:val="center"/>
        </w:trPr>
        <w:tc>
          <w:tcPr>
            <w:tcW w:w="840" w:type="dxa"/>
            <w:shd w:val="clear" w:color="auto" w:fill="FFFFFF"/>
            <w:vAlign w:val="center"/>
          </w:tcPr>
          <w:p w14:paraId="3D7E3656">
            <w:pPr>
              <w:pStyle w:val="32"/>
              <w:spacing w:line="400" w:lineRule="exact"/>
              <w:ind w:firstLine="420" w:firstLineChars="200"/>
              <w:jc w:val="both"/>
              <w:rPr>
                <w:sz w:val="21"/>
                <w:szCs w:val="21"/>
              </w:rPr>
            </w:pPr>
            <w:r>
              <w:rPr>
                <w:color w:val="000000"/>
                <w:sz w:val="21"/>
                <w:szCs w:val="21"/>
              </w:rPr>
              <w:t>印度</w:t>
            </w:r>
          </w:p>
        </w:tc>
        <w:tc>
          <w:tcPr>
            <w:tcW w:w="1906" w:type="dxa"/>
            <w:tcBorders>
              <w:left w:val="single" w:color="auto" w:sz="4" w:space="0"/>
            </w:tcBorders>
            <w:shd w:val="clear" w:color="auto" w:fill="FFFFFF"/>
            <w:vAlign w:val="center"/>
          </w:tcPr>
          <w:p w14:paraId="69414E05">
            <w:pPr>
              <w:pStyle w:val="32"/>
              <w:spacing w:line="400" w:lineRule="exact"/>
              <w:ind w:firstLine="420" w:firstLineChars="200"/>
              <w:jc w:val="both"/>
              <w:rPr>
                <w:sz w:val="21"/>
                <w:szCs w:val="21"/>
              </w:rPr>
            </w:pPr>
            <w:r>
              <w:rPr>
                <w:b/>
                <w:bCs/>
                <w:color w:val="000000"/>
                <w:sz w:val="21"/>
                <w:szCs w:val="21"/>
              </w:rPr>
              <w:t>2466</w:t>
            </w:r>
          </w:p>
        </w:tc>
        <w:tc>
          <w:tcPr>
            <w:tcW w:w="1747" w:type="dxa"/>
            <w:tcBorders>
              <w:left w:val="single" w:color="auto" w:sz="4" w:space="0"/>
            </w:tcBorders>
            <w:shd w:val="clear" w:color="auto" w:fill="FFFFFF"/>
            <w:vAlign w:val="center"/>
          </w:tcPr>
          <w:p w14:paraId="64E7171F">
            <w:pPr>
              <w:pStyle w:val="32"/>
              <w:spacing w:line="400" w:lineRule="exact"/>
              <w:ind w:firstLine="420" w:firstLineChars="200"/>
              <w:jc w:val="both"/>
              <w:rPr>
                <w:sz w:val="21"/>
                <w:szCs w:val="21"/>
              </w:rPr>
            </w:pPr>
            <w:r>
              <w:rPr>
                <w:b/>
                <w:bCs/>
                <w:color w:val="000000"/>
                <w:sz w:val="21"/>
                <w:szCs w:val="21"/>
              </w:rPr>
              <w:t>12175</w:t>
            </w:r>
          </w:p>
        </w:tc>
        <w:tc>
          <w:tcPr>
            <w:tcW w:w="2674" w:type="dxa"/>
            <w:tcBorders>
              <w:left w:val="single" w:color="auto" w:sz="4" w:space="0"/>
            </w:tcBorders>
            <w:shd w:val="clear" w:color="auto" w:fill="FFFFFF"/>
            <w:vAlign w:val="center"/>
          </w:tcPr>
          <w:p w14:paraId="37709482">
            <w:pPr>
              <w:pStyle w:val="32"/>
              <w:spacing w:line="400" w:lineRule="exact"/>
              <w:ind w:firstLine="420" w:firstLineChars="200"/>
              <w:jc w:val="both"/>
              <w:rPr>
                <w:sz w:val="21"/>
                <w:szCs w:val="21"/>
              </w:rPr>
            </w:pPr>
            <w:r>
              <w:rPr>
                <w:b/>
                <w:bCs/>
                <w:color w:val="000000"/>
                <w:sz w:val="21"/>
                <w:szCs w:val="21"/>
                <w:lang w:val="en-US" w:eastAsia="en-US" w:bidi="en-US"/>
              </w:rPr>
              <w:t>20.</w:t>
            </w:r>
            <w:r>
              <w:rPr>
                <w:b/>
                <w:bCs/>
                <w:color w:val="000000"/>
                <w:sz w:val="21"/>
                <w:szCs w:val="21"/>
              </w:rPr>
              <w:t>25</w:t>
            </w:r>
          </w:p>
        </w:tc>
      </w:tr>
      <w:tr w14:paraId="78DA74CA">
        <w:trPr>
          <w:trHeight w:val="384" w:hRule="exact"/>
          <w:jc w:val="center"/>
        </w:trPr>
        <w:tc>
          <w:tcPr>
            <w:tcW w:w="840" w:type="dxa"/>
            <w:tcBorders>
              <w:bottom w:val="single" w:color="auto" w:sz="4" w:space="0"/>
            </w:tcBorders>
            <w:shd w:val="clear" w:color="auto" w:fill="FFFFFF"/>
            <w:vAlign w:val="center"/>
          </w:tcPr>
          <w:p w14:paraId="7D0AF617">
            <w:pPr>
              <w:pStyle w:val="32"/>
              <w:spacing w:line="400" w:lineRule="exact"/>
              <w:ind w:firstLine="420" w:firstLineChars="200"/>
              <w:jc w:val="both"/>
              <w:rPr>
                <w:sz w:val="21"/>
                <w:szCs w:val="21"/>
              </w:rPr>
            </w:pPr>
            <w:r>
              <w:rPr>
                <w:color w:val="000000"/>
                <w:sz w:val="21"/>
                <w:szCs w:val="21"/>
              </w:rPr>
              <w:t>巴西</w:t>
            </w:r>
          </w:p>
        </w:tc>
        <w:tc>
          <w:tcPr>
            <w:tcW w:w="1906" w:type="dxa"/>
            <w:tcBorders>
              <w:left w:val="single" w:color="auto" w:sz="4" w:space="0"/>
              <w:bottom w:val="single" w:color="auto" w:sz="4" w:space="0"/>
            </w:tcBorders>
            <w:shd w:val="clear" w:color="auto" w:fill="FFFFFF"/>
            <w:vAlign w:val="center"/>
          </w:tcPr>
          <w:p w14:paraId="7BAA3D32">
            <w:pPr>
              <w:pStyle w:val="32"/>
              <w:spacing w:line="400" w:lineRule="exact"/>
              <w:ind w:firstLine="420" w:firstLineChars="200"/>
              <w:jc w:val="both"/>
              <w:rPr>
                <w:sz w:val="21"/>
                <w:szCs w:val="21"/>
              </w:rPr>
            </w:pPr>
            <w:r>
              <w:rPr>
                <w:b/>
                <w:bCs/>
                <w:color w:val="000000"/>
                <w:sz w:val="21"/>
                <w:szCs w:val="21"/>
                <w:lang w:val="en-US" w:eastAsia="en-US" w:bidi="en-US"/>
              </w:rPr>
              <w:t>1928.</w:t>
            </w:r>
            <w:r>
              <w:rPr>
                <w:b/>
                <w:bCs/>
                <w:color w:val="000000"/>
                <w:sz w:val="21"/>
                <w:szCs w:val="21"/>
              </w:rPr>
              <w:t>4</w:t>
            </w:r>
          </w:p>
        </w:tc>
        <w:tc>
          <w:tcPr>
            <w:tcW w:w="1747" w:type="dxa"/>
            <w:tcBorders>
              <w:left w:val="single" w:color="auto" w:sz="4" w:space="0"/>
              <w:bottom w:val="single" w:color="auto" w:sz="4" w:space="0"/>
            </w:tcBorders>
            <w:shd w:val="clear" w:color="auto" w:fill="FFFFFF"/>
            <w:vAlign w:val="center"/>
          </w:tcPr>
          <w:p w14:paraId="7B429DFB">
            <w:pPr>
              <w:pStyle w:val="32"/>
              <w:spacing w:line="400" w:lineRule="exact"/>
              <w:ind w:firstLine="420" w:firstLineChars="200"/>
              <w:jc w:val="both"/>
              <w:rPr>
                <w:sz w:val="21"/>
                <w:szCs w:val="21"/>
              </w:rPr>
            </w:pPr>
            <w:r>
              <w:rPr>
                <w:b/>
                <w:bCs/>
                <w:color w:val="000000"/>
                <w:sz w:val="21"/>
                <w:szCs w:val="21"/>
              </w:rPr>
              <w:t>16175</w:t>
            </w:r>
          </w:p>
        </w:tc>
        <w:tc>
          <w:tcPr>
            <w:tcW w:w="2674" w:type="dxa"/>
            <w:tcBorders>
              <w:left w:val="single" w:color="auto" w:sz="4" w:space="0"/>
              <w:bottom w:val="single" w:color="auto" w:sz="4" w:space="0"/>
            </w:tcBorders>
            <w:shd w:val="clear" w:color="auto" w:fill="FFFFFF"/>
            <w:vAlign w:val="center"/>
          </w:tcPr>
          <w:p w14:paraId="576700A7">
            <w:pPr>
              <w:pStyle w:val="32"/>
              <w:spacing w:line="400" w:lineRule="exact"/>
              <w:ind w:firstLine="420" w:firstLineChars="200"/>
              <w:jc w:val="both"/>
              <w:rPr>
                <w:sz w:val="21"/>
                <w:szCs w:val="21"/>
              </w:rPr>
            </w:pPr>
            <w:r>
              <w:rPr>
                <w:b/>
                <w:bCs/>
                <w:color w:val="000000"/>
                <w:sz w:val="21"/>
                <w:szCs w:val="21"/>
                <w:lang w:val="en-US" w:eastAsia="en-US" w:bidi="en-US"/>
              </w:rPr>
              <w:t>11.92</w:t>
            </w:r>
          </w:p>
        </w:tc>
      </w:tr>
    </w:tbl>
    <w:p w14:paraId="144AFFDE">
      <w:pPr>
        <w:pStyle w:val="33"/>
        <w:spacing w:line="400" w:lineRule="exact"/>
        <w:ind w:firstLine="420" w:firstLineChars="200"/>
        <w:jc w:val="both"/>
        <w:rPr>
          <w:sz w:val="21"/>
          <w:szCs w:val="21"/>
        </w:rPr>
      </w:pPr>
      <w:r>
        <w:rPr>
          <w:color w:val="000000"/>
          <w:sz w:val="21"/>
          <w:szCs w:val="21"/>
        </w:rPr>
        <w:t>数据来源：根据中国国家统计局、国家外汇管理局网站公布数据。</w:t>
      </w:r>
    </w:p>
    <w:p w14:paraId="4647AA97">
      <w:pPr>
        <w:spacing w:line="400" w:lineRule="exact"/>
        <w:ind w:firstLine="420" w:firstLineChars="200"/>
        <w:rPr>
          <w:rFonts w:ascii="宋体" w:hAnsi="宋体" w:eastAsia="宋体"/>
          <w:szCs w:val="21"/>
        </w:rPr>
      </w:pPr>
    </w:p>
    <w:p w14:paraId="7238C0F5">
      <w:pPr>
        <w:pStyle w:val="21"/>
        <w:spacing w:line="400" w:lineRule="exact"/>
        <w:ind w:firstLine="420" w:firstLineChars="200"/>
        <w:jc w:val="both"/>
        <w:rPr>
          <w:sz w:val="21"/>
          <w:szCs w:val="21"/>
        </w:rPr>
      </w:pPr>
      <w:r>
        <w:rPr>
          <w:color w:val="000000"/>
          <w:sz w:val="21"/>
          <w:szCs w:val="21"/>
        </w:rPr>
        <w:t>其次，我国外汇储备结构不合理。对外贸易中产生的巨额外汇储备,因对外直接投资时受西方国家限制，只能投资于美国等发达资本主义国家的政府和企业债券。我国近年来已经成为美国的</w:t>
      </w:r>
      <w:r>
        <w:rPr>
          <w:color w:val="000000"/>
          <w:sz w:val="21"/>
          <w:szCs w:val="21"/>
          <w:lang w:val="zh-CN" w:eastAsia="zh-CN" w:bidi="zh-CN"/>
        </w:rPr>
        <w:t>“头</w:t>
      </w:r>
      <w:r>
        <w:rPr>
          <w:color w:val="000000"/>
          <w:sz w:val="21"/>
          <w:szCs w:val="21"/>
        </w:rPr>
        <w:t>号债主”，据美国《华盛顿日报》</w:t>
      </w:r>
      <w:r>
        <w:rPr>
          <w:rFonts w:cs="Times New Roman"/>
          <w:b/>
          <w:bCs/>
          <w:color w:val="000000"/>
          <w:sz w:val="21"/>
          <w:szCs w:val="21"/>
        </w:rPr>
        <w:t>2010</w:t>
      </w:r>
      <w:r>
        <w:rPr>
          <w:color w:val="000000"/>
          <w:sz w:val="21"/>
          <w:szCs w:val="21"/>
        </w:rPr>
        <w:t>年</w:t>
      </w:r>
      <w:r>
        <w:rPr>
          <w:rFonts w:cs="Times New Roman"/>
          <w:b/>
          <w:bCs/>
          <w:color w:val="000000"/>
          <w:sz w:val="21"/>
          <w:szCs w:val="21"/>
        </w:rPr>
        <w:t>12</w:t>
      </w:r>
      <w:r>
        <w:rPr>
          <w:color w:val="000000"/>
          <w:sz w:val="21"/>
          <w:szCs w:val="21"/>
        </w:rPr>
        <w:t>月</w:t>
      </w:r>
      <w:r>
        <w:rPr>
          <w:rFonts w:cs="Times New Roman"/>
          <w:b/>
          <w:bCs/>
          <w:color w:val="000000"/>
          <w:sz w:val="21"/>
          <w:szCs w:val="21"/>
        </w:rPr>
        <w:t>16</w:t>
      </w:r>
      <w:r>
        <w:rPr>
          <w:color w:val="000000"/>
          <w:sz w:val="21"/>
          <w:szCs w:val="21"/>
        </w:rPr>
        <w:t>日转述美国财政部月度国际资本的报告,</w:t>
      </w:r>
      <w:r>
        <w:rPr>
          <w:rStyle w:val="28"/>
          <w:sz w:val="21"/>
          <w:szCs w:val="21"/>
        </w:rPr>
        <w:t>截至当年</w:t>
      </w:r>
      <w:r>
        <w:rPr>
          <w:rStyle w:val="28"/>
          <w:rFonts w:cs="Times New Roman"/>
          <w:bCs/>
          <w:sz w:val="21"/>
          <w:szCs w:val="21"/>
        </w:rPr>
        <w:t>10</w:t>
      </w:r>
      <w:r>
        <w:rPr>
          <w:rStyle w:val="28"/>
          <w:sz w:val="21"/>
          <w:szCs w:val="21"/>
        </w:rPr>
        <w:t>月，我国所持美国国债总额高达</w:t>
      </w:r>
      <w:r>
        <w:rPr>
          <w:rStyle w:val="28"/>
          <w:rFonts w:cs="Times New Roman"/>
          <w:bCs/>
          <w:sz w:val="21"/>
          <w:szCs w:val="21"/>
        </w:rPr>
        <w:t>9048</w:t>
      </w:r>
      <w:r>
        <w:rPr>
          <w:rStyle w:val="28"/>
          <w:sz w:val="21"/>
          <w:szCs w:val="21"/>
        </w:rPr>
        <w:t>亿美元。</w:t>
      </w:r>
      <w:r>
        <w:rPr>
          <w:rStyle w:val="20"/>
          <w:rFonts w:ascii="宋体" w:hAnsi="宋体" w:eastAsia="宋体"/>
          <w:sz w:val="21"/>
          <w:szCs w:val="21"/>
        </w:rPr>
        <w:footnoteReference w:id="489"/>
      </w:r>
      <w:r>
        <w:rPr>
          <w:rStyle w:val="28"/>
          <w:sz w:val="21"/>
          <w:szCs w:val="21"/>
        </w:rPr>
        <w:t>由于我国外汇储备存在形式相对单一和相对集中，使外汇风险也相对增大。</w:t>
      </w:r>
    </w:p>
    <w:p w14:paraId="4EE97567">
      <w:pPr>
        <w:pStyle w:val="21"/>
        <w:spacing w:line="400" w:lineRule="exact"/>
        <w:ind w:firstLine="420" w:firstLineChars="200"/>
        <w:jc w:val="both"/>
        <w:rPr>
          <w:sz w:val="21"/>
          <w:szCs w:val="21"/>
        </w:rPr>
      </w:pPr>
      <w:r>
        <w:rPr>
          <w:color w:val="000000"/>
          <w:sz w:val="21"/>
          <w:szCs w:val="21"/>
        </w:rPr>
        <w:t>外汇储备相对于经济总量规模过高和结构上的不合理，在实践上会导致一系列难题。</w:t>
      </w:r>
    </w:p>
    <w:p w14:paraId="1FFEDF87">
      <w:pPr>
        <w:pStyle w:val="21"/>
        <w:numPr>
          <w:ilvl w:val="0"/>
          <w:numId w:val="12"/>
        </w:numPr>
        <w:tabs>
          <w:tab w:val="left" w:pos="716"/>
        </w:tabs>
        <w:spacing w:line="400" w:lineRule="exact"/>
        <w:ind w:firstLine="420" w:firstLineChars="200"/>
        <w:jc w:val="both"/>
        <w:rPr>
          <w:sz w:val="21"/>
          <w:szCs w:val="21"/>
        </w:rPr>
      </w:pPr>
      <w:r>
        <w:rPr>
          <w:color w:val="000000"/>
          <w:sz w:val="21"/>
          <w:szCs w:val="21"/>
        </w:rPr>
        <w:t>加大人民币升值压力。在美元为储备主体且美国是主要贸易对象的情况下，我国外汇储备规模过大，使人民币面临较大的升值压力。本来,将贸易问题与人民币汇率挂钩并没有依据，</w:t>
      </w:r>
      <w:r>
        <w:rPr>
          <w:rFonts w:cs="Times New Roman"/>
          <w:b/>
          <w:bCs/>
          <w:color w:val="000000"/>
          <w:sz w:val="21"/>
          <w:szCs w:val="21"/>
        </w:rPr>
        <w:t>2005</w:t>
      </w:r>
      <w:r>
        <w:rPr>
          <w:color w:val="000000"/>
          <w:sz w:val="21"/>
          <w:szCs w:val="21"/>
        </w:rPr>
        <w:t>年我国进行汇率改革以来，人民币汇率已累计上升约</w:t>
      </w:r>
      <w:r>
        <w:rPr>
          <w:rFonts w:cs="Times New Roman"/>
          <w:b/>
          <w:bCs/>
          <w:color w:val="000000"/>
          <w:sz w:val="21"/>
          <w:szCs w:val="21"/>
        </w:rPr>
        <w:t>25%,</w:t>
      </w:r>
      <w:r>
        <w:rPr>
          <w:color w:val="000000"/>
          <w:sz w:val="21"/>
          <w:szCs w:val="21"/>
        </w:rPr>
        <w:t>但外贸顺差仍然在急剧增加，汇率并不是造成贸易失衡的主要原因。但西方国家却将两者挂钩，目前我国的“外汇储备过万亿”,已经被美国等发达国家看作是人民币币值低估的最具体表现。在这一借口下，美国等国家已经开始更加强硬地要求人民币升值，并且以各种制裁措施相威胁，导致我国商品出口遭遇较多的贸易摩擦和贸易壁垒，在个别情况下还会激化贸易争端。</w:t>
      </w:r>
    </w:p>
    <w:p w14:paraId="1FD2DFA6">
      <w:pPr>
        <w:pStyle w:val="21"/>
        <w:numPr>
          <w:ilvl w:val="0"/>
          <w:numId w:val="12"/>
        </w:numPr>
        <w:tabs>
          <w:tab w:val="left" w:pos="711"/>
        </w:tabs>
        <w:spacing w:line="400" w:lineRule="exact"/>
        <w:ind w:firstLine="420" w:firstLineChars="200"/>
        <w:jc w:val="both"/>
        <w:rPr>
          <w:sz w:val="21"/>
          <w:szCs w:val="21"/>
        </w:rPr>
      </w:pPr>
      <w:r>
        <w:rPr>
          <w:color w:val="000000"/>
          <w:sz w:val="21"/>
          <w:szCs w:val="21"/>
        </w:rPr>
        <w:t>加大国内宏观调控难度。外汇储备规模过大的一个直接影响，就是通过货币传导机制干扰国内的经济平稳运行。在现有结售汇制度下，我国的外汇储备管理制度实际上已经导致了人民币的超额发行，并容易使中央银行货币的政策独立性落空。它对国内经济生活的消极影响：一是会引起国内流动性过剩，使资产价格过度上涨，加大经济泡沫风险；二是促使国内非理性投资活动膨胀，扰乱正常的投资活动和生产经营；三是扭曲价格机制，削弱市场配置资源的功能。这些因素，在客观上都加大了我国宏观调控的难度。</w:t>
      </w:r>
    </w:p>
    <w:p w14:paraId="7A8059C0">
      <w:pPr>
        <w:pStyle w:val="21"/>
        <w:numPr>
          <w:ilvl w:val="0"/>
          <w:numId w:val="12"/>
        </w:numPr>
        <w:tabs>
          <w:tab w:val="left" w:pos="721"/>
        </w:tabs>
        <w:spacing w:line="400" w:lineRule="exact"/>
        <w:ind w:firstLine="420" w:firstLineChars="200"/>
        <w:jc w:val="both"/>
        <w:rPr>
          <w:sz w:val="21"/>
          <w:szCs w:val="21"/>
        </w:rPr>
      </w:pPr>
      <w:r>
        <w:rPr>
          <w:color w:val="000000"/>
          <w:sz w:val="21"/>
          <w:szCs w:val="21"/>
        </w:rPr>
        <w:t>导致国民财富大量流失。虽然自人民币汇率改革以来，我国外汇储备已经开始转向一揽子储备方式，但其中美元储备还是大头，外汇储备结构不合理的情况仍没有根本改变，为我国国民财富流失埋下了隐患。外汇储备过高带来的国民财富损失主要通过两种方式：间接方式和直接方式。间接流失主要体现为外汇贬值带来的损失。截至</w:t>
      </w:r>
      <w:r>
        <w:rPr>
          <w:rFonts w:cs="Times New Roman"/>
          <w:b/>
          <w:bCs/>
          <w:color w:val="000000"/>
          <w:sz w:val="21"/>
          <w:szCs w:val="21"/>
        </w:rPr>
        <w:t>2009</w:t>
      </w:r>
      <w:r>
        <w:rPr>
          <w:color w:val="000000"/>
          <w:sz w:val="21"/>
          <w:szCs w:val="21"/>
        </w:rPr>
        <w:t>年末，中国持有美国国债</w:t>
      </w:r>
      <w:r>
        <w:rPr>
          <w:rFonts w:cs="Times New Roman"/>
          <w:b/>
          <w:bCs/>
          <w:color w:val="000000"/>
          <w:sz w:val="21"/>
          <w:szCs w:val="21"/>
        </w:rPr>
        <w:t>8948</w:t>
      </w:r>
      <w:r>
        <w:rPr>
          <w:color w:val="000000"/>
          <w:sz w:val="21"/>
          <w:szCs w:val="21"/>
        </w:rPr>
        <w:t>亿美元，比美国国债第二大买主日本持有的</w:t>
      </w:r>
      <w:r>
        <w:rPr>
          <w:rFonts w:cs="Times New Roman"/>
          <w:b/>
          <w:bCs/>
          <w:color w:val="000000"/>
          <w:sz w:val="21"/>
          <w:szCs w:val="21"/>
        </w:rPr>
        <w:t>7688</w:t>
      </w:r>
      <w:r>
        <w:rPr>
          <w:color w:val="000000"/>
          <w:sz w:val="21"/>
          <w:szCs w:val="21"/>
        </w:rPr>
        <w:t>亿美元还多出</w:t>
      </w:r>
      <w:r>
        <w:rPr>
          <w:rFonts w:cs="Times New Roman"/>
          <w:b/>
          <w:bCs/>
          <w:color w:val="000000"/>
          <w:sz w:val="21"/>
          <w:szCs w:val="21"/>
        </w:rPr>
        <w:t>1260</w:t>
      </w:r>
      <w:r>
        <w:rPr>
          <w:color w:val="000000"/>
          <w:sz w:val="21"/>
          <w:szCs w:val="21"/>
        </w:rPr>
        <w:t>亿美元。</w:t>
      </w:r>
      <w:r>
        <w:rPr>
          <w:rStyle w:val="20"/>
          <w:rFonts w:ascii="宋体" w:hAnsi="宋体" w:eastAsia="宋体"/>
          <w:sz w:val="21"/>
          <w:szCs w:val="21"/>
        </w:rPr>
        <w:footnoteReference w:id="490"/>
      </w:r>
      <w:r>
        <w:rPr>
          <w:color w:val="000000"/>
          <w:sz w:val="21"/>
          <w:szCs w:val="21"/>
        </w:rPr>
        <w:t>由于中国成为美国国债第一大买主，因此,日趋走低的美元汇率，也使中国成为外汇储备贬值损失最大的国家，而美国则从中国外汇贬值中受益：根据美国国会研究局</w:t>
      </w:r>
      <w:r>
        <w:rPr>
          <w:rFonts w:cs="Times New Roman"/>
          <w:b/>
          <w:bCs/>
          <w:color w:val="000000"/>
          <w:sz w:val="21"/>
          <w:szCs w:val="21"/>
        </w:rPr>
        <w:t>2009</w:t>
      </w:r>
      <w:r>
        <w:rPr>
          <w:color w:val="000000"/>
          <w:sz w:val="21"/>
          <w:szCs w:val="21"/>
        </w:rPr>
        <w:t>年</w:t>
      </w:r>
      <w:r>
        <w:rPr>
          <w:rFonts w:cs="Times New Roman"/>
          <w:b/>
          <w:bCs/>
          <w:color w:val="000000"/>
          <w:sz w:val="21"/>
          <w:szCs w:val="21"/>
        </w:rPr>
        <w:t>7</w:t>
      </w:r>
      <w:r>
        <w:rPr>
          <w:color w:val="000000"/>
          <w:sz w:val="21"/>
          <w:szCs w:val="21"/>
        </w:rPr>
        <w:t>月发布的报告，如果没有中国大规模购买美国国债，美国利率将提高</w:t>
      </w:r>
      <w:r>
        <w:rPr>
          <w:rFonts w:cs="Times New Roman"/>
          <w:b/>
          <w:bCs/>
          <w:color w:val="000000"/>
          <w:sz w:val="21"/>
          <w:szCs w:val="21"/>
          <w:lang w:val="en-US" w:eastAsia="zh-CN" w:bidi="en-US"/>
        </w:rPr>
        <w:t>0.5</w:t>
      </w:r>
      <w:r>
        <w:rPr>
          <w:color w:val="000000"/>
          <w:sz w:val="21"/>
          <w:szCs w:val="21"/>
        </w:rPr>
        <w:t>个百分点，相应需要多支出国债利息约</w:t>
      </w:r>
      <w:r>
        <w:rPr>
          <w:rFonts w:cs="Times New Roman"/>
          <w:b/>
          <w:bCs/>
          <w:color w:val="000000"/>
          <w:sz w:val="21"/>
          <w:szCs w:val="21"/>
        </w:rPr>
        <w:t>616</w:t>
      </w:r>
      <w:r>
        <w:rPr>
          <w:color w:val="000000"/>
          <w:sz w:val="21"/>
          <w:szCs w:val="21"/>
        </w:rPr>
        <w:t>亿美元。</w:t>
      </w:r>
      <w:r>
        <w:rPr>
          <w:rStyle w:val="20"/>
          <w:rFonts w:ascii="宋体" w:hAnsi="宋体" w:eastAsia="宋体"/>
          <w:sz w:val="21"/>
          <w:szCs w:val="21"/>
        </w:rPr>
        <w:footnoteReference w:id="491"/>
      </w:r>
      <w:r>
        <w:rPr>
          <w:color w:val="000000"/>
          <w:sz w:val="21"/>
          <w:szCs w:val="21"/>
        </w:rPr>
        <w:t>从直接损失来看，</w:t>
      </w:r>
      <w:r>
        <w:rPr>
          <w:rFonts w:cs="Times New Roman"/>
          <w:b/>
          <w:bCs/>
          <w:color w:val="000000"/>
          <w:sz w:val="21"/>
          <w:szCs w:val="21"/>
        </w:rPr>
        <w:t>2008</w:t>
      </w:r>
      <w:r>
        <w:rPr>
          <w:color w:val="000000"/>
          <w:sz w:val="21"/>
          <w:szCs w:val="21"/>
        </w:rPr>
        <w:t>年中国持有美国债券组合投资</w:t>
      </w:r>
      <w:r>
        <w:rPr>
          <w:rFonts w:cs="Times New Roman"/>
          <w:b/>
          <w:bCs/>
          <w:color w:val="000000"/>
          <w:sz w:val="21"/>
          <w:szCs w:val="21"/>
          <w:lang w:val="en-US" w:eastAsia="zh-CN" w:bidi="en-US"/>
        </w:rPr>
        <w:t>1.06</w:t>
      </w:r>
      <w:r>
        <w:rPr>
          <w:color w:val="000000"/>
          <w:sz w:val="21"/>
          <w:szCs w:val="21"/>
        </w:rPr>
        <w:t>万亿美元，除了</w:t>
      </w:r>
      <w:r>
        <w:rPr>
          <w:rFonts w:cs="Times New Roman"/>
          <w:b/>
          <w:bCs/>
          <w:color w:val="000000"/>
          <w:sz w:val="21"/>
          <w:szCs w:val="21"/>
        </w:rPr>
        <w:t>51%</w:t>
      </w:r>
      <w:r>
        <w:rPr>
          <w:color w:val="000000"/>
          <w:sz w:val="21"/>
          <w:szCs w:val="21"/>
        </w:rPr>
        <w:t>美国国债外,还有</w:t>
      </w:r>
      <w:r>
        <w:rPr>
          <w:rFonts w:cs="Times New Roman"/>
          <w:b/>
          <w:bCs/>
          <w:color w:val="000000"/>
          <w:sz w:val="21"/>
          <w:szCs w:val="21"/>
        </w:rPr>
        <w:t>42%</w:t>
      </w:r>
      <w:r>
        <w:rPr>
          <w:color w:val="000000"/>
          <w:sz w:val="21"/>
          <w:szCs w:val="21"/>
        </w:rPr>
        <w:t>为政府相关企业债券，</w:t>
      </w:r>
      <w:r>
        <w:rPr>
          <w:rFonts w:cs="Times New Roman"/>
          <w:b/>
          <w:bCs/>
          <w:color w:val="000000"/>
          <w:sz w:val="21"/>
          <w:szCs w:val="21"/>
        </w:rPr>
        <w:t>7%</w:t>
      </w:r>
      <w:r>
        <w:rPr>
          <w:color w:val="000000"/>
          <w:sz w:val="21"/>
          <w:szCs w:val="21"/>
        </w:rPr>
        <w:t>为企业债券，其中包括大量的资产支持证券和抵押债务证券。仅我国持有的</w:t>
      </w:r>
      <w:r>
        <w:rPr>
          <w:color w:val="000000"/>
          <w:sz w:val="21"/>
          <w:szCs w:val="21"/>
          <w:lang w:val="zh-CN" w:eastAsia="zh-CN" w:bidi="zh-CN"/>
        </w:rPr>
        <w:t>“二</w:t>
      </w:r>
      <w:r>
        <w:rPr>
          <w:color w:val="000000"/>
          <w:sz w:val="21"/>
          <w:szCs w:val="21"/>
        </w:rPr>
        <w:t>房”债券，就可能高达</w:t>
      </w:r>
      <w:r>
        <w:rPr>
          <w:rFonts w:cs="Times New Roman"/>
          <w:b/>
          <w:bCs/>
          <w:color w:val="000000"/>
          <w:sz w:val="21"/>
          <w:szCs w:val="21"/>
        </w:rPr>
        <w:t>3760</w:t>
      </w:r>
      <w:r>
        <w:rPr>
          <w:color w:val="000000"/>
          <w:sz w:val="21"/>
          <w:szCs w:val="21"/>
        </w:rPr>
        <w:t>亿美元。尽管我国海外投资损失的数据没有公开，但美国次贷危机后企业倒闭、破产和经济萧条等，直接使我国在美投资的债券，特别是资产支持证券和抵押债务证券遭受重创，使外汇储备蒙受了巨大的直接经济损失。</w:t>
      </w:r>
    </w:p>
    <w:p w14:paraId="69244FD7">
      <w:pPr>
        <w:pStyle w:val="21"/>
        <w:spacing w:line="400" w:lineRule="exact"/>
        <w:ind w:firstLine="420" w:firstLineChars="200"/>
        <w:jc w:val="both"/>
        <w:rPr>
          <w:sz w:val="21"/>
          <w:szCs w:val="21"/>
        </w:rPr>
      </w:pPr>
      <w:r>
        <w:rPr>
          <w:color w:val="000000"/>
          <w:sz w:val="21"/>
          <w:szCs w:val="21"/>
        </w:rPr>
        <w:t>外汇储备结构不合理，还导致人民币面临着进一步的贬值风险。本来，金融危机爆发后，美国为应对金融危机通过了所谓的巨额救市法案,其近</w:t>
      </w:r>
      <w:r>
        <w:rPr>
          <w:rFonts w:cs="Times New Roman"/>
          <w:b/>
          <w:bCs/>
          <w:color w:val="000000"/>
          <w:sz w:val="21"/>
          <w:szCs w:val="21"/>
        </w:rPr>
        <w:t>8000</w:t>
      </w:r>
      <w:r>
        <w:rPr>
          <w:color w:val="000000"/>
          <w:sz w:val="21"/>
          <w:szCs w:val="21"/>
        </w:rPr>
        <w:t>亿美元救市资金中的很大一部分，主要通过发行债券来筹集。而继</w:t>
      </w:r>
      <w:r>
        <w:rPr>
          <w:rFonts w:cs="Times New Roman"/>
          <w:b/>
          <w:bCs/>
          <w:color w:val="000000"/>
          <w:sz w:val="21"/>
          <w:szCs w:val="21"/>
        </w:rPr>
        <w:t>2009</w:t>
      </w:r>
      <w:r>
        <w:rPr>
          <w:color w:val="000000"/>
          <w:sz w:val="21"/>
          <w:szCs w:val="21"/>
        </w:rPr>
        <w:t>年</w:t>
      </w:r>
      <w:r>
        <w:rPr>
          <w:rFonts w:cs="Times New Roman"/>
          <w:b/>
          <w:bCs/>
          <w:color w:val="000000"/>
          <w:sz w:val="21"/>
          <w:szCs w:val="21"/>
        </w:rPr>
        <w:t>3</w:t>
      </w:r>
      <w:r>
        <w:rPr>
          <w:color w:val="000000"/>
          <w:sz w:val="21"/>
          <w:szCs w:val="21"/>
        </w:rPr>
        <w:t>月</w:t>
      </w:r>
      <w:r>
        <w:rPr>
          <w:rFonts w:cs="Times New Roman"/>
          <w:b/>
          <w:bCs/>
          <w:color w:val="000000"/>
          <w:sz w:val="21"/>
          <w:szCs w:val="21"/>
        </w:rPr>
        <w:t>18</w:t>
      </w:r>
      <w:r>
        <w:rPr>
          <w:color w:val="000000"/>
          <w:sz w:val="21"/>
          <w:szCs w:val="21"/>
        </w:rPr>
        <w:t>日美联储首次实施量化宽松货币政策不久，</w:t>
      </w:r>
      <w:r>
        <w:rPr>
          <w:rFonts w:cs="Times New Roman"/>
          <w:b/>
          <w:bCs/>
          <w:color w:val="000000"/>
          <w:sz w:val="21"/>
          <w:szCs w:val="21"/>
        </w:rPr>
        <w:t>2010</w:t>
      </w:r>
      <w:r>
        <w:rPr>
          <w:color w:val="000000"/>
          <w:sz w:val="21"/>
          <w:szCs w:val="21"/>
        </w:rPr>
        <w:t>年</w:t>
      </w:r>
      <w:r>
        <w:rPr>
          <w:rFonts w:cs="Times New Roman"/>
          <w:b/>
          <w:bCs/>
          <w:color w:val="000000"/>
          <w:sz w:val="21"/>
          <w:szCs w:val="21"/>
        </w:rPr>
        <w:t>11</w:t>
      </w:r>
      <w:r>
        <w:rPr>
          <w:color w:val="000000"/>
          <w:sz w:val="21"/>
          <w:szCs w:val="21"/>
        </w:rPr>
        <w:t>月初，美联储又推出了第二轮量化宽松政策，继续向市场大量注入货币。这些措施已经导致中国外汇储备因贬值而损失较大。最近美联储主席伯南克又表示，不排除推出第三轮的量化宽松政策。据部分学者估计,美国为保证经济增长并避免通货紧缩，将不得不启动新的量化宽松政策。</w:t>
      </w:r>
      <w:r>
        <w:rPr>
          <w:rStyle w:val="20"/>
          <w:rFonts w:ascii="宋体" w:hAnsi="宋体" w:eastAsia="宋体"/>
          <w:sz w:val="21"/>
          <w:szCs w:val="21"/>
        </w:rPr>
        <w:footnoteReference w:id="492"/>
      </w:r>
      <w:r>
        <w:rPr>
          <w:color w:val="000000"/>
          <w:sz w:val="21"/>
          <w:szCs w:val="21"/>
        </w:rPr>
        <w:t>如果这一趋势延续下去，随着美元大幅度贬值和全球大宗商品价格上扬，我国美元资产收益将进一步降低，外汇储备面临的损失和风险也将日益加大。</w:t>
      </w:r>
    </w:p>
    <w:p w14:paraId="40942089">
      <w:pPr>
        <w:pStyle w:val="21"/>
        <w:spacing w:line="400" w:lineRule="exact"/>
        <w:ind w:firstLine="420" w:firstLineChars="200"/>
        <w:jc w:val="both"/>
        <w:rPr>
          <w:b/>
          <w:bCs/>
          <w:sz w:val="21"/>
          <w:szCs w:val="21"/>
        </w:rPr>
      </w:pPr>
      <w:r>
        <w:rPr>
          <w:b/>
          <w:bCs/>
          <w:color w:val="000000"/>
          <w:sz w:val="21"/>
          <w:szCs w:val="21"/>
        </w:rPr>
        <w:t>（五）外贸规模过大导致的经济运行风险</w:t>
      </w:r>
    </w:p>
    <w:p w14:paraId="270B2208">
      <w:pPr>
        <w:pStyle w:val="21"/>
        <w:spacing w:line="400" w:lineRule="exact"/>
        <w:ind w:firstLine="420" w:firstLineChars="200"/>
        <w:jc w:val="both"/>
        <w:rPr>
          <w:sz w:val="21"/>
          <w:szCs w:val="21"/>
        </w:rPr>
      </w:pPr>
      <w:r>
        <w:rPr>
          <w:color w:val="000000"/>
          <w:sz w:val="21"/>
          <w:szCs w:val="21"/>
        </w:rPr>
        <w:t>对外贸易依存度是指在一定时期内（通常为一年）一国或地区的进出</w:t>
      </w:r>
      <w:r>
        <w:rPr>
          <w:rStyle w:val="28"/>
          <w:sz w:val="21"/>
          <w:szCs w:val="21"/>
        </w:rPr>
        <w:t>口贸易总值占其国内生产总值或国民生产总值的比重，是衡量一国经济发展对对外贸易依赖程度的重要指标。改革开放以来，我国对外贸易规模逐年扩大。进出口总额从</w:t>
      </w:r>
      <w:r>
        <w:rPr>
          <w:rStyle w:val="28"/>
          <w:rFonts w:cs="Times New Roman"/>
          <w:bCs/>
          <w:sz w:val="21"/>
          <w:szCs w:val="21"/>
        </w:rPr>
        <w:t>1978</w:t>
      </w:r>
      <w:r>
        <w:rPr>
          <w:rStyle w:val="28"/>
          <w:sz w:val="21"/>
          <w:szCs w:val="21"/>
        </w:rPr>
        <w:t>年的</w:t>
      </w:r>
      <w:r>
        <w:rPr>
          <w:rStyle w:val="28"/>
          <w:rFonts w:cs="Times New Roman"/>
          <w:bCs/>
          <w:sz w:val="21"/>
          <w:szCs w:val="21"/>
        </w:rPr>
        <w:t>206</w:t>
      </w:r>
      <w:r>
        <w:rPr>
          <w:rStyle w:val="28"/>
          <w:sz w:val="21"/>
          <w:szCs w:val="21"/>
        </w:rPr>
        <w:t>亿美元，发展到</w:t>
      </w:r>
      <w:r>
        <w:rPr>
          <w:rStyle w:val="28"/>
          <w:rFonts w:cs="Times New Roman"/>
          <w:bCs/>
          <w:sz w:val="21"/>
          <w:szCs w:val="21"/>
        </w:rPr>
        <w:t>2008</w:t>
      </w:r>
      <w:r>
        <w:rPr>
          <w:rStyle w:val="28"/>
          <w:sz w:val="21"/>
          <w:szCs w:val="21"/>
        </w:rPr>
        <w:t>年的</w:t>
      </w:r>
      <w:r>
        <w:rPr>
          <w:rStyle w:val="28"/>
          <w:rFonts w:cs="Times New Roman"/>
          <w:bCs/>
          <w:sz w:val="21"/>
          <w:szCs w:val="21"/>
        </w:rPr>
        <w:t>25616</w:t>
      </w:r>
      <w:r>
        <w:rPr>
          <w:rStyle w:val="28"/>
          <w:sz w:val="21"/>
          <w:szCs w:val="21"/>
        </w:rPr>
        <w:t>亿美元，</w:t>
      </w:r>
      <w:r>
        <w:rPr>
          <w:rStyle w:val="28"/>
          <w:rFonts w:cs="Times New Roman"/>
          <w:bCs/>
          <w:sz w:val="21"/>
          <w:szCs w:val="21"/>
        </w:rPr>
        <w:t>30</w:t>
      </w:r>
      <w:r>
        <w:rPr>
          <w:rStyle w:val="28"/>
          <w:sz w:val="21"/>
          <w:szCs w:val="21"/>
        </w:rPr>
        <w:t>年增长了</w:t>
      </w:r>
      <w:r>
        <w:rPr>
          <w:rStyle w:val="28"/>
          <w:rFonts w:cs="Times New Roman"/>
          <w:bCs/>
          <w:sz w:val="21"/>
          <w:szCs w:val="21"/>
        </w:rPr>
        <w:t>124</w:t>
      </w:r>
      <w:r>
        <w:rPr>
          <w:rStyle w:val="28"/>
          <w:sz w:val="21"/>
          <w:szCs w:val="21"/>
        </w:rPr>
        <w:t>倍。相应的，我国的外贸依存度在</w:t>
      </w:r>
      <w:r>
        <w:rPr>
          <w:rStyle w:val="28"/>
          <w:rFonts w:cs="Times New Roman"/>
          <w:bCs/>
          <w:sz w:val="21"/>
          <w:szCs w:val="21"/>
        </w:rPr>
        <w:t>1978</w:t>
      </w:r>
      <w:r>
        <w:rPr>
          <w:rStyle w:val="28"/>
          <w:sz w:val="21"/>
          <w:szCs w:val="21"/>
        </w:rPr>
        <w:t>年时仅为</w:t>
      </w:r>
      <w:r>
        <w:rPr>
          <w:rStyle w:val="28"/>
          <w:rFonts w:cs="Times New Roman"/>
          <w:bCs/>
          <w:sz w:val="21"/>
          <w:szCs w:val="21"/>
          <w:lang w:val="en-US" w:eastAsia="zh-CN" w:bidi="en-US"/>
        </w:rPr>
        <w:t>9.</w:t>
      </w:r>
      <w:r>
        <w:rPr>
          <w:rStyle w:val="28"/>
          <w:rFonts w:cs="Times New Roman"/>
          <w:bCs/>
          <w:sz w:val="21"/>
          <w:szCs w:val="21"/>
        </w:rPr>
        <w:t>74%,2004</w:t>
      </w:r>
      <w:r>
        <w:rPr>
          <w:rStyle w:val="28"/>
          <w:sz w:val="21"/>
          <w:szCs w:val="21"/>
        </w:rPr>
        <w:t>年和</w:t>
      </w:r>
      <w:r>
        <w:rPr>
          <w:rStyle w:val="28"/>
          <w:rFonts w:cs="Times New Roman"/>
          <w:bCs/>
          <w:sz w:val="21"/>
          <w:szCs w:val="21"/>
        </w:rPr>
        <w:t>2005</w:t>
      </w:r>
      <w:r>
        <w:rPr>
          <w:rStyle w:val="28"/>
          <w:sz w:val="21"/>
          <w:szCs w:val="21"/>
        </w:rPr>
        <w:t>年最高峰值时曾一度高达</w:t>
      </w:r>
      <w:r>
        <w:rPr>
          <w:rStyle w:val="28"/>
          <w:rFonts w:cs="Times New Roman"/>
          <w:bCs/>
          <w:sz w:val="21"/>
          <w:szCs w:val="21"/>
        </w:rPr>
        <w:t>70%,2007</w:t>
      </w:r>
      <w:r>
        <w:rPr>
          <w:rStyle w:val="28"/>
          <w:sz w:val="21"/>
          <w:szCs w:val="21"/>
        </w:rPr>
        <w:t>年仍居于</w:t>
      </w:r>
      <w:r>
        <w:rPr>
          <w:rStyle w:val="28"/>
          <w:rFonts w:cs="Times New Roman"/>
          <w:bCs/>
          <w:sz w:val="21"/>
          <w:szCs w:val="21"/>
        </w:rPr>
        <w:t>66%</w:t>
      </w:r>
      <w:r>
        <w:rPr>
          <w:rStyle w:val="28"/>
          <w:sz w:val="21"/>
          <w:szCs w:val="21"/>
        </w:rPr>
        <w:t>的高位。</w:t>
      </w:r>
      <w:r>
        <w:rPr>
          <w:rStyle w:val="20"/>
          <w:rFonts w:ascii="宋体" w:hAnsi="宋体" w:eastAsia="宋体"/>
          <w:sz w:val="21"/>
          <w:szCs w:val="21"/>
        </w:rPr>
        <w:footnoteReference w:id="493"/>
      </w:r>
      <w:r>
        <w:rPr>
          <w:rStyle w:val="28"/>
          <w:sz w:val="21"/>
          <w:szCs w:val="21"/>
        </w:rPr>
        <w:t>国际金融危机爆发以来，这一指标开始下降，</w:t>
      </w:r>
      <w:r>
        <w:rPr>
          <w:rStyle w:val="28"/>
          <w:rFonts w:cs="Times New Roman"/>
          <w:bCs/>
          <w:sz w:val="21"/>
          <w:szCs w:val="21"/>
        </w:rPr>
        <w:t>2009</w:t>
      </w:r>
      <w:r>
        <w:rPr>
          <w:rStyle w:val="28"/>
          <w:sz w:val="21"/>
          <w:szCs w:val="21"/>
        </w:rPr>
        <w:t>年我国外贸依存度降到</w:t>
      </w:r>
      <w:r>
        <w:rPr>
          <w:rStyle w:val="28"/>
          <w:rFonts w:cs="Times New Roman"/>
          <w:bCs/>
          <w:sz w:val="21"/>
          <w:szCs w:val="21"/>
          <w:lang w:val="en-US" w:eastAsia="zh-CN" w:bidi="en-US"/>
        </w:rPr>
        <w:t>44.</w:t>
      </w:r>
      <w:r>
        <w:rPr>
          <w:rStyle w:val="28"/>
          <w:rFonts w:cs="Times New Roman"/>
          <w:bCs/>
          <w:sz w:val="21"/>
          <w:szCs w:val="21"/>
        </w:rPr>
        <w:t>9%</w:t>
      </w:r>
      <w:r>
        <w:rPr>
          <w:rStyle w:val="28"/>
          <w:rFonts w:cs="Times New Roman"/>
          <w:bCs/>
          <w:sz w:val="21"/>
          <w:szCs w:val="21"/>
          <w:vertAlign w:val="subscript"/>
        </w:rPr>
        <w:t>0</w:t>
      </w:r>
      <w:r>
        <w:rPr>
          <w:rStyle w:val="20"/>
          <w:rFonts w:ascii="宋体" w:hAnsi="宋体" w:eastAsia="宋体" w:cs="Times New Roman"/>
          <w:b/>
          <w:bCs/>
          <w:sz w:val="21"/>
          <w:szCs w:val="21"/>
        </w:rPr>
        <w:footnoteReference w:id="494"/>
      </w:r>
      <w:r>
        <w:rPr>
          <w:rStyle w:val="28"/>
          <w:sz w:val="21"/>
          <w:szCs w:val="21"/>
        </w:rPr>
        <w:t>但</w:t>
      </w:r>
      <w:r>
        <w:rPr>
          <w:rStyle w:val="28"/>
          <w:rFonts w:cs="Times New Roman"/>
          <w:bCs/>
          <w:sz w:val="21"/>
          <w:szCs w:val="21"/>
        </w:rPr>
        <w:t>2010</w:t>
      </w:r>
      <w:r>
        <w:rPr>
          <w:rStyle w:val="28"/>
          <w:sz w:val="21"/>
          <w:szCs w:val="21"/>
        </w:rPr>
        <w:t>年后，即使在人民币已经大幅度升值的情况下，我国外贸依存度又重拾升势。根据国家商务部发布的《中国对外贸易形势报告</w:t>
      </w:r>
      <w:r>
        <w:rPr>
          <w:rStyle w:val="28"/>
          <w:bCs/>
          <w:sz w:val="21"/>
          <w:szCs w:val="21"/>
        </w:rPr>
        <w:t>(</w:t>
      </w:r>
      <w:r>
        <w:rPr>
          <w:rStyle w:val="28"/>
          <w:rFonts w:cs="Times New Roman"/>
          <w:bCs/>
          <w:sz w:val="21"/>
          <w:szCs w:val="21"/>
        </w:rPr>
        <w:t>2010</w:t>
      </w:r>
      <w:r>
        <w:rPr>
          <w:rStyle w:val="28"/>
          <w:sz w:val="21"/>
          <w:szCs w:val="21"/>
        </w:rPr>
        <w:t>年秋季)》，</w:t>
      </w:r>
      <w:r>
        <w:rPr>
          <w:rStyle w:val="28"/>
          <w:rFonts w:cs="Times New Roman"/>
          <w:bCs/>
          <w:sz w:val="21"/>
          <w:szCs w:val="21"/>
        </w:rPr>
        <w:t>2010</w:t>
      </w:r>
      <w:r>
        <w:rPr>
          <w:rStyle w:val="28"/>
          <w:sz w:val="21"/>
          <w:szCs w:val="21"/>
        </w:rPr>
        <w:t>年前三季度进出口总额</w:t>
      </w:r>
      <w:r>
        <w:rPr>
          <w:rStyle w:val="28"/>
          <w:rFonts w:cs="Times New Roman"/>
          <w:bCs/>
          <w:sz w:val="21"/>
          <w:szCs w:val="21"/>
          <w:lang w:val="en-US" w:eastAsia="zh-CN" w:bidi="en-US"/>
        </w:rPr>
        <w:t>21486.8</w:t>
      </w:r>
      <w:r>
        <w:rPr>
          <w:rStyle w:val="28"/>
          <w:sz w:val="21"/>
          <w:szCs w:val="21"/>
        </w:rPr>
        <w:t>亿美元，比上年同期增长</w:t>
      </w:r>
      <w:r>
        <w:rPr>
          <w:rStyle w:val="28"/>
          <w:rFonts w:cs="Times New Roman"/>
          <w:bCs/>
          <w:sz w:val="21"/>
          <w:szCs w:val="21"/>
        </w:rPr>
        <w:t>37.9%</w:t>
      </w:r>
      <w:r>
        <w:rPr>
          <w:rStyle w:val="28"/>
          <w:bCs/>
          <w:sz w:val="21"/>
          <w:szCs w:val="21"/>
        </w:rPr>
        <w:t>；</w:t>
      </w:r>
      <w:r>
        <w:rPr>
          <w:rStyle w:val="20"/>
          <w:rFonts w:ascii="宋体" w:hAnsi="宋体" w:eastAsia="宋体"/>
          <w:b/>
          <w:bCs/>
          <w:sz w:val="21"/>
          <w:szCs w:val="21"/>
        </w:rPr>
        <w:footnoteReference w:id="495"/>
      </w:r>
      <w:r>
        <w:rPr>
          <w:rStyle w:val="28"/>
          <w:sz w:val="21"/>
          <w:szCs w:val="21"/>
        </w:rPr>
        <w:t>而国家统计局的数据表明，同期国内生产总值</w:t>
      </w:r>
      <w:r>
        <w:rPr>
          <w:rStyle w:val="28"/>
          <w:rFonts w:cs="Times New Roman"/>
          <w:bCs/>
          <w:sz w:val="21"/>
          <w:szCs w:val="21"/>
        </w:rPr>
        <w:t>268660</w:t>
      </w:r>
      <w:r>
        <w:rPr>
          <w:rStyle w:val="28"/>
          <w:sz w:val="21"/>
          <w:szCs w:val="21"/>
        </w:rPr>
        <w:t>亿元。</w:t>
      </w:r>
      <w:r>
        <w:rPr>
          <w:rStyle w:val="20"/>
          <w:rFonts w:ascii="宋体" w:hAnsi="宋体" w:eastAsia="宋体"/>
          <w:sz w:val="21"/>
          <w:szCs w:val="21"/>
        </w:rPr>
        <w:footnoteReference w:id="496"/>
      </w:r>
      <w:r>
        <w:rPr>
          <w:rStyle w:val="28"/>
          <w:sz w:val="21"/>
          <w:szCs w:val="21"/>
        </w:rPr>
        <w:t>换言之，国际金融危机冲击后，我国外贸依存度重新回到了</w:t>
      </w:r>
      <w:r>
        <w:rPr>
          <w:rStyle w:val="28"/>
          <w:rFonts w:cs="Times New Roman"/>
          <w:bCs/>
          <w:sz w:val="21"/>
          <w:szCs w:val="21"/>
          <w:lang w:val="en-US" w:eastAsia="zh-CN" w:bidi="en-US"/>
        </w:rPr>
        <w:t>53.</w:t>
      </w:r>
      <w:r>
        <w:rPr>
          <w:rStyle w:val="28"/>
          <w:rFonts w:cs="Times New Roman"/>
          <w:bCs/>
          <w:sz w:val="21"/>
          <w:szCs w:val="21"/>
        </w:rPr>
        <w:t>6%</w:t>
      </w:r>
      <w:r>
        <w:rPr>
          <w:rStyle w:val="28"/>
          <w:sz w:val="21"/>
          <w:szCs w:val="21"/>
        </w:rPr>
        <w:t>的较高水平。</w:t>
      </w:r>
    </w:p>
    <w:p w14:paraId="75942ECC">
      <w:pPr>
        <w:pStyle w:val="21"/>
        <w:spacing w:line="400" w:lineRule="exact"/>
        <w:ind w:firstLine="420" w:firstLineChars="200"/>
        <w:jc w:val="both"/>
        <w:rPr>
          <w:sz w:val="21"/>
          <w:szCs w:val="21"/>
        </w:rPr>
      </w:pPr>
      <w:r>
        <w:rPr>
          <w:color w:val="000000"/>
          <w:sz w:val="21"/>
          <w:szCs w:val="21"/>
        </w:rPr>
        <w:t>外贸依存度的高低，总是与各个经济体的规模及其所处的一定经济发展阶段相联系的。一般来说，经济大国、发达国家的外贸依存度相对较低(德国是个例外)，而小国、不发达国家的外贸依存度相对较高。</w:t>
      </w:r>
      <w:r>
        <w:rPr>
          <w:rStyle w:val="20"/>
          <w:rFonts w:ascii="宋体" w:hAnsi="宋体" w:eastAsia="宋体"/>
          <w:sz w:val="21"/>
          <w:szCs w:val="21"/>
        </w:rPr>
        <w:footnoteReference w:id="497"/>
      </w:r>
      <w:r>
        <w:rPr>
          <w:color w:val="000000"/>
          <w:sz w:val="21"/>
          <w:szCs w:val="21"/>
        </w:rPr>
        <w:t>但中国作为发展中大国，外贸依存度远远超越于一般发展中大国。仅以</w:t>
      </w:r>
      <w:r>
        <w:rPr>
          <w:rFonts w:cs="Times New Roman"/>
          <w:b/>
          <w:bCs/>
          <w:color w:val="000000"/>
          <w:sz w:val="21"/>
          <w:szCs w:val="21"/>
        </w:rPr>
        <w:t>2008</w:t>
      </w:r>
      <w:r>
        <w:rPr>
          <w:color w:val="000000"/>
          <w:sz w:val="21"/>
          <w:szCs w:val="21"/>
        </w:rPr>
        <w:t>年的数据进行比较，我国外贸依存度不仅高于发达国家，也高于发展中国家平均水乎。特别值得一提的是，与中国发展水平相近的印度和巴西，其外贸依存度要远远低于中国(见表</w:t>
      </w:r>
      <w:r>
        <w:rPr>
          <w:rFonts w:cs="Times New Roman"/>
          <w:b/>
          <w:bCs/>
          <w:color w:val="000000"/>
          <w:sz w:val="21"/>
          <w:szCs w:val="21"/>
        </w:rPr>
        <w:t>2)</w:t>
      </w:r>
      <w:r>
        <w:rPr>
          <w:color w:val="000000"/>
          <w:sz w:val="21"/>
          <w:szCs w:val="21"/>
        </w:rPr>
        <w:t>。</w:t>
      </w:r>
    </w:p>
    <w:p w14:paraId="15F9F458">
      <w:pPr>
        <w:pStyle w:val="29"/>
        <w:spacing w:after="0" w:line="400" w:lineRule="exact"/>
        <w:ind w:firstLine="280" w:firstLineChars="200"/>
        <w:jc w:val="both"/>
        <w:rPr>
          <w:rFonts w:ascii="宋体" w:hAnsi="宋体" w:eastAsia="宋体"/>
          <w:szCs w:val="21"/>
        </w:rPr>
      </w:pPr>
    </w:p>
    <w:tbl>
      <w:tblPr>
        <w:tblStyle w:val="17"/>
        <w:tblW w:w="0" w:type="auto"/>
        <w:tblInd w:w="0" w:type="dxa"/>
        <w:tblLayout w:type="fixed"/>
        <w:tblCellMar>
          <w:top w:w="0" w:type="dxa"/>
          <w:left w:w="10" w:type="dxa"/>
          <w:bottom w:w="0" w:type="dxa"/>
          <w:right w:w="10" w:type="dxa"/>
        </w:tblCellMar>
      </w:tblPr>
      <w:tblGrid>
        <w:gridCol w:w="835"/>
        <w:gridCol w:w="2064"/>
        <w:gridCol w:w="2064"/>
        <w:gridCol w:w="2198"/>
      </w:tblGrid>
      <w:tr w14:paraId="41AEE510">
        <w:trPr>
          <w:trHeight w:val="350" w:hRule="exact"/>
        </w:trPr>
        <w:tc>
          <w:tcPr>
            <w:tcW w:w="835" w:type="dxa"/>
            <w:tcBorders>
              <w:top w:val="single" w:color="auto" w:sz="4" w:space="0"/>
            </w:tcBorders>
            <w:shd w:val="clear" w:color="auto" w:fill="FFFFFF"/>
            <w:vAlign w:val="bottom"/>
          </w:tcPr>
          <w:p w14:paraId="3AFB57D3">
            <w:pPr>
              <w:pStyle w:val="32"/>
              <w:framePr w:w="7162" w:h="2381" w:vSpace="341" w:wrap="notBeside" w:vAnchor="text" w:hAnchor="text" w:x="25" w:y="342"/>
              <w:spacing w:line="400" w:lineRule="exact"/>
              <w:ind w:firstLine="420" w:firstLineChars="200"/>
              <w:jc w:val="both"/>
              <w:rPr>
                <w:sz w:val="21"/>
                <w:szCs w:val="21"/>
              </w:rPr>
            </w:pPr>
            <w:r>
              <w:rPr>
                <w:color w:val="000000"/>
                <w:sz w:val="21"/>
                <w:szCs w:val="21"/>
              </w:rPr>
              <w:t>国家</w:t>
            </w:r>
          </w:p>
        </w:tc>
        <w:tc>
          <w:tcPr>
            <w:tcW w:w="2064" w:type="dxa"/>
            <w:tcBorders>
              <w:top w:val="single" w:color="auto" w:sz="4" w:space="0"/>
              <w:left w:val="single" w:color="auto" w:sz="4" w:space="0"/>
            </w:tcBorders>
            <w:shd w:val="clear" w:color="auto" w:fill="FFFFFF"/>
            <w:vAlign w:val="bottom"/>
          </w:tcPr>
          <w:p w14:paraId="09E5328D">
            <w:pPr>
              <w:pStyle w:val="32"/>
              <w:framePr w:w="7162" w:h="2381" w:vSpace="341" w:wrap="notBeside" w:vAnchor="text" w:hAnchor="text" w:x="25" w:y="342"/>
              <w:spacing w:line="400" w:lineRule="exact"/>
              <w:ind w:firstLine="420" w:firstLineChars="200"/>
              <w:jc w:val="both"/>
              <w:rPr>
                <w:sz w:val="21"/>
                <w:szCs w:val="21"/>
              </w:rPr>
            </w:pPr>
            <w:r>
              <w:rPr>
                <w:color w:val="000000"/>
                <w:sz w:val="21"/>
                <w:szCs w:val="21"/>
              </w:rPr>
              <w:t>国内生产总值（亿美元）</w:t>
            </w:r>
          </w:p>
        </w:tc>
        <w:tc>
          <w:tcPr>
            <w:tcW w:w="2064" w:type="dxa"/>
            <w:tcBorders>
              <w:top w:val="single" w:color="auto" w:sz="4" w:space="0"/>
              <w:left w:val="single" w:color="auto" w:sz="4" w:space="0"/>
            </w:tcBorders>
            <w:shd w:val="clear" w:color="auto" w:fill="FFFFFF"/>
            <w:vAlign w:val="bottom"/>
          </w:tcPr>
          <w:p w14:paraId="353DA4DE">
            <w:pPr>
              <w:pStyle w:val="32"/>
              <w:framePr w:w="7162" w:h="2381" w:vSpace="341" w:wrap="notBeside" w:vAnchor="text" w:hAnchor="text" w:x="25" w:y="342"/>
              <w:spacing w:line="400" w:lineRule="exact"/>
              <w:ind w:firstLine="420" w:firstLineChars="200"/>
              <w:jc w:val="both"/>
              <w:rPr>
                <w:sz w:val="21"/>
                <w:szCs w:val="21"/>
              </w:rPr>
            </w:pPr>
            <w:r>
              <w:rPr>
                <w:color w:val="000000"/>
                <w:sz w:val="21"/>
                <w:szCs w:val="21"/>
              </w:rPr>
              <w:t>货物进出口总额（亿美元）</w:t>
            </w:r>
          </w:p>
        </w:tc>
        <w:tc>
          <w:tcPr>
            <w:tcW w:w="2198" w:type="dxa"/>
            <w:tcBorders>
              <w:top w:val="single" w:color="auto" w:sz="4" w:space="0"/>
              <w:left w:val="single" w:color="auto" w:sz="4" w:space="0"/>
            </w:tcBorders>
            <w:shd w:val="clear" w:color="auto" w:fill="FFFFFF"/>
            <w:vAlign w:val="bottom"/>
          </w:tcPr>
          <w:p w14:paraId="77660D9F">
            <w:pPr>
              <w:pStyle w:val="32"/>
              <w:framePr w:w="7162" w:h="2381" w:vSpace="341" w:wrap="notBeside" w:vAnchor="text" w:hAnchor="text" w:x="25" w:y="342"/>
              <w:spacing w:line="400" w:lineRule="exact"/>
              <w:ind w:firstLine="420" w:firstLineChars="200"/>
              <w:jc w:val="both"/>
              <w:rPr>
                <w:sz w:val="21"/>
                <w:szCs w:val="21"/>
              </w:rPr>
            </w:pPr>
            <w:r>
              <w:rPr>
                <w:color w:val="000000"/>
                <w:sz w:val="21"/>
                <w:szCs w:val="21"/>
              </w:rPr>
              <w:t>外贸依存度（%）</w:t>
            </w:r>
          </w:p>
        </w:tc>
      </w:tr>
      <w:tr w14:paraId="3087D3F0">
        <w:trPr>
          <w:trHeight w:val="336" w:hRule="exact"/>
        </w:trPr>
        <w:tc>
          <w:tcPr>
            <w:tcW w:w="835" w:type="dxa"/>
            <w:tcBorders>
              <w:top w:val="single" w:color="auto" w:sz="4" w:space="0"/>
            </w:tcBorders>
            <w:shd w:val="clear" w:color="auto" w:fill="FFFFFF"/>
            <w:vAlign w:val="center"/>
          </w:tcPr>
          <w:p w14:paraId="31C3962E">
            <w:pPr>
              <w:pStyle w:val="32"/>
              <w:framePr w:w="7162" w:h="2381" w:vSpace="341" w:wrap="notBeside" w:vAnchor="text" w:hAnchor="text" w:x="25" w:y="342"/>
              <w:spacing w:line="400" w:lineRule="exact"/>
              <w:ind w:firstLine="420" w:firstLineChars="200"/>
              <w:jc w:val="both"/>
              <w:rPr>
                <w:sz w:val="21"/>
                <w:szCs w:val="21"/>
              </w:rPr>
            </w:pPr>
            <w:r>
              <w:rPr>
                <w:color w:val="000000"/>
                <w:sz w:val="21"/>
                <w:szCs w:val="21"/>
              </w:rPr>
              <w:t>中国</w:t>
            </w:r>
          </w:p>
        </w:tc>
        <w:tc>
          <w:tcPr>
            <w:tcW w:w="2064" w:type="dxa"/>
            <w:tcBorders>
              <w:top w:val="single" w:color="auto" w:sz="4" w:space="0"/>
              <w:left w:val="single" w:color="auto" w:sz="4" w:space="0"/>
            </w:tcBorders>
            <w:shd w:val="clear" w:color="auto" w:fill="FFFFFF"/>
            <w:vAlign w:val="center"/>
          </w:tcPr>
          <w:p w14:paraId="7AB56C1E">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43262</w:t>
            </w:r>
          </w:p>
        </w:tc>
        <w:tc>
          <w:tcPr>
            <w:tcW w:w="2064" w:type="dxa"/>
            <w:tcBorders>
              <w:top w:val="single" w:color="auto" w:sz="4" w:space="0"/>
              <w:left w:val="single" w:color="auto" w:sz="4" w:space="0"/>
            </w:tcBorders>
            <w:shd w:val="clear" w:color="auto" w:fill="FFFFFF"/>
            <w:vAlign w:val="center"/>
          </w:tcPr>
          <w:p w14:paraId="159D2224">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25608</w:t>
            </w:r>
          </w:p>
        </w:tc>
        <w:tc>
          <w:tcPr>
            <w:tcW w:w="2198" w:type="dxa"/>
            <w:tcBorders>
              <w:top w:val="single" w:color="auto" w:sz="4" w:space="0"/>
              <w:left w:val="single" w:color="auto" w:sz="4" w:space="0"/>
            </w:tcBorders>
            <w:shd w:val="clear" w:color="auto" w:fill="FFFFFF"/>
            <w:vAlign w:val="center"/>
          </w:tcPr>
          <w:p w14:paraId="6FD65C44">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lang w:val="en-US" w:eastAsia="en-US" w:bidi="en-US"/>
              </w:rPr>
              <w:t>59.</w:t>
            </w:r>
            <w:r>
              <w:rPr>
                <w:b/>
                <w:bCs/>
                <w:color w:val="000000"/>
                <w:sz w:val="21"/>
                <w:szCs w:val="21"/>
              </w:rPr>
              <w:t>19</w:t>
            </w:r>
          </w:p>
        </w:tc>
      </w:tr>
      <w:tr w14:paraId="571BCB2E">
        <w:trPr>
          <w:trHeight w:val="341" w:hRule="exact"/>
        </w:trPr>
        <w:tc>
          <w:tcPr>
            <w:tcW w:w="835" w:type="dxa"/>
            <w:shd w:val="clear" w:color="auto" w:fill="FFFFFF"/>
            <w:vAlign w:val="center"/>
          </w:tcPr>
          <w:p w14:paraId="6791BE71">
            <w:pPr>
              <w:pStyle w:val="32"/>
              <w:framePr w:w="7162" w:h="2381" w:vSpace="341" w:wrap="notBeside" w:vAnchor="text" w:hAnchor="text" w:x="25" w:y="342"/>
              <w:spacing w:line="400" w:lineRule="exact"/>
              <w:ind w:firstLine="420" w:firstLineChars="200"/>
              <w:jc w:val="both"/>
              <w:rPr>
                <w:sz w:val="21"/>
                <w:szCs w:val="21"/>
              </w:rPr>
            </w:pPr>
            <w:r>
              <w:rPr>
                <w:color w:val="000000"/>
                <w:sz w:val="21"/>
                <w:szCs w:val="21"/>
              </w:rPr>
              <w:t>美国</w:t>
            </w:r>
          </w:p>
        </w:tc>
        <w:tc>
          <w:tcPr>
            <w:tcW w:w="2064" w:type="dxa"/>
            <w:tcBorders>
              <w:left w:val="single" w:color="auto" w:sz="4" w:space="0"/>
            </w:tcBorders>
            <w:shd w:val="clear" w:color="auto" w:fill="FFFFFF"/>
            <w:vAlign w:val="center"/>
          </w:tcPr>
          <w:p w14:paraId="0038F1EC">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142043</w:t>
            </w:r>
          </w:p>
        </w:tc>
        <w:tc>
          <w:tcPr>
            <w:tcW w:w="2064" w:type="dxa"/>
            <w:tcBorders>
              <w:left w:val="single" w:color="auto" w:sz="4" w:space="0"/>
            </w:tcBorders>
            <w:shd w:val="clear" w:color="auto" w:fill="FFFFFF"/>
            <w:vAlign w:val="center"/>
          </w:tcPr>
          <w:p w14:paraId="742FDD3B">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34569</w:t>
            </w:r>
          </w:p>
        </w:tc>
        <w:tc>
          <w:tcPr>
            <w:tcW w:w="2198" w:type="dxa"/>
            <w:tcBorders>
              <w:left w:val="single" w:color="auto" w:sz="4" w:space="0"/>
            </w:tcBorders>
            <w:shd w:val="clear" w:color="auto" w:fill="FFFFFF"/>
            <w:vAlign w:val="center"/>
          </w:tcPr>
          <w:p w14:paraId="58AB4AC3">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lang w:val="en-US" w:eastAsia="en-US" w:bidi="en-US"/>
              </w:rPr>
              <w:t>24.</w:t>
            </w:r>
            <w:r>
              <w:rPr>
                <w:b/>
                <w:bCs/>
                <w:color w:val="000000"/>
                <w:sz w:val="21"/>
                <w:szCs w:val="21"/>
              </w:rPr>
              <w:t>34</w:t>
            </w:r>
          </w:p>
        </w:tc>
      </w:tr>
      <w:tr w14:paraId="68184449">
        <w:trPr>
          <w:trHeight w:val="336" w:hRule="exact"/>
        </w:trPr>
        <w:tc>
          <w:tcPr>
            <w:tcW w:w="835" w:type="dxa"/>
            <w:shd w:val="clear" w:color="auto" w:fill="FFFFFF"/>
            <w:vAlign w:val="center"/>
          </w:tcPr>
          <w:p w14:paraId="05B83A9D">
            <w:pPr>
              <w:pStyle w:val="32"/>
              <w:framePr w:w="7162" w:h="2381" w:vSpace="341" w:wrap="notBeside" w:vAnchor="text" w:hAnchor="text" w:x="25" w:y="342"/>
              <w:spacing w:line="400" w:lineRule="exact"/>
              <w:ind w:firstLine="420" w:firstLineChars="200"/>
              <w:jc w:val="both"/>
              <w:rPr>
                <w:sz w:val="21"/>
                <w:szCs w:val="21"/>
              </w:rPr>
            </w:pPr>
            <w:r>
              <w:rPr>
                <w:color w:val="000000"/>
                <w:sz w:val="21"/>
                <w:szCs w:val="21"/>
              </w:rPr>
              <w:t>德国</w:t>
            </w:r>
          </w:p>
        </w:tc>
        <w:tc>
          <w:tcPr>
            <w:tcW w:w="2064" w:type="dxa"/>
            <w:tcBorders>
              <w:left w:val="single" w:color="auto" w:sz="4" w:space="0"/>
            </w:tcBorders>
            <w:shd w:val="clear" w:color="auto" w:fill="FFFFFF"/>
            <w:vAlign w:val="center"/>
          </w:tcPr>
          <w:p w14:paraId="5A8244FE">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36528</w:t>
            </w:r>
          </w:p>
        </w:tc>
        <w:tc>
          <w:tcPr>
            <w:tcW w:w="2064" w:type="dxa"/>
            <w:tcBorders>
              <w:left w:val="single" w:color="auto" w:sz="4" w:space="0"/>
            </w:tcBorders>
            <w:shd w:val="clear" w:color="auto" w:fill="FFFFFF"/>
            <w:vAlign w:val="center"/>
          </w:tcPr>
          <w:p w14:paraId="35C48994">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26656</w:t>
            </w:r>
          </w:p>
        </w:tc>
        <w:tc>
          <w:tcPr>
            <w:tcW w:w="2198" w:type="dxa"/>
            <w:tcBorders>
              <w:left w:val="single" w:color="auto" w:sz="4" w:space="0"/>
            </w:tcBorders>
            <w:shd w:val="clear" w:color="auto" w:fill="FFFFFF"/>
            <w:vAlign w:val="center"/>
          </w:tcPr>
          <w:p w14:paraId="7D49EB55">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lang w:val="en-US" w:eastAsia="en-US" w:bidi="en-US"/>
              </w:rPr>
              <w:t>72.</w:t>
            </w:r>
            <w:r>
              <w:rPr>
                <w:b/>
                <w:bCs/>
                <w:color w:val="000000"/>
                <w:sz w:val="21"/>
                <w:szCs w:val="21"/>
              </w:rPr>
              <w:t>97</w:t>
            </w:r>
          </w:p>
        </w:tc>
      </w:tr>
      <w:tr w14:paraId="31B937E7">
        <w:trPr>
          <w:trHeight w:val="336" w:hRule="exact"/>
        </w:trPr>
        <w:tc>
          <w:tcPr>
            <w:tcW w:w="835" w:type="dxa"/>
            <w:shd w:val="clear" w:color="auto" w:fill="FFFFFF"/>
            <w:vAlign w:val="center"/>
          </w:tcPr>
          <w:p w14:paraId="5E0E48B2">
            <w:pPr>
              <w:pStyle w:val="32"/>
              <w:framePr w:w="7162" w:h="2381" w:vSpace="341" w:wrap="notBeside" w:vAnchor="text" w:hAnchor="text" w:x="25" w:y="342"/>
              <w:spacing w:line="400" w:lineRule="exact"/>
              <w:ind w:firstLine="420" w:firstLineChars="200"/>
              <w:jc w:val="both"/>
              <w:rPr>
                <w:sz w:val="21"/>
                <w:szCs w:val="21"/>
              </w:rPr>
            </w:pPr>
            <w:r>
              <w:rPr>
                <w:color w:val="000000"/>
                <w:sz w:val="21"/>
                <w:szCs w:val="21"/>
              </w:rPr>
              <w:t>日本</w:t>
            </w:r>
          </w:p>
        </w:tc>
        <w:tc>
          <w:tcPr>
            <w:tcW w:w="2064" w:type="dxa"/>
            <w:tcBorders>
              <w:left w:val="single" w:color="auto" w:sz="4" w:space="0"/>
            </w:tcBorders>
            <w:shd w:val="clear" w:color="auto" w:fill="FFFFFF"/>
            <w:vAlign w:val="center"/>
          </w:tcPr>
          <w:p w14:paraId="0903AE69">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49093</w:t>
            </w:r>
          </w:p>
        </w:tc>
        <w:tc>
          <w:tcPr>
            <w:tcW w:w="2064" w:type="dxa"/>
            <w:tcBorders>
              <w:left w:val="single" w:color="auto" w:sz="4" w:space="0"/>
            </w:tcBorders>
            <w:shd w:val="clear" w:color="auto" w:fill="FFFFFF"/>
            <w:vAlign w:val="center"/>
          </w:tcPr>
          <w:p w14:paraId="06584252">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15446</w:t>
            </w:r>
          </w:p>
        </w:tc>
        <w:tc>
          <w:tcPr>
            <w:tcW w:w="2198" w:type="dxa"/>
            <w:tcBorders>
              <w:left w:val="single" w:color="auto" w:sz="4" w:space="0"/>
            </w:tcBorders>
            <w:shd w:val="clear" w:color="auto" w:fill="FFFFFF"/>
            <w:vAlign w:val="center"/>
          </w:tcPr>
          <w:p w14:paraId="17C5A622">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lang w:val="en-US" w:eastAsia="en-US" w:bidi="en-US"/>
              </w:rPr>
              <w:t>31.46</w:t>
            </w:r>
          </w:p>
        </w:tc>
      </w:tr>
      <w:tr w14:paraId="33249A8A">
        <w:trPr>
          <w:trHeight w:val="336" w:hRule="exact"/>
        </w:trPr>
        <w:tc>
          <w:tcPr>
            <w:tcW w:w="835" w:type="dxa"/>
            <w:shd w:val="clear" w:color="auto" w:fill="FFFFFF"/>
            <w:vAlign w:val="center"/>
          </w:tcPr>
          <w:p w14:paraId="4D7E8B11">
            <w:pPr>
              <w:pStyle w:val="32"/>
              <w:framePr w:w="7162" w:h="2381" w:vSpace="341" w:wrap="notBeside" w:vAnchor="text" w:hAnchor="text" w:x="25" w:y="342"/>
              <w:spacing w:line="400" w:lineRule="exact"/>
              <w:ind w:firstLine="420" w:firstLineChars="200"/>
              <w:jc w:val="both"/>
              <w:rPr>
                <w:sz w:val="21"/>
                <w:szCs w:val="21"/>
              </w:rPr>
            </w:pPr>
            <w:r>
              <w:rPr>
                <w:color w:val="000000"/>
                <w:sz w:val="21"/>
                <w:szCs w:val="21"/>
              </w:rPr>
              <w:t>印度</w:t>
            </w:r>
          </w:p>
        </w:tc>
        <w:tc>
          <w:tcPr>
            <w:tcW w:w="2064" w:type="dxa"/>
            <w:tcBorders>
              <w:left w:val="single" w:color="auto" w:sz="4" w:space="0"/>
            </w:tcBorders>
            <w:shd w:val="clear" w:color="auto" w:fill="FFFFFF"/>
            <w:vAlign w:val="center"/>
          </w:tcPr>
          <w:p w14:paraId="6F4E7E09">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12175</w:t>
            </w:r>
          </w:p>
        </w:tc>
        <w:tc>
          <w:tcPr>
            <w:tcW w:w="2064" w:type="dxa"/>
            <w:tcBorders>
              <w:left w:val="single" w:color="auto" w:sz="4" w:space="0"/>
            </w:tcBorders>
            <w:shd w:val="clear" w:color="auto" w:fill="FFFFFF"/>
            <w:vAlign w:val="center"/>
          </w:tcPr>
          <w:p w14:paraId="1E4D7778">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4709</w:t>
            </w:r>
          </w:p>
        </w:tc>
        <w:tc>
          <w:tcPr>
            <w:tcW w:w="2198" w:type="dxa"/>
            <w:tcBorders>
              <w:left w:val="single" w:color="auto" w:sz="4" w:space="0"/>
            </w:tcBorders>
            <w:shd w:val="clear" w:color="auto" w:fill="FFFFFF"/>
            <w:vAlign w:val="center"/>
          </w:tcPr>
          <w:p w14:paraId="50953C1C">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lang w:val="en-US" w:eastAsia="en-US" w:bidi="en-US"/>
              </w:rPr>
              <w:t>38.</w:t>
            </w:r>
            <w:r>
              <w:rPr>
                <w:b/>
                <w:bCs/>
                <w:color w:val="000000"/>
                <w:sz w:val="21"/>
                <w:szCs w:val="21"/>
              </w:rPr>
              <w:t>68</w:t>
            </w:r>
          </w:p>
        </w:tc>
      </w:tr>
      <w:tr w14:paraId="231E2B5D">
        <w:trPr>
          <w:trHeight w:val="346" w:hRule="exact"/>
        </w:trPr>
        <w:tc>
          <w:tcPr>
            <w:tcW w:w="835" w:type="dxa"/>
            <w:tcBorders>
              <w:bottom w:val="single" w:color="auto" w:sz="4" w:space="0"/>
            </w:tcBorders>
            <w:shd w:val="clear" w:color="auto" w:fill="FFFFFF"/>
            <w:vAlign w:val="center"/>
          </w:tcPr>
          <w:p w14:paraId="04AD0186">
            <w:pPr>
              <w:pStyle w:val="32"/>
              <w:framePr w:w="7162" w:h="2381" w:vSpace="341" w:wrap="notBeside" w:vAnchor="text" w:hAnchor="text" w:x="25" w:y="342"/>
              <w:spacing w:line="400" w:lineRule="exact"/>
              <w:ind w:firstLine="420" w:firstLineChars="200"/>
              <w:jc w:val="both"/>
              <w:rPr>
                <w:sz w:val="21"/>
                <w:szCs w:val="21"/>
              </w:rPr>
            </w:pPr>
            <w:r>
              <w:rPr>
                <w:color w:val="000000"/>
                <w:sz w:val="21"/>
                <w:szCs w:val="21"/>
              </w:rPr>
              <w:t>巴西</w:t>
            </w:r>
          </w:p>
        </w:tc>
        <w:tc>
          <w:tcPr>
            <w:tcW w:w="2064" w:type="dxa"/>
            <w:tcBorders>
              <w:left w:val="single" w:color="auto" w:sz="4" w:space="0"/>
              <w:bottom w:val="single" w:color="auto" w:sz="4" w:space="0"/>
            </w:tcBorders>
            <w:shd w:val="clear" w:color="auto" w:fill="FFFFFF"/>
            <w:vAlign w:val="center"/>
          </w:tcPr>
          <w:p w14:paraId="343F3730">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16175</w:t>
            </w:r>
          </w:p>
        </w:tc>
        <w:tc>
          <w:tcPr>
            <w:tcW w:w="2064" w:type="dxa"/>
            <w:tcBorders>
              <w:left w:val="single" w:color="auto" w:sz="4" w:space="0"/>
              <w:bottom w:val="single" w:color="auto" w:sz="4" w:space="0"/>
            </w:tcBorders>
            <w:shd w:val="clear" w:color="auto" w:fill="FFFFFF"/>
            <w:vAlign w:val="center"/>
          </w:tcPr>
          <w:p w14:paraId="5A7D2CE8">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rPr>
              <w:t>3804</w:t>
            </w:r>
          </w:p>
        </w:tc>
        <w:tc>
          <w:tcPr>
            <w:tcW w:w="2198" w:type="dxa"/>
            <w:tcBorders>
              <w:left w:val="single" w:color="auto" w:sz="4" w:space="0"/>
              <w:bottom w:val="single" w:color="auto" w:sz="4" w:space="0"/>
            </w:tcBorders>
            <w:shd w:val="clear" w:color="auto" w:fill="FFFFFF"/>
            <w:vAlign w:val="center"/>
          </w:tcPr>
          <w:p w14:paraId="787E3E92">
            <w:pPr>
              <w:pStyle w:val="32"/>
              <w:framePr w:w="7162" w:h="2381" w:vSpace="341" w:wrap="notBeside" w:vAnchor="text" w:hAnchor="text" w:x="25" w:y="342"/>
              <w:spacing w:line="400" w:lineRule="exact"/>
              <w:ind w:firstLine="420" w:firstLineChars="200"/>
              <w:jc w:val="both"/>
              <w:rPr>
                <w:sz w:val="21"/>
                <w:szCs w:val="21"/>
              </w:rPr>
            </w:pPr>
            <w:r>
              <w:rPr>
                <w:b/>
                <w:bCs/>
                <w:color w:val="000000"/>
                <w:sz w:val="21"/>
                <w:szCs w:val="21"/>
                <w:lang w:val="en-US" w:eastAsia="en-US" w:bidi="en-US"/>
              </w:rPr>
              <w:t>23.</w:t>
            </w:r>
            <w:r>
              <w:rPr>
                <w:b/>
                <w:bCs/>
                <w:color w:val="000000"/>
                <w:sz w:val="21"/>
                <w:szCs w:val="21"/>
              </w:rPr>
              <w:t>52</w:t>
            </w:r>
          </w:p>
        </w:tc>
      </w:tr>
    </w:tbl>
    <w:p w14:paraId="23A470E0">
      <w:pPr>
        <w:pStyle w:val="33"/>
        <w:framePr w:w="350" w:h="240" w:hSpace="24" w:wrap="notBeside" w:vAnchor="text" w:hAnchor="text" w:x="275" w:y="6"/>
        <w:spacing w:line="400" w:lineRule="exact"/>
        <w:ind w:firstLine="420" w:firstLineChars="200"/>
        <w:jc w:val="both"/>
        <w:rPr>
          <w:sz w:val="21"/>
          <w:szCs w:val="21"/>
        </w:rPr>
      </w:pPr>
      <w:r>
        <w:rPr>
          <w:color w:val="000000"/>
          <w:sz w:val="21"/>
          <w:szCs w:val="21"/>
        </w:rPr>
        <w:t>表</w:t>
      </w:r>
      <w:r>
        <w:rPr>
          <w:rFonts w:cs="Times New Roman"/>
          <w:color w:val="000000"/>
          <w:sz w:val="21"/>
          <w:szCs w:val="21"/>
          <w:lang w:val="zh-CN" w:eastAsia="zh-CN" w:bidi="zh-CN"/>
        </w:rPr>
        <w:t>2</w:t>
      </w:r>
    </w:p>
    <w:p w14:paraId="583AD833">
      <w:pPr>
        <w:pStyle w:val="33"/>
        <w:framePr w:w="2794" w:h="240" w:hSpace="24" w:wrap="notBeside" w:vAnchor="text" w:hAnchor="text" w:x="2209" w:y="1"/>
        <w:spacing w:line="400" w:lineRule="exact"/>
        <w:ind w:firstLine="420" w:firstLineChars="200"/>
        <w:jc w:val="both"/>
        <w:rPr>
          <w:sz w:val="21"/>
          <w:szCs w:val="21"/>
        </w:rPr>
      </w:pPr>
      <w:r>
        <w:rPr>
          <w:rFonts w:cs="Times New Roman"/>
          <w:color w:val="000000"/>
          <w:sz w:val="21"/>
          <w:szCs w:val="21"/>
        </w:rPr>
        <w:t>2008</w:t>
      </w:r>
      <w:r>
        <w:rPr>
          <w:color w:val="000000"/>
          <w:sz w:val="21"/>
          <w:szCs w:val="21"/>
        </w:rPr>
        <w:t>年各主要国家外贸依存度比较</w:t>
      </w:r>
    </w:p>
    <w:p w14:paraId="31D3A78E">
      <w:pPr>
        <w:pStyle w:val="33"/>
        <w:framePr w:w="6236" w:h="221" w:hSpace="24" w:wrap="notBeside" w:vAnchor="text" w:hAnchor="page" w:x="2523" w:y="3414"/>
        <w:spacing w:line="400" w:lineRule="exact"/>
        <w:ind w:firstLine="420" w:firstLineChars="200"/>
        <w:jc w:val="both"/>
        <w:rPr>
          <w:sz w:val="21"/>
          <w:szCs w:val="21"/>
        </w:rPr>
      </w:pPr>
      <w:r>
        <w:rPr>
          <w:color w:val="000000"/>
          <w:sz w:val="21"/>
          <w:szCs w:val="21"/>
        </w:rPr>
        <w:t>数据来源：根据中国国家统计局网站公布数据并换算得到。</w:t>
      </w:r>
    </w:p>
    <w:p w14:paraId="1EB16298">
      <w:pPr>
        <w:spacing w:line="400" w:lineRule="exact"/>
        <w:ind w:firstLine="420" w:firstLineChars="200"/>
        <w:rPr>
          <w:rFonts w:ascii="宋体" w:hAnsi="宋体" w:eastAsia="宋体"/>
          <w:szCs w:val="21"/>
        </w:rPr>
      </w:pPr>
    </w:p>
    <w:p w14:paraId="19919FDD">
      <w:pPr>
        <w:pStyle w:val="21"/>
        <w:spacing w:line="400" w:lineRule="exact"/>
        <w:ind w:firstLine="420" w:firstLineChars="200"/>
        <w:jc w:val="both"/>
        <w:rPr>
          <w:sz w:val="21"/>
          <w:szCs w:val="21"/>
        </w:rPr>
      </w:pPr>
      <w:r>
        <w:rPr>
          <w:color w:val="000000"/>
          <w:sz w:val="21"/>
          <w:szCs w:val="21"/>
        </w:rPr>
        <w:t>过度依赖对外贸易，必然会加大经济运行的风险。一是使国内经济增长受国际市场的影响。</w:t>
      </w:r>
      <w:r>
        <w:rPr>
          <w:rFonts w:cs="Times New Roman"/>
          <w:b/>
          <w:bCs/>
          <w:color w:val="000000"/>
          <w:sz w:val="21"/>
          <w:szCs w:val="21"/>
        </w:rPr>
        <w:t>2008</w:t>
      </w:r>
      <w:r>
        <w:rPr>
          <w:color w:val="000000"/>
          <w:sz w:val="21"/>
          <w:szCs w:val="21"/>
        </w:rPr>
        <w:t>年</w:t>
      </w:r>
      <w:r>
        <w:rPr>
          <w:color w:val="000000"/>
          <w:sz w:val="21"/>
          <w:szCs w:val="21"/>
          <w:lang w:val="zh-CN" w:eastAsia="zh-CN" w:bidi="zh-CN"/>
        </w:rPr>
        <w:t>“金融</w:t>
      </w:r>
      <w:r>
        <w:rPr>
          <w:color w:val="000000"/>
          <w:sz w:val="21"/>
          <w:szCs w:val="21"/>
        </w:rPr>
        <w:t>海啸”所引发的一系列冲击就是鲜明的例证。受其影响，我国</w:t>
      </w:r>
      <w:r>
        <w:rPr>
          <w:rFonts w:cs="Times New Roman"/>
          <w:b/>
          <w:bCs/>
          <w:color w:val="000000"/>
          <w:sz w:val="21"/>
          <w:szCs w:val="21"/>
        </w:rPr>
        <w:t>2009</w:t>
      </w:r>
      <w:r>
        <w:rPr>
          <w:color w:val="000000"/>
          <w:sz w:val="21"/>
          <w:szCs w:val="21"/>
        </w:rPr>
        <w:t>年</w:t>
      </w:r>
      <w:r>
        <w:rPr>
          <w:rFonts w:cs="Times New Roman"/>
          <w:b/>
          <w:bCs/>
          <w:color w:val="000000"/>
          <w:sz w:val="21"/>
          <w:szCs w:val="21"/>
        </w:rPr>
        <w:t>1</w:t>
      </w:r>
      <w:r>
        <w:rPr>
          <w:color w:val="000000"/>
          <w:sz w:val="21"/>
          <w:szCs w:val="21"/>
        </w:rPr>
        <w:t>月的进出口总值为</w:t>
      </w:r>
      <w:r>
        <w:rPr>
          <w:rFonts w:cs="Times New Roman"/>
          <w:b/>
          <w:bCs/>
          <w:color w:val="000000"/>
          <w:sz w:val="21"/>
          <w:szCs w:val="21"/>
        </w:rPr>
        <w:t>1418</w:t>
      </w:r>
      <w:r>
        <w:rPr>
          <w:color w:val="000000"/>
          <w:sz w:val="21"/>
          <w:szCs w:val="21"/>
        </w:rPr>
        <w:t>亿美元，比</w:t>
      </w:r>
      <w:r>
        <w:rPr>
          <w:rFonts w:cs="Times New Roman"/>
          <w:b/>
          <w:bCs/>
          <w:color w:val="000000"/>
          <w:sz w:val="21"/>
          <w:szCs w:val="21"/>
        </w:rPr>
        <w:t>2008</w:t>
      </w:r>
      <w:r>
        <w:rPr>
          <w:color w:val="000000"/>
          <w:sz w:val="21"/>
          <w:szCs w:val="21"/>
        </w:rPr>
        <w:t>年同期下降了近三成。其中岀口下降了</w:t>
      </w:r>
      <w:r>
        <w:rPr>
          <w:rFonts w:cs="Times New Roman"/>
          <w:b/>
          <w:bCs/>
          <w:color w:val="000000"/>
          <w:sz w:val="21"/>
          <w:szCs w:val="21"/>
        </w:rPr>
        <w:t>17.5%,</w:t>
      </w:r>
      <w:r>
        <w:rPr>
          <w:color w:val="000000"/>
          <w:sz w:val="21"/>
          <w:szCs w:val="21"/>
        </w:rPr>
        <w:t>进口下降了</w:t>
      </w:r>
      <w:r>
        <w:rPr>
          <w:rFonts w:cs="Times New Roman"/>
          <w:b/>
          <w:bCs/>
          <w:color w:val="000000"/>
          <w:sz w:val="21"/>
          <w:szCs w:val="21"/>
        </w:rPr>
        <w:t>43.1%</w:t>
      </w:r>
      <w:r>
        <w:rPr>
          <w:color w:val="000000"/>
          <w:sz w:val="21"/>
          <w:szCs w:val="21"/>
        </w:rPr>
        <w:t>。这是中国十余年来创纪录的两位数跌幅，尤其出口已经连续三个月出现了负增长。</w:t>
      </w:r>
      <w:r>
        <w:rPr>
          <w:rStyle w:val="20"/>
          <w:rFonts w:ascii="宋体" w:hAnsi="宋体" w:eastAsia="宋体"/>
          <w:sz w:val="21"/>
          <w:szCs w:val="21"/>
        </w:rPr>
        <w:footnoteReference w:id="498"/>
      </w:r>
      <w:r>
        <w:rPr>
          <w:color w:val="000000"/>
          <w:sz w:val="21"/>
          <w:szCs w:val="21"/>
        </w:rPr>
        <w:t>二是导致国内生产能力大量过剩。由于国内大量产能主要用于生产出口商品，在实践中必然导致我国生产性投资超越国内真实需求，使总投资和总消费失衡，导致国民经济主要比例关系不合理。三是威胁我国经济安全。在市场经济条件下，商品在交换过程中的实现是一个惊险的跳跃，国内过剩产能生产的大量商品一旦不能在国际市场出售，很容易导致生产过程的中断和阻塞，进而使国内经济发生危机。同时，西方主要进口国家也往往会以此打压我国，威胁我国的经济安全。四是为西方国家打压我国提供了借口。据《环球时报》报道，我国在对外贸易中产生的顺差,其中有</w:t>
      </w:r>
      <w:r>
        <w:rPr>
          <w:rFonts w:cs="Times New Roman"/>
          <w:b/>
          <w:bCs/>
          <w:color w:val="000000"/>
          <w:sz w:val="21"/>
          <w:szCs w:val="21"/>
        </w:rPr>
        <w:t>65%</w:t>
      </w:r>
      <w:r>
        <w:rPr>
          <w:color w:val="000000"/>
          <w:sz w:val="21"/>
          <w:szCs w:val="21"/>
        </w:rPr>
        <w:t>来自外企。中美顺差中至少有</w:t>
      </w:r>
      <w:r>
        <w:rPr>
          <w:rFonts w:cs="Times New Roman"/>
          <w:b/>
          <w:bCs/>
          <w:color w:val="000000"/>
          <w:sz w:val="21"/>
          <w:szCs w:val="21"/>
        </w:rPr>
        <w:t>60%</w:t>
      </w:r>
      <w:r>
        <w:rPr>
          <w:color w:val="000000"/>
          <w:sz w:val="21"/>
          <w:szCs w:val="21"/>
        </w:rPr>
        <w:t>是美国企业的利润，但美在华企业赚走巨额利润的同时，人民币汇率反成替罪羔羊，美国国内竟出现了</w:t>
      </w:r>
      <w:r>
        <w:rPr>
          <w:color w:val="000000"/>
          <w:sz w:val="21"/>
          <w:szCs w:val="21"/>
          <w:lang w:val="zh-CN" w:eastAsia="zh-CN" w:bidi="zh-CN"/>
        </w:rPr>
        <w:t>“中</w:t>
      </w:r>
      <w:r>
        <w:rPr>
          <w:color w:val="000000"/>
          <w:sz w:val="21"/>
          <w:szCs w:val="21"/>
        </w:rPr>
        <w:t>国偷走美国工作”的指责，借口顺差问题对我国进一步施压。</w:t>
      </w:r>
      <w:r>
        <w:rPr>
          <w:rStyle w:val="20"/>
          <w:rFonts w:ascii="宋体" w:hAnsi="宋体" w:eastAsia="宋体"/>
          <w:sz w:val="21"/>
          <w:szCs w:val="21"/>
        </w:rPr>
        <w:footnoteReference w:id="499"/>
      </w:r>
    </w:p>
    <w:p w14:paraId="06DD40D2">
      <w:pPr>
        <w:pStyle w:val="21"/>
        <w:spacing w:line="400" w:lineRule="exact"/>
        <w:ind w:firstLine="420" w:firstLineChars="200"/>
        <w:jc w:val="both"/>
        <w:rPr>
          <w:b/>
          <w:bCs/>
          <w:sz w:val="21"/>
          <w:szCs w:val="21"/>
        </w:rPr>
      </w:pPr>
      <w:r>
        <w:rPr>
          <w:b/>
          <w:bCs/>
          <w:color w:val="000000"/>
          <w:sz w:val="21"/>
          <w:szCs w:val="21"/>
        </w:rPr>
        <w:t>（六）开放型经济运行中的失衡和经济循环问题</w:t>
      </w:r>
    </w:p>
    <w:p w14:paraId="5E3949E1">
      <w:pPr>
        <w:pStyle w:val="21"/>
        <w:spacing w:line="400" w:lineRule="exact"/>
        <w:ind w:firstLine="420" w:firstLineChars="200"/>
        <w:jc w:val="both"/>
        <w:rPr>
          <w:sz w:val="21"/>
          <w:szCs w:val="21"/>
        </w:rPr>
      </w:pPr>
      <w:r>
        <w:rPr>
          <w:color w:val="000000"/>
          <w:sz w:val="21"/>
          <w:szCs w:val="21"/>
        </w:rPr>
        <w:t>我国利用对外开放的战略机遇期，取得举世瞩目的绩效。但是，由于开放型经济是建立在低起点、低层次基础上的，发展至今，它的运行仍然具有髙度的粗放、低效和利益流动极不合理的特征，导致某些失衡现象的存在。例如，内需不足形成内需与外需有所失衡；又如，大量外资企业的进入有</w:t>
      </w:r>
      <w:r>
        <w:rPr>
          <w:color w:val="000000"/>
          <w:sz w:val="21"/>
          <w:szCs w:val="21"/>
          <w:lang w:val="zh-CN" w:eastAsia="zh-CN" w:bidi="zh-CN"/>
        </w:rPr>
        <w:t>“挤出</w:t>
      </w:r>
      <w:r>
        <w:rPr>
          <w:color w:val="000000"/>
          <w:sz w:val="21"/>
          <w:szCs w:val="21"/>
        </w:rPr>
        <w:t>效应”和</w:t>
      </w:r>
      <w:r>
        <w:rPr>
          <w:color w:val="000000"/>
          <w:sz w:val="21"/>
          <w:szCs w:val="21"/>
          <w:lang w:val="zh-CN" w:eastAsia="zh-CN" w:bidi="zh-CN"/>
        </w:rPr>
        <w:t>“垄</w:t>
      </w:r>
      <w:r>
        <w:rPr>
          <w:color w:val="000000"/>
          <w:sz w:val="21"/>
          <w:szCs w:val="21"/>
        </w:rPr>
        <w:t>断效应”，形成内外资企业发展有所失衡；再如，国内技术的提升却往往伴随着发达国家高附加值零配件和核心技术进口的增长，形成国外引进与自主创新生产技术有所失衡。</w:t>
      </w:r>
    </w:p>
    <w:p w14:paraId="1F850CD2">
      <w:pPr>
        <w:pStyle w:val="21"/>
        <w:spacing w:line="400" w:lineRule="exact"/>
        <w:ind w:firstLine="420" w:firstLineChars="200"/>
        <w:jc w:val="both"/>
        <w:rPr>
          <w:sz w:val="21"/>
          <w:szCs w:val="21"/>
        </w:rPr>
      </w:pPr>
      <w:r>
        <w:rPr>
          <w:color w:val="000000"/>
          <w:sz w:val="21"/>
          <w:szCs w:val="21"/>
        </w:rPr>
        <w:t>国民经济部分失衡的体系，其本身包含着国内资本、国际资本、国内外融合资本三个不同的循环体系，都在影响投资、消费、分配、外贸、知识产权和生态环境等，产生着正负经济效应。</w:t>
      </w:r>
    </w:p>
    <w:p w14:paraId="6C28A6A7">
      <w:pPr>
        <w:pStyle w:val="21"/>
        <w:numPr>
          <w:ilvl w:val="0"/>
          <w:numId w:val="13"/>
        </w:numPr>
        <w:tabs>
          <w:tab w:val="left" w:pos="720"/>
        </w:tabs>
        <w:spacing w:line="400" w:lineRule="exact"/>
        <w:ind w:firstLine="420" w:firstLineChars="200"/>
        <w:jc w:val="both"/>
        <w:rPr>
          <w:sz w:val="21"/>
          <w:szCs w:val="21"/>
        </w:rPr>
      </w:pPr>
      <w:r>
        <w:rPr>
          <w:color w:val="000000"/>
          <w:sz w:val="21"/>
          <w:szCs w:val="21"/>
        </w:rPr>
        <w:t>从国内资本来说，为了出口就需要大量要素投入，从而加剧价格等方面竞争，但压低产品价格和压低工资，往往又导致国内消费不足，这又势必依赖岀口。这是中国低端参与国际竞争的一种经济循环。在出口创汇型发展战略下，国内的企业本身存在着出口的冲动，这有多重原因：一是存在着政策上的导向，包括存在着出口退税等优惠政策；二是由于国内技术相对落后，地方出于增长需要在低技术领域的重复投资，客观上导致企业过度竞争，而国内产能过剩造成国内市场狭小的压力，迫使企业竞相出口。但是，这种出口导向型的发展，却极大地耗费了国内大量的能源和其他资源，并在国际竞价的压力下压低了国内的工资水平，从而导致国内消费能力的下降，并使企业受制于新一轮出口竞争之中。在这个过程中，由于大量的岀口，中国还形成了巨大的外汇储备。其原因也是多样的：一是因为中国企业因自身技术、管理等因素，对外直接投资的能力不足，竞争力弱，从而难以</w:t>
      </w:r>
      <w:r>
        <w:rPr>
          <w:color w:val="000000"/>
          <w:sz w:val="21"/>
          <w:szCs w:val="21"/>
          <w:lang w:val="zh-CN" w:eastAsia="zh-CN" w:bidi="zh-CN"/>
        </w:rPr>
        <w:t>“走出</w:t>
      </w:r>
      <w:r>
        <w:rPr>
          <w:color w:val="000000"/>
          <w:sz w:val="21"/>
          <w:szCs w:val="21"/>
        </w:rPr>
        <w:t>去”；二是因为国际对我国的封锁和打压，等等。由于大量外汇储备的形成，中国出于保值需要购买的主要发达资本主义国家政府及企业债券，却一方面陷于贬值的风险之中，另一方面为国际资本对中国再投资提供了支撑。</w:t>
      </w:r>
    </w:p>
    <w:p w14:paraId="04A0D30F">
      <w:pPr>
        <w:pStyle w:val="21"/>
        <w:numPr>
          <w:ilvl w:val="0"/>
          <w:numId w:val="13"/>
        </w:numPr>
        <w:tabs>
          <w:tab w:val="left" w:pos="739"/>
        </w:tabs>
        <w:spacing w:line="400" w:lineRule="exact"/>
        <w:ind w:firstLine="420" w:firstLineChars="200"/>
        <w:jc w:val="both"/>
        <w:rPr>
          <w:sz w:val="21"/>
          <w:szCs w:val="21"/>
        </w:rPr>
      </w:pPr>
      <w:r>
        <w:rPr>
          <w:color w:val="000000"/>
          <w:sz w:val="21"/>
          <w:szCs w:val="21"/>
        </w:rPr>
        <w:t>从国际资本来说，为了利润和控制中国市场而投资，在这一过程中，它们享受政策优惠，使用低价资源和较高素质的劳动力，获取了高额利润后再进行投资。这是跨国公司通过独立投资和控制中国市场等途径形成的一种良性经济循环。国际垄断资本还通过垄断我国信用评级业，来掌握我国资本市场的定价权和话语权，进而通过资本市场谋取利益。</w:t>
      </w:r>
      <w:r>
        <w:rPr>
          <w:rStyle w:val="20"/>
          <w:rFonts w:ascii="宋体" w:hAnsi="宋体" w:eastAsia="宋体"/>
          <w:sz w:val="21"/>
          <w:szCs w:val="21"/>
        </w:rPr>
        <w:footnoteReference w:id="500"/>
      </w:r>
      <w:r>
        <w:rPr>
          <w:color w:val="000000"/>
          <w:sz w:val="21"/>
          <w:szCs w:val="21"/>
        </w:rPr>
        <w:t>目前,外资控制了越来越多的中国产业和重要经济领域的生产、流通和经营。</w:t>
      </w:r>
    </w:p>
    <w:p w14:paraId="79391031">
      <w:pPr>
        <w:pStyle w:val="21"/>
        <w:spacing w:line="400" w:lineRule="exact"/>
        <w:ind w:firstLine="420" w:firstLineChars="200"/>
        <w:jc w:val="both"/>
        <w:rPr>
          <w:sz w:val="21"/>
          <w:szCs w:val="21"/>
        </w:rPr>
      </w:pPr>
      <w:r>
        <w:rPr>
          <w:rFonts w:cs="Times New Roman"/>
          <w:b/>
          <w:bCs/>
          <w:color w:val="000000"/>
          <w:sz w:val="21"/>
          <w:szCs w:val="21"/>
          <w:lang w:val="en-US" w:eastAsia="zh-CN" w:bidi="en-US"/>
        </w:rPr>
        <w:t>3.</w:t>
      </w:r>
      <w:r>
        <w:rPr>
          <w:color w:val="000000"/>
          <w:sz w:val="21"/>
          <w:szCs w:val="21"/>
        </w:rPr>
        <w:t>从国际资本与国内资本融合来说，大都是外企以外国的资本、技术或品牌等资源投入，形成合资合作企业以后，利用国内生产要素生产产品和提供服务，在国内外销售获取高额利润后再投资。这是外资先投资参股、后并购，或者直接在华并购所形成的另一种经济循环。其经营形式在各地区、各领域的发展呈多样化趋势。</w:t>
      </w:r>
    </w:p>
    <w:p w14:paraId="1047F76E">
      <w:pPr>
        <w:pStyle w:val="21"/>
        <w:spacing w:line="400" w:lineRule="exact"/>
        <w:ind w:firstLine="420" w:firstLineChars="200"/>
        <w:jc w:val="both"/>
        <w:rPr>
          <w:sz w:val="21"/>
          <w:szCs w:val="21"/>
        </w:rPr>
      </w:pPr>
      <w:r>
        <w:rPr>
          <w:color w:val="000000"/>
          <w:sz w:val="21"/>
          <w:szCs w:val="21"/>
        </w:rPr>
        <w:t>应当指出，在后两个经济循环中，我国有大量国有资产和国有资本被低价整合进合资企业中，其品牌、销售网络和人才，同样被以较低廉的价格为合资企业或外商独资企业所用，成为国际资本从中国获益的重要手段，而我国的流行舆论则一律称赞为</w:t>
      </w:r>
      <w:r>
        <w:rPr>
          <w:color w:val="000000"/>
          <w:sz w:val="21"/>
          <w:szCs w:val="21"/>
          <w:lang w:val="zh-CN" w:eastAsia="zh-CN" w:bidi="zh-CN"/>
        </w:rPr>
        <w:t>“引</w:t>
      </w:r>
      <w:r>
        <w:rPr>
          <w:color w:val="000000"/>
          <w:sz w:val="21"/>
          <w:szCs w:val="21"/>
        </w:rPr>
        <w:t>进战略投资者”。</w:t>
      </w:r>
    </w:p>
    <w:p w14:paraId="1586B831">
      <w:pPr>
        <w:pStyle w:val="21"/>
        <w:spacing w:line="400" w:lineRule="exact"/>
        <w:ind w:firstLine="420" w:firstLineChars="200"/>
        <w:jc w:val="both"/>
        <w:rPr>
          <w:sz w:val="21"/>
          <w:szCs w:val="21"/>
        </w:rPr>
      </w:pPr>
      <w:r>
        <w:rPr>
          <w:color w:val="000000"/>
          <w:sz w:val="21"/>
          <w:szCs w:val="21"/>
        </w:rPr>
        <w:t>总之，目前我国以高度依赖性增长为特征、强调引进和数量扩张为目标、以资源高消耗为手段、以环境损坏为代价的粗放式对外经济发展模式，已经不能适应国内外经济协调发展，特别是</w:t>
      </w:r>
      <w:r>
        <w:rPr>
          <w:color w:val="000000"/>
          <w:sz w:val="21"/>
          <w:szCs w:val="21"/>
          <w:lang w:val="zh-CN" w:eastAsia="zh-CN" w:bidi="zh-CN"/>
        </w:rPr>
        <w:t>“十</w:t>
      </w:r>
      <w:r>
        <w:rPr>
          <w:color w:val="000000"/>
          <w:sz w:val="21"/>
          <w:szCs w:val="21"/>
        </w:rPr>
        <w:t>二五”发展的新形势和转变经济发展方式的新要求。</w:t>
      </w:r>
    </w:p>
    <w:p w14:paraId="27F05DD3">
      <w:pPr>
        <w:autoSpaceDE w:val="0"/>
        <w:autoSpaceDN w:val="0"/>
        <w:spacing w:line="360" w:lineRule="auto"/>
        <w:ind w:firstLine="480" w:firstLineChars="200"/>
        <w:jc w:val="center"/>
        <w:rPr>
          <w:rFonts w:ascii="宋体" w:hAnsi="宋体" w:eastAsia="宋体"/>
          <w:b/>
          <w:bCs/>
          <w:color w:val="000000"/>
          <w:sz w:val="24"/>
          <w:szCs w:val="24"/>
        </w:rPr>
      </w:pPr>
      <w:r>
        <w:rPr>
          <w:rFonts w:ascii="宋体" w:hAnsi="宋体" w:eastAsia="宋体"/>
          <w:b/>
          <w:bCs/>
          <w:color w:val="000000"/>
          <w:sz w:val="24"/>
          <w:szCs w:val="24"/>
        </w:rPr>
        <w:t>二</w:t>
      </w:r>
      <w:r>
        <w:rPr>
          <w:rFonts w:hint="eastAsia" w:ascii="宋体" w:hAnsi="宋体" w:eastAsia="宋体"/>
          <w:b/>
          <w:bCs/>
          <w:color w:val="000000"/>
          <w:sz w:val="24"/>
          <w:szCs w:val="24"/>
        </w:rPr>
        <w:t>、</w:t>
      </w:r>
      <w:r>
        <w:rPr>
          <w:rFonts w:ascii="宋体" w:hAnsi="宋体" w:eastAsia="宋体"/>
          <w:b/>
          <w:bCs/>
          <w:color w:val="000000"/>
          <w:sz w:val="24"/>
          <w:szCs w:val="24"/>
        </w:rPr>
        <w:t>加快转变的战略抉择：六个适当控制与积极提升</w:t>
      </w:r>
    </w:p>
    <w:p w14:paraId="02580E2B">
      <w:pPr>
        <w:pStyle w:val="21"/>
        <w:spacing w:line="400" w:lineRule="exact"/>
        <w:ind w:firstLine="420" w:firstLineChars="200"/>
        <w:jc w:val="both"/>
        <w:rPr>
          <w:sz w:val="21"/>
          <w:szCs w:val="21"/>
        </w:rPr>
      </w:pPr>
      <w:r>
        <w:rPr>
          <w:color w:val="000000"/>
          <w:sz w:val="21"/>
          <w:szCs w:val="21"/>
        </w:rPr>
        <w:t>加快转变对外经济发展方式，需要确立科学的开放观，从战略上谋划对外经济的长远发展。新的发展阶段，我国应当在科学发展观的指导下,统筹国内经济发展与对外开放的关系，积极调整开放战略和对外经济政</w:t>
      </w:r>
      <w:r>
        <w:rPr>
          <w:rStyle w:val="28"/>
          <w:sz w:val="21"/>
          <w:szCs w:val="21"/>
        </w:rPr>
        <w:t>策，避免成为国际垄断资本的利益输送地、发达国家的廉价打工仔、西方投机资本的跑马场、跨国公司的专利提款机和世界的污染避难所，通过对外资、外源、外贸、外技、外汇和外产的适当控制和提升，从根本上建立起</w:t>
      </w:r>
      <w:r>
        <w:rPr>
          <w:rStyle w:val="28"/>
          <w:sz w:val="21"/>
          <w:szCs w:val="21"/>
          <w:lang w:val="zh-CN" w:eastAsia="zh-CN" w:bidi="zh-CN"/>
        </w:rPr>
        <w:t>“低</w:t>
      </w:r>
      <w:r>
        <w:rPr>
          <w:rStyle w:val="28"/>
          <w:sz w:val="21"/>
          <w:szCs w:val="21"/>
        </w:rPr>
        <w:t>损耗、高效益，双向互动，自主创新”的</w:t>
      </w:r>
      <w:r>
        <w:rPr>
          <w:rStyle w:val="28"/>
          <w:sz w:val="21"/>
          <w:szCs w:val="21"/>
          <w:lang w:val="zh-CN" w:eastAsia="zh-CN" w:bidi="zh-CN"/>
        </w:rPr>
        <w:t>“精</w:t>
      </w:r>
      <w:r>
        <w:rPr>
          <w:rStyle w:val="28"/>
          <w:sz w:val="21"/>
          <w:szCs w:val="21"/>
        </w:rPr>
        <w:t>益型”对外开放模式，促进国民经济又好又快地持续发展。</w:t>
      </w:r>
    </w:p>
    <w:p w14:paraId="489928E7">
      <w:pPr>
        <w:pStyle w:val="21"/>
        <w:spacing w:line="400" w:lineRule="exact"/>
        <w:ind w:firstLine="420" w:firstLineChars="200"/>
        <w:jc w:val="both"/>
        <w:rPr>
          <w:b/>
          <w:bCs/>
          <w:sz w:val="21"/>
          <w:szCs w:val="21"/>
        </w:rPr>
      </w:pPr>
      <w:r>
        <w:rPr>
          <w:b/>
          <w:bCs/>
          <w:color w:val="000000"/>
          <w:sz w:val="21"/>
          <w:szCs w:val="21"/>
          <w:lang w:val="en-US" w:eastAsia="zh-CN" w:bidi="en-US"/>
        </w:rPr>
        <w:t>(</w:t>
      </w:r>
      <w:r>
        <w:rPr>
          <w:rFonts w:hint="eastAsia"/>
          <w:b/>
          <w:bCs/>
          <w:sz w:val="21"/>
          <w:szCs w:val="21"/>
          <w:lang w:val="en-US" w:eastAsia="zh-CN" w:bidi="en-US"/>
        </w:rPr>
        <w:t>一</w:t>
      </w:r>
      <w:r>
        <w:rPr>
          <w:b/>
          <w:bCs/>
          <w:color w:val="000000"/>
          <w:sz w:val="21"/>
          <w:szCs w:val="21"/>
          <w:lang w:val="en-US" w:eastAsia="zh-CN" w:bidi="en-US"/>
        </w:rPr>
        <w:t>)</w:t>
      </w:r>
      <w:r>
        <w:rPr>
          <w:b/>
          <w:bCs/>
          <w:color w:val="000000"/>
          <w:sz w:val="21"/>
          <w:szCs w:val="21"/>
        </w:rPr>
        <w:t>适当控制外资依存度，积极提升中外资本协调使用的效益</w:t>
      </w:r>
    </w:p>
    <w:p w14:paraId="2E4BC57A">
      <w:pPr>
        <w:pStyle w:val="21"/>
        <w:spacing w:line="400" w:lineRule="exact"/>
        <w:ind w:firstLine="420" w:firstLineChars="200"/>
        <w:jc w:val="both"/>
        <w:rPr>
          <w:sz w:val="21"/>
          <w:szCs w:val="21"/>
        </w:rPr>
      </w:pPr>
      <w:r>
        <w:rPr>
          <w:color w:val="000000"/>
          <w:sz w:val="21"/>
          <w:szCs w:val="21"/>
        </w:rPr>
        <w:t>随着世界经济格局的变化，在新的历史时期我国必须对利用外资作出重大调整。既要看到经过多年发展外商投资企业，目前在我国经济中已占有重要地位，我国工业部门的产业结构和产品质量提升，都与外商投资企业作用相关。也要看到外资过度利用的不利后果。我国不能继续沉浸在引资规模的扩张上，而是要追求引资质量的提高。</w:t>
      </w:r>
    </w:p>
    <w:p w14:paraId="5B189110">
      <w:pPr>
        <w:pStyle w:val="21"/>
        <w:numPr>
          <w:ilvl w:val="0"/>
          <w:numId w:val="14"/>
        </w:numPr>
        <w:tabs>
          <w:tab w:val="left" w:pos="721"/>
        </w:tabs>
        <w:spacing w:line="400" w:lineRule="exact"/>
        <w:ind w:firstLine="420" w:firstLineChars="200"/>
        <w:jc w:val="both"/>
        <w:rPr>
          <w:sz w:val="21"/>
          <w:szCs w:val="21"/>
        </w:rPr>
      </w:pPr>
      <w:r>
        <w:rPr>
          <w:color w:val="000000"/>
          <w:sz w:val="21"/>
          <w:szCs w:val="21"/>
        </w:rPr>
        <w:t>提高引资质量，必须引导和实现外资投向和要素流入结构的改善。必须从注重</w:t>
      </w:r>
      <w:r>
        <w:rPr>
          <w:color w:val="000000"/>
          <w:sz w:val="21"/>
          <w:szCs w:val="21"/>
          <w:lang w:val="zh-CN" w:eastAsia="zh-CN" w:bidi="zh-CN"/>
        </w:rPr>
        <w:t>“引</w:t>
      </w:r>
      <w:r>
        <w:rPr>
          <w:color w:val="000000"/>
          <w:sz w:val="21"/>
          <w:szCs w:val="21"/>
        </w:rPr>
        <w:t>资”转为谨慎</w:t>
      </w:r>
      <w:r>
        <w:rPr>
          <w:color w:val="000000"/>
          <w:sz w:val="21"/>
          <w:szCs w:val="21"/>
          <w:lang w:val="zh-CN" w:eastAsia="zh-CN" w:bidi="zh-CN"/>
        </w:rPr>
        <w:t>“选</w:t>
      </w:r>
      <w:r>
        <w:rPr>
          <w:color w:val="000000"/>
          <w:sz w:val="21"/>
          <w:szCs w:val="21"/>
        </w:rPr>
        <w:t>资”，应制定以保护环境为主的外资进入产业目录，严格限制污染性行业的外资进入，加大对</w:t>
      </w:r>
      <w:r>
        <w:rPr>
          <w:color w:val="000000"/>
          <w:sz w:val="21"/>
          <w:szCs w:val="21"/>
          <w:lang w:val="zh-CN" w:eastAsia="zh-CN" w:bidi="zh-CN"/>
        </w:rPr>
        <w:t>“清</w:t>
      </w:r>
      <w:r>
        <w:rPr>
          <w:color w:val="000000"/>
          <w:sz w:val="21"/>
          <w:szCs w:val="21"/>
        </w:rPr>
        <w:t>洁”外资的引进力度，应引进弥补我国产业和产品空缺的、符合低碳经济要求、科技含量高的企业。有的学者认为，中国经济已经步入快车道，是全球经济的强者，公用事业等领域开放不必担心外资入侵的问题，</w:t>
      </w:r>
      <w:r>
        <w:rPr>
          <w:color w:val="000000"/>
          <w:sz w:val="21"/>
          <w:szCs w:val="21"/>
          <w:lang w:val="zh-CN" w:eastAsia="zh-CN" w:bidi="zh-CN"/>
        </w:rPr>
        <w:t>“多一</w:t>
      </w:r>
      <w:r>
        <w:rPr>
          <w:color w:val="000000"/>
          <w:sz w:val="21"/>
          <w:szCs w:val="21"/>
        </w:rPr>
        <w:t>些善待外资就是善待自己的前瞻性”</w:t>
      </w:r>
      <w:r>
        <w:rPr>
          <w:rStyle w:val="20"/>
          <w:rFonts w:ascii="宋体" w:hAnsi="宋体" w:eastAsia="宋体"/>
          <w:sz w:val="21"/>
          <w:szCs w:val="21"/>
        </w:rPr>
        <w:footnoteReference w:id="501"/>
      </w:r>
      <w:r>
        <w:rPr>
          <w:color w:val="000000"/>
          <w:sz w:val="21"/>
          <w:szCs w:val="21"/>
        </w:rPr>
        <w:t>。这个观点混淆了公用事业领域和一般竞争性产业领域的区别，把具有稳定盈利和预防外资支配而有损民生的公益事业，轻易地让位于外资，以为引进外资越多越好，不利于发挥内外资的综合效益。</w:t>
      </w:r>
    </w:p>
    <w:p w14:paraId="53A825A8">
      <w:pPr>
        <w:pStyle w:val="21"/>
        <w:numPr>
          <w:ilvl w:val="0"/>
          <w:numId w:val="14"/>
        </w:numPr>
        <w:tabs>
          <w:tab w:val="left" w:pos="721"/>
        </w:tabs>
        <w:spacing w:line="400" w:lineRule="exact"/>
        <w:ind w:firstLine="420" w:firstLineChars="200"/>
        <w:jc w:val="both"/>
        <w:rPr>
          <w:sz w:val="21"/>
          <w:szCs w:val="21"/>
        </w:rPr>
      </w:pPr>
      <w:r>
        <w:rPr>
          <w:color w:val="000000"/>
          <w:sz w:val="21"/>
          <w:szCs w:val="21"/>
        </w:rPr>
        <w:t>提高引资质量，需要确立公平的竞争环境。一是要逐步取消外资企业在税收方面的优惠，保证国内企业在同一起跑线上参与竞争。二是要通过提高环保标准来提高投资门槛，吸引真正有实力的</w:t>
      </w:r>
      <w:r>
        <w:rPr>
          <w:color w:val="000000"/>
          <w:sz w:val="21"/>
          <w:szCs w:val="21"/>
          <w:lang w:val="zh-CN" w:eastAsia="zh-CN" w:bidi="zh-CN"/>
        </w:rPr>
        <w:t>“清</w:t>
      </w:r>
      <w:r>
        <w:rPr>
          <w:color w:val="000000"/>
          <w:sz w:val="21"/>
          <w:szCs w:val="21"/>
        </w:rPr>
        <w:t>洁投资者”，使引资工作适应我国结构调整与产业升级的大方略，服务于我们转变生产方式的大目标。</w:t>
      </w:r>
    </w:p>
    <w:p w14:paraId="2B293A86">
      <w:pPr>
        <w:pStyle w:val="21"/>
        <w:numPr>
          <w:ilvl w:val="0"/>
          <w:numId w:val="14"/>
        </w:numPr>
        <w:spacing w:line="400" w:lineRule="exact"/>
        <w:ind w:firstLine="420" w:firstLineChars="200"/>
        <w:jc w:val="both"/>
        <w:rPr>
          <w:sz w:val="21"/>
          <w:szCs w:val="21"/>
        </w:rPr>
      </w:pPr>
      <w:r>
        <w:rPr>
          <w:color w:val="000000"/>
          <w:sz w:val="21"/>
          <w:szCs w:val="21"/>
        </w:rPr>
        <w:t>控制外资依存度，需要调动国内资本，促进内外资合作。合理利用和引进外资，提高引资质量，其前提条件是必须充分唤醒和启动国内已有的巨大储蓄存款资源。存差通常是指商业银行存款减去贷款的差值。从</w:t>
      </w:r>
      <w:r>
        <w:rPr>
          <w:rFonts w:cs="Times New Roman"/>
          <w:b/>
          <w:bCs/>
          <w:color w:val="000000"/>
          <w:sz w:val="21"/>
          <w:szCs w:val="21"/>
        </w:rPr>
        <w:t>1995</w:t>
      </w:r>
      <w:r>
        <w:rPr>
          <w:color w:val="000000"/>
          <w:sz w:val="21"/>
          <w:szCs w:val="21"/>
        </w:rPr>
        <w:t>年我国金融机构首次出现存差开始，</w:t>
      </w:r>
      <w:r>
        <w:rPr>
          <w:rFonts w:cs="Times New Roman"/>
          <w:b/>
          <w:bCs/>
          <w:color w:val="000000"/>
          <w:sz w:val="21"/>
          <w:szCs w:val="21"/>
        </w:rPr>
        <w:t>2009</w:t>
      </w:r>
      <w:r>
        <w:rPr>
          <w:color w:val="000000"/>
          <w:sz w:val="21"/>
          <w:szCs w:val="21"/>
        </w:rPr>
        <w:t>年末全部金融机构本外币各项存款余额</w:t>
      </w:r>
      <w:r>
        <w:rPr>
          <w:rFonts w:cs="Times New Roman"/>
          <w:b/>
          <w:bCs/>
          <w:color w:val="000000"/>
          <w:sz w:val="21"/>
          <w:szCs w:val="21"/>
          <w:lang w:val="en-US" w:eastAsia="zh-CN" w:bidi="en-US"/>
        </w:rPr>
        <w:t>61.</w:t>
      </w:r>
      <w:r>
        <w:rPr>
          <w:rFonts w:cs="Times New Roman"/>
          <w:b/>
          <w:bCs/>
          <w:color w:val="000000"/>
          <w:sz w:val="21"/>
          <w:szCs w:val="21"/>
        </w:rPr>
        <w:t>2</w:t>
      </w:r>
      <w:r>
        <w:rPr>
          <w:color w:val="000000"/>
          <w:sz w:val="21"/>
          <w:szCs w:val="21"/>
        </w:rPr>
        <w:t>万亿元，本外币各项贷款余额</w:t>
      </w:r>
      <w:r>
        <w:rPr>
          <w:rFonts w:cs="Times New Roman"/>
          <w:b/>
          <w:bCs/>
          <w:color w:val="000000"/>
          <w:sz w:val="21"/>
          <w:szCs w:val="21"/>
          <w:lang w:val="en-US" w:eastAsia="zh-CN" w:bidi="en-US"/>
        </w:rPr>
        <w:t>42.</w:t>
      </w:r>
      <w:r>
        <w:rPr>
          <w:rFonts w:cs="Times New Roman"/>
          <w:b/>
          <w:bCs/>
          <w:color w:val="000000"/>
          <w:sz w:val="21"/>
          <w:szCs w:val="21"/>
        </w:rPr>
        <w:t>6</w:t>
      </w:r>
      <w:r>
        <w:rPr>
          <w:color w:val="000000"/>
          <w:sz w:val="21"/>
          <w:szCs w:val="21"/>
        </w:rPr>
        <w:t>万亿元，存差早已突破了</w:t>
      </w:r>
      <w:r>
        <w:rPr>
          <w:rFonts w:cs="Times New Roman"/>
          <w:b/>
          <w:bCs/>
          <w:color w:val="000000"/>
          <w:sz w:val="21"/>
          <w:szCs w:val="21"/>
        </w:rPr>
        <w:t>10</w:t>
      </w:r>
      <w:r>
        <w:rPr>
          <w:color w:val="000000"/>
          <w:sz w:val="21"/>
          <w:szCs w:val="21"/>
        </w:rPr>
        <w:t>万亿元，达到</w:t>
      </w:r>
      <w:r>
        <w:rPr>
          <w:rFonts w:cs="Times New Roman"/>
          <w:b/>
          <w:bCs/>
          <w:color w:val="000000"/>
          <w:sz w:val="21"/>
          <w:szCs w:val="21"/>
          <w:lang w:val="en-US" w:eastAsia="zh-CN" w:bidi="en-US"/>
        </w:rPr>
        <w:t>18.</w:t>
      </w:r>
      <w:r>
        <w:rPr>
          <w:rFonts w:cs="Times New Roman"/>
          <w:b/>
          <w:bCs/>
          <w:color w:val="000000"/>
          <w:sz w:val="21"/>
          <w:szCs w:val="21"/>
        </w:rPr>
        <w:t>6</w:t>
      </w:r>
      <w:r>
        <w:rPr>
          <w:color w:val="000000"/>
          <w:sz w:val="21"/>
          <w:szCs w:val="21"/>
        </w:rPr>
        <w:t>万亿元。</w:t>
      </w:r>
      <w:r>
        <w:rPr>
          <w:rStyle w:val="20"/>
          <w:rFonts w:ascii="宋体" w:hAnsi="宋体" w:eastAsia="宋体"/>
          <w:sz w:val="21"/>
          <w:szCs w:val="21"/>
        </w:rPr>
        <w:footnoteReference w:id="502"/>
      </w:r>
      <w:r>
        <w:rPr>
          <w:color w:val="000000"/>
          <w:sz w:val="21"/>
          <w:szCs w:val="21"/>
        </w:rPr>
        <w:t>这表明我国目前储蓄增长相对过快，信贷增长相对不足，资金闲置和使用效率低。在这种新形势下，倘若继续如饥似渴地引进外资，势必产生</w:t>
      </w:r>
      <w:r>
        <w:rPr>
          <w:color w:val="000000"/>
          <w:sz w:val="21"/>
          <w:szCs w:val="21"/>
          <w:lang w:val="zh-CN" w:eastAsia="zh-CN" w:bidi="zh-CN"/>
        </w:rPr>
        <w:t>“挤</w:t>
      </w:r>
      <w:r>
        <w:rPr>
          <w:color w:val="000000"/>
          <w:sz w:val="21"/>
          <w:szCs w:val="21"/>
        </w:rPr>
        <w:t>出效应”，影响中资的有效配置和利用效益。因此，适当控制外资依存度，是亟须统一认识和创新政策的重大问题。目前，关键是要推动以中资为主的中外资合作，引导和激发国内资本进入高新技术领域，适当控制外商独资企业的发展，提升中外资协调使用的经济效益。</w:t>
      </w:r>
    </w:p>
    <w:p w14:paraId="19362194">
      <w:pPr>
        <w:pStyle w:val="21"/>
        <w:spacing w:line="400" w:lineRule="exact"/>
        <w:ind w:firstLine="420" w:firstLineChars="200"/>
        <w:jc w:val="both"/>
        <w:rPr>
          <w:sz w:val="21"/>
          <w:szCs w:val="21"/>
        </w:rPr>
      </w:pPr>
      <w:r>
        <w:rPr>
          <w:rFonts w:cs="Times New Roman"/>
          <w:b/>
          <w:bCs/>
          <w:color w:val="000000"/>
          <w:sz w:val="21"/>
          <w:szCs w:val="21"/>
          <w:lang w:val="en-US" w:eastAsia="zh-CN" w:bidi="en-US"/>
        </w:rPr>
        <w:t>4-</w:t>
      </w:r>
      <w:r>
        <w:rPr>
          <w:color w:val="000000"/>
          <w:sz w:val="21"/>
          <w:szCs w:val="21"/>
        </w:rPr>
        <w:t>需要加强对中国境外的投资，发挥中国过剩资本的有效作用。商务部的数据显示，</w:t>
      </w:r>
      <w:r>
        <w:rPr>
          <w:rFonts w:cs="Times New Roman"/>
          <w:b/>
          <w:bCs/>
          <w:color w:val="000000"/>
          <w:sz w:val="21"/>
          <w:szCs w:val="21"/>
        </w:rPr>
        <w:t>2010</w:t>
      </w:r>
      <w:r>
        <w:rPr>
          <w:color w:val="000000"/>
          <w:sz w:val="21"/>
          <w:szCs w:val="21"/>
        </w:rPr>
        <w:t>年中国境内投资者共对</w:t>
      </w:r>
      <w:r>
        <w:rPr>
          <w:rFonts w:cs="Times New Roman"/>
          <w:b/>
          <w:bCs/>
          <w:color w:val="000000"/>
          <w:sz w:val="21"/>
          <w:szCs w:val="21"/>
        </w:rPr>
        <w:t>129</w:t>
      </w:r>
      <w:r>
        <w:rPr>
          <w:color w:val="000000"/>
          <w:sz w:val="21"/>
          <w:szCs w:val="21"/>
        </w:rPr>
        <w:t>个国家和地区的</w:t>
      </w:r>
      <w:r>
        <w:rPr>
          <w:rFonts w:cs="Times New Roman"/>
          <w:b/>
          <w:bCs/>
          <w:color w:val="000000"/>
          <w:sz w:val="21"/>
          <w:szCs w:val="21"/>
        </w:rPr>
        <w:t>3125</w:t>
      </w:r>
      <w:r>
        <w:rPr>
          <w:color w:val="000000"/>
          <w:sz w:val="21"/>
          <w:szCs w:val="21"/>
        </w:rPr>
        <w:t>家境外企业进行了直接投资，累计实现非金融类对外直接投资</w:t>
      </w:r>
      <w:r>
        <w:rPr>
          <w:rFonts w:cs="Times New Roman"/>
          <w:b/>
          <w:bCs/>
          <w:color w:val="000000"/>
          <w:sz w:val="21"/>
          <w:szCs w:val="21"/>
        </w:rPr>
        <w:t>590</w:t>
      </w:r>
      <w:r>
        <w:rPr>
          <w:color w:val="000000"/>
          <w:sz w:val="21"/>
          <w:szCs w:val="21"/>
        </w:rPr>
        <w:t>亿美元,同比增长</w:t>
      </w:r>
      <w:r>
        <w:rPr>
          <w:rFonts w:cs="Times New Roman"/>
          <w:b/>
          <w:bCs/>
          <w:color w:val="000000"/>
          <w:sz w:val="21"/>
          <w:szCs w:val="21"/>
          <w:lang w:val="en-US" w:eastAsia="zh-CN" w:bidi="en-US"/>
        </w:rPr>
        <w:t>36.</w:t>
      </w:r>
      <w:r>
        <w:rPr>
          <w:rFonts w:cs="Times New Roman"/>
          <w:b/>
          <w:bCs/>
          <w:color w:val="000000"/>
          <w:sz w:val="21"/>
          <w:szCs w:val="21"/>
        </w:rPr>
        <w:t>3%,</w:t>
      </w:r>
      <w:r>
        <w:rPr>
          <w:color w:val="000000"/>
          <w:sz w:val="21"/>
          <w:szCs w:val="21"/>
        </w:rPr>
        <w:t>创历史新高。截至</w:t>
      </w:r>
      <w:r>
        <w:rPr>
          <w:rFonts w:cs="Times New Roman"/>
          <w:b/>
          <w:bCs/>
          <w:color w:val="000000"/>
          <w:sz w:val="21"/>
          <w:szCs w:val="21"/>
        </w:rPr>
        <w:t>2010</w:t>
      </w:r>
      <w:r>
        <w:rPr>
          <w:color w:val="000000"/>
          <w:sz w:val="21"/>
          <w:szCs w:val="21"/>
        </w:rPr>
        <w:t>年底，中国累计非金融类对外直接投资</w:t>
      </w:r>
      <w:r>
        <w:rPr>
          <w:rFonts w:cs="Times New Roman"/>
          <w:b/>
          <w:bCs/>
          <w:color w:val="000000"/>
          <w:sz w:val="21"/>
          <w:szCs w:val="21"/>
        </w:rPr>
        <w:t>2588</w:t>
      </w:r>
      <w:r>
        <w:rPr>
          <w:color w:val="000000"/>
          <w:sz w:val="21"/>
          <w:szCs w:val="21"/>
        </w:rPr>
        <w:t>亿元。</w:t>
      </w:r>
      <w:r>
        <w:rPr>
          <w:rStyle w:val="20"/>
          <w:rFonts w:ascii="宋体" w:hAnsi="宋体" w:eastAsia="宋体"/>
          <w:sz w:val="21"/>
          <w:szCs w:val="21"/>
        </w:rPr>
        <w:footnoteReference w:id="503"/>
      </w:r>
      <w:r>
        <w:rPr>
          <w:color w:val="000000"/>
          <w:sz w:val="21"/>
          <w:szCs w:val="21"/>
        </w:rPr>
        <w:t>鉴于中方资本在国内相对过剩投资领域和项目相对匮乏等情况，必须进一步加大对发展中国家，特别是发达国家的投资，包括工业交通、商业、农业、旅游、文化、新闻媒体等多领域的多元化灵活投资。</w:t>
      </w:r>
    </w:p>
    <w:p w14:paraId="0C2F28BF">
      <w:pPr>
        <w:pStyle w:val="21"/>
        <w:spacing w:line="400" w:lineRule="exact"/>
        <w:ind w:firstLine="420" w:firstLineChars="200"/>
        <w:jc w:val="both"/>
        <w:rPr>
          <w:b/>
          <w:bCs/>
          <w:sz w:val="21"/>
          <w:szCs w:val="21"/>
        </w:rPr>
      </w:pPr>
      <w:r>
        <w:rPr>
          <w:b/>
          <w:bCs/>
          <w:color w:val="000000"/>
          <w:sz w:val="21"/>
          <w:szCs w:val="21"/>
        </w:rPr>
        <w:t>（二）适当降低外技依存度，积极提升自主创新的能力</w:t>
      </w:r>
    </w:p>
    <w:p w14:paraId="2C429887">
      <w:pPr>
        <w:pStyle w:val="21"/>
        <w:spacing w:line="400" w:lineRule="exact"/>
        <w:ind w:firstLine="420" w:firstLineChars="200"/>
        <w:jc w:val="both"/>
        <w:rPr>
          <w:sz w:val="21"/>
          <w:szCs w:val="21"/>
        </w:rPr>
      </w:pPr>
      <w:r>
        <w:rPr>
          <w:color w:val="000000"/>
          <w:sz w:val="21"/>
          <w:szCs w:val="21"/>
        </w:rPr>
        <w:t>事实证明，在缺乏核心技术而形成的</w:t>
      </w:r>
      <w:r>
        <w:rPr>
          <w:color w:val="000000"/>
          <w:sz w:val="21"/>
          <w:szCs w:val="21"/>
          <w:lang w:val="zh-CN" w:eastAsia="zh-CN" w:bidi="zh-CN"/>
        </w:rPr>
        <w:t>“三</w:t>
      </w:r>
      <w:r>
        <w:rPr>
          <w:color w:val="000000"/>
          <w:sz w:val="21"/>
          <w:szCs w:val="21"/>
        </w:rPr>
        <w:t>高一低</w:t>
      </w:r>
      <w:r>
        <w:rPr>
          <w:color w:val="000000"/>
          <w:sz w:val="21"/>
          <w:szCs w:val="21"/>
          <w:lang w:val="zh-CN" w:eastAsia="zh-CN" w:bidi="zh-CN"/>
        </w:rPr>
        <w:t>”（高</w:t>
      </w:r>
      <w:r>
        <w:rPr>
          <w:color w:val="000000"/>
          <w:sz w:val="21"/>
          <w:szCs w:val="21"/>
        </w:rPr>
        <w:t>污染、高能耗、高依存度，低附加值）模式下所获取的贸易利益，只能属于初级开放阶段的状态。倘若长期照此模式继续下去，过度依赖发达国家的高科技产品，</w:t>
      </w:r>
      <w:r>
        <w:rPr>
          <w:rStyle w:val="28"/>
          <w:sz w:val="21"/>
          <w:szCs w:val="21"/>
        </w:rPr>
        <w:t>会在外贸结构、贸易条件、社会整体福利水平提高等方面改善缓慢，并逐渐陷入</w:t>
      </w:r>
      <w:r>
        <w:rPr>
          <w:rStyle w:val="28"/>
          <w:sz w:val="21"/>
          <w:szCs w:val="21"/>
          <w:lang w:val="zh-CN" w:eastAsia="zh-CN" w:bidi="zh-CN"/>
        </w:rPr>
        <w:t>“比较</w:t>
      </w:r>
      <w:r>
        <w:rPr>
          <w:rStyle w:val="28"/>
          <w:sz w:val="21"/>
          <w:szCs w:val="21"/>
        </w:rPr>
        <w:t>优势陷阱”。</w:t>
      </w:r>
    </w:p>
    <w:p w14:paraId="0D0D471F">
      <w:pPr>
        <w:pStyle w:val="21"/>
        <w:numPr>
          <w:ilvl w:val="0"/>
          <w:numId w:val="15"/>
        </w:numPr>
        <w:tabs>
          <w:tab w:val="left" w:pos="716"/>
        </w:tabs>
        <w:spacing w:line="400" w:lineRule="exact"/>
        <w:ind w:firstLine="420" w:firstLineChars="200"/>
        <w:jc w:val="both"/>
        <w:rPr>
          <w:sz w:val="21"/>
          <w:szCs w:val="21"/>
        </w:rPr>
      </w:pPr>
      <w:r>
        <w:rPr>
          <w:color w:val="000000"/>
          <w:sz w:val="21"/>
          <w:szCs w:val="21"/>
        </w:rPr>
        <w:t>确立自主知识产权优势战略。我国的对外贸易战略虽然要重视发挥</w:t>
      </w:r>
      <w:r>
        <w:rPr>
          <w:color w:val="000000"/>
          <w:sz w:val="21"/>
          <w:szCs w:val="21"/>
          <w:lang w:val="zh-CN" w:eastAsia="zh-CN" w:bidi="zh-CN"/>
        </w:rPr>
        <w:t>“比</w:t>
      </w:r>
      <w:r>
        <w:rPr>
          <w:color w:val="000000"/>
          <w:sz w:val="21"/>
          <w:szCs w:val="21"/>
        </w:rPr>
        <w:t>较优势”，但不能以西方教科书上的比较优势战略作为主要模式，需要解放思想，突破以传统比较优势理论为基础的旧式国际分工模式的束缚,变</w:t>
      </w:r>
      <w:r>
        <w:rPr>
          <w:color w:val="000000"/>
          <w:sz w:val="21"/>
          <w:szCs w:val="21"/>
          <w:lang w:val="zh-CN" w:eastAsia="zh-CN" w:bidi="zh-CN"/>
        </w:rPr>
        <w:t>“比较</w:t>
      </w:r>
      <w:r>
        <w:rPr>
          <w:color w:val="000000"/>
          <w:sz w:val="21"/>
          <w:szCs w:val="21"/>
        </w:rPr>
        <w:t>优势”为</w:t>
      </w:r>
      <w:r>
        <w:rPr>
          <w:color w:val="000000"/>
          <w:sz w:val="21"/>
          <w:szCs w:val="21"/>
          <w:lang w:val="zh-CN" w:eastAsia="zh-CN" w:bidi="zh-CN"/>
        </w:rPr>
        <w:t>“知识</w:t>
      </w:r>
      <w:r>
        <w:rPr>
          <w:color w:val="000000"/>
          <w:sz w:val="21"/>
          <w:szCs w:val="21"/>
        </w:rPr>
        <w:t>产权优势”。只有具有自主知识产权的优势，企业和产业的核心竞争优势才有可能形成并长期保持。或者说，知识产权优势是维护持久、高端竞争优势的必要性条件。那种只强调保护国内外知识产权，不强调创造自主知识产权的做法；那种主要寄希望于依赖式不断引进外技、外牌和外资的策略，那种看不到跨国公司在华投资双面效应的思维，都是不科学的僵化开放理念。</w:t>
      </w:r>
      <w:r>
        <w:rPr>
          <w:rStyle w:val="20"/>
          <w:rFonts w:ascii="宋体" w:hAnsi="宋体" w:eastAsia="宋体"/>
          <w:sz w:val="21"/>
          <w:szCs w:val="21"/>
        </w:rPr>
        <w:footnoteReference w:id="504"/>
      </w:r>
      <w:r>
        <w:rPr>
          <w:color w:val="000000"/>
          <w:sz w:val="21"/>
          <w:szCs w:val="21"/>
        </w:rPr>
        <w:t>至于西方跨国公司批评中国政府鼓励自主知识产权创新是所谓用</w:t>
      </w:r>
      <w:r>
        <w:rPr>
          <w:color w:val="000000"/>
          <w:sz w:val="21"/>
          <w:szCs w:val="21"/>
          <w:lang w:val="zh-CN" w:eastAsia="zh-CN" w:bidi="zh-CN"/>
        </w:rPr>
        <w:t>“公</w:t>
      </w:r>
      <w:r>
        <w:rPr>
          <w:color w:val="000000"/>
          <w:sz w:val="21"/>
          <w:szCs w:val="21"/>
        </w:rPr>
        <w:t>权力”对抗</w:t>
      </w:r>
      <w:r>
        <w:rPr>
          <w:color w:val="000000"/>
          <w:sz w:val="21"/>
          <w:szCs w:val="21"/>
          <w:lang w:val="zh-CN" w:eastAsia="zh-CN" w:bidi="zh-CN"/>
        </w:rPr>
        <w:t>“私权</w:t>
      </w:r>
      <w:r>
        <w:rPr>
          <w:color w:val="000000"/>
          <w:sz w:val="21"/>
          <w:szCs w:val="21"/>
        </w:rPr>
        <w:t>力”，这完全是站不住脚的，因为西方发达国家也一贯如此。</w:t>
      </w:r>
    </w:p>
    <w:p w14:paraId="34A5DB8D">
      <w:pPr>
        <w:pStyle w:val="21"/>
        <w:numPr>
          <w:ilvl w:val="0"/>
          <w:numId w:val="15"/>
        </w:numPr>
        <w:tabs>
          <w:tab w:val="left" w:pos="716"/>
        </w:tabs>
        <w:spacing w:line="400" w:lineRule="exact"/>
        <w:ind w:firstLine="420" w:firstLineChars="200"/>
        <w:jc w:val="both"/>
        <w:rPr>
          <w:sz w:val="21"/>
          <w:szCs w:val="21"/>
        </w:rPr>
      </w:pPr>
      <w:r>
        <w:rPr>
          <w:color w:val="000000"/>
          <w:sz w:val="21"/>
          <w:szCs w:val="21"/>
        </w:rPr>
        <w:t>强化国际科技合作，积极完善国内创新环境。降低外技依存度，需要推动以我国为主的国际国内的科技合作，使科技合作与经济合作相融合。实现国际科技合作的关键在于完善国内创新环境。一是要完善科技人才成长和发展环境，加大创新人才的培养力度，建设一支适应时代和社会发展需要的民族创新人才队伍；二是要加大自主创新的研发经费投入，完善创新载体和创新平台，为自主创新提供必要的物质基础；三是要充分发挥政府的主导作用，利用社会主义集中力量办大事的优势，组织好若干重大科研项目的攻关，努力在若干技术前沿领域和重要产业掌握一批自主核心技术和技术标准，积极提高中方专利和品牌的档次和质量。</w:t>
      </w:r>
    </w:p>
    <w:p w14:paraId="7B0C48A6">
      <w:pPr>
        <w:pStyle w:val="21"/>
        <w:numPr>
          <w:ilvl w:val="0"/>
          <w:numId w:val="15"/>
        </w:numPr>
        <w:tabs>
          <w:tab w:val="left" w:pos="716"/>
        </w:tabs>
        <w:spacing w:line="400" w:lineRule="exact"/>
        <w:ind w:firstLine="420" w:firstLineChars="200"/>
        <w:jc w:val="both"/>
        <w:rPr>
          <w:sz w:val="21"/>
          <w:szCs w:val="21"/>
        </w:rPr>
      </w:pPr>
      <w:r>
        <w:rPr>
          <w:color w:val="000000"/>
          <w:sz w:val="21"/>
          <w:szCs w:val="21"/>
        </w:rPr>
        <w:t>强化国内企业科技创新的主体地位。积极提升自主创新能力，重点要积极发展控技（尤其是核心技术和技术标准）、控牌（尤其是名牌）和控股的</w:t>
      </w:r>
      <w:r>
        <w:rPr>
          <w:color w:val="000000"/>
          <w:sz w:val="21"/>
          <w:szCs w:val="21"/>
          <w:lang w:val="zh-CN" w:eastAsia="zh-CN" w:bidi="zh-CN"/>
        </w:rPr>
        <w:t>“三</w:t>
      </w:r>
      <w:r>
        <w:rPr>
          <w:color w:val="000000"/>
          <w:sz w:val="21"/>
          <w:szCs w:val="21"/>
        </w:rPr>
        <w:t>控型”民族企业集团和跨国公司，突出培育和发挥自主知识产权优势，以打造</w:t>
      </w:r>
      <w:r>
        <w:rPr>
          <w:color w:val="000000"/>
          <w:sz w:val="21"/>
          <w:szCs w:val="21"/>
          <w:lang w:val="zh-CN" w:eastAsia="zh-CN" w:bidi="zh-CN"/>
        </w:rPr>
        <w:t>“中国</w:t>
      </w:r>
      <w:r>
        <w:rPr>
          <w:color w:val="000000"/>
          <w:sz w:val="21"/>
          <w:szCs w:val="21"/>
        </w:rPr>
        <w:t>的世界工厂”来取代</w:t>
      </w:r>
      <w:r>
        <w:rPr>
          <w:color w:val="000000"/>
          <w:sz w:val="21"/>
          <w:szCs w:val="21"/>
          <w:lang w:val="zh-CN" w:eastAsia="zh-CN" w:bidi="zh-CN"/>
        </w:rPr>
        <w:t>“世界</w:t>
      </w:r>
      <w:r>
        <w:rPr>
          <w:color w:val="000000"/>
          <w:sz w:val="21"/>
          <w:szCs w:val="21"/>
        </w:rPr>
        <w:t>在中国的加工厂”，尽快完成从技术大国向技术强国、专利大国向专利强国、品牌大国向品牌强国的转型。</w:t>
      </w:r>
    </w:p>
    <w:p w14:paraId="5CF9C0B8">
      <w:pPr>
        <w:pStyle w:val="21"/>
        <w:spacing w:line="400" w:lineRule="exact"/>
        <w:ind w:firstLine="420" w:firstLineChars="200"/>
        <w:jc w:val="both"/>
        <w:rPr>
          <w:b/>
          <w:bCs/>
          <w:sz w:val="21"/>
          <w:szCs w:val="21"/>
        </w:rPr>
      </w:pPr>
      <w:r>
        <w:rPr>
          <w:b/>
          <w:bCs/>
          <w:color w:val="000000"/>
          <w:sz w:val="21"/>
          <w:szCs w:val="21"/>
        </w:rPr>
        <w:t>（三）适当降低</w:t>
      </w:r>
      <w:r>
        <w:rPr>
          <w:b/>
          <w:bCs/>
          <w:color w:val="000000"/>
          <w:sz w:val="21"/>
          <w:szCs w:val="21"/>
          <w:lang w:val="zh-CN" w:eastAsia="zh-CN" w:bidi="zh-CN"/>
        </w:rPr>
        <w:t>“外</w:t>
      </w:r>
      <w:r>
        <w:rPr>
          <w:b/>
          <w:bCs/>
          <w:color w:val="000000"/>
          <w:sz w:val="21"/>
          <w:szCs w:val="21"/>
        </w:rPr>
        <w:t>源”依存度，积极提升配置资源的效率</w:t>
      </w:r>
    </w:p>
    <w:p w14:paraId="5321409E">
      <w:pPr>
        <w:pStyle w:val="21"/>
        <w:spacing w:line="400" w:lineRule="exact"/>
        <w:ind w:firstLine="420" w:firstLineChars="200"/>
        <w:jc w:val="both"/>
        <w:rPr>
          <w:sz w:val="21"/>
          <w:szCs w:val="21"/>
        </w:rPr>
      </w:pPr>
      <w:r>
        <w:rPr>
          <w:color w:val="000000"/>
          <w:sz w:val="21"/>
          <w:szCs w:val="21"/>
        </w:rPr>
        <w:t>能源等一些资源过度依赖进口,既使我国未来的经济发展背上沉重的成本负担，也威胁到国家的经济政治安全，并且容易引发更多的国际争端。适当降低对国际市场能源和资源的依赖程度，是我国转变对外经济发展方式的重要内容。</w:t>
      </w:r>
    </w:p>
    <w:p w14:paraId="4A65FBBB">
      <w:pPr>
        <w:pStyle w:val="21"/>
        <w:spacing w:line="400" w:lineRule="exact"/>
        <w:ind w:firstLine="420" w:firstLineChars="200"/>
        <w:jc w:val="both"/>
        <w:rPr>
          <w:sz w:val="21"/>
          <w:szCs w:val="21"/>
        </w:rPr>
      </w:pPr>
      <w:r>
        <w:rPr>
          <w:color w:val="000000"/>
          <w:sz w:val="21"/>
          <w:szCs w:val="21"/>
        </w:rPr>
        <w:t>尽管能源大量依赖进口存在着较高的风险，但由于国内能源供给数量有限，进口仍然会成为中国能源供给的重要方式之一。问题的根本在于，如何把握能源进口的依赖程度。一些舆论认为，中国目前的能源对外依赖程度并不足以引起高度警戒，也没有必要加以防范。其理由一是从国外进口开釆成本低，符合经济规律；二是中国到目前为止并未遭遇过政治上的禁运。事实上，国际原油价格一度突破百元大关，日日高企的原油价格令低成本说不攻自破，而至今没有遭遇禁运，也绝不能推论出未来就没有遭遇禁运的可能。因此，中国某些能源和资源的进口高依存度</w:t>
      </w:r>
      <w:r>
        <w:rPr>
          <w:color w:val="000000"/>
          <w:sz w:val="21"/>
          <w:szCs w:val="21"/>
          <w:lang w:val="zh-CN" w:eastAsia="zh-CN" w:bidi="zh-CN"/>
        </w:rPr>
        <w:t>“无</w:t>
      </w:r>
      <w:r>
        <w:rPr>
          <w:color w:val="000000"/>
          <w:sz w:val="21"/>
          <w:szCs w:val="21"/>
        </w:rPr>
        <w:t>风险”论并不能成立，需要及时建立风险防范措施。</w:t>
      </w:r>
    </w:p>
    <w:p w14:paraId="5502DEFA">
      <w:pPr>
        <w:pStyle w:val="21"/>
        <w:numPr>
          <w:ilvl w:val="0"/>
          <w:numId w:val="16"/>
        </w:numPr>
        <w:tabs>
          <w:tab w:val="left" w:pos="711"/>
        </w:tabs>
        <w:spacing w:line="400" w:lineRule="exact"/>
        <w:ind w:firstLine="420" w:firstLineChars="200"/>
        <w:jc w:val="both"/>
        <w:rPr>
          <w:sz w:val="21"/>
          <w:szCs w:val="21"/>
        </w:rPr>
      </w:pPr>
      <w:r>
        <w:rPr>
          <w:color w:val="000000"/>
          <w:sz w:val="21"/>
          <w:szCs w:val="21"/>
        </w:rPr>
        <w:t>需要尽快建立起自己的重要能源（特别是石油）战略储备体系,形成一道基本的防火墙。在开放经济条件下，由于处于低端生产环节，我国能源原材料需求急剧增加，供需缺口加大，但国家能源等战略储备建设滞后，而且国内又存在西方大型公司的垄断化经营，导致我国一方面由于对国际市场存在刚性依赖，难以有效防范国际市场价格的异常波动带来的风险；另一方面，也对国内能源安全带来冲击，不利于增强我国在国际市场的自主性。建立能源战略储备体系，既可以防范国际市场价格风险，也可以应对不可预见的突发事件。最重要的是，能源战略储备体系可以平抑国内能源市场价格波动，引导和促进我国能源消费的合理化。</w:t>
      </w:r>
    </w:p>
    <w:p w14:paraId="28C46E09">
      <w:pPr>
        <w:pStyle w:val="21"/>
        <w:numPr>
          <w:ilvl w:val="0"/>
          <w:numId w:val="16"/>
        </w:numPr>
        <w:tabs>
          <w:tab w:val="left" w:pos="706"/>
        </w:tabs>
        <w:spacing w:line="400" w:lineRule="exact"/>
        <w:ind w:firstLine="420" w:firstLineChars="200"/>
        <w:jc w:val="both"/>
        <w:rPr>
          <w:sz w:val="21"/>
          <w:szCs w:val="21"/>
        </w:rPr>
      </w:pPr>
      <w:r>
        <w:rPr>
          <w:color w:val="000000"/>
          <w:sz w:val="21"/>
          <w:szCs w:val="21"/>
        </w:rPr>
        <w:t>需要重视国内资源能源的科学开发和高效利用。一是要科学制定国内能源和资源的可持续开发、利用和保护计划；二是要提高国内矿产资源开发的门槛限制和企业标准，提高能源开采效率；三是要适当提高资源消费价格，引导资源消费行为，提高资源的利用效率。</w:t>
      </w:r>
    </w:p>
    <w:p w14:paraId="6000E771">
      <w:pPr>
        <w:pStyle w:val="21"/>
        <w:numPr>
          <w:ilvl w:val="0"/>
          <w:numId w:val="16"/>
        </w:numPr>
        <w:tabs>
          <w:tab w:val="left" w:pos="715"/>
        </w:tabs>
        <w:spacing w:line="400" w:lineRule="exact"/>
        <w:ind w:firstLine="420" w:firstLineChars="200"/>
        <w:jc w:val="both"/>
        <w:rPr>
          <w:sz w:val="21"/>
          <w:szCs w:val="21"/>
        </w:rPr>
      </w:pPr>
      <w:r>
        <w:rPr>
          <w:color w:val="000000"/>
          <w:sz w:val="21"/>
          <w:szCs w:val="21"/>
        </w:rPr>
        <w:t>需要坚持鼓励和支持对新能源的开发和利用，从政策上重奖节能,重罚浪费。要积极出台政策，大力支持低碳技术、节能减排技术的创新和应用，限制</w:t>
      </w:r>
      <w:r>
        <w:rPr>
          <w:color w:val="000000"/>
          <w:sz w:val="21"/>
          <w:szCs w:val="21"/>
          <w:lang w:val="zh-CN" w:eastAsia="zh-CN" w:bidi="zh-CN"/>
        </w:rPr>
        <w:t>“三高</w:t>
      </w:r>
      <w:r>
        <w:rPr>
          <w:color w:val="000000"/>
          <w:sz w:val="21"/>
          <w:szCs w:val="21"/>
        </w:rPr>
        <w:t>一低”项目的发展，减轻资源环境的压力。</w:t>
      </w:r>
    </w:p>
    <w:p w14:paraId="4BC4EB7A">
      <w:pPr>
        <w:pStyle w:val="21"/>
        <w:numPr>
          <w:ilvl w:val="0"/>
          <w:numId w:val="16"/>
        </w:numPr>
        <w:tabs>
          <w:tab w:val="left" w:pos="726"/>
        </w:tabs>
        <w:spacing w:line="400" w:lineRule="exact"/>
        <w:ind w:firstLine="420" w:firstLineChars="200"/>
        <w:jc w:val="both"/>
        <w:rPr>
          <w:sz w:val="21"/>
          <w:szCs w:val="21"/>
        </w:rPr>
      </w:pPr>
      <w:r>
        <w:rPr>
          <w:color w:val="000000"/>
          <w:sz w:val="21"/>
          <w:szCs w:val="21"/>
        </w:rPr>
        <w:t>需要加强石油、黄金、有色金属、煤炭等各种稀缺资源的战略性管理，提升资源类商品的国际市场定价权和市场控制力。据有关资料，由于不掌握定价权，我国出口稀土曾便宜到每公斤价格仅</w:t>
      </w:r>
      <w:r>
        <w:rPr>
          <w:rFonts w:cs="Times New Roman"/>
          <w:b/>
          <w:bCs/>
          <w:color w:val="000000"/>
          <w:sz w:val="21"/>
          <w:szCs w:val="21"/>
        </w:rPr>
        <w:t>18</w:t>
      </w:r>
      <w:r>
        <w:rPr>
          <w:color w:val="000000"/>
          <w:sz w:val="21"/>
          <w:szCs w:val="21"/>
        </w:rPr>
        <w:t>元人民币，而国际市场价格竟高达</w:t>
      </w:r>
      <w:r>
        <w:rPr>
          <w:rFonts w:cs="Times New Roman"/>
          <w:b/>
          <w:bCs/>
          <w:color w:val="000000"/>
          <w:sz w:val="21"/>
          <w:szCs w:val="21"/>
        </w:rPr>
        <w:t>1000</w:t>
      </w:r>
      <w:r>
        <w:rPr>
          <w:color w:val="000000"/>
          <w:sz w:val="21"/>
          <w:szCs w:val="21"/>
        </w:rPr>
        <w:t>美元/公斤。英国《金融时报》的文章提到，中国</w:t>
      </w:r>
      <w:r>
        <w:rPr>
          <w:rFonts w:cs="Times New Roman"/>
          <w:b/>
          <w:bCs/>
          <w:color w:val="000000"/>
          <w:sz w:val="21"/>
          <w:szCs w:val="21"/>
        </w:rPr>
        <w:t>2005</w:t>
      </w:r>
      <w:r>
        <w:rPr>
          <w:color w:val="000000"/>
          <w:sz w:val="21"/>
          <w:szCs w:val="21"/>
        </w:rPr>
        <w:t>年时的稀土产量曾经达到全世界的</w:t>
      </w:r>
      <w:r>
        <w:rPr>
          <w:rFonts w:cs="Times New Roman"/>
          <w:b/>
          <w:bCs/>
          <w:color w:val="000000"/>
          <w:sz w:val="21"/>
          <w:szCs w:val="21"/>
        </w:rPr>
        <w:t>96%,</w:t>
      </w:r>
      <w:r>
        <w:rPr>
          <w:color w:val="000000"/>
          <w:sz w:val="21"/>
          <w:szCs w:val="21"/>
        </w:rPr>
        <w:t>出口量也达到</w:t>
      </w:r>
      <w:r>
        <w:rPr>
          <w:rFonts w:cs="Times New Roman"/>
          <w:b/>
          <w:bCs/>
          <w:color w:val="000000"/>
          <w:sz w:val="21"/>
          <w:szCs w:val="21"/>
        </w:rPr>
        <w:t>60%</w:t>
      </w:r>
      <w:r>
        <w:rPr>
          <w:color w:val="000000"/>
          <w:sz w:val="21"/>
          <w:szCs w:val="21"/>
        </w:rPr>
        <w:t>以上,但是稀土的定价权却并不掌握在我国企业手里。</w:t>
      </w:r>
      <w:r>
        <w:rPr>
          <w:rStyle w:val="20"/>
          <w:rFonts w:ascii="宋体" w:hAnsi="宋体" w:eastAsia="宋体"/>
          <w:sz w:val="21"/>
          <w:szCs w:val="21"/>
        </w:rPr>
        <w:footnoteReference w:id="505"/>
      </w:r>
      <w:r>
        <w:rPr>
          <w:color w:val="000000"/>
          <w:sz w:val="21"/>
          <w:szCs w:val="21"/>
        </w:rPr>
        <w:t>这个教训值得汲取。今后，我国对重要的能源和资源都应该加强出口管制，力争战略性资源产品定价主导权。要由</w:t>
      </w:r>
      <w:r>
        <w:rPr>
          <w:color w:val="000000"/>
          <w:sz w:val="21"/>
          <w:szCs w:val="21"/>
          <w:lang w:val="zh-CN" w:eastAsia="zh-CN" w:bidi="zh-CN"/>
        </w:rPr>
        <w:t>“价</w:t>
      </w:r>
      <w:r>
        <w:rPr>
          <w:color w:val="000000"/>
          <w:sz w:val="21"/>
          <w:szCs w:val="21"/>
        </w:rPr>
        <w:t>格追随者”变为</w:t>
      </w:r>
      <w:r>
        <w:rPr>
          <w:color w:val="000000"/>
          <w:sz w:val="21"/>
          <w:szCs w:val="21"/>
          <w:lang w:val="zh-CN" w:eastAsia="zh-CN" w:bidi="zh-CN"/>
        </w:rPr>
        <w:t>“价</w:t>
      </w:r>
      <w:r>
        <w:rPr>
          <w:color w:val="000000"/>
          <w:sz w:val="21"/>
          <w:szCs w:val="21"/>
        </w:rPr>
        <w:t>格制定者”，尤其要注重掌控和影响黑色金属（如铁矿石）、有色金属（如铜、铝、铅、锌、锡、镣）及稀土资源的国际定价权。</w:t>
      </w:r>
    </w:p>
    <w:p w14:paraId="2B7BA227">
      <w:pPr>
        <w:pStyle w:val="21"/>
        <w:spacing w:line="400" w:lineRule="exact"/>
        <w:ind w:firstLine="420" w:firstLineChars="200"/>
        <w:jc w:val="both"/>
        <w:rPr>
          <w:b/>
          <w:bCs/>
          <w:sz w:val="21"/>
          <w:szCs w:val="21"/>
        </w:rPr>
      </w:pPr>
      <w:r>
        <w:rPr>
          <w:b/>
          <w:bCs/>
          <w:color w:val="000000"/>
          <w:sz w:val="21"/>
          <w:szCs w:val="21"/>
        </w:rPr>
        <w:t>（四）适当控制外汇储备规模，积极提升使用外汇的收益</w:t>
      </w:r>
    </w:p>
    <w:p w14:paraId="04A2E57E">
      <w:pPr>
        <w:pStyle w:val="21"/>
        <w:spacing w:line="400" w:lineRule="exact"/>
        <w:ind w:firstLine="420" w:firstLineChars="200"/>
        <w:jc w:val="both"/>
        <w:rPr>
          <w:sz w:val="21"/>
          <w:szCs w:val="21"/>
        </w:rPr>
      </w:pPr>
      <w:r>
        <w:rPr>
          <w:color w:val="000000"/>
          <w:sz w:val="21"/>
          <w:szCs w:val="21"/>
        </w:rPr>
        <w:t>充足的外汇储备有利于增强我国的对外支付和清偿能力，防范国际收支和金融风险，提高海内外对中国经济的信心。但是，如果长时间和大幅度地超过合理规模，会给经济发展带来诸多负面影响。</w:t>
      </w:r>
    </w:p>
    <w:p w14:paraId="4106077C">
      <w:pPr>
        <w:pStyle w:val="21"/>
        <w:spacing w:line="400" w:lineRule="exact"/>
        <w:ind w:firstLine="420" w:firstLineChars="200"/>
        <w:jc w:val="both"/>
        <w:rPr>
          <w:sz w:val="21"/>
          <w:szCs w:val="21"/>
        </w:rPr>
      </w:pPr>
      <w:r>
        <w:rPr>
          <w:color w:val="000000"/>
          <w:sz w:val="21"/>
          <w:szCs w:val="21"/>
        </w:rPr>
        <w:t>解决外汇储备过度的问题，不仅要控制低收益的加工贸易的发展规模，从根源上减少贸易顺差，降低外汇储备激增的速度，而且要通过扩大内需、增加国内消费、更多地进口以平衡对外贸易。历史经验证明，大部分发达国家都经历了一个先</w:t>
      </w:r>
      <w:r>
        <w:rPr>
          <w:color w:val="000000"/>
          <w:sz w:val="21"/>
          <w:szCs w:val="21"/>
          <w:lang w:val="zh-CN" w:eastAsia="zh-CN" w:bidi="zh-CN"/>
        </w:rPr>
        <w:t>“引进</w:t>
      </w:r>
      <w:r>
        <w:rPr>
          <w:color w:val="000000"/>
          <w:sz w:val="21"/>
          <w:szCs w:val="21"/>
        </w:rPr>
        <w:t>来”，再</w:t>
      </w:r>
      <w:r>
        <w:rPr>
          <w:color w:val="000000"/>
          <w:sz w:val="21"/>
          <w:szCs w:val="21"/>
          <w:lang w:val="zh-CN" w:eastAsia="zh-CN" w:bidi="zh-CN"/>
        </w:rPr>
        <w:t>“走</w:t>
      </w:r>
      <w:r>
        <w:rPr>
          <w:color w:val="000000"/>
          <w:sz w:val="21"/>
          <w:szCs w:val="21"/>
        </w:rPr>
        <w:t>出去”的过程。目前我国比较充裕的外汇储备，可以为我国</w:t>
      </w:r>
      <w:r>
        <w:rPr>
          <w:color w:val="000000"/>
          <w:sz w:val="21"/>
          <w:szCs w:val="21"/>
          <w:lang w:val="zh-CN" w:eastAsia="zh-CN" w:bidi="zh-CN"/>
        </w:rPr>
        <w:t>“走</w:t>
      </w:r>
      <w:r>
        <w:rPr>
          <w:color w:val="000000"/>
          <w:sz w:val="21"/>
          <w:szCs w:val="21"/>
        </w:rPr>
        <w:t>出去”提供坚实的经济后盾。</w:t>
      </w:r>
    </w:p>
    <w:p w14:paraId="7AAEF0CF">
      <w:pPr>
        <w:pStyle w:val="21"/>
        <w:spacing w:line="400" w:lineRule="exact"/>
        <w:ind w:firstLine="420" w:firstLineChars="200"/>
        <w:jc w:val="both"/>
        <w:rPr>
          <w:sz w:val="21"/>
          <w:szCs w:val="21"/>
        </w:rPr>
      </w:pPr>
      <w:r>
        <w:rPr>
          <w:color w:val="000000"/>
          <w:sz w:val="21"/>
          <w:szCs w:val="21"/>
        </w:rPr>
        <w:t>巨额的外汇储备是我们来之不易的宝贵财富，除了尽可能实现保值和增值，以及合理地安排其在境外的投资结构以外，也要及时地合理配置手中已有的外汇资源。从国内来说，应当有计划地激活这些资源，用于国内急需的国计民生领域和项目，如社会保障、基础教育、医疗卫生、扶贫、住房、环境保护、基础设施、西部开发等。</w:t>
      </w:r>
    </w:p>
    <w:p w14:paraId="3BE1BE89">
      <w:pPr>
        <w:pStyle w:val="21"/>
        <w:spacing w:line="400" w:lineRule="exact"/>
        <w:ind w:firstLine="420" w:firstLineChars="200"/>
        <w:jc w:val="both"/>
        <w:rPr>
          <w:sz w:val="21"/>
          <w:szCs w:val="21"/>
        </w:rPr>
      </w:pPr>
      <w:r>
        <w:rPr>
          <w:color w:val="000000"/>
          <w:sz w:val="21"/>
          <w:szCs w:val="21"/>
        </w:rPr>
        <w:t>从国际来说，针对不断贬值的美元外汇储备，必须及时提高外汇使用的效率，改善现有外汇的配置。一是可赎回被美国企业收购的中国重要国有企业资产；二是可用来支持中国企业收购海外资源和有价值实体企业,或收购控制着中国战略性行业的跨国公司股份；三是可用来引进国外的关键技术和科研人才，实现</w:t>
      </w:r>
      <w:r>
        <w:rPr>
          <w:color w:val="000000"/>
          <w:sz w:val="21"/>
          <w:szCs w:val="21"/>
          <w:lang w:val="zh-CN" w:eastAsia="zh-CN" w:bidi="zh-CN"/>
        </w:rPr>
        <w:t>“引</w:t>
      </w:r>
      <w:r>
        <w:rPr>
          <w:color w:val="000000"/>
          <w:sz w:val="21"/>
          <w:szCs w:val="21"/>
        </w:rPr>
        <w:t>智创新”；四是积极建立</w:t>
      </w:r>
      <w:r>
        <w:rPr>
          <w:color w:val="000000"/>
          <w:sz w:val="21"/>
          <w:szCs w:val="21"/>
          <w:lang w:val="zh-CN" w:eastAsia="zh-CN" w:bidi="zh-CN"/>
        </w:rPr>
        <w:t>“主</w:t>
      </w:r>
      <w:r>
        <w:rPr>
          <w:color w:val="000000"/>
          <w:sz w:val="21"/>
          <w:szCs w:val="21"/>
        </w:rPr>
        <w:t>权基金”，或直接进行“海外购物”，购买高端技术和设备或相关物资；五是参股或并购海外各种媒体，客观介绍中国，反击妖魔化中国的浪潮，增强国际话语权和软实力。总之，要采取多种方式，降低货币资本储存的机会成本。同时，还要在不放弃对资本流动管制的条件下，大力促进人民币的区域化和国际化进程，使人民币逐步成为世界贸易结算、流通和储备货币之一，从根本上解决</w:t>
      </w:r>
      <w:r>
        <w:rPr>
          <w:color w:val="000000"/>
          <w:sz w:val="21"/>
          <w:szCs w:val="21"/>
          <w:lang w:val="zh-CN" w:eastAsia="zh-CN" w:bidi="zh-CN"/>
        </w:rPr>
        <w:t>“币权”问</w:t>
      </w:r>
      <w:r>
        <w:rPr>
          <w:color w:val="000000"/>
          <w:sz w:val="21"/>
          <w:szCs w:val="21"/>
        </w:rPr>
        <w:t>题。</w:t>
      </w:r>
    </w:p>
    <w:p w14:paraId="077CB25E">
      <w:pPr>
        <w:pStyle w:val="21"/>
        <w:spacing w:line="400" w:lineRule="exact"/>
        <w:ind w:firstLine="420" w:firstLineChars="200"/>
        <w:jc w:val="both"/>
        <w:rPr>
          <w:b/>
          <w:bCs/>
          <w:sz w:val="21"/>
          <w:szCs w:val="21"/>
        </w:rPr>
      </w:pPr>
      <w:r>
        <w:rPr>
          <w:b/>
          <w:bCs/>
          <w:color w:val="000000"/>
          <w:sz w:val="21"/>
          <w:szCs w:val="21"/>
        </w:rPr>
        <w:t>（五）适当控制外贸依存度，积极提升消费拉动增长的作用</w:t>
      </w:r>
    </w:p>
    <w:p w14:paraId="75480DFA">
      <w:pPr>
        <w:pStyle w:val="21"/>
        <w:spacing w:line="400" w:lineRule="exact"/>
        <w:ind w:firstLine="420" w:firstLineChars="200"/>
        <w:jc w:val="both"/>
        <w:rPr>
          <w:sz w:val="21"/>
          <w:szCs w:val="21"/>
        </w:rPr>
      </w:pPr>
      <w:r>
        <w:rPr>
          <w:color w:val="000000"/>
          <w:sz w:val="21"/>
          <w:szCs w:val="21"/>
        </w:rPr>
        <w:t>在经济自主发展、竞争力不断提高的基础上参与国际竞争，积极开拓国际市场，是转变对外经济发展方式的内在要求。增强经济自主性，需要发挥内需拉动经济增长的作用，适当降低外贸规模；提高国际市场竞争力，需要加快提升贸易层次和调整贸易结构。作为一个发展中大国，从保持经济健康可持续发展和提高人民生活角度考虑，都不能不重视外贸依存度问题，需要将外贸依存度控制在略低于发展中国家的平均水平。适当控制外贸依存度，重点是做好以下几个方面：</w:t>
      </w:r>
    </w:p>
    <w:p w14:paraId="1376E92E">
      <w:pPr>
        <w:pStyle w:val="21"/>
        <w:numPr>
          <w:ilvl w:val="0"/>
          <w:numId w:val="17"/>
        </w:numPr>
        <w:spacing w:line="400" w:lineRule="exact"/>
        <w:ind w:firstLine="420" w:firstLineChars="200"/>
        <w:jc w:val="both"/>
        <w:rPr>
          <w:sz w:val="21"/>
          <w:szCs w:val="21"/>
        </w:rPr>
      </w:pPr>
      <w:r>
        <w:rPr>
          <w:color w:val="000000"/>
          <w:sz w:val="21"/>
          <w:szCs w:val="21"/>
        </w:rPr>
        <w:t>尽快扭转我国进岀口不平衡的趋势。技术层次低、竞争力弱和发展中短期利益倾向，容易导致对外贸易方式相对单一、贸易对象和内容单调、贸易结构不合理，是造成我国进出口不平衡的主要原因。今后，不仅需要平衡好进出口数量关系，也需要调整好进出口结构。首先，是要优化我国的贸易方式，在积极提升加工贸易的同时，大力发展边境贸易、易货贸易、转口贸易、租赁贸易等其他贸易方式；其次，是要促进服务贸易的进出口增长，适度开放服务贸易领域，提高服务贸易额在总贸易额中的比重；再次，是要加快改善外贸结构，改变贸易主体长期由外资主导的局</w:t>
      </w:r>
      <w:r>
        <w:rPr>
          <w:rStyle w:val="28"/>
          <w:sz w:val="21"/>
          <w:szCs w:val="21"/>
        </w:rPr>
        <w:t>面，促进本土企业参与高端国际贸易和竞争；又次，是要加快改善文化贸易的结构，消除</w:t>
      </w:r>
      <w:r>
        <w:rPr>
          <w:rStyle w:val="28"/>
          <w:sz w:val="21"/>
          <w:szCs w:val="21"/>
          <w:lang w:val="zh-CN" w:eastAsia="zh-CN" w:bidi="zh-CN"/>
        </w:rPr>
        <w:t>“文</w:t>
      </w:r>
      <w:r>
        <w:rPr>
          <w:rStyle w:val="28"/>
          <w:sz w:val="21"/>
          <w:szCs w:val="21"/>
        </w:rPr>
        <w:t>化赤字”；最后，改善扭转进出口不平衡局面，还需要适时调整对外贸易区域，改变国际贸易上对发达国家的过度依赖。</w:t>
      </w:r>
    </w:p>
    <w:p w14:paraId="7452E647">
      <w:pPr>
        <w:pStyle w:val="21"/>
        <w:numPr>
          <w:ilvl w:val="0"/>
          <w:numId w:val="17"/>
        </w:numPr>
        <w:tabs>
          <w:tab w:val="left" w:pos="713"/>
        </w:tabs>
        <w:spacing w:line="400" w:lineRule="exact"/>
        <w:ind w:firstLine="420" w:firstLineChars="200"/>
        <w:jc w:val="both"/>
        <w:rPr>
          <w:sz w:val="21"/>
          <w:szCs w:val="21"/>
        </w:rPr>
      </w:pPr>
      <w:r>
        <w:rPr>
          <w:color w:val="000000"/>
          <w:sz w:val="21"/>
          <w:szCs w:val="21"/>
        </w:rPr>
        <w:t>积极促进内需与外需协调发展。积极扩大内需，既是转变经济发展方式的条件，也是消化国内过剩产能的重要手段。扩大内需有利于适当降低企业对国际市场的依赖程度，有利于降低外贸依存度。今后，在推动外贸平稳增长和提高档次的同时，要更加重视促进外贸企业服务于扩大内需的大局。一方面，要推动外贸出口企业调整产品结构、调整市场方向；另一方面，国家也要适时出台相关政策，引导和支持外贸出口企业的转型,引导社会消费合理化，使消费成为拉动经济增长的内在动力。</w:t>
      </w:r>
    </w:p>
    <w:p w14:paraId="4EB0996D">
      <w:pPr>
        <w:pStyle w:val="21"/>
        <w:numPr>
          <w:ilvl w:val="0"/>
          <w:numId w:val="17"/>
        </w:numPr>
        <w:tabs>
          <w:tab w:val="left" w:pos="726"/>
        </w:tabs>
        <w:spacing w:line="400" w:lineRule="exact"/>
        <w:ind w:firstLine="420" w:firstLineChars="200"/>
        <w:jc w:val="both"/>
        <w:rPr>
          <w:sz w:val="21"/>
          <w:szCs w:val="21"/>
        </w:rPr>
      </w:pPr>
      <w:r>
        <w:rPr>
          <w:color w:val="000000"/>
          <w:sz w:val="21"/>
          <w:szCs w:val="21"/>
        </w:rPr>
        <w:t>大幅度提高中低阶层收入水平。社会中低阶层收入水平的提高，是增强全社会消费能力、扩大内需的前提条件。过去</w:t>
      </w:r>
      <w:r>
        <w:rPr>
          <w:rFonts w:cs="Times New Roman"/>
          <w:b/>
          <w:bCs/>
          <w:color w:val="000000"/>
          <w:sz w:val="21"/>
          <w:szCs w:val="21"/>
        </w:rPr>
        <w:t>30</w:t>
      </w:r>
      <w:r>
        <w:rPr>
          <w:color w:val="000000"/>
          <w:sz w:val="21"/>
          <w:szCs w:val="21"/>
        </w:rPr>
        <w:t>多年，虽然我国城乡居民收入水平有所提高，但中国企业的薪酬福利平均成本不到总成本的</w:t>
      </w:r>
      <w:r>
        <w:rPr>
          <w:rFonts w:cs="Times New Roman"/>
          <w:b/>
          <w:bCs/>
          <w:color w:val="000000"/>
          <w:sz w:val="21"/>
          <w:szCs w:val="21"/>
        </w:rPr>
        <w:t>8%,</w:t>
      </w:r>
      <w:r>
        <w:rPr>
          <w:color w:val="000000"/>
          <w:sz w:val="21"/>
          <w:szCs w:val="21"/>
        </w:rPr>
        <w:t>远低于欧洲的</w:t>
      </w:r>
      <w:r>
        <w:rPr>
          <w:rFonts w:cs="Times New Roman"/>
          <w:b/>
          <w:bCs/>
          <w:color w:val="000000"/>
          <w:sz w:val="21"/>
          <w:szCs w:val="21"/>
        </w:rPr>
        <w:t>22%</w:t>
      </w:r>
      <w:r>
        <w:rPr>
          <w:color w:val="000000"/>
          <w:sz w:val="21"/>
          <w:szCs w:val="21"/>
        </w:rPr>
        <w:t>和美国的</w:t>
      </w:r>
      <w:r>
        <w:rPr>
          <w:rFonts w:cs="Times New Roman"/>
          <w:b/>
          <w:bCs/>
          <w:color w:val="000000"/>
          <w:sz w:val="21"/>
          <w:szCs w:val="21"/>
        </w:rPr>
        <w:t>34%</w:t>
      </w:r>
      <w:r>
        <w:rPr>
          <w:b/>
          <w:bCs/>
          <w:color w:val="000000"/>
          <w:sz w:val="21"/>
          <w:szCs w:val="21"/>
        </w:rPr>
        <w:t>；</w:t>
      </w:r>
      <w:r>
        <w:rPr>
          <w:color w:val="000000"/>
          <w:sz w:val="21"/>
          <w:szCs w:val="21"/>
        </w:rPr>
        <w:t>人多地少的国情和国际农产品的冲击，也使得农民增收缓慢，很多农民不得不进入外向加工型企业中打工。这种建立在廉价劳动力基础上的竞争优势，其实是以牺牲民生福利水平为代价，是不可持续的。大幅度提高中低阶层收入水平，关键是要加快财富和收入分配制度改革，调整国民收入分配初次分配和再分配的结构,尽快提髙劳动收入占</w:t>
      </w:r>
      <w:r>
        <w:rPr>
          <w:rFonts w:cs="Times New Roman"/>
          <w:b/>
          <w:bCs/>
          <w:color w:val="000000"/>
          <w:sz w:val="21"/>
          <w:szCs w:val="21"/>
          <w:lang w:val="en-US" w:eastAsia="zh-CN" w:bidi="en-US"/>
        </w:rPr>
        <w:t>GDP</w:t>
      </w:r>
      <w:r>
        <w:rPr>
          <w:color w:val="000000"/>
          <w:sz w:val="21"/>
          <w:szCs w:val="21"/>
        </w:rPr>
        <w:t>的比重，扭转收入和财富分配差距不断扩大的趋势。大幅度提高中低阶层收入水平，还需要尽量减轻居民生活负担，提高其消费意愿和能力。一是要考虑通过加大农业和农村的基础设施投资，促进农民持续增收等措施，持续扩大农村消费；二是要坚持提高社会医疗和社会保障水平，解除基层群众后顾之忧；三是要加大基础教育和健康卫生方面的公共投资，逐步缩小公共物品和公共服务的分配差距，有效改善人们的消费预期，提高消费倾向。</w:t>
      </w:r>
    </w:p>
    <w:p w14:paraId="54FC03C2">
      <w:pPr>
        <w:pStyle w:val="21"/>
        <w:spacing w:line="400" w:lineRule="exact"/>
        <w:ind w:firstLine="420" w:firstLineChars="200"/>
        <w:jc w:val="both"/>
        <w:rPr>
          <w:b/>
          <w:bCs/>
          <w:sz w:val="21"/>
          <w:szCs w:val="21"/>
        </w:rPr>
      </w:pPr>
      <w:r>
        <w:rPr>
          <w:b/>
          <w:bCs/>
          <w:color w:val="000000"/>
          <w:sz w:val="21"/>
          <w:szCs w:val="21"/>
        </w:rPr>
        <w:t>（六）适当降低“外产”依赖度，提升参与国际分工的层次</w:t>
      </w:r>
    </w:p>
    <w:p w14:paraId="0EEE0192">
      <w:pPr>
        <w:pStyle w:val="21"/>
        <w:spacing w:line="400" w:lineRule="exact"/>
        <w:ind w:firstLine="420" w:firstLineChars="200"/>
        <w:jc w:val="both"/>
        <w:rPr>
          <w:sz w:val="21"/>
          <w:szCs w:val="21"/>
        </w:rPr>
      </w:pPr>
      <w:r>
        <w:rPr>
          <w:color w:val="000000"/>
          <w:sz w:val="21"/>
          <w:szCs w:val="21"/>
        </w:rPr>
        <w:t>提升国内产业的国际分工水平，是转变对外经济发展方式的立足点。只有提升产业分工层次，消除</w:t>
      </w:r>
      <w:r>
        <w:rPr>
          <w:color w:val="000000"/>
          <w:sz w:val="21"/>
          <w:szCs w:val="21"/>
          <w:lang w:val="zh-CN" w:eastAsia="zh-CN" w:bidi="zh-CN"/>
        </w:rPr>
        <w:t>“微笑</w:t>
      </w:r>
      <w:r>
        <w:rPr>
          <w:color w:val="000000"/>
          <w:sz w:val="21"/>
          <w:szCs w:val="21"/>
        </w:rPr>
        <w:t>曲线”不良分工现象，</w:t>
      </w:r>
      <w:r>
        <w:rPr>
          <w:rStyle w:val="20"/>
          <w:rFonts w:ascii="宋体" w:hAnsi="宋体" w:eastAsia="宋体"/>
          <w:sz w:val="21"/>
          <w:szCs w:val="21"/>
        </w:rPr>
        <w:footnoteReference w:id="506"/>
      </w:r>
      <w:r>
        <w:rPr>
          <w:color w:val="000000"/>
          <w:sz w:val="21"/>
          <w:szCs w:val="21"/>
        </w:rPr>
        <w:t>才能降低对外国产业的依赖度，打破西方发达国家对我国的</w:t>
      </w:r>
      <w:r>
        <w:rPr>
          <w:color w:val="000000"/>
          <w:sz w:val="21"/>
          <w:szCs w:val="21"/>
          <w:lang w:val="zh-CN" w:eastAsia="zh-CN" w:bidi="zh-CN"/>
        </w:rPr>
        <w:t>“产业</w:t>
      </w:r>
      <w:r>
        <w:rPr>
          <w:color w:val="000000"/>
          <w:sz w:val="21"/>
          <w:szCs w:val="21"/>
        </w:rPr>
        <w:t>链阴谋</w:t>
      </w:r>
      <w:r>
        <w:rPr>
          <w:color w:val="000000"/>
          <w:sz w:val="21"/>
          <w:szCs w:val="21"/>
          <w:lang w:val="zh-CN" w:eastAsia="zh-CN" w:bidi="zh-CN"/>
        </w:rPr>
        <w:t>”（郎</w:t>
      </w:r>
      <w:r>
        <w:rPr>
          <w:color w:val="000000"/>
          <w:sz w:val="21"/>
          <w:szCs w:val="21"/>
        </w:rPr>
        <w:t>咸平语）。当前，要利用国际金融危机后国际生产和贸易格局变革的历史机遇期，适当淘汰高污染、高能耗的外向型加工业，积极推进产业优化升级，提升参与国际分工层次。</w:t>
      </w:r>
    </w:p>
    <w:p w14:paraId="6BA8DD26">
      <w:pPr>
        <w:pStyle w:val="21"/>
        <w:numPr>
          <w:ilvl w:val="0"/>
          <w:numId w:val="18"/>
        </w:numPr>
        <w:tabs>
          <w:tab w:val="left" w:pos="721"/>
        </w:tabs>
        <w:spacing w:line="400" w:lineRule="exact"/>
        <w:ind w:firstLine="420" w:firstLineChars="200"/>
        <w:jc w:val="both"/>
        <w:rPr>
          <w:sz w:val="21"/>
          <w:szCs w:val="21"/>
        </w:rPr>
      </w:pPr>
      <w:r>
        <w:rPr>
          <w:color w:val="000000"/>
          <w:sz w:val="21"/>
          <w:szCs w:val="21"/>
        </w:rPr>
        <w:t>加快调整产业结构。以提高产业竞争力和产品附加值为导向，促进产业结构合理化，使产业在调整中优化和提高。调整优化产业结构涉及诸多方面，主要做好以下几个工作：首先是要用先进技术改造传统产业，推动传统产业技术装备更新换代和产业升级，力争使传统产业在全球产业链获取更高的附加值，避免陷入</w:t>
      </w:r>
      <w:r>
        <w:rPr>
          <w:color w:val="000000"/>
          <w:sz w:val="21"/>
          <w:szCs w:val="21"/>
          <w:lang w:val="zh-CN" w:eastAsia="zh-CN" w:bidi="zh-CN"/>
        </w:rPr>
        <w:t>“比较</w:t>
      </w:r>
      <w:r>
        <w:rPr>
          <w:color w:val="000000"/>
          <w:sz w:val="21"/>
          <w:szCs w:val="21"/>
        </w:rPr>
        <w:t>优势陷阱”，防止我国沦为西方发达国家的</w:t>
      </w:r>
      <w:r>
        <w:rPr>
          <w:color w:val="000000"/>
          <w:sz w:val="21"/>
          <w:szCs w:val="21"/>
          <w:lang w:val="zh-CN" w:eastAsia="zh-CN" w:bidi="zh-CN"/>
        </w:rPr>
        <w:t>“生</w:t>
      </w:r>
      <w:r>
        <w:rPr>
          <w:color w:val="000000"/>
          <w:sz w:val="21"/>
          <w:szCs w:val="21"/>
        </w:rPr>
        <w:t>产基地”；其次是要制定中长期的国家产业创新战略，切实推进产业创新，大力发展信息产业和新能源产业，大力发展设计、咨询、物流等现代服务业和文化教育产业，抢占未来全球经济和文化教育竞争的制高点；最后要鼓励民间创业和国内企业创新，改革和完善投融资体制，引导和鼓励国内资本调整投资方向，使新增投资逐渐向现代服务业和高新技术产业转移。</w:t>
      </w:r>
    </w:p>
    <w:p w14:paraId="19BCD323">
      <w:pPr>
        <w:pStyle w:val="21"/>
        <w:numPr>
          <w:ilvl w:val="0"/>
          <w:numId w:val="18"/>
        </w:numPr>
        <w:tabs>
          <w:tab w:val="left" w:pos="721"/>
        </w:tabs>
        <w:spacing w:line="400" w:lineRule="exact"/>
        <w:ind w:firstLine="420" w:firstLineChars="200"/>
        <w:jc w:val="both"/>
        <w:rPr>
          <w:sz w:val="21"/>
          <w:szCs w:val="21"/>
        </w:rPr>
      </w:pPr>
      <w:r>
        <w:rPr>
          <w:color w:val="000000"/>
          <w:sz w:val="21"/>
          <w:szCs w:val="21"/>
        </w:rPr>
        <w:t>建立和完善国家经济安全防范体系。加强国家经济安全，首先是要加强对外资企业并购中国企业的监管，加大对关系到国计民生和战略性产业的保护。要运用经济的、法律的手段，制止西方跨国公司越来越多地控制和垄断我国产业的行为。其次，是要严格执行环保等前置性审批，完善外资投资目标指引，提高外资进入门槛和标准，遏制跨国公司将技术落后和污染严重的生产基地转移到我国的现象。最后，是要健全金融监管体系，稳健开放金融业等涉及国家经济安全的核心产业，确保国内产业安全和金融安全。</w:t>
      </w:r>
    </w:p>
    <w:p w14:paraId="6D27FEB0">
      <w:pPr>
        <w:pStyle w:val="21"/>
        <w:numPr>
          <w:ilvl w:val="0"/>
          <w:numId w:val="18"/>
        </w:numPr>
        <w:spacing w:line="400" w:lineRule="exact"/>
        <w:ind w:firstLine="420" w:firstLineChars="200"/>
        <w:jc w:val="both"/>
        <w:rPr>
          <w:sz w:val="21"/>
          <w:szCs w:val="21"/>
        </w:rPr>
      </w:pPr>
      <w:r>
        <w:rPr>
          <w:color w:val="000000"/>
          <w:sz w:val="21"/>
          <w:szCs w:val="21"/>
        </w:rPr>
        <w:t>积极参与国际货币体系改革，改善国际经济环境。降低对国际产业的依赖，需要积极创造公平合理的国际经济竞争和合作条件。一方面，我国应主动和积极地介入国际高端产业分工，广泛开展国际市场竞争；另一方面，也要积极推动国际货币金融体系改革，增强我国在国际经济规则制定中的主动权，避免西方发达国家利用非市场力量打压我国。需要清醒地看到，只有通过</w:t>
      </w:r>
      <w:r>
        <w:rPr>
          <w:color w:val="000000"/>
          <w:sz w:val="21"/>
          <w:szCs w:val="21"/>
          <w:lang w:val="zh-CN" w:eastAsia="zh-CN" w:bidi="zh-CN"/>
        </w:rPr>
        <w:t>“走</w:t>
      </w:r>
      <w:r>
        <w:rPr>
          <w:color w:val="000000"/>
          <w:sz w:val="21"/>
          <w:szCs w:val="21"/>
        </w:rPr>
        <w:t>出去”来提升我国的全球要素配置能力，才能创造出参与国际分工的新优势。</w:t>
      </w:r>
      <w:r>
        <w:rPr>
          <w:rStyle w:val="20"/>
          <w:rFonts w:ascii="宋体" w:hAnsi="宋体" w:eastAsia="宋体"/>
          <w:sz w:val="21"/>
          <w:szCs w:val="21"/>
        </w:rPr>
        <w:footnoteReference w:id="507"/>
      </w:r>
      <w:r>
        <w:rPr>
          <w:color w:val="000000"/>
          <w:sz w:val="21"/>
          <w:szCs w:val="21"/>
        </w:rPr>
        <w:t>当前，应利用我国外汇储备急剧增长、人民币升值等有利因素，在国内资源整合和产业升级的基础上，积极开展海外投资和跨国并购，化解目前开放层次低、利益少、自主性差的发展难题。在自主、自立和自强的基础上，真正使我国开放型经济体系成为全球生产体系的重要组成部分</w:t>
      </w:r>
      <w:r>
        <w:rPr>
          <w:rFonts w:hint="eastAsia"/>
          <w:sz w:val="21"/>
          <w:szCs w:val="21"/>
        </w:rPr>
        <w:t>。</w:t>
      </w:r>
    </w:p>
    <w:p w14:paraId="725DF8BC">
      <w:pPr>
        <w:widowControl/>
        <w:spacing w:line="400" w:lineRule="exact"/>
        <w:ind w:firstLine="420" w:firstLineChars="200"/>
        <w:rPr>
          <w:rFonts w:ascii="宋体" w:hAnsi="宋体" w:eastAsia="宋体" w:cs="Times New Roman"/>
          <w:szCs w:val="21"/>
          <w:lang w:eastAsia="zh-TW"/>
        </w:rPr>
      </w:pPr>
      <w:r>
        <w:rPr>
          <w:rFonts w:hint="eastAsia" w:ascii="宋体" w:hAnsi="宋体" w:eastAsia="宋体" w:cs="Times New Roman"/>
          <w:szCs w:val="21"/>
          <w:lang w:eastAsia="zh-TW"/>
        </w:rPr>
        <w:t>（原载《激辩“新开放论”》论文集</w:t>
      </w:r>
      <w:r>
        <w:rPr>
          <w:rFonts w:hint="eastAsia" w:ascii="宋体" w:hAnsi="宋体" w:eastAsia="宋体" w:cs="Times New Roman"/>
          <w:szCs w:val="21"/>
        </w:rPr>
        <w:t>2</w:t>
      </w:r>
      <w:r>
        <w:rPr>
          <w:rFonts w:ascii="宋体" w:hAnsi="宋体" w:eastAsia="宋体" w:cs="Times New Roman"/>
          <w:szCs w:val="21"/>
        </w:rPr>
        <w:t>010</w:t>
      </w:r>
      <w:r>
        <w:rPr>
          <w:rFonts w:hint="eastAsia" w:ascii="宋体" w:hAnsi="宋体" w:eastAsia="宋体" w:cs="Times New Roman"/>
          <w:szCs w:val="21"/>
        </w:rPr>
        <w:t>年</w:t>
      </w:r>
      <w:r>
        <w:rPr>
          <w:rFonts w:hint="eastAsia" w:ascii="宋体" w:hAnsi="宋体" w:eastAsia="宋体" w:cs="Times New Roman"/>
          <w:szCs w:val="21"/>
          <w:lang w:eastAsia="zh-TW"/>
        </w:rPr>
        <w:t>，第二作者为侯为民。）</w:t>
      </w:r>
    </w:p>
    <w:p w14:paraId="7E752355">
      <w:pPr>
        <w:spacing w:line="400" w:lineRule="exact"/>
        <w:ind w:firstLine="640" w:firstLineChars="200"/>
        <w:rPr>
          <w:rFonts w:ascii="黑体" w:hAnsi="黑体" w:eastAsia="黑体" w:cs="Times New Roman"/>
          <w:kern w:val="28"/>
          <w:sz w:val="32"/>
          <w:szCs w:val="24"/>
        </w:rPr>
      </w:pPr>
    </w:p>
    <w:p w14:paraId="70050A73">
      <w:pPr>
        <w:keepNext/>
        <w:keepLines/>
        <w:widowControl/>
        <w:spacing w:line="480" w:lineRule="auto"/>
        <w:ind w:firstLine="640"/>
        <w:jc w:val="center"/>
        <w:outlineLvl w:val="1"/>
        <w:rPr>
          <w:rFonts w:ascii="黑体" w:hAnsi="黑体" w:eastAsia="黑体" w:cs="Times New Roman"/>
          <w:kern w:val="28"/>
          <w:sz w:val="32"/>
          <w:szCs w:val="24"/>
        </w:rPr>
      </w:pPr>
      <w:bookmarkStart w:id="1123" w:name="_Toc19632"/>
      <w:bookmarkStart w:id="1124" w:name="_Toc1120366398"/>
      <w:bookmarkStart w:id="1125" w:name="_Toc148433905"/>
      <w:r>
        <w:rPr>
          <w:rFonts w:hint="eastAsia" w:ascii="黑体" w:hAnsi="黑体" w:eastAsia="黑体" w:cs="Times New Roman"/>
          <w:kern w:val="28"/>
          <w:sz w:val="32"/>
          <w:szCs w:val="24"/>
        </w:rPr>
        <w:t>1</w:t>
      </w:r>
      <w:r>
        <w:rPr>
          <w:rFonts w:ascii="黑体" w:hAnsi="黑体" w:eastAsia="黑体" w:cs="Times New Roman"/>
          <w:kern w:val="28"/>
          <w:sz w:val="32"/>
          <w:szCs w:val="24"/>
        </w:rPr>
        <w:t>1</w:t>
      </w:r>
      <w:r>
        <w:rPr>
          <w:rFonts w:hint="eastAsia" w:ascii="黑体" w:hAnsi="黑体" w:eastAsia="黑体" w:cs="Times New Roman"/>
          <w:kern w:val="28"/>
          <w:sz w:val="32"/>
          <w:szCs w:val="24"/>
        </w:rPr>
        <w:t>西方国家金融和经济危机与中国对策研究</w:t>
      </w:r>
      <w:r>
        <w:rPr>
          <w:rFonts w:ascii="黑体" w:hAnsi="黑体" w:eastAsia="黑体" w:cs="Times New Roman"/>
          <w:kern w:val="28"/>
          <w:sz w:val="32"/>
          <w:szCs w:val="24"/>
        </w:rPr>
        <w:t>（上）</w:t>
      </w:r>
      <w:bookmarkEnd w:id="1123"/>
      <w:bookmarkEnd w:id="1124"/>
      <w:bookmarkEnd w:id="1125"/>
    </w:p>
    <w:p w14:paraId="2186D584">
      <w:pPr>
        <w:autoSpaceDE w:val="0"/>
        <w:autoSpaceDN w:val="0"/>
        <w:spacing w:line="400" w:lineRule="exact"/>
        <w:ind w:firstLine="200"/>
        <w:rPr>
          <w:rFonts w:ascii="宋体" w:hAnsi="宋体" w:eastAsia="宋体" w:cs="宋体"/>
          <w:kern w:val="0"/>
          <w:szCs w:val="21"/>
          <w:lang w:val="zh-CN" w:bidi="zh-CN"/>
        </w:rPr>
      </w:pPr>
    </w:p>
    <w:p w14:paraId="37E833B4">
      <w:pPr>
        <w:autoSpaceDE w:val="0"/>
        <w:autoSpaceDN w:val="0"/>
        <w:spacing w:line="400" w:lineRule="exact"/>
        <w:ind w:firstLine="200"/>
        <w:rPr>
          <w:rFonts w:ascii="宋体" w:hAnsi="宋体" w:eastAsia="宋体" w:cs="宋体"/>
          <w:spacing w:val="-7"/>
          <w:kern w:val="0"/>
          <w:szCs w:val="21"/>
          <w:lang w:val="zh-CN" w:bidi="zh-CN"/>
        </w:rPr>
      </w:pPr>
      <w:r>
        <w:rPr>
          <w:rFonts w:hint="eastAsia" w:ascii="宋体" w:hAnsi="宋体" w:eastAsia="宋体" w:cs="宋体"/>
          <w:spacing w:val="-10"/>
          <w:kern w:val="0"/>
          <w:szCs w:val="21"/>
          <w:lang w:val="zh-CN" w:bidi="zh-CN"/>
        </w:rPr>
        <w:t>【内容提要】</w:t>
      </w:r>
      <w:r>
        <w:rPr>
          <w:rFonts w:ascii="宋体" w:hAnsi="宋体" w:eastAsia="宋体" w:cs="宋体"/>
          <w:kern w:val="0"/>
          <w:szCs w:val="21"/>
          <w:lang w:val="zh-CN" w:bidi="zh-CN"/>
        </w:rPr>
        <w:t>当前西方国家金融和经济危机是资本主义基本矛盾及其当代发展的必</w:t>
      </w:r>
      <w:r>
        <w:rPr>
          <w:rFonts w:ascii="宋体" w:hAnsi="宋体" w:eastAsia="宋体" w:cs="宋体"/>
          <w:spacing w:val="-1"/>
          <w:kern w:val="0"/>
          <w:szCs w:val="21"/>
          <w:lang w:val="zh-CN" w:bidi="zh-CN"/>
        </w:rPr>
        <w:t>然结果，是资本主义微观基础、经济结构以及经济调节等方面的具体矛盾的现实表现。</w:t>
      </w:r>
      <w:r>
        <w:rPr>
          <w:rFonts w:ascii="宋体" w:hAnsi="宋体" w:eastAsia="宋体" w:cs="宋体"/>
          <w:spacing w:val="-2"/>
          <w:kern w:val="0"/>
          <w:szCs w:val="21"/>
          <w:lang w:val="zh-CN" w:bidi="zh-CN"/>
        </w:rPr>
        <w:t>尽管西方国家反危机措施对于促使经济稳定确实起到了一定作用，但并没有克服资本主</w:t>
      </w:r>
      <w:r>
        <w:rPr>
          <w:rFonts w:ascii="宋体" w:hAnsi="宋体" w:eastAsia="宋体" w:cs="宋体"/>
          <w:spacing w:val="-5"/>
          <w:kern w:val="0"/>
          <w:szCs w:val="21"/>
          <w:lang w:val="zh-CN" w:bidi="zh-CN"/>
        </w:rPr>
        <w:t>义基本矛盾以及其他导致危机发生的各种具体矛盾，其缺陷及负面影响将在未来逐渐显</w:t>
      </w:r>
      <w:r>
        <w:rPr>
          <w:rFonts w:ascii="宋体" w:hAnsi="宋体" w:eastAsia="宋体" w:cs="宋体"/>
          <w:spacing w:val="-7"/>
          <w:kern w:val="0"/>
          <w:szCs w:val="21"/>
          <w:lang w:val="zh-CN" w:bidi="zh-CN"/>
        </w:rPr>
        <w:t>现，西方国家的金融市场和经济形势依然复杂多变。我国规避与防范金融和经济危机必须更加坚定地坚持中国特色社会主义的伟大道路。</w:t>
      </w:r>
    </w:p>
    <w:p w14:paraId="727D2E0A">
      <w:pPr>
        <w:autoSpaceDE w:val="0"/>
        <w:autoSpaceDN w:val="0"/>
        <w:spacing w:line="400" w:lineRule="exact"/>
        <w:ind w:firstLine="200"/>
        <w:rPr>
          <w:rFonts w:ascii="宋体" w:hAnsi="宋体" w:eastAsia="宋体" w:cs="宋体"/>
          <w:kern w:val="0"/>
          <w:szCs w:val="21"/>
          <w:lang w:val="zh-CN" w:bidi="zh-CN"/>
        </w:rPr>
      </w:pPr>
      <w:r>
        <w:rPr>
          <w:rFonts w:hint="eastAsia" w:ascii="宋体" w:hAnsi="宋体" w:eastAsia="宋体" w:cs="宋体"/>
          <w:kern w:val="0"/>
          <w:szCs w:val="21"/>
          <w:lang w:val="zh-CN" w:bidi="zh-CN"/>
        </w:rPr>
        <w:t>【关键词】</w:t>
      </w:r>
      <w:r>
        <w:rPr>
          <w:rFonts w:ascii="宋体" w:hAnsi="宋体" w:eastAsia="宋体" w:cs="宋体"/>
          <w:kern w:val="0"/>
          <w:szCs w:val="21"/>
          <w:lang w:val="zh-CN" w:bidi="zh-CN"/>
        </w:rPr>
        <w:t>金融和经济危机市场经济资本主义社会主义</w:t>
      </w:r>
    </w:p>
    <w:p w14:paraId="5470C0B7">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2007年2月，美国次贷危机浮出水面。2007年8月，次贷危机开始向全球蔓延。进入2008年，危机从局部发展到全球，从发达经济体传导到发展中经济体，从虚拟经济扩散到实体经济，西方主要经济体日益滑向金融危机与经济衰退相互拖累的恶性循环。此次危机波及范围之广、影响程度之深、冲击力度之强，世所罕见。</w:t>
      </w:r>
    </w:p>
    <w:p w14:paraId="3865C3C2">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运用马克思主义立场、观点和方法，深刻透析这场危机的本质、成因和影响，客观评析西方国家反危机措施的利弊，科学阐释资本主义经济运行规律和发展趋势，正确把握这场危机对于中国的影响，提出规避和防范类似危机的中国策略，对于保证中国特色社会主义事业健康稳定发展，无疑具有重要而深远的意义。</w:t>
      </w:r>
    </w:p>
    <w:p w14:paraId="115196B7">
      <w:pPr>
        <w:autoSpaceDE w:val="0"/>
        <w:autoSpaceDN w:val="0"/>
        <w:spacing w:line="360" w:lineRule="auto"/>
        <w:ind w:firstLine="480" w:firstLineChars="200"/>
        <w:jc w:val="center"/>
        <w:rPr>
          <w:rFonts w:ascii="宋体" w:hAnsi="宋体" w:eastAsia="宋体"/>
          <w:b/>
          <w:bCs/>
          <w:color w:val="000000"/>
          <w:sz w:val="24"/>
          <w:szCs w:val="24"/>
        </w:rPr>
      </w:pPr>
      <w:r>
        <w:rPr>
          <w:rFonts w:ascii="宋体" w:hAnsi="宋体" w:eastAsia="宋体"/>
          <w:b/>
          <w:bCs/>
          <w:color w:val="000000"/>
          <w:sz w:val="24"/>
          <w:szCs w:val="24"/>
        </w:rPr>
        <w:t>一、西方国家金融和经济危机是资本主义基本矛盾发展的必然产物</w:t>
      </w:r>
    </w:p>
    <w:p w14:paraId="4CDE1015">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马克思认为，资本主义经济危机是资本主义基本矛盾发展的结果，是资本主义各种矛盾展开的表现，是资本主义一切矛盾的现实综合和强制平衡。因此，分析此次西方国家金融和经济危机的发生与发展必须采用矛盾分析的方法，深入分析资本主义基本矛盾及其当代发展，具体分析资本主义各种矛盾的现实表现。</w:t>
      </w:r>
    </w:p>
    <w:p w14:paraId="0BF90E6A">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1</w:t>
      </w:r>
      <w:r>
        <w:rPr>
          <w:rFonts w:ascii="宋体" w:hAnsi="宋体" w:eastAsia="宋体" w:cs="宋体"/>
          <w:b/>
          <w:bCs/>
          <w:kern w:val="0"/>
          <w:szCs w:val="21"/>
          <w:lang w:val="zh-CN" w:bidi="zh-CN"/>
        </w:rPr>
        <w:t>.</w:t>
      </w:r>
      <w:r>
        <w:rPr>
          <w:rFonts w:hint="eastAsia" w:ascii="宋体" w:hAnsi="宋体" w:eastAsia="宋体" w:cs="宋体"/>
          <w:b/>
          <w:bCs/>
          <w:kern w:val="0"/>
          <w:szCs w:val="21"/>
          <w:lang w:val="zh-CN" w:bidi="zh-CN"/>
        </w:rPr>
        <w:t>商品内在二重性矛盾蕴含危机发生的可能</w:t>
      </w:r>
    </w:p>
    <w:p w14:paraId="35C4CDA9">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spacing w:val="-1"/>
          <w:kern w:val="0"/>
          <w:szCs w:val="21"/>
          <w:lang w:val="zh-CN" w:bidi="zh-CN"/>
        </w:rPr>
        <w:t>商品是市场经济最基本的细胞和最普遍的存在，商品和商品交换的内在矛盾体现</w:t>
      </w:r>
      <w:r>
        <w:rPr>
          <w:rFonts w:ascii="宋体" w:hAnsi="宋体" w:eastAsia="宋体" w:cs="宋体"/>
          <w:kern w:val="0"/>
          <w:szCs w:val="21"/>
          <w:lang w:val="zh-CN" w:bidi="zh-CN"/>
        </w:rPr>
        <w:t>并蕴含了市场经济和市场经济占主导地位的社会形态的基本矛盾</w:t>
      </w:r>
      <w:r>
        <w:rPr>
          <w:rFonts w:ascii="宋体" w:hAnsi="宋体" w:eastAsia="宋体" w:cs="宋体"/>
          <w:kern w:val="0"/>
          <w:szCs w:val="21"/>
          <w:lang w:val="zh-CN" w:bidi="zh-CN"/>
        </w:rPr>
        <w:footnoteReference w:id="508"/>
      </w:r>
      <w:r>
        <w:rPr>
          <w:rFonts w:ascii="宋体" w:hAnsi="宋体" w:eastAsia="宋体" w:cs="宋体"/>
          <w:kern w:val="0"/>
          <w:szCs w:val="21"/>
          <w:lang w:val="zh-CN" w:bidi="zh-CN"/>
        </w:rPr>
        <w:t>。因此，从商品及商</w:t>
      </w:r>
      <w:r>
        <w:rPr>
          <w:rFonts w:ascii="宋体" w:hAnsi="宋体" w:eastAsia="宋体" w:cs="宋体"/>
          <w:spacing w:val="-10"/>
          <w:kern w:val="0"/>
          <w:szCs w:val="21"/>
          <w:lang w:val="zh-CN" w:bidi="zh-CN"/>
        </w:rPr>
        <w:t>品交换的内在矛盾和本质关</w:t>
      </w:r>
      <w:r>
        <w:rPr>
          <w:rFonts w:ascii="宋体" w:hAnsi="宋体" w:eastAsia="宋体" w:cs="宋体"/>
          <w:kern w:val="0"/>
          <w:szCs w:val="21"/>
          <w:lang w:val="zh-CN" w:bidi="zh-CN"/>
        </w:rPr>
        <w:t>系分析入手，可以发现此次西方国家金融危机和经济危机的一般要素与抽象形式。</w:t>
      </w:r>
    </w:p>
    <w:p w14:paraId="08B6C569">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马克思认为，商品是使用价值和价值的矛盾统一体，使用价值与价值二者既相互依赖、互为条件，又相互排斥、互相背离。使用价值与价值的矛盾以及决定这一矛盾的生产商品的劳动二重性，即具体劳动和抽象劳动的矛盾的发展导致了货币的产生，商品的使用价值与价值愈益分离，商品与货币愈益对立。</w:t>
      </w:r>
    </w:p>
    <w:p w14:paraId="1E3D037D">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货币的产生使得商品交换由直接物物交换发展成为以货币为媒介的交换过程，使得一个完整交</w:t>
      </w:r>
      <w:r>
        <w:rPr>
          <w:rFonts w:ascii="宋体" w:hAnsi="宋体" w:eastAsia="宋体" w:cs="宋体"/>
          <w:spacing w:val="-3"/>
          <w:kern w:val="0"/>
          <w:szCs w:val="21"/>
          <w:lang w:val="zh-CN" w:bidi="zh-CN"/>
        </w:rPr>
        <w:t>换过程的买和卖在时间和空间上发生分离，从而导致危机第一种形式的可能性。也就是</w:t>
      </w:r>
      <w:r>
        <w:rPr>
          <w:rFonts w:ascii="宋体" w:hAnsi="宋体" w:eastAsia="宋体" w:cs="宋体"/>
          <w:spacing w:val="-25"/>
          <w:kern w:val="0"/>
          <w:szCs w:val="21"/>
          <w:lang w:val="zh-CN" w:bidi="zh-CN"/>
        </w:rPr>
        <w:t>，“如果货币</w:t>
      </w:r>
      <w:r>
        <w:rPr>
          <w:rFonts w:ascii="宋体" w:hAnsi="宋体" w:eastAsia="宋体" w:cs="宋体"/>
          <w:spacing w:val="-3"/>
          <w:kern w:val="0"/>
          <w:szCs w:val="21"/>
          <w:lang w:val="zh-CN" w:bidi="zh-CN"/>
        </w:rPr>
        <w:t>执行流通手段的职能，危机的可能性就包含在买和卖的分离中”</w:t>
      </w:r>
      <w:r>
        <w:rPr>
          <w:rFonts w:ascii="宋体" w:hAnsi="宋体" w:eastAsia="宋体" w:cs="宋体"/>
          <w:spacing w:val="-3"/>
          <w:kern w:val="0"/>
          <w:szCs w:val="21"/>
          <w:vertAlign w:val="superscript"/>
          <w:lang w:val="zh-CN" w:bidi="zh-CN"/>
        </w:rPr>
        <w:footnoteReference w:id="509"/>
      </w:r>
      <w:r>
        <w:rPr>
          <w:rFonts w:ascii="宋体" w:hAnsi="宋体" w:eastAsia="宋体" w:cs="宋体"/>
          <w:spacing w:val="-7"/>
          <w:kern w:val="0"/>
          <w:szCs w:val="21"/>
          <w:lang w:val="zh-CN" w:bidi="zh-CN"/>
        </w:rPr>
        <w:t>。随着商品经济的发展，货币不仅</w:t>
      </w:r>
      <w:r>
        <w:rPr>
          <w:rFonts w:ascii="宋体" w:hAnsi="宋体" w:eastAsia="宋体" w:cs="宋体"/>
          <w:kern w:val="0"/>
          <w:szCs w:val="21"/>
          <w:lang w:val="zh-CN" w:bidi="zh-CN"/>
        </w:rPr>
        <w:t>作为流通手段，而且具有支付手段功能。货币支付手段功能使得商品交换的当事人演变为债权人和债务人，使得商品生产者之间形成错综复杂的支付链条和债务链条。在这一链条上，如果一个债务人不能按时履行支付义务，整个链条上的一系列债务人也就随之不能偿债，从而形成危机第二种形</w:t>
      </w:r>
      <w:r>
        <w:rPr>
          <w:rFonts w:ascii="宋体" w:hAnsi="宋体" w:eastAsia="宋体" w:cs="宋体"/>
          <w:spacing w:val="-4"/>
          <w:kern w:val="0"/>
          <w:szCs w:val="21"/>
          <w:lang w:val="zh-CN" w:bidi="zh-CN"/>
        </w:rPr>
        <w:t>式的可能性。也就是</w:t>
      </w:r>
      <w:r>
        <w:rPr>
          <w:rFonts w:ascii="宋体" w:hAnsi="宋体" w:eastAsia="宋体" w:cs="宋体"/>
          <w:spacing w:val="-14"/>
          <w:kern w:val="0"/>
          <w:szCs w:val="21"/>
          <w:lang w:val="zh-CN" w:bidi="zh-CN"/>
        </w:rPr>
        <w:t>，“如果货币执行支付手段的职能，货币在两个不同的时刻分别起价值尺度和价</w:t>
      </w:r>
      <w:r>
        <w:rPr>
          <w:rFonts w:ascii="宋体" w:hAnsi="宋体" w:eastAsia="宋体" w:cs="宋体"/>
          <w:kern w:val="0"/>
          <w:szCs w:val="21"/>
          <w:lang w:val="zh-CN" w:bidi="zh-CN"/>
        </w:rPr>
        <w:t>值实现的作用，危机的可能性就包含在这两个时刻的分离中”</w:t>
      </w:r>
      <w:r>
        <w:rPr>
          <w:rFonts w:ascii="宋体" w:hAnsi="宋体" w:eastAsia="宋体" w:cs="宋体"/>
          <w:kern w:val="0"/>
          <w:szCs w:val="21"/>
          <w:vertAlign w:val="superscript"/>
          <w:lang w:val="zh-CN" w:bidi="zh-CN"/>
        </w:rPr>
        <w:footnoteReference w:id="510"/>
      </w:r>
      <w:r>
        <w:rPr>
          <w:rFonts w:ascii="宋体" w:hAnsi="宋体" w:eastAsia="宋体" w:cs="宋体"/>
          <w:kern w:val="0"/>
          <w:szCs w:val="21"/>
          <w:lang w:val="zh-CN" w:bidi="zh-CN"/>
        </w:rPr>
        <w:t>。</w:t>
      </w:r>
    </w:p>
    <w:p w14:paraId="786E92DE">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由商品和商品交换内在矛盾发展起来的危机两种形式的可能性，只是经济危机的“最一般的表</w:t>
      </w:r>
      <w:r>
        <w:rPr>
          <w:rFonts w:ascii="宋体" w:hAnsi="宋体" w:eastAsia="宋体" w:cs="宋体"/>
          <w:spacing w:val="-11"/>
          <w:kern w:val="0"/>
          <w:szCs w:val="21"/>
          <w:lang w:val="zh-CN" w:bidi="zh-CN"/>
        </w:rPr>
        <w:t>现”，是现实危机的抽象形式，潜伏于一切商品生产之中。随着商品生产转变为资本主义商品生产，经济危机的一般可能性得到进一步发展并转变为资本主义经济危机的可能性。资本主义商品生产一开始就是发达的商品生产，发达的商品生产使得商品内在矛盾的各种形式得到更加充分的发展。在资本主义商品生产条件下，产业资本必须按照一定比例分成相应部分，同时并存于货币资本、生产资本和商品资本三种形态，并相继地经过循环的三个阶段。否则，资本的生产过程和流通过程就会</w:t>
      </w:r>
      <w:r>
        <w:rPr>
          <w:rFonts w:ascii="宋体" w:hAnsi="宋体" w:eastAsia="宋体" w:cs="宋体"/>
          <w:spacing w:val="-14"/>
          <w:kern w:val="0"/>
          <w:szCs w:val="21"/>
          <w:lang w:val="zh-CN" w:bidi="zh-CN"/>
        </w:rPr>
        <w:t>发生交替的中断。同时，随着信用制度和金融市场的发展，货币资本逐渐独立发展，形成借贷资本、</w:t>
      </w:r>
      <w:r>
        <w:rPr>
          <w:rFonts w:ascii="宋体" w:hAnsi="宋体" w:eastAsia="宋体" w:cs="宋体"/>
          <w:kern w:val="0"/>
          <w:szCs w:val="21"/>
          <w:lang w:val="zh-CN" w:bidi="zh-CN"/>
        </w:rPr>
        <w:t>银行资本以及虚拟资本，不仅增加了资本运动的环节和层次，也日益与产业资本相背离，商品内在二重性矛盾进一步发展为产业资本与金融资本、实体经济与虚拟经济的对立。尤其是，随着资本主义世界市场体系的形成，买卖的分离、生产与流通的分离日趋严重，处于商品资本阶段、处于流通时间内的社会资本也会绝对地和相对地增加，从而导致信用规模膨胀和信用期限延长。因此，资本主义商品生产作为资本的流通过程或再生产过程，包含着不断得到进一步发展的危机的可能性，包含着不断得到进一步发展的危机的抽象形式。</w:t>
      </w:r>
    </w:p>
    <w:p w14:paraId="5FB09A46">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2</w:t>
      </w:r>
      <w:r>
        <w:rPr>
          <w:rFonts w:ascii="宋体" w:hAnsi="宋体" w:eastAsia="宋体" w:cs="宋体"/>
          <w:b/>
          <w:bCs/>
          <w:kern w:val="0"/>
          <w:szCs w:val="21"/>
          <w:lang w:val="zh-CN" w:bidi="zh-CN"/>
        </w:rPr>
        <w:t>.</w:t>
      </w:r>
      <w:r>
        <w:rPr>
          <w:rFonts w:hint="eastAsia" w:ascii="宋体" w:hAnsi="宋体" w:eastAsia="宋体" w:cs="宋体"/>
          <w:b/>
          <w:bCs/>
          <w:kern w:val="0"/>
          <w:szCs w:val="21"/>
          <w:lang w:val="zh-CN" w:bidi="zh-CN"/>
        </w:rPr>
        <w:t>资本主义基本矛盾决定危机发生的必然</w:t>
      </w:r>
    </w:p>
    <w:p w14:paraId="668200D6">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危机的可能性转变为必然现实，需要整整一系列的关系。这就是，资本主义生产方式及其基本矛盾。因此，从资本主义基本矛盾及其当代发展分析入手，可以发现，此次西方国家金融危机和经济危机的现实要素与表现形式。</w:t>
      </w:r>
    </w:p>
    <w:p w14:paraId="2A5569CF">
      <w:pPr>
        <w:autoSpaceDE w:val="0"/>
        <w:autoSpaceDN w:val="0"/>
        <w:spacing w:line="400" w:lineRule="exact"/>
        <w:ind w:firstLine="200"/>
        <w:rPr>
          <w:rFonts w:ascii="宋体" w:hAnsi="宋体" w:eastAsia="宋体" w:cs="宋体"/>
          <w:kern w:val="0"/>
          <w:szCs w:val="21"/>
          <w:lang w:val="zh-CN" w:bidi="zh-CN"/>
        </w:rPr>
      </w:pPr>
      <w:r>
        <w:rPr>
          <w:rFonts w:ascii="宋体" w:hAnsi="宋体" w:eastAsia="宋体" w:cs="宋体"/>
          <w:spacing w:val="-9"/>
          <w:kern w:val="0"/>
          <w:szCs w:val="21"/>
          <w:lang w:val="zh-CN" w:bidi="zh-CN"/>
        </w:rPr>
        <w:t>马克思认为，资本主义生产方式的基本矛盾是生产的社会化与生产资料的私人占有之间的矛盾，</w:t>
      </w:r>
      <w:r>
        <w:rPr>
          <w:rFonts w:ascii="宋体" w:hAnsi="宋体" w:eastAsia="宋体" w:cs="宋体"/>
          <w:kern w:val="0"/>
          <w:szCs w:val="21"/>
          <w:lang w:val="zh-CN" w:bidi="zh-CN"/>
        </w:rPr>
        <w:t>其具体表现为个别企业生产的有组织性与整个社会生产无政府状态之间的矛盾，以及生产无限扩大的趋势与劳动人民购买力相对缩小之间的矛盾。资本主义基本矛盾的存在和累积，必然会使得价值与使用价值、具体劳动与抽象劳动、商品与货币的分离和对立具有不可调和的对抗性质，使得资本主义商品生产正常运行所需要的一系列连续性、并存性和均衡性关系难以得到满足，使得社会资本</w:t>
      </w:r>
      <w:r>
        <w:rPr>
          <w:rFonts w:ascii="宋体" w:hAnsi="宋体" w:eastAsia="宋体" w:cs="宋体"/>
          <w:spacing w:val="-5"/>
          <w:kern w:val="0"/>
          <w:szCs w:val="21"/>
          <w:lang w:val="zh-CN" w:bidi="zh-CN"/>
        </w:rPr>
        <w:t>再生产所需要的各种比例关系经常遭到破坏，从而使资本主义经济危机的可能性转变为现实必然性。</w:t>
      </w:r>
      <w:r>
        <w:rPr>
          <w:rFonts w:ascii="宋体" w:hAnsi="宋体" w:eastAsia="宋体" w:cs="宋体"/>
          <w:kern w:val="0"/>
          <w:szCs w:val="21"/>
          <w:lang w:val="zh-CN" w:bidi="zh-CN"/>
        </w:rPr>
        <w:t>也就是，资本主义经济危机是资本主义基本矛盾周期性激化的必然结果。毫无疑问，马克思的分析依然正确。只要存在资本主义制度，周期性的经济危机便不可避免。此次西方国家的金融危机和经济危机依然是资本主义基本矛盾不断深化的必然结果，是资本主义基本矛盾在当代发展的必然表现。20</w:t>
      </w:r>
      <w:r>
        <w:rPr>
          <w:rFonts w:ascii="宋体" w:hAnsi="宋体" w:eastAsia="宋体" w:cs="宋体"/>
          <w:spacing w:val="-8"/>
          <w:kern w:val="0"/>
          <w:szCs w:val="21"/>
          <w:lang w:val="zh-CN" w:bidi="zh-CN"/>
        </w:rPr>
        <w:t>世纪</w:t>
      </w:r>
      <w:r>
        <w:rPr>
          <w:rFonts w:ascii="宋体" w:hAnsi="宋体" w:eastAsia="宋体" w:cs="宋体"/>
          <w:kern w:val="0"/>
          <w:szCs w:val="21"/>
          <w:lang w:val="zh-CN" w:bidi="zh-CN"/>
        </w:rPr>
        <w:t>80</w:t>
      </w:r>
      <w:r>
        <w:rPr>
          <w:rFonts w:ascii="宋体" w:hAnsi="宋体" w:eastAsia="宋体" w:cs="宋体"/>
          <w:spacing w:val="-1"/>
          <w:kern w:val="0"/>
          <w:szCs w:val="21"/>
          <w:lang w:val="zh-CN" w:bidi="zh-CN"/>
        </w:rPr>
        <w:t>年代以来，随着经济全球化的持续推进，资本主义基本</w:t>
      </w:r>
      <w:r>
        <w:rPr>
          <w:rFonts w:ascii="宋体" w:hAnsi="宋体" w:eastAsia="宋体" w:cs="宋体"/>
          <w:kern w:val="0"/>
          <w:szCs w:val="21"/>
          <w:lang w:val="zh-CN" w:bidi="zh-CN"/>
        </w:rPr>
        <w:t>矛盾在全球范围不断扩展并日趋激化。一方面，随着信息技术和网络技术的发明与广泛应用，各类企业和资本不断突破部门和领土的边界向各个产业和世界各地扩张并相互合作，生产要素以空前的速度和规模在世界范围内流动以寻求相应的位置进行最佳的资源配置，生产与经济的社会化、全球化程度不断提高；另一方面，资本走向进一步的积聚和集中，不同国家、不同领域的资本相互渗透与融合，形成了规模巨大的全球垄断寡头，即产量超过中等国家国民生产总值的巨大型跨国公司，生产资料和金融财富更大规模地向少数人和少数国家集中。这样，当代世界资本主义的基本矛盾逐步扩展为经济的社会化和全球化与生产资料和生产要素的私人所有的矛盾</w:t>
      </w:r>
      <w:r>
        <w:rPr>
          <w:rFonts w:ascii="宋体" w:hAnsi="宋体" w:eastAsia="宋体" w:cs="宋体"/>
          <w:kern w:val="0"/>
          <w:szCs w:val="21"/>
          <w:vertAlign w:val="superscript"/>
          <w:lang w:val="zh-CN" w:bidi="zh-CN"/>
        </w:rPr>
        <w:footnoteReference w:id="511"/>
      </w:r>
      <w:r>
        <w:rPr>
          <w:rFonts w:ascii="宋体" w:hAnsi="宋体" w:eastAsia="宋体" w:cs="宋体"/>
          <w:spacing w:val="-10"/>
          <w:kern w:val="0"/>
          <w:szCs w:val="21"/>
          <w:lang w:val="zh-CN" w:bidi="zh-CN"/>
        </w:rPr>
        <w:t>。可以说，此次西方国家</w:t>
      </w:r>
      <w:r>
        <w:rPr>
          <w:rFonts w:ascii="宋体" w:hAnsi="宋体" w:eastAsia="宋体" w:cs="宋体"/>
          <w:kern w:val="0"/>
          <w:szCs w:val="21"/>
          <w:lang w:val="zh-CN" w:bidi="zh-CN"/>
        </w:rPr>
        <w:t>金融危机和经济危机便是这一矛盾日趋尖锐的必然产物。</w:t>
      </w:r>
    </w:p>
    <w:p w14:paraId="4661554B">
      <w:pPr>
        <w:autoSpaceDE w:val="0"/>
        <w:autoSpaceDN w:val="0"/>
        <w:spacing w:line="400" w:lineRule="exact"/>
        <w:ind w:firstLine="442"/>
        <w:rPr>
          <w:rFonts w:ascii="宋体" w:hAnsi="宋体" w:eastAsia="宋体" w:cs="宋体"/>
          <w:spacing w:val="-3"/>
          <w:kern w:val="0"/>
          <w:szCs w:val="21"/>
          <w:lang w:val="zh-CN" w:bidi="zh-CN"/>
        </w:rPr>
      </w:pPr>
      <w:r>
        <w:rPr>
          <w:rFonts w:ascii="宋体" w:hAnsi="宋体" w:eastAsia="宋体" w:cs="宋体"/>
          <w:kern w:val="0"/>
          <w:szCs w:val="21"/>
          <w:lang w:val="zh-CN" w:bidi="zh-CN"/>
        </w:rPr>
        <w:t>更为重要的是，当代世界资本主义基本矛盾不断扩展的一个突出方面是金融垄断资本的全球扩张和全球掠夺。20</w:t>
      </w:r>
      <w:r>
        <w:rPr>
          <w:rFonts w:ascii="宋体" w:hAnsi="宋体" w:eastAsia="宋体" w:cs="宋体"/>
          <w:spacing w:val="-8"/>
          <w:kern w:val="0"/>
          <w:szCs w:val="21"/>
          <w:lang w:val="zh-CN" w:bidi="zh-CN"/>
        </w:rPr>
        <w:t>世纪</w:t>
      </w:r>
      <w:r>
        <w:rPr>
          <w:rFonts w:ascii="宋体" w:hAnsi="宋体" w:eastAsia="宋体" w:cs="宋体"/>
          <w:kern w:val="0"/>
          <w:szCs w:val="21"/>
          <w:lang w:val="zh-CN" w:bidi="zh-CN"/>
        </w:rPr>
        <w:t>80</w:t>
      </w:r>
      <w:r>
        <w:rPr>
          <w:rFonts w:ascii="宋体" w:hAnsi="宋体" w:eastAsia="宋体" w:cs="宋体"/>
          <w:spacing w:val="-1"/>
          <w:kern w:val="0"/>
          <w:szCs w:val="21"/>
          <w:lang w:val="zh-CN" w:bidi="zh-CN"/>
        </w:rPr>
        <w:t>年代以来，信息技术和网络技术的发明与广泛应用为金融资本的全球扩</w:t>
      </w:r>
      <w:r>
        <w:rPr>
          <w:rFonts w:ascii="宋体" w:hAnsi="宋体" w:eastAsia="宋体" w:cs="宋体"/>
          <w:kern w:val="0"/>
          <w:szCs w:val="21"/>
          <w:lang w:val="zh-CN" w:bidi="zh-CN"/>
        </w:rPr>
        <w:t>张和病态膨胀提供了有效的技术支撑，国际金融货币体系为金融垄断资本的全球扩张和全球掠夺提供了重要的杠杆与平台，新自由主义则成为金融垄断资本全球扩张及其制度安排的理论依据。正是</w:t>
      </w:r>
      <w:r>
        <w:rPr>
          <w:rFonts w:ascii="宋体" w:hAnsi="宋体" w:eastAsia="宋体" w:cs="宋体"/>
          <w:spacing w:val="-7"/>
          <w:kern w:val="0"/>
          <w:szCs w:val="21"/>
          <w:lang w:val="zh-CN" w:bidi="zh-CN"/>
        </w:rPr>
        <w:t>在这“三驾马车”的拉动之下，全球金融资本急剧增长并成为经济乃至政治的主宰</w:t>
      </w:r>
      <w:r>
        <w:rPr>
          <w:rFonts w:ascii="宋体" w:hAnsi="宋体" w:eastAsia="宋体" w:cs="宋体"/>
          <w:spacing w:val="-7"/>
          <w:kern w:val="0"/>
          <w:szCs w:val="21"/>
          <w:vertAlign w:val="superscript"/>
          <w:lang w:val="zh-CN" w:bidi="zh-CN"/>
        </w:rPr>
        <w:footnoteReference w:id="512"/>
      </w:r>
      <w:r>
        <w:rPr>
          <w:rFonts w:ascii="宋体" w:hAnsi="宋体" w:eastAsia="宋体" w:cs="宋体"/>
          <w:spacing w:val="-6"/>
          <w:kern w:val="0"/>
          <w:szCs w:val="21"/>
          <w:lang w:val="zh-CN" w:bidi="zh-CN"/>
        </w:rPr>
        <w:t>。据国际货币基</w:t>
      </w:r>
      <w:r>
        <w:rPr>
          <w:rFonts w:ascii="宋体" w:hAnsi="宋体" w:eastAsia="宋体" w:cs="宋体"/>
          <w:spacing w:val="-2"/>
          <w:kern w:val="0"/>
          <w:szCs w:val="21"/>
          <w:lang w:val="zh-CN" w:bidi="zh-CN"/>
        </w:rPr>
        <w:t>金组织统计，全球金融资产价值</w:t>
      </w:r>
      <w:r>
        <w:rPr>
          <w:rFonts w:ascii="宋体" w:hAnsi="宋体" w:eastAsia="宋体" w:cs="宋体"/>
          <w:kern w:val="0"/>
          <w:szCs w:val="21"/>
          <w:lang w:val="zh-CN" w:bidi="zh-CN"/>
        </w:rPr>
        <w:t>1980</w:t>
      </w:r>
      <w:r>
        <w:rPr>
          <w:rFonts w:ascii="宋体" w:hAnsi="宋体" w:eastAsia="宋体" w:cs="宋体"/>
          <w:spacing w:val="-8"/>
          <w:kern w:val="0"/>
          <w:szCs w:val="21"/>
          <w:lang w:val="zh-CN" w:bidi="zh-CN"/>
        </w:rPr>
        <w:t>年只有</w:t>
      </w:r>
      <w:r>
        <w:rPr>
          <w:rFonts w:ascii="宋体" w:hAnsi="宋体" w:eastAsia="宋体" w:cs="宋体"/>
          <w:kern w:val="0"/>
          <w:szCs w:val="21"/>
          <w:lang w:val="zh-CN" w:bidi="zh-CN"/>
        </w:rPr>
        <w:t>12</w:t>
      </w:r>
      <w:r>
        <w:rPr>
          <w:rFonts w:ascii="宋体" w:hAnsi="宋体" w:eastAsia="宋体" w:cs="宋体"/>
          <w:spacing w:val="-3"/>
          <w:kern w:val="0"/>
          <w:szCs w:val="21"/>
          <w:lang w:val="zh-CN" w:bidi="zh-CN"/>
        </w:rPr>
        <w:t>万亿美元，与当年全球</w:t>
      </w:r>
      <w:r>
        <w:rPr>
          <w:rFonts w:ascii="宋体" w:hAnsi="宋体" w:eastAsia="宋体" w:cs="宋体"/>
          <w:kern w:val="0"/>
          <w:szCs w:val="21"/>
          <w:lang w:val="zh-CN" w:bidi="zh-CN"/>
        </w:rPr>
        <w:t>GDP规模基本相当；1993</w:t>
      </w:r>
      <w:r>
        <w:rPr>
          <w:rFonts w:ascii="宋体" w:hAnsi="宋体" w:eastAsia="宋体" w:cs="宋体"/>
          <w:spacing w:val="-10"/>
          <w:kern w:val="0"/>
          <w:szCs w:val="21"/>
          <w:lang w:val="zh-CN" w:bidi="zh-CN"/>
        </w:rPr>
        <w:t>年达到</w:t>
      </w:r>
      <w:r>
        <w:rPr>
          <w:rFonts w:ascii="宋体" w:hAnsi="宋体" w:eastAsia="宋体" w:cs="宋体"/>
          <w:kern w:val="0"/>
          <w:szCs w:val="21"/>
          <w:lang w:val="zh-CN" w:bidi="zh-CN"/>
        </w:rPr>
        <w:t>53</w:t>
      </w:r>
      <w:r>
        <w:rPr>
          <w:rFonts w:ascii="宋体" w:hAnsi="宋体" w:eastAsia="宋体" w:cs="宋体"/>
          <w:spacing w:val="-4"/>
          <w:kern w:val="0"/>
          <w:szCs w:val="21"/>
          <w:lang w:val="zh-CN" w:bidi="zh-CN"/>
        </w:rPr>
        <w:t>万亿美元，为当年全球</w:t>
      </w:r>
      <w:r>
        <w:rPr>
          <w:rFonts w:ascii="宋体" w:hAnsi="宋体" w:eastAsia="宋体" w:cs="宋体"/>
          <w:kern w:val="0"/>
          <w:szCs w:val="21"/>
          <w:lang w:val="zh-CN" w:bidi="zh-CN"/>
        </w:rPr>
        <w:t>GDP</w:t>
      </w:r>
      <w:r>
        <w:rPr>
          <w:rFonts w:ascii="宋体" w:hAnsi="宋体" w:eastAsia="宋体" w:cs="宋体"/>
          <w:spacing w:val="-20"/>
          <w:kern w:val="0"/>
          <w:szCs w:val="21"/>
          <w:lang w:val="zh-CN" w:bidi="zh-CN"/>
        </w:rPr>
        <w:t>的</w:t>
      </w:r>
      <w:r>
        <w:rPr>
          <w:rFonts w:ascii="宋体" w:hAnsi="宋体" w:eastAsia="宋体" w:cs="宋体"/>
          <w:kern w:val="0"/>
          <w:szCs w:val="21"/>
          <w:lang w:val="zh-CN" w:bidi="zh-CN"/>
        </w:rPr>
        <w:t>2倍；2003</w:t>
      </w:r>
      <w:r>
        <w:rPr>
          <w:rFonts w:ascii="宋体" w:hAnsi="宋体" w:eastAsia="宋体" w:cs="宋体"/>
          <w:spacing w:val="-8"/>
          <w:kern w:val="0"/>
          <w:szCs w:val="21"/>
          <w:lang w:val="zh-CN" w:bidi="zh-CN"/>
        </w:rPr>
        <w:t>年增长到</w:t>
      </w:r>
      <w:r>
        <w:rPr>
          <w:rFonts w:ascii="宋体" w:hAnsi="宋体" w:eastAsia="宋体" w:cs="宋体"/>
          <w:kern w:val="0"/>
          <w:szCs w:val="21"/>
          <w:lang w:val="zh-CN" w:bidi="zh-CN"/>
        </w:rPr>
        <w:t>124</w:t>
      </w:r>
      <w:r>
        <w:rPr>
          <w:rFonts w:ascii="宋体" w:hAnsi="宋体" w:eastAsia="宋体" w:cs="宋体"/>
          <w:spacing w:val="-4"/>
          <w:kern w:val="0"/>
          <w:szCs w:val="21"/>
          <w:lang w:val="zh-CN" w:bidi="zh-CN"/>
        </w:rPr>
        <w:t>万亿美元，超过当年全球</w:t>
      </w:r>
      <w:r>
        <w:rPr>
          <w:rFonts w:ascii="宋体" w:hAnsi="宋体" w:eastAsia="宋体" w:cs="宋体"/>
          <w:kern w:val="0"/>
          <w:szCs w:val="21"/>
          <w:lang w:val="zh-CN" w:bidi="zh-CN"/>
        </w:rPr>
        <w:t>GDP</w:t>
      </w:r>
      <w:r>
        <w:rPr>
          <w:rFonts w:ascii="宋体" w:hAnsi="宋体" w:eastAsia="宋体" w:cs="宋体"/>
          <w:spacing w:val="-22"/>
          <w:kern w:val="0"/>
          <w:szCs w:val="21"/>
          <w:lang w:val="zh-CN" w:bidi="zh-CN"/>
        </w:rPr>
        <w:t>的</w:t>
      </w:r>
      <w:r>
        <w:rPr>
          <w:rFonts w:ascii="宋体" w:hAnsi="宋体" w:eastAsia="宋体" w:cs="宋体"/>
          <w:kern w:val="0"/>
          <w:szCs w:val="21"/>
          <w:lang w:val="zh-CN" w:bidi="zh-CN"/>
        </w:rPr>
        <w:t>3倍；2007</w:t>
      </w:r>
      <w:r>
        <w:rPr>
          <w:rFonts w:ascii="宋体" w:hAnsi="宋体" w:eastAsia="宋体" w:cs="宋体"/>
          <w:spacing w:val="-2"/>
          <w:kern w:val="0"/>
          <w:szCs w:val="21"/>
          <w:lang w:val="zh-CN" w:bidi="zh-CN"/>
        </w:rPr>
        <w:t>年，全球金融体系内的商业银行资产余额、未偿债券余额和股票市值合计达到了</w:t>
      </w:r>
      <w:r>
        <w:rPr>
          <w:rFonts w:ascii="宋体" w:hAnsi="宋体" w:eastAsia="宋体" w:cs="宋体"/>
          <w:spacing w:val="-5"/>
          <w:kern w:val="0"/>
          <w:szCs w:val="21"/>
          <w:lang w:val="zh-CN" w:bidi="zh-CN"/>
        </w:rPr>
        <w:t>230</w:t>
      </w:r>
      <w:r>
        <w:rPr>
          <w:rFonts w:ascii="宋体" w:hAnsi="宋体" w:eastAsia="宋体" w:cs="宋体"/>
          <w:spacing w:val="-6"/>
          <w:kern w:val="0"/>
          <w:szCs w:val="21"/>
          <w:lang w:val="zh-CN" w:bidi="zh-CN"/>
        </w:rPr>
        <w:t>万亿美元，为当年全球</w:t>
      </w:r>
      <w:r>
        <w:rPr>
          <w:rFonts w:ascii="宋体" w:hAnsi="宋体" w:eastAsia="宋体" w:cs="宋体"/>
          <w:kern w:val="0"/>
          <w:szCs w:val="21"/>
          <w:lang w:val="zh-CN" w:bidi="zh-CN"/>
        </w:rPr>
        <w:t>GDP</w:t>
      </w:r>
      <w:r>
        <w:rPr>
          <w:rFonts w:ascii="宋体" w:hAnsi="宋体" w:eastAsia="宋体" w:cs="宋体"/>
          <w:spacing w:val="-27"/>
          <w:kern w:val="0"/>
          <w:szCs w:val="21"/>
          <w:lang w:val="zh-CN" w:bidi="zh-CN"/>
        </w:rPr>
        <w:t>的</w:t>
      </w:r>
      <w:r>
        <w:rPr>
          <w:rFonts w:ascii="宋体" w:hAnsi="宋体" w:eastAsia="宋体" w:cs="宋体"/>
          <w:kern w:val="0"/>
          <w:szCs w:val="21"/>
          <w:lang w:val="zh-CN" w:bidi="zh-CN"/>
        </w:rPr>
        <w:t>4.21倍</w:t>
      </w:r>
      <w:r>
        <w:rPr>
          <w:rFonts w:ascii="宋体" w:hAnsi="宋体" w:eastAsia="宋体" w:cs="宋体"/>
          <w:kern w:val="0"/>
          <w:szCs w:val="21"/>
          <w:vertAlign w:val="superscript"/>
          <w:lang w:val="zh-CN" w:bidi="zh-CN"/>
        </w:rPr>
        <w:footnoteReference w:id="513"/>
      </w:r>
      <w:r>
        <w:rPr>
          <w:rFonts w:ascii="宋体" w:hAnsi="宋体" w:eastAsia="宋体" w:cs="宋体"/>
          <w:spacing w:val="-3"/>
          <w:kern w:val="0"/>
          <w:szCs w:val="21"/>
          <w:lang w:val="zh-CN" w:bidi="zh-CN"/>
        </w:rPr>
        <w:t>。现代金融资本具有高度的逐利性，极易导致资本主义各国生产与经济的盲目扩张；现代金融资本具有高度的变动性，极易引起资本主义各国生产与经济的不稳定；现代金融资本具有高度的虚拟性，极易促成资本主义各国生产与经济的泡沫膨胀。因此，金融资本由服务于产业资本向主宰产业资本的异化必然导致当代世界资本主义基本矛盾扩展到一个新的尖锐高度，加剧资本主义市场体系的紊乱，引发资本主义更加频繁的首先以金融危机的形式表现出来的周期性经济危机。</w:t>
      </w:r>
    </w:p>
    <w:p w14:paraId="2BB8C3B2">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3</w:t>
      </w:r>
      <w:r>
        <w:rPr>
          <w:rFonts w:ascii="宋体" w:hAnsi="宋体" w:eastAsia="宋体" w:cs="宋体"/>
          <w:b/>
          <w:bCs/>
          <w:kern w:val="0"/>
          <w:szCs w:val="21"/>
          <w:lang w:val="zh-CN" w:bidi="zh-CN"/>
        </w:rPr>
        <w:t>.</w:t>
      </w:r>
      <w:r>
        <w:rPr>
          <w:rFonts w:hint="eastAsia" w:ascii="宋体" w:hAnsi="宋体" w:eastAsia="宋体" w:cs="宋体"/>
          <w:b/>
          <w:bCs/>
          <w:kern w:val="0"/>
          <w:szCs w:val="21"/>
          <w:lang w:val="zh-CN" w:bidi="zh-CN"/>
        </w:rPr>
        <w:t>当代资本主义各种矛盾促成危机发生的现实</w:t>
      </w:r>
    </w:p>
    <w:p w14:paraId="01DF9C79">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spacing w:val="-10"/>
          <w:kern w:val="0"/>
          <w:szCs w:val="21"/>
          <w:lang w:val="zh-CN" w:bidi="zh-CN"/>
        </w:rPr>
        <w:t>“历史上没有发生过两次绝对一样的经济危机”。每一次资本主义经济危机都是资本主义基本矛</w:t>
      </w:r>
      <w:r>
        <w:rPr>
          <w:rFonts w:ascii="宋体" w:hAnsi="宋体" w:eastAsia="宋体" w:cs="宋体"/>
          <w:kern w:val="0"/>
          <w:szCs w:val="21"/>
          <w:lang w:val="zh-CN" w:bidi="zh-CN"/>
        </w:rPr>
        <w:t>盾发展的必然结果，也都是资本主义所处时代各种具体矛盾和具体问题的综合反映。此次西方国家金融危机和经济危机是在当代资本主义基本矛盾激化的同时，由微观基础、经济结构以及经济调节等方面的具体矛盾和问题共同导致的结果。</w:t>
      </w:r>
    </w:p>
    <w:p w14:paraId="4FCDECCC">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从微观基础分析，此次危机是美国式公司治理模式的缺陷的具体反映。首先，高度分散的股权结构造成公司经营的短期行为。美国式公司治理模式的一个重要特点是，公司股权集中度低，股权结构较为分散，股票流动性较强。资料显示，高盛、摩根士丹利、美林、雷曼、贝尔斯登等美国五</w:t>
      </w:r>
      <w:r>
        <w:rPr>
          <w:rFonts w:ascii="宋体" w:hAnsi="宋体" w:eastAsia="宋体" w:cs="宋体"/>
          <w:spacing w:val="-4"/>
          <w:kern w:val="0"/>
          <w:szCs w:val="21"/>
          <w:lang w:val="zh-CN" w:bidi="zh-CN"/>
        </w:rPr>
        <w:t>大投资银行平均股权集中度仅为</w:t>
      </w:r>
      <w:r>
        <w:rPr>
          <w:rFonts w:ascii="宋体" w:hAnsi="宋体" w:eastAsia="宋体" w:cs="宋体"/>
          <w:spacing w:val="-5"/>
          <w:kern w:val="0"/>
          <w:szCs w:val="21"/>
          <w:lang w:val="zh-CN" w:bidi="zh-CN"/>
        </w:rPr>
        <w:t>15.6%</w:t>
      </w:r>
      <w:r>
        <w:rPr>
          <w:rFonts w:ascii="宋体" w:hAnsi="宋体" w:eastAsia="宋体" w:cs="宋体"/>
          <w:spacing w:val="-6"/>
          <w:kern w:val="0"/>
          <w:szCs w:val="21"/>
          <w:lang w:val="zh-CN" w:bidi="zh-CN"/>
        </w:rPr>
        <w:t>，第一大股东持股比例超过</w:t>
      </w:r>
      <w:r>
        <w:rPr>
          <w:rFonts w:ascii="宋体" w:hAnsi="宋体" w:eastAsia="宋体" w:cs="宋体"/>
          <w:kern w:val="0"/>
          <w:szCs w:val="21"/>
          <w:lang w:val="zh-CN" w:bidi="zh-CN"/>
        </w:rPr>
        <w:t>5%</w:t>
      </w:r>
      <w:r>
        <w:rPr>
          <w:rFonts w:ascii="宋体" w:hAnsi="宋体" w:eastAsia="宋体" w:cs="宋体"/>
          <w:spacing w:val="-3"/>
          <w:kern w:val="0"/>
          <w:szCs w:val="21"/>
          <w:lang w:val="zh-CN" w:bidi="zh-CN"/>
        </w:rPr>
        <w:t>的只有摩根士丹利一家，高盛</w:t>
      </w:r>
      <w:r>
        <w:rPr>
          <w:rFonts w:ascii="宋体" w:hAnsi="宋体" w:eastAsia="宋体" w:cs="宋体"/>
          <w:spacing w:val="1"/>
          <w:kern w:val="0"/>
          <w:szCs w:val="21"/>
          <w:lang w:val="zh-CN" w:bidi="zh-CN"/>
        </w:rPr>
        <w:t>集团第一大股东持股比例仅为</w:t>
      </w:r>
      <w:r>
        <w:rPr>
          <w:rFonts w:ascii="宋体" w:hAnsi="宋体" w:eastAsia="宋体" w:cs="宋体"/>
          <w:kern w:val="0"/>
          <w:szCs w:val="21"/>
          <w:lang w:val="zh-CN" w:bidi="zh-CN"/>
        </w:rPr>
        <w:t>1.74%。在过度分散型股权结构下，股东的“理智的冷漠”和“搭便车倾向”导致的结果必然是无人愿意行使监督权，从而导致股权分散下的“内部人控制”格局。同时，由于股东判断上市公司经营绩效的主要标准是盈利率和股票价格的高低，并以短期投资收益最大化为目标，这就使公司经营在股东追求短期回报和高收益率的巨大压力下，不得不把注意力集中于目前或近期利润。尤其是，高度分散的股权结构极易导致上市公司受到极不稳定的所谓机构投资者，即养老基金、保险公司、对冲基金等金融资本的冲击和控制，顺从股票价格最大化的短期主义</w:t>
      </w:r>
      <w:r>
        <w:rPr>
          <w:rFonts w:ascii="宋体" w:hAnsi="宋体" w:eastAsia="宋体" w:cs="宋体"/>
          <w:spacing w:val="-2"/>
          <w:kern w:val="0"/>
          <w:szCs w:val="21"/>
          <w:lang w:val="zh-CN" w:bidi="zh-CN"/>
        </w:rPr>
        <w:t>逻辑。其次，失当的薪酬体系“激励”管理层的冒险行为。随着</w:t>
      </w:r>
      <w:r>
        <w:rPr>
          <w:rFonts w:ascii="宋体" w:hAnsi="宋体" w:eastAsia="宋体" w:cs="宋体"/>
          <w:kern w:val="0"/>
          <w:szCs w:val="21"/>
          <w:lang w:val="zh-CN" w:bidi="zh-CN"/>
        </w:rPr>
        <w:t>20</w:t>
      </w:r>
      <w:r>
        <w:rPr>
          <w:rFonts w:ascii="宋体" w:hAnsi="宋体" w:eastAsia="宋体" w:cs="宋体"/>
          <w:spacing w:val="-14"/>
          <w:kern w:val="0"/>
          <w:szCs w:val="21"/>
          <w:lang w:val="zh-CN" w:bidi="zh-CN"/>
        </w:rPr>
        <w:t>世纪</w:t>
      </w:r>
      <w:r>
        <w:rPr>
          <w:rFonts w:ascii="宋体" w:hAnsi="宋体" w:eastAsia="宋体" w:cs="宋体"/>
          <w:kern w:val="0"/>
          <w:szCs w:val="21"/>
          <w:lang w:val="zh-CN" w:bidi="zh-CN"/>
        </w:rPr>
        <w:t>80</w:t>
      </w:r>
      <w:r>
        <w:rPr>
          <w:rFonts w:ascii="宋体" w:hAnsi="宋体" w:eastAsia="宋体" w:cs="宋体"/>
          <w:spacing w:val="-2"/>
          <w:kern w:val="0"/>
          <w:szCs w:val="21"/>
          <w:lang w:val="zh-CN" w:bidi="zh-CN"/>
        </w:rPr>
        <w:t>年代以来，股票期权计</w:t>
      </w:r>
      <w:r>
        <w:rPr>
          <w:rFonts w:ascii="宋体" w:hAnsi="宋体" w:eastAsia="宋体" w:cs="宋体"/>
          <w:kern w:val="0"/>
          <w:szCs w:val="21"/>
          <w:lang w:val="zh-CN" w:bidi="zh-CN"/>
        </w:rPr>
        <w:t>划的广泛实施，行使股票期权的收入逐渐成为美国公司管理层薪酬的主要来源，并导致其收入达到</w:t>
      </w:r>
      <w:r>
        <w:rPr>
          <w:rFonts w:ascii="宋体" w:hAnsi="宋体" w:eastAsia="宋体" w:cs="宋体"/>
          <w:spacing w:val="-8"/>
          <w:kern w:val="0"/>
          <w:szCs w:val="21"/>
          <w:lang w:val="zh-CN" w:bidi="zh-CN"/>
        </w:rPr>
        <w:t>令人惊叹的水平。资料显示，全美前</w:t>
      </w:r>
      <w:r>
        <w:rPr>
          <w:rFonts w:ascii="宋体" w:hAnsi="宋体" w:eastAsia="宋体" w:cs="宋体"/>
          <w:kern w:val="0"/>
          <w:szCs w:val="21"/>
          <w:lang w:val="zh-CN" w:bidi="zh-CN"/>
        </w:rPr>
        <w:t>100</w:t>
      </w:r>
      <w:r>
        <w:rPr>
          <w:rFonts w:ascii="宋体" w:hAnsi="宋体" w:eastAsia="宋体" w:cs="宋体"/>
          <w:spacing w:val="-4"/>
          <w:kern w:val="0"/>
          <w:szCs w:val="21"/>
          <w:lang w:val="zh-CN" w:bidi="zh-CN"/>
        </w:rPr>
        <w:t>名高级企业主管的平均年收入</w:t>
      </w:r>
      <w:r>
        <w:rPr>
          <w:rFonts w:ascii="宋体" w:hAnsi="宋体" w:eastAsia="宋体" w:cs="宋体"/>
          <w:kern w:val="0"/>
          <w:szCs w:val="21"/>
          <w:lang w:val="zh-CN" w:bidi="zh-CN"/>
        </w:rPr>
        <w:t>30</w:t>
      </w:r>
      <w:r>
        <w:rPr>
          <w:rFonts w:ascii="宋体" w:hAnsi="宋体" w:eastAsia="宋体" w:cs="宋体"/>
          <w:spacing w:val="-14"/>
          <w:kern w:val="0"/>
          <w:szCs w:val="21"/>
          <w:lang w:val="zh-CN" w:bidi="zh-CN"/>
        </w:rPr>
        <w:t>年前为</w:t>
      </w:r>
      <w:r>
        <w:rPr>
          <w:rFonts w:ascii="宋体" w:hAnsi="宋体" w:eastAsia="宋体" w:cs="宋体"/>
          <w:kern w:val="0"/>
          <w:szCs w:val="21"/>
          <w:lang w:val="zh-CN" w:bidi="zh-CN"/>
        </w:rPr>
        <w:t>130</w:t>
      </w:r>
      <w:r>
        <w:rPr>
          <w:rFonts w:ascii="宋体" w:hAnsi="宋体" w:eastAsia="宋体" w:cs="宋体"/>
          <w:spacing w:val="-5"/>
          <w:kern w:val="0"/>
          <w:szCs w:val="21"/>
          <w:lang w:val="zh-CN" w:bidi="zh-CN"/>
        </w:rPr>
        <w:t>万美元，今天</w:t>
      </w:r>
      <w:r>
        <w:rPr>
          <w:rFonts w:ascii="宋体" w:hAnsi="宋体" w:eastAsia="宋体" w:cs="宋体"/>
          <w:spacing w:val="-18"/>
          <w:kern w:val="0"/>
          <w:szCs w:val="21"/>
          <w:lang w:val="zh-CN" w:bidi="zh-CN"/>
        </w:rPr>
        <w:t>则为</w:t>
      </w:r>
      <w:r>
        <w:rPr>
          <w:rFonts w:ascii="宋体" w:hAnsi="宋体" w:eastAsia="宋体" w:cs="宋体"/>
          <w:kern w:val="0"/>
          <w:szCs w:val="21"/>
          <w:lang w:val="zh-CN" w:bidi="zh-CN"/>
        </w:rPr>
        <w:t>3750</w:t>
      </w:r>
      <w:r>
        <w:rPr>
          <w:rFonts w:ascii="宋体" w:hAnsi="宋体" w:eastAsia="宋体" w:cs="宋体"/>
          <w:spacing w:val="-7"/>
          <w:kern w:val="0"/>
          <w:szCs w:val="21"/>
          <w:lang w:val="zh-CN" w:bidi="zh-CN"/>
        </w:rPr>
        <w:t>万美元。失当的薪酬激励使美国公司高管根本无暇注重公司长期发展，而是更多追逐短期效益，过分地关注公司股票价格，甚至不惜突破道德底线，进行各种放大效应的套利行为。实证研究发现，美国许多公司在推行股票期权计划的同时，存在着明显的市场操纵行为，股票期权计划正</w:t>
      </w:r>
      <w:r>
        <w:rPr>
          <w:rFonts w:ascii="宋体" w:hAnsi="宋体" w:eastAsia="宋体" w:cs="宋体"/>
          <w:spacing w:val="-11"/>
          <w:kern w:val="0"/>
          <w:szCs w:val="21"/>
          <w:lang w:val="zh-CN" w:bidi="zh-CN"/>
        </w:rPr>
        <w:t>在诱发企业管理者新的道德风险，在这些新的道德风险的冲击下，一个个庞然大物在瞬间轰然倒下。</w:t>
      </w:r>
    </w:p>
    <w:p w14:paraId="1A87479A">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spacing w:val="-6"/>
          <w:kern w:val="0"/>
          <w:szCs w:val="21"/>
          <w:lang w:val="zh-CN" w:bidi="zh-CN"/>
        </w:rPr>
        <w:t>从经济结构分析，此次危机是虚拟经济日益膨胀、实体经济与虚拟经济日益对立的直接结果。</w:t>
      </w:r>
      <w:r>
        <w:rPr>
          <w:rFonts w:ascii="宋体" w:hAnsi="宋体" w:eastAsia="宋体" w:cs="宋体"/>
          <w:kern w:val="0"/>
          <w:szCs w:val="21"/>
          <w:lang w:val="zh-CN" w:bidi="zh-CN"/>
        </w:rPr>
        <w:t>20</w:t>
      </w:r>
      <w:r>
        <w:rPr>
          <w:rFonts w:ascii="宋体" w:hAnsi="宋体" w:eastAsia="宋体" w:cs="宋体"/>
          <w:spacing w:val="-22"/>
          <w:kern w:val="0"/>
          <w:szCs w:val="21"/>
          <w:lang w:val="zh-CN" w:bidi="zh-CN"/>
        </w:rPr>
        <w:t>世纪</w:t>
      </w:r>
      <w:r>
        <w:rPr>
          <w:rFonts w:ascii="宋体" w:hAnsi="宋体" w:eastAsia="宋体" w:cs="宋体"/>
          <w:kern w:val="0"/>
          <w:szCs w:val="21"/>
          <w:lang w:val="zh-CN" w:bidi="zh-CN"/>
        </w:rPr>
        <w:t>80</w:t>
      </w:r>
      <w:r>
        <w:rPr>
          <w:rFonts w:ascii="宋体" w:hAnsi="宋体" w:eastAsia="宋体" w:cs="宋体"/>
          <w:spacing w:val="-13"/>
          <w:kern w:val="0"/>
          <w:szCs w:val="21"/>
          <w:lang w:val="zh-CN" w:bidi="zh-CN"/>
        </w:rPr>
        <w:t>年代以来，随着金融资本的全球扩张，金融资本由服务于产业资本异化为主宰产业资本，虚拟</w:t>
      </w:r>
      <w:r>
        <w:rPr>
          <w:rFonts w:ascii="宋体" w:hAnsi="宋体" w:eastAsia="宋体" w:cs="宋体"/>
          <w:spacing w:val="-7"/>
          <w:kern w:val="0"/>
          <w:szCs w:val="21"/>
          <w:lang w:val="zh-CN" w:bidi="zh-CN"/>
        </w:rPr>
        <w:t>经济与实体经济日益脱节和对立。</w:t>
      </w:r>
      <w:r>
        <w:rPr>
          <w:rFonts w:ascii="宋体" w:hAnsi="宋体" w:eastAsia="宋体" w:cs="宋体"/>
          <w:kern w:val="0"/>
          <w:szCs w:val="21"/>
          <w:lang w:val="zh-CN" w:bidi="zh-CN"/>
        </w:rPr>
        <w:t>2007</w:t>
      </w:r>
      <w:r>
        <w:rPr>
          <w:rFonts w:ascii="宋体" w:hAnsi="宋体" w:eastAsia="宋体" w:cs="宋体"/>
          <w:spacing w:val="-14"/>
          <w:kern w:val="0"/>
          <w:szCs w:val="21"/>
          <w:lang w:val="zh-CN" w:bidi="zh-CN"/>
        </w:rPr>
        <w:t>年，全球实体经济</w:t>
      </w:r>
      <w:r>
        <w:rPr>
          <w:rFonts w:ascii="宋体" w:hAnsi="宋体" w:eastAsia="宋体" w:cs="宋体"/>
          <w:kern w:val="0"/>
          <w:szCs w:val="21"/>
          <w:lang w:val="zh-CN" w:bidi="zh-CN"/>
        </w:rPr>
        <w:t>10</w:t>
      </w:r>
      <w:r>
        <w:rPr>
          <w:rFonts w:ascii="宋体" w:hAnsi="宋体" w:eastAsia="宋体" w:cs="宋体"/>
          <w:spacing w:val="-6"/>
          <w:kern w:val="0"/>
          <w:szCs w:val="21"/>
          <w:lang w:val="zh-CN" w:bidi="zh-CN"/>
        </w:rPr>
        <w:t>万多亿美元，</w:t>
      </w:r>
      <w:r>
        <w:rPr>
          <w:rFonts w:ascii="宋体" w:hAnsi="宋体" w:eastAsia="宋体" w:cs="宋体"/>
          <w:spacing w:val="-9"/>
          <w:kern w:val="0"/>
          <w:szCs w:val="21"/>
          <w:lang w:val="zh-CN" w:bidi="zh-CN"/>
        </w:rPr>
        <w:t>GDP</w:t>
      </w:r>
      <w:r>
        <w:rPr>
          <w:rFonts w:ascii="宋体" w:hAnsi="宋体" w:eastAsia="宋体" w:cs="宋体"/>
          <w:spacing w:val="-30"/>
          <w:kern w:val="0"/>
          <w:szCs w:val="21"/>
          <w:lang w:val="zh-CN" w:bidi="zh-CN"/>
        </w:rPr>
        <w:t>近</w:t>
      </w:r>
      <w:r>
        <w:rPr>
          <w:rFonts w:ascii="宋体" w:hAnsi="宋体" w:eastAsia="宋体" w:cs="宋体"/>
          <w:kern w:val="0"/>
          <w:szCs w:val="21"/>
          <w:lang w:val="zh-CN" w:bidi="zh-CN"/>
        </w:rPr>
        <w:t>54</w:t>
      </w:r>
      <w:r>
        <w:rPr>
          <w:rFonts w:ascii="宋体" w:hAnsi="宋体" w:eastAsia="宋体" w:cs="宋体"/>
          <w:spacing w:val="-8"/>
          <w:kern w:val="0"/>
          <w:szCs w:val="21"/>
          <w:lang w:val="zh-CN" w:bidi="zh-CN"/>
        </w:rPr>
        <w:t>万亿美元，全球</w:t>
      </w:r>
      <w:r>
        <w:rPr>
          <w:rFonts w:ascii="宋体" w:hAnsi="宋体" w:eastAsia="宋体" w:cs="宋体"/>
          <w:spacing w:val="-11"/>
          <w:kern w:val="0"/>
          <w:szCs w:val="21"/>
          <w:lang w:val="zh-CN" w:bidi="zh-CN"/>
        </w:rPr>
        <w:t>衍生金融产品市值为</w:t>
      </w:r>
      <w:r>
        <w:rPr>
          <w:rFonts w:ascii="宋体" w:hAnsi="宋体" w:eastAsia="宋体" w:cs="宋体"/>
          <w:kern w:val="0"/>
          <w:szCs w:val="21"/>
          <w:lang w:val="zh-CN" w:bidi="zh-CN"/>
        </w:rPr>
        <w:t>681</w:t>
      </w:r>
      <w:r>
        <w:rPr>
          <w:rFonts w:ascii="宋体" w:hAnsi="宋体" w:eastAsia="宋体" w:cs="宋体"/>
          <w:spacing w:val="-18"/>
          <w:kern w:val="0"/>
          <w:szCs w:val="21"/>
          <w:lang w:val="zh-CN" w:bidi="zh-CN"/>
        </w:rPr>
        <w:t>万亿美元，与全球</w:t>
      </w:r>
      <w:r>
        <w:rPr>
          <w:rFonts w:ascii="宋体" w:hAnsi="宋体" w:eastAsia="宋体" w:cs="宋体"/>
          <w:kern w:val="0"/>
          <w:szCs w:val="21"/>
          <w:lang w:val="zh-CN" w:bidi="zh-CN"/>
        </w:rPr>
        <w:t>GDP</w:t>
      </w:r>
      <w:r>
        <w:rPr>
          <w:rFonts w:ascii="宋体" w:hAnsi="宋体" w:eastAsia="宋体" w:cs="宋体"/>
          <w:spacing w:val="-18"/>
          <w:kern w:val="0"/>
          <w:szCs w:val="21"/>
          <w:lang w:val="zh-CN" w:bidi="zh-CN"/>
        </w:rPr>
        <w:t>之比为</w:t>
      </w:r>
      <w:r>
        <w:rPr>
          <w:rFonts w:ascii="宋体" w:hAnsi="宋体" w:eastAsia="宋体" w:cs="宋体"/>
          <w:spacing w:val="-13"/>
          <w:kern w:val="0"/>
          <w:szCs w:val="21"/>
          <w:lang w:val="zh-CN" w:bidi="zh-CN"/>
        </w:rPr>
        <w:t>13:1</w:t>
      </w:r>
      <w:r>
        <w:rPr>
          <w:rFonts w:ascii="宋体" w:hAnsi="宋体" w:eastAsia="宋体" w:cs="宋体"/>
          <w:spacing w:val="-11"/>
          <w:kern w:val="0"/>
          <w:szCs w:val="21"/>
          <w:lang w:val="zh-CN" w:bidi="zh-CN"/>
        </w:rPr>
        <w:t>；美国的金融衍生品市值约为</w:t>
      </w:r>
      <w:r>
        <w:rPr>
          <w:rFonts w:ascii="宋体" w:hAnsi="宋体" w:eastAsia="宋体" w:cs="宋体"/>
          <w:kern w:val="0"/>
          <w:szCs w:val="21"/>
          <w:lang w:val="zh-CN" w:bidi="zh-CN"/>
        </w:rPr>
        <w:t>340</w:t>
      </w:r>
      <w:r>
        <w:rPr>
          <w:rFonts w:ascii="宋体" w:hAnsi="宋体" w:eastAsia="宋体" w:cs="宋体"/>
          <w:spacing w:val="-4"/>
          <w:kern w:val="0"/>
          <w:szCs w:val="21"/>
          <w:lang w:val="zh-CN" w:bidi="zh-CN"/>
        </w:rPr>
        <w:t>万亿美</w:t>
      </w:r>
      <w:r>
        <w:rPr>
          <w:rFonts w:ascii="宋体" w:hAnsi="宋体" w:eastAsia="宋体" w:cs="宋体"/>
          <w:spacing w:val="-10"/>
          <w:kern w:val="0"/>
          <w:szCs w:val="21"/>
          <w:lang w:val="zh-CN" w:bidi="zh-CN"/>
        </w:rPr>
        <w:t>元，</w:t>
      </w:r>
      <w:r>
        <w:rPr>
          <w:rFonts w:ascii="宋体" w:hAnsi="宋体" w:eastAsia="宋体" w:cs="宋体"/>
          <w:spacing w:val="-16"/>
          <w:kern w:val="0"/>
          <w:szCs w:val="21"/>
          <w:lang w:val="zh-CN" w:bidi="zh-CN"/>
        </w:rPr>
        <w:t>GDP</w:t>
      </w:r>
      <w:r>
        <w:rPr>
          <w:rFonts w:ascii="宋体" w:hAnsi="宋体" w:eastAsia="宋体" w:cs="宋体"/>
          <w:spacing w:val="-31"/>
          <w:kern w:val="0"/>
          <w:szCs w:val="21"/>
          <w:lang w:val="zh-CN" w:bidi="zh-CN"/>
        </w:rPr>
        <w:t>近</w:t>
      </w:r>
      <w:r>
        <w:rPr>
          <w:rFonts w:ascii="宋体" w:hAnsi="宋体" w:eastAsia="宋体" w:cs="宋体"/>
          <w:kern w:val="0"/>
          <w:szCs w:val="21"/>
          <w:lang w:val="zh-CN" w:bidi="zh-CN"/>
        </w:rPr>
        <w:t>14</w:t>
      </w:r>
      <w:r>
        <w:rPr>
          <w:rFonts w:ascii="宋体" w:hAnsi="宋体" w:eastAsia="宋体" w:cs="宋体"/>
          <w:spacing w:val="-17"/>
          <w:kern w:val="0"/>
          <w:szCs w:val="21"/>
          <w:lang w:val="zh-CN" w:bidi="zh-CN"/>
        </w:rPr>
        <w:t>万亿美元，二者之比高达</w:t>
      </w:r>
      <w:r>
        <w:rPr>
          <w:rFonts w:ascii="宋体" w:hAnsi="宋体" w:eastAsia="宋体" w:cs="宋体"/>
          <w:kern w:val="0"/>
          <w:szCs w:val="21"/>
          <w:lang w:val="zh-CN" w:bidi="zh-CN"/>
        </w:rPr>
        <w:t>25:1</w:t>
      </w:r>
      <w:r>
        <w:rPr>
          <w:rFonts w:ascii="宋体" w:hAnsi="宋体" w:eastAsia="宋体" w:cs="宋体"/>
          <w:kern w:val="0"/>
          <w:szCs w:val="21"/>
          <w:vertAlign w:val="superscript"/>
          <w:lang w:val="zh-CN" w:bidi="zh-CN"/>
        </w:rPr>
        <w:footnoteReference w:id="514"/>
      </w:r>
      <w:r>
        <w:rPr>
          <w:rFonts w:ascii="宋体" w:hAnsi="宋体" w:eastAsia="宋体" w:cs="宋体"/>
          <w:spacing w:val="-12"/>
          <w:kern w:val="0"/>
          <w:szCs w:val="21"/>
          <w:lang w:val="zh-CN" w:bidi="zh-CN"/>
        </w:rPr>
        <w:t>。虚拟经济的病态发展在满足金融资本逐利本性的同时，</w:t>
      </w:r>
      <w:r>
        <w:rPr>
          <w:rFonts w:ascii="宋体" w:hAnsi="宋体" w:eastAsia="宋体" w:cs="宋体"/>
          <w:spacing w:val="-9"/>
          <w:kern w:val="0"/>
          <w:szCs w:val="21"/>
          <w:lang w:val="zh-CN" w:bidi="zh-CN"/>
        </w:rPr>
        <w:t>由此导致的巨大的虚假需求也会诱导实体经济的盲目扩张，推动一切国家出口和进口膨胀、生产过剩。</w:t>
      </w:r>
      <w:r>
        <w:rPr>
          <w:rFonts w:ascii="宋体" w:hAnsi="宋体" w:eastAsia="宋体" w:cs="宋体"/>
          <w:spacing w:val="-5"/>
          <w:kern w:val="0"/>
          <w:szCs w:val="21"/>
          <w:lang w:val="zh-CN" w:bidi="zh-CN"/>
        </w:rPr>
        <w:t>一旦虚拟经济的泡沫破灭，必然首先引发金融危机或信用危机，进而引起全面的经济危机。此次西方</w:t>
      </w:r>
      <w:r>
        <w:rPr>
          <w:rFonts w:ascii="宋体" w:hAnsi="宋体" w:eastAsia="宋体" w:cs="宋体"/>
          <w:spacing w:val="-8"/>
          <w:kern w:val="0"/>
          <w:szCs w:val="21"/>
          <w:lang w:val="zh-CN" w:bidi="zh-CN"/>
        </w:rPr>
        <w:t>国家的金融危机和经济危机与</w:t>
      </w:r>
      <w:r>
        <w:rPr>
          <w:rFonts w:ascii="宋体" w:hAnsi="宋体" w:eastAsia="宋体" w:cs="宋体"/>
          <w:kern w:val="0"/>
          <w:szCs w:val="21"/>
          <w:lang w:val="zh-CN" w:bidi="zh-CN"/>
        </w:rPr>
        <w:t>1991</w:t>
      </w:r>
      <w:r>
        <w:rPr>
          <w:rFonts w:ascii="宋体" w:hAnsi="宋体" w:eastAsia="宋体" w:cs="宋体"/>
          <w:spacing w:val="-5"/>
          <w:kern w:val="0"/>
          <w:szCs w:val="21"/>
          <w:lang w:val="zh-CN" w:bidi="zh-CN"/>
        </w:rPr>
        <w:t>年的日本经济危机、</w:t>
      </w:r>
      <w:r>
        <w:rPr>
          <w:rFonts w:ascii="宋体" w:hAnsi="宋体" w:eastAsia="宋体" w:cs="宋体"/>
          <w:kern w:val="0"/>
          <w:szCs w:val="21"/>
          <w:lang w:val="zh-CN" w:bidi="zh-CN"/>
        </w:rPr>
        <w:t>1997</w:t>
      </w:r>
      <w:r>
        <w:rPr>
          <w:rFonts w:ascii="宋体" w:hAnsi="宋体" w:eastAsia="宋体" w:cs="宋体"/>
          <w:spacing w:val="-5"/>
          <w:kern w:val="0"/>
          <w:szCs w:val="21"/>
          <w:lang w:val="zh-CN" w:bidi="zh-CN"/>
        </w:rPr>
        <w:t>年的亚洲金融危机一样，直接诱因都是房地产业及相关金融产业过度膨胀之后的虚拟经济泡沫破灭。</w:t>
      </w:r>
    </w:p>
    <w:p w14:paraId="17485B41">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从分配和消费角度分析，金融垄断资本的全球扩张还导致收入分配两极分化、贫富差距不断加</w:t>
      </w:r>
      <w:r>
        <w:rPr>
          <w:rFonts w:ascii="宋体" w:hAnsi="宋体" w:eastAsia="宋体" w:cs="宋体"/>
          <w:spacing w:val="-14"/>
          <w:kern w:val="0"/>
          <w:szCs w:val="21"/>
          <w:lang w:val="zh-CN" w:bidi="zh-CN"/>
        </w:rPr>
        <w:t>大。</w:t>
      </w:r>
      <w:r>
        <w:rPr>
          <w:rFonts w:ascii="宋体" w:hAnsi="宋体" w:eastAsia="宋体" w:cs="宋体"/>
          <w:kern w:val="0"/>
          <w:szCs w:val="21"/>
          <w:lang w:val="zh-CN" w:bidi="zh-CN"/>
        </w:rPr>
        <w:t>20</w:t>
      </w:r>
      <w:r>
        <w:rPr>
          <w:rFonts w:ascii="宋体" w:hAnsi="宋体" w:eastAsia="宋体" w:cs="宋体"/>
          <w:spacing w:val="-19"/>
          <w:kern w:val="0"/>
          <w:szCs w:val="21"/>
          <w:lang w:val="zh-CN" w:bidi="zh-CN"/>
        </w:rPr>
        <w:t>世纪</w:t>
      </w:r>
      <w:r>
        <w:rPr>
          <w:rFonts w:ascii="宋体" w:hAnsi="宋体" w:eastAsia="宋体" w:cs="宋体"/>
          <w:kern w:val="0"/>
          <w:szCs w:val="21"/>
          <w:lang w:val="zh-CN" w:bidi="zh-CN"/>
        </w:rPr>
        <w:t>70</w:t>
      </w:r>
      <w:r>
        <w:rPr>
          <w:rFonts w:ascii="宋体" w:hAnsi="宋体" w:eastAsia="宋体" w:cs="宋体"/>
          <w:spacing w:val="-9"/>
          <w:kern w:val="0"/>
          <w:szCs w:val="21"/>
          <w:lang w:val="zh-CN" w:bidi="zh-CN"/>
        </w:rPr>
        <w:t>年代之后的</w:t>
      </w:r>
      <w:r>
        <w:rPr>
          <w:rFonts w:ascii="宋体" w:hAnsi="宋体" w:eastAsia="宋体" w:cs="宋体"/>
          <w:kern w:val="0"/>
          <w:szCs w:val="21"/>
          <w:lang w:val="zh-CN" w:bidi="zh-CN"/>
        </w:rPr>
        <w:t>30</w:t>
      </w:r>
      <w:r>
        <w:rPr>
          <w:rFonts w:ascii="宋体" w:hAnsi="宋体" w:eastAsia="宋体" w:cs="宋体"/>
          <w:spacing w:val="-9"/>
          <w:kern w:val="0"/>
          <w:szCs w:val="21"/>
          <w:lang w:val="zh-CN" w:bidi="zh-CN"/>
        </w:rPr>
        <w:t>年，美国普通劳动者家庭的收入没有明显增加，而占人口</w:t>
      </w:r>
      <w:r>
        <w:rPr>
          <w:rFonts w:ascii="宋体" w:hAnsi="宋体" w:eastAsia="宋体" w:cs="宋体"/>
          <w:kern w:val="0"/>
          <w:szCs w:val="21"/>
          <w:lang w:val="zh-CN" w:bidi="zh-CN"/>
        </w:rPr>
        <w:t>0.1%的富有</w:t>
      </w:r>
      <w:r>
        <w:rPr>
          <w:rFonts w:ascii="宋体" w:hAnsi="宋体" w:eastAsia="宋体" w:cs="宋体"/>
          <w:spacing w:val="-6"/>
          <w:kern w:val="0"/>
          <w:szCs w:val="21"/>
          <w:lang w:val="zh-CN" w:bidi="zh-CN"/>
        </w:rPr>
        <w:t>者的收入增长了</w:t>
      </w:r>
      <w:r>
        <w:rPr>
          <w:rFonts w:ascii="宋体" w:hAnsi="宋体" w:eastAsia="宋体" w:cs="宋体"/>
          <w:kern w:val="0"/>
          <w:szCs w:val="21"/>
          <w:lang w:val="zh-CN" w:bidi="zh-CN"/>
        </w:rPr>
        <w:t>4</w:t>
      </w:r>
      <w:r>
        <w:rPr>
          <w:rFonts w:ascii="宋体" w:hAnsi="宋体" w:eastAsia="宋体" w:cs="宋体"/>
          <w:spacing w:val="-8"/>
          <w:kern w:val="0"/>
          <w:szCs w:val="21"/>
          <w:lang w:val="zh-CN" w:bidi="zh-CN"/>
        </w:rPr>
        <w:t>倍，占人口</w:t>
      </w:r>
      <w:r>
        <w:rPr>
          <w:rFonts w:ascii="宋体" w:hAnsi="宋体" w:eastAsia="宋体" w:cs="宋体"/>
          <w:kern w:val="0"/>
          <w:szCs w:val="21"/>
          <w:lang w:val="zh-CN" w:bidi="zh-CN"/>
        </w:rPr>
        <w:t>0.01%</w:t>
      </w:r>
      <w:r>
        <w:rPr>
          <w:rFonts w:ascii="宋体" w:hAnsi="宋体" w:eastAsia="宋体" w:cs="宋体"/>
          <w:spacing w:val="-4"/>
          <w:kern w:val="0"/>
          <w:szCs w:val="21"/>
          <w:lang w:val="zh-CN" w:bidi="zh-CN"/>
        </w:rPr>
        <w:t>的最富有者家庭财富增加了</w:t>
      </w:r>
      <w:r>
        <w:rPr>
          <w:rFonts w:ascii="宋体" w:hAnsi="宋体" w:eastAsia="宋体" w:cs="宋体"/>
          <w:kern w:val="0"/>
          <w:szCs w:val="21"/>
          <w:lang w:val="zh-CN" w:bidi="zh-CN"/>
        </w:rPr>
        <w:t>7</w:t>
      </w:r>
      <w:r>
        <w:rPr>
          <w:rFonts w:ascii="宋体" w:hAnsi="宋体" w:eastAsia="宋体" w:cs="宋体"/>
          <w:spacing w:val="-12"/>
          <w:kern w:val="0"/>
          <w:szCs w:val="21"/>
          <w:lang w:val="zh-CN" w:bidi="zh-CN"/>
        </w:rPr>
        <w:t>倍；从</w:t>
      </w:r>
      <w:r>
        <w:rPr>
          <w:rFonts w:ascii="宋体" w:hAnsi="宋体" w:eastAsia="宋体" w:cs="宋体"/>
          <w:kern w:val="0"/>
          <w:szCs w:val="21"/>
          <w:lang w:val="zh-CN" w:bidi="zh-CN"/>
        </w:rPr>
        <w:t>2000</w:t>
      </w:r>
      <w:r>
        <w:rPr>
          <w:rFonts w:ascii="宋体" w:hAnsi="宋体" w:eastAsia="宋体" w:cs="宋体"/>
          <w:spacing w:val="-15"/>
          <w:kern w:val="0"/>
          <w:szCs w:val="21"/>
          <w:lang w:val="zh-CN" w:bidi="zh-CN"/>
        </w:rPr>
        <w:t>年到</w:t>
      </w:r>
      <w:r>
        <w:rPr>
          <w:rFonts w:ascii="宋体" w:hAnsi="宋体" w:eastAsia="宋体" w:cs="宋体"/>
          <w:kern w:val="0"/>
          <w:szCs w:val="21"/>
          <w:lang w:val="zh-CN" w:bidi="zh-CN"/>
        </w:rPr>
        <w:t>2006年，美国</w:t>
      </w:r>
      <w:r>
        <w:rPr>
          <w:rFonts w:hint="eastAsia" w:ascii="宋体" w:hAnsi="宋体" w:eastAsia="宋体" w:cs="宋体"/>
          <w:kern w:val="0"/>
          <w:szCs w:val="21"/>
          <w:lang w:val="zh-CN" w:bidi="zh-CN"/>
        </w:rPr>
        <w:t>6</w:t>
      </w:r>
      <w:r>
        <w:rPr>
          <w:rFonts w:ascii="宋体" w:hAnsi="宋体" w:eastAsia="宋体" w:cs="宋体"/>
          <w:spacing w:val="-5"/>
          <w:kern w:val="0"/>
          <w:szCs w:val="21"/>
          <w:lang w:val="zh-CN" w:bidi="zh-CN"/>
        </w:rPr>
        <w:t>万个高收入家庭的年收入从</w:t>
      </w:r>
      <w:r>
        <w:rPr>
          <w:rFonts w:ascii="宋体" w:hAnsi="宋体" w:eastAsia="宋体" w:cs="宋体"/>
          <w:kern w:val="0"/>
          <w:szCs w:val="21"/>
          <w:lang w:val="zh-CN" w:bidi="zh-CN"/>
        </w:rPr>
        <w:t>1500</w:t>
      </w:r>
      <w:r>
        <w:rPr>
          <w:rFonts w:ascii="宋体" w:hAnsi="宋体" w:eastAsia="宋体" w:cs="宋体"/>
          <w:spacing w:val="-8"/>
          <w:kern w:val="0"/>
          <w:szCs w:val="21"/>
          <w:lang w:val="zh-CN" w:bidi="zh-CN"/>
        </w:rPr>
        <w:t>万美元增加至</w:t>
      </w:r>
      <w:r>
        <w:rPr>
          <w:rFonts w:ascii="宋体" w:hAnsi="宋体" w:eastAsia="宋体" w:cs="宋体"/>
          <w:kern w:val="0"/>
          <w:szCs w:val="21"/>
          <w:lang w:val="zh-CN" w:bidi="zh-CN"/>
        </w:rPr>
        <w:t>3000</w:t>
      </w:r>
      <w:r>
        <w:rPr>
          <w:rFonts w:ascii="宋体" w:hAnsi="宋体" w:eastAsia="宋体" w:cs="宋体"/>
          <w:spacing w:val="-14"/>
          <w:kern w:val="0"/>
          <w:szCs w:val="21"/>
          <w:lang w:val="zh-CN" w:bidi="zh-CN"/>
        </w:rPr>
        <w:t>万美元，而占美国劳动力</w:t>
      </w:r>
      <w:r>
        <w:rPr>
          <w:rFonts w:ascii="宋体" w:hAnsi="宋体" w:eastAsia="宋体" w:cs="宋体"/>
          <w:kern w:val="0"/>
          <w:szCs w:val="21"/>
          <w:lang w:val="zh-CN" w:bidi="zh-CN"/>
        </w:rPr>
        <w:t>70%的普通员工家</w:t>
      </w:r>
      <w:r>
        <w:rPr>
          <w:rFonts w:ascii="宋体" w:hAnsi="宋体" w:eastAsia="宋体" w:cs="宋体"/>
          <w:spacing w:val="-7"/>
          <w:kern w:val="0"/>
          <w:szCs w:val="21"/>
          <w:lang w:val="zh-CN" w:bidi="zh-CN"/>
        </w:rPr>
        <w:t>庭的年收入仅从</w:t>
      </w:r>
      <w:r>
        <w:rPr>
          <w:rFonts w:ascii="宋体" w:hAnsi="宋体" w:eastAsia="宋体" w:cs="宋体"/>
          <w:kern w:val="0"/>
          <w:szCs w:val="21"/>
          <w:lang w:val="zh-CN" w:bidi="zh-CN"/>
        </w:rPr>
        <w:t>25800</w:t>
      </w:r>
      <w:r>
        <w:rPr>
          <w:rFonts w:ascii="宋体" w:hAnsi="宋体" w:eastAsia="宋体" w:cs="宋体"/>
          <w:spacing w:val="-9"/>
          <w:kern w:val="0"/>
          <w:szCs w:val="21"/>
          <w:lang w:val="zh-CN" w:bidi="zh-CN"/>
        </w:rPr>
        <w:t>美元增加到</w:t>
      </w:r>
      <w:r>
        <w:rPr>
          <w:rFonts w:ascii="宋体" w:hAnsi="宋体" w:eastAsia="宋体" w:cs="宋体"/>
          <w:kern w:val="0"/>
          <w:szCs w:val="21"/>
          <w:lang w:val="zh-CN" w:bidi="zh-CN"/>
        </w:rPr>
        <w:t>26350</w:t>
      </w:r>
      <w:r>
        <w:rPr>
          <w:rFonts w:ascii="宋体" w:hAnsi="宋体" w:eastAsia="宋体" w:cs="宋体"/>
          <w:spacing w:val="-11"/>
          <w:kern w:val="0"/>
          <w:szCs w:val="21"/>
          <w:lang w:val="zh-CN" w:bidi="zh-CN"/>
        </w:rPr>
        <w:t>美元；目前最富有阶层所占据的国民收入比重高于</w:t>
      </w:r>
      <w:r>
        <w:rPr>
          <w:rFonts w:ascii="宋体" w:hAnsi="宋体" w:eastAsia="宋体" w:cs="宋体"/>
          <w:kern w:val="0"/>
          <w:szCs w:val="21"/>
          <w:lang w:val="zh-CN" w:bidi="zh-CN"/>
        </w:rPr>
        <w:t>1929年美国经济衰退以来的任何时期。为缓解生产无限扩张趋势与广大劳动者有支付能力需求相对缩小的</w:t>
      </w:r>
      <w:r>
        <w:rPr>
          <w:rFonts w:ascii="宋体" w:hAnsi="宋体" w:eastAsia="宋体" w:cs="宋体"/>
          <w:spacing w:val="-11"/>
          <w:kern w:val="0"/>
          <w:szCs w:val="21"/>
          <w:lang w:val="zh-CN" w:bidi="zh-CN"/>
        </w:rPr>
        <w:t>矛盾，满足金融垄断资本的逐利欲望，美国逐步形成了一种“债务经济模式”：普通民众依靠借贷维</w:t>
      </w:r>
      <w:r>
        <w:rPr>
          <w:rFonts w:ascii="宋体" w:hAnsi="宋体" w:eastAsia="宋体" w:cs="宋体"/>
          <w:kern w:val="0"/>
          <w:szCs w:val="21"/>
          <w:lang w:val="zh-CN" w:bidi="zh-CN"/>
        </w:rPr>
        <w:t>持正常消费，支撑资本积累和经济增长。然而，由债务推动的透支性经济增长终究是不可持续的，由借贷消费所掩盖的资本主义深层次结构矛盾必然转化为危机现象。</w:t>
      </w:r>
    </w:p>
    <w:p w14:paraId="13D861E0">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从经济调节分析，此次危机是政府监管不力、市场和国家调节双失灵的必然表现。适应金融资</w:t>
      </w:r>
      <w:r>
        <w:rPr>
          <w:rFonts w:ascii="宋体" w:hAnsi="宋体" w:eastAsia="宋体" w:cs="宋体"/>
          <w:spacing w:val="-5"/>
          <w:kern w:val="0"/>
          <w:szCs w:val="21"/>
          <w:lang w:val="zh-CN" w:bidi="zh-CN"/>
        </w:rPr>
        <w:t>本自由流动和贪婪逐利的需要，美国</w:t>
      </w:r>
      <w:r>
        <w:rPr>
          <w:rFonts w:ascii="宋体" w:hAnsi="宋体" w:eastAsia="宋体" w:cs="宋体"/>
          <w:kern w:val="0"/>
          <w:szCs w:val="21"/>
          <w:lang w:val="zh-CN" w:bidi="zh-CN"/>
        </w:rPr>
        <w:t>1980</w:t>
      </w:r>
      <w:r>
        <w:rPr>
          <w:rFonts w:ascii="宋体" w:hAnsi="宋体" w:eastAsia="宋体" w:cs="宋体"/>
          <w:spacing w:val="-7"/>
          <w:kern w:val="0"/>
          <w:szCs w:val="21"/>
          <w:lang w:val="zh-CN" w:bidi="zh-CN"/>
        </w:rPr>
        <w:t>年通过的《存款机构放松管制与货币控制法》、</w:t>
      </w:r>
      <w:r>
        <w:rPr>
          <w:rFonts w:ascii="宋体" w:hAnsi="宋体" w:eastAsia="宋体" w:cs="宋体"/>
          <w:kern w:val="0"/>
          <w:szCs w:val="21"/>
          <w:lang w:val="zh-CN" w:bidi="zh-CN"/>
        </w:rPr>
        <w:t>1982年通过的《加恩·</w:t>
      </w:r>
      <w:r>
        <w:rPr>
          <w:rFonts w:ascii="宋体" w:hAnsi="宋体" w:eastAsia="宋体" w:cs="宋体"/>
          <w:spacing w:val="-11"/>
          <w:kern w:val="0"/>
          <w:szCs w:val="21"/>
          <w:lang w:val="zh-CN" w:bidi="zh-CN"/>
        </w:rPr>
        <w:t>圣杰曼存款机构法》、</w:t>
      </w:r>
      <w:r>
        <w:rPr>
          <w:rFonts w:ascii="宋体" w:hAnsi="宋体" w:eastAsia="宋体" w:cs="宋体"/>
          <w:kern w:val="0"/>
          <w:szCs w:val="21"/>
          <w:lang w:val="zh-CN" w:bidi="zh-CN"/>
        </w:rPr>
        <w:t>1995年通过的《1995</w:t>
      </w:r>
      <w:r>
        <w:rPr>
          <w:rFonts w:ascii="宋体" w:hAnsi="宋体" w:eastAsia="宋体" w:cs="宋体"/>
          <w:spacing w:val="-11"/>
          <w:kern w:val="0"/>
          <w:szCs w:val="21"/>
          <w:lang w:val="zh-CN" w:bidi="zh-CN"/>
        </w:rPr>
        <w:t>年金融服务竞争法》、</w:t>
      </w:r>
      <w:r>
        <w:rPr>
          <w:rFonts w:ascii="宋体" w:hAnsi="宋体" w:eastAsia="宋体" w:cs="宋体"/>
          <w:kern w:val="0"/>
          <w:szCs w:val="21"/>
          <w:lang w:val="zh-CN" w:bidi="zh-CN"/>
        </w:rPr>
        <w:t>1999年通过的《金融</w:t>
      </w:r>
      <w:r>
        <w:rPr>
          <w:rFonts w:ascii="宋体" w:hAnsi="宋体" w:eastAsia="宋体" w:cs="宋体"/>
          <w:spacing w:val="-13"/>
          <w:kern w:val="0"/>
          <w:szCs w:val="21"/>
          <w:lang w:val="zh-CN" w:bidi="zh-CN"/>
        </w:rPr>
        <w:t>服务现代化法案》、</w:t>
      </w:r>
      <w:r>
        <w:rPr>
          <w:rFonts w:ascii="宋体" w:hAnsi="宋体" w:eastAsia="宋体" w:cs="宋体"/>
          <w:kern w:val="0"/>
          <w:szCs w:val="21"/>
          <w:lang w:val="zh-CN" w:bidi="zh-CN"/>
        </w:rPr>
        <w:t>2002年通过的《金融服务管制放松法案》等，一步步放松了对金融体系和金融市场的监管与规制。这样，诸如次级贷款和由按揭所支撑的证券以及其他所谓金融创新产品不断增加，越来越多的金融资本和金融机构涌入投机性业务领域，经济运行的风险不断加大，市场调节的失灵必然发生。尤其是，由于金融衍生产品的巨大规模和场外交易方式已经使得基础产品的风险以极低的成本和极快的速度传递给全球金融市场的所有参与者，全球系统性金融风险不断加大和复杂化，而以功能为基础的分业监管以及以主权为基础的分割监管却难以应对全球性的市场失灵和系统性风险。因此，市场调节和国家调节双失灵的结果，必然使得美国的次贷危机发生并演变为世界性金融危机和经济危机。</w:t>
      </w:r>
    </w:p>
    <w:p w14:paraId="31082CC7">
      <w:pPr>
        <w:autoSpaceDE w:val="0"/>
        <w:autoSpaceDN w:val="0"/>
        <w:spacing w:line="400" w:lineRule="exact"/>
        <w:ind w:firstLine="200"/>
        <w:rPr>
          <w:rFonts w:ascii="宋体" w:hAnsi="宋体" w:eastAsia="宋体" w:cs="宋体"/>
          <w:kern w:val="0"/>
          <w:szCs w:val="21"/>
          <w:lang w:val="zh-CN" w:bidi="zh-CN"/>
        </w:rPr>
      </w:pPr>
    </w:p>
    <w:p w14:paraId="05B3DB8F">
      <w:pPr>
        <w:autoSpaceDE w:val="0"/>
        <w:autoSpaceDN w:val="0"/>
        <w:spacing w:line="360" w:lineRule="auto"/>
        <w:ind w:firstLine="504"/>
        <w:jc w:val="center"/>
        <w:rPr>
          <w:rFonts w:ascii="宋体" w:hAnsi="宋体" w:eastAsia="宋体"/>
          <w:b/>
          <w:bCs/>
          <w:color w:val="000000"/>
          <w:sz w:val="24"/>
          <w:szCs w:val="24"/>
        </w:rPr>
      </w:pPr>
      <w:r>
        <w:rPr>
          <w:rFonts w:ascii="宋体" w:hAnsi="宋体" w:eastAsia="宋体"/>
          <w:b/>
          <w:bCs/>
          <w:color w:val="000000"/>
          <w:sz w:val="24"/>
          <w:szCs w:val="24"/>
        </w:rPr>
        <w:t>二、西方国家反危机措施并未改变资本主义的本质</w:t>
      </w:r>
    </w:p>
    <w:p w14:paraId="5F512DC9">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此次金融和经济危机发生以来，西方国家纷纷采取了包括金融稳定政策、扩张性财政政策和货币政策以及各种产业促进政策在内的一系列应对措施。尽管西方国家反危机措施对于恢复市场信心和促使经济稳定确实起到了一定作用，但是并没有克服资本主义基本矛盾及其他导致危机发生的各种具体矛盾，其缺陷及负面影响将在未来逐渐凸显。</w:t>
      </w:r>
    </w:p>
    <w:p w14:paraId="38695DA5">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1</w:t>
      </w:r>
      <w:r>
        <w:rPr>
          <w:rFonts w:ascii="宋体" w:hAnsi="宋体" w:eastAsia="宋体" w:cs="宋体"/>
          <w:b/>
          <w:bCs/>
          <w:kern w:val="0"/>
          <w:szCs w:val="21"/>
          <w:lang w:val="zh-CN" w:bidi="zh-CN"/>
        </w:rPr>
        <w:t>.</w:t>
      </w:r>
      <w:r>
        <w:rPr>
          <w:rFonts w:hint="eastAsia" w:ascii="宋体" w:hAnsi="宋体" w:eastAsia="宋体" w:cs="宋体"/>
          <w:b/>
          <w:bCs/>
          <w:kern w:val="0"/>
          <w:szCs w:val="21"/>
          <w:lang w:val="zh-CN" w:bidi="zh-CN"/>
        </w:rPr>
        <w:t>西方国家反危机措施宣告了新自由主义的破产</w:t>
      </w:r>
    </w:p>
    <w:p w14:paraId="6EDA7461">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2007年4月，伴随着美国第二大次级抵押贷款机构新世纪金融公司向法院申请破产，次贷危机开始在美国逐步显现。2007年9月18日，美联储降息0.5个百分点，从此美国进入“降息周期”。随着次贷危机的蔓延，2008年2月7日，美国国会参众两院通过了1680亿美元的经济刺激法案，正式拉开了西方主要经济体应对金融危机的序幕。2008年3月11日，美联储、欧洲央行等5家西方主要央行联合宣布，将同时向金融系统注入资金。2008年7月13日，美联储等机构决定分别救助房利美和房地美，并承诺在必要情况下购入两公司股份。2008年7月26日，美国参议院批准总额达3000亿美元的住房援助议案，同时授权财政部无限度提高“两房”贷款信用额度，同年9月7日，美国联邦政府决定直接接管房利美和房地美。2008年9月16日，美联储、欧洲央行和日本央行等西方主要央行再次同时向金融系统注入资金，美国政府同时接管全球保险业巨头美国国际集团。2008年9月19日，日本银行再次向短期金融市场注资3万亿日元，欧洲央行以及英国和瑞士的中央银行共向金融系统注资900亿美元。2008年10月3日，布什政府提出的7000亿金融救援计划正式在两院通过。2008年10月8日，美联储、欧洲央行、英国央行等几大西方主要国家的中央银行联合降息0.5个百分点。</w:t>
      </w:r>
    </w:p>
    <w:p w14:paraId="6ED54D28">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随着金融危机逐步蔓延到实体经济领域，西方主要经济体反危机措施的覆盖面也从金融领域逐渐向实体经济领域扩展。2008年10月30日，日本政府公布约2730亿美元的一揽子经济刺激方案。</w:t>
      </w:r>
    </w:p>
    <w:p w14:paraId="326F2F5C">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美联储于2008年11月25日宣布投入8000亿美元，用于解冻消费信贷市场、住房抵押信贷以及小企业信贷市场。2008年11月26日，欧盟出台了总额为2000亿欧元的经济刺激方案。2008年12月4日，欧洲央行、英国央行、瑞典央行进一步降低利率，分别降低0.75、1和1.75个百分点。2008年12月16日，美联储将联邦基金利率降至0－0.25%的历史低点。2009年2月17日，美国新任总统奥巴马签署了总额为7870亿美元的经济刺激方案，3月3日，美国财政部和美联储共同公布了总额为2000亿美元的刺激消费信贷计划。2009年3月5日，英国央行将基准利率从1%降至0.5%的历史低点。2009年4月10日，日本政府颁布了总额为56.8万亿日元的日本历史上规模最大的经济刺激新方案。2009年5月7日，继美国、英国政府将利率降至历史最低水平之后，欧洲央行宣布将欧元区主导利率下调0.25个百分点至1%。2009年7月2日欧洲央行宣布，将启动总额为600亿欧元资产担保债券购买计划，开始实施“量化宽松”的货币政策</w:t>
      </w:r>
      <w:r>
        <w:rPr>
          <w:rFonts w:ascii="宋体" w:hAnsi="宋体" w:eastAsia="宋体" w:cs="宋体"/>
          <w:kern w:val="0"/>
          <w:szCs w:val="21"/>
          <w:vertAlign w:val="superscript"/>
          <w:lang w:val="zh-CN" w:bidi="zh-CN"/>
        </w:rPr>
        <w:footnoteReference w:id="515"/>
      </w:r>
      <w:r>
        <w:rPr>
          <w:rFonts w:ascii="宋体" w:hAnsi="宋体" w:eastAsia="宋体" w:cs="宋体"/>
          <w:kern w:val="0"/>
          <w:szCs w:val="21"/>
          <w:lang w:val="zh-CN" w:bidi="zh-CN"/>
        </w:rPr>
        <w:t>。</w:t>
      </w:r>
    </w:p>
    <w:p w14:paraId="02A62FC8">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上述分析表明，西方主要经济体反危机措施的实施经历了从金融领域逐步向非金融领域扩散的过程，反危机措施的着力点也经历了从挽救金融机构、防止金融形势继续恶化到阻止经济继续下滑、刺激经济复苏的演变。面对不断蔓延和深化的金融危机和经济危机，美英等西方主要国家被迫逐步放弃了奉行了30年之久的新自由主义经济政策，转而采取了加大政府开支、扩大基础建设投入等政府干预政策。因此，此次危机绝不是“复活奥地利学派经济学、彻底埋葬凯恩斯主义经济学的机会”，而是正式宣告了新自由主义经济理论和政策主张的彻底破产。</w:t>
      </w:r>
    </w:p>
    <w:p w14:paraId="64C86ACE">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2</w:t>
      </w:r>
      <w:r>
        <w:rPr>
          <w:rFonts w:ascii="宋体" w:hAnsi="宋体" w:eastAsia="宋体" w:cs="宋体"/>
          <w:b/>
          <w:bCs/>
          <w:kern w:val="0"/>
          <w:szCs w:val="21"/>
          <w:lang w:val="zh-CN" w:bidi="zh-CN"/>
        </w:rPr>
        <w:t>.</w:t>
      </w:r>
      <w:r>
        <w:rPr>
          <w:rFonts w:hint="eastAsia" w:ascii="宋体" w:hAnsi="宋体" w:eastAsia="宋体" w:cs="宋体"/>
          <w:b/>
          <w:bCs/>
          <w:kern w:val="0"/>
          <w:szCs w:val="21"/>
          <w:lang w:val="zh-CN" w:bidi="zh-CN"/>
        </w:rPr>
        <w:t>西方国家反危机措施预示着凯恩斯主义的回潮</w:t>
      </w:r>
    </w:p>
    <w:p w14:paraId="14291E69">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西方国家采取的反危机措施包括金融救助和稳定政策、货币扩张政策、财政刺激政策以及产业促进和保护政策等一系列凯恩斯主义式的干预政策，预示着凯恩斯主义经济理论和政策实践的回潮。</w:t>
      </w:r>
    </w:p>
    <w:p w14:paraId="283387BE">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金融救助和稳定政策。危机发生以后，金融机构损失惨重，不得不低价抛售金融资产，紧缩信贷。为挽救金融机构日益恶化的资产负债表，恢复市场信心，西方国家采取了救助金融机构、稳定金融市场的一系列政策措施。（1）政府出资购买金融机构的不良资产，阻止金融资产价格进一步下跌。2008年10月，布什政府提出的总额高达7000亿美元的金融救援计划，主要是用于购买金融机构的问题资产。（2）各国央行通过各种形式向金融机构提供贷款，缓解信贷紧缩的压力。（3）政府直接向问题金融机构注入资本金，实施“暂时国有化”。为挽救陷入破产边缘的金融机构，美国、英国和德国等国家直接动用财政资金向问题金融机构进行注资或提供债务担保，以此换取被救助金融机构的优先股或普通股甚至控股权，并对被救助金融机构高管薪酬和信贷投放等经营活动进行干预。通过上述措施，美国对房利美和房地美、花旗集团，英国对诺森罗克银行、莱斯TSB银行、苏格兰皇家银行，德国对德国住房抵押贷款银行等金融机构实施了“暂时国有化”。（4）改革金融体系，加强金融监管。2008年3月，美国出台了金融监管体系改革计划。该计划提出，扩大美联储权限，除监管商业银行外，还将有权监管投资银行、对冲基金等其他可能造成风险的商业机构；整合银行监管权，新建监管机构如“金融审慎管理局”、“商业行为监管局”、“抵押贷款创设委员会”和“全国保险管理局”等，以完善金融监管体系。危机期间，西方主要国家普遍加强了对各类金融机构资产负债表的监管，高度关注被监管对象的资本充足率、资产质量，以及市场风险的敏感性等结构性指标，并调整会计准则以更准确地反映金融机构的风险水平。此外，为应对危机的全球蔓延，世界主要国家还就国际金融组织和金融体系的改革，以及具有全球性、系统性影响的金融机构、金融产品和金融市场的监管机制，达成了多项共识。</w:t>
      </w:r>
    </w:p>
    <w:p w14:paraId="31C3C446">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扩张性的货币政策。为了降低企业融资成本以促进信贷，缓解流动性紧缩的压力，西方主要国家普遍采取了降低利率、增加货币供给等扩张性的货币政策措施。（1）大幅密集降息。自2007年9月18日－2008年12月16日，15个月的时间里美联储10次打出了降息牌，将基准利率大幅下调累计达500个基点，由5.25%降至0.25%，并宣布将联邦基准利率长期保持在0－0.25%之间；英国中央银行英格兰银行自2008年10月之后连续6次大幅降息，将基准利率从5%降至0.5%，欧洲央行将欧元区主导利率累计下调325个基点至2009年5月的1%；日本央行于2008年10月31日将基准利率降低到0.3%，之后进一步将其降低至0.1%的水平。同时，西方主要经济体的中央银行注重联合采取降息行动。例如，2008年10月8日，美联储、欧洲央行、英格兰银行以及加拿大、瑞士和瑞典等国的央行均宣布将基准利率降低0.5个百分点。（2）通过金融工具创新和购买金融资产等方式向市场注入流动性。危机爆发之后，美联储等西方国家央行除通过定期拍卖贷款（TAF）、重要交易商信用贷款（PDCF）、限期资产支持证券贷款（TSLF）、资产支持商业票据货币市场共同基金融资工具（AMLF）等创新性的金融工具持续不断地向市场注入流动性，同时通过购买国债和机构债等金融资产向市场注入流动性，实施“量化宽松”的货币政策。2009年1月，日本银行宣布考虑购买2万亿日元的商业票据；2009年3月，美联储宣布逐渐购买3000亿美元的长期国债，进一步购入7500亿美元的抵押贷款相关证券，追加购买1000亿美元的房贷公司债券；英格兰银行于2009年3月11日决定购买20亿英镑的国债，3月23日，又决定购买750亿英镑的公司债券；2009年5月，欧洲央行宣布将购买总额达600亿欧元的资产担保债券。</w:t>
      </w:r>
    </w:p>
    <w:p w14:paraId="3AF0865D">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扩张性的财政政策。危机发生以后，为了稳定就业，阻止经济严重下滑，刺激其复苏，西方主要国家实施了包括减税、增加政府投资、财政补贴消费等内容的一系列财政刺激政策措施。（1）大规模减税以刺激消费和投资。美国继布什政府出台1680亿美元减税方案之后，2009年2月，奥巴马政府提出的总额达到7870亿美元的一揽子经济刺激计划中，又有35%的金额用于减税；2008年11月24日，英国宣布的200亿英镑经济刺激方案将增值税率由17.5%下调至15%；日本在住宅税、土地税、汽车税等方面减税总额达1.07万亿日元，其中，国税减征6900亿日元，地方税减征3800亿日元；欧盟的减税范围主要包括降低增值税、消费税、中低收入者的税务负担、减少企业主为其职工支付的社会保险金费用等。（2）增加政府投资以拉动市场需求。美国奥巴马政府的7870亿美元经济刺激计划的大约65%用于政府投资，主要用于基础设施、教育、医疗和新能源技术方面投资；德国计划投入500亿欧元，主要用于公共基础设施投资；法国出台了265亿欧元的振兴计划，111亿欧元用于公共投资。（3）财政补贴消费以扩大内需。危机期间，欧洲有10多个国家实行补贴汽车“以旧换新”，意大利政府对购买电动汽车、混合燃料汽车和小排量汽车给予环境奖金和汽车报废退税，合计可高达5000欧元；德国对回收9年以上车龄的旧车并购买新型节能汽车给予2500欧元的“以旧换新”补贴，总额达50亿欧元；法国、西班牙、荷兰、奥地利等国也对“以旧换新”购买新车给予1000－1750欧元不等的补贴；美国计划斥资40亿－60亿美元，推广汽车“以旧换新”。</w:t>
      </w:r>
    </w:p>
    <w:p w14:paraId="08348EF7">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产业促进和保护政策。为了占领未来经济发展的制高点，维持经济霸权，保护本国企业和就业，制约其他国家发展，西方主要国家采取了一系列产业促进和产业保护政策。（1）加大研发投入力度。美国7870亿美元的经济刺激计划中，“宽带计划”获得政府投资72亿美元，医疗信息技术研发获得政府投资190亿美元；欧盟反危机措施也注重提高产业研发、创新的标准与要求，以增强欧盟全球竞争力与长期发展潜力；2009年3月，日本政府制定了一项为期3年的信息技术紧急计划，在未来3年内官民共同增加投资3万亿日元，着重加强医疗IT环境、培养IT人才、推动电子行政等IT技术应用。（2）加大新能源和环保投资。美国政府的经济刺激计划约有500亿美元投入绿色能源产业；欧盟2009年3月决定，在2013年之前投资1050亿欧元用于“绿色经济”的发展；日本为配合第四次经济刺激计划于2009年4月推出了新增长策略，发展方向为环保型汽车、电力汽车、低碳排放、医疗与护理、太阳能发电等。（3）加强基础设施和公共领域投资。西方主要国家根据本身基础设施的特点，普遍相应加大了基础设施投资。例如，美国在7870亿美元的经济刺激计划中，拿出110亿美元用于提升美国电网。同时，西方主要国家的反危机措施也十分注重增加教育、医疗、公共住房等公共领域的投资。美国在7870亿美元的经济刺激计划中，有1059亿美元用于教育投资，比重高达13.5%。（4）扶持中小企业，保护国内市场。日本反危机措施特别强调促进中小企业发展和为中小企业减轻负担；欧盟反危机措施更是强调经济刺激方案向中小企业倾斜。同时，以美国为代表的西方主要发达国家虽然承诺反对贸易保护主义，实际上却加强了对国内市场的保护，贸易保护主义在西方主要发达国家抬头。世贸组织（WTO）秘书处统计数据显示，截至2009年10月28日，WTO成员共发起171起反倾销调查，其中第三季度发起的反倾销调查数量较去年同期相比增长23%以上；WTO预计2009年全球反倾销调查数量将达230－250起，超出2008年全年的212起。</w:t>
      </w:r>
    </w:p>
    <w:p w14:paraId="2077B1AE">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3</w:t>
      </w:r>
      <w:r>
        <w:rPr>
          <w:rFonts w:ascii="宋体" w:hAnsi="宋体" w:eastAsia="宋体" w:cs="宋体"/>
          <w:b/>
          <w:bCs/>
          <w:kern w:val="0"/>
          <w:szCs w:val="21"/>
          <w:lang w:val="zh-CN" w:bidi="zh-CN"/>
        </w:rPr>
        <w:t>.</w:t>
      </w:r>
      <w:r>
        <w:rPr>
          <w:rFonts w:hint="eastAsia" w:ascii="宋体" w:hAnsi="宋体" w:eastAsia="宋体" w:cs="宋体"/>
          <w:b/>
          <w:bCs/>
          <w:kern w:val="0"/>
          <w:szCs w:val="21"/>
          <w:lang w:val="zh-CN" w:bidi="zh-CN"/>
        </w:rPr>
        <w:t>西方国家反危机措施未能消除危机的根源</w:t>
      </w:r>
    </w:p>
    <w:p w14:paraId="3A9CC25D">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实践已经证明，凯恩斯主义式国家干预政策确实有助于经济运行中各种矛盾的缓解，但是它自身同样存在严重的缺陷，而且无法消除导致资本主义经济危机周期爆发的根源和矛盾。</w:t>
      </w:r>
    </w:p>
    <w:p w14:paraId="2448F024">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首先，西方主要国家采取的反危机措施确实取得了一定的积极效果。（1）反危机措施在一定程度上维护了金融市场稳定。比如西方主要国家通过政府注资金融机构、购买金融机构不良资产、向金融机构提供贷款以及加强金融监管和国际金融合作等一系列政策措施，在短期内缓解了金融机构在资金方面的困难，避免了更多金融机构破产倒闭，避免了市场信心的彻底崩溃，在稳定各国金融市场和全球金融体系方面起到了一定作用。（2）实体经济下滑趋势有望得到遏制。2009年第二季度之后，西方主要经济体的经济运行相继止跌，并在下半年出现了经济触底或反弹迹象。美国商务部公布的数据显示，2009年第三季度美国国内生产总值按年率计算增长了3.5%，为连续四个季度下滑后首次正增长；欧盟统计局公布的数据显示，2009年第三季度欧元区经济环比增长0.4%，结束了连续五个季度的经济萎缩势头。（3）经济结构有望得到一定程度的良性调整。西方国家反危机措施试图加强金融监管和金融体系改革，有望使得虚拟经济的畸形膨胀得到一定程度的遏制；注重增加基础设施和公共领域的投资以及扶持中小企业发展，可以使得实体经济的发展环境和发展基础得到一定程度的完善；重视增加新技术、新兴战略性产业投资，有利于孕育出新的支柱产业，占领未来经济发展的制高点。此外，西方国家采取的提供再就业培训、提供社会领域的临时工作岗位以及向贫困家庭发放困难补助等政策措施在一定程度上缓和了社会矛盾，有助于避免更加严重的社会危机的发生。</w:t>
      </w:r>
    </w:p>
    <w:p w14:paraId="4A82CAC4">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但是，西方国家反危机措施的缺陷及其负面影响同样不容忽视。（1）金融救助和稳定政策难以有效提高金融机构和金融体系防范风险的能力。从目前的相关措施来看，西方国家尚未有效处置巨额有毒的金融衍生产品及其他有毒的金融资产，金融机构杠杆化程度依然较高，金融机构和金融体系的质量并未得到真正改善。同时，西方主要国家也没有拿出有效解决金融监管问题的实质性方案。尤其是，从国际金融监管合作方面来看，虽然各个国家对此有着较为一致的认识，但是却很难拿出一个可操作的方案来协调不同国家的利益关系进而实现国际合作。（2）扩张性货币政策难以拉动经济复苏却可能导致通货膨胀抬头。目前，西方主要国家的利率政策已经遭遇到了“流动性陷阱”：利率几乎降至零，经济却依然萎靡不振。“量化宽松”政策的实施尽管向金融体系注入了巨量基础货币，经济体系的货币供给却没有明显增加，金融机构的信贷紧缩问题依然严重。同时，过度宽松的货币政策已经导致西方主要经济体潜伏着通货膨胀的风险。如果未来通货膨胀的发生早于经济复苏，这些国家的政府将面对“滞胀”的两难困境，无论优先处理哪个问题，都会对经济运行不利；即使通货膨胀的发生晚于经济复苏，但是一旦通货膨胀发生，那么治理通货膨胀也会严重影响经济持续增长，从而可能会使经济重新陷入低迷。（3）扩张性财政政策作用有限且导致巨额财政赤字。政府减税政策在经济低迷、预期悲观的情况下难以有效刺激消费和投资；政府投资的增加由于“挤出效应”的存在不利于私人投资的增加。同时，大规模财政刺激计划已经导致了巨额的政府财政赤字。根据经济合作与发展组织（OECD）2008年12月公布的数据，日本政府债务总额高达591万亿日元，超过了日本2008年的GDP，如果将地方政府的债务包括在内，日本政府系统的负债总额与GDP的比例高达180%。根据美国国会预算办公室的报告，美国2009年财政赤字高达1.417万亿美元，2010年将达到1.5万亿美元。财政赤字长期维持在高水平，有可能会引发国家信用危机，对经济发展造成严重危害。如果政府在未来通过财政盈余的方式逐步消除财政赤字，则可能会由于紧缩性财政政策而导致经济增长率的下降。（4）各种产业发展政策的效果仍然存在不确定性。新能源、环境保护等新兴行业的发展均依赖技术标准、消费者偏好、法律体系、国际合作等方面出现实质性的变革，短期内商业前景并不乐观</w:t>
      </w:r>
      <w:r>
        <w:rPr>
          <w:rFonts w:ascii="宋体" w:hAnsi="宋体" w:eastAsia="宋体" w:cs="宋体"/>
          <w:kern w:val="0"/>
          <w:szCs w:val="21"/>
          <w:lang w:val="zh-CN" w:bidi="zh-CN"/>
        </w:rPr>
        <w:footnoteReference w:id="516"/>
      </w:r>
      <w:r>
        <w:rPr>
          <w:rFonts w:ascii="宋体" w:hAnsi="宋体" w:eastAsia="宋体" w:cs="宋体"/>
          <w:kern w:val="0"/>
          <w:szCs w:val="21"/>
          <w:lang w:val="zh-CN" w:bidi="zh-CN"/>
        </w:rPr>
        <w:t>。另一方面，各种贸易保护政策已经导致严重的贸易摩擦，国际贸易环境因此而急剧恶化。</w:t>
      </w:r>
    </w:p>
    <w:p w14:paraId="712EE64E">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更为重要的是，西方国家的反危机措施并没有改变资本主义基本经济制度，也不能克服资本主义基本矛盾及其各种具体矛盾。新自由主义经济理论和政策主张的破产与凯恩斯主义经济理论和政策实践的回潮，改变的只是资本主义的具体形式或治理体制，并没有丝毫改变资本主义的本质。马克思指出，危机是资本主义基本矛盾周期性激化的结果，资本主义在其自身范围内无法克服危机，它克服危机的办法不过是“准备更全面更猛烈的危机的办法，不过是使防止危机的手段越来越少的办法”</w:t>
      </w:r>
      <w:r>
        <w:rPr>
          <w:rFonts w:ascii="宋体" w:hAnsi="宋体" w:eastAsia="宋体" w:cs="宋体"/>
          <w:kern w:val="0"/>
          <w:szCs w:val="21"/>
          <w:lang w:val="zh-CN" w:bidi="zh-CN"/>
        </w:rPr>
        <w:footnoteReference w:id="517"/>
      </w:r>
      <w:r>
        <w:rPr>
          <w:rFonts w:ascii="宋体" w:hAnsi="宋体" w:eastAsia="宋体" w:cs="宋体"/>
          <w:kern w:val="0"/>
          <w:szCs w:val="21"/>
          <w:lang w:val="zh-CN" w:bidi="zh-CN"/>
        </w:rPr>
        <w:t>。与历次重大危机时期一样，西方国家在本次危机期间也对那些面临破产的重要企业实施了“国有化”，并大规模地干预经济生活，但这并不意味着西方国家政府将“无限期地直接管理经济”，更不意味着西方国家将改变以私有制为基础的基本经济制度。一旦渡过危机，它们又会重新将更大规模的“国有企业”私有化，并放松某些应急的政府干预措施。因而，尽管西方国家的反危机措施能够在一段时间内缓解资本主义基本矛盾，却不能根除资本主义基本矛盾及其具体表现。相反，鼓励企业之间的兼并以及“再私有化”等措施，将在一定程度上加重资本主义的基本矛盾，强化金融垄断资本所主导的掠夺性经济体制，加大社会财富占有和收入分配的不平等程度，从而酝酿未来更大规模、更为猛烈的危机。</w:t>
      </w:r>
    </w:p>
    <w:p w14:paraId="574B212C">
      <w:pPr>
        <w:autoSpaceDE w:val="0"/>
        <w:autoSpaceDN w:val="0"/>
        <w:spacing w:line="400" w:lineRule="exact"/>
        <w:ind w:firstLine="442"/>
        <w:rPr>
          <w:rFonts w:ascii="宋体" w:hAnsi="宋体" w:eastAsia="宋体" w:cs="宋体"/>
          <w:kern w:val="0"/>
          <w:szCs w:val="21"/>
          <w:lang w:val="zh-CN" w:bidi="zh-CN"/>
        </w:rPr>
      </w:pPr>
    </w:p>
    <w:p w14:paraId="1430F32E">
      <w:pPr>
        <w:autoSpaceDE w:val="0"/>
        <w:autoSpaceDN w:val="0"/>
        <w:spacing w:line="360" w:lineRule="auto"/>
        <w:ind w:firstLine="504"/>
        <w:jc w:val="center"/>
        <w:rPr>
          <w:rFonts w:ascii="宋体" w:hAnsi="宋体" w:eastAsia="宋体"/>
          <w:b/>
          <w:bCs/>
          <w:color w:val="000000"/>
          <w:sz w:val="24"/>
          <w:szCs w:val="24"/>
        </w:rPr>
      </w:pPr>
      <w:r>
        <w:rPr>
          <w:rFonts w:ascii="宋体" w:hAnsi="宋体" w:eastAsia="宋体"/>
          <w:b/>
          <w:bCs/>
          <w:color w:val="000000"/>
          <w:sz w:val="24"/>
          <w:szCs w:val="24"/>
        </w:rPr>
        <w:t>三、科学把握西方国家金融和经济危机的走势与影响</w:t>
      </w:r>
    </w:p>
    <w:p w14:paraId="62B65038">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尽管世界范围的反危机措施使得西方国家的金融体系和经济运行似乎趋向稳定，但是危机的根源并未消除，不确定因素依然很多，危机的走势和影响还有待观测。可以确定的是，此次危机既是一场严重的金融危机和经济危机，又是一场资本主义意识形态危机和发展方式的危机，是资本主义的全面危机，它必将导致世界格局和发展进程发生重大变化和转折。</w:t>
      </w:r>
    </w:p>
    <w:p w14:paraId="575BA9BC">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1</w:t>
      </w:r>
      <w:r>
        <w:rPr>
          <w:rFonts w:ascii="宋体" w:hAnsi="宋体" w:eastAsia="宋体" w:cs="宋体"/>
          <w:b/>
          <w:bCs/>
          <w:kern w:val="0"/>
          <w:szCs w:val="21"/>
          <w:lang w:val="zh-CN" w:bidi="zh-CN"/>
        </w:rPr>
        <w:t>.</w:t>
      </w:r>
      <w:r>
        <w:rPr>
          <w:rFonts w:hint="eastAsia" w:ascii="宋体" w:hAnsi="宋体" w:eastAsia="宋体" w:cs="宋体"/>
          <w:b/>
          <w:bCs/>
          <w:kern w:val="0"/>
          <w:szCs w:val="21"/>
          <w:lang w:val="zh-CN" w:bidi="zh-CN"/>
        </w:rPr>
        <w:t>西方国家的金融市场和经济形势依然复杂多变</w:t>
      </w:r>
    </w:p>
    <w:p w14:paraId="377CFD12">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正如不能仅仅从现象层面、操作层面分析此次危机的起因一样，分析预测此次危机的走势也不能仅仅停留于现象指标和技术层面。科学把握西方国家金融危机和经济危机的走势，既要关注短期、技术指标的变化，更要关注长期、深层因素的影响；既要把握资本主义经济危机的一般规律，更要把握此次危机的特殊表现。</w:t>
      </w:r>
    </w:p>
    <w:p w14:paraId="794E4D24">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经过巨额注资和多方联合干预，国际金融市场系统性风险虽有所降低，但是西方国家的金融体系目前依然混乱而脆弱。首先，银行等金融机构的贷款违约率、撇账率还在上升，资产质量继续恶化，问题银行数量仍在增加。2009年第四季度，美国银行贷款违约率为7.17%，连续十二个季度呈现上升趋势；撇账率为2.93%，连续十四个季度呈现上升趋势；问题银行数量跃增27%，数目达到了702家，创下1993年以来的最高纪录；截至2010年4月10日，美国破产银行总数在2009年140家的基础上又增42家。其次，货币金融机构对其他金融机构和非金融企业融资增长率不断下降，信贷继续停滞甚至萎缩。2010年2月24日，美国的银行信贷余额为8.89万亿美元，比1月平均值下降1.3%；2010年1月末，日本的银行信贷余额为419万亿日元，同比下降2.0%。再次，西方主要国家房地产市场再度下挫，金融机构房贷风险加大。2010年1月份，美国现房价格环比下降3.4%，新房价格环比下降5.6%，现房销量环比下降7.2%，均为连续两个月下降；新房销量环比下降11.2%，连续三个月下降；2月份，英国房价环比下降1%，为十个月以来首次下降</w:t>
      </w:r>
      <w:r>
        <w:rPr>
          <w:rFonts w:ascii="宋体" w:hAnsi="宋体" w:eastAsia="宋体" w:cs="宋体"/>
          <w:kern w:val="0"/>
          <w:szCs w:val="21"/>
          <w:lang w:val="zh-CN" w:bidi="zh-CN"/>
        </w:rPr>
        <w:footnoteReference w:id="518"/>
      </w:r>
      <w:r>
        <w:rPr>
          <w:rFonts w:ascii="宋体" w:hAnsi="宋体" w:eastAsia="宋体" w:cs="宋体"/>
          <w:kern w:val="0"/>
          <w:szCs w:val="21"/>
          <w:lang w:val="zh-CN" w:bidi="zh-CN"/>
        </w:rPr>
        <w:t>。据统计，2010年美国将有超过5000亿美元的商业地产贷款到期，若美国商业地产价格持续下滑，势必导致更多美国银行等金融机构出现严重亏损甚至倒闭。更为严重的是，主权债务危机加剧，金融市场动荡重现。为应对金融危机，西方主要国家积累了巨额财政赤字，公共债务水平急剧攀升。据联合国2010年1月统计，金融危机爆发以来，各国投入的财政救援资金已达26330亿美元。研究显示，目前美国国债占GDP的比例为87.4%，2010年将升至97.5%；英国国债总额占GDP的比重将由2009年的75.3%升至2010年的89.3%；法国公债占GDP比重将由73.9%升至2010年的77.5%；希腊公债占GDP比重将从2009年的113%升至2010年的130%；日本政府债务占GDP的比例将从2009年的218%升至2010年的227%。迪拜债务危机和希腊债务危机引发股市、汇市、债市、期市等国际金融市场大幅波动表明，不断扩大的公共债务规模极易导致主权债务危机并引发新一轮的金融动荡，使得西方国家陷入金融危机和主权债务危机相互拖累的恶性循环。</w:t>
      </w:r>
    </w:p>
    <w:p w14:paraId="7073B867">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因此，西方国家金融市场和金融体系依然存在恶化的风险，彻底摆脱金融危机、实现全球范围金融市场正常化更是路途遥远。首先，金融机构的治理结构及其监管机制的改革进展缓慢。此次金融危机充分暴露了美式公司治理结构的缺陷，重新构建相对完善的金融机构的治理结构已成为实现金融体系正常化的重要微观基础。然而，旨在强化投资者权益保护和董事会责任从而堵塞公司治理漏洞的各项公司治理改革法案，却遭到了美国商会以及美国证券交易委员会中代表华尔街高管和金融精英利益人士的普遍抵制。同时，完善全球金融体系的监管机制，一方面，需要各国完善自身的监管体系，另一方面，需要各国共同建立一个更为有效的全球协调监管体系，以强化金融机构的规模监管、跨国操作监管以及金融衍生品创新的动态评估和监管。然而，各国完善内部金融市场监管体系尚存在许多困难，能否尽快制定出能够为各国普遍接受的规章制度，并按照G20匹兹堡峰会所确定的在2012年将其全部付诸实施，无疑更是充满了巨大的挑战。其次，金融资本主导的畸形经济结构的调整困难重重。实现全球范围金融市场的正常化，必须终结金融资本的畸形膨胀和全球扩张，扭转金融资本主宰产业资本的异化倾向，“再平衡”虚拟经济与实体经济之间的结构关系。然而，忙于金融“救火”的西方各国政府目前基本无暇顾及金融机构的“瘦身”和资产负债表的调整，它们是否愿意与能够剔除和挤掉巨额金融有毒资产和泡沫资产，尚存许多疑问。更为困难的是，经过20世纪80年代以来的经济金融化、金融泡沫化运动，西方资本主义已经步入了金融垄断资本主义阶段，美欧等国已经步入了严重依赖经济增长和金融泡沫的“良性循环”的发展轨道，逆转这一趋势，无疑需要一场巨大的社会变革。数据显示，华尔街金融机构2009年较为“漂亮”的业绩表现仍然主要依赖于庞大的金融衍生品交易。再次，以美元为中心的现行国际货币金融体系的改革步履维艰。如果不对当前货币金融体系进行根本性改革，造成金融危机的制度性缺陷就不会消除，也不可能实现全球范围内金融市场的正常化。然而，尽管美元作为衡量财富的世界储备货币与美国主权货币之间的矛盾日益突出，世界各国也提出了许多创建新的世界储备货币的方案，但是，美国出于自身利益的考虑必将极力捍卫美元的霸主地位，试图挑战美元地位的欧元由于欧元区的债务危机和经济危机而尽显颓势，目前世界没有任何一种储备工具可以切实地评估、度量、交换和承载商品与服务的真正价值。同样，改革国际货币基金组织、世界银行等国际金融机构也将是一个世界各国实力角逐的漫长过程。西方主要国家自利的改革主张和议程设定仍然占据压倒性优势，发展中国家的利益与国际金融体系合理化、正常化的要求明显缺乏足够重视，IMF份额改革的象征意义远远大于实际意义，并未改变美欧等成员国的主导地位，世界货币金融体系的合理化改革任重道远。</w:t>
      </w:r>
    </w:p>
    <w:p w14:paraId="25003A12">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金融是西方国家社会经济的核心。没有一个正常运转的金融市场，西方国家就不可能真正彻底摆脱金融危机，也不可能实现经济的持续增长。因此，目前西方国家刺激经济复苏与增长的各项政策就根本而言大都是低效甚至无效的，也是难以持久的。尽管西方主要经济体从2009年下半年先后转入正增长，但这只是依赖短期的、特殊的政策作用取得的“临时性增长”。数据显示，西方国家的失业率仍处历史高位且呈继续攀升态势。2010年2月，欧元区16国的失业率为10％，比1月份上升了0.1个百分点，创下了1998年8月以来的最高纪录；欧盟27国的失业率为9.6％，同样比1月份上升了0.1个百分点，创下了2000年1月以来的新高；美国2010年3月的失业率则继续维持在9.7%的高位。另外，根据总部位于巴黎的信贷保险公司EulerHermes的调查显示，2010年德国企业破产数量将增长11%，达到创纪录的3.89万家；2010年西欧国家企业破产数将平均增长8.7%。这表明，断言经济危机已经过去显然为时尚早。西方国家经济目前的“弱势反弹”犹如“依赖特殊药物的重症病人”，没有了刺激政策的“生命保障”，随时便可能重回衰退。问题恰恰在于，西方主要经济体如今正处于进退两难的政策境地：退出经济刺激政策，必然导致经济反弹势头逆转；继续实施刺激政策，必然加剧日趋严重的主权债务危机风险和通货膨胀风险。欲摆脱两难境地，或许只能寄希望于新的一轮金融泡沫与经济增长的“良性循环”，实体经济早日实现“自主性增长”。</w:t>
      </w:r>
    </w:p>
    <w:p w14:paraId="19D792E3">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实现经济自主性增长，需要消费需求、投资需求和国际贸易以及主导产业等方面的振兴与持续增长。在消费需求方面，尽管改变居民负债消费模式不符合西方国家金融资本的利益，但是，修补家庭资产负债表、提高私人储蓄率却已成为美欧等国消费者的普遍选择。数据显示，美国2010年3月份正式登记的个人破产申请多达15.8万件，平均每天6900件，同比增加了19%，环比增加了35%，创下了2005年10月以来的单月最高纪录。显然，近期内期望美欧等国居民消费重回负债模式、实现强劲回升是不现实的。麦肯锡公司的研究显示，美国家庭负债与个人可支配收入比率每下调一个百分点，将导致总需求减少1000亿美元左右；美国家庭储蓄率每上升一个百分点，也将导致总需求减少1000亿美元左右。鉴于消费支出对于美国经济增长的贡献高达70%、美国经济占全球经济的份额超过20%，可以肯定，美国消费者行为的变化必然严重抑制西方国家实体经济的复苏。在投资需求方面，尽管去库存化步伐有所减慢，但是美欧等国产能利用率仍然处于较低水平，难以期望投资支出在近期大规模增长。2010年2月，美国工业产能利用率和制造业产能利用率分别为72.7%和69%,分别低于长期趋势（1972年1月－2009年9月）8.0个和10.3个百分点。欧盟国家和日本的产能利用率也不乐观，同样远低于长期趋势水平。固定资产投资是历次经济复苏的基础。西方国家目前产能过剩严重，加之信贷市场疲软，固定资产投资的大幅增长难以想象。在国际贸易方面，尽管世界各国普遍呼吁贸易自由以共同应对危机，但是贸易保护主义却不可阻遏地泛滥开来。迫于居高不下的失业率压力，欧美等西方主要经济体出于自身利益的考虑，以解决“全球经济失衡”为借口，不断采取各种形式的贸易保护主义措施保护本国企业和本国市场，保护的主体范围不断扩大，保护的对象不断增加，保护的手段日趋多样，导致全球贸易摩擦和贸易争端急剧升温，严重干扰了正常的国际贸易秩序和贸易增长。2010年3月26日，世界贸易组织预测，2010年全球贸易量有望增长9.5%，但恢复到全球经济危机爆发之前的水平尚需两到三年。在主导产业方面，尽管目前人们对于新能源、低碳经济等产业的期望甚高，但它们能否成为带动西方国家经济增长的新的主导产业尚存许多疑问。一方面，促进新能源产业降低成本、提升竞争能力的技术创新进展缓慢，同时发展新能源经济必然遭受传统能源产业利益集团的抵制和阻挠。另一方面，制定更加严格的减排规则，提高化石能源的消费成本，改变化石能源与清洁能源的成本比价，无疑更是一个充满风险的国际政治博弈和经济博弈过程。上述分析表明，西方国家实体经济真正实现自主性增长需要一个艰难而漫长的过程。“可以预期，此次经济衰退的持续时间将会超过以往半个世纪之中的任何一次衰退”</w:t>
      </w:r>
      <w:r>
        <w:rPr>
          <w:rFonts w:ascii="宋体" w:hAnsi="宋体" w:eastAsia="宋体" w:cs="宋体"/>
          <w:kern w:val="0"/>
          <w:szCs w:val="21"/>
          <w:lang w:val="zh-CN" w:bidi="zh-CN"/>
        </w:rPr>
        <w:footnoteReference w:id="519"/>
      </w:r>
      <w:r>
        <w:rPr>
          <w:rFonts w:ascii="宋体" w:hAnsi="宋体" w:eastAsia="宋体" w:cs="宋体"/>
          <w:kern w:val="0"/>
          <w:szCs w:val="21"/>
          <w:lang w:val="zh-CN" w:bidi="zh-CN"/>
        </w:rPr>
        <w:t>。</w:t>
      </w:r>
    </w:p>
    <w:p w14:paraId="3147AF2F">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当然，此次危机终将过去。然而，尽管当代资本主义通过自身调整已经具备了较强的社会矛盾调适能力，尽管西方国家经过历次危机已经积累了较为丰富的应对危机经验，尽管全球化背景下反危机行动可以实现空前的国际合作，但是各种危机干预和调节措施在降低危机破坏程度和缩短危机时间的同时，也降低了危机对于各种矛盾的强制平衡作用，即使能够暂时实现金融市场和经济运行的稳定与复苏，也必将导致资本主义经济危机更加频繁、更加猛烈地爆发。</w:t>
      </w:r>
    </w:p>
    <w:p w14:paraId="01B19582">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2</w:t>
      </w:r>
      <w:r>
        <w:rPr>
          <w:rFonts w:ascii="宋体" w:hAnsi="宋体" w:eastAsia="宋体" w:cs="宋体"/>
          <w:b/>
          <w:bCs/>
          <w:kern w:val="0"/>
          <w:szCs w:val="21"/>
          <w:lang w:val="zh-CN" w:bidi="zh-CN"/>
        </w:rPr>
        <w:t>.</w:t>
      </w:r>
      <w:r>
        <w:rPr>
          <w:rFonts w:hint="eastAsia" w:ascii="宋体" w:hAnsi="宋体" w:eastAsia="宋体" w:cs="宋体"/>
          <w:b/>
          <w:bCs/>
          <w:kern w:val="0"/>
          <w:szCs w:val="21"/>
          <w:lang w:val="zh-CN" w:bidi="zh-CN"/>
        </w:rPr>
        <w:t>西方国家金融和经济危机是资本主义的全面危机</w:t>
      </w:r>
    </w:p>
    <w:p w14:paraId="33D3BE5A">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此次危机的爆发，并集中于金融经济领域，但又不限于金融经济领域，涉及能源环境、发展模式乃至价值理念等各个领域的矛盾和问题，既是一场深度的金融经济危机，也是一场严重的思想体系危机、发展方式危机。</w:t>
      </w:r>
    </w:p>
    <w:p w14:paraId="07370EBA">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此次危机是资本主义意识形态的危机。危机不仅宣告了新自由主义作为一种经济理论和政策实践的失败，也同时宣告了新自由主义作为一种西方主流意识形态的破产。秉承自由主义的一贯理念，新自由主义更加信奉和推崇私有产权、市场秩序和个人自由，竭力鼓吹“个人是自身福利最好的判断者”、“一切财产应该属于私人和个人”、“市场力量可以自动实现社会繁荣”。此次金融危机和经济危机爆发以来，作为风行了近30年的西方主流意识形态，新自由主义受到了愈益广泛的质疑和批判。人们越来越深刻地认识到，新自由主义实际上是代表垄断资产阶级利益的一种意识形态，完全服务于金融垄断资本主义操纵金融市场剥夺世界各国人民的需要，必须从价值、所有权和民主自由等方面揭示新自由主义意识形态的虚伪性和反科学性，甚至新自由主义的急先锋们也在“忏悔”自己的错误</w:t>
      </w:r>
      <w:r>
        <w:rPr>
          <w:rFonts w:ascii="宋体" w:hAnsi="宋体" w:eastAsia="宋体" w:cs="宋体"/>
          <w:kern w:val="0"/>
          <w:szCs w:val="21"/>
          <w:lang w:val="zh-CN" w:bidi="zh-CN"/>
        </w:rPr>
        <w:footnoteReference w:id="520"/>
      </w:r>
      <w:r>
        <w:rPr>
          <w:rFonts w:ascii="宋体" w:hAnsi="宋体" w:eastAsia="宋体" w:cs="宋体"/>
          <w:kern w:val="0"/>
          <w:szCs w:val="21"/>
          <w:lang w:val="zh-CN" w:bidi="zh-CN"/>
        </w:rPr>
        <w:t>。更进一步地说，此次危机更加促使人们重新深刻审视资本主义的核心价值观、普世价值观、人权观、民主观，质疑资本主义的合理性与正当性。长期以来，西方资产阶级学者大都宣称：资本主义生产关系是“不受时间影响的自然规律”，资本主义制度是不可战胜的“千年王国”；资本主义之前存在历史，资本主义之后再无历史。20世纪90年代以来，所谓“历史的终结”的论调甚嚣尘上，资本主义崇拜成为全球范围的“意识形态霸权”。然而，据英国广播公司2009年6月19日－</w:t>
      </w:r>
    </w:p>
    <w:p w14:paraId="11ED9289">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10月13日的一项调查显示，在27个国家的2.9万名受访者中，只有11%的人认为资本主义运转良好，89%的人对资本主义表示不满。其中，平均23%的人认为资本主义有着致命缺陷，需要一个全新的体系来代替它，法国、墨西哥、巴西、意大利持有此种观点的比例分别高达43%、38%、35%、29%。这表明，危机发生之后，人们不仅在讨论告别亚当·斯密，也在讨论告别资本主义，资本主义迷梦正在破灭。与此同时，马克思主义却在世界范围内再度复兴，“人们不仅重新找到马克思，而且重新发现社会主义优越传统”。此次危机爆发以来，马克思及其学说频繁地出现于西方主流媒体，《资本论》、《共产党宣言》等马克思主义经典著作在德国、美国和英国等地持续热销，不仅凸显了资本主义意识形态的严重危机，也彰显了马克思主义的强大生命活力。越来越多的人开始承认，马克思所揭示的资本主义矛盾和经济社会发展规律依然正确，早在100多年前就被马克思所揭示的资本主义引发的种种灾难已经全部显现，“马克思极有可能成为21世纪最有影响力的思想家”，甚至两年之前还在极力攻击马克思主义是现代灾祸之一的罗马教皇，也不得不承认马克思对于资本主义的正确批判。</w:t>
      </w:r>
    </w:p>
    <w:p w14:paraId="55FFD612">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此次危机是资本主义“榜样模式”的危机。1989年之后，西方主流学者普遍认为，世界只剩下两大超级力量：美国和欧洲；竞争只存在于两种资本主义模式之间：美英模式和莱茵模式。然而，此次危机的爆发却同时宣告了资本主义两大“榜样模式”的失败。一般认为，美英模式比较强调充分发挥以财产私有制和自由竞争原则为基础的市场经济的自发作用，尽量缩小政府的活动范围，能够比较有效地实现资源合理配置；莱茵模式则是一种以自由竞争为基础，国家进行适当调节，辅以较为完善的社会保障体系的市场经济，能够比较有效地实现社会公平。长期以来，美英模式和莱茵模式不仅是资本主义体系内相互竞争的两种典型模式，也是许多国家竞相效法的两种资本主义“榜样模式”。20世纪50年代－70年代初，是西方资本主义国家发展的“黄金时期”，美英模式和莱茵模式更是受到了普遍关注。1950年－1973年，美国实际GDP增长率为3.6%，人均实际GDP从9573美元增加到16607美元，增长超过72%；德国实际GDP增长了6.3%，人均实际GDP从4281美元增加到13152美元，增长超过200%。然而，1974年－1975年爆发了资本主义世界性经济危机，美国经济更是进入了衰退时期，美英模式受到了广泛的质疑和挑战。与美国相比，德国经济则处于相对稳定增长之中，莱茵模式受到了更多的关注与膜拜。从1973年－1983年，美国GDP年均增长率为1.1%，而德国则为2.1%；1980年，德国人均实际GDP为13217美元，高于美国的11787美元。面对滞胀困境和各种挑战，美英等国放弃了长期奉行的凯恩斯主义，转而奉行新自由主义经济理论和政策主张，开始了美英模式的新的一轮“镀金岁月”，并于20世纪90年代“战胜”了莱茵模式。美国经济从1992年开始10年间年均经济增长率达到了3.5%，1995年－2001年间更是占据世界GDP增长的96%，实现了世界经济史上最极端的不平衡的发展。与此同时，莱茵模式各国经济却不同程度地遇到了严重问题。1995年－2000年间德国平均GDP增长率仅为1.4%，平均失业率则高达10.4%</w:t>
      </w:r>
      <w:r>
        <w:rPr>
          <w:rFonts w:ascii="宋体" w:hAnsi="宋体" w:eastAsia="宋体" w:cs="宋体"/>
          <w:kern w:val="0"/>
          <w:szCs w:val="21"/>
          <w:lang w:val="zh-CN" w:bidi="zh-CN"/>
        </w:rPr>
        <w:footnoteReference w:id="521"/>
      </w:r>
      <w:r>
        <w:rPr>
          <w:rFonts w:ascii="宋体" w:hAnsi="宋体" w:eastAsia="宋体" w:cs="宋体"/>
          <w:kern w:val="0"/>
          <w:szCs w:val="21"/>
          <w:lang w:val="zh-CN" w:bidi="zh-CN"/>
        </w:rPr>
        <w:t>。然而，正当世界各国对自由放任式的美英模式大加追捧之时，美国经济增长速度却从2000年下半年开始急剧下降，步入了以9·11事件开场、以金融和经济危机结束的“地狱十年”</w:t>
      </w:r>
      <w:r>
        <w:rPr>
          <w:rFonts w:ascii="宋体" w:hAnsi="宋体" w:eastAsia="宋体" w:cs="宋体"/>
          <w:kern w:val="0"/>
          <w:szCs w:val="21"/>
          <w:lang w:val="zh-CN" w:bidi="zh-CN"/>
        </w:rPr>
        <w:footnoteReference w:id="522"/>
      </w:r>
      <w:r>
        <w:rPr>
          <w:rFonts w:ascii="宋体" w:hAnsi="宋体" w:eastAsia="宋体" w:cs="宋体"/>
          <w:kern w:val="0"/>
          <w:szCs w:val="21"/>
          <w:lang w:val="zh-CN" w:bidi="zh-CN"/>
        </w:rPr>
        <w:t>。与美国一样，德国等莱茵模式国家也步履蹒跚地迎来了严重的金融和经济危机。危机之下，美英等国被迫采取了凯恩斯主义式的干预政策，只能步入新的一轮政府干预式与自由放任式的美英模式的交替往复和金融经济危机的周期循环；由于欧洲各国社民党的溃败和“缓慢瓦解”，莱茵模式更是遭遇了前所未有的严峻挑战。或许，西方资本主义“必须在古典、凯恩斯、撒切尔-里根模式的基础之上创建第四种模式，以适应21世纪的需要”</w:t>
      </w:r>
      <w:r>
        <w:rPr>
          <w:rFonts w:ascii="宋体" w:hAnsi="宋体" w:eastAsia="宋体" w:cs="宋体"/>
          <w:kern w:val="0"/>
          <w:szCs w:val="21"/>
          <w:lang w:val="zh-CN" w:bidi="zh-CN"/>
        </w:rPr>
        <w:footnoteReference w:id="523"/>
      </w:r>
      <w:r>
        <w:rPr>
          <w:rFonts w:ascii="宋体" w:hAnsi="宋体" w:eastAsia="宋体" w:cs="宋体"/>
          <w:kern w:val="0"/>
          <w:szCs w:val="21"/>
          <w:lang w:val="zh-CN" w:bidi="zh-CN"/>
        </w:rPr>
        <w:t>。否则，西方资本主义必将遭遇更加彻底的失败。</w:t>
      </w:r>
    </w:p>
    <w:p w14:paraId="43873AD4">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此次危机是资本主义发展方式的危机。“资本来到世间，从头到脚，每个毛孔都滴着血和肮脏的东西。”</w:t>
      </w:r>
      <w:r>
        <w:rPr>
          <w:rFonts w:ascii="宋体" w:hAnsi="宋体" w:eastAsia="宋体" w:cs="宋体"/>
          <w:kern w:val="0"/>
          <w:szCs w:val="21"/>
          <w:lang w:val="zh-CN" w:bidi="zh-CN"/>
        </w:rPr>
        <w:footnoteReference w:id="524"/>
      </w:r>
      <w:r>
        <w:rPr>
          <w:rFonts w:ascii="宋体" w:hAnsi="宋体" w:eastAsia="宋体" w:cs="宋体"/>
          <w:kern w:val="0"/>
          <w:szCs w:val="21"/>
          <w:lang w:val="zh-CN" w:bidi="zh-CN"/>
        </w:rPr>
        <w:t>资本主义的发展历史，是用血和火的文字载入人类编年史的。资本主义愈是发展，其发展方式的危机便愈加严重。在自由竞争时代，西方资本主义依靠剥削劳动、殖民战争和殖民贸易进行资本积累和扩张。进入垄断阶段之后，资本主义世界体系逐步形成，西方资本主义通过资本输出、技术垄断以及各类战争，更加巧妙而残酷地剥削和掠夺发展中国家的资源和财富。随着资本主义全球化进程的深化，西方资本主义国家通过它们所控制的国际经济组织和游戏规则，继续主导国际政治经济秩序，持续地剥削和掠夺广大发展中国家，以试图缓解日趋严重的资本主义基本矛盾和资本积累危机。然而，当代西方资本主义的全球扩张，必然导致广大发展中国家陷入经济停滞甚至衰退并造成世界市场的萎缩。世界银行经济学家布兰科·米拉诺维奇(BrankoMilanovic)的研究显示，在过去的两个世纪里，西方富裕资本主义国家已经完全甩开了其他国家，西方资本主义作为“富人俱乐部”的地位得到了不断强化，不发达国家发展的可能性则日益被侵蚀。1820年，最富和最穷国家的人均GDP之比为3∶1，1992年则上升到72∶1</w:t>
      </w:r>
      <w:r>
        <w:rPr>
          <w:rFonts w:ascii="宋体" w:hAnsi="宋体" w:eastAsia="宋体" w:cs="宋体"/>
          <w:kern w:val="0"/>
          <w:szCs w:val="21"/>
          <w:lang w:val="zh-CN" w:bidi="zh-CN"/>
        </w:rPr>
        <w:footnoteReference w:id="525"/>
      </w:r>
      <w:r>
        <w:rPr>
          <w:rFonts w:ascii="宋体" w:hAnsi="宋体" w:eastAsia="宋体" w:cs="宋体"/>
          <w:kern w:val="0"/>
          <w:szCs w:val="21"/>
          <w:lang w:val="zh-CN" w:bidi="zh-CN"/>
        </w:rPr>
        <w:t>。这样，西方资本主义依赖“外在于它自身”的东西解决资本过度积累危机的可能空间日益狭窄</w:t>
      </w:r>
      <w:r>
        <w:rPr>
          <w:rFonts w:ascii="宋体" w:hAnsi="宋体" w:eastAsia="宋体" w:cs="宋体"/>
          <w:kern w:val="0"/>
          <w:szCs w:val="21"/>
          <w:lang w:val="zh-CN" w:bidi="zh-CN"/>
        </w:rPr>
        <w:footnoteReference w:id="526"/>
      </w:r>
      <w:r>
        <w:rPr>
          <w:rFonts w:ascii="宋体" w:hAnsi="宋体" w:eastAsia="宋体" w:cs="宋体"/>
          <w:kern w:val="0"/>
          <w:szCs w:val="21"/>
          <w:lang w:val="zh-CN" w:bidi="zh-CN"/>
        </w:rPr>
        <w:t>，大量过剩资本不断转向投机性金融领域，西方资本主义经济的金融化和虚拟化程度不断提高，日益步入不可持续的严重依赖金融泡沫和经济增长的“良性循环”的发展轨道。同时，当代西方资本主义的全球扩张还导致了全球范围日益严重的环境恶化和生态危机。资本的血腥和肮脏不仅在于压榨劳动，也在于掠夺自然。浪费资源、污染环境和破坏生态是资本主义与生俱来的破坏性基因，也是资本主义的发展动能。然而，世界能源和粮食价格的持续上涨以及“自由物品”的日渐稀少表明，资本主义依靠“劳德代尔悖论”式的发展，也就是依靠摧毁社会财富（使用价值）扩大私人财富（交换价值），把昔日丰富的东西变得日渐稀缺以满足资本的贪婪逐利，已经失去了进一步扩张的空间。因此，西方资本主义的全球扩张必然导致缓解资本主义基本矛盾的余地达到极限，使当代资本主义发展方式的扩展达到极限。此次危机是资本主义发展方式危机的必然结果，也必将导致资本主义发展方式乃至生存方式的更加严重的危机。</w:t>
      </w:r>
    </w:p>
    <w:p w14:paraId="7B903CD7">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3</w:t>
      </w:r>
      <w:r>
        <w:rPr>
          <w:rFonts w:ascii="宋体" w:hAnsi="宋体" w:eastAsia="宋体" w:cs="宋体"/>
          <w:b/>
          <w:bCs/>
          <w:kern w:val="0"/>
          <w:szCs w:val="21"/>
          <w:lang w:val="zh-CN" w:bidi="zh-CN"/>
        </w:rPr>
        <w:t>.</w:t>
      </w:r>
      <w:r>
        <w:rPr>
          <w:rFonts w:hint="eastAsia" w:ascii="宋体" w:hAnsi="宋体" w:eastAsia="宋体" w:cs="宋体"/>
          <w:b/>
          <w:bCs/>
          <w:kern w:val="0"/>
          <w:szCs w:val="21"/>
          <w:lang w:val="zh-CN" w:bidi="zh-CN"/>
        </w:rPr>
        <w:t>西方国家金融和经济危机将导致世界格局发生重大变化</w:t>
      </w:r>
    </w:p>
    <w:p w14:paraId="4338C8A6">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历史经验表明，资本主义世界性金融危机和经济危机必然导致世界政治经济格局发生重大变化。此次危机也必然给世界经济社会发展带来重大而持续的影响，导致世界经济进入一个大调整、大动荡时期，世界格局和发展进程也将会发生重大变化和转折。</w:t>
      </w:r>
    </w:p>
    <w:p w14:paraId="40855154">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西方发达资本主义国家的霸权统治开始动摇。长期以来，以美国为代表的西方发达资本主义国家的全球霸权统治主要依赖于意识形态霸权、以美元为主导的国际货币金融体系以及庞大的军事机器等。作为一种最重要的“软性”制度安排，意识形态的影响弥漫在几乎所有的其他制度安排之中。因此，尽管意识形态的演变往往是渐进而缓慢的，美国等西方资本主义国家也必将极力捍卫其全球“意识形态霸权”，但是，此次西方国家金融和经济危机导致的资本主义意识形态霸权的危机与瓦解却是不可逆转的历史趋势，它必将严重动摇西方发达资本主义国家全球霸权统治的制度基础。同时，以美元为中心的不合理的国际货币金融体系更是受到了愈益严重的挑战。2007年，拉美共同市场协议国家和美洲玻利瓦尔替代发展计划（ALA）国家创建了南方银行，构成了对美国主宰的、新自由主义的美洲国际银行的有力挑战，一些成员国还退出了国际货币基金组织和世界银行，在南美地区创立一种共同货币以替代美元的进程也在不断推进之中。可以预期，随着世界范围内区域性金融合作组织和货币体系愈益增多，作为西方金融垄断资本全球扩张和掠夺的重要工具，以美元为中心的国际货币金融体系的危机将不断加重，从而严重动摇西方发达资本主义国家的全球霸权统治。此外，尽管美国等西方发达国家依然拥有较为强大的军事机器，但是，阿富汗战争和伊拉克战争表明，美国“同时打赢两场战争”或者“一场半战争”的理论与计划已经破产，美国及其盟友的综合实力和全球控制能力已经显著下降。总之，以美国为代表的西方发达资本主义国家的全球霸权统治已经处于前所未有的衰落之中。其未来的发展，或许正如“中美国”论创始人弗格森所言：像美国这样的帝国与所有复杂体系一样，在一段长度未知的时段里看似运行平稳，然后却在刹那间毁灭</w:t>
      </w:r>
      <w:r>
        <w:rPr>
          <w:rFonts w:ascii="宋体" w:hAnsi="宋体" w:eastAsia="宋体" w:cs="宋体"/>
          <w:kern w:val="0"/>
          <w:szCs w:val="21"/>
          <w:lang w:val="zh-CN" w:bidi="zh-CN"/>
        </w:rPr>
        <w:footnoteReference w:id="527"/>
      </w:r>
      <w:r>
        <w:rPr>
          <w:rFonts w:ascii="宋体" w:hAnsi="宋体" w:eastAsia="宋体" w:cs="宋体"/>
          <w:kern w:val="0"/>
          <w:szCs w:val="21"/>
          <w:lang w:val="zh-CN" w:bidi="zh-CN"/>
        </w:rPr>
        <w:t>。</w:t>
      </w:r>
    </w:p>
    <w:p w14:paraId="5BA5AD67">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新兴经济体的国际影响日渐提升。20世纪90年代以来，新兴经济体群体性崛起的趋势逐步显现。国际货币基金组织的数据显示，1991年－1998年，发达经济体的平均增长率为2.5%，发展中经济体为3.3%；1999年－2006年，发达经济体的平均增长率为2.7%，发展中经济体为5.8%。尽管此次危机也严重冲击了新兴国家，但是，中国、俄罗斯、印度、巴西、南非等新兴国家崛起的势头并未减弱，日益成为世界经济增长和国际格局演变的重要推动力量；南方国家作为一个整体以高于北方国家经济增速向前发展的态势也没有改变，其发展前景依然乐观可期。2006年，由普华永道所进行的一项研究显示，到2050年中国经济将与美国并驾齐驱，而印度将成为第三大经济体。一年之后，高盛公司研究者预言，中国将在2027年之前超过美国，而印度将在2050年之前超过美国，巴西、中国、印度、墨西哥和俄罗斯的经济产出之和在2040年将超过目前的7国集团。经济实力的变化必然带来政治格局的调整。20国集团替代8国集团作为全球治理机制的出现和功能的不断提升，标志着发展中国家作为一个整体已经步入世界事务的中心舞台，西方发达国家独自为世界“定调”的时代必将过去。可以预期，新兴经济体的崛起“将与19世纪末德国、俄国和日本的兴起一样意义非凡”，本世纪中期将会出现一个非常不同的世界</w:t>
      </w:r>
      <w:r>
        <w:rPr>
          <w:rFonts w:ascii="宋体" w:hAnsi="宋体" w:eastAsia="宋体" w:cs="宋体"/>
          <w:kern w:val="0"/>
          <w:szCs w:val="21"/>
          <w:lang w:val="zh-CN" w:bidi="zh-CN"/>
        </w:rPr>
        <w:footnoteReference w:id="528"/>
      </w:r>
      <w:r>
        <w:rPr>
          <w:rFonts w:ascii="宋体" w:hAnsi="宋体" w:eastAsia="宋体" w:cs="宋体"/>
          <w:kern w:val="0"/>
          <w:szCs w:val="21"/>
          <w:lang w:val="zh-CN" w:bidi="zh-CN"/>
        </w:rPr>
        <w:t>。</w:t>
      </w:r>
    </w:p>
    <w:p w14:paraId="38094D89">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世界历史步入动荡多变时期。随着西方发达资本主义国家全球霸权统治的衰落和新兴经济体的群体性崛起，全球多极化的趋势难以逆转，不同利益主体之间的竞争将更加激烈，民族国家以及利益集团之间的博弈将更加复杂，世界历史由此将步入更加动荡多变的复杂时期。全球“意识形态霸权”的真空必然导致各种意识形态的激烈竞争。伴随着文化、宗教和价值观的冲突加剧，地区主义和恐怖主义等各种影响全球稳定的思潮将会不断扩散、升温。随着以美元为中心的世界货币金融体系的危机和各国在全球金融货币领域主导权的竞争加剧，必然导致国际金融市场不稳定因素的增多；同时，尽管此次危机对西方金融垄断资本的全球扩张有所遏制，但金融资本与产业资本的分离已经呈现出难以逆转的态势，金融垄断资本的再度扩张和虚拟经济的畸形膨胀也将重新加大全球经济运行的风险，直接威胁到世界经济运行的稳定。随着WTO利益主体多元化趋势的增强和贸易保护主义的盛行，未来多边贸易体系将形成更加错综复杂的利害关系，不同的谈判议题会催生各种形式的利益联盟，超经济的谈判手段将不断向贸易谈判渗透，多边贸易体制的运行面临严重冲击；知识产权保护、劳工标准、环境标准的广泛滥用，也势必进一步加剧世界范围内的贸易摩擦</w:t>
      </w:r>
      <w:r>
        <w:rPr>
          <w:rFonts w:ascii="宋体" w:hAnsi="宋体" w:eastAsia="宋体" w:cs="宋体"/>
          <w:kern w:val="0"/>
          <w:szCs w:val="21"/>
          <w:lang w:val="zh-CN" w:bidi="zh-CN"/>
        </w:rPr>
        <w:footnoteReference w:id="529"/>
      </w:r>
      <w:r>
        <w:rPr>
          <w:rFonts w:ascii="宋体" w:hAnsi="宋体" w:eastAsia="宋体" w:cs="宋体"/>
          <w:kern w:val="0"/>
          <w:szCs w:val="21"/>
          <w:lang w:val="zh-CN" w:bidi="zh-CN"/>
        </w:rPr>
        <w:t>。此外，随着全球经济战略制高点竞争的加剧，全球贸易规则的博弈也将会更加复杂，市场和资源的争夺将会更加激烈。更为严重的是，面对全球新兴力量的兴起和国际竞争的加剧，以美国为代表的西方发达资本主义国家绝对不会将其霸权地位拱手相让。尽管此次危机是西方发达资本主义国家的全面危机，但并不是资本主义的总危机。目前，高估西方发达资本主义国家的实力和调整能力固然错误，低估他们的实力和调整能力同样错误。以美国为代表的西方发达资本主义国家依然拥有最为强大的军事实力、经济实力以及金融领域的主导地位。为了维持其霸权地位，除了试图通过征收碳关税等手段以逼迫新兴经济体在高油价、高汇率、高关税等多重压力之下永远处于国际分工的不利地位，发动霸权战争以消除导致问题的根源，对于美欧等国无疑具有更大的吸引力。或许，在更加合理的全球治理体系构建完成之前，人类不得不经历一个痛苦的动荡多变的复杂时期。</w:t>
      </w:r>
    </w:p>
    <w:p w14:paraId="3BBC2FF7">
      <w:pPr>
        <w:autoSpaceDE w:val="0"/>
        <w:autoSpaceDN w:val="0"/>
        <w:spacing w:line="400" w:lineRule="exact"/>
        <w:ind w:firstLine="442"/>
        <w:rPr>
          <w:rFonts w:ascii="宋体" w:hAnsi="宋体" w:eastAsia="宋体" w:cs="宋体"/>
          <w:kern w:val="0"/>
          <w:szCs w:val="21"/>
          <w:lang w:val="zh-CN" w:bidi="zh-CN"/>
        </w:rPr>
      </w:pPr>
      <w:r>
        <w:rPr>
          <w:rFonts w:ascii="宋体" w:hAnsi="宋体" w:eastAsia="宋体" w:cs="宋体"/>
          <w:kern w:val="0"/>
          <w:szCs w:val="21"/>
          <w:lang w:val="zh-CN" w:bidi="zh-CN"/>
        </w:rPr>
        <w:t>1962年1月，毛泽东《在扩大的中央工作会议上的讲话》中指出：从现在起，五十年内外到一百年内外，是世界上社会制度彻底变化的伟大时代，是一个翻天覆地的时代，是过去任何一个历史时代都不能比拟的时代。从目前来看，世界历史的发展进程正在印证这一伟大预言。（待续）</w:t>
      </w:r>
    </w:p>
    <w:p w14:paraId="1E1F8838">
      <w:pPr>
        <w:pStyle w:val="4"/>
        <w:spacing w:line="400" w:lineRule="exact"/>
        <w:ind w:left="0" w:firstLine="420"/>
        <w:rPr>
          <w:szCs w:val="21"/>
        </w:rPr>
      </w:pPr>
      <w:r>
        <w:rPr>
          <w:szCs w:val="21"/>
        </w:rPr>
        <w:t>(</w:t>
      </w:r>
      <w:r>
        <w:rPr>
          <w:rFonts w:hint="eastAsia"/>
          <w:szCs w:val="21"/>
        </w:rPr>
        <w:t>原载《马克思主义研究》2</w:t>
      </w:r>
      <w:r>
        <w:rPr>
          <w:szCs w:val="21"/>
        </w:rPr>
        <w:t>010</w:t>
      </w:r>
      <w:r>
        <w:rPr>
          <w:rFonts w:hint="eastAsia"/>
          <w:szCs w:val="21"/>
        </w:rPr>
        <w:t>年第</w:t>
      </w:r>
      <w:r>
        <w:rPr>
          <w:szCs w:val="21"/>
        </w:rPr>
        <w:t>7</w:t>
      </w:r>
      <w:r>
        <w:rPr>
          <w:rFonts w:hint="eastAsia"/>
          <w:szCs w:val="21"/>
        </w:rPr>
        <w:t>期，第一作者为王伟光，第三作者为胡乐明。</w:t>
      </w:r>
      <w:r>
        <w:rPr>
          <w:szCs w:val="21"/>
        </w:rPr>
        <w:t>)</w:t>
      </w:r>
    </w:p>
    <w:p w14:paraId="7B8C307F">
      <w:pPr>
        <w:pStyle w:val="4"/>
        <w:spacing w:line="400" w:lineRule="exact"/>
        <w:ind w:left="0" w:firstLine="420"/>
        <w:rPr>
          <w:szCs w:val="21"/>
        </w:rPr>
      </w:pPr>
    </w:p>
    <w:p w14:paraId="4D4616A0">
      <w:pPr>
        <w:keepNext/>
        <w:keepLines/>
        <w:spacing w:line="480" w:lineRule="auto"/>
        <w:ind w:firstLine="640" w:firstLineChars="200"/>
        <w:jc w:val="center"/>
        <w:outlineLvl w:val="1"/>
        <w:rPr>
          <w:rFonts w:ascii="黑体" w:hAnsi="黑体" w:eastAsia="黑体" w:cs="Times New Roman"/>
          <w:kern w:val="28"/>
          <w:sz w:val="32"/>
          <w:szCs w:val="24"/>
        </w:rPr>
      </w:pPr>
      <w:bookmarkStart w:id="1126" w:name="_Toc25375"/>
      <w:bookmarkStart w:id="1127" w:name="_Toc861434290"/>
      <w:bookmarkStart w:id="1128" w:name="_Toc1500127168"/>
      <w:r>
        <w:rPr>
          <w:rFonts w:ascii="黑体" w:hAnsi="黑体" w:eastAsia="黑体" w:cs="Times New Roman"/>
          <w:kern w:val="28"/>
          <w:sz w:val="32"/>
          <w:szCs w:val="24"/>
        </w:rPr>
        <w:t>12</w:t>
      </w:r>
      <w:r>
        <w:fldChar w:fldCharType="begin"/>
      </w:r>
      <w:r>
        <w:instrText xml:space="preserve"> HYPERLINK \l "_Toc15116" </w:instrText>
      </w:r>
      <w:r>
        <w:fldChar w:fldCharType="separate"/>
      </w:r>
      <w:r>
        <w:rPr>
          <w:rFonts w:hint="eastAsia" w:ascii="黑体" w:hAnsi="黑体" w:eastAsia="黑体" w:cs="Times New Roman"/>
          <w:kern w:val="28"/>
          <w:sz w:val="32"/>
          <w:szCs w:val="24"/>
        </w:rPr>
        <w:t>低碳经济的政治经济学逻辑分析</w:t>
      </w:r>
      <w:r>
        <w:rPr>
          <w:rFonts w:hint="eastAsia" w:ascii="黑体" w:hAnsi="黑体" w:eastAsia="黑体" w:cs="Times New Roman"/>
          <w:kern w:val="28"/>
          <w:sz w:val="32"/>
          <w:szCs w:val="24"/>
        </w:rPr>
        <w:fldChar w:fldCharType="end"/>
      </w:r>
      <w:bookmarkEnd w:id="1126"/>
      <w:bookmarkEnd w:id="1127"/>
      <w:bookmarkEnd w:id="1128"/>
    </w:p>
    <w:p w14:paraId="674B0F90">
      <w:pPr>
        <w:autoSpaceDE w:val="0"/>
        <w:autoSpaceDN w:val="0"/>
        <w:spacing w:line="360" w:lineRule="auto"/>
        <w:ind w:firstLine="504"/>
        <w:jc w:val="center"/>
        <w:rPr>
          <w:rFonts w:ascii="宋体" w:hAnsi="宋体" w:eastAsia="宋体" w:cs="Times New Roman"/>
          <w:b/>
          <w:sz w:val="24"/>
        </w:rPr>
      </w:pPr>
      <w:r>
        <w:rPr>
          <w:rFonts w:hint="eastAsia" w:ascii="宋体" w:hAnsi="宋体" w:eastAsia="宋体" w:cs="Times New Roman"/>
          <w:b/>
          <w:sz w:val="24"/>
        </w:rPr>
        <w:t>一、低碳经济与低碳经济的逻辑</w:t>
      </w:r>
    </w:p>
    <w:p w14:paraId="3D90D29A">
      <w:pPr>
        <w:autoSpaceDE w:val="0"/>
        <w:autoSpaceDN w:val="0"/>
        <w:adjustRightInd w:val="0"/>
        <w:spacing w:line="400" w:lineRule="exact"/>
        <w:ind w:firstLine="420" w:firstLineChars="200"/>
        <w:rPr>
          <w:rFonts w:ascii="宋体" w:hAnsi="宋体" w:eastAsia="宋体" w:cs="A3+CAJ FNT00"/>
          <w:szCs w:val="21"/>
        </w:rPr>
      </w:pPr>
      <w:r>
        <w:rPr>
          <w:rFonts w:hint="eastAsia" w:ascii="宋体" w:hAnsi="宋体" w:eastAsia="宋体" w:cs="A12+SimSun"/>
          <w:szCs w:val="21"/>
        </w:rPr>
        <w:t>低碳经济是直接为了应对全球气候变暖对人类生存和发展的严峻挑战而提出的一种经济发展模式</w:t>
      </w:r>
      <w:r>
        <w:rPr>
          <w:rFonts w:hint="eastAsia" w:ascii="宋体" w:hAnsi="宋体" w:eastAsia="宋体" w:cs="宋体"/>
          <w:szCs w:val="21"/>
        </w:rPr>
        <w:t>。</w:t>
      </w:r>
      <w:r>
        <w:rPr>
          <w:rFonts w:hint="eastAsia" w:ascii="宋体" w:hAnsi="宋体" w:eastAsia="宋体" w:cs="A12+SimSun"/>
          <w:szCs w:val="21"/>
        </w:rPr>
        <w:t>英国能源白皮书认为</w:t>
      </w:r>
      <w:r>
        <w:rPr>
          <w:rFonts w:ascii="宋体" w:hAnsi="宋体" w:eastAsia="宋体" w:cs="A3+CAJ FNT00"/>
          <w:szCs w:val="21"/>
        </w:rPr>
        <w:t>：</w:t>
      </w:r>
      <w:r>
        <w:rPr>
          <w:rFonts w:hint="eastAsia" w:ascii="宋体" w:hAnsi="宋体" w:eastAsia="宋体" w:cs="A12+SimSun"/>
          <w:szCs w:val="21"/>
        </w:rPr>
        <w:t>低碳经济是通过更少的自然资源消耗和更少的环境污染</w:t>
      </w:r>
      <w:r>
        <w:rPr>
          <w:rFonts w:ascii="宋体" w:hAnsi="宋体" w:eastAsia="宋体" w:cs="A3+CAJ FNT00"/>
          <w:szCs w:val="21"/>
        </w:rPr>
        <w:t>，</w:t>
      </w:r>
      <w:r>
        <w:rPr>
          <w:rFonts w:hint="eastAsia" w:ascii="宋体" w:hAnsi="宋体" w:eastAsia="宋体" w:cs="A12+SimSun"/>
          <w:szCs w:val="21"/>
        </w:rPr>
        <w:t>获得更多的经济产出</w:t>
      </w:r>
      <w:r>
        <w:rPr>
          <w:rFonts w:ascii="宋体" w:hAnsi="宋体" w:eastAsia="宋体" w:cs="A3+CAJ FNT00"/>
          <w:szCs w:val="21"/>
        </w:rPr>
        <w:t>；</w:t>
      </w:r>
      <w:r>
        <w:rPr>
          <w:rFonts w:hint="eastAsia" w:ascii="宋体" w:hAnsi="宋体" w:eastAsia="宋体" w:cs="A12+SimSun"/>
          <w:szCs w:val="21"/>
        </w:rPr>
        <w:t>低碳经济是创造更高的生活标准和更好的生活质量的途径和机会</w:t>
      </w:r>
      <w:r>
        <w:rPr>
          <w:rFonts w:ascii="宋体" w:hAnsi="宋体" w:eastAsia="宋体" w:cs="A3+CAJ FNT00"/>
          <w:szCs w:val="21"/>
        </w:rPr>
        <w:t>，</w:t>
      </w:r>
      <w:r>
        <w:rPr>
          <w:rFonts w:hint="eastAsia" w:ascii="宋体" w:hAnsi="宋体" w:eastAsia="宋体" w:cs="A12+SimSun"/>
          <w:szCs w:val="21"/>
        </w:rPr>
        <w:t>也为发展应用和输出先进技术创造了机会</w:t>
      </w:r>
      <w:r>
        <w:rPr>
          <w:rFonts w:ascii="宋体" w:hAnsi="宋体" w:eastAsia="宋体" w:cs="A3+CAJ FNT00"/>
          <w:szCs w:val="21"/>
        </w:rPr>
        <w:t>，</w:t>
      </w:r>
      <w:r>
        <w:rPr>
          <w:rFonts w:hint="eastAsia" w:ascii="宋体" w:hAnsi="宋体" w:eastAsia="宋体" w:cs="A12+SimSun"/>
          <w:szCs w:val="21"/>
        </w:rPr>
        <w:t>同时</w:t>
      </w:r>
      <w:r>
        <w:rPr>
          <w:rFonts w:ascii="宋体" w:hAnsi="宋体" w:eastAsia="宋体" w:cs="A3+CAJ FNT00"/>
          <w:szCs w:val="21"/>
        </w:rPr>
        <w:t>，</w:t>
      </w:r>
      <w:r>
        <w:rPr>
          <w:rFonts w:hint="eastAsia" w:ascii="宋体" w:hAnsi="宋体" w:eastAsia="宋体" w:cs="A12+SimSun"/>
          <w:szCs w:val="21"/>
        </w:rPr>
        <w:t>也能创造新的商机和更多的就业机会</w:t>
      </w:r>
      <w:r>
        <w:rPr>
          <w:rFonts w:hint="eastAsia" w:ascii="宋体" w:hAnsi="宋体" w:eastAsia="宋体" w:cs="宋体"/>
          <w:szCs w:val="21"/>
        </w:rPr>
        <w:t>。</w:t>
      </w:r>
      <w:r>
        <w:rPr>
          <w:rFonts w:hint="eastAsia" w:ascii="宋体" w:hAnsi="宋体" w:eastAsia="宋体" w:cs="A12+SimSun"/>
          <w:szCs w:val="21"/>
        </w:rPr>
        <w:t>从这个定义我们可以引申出三个重要的命题</w:t>
      </w:r>
      <w:r>
        <w:rPr>
          <w:rFonts w:ascii="宋体" w:hAnsi="宋体" w:eastAsia="宋体" w:cs="A3+CAJ FNT00"/>
          <w:szCs w:val="21"/>
        </w:rPr>
        <w:t>：</w:t>
      </w:r>
    </w:p>
    <w:p w14:paraId="6E587345">
      <w:pPr>
        <w:autoSpaceDE w:val="0"/>
        <w:autoSpaceDN w:val="0"/>
        <w:adjustRightInd w:val="0"/>
        <w:spacing w:line="400" w:lineRule="exact"/>
        <w:ind w:firstLine="420" w:firstLineChars="200"/>
        <w:rPr>
          <w:rFonts w:ascii="宋体" w:hAnsi="宋体" w:eastAsia="宋体" w:cs="宋体"/>
          <w:szCs w:val="21"/>
        </w:rPr>
      </w:pPr>
      <w:r>
        <w:rPr>
          <w:rFonts w:hint="eastAsia" w:ascii="宋体" w:hAnsi="宋体" w:eastAsia="宋体" w:cs="A12+SimSun"/>
          <w:szCs w:val="21"/>
        </w:rPr>
        <w:t>第一</w:t>
      </w:r>
      <w:r>
        <w:rPr>
          <w:rFonts w:ascii="宋体" w:hAnsi="宋体" w:eastAsia="宋体" w:cs="A3+CAJ FNT00"/>
          <w:szCs w:val="21"/>
        </w:rPr>
        <w:t>，</w:t>
      </w:r>
      <w:r>
        <w:rPr>
          <w:rFonts w:hint="eastAsia" w:ascii="宋体" w:hAnsi="宋体" w:eastAsia="宋体" w:cs="A12+SimSun"/>
          <w:szCs w:val="21"/>
        </w:rPr>
        <w:t>低碳经济是以更多的经济产出为目标函数</w:t>
      </w:r>
      <w:r>
        <w:rPr>
          <w:rFonts w:ascii="宋体" w:hAnsi="宋体" w:eastAsia="宋体" w:cs="A3+CAJ FNT00"/>
          <w:szCs w:val="21"/>
        </w:rPr>
        <w:t>，</w:t>
      </w:r>
      <w:r>
        <w:rPr>
          <w:rFonts w:hint="eastAsia" w:ascii="宋体" w:hAnsi="宋体" w:eastAsia="宋体" w:cs="A12+SimSun"/>
          <w:szCs w:val="21"/>
        </w:rPr>
        <w:t>以环境承载力为约束条件</w:t>
      </w:r>
      <w:r>
        <w:rPr>
          <w:rFonts w:ascii="宋体" w:hAnsi="宋体" w:eastAsia="宋体" w:cs="A3+CAJ FNT00"/>
          <w:szCs w:val="21"/>
        </w:rPr>
        <w:t>，</w:t>
      </w:r>
      <w:r>
        <w:rPr>
          <w:rFonts w:hint="eastAsia" w:ascii="宋体" w:hAnsi="宋体" w:eastAsia="宋体" w:cs="A12+SimSun"/>
          <w:szCs w:val="21"/>
        </w:rPr>
        <w:t>或者更直接地说是以最小的二氧化碳排放为约束条件的一种新型经济形态</w:t>
      </w:r>
      <w:r>
        <w:rPr>
          <w:rFonts w:hint="eastAsia" w:ascii="宋体" w:hAnsi="宋体" w:eastAsia="宋体" w:cs="宋体"/>
          <w:szCs w:val="21"/>
        </w:rPr>
        <w:t>。</w:t>
      </w:r>
      <w:r>
        <w:rPr>
          <w:rFonts w:hint="eastAsia" w:ascii="宋体" w:hAnsi="宋体" w:eastAsia="宋体" w:cs="A12+SimSun"/>
          <w:szCs w:val="21"/>
        </w:rPr>
        <w:t>与以更多经济产出为目标函数</w:t>
      </w:r>
      <w:r>
        <w:rPr>
          <w:rFonts w:ascii="宋体" w:hAnsi="宋体" w:eastAsia="宋体" w:cs="A3+CAJ FNT00"/>
          <w:szCs w:val="21"/>
        </w:rPr>
        <w:t>，</w:t>
      </w:r>
      <w:r>
        <w:rPr>
          <w:rFonts w:hint="eastAsia" w:ascii="宋体" w:hAnsi="宋体" w:eastAsia="宋体" w:cs="A12+SimSun"/>
          <w:szCs w:val="21"/>
        </w:rPr>
        <w:t>以私人成本最小化为约束条件的高碳经济有着本质的区别</w:t>
      </w:r>
      <w:r>
        <w:rPr>
          <w:rFonts w:ascii="宋体" w:hAnsi="宋体" w:eastAsia="宋体" w:cs="A3+CAJ FNT00"/>
          <w:szCs w:val="21"/>
        </w:rPr>
        <w:t>，</w:t>
      </w:r>
      <w:r>
        <w:rPr>
          <w:rFonts w:hint="eastAsia" w:ascii="宋体" w:hAnsi="宋体" w:eastAsia="宋体" w:cs="A12+SimSun"/>
          <w:szCs w:val="21"/>
        </w:rPr>
        <w:t>因此</w:t>
      </w:r>
      <w:r>
        <w:rPr>
          <w:rFonts w:ascii="宋体" w:hAnsi="宋体" w:eastAsia="宋体" w:cs="A3+CAJ FNT00"/>
          <w:szCs w:val="21"/>
        </w:rPr>
        <w:t>，</w:t>
      </w:r>
      <w:r>
        <w:rPr>
          <w:rFonts w:hint="eastAsia" w:ascii="宋体" w:hAnsi="宋体" w:eastAsia="宋体" w:cs="A12+SimSun"/>
          <w:szCs w:val="21"/>
        </w:rPr>
        <w:t>低碳经济不反对经济的持续增长</w:t>
      </w:r>
      <w:r>
        <w:rPr>
          <w:rFonts w:hint="eastAsia" w:ascii="宋体" w:hAnsi="宋体" w:eastAsia="宋体" w:cs="宋体"/>
          <w:szCs w:val="21"/>
        </w:rPr>
        <w:t>。</w:t>
      </w:r>
    </w:p>
    <w:p w14:paraId="5F070952">
      <w:pPr>
        <w:autoSpaceDE w:val="0"/>
        <w:autoSpaceDN w:val="0"/>
        <w:adjustRightInd w:val="0"/>
        <w:spacing w:line="400" w:lineRule="exact"/>
        <w:ind w:firstLine="420" w:firstLineChars="200"/>
        <w:rPr>
          <w:rFonts w:ascii="宋体" w:hAnsi="宋体" w:eastAsia="宋体" w:cs="宋体"/>
          <w:szCs w:val="21"/>
        </w:rPr>
      </w:pPr>
      <w:r>
        <w:rPr>
          <w:rFonts w:hint="eastAsia" w:ascii="宋体" w:hAnsi="宋体" w:eastAsia="宋体" w:cs="A12+SimSun"/>
          <w:szCs w:val="21"/>
        </w:rPr>
        <w:t>第二</w:t>
      </w:r>
      <w:r>
        <w:rPr>
          <w:rFonts w:ascii="宋体" w:hAnsi="宋体" w:eastAsia="宋体" w:cs="A3+CAJ FNT00"/>
          <w:szCs w:val="21"/>
        </w:rPr>
        <w:t>，</w:t>
      </w:r>
      <w:r>
        <w:rPr>
          <w:rFonts w:hint="eastAsia" w:ascii="宋体" w:hAnsi="宋体" w:eastAsia="宋体" w:cs="A12+SimSun"/>
          <w:szCs w:val="21"/>
        </w:rPr>
        <w:t>低碳经济是以消费水平和消费质量的持续稳定提高为目标函数</w:t>
      </w:r>
      <w:r>
        <w:rPr>
          <w:rFonts w:ascii="宋体" w:hAnsi="宋体" w:eastAsia="宋体" w:cs="A3+CAJ FNT00"/>
          <w:szCs w:val="21"/>
        </w:rPr>
        <w:t>，</w:t>
      </w:r>
      <w:r>
        <w:rPr>
          <w:rFonts w:hint="eastAsia" w:ascii="宋体" w:hAnsi="宋体" w:eastAsia="宋体" w:cs="A12+SimSun"/>
          <w:szCs w:val="21"/>
        </w:rPr>
        <w:t>以消费过程中的最小二氧化碳排放量为约束条件的新型消费模式</w:t>
      </w:r>
      <w:r>
        <w:rPr>
          <w:rFonts w:hint="eastAsia" w:ascii="宋体" w:hAnsi="宋体" w:eastAsia="宋体" w:cs="宋体"/>
          <w:szCs w:val="21"/>
        </w:rPr>
        <w:t>。</w:t>
      </w:r>
      <w:r>
        <w:rPr>
          <w:rFonts w:hint="eastAsia" w:ascii="宋体" w:hAnsi="宋体" w:eastAsia="宋体" w:cs="A12+SimSun"/>
          <w:szCs w:val="21"/>
        </w:rPr>
        <w:t>与以消费效用最大化为目标函数</w:t>
      </w:r>
      <w:r>
        <w:rPr>
          <w:rFonts w:ascii="宋体" w:hAnsi="宋体" w:eastAsia="宋体" w:cs="A3+CAJ FNT00"/>
          <w:szCs w:val="21"/>
        </w:rPr>
        <w:t>，</w:t>
      </w:r>
      <w:r>
        <w:rPr>
          <w:rFonts w:hint="eastAsia" w:ascii="宋体" w:hAnsi="宋体" w:eastAsia="宋体" w:cs="A12+SimSun"/>
          <w:szCs w:val="21"/>
        </w:rPr>
        <w:t>以个人或家庭的可支配收入为约束条件的高碳消费模式相区别</w:t>
      </w:r>
      <w:r>
        <w:rPr>
          <w:rFonts w:hint="eastAsia" w:ascii="宋体" w:hAnsi="宋体" w:eastAsia="宋体" w:cs="宋体"/>
          <w:szCs w:val="21"/>
        </w:rPr>
        <w:t>。</w:t>
      </w:r>
    </w:p>
    <w:p w14:paraId="60E73DFE">
      <w:pPr>
        <w:autoSpaceDE w:val="0"/>
        <w:autoSpaceDN w:val="0"/>
        <w:adjustRightInd w:val="0"/>
        <w:spacing w:line="400" w:lineRule="exact"/>
        <w:ind w:firstLine="420" w:firstLineChars="200"/>
        <w:rPr>
          <w:rFonts w:ascii="宋体" w:hAnsi="宋体" w:eastAsia="宋体" w:cs="宋体"/>
          <w:szCs w:val="21"/>
        </w:rPr>
      </w:pPr>
      <w:r>
        <w:rPr>
          <w:rFonts w:hint="eastAsia" w:ascii="宋体" w:hAnsi="宋体" w:eastAsia="宋体" w:cs="A12+SimSun"/>
          <w:szCs w:val="21"/>
        </w:rPr>
        <w:t>第三</w:t>
      </w:r>
      <w:r>
        <w:rPr>
          <w:rFonts w:ascii="宋体" w:hAnsi="宋体" w:eastAsia="宋体" w:cs="A3+CAJ FNT00"/>
          <w:szCs w:val="21"/>
        </w:rPr>
        <w:t>，</w:t>
      </w:r>
      <w:r>
        <w:rPr>
          <w:rFonts w:hint="eastAsia" w:ascii="宋体" w:hAnsi="宋体" w:eastAsia="宋体" w:cs="A12+SimSun"/>
          <w:szCs w:val="21"/>
        </w:rPr>
        <w:t>低碳经济与技术的发展和应用是一种</w:t>
      </w:r>
      <w:r>
        <w:rPr>
          <w:rFonts w:hint="eastAsia" w:ascii="宋体" w:hAnsi="宋体" w:eastAsia="宋体" w:cs="Arial Unicode MS"/>
          <w:szCs w:val="21"/>
        </w:rPr>
        <w:t>“</w:t>
      </w:r>
      <w:r>
        <w:rPr>
          <w:rFonts w:hint="eastAsia" w:ascii="宋体" w:hAnsi="宋体" w:eastAsia="宋体" w:cs="A12+SimSun"/>
          <w:szCs w:val="21"/>
        </w:rPr>
        <w:t>倒逼”</w:t>
      </w:r>
      <w:r>
        <w:rPr>
          <w:rFonts w:ascii="宋体" w:hAnsi="宋体" w:eastAsia="宋体" w:cs="A3+CAJ FNT00"/>
          <w:szCs w:val="21"/>
        </w:rPr>
        <w:t>（bottom</w:t>
      </w:r>
      <w:r>
        <w:rPr>
          <w:rFonts w:hint="eastAsia" w:ascii="宋体" w:hAnsi="宋体" w:eastAsia="宋体" w:cs="Arial Unicode MS"/>
          <w:szCs w:val="21"/>
        </w:rPr>
        <w:t>-</w:t>
      </w:r>
      <w:r>
        <w:rPr>
          <w:rFonts w:ascii="宋体" w:hAnsi="宋体" w:eastAsia="宋体" w:cs="A3+CAJ FNT00"/>
          <w:szCs w:val="21"/>
        </w:rPr>
        <w:t>up）</w:t>
      </w:r>
      <w:r>
        <w:rPr>
          <w:rFonts w:hint="eastAsia" w:ascii="宋体" w:hAnsi="宋体" w:eastAsia="宋体" w:cs="A12+SimSun"/>
          <w:szCs w:val="21"/>
        </w:rPr>
        <w:t>的关系</w:t>
      </w:r>
      <w:r>
        <w:rPr>
          <w:rFonts w:ascii="宋体" w:hAnsi="宋体" w:eastAsia="宋体" w:cs="A3+CAJ FNT00"/>
          <w:szCs w:val="21"/>
        </w:rPr>
        <w:t>，</w:t>
      </w:r>
      <w:r>
        <w:rPr>
          <w:rFonts w:hint="eastAsia" w:ascii="宋体" w:hAnsi="宋体" w:eastAsia="宋体" w:cs="A12+SimSun"/>
          <w:szCs w:val="21"/>
        </w:rPr>
        <w:t>即通过预设一个经济发展目标</w:t>
      </w:r>
      <w:r>
        <w:rPr>
          <w:rFonts w:ascii="宋体" w:hAnsi="宋体" w:eastAsia="宋体" w:cs="A3+CAJ FNT00"/>
          <w:szCs w:val="21"/>
        </w:rPr>
        <w:t>，</w:t>
      </w:r>
      <w:r>
        <w:rPr>
          <w:rFonts w:hint="eastAsia" w:ascii="宋体" w:hAnsi="宋体" w:eastAsia="宋体" w:cs="A12+SimSun"/>
          <w:szCs w:val="21"/>
        </w:rPr>
        <w:t>比如</w:t>
      </w:r>
      <w:r>
        <w:rPr>
          <w:rFonts w:ascii="宋体" w:hAnsi="宋体" w:eastAsia="宋体" w:cs="A3+CAJ FNT00"/>
          <w:szCs w:val="21"/>
        </w:rPr>
        <w:t>，</w:t>
      </w:r>
      <w:r>
        <w:rPr>
          <w:rFonts w:hint="eastAsia" w:ascii="宋体" w:hAnsi="宋体" w:eastAsia="宋体" w:cs="A12+SimSun"/>
          <w:szCs w:val="21"/>
        </w:rPr>
        <w:t>单位国内生产总值能耗降低的百分比或者二氧化碳减排目标</w:t>
      </w:r>
      <w:r>
        <w:rPr>
          <w:rFonts w:ascii="宋体" w:hAnsi="宋体" w:eastAsia="宋体" w:cs="A3+CAJ FNT00"/>
          <w:szCs w:val="21"/>
        </w:rPr>
        <w:t>，</w:t>
      </w:r>
      <w:r>
        <w:rPr>
          <w:rFonts w:hint="eastAsia" w:ascii="宋体" w:hAnsi="宋体" w:eastAsia="宋体" w:cs="A12+SimSun"/>
          <w:szCs w:val="21"/>
        </w:rPr>
        <w:t>从而倒逼与之相适应的先进技术</w:t>
      </w:r>
      <w:r>
        <w:rPr>
          <w:rFonts w:ascii="宋体" w:hAnsi="宋体" w:eastAsia="宋体" w:cs="A3+CAJ FNT00"/>
          <w:szCs w:val="21"/>
        </w:rPr>
        <w:t>，</w:t>
      </w:r>
      <w:r>
        <w:rPr>
          <w:rFonts w:hint="eastAsia" w:ascii="宋体" w:hAnsi="宋体" w:eastAsia="宋体" w:cs="A12+SimSun"/>
          <w:szCs w:val="21"/>
        </w:rPr>
        <w:t>而不是像有些学者主张的那样</w:t>
      </w:r>
      <w:r>
        <w:rPr>
          <w:rFonts w:hint="eastAsia" w:ascii="宋体" w:hAnsi="宋体" w:eastAsia="宋体" w:cs="Arial Unicode MS"/>
          <w:szCs w:val="21"/>
        </w:rPr>
        <w:t>“</w:t>
      </w:r>
      <w:r>
        <w:rPr>
          <w:rFonts w:hint="eastAsia" w:ascii="宋体" w:hAnsi="宋体" w:eastAsia="宋体" w:cs="A12+SimSun"/>
          <w:szCs w:val="21"/>
        </w:rPr>
        <w:t>技术支持低碳经济”</w:t>
      </w:r>
      <w:r>
        <w:rPr>
          <w:rFonts w:hint="eastAsia" w:ascii="宋体" w:hAnsi="宋体" w:eastAsia="宋体" w:cs="宋体"/>
          <w:szCs w:val="21"/>
        </w:rPr>
        <w:t>。</w:t>
      </w:r>
    </w:p>
    <w:p w14:paraId="6A1A36D8">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第四</w:t>
      </w:r>
      <w:r>
        <w:rPr>
          <w:rFonts w:ascii="宋体" w:hAnsi="宋体" w:eastAsia="宋体" w:cs="A3+CAJ FNT00"/>
          <w:szCs w:val="21"/>
        </w:rPr>
        <w:t>，</w:t>
      </w:r>
      <w:r>
        <w:rPr>
          <w:rFonts w:hint="eastAsia" w:ascii="宋体" w:hAnsi="宋体" w:eastAsia="宋体" w:cs="A12+SimSun"/>
          <w:szCs w:val="21"/>
        </w:rPr>
        <w:t>低碳经济的标准必须有一个客观尺度</w:t>
      </w:r>
      <w:r>
        <w:rPr>
          <w:rFonts w:hint="eastAsia" w:ascii="宋体" w:hAnsi="宋体" w:eastAsia="宋体" w:cs="宋体"/>
          <w:szCs w:val="21"/>
        </w:rPr>
        <w:t>。</w:t>
      </w:r>
      <w:r>
        <w:rPr>
          <w:rFonts w:hint="eastAsia" w:ascii="宋体" w:hAnsi="宋体" w:eastAsia="宋体" w:cs="A12+SimSun"/>
          <w:szCs w:val="21"/>
        </w:rPr>
        <w:t>简单地把</w:t>
      </w:r>
      <w:r>
        <w:rPr>
          <w:rFonts w:hint="eastAsia" w:ascii="宋体" w:hAnsi="宋体" w:eastAsia="宋体" w:cs="Arial Unicode MS"/>
          <w:szCs w:val="21"/>
        </w:rPr>
        <w:t>“</w:t>
      </w:r>
      <w:r>
        <w:rPr>
          <w:rFonts w:hint="eastAsia" w:ascii="宋体" w:hAnsi="宋体" w:eastAsia="宋体" w:cs="A12+SimSun"/>
          <w:szCs w:val="21"/>
        </w:rPr>
        <w:t>低”理解为</w:t>
      </w:r>
      <w:r>
        <w:rPr>
          <w:rFonts w:hint="eastAsia" w:ascii="宋体" w:hAnsi="宋体" w:eastAsia="宋体" w:cs="Arial Unicode MS"/>
          <w:szCs w:val="21"/>
        </w:rPr>
        <w:t>“</w:t>
      </w:r>
      <w:r>
        <w:rPr>
          <w:rFonts w:hint="eastAsia" w:ascii="宋体" w:hAnsi="宋体" w:eastAsia="宋体" w:cs="A12+SimSun"/>
          <w:szCs w:val="21"/>
        </w:rPr>
        <w:t>减排”和</w:t>
      </w:r>
      <w:r>
        <w:rPr>
          <w:rFonts w:hint="eastAsia" w:ascii="宋体" w:hAnsi="宋体" w:eastAsia="宋体" w:cs="Arial Unicode MS"/>
          <w:szCs w:val="21"/>
        </w:rPr>
        <w:t>“</w:t>
      </w:r>
      <w:r>
        <w:rPr>
          <w:rFonts w:hint="eastAsia" w:ascii="宋体" w:hAnsi="宋体" w:eastAsia="宋体" w:cs="A12+SimSun"/>
          <w:szCs w:val="21"/>
        </w:rPr>
        <w:t>低二氧化碳排放”既不准确</w:t>
      </w:r>
      <w:r>
        <w:rPr>
          <w:rFonts w:ascii="宋体" w:hAnsi="宋体" w:eastAsia="宋体" w:cs="A3+CAJ FNT00"/>
          <w:szCs w:val="21"/>
        </w:rPr>
        <w:t>，</w:t>
      </w:r>
      <w:r>
        <w:rPr>
          <w:rFonts w:hint="eastAsia" w:ascii="宋体" w:hAnsi="宋体" w:eastAsia="宋体" w:cs="A12+SimSun"/>
          <w:szCs w:val="21"/>
        </w:rPr>
        <w:t>也不具有可操作性</w:t>
      </w:r>
      <w:r>
        <w:rPr>
          <w:rFonts w:hint="eastAsia" w:ascii="宋体" w:hAnsi="宋体" w:eastAsia="宋体" w:cs="宋体"/>
          <w:szCs w:val="21"/>
        </w:rPr>
        <w:t>。</w:t>
      </w:r>
      <w:r>
        <w:rPr>
          <w:rFonts w:hint="eastAsia" w:ascii="宋体" w:hAnsi="宋体" w:eastAsia="宋体" w:cs="Arial Unicode MS"/>
          <w:szCs w:val="21"/>
        </w:rPr>
        <w:t>“</w:t>
      </w:r>
      <w:r>
        <w:rPr>
          <w:rFonts w:hint="eastAsia" w:ascii="宋体" w:hAnsi="宋体" w:eastAsia="宋体" w:cs="A12+SimSun"/>
          <w:szCs w:val="21"/>
        </w:rPr>
        <w:t>减排”是相对于全球气候变暖的严峻挑战而提出了战略措施</w:t>
      </w:r>
      <w:r>
        <w:rPr>
          <w:rFonts w:ascii="宋体" w:hAnsi="宋体" w:eastAsia="宋体" w:cs="A3+CAJ FNT00"/>
          <w:szCs w:val="21"/>
        </w:rPr>
        <w:t>，</w:t>
      </w:r>
      <w:r>
        <w:rPr>
          <w:rFonts w:hint="eastAsia" w:ascii="宋体" w:hAnsi="宋体" w:eastAsia="宋体" w:cs="A12+SimSun"/>
          <w:szCs w:val="21"/>
        </w:rPr>
        <w:t>并非是低碳经济的本质要求</w:t>
      </w:r>
      <w:r>
        <w:rPr>
          <w:rFonts w:ascii="宋体" w:hAnsi="宋体" w:eastAsia="宋体" w:cs="A3+CAJ FNT00"/>
          <w:szCs w:val="21"/>
        </w:rPr>
        <w:t>；</w:t>
      </w:r>
      <w:r>
        <w:rPr>
          <w:rFonts w:hint="eastAsia" w:ascii="宋体" w:hAnsi="宋体" w:eastAsia="宋体" w:cs="A12+SimSun"/>
          <w:szCs w:val="21"/>
        </w:rPr>
        <w:t>同时</w:t>
      </w:r>
      <w:r>
        <w:rPr>
          <w:rFonts w:ascii="宋体" w:hAnsi="宋体" w:eastAsia="宋体" w:cs="A3+CAJ FNT00"/>
          <w:szCs w:val="21"/>
        </w:rPr>
        <w:t>，</w:t>
      </w:r>
      <w:r>
        <w:rPr>
          <w:rFonts w:hint="eastAsia" w:ascii="宋体" w:hAnsi="宋体" w:eastAsia="宋体" w:cs="Arial Unicode MS"/>
          <w:szCs w:val="21"/>
        </w:rPr>
        <w:t>“</w:t>
      </w:r>
      <w:r>
        <w:rPr>
          <w:rFonts w:hint="eastAsia" w:ascii="宋体" w:hAnsi="宋体" w:eastAsia="宋体" w:cs="A12+SimSun"/>
          <w:szCs w:val="21"/>
        </w:rPr>
        <w:t>减排”也是相对于历史上业已形成的高碳经济模式而言的</w:t>
      </w:r>
      <w:r>
        <w:rPr>
          <w:rFonts w:ascii="宋体" w:hAnsi="宋体" w:eastAsia="宋体" w:cs="A3+CAJ FNT00"/>
          <w:szCs w:val="21"/>
        </w:rPr>
        <w:t>，</w:t>
      </w:r>
      <w:r>
        <w:rPr>
          <w:rFonts w:hint="eastAsia" w:ascii="宋体" w:hAnsi="宋体" w:eastAsia="宋体" w:cs="A12+SimSun"/>
          <w:szCs w:val="21"/>
        </w:rPr>
        <w:t>也不是低碳经济的固有属性</w:t>
      </w:r>
      <w:r>
        <w:rPr>
          <w:rFonts w:hint="eastAsia" w:ascii="宋体" w:hAnsi="宋体" w:eastAsia="宋体" w:cs="宋体"/>
          <w:szCs w:val="21"/>
        </w:rPr>
        <w:t>。</w:t>
      </w:r>
      <w:r>
        <w:rPr>
          <w:rFonts w:hint="eastAsia" w:ascii="宋体" w:hAnsi="宋体" w:eastAsia="宋体" w:cs="A12+SimSun"/>
          <w:szCs w:val="21"/>
        </w:rPr>
        <w:t>我们认为</w:t>
      </w:r>
      <w:r>
        <w:rPr>
          <w:rFonts w:ascii="宋体" w:hAnsi="宋体" w:eastAsia="宋体" w:cs="A3+CAJ FNT00"/>
          <w:szCs w:val="21"/>
        </w:rPr>
        <w:t>，</w:t>
      </w:r>
      <w:r>
        <w:rPr>
          <w:rFonts w:hint="eastAsia" w:ascii="宋体" w:hAnsi="宋体" w:eastAsia="宋体" w:cs="A12+SimSun"/>
          <w:szCs w:val="21"/>
        </w:rPr>
        <w:t>低碳经济的</w:t>
      </w:r>
      <w:r>
        <w:rPr>
          <w:rFonts w:hint="eastAsia" w:ascii="宋体" w:hAnsi="宋体" w:eastAsia="宋体" w:cs="Arial Unicode MS"/>
          <w:szCs w:val="21"/>
        </w:rPr>
        <w:t>“</w:t>
      </w:r>
      <w:r>
        <w:rPr>
          <w:rFonts w:hint="eastAsia" w:ascii="宋体" w:hAnsi="宋体" w:eastAsia="宋体" w:cs="A12+SimSun"/>
          <w:szCs w:val="21"/>
        </w:rPr>
        <w:t>低”只能是从宏观上使人类经济活动累计碳排放水平低于大气圈最大可容纳的温室气体含量</w:t>
      </w:r>
      <w:r>
        <w:rPr>
          <w:rFonts w:ascii="宋体" w:hAnsi="宋体" w:eastAsia="宋体" w:cs="A3+CAJ FNT00"/>
          <w:szCs w:val="21"/>
        </w:rPr>
        <w:t>，</w:t>
      </w:r>
      <w:r>
        <w:rPr>
          <w:rFonts w:hint="eastAsia" w:ascii="宋体" w:hAnsi="宋体" w:eastAsia="宋体" w:cs="A12+SimSun"/>
          <w:szCs w:val="21"/>
        </w:rPr>
        <w:t>所以这个</w:t>
      </w:r>
      <w:r>
        <w:rPr>
          <w:rFonts w:hint="eastAsia" w:ascii="宋体" w:hAnsi="宋体" w:eastAsia="宋体" w:cs="Arial Unicode MS"/>
          <w:szCs w:val="21"/>
        </w:rPr>
        <w:t>“</w:t>
      </w:r>
      <w:r>
        <w:rPr>
          <w:rFonts w:hint="eastAsia" w:ascii="宋体" w:hAnsi="宋体" w:eastAsia="宋体" w:cs="A12+SimSun"/>
          <w:szCs w:val="21"/>
        </w:rPr>
        <w:t>低”是绝对的</w:t>
      </w:r>
      <w:r>
        <w:rPr>
          <w:rFonts w:hint="eastAsia" w:ascii="宋体" w:hAnsi="宋体" w:eastAsia="宋体" w:cs="宋体"/>
          <w:szCs w:val="21"/>
        </w:rPr>
        <w:t>、</w:t>
      </w:r>
      <w:r>
        <w:rPr>
          <w:rFonts w:hint="eastAsia" w:ascii="宋体" w:hAnsi="宋体" w:eastAsia="宋体" w:cs="A12+SimSun"/>
          <w:szCs w:val="21"/>
        </w:rPr>
        <w:t>客观的</w:t>
      </w:r>
      <w:r>
        <w:rPr>
          <w:rFonts w:hint="eastAsia" w:ascii="宋体" w:hAnsi="宋体" w:eastAsia="宋体" w:cs="宋体"/>
          <w:szCs w:val="21"/>
        </w:rPr>
        <w:t>。</w:t>
      </w:r>
      <w:r>
        <w:rPr>
          <w:rFonts w:hint="eastAsia" w:ascii="宋体" w:hAnsi="宋体" w:eastAsia="宋体" w:cs="A12+SimSun"/>
          <w:szCs w:val="21"/>
        </w:rPr>
        <w:t>低碳经济不在于碳的</w:t>
      </w:r>
      <w:r>
        <w:rPr>
          <w:rFonts w:hint="eastAsia" w:ascii="宋体" w:hAnsi="宋体" w:eastAsia="宋体" w:cs="Arial Unicode MS"/>
          <w:szCs w:val="21"/>
        </w:rPr>
        <w:t>“</w:t>
      </w:r>
      <w:r>
        <w:rPr>
          <w:rFonts w:hint="eastAsia" w:ascii="宋体" w:hAnsi="宋体" w:eastAsia="宋体" w:cs="A12+SimSun"/>
          <w:szCs w:val="21"/>
        </w:rPr>
        <w:t>无”和抽象的</w:t>
      </w:r>
      <w:r>
        <w:rPr>
          <w:rFonts w:hint="eastAsia" w:ascii="宋体" w:hAnsi="宋体" w:eastAsia="宋体" w:cs="Arial Unicode MS"/>
          <w:szCs w:val="21"/>
        </w:rPr>
        <w:t>“</w:t>
      </w:r>
      <w:r>
        <w:rPr>
          <w:rFonts w:hint="eastAsia" w:ascii="宋体" w:hAnsi="宋体" w:eastAsia="宋体" w:cs="A12+SimSun"/>
          <w:szCs w:val="21"/>
        </w:rPr>
        <w:t>低”</w:t>
      </w:r>
      <w:r>
        <w:rPr>
          <w:rFonts w:ascii="宋体" w:hAnsi="宋体" w:eastAsia="宋体" w:cs="A3+CAJ FNT00"/>
          <w:szCs w:val="21"/>
        </w:rPr>
        <w:t>，</w:t>
      </w:r>
      <w:r>
        <w:rPr>
          <w:rFonts w:hint="eastAsia" w:ascii="宋体" w:hAnsi="宋体" w:eastAsia="宋体" w:cs="A12+SimSun"/>
          <w:szCs w:val="21"/>
        </w:rPr>
        <w:t>而在于碳排放的</w:t>
      </w:r>
      <w:r>
        <w:rPr>
          <w:rFonts w:hint="eastAsia" w:ascii="宋体" w:hAnsi="宋体" w:eastAsia="宋体" w:cs="Arial Unicode MS"/>
          <w:szCs w:val="21"/>
        </w:rPr>
        <w:t>“</w:t>
      </w:r>
      <w:r>
        <w:rPr>
          <w:rFonts w:hint="eastAsia" w:ascii="宋体" w:hAnsi="宋体" w:eastAsia="宋体" w:cs="A12+SimSun"/>
          <w:szCs w:val="21"/>
        </w:rPr>
        <w:t>度”</w:t>
      </w:r>
      <w:r>
        <w:rPr>
          <w:rFonts w:hint="eastAsia" w:ascii="宋体" w:hAnsi="宋体" w:eastAsia="宋体" w:cs="宋体"/>
          <w:szCs w:val="21"/>
        </w:rPr>
        <w:t>。</w:t>
      </w:r>
    </w:p>
    <w:p w14:paraId="22A5B672">
      <w:pPr>
        <w:autoSpaceDE w:val="0"/>
        <w:autoSpaceDN w:val="0"/>
        <w:adjustRightInd w:val="0"/>
        <w:spacing w:line="400" w:lineRule="exact"/>
        <w:ind w:firstLine="420" w:firstLineChars="200"/>
        <w:rPr>
          <w:rFonts w:ascii="宋体" w:hAnsi="宋体" w:eastAsia="宋体" w:cs="黑体"/>
          <w:szCs w:val="21"/>
        </w:rPr>
      </w:pPr>
      <w:r>
        <w:rPr>
          <w:rFonts w:hint="eastAsia" w:ascii="宋体" w:hAnsi="宋体" w:eastAsia="宋体" w:cs="A12+SimSun"/>
          <w:szCs w:val="21"/>
        </w:rPr>
        <w:t>从上述对低碳经济概念的分析中</w:t>
      </w:r>
      <w:r>
        <w:rPr>
          <w:rFonts w:ascii="宋体" w:hAnsi="宋体" w:eastAsia="宋体" w:cs="A3+CAJ FNT00"/>
          <w:szCs w:val="21"/>
        </w:rPr>
        <w:t>，</w:t>
      </w:r>
      <w:r>
        <w:rPr>
          <w:rFonts w:hint="eastAsia" w:ascii="宋体" w:hAnsi="宋体" w:eastAsia="宋体" w:cs="A12+SimSun"/>
          <w:szCs w:val="21"/>
        </w:rPr>
        <w:t>我们不难发现其内在的逻辑规定</w:t>
      </w:r>
      <w:r>
        <w:rPr>
          <w:rFonts w:ascii="宋体" w:hAnsi="宋体" w:eastAsia="宋体" w:cs="A3+CAJ FNT00"/>
          <w:szCs w:val="21"/>
        </w:rPr>
        <w:t>：</w:t>
      </w:r>
      <w:r>
        <w:rPr>
          <w:rFonts w:hint="eastAsia" w:ascii="宋体" w:hAnsi="宋体" w:eastAsia="宋体" w:cs="A12+SimSun"/>
          <w:szCs w:val="21"/>
        </w:rPr>
        <w:t>设定自然系统客观地存在一个最大可容纳的二氧化碳含量</w:t>
      </w:r>
      <w:r>
        <w:rPr>
          <w:rFonts w:ascii="宋体" w:hAnsi="宋体" w:eastAsia="宋体" w:cs="A3+CAJ FNT00"/>
          <w:szCs w:val="21"/>
        </w:rPr>
        <w:t>，</w:t>
      </w:r>
      <w:r>
        <w:rPr>
          <w:rFonts w:hint="eastAsia" w:ascii="宋体" w:hAnsi="宋体" w:eastAsia="宋体" w:cs="A12+SimSun"/>
          <w:szCs w:val="21"/>
        </w:rPr>
        <w:t>如果要确保气候不至于逐渐变暖</w:t>
      </w:r>
      <w:r>
        <w:rPr>
          <w:rFonts w:ascii="宋体" w:hAnsi="宋体" w:eastAsia="宋体" w:cs="A3+CAJ FNT00"/>
          <w:szCs w:val="21"/>
        </w:rPr>
        <w:t>，</w:t>
      </w:r>
      <w:r>
        <w:rPr>
          <w:rFonts w:hint="eastAsia" w:ascii="宋体" w:hAnsi="宋体" w:eastAsia="宋体" w:cs="A12+SimSun"/>
          <w:szCs w:val="21"/>
        </w:rPr>
        <w:t>那么当时间趋于无穷大时</w:t>
      </w:r>
      <w:r>
        <w:rPr>
          <w:rFonts w:ascii="宋体" w:hAnsi="宋体" w:eastAsia="宋体" w:cs="A3+CAJ FNT00"/>
          <w:szCs w:val="21"/>
        </w:rPr>
        <w:t>，</w:t>
      </w:r>
      <w:r>
        <w:rPr>
          <w:rFonts w:hint="eastAsia" w:ascii="宋体" w:hAnsi="宋体" w:eastAsia="宋体" w:cs="A12+SimSun"/>
          <w:szCs w:val="21"/>
        </w:rPr>
        <w:t>人类经济活动累积排放的二氧化碳必须始终小于或等于最大可容纳的二氧化碳含量</w:t>
      </w:r>
      <w:r>
        <w:rPr>
          <w:rFonts w:ascii="宋体" w:hAnsi="宋体" w:eastAsia="宋体" w:cs="A3+CAJ FNT00"/>
          <w:szCs w:val="21"/>
        </w:rPr>
        <w:t>；</w:t>
      </w:r>
      <w:r>
        <w:rPr>
          <w:rFonts w:hint="eastAsia" w:ascii="宋体" w:hAnsi="宋体" w:eastAsia="宋体" w:cs="A12+SimSun"/>
          <w:szCs w:val="21"/>
        </w:rPr>
        <w:t>反之</w:t>
      </w:r>
      <w:r>
        <w:rPr>
          <w:rFonts w:ascii="宋体" w:hAnsi="宋体" w:eastAsia="宋体" w:cs="A3+CAJ FNT00"/>
          <w:szCs w:val="21"/>
        </w:rPr>
        <w:t>，</w:t>
      </w:r>
      <w:r>
        <w:rPr>
          <w:rFonts w:hint="eastAsia" w:ascii="宋体" w:hAnsi="宋体" w:eastAsia="宋体" w:cs="A12+SimSun"/>
          <w:szCs w:val="21"/>
        </w:rPr>
        <w:t>如果人类经济活动实际排放的二氧化碳超过自然系统最大可容纳的二氧化碳含量越多</w:t>
      </w:r>
      <w:r>
        <w:rPr>
          <w:rFonts w:ascii="宋体" w:hAnsi="宋体" w:eastAsia="宋体" w:cs="A3+CAJ FNT00"/>
          <w:szCs w:val="21"/>
        </w:rPr>
        <w:t>，</w:t>
      </w:r>
      <w:r>
        <w:rPr>
          <w:rFonts w:hint="eastAsia" w:ascii="宋体" w:hAnsi="宋体" w:eastAsia="宋体" w:cs="A12+SimSun"/>
          <w:szCs w:val="21"/>
        </w:rPr>
        <w:t>气候变暖的速度就越快</w:t>
      </w:r>
      <w:r>
        <w:rPr>
          <w:rFonts w:hint="eastAsia" w:ascii="宋体" w:hAnsi="宋体" w:eastAsia="宋体" w:cs="宋体"/>
          <w:szCs w:val="21"/>
        </w:rPr>
        <w:t>。</w:t>
      </w:r>
      <w:r>
        <w:rPr>
          <w:rFonts w:hint="eastAsia" w:ascii="宋体" w:hAnsi="宋体" w:eastAsia="宋体" w:cs="A12+SimSun"/>
          <w:szCs w:val="21"/>
        </w:rPr>
        <w:t>这样</w:t>
      </w:r>
      <w:r>
        <w:rPr>
          <w:rFonts w:ascii="宋体" w:hAnsi="宋体" w:eastAsia="宋体" w:cs="A3+CAJ FNT00"/>
          <w:szCs w:val="21"/>
        </w:rPr>
        <w:t>，</w:t>
      </w:r>
      <w:r>
        <w:rPr>
          <w:rFonts w:hint="eastAsia" w:ascii="宋体" w:hAnsi="宋体" w:eastAsia="宋体" w:cs="A12+SimSun"/>
          <w:szCs w:val="21"/>
        </w:rPr>
        <w:t>理论上的低碳经济就受到自然系统最大可容纳的二氧化碳含量这个刚性条件的约束</w:t>
      </w:r>
      <w:r>
        <w:rPr>
          <w:rFonts w:hint="eastAsia" w:ascii="宋体" w:hAnsi="宋体" w:eastAsia="宋体" w:cs="宋体"/>
          <w:szCs w:val="21"/>
        </w:rPr>
        <w:t>。</w:t>
      </w:r>
      <w:r>
        <w:rPr>
          <w:rFonts w:hint="eastAsia" w:ascii="宋体" w:hAnsi="宋体" w:eastAsia="宋体" w:cs="A12+SimSun"/>
          <w:szCs w:val="21"/>
        </w:rPr>
        <w:t>低碳经济与高碳经济相比</w:t>
      </w:r>
      <w:r>
        <w:rPr>
          <w:rFonts w:ascii="宋体" w:hAnsi="宋体" w:eastAsia="宋体" w:cs="A3+CAJ FNT00"/>
          <w:szCs w:val="21"/>
        </w:rPr>
        <w:t>，</w:t>
      </w:r>
      <w:r>
        <w:rPr>
          <w:rFonts w:hint="eastAsia" w:ascii="宋体" w:hAnsi="宋体" w:eastAsia="宋体" w:cs="A12+SimSun"/>
          <w:szCs w:val="21"/>
        </w:rPr>
        <w:t>唯一的区别就在于</w:t>
      </w:r>
      <w:r>
        <w:rPr>
          <w:rFonts w:ascii="宋体" w:hAnsi="宋体" w:eastAsia="宋体" w:cs="A3+CAJ FNT00"/>
          <w:szCs w:val="21"/>
        </w:rPr>
        <w:t>：</w:t>
      </w:r>
      <w:r>
        <w:rPr>
          <w:rFonts w:hint="eastAsia" w:ascii="宋体" w:hAnsi="宋体" w:eastAsia="宋体" w:cs="A12+SimSun"/>
          <w:szCs w:val="21"/>
        </w:rPr>
        <w:t>高碳经济不受这个刚性条件的约束</w:t>
      </w:r>
      <w:r>
        <w:rPr>
          <w:rFonts w:ascii="宋体" w:hAnsi="宋体" w:eastAsia="宋体" w:cs="A3+CAJ FNT00"/>
          <w:szCs w:val="21"/>
        </w:rPr>
        <w:t>，</w:t>
      </w:r>
      <w:r>
        <w:rPr>
          <w:rFonts w:hint="eastAsia" w:ascii="宋体" w:hAnsi="宋体" w:eastAsia="宋体" w:cs="A12+SimSun"/>
          <w:szCs w:val="21"/>
        </w:rPr>
        <w:t>而低碳经济则必须在这个约束条件下展开</w:t>
      </w:r>
      <w:r>
        <w:rPr>
          <w:rFonts w:ascii="宋体" w:hAnsi="宋体" w:eastAsia="宋体" w:cs="A12+SimSun"/>
          <w:szCs w:val="21"/>
        </w:rPr>
        <w:t>，</w:t>
      </w:r>
      <w:r>
        <w:rPr>
          <w:rFonts w:hint="eastAsia" w:ascii="宋体" w:hAnsi="宋体" w:eastAsia="宋体" w:cs="A12+SimSun"/>
          <w:szCs w:val="21"/>
        </w:rPr>
        <w:t>包括一切与经济活动相关联的制度安排</w:t>
      </w:r>
      <w:r>
        <w:rPr>
          <w:rFonts w:hint="eastAsia" w:ascii="宋体" w:hAnsi="宋体" w:eastAsia="宋体" w:cs="宋体"/>
          <w:szCs w:val="21"/>
        </w:rPr>
        <w:t>。</w:t>
      </w:r>
      <w:r>
        <w:rPr>
          <w:rFonts w:hint="eastAsia" w:ascii="宋体" w:hAnsi="宋体" w:eastAsia="宋体" w:cs="A12+SimSun"/>
          <w:szCs w:val="21"/>
        </w:rPr>
        <w:t>低碳经济从狭义上讲是要减少二氧化碳以应对气候变化对人类发展的挑战</w:t>
      </w:r>
      <w:r>
        <w:rPr>
          <w:rFonts w:ascii="宋体" w:hAnsi="宋体" w:eastAsia="宋体" w:cs="A12+SimSun"/>
          <w:szCs w:val="21"/>
        </w:rPr>
        <w:t>，</w:t>
      </w:r>
      <w:r>
        <w:rPr>
          <w:rFonts w:hint="eastAsia" w:ascii="宋体" w:hAnsi="宋体" w:eastAsia="宋体" w:cs="A12+SimSun"/>
          <w:szCs w:val="21"/>
        </w:rPr>
        <w:t>从广义上讲依然是要协调经济系统与自然系统之间的关系</w:t>
      </w:r>
      <w:r>
        <w:rPr>
          <w:rFonts w:hint="eastAsia" w:ascii="宋体" w:hAnsi="宋体" w:eastAsia="宋体" w:cs="宋体"/>
          <w:szCs w:val="21"/>
        </w:rPr>
        <w:t>。</w:t>
      </w:r>
    </w:p>
    <w:p w14:paraId="5D7426A3">
      <w:pPr>
        <w:autoSpaceDE w:val="0"/>
        <w:autoSpaceDN w:val="0"/>
        <w:spacing w:line="360" w:lineRule="auto"/>
        <w:ind w:firstLine="504"/>
        <w:jc w:val="center"/>
        <w:rPr>
          <w:rFonts w:ascii="宋体" w:hAnsi="宋体" w:eastAsia="宋体" w:cs="Times New Roman"/>
          <w:b/>
          <w:sz w:val="24"/>
        </w:rPr>
      </w:pPr>
      <w:r>
        <w:rPr>
          <w:rFonts w:hint="eastAsia" w:ascii="宋体" w:hAnsi="宋体" w:eastAsia="宋体" w:cs="Times New Roman"/>
          <w:b/>
          <w:sz w:val="24"/>
        </w:rPr>
        <w:t>二、低碳经济的理论模型及实现条件</w:t>
      </w:r>
    </w:p>
    <w:p w14:paraId="4BC4428C">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在马克思和恩格斯的自然力思想中早已包含了协调经济和自然之间关系的思想</w:t>
      </w:r>
      <w:r>
        <w:rPr>
          <w:rFonts w:ascii="宋体" w:hAnsi="宋体" w:eastAsia="宋体" w:cs="A12+SimSun"/>
          <w:szCs w:val="21"/>
        </w:rPr>
        <w:t>，</w:t>
      </w:r>
      <w:r>
        <w:rPr>
          <w:rFonts w:hint="eastAsia" w:ascii="宋体" w:hAnsi="宋体" w:eastAsia="宋体" w:cs="A12+SimSun"/>
          <w:szCs w:val="21"/>
        </w:rPr>
        <w:t>他们一开始就注意到了自然力与社会经济系统之间的辩证关系</w:t>
      </w:r>
      <w:r>
        <w:rPr>
          <w:rFonts w:hint="eastAsia" w:ascii="宋体" w:hAnsi="宋体" w:eastAsia="宋体" w:cs="宋体"/>
          <w:szCs w:val="21"/>
        </w:rPr>
        <w:t>。</w:t>
      </w:r>
      <w:r>
        <w:rPr>
          <w:rFonts w:hint="eastAsia" w:ascii="宋体" w:hAnsi="宋体" w:eastAsia="宋体" w:cs="A12+SimSun"/>
          <w:szCs w:val="21"/>
        </w:rPr>
        <w:t>例如</w:t>
      </w:r>
      <w:r>
        <w:rPr>
          <w:rFonts w:ascii="宋体" w:hAnsi="宋体" w:eastAsia="宋体" w:cs="A12+SimSun"/>
          <w:szCs w:val="21"/>
        </w:rPr>
        <w:t>，</w:t>
      </w:r>
      <w:r>
        <w:rPr>
          <w:rFonts w:hint="eastAsia" w:ascii="宋体" w:hAnsi="宋体" w:eastAsia="宋体" w:cs="A12+SimSun"/>
          <w:szCs w:val="21"/>
        </w:rPr>
        <w:t>马克思指出自然力对生产力的正向作用</w:t>
      </w:r>
      <w:r>
        <w:rPr>
          <w:rFonts w:ascii="宋体" w:hAnsi="宋体" w:eastAsia="宋体" w:cs="A12+SimSun"/>
          <w:szCs w:val="21"/>
        </w:rPr>
        <w:t>：</w:t>
      </w:r>
      <w:r>
        <w:rPr>
          <w:rFonts w:hint="eastAsia" w:ascii="宋体" w:hAnsi="宋体" w:eastAsia="宋体" w:cs="Arial Unicode MS"/>
          <w:szCs w:val="21"/>
        </w:rPr>
        <w:t>“</w:t>
      </w:r>
      <w:r>
        <w:rPr>
          <w:rFonts w:hint="eastAsia" w:ascii="宋体" w:hAnsi="宋体" w:eastAsia="宋体" w:cs="A12+SimSun"/>
          <w:szCs w:val="21"/>
        </w:rPr>
        <w:t>自然力不是超额利润的源泉</w:t>
      </w:r>
      <w:r>
        <w:rPr>
          <w:rFonts w:ascii="宋体" w:hAnsi="宋体" w:eastAsia="宋体" w:cs="A12+SimSun"/>
          <w:szCs w:val="21"/>
        </w:rPr>
        <w:t>，</w:t>
      </w:r>
      <w:r>
        <w:rPr>
          <w:rFonts w:hint="eastAsia" w:ascii="宋体" w:hAnsi="宋体" w:eastAsia="宋体" w:cs="A12+SimSun"/>
          <w:szCs w:val="21"/>
        </w:rPr>
        <w:t>而只是超额利润的一种自然基础</w:t>
      </w:r>
      <w:r>
        <w:rPr>
          <w:rFonts w:ascii="宋体" w:hAnsi="宋体" w:eastAsia="宋体" w:cs="A12+SimSun"/>
          <w:szCs w:val="21"/>
        </w:rPr>
        <w:t>，</w:t>
      </w:r>
      <w:r>
        <w:rPr>
          <w:rFonts w:hint="eastAsia" w:ascii="宋体" w:hAnsi="宋体" w:eastAsia="宋体" w:cs="A12+SimSun"/>
          <w:szCs w:val="21"/>
        </w:rPr>
        <w:t>因为它是特别高的劳动生产力的自然基础</w:t>
      </w:r>
      <w:r>
        <w:rPr>
          <w:rFonts w:hint="eastAsia" w:ascii="宋体" w:hAnsi="宋体" w:eastAsia="宋体" w:cs="宋体"/>
          <w:szCs w:val="21"/>
        </w:rPr>
        <w:t>。</w:t>
      </w:r>
      <w:r>
        <w:rPr>
          <w:rFonts w:hint="eastAsia" w:ascii="宋体" w:hAnsi="宋体" w:eastAsia="宋体" w:cs="A5+cajcd fnta1"/>
          <w:szCs w:val="21"/>
        </w:rPr>
        <w:t>”</w:t>
      </w:r>
      <w:r>
        <w:rPr>
          <w:rFonts w:ascii="宋体" w:hAnsi="宋体" w:eastAsia="宋体" w:cs="A5+cajcd fnta1"/>
          <w:szCs w:val="21"/>
          <w:vertAlign w:val="superscript"/>
        </w:rPr>
        <w:footnoteReference w:id="530"/>
      </w:r>
      <w:r>
        <w:rPr>
          <w:rFonts w:hint="eastAsia" w:ascii="宋体" w:hAnsi="宋体" w:eastAsia="宋体" w:cs="A12+SimSun"/>
          <w:szCs w:val="21"/>
        </w:rPr>
        <w:t>同时</w:t>
      </w:r>
      <w:r>
        <w:rPr>
          <w:rFonts w:ascii="宋体" w:hAnsi="宋体" w:eastAsia="宋体" w:cs="A12+SimSun"/>
          <w:szCs w:val="21"/>
        </w:rPr>
        <w:t>，</w:t>
      </w:r>
      <w:r>
        <w:rPr>
          <w:rFonts w:hint="eastAsia" w:ascii="宋体" w:hAnsi="宋体" w:eastAsia="宋体" w:cs="A12+SimSun"/>
          <w:szCs w:val="21"/>
        </w:rPr>
        <w:t>恩格斯指出了自然力对社会经济系统的负向作用</w:t>
      </w:r>
      <w:r>
        <w:rPr>
          <w:rFonts w:ascii="宋体" w:hAnsi="宋体" w:eastAsia="宋体" w:cs="A12+SimSun"/>
          <w:szCs w:val="21"/>
        </w:rPr>
        <w:t>：</w:t>
      </w:r>
      <w:r>
        <w:rPr>
          <w:rFonts w:hint="eastAsia" w:ascii="宋体" w:hAnsi="宋体" w:eastAsia="宋体" w:cs="Arial Unicode MS"/>
          <w:szCs w:val="21"/>
        </w:rPr>
        <w:t>“</w:t>
      </w:r>
      <w:r>
        <w:rPr>
          <w:rFonts w:hint="eastAsia" w:ascii="宋体" w:hAnsi="宋体" w:eastAsia="宋体" w:cs="A12+SimSun"/>
          <w:szCs w:val="21"/>
        </w:rPr>
        <w:t>如果说人靠科学和创造天才征服了自然力</w:t>
      </w:r>
      <w:r>
        <w:rPr>
          <w:rFonts w:ascii="宋体" w:hAnsi="宋体" w:eastAsia="宋体" w:cs="A12+SimSun"/>
          <w:szCs w:val="21"/>
        </w:rPr>
        <w:t>，</w:t>
      </w:r>
      <w:r>
        <w:rPr>
          <w:rFonts w:hint="eastAsia" w:ascii="宋体" w:hAnsi="宋体" w:eastAsia="宋体" w:cs="A12+SimSun"/>
          <w:szCs w:val="21"/>
        </w:rPr>
        <w:t>那末自然力也对人进行报复</w:t>
      </w:r>
      <w:r>
        <w:rPr>
          <w:rFonts w:ascii="宋体" w:hAnsi="宋体" w:eastAsia="宋体" w:cs="A12+SimSun"/>
          <w:szCs w:val="21"/>
        </w:rPr>
        <w:t>，</w:t>
      </w:r>
      <w:r>
        <w:rPr>
          <w:rFonts w:hint="eastAsia" w:ascii="宋体" w:hAnsi="宋体" w:eastAsia="宋体" w:cs="A12+SimSun"/>
          <w:szCs w:val="21"/>
        </w:rPr>
        <w:t>按他利用自然力的程度使他服从一种真正的专制</w:t>
      </w:r>
      <w:r>
        <w:rPr>
          <w:rFonts w:ascii="宋体" w:hAnsi="宋体" w:eastAsia="宋体" w:cs="A12+SimSun"/>
          <w:szCs w:val="21"/>
        </w:rPr>
        <w:t>，</w:t>
      </w:r>
      <w:r>
        <w:rPr>
          <w:rFonts w:hint="eastAsia" w:ascii="宋体" w:hAnsi="宋体" w:eastAsia="宋体" w:cs="A12+SimSun"/>
          <w:szCs w:val="21"/>
        </w:rPr>
        <w:t>而不管社会组织怎样。”</w:t>
      </w:r>
      <w:r>
        <w:rPr>
          <w:rFonts w:ascii="宋体" w:hAnsi="宋体" w:eastAsia="宋体" w:cs="A5+cajcd fnta1"/>
          <w:szCs w:val="21"/>
          <w:vertAlign w:val="superscript"/>
        </w:rPr>
        <w:footnoteReference w:id="531"/>
      </w:r>
      <w:r>
        <w:rPr>
          <w:rFonts w:hint="eastAsia" w:ascii="宋体" w:hAnsi="宋体" w:eastAsia="宋体" w:cs="A12+SimSun"/>
          <w:szCs w:val="21"/>
        </w:rPr>
        <w:t>这意味着在马克思和恩格斯的方法论中</w:t>
      </w:r>
      <w:r>
        <w:rPr>
          <w:rFonts w:ascii="宋体" w:hAnsi="宋体" w:eastAsia="宋体" w:cs="A12+SimSun"/>
          <w:szCs w:val="21"/>
        </w:rPr>
        <w:t>，</w:t>
      </w:r>
      <w:r>
        <w:rPr>
          <w:rFonts w:hint="eastAsia" w:ascii="宋体" w:hAnsi="宋体" w:eastAsia="宋体" w:cs="A12+SimSun"/>
          <w:szCs w:val="21"/>
        </w:rPr>
        <w:t>其实早已内含了关于自然力对社会经济系统两个方面的作用的结论</w:t>
      </w:r>
      <w:r>
        <w:rPr>
          <w:rFonts w:ascii="宋体" w:hAnsi="宋体" w:eastAsia="宋体" w:cs="A12+SimSun"/>
          <w:szCs w:val="21"/>
        </w:rPr>
        <w:t>，</w:t>
      </w:r>
      <w:r>
        <w:rPr>
          <w:rFonts w:hint="eastAsia" w:ascii="宋体" w:hAnsi="宋体" w:eastAsia="宋体" w:cs="A12+SimSun"/>
          <w:szCs w:val="21"/>
        </w:rPr>
        <w:t>只不过马克思在建立他的政治经济学理论体系的时候</w:t>
      </w:r>
      <w:r>
        <w:rPr>
          <w:rFonts w:ascii="宋体" w:hAnsi="宋体" w:eastAsia="宋体" w:cs="A12+SimSun"/>
          <w:szCs w:val="21"/>
        </w:rPr>
        <w:t>，</w:t>
      </w:r>
      <w:r>
        <w:rPr>
          <w:rFonts w:hint="eastAsia" w:ascii="宋体" w:hAnsi="宋体" w:eastAsia="宋体" w:cs="A12+SimSun"/>
          <w:szCs w:val="21"/>
        </w:rPr>
        <w:t>是以资本主义生产方式及其与之相适应的生产关系和交换关系为研究对象的</w:t>
      </w:r>
      <w:r>
        <w:rPr>
          <w:rFonts w:ascii="宋体" w:hAnsi="宋体" w:eastAsia="宋体" w:cs="A12+SimSun"/>
          <w:szCs w:val="21"/>
        </w:rPr>
        <w:t>，</w:t>
      </w:r>
      <w:r>
        <w:rPr>
          <w:rFonts w:hint="eastAsia" w:ascii="宋体" w:hAnsi="宋体" w:eastAsia="宋体" w:cs="A12+SimSun"/>
          <w:szCs w:val="21"/>
        </w:rPr>
        <w:t>而资本主义生产方式的天然本质是以最大限度地榨取剩余价值为目的</w:t>
      </w:r>
      <w:r>
        <w:rPr>
          <w:rFonts w:hint="eastAsia" w:ascii="宋体" w:hAnsi="宋体" w:eastAsia="宋体" w:cs="宋体"/>
          <w:szCs w:val="21"/>
        </w:rPr>
        <w:t>。</w:t>
      </w:r>
      <w:r>
        <w:rPr>
          <w:rFonts w:hint="eastAsia" w:ascii="宋体" w:hAnsi="宋体" w:eastAsia="宋体" w:cs="A12+SimSun"/>
          <w:szCs w:val="21"/>
        </w:rPr>
        <w:t>因此</w:t>
      </w:r>
      <w:r>
        <w:rPr>
          <w:rFonts w:ascii="宋体" w:hAnsi="宋体" w:eastAsia="宋体" w:cs="A12+SimSun"/>
          <w:szCs w:val="21"/>
        </w:rPr>
        <w:t>，</w:t>
      </w:r>
      <w:r>
        <w:rPr>
          <w:rFonts w:hint="eastAsia" w:ascii="宋体" w:hAnsi="宋体" w:eastAsia="宋体" w:cs="A12+SimSun"/>
          <w:szCs w:val="21"/>
        </w:rPr>
        <w:t>马克思的触角没有涉及生产的另一种无效率</w:t>
      </w:r>
      <w:r>
        <w:rPr>
          <w:rFonts w:hint="eastAsia" w:ascii="宋体" w:hAnsi="宋体" w:eastAsia="宋体" w:cs="A5+cajcd fnta1"/>
          <w:szCs w:val="21"/>
        </w:rPr>
        <w:t>——</w:t>
      </w:r>
      <w:r>
        <w:rPr>
          <w:rFonts w:hint="eastAsia" w:ascii="宋体" w:hAnsi="宋体" w:eastAsia="宋体" w:cs="A12+SimSun"/>
          <w:szCs w:val="21"/>
        </w:rPr>
        <w:t>对自然系统的破坏</w:t>
      </w:r>
      <w:r>
        <w:rPr>
          <w:rFonts w:ascii="宋体" w:hAnsi="宋体" w:eastAsia="宋体" w:cs="A12+SimSun"/>
          <w:szCs w:val="21"/>
        </w:rPr>
        <w:t>，</w:t>
      </w:r>
      <w:r>
        <w:rPr>
          <w:rFonts w:hint="eastAsia" w:ascii="宋体" w:hAnsi="宋体" w:eastAsia="宋体" w:cs="A12+SimSun"/>
          <w:szCs w:val="21"/>
        </w:rPr>
        <w:t>有其历史的必然性</w:t>
      </w:r>
      <w:r>
        <w:rPr>
          <w:rFonts w:hint="eastAsia" w:ascii="宋体" w:hAnsi="宋体" w:eastAsia="宋体" w:cs="宋体"/>
          <w:szCs w:val="21"/>
        </w:rPr>
        <w:t>。</w:t>
      </w:r>
      <w:r>
        <w:rPr>
          <w:rFonts w:hint="eastAsia" w:ascii="宋体" w:hAnsi="宋体" w:eastAsia="宋体" w:cs="A12+SimSun"/>
          <w:szCs w:val="21"/>
        </w:rPr>
        <w:t>在正统的政治经济学框架内</w:t>
      </w:r>
      <w:r>
        <w:rPr>
          <w:rFonts w:ascii="宋体" w:hAnsi="宋体" w:eastAsia="宋体" w:cs="A12+SimSun"/>
          <w:szCs w:val="21"/>
        </w:rPr>
        <w:t>，</w:t>
      </w:r>
      <w:r>
        <w:rPr>
          <w:rFonts w:hint="eastAsia" w:ascii="宋体" w:hAnsi="宋体" w:eastAsia="宋体" w:cs="A12+SimSun"/>
          <w:szCs w:val="21"/>
        </w:rPr>
        <w:t>自然力仅仅是人类社会经济活动的自然基础</w:t>
      </w:r>
      <w:r>
        <w:rPr>
          <w:rFonts w:ascii="宋体" w:hAnsi="宋体" w:eastAsia="宋体" w:cs="A12+SimSun"/>
          <w:szCs w:val="21"/>
        </w:rPr>
        <w:t>，</w:t>
      </w:r>
      <w:r>
        <w:rPr>
          <w:rFonts w:hint="eastAsia" w:ascii="宋体" w:hAnsi="宋体" w:eastAsia="宋体" w:cs="A12+SimSun"/>
          <w:szCs w:val="21"/>
        </w:rPr>
        <w:t>是一个不费分文</w:t>
      </w:r>
      <w:r>
        <w:rPr>
          <w:rFonts w:hint="eastAsia" w:ascii="宋体" w:hAnsi="宋体" w:eastAsia="宋体" w:cs="宋体"/>
          <w:szCs w:val="21"/>
        </w:rPr>
        <w:t>、</w:t>
      </w:r>
      <w:r>
        <w:rPr>
          <w:rFonts w:hint="eastAsia" w:ascii="宋体" w:hAnsi="宋体" w:eastAsia="宋体" w:cs="A12+SimSun"/>
          <w:szCs w:val="21"/>
        </w:rPr>
        <w:t>免费向经济系统提供可利用资源的系统</w:t>
      </w:r>
      <w:r>
        <w:rPr>
          <w:rFonts w:ascii="宋体" w:hAnsi="宋体" w:eastAsia="宋体" w:cs="A12+SimSun"/>
          <w:szCs w:val="21"/>
        </w:rPr>
        <w:t>，</w:t>
      </w:r>
      <w:r>
        <w:rPr>
          <w:rFonts w:hint="eastAsia" w:ascii="宋体" w:hAnsi="宋体" w:eastAsia="宋体" w:cs="A12+SimSun"/>
          <w:szCs w:val="21"/>
        </w:rPr>
        <w:t>它还没有建立起自然力与经济系统之间双向</w:t>
      </w:r>
      <w:r>
        <w:rPr>
          <w:rFonts w:hint="eastAsia" w:ascii="宋体" w:hAnsi="宋体" w:eastAsia="宋体" w:cs="宋体"/>
          <w:szCs w:val="21"/>
        </w:rPr>
        <w:t>、</w:t>
      </w:r>
      <w:r>
        <w:rPr>
          <w:rFonts w:hint="eastAsia" w:ascii="宋体" w:hAnsi="宋体" w:eastAsia="宋体" w:cs="A12+SimSun"/>
          <w:szCs w:val="21"/>
        </w:rPr>
        <w:t>互促</w:t>
      </w:r>
      <w:r>
        <w:rPr>
          <w:rFonts w:hint="eastAsia" w:ascii="宋体" w:hAnsi="宋体" w:eastAsia="宋体" w:cs="宋体"/>
          <w:szCs w:val="21"/>
        </w:rPr>
        <w:t>、</w:t>
      </w:r>
      <w:r>
        <w:rPr>
          <w:rFonts w:hint="eastAsia" w:ascii="宋体" w:hAnsi="宋体" w:eastAsia="宋体" w:cs="A12+SimSun"/>
          <w:szCs w:val="21"/>
        </w:rPr>
        <w:t>彼此约束和制衡的合理关系</w:t>
      </w:r>
      <w:r>
        <w:rPr>
          <w:rFonts w:hint="eastAsia" w:ascii="宋体" w:hAnsi="宋体" w:eastAsia="宋体" w:cs="宋体"/>
          <w:szCs w:val="21"/>
        </w:rPr>
        <w:t>。</w:t>
      </w:r>
    </w:p>
    <w:p w14:paraId="2EF579F2">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在现代经济系统中的</w:t>
      </w:r>
      <w:r>
        <w:rPr>
          <w:rFonts w:hint="eastAsia" w:ascii="宋体" w:hAnsi="宋体" w:eastAsia="宋体" w:cs="Arial Unicode MS"/>
          <w:szCs w:val="21"/>
        </w:rPr>
        <w:t>“</w:t>
      </w:r>
      <w:r>
        <w:rPr>
          <w:rFonts w:hint="eastAsia" w:ascii="宋体" w:hAnsi="宋体" w:eastAsia="宋体" w:cs="A12+SimSun"/>
          <w:szCs w:val="21"/>
        </w:rPr>
        <w:t>马克思条件”已经发生了根本的变化</w:t>
      </w:r>
      <w:r>
        <w:rPr>
          <w:rFonts w:hint="eastAsia" w:ascii="宋体" w:hAnsi="宋体" w:eastAsia="宋体" w:cs="宋体"/>
          <w:szCs w:val="21"/>
        </w:rPr>
        <w:t>。</w:t>
      </w:r>
      <w:r>
        <w:rPr>
          <w:rFonts w:hint="eastAsia" w:ascii="宋体" w:hAnsi="宋体" w:eastAsia="宋体" w:cs="A12+SimSun"/>
          <w:szCs w:val="21"/>
        </w:rPr>
        <w:t>自</w:t>
      </w:r>
      <w:r>
        <w:rPr>
          <w:rFonts w:ascii="宋体" w:hAnsi="宋体" w:eastAsia="宋体" w:cs="A12+SimSun"/>
          <w:szCs w:val="21"/>
        </w:rPr>
        <w:t>18</w:t>
      </w:r>
      <w:r>
        <w:rPr>
          <w:rFonts w:hint="eastAsia" w:ascii="宋体" w:hAnsi="宋体" w:eastAsia="宋体" w:cs="A12+SimSun"/>
          <w:szCs w:val="21"/>
        </w:rPr>
        <w:t>世纪中期以来</w:t>
      </w:r>
      <w:r>
        <w:rPr>
          <w:rFonts w:ascii="宋体" w:hAnsi="宋体" w:eastAsia="宋体" w:cs="A12+SimSun"/>
          <w:szCs w:val="21"/>
        </w:rPr>
        <w:t>，</w:t>
      </w:r>
      <w:r>
        <w:rPr>
          <w:rFonts w:hint="eastAsia" w:ascii="宋体" w:hAnsi="宋体" w:eastAsia="宋体" w:cs="A12+SimSun"/>
          <w:szCs w:val="21"/>
        </w:rPr>
        <w:t>自然系统受到的损害要比整个史前时代造成的损害还要大</w:t>
      </w:r>
      <w:r>
        <w:rPr>
          <w:rFonts w:ascii="宋体" w:hAnsi="宋体" w:eastAsia="宋体" w:cs="A12+SimSun"/>
          <w:szCs w:val="21"/>
        </w:rPr>
        <w:t>，</w:t>
      </w:r>
      <w:r>
        <w:rPr>
          <w:rFonts w:hint="eastAsia" w:ascii="宋体" w:hAnsi="宋体" w:eastAsia="宋体" w:cs="A12+SimSun"/>
          <w:szCs w:val="21"/>
        </w:rPr>
        <w:t>在大工业生产体系达到一个前所未有的高度</w:t>
      </w:r>
      <w:r>
        <w:rPr>
          <w:rFonts w:hint="eastAsia" w:ascii="宋体" w:hAnsi="宋体" w:eastAsia="宋体" w:cs="宋体"/>
          <w:szCs w:val="21"/>
        </w:rPr>
        <w:t>、</w:t>
      </w:r>
      <w:r>
        <w:rPr>
          <w:rFonts w:hint="eastAsia" w:ascii="宋体" w:hAnsi="宋体" w:eastAsia="宋体" w:cs="A12+SimSun"/>
          <w:szCs w:val="21"/>
        </w:rPr>
        <w:t>集聚和累积人造资本的成就达到史无前例的顶峰时</w:t>
      </w:r>
      <w:r>
        <w:rPr>
          <w:rFonts w:ascii="宋体" w:hAnsi="宋体" w:eastAsia="宋体" w:cs="A12+SimSun"/>
          <w:szCs w:val="21"/>
        </w:rPr>
        <w:t>，</w:t>
      </w:r>
      <w:r>
        <w:rPr>
          <w:rFonts w:hint="eastAsia" w:ascii="宋体" w:hAnsi="宋体" w:eastAsia="宋体" w:cs="A12+SimSun"/>
          <w:szCs w:val="21"/>
        </w:rPr>
        <w:t>人类赖以创造物质文明的自然基础正在急剧发生变化</w:t>
      </w:r>
      <w:r>
        <w:rPr>
          <w:rFonts w:ascii="宋体" w:hAnsi="宋体" w:eastAsia="宋体" w:cs="A12+SimSun"/>
          <w:szCs w:val="21"/>
        </w:rPr>
        <w:t>，</w:t>
      </w:r>
      <w:r>
        <w:rPr>
          <w:rFonts w:hint="eastAsia" w:ascii="宋体" w:hAnsi="宋体" w:eastAsia="宋体" w:cs="A12+SimSun"/>
          <w:szCs w:val="21"/>
        </w:rPr>
        <w:t>自然系统被破坏的速率比物质财富增长的速率要快得多</w:t>
      </w:r>
      <w:r>
        <w:rPr>
          <w:rFonts w:hint="eastAsia" w:ascii="宋体" w:hAnsi="宋体" w:eastAsia="宋体" w:cs="宋体"/>
          <w:szCs w:val="21"/>
        </w:rPr>
        <w:t>。</w:t>
      </w:r>
      <w:r>
        <w:rPr>
          <w:rFonts w:hint="eastAsia" w:ascii="宋体" w:hAnsi="宋体" w:eastAsia="宋体" w:cs="A12+SimSun"/>
          <w:szCs w:val="21"/>
        </w:rPr>
        <w:t>在过去半个多世纪中</w:t>
      </w:r>
      <w:r>
        <w:rPr>
          <w:rFonts w:ascii="宋体" w:hAnsi="宋体" w:eastAsia="宋体" w:cs="A12+SimSun"/>
          <w:szCs w:val="21"/>
        </w:rPr>
        <w:t>，</w:t>
      </w:r>
      <w:r>
        <w:rPr>
          <w:rFonts w:hint="eastAsia" w:ascii="宋体" w:hAnsi="宋体" w:eastAsia="宋体" w:cs="A12+SimSun"/>
          <w:szCs w:val="21"/>
        </w:rPr>
        <w:t>全球已经丧失了</w:t>
      </w:r>
      <w:r>
        <w:rPr>
          <w:rFonts w:ascii="宋体" w:hAnsi="宋体" w:eastAsia="宋体" w:cs="A12+SimSun"/>
          <w:szCs w:val="21"/>
        </w:rPr>
        <w:t>1/4</w:t>
      </w:r>
      <w:r>
        <w:rPr>
          <w:rFonts w:hint="eastAsia" w:ascii="宋体" w:hAnsi="宋体" w:eastAsia="宋体" w:cs="A12+SimSun"/>
          <w:szCs w:val="21"/>
        </w:rPr>
        <w:t>的表层土和</w:t>
      </w:r>
      <w:r>
        <w:rPr>
          <w:rFonts w:ascii="宋体" w:hAnsi="宋体" w:eastAsia="宋体" w:cs="A12+SimSun"/>
          <w:szCs w:val="21"/>
        </w:rPr>
        <w:t>1/3</w:t>
      </w:r>
      <w:r>
        <w:rPr>
          <w:rFonts w:hint="eastAsia" w:ascii="宋体" w:hAnsi="宋体" w:eastAsia="宋体" w:cs="A12+SimSun"/>
          <w:szCs w:val="21"/>
        </w:rPr>
        <w:t>的森林覆盖</w:t>
      </w:r>
      <w:r>
        <w:rPr>
          <w:rFonts w:hint="eastAsia" w:ascii="宋体" w:hAnsi="宋体" w:eastAsia="宋体" w:cs="宋体"/>
          <w:szCs w:val="21"/>
        </w:rPr>
        <w:t>。</w:t>
      </w:r>
      <w:r>
        <w:rPr>
          <w:rFonts w:hint="eastAsia" w:ascii="宋体" w:hAnsi="宋体" w:eastAsia="宋体" w:cs="A12+SimSun"/>
          <w:szCs w:val="21"/>
        </w:rPr>
        <w:t>在过去</w:t>
      </w:r>
      <w:r>
        <w:rPr>
          <w:rFonts w:ascii="宋体" w:hAnsi="宋体" w:eastAsia="宋体" w:cs="A12+SimSun"/>
          <w:szCs w:val="21"/>
        </w:rPr>
        <w:t>30</w:t>
      </w:r>
      <w:r>
        <w:rPr>
          <w:rFonts w:hint="eastAsia" w:ascii="宋体" w:hAnsi="宋体" w:eastAsia="宋体" w:cs="A12+SimSun"/>
          <w:szCs w:val="21"/>
        </w:rPr>
        <w:t>年中</w:t>
      </w:r>
      <w:r>
        <w:rPr>
          <w:rFonts w:ascii="宋体" w:hAnsi="宋体" w:eastAsia="宋体" w:cs="A12+SimSun"/>
          <w:szCs w:val="21"/>
        </w:rPr>
        <w:t>，</w:t>
      </w:r>
      <w:r>
        <w:rPr>
          <w:rFonts w:hint="eastAsia" w:ascii="宋体" w:hAnsi="宋体" w:eastAsia="宋体" w:cs="A12+SimSun"/>
          <w:szCs w:val="21"/>
        </w:rPr>
        <w:t>地球上</w:t>
      </w:r>
      <w:r>
        <w:rPr>
          <w:rFonts w:ascii="宋体" w:hAnsi="宋体" w:eastAsia="宋体" w:cs="A12+SimSun"/>
          <w:szCs w:val="21"/>
        </w:rPr>
        <w:t>1/3</w:t>
      </w:r>
      <w:r>
        <w:rPr>
          <w:rFonts w:hint="eastAsia" w:ascii="宋体" w:hAnsi="宋体" w:eastAsia="宋体" w:cs="A12+SimSun"/>
          <w:szCs w:val="21"/>
        </w:rPr>
        <w:t>的资源</w:t>
      </w:r>
      <w:r>
        <w:rPr>
          <w:rFonts w:hint="eastAsia" w:ascii="宋体" w:hAnsi="宋体" w:eastAsia="宋体" w:cs="A5+cajcd fnta1"/>
          <w:szCs w:val="21"/>
        </w:rPr>
        <w:t>——</w:t>
      </w:r>
      <w:r>
        <w:rPr>
          <w:rFonts w:hint="eastAsia" w:ascii="宋体" w:hAnsi="宋体" w:eastAsia="宋体" w:cs="A12+SimSun"/>
          <w:szCs w:val="21"/>
        </w:rPr>
        <w:t>自然财富已经消耗殆尽</w:t>
      </w:r>
      <w:r>
        <w:rPr>
          <w:rFonts w:ascii="宋体" w:hAnsi="宋体" w:eastAsia="宋体" w:cs="A12+SimSun"/>
          <w:szCs w:val="21"/>
        </w:rPr>
        <w:t>，</w:t>
      </w:r>
      <w:r>
        <w:rPr>
          <w:rFonts w:hint="eastAsia" w:ascii="宋体" w:hAnsi="宋体" w:eastAsia="宋体" w:cs="A12+SimSun"/>
          <w:szCs w:val="21"/>
        </w:rPr>
        <w:t>我们正在以每年</w:t>
      </w:r>
      <w:r>
        <w:rPr>
          <w:rFonts w:ascii="宋体" w:hAnsi="宋体" w:eastAsia="宋体" w:cs="A12+SimSun"/>
          <w:szCs w:val="21"/>
        </w:rPr>
        <w:t>6%</w:t>
      </w:r>
      <w:r>
        <w:rPr>
          <w:rFonts w:hint="eastAsia" w:ascii="宋体" w:hAnsi="宋体" w:eastAsia="宋体" w:cs="A12+SimSun"/>
          <w:szCs w:val="21"/>
        </w:rPr>
        <w:t>的速度失去淡水生态系统</w:t>
      </w:r>
      <w:r>
        <w:rPr>
          <w:rFonts w:hint="eastAsia" w:ascii="宋体" w:hAnsi="宋体" w:eastAsia="宋体" w:cs="宋体"/>
          <w:szCs w:val="21"/>
        </w:rPr>
        <w:t>、</w:t>
      </w:r>
      <w:r>
        <w:rPr>
          <w:rFonts w:hint="eastAsia" w:ascii="宋体" w:hAnsi="宋体" w:eastAsia="宋体" w:cs="A12+SimSun"/>
          <w:szCs w:val="21"/>
        </w:rPr>
        <w:t>以每年</w:t>
      </w:r>
      <w:r>
        <w:rPr>
          <w:rFonts w:ascii="宋体" w:hAnsi="宋体" w:eastAsia="宋体" w:cs="A12+SimSun"/>
          <w:szCs w:val="21"/>
        </w:rPr>
        <w:t>4%</w:t>
      </w:r>
      <w:r>
        <w:rPr>
          <w:rFonts w:hint="eastAsia" w:ascii="宋体" w:hAnsi="宋体" w:eastAsia="宋体" w:cs="A12+SimSun"/>
          <w:szCs w:val="21"/>
        </w:rPr>
        <w:t>的速度失去海洋生态系统</w:t>
      </w:r>
      <w:r>
        <w:rPr>
          <w:rFonts w:hint="eastAsia" w:ascii="宋体" w:hAnsi="宋体" w:eastAsia="宋体" w:cs="宋体"/>
          <w:szCs w:val="21"/>
        </w:rPr>
        <w:t>。</w:t>
      </w:r>
      <w:r>
        <w:rPr>
          <w:rFonts w:ascii="宋体" w:hAnsi="宋体" w:eastAsia="宋体" w:cs="A5+cajcd fnta1"/>
          <w:szCs w:val="21"/>
          <w:vertAlign w:val="superscript"/>
        </w:rPr>
        <w:footnoteReference w:id="532"/>
      </w:r>
      <w:r>
        <w:rPr>
          <w:rFonts w:hint="eastAsia" w:ascii="宋体" w:hAnsi="宋体" w:eastAsia="宋体" w:cs="A12+SimSun"/>
          <w:szCs w:val="21"/>
        </w:rPr>
        <w:t>全世界每一种生命系统的衰退正在不断加速</w:t>
      </w:r>
      <w:r>
        <w:rPr>
          <w:rFonts w:ascii="宋体" w:hAnsi="宋体" w:eastAsia="宋体" w:cs="A12+SimSun"/>
          <w:szCs w:val="21"/>
        </w:rPr>
        <w:t>，</w:t>
      </w:r>
      <w:r>
        <w:rPr>
          <w:rFonts w:hint="eastAsia" w:ascii="宋体" w:hAnsi="宋体" w:eastAsia="宋体" w:cs="A12+SimSun"/>
          <w:szCs w:val="21"/>
        </w:rPr>
        <w:t>并已经开始失去维持生命过程的能力</w:t>
      </w:r>
      <w:r>
        <w:rPr>
          <w:rFonts w:ascii="宋体" w:hAnsi="宋体" w:eastAsia="宋体" w:cs="A12+SimSun"/>
          <w:szCs w:val="21"/>
        </w:rPr>
        <w:t>，</w:t>
      </w:r>
      <w:r>
        <w:rPr>
          <w:rFonts w:hint="eastAsia" w:ascii="宋体" w:hAnsi="宋体" w:eastAsia="宋体" w:cs="A12+SimSun"/>
          <w:szCs w:val="21"/>
        </w:rPr>
        <w:t>这些都是马克思所处的时代没有发生的</w:t>
      </w:r>
      <w:r>
        <w:rPr>
          <w:rFonts w:ascii="宋体" w:hAnsi="宋体" w:eastAsia="宋体" w:cs="A12+SimSun"/>
          <w:szCs w:val="21"/>
        </w:rPr>
        <w:t>，</w:t>
      </w:r>
      <w:r>
        <w:rPr>
          <w:rFonts w:hint="eastAsia" w:ascii="宋体" w:hAnsi="宋体" w:eastAsia="宋体" w:cs="A12+SimSun"/>
          <w:szCs w:val="21"/>
        </w:rPr>
        <w:t>也是社会再生产过程的马克思条件没有包含在内的</w:t>
      </w:r>
      <w:r>
        <w:rPr>
          <w:rFonts w:hint="eastAsia" w:ascii="宋体" w:hAnsi="宋体" w:eastAsia="宋体" w:cs="宋体"/>
          <w:szCs w:val="21"/>
        </w:rPr>
        <w:t>。</w:t>
      </w:r>
      <w:r>
        <w:rPr>
          <w:rFonts w:hint="eastAsia" w:ascii="宋体" w:hAnsi="宋体" w:eastAsia="宋体" w:cs="A12+SimSun"/>
          <w:szCs w:val="21"/>
        </w:rPr>
        <w:t>因此</w:t>
      </w:r>
      <w:r>
        <w:rPr>
          <w:rFonts w:ascii="宋体" w:hAnsi="宋体" w:eastAsia="宋体" w:cs="A12+SimSun"/>
          <w:szCs w:val="21"/>
        </w:rPr>
        <w:t>，</w:t>
      </w:r>
      <w:r>
        <w:rPr>
          <w:rFonts w:hint="eastAsia" w:ascii="宋体" w:hAnsi="宋体" w:eastAsia="宋体" w:cs="A12+SimSun"/>
          <w:szCs w:val="21"/>
        </w:rPr>
        <w:t>我们需要建立新的模型来理解自然系统与经济系统之间的关系</w:t>
      </w:r>
      <w:r>
        <w:rPr>
          <w:rFonts w:ascii="宋体" w:hAnsi="宋体" w:eastAsia="宋体" w:cs="A12+SimSun"/>
          <w:szCs w:val="21"/>
        </w:rPr>
        <w:t>，</w:t>
      </w:r>
      <w:r>
        <w:rPr>
          <w:rFonts w:hint="eastAsia" w:ascii="宋体" w:hAnsi="宋体" w:eastAsia="宋体" w:cs="A12+SimSun"/>
          <w:szCs w:val="21"/>
        </w:rPr>
        <w:t>从而揭示低碳经济的内在逻辑</w:t>
      </w:r>
      <w:r>
        <w:rPr>
          <w:rFonts w:hint="eastAsia" w:ascii="宋体" w:hAnsi="宋体" w:eastAsia="宋体" w:cs="宋体"/>
          <w:szCs w:val="21"/>
        </w:rPr>
        <w:t>。</w:t>
      </w:r>
    </w:p>
    <w:p w14:paraId="7B0A6BA8">
      <w:pPr>
        <w:autoSpaceDE w:val="0"/>
        <w:autoSpaceDN w:val="0"/>
        <w:adjustRightInd w:val="0"/>
        <w:spacing w:line="400" w:lineRule="exact"/>
        <w:ind w:firstLine="420" w:firstLineChars="200"/>
        <w:rPr>
          <w:rFonts w:ascii="宋体" w:hAnsi="宋体" w:eastAsia="宋体" w:cs="A12+SimSun"/>
          <w:b/>
          <w:szCs w:val="21"/>
        </w:rPr>
      </w:pPr>
      <w:r>
        <w:rPr>
          <w:rFonts w:ascii="宋体" w:hAnsi="宋体" w:eastAsia="宋体" w:cs="A12+SimSun"/>
          <w:b/>
          <w:szCs w:val="21"/>
        </w:rPr>
        <w:t>（</w:t>
      </w:r>
      <w:r>
        <w:rPr>
          <w:rFonts w:hint="eastAsia" w:ascii="宋体" w:hAnsi="宋体" w:eastAsia="宋体" w:cs="A9+楷体"/>
          <w:b/>
          <w:szCs w:val="21"/>
        </w:rPr>
        <w:t>一</w:t>
      </w:r>
      <w:r>
        <w:rPr>
          <w:rFonts w:ascii="宋体" w:hAnsi="宋体" w:eastAsia="宋体" w:cs="A12+SimSun"/>
          <w:b/>
          <w:szCs w:val="21"/>
        </w:rPr>
        <w:t>）</w:t>
      </w:r>
      <w:r>
        <w:rPr>
          <w:rFonts w:hint="eastAsia" w:ascii="宋体" w:hAnsi="宋体" w:eastAsia="宋体" w:cs="A9+楷体"/>
          <w:b/>
          <w:szCs w:val="21"/>
        </w:rPr>
        <w:t>低碳经济模型的基本假定</w:t>
      </w:r>
    </w:p>
    <w:p w14:paraId="6C7761CD">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第一</w:t>
      </w:r>
      <w:r>
        <w:rPr>
          <w:rFonts w:ascii="宋体" w:hAnsi="宋体" w:eastAsia="宋体" w:cs="A12+SimSun"/>
          <w:szCs w:val="21"/>
        </w:rPr>
        <w:t>，</w:t>
      </w:r>
      <w:r>
        <w:rPr>
          <w:rFonts w:hint="eastAsia" w:ascii="宋体" w:hAnsi="宋体" w:eastAsia="宋体" w:cs="A12+SimSun"/>
          <w:szCs w:val="21"/>
        </w:rPr>
        <w:t>人类的全部经济活动可以抽象为生产活动和消费活动</w:t>
      </w:r>
      <w:r>
        <w:rPr>
          <w:rFonts w:ascii="宋体" w:hAnsi="宋体" w:eastAsia="宋体" w:cs="A12+SimSun"/>
          <w:szCs w:val="21"/>
        </w:rPr>
        <w:t>，</w:t>
      </w:r>
      <w:r>
        <w:rPr>
          <w:rFonts w:hint="eastAsia" w:ascii="宋体" w:hAnsi="宋体" w:eastAsia="宋体" w:cs="A12+SimSun"/>
          <w:szCs w:val="21"/>
        </w:rPr>
        <w:t>生产活动不仅输出产品产出</w:t>
      </w:r>
      <w:r>
        <w:rPr>
          <w:rFonts w:ascii="宋体" w:hAnsi="宋体" w:eastAsia="宋体" w:cs="A12+SimSun"/>
          <w:szCs w:val="21"/>
        </w:rPr>
        <w:t>，</w:t>
      </w:r>
      <w:r>
        <w:rPr>
          <w:rFonts w:hint="eastAsia" w:ascii="宋体" w:hAnsi="宋体" w:eastAsia="宋体" w:cs="A12+SimSun"/>
          <w:szCs w:val="21"/>
        </w:rPr>
        <w:t>各种有使用价值的可用资源</w:t>
      </w:r>
      <w:r>
        <w:rPr>
          <w:rFonts w:ascii="宋体" w:hAnsi="宋体" w:eastAsia="宋体" w:cs="A12+SimSun"/>
          <w:szCs w:val="21"/>
        </w:rPr>
        <w:t>，</w:t>
      </w:r>
      <w:r>
        <w:rPr>
          <w:rFonts w:hint="eastAsia" w:ascii="宋体" w:hAnsi="宋体" w:eastAsia="宋体" w:cs="A12+SimSun"/>
          <w:szCs w:val="21"/>
        </w:rPr>
        <w:t>同时也输出非产品产出</w:t>
      </w:r>
      <w:r>
        <w:rPr>
          <w:rFonts w:ascii="宋体" w:hAnsi="宋体" w:eastAsia="宋体" w:cs="A12+SimSun"/>
          <w:szCs w:val="21"/>
        </w:rPr>
        <w:t>，</w:t>
      </w:r>
      <w:r>
        <w:rPr>
          <w:rFonts w:hint="eastAsia" w:ascii="宋体" w:hAnsi="宋体" w:eastAsia="宋体" w:cs="A12+SimSun"/>
          <w:szCs w:val="21"/>
        </w:rPr>
        <w:t>即全部未转化为有效产品和服务的废弃物排放</w:t>
      </w:r>
      <w:r>
        <w:rPr>
          <w:rFonts w:hint="eastAsia" w:ascii="宋体" w:hAnsi="宋体" w:eastAsia="宋体" w:cs="宋体"/>
          <w:szCs w:val="21"/>
        </w:rPr>
        <w:t>。</w:t>
      </w:r>
      <w:r>
        <w:rPr>
          <w:rFonts w:hint="eastAsia" w:ascii="宋体" w:hAnsi="宋体" w:eastAsia="宋体" w:cs="A12+SimSun"/>
          <w:szCs w:val="21"/>
        </w:rPr>
        <w:t>同样</w:t>
      </w:r>
      <w:r>
        <w:rPr>
          <w:rFonts w:ascii="宋体" w:hAnsi="宋体" w:eastAsia="宋体" w:cs="A12+SimSun"/>
          <w:szCs w:val="21"/>
        </w:rPr>
        <w:t>，</w:t>
      </w:r>
      <w:r>
        <w:rPr>
          <w:rFonts w:hint="eastAsia" w:ascii="宋体" w:hAnsi="宋体" w:eastAsia="宋体" w:cs="A12+SimSun"/>
          <w:szCs w:val="21"/>
        </w:rPr>
        <w:t>消费活动不仅使消费主体获得满足</w:t>
      </w:r>
      <w:r>
        <w:rPr>
          <w:rFonts w:ascii="宋体" w:hAnsi="宋体" w:eastAsia="宋体" w:cs="A12+SimSun"/>
          <w:szCs w:val="21"/>
        </w:rPr>
        <w:t>，</w:t>
      </w:r>
      <w:r>
        <w:rPr>
          <w:rFonts w:hint="eastAsia" w:ascii="宋体" w:hAnsi="宋体" w:eastAsia="宋体" w:cs="A12+SimSun"/>
          <w:szCs w:val="21"/>
        </w:rPr>
        <w:t>也在消费过程中输出各种没有转化为营养和能量的各种排放</w:t>
      </w:r>
      <w:r>
        <w:rPr>
          <w:rFonts w:ascii="宋体" w:hAnsi="宋体" w:eastAsia="宋体" w:cs="A12+SimSun"/>
          <w:szCs w:val="21"/>
        </w:rPr>
        <w:t>，</w:t>
      </w:r>
      <w:r>
        <w:rPr>
          <w:rFonts w:hint="eastAsia" w:ascii="宋体" w:hAnsi="宋体" w:eastAsia="宋体" w:cs="A12+SimSun"/>
          <w:szCs w:val="21"/>
        </w:rPr>
        <w:t>如生活垃圾等</w:t>
      </w:r>
      <w:r>
        <w:rPr>
          <w:rFonts w:hint="eastAsia" w:ascii="宋体" w:hAnsi="宋体" w:eastAsia="宋体" w:cs="宋体"/>
          <w:szCs w:val="21"/>
        </w:rPr>
        <w:t>。</w:t>
      </w:r>
      <w:r>
        <w:rPr>
          <w:rFonts w:hint="eastAsia" w:ascii="宋体" w:hAnsi="宋体" w:eastAsia="宋体" w:cs="A12+SimSun"/>
          <w:szCs w:val="21"/>
        </w:rPr>
        <w:t>因此</w:t>
      </w:r>
      <w:r>
        <w:rPr>
          <w:rFonts w:ascii="宋体" w:hAnsi="宋体" w:eastAsia="宋体" w:cs="A12+SimSun"/>
          <w:szCs w:val="21"/>
        </w:rPr>
        <w:t>，</w:t>
      </w:r>
      <w:r>
        <w:rPr>
          <w:rFonts w:hint="eastAsia" w:ascii="宋体" w:hAnsi="宋体" w:eastAsia="宋体" w:cs="A12+SimSun"/>
          <w:szCs w:val="21"/>
        </w:rPr>
        <w:t>我们将全部生产活动和消费活动产生的有害物质抽象为人类经济活动排放的二氧化碳</w:t>
      </w:r>
      <w:r>
        <w:rPr>
          <w:rFonts w:hint="eastAsia" w:ascii="宋体" w:hAnsi="宋体" w:eastAsia="宋体" w:cs="宋体"/>
          <w:szCs w:val="21"/>
        </w:rPr>
        <w:t>。</w:t>
      </w:r>
    </w:p>
    <w:p w14:paraId="35E99AA2">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第二</w:t>
      </w:r>
      <w:r>
        <w:rPr>
          <w:rFonts w:ascii="宋体" w:hAnsi="宋体" w:eastAsia="宋体" w:cs="A12+SimSun"/>
          <w:szCs w:val="21"/>
        </w:rPr>
        <w:t>，</w:t>
      </w:r>
      <w:r>
        <w:rPr>
          <w:rFonts w:hint="eastAsia" w:ascii="宋体" w:hAnsi="宋体" w:eastAsia="宋体" w:cs="A12+SimSun"/>
          <w:szCs w:val="21"/>
        </w:rPr>
        <w:t>厂商是生产活动的执行主体</w:t>
      </w:r>
      <w:r>
        <w:rPr>
          <w:rFonts w:ascii="宋体" w:hAnsi="宋体" w:eastAsia="宋体" w:cs="A12+SimSun"/>
          <w:szCs w:val="21"/>
        </w:rPr>
        <w:t>，</w:t>
      </w:r>
      <w:r>
        <w:rPr>
          <w:rFonts w:hint="eastAsia" w:ascii="宋体" w:hAnsi="宋体" w:eastAsia="宋体" w:cs="A12+SimSun"/>
          <w:szCs w:val="21"/>
        </w:rPr>
        <w:t>家庭是消费活动的执行主体</w:t>
      </w:r>
      <w:r>
        <w:rPr>
          <w:rFonts w:ascii="宋体" w:hAnsi="宋体" w:eastAsia="宋体" w:cs="A12+SimSun"/>
          <w:szCs w:val="21"/>
        </w:rPr>
        <w:t>（</w:t>
      </w:r>
      <w:r>
        <w:rPr>
          <w:rFonts w:hint="eastAsia" w:ascii="宋体" w:hAnsi="宋体" w:eastAsia="宋体" w:cs="A12+SimSun"/>
          <w:szCs w:val="21"/>
        </w:rPr>
        <w:t>当然个人</w:t>
      </w:r>
      <w:r>
        <w:rPr>
          <w:rFonts w:hint="eastAsia" w:ascii="宋体" w:hAnsi="宋体" w:eastAsia="宋体" w:cs="宋体"/>
          <w:szCs w:val="21"/>
        </w:rPr>
        <w:t>、</w:t>
      </w:r>
      <w:r>
        <w:rPr>
          <w:rFonts w:hint="eastAsia" w:ascii="宋体" w:hAnsi="宋体" w:eastAsia="宋体" w:cs="A12+SimSun"/>
          <w:szCs w:val="21"/>
        </w:rPr>
        <w:t>团体</w:t>
      </w:r>
      <w:r>
        <w:rPr>
          <w:rFonts w:hint="eastAsia" w:ascii="宋体" w:hAnsi="宋体" w:eastAsia="宋体" w:cs="宋体"/>
          <w:szCs w:val="21"/>
        </w:rPr>
        <w:t>、</w:t>
      </w:r>
      <w:r>
        <w:rPr>
          <w:rFonts w:hint="eastAsia" w:ascii="宋体" w:hAnsi="宋体" w:eastAsia="宋体" w:cs="A12+SimSun"/>
          <w:szCs w:val="21"/>
        </w:rPr>
        <w:t>政府组织和非政府组织等都是事实上的消费活动的执行主体</w:t>
      </w:r>
      <w:r>
        <w:rPr>
          <w:rFonts w:ascii="宋体" w:hAnsi="宋体" w:eastAsia="宋体" w:cs="A12+SimSun"/>
          <w:szCs w:val="21"/>
        </w:rPr>
        <w:t>，</w:t>
      </w:r>
      <w:r>
        <w:rPr>
          <w:rFonts w:hint="eastAsia" w:ascii="宋体" w:hAnsi="宋体" w:eastAsia="宋体" w:cs="A12+SimSun"/>
          <w:szCs w:val="21"/>
        </w:rPr>
        <w:t>这里为简化起见</w:t>
      </w:r>
      <w:r>
        <w:rPr>
          <w:rFonts w:ascii="宋体" w:hAnsi="宋体" w:eastAsia="宋体" w:cs="A12+SimSun"/>
          <w:szCs w:val="21"/>
        </w:rPr>
        <w:t>，</w:t>
      </w:r>
      <w:r>
        <w:rPr>
          <w:rFonts w:hint="eastAsia" w:ascii="宋体" w:hAnsi="宋体" w:eastAsia="宋体" w:cs="A12+SimSun"/>
          <w:szCs w:val="21"/>
        </w:rPr>
        <w:t>都归并到家庭之中</w:t>
      </w:r>
      <w:r>
        <w:rPr>
          <w:rFonts w:ascii="宋体" w:hAnsi="宋体" w:eastAsia="宋体" w:cs="A12+SimSun"/>
          <w:szCs w:val="21"/>
        </w:rPr>
        <w:t>）</w:t>
      </w:r>
      <w:r>
        <w:rPr>
          <w:rFonts w:hint="eastAsia" w:ascii="宋体" w:hAnsi="宋体" w:eastAsia="宋体" w:cs="宋体"/>
          <w:szCs w:val="21"/>
        </w:rPr>
        <w:t>。</w:t>
      </w:r>
      <w:r>
        <w:rPr>
          <w:rFonts w:hint="eastAsia" w:ascii="宋体" w:hAnsi="宋体" w:eastAsia="宋体" w:cs="A12+SimSun"/>
          <w:szCs w:val="21"/>
        </w:rPr>
        <w:t>第三</w:t>
      </w:r>
      <w:r>
        <w:rPr>
          <w:rFonts w:ascii="宋体" w:hAnsi="宋体" w:eastAsia="宋体" w:cs="A12+SimSun"/>
          <w:szCs w:val="21"/>
        </w:rPr>
        <w:t>，</w:t>
      </w:r>
      <w:r>
        <w:rPr>
          <w:rFonts w:hint="eastAsia" w:ascii="宋体" w:hAnsi="宋体" w:eastAsia="宋体" w:cs="A12+SimSun"/>
          <w:szCs w:val="21"/>
        </w:rPr>
        <w:t>自然系统是一个有限系统</w:t>
      </w:r>
      <w:r>
        <w:rPr>
          <w:rFonts w:ascii="宋体" w:hAnsi="宋体" w:eastAsia="宋体" w:cs="A12+SimSun"/>
          <w:szCs w:val="21"/>
        </w:rPr>
        <w:t>，</w:t>
      </w:r>
      <w:r>
        <w:rPr>
          <w:rFonts w:hint="eastAsia" w:ascii="宋体" w:hAnsi="宋体" w:eastAsia="宋体" w:cs="A12+SimSun"/>
          <w:szCs w:val="21"/>
        </w:rPr>
        <w:t>即它提供经济生产和服务生产的能力也是有限的</w:t>
      </w:r>
      <w:r>
        <w:rPr>
          <w:rFonts w:ascii="宋体" w:hAnsi="宋体" w:eastAsia="宋体" w:cs="A12+SimSun"/>
          <w:szCs w:val="21"/>
        </w:rPr>
        <w:t>，</w:t>
      </w:r>
      <w:r>
        <w:rPr>
          <w:rFonts w:hint="eastAsia" w:ascii="宋体" w:hAnsi="宋体" w:eastAsia="宋体" w:cs="A12+SimSun"/>
          <w:szCs w:val="21"/>
        </w:rPr>
        <w:t>承载生产活动和消费活动对其施加的压力的能力是有限的</w:t>
      </w:r>
      <w:r>
        <w:rPr>
          <w:rFonts w:hint="eastAsia" w:ascii="宋体" w:hAnsi="宋体" w:eastAsia="宋体" w:cs="宋体"/>
          <w:szCs w:val="21"/>
        </w:rPr>
        <w:t>。</w:t>
      </w:r>
    </w:p>
    <w:p w14:paraId="136808BE">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第四</w:t>
      </w:r>
      <w:r>
        <w:rPr>
          <w:rFonts w:ascii="宋体" w:hAnsi="宋体" w:eastAsia="宋体" w:cs="A12+SimSun"/>
          <w:szCs w:val="21"/>
        </w:rPr>
        <w:t>，</w:t>
      </w:r>
      <w:r>
        <w:rPr>
          <w:rFonts w:hint="eastAsia" w:ascii="宋体" w:hAnsi="宋体" w:eastAsia="宋体" w:cs="A12+SimSun"/>
          <w:szCs w:val="21"/>
        </w:rPr>
        <w:t>生产函数和消费函数是增函数</w:t>
      </w:r>
      <w:r>
        <w:rPr>
          <w:rFonts w:hint="eastAsia" w:ascii="宋体" w:hAnsi="宋体" w:eastAsia="宋体" w:cs="宋体"/>
          <w:szCs w:val="21"/>
        </w:rPr>
        <w:t>。</w:t>
      </w:r>
    </w:p>
    <w:p w14:paraId="05EF9F64">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第五</w:t>
      </w:r>
      <w:r>
        <w:rPr>
          <w:rFonts w:ascii="宋体" w:hAnsi="宋体" w:eastAsia="宋体" w:cs="A12+SimSun"/>
          <w:szCs w:val="21"/>
        </w:rPr>
        <w:t>，</w:t>
      </w:r>
      <w:r>
        <w:rPr>
          <w:rFonts w:hint="eastAsia" w:ascii="宋体" w:hAnsi="宋体" w:eastAsia="宋体" w:cs="A12+SimSun"/>
          <w:szCs w:val="21"/>
        </w:rPr>
        <w:t>自然系统中存在一个最大二氧化碳可排放量</w:t>
      </w:r>
      <w:r>
        <w:rPr>
          <w:rFonts w:ascii="宋体" w:hAnsi="宋体" w:eastAsia="宋体" w:cs="A12+SimSun"/>
          <w:szCs w:val="21"/>
        </w:rPr>
        <w:t>，</w:t>
      </w:r>
      <w:r>
        <w:rPr>
          <w:rFonts w:hint="eastAsia" w:ascii="宋体" w:hAnsi="宋体" w:eastAsia="宋体" w:cs="A12+SimSun"/>
          <w:szCs w:val="21"/>
        </w:rPr>
        <w:t>这是一个客观存在的量度</w:t>
      </w:r>
      <w:r>
        <w:rPr>
          <w:rFonts w:hint="eastAsia" w:ascii="宋体" w:hAnsi="宋体" w:eastAsia="宋体" w:cs="宋体"/>
          <w:szCs w:val="21"/>
        </w:rPr>
        <w:t>。</w:t>
      </w:r>
      <w:r>
        <w:rPr>
          <w:rFonts w:hint="eastAsia" w:ascii="宋体" w:hAnsi="宋体" w:eastAsia="宋体" w:cs="A12+SimSun"/>
          <w:szCs w:val="21"/>
        </w:rPr>
        <w:t>生产和消费累积产生的二氧化碳如果始终小于这个客观的量度</w:t>
      </w:r>
      <w:r>
        <w:rPr>
          <w:rFonts w:ascii="宋体" w:hAnsi="宋体" w:eastAsia="宋体" w:cs="A12+SimSun"/>
          <w:szCs w:val="21"/>
        </w:rPr>
        <w:t>，</w:t>
      </w:r>
      <w:r>
        <w:rPr>
          <w:rFonts w:hint="eastAsia" w:ascii="宋体" w:hAnsi="宋体" w:eastAsia="宋体" w:cs="A12+SimSun"/>
          <w:szCs w:val="21"/>
        </w:rPr>
        <w:t>则不会对气候变化产生影响</w:t>
      </w:r>
      <w:r>
        <w:rPr>
          <w:rFonts w:ascii="宋体" w:hAnsi="宋体" w:eastAsia="宋体" w:cs="A12+SimSun"/>
          <w:szCs w:val="21"/>
        </w:rPr>
        <w:t>，</w:t>
      </w:r>
      <w:r>
        <w:rPr>
          <w:rFonts w:hint="eastAsia" w:ascii="宋体" w:hAnsi="宋体" w:eastAsia="宋体" w:cs="A12+SimSun"/>
          <w:szCs w:val="21"/>
        </w:rPr>
        <w:t>反之会引起气候发生变化</w:t>
      </w:r>
      <w:r>
        <w:rPr>
          <w:rFonts w:hint="eastAsia" w:ascii="宋体" w:hAnsi="宋体" w:eastAsia="宋体" w:cs="宋体"/>
          <w:szCs w:val="21"/>
        </w:rPr>
        <w:t>。</w:t>
      </w:r>
    </w:p>
    <w:p w14:paraId="6A9D832A">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第六</w:t>
      </w:r>
      <w:r>
        <w:rPr>
          <w:rFonts w:ascii="宋体" w:hAnsi="宋体" w:eastAsia="宋体" w:cs="A12+SimSun"/>
          <w:szCs w:val="21"/>
        </w:rPr>
        <w:t>，</w:t>
      </w:r>
      <w:r>
        <w:rPr>
          <w:rFonts w:hint="eastAsia" w:ascii="宋体" w:hAnsi="宋体" w:eastAsia="宋体" w:cs="A12+SimSun"/>
          <w:szCs w:val="21"/>
        </w:rPr>
        <w:t>经济系统是一个开放系统。</w:t>
      </w:r>
    </w:p>
    <w:p w14:paraId="1CA561A0">
      <w:pPr>
        <w:autoSpaceDE w:val="0"/>
        <w:autoSpaceDN w:val="0"/>
        <w:adjustRightInd w:val="0"/>
        <w:spacing w:line="400" w:lineRule="exact"/>
        <w:ind w:firstLine="420" w:firstLineChars="200"/>
        <w:rPr>
          <w:rFonts w:ascii="宋体" w:hAnsi="宋体" w:eastAsia="宋体" w:cs="A12+SimSun"/>
          <w:b/>
          <w:szCs w:val="21"/>
        </w:rPr>
      </w:pPr>
      <w:r>
        <w:rPr>
          <w:rFonts w:ascii="宋体" w:hAnsi="宋体" w:eastAsia="宋体" w:cs="A12+SimSun"/>
          <w:b/>
          <w:szCs w:val="21"/>
        </w:rPr>
        <w:t>（</w:t>
      </w:r>
      <w:r>
        <w:rPr>
          <w:rFonts w:hint="eastAsia" w:ascii="宋体" w:hAnsi="宋体" w:eastAsia="宋体" w:cs="A12+SimSun"/>
          <w:b/>
          <w:szCs w:val="21"/>
        </w:rPr>
        <w:t>二</w:t>
      </w:r>
      <w:r>
        <w:rPr>
          <w:rFonts w:ascii="宋体" w:hAnsi="宋体" w:eastAsia="宋体" w:cs="A12+SimSun"/>
          <w:b/>
          <w:szCs w:val="21"/>
        </w:rPr>
        <w:t>）</w:t>
      </w:r>
      <w:r>
        <w:rPr>
          <w:rFonts w:hint="eastAsia" w:ascii="宋体" w:hAnsi="宋体" w:eastAsia="宋体" w:cs="A12+SimSun"/>
          <w:b/>
          <w:szCs w:val="21"/>
        </w:rPr>
        <w:t>低碳经济的基本模型</w:t>
      </w:r>
    </w:p>
    <w:p w14:paraId="5D58A3D3">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在上述基本假定条件下</w:t>
      </w:r>
      <w:r>
        <w:rPr>
          <w:rFonts w:ascii="宋体" w:hAnsi="宋体" w:eastAsia="宋体" w:cs="A12+SimSun"/>
          <w:szCs w:val="21"/>
        </w:rPr>
        <w:t>，</w:t>
      </w:r>
      <w:r>
        <w:rPr>
          <w:rFonts w:hint="eastAsia" w:ascii="宋体" w:hAnsi="宋体" w:eastAsia="宋体" w:cs="A12+SimSun"/>
          <w:szCs w:val="21"/>
        </w:rPr>
        <w:t>我们可以建立一个低碳经济的基本模型。设生产活动的产品产出用</w:t>
      </w:r>
      <w:r>
        <w:rPr>
          <w:rFonts w:ascii="宋体" w:hAnsi="宋体" w:eastAsia="宋体" w:cs="A12+SimSun"/>
          <w:szCs w:val="21"/>
        </w:rPr>
        <w:t>Y</w:t>
      </w:r>
      <w:r>
        <w:rPr>
          <w:rFonts w:hint="eastAsia" w:ascii="宋体" w:hAnsi="宋体" w:eastAsia="宋体" w:cs="A12+SimSun"/>
          <w:szCs w:val="21"/>
        </w:rPr>
        <w:t>表示</w:t>
      </w:r>
      <w:r>
        <w:rPr>
          <w:rFonts w:ascii="宋体" w:hAnsi="宋体" w:eastAsia="宋体" w:cs="A12+SimSun"/>
          <w:szCs w:val="21"/>
        </w:rPr>
        <w:t>；</w:t>
      </w:r>
      <w:r>
        <w:rPr>
          <w:rFonts w:hint="eastAsia" w:ascii="宋体" w:hAnsi="宋体" w:eastAsia="宋体" w:cs="A12+SimSun"/>
          <w:szCs w:val="21"/>
        </w:rPr>
        <w:t>生产活动产生的二氧化碳用</w:t>
      </w:r>
      <w:r>
        <w:rPr>
          <w:rFonts w:ascii="宋体" w:hAnsi="宋体" w:eastAsia="宋体" w:cs="A12+SimSun"/>
          <w:position w:val="-14"/>
          <w:szCs w:val="21"/>
        </w:rPr>
        <w:object>
          <v:shape id="_x0000_i1216" o:spt="75" type="#_x0000_t75" style="height:20.25pt;width:20.25pt;" o:ole="t" filled="f" o:preferrelative="t" stroked="f" coordsize="21600,21600">
            <v:path/>
            <v:fill on="f" focussize="0,0"/>
            <v:stroke on="f" joinstyle="miter"/>
            <v:imagedata r:id="rId152" o:title=""/>
            <o:lock v:ext="edit" aspectratio="t"/>
            <w10:wrap type="none"/>
            <w10:anchorlock/>
          </v:shape>
          <o:OLEObject Type="Embed" ProgID="Equation.3" ShapeID="_x0000_i1216" DrawAspect="Content" ObjectID="_1468075791" r:id="rId151">
            <o:LockedField>false</o:LockedField>
          </o:OLEObject>
        </w:object>
      </w:r>
      <w:r>
        <w:rPr>
          <w:rFonts w:hint="eastAsia" w:ascii="宋体" w:hAnsi="宋体" w:eastAsia="宋体" w:cs="A12+SimSun"/>
          <w:szCs w:val="21"/>
        </w:rPr>
        <w:t>表示</w:t>
      </w:r>
      <w:r>
        <w:rPr>
          <w:rFonts w:ascii="宋体" w:hAnsi="宋体" w:eastAsia="宋体" w:cs="A12+SimSun"/>
          <w:szCs w:val="21"/>
        </w:rPr>
        <w:t>；</w:t>
      </w:r>
      <w:r>
        <w:rPr>
          <w:rFonts w:hint="eastAsia" w:ascii="宋体" w:hAnsi="宋体" w:eastAsia="宋体" w:cs="A12+SimSun"/>
          <w:szCs w:val="21"/>
        </w:rPr>
        <w:t>消费活动可用消费函数</w:t>
      </w:r>
      <w:r>
        <w:rPr>
          <w:rFonts w:ascii="宋体" w:hAnsi="宋体" w:eastAsia="宋体" w:cs="A12+SimSun"/>
          <w:szCs w:val="21"/>
        </w:rPr>
        <w:t>C</w:t>
      </w:r>
      <w:r>
        <w:rPr>
          <w:rFonts w:hint="eastAsia" w:ascii="宋体" w:hAnsi="宋体" w:eastAsia="宋体" w:cs="A12+SimSun"/>
          <w:szCs w:val="21"/>
        </w:rPr>
        <w:t>表示</w:t>
      </w:r>
      <w:r>
        <w:rPr>
          <w:rFonts w:ascii="宋体" w:hAnsi="宋体" w:eastAsia="宋体" w:cs="A12+SimSun"/>
          <w:szCs w:val="21"/>
        </w:rPr>
        <w:t>，</w:t>
      </w:r>
      <w:r>
        <w:rPr>
          <w:rFonts w:hint="eastAsia" w:ascii="宋体" w:hAnsi="宋体" w:eastAsia="宋体" w:cs="A12+SimSun"/>
          <w:szCs w:val="21"/>
        </w:rPr>
        <w:t>消费活动产生的二氧化碳排放量用</w:t>
      </w:r>
      <w:r>
        <w:rPr>
          <w:rFonts w:ascii="宋体" w:hAnsi="宋体" w:eastAsia="宋体" w:cs="A12+SimSun"/>
          <w:position w:val="-14"/>
          <w:szCs w:val="21"/>
        </w:rPr>
        <w:object>
          <v:shape id="_x0000_i1217" o:spt="75" type="#_x0000_t75" style="height:20.25pt;width:22.5pt;" o:ole="t" filled="f" o:preferrelative="t" stroked="f" coordsize="21600,21600">
            <v:path/>
            <v:fill on="f" focussize="0,0"/>
            <v:stroke on="f" joinstyle="miter"/>
            <v:imagedata r:id="rId154" o:title=""/>
            <o:lock v:ext="edit" aspectratio="t"/>
            <w10:wrap type="none"/>
            <w10:anchorlock/>
          </v:shape>
          <o:OLEObject Type="Embed" ProgID="Equation.3" ShapeID="_x0000_i1217" DrawAspect="Content" ObjectID="_1468075792" r:id="rId153">
            <o:LockedField>false</o:LockedField>
          </o:OLEObject>
        </w:object>
      </w:r>
      <w:r>
        <w:rPr>
          <w:rFonts w:hint="eastAsia" w:ascii="宋体" w:hAnsi="宋体" w:eastAsia="宋体" w:cs="A12+SimSun"/>
          <w:szCs w:val="21"/>
        </w:rPr>
        <w:t>表示</w:t>
      </w:r>
      <w:r>
        <w:rPr>
          <w:rFonts w:ascii="宋体" w:hAnsi="宋体" w:eastAsia="宋体" w:cs="A12+SimSun"/>
          <w:szCs w:val="21"/>
        </w:rPr>
        <w:t>；</w:t>
      </w:r>
      <w:r>
        <w:rPr>
          <w:rFonts w:hint="eastAsia" w:ascii="宋体" w:hAnsi="宋体" w:eastAsia="宋体" w:cs="A12+SimSun"/>
          <w:szCs w:val="21"/>
        </w:rPr>
        <w:t>生产活动和消费活动产生的二氧化碳排放总量用</w:t>
      </w:r>
      <w:r>
        <w:rPr>
          <w:rFonts w:ascii="宋体" w:hAnsi="宋体" w:eastAsia="宋体" w:cs="A12+SimSun"/>
          <w:position w:val="-14"/>
          <w:szCs w:val="21"/>
        </w:rPr>
        <w:object>
          <v:shape id="_x0000_i1218" o:spt="75" type="#_x0000_t75" style="height:20.25pt;width:20.25pt;" o:ole="t" filled="f" o:preferrelative="t" stroked="f" coordsize="21600,21600">
            <v:path/>
            <v:fill on="f" focussize="0,0"/>
            <v:stroke on="f" joinstyle="miter"/>
            <v:imagedata r:id="rId156" o:title=""/>
            <o:lock v:ext="edit" aspectratio="t"/>
            <w10:wrap type="none"/>
            <w10:anchorlock/>
          </v:shape>
          <o:OLEObject Type="Embed" ProgID="Equation.3" ShapeID="_x0000_i1218" DrawAspect="Content" ObjectID="_1468075793" r:id="rId155">
            <o:LockedField>false</o:LockedField>
          </o:OLEObject>
        </w:object>
      </w:r>
      <w:r>
        <w:rPr>
          <w:rFonts w:hint="eastAsia" w:ascii="宋体" w:hAnsi="宋体" w:eastAsia="宋体" w:cs="A12+SimSun"/>
          <w:szCs w:val="21"/>
        </w:rPr>
        <w:t>表示</w:t>
      </w:r>
      <w:r>
        <w:rPr>
          <w:rFonts w:ascii="宋体" w:hAnsi="宋体" w:eastAsia="宋体" w:cs="A12+SimSun"/>
          <w:szCs w:val="21"/>
        </w:rPr>
        <w:t>，</w:t>
      </w:r>
      <w:r>
        <w:rPr>
          <w:rFonts w:hint="eastAsia" w:ascii="宋体" w:hAnsi="宋体" w:eastAsia="宋体" w:cs="A12+SimSun"/>
          <w:szCs w:val="21"/>
        </w:rPr>
        <w:t>于是就有</w:t>
      </w:r>
      <w:r>
        <w:rPr>
          <w:rFonts w:ascii="宋体" w:hAnsi="宋体" w:eastAsia="宋体" w:cs="A12+SimSun"/>
          <w:szCs w:val="21"/>
        </w:rPr>
        <w:t>：</w:t>
      </w:r>
    </w:p>
    <w:p w14:paraId="491BF28F">
      <w:pPr>
        <w:autoSpaceDE w:val="0"/>
        <w:autoSpaceDN w:val="0"/>
        <w:adjustRightInd w:val="0"/>
        <w:spacing w:line="400" w:lineRule="exact"/>
        <w:ind w:firstLine="420" w:firstLineChars="200"/>
        <w:rPr>
          <w:rFonts w:ascii="宋体" w:hAnsi="宋体" w:eastAsia="宋体" w:cs="A12+SimSun"/>
          <w:szCs w:val="21"/>
        </w:rPr>
      </w:pPr>
      <w:r>
        <w:rPr>
          <w:rFonts w:ascii="宋体" w:hAnsi="宋体" w:eastAsia="宋体" w:cs="A12+SimSun"/>
          <w:position w:val="-94"/>
          <w:szCs w:val="21"/>
        </w:rPr>
        <w:object>
          <v:shape id="_x0000_i1219" o:spt="75" type="#_x0000_t75" style="height:93pt;width:96pt;" o:ole="t" filled="f" o:preferrelative="t" stroked="f" coordsize="21600,21600">
            <v:path/>
            <v:fill on="f" focussize="0,0"/>
            <v:stroke on="f" joinstyle="miter"/>
            <v:imagedata r:id="rId158" o:title=""/>
            <o:lock v:ext="edit" aspectratio="t"/>
            <w10:wrap type="none"/>
            <w10:anchorlock/>
          </v:shape>
          <o:OLEObject Type="Embed" ProgID="Equation.3" ShapeID="_x0000_i1219" DrawAspect="Content" ObjectID="_1468075794" r:id="rId157">
            <o:LockedField>false</o:LockedField>
          </o:OLEObject>
        </w:object>
      </w:r>
    </w:p>
    <w:p w14:paraId="48E1D8E8">
      <w:pPr>
        <w:autoSpaceDE w:val="0"/>
        <w:autoSpaceDN w:val="0"/>
        <w:adjustRightInd w:val="0"/>
        <w:spacing w:line="400" w:lineRule="exact"/>
        <w:ind w:firstLine="420" w:firstLineChars="200"/>
        <w:rPr>
          <w:rFonts w:ascii="宋体" w:hAnsi="宋体" w:eastAsia="宋体" w:cs="宋体"/>
          <w:szCs w:val="21"/>
        </w:rPr>
      </w:pPr>
      <w:r>
        <w:rPr>
          <w:rFonts w:hint="eastAsia" w:ascii="宋体" w:hAnsi="宋体" w:eastAsia="宋体" w:cs="A12+SimSun"/>
          <w:szCs w:val="21"/>
        </w:rPr>
        <w:t>根据上述数学表达式</w:t>
      </w:r>
      <w:r>
        <w:rPr>
          <w:rFonts w:ascii="宋体" w:hAnsi="宋体" w:eastAsia="宋体" w:cs="A12+SimSun"/>
          <w:szCs w:val="21"/>
        </w:rPr>
        <w:t>，</w:t>
      </w:r>
      <w:r>
        <w:rPr>
          <w:rFonts w:hint="eastAsia" w:ascii="宋体" w:hAnsi="宋体" w:eastAsia="宋体" w:cs="A12+SimSun"/>
          <w:szCs w:val="21"/>
        </w:rPr>
        <w:t>可以得到低碳经济的几何模型</w:t>
      </w:r>
      <w:r>
        <w:rPr>
          <w:rFonts w:ascii="宋体" w:hAnsi="宋体" w:eastAsia="宋体" w:cs="A12+SimSun"/>
          <w:szCs w:val="21"/>
        </w:rPr>
        <w:t>（</w:t>
      </w:r>
      <w:r>
        <w:rPr>
          <w:rFonts w:hint="eastAsia" w:ascii="宋体" w:hAnsi="宋体" w:eastAsia="宋体" w:cs="A12+SimSun"/>
          <w:szCs w:val="21"/>
        </w:rPr>
        <w:t>如图</w:t>
      </w:r>
      <w:r>
        <w:rPr>
          <w:rFonts w:ascii="宋体" w:hAnsi="宋体" w:eastAsia="宋体" w:cs="A12+SimSun"/>
          <w:szCs w:val="21"/>
        </w:rPr>
        <w:t>1</w:t>
      </w:r>
      <w:r>
        <w:rPr>
          <w:rFonts w:hint="eastAsia" w:ascii="宋体" w:hAnsi="宋体" w:eastAsia="宋体" w:cs="A12+SimSun"/>
          <w:szCs w:val="21"/>
        </w:rPr>
        <w:t>所示</w:t>
      </w:r>
      <w:r>
        <w:rPr>
          <w:rFonts w:ascii="宋体" w:hAnsi="宋体" w:eastAsia="宋体" w:cs="A12+SimSun"/>
          <w:szCs w:val="21"/>
        </w:rPr>
        <w:t>）</w:t>
      </w:r>
      <w:r>
        <w:rPr>
          <w:rFonts w:hint="eastAsia" w:ascii="宋体" w:hAnsi="宋体" w:eastAsia="宋体" w:cs="宋体"/>
          <w:szCs w:val="21"/>
        </w:rPr>
        <w:t>。</w:t>
      </w:r>
    </w:p>
    <w:p w14:paraId="41443FBD">
      <w:pPr>
        <w:autoSpaceDE w:val="0"/>
        <w:autoSpaceDN w:val="0"/>
        <w:adjustRightInd w:val="0"/>
        <w:spacing w:line="400" w:lineRule="exact"/>
        <w:ind w:firstLine="420" w:firstLineChars="200"/>
        <w:rPr>
          <w:rFonts w:ascii="宋体" w:hAnsi="宋体" w:eastAsia="宋体" w:cs="黑体"/>
          <w:szCs w:val="21"/>
        </w:rPr>
      </w:pPr>
    </w:p>
    <w:p w14:paraId="29209701">
      <w:pPr>
        <w:autoSpaceDE w:val="0"/>
        <w:autoSpaceDN w:val="0"/>
        <w:adjustRightInd w:val="0"/>
        <w:spacing w:line="400" w:lineRule="exact"/>
        <w:ind w:firstLine="360" w:firstLineChars="200"/>
        <w:rPr>
          <w:rFonts w:ascii="宋体" w:hAnsi="宋体" w:eastAsia="宋体" w:cs="黑体"/>
          <w:b/>
          <w:sz w:val="18"/>
          <w:szCs w:val="18"/>
        </w:rPr>
      </w:pPr>
      <w:r>
        <w:rPr>
          <w:rFonts w:ascii="Calibri" w:hAnsi="Calibri" w:eastAsia="宋体" w:cs="Times New Roman"/>
          <w:b/>
          <w:sz w:val="18"/>
          <w:szCs w:val="18"/>
        </w:rPr>
        <w:drawing>
          <wp:anchor distT="0" distB="0" distL="114300" distR="114300" simplePos="0" relativeHeight="251703296" behindDoc="0" locked="0" layoutInCell="1" allowOverlap="1">
            <wp:simplePos x="0" y="0"/>
            <wp:positionH relativeFrom="column">
              <wp:posOffset>149860</wp:posOffset>
            </wp:positionH>
            <wp:positionV relativeFrom="paragraph">
              <wp:posOffset>150495</wp:posOffset>
            </wp:positionV>
            <wp:extent cx="5274310" cy="2023745"/>
            <wp:effectExtent l="0" t="0" r="8890" b="8255"/>
            <wp:wrapSquare wrapText="bothSides"/>
            <wp:docPr id="115" name="图片 27" descr="C:\Users\lenovo\Pictures\图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27" descr="C:\Users\lenovo\Pictures\图1.png"/>
                    <pic:cNvPicPr>
                      <a:picLocks noChangeAspect="1"/>
                    </pic:cNvPicPr>
                  </pic:nvPicPr>
                  <pic:blipFill>
                    <a:blip r:embed="rId159"/>
                    <a:stretch>
                      <a:fillRect/>
                    </a:stretch>
                  </pic:blipFill>
                  <pic:spPr>
                    <a:xfrm>
                      <a:off x="0" y="0"/>
                      <a:ext cx="5274310" cy="2023745"/>
                    </a:xfrm>
                    <a:prstGeom prst="rect">
                      <a:avLst/>
                    </a:prstGeom>
                    <a:noFill/>
                    <a:ln>
                      <a:noFill/>
                    </a:ln>
                  </pic:spPr>
                </pic:pic>
              </a:graphicData>
            </a:graphic>
          </wp:anchor>
        </w:drawing>
      </w:r>
      <w:r>
        <w:rPr>
          <w:rFonts w:hint="eastAsia" w:ascii="宋体" w:hAnsi="宋体" w:eastAsia="宋体" w:cs="黑体"/>
          <w:b/>
          <w:sz w:val="18"/>
          <w:szCs w:val="18"/>
        </w:rPr>
        <w:t>图</w:t>
      </w:r>
      <w:r>
        <w:rPr>
          <w:rFonts w:ascii="宋体" w:hAnsi="宋体" w:eastAsia="宋体" w:cs="A16+CAJ FNT04"/>
          <w:b/>
          <w:sz w:val="18"/>
          <w:szCs w:val="18"/>
        </w:rPr>
        <w:t>1</w:t>
      </w:r>
      <w:r>
        <w:rPr>
          <w:rFonts w:hint="eastAsia" w:ascii="宋体" w:hAnsi="宋体" w:eastAsia="宋体" w:cs="黑体"/>
          <w:b/>
          <w:sz w:val="18"/>
          <w:szCs w:val="18"/>
        </w:rPr>
        <w:t>低碳经济的几何模型</w:t>
      </w:r>
    </w:p>
    <w:p w14:paraId="53F2800A">
      <w:pPr>
        <w:autoSpaceDE w:val="0"/>
        <w:autoSpaceDN w:val="0"/>
        <w:adjustRightInd w:val="0"/>
        <w:spacing w:line="400" w:lineRule="exact"/>
        <w:ind w:firstLine="420" w:firstLineChars="200"/>
        <w:rPr>
          <w:rFonts w:ascii="宋体" w:hAnsi="宋体" w:eastAsia="宋体" w:cs="A9+楷体"/>
          <w:b/>
          <w:szCs w:val="21"/>
        </w:rPr>
      </w:pPr>
      <w:r>
        <w:rPr>
          <w:rFonts w:ascii="宋体" w:hAnsi="宋体" w:eastAsia="宋体" w:cs="A12+SimSun"/>
          <w:b/>
          <w:szCs w:val="21"/>
        </w:rPr>
        <w:t>（</w:t>
      </w:r>
      <w:r>
        <w:rPr>
          <w:rFonts w:hint="eastAsia" w:ascii="宋体" w:hAnsi="宋体" w:eastAsia="宋体" w:cs="A9+楷体"/>
          <w:b/>
          <w:szCs w:val="21"/>
        </w:rPr>
        <w:t>三</w:t>
      </w:r>
      <w:r>
        <w:rPr>
          <w:rFonts w:ascii="宋体" w:hAnsi="宋体" w:eastAsia="宋体" w:cs="A12+SimSun"/>
          <w:b/>
          <w:szCs w:val="21"/>
        </w:rPr>
        <w:t>）</w:t>
      </w:r>
      <w:r>
        <w:rPr>
          <w:rFonts w:hint="eastAsia" w:ascii="宋体" w:hAnsi="宋体" w:eastAsia="宋体" w:cs="A9+楷体"/>
          <w:b/>
          <w:szCs w:val="21"/>
        </w:rPr>
        <w:t>低碳经济模式下社会再生产的实现条件</w:t>
      </w:r>
    </w:p>
    <w:p w14:paraId="6E2D1D34">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这包括两种情况</w:t>
      </w:r>
      <w:r>
        <w:rPr>
          <w:rFonts w:ascii="宋体" w:hAnsi="宋体" w:eastAsia="宋体" w:cs="A12+SimSun"/>
          <w:szCs w:val="21"/>
        </w:rPr>
        <w:t>：</w:t>
      </w:r>
      <w:r>
        <w:rPr>
          <w:rFonts w:hint="eastAsia" w:ascii="宋体" w:hAnsi="宋体" w:eastAsia="宋体" w:cs="A12+SimSun"/>
          <w:szCs w:val="21"/>
        </w:rPr>
        <w:t>第一种情况是当生产活动和消费活动累计排放的二氧化碳总和小于自然系统允许的最大二氧化碳可排放量时</w:t>
      </w:r>
      <w:r>
        <w:rPr>
          <w:rFonts w:ascii="宋体" w:hAnsi="宋体" w:eastAsia="宋体" w:cs="A12+SimSun"/>
          <w:szCs w:val="21"/>
        </w:rPr>
        <w:t>，</w:t>
      </w:r>
      <w:r>
        <w:rPr>
          <w:rFonts w:hint="eastAsia" w:ascii="宋体" w:hAnsi="宋体" w:eastAsia="宋体" w:cs="A12+SimSun"/>
          <w:szCs w:val="21"/>
        </w:rPr>
        <w:t>社会再生产的实现条件实际上就是再生产的</w:t>
      </w:r>
      <w:r>
        <w:rPr>
          <w:rFonts w:hint="eastAsia" w:ascii="宋体" w:hAnsi="宋体" w:eastAsia="宋体" w:cs="Arial Unicode MS"/>
          <w:szCs w:val="21"/>
        </w:rPr>
        <w:t>“</w:t>
      </w:r>
      <w:r>
        <w:rPr>
          <w:rFonts w:hint="eastAsia" w:ascii="宋体" w:hAnsi="宋体" w:eastAsia="宋体" w:cs="A12+SimSun"/>
          <w:szCs w:val="21"/>
        </w:rPr>
        <w:t>马克思条件”</w:t>
      </w:r>
      <w:r>
        <w:rPr>
          <w:rFonts w:ascii="宋体" w:hAnsi="宋体" w:eastAsia="宋体" w:cs="A12+SimSun"/>
          <w:szCs w:val="21"/>
        </w:rPr>
        <w:t>，</w:t>
      </w:r>
      <w:r>
        <w:rPr>
          <w:rFonts w:hint="eastAsia" w:ascii="宋体" w:hAnsi="宋体" w:eastAsia="宋体" w:cs="A12+SimSun"/>
          <w:szCs w:val="21"/>
        </w:rPr>
        <w:t>即</w:t>
      </w:r>
    </w:p>
    <w:p w14:paraId="20165A62">
      <w:pPr>
        <w:autoSpaceDE w:val="0"/>
        <w:autoSpaceDN w:val="0"/>
        <w:adjustRightInd w:val="0"/>
        <w:spacing w:line="400" w:lineRule="exact"/>
        <w:ind w:firstLine="420" w:firstLineChars="200"/>
        <w:rPr>
          <w:rFonts w:ascii="宋体" w:hAnsi="宋体" w:eastAsia="宋体" w:cs="A12+SimSun"/>
          <w:szCs w:val="21"/>
        </w:rPr>
      </w:pPr>
      <w:r>
        <w:rPr>
          <w:rFonts w:ascii="宋体" w:hAnsi="宋体" w:eastAsia="宋体" w:cs="A12+SimSun"/>
          <w:position w:val="-44"/>
          <w:szCs w:val="21"/>
        </w:rPr>
        <w:object>
          <v:shape id="_x0000_i1220" o:spt="75" type="#_x0000_t75" style="height:49.5pt;width:241.15pt;" o:ole="t" filled="f" o:preferrelative="t" stroked="f" coordsize="21600,21600">
            <v:path/>
            <v:fill on="f" focussize="0,0"/>
            <v:stroke on="f" joinstyle="miter"/>
            <v:imagedata r:id="rId161" o:title=""/>
            <o:lock v:ext="edit" aspectratio="t"/>
            <w10:wrap type="none"/>
            <w10:anchorlock/>
          </v:shape>
          <o:OLEObject Type="Embed" ProgID="Equation.3" ShapeID="_x0000_i1220" DrawAspect="Content" ObjectID="_1468075795" r:id="rId160">
            <o:LockedField>false</o:LockedField>
          </o:OLEObject>
        </w:object>
      </w:r>
    </w:p>
    <w:p w14:paraId="7587B8AD">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第二种情况是</w:t>
      </w:r>
      <w:r>
        <w:rPr>
          <w:rFonts w:ascii="宋体" w:hAnsi="宋体" w:eastAsia="宋体" w:cs="A12+SimSun"/>
          <w:szCs w:val="21"/>
        </w:rPr>
        <w:t>，</w:t>
      </w:r>
      <w:r>
        <w:rPr>
          <w:rFonts w:hint="eastAsia" w:ascii="宋体" w:hAnsi="宋体" w:eastAsia="宋体" w:cs="A12+SimSun"/>
          <w:szCs w:val="21"/>
        </w:rPr>
        <w:t>由于任何的生产活动和消费活动都必然会产生碳排放</w:t>
      </w:r>
      <w:r>
        <w:rPr>
          <w:rFonts w:ascii="宋体" w:hAnsi="宋体" w:eastAsia="宋体" w:cs="A12+SimSun"/>
          <w:szCs w:val="21"/>
        </w:rPr>
        <w:t>，</w:t>
      </w:r>
      <w:r>
        <w:rPr>
          <w:rFonts w:hint="eastAsia" w:ascii="宋体" w:hAnsi="宋体" w:eastAsia="宋体" w:cs="A12+SimSun"/>
          <w:szCs w:val="21"/>
        </w:rPr>
        <w:t>即使是在循环经济模式下也不例外</w:t>
      </w:r>
      <w:r>
        <w:rPr>
          <w:rFonts w:hint="eastAsia" w:ascii="宋体" w:hAnsi="宋体" w:eastAsia="宋体" w:cs="宋体"/>
          <w:szCs w:val="21"/>
        </w:rPr>
        <w:t>。</w:t>
      </w:r>
      <w:r>
        <w:rPr>
          <w:rFonts w:hint="eastAsia" w:ascii="宋体" w:hAnsi="宋体" w:eastAsia="宋体" w:cs="A12+SimSun"/>
          <w:szCs w:val="21"/>
        </w:rPr>
        <w:t>也就是说因</w:t>
      </w:r>
      <w:r>
        <w:rPr>
          <w:rFonts w:ascii="宋体" w:hAnsi="宋体" w:eastAsia="宋体" w:cs="A12+SimSun"/>
          <w:position w:val="-14"/>
          <w:szCs w:val="21"/>
        </w:rPr>
        <w:object>
          <v:shape id="_x0000_i1221" o:spt="75" type="#_x0000_t75" style="height:20.25pt;width:167.65pt;" o:ole="t" filled="f" o:preferrelative="t" stroked="f" coordsize="21600,21600">
            <v:path/>
            <v:fill on="f" focussize="0,0"/>
            <v:stroke on="f" joinstyle="miter"/>
            <v:imagedata r:id="rId163" o:title=""/>
            <o:lock v:ext="edit" aspectratio="t"/>
            <w10:wrap type="none"/>
            <w10:anchorlock/>
          </v:shape>
          <o:OLEObject Type="Embed" ProgID="Equation.3" ShapeID="_x0000_i1221" DrawAspect="Content" ObjectID="_1468075796" r:id="rId162">
            <o:LockedField>false</o:LockedField>
          </o:OLEObject>
        </w:object>
      </w:r>
      <w:r>
        <w:rPr>
          <w:rFonts w:hint="eastAsia" w:ascii="宋体" w:hAnsi="宋体" w:eastAsia="宋体" w:cs="A12+SimSun"/>
          <w:szCs w:val="21"/>
        </w:rPr>
        <w:t>此</w:t>
      </w:r>
      <w:r>
        <w:rPr>
          <w:rFonts w:ascii="宋体" w:hAnsi="宋体" w:eastAsia="宋体" w:cs="A12+SimSun"/>
          <w:szCs w:val="21"/>
        </w:rPr>
        <w:t>，</w:t>
      </w:r>
      <w:r>
        <w:rPr>
          <w:rFonts w:ascii="宋体" w:hAnsi="宋体" w:eastAsia="宋体" w:cs="A12+SimSun"/>
          <w:position w:val="-14"/>
          <w:szCs w:val="21"/>
        </w:rPr>
        <w:object>
          <v:shape id="_x0000_i1222" o:spt="75" type="#_x0000_t75" style="height:20.25pt;width:177pt;" o:ole="t" filled="f" o:preferrelative="t" stroked="f" coordsize="21600,21600">
            <v:path/>
            <v:fill on="f" focussize="0,0"/>
            <v:stroke on="f" joinstyle="miter"/>
            <v:imagedata r:id="rId165" o:title=""/>
            <o:lock v:ext="edit" aspectratio="t"/>
            <w10:wrap type="none"/>
            <w10:anchorlock/>
          </v:shape>
          <o:OLEObject Type="Embed" ProgID="Equation.3" ShapeID="_x0000_i1222" DrawAspect="Content" ObjectID="_1468075797" r:id="rId164">
            <o:LockedField>false</o:LockedField>
          </o:OLEObject>
        </w:object>
      </w:r>
      <w:r>
        <w:rPr>
          <w:rFonts w:hint="eastAsia" w:ascii="宋体" w:hAnsi="宋体" w:eastAsia="宋体" w:cs="A12+SimSun"/>
          <w:szCs w:val="21"/>
        </w:rPr>
        <w:t>随着时间的推移</w:t>
      </w:r>
      <w:r>
        <w:rPr>
          <w:rFonts w:ascii="宋体" w:hAnsi="宋体" w:eastAsia="宋体" w:cs="A12+SimSun"/>
          <w:szCs w:val="21"/>
        </w:rPr>
        <w:t>，</w:t>
      </w:r>
      <w:r>
        <w:rPr>
          <w:rFonts w:ascii="宋体" w:hAnsi="宋体" w:eastAsia="宋体" w:cs="Times New Roman"/>
          <w:position w:val="-14"/>
          <w:szCs w:val="21"/>
        </w:rPr>
        <w:object>
          <v:shape id="_x0000_i1223" o:spt="75" type="#_x0000_t75" style="height:20.25pt;width:78pt;" o:ole="t" filled="f" o:preferrelative="t" stroked="f" coordsize="21600,21600">
            <v:path/>
            <v:fill on="f" focussize="0,0"/>
            <v:stroke on="f" joinstyle="miter"/>
            <v:imagedata r:id="rId167" o:title=""/>
            <o:lock v:ext="edit" aspectratio="t"/>
            <w10:wrap type="none"/>
            <w10:anchorlock/>
          </v:shape>
          <o:OLEObject Type="Embed" ProgID="Equation.3" ShapeID="_x0000_i1223" DrawAspect="Content" ObjectID="_1468075798" r:id="rId166">
            <o:LockedField>false</o:LockedField>
          </o:OLEObject>
        </w:object>
      </w:r>
      <w:r>
        <w:rPr>
          <w:rFonts w:hint="eastAsia" w:ascii="宋体" w:hAnsi="宋体" w:eastAsia="宋体" w:cs="A12+SimSun"/>
          <w:szCs w:val="21"/>
        </w:rPr>
        <w:t>在累积和放大机制的作用下</w:t>
      </w:r>
      <w:r>
        <w:rPr>
          <w:rFonts w:ascii="宋体" w:hAnsi="宋体" w:eastAsia="宋体" w:cs="A12+SimSun"/>
          <w:szCs w:val="21"/>
        </w:rPr>
        <w:t>，</w:t>
      </w:r>
      <w:r>
        <w:rPr>
          <w:rFonts w:hint="eastAsia" w:ascii="宋体" w:hAnsi="宋体" w:eastAsia="宋体" w:cs="A12+SimSun"/>
          <w:szCs w:val="21"/>
        </w:rPr>
        <w:t>生产活动和消费活动产生的碳排放最终会逼近自然系统允许的最大二氧化碳可排放量</w:t>
      </w:r>
      <w:r>
        <w:rPr>
          <w:rFonts w:ascii="宋体" w:hAnsi="宋体" w:eastAsia="宋体" w:cs="A12+SimSun"/>
          <w:szCs w:val="21"/>
        </w:rPr>
        <w:t>，</w:t>
      </w:r>
      <w:r>
        <w:rPr>
          <w:rFonts w:hint="eastAsia" w:ascii="宋体" w:hAnsi="宋体" w:eastAsia="宋体" w:cs="A12+SimSun"/>
          <w:szCs w:val="21"/>
        </w:rPr>
        <w:t>导致社会再生产过程不可持续</w:t>
      </w:r>
      <w:r>
        <w:rPr>
          <w:rFonts w:hint="eastAsia" w:ascii="宋体" w:hAnsi="宋体" w:eastAsia="宋体" w:cs="宋体"/>
          <w:szCs w:val="21"/>
        </w:rPr>
        <w:t>。</w:t>
      </w:r>
      <w:r>
        <w:rPr>
          <w:rFonts w:hint="eastAsia" w:ascii="宋体" w:hAnsi="宋体" w:eastAsia="宋体" w:cs="A12+SimSun"/>
          <w:szCs w:val="21"/>
        </w:rPr>
        <w:t>所以要保证经济社会可持续发展</w:t>
      </w:r>
      <w:r>
        <w:rPr>
          <w:rFonts w:ascii="宋体" w:hAnsi="宋体" w:eastAsia="宋体" w:cs="A12+SimSun"/>
          <w:szCs w:val="21"/>
        </w:rPr>
        <w:t>，</w:t>
      </w:r>
      <w:r>
        <w:rPr>
          <w:rFonts w:hint="eastAsia" w:ascii="宋体" w:hAnsi="宋体" w:eastAsia="宋体" w:cs="A12+SimSun"/>
          <w:szCs w:val="21"/>
        </w:rPr>
        <w:t>当生产和消费分别进入</w:t>
      </w:r>
      <w:r>
        <w:rPr>
          <w:rFonts w:hint="eastAsia" w:ascii="宋体" w:hAnsi="宋体" w:eastAsia="宋体" w:cs="Arial Unicode MS"/>
          <w:szCs w:val="21"/>
        </w:rPr>
        <w:t>“</w:t>
      </w:r>
      <w:r>
        <w:rPr>
          <w:rFonts w:hint="eastAsia" w:ascii="宋体" w:hAnsi="宋体" w:eastAsia="宋体" w:cs="A12+SimSun"/>
          <w:szCs w:val="21"/>
        </w:rPr>
        <w:t>有约束的生产增长区间”和</w:t>
      </w:r>
      <w:r>
        <w:rPr>
          <w:rFonts w:hint="eastAsia" w:ascii="宋体" w:hAnsi="宋体" w:eastAsia="宋体" w:cs="Arial Unicode MS"/>
          <w:szCs w:val="21"/>
        </w:rPr>
        <w:t>“</w:t>
      </w:r>
      <w:r>
        <w:rPr>
          <w:rFonts w:hint="eastAsia" w:ascii="宋体" w:hAnsi="宋体" w:eastAsia="宋体" w:cs="A12+SimSun"/>
          <w:szCs w:val="21"/>
        </w:rPr>
        <w:t>有约束的消费增长区间”后</w:t>
      </w:r>
      <w:r>
        <w:rPr>
          <w:rFonts w:ascii="宋体" w:hAnsi="宋体" w:eastAsia="宋体" w:cs="A12+SimSun"/>
          <w:szCs w:val="21"/>
        </w:rPr>
        <w:t>，</w:t>
      </w:r>
      <w:r>
        <w:rPr>
          <w:rFonts w:hint="eastAsia" w:ascii="宋体" w:hAnsi="宋体" w:eastAsia="宋体" w:cs="A12+SimSun"/>
          <w:szCs w:val="21"/>
        </w:rPr>
        <w:t>除了要满足再生产的</w:t>
      </w:r>
      <w:r>
        <w:rPr>
          <w:rFonts w:hint="eastAsia" w:ascii="宋体" w:hAnsi="宋体" w:eastAsia="宋体" w:cs="Arial Unicode MS"/>
          <w:szCs w:val="21"/>
        </w:rPr>
        <w:t>“</w:t>
      </w:r>
      <w:r>
        <w:rPr>
          <w:rFonts w:hint="eastAsia" w:ascii="宋体" w:hAnsi="宋体" w:eastAsia="宋体" w:cs="A12+SimSun"/>
          <w:szCs w:val="21"/>
        </w:rPr>
        <w:t>马克思条件”外</w:t>
      </w:r>
      <w:r>
        <w:rPr>
          <w:rFonts w:ascii="宋体" w:hAnsi="宋体" w:eastAsia="宋体" w:cs="A12+SimSun"/>
          <w:szCs w:val="21"/>
        </w:rPr>
        <w:t>，</w:t>
      </w:r>
      <w:r>
        <w:rPr>
          <w:rFonts w:hint="eastAsia" w:ascii="宋体" w:hAnsi="宋体" w:eastAsia="宋体" w:cs="A12+SimSun"/>
          <w:szCs w:val="21"/>
        </w:rPr>
        <w:t>还必须同时满足</w:t>
      </w:r>
      <w:r>
        <w:rPr>
          <w:rFonts w:ascii="宋体" w:hAnsi="宋体" w:eastAsia="宋体" w:cs="A12+SimSun"/>
          <w:szCs w:val="21"/>
        </w:rPr>
        <w:t>：</w:t>
      </w:r>
    </w:p>
    <w:p w14:paraId="112D0A57">
      <w:pPr>
        <w:autoSpaceDE w:val="0"/>
        <w:autoSpaceDN w:val="0"/>
        <w:adjustRightInd w:val="0"/>
        <w:spacing w:line="400" w:lineRule="exact"/>
        <w:ind w:firstLine="420" w:firstLineChars="200"/>
        <w:rPr>
          <w:rFonts w:ascii="宋体" w:hAnsi="宋体" w:eastAsia="宋体" w:cs="A12+SimSun"/>
          <w:szCs w:val="21"/>
        </w:rPr>
      </w:pPr>
      <w:r>
        <w:rPr>
          <w:rFonts w:ascii="宋体" w:hAnsi="宋体" w:eastAsia="宋体" w:cs="A12+SimSun"/>
          <w:position w:val="-24"/>
          <w:szCs w:val="21"/>
        </w:rPr>
        <w:object>
          <v:shape id="_x0000_i1224" o:spt="75" type="#_x0000_t75" style="height:33.4pt;width:231pt;" o:ole="t" filled="f" o:preferrelative="t" stroked="f" coordsize="21600,21600">
            <v:path/>
            <v:fill on="f" focussize="0,0"/>
            <v:stroke on="f" joinstyle="miter"/>
            <v:imagedata r:id="rId169" o:title=""/>
            <o:lock v:ext="edit" aspectratio="t"/>
            <w10:wrap type="none"/>
            <w10:anchorlock/>
          </v:shape>
          <o:OLEObject Type="Embed" ProgID="Equation.3" ShapeID="_x0000_i1224" DrawAspect="Content" ObjectID="_1468075799" r:id="rId168">
            <o:LockedField>false</o:LockedField>
          </o:OLEObject>
        </w:object>
      </w:r>
    </w:p>
    <w:p w14:paraId="0A26E142">
      <w:pPr>
        <w:autoSpaceDE w:val="0"/>
        <w:autoSpaceDN w:val="0"/>
        <w:adjustRightInd w:val="0"/>
        <w:spacing w:line="400" w:lineRule="exact"/>
        <w:ind w:firstLine="420" w:firstLineChars="200"/>
        <w:rPr>
          <w:rFonts w:ascii="宋体" w:hAnsi="宋体" w:eastAsia="宋体" w:cs="黑体"/>
          <w:szCs w:val="21"/>
        </w:rPr>
      </w:pPr>
      <w:r>
        <w:rPr>
          <w:rFonts w:hint="eastAsia" w:ascii="宋体" w:hAnsi="宋体" w:eastAsia="宋体" w:cs="A12+SimSun"/>
          <w:szCs w:val="21"/>
        </w:rPr>
        <w:t>这个约束条件的经济含义是</w:t>
      </w:r>
      <w:r>
        <w:rPr>
          <w:rFonts w:ascii="宋体" w:hAnsi="宋体" w:eastAsia="宋体" w:cs="A12+SimSun"/>
          <w:szCs w:val="21"/>
        </w:rPr>
        <w:t>：</w:t>
      </w:r>
      <w:r>
        <w:rPr>
          <w:rFonts w:hint="eastAsia" w:ascii="宋体" w:hAnsi="宋体" w:eastAsia="宋体" w:cs="A12+SimSun"/>
          <w:szCs w:val="21"/>
        </w:rPr>
        <w:t>生产活动和消费活动产生的碳排放总量</w:t>
      </w:r>
      <w:r>
        <w:rPr>
          <w:rFonts w:ascii="宋体" w:hAnsi="宋体" w:eastAsia="宋体" w:cs="A12+SimSun"/>
          <w:szCs w:val="21"/>
        </w:rPr>
        <w:t>，</w:t>
      </w:r>
      <w:r>
        <w:rPr>
          <w:rFonts w:hint="eastAsia" w:ascii="宋体" w:hAnsi="宋体" w:eastAsia="宋体" w:cs="A12+SimSun"/>
          <w:szCs w:val="21"/>
        </w:rPr>
        <w:t>即</w:t>
      </w:r>
      <w:r>
        <w:rPr>
          <w:rFonts w:ascii="宋体" w:hAnsi="宋体" w:eastAsia="宋体" w:cs="Times New Roman"/>
          <w:position w:val="-14"/>
          <w:szCs w:val="21"/>
        </w:rPr>
        <w:object>
          <v:shape id="_x0000_i1225" o:spt="75" type="#_x0000_t75" style="height:20.25pt;width:78pt;" o:ole="t" filled="f" o:preferrelative="t" stroked="f" coordsize="21600,21600">
            <v:path/>
            <v:fill on="f" focussize="0,0"/>
            <v:stroke on="f" joinstyle="miter"/>
            <v:imagedata r:id="rId171" o:title=""/>
            <o:lock v:ext="edit" aspectratio="t"/>
            <w10:wrap type="none"/>
            <w10:anchorlock/>
          </v:shape>
          <o:OLEObject Type="Embed" ProgID="Equation.3" ShapeID="_x0000_i1225" DrawAspect="Content" ObjectID="_1468075800" r:id="rId170">
            <o:LockedField>false</o:LockedField>
          </o:OLEObject>
        </w:object>
      </w:r>
      <w:r>
        <w:rPr>
          <w:rFonts w:hint="eastAsia" w:ascii="宋体" w:hAnsi="宋体" w:eastAsia="宋体" w:cs="A12+SimSun"/>
          <w:szCs w:val="21"/>
        </w:rPr>
        <w:t>是一个</w:t>
      </w:r>
      <w:r>
        <w:rPr>
          <w:rFonts w:ascii="宋体" w:hAnsi="宋体" w:eastAsia="宋体" w:cs="A12+SimSun"/>
          <w:szCs w:val="21"/>
        </w:rPr>
        <w:t>logsit</w:t>
      </w:r>
      <w:r>
        <w:rPr>
          <w:rFonts w:hint="eastAsia" w:ascii="宋体" w:hAnsi="宋体" w:eastAsia="宋体" w:cs="A12+SimSun"/>
          <w:szCs w:val="21"/>
        </w:rPr>
        <w:t>函数</w:t>
      </w:r>
      <w:r>
        <w:rPr>
          <w:rFonts w:ascii="宋体" w:hAnsi="宋体" w:eastAsia="宋体" w:cs="A12+SimSun"/>
          <w:szCs w:val="21"/>
        </w:rPr>
        <w:t>，</w:t>
      </w:r>
      <w:r>
        <w:rPr>
          <w:rFonts w:hint="eastAsia" w:ascii="宋体" w:hAnsi="宋体" w:eastAsia="宋体" w:cs="A12+SimSun"/>
          <w:szCs w:val="21"/>
        </w:rPr>
        <w:t>生产每增长一个单位所产生的碳排放必须等于零</w:t>
      </w:r>
      <w:r>
        <w:rPr>
          <w:rFonts w:ascii="宋体" w:hAnsi="宋体" w:eastAsia="宋体" w:cs="A12+SimSun"/>
          <w:szCs w:val="21"/>
        </w:rPr>
        <w:t>，</w:t>
      </w:r>
      <w:r>
        <w:rPr>
          <w:rFonts w:hint="eastAsia" w:ascii="宋体" w:hAnsi="宋体" w:eastAsia="宋体" w:cs="A12+SimSun"/>
          <w:szCs w:val="21"/>
        </w:rPr>
        <w:t>消费每增长一个单位所产生的碳排放也必须等于零</w:t>
      </w:r>
      <w:r>
        <w:rPr>
          <w:rFonts w:ascii="宋体" w:hAnsi="宋体" w:eastAsia="宋体" w:cs="A12+SimSun"/>
          <w:szCs w:val="21"/>
        </w:rPr>
        <w:t>，</w:t>
      </w:r>
      <w:r>
        <w:rPr>
          <w:rFonts w:hint="eastAsia" w:ascii="宋体" w:hAnsi="宋体" w:eastAsia="宋体" w:cs="A12+SimSun"/>
          <w:szCs w:val="21"/>
        </w:rPr>
        <w:t>否则</w:t>
      </w:r>
      <w:r>
        <w:rPr>
          <w:rFonts w:ascii="宋体" w:hAnsi="宋体" w:eastAsia="宋体" w:cs="A12+SimSun"/>
          <w:szCs w:val="21"/>
        </w:rPr>
        <w:t>，</w:t>
      </w:r>
      <w:r>
        <w:rPr>
          <w:rFonts w:ascii="宋体" w:hAnsi="宋体" w:eastAsia="宋体" w:cs="Times New Roman"/>
          <w:position w:val="-14"/>
          <w:szCs w:val="21"/>
        </w:rPr>
        <w:object>
          <v:shape id="_x0000_i1226" o:spt="75" type="#_x0000_t75" style="height:20.25pt;width:102pt;" o:ole="t" filled="f" o:preferrelative="t" stroked="f" coordsize="21600,21600">
            <v:path/>
            <v:fill on="f" focussize="0,0"/>
            <v:stroke on="f" joinstyle="miter"/>
            <v:imagedata r:id="rId173" o:title=""/>
            <o:lock v:ext="edit" aspectratio="t"/>
            <w10:wrap type="none"/>
            <w10:anchorlock/>
          </v:shape>
          <o:OLEObject Type="Embed" ProgID="Equation.3" ShapeID="_x0000_i1226" DrawAspect="Content" ObjectID="_1468075801" r:id="rId172">
            <o:LockedField>false</o:LockedField>
          </o:OLEObject>
        </w:object>
      </w:r>
      <w:r>
        <w:rPr>
          <w:rFonts w:hint="eastAsia" w:ascii="宋体" w:hAnsi="宋体" w:eastAsia="宋体" w:cs="A12+SimSun"/>
          <w:szCs w:val="21"/>
        </w:rPr>
        <w:t>从而破坏</w:t>
      </w:r>
      <w:r>
        <w:rPr>
          <w:rFonts w:ascii="宋体" w:hAnsi="宋体" w:eastAsia="宋体" w:cs="Times New Roman"/>
          <w:position w:val="-14"/>
          <w:szCs w:val="21"/>
        </w:rPr>
        <w:object>
          <v:shape id="_x0000_i1227" o:spt="75" type="#_x0000_t75" style="height:20.25pt;width:78pt;" o:ole="t" filled="f" o:preferrelative="t" stroked="f" coordsize="21600,21600">
            <v:path/>
            <v:fill on="f" focussize="0,0"/>
            <v:stroke on="f" joinstyle="miter"/>
            <v:imagedata r:id="rId175" o:title=""/>
            <o:lock v:ext="edit" aspectratio="t"/>
            <w10:wrap type="none"/>
            <w10:anchorlock/>
          </v:shape>
          <o:OLEObject Type="Embed" ProgID="Equation.3" ShapeID="_x0000_i1227" DrawAspect="Content" ObjectID="_1468075802" r:id="rId174">
            <o:LockedField>false</o:LockedField>
          </o:OLEObject>
        </w:object>
      </w:r>
      <w:r>
        <w:rPr>
          <w:rFonts w:hint="eastAsia" w:ascii="宋体" w:hAnsi="宋体" w:eastAsia="宋体" w:cs="A12+SimSun"/>
          <w:szCs w:val="21"/>
        </w:rPr>
        <w:t>成为</w:t>
      </w:r>
      <w:r>
        <w:rPr>
          <w:rFonts w:ascii="宋体" w:hAnsi="宋体" w:eastAsia="宋体" w:cs="A12+SimSun"/>
          <w:szCs w:val="21"/>
        </w:rPr>
        <w:t>logsit</w:t>
      </w:r>
      <w:r>
        <w:rPr>
          <w:rFonts w:hint="eastAsia" w:ascii="宋体" w:hAnsi="宋体" w:eastAsia="宋体" w:cs="A12+SimSun"/>
          <w:szCs w:val="21"/>
        </w:rPr>
        <w:t>函数的条件</w:t>
      </w:r>
      <w:r>
        <w:rPr>
          <w:rFonts w:hint="eastAsia" w:ascii="宋体" w:hAnsi="宋体" w:eastAsia="宋体" w:cs="宋体"/>
          <w:szCs w:val="21"/>
        </w:rPr>
        <w:t>。</w:t>
      </w:r>
    </w:p>
    <w:p w14:paraId="35C41319">
      <w:pPr>
        <w:autoSpaceDE w:val="0"/>
        <w:autoSpaceDN w:val="0"/>
        <w:spacing w:line="360" w:lineRule="auto"/>
        <w:ind w:firstLine="504"/>
        <w:jc w:val="center"/>
        <w:rPr>
          <w:rFonts w:ascii="宋体" w:hAnsi="宋体" w:eastAsia="宋体" w:cs="Times New Roman"/>
          <w:b/>
          <w:sz w:val="24"/>
        </w:rPr>
      </w:pPr>
      <w:r>
        <w:rPr>
          <w:rFonts w:hint="eastAsia" w:ascii="宋体" w:hAnsi="宋体" w:eastAsia="宋体" w:cs="Times New Roman"/>
          <w:b/>
          <w:sz w:val="24"/>
        </w:rPr>
        <w:t>三、关于低碳经济的几个重要命题</w:t>
      </w:r>
    </w:p>
    <w:p w14:paraId="2907E6E8">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由上述模型</w:t>
      </w:r>
      <w:r>
        <w:rPr>
          <w:rFonts w:ascii="宋体" w:hAnsi="宋体" w:eastAsia="宋体" w:cs="A12+SimSun"/>
          <w:szCs w:val="21"/>
        </w:rPr>
        <w:t>，</w:t>
      </w:r>
      <w:r>
        <w:rPr>
          <w:rFonts w:hint="eastAsia" w:ascii="宋体" w:hAnsi="宋体" w:eastAsia="宋体" w:cs="A12+SimSun"/>
          <w:szCs w:val="21"/>
        </w:rPr>
        <w:t>我们可以得到关于低碳经济的几个重要基本命题</w:t>
      </w:r>
      <w:r>
        <w:rPr>
          <w:rFonts w:ascii="宋体" w:hAnsi="宋体" w:eastAsia="宋体" w:cs="A12+SimSun"/>
          <w:szCs w:val="21"/>
        </w:rPr>
        <w:t>，</w:t>
      </w:r>
      <w:r>
        <w:rPr>
          <w:rFonts w:hint="eastAsia" w:ascii="宋体" w:hAnsi="宋体" w:eastAsia="宋体" w:cs="A12+SimSun"/>
          <w:szCs w:val="21"/>
        </w:rPr>
        <w:t>这些命题对正确认识和实践低碳经济具有重要的意义</w:t>
      </w:r>
      <w:r>
        <w:rPr>
          <w:rFonts w:hint="eastAsia" w:ascii="宋体" w:hAnsi="宋体" w:eastAsia="宋体" w:cs="宋体"/>
          <w:szCs w:val="21"/>
        </w:rPr>
        <w:t>。</w:t>
      </w:r>
    </w:p>
    <w:p w14:paraId="6958BEB8">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命题一</w:t>
      </w:r>
      <w:r>
        <w:rPr>
          <w:rFonts w:ascii="宋体" w:hAnsi="宋体" w:eastAsia="宋体" w:cs="A12+SimSun"/>
          <w:szCs w:val="21"/>
        </w:rPr>
        <w:t>：</w:t>
      </w:r>
      <w:r>
        <w:rPr>
          <w:rFonts w:hint="eastAsia" w:ascii="宋体" w:hAnsi="宋体" w:eastAsia="宋体" w:cs="A12+SimSun"/>
          <w:szCs w:val="21"/>
        </w:rPr>
        <w:t>生产的持续增长和消费水平</w:t>
      </w:r>
      <w:r>
        <w:rPr>
          <w:rFonts w:hint="eastAsia" w:ascii="宋体" w:hAnsi="宋体" w:eastAsia="宋体" w:cs="宋体"/>
          <w:szCs w:val="21"/>
        </w:rPr>
        <w:t>、</w:t>
      </w:r>
      <w:r>
        <w:rPr>
          <w:rFonts w:hint="eastAsia" w:ascii="宋体" w:hAnsi="宋体" w:eastAsia="宋体" w:cs="A12+SimSun"/>
          <w:szCs w:val="21"/>
        </w:rPr>
        <w:t>消费质量的持续提高依然是人类社会文明进步的核心主题</w:t>
      </w:r>
      <w:r>
        <w:rPr>
          <w:rFonts w:ascii="宋体" w:hAnsi="宋体" w:eastAsia="宋体" w:cs="A12+SimSun"/>
          <w:szCs w:val="21"/>
        </w:rPr>
        <w:t>，</w:t>
      </w:r>
      <w:r>
        <w:rPr>
          <w:rFonts w:hint="eastAsia" w:ascii="宋体" w:hAnsi="宋体" w:eastAsia="宋体" w:cs="A12+SimSun"/>
          <w:szCs w:val="21"/>
        </w:rPr>
        <w:t>低碳经济与这个主题具有高度的兼容性</w:t>
      </w:r>
      <w:r>
        <w:rPr>
          <w:rFonts w:hint="eastAsia" w:ascii="宋体" w:hAnsi="宋体" w:eastAsia="宋体" w:cs="宋体"/>
          <w:szCs w:val="21"/>
        </w:rPr>
        <w:t>。</w:t>
      </w:r>
      <w:r>
        <w:rPr>
          <w:rFonts w:hint="eastAsia" w:ascii="宋体" w:hAnsi="宋体" w:eastAsia="宋体" w:cs="A12+SimSun"/>
          <w:szCs w:val="21"/>
        </w:rPr>
        <w:t>低碳经济不反对经济增长</w:t>
      </w:r>
      <w:r>
        <w:rPr>
          <w:rFonts w:ascii="宋体" w:hAnsi="宋体" w:eastAsia="宋体" w:cs="A12+SimSun"/>
          <w:szCs w:val="21"/>
        </w:rPr>
        <w:t>，</w:t>
      </w:r>
      <w:r>
        <w:rPr>
          <w:rFonts w:hint="eastAsia" w:ascii="宋体" w:hAnsi="宋体" w:eastAsia="宋体" w:cs="A12+SimSun"/>
          <w:szCs w:val="21"/>
        </w:rPr>
        <w:t>也不反对追求高消费</w:t>
      </w:r>
      <w:r>
        <w:rPr>
          <w:rFonts w:ascii="宋体" w:hAnsi="宋体" w:eastAsia="宋体" w:cs="A12+SimSun"/>
          <w:szCs w:val="21"/>
        </w:rPr>
        <w:t>，</w:t>
      </w:r>
      <w:r>
        <w:rPr>
          <w:rFonts w:hint="eastAsia" w:ascii="宋体" w:hAnsi="宋体" w:eastAsia="宋体" w:cs="A12+SimSun"/>
          <w:szCs w:val="21"/>
        </w:rPr>
        <w:t>因为这是人类社会发展的基本逻辑</w:t>
      </w:r>
      <w:r>
        <w:rPr>
          <w:rFonts w:hint="eastAsia" w:ascii="宋体" w:hAnsi="宋体" w:eastAsia="宋体" w:cs="宋体"/>
          <w:szCs w:val="21"/>
        </w:rPr>
        <w:t>。</w:t>
      </w:r>
      <w:r>
        <w:rPr>
          <w:rFonts w:hint="eastAsia" w:ascii="宋体" w:hAnsi="宋体" w:eastAsia="宋体" w:cs="A12+SimSun"/>
          <w:szCs w:val="21"/>
        </w:rPr>
        <w:t>但是低碳经济强调经济增长和消费水平的提高</w:t>
      </w:r>
      <w:r>
        <w:rPr>
          <w:rFonts w:ascii="宋体" w:hAnsi="宋体" w:eastAsia="宋体" w:cs="A12+SimSun"/>
          <w:szCs w:val="21"/>
        </w:rPr>
        <w:t>，</w:t>
      </w:r>
      <w:r>
        <w:rPr>
          <w:rFonts w:hint="eastAsia" w:ascii="宋体" w:hAnsi="宋体" w:eastAsia="宋体" w:cs="A12+SimSun"/>
          <w:szCs w:val="21"/>
        </w:rPr>
        <w:t>都必须要在自然系统最大可排放二氧化碳这个客观尺度的刚性约束下展开</w:t>
      </w:r>
      <w:r>
        <w:rPr>
          <w:rFonts w:hint="eastAsia" w:ascii="宋体" w:hAnsi="宋体" w:eastAsia="宋体" w:cs="宋体"/>
          <w:szCs w:val="21"/>
        </w:rPr>
        <w:t>。</w:t>
      </w:r>
    </w:p>
    <w:p w14:paraId="0854153F">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命题二</w:t>
      </w:r>
      <w:r>
        <w:rPr>
          <w:rFonts w:ascii="宋体" w:hAnsi="宋体" w:eastAsia="宋体" w:cs="A12+SimSun"/>
          <w:szCs w:val="21"/>
        </w:rPr>
        <w:t>：</w:t>
      </w:r>
      <w:r>
        <w:rPr>
          <w:rFonts w:hint="eastAsia" w:ascii="宋体" w:hAnsi="宋体" w:eastAsia="宋体" w:cs="A12+SimSun"/>
          <w:szCs w:val="21"/>
        </w:rPr>
        <w:t>低碳经济倒逼技术创新</w:t>
      </w:r>
      <w:r>
        <w:rPr>
          <w:rFonts w:hint="eastAsia" w:ascii="宋体" w:hAnsi="宋体" w:eastAsia="宋体" w:cs="宋体"/>
          <w:szCs w:val="21"/>
        </w:rPr>
        <w:t>、</w:t>
      </w:r>
      <w:r>
        <w:rPr>
          <w:rFonts w:hint="eastAsia" w:ascii="宋体" w:hAnsi="宋体" w:eastAsia="宋体" w:cs="A12+SimSun"/>
          <w:szCs w:val="21"/>
        </w:rPr>
        <w:t>制度创新和观念变革</w:t>
      </w:r>
      <w:r>
        <w:rPr>
          <w:rFonts w:hint="eastAsia" w:ascii="宋体" w:hAnsi="宋体" w:eastAsia="宋体" w:cs="宋体"/>
          <w:szCs w:val="21"/>
        </w:rPr>
        <w:t>。</w:t>
      </w:r>
      <w:r>
        <w:rPr>
          <w:rFonts w:hint="eastAsia" w:ascii="宋体" w:hAnsi="宋体" w:eastAsia="宋体" w:cs="A12+SimSun"/>
          <w:szCs w:val="21"/>
        </w:rPr>
        <w:t>自然系统允许的最大可排放二氧化碳是低碳经济的客观尺度</w:t>
      </w:r>
      <w:r>
        <w:rPr>
          <w:rFonts w:ascii="宋体" w:hAnsi="宋体" w:eastAsia="宋体" w:cs="A12+SimSun"/>
          <w:szCs w:val="21"/>
        </w:rPr>
        <w:t>，</w:t>
      </w:r>
      <w:r>
        <w:rPr>
          <w:rFonts w:hint="eastAsia" w:ascii="宋体" w:hAnsi="宋体" w:eastAsia="宋体" w:cs="A12+SimSun"/>
          <w:szCs w:val="21"/>
        </w:rPr>
        <w:t>这个客观尺度倒逼出与之匹配的技术</w:t>
      </w:r>
      <w:r>
        <w:rPr>
          <w:rFonts w:hint="eastAsia" w:ascii="宋体" w:hAnsi="宋体" w:eastAsia="宋体" w:cs="宋体"/>
          <w:szCs w:val="21"/>
        </w:rPr>
        <w:t>、</w:t>
      </w:r>
      <w:r>
        <w:rPr>
          <w:rFonts w:hint="eastAsia" w:ascii="宋体" w:hAnsi="宋体" w:eastAsia="宋体" w:cs="A12+SimSun"/>
          <w:szCs w:val="21"/>
        </w:rPr>
        <w:t>制度安排和发展观</w:t>
      </w:r>
      <w:r>
        <w:rPr>
          <w:rFonts w:ascii="宋体" w:hAnsi="宋体" w:eastAsia="宋体" w:cs="A12+SimSun"/>
          <w:szCs w:val="21"/>
        </w:rPr>
        <w:t>，</w:t>
      </w:r>
      <w:r>
        <w:rPr>
          <w:rFonts w:hint="eastAsia" w:ascii="宋体" w:hAnsi="宋体" w:eastAsia="宋体" w:cs="A12+SimSun"/>
          <w:szCs w:val="21"/>
        </w:rPr>
        <w:t>而不是反过来通过技术创新</w:t>
      </w:r>
      <w:r>
        <w:rPr>
          <w:rFonts w:hint="eastAsia" w:ascii="宋体" w:hAnsi="宋体" w:eastAsia="宋体" w:cs="宋体"/>
          <w:szCs w:val="21"/>
        </w:rPr>
        <w:t>、</w:t>
      </w:r>
      <w:r>
        <w:rPr>
          <w:rFonts w:hint="eastAsia" w:ascii="宋体" w:hAnsi="宋体" w:eastAsia="宋体" w:cs="A12+SimSun"/>
          <w:szCs w:val="21"/>
        </w:rPr>
        <w:t>制度创新和发展观的渐进式变革自发地逼近这个客观尺度</w:t>
      </w:r>
      <w:r>
        <w:rPr>
          <w:rFonts w:ascii="宋体" w:hAnsi="宋体" w:eastAsia="宋体" w:cs="A12+SimSun"/>
          <w:szCs w:val="21"/>
        </w:rPr>
        <w:t>，</w:t>
      </w:r>
      <w:r>
        <w:rPr>
          <w:rFonts w:hint="eastAsia" w:ascii="宋体" w:hAnsi="宋体" w:eastAsia="宋体" w:cs="A12+SimSun"/>
          <w:szCs w:val="21"/>
        </w:rPr>
        <w:t>这两者之间有着本质上的不同</w:t>
      </w:r>
      <w:r>
        <w:rPr>
          <w:rFonts w:hint="eastAsia" w:ascii="宋体" w:hAnsi="宋体" w:eastAsia="宋体" w:cs="宋体"/>
          <w:szCs w:val="21"/>
        </w:rPr>
        <w:t>。</w:t>
      </w:r>
    </w:p>
    <w:p w14:paraId="29E39274">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命题三</w:t>
      </w:r>
      <w:r>
        <w:rPr>
          <w:rFonts w:ascii="宋体" w:hAnsi="宋体" w:eastAsia="宋体" w:cs="A12+SimSun"/>
          <w:szCs w:val="21"/>
        </w:rPr>
        <w:t>：</w:t>
      </w:r>
      <w:r>
        <w:rPr>
          <w:rFonts w:hint="eastAsia" w:ascii="宋体" w:hAnsi="宋体" w:eastAsia="宋体" w:cs="A12+SimSun"/>
          <w:szCs w:val="21"/>
        </w:rPr>
        <w:t>共同但有区别的责任是国际社会合作</w:t>
      </w:r>
      <w:r>
        <w:rPr>
          <w:rFonts w:hint="eastAsia" w:ascii="宋体" w:hAnsi="宋体" w:eastAsia="宋体" w:cs="宋体"/>
          <w:szCs w:val="21"/>
        </w:rPr>
        <w:t>、</w:t>
      </w:r>
      <w:r>
        <w:rPr>
          <w:rFonts w:hint="eastAsia" w:ascii="宋体" w:hAnsi="宋体" w:eastAsia="宋体" w:cs="A12+SimSun"/>
          <w:szCs w:val="21"/>
        </w:rPr>
        <w:t>共同应对气候变化的基本原则</w:t>
      </w:r>
      <w:r>
        <w:rPr>
          <w:rFonts w:hint="eastAsia" w:ascii="宋体" w:hAnsi="宋体" w:eastAsia="宋体" w:cs="宋体"/>
          <w:szCs w:val="21"/>
        </w:rPr>
        <w:t>。</w:t>
      </w:r>
      <w:r>
        <w:rPr>
          <w:rFonts w:hint="eastAsia" w:ascii="宋体" w:hAnsi="宋体" w:eastAsia="宋体" w:cs="A12+SimSun"/>
          <w:szCs w:val="21"/>
        </w:rPr>
        <w:t>由于每个国家的生产活动和消费活动都排放数量不等的碳</w:t>
      </w:r>
      <w:r>
        <w:rPr>
          <w:rFonts w:ascii="宋体" w:hAnsi="宋体" w:eastAsia="宋体" w:cs="A12+SimSun"/>
          <w:szCs w:val="21"/>
        </w:rPr>
        <w:t>，</w:t>
      </w:r>
      <w:r>
        <w:rPr>
          <w:rFonts w:hint="eastAsia" w:ascii="宋体" w:hAnsi="宋体" w:eastAsia="宋体" w:cs="A12+SimSun"/>
          <w:szCs w:val="21"/>
        </w:rPr>
        <w:t>又同时分享气候改善的收益</w:t>
      </w:r>
      <w:r>
        <w:rPr>
          <w:rFonts w:ascii="宋体" w:hAnsi="宋体" w:eastAsia="宋体" w:cs="A12+SimSun"/>
          <w:szCs w:val="21"/>
        </w:rPr>
        <w:t>，</w:t>
      </w:r>
      <w:r>
        <w:rPr>
          <w:rFonts w:hint="eastAsia" w:ascii="宋体" w:hAnsi="宋体" w:eastAsia="宋体" w:cs="A12+SimSun"/>
          <w:szCs w:val="21"/>
        </w:rPr>
        <w:t>因而</w:t>
      </w:r>
      <w:r>
        <w:rPr>
          <w:rFonts w:ascii="宋体" w:hAnsi="宋体" w:eastAsia="宋体" w:cs="A12+SimSun"/>
          <w:szCs w:val="21"/>
        </w:rPr>
        <w:t>，</w:t>
      </w:r>
      <w:r>
        <w:rPr>
          <w:rFonts w:hint="eastAsia" w:ascii="宋体" w:hAnsi="宋体" w:eastAsia="宋体" w:cs="A12+SimSun"/>
          <w:szCs w:val="21"/>
        </w:rPr>
        <w:t>应对全球气候变化是国际社会的共同责任</w:t>
      </w:r>
      <w:r>
        <w:rPr>
          <w:rFonts w:ascii="宋体" w:hAnsi="宋体" w:eastAsia="宋体" w:cs="A12+SimSun"/>
          <w:szCs w:val="21"/>
        </w:rPr>
        <w:t>；</w:t>
      </w:r>
      <w:r>
        <w:rPr>
          <w:rFonts w:hint="eastAsia" w:ascii="宋体" w:hAnsi="宋体" w:eastAsia="宋体" w:cs="A12+SimSun"/>
          <w:szCs w:val="21"/>
        </w:rPr>
        <w:t>但是</w:t>
      </w:r>
      <w:r>
        <w:rPr>
          <w:rFonts w:ascii="宋体" w:hAnsi="宋体" w:eastAsia="宋体" w:cs="A12+SimSun"/>
          <w:szCs w:val="21"/>
        </w:rPr>
        <w:t>，</w:t>
      </w:r>
      <w:r>
        <w:rPr>
          <w:rFonts w:hint="eastAsia" w:ascii="宋体" w:hAnsi="宋体" w:eastAsia="宋体" w:cs="A12+SimSun"/>
          <w:szCs w:val="21"/>
        </w:rPr>
        <w:t>即使不算历史旧账</w:t>
      </w:r>
      <w:r>
        <w:rPr>
          <w:rFonts w:ascii="宋体" w:hAnsi="宋体" w:eastAsia="宋体" w:cs="A12+SimSun"/>
          <w:szCs w:val="21"/>
        </w:rPr>
        <w:t>，</w:t>
      </w:r>
      <w:r>
        <w:rPr>
          <w:rFonts w:hint="eastAsia" w:ascii="宋体" w:hAnsi="宋体" w:eastAsia="宋体" w:cs="A12+SimSun"/>
          <w:szCs w:val="21"/>
        </w:rPr>
        <w:t>由于</w:t>
      </w:r>
      <w:r>
        <w:rPr>
          <w:rFonts w:ascii="宋体" w:hAnsi="宋体" w:eastAsia="宋体" w:cs="Times New Roman"/>
          <w:position w:val="-14"/>
          <w:szCs w:val="21"/>
        </w:rPr>
        <w:object>
          <v:shape id="_x0000_i1228" o:spt="75" type="#_x0000_t75" style="height:20.25pt;width:218.65pt;" o:ole="t" filled="f" o:preferrelative="t" stroked="f" coordsize="21600,21600">
            <v:path/>
            <v:fill on="f" focussize="0,0"/>
            <v:stroke on="f" joinstyle="miter"/>
            <v:imagedata r:id="rId177" o:title=""/>
            <o:lock v:ext="edit" aspectratio="t"/>
            <w10:wrap type="none"/>
            <w10:anchorlock/>
          </v:shape>
          <o:OLEObject Type="Embed" ProgID="Equation.3" ShapeID="_x0000_i1228" DrawAspect="Content" ObjectID="_1468075803" r:id="rId176">
            <o:LockedField>false</o:LockedField>
          </o:OLEObject>
        </w:object>
      </w:r>
      <w:r>
        <w:rPr>
          <w:rFonts w:hint="eastAsia" w:ascii="宋体" w:hAnsi="宋体" w:eastAsia="宋体" w:cs="A12+SimSun"/>
          <w:szCs w:val="21"/>
        </w:rPr>
        <w:t>各国之间的经济规模</w:t>
      </w:r>
      <w:r>
        <w:rPr>
          <w:rFonts w:hint="eastAsia" w:ascii="宋体" w:hAnsi="宋体" w:eastAsia="宋体" w:cs="宋体"/>
          <w:szCs w:val="21"/>
        </w:rPr>
        <w:t>、</w:t>
      </w:r>
      <w:r>
        <w:rPr>
          <w:rFonts w:hint="eastAsia" w:ascii="宋体" w:hAnsi="宋体" w:eastAsia="宋体" w:cs="A12+SimSun"/>
          <w:szCs w:val="21"/>
        </w:rPr>
        <w:t>经济结构</w:t>
      </w:r>
      <w:r>
        <w:rPr>
          <w:rFonts w:hint="eastAsia" w:ascii="宋体" w:hAnsi="宋体" w:eastAsia="宋体" w:cs="宋体"/>
          <w:szCs w:val="21"/>
        </w:rPr>
        <w:t>、</w:t>
      </w:r>
      <w:r>
        <w:rPr>
          <w:rFonts w:hint="eastAsia" w:ascii="宋体" w:hAnsi="宋体" w:eastAsia="宋体" w:cs="A12+SimSun"/>
          <w:szCs w:val="21"/>
        </w:rPr>
        <w:t>消费水平</w:t>
      </w:r>
      <w:r>
        <w:rPr>
          <w:rFonts w:hint="eastAsia" w:ascii="宋体" w:hAnsi="宋体" w:eastAsia="宋体" w:cs="宋体"/>
          <w:szCs w:val="21"/>
        </w:rPr>
        <w:t>、</w:t>
      </w:r>
      <w:r>
        <w:rPr>
          <w:rFonts w:hint="eastAsia" w:ascii="宋体" w:hAnsi="宋体" w:eastAsia="宋体" w:cs="A12+SimSun"/>
          <w:szCs w:val="21"/>
        </w:rPr>
        <w:t>消费结构存在巨大的差异</w:t>
      </w:r>
      <w:r>
        <w:rPr>
          <w:rFonts w:ascii="宋体" w:hAnsi="宋体" w:eastAsia="宋体" w:cs="A12+SimSun"/>
          <w:szCs w:val="21"/>
        </w:rPr>
        <w:t>，</w:t>
      </w:r>
      <w:r>
        <w:rPr>
          <w:rFonts w:hint="eastAsia" w:ascii="宋体" w:hAnsi="宋体" w:eastAsia="宋体" w:cs="A12+SimSun"/>
          <w:szCs w:val="21"/>
        </w:rPr>
        <w:t>各自贡献的碳排放是不同的</w:t>
      </w:r>
      <w:r>
        <w:rPr>
          <w:rFonts w:ascii="宋体" w:hAnsi="宋体" w:eastAsia="宋体" w:cs="A12+SimSun"/>
          <w:szCs w:val="21"/>
        </w:rPr>
        <w:t>，</w:t>
      </w:r>
      <w:r>
        <w:rPr>
          <w:rFonts w:hint="eastAsia" w:ascii="宋体" w:hAnsi="宋体" w:eastAsia="宋体" w:cs="A12+SimSun"/>
          <w:szCs w:val="21"/>
        </w:rPr>
        <w:t>所以在应对气候变化这个全球性问题上</w:t>
      </w:r>
      <w:r>
        <w:rPr>
          <w:rFonts w:ascii="宋体" w:hAnsi="宋体" w:eastAsia="宋体" w:cs="A12+SimSun"/>
          <w:szCs w:val="21"/>
        </w:rPr>
        <w:t>，</w:t>
      </w:r>
      <w:r>
        <w:rPr>
          <w:rFonts w:hint="eastAsia" w:ascii="宋体" w:hAnsi="宋体" w:eastAsia="宋体" w:cs="A12+SimSun"/>
          <w:szCs w:val="21"/>
        </w:rPr>
        <w:t>应该有区别地承担不同的责任</w:t>
      </w:r>
      <w:r>
        <w:rPr>
          <w:rFonts w:hint="eastAsia" w:ascii="宋体" w:hAnsi="宋体" w:eastAsia="宋体" w:cs="宋体"/>
          <w:szCs w:val="21"/>
        </w:rPr>
        <w:t>。</w:t>
      </w:r>
    </w:p>
    <w:p w14:paraId="4885D09A">
      <w:pPr>
        <w:autoSpaceDE w:val="0"/>
        <w:autoSpaceDN w:val="0"/>
        <w:adjustRightInd w:val="0"/>
        <w:spacing w:line="400" w:lineRule="exact"/>
        <w:ind w:firstLine="420" w:firstLineChars="200"/>
        <w:rPr>
          <w:rFonts w:ascii="宋体" w:hAnsi="宋体" w:eastAsia="宋体" w:cs="A12+SimSun"/>
          <w:szCs w:val="21"/>
        </w:rPr>
      </w:pPr>
      <w:r>
        <w:rPr>
          <w:rFonts w:hint="eastAsia" w:ascii="宋体" w:hAnsi="宋体" w:eastAsia="宋体" w:cs="A12+SimSun"/>
          <w:szCs w:val="21"/>
        </w:rPr>
        <w:t>命题四</w:t>
      </w:r>
      <w:r>
        <w:rPr>
          <w:rFonts w:ascii="宋体" w:hAnsi="宋体" w:eastAsia="宋体" w:cs="A12+SimSun"/>
          <w:szCs w:val="21"/>
        </w:rPr>
        <w:t>：</w:t>
      </w:r>
      <w:r>
        <w:rPr>
          <w:rFonts w:hint="eastAsia" w:ascii="宋体" w:hAnsi="宋体" w:eastAsia="宋体" w:cs="A12+SimSun"/>
          <w:szCs w:val="21"/>
        </w:rPr>
        <w:t>减排是应对气候变化的权宜之计</w:t>
      </w:r>
      <w:r>
        <w:rPr>
          <w:rFonts w:ascii="宋体" w:hAnsi="宋体" w:eastAsia="宋体" w:cs="A12+SimSun"/>
          <w:szCs w:val="21"/>
        </w:rPr>
        <w:t>，</w:t>
      </w:r>
      <w:r>
        <w:rPr>
          <w:rFonts w:hint="eastAsia" w:ascii="宋体" w:hAnsi="宋体" w:eastAsia="宋体" w:cs="A12+SimSun"/>
          <w:szCs w:val="21"/>
        </w:rPr>
        <w:t>长久之计应是根据自然系统可承载的最大二氧化碳排放量</w:t>
      </w:r>
      <w:r>
        <w:rPr>
          <w:rFonts w:ascii="宋体" w:hAnsi="宋体" w:eastAsia="宋体" w:cs="A12+SimSun"/>
          <w:szCs w:val="21"/>
        </w:rPr>
        <w:t>，</w:t>
      </w:r>
      <w:r>
        <w:rPr>
          <w:rFonts w:hint="eastAsia" w:ascii="宋体" w:hAnsi="宋体" w:eastAsia="宋体" w:cs="A12+SimSun"/>
          <w:szCs w:val="21"/>
        </w:rPr>
        <w:t>按年度测算全球的当年的二氧化碳排放量</w:t>
      </w:r>
      <w:r>
        <w:rPr>
          <w:rFonts w:ascii="宋体" w:hAnsi="宋体" w:eastAsia="宋体" w:cs="A12+SimSun"/>
          <w:szCs w:val="21"/>
        </w:rPr>
        <w:t>，</w:t>
      </w:r>
      <w:r>
        <w:rPr>
          <w:rFonts w:hint="eastAsia" w:ascii="宋体" w:hAnsi="宋体" w:eastAsia="宋体" w:cs="A12+SimSun"/>
          <w:szCs w:val="21"/>
        </w:rPr>
        <w:t>并在各国之间公平分配碳排放权</w:t>
      </w:r>
      <w:r>
        <w:rPr>
          <w:rFonts w:hint="eastAsia" w:ascii="宋体" w:hAnsi="宋体" w:eastAsia="宋体" w:cs="宋体"/>
          <w:szCs w:val="21"/>
        </w:rPr>
        <w:t>。</w:t>
      </w:r>
      <w:r>
        <w:rPr>
          <w:rFonts w:hint="eastAsia" w:ascii="宋体" w:hAnsi="宋体" w:eastAsia="宋体" w:cs="A12+SimSun"/>
          <w:szCs w:val="21"/>
        </w:rPr>
        <w:t>唯有如此</w:t>
      </w:r>
      <w:r>
        <w:rPr>
          <w:rFonts w:ascii="宋体" w:hAnsi="宋体" w:eastAsia="宋体" w:cs="A12+SimSun"/>
          <w:szCs w:val="21"/>
        </w:rPr>
        <w:t>，</w:t>
      </w:r>
      <w:r>
        <w:rPr>
          <w:rFonts w:hint="eastAsia" w:ascii="宋体" w:hAnsi="宋体" w:eastAsia="宋体" w:cs="Arial Unicode MS"/>
          <w:szCs w:val="21"/>
        </w:rPr>
        <w:t>“</w:t>
      </w:r>
      <w:r>
        <w:rPr>
          <w:rFonts w:hint="eastAsia" w:ascii="宋体" w:hAnsi="宋体" w:eastAsia="宋体" w:cs="A12+SimSun"/>
          <w:szCs w:val="21"/>
        </w:rPr>
        <w:t>低碳”这个客观尺度才能对世界各国的经济社会发展产生刚性的约束力</w:t>
      </w:r>
      <w:r>
        <w:rPr>
          <w:rFonts w:ascii="宋体" w:hAnsi="宋体" w:eastAsia="宋体" w:cs="A12+SimSun"/>
          <w:szCs w:val="21"/>
        </w:rPr>
        <w:t>，</w:t>
      </w:r>
      <w:r>
        <w:rPr>
          <w:rFonts w:hint="eastAsia" w:ascii="宋体" w:hAnsi="宋体" w:eastAsia="宋体" w:cs="A12+SimSun"/>
          <w:szCs w:val="21"/>
        </w:rPr>
        <w:t>低碳经济才具有现实的可能性</w:t>
      </w:r>
      <w:r>
        <w:rPr>
          <w:rFonts w:ascii="宋体" w:hAnsi="宋体" w:eastAsia="宋体" w:cs="A12+SimSun"/>
          <w:szCs w:val="21"/>
        </w:rPr>
        <w:t>，</w:t>
      </w:r>
      <w:r>
        <w:rPr>
          <w:rFonts w:hint="eastAsia" w:ascii="宋体" w:hAnsi="宋体" w:eastAsia="宋体" w:cs="A12+SimSun"/>
          <w:szCs w:val="21"/>
        </w:rPr>
        <w:t>可持续发展才能够变成现实</w:t>
      </w:r>
      <w:r>
        <w:rPr>
          <w:rFonts w:hint="eastAsia" w:ascii="宋体" w:hAnsi="宋体" w:eastAsia="宋体" w:cs="宋体"/>
          <w:szCs w:val="21"/>
        </w:rPr>
        <w:t>。</w:t>
      </w:r>
    </w:p>
    <w:p w14:paraId="7AB0BCC8">
      <w:pPr>
        <w:autoSpaceDE w:val="0"/>
        <w:autoSpaceDN w:val="0"/>
        <w:adjustRightInd w:val="0"/>
        <w:spacing w:line="400" w:lineRule="exact"/>
        <w:ind w:firstLine="420" w:firstLineChars="200"/>
        <w:rPr>
          <w:rFonts w:ascii="宋体" w:hAnsi="宋体" w:eastAsia="宋体" w:cs="宋体"/>
          <w:szCs w:val="21"/>
        </w:rPr>
      </w:pPr>
      <w:r>
        <w:rPr>
          <w:rFonts w:hint="eastAsia" w:ascii="宋体" w:hAnsi="宋体" w:eastAsia="宋体" w:cs="A12+SimSun"/>
          <w:szCs w:val="21"/>
        </w:rPr>
        <w:t>命题五</w:t>
      </w:r>
      <w:r>
        <w:rPr>
          <w:rFonts w:ascii="宋体" w:hAnsi="宋体" w:eastAsia="宋体" w:cs="A12+SimSun"/>
          <w:szCs w:val="21"/>
        </w:rPr>
        <w:t>：</w:t>
      </w:r>
      <w:r>
        <w:rPr>
          <w:rFonts w:hint="eastAsia" w:ascii="宋体" w:hAnsi="宋体" w:eastAsia="宋体" w:cs="A12+SimSun"/>
          <w:szCs w:val="21"/>
        </w:rPr>
        <w:t>按照低碳经济的约束条件提高消费效率</w:t>
      </w:r>
      <w:r>
        <w:rPr>
          <w:rFonts w:hint="eastAsia" w:ascii="宋体" w:hAnsi="宋体" w:eastAsia="宋体" w:cs="宋体"/>
          <w:szCs w:val="21"/>
        </w:rPr>
        <w:t>、</w:t>
      </w:r>
      <w:r>
        <w:rPr>
          <w:rFonts w:hint="eastAsia" w:ascii="宋体" w:hAnsi="宋体" w:eastAsia="宋体" w:cs="A12+SimSun"/>
          <w:szCs w:val="21"/>
        </w:rPr>
        <w:t>优化消费结构</w:t>
      </w:r>
      <w:r>
        <w:rPr>
          <w:rFonts w:hint="eastAsia" w:ascii="宋体" w:hAnsi="宋体" w:eastAsia="宋体" w:cs="宋体"/>
          <w:szCs w:val="21"/>
        </w:rPr>
        <w:t>、</w:t>
      </w:r>
      <w:r>
        <w:rPr>
          <w:rFonts w:hint="eastAsia" w:ascii="宋体" w:hAnsi="宋体" w:eastAsia="宋体" w:cs="A12+SimSun"/>
          <w:szCs w:val="21"/>
        </w:rPr>
        <w:t>创建全新的消费模式</w:t>
      </w:r>
      <w:r>
        <w:rPr>
          <w:rFonts w:ascii="宋体" w:hAnsi="宋体" w:eastAsia="宋体" w:cs="A12+SimSun"/>
          <w:szCs w:val="21"/>
        </w:rPr>
        <w:t>，</w:t>
      </w:r>
      <w:r>
        <w:rPr>
          <w:rFonts w:hint="eastAsia" w:ascii="宋体" w:hAnsi="宋体" w:eastAsia="宋体" w:cs="A12+SimSun"/>
          <w:szCs w:val="21"/>
        </w:rPr>
        <w:t>强化先进消费文化的培育</w:t>
      </w:r>
      <w:r>
        <w:rPr>
          <w:rFonts w:ascii="宋体" w:hAnsi="宋体" w:eastAsia="宋体" w:cs="A12+SimSun"/>
          <w:szCs w:val="21"/>
        </w:rPr>
        <w:t>，</w:t>
      </w:r>
      <w:r>
        <w:rPr>
          <w:rFonts w:hint="eastAsia" w:ascii="宋体" w:hAnsi="宋体" w:eastAsia="宋体" w:cs="A12+SimSun"/>
          <w:szCs w:val="21"/>
        </w:rPr>
        <w:t>全面提升消费者的消费能力</w:t>
      </w:r>
      <w:r>
        <w:rPr>
          <w:rFonts w:ascii="宋体" w:hAnsi="宋体" w:eastAsia="宋体" w:cs="A12+SimSun"/>
          <w:szCs w:val="21"/>
        </w:rPr>
        <w:t>，</w:t>
      </w:r>
      <w:r>
        <w:rPr>
          <w:rFonts w:hint="eastAsia" w:ascii="宋体" w:hAnsi="宋体" w:eastAsia="宋体" w:cs="A12+SimSun"/>
          <w:szCs w:val="21"/>
        </w:rPr>
        <w:t>开展政府主导下的消费能力建设</w:t>
      </w:r>
      <w:r>
        <w:rPr>
          <w:rFonts w:ascii="宋体" w:hAnsi="宋体" w:eastAsia="宋体" w:cs="A12+SimSun"/>
          <w:szCs w:val="21"/>
        </w:rPr>
        <w:t>，</w:t>
      </w:r>
      <w:r>
        <w:rPr>
          <w:rFonts w:hint="eastAsia" w:ascii="宋体" w:hAnsi="宋体" w:eastAsia="宋体" w:cs="A12+SimSun"/>
          <w:szCs w:val="21"/>
        </w:rPr>
        <w:t>为低碳经济奠定坚实的群众基础</w:t>
      </w:r>
      <w:r>
        <w:rPr>
          <w:rFonts w:hint="eastAsia" w:ascii="宋体" w:hAnsi="宋体" w:eastAsia="宋体" w:cs="宋体"/>
          <w:szCs w:val="21"/>
        </w:rPr>
        <w:t>。</w:t>
      </w:r>
    </w:p>
    <w:p w14:paraId="3BFA17BC">
      <w:pPr>
        <w:autoSpaceDE w:val="0"/>
        <w:autoSpaceDN w:val="0"/>
        <w:adjustRightInd w:val="0"/>
        <w:spacing w:line="400" w:lineRule="exact"/>
        <w:ind w:firstLine="420" w:firstLineChars="200"/>
        <w:rPr>
          <w:rFonts w:ascii="宋体" w:hAnsi="宋体" w:eastAsia="宋体" w:cs="宋体"/>
          <w:szCs w:val="21"/>
        </w:rPr>
      </w:pPr>
      <w:r>
        <w:rPr>
          <w:rFonts w:hint="eastAsia" w:ascii="宋体" w:hAnsi="宋体" w:eastAsia="宋体" w:cs="宋体"/>
          <w:szCs w:val="21"/>
        </w:rPr>
        <w:t>（原载《学术月刊》</w:t>
      </w:r>
      <w:r>
        <w:rPr>
          <w:rFonts w:hint="eastAsia" w:ascii="宋体" w:hAnsi="宋体" w:eastAsia="宋体" w:cs="A3+CAJ FNT00"/>
          <w:szCs w:val="21"/>
        </w:rPr>
        <w:t>2010</w:t>
      </w:r>
      <w:r>
        <w:rPr>
          <w:rFonts w:hint="eastAsia" w:ascii="宋体" w:hAnsi="宋体" w:eastAsia="宋体" w:cs="宋体"/>
          <w:szCs w:val="21"/>
        </w:rPr>
        <w:t>年第</w:t>
      </w:r>
      <w:r>
        <w:rPr>
          <w:rFonts w:hint="eastAsia" w:ascii="宋体" w:hAnsi="宋体" w:eastAsia="宋体" w:cs="A3+CAJ FNT00"/>
          <w:szCs w:val="21"/>
        </w:rPr>
        <w:t>7期，第二作者为</w:t>
      </w:r>
      <w:r>
        <w:rPr>
          <w:rFonts w:hint="eastAsia" w:ascii="宋体" w:hAnsi="宋体" w:eastAsia="宋体" w:cs="A9+楷体"/>
          <w:szCs w:val="21"/>
        </w:rPr>
        <w:t>王朝科）</w:t>
      </w:r>
    </w:p>
    <w:p w14:paraId="55096288">
      <w:pPr>
        <w:autoSpaceDE w:val="0"/>
        <w:autoSpaceDN w:val="0"/>
        <w:adjustRightInd w:val="0"/>
        <w:spacing w:line="400" w:lineRule="exact"/>
        <w:ind w:firstLine="420" w:firstLineChars="200"/>
        <w:rPr>
          <w:rFonts w:ascii="宋体" w:hAnsi="宋体" w:eastAsia="宋体" w:cs="宋体"/>
          <w:szCs w:val="21"/>
        </w:rPr>
      </w:pPr>
    </w:p>
    <w:p w14:paraId="221FAD41">
      <w:pPr>
        <w:autoSpaceDE w:val="0"/>
        <w:autoSpaceDN w:val="0"/>
        <w:adjustRightInd w:val="0"/>
        <w:spacing w:line="400" w:lineRule="exact"/>
        <w:ind w:firstLine="420" w:firstLineChars="200"/>
        <w:rPr>
          <w:rFonts w:ascii="宋体" w:hAnsi="宋体" w:eastAsia="宋体" w:cs="宋体"/>
          <w:szCs w:val="21"/>
        </w:rPr>
      </w:pPr>
    </w:p>
    <w:p w14:paraId="0770DBE6">
      <w:pPr>
        <w:widowControl/>
        <w:spacing w:line="400" w:lineRule="exact"/>
        <w:ind w:firstLine="420" w:firstLineChars="200"/>
        <w:rPr>
          <w:rFonts w:ascii="宋体" w:hAnsi="宋体" w:eastAsia="宋体" w:cs="宋体"/>
          <w:szCs w:val="21"/>
        </w:rPr>
      </w:pPr>
      <w:r>
        <w:rPr>
          <w:rFonts w:ascii="宋体" w:hAnsi="宋体" w:eastAsia="宋体" w:cs="宋体"/>
          <w:szCs w:val="21"/>
        </w:rPr>
        <w:br w:type="page"/>
      </w:r>
    </w:p>
    <w:p w14:paraId="3F49E180">
      <w:pPr>
        <w:pStyle w:val="22"/>
        <w:keepNext/>
        <w:keepLines/>
        <w:spacing w:before="0" w:after="0" w:line="400" w:lineRule="exact"/>
        <w:ind w:firstLine="420" w:firstLineChars="200"/>
        <w:jc w:val="both"/>
        <w:outlineLvl w:val="9"/>
        <w:rPr>
          <w:sz w:val="21"/>
          <w:szCs w:val="21"/>
        </w:rPr>
      </w:pPr>
    </w:p>
    <w:p w14:paraId="21621025">
      <w:pPr>
        <w:keepNext/>
        <w:keepLines/>
        <w:spacing w:line="400" w:lineRule="exact"/>
        <w:ind w:firstLine="640" w:firstLineChars="200"/>
        <w:jc w:val="center"/>
        <w:outlineLvl w:val="1"/>
        <w:rPr>
          <w:rFonts w:ascii="黑体" w:hAnsi="黑体" w:eastAsia="黑体" w:cs="Times New Roman"/>
          <w:kern w:val="28"/>
          <w:sz w:val="32"/>
          <w:szCs w:val="24"/>
        </w:rPr>
      </w:pPr>
      <w:bookmarkStart w:id="1129" w:name="_Toc26287"/>
      <w:bookmarkStart w:id="1130" w:name="_Toc1938847603"/>
      <w:bookmarkStart w:id="1131" w:name="_Toc1179296796"/>
      <w:r>
        <w:rPr>
          <w:rFonts w:hint="eastAsia" w:ascii="黑体" w:hAnsi="黑体" w:eastAsia="黑体" w:cs="Times New Roman"/>
          <w:kern w:val="28"/>
          <w:sz w:val="32"/>
          <w:szCs w:val="24"/>
        </w:rPr>
        <w:t>1</w:t>
      </w:r>
      <w:r>
        <w:rPr>
          <w:rFonts w:ascii="黑体" w:hAnsi="黑体" w:eastAsia="黑体" w:cs="Times New Roman"/>
          <w:kern w:val="28"/>
          <w:sz w:val="32"/>
          <w:szCs w:val="24"/>
        </w:rPr>
        <w:t>3</w:t>
      </w:r>
      <w:r>
        <w:rPr>
          <w:rFonts w:hint="eastAsia" w:ascii="黑体" w:hAnsi="黑体" w:eastAsia="黑体" w:cs="Times New Roman"/>
          <w:kern w:val="28"/>
          <w:sz w:val="32"/>
          <w:szCs w:val="24"/>
        </w:rPr>
        <w:t>西方国家金融和经济危机与中国对策研究</w:t>
      </w:r>
      <w:r>
        <w:rPr>
          <w:rFonts w:ascii="黑体" w:hAnsi="黑体" w:eastAsia="黑体" w:cs="Times New Roman"/>
          <w:kern w:val="28"/>
          <w:sz w:val="32"/>
          <w:szCs w:val="24"/>
        </w:rPr>
        <w:t>（下）</w:t>
      </w:r>
      <w:bookmarkEnd w:id="1129"/>
      <w:bookmarkEnd w:id="1130"/>
      <w:bookmarkEnd w:id="1131"/>
    </w:p>
    <w:p w14:paraId="0CF1D4C2">
      <w:pPr>
        <w:spacing w:line="400" w:lineRule="exact"/>
        <w:ind w:firstLine="420" w:firstLineChars="200"/>
        <w:rPr>
          <w:rFonts w:ascii="宋体" w:hAnsi="宋体" w:eastAsia="宋体"/>
          <w:szCs w:val="21"/>
        </w:rPr>
      </w:pPr>
    </w:p>
    <w:p w14:paraId="6F3F4835">
      <w:pPr>
        <w:spacing w:line="400" w:lineRule="exact"/>
        <w:ind w:firstLine="380" w:firstLineChars="200"/>
        <w:rPr>
          <w:rFonts w:ascii="宋体" w:hAnsi="宋体" w:eastAsia="宋体"/>
          <w:szCs w:val="21"/>
        </w:rPr>
      </w:pPr>
      <w:r>
        <w:rPr>
          <w:rFonts w:hint="eastAsia" w:ascii="宋体" w:hAnsi="宋体" w:eastAsia="宋体"/>
          <w:spacing w:val="-10"/>
          <w:szCs w:val="21"/>
        </w:rPr>
        <w:t>【内容提要】</w:t>
      </w:r>
      <w:r>
        <w:rPr>
          <w:rFonts w:ascii="宋体" w:hAnsi="宋体" w:eastAsia="宋体"/>
          <w:szCs w:val="21"/>
        </w:rPr>
        <w:t>当前西方国家金融和经济危机是资本主义基本矛盾及其当代发展的必</w:t>
      </w:r>
      <w:r>
        <w:rPr>
          <w:rFonts w:ascii="宋体" w:hAnsi="宋体" w:eastAsia="宋体"/>
          <w:spacing w:val="-1"/>
          <w:szCs w:val="21"/>
        </w:rPr>
        <w:t>然结果，是资本主义微观基础、经济结构以及经济调节等方面的具体矛盾的现实表现。</w:t>
      </w:r>
      <w:r>
        <w:rPr>
          <w:rFonts w:ascii="宋体" w:hAnsi="宋体" w:eastAsia="宋体"/>
          <w:spacing w:val="-2"/>
          <w:szCs w:val="21"/>
        </w:rPr>
        <w:t>尽管西方国家反危机措施对于促使经济稳定确实起到了一定作用，但并没有克服资本主</w:t>
      </w:r>
      <w:r>
        <w:rPr>
          <w:rFonts w:ascii="宋体" w:hAnsi="宋体" w:eastAsia="宋体"/>
          <w:spacing w:val="-5"/>
          <w:szCs w:val="21"/>
        </w:rPr>
        <w:t>义基本矛盾以及其他导致危机发生的各种具体矛盾，其缺陷及负面影响将在未来逐渐显</w:t>
      </w:r>
      <w:r>
        <w:rPr>
          <w:rFonts w:ascii="宋体" w:hAnsi="宋体" w:eastAsia="宋体"/>
          <w:spacing w:val="-7"/>
          <w:szCs w:val="21"/>
        </w:rPr>
        <w:t>现，西方国家的金融市场和经济形势依然复杂多变。我国规避与防范金融和经济危机必须更加坚定地坚持中国特色社会主义的伟大道路。</w:t>
      </w:r>
    </w:p>
    <w:p w14:paraId="1F74EAF3">
      <w:pPr>
        <w:spacing w:line="400" w:lineRule="exact"/>
        <w:ind w:firstLine="420" w:firstLineChars="200"/>
        <w:rPr>
          <w:szCs w:val="21"/>
        </w:rPr>
      </w:pPr>
      <w:r>
        <w:rPr>
          <w:rFonts w:hint="eastAsia" w:ascii="宋体" w:hAnsi="宋体" w:eastAsia="宋体"/>
          <w:szCs w:val="21"/>
        </w:rPr>
        <w:t>【关键词】</w:t>
      </w:r>
      <w:r>
        <w:rPr>
          <w:rFonts w:ascii="宋体" w:hAnsi="宋体" w:eastAsia="宋体"/>
          <w:szCs w:val="21"/>
        </w:rPr>
        <w:t>金融和经济危机市场经济资本主义社会主义</w:t>
      </w:r>
    </w:p>
    <w:p w14:paraId="7A1B5627">
      <w:pPr>
        <w:spacing w:line="400" w:lineRule="exact"/>
        <w:ind w:firstLine="420" w:firstLineChars="200"/>
        <w:rPr>
          <w:rFonts w:ascii="宋体" w:hAnsi="宋体" w:eastAsia="宋体"/>
          <w:szCs w:val="21"/>
        </w:rPr>
      </w:pPr>
    </w:p>
    <w:p w14:paraId="630D9712">
      <w:pPr>
        <w:autoSpaceDE w:val="0"/>
        <w:autoSpaceDN w:val="0"/>
        <w:spacing w:line="360" w:lineRule="auto"/>
        <w:ind w:firstLine="504"/>
        <w:jc w:val="center"/>
        <w:rPr>
          <w:rFonts w:ascii="宋体" w:hAnsi="宋体" w:eastAsia="宋体"/>
          <w:b/>
          <w:bCs/>
          <w:color w:val="000000"/>
          <w:sz w:val="24"/>
          <w:szCs w:val="24"/>
        </w:rPr>
      </w:pPr>
      <w:r>
        <w:rPr>
          <w:rFonts w:ascii="宋体" w:hAnsi="宋体" w:eastAsia="宋体"/>
          <w:b/>
          <w:bCs/>
          <w:color w:val="000000"/>
          <w:sz w:val="24"/>
          <w:szCs w:val="24"/>
        </w:rPr>
        <w:t>四、社会主义市场经济可以规避金融和经济危机</w:t>
      </w:r>
    </w:p>
    <w:p w14:paraId="7A1B6C32">
      <w:pPr>
        <w:pStyle w:val="4"/>
        <w:spacing w:line="400" w:lineRule="exact"/>
        <w:ind w:left="0" w:firstLine="420"/>
        <w:rPr>
          <w:szCs w:val="21"/>
        </w:rPr>
      </w:pPr>
      <w:r>
        <w:rPr>
          <w:szCs w:val="21"/>
        </w:rPr>
        <w:t>在经济全球化时代，任何国家都难以置身于世界性危机之外。此次西方国家的金融和经济危机</w:t>
      </w:r>
      <w:r>
        <w:rPr>
          <w:spacing w:val="-6"/>
          <w:szCs w:val="21"/>
        </w:rPr>
        <w:t>亦使中国经济遭受巨大冲击。应该看到，社会主义市场经济存在着发生金融危机和经济危机的可能，</w:t>
      </w:r>
      <w:r>
        <w:rPr>
          <w:szCs w:val="21"/>
        </w:rPr>
        <w:t>我们必须正确认识中国没有陷入金融和经济危机的原因。</w:t>
      </w:r>
    </w:p>
    <w:p w14:paraId="34860D13">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1</w:t>
      </w:r>
      <w:r>
        <w:rPr>
          <w:rFonts w:ascii="宋体" w:hAnsi="宋体" w:eastAsia="宋体" w:cs="宋体"/>
          <w:b/>
          <w:bCs/>
          <w:kern w:val="0"/>
          <w:szCs w:val="21"/>
          <w:lang w:val="zh-CN" w:bidi="zh-CN"/>
        </w:rPr>
        <w:t>.西方国家金融和经济危机使中国经济遭受巨大冲击</w:t>
      </w:r>
    </w:p>
    <w:p w14:paraId="58C111C7">
      <w:pPr>
        <w:pStyle w:val="4"/>
        <w:spacing w:line="400" w:lineRule="exact"/>
        <w:ind w:left="0" w:firstLine="420"/>
        <w:rPr>
          <w:szCs w:val="21"/>
        </w:rPr>
      </w:pPr>
      <w:r>
        <w:rPr>
          <w:szCs w:val="21"/>
        </w:rPr>
        <w:t>此次危机对于我国的冲击是多方面的，既有经济贸易方面，也有思想文化方面；既有短期影响，也有长期影响。就经济方面而言，此次西方国家的金融和经济危机，导致了我国出口大幅下降、失业人数有较大攀升、经济增长速度持续下滑，更加凸显了我国经济发展方式的弊端，加大了我国调整经济结构、转换经济发展方式的压力，我国未来经济发展面临更加严峻复杂的挑战。</w:t>
      </w:r>
    </w:p>
    <w:p w14:paraId="17A4E634">
      <w:pPr>
        <w:pStyle w:val="4"/>
        <w:spacing w:line="400" w:lineRule="exact"/>
        <w:ind w:left="0" w:firstLine="420"/>
        <w:rPr>
          <w:szCs w:val="21"/>
        </w:rPr>
      </w:pPr>
      <w:r>
        <w:rPr>
          <w:szCs w:val="21"/>
        </w:rPr>
        <w:t>此次危机延缓了我国经济持续快速发展的势头。2000</w:t>
      </w:r>
      <w:r>
        <w:rPr>
          <w:spacing w:val="-4"/>
          <w:szCs w:val="21"/>
        </w:rPr>
        <w:t>年以来，中国经济连续</w:t>
      </w:r>
      <w:r>
        <w:rPr>
          <w:szCs w:val="21"/>
        </w:rPr>
        <w:t>8</w:t>
      </w:r>
      <w:r>
        <w:rPr>
          <w:spacing w:val="-7"/>
          <w:szCs w:val="21"/>
        </w:rPr>
        <w:t>年以超过</w:t>
      </w:r>
      <w:r>
        <w:rPr>
          <w:szCs w:val="21"/>
        </w:rPr>
        <w:t>8%的</w:t>
      </w:r>
      <w:r>
        <w:rPr>
          <w:spacing w:val="-1"/>
          <w:szCs w:val="21"/>
        </w:rPr>
        <w:t>速度且不断加快的态势持续快速发展。</w:t>
      </w:r>
      <w:r>
        <w:rPr>
          <w:szCs w:val="21"/>
        </w:rPr>
        <w:t>2008</w:t>
      </w:r>
      <w:r>
        <w:rPr>
          <w:spacing w:val="-2"/>
          <w:szCs w:val="21"/>
        </w:rPr>
        <w:t>年以来，来自内外两方面的不利影响尤其是西方国家金融和经济危机的冲击，使得我国经济的持续快速发展经受了前所未有的困难和挑战。随着危机的蔓</w:t>
      </w:r>
      <w:r>
        <w:rPr>
          <w:spacing w:val="-8"/>
          <w:szCs w:val="21"/>
        </w:rPr>
        <w:t>延和外需的急剧萎缩，我国对外贸易首当其冲地遭受了愈益严重的冲击，经历了自</w:t>
      </w:r>
      <w:r>
        <w:rPr>
          <w:szCs w:val="21"/>
        </w:rPr>
        <w:t>1998年以来的最</w:t>
      </w:r>
      <w:r>
        <w:rPr>
          <w:spacing w:val="-12"/>
          <w:szCs w:val="21"/>
        </w:rPr>
        <w:t>大波动，与入世后连续</w:t>
      </w:r>
      <w:r>
        <w:rPr>
          <w:szCs w:val="21"/>
        </w:rPr>
        <w:t>6</w:t>
      </w:r>
      <w:r>
        <w:rPr>
          <w:spacing w:val="-14"/>
          <w:szCs w:val="21"/>
        </w:rPr>
        <w:t>年保持</w:t>
      </w:r>
      <w:r>
        <w:rPr>
          <w:szCs w:val="21"/>
        </w:rPr>
        <w:t>20%</w:t>
      </w:r>
      <w:r>
        <w:rPr>
          <w:spacing w:val="-7"/>
          <w:szCs w:val="21"/>
        </w:rPr>
        <w:t>以上的高速增长相比，外贸进出口增速出现明显回落。</w:t>
      </w:r>
      <w:r>
        <w:rPr>
          <w:szCs w:val="21"/>
        </w:rPr>
        <w:t>2008年，我国外贸进出口总值为25616.3亿美元，比2007年增长17.8%，增速同比减缓5.7个百分点。其中，</w:t>
      </w:r>
      <w:r>
        <w:rPr>
          <w:spacing w:val="-18"/>
          <w:szCs w:val="21"/>
        </w:rPr>
        <w:t>出口</w:t>
      </w:r>
      <w:r>
        <w:rPr>
          <w:szCs w:val="21"/>
        </w:rPr>
        <w:t>14285.5</w:t>
      </w:r>
      <w:r>
        <w:rPr>
          <w:spacing w:val="-8"/>
          <w:szCs w:val="21"/>
        </w:rPr>
        <w:t>亿美元，增长</w:t>
      </w:r>
      <w:r>
        <w:rPr>
          <w:szCs w:val="21"/>
        </w:rPr>
        <w:t>17.2%</w:t>
      </w:r>
      <w:r>
        <w:rPr>
          <w:spacing w:val="-7"/>
          <w:szCs w:val="21"/>
        </w:rPr>
        <w:t>，增速同比减缓</w:t>
      </w:r>
      <w:r>
        <w:rPr>
          <w:szCs w:val="21"/>
        </w:rPr>
        <w:t>8.5</w:t>
      </w:r>
      <w:r>
        <w:rPr>
          <w:spacing w:val="-7"/>
          <w:szCs w:val="21"/>
        </w:rPr>
        <w:t>个百分点；进口</w:t>
      </w:r>
      <w:r>
        <w:rPr>
          <w:szCs w:val="21"/>
        </w:rPr>
        <w:t>11331</w:t>
      </w:r>
      <w:r>
        <w:rPr>
          <w:spacing w:val="-8"/>
          <w:szCs w:val="21"/>
        </w:rPr>
        <w:t>亿美元，增长</w:t>
      </w:r>
      <w:r>
        <w:rPr>
          <w:szCs w:val="21"/>
        </w:rPr>
        <w:t>18.5%，</w:t>
      </w:r>
      <w:r>
        <w:rPr>
          <w:spacing w:val="-8"/>
          <w:szCs w:val="21"/>
        </w:rPr>
        <w:t>增速同比回落</w:t>
      </w:r>
      <w:r>
        <w:rPr>
          <w:szCs w:val="21"/>
        </w:rPr>
        <w:t>2.3</w:t>
      </w:r>
      <w:r>
        <w:rPr>
          <w:spacing w:val="-6"/>
          <w:szCs w:val="21"/>
        </w:rPr>
        <w:t>个百分点。尤其是，</w:t>
      </w:r>
      <w:r>
        <w:rPr>
          <w:spacing w:val="-7"/>
          <w:szCs w:val="21"/>
        </w:rPr>
        <w:t>2008</w:t>
      </w:r>
      <w:r>
        <w:rPr>
          <w:spacing w:val="-27"/>
          <w:szCs w:val="21"/>
        </w:rPr>
        <w:t>年</w:t>
      </w:r>
      <w:r>
        <w:rPr>
          <w:spacing w:val="-4"/>
          <w:szCs w:val="21"/>
        </w:rPr>
        <w:t>11</w:t>
      </w:r>
      <w:r>
        <w:rPr>
          <w:spacing w:val="-1"/>
          <w:szCs w:val="21"/>
        </w:rPr>
        <w:t>月我国进口同比增长-</w:t>
      </w:r>
      <w:r>
        <w:rPr>
          <w:spacing w:val="-5"/>
          <w:szCs w:val="21"/>
        </w:rPr>
        <w:t>17.9%</w:t>
      </w:r>
      <w:r>
        <w:rPr>
          <w:spacing w:val="-2"/>
          <w:szCs w:val="21"/>
        </w:rPr>
        <w:t>，出口同比增长-</w:t>
      </w:r>
      <w:r>
        <w:rPr>
          <w:szCs w:val="21"/>
        </w:rPr>
        <w:t>2.2%，</w:t>
      </w:r>
      <w:r>
        <w:rPr>
          <w:spacing w:val="-1"/>
          <w:szCs w:val="21"/>
        </w:rPr>
        <w:t>进出口总值同比增长-</w:t>
      </w:r>
      <w:r>
        <w:rPr>
          <w:spacing w:val="-5"/>
          <w:szCs w:val="21"/>
        </w:rPr>
        <w:t>9.1%</w:t>
      </w:r>
      <w:r>
        <w:rPr>
          <w:spacing w:val="-4"/>
          <w:szCs w:val="21"/>
        </w:rPr>
        <w:t>，对外贸易正式步入了长达一年之久的较大幅度的负增长阶段。同时，此次危机还导致我国居民人均收入增速放缓、外商投资持续减少、金融机构蒙受较大损失等问题的出</w:t>
      </w:r>
      <w:r>
        <w:rPr>
          <w:spacing w:val="-3"/>
          <w:szCs w:val="21"/>
        </w:rPr>
        <w:t>现。总需求的不断萎缩导致我国许多重要宏观经济指标日趋恶化。统计数据显示，</w:t>
      </w:r>
      <w:r>
        <w:rPr>
          <w:szCs w:val="21"/>
        </w:rPr>
        <w:t>2008</w:t>
      </w:r>
      <w:r>
        <w:rPr>
          <w:spacing w:val="-1"/>
          <w:szCs w:val="21"/>
        </w:rPr>
        <w:t>年末，虽然</w:t>
      </w:r>
      <w:r>
        <w:rPr>
          <w:spacing w:val="-6"/>
          <w:szCs w:val="21"/>
        </w:rPr>
        <w:t>全国就业人员比上年末增加</w:t>
      </w:r>
      <w:r>
        <w:rPr>
          <w:szCs w:val="21"/>
        </w:rPr>
        <w:t>490</w:t>
      </w:r>
      <w:r>
        <w:rPr>
          <w:spacing w:val="-7"/>
          <w:szCs w:val="21"/>
        </w:rPr>
        <w:t>万人，但是从业人数增长率却迅速下降为</w:t>
      </w:r>
      <w:r>
        <w:rPr>
          <w:spacing w:val="-3"/>
          <w:szCs w:val="21"/>
        </w:rPr>
        <w:t>0.64%</w:t>
      </w:r>
      <w:r>
        <w:rPr>
          <w:spacing w:val="-20"/>
          <w:szCs w:val="21"/>
        </w:rPr>
        <w:t>，与</w:t>
      </w:r>
      <w:r>
        <w:rPr>
          <w:szCs w:val="21"/>
        </w:rPr>
        <w:t>2006年相比下</w:t>
      </w:r>
      <w:r>
        <w:rPr>
          <w:spacing w:val="-11"/>
          <w:szCs w:val="21"/>
        </w:rPr>
        <w:t>降幅度为</w:t>
      </w:r>
      <w:r>
        <w:rPr>
          <w:szCs w:val="21"/>
        </w:rPr>
        <w:t>0.12</w:t>
      </w:r>
      <w:r>
        <w:rPr>
          <w:spacing w:val="-10"/>
          <w:szCs w:val="21"/>
        </w:rPr>
        <w:t>个百分点，与</w:t>
      </w:r>
      <w:r>
        <w:rPr>
          <w:szCs w:val="21"/>
        </w:rPr>
        <w:t>2004</w:t>
      </w:r>
      <w:r>
        <w:rPr>
          <w:spacing w:val="-6"/>
          <w:szCs w:val="21"/>
        </w:rPr>
        <w:t>年相比下降幅度高达</w:t>
      </w:r>
      <w:r>
        <w:rPr>
          <w:szCs w:val="21"/>
        </w:rPr>
        <w:t>0.39</w:t>
      </w:r>
      <w:r>
        <w:rPr>
          <w:spacing w:val="-5"/>
          <w:szCs w:val="21"/>
        </w:rPr>
        <w:t>个百分点；劳动力市场求人倍率从</w:t>
      </w:r>
      <w:r>
        <w:rPr>
          <w:szCs w:val="21"/>
        </w:rPr>
        <w:t>2007</w:t>
      </w:r>
      <w:r>
        <w:rPr>
          <w:spacing w:val="-13"/>
          <w:szCs w:val="21"/>
        </w:rPr>
        <w:t>年的</w:t>
      </w:r>
      <w:r>
        <w:rPr>
          <w:szCs w:val="21"/>
        </w:rPr>
        <w:t>0.98</w:t>
      </w:r>
      <w:r>
        <w:rPr>
          <w:spacing w:val="-9"/>
          <w:szCs w:val="21"/>
        </w:rPr>
        <w:t>下降到</w:t>
      </w:r>
      <w:r>
        <w:rPr>
          <w:szCs w:val="21"/>
        </w:rPr>
        <w:t>2008</w:t>
      </w:r>
      <w:r>
        <w:rPr>
          <w:spacing w:val="-6"/>
          <w:szCs w:val="21"/>
        </w:rPr>
        <w:t>年第四季度的</w:t>
      </w:r>
      <w:r>
        <w:rPr>
          <w:szCs w:val="21"/>
        </w:rPr>
        <w:t>0.85</w:t>
      </w:r>
      <w:r>
        <w:rPr>
          <w:spacing w:val="-10"/>
          <w:szCs w:val="21"/>
        </w:rPr>
        <w:t>，达到</w:t>
      </w:r>
      <w:r>
        <w:rPr>
          <w:szCs w:val="21"/>
        </w:rPr>
        <w:t>2002</w:t>
      </w:r>
      <w:r>
        <w:rPr>
          <w:spacing w:val="-2"/>
          <w:szCs w:val="21"/>
        </w:rPr>
        <w:t>年以来的最低点；城镇登记失业率也从</w:t>
      </w:r>
      <w:r>
        <w:rPr>
          <w:szCs w:val="21"/>
        </w:rPr>
        <w:t>2007</w:t>
      </w:r>
      <w:r>
        <w:rPr>
          <w:spacing w:val="-19"/>
          <w:szCs w:val="21"/>
        </w:rPr>
        <w:t>年的</w:t>
      </w:r>
      <w:r>
        <w:rPr>
          <w:szCs w:val="21"/>
        </w:rPr>
        <w:t>4%</w:t>
      </w:r>
      <w:r>
        <w:rPr>
          <w:spacing w:val="-14"/>
          <w:szCs w:val="21"/>
        </w:rPr>
        <w:t>升高到</w:t>
      </w:r>
      <w:r>
        <w:rPr>
          <w:szCs w:val="21"/>
        </w:rPr>
        <w:t>2008</w:t>
      </w:r>
      <w:r>
        <w:rPr>
          <w:spacing w:val="-19"/>
          <w:szCs w:val="21"/>
        </w:rPr>
        <w:t>年的</w:t>
      </w:r>
      <w:r>
        <w:rPr>
          <w:szCs w:val="21"/>
        </w:rPr>
        <w:t>4.2%。同时，2008</w:t>
      </w:r>
      <w:r>
        <w:rPr>
          <w:spacing w:val="-6"/>
          <w:szCs w:val="21"/>
        </w:rPr>
        <w:t>年全年国内生产总值</w:t>
      </w:r>
      <w:r>
        <w:rPr>
          <w:szCs w:val="21"/>
        </w:rPr>
        <w:t>300670</w:t>
      </w:r>
      <w:r>
        <w:rPr>
          <w:spacing w:val="-6"/>
          <w:szCs w:val="21"/>
        </w:rPr>
        <w:t>亿元，比上年增长</w:t>
      </w:r>
      <w:r>
        <w:rPr>
          <w:szCs w:val="21"/>
        </w:rPr>
        <w:t>9.0%，</w:t>
      </w:r>
      <w:r>
        <w:rPr>
          <w:spacing w:val="-9"/>
          <w:szCs w:val="21"/>
        </w:rPr>
        <w:t>增速回落了</w:t>
      </w:r>
      <w:r>
        <w:rPr>
          <w:szCs w:val="21"/>
        </w:rPr>
        <w:t>4</w:t>
      </w:r>
      <w:r>
        <w:rPr>
          <w:spacing w:val="-6"/>
          <w:szCs w:val="21"/>
        </w:rPr>
        <w:t>个百分点，结束了连续</w:t>
      </w:r>
      <w:r>
        <w:rPr>
          <w:szCs w:val="21"/>
        </w:rPr>
        <w:t>5</w:t>
      </w:r>
      <w:r>
        <w:rPr>
          <w:spacing w:val="-5"/>
          <w:szCs w:val="21"/>
        </w:rPr>
        <w:t>年保持两位数高速增长的态势，而且，经济增长速度在</w:t>
      </w:r>
      <w:r>
        <w:rPr>
          <w:szCs w:val="21"/>
        </w:rPr>
        <w:t>2007</w:t>
      </w:r>
      <w:r>
        <w:rPr>
          <w:spacing w:val="-1"/>
          <w:szCs w:val="21"/>
        </w:rPr>
        <w:t>年第二季度之后连续七个季度出现逐季回落，经济下行趋势非常明显，</w:t>
      </w:r>
      <w:r>
        <w:rPr>
          <w:szCs w:val="21"/>
        </w:rPr>
        <w:t>2009年第一季度更是下降到6.1%</w:t>
      </w:r>
      <w:r>
        <w:rPr>
          <w:spacing w:val="-18"/>
          <w:szCs w:val="21"/>
        </w:rPr>
        <w:t>，为</w:t>
      </w:r>
      <w:r>
        <w:rPr>
          <w:szCs w:val="21"/>
        </w:rPr>
        <w:t>17年以来的最低。</w:t>
      </w:r>
    </w:p>
    <w:p w14:paraId="0016B193">
      <w:pPr>
        <w:pStyle w:val="4"/>
        <w:spacing w:line="400" w:lineRule="exact"/>
        <w:ind w:left="0" w:firstLine="420"/>
        <w:rPr>
          <w:szCs w:val="21"/>
        </w:rPr>
      </w:pPr>
      <w:r>
        <w:rPr>
          <w:szCs w:val="21"/>
        </w:rPr>
        <w:t>此次西方国家金融和经济危机凸显了我国原有经济增长方式的弊处。长期以来，我国的需求结</w:t>
      </w:r>
      <w:r>
        <w:rPr>
          <w:spacing w:val="-8"/>
          <w:szCs w:val="21"/>
        </w:rPr>
        <w:t>构极不合理，消费与投资、内需与外需的比例严重失衡，经济增长过度依赖投资和出口的拉动作用，</w:t>
      </w:r>
      <w:r>
        <w:rPr>
          <w:spacing w:val="-2"/>
          <w:szCs w:val="21"/>
        </w:rPr>
        <w:t>居民消费贡献率明显偏低，外贸依存度显著偏高。从</w:t>
      </w:r>
      <w:r>
        <w:rPr>
          <w:szCs w:val="21"/>
        </w:rPr>
        <w:t>1978</w:t>
      </w:r>
      <w:r>
        <w:rPr>
          <w:spacing w:val="-13"/>
          <w:szCs w:val="21"/>
        </w:rPr>
        <w:t>年至</w:t>
      </w:r>
      <w:r>
        <w:rPr>
          <w:szCs w:val="21"/>
        </w:rPr>
        <w:t>2007</w:t>
      </w:r>
      <w:r>
        <w:rPr>
          <w:spacing w:val="-4"/>
          <w:szCs w:val="21"/>
        </w:rPr>
        <w:t>年，我国居民消费率从</w:t>
      </w:r>
      <w:r>
        <w:rPr>
          <w:szCs w:val="21"/>
        </w:rPr>
        <w:t>48.8%</w:t>
      </w:r>
      <w:r>
        <w:rPr>
          <w:spacing w:val="-6"/>
          <w:szCs w:val="21"/>
        </w:rPr>
        <w:t>下降到</w:t>
      </w:r>
      <w:r>
        <w:rPr>
          <w:szCs w:val="21"/>
        </w:rPr>
        <w:t>35.3%</w:t>
      </w:r>
      <w:r>
        <w:rPr>
          <w:spacing w:val="-3"/>
          <w:szCs w:val="21"/>
        </w:rPr>
        <w:t>，不仅大大低于世界</w:t>
      </w:r>
      <w:r>
        <w:rPr>
          <w:szCs w:val="21"/>
        </w:rPr>
        <w:t>55%的平均水平，更远低于美国、日本等发达国家，也远低于巴</w:t>
      </w:r>
      <w:r>
        <w:rPr>
          <w:spacing w:val="-15"/>
          <w:szCs w:val="21"/>
        </w:rPr>
        <w:t>西、俄罗斯和印度等新兴经济体国家；外贸依存度则从改革开放之初的</w:t>
      </w:r>
      <w:r>
        <w:rPr>
          <w:szCs w:val="21"/>
        </w:rPr>
        <w:t>9.7%</w:t>
      </w:r>
      <w:r>
        <w:rPr>
          <w:spacing w:val="-10"/>
          <w:szCs w:val="21"/>
        </w:rPr>
        <w:t>上升到超过</w:t>
      </w:r>
      <w:r>
        <w:rPr>
          <w:szCs w:val="21"/>
        </w:rPr>
        <w:t>60%</w:t>
      </w:r>
      <w:r>
        <w:rPr>
          <w:spacing w:val="-3"/>
          <w:szCs w:val="21"/>
        </w:rPr>
        <w:t>的水平，</w:t>
      </w:r>
      <w:r>
        <w:rPr>
          <w:szCs w:val="21"/>
        </w:rPr>
        <w:t>远高于世界平均水平，也显著高于美、日等发达国家和俄罗斯、巴西、印度等新兴经济体国家。同时，我国企业长期缺乏自主创新能力，缺乏核心技术、缺乏自主知识产权，更多依靠廉价劳动力的</w:t>
      </w:r>
      <w:r>
        <w:rPr>
          <w:spacing w:val="-3"/>
          <w:szCs w:val="21"/>
        </w:rPr>
        <w:t>“比较优势”、依靠资源和能源的大量投入来赚取国际产业链低端的微薄利润。</w:t>
      </w:r>
      <w:r>
        <w:rPr>
          <w:szCs w:val="21"/>
        </w:rPr>
        <w:t>2008</w:t>
      </w:r>
      <w:r>
        <w:rPr>
          <w:spacing w:val="-2"/>
          <w:szCs w:val="21"/>
        </w:rPr>
        <w:t>年，我国研发</w:t>
      </w:r>
      <w:r>
        <w:rPr>
          <w:spacing w:val="-16"/>
          <w:szCs w:val="21"/>
        </w:rPr>
        <w:t>投入占</w:t>
      </w:r>
      <w:r>
        <w:rPr>
          <w:szCs w:val="21"/>
        </w:rPr>
        <w:t>GDP</w:t>
      </w:r>
      <w:r>
        <w:rPr>
          <w:spacing w:val="-11"/>
          <w:szCs w:val="21"/>
        </w:rPr>
        <w:t>比重仅为</w:t>
      </w:r>
      <w:r>
        <w:rPr>
          <w:szCs w:val="21"/>
        </w:rPr>
        <w:t>1.52%</w:t>
      </w:r>
      <w:r>
        <w:rPr>
          <w:spacing w:val="-6"/>
          <w:szCs w:val="21"/>
        </w:rPr>
        <w:t>，不仅低于发达国家</w:t>
      </w:r>
      <w:r>
        <w:rPr>
          <w:szCs w:val="21"/>
        </w:rPr>
        <w:t>2%</w:t>
      </w:r>
      <w:r>
        <w:rPr>
          <w:spacing w:val="-6"/>
          <w:szCs w:val="21"/>
        </w:rPr>
        <w:t>以上的水平，也低于世界</w:t>
      </w:r>
      <w:r>
        <w:rPr>
          <w:szCs w:val="21"/>
        </w:rPr>
        <w:t>1.6%</w:t>
      </w:r>
      <w:r>
        <w:rPr>
          <w:spacing w:val="-1"/>
          <w:szCs w:val="21"/>
        </w:rPr>
        <w:t>的平均水平；我</w:t>
      </w:r>
      <w:r>
        <w:rPr>
          <w:spacing w:val="-4"/>
          <w:szCs w:val="21"/>
        </w:rPr>
        <w:t>国技术进步对经济增长的贡献率低于</w:t>
      </w:r>
      <w:r>
        <w:rPr>
          <w:szCs w:val="21"/>
        </w:rPr>
        <w:t>40%</w:t>
      </w:r>
      <w:r>
        <w:rPr>
          <w:spacing w:val="-6"/>
          <w:szCs w:val="21"/>
        </w:rPr>
        <w:t>，发达国家则超过</w:t>
      </w:r>
      <w:r>
        <w:rPr>
          <w:szCs w:val="21"/>
        </w:rPr>
        <w:t>70%；我国设备投资的对外技术依存度</w:t>
      </w:r>
      <w:r>
        <w:rPr>
          <w:spacing w:val="-18"/>
          <w:szCs w:val="21"/>
        </w:rPr>
        <w:t>高达</w:t>
      </w:r>
      <w:r>
        <w:rPr>
          <w:spacing w:val="-4"/>
          <w:szCs w:val="21"/>
        </w:rPr>
        <w:t>60%</w:t>
      </w:r>
      <w:r>
        <w:rPr>
          <w:spacing w:val="-10"/>
          <w:szCs w:val="21"/>
        </w:rPr>
        <w:t>，美、日等国则仅为</w:t>
      </w:r>
      <w:r>
        <w:rPr>
          <w:szCs w:val="21"/>
        </w:rPr>
        <w:t>5%</w:t>
      </w:r>
      <w:r>
        <w:rPr>
          <w:spacing w:val="-9"/>
          <w:szCs w:val="21"/>
        </w:rPr>
        <w:t>。总之，重国际市场、轻国内需求，重低成本优势、轻自主创新能力，重物质投入、轻资源环境，重财富增长、轻社会福利水平提高，这就是我们长期依赖的经济发</w:t>
      </w:r>
      <w:r>
        <w:rPr>
          <w:spacing w:val="-13"/>
          <w:szCs w:val="21"/>
        </w:rPr>
        <w:t>展方式。显然，这样的经济发展方式是一条发展动力难以持续的“风险之路”，是一条资源环境难以</w:t>
      </w:r>
      <w:r>
        <w:rPr>
          <w:spacing w:val="-21"/>
          <w:szCs w:val="21"/>
        </w:rPr>
        <w:t>支撑的“负重之路”，是一条竞争能力难以提升的“低端之路”，是一条人民福利难以增长的“物本之</w:t>
      </w:r>
      <w:r>
        <w:rPr>
          <w:spacing w:val="-3"/>
          <w:szCs w:val="21"/>
        </w:rPr>
        <w:t>路”</w:t>
      </w:r>
      <w:r>
        <w:rPr>
          <w:rStyle w:val="20"/>
          <w:rFonts w:ascii="宋体" w:hAnsi="宋体" w:eastAsia="宋体"/>
          <w:spacing w:val="-3"/>
          <w:szCs w:val="21"/>
        </w:rPr>
        <w:footnoteReference w:id="533"/>
      </w:r>
      <w:r>
        <w:rPr>
          <w:spacing w:val="-2"/>
          <w:szCs w:val="21"/>
        </w:rPr>
        <w:t>。此次危机带来的巨大冲击表明，转变我国经济发展方式已经刻不容缓。</w:t>
      </w:r>
    </w:p>
    <w:p w14:paraId="1759B657">
      <w:pPr>
        <w:pStyle w:val="4"/>
        <w:spacing w:line="400" w:lineRule="exact"/>
        <w:ind w:left="0" w:firstLine="392"/>
        <w:rPr>
          <w:szCs w:val="21"/>
        </w:rPr>
      </w:pPr>
      <w:r>
        <w:rPr>
          <w:spacing w:val="-7"/>
          <w:szCs w:val="21"/>
        </w:rPr>
        <w:t>后危机时代中国经济发展面临更加严峻复杂的国际经济环境。“危险往往在危机结束之后”。国</w:t>
      </w:r>
      <w:r>
        <w:rPr>
          <w:spacing w:val="-11"/>
          <w:szCs w:val="21"/>
        </w:rPr>
        <w:t>际货币基金组织通过对全球过去</w:t>
      </w:r>
      <w:r>
        <w:rPr>
          <w:szCs w:val="21"/>
        </w:rPr>
        <w:t>88</w:t>
      </w:r>
      <w:r>
        <w:rPr>
          <w:spacing w:val="-5"/>
          <w:szCs w:val="21"/>
        </w:rPr>
        <w:t>次金融危机的经验研究表明，危机结束后的中期内，经济增长速</w:t>
      </w:r>
      <w:r>
        <w:rPr>
          <w:spacing w:val="-10"/>
          <w:szCs w:val="21"/>
        </w:rPr>
        <w:t>度比趋势平均线会低</w:t>
      </w:r>
      <w:r>
        <w:rPr>
          <w:szCs w:val="21"/>
        </w:rPr>
        <w:t>1</w:t>
      </w:r>
      <w:r>
        <w:rPr>
          <w:spacing w:val="-1"/>
          <w:szCs w:val="21"/>
        </w:rPr>
        <w:t>0</w:t>
      </w:r>
      <w:r>
        <w:rPr>
          <w:szCs w:val="21"/>
        </w:rPr>
        <w:t>%</w:t>
      </w:r>
      <w:r>
        <w:rPr>
          <w:spacing w:val="-14"/>
          <w:szCs w:val="21"/>
        </w:rPr>
        <w:t>，而且这种持久性损害一般要持续</w:t>
      </w:r>
      <w:r>
        <w:rPr>
          <w:szCs w:val="21"/>
        </w:rPr>
        <w:t>7</w:t>
      </w:r>
      <w:r>
        <w:rPr>
          <w:spacing w:val="-1"/>
          <w:szCs w:val="21"/>
        </w:rPr>
        <w:t>年以上的时间才可能消失</w:t>
      </w:r>
      <w:r>
        <w:rPr>
          <w:rStyle w:val="20"/>
          <w:rFonts w:ascii="宋体" w:hAnsi="宋体" w:eastAsia="宋体"/>
          <w:spacing w:val="-1"/>
          <w:szCs w:val="21"/>
        </w:rPr>
        <w:footnoteReference w:id="534"/>
      </w:r>
      <w:r>
        <w:rPr>
          <w:spacing w:val="-19"/>
          <w:szCs w:val="21"/>
        </w:rPr>
        <w:t>。可以预见，</w:t>
      </w:r>
      <w:r>
        <w:rPr>
          <w:szCs w:val="21"/>
        </w:rPr>
        <w:t>为了抢食后危机时代相对缩小的全球经济蛋糕，抢占未来经济发展的制高点，各国之间的竞争和博弈必将更加激烈，中国经济发展将面临更加严峻复杂的国际金融和贸易环境。为维持以美元为中心的不合理的国际货币金融体系，西方发达国家不仅将竭力打压中国在国际货币金融组织的话语权和人民币的国际影响力，还将通过把全球经济失衡和危机的责任归咎于中国等手段不断指责中国政府</w:t>
      </w:r>
      <w:r>
        <w:rPr>
          <w:spacing w:val="-16"/>
          <w:szCs w:val="21"/>
        </w:rPr>
        <w:t>操纵汇率，施压人民币升值和金融自由化改革，将中国经济彻底纳入金融垄断资本的“国际大循环”，</w:t>
      </w:r>
      <w:r>
        <w:rPr>
          <w:szCs w:val="21"/>
        </w:rPr>
        <w:t>降低中国的金融稳定和经济安全。为保护本国企业和缓解社会矛盾，西方发达国家将继续通过各种贸易保护主义手段，遏制中国的出口竞争和经济增长。2008</w:t>
      </w:r>
      <w:r>
        <w:rPr>
          <w:spacing w:val="-2"/>
          <w:szCs w:val="21"/>
        </w:rPr>
        <w:t>年，中国遭遇反倾销调查</w:t>
      </w:r>
      <w:r>
        <w:rPr>
          <w:szCs w:val="21"/>
        </w:rPr>
        <w:t>73</w:t>
      </w:r>
      <w:r>
        <w:rPr>
          <w:spacing w:val="-3"/>
          <w:szCs w:val="21"/>
        </w:rPr>
        <w:t>起、反补</w:t>
      </w:r>
      <w:r>
        <w:rPr>
          <w:spacing w:val="-14"/>
          <w:szCs w:val="21"/>
        </w:rPr>
        <w:t>贴调查</w:t>
      </w:r>
      <w:r>
        <w:rPr>
          <w:szCs w:val="21"/>
        </w:rPr>
        <w:t>10</w:t>
      </w:r>
      <w:r>
        <w:rPr>
          <w:spacing w:val="-7"/>
          <w:szCs w:val="21"/>
        </w:rPr>
        <w:t>起，分别占全球案件总数的</w:t>
      </w:r>
      <w:r>
        <w:rPr>
          <w:szCs w:val="21"/>
        </w:rPr>
        <w:t>35%</w:t>
      </w:r>
      <w:r>
        <w:rPr>
          <w:spacing w:val="-27"/>
          <w:szCs w:val="21"/>
        </w:rPr>
        <w:t>和</w:t>
      </w:r>
      <w:r>
        <w:rPr>
          <w:spacing w:val="-4"/>
          <w:szCs w:val="21"/>
        </w:rPr>
        <w:t>71%</w:t>
      </w:r>
      <w:r>
        <w:rPr>
          <w:spacing w:val="-10"/>
          <w:szCs w:val="21"/>
        </w:rPr>
        <w:t>，涉案金额为</w:t>
      </w:r>
      <w:r>
        <w:rPr>
          <w:szCs w:val="21"/>
        </w:rPr>
        <w:t>62</w:t>
      </w:r>
      <w:r>
        <w:rPr>
          <w:spacing w:val="-1"/>
          <w:szCs w:val="21"/>
        </w:rPr>
        <w:t>亿美元；</w:t>
      </w:r>
      <w:r>
        <w:rPr>
          <w:spacing w:val="-3"/>
          <w:szCs w:val="21"/>
        </w:rPr>
        <w:t>2009</w:t>
      </w:r>
      <w:r>
        <w:rPr>
          <w:spacing w:val="-2"/>
          <w:szCs w:val="21"/>
        </w:rPr>
        <w:t>年前三季度，共有19</w:t>
      </w:r>
      <w:r>
        <w:rPr>
          <w:spacing w:val="-4"/>
          <w:szCs w:val="21"/>
        </w:rPr>
        <w:t>个国家和地区对中国产品发起</w:t>
      </w:r>
      <w:r>
        <w:rPr>
          <w:szCs w:val="21"/>
        </w:rPr>
        <w:t>88</w:t>
      </w:r>
      <w:r>
        <w:rPr>
          <w:spacing w:val="-5"/>
          <w:szCs w:val="21"/>
        </w:rPr>
        <w:t>起贸易救济调查，包括</w:t>
      </w:r>
      <w:r>
        <w:rPr>
          <w:szCs w:val="21"/>
        </w:rPr>
        <w:t>57起反倾销、9</w:t>
      </w:r>
      <w:r>
        <w:rPr>
          <w:spacing w:val="-2"/>
          <w:szCs w:val="21"/>
        </w:rPr>
        <w:t>起反补贴，涉案金额约</w:t>
      </w:r>
      <w:r>
        <w:rPr>
          <w:szCs w:val="21"/>
        </w:rPr>
        <w:t>102亿美元。随着西方发达国家经济实力的相对下降，后危机时代中国无疑将遭遇更多贸易摩擦，且贸易摩擦将呈现日趋多样化、综合化、隐蔽化和道义化等特点，对我国政府和企业构成新的严峻挑战。为维护产业垄断资本的利益和遏制全球经济地位的下滑，西方发达国家不仅将通过“再工业化”牢牢掌控汽车、机械、成套设备等行业的优势地位，还将利用资金和技术优势，以低碳经济为利器，有战略、有步骤地拉抬自己的竞争能力，全面主导新的一轮全球经济转型，使中国经济面临被西方发达国家拉大差距、加大对外依存度的风险。</w:t>
      </w:r>
    </w:p>
    <w:p w14:paraId="42D2455B">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2</w:t>
      </w:r>
      <w:r>
        <w:rPr>
          <w:rFonts w:ascii="宋体" w:hAnsi="宋体" w:eastAsia="宋体" w:cs="宋体"/>
          <w:b/>
          <w:bCs/>
          <w:kern w:val="0"/>
          <w:szCs w:val="21"/>
          <w:lang w:val="zh-CN" w:bidi="zh-CN"/>
        </w:rPr>
        <w:t>.社会主义市场经济发生金融和经济危机的可能性与现实性</w:t>
      </w:r>
    </w:p>
    <w:p w14:paraId="1D3A471A">
      <w:pPr>
        <w:pStyle w:val="4"/>
        <w:spacing w:line="400" w:lineRule="exact"/>
        <w:ind w:left="0" w:firstLine="420"/>
        <w:rPr>
          <w:szCs w:val="21"/>
        </w:rPr>
      </w:pPr>
      <w:r>
        <w:rPr>
          <w:szCs w:val="21"/>
        </w:rPr>
        <w:t>马克思关于商品和商品交换内在矛盾，关于市场经济内在矛盾和经济危机一般可能性的科学分析，适用于任何形式的市场经济。无论是资本主义市场经济还是社会主义市场经济，概莫能外。然而，同样的市场经济与不同的生产资料占有方式相结合，会具有不同的根本性质和运行特点。资本主义市场经济的私有制本质决定了经济危机的不可避免性、周期性，社会主义市场经济的公有制和</w:t>
      </w:r>
      <w:r>
        <w:rPr>
          <w:spacing w:val="-2"/>
          <w:szCs w:val="21"/>
        </w:rPr>
        <w:t>国家有效调节的本质决定了经济危机的可规避性、可防范性</w:t>
      </w:r>
      <w:r>
        <w:rPr>
          <w:rStyle w:val="20"/>
          <w:rFonts w:ascii="宋体" w:hAnsi="宋体" w:eastAsia="宋体"/>
          <w:spacing w:val="-2"/>
          <w:szCs w:val="21"/>
        </w:rPr>
        <w:footnoteReference w:id="535"/>
      </w:r>
      <w:r>
        <w:rPr>
          <w:spacing w:val="-7"/>
          <w:szCs w:val="21"/>
        </w:rPr>
        <w:t>。我国的社会主义市场经济是与生产资</w:t>
      </w:r>
      <w:r>
        <w:rPr>
          <w:szCs w:val="21"/>
        </w:rPr>
        <w:t>料公有制相联系的市场经济，可以克服资本主义市场经济的内在矛盾导致经济危机爆发的不可改变性，却不能改变一般市场经济内在矛盾引发金融和经济危机的一般可能性。如果不能建立相对完善的社会主义市场经济体系，强化规避风险的社会主义制度的强大作用，经济危机的抽象形式便会转化为现实可能。</w:t>
      </w:r>
    </w:p>
    <w:p w14:paraId="3D903E68">
      <w:pPr>
        <w:pStyle w:val="4"/>
        <w:spacing w:line="400" w:lineRule="exact"/>
        <w:ind w:left="0" w:firstLine="420"/>
        <w:rPr>
          <w:szCs w:val="21"/>
        </w:rPr>
      </w:pPr>
      <w:r>
        <w:rPr>
          <w:szCs w:val="21"/>
        </w:rPr>
        <w:t>社会主义市场经济是公有制为主体、多种所有制共同发展的市场经济。如果不能不断地巩固、发展和壮大公有制经济，始终保持公有制经济的基础和主体地位与国有经济的主导和控制地位，我</w:t>
      </w:r>
      <w:r>
        <w:rPr>
          <w:spacing w:val="-5"/>
          <w:szCs w:val="21"/>
        </w:rPr>
        <w:t>国同样会发生严重的金融危机和经济危机。私人资本的本性是逐利而贪婪的。“一旦有适当的利润，</w:t>
      </w:r>
      <w:r>
        <w:rPr>
          <w:spacing w:val="-11"/>
          <w:szCs w:val="21"/>
        </w:rPr>
        <w:t>资本就胆大起来。如果有</w:t>
      </w:r>
      <w:r>
        <w:rPr>
          <w:szCs w:val="21"/>
        </w:rPr>
        <w:t>10%</w:t>
      </w:r>
      <w:r>
        <w:rPr>
          <w:spacing w:val="-13"/>
          <w:szCs w:val="21"/>
        </w:rPr>
        <w:t>的利润，它就保证到处被使用；有</w:t>
      </w:r>
      <w:r>
        <w:rPr>
          <w:szCs w:val="21"/>
        </w:rPr>
        <w:t>20%</w:t>
      </w:r>
      <w:r>
        <w:rPr>
          <w:spacing w:val="-15"/>
          <w:szCs w:val="21"/>
        </w:rPr>
        <w:t>的利润，它就活跃起来；有</w:t>
      </w:r>
      <w:r>
        <w:rPr>
          <w:szCs w:val="21"/>
        </w:rPr>
        <w:t>50%</w:t>
      </w:r>
      <w:r>
        <w:rPr>
          <w:spacing w:val="-4"/>
          <w:szCs w:val="21"/>
        </w:rPr>
        <w:t>利润，它就铤而走险；为了</w:t>
      </w:r>
      <w:r>
        <w:rPr>
          <w:szCs w:val="21"/>
        </w:rPr>
        <w:t>100%</w:t>
      </w:r>
      <w:r>
        <w:rPr>
          <w:spacing w:val="-3"/>
          <w:szCs w:val="21"/>
        </w:rPr>
        <w:t>的利润，它就敢践踏一切人间法律；有</w:t>
      </w:r>
      <w:r>
        <w:rPr>
          <w:szCs w:val="21"/>
        </w:rPr>
        <w:t>300%的利润，它就敢犯任</w:t>
      </w:r>
      <w:r>
        <w:rPr>
          <w:spacing w:val="-9"/>
          <w:szCs w:val="21"/>
        </w:rPr>
        <w:t>何罪行，甚至冒绞首的危险。”</w:t>
      </w:r>
      <w:r>
        <w:rPr>
          <w:rStyle w:val="20"/>
          <w:rFonts w:ascii="宋体" w:hAnsi="宋体" w:eastAsia="宋体"/>
          <w:spacing w:val="-9"/>
          <w:szCs w:val="21"/>
        </w:rPr>
        <w:footnoteReference w:id="536"/>
      </w:r>
      <w:r>
        <w:rPr>
          <w:szCs w:val="21"/>
        </w:rPr>
        <w:t>因此，私人资本的扩张和私有制经济的发展，极易导致社会收入分配的两极分化和人民大众有效需求的不足；放大“市场失灵”的危害，导致政府调控与资本博弈失败的结果；导致生态环境恶化，陷入“劳德代尔悖论”式的经济发展，从而导致生产的无政府状态和经济社会发展的失衡，引发严重的金融和经济危机。20</w:t>
      </w:r>
      <w:r>
        <w:rPr>
          <w:spacing w:val="-8"/>
          <w:szCs w:val="21"/>
        </w:rPr>
        <w:t>世纪</w:t>
      </w:r>
      <w:r>
        <w:rPr>
          <w:szCs w:val="21"/>
        </w:rPr>
        <w:t>90年代以来，在新自由主义的私有化思潮影响下，在频繁的危机和动荡之中，原苏联和东欧是倒退的十年，拉美是失去的十年，被联</w:t>
      </w:r>
      <w:r>
        <w:rPr>
          <w:spacing w:val="-9"/>
          <w:szCs w:val="21"/>
        </w:rPr>
        <w:t>合国认定的</w:t>
      </w:r>
      <w:r>
        <w:rPr>
          <w:szCs w:val="21"/>
        </w:rPr>
        <w:t>49</w:t>
      </w:r>
      <w:r>
        <w:rPr>
          <w:spacing w:val="-5"/>
          <w:szCs w:val="21"/>
        </w:rPr>
        <w:t>个最不发达的国家，也没有通过私有化等新自由主义途径富强起来，有的反而更加贫穷。我国的社会主义市场经济既有公有制经济及其决定的社会主义经济规律在发挥作用，也有私有制经济及其决定的资本主义经济规律在发挥作用。理论和实践已经充分证明，若不能确保公有制经济及其决定的社会主义经济规律处于主导地位，放任私有制经济及其决定的资本主义经济规律发挥作用，我国的社会主义市场经济就会“失去免疫力”，难以有效规避金融危机和经济危机的发生。</w:t>
      </w:r>
    </w:p>
    <w:p w14:paraId="523EE8E4">
      <w:pPr>
        <w:pStyle w:val="4"/>
        <w:spacing w:line="400" w:lineRule="exact"/>
        <w:ind w:left="0" w:firstLine="420"/>
        <w:rPr>
          <w:szCs w:val="21"/>
        </w:rPr>
      </w:pPr>
      <w:r>
        <w:rPr>
          <w:szCs w:val="21"/>
        </w:rPr>
        <w:t>社会主义市场经济是在国家宏观调控下市场对资源配置发挥基础性作用的市场经济。如果不能不断地加强和改善国家宏观调控，放任市场机制的自发作用，我国同样会发生严重的金融和经济危机。市场原教旨主义者认为，市场机制可以自动地导致和谐的经济增长和社会公平的自发实现，应</w:t>
      </w:r>
      <w:r>
        <w:rPr>
          <w:spacing w:val="-1"/>
          <w:szCs w:val="21"/>
        </w:rPr>
        <w:t>该尽可能地让政府退出经济生活，寻求所有经济问题的基于私有产权的市场化解。然而，完美竞争的市场并不存在，现实的市场并非是一个真空的机械装置而是权力的角斗场。脱离了政府科学有效的宏观调控，市场机制的自发作用固然有利于较为充分地调动各个方面的积极作用，较为有效地实现资源的合理配置，但同时也必然导致收入分配不平等程度不可避免地扩大，社会生产的各种比例关系经常性地处于失衡状态，引发各种危机发生的可能。尤其是，西方发达国家主导的经济全球化挟其自由主义与个人主义意识形态，欲使广大发展中国家的政府职能不断泡沫化、空洞化，政府的组织功能不断地萎缩甚至消逝，这就要求我们必须对政府的作用进行科学审视与合理定位。由于政府作用定位失当，许多发展中国家出现了严重的政府治理危机，甚至陷入激烈的政权危机和社会动荡之中。世界各国的发展表明，随着生产社会化、全球化程度的不断提高，政府对经济各个领域甚至个人生活的影响程度与范围都将不可避免地扩大，政府的宏观调控已经成为现代市场经济不可或缺的组成部分。我国的社会主义市场经济是在国家宏观调控下市场对资源配置发挥基础性作用的市</w:t>
      </w:r>
      <w:r>
        <w:rPr>
          <w:spacing w:val="-15"/>
          <w:szCs w:val="21"/>
        </w:rPr>
        <w:t>场经济。“让市场起作用”是我国社会主义市场经济体制改革的基本追求，但这并不意味着否定政府</w:t>
      </w:r>
      <w:r>
        <w:rPr>
          <w:spacing w:val="-1"/>
          <w:szCs w:val="21"/>
        </w:rPr>
        <w:t>在市场经济中的必要作用，取消国家宏观调控的职能。没有政府作用的恰当而有效地发挥，市场的基础性作用也就无从谈起。只有不断完善和加强国家的宏观调控，充分而有效地发挥政府的主导作</w:t>
      </w:r>
      <w:r>
        <w:rPr>
          <w:szCs w:val="21"/>
        </w:rPr>
        <w:t>用，我们才能有效规避一般市场经济内在矛盾引发金融危机和经济危机的可能。</w:t>
      </w:r>
    </w:p>
    <w:p w14:paraId="0F8EDE02">
      <w:pPr>
        <w:pStyle w:val="4"/>
        <w:spacing w:line="400" w:lineRule="exact"/>
        <w:ind w:left="0" w:firstLine="420"/>
        <w:rPr>
          <w:spacing w:val="-11"/>
          <w:szCs w:val="21"/>
        </w:rPr>
      </w:pPr>
      <w:r>
        <w:rPr>
          <w:szCs w:val="21"/>
        </w:rPr>
        <w:t>社会主义市场经济是自主发展与开放发展有机结合的市场经济。如果不能始终坚持科学发展，盲目融入西方垄断资本主导的国际经济循环、陷入高度的对外经济依赖，我国同样会发生严重的金融和经济危机。开放发展，是科学社会主义的本质要求。在当今全球化时代，自主发展基础之上的开放发展，也是社会主义国家充分利用资本主义因素发展社会主义的必然要求。然而，如果简单地</w:t>
      </w:r>
      <w:r>
        <w:rPr>
          <w:spacing w:val="-15"/>
          <w:szCs w:val="21"/>
        </w:rPr>
        <w:t>接受西方发达国家主导的“国际规则”和“国际惯例”，盲目融入西方垄断资本主导的国际经济循环，</w:t>
      </w:r>
      <w:r>
        <w:rPr>
          <w:szCs w:val="21"/>
        </w:rPr>
        <w:t>不仅不能利用资本主义因素，反而会被资本主义所利用，难以获得参与经济全球化的应得利益，难</w:t>
      </w:r>
      <w:r>
        <w:rPr>
          <w:spacing w:val="-4"/>
          <w:szCs w:val="21"/>
        </w:rPr>
        <w:t>以有效应对资本主义全球性的市场失灵。如果对外开放程度过高过快，不能合理把握经济开放进程，</w:t>
      </w:r>
      <w:r>
        <w:rPr>
          <w:szCs w:val="21"/>
        </w:rPr>
        <w:t>不能采取有效的公共政策以提高国内产业适应外部冲击的能力，就会成为西方资本主义国家的经济</w:t>
      </w:r>
      <w:r>
        <w:rPr>
          <w:spacing w:val="-8"/>
          <w:szCs w:val="21"/>
        </w:rPr>
        <w:t>附庸，难以有效确保国家的经济安全和社会稳定。如果不能合理利用国际国内的资源、市场和技术，</w:t>
      </w:r>
      <w:r>
        <w:rPr>
          <w:szCs w:val="21"/>
        </w:rPr>
        <w:t>陷入高度的对外经济依赖，就会出现依附于资本主义世界的现象，与西方发达资本主义国家的各种</w:t>
      </w:r>
      <w:r>
        <w:rPr>
          <w:spacing w:val="-11"/>
          <w:szCs w:val="21"/>
        </w:rPr>
        <w:t>危机发生“共振”，难以避免输入型的金融和经济危机。我国是人口众多的发展中的社会主义大国，我国的社会主义市场经济是自主发展与开放发展有机结合的市场经济。只有高度珍惜并坚定不移地维护中国人民经过长期奋斗得来的独立自主的发展权利，同时坚持科学合理的对外开放，实现自主发展与开放发展的有机结合，我们才能确保中国特色的社会主义市场经济健康发展，有效规避各种类型的金融危机和经济危机的发生。</w:t>
      </w:r>
    </w:p>
    <w:p w14:paraId="30A96834">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3</w:t>
      </w:r>
      <w:r>
        <w:rPr>
          <w:rFonts w:ascii="宋体" w:hAnsi="宋体" w:eastAsia="宋体" w:cs="宋体"/>
          <w:b/>
          <w:bCs/>
          <w:kern w:val="0"/>
          <w:szCs w:val="21"/>
          <w:lang w:val="zh-CN" w:bidi="zh-CN"/>
        </w:rPr>
        <w:t>.正确认识中国没有陷入金融和经济危机的原因</w:t>
      </w:r>
    </w:p>
    <w:p w14:paraId="0F2B2AE5">
      <w:pPr>
        <w:pStyle w:val="4"/>
        <w:spacing w:line="400" w:lineRule="exact"/>
        <w:ind w:left="0" w:firstLine="420"/>
        <w:rPr>
          <w:szCs w:val="21"/>
        </w:rPr>
      </w:pPr>
      <w:r>
        <w:rPr>
          <w:szCs w:val="21"/>
        </w:rPr>
        <w:t>尽管此次西方国家的金融和经济危机给我国经济带来了巨大冲击，但是我国并没有陷入此轮危机，我国经济发展的长期向好趋势也没有改变。正确认识中国没有陷入此轮危机的原因，无疑有助于我们有效防范和科学应对各类金融和经济危机。</w:t>
      </w:r>
    </w:p>
    <w:p w14:paraId="2A81B762">
      <w:pPr>
        <w:pStyle w:val="4"/>
        <w:spacing w:line="400" w:lineRule="exact"/>
        <w:ind w:left="0" w:firstLine="420"/>
        <w:rPr>
          <w:szCs w:val="21"/>
        </w:rPr>
      </w:pPr>
      <w:r>
        <w:rPr>
          <w:szCs w:val="21"/>
        </w:rPr>
        <w:t>社会主义制度的优越性是使中国避免陷入危机的根本原因。首先，社会主义生产关系极大地促进了生产力的发展，为我国抵御此轮危机的冲击奠定了雄厚的物质基础。中华人民共和国是从半封建半殖民地的社会形态基础上建立起来的，帝国主义的掠夺和长期战争使中国经济积贫积弱。新中国成立以后，先进的社会主义生产关系极大地解放和发展了生产力，使中国经济和社会事业发生了</w:t>
      </w:r>
      <w:r>
        <w:rPr>
          <w:spacing w:val="-7"/>
          <w:szCs w:val="21"/>
        </w:rPr>
        <w:t>翻天覆地的变化。改革开放以来，社会生产力更是得到了极大发展，经济总量发生了飞跃性的变化，</w:t>
      </w:r>
      <w:r>
        <w:rPr>
          <w:szCs w:val="21"/>
        </w:rPr>
        <w:t>GDP</w:t>
      </w:r>
      <w:r>
        <w:rPr>
          <w:spacing w:val="-2"/>
          <w:szCs w:val="21"/>
        </w:rPr>
        <w:t>跃居世界第三，外汇储备稳居世界第一。这为我国抵御各种经济风险和应对此次危机冲击提供了雄厚的物质保障。其次，以公有制经济为主体的社会主义基本经济制度可以大大降低生产的盲目性和无政府状态，有效抵御各类外来危机的冲击。以公有制经济为主体，是经济全球化条件下实现经济社会稳定健康发展、维护国家经济安全的重要保障。为抵御本次西方发达国家金融和经济危机的冲击，公有制经济发挥了巨大的积极作用。以国有金融机构为主的中国金融体系较为有效地避免了信用危机的发生，同时较为有效地实现了信贷总额的迅速扩张，对于扩大企业投资、扶持产业发展和扩大内需起到了积极有效的作用；在重点行业和关键领域里发挥主导作用的国有经济较为有效地维护了宏观经济的稳定运行，同时较好地履行了保障就业、稳定价格等社会责任；在扩大内需、调整结构、转变经济发展方式等方面，国有经济也同样发挥了积极的主导作用，为我国经济的长期稳定健康发展作出了巨大贡献。再次，包括人民民主专政、人民代表大会制、多党合作和政治协商制、民族区域自治制以及基层群众自治制度在内的社会主义政治制度，拥有灵活高效的决策执行体</w:t>
      </w:r>
      <w:r>
        <w:rPr>
          <w:spacing w:val="-8"/>
          <w:szCs w:val="21"/>
        </w:rPr>
        <w:t>系，可以高效调配资源、合力解决重大问题。“社会主义国家有个最大的优越性，就是干一件事情，</w:t>
      </w:r>
      <w:r>
        <w:rPr>
          <w:spacing w:val="-13"/>
          <w:szCs w:val="21"/>
        </w:rPr>
        <w:t>一下决心，一做出决议，就立即执行，不受牵扯。”</w:t>
      </w:r>
      <w:r>
        <w:rPr>
          <w:rStyle w:val="20"/>
          <w:rFonts w:ascii="宋体" w:hAnsi="宋体" w:eastAsia="宋体"/>
          <w:spacing w:val="-13"/>
          <w:szCs w:val="21"/>
        </w:rPr>
        <w:footnoteReference w:id="537"/>
      </w:r>
      <w:r>
        <w:rPr>
          <w:szCs w:val="21"/>
        </w:rPr>
        <w:t>面对此次危机的巨大冲击，我们党和政府迅速反应、科学决策、果断部署，从推出一揽子计划到实施产业调整振兴规划，从拉动经济增长到不断改善民生，从促进改革发展到维护社会和谐稳定，在全国范围、各个领域形成了保增长、保民生、保稳定的强大合力，充分发挥了中国特色社会主义应对重大危机和外来冲击的强大政治优势。可以</w:t>
      </w:r>
      <w:r>
        <w:rPr>
          <w:spacing w:val="-9"/>
          <w:szCs w:val="21"/>
        </w:rPr>
        <w:t>说，没有社会主义制度优越性的根本保证，我国难以避免陷入此次西方国家金融和经济危机的泥潭。</w:t>
      </w:r>
    </w:p>
    <w:p w14:paraId="5A71D547">
      <w:pPr>
        <w:pStyle w:val="4"/>
        <w:spacing w:line="400" w:lineRule="exact"/>
        <w:ind w:left="0" w:firstLine="420"/>
        <w:rPr>
          <w:szCs w:val="21"/>
        </w:rPr>
      </w:pPr>
      <w:r>
        <w:rPr>
          <w:szCs w:val="21"/>
        </w:rPr>
        <w:t>应对危机措施的有效性是使中国避免陷入危机的重要保障。面对西方国家金融和经济危机的巨大冲击，我们党和政府确定了“出手要快、出拳要重、措施要准、工作要实”的总体思路，坚持把保持经济平稳较快发展作为经济工作的首要任务，及时调整宏观经济政策，果断实施积极的财政政</w:t>
      </w:r>
      <w:r>
        <w:rPr>
          <w:spacing w:val="-3"/>
          <w:szCs w:val="21"/>
        </w:rPr>
        <w:t>策和适度宽松的货币政策，出台并不断完善应对国际金融和经济危机冲击的各项政策</w:t>
      </w:r>
      <w:r>
        <w:rPr>
          <w:rStyle w:val="20"/>
          <w:rFonts w:ascii="宋体" w:hAnsi="宋体" w:eastAsia="宋体"/>
          <w:spacing w:val="-3"/>
          <w:szCs w:val="21"/>
        </w:rPr>
        <w:footnoteReference w:id="538"/>
      </w:r>
      <w:r>
        <w:rPr>
          <w:spacing w:val="-10"/>
          <w:szCs w:val="21"/>
        </w:rPr>
        <w:t>。这是避免中</w:t>
      </w:r>
      <w:r>
        <w:rPr>
          <w:szCs w:val="21"/>
        </w:rPr>
        <w:t>国陷入此次危机的重要政策保障。首先，实施积极的财政政策和适度宽松的货币政策，大规模增加</w:t>
      </w:r>
      <w:r>
        <w:rPr>
          <w:spacing w:val="-4"/>
          <w:szCs w:val="21"/>
        </w:rPr>
        <w:t>政府支出，较为迅速有效地扩大了消费需求和国内需求。包括中央政府直接投资</w:t>
      </w:r>
      <w:r>
        <w:rPr>
          <w:szCs w:val="21"/>
        </w:rPr>
        <w:t>1.18</w:t>
      </w:r>
      <w:r>
        <w:rPr>
          <w:spacing w:val="-2"/>
          <w:szCs w:val="21"/>
        </w:rPr>
        <w:t>万亿的总额高</w:t>
      </w:r>
    </w:p>
    <w:p w14:paraId="0C12B7DE">
      <w:pPr>
        <w:pStyle w:val="4"/>
        <w:spacing w:line="400" w:lineRule="exact"/>
        <w:ind w:left="0" w:firstLine="356"/>
        <w:rPr>
          <w:szCs w:val="21"/>
        </w:rPr>
      </w:pPr>
      <w:r>
        <w:rPr>
          <w:spacing w:val="-16"/>
          <w:szCs w:val="21"/>
        </w:rPr>
        <w:t>达</w:t>
      </w:r>
      <w:r>
        <w:rPr>
          <w:szCs w:val="21"/>
        </w:rPr>
        <w:t>4</w:t>
      </w:r>
      <w:r>
        <w:rPr>
          <w:spacing w:val="-1"/>
          <w:szCs w:val="21"/>
        </w:rPr>
        <w:t>万亿的两年投资计划，直接增加了投资需求并带动了社会资金和民间资本的投资支出。注重提</w:t>
      </w:r>
      <w:r>
        <w:rPr>
          <w:spacing w:val="-12"/>
          <w:szCs w:val="21"/>
        </w:rPr>
        <w:t>高居民可支配收入，实施“家电下乡”、“汽车下乡”等刺激消费的积极政策，较好地稳定和增加</w:t>
      </w:r>
      <w:r>
        <w:rPr>
          <w:szCs w:val="21"/>
        </w:rPr>
        <w:t>了居民的消费需求。其次，进一步提高对外开放水平，较快地稳定了外部需求和对外贸易。在西方国家金融和经济危机的背景下，我国积极加强科技兴贸创新基地和服务外包基地建设，支持自主品牌和自主知识产权产品出口，充分发挥自身在国际经济舞台的作用，妥善应对国际贸易摩擦，使得外经外贸较快地得到了稳定。再次，大范围实施产业调整振兴规划，着力进行结构调整，解决经济运行中的深层次矛盾。着眼增强国民经济的整体素质和未来竞争能力，制定并实施了汽车、钢铁、装备制造等十大产业调整振兴规划，出台了一系列促进战略性新兴产业发展的政策措施，高强度地推进了重点领域和关键环节的改革，不仅有效应对了此次危机的冲击，也提升了应对未来国际经济危机冲击的能力。最后，实施更加积极的就业政策，大幅度提高社会保障水平，扩大公共财政对社会保障体系建设的投入，扩大基本养老和基本医疗保险的覆盖面，以及实施其他以改善民生为目的的政策，较好地稳定了人民群众的未来收入和消费预期，增强了人们战胜危机的信心。显然，上述政策措施带有鲜明的社会主义特色，兼顾短期与长期，统筹国际和国内，为应对西方国家金融和经济危机的冲击、保持经济平稳较快发展提供了重要保障。</w:t>
      </w:r>
    </w:p>
    <w:p w14:paraId="7D8F8FEC">
      <w:pPr>
        <w:autoSpaceDE w:val="0"/>
        <w:autoSpaceDN w:val="0"/>
        <w:spacing w:line="360" w:lineRule="auto"/>
        <w:ind w:firstLine="504"/>
        <w:jc w:val="center"/>
        <w:rPr>
          <w:rFonts w:ascii="宋体" w:hAnsi="宋体" w:eastAsia="宋体"/>
          <w:b/>
          <w:bCs/>
          <w:color w:val="000000"/>
          <w:sz w:val="24"/>
          <w:szCs w:val="24"/>
        </w:rPr>
      </w:pPr>
      <w:r>
        <w:rPr>
          <w:rFonts w:ascii="宋体" w:hAnsi="宋体" w:eastAsia="宋体"/>
          <w:b/>
          <w:bCs/>
          <w:color w:val="000000"/>
          <w:sz w:val="24"/>
          <w:szCs w:val="24"/>
        </w:rPr>
        <w:t>五、防范与应对金融和经济危机必须坚持“中国道路”</w:t>
      </w:r>
    </w:p>
    <w:p w14:paraId="691C762D">
      <w:pPr>
        <w:pStyle w:val="4"/>
        <w:spacing w:line="400" w:lineRule="exact"/>
        <w:ind w:left="0" w:firstLine="420"/>
        <w:rPr>
          <w:szCs w:val="21"/>
        </w:rPr>
      </w:pPr>
    </w:p>
    <w:p w14:paraId="26D12B1A">
      <w:pPr>
        <w:pStyle w:val="4"/>
        <w:spacing w:line="400" w:lineRule="exact"/>
        <w:ind w:left="0" w:firstLine="420"/>
        <w:rPr>
          <w:szCs w:val="21"/>
        </w:rPr>
      </w:pPr>
      <w:r>
        <w:rPr>
          <w:szCs w:val="21"/>
        </w:rPr>
        <w:t>世界各国发展的历史已经证明：没有任何一个发展中国家能够照搬西方模式而成为现代强国，也没有任何一种发展模式适合所有的民族国家。此次西方国家金融和经济危机爆发之后，发展中国家在质疑和批判西方模式的同时，也在积极探寻适合本国的发展道路。对于中国而言，有效规避与</w:t>
      </w:r>
      <w:r>
        <w:rPr>
          <w:spacing w:val="-5"/>
          <w:szCs w:val="21"/>
        </w:rPr>
        <w:t>防范金融和经济危机的发生，科学应对西方国家金融和经济危机的冲击，实现经济社会的科学发展，</w:t>
      </w:r>
      <w:r>
        <w:rPr>
          <w:szCs w:val="21"/>
        </w:rPr>
        <w:t>必须更加坚定地坚持中国特色社会主义的伟大道路。</w:t>
      </w:r>
    </w:p>
    <w:p w14:paraId="7FF29584">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1</w:t>
      </w:r>
      <w:r>
        <w:rPr>
          <w:rFonts w:ascii="宋体" w:hAnsi="宋体" w:eastAsia="宋体" w:cs="宋体"/>
          <w:b/>
          <w:bCs/>
          <w:kern w:val="0"/>
          <w:szCs w:val="21"/>
          <w:lang w:val="zh-CN" w:bidi="zh-CN"/>
        </w:rPr>
        <w:t>.防范与应对金融和经济危机，必须巩固和完善社会主义基本经济制度</w:t>
      </w:r>
    </w:p>
    <w:p w14:paraId="442B7BA3">
      <w:pPr>
        <w:pStyle w:val="4"/>
        <w:spacing w:line="400" w:lineRule="exact"/>
        <w:ind w:left="0" w:firstLine="376"/>
        <w:rPr>
          <w:szCs w:val="21"/>
        </w:rPr>
      </w:pPr>
      <w:r>
        <w:rPr>
          <w:spacing w:val="-11"/>
          <w:szCs w:val="21"/>
        </w:rPr>
        <w:t>改革开放</w:t>
      </w:r>
      <w:r>
        <w:rPr>
          <w:szCs w:val="21"/>
        </w:rPr>
        <w:t>30</w:t>
      </w:r>
      <w:r>
        <w:rPr>
          <w:spacing w:val="-7"/>
          <w:szCs w:val="21"/>
        </w:rPr>
        <w:t>多年来的实践证明，公有制为主体、多种所有制经济共同发展的基本经济制度符合</w:t>
      </w:r>
      <w:r>
        <w:rPr>
          <w:spacing w:val="-1"/>
          <w:szCs w:val="21"/>
        </w:rPr>
        <w:t>现阶段我国经济社会发展要求，有利于经济社会稳定健康发展。有效规避与应对各类金融和经济危</w:t>
      </w:r>
      <w:r>
        <w:rPr>
          <w:szCs w:val="21"/>
        </w:rPr>
        <w:t>机的发生与冲击，实现经济社会的科学发展，必须不断巩固和完善社会主义基本经济制度。</w:t>
      </w:r>
    </w:p>
    <w:p w14:paraId="146CD96B">
      <w:pPr>
        <w:pStyle w:val="4"/>
        <w:spacing w:line="400" w:lineRule="exact"/>
        <w:ind w:left="0" w:firstLine="420"/>
        <w:rPr>
          <w:szCs w:val="21"/>
        </w:rPr>
      </w:pPr>
      <w:r>
        <w:rPr>
          <w:szCs w:val="21"/>
        </w:rPr>
        <w:t>不断巩固和发展公有制经济的主体地位。生产资料公有制是社会主义基本经济制度的基础，是社会主义区别于资本主义的本质特征，是劳动人民当家作主的经济基础，是解放和发展生产力的根本要求，是实现共同富裕的根本前提。以生产资料公有制为基础的社会主义市场经济，可以消除生产资料私有制与社会化生产的根本矛盾以及生产与消费之间的对抗性矛盾，有利于克服市场机制的自发性和生产的无政府状态，从而消除周期性经济危机。为了有效防范与应对各类金融和经济危机的发生与冲击，必须始终不断地巩固和加强公有制经济的主体地位。首先，必须始终确保公有资产的优势地位。既要不断巩固和发展公有资产的量的优势，更要注重公有资产的质的提高。必须合理调整公有资产的布局与结构，完善公有资产的监管与经营，不断提高公有资产的整体素质和配置效率，从而更好地发挥公有资产在稳定宏观经济、实现科学发展方面的积极作用。其次，必须巩固和壮大国有经济的主导地位。必须始终保持国有经济在包括金融产业在内的关系国家安全和国民经济命脉等重要行业以及关键领域的控制地位，必须建立符合市场经济规律和我国国情的企业领导体制和管理制度，增强国有经济的活力，充分发挥国有经济在经济社会各个领域的带动力和影响力。再次，必须不断巩固和发展集体经济尤其是农村集体经济。必须坚持以家庭承包经营为基础、统分结合的双层经营体制，巩固和发展农村集体经济，绝不允许以土地私有化代替我们党提出的土地承包经营权流转政策，瓦解农村集体经济的基础；必须积极培育农民新型合作组织和农业社会化服务组</w:t>
      </w:r>
      <w:r>
        <w:rPr>
          <w:spacing w:val="-9"/>
          <w:szCs w:val="21"/>
        </w:rPr>
        <w:t>织，提高农村经济和农业生产的组织化程度，为农业改革和发展的“第二个飞跃”创造条件。此外，</w:t>
      </w:r>
      <w:r>
        <w:rPr>
          <w:szCs w:val="21"/>
        </w:rPr>
        <w:t>必须积极探索公有制的各种有效实现形式。只有积极探索和大胆利用包括股份制和股份合作制在内的一切反映社会化生产规律的公有制各种有效实现形式，才能真正解放和提高公有制经济的活力和效率，不断加强公有制经济的主体地位。</w:t>
      </w:r>
    </w:p>
    <w:p w14:paraId="5FA10DD3">
      <w:pPr>
        <w:pStyle w:val="4"/>
        <w:spacing w:line="400" w:lineRule="exact"/>
        <w:ind w:left="0" w:firstLine="420"/>
        <w:rPr>
          <w:szCs w:val="21"/>
        </w:rPr>
      </w:pPr>
      <w:r>
        <w:rPr>
          <w:szCs w:val="21"/>
        </w:rPr>
        <w:t>积极鼓励和引导非公有制经济发展。各种非公有制经济的存在和发展是我国社会主义初级阶段生产力水平多层次性和不平衡性特点的客观要求。个体、私营、外资等各种非公有制经济的存在和发展有利于充分调动社会各个方面的资源与积极因素，有利于增加就业、满足需要，促进经济发展的活力，为抵御各种外来危机的冲击提供物质保障。我国仍处于并将长期处于社会主义初级阶段。为了解放和发展生产力，有效应对各类金融和经济危机的冲击，必须长期积极鼓励和引导非公有制经济的发展。首先，加强制度创新，完善非公有制经济发展的政策体系。应将放宽市场准入、实现公平竞争真正落到实处，进一步加大对非公有制经济的财税金融支持，完善对非公有制经济的社会服务。其次，鼓励混合所有制经济发展，充分发挥公有制经济的影响作用。引导公有制与非公有制企业相互参股、相互融合，通过公有制经济带动非公有制经济发展，并将其发展纳入社会主义市场经济的正确轨道。再次，扶持非公有制经济加快转变经济发展方式，强化非公有制企业的自主创新能力，提升非公有制经济的发展质量和整体素质，推动非公有制企业提升国际竞争能力和抗御各类风险的能力。此外，必须引导非公有制经济增强危机意识和社会责任感，切实按照市场规则进行生产和经营，努力克服生产的盲目性和无序性。</w:t>
      </w:r>
    </w:p>
    <w:p w14:paraId="383F5341">
      <w:pPr>
        <w:pStyle w:val="4"/>
        <w:spacing w:line="400" w:lineRule="exact"/>
        <w:ind w:left="0" w:firstLine="420"/>
        <w:rPr>
          <w:szCs w:val="21"/>
        </w:rPr>
      </w:pPr>
      <w:r>
        <w:rPr>
          <w:szCs w:val="21"/>
        </w:rPr>
        <w:t>辩证把握公有制经济为主体与多种所有制经济共同发展的关系。我国社会主义初级阶段的基本经济制度既坚持了科学社会主义的基本原则，又根据我国实际和时代特征赋予其鲜明的中国特色。巩固和完善这一基本经济制度，必须辩证把握公有制经济为主体与多种所有制经济共同发展的有机统一。首先，必须正确处理社会主义与资本主义的关系。绝不能简单地将社会主义与资本主义绝对</w:t>
      </w:r>
      <w:r>
        <w:rPr>
          <w:spacing w:val="-10"/>
          <w:szCs w:val="21"/>
        </w:rPr>
        <w:t>对立，追求“纯粹”的社会主义经济。必须承认各种非公有制经济的历史作用，并以“三个有利于”</w:t>
      </w:r>
      <w:r>
        <w:rPr>
          <w:szCs w:val="21"/>
        </w:rPr>
        <w:t>标准评判各种所有制形式的优劣。在社会主义初级阶段，公有制经济和各种非公有制经济，都是社会主义市场经济的重要组成部分，不能简单地把坚持公有制为主体和促进非公有制经济发展两者对</w:t>
      </w:r>
      <w:r>
        <w:rPr>
          <w:spacing w:val="-9"/>
          <w:szCs w:val="21"/>
        </w:rPr>
        <w:t>立起来。其次，毫不动摇地鼓励、支持和引导非公有制经济的发展不等于全面推行资本主义私有制。</w:t>
      </w:r>
      <w:r>
        <w:rPr>
          <w:szCs w:val="21"/>
        </w:rPr>
        <w:t>生产资料公有制是社会主义的一个根本原则。没有公有制经济的主体地位，就没有共产党执政和整个社会主义上层建筑的坚实经济基础和强大物质手段，就不能防止两极分化、实现共同富裕，就难以有效地防范与应对各类金融和经济危机的发生与冲击。社会主义初级阶段促进非公有制经济发展必须服务于完善社会主义市场经济体制，而不能用资本主义私有制经济取代社会主义公有制经济，毫不动摇地鼓励、支持和引导非公有制经济的发展，必须以毫不动摇地巩固和发展公有制经济的主体地位为前提。再次，毫不动摇地巩固和发展公有制经济也不等于实行单一的公有制。在社会主义初级阶段，巩固和发展公有制经济，同时发展而不是排斥非公有制经济，既能够充分调动各种社会</w:t>
      </w:r>
      <w:r>
        <w:rPr>
          <w:spacing w:val="-3"/>
          <w:szCs w:val="21"/>
        </w:rPr>
        <w:t>潜在经济资源，也是公有制经济巩固和发展自身的需要</w:t>
      </w:r>
      <w:r>
        <w:rPr>
          <w:rStyle w:val="20"/>
          <w:rFonts w:ascii="宋体" w:hAnsi="宋体" w:eastAsia="宋体"/>
          <w:spacing w:val="-3"/>
          <w:szCs w:val="21"/>
        </w:rPr>
        <w:footnoteReference w:id="539"/>
      </w:r>
      <w:r>
        <w:rPr>
          <w:spacing w:val="-7"/>
          <w:szCs w:val="21"/>
        </w:rPr>
        <w:t>。社会主义初级阶段，鼓励、引导非公有制经济发展，是生产力水平相对落后国家坚持社会主义道路，正确对待资本主义、利用资本主义建设社会主义，辩证否定私有制的必然要求。</w:t>
      </w:r>
    </w:p>
    <w:p w14:paraId="4502C51D">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2</w:t>
      </w:r>
      <w:r>
        <w:rPr>
          <w:rFonts w:ascii="宋体" w:hAnsi="宋体" w:eastAsia="宋体" w:cs="宋体"/>
          <w:b/>
          <w:bCs/>
          <w:kern w:val="0"/>
          <w:szCs w:val="21"/>
          <w:lang w:val="zh-CN" w:bidi="zh-CN"/>
        </w:rPr>
        <w:t>.防范与应对金融和经济危机，必须加强和改善国家宏观调控</w:t>
      </w:r>
    </w:p>
    <w:p w14:paraId="51A86DD9">
      <w:pPr>
        <w:pStyle w:val="4"/>
        <w:spacing w:line="400" w:lineRule="exact"/>
        <w:ind w:left="0" w:firstLine="420"/>
        <w:rPr>
          <w:szCs w:val="21"/>
        </w:rPr>
      </w:pPr>
      <w:r>
        <w:rPr>
          <w:szCs w:val="21"/>
        </w:rPr>
        <w:t>我国的社会主义市场经济，是在国家宏观调控下市场对资源配置发挥基础性作用的市场经济。公有制经济主体地位基础之上的有调控的市场经济，是我国社会主义市场经济的优势所在。只有不断加强和改善国家宏观调控，有效调节私人资本的逐利性和扩张性，克服私人资本和金融资本的无序化、极端化，努力维护宏观经济的稳定性、平衡性和持续性，我们才能有效规避与防范金融和经济危机的发生，科学应对西方国家金融和经济危机的冲击，实现经济社会的科学发展。</w:t>
      </w:r>
    </w:p>
    <w:p w14:paraId="337EA75A">
      <w:pPr>
        <w:pStyle w:val="4"/>
        <w:spacing w:line="400" w:lineRule="exact"/>
        <w:ind w:left="0" w:firstLine="420"/>
        <w:rPr>
          <w:szCs w:val="21"/>
        </w:rPr>
      </w:pPr>
      <w:r>
        <w:rPr>
          <w:szCs w:val="21"/>
        </w:rPr>
        <w:t>完善市场与政府的调节功能，强化长期规划和计划调节。必须合理借鉴西方发达市场经济国家调节经济的成功经验，多结构、多层次地发展市场体系，充分发挥市场基础性配置资源的作用，同时更加注重发挥政府的财政政策和货币政策的宏观调节作用，健全宏观经济预测体系，增强宏观调控政策的科学性与准确性，提高宏观经济政策的针对性和灵活性。更为重要的是，必须强化政府的长期规划和计划调节。西方发达资本主义国家之所以频繁地爆发金融和经济危机，除了无法克服资本主义基本矛盾周期性激化这一根本原因，也与市场自发调节的短期性、盲目性和政党轮替导致政府宏观经济政策的周期性、局限性有关。我国社会主义市场经济的经济调节，必须充分发挥社会主</w:t>
      </w:r>
      <w:r>
        <w:rPr>
          <w:spacing w:val="-6"/>
          <w:szCs w:val="21"/>
        </w:rPr>
        <w:t>义政治制度的强大优势，强化政府的长期规划和计划调节功能，科学制定经济社会的长远发展规划，</w:t>
      </w:r>
      <w:r>
        <w:rPr>
          <w:spacing w:val="-3"/>
          <w:szCs w:val="21"/>
        </w:rPr>
        <w:t>努力保持各项政策的稳定性和连续性。这样，既发挥市场调节的优良功能去抑制“政府调节失灵”，</w:t>
      </w:r>
      <w:r>
        <w:rPr>
          <w:spacing w:val="-13"/>
          <w:szCs w:val="21"/>
        </w:rPr>
        <w:t>更有效地发挥政府调节的优良功能去纠正“市场调节失灵”，建立一种“基础—主导”双重调节机制，</w:t>
      </w:r>
      <w:r>
        <w:rPr>
          <w:szCs w:val="21"/>
        </w:rPr>
        <w:t>形成“强市场”和“强政府”的“双强”调节格局，从而确保社会经济的长期稳定健康发展</w:t>
      </w:r>
      <w:r>
        <w:rPr>
          <w:rStyle w:val="20"/>
          <w:rFonts w:ascii="宋体" w:hAnsi="宋体" w:eastAsia="宋体"/>
          <w:szCs w:val="21"/>
        </w:rPr>
        <w:footnoteReference w:id="540"/>
      </w:r>
      <w:r>
        <w:rPr>
          <w:szCs w:val="21"/>
        </w:rPr>
        <w:t>。</w:t>
      </w:r>
    </w:p>
    <w:p w14:paraId="1303F20A">
      <w:pPr>
        <w:pStyle w:val="4"/>
        <w:spacing w:line="400" w:lineRule="exact"/>
        <w:ind w:left="0" w:firstLine="380"/>
        <w:rPr>
          <w:szCs w:val="21"/>
        </w:rPr>
      </w:pPr>
      <w:r>
        <w:rPr>
          <w:spacing w:val="-10"/>
          <w:szCs w:val="21"/>
        </w:rPr>
        <w:t>提升政府微观规制和宏观驾驭能力，有效“节制资本”。必须通过《公司法》等法律政策的调整与完善，构建具有中国特色的社会主义现代企业制度，完善以职工代表大会为基本形式的企业单位民主管理制度，赋予人民群众拥有管理生产过程和决定剩余产品分配的权利，节制资本的逐利倾向和剥削行为，提升工人阶级的主人翁意识，全心全意依靠工人阶级。必须通过制订发展规划、实施经济政策、制定经济规则等手段，限制资本主义因素在社会主义中国的发展规模和活动范围，使资本主义因素的发展严格控制在社会主义国家允许的必要范围之内，防止社会生活领域的“全面资本</w:t>
      </w:r>
      <w:r>
        <w:rPr>
          <w:spacing w:val="-16"/>
          <w:szCs w:val="21"/>
        </w:rPr>
        <w:t>主义化”。同时，必须提高无产阶级国家政府对各种非公有制经济的驾驭能力。确保非公有制经济受制并服务于社会主义，关键在于正确发挥无产阶级国家的作用。为此，必须协调国家政权的社会主义性质与经济基础多元性之间的矛盾，实现无产阶级专政对社会经济关系的统领，从而保障国家社会主义建设的制度方向；必须保证共产党的领导和代表人民的利益，坚持马克思主义的指导地位，</w:t>
      </w:r>
      <w:r>
        <w:rPr>
          <w:spacing w:val="-19"/>
          <w:szCs w:val="21"/>
        </w:rPr>
        <w:t>反对任何形式的资产阶级自由化，防止资本膨胀，警惕“权钱腐败联盟”；必须加强人民民主权利，</w:t>
      </w:r>
      <w:r>
        <w:rPr>
          <w:szCs w:val="21"/>
        </w:rPr>
        <w:t>扩大人民群众参与国家各项公共事务管理和决策的范围和程度，真正实现发展依靠人民、发展为了人民、发展成果由人民共享</w:t>
      </w:r>
      <w:r>
        <w:rPr>
          <w:rStyle w:val="20"/>
          <w:rFonts w:ascii="宋体" w:hAnsi="宋体" w:eastAsia="宋体"/>
          <w:szCs w:val="21"/>
        </w:rPr>
        <w:footnoteReference w:id="541"/>
      </w:r>
      <w:r>
        <w:rPr>
          <w:szCs w:val="21"/>
        </w:rPr>
        <w:t>。</w:t>
      </w:r>
    </w:p>
    <w:p w14:paraId="795B9D9D">
      <w:pPr>
        <w:pStyle w:val="4"/>
        <w:spacing w:line="400" w:lineRule="exact"/>
        <w:ind w:left="0" w:firstLine="384"/>
        <w:rPr>
          <w:szCs w:val="21"/>
        </w:rPr>
      </w:pPr>
      <w:r>
        <w:rPr>
          <w:spacing w:val="-9"/>
          <w:szCs w:val="21"/>
        </w:rPr>
        <w:t>发挥社会调节和伦理调节的积极作用，弥补“市场失灵”和“政府失灵”。随着现代信息技术和网络技术的发展，社会调节和伦理调节的重要作用日益凸显，并日益成为弥补“市场失灵”和“政府失灵”的重要手段。为有效调节私人资本的逐利性和盲目性，维护社会经济的稳定性与平衡性，我们必须充分发挥社会调节和伦理调节的积极作用，矫正市场调节和政府调节的偏差，弥补市场调</w:t>
      </w:r>
      <w:r>
        <w:rPr>
          <w:spacing w:val="-14"/>
          <w:szCs w:val="21"/>
        </w:rPr>
        <w:t>节和政府调节的“空场”。必须有效增加教育、科学、信息、安全秩序和社会舆论等领域的政府投入和公共物品供给，为社会调节和伦理调节作用的发挥提供基本的平台保障。必须努力通过法制建设和社会保障体系的完善，保障社会成员的自由、公正权利，保障社会成员的基本食品、医疗及教育，</w:t>
      </w:r>
      <w:r>
        <w:rPr>
          <w:spacing w:val="-8"/>
          <w:szCs w:val="21"/>
        </w:rPr>
        <w:t>实现“特定的平均主义”,尽力化解不同利益群体和阶层间的结构性利益矛盾以及社会心理情绪和社会心理诉求失衡的现象。必须依靠法律、行政和经济等手段为民间组织参与国家的政治生活提供较多的渠道，提高社会公众政治参与和社会参与的能力，积极培育与政府合作的民间组织。必须对文化领域和意识形态领域倾注更多的政府关注。离开成功的意识形态，任何制度的维持或创新都是不可能的。面对全球化所带来的外来文化和意识形态的冲击，为实现社会利益的最大化，政府必须投入一定的公共资源，整合社会成员的意识形态与价值追求，打破个人利益至上的市场价值追求，以社会主义核心价值体系引领人们的经济行为，构建良好的“利益追求—道德文化”互动架构。</w:t>
      </w:r>
    </w:p>
    <w:p w14:paraId="17AC7DA8">
      <w:pPr>
        <w:pStyle w:val="4"/>
        <w:spacing w:line="400" w:lineRule="exact"/>
        <w:ind w:left="0" w:firstLine="420"/>
        <w:rPr>
          <w:szCs w:val="21"/>
        </w:rPr>
      </w:pPr>
      <w:r>
        <w:rPr>
          <w:szCs w:val="21"/>
        </w:rPr>
        <w:t>统筹国际和国内，提升政府应对国际形势变幻的能力。在全球化时代，面对外部世界的种种不</w:t>
      </w:r>
      <w:r>
        <w:rPr>
          <w:spacing w:val="-6"/>
          <w:szCs w:val="21"/>
        </w:rPr>
        <w:t>确定性与危机的冲击，我们应进一步认真贯彻落实科学发展观，更加紧密地统筹国际国内两个大局，</w:t>
      </w:r>
      <w:r>
        <w:rPr>
          <w:szCs w:val="21"/>
        </w:rPr>
        <w:t>有效提升政府应对各种危机、维护本国经济安全和社会稳定的能力。必须加强国际国内金融体系和国际资本流动的监管。对货币稳定、汇率、利率、金融和信贷体制的稳定等领域投入更多的公共资源，努力使虚拟经济服务于实体经济的需要，加强金融规制以防范全球化所带来的金融风险和经济</w:t>
      </w:r>
      <w:r>
        <w:rPr>
          <w:spacing w:val="-9"/>
          <w:szCs w:val="21"/>
        </w:rPr>
        <w:t>危机以及发达资本主义国家的“金融殖民”。必须坚持“自力更生为主，争取外援为辅”，坚持走中</w:t>
      </w:r>
      <w:r>
        <w:rPr>
          <w:szCs w:val="21"/>
        </w:rPr>
        <w:t>国特色自主创新道路。对于具有战略意义和高风险的新技术产业(生物技术、网络经济、空间技术、</w:t>
      </w:r>
      <w:r>
        <w:rPr>
          <w:spacing w:val="-7"/>
          <w:szCs w:val="21"/>
        </w:rPr>
        <w:t>低碳技术、数字化经济),政府不仅应增加投资并带动民间投资，更应增加规制其发展的规则和管理</w:t>
      </w:r>
      <w:r>
        <w:rPr>
          <w:spacing w:val="-12"/>
          <w:szCs w:val="21"/>
        </w:rPr>
        <w:t>的供给，遏制发达资本主义国家的“技术殖民”。必须积极参与“国际规则”的博弈，防范西方发达</w:t>
      </w:r>
      <w:r>
        <w:rPr>
          <w:spacing w:val="-15"/>
          <w:szCs w:val="21"/>
        </w:rPr>
        <w:t>国家的“规则殖民”。在全球化时代，西方发达资本主义强国凭借其在国际事务上的垄断和霸权，一</w:t>
      </w:r>
      <w:r>
        <w:rPr>
          <w:szCs w:val="21"/>
        </w:rPr>
        <w:t>直力图将自身的生产方式和“宪法条款”以国际惯例之名逐渐扩展到所有的国家。我们必须始终坚持科学社会主义的基本原则，合理承担国际义务和接受国际规则，避免陷入西方资本主义规则体系以及由此引发的各种危机的冲击。</w:t>
      </w:r>
    </w:p>
    <w:p w14:paraId="29FB360F">
      <w:pPr>
        <w:autoSpaceDE w:val="0"/>
        <w:autoSpaceDN w:val="0"/>
        <w:spacing w:line="400" w:lineRule="exact"/>
        <w:ind w:firstLine="442"/>
        <w:rPr>
          <w:rFonts w:ascii="宋体" w:hAnsi="宋体" w:eastAsia="宋体" w:cs="宋体"/>
          <w:b/>
          <w:bCs/>
          <w:kern w:val="0"/>
          <w:szCs w:val="21"/>
          <w:lang w:val="zh-CN" w:bidi="zh-CN"/>
        </w:rPr>
      </w:pPr>
      <w:r>
        <w:rPr>
          <w:rFonts w:hint="eastAsia" w:ascii="宋体" w:hAnsi="宋体" w:eastAsia="宋体" w:cs="宋体"/>
          <w:b/>
          <w:bCs/>
          <w:kern w:val="0"/>
          <w:szCs w:val="21"/>
          <w:lang w:val="zh-CN" w:bidi="zh-CN"/>
        </w:rPr>
        <w:t>3</w:t>
      </w:r>
      <w:r>
        <w:rPr>
          <w:rFonts w:ascii="宋体" w:hAnsi="宋体" w:eastAsia="宋体" w:cs="宋体"/>
          <w:b/>
          <w:bCs/>
          <w:kern w:val="0"/>
          <w:szCs w:val="21"/>
          <w:lang w:val="zh-CN" w:bidi="zh-CN"/>
        </w:rPr>
        <w:t>.防范与应对金融和经济危机，必须转变和提升经济发展方式</w:t>
      </w:r>
    </w:p>
    <w:p w14:paraId="7EE7F1D0">
      <w:pPr>
        <w:pStyle w:val="4"/>
        <w:spacing w:line="400" w:lineRule="exact"/>
        <w:ind w:left="0" w:firstLine="312"/>
        <w:rPr>
          <w:szCs w:val="21"/>
        </w:rPr>
      </w:pPr>
      <w:r>
        <w:rPr>
          <w:spacing w:val="-27"/>
          <w:szCs w:val="21"/>
        </w:rPr>
        <w:t>近</w:t>
      </w:r>
      <w:r>
        <w:rPr>
          <w:szCs w:val="21"/>
        </w:rPr>
        <w:t>300</w:t>
      </w:r>
      <w:r>
        <w:rPr>
          <w:spacing w:val="-4"/>
          <w:szCs w:val="21"/>
        </w:rPr>
        <w:t>年的世界现代化史表明，一个国家要保持充满活力、持续向上的发展态势，关键是让经济发展方式始终与时俱进，找到符合潮流、契合自身发展阶段的现代化路径</w:t>
      </w:r>
      <w:r>
        <w:rPr>
          <w:rStyle w:val="20"/>
          <w:rFonts w:ascii="宋体" w:hAnsi="宋体" w:eastAsia="宋体"/>
          <w:spacing w:val="-4"/>
          <w:szCs w:val="21"/>
        </w:rPr>
        <w:footnoteReference w:id="542"/>
      </w:r>
      <w:r>
        <w:rPr>
          <w:spacing w:val="-6"/>
          <w:szCs w:val="21"/>
        </w:rPr>
        <w:t>。此次西方国家的金融</w:t>
      </w:r>
      <w:r>
        <w:rPr>
          <w:szCs w:val="21"/>
        </w:rPr>
        <w:t>和经济危机的巨大冲击使我国传统经济发展方式“软肋”尽显。适应全球经济结构重大变化，提高我国经济社会可持续发展水平，增强我国经济防范和抵御各类危机发生与冲击的能力，迫切需要全面转变和提升我国传统经济发展方式</w:t>
      </w:r>
      <w:r>
        <w:rPr>
          <w:rStyle w:val="20"/>
          <w:rFonts w:ascii="宋体" w:hAnsi="宋体" w:eastAsia="宋体"/>
          <w:szCs w:val="21"/>
        </w:rPr>
        <w:footnoteReference w:id="543"/>
      </w:r>
      <w:r>
        <w:rPr>
          <w:szCs w:val="21"/>
        </w:rPr>
        <w:t>。</w:t>
      </w:r>
    </w:p>
    <w:p w14:paraId="4A46561E">
      <w:pPr>
        <w:pStyle w:val="4"/>
        <w:spacing w:line="400" w:lineRule="exact"/>
        <w:ind w:left="0" w:firstLine="420"/>
        <w:rPr>
          <w:szCs w:val="21"/>
        </w:rPr>
      </w:pPr>
      <w:r>
        <w:rPr>
          <w:szCs w:val="21"/>
        </w:rPr>
        <w:t>适当降低外贸依存度，提升消费拉动增长的作用。适应全球需求结构的重大变化，必须适当降低外贸依存度，提升消费拉动增长的作用，努力做到消费、投资和出口相协调。必须加快收入分配</w:t>
      </w:r>
      <w:r>
        <w:rPr>
          <w:spacing w:val="-9"/>
          <w:szCs w:val="21"/>
        </w:rPr>
        <w:t>制度改革，调整国民收入分配结构，尽快提高劳动收入占</w:t>
      </w:r>
      <w:r>
        <w:rPr>
          <w:szCs w:val="21"/>
        </w:rPr>
        <w:t>GDP</w:t>
      </w:r>
      <w:r>
        <w:rPr>
          <w:spacing w:val="-5"/>
          <w:szCs w:val="21"/>
        </w:rPr>
        <w:t>的比重，切实提高普通居民的收入水平，扭转收入和财富分配差距不断扩大的趋势；必须坚持把解决好“三农”问题作为全党工作的重</w:t>
      </w:r>
      <w:r>
        <w:rPr>
          <w:spacing w:val="-9"/>
          <w:szCs w:val="21"/>
        </w:rPr>
        <w:t>中之重，加大农业和农村的基础设施投资，构建促进农民持续增收的长效机制，持续扩大农村消费；</w:t>
      </w:r>
      <w:r>
        <w:rPr>
          <w:szCs w:val="21"/>
        </w:rPr>
        <w:t>必须着力改善民生，加快交通、通信、电力、生态环境等基础设施建设，尽快完善社会医疗和社会保障体系，加大基础教育和健康卫生方面的公共投资，逐步缩小公共物品和公共服务的分配差距，有效改善人们的消费预期，提高消费倾向。</w:t>
      </w:r>
    </w:p>
    <w:p w14:paraId="6BE113FC">
      <w:pPr>
        <w:pStyle w:val="4"/>
        <w:spacing w:line="400" w:lineRule="exact"/>
        <w:ind w:left="0" w:firstLine="400"/>
        <w:rPr>
          <w:szCs w:val="21"/>
        </w:rPr>
      </w:pPr>
      <w:r>
        <w:rPr>
          <w:spacing w:val="-5"/>
          <w:szCs w:val="21"/>
        </w:rPr>
        <w:t>适当控制外资依存度，提升协调利用中外资的效益。改革开放以来，利用外资对我国的经济增</w:t>
      </w:r>
      <w:r>
        <w:rPr>
          <w:szCs w:val="21"/>
        </w:rPr>
        <w:t>长和社会进步曾经起到了不可替代的重要作用。但是，随着外资向我国转移污染企业和垄断我国的食用油、种子等战略性行业，外资不仅使我们付出了巨大的环境成本和经济代价，而且对内资产生</w:t>
      </w:r>
      <w:r>
        <w:rPr>
          <w:spacing w:val="-15"/>
          <w:szCs w:val="21"/>
        </w:rPr>
        <w:t>了“挤出效应”，影响了国家宏观调控的效果。同时，外资的大量涌入导致外汇储备和对外贸易顺差</w:t>
      </w:r>
      <w:r>
        <w:rPr>
          <w:szCs w:val="21"/>
        </w:rPr>
        <w:t>异常增加，直接影响到中国的经济安全，加大了国际经济摩擦。为此，应逐步取消外资企业在税收等方面的优惠政策，保证国内企业得到公平的竞争环境；应提高环保标准等投资门槛，调整引资政策，引导外资投资方向，使外商的投资逐渐向现代服务业和高新技术产业转移；应运用经济的、法律的手段制止跨国公司控制和垄断我国产业的行为，保证我国经济安全；应加快金融体系和金融市场建设，充分利用国内闲置资金，为中国的民族企业的发展扩展空间。</w:t>
      </w:r>
    </w:p>
    <w:p w14:paraId="0B43BC5F">
      <w:pPr>
        <w:pStyle w:val="4"/>
        <w:spacing w:line="400" w:lineRule="exact"/>
        <w:ind w:left="0" w:firstLine="420"/>
        <w:rPr>
          <w:szCs w:val="21"/>
        </w:rPr>
      </w:pPr>
      <w:r>
        <w:rPr>
          <w:szCs w:val="21"/>
        </w:rPr>
        <w:t>努力降低外技依存度，提升自主创新能力。世界各国发展的历史表明，一个国家只有拥有强大的自主创新能力，才能从容应对各种重大挑战，把握先机、赢得主动。过度依赖发达国家的先进技术，只能丧失技术进步的动力，导致贸易结构畸形、贸易条件恶化、社会整体福利水平下降。必须以科学发展观为指导，加大创新人才的培养力度，建设一支适应时代和社会发展需要的创新人才队伍；加大自主创新的研发经费投入，为自主创新提供必要的物质基础；充分发挥政府的主导作用，利用社会主义集中力量办大事的优势，组织好若干重大科研项目的攻关，努力在若干重要领域、重要产业掌握一批核心技术，拥有一批自主知识产权，造就一批控股、控技、控牌的“三控型”民族企业集团，突出培育和发挥知识产权优势，尽快完成从贸易大国向贸易强国、经济大国向经济强国的转型。</w:t>
      </w:r>
    </w:p>
    <w:p w14:paraId="6F6901D0">
      <w:pPr>
        <w:pStyle w:val="4"/>
        <w:spacing w:line="400" w:lineRule="exact"/>
        <w:ind w:left="0" w:firstLine="420"/>
        <w:rPr>
          <w:szCs w:val="21"/>
        </w:rPr>
      </w:pPr>
      <w:r>
        <w:rPr>
          <w:szCs w:val="21"/>
        </w:rPr>
        <w:t>适当降低“外源”依存度，提升配置资源的效率。20</w:t>
      </w:r>
      <w:r>
        <w:rPr>
          <w:spacing w:val="-8"/>
          <w:szCs w:val="21"/>
        </w:rPr>
        <w:t>世纪</w:t>
      </w:r>
      <w:r>
        <w:rPr>
          <w:szCs w:val="21"/>
        </w:rPr>
        <w:t>90</w:t>
      </w:r>
      <w:r>
        <w:rPr>
          <w:spacing w:val="-1"/>
          <w:szCs w:val="21"/>
        </w:rPr>
        <w:t>年代以来，中国的能源和资源进</w:t>
      </w:r>
      <w:r>
        <w:rPr>
          <w:spacing w:val="-13"/>
          <w:szCs w:val="21"/>
        </w:rPr>
        <w:t>口急剧增加。石油从</w:t>
      </w:r>
      <w:r>
        <w:rPr>
          <w:szCs w:val="21"/>
        </w:rPr>
        <w:t>1993</w:t>
      </w:r>
      <w:r>
        <w:rPr>
          <w:spacing w:val="-12"/>
          <w:szCs w:val="21"/>
        </w:rPr>
        <w:t>年成为净进口国以来，对外依存度逐年上升，目前达到</w:t>
      </w:r>
      <w:r>
        <w:rPr>
          <w:spacing w:val="-11"/>
          <w:szCs w:val="21"/>
        </w:rPr>
        <w:t>46.6%</w:t>
      </w:r>
      <w:r>
        <w:rPr>
          <w:spacing w:val="-13"/>
          <w:szCs w:val="21"/>
        </w:rPr>
        <w:t>，已接近</w:t>
      </w:r>
      <w:r>
        <w:rPr>
          <w:szCs w:val="21"/>
        </w:rPr>
        <w:t>50%的警戒线。外源依存度过高不仅容易引发国际争端，也容易威胁到国家的政治安全和经济安全，引发各类危机。因此，必须科学制订国内能源和资源的可持续开发、利用和保护计划，提高国内矿产资源开发的门槛限制和企业标准，提升国内矿产资源的开发效率；必须适当提高资源消费价格，引导资源消费行为，提高资源的利用效率；必须大力鼓励和支持新能源的开发和利用，大力支持低碳技术、节能减排技术的创新和应用，限制“三高一低”项目的发展，减轻资源环境的压力；必须加强石油、黄金、有色金属、煤炭等各种稀缺资源的战略性管理，提升资源类商品的国际市场定价权和市场控制力。</w:t>
      </w:r>
    </w:p>
    <w:p w14:paraId="6715A9B6">
      <w:pPr>
        <w:pStyle w:val="4"/>
        <w:spacing w:line="400" w:lineRule="exact"/>
        <w:ind w:left="0" w:firstLine="420"/>
        <w:rPr>
          <w:szCs w:val="21"/>
        </w:rPr>
      </w:pPr>
      <w:r>
        <w:rPr>
          <w:szCs w:val="21"/>
        </w:rPr>
        <w:t>适当控制外汇储备规模，提升使用外汇的收益。充足的外汇储备有利于增强我国的对外支付和清偿能力，防范国际收支和金融风险，而且有利于提高海内外对中国经济的信心。但是，如果长时间和大幅度地超过合理规模，则必然给经济发展带来诸多负面影响。解决外汇储备过度的问题，不仅要控制低收益的加工贸易的发展规模，从根源上减少贸易顺差，降低外汇储备激增的速度。同时也要合理配置已有的外汇资源。应考虑主动运用不断贬值的美元外汇储备，赎回被美国企业收购的中国重要国有企业资产，收购控制着中国战略性行业的跨国公司股份，引进国外的关键技术和科研</w:t>
      </w:r>
      <w:r>
        <w:rPr>
          <w:spacing w:val="-14"/>
          <w:szCs w:val="21"/>
        </w:rPr>
        <w:t>人才实现“引智创新”，帮助中国企业收购海外资源和有价值的实体企业，减少美元贬值带给中国持</w:t>
      </w:r>
      <w:r>
        <w:rPr>
          <w:szCs w:val="21"/>
        </w:rPr>
        <w:t>有美元资产损失的风险，降低货币资本储存的机会成本，提高资本配置的经济效率。</w:t>
      </w:r>
    </w:p>
    <w:p w14:paraId="32E29CC4">
      <w:pPr>
        <w:pStyle w:val="4"/>
        <w:spacing w:line="400" w:lineRule="exact"/>
        <w:ind w:left="0" w:firstLine="420"/>
        <w:rPr>
          <w:szCs w:val="21"/>
        </w:rPr>
      </w:pPr>
      <w:r>
        <w:rPr>
          <w:szCs w:val="21"/>
        </w:rPr>
        <w:t>适当降低“外产”依赖度，提升参与国际分工的层次。历史经验表明，危机时期往往是一个国家推进产业优化升级，提升参与国际分工层次的重要机遇。适当降低对外国产业的依赖度，打破西方发达国家对我国的“产业链阴谋”（郎咸平语），提升参与国际分工的层次，也是增强国际竞争力、抵御未来国际经济风险的基本依托。必须加快推动传统产业技术装备更新换代和产业升级，用先进技术改造传统产业，力争使传统产业在全球产业链获取更高的附加值，避免陷入“比较优势陷阱”，防止我国沦为西方发达国家的“生产基地”；必须大力发展信息产业和新能源产业，以及研发、物流等现代生产性服务业，制定中长期的国家产业创新战略，切实推进产业创新，抢占未来全球经济竞争的制高点；必须稳健开放金融业等涉及国家经济安全的核心产业，确保国内金融体系的安全稳定，稳步推进人民币的国际化进程，积极参与国际货币金融体系改革；必须把握外汇储备急剧增长以及人民币升值等因素为海外投资和跨国并购带来的重要机遇，提升全球要素配置能力，建立自主的全球生产体系，创造出参与国际分工的新优势</w:t>
      </w:r>
      <w:r>
        <w:rPr>
          <w:rStyle w:val="20"/>
          <w:rFonts w:ascii="宋体" w:hAnsi="宋体" w:eastAsia="宋体"/>
          <w:szCs w:val="21"/>
        </w:rPr>
        <w:footnoteReference w:id="544"/>
      </w:r>
      <w:r>
        <w:rPr>
          <w:rFonts w:hint="eastAsia"/>
          <w:szCs w:val="21"/>
        </w:rPr>
        <w:t>。</w:t>
      </w:r>
    </w:p>
    <w:p w14:paraId="5488AC65">
      <w:pPr>
        <w:pStyle w:val="4"/>
        <w:spacing w:line="400" w:lineRule="exact"/>
        <w:ind w:left="0" w:firstLine="420"/>
        <w:rPr>
          <w:szCs w:val="21"/>
        </w:rPr>
      </w:pPr>
      <w:r>
        <w:rPr>
          <w:szCs w:val="21"/>
        </w:rPr>
        <w:t>(</w:t>
      </w:r>
      <w:r>
        <w:rPr>
          <w:rFonts w:hint="eastAsia"/>
          <w:szCs w:val="21"/>
        </w:rPr>
        <w:t>原载《马克思主义研究》2</w:t>
      </w:r>
      <w:r>
        <w:rPr>
          <w:szCs w:val="21"/>
        </w:rPr>
        <w:t>010</w:t>
      </w:r>
      <w:r>
        <w:rPr>
          <w:rFonts w:hint="eastAsia"/>
          <w:szCs w:val="21"/>
        </w:rPr>
        <w:t>年第8期，第一作者为王伟光，第三作者为胡乐明。</w:t>
      </w:r>
      <w:r>
        <w:rPr>
          <w:szCs w:val="21"/>
        </w:rPr>
        <w:t>)</w:t>
      </w:r>
    </w:p>
    <w:p w14:paraId="609C51E4">
      <w:pPr>
        <w:pStyle w:val="4"/>
        <w:spacing w:line="400" w:lineRule="exact"/>
        <w:ind w:left="0" w:firstLine="420"/>
        <w:rPr>
          <w:szCs w:val="21"/>
        </w:rPr>
      </w:pPr>
    </w:p>
    <w:p w14:paraId="58E094AD">
      <w:pPr>
        <w:keepNext/>
        <w:keepLines/>
        <w:spacing w:line="480" w:lineRule="auto"/>
        <w:ind w:firstLine="640" w:firstLineChars="200"/>
        <w:jc w:val="center"/>
        <w:outlineLvl w:val="1"/>
        <w:rPr>
          <w:rFonts w:ascii="黑体" w:hAnsi="黑体" w:eastAsia="黑体" w:cs="Times New Roman"/>
          <w:kern w:val="28"/>
          <w:sz w:val="32"/>
          <w:szCs w:val="24"/>
        </w:rPr>
      </w:pPr>
      <w:bookmarkStart w:id="1132" w:name="_Toc32600"/>
      <w:bookmarkStart w:id="1133" w:name="_Toc294804043"/>
      <w:bookmarkStart w:id="1134" w:name="_Toc1314672209"/>
      <w:r>
        <w:rPr>
          <w:rFonts w:hint="eastAsia" w:ascii="黑体" w:hAnsi="黑体" w:eastAsia="黑体" w:cs="Times New Roman"/>
          <w:kern w:val="28"/>
          <w:sz w:val="32"/>
          <w:szCs w:val="24"/>
        </w:rPr>
        <w:t>1</w:t>
      </w:r>
      <w:r>
        <w:rPr>
          <w:rFonts w:ascii="黑体" w:hAnsi="黑体" w:eastAsia="黑体" w:cs="Times New Roman"/>
          <w:kern w:val="28"/>
          <w:sz w:val="32"/>
          <w:szCs w:val="24"/>
        </w:rPr>
        <w:t>4</w:t>
      </w:r>
      <w:r>
        <w:rPr>
          <w:rFonts w:hint="eastAsia" w:ascii="黑体" w:hAnsi="黑体" w:eastAsia="黑体" w:cs="Times New Roman"/>
          <w:kern w:val="28"/>
          <w:sz w:val="32"/>
          <w:szCs w:val="24"/>
        </w:rPr>
        <w:t>西方国家金融和经济危机原因的政治经济学分析</w:t>
      </w:r>
      <w:bookmarkEnd w:id="1132"/>
      <w:bookmarkEnd w:id="1133"/>
      <w:bookmarkEnd w:id="1134"/>
    </w:p>
    <w:p w14:paraId="698403F2">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马克思认为，资本主义经济危机是资本主义基本矛盾发展的结果，是资本主义各种矛盾展开的表现，是资本主义一切矛盾的现实综合和强制平衡。因此，分析此次西方国家金融和经济危机的发生与发展必须采用矛盾分析的方法，深入分析资本主义基本矛盾及其当代发展，具体分析资本主义各种矛盾的现实表现。</w:t>
      </w:r>
    </w:p>
    <w:p w14:paraId="6D22F0F5">
      <w:pPr>
        <w:autoSpaceDE w:val="0"/>
        <w:autoSpaceDN w:val="0"/>
        <w:spacing w:line="360" w:lineRule="auto"/>
        <w:ind w:firstLine="504"/>
        <w:jc w:val="center"/>
        <w:rPr>
          <w:rFonts w:ascii="宋体" w:hAnsi="宋体" w:eastAsia="宋体" w:cs="宋体"/>
          <w:b/>
          <w:kern w:val="0"/>
          <w:sz w:val="24"/>
          <w:szCs w:val="24"/>
        </w:rPr>
      </w:pPr>
      <w:r>
        <w:rPr>
          <w:rFonts w:hint="eastAsia" w:ascii="宋体" w:hAnsi="宋体" w:eastAsia="宋体" w:cs="宋体"/>
          <w:b/>
          <w:kern w:val="0"/>
          <w:sz w:val="24"/>
          <w:szCs w:val="24"/>
        </w:rPr>
        <w:t>一、商品内在二重性矛盾蕴含危机发生的可能</w:t>
      </w:r>
    </w:p>
    <w:p w14:paraId="0E8D9E87">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商品是市场经济最基本的细胞和最普遍的存在，商品和商品交换的内在矛盾体现并蕴含了市场经济和市场经济占主导地位的社会形态的基本矛盾</w:t>
      </w:r>
      <w:r>
        <w:rPr>
          <w:rFonts w:ascii="Times New Roman" w:hAnsi="Times New Roman" w:eastAsia="宋体" w:cs="Times New Roman"/>
          <w:szCs w:val="24"/>
          <w:vertAlign w:val="superscript"/>
        </w:rPr>
        <w:footnoteReference w:id="545"/>
      </w:r>
      <w:r>
        <w:rPr>
          <w:rFonts w:hint="eastAsia" w:ascii="Times New Roman" w:hAnsi="Times New Roman" w:eastAsia="宋体" w:cs="Times New Roman"/>
          <w:szCs w:val="24"/>
        </w:rPr>
        <w:t>。因此，从商品及商品交换的内在矛盾和本质关系分析入手，可以发现此次西方国家金融危机和经济危机的一般要素与抽象形式。</w:t>
      </w:r>
    </w:p>
    <w:p w14:paraId="5F3F3A7A">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马克思认为，商品是使用价值和价值的矛盾统一体，使用价值与价值二者既相互依赖、互为条件，又相互排斥、互相背离。使用价值与价值的矛盾以及决定这一矛盾的生产商品的劳动二重性，即具体劳动和抽象劳动的矛盾的发展导致了货币的产生，商品的使用价值与价值愈益分离，商品与货币愈益对立。</w:t>
      </w:r>
    </w:p>
    <w:p w14:paraId="70A61150">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货币的产生使得商品交换由直接物物交换发展成为以货币为媒介的交换过程，使得一个完整交换过程的买和卖在时间和空间上发生分离，从而导致危机第一种形式的可能性。也就是，“如果货币执行流通手段的职能，危机的可能性就包含在买和卖的分离中”</w:t>
      </w:r>
      <w:r>
        <w:rPr>
          <w:rFonts w:ascii="Times New Roman" w:hAnsi="Times New Roman" w:eastAsia="宋体" w:cs="Times New Roman"/>
          <w:szCs w:val="24"/>
          <w:vertAlign w:val="superscript"/>
        </w:rPr>
        <w:footnoteReference w:id="546"/>
      </w:r>
      <w:r>
        <w:rPr>
          <w:rFonts w:hint="eastAsia" w:ascii="Times New Roman" w:hAnsi="Times New Roman" w:eastAsia="宋体" w:cs="Times New Roman"/>
          <w:szCs w:val="24"/>
        </w:rPr>
        <w:t>。随着商品经济的发展，货币不仅作为流通手段，而且具有支付手段功能。货币支付手段功能使得商品交换的当事人演变为债权人和债务人，使得商品生产者之间形成错综复杂的支付链条和债务链条。在这一链条上，如果一个债务人不能按时履行支付义务，整个链条上的一系列债务人也就随之不能偿债，从而形成危机第二种形式的可能性。也就是，“如果货币执行支付手段的职能，货币在两个不同的时刻分别起价值尺度和价值实现的作用，危机的可能性就包含在这两个时刻的分离中”</w:t>
      </w:r>
      <w:r>
        <w:rPr>
          <w:rFonts w:ascii="Times New Roman" w:hAnsi="Times New Roman" w:eastAsia="宋体" w:cs="Times New Roman"/>
          <w:szCs w:val="24"/>
          <w:vertAlign w:val="superscript"/>
        </w:rPr>
        <w:footnoteReference w:id="547"/>
      </w:r>
      <w:r>
        <w:rPr>
          <w:rFonts w:hint="eastAsia" w:ascii="Times New Roman" w:hAnsi="Times New Roman" w:eastAsia="宋体" w:cs="Times New Roman"/>
          <w:szCs w:val="24"/>
        </w:rPr>
        <w:t>。</w:t>
      </w:r>
    </w:p>
    <w:p w14:paraId="401E1D57">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由商品和商品交换内在矛盾发展起来的危机两种形式的可能性，只是经济危机的“最一般的表现”，是现实危机的抽象形式，潜伏于一切商品生产之中。随着商品生产转变为资本主义商品生产，经济危机的一般可能性得到进一步发展并转变为资本主义经济危机的可能性。资本主义商品生产一开始就是发达的商品生产，发达的商品生产使得商品内在矛盾的各种形式得到更加充分的发展。在资本主义商品生产条件下，产业资本必须按照一定比例分成相应部分，同时并存于货币资本、生产资本和商品资本三种形态，并相继地经过循环的三个阶段。否则，资本的生产过程和流通过程就会发生交替的中断。同时，随着信用制度和金融市场的发展，货币资本逐渐独立发展，形成借贷资本、银行资本以及虚拟资本，不仅增加了资本运动的环节和层次，也日益与产业资本相背离，商品内在二重性矛盾进一步发展为产业资本与金融资本、实体经济与虚拟经济的对立。尤其是，随着资本主义世界市场体系的形成，买卖的分离、生产与流通的分离日趋严重，处于商品资本阶段、处于流通时间内的社会资本也会绝对地和相对地增加，从而导致信用规模膨胀和信用期限延长。因此，资本主义商品生产作为资本的流通过程或再生产过程，包含着不断得到进一步发展的危机的可能性，包含着不断得到进一步发展的危机的抽象形式。</w:t>
      </w:r>
    </w:p>
    <w:p w14:paraId="3165F3B1">
      <w:pPr>
        <w:autoSpaceDE w:val="0"/>
        <w:autoSpaceDN w:val="0"/>
        <w:spacing w:line="360" w:lineRule="auto"/>
        <w:ind w:firstLine="504"/>
        <w:jc w:val="center"/>
        <w:rPr>
          <w:rFonts w:ascii="宋体" w:hAnsi="宋体" w:eastAsia="宋体" w:cs="宋体"/>
          <w:b/>
          <w:kern w:val="0"/>
          <w:sz w:val="24"/>
          <w:szCs w:val="24"/>
        </w:rPr>
      </w:pPr>
      <w:r>
        <w:rPr>
          <w:rFonts w:hint="eastAsia" w:ascii="宋体" w:hAnsi="宋体" w:eastAsia="宋体" w:cs="宋体"/>
          <w:b/>
          <w:kern w:val="0"/>
          <w:sz w:val="24"/>
          <w:szCs w:val="24"/>
        </w:rPr>
        <w:t>二、资本主义基本矛盾决定危机发生的必然</w:t>
      </w:r>
    </w:p>
    <w:p w14:paraId="7A1A1FDE">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危机的可能性转变为必然现实，需要整整一系列的关系。这就是，资本主义生产方式及其基本矛盾。因此，从资本主义基本矛盾及其当代发展分析入手，可以发现，此次西方国家金融危机和经济危机的现实要素与表现形式。</w:t>
      </w:r>
    </w:p>
    <w:p w14:paraId="6D17E562">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马克思认为，资本主义生产方式的基本矛盾是生产的社会化与生产资料的私人占有之间的矛盾，其具体表现为个别企业生产的有组织性与整个社会生产无政府状态之间的矛盾，以及生产无限扩大的趋势与劳动人民购买力相对缩小之间的矛盾。资本主义基本矛盾的存在和累积，必然会使得价值与使用价值、具体劳动与抽象劳动、商品与货币的分离和对立具有不可调和的对抗性质，使得资本主义商品生产正常运行所需要的一系列连续性、并存性和均衡性关系难以得到满足，使得社会资本再生产所需要的各种比例关系经常遭到破坏，从而使资本主义经济危机的可能性转变为现实必然性。也就是，资本主义经济危机是资本主义基本矛盾周期性激化的必然结果。</w:t>
      </w:r>
    </w:p>
    <w:p w14:paraId="7C904BCF">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毫无疑问，马克思的分析依然正确。只要存在资本主义制度，周期性的经济危机便不可避免。此次西方国家的金融危机和经济危机依然是资本主义基本矛盾不断深化的必然结果，是资本主义基本矛盾在当代发展的必然表现。</w:t>
      </w:r>
      <w:r>
        <w:rPr>
          <w:rFonts w:ascii="Times New Roman" w:hAnsi="Times New Roman" w:eastAsia="宋体" w:cs="Times New Roman"/>
          <w:szCs w:val="24"/>
        </w:rPr>
        <w:t>20</w:t>
      </w:r>
      <w:r>
        <w:rPr>
          <w:rFonts w:hint="eastAsia" w:ascii="Times New Roman" w:hAnsi="Times New Roman" w:eastAsia="宋体" w:cs="Times New Roman"/>
          <w:szCs w:val="24"/>
        </w:rPr>
        <w:t>世纪</w:t>
      </w:r>
      <w:r>
        <w:rPr>
          <w:rFonts w:ascii="Times New Roman" w:hAnsi="Times New Roman" w:eastAsia="宋体" w:cs="Times New Roman"/>
          <w:szCs w:val="24"/>
        </w:rPr>
        <w:t>80</w:t>
      </w:r>
      <w:r>
        <w:rPr>
          <w:rFonts w:hint="eastAsia" w:ascii="Times New Roman" w:hAnsi="Times New Roman" w:eastAsia="宋体" w:cs="Times New Roman"/>
          <w:szCs w:val="24"/>
        </w:rPr>
        <w:t>年代以来，随着经济全球化的持续推进，资本主义基本矛盾在全球范围不断扩展并日趋激化。一方面，随着信息技术和网络技术的发明与广泛应用，各类企业和资本不断突破部门和领土的边界向各个产业和世界各地扩张并相互合作，生产要素以空前的速度和规模在世界范围内流动以寻求相应的位置进行最佳的资源配置，生产与经济的社会化、全球化程度不断提高；另一方面，资本走向进一步的积聚和集中，不同国家、不同领域的资本相互渗透与融合，形成了规模巨大的全球垄断寡头，即产量超过中等国家国民生产总值的巨大型跨国公司，生产资料和金融财富更大规模地向少数人和少数国家集中。这样，当代世界资本主义的基本矛盾逐步扩展为经济的社会化和全球化与生产资料和生产要素的私人所有的矛盾</w:t>
      </w:r>
      <w:r>
        <w:rPr>
          <w:rFonts w:ascii="Times New Roman" w:hAnsi="Times New Roman" w:eastAsia="宋体" w:cs="Times New Roman"/>
          <w:szCs w:val="24"/>
          <w:vertAlign w:val="superscript"/>
        </w:rPr>
        <w:footnoteReference w:id="548"/>
      </w:r>
      <w:r>
        <w:rPr>
          <w:rFonts w:hint="eastAsia" w:ascii="Times New Roman" w:hAnsi="Times New Roman" w:eastAsia="宋体" w:cs="Times New Roman"/>
          <w:szCs w:val="24"/>
        </w:rPr>
        <w:t>。可以说，此次西方国家金融危机和经济危机便是这一矛盾日趋尖锐的必然产物。</w:t>
      </w:r>
    </w:p>
    <w:p w14:paraId="1B0D4922">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更为重要的是，当代世界资本主义基本矛盾不断扩展的一个突出方面是金融垄断资本的全球扩张和全球掠夺。</w:t>
      </w:r>
      <w:r>
        <w:rPr>
          <w:rFonts w:ascii="Times New Roman" w:hAnsi="Times New Roman" w:eastAsia="宋体" w:cs="Times New Roman"/>
          <w:szCs w:val="24"/>
        </w:rPr>
        <w:t>20</w:t>
      </w:r>
      <w:r>
        <w:rPr>
          <w:rFonts w:hint="eastAsia" w:ascii="Times New Roman" w:hAnsi="Times New Roman" w:eastAsia="宋体" w:cs="Times New Roman"/>
          <w:szCs w:val="24"/>
        </w:rPr>
        <w:t>世纪</w:t>
      </w:r>
      <w:r>
        <w:rPr>
          <w:rFonts w:ascii="Times New Roman" w:hAnsi="Times New Roman" w:eastAsia="宋体" w:cs="Times New Roman"/>
          <w:szCs w:val="24"/>
        </w:rPr>
        <w:t>80</w:t>
      </w:r>
      <w:r>
        <w:rPr>
          <w:rFonts w:hint="eastAsia" w:ascii="Times New Roman" w:hAnsi="Times New Roman" w:eastAsia="宋体" w:cs="Times New Roman"/>
          <w:szCs w:val="24"/>
        </w:rPr>
        <w:t>年代以来，信息技术和网络技术的发明与广泛应用为金融资本的全球扩张和病态膨胀提供了有效的技术支撑，国际金融货币体系为金融垄断资本的全球扩张和全球掠夺提供了重要的杠杆与平台，新自由主义则成为金融垄断资本全球扩张及其制度安排的理论依据。正是在这“三驾马车”的拉动之下，全球金融资本急剧增长并成为经济乃至政治的主宰</w:t>
      </w:r>
      <w:r>
        <w:rPr>
          <w:rFonts w:ascii="Times New Roman" w:hAnsi="Times New Roman" w:eastAsia="宋体" w:cs="Times New Roman"/>
          <w:szCs w:val="24"/>
          <w:vertAlign w:val="superscript"/>
        </w:rPr>
        <w:footnoteReference w:id="549"/>
      </w:r>
      <w:r>
        <w:rPr>
          <w:rFonts w:hint="eastAsia" w:ascii="Times New Roman" w:hAnsi="Times New Roman" w:eastAsia="宋体" w:cs="Times New Roman"/>
          <w:szCs w:val="24"/>
        </w:rPr>
        <w:t>。据国际货币基金组织统计，全球金融资产价值</w:t>
      </w:r>
      <w:r>
        <w:rPr>
          <w:rFonts w:ascii="Times New Roman" w:hAnsi="Times New Roman" w:eastAsia="宋体" w:cs="Times New Roman"/>
          <w:szCs w:val="24"/>
        </w:rPr>
        <w:t>1980</w:t>
      </w:r>
      <w:r>
        <w:rPr>
          <w:rFonts w:hint="eastAsia" w:ascii="Times New Roman" w:hAnsi="Times New Roman" w:eastAsia="宋体" w:cs="Times New Roman"/>
          <w:szCs w:val="24"/>
        </w:rPr>
        <w:t>年只有</w:t>
      </w:r>
      <w:r>
        <w:rPr>
          <w:rFonts w:ascii="Times New Roman" w:hAnsi="Times New Roman" w:eastAsia="宋体" w:cs="Times New Roman"/>
          <w:szCs w:val="24"/>
        </w:rPr>
        <w:t>12</w:t>
      </w:r>
      <w:r>
        <w:rPr>
          <w:rFonts w:hint="eastAsia" w:ascii="Times New Roman" w:hAnsi="Times New Roman" w:eastAsia="宋体" w:cs="Times New Roman"/>
          <w:szCs w:val="24"/>
        </w:rPr>
        <w:t>万亿美元，与当年全球</w:t>
      </w:r>
      <w:r>
        <w:rPr>
          <w:rFonts w:ascii="Times New Roman" w:hAnsi="Times New Roman" w:eastAsia="宋体" w:cs="Times New Roman"/>
          <w:szCs w:val="24"/>
        </w:rPr>
        <w:t>GDP</w:t>
      </w:r>
      <w:r>
        <w:rPr>
          <w:rFonts w:hint="eastAsia" w:ascii="Times New Roman" w:hAnsi="Times New Roman" w:eastAsia="宋体" w:cs="Times New Roman"/>
          <w:szCs w:val="24"/>
        </w:rPr>
        <w:t>规模基本相当；</w:t>
      </w:r>
      <w:r>
        <w:rPr>
          <w:rFonts w:ascii="Times New Roman" w:hAnsi="Times New Roman" w:eastAsia="宋体" w:cs="Times New Roman"/>
          <w:szCs w:val="24"/>
        </w:rPr>
        <w:t>1993</w:t>
      </w:r>
      <w:r>
        <w:rPr>
          <w:rFonts w:hint="eastAsia" w:ascii="Times New Roman" w:hAnsi="Times New Roman" w:eastAsia="宋体" w:cs="Times New Roman"/>
          <w:szCs w:val="24"/>
        </w:rPr>
        <w:t>年达到</w:t>
      </w:r>
      <w:r>
        <w:rPr>
          <w:rFonts w:ascii="Times New Roman" w:hAnsi="Times New Roman" w:eastAsia="宋体" w:cs="Times New Roman"/>
          <w:szCs w:val="24"/>
        </w:rPr>
        <w:t>53</w:t>
      </w:r>
      <w:r>
        <w:rPr>
          <w:rFonts w:hint="eastAsia" w:ascii="Times New Roman" w:hAnsi="Times New Roman" w:eastAsia="宋体" w:cs="Times New Roman"/>
          <w:szCs w:val="24"/>
        </w:rPr>
        <w:t>万亿美元，为当年全球</w:t>
      </w:r>
      <w:r>
        <w:rPr>
          <w:rFonts w:ascii="Times New Roman" w:hAnsi="Times New Roman" w:eastAsia="宋体" w:cs="Times New Roman"/>
          <w:szCs w:val="24"/>
        </w:rPr>
        <w:t>GDP</w:t>
      </w:r>
      <w:r>
        <w:rPr>
          <w:rFonts w:hint="eastAsia" w:ascii="Times New Roman" w:hAnsi="Times New Roman" w:eastAsia="宋体" w:cs="Times New Roman"/>
          <w:szCs w:val="24"/>
        </w:rPr>
        <w:t>的</w:t>
      </w:r>
      <w:r>
        <w:rPr>
          <w:rFonts w:ascii="Times New Roman" w:hAnsi="Times New Roman" w:eastAsia="宋体" w:cs="Times New Roman"/>
          <w:szCs w:val="24"/>
        </w:rPr>
        <w:t>2</w:t>
      </w:r>
      <w:r>
        <w:rPr>
          <w:rFonts w:hint="eastAsia" w:ascii="Times New Roman" w:hAnsi="Times New Roman" w:eastAsia="宋体" w:cs="Times New Roman"/>
          <w:szCs w:val="24"/>
        </w:rPr>
        <w:t>倍；</w:t>
      </w:r>
      <w:r>
        <w:rPr>
          <w:rFonts w:ascii="Times New Roman" w:hAnsi="Times New Roman" w:eastAsia="宋体" w:cs="Times New Roman"/>
          <w:szCs w:val="24"/>
        </w:rPr>
        <w:t>2003</w:t>
      </w:r>
      <w:r>
        <w:rPr>
          <w:rFonts w:hint="eastAsia" w:ascii="Times New Roman" w:hAnsi="Times New Roman" w:eastAsia="宋体" w:cs="Times New Roman"/>
          <w:szCs w:val="24"/>
        </w:rPr>
        <w:t>年增长到</w:t>
      </w:r>
      <w:r>
        <w:rPr>
          <w:rFonts w:ascii="Times New Roman" w:hAnsi="Times New Roman" w:eastAsia="宋体" w:cs="Times New Roman"/>
          <w:szCs w:val="24"/>
        </w:rPr>
        <w:t>124</w:t>
      </w:r>
      <w:r>
        <w:rPr>
          <w:rFonts w:hint="eastAsia" w:ascii="Times New Roman" w:hAnsi="Times New Roman" w:eastAsia="宋体" w:cs="Times New Roman"/>
          <w:szCs w:val="24"/>
        </w:rPr>
        <w:t>万亿美元，超过当年全球</w:t>
      </w:r>
      <w:r>
        <w:rPr>
          <w:rFonts w:ascii="Times New Roman" w:hAnsi="Times New Roman" w:eastAsia="宋体" w:cs="Times New Roman"/>
          <w:szCs w:val="24"/>
        </w:rPr>
        <w:t>GDP</w:t>
      </w:r>
      <w:r>
        <w:rPr>
          <w:rFonts w:hint="eastAsia" w:ascii="Times New Roman" w:hAnsi="Times New Roman" w:eastAsia="宋体" w:cs="Times New Roman"/>
          <w:szCs w:val="24"/>
        </w:rPr>
        <w:t>的</w:t>
      </w:r>
      <w:r>
        <w:rPr>
          <w:rFonts w:ascii="Times New Roman" w:hAnsi="Times New Roman" w:eastAsia="宋体" w:cs="Times New Roman"/>
          <w:szCs w:val="24"/>
        </w:rPr>
        <w:t>3</w:t>
      </w:r>
      <w:r>
        <w:rPr>
          <w:rFonts w:hint="eastAsia" w:ascii="Times New Roman" w:hAnsi="Times New Roman" w:eastAsia="宋体" w:cs="Times New Roman"/>
          <w:szCs w:val="24"/>
        </w:rPr>
        <w:t>倍；</w:t>
      </w:r>
      <w:r>
        <w:rPr>
          <w:rFonts w:ascii="Times New Roman" w:hAnsi="Times New Roman" w:eastAsia="宋体" w:cs="Times New Roman"/>
          <w:szCs w:val="24"/>
        </w:rPr>
        <w:t>2007</w:t>
      </w:r>
      <w:r>
        <w:rPr>
          <w:rFonts w:hint="eastAsia" w:ascii="Times New Roman" w:hAnsi="Times New Roman" w:eastAsia="宋体" w:cs="Times New Roman"/>
          <w:szCs w:val="24"/>
        </w:rPr>
        <w:t>年，全球金融体系内的商业银行资产余额、未偿债券余额和股票市值合计达到了</w:t>
      </w:r>
      <w:r>
        <w:rPr>
          <w:rFonts w:ascii="Times New Roman" w:hAnsi="Times New Roman" w:eastAsia="宋体" w:cs="Times New Roman"/>
          <w:szCs w:val="24"/>
        </w:rPr>
        <w:t>230</w:t>
      </w:r>
      <w:r>
        <w:rPr>
          <w:rFonts w:hint="eastAsia" w:ascii="Times New Roman" w:hAnsi="Times New Roman" w:eastAsia="宋体" w:cs="Times New Roman"/>
          <w:szCs w:val="24"/>
        </w:rPr>
        <w:t>万亿美元，为当年全球</w:t>
      </w:r>
      <w:r>
        <w:rPr>
          <w:rFonts w:ascii="Times New Roman" w:hAnsi="Times New Roman" w:eastAsia="宋体" w:cs="Times New Roman"/>
          <w:szCs w:val="24"/>
        </w:rPr>
        <w:t>GDP</w:t>
      </w:r>
      <w:r>
        <w:rPr>
          <w:rFonts w:hint="eastAsia" w:ascii="Times New Roman" w:hAnsi="Times New Roman" w:eastAsia="宋体" w:cs="Times New Roman"/>
          <w:szCs w:val="24"/>
        </w:rPr>
        <w:t>的</w:t>
      </w:r>
      <w:r>
        <w:rPr>
          <w:rFonts w:ascii="Times New Roman" w:hAnsi="Times New Roman" w:eastAsia="宋体" w:cs="Times New Roman"/>
          <w:szCs w:val="24"/>
        </w:rPr>
        <w:t>4.21</w:t>
      </w:r>
      <w:r>
        <w:rPr>
          <w:rFonts w:hint="eastAsia" w:ascii="Times New Roman" w:hAnsi="Times New Roman" w:eastAsia="宋体" w:cs="Times New Roman"/>
          <w:szCs w:val="24"/>
        </w:rPr>
        <w:t>倍</w:t>
      </w:r>
      <w:r>
        <w:rPr>
          <w:rFonts w:ascii="Times New Roman" w:hAnsi="Times New Roman" w:eastAsia="宋体" w:cs="Times New Roman"/>
          <w:szCs w:val="24"/>
          <w:vertAlign w:val="superscript"/>
        </w:rPr>
        <w:footnoteReference w:id="550"/>
      </w:r>
      <w:r>
        <w:rPr>
          <w:rFonts w:hint="eastAsia" w:ascii="Times New Roman" w:hAnsi="Times New Roman" w:eastAsia="宋体" w:cs="Times New Roman"/>
          <w:szCs w:val="24"/>
        </w:rPr>
        <w:t>。现代金融资本具有高度的逐利性，极易导致资本主义各国生产与经济的盲目扩张；现代金融资本具有高度的变动性，极易引起资本主义各国生产与经济的不稳定；现代金融资本具有高度的虚拟性，极易促成资本主义各国生产与经济的泡沫膨胀。因此，金融资本由服务于产业资本向主宰产业资本的异化必然导致当代世界资本主义基本矛盾扩展到一个新的尖锐高度，加剧资本主义市场体系的紊乱，引发资本主义更加频繁的首先以金融危机的形式表现出来的周期性经济危机。</w:t>
      </w:r>
    </w:p>
    <w:p w14:paraId="3F6E85A3">
      <w:pPr>
        <w:autoSpaceDE w:val="0"/>
        <w:autoSpaceDN w:val="0"/>
        <w:spacing w:line="360" w:lineRule="auto"/>
        <w:ind w:firstLine="504"/>
        <w:jc w:val="center"/>
        <w:rPr>
          <w:rFonts w:ascii="宋体" w:hAnsi="宋体" w:eastAsia="宋体" w:cs="宋体"/>
          <w:b/>
          <w:kern w:val="0"/>
          <w:sz w:val="24"/>
          <w:szCs w:val="24"/>
        </w:rPr>
      </w:pPr>
      <w:r>
        <w:rPr>
          <w:rFonts w:hint="eastAsia" w:ascii="宋体" w:hAnsi="宋体" w:eastAsia="宋体" w:cs="宋体"/>
          <w:b/>
          <w:kern w:val="0"/>
          <w:sz w:val="24"/>
          <w:szCs w:val="24"/>
        </w:rPr>
        <w:t>三、当代资本主义各种矛盾促成危机发生的现实</w:t>
      </w:r>
    </w:p>
    <w:p w14:paraId="5AA0EF61">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历史上没有发生过两次绝对一样的经济危机”。每一次资本主义经济危机都是资本主义基本矛盾发展的必然结果，也都是资本主义所处时代各种具体矛盾和具体问题的综合反映。此次西方国家金融危机和经济危机是在当代资本主义基本矛盾激化的同时，由微观基础、经济结构以及经济调节等方面的具体矛盾和问题共同导致的结果。</w:t>
      </w:r>
    </w:p>
    <w:p w14:paraId="43915A34">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从微观基础分析，此次危机是美国式公司治理模式的缺陷的具体反映。首先，高度分散的股权结构造成公司经营的短期行为。美国式公司治理模式的一个重要特点是，公司股权集中度低，股权结构较为分散，股票流动性较强。资料显示，高盛、摩根士丹利、美林、雷曼、贝尔斯登等美国五大投资银行平均股权集中度仅为</w:t>
      </w:r>
      <w:r>
        <w:rPr>
          <w:rFonts w:ascii="Times New Roman" w:hAnsi="Times New Roman" w:eastAsia="宋体" w:cs="Times New Roman"/>
          <w:szCs w:val="24"/>
        </w:rPr>
        <w:t>15.6%</w:t>
      </w:r>
      <w:r>
        <w:rPr>
          <w:rFonts w:hint="eastAsia" w:ascii="Times New Roman" w:hAnsi="Times New Roman" w:eastAsia="宋体" w:cs="Times New Roman"/>
          <w:szCs w:val="24"/>
        </w:rPr>
        <w:t>，第一大股东持股比例超过</w:t>
      </w:r>
      <w:r>
        <w:rPr>
          <w:rFonts w:ascii="Times New Roman" w:hAnsi="Times New Roman" w:eastAsia="宋体" w:cs="Times New Roman"/>
          <w:szCs w:val="24"/>
        </w:rPr>
        <w:t>5%</w:t>
      </w:r>
      <w:r>
        <w:rPr>
          <w:rFonts w:hint="eastAsia" w:ascii="Times New Roman" w:hAnsi="Times New Roman" w:eastAsia="宋体" w:cs="Times New Roman"/>
          <w:szCs w:val="24"/>
        </w:rPr>
        <w:t>的只有摩根士丹利一家，高盛集团第一大股东持股比例仅为</w:t>
      </w:r>
      <w:r>
        <w:rPr>
          <w:rFonts w:ascii="Times New Roman" w:hAnsi="Times New Roman" w:eastAsia="宋体" w:cs="Times New Roman"/>
          <w:szCs w:val="24"/>
        </w:rPr>
        <w:t>1.74%</w:t>
      </w:r>
      <w:r>
        <w:rPr>
          <w:rFonts w:hint="eastAsia" w:ascii="Times New Roman" w:hAnsi="Times New Roman" w:eastAsia="宋体" w:cs="Times New Roman"/>
          <w:szCs w:val="24"/>
        </w:rPr>
        <w:t>。在过度分散型股权结构下，股东的“理智的冷漠”和“搭便车倾向”导致的结果必然是无人愿意行使监督权，从而导致股权分散下的“内部人控制”格局。同时，由于股东判断上市公司经营绩效的主要标准是盈利率和股票价格的高低，并以短期投资收益最大化为目标，这就使公司经营在股东追求短期回报和高收益率的巨大压力下，不得不把注意力集中于目前或近期利润。尤其是，高度分散的股权结构极易导致上市公司受到极不稳定的所谓机构投资者，即养老基金、保险公司、对冲基金等金融资本的冲击和控制，顺从股票价格最大化的短期主义逻辑。其次，失当的薪酬体系“激励”管理层的冒险行为。随着</w:t>
      </w:r>
      <w:r>
        <w:rPr>
          <w:rFonts w:ascii="Times New Roman" w:hAnsi="Times New Roman" w:eastAsia="宋体" w:cs="Times New Roman"/>
          <w:szCs w:val="24"/>
        </w:rPr>
        <w:t>20</w:t>
      </w:r>
      <w:r>
        <w:rPr>
          <w:rFonts w:hint="eastAsia" w:ascii="Times New Roman" w:hAnsi="Times New Roman" w:eastAsia="宋体" w:cs="Times New Roman"/>
          <w:szCs w:val="24"/>
        </w:rPr>
        <w:t>世纪</w:t>
      </w:r>
      <w:r>
        <w:rPr>
          <w:rFonts w:ascii="Times New Roman" w:hAnsi="Times New Roman" w:eastAsia="宋体" w:cs="Times New Roman"/>
          <w:szCs w:val="24"/>
        </w:rPr>
        <w:t>80</w:t>
      </w:r>
      <w:r>
        <w:rPr>
          <w:rFonts w:hint="eastAsia" w:ascii="Times New Roman" w:hAnsi="Times New Roman" w:eastAsia="宋体" w:cs="Times New Roman"/>
          <w:szCs w:val="24"/>
        </w:rPr>
        <w:t>年代以来，股票期权计划的广泛实施，行使股票期权的收入逐渐成为美国公司管理层薪酬的主要来源，并导致其收入达到令人惊叹的水平。资料显示，全美前</w:t>
      </w:r>
      <w:r>
        <w:rPr>
          <w:rFonts w:ascii="Times New Roman" w:hAnsi="Times New Roman" w:eastAsia="宋体" w:cs="Times New Roman"/>
          <w:szCs w:val="24"/>
        </w:rPr>
        <w:t>100</w:t>
      </w:r>
      <w:r>
        <w:rPr>
          <w:rFonts w:hint="eastAsia" w:ascii="Times New Roman" w:hAnsi="Times New Roman" w:eastAsia="宋体" w:cs="Times New Roman"/>
          <w:szCs w:val="24"/>
        </w:rPr>
        <w:t>名高级企业主管的平均年收入</w:t>
      </w:r>
      <w:r>
        <w:rPr>
          <w:rFonts w:ascii="Times New Roman" w:hAnsi="Times New Roman" w:eastAsia="宋体" w:cs="Times New Roman"/>
          <w:szCs w:val="24"/>
        </w:rPr>
        <w:t>30</w:t>
      </w:r>
      <w:r>
        <w:rPr>
          <w:rFonts w:hint="eastAsia" w:ascii="Times New Roman" w:hAnsi="Times New Roman" w:eastAsia="宋体" w:cs="Times New Roman"/>
          <w:szCs w:val="24"/>
        </w:rPr>
        <w:t>年前为</w:t>
      </w:r>
      <w:r>
        <w:rPr>
          <w:rFonts w:ascii="Times New Roman" w:hAnsi="Times New Roman" w:eastAsia="宋体" w:cs="Times New Roman"/>
          <w:szCs w:val="24"/>
        </w:rPr>
        <w:t>130</w:t>
      </w:r>
      <w:r>
        <w:rPr>
          <w:rFonts w:hint="eastAsia" w:ascii="Times New Roman" w:hAnsi="Times New Roman" w:eastAsia="宋体" w:cs="Times New Roman"/>
          <w:szCs w:val="24"/>
        </w:rPr>
        <w:t>万美元，今天则为</w:t>
      </w:r>
      <w:r>
        <w:rPr>
          <w:rFonts w:ascii="Times New Roman" w:hAnsi="Times New Roman" w:eastAsia="宋体" w:cs="Times New Roman"/>
          <w:szCs w:val="24"/>
        </w:rPr>
        <w:t>3750</w:t>
      </w:r>
      <w:r>
        <w:rPr>
          <w:rFonts w:hint="eastAsia" w:ascii="Times New Roman" w:hAnsi="Times New Roman" w:eastAsia="宋体" w:cs="Times New Roman"/>
          <w:szCs w:val="24"/>
        </w:rPr>
        <w:t>万美元。失当的薪酬激励使美国公司高管根本无暇注重公司长期发展，而是更多追逐短期效益，过分地关注公司股票价格，甚至不惜突破道德底线，进行各种放大效应的套利行为。实证研究发现，美国许多公司在推行股票期权计划的同时，存在着明显的市场操纵行为，股票期权计划正在诱发企业管理者新的道德风险，在这些新的道德风险的冲击下，一个个庞然大物在瞬间轰然倒下。</w:t>
      </w:r>
    </w:p>
    <w:p w14:paraId="485498F8">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从经济结构分析，此次危机是虚拟经济日益膨胀、实体经济与虚拟经济日益对立的直接结果。</w:t>
      </w:r>
      <w:r>
        <w:rPr>
          <w:rFonts w:ascii="Times New Roman" w:hAnsi="Times New Roman" w:eastAsia="宋体" w:cs="Times New Roman"/>
          <w:szCs w:val="24"/>
        </w:rPr>
        <w:t>20</w:t>
      </w:r>
      <w:r>
        <w:rPr>
          <w:rFonts w:hint="eastAsia" w:ascii="Times New Roman" w:hAnsi="Times New Roman" w:eastAsia="宋体" w:cs="Times New Roman"/>
          <w:szCs w:val="24"/>
        </w:rPr>
        <w:t>世纪</w:t>
      </w:r>
      <w:r>
        <w:rPr>
          <w:rFonts w:ascii="Times New Roman" w:hAnsi="Times New Roman" w:eastAsia="宋体" w:cs="Times New Roman"/>
          <w:szCs w:val="24"/>
        </w:rPr>
        <w:t>80</w:t>
      </w:r>
      <w:r>
        <w:rPr>
          <w:rFonts w:hint="eastAsia" w:ascii="Times New Roman" w:hAnsi="Times New Roman" w:eastAsia="宋体" w:cs="Times New Roman"/>
          <w:szCs w:val="24"/>
        </w:rPr>
        <w:t>年代以来，随着金融资本的全球扩张，金融资本由服务于产业资本异化为主宰产业资本，虚拟经济与实体经济日益脱节和对立。</w:t>
      </w:r>
      <w:r>
        <w:rPr>
          <w:rFonts w:ascii="Times New Roman" w:hAnsi="Times New Roman" w:eastAsia="宋体" w:cs="Times New Roman"/>
          <w:szCs w:val="24"/>
        </w:rPr>
        <w:t>2007</w:t>
      </w:r>
      <w:r>
        <w:rPr>
          <w:rFonts w:hint="eastAsia" w:ascii="Times New Roman" w:hAnsi="Times New Roman" w:eastAsia="宋体" w:cs="Times New Roman"/>
          <w:szCs w:val="24"/>
        </w:rPr>
        <w:t>年，全球实体经济</w:t>
      </w:r>
      <w:r>
        <w:rPr>
          <w:rFonts w:ascii="Times New Roman" w:hAnsi="Times New Roman" w:eastAsia="宋体" w:cs="Times New Roman"/>
          <w:szCs w:val="24"/>
        </w:rPr>
        <w:t>10</w:t>
      </w:r>
      <w:r>
        <w:rPr>
          <w:rFonts w:hint="eastAsia" w:ascii="Times New Roman" w:hAnsi="Times New Roman" w:eastAsia="宋体" w:cs="Times New Roman"/>
          <w:szCs w:val="24"/>
        </w:rPr>
        <w:t>万多亿美元，</w:t>
      </w:r>
      <w:r>
        <w:rPr>
          <w:rFonts w:ascii="Times New Roman" w:hAnsi="Times New Roman" w:eastAsia="宋体" w:cs="Times New Roman"/>
          <w:szCs w:val="24"/>
        </w:rPr>
        <w:t>GDP</w:t>
      </w:r>
      <w:r>
        <w:rPr>
          <w:rFonts w:hint="eastAsia" w:ascii="Times New Roman" w:hAnsi="Times New Roman" w:eastAsia="宋体" w:cs="Times New Roman"/>
          <w:szCs w:val="24"/>
        </w:rPr>
        <w:t>近</w:t>
      </w:r>
      <w:r>
        <w:rPr>
          <w:rFonts w:ascii="Times New Roman" w:hAnsi="Times New Roman" w:eastAsia="宋体" w:cs="Times New Roman"/>
          <w:szCs w:val="24"/>
        </w:rPr>
        <w:t>54</w:t>
      </w:r>
      <w:r>
        <w:rPr>
          <w:rFonts w:hint="eastAsia" w:ascii="Times New Roman" w:hAnsi="Times New Roman" w:eastAsia="宋体" w:cs="Times New Roman"/>
          <w:szCs w:val="24"/>
        </w:rPr>
        <w:t>万亿美元，全球衍生金融产品市值为</w:t>
      </w:r>
      <w:r>
        <w:rPr>
          <w:rFonts w:ascii="Times New Roman" w:hAnsi="Times New Roman" w:eastAsia="宋体" w:cs="Times New Roman"/>
          <w:szCs w:val="24"/>
        </w:rPr>
        <w:t>681</w:t>
      </w:r>
      <w:r>
        <w:rPr>
          <w:rFonts w:hint="eastAsia" w:ascii="Times New Roman" w:hAnsi="Times New Roman" w:eastAsia="宋体" w:cs="Times New Roman"/>
          <w:szCs w:val="24"/>
        </w:rPr>
        <w:t>万亿美元，与全球</w:t>
      </w:r>
      <w:r>
        <w:rPr>
          <w:rFonts w:ascii="Times New Roman" w:hAnsi="Times New Roman" w:eastAsia="宋体" w:cs="Times New Roman"/>
          <w:szCs w:val="24"/>
        </w:rPr>
        <w:t>GDP</w:t>
      </w:r>
      <w:r>
        <w:rPr>
          <w:rFonts w:hint="eastAsia" w:ascii="Times New Roman" w:hAnsi="Times New Roman" w:eastAsia="宋体" w:cs="Times New Roman"/>
          <w:szCs w:val="24"/>
        </w:rPr>
        <w:t>之比为</w:t>
      </w:r>
      <w:r>
        <w:rPr>
          <w:rFonts w:ascii="Times New Roman" w:hAnsi="Times New Roman" w:eastAsia="宋体" w:cs="Times New Roman"/>
          <w:szCs w:val="24"/>
        </w:rPr>
        <w:t>13:1</w:t>
      </w:r>
      <w:r>
        <w:rPr>
          <w:rFonts w:hint="eastAsia" w:ascii="Times New Roman" w:hAnsi="Times New Roman" w:eastAsia="宋体" w:cs="Times New Roman"/>
          <w:szCs w:val="24"/>
        </w:rPr>
        <w:t>；美国的金融衍生品市值约为</w:t>
      </w:r>
      <w:r>
        <w:rPr>
          <w:rFonts w:ascii="Times New Roman" w:hAnsi="Times New Roman" w:eastAsia="宋体" w:cs="Times New Roman"/>
          <w:szCs w:val="24"/>
        </w:rPr>
        <w:t>340</w:t>
      </w:r>
      <w:r>
        <w:rPr>
          <w:rFonts w:hint="eastAsia" w:ascii="Times New Roman" w:hAnsi="Times New Roman" w:eastAsia="宋体" w:cs="Times New Roman"/>
          <w:szCs w:val="24"/>
        </w:rPr>
        <w:t>万亿美元，</w:t>
      </w:r>
      <w:r>
        <w:rPr>
          <w:rFonts w:ascii="Times New Roman" w:hAnsi="Times New Roman" w:eastAsia="宋体" w:cs="Times New Roman"/>
          <w:szCs w:val="24"/>
        </w:rPr>
        <w:t>GDP</w:t>
      </w:r>
      <w:r>
        <w:rPr>
          <w:rFonts w:hint="eastAsia" w:ascii="Times New Roman" w:hAnsi="Times New Roman" w:eastAsia="宋体" w:cs="Times New Roman"/>
          <w:szCs w:val="24"/>
        </w:rPr>
        <w:t>近</w:t>
      </w:r>
      <w:r>
        <w:rPr>
          <w:rFonts w:ascii="Times New Roman" w:hAnsi="Times New Roman" w:eastAsia="宋体" w:cs="Times New Roman"/>
          <w:szCs w:val="24"/>
        </w:rPr>
        <w:t>14</w:t>
      </w:r>
      <w:r>
        <w:rPr>
          <w:rFonts w:hint="eastAsia" w:ascii="Times New Roman" w:hAnsi="Times New Roman" w:eastAsia="宋体" w:cs="Times New Roman"/>
          <w:szCs w:val="24"/>
        </w:rPr>
        <w:t>万亿美元，二者之比高达</w:t>
      </w:r>
      <w:r>
        <w:rPr>
          <w:rFonts w:ascii="Times New Roman" w:hAnsi="Times New Roman" w:eastAsia="宋体" w:cs="Times New Roman"/>
          <w:szCs w:val="24"/>
        </w:rPr>
        <w:t>25:1</w:t>
      </w:r>
      <w:r>
        <w:rPr>
          <w:rFonts w:ascii="Times New Roman" w:hAnsi="Times New Roman" w:eastAsia="宋体" w:cs="Times New Roman"/>
          <w:szCs w:val="24"/>
          <w:vertAlign w:val="superscript"/>
        </w:rPr>
        <w:footnoteReference w:id="551"/>
      </w:r>
      <w:r>
        <w:rPr>
          <w:rFonts w:hint="eastAsia" w:ascii="Times New Roman" w:hAnsi="Times New Roman" w:eastAsia="宋体" w:cs="Times New Roman"/>
          <w:szCs w:val="24"/>
        </w:rPr>
        <w:t>。虚拟经济的病态发展在满足金融资本逐利本性的同时，由此导致的巨大的虚假需求也会诱导实体经济的盲目扩张，推动一切国家出口和进口膨胀、生产过剩。一旦虚拟经济的泡沫破灭，必然首先引发金融危机或信用危机，进而引起全面的经济危机。此次西方国家的金融危机和经济危机与</w:t>
      </w:r>
      <w:r>
        <w:rPr>
          <w:rFonts w:ascii="Times New Roman" w:hAnsi="Times New Roman" w:eastAsia="宋体" w:cs="Times New Roman"/>
          <w:szCs w:val="24"/>
        </w:rPr>
        <w:t>1991</w:t>
      </w:r>
      <w:r>
        <w:rPr>
          <w:rFonts w:hint="eastAsia" w:ascii="Times New Roman" w:hAnsi="Times New Roman" w:eastAsia="宋体" w:cs="Times New Roman"/>
          <w:szCs w:val="24"/>
        </w:rPr>
        <w:t>年的日本经济危机、</w:t>
      </w:r>
      <w:r>
        <w:rPr>
          <w:rFonts w:ascii="Times New Roman" w:hAnsi="Times New Roman" w:eastAsia="宋体" w:cs="Times New Roman"/>
          <w:szCs w:val="24"/>
        </w:rPr>
        <w:t>1997</w:t>
      </w:r>
      <w:r>
        <w:rPr>
          <w:rFonts w:hint="eastAsia" w:ascii="Times New Roman" w:hAnsi="Times New Roman" w:eastAsia="宋体" w:cs="Times New Roman"/>
          <w:szCs w:val="24"/>
        </w:rPr>
        <w:t>年的亚洲金融危机一样，直接诱因都是房地产业及相关金融产业过度膨胀之后的虚拟经济泡沫破灭。</w:t>
      </w:r>
    </w:p>
    <w:p w14:paraId="1DE5C299">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从分配和消费角度分析，金融垄断资本的全球扩张还导致收入分配两极分化、贫富差距不断加大。</w:t>
      </w:r>
      <w:r>
        <w:rPr>
          <w:rFonts w:ascii="Times New Roman" w:hAnsi="Times New Roman" w:eastAsia="宋体" w:cs="Times New Roman"/>
          <w:szCs w:val="24"/>
        </w:rPr>
        <w:t>20</w:t>
      </w:r>
      <w:r>
        <w:rPr>
          <w:rFonts w:hint="eastAsia" w:ascii="Times New Roman" w:hAnsi="Times New Roman" w:eastAsia="宋体" w:cs="Times New Roman"/>
          <w:szCs w:val="24"/>
        </w:rPr>
        <w:t>世纪</w:t>
      </w:r>
      <w:r>
        <w:rPr>
          <w:rFonts w:ascii="Times New Roman" w:hAnsi="Times New Roman" w:eastAsia="宋体" w:cs="Times New Roman"/>
          <w:szCs w:val="24"/>
        </w:rPr>
        <w:t>70</w:t>
      </w:r>
      <w:r>
        <w:rPr>
          <w:rFonts w:hint="eastAsia" w:ascii="Times New Roman" w:hAnsi="Times New Roman" w:eastAsia="宋体" w:cs="Times New Roman"/>
          <w:szCs w:val="24"/>
        </w:rPr>
        <w:t>年代之后的</w:t>
      </w:r>
      <w:r>
        <w:rPr>
          <w:rFonts w:ascii="Times New Roman" w:hAnsi="Times New Roman" w:eastAsia="宋体" w:cs="Times New Roman"/>
          <w:szCs w:val="24"/>
        </w:rPr>
        <w:t>30</w:t>
      </w:r>
      <w:r>
        <w:rPr>
          <w:rFonts w:hint="eastAsia" w:ascii="Times New Roman" w:hAnsi="Times New Roman" w:eastAsia="宋体" w:cs="Times New Roman"/>
          <w:szCs w:val="24"/>
        </w:rPr>
        <w:t>年，美国普通劳动者家庭的收入没有明显增加，而占人口</w:t>
      </w:r>
      <w:r>
        <w:rPr>
          <w:rFonts w:ascii="Times New Roman" w:hAnsi="Times New Roman" w:eastAsia="宋体" w:cs="Times New Roman"/>
          <w:szCs w:val="24"/>
        </w:rPr>
        <w:t>0.1%</w:t>
      </w:r>
      <w:r>
        <w:rPr>
          <w:rFonts w:hint="eastAsia" w:ascii="Times New Roman" w:hAnsi="Times New Roman" w:eastAsia="宋体" w:cs="Times New Roman"/>
          <w:szCs w:val="24"/>
        </w:rPr>
        <w:t>的富有者的收入增长了</w:t>
      </w:r>
      <w:r>
        <w:rPr>
          <w:rFonts w:ascii="Times New Roman" w:hAnsi="Times New Roman" w:eastAsia="宋体" w:cs="Times New Roman"/>
          <w:szCs w:val="24"/>
        </w:rPr>
        <w:t>4</w:t>
      </w:r>
      <w:r>
        <w:rPr>
          <w:rFonts w:hint="eastAsia" w:ascii="Times New Roman" w:hAnsi="Times New Roman" w:eastAsia="宋体" w:cs="Times New Roman"/>
          <w:szCs w:val="24"/>
        </w:rPr>
        <w:t>倍，占人口</w:t>
      </w:r>
      <w:r>
        <w:rPr>
          <w:rFonts w:ascii="Times New Roman" w:hAnsi="Times New Roman" w:eastAsia="宋体" w:cs="Times New Roman"/>
          <w:szCs w:val="24"/>
        </w:rPr>
        <w:t>0.01%</w:t>
      </w:r>
      <w:r>
        <w:rPr>
          <w:rFonts w:hint="eastAsia" w:ascii="Times New Roman" w:hAnsi="Times New Roman" w:eastAsia="宋体" w:cs="Times New Roman"/>
          <w:szCs w:val="24"/>
        </w:rPr>
        <w:t>的最富有者家庭财富增加了</w:t>
      </w:r>
      <w:r>
        <w:rPr>
          <w:rFonts w:ascii="Times New Roman" w:hAnsi="Times New Roman" w:eastAsia="宋体" w:cs="Times New Roman"/>
          <w:szCs w:val="24"/>
        </w:rPr>
        <w:t>7</w:t>
      </w:r>
      <w:r>
        <w:rPr>
          <w:rFonts w:hint="eastAsia" w:ascii="Times New Roman" w:hAnsi="Times New Roman" w:eastAsia="宋体" w:cs="Times New Roman"/>
          <w:szCs w:val="24"/>
        </w:rPr>
        <w:t>倍；从</w:t>
      </w:r>
      <w:r>
        <w:rPr>
          <w:rFonts w:ascii="Times New Roman" w:hAnsi="Times New Roman" w:eastAsia="宋体" w:cs="Times New Roman"/>
          <w:szCs w:val="24"/>
        </w:rPr>
        <w:t>2000</w:t>
      </w:r>
      <w:r>
        <w:rPr>
          <w:rFonts w:hint="eastAsia" w:ascii="Times New Roman" w:hAnsi="Times New Roman" w:eastAsia="宋体" w:cs="Times New Roman"/>
          <w:szCs w:val="24"/>
        </w:rPr>
        <w:t>年到</w:t>
      </w:r>
      <w:r>
        <w:rPr>
          <w:rFonts w:ascii="Times New Roman" w:hAnsi="Times New Roman" w:eastAsia="宋体" w:cs="Times New Roman"/>
          <w:szCs w:val="24"/>
        </w:rPr>
        <w:t>2006</w:t>
      </w:r>
      <w:r>
        <w:rPr>
          <w:rFonts w:hint="eastAsia" w:ascii="Times New Roman" w:hAnsi="Times New Roman" w:eastAsia="宋体" w:cs="Times New Roman"/>
          <w:szCs w:val="24"/>
        </w:rPr>
        <w:t>年，美国</w:t>
      </w:r>
      <w:r>
        <w:rPr>
          <w:rFonts w:ascii="Times New Roman" w:hAnsi="Times New Roman" w:eastAsia="宋体" w:cs="Times New Roman"/>
          <w:szCs w:val="24"/>
        </w:rPr>
        <w:t>1.5</w:t>
      </w:r>
      <w:r>
        <w:rPr>
          <w:rFonts w:hint="eastAsia" w:ascii="Times New Roman" w:hAnsi="Times New Roman" w:eastAsia="宋体" w:cs="Times New Roman"/>
          <w:szCs w:val="24"/>
        </w:rPr>
        <w:t>万个高收入家庭的年收入从</w:t>
      </w:r>
      <w:r>
        <w:rPr>
          <w:rFonts w:ascii="Times New Roman" w:hAnsi="Times New Roman" w:eastAsia="宋体" w:cs="Times New Roman"/>
          <w:szCs w:val="24"/>
        </w:rPr>
        <w:t>1500</w:t>
      </w:r>
      <w:r>
        <w:rPr>
          <w:rFonts w:hint="eastAsia" w:ascii="Times New Roman" w:hAnsi="Times New Roman" w:eastAsia="宋体" w:cs="Times New Roman"/>
          <w:szCs w:val="24"/>
        </w:rPr>
        <w:t>万美元增加至</w:t>
      </w:r>
      <w:r>
        <w:rPr>
          <w:rFonts w:ascii="Times New Roman" w:hAnsi="Times New Roman" w:eastAsia="宋体" w:cs="Times New Roman"/>
          <w:szCs w:val="24"/>
        </w:rPr>
        <w:t>3000</w:t>
      </w:r>
      <w:r>
        <w:rPr>
          <w:rFonts w:hint="eastAsia" w:ascii="Times New Roman" w:hAnsi="Times New Roman" w:eastAsia="宋体" w:cs="Times New Roman"/>
          <w:szCs w:val="24"/>
        </w:rPr>
        <w:t>万美元，而占美国劳动力</w:t>
      </w:r>
      <w:r>
        <w:rPr>
          <w:rFonts w:ascii="Times New Roman" w:hAnsi="Times New Roman" w:eastAsia="宋体" w:cs="Times New Roman"/>
          <w:szCs w:val="24"/>
        </w:rPr>
        <w:t>70%</w:t>
      </w:r>
      <w:r>
        <w:rPr>
          <w:rFonts w:hint="eastAsia" w:ascii="Times New Roman" w:hAnsi="Times New Roman" w:eastAsia="宋体" w:cs="Times New Roman"/>
          <w:szCs w:val="24"/>
        </w:rPr>
        <w:t>的普通员工家庭的年收入仅从</w:t>
      </w:r>
      <w:r>
        <w:rPr>
          <w:rFonts w:ascii="Times New Roman" w:hAnsi="Times New Roman" w:eastAsia="宋体" w:cs="Times New Roman"/>
          <w:szCs w:val="24"/>
        </w:rPr>
        <w:t>25800</w:t>
      </w:r>
      <w:r>
        <w:rPr>
          <w:rFonts w:hint="eastAsia" w:ascii="Times New Roman" w:hAnsi="Times New Roman" w:eastAsia="宋体" w:cs="Times New Roman"/>
          <w:szCs w:val="24"/>
        </w:rPr>
        <w:t>美元增加到</w:t>
      </w:r>
      <w:r>
        <w:rPr>
          <w:rFonts w:ascii="Times New Roman" w:hAnsi="Times New Roman" w:eastAsia="宋体" w:cs="Times New Roman"/>
          <w:szCs w:val="24"/>
        </w:rPr>
        <w:t>26350</w:t>
      </w:r>
      <w:r>
        <w:rPr>
          <w:rFonts w:hint="eastAsia" w:ascii="Times New Roman" w:hAnsi="Times New Roman" w:eastAsia="宋体" w:cs="Times New Roman"/>
          <w:szCs w:val="24"/>
        </w:rPr>
        <w:t>美元；目前最富有阶层所占据的国民收入比重高于</w:t>
      </w:r>
      <w:r>
        <w:rPr>
          <w:rFonts w:ascii="Times New Roman" w:hAnsi="Times New Roman" w:eastAsia="宋体" w:cs="Times New Roman"/>
          <w:szCs w:val="24"/>
        </w:rPr>
        <w:t>1929</w:t>
      </w:r>
      <w:r>
        <w:rPr>
          <w:rFonts w:hint="eastAsia" w:ascii="Times New Roman" w:hAnsi="Times New Roman" w:eastAsia="宋体" w:cs="Times New Roman"/>
          <w:szCs w:val="24"/>
        </w:rPr>
        <w:t>年美国经济衰退以来的任何时期。为缓解生产无限扩张趋势与广大劳动者有支付能力需求相对缩小的矛盾，满足金融垄断资本的逐利欲望，美国逐步形成了一种“债务经济模式”：普通民众依靠借贷维持正常消费，支撑资本积累和经济增长。然而，由债务推动的透支性经济增长终究是不可持续的，由借贷消费所掩盖的资本主义深层次结构矛盾必然转化为危机现象。</w:t>
      </w:r>
    </w:p>
    <w:p w14:paraId="18CF6CF4">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从经济调节分析，此次危机是政府监管不力、市场和国家调节双失灵的必然表现。适应金融资本自由流动和贪婪逐利的需要，美国</w:t>
      </w:r>
      <w:r>
        <w:rPr>
          <w:rFonts w:ascii="Times New Roman" w:hAnsi="Times New Roman" w:eastAsia="宋体" w:cs="Times New Roman"/>
          <w:szCs w:val="24"/>
        </w:rPr>
        <w:t>1980</w:t>
      </w:r>
      <w:r>
        <w:rPr>
          <w:rFonts w:hint="eastAsia" w:ascii="Times New Roman" w:hAnsi="Times New Roman" w:eastAsia="宋体" w:cs="Times New Roman"/>
          <w:szCs w:val="24"/>
        </w:rPr>
        <w:t>年通过的《存款机构放松管制与货币控制法》、</w:t>
      </w:r>
      <w:r>
        <w:rPr>
          <w:rFonts w:ascii="Times New Roman" w:hAnsi="Times New Roman" w:eastAsia="宋体" w:cs="Times New Roman"/>
          <w:szCs w:val="24"/>
        </w:rPr>
        <w:t>1982</w:t>
      </w:r>
      <w:r>
        <w:rPr>
          <w:rFonts w:hint="eastAsia" w:ascii="Times New Roman" w:hAnsi="Times New Roman" w:eastAsia="宋体" w:cs="Times New Roman"/>
          <w:szCs w:val="24"/>
        </w:rPr>
        <w:t>年通过的《加恩·圣杰曼存款机构法》、</w:t>
      </w:r>
      <w:r>
        <w:rPr>
          <w:rFonts w:ascii="Times New Roman" w:hAnsi="Times New Roman" w:eastAsia="宋体" w:cs="Times New Roman"/>
          <w:szCs w:val="24"/>
        </w:rPr>
        <w:t>1995</w:t>
      </w:r>
      <w:r>
        <w:rPr>
          <w:rFonts w:hint="eastAsia" w:ascii="Times New Roman" w:hAnsi="Times New Roman" w:eastAsia="宋体" w:cs="Times New Roman"/>
          <w:szCs w:val="24"/>
        </w:rPr>
        <w:t>年通过的《</w:t>
      </w:r>
      <w:r>
        <w:rPr>
          <w:rFonts w:ascii="Times New Roman" w:hAnsi="Times New Roman" w:eastAsia="宋体" w:cs="Times New Roman"/>
          <w:szCs w:val="24"/>
        </w:rPr>
        <w:t>1995</w:t>
      </w:r>
      <w:r>
        <w:rPr>
          <w:rFonts w:hint="eastAsia" w:ascii="Times New Roman" w:hAnsi="Times New Roman" w:eastAsia="宋体" w:cs="Times New Roman"/>
          <w:szCs w:val="24"/>
        </w:rPr>
        <w:t>年金融服务竞争法》、</w:t>
      </w:r>
      <w:r>
        <w:rPr>
          <w:rFonts w:ascii="Times New Roman" w:hAnsi="Times New Roman" w:eastAsia="宋体" w:cs="Times New Roman"/>
          <w:szCs w:val="24"/>
        </w:rPr>
        <w:t>1999</w:t>
      </w:r>
      <w:r>
        <w:rPr>
          <w:rFonts w:hint="eastAsia" w:ascii="Times New Roman" w:hAnsi="Times New Roman" w:eastAsia="宋体" w:cs="Times New Roman"/>
          <w:szCs w:val="24"/>
        </w:rPr>
        <w:t>年通过的《金融服务现代化法案》、</w:t>
      </w:r>
      <w:r>
        <w:rPr>
          <w:rFonts w:ascii="Times New Roman" w:hAnsi="Times New Roman" w:eastAsia="宋体" w:cs="Times New Roman"/>
          <w:szCs w:val="24"/>
        </w:rPr>
        <w:t>2002</w:t>
      </w:r>
      <w:r>
        <w:rPr>
          <w:rFonts w:hint="eastAsia" w:ascii="Times New Roman" w:hAnsi="Times New Roman" w:eastAsia="宋体" w:cs="Times New Roman"/>
          <w:szCs w:val="24"/>
        </w:rPr>
        <w:t>年通过的《金融服务管制放松法案》等，一步步放松了对金融体系和金融市场的监管与规制。这样，诸如次级贷款和由按揭所支撑的证券以及其他所谓金融创新产品不断增加，越来越多的金融资本和金融机构涌入投机性业务领域，经济运行的风险不断加大，市场调节的失灵必然发生。尤其是，由于金融衍生产品的巨大规模和场外交易方式已经使得基础产品的风险以极低的成本和极快的速度传递给全球金融市场的所有参与者，全球系统性金融风险不断加大和复杂化，而以功能为基础的分业监管以及以主权为基础的分割监管却难以应对全球性的市场失灵和系统性风险。因此，市场调节和国家调节双失灵的结果，必然使得美国的次贷危机发生并演变为世界性金融危机和经济危机。</w:t>
      </w:r>
    </w:p>
    <w:p w14:paraId="397631D8">
      <w:pPr>
        <w:autoSpaceDE w:val="0"/>
        <w:autoSpaceDN w:val="0"/>
        <w:spacing w:line="360" w:lineRule="auto"/>
        <w:ind w:firstLine="504"/>
        <w:jc w:val="center"/>
        <w:rPr>
          <w:rFonts w:ascii="宋体" w:hAnsi="宋体" w:eastAsia="宋体" w:cs="宋体"/>
          <w:b/>
          <w:kern w:val="0"/>
          <w:sz w:val="24"/>
          <w:szCs w:val="24"/>
        </w:rPr>
      </w:pPr>
      <w:r>
        <w:rPr>
          <w:rFonts w:hint="eastAsia" w:ascii="宋体" w:hAnsi="宋体" w:eastAsia="宋体" w:cs="宋体"/>
          <w:b/>
          <w:kern w:val="0"/>
          <w:sz w:val="24"/>
          <w:szCs w:val="24"/>
        </w:rPr>
        <w:t>四、启示：社会主义市场经济发生危机的可能与防范</w:t>
      </w:r>
    </w:p>
    <w:p w14:paraId="1A6A03E9">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马克思关于商品和商品交换内在矛盾，关于市场经济内在矛盾和经济危机一般可能性的科学分析，适用于任何形式的市场经济。无论是资本主义市场经济还是社会主义市场经济，概莫能外。然而，同样的市场经济与不同的生产资料占有方式相结合，会具有不同的根本性质和运行特点。资本主义市场经济的私有制本质决定了经济危机的不可避免性、周期性，社会主义市场经济的公有制和国家有效调节的本质决定了经济危机的可规避性、可防范性</w:t>
      </w:r>
      <w:r>
        <w:rPr>
          <w:rFonts w:ascii="Times New Roman" w:hAnsi="Times New Roman" w:eastAsia="宋体" w:cs="Times New Roman"/>
          <w:szCs w:val="24"/>
          <w:vertAlign w:val="superscript"/>
        </w:rPr>
        <w:footnoteReference w:id="552"/>
      </w:r>
      <w:r>
        <w:rPr>
          <w:rFonts w:hint="eastAsia" w:ascii="Times New Roman" w:hAnsi="Times New Roman" w:eastAsia="宋体" w:cs="Times New Roman"/>
          <w:szCs w:val="24"/>
        </w:rPr>
        <w:t>。我国的社会主义市场经济是与生产资料公有制相联系的市场经济，可以克服资本主义市场经济的内在矛盾导致经济危机爆发的不可改变性，却不能改变一般市场经济内在矛盾引发金融和经济危机的一般可能性。如果不能建立相对完善的社会主义市场经济体系，强化规避风险的社会主义制度的强大作用，经济危机的抽象形式便会转化为现实可能。</w:t>
      </w:r>
    </w:p>
    <w:p w14:paraId="77DBBB66">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社会主义市场经济是公有制为主体、多种所有制共同发展的市场经济。如果不能不断地巩固、发展和壮大公有制经济，始终保持公有制经济的基础和主体地位与国有经济的主导和控制地位，我国同样会发生严重的金融危机和经济危机。私人资本的本性是逐利而贪婪的。“一旦有适当的利润，资本就胆大起来。如果有</w:t>
      </w:r>
      <w:r>
        <w:rPr>
          <w:rFonts w:ascii="Times New Roman" w:hAnsi="Times New Roman" w:eastAsia="宋体" w:cs="Times New Roman"/>
          <w:szCs w:val="24"/>
        </w:rPr>
        <w:t>10%</w:t>
      </w:r>
      <w:r>
        <w:rPr>
          <w:rFonts w:hint="eastAsia" w:ascii="Times New Roman" w:hAnsi="Times New Roman" w:eastAsia="宋体" w:cs="Times New Roman"/>
          <w:szCs w:val="24"/>
        </w:rPr>
        <w:t>的利润，它就保证到处被使用；有</w:t>
      </w:r>
      <w:r>
        <w:rPr>
          <w:rFonts w:ascii="Times New Roman" w:hAnsi="Times New Roman" w:eastAsia="宋体" w:cs="Times New Roman"/>
          <w:szCs w:val="24"/>
        </w:rPr>
        <w:t>20%</w:t>
      </w:r>
      <w:r>
        <w:rPr>
          <w:rFonts w:hint="eastAsia" w:ascii="Times New Roman" w:hAnsi="Times New Roman" w:eastAsia="宋体" w:cs="Times New Roman"/>
          <w:szCs w:val="24"/>
        </w:rPr>
        <w:t>的利润，它就活跃起来；有</w:t>
      </w:r>
      <w:r>
        <w:rPr>
          <w:rFonts w:ascii="Times New Roman" w:hAnsi="Times New Roman" w:eastAsia="宋体" w:cs="Times New Roman"/>
          <w:szCs w:val="24"/>
        </w:rPr>
        <w:t>50%</w:t>
      </w:r>
      <w:r>
        <w:rPr>
          <w:rFonts w:hint="eastAsia" w:ascii="Times New Roman" w:hAnsi="Times New Roman" w:eastAsia="宋体" w:cs="Times New Roman"/>
          <w:szCs w:val="24"/>
        </w:rPr>
        <w:t>利润，它就铤而走险；为了</w:t>
      </w:r>
      <w:r>
        <w:rPr>
          <w:rFonts w:ascii="Times New Roman" w:hAnsi="Times New Roman" w:eastAsia="宋体" w:cs="Times New Roman"/>
          <w:szCs w:val="24"/>
        </w:rPr>
        <w:t>100%</w:t>
      </w:r>
      <w:r>
        <w:rPr>
          <w:rFonts w:hint="eastAsia" w:ascii="Times New Roman" w:hAnsi="Times New Roman" w:eastAsia="宋体" w:cs="Times New Roman"/>
          <w:szCs w:val="24"/>
        </w:rPr>
        <w:t>的利润，它就敢践踏一切人间法律；有</w:t>
      </w:r>
      <w:r>
        <w:rPr>
          <w:rFonts w:ascii="Times New Roman" w:hAnsi="Times New Roman" w:eastAsia="宋体" w:cs="Times New Roman"/>
          <w:szCs w:val="24"/>
        </w:rPr>
        <w:t>300%</w:t>
      </w:r>
      <w:r>
        <w:rPr>
          <w:rFonts w:hint="eastAsia" w:ascii="Times New Roman" w:hAnsi="Times New Roman" w:eastAsia="宋体" w:cs="Times New Roman"/>
          <w:szCs w:val="24"/>
        </w:rPr>
        <w:t>的利润，它就敢犯任何罪行，甚至冒绞首的危险。”</w:t>
      </w:r>
      <w:r>
        <w:rPr>
          <w:rFonts w:ascii="Times New Roman" w:hAnsi="Times New Roman" w:eastAsia="宋体" w:cs="Times New Roman"/>
          <w:szCs w:val="24"/>
          <w:vertAlign w:val="superscript"/>
        </w:rPr>
        <w:footnoteReference w:id="553"/>
      </w:r>
      <w:r>
        <w:rPr>
          <w:rFonts w:hint="eastAsia" w:ascii="Times New Roman" w:hAnsi="Times New Roman" w:eastAsia="宋体" w:cs="Times New Roman"/>
          <w:szCs w:val="24"/>
        </w:rPr>
        <w:t>因此，私人资本的扩张和私有制经济的发展，极易导致社会收入分配的两极分化和人民大众有效需求的不足；放大“市场失灵”的危害，导致政府调控与资本博弈失败的结果；导致生态环境恶化，陷入“劳德代尔悖论”式的经济发展，从而导致生产的无政府状态和经济社会发展的失衡，引发严重的金融和经济危机。</w:t>
      </w:r>
      <w:r>
        <w:rPr>
          <w:rFonts w:ascii="Times New Roman" w:hAnsi="Times New Roman" w:eastAsia="宋体" w:cs="Times New Roman"/>
          <w:szCs w:val="24"/>
        </w:rPr>
        <w:t>20</w:t>
      </w:r>
      <w:r>
        <w:rPr>
          <w:rFonts w:hint="eastAsia" w:ascii="Times New Roman" w:hAnsi="Times New Roman" w:eastAsia="宋体" w:cs="Times New Roman"/>
          <w:szCs w:val="24"/>
        </w:rPr>
        <w:t>世纪</w:t>
      </w:r>
      <w:r>
        <w:rPr>
          <w:rFonts w:ascii="Times New Roman" w:hAnsi="Times New Roman" w:eastAsia="宋体" w:cs="Times New Roman"/>
          <w:szCs w:val="24"/>
        </w:rPr>
        <w:t>90</w:t>
      </w:r>
      <w:r>
        <w:rPr>
          <w:rFonts w:hint="eastAsia" w:ascii="Times New Roman" w:hAnsi="Times New Roman" w:eastAsia="宋体" w:cs="Times New Roman"/>
          <w:szCs w:val="24"/>
        </w:rPr>
        <w:t>年代以来，在新自由主义的私有化思潮影响下，在频繁的危机和动荡之中，原苏联和东欧是倒退的十年，拉美是失去的十年，被联合国认定的</w:t>
      </w:r>
      <w:r>
        <w:rPr>
          <w:rFonts w:ascii="Times New Roman" w:hAnsi="Times New Roman" w:eastAsia="宋体" w:cs="Times New Roman"/>
          <w:szCs w:val="24"/>
        </w:rPr>
        <w:t>49</w:t>
      </w:r>
      <w:r>
        <w:rPr>
          <w:rFonts w:hint="eastAsia" w:ascii="Times New Roman" w:hAnsi="Times New Roman" w:eastAsia="宋体" w:cs="Times New Roman"/>
          <w:szCs w:val="24"/>
        </w:rPr>
        <w:t>个最不发达的国家，也没有通过私有化等新自由主义途径富强起来，有的反而更加贫穷。我国的社会主义市场经济既有公有制经济及其决定的社会主义经济规律在发挥作用，也有私有制经济及其决定的资本主义经济规律在发挥作用。理论和实践已经充分证明，若不能确保公有制经济及其决定的社会主义经济规律处于主导地位，放任私有制经济及其决定的资本主义经济规律发挥作用，我国的社会主义市场经济就会“失去免疫力”，难以有效规避金融危机和经济危机的发生。</w:t>
      </w:r>
    </w:p>
    <w:p w14:paraId="08C650B5">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社会主义市场经济是在国家宏观调控下市场对资源配置发挥基础性作用的市场经济。如果不能不断地加强和改善国家宏观调控，放任市场机制的自发作用，我国同样会发生严重的金融和经济危机。市场原教旨主义者认为，市场机制可以自动地导致和谐的经济增长和社会公平的自发实现，应该尽可能地让政府退出经济生活，寻求所有经济问题的基于私有产权的市场化解。然而，完美竞争的市场并不存在，现实的市场并非是一个真空的机械装置而是权力的角斗场。脱离了政府科学有效的宏观调控，市场机制的自发作用固然有利于较为充分地调动各个方面的积极作用，较为有效地实现资源的合理配置，但同时也必然导致收入分配不平等程度不可避免地扩大，社会生产的各种比例关系经常性地处于失衡状态，引发各种危机发生的可能。尤其是，西方发达国家主导的经济全球化挟其自由主义与个人主义意识形态，欲使广大发展中国家的政府职能不断泡沫化、空洞化，政府的组织功能不断地萎缩甚至消逝，这就要求我们必须对政府的作用进行科学审视与合理定位。由于政府作用定位失当，许多发展中国家出现了严重的政府治理危机，甚至陷入激烈的政权危机和社会动荡之中。世界各国的发展表明，随着生产社会化、全球化程度的不断提高，政府对经济各个领域甚至个人生活的影响程度与范围都将不可避免地扩大，政府的宏观调控已经成为现代市场经济不可或缺的组成部分。我国的社会主义市场经济是在国家宏观调控下市场对资源配置发挥基础性作用的市场经济。“让市场起作用”是我国社会主义市场经济体制改革的基本追求，但这并不意味着否定政府在市场经济中的必要作用，取消国家宏观调控的职能。没有政府作用的恰当而有效地发挥，市场的基础性作用也就无从谈起。只有不断完善和加强国家的宏观调控，充分而有效地发挥政府的主导作用，我们才能有效规避一般市场经济内在矛盾引发金融危机和经济危机的可能。</w:t>
      </w:r>
    </w:p>
    <w:p w14:paraId="4B8CCA43">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社会主义市场经济是自主发展与开放发展有机结合的市场经济。如果不能始终坚持科学发展，盲目融入西方垄断资本主导的国际经济循环、陷入高度的对外经济依赖，我国同样会发生严重的金融和经济危机。开放发展，是科学社会主义的本质要求。在当今全球化时代，自主发展基础之上的开放发展，也是社会主义国家充分利用资本主义因素发展社会主义的必然要求。然而，如果简单地接受西方发达国家主导的“国际规则”和“国际惯例”，盲目融入西方垄断资本主导的国际经济循环，不仅不能利用资本主义因素，反而会被资本主义所利用，难以获得参与经济全球化的应得利益，难以有效应对资本主义全球性的市场失灵。如果对外开放程度过高过快，不能合理把握经济开放进程，不能采取有效的公共政策以提高国内产业适应外部冲击的能力，就会成为西方资本主义国家的经济附庸，难以有效确保国家的经济安全和社会稳定。如果不能合理利用国际国内的资源、市场和技术，陷入高度的对外经济依赖，就会出现依附于资本主义世界的现象，与西方发达资本主义国家的各种危机发生“共振”，难以避免输入型的金融和经济危机。我国是人口众多的发展中的社会主义大国，我国的社会主义市场经济是自主发展与开放发展有机结合的市场经济。只有高度珍惜并坚定不移地维护中国人民经过长期奋斗得来的独立自主的发展权利，同时坚持科学合理的对外开放，实现自主发展与开放发展的有机结合，我们才能确保中国特色的社会主义市场经济健康发展，有效规避各种类型的金融危机和经济危机的发生。</w:t>
      </w:r>
    </w:p>
    <w:p w14:paraId="74FE85C5">
      <w:pPr>
        <w:spacing w:line="400" w:lineRule="exact"/>
        <w:ind w:firstLine="420" w:firstLineChars="200"/>
        <w:rPr>
          <w:rFonts w:ascii="Times New Roman" w:hAnsi="Times New Roman" w:eastAsia="宋体" w:cs="Times New Roman"/>
          <w:szCs w:val="24"/>
        </w:rPr>
      </w:pPr>
    </w:p>
    <w:p w14:paraId="6F9A3606">
      <w:pPr>
        <w:spacing w:line="400" w:lineRule="exact"/>
        <w:ind w:firstLine="420" w:firstLineChars="200"/>
        <w:rPr>
          <w:rFonts w:ascii="Times New Roman" w:hAnsi="Times New Roman" w:eastAsia="宋体" w:cs="Times New Roman"/>
          <w:szCs w:val="24"/>
        </w:rPr>
      </w:pPr>
      <w:r>
        <w:rPr>
          <w:rFonts w:hint="eastAsia" w:ascii="Times New Roman" w:hAnsi="Times New Roman" w:eastAsia="宋体" w:cs="Times New Roman"/>
          <w:szCs w:val="24"/>
        </w:rPr>
        <w:t>（原载</w:t>
      </w:r>
      <w:r>
        <w:rPr>
          <w:rFonts w:hint="eastAsia" w:ascii="Times New Roman" w:hAnsi="Times New Roman" w:eastAsia="宋体" w:cs="Times New Roman"/>
          <w:sz w:val="22"/>
        </w:rPr>
        <w:t>《转变经济发展方式与经济规律》，第二作者为</w:t>
      </w:r>
      <w:r>
        <w:rPr>
          <w:rFonts w:hint="eastAsia" w:ascii="Times New Roman" w:hAnsi="Times New Roman" w:eastAsia="宋体" w:cs="Times New Roman"/>
          <w:szCs w:val="24"/>
        </w:rPr>
        <w:t>胡乐明）</w:t>
      </w:r>
    </w:p>
    <w:p w14:paraId="41A5B4E2">
      <w:pPr>
        <w:spacing w:line="400" w:lineRule="exact"/>
        <w:ind w:firstLine="420" w:firstLineChars="200"/>
        <w:rPr>
          <w:rFonts w:ascii="等线" w:hAnsi="等线" w:eastAsia="等线" w:cs="Times New Roman"/>
        </w:rPr>
      </w:pPr>
      <w:r>
        <w:rPr>
          <w:rFonts w:ascii="Times New Roman" w:hAnsi="Times New Roman" w:eastAsia="宋体" w:cs="Times New Roman"/>
          <w:kern w:val="0"/>
          <w:szCs w:val="24"/>
        </w:rPr>
        <w:br w:type="page"/>
      </w:r>
    </w:p>
    <w:p w14:paraId="4569392B">
      <w:pPr>
        <w:keepNext/>
        <w:keepLines/>
        <w:spacing w:line="480" w:lineRule="auto"/>
        <w:ind w:firstLine="640" w:firstLineChars="200"/>
        <w:jc w:val="center"/>
        <w:outlineLvl w:val="1"/>
        <w:rPr>
          <w:rFonts w:ascii="黑体" w:hAnsi="黑体" w:eastAsia="黑体" w:cs="Times New Roman"/>
          <w:kern w:val="28"/>
          <w:sz w:val="32"/>
          <w:szCs w:val="24"/>
        </w:rPr>
      </w:pPr>
      <w:bookmarkStart w:id="1135" w:name="_Toc9090"/>
      <w:bookmarkStart w:id="1136" w:name="_Toc526777072"/>
      <w:bookmarkStart w:id="1137" w:name="_Toc236572680"/>
      <w:r>
        <w:rPr>
          <w:rFonts w:hint="eastAsia" w:ascii="黑体" w:hAnsi="黑体" w:eastAsia="黑体" w:cs="Times New Roman"/>
          <w:kern w:val="28"/>
          <w:sz w:val="32"/>
          <w:szCs w:val="24"/>
        </w:rPr>
        <w:t>1</w:t>
      </w:r>
      <w:r>
        <w:rPr>
          <w:rFonts w:ascii="黑体" w:hAnsi="黑体" w:eastAsia="黑体" w:cs="Times New Roman"/>
          <w:kern w:val="28"/>
          <w:sz w:val="32"/>
          <w:szCs w:val="24"/>
        </w:rPr>
        <w:t>5中国模式若干基本问题初探</w:t>
      </w:r>
      <w:bookmarkEnd w:id="1135"/>
      <w:bookmarkEnd w:id="1136"/>
      <w:bookmarkEnd w:id="1137"/>
    </w:p>
    <w:p w14:paraId="5FDD603A">
      <w:pPr>
        <w:pStyle w:val="21"/>
        <w:spacing w:line="400" w:lineRule="exact"/>
        <w:ind w:firstLine="420" w:firstLineChars="200"/>
        <w:jc w:val="both"/>
        <w:rPr>
          <w:sz w:val="21"/>
          <w:szCs w:val="21"/>
        </w:rPr>
      </w:pPr>
      <w:r>
        <w:rPr>
          <w:color w:val="000000"/>
          <w:sz w:val="21"/>
          <w:szCs w:val="21"/>
        </w:rPr>
        <w:t>随着中国经济的快速发展，世界对中国的关注越来越强烈，关于北京共识、中国模式的话题为国际主流学术界所高度关注。相应的理论争论就不断出现：有没有中国模式？它包含什么内容？其前景是什么？等等。</w:t>
      </w:r>
    </w:p>
    <w:p w14:paraId="1540CED3">
      <w:pPr>
        <w:autoSpaceDE w:val="0"/>
        <w:autoSpaceDN w:val="0"/>
        <w:spacing w:line="360" w:lineRule="auto"/>
        <w:ind w:firstLine="504"/>
        <w:jc w:val="center"/>
        <w:rPr>
          <w:rFonts w:ascii="宋体" w:hAnsi="宋体" w:eastAsia="宋体" w:cs="Times New Roman"/>
          <w:b/>
          <w:sz w:val="24"/>
        </w:rPr>
      </w:pPr>
      <w:r>
        <w:rPr>
          <w:rFonts w:ascii="宋体" w:hAnsi="宋体" w:eastAsia="宋体" w:cs="Times New Roman"/>
          <w:b/>
          <w:sz w:val="24"/>
        </w:rPr>
        <w:t>一</w:t>
      </w:r>
      <w:r>
        <w:rPr>
          <w:rFonts w:hint="eastAsia" w:ascii="宋体" w:hAnsi="宋体" w:eastAsia="宋体" w:cs="Times New Roman"/>
          <w:b/>
          <w:sz w:val="24"/>
        </w:rPr>
        <w:t>、</w:t>
      </w:r>
      <w:r>
        <w:rPr>
          <w:rFonts w:ascii="宋体" w:hAnsi="宋体" w:eastAsia="宋体" w:cs="Times New Roman"/>
          <w:b/>
          <w:sz w:val="24"/>
        </w:rPr>
        <w:t>模式与中国模式的基本含义</w:t>
      </w:r>
    </w:p>
    <w:p w14:paraId="54095EA9">
      <w:pPr>
        <w:pStyle w:val="21"/>
        <w:spacing w:line="400" w:lineRule="exact"/>
        <w:ind w:firstLine="420" w:firstLineChars="200"/>
        <w:jc w:val="both"/>
        <w:rPr>
          <w:sz w:val="21"/>
          <w:szCs w:val="21"/>
        </w:rPr>
      </w:pPr>
      <w:r>
        <w:rPr>
          <w:color w:val="000000"/>
          <w:sz w:val="21"/>
          <w:szCs w:val="21"/>
        </w:rPr>
        <w:t>首先看一看模式的含义。模式在现代汉语词典中的解释是：某种事物的标准形式或使人可以照着做的标准样式。恩格斯在</w:t>
      </w:r>
      <w:r>
        <w:rPr>
          <w:rFonts w:cs="Times New Roman"/>
          <w:b/>
          <w:bCs/>
          <w:color w:val="000000"/>
          <w:sz w:val="21"/>
          <w:szCs w:val="21"/>
          <w:lang w:val="en-US" w:eastAsia="zh-CN" w:bidi="en-US"/>
        </w:rPr>
        <w:t>1876-1878</w:t>
      </w:r>
      <w:r>
        <w:rPr>
          <w:color w:val="000000"/>
          <w:sz w:val="21"/>
          <w:szCs w:val="21"/>
        </w:rPr>
        <w:t>年写的《反杜林论》中批判了杜林的</w:t>
      </w:r>
      <w:r>
        <w:rPr>
          <w:color w:val="000000"/>
          <w:sz w:val="21"/>
          <w:szCs w:val="21"/>
          <w:lang w:val="zh-CN" w:eastAsia="zh-CN" w:bidi="zh-CN"/>
        </w:rPr>
        <w:t>“世</w:t>
      </w:r>
      <w:r>
        <w:rPr>
          <w:color w:val="000000"/>
          <w:sz w:val="21"/>
          <w:szCs w:val="21"/>
        </w:rPr>
        <w:t>界模式论”，指出杜林所谓对世界</w:t>
      </w:r>
      <w:r>
        <w:rPr>
          <w:color w:val="000000"/>
          <w:sz w:val="21"/>
          <w:szCs w:val="21"/>
          <w:lang w:val="zh-CN" w:eastAsia="zh-CN" w:bidi="zh-CN"/>
        </w:rPr>
        <w:t>“一</w:t>
      </w:r>
      <w:r>
        <w:rPr>
          <w:color w:val="000000"/>
          <w:sz w:val="21"/>
          <w:szCs w:val="21"/>
        </w:rPr>
        <w:t>般有效模式的透彻分析”和其根底深厚的基本模式的根子原来是来源于黑格尔《逻辑学》第一部分存在论的范畴，这是一种从别人那里剽窃来的存在模式论。</w:t>
      </w:r>
      <w:r>
        <w:rPr>
          <w:rStyle w:val="20"/>
          <w:rFonts w:ascii="宋体" w:hAnsi="宋体" w:eastAsia="宋体"/>
          <w:color w:val="000000"/>
          <w:sz w:val="21"/>
          <w:szCs w:val="21"/>
        </w:rPr>
        <w:footnoteReference w:id="554"/>
      </w:r>
      <w:r>
        <w:rPr>
          <w:color w:val="000000"/>
          <w:sz w:val="21"/>
          <w:szCs w:val="21"/>
        </w:rPr>
        <w:t>杜林这里使用的模式是一种哲学含义，它意味着世界是按照范畴塑造出来的世界，因此恩格斯讥笑杜林</w:t>
      </w:r>
      <w:r>
        <w:rPr>
          <w:color w:val="000000"/>
          <w:sz w:val="21"/>
          <w:szCs w:val="21"/>
          <w:lang w:val="zh-CN" w:eastAsia="zh-CN" w:bidi="zh-CN"/>
        </w:rPr>
        <w:t>“是</w:t>
      </w:r>
      <w:r>
        <w:rPr>
          <w:color w:val="000000"/>
          <w:sz w:val="21"/>
          <w:szCs w:val="21"/>
        </w:rPr>
        <w:t>在黑格尔范畴模式论的笼子里谈哲学”。根据马克思主义的世界观和方法论，我们对模式下的定义就是：模式是事物内在机理的展开，它以各种不同的方式系统地体现着事物的本质属性。模式的基本特点就是：内在性，模式是一个事物内在本质的展现；外在性，模式有其外在的表现方式；可借鉴性，模式可以为人们所借鉴和学习。</w:t>
      </w:r>
    </w:p>
    <w:p w14:paraId="034E5F02">
      <w:pPr>
        <w:pStyle w:val="21"/>
        <w:spacing w:line="400" w:lineRule="exact"/>
        <w:ind w:firstLine="420" w:firstLineChars="200"/>
        <w:jc w:val="both"/>
        <w:rPr>
          <w:sz w:val="21"/>
          <w:szCs w:val="21"/>
        </w:rPr>
      </w:pPr>
      <w:r>
        <w:rPr>
          <w:color w:val="000000"/>
          <w:sz w:val="21"/>
          <w:szCs w:val="21"/>
        </w:rPr>
        <w:t>其次看一下中国模式的含义。不同的学者对于中国模式有不同的定义。有的学者讲,中国模式是指新中国成立</w:t>
      </w:r>
      <w:r>
        <w:rPr>
          <w:rFonts w:cs="Times New Roman"/>
          <w:b/>
          <w:bCs/>
          <w:color w:val="000000"/>
          <w:sz w:val="21"/>
          <w:szCs w:val="21"/>
        </w:rPr>
        <w:t>60</w:t>
      </w:r>
      <w:r>
        <w:rPr>
          <w:color w:val="000000"/>
          <w:sz w:val="21"/>
          <w:szCs w:val="21"/>
        </w:rPr>
        <w:t>年来，特别是改革开放</w:t>
      </w:r>
      <w:r>
        <w:rPr>
          <w:rFonts w:cs="Times New Roman"/>
          <w:b/>
          <w:bCs/>
          <w:color w:val="000000"/>
          <w:sz w:val="21"/>
          <w:szCs w:val="21"/>
        </w:rPr>
        <w:t>30</w:t>
      </w:r>
      <w:r>
        <w:rPr>
          <w:color w:val="000000"/>
          <w:sz w:val="21"/>
          <w:szCs w:val="21"/>
        </w:rPr>
        <w:t>年建设中国特色社会主义的理念、战略、政策、实践的过程和结果的总称，也包括出现的问题。</w:t>
      </w:r>
      <w:r>
        <w:rPr>
          <w:rStyle w:val="20"/>
          <w:rFonts w:ascii="宋体" w:hAnsi="宋体" w:eastAsia="宋体"/>
          <w:color w:val="000000"/>
          <w:sz w:val="21"/>
          <w:szCs w:val="21"/>
        </w:rPr>
        <w:footnoteReference w:id="555"/>
      </w:r>
      <w:r>
        <w:rPr>
          <w:color w:val="000000"/>
          <w:sz w:val="21"/>
          <w:szCs w:val="21"/>
        </w:rPr>
        <w:t>有的学者讲，中国模式对发展中国家来说更多的是发展经验问题，对西方国家尤其是对美国来说，则更多的是一种价值问题。</w:t>
      </w:r>
      <w:r>
        <w:rPr>
          <w:rStyle w:val="20"/>
          <w:rFonts w:ascii="宋体" w:hAnsi="宋体" w:eastAsia="宋体"/>
          <w:color w:val="000000"/>
          <w:sz w:val="21"/>
          <w:szCs w:val="21"/>
        </w:rPr>
        <w:footnoteReference w:id="556"/>
      </w:r>
      <w:r>
        <w:rPr>
          <w:color w:val="000000"/>
          <w:sz w:val="21"/>
          <w:szCs w:val="21"/>
        </w:rPr>
        <w:t>还有的学者讲，中国模式，应该就是对中国</w:t>
      </w:r>
      <w:r>
        <w:rPr>
          <w:rFonts w:cs="Times New Roman"/>
          <w:b/>
          <w:bCs/>
          <w:color w:val="000000"/>
          <w:sz w:val="21"/>
          <w:szCs w:val="21"/>
        </w:rPr>
        <w:t>30</w:t>
      </w:r>
      <w:r>
        <w:rPr>
          <w:color w:val="000000"/>
          <w:sz w:val="21"/>
          <w:szCs w:val="21"/>
        </w:rPr>
        <w:t>年改革开放和现代化建设实践经验的集中概括和总结，有着鲜明而独特的内在规定性，其实质乃是在全球化背景下，中华民族在中国共产党领导下把科学社会主义原则与当代中国国情和时代特征相结合，走出</w:t>
      </w:r>
      <w:r>
        <w:rPr>
          <w:rStyle w:val="28"/>
          <w:sz w:val="21"/>
          <w:szCs w:val="21"/>
        </w:rPr>
        <w:t>的一条后发国家的现代化之路。</w:t>
      </w:r>
      <w:r>
        <w:rPr>
          <w:rStyle w:val="20"/>
          <w:rFonts w:ascii="宋体" w:hAnsi="宋体" w:eastAsia="宋体"/>
          <w:b/>
          <w:sz w:val="21"/>
          <w:szCs w:val="21"/>
        </w:rPr>
        <w:footnoteReference w:id="557"/>
      </w:r>
      <w:r>
        <w:rPr>
          <w:rStyle w:val="28"/>
          <w:sz w:val="21"/>
          <w:szCs w:val="21"/>
        </w:rPr>
        <w:t>这些定义都有其合理性，但不全面。我们认为，把握中国模式应该侧重这样几个层面：它是马克思主义中国化的模式，既不是新自由主义中国化的模式，也不是儒家社会主义模式；它是社会主义的模式，既不是什么权贵资本主义模式，也不是什么民主社会主义模式；它是发展中大国的模式，既不是西方发达国家的发展模式，也不是不发达的小国的发展模式，中国的发展一定不能脱离发展中国家的利益。</w:t>
      </w:r>
    </w:p>
    <w:p w14:paraId="2E6762FA">
      <w:pPr>
        <w:pStyle w:val="21"/>
        <w:spacing w:line="400" w:lineRule="exact"/>
        <w:ind w:firstLine="420" w:firstLineChars="200"/>
        <w:jc w:val="both"/>
        <w:rPr>
          <w:sz w:val="21"/>
          <w:szCs w:val="21"/>
        </w:rPr>
      </w:pPr>
      <w:r>
        <w:rPr>
          <w:color w:val="000000"/>
          <w:sz w:val="21"/>
          <w:szCs w:val="21"/>
        </w:rPr>
        <w:t>最后，要弄清楚中国模式、中国经验及其与中国案例之间的关系。有的学者认为，中国有经验无模式，有的则认为连经验都谈不上，只有中国案例。我们认为，中国有很多成功的案例，包括经济发展的案例、政治发展的案例，也有文化与社会发展的案例。这些案例以其共同的特性，形成了中国经验。中国经验不仅仅是一些理念性的东西，它还包括成功的发展道路和制度安排。因此，中国经验又进一步发展成为中国模式。</w:t>
      </w:r>
    </w:p>
    <w:p w14:paraId="2A4B2C24">
      <w:pPr>
        <w:pStyle w:val="21"/>
        <w:spacing w:line="400" w:lineRule="exact"/>
        <w:ind w:firstLine="420" w:firstLineChars="200"/>
        <w:jc w:val="both"/>
        <w:rPr>
          <w:sz w:val="21"/>
          <w:szCs w:val="21"/>
        </w:rPr>
      </w:pPr>
      <w:r>
        <w:rPr>
          <w:color w:val="000000"/>
          <w:sz w:val="21"/>
          <w:szCs w:val="21"/>
        </w:rPr>
        <w:t>有很多的西方学者之所以喜欢使用</w:t>
      </w:r>
      <w:r>
        <w:rPr>
          <w:color w:val="000000"/>
          <w:sz w:val="21"/>
          <w:szCs w:val="21"/>
          <w:lang w:val="zh-CN" w:eastAsia="zh-CN" w:bidi="zh-CN"/>
        </w:rPr>
        <w:t>“中国</w:t>
      </w:r>
      <w:r>
        <w:rPr>
          <w:color w:val="000000"/>
          <w:sz w:val="21"/>
          <w:szCs w:val="21"/>
        </w:rPr>
        <w:t>模式”而很少使用中国道路，关键就是试图把中国特色社会主义从中国模式中清除掉，使这一概念变得更加中性化或者讲去意识形态化。因此，我们在使用</w:t>
      </w:r>
      <w:r>
        <w:rPr>
          <w:color w:val="000000"/>
          <w:sz w:val="21"/>
          <w:szCs w:val="21"/>
          <w:lang w:val="zh-CN" w:eastAsia="zh-CN" w:bidi="zh-CN"/>
        </w:rPr>
        <w:t>“中国</w:t>
      </w:r>
      <w:r>
        <w:rPr>
          <w:color w:val="000000"/>
          <w:sz w:val="21"/>
          <w:szCs w:val="21"/>
        </w:rPr>
        <w:t>模式”这一概念时一定要鲜明地把它与社会主义密切联系起来，把它与中国特色社会主义道路紧密联系起来，把它与我们远大的奋斗目标联系起来。美国著名学者奈斯比特和赵启正共同撰写的《对话中国模式》一书中就表达了这样几个意思：</w:t>
      </w:r>
      <w:r>
        <w:rPr>
          <w:b/>
          <w:bCs/>
          <w:color w:val="000000"/>
          <w:sz w:val="21"/>
          <w:szCs w:val="21"/>
        </w:rPr>
        <w:t>（</w:t>
      </w:r>
      <w:r>
        <w:rPr>
          <w:rFonts w:cs="Times New Roman"/>
          <w:b/>
          <w:bCs/>
          <w:color w:val="000000"/>
          <w:sz w:val="21"/>
          <w:szCs w:val="21"/>
        </w:rPr>
        <w:t>1）</w:t>
      </w:r>
      <w:r>
        <w:rPr>
          <w:color w:val="000000"/>
          <w:sz w:val="21"/>
          <w:szCs w:val="21"/>
          <w:lang w:val="zh-CN" w:eastAsia="zh-CN" w:bidi="zh-CN"/>
        </w:rPr>
        <w:t>“中</w:t>
      </w:r>
      <w:r>
        <w:rPr>
          <w:color w:val="000000"/>
          <w:sz w:val="21"/>
          <w:szCs w:val="21"/>
        </w:rPr>
        <w:t>国现在实行的是一种全新的模式，你们治国理政的方式，你们行事的方式，都是全新的，所以不能简单地使用’社会主义’来描述了。”</w:t>
      </w:r>
      <w:r>
        <w:rPr>
          <w:rFonts w:cs="Times New Roman"/>
          <w:b/>
          <w:bCs/>
          <w:color w:val="000000"/>
          <w:sz w:val="21"/>
          <w:szCs w:val="21"/>
        </w:rPr>
        <w:t>（2）</w:t>
      </w:r>
      <w:r>
        <w:rPr>
          <w:color w:val="000000"/>
          <w:sz w:val="21"/>
          <w:szCs w:val="21"/>
          <w:lang w:val="zh-CN" w:eastAsia="zh-CN" w:bidi="zh-CN"/>
        </w:rPr>
        <w:t>“在</w:t>
      </w:r>
      <w:r>
        <w:rPr>
          <w:color w:val="000000"/>
          <w:sz w:val="21"/>
          <w:szCs w:val="21"/>
        </w:rPr>
        <w:t>欧洲，很多人一说到中国特色就想到共产主义，会产生意识形态方面的一些联想，而这种联想往往是负面的，实际上对中国也是不利的。”</w:t>
      </w:r>
      <w:r>
        <w:rPr>
          <w:b/>
          <w:bCs/>
          <w:color w:val="000000"/>
          <w:sz w:val="21"/>
          <w:szCs w:val="21"/>
        </w:rPr>
        <w:t>（</w:t>
      </w:r>
      <w:r>
        <w:rPr>
          <w:rFonts w:cs="Times New Roman"/>
          <w:b/>
          <w:bCs/>
          <w:color w:val="000000"/>
          <w:sz w:val="21"/>
          <w:szCs w:val="21"/>
        </w:rPr>
        <w:t>3）</w:t>
      </w:r>
      <w:r>
        <w:rPr>
          <w:color w:val="000000"/>
          <w:sz w:val="21"/>
          <w:szCs w:val="21"/>
        </w:rPr>
        <w:t>中国不要把自己裹在共产主义这个冊子当中，你已经化蝶了，你就应该展翅高飞，而不是躲在过去的旧的观念当中。这些观点的本质就是不能理解中国道路的本质：无论是化蝶也好，还是展翅高飞也好，其动力就来自于中国特色社会主义道路。所以研究中国模式一定要把中国特色社会主义道路的本质和内涵研究清楚。</w:t>
      </w:r>
    </w:p>
    <w:p w14:paraId="15BD3957">
      <w:pPr>
        <w:autoSpaceDE w:val="0"/>
        <w:autoSpaceDN w:val="0"/>
        <w:spacing w:line="360" w:lineRule="auto"/>
        <w:ind w:firstLine="504"/>
        <w:jc w:val="center"/>
        <w:rPr>
          <w:rFonts w:ascii="宋体" w:hAnsi="宋体" w:eastAsia="宋体" w:cs="Times New Roman"/>
          <w:b/>
          <w:sz w:val="24"/>
        </w:rPr>
      </w:pPr>
      <w:r>
        <w:rPr>
          <w:rFonts w:ascii="宋体" w:hAnsi="宋体" w:eastAsia="宋体" w:cs="Times New Roman"/>
          <w:b/>
          <w:sz w:val="24"/>
        </w:rPr>
        <w:t>二</w:t>
      </w:r>
      <w:r>
        <w:rPr>
          <w:rFonts w:hint="eastAsia" w:ascii="宋体" w:hAnsi="宋体" w:eastAsia="宋体" w:cs="Times New Roman"/>
          <w:b/>
          <w:sz w:val="24"/>
        </w:rPr>
        <w:t>、</w:t>
      </w:r>
      <w:r>
        <w:rPr>
          <w:rFonts w:ascii="宋体" w:hAnsi="宋体" w:eastAsia="宋体" w:cs="Times New Roman"/>
          <w:b/>
          <w:sz w:val="24"/>
        </w:rPr>
        <w:t>中国模式的基本内涵</w:t>
      </w:r>
    </w:p>
    <w:p w14:paraId="5CCEA186">
      <w:pPr>
        <w:pStyle w:val="21"/>
        <w:spacing w:line="400" w:lineRule="exact"/>
        <w:ind w:firstLine="420" w:firstLineChars="200"/>
        <w:jc w:val="both"/>
        <w:rPr>
          <w:sz w:val="21"/>
          <w:szCs w:val="21"/>
        </w:rPr>
      </w:pPr>
      <w:r>
        <w:rPr>
          <w:color w:val="000000"/>
          <w:sz w:val="21"/>
          <w:szCs w:val="21"/>
        </w:rPr>
        <w:t>党的十六大以来，以胡锦涛同志为总书记的党中央，坚持以邓小平理论和</w:t>
      </w:r>
      <w:r>
        <w:rPr>
          <w:color w:val="000000"/>
          <w:sz w:val="21"/>
          <w:szCs w:val="21"/>
          <w:lang w:val="zh-CN" w:eastAsia="zh-CN" w:bidi="zh-CN"/>
        </w:rPr>
        <w:t>“三</w:t>
      </w:r>
      <w:r>
        <w:rPr>
          <w:color w:val="000000"/>
          <w:sz w:val="21"/>
          <w:szCs w:val="21"/>
        </w:rPr>
        <w:t>个代表”重要思想为指导，深入贯彻落实科学发展观，提出构建社会主义和谐社会的战略思想和重大任务，从而使中国特色社会主义事业总体布局由经济建设、政治建设、文化建设三位一体，扩展为经济建设、政治建设、文化建设、社会建设四位一体。这体现了我们党对共产党执政规律、社会主义建设规律、人类社会发展规律认识的深化。全面把握中国特色社会主义事业总体布局，按照这个总体布局全面推进社会主义市场经济、社会主义民主政治、社会主义先进文化、社会主义和谐社会建设，是坚持中国特色社会主义道路’的内在要</w:t>
      </w:r>
      <w:r>
        <w:rPr>
          <w:rStyle w:val="28"/>
          <w:sz w:val="21"/>
          <w:szCs w:val="21"/>
        </w:rPr>
        <w:t>求，也是我们正确理解中国模式的基本出发点。</w:t>
      </w:r>
    </w:p>
    <w:p w14:paraId="17A606D5">
      <w:pPr>
        <w:pStyle w:val="21"/>
        <w:spacing w:line="400" w:lineRule="exact"/>
        <w:ind w:firstLine="420" w:firstLineChars="200"/>
        <w:jc w:val="both"/>
        <w:rPr>
          <w:sz w:val="21"/>
          <w:szCs w:val="21"/>
        </w:rPr>
      </w:pPr>
      <w:r>
        <w:rPr>
          <w:color w:val="000000"/>
          <w:sz w:val="21"/>
          <w:szCs w:val="21"/>
        </w:rPr>
        <w:t>第一，中国模式在经济建设上形成了</w:t>
      </w:r>
      <w:r>
        <w:rPr>
          <w:color w:val="000000"/>
          <w:sz w:val="21"/>
          <w:szCs w:val="21"/>
          <w:lang w:val="zh-CN" w:eastAsia="zh-CN" w:bidi="zh-CN"/>
        </w:rPr>
        <w:t>“四</w:t>
      </w:r>
      <w:r>
        <w:rPr>
          <w:color w:val="000000"/>
          <w:sz w:val="21"/>
          <w:szCs w:val="21"/>
        </w:rPr>
        <w:t>主型经济制度”。一是，公有主体型的多种类产权制度，即在公有制为主体的前提下（包含资产在质上和量上的优势），发展中外私有制经济。它表现在资本结构、就业结构、</w:t>
      </w:r>
      <w:r>
        <w:rPr>
          <w:rFonts w:cs="Times New Roman"/>
          <w:b/>
          <w:bCs/>
          <w:color w:val="000000"/>
          <w:sz w:val="21"/>
          <w:szCs w:val="21"/>
          <w:lang w:val="en-US" w:eastAsia="zh-CN" w:bidi="en-US"/>
        </w:rPr>
        <w:t>GDP</w:t>
      </w:r>
      <w:r>
        <w:rPr>
          <w:color w:val="000000"/>
          <w:sz w:val="21"/>
          <w:szCs w:val="21"/>
        </w:rPr>
        <w:t>结构、税收结构、外贸结构等多方面。我国应当在多种所有制共存的动态发展中保持这一</w:t>
      </w:r>
      <w:r>
        <w:rPr>
          <w:color w:val="000000"/>
          <w:sz w:val="21"/>
          <w:szCs w:val="21"/>
          <w:lang w:val="zh-CN" w:eastAsia="zh-CN" w:bidi="zh-CN"/>
        </w:rPr>
        <w:t>“主</w:t>
      </w:r>
      <w:r>
        <w:rPr>
          <w:color w:val="000000"/>
          <w:sz w:val="21"/>
          <w:szCs w:val="21"/>
        </w:rPr>
        <w:t>体一辅体”的宏观所有制结构。二是，劳动主体型的多要素分配制度，即按劳分配为主体，多要素所有者可凭产权参与分配，经济公平与经济效率呈现交互同向和并重关系。应采取产权和分配上的双重措施，真正做到</w:t>
      </w:r>
      <w:r>
        <w:rPr>
          <w:color w:val="000000"/>
          <w:sz w:val="21"/>
          <w:szCs w:val="21"/>
          <w:lang w:val="zh-CN" w:eastAsia="zh-CN" w:bidi="zh-CN"/>
        </w:rPr>
        <w:t>“提</w:t>
      </w:r>
      <w:r>
        <w:rPr>
          <w:color w:val="000000"/>
          <w:sz w:val="21"/>
          <w:szCs w:val="21"/>
        </w:rPr>
        <w:t>低、扩中和控高”的分配和谐。三是，国家主导型的多结构市场制度，即多结构地发展市场体系，发挥市场的基础性配置资源的作用，同时，在廉洁、廉价、民主和高效的基础上发挥国家调节的主导型作用。四是，自立主导型的多方位开放制度，即处理好引进国外技术和资本同自力更生地发展自主知识产权和高效利用本国资本的关系，实行内需为主并与外需相结合的国内外经济交往关系，促进追求引进数量的粗放型开放模式向追求引进效益的质量型开发模式转变，从而尽快完成从贸易大国向贸易强国和经济大国向经济强国的转型。</w:t>
      </w:r>
    </w:p>
    <w:p w14:paraId="619345D9">
      <w:pPr>
        <w:pStyle w:val="21"/>
        <w:spacing w:line="400" w:lineRule="exact"/>
        <w:ind w:firstLine="420" w:firstLineChars="200"/>
        <w:jc w:val="both"/>
        <w:rPr>
          <w:sz w:val="21"/>
          <w:szCs w:val="21"/>
        </w:rPr>
      </w:pPr>
      <w:r>
        <w:rPr>
          <w:color w:val="000000"/>
          <w:sz w:val="21"/>
          <w:szCs w:val="21"/>
        </w:rPr>
        <w:t>第二，中国模式在政治建设上形成了</w:t>
      </w:r>
      <w:r>
        <w:rPr>
          <w:color w:val="000000"/>
          <w:sz w:val="21"/>
          <w:szCs w:val="21"/>
          <w:lang w:val="zh-CN" w:eastAsia="zh-CN" w:bidi="zh-CN"/>
        </w:rPr>
        <w:t>“三者</w:t>
      </w:r>
      <w:r>
        <w:rPr>
          <w:color w:val="000000"/>
          <w:sz w:val="21"/>
          <w:szCs w:val="21"/>
        </w:rPr>
        <w:t>统一、四层制度”的架构。中国特色的政治发展之路就是：坚持党的领导、人民当家做主、依法治国的有机统一，坚持和完善人民代表大会制度、中国共产党领导的多党合作和政治协商制度、民族区域自治制度以及基层群众自治制度，不断推进社会主义政治制度自我完善和发展。坚持党的领导、人民当家做主、依法治国有机统一是中国模式在政治上的本质要求。党的领导在</w:t>
      </w:r>
      <w:r>
        <w:rPr>
          <w:color w:val="000000"/>
          <w:sz w:val="21"/>
          <w:szCs w:val="21"/>
          <w:lang w:val="zh-CN" w:eastAsia="zh-CN" w:bidi="zh-CN"/>
        </w:rPr>
        <w:t>“三</w:t>
      </w:r>
      <w:r>
        <w:rPr>
          <w:color w:val="000000"/>
          <w:sz w:val="21"/>
          <w:szCs w:val="21"/>
        </w:rPr>
        <w:t>统一”中起着核心作用，党的领导提供了人民当家做主最基础的条件和最广阔的空间，它体现为</w:t>
      </w:r>
      <w:r>
        <w:rPr>
          <w:color w:val="000000"/>
          <w:sz w:val="21"/>
          <w:szCs w:val="21"/>
          <w:lang w:val="zh-CN" w:eastAsia="zh-CN" w:bidi="zh-CN"/>
        </w:rPr>
        <w:t>“四</w:t>
      </w:r>
      <w:r>
        <w:rPr>
          <w:color w:val="000000"/>
          <w:sz w:val="21"/>
          <w:szCs w:val="21"/>
        </w:rPr>
        <w:t>个确保”：党的领导确保中国特色社会主义政治发展的正确方向，确保中国特色社会主义政治发展的科学架构，确保中国特色社会主义政治发展的高效运行，确保中国特色社会主义政治发展的有序参与。人民当家做主作为中国特色社会主义民主政治的根本目的意味着人民群众有权管理国家的重大事物，一切权力来源于人民；人民当家做主意味着人民群众有权选举包括国家领导人在内的一切政府官员，一切权力要服从于人民；人民当家做主意味着人民群众有权监督所选举出来的一切国家工作人员，一切权力都要接受人民的监督。这三个意味着就体现了人民当家做主的本质要求。依法治国是党领导人民治理国家的基本方略。依法治国不是离开党的领导的依法治国，也不是离开人民当家做主的依法治国。离开党的领导和人民当家做主，依法治国就会变成少数人的统治。依法治国体现了党在宪法和法律的范围内活动的基本思想，体现了人民当家做主的有序性。党的领导、人民当家做主、依法治国是有机统一的：党的领导最根本的目的就是依法领导人民实现当家做主，人民当家做主是在党的领导下和法律基础上的当家做主，依法治国是党领导下和人民群众监督下的依法治国。</w:t>
      </w:r>
    </w:p>
    <w:p w14:paraId="3E244D22">
      <w:pPr>
        <w:pStyle w:val="21"/>
        <w:spacing w:line="400" w:lineRule="exact"/>
        <w:ind w:firstLine="420" w:firstLineChars="200"/>
        <w:jc w:val="both"/>
        <w:rPr>
          <w:sz w:val="21"/>
          <w:szCs w:val="21"/>
        </w:rPr>
      </w:pPr>
      <w:r>
        <w:rPr>
          <w:color w:val="000000"/>
          <w:sz w:val="21"/>
          <w:szCs w:val="21"/>
        </w:rPr>
        <w:t>第三，中国模式在文化建设上形成了</w:t>
      </w:r>
      <w:r>
        <w:rPr>
          <w:color w:val="000000"/>
          <w:sz w:val="21"/>
          <w:szCs w:val="21"/>
          <w:lang w:val="zh-CN" w:eastAsia="zh-CN" w:bidi="zh-CN"/>
        </w:rPr>
        <w:t>“一个</w:t>
      </w:r>
      <w:r>
        <w:rPr>
          <w:color w:val="000000"/>
          <w:sz w:val="21"/>
          <w:szCs w:val="21"/>
        </w:rPr>
        <w:t>体系、两个主体”的格局。党的十六大以来，我们明确了文化建设是中国特色社会主义事业总体布局的重要组成部分，文化越来越成为民族凝聚力和创造力的重要源泉，越来越成为综合国力竞争的重要因素，越来越成为人民群众丰富精神生活的重要诉求。社会主义先进文化体现在构建和弘扬一个社会主义核心价值体系，即马克思主义的指导思想、中国特色社会主义的共同理想、以爱国主义为核心的民族精神、以改革创新为核心的时代精神、以</w:t>
      </w:r>
      <w:r>
        <w:rPr>
          <w:color w:val="000000"/>
          <w:sz w:val="21"/>
          <w:szCs w:val="21"/>
          <w:lang w:val="zh-CN" w:eastAsia="zh-CN" w:bidi="zh-CN"/>
        </w:rPr>
        <w:t>“八荣</w:t>
      </w:r>
      <w:r>
        <w:rPr>
          <w:color w:val="000000"/>
          <w:sz w:val="21"/>
          <w:szCs w:val="21"/>
        </w:rPr>
        <w:t>八耻”为主要内容的公民道德。文化发展始终坚持改革创新和科技进步，大力破除制约发展的体制性障碍，不断解放和发展文化生产力。在具体举措上形成了六个一手：一手抓公益性文化事业、一手抓经营性文化产业，一手努力构建覆盖城乡、惠及全民的公共文化服务体系，一手壮大文化产业、繁荣社会主义文化市场，一手抓繁荣、一手抓管理，推动文化全面协调发展。在这一基础上，文化建设形成了</w:t>
      </w:r>
      <w:r>
        <w:rPr>
          <w:color w:val="000000"/>
          <w:sz w:val="21"/>
          <w:szCs w:val="21"/>
          <w:lang w:val="zh-CN" w:eastAsia="zh-CN" w:bidi="zh-CN"/>
        </w:rPr>
        <w:t>“公</w:t>
      </w:r>
      <w:r>
        <w:rPr>
          <w:color w:val="000000"/>
          <w:sz w:val="21"/>
          <w:szCs w:val="21"/>
        </w:rPr>
        <w:t>有制为主体、民族文化为主体”的两主体格局。李长春同志在</w:t>
      </w:r>
      <w:r>
        <w:rPr>
          <w:rFonts w:cs="Times New Roman"/>
          <w:b/>
          <w:bCs/>
          <w:color w:val="000000"/>
          <w:sz w:val="21"/>
          <w:szCs w:val="21"/>
        </w:rPr>
        <w:t>2008</w:t>
      </w:r>
      <w:r>
        <w:rPr>
          <w:color w:val="000000"/>
          <w:sz w:val="21"/>
          <w:szCs w:val="21"/>
        </w:rPr>
        <w:t>年</w:t>
      </w:r>
      <w:r>
        <w:rPr>
          <w:rFonts w:cs="Times New Roman"/>
          <w:b/>
          <w:bCs/>
          <w:color w:val="000000"/>
          <w:sz w:val="21"/>
          <w:szCs w:val="21"/>
        </w:rPr>
        <w:t>1</w:t>
      </w:r>
      <w:r>
        <w:rPr>
          <w:color w:val="000000"/>
          <w:sz w:val="21"/>
          <w:szCs w:val="21"/>
        </w:rPr>
        <w:t>月的全国宣传思想工作会议上明确指出：</w:t>
      </w:r>
      <w:r>
        <w:rPr>
          <w:color w:val="000000"/>
          <w:sz w:val="21"/>
          <w:szCs w:val="21"/>
          <w:lang w:val="zh-CN" w:eastAsia="zh-CN" w:bidi="zh-CN"/>
        </w:rPr>
        <w:t>“在</w:t>
      </w:r>
      <w:r>
        <w:rPr>
          <w:color w:val="000000"/>
          <w:sz w:val="21"/>
          <w:szCs w:val="21"/>
        </w:rPr>
        <w:t>文化发展格局上，明确要形成以公有制为主体、多种所有制共同发展的文化产业格局，以民族文化为主体、吸收外来有益文化的文化市场格局</w:t>
      </w:r>
      <w:r>
        <w:rPr>
          <w:color w:val="000000"/>
          <w:sz w:val="21"/>
          <w:szCs w:val="21"/>
          <w:lang w:val="zh-CN" w:eastAsia="zh-CN" w:bidi="zh-CN"/>
        </w:rPr>
        <w:t>”。</w:t>
      </w:r>
      <w:r>
        <w:rPr>
          <w:rStyle w:val="20"/>
          <w:rFonts w:ascii="宋体" w:hAnsi="宋体" w:eastAsia="宋体"/>
          <w:color w:val="000000"/>
          <w:sz w:val="21"/>
          <w:szCs w:val="21"/>
          <w:lang w:val="zh-CN" w:bidi="zh-CN"/>
        </w:rPr>
        <w:footnoteReference w:id="558"/>
      </w:r>
    </w:p>
    <w:p w14:paraId="117C90D4">
      <w:pPr>
        <w:pStyle w:val="21"/>
        <w:spacing w:line="400" w:lineRule="exact"/>
        <w:ind w:firstLine="420" w:firstLineChars="200"/>
        <w:jc w:val="both"/>
        <w:rPr>
          <w:sz w:val="21"/>
          <w:szCs w:val="21"/>
        </w:rPr>
      </w:pPr>
      <w:r>
        <w:rPr>
          <w:color w:val="000000"/>
          <w:sz w:val="21"/>
          <w:szCs w:val="21"/>
        </w:rPr>
        <w:t>第四，中国模式在社会建设上形成了</w:t>
      </w:r>
      <w:r>
        <w:rPr>
          <w:color w:val="000000"/>
          <w:sz w:val="21"/>
          <w:szCs w:val="21"/>
          <w:lang w:val="zh-CN" w:eastAsia="zh-CN" w:bidi="zh-CN"/>
        </w:rPr>
        <w:t>“一个</w:t>
      </w:r>
      <w:r>
        <w:rPr>
          <w:color w:val="000000"/>
          <w:sz w:val="21"/>
          <w:szCs w:val="21"/>
        </w:rPr>
        <w:t>格局、三个互动、四个机制”的体制。党的十六届六中全会从中国特色社会主义事业总体布局和全面建设小康社会全局出发，做出了构建社会主义和谐社会的重大战略部署。通过近几年的努力，构建社会主义和谐社会取得一定进展。首先，构建社会主义和谐社会要求</w:t>
      </w:r>
      <w:r>
        <w:rPr>
          <w:color w:val="000000"/>
          <w:sz w:val="21"/>
          <w:szCs w:val="21"/>
          <w:lang w:val="zh-CN" w:eastAsia="zh-CN" w:bidi="zh-CN"/>
        </w:rPr>
        <w:t>“健</w:t>
      </w:r>
      <w:r>
        <w:rPr>
          <w:color w:val="000000"/>
          <w:sz w:val="21"/>
          <w:szCs w:val="21"/>
        </w:rPr>
        <w:t>全党委领导、政府负责、社会协同、公众参与的社会管理格局</w:t>
      </w:r>
      <w:r>
        <w:rPr>
          <w:color w:val="000000"/>
          <w:sz w:val="21"/>
          <w:szCs w:val="21"/>
          <w:lang w:val="zh-CN" w:eastAsia="zh-CN" w:bidi="zh-CN"/>
        </w:rPr>
        <w:t>。”</w:t>
      </w:r>
      <w:r>
        <w:rPr>
          <w:rStyle w:val="20"/>
          <w:rFonts w:ascii="宋体" w:hAnsi="宋体" w:eastAsia="宋体"/>
          <w:color w:val="000000"/>
          <w:sz w:val="21"/>
          <w:szCs w:val="21"/>
          <w:lang w:val="zh-CN" w:bidi="zh-CN"/>
        </w:rPr>
        <w:footnoteReference w:id="559"/>
      </w:r>
      <w:r>
        <w:rPr>
          <w:color w:val="000000"/>
          <w:sz w:val="21"/>
          <w:szCs w:val="21"/>
        </w:rPr>
        <w:t>其次，要创新社会管理体制</w:t>
      </w:r>
      <w:r>
        <w:rPr>
          <w:color w:val="000000"/>
          <w:sz w:val="21"/>
          <w:szCs w:val="21"/>
          <w:lang w:val="zh-CN" w:eastAsia="zh-CN" w:bidi="zh-CN"/>
        </w:rPr>
        <w:t>，“在</w:t>
      </w:r>
      <w:r>
        <w:rPr>
          <w:color w:val="000000"/>
          <w:sz w:val="21"/>
          <w:szCs w:val="21"/>
        </w:rPr>
        <w:t>党的领导下，积极推动建立政府调控机制同社会协调机制互联、政府行政功能同社会自治功能互补、政府管理力量同社会调节力量互动的社会管理网络，形成科学有效的利益协调机制、诉求表达机制、矛盾调处机制、权益保障机制</w:t>
      </w:r>
      <w:r>
        <w:rPr>
          <w:color w:val="000000"/>
          <w:sz w:val="21"/>
          <w:szCs w:val="21"/>
          <w:lang w:val="zh-CN" w:eastAsia="zh-CN" w:bidi="zh-CN"/>
        </w:rPr>
        <w:t>”。</w:t>
      </w:r>
      <w:r>
        <w:rPr>
          <w:rStyle w:val="20"/>
          <w:rFonts w:ascii="宋体" w:hAnsi="宋体" w:eastAsia="宋体"/>
          <w:color w:val="000000"/>
          <w:sz w:val="21"/>
          <w:szCs w:val="21"/>
          <w:lang w:val="zh-CN" w:bidi="zh-CN"/>
        </w:rPr>
        <w:footnoteReference w:id="560"/>
      </w:r>
      <w:r>
        <w:rPr>
          <w:color w:val="000000"/>
          <w:sz w:val="21"/>
          <w:szCs w:val="21"/>
        </w:rPr>
        <w:t>一个格局的不断健全，三个互动的建立，四个机制的形成，说明在社会建设上正在出现中国自己的模式。</w:t>
      </w:r>
    </w:p>
    <w:p w14:paraId="0AE09766">
      <w:pPr>
        <w:autoSpaceDE w:val="0"/>
        <w:autoSpaceDN w:val="0"/>
        <w:spacing w:line="360" w:lineRule="auto"/>
        <w:ind w:firstLine="504"/>
        <w:jc w:val="center"/>
        <w:rPr>
          <w:rFonts w:ascii="宋体" w:hAnsi="宋体" w:eastAsia="宋体" w:cs="Times New Roman"/>
          <w:b/>
          <w:sz w:val="24"/>
        </w:rPr>
      </w:pPr>
      <w:r>
        <w:rPr>
          <w:rFonts w:ascii="宋体" w:hAnsi="宋体" w:eastAsia="宋体" w:cs="Times New Roman"/>
          <w:b/>
          <w:sz w:val="24"/>
        </w:rPr>
        <w:t>三</w:t>
      </w:r>
      <w:r>
        <w:rPr>
          <w:rFonts w:hint="eastAsia" w:ascii="宋体" w:hAnsi="宋体" w:eastAsia="宋体" w:cs="Times New Roman"/>
          <w:b/>
          <w:sz w:val="24"/>
        </w:rPr>
        <w:t>、</w:t>
      </w:r>
      <w:r>
        <w:rPr>
          <w:rFonts w:ascii="宋体" w:hAnsi="宋体" w:eastAsia="宋体" w:cs="Times New Roman"/>
          <w:b/>
          <w:sz w:val="24"/>
        </w:rPr>
        <w:t>中国模式若干问题辨析</w:t>
      </w:r>
    </w:p>
    <w:p w14:paraId="314DE21D">
      <w:pPr>
        <w:pStyle w:val="21"/>
        <w:spacing w:line="400" w:lineRule="exact"/>
        <w:ind w:firstLine="420" w:firstLineChars="200"/>
        <w:jc w:val="both"/>
        <w:rPr>
          <w:sz w:val="21"/>
          <w:szCs w:val="21"/>
        </w:rPr>
      </w:pPr>
      <w:r>
        <w:rPr>
          <w:color w:val="000000"/>
          <w:sz w:val="21"/>
          <w:szCs w:val="21"/>
        </w:rPr>
        <w:t>在中国模式问题上存在着诸多需要进行科学辨析的内容。</w:t>
      </w:r>
    </w:p>
    <w:p w14:paraId="1D74CDBA">
      <w:pPr>
        <w:pStyle w:val="29"/>
        <w:spacing w:after="0" w:line="400" w:lineRule="exact"/>
        <w:ind w:firstLine="280" w:firstLineChars="200"/>
        <w:jc w:val="both"/>
        <w:rPr>
          <w:rFonts w:ascii="宋体" w:hAnsi="宋体" w:eastAsia="宋体"/>
          <w:b/>
          <w:bCs/>
          <w:i w:val="0"/>
          <w:iCs w:val="0"/>
          <w:szCs w:val="21"/>
        </w:rPr>
      </w:pPr>
      <w:r>
        <w:rPr>
          <w:rFonts w:ascii="宋体" w:hAnsi="宋体" w:eastAsia="宋体"/>
          <w:b/>
          <w:bCs/>
          <w:i w:val="0"/>
          <w:iCs w:val="0"/>
          <w:color w:val="000000"/>
          <w:szCs w:val="21"/>
          <w:lang w:val="en-US" w:eastAsia="zh-CN" w:bidi="en-US"/>
        </w:rPr>
        <w:t>（</w:t>
      </w:r>
      <w:r>
        <w:rPr>
          <w:rFonts w:hint="eastAsia" w:ascii="宋体" w:hAnsi="宋体" w:eastAsia="宋体"/>
          <w:b/>
          <w:bCs/>
          <w:i w:val="0"/>
          <w:iCs w:val="0"/>
          <w:color w:val="000000"/>
          <w:szCs w:val="21"/>
          <w:lang w:val="en-US" w:eastAsia="zh-CN" w:bidi="en-US"/>
        </w:rPr>
        <w:t>一</w:t>
      </w:r>
      <w:r>
        <w:rPr>
          <w:rFonts w:ascii="宋体" w:hAnsi="宋体" w:eastAsia="宋体"/>
          <w:b/>
          <w:bCs/>
          <w:i w:val="0"/>
          <w:iCs w:val="0"/>
          <w:color w:val="000000"/>
          <w:szCs w:val="21"/>
          <w:lang w:val="en-US" w:eastAsia="zh-CN" w:bidi="en-US"/>
        </w:rPr>
        <w:t>）</w:t>
      </w:r>
      <w:r>
        <w:rPr>
          <w:rFonts w:ascii="宋体" w:hAnsi="宋体" w:eastAsia="宋体"/>
          <w:b/>
          <w:bCs/>
          <w:i w:val="0"/>
          <w:iCs w:val="0"/>
          <w:color w:val="000000"/>
          <w:szCs w:val="21"/>
        </w:rPr>
        <w:t>中国模式是否是外国人提出来的？</w:t>
      </w:r>
    </w:p>
    <w:p w14:paraId="6B6D8E95">
      <w:pPr>
        <w:pStyle w:val="21"/>
        <w:spacing w:line="400" w:lineRule="exact"/>
        <w:ind w:firstLine="420" w:firstLineChars="200"/>
        <w:jc w:val="both"/>
        <w:rPr>
          <w:sz w:val="21"/>
          <w:szCs w:val="21"/>
        </w:rPr>
      </w:pPr>
      <w:r>
        <w:rPr>
          <w:color w:val="000000"/>
          <w:sz w:val="21"/>
          <w:szCs w:val="21"/>
        </w:rPr>
        <w:t>很多研究者都把中国模式问题的提出归之于雷默的</w:t>
      </w:r>
      <w:r>
        <w:rPr>
          <w:color w:val="000000"/>
          <w:sz w:val="21"/>
          <w:szCs w:val="21"/>
          <w:lang w:val="zh-CN" w:eastAsia="zh-CN" w:bidi="zh-CN"/>
        </w:rPr>
        <w:t>“北</w:t>
      </w:r>
      <w:r>
        <w:rPr>
          <w:color w:val="000000"/>
          <w:sz w:val="21"/>
          <w:szCs w:val="21"/>
        </w:rPr>
        <w:t>京共识”。如一种观点讲：</w:t>
      </w:r>
      <w:r>
        <w:rPr>
          <w:rFonts w:cs="Times New Roman"/>
          <w:b/>
          <w:bCs/>
          <w:color w:val="000000"/>
          <w:sz w:val="21"/>
          <w:szCs w:val="21"/>
        </w:rPr>
        <w:t>“2004</w:t>
      </w:r>
      <w:r>
        <w:rPr>
          <w:color w:val="000000"/>
          <w:sz w:val="21"/>
          <w:szCs w:val="21"/>
        </w:rPr>
        <w:t>年</w:t>
      </w:r>
      <w:r>
        <w:rPr>
          <w:rFonts w:cs="Times New Roman"/>
          <w:b/>
          <w:bCs/>
          <w:color w:val="000000"/>
          <w:sz w:val="21"/>
          <w:szCs w:val="21"/>
        </w:rPr>
        <w:t>5</w:t>
      </w:r>
      <w:r>
        <w:rPr>
          <w:color w:val="000000"/>
          <w:sz w:val="21"/>
          <w:szCs w:val="21"/>
        </w:rPr>
        <w:t>月</w:t>
      </w:r>
      <w:r>
        <w:rPr>
          <w:rFonts w:cs="Times New Roman"/>
          <w:b/>
          <w:bCs/>
          <w:color w:val="000000"/>
          <w:sz w:val="21"/>
          <w:szCs w:val="21"/>
        </w:rPr>
        <w:t>11</w:t>
      </w:r>
      <w:r>
        <w:rPr>
          <w:color w:val="000000"/>
          <w:sz w:val="21"/>
          <w:szCs w:val="21"/>
        </w:rPr>
        <w:t>日，美国高盛公司高级顾问、清华大学兼职教授乔舒亚•库珀•雷默在题为《北京共识》的报告中对中国</w:t>
      </w:r>
      <w:r>
        <w:rPr>
          <w:rFonts w:cs="Times New Roman"/>
          <w:b/>
          <w:bCs/>
          <w:color w:val="000000"/>
          <w:sz w:val="21"/>
          <w:szCs w:val="21"/>
        </w:rPr>
        <w:t>20</w:t>
      </w:r>
      <w:r>
        <w:rPr>
          <w:color w:val="000000"/>
          <w:sz w:val="21"/>
          <w:szCs w:val="21"/>
        </w:rPr>
        <w:t>多年的经济改革成就作了全面的理性的分析，指出中国摸索出了一个适合本国国情的发展模式，即所谓的’中国模式'</w:t>
      </w:r>
      <w:r>
        <w:rPr>
          <w:color w:val="000000"/>
          <w:sz w:val="21"/>
          <w:szCs w:val="21"/>
          <w:lang w:val="zh-CN" w:eastAsia="zh-CN" w:bidi="zh-CN"/>
        </w:rPr>
        <w:t>。”</w:t>
      </w:r>
      <w:r>
        <w:rPr>
          <w:rStyle w:val="20"/>
          <w:rFonts w:ascii="宋体" w:hAnsi="宋体" w:eastAsia="宋体"/>
          <w:color w:val="000000"/>
          <w:sz w:val="21"/>
          <w:szCs w:val="21"/>
          <w:lang w:val="zh-CN" w:bidi="zh-CN"/>
        </w:rPr>
        <w:footnoteReference w:id="561"/>
      </w:r>
      <w:r>
        <w:rPr>
          <w:color w:val="000000"/>
          <w:sz w:val="21"/>
          <w:szCs w:val="21"/>
        </w:rPr>
        <w:t>其实，中国模式的提出不是西方人的发明。</w:t>
      </w:r>
    </w:p>
    <w:p w14:paraId="0FF9276C">
      <w:pPr>
        <w:pStyle w:val="21"/>
        <w:spacing w:line="400" w:lineRule="exact"/>
        <w:ind w:firstLine="420" w:firstLineChars="200"/>
        <w:jc w:val="both"/>
        <w:rPr>
          <w:sz w:val="21"/>
          <w:szCs w:val="21"/>
        </w:rPr>
      </w:pPr>
      <w:r>
        <w:rPr>
          <w:color w:val="000000"/>
          <w:sz w:val="21"/>
          <w:szCs w:val="21"/>
        </w:rPr>
        <w:t>早在</w:t>
      </w:r>
      <w:r>
        <w:rPr>
          <w:rFonts w:cs="Times New Roman"/>
          <w:b/>
          <w:bCs/>
          <w:color w:val="000000"/>
          <w:sz w:val="21"/>
          <w:szCs w:val="21"/>
        </w:rPr>
        <w:t>20</w:t>
      </w:r>
      <w:r>
        <w:rPr>
          <w:color w:val="000000"/>
          <w:sz w:val="21"/>
          <w:szCs w:val="21"/>
        </w:rPr>
        <w:t>世纪</w:t>
      </w:r>
      <w:r>
        <w:rPr>
          <w:rFonts w:cs="Times New Roman"/>
          <w:b/>
          <w:bCs/>
          <w:color w:val="000000"/>
          <w:sz w:val="21"/>
          <w:szCs w:val="21"/>
        </w:rPr>
        <w:t>＞80</w:t>
      </w:r>
      <w:r>
        <w:rPr>
          <w:color w:val="000000"/>
          <w:sz w:val="21"/>
          <w:szCs w:val="21"/>
        </w:rPr>
        <w:t>年代，邓小平就多次提到中国模式。</w:t>
      </w:r>
      <w:r>
        <w:rPr>
          <w:rFonts w:cs="Times New Roman"/>
          <w:b/>
          <w:bCs/>
          <w:color w:val="000000"/>
          <w:sz w:val="21"/>
          <w:szCs w:val="21"/>
        </w:rPr>
        <w:t>1980</w:t>
      </w:r>
      <w:r>
        <w:rPr>
          <w:color w:val="000000"/>
          <w:sz w:val="21"/>
          <w:szCs w:val="21"/>
        </w:rPr>
        <w:t>年</w:t>
      </w:r>
      <w:r>
        <w:rPr>
          <w:rFonts w:cs="Times New Roman"/>
          <w:b/>
          <w:bCs/>
          <w:color w:val="000000"/>
          <w:sz w:val="21"/>
          <w:szCs w:val="21"/>
        </w:rPr>
        <w:t>5</w:t>
      </w:r>
      <w:r>
        <w:rPr>
          <w:color w:val="000000"/>
          <w:sz w:val="21"/>
          <w:szCs w:val="21"/>
        </w:rPr>
        <w:t>月，邓小平在谈到处理兄弟党关系的一条重要原则时，谈到</w:t>
      </w:r>
      <w:r>
        <w:rPr>
          <w:color w:val="000000"/>
          <w:sz w:val="21"/>
          <w:szCs w:val="21"/>
          <w:lang w:val="zh-CN" w:eastAsia="zh-CN" w:bidi="zh-CN"/>
        </w:rPr>
        <w:t>“中</w:t>
      </w:r>
      <w:r>
        <w:rPr>
          <w:color w:val="000000"/>
          <w:sz w:val="21"/>
          <w:szCs w:val="21"/>
        </w:rPr>
        <w:t>国革命就没有按照十月革命的模式去进行”，</w:t>
      </w:r>
      <w:r>
        <w:rPr>
          <w:color w:val="000000"/>
          <w:sz w:val="21"/>
          <w:szCs w:val="21"/>
          <w:lang w:val="zh-CN" w:eastAsia="zh-CN" w:bidi="zh-CN"/>
        </w:rPr>
        <w:t>“既</w:t>
      </w:r>
      <w:r>
        <w:rPr>
          <w:color w:val="000000"/>
          <w:sz w:val="21"/>
          <w:szCs w:val="21"/>
        </w:rPr>
        <w:t>然中国革命胜利靠的是马列主义普遍真理同本国具体实践相结合，我们就不应该要求其他发展中国家都按照中国的模式去进行革命，更不应该要求发达的资本主义国家也釆取中国的模式</w:t>
      </w:r>
      <w:r>
        <w:rPr>
          <w:color w:val="000000"/>
          <w:sz w:val="21"/>
          <w:szCs w:val="21"/>
          <w:lang w:val="zh-CN" w:eastAsia="zh-CN" w:bidi="zh-CN"/>
        </w:rPr>
        <w:t>”</w:t>
      </w:r>
      <w:r>
        <w:rPr>
          <w:rStyle w:val="20"/>
          <w:rFonts w:ascii="宋体" w:hAnsi="宋体" w:eastAsia="宋体"/>
          <w:color w:val="000000"/>
          <w:sz w:val="21"/>
          <w:szCs w:val="21"/>
          <w:lang w:val="zh-CN" w:bidi="zh-CN"/>
        </w:rPr>
        <w:footnoteReference w:id="562"/>
      </w:r>
      <w:r>
        <w:rPr>
          <w:color w:val="000000"/>
          <w:sz w:val="21"/>
          <w:szCs w:val="21"/>
        </w:rPr>
        <w:t>。</w:t>
      </w:r>
      <w:r>
        <w:rPr>
          <w:rFonts w:cs="Times New Roman"/>
          <w:b/>
          <w:bCs/>
          <w:color w:val="000000"/>
          <w:sz w:val="21"/>
          <w:szCs w:val="21"/>
        </w:rPr>
        <w:t>1988</w:t>
      </w:r>
      <w:r>
        <w:rPr>
          <w:color w:val="000000"/>
          <w:sz w:val="21"/>
          <w:szCs w:val="21"/>
        </w:rPr>
        <w:t>年</w:t>
      </w:r>
      <w:r>
        <w:rPr>
          <w:rFonts w:cs="Times New Roman"/>
          <w:b/>
          <w:bCs/>
          <w:color w:val="000000"/>
          <w:sz w:val="21"/>
          <w:szCs w:val="21"/>
        </w:rPr>
        <w:t>5</w:t>
      </w:r>
      <w:r>
        <w:rPr>
          <w:color w:val="000000"/>
          <w:sz w:val="21"/>
          <w:szCs w:val="21"/>
        </w:rPr>
        <w:t>月</w:t>
      </w:r>
      <w:r>
        <w:rPr>
          <w:rFonts w:cs="Times New Roman"/>
          <w:b/>
          <w:bCs/>
          <w:color w:val="000000"/>
          <w:sz w:val="21"/>
          <w:szCs w:val="21"/>
        </w:rPr>
        <w:t>18</w:t>
      </w:r>
      <w:r>
        <w:rPr>
          <w:color w:val="000000"/>
          <w:sz w:val="21"/>
          <w:szCs w:val="21"/>
        </w:rPr>
        <w:t>日在会见莫桑比克总统希萨诺时，邓小平指出：</w:t>
      </w:r>
      <w:r>
        <w:rPr>
          <w:color w:val="000000"/>
          <w:sz w:val="21"/>
          <w:szCs w:val="21"/>
          <w:lang w:val="zh-CN" w:eastAsia="zh-CN" w:bidi="zh-CN"/>
        </w:rPr>
        <w:t>“世</w:t>
      </w:r>
      <w:r>
        <w:rPr>
          <w:color w:val="000000"/>
          <w:sz w:val="21"/>
          <w:szCs w:val="21"/>
        </w:rPr>
        <w:t>界上的问题不可能都用一个模式解决。中国有中国自己的模式，莫桑比克也应该有莫桑比克自己的模式</w:t>
      </w:r>
      <w:r>
        <w:rPr>
          <w:color w:val="000000"/>
          <w:sz w:val="21"/>
          <w:szCs w:val="21"/>
          <w:lang w:val="zh-CN" w:eastAsia="zh-CN" w:bidi="zh-CN"/>
        </w:rPr>
        <w:t>。”</w:t>
      </w:r>
      <w:r>
        <w:rPr>
          <w:rStyle w:val="20"/>
          <w:rFonts w:ascii="宋体" w:hAnsi="宋体" w:eastAsia="宋体"/>
          <w:color w:val="000000"/>
          <w:sz w:val="21"/>
          <w:szCs w:val="21"/>
          <w:lang w:val="zh-CN" w:bidi="zh-CN"/>
        </w:rPr>
        <w:footnoteReference w:id="563"/>
      </w:r>
      <w:r>
        <w:rPr>
          <w:color w:val="000000"/>
          <w:sz w:val="21"/>
          <w:szCs w:val="21"/>
        </w:rPr>
        <w:t>邓小平谈到的中国的模式以及后来江泽民、胡锦涛等同志多次论及的中国特色社会主义道路有深厚的含义：在当代中国无论革命、建设还是改革，都要独立自主地走自己的路，照抄照搬别国经验、别国模式从来不能成功；要敢于和善于把马克思主义基本原理同新的实际和时代条件结合起来，坚决走充满生机活力的新路，决不走实践证明是封闭僵化的老路，也决不走那种改旗易帜、放弃共产党领导、放弃社会主义的邪路。</w:t>
      </w:r>
    </w:p>
    <w:p w14:paraId="6937A0ED">
      <w:pPr>
        <w:pStyle w:val="29"/>
        <w:spacing w:after="0" w:line="400" w:lineRule="exact"/>
        <w:ind w:firstLine="280" w:firstLineChars="200"/>
        <w:jc w:val="both"/>
        <w:rPr>
          <w:rFonts w:ascii="宋体" w:hAnsi="宋体" w:eastAsia="宋体"/>
          <w:b/>
          <w:bCs/>
          <w:i w:val="0"/>
          <w:iCs w:val="0"/>
          <w:color w:val="000000"/>
          <w:szCs w:val="21"/>
          <w:lang w:val="en-US" w:eastAsia="zh-CN" w:bidi="en-US"/>
        </w:rPr>
      </w:pPr>
      <w:r>
        <w:rPr>
          <w:rFonts w:ascii="宋体" w:hAnsi="宋体" w:eastAsia="宋体"/>
          <w:b/>
          <w:bCs/>
          <w:i w:val="0"/>
          <w:iCs w:val="0"/>
          <w:color w:val="000000"/>
          <w:szCs w:val="21"/>
          <w:lang w:val="en-US" w:eastAsia="zh-CN" w:bidi="en-US"/>
        </w:rPr>
        <w:t>(</w:t>
      </w:r>
      <w:r>
        <w:rPr>
          <w:rFonts w:hint="eastAsia" w:ascii="宋体" w:hAnsi="宋体" w:eastAsia="宋体"/>
          <w:b/>
          <w:bCs/>
          <w:i w:val="0"/>
          <w:iCs w:val="0"/>
          <w:color w:val="000000"/>
          <w:szCs w:val="21"/>
          <w:lang w:val="en-US" w:eastAsia="zh-CN" w:bidi="en-US"/>
        </w:rPr>
        <w:t>二</w:t>
      </w:r>
      <w:r>
        <w:rPr>
          <w:rFonts w:ascii="宋体" w:hAnsi="宋体" w:eastAsia="宋体"/>
          <w:b/>
          <w:bCs/>
          <w:i w:val="0"/>
          <w:iCs w:val="0"/>
          <w:color w:val="000000"/>
          <w:szCs w:val="21"/>
          <w:lang w:val="en-US" w:eastAsia="zh-CN" w:bidi="en-US"/>
        </w:rPr>
        <w:t>)中国模式是否已经成熟？</w:t>
      </w:r>
    </w:p>
    <w:p w14:paraId="7903D0E9">
      <w:pPr>
        <w:pStyle w:val="34"/>
        <w:keepNext/>
        <w:keepLines/>
        <w:spacing w:after="0" w:line="400" w:lineRule="exact"/>
        <w:ind w:firstLine="420" w:firstLineChars="200"/>
        <w:jc w:val="both"/>
        <w:outlineLvl w:val="9"/>
        <w:rPr>
          <w:szCs w:val="21"/>
        </w:rPr>
      </w:pPr>
      <w:r>
        <w:rPr>
          <w:color w:val="000000"/>
          <w:szCs w:val="21"/>
        </w:rPr>
        <w:t>有的学者认为，“中国模式”还不成熟。其理由有二：发达国家的成熟模式，都是国家发展到较高的水平，并且经历过长期的和各种环境的检验；“中国模式”虽然起步已经有20多年，但还不够长；虽然经济有很大的发展，但水平还是太低。今天的中国仍然处在变化之中，一切都还远未定型，而且也不会很快定型。这两个理由其实都是站不住脚的。首先，发达国家模式不一定都是经济发展到较高阶段才基本成熟，如德国模式、日本模式都是如此。恰恰相反，它们都是利用相对成熟的发展模式推动经济社会的发展，使经济不断成长。我们认为，中国模式已经基本成熟。基本的根据就是前面已经谈到的，中国无论是在经济建设，还是政治建设；无论是在文化建设，还是在社会建设等方面，都已经形成了比较系统完整的格局及模式。这体现在我们党一直强调制度定型化。</w:t>
      </w:r>
      <w:r>
        <w:rPr>
          <w:rFonts w:cs="Times New Roman"/>
          <w:b/>
          <w:bCs/>
          <w:color w:val="000000"/>
          <w:szCs w:val="21"/>
        </w:rPr>
        <w:t>2000</w:t>
      </w:r>
      <w:r>
        <w:rPr>
          <w:color w:val="000000"/>
          <w:szCs w:val="21"/>
        </w:rPr>
        <w:t>年</w:t>
      </w:r>
      <w:r>
        <w:rPr>
          <w:rFonts w:cs="Times New Roman"/>
          <w:b/>
          <w:bCs/>
          <w:color w:val="000000"/>
          <w:szCs w:val="21"/>
        </w:rPr>
        <w:t>10</w:t>
      </w:r>
      <w:r>
        <w:rPr>
          <w:color w:val="000000"/>
          <w:szCs w:val="21"/>
        </w:rPr>
        <w:t>月</w:t>
      </w:r>
      <w:r>
        <w:rPr>
          <w:rFonts w:cs="Times New Roman"/>
          <w:b/>
          <w:bCs/>
          <w:color w:val="000000"/>
          <w:szCs w:val="21"/>
          <w:lang w:val="en-US" w:eastAsia="zh-CN" w:bidi="en-US"/>
        </w:rPr>
        <w:t>11.</w:t>
      </w:r>
      <w:r>
        <w:rPr>
          <w:color w:val="000000"/>
          <w:szCs w:val="21"/>
        </w:rPr>
        <w:t>日在中共十五届五中全会上发表讲话时，江泽民同志讲：“我们进行改革的根本目的，就是要使生产关系适应生产力的发展，使上层建筑适应经济基础的发展，使我国社会主义社会的各个方面都形成比较成熟、比较定型的制度</w:t>
      </w:r>
      <w:r>
        <w:rPr>
          <w:color w:val="000000"/>
          <w:szCs w:val="21"/>
          <w:lang w:val="zh-CN" w:eastAsia="zh-CN" w:bidi="zh-CN"/>
        </w:rPr>
        <w:t>。”</w:t>
      </w:r>
      <w:r>
        <w:rPr>
          <w:rStyle w:val="20"/>
          <w:rFonts w:ascii="宋体" w:hAnsi="宋体" w:eastAsia="宋体"/>
          <w:color w:val="000000"/>
          <w:szCs w:val="21"/>
          <w:lang w:val="zh-CN" w:bidi="zh-CN"/>
        </w:rPr>
        <w:footnoteReference w:id="564"/>
      </w:r>
      <w:r>
        <w:rPr>
          <w:color w:val="000000"/>
          <w:szCs w:val="21"/>
        </w:rPr>
        <w:t>党的十六大以来，新的中央领导集体也反复强调制度定型的问题。</w:t>
      </w:r>
      <w:r>
        <w:rPr>
          <w:rFonts w:cs="Times New Roman"/>
          <w:b/>
          <w:bCs/>
          <w:color w:val="000000"/>
          <w:szCs w:val="21"/>
        </w:rPr>
        <w:t>2003</w:t>
      </w:r>
      <w:r>
        <w:rPr>
          <w:color w:val="000000"/>
          <w:szCs w:val="21"/>
        </w:rPr>
        <w:t>年</w:t>
      </w:r>
      <w:r>
        <w:rPr>
          <w:rFonts w:cs="Times New Roman"/>
          <w:b/>
          <w:bCs/>
          <w:color w:val="000000"/>
          <w:szCs w:val="21"/>
        </w:rPr>
        <w:t>12</w:t>
      </w:r>
      <w:r>
        <w:rPr>
          <w:color w:val="000000"/>
          <w:szCs w:val="21"/>
        </w:rPr>
        <w:t>月</w:t>
      </w:r>
      <w:r>
        <w:rPr>
          <w:rFonts w:cs="Times New Roman"/>
          <w:b/>
          <w:bCs/>
          <w:color w:val="000000"/>
          <w:szCs w:val="21"/>
        </w:rPr>
        <w:t>20</w:t>
      </w:r>
      <w:r>
        <w:rPr>
          <w:color w:val="000000"/>
          <w:szCs w:val="21"/>
        </w:rPr>
        <w:t>日曾庆红同志在全国人才工作会议结束时发表讲话指出：</w:t>
      </w:r>
      <w:r>
        <w:rPr>
          <w:color w:val="000000"/>
          <w:szCs w:val="21"/>
          <w:lang w:val="zh-CN" w:eastAsia="zh-CN" w:bidi="zh-CN"/>
        </w:rPr>
        <w:t>“十</w:t>
      </w:r>
      <w:r>
        <w:rPr>
          <w:color w:val="000000"/>
          <w:szCs w:val="21"/>
        </w:rPr>
        <w:t>六届三中全会对深化改革、完善社会主义市场经济体制作出了全面部署，应当看到，完善社会主义市场经济体制，从根本上说，就是要实现中国特色社会主义在经济制度上的定型化。邓小平同志在一九九二年视察南方谈话中曾经说过：'恐怕再有三十年的时间，我们才会在各方面形成一整套更加成熟、更加定型的制度。在这个制度下的方针、政策，也将更加定型化。’这里所说的各方面制度，当然包括党的领导制度、组织制度和干部人事制度</w:t>
      </w:r>
      <w:r>
        <w:rPr>
          <w:color w:val="000000"/>
          <w:szCs w:val="21"/>
          <w:lang w:val="zh-CN" w:eastAsia="zh-CN" w:bidi="zh-CN"/>
        </w:rPr>
        <w:t>。”</w:t>
      </w:r>
      <w:r>
        <w:rPr>
          <w:rStyle w:val="20"/>
          <w:rFonts w:ascii="宋体" w:hAnsi="宋体" w:eastAsia="宋体"/>
          <w:color w:val="000000"/>
          <w:szCs w:val="21"/>
          <w:lang w:val="zh-CN" w:bidi="zh-CN"/>
        </w:rPr>
        <w:footnoteReference w:id="565"/>
      </w:r>
    </w:p>
    <w:p w14:paraId="2FD31D18">
      <w:pPr>
        <w:pStyle w:val="29"/>
        <w:spacing w:after="0" w:line="400" w:lineRule="exact"/>
        <w:ind w:firstLine="280" w:firstLineChars="200"/>
        <w:jc w:val="both"/>
        <w:rPr>
          <w:rFonts w:ascii="宋体" w:hAnsi="宋体" w:eastAsia="宋体"/>
          <w:b/>
          <w:bCs/>
          <w:i w:val="0"/>
          <w:iCs w:val="0"/>
          <w:color w:val="000000"/>
          <w:szCs w:val="21"/>
          <w:lang w:val="en-US" w:eastAsia="zh-CN" w:bidi="en-US"/>
        </w:rPr>
      </w:pPr>
      <w:r>
        <w:rPr>
          <w:rFonts w:ascii="宋体" w:hAnsi="宋体" w:eastAsia="宋体"/>
          <w:b/>
          <w:bCs/>
          <w:i w:val="0"/>
          <w:iCs w:val="0"/>
          <w:color w:val="000000"/>
          <w:szCs w:val="21"/>
          <w:lang w:val="en-US" w:eastAsia="zh-CN" w:bidi="en-US"/>
        </w:rPr>
        <w:t>（三）</w:t>
      </w:r>
      <w:r>
        <w:rPr>
          <w:rFonts w:ascii="宋体" w:hAnsi="宋体" w:eastAsia="宋体"/>
          <w:b/>
          <w:bCs/>
          <w:i w:val="0"/>
          <w:iCs w:val="0"/>
          <w:color w:val="000000"/>
          <w:szCs w:val="21"/>
          <w:lang w:val="en-US" w:eastAsia="zh-CN" w:bidi="en-US"/>
        </w:rPr>
        <w:tab/>
      </w:r>
      <w:r>
        <w:rPr>
          <w:rFonts w:ascii="宋体" w:hAnsi="宋体" w:eastAsia="宋体"/>
          <w:b/>
          <w:bCs/>
          <w:i w:val="0"/>
          <w:iCs w:val="0"/>
          <w:color w:val="000000"/>
          <w:szCs w:val="21"/>
          <w:lang w:val="en-US" w:eastAsia="zh-CN" w:bidi="en-US"/>
        </w:rPr>
        <w:t>中国模式是否具有可借鉴性？</w:t>
      </w:r>
    </w:p>
    <w:p w14:paraId="17A86860">
      <w:pPr>
        <w:pStyle w:val="21"/>
        <w:spacing w:line="400" w:lineRule="exact"/>
        <w:ind w:firstLine="420" w:firstLineChars="200"/>
        <w:jc w:val="both"/>
        <w:rPr>
          <w:sz w:val="21"/>
          <w:szCs w:val="21"/>
        </w:rPr>
      </w:pPr>
      <w:r>
        <w:rPr>
          <w:color w:val="000000"/>
          <w:sz w:val="21"/>
          <w:szCs w:val="21"/>
        </w:rPr>
        <w:t>中国模式直接影响了一些国家经济社会发展模式的选择。印度总理辛格</w:t>
      </w:r>
      <w:r>
        <w:rPr>
          <w:rFonts w:cs="Times New Roman"/>
          <w:b/>
          <w:bCs/>
          <w:color w:val="000000"/>
          <w:sz w:val="21"/>
          <w:szCs w:val="21"/>
        </w:rPr>
        <w:t>2008</w:t>
      </w:r>
      <w:r>
        <w:rPr>
          <w:color w:val="000000"/>
          <w:sz w:val="21"/>
          <w:szCs w:val="21"/>
        </w:rPr>
        <w:t>年</w:t>
      </w:r>
      <w:r>
        <w:rPr>
          <w:rFonts w:cs="Times New Roman"/>
          <w:b/>
          <w:bCs/>
          <w:color w:val="000000"/>
          <w:sz w:val="21"/>
          <w:szCs w:val="21"/>
        </w:rPr>
        <w:t>1</w:t>
      </w:r>
      <w:r>
        <w:rPr>
          <w:color w:val="000000"/>
          <w:sz w:val="21"/>
          <w:szCs w:val="21"/>
        </w:rPr>
        <w:t>月</w:t>
      </w:r>
      <w:r>
        <w:rPr>
          <w:rFonts w:cs="Times New Roman"/>
          <w:b/>
          <w:bCs/>
          <w:color w:val="000000"/>
          <w:sz w:val="21"/>
          <w:szCs w:val="21"/>
        </w:rPr>
        <w:t>15</w:t>
      </w:r>
      <w:r>
        <w:rPr>
          <w:color w:val="000000"/>
          <w:sz w:val="21"/>
          <w:szCs w:val="21"/>
        </w:rPr>
        <w:t>日在中国社会科学院发表演说称，中国的改革推动了印度的发展。他说：</w:t>
      </w:r>
      <w:r>
        <w:rPr>
          <w:color w:val="000000"/>
          <w:sz w:val="21"/>
          <w:szCs w:val="21"/>
          <w:lang w:val="zh-CN" w:eastAsia="zh-CN" w:bidi="zh-CN"/>
        </w:rPr>
        <w:t>“在过</w:t>
      </w:r>
      <w:r>
        <w:rPr>
          <w:color w:val="000000"/>
          <w:sz w:val="21"/>
          <w:szCs w:val="21"/>
        </w:rPr>
        <w:t>去的几十年里，对外经济开放使中国深深受益，也使印度深深受益，印度正在发生着变化。我承认，中国的成功是促进变化的一种动力，这一进程始于上世纪</w:t>
      </w:r>
      <w:r>
        <w:rPr>
          <w:rFonts w:cs="Times New Roman"/>
          <w:b/>
          <w:bCs/>
          <w:color w:val="000000"/>
          <w:sz w:val="21"/>
          <w:szCs w:val="21"/>
        </w:rPr>
        <w:t>80</w:t>
      </w:r>
      <w:r>
        <w:rPr>
          <w:color w:val="000000"/>
          <w:sz w:val="21"/>
          <w:szCs w:val="21"/>
        </w:rPr>
        <w:t>年代，于</w:t>
      </w:r>
      <w:r>
        <w:rPr>
          <w:rFonts w:cs="Times New Roman"/>
          <w:b/>
          <w:bCs/>
          <w:color w:val="000000"/>
          <w:sz w:val="21"/>
          <w:szCs w:val="21"/>
        </w:rPr>
        <w:t>1991</w:t>
      </w:r>
      <w:r>
        <w:rPr>
          <w:color w:val="000000"/>
          <w:sz w:val="21"/>
          <w:szCs w:val="21"/>
        </w:rPr>
        <w:t>年深入发展</w:t>
      </w:r>
      <w:r>
        <w:rPr>
          <w:color w:val="000000"/>
          <w:sz w:val="21"/>
          <w:szCs w:val="21"/>
          <w:lang w:val="zh-CN" w:eastAsia="zh-CN" w:bidi="zh-CN"/>
        </w:rPr>
        <w:t>。”</w:t>
      </w:r>
      <w:r>
        <w:rPr>
          <w:rStyle w:val="20"/>
          <w:rFonts w:ascii="宋体" w:hAnsi="宋体" w:eastAsia="宋体"/>
          <w:color w:val="000000"/>
          <w:sz w:val="21"/>
          <w:szCs w:val="21"/>
          <w:lang w:val="zh-CN" w:bidi="zh-CN"/>
        </w:rPr>
        <w:footnoteReference w:id="566"/>
      </w:r>
      <w:r>
        <w:rPr>
          <w:color w:val="000000"/>
          <w:sz w:val="21"/>
          <w:szCs w:val="21"/>
        </w:rPr>
        <w:t>在中东，中国模式开始成为一些国家的榜样。</w:t>
      </w:r>
      <w:r>
        <w:rPr>
          <w:rFonts w:cs="Times New Roman"/>
          <w:b/>
          <w:bCs/>
          <w:color w:val="000000"/>
          <w:sz w:val="21"/>
          <w:szCs w:val="21"/>
        </w:rPr>
        <w:t>2007</w:t>
      </w:r>
      <w:r>
        <w:rPr>
          <w:color w:val="000000"/>
          <w:sz w:val="21"/>
          <w:szCs w:val="21"/>
        </w:rPr>
        <w:t>年</w:t>
      </w:r>
      <w:r>
        <w:rPr>
          <w:rFonts w:cs="Times New Roman"/>
          <w:b/>
          <w:bCs/>
          <w:color w:val="000000"/>
          <w:sz w:val="21"/>
          <w:szCs w:val="21"/>
        </w:rPr>
        <w:t>10</w:t>
      </w:r>
      <w:r>
        <w:rPr>
          <w:color w:val="000000"/>
          <w:sz w:val="21"/>
          <w:szCs w:val="21"/>
        </w:rPr>
        <w:t>月，约旦国王阿卜杜拉二世在访问中国时指出：“中国的发展模式已成为许多中东国家学习的榜样，作为一个在国际上拥有重要地位的国家，中国的声音在这里备受关注</w:t>
      </w:r>
      <w:r>
        <w:rPr>
          <w:color w:val="000000"/>
          <w:sz w:val="21"/>
          <w:szCs w:val="21"/>
          <w:lang w:val="zh-CN" w:eastAsia="zh-CN" w:bidi="zh-CN"/>
        </w:rPr>
        <w:t>。”</w:t>
      </w:r>
      <w:r>
        <w:rPr>
          <w:rStyle w:val="20"/>
          <w:rFonts w:ascii="宋体" w:hAnsi="宋体" w:eastAsia="宋体"/>
          <w:color w:val="000000"/>
          <w:sz w:val="21"/>
          <w:szCs w:val="21"/>
          <w:lang w:val="zh-CN" w:bidi="zh-CN"/>
        </w:rPr>
        <w:footnoteReference w:id="567"/>
      </w:r>
      <w:r>
        <w:rPr>
          <w:color w:val="000000"/>
          <w:sz w:val="21"/>
          <w:szCs w:val="21"/>
        </w:rPr>
        <w:t>中国模式还受到伊朗领导人的欢迎。美国哈佛大学商学院的里金钠，艾布拉米总结了"中国模式"的实践意义和理论意义：从实践意义看，</w:t>
      </w:r>
      <w:r>
        <w:rPr>
          <w:color w:val="000000"/>
          <w:sz w:val="21"/>
          <w:szCs w:val="21"/>
          <w:lang w:val="zh-CN" w:eastAsia="zh-CN" w:bidi="zh-CN"/>
        </w:rPr>
        <w:t>“中国</w:t>
      </w:r>
      <w:r>
        <w:rPr>
          <w:color w:val="000000"/>
          <w:sz w:val="21"/>
          <w:szCs w:val="21"/>
        </w:rPr>
        <w:t>模式”也许不完全适用于其他发展中国家，但毕竟为他们提供了一条新的发展道路，值得他们思考；从理论意义看，</w:t>
      </w:r>
      <w:r>
        <w:rPr>
          <w:color w:val="000000"/>
          <w:sz w:val="21"/>
          <w:szCs w:val="21"/>
          <w:lang w:val="zh-CN" w:eastAsia="zh-CN" w:bidi="zh-CN"/>
        </w:rPr>
        <w:t>“中国</w:t>
      </w:r>
      <w:r>
        <w:rPr>
          <w:color w:val="000000"/>
          <w:sz w:val="21"/>
          <w:szCs w:val="21"/>
        </w:rPr>
        <w:t>模式”颠覆了公有制企业没有效率的传统观点、新兴的大国必是好战和富有侵略性国家的论点以及经济发展必将导致西方式民主的定论。</w:t>
      </w:r>
      <w:r>
        <w:rPr>
          <w:rStyle w:val="20"/>
          <w:rFonts w:ascii="宋体" w:hAnsi="宋体" w:eastAsia="宋体"/>
          <w:color w:val="000000"/>
          <w:sz w:val="21"/>
          <w:szCs w:val="21"/>
        </w:rPr>
        <w:footnoteReference w:id="568"/>
      </w:r>
    </w:p>
    <w:p w14:paraId="07ED47D3">
      <w:pPr>
        <w:pStyle w:val="29"/>
        <w:spacing w:after="0" w:line="400" w:lineRule="exact"/>
        <w:ind w:firstLine="280" w:firstLineChars="200"/>
        <w:jc w:val="both"/>
        <w:rPr>
          <w:rFonts w:ascii="宋体" w:hAnsi="宋体" w:eastAsia="宋体"/>
          <w:b/>
          <w:bCs/>
          <w:i w:val="0"/>
          <w:iCs w:val="0"/>
          <w:color w:val="000000"/>
          <w:szCs w:val="21"/>
          <w:lang w:val="en-US" w:eastAsia="zh-CN" w:bidi="en-US"/>
        </w:rPr>
      </w:pPr>
      <w:r>
        <w:rPr>
          <w:rFonts w:ascii="宋体" w:hAnsi="宋体" w:eastAsia="宋体"/>
          <w:b/>
          <w:bCs/>
          <w:i w:val="0"/>
          <w:iCs w:val="0"/>
          <w:color w:val="000000"/>
          <w:szCs w:val="21"/>
          <w:lang w:val="en-US" w:eastAsia="zh-CN" w:bidi="en-US"/>
        </w:rPr>
        <w:t>（四）</w:t>
      </w:r>
      <w:r>
        <w:rPr>
          <w:rFonts w:ascii="宋体" w:hAnsi="宋体" w:eastAsia="宋体"/>
          <w:b/>
          <w:bCs/>
          <w:i w:val="0"/>
          <w:iCs w:val="0"/>
          <w:color w:val="000000"/>
          <w:szCs w:val="21"/>
          <w:lang w:val="en-US" w:eastAsia="zh-CN" w:bidi="en-US"/>
        </w:rPr>
        <w:tab/>
      </w:r>
      <w:r>
        <w:rPr>
          <w:rFonts w:ascii="宋体" w:hAnsi="宋体" w:eastAsia="宋体"/>
          <w:b/>
          <w:bCs/>
          <w:i w:val="0"/>
          <w:iCs w:val="0"/>
          <w:color w:val="000000"/>
          <w:szCs w:val="21"/>
          <w:lang w:val="en-US" w:eastAsia="zh-CN" w:bidi="en-US"/>
        </w:rPr>
        <w:t>中国模式面临什么挑战？</w:t>
      </w:r>
    </w:p>
    <w:p w14:paraId="70C17EF3">
      <w:pPr>
        <w:pStyle w:val="21"/>
        <w:spacing w:line="400" w:lineRule="exact"/>
        <w:ind w:firstLine="420" w:firstLineChars="200"/>
        <w:jc w:val="both"/>
        <w:rPr>
          <w:sz w:val="21"/>
          <w:szCs w:val="21"/>
        </w:rPr>
      </w:pPr>
      <w:r>
        <w:rPr>
          <w:color w:val="000000"/>
          <w:sz w:val="21"/>
          <w:szCs w:val="21"/>
        </w:rPr>
        <w:t>中共十七大报告指出：发达国家在经济科技上占优势的压力长期存在，可以预见和难以预见的风险增多。中共十七届四中全会的决定指出：发达国家在经济、科技等方面仍占优势，综合国力竞争和各种力量较量更趋激烈，不稳定不确定因素增多。究竟有什么样的不确定性风险？其一，如何避免社会问题愈演愈烈？近几年来，社会群体事件频发。据统计，</w:t>
      </w:r>
      <w:r>
        <w:rPr>
          <w:rFonts w:cs="Times New Roman"/>
          <w:b/>
          <w:bCs/>
          <w:color w:val="000000"/>
          <w:sz w:val="21"/>
          <w:szCs w:val="21"/>
        </w:rPr>
        <w:t>1993</w:t>
      </w:r>
      <w:r>
        <w:rPr>
          <w:color w:val="000000"/>
          <w:sz w:val="21"/>
          <w:szCs w:val="21"/>
        </w:rPr>
        <w:t>年全国发生群体性事件</w:t>
      </w:r>
      <w:r>
        <w:rPr>
          <w:rFonts w:cs="Times New Roman"/>
          <w:b/>
          <w:bCs/>
          <w:color w:val="000000"/>
          <w:sz w:val="21"/>
          <w:szCs w:val="21"/>
        </w:rPr>
        <w:t>8700</w:t>
      </w:r>
      <w:r>
        <w:rPr>
          <w:color w:val="000000"/>
          <w:sz w:val="21"/>
          <w:szCs w:val="21"/>
        </w:rPr>
        <w:t>起，</w:t>
      </w:r>
      <w:r>
        <w:rPr>
          <w:rFonts w:cs="Times New Roman"/>
          <w:b/>
          <w:bCs/>
          <w:color w:val="000000"/>
          <w:sz w:val="21"/>
          <w:szCs w:val="21"/>
        </w:rPr>
        <w:t>1994</w:t>
      </w:r>
      <w:r>
        <w:rPr>
          <w:color w:val="000000"/>
          <w:sz w:val="21"/>
          <w:szCs w:val="21"/>
        </w:rPr>
        <w:t>年发生</w:t>
      </w:r>
      <w:r>
        <w:rPr>
          <w:rFonts w:cs="Times New Roman"/>
          <w:b/>
          <w:bCs/>
          <w:color w:val="000000"/>
          <w:sz w:val="21"/>
          <w:szCs w:val="21"/>
        </w:rPr>
        <w:t>10000</w:t>
      </w:r>
      <w:r>
        <w:rPr>
          <w:color w:val="000000"/>
          <w:sz w:val="21"/>
          <w:szCs w:val="21"/>
        </w:rPr>
        <w:t>起，</w:t>
      </w:r>
      <w:r>
        <w:rPr>
          <w:rFonts w:cs="Times New Roman"/>
          <w:b/>
          <w:bCs/>
          <w:color w:val="000000"/>
          <w:sz w:val="21"/>
          <w:szCs w:val="21"/>
        </w:rPr>
        <w:t>1995</w:t>
      </w:r>
      <w:r>
        <w:rPr>
          <w:color w:val="000000"/>
          <w:sz w:val="21"/>
          <w:szCs w:val="21"/>
        </w:rPr>
        <w:t>年发生</w:t>
      </w:r>
      <w:r>
        <w:rPr>
          <w:rFonts w:cs="Times New Roman"/>
          <w:b/>
          <w:bCs/>
          <w:color w:val="000000"/>
          <w:sz w:val="21"/>
          <w:szCs w:val="21"/>
        </w:rPr>
        <w:t>11000</w:t>
      </w:r>
      <w:r>
        <w:rPr>
          <w:color w:val="000000"/>
          <w:sz w:val="21"/>
          <w:szCs w:val="21"/>
        </w:rPr>
        <w:t>起，</w:t>
      </w:r>
      <w:r>
        <w:rPr>
          <w:rFonts w:cs="Times New Roman"/>
          <w:b/>
          <w:bCs/>
          <w:color w:val="000000"/>
          <w:sz w:val="21"/>
          <w:szCs w:val="21"/>
        </w:rPr>
        <w:t>1996</w:t>
      </w:r>
      <w:r>
        <w:rPr>
          <w:color w:val="000000"/>
          <w:sz w:val="21"/>
          <w:szCs w:val="21"/>
        </w:rPr>
        <w:t>年发生</w:t>
      </w:r>
      <w:r>
        <w:rPr>
          <w:rFonts w:cs="Times New Roman"/>
          <w:b/>
          <w:bCs/>
          <w:color w:val="000000"/>
          <w:sz w:val="21"/>
          <w:szCs w:val="21"/>
        </w:rPr>
        <w:t>12000</w:t>
      </w:r>
      <w:r>
        <w:rPr>
          <w:color w:val="000000"/>
          <w:sz w:val="21"/>
          <w:szCs w:val="21"/>
        </w:rPr>
        <w:t>起，</w:t>
      </w:r>
      <w:r>
        <w:rPr>
          <w:rFonts w:cs="Times New Roman"/>
          <w:b/>
          <w:bCs/>
          <w:color w:val="000000"/>
          <w:sz w:val="21"/>
          <w:szCs w:val="21"/>
        </w:rPr>
        <w:t>1997</w:t>
      </w:r>
      <w:r>
        <w:rPr>
          <w:color w:val="000000"/>
          <w:sz w:val="21"/>
          <w:szCs w:val="21"/>
        </w:rPr>
        <w:t>年发生</w:t>
      </w:r>
      <w:r>
        <w:rPr>
          <w:rFonts w:cs="Times New Roman"/>
          <w:b/>
          <w:bCs/>
          <w:color w:val="000000"/>
          <w:sz w:val="21"/>
          <w:szCs w:val="21"/>
        </w:rPr>
        <w:t>17000</w:t>
      </w:r>
      <w:r>
        <w:rPr>
          <w:color w:val="000000"/>
          <w:sz w:val="21"/>
          <w:szCs w:val="21"/>
        </w:rPr>
        <w:t>起，</w:t>
      </w:r>
      <w:r>
        <w:rPr>
          <w:rFonts w:cs="Times New Roman"/>
          <w:b/>
          <w:bCs/>
          <w:color w:val="000000"/>
          <w:sz w:val="21"/>
          <w:szCs w:val="21"/>
        </w:rPr>
        <w:t>1998</w:t>
      </w:r>
      <w:r>
        <w:rPr>
          <w:color w:val="000000"/>
          <w:sz w:val="21"/>
          <w:szCs w:val="21"/>
        </w:rPr>
        <w:t>年发生</w:t>
      </w:r>
      <w:r>
        <w:rPr>
          <w:rFonts w:cs="Times New Roman"/>
          <w:b/>
          <w:bCs/>
          <w:color w:val="000000"/>
          <w:sz w:val="21"/>
          <w:szCs w:val="21"/>
        </w:rPr>
        <w:t>25000</w:t>
      </w:r>
      <w:r>
        <w:rPr>
          <w:color w:val="000000"/>
          <w:sz w:val="21"/>
          <w:szCs w:val="21"/>
        </w:rPr>
        <w:t>起，</w:t>
      </w:r>
      <w:r>
        <w:rPr>
          <w:rFonts w:cs="Times New Roman"/>
          <w:b/>
          <w:bCs/>
          <w:color w:val="000000"/>
          <w:sz w:val="21"/>
          <w:szCs w:val="21"/>
        </w:rPr>
        <w:t>1999</w:t>
      </w:r>
      <w:r>
        <w:rPr>
          <w:color w:val="000000"/>
          <w:sz w:val="21"/>
          <w:szCs w:val="21"/>
        </w:rPr>
        <w:t>年发生</w:t>
      </w:r>
      <w:r>
        <w:rPr>
          <w:rFonts w:cs="Times New Roman"/>
          <w:b/>
          <w:bCs/>
          <w:color w:val="000000"/>
          <w:sz w:val="21"/>
          <w:szCs w:val="21"/>
        </w:rPr>
        <w:t>32000</w:t>
      </w:r>
      <w:r>
        <w:rPr>
          <w:color w:val="000000"/>
          <w:sz w:val="21"/>
          <w:szCs w:val="21"/>
        </w:rPr>
        <w:t>起，</w:t>
      </w:r>
      <w:r>
        <w:rPr>
          <w:rFonts w:cs="Times New Roman"/>
          <w:b/>
          <w:bCs/>
          <w:color w:val="000000"/>
          <w:sz w:val="21"/>
          <w:szCs w:val="21"/>
        </w:rPr>
        <w:t>2000</w:t>
      </w:r>
      <w:r>
        <w:rPr>
          <w:color w:val="000000"/>
          <w:sz w:val="21"/>
          <w:szCs w:val="21"/>
        </w:rPr>
        <w:t>年就突破了</w:t>
      </w:r>
      <w:r>
        <w:rPr>
          <w:rFonts w:cs="Times New Roman"/>
          <w:b/>
          <w:bCs/>
          <w:color w:val="000000"/>
          <w:sz w:val="21"/>
          <w:szCs w:val="21"/>
        </w:rPr>
        <w:t>40000</w:t>
      </w:r>
      <w:r>
        <w:rPr>
          <w:color w:val="000000"/>
          <w:sz w:val="21"/>
          <w:szCs w:val="21"/>
        </w:rPr>
        <w:t>起。</w:t>
      </w:r>
      <w:r>
        <w:rPr>
          <w:rFonts w:cs="Times New Roman"/>
          <w:b/>
          <w:bCs/>
          <w:color w:val="000000"/>
          <w:sz w:val="21"/>
          <w:szCs w:val="21"/>
        </w:rPr>
        <w:t>2005</w:t>
      </w:r>
      <w:r>
        <w:rPr>
          <w:color w:val="000000"/>
          <w:sz w:val="21"/>
          <w:szCs w:val="21"/>
        </w:rPr>
        <w:t>年达到</w:t>
      </w:r>
      <w:r>
        <w:rPr>
          <w:rFonts w:cs="Times New Roman"/>
          <w:b/>
          <w:bCs/>
          <w:color w:val="000000"/>
          <w:sz w:val="21"/>
          <w:szCs w:val="21"/>
          <w:lang w:val="en-US" w:eastAsia="zh-CN" w:bidi="en-US"/>
        </w:rPr>
        <w:t>7.4</w:t>
      </w:r>
      <w:r>
        <w:rPr>
          <w:color w:val="000000"/>
          <w:sz w:val="21"/>
          <w:szCs w:val="21"/>
        </w:rPr>
        <w:t>万起，</w:t>
      </w:r>
      <w:r>
        <w:rPr>
          <w:rFonts w:cs="Times New Roman"/>
          <w:b/>
          <w:bCs/>
          <w:color w:val="000000"/>
          <w:sz w:val="21"/>
          <w:szCs w:val="21"/>
        </w:rPr>
        <w:t>2007</w:t>
      </w:r>
      <w:r>
        <w:rPr>
          <w:color w:val="000000"/>
          <w:sz w:val="21"/>
          <w:szCs w:val="21"/>
        </w:rPr>
        <w:t>年以来基本保持在每年</w:t>
      </w:r>
      <w:r>
        <w:rPr>
          <w:rFonts w:cs="Times New Roman"/>
          <w:b/>
          <w:bCs/>
          <w:color w:val="000000"/>
          <w:sz w:val="21"/>
          <w:szCs w:val="21"/>
        </w:rPr>
        <w:t>9</w:t>
      </w:r>
      <w:r>
        <w:rPr>
          <w:color w:val="000000"/>
          <w:sz w:val="21"/>
          <w:szCs w:val="21"/>
        </w:rPr>
        <w:t>万起；参与人数从每年</w:t>
      </w:r>
      <w:r>
        <w:rPr>
          <w:rFonts w:cs="Times New Roman"/>
          <w:b/>
          <w:bCs/>
          <w:color w:val="000000"/>
          <w:sz w:val="21"/>
          <w:szCs w:val="21"/>
        </w:rPr>
        <w:t>73</w:t>
      </w:r>
      <w:r>
        <w:rPr>
          <w:color w:val="000000"/>
          <w:sz w:val="21"/>
          <w:szCs w:val="21"/>
        </w:rPr>
        <w:t>万人次快速上升到</w:t>
      </w:r>
      <w:r>
        <w:rPr>
          <w:rFonts w:cs="Times New Roman"/>
          <w:b/>
          <w:bCs/>
          <w:color w:val="000000"/>
          <w:sz w:val="21"/>
          <w:szCs w:val="21"/>
        </w:rPr>
        <w:t>576</w:t>
      </w:r>
      <w:r>
        <w:rPr>
          <w:color w:val="000000"/>
          <w:sz w:val="21"/>
          <w:szCs w:val="21"/>
        </w:rPr>
        <w:t>万人次。其二，中国会不会与别的国家迎头相撞？当中国开始发展起来，成为世界大国的时候，发现周边到处都是别人的利益范围和领地，中国的发展在与别人合作共赢的同时也会产生竞争关系：</w:t>
      </w:r>
      <w:r>
        <w:rPr>
          <w:b/>
          <w:bCs/>
          <w:color w:val="000000"/>
          <w:sz w:val="21"/>
          <w:szCs w:val="21"/>
        </w:rPr>
        <w:t>（</w:t>
      </w:r>
      <w:r>
        <w:rPr>
          <w:rFonts w:cs="Times New Roman"/>
          <w:b/>
          <w:bCs/>
          <w:color w:val="000000"/>
          <w:sz w:val="21"/>
          <w:szCs w:val="21"/>
        </w:rPr>
        <w:t>1）</w:t>
      </w:r>
      <w:r>
        <w:rPr>
          <w:color w:val="000000"/>
          <w:sz w:val="21"/>
          <w:szCs w:val="21"/>
        </w:rPr>
        <w:t>中国搞大飞机，可能会影响到美国波音和欧洲空客在中国市场的利益。</w:t>
      </w:r>
      <w:r>
        <w:rPr>
          <w:rFonts w:cs="Times New Roman"/>
          <w:b/>
          <w:bCs/>
          <w:color w:val="000000"/>
          <w:sz w:val="21"/>
          <w:szCs w:val="21"/>
        </w:rPr>
        <w:t>2005</w:t>
      </w:r>
      <w:r>
        <w:rPr>
          <w:color w:val="000000"/>
          <w:sz w:val="21"/>
          <w:szCs w:val="21"/>
        </w:rPr>
        <w:t>年美国政府对波音公司处以</w:t>
      </w:r>
      <w:r>
        <w:rPr>
          <w:rFonts w:cs="Times New Roman"/>
          <w:b/>
          <w:bCs/>
          <w:color w:val="000000"/>
          <w:sz w:val="21"/>
          <w:szCs w:val="21"/>
        </w:rPr>
        <w:t>4700</w:t>
      </w:r>
      <w:r>
        <w:rPr>
          <w:color w:val="000000"/>
          <w:sz w:val="21"/>
          <w:szCs w:val="21"/>
        </w:rPr>
        <w:t>万美元的罚款，理由是从</w:t>
      </w:r>
      <w:r>
        <w:rPr>
          <w:rFonts w:cs="Times New Roman"/>
          <w:b/>
          <w:bCs/>
          <w:color w:val="000000"/>
          <w:sz w:val="21"/>
          <w:szCs w:val="21"/>
        </w:rPr>
        <w:t>2000</w:t>
      </w:r>
      <w:r>
        <w:rPr>
          <w:color w:val="000000"/>
          <w:sz w:val="21"/>
          <w:szCs w:val="21"/>
        </w:rPr>
        <w:t>年到</w:t>
      </w:r>
      <w:r>
        <w:rPr>
          <w:rFonts w:cs="Times New Roman"/>
          <w:b/>
          <w:bCs/>
          <w:color w:val="000000"/>
          <w:sz w:val="21"/>
          <w:szCs w:val="21"/>
        </w:rPr>
        <w:t>2003</w:t>
      </w:r>
      <w:r>
        <w:rPr>
          <w:color w:val="000000"/>
          <w:sz w:val="21"/>
          <w:szCs w:val="21"/>
        </w:rPr>
        <w:t>年，波音卖给中国的</w:t>
      </w:r>
      <w:r>
        <w:rPr>
          <w:rFonts w:cs="Times New Roman"/>
          <w:b/>
          <w:bCs/>
          <w:color w:val="000000"/>
          <w:sz w:val="21"/>
          <w:szCs w:val="21"/>
        </w:rPr>
        <w:t>9</w:t>
      </w:r>
      <w:r>
        <w:rPr>
          <w:color w:val="000000"/>
          <w:sz w:val="21"/>
          <w:szCs w:val="21"/>
        </w:rPr>
        <w:t>架民用飞机上装有违</w:t>
      </w:r>
      <w:r>
        <w:rPr>
          <w:rStyle w:val="28"/>
          <w:sz w:val="21"/>
          <w:szCs w:val="21"/>
        </w:rPr>
        <w:t>反美国出占管制条例的陀螺仪芯片技术。</w:t>
      </w:r>
      <w:r>
        <w:rPr>
          <w:rStyle w:val="28"/>
          <w:b/>
          <w:bCs/>
          <w:sz w:val="21"/>
          <w:szCs w:val="21"/>
        </w:rPr>
        <w:t>（</w:t>
      </w:r>
      <w:r>
        <w:rPr>
          <w:rStyle w:val="28"/>
          <w:rFonts w:cs="Times New Roman"/>
          <w:b/>
          <w:bCs/>
          <w:sz w:val="21"/>
          <w:szCs w:val="21"/>
        </w:rPr>
        <w:t>2）</w:t>
      </w:r>
      <w:r>
        <w:rPr>
          <w:rStyle w:val="28"/>
          <w:sz w:val="21"/>
          <w:szCs w:val="21"/>
        </w:rPr>
        <w:t>中国搞动车，日本、法国和德国企业认为影响到了它们的利益。近年来，中国企业通过与外国公司开展项目的开发合作，不断学习、消化和吸收，成功搭建了具有世界先进水平的多种机车组的设计、制造技术平台，形成了持续研发和制造的完整体系。其中长大编组卧车动车组的研制成功就是我国在高速动车组领域实施自主创新和铁路技术装备现代化取得的又一重大成果。这引起西方一些跨国公司的不满，</w:t>
      </w:r>
      <w:r>
        <w:rPr>
          <w:rStyle w:val="28"/>
          <w:rFonts w:cs="Times New Roman"/>
          <w:b/>
          <w:bCs/>
          <w:sz w:val="21"/>
          <w:szCs w:val="21"/>
        </w:rPr>
        <w:t>2009</w:t>
      </w:r>
      <w:r>
        <w:rPr>
          <w:rStyle w:val="28"/>
          <w:sz w:val="21"/>
          <w:szCs w:val="21"/>
        </w:rPr>
        <w:t>年</w:t>
      </w:r>
      <w:r>
        <w:rPr>
          <w:rStyle w:val="28"/>
          <w:rFonts w:cs="Times New Roman"/>
          <w:b/>
          <w:bCs/>
          <w:sz w:val="21"/>
          <w:szCs w:val="21"/>
        </w:rPr>
        <w:t>1</w:t>
      </w:r>
      <w:r>
        <w:rPr>
          <w:rStyle w:val="28"/>
          <w:sz w:val="21"/>
          <w:szCs w:val="21"/>
        </w:rPr>
        <w:t>月</w:t>
      </w:r>
      <w:r>
        <w:rPr>
          <w:rStyle w:val="28"/>
          <w:rFonts w:cs="Times New Roman"/>
          <w:b/>
          <w:bCs/>
          <w:sz w:val="21"/>
          <w:szCs w:val="21"/>
        </w:rPr>
        <w:t>2</w:t>
      </w:r>
      <w:r>
        <w:rPr>
          <w:rStyle w:val="28"/>
          <w:sz w:val="21"/>
          <w:szCs w:val="21"/>
        </w:rPr>
        <w:t>日，法国阿尔斯通</w:t>
      </w:r>
      <w:r>
        <w:rPr>
          <w:rStyle w:val="28"/>
          <w:b/>
          <w:bCs/>
          <w:sz w:val="21"/>
          <w:szCs w:val="21"/>
          <w:lang w:val="en-US" w:eastAsia="zh-CN" w:bidi="en-US"/>
        </w:rPr>
        <w:t>（</w:t>
      </w:r>
      <w:r>
        <w:rPr>
          <w:rStyle w:val="28"/>
          <w:rFonts w:cs="Times New Roman"/>
          <w:b/>
          <w:bCs/>
          <w:sz w:val="21"/>
          <w:szCs w:val="21"/>
          <w:lang w:val="en-US" w:eastAsia="zh-CN" w:bidi="en-US"/>
        </w:rPr>
        <w:t>Alstom）</w:t>
      </w:r>
      <w:r>
        <w:rPr>
          <w:rStyle w:val="28"/>
          <w:sz w:val="21"/>
          <w:szCs w:val="21"/>
        </w:rPr>
        <w:t>交通运输公司鼓动西方国家不要釆购中国生产的机车，指控中国市场逐步排挤外商、不让外商参与其国内市场竞标等。其公司首席执行官菲利普•梅利耶在接受《金融时报》采访时呼吁西方国家不要购买中国生产的机车。</w:t>
      </w:r>
    </w:p>
    <w:p w14:paraId="304D4D6F">
      <w:pPr>
        <w:pStyle w:val="21"/>
        <w:spacing w:line="400" w:lineRule="exact"/>
        <w:ind w:firstLine="420" w:firstLineChars="200"/>
        <w:jc w:val="both"/>
        <w:rPr>
          <w:sz w:val="21"/>
          <w:szCs w:val="21"/>
        </w:rPr>
      </w:pPr>
      <w:r>
        <w:rPr>
          <w:color w:val="000000"/>
          <w:sz w:val="21"/>
          <w:szCs w:val="21"/>
        </w:rPr>
        <w:t>应对这些风险，要有科学的理念。</w:t>
      </w:r>
      <w:r>
        <w:rPr>
          <w:b/>
          <w:bCs/>
          <w:color w:val="000000"/>
          <w:sz w:val="21"/>
          <w:szCs w:val="21"/>
        </w:rPr>
        <w:t>（</w:t>
      </w:r>
      <w:r>
        <w:rPr>
          <w:rFonts w:cs="Times New Roman"/>
          <w:b/>
          <w:bCs/>
          <w:color w:val="000000"/>
          <w:sz w:val="21"/>
          <w:szCs w:val="21"/>
        </w:rPr>
        <w:t>1）</w:t>
      </w:r>
      <w:r>
        <w:rPr>
          <w:color w:val="000000"/>
          <w:sz w:val="21"/>
          <w:szCs w:val="21"/>
        </w:rPr>
        <w:t>改革本身是充满风险的事业。邓小平在</w:t>
      </w:r>
      <w:r>
        <w:rPr>
          <w:rFonts w:cs="Times New Roman"/>
          <w:b/>
          <w:bCs/>
          <w:color w:val="000000"/>
          <w:sz w:val="21"/>
          <w:szCs w:val="21"/>
        </w:rPr>
        <w:t>1988</w:t>
      </w:r>
      <w:r>
        <w:rPr>
          <w:color w:val="000000"/>
          <w:sz w:val="21"/>
          <w:szCs w:val="21"/>
        </w:rPr>
        <w:t>年</w:t>
      </w:r>
      <w:r>
        <w:rPr>
          <w:rFonts w:cs="Times New Roman"/>
          <w:b/>
          <w:bCs/>
          <w:color w:val="000000"/>
          <w:sz w:val="21"/>
          <w:szCs w:val="21"/>
        </w:rPr>
        <w:t>6</w:t>
      </w:r>
      <w:r>
        <w:rPr>
          <w:color w:val="000000"/>
          <w:sz w:val="21"/>
          <w:szCs w:val="21"/>
        </w:rPr>
        <w:t>月</w:t>
      </w:r>
      <w:r>
        <w:rPr>
          <w:rFonts w:cs="Times New Roman"/>
          <w:b/>
          <w:bCs/>
          <w:color w:val="000000"/>
          <w:sz w:val="21"/>
          <w:szCs w:val="21"/>
        </w:rPr>
        <w:t>3</w:t>
      </w:r>
      <w:r>
        <w:rPr>
          <w:color w:val="000000"/>
          <w:sz w:val="21"/>
          <w:szCs w:val="21"/>
        </w:rPr>
        <w:t>日谈到：改革没有万无一失的方案，问题是要搞得比较稳妥一些，选择的方式和时机要恰当。</w:t>
      </w:r>
      <w:r>
        <w:rPr>
          <w:color w:val="000000"/>
          <w:sz w:val="21"/>
          <w:szCs w:val="21"/>
          <w:lang w:val="zh-CN" w:eastAsia="zh-CN" w:bidi="zh-CN"/>
        </w:rPr>
        <w:t>“不犯</w:t>
      </w:r>
      <w:r>
        <w:rPr>
          <w:color w:val="000000"/>
          <w:sz w:val="21"/>
          <w:szCs w:val="21"/>
        </w:rPr>
        <w:t>错误不可能，要争取犯得小一点，遇到问题就及时调整。这是有风险的事情，但我看可以实现，可以完成。这个乐观的预言，不是没有根据的。同时，我们要把工作的基点放在出现较大的风险上，准备好对策。这样，即使出现了大的风险，天也不会塌下来</w:t>
      </w:r>
      <w:r>
        <w:rPr>
          <w:color w:val="000000"/>
          <w:sz w:val="21"/>
          <w:szCs w:val="21"/>
          <w:lang w:val="zh-CN" w:eastAsia="zh-CN" w:bidi="zh-CN"/>
        </w:rPr>
        <w:t>。”</w:t>
      </w:r>
      <w:r>
        <w:rPr>
          <w:rStyle w:val="20"/>
          <w:rFonts w:ascii="宋体" w:hAnsi="宋体" w:eastAsia="宋体"/>
          <w:color w:val="000000"/>
          <w:sz w:val="21"/>
          <w:szCs w:val="21"/>
          <w:lang w:val="zh-CN" w:bidi="zh-CN"/>
        </w:rPr>
        <w:footnoteReference w:id="569"/>
      </w:r>
      <w:r>
        <w:rPr>
          <w:color w:val="000000"/>
          <w:sz w:val="21"/>
          <w:szCs w:val="21"/>
        </w:rPr>
        <w:t>他还强调，不冒点风险，办什么事情都有百分之百的把握，万无一失，谁敢说这样的话？</w:t>
      </w:r>
      <w:r>
        <w:rPr>
          <w:b/>
          <w:bCs/>
          <w:color w:val="000000"/>
          <w:sz w:val="21"/>
          <w:szCs w:val="21"/>
        </w:rPr>
        <w:t>（</w:t>
      </w:r>
      <w:r>
        <w:rPr>
          <w:rFonts w:cs="Times New Roman"/>
          <w:b/>
          <w:bCs/>
          <w:color w:val="000000"/>
          <w:sz w:val="21"/>
          <w:szCs w:val="21"/>
        </w:rPr>
        <w:t>2）</w:t>
      </w:r>
      <w:r>
        <w:rPr>
          <w:color w:val="000000"/>
          <w:sz w:val="21"/>
          <w:szCs w:val="21"/>
        </w:rPr>
        <w:t>要有忧患意识。</w:t>
      </w:r>
      <w:r>
        <w:rPr>
          <w:color w:val="000000"/>
          <w:sz w:val="21"/>
          <w:szCs w:val="21"/>
          <w:lang w:val="zh-CN" w:eastAsia="zh-CN" w:bidi="zh-CN"/>
        </w:rPr>
        <w:t>“生于</w:t>
      </w:r>
      <w:r>
        <w:rPr>
          <w:color w:val="000000"/>
          <w:sz w:val="21"/>
          <w:szCs w:val="21"/>
        </w:rPr>
        <w:t>忧患，死于安乐”，这是江泽民同志反复强调的一句话。对国际敌对势力的渗透、破坏活动，对敌对分子颠覆中国共产党和社会主义制度的政治图谋，对民族分裂主义势力的分裂活动，对暴力恐怖活动等要有高度的警觉，要有风险意识。在这个问题上，切不可书生气十足；在这个方面，千万不可天真。</w:t>
      </w:r>
      <w:r>
        <w:rPr>
          <w:b/>
          <w:bCs/>
          <w:color w:val="000000"/>
          <w:sz w:val="21"/>
          <w:szCs w:val="21"/>
        </w:rPr>
        <w:t>（</w:t>
      </w:r>
      <w:r>
        <w:rPr>
          <w:rFonts w:cs="Times New Roman"/>
          <w:b/>
          <w:bCs/>
          <w:color w:val="000000"/>
          <w:sz w:val="21"/>
          <w:szCs w:val="21"/>
        </w:rPr>
        <w:t>3）</w:t>
      </w:r>
      <w:r>
        <w:rPr>
          <w:color w:val="000000"/>
          <w:sz w:val="21"/>
          <w:szCs w:val="21"/>
        </w:rPr>
        <w:t>要掌握辩证唯物主义的认识论，努力解决人类认识过程中有限和无限、已知和未知的矛盾，加强对客观世界特别是对支配人们日常生活的外部力量的认识。</w:t>
      </w:r>
    </w:p>
    <w:p w14:paraId="27E94BA9">
      <w:pPr>
        <w:pStyle w:val="29"/>
        <w:spacing w:after="0" w:line="400" w:lineRule="exact"/>
        <w:ind w:firstLine="280" w:firstLineChars="200"/>
        <w:jc w:val="both"/>
        <w:rPr>
          <w:rFonts w:ascii="宋体" w:hAnsi="宋体" w:eastAsia="宋体"/>
          <w:b/>
          <w:bCs/>
          <w:i w:val="0"/>
          <w:iCs w:val="0"/>
          <w:color w:val="000000"/>
          <w:szCs w:val="21"/>
          <w:lang w:val="en-US" w:eastAsia="zh-CN" w:bidi="en-US"/>
        </w:rPr>
      </w:pPr>
      <w:r>
        <w:rPr>
          <w:rFonts w:ascii="宋体" w:hAnsi="宋体" w:eastAsia="宋体"/>
          <w:b/>
          <w:bCs/>
          <w:i w:val="0"/>
          <w:iCs w:val="0"/>
          <w:color w:val="000000"/>
          <w:szCs w:val="21"/>
          <w:lang w:val="en-US" w:eastAsia="zh-CN" w:bidi="en-US"/>
        </w:rPr>
        <w:t>（五）中国模式是否是实用主义？</w:t>
      </w:r>
    </w:p>
    <w:p w14:paraId="4905514C">
      <w:pPr>
        <w:pStyle w:val="21"/>
        <w:spacing w:line="400" w:lineRule="exact"/>
        <w:ind w:firstLine="420" w:firstLineChars="200"/>
        <w:jc w:val="both"/>
        <w:rPr>
          <w:sz w:val="21"/>
          <w:szCs w:val="21"/>
        </w:rPr>
      </w:pPr>
      <w:r>
        <w:rPr>
          <w:color w:val="000000"/>
          <w:sz w:val="21"/>
          <w:szCs w:val="21"/>
        </w:rPr>
        <w:t>德国杜伊斯堡一埃森大学政治学研究所</w:t>
      </w:r>
      <w:r>
        <w:rPr>
          <w:rFonts w:cs="Times New Roman"/>
          <w:b/>
          <w:bCs/>
          <w:color w:val="000000"/>
          <w:sz w:val="21"/>
          <w:szCs w:val="21"/>
          <w:lang w:val="en-US" w:eastAsia="zh-CN" w:bidi="en-US"/>
        </w:rPr>
        <w:t>P</w:t>
      </w:r>
      <w:r>
        <w:rPr>
          <w:color w:val="000000"/>
          <w:sz w:val="21"/>
          <w:szCs w:val="21"/>
        </w:rPr>
        <w:t>东亚学研究所所长托马斯</w:t>
      </w:r>
      <w:r>
        <w:rPr>
          <w:color w:val="000000"/>
          <w:sz w:val="21"/>
          <w:szCs w:val="21"/>
          <w:lang w:val="en-US" w:eastAsia="zh-CN" w:bidi="en-US"/>
        </w:rPr>
        <w:t>•</w:t>
      </w:r>
      <w:r>
        <w:rPr>
          <w:color w:val="000000"/>
          <w:sz w:val="21"/>
          <w:szCs w:val="21"/>
        </w:rPr>
        <w:t>海贝勒曾经在</w:t>
      </w:r>
      <w:r>
        <w:rPr>
          <w:rFonts w:cs="Times New Roman"/>
          <w:b/>
          <w:bCs/>
          <w:color w:val="000000"/>
          <w:sz w:val="21"/>
          <w:szCs w:val="21"/>
        </w:rPr>
        <w:t>2005</w:t>
      </w:r>
      <w:r>
        <w:rPr>
          <w:color w:val="000000"/>
          <w:sz w:val="21"/>
          <w:szCs w:val="21"/>
        </w:rPr>
        <w:t>年发表题为《关于中国模式若干问题的研究》的文章。他认为政治实用主义是中国发展模式和政治文化的显著特色。他说：“这种实用主义的特征如下：经济上，从计划经济到市场经济的转型，或者说政治的经济化。政治上，共产党已经从一个阶级的政党发展成为一个人民的政党。意识形态上，政府的目标不再是一个遥不可及的’共产主义</w:t>
      </w:r>
      <w:r>
        <w:rPr>
          <w:color w:val="000000"/>
          <w:sz w:val="21"/>
          <w:szCs w:val="21"/>
          <w:lang w:val="en-US" w:eastAsia="zh-CN" w:bidi="en-US"/>
        </w:rPr>
        <w:t>’，</w:t>
      </w:r>
      <w:r>
        <w:rPr>
          <w:color w:val="000000"/>
          <w:sz w:val="21"/>
          <w:szCs w:val="21"/>
        </w:rPr>
        <w:t>而是一个不太遥远的’和谐社会’。政权的合法性不再基于意识形态之上，而是基于对现代化、增强国力、维护安定、建立社会主义民主等的承诺。许多事例都表明了这种政治实用主义，例如，经济改革从计划经济到市场经济的转变，在发展过程中允许私人成分的加入、允许外资的流入、认可社会的急剧变化等。我们甚至可以从中国共产党党章的变化来</w:t>
      </w:r>
      <w:r>
        <w:rPr>
          <w:rStyle w:val="28"/>
          <w:sz w:val="21"/>
          <w:szCs w:val="21"/>
        </w:rPr>
        <w:t>解读中国的政治实用主义</w:t>
      </w:r>
      <w:r>
        <w:rPr>
          <w:rStyle w:val="28"/>
          <w:sz w:val="21"/>
          <w:szCs w:val="21"/>
          <w:lang w:val="zh-CN" w:eastAsia="zh-CN" w:bidi="zh-CN"/>
        </w:rPr>
        <w:t>。”</w:t>
      </w:r>
      <w:r>
        <w:rPr>
          <w:rStyle w:val="20"/>
          <w:rFonts w:ascii="宋体" w:hAnsi="宋体" w:eastAsia="宋体"/>
          <w:b/>
          <w:sz w:val="21"/>
          <w:szCs w:val="21"/>
          <w:lang w:val="zh-CN" w:bidi="zh-CN"/>
        </w:rPr>
        <w:footnoteReference w:id="570"/>
      </w:r>
      <w:r>
        <w:rPr>
          <w:rStyle w:val="28"/>
          <w:sz w:val="21"/>
          <w:szCs w:val="21"/>
        </w:rPr>
        <w:t>这是一种片面的观点。中国模式坚持以马克思主义世界观为指导，不是什么实用主义。这一模式强调实事求是，强调求真务实，但这不是什么实用主义。我们党在强调为社会主义初级阶段现代化目标奋斗的同时，始终强调共产主义的远大理想。我们党强调以人为本，始终把实现好、维护好、发展好最广大人民的根本利益作为党和国家一切工作的出发点和落脚点，尊重人民主体地位，发挥人民首创精神，保障人民各项权益，走共同富裕道路，促进人的全面发展，做到发展为了人民、发展依靠人民、发展成果由人民共享。这种以人民的根本利益为工作出发点和落脚点的观点是完全不同于以个人利益追求和目标实现为衡量标准的实用主义的。</w:t>
      </w:r>
    </w:p>
    <w:p w14:paraId="64E87FC4">
      <w:pPr>
        <w:pStyle w:val="21"/>
        <w:spacing w:line="400" w:lineRule="exact"/>
        <w:ind w:firstLine="420" w:firstLineChars="200"/>
        <w:jc w:val="both"/>
        <w:rPr>
          <w:sz w:val="21"/>
          <w:szCs w:val="21"/>
        </w:rPr>
      </w:pPr>
      <w:r>
        <w:rPr>
          <w:color w:val="000000"/>
          <w:sz w:val="21"/>
          <w:szCs w:val="21"/>
        </w:rPr>
        <w:t>看待中国模式，一定要运用马克思主义的立场、观点和方法。中国模式是中国人民在中国共产党领导下不懈探索的结果，是具有开创性的模式；世界上没有放之四海而皆准的发展道路和发展模式，也没有一成不变的发展道路和发展模式；我们既不能把书本上的个别论断当做束缚自己思想和手脚的教条，也不能把实践中已见成效的东西看成完美无缺的模式；我们要适应国内外形势新变化、顺应人民新期待，坚定信心，砥砺勇气，不断完善适合我国国情的发展道路和发展模式。</w:t>
      </w:r>
    </w:p>
    <w:p w14:paraId="1D5B0B90">
      <w:pPr>
        <w:pStyle w:val="29"/>
        <w:spacing w:after="0" w:line="400" w:lineRule="exact"/>
        <w:ind w:firstLine="280" w:firstLineChars="200"/>
        <w:jc w:val="both"/>
        <w:rPr>
          <w:rFonts w:ascii="宋体" w:hAnsi="宋体" w:eastAsia="宋体"/>
          <w:i w:val="0"/>
          <w:iCs w:val="0"/>
          <w:szCs w:val="21"/>
        </w:rPr>
      </w:pPr>
      <w:r>
        <w:rPr>
          <w:rFonts w:hint="eastAsia" w:ascii="宋体" w:hAnsi="宋体" w:eastAsia="宋体"/>
          <w:i w:val="0"/>
          <w:iCs w:val="0"/>
          <w:szCs w:val="21"/>
        </w:rPr>
        <w:t>（原载《外国经济学说与中国研</w:t>
      </w:r>
      <w:r>
        <w:rPr>
          <w:rFonts w:hint="eastAsia" w:ascii="宋体" w:hAnsi="宋体" w:eastAsia="宋体" w:cs="宋体"/>
          <w:i w:val="0"/>
          <w:iCs w:val="0"/>
          <w:color w:val="000000"/>
          <w:szCs w:val="21"/>
        </w:rPr>
        <w:t>究报告》2</w:t>
      </w:r>
      <w:r>
        <w:rPr>
          <w:rFonts w:ascii="宋体" w:hAnsi="宋体" w:eastAsia="宋体" w:cs="宋体"/>
          <w:i w:val="0"/>
          <w:iCs w:val="0"/>
          <w:color w:val="000000"/>
          <w:szCs w:val="21"/>
        </w:rPr>
        <w:t>010</w:t>
      </w:r>
      <w:r>
        <w:rPr>
          <w:rFonts w:hint="eastAsia" w:ascii="宋体" w:hAnsi="宋体" w:eastAsia="宋体" w:cs="宋体"/>
          <w:i w:val="0"/>
          <w:iCs w:val="0"/>
          <w:color w:val="000000"/>
          <w:szCs w:val="21"/>
        </w:rPr>
        <w:t>年，第二作者为辛向阳）</w:t>
      </w:r>
    </w:p>
    <w:p w14:paraId="3B702CBC">
      <w:pPr>
        <w:widowControl/>
        <w:spacing w:line="400" w:lineRule="exact"/>
        <w:ind w:firstLine="420" w:firstLineChars="200"/>
        <w:rPr>
          <w:rFonts w:ascii="宋体" w:hAnsi="宋体" w:eastAsia="宋体" w:cs="宋体"/>
          <w:szCs w:val="21"/>
          <w:lang w:eastAsia="zh-TW"/>
        </w:rPr>
      </w:pPr>
    </w:p>
    <w:p w14:paraId="45E6B77A">
      <w:pPr>
        <w:keepNext/>
        <w:keepLines/>
        <w:spacing w:line="480" w:lineRule="auto"/>
        <w:ind w:firstLine="640" w:firstLineChars="200"/>
        <w:jc w:val="center"/>
        <w:outlineLvl w:val="1"/>
        <w:rPr>
          <w:rFonts w:ascii="黑体" w:hAnsi="黑体" w:eastAsia="黑体" w:cs="Times New Roman"/>
          <w:kern w:val="28"/>
          <w:sz w:val="32"/>
          <w:szCs w:val="24"/>
        </w:rPr>
      </w:pPr>
      <w:bookmarkStart w:id="1138" w:name="_Toc9215"/>
      <w:bookmarkStart w:id="1139" w:name="_Toc1614656170"/>
      <w:bookmarkStart w:id="1140" w:name="_Toc1084802163"/>
      <w:r>
        <w:rPr>
          <w:rFonts w:ascii="黑体" w:hAnsi="黑体" w:eastAsia="黑体" w:cs="Times New Roman"/>
          <w:kern w:val="28"/>
          <w:sz w:val="32"/>
          <w:szCs w:val="24"/>
        </w:rPr>
        <w:t>16</w:t>
      </w:r>
      <w:r>
        <w:fldChar w:fldCharType="begin"/>
      </w:r>
      <w:r>
        <w:instrText xml:space="preserve"> HYPERLINK \l "_Toc29568" </w:instrText>
      </w:r>
      <w:r>
        <w:fldChar w:fldCharType="separate"/>
      </w:r>
      <w:r>
        <w:rPr>
          <w:rFonts w:hint="eastAsia" w:ascii="黑体" w:hAnsi="黑体" w:eastAsia="黑体" w:cs="Times New Roman"/>
          <w:kern w:val="28"/>
          <w:sz w:val="32"/>
          <w:szCs w:val="24"/>
        </w:rPr>
        <w:t>机关、事业和企业联动的“新养老策论”</w:t>
      </w:r>
      <w:r>
        <w:rPr>
          <w:rFonts w:hint="eastAsia" w:ascii="黑体" w:hAnsi="黑体" w:eastAsia="黑体" w:cs="Times New Roman"/>
          <w:kern w:val="28"/>
          <w:sz w:val="32"/>
          <w:szCs w:val="24"/>
        </w:rPr>
        <w:fldChar w:fldCharType="end"/>
      </w:r>
      <w:bookmarkEnd w:id="1138"/>
      <w:bookmarkEnd w:id="1139"/>
      <w:bookmarkEnd w:id="1140"/>
    </w:p>
    <w:p w14:paraId="44069C01">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我国养老保险制度的目标模式，应是非缴费型城乡统一的基本养老保险制度，城镇职工实行占工资比例相同的退休养老金作为基本养老保险，可另加补充养老保险；农民实行相同的基本养老保险，可另加各地补充养老保险。本文只探讨该目标模式下城镇养老保险制度过渡模式。伴随2008年《事业单位工作人员养老保险制度改革试点方案》（以下简称08方案）的印发，以机关、事业、企业为三大主体的城镇养老保险制度改革，已成为推进我国养老保险制度改革的重要环节。然而，08方案的先天不足和运行不佳，使我国城镇养老保险制度改革遇到了瓶颈。笔者在对08方案深入思考的基础上，提出了机关、事业、企业三者联动的城镇养老保险制度改革初步方案（以下简称联动方案），并对“新养老策论”的基本内涵、提出背景、提出依据和完善措施进行了分析和探索。</w:t>
      </w:r>
    </w:p>
    <w:p w14:paraId="187850B9">
      <w:pPr>
        <w:autoSpaceDE w:val="0"/>
        <w:autoSpaceDN w:val="0"/>
        <w:spacing w:line="360" w:lineRule="auto"/>
        <w:ind w:firstLine="504"/>
        <w:jc w:val="center"/>
        <w:rPr>
          <w:rFonts w:ascii="宋体" w:hAnsi="宋体" w:eastAsia="宋体" w:cs="宋体"/>
          <w:b/>
          <w:kern w:val="0"/>
          <w:sz w:val="24"/>
          <w:szCs w:val="24"/>
        </w:rPr>
      </w:pPr>
      <w:r>
        <w:rPr>
          <w:rFonts w:hint="eastAsia" w:ascii="宋体" w:hAnsi="宋体" w:eastAsia="宋体" w:cs="宋体"/>
          <w:b/>
          <w:kern w:val="0"/>
          <w:sz w:val="24"/>
          <w:szCs w:val="24"/>
        </w:rPr>
        <w:t>一、“新养老策论”的基本内涵</w:t>
      </w:r>
    </w:p>
    <w:p w14:paraId="40E1153E">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我国养老保险制度是一种“碎片化”制度，不仅存在城乡二元结构，而且还存在城镇二元结构，原来是机关事业单位与企业分立，08方案后是机关与企业事业单位分立。面对“碎片化”现状和08方案困境，学术界纷纷提出不同的联动主张，有的主张机关、事业单位联动，这也是我国长期以来尤其是企业养老保险制度改革以来的做法；有的主张事业、企业联动，这是08方案的做法；有的主张机关、企业联动，这是就机关养老保险制度改革方向提出的想法；还有主张机关、事业、企业、农民四者联动，这无疑是我国养老保险制度改革的长期目标。本文也主张联动，但不同于上述联动，而是专指在最终建立非缴费型城乡统一基本养老保险制度目标模式下，目前我国城镇养老保险制度采取机关、事业、企业三者联动的一种主张或方案。联动方案是机关、事业和企业联动的城镇养老保险制度的简称或特称，这也就是本文提出的“新养老策论”。这是一种过渡方案，通过先建立统一的城镇养老保险制度，最终建立统一的城乡养老保险制度。</w:t>
      </w:r>
    </w:p>
    <w:p w14:paraId="78A13A83">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新养老策论”的基本内涵是参照“双层养老保险制度”模式来建立：第一层制度是建立统一的城镇职工养老保险制度，实行养老保险统一运营。按照社会统筹与个人账户相结合原则缴费，在统一制度内保证机关、事业和企业人员的退休养老金所占工资比例相同。第二层制度是建立机关事业单位补充养老保险制度，使机关、事业单位的养老保险结构形成两个部分，基本养老保险是基础，补充养老保险是补充和提高。随着国家财政收入不断增加，机关、事业和企业人员统一的基本养老保险金逐步提高，可以相应地同步减少补充养老保险部分。当退休养老金占在职工资的比例逐步提高到90%左右的时候，可以最终取消补充养老保险。</w:t>
      </w:r>
    </w:p>
    <w:p w14:paraId="73C7403C">
      <w:pPr>
        <w:autoSpaceDE w:val="0"/>
        <w:autoSpaceDN w:val="0"/>
        <w:spacing w:line="360" w:lineRule="auto"/>
        <w:ind w:firstLine="504"/>
        <w:jc w:val="center"/>
        <w:rPr>
          <w:rFonts w:ascii="宋体" w:hAnsi="宋体" w:eastAsia="宋体" w:cs="宋体"/>
          <w:b/>
          <w:kern w:val="0"/>
          <w:sz w:val="24"/>
          <w:szCs w:val="24"/>
        </w:rPr>
      </w:pPr>
      <w:r>
        <w:rPr>
          <w:rFonts w:hint="eastAsia" w:ascii="宋体" w:hAnsi="宋体" w:eastAsia="宋体" w:cs="宋体"/>
          <w:b/>
          <w:kern w:val="0"/>
          <w:sz w:val="24"/>
          <w:szCs w:val="24"/>
        </w:rPr>
        <w:t>二、“新养老策论”的提出背景</w:t>
      </w:r>
    </w:p>
    <w:p w14:paraId="5E464EF2">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本文提出“新养老策论”的直接动因和重要背景，就是对08方案诸多不足和实施效果的反思。毋庸置疑，08方案遇到极大阻力，推进速度相当缓慢，并与预期目标相去甚远。政策学和制度学理论告诉我们，任何改革方案的制定和推出，都源于各种现实考虑和良好愿望，不可能一开始就尽善尽美，也不可能一帆风顺，更不可能一蹴而就，需要在实践中不断修改和完善。08方案既然是一个试点方案，就可以依据试点中的问题进行重新修订。本文建议政府有关部门暂缓08方案试点，重新研究城镇养老保险制度改革的总体方案，而非“碎片化”的孤立方案。为此，我们需要分析08方案究竟有哪些问题导致推进困难。</w:t>
      </w:r>
    </w:p>
    <w:p w14:paraId="1A27BAA6">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（一）改革缺乏配套措施</w:t>
      </w:r>
    </w:p>
    <w:p w14:paraId="70A6834E">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事业单位养老保险制度改革应该与其他制度改革配套推进，但08方案的实施缺乏配套改革措施。一是事业单位分类不细致。08方案明确指出，改革适用于分类改革后从事公益服务的事业单位及其工作人员，但该方案对我国事业单位的复杂性估计不足，忽略了全额财政拨款、差额拨款和自收自支事业单位之间资金来源的差异，忽略了体制转变时期事业单位老职工和合同职工的不同，忽略了全额拨款事业单位工资来源单一的事实。二是职业年金制度缺失。建立职业年金制度是 08 方案的主要内容，目的是为了建立多层次养老保险体系，提高事业单位工作人员退休后的生活水平。然而，职业年金制度并没有配套跟进，使不少人产生了不良预期和抵触情绪。三是与事业单位分类改革不配套。事业单位分类改革包括机构分类、人事制度改革、工资收入分配制度改革、财政政策和养老保险制度改革五个方面。事业单位养老保险制度改革试点，是事业单位分类改革的重要组成部分，需要在事业单位分类、收入分配制度改革、人事管理制度改革的基础上开展，并有相应的财政投入机制做保障。然而，这些制度并没有进行相应的配套改革，如收入分配改革方案至今没有出台，步履维艰。</w:t>
      </w:r>
      <w:r>
        <w:rPr>
          <w:rFonts w:hint="eastAsia" w:ascii="宋体" w:hAnsi="宋体" w:eastAsia="宋体" w:cs="Times New Roman"/>
          <w:szCs w:val="21"/>
        </w:rPr>
        <w:t xml:space="preserve">  </w:t>
      </w:r>
    </w:p>
    <w:p w14:paraId="11E2512B">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（二）减负动机值得商榷</w:t>
      </w:r>
    </w:p>
    <w:p w14:paraId="4D2B1840">
      <w:pPr>
        <w:widowControl/>
        <w:spacing w:line="400" w:lineRule="exact"/>
        <w:ind w:firstLine="420" w:firstLineChars="200"/>
        <w:rPr>
          <w:rFonts w:ascii="宋体" w:hAnsi="宋体" w:eastAsia="宋体" w:cs="宋体"/>
          <w:szCs w:val="21"/>
        </w:rPr>
      </w:pPr>
      <w:r>
        <w:rPr>
          <w:rFonts w:hint="eastAsia" w:ascii="宋体" w:hAnsi="宋体" w:eastAsia="宋体" w:cs="宋体"/>
          <w:szCs w:val="21"/>
        </w:rPr>
        <w:t>任何改革方案的推出必定有其多种动机和考虑，08方案也不例外。我们相信建立完善的事业单位工作人员养老保险制度的初衷是为了加快建立覆盖城乡居民的社会保障体系。但财政减负无疑也是此次改革的主要动机，这是08方案受到人们普遍质疑的地方。一是减负作用十分有限。就试点方案中个人缴费而言，事业单位人员个人缴费为工资的8%，全国事业单位3000万人每年总计约300亿元，不足目前财政收入的0.5%。此项缴费改革对缓解财政负担的作用不大，事业单位养老金改革也未必真能达到减负目的。二是人们普遍认为，财政减负应该包括占财政供养开支60%和退休待遇不降反升的公务员。相比较而言，机关的人均退休费在绝对值和增长率上均高于事业单位，公共财政的养老负担相对更重。2005年机关事业单位退休费总额是1827亿元，其中机关总额为561亿元，人均退休费为17633元，事业单位总额为1266亿元，人均退休费为16147元</w:t>
      </w:r>
      <w:r>
        <w:rPr>
          <w:rFonts w:ascii="宋体" w:hAnsi="宋体" w:eastAsia="宋体" w:cs="宋体"/>
          <w:szCs w:val="21"/>
          <w:vertAlign w:val="superscript"/>
        </w:rPr>
        <w:footnoteReference w:id="571"/>
      </w:r>
      <w:r>
        <w:rPr>
          <w:rFonts w:hint="eastAsia" w:ascii="宋体" w:hAnsi="宋体" w:eastAsia="宋体" w:cs="宋体"/>
          <w:szCs w:val="21"/>
        </w:rPr>
        <w:t>。三是既然我国的GDP和财政收入年增长较快，而科学发展观又强调改革成果要分享，因而所谓财政承担不起的说法难以成立。再说，国家财政支出项目众多，相应的减负途径也有多种，只要真正削减公款吃喝、公费旅游、公款出国等一两项开支，养老金的发放就不会出现所谓“不堪重负”问题。</w:t>
      </w:r>
    </w:p>
    <w:p w14:paraId="73A9037D">
      <w:pPr>
        <w:widowControl/>
        <w:spacing w:line="400" w:lineRule="exact"/>
        <w:ind w:firstLine="420" w:firstLineChars="200"/>
        <w:rPr>
          <w:rFonts w:ascii="宋体" w:hAnsi="宋体" w:eastAsia="宋体" w:cs="Times New Roman"/>
          <w:b/>
          <w:szCs w:val="21"/>
        </w:rPr>
      </w:pPr>
      <w:r>
        <w:rPr>
          <w:rFonts w:hint="eastAsia" w:ascii="宋体" w:hAnsi="宋体" w:eastAsia="宋体" w:cs="宋体"/>
          <w:b/>
          <w:szCs w:val="21"/>
        </w:rPr>
        <w:t>（三）造成新的经济不公</w:t>
      </w:r>
    </w:p>
    <w:p w14:paraId="3CA9C348">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社会保障制度改革应当充分体现公平公正的价值取向，但08方案没有很好体现公平性。它在一定程度上缓解了事业单位与企业职工之间的养老待遇差距，但同时又拉大了事业单位与机关人员的养老待遇差距，使事业单位工作人员既不能享受企业化的某些高薪，又不能享受公务员较高的养老待遇，造成了新的经济不公乃至社会不公，在知识分子与公务员之间形成新的矛盾。制度变迁理论告诉我们，当制度变迁的预期收益大于其预期成本时，其行动主体民主程序可以有效化解相关人员的不满、疑虑，赋予改革措施以道义与政治正当性。08方案的推行难，已经用事实说明了决策民主的重要性。可见，无论我们的制度怎么改革，作为制度设计者和安排者的政府部门，绝对不能忽视直接利益相关者的呼声。因此，政府部门在实行新型事业单位养老保险改革时，需要同时考虑事业单位人员的接受能力，以减少不必要的社会阻力和引起不必要的社会震荡。只有实现“自上而下”和“自下而上”两种力量的联动，事业单位养老保险改革道路才会更加顺利和畅通。</w:t>
      </w:r>
    </w:p>
    <w:p w14:paraId="6430B0BA">
      <w:pPr>
        <w:autoSpaceDE w:val="0"/>
        <w:autoSpaceDN w:val="0"/>
        <w:spacing w:line="360" w:lineRule="auto"/>
        <w:ind w:firstLine="504"/>
        <w:jc w:val="center"/>
        <w:rPr>
          <w:rFonts w:ascii="宋体" w:hAnsi="宋体" w:eastAsia="宋体" w:cs="宋体"/>
          <w:b/>
          <w:kern w:val="0"/>
          <w:sz w:val="24"/>
          <w:szCs w:val="24"/>
        </w:rPr>
      </w:pPr>
      <w:r>
        <w:rPr>
          <w:rFonts w:hint="eastAsia" w:ascii="宋体" w:hAnsi="宋体" w:eastAsia="宋体" w:cs="宋体"/>
          <w:b/>
          <w:kern w:val="0"/>
          <w:sz w:val="24"/>
          <w:szCs w:val="24"/>
        </w:rPr>
        <w:t>三、“新养老策论”的提出依据</w:t>
      </w:r>
    </w:p>
    <w:p w14:paraId="14657EFE">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据《人民日报》2010年8月24日报道，人力资源与社会保障部部长尹蔚民在“中国社保论坛”上强调，“在总结试点经验基础上，统筹考虑机关事业单位养老保险制度改革。”从根本上说，一个国家的各项政策都是理论与实际相结合的产物。制定养老保险政策也不例外，必须有理论和实际等科学依据。相对于08方案，本文提出的联动方案，不仅具有科学的理论依据，而且拥有丰富的现实依据，因此，这是一个具有科学性、合理性和可行性的改革方案。机关、事业、企业三者联动的“新养老策论”，理应成为我国城镇养老保险制度改革的重要思路，成为通向我国非缴费型城乡统一的基本养老保险制度的最佳路径。</w:t>
      </w:r>
    </w:p>
    <w:p w14:paraId="309A9055">
      <w:pPr>
        <w:widowControl/>
        <w:spacing w:line="400" w:lineRule="exact"/>
        <w:ind w:firstLine="420" w:firstLineChars="200"/>
        <w:rPr>
          <w:rFonts w:ascii="宋体" w:hAnsi="宋体" w:eastAsia="宋体" w:cs="Times New Roman"/>
          <w:b/>
          <w:szCs w:val="21"/>
        </w:rPr>
      </w:pPr>
      <w:r>
        <w:rPr>
          <w:rFonts w:hint="eastAsia" w:ascii="宋体" w:hAnsi="宋体" w:eastAsia="宋体" w:cs="宋体"/>
          <w:b/>
          <w:szCs w:val="21"/>
        </w:rPr>
        <w:t>（一）体现中央保障理论与政策</w:t>
      </w:r>
    </w:p>
    <w:p w14:paraId="3CBC2D3C">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理论对于政策制定来说具有相当的重要性，只有按照一定的理论指导，才能实现政策制定的科学化、民主化要求。马克思主义理论为我们制定养老保险政策提供了科学的世界观和方法论，其中的社会保障理论则具有直接而具体的指导作用。十六大以来，党和政府越来越重视社会保障问题，社会保障制度建设提到了空前的高度。十六届三中全会提出，要“积极探索机关和事业单位社会保障制度改革”。十六届六中全会再次提出，要“加快机关事业单位养老保险制度改革”。十七大报告进一步提出，要“加快建立覆盖城乡居民的社会保障体系”，“促进企业、机关、事业单位基本养老保险制度改革，探索建立农村养老保险制度。”这不仅明确了我国养老保险制度改革的方向，即建立覆盖城乡居民的社会保障体系，而且还指出了养老保险制度改革的步骤，即现阶段采取城镇与农村两种养老保险制度，城镇要促进企业、机关、事业单位基本养老保险制度改革，也就是要统一城镇养老保险制度。这是中国共产党对马克思主义社会保障理论的创新和发展，是中国特色社会保障理论的重要内容和重要基础，也是中国特色养老保障理论与政策的科学指导。“新养老策论”正是在这一理论指导下提出来的，联动方案是对党中央养老保险思想和精神的科学理解和准确体现。</w:t>
      </w:r>
    </w:p>
    <w:p w14:paraId="0E6C6993">
      <w:pPr>
        <w:widowControl/>
        <w:spacing w:line="400" w:lineRule="exact"/>
        <w:ind w:firstLine="420" w:firstLineChars="200"/>
        <w:rPr>
          <w:rFonts w:ascii="宋体" w:hAnsi="宋体" w:eastAsia="宋体" w:cs="Times New Roman"/>
          <w:b/>
          <w:szCs w:val="21"/>
        </w:rPr>
      </w:pPr>
      <w:r>
        <w:rPr>
          <w:rFonts w:hint="eastAsia" w:ascii="宋体" w:hAnsi="宋体" w:eastAsia="宋体" w:cs="宋体"/>
          <w:b/>
          <w:szCs w:val="21"/>
        </w:rPr>
        <w:t>（二）有利于实现社会公平公正</w:t>
      </w:r>
    </w:p>
    <w:p w14:paraId="5DD605E5">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国家的奋斗目标和基本任务是制定政策的直接依据。社会主义初级阶段的奋斗目标，是把我国建设成为富强民主文明和谐的社会主义现代化国家，其中的和谐是社会领域的目标和要求。也就是说，社会政策要以共同富裕、社会和谐为目标。养老保险制度作为社会保障制度的核心组成部分，起到保障老年人基本生活的作用，是社会平稳有效运行的减震器和安全网。而公平公正是养老保险制度改革的重要原则，改革能否体现公平公正，不仅关系到我国养老保险制度改革的顺利进行，而且更关系着我国和谐社会的建设和国家奋斗目标的实现。经过20世纪90年代企业职工养老保险制度改革，我国企业和机关事业单位退休职工收入差距逐步拉大，导致企业退休人员不满情绪日增，严重影响我国的社会稳定与和谐。08方案的出台和实施，较好地体现了企业与事业单位职工退休待遇的公平性，但由于没有将公务员纳入其中，又造成了公务员与企事业单位工作人员退休待遇的不公平。城镇养老保险制度改革的最终目的是缩小机关、事业和企业三者之间的待遇差距，这就需要在三类部门之间实行养老保险统一运营，使所有退休人员均享受同等退休待遇。好的制度设计是实现社会公平正义的保证，联动方案主张机关、事业和企业人员退休养老金占工资比例相同，较好实现了机关事业单位与企业并轨，因而在统一制度内不存在原有的待遇差别，显示出机关、事业与企业三者之间的公平与公正。由于联动方案能较好实现城镇不同部门职工之间的公平正义，因而它是确保社会安定与社会和谐的有效方案。</w:t>
      </w:r>
    </w:p>
    <w:p w14:paraId="7D6506B9">
      <w:pPr>
        <w:widowControl/>
        <w:spacing w:line="400" w:lineRule="exact"/>
        <w:ind w:firstLine="420" w:firstLineChars="200"/>
        <w:rPr>
          <w:rFonts w:ascii="宋体" w:hAnsi="宋体" w:eastAsia="宋体" w:cs="Times New Roman"/>
          <w:b/>
          <w:szCs w:val="21"/>
        </w:rPr>
      </w:pPr>
      <w:r>
        <w:rPr>
          <w:rFonts w:hint="eastAsia" w:ascii="宋体" w:hAnsi="宋体" w:eastAsia="宋体" w:cs="宋体"/>
          <w:b/>
          <w:szCs w:val="21"/>
        </w:rPr>
        <w:t>（三）统一城乡养老保险制度</w:t>
      </w:r>
    </w:p>
    <w:p w14:paraId="39F51611">
      <w:pPr>
        <w:widowControl/>
        <w:spacing w:line="400" w:lineRule="exact"/>
        <w:ind w:firstLine="420" w:firstLineChars="200"/>
        <w:rPr>
          <w:rFonts w:ascii="宋体" w:hAnsi="宋体" w:eastAsia="宋体" w:cs="宋体"/>
          <w:szCs w:val="21"/>
        </w:rPr>
      </w:pPr>
      <w:r>
        <w:rPr>
          <w:rFonts w:hint="eastAsia" w:ascii="宋体" w:hAnsi="宋体" w:eastAsia="宋体" w:cs="宋体"/>
          <w:szCs w:val="21"/>
        </w:rPr>
        <w:t>国情是制定政策的出发点和落脚点，是制定政策最重要的实际依据。我国的基本国情是长期处在社会主义初级阶段，其中之一就是城乡二元经济社会结构在短期内难以改变。建立全国统一的养老保险制度，无疑是解决我国养老保险制度“碎片化”，以及由此带来的国民养老待遇不公问题的根本，也是我国养老保险制度改革的最终目标。但中国在相当长时间内，城市和农村的社会保障体制是分割的。一元化的社会保障制度是我们追求的最终目的，但近期将多元化制度安排作为过渡显然是符合中国国情的最佳选择</w:t>
      </w:r>
      <w:r>
        <w:rPr>
          <w:rFonts w:ascii="宋体" w:hAnsi="宋体" w:eastAsia="宋体" w:cs="宋体"/>
          <w:szCs w:val="21"/>
          <w:vertAlign w:val="superscript"/>
        </w:rPr>
        <w:footnoteReference w:id="572"/>
      </w:r>
      <w:r>
        <w:rPr>
          <w:rFonts w:hint="eastAsia" w:ascii="宋体" w:hAnsi="宋体" w:eastAsia="宋体" w:cs="宋体"/>
          <w:szCs w:val="21"/>
        </w:rPr>
        <w:t>。要实现统一城乡养老保险制度的最终目标，先要实现统一城镇养老保险制度的现实目标，这也是世界各国养老保险发展史都经历过的城乡非均衡发展的历史阶段。为此，我们应该在坚持非缴费型城乡统一的基本养老保险制度目标模式下，先实行机关、事业、企业三者联动的城镇养老保险制度的过渡模式。08方案的实施，在解决企业与事业单位并轨问题的同时，又将造成企事业与机关之间新的二元制，不利于城镇养老保险制度的统一。而联动方案通过机关、事业、企业实现三者联动，较好地解决城镇新旧二元制问题，实现统一的城镇职工基本养老保险制度。况且，联动方案可以有效避免分立模式下不同部门之间的互相攀比，有利于政府观念的转变，减少公务员的特权思想，提高政府的工作效率。</w:t>
      </w:r>
    </w:p>
    <w:p w14:paraId="30224729">
      <w:pPr>
        <w:widowControl/>
        <w:spacing w:line="400" w:lineRule="exact"/>
        <w:ind w:firstLine="420" w:firstLineChars="200"/>
        <w:rPr>
          <w:rFonts w:ascii="宋体" w:hAnsi="宋体" w:eastAsia="宋体" w:cs="Times New Roman"/>
          <w:b/>
          <w:szCs w:val="21"/>
        </w:rPr>
      </w:pPr>
      <w:r>
        <w:rPr>
          <w:rFonts w:hint="eastAsia" w:ascii="宋体" w:hAnsi="宋体" w:eastAsia="宋体" w:cs="宋体"/>
          <w:b/>
          <w:szCs w:val="21"/>
        </w:rPr>
        <w:t>（四）促进城镇职工自由流动</w:t>
      </w:r>
    </w:p>
    <w:p w14:paraId="70667A01">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人力资源的流动是现代市场经济的内在要求 ，养老待遇问题是人员流动考虑的主要因素。现有城镇养老保险制度的不统一，机关、事业、企业之间养老待遇差距过大，加上机关事业单位养老保险制度在缴费、待遇计发和管理等方面独立于企业职工养老保险，使养老金权益无法有效衔接，严重阻碍了三大部门之间人员流动。近年来，我国呈现出公务员热、事业单位热，特别是“公务员热”，不仅是因为公务员在职时就有稳定的高收入，而且最关键的是其退休金打折比例也高于事业、企业职员。这种情况不利于机关事业单位的健康发展，也影响了机关事业单位机构改革进程。官、产、学三大部门对我国经济社会发展都很重要，人才在三大部门中应该都有一个金字塔式的分布才比较合理。只有在机关、事业单位和企业三类部门中分布比较合理，才不会导致人才的高消费和过度聚集。而08方案的实施，虽然有利于事业单位和企业之间人力资源的正常流动，但可能刺激事业单位人员向政府机关转移，加剧公务员报考热，不利于事业单位队伍稳定，影响我国科技、教育、卫生等公共事业发展及综合国力增强。联动方案由于缩小了机关、事业和企业间的养老保险差距，建立起公平的就业环境，为城市居民提供了多种职业选择，为不同部门之间人员流动和统一劳动力市场的形成打下良好的制度基础。</w:t>
      </w:r>
    </w:p>
    <w:p w14:paraId="0AD7CE20">
      <w:pPr>
        <w:widowControl/>
        <w:spacing w:line="400" w:lineRule="exact"/>
        <w:ind w:firstLine="420" w:firstLineChars="200"/>
        <w:rPr>
          <w:rFonts w:ascii="宋体" w:hAnsi="宋体" w:eastAsia="宋体" w:cs="Times New Roman"/>
          <w:b/>
          <w:szCs w:val="21"/>
        </w:rPr>
      </w:pPr>
      <w:r>
        <w:rPr>
          <w:rFonts w:hint="eastAsia" w:ascii="宋体" w:hAnsi="宋体" w:eastAsia="宋体" w:cs="宋体"/>
          <w:b/>
          <w:szCs w:val="21"/>
        </w:rPr>
        <w:t>（五）顺应国际社会改革趋势</w:t>
      </w:r>
    </w:p>
    <w:p w14:paraId="7E9FDAD6">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在全球化时代，国际环境成为一个国家制定政策不可忽视的重要现实依据。作为制定养老保险政策的国际环境，应该是指国际社会养老保险和社会保障形势、发展趋势及其对我国的冲击和影响。社会保障制度面世一百多年来，国外已经形成了丰富而成熟的养老保障理论，以及完善和健全的养老保障政策体系。从世界各国实践来看，公务员和事业单位养老保险制度分为“分立模式”和“统一模式”。欧洲大陆各国社会保障制度几乎均为“碎片化”制度，不仅公务员制度单独设立，其他群体也常常独立。多种退休制度引起攀比，改革必然遭到反对，时间越久，待遇差距越大，福利刚性越大，改革越困难，甚至引发社会动荡。法国就是其典型。相比之下，美国等一些国家采取“统一模式”，不管是公务员还是企业私人部门，全体国民参加一个基本养老保险制度，其优势是尽管其退休金替代率比法国低一半，但从未引发过一次全国范围的社会运动。不仅如此，进入21世纪以来，世界各国都在进行社会保障制度改革。在席卷全球的改革浪潮中，强调个人责任、减轻财政压力、统一社会保障制度成为大势所趋。就公务员而言，国外公务员养老保险制度改革呈现的一个明显趋势，就是分立制度向统一制度转变</w:t>
      </w:r>
      <w:r>
        <w:rPr>
          <w:rFonts w:ascii="宋体" w:hAnsi="宋体" w:eastAsia="宋体" w:cs="宋体"/>
          <w:szCs w:val="21"/>
          <w:vertAlign w:val="superscript"/>
        </w:rPr>
        <w:footnoteReference w:id="573"/>
      </w:r>
      <w:r>
        <w:rPr>
          <w:rFonts w:hint="eastAsia" w:ascii="宋体" w:hAnsi="宋体" w:eastAsia="宋体" w:cs="宋体"/>
          <w:szCs w:val="21"/>
        </w:rPr>
        <w:t>。国际社会的养老保险和社会保障形势、发展趋势，必然对我国产生冲击和影响。实行机关、事业、企业养老保险制度三者联动，统一我国城镇基本养老保险制度，进而统一我国城乡基本养老保险制度，是顺应国际社会养老保障制度改革发展趋势的必然反映，有助于我国最终形成一个更加公平、社会更加和谐的相对最佳的养老保险体系。</w:t>
      </w:r>
    </w:p>
    <w:p w14:paraId="477E7B6D">
      <w:pPr>
        <w:widowControl/>
        <w:spacing w:line="400" w:lineRule="exact"/>
        <w:ind w:firstLine="420" w:firstLineChars="200"/>
        <w:rPr>
          <w:rFonts w:ascii="宋体" w:hAnsi="宋体" w:eastAsia="宋体" w:cs="Times New Roman"/>
          <w:b/>
          <w:szCs w:val="21"/>
        </w:rPr>
      </w:pPr>
      <w:r>
        <w:rPr>
          <w:rFonts w:hint="eastAsia" w:ascii="宋体" w:hAnsi="宋体" w:eastAsia="宋体" w:cs="宋体"/>
          <w:b/>
          <w:szCs w:val="21"/>
        </w:rPr>
        <w:t>（六）反映养老保险社会舆论</w:t>
      </w:r>
    </w:p>
    <w:p w14:paraId="1A643A5D">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社会舆论是政策制定的影响因素之一，它是反映和表达人民群众愿望、呼声和要求的一种形式，对政策制定的影响十分巨大，在某些特定情况和条件下，甚至会产生决定性影响。社会舆论明显倾向于联动方案。中国社科院马克思主义研究院院长程恩富教授明确提出“机关、事业和企业三单位联动的养老保险制度改革方案”</w:t>
      </w:r>
      <w:r>
        <w:rPr>
          <w:rFonts w:ascii="宋体" w:hAnsi="宋体" w:eastAsia="宋体" w:cs="宋体"/>
          <w:szCs w:val="21"/>
          <w:vertAlign w:val="superscript"/>
        </w:rPr>
        <w:footnoteReference w:id="574"/>
      </w:r>
      <w:r>
        <w:rPr>
          <w:rFonts w:hint="eastAsia" w:ascii="宋体" w:hAnsi="宋体" w:eastAsia="宋体" w:cs="宋体"/>
          <w:szCs w:val="21"/>
        </w:rPr>
        <w:t>。中国社科院郑秉文研究员认为，我国公务员和事业单位统一参加养老保险制度改革，走“统一模式”之路是大势所趋</w:t>
      </w:r>
      <w:r>
        <w:rPr>
          <w:rFonts w:ascii="宋体" w:hAnsi="宋体" w:eastAsia="宋体" w:cs="宋体"/>
          <w:szCs w:val="21"/>
          <w:vertAlign w:val="superscript"/>
        </w:rPr>
        <w:footnoteReference w:id="575"/>
      </w:r>
      <w:r>
        <w:rPr>
          <w:rFonts w:hint="eastAsia" w:ascii="宋体" w:hAnsi="宋体" w:eastAsia="宋体" w:cs="宋体"/>
          <w:szCs w:val="21"/>
        </w:rPr>
        <w:t>。人力资源与社会保障部社会保障研究所华迎放研究员提出，事业单位养老保险制度改革，既要与城镇企业职工基本养老保险制度保持统一，又要与国家机关实行同一制度</w:t>
      </w:r>
      <w:r>
        <w:rPr>
          <w:rFonts w:ascii="宋体" w:hAnsi="宋体" w:eastAsia="宋体" w:cs="宋体"/>
          <w:szCs w:val="21"/>
          <w:vertAlign w:val="superscript"/>
        </w:rPr>
        <w:footnoteReference w:id="576"/>
      </w:r>
      <w:r>
        <w:rPr>
          <w:rFonts w:hint="eastAsia" w:ascii="宋体" w:hAnsi="宋体" w:eastAsia="宋体" w:cs="宋体"/>
          <w:szCs w:val="21"/>
        </w:rPr>
        <w:t>。中华全国总工会经济社会政策研究室主任姜爱林要求，公务员、事业单位与企业三位一体同时改革，构建公平有序的养老保险制度体系</w:t>
      </w:r>
      <w:r>
        <w:rPr>
          <w:rFonts w:ascii="宋体" w:hAnsi="宋体" w:eastAsia="宋体" w:cs="宋体"/>
          <w:szCs w:val="21"/>
          <w:vertAlign w:val="superscript"/>
        </w:rPr>
        <w:footnoteReference w:id="577"/>
      </w:r>
      <w:r>
        <w:rPr>
          <w:rFonts w:hint="eastAsia" w:ascii="宋体" w:hAnsi="宋体" w:eastAsia="宋体" w:cs="宋体"/>
          <w:szCs w:val="21"/>
        </w:rPr>
        <w:t>。更为重要的是，联动方案充分显示了民意。2009年，“两会”期间约有20份不同意08方案的意见书正式上报。2010年，人民日报政治文化部和人民网联合组织“两会调查”，“养老保险”在众多热点话题中以高票当选，81%的网友认为，企事业单位和公务员养老制度实行“双轨制”非常不合理</w:t>
      </w:r>
      <w:r>
        <w:rPr>
          <w:rFonts w:ascii="宋体" w:hAnsi="宋体" w:eastAsia="宋体" w:cs="宋体"/>
          <w:szCs w:val="21"/>
          <w:vertAlign w:val="superscript"/>
        </w:rPr>
        <w:footnoteReference w:id="578"/>
      </w:r>
      <w:r>
        <w:rPr>
          <w:rFonts w:hint="eastAsia" w:ascii="宋体" w:hAnsi="宋体" w:eastAsia="宋体" w:cs="宋体"/>
          <w:szCs w:val="21"/>
        </w:rPr>
        <w:t>。中国社会调查所对重庆、太原、广州、上海等试点城市近千名居民进行调查，93.4%的被访者认为，只改革事业单位而不改革公务员养老金不公平；多数被访者表示，应把机关、事业和企业职工养老保险三者统筹考虑</w:t>
      </w:r>
      <w:r>
        <w:rPr>
          <w:rFonts w:ascii="宋体" w:hAnsi="宋体" w:eastAsia="宋体" w:cs="宋体"/>
          <w:szCs w:val="21"/>
          <w:vertAlign w:val="superscript"/>
        </w:rPr>
        <w:footnoteReference w:id="579"/>
      </w:r>
      <w:r>
        <w:rPr>
          <w:rFonts w:hint="eastAsia" w:ascii="宋体" w:hAnsi="宋体" w:eastAsia="宋体" w:cs="宋体"/>
          <w:szCs w:val="21"/>
        </w:rPr>
        <w:t>。08方案的反对声浪和联动方案的舆论倾向，使相关部门和官员也不得不作出反应，如人保部副部长胡晓义在2010年“两会”期间回应退休金双轨制时表示，“机关、事业和企业单位之间的制度衔接问题，也是我们要解决的统筹协调的问题之一”</w:t>
      </w:r>
      <w:r>
        <w:rPr>
          <w:rFonts w:ascii="宋体" w:hAnsi="宋体" w:eastAsia="宋体" w:cs="宋体"/>
          <w:szCs w:val="21"/>
          <w:vertAlign w:val="superscript"/>
        </w:rPr>
        <w:footnoteReference w:id="580"/>
      </w:r>
      <w:r>
        <w:rPr>
          <w:rFonts w:hint="eastAsia" w:ascii="宋体" w:hAnsi="宋体" w:eastAsia="宋体" w:cs="宋体"/>
          <w:szCs w:val="21"/>
        </w:rPr>
        <w:t>。</w:t>
      </w:r>
    </w:p>
    <w:p w14:paraId="17A5999F">
      <w:pPr>
        <w:autoSpaceDE w:val="0"/>
        <w:autoSpaceDN w:val="0"/>
        <w:spacing w:line="360" w:lineRule="auto"/>
        <w:ind w:firstLine="504"/>
        <w:jc w:val="center"/>
        <w:rPr>
          <w:rFonts w:ascii="宋体" w:hAnsi="宋体" w:eastAsia="宋体" w:cs="宋体"/>
          <w:b/>
          <w:kern w:val="0"/>
          <w:sz w:val="24"/>
          <w:szCs w:val="24"/>
        </w:rPr>
      </w:pPr>
      <w:r>
        <w:rPr>
          <w:rFonts w:hint="eastAsia" w:ascii="宋体" w:hAnsi="宋体" w:eastAsia="宋体" w:cs="宋体"/>
          <w:b/>
          <w:kern w:val="0"/>
          <w:sz w:val="24"/>
          <w:szCs w:val="24"/>
        </w:rPr>
        <w:t>四、“新养老策论”的完善与实施</w:t>
      </w:r>
    </w:p>
    <w:p w14:paraId="6F6E380B">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制度运行是否良好、有效，能否实现制度预期目标，取决于制度设计的科学性和完备性。城镇联动养老保险制度改革方案只是一个初步方案，其设计与实施还需要不断完善，即在把握改革总体思路基础上明确指导思想和原则，在总结历次改革经验教训基础上完善配套措施，在合乎民主程序基础上制定和完善联动方案，并需要在完善养老保险法律体系基础上获得法律支撑。</w:t>
      </w:r>
    </w:p>
    <w:p w14:paraId="66E11B9E">
      <w:pPr>
        <w:widowControl/>
        <w:spacing w:line="400" w:lineRule="exact"/>
        <w:ind w:firstLine="420" w:firstLineChars="200"/>
        <w:rPr>
          <w:rFonts w:ascii="宋体" w:hAnsi="宋体" w:eastAsia="宋体" w:cs="Times New Roman"/>
          <w:b/>
          <w:szCs w:val="21"/>
        </w:rPr>
      </w:pPr>
      <w:r>
        <w:rPr>
          <w:rFonts w:hint="eastAsia" w:ascii="宋体" w:hAnsi="宋体" w:eastAsia="宋体" w:cs="宋体"/>
          <w:b/>
          <w:szCs w:val="21"/>
        </w:rPr>
        <w:t>（一）在把握改革总体思路基础上明确指导思想和原则</w:t>
      </w:r>
    </w:p>
    <w:p w14:paraId="11A5D676">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联动方案的设计需要在把握改革总体思路基础上，明确改革的指导思想和指导原则。这就要求我们不仅从经济角度，更要从政治高度来把握这项改革，而且把它放在完善我国收入分配格局中进行方案设计。从总体上看，推进机关事业单位养老保险制度的改革，要有利于保障事业单位人员队伍的稳定，有利于促进科技创新和社会事业、文化事业的发展。联动方案的指导思想和原则，是按照全面落实科学发展观和构建社会主义和谐社会要求，以党的十七大精神为指导，以马克思主义社会保障理论为导向，总结国内外养老保险制度改革经验，结合我国企业、机关、事业单位实际情况，贯彻改革成果要分享和问计于民的方针，强调统筹兼顾而非只顾一方，配套推进而非单项独进，遵循权利与义务相对应相结合、保障水平与经济发展水平相适应原则，逐步建立起机关、事业、企业相统一和公平的城镇养老保险体系，确保我国养老保险制度改革顺利进行和可持续发展。</w:t>
      </w:r>
    </w:p>
    <w:p w14:paraId="49E22847">
      <w:pPr>
        <w:widowControl/>
        <w:spacing w:line="400" w:lineRule="exact"/>
        <w:ind w:firstLine="420" w:firstLineChars="200"/>
        <w:rPr>
          <w:rFonts w:ascii="宋体" w:hAnsi="宋体" w:eastAsia="宋体" w:cs="Times New Roman"/>
          <w:b/>
          <w:szCs w:val="21"/>
        </w:rPr>
      </w:pPr>
      <w:r>
        <w:rPr>
          <w:rFonts w:hint="eastAsia" w:ascii="宋体" w:hAnsi="宋体" w:eastAsia="宋体" w:cs="宋体"/>
          <w:b/>
          <w:szCs w:val="21"/>
        </w:rPr>
        <w:t>（二）在总结历次改革经验教训基础上完善配套措施</w:t>
      </w:r>
    </w:p>
    <w:p w14:paraId="340DEBD6">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养老保险制度改革是一项牵涉面广泛的系统工程，必须统筹兼顾、综合配套，联动方案的设计必须在总结历次改革经验基础上完善配套措施。一是对机关事业单位进行科学分类，这是实施该方案的重要前提。长期以来，我国事业单位和行政机关界限模糊不清，有些事业单位实际履行着公共管理职能，而有些按公务员机制管理的单位又是名副其实的事业单位。就事业单位而言，不同单位有着不同的功能定位、收入来源和资源获取方式，以及存在“老人”、“中人”和“新人”的区别。因此，联动方案必须从公平公正原则出发，根据不同单位具体情况，分类处理，区别对待。二是为机关事业单位建立职业年金制度，这是该方案的重要内容。职业年金制度相当于企业年金制度，是联动方案第二层制度中的补充养老保险制度，这就需要将职业年金制度的具体内容和运作方式与联动方案一起考虑，以便解除相关人员的后顾之忧和增加对改革的可预期性。建立多层次的养老保险体系，既是基本养老保险制度安全有效运行的必要措施，也是体现不同职业、不同收入水平的人群对退休养老的需求差异。三是与其他相关制度配套改革，这是联动方案的重要保障。养老保险制度改革是社会保障制度改革整体安排的一部分，应当与机关事业单位的机构改革、人事制度改革、收入分配改革等相匹配。如果没有这些相关制度的改革配套，联动方案的实施将孤掌难鸣，难以有效推进。</w:t>
      </w:r>
    </w:p>
    <w:p w14:paraId="540A9191">
      <w:pPr>
        <w:widowControl/>
        <w:spacing w:line="400" w:lineRule="exact"/>
        <w:ind w:firstLine="420" w:firstLineChars="200"/>
        <w:rPr>
          <w:rFonts w:ascii="宋体" w:hAnsi="宋体" w:eastAsia="宋体" w:cs="Times New Roman"/>
          <w:b/>
          <w:szCs w:val="21"/>
        </w:rPr>
      </w:pPr>
      <w:r>
        <w:rPr>
          <w:rFonts w:hint="eastAsia" w:ascii="宋体" w:hAnsi="宋体" w:eastAsia="宋体" w:cs="宋体"/>
          <w:b/>
          <w:szCs w:val="21"/>
        </w:rPr>
        <w:t>（三）在合乎民主程序基础上制定和完善联动方案</w:t>
      </w:r>
    </w:p>
    <w:p w14:paraId="28CEB0F9">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任何一项公共政策的出台，都是多方利益重新调整的过程。惟有建立起充分参与、公开交流的前置机制，通过利益各方的充分博弈，利益的调整和分配才能有效平衡。惟其如此，国家公共政策及法规才能得到有效的贯彻执行。</w:t>
      </w:r>
    </w:p>
    <w:p w14:paraId="01A60690">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联动方案是否完善周密和切实可行，能否获得各方深刻理解和有力支持，方案实施是否顺利和有效，离不开各方对方案广泛而深入的讨论。这就要求我们，在制定和实施方案时必须符合民主和程序。这是因为，任何政策设计不可能尽善尽美，关键在于建立畅通有效的利益表达机制，使相关主体都有表达自己养老意愿的合法机制；同时建立传导迅速的反馈机制，将政策实施中的种种问题反馈给决策层，而不是在问题累积出现严重后果时再进行相应的政策调整。联动方案的制定和实施应该将公众参与作为一个必不可少的程序，只有向社会公众广泛征求意见，才能确保方案的合理性、公众的认可度，以及实施的有效性。也就是说，养老保险制度改革方案的顺利推行，取决于相关人员的普遍认同和大众支持，而只有鼓励民众广泛地参与才能保证方案的合理性和公众的认可度。这也是我们近几年来在包括新医疗改革方案、燃油税改革方案等在内的重大改革方案推行之前的一个通行做法，也是改革得以顺利推进的一条重要经验。联动方案在制定和实施程序上应合乎民主程序。</w:t>
      </w:r>
    </w:p>
    <w:p w14:paraId="38E1AC27">
      <w:pPr>
        <w:widowControl/>
        <w:spacing w:line="400" w:lineRule="exact"/>
        <w:ind w:firstLine="420" w:firstLineChars="200"/>
        <w:rPr>
          <w:rFonts w:ascii="宋体" w:hAnsi="宋体" w:eastAsia="宋体" w:cs="Times New Roman"/>
          <w:b/>
          <w:szCs w:val="21"/>
        </w:rPr>
      </w:pPr>
      <w:r>
        <w:rPr>
          <w:rFonts w:hint="eastAsia" w:ascii="宋体" w:hAnsi="宋体" w:eastAsia="宋体" w:cs="宋体"/>
          <w:b/>
          <w:szCs w:val="21"/>
        </w:rPr>
        <w:t>（四）在完善养老保险法律体系基础上获得法律支撑</w:t>
      </w:r>
    </w:p>
    <w:p w14:paraId="65F756BD">
      <w:pPr>
        <w:widowControl/>
        <w:spacing w:line="400" w:lineRule="exact"/>
        <w:ind w:firstLine="420" w:firstLineChars="200"/>
        <w:rPr>
          <w:rFonts w:ascii="宋体" w:hAnsi="宋体" w:eastAsia="宋体" w:cs="Times New Roman"/>
          <w:szCs w:val="21"/>
        </w:rPr>
      </w:pPr>
      <w:r>
        <w:rPr>
          <w:rFonts w:hint="eastAsia" w:ascii="宋体" w:hAnsi="宋体" w:eastAsia="宋体" w:cs="宋体"/>
          <w:szCs w:val="21"/>
        </w:rPr>
        <w:t>社会养老保险是国家立法强制征集保险费，并形成养老社会保险基金，当劳动者退休后支付其退休金，以保证其基本生活需要的社会保障制度</w:t>
      </w:r>
      <w:r>
        <w:rPr>
          <w:rFonts w:ascii="宋体" w:hAnsi="宋体" w:eastAsia="宋体" w:cs="宋体"/>
          <w:szCs w:val="21"/>
          <w:vertAlign w:val="superscript"/>
        </w:rPr>
        <w:footnoteReference w:id="581"/>
      </w:r>
      <w:r>
        <w:rPr>
          <w:rFonts w:hint="eastAsia" w:ascii="宋体" w:hAnsi="宋体" w:eastAsia="宋体" w:cs="宋体"/>
          <w:szCs w:val="21"/>
        </w:rPr>
        <w:t>。通过立法来调整和规范养老保险利益关系和权利义务是各国通行的做法。因为只有以法律制度的权威规范，才能实现社会保障制度责任与权益的合理配置。社会保障制度的改革、运行、管理也只有以法律为依据，才能公平、高效、健康地发展。目前，我国有关社会保险的执法依据主要是一些行政法规、部门规章和规范性文件，一直缺少一部统一的基础性立法。国家也一直努力建立和完善相关立法，如《社会保险法》，1994年就列入全国人大常委会立法规划，至今历经了近16年时间。但从目前的《社会保险法》草案来看，很多方面仍然不具备可操作性，必须有相关的政府条例、规章来配套，而且新法的制定难度非常大，牵涉到方方面面利益关系的调整。《社会保险法》在二审过后，社会各界反映最为强烈的是授权国务院另行规定的内容太多，尤其是在养老保险章节，其第9条规定，“公务员和参照公务员法管理的工作人员参加基本养老保险的办法由国务院规定”，对此引起很多质疑。因此，联动方案改革之初，要避免依靠行政机关政策和指示来推动改革的一贯做法，就必须立法先行，尽快出台社会保障及其中关于城镇养老保险条例等具体法规，《社会保险法》、《养老保险条例》及与之相配套的政策规章应尽快颁布或完善，以便形成用人单位和劳动者依法履行义务和享受权利、政府依法行政的局面，使联动方案的运作逐步走向正规化、法制化的轨道。</w:t>
      </w:r>
    </w:p>
    <w:p w14:paraId="5A3080EA">
      <w:pPr>
        <w:widowControl/>
        <w:adjustRightInd w:val="0"/>
        <w:snapToGrid w:val="0"/>
        <w:spacing w:line="400" w:lineRule="exact"/>
        <w:ind w:firstLine="420" w:firstLineChars="200"/>
        <w:rPr>
          <w:rFonts w:ascii="宋体" w:hAnsi="宋体" w:eastAsia="宋体" w:cs="宋体"/>
          <w:szCs w:val="21"/>
        </w:rPr>
      </w:pPr>
      <w:r>
        <w:rPr>
          <w:rFonts w:hint="eastAsia" w:ascii="宋体" w:hAnsi="宋体" w:eastAsia="宋体" w:cs="宋体"/>
          <w:szCs w:val="21"/>
        </w:rPr>
        <w:t>（原载《财经研究》2</w:t>
      </w:r>
      <w:r>
        <w:rPr>
          <w:rFonts w:ascii="宋体" w:hAnsi="宋体" w:eastAsia="宋体" w:cs="宋体"/>
          <w:szCs w:val="21"/>
        </w:rPr>
        <w:t>010</w:t>
      </w:r>
      <w:r>
        <w:rPr>
          <w:rFonts w:hint="eastAsia" w:ascii="宋体" w:hAnsi="宋体" w:eastAsia="宋体" w:cs="宋体"/>
          <w:szCs w:val="21"/>
        </w:rPr>
        <w:t>年第1</w:t>
      </w:r>
      <w:r>
        <w:rPr>
          <w:rFonts w:ascii="宋体" w:hAnsi="宋体" w:eastAsia="宋体" w:cs="宋体"/>
          <w:szCs w:val="21"/>
        </w:rPr>
        <w:t>1</w:t>
      </w:r>
      <w:r>
        <w:rPr>
          <w:rFonts w:hint="eastAsia" w:ascii="宋体" w:hAnsi="宋体" w:eastAsia="宋体" w:cs="宋体"/>
          <w:szCs w:val="21"/>
        </w:rPr>
        <w:t>期，第二作者为黄娟）</w:t>
      </w:r>
    </w:p>
    <w:p w14:paraId="56F3C765">
      <w:pPr>
        <w:widowControl/>
        <w:adjustRightInd w:val="0"/>
        <w:snapToGrid w:val="0"/>
        <w:spacing w:line="400" w:lineRule="exact"/>
        <w:ind w:firstLine="420" w:firstLineChars="200"/>
        <w:rPr>
          <w:rFonts w:ascii="宋体" w:hAnsi="宋体" w:eastAsia="宋体" w:cs="宋体"/>
          <w:szCs w:val="21"/>
        </w:rPr>
      </w:pPr>
      <w:r>
        <w:rPr>
          <w:rFonts w:ascii="宋体" w:hAnsi="宋体" w:eastAsia="宋体" w:cs="宋体"/>
          <w:szCs w:val="21"/>
        </w:rPr>
        <w:br w:type="page"/>
      </w:r>
    </w:p>
    <w:p w14:paraId="6E5E2BB5">
      <w:pPr>
        <w:spacing w:line="400" w:lineRule="exact"/>
        <w:ind w:firstLine="420" w:firstLineChars="200"/>
      </w:pPr>
    </w:p>
    <w:p w14:paraId="401A620B">
      <w:pPr>
        <w:keepNext/>
        <w:keepLines/>
        <w:spacing w:line="480" w:lineRule="auto"/>
        <w:ind w:firstLine="640" w:firstLineChars="200"/>
        <w:jc w:val="center"/>
        <w:outlineLvl w:val="1"/>
        <w:rPr>
          <w:rFonts w:ascii="黑体" w:hAnsi="黑体" w:eastAsia="黑体" w:cs="Times New Roman"/>
          <w:kern w:val="28"/>
          <w:sz w:val="32"/>
          <w:szCs w:val="24"/>
        </w:rPr>
      </w:pPr>
      <w:bookmarkStart w:id="1141" w:name="_Toc30023"/>
      <w:bookmarkStart w:id="1142" w:name="_Toc1922885698"/>
      <w:bookmarkStart w:id="1143" w:name="_Toc133790511"/>
      <w:r>
        <w:rPr>
          <w:rFonts w:ascii="黑体" w:hAnsi="黑体" w:eastAsia="黑体" w:cs="Times New Roman"/>
          <w:kern w:val="28"/>
          <w:sz w:val="32"/>
          <w:szCs w:val="24"/>
        </w:rPr>
        <w:t>17</w:t>
      </w:r>
      <w:r>
        <w:fldChar w:fldCharType="begin"/>
      </w:r>
      <w:r>
        <w:instrText xml:space="preserve"> HYPERLINK \l "_Toc31361" </w:instrText>
      </w:r>
      <w:r>
        <w:fldChar w:fldCharType="separate"/>
      </w:r>
      <w:r>
        <w:rPr>
          <w:rFonts w:hint="eastAsia" w:ascii="黑体" w:hAnsi="黑体" w:eastAsia="黑体" w:cs="Times New Roman"/>
          <w:kern w:val="28"/>
          <w:sz w:val="32"/>
          <w:szCs w:val="24"/>
        </w:rPr>
        <w:t>我国劳动收入份额提升的可能性、迫切性与途径</w:t>
      </w:r>
      <w:r>
        <w:rPr>
          <w:rFonts w:hint="eastAsia" w:ascii="黑体" w:hAnsi="黑体" w:eastAsia="黑体" w:cs="Times New Roman"/>
          <w:kern w:val="28"/>
          <w:sz w:val="32"/>
          <w:szCs w:val="24"/>
        </w:rPr>
        <w:fldChar w:fldCharType="end"/>
      </w:r>
      <w:bookmarkEnd w:id="1141"/>
      <w:bookmarkEnd w:id="1142"/>
      <w:bookmarkEnd w:id="1143"/>
    </w:p>
    <w:p w14:paraId="21EC229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劳动收入份额的变动，不但关系着居民消费水平的增长和收入差距的变化，也关系着社会总产品的价值实现和经济的正常循环。如果劳动收入份额能随着经济的增长而增长，将会形成劳动者收入不断提高和产业结构升级的良性循环。因此，劳动收入份额增长也就具有全局意义。</w:t>
      </w:r>
    </w:p>
    <w:p w14:paraId="01F173E6">
      <w:pPr>
        <w:autoSpaceDE w:val="0"/>
        <w:autoSpaceDN w:val="0"/>
        <w:spacing w:line="360" w:lineRule="auto"/>
        <w:ind w:firstLine="504"/>
        <w:jc w:val="center"/>
        <w:rPr>
          <w:rFonts w:ascii="宋体" w:hAnsi="宋体" w:eastAsia="宋体" w:cs="Times New Roman"/>
          <w:b/>
          <w:sz w:val="24"/>
        </w:rPr>
      </w:pPr>
      <w:r>
        <w:rPr>
          <w:rFonts w:hint="eastAsia" w:ascii="宋体" w:hAnsi="宋体" w:eastAsia="宋体" w:cs="Times New Roman"/>
          <w:b/>
          <w:sz w:val="24"/>
        </w:rPr>
        <w:t>一、我国劳动收入份额提升的可能性</w:t>
      </w:r>
    </w:p>
    <w:p w14:paraId="0A446EB4">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（一）90年代以来我国劳动收入份额下降的趋势</w:t>
      </w:r>
    </w:p>
    <w:p w14:paraId="4C413B1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我国劳动收入占国民收入的份额变化情况近年来引起了学术界的广泛关注，很多学者都进行了深入研究。李稻葵等人（2009）的研究表明，我国初次分配中劳动份额从1992年开始到1996年略有上升，然后逐步下降。1999年我国劳动收入份额比重约为54%，但到2006年时已经下降到了50%以下。李稻葵认为，西方国家GDP中的劳动份额变动普遍经历了一个U型曲线过程，即劳动收入份额先下降后上升。我国劳动收入份额已经经历了十多年的下降阶段了，何时能转入上升阶段却面临很大不确定性。中国社科院《社会蓝皮书》（2008）披露的数据表明，2003年以前我国的劳动者报酬一直在50%以上，2006年降低至40.6%。企业利润占国民收入的比重，则由以前的20%左右上升到30.6%。白重恩、钱震杰（2009）的研究表明，1978 年我国劳动收入份额约为50%，此后十年略有上升，但自1990年以来缓慢下降，2004年以来下降趋势尤为明显，2006年这一数值已降至47.31%。这些研究数据都表明，我国劳动收入份额已经下降到了历史最低水平。赵俊康（2006）的研究表明，从1996年到2003年，我国城乡就业人员增加了5482万人，劳动报酬却从54</w:t>
      </w:r>
      <w:r>
        <w:rPr>
          <w:rFonts w:ascii="宋体" w:hAnsi="宋体" w:eastAsia="宋体" w:cs="Times New Roman"/>
          <w:szCs w:val="21"/>
        </w:rPr>
        <w:t>.</w:t>
      </w:r>
      <w:r>
        <w:rPr>
          <w:rFonts w:hint="eastAsia" w:ascii="宋体" w:hAnsi="宋体" w:eastAsia="宋体" w:cs="Times New Roman"/>
          <w:szCs w:val="21"/>
        </w:rPr>
        <w:t>3%下降到了49</w:t>
      </w:r>
      <w:r>
        <w:rPr>
          <w:rFonts w:ascii="宋体" w:hAnsi="宋体" w:eastAsia="宋体" w:cs="Times New Roman"/>
          <w:szCs w:val="21"/>
        </w:rPr>
        <w:t>.</w:t>
      </w:r>
      <w:r>
        <w:rPr>
          <w:rFonts w:hint="eastAsia" w:ascii="宋体" w:hAnsi="宋体" w:eastAsia="宋体" w:cs="Times New Roman"/>
          <w:szCs w:val="21"/>
        </w:rPr>
        <w:t>62%。除内蒙古、辽宁、浙江和山东外，27个省市的劳动报酬都有不同程度下降。徐现祥、王海港（2008）的研究表明，1978～2002年我国初次分配中的收入分布不断向右平移，资本所得普遍增长，劳动收入不断下降。李实（2005）的研究表明，1995～2002年，不论是从城镇居民、农村居民，还是从全国居民数据来看，我国洛伦兹曲线都显著外移，说明我国收入差距都在不断拉大。造成收入差距拉大的主要原因又在于资本收入份额的提高和劳动收入份额的下降。世界银行研究人员柯吉（Kouji，2005）的研究也表明，我国经济中利润占GDP的比重过高。柯吉建议国有企业应该向国家分红以减弱投资过多、资本收入增长过快的趋势。罗长远、张军（2009）的研究发现，1995～2004年我国劳动报酬从51</w:t>
      </w:r>
      <w:r>
        <w:rPr>
          <w:rFonts w:ascii="宋体" w:hAnsi="宋体" w:eastAsia="宋体" w:cs="Times New Roman"/>
          <w:szCs w:val="21"/>
        </w:rPr>
        <w:t>.</w:t>
      </w:r>
      <w:r>
        <w:rPr>
          <w:rFonts w:hint="eastAsia" w:ascii="宋体" w:hAnsi="宋体" w:eastAsia="宋体" w:cs="Times New Roman"/>
          <w:szCs w:val="21"/>
        </w:rPr>
        <w:t>4%下降到了41</w:t>
      </w:r>
      <w:r>
        <w:rPr>
          <w:rFonts w:ascii="宋体" w:hAnsi="宋体" w:eastAsia="宋体" w:cs="Times New Roman"/>
          <w:szCs w:val="21"/>
        </w:rPr>
        <w:t>.</w:t>
      </w:r>
      <w:r>
        <w:rPr>
          <w:rFonts w:hint="eastAsia" w:ascii="宋体" w:hAnsi="宋体" w:eastAsia="宋体" w:cs="Times New Roman"/>
          <w:szCs w:val="21"/>
        </w:rPr>
        <w:t>6%。卓永良（2007）的研究表明，改革开放初期我国的劳动收入份额在不断上升，从1978年的42</w:t>
      </w:r>
      <w:r>
        <w:rPr>
          <w:rFonts w:ascii="宋体" w:hAnsi="宋体" w:eastAsia="宋体" w:cs="Times New Roman"/>
          <w:szCs w:val="21"/>
        </w:rPr>
        <w:t>.</w:t>
      </w:r>
      <w:r>
        <w:rPr>
          <w:rFonts w:hint="eastAsia" w:ascii="宋体" w:hAnsi="宋体" w:eastAsia="宋体" w:cs="Times New Roman"/>
          <w:szCs w:val="21"/>
        </w:rPr>
        <w:t>1%上升到1983年的56</w:t>
      </w:r>
      <w:r>
        <w:rPr>
          <w:rFonts w:ascii="宋体" w:hAnsi="宋体" w:eastAsia="宋体" w:cs="Times New Roman"/>
          <w:szCs w:val="21"/>
        </w:rPr>
        <w:t>.</w:t>
      </w:r>
      <w:r>
        <w:rPr>
          <w:rFonts w:hint="eastAsia" w:ascii="宋体" w:hAnsi="宋体" w:eastAsia="宋体" w:cs="Times New Roman"/>
          <w:szCs w:val="21"/>
        </w:rPr>
        <w:t>5%。但自1984年以来，我国劳动收入开始不断下滑。到2005年劳动收入份额已经下滑至38</w:t>
      </w:r>
      <w:r>
        <w:rPr>
          <w:rFonts w:ascii="宋体" w:hAnsi="宋体" w:eastAsia="宋体" w:cs="Times New Roman"/>
          <w:szCs w:val="21"/>
        </w:rPr>
        <w:t>.</w:t>
      </w:r>
      <w:r>
        <w:rPr>
          <w:rFonts w:hint="eastAsia" w:ascii="宋体" w:hAnsi="宋体" w:eastAsia="宋体" w:cs="Times New Roman"/>
          <w:szCs w:val="21"/>
        </w:rPr>
        <w:t>2%。另外龚刚（2010），李扬、殷剑峰（2007）的研究也同样发现，20世纪90年代以来我国劳动收入份额正经历一个下降趋势。</w:t>
      </w:r>
    </w:p>
    <w:p w14:paraId="0A6BEFD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虽然众多学者对我国劳动报酬占GDP的绝对份额度量存在很大差异，但近年来我国劳动收入份额下降到历史最低水平却是个不争的事实。综合学者们对我国劳动收入份额的估计可以得知，2002～2006年，我国劳动收入份额的乐观估计大概是50%，悲观估计是在40%左右。</w:t>
      </w:r>
    </w:p>
    <w:p w14:paraId="2E23F37A">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我国职工工资占GDP的比重变化同样也支持近年来劳动收入份额下降的事实。自上世纪50年代以来，我国工人的工资总额占GDP的比重经历了一个先上升后下降的过程。上世纪70年代初到80年代末，我国职工工资占GDP的比重一直维持在15%，90年代开始下降，2000年以来，这一份额已经下降到了10%。</w:t>
      </w:r>
    </w:p>
    <w:p w14:paraId="2B5CC007">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（二）我国劳动收入份额与资本主义国家劳动收入份额的差距</w:t>
      </w:r>
    </w:p>
    <w:p w14:paraId="6C5A14D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二战以后，西方资本主义国家劳动收入份额普遍经历了一个上升过程。1952年，美国的劳动收入份额只有61%，70年代末上升到了68%，之后虽有所下降，但一直都维持在65%左右。1955年日本的劳动收入份额只有40%，此后不断上升，从上世纪70年代中期到90年代末期一直维持在55%。只是从2003年以来才下降到50%以下，这和日本经济近年来的衰退关系密切。</w:t>
      </w:r>
    </w:p>
    <w:p w14:paraId="2EBA9D2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如果考察更长历史范围的劳动收入份额变动，则可以发现，资本主义国家一百多年来劳动收入份额一直在不断提高，而不是经历了所谓的U型曲线。例如，英国在1860～1869年间的劳动收入份额只有48</w:t>
      </w:r>
      <w:r>
        <w:rPr>
          <w:rFonts w:ascii="宋体" w:hAnsi="宋体" w:eastAsia="宋体" w:cs="Times New Roman"/>
          <w:szCs w:val="21"/>
        </w:rPr>
        <w:t>.</w:t>
      </w:r>
      <w:r>
        <w:rPr>
          <w:rFonts w:hint="eastAsia" w:ascii="宋体" w:hAnsi="宋体" w:eastAsia="宋体" w:cs="Times New Roman"/>
          <w:szCs w:val="21"/>
        </w:rPr>
        <w:t>5%，一战以后该份额超过了50%，上世纪30年代超过了60%，二战以后则超过了70%。此后保持稳定。美国一百年来劳动收入份额也是从50%以下逐步上升到65%左右。学者们对美国1929年之前的劳动收入份额测算结果存在差异，一些学者测算结果为50%，另一些人则认为更低。福格尔的研究表明，1870年美国的劳动收入份额只有1970年的一半，也就是说略低于40%。</w:t>
      </w:r>
    </w:p>
    <w:p w14:paraId="7A9C50F3">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和美国、日本、英国等资本主义国家相比，我国劳动收入份额上升还有很大空间。如果中国的劳动份额能从目前的40%左右上升到60%，劳动者收入将会有很大的提高，这对中国未来的经济增长将有很大的带动作用。</w:t>
      </w:r>
    </w:p>
    <w:p w14:paraId="74FCA060">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（三）20世纪90年代以来我国劳动收入份额下降的原因分析</w:t>
      </w:r>
    </w:p>
    <w:p w14:paraId="4C056F2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20世纪90年代以来我国劳动收入份额的降低，主要是我国所有制结构调整所致。劳动收入份额反映了劳动者在收入分配中的经济社会地位。该份额越低，说明劳动者的经济社会地位越低。统计资料显示，在我国不同类型的所有制经济中，非公经济中劳动收入份额一般较低，并且工人的平均工资也低。在相同情况下，公有经济的劳动收入份额高，并且工人平均工资也高。在私有经济中，雇主为了追逐利润最大化，必然极力压低工资，使得劳动生产率提高的好处尽量为雇主和资本所得，从而随着劳动生产率的提高，劳动报酬占比必然越来越低。当前，中国在经济结构转型中强调更多地发展私有经济和对外招商引资，现存的国有和集体企业也大量被股份私有化，这会导致劳动报酬占比的下降。</w:t>
      </w:r>
    </w:p>
    <w:p w14:paraId="0D6D7FB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从目前披露的数据和收入与所有制的经济学规律来看，劳动报酬占比下降，是公有制的比重在中国经济中的比重下降、政府和工会未能在市场经济中充分发挥作用的客观结果。在其他条件不变的情况下，非公有制经济成份（含内资和外资）越大，劳动报酬占比往往越低。而在某些资本主义国家中，由于左翼力量和工会运动的程度和效果不同，不同国家的劳动收入份额与其经济发达程度并不具有直接的相关性。前苏联解体后，随着工会运动受到打击，西方发达国家的劳动收入份额也普遍下降了。</w:t>
      </w:r>
    </w:p>
    <w:p w14:paraId="4B144F7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我国的所有制变革也带来了工资形成机制的变革。在公有制经济内，工人通过职代会、工会等机构可以维护自己的权利，并且公有制经济的工资决定直接受政府管理，工人的社会保障和福利待遇比较完善。而在私营经济中，工资决定完全由资方决定。工人的发言权丧失，相应地社会保障待遇和福利待遇也被大大削减，而且私营经济部门没有合理的工资增长机制。这是我国劳动收入份额降低的主要原因。</w:t>
      </w:r>
    </w:p>
    <w:p w14:paraId="2CE6758D">
      <w:pPr>
        <w:autoSpaceDE w:val="0"/>
        <w:autoSpaceDN w:val="0"/>
        <w:spacing w:line="360" w:lineRule="auto"/>
        <w:ind w:firstLine="504"/>
        <w:jc w:val="center"/>
        <w:rPr>
          <w:rFonts w:ascii="宋体" w:hAnsi="宋体" w:eastAsia="宋体" w:cs="Times New Roman"/>
          <w:b/>
          <w:sz w:val="24"/>
        </w:rPr>
      </w:pPr>
      <w:r>
        <w:rPr>
          <w:rFonts w:hint="eastAsia" w:ascii="宋体" w:hAnsi="宋体" w:eastAsia="宋体" w:cs="Times New Roman"/>
          <w:b/>
          <w:sz w:val="24"/>
        </w:rPr>
        <w:t>二、提高我国劳动收入份额的迫切性</w:t>
      </w:r>
    </w:p>
    <w:p w14:paraId="4D1A3A80">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目前我国劳动收入份额过低，已经严重威胁到我国经济发展的可持续性。威胁主要来自两个方面：</w:t>
      </w:r>
    </w:p>
    <w:p w14:paraId="65E9F20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一方面，过低的劳动收入份额导致收入差距拉大。劳动收入份额和收入差距存在密切的关系。资本收入增长过快，劳动收入增长缓慢是造成国民收入差距的主要原因。我国改革开放进程中劳动收入份额的下降和收入差距的扩大主要来自两个方面，一是农民工收入增长缓慢，二是城镇企业内部职工的收入增长滞后于管理人员的工资增长。</w:t>
      </w:r>
    </w:p>
    <w:p w14:paraId="1E7E7D30">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王祖祥（2009）利用《中国统计年鉴》（1995～2005年）的收入分配数据进行估算，发现目前我国城镇与农村两部门内部的基尼系数都不大，都没有超过0</w:t>
      </w:r>
      <w:r>
        <w:rPr>
          <w:rFonts w:ascii="宋体" w:hAnsi="宋体" w:eastAsia="宋体" w:cs="Times New Roman"/>
          <w:szCs w:val="21"/>
        </w:rPr>
        <w:t>.</w:t>
      </w:r>
      <w:r>
        <w:rPr>
          <w:rFonts w:hint="eastAsia" w:ascii="宋体" w:hAnsi="宋体" w:eastAsia="宋体" w:cs="Times New Roman"/>
          <w:szCs w:val="21"/>
        </w:rPr>
        <w:t>34，但从2003年开始，我国的加总基尼系数已经超过了0</w:t>
      </w:r>
      <w:r>
        <w:rPr>
          <w:rFonts w:ascii="宋体" w:hAnsi="宋体" w:eastAsia="宋体" w:cs="Times New Roman"/>
          <w:szCs w:val="21"/>
        </w:rPr>
        <w:t>.</w:t>
      </w:r>
      <w:r>
        <w:rPr>
          <w:rFonts w:hint="eastAsia" w:ascii="宋体" w:hAnsi="宋体" w:eastAsia="宋体" w:cs="Times New Roman"/>
          <w:szCs w:val="21"/>
        </w:rPr>
        <w:t>44，远远越过了警戒水平0</w:t>
      </w:r>
      <w:r>
        <w:rPr>
          <w:rFonts w:ascii="宋体" w:hAnsi="宋体" w:eastAsia="宋体" w:cs="Times New Roman"/>
          <w:szCs w:val="21"/>
        </w:rPr>
        <w:t>.</w:t>
      </w:r>
      <w:r>
        <w:rPr>
          <w:rFonts w:hint="eastAsia" w:ascii="宋体" w:hAnsi="宋体" w:eastAsia="宋体" w:cs="Times New Roman"/>
          <w:szCs w:val="21"/>
        </w:rPr>
        <w:t>4。王祖祥认为城乡收入差距是我国不平等程度扩大的主要原因。农民工工资增长缓慢固然是城乡收入差距拉大的原因，但城乡收入差距拉大的最主要原因是城市居民资本收入（财产收入）增长迅速。改革开放以来，中国农民工数量越来越庞大，工资收入在农村居民家庭中的比重逐年提高。1984～1996年，我国农民工工资收入占农村居民家庭纯收入的比重从17</w:t>
      </w:r>
      <w:r>
        <w:rPr>
          <w:rFonts w:ascii="宋体" w:hAnsi="宋体" w:eastAsia="宋体" w:cs="Times New Roman"/>
          <w:szCs w:val="21"/>
        </w:rPr>
        <w:t>.</w:t>
      </w:r>
      <w:r>
        <w:rPr>
          <w:rFonts w:hint="eastAsia" w:ascii="宋体" w:hAnsi="宋体" w:eastAsia="宋体" w:cs="Times New Roman"/>
          <w:szCs w:val="21"/>
        </w:rPr>
        <w:t>17%提高到23</w:t>
      </w:r>
      <w:r>
        <w:rPr>
          <w:rFonts w:ascii="宋体" w:hAnsi="宋体" w:eastAsia="宋体" w:cs="Times New Roman"/>
          <w:szCs w:val="21"/>
        </w:rPr>
        <w:t>.</w:t>
      </w:r>
      <w:r>
        <w:rPr>
          <w:rFonts w:hint="eastAsia" w:ascii="宋体" w:hAnsi="宋体" w:eastAsia="宋体" w:cs="Times New Roman"/>
          <w:szCs w:val="21"/>
        </w:rPr>
        <w:t>59%。</w:t>
      </w:r>
      <w:r>
        <w:rPr>
          <w:rFonts w:ascii="宋体" w:hAnsi="宋体" w:eastAsia="宋体" w:cs="Times New Roman"/>
          <w:szCs w:val="21"/>
          <w:vertAlign w:val="superscript"/>
        </w:rPr>
        <w:footnoteReference w:id="582"/>
      </w:r>
      <w:r>
        <w:rPr>
          <w:rFonts w:hint="eastAsia" w:ascii="宋体" w:hAnsi="宋体" w:eastAsia="宋体" w:cs="Times New Roman"/>
          <w:szCs w:val="21"/>
        </w:rPr>
        <w:t>到2008年，这一比重又进一步上升到37</w:t>
      </w:r>
      <w:r>
        <w:rPr>
          <w:rFonts w:ascii="宋体" w:hAnsi="宋体" w:eastAsia="宋体" w:cs="Times New Roman"/>
          <w:szCs w:val="21"/>
        </w:rPr>
        <w:t>.</w:t>
      </w:r>
      <w:r>
        <w:rPr>
          <w:rFonts w:hint="eastAsia" w:ascii="宋体" w:hAnsi="宋体" w:eastAsia="宋体" w:cs="Times New Roman"/>
          <w:szCs w:val="21"/>
        </w:rPr>
        <w:t>42%。上海市的这一比例最高，高达70%，东部沿海地区普遍都在40%以上。</w:t>
      </w:r>
    </w:p>
    <w:p w14:paraId="657E631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虽然外出打工收入占农民家庭纯收入的比重越来越高，但由于没有最低工资政策的保护，农民工的工资增长缓慢。用人单位对农民工实行歧视政策，农民工工资增长幅度往往低于城市职工平均工资增长幅度，农民工的工资增长只是略高于农村居民家庭的经营性收入增长。刘军胜的研究表明，2002～2008年，农民工工资平均增长幅度为14</w:t>
      </w:r>
      <w:r>
        <w:rPr>
          <w:rFonts w:ascii="宋体" w:hAnsi="宋体" w:eastAsia="宋体" w:cs="Times New Roman"/>
          <w:szCs w:val="21"/>
        </w:rPr>
        <w:t>.</w:t>
      </w:r>
      <w:r>
        <w:rPr>
          <w:rFonts w:hint="eastAsia" w:ascii="宋体" w:hAnsi="宋体" w:eastAsia="宋体" w:cs="Times New Roman"/>
          <w:szCs w:val="21"/>
        </w:rPr>
        <w:t>10%，而同期农村居民家庭人均经营性收入平均增长幅度为8</w:t>
      </w:r>
      <w:r>
        <w:rPr>
          <w:rFonts w:ascii="宋体" w:hAnsi="宋体" w:eastAsia="宋体" w:cs="Times New Roman"/>
          <w:szCs w:val="21"/>
        </w:rPr>
        <w:t>.</w:t>
      </w:r>
      <w:r>
        <w:rPr>
          <w:rFonts w:hint="eastAsia" w:ascii="宋体" w:hAnsi="宋体" w:eastAsia="宋体" w:cs="Times New Roman"/>
          <w:szCs w:val="21"/>
        </w:rPr>
        <w:t>58%。两者之间的差距只有5</w:t>
      </w:r>
      <w:r>
        <w:rPr>
          <w:rFonts w:ascii="宋体" w:hAnsi="宋体" w:eastAsia="宋体" w:cs="Times New Roman"/>
          <w:szCs w:val="21"/>
        </w:rPr>
        <w:t>.</w:t>
      </w:r>
      <w:r>
        <w:rPr>
          <w:rFonts w:hint="eastAsia" w:ascii="宋体" w:hAnsi="宋体" w:eastAsia="宋体" w:cs="Times New Roman"/>
          <w:szCs w:val="21"/>
        </w:rPr>
        <w:t>25个百分点。农民工外出打工机会成本上升，收益减少，这是导致沿海地区出现民工荒的一个重要原因。由于农民工是中国民营经济新工人群体的重要组成部分，农民工工资收入增长缓慢成为国民收入中劳动收入份额不断降低的主要原因之一。农民工工资增长缓慢，导致城乡收入差距不断拉大。2006年，城乡收入差距已经从1985年的1</w:t>
      </w:r>
      <w:r>
        <w:rPr>
          <w:rFonts w:ascii="宋体" w:hAnsi="宋体" w:eastAsia="宋体" w:cs="Times New Roman"/>
          <w:szCs w:val="21"/>
        </w:rPr>
        <w:t>.</w:t>
      </w:r>
      <w:r>
        <w:rPr>
          <w:rFonts w:hint="eastAsia" w:ascii="宋体" w:hAnsi="宋体" w:eastAsia="宋体" w:cs="Times New Roman"/>
          <w:szCs w:val="21"/>
        </w:rPr>
        <w:t>79倍扩大到2006 年的3</w:t>
      </w:r>
      <w:r>
        <w:rPr>
          <w:rFonts w:ascii="宋体" w:hAnsi="宋体" w:eastAsia="宋体" w:cs="Times New Roman"/>
          <w:szCs w:val="21"/>
        </w:rPr>
        <w:t>.</w:t>
      </w:r>
      <w:r>
        <w:rPr>
          <w:rFonts w:hint="eastAsia" w:ascii="宋体" w:hAnsi="宋体" w:eastAsia="宋体" w:cs="Times New Roman"/>
          <w:szCs w:val="21"/>
        </w:rPr>
        <w:t>28倍。</w:t>
      </w:r>
    </w:p>
    <w:p w14:paraId="564C431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农民工工资增长缓慢的一个重要原因就是各地最低工资定的非常低，没有发挥出提高农民工收入的作用。以浙江省为例，2002年，浙江省非国有经济已经占到全省GDP的76</w:t>
      </w:r>
      <w:r>
        <w:rPr>
          <w:rFonts w:ascii="宋体" w:hAnsi="宋体" w:eastAsia="宋体" w:cs="Times New Roman"/>
          <w:szCs w:val="21"/>
        </w:rPr>
        <w:t>.</w:t>
      </w:r>
      <w:r>
        <w:rPr>
          <w:rFonts w:hint="eastAsia" w:ascii="宋体" w:hAnsi="宋体" w:eastAsia="宋体" w:cs="Times New Roman"/>
          <w:szCs w:val="21"/>
        </w:rPr>
        <w:t>7%，但非国有经济中农民工的收入却非常低。据浙江省统计局农调队调查显示，浙江宁波、湖州、金华、台州四市外来农民工的平均工资为761元，月收入在1000 元以下的农民工占被调查总数的70%～80%。</w:t>
      </w:r>
      <w:r>
        <w:rPr>
          <w:rFonts w:ascii="宋体" w:hAnsi="宋体" w:eastAsia="宋体" w:cs="Times New Roman"/>
          <w:szCs w:val="21"/>
          <w:vertAlign w:val="superscript"/>
        </w:rPr>
        <w:footnoteReference w:id="583"/>
      </w:r>
      <w:r>
        <w:rPr>
          <w:rFonts w:hint="eastAsia" w:ascii="宋体" w:hAnsi="宋体" w:eastAsia="宋体" w:cs="Times New Roman"/>
          <w:szCs w:val="21"/>
        </w:rPr>
        <w:t>目前浙江很多民营企业以政府公布的最低工资为标准制定本企业职工的平均工资。国际上一般最低工资相当于平均工资的40%</w:t>
      </w:r>
      <w:r>
        <w:rPr>
          <w:rFonts w:hint="eastAsia" w:ascii="宋体" w:hAnsi="宋体" w:eastAsia="宋体" w:cs="Times New Roman"/>
          <w:szCs w:val="21"/>
        </w:rPr>
        <w:sym w:font="Symbol" w:char="F07E"/>
      </w:r>
      <w:r>
        <w:rPr>
          <w:rFonts w:hint="eastAsia" w:ascii="宋体" w:hAnsi="宋体" w:eastAsia="宋体" w:cs="Times New Roman"/>
          <w:szCs w:val="21"/>
        </w:rPr>
        <w:t>60%，而我国的最低工资明显低于国际标准。杭州市2004年的月平均工资为1997元，最低工资只有月平均工资的31%。</w:t>
      </w:r>
    </w:p>
    <w:p w14:paraId="36558C8E">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再以北京为例，北京市2005 年最低工资标准为每小时不低于3</w:t>
      </w:r>
      <w:r>
        <w:rPr>
          <w:rFonts w:ascii="宋体" w:hAnsi="宋体" w:eastAsia="宋体" w:cs="Times New Roman"/>
          <w:szCs w:val="21"/>
        </w:rPr>
        <w:t>.</w:t>
      </w:r>
      <w:r>
        <w:rPr>
          <w:rFonts w:hint="eastAsia" w:ascii="宋体" w:hAnsi="宋体" w:eastAsia="宋体" w:cs="Times New Roman"/>
          <w:szCs w:val="21"/>
        </w:rPr>
        <w:t>477元、每月不低于580元。非全日制从业人员每小时最低工资不低于7</w:t>
      </w:r>
      <w:r>
        <w:rPr>
          <w:rFonts w:ascii="宋体" w:hAnsi="宋体" w:eastAsia="宋体" w:cs="Times New Roman"/>
          <w:szCs w:val="21"/>
        </w:rPr>
        <w:t>.</w:t>
      </w:r>
      <w:r>
        <w:rPr>
          <w:rFonts w:hint="eastAsia" w:ascii="宋体" w:hAnsi="宋体" w:eastAsia="宋体" w:cs="Times New Roman"/>
          <w:szCs w:val="21"/>
        </w:rPr>
        <w:t>3元。2004年北京职工平均工资为28348元，折合月工资2362元，全日制工人最低工资只有平均工资的</w:t>
      </w:r>
      <w:r>
        <w:rPr>
          <w:rFonts w:ascii="宋体" w:hAnsi="宋体" w:eastAsia="宋体" w:cs="Times New Roman"/>
          <w:szCs w:val="21"/>
        </w:rPr>
        <w:t>24.6%</w:t>
      </w:r>
      <w:r>
        <w:rPr>
          <w:rFonts w:ascii="宋体" w:hAnsi="宋体" w:eastAsia="宋体" w:cs="MS Mincho"/>
          <w:szCs w:val="21"/>
          <w:vertAlign w:val="superscript"/>
        </w:rPr>
        <w:footnoteReference w:id="584"/>
      </w:r>
      <w:r>
        <w:rPr>
          <w:rFonts w:hint="eastAsia" w:ascii="宋体" w:hAnsi="宋体" w:eastAsia="宋体" w:cs="Times New Roman"/>
          <w:szCs w:val="21"/>
        </w:rPr>
        <w:t>近几年来虽然最低工资有所提高</w:t>
      </w:r>
      <w:r>
        <w:rPr>
          <w:rFonts w:ascii="宋体" w:hAnsi="宋体" w:eastAsia="宋体" w:cs="Times New Roman"/>
          <w:szCs w:val="21"/>
        </w:rPr>
        <w:t>，</w:t>
      </w:r>
      <w:r>
        <w:rPr>
          <w:rFonts w:hint="eastAsia" w:ascii="宋体" w:hAnsi="宋体" w:eastAsia="宋体" w:cs="Times New Roman"/>
          <w:szCs w:val="21"/>
        </w:rPr>
        <w:t>个别省份最低工资已经到了1000元水平。例如浙江在2010年4月1日起，最低工资提高至1100元（含社会保险费用）。但大多数省份最低工资依然很低。不但从绝对水平看很低，从相对水平看也很低。假如按照国际通行标准，把最低工资制定在社会平均工资的40%</w:t>
      </w:r>
      <w:r>
        <w:rPr>
          <w:rFonts w:hint="eastAsia" w:ascii="宋体" w:hAnsi="宋体" w:eastAsia="宋体" w:cs="Times New Roman"/>
          <w:szCs w:val="21"/>
        </w:rPr>
        <w:sym w:font="Symbol" w:char="F07E"/>
      </w:r>
      <w:r>
        <w:rPr>
          <w:rFonts w:hint="eastAsia" w:ascii="宋体" w:hAnsi="宋体" w:eastAsia="宋体" w:cs="Times New Roman"/>
          <w:szCs w:val="21"/>
        </w:rPr>
        <w:t>60%，2008年底，中国没有一个省份能达到这一标准。</w:t>
      </w:r>
    </w:p>
    <w:p w14:paraId="5A2C50D9">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在企业内部，相比于企业管理人员，普通职工的劳动收入不断下降，企业内部工资差距不断拉大。根据全国总工会的调查，2002～2004年我国企业职工工资低于当地社会平均工资的职工占81</w:t>
      </w:r>
      <w:r>
        <w:rPr>
          <w:rFonts w:ascii="宋体" w:hAnsi="宋体" w:eastAsia="宋体" w:cs="Times New Roman"/>
          <w:szCs w:val="21"/>
        </w:rPr>
        <w:t>.</w:t>
      </w:r>
      <w:r>
        <w:rPr>
          <w:rFonts w:hint="eastAsia" w:ascii="宋体" w:hAnsi="宋体" w:eastAsia="宋体" w:cs="Times New Roman"/>
          <w:szCs w:val="21"/>
        </w:rPr>
        <w:t>8%，低于社会平均工资一半的占34</w:t>
      </w:r>
      <w:r>
        <w:rPr>
          <w:rFonts w:ascii="宋体" w:hAnsi="宋体" w:eastAsia="宋体" w:cs="Times New Roman"/>
          <w:szCs w:val="21"/>
        </w:rPr>
        <w:t>.</w:t>
      </w:r>
      <w:r>
        <w:rPr>
          <w:rFonts w:hint="eastAsia" w:ascii="宋体" w:hAnsi="宋体" w:eastAsia="宋体" w:cs="Times New Roman"/>
          <w:szCs w:val="21"/>
        </w:rPr>
        <w:t>2%，低于当地最低工资标准的占12</w:t>
      </w:r>
      <w:r>
        <w:rPr>
          <w:rFonts w:ascii="宋体" w:hAnsi="宋体" w:eastAsia="宋体" w:cs="Times New Roman"/>
          <w:szCs w:val="21"/>
        </w:rPr>
        <w:t>.</w:t>
      </w:r>
      <w:r>
        <w:rPr>
          <w:rFonts w:hint="eastAsia" w:ascii="宋体" w:hAnsi="宋体" w:eastAsia="宋体" w:cs="Times New Roman"/>
          <w:szCs w:val="21"/>
        </w:rPr>
        <w:t>7%；相比于1998～2001年，低于当地社会平均工资一半的职工增加了14</w:t>
      </w:r>
      <w:r>
        <w:rPr>
          <w:rFonts w:ascii="宋体" w:hAnsi="宋体" w:eastAsia="宋体" w:cs="Times New Roman"/>
          <w:szCs w:val="21"/>
        </w:rPr>
        <w:t>.</w:t>
      </w:r>
      <w:r>
        <w:rPr>
          <w:rFonts w:hint="eastAsia" w:ascii="宋体" w:hAnsi="宋体" w:eastAsia="宋体" w:cs="Times New Roman"/>
          <w:szCs w:val="21"/>
        </w:rPr>
        <w:t>6个百分点。这表明我国低收入劳动者比重扩大了。</w:t>
      </w:r>
    </w:p>
    <w:p w14:paraId="42346D82">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另一方面，劳动收入份额过低，导致外贸依存度过高，内需相对不足。中国劳动收入份额低，和我国出口导向型的外贸战略有重要关系。在改革开放过程中，沿海地区的招商引资过于偏重对外加工产业。由于我国有大量的农村剩余劳动力，国外企业纷纷把附加值低的加工业转入中国。这些产业对劳动技能要求也低。中国企业利用我国廉价的劳动力，进行对外加工，创业风险小，获利容易，因此外向型加工企业迅速发展。在改革开放初期，发展低技术、低工资的加工业并没有错。但很多企业在发展过程中没有长远眼光，不重视技术更新，不重视人才培养，不重视品牌创新，迷恋于低技术、低成本带来的利润。这种发展模式导致中国加工企业在国际产业链中只占据了非常低的附加值份额。</w:t>
      </w:r>
    </w:p>
    <w:p w14:paraId="2CD40F74">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这种低附加值产业的发展造成我国劳动收入份额过低，进而导致国内消费需求对经济增长贡献率低。程恩富（2008）的研究表明，2004年我国消费率为53</w:t>
      </w:r>
      <w:r>
        <w:rPr>
          <w:rFonts w:ascii="宋体" w:hAnsi="宋体" w:eastAsia="宋体" w:cs="Times New Roman"/>
          <w:szCs w:val="21"/>
        </w:rPr>
        <w:t>.</w:t>
      </w:r>
      <w:r>
        <w:rPr>
          <w:rFonts w:hint="eastAsia" w:ascii="宋体" w:hAnsi="宋体" w:eastAsia="宋体" w:cs="Times New Roman"/>
          <w:szCs w:val="21"/>
        </w:rPr>
        <w:t>6%，降到了1950年以来的最低水平。由于国内市场对经济增长贡献有限，我国企业不得不依赖对外贸易，这大大提高了我国的外贸依存度，增加了我国经济发展的国际风险。2003年，全球平均外贸依存度为0</w:t>
      </w:r>
      <w:r>
        <w:rPr>
          <w:rFonts w:ascii="宋体" w:hAnsi="宋体" w:eastAsia="宋体" w:cs="Times New Roman"/>
          <w:szCs w:val="21"/>
        </w:rPr>
        <w:t>.</w:t>
      </w:r>
      <w:r>
        <w:rPr>
          <w:rFonts w:hint="eastAsia" w:ascii="宋体" w:hAnsi="宋体" w:eastAsia="宋体" w:cs="Times New Roman"/>
          <w:szCs w:val="21"/>
        </w:rPr>
        <w:t>45，发达国家均值为0</w:t>
      </w:r>
      <w:r>
        <w:rPr>
          <w:rFonts w:ascii="宋体" w:hAnsi="宋体" w:eastAsia="宋体" w:cs="Times New Roman"/>
          <w:szCs w:val="21"/>
        </w:rPr>
        <w:t>.</w:t>
      </w:r>
      <w:r>
        <w:rPr>
          <w:rFonts w:hint="eastAsia" w:ascii="宋体" w:hAnsi="宋体" w:eastAsia="宋体" w:cs="Times New Roman"/>
          <w:szCs w:val="21"/>
        </w:rPr>
        <w:t>38，发展中国家均值为0</w:t>
      </w:r>
      <w:r>
        <w:rPr>
          <w:rFonts w:ascii="宋体" w:hAnsi="宋体" w:eastAsia="宋体" w:cs="Times New Roman"/>
          <w:szCs w:val="21"/>
        </w:rPr>
        <w:t>.</w:t>
      </w:r>
      <w:r>
        <w:rPr>
          <w:rFonts w:hint="eastAsia" w:ascii="宋体" w:hAnsi="宋体" w:eastAsia="宋体" w:cs="Times New Roman"/>
          <w:szCs w:val="21"/>
        </w:rPr>
        <w:t>51，而我国2004年外贸依存度为0</w:t>
      </w:r>
      <w:r>
        <w:rPr>
          <w:rFonts w:ascii="宋体" w:hAnsi="宋体" w:eastAsia="宋体" w:cs="Times New Roman"/>
          <w:szCs w:val="21"/>
        </w:rPr>
        <w:t>.</w:t>
      </w:r>
      <w:r>
        <w:rPr>
          <w:rFonts w:hint="eastAsia" w:ascii="宋体" w:hAnsi="宋体" w:eastAsia="宋体" w:cs="Times New Roman"/>
          <w:szCs w:val="21"/>
        </w:rPr>
        <w:t>68，远远高出世界平均水平。中国必须适当降低外贸依存度，扩大内需拉动经济增长。</w:t>
      </w:r>
    </w:p>
    <w:p w14:paraId="771EA401">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中国之所以会陷入低附加值产业发展模式而无法跳出，一个重要原因是我国的最低工资政策没有得到严格执行，落后产能不能淘汰，企业没有技术升级的动力。目前最低工资制度在执行中存在以下问题。</w:t>
      </w:r>
    </w:p>
    <w:p w14:paraId="5F20738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（1）最低工资标准保障范围过小，农民工、学徒工、保姆等低收入群体还不在这一标准的保护范围之内。</w:t>
      </w:r>
    </w:p>
    <w:p w14:paraId="675EE37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如果按小时工资计算，很多工人的小时工资都达不到最低工资要求。最低工资的计算一般都是按照每天工作8小时，每周40小时的正常工作时间计算的。很多民营企业工人每周工作时间远超过40小时。很多工人每月拿到手的工资有1000元，实际上他的加班时间长，加班工资大约就占500元，如果按照40小时的正常工作时间计算，该工人的小时工资就低于政府规定的最低工资。此外，企业还把各项津贴违规列入最低工资，或压低计件工资，实施提成工资，或对试用期员工支付低于最低工资标准的工资。如果我国最低工资制度能够得到严格执行，工人能在正常工作时间内拿到最低工资，加班能得到法律所规定的加班工资，他们的收入也会有可观的增长。</w:t>
      </w:r>
    </w:p>
    <w:p w14:paraId="3265528D">
      <w:pPr>
        <w:autoSpaceDE w:val="0"/>
        <w:autoSpaceDN w:val="0"/>
        <w:spacing w:line="360" w:lineRule="auto"/>
        <w:ind w:firstLine="504"/>
        <w:jc w:val="center"/>
        <w:rPr>
          <w:rFonts w:ascii="宋体" w:hAnsi="宋体" w:eastAsia="宋体" w:cs="Times New Roman"/>
          <w:b/>
          <w:sz w:val="24"/>
        </w:rPr>
      </w:pPr>
      <w:r>
        <w:rPr>
          <w:rFonts w:hint="eastAsia" w:ascii="宋体" w:hAnsi="宋体" w:eastAsia="宋体" w:cs="Times New Roman"/>
          <w:b/>
          <w:sz w:val="24"/>
        </w:rPr>
        <w:t>三、提高我国劳动收入份额的途径</w:t>
      </w:r>
    </w:p>
    <w:p w14:paraId="3FB026F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鉴于近几年我国劳动收入份额逐渐下滑所带来的弊端，适时提高劳动收入份额有重要的意义：一是深入落实科学发展观，发展成果要合理分享的需要；二是刺激国内消费和拉动经济增长的需要；三是促进产业结构和外贸结构升级的需要。马克思曾经指出，由于工资太低，使用机器反而会使生产变贵，因而英国发明的机器曾经只能在北美使用。工资偏低同样是目前我国产品结构、技术结构、产业结构和外贸结构调整与提升不快的原因之一。李嘉图的比较优势学说理论也不支持低工资优势竞争论。李嘉图的比较优势学说主要与劳动效率有关。只要两个国家的两个不同产业具有不同的生产效率，这两个国家就都具有各自的比较优势。低劳动力成本有时也没有比较优势。随着中国劳动者报酬的提高，企业将升级产品结构、技术结构和产业结构，而在新的产业结构中，即使中国提高工资，相对于国际市场，仍然可能具有较低的所谓比较优势。我国涨工资的空间还很大，逐步提高劳动报酬同保持经济发展和出口比较优势并不存在尖锐的矛盾。要适时提高我国劳动收入份额，必须发挥政府与工会两大经济主体的作用力，采用严格实施最低工资制度，建立合理的工资增长机制，实现经济增长方式的转变。</w:t>
      </w:r>
    </w:p>
    <w:p w14:paraId="09842F90">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（一）发挥政府和工会两大经济主体的作用力</w:t>
      </w:r>
    </w:p>
    <w:p w14:paraId="6126E70A">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1</w:t>
      </w:r>
      <w:r>
        <w:rPr>
          <w:rFonts w:ascii="宋体" w:hAnsi="宋体" w:eastAsia="宋体" w:cs="Times New Roman"/>
          <w:szCs w:val="21"/>
        </w:rPr>
        <w:t>.</w:t>
      </w:r>
      <w:r>
        <w:rPr>
          <w:rFonts w:hint="eastAsia" w:ascii="宋体" w:hAnsi="宋体" w:eastAsia="宋体" w:cs="Times New Roman"/>
          <w:szCs w:val="21"/>
        </w:rPr>
        <w:t>构建国家主导型劳动者维权机制。构建国家主导型劳动者维权机制，是提高劳动收入份额的首要条件，也是获得广大劳动人民支持的重要保证。目前我国70% 以上的劳动者在非公企业就业，加不加工资主要由老板说了算，政府干预的空间很小。西方政府是站在雇主阶级的立场上主要靠事后调节来协调劳资关系。作为人民政府而非中性政府的社会主义政府记取西方的教训，应当站在雇员阶级的立场上主要在事前，通过主动、积极措施协调劳动关系或劳资关系。过去在西德企业董事会中的雇员比例制和收入共决机制下，工会依据企业劳动生产率提高来谈判雇员收入的合理增长；在日本，企业依据职工工龄的增加而提高收入等措施，都可以为我国借鉴利用的。如果政府严格检查落实法定劳动时间和劳动合同法，劳动者利益完全可以得到保障。我国政府应当像当年英国政府一样向企业派出工厂视察员，对于侵犯职工利益的行为直接进行起诉，而不能仅仅要求每个单位的工会一对一地进行集体谈判。</w:t>
      </w:r>
    </w:p>
    <w:p w14:paraId="03598A5D">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w:t>
      </w:r>
      <w:r>
        <w:rPr>
          <w:rFonts w:ascii="宋体" w:hAnsi="宋体" w:eastAsia="宋体" w:cs="Times New Roman"/>
          <w:szCs w:val="21"/>
        </w:rPr>
        <w:t>.</w:t>
      </w:r>
      <w:r>
        <w:rPr>
          <w:rFonts w:hint="eastAsia" w:ascii="宋体" w:hAnsi="宋体" w:eastAsia="宋体" w:cs="Times New Roman"/>
          <w:szCs w:val="21"/>
        </w:rPr>
        <w:t>加强工会力量，实现劳资共决。要提高劳动收入份额必须加强工会在工资决定中的谈判作用。通过劳资谈判，可以建立工资形成的共决制度。工资共决可以抑制雇主对于工资的过分压低，可以在一定条件下改善劳动报酬在初次分配中的比重。近年来，我国工会在维权中发挥了重要的作用。姚先国（2008）的研究表明，中国工会并非如有些人所说的那样形同虚设，而是确实有助于改善劳动关系。从工资回报到各项福利，浙江省工会都在一定程度上提高了劳动者的利益。实证研究也表明，很多雇主也乐意设立工会以及给工会拨付经费，因为工会有助于改善劳动关系，增强企业凝聚力，从而提高生产效率。浙江义乌工会的社会维权实践也说明，在中国，工会可以大有作为。</w:t>
      </w:r>
    </w:p>
    <w:p w14:paraId="7E003D2F">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但是，就像马克思所坚持的，夸大工会在集体谈判的成就也是错误的，只要雇主能够获得利润，资本的积累就会越来越多，资本所得的占比就会越来越大。没有政府通过立法来调节，工会在改变劳资收入分配中的作用就会非常有限。</w:t>
      </w:r>
    </w:p>
    <w:p w14:paraId="6F9086B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（二）严格实施最低工资制度，建立合理的工资增长机制</w:t>
      </w:r>
    </w:p>
    <w:p w14:paraId="23DB33A9">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1</w:t>
      </w:r>
      <w:r>
        <w:rPr>
          <w:rFonts w:ascii="宋体" w:hAnsi="宋体" w:eastAsia="宋体" w:cs="Times New Roman"/>
          <w:szCs w:val="21"/>
        </w:rPr>
        <w:t>.</w:t>
      </w:r>
      <w:r>
        <w:rPr>
          <w:rFonts w:hint="eastAsia" w:ascii="宋体" w:hAnsi="宋体" w:eastAsia="宋体" w:cs="Times New Roman"/>
          <w:szCs w:val="21"/>
        </w:rPr>
        <w:t>严格实施最低工资制度。劳资冲突的核心是利益分配冲突，市场经济条件下要有效缓解劳资冲突，必须建立劳资政三方协调机制。西方国家经过一百多年的发展，已经建立起有效的劳、资、政三方协调机制，而这一机制在我国还处于建设、探索过程中。上世纪30年代以前，资本主义国家实行自由放任劳资关系模式，企业靠压低劳动成本进行竞争，劳动收入份额处于较低水平。20世纪上半叶，西方国家纷纷通过最低工资制度、劳动立法、集体谈判等措施，增强了劳工谈判能力，自由主义劳资关系模式被废弃，政府、企业和工会三方协调劳资关系模式被采纳，从而实现了劳动收入份额的不断提高。在三方合作劳资关系模式中，最低工资制度在提高劳动收入份额中发挥着重要的作用。在中国目前的情况下，只有通过严格实施最低工资制度，才能改善劳资分配，缓解劳资矛盾。最低工资制度能从两个方面提高劳动收入份额。</w:t>
      </w:r>
    </w:p>
    <w:p w14:paraId="29369465">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（1）最低工资制度有利于企业发展模式的强制变强。改革开放以来，中国企业尤其是民营企业，一直走的是低工资、低技术发展模式。这种发展模式的后果是雇主受益</w:t>
      </w:r>
      <w:r>
        <w:rPr>
          <w:rFonts w:ascii="宋体" w:hAnsi="宋体" w:eastAsia="宋体" w:cs="Times New Roman"/>
          <w:szCs w:val="21"/>
        </w:rPr>
        <w:t>，</w:t>
      </w:r>
      <w:r>
        <w:rPr>
          <w:rFonts w:hint="eastAsia" w:ascii="宋体" w:hAnsi="宋体" w:eastAsia="宋体" w:cs="Times New Roman"/>
          <w:szCs w:val="21"/>
        </w:rPr>
        <w:t>工人、社会受损。低技术</w:t>
      </w:r>
      <w:r>
        <w:rPr>
          <w:rFonts w:hint="eastAsia" w:ascii="宋体" w:hAnsi="宋体" w:eastAsia="宋体" w:cs="MS Mincho"/>
          <w:szCs w:val="21"/>
        </w:rPr>
        <w:t>——</w:t>
      </w:r>
      <w:r>
        <w:rPr>
          <w:rFonts w:hint="eastAsia" w:ascii="宋体" w:hAnsi="宋体" w:eastAsia="宋体" w:cs="Times New Roman"/>
          <w:szCs w:val="21"/>
        </w:rPr>
        <w:t>低成本发展模式下，工人无法分享社会发展的成果，社会要承担环境污染等成本。这种低成本发展模式对正常的市场竞争起着破坏作用。一些依赖低技术、低成本生存的企业，会采取各种办法延长工人的劳动时间，提高工人的劳动强度，降低工作场所的安全卫生标准。相比之下，那些守法经营的企业却要向工人支付相对高的工资，支付更高的工作安全成本。这就使得两类企业不能公平竞争。由于竞争规则不统一，效率高的企业虽然能在竞争中胜出，但劣质企业也并不淘汰，优劣并存、良莠不齐。</w:t>
      </w:r>
    </w:p>
    <w:p w14:paraId="5C0A98B3">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政府通过强制实施最低工资制度，可以淘汰劣质企业、促进公平竞争。政府强制实施的最低工资制度有利于在社会范围内形成合理的劳动力成本形成机制。市场并不会自发形成合理的劳动力成本决定机制。如果交由劳动力市场自发作用，劳动力成本往往会趋向生存工资。合理的劳动力成本形成机制是合理的产品价格形成机制的一部分。社会统一的企业会计核算准则、最低产品质量标准和最低劳工标准，是合理的价格形成机制的必要组成部分。合理的产品价格形成机制和合理的劳动力成本形成机制，对保护社会公众利益和保护劳动者利益都十分必要。要建立合理的劳动力成本形成机制，必须实行统一的周工作时间标准、工作场所最低安全健康标准。目前中国民营企业普遍存在加班过长而且不付加班工资的情况。如果不控制工人的周工作时间，最低工资标准形同虚设。价值规律要求企业降低成本，但企业降低成本的竞争，只有在不降低产品质量，不造成环境污染，不损害工人健康时才对社会有利。成本竞争必须以合理成本为底线，否则，降低成本只会导致企业拼人力成本、拼环境污染成本，破坏合理的价格形成机制。不断曝光的职业病、环境污染事件都是合理的价格形成机制被破坏的恶果。</w:t>
      </w:r>
    </w:p>
    <w:p w14:paraId="15DAFE0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最低工资制度有利于实施第三方劳工监督，提高劳动收入份额。第三方劳工监督是通过企业、政府以外的独立机构，参照通行的劳工标准，对企业的劳工状况进行评估。目前，第三方劳工监督都以国际劳工标准为参照依据。国际劳工标准，指国际劳工组织（ILO）通过的处理全球范围劳工事务的各种原则、规范、准则，它们形成了以国际劳工公约</w:t>
      </w:r>
      <w:r>
        <w:rPr>
          <w:rFonts w:ascii="Times New Roman" w:hAnsi="Times New Roman" w:eastAsia="宋体" w:cs="Times New Roman"/>
          <w:szCs w:val="21"/>
        </w:rPr>
        <w:t>（Conventions，185项）和建议（Recommendations，195项</w:t>
      </w:r>
      <w:r>
        <w:rPr>
          <w:rFonts w:hint="eastAsia" w:ascii="宋体" w:hAnsi="宋体" w:eastAsia="宋体" w:cs="Times New Roman"/>
          <w:szCs w:val="21"/>
        </w:rPr>
        <w:t>）为核心的一整套国际劳工制度。SA8000是受认可程度最广泛的国际劳工标准之一，该标准是一种基于国际劳工组织宪章、联合国儿童权利公约、世界人权宣言而制定的，以保护劳动环境和条件、劳工权利等为主要内容的社会责任标准认证体系</w:t>
      </w:r>
      <w:r>
        <w:rPr>
          <w:rFonts w:ascii="Times New Roman" w:hAnsi="Times New Roman" w:eastAsia="宋体" w:cs="Times New Roman"/>
          <w:szCs w:val="21"/>
        </w:rPr>
        <w:t>。2001年12月12日</w:t>
      </w:r>
      <w:r>
        <w:rPr>
          <w:rFonts w:hint="eastAsia" w:ascii="宋体" w:hAnsi="宋体" w:eastAsia="宋体" w:cs="Times New Roman"/>
          <w:szCs w:val="21"/>
        </w:rPr>
        <w:t>，美国社会责任国际</w:t>
      </w:r>
      <w:r>
        <w:rPr>
          <w:rFonts w:ascii="Times New Roman" w:hAnsi="Times New Roman" w:eastAsia="宋体" w:cs="Times New Roman"/>
          <w:szCs w:val="21"/>
        </w:rPr>
        <w:t>（Social Accountability International</w:t>
      </w:r>
      <w:r>
        <w:rPr>
          <w:rFonts w:hint="eastAsia" w:ascii="宋体" w:hAnsi="宋体" w:eastAsia="宋体" w:cs="Times New Roman"/>
          <w:szCs w:val="21"/>
        </w:rPr>
        <w:t>，简称</w:t>
      </w:r>
      <w:r>
        <w:rPr>
          <w:rFonts w:ascii="Times New Roman" w:hAnsi="Times New Roman" w:eastAsia="宋体" w:cs="Times New Roman"/>
          <w:szCs w:val="21"/>
        </w:rPr>
        <w:t>SAI</w:t>
      </w:r>
      <w:r>
        <w:rPr>
          <w:rFonts w:hint="eastAsia" w:ascii="宋体" w:hAnsi="宋体" w:eastAsia="宋体" w:cs="Times New Roman"/>
          <w:szCs w:val="21"/>
        </w:rPr>
        <w:t>）发表了第一个标准的企业社会责任标准SA8000：2001。这是第一个可用于第三方认证的社会责任国际标准。主要内容包括童工、强迫劳动、安全卫生、结社自由和集体谈判权、歧视、惩罚性措施、工作时间、工资报酬及管理体系等九方面内容。目前，在全球范围内，越来越多的消费者开始关注其所购买的产品是否符合SA8000 的标准，否则即使产品价格便宜也予以抵制，而且这种消费倾向在发达国家表现得尤为明显。</w:t>
      </w:r>
    </w:p>
    <w:p w14:paraId="5CFAF07A">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中国作为ILO的成员国，已经批准了24项国际劳工公约，面临着如何执行已批准的国际劳工公约及如何将国际劳工标准与国内劳工标准协调的问题。尽管SA8000的宗旨是好的，但关税和一般非关税壁垒不断被削减的今天，SA8000 非常容易被贸易保护者利用，成为限制发展中国家劳动密集型产品出口的有力工具。中国目前和欧美等国家的贸易摩擦，在很大程度上是因劳工标准惹起的。这里面既存在着国外社会对我国的误解，也存在着我们自身的问题。一方面，中国确实有部分企业肆意践踏劳工标准</w:t>
      </w:r>
      <w:r>
        <w:rPr>
          <w:rFonts w:ascii="宋体" w:hAnsi="宋体" w:eastAsia="宋体" w:cs="Times New Roman"/>
          <w:szCs w:val="21"/>
        </w:rPr>
        <w:t>，</w:t>
      </w:r>
      <w:r>
        <w:rPr>
          <w:rFonts w:hint="eastAsia" w:ascii="宋体" w:hAnsi="宋体" w:eastAsia="宋体" w:cs="Times New Roman"/>
          <w:szCs w:val="21"/>
        </w:rPr>
        <w:t>不遵守最低工资</w:t>
      </w:r>
      <w:r>
        <w:rPr>
          <w:rFonts w:ascii="宋体" w:hAnsi="宋体" w:eastAsia="宋体" w:cs="Times New Roman"/>
          <w:szCs w:val="21"/>
        </w:rPr>
        <w:t>，</w:t>
      </w:r>
      <w:r>
        <w:rPr>
          <w:rFonts w:hint="eastAsia" w:ascii="宋体" w:hAnsi="宋体" w:eastAsia="宋体" w:cs="Times New Roman"/>
          <w:szCs w:val="21"/>
        </w:rPr>
        <w:t>成为血汗工厂的事实，但这种情况并不代表中国企业界的普遍情形。另一方面，我国政府没有运用合理的渠道和国外社会沟通，导致国外社会对我国劳工情况片面了解，产生了不信任情绪。国外企业利用本国公众对中国的猜疑，掀起反倾销，抵制中国产品，造成我国遵守国际劳工标准的企业也受到牵连。由于我国政府对SA8000的认识不足，国外认证机构不能在中国合法营业，而我国出口企业又属于国际大企业供应商，为了业务需要不得不接受国际劳工标准评估，中国企业不得不付出高昂的评估费，评估通过后又不宜在国内公开宣传，从而造成了很大浪费。有鉴于此，我国政府应采取开放心态，积极引进国际劳工评估。第三方评估认证不但可以大大降低我国受评估企业负担的评估费用，还可以推进第三方认证产业的发展。为保持评估认证的公正、透明，评估必须由中国境内评估企业进行。第三方劳工标准评估，可以和我国各地地方政府颁布的最低工资标准结合起来，由于第三方评估是企业基于自愿原则实施的，让优秀企业被公众知晓，让遵守劳动法规成为企业的品牌，就能强化最低工资制度和相关劳动法规在我国的执行。此外，在我国很多产业面临产能过剩的情况下，可以逐步提高最低工资标准，逐步加强执行力度，以便淘汰落后企业，实现优胜劣汰。</w:t>
      </w:r>
    </w:p>
    <w:p w14:paraId="40F781E5">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w:t>
      </w:r>
      <w:r>
        <w:rPr>
          <w:rFonts w:ascii="宋体" w:hAnsi="宋体" w:eastAsia="宋体" w:cs="Times New Roman"/>
          <w:szCs w:val="21"/>
        </w:rPr>
        <w:t>.</w:t>
      </w:r>
      <w:r>
        <w:rPr>
          <w:rFonts w:hint="eastAsia" w:ascii="宋体" w:hAnsi="宋体" w:eastAsia="宋体" w:cs="Times New Roman"/>
          <w:szCs w:val="21"/>
        </w:rPr>
        <w:t>建立合理的工资增长机制。我国自改革开放以来，逐步建立了工资决定的市场机制。但政府对工资的调节机制并没有相应跟进。在当前劳动收入份额不断下滑的情况下，可以通过政府的工资调节机制矫正市场工资决定机制，使政府力量和市场力量相结合，形成合理的工资增长机制。合理的工资增长机制包括两方面内容：</w:t>
      </w:r>
    </w:p>
    <w:p w14:paraId="5C1D8ECB">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1）职工工资增长的指数化。从劳动报酬的绝对量来看，劳动报酬应当使劳动者及其家庭维持一个不断进步的社会最低生活水平以上的收入量。要使劳动报酬增长与GDP增长大体同步，必须采用指数化工资，即每年参照GDP的增长率制定工资的增长率。</w:t>
      </w:r>
    </w:p>
    <w:p w14:paraId="1A12B423">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2）高层管理人员薪酬增长和职工工资增长等指标挂钩。近年来我国劳动收入份额出现降低，但企业高层管理人员薪酬增长却很快。企业高层管理人员薪酬的快速增长，拉大了国民收入差距。政府应当严格限制高层管理人员的薪酬增长。政府可以出台法规，规定企业高管层薪酬（含变相收入即福利）和职工工资增长、企业劳动生产率、利润增长保持一定比例。</w:t>
      </w:r>
    </w:p>
    <w:p w14:paraId="26CF65BC">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三）转变经济增长方式，提高劳动收入份额借助政府和工会的力量在短期可以实现劳动收入份额的提高，但在长期，必须提高经济效率。要提高我国的经济效率，必须转变经济增长方式。我国的经济增长一直以来都是靠高积累、高投资推动。在计划经济年代，高积累、高投资的主体是国家；而在向社会主义市场经济转轨的过程中，高积累、高投资的的主体既有国有、集体企业，也有民营企业。在市场经济条件下，高积累、高投资表现为新增价值分配中，资本收入份额较高，而劳动收入份额较低，这必然会降低劳动收入份额，压缩国内消费，不能发挥出国内居民消费对经济的贡献。</w:t>
      </w:r>
    </w:p>
    <w:p w14:paraId="11B472E2">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正因为我国长期实行高积累、高投资的发展战略，劳动收入份额在国民收入中的比重增长缓慢甚至下降，居民消费对经济增长的拉动作用有限。在我国的高积累、高投资的增长模式下，投资回报率很低，经济增长对人民群众的生活水平提高作用有限。如果我国现在严格实施最低工资制度，劳动收入份额就会逐步提高，高投资、低回报率的增长模式就会得到一定程度的转变。企业提高资本使用效率，逐渐转向高附加价值的产品和产业，可以实现劳动收入份额提高和产业结构升级相互促进、良性循环。这也是我国产业发展走出粗放型发展，进入集约化经营的重要条件。实现产业发展的这一转变有两方面的好处，一方面会提高内需对经济增长的带动作用，另一方面可以在很大程度上降低我国外贸依存度。当然，在这一过程中，政府必须推动教育的普及和劳动力质量的提高，为产业结构升级提供条件。综上所述，只有充分发挥政府和工会两大经济主体的作用，通过严格实施最低工资制度，建立合理的工资增长机制，实现经济增长方式的转变，才能不断提高劳动者收入份额。这也是降低我国收入差距，扩大内需，降低外贸依存度，实现产业结构升级的必然要求。</w:t>
      </w:r>
    </w:p>
    <w:p w14:paraId="60839C71">
      <w:pPr>
        <w:widowControl/>
        <w:spacing w:line="400" w:lineRule="exact"/>
        <w:ind w:firstLine="420" w:firstLineChars="200"/>
        <w:rPr>
          <w:rFonts w:ascii="宋体" w:hAnsi="宋体" w:eastAsia="宋体" w:cs="Times New Roman"/>
          <w:szCs w:val="21"/>
        </w:rPr>
      </w:pPr>
    </w:p>
    <w:p w14:paraId="3B75A077">
      <w:pPr>
        <w:widowControl/>
        <w:spacing w:line="400" w:lineRule="exact"/>
        <w:ind w:firstLine="420" w:firstLineChars="200"/>
        <w:rPr>
          <w:rFonts w:ascii="宋体" w:hAnsi="宋体" w:eastAsia="宋体" w:cs="Times New Roman"/>
          <w:b/>
          <w:szCs w:val="21"/>
        </w:rPr>
      </w:pPr>
      <w:r>
        <w:rPr>
          <w:rFonts w:hint="eastAsia" w:ascii="宋体" w:hAnsi="宋体" w:eastAsia="宋体" w:cs="Times New Roman"/>
          <w:b/>
          <w:szCs w:val="21"/>
        </w:rPr>
        <w:t>参考文献：</w:t>
      </w:r>
    </w:p>
    <w:p w14:paraId="5DD57B4A">
      <w:pPr>
        <w:widowControl/>
        <w:spacing w:line="400" w:lineRule="exact"/>
        <w:ind w:firstLine="360" w:firstLineChars="200"/>
        <w:rPr>
          <w:rFonts w:ascii="宋体" w:hAnsi="宋体" w:eastAsia="宋体" w:cs="Times New Roman"/>
          <w:sz w:val="18"/>
          <w:szCs w:val="18"/>
        </w:rPr>
      </w:pPr>
      <w:r>
        <w:rPr>
          <w:rFonts w:hint="eastAsia" w:ascii="宋体" w:hAnsi="宋体" w:eastAsia="宋体" w:cs="Times New Roman"/>
          <w:sz w:val="18"/>
          <w:szCs w:val="18"/>
        </w:rPr>
        <w:t>[1]白重恩，钱震杰：《谁在挤占居民的收入</w:t>
      </w:r>
      <w:r>
        <w:rPr>
          <w:rFonts w:hint="eastAsia" w:ascii="宋体" w:hAnsi="宋体" w:eastAsia="宋体" w:cs="MS Mincho"/>
          <w:sz w:val="18"/>
          <w:szCs w:val="18"/>
        </w:rPr>
        <w:t>——</w:t>
      </w:r>
      <w:r>
        <w:rPr>
          <w:rFonts w:hint="eastAsia" w:ascii="宋体" w:hAnsi="宋体" w:eastAsia="宋体" w:cs="Times New Roman"/>
          <w:sz w:val="18"/>
          <w:szCs w:val="18"/>
        </w:rPr>
        <w:t>中国国民收入分配格局分析》，《中国社会科学》</w:t>
      </w:r>
      <w:r>
        <w:rPr>
          <w:rFonts w:ascii="宋体" w:hAnsi="宋体" w:eastAsia="宋体" w:cs="Times New Roman"/>
          <w:sz w:val="18"/>
          <w:szCs w:val="18"/>
        </w:rPr>
        <w:t>2009</w:t>
      </w:r>
      <w:r>
        <w:rPr>
          <w:rFonts w:hint="eastAsia" w:ascii="宋体" w:hAnsi="宋体" w:eastAsia="宋体" w:cs="Times New Roman"/>
          <w:sz w:val="18"/>
          <w:szCs w:val="18"/>
        </w:rPr>
        <w:t>年第5期。</w:t>
      </w:r>
    </w:p>
    <w:p w14:paraId="4D4CAFC8">
      <w:pPr>
        <w:widowControl/>
        <w:spacing w:line="400" w:lineRule="exact"/>
        <w:ind w:firstLine="420" w:firstLineChars="200"/>
        <w:rPr>
          <w:rFonts w:ascii="宋体" w:hAnsi="宋体" w:eastAsia="宋体" w:cs="Times New Roman"/>
          <w:szCs w:val="21"/>
        </w:rPr>
      </w:pPr>
      <w:r>
        <w:rPr>
          <w:rFonts w:hint="eastAsia" w:ascii="宋体" w:hAnsi="宋体" w:eastAsia="宋体" w:cs="Times New Roman"/>
          <w:szCs w:val="21"/>
        </w:rPr>
        <w:t>（原载于《经济学动态》</w:t>
      </w:r>
      <w:r>
        <w:rPr>
          <w:rFonts w:ascii="宋体" w:hAnsi="宋体" w:eastAsia="宋体" w:cs="Times New Roman"/>
          <w:szCs w:val="21"/>
        </w:rPr>
        <w:t>2010年第11期，第二作者为胡靖春）</w:t>
      </w:r>
    </w:p>
    <w:p w14:paraId="0A0AD2A5">
      <w:pPr>
        <w:widowControl/>
        <w:spacing w:line="400" w:lineRule="exact"/>
        <w:ind w:firstLine="420" w:firstLineChars="200"/>
        <w:rPr>
          <w:rFonts w:ascii="宋体" w:hAnsi="宋体" w:eastAsia="宋体" w:cs="Times New Roman"/>
          <w:szCs w:val="21"/>
        </w:rPr>
      </w:pPr>
      <w:r>
        <w:rPr>
          <w:rFonts w:ascii="宋体" w:hAnsi="宋体" w:eastAsia="宋体" w:cs="Times New Roman"/>
          <w:szCs w:val="21"/>
        </w:rPr>
        <w:br w:type="page"/>
      </w:r>
    </w:p>
    <w:p w14:paraId="053B02D9">
      <w:pPr>
        <w:keepNext/>
        <w:keepLines/>
        <w:spacing w:line="480" w:lineRule="auto"/>
        <w:ind w:firstLine="640" w:firstLineChars="200"/>
        <w:jc w:val="center"/>
        <w:outlineLvl w:val="1"/>
        <w:rPr>
          <w:rFonts w:ascii="黑体" w:hAnsi="黑体" w:eastAsia="黑体" w:cs="Times New Roman"/>
          <w:kern w:val="28"/>
          <w:sz w:val="32"/>
          <w:szCs w:val="24"/>
        </w:rPr>
      </w:pPr>
      <w:bookmarkStart w:id="1144" w:name="_Toc31776"/>
      <w:bookmarkStart w:id="1145" w:name="_Toc458522583"/>
      <w:bookmarkStart w:id="1146" w:name="_Toc201739968"/>
      <w:r>
        <w:rPr>
          <w:rFonts w:hint="eastAsia" w:ascii="黑体" w:hAnsi="黑体" w:eastAsia="黑体" w:cs="Times New Roman"/>
          <w:kern w:val="28"/>
          <w:sz w:val="32"/>
          <w:szCs w:val="24"/>
        </w:rPr>
        <w:t>1</w:t>
      </w:r>
      <w:r>
        <w:rPr>
          <w:rFonts w:ascii="黑体" w:hAnsi="黑体" w:eastAsia="黑体" w:cs="Times New Roman"/>
          <w:kern w:val="28"/>
          <w:sz w:val="32"/>
          <w:szCs w:val="24"/>
        </w:rPr>
        <w:t>8</w:t>
      </w:r>
      <w:r>
        <w:rPr>
          <w:rFonts w:hint="eastAsia" w:ascii="黑体" w:hAnsi="黑体" w:eastAsia="黑体" w:cs="Times New Roman"/>
          <w:kern w:val="28"/>
          <w:sz w:val="32"/>
          <w:szCs w:val="24"/>
        </w:rPr>
        <w:t>关于劳动收入分配若干问题的思考</w:t>
      </w:r>
      <w:bookmarkEnd w:id="1144"/>
      <w:bookmarkEnd w:id="1145"/>
      <w:bookmarkEnd w:id="1146"/>
    </w:p>
    <w:p w14:paraId="472403AC">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金融危机之后</w:t>
      </w:r>
      <w:r>
        <w:rPr>
          <w:rFonts w:ascii="宋体" w:hAnsi="宋体" w:eastAsia="宋体" w:cs="宋体"/>
          <w:kern w:val="0"/>
          <w:szCs w:val="21"/>
        </w:rPr>
        <w:t>，</w:t>
      </w:r>
      <w:r>
        <w:rPr>
          <w:rFonts w:hint="eastAsia" w:ascii="宋体" w:hAnsi="宋体" w:eastAsia="宋体" w:cs="宋体"/>
          <w:kern w:val="0"/>
          <w:szCs w:val="21"/>
        </w:rPr>
        <w:t>我国政府出台的各项大力刺激经济增长政策仍然是以投资为主</w:t>
      </w:r>
      <w:r>
        <w:rPr>
          <w:rFonts w:ascii="宋体" w:hAnsi="宋体" w:eastAsia="宋体" w:cs="宋体"/>
          <w:kern w:val="0"/>
          <w:szCs w:val="21"/>
        </w:rPr>
        <w:t>，</w:t>
      </w:r>
      <w:r>
        <w:rPr>
          <w:rFonts w:hint="eastAsia" w:ascii="宋体" w:hAnsi="宋体" w:eastAsia="宋体" w:cs="宋体"/>
          <w:kern w:val="0"/>
          <w:szCs w:val="21"/>
        </w:rPr>
        <w:t>国内需求的低迷是制约我国经济未来长期增长的瓶颈。与发达国家相比</w:t>
      </w:r>
      <w:r>
        <w:rPr>
          <w:rFonts w:ascii="宋体" w:hAnsi="宋体" w:eastAsia="宋体" w:cs="宋体"/>
          <w:kern w:val="0"/>
          <w:szCs w:val="21"/>
        </w:rPr>
        <w:t>，</w:t>
      </w:r>
      <w:r>
        <w:rPr>
          <w:rFonts w:hint="eastAsia" w:ascii="宋体" w:hAnsi="宋体" w:eastAsia="宋体" w:cs="宋体"/>
          <w:kern w:val="0"/>
          <w:szCs w:val="21"/>
        </w:rPr>
        <w:t>我国消费支出的比例明显偏低。究其原因</w:t>
      </w:r>
      <w:r>
        <w:rPr>
          <w:rFonts w:ascii="宋体" w:hAnsi="宋体" w:eastAsia="宋体" w:cs="宋体"/>
          <w:kern w:val="0"/>
          <w:szCs w:val="21"/>
        </w:rPr>
        <w:t>，</w:t>
      </w:r>
      <w:r>
        <w:rPr>
          <w:rFonts w:hint="eastAsia" w:ascii="宋体" w:hAnsi="宋体" w:eastAsia="宋体" w:cs="宋体"/>
          <w:kern w:val="0"/>
          <w:szCs w:val="21"/>
        </w:rPr>
        <w:t>居民收入偏低尤其是劳动收入份额的下降是制约消费增长的最主要因素。</w:t>
      </w:r>
    </w:p>
    <w:p w14:paraId="627B47CD">
      <w:pPr>
        <w:autoSpaceDE w:val="0"/>
        <w:autoSpaceDN w:val="0"/>
        <w:spacing w:line="360" w:lineRule="auto"/>
        <w:ind w:firstLine="504"/>
        <w:jc w:val="center"/>
        <w:rPr>
          <w:rFonts w:ascii="宋体" w:hAnsi="宋体" w:eastAsia="宋体" w:cs="Times New Roman"/>
          <w:b/>
          <w:bCs/>
          <w:sz w:val="24"/>
        </w:rPr>
      </w:pPr>
      <w:r>
        <w:rPr>
          <w:rFonts w:hint="eastAsia" w:ascii="宋体" w:hAnsi="宋体" w:eastAsia="宋体" w:cs="Times New Roman"/>
          <w:b/>
          <w:bCs/>
          <w:sz w:val="24"/>
        </w:rPr>
        <w:t>一、关于我国居民劳动收入分配的现状</w:t>
      </w:r>
    </w:p>
    <w:p w14:paraId="21C0DE90">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自从上世纪</w:t>
      </w:r>
      <w:r>
        <w:rPr>
          <w:rFonts w:ascii="宋体" w:hAnsi="宋体" w:eastAsia="宋体" w:cs="宋体"/>
          <w:kern w:val="0"/>
          <w:szCs w:val="21"/>
        </w:rPr>
        <w:t>90</w:t>
      </w:r>
      <w:r>
        <w:rPr>
          <w:rFonts w:hint="eastAsia" w:ascii="宋体" w:hAnsi="宋体" w:eastAsia="宋体" w:cs="宋体"/>
          <w:kern w:val="0"/>
          <w:szCs w:val="21"/>
        </w:rPr>
        <w:t>年代以来我国劳动收入份额一直呈下降的趋势。李稻葵等人</w:t>
      </w:r>
      <w:r>
        <w:rPr>
          <w:rFonts w:ascii="宋体" w:hAnsi="宋体" w:eastAsia="宋体" w:cs="宋体"/>
          <w:kern w:val="0"/>
          <w:szCs w:val="21"/>
        </w:rPr>
        <w:t>（2009）</w:t>
      </w:r>
      <w:r>
        <w:rPr>
          <w:rFonts w:hint="eastAsia" w:ascii="宋体" w:hAnsi="宋体" w:eastAsia="宋体" w:cs="宋体"/>
          <w:kern w:val="0"/>
          <w:szCs w:val="21"/>
        </w:rPr>
        <w:t>的研究表明</w:t>
      </w:r>
      <w:r>
        <w:rPr>
          <w:rFonts w:ascii="宋体" w:hAnsi="宋体" w:eastAsia="宋体" w:cs="宋体"/>
          <w:kern w:val="0"/>
          <w:szCs w:val="21"/>
        </w:rPr>
        <w:t>，</w:t>
      </w:r>
      <w:r>
        <w:rPr>
          <w:rFonts w:hint="eastAsia" w:ascii="宋体" w:hAnsi="宋体" w:eastAsia="宋体" w:cs="宋体"/>
          <w:kern w:val="0"/>
          <w:szCs w:val="21"/>
        </w:rPr>
        <w:t>我国初次分配中劳动份额从</w:t>
      </w:r>
      <w:r>
        <w:rPr>
          <w:rFonts w:ascii="宋体" w:hAnsi="宋体" w:eastAsia="宋体" w:cs="宋体"/>
          <w:kern w:val="0"/>
          <w:szCs w:val="21"/>
        </w:rPr>
        <w:t>1992</w:t>
      </w:r>
      <w:r>
        <w:rPr>
          <w:rFonts w:hint="eastAsia" w:ascii="宋体" w:hAnsi="宋体" w:eastAsia="宋体" w:cs="宋体"/>
          <w:kern w:val="0"/>
          <w:szCs w:val="21"/>
        </w:rPr>
        <w:t>年开始到</w:t>
      </w:r>
      <w:r>
        <w:rPr>
          <w:rFonts w:ascii="宋体" w:hAnsi="宋体" w:eastAsia="宋体" w:cs="宋体"/>
          <w:kern w:val="0"/>
          <w:szCs w:val="21"/>
        </w:rPr>
        <w:t>1996</w:t>
      </w:r>
      <w:r>
        <w:rPr>
          <w:rFonts w:hint="eastAsia" w:ascii="宋体" w:hAnsi="宋体" w:eastAsia="宋体" w:cs="宋体"/>
          <w:kern w:val="0"/>
          <w:szCs w:val="21"/>
        </w:rPr>
        <w:t>年略有上升</w:t>
      </w:r>
      <w:r>
        <w:rPr>
          <w:rFonts w:ascii="宋体" w:hAnsi="宋体" w:eastAsia="宋体" w:cs="宋体"/>
          <w:kern w:val="0"/>
          <w:szCs w:val="21"/>
        </w:rPr>
        <w:t>，</w:t>
      </w:r>
      <w:r>
        <w:rPr>
          <w:rFonts w:hint="eastAsia" w:ascii="宋体" w:hAnsi="宋体" w:eastAsia="宋体" w:cs="宋体"/>
          <w:kern w:val="0"/>
          <w:szCs w:val="21"/>
        </w:rPr>
        <w:t>然后逐步下降。</w:t>
      </w:r>
      <w:r>
        <w:rPr>
          <w:rFonts w:ascii="宋体" w:hAnsi="宋体" w:eastAsia="宋体" w:cs="宋体"/>
          <w:kern w:val="0"/>
          <w:szCs w:val="21"/>
        </w:rPr>
        <w:t>1999</w:t>
      </w:r>
      <w:r>
        <w:rPr>
          <w:rFonts w:hint="eastAsia" w:ascii="宋体" w:hAnsi="宋体" w:eastAsia="宋体" w:cs="宋体"/>
          <w:kern w:val="0"/>
          <w:szCs w:val="21"/>
        </w:rPr>
        <w:t>年我国劳动收入份额比重约为</w:t>
      </w:r>
      <w:r>
        <w:rPr>
          <w:rFonts w:ascii="宋体" w:hAnsi="宋体" w:eastAsia="宋体" w:cs="宋体"/>
          <w:kern w:val="0"/>
          <w:szCs w:val="21"/>
        </w:rPr>
        <w:t>54%，</w:t>
      </w:r>
      <w:r>
        <w:rPr>
          <w:rFonts w:hint="eastAsia" w:ascii="宋体" w:hAnsi="宋体" w:eastAsia="宋体" w:cs="宋体"/>
          <w:kern w:val="0"/>
          <w:szCs w:val="21"/>
        </w:rPr>
        <w:t>但到</w:t>
      </w:r>
      <w:r>
        <w:rPr>
          <w:rFonts w:ascii="宋体" w:hAnsi="宋体" w:eastAsia="宋体" w:cs="宋体"/>
          <w:kern w:val="0"/>
          <w:szCs w:val="21"/>
        </w:rPr>
        <w:t>2006</w:t>
      </w:r>
      <w:r>
        <w:rPr>
          <w:rFonts w:hint="eastAsia" w:ascii="宋体" w:hAnsi="宋体" w:eastAsia="宋体" w:cs="宋体"/>
          <w:kern w:val="0"/>
          <w:szCs w:val="21"/>
        </w:rPr>
        <w:t>年时已经下降到了</w:t>
      </w:r>
      <w:r>
        <w:rPr>
          <w:rFonts w:ascii="宋体" w:hAnsi="宋体" w:eastAsia="宋体" w:cs="宋体"/>
          <w:kern w:val="0"/>
          <w:szCs w:val="21"/>
        </w:rPr>
        <w:t>50%</w:t>
      </w:r>
      <w:r>
        <w:rPr>
          <w:rFonts w:hint="eastAsia" w:ascii="宋体" w:hAnsi="宋体" w:eastAsia="宋体" w:cs="宋体"/>
          <w:kern w:val="0"/>
          <w:szCs w:val="21"/>
        </w:rPr>
        <w:t>以下。白重恩、钱震杰</w:t>
      </w:r>
      <w:r>
        <w:rPr>
          <w:rFonts w:ascii="宋体" w:hAnsi="宋体" w:eastAsia="宋体" w:cs="宋体"/>
          <w:kern w:val="0"/>
          <w:szCs w:val="21"/>
        </w:rPr>
        <w:t>（2009）</w:t>
      </w:r>
      <w:r>
        <w:rPr>
          <w:rFonts w:hint="eastAsia" w:ascii="宋体" w:hAnsi="宋体" w:eastAsia="宋体" w:cs="宋体"/>
          <w:kern w:val="0"/>
          <w:szCs w:val="21"/>
        </w:rPr>
        <w:t>的研究表明</w:t>
      </w:r>
      <w:r>
        <w:rPr>
          <w:rFonts w:ascii="宋体" w:hAnsi="宋体" w:eastAsia="宋体" w:cs="宋体"/>
          <w:kern w:val="0"/>
          <w:szCs w:val="21"/>
        </w:rPr>
        <w:t>，1978</w:t>
      </w:r>
      <w:r>
        <w:rPr>
          <w:rFonts w:hint="eastAsia" w:ascii="宋体" w:hAnsi="宋体" w:eastAsia="宋体" w:cs="宋体"/>
          <w:kern w:val="0"/>
          <w:szCs w:val="21"/>
        </w:rPr>
        <w:t>年我国劳动收入份额约为</w:t>
      </w:r>
      <w:r>
        <w:rPr>
          <w:rFonts w:ascii="宋体" w:hAnsi="宋体" w:eastAsia="宋体" w:cs="宋体"/>
          <w:kern w:val="0"/>
          <w:szCs w:val="21"/>
        </w:rPr>
        <w:t>50%，</w:t>
      </w:r>
      <w:r>
        <w:rPr>
          <w:rFonts w:hint="eastAsia" w:ascii="宋体" w:hAnsi="宋体" w:eastAsia="宋体" w:cs="宋体"/>
          <w:kern w:val="0"/>
          <w:szCs w:val="21"/>
        </w:rPr>
        <w:t>此后十年略有上升</w:t>
      </w:r>
      <w:r>
        <w:rPr>
          <w:rFonts w:ascii="宋体" w:hAnsi="宋体" w:eastAsia="宋体" w:cs="宋体"/>
          <w:kern w:val="0"/>
          <w:szCs w:val="21"/>
        </w:rPr>
        <w:t>，</w:t>
      </w:r>
      <w:r>
        <w:rPr>
          <w:rFonts w:hint="eastAsia" w:ascii="宋体" w:hAnsi="宋体" w:eastAsia="宋体" w:cs="宋体"/>
          <w:kern w:val="0"/>
          <w:szCs w:val="21"/>
        </w:rPr>
        <w:t>但自</w:t>
      </w:r>
      <w:r>
        <w:rPr>
          <w:rFonts w:ascii="宋体" w:hAnsi="宋体" w:eastAsia="宋体" w:cs="宋体"/>
          <w:kern w:val="0"/>
          <w:szCs w:val="21"/>
        </w:rPr>
        <w:t>1990</w:t>
      </w:r>
      <w:r>
        <w:rPr>
          <w:rFonts w:hint="eastAsia" w:ascii="宋体" w:hAnsi="宋体" w:eastAsia="宋体" w:cs="宋体"/>
          <w:kern w:val="0"/>
          <w:szCs w:val="21"/>
        </w:rPr>
        <w:t>年以来缓慢下降</w:t>
      </w:r>
      <w:r>
        <w:rPr>
          <w:rFonts w:ascii="宋体" w:hAnsi="宋体" w:eastAsia="宋体" w:cs="宋体"/>
          <w:kern w:val="0"/>
          <w:szCs w:val="21"/>
        </w:rPr>
        <w:t>，2004</w:t>
      </w:r>
      <w:r>
        <w:rPr>
          <w:rFonts w:hint="eastAsia" w:ascii="宋体" w:hAnsi="宋体" w:eastAsia="宋体" w:cs="宋体"/>
          <w:kern w:val="0"/>
          <w:szCs w:val="21"/>
        </w:rPr>
        <w:t>年以来下降趋势尤为明显</w:t>
      </w:r>
      <w:r>
        <w:rPr>
          <w:rFonts w:ascii="宋体" w:hAnsi="宋体" w:eastAsia="宋体" w:cs="宋体"/>
          <w:kern w:val="0"/>
          <w:szCs w:val="21"/>
        </w:rPr>
        <w:t>，2006</w:t>
      </w:r>
      <w:r>
        <w:rPr>
          <w:rFonts w:hint="eastAsia" w:ascii="宋体" w:hAnsi="宋体" w:eastAsia="宋体" w:cs="宋体"/>
          <w:kern w:val="0"/>
          <w:szCs w:val="21"/>
        </w:rPr>
        <w:t>年这一数值已降至</w:t>
      </w:r>
      <w:r>
        <w:rPr>
          <w:rFonts w:ascii="宋体" w:hAnsi="宋体" w:eastAsia="宋体" w:cs="宋体"/>
          <w:kern w:val="0"/>
          <w:szCs w:val="21"/>
        </w:rPr>
        <w:t>47.31%</w:t>
      </w:r>
      <w:r>
        <w:rPr>
          <w:rFonts w:hint="eastAsia" w:ascii="宋体" w:hAnsi="宋体" w:eastAsia="宋体" w:cs="宋体"/>
          <w:kern w:val="0"/>
          <w:szCs w:val="21"/>
        </w:rPr>
        <w:t>。这些研究数据都表明</w:t>
      </w:r>
      <w:r>
        <w:rPr>
          <w:rFonts w:ascii="宋体" w:hAnsi="宋体" w:eastAsia="宋体" w:cs="宋体"/>
          <w:kern w:val="0"/>
          <w:szCs w:val="21"/>
        </w:rPr>
        <w:t>，</w:t>
      </w:r>
      <w:r>
        <w:rPr>
          <w:rFonts w:hint="eastAsia" w:ascii="宋体" w:hAnsi="宋体" w:eastAsia="宋体" w:cs="宋体"/>
          <w:kern w:val="0"/>
          <w:szCs w:val="21"/>
        </w:rPr>
        <w:t>我国劳动收入份额已经下降到了历史最低水平。</w:t>
      </w:r>
      <w:r>
        <w:rPr>
          <w:rFonts w:ascii="宋体" w:hAnsi="宋体" w:eastAsia="宋体" w:cs="宋体"/>
          <w:kern w:val="0"/>
          <w:szCs w:val="21"/>
        </w:rPr>
        <w:t xml:space="preserve">  </w:t>
      </w:r>
    </w:p>
    <w:p w14:paraId="0ED747B5">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另外一些学者的研究也表明我国劳动收入降低到了历史最低水平。赵俊康</w:t>
      </w:r>
      <w:r>
        <w:rPr>
          <w:rFonts w:ascii="宋体" w:hAnsi="宋体" w:eastAsia="宋体" w:cs="宋体"/>
          <w:kern w:val="0"/>
          <w:szCs w:val="21"/>
        </w:rPr>
        <w:t>（2006）</w:t>
      </w:r>
      <w:r>
        <w:rPr>
          <w:rFonts w:hint="eastAsia" w:ascii="宋体" w:hAnsi="宋体" w:eastAsia="宋体" w:cs="宋体"/>
          <w:kern w:val="0"/>
          <w:szCs w:val="21"/>
        </w:rPr>
        <w:t>的研究表明</w:t>
      </w:r>
      <w:r>
        <w:rPr>
          <w:rFonts w:ascii="宋体" w:hAnsi="宋体" w:eastAsia="宋体" w:cs="宋体"/>
          <w:kern w:val="0"/>
          <w:szCs w:val="21"/>
        </w:rPr>
        <w:t>，</w:t>
      </w:r>
      <w:r>
        <w:rPr>
          <w:rFonts w:hint="eastAsia" w:ascii="宋体" w:hAnsi="宋体" w:eastAsia="宋体" w:cs="宋体"/>
          <w:kern w:val="0"/>
          <w:szCs w:val="21"/>
        </w:rPr>
        <w:t>从</w:t>
      </w:r>
      <w:r>
        <w:rPr>
          <w:rFonts w:ascii="宋体" w:hAnsi="宋体" w:eastAsia="宋体" w:cs="宋体"/>
          <w:kern w:val="0"/>
          <w:szCs w:val="21"/>
        </w:rPr>
        <w:t>1996</w:t>
      </w:r>
      <w:r>
        <w:rPr>
          <w:rFonts w:hint="eastAsia" w:ascii="宋体" w:hAnsi="宋体" w:eastAsia="宋体" w:cs="宋体"/>
          <w:kern w:val="0"/>
          <w:szCs w:val="21"/>
        </w:rPr>
        <w:t>年到</w:t>
      </w:r>
      <w:r>
        <w:rPr>
          <w:rFonts w:ascii="宋体" w:hAnsi="宋体" w:eastAsia="宋体" w:cs="宋体"/>
          <w:kern w:val="0"/>
          <w:szCs w:val="21"/>
        </w:rPr>
        <w:t>2003</w:t>
      </w:r>
      <w:r>
        <w:rPr>
          <w:rFonts w:hint="eastAsia" w:ascii="宋体" w:hAnsi="宋体" w:eastAsia="宋体" w:cs="宋体"/>
          <w:kern w:val="0"/>
          <w:szCs w:val="21"/>
        </w:rPr>
        <w:t>年</w:t>
      </w:r>
      <w:r>
        <w:rPr>
          <w:rFonts w:ascii="宋体" w:hAnsi="宋体" w:eastAsia="宋体" w:cs="宋体"/>
          <w:kern w:val="0"/>
          <w:szCs w:val="21"/>
        </w:rPr>
        <w:t>，</w:t>
      </w:r>
      <w:r>
        <w:rPr>
          <w:rFonts w:hint="eastAsia" w:ascii="宋体" w:hAnsi="宋体" w:eastAsia="宋体" w:cs="宋体"/>
          <w:kern w:val="0"/>
          <w:szCs w:val="21"/>
        </w:rPr>
        <w:t>我国城乡就业人员增加了</w:t>
      </w:r>
      <w:r>
        <w:rPr>
          <w:rFonts w:ascii="宋体" w:hAnsi="宋体" w:eastAsia="宋体" w:cs="宋体"/>
          <w:kern w:val="0"/>
          <w:szCs w:val="21"/>
        </w:rPr>
        <w:t>5482</w:t>
      </w:r>
      <w:r>
        <w:rPr>
          <w:rFonts w:hint="eastAsia" w:ascii="宋体" w:hAnsi="宋体" w:eastAsia="宋体" w:cs="宋体"/>
          <w:kern w:val="0"/>
          <w:szCs w:val="21"/>
        </w:rPr>
        <w:t>万人</w:t>
      </w:r>
      <w:r>
        <w:rPr>
          <w:rFonts w:ascii="宋体" w:hAnsi="宋体" w:eastAsia="宋体" w:cs="宋体"/>
          <w:kern w:val="0"/>
          <w:szCs w:val="21"/>
        </w:rPr>
        <w:t>，</w:t>
      </w:r>
      <w:r>
        <w:rPr>
          <w:rFonts w:hint="eastAsia" w:ascii="宋体" w:hAnsi="宋体" w:eastAsia="宋体" w:cs="宋体"/>
          <w:kern w:val="0"/>
          <w:szCs w:val="21"/>
        </w:rPr>
        <w:t>劳动报酬却从</w:t>
      </w:r>
      <w:r>
        <w:rPr>
          <w:rFonts w:ascii="宋体" w:hAnsi="宋体" w:eastAsia="宋体" w:cs="宋体"/>
          <w:kern w:val="0"/>
          <w:szCs w:val="21"/>
        </w:rPr>
        <w:t>54.3%</w:t>
      </w:r>
      <w:r>
        <w:rPr>
          <w:rFonts w:hint="eastAsia" w:ascii="宋体" w:hAnsi="宋体" w:eastAsia="宋体" w:cs="宋体"/>
          <w:kern w:val="0"/>
          <w:szCs w:val="21"/>
        </w:rPr>
        <w:t>下降到了</w:t>
      </w:r>
      <w:r>
        <w:rPr>
          <w:rFonts w:ascii="宋体" w:hAnsi="宋体" w:eastAsia="宋体" w:cs="宋体"/>
          <w:kern w:val="0"/>
          <w:szCs w:val="21"/>
        </w:rPr>
        <w:t>49.62%</w:t>
      </w:r>
      <w:r>
        <w:rPr>
          <w:rFonts w:hint="eastAsia" w:ascii="宋体" w:hAnsi="宋体" w:eastAsia="宋体" w:cs="宋体"/>
          <w:kern w:val="0"/>
          <w:szCs w:val="21"/>
        </w:rPr>
        <w:t>。除内蒙古、辽宁、浙江和山东外</w:t>
      </w:r>
      <w:r>
        <w:rPr>
          <w:rFonts w:ascii="宋体" w:hAnsi="宋体" w:eastAsia="宋体" w:cs="宋体"/>
          <w:kern w:val="0"/>
          <w:szCs w:val="21"/>
        </w:rPr>
        <w:t>，27</w:t>
      </w:r>
      <w:r>
        <w:rPr>
          <w:rFonts w:hint="eastAsia" w:ascii="宋体" w:hAnsi="宋体" w:eastAsia="宋体" w:cs="宋体"/>
          <w:kern w:val="0"/>
          <w:szCs w:val="21"/>
        </w:rPr>
        <w:t>个省市的劳动报酬都有不同程度下降。徐现祥、王海港</w:t>
      </w:r>
      <w:r>
        <w:rPr>
          <w:rFonts w:ascii="宋体" w:hAnsi="宋体" w:eastAsia="宋体" w:cs="宋体"/>
          <w:kern w:val="0"/>
          <w:szCs w:val="21"/>
        </w:rPr>
        <w:t>（2008）</w:t>
      </w:r>
      <w:r>
        <w:rPr>
          <w:rFonts w:hint="eastAsia" w:ascii="宋体" w:hAnsi="宋体" w:eastAsia="宋体" w:cs="宋体"/>
          <w:kern w:val="0"/>
          <w:szCs w:val="21"/>
        </w:rPr>
        <w:t>的研究表明</w:t>
      </w:r>
      <w:r>
        <w:rPr>
          <w:rFonts w:ascii="宋体" w:hAnsi="宋体" w:eastAsia="宋体" w:cs="宋体"/>
          <w:kern w:val="0"/>
          <w:szCs w:val="21"/>
        </w:rPr>
        <w:t>，1978-2002</w:t>
      </w:r>
      <w:r>
        <w:rPr>
          <w:rFonts w:hint="eastAsia" w:ascii="宋体" w:hAnsi="宋体" w:eastAsia="宋体" w:cs="宋体"/>
          <w:kern w:val="0"/>
          <w:szCs w:val="21"/>
        </w:rPr>
        <w:t>年我国初次分配中的收入分布不断向右平移</w:t>
      </w:r>
      <w:r>
        <w:rPr>
          <w:rFonts w:ascii="宋体" w:hAnsi="宋体" w:eastAsia="宋体" w:cs="宋体"/>
          <w:kern w:val="0"/>
          <w:szCs w:val="21"/>
        </w:rPr>
        <w:t>，</w:t>
      </w:r>
      <w:r>
        <w:rPr>
          <w:rFonts w:hint="eastAsia" w:ascii="宋体" w:hAnsi="宋体" w:eastAsia="宋体" w:cs="宋体"/>
          <w:kern w:val="0"/>
          <w:szCs w:val="21"/>
        </w:rPr>
        <w:t>资本所得普遍增长</w:t>
      </w:r>
      <w:r>
        <w:rPr>
          <w:rFonts w:ascii="宋体" w:hAnsi="宋体" w:eastAsia="宋体" w:cs="宋体"/>
          <w:kern w:val="0"/>
          <w:szCs w:val="21"/>
        </w:rPr>
        <w:t>，</w:t>
      </w:r>
      <w:r>
        <w:rPr>
          <w:rFonts w:hint="eastAsia" w:ascii="宋体" w:hAnsi="宋体" w:eastAsia="宋体" w:cs="宋体"/>
          <w:kern w:val="0"/>
          <w:szCs w:val="21"/>
        </w:rPr>
        <w:t>劳动收入不断下降。罗长远、张军</w:t>
      </w:r>
      <w:r>
        <w:rPr>
          <w:rFonts w:ascii="宋体" w:hAnsi="宋体" w:eastAsia="宋体" w:cs="宋体"/>
          <w:kern w:val="0"/>
          <w:szCs w:val="21"/>
        </w:rPr>
        <w:t>（2009）</w:t>
      </w:r>
      <w:r>
        <w:rPr>
          <w:rFonts w:hint="eastAsia" w:ascii="宋体" w:hAnsi="宋体" w:eastAsia="宋体" w:cs="宋体"/>
          <w:kern w:val="0"/>
          <w:szCs w:val="21"/>
        </w:rPr>
        <w:t>研究发现</w:t>
      </w:r>
      <w:r>
        <w:rPr>
          <w:rFonts w:ascii="宋体" w:hAnsi="宋体" w:eastAsia="宋体" w:cs="宋体"/>
          <w:kern w:val="0"/>
          <w:szCs w:val="21"/>
        </w:rPr>
        <w:t>，1995-2004</w:t>
      </w:r>
      <w:r>
        <w:rPr>
          <w:rFonts w:hint="eastAsia" w:ascii="宋体" w:hAnsi="宋体" w:eastAsia="宋体" w:cs="宋体"/>
          <w:kern w:val="0"/>
          <w:szCs w:val="21"/>
        </w:rPr>
        <w:t>我国劳动报酬从</w:t>
      </w:r>
      <w:r>
        <w:rPr>
          <w:rFonts w:ascii="宋体" w:hAnsi="宋体" w:eastAsia="宋体" w:cs="宋体"/>
          <w:kern w:val="0"/>
          <w:szCs w:val="21"/>
        </w:rPr>
        <w:t>51.4%</w:t>
      </w:r>
      <w:r>
        <w:rPr>
          <w:rFonts w:hint="eastAsia" w:ascii="宋体" w:hAnsi="宋体" w:eastAsia="宋体" w:cs="宋体"/>
          <w:kern w:val="0"/>
          <w:szCs w:val="21"/>
        </w:rPr>
        <w:t>下降到了</w:t>
      </w:r>
      <w:r>
        <w:rPr>
          <w:rFonts w:ascii="宋体" w:hAnsi="宋体" w:eastAsia="宋体" w:cs="宋体"/>
          <w:kern w:val="0"/>
          <w:szCs w:val="21"/>
        </w:rPr>
        <w:t>41.6%</w:t>
      </w:r>
      <w:r>
        <w:rPr>
          <w:rFonts w:hint="eastAsia" w:ascii="宋体" w:hAnsi="宋体" w:eastAsia="宋体" w:cs="宋体"/>
          <w:kern w:val="0"/>
          <w:szCs w:val="21"/>
        </w:rPr>
        <w:t>。卓永良</w:t>
      </w:r>
      <w:r>
        <w:rPr>
          <w:rFonts w:ascii="宋体" w:hAnsi="宋体" w:eastAsia="宋体" w:cs="宋体"/>
          <w:kern w:val="0"/>
          <w:szCs w:val="21"/>
        </w:rPr>
        <w:t>（2007）</w:t>
      </w:r>
      <w:r>
        <w:rPr>
          <w:rFonts w:hint="eastAsia" w:ascii="宋体" w:hAnsi="宋体" w:eastAsia="宋体" w:cs="宋体"/>
          <w:kern w:val="0"/>
          <w:szCs w:val="21"/>
        </w:rPr>
        <w:t>的研究表明</w:t>
      </w:r>
      <w:r>
        <w:rPr>
          <w:rFonts w:ascii="宋体" w:hAnsi="宋体" w:eastAsia="宋体" w:cs="宋体"/>
          <w:kern w:val="0"/>
          <w:szCs w:val="21"/>
        </w:rPr>
        <w:t>，</w:t>
      </w:r>
      <w:r>
        <w:rPr>
          <w:rFonts w:hint="eastAsia" w:ascii="宋体" w:hAnsi="宋体" w:eastAsia="宋体" w:cs="宋体"/>
          <w:kern w:val="0"/>
          <w:szCs w:val="21"/>
        </w:rPr>
        <w:t>改革开放初期我国的劳动收入份额在不断上升</w:t>
      </w:r>
      <w:r>
        <w:rPr>
          <w:rFonts w:ascii="宋体" w:hAnsi="宋体" w:eastAsia="宋体" w:cs="宋体"/>
          <w:kern w:val="0"/>
          <w:szCs w:val="21"/>
        </w:rPr>
        <w:t>，</w:t>
      </w:r>
      <w:r>
        <w:rPr>
          <w:rFonts w:hint="eastAsia" w:ascii="宋体" w:hAnsi="宋体" w:eastAsia="宋体" w:cs="宋体"/>
          <w:kern w:val="0"/>
          <w:szCs w:val="21"/>
        </w:rPr>
        <w:t>从</w:t>
      </w:r>
      <w:r>
        <w:rPr>
          <w:rFonts w:ascii="宋体" w:hAnsi="宋体" w:eastAsia="宋体" w:cs="宋体"/>
          <w:kern w:val="0"/>
          <w:szCs w:val="21"/>
        </w:rPr>
        <w:t>1978</w:t>
      </w:r>
      <w:r>
        <w:rPr>
          <w:rFonts w:hint="eastAsia" w:ascii="宋体" w:hAnsi="宋体" w:eastAsia="宋体" w:cs="宋体"/>
          <w:kern w:val="0"/>
          <w:szCs w:val="21"/>
        </w:rPr>
        <w:t>年的</w:t>
      </w:r>
      <w:r>
        <w:rPr>
          <w:rFonts w:ascii="宋体" w:hAnsi="宋体" w:eastAsia="宋体" w:cs="宋体"/>
          <w:kern w:val="0"/>
          <w:szCs w:val="21"/>
        </w:rPr>
        <w:t>42.1%</w:t>
      </w:r>
      <w:r>
        <w:rPr>
          <w:rFonts w:hint="eastAsia" w:ascii="宋体" w:hAnsi="宋体" w:eastAsia="宋体" w:cs="宋体"/>
          <w:kern w:val="0"/>
          <w:szCs w:val="21"/>
        </w:rPr>
        <w:t>上升到</w:t>
      </w:r>
      <w:r>
        <w:rPr>
          <w:rFonts w:ascii="宋体" w:hAnsi="宋体" w:eastAsia="宋体" w:cs="宋体"/>
          <w:kern w:val="0"/>
          <w:szCs w:val="21"/>
        </w:rPr>
        <w:t>1983</w:t>
      </w:r>
      <w:r>
        <w:rPr>
          <w:rFonts w:hint="eastAsia" w:ascii="宋体" w:hAnsi="宋体" w:eastAsia="宋体" w:cs="宋体"/>
          <w:kern w:val="0"/>
          <w:szCs w:val="21"/>
        </w:rPr>
        <w:t>年的</w:t>
      </w:r>
      <w:r>
        <w:rPr>
          <w:rFonts w:ascii="宋体" w:hAnsi="宋体" w:eastAsia="宋体" w:cs="宋体"/>
          <w:kern w:val="0"/>
          <w:szCs w:val="21"/>
        </w:rPr>
        <w:t>56.5%</w:t>
      </w:r>
      <w:r>
        <w:rPr>
          <w:rFonts w:hint="eastAsia" w:ascii="宋体" w:hAnsi="宋体" w:eastAsia="宋体" w:cs="宋体"/>
          <w:kern w:val="0"/>
          <w:szCs w:val="21"/>
        </w:rPr>
        <w:t>。但自</w:t>
      </w:r>
      <w:r>
        <w:rPr>
          <w:rFonts w:ascii="宋体" w:hAnsi="宋体" w:eastAsia="宋体" w:cs="宋体"/>
          <w:kern w:val="0"/>
          <w:szCs w:val="21"/>
        </w:rPr>
        <w:t>1984</w:t>
      </w:r>
      <w:r>
        <w:rPr>
          <w:rFonts w:hint="eastAsia" w:ascii="宋体" w:hAnsi="宋体" w:eastAsia="宋体" w:cs="宋体"/>
          <w:kern w:val="0"/>
          <w:szCs w:val="21"/>
        </w:rPr>
        <w:t>年以来</w:t>
      </w:r>
      <w:r>
        <w:rPr>
          <w:rFonts w:ascii="宋体" w:hAnsi="宋体" w:eastAsia="宋体" w:cs="宋体"/>
          <w:kern w:val="0"/>
          <w:szCs w:val="21"/>
        </w:rPr>
        <w:t>，</w:t>
      </w:r>
      <w:r>
        <w:rPr>
          <w:rFonts w:hint="eastAsia" w:ascii="宋体" w:hAnsi="宋体" w:eastAsia="宋体" w:cs="宋体"/>
          <w:kern w:val="0"/>
          <w:szCs w:val="21"/>
        </w:rPr>
        <w:t>我国劳动收入开始不断下滑。到</w:t>
      </w:r>
      <w:r>
        <w:rPr>
          <w:rFonts w:ascii="宋体" w:hAnsi="宋体" w:eastAsia="宋体" w:cs="宋体"/>
          <w:kern w:val="0"/>
          <w:szCs w:val="21"/>
        </w:rPr>
        <w:t>2005</w:t>
      </w:r>
      <w:r>
        <w:rPr>
          <w:rFonts w:hint="eastAsia" w:ascii="宋体" w:hAnsi="宋体" w:eastAsia="宋体" w:cs="宋体"/>
          <w:kern w:val="0"/>
          <w:szCs w:val="21"/>
        </w:rPr>
        <w:t>年劳动收入份额已经下滑至</w:t>
      </w:r>
      <w:r>
        <w:rPr>
          <w:rFonts w:ascii="宋体" w:hAnsi="宋体" w:eastAsia="宋体" w:cs="宋体"/>
          <w:kern w:val="0"/>
          <w:szCs w:val="21"/>
        </w:rPr>
        <w:t>38.2%</w:t>
      </w:r>
      <w:r>
        <w:rPr>
          <w:rFonts w:hint="eastAsia" w:ascii="宋体" w:hAnsi="宋体" w:eastAsia="宋体" w:cs="宋体"/>
          <w:kern w:val="0"/>
          <w:szCs w:val="21"/>
        </w:rPr>
        <w:t>。</w:t>
      </w:r>
      <w:r>
        <w:rPr>
          <w:rFonts w:ascii="宋体" w:hAnsi="宋体" w:eastAsia="宋体" w:cs="宋体"/>
          <w:kern w:val="0"/>
          <w:szCs w:val="21"/>
        </w:rPr>
        <w:t xml:space="preserve">  </w:t>
      </w:r>
    </w:p>
    <w:p w14:paraId="63AA177E">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虽然众多学者对我国劳动报酬占</w:t>
      </w:r>
      <w:r>
        <w:rPr>
          <w:rFonts w:ascii="宋体" w:hAnsi="宋体" w:eastAsia="宋体" w:cs="宋体"/>
          <w:kern w:val="0"/>
          <w:szCs w:val="21"/>
        </w:rPr>
        <w:t>GDP</w:t>
      </w:r>
      <w:r>
        <w:rPr>
          <w:rFonts w:hint="eastAsia" w:ascii="宋体" w:hAnsi="宋体" w:eastAsia="宋体" w:cs="宋体"/>
          <w:kern w:val="0"/>
          <w:szCs w:val="21"/>
        </w:rPr>
        <w:t>的绝对份额度量存在很大差异</w:t>
      </w:r>
      <w:r>
        <w:rPr>
          <w:rFonts w:ascii="宋体" w:hAnsi="宋体" w:eastAsia="宋体" w:cs="宋体"/>
          <w:kern w:val="0"/>
          <w:szCs w:val="21"/>
        </w:rPr>
        <w:t>，</w:t>
      </w:r>
      <w:r>
        <w:rPr>
          <w:rFonts w:hint="eastAsia" w:ascii="宋体" w:hAnsi="宋体" w:eastAsia="宋体" w:cs="宋体"/>
          <w:kern w:val="0"/>
          <w:szCs w:val="21"/>
        </w:rPr>
        <w:t>但近年来我国劳动收入份额下降到历史最低水平却是个不争的事实。综合学者们对我国劳动收入份额的估计可以得知</w:t>
      </w:r>
      <w:r>
        <w:rPr>
          <w:rFonts w:ascii="宋体" w:hAnsi="宋体" w:eastAsia="宋体" w:cs="宋体"/>
          <w:kern w:val="0"/>
          <w:szCs w:val="21"/>
        </w:rPr>
        <w:t>，2002-2006</w:t>
      </w:r>
      <w:r>
        <w:rPr>
          <w:rFonts w:hint="eastAsia" w:ascii="宋体" w:hAnsi="宋体" w:eastAsia="宋体" w:cs="宋体"/>
          <w:kern w:val="0"/>
          <w:szCs w:val="21"/>
        </w:rPr>
        <w:t>年</w:t>
      </w:r>
      <w:r>
        <w:rPr>
          <w:rFonts w:ascii="宋体" w:hAnsi="宋体" w:eastAsia="宋体" w:cs="宋体"/>
          <w:kern w:val="0"/>
          <w:szCs w:val="21"/>
        </w:rPr>
        <w:t>，</w:t>
      </w:r>
      <w:r>
        <w:rPr>
          <w:rFonts w:hint="eastAsia" w:ascii="宋体" w:hAnsi="宋体" w:eastAsia="宋体" w:cs="宋体"/>
          <w:kern w:val="0"/>
          <w:szCs w:val="21"/>
        </w:rPr>
        <w:t>我国劳动收入份额的乐观估计大概是</w:t>
      </w:r>
      <w:r>
        <w:rPr>
          <w:rFonts w:ascii="宋体" w:hAnsi="宋体" w:eastAsia="宋体" w:cs="宋体"/>
          <w:kern w:val="0"/>
          <w:szCs w:val="21"/>
        </w:rPr>
        <w:t>50%，</w:t>
      </w:r>
      <w:r>
        <w:rPr>
          <w:rFonts w:hint="eastAsia" w:ascii="宋体" w:hAnsi="宋体" w:eastAsia="宋体" w:cs="宋体"/>
          <w:kern w:val="0"/>
          <w:szCs w:val="21"/>
        </w:rPr>
        <w:t>悲观估计是在</w:t>
      </w:r>
      <w:r>
        <w:rPr>
          <w:rFonts w:ascii="宋体" w:hAnsi="宋体" w:eastAsia="宋体" w:cs="宋体"/>
          <w:kern w:val="0"/>
          <w:szCs w:val="21"/>
        </w:rPr>
        <w:t>40%</w:t>
      </w:r>
      <w:r>
        <w:rPr>
          <w:rFonts w:hint="eastAsia" w:ascii="宋体" w:hAnsi="宋体" w:eastAsia="宋体" w:cs="宋体"/>
          <w:kern w:val="0"/>
          <w:szCs w:val="21"/>
        </w:rPr>
        <w:t>左右。</w:t>
      </w:r>
      <w:r>
        <w:rPr>
          <w:rFonts w:ascii="宋体" w:hAnsi="宋体" w:eastAsia="宋体" w:cs="宋体"/>
          <w:kern w:val="0"/>
          <w:szCs w:val="21"/>
        </w:rPr>
        <w:t xml:space="preserve">  </w:t>
      </w:r>
    </w:p>
    <w:p w14:paraId="60928711">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与劳动收入份额下降相伴随的另外一个现象是</w:t>
      </w:r>
      <w:r>
        <w:rPr>
          <w:rFonts w:ascii="宋体" w:hAnsi="宋体" w:eastAsia="宋体" w:cs="宋体"/>
          <w:kern w:val="0"/>
          <w:szCs w:val="21"/>
        </w:rPr>
        <w:t>，</w:t>
      </w:r>
      <w:r>
        <w:rPr>
          <w:rFonts w:hint="eastAsia" w:ascii="宋体" w:hAnsi="宋体" w:eastAsia="宋体" w:cs="宋体"/>
          <w:kern w:val="0"/>
          <w:szCs w:val="21"/>
        </w:rPr>
        <w:t>在逐渐缩减的收入份额中</w:t>
      </w:r>
      <w:r>
        <w:rPr>
          <w:rFonts w:ascii="宋体" w:hAnsi="宋体" w:eastAsia="宋体" w:cs="宋体"/>
          <w:kern w:val="0"/>
          <w:szCs w:val="21"/>
        </w:rPr>
        <w:t>，</w:t>
      </w:r>
      <w:r>
        <w:rPr>
          <w:rFonts w:hint="eastAsia" w:ascii="宋体" w:hAnsi="宋体" w:eastAsia="宋体" w:cs="宋体"/>
          <w:kern w:val="0"/>
          <w:szCs w:val="21"/>
        </w:rPr>
        <w:t>其中的劳动收入分配差距也在逐年扩大。李实</w:t>
      </w:r>
      <w:r>
        <w:rPr>
          <w:rFonts w:ascii="宋体" w:hAnsi="宋体" w:eastAsia="宋体" w:cs="宋体"/>
          <w:kern w:val="0"/>
          <w:szCs w:val="21"/>
        </w:rPr>
        <w:t>（2005）</w:t>
      </w:r>
      <w:r>
        <w:rPr>
          <w:rFonts w:hint="eastAsia" w:ascii="宋体" w:hAnsi="宋体" w:eastAsia="宋体" w:cs="宋体"/>
          <w:kern w:val="0"/>
          <w:szCs w:val="21"/>
        </w:rPr>
        <w:t>年的研究表明</w:t>
      </w:r>
      <w:r>
        <w:rPr>
          <w:rFonts w:ascii="宋体" w:hAnsi="宋体" w:eastAsia="宋体" w:cs="宋体"/>
          <w:kern w:val="0"/>
          <w:szCs w:val="21"/>
        </w:rPr>
        <w:t>，1995</w:t>
      </w:r>
      <w:r>
        <w:rPr>
          <w:rFonts w:hint="eastAsia" w:ascii="宋体" w:hAnsi="宋体" w:eastAsia="宋体" w:cs="宋体"/>
          <w:kern w:val="0"/>
          <w:szCs w:val="21"/>
        </w:rPr>
        <w:t>年至</w:t>
      </w:r>
      <w:r>
        <w:rPr>
          <w:rFonts w:ascii="宋体" w:hAnsi="宋体" w:eastAsia="宋体" w:cs="宋体"/>
          <w:kern w:val="0"/>
          <w:szCs w:val="21"/>
        </w:rPr>
        <w:t>2002</w:t>
      </w:r>
      <w:r>
        <w:rPr>
          <w:rFonts w:hint="eastAsia" w:ascii="宋体" w:hAnsi="宋体" w:eastAsia="宋体" w:cs="宋体"/>
          <w:kern w:val="0"/>
          <w:szCs w:val="21"/>
        </w:rPr>
        <w:t>年</w:t>
      </w:r>
      <w:r>
        <w:rPr>
          <w:rFonts w:ascii="宋体" w:hAnsi="宋体" w:eastAsia="宋体" w:cs="宋体"/>
          <w:kern w:val="0"/>
          <w:szCs w:val="21"/>
        </w:rPr>
        <w:t>，</w:t>
      </w:r>
      <w:r>
        <w:rPr>
          <w:rFonts w:hint="eastAsia" w:ascii="宋体" w:hAnsi="宋体" w:eastAsia="宋体" w:cs="宋体"/>
          <w:kern w:val="0"/>
          <w:szCs w:val="21"/>
        </w:rPr>
        <w:t>不论是从城镇居民、农村居民</w:t>
      </w:r>
      <w:r>
        <w:rPr>
          <w:rFonts w:ascii="宋体" w:hAnsi="宋体" w:eastAsia="宋体" w:cs="宋体"/>
          <w:kern w:val="0"/>
          <w:szCs w:val="21"/>
        </w:rPr>
        <w:t>，</w:t>
      </w:r>
      <w:r>
        <w:rPr>
          <w:rFonts w:hint="eastAsia" w:ascii="宋体" w:hAnsi="宋体" w:eastAsia="宋体" w:cs="宋体"/>
          <w:kern w:val="0"/>
          <w:szCs w:val="21"/>
        </w:rPr>
        <w:t>还是从全国居民数据来看</w:t>
      </w:r>
      <w:r>
        <w:rPr>
          <w:rFonts w:ascii="宋体" w:hAnsi="宋体" w:eastAsia="宋体" w:cs="宋体"/>
          <w:kern w:val="0"/>
          <w:szCs w:val="21"/>
        </w:rPr>
        <w:t>，</w:t>
      </w:r>
      <w:r>
        <w:rPr>
          <w:rFonts w:hint="eastAsia" w:ascii="宋体" w:hAnsi="宋体" w:eastAsia="宋体" w:cs="宋体"/>
          <w:kern w:val="0"/>
          <w:szCs w:val="21"/>
        </w:rPr>
        <w:t>我国洛伦兹曲线都显著外移</w:t>
      </w:r>
      <w:r>
        <w:rPr>
          <w:rFonts w:ascii="宋体" w:hAnsi="宋体" w:eastAsia="宋体" w:cs="宋体"/>
          <w:kern w:val="0"/>
          <w:szCs w:val="21"/>
        </w:rPr>
        <w:t>，</w:t>
      </w:r>
      <w:r>
        <w:rPr>
          <w:rFonts w:hint="eastAsia" w:ascii="宋体" w:hAnsi="宋体" w:eastAsia="宋体" w:cs="宋体"/>
          <w:kern w:val="0"/>
          <w:szCs w:val="21"/>
        </w:rPr>
        <w:t>说明我国收入差距都在不断拉大。王祖祥</w:t>
      </w:r>
      <w:r>
        <w:rPr>
          <w:rFonts w:ascii="宋体" w:hAnsi="宋体" w:eastAsia="宋体" w:cs="宋体"/>
          <w:kern w:val="0"/>
          <w:szCs w:val="21"/>
        </w:rPr>
        <w:t>（2009）</w:t>
      </w:r>
      <w:r>
        <w:rPr>
          <w:rFonts w:hint="eastAsia" w:ascii="宋体" w:hAnsi="宋体" w:eastAsia="宋体" w:cs="宋体"/>
          <w:kern w:val="0"/>
          <w:szCs w:val="21"/>
        </w:rPr>
        <w:t>利用《中国统计年鉴》</w:t>
      </w:r>
      <w:r>
        <w:rPr>
          <w:rFonts w:ascii="宋体" w:hAnsi="宋体" w:eastAsia="宋体" w:cs="宋体"/>
          <w:kern w:val="0"/>
          <w:szCs w:val="21"/>
        </w:rPr>
        <w:t>（1995-2005）</w:t>
      </w:r>
      <w:r>
        <w:rPr>
          <w:rFonts w:hint="eastAsia" w:ascii="宋体" w:hAnsi="宋体" w:eastAsia="宋体" w:cs="宋体"/>
          <w:kern w:val="0"/>
          <w:szCs w:val="21"/>
        </w:rPr>
        <w:t>的收入分配数据进行估算</w:t>
      </w:r>
      <w:r>
        <w:rPr>
          <w:rFonts w:ascii="宋体" w:hAnsi="宋体" w:eastAsia="宋体" w:cs="宋体"/>
          <w:kern w:val="0"/>
          <w:szCs w:val="21"/>
        </w:rPr>
        <w:t>，</w:t>
      </w:r>
      <w:r>
        <w:rPr>
          <w:rFonts w:hint="eastAsia" w:ascii="宋体" w:hAnsi="宋体" w:eastAsia="宋体" w:cs="宋体"/>
          <w:kern w:val="0"/>
          <w:szCs w:val="21"/>
        </w:rPr>
        <w:t>发现目前我国城镇与农村两部门内部的基尼系数都不大</w:t>
      </w:r>
      <w:r>
        <w:rPr>
          <w:rFonts w:ascii="宋体" w:hAnsi="宋体" w:eastAsia="宋体" w:cs="宋体"/>
          <w:kern w:val="0"/>
          <w:szCs w:val="21"/>
        </w:rPr>
        <w:t>，</w:t>
      </w:r>
      <w:r>
        <w:rPr>
          <w:rFonts w:hint="eastAsia" w:ascii="宋体" w:hAnsi="宋体" w:eastAsia="宋体" w:cs="宋体"/>
          <w:kern w:val="0"/>
          <w:szCs w:val="21"/>
        </w:rPr>
        <w:t>都没有超过</w:t>
      </w:r>
      <w:r>
        <w:rPr>
          <w:rFonts w:ascii="宋体" w:hAnsi="宋体" w:eastAsia="宋体" w:cs="宋体"/>
          <w:kern w:val="0"/>
          <w:szCs w:val="21"/>
        </w:rPr>
        <w:t>0.34，</w:t>
      </w:r>
      <w:r>
        <w:rPr>
          <w:rFonts w:hint="eastAsia" w:ascii="宋体" w:hAnsi="宋体" w:eastAsia="宋体" w:cs="宋体"/>
          <w:kern w:val="0"/>
          <w:szCs w:val="21"/>
        </w:rPr>
        <w:t>但从</w:t>
      </w:r>
      <w:r>
        <w:rPr>
          <w:rFonts w:ascii="宋体" w:hAnsi="宋体" w:eastAsia="宋体" w:cs="宋体"/>
          <w:kern w:val="0"/>
          <w:szCs w:val="21"/>
        </w:rPr>
        <w:t>2003</w:t>
      </w:r>
      <w:r>
        <w:rPr>
          <w:rFonts w:hint="eastAsia" w:ascii="宋体" w:hAnsi="宋体" w:eastAsia="宋体" w:cs="宋体"/>
          <w:kern w:val="0"/>
          <w:szCs w:val="21"/>
        </w:rPr>
        <w:t>年开始</w:t>
      </w:r>
      <w:r>
        <w:rPr>
          <w:rFonts w:ascii="宋体" w:hAnsi="宋体" w:eastAsia="宋体" w:cs="宋体"/>
          <w:kern w:val="0"/>
          <w:szCs w:val="21"/>
        </w:rPr>
        <w:t>，</w:t>
      </w:r>
      <w:r>
        <w:rPr>
          <w:rFonts w:hint="eastAsia" w:ascii="宋体" w:hAnsi="宋体" w:eastAsia="宋体" w:cs="宋体"/>
          <w:kern w:val="0"/>
          <w:szCs w:val="21"/>
        </w:rPr>
        <w:t>我国的加总基尼系数已经超过了</w:t>
      </w:r>
      <w:r>
        <w:rPr>
          <w:rFonts w:ascii="宋体" w:hAnsi="宋体" w:eastAsia="宋体" w:cs="宋体"/>
          <w:kern w:val="0"/>
          <w:szCs w:val="21"/>
        </w:rPr>
        <w:t>0.44，</w:t>
      </w:r>
      <w:r>
        <w:rPr>
          <w:rFonts w:hint="eastAsia" w:ascii="宋体" w:hAnsi="宋体" w:eastAsia="宋体" w:cs="宋体"/>
          <w:kern w:val="0"/>
          <w:szCs w:val="21"/>
        </w:rPr>
        <w:t>远远越过了警戒水平</w:t>
      </w:r>
      <w:r>
        <w:rPr>
          <w:rFonts w:ascii="宋体" w:hAnsi="宋体" w:eastAsia="宋体" w:cs="宋体"/>
          <w:kern w:val="0"/>
          <w:szCs w:val="21"/>
        </w:rPr>
        <w:t>0.4</w:t>
      </w:r>
      <w:r>
        <w:rPr>
          <w:rFonts w:hint="eastAsia" w:ascii="宋体" w:hAnsi="宋体" w:eastAsia="宋体" w:cs="宋体"/>
          <w:kern w:val="0"/>
          <w:szCs w:val="21"/>
        </w:rPr>
        <w:t>。市场经济国家一般认为基尼系数在</w:t>
      </w:r>
      <w:r>
        <w:rPr>
          <w:rFonts w:ascii="宋体" w:hAnsi="宋体" w:eastAsia="宋体" w:cs="宋体"/>
          <w:kern w:val="0"/>
          <w:szCs w:val="21"/>
        </w:rPr>
        <w:t>0.3</w:t>
      </w:r>
      <w:r>
        <w:rPr>
          <w:rFonts w:hint="eastAsia" w:ascii="宋体" w:hAnsi="宋体" w:eastAsia="宋体" w:cs="宋体"/>
          <w:kern w:val="0"/>
          <w:szCs w:val="21"/>
        </w:rPr>
        <w:t>至</w:t>
      </w:r>
      <w:r>
        <w:rPr>
          <w:rFonts w:ascii="宋体" w:hAnsi="宋体" w:eastAsia="宋体" w:cs="宋体"/>
          <w:kern w:val="0"/>
          <w:szCs w:val="21"/>
        </w:rPr>
        <w:t>0.4</w:t>
      </w:r>
      <w:r>
        <w:rPr>
          <w:rFonts w:hint="eastAsia" w:ascii="宋体" w:hAnsi="宋体" w:eastAsia="宋体" w:cs="宋体"/>
          <w:kern w:val="0"/>
          <w:szCs w:val="21"/>
        </w:rPr>
        <w:t>之间</w:t>
      </w:r>
      <w:r>
        <w:rPr>
          <w:rFonts w:ascii="宋体" w:hAnsi="宋体" w:eastAsia="宋体" w:cs="宋体"/>
          <w:kern w:val="0"/>
          <w:szCs w:val="21"/>
        </w:rPr>
        <w:t>，</w:t>
      </w:r>
      <w:r>
        <w:rPr>
          <w:rFonts w:hint="eastAsia" w:ascii="宋体" w:hAnsi="宋体" w:eastAsia="宋体" w:cs="宋体"/>
          <w:kern w:val="0"/>
          <w:szCs w:val="21"/>
        </w:rPr>
        <w:t>表示收入差距相对合理。而我国从</w:t>
      </w:r>
      <w:r>
        <w:rPr>
          <w:rFonts w:ascii="宋体" w:hAnsi="宋体" w:eastAsia="宋体" w:cs="宋体"/>
          <w:kern w:val="0"/>
          <w:szCs w:val="21"/>
        </w:rPr>
        <w:t>2000</w:t>
      </w:r>
      <w:r>
        <w:rPr>
          <w:rFonts w:hint="eastAsia" w:ascii="宋体" w:hAnsi="宋体" w:eastAsia="宋体" w:cs="宋体"/>
          <w:kern w:val="0"/>
          <w:szCs w:val="21"/>
        </w:rPr>
        <w:t>年来</w:t>
      </w:r>
      <w:r>
        <w:rPr>
          <w:rFonts w:ascii="宋体" w:hAnsi="宋体" w:eastAsia="宋体" w:cs="宋体"/>
          <w:kern w:val="0"/>
          <w:szCs w:val="21"/>
        </w:rPr>
        <w:t>，</w:t>
      </w:r>
      <w:r>
        <w:rPr>
          <w:rFonts w:hint="eastAsia" w:ascii="宋体" w:hAnsi="宋体" w:eastAsia="宋体" w:cs="宋体"/>
          <w:kern w:val="0"/>
          <w:szCs w:val="21"/>
        </w:rPr>
        <w:t>基尼系数一直在</w:t>
      </w:r>
      <w:r>
        <w:rPr>
          <w:rFonts w:ascii="宋体" w:hAnsi="宋体" w:eastAsia="宋体" w:cs="宋体"/>
          <w:kern w:val="0"/>
          <w:szCs w:val="21"/>
        </w:rPr>
        <w:t>0.41</w:t>
      </w:r>
      <w:r>
        <w:rPr>
          <w:rFonts w:hint="eastAsia" w:ascii="宋体" w:hAnsi="宋体" w:eastAsia="宋体" w:cs="宋体"/>
          <w:kern w:val="0"/>
          <w:szCs w:val="21"/>
        </w:rPr>
        <w:t>以上</w:t>
      </w:r>
      <w:r>
        <w:rPr>
          <w:rFonts w:ascii="宋体" w:hAnsi="宋体" w:eastAsia="宋体" w:cs="宋体"/>
          <w:kern w:val="0"/>
          <w:szCs w:val="21"/>
        </w:rPr>
        <w:t>，</w:t>
      </w:r>
      <w:r>
        <w:rPr>
          <w:rFonts w:hint="eastAsia" w:ascii="宋体" w:hAnsi="宋体" w:eastAsia="宋体" w:cs="宋体"/>
          <w:kern w:val="0"/>
          <w:szCs w:val="21"/>
        </w:rPr>
        <w:t>表明贫富差距的程度还在上升。</w:t>
      </w:r>
    </w:p>
    <w:p w14:paraId="50BF2F70">
      <w:pPr>
        <w:autoSpaceDE w:val="0"/>
        <w:autoSpaceDN w:val="0"/>
        <w:spacing w:line="360" w:lineRule="auto"/>
        <w:ind w:firstLine="504"/>
        <w:jc w:val="center"/>
        <w:rPr>
          <w:rFonts w:ascii="宋体" w:hAnsi="宋体" w:eastAsia="宋体" w:cs="Times New Roman"/>
          <w:b/>
          <w:bCs/>
          <w:sz w:val="24"/>
        </w:rPr>
      </w:pPr>
      <w:r>
        <w:rPr>
          <w:rFonts w:hint="eastAsia" w:ascii="宋体" w:hAnsi="宋体" w:eastAsia="宋体" w:cs="Times New Roman"/>
          <w:b/>
          <w:bCs/>
          <w:sz w:val="24"/>
        </w:rPr>
        <w:t>二、劳动收入份额和收入差距存在密切的关系</w:t>
      </w:r>
    </w:p>
    <w:p w14:paraId="3B77E998">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资本收入增长过快</w:t>
      </w:r>
      <w:r>
        <w:rPr>
          <w:rFonts w:ascii="宋体" w:hAnsi="宋体" w:eastAsia="宋体" w:cs="宋体"/>
          <w:kern w:val="0"/>
          <w:szCs w:val="21"/>
        </w:rPr>
        <w:t>，</w:t>
      </w:r>
      <w:r>
        <w:rPr>
          <w:rFonts w:hint="eastAsia" w:ascii="宋体" w:hAnsi="宋体" w:eastAsia="宋体" w:cs="宋体"/>
          <w:kern w:val="0"/>
          <w:szCs w:val="21"/>
        </w:rPr>
        <w:t>劳动收入增长缓慢是造成国民收入差距的主要原因。正常情况</w:t>
      </w:r>
      <w:r>
        <w:rPr>
          <w:rFonts w:ascii="宋体" w:hAnsi="宋体" w:eastAsia="宋体" w:cs="宋体"/>
          <w:kern w:val="0"/>
          <w:szCs w:val="21"/>
        </w:rPr>
        <w:t>，</w:t>
      </w:r>
      <w:r>
        <w:rPr>
          <w:rFonts w:hint="eastAsia" w:ascii="宋体" w:hAnsi="宋体" w:eastAsia="宋体" w:cs="宋体"/>
          <w:kern w:val="0"/>
          <w:szCs w:val="21"/>
        </w:rPr>
        <w:t>收入差距是由于不同的劳动生产率造成的</w:t>
      </w:r>
      <w:r>
        <w:rPr>
          <w:rFonts w:ascii="宋体" w:hAnsi="宋体" w:eastAsia="宋体" w:cs="宋体"/>
          <w:kern w:val="0"/>
          <w:szCs w:val="21"/>
        </w:rPr>
        <w:t>，</w:t>
      </w:r>
      <w:r>
        <w:rPr>
          <w:rFonts w:hint="eastAsia" w:ascii="宋体" w:hAnsi="宋体" w:eastAsia="宋体" w:cs="宋体"/>
          <w:kern w:val="0"/>
          <w:szCs w:val="21"/>
        </w:rPr>
        <w:t>更高的劳动生产率意味着更高的劳动报酬</w:t>
      </w:r>
      <w:r>
        <w:rPr>
          <w:rFonts w:ascii="宋体" w:hAnsi="宋体" w:eastAsia="宋体" w:cs="宋体"/>
          <w:kern w:val="0"/>
          <w:szCs w:val="21"/>
        </w:rPr>
        <w:t>，</w:t>
      </w:r>
      <w:r>
        <w:rPr>
          <w:rFonts w:hint="eastAsia" w:ascii="宋体" w:hAnsi="宋体" w:eastAsia="宋体" w:cs="宋体"/>
          <w:kern w:val="0"/>
          <w:szCs w:val="21"/>
        </w:rPr>
        <w:t>或者</w:t>
      </w:r>
      <w:r>
        <w:rPr>
          <w:rFonts w:ascii="宋体" w:hAnsi="宋体" w:eastAsia="宋体" w:cs="宋体"/>
          <w:kern w:val="0"/>
          <w:szCs w:val="21"/>
        </w:rPr>
        <w:t>，</w:t>
      </w:r>
      <w:r>
        <w:rPr>
          <w:rFonts w:hint="eastAsia" w:ascii="宋体" w:hAnsi="宋体" w:eastAsia="宋体" w:cs="宋体"/>
          <w:kern w:val="0"/>
          <w:szCs w:val="21"/>
        </w:rPr>
        <w:t>从劳动生产率的反面资本生产率的角度也可以解释</w:t>
      </w:r>
      <w:r>
        <w:rPr>
          <w:rFonts w:ascii="宋体" w:hAnsi="宋体" w:eastAsia="宋体" w:cs="宋体"/>
          <w:kern w:val="0"/>
          <w:szCs w:val="21"/>
        </w:rPr>
        <w:t>，</w:t>
      </w:r>
      <w:r>
        <w:rPr>
          <w:rFonts w:hint="eastAsia" w:ascii="宋体" w:hAnsi="宋体" w:eastAsia="宋体" w:cs="宋体"/>
          <w:kern w:val="0"/>
          <w:szCs w:val="21"/>
        </w:rPr>
        <w:t>资本生产率如果高于劳动生产率的增长</w:t>
      </w:r>
      <w:r>
        <w:rPr>
          <w:rFonts w:ascii="宋体" w:hAnsi="宋体" w:eastAsia="宋体" w:cs="宋体"/>
          <w:kern w:val="0"/>
          <w:szCs w:val="21"/>
        </w:rPr>
        <w:t>，</w:t>
      </w:r>
      <w:r>
        <w:rPr>
          <w:rFonts w:hint="eastAsia" w:ascii="宋体" w:hAnsi="宋体" w:eastAsia="宋体" w:cs="宋体"/>
          <w:kern w:val="0"/>
          <w:szCs w:val="21"/>
        </w:rPr>
        <w:t>会导致在收入分配过程中</w:t>
      </w:r>
      <w:r>
        <w:rPr>
          <w:rFonts w:ascii="宋体" w:hAnsi="宋体" w:eastAsia="宋体" w:cs="宋体"/>
          <w:kern w:val="0"/>
          <w:szCs w:val="21"/>
        </w:rPr>
        <w:t>，</w:t>
      </w:r>
      <w:r>
        <w:rPr>
          <w:rFonts w:hint="eastAsia" w:ascii="宋体" w:hAnsi="宋体" w:eastAsia="宋体" w:cs="宋体"/>
          <w:kern w:val="0"/>
          <w:szCs w:val="21"/>
        </w:rPr>
        <w:t>财富朝拥有资本的一方倾斜</w:t>
      </w:r>
      <w:r>
        <w:rPr>
          <w:rFonts w:ascii="宋体" w:hAnsi="宋体" w:eastAsia="宋体" w:cs="宋体"/>
          <w:kern w:val="0"/>
          <w:szCs w:val="21"/>
        </w:rPr>
        <w:t>，</w:t>
      </w:r>
      <w:r>
        <w:rPr>
          <w:rFonts w:hint="eastAsia" w:ascii="宋体" w:hAnsi="宋体" w:eastAsia="宋体" w:cs="宋体"/>
          <w:kern w:val="0"/>
          <w:szCs w:val="21"/>
        </w:rPr>
        <w:t>从而减少劳动收入份额</w:t>
      </w:r>
      <w:r>
        <w:rPr>
          <w:rFonts w:ascii="宋体" w:hAnsi="宋体" w:eastAsia="宋体" w:cs="宋体"/>
          <w:kern w:val="0"/>
          <w:szCs w:val="21"/>
        </w:rPr>
        <w:t>，</w:t>
      </w:r>
      <w:r>
        <w:rPr>
          <w:rFonts w:hint="eastAsia" w:ascii="宋体" w:hAnsi="宋体" w:eastAsia="宋体" w:cs="宋体"/>
          <w:kern w:val="0"/>
          <w:szCs w:val="21"/>
        </w:rPr>
        <w:t>同时也增加收入分配的不平等。工资性收入作为居民收入的最主要来源</w:t>
      </w:r>
      <w:r>
        <w:rPr>
          <w:rFonts w:ascii="宋体" w:hAnsi="宋体" w:eastAsia="宋体" w:cs="宋体"/>
          <w:kern w:val="0"/>
          <w:szCs w:val="21"/>
        </w:rPr>
        <w:t>，</w:t>
      </w:r>
      <w:r>
        <w:rPr>
          <w:rFonts w:hint="eastAsia" w:ascii="宋体" w:hAnsi="宋体" w:eastAsia="宋体" w:cs="宋体"/>
          <w:kern w:val="0"/>
          <w:szCs w:val="21"/>
        </w:rPr>
        <w:t>其比重的下滑跟工资的增长缓慢有关</w:t>
      </w:r>
      <w:r>
        <w:rPr>
          <w:rFonts w:ascii="宋体" w:hAnsi="宋体" w:eastAsia="宋体" w:cs="宋体"/>
          <w:kern w:val="0"/>
          <w:szCs w:val="21"/>
        </w:rPr>
        <w:t>，</w:t>
      </w:r>
      <w:r>
        <w:rPr>
          <w:rFonts w:hint="eastAsia" w:ascii="宋体" w:hAnsi="宋体" w:eastAsia="宋体" w:cs="宋体"/>
          <w:kern w:val="0"/>
          <w:szCs w:val="21"/>
        </w:rPr>
        <w:t>中国大概有</w:t>
      </w:r>
      <w:r>
        <w:rPr>
          <w:rFonts w:ascii="宋体" w:hAnsi="宋体" w:eastAsia="宋体" w:cs="宋体"/>
          <w:kern w:val="0"/>
          <w:szCs w:val="21"/>
        </w:rPr>
        <w:t>1-1.5</w:t>
      </w:r>
      <w:r>
        <w:rPr>
          <w:rFonts w:hint="eastAsia" w:ascii="宋体" w:hAnsi="宋体" w:eastAsia="宋体" w:cs="宋体"/>
          <w:kern w:val="0"/>
          <w:szCs w:val="21"/>
        </w:rPr>
        <w:t>亿的劳动人口处于未就业或未充分就业状态。这阻止了工资收入随着劳动生产率的提高而提高</w:t>
      </w:r>
      <w:r>
        <w:rPr>
          <w:rFonts w:ascii="宋体" w:hAnsi="宋体" w:eastAsia="宋体" w:cs="宋体"/>
          <w:kern w:val="0"/>
          <w:szCs w:val="21"/>
        </w:rPr>
        <w:t>，</w:t>
      </w:r>
      <w:r>
        <w:rPr>
          <w:rFonts w:hint="eastAsia" w:ascii="宋体" w:hAnsi="宋体" w:eastAsia="宋体" w:cs="宋体"/>
          <w:kern w:val="0"/>
          <w:szCs w:val="21"/>
        </w:rPr>
        <w:t>进而导致了工资收入在国民收入中占比的持续下滑。</w:t>
      </w:r>
    </w:p>
    <w:p w14:paraId="6985DDD5">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因此</w:t>
      </w:r>
      <w:r>
        <w:rPr>
          <w:rFonts w:ascii="宋体" w:hAnsi="宋体" w:eastAsia="宋体" w:cs="宋体"/>
          <w:kern w:val="0"/>
          <w:szCs w:val="21"/>
        </w:rPr>
        <w:t>，</w:t>
      </w:r>
      <w:r>
        <w:rPr>
          <w:rFonts w:hint="eastAsia" w:ascii="宋体" w:hAnsi="宋体" w:eastAsia="宋体" w:cs="宋体"/>
          <w:kern w:val="0"/>
          <w:szCs w:val="21"/>
        </w:rPr>
        <w:t>劳动收入份额的下降导致资本收入以及政府收入比例的上升</w:t>
      </w:r>
      <w:r>
        <w:rPr>
          <w:rFonts w:ascii="宋体" w:hAnsi="宋体" w:eastAsia="宋体" w:cs="宋体"/>
          <w:kern w:val="0"/>
          <w:szCs w:val="21"/>
        </w:rPr>
        <w:t>，</w:t>
      </w:r>
      <w:r>
        <w:rPr>
          <w:rFonts w:hint="eastAsia" w:ascii="宋体" w:hAnsi="宋体" w:eastAsia="宋体" w:cs="宋体"/>
          <w:kern w:val="0"/>
          <w:szCs w:val="21"/>
        </w:rPr>
        <w:t>这在一定程度上使得依靠赚取工资的居民与获得资本回报的居民</w:t>
      </w:r>
      <w:r>
        <w:rPr>
          <w:rFonts w:ascii="宋体" w:hAnsi="宋体" w:eastAsia="宋体" w:cs="宋体"/>
          <w:kern w:val="0"/>
          <w:szCs w:val="21"/>
        </w:rPr>
        <w:t>，</w:t>
      </w:r>
      <w:r>
        <w:rPr>
          <w:rFonts w:hint="eastAsia" w:ascii="宋体" w:hAnsi="宋体" w:eastAsia="宋体" w:cs="宋体"/>
          <w:kern w:val="0"/>
          <w:szCs w:val="21"/>
        </w:rPr>
        <w:t>收入之间的差距进一步扩大。换言之</w:t>
      </w:r>
      <w:r>
        <w:rPr>
          <w:rFonts w:ascii="宋体" w:hAnsi="宋体" w:eastAsia="宋体" w:cs="宋体"/>
          <w:kern w:val="0"/>
          <w:szCs w:val="21"/>
        </w:rPr>
        <w:t>，</w:t>
      </w:r>
      <w:r>
        <w:rPr>
          <w:rFonts w:hint="eastAsia" w:ascii="宋体" w:hAnsi="宋体" w:eastAsia="宋体" w:cs="宋体"/>
          <w:kern w:val="0"/>
          <w:szCs w:val="21"/>
        </w:rPr>
        <w:t>收入份额的下降是收入差距扩大的原因。</w:t>
      </w:r>
    </w:p>
    <w:p w14:paraId="498D957A">
      <w:pPr>
        <w:autoSpaceDE w:val="0"/>
        <w:autoSpaceDN w:val="0"/>
        <w:spacing w:line="360" w:lineRule="auto"/>
        <w:ind w:firstLine="504"/>
        <w:jc w:val="center"/>
        <w:rPr>
          <w:rFonts w:ascii="宋体" w:hAnsi="宋体" w:eastAsia="宋体" w:cs="Times New Roman"/>
          <w:b/>
          <w:bCs/>
          <w:sz w:val="24"/>
        </w:rPr>
      </w:pPr>
      <w:r>
        <w:rPr>
          <w:rFonts w:hint="eastAsia" w:ascii="宋体" w:hAnsi="宋体" w:eastAsia="宋体" w:cs="Times New Roman"/>
          <w:b/>
          <w:bCs/>
          <w:sz w:val="24"/>
        </w:rPr>
        <w:t>三、关于劳动收入差距扩大的原因</w:t>
      </w:r>
    </w:p>
    <w:p w14:paraId="3200F0DC">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既然造成收入差距拉大的主要原因在于资本收入份额的提高和劳动收入份额的下降</w:t>
      </w:r>
      <w:r>
        <w:rPr>
          <w:rFonts w:ascii="宋体" w:hAnsi="宋体" w:eastAsia="宋体" w:cs="宋体"/>
          <w:kern w:val="0"/>
          <w:szCs w:val="21"/>
        </w:rPr>
        <w:t>，</w:t>
      </w:r>
      <w:r>
        <w:rPr>
          <w:rFonts w:hint="eastAsia" w:ascii="宋体" w:hAnsi="宋体" w:eastAsia="宋体" w:cs="宋体"/>
          <w:kern w:val="0"/>
          <w:szCs w:val="21"/>
        </w:rPr>
        <w:t>那么找到劳动收入份额下降的原因</w:t>
      </w:r>
      <w:r>
        <w:rPr>
          <w:rFonts w:ascii="宋体" w:hAnsi="宋体" w:eastAsia="宋体" w:cs="宋体"/>
          <w:kern w:val="0"/>
          <w:szCs w:val="21"/>
        </w:rPr>
        <w:t>，</w:t>
      </w:r>
      <w:r>
        <w:rPr>
          <w:rFonts w:hint="eastAsia" w:ascii="宋体" w:hAnsi="宋体" w:eastAsia="宋体" w:cs="宋体"/>
          <w:kern w:val="0"/>
          <w:szCs w:val="21"/>
        </w:rPr>
        <w:t>也就找到了收入差距拉大的原因。</w:t>
      </w:r>
    </w:p>
    <w:p w14:paraId="38B3BF22">
      <w:pPr>
        <w:autoSpaceDE w:val="0"/>
        <w:autoSpaceDN w:val="0"/>
        <w:spacing w:line="400" w:lineRule="exact"/>
        <w:ind w:firstLine="420" w:firstLineChars="200"/>
        <w:rPr>
          <w:rFonts w:ascii="宋体" w:hAnsi="宋体" w:eastAsia="宋体" w:cs="宋体"/>
          <w:kern w:val="0"/>
          <w:szCs w:val="21"/>
        </w:rPr>
      </w:pPr>
      <w:r>
        <w:rPr>
          <w:rFonts w:ascii="宋体" w:hAnsi="宋体" w:eastAsia="宋体" w:cs="宋体"/>
          <w:kern w:val="0"/>
          <w:szCs w:val="21"/>
        </w:rPr>
        <w:t>90</w:t>
      </w:r>
      <w:r>
        <w:rPr>
          <w:rFonts w:hint="eastAsia" w:ascii="宋体" w:hAnsi="宋体" w:eastAsia="宋体" w:cs="宋体"/>
          <w:kern w:val="0"/>
          <w:szCs w:val="21"/>
        </w:rPr>
        <w:t>年代以来我国劳动收入份额的降低</w:t>
      </w:r>
      <w:r>
        <w:rPr>
          <w:rFonts w:ascii="宋体" w:hAnsi="宋体" w:eastAsia="宋体" w:cs="宋体"/>
          <w:kern w:val="0"/>
          <w:szCs w:val="21"/>
        </w:rPr>
        <w:t>，</w:t>
      </w:r>
      <w:r>
        <w:rPr>
          <w:rFonts w:hint="eastAsia" w:ascii="宋体" w:hAnsi="宋体" w:eastAsia="宋体" w:cs="宋体"/>
          <w:kern w:val="0"/>
          <w:szCs w:val="21"/>
        </w:rPr>
        <w:t>主要是我国所有制结构调整所致。劳动收入份额反映了劳动者在收入分配中的经济社会地位。该份额越低</w:t>
      </w:r>
      <w:r>
        <w:rPr>
          <w:rFonts w:ascii="宋体" w:hAnsi="宋体" w:eastAsia="宋体" w:cs="宋体"/>
          <w:kern w:val="0"/>
          <w:szCs w:val="21"/>
        </w:rPr>
        <w:t>，</w:t>
      </w:r>
      <w:r>
        <w:rPr>
          <w:rFonts w:hint="eastAsia" w:ascii="宋体" w:hAnsi="宋体" w:eastAsia="宋体" w:cs="宋体"/>
          <w:kern w:val="0"/>
          <w:szCs w:val="21"/>
        </w:rPr>
        <w:t>说明劳动者的经济社会地位越低。统计资料显示</w:t>
      </w:r>
      <w:r>
        <w:rPr>
          <w:rFonts w:ascii="宋体" w:hAnsi="宋体" w:eastAsia="宋体" w:cs="宋体"/>
          <w:kern w:val="0"/>
          <w:szCs w:val="21"/>
        </w:rPr>
        <w:t>，</w:t>
      </w:r>
      <w:r>
        <w:rPr>
          <w:rFonts w:hint="eastAsia" w:ascii="宋体" w:hAnsi="宋体" w:eastAsia="宋体" w:cs="宋体"/>
          <w:kern w:val="0"/>
          <w:szCs w:val="21"/>
        </w:rPr>
        <w:t>在我国不同类型的所有制经济中</w:t>
      </w:r>
      <w:r>
        <w:rPr>
          <w:rFonts w:ascii="宋体" w:hAnsi="宋体" w:eastAsia="宋体" w:cs="宋体"/>
          <w:kern w:val="0"/>
          <w:szCs w:val="21"/>
        </w:rPr>
        <w:t>，</w:t>
      </w:r>
      <w:r>
        <w:rPr>
          <w:rFonts w:hint="eastAsia" w:ascii="宋体" w:hAnsi="宋体" w:eastAsia="宋体" w:cs="宋体"/>
          <w:kern w:val="0"/>
          <w:szCs w:val="21"/>
        </w:rPr>
        <w:t>非公经济中劳动收入份额一般较低</w:t>
      </w:r>
      <w:r>
        <w:rPr>
          <w:rFonts w:ascii="宋体" w:hAnsi="宋体" w:eastAsia="宋体" w:cs="宋体"/>
          <w:kern w:val="0"/>
          <w:szCs w:val="21"/>
        </w:rPr>
        <w:t>，</w:t>
      </w:r>
      <w:r>
        <w:rPr>
          <w:rFonts w:hint="eastAsia" w:ascii="宋体" w:hAnsi="宋体" w:eastAsia="宋体" w:cs="宋体"/>
          <w:kern w:val="0"/>
          <w:szCs w:val="21"/>
        </w:rPr>
        <w:t>并且工人的平均工资也低。在相同情况下</w:t>
      </w:r>
      <w:r>
        <w:rPr>
          <w:rFonts w:ascii="宋体" w:hAnsi="宋体" w:eastAsia="宋体" w:cs="宋体"/>
          <w:kern w:val="0"/>
          <w:szCs w:val="21"/>
        </w:rPr>
        <w:t>，</w:t>
      </w:r>
      <w:r>
        <w:rPr>
          <w:rFonts w:hint="eastAsia" w:ascii="宋体" w:hAnsi="宋体" w:eastAsia="宋体" w:cs="宋体"/>
          <w:kern w:val="0"/>
          <w:szCs w:val="21"/>
        </w:rPr>
        <w:t>公有经济的劳动收入份额要高</w:t>
      </w:r>
      <w:r>
        <w:rPr>
          <w:rFonts w:ascii="宋体" w:hAnsi="宋体" w:eastAsia="宋体" w:cs="宋体"/>
          <w:kern w:val="0"/>
          <w:szCs w:val="21"/>
        </w:rPr>
        <w:t>，</w:t>
      </w:r>
      <w:r>
        <w:rPr>
          <w:rFonts w:hint="eastAsia" w:ascii="宋体" w:hAnsi="宋体" w:eastAsia="宋体" w:cs="宋体"/>
          <w:kern w:val="0"/>
          <w:szCs w:val="21"/>
        </w:rPr>
        <w:t>并且工人平均工资也高。在私有经济中</w:t>
      </w:r>
      <w:r>
        <w:rPr>
          <w:rFonts w:ascii="宋体" w:hAnsi="宋体" w:eastAsia="宋体" w:cs="宋体"/>
          <w:kern w:val="0"/>
          <w:szCs w:val="21"/>
        </w:rPr>
        <w:t>，</w:t>
      </w:r>
      <w:r>
        <w:rPr>
          <w:rFonts w:hint="eastAsia" w:ascii="宋体" w:hAnsi="宋体" w:eastAsia="宋体" w:cs="宋体"/>
          <w:kern w:val="0"/>
          <w:szCs w:val="21"/>
        </w:rPr>
        <w:t>雇主为了追逐利润最大化</w:t>
      </w:r>
      <w:r>
        <w:rPr>
          <w:rFonts w:ascii="宋体" w:hAnsi="宋体" w:eastAsia="宋体" w:cs="宋体"/>
          <w:kern w:val="0"/>
          <w:szCs w:val="21"/>
        </w:rPr>
        <w:t>，</w:t>
      </w:r>
      <w:r>
        <w:rPr>
          <w:rFonts w:hint="eastAsia" w:ascii="宋体" w:hAnsi="宋体" w:eastAsia="宋体" w:cs="宋体"/>
          <w:kern w:val="0"/>
          <w:szCs w:val="21"/>
        </w:rPr>
        <w:t>必然极力压低工资</w:t>
      </w:r>
      <w:r>
        <w:rPr>
          <w:rFonts w:ascii="宋体" w:hAnsi="宋体" w:eastAsia="宋体" w:cs="宋体"/>
          <w:kern w:val="0"/>
          <w:szCs w:val="21"/>
        </w:rPr>
        <w:t>，</w:t>
      </w:r>
      <w:r>
        <w:rPr>
          <w:rFonts w:hint="eastAsia" w:ascii="宋体" w:hAnsi="宋体" w:eastAsia="宋体" w:cs="宋体"/>
          <w:kern w:val="0"/>
          <w:szCs w:val="21"/>
        </w:rPr>
        <w:t>使得劳动生产率提高的好处尽量为雇主和资本所得</w:t>
      </w:r>
      <w:r>
        <w:rPr>
          <w:rFonts w:ascii="宋体" w:hAnsi="宋体" w:eastAsia="宋体" w:cs="宋体"/>
          <w:kern w:val="0"/>
          <w:szCs w:val="21"/>
        </w:rPr>
        <w:t>，</w:t>
      </w:r>
      <w:r>
        <w:rPr>
          <w:rFonts w:hint="eastAsia" w:ascii="宋体" w:hAnsi="宋体" w:eastAsia="宋体" w:cs="宋体"/>
          <w:kern w:val="0"/>
          <w:szCs w:val="21"/>
        </w:rPr>
        <w:t>从而随着劳动生产率的提高</w:t>
      </w:r>
      <w:r>
        <w:rPr>
          <w:rFonts w:ascii="宋体" w:hAnsi="宋体" w:eastAsia="宋体" w:cs="宋体"/>
          <w:kern w:val="0"/>
          <w:szCs w:val="21"/>
        </w:rPr>
        <w:t>，</w:t>
      </w:r>
      <w:r>
        <w:rPr>
          <w:rFonts w:hint="eastAsia" w:ascii="宋体" w:hAnsi="宋体" w:eastAsia="宋体" w:cs="宋体"/>
          <w:kern w:val="0"/>
          <w:szCs w:val="21"/>
        </w:rPr>
        <w:t>劳动报酬占比必然越来越低。当前</w:t>
      </w:r>
      <w:r>
        <w:rPr>
          <w:rFonts w:ascii="宋体" w:hAnsi="宋体" w:eastAsia="宋体" w:cs="宋体"/>
          <w:kern w:val="0"/>
          <w:szCs w:val="21"/>
        </w:rPr>
        <w:t>，</w:t>
      </w:r>
      <w:r>
        <w:rPr>
          <w:rFonts w:hint="eastAsia" w:ascii="宋体" w:hAnsi="宋体" w:eastAsia="宋体" w:cs="宋体"/>
          <w:kern w:val="0"/>
          <w:szCs w:val="21"/>
        </w:rPr>
        <w:t>中国在经济结构转型中强调更多地发展私有经济和对外招商引资</w:t>
      </w:r>
      <w:r>
        <w:rPr>
          <w:rFonts w:ascii="宋体" w:hAnsi="宋体" w:eastAsia="宋体" w:cs="宋体"/>
          <w:kern w:val="0"/>
          <w:szCs w:val="21"/>
        </w:rPr>
        <w:t>，</w:t>
      </w:r>
      <w:r>
        <w:rPr>
          <w:rFonts w:hint="eastAsia" w:ascii="宋体" w:hAnsi="宋体" w:eastAsia="宋体" w:cs="宋体"/>
          <w:kern w:val="0"/>
          <w:szCs w:val="21"/>
        </w:rPr>
        <w:t>现存的国有和集体企业也大量被股份私有化</w:t>
      </w:r>
      <w:r>
        <w:rPr>
          <w:rFonts w:ascii="宋体" w:hAnsi="宋体" w:eastAsia="宋体" w:cs="宋体"/>
          <w:kern w:val="0"/>
          <w:szCs w:val="21"/>
        </w:rPr>
        <w:t>，</w:t>
      </w:r>
      <w:r>
        <w:rPr>
          <w:rFonts w:hint="eastAsia" w:ascii="宋体" w:hAnsi="宋体" w:eastAsia="宋体" w:cs="宋体"/>
          <w:kern w:val="0"/>
          <w:szCs w:val="21"/>
        </w:rPr>
        <w:t>这必然会导致劳动报酬占比的下降。</w:t>
      </w:r>
    </w:p>
    <w:p w14:paraId="5E2DF89C">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从目前披露的数据和收入与所有制的经济学规律来看</w:t>
      </w:r>
      <w:r>
        <w:rPr>
          <w:rFonts w:ascii="宋体" w:hAnsi="宋体" w:eastAsia="宋体" w:cs="宋体"/>
          <w:kern w:val="0"/>
          <w:szCs w:val="21"/>
        </w:rPr>
        <w:t>，</w:t>
      </w:r>
      <w:r>
        <w:rPr>
          <w:rFonts w:hint="eastAsia" w:ascii="宋体" w:hAnsi="宋体" w:eastAsia="宋体" w:cs="宋体"/>
          <w:kern w:val="0"/>
          <w:szCs w:val="21"/>
        </w:rPr>
        <w:t>劳动报酬占比下降</w:t>
      </w:r>
      <w:r>
        <w:rPr>
          <w:rFonts w:ascii="宋体" w:hAnsi="宋体" w:eastAsia="宋体" w:cs="宋体"/>
          <w:kern w:val="0"/>
          <w:szCs w:val="21"/>
        </w:rPr>
        <w:t>，</w:t>
      </w:r>
      <w:r>
        <w:rPr>
          <w:rFonts w:hint="eastAsia" w:ascii="宋体" w:hAnsi="宋体" w:eastAsia="宋体" w:cs="宋体"/>
          <w:kern w:val="0"/>
          <w:szCs w:val="21"/>
        </w:rPr>
        <w:t>是公有制的比重在中国经济中的比重下降、政府和工会未能在市场经济充分发挥作用的客观结果。在其他条件不变的情况下</w:t>
      </w:r>
      <w:r>
        <w:rPr>
          <w:rFonts w:ascii="宋体" w:hAnsi="宋体" w:eastAsia="宋体" w:cs="宋体"/>
          <w:kern w:val="0"/>
          <w:szCs w:val="21"/>
        </w:rPr>
        <w:t>，</w:t>
      </w:r>
      <w:r>
        <w:rPr>
          <w:rFonts w:hint="eastAsia" w:ascii="宋体" w:hAnsi="宋体" w:eastAsia="宋体" w:cs="宋体"/>
          <w:kern w:val="0"/>
          <w:szCs w:val="21"/>
        </w:rPr>
        <w:t>非公有制经济成份</w:t>
      </w:r>
      <w:r>
        <w:rPr>
          <w:rFonts w:ascii="宋体" w:hAnsi="宋体" w:eastAsia="宋体" w:cs="宋体"/>
          <w:kern w:val="0"/>
          <w:szCs w:val="21"/>
        </w:rPr>
        <w:t>（</w:t>
      </w:r>
      <w:r>
        <w:rPr>
          <w:rFonts w:hint="eastAsia" w:ascii="宋体" w:hAnsi="宋体" w:eastAsia="宋体" w:cs="宋体"/>
          <w:kern w:val="0"/>
          <w:szCs w:val="21"/>
        </w:rPr>
        <w:t>含内资和外资</w:t>
      </w:r>
      <w:r>
        <w:rPr>
          <w:rFonts w:ascii="宋体" w:hAnsi="宋体" w:eastAsia="宋体" w:cs="宋体"/>
          <w:kern w:val="0"/>
          <w:szCs w:val="21"/>
        </w:rPr>
        <w:t>）</w:t>
      </w:r>
      <w:r>
        <w:rPr>
          <w:rFonts w:hint="eastAsia" w:ascii="宋体" w:hAnsi="宋体" w:eastAsia="宋体" w:cs="宋体"/>
          <w:kern w:val="0"/>
          <w:szCs w:val="21"/>
        </w:rPr>
        <w:t>越大</w:t>
      </w:r>
      <w:r>
        <w:rPr>
          <w:rFonts w:ascii="宋体" w:hAnsi="宋体" w:eastAsia="宋体" w:cs="宋体"/>
          <w:kern w:val="0"/>
          <w:szCs w:val="21"/>
        </w:rPr>
        <w:t>，</w:t>
      </w:r>
      <w:r>
        <w:rPr>
          <w:rFonts w:hint="eastAsia" w:ascii="宋体" w:hAnsi="宋体" w:eastAsia="宋体" w:cs="宋体"/>
          <w:kern w:val="0"/>
          <w:szCs w:val="21"/>
        </w:rPr>
        <w:t>劳动报酬占比往往越低。而在公有制经济内</w:t>
      </w:r>
      <w:r>
        <w:rPr>
          <w:rFonts w:ascii="宋体" w:hAnsi="宋体" w:eastAsia="宋体" w:cs="宋体"/>
          <w:kern w:val="0"/>
          <w:szCs w:val="21"/>
        </w:rPr>
        <w:t>，</w:t>
      </w:r>
      <w:r>
        <w:rPr>
          <w:rFonts w:hint="eastAsia" w:ascii="宋体" w:hAnsi="宋体" w:eastAsia="宋体" w:cs="宋体"/>
          <w:kern w:val="0"/>
          <w:szCs w:val="21"/>
        </w:rPr>
        <w:t>工人通过职代会、工会等机构可以维护自己的权利</w:t>
      </w:r>
      <w:r>
        <w:rPr>
          <w:rFonts w:ascii="宋体" w:hAnsi="宋体" w:eastAsia="宋体" w:cs="宋体"/>
          <w:kern w:val="0"/>
          <w:szCs w:val="21"/>
        </w:rPr>
        <w:t>，</w:t>
      </w:r>
      <w:r>
        <w:rPr>
          <w:rFonts w:hint="eastAsia" w:ascii="宋体" w:hAnsi="宋体" w:eastAsia="宋体" w:cs="宋体"/>
          <w:kern w:val="0"/>
          <w:szCs w:val="21"/>
        </w:rPr>
        <w:t>并且公有制经济的工资决定直接受政府管理</w:t>
      </w:r>
      <w:r>
        <w:rPr>
          <w:rFonts w:ascii="宋体" w:hAnsi="宋体" w:eastAsia="宋体" w:cs="宋体"/>
          <w:kern w:val="0"/>
          <w:szCs w:val="21"/>
        </w:rPr>
        <w:t>，</w:t>
      </w:r>
      <w:r>
        <w:rPr>
          <w:rFonts w:hint="eastAsia" w:ascii="宋体" w:hAnsi="宋体" w:eastAsia="宋体" w:cs="宋体"/>
          <w:kern w:val="0"/>
          <w:szCs w:val="21"/>
        </w:rPr>
        <w:t>工人的社会保障和福利待遇比较完善。而在私营经济中</w:t>
      </w:r>
      <w:r>
        <w:rPr>
          <w:rFonts w:ascii="宋体" w:hAnsi="宋体" w:eastAsia="宋体" w:cs="宋体"/>
          <w:kern w:val="0"/>
          <w:szCs w:val="21"/>
        </w:rPr>
        <w:t>，</w:t>
      </w:r>
      <w:r>
        <w:rPr>
          <w:rFonts w:hint="eastAsia" w:ascii="宋体" w:hAnsi="宋体" w:eastAsia="宋体" w:cs="宋体"/>
          <w:kern w:val="0"/>
          <w:szCs w:val="21"/>
        </w:rPr>
        <w:t>工资决定完全由资方决定。工人的发言权丧失</w:t>
      </w:r>
      <w:r>
        <w:rPr>
          <w:rFonts w:ascii="宋体" w:hAnsi="宋体" w:eastAsia="宋体" w:cs="宋体"/>
          <w:kern w:val="0"/>
          <w:szCs w:val="21"/>
        </w:rPr>
        <w:t>，</w:t>
      </w:r>
      <w:r>
        <w:rPr>
          <w:rFonts w:hint="eastAsia" w:ascii="宋体" w:hAnsi="宋体" w:eastAsia="宋体" w:cs="宋体"/>
          <w:kern w:val="0"/>
          <w:szCs w:val="21"/>
        </w:rPr>
        <w:t>相应地社会保障待遇和福利待遇也被大大削减</w:t>
      </w:r>
      <w:r>
        <w:rPr>
          <w:rFonts w:ascii="宋体" w:hAnsi="宋体" w:eastAsia="宋体" w:cs="宋体"/>
          <w:kern w:val="0"/>
          <w:szCs w:val="21"/>
        </w:rPr>
        <w:t>，</w:t>
      </w:r>
      <w:r>
        <w:rPr>
          <w:rFonts w:hint="eastAsia" w:ascii="宋体" w:hAnsi="宋体" w:eastAsia="宋体" w:cs="宋体"/>
          <w:kern w:val="0"/>
          <w:szCs w:val="21"/>
        </w:rPr>
        <w:t>而且私营经济部门没有合理的工资增长机制。这是我国劳动收入份额降低的主要原因。</w:t>
      </w:r>
    </w:p>
    <w:p w14:paraId="6E171D6D">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此外</w:t>
      </w:r>
      <w:r>
        <w:rPr>
          <w:rFonts w:ascii="宋体" w:hAnsi="宋体" w:eastAsia="宋体" w:cs="宋体"/>
          <w:kern w:val="0"/>
          <w:szCs w:val="21"/>
        </w:rPr>
        <w:t>，</w:t>
      </w:r>
      <w:r>
        <w:rPr>
          <w:rFonts w:hint="eastAsia" w:ascii="宋体" w:hAnsi="宋体" w:eastAsia="宋体" w:cs="宋体"/>
          <w:kern w:val="0"/>
          <w:szCs w:val="21"/>
        </w:rPr>
        <w:t>我国改革开放进程中劳动收入份额的下降还来自两个方面</w:t>
      </w:r>
      <w:r>
        <w:rPr>
          <w:rFonts w:ascii="宋体" w:hAnsi="宋体" w:eastAsia="宋体" w:cs="宋体"/>
          <w:kern w:val="0"/>
          <w:szCs w:val="21"/>
        </w:rPr>
        <w:t>，</w:t>
      </w:r>
      <w:r>
        <w:rPr>
          <w:rFonts w:hint="eastAsia" w:ascii="宋体" w:hAnsi="宋体" w:eastAsia="宋体" w:cs="宋体"/>
          <w:kern w:val="0"/>
          <w:szCs w:val="21"/>
        </w:rPr>
        <w:t>一是农民工收入增长缓慢</w:t>
      </w:r>
      <w:r>
        <w:rPr>
          <w:rFonts w:ascii="宋体" w:hAnsi="宋体" w:eastAsia="宋体" w:cs="宋体"/>
          <w:kern w:val="0"/>
          <w:szCs w:val="21"/>
        </w:rPr>
        <w:t>，</w:t>
      </w:r>
      <w:r>
        <w:rPr>
          <w:rFonts w:hint="eastAsia" w:ascii="宋体" w:hAnsi="宋体" w:eastAsia="宋体" w:cs="宋体"/>
          <w:kern w:val="0"/>
          <w:szCs w:val="21"/>
        </w:rPr>
        <w:t>二是城镇企业内部职工收入增长滞后于管理人员的工资增长。</w:t>
      </w:r>
    </w:p>
    <w:p w14:paraId="2170BCB3">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改革开放以来</w:t>
      </w:r>
      <w:r>
        <w:rPr>
          <w:rFonts w:ascii="宋体" w:hAnsi="宋体" w:eastAsia="宋体" w:cs="宋体"/>
          <w:kern w:val="0"/>
          <w:szCs w:val="21"/>
        </w:rPr>
        <w:t>，</w:t>
      </w:r>
      <w:r>
        <w:rPr>
          <w:rFonts w:hint="eastAsia" w:ascii="宋体" w:hAnsi="宋体" w:eastAsia="宋体" w:cs="宋体"/>
          <w:kern w:val="0"/>
          <w:szCs w:val="21"/>
        </w:rPr>
        <w:t>中国农民工数量越来越庞大</w:t>
      </w:r>
      <w:r>
        <w:rPr>
          <w:rFonts w:ascii="宋体" w:hAnsi="宋体" w:eastAsia="宋体" w:cs="宋体"/>
          <w:kern w:val="0"/>
          <w:szCs w:val="21"/>
        </w:rPr>
        <w:t>，</w:t>
      </w:r>
      <w:r>
        <w:rPr>
          <w:rFonts w:hint="eastAsia" w:ascii="宋体" w:hAnsi="宋体" w:eastAsia="宋体" w:cs="宋体"/>
          <w:kern w:val="0"/>
          <w:szCs w:val="21"/>
        </w:rPr>
        <w:t>工资收入在农村居民家庭中的比重逐年提高。</w:t>
      </w:r>
      <w:r>
        <w:rPr>
          <w:rFonts w:ascii="宋体" w:hAnsi="宋体" w:eastAsia="宋体" w:cs="宋体"/>
          <w:kern w:val="0"/>
          <w:szCs w:val="21"/>
        </w:rPr>
        <w:t>1984-1996</w:t>
      </w:r>
      <w:r>
        <w:rPr>
          <w:rFonts w:hint="eastAsia" w:ascii="宋体" w:hAnsi="宋体" w:eastAsia="宋体" w:cs="宋体"/>
          <w:kern w:val="0"/>
          <w:szCs w:val="21"/>
        </w:rPr>
        <w:t>年</w:t>
      </w:r>
      <w:r>
        <w:rPr>
          <w:rFonts w:ascii="宋体" w:hAnsi="宋体" w:eastAsia="宋体" w:cs="宋体"/>
          <w:kern w:val="0"/>
          <w:szCs w:val="21"/>
        </w:rPr>
        <w:t>，</w:t>
      </w:r>
      <w:r>
        <w:rPr>
          <w:rFonts w:hint="eastAsia" w:ascii="宋体" w:hAnsi="宋体" w:eastAsia="宋体" w:cs="宋体"/>
          <w:kern w:val="0"/>
          <w:szCs w:val="21"/>
        </w:rPr>
        <w:t>我国农民工工资收入占农村居民家庭纯收入的比重从</w:t>
      </w:r>
      <w:r>
        <w:rPr>
          <w:rFonts w:ascii="宋体" w:hAnsi="宋体" w:eastAsia="宋体" w:cs="宋体"/>
          <w:kern w:val="0"/>
          <w:szCs w:val="21"/>
        </w:rPr>
        <w:t>17.17%</w:t>
      </w:r>
      <w:r>
        <w:rPr>
          <w:rFonts w:hint="eastAsia" w:ascii="宋体" w:hAnsi="宋体" w:eastAsia="宋体" w:cs="宋体"/>
          <w:kern w:val="0"/>
          <w:szCs w:val="21"/>
        </w:rPr>
        <w:t>提高到</w:t>
      </w:r>
      <w:r>
        <w:rPr>
          <w:rFonts w:ascii="宋体" w:hAnsi="宋体" w:eastAsia="宋体" w:cs="宋体"/>
          <w:kern w:val="0"/>
          <w:szCs w:val="21"/>
        </w:rPr>
        <w:t>23.59%</w:t>
      </w:r>
      <w:r>
        <w:rPr>
          <w:rFonts w:ascii="宋体" w:hAnsi="宋体" w:eastAsia="宋体" w:cs="宋体"/>
          <w:kern w:val="0"/>
          <w:szCs w:val="21"/>
          <w:vertAlign w:val="superscript"/>
        </w:rPr>
        <w:footnoteReference w:id="585"/>
      </w:r>
      <w:r>
        <w:rPr>
          <w:rFonts w:hint="eastAsia" w:ascii="宋体" w:hAnsi="宋体" w:eastAsia="宋体" w:cs="宋体"/>
          <w:kern w:val="0"/>
          <w:szCs w:val="21"/>
        </w:rPr>
        <w:t>。到</w:t>
      </w:r>
      <w:r>
        <w:rPr>
          <w:rFonts w:ascii="宋体" w:hAnsi="宋体" w:eastAsia="宋体" w:cs="宋体"/>
          <w:kern w:val="0"/>
          <w:szCs w:val="21"/>
        </w:rPr>
        <w:t>2008</w:t>
      </w:r>
      <w:r>
        <w:rPr>
          <w:rFonts w:hint="eastAsia" w:ascii="宋体" w:hAnsi="宋体" w:eastAsia="宋体" w:cs="宋体"/>
          <w:kern w:val="0"/>
          <w:szCs w:val="21"/>
        </w:rPr>
        <w:t>年</w:t>
      </w:r>
      <w:r>
        <w:rPr>
          <w:rFonts w:ascii="宋体" w:hAnsi="宋体" w:eastAsia="宋体" w:cs="宋体"/>
          <w:kern w:val="0"/>
          <w:szCs w:val="21"/>
        </w:rPr>
        <w:t>，</w:t>
      </w:r>
      <w:r>
        <w:rPr>
          <w:rFonts w:hint="eastAsia" w:ascii="宋体" w:hAnsi="宋体" w:eastAsia="宋体" w:cs="宋体"/>
          <w:kern w:val="0"/>
          <w:szCs w:val="21"/>
        </w:rPr>
        <w:t>这一比重又进一步上升到</w:t>
      </w:r>
      <w:r>
        <w:rPr>
          <w:rFonts w:ascii="宋体" w:hAnsi="宋体" w:eastAsia="宋体" w:cs="宋体"/>
          <w:kern w:val="0"/>
          <w:szCs w:val="21"/>
        </w:rPr>
        <w:t>37.42%</w:t>
      </w:r>
      <w:r>
        <w:rPr>
          <w:rFonts w:hint="eastAsia" w:ascii="宋体" w:hAnsi="宋体" w:eastAsia="宋体" w:cs="宋体"/>
          <w:kern w:val="0"/>
          <w:szCs w:val="21"/>
        </w:rPr>
        <w:t>。上海市的这一比例最高</w:t>
      </w:r>
      <w:r>
        <w:rPr>
          <w:rFonts w:ascii="宋体" w:hAnsi="宋体" w:eastAsia="宋体" w:cs="宋体"/>
          <w:kern w:val="0"/>
          <w:szCs w:val="21"/>
        </w:rPr>
        <w:t>，</w:t>
      </w:r>
      <w:r>
        <w:rPr>
          <w:rFonts w:hint="eastAsia" w:ascii="宋体" w:hAnsi="宋体" w:eastAsia="宋体" w:cs="宋体"/>
          <w:kern w:val="0"/>
          <w:szCs w:val="21"/>
        </w:rPr>
        <w:t>高达</w:t>
      </w:r>
      <w:r>
        <w:rPr>
          <w:rFonts w:ascii="宋体" w:hAnsi="宋体" w:eastAsia="宋体" w:cs="宋体"/>
          <w:kern w:val="0"/>
          <w:szCs w:val="21"/>
        </w:rPr>
        <w:t>70%，</w:t>
      </w:r>
      <w:r>
        <w:rPr>
          <w:rFonts w:hint="eastAsia" w:ascii="宋体" w:hAnsi="宋体" w:eastAsia="宋体" w:cs="宋体"/>
          <w:kern w:val="0"/>
          <w:szCs w:val="21"/>
        </w:rPr>
        <w:t>东部沿海地区普遍都在</w:t>
      </w:r>
      <w:r>
        <w:rPr>
          <w:rFonts w:ascii="宋体" w:hAnsi="宋体" w:eastAsia="宋体" w:cs="宋体"/>
          <w:kern w:val="0"/>
          <w:szCs w:val="21"/>
        </w:rPr>
        <w:t>40%</w:t>
      </w:r>
      <w:r>
        <w:rPr>
          <w:rFonts w:hint="eastAsia" w:ascii="宋体" w:hAnsi="宋体" w:eastAsia="宋体" w:cs="宋体"/>
          <w:kern w:val="0"/>
          <w:szCs w:val="21"/>
        </w:rPr>
        <w:t>以上。虽然外出打工收入占农民家庭纯收入的比重越来越高</w:t>
      </w:r>
      <w:r>
        <w:rPr>
          <w:rFonts w:ascii="宋体" w:hAnsi="宋体" w:eastAsia="宋体" w:cs="宋体"/>
          <w:kern w:val="0"/>
          <w:szCs w:val="21"/>
        </w:rPr>
        <w:t>，</w:t>
      </w:r>
      <w:r>
        <w:rPr>
          <w:rFonts w:hint="eastAsia" w:ascii="宋体" w:hAnsi="宋体" w:eastAsia="宋体" w:cs="宋体"/>
          <w:kern w:val="0"/>
          <w:szCs w:val="21"/>
        </w:rPr>
        <w:t>但由于没有最低工资政策的保护</w:t>
      </w:r>
      <w:r>
        <w:rPr>
          <w:rFonts w:ascii="宋体" w:hAnsi="宋体" w:eastAsia="宋体" w:cs="宋体"/>
          <w:kern w:val="0"/>
          <w:szCs w:val="21"/>
        </w:rPr>
        <w:t>，</w:t>
      </w:r>
      <w:r>
        <w:rPr>
          <w:rFonts w:hint="eastAsia" w:ascii="宋体" w:hAnsi="宋体" w:eastAsia="宋体" w:cs="宋体"/>
          <w:kern w:val="0"/>
          <w:szCs w:val="21"/>
        </w:rPr>
        <w:t>农民工的工资增长缓慢。用人单位对农民工实行歧视政策</w:t>
      </w:r>
      <w:r>
        <w:rPr>
          <w:rFonts w:ascii="宋体" w:hAnsi="宋体" w:eastAsia="宋体" w:cs="宋体"/>
          <w:kern w:val="0"/>
          <w:szCs w:val="21"/>
        </w:rPr>
        <w:t>，</w:t>
      </w:r>
      <w:r>
        <w:rPr>
          <w:rFonts w:hint="eastAsia" w:ascii="宋体" w:hAnsi="宋体" w:eastAsia="宋体" w:cs="宋体"/>
          <w:kern w:val="0"/>
          <w:szCs w:val="21"/>
        </w:rPr>
        <w:t>农民工工资增长幅度往往低于城市职工平均工资增长幅度</w:t>
      </w:r>
      <w:r>
        <w:rPr>
          <w:rFonts w:ascii="宋体" w:hAnsi="宋体" w:eastAsia="宋体" w:cs="宋体"/>
          <w:kern w:val="0"/>
          <w:szCs w:val="21"/>
        </w:rPr>
        <w:t>，</w:t>
      </w:r>
      <w:r>
        <w:rPr>
          <w:rFonts w:hint="eastAsia" w:ascii="宋体" w:hAnsi="宋体" w:eastAsia="宋体" w:cs="宋体"/>
          <w:kern w:val="0"/>
          <w:szCs w:val="21"/>
        </w:rPr>
        <w:t>农民工的工资增长只是略高于农村居民家庭的经营性收入增长。由于农民工是中国非公经济新工人群体的重要组成部分</w:t>
      </w:r>
      <w:r>
        <w:rPr>
          <w:rFonts w:ascii="宋体" w:hAnsi="宋体" w:eastAsia="宋体" w:cs="宋体"/>
          <w:kern w:val="0"/>
          <w:szCs w:val="21"/>
        </w:rPr>
        <w:t>，</w:t>
      </w:r>
      <w:r>
        <w:rPr>
          <w:rFonts w:hint="eastAsia" w:ascii="宋体" w:hAnsi="宋体" w:eastAsia="宋体" w:cs="宋体"/>
          <w:kern w:val="0"/>
          <w:szCs w:val="21"/>
        </w:rPr>
        <w:t>农民工工资收入增长缓慢成为国民收入中劳动收入份额不断降低的主要原因之一。</w:t>
      </w:r>
    </w:p>
    <w:p w14:paraId="4476D429">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在企业内部</w:t>
      </w:r>
      <w:r>
        <w:rPr>
          <w:rFonts w:ascii="宋体" w:hAnsi="宋体" w:eastAsia="宋体" w:cs="宋体"/>
          <w:kern w:val="0"/>
          <w:szCs w:val="21"/>
        </w:rPr>
        <w:t>，</w:t>
      </w:r>
      <w:r>
        <w:rPr>
          <w:rFonts w:hint="eastAsia" w:ascii="宋体" w:hAnsi="宋体" w:eastAsia="宋体" w:cs="宋体"/>
          <w:kern w:val="0"/>
          <w:szCs w:val="21"/>
        </w:rPr>
        <w:t>相比于企业管理人员</w:t>
      </w:r>
      <w:r>
        <w:rPr>
          <w:rFonts w:ascii="宋体" w:hAnsi="宋体" w:eastAsia="宋体" w:cs="宋体"/>
          <w:kern w:val="0"/>
          <w:szCs w:val="21"/>
        </w:rPr>
        <w:t>，</w:t>
      </w:r>
      <w:r>
        <w:rPr>
          <w:rFonts w:hint="eastAsia" w:ascii="宋体" w:hAnsi="宋体" w:eastAsia="宋体" w:cs="宋体"/>
          <w:kern w:val="0"/>
          <w:szCs w:val="21"/>
        </w:rPr>
        <w:t>普通职工的劳动收入不断下降</w:t>
      </w:r>
      <w:r>
        <w:rPr>
          <w:rFonts w:ascii="宋体" w:hAnsi="宋体" w:eastAsia="宋体" w:cs="宋体"/>
          <w:kern w:val="0"/>
          <w:szCs w:val="21"/>
        </w:rPr>
        <w:t>，</w:t>
      </w:r>
      <w:r>
        <w:rPr>
          <w:rFonts w:hint="eastAsia" w:ascii="宋体" w:hAnsi="宋体" w:eastAsia="宋体" w:cs="宋体"/>
          <w:kern w:val="0"/>
          <w:szCs w:val="21"/>
        </w:rPr>
        <w:t>企业内部工资差距不断拉大。根据全国总工会的调查</w:t>
      </w:r>
      <w:r>
        <w:rPr>
          <w:rFonts w:ascii="宋体" w:hAnsi="宋体" w:eastAsia="宋体" w:cs="宋体"/>
          <w:kern w:val="0"/>
          <w:szCs w:val="21"/>
        </w:rPr>
        <w:t>，2002-2004</w:t>
      </w:r>
      <w:r>
        <w:rPr>
          <w:rFonts w:hint="eastAsia" w:ascii="宋体" w:hAnsi="宋体" w:eastAsia="宋体" w:cs="宋体"/>
          <w:kern w:val="0"/>
          <w:szCs w:val="21"/>
        </w:rPr>
        <w:t>年我国企业职工工资低于当地社会平均工资的职工占</w:t>
      </w:r>
      <w:r>
        <w:rPr>
          <w:rFonts w:ascii="宋体" w:hAnsi="宋体" w:eastAsia="宋体" w:cs="宋体"/>
          <w:kern w:val="0"/>
          <w:szCs w:val="21"/>
        </w:rPr>
        <w:t>81.8%，</w:t>
      </w:r>
      <w:r>
        <w:rPr>
          <w:rFonts w:hint="eastAsia" w:ascii="宋体" w:hAnsi="宋体" w:eastAsia="宋体" w:cs="宋体"/>
          <w:kern w:val="0"/>
          <w:szCs w:val="21"/>
        </w:rPr>
        <w:t>低于社会平均工资一半的占</w:t>
      </w:r>
      <w:r>
        <w:rPr>
          <w:rFonts w:ascii="宋体" w:hAnsi="宋体" w:eastAsia="宋体" w:cs="宋体"/>
          <w:kern w:val="0"/>
          <w:szCs w:val="21"/>
        </w:rPr>
        <w:t>34.2%，</w:t>
      </w:r>
      <w:r>
        <w:rPr>
          <w:rFonts w:hint="eastAsia" w:ascii="宋体" w:hAnsi="宋体" w:eastAsia="宋体" w:cs="宋体"/>
          <w:kern w:val="0"/>
          <w:szCs w:val="21"/>
        </w:rPr>
        <w:t>低于当地最低工资标准的占</w:t>
      </w:r>
      <w:r>
        <w:rPr>
          <w:rFonts w:ascii="宋体" w:hAnsi="宋体" w:eastAsia="宋体" w:cs="宋体"/>
          <w:kern w:val="0"/>
          <w:szCs w:val="21"/>
        </w:rPr>
        <w:t>12.7%；</w:t>
      </w:r>
      <w:r>
        <w:rPr>
          <w:rFonts w:hint="eastAsia" w:ascii="宋体" w:hAnsi="宋体" w:eastAsia="宋体" w:cs="宋体"/>
          <w:kern w:val="0"/>
          <w:szCs w:val="21"/>
        </w:rPr>
        <w:t>相比于</w:t>
      </w:r>
      <w:r>
        <w:rPr>
          <w:rFonts w:ascii="宋体" w:hAnsi="宋体" w:eastAsia="宋体" w:cs="宋体"/>
          <w:kern w:val="0"/>
          <w:szCs w:val="21"/>
        </w:rPr>
        <w:t>1998-2001</w:t>
      </w:r>
      <w:r>
        <w:rPr>
          <w:rFonts w:hint="eastAsia" w:ascii="宋体" w:hAnsi="宋体" w:eastAsia="宋体" w:cs="宋体"/>
          <w:kern w:val="0"/>
          <w:szCs w:val="21"/>
        </w:rPr>
        <w:t>年</w:t>
      </w:r>
      <w:r>
        <w:rPr>
          <w:rFonts w:ascii="宋体" w:hAnsi="宋体" w:eastAsia="宋体" w:cs="宋体"/>
          <w:kern w:val="0"/>
          <w:szCs w:val="21"/>
        </w:rPr>
        <w:t>，</w:t>
      </w:r>
      <w:r>
        <w:rPr>
          <w:rFonts w:hint="eastAsia" w:ascii="宋体" w:hAnsi="宋体" w:eastAsia="宋体" w:cs="宋体"/>
          <w:kern w:val="0"/>
          <w:szCs w:val="21"/>
        </w:rPr>
        <w:t>低于当地社会平均工资一半的职工增加了</w:t>
      </w:r>
      <w:r>
        <w:rPr>
          <w:rFonts w:ascii="宋体" w:hAnsi="宋体" w:eastAsia="宋体" w:cs="宋体"/>
          <w:kern w:val="0"/>
          <w:szCs w:val="21"/>
        </w:rPr>
        <w:t>14.6</w:t>
      </w:r>
      <w:r>
        <w:rPr>
          <w:rFonts w:hint="eastAsia" w:ascii="宋体" w:hAnsi="宋体" w:eastAsia="宋体" w:cs="宋体"/>
          <w:kern w:val="0"/>
          <w:szCs w:val="21"/>
        </w:rPr>
        <w:t>个百分点。这表明我国低收入劳动者比重扩大了。</w:t>
      </w:r>
    </w:p>
    <w:p w14:paraId="625E4A74">
      <w:pPr>
        <w:autoSpaceDE w:val="0"/>
        <w:autoSpaceDN w:val="0"/>
        <w:spacing w:line="360" w:lineRule="auto"/>
        <w:ind w:firstLine="504"/>
        <w:jc w:val="center"/>
        <w:rPr>
          <w:rFonts w:ascii="宋体" w:hAnsi="宋体" w:eastAsia="宋体" w:cs="Times New Roman"/>
          <w:b/>
          <w:bCs/>
          <w:sz w:val="24"/>
        </w:rPr>
      </w:pPr>
      <w:r>
        <w:rPr>
          <w:rFonts w:hint="eastAsia" w:ascii="宋体" w:hAnsi="宋体" w:eastAsia="宋体" w:cs="Times New Roman"/>
          <w:b/>
          <w:bCs/>
          <w:sz w:val="24"/>
        </w:rPr>
        <w:t>四、关于扩大劳动收入份额和缩小收入分配差距的意义</w:t>
      </w:r>
    </w:p>
    <w:p w14:paraId="460A427F">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李稻葵认为</w:t>
      </w:r>
      <w:r>
        <w:rPr>
          <w:rFonts w:ascii="宋体" w:hAnsi="宋体" w:eastAsia="宋体" w:cs="宋体"/>
          <w:kern w:val="0"/>
          <w:szCs w:val="21"/>
        </w:rPr>
        <w:t>，</w:t>
      </w:r>
      <w:r>
        <w:rPr>
          <w:rFonts w:hint="eastAsia" w:ascii="宋体" w:hAnsi="宋体" w:eastAsia="宋体" w:cs="宋体"/>
          <w:kern w:val="0"/>
          <w:szCs w:val="21"/>
        </w:rPr>
        <w:t>西方国家</w:t>
      </w:r>
      <w:r>
        <w:rPr>
          <w:rFonts w:ascii="宋体" w:hAnsi="宋体" w:eastAsia="宋体" w:cs="宋体"/>
          <w:kern w:val="0"/>
          <w:szCs w:val="21"/>
        </w:rPr>
        <w:t>GDP</w:t>
      </w:r>
      <w:r>
        <w:rPr>
          <w:rFonts w:hint="eastAsia" w:ascii="宋体" w:hAnsi="宋体" w:eastAsia="宋体" w:cs="宋体"/>
          <w:kern w:val="0"/>
          <w:szCs w:val="21"/>
        </w:rPr>
        <w:t>中的劳动份额变动普遍经历了一个</w:t>
      </w:r>
      <w:r>
        <w:rPr>
          <w:rFonts w:ascii="宋体" w:hAnsi="宋体" w:eastAsia="宋体" w:cs="宋体"/>
          <w:kern w:val="0"/>
          <w:szCs w:val="21"/>
        </w:rPr>
        <w:t>U</w:t>
      </w:r>
      <w:r>
        <w:rPr>
          <w:rFonts w:hint="eastAsia" w:ascii="宋体" w:hAnsi="宋体" w:eastAsia="宋体" w:cs="宋体"/>
          <w:kern w:val="0"/>
          <w:szCs w:val="21"/>
        </w:rPr>
        <w:t>型曲线过程</w:t>
      </w:r>
      <w:r>
        <w:rPr>
          <w:rFonts w:ascii="宋体" w:hAnsi="宋体" w:eastAsia="宋体" w:cs="宋体"/>
          <w:kern w:val="0"/>
          <w:szCs w:val="21"/>
        </w:rPr>
        <w:t>，</w:t>
      </w:r>
      <w:r>
        <w:rPr>
          <w:rFonts w:hint="eastAsia" w:ascii="宋体" w:hAnsi="宋体" w:eastAsia="宋体" w:cs="宋体"/>
          <w:kern w:val="0"/>
          <w:szCs w:val="21"/>
        </w:rPr>
        <w:t>即劳动收入份额先下降后上升。其实</w:t>
      </w:r>
      <w:r>
        <w:rPr>
          <w:rFonts w:ascii="宋体" w:hAnsi="宋体" w:eastAsia="宋体" w:cs="宋体"/>
          <w:kern w:val="0"/>
          <w:szCs w:val="21"/>
        </w:rPr>
        <w:t>，</w:t>
      </w:r>
      <w:r>
        <w:rPr>
          <w:rFonts w:hint="eastAsia" w:ascii="宋体" w:hAnsi="宋体" w:eastAsia="宋体" w:cs="宋体"/>
          <w:kern w:val="0"/>
          <w:szCs w:val="21"/>
        </w:rPr>
        <w:t>这不是必然规律。我国劳动收入份额已经经历了十多年的下降阶段了</w:t>
      </w:r>
      <w:r>
        <w:rPr>
          <w:rFonts w:ascii="宋体" w:hAnsi="宋体" w:eastAsia="宋体" w:cs="宋体"/>
          <w:kern w:val="0"/>
          <w:szCs w:val="21"/>
        </w:rPr>
        <w:t>，</w:t>
      </w:r>
      <w:r>
        <w:rPr>
          <w:rFonts w:hint="eastAsia" w:ascii="宋体" w:hAnsi="宋体" w:eastAsia="宋体" w:cs="宋体"/>
          <w:kern w:val="0"/>
          <w:szCs w:val="21"/>
        </w:rPr>
        <w:t>何时能转入上升阶段却面临很大不确定性。但毫无疑问</w:t>
      </w:r>
      <w:r>
        <w:rPr>
          <w:rFonts w:ascii="宋体" w:hAnsi="宋体" w:eastAsia="宋体" w:cs="宋体"/>
          <w:kern w:val="0"/>
          <w:szCs w:val="21"/>
        </w:rPr>
        <w:t>，</w:t>
      </w:r>
      <w:r>
        <w:rPr>
          <w:rFonts w:hint="eastAsia" w:ascii="宋体" w:hAnsi="宋体" w:eastAsia="宋体" w:cs="宋体"/>
          <w:kern w:val="0"/>
          <w:szCs w:val="21"/>
        </w:rPr>
        <w:t>扩大劳动收入份额</w:t>
      </w:r>
      <w:r>
        <w:rPr>
          <w:rFonts w:ascii="宋体" w:hAnsi="宋体" w:eastAsia="宋体" w:cs="宋体"/>
          <w:kern w:val="0"/>
          <w:szCs w:val="21"/>
        </w:rPr>
        <w:t>，</w:t>
      </w:r>
      <w:r>
        <w:rPr>
          <w:rFonts w:hint="eastAsia" w:ascii="宋体" w:hAnsi="宋体" w:eastAsia="宋体" w:cs="宋体"/>
          <w:kern w:val="0"/>
          <w:szCs w:val="21"/>
        </w:rPr>
        <w:t>缩小收入分配差距具有重要的经济意义。</w:t>
      </w:r>
    </w:p>
    <w:p w14:paraId="1A85F105">
      <w:pPr>
        <w:autoSpaceDE w:val="0"/>
        <w:autoSpaceDN w:val="0"/>
        <w:spacing w:line="400" w:lineRule="exact"/>
        <w:ind w:firstLine="420" w:firstLineChars="200"/>
        <w:rPr>
          <w:rFonts w:ascii="宋体" w:hAnsi="宋体" w:eastAsia="宋体" w:cs="宋体"/>
          <w:b/>
          <w:kern w:val="0"/>
          <w:szCs w:val="21"/>
        </w:rPr>
      </w:pPr>
      <w:r>
        <w:rPr>
          <w:rFonts w:ascii="宋体" w:hAnsi="宋体" w:eastAsia="宋体" w:cs="宋体"/>
          <w:b/>
          <w:kern w:val="0"/>
          <w:szCs w:val="21"/>
        </w:rPr>
        <w:t>（</w:t>
      </w:r>
      <w:r>
        <w:rPr>
          <w:rFonts w:hint="eastAsia" w:ascii="宋体" w:hAnsi="宋体" w:eastAsia="宋体" w:cs="宋体"/>
          <w:b/>
          <w:kern w:val="0"/>
          <w:szCs w:val="21"/>
        </w:rPr>
        <w:t>一</w:t>
      </w:r>
      <w:r>
        <w:rPr>
          <w:rFonts w:ascii="宋体" w:hAnsi="宋体" w:eastAsia="宋体" w:cs="宋体"/>
          <w:b/>
          <w:kern w:val="0"/>
          <w:szCs w:val="21"/>
        </w:rPr>
        <w:t>）</w:t>
      </w:r>
      <w:r>
        <w:rPr>
          <w:rFonts w:hint="eastAsia" w:ascii="宋体" w:hAnsi="宋体" w:eastAsia="宋体" w:cs="宋体"/>
          <w:b/>
          <w:kern w:val="0"/>
          <w:szCs w:val="21"/>
        </w:rPr>
        <w:t>刺激国内消费和拉动经济增长的需要</w:t>
      </w:r>
    </w:p>
    <w:p w14:paraId="67B914EA">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要提高我国的经济效率</w:t>
      </w:r>
      <w:r>
        <w:rPr>
          <w:rFonts w:ascii="宋体" w:hAnsi="宋体" w:eastAsia="宋体" w:cs="宋体"/>
          <w:kern w:val="0"/>
          <w:szCs w:val="21"/>
        </w:rPr>
        <w:t>，</w:t>
      </w:r>
      <w:r>
        <w:rPr>
          <w:rFonts w:hint="eastAsia" w:ascii="宋体" w:hAnsi="宋体" w:eastAsia="宋体" w:cs="宋体"/>
          <w:kern w:val="0"/>
          <w:szCs w:val="21"/>
        </w:rPr>
        <w:t>必须转变经济增长方式。我国的经济增长一直以来都是靠高积累、高投资推动。在计划经济年代</w:t>
      </w:r>
      <w:r>
        <w:rPr>
          <w:rFonts w:ascii="宋体" w:hAnsi="宋体" w:eastAsia="宋体" w:cs="宋体"/>
          <w:kern w:val="0"/>
          <w:szCs w:val="21"/>
        </w:rPr>
        <w:t>，</w:t>
      </w:r>
      <w:r>
        <w:rPr>
          <w:rFonts w:hint="eastAsia" w:ascii="宋体" w:hAnsi="宋体" w:eastAsia="宋体" w:cs="宋体"/>
          <w:kern w:val="0"/>
          <w:szCs w:val="21"/>
        </w:rPr>
        <w:t>高积累、高投资的主体是国家</w:t>
      </w:r>
      <w:r>
        <w:rPr>
          <w:rFonts w:ascii="宋体" w:hAnsi="宋体" w:eastAsia="宋体" w:cs="宋体"/>
          <w:kern w:val="0"/>
          <w:szCs w:val="21"/>
        </w:rPr>
        <w:t>；</w:t>
      </w:r>
      <w:r>
        <w:rPr>
          <w:rFonts w:hint="eastAsia" w:ascii="宋体" w:hAnsi="宋体" w:eastAsia="宋体" w:cs="宋体"/>
          <w:kern w:val="0"/>
          <w:szCs w:val="21"/>
        </w:rPr>
        <w:t>而在向社会市场经济转轨的过程中</w:t>
      </w:r>
      <w:r>
        <w:rPr>
          <w:rFonts w:ascii="宋体" w:hAnsi="宋体" w:eastAsia="宋体" w:cs="宋体"/>
          <w:kern w:val="0"/>
          <w:szCs w:val="21"/>
        </w:rPr>
        <w:t>，</w:t>
      </w:r>
      <w:r>
        <w:rPr>
          <w:rFonts w:hint="eastAsia" w:ascii="宋体" w:hAnsi="宋体" w:eastAsia="宋体" w:cs="宋体"/>
          <w:kern w:val="0"/>
          <w:szCs w:val="21"/>
        </w:rPr>
        <w:t>高积累、高投资的的主体既有国有、集体企业</w:t>
      </w:r>
      <w:r>
        <w:rPr>
          <w:rFonts w:ascii="宋体" w:hAnsi="宋体" w:eastAsia="宋体" w:cs="宋体"/>
          <w:kern w:val="0"/>
          <w:szCs w:val="21"/>
        </w:rPr>
        <w:t>，</w:t>
      </w:r>
      <w:r>
        <w:rPr>
          <w:rFonts w:hint="eastAsia" w:ascii="宋体" w:hAnsi="宋体" w:eastAsia="宋体" w:cs="宋体"/>
          <w:kern w:val="0"/>
          <w:szCs w:val="21"/>
        </w:rPr>
        <w:t>也有非公企业。在市场经济条件下</w:t>
      </w:r>
      <w:r>
        <w:rPr>
          <w:rFonts w:ascii="宋体" w:hAnsi="宋体" w:eastAsia="宋体" w:cs="宋体"/>
          <w:kern w:val="0"/>
          <w:szCs w:val="21"/>
        </w:rPr>
        <w:t>，</w:t>
      </w:r>
      <w:r>
        <w:rPr>
          <w:rFonts w:hint="eastAsia" w:ascii="宋体" w:hAnsi="宋体" w:eastAsia="宋体" w:cs="宋体"/>
          <w:kern w:val="0"/>
          <w:szCs w:val="21"/>
        </w:rPr>
        <w:t>高积累、高投资表现为新增价值分配中</w:t>
      </w:r>
      <w:r>
        <w:rPr>
          <w:rFonts w:ascii="宋体" w:hAnsi="宋体" w:eastAsia="宋体" w:cs="宋体"/>
          <w:kern w:val="0"/>
          <w:szCs w:val="21"/>
        </w:rPr>
        <w:t>，</w:t>
      </w:r>
      <w:r>
        <w:rPr>
          <w:rFonts w:hint="eastAsia" w:ascii="宋体" w:hAnsi="宋体" w:eastAsia="宋体" w:cs="宋体"/>
          <w:kern w:val="0"/>
          <w:szCs w:val="21"/>
        </w:rPr>
        <w:t>资本收入份额较高</w:t>
      </w:r>
      <w:r>
        <w:rPr>
          <w:rFonts w:ascii="宋体" w:hAnsi="宋体" w:eastAsia="宋体" w:cs="宋体"/>
          <w:kern w:val="0"/>
          <w:szCs w:val="21"/>
        </w:rPr>
        <w:t>，</w:t>
      </w:r>
      <w:r>
        <w:rPr>
          <w:rFonts w:hint="eastAsia" w:ascii="宋体" w:hAnsi="宋体" w:eastAsia="宋体" w:cs="宋体"/>
          <w:kern w:val="0"/>
          <w:szCs w:val="21"/>
        </w:rPr>
        <w:t>而劳动收入份额较低</w:t>
      </w:r>
      <w:r>
        <w:rPr>
          <w:rFonts w:ascii="宋体" w:hAnsi="宋体" w:eastAsia="宋体" w:cs="宋体"/>
          <w:kern w:val="0"/>
          <w:szCs w:val="21"/>
        </w:rPr>
        <w:t>，</w:t>
      </w:r>
      <w:r>
        <w:rPr>
          <w:rFonts w:hint="eastAsia" w:ascii="宋体" w:hAnsi="宋体" w:eastAsia="宋体" w:cs="宋体"/>
          <w:kern w:val="0"/>
          <w:szCs w:val="21"/>
        </w:rPr>
        <w:t>这必然会降低劳动收入份额</w:t>
      </w:r>
      <w:r>
        <w:rPr>
          <w:rFonts w:ascii="宋体" w:hAnsi="宋体" w:eastAsia="宋体" w:cs="宋体"/>
          <w:kern w:val="0"/>
          <w:szCs w:val="21"/>
        </w:rPr>
        <w:t>，</w:t>
      </w:r>
      <w:r>
        <w:rPr>
          <w:rFonts w:hint="eastAsia" w:ascii="宋体" w:hAnsi="宋体" w:eastAsia="宋体" w:cs="宋体"/>
          <w:kern w:val="0"/>
          <w:szCs w:val="21"/>
        </w:rPr>
        <w:t>压缩国内消费</w:t>
      </w:r>
      <w:r>
        <w:rPr>
          <w:rFonts w:ascii="宋体" w:hAnsi="宋体" w:eastAsia="宋体" w:cs="宋体"/>
          <w:kern w:val="0"/>
          <w:szCs w:val="21"/>
        </w:rPr>
        <w:t>，</w:t>
      </w:r>
      <w:r>
        <w:rPr>
          <w:rFonts w:hint="eastAsia" w:ascii="宋体" w:hAnsi="宋体" w:eastAsia="宋体" w:cs="宋体"/>
          <w:kern w:val="0"/>
          <w:szCs w:val="21"/>
        </w:rPr>
        <w:t>不能发挥出国内居民消费对经济的贡献。正因为我国长期实行高积累、高投资的发展战略</w:t>
      </w:r>
      <w:r>
        <w:rPr>
          <w:rFonts w:ascii="宋体" w:hAnsi="宋体" w:eastAsia="宋体" w:cs="宋体"/>
          <w:kern w:val="0"/>
          <w:szCs w:val="21"/>
        </w:rPr>
        <w:t>，</w:t>
      </w:r>
      <w:r>
        <w:rPr>
          <w:rFonts w:hint="eastAsia" w:ascii="宋体" w:hAnsi="宋体" w:eastAsia="宋体" w:cs="宋体"/>
          <w:kern w:val="0"/>
          <w:szCs w:val="21"/>
        </w:rPr>
        <w:t>劳动收入份额在国民收入中的比重增长缓慢甚至下降</w:t>
      </w:r>
      <w:r>
        <w:rPr>
          <w:rFonts w:ascii="宋体" w:hAnsi="宋体" w:eastAsia="宋体" w:cs="宋体"/>
          <w:kern w:val="0"/>
          <w:szCs w:val="21"/>
        </w:rPr>
        <w:t>，</w:t>
      </w:r>
      <w:r>
        <w:rPr>
          <w:rFonts w:hint="eastAsia" w:ascii="宋体" w:hAnsi="宋体" w:eastAsia="宋体" w:cs="宋体"/>
          <w:kern w:val="0"/>
          <w:szCs w:val="21"/>
        </w:rPr>
        <w:t>居民消费对经济增长的拉动作用有限。在我国的高积累、高投资的增长模式下</w:t>
      </w:r>
      <w:r>
        <w:rPr>
          <w:rFonts w:ascii="宋体" w:hAnsi="宋体" w:eastAsia="宋体" w:cs="宋体"/>
          <w:kern w:val="0"/>
          <w:szCs w:val="21"/>
        </w:rPr>
        <w:t>，</w:t>
      </w:r>
      <w:r>
        <w:rPr>
          <w:rFonts w:hint="eastAsia" w:ascii="宋体" w:hAnsi="宋体" w:eastAsia="宋体" w:cs="宋体"/>
          <w:kern w:val="0"/>
          <w:szCs w:val="21"/>
        </w:rPr>
        <w:t>投资回报率很低</w:t>
      </w:r>
      <w:r>
        <w:rPr>
          <w:rFonts w:ascii="宋体" w:hAnsi="宋体" w:eastAsia="宋体" w:cs="宋体"/>
          <w:kern w:val="0"/>
          <w:szCs w:val="21"/>
        </w:rPr>
        <w:t>，</w:t>
      </w:r>
      <w:r>
        <w:rPr>
          <w:rFonts w:hint="eastAsia" w:ascii="宋体" w:hAnsi="宋体" w:eastAsia="宋体" w:cs="宋体"/>
          <w:kern w:val="0"/>
          <w:szCs w:val="21"/>
        </w:rPr>
        <w:t>经济增长对人民群众的生活水平提高作用有限。</w:t>
      </w:r>
    </w:p>
    <w:p w14:paraId="0BCF86D4">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而如果能够逐步提高劳动收入份额、缩小收入分配差距</w:t>
      </w:r>
      <w:r>
        <w:rPr>
          <w:rFonts w:ascii="宋体" w:hAnsi="宋体" w:eastAsia="宋体" w:cs="宋体"/>
          <w:kern w:val="0"/>
          <w:szCs w:val="21"/>
        </w:rPr>
        <w:t>，</w:t>
      </w:r>
      <w:r>
        <w:rPr>
          <w:rFonts w:hint="eastAsia" w:ascii="宋体" w:hAnsi="宋体" w:eastAsia="宋体" w:cs="宋体"/>
          <w:kern w:val="0"/>
          <w:szCs w:val="21"/>
        </w:rPr>
        <w:t>就能够使经济增长建立在依靠扩大内需的基础上。从而摒弃过去那种仅仅依靠投资与出口拉动经济增长的恶性循环。高投资、低回报率的增长模式就会得到一定程度的转变。未来我国经济的长期增长就有了非常坚实的国内消费基础。</w:t>
      </w:r>
    </w:p>
    <w:p w14:paraId="7002B659">
      <w:pPr>
        <w:autoSpaceDE w:val="0"/>
        <w:autoSpaceDN w:val="0"/>
        <w:spacing w:line="400" w:lineRule="exact"/>
        <w:ind w:firstLine="420" w:firstLineChars="200"/>
        <w:rPr>
          <w:rFonts w:ascii="宋体" w:hAnsi="宋体" w:eastAsia="宋体" w:cs="宋体"/>
          <w:b/>
          <w:kern w:val="0"/>
          <w:szCs w:val="21"/>
        </w:rPr>
      </w:pPr>
      <w:r>
        <w:rPr>
          <w:rFonts w:ascii="宋体" w:hAnsi="宋体" w:eastAsia="宋体" w:cs="宋体"/>
          <w:b/>
          <w:kern w:val="0"/>
          <w:szCs w:val="21"/>
        </w:rPr>
        <w:t>（</w:t>
      </w:r>
      <w:r>
        <w:rPr>
          <w:rFonts w:hint="eastAsia" w:ascii="宋体" w:hAnsi="宋体" w:eastAsia="宋体" w:cs="宋体"/>
          <w:b/>
          <w:kern w:val="0"/>
          <w:szCs w:val="21"/>
        </w:rPr>
        <w:t>二</w:t>
      </w:r>
      <w:r>
        <w:rPr>
          <w:rFonts w:ascii="宋体" w:hAnsi="宋体" w:eastAsia="宋体" w:cs="宋体"/>
          <w:b/>
          <w:kern w:val="0"/>
          <w:szCs w:val="21"/>
        </w:rPr>
        <w:t>）</w:t>
      </w:r>
      <w:r>
        <w:rPr>
          <w:rFonts w:hint="eastAsia" w:ascii="宋体" w:hAnsi="宋体" w:eastAsia="宋体" w:cs="宋体"/>
          <w:b/>
          <w:kern w:val="0"/>
          <w:szCs w:val="21"/>
        </w:rPr>
        <w:t>促进产业结构和外贸结构升级的需要</w:t>
      </w:r>
    </w:p>
    <w:p w14:paraId="3A2655BD">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中国劳动收入份额低</w:t>
      </w:r>
      <w:r>
        <w:rPr>
          <w:rFonts w:ascii="宋体" w:hAnsi="宋体" w:eastAsia="宋体" w:cs="宋体"/>
          <w:kern w:val="0"/>
          <w:szCs w:val="21"/>
        </w:rPr>
        <w:t>，</w:t>
      </w:r>
      <w:r>
        <w:rPr>
          <w:rFonts w:hint="eastAsia" w:ascii="宋体" w:hAnsi="宋体" w:eastAsia="宋体" w:cs="宋体"/>
          <w:kern w:val="0"/>
          <w:szCs w:val="21"/>
        </w:rPr>
        <w:t>和我国出口导向型的外贸战略有重要关系。在改革开放过程中</w:t>
      </w:r>
      <w:r>
        <w:rPr>
          <w:rFonts w:ascii="宋体" w:hAnsi="宋体" w:eastAsia="宋体" w:cs="宋体"/>
          <w:kern w:val="0"/>
          <w:szCs w:val="21"/>
        </w:rPr>
        <w:t>，</w:t>
      </w:r>
      <w:r>
        <w:rPr>
          <w:rFonts w:hint="eastAsia" w:ascii="宋体" w:hAnsi="宋体" w:eastAsia="宋体" w:cs="宋体"/>
          <w:kern w:val="0"/>
          <w:szCs w:val="21"/>
        </w:rPr>
        <w:t>沿海地区的招商引资过于偏重对外加工产业。由于我国有大量的农村剩余劳动力</w:t>
      </w:r>
      <w:r>
        <w:rPr>
          <w:rFonts w:ascii="宋体" w:hAnsi="宋体" w:eastAsia="宋体" w:cs="宋体"/>
          <w:kern w:val="0"/>
          <w:szCs w:val="21"/>
        </w:rPr>
        <w:t>，</w:t>
      </w:r>
      <w:r>
        <w:rPr>
          <w:rFonts w:hint="eastAsia" w:ascii="宋体" w:hAnsi="宋体" w:eastAsia="宋体" w:cs="宋体"/>
          <w:kern w:val="0"/>
          <w:szCs w:val="21"/>
        </w:rPr>
        <w:t>国外企业纷纷把附加值低的加工业转入中国。这些产业对劳动技能要求也低。中国企业利用我国廉价的劳动力</w:t>
      </w:r>
      <w:r>
        <w:rPr>
          <w:rFonts w:ascii="宋体" w:hAnsi="宋体" w:eastAsia="宋体" w:cs="宋体"/>
          <w:kern w:val="0"/>
          <w:szCs w:val="21"/>
        </w:rPr>
        <w:t>，</w:t>
      </w:r>
      <w:r>
        <w:rPr>
          <w:rFonts w:hint="eastAsia" w:ascii="宋体" w:hAnsi="宋体" w:eastAsia="宋体" w:cs="宋体"/>
          <w:kern w:val="0"/>
          <w:szCs w:val="21"/>
        </w:rPr>
        <w:t>进行对外加工</w:t>
      </w:r>
      <w:r>
        <w:rPr>
          <w:rFonts w:ascii="宋体" w:hAnsi="宋体" w:eastAsia="宋体" w:cs="宋体"/>
          <w:kern w:val="0"/>
          <w:szCs w:val="21"/>
        </w:rPr>
        <w:t>，</w:t>
      </w:r>
      <w:r>
        <w:rPr>
          <w:rFonts w:hint="eastAsia" w:ascii="宋体" w:hAnsi="宋体" w:eastAsia="宋体" w:cs="宋体"/>
          <w:kern w:val="0"/>
          <w:szCs w:val="21"/>
        </w:rPr>
        <w:t>创业风险小</w:t>
      </w:r>
      <w:r>
        <w:rPr>
          <w:rFonts w:ascii="宋体" w:hAnsi="宋体" w:eastAsia="宋体" w:cs="宋体"/>
          <w:kern w:val="0"/>
          <w:szCs w:val="21"/>
        </w:rPr>
        <w:t>，</w:t>
      </w:r>
      <w:r>
        <w:rPr>
          <w:rFonts w:hint="eastAsia" w:ascii="宋体" w:hAnsi="宋体" w:eastAsia="宋体" w:cs="宋体"/>
          <w:kern w:val="0"/>
          <w:szCs w:val="21"/>
        </w:rPr>
        <w:t>获利容易</w:t>
      </w:r>
      <w:r>
        <w:rPr>
          <w:rFonts w:ascii="宋体" w:hAnsi="宋体" w:eastAsia="宋体" w:cs="宋体"/>
          <w:kern w:val="0"/>
          <w:szCs w:val="21"/>
        </w:rPr>
        <w:t>，</w:t>
      </w:r>
      <w:r>
        <w:rPr>
          <w:rFonts w:hint="eastAsia" w:ascii="宋体" w:hAnsi="宋体" w:eastAsia="宋体" w:cs="宋体"/>
          <w:kern w:val="0"/>
          <w:szCs w:val="21"/>
        </w:rPr>
        <w:t>因此外向型加工企业迅速发展。在改革开放初期</w:t>
      </w:r>
      <w:r>
        <w:rPr>
          <w:rFonts w:ascii="宋体" w:hAnsi="宋体" w:eastAsia="宋体" w:cs="宋体"/>
          <w:kern w:val="0"/>
          <w:szCs w:val="21"/>
        </w:rPr>
        <w:t>，</w:t>
      </w:r>
      <w:r>
        <w:rPr>
          <w:rFonts w:hint="eastAsia" w:ascii="宋体" w:hAnsi="宋体" w:eastAsia="宋体" w:cs="宋体"/>
          <w:kern w:val="0"/>
          <w:szCs w:val="21"/>
        </w:rPr>
        <w:t>发展低技术、低工资的加工业并没有错。但很多企业在发展过程中没有长远眼光</w:t>
      </w:r>
      <w:r>
        <w:rPr>
          <w:rFonts w:ascii="宋体" w:hAnsi="宋体" w:eastAsia="宋体" w:cs="宋体"/>
          <w:kern w:val="0"/>
          <w:szCs w:val="21"/>
        </w:rPr>
        <w:t>，</w:t>
      </w:r>
      <w:r>
        <w:rPr>
          <w:rFonts w:hint="eastAsia" w:ascii="宋体" w:hAnsi="宋体" w:eastAsia="宋体" w:cs="宋体"/>
          <w:kern w:val="0"/>
          <w:szCs w:val="21"/>
        </w:rPr>
        <w:t>不重视技术更新</w:t>
      </w:r>
      <w:r>
        <w:rPr>
          <w:rFonts w:ascii="宋体" w:hAnsi="宋体" w:eastAsia="宋体" w:cs="宋体"/>
          <w:kern w:val="0"/>
          <w:szCs w:val="21"/>
        </w:rPr>
        <w:t>，</w:t>
      </w:r>
      <w:r>
        <w:rPr>
          <w:rFonts w:hint="eastAsia" w:ascii="宋体" w:hAnsi="宋体" w:eastAsia="宋体" w:cs="宋体"/>
          <w:kern w:val="0"/>
          <w:szCs w:val="21"/>
        </w:rPr>
        <w:t>不重视人才培养</w:t>
      </w:r>
      <w:r>
        <w:rPr>
          <w:rFonts w:ascii="宋体" w:hAnsi="宋体" w:eastAsia="宋体" w:cs="宋体"/>
          <w:kern w:val="0"/>
          <w:szCs w:val="21"/>
        </w:rPr>
        <w:t>，</w:t>
      </w:r>
      <w:r>
        <w:rPr>
          <w:rFonts w:hint="eastAsia" w:ascii="宋体" w:hAnsi="宋体" w:eastAsia="宋体" w:cs="宋体"/>
          <w:kern w:val="0"/>
          <w:szCs w:val="21"/>
        </w:rPr>
        <w:t>不重视品牌创新</w:t>
      </w:r>
      <w:r>
        <w:rPr>
          <w:rFonts w:ascii="宋体" w:hAnsi="宋体" w:eastAsia="宋体" w:cs="宋体"/>
          <w:kern w:val="0"/>
          <w:szCs w:val="21"/>
        </w:rPr>
        <w:t>，</w:t>
      </w:r>
      <w:r>
        <w:rPr>
          <w:rFonts w:hint="eastAsia" w:ascii="宋体" w:hAnsi="宋体" w:eastAsia="宋体" w:cs="宋体"/>
          <w:kern w:val="0"/>
          <w:szCs w:val="21"/>
        </w:rPr>
        <w:t>迷恋于低技术、低成本带来的利润。这种发展模式导致中国加工企业在国际产业链中只占据了非常低的附加值份额。也使得我国产业结构严重滞后于经济发展。</w:t>
      </w:r>
    </w:p>
    <w:p w14:paraId="21A67D48">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如果能提高劳动收入份额</w:t>
      </w:r>
      <w:r>
        <w:rPr>
          <w:rFonts w:ascii="宋体" w:hAnsi="宋体" w:eastAsia="宋体" w:cs="宋体"/>
          <w:kern w:val="0"/>
          <w:szCs w:val="21"/>
        </w:rPr>
        <w:t>，</w:t>
      </w:r>
      <w:r>
        <w:rPr>
          <w:rFonts w:hint="eastAsia" w:ascii="宋体" w:hAnsi="宋体" w:eastAsia="宋体" w:cs="宋体"/>
          <w:kern w:val="0"/>
          <w:szCs w:val="21"/>
        </w:rPr>
        <w:t>势必增加以往一些制造业的生产成本</w:t>
      </w:r>
      <w:r>
        <w:rPr>
          <w:rFonts w:ascii="宋体" w:hAnsi="宋体" w:eastAsia="宋体" w:cs="宋体"/>
          <w:kern w:val="0"/>
          <w:szCs w:val="21"/>
        </w:rPr>
        <w:t>，</w:t>
      </w:r>
      <w:r>
        <w:rPr>
          <w:rFonts w:hint="eastAsia" w:ascii="宋体" w:hAnsi="宋体" w:eastAsia="宋体" w:cs="宋体"/>
          <w:kern w:val="0"/>
          <w:szCs w:val="21"/>
        </w:rPr>
        <w:t>这种竞争机制将使得很多企业不得不依靠通过引进先进的技术设备与人才</w:t>
      </w:r>
      <w:r>
        <w:rPr>
          <w:rFonts w:ascii="宋体" w:hAnsi="宋体" w:eastAsia="宋体" w:cs="宋体"/>
          <w:kern w:val="0"/>
          <w:szCs w:val="21"/>
        </w:rPr>
        <w:t>，</w:t>
      </w:r>
      <w:r>
        <w:rPr>
          <w:rFonts w:hint="eastAsia" w:ascii="宋体" w:hAnsi="宋体" w:eastAsia="宋体" w:cs="宋体"/>
          <w:kern w:val="0"/>
          <w:szCs w:val="21"/>
        </w:rPr>
        <w:t>或者通过企业内部的技术创新来提高产业附加值以弥补由于工资收入增长所带来的成本上升。企业提高资本使用效率</w:t>
      </w:r>
      <w:r>
        <w:rPr>
          <w:rFonts w:ascii="宋体" w:hAnsi="宋体" w:eastAsia="宋体" w:cs="宋体"/>
          <w:kern w:val="0"/>
          <w:szCs w:val="21"/>
        </w:rPr>
        <w:t>，</w:t>
      </w:r>
      <w:r>
        <w:rPr>
          <w:rFonts w:hint="eastAsia" w:ascii="宋体" w:hAnsi="宋体" w:eastAsia="宋体" w:cs="宋体"/>
          <w:kern w:val="0"/>
          <w:szCs w:val="21"/>
        </w:rPr>
        <w:t>逐渐转向附加值高的产品和产业</w:t>
      </w:r>
      <w:r>
        <w:rPr>
          <w:rFonts w:ascii="宋体" w:hAnsi="宋体" w:eastAsia="宋体" w:cs="宋体"/>
          <w:kern w:val="0"/>
          <w:szCs w:val="21"/>
        </w:rPr>
        <w:t>，</w:t>
      </w:r>
      <w:r>
        <w:rPr>
          <w:rFonts w:hint="eastAsia" w:ascii="宋体" w:hAnsi="宋体" w:eastAsia="宋体" w:cs="宋体"/>
          <w:kern w:val="0"/>
          <w:szCs w:val="21"/>
        </w:rPr>
        <w:t>进而以实现劳动收入份额提高和产业结构升级相互促进、良性循环。这也是我国产业发展走出粗放型发展</w:t>
      </w:r>
      <w:r>
        <w:rPr>
          <w:rFonts w:ascii="宋体" w:hAnsi="宋体" w:eastAsia="宋体" w:cs="宋体"/>
          <w:kern w:val="0"/>
          <w:szCs w:val="21"/>
        </w:rPr>
        <w:t>，</w:t>
      </w:r>
      <w:r>
        <w:rPr>
          <w:rFonts w:hint="eastAsia" w:ascii="宋体" w:hAnsi="宋体" w:eastAsia="宋体" w:cs="宋体"/>
          <w:kern w:val="0"/>
          <w:szCs w:val="21"/>
        </w:rPr>
        <w:t>进入集约化经营的重要条件。实现产业发展的这一转变有两方面的好处</w:t>
      </w:r>
      <w:r>
        <w:rPr>
          <w:rFonts w:ascii="宋体" w:hAnsi="宋体" w:eastAsia="宋体" w:cs="宋体"/>
          <w:kern w:val="0"/>
          <w:szCs w:val="21"/>
        </w:rPr>
        <w:t>，</w:t>
      </w:r>
      <w:r>
        <w:rPr>
          <w:rFonts w:hint="eastAsia" w:ascii="宋体" w:hAnsi="宋体" w:eastAsia="宋体" w:cs="宋体"/>
          <w:kern w:val="0"/>
          <w:szCs w:val="21"/>
        </w:rPr>
        <w:t>一方面会提高内需对经济增长的带动作用</w:t>
      </w:r>
      <w:r>
        <w:rPr>
          <w:rFonts w:ascii="宋体" w:hAnsi="宋体" w:eastAsia="宋体" w:cs="宋体"/>
          <w:kern w:val="0"/>
          <w:szCs w:val="21"/>
        </w:rPr>
        <w:t>，</w:t>
      </w:r>
      <w:r>
        <w:rPr>
          <w:rFonts w:hint="eastAsia" w:ascii="宋体" w:hAnsi="宋体" w:eastAsia="宋体" w:cs="宋体"/>
          <w:kern w:val="0"/>
          <w:szCs w:val="21"/>
        </w:rPr>
        <w:t>另一方面可以在很大程度上降低我国外贸依存度。当然</w:t>
      </w:r>
      <w:r>
        <w:rPr>
          <w:rFonts w:ascii="宋体" w:hAnsi="宋体" w:eastAsia="宋体" w:cs="宋体"/>
          <w:kern w:val="0"/>
          <w:szCs w:val="21"/>
        </w:rPr>
        <w:t>，</w:t>
      </w:r>
      <w:r>
        <w:rPr>
          <w:rFonts w:hint="eastAsia" w:ascii="宋体" w:hAnsi="宋体" w:eastAsia="宋体" w:cs="宋体"/>
          <w:kern w:val="0"/>
          <w:szCs w:val="21"/>
        </w:rPr>
        <w:t>在这一过程中</w:t>
      </w:r>
      <w:r>
        <w:rPr>
          <w:rFonts w:ascii="宋体" w:hAnsi="宋体" w:eastAsia="宋体" w:cs="宋体"/>
          <w:kern w:val="0"/>
          <w:szCs w:val="21"/>
        </w:rPr>
        <w:t>，</w:t>
      </w:r>
      <w:r>
        <w:rPr>
          <w:rFonts w:hint="eastAsia" w:ascii="宋体" w:hAnsi="宋体" w:eastAsia="宋体" w:cs="宋体"/>
          <w:kern w:val="0"/>
          <w:szCs w:val="21"/>
        </w:rPr>
        <w:t>政府必须推动教育的普及和劳动力质量的提高</w:t>
      </w:r>
      <w:r>
        <w:rPr>
          <w:rFonts w:ascii="宋体" w:hAnsi="宋体" w:eastAsia="宋体" w:cs="宋体"/>
          <w:kern w:val="0"/>
          <w:szCs w:val="21"/>
        </w:rPr>
        <w:t>，</w:t>
      </w:r>
      <w:r>
        <w:rPr>
          <w:rFonts w:hint="eastAsia" w:ascii="宋体" w:hAnsi="宋体" w:eastAsia="宋体" w:cs="宋体"/>
          <w:kern w:val="0"/>
          <w:szCs w:val="21"/>
        </w:rPr>
        <w:t>为产业结构升级提供条件。</w:t>
      </w:r>
    </w:p>
    <w:p w14:paraId="181A6C71">
      <w:pPr>
        <w:autoSpaceDE w:val="0"/>
        <w:autoSpaceDN w:val="0"/>
        <w:spacing w:line="360" w:lineRule="auto"/>
        <w:ind w:firstLine="504"/>
        <w:jc w:val="center"/>
        <w:rPr>
          <w:rFonts w:ascii="宋体" w:hAnsi="宋体" w:eastAsia="宋体" w:cs="Times New Roman"/>
          <w:b/>
          <w:bCs/>
          <w:sz w:val="24"/>
        </w:rPr>
      </w:pPr>
      <w:r>
        <w:rPr>
          <w:rFonts w:hint="eastAsia" w:ascii="宋体" w:hAnsi="宋体" w:eastAsia="宋体" w:cs="Times New Roman"/>
          <w:b/>
          <w:bCs/>
          <w:sz w:val="24"/>
        </w:rPr>
        <w:t>五、关于政府在缩小劳动收入差距过程中的作用</w:t>
      </w:r>
    </w:p>
    <w:p w14:paraId="03C85EC8">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鉴于近几年我国劳动收入份额逐渐下滑所带来的弊端</w:t>
      </w:r>
      <w:r>
        <w:rPr>
          <w:rFonts w:ascii="宋体" w:hAnsi="宋体" w:eastAsia="宋体" w:cs="宋体"/>
          <w:kern w:val="0"/>
          <w:szCs w:val="21"/>
        </w:rPr>
        <w:t>，</w:t>
      </w:r>
      <w:r>
        <w:rPr>
          <w:rFonts w:hint="eastAsia" w:ascii="宋体" w:hAnsi="宋体" w:eastAsia="宋体" w:cs="宋体"/>
          <w:kern w:val="0"/>
          <w:szCs w:val="21"/>
        </w:rPr>
        <w:t>适时提高劳动收入份额实属必要</w:t>
      </w:r>
      <w:r>
        <w:rPr>
          <w:rFonts w:ascii="宋体" w:hAnsi="宋体" w:eastAsia="宋体" w:cs="宋体"/>
          <w:kern w:val="0"/>
          <w:szCs w:val="21"/>
        </w:rPr>
        <w:t>，</w:t>
      </w:r>
      <w:r>
        <w:rPr>
          <w:rFonts w:hint="eastAsia" w:ascii="宋体" w:hAnsi="宋体" w:eastAsia="宋体" w:cs="宋体"/>
          <w:kern w:val="0"/>
          <w:szCs w:val="21"/>
        </w:rPr>
        <w:t>政府在缩小劳动收入差距的过程中不能缺位</w:t>
      </w:r>
      <w:r>
        <w:rPr>
          <w:rFonts w:ascii="宋体" w:hAnsi="宋体" w:eastAsia="宋体" w:cs="宋体"/>
          <w:kern w:val="0"/>
          <w:szCs w:val="21"/>
        </w:rPr>
        <w:t>，</w:t>
      </w:r>
      <w:r>
        <w:rPr>
          <w:rFonts w:hint="eastAsia" w:ascii="宋体" w:hAnsi="宋体" w:eastAsia="宋体" w:cs="宋体"/>
          <w:kern w:val="0"/>
          <w:szCs w:val="21"/>
        </w:rPr>
        <w:t>因为提高劳动收入份额缩小劳动收入差距是深入落实科学发展观</w:t>
      </w:r>
      <w:r>
        <w:rPr>
          <w:rFonts w:ascii="宋体" w:hAnsi="宋体" w:eastAsia="宋体" w:cs="宋体"/>
          <w:kern w:val="0"/>
          <w:szCs w:val="21"/>
        </w:rPr>
        <w:t>，</w:t>
      </w:r>
      <w:r>
        <w:rPr>
          <w:rFonts w:hint="eastAsia" w:ascii="宋体" w:hAnsi="宋体" w:eastAsia="宋体" w:cs="宋体"/>
          <w:kern w:val="0"/>
          <w:szCs w:val="21"/>
        </w:rPr>
        <w:t>发展成果要合理分享的需要</w:t>
      </w:r>
      <w:r>
        <w:rPr>
          <w:rFonts w:ascii="宋体" w:hAnsi="宋体" w:eastAsia="宋体" w:cs="宋体"/>
          <w:kern w:val="0"/>
          <w:szCs w:val="21"/>
        </w:rPr>
        <w:t>；</w:t>
      </w:r>
      <w:r>
        <w:rPr>
          <w:rFonts w:hint="eastAsia" w:ascii="宋体" w:hAnsi="宋体" w:eastAsia="宋体" w:cs="宋体"/>
          <w:kern w:val="0"/>
          <w:szCs w:val="21"/>
        </w:rPr>
        <w:t>也是刺激国内消费和拉动经济增长的需要</w:t>
      </w:r>
      <w:r>
        <w:rPr>
          <w:rFonts w:ascii="宋体" w:hAnsi="宋体" w:eastAsia="宋体" w:cs="宋体"/>
          <w:kern w:val="0"/>
          <w:szCs w:val="21"/>
        </w:rPr>
        <w:t>；</w:t>
      </w:r>
      <w:r>
        <w:rPr>
          <w:rFonts w:hint="eastAsia" w:ascii="宋体" w:hAnsi="宋体" w:eastAsia="宋体" w:cs="宋体"/>
          <w:kern w:val="0"/>
          <w:szCs w:val="21"/>
        </w:rPr>
        <w:t>更是促进产业结构和外贸结构升级的需要。上述三者都不能离开政府的宏观调控。具体而言</w:t>
      </w:r>
      <w:r>
        <w:rPr>
          <w:rFonts w:ascii="宋体" w:hAnsi="宋体" w:eastAsia="宋体" w:cs="宋体"/>
          <w:kern w:val="0"/>
          <w:szCs w:val="21"/>
        </w:rPr>
        <w:t>：</w:t>
      </w:r>
    </w:p>
    <w:p w14:paraId="7B8BA369">
      <w:pPr>
        <w:autoSpaceDE w:val="0"/>
        <w:autoSpaceDN w:val="0"/>
        <w:spacing w:line="400" w:lineRule="exact"/>
        <w:ind w:firstLine="420" w:firstLineChars="200"/>
        <w:rPr>
          <w:rFonts w:ascii="宋体" w:hAnsi="宋体" w:eastAsia="宋体" w:cs="宋体"/>
          <w:b/>
          <w:kern w:val="0"/>
          <w:szCs w:val="21"/>
        </w:rPr>
      </w:pPr>
      <w:r>
        <w:rPr>
          <w:rFonts w:ascii="宋体" w:hAnsi="宋体" w:eastAsia="宋体" w:cs="宋体"/>
          <w:b/>
          <w:kern w:val="0"/>
          <w:szCs w:val="21"/>
        </w:rPr>
        <w:t>（</w:t>
      </w:r>
      <w:r>
        <w:rPr>
          <w:rFonts w:hint="eastAsia" w:ascii="宋体" w:hAnsi="宋体" w:eastAsia="宋体" w:cs="宋体"/>
          <w:b/>
          <w:kern w:val="0"/>
          <w:szCs w:val="21"/>
        </w:rPr>
        <w:t>一</w:t>
      </w:r>
      <w:r>
        <w:rPr>
          <w:rFonts w:ascii="宋体" w:hAnsi="宋体" w:eastAsia="宋体" w:cs="宋体"/>
          <w:b/>
          <w:kern w:val="0"/>
          <w:szCs w:val="21"/>
        </w:rPr>
        <w:t>）</w:t>
      </w:r>
      <w:r>
        <w:rPr>
          <w:rFonts w:hint="eastAsia" w:ascii="宋体" w:hAnsi="宋体" w:eastAsia="宋体" w:cs="宋体"/>
          <w:b/>
          <w:kern w:val="0"/>
          <w:szCs w:val="21"/>
        </w:rPr>
        <w:t>壮大和完善按劳分配为主体的所有制基础</w:t>
      </w:r>
    </w:p>
    <w:p w14:paraId="46CCC020">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这是提高劳动收入份额的首要条件。所有制关系决定分配关系</w:t>
      </w:r>
      <w:r>
        <w:rPr>
          <w:rFonts w:ascii="宋体" w:hAnsi="宋体" w:eastAsia="宋体" w:cs="宋体"/>
          <w:kern w:val="0"/>
          <w:szCs w:val="21"/>
        </w:rPr>
        <w:t>，</w:t>
      </w:r>
      <w:r>
        <w:rPr>
          <w:rFonts w:hint="eastAsia" w:ascii="宋体" w:hAnsi="宋体" w:eastAsia="宋体" w:cs="宋体"/>
          <w:kern w:val="0"/>
          <w:szCs w:val="21"/>
        </w:rPr>
        <w:t>要在全社会范围内维护和积极提高劳动收入的占比</w:t>
      </w:r>
      <w:r>
        <w:rPr>
          <w:rFonts w:ascii="宋体" w:hAnsi="宋体" w:eastAsia="宋体" w:cs="宋体"/>
          <w:kern w:val="0"/>
          <w:szCs w:val="21"/>
        </w:rPr>
        <w:t>，</w:t>
      </w:r>
      <w:r>
        <w:rPr>
          <w:rFonts w:hint="eastAsia" w:ascii="宋体" w:hAnsi="宋体" w:eastAsia="宋体" w:cs="宋体"/>
          <w:kern w:val="0"/>
          <w:szCs w:val="21"/>
        </w:rPr>
        <w:t>就必须坚持按劳分配为主体</w:t>
      </w:r>
      <w:r>
        <w:rPr>
          <w:rFonts w:ascii="宋体" w:hAnsi="宋体" w:eastAsia="宋体" w:cs="宋体"/>
          <w:kern w:val="0"/>
          <w:szCs w:val="21"/>
        </w:rPr>
        <w:t>，</w:t>
      </w:r>
      <w:r>
        <w:rPr>
          <w:rFonts w:hint="eastAsia" w:ascii="宋体" w:hAnsi="宋体" w:eastAsia="宋体" w:cs="宋体"/>
          <w:kern w:val="0"/>
          <w:szCs w:val="21"/>
        </w:rPr>
        <w:t>必须遵照十七大的要求毫不动摇地巩固和发展公有制经济</w:t>
      </w:r>
      <w:r>
        <w:rPr>
          <w:rFonts w:ascii="宋体" w:hAnsi="宋体" w:eastAsia="宋体" w:cs="宋体"/>
          <w:kern w:val="0"/>
          <w:szCs w:val="21"/>
        </w:rPr>
        <w:t>，</w:t>
      </w:r>
      <w:r>
        <w:rPr>
          <w:rFonts w:hint="eastAsia" w:ascii="宋体" w:hAnsi="宋体" w:eastAsia="宋体" w:cs="宋体"/>
          <w:kern w:val="0"/>
          <w:szCs w:val="21"/>
        </w:rPr>
        <w:t>包括国有经济和多种形式的集体经济、合作经济。公有经济是消灭剥削、消除两极分化、实现共同富裕的经济基础</w:t>
      </w:r>
      <w:r>
        <w:rPr>
          <w:rFonts w:ascii="宋体" w:hAnsi="宋体" w:eastAsia="宋体" w:cs="宋体"/>
          <w:kern w:val="0"/>
          <w:szCs w:val="21"/>
        </w:rPr>
        <w:t>，</w:t>
      </w:r>
      <w:r>
        <w:rPr>
          <w:rFonts w:hint="eastAsia" w:ascii="宋体" w:hAnsi="宋体" w:eastAsia="宋体" w:cs="宋体"/>
          <w:kern w:val="0"/>
          <w:szCs w:val="21"/>
        </w:rPr>
        <w:t>是发展现代社会化生产力的市场主体</w:t>
      </w:r>
      <w:r>
        <w:rPr>
          <w:rFonts w:ascii="宋体" w:hAnsi="宋体" w:eastAsia="宋体" w:cs="宋体"/>
          <w:kern w:val="0"/>
          <w:szCs w:val="21"/>
        </w:rPr>
        <w:t>，</w:t>
      </w:r>
      <w:r>
        <w:rPr>
          <w:rFonts w:hint="eastAsia" w:ascii="宋体" w:hAnsi="宋体" w:eastAsia="宋体" w:cs="宋体"/>
          <w:kern w:val="0"/>
          <w:szCs w:val="21"/>
        </w:rPr>
        <w:t>也是限制非公经济剥削、提高劳动收入的重要途径和经济力量。多年来的事实表明</w:t>
      </w:r>
      <w:r>
        <w:rPr>
          <w:rFonts w:ascii="宋体" w:hAnsi="宋体" w:eastAsia="宋体" w:cs="宋体"/>
          <w:kern w:val="0"/>
          <w:szCs w:val="21"/>
        </w:rPr>
        <w:t>，</w:t>
      </w:r>
      <w:r>
        <w:rPr>
          <w:rFonts w:hint="eastAsia" w:ascii="宋体" w:hAnsi="宋体" w:eastAsia="宋体" w:cs="宋体"/>
          <w:kern w:val="0"/>
          <w:szCs w:val="21"/>
        </w:rPr>
        <w:t>公有制和按劳分配的主体地位日渐削弱</w:t>
      </w:r>
      <w:r>
        <w:rPr>
          <w:rFonts w:ascii="宋体" w:hAnsi="宋体" w:eastAsia="宋体" w:cs="宋体"/>
          <w:kern w:val="0"/>
          <w:szCs w:val="21"/>
        </w:rPr>
        <w:t>，</w:t>
      </w:r>
      <w:r>
        <w:rPr>
          <w:rFonts w:hint="eastAsia" w:ascii="宋体" w:hAnsi="宋体" w:eastAsia="宋体" w:cs="宋体"/>
          <w:kern w:val="0"/>
          <w:szCs w:val="21"/>
        </w:rPr>
        <w:t>劳动收入的占比不断下降</w:t>
      </w:r>
      <w:r>
        <w:rPr>
          <w:rFonts w:ascii="宋体" w:hAnsi="宋体" w:eastAsia="宋体" w:cs="宋体"/>
          <w:kern w:val="0"/>
          <w:szCs w:val="21"/>
        </w:rPr>
        <w:t>，</w:t>
      </w:r>
      <w:r>
        <w:rPr>
          <w:rFonts w:hint="eastAsia" w:ascii="宋体" w:hAnsi="宋体" w:eastAsia="宋体" w:cs="宋体"/>
          <w:kern w:val="0"/>
          <w:szCs w:val="21"/>
        </w:rPr>
        <w:t>归根到底是由于公有经济的主体地位被旁落</w:t>
      </w:r>
      <w:r>
        <w:rPr>
          <w:rFonts w:ascii="宋体" w:hAnsi="宋体" w:eastAsia="宋体" w:cs="宋体"/>
          <w:kern w:val="0"/>
          <w:szCs w:val="21"/>
        </w:rPr>
        <w:t>（</w:t>
      </w:r>
      <w:r>
        <w:rPr>
          <w:rFonts w:hint="eastAsia" w:ascii="宋体" w:hAnsi="宋体" w:eastAsia="宋体" w:cs="宋体"/>
          <w:kern w:val="0"/>
          <w:szCs w:val="21"/>
        </w:rPr>
        <w:t>被卖掉、被吞占</w:t>
      </w:r>
      <w:r>
        <w:rPr>
          <w:rFonts w:ascii="宋体" w:hAnsi="宋体" w:eastAsia="宋体" w:cs="宋体"/>
          <w:kern w:val="0"/>
          <w:szCs w:val="21"/>
        </w:rPr>
        <w:t>）</w:t>
      </w:r>
      <w:r>
        <w:rPr>
          <w:rFonts w:hint="eastAsia" w:ascii="宋体" w:hAnsi="宋体" w:eastAsia="宋体" w:cs="宋体"/>
          <w:kern w:val="0"/>
          <w:szCs w:val="21"/>
        </w:rPr>
        <w:t>。应当总结这方面的教训</w:t>
      </w:r>
      <w:r>
        <w:rPr>
          <w:rFonts w:ascii="宋体" w:hAnsi="宋体" w:eastAsia="宋体" w:cs="宋体"/>
          <w:kern w:val="0"/>
          <w:szCs w:val="21"/>
        </w:rPr>
        <w:t>，</w:t>
      </w:r>
      <w:r>
        <w:rPr>
          <w:rFonts w:hint="eastAsia" w:ascii="宋体" w:hAnsi="宋体" w:eastAsia="宋体" w:cs="宋体"/>
          <w:kern w:val="0"/>
          <w:szCs w:val="21"/>
        </w:rPr>
        <w:t>澄清种种贬低削弱公有经济的私有化思潮</w:t>
      </w:r>
      <w:r>
        <w:rPr>
          <w:rFonts w:ascii="宋体" w:hAnsi="宋体" w:eastAsia="宋体" w:cs="宋体"/>
          <w:kern w:val="0"/>
          <w:szCs w:val="21"/>
        </w:rPr>
        <w:t>，</w:t>
      </w:r>
      <w:r>
        <w:rPr>
          <w:rFonts w:hint="eastAsia" w:ascii="宋体" w:hAnsi="宋体" w:eastAsia="宋体" w:cs="宋体"/>
          <w:kern w:val="0"/>
          <w:szCs w:val="21"/>
        </w:rPr>
        <w:t>真正下力气发展壮大和完善公有经济。这是深化收入分配制度改革的一个支点</w:t>
      </w:r>
      <w:r>
        <w:rPr>
          <w:rFonts w:ascii="宋体" w:hAnsi="宋体" w:eastAsia="宋体" w:cs="宋体"/>
          <w:kern w:val="0"/>
          <w:szCs w:val="21"/>
        </w:rPr>
        <w:t>，</w:t>
      </w:r>
      <w:r>
        <w:rPr>
          <w:rFonts w:hint="eastAsia" w:ascii="宋体" w:hAnsi="宋体" w:eastAsia="宋体" w:cs="宋体"/>
          <w:kern w:val="0"/>
          <w:szCs w:val="21"/>
        </w:rPr>
        <w:t>对于尽快提高劳动收入份额</w:t>
      </w:r>
      <w:r>
        <w:rPr>
          <w:rFonts w:ascii="宋体" w:hAnsi="宋体" w:eastAsia="宋体" w:cs="宋体"/>
          <w:kern w:val="0"/>
          <w:szCs w:val="21"/>
        </w:rPr>
        <w:t>，</w:t>
      </w:r>
      <w:r>
        <w:rPr>
          <w:rFonts w:hint="eastAsia" w:ascii="宋体" w:hAnsi="宋体" w:eastAsia="宋体" w:cs="宋体"/>
          <w:kern w:val="0"/>
          <w:szCs w:val="21"/>
        </w:rPr>
        <w:t>具有最重要的意义。</w:t>
      </w:r>
    </w:p>
    <w:p w14:paraId="08A8209F">
      <w:pPr>
        <w:autoSpaceDE w:val="0"/>
        <w:autoSpaceDN w:val="0"/>
        <w:spacing w:line="400" w:lineRule="exact"/>
        <w:ind w:firstLine="420" w:firstLineChars="200"/>
        <w:rPr>
          <w:rFonts w:ascii="宋体" w:hAnsi="宋体" w:eastAsia="宋体" w:cs="宋体"/>
          <w:b/>
          <w:kern w:val="0"/>
          <w:szCs w:val="21"/>
        </w:rPr>
      </w:pPr>
      <w:r>
        <w:rPr>
          <w:rFonts w:ascii="宋体" w:hAnsi="宋体" w:eastAsia="宋体" w:cs="宋体"/>
          <w:b/>
          <w:kern w:val="0"/>
          <w:szCs w:val="21"/>
        </w:rPr>
        <w:t>（</w:t>
      </w:r>
      <w:r>
        <w:rPr>
          <w:rFonts w:hint="eastAsia" w:ascii="宋体" w:hAnsi="宋体" w:eastAsia="宋体" w:cs="宋体"/>
          <w:b/>
          <w:kern w:val="0"/>
          <w:szCs w:val="21"/>
        </w:rPr>
        <w:t>二</w:t>
      </w:r>
      <w:r>
        <w:rPr>
          <w:rFonts w:ascii="宋体" w:hAnsi="宋体" w:eastAsia="宋体" w:cs="宋体"/>
          <w:b/>
          <w:kern w:val="0"/>
          <w:szCs w:val="21"/>
        </w:rPr>
        <w:t>）</w:t>
      </w:r>
      <w:r>
        <w:rPr>
          <w:rFonts w:hint="eastAsia" w:ascii="宋体" w:hAnsi="宋体" w:eastAsia="宋体" w:cs="宋体"/>
          <w:b/>
          <w:kern w:val="0"/>
          <w:szCs w:val="21"/>
        </w:rPr>
        <w:t>构建国家主导型劳动者维权机制</w:t>
      </w:r>
    </w:p>
    <w:p w14:paraId="19A8B70C">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这是提高劳动收入份额的必要条件。目前我国</w:t>
      </w:r>
      <w:r>
        <w:rPr>
          <w:rFonts w:ascii="宋体" w:hAnsi="宋体" w:eastAsia="宋体" w:cs="宋体"/>
          <w:kern w:val="0"/>
          <w:szCs w:val="21"/>
        </w:rPr>
        <w:t>70%</w:t>
      </w:r>
      <w:r>
        <w:rPr>
          <w:rFonts w:hint="eastAsia" w:ascii="宋体" w:hAnsi="宋体" w:eastAsia="宋体" w:cs="宋体"/>
          <w:kern w:val="0"/>
          <w:szCs w:val="21"/>
        </w:rPr>
        <w:t>以上的劳动者在非公企业就业</w:t>
      </w:r>
      <w:r>
        <w:rPr>
          <w:rFonts w:ascii="宋体" w:hAnsi="宋体" w:eastAsia="宋体" w:cs="宋体"/>
          <w:kern w:val="0"/>
          <w:szCs w:val="21"/>
        </w:rPr>
        <w:t>，</w:t>
      </w:r>
      <w:r>
        <w:rPr>
          <w:rFonts w:hint="eastAsia" w:ascii="宋体" w:hAnsi="宋体" w:eastAsia="宋体" w:cs="宋体"/>
          <w:kern w:val="0"/>
          <w:szCs w:val="21"/>
        </w:rPr>
        <w:t>加不加工资主要由老板说了算</w:t>
      </w:r>
      <w:r>
        <w:rPr>
          <w:rFonts w:ascii="宋体" w:hAnsi="宋体" w:eastAsia="宋体" w:cs="宋体"/>
          <w:kern w:val="0"/>
          <w:szCs w:val="21"/>
        </w:rPr>
        <w:t>，</w:t>
      </w:r>
      <w:r>
        <w:rPr>
          <w:rFonts w:hint="eastAsia" w:ascii="宋体" w:hAnsi="宋体" w:eastAsia="宋体" w:cs="宋体"/>
          <w:kern w:val="0"/>
          <w:szCs w:val="21"/>
        </w:rPr>
        <w:t>政府干预的空间很小。西方政府是站在雇主阶级的立场上主要靠事后调节来协调劳资关系。作为人民政府而非中性政府的社会主义政府汲取西方的教训</w:t>
      </w:r>
      <w:r>
        <w:rPr>
          <w:rFonts w:ascii="宋体" w:hAnsi="宋体" w:eastAsia="宋体" w:cs="宋体"/>
          <w:kern w:val="0"/>
          <w:szCs w:val="21"/>
        </w:rPr>
        <w:t>，</w:t>
      </w:r>
      <w:r>
        <w:rPr>
          <w:rFonts w:hint="eastAsia" w:ascii="宋体" w:hAnsi="宋体" w:eastAsia="宋体" w:cs="宋体"/>
          <w:kern w:val="0"/>
          <w:szCs w:val="21"/>
        </w:rPr>
        <w:t>应当站在雇员阶级的立场上主要在事前</w:t>
      </w:r>
      <w:r>
        <w:rPr>
          <w:rFonts w:ascii="宋体" w:hAnsi="宋体" w:eastAsia="宋体" w:cs="宋体"/>
          <w:kern w:val="0"/>
          <w:szCs w:val="21"/>
        </w:rPr>
        <w:t>，</w:t>
      </w:r>
      <w:r>
        <w:rPr>
          <w:rFonts w:hint="eastAsia" w:ascii="宋体" w:hAnsi="宋体" w:eastAsia="宋体" w:cs="宋体"/>
          <w:kern w:val="0"/>
          <w:szCs w:val="21"/>
        </w:rPr>
        <w:t>通过主动、积极措施协调劳动关系或劳资关系。过去在西德企业董事会中的雇员比例制和收入共决机制下</w:t>
      </w:r>
      <w:r>
        <w:rPr>
          <w:rFonts w:ascii="宋体" w:hAnsi="宋体" w:eastAsia="宋体" w:cs="宋体"/>
          <w:kern w:val="0"/>
          <w:szCs w:val="21"/>
        </w:rPr>
        <w:t>，</w:t>
      </w:r>
      <w:r>
        <w:rPr>
          <w:rFonts w:hint="eastAsia" w:ascii="宋体" w:hAnsi="宋体" w:eastAsia="宋体" w:cs="宋体"/>
          <w:kern w:val="0"/>
          <w:szCs w:val="21"/>
        </w:rPr>
        <w:t>工会依据企业劳动生产率提高来谈判雇员收入的合理增长</w:t>
      </w:r>
      <w:r>
        <w:rPr>
          <w:rFonts w:ascii="宋体" w:hAnsi="宋体" w:eastAsia="宋体" w:cs="宋体"/>
          <w:kern w:val="0"/>
          <w:szCs w:val="21"/>
        </w:rPr>
        <w:t>；</w:t>
      </w:r>
      <w:r>
        <w:rPr>
          <w:rFonts w:hint="eastAsia" w:ascii="宋体" w:hAnsi="宋体" w:eastAsia="宋体" w:cs="宋体"/>
          <w:kern w:val="0"/>
          <w:szCs w:val="21"/>
        </w:rPr>
        <w:t>在日本</w:t>
      </w:r>
      <w:r>
        <w:rPr>
          <w:rFonts w:ascii="宋体" w:hAnsi="宋体" w:eastAsia="宋体" w:cs="宋体"/>
          <w:kern w:val="0"/>
          <w:szCs w:val="21"/>
        </w:rPr>
        <w:t>，</w:t>
      </w:r>
      <w:r>
        <w:rPr>
          <w:rFonts w:hint="eastAsia" w:ascii="宋体" w:hAnsi="宋体" w:eastAsia="宋体" w:cs="宋体"/>
          <w:kern w:val="0"/>
          <w:szCs w:val="21"/>
        </w:rPr>
        <w:t>企业依据职工工龄的增加而提高收入等措施</w:t>
      </w:r>
      <w:r>
        <w:rPr>
          <w:rFonts w:ascii="宋体" w:hAnsi="宋体" w:eastAsia="宋体" w:cs="宋体"/>
          <w:kern w:val="0"/>
          <w:szCs w:val="21"/>
        </w:rPr>
        <w:t>，</w:t>
      </w:r>
      <w:r>
        <w:rPr>
          <w:rFonts w:hint="eastAsia" w:ascii="宋体" w:hAnsi="宋体" w:eastAsia="宋体" w:cs="宋体"/>
          <w:kern w:val="0"/>
          <w:szCs w:val="21"/>
        </w:rPr>
        <w:t>都可以为我国政府借鉴利用。如果政府严格检查落实法定劳动时间和劳动合同法</w:t>
      </w:r>
      <w:r>
        <w:rPr>
          <w:rFonts w:ascii="宋体" w:hAnsi="宋体" w:eastAsia="宋体" w:cs="宋体"/>
          <w:kern w:val="0"/>
          <w:szCs w:val="21"/>
        </w:rPr>
        <w:t>，</w:t>
      </w:r>
      <w:r>
        <w:rPr>
          <w:rFonts w:hint="eastAsia" w:ascii="宋体" w:hAnsi="宋体" w:eastAsia="宋体" w:cs="宋体"/>
          <w:kern w:val="0"/>
          <w:szCs w:val="21"/>
        </w:rPr>
        <w:t>劳动者利益完全可以得到保障。我国政府至少应当像当年英国政府一样向企业派出工厂视察员</w:t>
      </w:r>
      <w:r>
        <w:rPr>
          <w:rFonts w:ascii="宋体" w:hAnsi="宋体" w:eastAsia="宋体" w:cs="宋体"/>
          <w:kern w:val="0"/>
          <w:szCs w:val="21"/>
        </w:rPr>
        <w:t>，</w:t>
      </w:r>
      <w:r>
        <w:rPr>
          <w:rFonts w:hint="eastAsia" w:ascii="宋体" w:hAnsi="宋体" w:eastAsia="宋体" w:cs="宋体"/>
          <w:kern w:val="0"/>
          <w:szCs w:val="21"/>
        </w:rPr>
        <w:t>对于侵犯职工利益的行为直接进行起诉。</w:t>
      </w:r>
    </w:p>
    <w:p w14:paraId="433E23E8">
      <w:pPr>
        <w:autoSpaceDE w:val="0"/>
        <w:autoSpaceDN w:val="0"/>
        <w:spacing w:line="400" w:lineRule="exact"/>
        <w:ind w:firstLine="420" w:firstLineChars="200"/>
        <w:rPr>
          <w:rFonts w:ascii="宋体" w:hAnsi="宋体" w:eastAsia="宋体" w:cs="宋体"/>
          <w:b/>
          <w:kern w:val="0"/>
          <w:szCs w:val="21"/>
        </w:rPr>
      </w:pPr>
      <w:r>
        <w:rPr>
          <w:rFonts w:ascii="宋体" w:hAnsi="宋体" w:eastAsia="宋体" w:cs="宋体"/>
          <w:b/>
          <w:kern w:val="0"/>
          <w:szCs w:val="21"/>
        </w:rPr>
        <w:t>（</w:t>
      </w:r>
      <w:r>
        <w:rPr>
          <w:rFonts w:hint="eastAsia" w:ascii="宋体" w:hAnsi="宋体" w:eastAsia="宋体" w:cs="宋体"/>
          <w:b/>
          <w:kern w:val="0"/>
          <w:szCs w:val="21"/>
        </w:rPr>
        <w:t>三</w:t>
      </w:r>
      <w:r>
        <w:rPr>
          <w:rFonts w:ascii="宋体" w:hAnsi="宋体" w:eastAsia="宋体" w:cs="宋体"/>
          <w:b/>
          <w:kern w:val="0"/>
          <w:szCs w:val="21"/>
        </w:rPr>
        <w:t>）</w:t>
      </w:r>
      <w:r>
        <w:rPr>
          <w:rFonts w:hint="eastAsia" w:ascii="宋体" w:hAnsi="宋体" w:eastAsia="宋体" w:cs="宋体"/>
          <w:b/>
          <w:kern w:val="0"/>
          <w:szCs w:val="21"/>
        </w:rPr>
        <w:t>政府相关部门严格实施最低工资制度</w:t>
      </w:r>
    </w:p>
    <w:p w14:paraId="7E6AAE86">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这是提高劳动收入份额的基础条件。劳资冲突的核心是利益分配冲突</w:t>
      </w:r>
      <w:r>
        <w:rPr>
          <w:rFonts w:ascii="宋体" w:hAnsi="宋体" w:eastAsia="宋体" w:cs="宋体"/>
          <w:kern w:val="0"/>
          <w:szCs w:val="21"/>
        </w:rPr>
        <w:t>，</w:t>
      </w:r>
      <w:r>
        <w:rPr>
          <w:rFonts w:hint="eastAsia" w:ascii="宋体" w:hAnsi="宋体" w:eastAsia="宋体" w:cs="宋体"/>
          <w:kern w:val="0"/>
          <w:szCs w:val="21"/>
        </w:rPr>
        <w:t>市场经济条件下要有效缓解劳资冲突</w:t>
      </w:r>
      <w:r>
        <w:rPr>
          <w:rFonts w:ascii="宋体" w:hAnsi="宋体" w:eastAsia="宋体" w:cs="宋体"/>
          <w:kern w:val="0"/>
          <w:szCs w:val="21"/>
        </w:rPr>
        <w:t>，</w:t>
      </w:r>
      <w:r>
        <w:rPr>
          <w:rFonts w:hint="eastAsia" w:ascii="宋体" w:hAnsi="宋体" w:eastAsia="宋体" w:cs="宋体"/>
          <w:kern w:val="0"/>
          <w:szCs w:val="21"/>
        </w:rPr>
        <w:t>必须建立劳资政三方协调机制。西方国家经过一百多年的发展</w:t>
      </w:r>
      <w:r>
        <w:rPr>
          <w:rFonts w:ascii="宋体" w:hAnsi="宋体" w:eastAsia="宋体" w:cs="宋体"/>
          <w:kern w:val="0"/>
          <w:szCs w:val="21"/>
        </w:rPr>
        <w:t>，</w:t>
      </w:r>
      <w:r>
        <w:rPr>
          <w:rFonts w:hint="eastAsia" w:ascii="宋体" w:hAnsi="宋体" w:eastAsia="宋体" w:cs="宋体"/>
          <w:kern w:val="0"/>
          <w:szCs w:val="21"/>
        </w:rPr>
        <w:t>已经建立起有效的劳、资、政三方协调机制</w:t>
      </w:r>
      <w:r>
        <w:rPr>
          <w:rFonts w:ascii="宋体" w:hAnsi="宋体" w:eastAsia="宋体" w:cs="宋体"/>
          <w:kern w:val="0"/>
          <w:szCs w:val="21"/>
        </w:rPr>
        <w:t>，</w:t>
      </w:r>
      <w:r>
        <w:rPr>
          <w:rFonts w:hint="eastAsia" w:ascii="宋体" w:hAnsi="宋体" w:eastAsia="宋体" w:cs="宋体"/>
          <w:kern w:val="0"/>
          <w:szCs w:val="21"/>
        </w:rPr>
        <w:t>而这一机制在我国还处于建设、探索过程中。上世纪</w:t>
      </w:r>
      <w:r>
        <w:rPr>
          <w:rFonts w:ascii="宋体" w:hAnsi="宋体" w:eastAsia="宋体" w:cs="宋体"/>
          <w:kern w:val="0"/>
          <w:szCs w:val="21"/>
        </w:rPr>
        <w:t>30</w:t>
      </w:r>
      <w:r>
        <w:rPr>
          <w:rFonts w:hint="eastAsia" w:ascii="宋体" w:hAnsi="宋体" w:eastAsia="宋体" w:cs="宋体"/>
          <w:kern w:val="0"/>
          <w:szCs w:val="21"/>
        </w:rPr>
        <w:t>年代以前</w:t>
      </w:r>
      <w:r>
        <w:rPr>
          <w:rFonts w:ascii="宋体" w:hAnsi="宋体" w:eastAsia="宋体" w:cs="宋体"/>
          <w:kern w:val="0"/>
          <w:szCs w:val="21"/>
        </w:rPr>
        <w:t>，</w:t>
      </w:r>
      <w:r>
        <w:rPr>
          <w:rFonts w:hint="eastAsia" w:ascii="宋体" w:hAnsi="宋体" w:eastAsia="宋体" w:cs="宋体"/>
          <w:kern w:val="0"/>
          <w:szCs w:val="21"/>
        </w:rPr>
        <w:t>资本主义国家实行自由放任劳资关系模式</w:t>
      </w:r>
      <w:r>
        <w:rPr>
          <w:rFonts w:ascii="宋体" w:hAnsi="宋体" w:eastAsia="宋体" w:cs="宋体"/>
          <w:kern w:val="0"/>
          <w:szCs w:val="21"/>
        </w:rPr>
        <w:t>，</w:t>
      </w:r>
      <w:r>
        <w:rPr>
          <w:rFonts w:hint="eastAsia" w:ascii="宋体" w:hAnsi="宋体" w:eastAsia="宋体" w:cs="宋体"/>
          <w:kern w:val="0"/>
          <w:szCs w:val="21"/>
        </w:rPr>
        <w:t>企业靠压低劳动成本进行竞争</w:t>
      </w:r>
      <w:r>
        <w:rPr>
          <w:rFonts w:ascii="宋体" w:hAnsi="宋体" w:eastAsia="宋体" w:cs="宋体"/>
          <w:kern w:val="0"/>
          <w:szCs w:val="21"/>
        </w:rPr>
        <w:t>，</w:t>
      </w:r>
      <w:r>
        <w:rPr>
          <w:rFonts w:hint="eastAsia" w:ascii="宋体" w:hAnsi="宋体" w:eastAsia="宋体" w:cs="宋体"/>
          <w:kern w:val="0"/>
          <w:szCs w:val="21"/>
        </w:rPr>
        <w:t>劳动收入份额处于较低水平。</w:t>
      </w:r>
      <w:r>
        <w:rPr>
          <w:rFonts w:ascii="宋体" w:hAnsi="宋体" w:eastAsia="宋体" w:cs="宋体"/>
          <w:kern w:val="0"/>
          <w:szCs w:val="21"/>
        </w:rPr>
        <w:t>20</w:t>
      </w:r>
      <w:r>
        <w:rPr>
          <w:rFonts w:hint="eastAsia" w:ascii="宋体" w:hAnsi="宋体" w:eastAsia="宋体" w:cs="宋体"/>
          <w:kern w:val="0"/>
          <w:szCs w:val="21"/>
        </w:rPr>
        <w:t>世纪上半叶</w:t>
      </w:r>
      <w:r>
        <w:rPr>
          <w:rFonts w:ascii="宋体" w:hAnsi="宋体" w:eastAsia="宋体" w:cs="宋体"/>
          <w:kern w:val="0"/>
          <w:szCs w:val="21"/>
        </w:rPr>
        <w:t>，</w:t>
      </w:r>
      <w:r>
        <w:rPr>
          <w:rFonts w:hint="eastAsia" w:ascii="宋体" w:hAnsi="宋体" w:eastAsia="宋体" w:cs="宋体"/>
          <w:kern w:val="0"/>
          <w:szCs w:val="21"/>
        </w:rPr>
        <w:t>西方国家纷纷通过最低工资制度、劳动立法、集体谈判等措施</w:t>
      </w:r>
      <w:r>
        <w:rPr>
          <w:rFonts w:ascii="宋体" w:hAnsi="宋体" w:eastAsia="宋体" w:cs="宋体"/>
          <w:kern w:val="0"/>
          <w:szCs w:val="21"/>
        </w:rPr>
        <w:t>，</w:t>
      </w:r>
      <w:r>
        <w:rPr>
          <w:rFonts w:hint="eastAsia" w:ascii="宋体" w:hAnsi="宋体" w:eastAsia="宋体" w:cs="宋体"/>
          <w:kern w:val="0"/>
          <w:szCs w:val="21"/>
        </w:rPr>
        <w:t>增强了劳工谈判能力</w:t>
      </w:r>
      <w:r>
        <w:rPr>
          <w:rFonts w:ascii="宋体" w:hAnsi="宋体" w:eastAsia="宋体" w:cs="宋体"/>
          <w:kern w:val="0"/>
          <w:szCs w:val="21"/>
        </w:rPr>
        <w:t>，</w:t>
      </w:r>
      <w:r>
        <w:rPr>
          <w:rFonts w:hint="eastAsia" w:ascii="宋体" w:hAnsi="宋体" w:eastAsia="宋体" w:cs="宋体"/>
          <w:kern w:val="0"/>
          <w:szCs w:val="21"/>
        </w:rPr>
        <w:t>自由主义劳资关系模式被废弃</w:t>
      </w:r>
      <w:r>
        <w:rPr>
          <w:rFonts w:ascii="宋体" w:hAnsi="宋体" w:eastAsia="宋体" w:cs="宋体"/>
          <w:kern w:val="0"/>
          <w:szCs w:val="21"/>
        </w:rPr>
        <w:t>，</w:t>
      </w:r>
      <w:r>
        <w:rPr>
          <w:rFonts w:hint="eastAsia" w:ascii="宋体" w:hAnsi="宋体" w:eastAsia="宋体" w:cs="宋体"/>
          <w:kern w:val="0"/>
          <w:szCs w:val="21"/>
        </w:rPr>
        <w:t>政府、企业和工会三方协调劳资关系模式被采纳</w:t>
      </w:r>
      <w:r>
        <w:rPr>
          <w:rFonts w:ascii="宋体" w:hAnsi="宋体" w:eastAsia="宋体" w:cs="宋体"/>
          <w:kern w:val="0"/>
          <w:szCs w:val="21"/>
        </w:rPr>
        <w:t>，</w:t>
      </w:r>
      <w:r>
        <w:rPr>
          <w:rFonts w:hint="eastAsia" w:ascii="宋体" w:hAnsi="宋体" w:eastAsia="宋体" w:cs="宋体"/>
          <w:kern w:val="0"/>
          <w:szCs w:val="21"/>
        </w:rPr>
        <w:t>从而实现了劳动收入份额的不断提高。在三方合作劳资关系模式中</w:t>
      </w:r>
      <w:r>
        <w:rPr>
          <w:rFonts w:ascii="宋体" w:hAnsi="宋体" w:eastAsia="宋体" w:cs="宋体"/>
          <w:kern w:val="0"/>
          <w:szCs w:val="21"/>
        </w:rPr>
        <w:t>，</w:t>
      </w:r>
      <w:r>
        <w:rPr>
          <w:rFonts w:hint="eastAsia" w:ascii="宋体" w:hAnsi="宋体" w:eastAsia="宋体" w:cs="宋体"/>
          <w:kern w:val="0"/>
          <w:szCs w:val="21"/>
        </w:rPr>
        <w:t>最低工资制度在提高劳动收入份额中发挥着重要的作用。在中国目前的情况下</w:t>
      </w:r>
      <w:r>
        <w:rPr>
          <w:rFonts w:ascii="宋体" w:hAnsi="宋体" w:eastAsia="宋体" w:cs="宋体"/>
          <w:kern w:val="0"/>
          <w:szCs w:val="21"/>
        </w:rPr>
        <w:t>，</w:t>
      </w:r>
      <w:r>
        <w:rPr>
          <w:rFonts w:hint="eastAsia" w:ascii="宋体" w:hAnsi="宋体" w:eastAsia="宋体" w:cs="宋体"/>
          <w:kern w:val="0"/>
          <w:szCs w:val="21"/>
        </w:rPr>
        <w:t>只有通过严格实施最低工资制度</w:t>
      </w:r>
      <w:r>
        <w:rPr>
          <w:rFonts w:ascii="宋体" w:hAnsi="宋体" w:eastAsia="宋体" w:cs="宋体"/>
          <w:kern w:val="0"/>
          <w:szCs w:val="21"/>
        </w:rPr>
        <w:t>，</w:t>
      </w:r>
      <w:r>
        <w:rPr>
          <w:rFonts w:hint="eastAsia" w:ascii="宋体" w:hAnsi="宋体" w:eastAsia="宋体" w:cs="宋体"/>
          <w:kern w:val="0"/>
          <w:szCs w:val="21"/>
        </w:rPr>
        <w:t>才能改善劳资分配</w:t>
      </w:r>
      <w:r>
        <w:rPr>
          <w:rFonts w:ascii="宋体" w:hAnsi="宋体" w:eastAsia="宋体" w:cs="宋体"/>
          <w:kern w:val="0"/>
          <w:szCs w:val="21"/>
        </w:rPr>
        <w:t>，</w:t>
      </w:r>
      <w:r>
        <w:rPr>
          <w:rFonts w:hint="eastAsia" w:ascii="宋体" w:hAnsi="宋体" w:eastAsia="宋体" w:cs="宋体"/>
          <w:kern w:val="0"/>
          <w:szCs w:val="21"/>
        </w:rPr>
        <w:t>缓解劳资矛盾。最低工资制度能从两个方面提高劳动收入份额。</w:t>
      </w:r>
    </w:p>
    <w:p w14:paraId="27DF6CAE">
      <w:pPr>
        <w:autoSpaceDE w:val="0"/>
        <w:autoSpaceDN w:val="0"/>
        <w:spacing w:line="400" w:lineRule="exact"/>
        <w:ind w:firstLine="420" w:firstLineChars="200"/>
        <w:rPr>
          <w:rFonts w:ascii="宋体" w:hAnsi="宋体" w:eastAsia="宋体" w:cs="宋体"/>
          <w:kern w:val="0"/>
          <w:szCs w:val="21"/>
        </w:rPr>
      </w:pPr>
      <w:r>
        <w:rPr>
          <w:rFonts w:ascii="宋体" w:hAnsi="宋体" w:eastAsia="宋体" w:cs="宋体"/>
          <w:kern w:val="0"/>
          <w:szCs w:val="21"/>
        </w:rPr>
        <w:t>1.</w:t>
      </w:r>
      <w:r>
        <w:rPr>
          <w:rFonts w:hint="eastAsia" w:ascii="宋体" w:hAnsi="宋体" w:eastAsia="宋体" w:cs="宋体"/>
          <w:kern w:val="0"/>
          <w:szCs w:val="21"/>
        </w:rPr>
        <w:t>最低工资制度有利于企业发展模式的强制性转变。改革开放以来</w:t>
      </w:r>
      <w:r>
        <w:rPr>
          <w:rFonts w:ascii="宋体" w:hAnsi="宋体" w:eastAsia="宋体" w:cs="宋体"/>
          <w:kern w:val="0"/>
          <w:szCs w:val="21"/>
        </w:rPr>
        <w:t>，</w:t>
      </w:r>
      <w:r>
        <w:rPr>
          <w:rFonts w:hint="eastAsia" w:ascii="宋体" w:hAnsi="宋体" w:eastAsia="宋体" w:cs="宋体"/>
          <w:kern w:val="0"/>
          <w:szCs w:val="21"/>
        </w:rPr>
        <w:t>中国企业尤其是非公企业</w:t>
      </w:r>
      <w:r>
        <w:rPr>
          <w:rFonts w:ascii="宋体" w:hAnsi="宋体" w:eastAsia="宋体" w:cs="宋体"/>
          <w:kern w:val="0"/>
          <w:szCs w:val="21"/>
        </w:rPr>
        <w:t>，</w:t>
      </w:r>
      <w:r>
        <w:rPr>
          <w:rFonts w:hint="eastAsia" w:ascii="宋体" w:hAnsi="宋体" w:eastAsia="宋体" w:cs="宋体"/>
          <w:kern w:val="0"/>
          <w:szCs w:val="21"/>
        </w:rPr>
        <w:t>一直走的是低工资、低技术发展模式。这种发展模式的后果是雇主受益</w:t>
      </w:r>
      <w:r>
        <w:rPr>
          <w:rFonts w:ascii="宋体" w:hAnsi="宋体" w:eastAsia="宋体" w:cs="宋体"/>
          <w:kern w:val="0"/>
          <w:szCs w:val="21"/>
        </w:rPr>
        <w:t>，</w:t>
      </w:r>
      <w:r>
        <w:rPr>
          <w:rFonts w:hint="eastAsia" w:ascii="宋体" w:hAnsi="宋体" w:eastAsia="宋体" w:cs="宋体"/>
          <w:kern w:val="0"/>
          <w:szCs w:val="21"/>
        </w:rPr>
        <w:t>工人、社会受损。低技术、低成本发展模式下</w:t>
      </w:r>
      <w:r>
        <w:rPr>
          <w:rFonts w:ascii="宋体" w:hAnsi="宋体" w:eastAsia="宋体" w:cs="宋体"/>
          <w:kern w:val="0"/>
          <w:szCs w:val="21"/>
        </w:rPr>
        <w:t>，</w:t>
      </w:r>
      <w:r>
        <w:rPr>
          <w:rFonts w:hint="eastAsia" w:ascii="宋体" w:hAnsi="宋体" w:eastAsia="宋体" w:cs="宋体"/>
          <w:kern w:val="0"/>
          <w:szCs w:val="21"/>
        </w:rPr>
        <w:t>工人无法分享社会发展的成果</w:t>
      </w:r>
      <w:r>
        <w:rPr>
          <w:rFonts w:ascii="宋体" w:hAnsi="宋体" w:eastAsia="宋体" w:cs="宋体"/>
          <w:kern w:val="0"/>
          <w:szCs w:val="21"/>
        </w:rPr>
        <w:t>，</w:t>
      </w:r>
      <w:r>
        <w:rPr>
          <w:rFonts w:hint="eastAsia" w:ascii="宋体" w:hAnsi="宋体" w:eastAsia="宋体" w:cs="宋体"/>
          <w:kern w:val="0"/>
          <w:szCs w:val="21"/>
        </w:rPr>
        <w:t>社会要承担环境污染等成本。这种低成本发展模式对正常的市场竞争起着破坏作用。一些依赖低技术、低成本生存的企业</w:t>
      </w:r>
      <w:r>
        <w:rPr>
          <w:rFonts w:ascii="宋体" w:hAnsi="宋体" w:eastAsia="宋体" w:cs="宋体"/>
          <w:kern w:val="0"/>
          <w:szCs w:val="21"/>
        </w:rPr>
        <w:t>，</w:t>
      </w:r>
      <w:r>
        <w:rPr>
          <w:rFonts w:hint="eastAsia" w:ascii="宋体" w:hAnsi="宋体" w:eastAsia="宋体" w:cs="宋体"/>
          <w:kern w:val="0"/>
          <w:szCs w:val="21"/>
        </w:rPr>
        <w:t>会采取各种办法延长工人的劳动时间</w:t>
      </w:r>
      <w:r>
        <w:rPr>
          <w:rFonts w:ascii="宋体" w:hAnsi="宋体" w:eastAsia="宋体" w:cs="宋体"/>
          <w:kern w:val="0"/>
          <w:szCs w:val="21"/>
        </w:rPr>
        <w:t>，</w:t>
      </w:r>
      <w:r>
        <w:rPr>
          <w:rFonts w:hint="eastAsia" w:ascii="宋体" w:hAnsi="宋体" w:eastAsia="宋体" w:cs="宋体"/>
          <w:kern w:val="0"/>
          <w:szCs w:val="21"/>
        </w:rPr>
        <w:t>提高工人的劳动强度</w:t>
      </w:r>
      <w:r>
        <w:rPr>
          <w:rFonts w:ascii="宋体" w:hAnsi="宋体" w:eastAsia="宋体" w:cs="宋体"/>
          <w:kern w:val="0"/>
          <w:szCs w:val="21"/>
        </w:rPr>
        <w:t>，</w:t>
      </w:r>
      <w:r>
        <w:rPr>
          <w:rFonts w:hint="eastAsia" w:ascii="宋体" w:hAnsi="宋体" w:eastAsia="宋体" w:cs="宋体"/>
          <w:kern w:val="0"/>
          <w:szCs w:val="21"/>
        </w:rPr>
        <w:t>降低工作场所的安全卫生标准。相比之下</w:t>
      </w:r>
      <w:r>
        <w:rPr>
          <w:rFonts w:ascii="宋体" w:hAnsi="宋体" w:eastAsia="宋体" w:cs="宋体"/>
          <w:kern w:val="0"/>
          <w:szCs w:val="21"/>
        </w:rPr>
        <w:t>，</w:t>
      </w:r>
      <w:r>
        <w:rPr>
          <w:rFonts w:hint="eastAsia" w:ascii="宋体" w:hAnsi="宋体" w:eastAsia="宋体" w:cs="宋体"/>
          <w:kern w:val="0"/>
          <w:szCs w:val="21"/>
        </w:rPr>
        <w:t>那些守法经营的企业却要向工人支付相对高的工资</w:t>
      </w:r>
      <w:r>
        <w:rPr>
          <w:rFonts w:ascii="宋体" w:hAnsi="宋体" w:eastAsia="宋体" w:cs="宋体"/>
          <w:kern w:val="0"/>
          <w:szCs w:val="21"/>
        </w:rPr>
        <w:t>，</w:t>
      </w:r>
      <w:r>
        <w:rPr>
          <w:rFonts w:hint="eastAsia" w:ascii="宋体" w:hAnsi="宋体" w:eastAsia="宋体" w:cs="宋体"/>
          <w:kern w:val="0"/>
          <w:szCs w:val="21"/>
        </w:rPr>
        <w:t>支付更高的工作安全成本。这就使得两类企业不能公平竞争。由于竞争规则不统一</w:t>
      </w:r>
      <w:r>
        <w:rPr>
          <w:rFonts w:ascii="宋体" w:hAnsi="宋体" w:eastAsia="宋体" w:cs="宋体"/>
          <w:kern w:val="0"/>
          <w:szCs w:val="21"/>
        </w:rPr>
        <w:t>，</w:t>
      </w:r>
      <w:r>
        <w:rPr>
          <w:rFonts w:hint="eastAsia" w:ascii="宋体" w:hAnsi="宋体" w:eastAsia="宋体" w:cs="宋体"/>
          <w:kern w:val="0"/>
          <w:szCs w:val="21"/>
        </w:rPr>
        <w:t>中国的企业发展还处在丛林时代</w:t>
      </w:r>
      <w:r>
        <w:rPr>
          <w:rFonts w:ascii="宋体" w:hAnsi="宋体" w:eastAsia="宋体" w:cs="宋体"/>
          <w:kern w:val="0"/>
          <w:szCs w:val="21"/>
        </w:rPr>
        <w:t>，</w:t>
      </w:r>
      <w:r>
        <w:rPr>
          <w:rFonts w:hint="eastAsia" w:ascii="宋体" w:hAnsi="宋体" w:eastAsia="宋体" w:cs="宋体"/>
          <w:kern w:val="0"/>
          <w:szCs w:val="21"/>
        </w:rPr>
        <w:t>效率高的企业虽然能在竞争中胜出</w:t>
      </w:r>
      <w:r>
        <w:rPr>
          <w:rFonts w:ascii="宋体" w:hAnsi="宋体" w:eastAsia="宋体" w:cs="宋体"/>
          <w:kern w:val="0"/>
          <w:szCs w:val="21"/>
        </w:rPr>
        <w:t>，</w:t>
      </w:r>
      <w:r>
        <w:rPr>
          <w:rFonts w:hint="eastAsia" w:ascii="宋体" w:hAnsi="宋体" w:eastAsia="宋体" w:cs="宋体"/>
          <w:kern w:val="0"/>
          <w:szCs w:val="21"/>
        </w:rPr>
        <w:t>但劣质企业也并不淘汰</w:t>
      </w:r>
      <w:r>
        <w:rPr>
          <w:rFonts w:ascii="宋体" w:hAnsi="宋体" w:eastAsia="宋体" w:cs="宋体"/>
          <w:kern w:val="0"/>
          <w:szCs w:val="21"/>
        </w:rPr>
        <w:t>，</w:t>
      </w:r>
      <w:r>
        <w:rPr>
          <w:rFonts w:hint="eastAsia" w:ascii="宋体" w:hAnsi="宋体" w:eastAsia="宋体" w:cs="宋体"/>
          <w:kern w:val="0"/>
          <w:szCs w:val="21"/>
        </w:rPr>
        <w:t>优劣并存、良莠不齐。</w:t>
      </w:r>
    </w:p>
    <w:p w14:paraId="47E732FD">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政府通过强制实施最低工资制度</w:t>
      </w:r>
      <w:r>
        <w:rPr>
          <w:rFonts w:ascii="宋体" w:hAnsi="宋体" w:eastAsia="宋体" w:cs="宋体"/>
          <w:kern w:val="0"/>
          <w:szCs w:val="21"/>
        </w:rPr>
        <w:t>，</w:t>
      </w:r>
      <w:r>
        <w:rPr>
          <w:rFonts w:hint="eastAsia" w:ascii="宋体" w:hAnsi="宋体" w:eastAsia="宋体" w:cs="宋体"/>
          <w:kern w:val="0"/>
          <w:szCs w:val="21"/>
        </w:rPr>
        <w:t>可以淘汰劣质企业、促进公平竞争。政府强制实施的最低工资制度有利于在社会范围内形成合理的劳动力成本形成机制。市场并不会自发形成合理的劳动力成本决定机制。如果交由劳动力市场自发作用</w:t>
      </w:r>
      <w:r>
        <w:rPr>
          <w:rFonts w:ascii="宋体" w:hAnsi="宋体" w:eastAsia="宋体" w:cs="宋体"/>
          <w:kern w:val="0"/>
          <w:szCs w:val="21"/>
        </w:rPr>
        <w:t>，</w:t>
      </w:r>
      <w:r>
        <w:rPr>
          <w:rFonts w:hint="eastAsia" w:ascii="宋体" w:hAnsi="宋体" w:eastAsia="宋体" w:cs="宋体"/>
          <w:kern w:val="0"/>
          <w:szCs w:val="21"/>
        </w:rPr>
        <w:t>劳动力成本往往会趋向生存工资。合理的劳动力成本形成机制是合理的产品价格形成机制的一部分。社会统一的企业会计核算准则、最低产品质量标准和最低劳工标准</w:t>
      </w:r>
      <w:r>
        <w:rPr>
          <w:rFonts w:ascii="宋体" w:hAnsi="宋体" w:eastAsia="宋体" w:cs="宋体"/>
          <w:kern w:val="0"/>
          <w:szCs w:val="21"/>
        </w:rPr>
        <w:t>，</w:t>
      </w:r>
      <w:r>
        <w:rPr>
          <w:rFonts w:hint="eastAsia" w:ascii="宋体" w:hAnsi="宋体" w:eastAsia="宋体" w:cs="宋体"/>
          <w:kern w:val="0"/>
          <w:szCs w:val="21"/>
        </w:rPr>
        <w:t>是合理的价格形成机制的必要组成部分。合理的产品价格形成机制和合理的劳动力成本形成机制</w:t>
      </w:r>
      <w:r>
        <w:rPr>
          <w:rFonts w:ascii="宋体" w:hAnsi="宋体" w:eastAsia="宋体" w:cs="宋体"/>
          <w:kern w:val="0"/>
          <w:szCs w:val="21"/>
        </w:rPr>
        <w:t>，</w:t>
      </w:r>
      <w:r>
        <w:rPr>
          <w:rFonts w:hint="eastAsia" w:ascii="宋体" w:hAnsi="宋体" w:eastAsia="宋体" w:cs="宋体"/>
          <w:kern w:val="0"/>
          <w:szCs w:val="21"/>
        </w:rPr>
        <w:t>对保护社会公众利益和保护劳动者利益都十分必要。要建立合理的劳动力成本形成机制</w:t>
      </w:r>
      <w:r>
        <w:rPr>
          <w:rFonts w:ascii="宋体" w:hAnsi="宋体" w:eastAsia="宋体" w:cs="宋体"/>
          <w:kern w:val="0"/>
          <w:szCs w:val="21"/>
        </w:rPr>
        <w:t>，</w:t>
      </w:r>
      <w:r>
        <w:rPr>
          <w:rFonts w:hint="eastAsia" w:ascii="宋体" w:hAnsi="宋体" w:eastAsia="宋体" w:cs="宋体"/>
          <w:kern w:val="0"/>
          <w:szCs w:val="21"/>
        </w:rPr>
        <w:t>必须实行统一的周工作时间标准、工作场所最低安全健康标准。目前中国非公企业普遍存在加班过长而且不付加班工资的情况。如果不控制工人的周工作时间</w:t>
      </w:r>
      <w:r>
        <w:rPr>
          <w:rFonts w:ascii="宋体" w:hAnsi="宋体" w:eastAsia="宋体" w:cs="宋体"/>
          <w:kern w:val="0"/>
          <w:szCs w:val="21"/>
        </w:rPr>
        <w:t>，</w:t>
      </w:r>
      <w:r>
        <w:rPr>
          <w:rFonts w:hint="eastAsia" w:ascii="宋体" w:hAnsi="宋体" w:eastAsia="宋体" w:cs="宋体"/>
          <w:kern w:val="0"/>
          <w:szCs w:val="21"/>
        </w:rPr>
        <w:t>最低工资标准形同虚设。价值规律要求企业降低成本</w:t>
      </w:r>
      <w:r>
        <w:rPr>
          <w:rFonts w:ascii="宋体" w:hAnsi="宋体" w:eastAsia="宋体" w:cs="宋体"/>
          <w:kern w:val="0"/>
          <w:szCs w:val="21"/>
        </w:rPr>
        <w:t>，</w:t>
      </w:r>
      <w:r>
        <w:rPr>
          <w:rFonts w:hint="eastAsia" w:ascii="宋体" w:hAnsi="宋体" w:eastAsia="宋体" w:cs="宋体"/>
          <w:kern w:val="0"/>
          <w:szCs w:val="21"/>
        </w:rPr>
        <w:t>但企业降低成本的竞争</w:t>
      </w:r>
      <w:r>
        <w:rPr>
          <w:rFonts w:ascii="宋体" w:hAnsi="宋体" w:eastAsia="宋体" w:cs="宋体"/>
          <w:kern w:val="0"/>
          <w:szCs w:val="21"/>
        </w:rPr>
        <w:t>，</w:t>
      </w:r>
      <w:r>
        <w:rPr>
          <w:rFonts w:hint="eastAsia" w:ascii="宋体" w:hAnsi="宋体" w:eastAsia="宋体" w:cs="宋体"/>
          <w:kern w:val="0"/>
          <w:szCs w:val="21"/>
        </w:rPr>
        <w:t>只有在不降低产品质量</w:t>
      </w:r>
      <w:r>
        <w:rPr>
          <w:rFonts w:ascii="宋体" w:hAnsi="宋体" w:eastAsia="宋体" w:cs="宋体"/>
          <w:kern w:val="0"/>
          <w:szCs w:val="21"/>
        </w:rPr>
        <w:t>，</w:t>
      </w:r>
      <w:r>
        <w:rPr>
          <w:rFonts w:hint="eastAsia" w:ascii="宋体" w:hAnsi="宋体" w:eastAsia="宋体" w:cs="宋体"/>
          <w:kern w:val="0"/>
          <w:szCs w:val="21"/>
        </w:rPr>
        <w:t>不造成环境污染</w:t>
      </w:r>
      <w:r>
        <w:rPr>
          <w:rFonts w:ascii="宋体" w:hAnsi="宋体" w:eastAsia="宋体" w:cs="宋体"/>
          <w:kern w:val="0"/>
          <w:szCs w:val="21"/>
        </w:rPr>
        <w:t>，</w:t>
      </w:r>
      <w:r>
        <w:rPr>
          <w:rFonts w:hint="eastAsia" w:ascii="宋体" w:hAnsi="宋体" w:eastAsia="宋体" w:cs="宋体"/>
          <w:kern w:val="0"/>
          <w:szCs w:val="21"/>
        </w:rPr>
        <w:t>不损害工人健康时才对社会有利。成本竞争必须以合理成本为底线</w:t>
      </w:r>
      <w:r>
        <w:rPr>
          <w:rFonts w:ascii="宋体" w:hAnsi="宋体" w:eastAsia="宋体" w:cs="宋体"/>
          <w:kern w:val="0"/>
          <w:szCs w:val="21"/>
        </w:rPr>
        <w:t>，</w:t>
      </w:r>
      <w:r>
        <w:rPr>
          <w:rFonts w:hint="eastAsia" w:ascii="宋体" w:hAnsi="宋体" w:eastAsia="宋体" w:cs="宋体"/>
          <w:kern w:val="0"/>
          <w:szCs w:val="21"/>
        </w:rPr>
        <w:t>否则</w:t>
      </w:r>
      <w:r>
        <w:rPr>
          <w:rFonts w:ascii="宋体" w:hAnsi="宋体" w:eastAsia="宋体" w:cs="宋体"/>
          <w:kern w:val="0"/>
          <w:szCs w:val="21"/>
        </w:rPr>
        <w:t>，</w:t>
      </w:r>
      <w:r>
        <w:rPr>
          <w:rFonts w:hint="eastAsia" w:ascii="宋体" w:hAnsi="宋体" w:eastAsia="宋体" w:cs="宋体"/>
          <w:kern w:val="0"/>
          <w:szCs w:val="21"/>
        </w:rPr>
        <w:t>降低成本只会导致企业拼人力成本、拼环境污染成本</w:t>
      </w:r>
      <w:r>
        <w:rPr>
          <w:rFonts w:ascii="宋体" w:hAnsi="宋体" w:eastAsia="宋体" w:cs="宋体"/>
          <w:kern w:val="0"/>
          <w:szCs w:val="21"/>
        </w:rPr>
        <w:t>，</w:t>
      </w:r>
      <w:r>
        <w:rPr>
          <w:rFonts w:hint="eastAsia" w:ascii="宋体" w:hAnsi="宋体" w:eastAsia="宋体" w:cs="宋体"/>
          <w:kern w:val="0"/>
          <w:szCs w:val="21"/>
        </w:rPr>
        <w:t>破坏合理的价格形成机制。不断曝光的职业病、环境污染事件都是合理的价格形成机制被破坏的恶果。</w:t>
      </w:r>
    </w:p>
    <w:p w14:paraId="612AF875">
      <w:pPr>
        <w:autoSpaceDE w:val="0"/>
        <w:autoSpaceDN w:val="0"/>
        <w:spacing w:line="400" w:lineRule="exact"/>
        <w:ind w:firstLine="420" w:firstLineChars="200"/>
        <w:rPr>
          <w:rFonts w:ascii="宋体" w:hAnsi="宋体" w:eastAsia="宋体" w:cs="宋体"/>
          <w:kern w:val="0"/>
          <w:szCs w:val="21"/>
        </w:rPr>
      </w:pPr>
      <w:r>
        <w:rPr>
          <w:rFonts w:ascii="宋体" w:hAnsi="宋体" w:eastAsia="宋体" w:cs="宋体"/>
          <w:kern w:val="0"/>
          <w:szCs w:val="21"/>
        </w:rPr>
        <w:t>2.</w:t>
      </w:r>
      <w:r>
        <w:rPr>
          <w:rFonts w:hint="eastAsia" w:ascii="宋体" w:hAnsi="宋体" w:eastAsia="宋体" w:cs="宋体"/>
          <w:kern w:val="0"/>
          <w:szCs w:val="21"/>
        </w:rPr>
        <w:t>最低工资制度有利于实施第三方劳工监督</w:t>
      </w:r>
      <w:r>
        <w:rPr>
          <w:rFonts w:ascii="宋体" w:hAnsi="宋体" w:eastAsia="宋体" w:cs="宋体"/>
          <w:kern w:val="0"/>
          <w:szCs w:val="21"/>
        </w:rPr>
        <w:t>，</w:t>
      </w:r>
      <w:r>
        <w:rPr>
          <w:rFonts w:hint="eastAsia" w:ascii="宋体" w:hAnsi="宋体" w:eastAsia="宋体" w:cs="宋体"/>
          <w:kern w:val="0"/>
          <w:szCs w:val="21"/>
        </w:rPr>
        <w:t>提高劳动收入份额。第三方劳工监督是通过企业、政府以外的独立机构</w:t>
      </w:r>
      <w:r>
        <w:rPr>
          <w:rFonts w:ascii="宋体" w:hAnsi="宋体" w:eastAsia="宋体" w:cs="宋体"/>
          <w:kern w:val="0"/>
          <w:szCs w:val="21"/>
        </w:rPr>
        <w:t>，</w:t>
      </w:r>
      <w:r>
        <w:rPr>
          <w:rFonts w:hint="eastAsia" w:ascii="宋体" w:hAnsi="宋体" w:eastAsia="宋体" w:cs="宋体"/>
          <w:kern w:val="0"/>
          <w:szCs w:val="21"/>
        </w:rPr>
        <w:t>参照通行的劳工标准</w:t>
      </w:r>
      <w:r>
        <w:rPr>
          <w:rFonts w:ascii="宋体" w:hAnsi="宋体" w:eastAsia="宋体" w:cs="宋体"/>
          <w:kern w:val="0"/>
          <w:szCs w:val="21"/>
        </w:rPr>
        <w:t>，</w:t>
      </w:r>
      <w:r>
        <w:rPr>
          <w:rFonts w:hint="eastAsia" w:ascii="宋体" w:hAnsi="宋体" w:eastAsia="宋体" w:cs="宋体"/>
          <w:kern w:val="0"/>
          <w:szCs w:val="21"/>
        </w:rPr>
        <w:t>对企业的劳工状况进行评估。目前</w:t>
      </w:r>
      <w:r>
        <w:rPr>
          <w:rFonts w:ascii="宋体" w:hAnsi="宋体" w:eastAsia="宋体" w:cs="宋体"/>
          <w:kern w:val="0"/>
          <w:szCs w:val="21"/>
        </w:rPr>
        <w:t>，</w:t>
      </w:r>
      <w:r>
        <w:rPr>
          <w:rFonts w:hint="eastAsia" w:ascii="宋体" w:hAnsi="宋体" w:eastAsia="宋体" w:cs="宋体"/>
          <w:kern w:val="0"/>
          <w:szCs w:val="21"/>
        </w:rPr>
        <w:t>第三方劳工监督都以综合竞争力</w:t>
      </w:r>
      <w:r>
        <w:rPr>
          <w:rFonts w:ascii="宋体" w:hAnsi="宋体" w:eastAsia="宋体" w:cs="宋体"/>
          <w:kern w:val="0"/>
          <w:szCs w:val="21"/>
        </w:rPr>
        <w:t>Comprehensive</w:t>
      </w:r>
      <w:r>
        <w:rPr>
          <w:rFonts w:hint="eastAsia" w:ascii="宋体" w:hAnsi="宋体" w:eastAsia="宋体" w:cs="宋体"/>
          <w:kern w:val="0"/>
          <w:szCs w:val="21"/>
        </w:rPr>
        <w:t xml:space="preserve"> </w:t>
      </w:r>
      <w:r>
        <w:rPr>
          <w:rFonts w:ascii="宋体" w:hAnsi="宋体" w:eastAsia="宋体" w:cs="宋体"/>
          <w:kern w:val="0"/>
          <w:szCs w:val="21"/>
        </w:rPr>
        <w:t>Competition</w:t>
      </w:r>
      <w:r>
        <w:rPr>
          <w:rFonts w:hint="eastAsia" w:ascii="宋体" w:hAnsi="宋体" w:eastAsia="宋体" w:cs="宋体"/>
          <w:kern w:val="0"/>
          <w:szCs w:val="21"/>
        </w:rPr>
        <w:t xml:space="preserve"> </w:t>
      </w:r>
      <w:r>
        <w:rPr>
          <w:rFonts w:ascii="宋体" w:hAnsi="宋体" w:eastAsia="宋体" w:cs="宋体"/>
          <w:kern w:val="0"/>
          <w:szCs w:val="21"/>
        </w:rPr>
        <w:t>7</w:t>
      </w:r>
      <w:r>
        <w:rPr>
          <w:rFonts w:hint="eastAsia" w:ascii="宋体" w:hAnsi="宋体" w:eastAsia="宋体" w:cs="宋体"/>
          <w:kern w:val="0"/>
          <w:szCs w:val="21"/>
        </w:rPr>
        <w:t>国际劳工标准为参照依据。国际劳工标准</w:t>
      </w:r>
      <w:r>
        <w:rPr>
          <w:rFonts w:ascii="宋体" w:hAnsi="宋体" w:eastAsia="宋体" w:cs="宋体"/>
          <w:kern w:val="0"/>
          <w:szCs w:val="21"/>
        </w:rPr>
        <w:t>，</w:t>
      </w:r>
      <w:r>
        <w:rPr>
          <w:rFonts w:hint="eastAsia" w:ascii="宋体" w:hAnsi="宋体" w:eastAsia="宋体" w:cs="宋体"/>
          <w:kern w:val="0"/>
          <w:szCs w:val="21"/>
        </w:rPr>
        <w:t>指国际劳工组织</w:t>
      </w:r>
      <w:r>
        <w:rPr>
          <w:rFonts w:ascii="宋体" w:hAnsi="宋体" w:eastAsia="宋体" w:cs="宋体"/>
          <w:kern w:val="0"/>
          <w:szCs w:val="21"/>
        </w:rPr>
        <w:t>（ILO）</w:t>
      </w:r>
      <w:r>
        <w:rPr>
          <w:rFonts w:hint="eastAsia" w:ascii="宋体" w:hAnsi="宋体" w:eastAsia="宋体" w:cs="宋体"/>
          <w:kern w:val="0"/>
          <w:szCs w:val="21"/>
        </w:rPr>
        <w:t>通过的处理全球范围劳工事务的各种原则、规范、准则</w:t>
      </w:r>
      <w:r>
        <w:rPr>
          <w:rFonts w:ascii="宋体" w:hAnsi="宋体" w:eastAsia="宋体" w:cs="宋体"/>
          <w:kern w:val="0"/>
          <w:szCs w:val="21"/>
        </w:rPr>
        <w:t>，</w:t>
      </w:r>
      <w:r>
        <w:rPr>
          <w:rFonts w:hint="eastAsia" w:ascii="宋体" w:hAnsi="宋体" w:eastAsia="宋体" w:cs="宋体"/>
          <w:kern w:val="0"/>
          <w:szCs w:val="21"/>
        </w:rPr>
        <w:t>它们形成了以国际劳工公约</w:t>
      </w:r>
      <w:r>
        <w:rPr>
          <w:rFonts w:ascii="宋体" w:hAnsi="宋体" w:eastAsia="宋体" w:cs="宋体"/>
          <w:kern w:val="0"/>
          <w:szCs w:val="21"/>
        </w:rPr>
        <w:t>（Conventions，185</w:t>
      </w:r>
      <w:r>
        <w:rPr>
          <w:rFonts w:hint="eastAsia" w:ascii="宋体" w:hAnsi="宋体" w:eastAsia="宋体" w:cs="宋体"/>
          <w:kern w:val="0"/>
          <w:szCs w:val="21"/>
        </w:rPr>
        <w:t>项</w:t>
      </w:r>
      <w:r>
        <w:rPr>
          <w:rFonts w:ascii="宋体" w:hAnsi="宋体" w:eastAsia="宋体" w:cs="宋体"/>
          <w:kern w:val="0"/>
          <w:szCs w:val="21"/>
        </w:rPr>
        <w:t>）</w:t>
      </w:r>
      <w:r>
        <w:rPr>
          <w:rFonts w:hint="eastAsia" w:ascii="宋体" w:hAnsi="宋体" w:eastAsia="宋体" w:cs="宋体"/>
          <w:kern w:val="0"/>
          <w:szCs w:val="21"/>
        </w:rPr>
        <w:t>和建议书</w:t>
      </w:r>
      <w:r>
        <w:rPr>
          <w:rFonts w:ascii="宋体" w:hAnsi="宋体" w:eastAsia="宋体" w:cs="宋体"/>
          <w:kern w:val="0"/>
          <w:szCs w:val="21"/>
        </w:rPr>
        <w:t>（Recommendations，195</w:t>
      </w:r>
      <w:r>
        <w:rPr>
          <w:rFonts w:hint="eastAsia" w:ascii="宋体" w:hAnsi="宋体" w:eastAsia="宋体" w:cs="宋体"/>
          <w:kern w:val="0"/>
          <w:szCs w:val="21"/>
        </w:rPr>
        <w:t>项</w:t>
      </w:r>
      <w:r>
        <w:rPr>
          <w:rFonts w:ascii="宋体" w:hAnsi="宋体" w:eastAsia="宋体" w:cs="宋体"/>
          <w:kern w:val="0"/>
          <w:szCs w:val="21"/>
        </w:rPr>
        <w:t>）</w:t>
      </w:r>
      <w:r>
        <w:rPr>
          <w:rFonts w:hint="eastAsia" w:ascii="宋体" w:hAnsi="宋体" w:eastAsia="宋体" w:cs="宋体"/>
          <w:kern w:val="0"/>
          <w:szCs w:val="21"/>
        </w:rPr>
        <w:t>为核心的一整套国际劳工制度。</w:t>
      </w:r>
    </w:p>
    <w:p w14:paraId="6D8BC83E">
      <w:pPr>
        <w:autoSpaceDE w:val="0"/>
        <w:autoSpaceDN w:val="0"/>
        <w:spacing w:line="400" w:lineRule="exact"/>
        <w:ind w:firstLine="420" w:firstLineChars="200"/>
        <w:rPr>
          <w:rFonts w:ascii="宋体" w:hAnsi="宋体" w:eastAsia="宋体" w:cs="Nyala"/>
          <w:kern w:val="0"/>
          <w:szCs w:val="21"/>
        </w:rPr>
      </w:pPr>
      <w:r>
        <w:rPr>
          <w:rFonts w:ascii="宋体" w:hAnsi="宋体" w:eastAsia="宋体" w:cs="宋体"/>
          <w:kern w:val="0"/>
          <w:szCs w:val="21"/>
        </w:rPr>
        <w:t>SA8000</w:t>
      </w:r>
      <w:r>
        <w:rPr>
          <w:rFonts w:hint="eastAsia" w:ascii="宋体" w:hAnsi="宋体" w:eastAsia="宋体" w:cs="宋体"/>
          <w:kern w:val="0"/>
          <w:szCs w:val="21"/>
        </w:rPr>
        <w:t>是受认可程度最广泛的国际劳工标准之一</w:t>
      </w:r>
      <w:r>
        <w:rPr>
          <w:rFonts w:ascii="宋体" w:hAnsi="宋体" w:eastAsia="宋体" w:cs="宋体"/>
          <w:kern w:val="0"/>
          <w:szCs w:val="21"/>
        </w:rPr>
        <w:t>，</w:t>
      </w:r>
      <w:r>
        <w:rPr>
          <w:rFonts w:hint="eastAsia" w:ascii="宋体" w:hAnsi="宋体" w:eastAsia="宋体" w:cs="宋体"/>
          <w:kern w:val="0"/>
          <w:szCs w:val="21"/>
        </w:rPr>
        <w:t>该标准是一种基于国际劳工组织宪章、联合国儿童权利公约、世界人权宣言而制定的</w:t>
      </w:r>
      <w:r>
        <w:rPr>
          <w:rFonts w:ascii="宋体" w:hAnsi="宋体" w:eastAsia="宋体" w:cs="宋体"/>
          <w:kern w:val="0"/>
          <w:szCs w:val="21"/>
        </w:rPr>
        <w:t>，</w:t>
      </w:r>
      <w:r>
        <w:rPr>
          <w:rFonts w:hint="eastAsia" w:ascii="宋体" w:hAnsi="宋体" w:eastAsia="宋体" w:cs="宋体"/>
          <w:kern w:val="0"/>
          <w:szCs w:val="21"/>
        </w:rPr>
        <w:t>以保护劳动环境和条件、劳工权利等为主要内容的社会责任标准认证体系。</w:t>
      </w:r>
      <w:r>
        <w:rPr>
          <w:rFonts w:ascii="宋体" w:hAnsi="宋体" w:eastAsia="宋体" w:cs="宋体"/>
          <w:kern w:val="0"/>
          <w:szCs w:val="21"/>
        </w:rPr>
        <w:t>2001</w:t>
      </w:r>
      <w:r>
        <w:rPr>
          <w:rFonts w:hint="eastAsia" w:ascii="宋体" w:hAnsi="宋体" w:eastAsia="宋体" w:cs="宋体"/>
          <w:kern w:val="0"/>
          <w:szCs w:val="21"/>
        </w:rPr>
        <w:t>年</w:t>
      </w:r>
      <w:r>
        <w:rPr>
          <w:rFonts w:ascii="宋体" w:hAnsi="宋体" w:eastAsia="宋体" w:cs="宋体"/>
          <w:kern w:val="0"/>
          <w:szCs w:val="21"/>
        </w:rPr>
        <w:t>12</w:t>
      </w:r>
      <w:r>
        <w:rPr>
          <w:rFonts w:hint="eastAsia" w:ascii="宋体" w:hAnsi="宋体" w:eastAsia="宋体" w:cs="宋体"/>
          <w:kern w:val="0"/>
          <w:szCs w:val="21"/>
        </w:rPr>
        <w:t>月</w:t>
      </w:r>
      <w:r>
        <w:rPr>
          <w:rFonts w:ascii="宋体" w:hAnsi="宋体" w:eastAsia="宋体" w:cs="宋体"/>
          <w:kern w:val="0"/>
          <w:szCs w:val="21"/>
        </w:rPr>
        <w:t>12</w:t>
      </w:r>
      <w:r>
        <w:rPr>
          <w:rFonts w:hint="eastAsia" w:ascii="宋体" w:hAnsi="宋体" w:eastAsia="宋体" w:cs="宋体"/>
          <w:kern w:val="0"/>
          <w:szCs w:val="21"/>
        </w:rPr>
        <w:t>日</w:t>
      </w:r>
      <w:r>
        <w:rPr>
          <w:rFonts w:ascii="宋体" w:hAnsi="宋体" w:eastAsia="宋体" w:cs="宋体"/>
          <w:kern w:val="0"/>
          <w:szCs w:val="21"/>
        </w:rPr>
        <w:t>，</w:t>
      </w:r>
      <w:r>
        <w:rPr>
          <w:rFonts w:hint="eastAsia" w:ascii="宋体" w:hAnsi="宋体" w:eastAsia="宋体" w:cs="宋体"/>
          <w:kern w:val="0"/>
          <w:szCs w:val="21"/>
        </w:rPr>
        <w:t>美国社会责任国际</w:t>
      </w:r>
      <w:r>
        <w:rPr>
          <w:rFonts w:ascii="宋体" w:hAnsi="宋体" w:eastAsia="宋体" w:cs="宋体"/>
          <w:kern w:val="0"/>
          <w:szCs w:val="21"/>
        </w:rPr>
        <w:t>（Social Accountability Internationa</w:t>
      </w:r>
      <w:r>
        <w:rPr>
          <w:rFonts w:hint="eastAsia" w:ascii="宋体" w:hAnsi="宋体" w:eastAsia="宋体" w:cs="宋体"/>
          <w:kern w:val="0"/>
          <w:szCs w:val="21"/>
        </w:rPr>
        <w:t>l</w:t>
      </w:r>
      <w:r>
        <w:rPr>
          <w:rFonts w:ascii="宋体" w:hAnsi="宋体" w:eastAsia="宋体" w:cs="宋体"/>
          <w:kern w:val="0"/>
          <w:szCs w:val="21"/>
        </w:rPr>
        <w:t>，</w:t>
      </w:r>
      <w:r>
        <w:rPr>
          <w:rFonts w:hint="eastAsia" w:ascii="宋体" w:hAnsi="宋体" w:eastAsia="宋体" w:cs="宋体"/>
          <w:kern w:val="0"/>
          <w:szCs w:val="21"/>
        </w:rPr>
        <w:t>简称</w:t>
      </w:r>
      <w:r>
        <w:rPr>
          <w:rFonts w:ascii="宋体" w:hAnsi="宋体" w:eastAsia="宋体" w:cs="宋体"/>
          <w:kern w:val="0"/>
          <w:szCs w:val="21"/>
        </w:rPr>
        <w:t>SAI）</w:t>
      </w:r>
      <w:r>
        <w:rPr>
          <w:rFonts w:hint="eastAsia" w:ascii="宋体" w:hAnsi="宋体" w:eastAsia="宋体" w:cs="宋体"/>
          <w:kern w:val="0"/>
          <w:szCs w:val="21"/>
        </w:rPr>
        <w:t>发表了第一个标准的企业社会责任标准</w:t>
      </w:r>
      <w:r>
        <w:rPr>
          <w:rFonts w:ascii="宋体" w:hAnsi="宋体" w:eastAsia="宋体" w:cs="宋体"/>
          <w:kern w:val="0"/>
          <w:szCs w:val="21"/>
        </w:rPr>
        <w:t>SA8000：2001</w:t>
      </w:r>
      <w:r>
        <w:rPr>
          <w:rFonts w:hint="eastAsia" w:ascii="宋体" w:hAnsi="宋体" w:eastAsia="宋体" w:cs="宋体"/>
          <w:kern w:val="0"/>
          <w:szCs w:val="21"/>
        </w:rPr>
        <w:t>。这是第一个可用于第三方认证的社会责任国际标准。主要内容包括童工、强迫劳动、安全卫生、结社自由和集体谈判权、歧视、惩罚性措施、工作时间、工资报酬及管理体系等九方面内容。目前</w:t>
      </w:r>
      <w:r>
        <w:rPr>
          <w:rFonts w:ascii="宋体" w:hAnsi="宋体" w:eastAsia="宋体" w:cs="宋体"/>
          <w:kern w:val="0"/>
          <w:szCs w:val="21"/>
        </w:rPr>
        <w:t>，</w:t>
      </w:r>
      <w:r>
        <w:rPr>
          <w:rFonts w:hint="eastAsia" w:ascii="宋体" w:hAnsi="宋体" w:eastAsia="宋体" w:cs="宋体"/>
          <w:kern w:val="0"/>
          <w:szCs w:val="21"/>
        </w:rPr>
        <w:t>在全球范围内</w:t>
      </w:r>
      <w:r>
        <w:rPr>
          <w:rFonts w:ascii="宋体" w:hAnsi="宋体" w:eastAsia="宋体" w:cs="宋体"/>
          <w:kern w:val="0"/>
          <w:szCs w:val="21"/>
        </w:rPr>
        <w:t>，</w:t>
      </w:r>
      <w:r>
        <w:rPr>
          <w:rFonts w:hint="eastAsia" w:ascii="宋体" w:hAnsi="宋体" w:eastAsia="宋体" w:cs="宋体"/>
          <w:kern w:val="0"/>
          <w:szCs w:val="21"/>
        </w:rPr>
        <w:t>越来越多的消费者开始关注其所购买的产品是否符合</w:t>
      </w:r>
      <w:r>
        <w:rPr>
          <w:rFonts w:ascii="宋体" w:hAnsi="宋体" w:eastAsia="宋体" w:cs="宋体"/>
          <w:kern w:val="0"/>
          <w:szCs w:val="21"/>
        </w:rPr>
        <w:t>SA8000</w:t>
      </w:r>
      <w:r>
        <w:rPr>
          <w:rFonts w:hint="eastAsia" w:ascii="宋体" w:hAnsi="宋体" w:eastAsia="宋体" w:cs="宋体"/>
          <w:kern w:val="0"/>
          <w:szCs w:val="21"/>
        </w:rPr>
        <w:t>的标准</w:t>
      </w:r>
      <w:r>
        <w:rPr>
          <w:rFonts w:ascii="宋体" w:hAnsi="宋体" w:eastAsia="宋体" w:cs="宋体"/>
          <w:kern w:val="0"/>
          <w:szCs w:val="21"/>
        </w:rPr>
        <w:t>，</w:t>
      </w:r>
      <w:r>
        <w:rPr>
          <w:rFonts w:hint="eastAsia" w:ascii="宋体" w:hAnsi="宋体" w:eastAsia="宋体" w:cs="宋体"/>
          <w:kern w:val="0"/>
          <w:szCs w:val="21"/>
        </w:rPr>
        <w:t>否则即使产品价格便宜也予以抵制</w:t>
      </w:r>
      <w:r>
        <w:rPr>
          <w:rFonts w:ascii="宋体" w:hAnsi="宋体" w:eastAsia="宋体" w:cs="宋体"/>
          <w:kern w:val="0"/>
          <w:szCs w:val="21"/>
        </w:rPr>
        <w:t>，</w:t>
      </w:r>
      <w:r>
        <w:rPr>
          <w:rFonts w:hint="eastAsia" w:ascii="宋体" w:hAnsi="宋体" w:eastAsia="宋体" w:cs="宋体"/>
          <w:kern w:val="0"/>
          <w:szCs w:val="21"/>
        </w:rPr>
        <w:t>而且这种消费倾向在发达国家表现得尤为明显。</w:t>
      </w:r>
    </w:p>
    <w:p w14:paraId="0E1B907E">
      <w:pPr>
        <w:autoSpaceDE w:val="0"/>
        <w:autoSpaceDN w:val="0"/>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中国作为</w:t>
      </w:r>
      <w:r>
        <w:rPr>
          <w:rFonts w:ascii="宋体" w:hAnsi="宋体" w:eastAsia="宋体" w:cs="宋体"/>
          <w:kern w:val="0"/>
          <w:szCs w:val="21"/>
        </w:rPr>
        <w:t>ILO</w:t>
      </w:r>
      <w:r>
        <w:rPr>
          <w:rFonts w:hint="eastAsia" w:ascii="宋体" w:hAnsi="宋体" w:eastAsia="宋体" w:cs="宋体"/>
          <w:kern w:val="0"/>
          <w:szCs w:val="21"/>
        </w:rPr>
        <w:t>的成员国</w:t>
      </w:r>
      <w:r>
        <w:rPr>
          <w:rFonts w:ascii="宋体" w:hAnsi="宋体" w:eastAsia="宋体" w:cs="宋体"/>
          <w:kern w:val="0"/>
          <w:szCs w:val="21"/>
        </w:rPr>
        <w:t>，</w:t>
      </w:r>
      <w:r>
        <w:rPr>
          <w:rFonts w:hint="eastAsia" w:ascii="宋体" w:hAnsi="宋体" w:eastAsia="宋体" w:cs="宋体"/>
          <w:kern w:val="0"/>
          <w:szCs w:val="21"/>
        </w:rPr>
        <w:t>已经批准了</w:t>
      </w:r>
      <w:r>
        <w:rPr>
          <w:rFonts w:ascii="宋体" w:hAnsi="宋体" w:eastAsia="宋体" w:cs="宋体"/>
          <w:kern w:val="0"/>
          <w:szCs w:val="21"/>
        </w:rPr>
        <w:t>24</w:t>
      </w:r>
      <w:r>
        <w:rPr>
          <w:rFonts w:hint="eastAsia" w:ascii="宋体" w:hAnsi="宋体" w:eastAsia="宋体" w:cs="宋体"/>
          <w:kern w:val="0"/>
          <w:szCs w:val="21"/>
        </w:rPr>
        <w:t>项国际劳工公约</w:t>
      </w:r>
      <w:r>
        <w:rPr>
          <w:rFonts w:ascii="宋体" w:hAnsi="宋体" w:eastAsia="宋体" w:cs="宋体"/>
          <w:kern w:val="0"/>
          <w:szCs w:val="21"/>
        </w:rPr>
        <w:t>，</w:t>
      </w:r>
      <w:r>
        <w:rPr>
          <w:rFonts w:hint="eastAsia" w:ascii="宋体" w:hAnsi="宋体" w:eastAsia="宋体" w:cs="宋体"/>
          <w:kern w:val="0"/>
          <w:szCs w:val="21"/>
        </w:rPr>
        <w:t>面临着如何执行已批准的国际劳工公约及如何将国际劳工标准与国内劳工标准协调的问题。尽管</w:t>
      </w:r>
      <w:r>
        <w:rPr>
          <w:rFonts w:ascii="宋体" w:hAnsi="宋体" w:eastAsia="宋体" w:cs="宋体"/>
          <w:kern w:val="0"/>
          <w:szCs w:val="21"/>
        </w:rPr>
        <w:t>SA8000</w:t>
      </w:r>
      <w:r>
        <w:rPr>
          <w:rFonts w:hint="eastAsia" w:ascii="宋体" w:hAnsi="宋体" w:eastAsia="宋体" w:cs="宋体"/>
          <w:kern w:val="0"/>
          <w:szCs w:val="21"/>
        </w:rPr>
        <w:t>的宗旨是好的</w:t>
      </w:r>
      <w:r>
        <w:rPr>
          <w:rFonts w:ascii="宋体" w:hAnsi="宋体" w:eastAsia="宋体" w:cs="宋体"/>
          <w:kern w:val="0"/>
          <w:szCs w:val="21"/>
        </w:rPr>
        <w:t>，</w:t>
      </w:r>
      <w:r>
        <w:rPr>
          <w:rFonts w:hint="eastAsia" w:ascii="宋体" w:hAnsi="宋体" w:eastAsia="宋体" w:cs="宋体"/>
          <w:kern w:val="0"/>
          <w:szCs w:val="21"/>
        </w:rPr>
        <w:t>但关税在一般非关税壁垒不断被削减的今天</w:t>
      </w:r>
      <w:r>
        <w:rPr>
          <w:rFonts w:ascii="宋体" w:hAnsi="宋体" w:eastAsia="宋体" w:cs="宋体"/>
          <w:kern w:val="0"/>
          <w:szCs w:val="21"/>
        </w:rPr>
        <w:t>，SA8000</w:t>
      </w:r>
      <w:r>
        <w:rPr>
          <w:rFonts w:hint="eastAsia" w:ascii="宋体" w:hAnsi="宋体" w:eastAsia="宋体" w:cs="宋体"/>
          <w:kern w:val="0"/>
          <w:szCs w:val="21"/>
        </w:rPr>
        <w:t>非常容易被贸易保护者利用</w:t>
      </w:r>
      <w:r>
        <w:rPr>
          <w:rFonts w:ascii="宋体" w:hAnsi="宋体" w:eastAsia="宋体" w:cs="宋体"/>
          <w:kern w:val="0"/>
          <w:szCs w:val="21"/>
        </w:rPr>
        <w:t>，</w:t>
      </w:r>
      <w:r>
        <w:rPr>
          <w:rFonts w:hint="eastAsia" w:ascii="宋体" w:hAnsi="宋体" w:eastAsia="宋体" w:cs="宋体"/>
          <w:kern w:val="0"/>
          <w:szCs w:val="21"/>
        </w:rPr>
        <w:t>成为限制发展中国家劳动密集型产品出口的有力工具。中国目前和欧美等国家的贸易摩擦</w:t>
      </w:r>
      <w:r>
        <w:rPr>
          <w:rFonts w:ascii="宋体" w:hAnsi="宋体" w:eastAsia="宋体" w:cs="宋体"/>
          <w:kern w:val="0"/>
          <w:szCs w:val="21"/>
        </w:rPr>
        <w:t>，</w:t>
      </w:r>
      <w:r>
        <w:rPr>
          <w:rFonts w:hint="eastAsia" w:ascii="宋体" w:hAnsi="宋体" w:eastAsia="宋体" w:cs="宋体"/>
          <w:kern w:val="0"/>
          <w:szCs w:val="21"/>
        </w:rPr>
        <w:t>在很大程度上是因劳工标准惹起的。这里面既存在着国外社会对我国的误解</w:t>
      </w:r>
      <w:r>
        <w:rPr>
          <w:rFonts w:ascii="宋体" w:hAnsi="宋体" w:eastAsia="宋体" w:cs="宋体"/>
          <w:kern w:val="0"/>
          <w:szCs w:val="21"/>
        </w:rPr>
        <w:t>，</w:t>
      </w:r>
      <w:r>
        <w:rPr>
          <w:rFonts w:hint="eastAsia" w:ascii="宋体" w:hAnsi="宋体" w:eastAsia="宋体" w:cs="宋体"/>
          <w:kern w:val="0"/>
          <w:szCs w:val="21"/>
        </w:rPr>
        <w:t>也存在我们自身的问题。一方面</w:t>
      </w:r>
      <w:r>
        <w:rPr>
          <w:rFonts w:ascii="宋体" w:hAnsi="宋体" w:eastAsia="宋体" w:cs="宋体"/>
          <w:kern w:val="0"/>
          <w:szCs w:val="21"/>
        </w:rPr>
        <w:t>，</w:t>
      </w:r>
      <w:r>
        <w:rPr>
          <w:rFonts w:hint="eastAsia" w:ascii="宋体" w:hAnsi="宋体" w:eastAsia="宋体" w:cs="宋体"/>
          <w:kern w:val="0"/>
          <w:szCs w:val="21"/>
        </w:rPr>
        <w:t>中国确实有部分企业肆意践踏劳工标准</w:t>
      </w:r>
      <w:r>
        <w:rPr>
          <w:rFonts w:ascii="宋体" w:hAnsi="宋体" w:eastAsia="宋体" w:cs="宋体"/>
          <w:kern w:val="0"/>
          <w:szCs w:val="21"/>
        </w:rPr>
        <w:t>，</w:t>
      </w:r>
      <w:r>
        <w:rPr>
          <w:rFonts w:hint="eastAsia" w:ascii="宋体" w:hAnsi="宋体" w:eastAsia="宋体" w:cs="宋体"/>
          <w:kern w:val="0"/>
          <w:szCs w:val="21"/>
        </w:rPr>
        <w:t>不遵守最低工资</w:t>
      </w:r>
      <w:r>
        <w:rPr>
          <w:rFonts w:ascii="宋体" w:hAnsi="宋体" w:eastAsia="宋体" w:cs="宋体"/>
          <w:kern w:val="0"/>
          <w:szCs w:val="21"/>
        </w:rPr>
        <w:t>，</w:t>
      </w:r>
      <w:r>
        <w:rPr>
          <w:rFonts w:hint="eastAsia" w:ascii="宋体" w:hAnsi="宋体" w:eastAsia="宋体" w:cs="宋体"/>
          <w:kern w:val="0"/>
          <w:szCs w:val="21"/>
        </w:rPr>
        <w:t>成为血汗工厂的事实</w:t>
      </w:r>
      <w:r>
        <w:rPr>
          <w:rFonts w:ascii="宋体" w:hAnsi="宋体" w:eastAsia="宋体" w:cs="宋体"/>
          <w:kern w:val="0"/>
          <w:szCs w:val="21"/>
        </w:rPr>
        <w:t>，</w:t>
      </w:r>
      <w:r>
        <w:rPr>
          <w:rFonts w:hint="eastAsia" w:ascii="宋体" w:hAnsi="宋体" w:eastAsia="宋体" w:cs="宋体"/>
          <w:kern w:val="0"/>
          <w:szCs w:val="21"/>
        </w:rPr>
        <w:t>但这种情况并不代表中国企业界的普遍情形。另一方面</w:t>
      </w:r>
      <w:r>
        <w:rPr>
          <w:rFonts w:ascii="宋体" w:hAnsi="宋体" w:eastAsia="宋体" w:cs="宋体"/>
          <w:kern w:val="0"/>
          <w:szCs w:val="21"/>
        </w:rPr>
        <w:t>，</w:t>
      </w:r>
      <w:r>
        <w:rPr>
          <w:rFonts w:hint="eastAsia" w:ascii="宋体" w:hAnsi="宋体" w:eastAsia="宋体" w:cs="宋体"/>
          <w:kern w:val="0"/>
          <w:szCs w:val="21"/>
        </w:rPr>
        <w:t>我国政府没有运用合理的渠道和国外社会沟通</w:t>
      </w:r>
      <w:r>
        <w:rPr>
          <w:rFonts w:ascii="宋体" w:hAnsi="宋体" w:eastAsia="宋体" w:cs="宋体"/>
          <w:kern w:val="0"/>
          <w:szCs w:val="21"/>
        </w:rPr>
        <w:t>，</w:t>
      </w:r>
      <w:r>
        <w:rPr>
          <w:rFonts w:hint="eastAsia" w:ascii="宋体" w:hAnsi="宋体" w:eastAsia="宋体" w:cs="宋体"/>
          <w:kern w:val="0"/>
          <w:szCs w:val="21"/>
        </w:rPr>
        <w:t>导致国外社会对我国劳工情况片面了解</w:t>
      </w:r>
      <w:r>
        <w:rPr>
          <w:rFonts w:ascii="宋体" w:hAnsi="宋体" w:eastAsia="宋体" w:cs="宋体"/>
          <w:kern w:val="0"/>
          <w:szCs w:val="21"/>
        </w:rPr>
        <w:t>，</w:t>
      </w:r>
      <w:r>
        <w:rPr>
          <w:rFonts w:hint="eastAsia" w:ascii="宋体" w:hAnsi="宋体" w:eastAsia="宋体" w:cs="宋体"/>
          <w:kern w:val="0"/>
          <w:szCs w:val="21"/>
        </w:rPr>
        <w:t>产生了不信任情绪。国外企业利用本国公众对中国的猜疑</w:t>
      </w:r>
      <w:r>
        <w:rPr>
          <w:rFonts w:ascii="宋体" w:hAnsi="宋体" w:eastAsia="宋体" w:cs="宋体"/>
          <w:kern w:val="0"/>
          <w:szCs w:val="21"/>
        </w:rPr>
        <w:t>，</w:t>
      </w:r>
      <w:r>
        <w:rPr>
          <w:rFonts w:hint="eastAsia" w:ascii="宋体" w:hAnsi="宋体" w:eastAsia="宋体" w:cs="宋体"/>
          <w:kern w:val="0"/>
          <w:szCs w:val="21"/>
        </w:rPr>
        <w:t>掀起反倾销</w:t>
      </w:r>
      <w:r>
        <w:rPr>
          <w:rFonts w:ascii="宋体" w:hAnsi="宋体" w:eastAsia="宋体" w:cs="宋体"/>
          <w:kern w:val="0"/>
          <w:szCs w:val="21"/>
        </w:rPr>
        <w:t>，</w:t>
      </w:r>
      <w:r>
        <w:rPr>
          <w:rFonts w:hint="eastAsia" w:ascii="宋体" w:hAnsi="宋体" w:eastAsia="宋体" w:cs="宋体"/>
          <w:kern w:val="0"/>
          <w:szCs w:val="21"/>
        </w:rPr>
        <w:t>抵制中国产品</w:t>
      </w:r>
      <w:r>
        <w:rPr>
          <w:rFonts w:ascii="宋体" w:hAnsi="宋体" w:eastAsia="宋体" w:cs="宋体"/>
          <w:kern w:val="0"/>
          <w:szCs w:val="21"/>
        </w:rPr>
        <w:t>，</w:t>
      </w:r>
      <w:r>
        <w:rPr>
          <w:rFonts w:hint="eastAsia" w:ascii="宋体" w:hAnsi="宋体" w:eastAsia="宋体" w:cs="宋体"/>
          <w:kern w:val="0"/>
          <w:szCs w:val="21"/>
        </w:rPr>
        <w:t>造成我国遵守国际劳工标准的企业也受到牵连。由于我国政府对</w:t>
      </w:r>
      <w:r>
        <w:rPr>
          <w:rFonts w:ascii="宋体" w:hAnsi="宋体" w:eastAsia="宋体" w:cs="宋体"/>
          <w:kern w:val="0"/>
          <w:szCs w:val="21"/>
        </w:rPr>
        <w:t>SA8000</w:t>
      </w:r>
      <w:r>
        <w:rPr>
          <w:rFonts w:hint="eastAsia" w:ascii="宋体" w:hAnsi="宋体" w:eastAsia="宋体" w:cs="宋体"/>
          <w:kern w:val="0"/>
          <w:szCs w:val="21"/>
        </w:rPr>
        <w:t>的认识不足</w:t>
      </w:r>
      <w:r>
        <w:rPr>
          <w:rFonts w:ascii="宋体" w:hAnsi="宋体" w:eastAsia="宋体" w:cs="宋体"/>
          <w:kern w:val="0"/>
          <w:szCs w:val="21"/>
        </w:rPr>
        <w:t>，</w:t>
      </w:r>
      <w:r>
        <w:rPr>
          <w:rFonts w:hint="eastAsia" w:ascii="宋体" w:hAnsi="宋体" w:eastAsia="宋体" w:cs="宋体"/>
          <w:kern w:val="0"/>
          <w:szCs w:val="21"/>
        </w:rPr>
        <w:t>国外认证机构不能在中国合法营业</w:t>
      </w:r>
      <w:r>
        <w:rPr>
          <w:rFonts w:ascii="宋体" w:hAnsi="宋体" w:eastAsia="宋体" w:cs="宋体"/>
          <w:kern w:val="0"/>
          <w:szCs w:val="21"/>
        </w:rPr>
        <w:t>，</w:t>
      </w:r>
      <w:r>
        <w:rPr>
          <w:rFonts w:hint="eastAsia" w:ascii="宋体" w:hAnsi="宋体" w:eastAsia="宋体" w:cs="宋体"/>
          <w:kern w:val="0"/>
          <w:szCs w:val="21"/>
        </w:rPr>
        <w:t>而我国出口企业又属于国际大企业供应商</w:t>
      </w:r>
      <w:r>
        <w:rPr>
          <w:rFonts w:ascii="宋体" w:hAnsi="宋体" w:eastAsia="宋体" w:cs="宋体"/>
          <w:kern w:val="0"/>
          <w:szCs w:val="21"/>
        </w:rPr>
        <w:t>，</w:t>
      </w:r>
      <w:r>
        <w:rPr>
          <w:rFonts w:hint="eastAsia" w:ascii="宋体" w:hAnsi="宋体" w:eastAsia="宋体" w:cs="宋体"/>
          <w:kern w:val="0"/>
          <w:szCs w:val="21"/>
        </w:rPr>
        <w:t>为了业务需要不得不接受国际劳工标准评估</w:t>
      </w:r>
      <w:r>
        <w:rPr>
          <w:rFonts w:ascii="宋体" w:hAnsi="宋体" w:eastAsia="宋体" w:cs="宋体"/>
          <w:kern w:val="0"/>
          <w:szCs w:val="21"/>
        </w:rPr>
        <w:t>，</w:t>
      </w:r>
      <w:r>
        <w:rPr>
          <w:rFonts w:hint="eastAsia" w:ascii="宋体" w:hAnsi="宋体" w:eastAsia="宋体" w:cs="宋体"/>
          <w:kern w:val="0"/>
          <w:szCs w:val="21"/>
        </w:rPr>
        <w:t>中国企业不得不付出高昂的评估费</w:t>
      </w:r>
      <w:r>
        <w:rPr>
          <w:rFonts w:ascii="宋体" w:hAnsi="宋体" w:eastAsia="宋体" w:cs="宋体"/>
          <w:kern w:val="0"/>
          <w:szCs w:val="21"/>
        </w:rPr>
        <w:t>，</w:t>
      </w:r>
      <w:r>
        <w:rPr>
          <w:rFonts w:hint="eastAsia" w:ascii="宋体" w:hAnsi="宋体" w:eastAsia="宋体" w:cs="宋体"/>
          <w:kern w:val="0"/>
          <w:szCs w:val="21"/>
        </w:rPr>
        <w:t>评估通过后又不宜在国内公开宣传</w:t>
      </w:r>
      <w:r>
        <w:rPr>
          <w:rFonts w:ascii="宋体" w:hAnsi="宋体" w:eastAsia="宋体" w:cs="宋体"/>
          <w:kern w:val="0"/>
          <w:szCs w:val="21"/>
        </w:rPr>
        <w:t>，</w:t>
      </w:r>
      <w:r>
        <w:rPr>
          <w:rFonts w:hint="eastAsia" w:ascii="宋体" w:hAnsi="宋体" w:eastAsia="宋体" w:cs="宋体"/>
          <w:kern w:val="0"/>
          <w:szCs w:val="21"/>
        </w:rPr>
        <w:t>从而造成了很大浪费。有鉴于此</w:t>
      </w:r>
      <w:r>
        <w:rPr>
          <w:rFonts w:ascii="宋体" w:hAnsi="宋体" w:eastAsia="宋体" w:cs="宋体"/>
          <w:kern w:val="0"/>
          <w:szCs w:val="21"/>
        </w:rPr>
        <w:t>，</w:t>
      </w:r>
      <w:r>
        <w:rPr>
          <w:rFonts w:hint="eastAsia" w:ascii="宋体" w:hAnsi="宋体" w:eastAsia="宋体" w:cs="宋体"/>
          <w:kern w:val="0"/>
          <w:szCs w:val="21"/>
        </w:rPr>
        <w:t>我国政府应采取开放心态</w:t>
      </w:r>
      <w:r>
        <w:rPr>
          <w:rFonts w:ascii="宋体" w:hAnsi="宋体" w:eastAsia="宋体" w:cs="宋体"/>
          <w:kern w:val="0"/>
          <w:szCs w:val="21"/>
        </w:rPr>
        <w:t>，</w:t>
      </w:r>
      <w:r>
        <w:rPr>
          <w:rFonts w:hint="eastAsia" w:ascii="宋体" w:hAnsi="宋体" w:eastAsia="宋体" w:cs="宋体"/>
          <w:kern w:val="0"/>
          <w:szCs w:val="21"/>
        </w:rPr>
        <w:t>积极引进国际劳工评估。第三方评估认证不但可以大大降低我国受评估企业负担的评估费用</w:t>
      </w:r>
      <w:r>
        <w:rPr>
          <w:rFonts w:ascii="宋体" w:hAnsi="宋体" w:eastAsia="宋体" w:cs="宋体"/>
          <w:kern w:val="0"/>
          <w:szCs w:val="21"/>
        </w:rPr>
        <w:t>，</w:t>
      </w:r>
      <w:r>
        <w:rPr>
          <w:rFonts w:hint="eastAsia" w:ascii="宋体" w:hAnsi="宋体" w:eastAsia="宋体" w:cs="宋体"/>
          <w:kern w:val="0"/>
          <w:szCs w:val="21"/>
        </w:rPr>
        <w:t>还可以推进第三方认证产业的发展。为保持评估认证的公正、透明</w:t>
      </w:r>
      <w:r>
        <w:rPr>
          <w:rFonts w:ascii="宋体" w:hAnsi="宋体" w:eastAsia="宋体" w:cs="宋体"/>
          <w:kern w:val="0"/>
          <w:szCs w:val="21"/>
        </w:rPr>
        <w:t>，</w:t>
      </w:r>
      <w:r>
        <w:rPr>
          <w:rFonts w:hint="eastAsia" w:ascii="宋体" w:hAnsi="宋体" w:eastAsia="宋体" w:cs="宋体"/>
          <w:kern w:val="0"/>
          <w:szCs w:val="21"/>
        </w:rPr>
        <w:t>评估必须由中国境内评估企业进行。第三方劳工标准评估</w:t>
      </w:r>
      <w:r>
        <w:rPr>
          <w:rFonts w:ascii="宋体" w:hAnsi="宋体" w:eastAsia="宋体" w:cs="宋体"/>
          <w:kern w:val="0"/>
          <w:szCs w:val="21"/>
        </w:rPr>
        <w:t>，</w:t>
      </w:r>
      <w:r>
        <w:rPr>
          <w:rFonts w:hint="eastAsia" w:ascii="宋体" w:hAnsi="宋体" w:eastAsia="宋体" w:cs="宋体"/>
          <w:kern w:val="0"/>
          <w:szCs w:val="21"/>
        </w:rPr>
        <w:t>可以和我国各地地方政府颁布的最低工资标准结合起来</w:t>
      </w:r>
      <w:r>
        <w:rPr>
          <w:rFonts w:ascii="宋体" w:hAnsi="宋体" w:eastAsia="宋体" w:cs="宋体"/>
          <w:kern w:val="0"/>
          <w:szCs w:val="21"/>
        </w:rPr>
        <w:t>，</w:t>
      </w:r>
      <w:r>
        <w:rPr>
          <w:rFonts w:hint="eastAsia" w:ascii="宋体" w:hAnsi="宋体" w:eastAsia="宋体" w:cs="宋体"/>
          <w:kern w:val="0"/>
          <w:szCs w:val="21"/>
        </w:rPr>
        <w:t>由于第三方评估是企业基于自愿原则实施的</w:t>
      </w:r>
      <w:r>
        <w:rPr>
          <w:rFonts w:ascii="宋体" w:hAnsi="宋体" w:eastAsia="宋体" w:cs="宋体"/>
          <w:kern w:val="0"/>
          <w:szCs w:val="21"/>
        </w:rPr>
        <w:t>，</w:t>
      </w:r>
      <w:r>
        <w:rPr>
          <w:rFonts w:hint="eastAsia" w:ascii="宋体" w:hAnsi="宋体" w:eastAsia="宋体" w:cs="宋体"/>
          <w:kern w:val="0"/>
          <w:szCs w:val="21"/>
        </w:rPr>
        <w:t>让优秀企业被公众知晓</w:t>
      </w:r>
      <w:r>
        <w:rPr>
          <w:rFonts w:ascii="宋体" w:hAnsi="宋体" w:eastAsia="宋体" w:cs="宋体"/>
          <w:kern w:val="0"/>
          <w:szCs w:val="21"/>
        </w:rPr>
        <w:t>，</w:t>
      </w:r>
      <w:r>
        <w:rPr>
          <w:rFonts w:hint="eastAsia" w:ascii="宋体" w:hAnsi="宋体" w:eastAsia="宋体" w:cs="宋体"/>
          <w:kern w:val="0"/>
          <w:szCs w:val="21"/>
        </w:rPr>
        <w:t>让遵守劳动法规成为企业的品牌</w:t>
      </w:r>
      <w:r>
        <w:rPr>
          <w:rFonts w:ascii="宋体" w:hAnsi="宋体" w:eastAsia="宋体" w:cs="宋体"/>
          <w:kern w:val="0"/>
          <w:szCs w:val="21"/>
        </w:rPr>
        <w:t>，</w:t>
      </w:r>
      <w:r>
        <w:rPr>
          <w:rFonts w:hint="eastAsia" w:ascii="宋体" w:hAnsi="宋体" w:eastAsia="宋体" w:cs="宋体"/>
          <w:kern w:val="0"/>
          <w:szCs w:val="21"/>
        </w:rPr>
        <w:t>就能强化最低工资制度和相关劳动法规在我国的执行。此外</w:t>
      </w:r>
      <w:r>
        <w:rPr>
          <w:rFonts w:ascii="宋体" w:hAnsi="宋体" w:eastAsia="宋体" w:cs="宋体"/>
          <w:kern w:val="0"/>
          <w:szCs w:val="21"/>
        </w:rPr>
        <w:t>，</w:t>
      </w:r>
      <w:r>
        <w:rPr>
          <w:rFonts w:hint="eastAsia" w:ascii="宋体" w:hAnsi="宋体" w:eastAsia="宋体" w:cs="宋体"/>
          <w:kern w:val="0"/>
          <w:szCs w:val="21"/>
        </w:rPr>
        <w:t>在我国很多产业面临产能过剩的情况下</w:t>
      </w:r>
      <w:r>
        <w:rPr>
          <w:rFonts w:ascii="宋体" w:hAnsi="宋体" w:eastAsia="宋体" w:cs="宋体"/>
          <w:kern w:val="0"/>
          <w:szCs w:val="21"/>
        </w:rPr>
        <w:t>，</w:t>
      </w:r>
      <w:r>
        <w:rPr>
          <w:rFonts w:hint="eastAsia" w:ascii="宋体" w:hAnsi="宋体" w:eastAsia="宋体" w:cs="宋体"/>
          <w:kern w:val="0"/>
          <w:szCs w:val="21"/>
        </w:rPr>
        <w:t>可以逐步提高最低工资标准</w:t>
      </w:r>
      <w:r>
        <w:rPr>
          <w:rFonts w:ascii="宋体" w:hAnsi="宋体" w:eastAsia="宋体" w:cs="宋体"/>
          <w:kern w:val="0"/>
          <w:szCs w:val="21"/>
        </w:rPr>
        <w:t>，</w:t>
      </w:r>
      <w:r>
        <w:rPr>
          <w:rFonts w:hint="eastAsia" w:ascii="宋体" w:hAnsi="宋体" w:eastAsia="宋体" w:cs="宋体"/>
          <w:kern w:val="0"/>
          <w:szCs w:val="21"/>
        </w:rPr>
        <w:t>逐步加强执行力度</w:t>
      </w:r>
      <w:r>
        <w:rPr>
          <w:rFonts w:ascii="宋体" w:hAnsi="宋体" w:eastAsia="宋体" w:cs="宋体"/>
          <w:kern w:val="0"/>
          <w:szCs w:val="21"/>
        </w:rPr>
        <w:t>，</w:t>
      </w:r>
      <w:r>
        <w:rPr>
          <w:rFonts w:hint="eastAsia" w:ascii="宋体" w:hAnsi="宋体" w:eastAsia="宋体" w:cs="宋体"/>
          <w:kern w:val="0"/>
          <w:szCs w:val="21"/>
        </w:rPr>
        <w:t>以便淘汰落后企业</w:t>
      </w:r>
      <w:r>
        <w:rPr>
          <w:rFonts w:ascii="宋体" w:hAnsi="宋体" w:eastAsia="宋体" w:cs="宋体"/>
          <w:kern w:val="0"/>
          <w:szCs w:val="21"/>
        </w:rPr>
        <w:t>，</w:t>
      </w:r>
      <w:r>
        <w:rPr>
          <w:rFonts w:hint="eastAsia" w:ascii="宋体" w:hAnsi="宋体" w:eastAsia="宋体" w:cs="宋体"/>
          <w:kern w:val="0"/>
          <w:szCs w:val="21"/>
        </w:rPr>
        <w:t>实现优胜劣汰。</w:t>
      </w:r>
    </w:p>
    <w:p w14:paraId="1E15A3B4">
      <w:pPr>
        <w:autoSpaceDE w:val="0"/>
        <w:autoSpaceDN w:val="0"/>
        <w:spacing w:line="400" w:lineRule="exact"/>
        <w:ind w:firstLine="420" w:firstLineChars="200"/>
        <w:rPr>
          <w:rFonts w:ascii="宋体" w:hAnsi="宋体" w:eastAsia="宋体" w:cs="宋体"/>
          <w:kern w:val="0"/>
          <w:szCs w:val="21"/>
        </w:rPr>
      </w:pPr>
    </w:p>
    <w:p w14:paraId="4C50D6F8">
      <w:pPr>
        <w:autoSpaceDE w:val="0"/>
        <w:autoSpaceDN w:val="0"/>
        <w:spacing w:line="400" w:lineRule="exact"/>
        <w:ind w:firstLine="420" w:firstLineChars="200"/>
        <w:rPr>
          <w:rFonts w:ascii="宋体" w:hAnsi="宋体" w:eastAsia="宋体" w:cs="宋体"/>
          <w:b/>
          <w:kern w:val="0"/>
          <w:szCs w:val="21"/>
        </w:rPr>
      </w:pPr>
      <w:r>
        <w:rPr>
          <w:rFonts w:hint="eastAsia" w:ascii="宋体" w:hAnsi="宋体" w:eastAsia="宋体" w:cs="宋体"/>
          <w:b/>
          <w:kern w:val="0"/>
          <w:szCs w:val="21"/>
        </w:rPr>
        <w:t>参考文献</w:t>
      </w:r>
      <w:r>
        <w:rPr>
          <w:rFonts w:ascii="宋体" w:hAnsi="宋体" w:eastAsia="宋体" w:cs="宋体"/>
          <w:b/>
          <w:kern w:val="0"/>
          <w:szCs w:val="21"/>
        </w:rPr>
        <w:t>：</w:t>
      </w:r>
    </w:p>
    <w:p w14:paraId="699B5F51">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[1]</w:t>
      </w:r>
      <w:r>
        <w:rPr>
          <w:rFonts w:hint="eastAsia" w:ascii="宋体" w:hAnsi="宋体" w:eastAsia="宋体" w:cs="宋体"/>
          <w:kern w:val="0"/>
          <w:sz w:val="18"/>
          <w:szCs w:val="18"/>
        </w:rPr>
        <w:t>程恩富：《关于当前劳动收入分配问题释疑——访著名经济学家、中国社科院程恩富和余斌教授》，《管理学刊》</w:t>
      </w:r>
      <w:r>
        <w:rPr>
          <w:rFonts w:ascii="宋体" w:hAnsi="宋体" w:eastAsia="宋体" w:cs="宋体"/>
          <w:kern w:val="0"/>
          <w:sz w:val="18"/>
          <w:szCs w:val="18"/>
        </w:rPr>
        <w:t>2010</w:t>
      </w:r>
      <w:r>
        <w:rPr>
          <w:rFonts w:hint="eastAsia" w:ascii="宋体" w:hAnsi="宋体" w:eastAsia="宋体" w:cs="宋体"/>
          <w:kern w:val="0"/>
          <w:sz w:val="18"/>
          <w:szCs w:val="18"/>
        </w:rPr>
        <w:t>年第</w:t>
      </w:r>
      <w:r>
        <w:rPr>
          <w:rFonts w:ascii="宋体" w:hAnsi="宋体" w:eastAsia="宋体" w:cs="宋体"/>
          <w:kern w:val="0"/>
          <w:sz w:val="18"/>
          <w:szCs w:val="18"/>
        </w:rPr>
        <w:t>5</w:t>
      </w:r>
      <w:r>
        <w:rPr>
          <w:rFonts w:hint="eastAsia" w:ascii="宋体" w:hAnsi="宋体" w:eastAsia="宋体" w:cs="宋体"/>
          <w:kern w:val="0"/>
          <w:sz w:val="18"/>
          <w:szCs w:val="18"/>
        </w:rPr>
        <w:t>期。</w:t>
      </w:r>
    </w:p>
    <w:p w14:paraId="4F09E9AA">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[2]</w:t>
      </w:r>
      <w:r>
        <w:rPr>
          <w:rFonts w:hint="eastAsia" w:ascii="宋体" w:hAnsi="宋体" w:eastAsia="宋体" w:cs="宋体"/>
          <w:kern w:val="0"/>
          <w:sz w:val="18"/>
          <w:szCs w:val="18"/>
        </w:rPr>
        <w:t>周肇光：《如何促进中国分配制度中公平与效率和谐发展》，《海派经济学季刊》</w:t>
      </w:r>
      <w:r>
        <w:rPr>
          <w:rFonts w:ascii="宋体" w:hAnsi="宋体" w:eastAsia="宋体" w:cs="宋体"/>
          <w:kern w:val="0"/>
          <w:sz w:val="18"/>
          <w:szCs w:val="18"/>
        </w:rPr>
        <w:t>2008</w:t>
      </w:r>
      <w:r>
        <w:rPr>
          <w:rFonts w:hint="eastAsia" w:ascii="宋体" w:hAnsi="宋体" w:eastAsia="宋体" w:cs="宋体"/>
          <w:kern w:val="0"/>
          <w:sz w:val="18"/>
          <w:szCs w:val="18"/>
        </w:rPr>
        <w:t>年第</w:t>
      </w:r>
      <w:r>
        <w:rPr>
          <w:rFonts w:ascii="宋体" w:hAnsi="宋体" w:eastAsia="宋体" w:cs="宋体"/>
          <w:kern w:val="0"/>
          <w:sz w:val="18"/>
          <w:szCs w:val="18"/>
        </w:rPr>
        <w:t>1</w:t>
      </w:r>
      <w:r>
        <w:rPr>
          <w:rFonts w:hint="eastAsia" w:ascii="宋体" w:hAnsi="宋体" w:eastAsia="宋体" w:cs="宋体"/>
          <w:kern w:val="0"/>
          <w:sz w:val="18"/>
          <w:szCs w:val="18"/>
        </w:rPr>
        <w:t>期。</w:t>
      </w:r>
    </w:p>
    <w:p w14:paraId="22A01D2A">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[3]</w:t>
      </w:r>
      <w:r>
        <w:rPr>
          <w:rFonts w:hint="eastAsia" w:ascii="宋体" w:hAnsi="宋体" w:eastAsia="宋体" w:cs="宋体"/>
          <w:kern w:val="0"/>
          <w:sz w:val="18"/>
          <w:szCs w:val="18"/>
        </w:rPr>
        <w:t>白重恩</w:t>
      </w:r>
      <w:r>
        <w:rPr>
          <w:rFonts w:ascii="宋体" w:hAnsi="宋体" w:eastAsia="宋体" w:cs="宋体"/>
          <w:kern w:val="0"/>
          <w:sz w:val="18"/>
          <w:szCs w:val="18"/>
        </w:rPr>
        <w:t>，</w:t>
      </w:r>
      <w:r>
        <w:rPr>
          <w:rFonts w:hint="eastAsia" w:ascii="宋体" w:hAnsi="宋体" w:eastAsia="宋体" w:cs="宋体"/>
          <w:kern w:val="0"/>
          <w:sz w:val="18"/>
          <w:szCs w:val="18"/>
        </w:rPr>
        <w:t>钱震杰：《谁在挤占居民的收入——中国国民收入分配格局分析》，《中国社会科学》</w:t>
      </w:r>
      <w:r>
        <w:rPr>
          <w:rFonts w:ascii="宋体" w:hAnsi="宋体" w:eastAsia="宋体" w:cs="宋体"/>
          <w:kern w:val="0"/>
          <w:sz w:val="18"/>
          <w:szCs w:val="18"/>
        </w:rPr>
        <w:t>2009</w:t>
      </w:r>
      <w:r>
        <w:rPr>
          <w:rFonts w:hint="eastAsia" w:ascii="宋体" w:hAnsi="宋体" w:eastAsia="宋体" w:cs="宋体"/>
          <w:kern w:val="0"/>
          <w:sz w:val="18"/>
          <w:szCs w:val="18"/>
        </w:rPr>
        <w:t>年第</w:t>
      </w:r>
      <w:r>
        <w:rPr>
          <w:rFonts w:ascii="宋体" w:hAnsi="宋体" w:eastAsia="宋体" w:cs="宋体"/>
          <w:kern w:val="0"/>
          <w:sz w:val="18"/>
          <w:szCs w:val="18"/>
        </w:rPr>
        <w:t>5</w:t>
      </w:r>
      <w:r>
        <w:rPr>
          <w:rFonts w:hint="eastAsia" w:ascii="宋体" w:hAnsi="宋体" w:eastAsia="宋体" w:cs="宋体"/>
          <w:kern w:val="0"/>
          <w:sz w:val="18"/>
          <w:szCs w:val="18"/>
        </w:rPr>
        <w:t>期。</w:t>
      </w:r>
    </w:p>
    <w:p w14:paraId="1DCB81D3">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[4]</w:t>
      </w:r>
      <w:r>
        <w:rPr>
          <w:rFonts w:hint="eastAsia" w:ascii="宋体" w:hAnsi="宋体" w:eastAsia="宋体" w:cs="宋体"/>
          <w:kern w:val="0"/>
          <w:sz w:val="18"/>
          <w:szCs w:val="18"/>
        </w:rPr>
        <w:t>常凯：《中国劳动关系报告——当代中国劳动关系的特点和趋势》，中国劳动社会保障出版社</w:t>
      </w:r>
      <w:r>
        <w:rPr>
          <w:rFonts w:ascii="宋体" w:hAnsi="宋体" w:eastAsia="宋体" w:cs="宋体"/>
          <w:kern w:val="0"/>
          <w:sz w:val="18"/>
          <w:szCs w:val="18"/>
        </w:rPr>
        <w:t>2009</w:t>
      </w:r>
      <w:r>
        <w:rPr>
          <w:rFonts w:hint="eastAsia" w:ascii="宋体" w:hAnsi="宋体" w:eastAsia="宋体" w:cs="宋体"/>
          <w:kern w:val="0"/>
          <w:sz w:val="18"/>
          <w:szCs w:val="18"/>
        </w:rPr>
        <w:t>年</w:t>
      </w:r>
      <w:r>
        <w:rPr>
          <w:rFonts w:ascii="宋体" w:hAnsi="宋体" w:eastAsia="宋体" w:cs="宋体"/>
          <w:kern w:val="0"/>
          <w:sz w:val="18"/>
          <w:szCs w:val="18"/>
        </w:rPr>
        <w:t>1</w:t>
      </w:r>
      <w:r>
        <w:rPr>
          <w:rFonts w:hint="eastAsia" w:ascii="宋体" w:hAnsi="宋体" w:eastAsia="宋体" w:cs="宋体"/>
          <w:kern w:val="0"/>
          <w:sz w:val="18"/>
          <w:szCs w:val="18"/>
        </w:rPr>
        <w:t>版，第</w:t>
      </w:r>
      <w:r>
        <w:rPr>
          <w:rFonts w:ascii="宋体" w:hAnsi="宋体" w:eastAsia="宋体" w:cs="宋体"/>
          <w:kern w:val="0"/>
          <w:sz w:val="18"/>
          <w:szCs w:val="18"/>
        </w:rPr>
        <w:t>265</w:t>
      </w:r>
      <w:r>
        <w:rPr>
          <w:rFonts w:hint="eastAsia" w:ascii="宋体" w:hAnsi="宋体" w:eastAsia="宋体" w:cs="宋体"/>
          <w:kern w:val="0"/>
          <w:sz w:val="18"/>
          <w:szCs w:val="18"/>
        </w:rPr>
        <w:t>页。</w:t>
      </w:r>
    </w:p>
    <w:p w14:paraId="3BFC1B04">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[5]</w:t>
      </w:r>
      <w:r>
        <w:rPr>
          <w:rFonts w:hint="eastAsia" w:ascii="宋体" w:hAnsi="宋体" w:eastAsia="宋体" w:cs="宋体"/>
          <w:kern w:val="0"/>
          <w:sz w:val="18"/>
          <w:szCs w:val="18"/>
        </w:rPr>
        <w:t>朱妙宽</w:t>
      </w:r>
      <w:r>
        <w:rPr>
          <w:rFonts w:ascii="宋体" w:hAnsi="宋体" w:eastAsia="宋体" w:cs="宋体"/>
          <w:kern w:val="0"/>
          <w:sz w:val="18"/>
          <w:szCs w:val="18"/>
        </w:rPr>
        <w:t>，</w:t>
      </w:r>
      <w:r>
        <w:rPr>
          <w:rFonts w:hint="eastAsia" w:ascii="宋体" w:hAnsi="宋体" w:eastAsia="宋体" w:cs="宋体"/>
          <w:kern w:val="0"/>
          <w:sz w:val="18"/>
          <w:szCs w:val="18"/>
        </w:rPr>
        <w:t>朱海平：《从完善分配制度入手完善基本经济制度》，《海派经济学》</w:t>
      </w:r>
      <w:r>
        <w:rPr>
          <w:rFonts w:ascii="宋体" w:hAnsi="宋体" w:eastAsia="宋体" w:cs="宋体"/>
          <w:kern w:val="0"/>
          <w:sz w:val="18"/>
          <w:szCs w:val="18"/>
        </w:rPr>
        <w:t>2008</w:t>
      </w:r>
      <w:r>
        <w:rPr>
          <w:rFonts w:hint="eastAsia" w:ascii="宋体" w:hAnsi="宋体" w:eastAsia="宋体" w:cs="宋体"/>
          <w:kern w:val="0"/>
          <w:sz w:val="18"/>
          <w:szCs w:val="18"/>
        </w:rPr>
        <w:t>年第</w:t>
      </w:r>
      <w:r>
        <w:rPr>
          <w:rFonts w:ascii="宋体" w:hAnsi="宋体" w:eastAsia="宋体" w:cs="宋体"/>
          <w:kern w:val="0"/>
          <w:sz w:val="18"/>
          <w:szCs w:val="18"/>
        </w:rPr>
        <w:t>23</w:t>
      </w:r>
      <w:r>
        <w:rPr>
          <w:rFonts w:hint="eastAsia" w:ascii="宋体" w:hAnsi="宋体" w:eastAsia="宋体" w:cs="宋体"/>
          <w:kern w:val="0"/>
          <w:sz w:val="18"/>
          <w:szCs w:val="18"/>
        </w:rPr>
        <w:t>期。</w:t>
      </w:r>
    </w:p>
    <w:p w14:paraId="0009B939">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[6]</w:t>
      </w:r>
      <w:r>
        <w:rPr>
          <w:rFonts w:hint="eastAsia" w:ascii="宋体" w:hAnsi="宋体" w:eastAsia="宋体" w:cs="宋体"/>
          <w:kern w:val="0"/>
          <w:sz w:val="18"/>
          <w:szCs w:val="18"/>
        </w:rPr>
        <w:t>龚刚</w:t>
      </w:r>
      <w:r>
        <w:rPr>
          <w:rFonts w:ascii="宋体" w:hAnsi="宋体" w:eastAsia="宋体" w:cs="宋体"/>
          <w:kern w:val="0"/>
          <w:sz w:val="18"/>
          <w:szCs w:val="18"/>
        </w:rPr>
        <w:t>，</w:t>
      </w:r>
      <w:r>
        <w:rPr>
          <w:rFonts w:hint="eastAsia" w:ascii="宋体" w:hAnsi="宋体" w:eastAsia="宋体" w:cs="宋体"/>
          <w:kern w:val="0"/>
          <w:sz w:val="18"/>
          <w:szCs w:val="18"/>
        </w:rPr>
        <w:t>杨光：《从功能性收入看中国收入分配的不平等》，《中国社会科学》</w:t>
      </w:r>
      <w:r>
        <w:rPr>
          <w:rFonts w:ascii="宋体" w:hAnsi="宋体" w:eastAsia="宋体" w:cs="宋体"/>
          <w:kern w:val="0"/>
          <w:sz w:val="18"/>
          <w:szCs w:val="18"/>
        </w:rPr>
        <w:t>2010</w:t>
      </w:r>
      <w:r>
        <w:rPr>
          <w:rFonts w:hint="eastAsia" w:ascii="宋体" w:hAnsi="宋体" w:eastAsia="宋体" w:cs="宋体"/>
          <w:kern w:val="0"/>
          <w:sz w:val="18"/>
          <w:szCs w:val="18"/>
        </w:rPr>
        <w:t>年第</w:t>
      </w:r>
      <w:r>
        <w:rPr>
          <w:rFonts w:ascii="宋体" w:hAnsi="宋体" w:eastAsia="宋体" w:cs="宋体"/>
          <w:kern w:val="0"/>
          <w:sz w:val="18"/>
          <w:szCs w:val="18"/>
        </w:rPr>
        <w:t>2</w:t>
      </w:r>
      <w:r>
        <w:rPr>
          <w:rFonts w:hint="eastAsia" w:ascii="宋体" w:hAnsi="宋体" w:eastAsia="宋体" w:cs="宋体"/>
          <w:kern w:val="0"/>
          <w:sz w:val="18"/>
          <w:szCs w:val="18"/>
        </w:rPr>
        <w:t>期。</w:t>
      </w:r>
    </w:p>
    <w:p w14:paraId="17C46B41">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[7]</w:t>
      </w:r>
      <w:r>
        <w:rPr>
          <w:rFonts w:hint="eastAsia" w:ascii="宋体" w:hAnsi="宋体" w:eastAsia="宋体" w:cs="宋体"/>
          <w:kern w:val="0"/>
          <w:sz w:val="18"/>
          <w:szCs w:val="18"/>
        </w:rPr>
        <w:t>罗长远</w:t>
      </w:r>
      <w:r>
        <w:rPr>
          <w:rFonts w:ascii="宋体" w:hAnsi="宋体" w:eastAsia="宋体" w:cs="宋体"/>
          <w:kern w:val="0"/>
          <w:sz w:val="18"/>
          <w:szCs w:val="18"/>
        </w:rPr>
        <w:t>，</w:t>
      </w:r>
      <w:r>
        <w:rPr>
          <w:rFonts w:hint="eastAsia" w:ascii="宋体" w:hAnsi="宋体" w:eastAsia="宋体" w:cs="宋体"/>
          <w:kern w:val="0"/>
          <w:sz w:val="18"/>
          <w:szCs w:val="18"/>
        </w:rPr>
        <w:t>张军：《经济发展中的劳动收入占比：基于中国产业数据的实证研究》，《中国社会科学》</w:t>
      </w:r>
      <w:r>
        <w:rPr>
          <w:rFonts w:ascii="宋体" w:hAnsi="宋体" w:eastAsia="宋体" w:cs="宋体"/>
          <w:kern w:val="0"/>
          <w:sz w:val="18"/>
          <w:szCs w:val="18"/>
        </w:rPr>
        <w:t>2009</w:t>
      </w:r>
      <w:r>
        <w:rPr>
          <w:rFonts w:hint="eastAsia" w:ascii="宋体" w:hAnsi="宋体" w:eastAsia="宋体" w:cs="宋体"/>
          <w:kern w:val="0"/>
          <w:sz w:val="18"/>
          <w:szCs w:val="18"/>
        </w:rPr>
        <w:t>年第</w:t>
      </w:r>
      <w:r>
        <w:rPr>
          <w:rFonts w:ascii="宋体" w:hAnsi="宋体" w:eastAsia="宋体" w:cs="宋体"/>
          <w:kern w:val="0"/>
          <w:sz w:val="18"/>
          <w:szCs w:val="18"/>
        </w:rPr>
        <w:t>4</w:t>
      </w:r>
      <w:r>
        <w:rPr>
          <w:rFonts w:hint="eastAsia" w:ascii="宋体" w:hAnsi="宋体" w:eastAsia="宋体" w:cs="宋体"/>
          <w:kern w:val="0"/>
          <w:sz w:val="18"/>
          <w:szCs w:val="18"/>
        </w:rPr>
        <w:t>期。</w:t>
      </w:r>
    </w:p>
    <w:p w14:paraId="2C15DF7B">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[8]</w:t>
      </w:r>
      <w:r>
        <w:rPr>
          <w:rFonts w:hint="eastAsia" w:ascii="宋体" w:hAnsi="宋体" w:eastAsia="宋体" w:cs="宋体"/>
          <w:kern w:val="0"/>
          <w:sz w:val="18"/>
          <w:szCs w:val="18"/>
        </w:rPr>
        <w:t>李稻葵</w:t>
      </w:r>
      <w:r>
        <w:rPr>
          <w:rFonts w:ascii="宋体" w:hAnsi="宋体" w:eastAsia="宋体" w:cs="宋体"/>
          <w:kern w:val="0"/>
          <w:sz w:val="18"/>
          <w:szCs w:val="18"/>
        </w:rPr>
        <w:t>，</w:t>
      </w:r>
      <w:r>
        <w:rPr>
          <w:rFonts w:hint="eastAsia" w:ascii="宋体" w:hAnsi="宋体" w:eastAsia="宋体" w:cs="宋体"/>
          <w:kern w:val="0"/>
          <w:sz w:val="18"/>
          <w:szCs w:val="18"/>
        </w:rPr>
        <w:t>刘霖林</w:t>
      </w:r>
      <w:r>
        <w:rPr>
          <w:rFonts w:ascii="宋体" w:hAnsi="宋体" w:eastAsia="宋体" w:cs="宋体"/>
          <w:kern w:val="0"/>
          <w:sz w:val="18"/>
          <w:szCs w:val="18"/>
        </w:rPr>
        <w:t>，</w:t>
      </w:r>
      <w:r>
        <w:rPr>
          <w:rFonts w:hint="eastAsia" w:ascii="宋体" w:hAnsi="宋体" w:eastAsia="宋体" w:cs="宋体"/>
          <w:kern w:val="0"/>
          <w:sz w:val="18"/>
          <w:szCs w:val="18"/>
        </w:rPr>
        <w:t>王红领：《</w:t>
      </w:r>
      <w:r>
        <w:rPr>
          <w:rFonts w:ascii="宋体" w:hAnsi="宋体" w:eastAsia="宋体" w:cs="宋体"/>
          <w:kern w:val="0"/>
          <w:sz w:val="18"/>
          <w:szCs w:val="18"/>
        </w:rPr>
        <w:t>GDP</w:t>
      </w:r>
      <w:r>
        <w:rPr>
          <w:rFonts w:hint="eastAsia" w:ascii="宋体" w:hAnsi="宋体" w:eastAsia="宋体" w:cs="宋体"/>
          <w:kern w:val="0"/>
          <w:sz w:val="18"/>
          <w:szCs w:val="18"/>
        </w:rPr>
        <w:t>中劳动份额演变的</w:t>
      </w:r>
      <w:r>
        <w:rPr>
          <w:rFonts w:ascii="宋体" w:hAnsi="宋体" w:eastAsia="宋体" w:cs="宋体"/>
          <w:kern w:val="0"/>
          <w:sz w:val="18"/>
          <w:szCs w:val="18"/>
        </w:rPr>
        <w:t>U</w:t>
      </w:r>
      <w:r>
        <w:rPr>
          <w:rFonts w:hint="eastAsia" w:ascii="宋体" w:hAnsi="宋体" w:eastAsia="宋体" w:cs="宋体"/>
          <w:kern w:val="0"/>
          <w:sz w:val="18"/>
          <w:szCs w:val="18"/>
        </w:rPr>
        <w:t>型规律》，《经济研究》</w:t>
      </w:r>
      <w:r>
        <w:rPr>
          <w:rFonts w:ascii="宋体" w:hAnsi="宋体" w:eastAsia="宋体" w:cs="宋体"/>
          <w:kern w:val="0"/>
          <w:sz w:val="18"/>
          <w:szCs w:val="18"/>
        </w:rPr>
        <w:t>2009</w:t>
      </w:r>
      <w:r>
        <w:rPr>
          <w:rFonts w:hint="eastAsia" w:ascii="宋体" w:hAnsi="宋体" w:eastAsia="宋体" w:cs="宋体"/>
          <w:kern w:val="0"/>
          <w:sz w:val="18"/>
          <w:szCs w:val="18"/>
        </w:rPr>
        <w:t>年第</w:t>
      </w:r>
      <w:r>
        <w:rPr>
          <w:rFonts w:ascii="宋体" w:hAnsi="宋体" w:eastAsia="宋体" w:cs="宋体"/>
          <w:kern w:val="0"/>
          <w:sz w:val="18"/>
          <w:szCs w:val="18"/>
        </w:rPr>
        <w:t>1</w:t>
      </w:r>
      <w:r>
        <w:rPr>
          <w:rFonts w:hint="eastAsia" w:ascii="宋体" w:hAnsi="宋体" w:eastAsia="宋体" w:cs="宋体"/>
          <w:kern w:val="0"/>
          <w:sz w:val="18"/>
          <w:szCs w:val="18"/>
        </w:rPr>
        <w:t>期。</w:t>
      </w:r>
    </w:p>
    <w:p w14:paraId="480308B8">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[9]</w:t>
      </w:r>
      <w:r>
        <w:rPr>
          <w:rFonts w:hint="eastAsia" w:ascii="宋体" w:hAnsi="宋体" w:eastAsia="宋体" w:cs="宋体"/>
          <w:kern w:val="0"/>
          <w:sz w:val="18"/>
          <w:szCs w:val="18"/>
        </w:rPr>
        <w:t>李实</w:t>
      </w:r>
      <w:r>
        <w:rPr>
          <w:rFonts w:ascii="宋体" w:hAnsi="宋体" w:eastAsia="宋体" w:cs="宋体"/>
          <w:kern w:val="0"/>
          <w:sz w:val="18"/>
          <w:szCs w:val="18"/>
        </w:rPr>
        <w:t>，</w:t>
      </w:r>
      <w:r>
        <w:rPr>
          <w:rFonts w:hint="eastAsia" w:ascii="宋体" w:hAnsi="宋体" w:eastAsia="宋体" w:cs="宋体"/>
          <w:kern w:val="0"/>
          <w:sz w:val="18"/>
          <w:szCs w:val="18"/>
        </w:rPr>
        <w:t>魏众</w:t>
      </w:r>
      <w:r>
        <w:rPr>
          <w:rFonts w:ascii="宋体" w:hAnsi="宋体" w:eastAsia="宋体" w:cs="宋体"/>
          <w:kern w:val="0"/>
          <w:sz w:val="18"/>
          <w:szCs w:val="18"/>
        </w:rPr>
        <w:t>，</w:t>
      </w:r>
      <w:r>
        <w:rPr>
          <w:rFonts w:hint="eastAsia" w:ascii="宋体" w:hAnsi="宋体" w:eastAsia="宋体" w:cs="宋体"/>
          <w:kern w:val="0"/>
          <w:sz w:val="18"/>
          <w:szCs w:val="18"/>
        </w:rPr>
        <w:t>丁赛：《中国居民财产分布不均等及其原因的经验分析》，《经济研究》</w:t>
      </w:r>
      <w:r>
        <w:rPr>
          <w:rFonts w:ascii="宋体" w:hAnsi="宋体" w:eastAsia="宋体" w:cs="宋体"/>
          <w:kern w:val="0"/>
          <w:sz w:val="18"/>
          <w:szCs w:val="18"/>
        </w:rPr>
        <w:t>2005</w:t>
      </w:r>
      <w:r>
        <w:rPr>
          <w:rFonts w:hint="eastAsia" w:ascii="宋体" w:hAnsi="宋体" w:eastAsia="宋体" w:cs="宋体"/>
          <w:kern w:val="0"/>
          <w:sz w:val="18"/>
          <w:szCs w:val="18"/>
        </w:rPr>
        <w:t>年第</w:t>
      </w:r>
      <w:r>
        <w:rPr>
          <w:rFonts w:ascii="宋体" w:hAnsi="宋体" w:eastAsia="宋体" w:cs="宋体"/>
          <w:kern w:val="0"/>
          <w:sz w:val="18"/>
          <w:szCs w:val="18"/>
        </w:rPr>
        <w:t>6</w:t>
      </w:r>
      <w:r>
        <w:rPr>
          <w:rFonts w:hint="eastAsia" w:ascii="宋体" w:hAnsi="宋体" w:eastAsia="宋体" w:cs="宋体"/>
          <w:kern w:val="0"/>
          <w:sz w:val="18"/>
          <w:szCs w:val="18"/>
        </w:rPr>
        <w:t>期。</w:t>
      </w:r>
    </w:p>
    <w:p w14:paraId="7DDECABA">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[10]</w:t>
      </w:r>
      <w:r>
        <w:rPr>
          <w:rFonts w:hint="eastAsia" w:ascii="宋体" w:hAnsi="宋体" w:eastAsia="宋体" w:cs="宋体"/>
          <w:kern w:val="0"/>
          <w:sz w:val="18"/>
          <w:szCs w:val="18"/>
        </w:rPr>
        <w:t>杨俊青</w:t>
      </w:r>
      <w:r>
        <w:rPr>
          <w:rFonts w:ascii="宋体" w:hAnsi="宋体" w:eastAsia="宋体" w:cs="宋体"/>
          <w:kern w:val="0"/>
          <w:sz w:val="18"/>
          <w:szCs w:val="18"/>
        </w:rPr>
        <w:t>，</w:t>
      </w:r>
      <w:r>
        <w:rPr>
          <w:rFonts w:hint="eastAsia" w:ascii="宋体" w:hAnsi="宋体" w:eastAsia="宋体" w:cs="宋体"/>
          <w:kern w:val="0"/>
          <w:sz w:val="18"/>
          <w:szCs w:val="18"/>
        </w:rPr>
        <w:t>卫斌等：《山西非国有企业劳资关系问题调查研究》，《劳动经济评论》</w:t>
      </w:r>
      <w:r>
        <w:rPr>
          <w:rFonts w:ascii="宋体" w:hAnsi="宋体" w:eastAsia="宋体" w:cs="宋体"/>
          <w:kern w:val="0"/>
          <w:sz w:val="18"/>
          <w:szCs w:val="18"/>
        </w:rPr>
        <w:t>2008</w:t>
      </w:r>
      <w:r>
        <w:rPr>
          <w:rFonts w:hint="eastAsia" w:ascii="宋体" w:hAnsi="宋体" w:eastAsia="宋体" w:cs="宋体"/>
          <w:kern w:val="0"/>
          <w:sz w:val="18"/>
          <w:szCs w:val="18"/>
        </w:rPr>
        <w:t>年第</w:t>
      </w:r>
      <w:r>
        <w:rPr>
          <w:rFonts w:ascii="宋体" w:hAnsi="宋体" w:eastAsia="宋体" w:cs="宋体"/>
          <w:kern w:val="0"/>
          <w:sz w:val="18"/>
          <w:szCs w:val="18"/>
        </w:rPr>
        <w:t>12</w:t>
      </w:r>
      <w:r>
        <w:rPr>
          <w:rFonts w:hint="eastAsia" w:ascii="宋体" w:hAnsi="宋体" w:eastAsia="宋体" w:cs="宋体"/>
          <w:kern w:val="0"/>
          <w:sz w:val="18"/>
          <w:szCs w:val="18"/>
        </w:rPr>
        <w:t>期。</w:t>
      </w:r>
    </w:p>
    <w:p w14:paraId="7F53D7A7">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[11]</w:t>
      </w:r>
      <w:r>
        <w:rPr>
          <w:rFonts w:hint="eastAsia" w:ascii="宋体" w:hAnsi="宋体" w:eastAsia="宋体" w:cs="宋体"/>
          <w:kern w:val="0"/>
          <w:sz w:val="18"/>
          <w:szCs w:val="18"/>
        </w:rPr>
        <w:t>赵俊康：《我国劳资分配比例分析》，《统计研究》</w:t>
      </w:r>
      <w:r>
        <w:rPr>
          <w:rFonts w:ascii="宋体" w:hAnsi="宋体" w:eastAsia="宋体" w:cs="宋体"/>
          <w:kern w:val="0"/>
          <w:sz w:val="18"/>
          <w:szCs w:val="18"/>
        </w:rPr>
        <w:t>2006</w:t>
      </w:r>
      <w:r>
        <w:rPr>
          <w:rFonts w:hint="eastAsia" w:ascii="宋体" w:hAnsi="宋体" w:eastAsia="宋体" w:cs="宋体"/>
          <w:kern w:val="0"/>
          <w:sz w:val="18"/>
          <w:szCs w:val="18"/>
        </w:rPr>
        <w:t>年第</w:t>
      </w:r>
      <w:r>
        <w:rPr>
          <w:rFonts w:ascii="宋体" w:hAnsi="宋体" w:eastAsia="宋体" w:cs="宋体"/>
          <w:kern w:val="0"/>
          <w:sz w:val="18"/>
          <w:szCs w:val="18"/>
        </w:rPr>
        <w:t>12</w:t>
      </w:r>
      <w:r>
        <w:rPr>
          <w:rFonts w:hint="eastAsia" w:ascii="宋体" w:hAnsi="宋体" w:eastAsia="宋体" w:cs="宋体"/>
          <w:kern w:val="0"/>
          <w:sz w:val="18"/>
          <w:szCs w:val="18"/>
        </w:rPr>
        <w:t>期。</w:t>
      </w:r>
    </w:p>
    <w:p w14:paraId="20A0B03D">
      <w:pPr>
        <w:autoSpaceDE w:val="0"/>
        <w:autoSpaceDN w:val="0"/>
        <w:spacing w:line="400" w:lineRule="exact"/>
        <w:ind w:firstLine="360" w:firstLineChars="200"/>
        <w:rPr>
          <w:rFonts w:ascii="宋体" w:hAnsi="宋体" w:eastAsia="宋体" w:cs="宋体"/>
          <w:kern w:val="0"/>
          <w:sz w:val="18"/>
          <w:szCs w:val="18"/>
        </w:rPr>
      </w:pPr>
      <w:r>
        <w:rPr>
          <w:rFonts w:ascii="宋体" w:hAnsi="宋体" w:eastAsia="宋体" w:cs="宋体"/>
          <w:kern w:val="0"/>
          <w:sz w:val="18"/>
          <w:szCs w:val="18"/>
        </w:rPr>
        <w:t>[12]</w:t>
      </w:r>
      <w:r>
        <w:rPr>
          <w:rFonts w:hint="eastAsia" w:ascii="宋体" w:hAnsi="宋体" w:eastAsia="宋体" w:cs="宋体"/>
          <w:kern w:val="0"/>
          <w:sz w:val="18"/>
          <w:szCs w:val="18"/>
        </w:rPr>
        <w:t>赵小仕：《转轨时期中国劳动关系调节机制研究》，经济科学出版社</w:t>
      </w:r>
      <w:r>
        <w:rPr>
          <w:rFonts w:ascii="宋体" w:hAnsi="宋体" w:eastAsia="宋体" w:cs="宋体"/>
          <w:kern w:val="0"/>
          <w:sz w:val="18"/>
          <w:szCs w:val="18"/>
        </w:rPr>
        <w:t>2009</w:t>
      </w:r>
      <w:r>
        <w:rPr>
          <w:rFonts w:hint="eastAsia" w:ascii="宋体" w:hAnsi="宋体" w:eastAsia="宋体" w:cs="宋体"/>
          <w:kern w:val="0"/>
          <w:sz w:val="18"/>
          <w:szCs w:val="18"/>
        </w:rPr>
        <w:t>年版。</w:t>
      </w:r>
    </w:p>
    <w:p w14:paraId="3D5853B3">
      <w:pPr>
        <w:widowControl/>
        <w:spacing w:line="400" w:lineRule="exact"/>
        <w:ind w:firstLine="420" w:firstLineChars="200"/>
        <w:rPr>
          <w:rFonts w:ascii="宋体" w:hAnsi="宋体" w:eastAsia="宋体" w:cs="宋体"/>
          <w:szCs w:val="21"/>
        </w:rPr>
      </w:pPr>
      <w:r>
        <w:rPr>
          <w:rFonts w:hint="eastAsia" w:ascii="宋体" w:hAnsi="宋体" w:eastAsia="宋体" w:cs="宋体"/>
          <w:szCs w:val="21"/>
        </w:rPr>
        <w:t>（原载于《综合竞争力》2010年第6期）</w:t>
      </w:r>
    </w:p>
    <w:p w14:paraId="734F4678">
      <w:pPr>
        <w:autoSpaceDE w:val="0"/>
        <w:autoSpaceDN w:val="0"/>
        <w:spacing w:line="400" w:lineRule="exact"/>
        <w:ind w:firstLine="360" w:firstLineChars="200"/>
        <w:rPr>
          <w:rFonts w:ascii="宋体" w:hAnsi="宋体" w:eastAsia="宋体" w:cs="宋体"/>
          <w:kern w:val="0"/>
          <w:sz w:val="18"/>
          <w:szCs w:val="18"/>
        </w:rPr>
      </w:pPr>
    </w:p>
    <w:p w14:paraId="6A016DD2">
      <w:pPr>
        <w:autoSpaceDE w:val="0"/>
        <w:autoSpaceDN w:val="0"/>
        <w:spacing w:line="400" w:lineRule="exact"/>
        <w:ind w:firstLine="420" w:firstLineChars="200"/>
        <w:rPr>
          <w:rFonts w:ascii="宋体" w:hAnsi="宋体" w:eastAsia="宋体" w:cs="Nyala"/>
          <w:kern w:val="0"/>
          <w:szCs w:val="21"/>
        </w:rPr>
      </w:pPr>
      <w:r>
        <w:rPr>
          <w:rFonts w:ascii="宋体" w:hAnsi="宋体" w:eastAsia="宋体" w:cs="Nyala"/>
          <w:kern w:val="0"/>
          <w:szCs w:val="21"/>
        </w:rPr>
        <w:br w:type="page"/>
      </w:r>
    </w:p>
    <w:p w14:paraId="34B6F6CB">
      <w:pPr>
        <w:widowControl/>
        <w:spacing w:line="400" w:lineRule="exact"/>
        <w:ind w:firstLine="200"/>
      </w:pPr>
    </w:p>
    <w:p w14:paraId="4ADFED31">
      <w:pPr>
        <w:keepNext/>
        <w:keepLines/>
        <w:spacing w:line="480" w:lineRule="auto"/>
        <w:ind w:firstLine="640" w:firstLineChars="200"/>
        <w:jc w:val="center"/>
        <w:outlineLvl w:val="1"/>
        <w:rPr>
          <w:rFonts w:ascii="黑体" w:hAnsi="黑体" w:eastAsia="黑体" w:cs="Times New Roman"/>
          <w:kern w:val="28"/>
          <w:sz w:val="32"/>
          <w:szCs w:val="24"/>
        </w:rPr>
      </w:pPr>
      <w:bookmarkStart w:id="1147" w:name="_Toc24247"/>
      <w:bookmarkStart w:id="1148" w:name="_Toc1217727045"/>
      <w:bookmarkStart w:id="1149" w:name="_Toc1914447210"/>
      <w:r>
        <w:rPr>
          <w:rFonts w:hint="eastAsia" w:ascii="黑体" w:hAnsi="黑体" w:eastAsia="黑体" w:cs="Times New Roman"/>
          <w:kern w:val="28"/>
          <w:sz w:val="32"/>
          <w:szCs w:val="24"/>
        </w:rPr>
        <w:t>1</w:t>
      </w:r>
      <w:r>
        <w:rPr>
          <w:rFonts w:ascii="黑体" w:hAnsi="黑体" w:eastAsia="黑体" w:cs="Times New Roman"/>
          <w:kern w:val="28"/>
          <w:sz w:val="32"/>
          <w:szCs w:val="24"/>
        </w:rPr>
        <w:t>9先控后减的</w:t>
      </w:r>
      <w:r>
        <w:rPr>
          <w:rFonts w:hint="eastAsia" w:ascii="黑体" w:hAnsi="黑体" w:eastAsia="黑体" w:cs="Times New Roman"/>
          <w:kern w:val="28"/>
          <w:sz w:val="32"/>
          <w:szCs w:val="24"/>
        </w:rPr>
        <w:t>“</w:t>
      </w:r>
      <w:r>
        <w:rPr>
          <w:rFonts w:ascii="黑体" w:hAnsi="黑体" w:eastAsia="黑体" w:cs="Times New Roman"/>
          <w:kern w:val="28"/>
          <w:sz w:val="32"/>
          <w:szCs w:val="24"/>
        </w:rPr>
        <w:t>新人口策论</w:t>
      </w:r>
      <w:r>
        <w:rPr>
          <w:rFonts w:hint="eastAsia" w:ascii="黑体" w:hAnsi="黑体" w:eastAsia="黑体" w:cs="Times New Roman"/>
          <w:kern w:val="28"/>
          <w:sz w:val="32"/>
          <w:szCs w:val="24"/>
        </w:rPr>
        <w:t>”</w:t>
      </w:r>
      <w:r>
        <w:rPr>
          <w:rFonts w:ascii="黑体" w:hAnsi="黑体" w:eastAsia="黑体" w:cs="Times New Roman"/>
          <w:kern w:val="28"/>
          <w:sz w:val="32"/>
          <w:szCs w:val="24"/>
        </w:rPr>
        <w:t>——回应十个不同观点</w:t>
      </w:r>
      <w:bookmarkEnd w:id="1147"/>
      <w:bookmarkEnd w:id="1148"/>
      <w:bookmarkEnd w:id="1149"/>
    </w:p>
    <w:p w14:paraId="3237D11E">
      <w:pPr>
        <w:autoSpaceDE w:val="0"/>
        <w:autoSpaceDN w:val="0"/>
        <w:spacing w:line="360" w:lineRule="auto"/>
        <w:ind w:firstLine="504"/>
        <w:jc w:val="center"/>
        <w:rPr>
          <w:rFonts w:ascii="宋体" w:hAnsi="宋体" w:eastAsia="宋体" w:cs="Times New Roman"/>
          <w:b/>
          <w:bCs/>
          <w:sz w:val="24"/>
        </w:rPr>
      </w:pPr>
      <w:r>
        <w:rPr>
          <w:rFonts w:hint="eastAsia" w:ascii="宋体" w:hAnsi="宋体" w:eastAsia="宋体" w:cs="Times New Roman"/>
          <w:b/>
          <w:bCs/>
          <w:sz w:val="24"/>
        </w:rPr>
        <w:t>导言：“新人口策论”的十个要点</w:t>
      </w:r>
    </w:p>
    <w:p w14:paraId="6C7A2906">
      <w:pPr>
        <w:spacing w:line="400" w:lineRule="exact"/>
        <w:ind w:firstLine="420" w:firstLineChars="200"/>
        <w:rPr>
          <w:rFonts w:ascii="宋体" w:hAnsi="宋体" w:eastAsia="宋体" w:cs="Arial"/>
          <w:spacing w:val="5"/>
          <w:szCs w:val="21"/>
        </w:rPr>
      </w:pPr>
      <w:r>
        <w:rPr>
          <w:rFonts w:ascii="宋体" w:hAnsi="宋体" w:eastAsia="宋体" w:cs="Times New Roman"/>
          <w:szCs w:val="21"/>
        </w:rPr>
        <w:t>马克思主义认为，社会生产一方面是物质（含生态环境）和精神的生产，另一方面是人类自身的生产。两种生产互为前提，相互依存，共同对社会发展起着制约作用。尽管现代社会的</w:t>
      </w:r>
      <w:r>
        <w:rPr>
          <w:rFonts w:ascii="宋体" w:hAnsi="宋体" w:eastAsia="宋体" w:cs="Arial"/>
          <w:spacing w:val="5"/>
          <w:szCs w:val="21"/>
        </w:rPr>
        <w:t>人口变动不是社会发展的最主要力量，但人口变动仍然对社会发展有促进或延缓的作用。</w:t>
      </w:r>
      <w:r>
        <w:rPr>
          <w:rFonts w:ascii="宋体" w:hAnsi="宋体" w:eastAsia="宋体" w:cs="Times New Roman"/>
          <w:szCs w:val="21"/>
        </w:rPr>
        <w:t>“两种生产”的理论是唯物史观和政治经济学的重要组成部分，揭示了</w:t>
      </w:r>
      <w:r>
        <w:rPr>
          <w:rFonts w:ascii="宋体" w:hAnsi="宋体" w:eastAsia="宋体" w:cs="Arial"/>
          <w:spacing w:val="5"/>
          <w:szCs w:val="21"/>
        </w:rPr>
        <w:t>两种生产的对立和统一是人类社会存在和发展的基础。</w:t>
      </w:r>
    </w:p>
    <w:p w14:paraId="2258CD62">
      <w:pPr>
        <w:spacing w:line="400" w:lineRule="exact"/>
        <w:ind w:firstLine="420" w:firstLineChars="200"/>
        <w:rPr>
          <w:rFonts w:ascii="宋体" w:hAnsi="宋体" w:eastAsia="宋体" w:cs="Times New Roman"/>
          <w:szCs w:val="21"/>
        </w:rPr>
      </w:pPr>
      <w:r>
        <w:rPr>
          <w:rFonts w:ascii="宋体" w:hAnsi="宋体" w:eastAsia="宋体" w:cs="Times New Roman"/>
          <w:szCs w:val="21"/>
        </w:rPr>
        <w:t>马克思主义认为，人口现象和人口问题是由自然状况和社会发展方式决定的社会现象和社会问题。一定空间内的社会条件和自然条件，尤其是生产力发展、生活水平以及相关社会制度和政策，客观上制约着人口规模和人口再生产类型的转换。</w:t>
      </w:r>
    </w:p>
    <w:p w14:paraId="1E75FE83">
      <w:pPr>
        <w:spacing w:line="400" w:lineRule="exact"/>
        <w:ind w:firstLine="420" w:firstLineChars="200"/>
        <w:rPr>
          <w:rFonts w:ascii="宋体" w:hAnsi="宋体" w:eastAsia="宋体" w:cs="Arial"/>
          <w:spacing w:val="5"/>
          <w:szCs w:val="21"/>
        </w:rPr>
      </w:pPr>
      <w:r>
        <w:rPr>
          <w:rFonts w:ascii="宋体" w:hAnsi="宋体" w:eastAsia="宋体" w:cs="Times New Roman"/>
          <w:szCs w:val="21"/>
        </w:rPr>
        <w:t>马克思主义认为，与资本主义社会相比较，社会主义社会的人口数量和质量应当</w:t>
      </w:r>
      <w:r>
        <w:rPr>
          <w:rFonts w:ascii="宋体" w:hAnsi="宋体" w:eastAsia="宋体" w:cs="Arial"/>
          <w:spacing w:val="5"/>
          <w:szCs w:val="21"/>
        </w:rPr>
        <w:t>有计划地发展和调节，使人口和劳动力的发展同整个经济社会发展状况和生活水平提高相适应。</w:t>
      </w:r>
    </w:p>
    <w:p w14:paraId="00F823D2">
      <w:pPr>
        <w:spacing w:line="400" w:lineRule="exact"/>
        <w:ind w:firstLine="440" w:firstLineChars="200"/>
        <w:rPr>
          <w:rFonts w:ascii="宋体" w:hAnsi="宋体" w:eastAsia="宋体" w:cs="Times New Roman"/>
          <w:szCs w:val="21"/>
        </w:rPr>
      </w:pPr>
      <w:r>
        <w:rPr>
          <w:rFonts w:ascii="宋体" w:hAnsi="宋体" w:eastAsia="宋体" w:cs="Arial"/>
          <w:spacing w:val="5"/>
          <w:szCs w:val="21"/>
        </w:rPr>
        <w:t>因此，</w:t>
      </w:r>
      <w:r>
        <w:rPr>
          <w:rFonts w:ascii="宋体" w:hAnsi="宋体" w:eastAsia="宋体" w:cs="Times New Roman"/>
          <w:szCs w:val="21"/>
        </w:rPr>
        <w:t>马克思主义人口理论是与我国计划生育政策密切相关的，</w:t>
      </w:r>
      <w:r>
        <w:rPr>
          <w:rFonts w:ascii="宋体" w:hAnsi="宋体" w:eastAsia="宋体" w:cs="Arial"/>
          <w:spacing w:val="5"/>
          <w:szCs w:val="21"/>
        </w:rPr>
        <w:t>那种以为主张计划生育就是背离马克思主义的马尔萨斯观点，显然是错误的</w:t>
      </w:r>
      <w:r>
        <w:rPr>
          <w:rFonts w:ascii="宋体" w:hAnsi="宋体" w:eastAsia="宋体" w:cs="Times New Roman"/>
          <w:szCs w:val="21"/>
        </w:rPr>
        <w:t>。</w:t>
      </w:r>
    </w:p>
    <w:p w14:paraId="0E82BDC3">
      <w:pPr>
        <w:spacing w:line="400" w:lineRule="exact"/>
        <w:ind w:firstLine="420" w:firstLineChars="200"/>
        <w:rPr>
          <w:rFonts w:ascii="宋体" w:hAnsi="宋体" w:eastAsia="宋体" w:cs="Times New Roman"/>
          <w:szCs w:val="21"/>
        </w:rPr>
      </w:pPr>
      <w:r>
        <w:rPr>
          <w:rFonts w:ascii="宋体" w:hAnsi="宋体" w:eastAsia="宋体" w:cs="Times New Roman"/>
          <w:szCs w:val="21"/>
        </w:rPr>
        <w:t>在中国近代史上，由于现实可利用的生产资料同人口和劳动力的数量比例失调，是导致相对贫穷落后的原因之一。新中国成立后的30年，没有实行计划生育或实行不力，是导致改变贫穷落后面貌的潜力未能充分发挥的原因之一（所谓错批马寅初一人，多生2亿多人）。改革以来的30年，为了减缓人口规模的过快膨胀，在全国范围内开展了轰轰烈烈的计划生育工作，使</w:t>
      </w:r>
      <w:r>
        <w:rPr>
          <w:rFonts w:hint="eastAsia" w:ascii="宋体" w:hAnsi="宋体" w:eastAsia="宋体" w:cs="Times New Roman"/>
          <w:szCs w:val="21"/>
        </w:rPr>
        <w:t>人口再生产类型在社会生产力尚不发达的情况下，实现了历史性转变，</w:t>
      </w:r>
      <w:r>
        <w:rPr>
          <w:rFonts w:ascii="宋体" w:hAnsi="宋体" w:eastAsia="宋体" w:cs="Times New Roman"/>
          <w:szCs w:val="21"/>
        </w:rPr>
        <w:t>总和生育率</w:t>
      </w:r>
      <w:r>
        <w:rPr>
          <w:rFonts w:hint="eastAsia" w:ascii="宋体" w:hAnsi="宋体" w:eastAsia="宋体" w:cs="Times New Roman"/>
          <w:szCs w:val="21"/>
        </w:rPr>
        <w:t>从1970年的</w:t>
      </w:r>
      <w:r>
        <w:rPr>
          <w:rFonts w:ascii="宋体" w:hAnsi="宋体" w:eastAsia="宋体" w:cs="Times New Roman"/>
          <w:szCs w:val="21"/>
        </w:rPr>
        <w:t>5.8降</w:t>
      </w:r>
      <w:r>
        <w:rPr>
          <w:rFonts w:hint="eastAsia" w:ascii="宋体" w:hAnsi="宋体" w:eastAsia="宋体" w:cs="Times New Roman"/>
          <w:szCs w:val="21"/>
        </w:rPr>
        <w:t>至现在的</w:t>
      </w:r>
      <w:r>
        <w:rPr>
          <w:rFonts w:ascii="宋体" w:hAnsi="宋体" w:eastAsia="宋体" w:cs="Times New Roman"/>
          <w:szCs w:val="21"/>
        </w:rPr>
        <w:t>1.8</w:t>
      </w:r>
      <w:r>
        <w:rPr>
          <w:rFonts w:hint="eastAsia" w:ascii="宋体" w:hAnsi="宋体" w:eastAsia="宋体" w:cs="Times New Roman"/>
          <w:szCs w:val="21"/>
        </w:rPr>
        <w:t>左右</w:t>
      </w:r>
      <w:r>
        <w:rPr>
          <w:rFonts w:ascii="宋体" w:hAnsi="宋体" w:eastAsia="宋体" w:cs="Times New Roman"/>
          <w:szCs w:val="21"/>
        </w:rPr>
        <w:t>，</w:t>
      </w:r>
      <w:r>
        <w:rPr>
          <w:rFonts w:hint="eastAsia" w:ascii="宋体" w:hAnsi="宋体" w:eastAsia="宋体" w:cs="Times New Roman"/>
          <w:szCs w:val="21"/>
        </w:rPr>
        <w:t>到2005年全国</w:t>
      </w:r>
      <w:r>
        <w:rPr>
          <w:rFonts w:ascii="宋体" w:hAnsi="宋体" w:eastAsia="宋体" w:cs="Times New Roman"/>
          <w:szCs w:val="21"/>
        </w:rPr>
        <w:t>累计少生4亿</w:t>
      </w:r>
      <w:r>
        <w:rPr>
          <w:rFonts w:hint="eastAsia" w:ascii="宋体" w:hAnsi="宋体" w:eastAsia="宋体" w:cs="Times New Roman"/>
          <w:szCs w:val="21"/>
        </w:rPr>
        <w:t>多</w:t>
      </w:r>
      <w:r>
        <w:rPr>
          <w:rFonts w:ascii="宋体" w:hAnsi="宋体" w:eastAsia="宋体" w:cs="Times New Roman"/>
          <w:szCs w:val="21"/>
        </w:rPr>
        <w:t>人</w:t>
      </w:r>
      <w:r>
        <w:rPr>
          <w:rFonts w:ascii="宋体" w:hAnsi="宋体" w:eastAsia="宋体" w:cs="Times New Roman"/>
          <w:szCs w:val="21"/>
          <w:vertAlign w:val="superscript"/>
        </w:rPr>
        <w:footnoteReference w:id="586"/>
      </w:r>
      <w:r>
        <w:rPr>
          <w:rFonts w:ascii="宋体" w:hAnsi="宋体" w:eastAsia="宋体" w:cs="Times New Roman"/>
          <w:szCs w:val="21"/>
        </w:rPr>
        <w:t>，资源和环境压力得到有效缓解，生活水平有了显著提高。可以说，人口再生产类型的成功转型，为中华民族的复兴繁荣、生活水平较快提高和现代化建设，以及全球人口控制作出了突出的贡献。</w:t>
      </w:r>
    </w:p>
    <w:p w14:paraId="1231CB93">
      <w:pPr>
        <w:spacing w:line="400" w:lineRule="exact"/>
        <w:ind w:firstLine="420" w:firstLineChars="200"/>
        <w:rPr>
          <w:rFonts w:ascii="宋体" w:hAnsi="宋体" w:eastAsia="宋体" w:cs="Times New Roman"/>
          <w:szCs w:val="21"/>
        </w:rPr>
      </w:pPr>
      <w:r>
        <w:rPr>
          <w:rFonts w:ascii="宋体" w:hAnsi="宋体" w:eastAsia="宋体" w:cs="Times New Roman"/>
          <w:szCs w:val="21"/>
        </w:rPr>
        <w:t>伴随30年</w:t>
      </w:r>
      <w:r>
        <w:rPr>
          <w:rFonts w:hint="eastAsia" w:ascii="宋体" w:hAnsi="宋体" w:eastAsia="宋体" w:cs="Times New Roman"/>
          <w:szCs w:val="21"/>
        </w:rPr>
        <w:t>实行</w:t>
      </w:r>
      <w:r>
        <w:rPr>
          <w:rFonts w:ascii="宋体" w:hAnsi="宋体" w:eastAsia="宋体" w:cs="Times New Roman"/>
          <w:szCs w:val="21"/>
        </w:rPr>
        <w:t>较严格计划生育政策，一直存在要不要放宽的歧见，近年又出现了大争鸣。在今后的数十年内，是继续严格实行一胎政策，还是逐步放开二胎政策，渐成社会各界关注的焦点。</w:t>
      </w:r>
    </w:p>
    <w:p w14:paraId="4E2A5174">
      <w:pPr>
        <w:spacing w:line="400" w:lineRule="exact"/>
        <w:ind w:firstLine="420" w:firstLineChars="200"/>
        <w:rPr>
          <w:rFonts w:ascii="宋体" w:hAnsi="宋体" w:eastAsia="宋体" w:cs="Times New Roman"/>
          <w:szCs w:val="21"/>
        </w:rPr>
      </w:pPr>
      <w:r>
        <w:rPr>
          <w:rFonts w:ascii="宋体" w:hAnsi="宋体" w:eastAsia="宋体" w:cs="Times New Roman"/>
          <w:szCs w:val="21"/>
        </w:rPr>
        <w:t>以马克思主义人口理论精神来审视我国目前的人口形势，理性缜密地考量我国人口发展战略和政策选择，我们倡导的“先控后减的新人口策论”要点如下：</w:t>
      </w:r>
    </w:p>
    <w:p w14:paraId="76C88442">
      <w:pPr>
        <w:spacing w:line="400" w:lineRule="exact"/>
        <w:ind w:firstLine="420" w:firstLineChars="200"/>
        <w:rPr>
          <w:rFonts w:ascii="宋体" w:hAnsi="宋体" w:eastAsia="宋体" w:cs="Times New Roman"/>
          <w:szCs w:val="21"/>
        </w:rPr>
      </w:pPr>
      <w:r>
        <w:rPr>
          <w:rFonts w:ascii="宋体" w:hAnsi="宋体" w:eastAsia="宋体" w:cs="Times New Roman"/>
          <w:szCs w:val="21"/>
        </w:rPr>
        <w:t>（1）不断增加的中国人口总量，正在逼近国内主要资源所能承载的极限。2008年底中国人口为13.28亿，在今后较长时期内每年还将新增人口700万左右，人口总规模在较低生育率的基础上继续大量扩张，</w:t>
      </w:r>
      <w:r>
        <w:rPr>
          <w:rFonts w:hint="eastAsia" w:ascii="宋体" w:hAnsi="宋体" w:eastAsia="宋体" w:cs="Times New Roman"/>
          <w:szCs w:val="21"/>
        </w:rPr>
        <w:t>而且</w:t>
      </w:r>
      <w:r>
        <w:rPr>
          <w:rFonts w:ascii="宋体" w:hAnsi="宋体" w:eastAsia="宋体" w:cs="Times New Roman"/>
          <w:szCs w:val="21"/>
        </w:rPr>
        <w:t>国内主要资源短缺严重，</w:t>
      </w:r>
      <w:r>
        <w:rPr>
          <w:rFonts w:hint="eastAsia" w:ascii="宋体" w:hAnsi="宋体" w:eastAsia="宋体" w:cs="Times New Roman"/>
          <w:szCs w:val="21"/>
        </w:rPr>
        <w:t>其</w:t>
      </w:r>
      <w:r>
        <w:rPr>
          <w:rFonts w:ascii="宋体" w:hAnsi="宋体" w:eastAsia="宋体" w:cs="Times New Roman"/>
          <w:szCs w:val="21"/>
        </w:rPr>
        <w:t>向现有可高效利用资源的人口极限规模推进。</w:t>
      </w:r>
    </w:p>
    <w:p w14:paraId="2E77242F">
      <w:pPr>
        <w:spacing w:line="400" w:lineRule="exact"/>
        <w:ind w:firstLine="420" w:firstLineChars="200"/>
        <w:rPr>
          <w:rFonts w:ascii="宋体" w:hAnsi="宋体" w:eastAsia="宋体" w:cs="Times New Roman"/>
          <w:szCs w:val="21"/>
        </w:rPr>
      </w:pPr>
      <w:r>
        <w:rPr>
          <w:rFonts w:ascii="宋体" w:hAnsi="宋体" w:eastAsia="宋体" w:cs="Times New Roman"/>
          <w:szCs w:val="21"/>
        </w:rPr>
        <w:t>（2）不断增加的中国人口总量，正在逼近国内生态安全所能承载的极限。我国多数江河湖泊和近海受到严重污染，有的著名河流和湖泊萎缩干涸，草原退化，湿地减少，荒漠扩大，多种野生动物濒临灭绝，排放有害物质总量增加等等，这些问题均不同程度地直接或间接与人多相关。</w:t>
      </w:r>
    </w:p>
    <w:p w14:paraId="6143FD59">
      <w:pPr>
        <w:spacing w:line="400" w:lineRule="exact"/>
        <w:ind w:firstLine="420" w:firstLineChars="200"/>
        <w:rPr>
          <w:rFonts w:ascii="宋体" w:hAnsi="宋体" w:eastAsia="宋体" w:cs="Times New Roman"/>
          <w:szCs w:val="21"/>
        </w:rPr>
      </w:pPr>
      <w:r>
        <w:rPr>
          <w:rFonts w:ascii="宋体" w:hAnsi="宋体" w:eastAsia="宋体" w:cs="Times New Roman"/>
          <w:szCs w:val="21"/>
        </w:rPr>
        <w:t>（3）发达国家越来越多的人们持少生育或不生育的现代生育文化观，需要国家不断加大奖励生育的措施来维持人口的再生产。而我国在人们尚未自觉改变传统生育观和人口收缩到适度规模（5亿人左右）以前，则应坚持不懈地推行“城乡一胎、特殊二胎、严禁三胎、奖励无胎”的“一胎化”新政。少数民族、难医治不良头胎等列入特殊情况。实行免费和奖励婚前体检，严惩</w:t>
      </w:r>
      <w:r>
        <w:rPr>
          <w:rFonts w:hint="eastAsia" w:ascii="宋体" w:hAnsi="宋体" w:eastAsia="宋体" w:cs="Times New Roman"/>
          <w:szCs w:val="21"/>
        </w:rPr>
        <w:t>胎儿</w:t>
      </w:r>
      <w:r>
        <w:rPr>
          <w:rFonts w:ascii="宋体" w:hAnsi="宋体" w:eastAsia="宋体" w:cs="Times New Roman"/>
          <w:szCs w:val="21"/>
        </w:rPr>
        <w:t>性别查堕行为。</w:t>
      </w:r>
    </w:p>
    <w:p w14:paraId="2E592458">
      <w:pPr>
        <w:spacing w:line="400" w:lineRule="exact"/>
        <w:ind w:firstLine="420" w:firstLineChars="200"/>
        <w:rPr>
          <w:rFonts w:ascii="宋体" w:hAnsi="宋体" w:eastAsia="宋体" w:cs="Times New Roman"/>
          <w:szCs w:val="21"/>
        </w:rPr>
      </w:pPr>
      <w:r>
        <w:rPr>
          <w:rFonts w:ascii="宋体" w:hAnsi="宋体" w:eastAsia="宋体" w:cs="Times New Roman"/>
          <w:szCs w:val="21"/>
        </w:rPr>
        <w:t>（4）在尚未改变传统偏好男孩的习俗以前，实行一种有差别的变罚为奖的社会保障配套措施，“无胎高保、女胎中保、男胎基保（低保）、超胎不保”，即对于不生育的家庭实行高保，生一个女孩的家庭实行中保，生一个男孩的家庭实行低保或基保（社会普遍的基本或基础保障），违纪超生的家庭不保</w:t>
      </w:r>
      <w:r>
        <w:rPr>
          <w:rFonts w:hint="eastAsia" w:ascii="宋体" w:hAnsi="宋体" w:eastAsia="宋体" w:cs="Times New Roman"/>
          <w:szCs w:val="21"/>
        </w:rPr>
        <w:t>。</w:t>
      </w:r>
      <w:r>
        <w:rPr>
          <w:rFonts w:ascii="宋体" w:hAnsi="宋体" w:eastAsia="宋体" w:cs="Times New Roman"/>
          <w:szCs w:val="21"/>
        </w:rPr>
        <w:t>尽快变处罚为奖励，促进生育和谐和计划生育工作和谐。</w:t>
      </w:r>
    </w:p>
    <w:p w14:paraId="01C71087">
      <w:pPr>
        <w:spacing w:line="400" w:lineRule="exact"/>
        <w:ind w:firstLine="420" w:firstLineChars="200"/>
        <w:rPr>
          <w:rFonts w:ascii="宋体" w:hAnsi="宋体" w:eastAsia="宋体" w:cs="Times New Roman"/>
          <w:szCs w:val="21"/>
        </w:rPr>
      </w:pPr>
      <w:r>
        <w:rPr>
          <w:rFonts w:ascii="宋体" w:hAnsi="宋体" w:eastAsia="宋体" w:cs="Times New Roman"/>
          <w:szCs w:val="21"/>
        </w:rPr>
        <w:t>（5）只有严格实行“先控后减”的人口调控政策（总人口先控制在15亿左右，后逐渐减至5亿左右），才能有效缓解我国社会主要经济矛盾和巨大就业的压力。不断膨胀的巨大人口规模所引起的社会需要扩张已难以单靠发展生产和粗放式发展方式来满足。必须倚靠人口规模的严格控制和缩减，才能使主要矛盾和就业压力不因人口总量过快增长而加剧。</w:t>
      </w:r>
    </w:p>
    <w:p w14:paraId="64363FB0">
      <w:pPr>
        <w:spacing w:line="400" w:lineRule="exact"/>
        <w:ind w:firstLine="420" w:firstLineChars="200"/>
        <w:rPr>
          <w:rFonts w:ascii="宋体" w:hAnsi="宋体" w:eastAsia="宋体" w:cs="Times New Roman"/>
          <w:szCs w:val="21"/>
        </w:rPr>
      </w:pPr>
      <w:r>
        <w:rPr>
          <w:rFonts w:ascii="宋体" w:hAnsi="宋体" w:eastAsia="宋体" w:cs="Times New Roman"/>
          <w:szCs w:val="21"/>
        </w:rPr>
        <w:t>（6）只有严格实行“先控后减”的人口调控政策，才能实现人口素质的较快提升，更好地促进人口同资源和生态环境相协调的可持续发展，从而尽快赶上欧美日韩等国的人均国民生产总值、人均国力和人均生活水平，真正实现高标准的共同富裕和科学发展目标，最终在社会主义与资本主义的比较中获得完全的优势。</w:t>
      </w:r>
    </w:p>
    <w:p w14:paraId="47BC0A65">
      <w:pPr>
        <w:spacing w:line="400" w:lineRule="exact"/>
        <w:ind w:firstLine="420" w:firstLineChars="200"/>
        <w:rPr>
          <w:rFonts w:ascii="宋体" w:hAnsi="宋体" w:eastAsia="宋体" w:cs="Times New Roman"/>
          <w:szCs w:val="21"/>
        </w:rPr>
      </w:pPr>
      <w:r>
        <w:rPr>
          <w:rFonts w:ascii="宋体" w:hAnsi="宋体" w:eastAsia="宋体" w:cs="Times New Roman"/>
          <w:szCs w:val="21"/>
        </w:rPr>
        <w:t>（7）树立全国一盘棋的统筹城乡人口方针，为了使众多的农村剩余劳动力和农民工较快成为北京、上海等城市的正式市民，所有城市均不宜推行独生子女结婚可生二胎的政策。要确保因严格计划生育所节省的经费用到改善老年人口的生活方面去。</w:t>
      </w:r>
    </w:p>
    <w:p w14:paraId="32EEE1ED">
      <w:pPr>
        <w:spacing w:line="400" w:lineRule="exact"/>
        <w:ind w:firstLine="420" w:firstLineChars="200"/>
        <w:rPr>
          <w:rFonts w:ascii="宋体" w:hAnsi="宋体" w:eastAsia="宋体" w:cs="Times New Roman"/>
          <w:szCs w:val="21"/>
        </w:rPr>
      </w:pPr>
      <w:r>
        <w:rPr>
          <w:rFonts w:ascii="宋体" w:hAnsi="宋体" w:eastAsia="宋体" w:cs="Times New Roman"/>
          <w:szCs w:val="21"/>
        </w:rPr>
        <w:t>（8）国家一方面要把严格计划生育所节约的各种经费及时投入到老龄人口的生活和工作改善等方面；另一方面要借鉴日本等发达国家经验，随着人的寿命提高而适当提高退休年龄，消除让劳动人口提前退休而又实际形成三分之一退休者再就业的不良局面。</w:t>
      </w:r>
      <w:r>
        <w:rPr>
          <w:rFonts w:hint="eastAsia" w:ascii="宋体" w:hAnsi="宋体" w:eastAsia="宋体" w:cs="Times New Roman"/>
          <w:szCs w:val="21"/>
        </w:rPr>
        <w:t>随着人的寿命和退休年龄的提高，应相应提高老龄人年龄的统计标准。</w:t>
      </w:r>
    </w:p>
    <w:p w14:paraId="12BA079E">
      <w:pPr>
        <w:spacing w:line="400" w:lineRule="exact"/>
        <w:ind w:firstLine="420" w:firstLineChars="200"/>
        <w:rPr>
          <w:rFonts w:ascii="宋体" w:hAnsi="宋体" w:eastAsia="宋体" w:cs="Times New Roman"/>
          <w:szCs w:val="21"/>
        </w:rPr>
      </w:pPr>
      <w:r>
        <w:rPr>
          <w:rFonts w:ascii="宋体" w:hAnsi="宋体" w:eastAsia="宋体" w:cs="Times New Roman"/>
          <w:szCs w:val="21"/>
        </w:rPr>
        <w:t>（9）国家应对包括兵役逝世或伤残在内的非正常人生夭折或失去劳动能力的不同情况，给予高低不一的家庭补贴或保障，以激励人们从事高风险的工作，并高水准地解决其家庭生活的后顾之忧。</w:t>
      </w:r>
    </w:p>
    <w:p w14:paraId="50B042DE">
      <w:pPr>
        <w:spacing w:line="400" w:lineRule="exact"/>
        <w:ind w:firstLine="420" w:firstLineChars="200"/>
        <w:rPr>
          <w:rFonts w:ascii="宋体" w:hAnsi="宋体" w:eastAsia="宋体" w:cs="Times New Roman"/>
          <w:szCs w:val="21"/>
        </w:rPr>
      </w:pPr>
      <w:r>
        <w:rPr>
          <w:rFonts w:ascii="宋体" w:hAnsi="宋体" w:eastAsia="宋体" w:cs="Times New Roman"/>
          <w:szCs w:val="21"/>
        </w:rPr>
        <w:t>（10）与“（经济）资源节约增效型社会”、“（生态）环境保护改善型社会”相匹配的应是“人口控减提质型社会”</w:t>
      </w:r>
      <w:r>
        <w:rPr>
          <w:rFonts w:hint="eastAsia" w:ascii="宋体" w:hAnsi="宋体" w:eastAsia="宋体" w:cs="Times New Roman"/>
          <w:szCs w:val="21"/>
        </w:rPr>
        <w:t>。</w:t>
      </w:r>
      <w:r>
        <w:rPr>
          <w:rFonts w:ascii="宋体" w:hAnsi="宋体" w:eastAsia="宋体" w:cs="Times New Roman"/>
          <w:szCs w:val="21"/>
        </w:rPr>
        <w:t>这“三型社会”完整地体现了科学的可持续发展观，从而为根本转变对内对外发展方式，缓减内外“资源战”、“环境战”、“生态战”、“贸易战”和“移民战”等奠定基础。要像1980年中央决定实行一胎化计划生育政策那样，广泛通过立法、政策、宣传、教育等配套措施，尽快大力推行先控后减的一胎化计划生育新政，积极倡导“人口控减提质型社会”（至于如何全面提高人口素质，需另文阐述）。</w:t>
      </w:r>
    </w:p>
    <w:p w14:paraId="48D62F5A">
      <w:pPr>
        <w:spacing w:line="400" w:lineRule="exact"/>
        <w:ind w:firstLine="420" w:firstLineChars="200"/>
        <w:rPr>
          <w:rFonts w:ascii="宋体" w:hAnsi="宋体" w:eastAsia="宋体" w:cs="Times New Roman"/>
          <w:bCs/>
          <w:szCs w:val="21"/>
        </w:rPr>
      </w:pPr>
      <w:r>
        <w:rPr>
          <w:rFonts w:ascii="宋体" w:hAnsi="宋体" w:eastAsia="宋体" w:cs="Times New Roman"/>
          <w:szCs w:val="21"/>
        </w:rPr>
        <w:t>对于笔者提出的上述“新人口策论”，可以产生10点质疑，本文一一进行回应，以便深化讨论，逐步形成科学共识</w:t>
      </w:r>
      <w:r>
        <w:rPr>
          <w:rFonts w:ascii="宋体" w:hAnsi="宋体" w:eastAsia="宋体" w:cs="Times New Roman"/>
          <w:bCs/>
          <w:szCs w:val="21"/>
        </w:rPr>
        <w:t>。</w:t>
      </w:r>
    </w:p>
    <w:p w14:paraId="050492C9">
      <w:pPr>
        <w:autoSpaceDE w:val="0"/>
        <w:autoSpaceDN w:val="0"/>
        <w:spacing w:line="360" w:lineRule="auto"/>
        <w:ind w:firstLine="504"/>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一、回应人口人手说</w:t>
      </w:r>
    </w:p>
    <w:p w14:paraId="7D06E0A7">
      <w:pPr>
        <w:spacing w:line="400" w:lineRule="exact"/>
        <w:ind w:firstLine="420" w:firstLineChars="200"/>
        <w:rPr>
          <w:rFonts w:ascii="宋体" w:hAnsi="宋体" w:eastAsia="宋体" w:cs="Times New Roman"/>
          <w:szCs w:val="21"/>
        </w:rPr>
      </w:pPr>
      <w:r>
        <w:rPr>
          <w:rFonts w:ascii="宋体" w:hAnsi="宋体" w:eastAsia="宋体" w:cs="Times New Roman"/>
          <w:szCs w:val="21"/>
        </w:rPr>
        <w:t>人口人手说，是计生政策诸多质疑中较为典型的一种。</w:t>
      </w:r>
      <w:r>
        <w:rPr>
          <w:rFonts w:hint="eastAsia" w:ascii="宋体" w:hAnsi="宋体" w:eastAsia="宋体" w:cs="Arial"/>
          <w:szCs w:val="21"/>
        </w:rPr>
        <w:t>人们不会忘记</w:t>
      </w:r>
      <w:r>
        <w:rPr>
          <w:rFonts w:ascii="宋体" w:hAnsi="宋体" w:eastAsia="宋体" w:cs="Times New Roman"/>
          <w:szCs w:val="21"/>
        </w:rPr>
        <w:t>20世纪50年</w:t>
      </w:r>
      <w:r>
        <w:rPr>
          <w:rFonts w:ascii="宋体" w:hAnsi="宋体" w:eastAsia="宋体" w:cs="Arial"/>
          <w:szCs w:val="21"/>
        </w:rPr>
        <w:t>代</w:t>
      </w:r>
      <w:r>
        <w:rPr>
          <w:rFonts w:hint="eastAsia" w:ascii="宋体" w:hAnsi="宋体" w:eastAsia="宋体" w:cs="Arial"/>
          <w:szCs w:val="21"/>
        </w:rPr>
        <w:t>的“</w:t>
      </w:r>
      <w:r>
        <w:rPr>
          <w:rFonts w:ascii="宋体" w:hAnsi="宋体" w:eastAsia="宋体" w:cs="Arial"/>
          <w:szCs w:val="21"/>
        </w:rPr>
        <w:t>人口论</w:t>
      </w:r>
      <w:r>
        <w:rPr>
          <w:rFonts w:hint="eastAsia" w:ascii="宋体" w:hAnsi="宋体" w:eastAsia="宋体" w:cs="Arial"/>
          <w:szCs w:val="21"/>
        </w:rPr>
        <w:t>”</w:t>
      </w:r>
      <w:r>
        <w:rPr>
          <w:rFonts w:ascii="宋体" w:hAnsi="宋体" w:eastAsia="宋体" w:cs="Arial"/>
          <w:szCs w:val="21"/>
        </w:rPr>
        <w:t>与</w:t>
      </w:r>
      <w:r>
        <w:rPr>
          <w:rFonts w:hint="eastAsia" w:ascii="宋体" w:hAnsi="宋体" w:eastAsia="宋体" w:cs="Arial"/>
          <w:szCs w:val="21"/>
        </w:rPr>
        <w:t>“</w:t>
      </w:r>
      <w:r>
        <w:rPr>
          <w:rFonts w:ascii="宋体" w:hAnsi="宋体" w:eastAsia="宋体" w:cs="Arial"/>
          <w:szCs w:val="21"/>
        </w:rPr>
        <w:t>人手论</w:t>
      </w:r>
      <w:r>
        <w:rPr>
          <w:rFonts w:hint="eastAsia" w:ascii="宋体" w:hAnsi="宋体" w:eastAsia="宋体" w:cs="Arial"/>
          <w:szCs w:val="21"/>
        </w:rPr>
        <w:t>”</w:t>
      </w:r>
      <w:r>
        <w:rPr>
          <w:rFonts w:ascii="宋体" w:hAnsi="宋体" w:eastAsia="宋体" w:cs="Arial"/>
          <w:szCs w:val="21"/>
        </w:rPr>
        <w:t>之争</w:t>
      </w:r>
      <w:r>
        <w:rPr>
          <w:rFonts w:hint="eastAsia" w:ascii="宋体" w:hAnsi="宋体" w:eastAsia="宋体" w:cs="Arial"/>
          <w:szCs w:val="21"/>
        </w:rPr>
        <w:t>，也不会忘记被错误批判的所谓不</w:t>
      </w:r>
      <w:r>
        <w:rPr>
          <w:rFonts w:ascii="宋体" w:hAnsi="宋体" w:eastAsia="宋体" w:cs="Arial"/>
          <w:szCs w:val="21"/>
        </w:rPr>
        <w:t>识时务的马寅初</w:t>
      </w:r>
      <w:r>
        <w:rPr>
          <w:rFonts w:hint="eastAsia" w:ascii="宋体" w:hAnsi="宋体" w:eastAsia="宋体" w:cs="Arial"/>
          <w:szCs w:val="21"/>
        </w:rPr>
        <w:t>，说他</w:t>
      </w:r>
      <w:r>
        <w:rPr>
          <w:rFonts w:ascii="宋体" w:hAnsi="宋体" w:eastAsia="宋体" w:cs="Arial"/>
          <w:szCs w:val="21"/>
        </w:rPr>
        <w:t>竟然用资产阶级的</w:t>
      </w:r>
      <w:r>
        <w:rPr>
          <w:rFonts w:hint="eastAsia" w:ascii="宋体" w:hAnsi="宋体" w:eastAsia="宋体" w:cs="Arial"/>
          <w:szCs w:val="21"/>
        </w:rPr>
        <w:t>“</w:t>
      </w:r>
      <w:r>
        <w:rPr>
          <w:rFonts w:ascii="宋体" w:hAnsi="宋体" w:eastAsia="宋体" w:cs="Arial"/>
          <w:szCs w:val="21"/>
        </w:rPr>
        <w:t>人口论</w:t>
      </w:r>
      <w:r>
        <w:rPr>
          <w:rFonts w:hint="eastAsia" w:ascii="宋体" w:hAnsi="宋体" w:eastAsia="宋体" w:cs="Arial"/>
          <w:szCs w:val="21"/>
        </w:rPr>
        <w:t>”</w:t>
      </w:r>
      <w:r>
        <w:rPr>
          <w:rFonts w:ascii="宋体" w:hAnsi="宋体" w:eastAsia="宋体" w:cs="Arial"/>
          <w:szCs w:val="21"/>
        </w:rPr>
        <w:t>反对无产阶级的</w:t>
      </w:r>
      <w:r>
        <w:rPr>
          <w:rFonts w:hint="eastAsia" w:ascii="宋体" w:hAnsi="宋体" w:eastAsia="宋体" w:cs="Arial"/>
          <w:szCs w:val="21"/>
        </w:rPr>
        <w:t>“</w:t>
      </w:r>
      <w:r>
        <w:rPr>
          <w:rFonts w:ascii="宋体" w:hAnsi="宋体" w:eastAsia="宋体" w:cs="Arial"/>
          <w:szCs w:val="21"/>
        </w:rPr>
        <w:t>人手论</w:t>
      </w:r>
      <w:r>
        <w:rPr>
          <w:rFonts w:hint="eastAsia" w:ascii="宋体" w:hAnsi="宋体" w:eastAsia="宋体" w:cs="Arial"/>
          <w:szCs w:val="21"/>
        </w:rPr>
        <w:t>”；以及</w:t>
      </w:r>
      <w:r>
        <w:rPr>
          <w:rFonts w:ascii="宋体" w:hAnsi="宋体" w:eastAsia="宋体" w:cs="Arial"/>
          <w:szCs w:val="21"/>
        </w:rPr>
        <w:t>新中国广泛宣传</w:t>
      </w:r>
      <w:r>
        <w:rPr>
          <w:rFonts w:hint="eastAsia" w:ascii="宋体" w:hAnsi="宋体" w:eastAsia="宋体" w:cs="Arial"/>
          <w:szCs w:val="21"/>
        </w:rPr>
        <w:t>的</w:t>
      </w:r>
      <w:r>
        <w:rPr>
          <w:rFonts w:ascii="宋体" w:hAnsi="宋体" w:eastAsia="宋体" w:cs="Arial"/>
          <w:szCs w:val="21"/>
        </w:rPr>
        <w:t>为了国家繁荣昌盛大量生育后代的苏联</w:t>
      </w:r>
      <w:r>
        <w:rPr>
          <w:rFonts w:hint="eastAsia" w:ascii="宋体" w:hAnsi="宋体" w:eastAsia="宋体" w:cs="Arial"/>
          <w:szCs w:val="21"/>
        </w:rPr>
        <w:t>“</w:t>
      </w:r>
      <w:r>
        <w:rPr>
          <w:rFonts w:ascii="宋体" w:hAnsi="宋体" w:eastAsia="宋体" w:cs="Arial"/>
          <w:szCs w:val="21"/>
        </w:rPr>
        <w:t>母亲英雄</w:t>
      </w:r>
      <w:r>
        <w:rPr>
          <w:rFonts w:hint="eastAsia" w:ascii="宋体" w:hAnsi="宋体" w:eastAsia="宋体" w:cs="Arial"/>
          <w:szCs w:val="21"/>
        </w:rPr>
        <w:t>”。</w:t>
      </w:r>
      <w:r>
        <w:rPr>
          <w:rFonts w:ascii="宋体" w:hAnsi="宋体" w:eastAsia="宋体" w:cs="Times New Roman"/>
          <w:szCs w:val="21"/>
        </w:rPr>
        <w:t>持</w:t>
      </w:r>
      <w:r>
        <w:rPr>
          <w:rFonts w:hint="eastAsia" w:ascii="宋体" w:hAnsi="宋体" w:eastAsia="宋体" w:cs="Times New Roman"/>
          <w:szCs w:val="21"/>
        </w:rPr>
        <w:t>人口人手说</w:t>
      </w:r>
      <w:r>
        <w:rPr>
          <w:rFonts w:ascii="宋体" w:hAnsi="宋体" w:eastAsia="宋体" w:cs="Times New Roman"/>
          <w:szCs w:val="21"/>
        </w:rPr>
        <w:t>观点的论者认为：中国人将人的数量问题称为“人口”问题，强制计划生育又极大地强化了这种把人看成是“人口”而非“人手”的观念。</w:t>
      </w:r>
      <w:r>
        <w:rPr>
          <w:rFonts w:ascii="宋体" w:hAnsi="宋体" w:eastAsia="宋体" w:cs="Arial"/>
          <w:szCs w:val="21"/>
        </w:rPr>
        <w:t>将人看成“人口”，何以与“牲口”区别？</w:t>
      </w:r>
      <w:r>
        <w:rPr>
          <w:rFonts w:hint="eastAsia" w:ascii="宋体" w:hAnsi="宋体" w:eastAsia="宋体" w:cs="Arial"/>
          <w:szCs w:val="21"/>
        </w:rPr>
        <w:t>近期</w:t>
      </w:r>
      <w:r>
        <w:rPr>
          <w:rFonts w:hint="eastAsia" w:ascii="宋体" w:hAnsi="宋体" w:eastAsia="宋体" w:cs="Times New Roman"/>
          <w:szCs w:val="21"/>
        </w:rPr>
        <w:t>更有论者指出，</w:t>
      </w:r>
      <w:r>
        <w:rPr>
          <w:rFonts w:ascii="宋体" w:hAnsi="宋体" w:eastAsia="宋体" w:cs="Arial"/>
          <w:szCs w:val="21"/>
        </w:rPr>
        <w:t>“</w:t>
      </w:r>
      <w:r>
        <w:rPr>
          <w:rFonts w:ascii="宋体" w:hAnsi="宋体" w:eastAsia="宋体" w:cs="Times New Roman"/>
          <w:szCs w:val="21"/>
        </w:rPr>
        <w:t>要打倒中国的‘人口’学，建立中国的‘人手’学”。因为“人手”安排好了，“人口”就不是负担而是动力。</w:t>
      </w:r>
      <w:r>
        <w:rPr>
          <w:rFonts w:ascii="宋体" w:hAnsi="宋体" w:eastAsia="宋体" w:cs="Arial"/>
          <w:szCs w:val="21"/>
        </w:rPr>
        <w:t>在科学技术高度发达的将来，即使人一生的大部分时间用于全日制学习和休闲，他（她）生产的价值仍然可能远远大于他消费的价值。</w:t>
      </w:r>
      <w:r>
        <w:rPr>
          <w:rFonts w:ascii="宋体" w:hAnsi="宋体" w:eastAsia="宋体" w:cs="Arial"/>
          <w:szCs w:val="21"/>
          <w:vertAlign w:val="superscript"/>
        </w:rPr>
        <w:footnoteReference w:id="587"/>
      </w:r>
    </w:p>
    <w:p w14:paraId="54FC6573">
      <w:pPr>
        <w:widowControl/>
        <w:spacing w:line="400" w:lineRule="exact"/>
        <w:ind w:firstLine="420" w:firstLineChars="200"/>
        <w:rPr>
          <w:rFonts w:ascii="宋体" w:hAnsi="宋体" w:eastAsia="宋体" w:cs="宋体"/>
          <w:kern w:val="0"/>
          <w:szCs w:val="21"/>
        </w:rPr>
      </w:pPr>
      <w:r>
        <w:rPr>
          <w:rFonts w:ascii="宋体" w:hAnsi="宋体" w:eastAsia="宋体" w:cs="宋体"/>
          <w:kern w:val="0"/>
          <w:szCs w:val="21"/>
        </w:rPr>
        <w:t>这种质疑具有一定的迷惑性。第一，“人口”岂能无条件地变成“人手”？“人口”要成为社会财富的有效创造者，成为论者所说的“人手”，是有条件的，其条件还应该是当下的，是难以推给“将来”的。从“时间在先”的意义上说，人的数量问题无论如何首先都是“人口”问题。人不得不在一定的时间（成年前和老年）不同程度地失去其“人手”的属性。据测算，即使按1998年的消费模式和物价水平，我国抚养一个孩子从母亲怀孕始至16周岁止，全国平均所需支付的总抚养费最低为 5.8万元，最高为6.7万元。现在，人的寿命越来越长，在老年阶段的时间也越来越长，这也需要家庭和社会负担。随着社会经济的发展，妇幼保健、社会教育、老年医疗等投资将不断升高，家庭和国家为抚养每个人非劳动阶段的所支付的总抚养费也将大幅上升。这样，由于“放开二胎”而多生的几亿人口，将给家庭和社会带来沉重的经济负担。</w:t>
      </w:r>
    </w:p>
    <w:p w14:paraId="35F18531">
      <w:pPr>
        <w:tabs>
          <w:tab w:val="center" w:pos="4393"/>
        </w:tabs>
        <w:autoSpaceDE w:val="0"/>
        <w:autoSpaceDN w:val="0"/>
        <w:spacing w:line="400" w:lineRule="exact"/>
        <w:ind w:firstLine="420" w:firstLineChars="200"/>
        <w:rPr>
          <w:rFonts w:ascii="宋体" w:hAnsi="宋体" w:eastAsia="宋体" w:cs="Times New Roman"/>
          <w:szCs w:val="21"/>
        </w:rPr>
      </w:pPr>
      <w:r>
        <w:rPr>
          <w:rFonts w:ascii="宋体" w:hAnsi="宋体" w:eastAsia="宋体" w:cs="Times New Roman"/>
          <w:szCs w:val="21"/>
        </w:rPr>
        <w:t>第二，即使人到了劳动年龄阶段，能否就业则不一定；就业后从个别单位计算能否提供微观剩余劳动也不一定；就业后即使从个别单位计算有剩余劳动，但纳入社会资源和生态环境等外部因素，能否真正提供社会剩余劳动则更不一定。这表明，有劳动能力的人要转化为现实从事劳动的人，以及能为单位和社会都提供该部门平均或超过平均的剩余劳动，是需要现实可利用的生产资料和科技水平的。</w:t>
      </w:r>
    </w:p>
    <w:p w14:paraId="20810D1A">
      <w:pPr>
        <w:tabs>
          <w:tab w:val="center" w:pos="4393"/>
        </w:tabs>
        <w:autoSpaceDE w:val="0"/>
        <w:autoSpaceDN w:val="0"/>
        <w:spacing w:line="400" w:lineRule="exact"/>
        <w:ind w:firstLine="420" w:firstLineChars="200"/>
        <w:rPr>
          <w:rFonts w:ascii="宋体" w:hAnsi="宋体" w:eastAsia="宋体" w:cs="Times New Roman"/>
          <w:bCs/>
          <w:szCs w:val="21"/>
        </w:rPr>
      </w:pPr>
      <w:r>
        <w:rPr>
          <w:rFonts w:ascii="宋体" w:hAnsi="宋体" w:eastAsia="宋体" w:cs="Times New Roman"/>
          <w:szCs w:val="21"/>
        </w:rPr>
        <w:t>第三，人口人手说反映的是一种无需</w:t>
      </w:r>
      <w:r>
        <w:rPr>
          <w:rFonts w:hint="eastAsia" w:ascii="宋体" w:hAnsi="宋体" w:eastAsia="宋体" w:cs="Times New Roman"/>
          <w:szCs w:val="21"/>
        </w:rPr>
        <w:t>积极</w:t>
      </w:r>
      <w:r>
        <w:rPr>
          <w:rFonts w:ascii="宋体" w:hAnsi="宋体" w:eastAsia="宋体" w:cs="Times New Roman"/>
          <w:szCs w:val="21"/>
        </w:rPr>
        <w:t>提高劳动生产率和生活水平的</w:t>
      </w:r>
      <w:r>
        <w:rPr>
          <w:rFonts w:ascii="宋体" w:hAnsi="宋体" w:eastAsia="宋体" w:cs="Times New Roman"/>
          <w:bCs/>
          <w:szCs w:val="21"/>
        </w:rPr>
        <w:t>落后生育观念。</w:t>
      </w:r>
      <w:r>
        <w:rPr>
          <w:rFonts w:ascii="宋体" w:hAnsi="宋体" w:eastAsia="宋体" w:cs="Times New Roman"/>
          <w:szCs w:val="21"/>
        </w:rPr>
        <w:t>“从农业角度看，这无非是将本来可以由一个人耕种的土地由两个人来耕种，或者将本可以由机器代替人力来耕种的土地继续交给更多的人来耕种而已。从工业角度看，无非是将三个人的活由五个人来干，或将可由机器干的活换成人来干而已。从商业角度看，无非是将一个人所卖出的东西由两个人来卖，用更多的小摊贩替代大型商场和超市而已。不仅如此，过度生育的另一个功能就是将本可以作为森林、草原、湿地、湖泊等创造幽雅生存环境的大自然的天然生态，不断地变成农业耕地，以将本可应有的美学生活和生态环境逐步破坏到生态危机的地步来养活一个低水平生存的庞大人口群而已。”</w:t>
      </w:r>
      <w:r>
        <w:rPr>
          <w:rFonts w:ascii="宋体" w:hAnsi="宋体" w:eastAsia="宋体" w:cs="Times New Roman"/>
          <w:szCs w:val="21"/>
          <w:vertAlign w:val="superscript"/>
        </w:rPr>
        <w:footnoteReference w:id="588"/>
      </w:r>
      <w:r>
        <w:rPr>
          <w:rFonts w:ascii="宋体" w:hAnsi="宋体" w:eastAsia="宋体" w:cs="Times New Roman"/>
          <w:szCs w:val="21"/>
        </w:rPr>
        <w:t>不难看出，漠视“人口”而仅抽象突出“人手”，以此为放开生育政策的主张辩解，实质上</w:t>
      </w:r>
      <w:r>
        <w:rPr>
          <w:rFonts w:ascii="宋体" w:hAnsi="宋体" w:eastAsia="宋体" w:cs="Times New Roman"/>
          <w:bCs/>
          <w:szCs w:val="21"/>
        </w:rPr>
        <w:t>是一种不思进取的农业社会的古老生育观念。不摈弃这种落后的生育观，谈何实现</w:t>
      </w:r>
      <w:r>
        <w:rPr>
          <w:rFonts w:hint="eastAsia" w:ascii="宋体" w:hAnsi="宋体" w:eastAsia="宋体" w:cs="Times New Roman"/>
          <w:bCs/>
          <w:szCs w:val="21"/>
        </w:rPr>
        <w:t>类似</w:t>
      </w:r>
      <w:r>
        <w:rPr>
          <w:rFonts w:ascii="宋体" w:hAnsi="宋体" w:eastAsia="宋体" w:cs="Times New Roman"/>
          <w:bCs/>
          <w:szCs w:val="21"/>
        </w:rPr>
        <w:t>发达国家的</w:t>
      </w:r>
      <w:r>
        <w:rPr>
          <w:rFonts w:hint="eastAsia" w:ascii="宋体" w:hAnsi="宋体" w:eastAsia="宋体" w:cs="Times New Roman"/>
          <w:bCs/>
          <w:szCs w:val="21"/>
        </w:rPr>
        <w:t>动态</w:t>
      </w:r>
      <w:r>
        <w:rPr>
          <w:rFonts w:ascii="宋体" w:hAnsi="宋体" w:eastAsia="宋体" w:cs="Times New Roman"/>
          <w:bCs/>
          <w:szCs w:val="21"/>
        </w:rPr>
        <w:t>现代化和人均高质量生活水平？我们再不能醉心于“世界加工厂”、“廉价劳动力”等“美誉”。与其说是“美誉”，不如说是无奈。在由人口大国向人力资源强国的转变中，只有控减人口数量，才能更快地提高人口质量。</w:t>
      </w:r>
    </w:p>
    <w:p w14:paraId="61142D79">
      <w:pPr>
        <w:widowControl/>
        <w:spacing w:line="400" w:lineRule="exact"/>
        <w:ind w:firstLine="420" w:firstLineChars="200"/>
        <w:rPr>
          <w:rFonts w:ascii="宋体" w:hAnsi="宋体" w:eastAsia="宋体" w:cs="宋体"/>
          <w:kern w:val="0"/>
          <w:szCs w:val="21"/>
        </w:rPr>
      </w:pPr>
      <w:r>
        <w:rPr>
          <w:rFonts w:ascii="宋体" w:hAnsi="宋体" w:eastAsia="宋体" w:cs="宋体"/>
          <w:kern w:val="0"/>
          <w:szCs w:val="21"/>
        </w:rPr>
        <w:t>第四，我们不否定“科技高度发达后，一个人生产的价值远远大于他消费的价值”的观点，但在“科技高度发达”之前怎么办？是否每个人都能在高科技单位从事生产？</w:t>
      </w:r>
      <w:r>
        <w:rPr>
          <w:rFonts w:ascii="宋体" w:hAnsi="宋体" w:eastAsia="宋体" w:cs="宋体"/>
          <w:bCs/>
          <w:kern w:val="0"/>
          <w:szCs w:val="21"/>
        </w:rPr>
        <w:t>持</w:t>
      </w:r>
      <w:r>
        <w:rPr>
          <w:rFonts w:ascii="宋体" w:hAnsi="宋体" w:eastAsia="宋体" w:cs="宋体"/>
          <w:kern w:val="0"/>
          <w:szCs w:val="21"/>
        </w:rPr>
        <w:t>人口人手说的论者还认为：“一个社会如果能建立一种各尽所能的制度，吃饭的问题还解决不了吗？”</w:t>
      </w:r>
      <w:r>
        <w:rPr>
          <w:rFonts w:ascii="宋体" w:hAnsi="宋体" w:eastAsia="宋体" w:cs="宋体"/>
          <w:kern w:val="0"/>
          <w:szCs w:val="21"/>
          <w:vertAlign w:val="superscript"/>
        </w:rPr>
        <w:footnoteReference w:id="589"/>
      </w:r>
      <w:r>
        <w:rPr>
          <w:rFonts w:ascii="宋体" w:hAnsi="宋体" w:eastAsia="宋体" w:cs="宋体"/>
          <w:kern w:val="0"/>
          <w:szCs w:val="21"/>
        </w:rPr>
        <w:t>这当然只能是“如果”，因为“各尽所能的制度”实现，必须要有各尽所能的工作条件，要有企事业等就业需求。就业需求问题不解决，遑论“各尽所能”？况且，原始社会末期人就可能提供剩余产品，但人需要逐步实现自由和全面的发展，需要不断提高物质和精神生活的质量，而绝不仅仅是一个吃饭或温饱问题。</w:t>
      </w:r>
    </w:p>
    <w:p w14:paraId="68999087">
      <w:pPr>
        <w:autoSpaceDE w:val="0"/>
        <w:autoSpaceDN w:val="0"/>
        <w:spacing w:line="360" w:lineRule="auto"/>
        <w:ind w:firstLine="504"/>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二、回应生育权利说</w:t>
      </w:r>
    </w:p>
    <w:p w14:paraId="44AF2690">
      <w:pPr>
        <w:autoSpaceDE w:val="0"/>
        <w:autoSpaceDN w:val="0"/>
        <w:spacing w:line="400" w:lineRule="exact"/>
        <w:ind w:firstLine="420" w:firstLineChars="200"/>
        <w:rPr>
          <w:rFonts w:ascii="宋体" w:hAnsi="宋体" w:eastAsia="宋体" w:cs="TimesNewRoman"/>
          <w:kern w:val="0"/>
          <w:szCs w:val="21"/>
        </w:rPr>
      </w:pPr>
      <w:r>
        <w:rPr>
          <w:rFonts w:ascii="宋体" w:hAnsi="宋体" w:eastAsia="宋体" w:cs="宋体"/>
          <w:kern w:val="0"/>
          <w:szCs w:val="21"/>
        </w:rPr>
        <w:t>有论者指出，</w:t>
      </w:r>
      <w:r>
        <w:rPr>
          <w:rFonts w:ascii="宋体" w:hAnsi="宋体" w:eastAsia="宋体" w:cs="TimesNewRoman"/>
          <w:kern w:val="0"/>
          <w:szCs w:val="21"/>
        </w:rPr>
        <w:t>公民个人有自由生育的权利，这种个人权利是神圣的，不受侵犯的，国家</w:t>
      </w:r>
      <w:r>
        <w:rPr>
          <w:rFonts w:ascii="宋体" w:hAnsi="宋体" w:eastAsia="宋体" w:cs="宋体"/>
          <w:kern w:val="0"/>
          <w:szCs w:val="21"/>
        </w:rPr>
        <w:t>没有理由限制</w:t>
      </w:r>
      <w:r>
        <w:rPr>
          <w:rFonts w:ascii="宋体" w:hAnsi="宋体" w:eastAsia="宋体" w:cs="TimesNewRoman"/>
          <w:kern w:val="0"/>
          <w:szCs w:val="21"/>
        </w:rPr>
        <w:t>公民个人的生育自由。因为1966年联大《关于人口增长和经济发展的决议》也指出，每个家庭有权自由决定家庭规模；1968年5月联合国世界人权会议通过的《德黑兰宣言》第16条规定，父母享有自由负责地决定子女及其出生间隔的基本人权。也有论者认为，“生育权首先是私权，然后是公权。”</w:t>
      </w:r>
      <w:r>
        <w:rPr>
          <w:rFonts w:ascii="宋体" w:hAnsi="宋体" w:eastAsia="宋体" w:cs="TimesNewRoman"/>
          <w:kern w:val="0"/>
          <w:szCs w:val="21"/>
          <w:vertAlign w:val="superscript"/>
        </w:rPr>
        <w:footnoteReference w:id="590"/>
      </w:r>
    </w:p>
    <w:p w14:paraId="098FAD7B">
      <w:pPr>
        <w:autoSpaceDE w:val="0"/>
        <w:autoSpaceDN w:val="0"/>
        <w:spacing w:line="400" w:lineRule="exact"/>
        <w:ind w:firstLine="420" w:firstLineChars="200"/>
        <w:rPr>
          <w:rFonts w:ascii="宋体" w:hAnsi="宋体" w:eastAsia="宋体" w:cs="Times New Roman"/>
          <w:szCs w:val="21"/>
        </w:rPr>
      </w:pPr>
      <w:r>
        <w:rPr>
          <w:rFonts w:ascii="宋体" w:hAnsi="宋体" w:eastAsia="宋体" w:cs="Times New Roman"/>
          <w:szCs w:val="21"/>
        </w:rPr>
        <w:t>生育权利说是绝对生育权观念的反映，是一种片面的、抽象的、自私的权利观。</w:t>
      </w:r>
    </w:p>
    <w:p w14:paraId="05A40C68">
      <w:pPr>
        <w:autoSpaceDE w:val="0"/>
        <w:autoSpaceDN w:val="0"/>
        <w:spacing w:line="400" w:lineRule="exact"/>
        <w:ind w:firstLine="420" w:firstLineChars="200"/>
        <w:rPr>
          <w:rFonts w:ascii="宋体" w:hAnsi="宋体" w:eastAsia="宋体" w:cs="宋体"/>
          <w:kern w:val="0"/>
          <w:szCs w:val="21"/>
        </w:rPr>
      </w:pPr>
      <w:r>
        <w:rPr>
          <w:rFonts w:ascii="宋体" w:hAnsi="宋体" w:eastAsia="宋体" w:cs="TimesNewRoman"/>
          <w:kern w:val="0"/>
          <w:szCs w:val="21"/>
        </w:rPr>
        <w:t>首先，</w:t>
      </w:r>
      <w:r>
        <w:rPr>
          <w:rFonts w:ascii="宋体" w:hAnsi="宋体" w:eastAsia="宋体" w:cs="Times New Roman"/>
          <w:szCs w:val="21"/>
        </w:rPr>
        <w:t>生育权利说</w:t>
      </w:r>
      <w:r>
        <w:rPr>
          <w:rFonts w:ascii="宋体" w:hAnsi="宋体" w:eastAsia="宋体" w:cs="TimesNewRoman"/>
          <w:kern w:val="0"/>
          <w:szCs w:val="21"/>
        </w:rPr>
        <w:t>仅仅片面地、孤立地抓住“自由决定”的字眼，</w:t>
      </w:r>
      <w:r>
        <w:rPr>
          <w:rFonts w:ascii="宋体" w:hAnsi="宋体" w:eastAsia="宋体" w:cs="Times New Roman"/>
          <w:szCs w:val="21"/>
        </w:rPr>
        <w:t>割裂了权利和义务的关系。</w:t>
      </w:r>
      <w:r>
        <w:rPr>
          <w:rFonts w:ascii="宋体" w:hAnsi="宋体" w:eastAsia="宋体" w:cs="TimesNewRoman"/>
          <w:kern w:val="0"/>
          <w:szCs w:val="21"/>
        </w:rPr>
        <w:t>联合国文件中第一次论及生育权问题，是1966年联大通过的《关于人口增长和经济发展的决议》。《决议》首次将夫妇的生育权利作为一项基本的人权。随着世界人口快速增长和人口资源环境等可持续发展问题的日益凸显和尖锐，联合国有关文件在生育权的表述上是逐渐完善的。我们应该全面了解联合</w:t>
      </w:r>
      <w:r>
        <w:rPr>
          <w:rFonts w:ascii="宋体" w:hAnsi="宋体" w:eastAsia="宋体" w:cs="宋体"/>
          <w:kern w:val="0"/>
          <w:szCs w:val="21"/>
        </w:rPr>
        <w:t>国有关生育权利和生育义务的一些基本观点。</w:t>
      </w:r>
      <w:r>
        <w:rPr>
          <w:rFonts w:ascii="宋体" w:hAnsi="宋体" w:eastAsia="宋体" w:cs="TimesNewRoman"/>
          <w:kern w:val="0"/>
          <w:szCs w:val="21"/>
        </w:rPr>
        <w:t>1974年布加勒斯特世界人口会议《行动计划》对生育义务的定义是：夫妇和个人在行使这种(生育)权利时，有责任考虑他们现有子女和将来子女的需要以及他们对社会的责任。这一标准性表述，被广泛地应用于各种国际性文件中，并被各国政府所接受。较之传统文化和宗教中的生育义务，《行动计划》中的义务强调对子女负责——要考虑子女的教育和生活水准等；强调对社会的责任——要考虑自己的生育决定对其所生活的社区和社会的平衡发展的影响，个人的生殖行为应当与社会的需要和愿望相适应。一些有识之士指出，这种“考虑到后代的需要和权利的概念，正是可持续发展的核心。”</w:t>
      </w:r>
      <w:r>
        <w:rPr>
          <w:rFonts w:ascii="宋体" w:hAnsi="宋体" w:eastAsia="宋体" w:cs="TimesNewRoman"/>
          <w:kern w:val="0"/>
          <w:szCs w:val="21"/>
          <w:vertAlign w:val="superscript"/>
        </w:rPr>
        <w:footnoteReference w:id="591"/>
      </w:r>
      <w:r>
        <w:rPr>
          <w:rFonts w:ascii="宋体" w:hAnsi="宋体" w:eastAsia="宋体" w:cs="宋体"/>
          <w:kern w:val="0"/>
          <w:szCs w:val="21"/>
        </w:rPr>
        <w:t>国际人发大会行动纲领在把生育权纳入人权范畴的同时也强调指出：生育不仅是自由的，也是有义务的和负责任的。《中华人民共和国人口与计划生育法》第17条也指出：“公民有生育的权利，也有依法实行计划生育的义务”</w:t>
      </w:r>
      <w:r>
        <w:rPr>
          <w:rFonts w:ascii="宋体" w:hAnsi="宋体" w:eastAsia="宋体" w:cs="宋体"/>
          <w:kern w:val="0"/>
          <w:szCs w:val="21"/>
          <w:vertAlign w:val="superscript"/>
        </w:rPr>
        <w:footnoteReference w:id="592"/>
      </w:r>
      <w:r>
        <w:rPr>
          <w:rFonts w:ascii="宋体" w:hAnsi="宋体" w:eastAsia="宋体" w:cs="宋体"/>
          <w:kern w:val="0"/>
          <w:szCs w:val="21"/>
        </w:rPr>
        <w:t>。</w:t>
      </w:r>
    </w:p>
    <w:p w14:paraId="17478359">
      <w:pPr>
        <w:autoSpaceDE w:val="0"/>
        <w:autoSpaceDN w:val="0"/>
        <w:spacing w:line="400" w:lineRule="exact"/>
        <w:ind w:firstLine="420" w:firstLineChars="200"/>
        <w:rPr>
          <w:rFonts w:ascii="宋体" w:hAnsi="宋体" w:eastAsia="宋体" w:cs="宋体"/>
          <w:kern w:val="0"/>
          <w:szCs w:val="21"/>
        </w:rPr>
      </w:pPr>
      <w:r>
        <w:rPr>
          <w:rFonts w:ascii="宋体" w:hAnsi="宋体" w:eastAsia="宋体" w:cs="TimesNewRoman"/>
          <w:kern w:val="0"/>
          <w:szCs w:val="21"/>
        </w:rPr>
        <w:t>其次，</w:t>
      </w:r>
      <w:r>
        <w:rPr>
          <w:rFonts w:ascii="宋体" w:hAnsi="宋体" w:eastAsia="宋体" w:cs="Times New Roman"/>
          <w:szCs w:val="21"/>
        </w:rPr>
        <w:t>生育权利说</w:t>
      </w:r>
      <w:r>
        <w:rPr>
          <w:rFonts w:ascii="宋体" w:hAnsi="宋体" w:eastAsia="宋体" w:cs="宋体"/>
          <w:kern w:val="0"/>
          <w:szCs w:val="21"/>
        </w:rPr>
        <w:t>漠视中国的具体国情，缺乏科学、客观的公正立场。马克思指出</w:t>
      </w:r>
      <w:r>
        <w:rPr>
          <w:rFonts w:ascii="宋体" w:hAnsi="宋体" w:eastAsia="宋体" w:cs="TimesNewRoman"/>
          <w:kern w:val="0"/>
          <w:szCs w:val="21"/>
        </w:rPr>
        <w:t>：</w:t>
      </w:r>
      <w:r>
        <w:rPr>
          <w:rFonts w:ascii="宋体" w:hAnsi="宋体" w:eastAsia="宋体" w:cs="宋体"/>
          <w:kern w:val="0"/>
          <w:szCs w:val="21"/>
        </w:rPr>
        <w:t>“权利永远不能超出社会经济结构以及由经济结构所制约的社会的文化发展”</w:t>
      </w:r>
      <w:r>
        <w:rPr>
          <w:rFonts w:ascii="宋体" w:hAnsi="宋体" w:eastAsia="宋体" w:cs="宋体"/>
          <w:kern w:val="0"/>
          <w:szCs w:val="21"/>
          <w:vertAlign w:val="superscript"/>
        </w:rPr>
        <w:footnoteReference w:id="593"/>
      </w:r>
      <w:r>
        <w:rPr>
          <w:rFonts w:ascii="宋体" w:hAnsi="宋体" w:eastAsia="宋体" w:cs="宋体"/>
          <w:kern w:val="0"/>
          <w:szCs w:val="21"/>
        </w:rPr>
        <w:t>。马克思主义一向反对把人权（包括生育权利等）问题绝对化和抽象化</w:t>
      </w:r>
      <w:r>
        <w:rPr>
          <w:rFonts w:ascii="宋体" w:hAnsi="宋体" w:eastAsia="宋体" w:cs="TimesNewRoman"/>
          <w:kern w:val="0"/>
          <w:szCs w:val="21"/>
        </w:rPr>
        <w:t>，</w:t>
      </w:r>
      <w:r>
        <w:rPr>
          <w:rFonts w:ascii="宋体" w:hAnsi="宋体" w:eastAsia="宋体" w:cs="宋体"/>
          <w:kern w:val="0"/>
          <w:szCs w:val="21"/>
        </w:rPr>
        <w:t>主张人权的历史性和相对性，强调人权观和人权标准必须与各国的经济发展、社会进步、文化传统和价值观念相结合。毋庸置疑</w:t>
      </w:r>
      <w:r>
        <w:rPr>
          <w:rFonts w:ascii="宋体" w:hAnsi="宋体" w:eastAsia="宋体" w:cs="TimesNewRoman"/>
          <w:kern w:val="0"/>
          <w:szCs w:val="21"/>
        </w:rPr>
        <w:t>，</w:t>
      </w:r>
      <w:r>
        <w:rPr>
          <w:rFonts w:ascii="宋体" w:hAnsi="宋体" w:eastAsia="宋体" w:cs="宋体"/>
          <w:kern w:val="0"/>
          <w:szCs w:val="21"/>
        </w:rPr>
        <w:t>马克思主义的人权理论也是中国人权和生育权利理论研究的坚实基础。中国政府在20世纪</w:t>
      </w:r>
      <w:r>
        <w:rPr>
          <w:rFonts w:ascii="宋体" w:hAnsi="宋体" w:eastAsia="宋体" w:cs="Courier"/>
          <w:kern w:val="0"/>
          <w:szCs w:val="21"/>
        </w:rPr>
        <w:t>70</w:t>
      </w:r>
      <w:r>
        <w:rPr>
          <w:rFonts w:ascii="宋体" w:hAnsi="宋体" w:eastAsia="宋体" w:cs="宋体"/>
          <w:kern w:val="0"/>
          <w:szCs w:val="21"/>
        </w:rPr>
        <w:t>年代把计划生育确定为基本国策</w:t>
      </w:r>
      <w:r>
        <w:rPr>
          <w:rFonts w:ascii="宋体" w:hAnsi="宋体" w:eastAsia="宋体" w:cs="TimesNewRoman"/>
          <w:kern w:val="0"/>
          <w:szCs w:val="21"/>
        </w:rPr>
        <w:t>，</w:t>
      </w:r>
      <w:r>
        <w:rPr>
          <w:rFonts w:ascii="宋体" w:hAnsi="宋体" w:eastAsia="宋体" w:cs="宋体"/>
          <w:kern w:val="0"/>
          <w:szCs w:val="21"/>
        </w:rPr>
        <w:t>主要基于国家经济社会发展与人口增长之间的尖锐矛盾</w:t>
      </w:r>
      <w:r>
        <w:rPr>
          <w:rFonts w:ascii="宋体" w:hAnsi="宋体" w:eastAsia="宋体" w:cs="TimesNewRoman"/>
          <w:kern w:val="0"/>
          <w:szCs w:val="21"/>
        </w:rPr>
        <w:t>，</w:t>
      </w:r>
      <w:r>
        <w:rPr>
          <w:rFonts w:ascii="宋体" w:hAnsi="宋体" w:eastAsia="宋体" w:cs="宋体"/>
          <w:kern w:val="0"/>
          <w:szCs w:val="21"/>
        </w:rPr>
        <w:t>看到人口的</w:t>
      </w:r>
      <w:r>
        <w:rPr>
          <w:rFonts w:hint="eastAsia" w:ascii="宋体" w:hAnsi="宋体" w:eastAsia="宋体" w:cs="宋体"/>
          <w:kern w:val="0"/>
          <w:szCs w:val="21"/>
        </w:rPr>
        <w:t>自由</w:t>
      </w:r>
      <w:r>
        <w:rPr>
          <w:rFonts w:ascii="宋体" w:hAnsi="宋体" w:eastAsia="宋体" w:cs="宋体"/>
          <w:kern w:val="0"/>
          <w:szCs w:val="21"/>
        </w:rPr>
        <w:t>增长严重制约了资源、环境的可持续发展。党的历届领导人论述人口问题</w:t>
      </w:r>
      <w:r>
        <w:rPr>
          <w:rFonts w:ascii="宋体" w:hAnsi="宋体" w:eastAsia="宋体" w:cs="TimesNewRoman"/>
          <w:kern w:val="0"/>
          <w:szCs w:val="21"/>
        </w:rPr>
        <w:t>，</w:t>
      </w:r>
      <w:r>
        <w:rPr>
          <w:rFonts w:ascii="宋体" w:hAnsi="宋体" w:eastAsia="宋体" w:cs="宋体"/>
          <w:kern w:val="0"/>
          <w:szCs w:val="21"/>
        </w:rPr>
        <w:t>都是以人口多、底子薄这一最基本的国情为出发点的，是建立在对基本国情的科学判断和把握上的。对于一个</w:t>
      </w:r>
      <w:r>
        <w:rPr>
          <w:rFonts w:ascii="宋体" w:hAnsi="宋体" w:eastAsia="宋体" w:cs="Courier"/>
          <w:kern w:val="0"/>
          <w:szCs w:val="21"/>
        </w:rPr>
        <w:t>13</w:t>
      </w:r>
      <w:r>
        <w:rPr>
          <w:rFonts w:ascii="宋体" w:hAnsi="宋体" w:eastAsia="宋体" w:cs="宋体"/>
          <w:kern w:val="0"/>
          <w:szCs w:val="21"/>
        </w:rPr>
        <w:t>亿之众的大国</w:t>
      </w:r>
      <w:r>
        <w:rPr>
          <w:rFonts w:ascii="宋体" w:hAnsi="宋体" w:eastAsia="宋体" w:cs="TimesNewRoman"/>
          <w:kern w:val="0"/>
          <w:szCs w:val="21"/>
        </w:rPr>
        <w:t>，</w:t>
      </w:r>
      <w:r>
        <w:rPr>
          <w:rFonts w:ascii="宋体" w:hAnsi="宋体" w:eastAsia="宋体" w:cs="宋体"/>
          <w:kern w:val="0"/>
          <w:szCs w:val="21"/>
        </w:rPr>
        <w:t>国家人口政策首先要考虑的，只能是全体人民的生存发展和福祉的提升，而难以顾及脱离现实的所谓自由生育。中国在特定的历史条件下</w:t>
      </w:r>
      <w:r>
        <w:rPr>
          <w:rFonts w:ascii="宋体" w:hAnsi="宋体" w:eastAsia="宋体" w:cs="TimesNewRoman"/>
          <w:kern w:val="0"/>
          <w:szCs w:val="21"/>
        </w:rPr>
        <w:t>，</w:t>
      </w:r>
      <w:r>
        <w:rPr>
          <w:rFonts w:ascii="宋体" w:hAnsi="宋体" w:eastAsia="宋体" w:cs="宋体"/>
          <w:kern w:val="0"/>
          <w:szCs w:val="21"/>
        </w:rPr>
        <w:t>采取不得已而为之的严格生育政策</w:t>
      </w:r>
      <w:r>
        <w:rPr>
          <w:rFonts w:ascii="宋体" w:hAnsi="宋体" w:eastAsia="宋体" w:cs="TimesNewRoman"/>
          <w:kern w:val="0"/>
          <w:szCs w:val="21"/>
        </w:rPr>
        <w:t>，</w:t>
      </w:r>
      <w:r>
        <w:rPr>
          <w:rFonts w:ascii="宋体" w:hAnsi="宋体" w:eastAsia="宋体" w:cs="宋体"/>
          <w:kern w:val="0"/>
          <w:szCs w:val="21"/>
        </w:rPr>
        <w:t>正是优先考虑到全民的生存权和发展权。倘若按照自由生育说满足每个个体生育孩子的数量要求</w:t>
      </w:r>
      <w:r>
        <w:rPr>
          <w:rFonts w:ascii="宋体" w:hAnsi="宋体" w:eastAsia="宋体" w:cs="Times New Roman"/>
          <w:szCs w:val="21"/>
        </w:rPr>
        <w:t>（如主张“有儿有女并不是一个落后的理想，而是一个比较合理的愿望，或者说是一个比较美好的愿望”</w:t>
      </w:r>
      <w:r>
        <w:rPr>
          <w:rFonts w:ascii="宋体" w:hAnsi="宋体" w:eastAsia="宋体" w:cs="Times New Roman"/>
          <w:szCs w:val="21"/>
          <w:vertAlign w:val="superscript"/>
        </w:rPr>
        <w:footnoteReference w:id="594"/>
      </w:r>
      <w:r>
        <w:rPr>
          <w:rFonts w:ascii="宋体" w:hAnsi="宋体" w:eastAsia="宋体" w:cs="Times New Roman"/>
          <w:szCs w:val="21"/>
        </w:rPr>
        <w:t>）</w:t>
      </w:r>
      <w:r>
        <w:rPr>
          <w:rFonts w:ascii="宋体" w:hAnsi="宋体" w:eastAsia="宋体" w:cs="TimesNewRoman"/>
          <w:kern w:val="0"/>
          <w:szCs w:val="21"/>
        </w:rPr>
        <w:t>，</w:t>
      </w:r>
      <w:r>
        <w:rPr>
          <w:rFonts w:ascii="宋体" w:hAnsi="宋体" w:eastAsia="宋体" w:cs="宋体"/>
          <w:kern w:val="0"/>
          <w:szCs w:val="21"/>
        </w:rPr>
        <w:t>而不考虑在资源和生态环境约束下，其子女未来的衣食住行和教育福祉的提高</w:t>
      </w:r>
      <w:r>
        <w:rPr>
          <w:rFonts w:ascii="宋体" w:hAnsi="宋体" w:eastAsia="宋体" w:cs="TimesNewRoman"/>
          <w:kern w:val="0"/>
          <w:szCs w:val="21"/>
        </w:rPr>
        <w:t>，这样</w:t>
      </w:r>
      <w:r>
        <w:rPr>
          <w:rFonts w:ascii="宋体" w:hAnsi="宋体" w:eastAsia="宋体" w:cs="宋体"/>
          <w:kern w:val="0"/>
          <w:szCs w:val="21"/>
        </w:rPr>
        <w:t>必将影响到后代们又好又快的发展权和教育权</w:t>
      </w:r>
      <w:r>
        <w:rPr>
          <w:rFonts w:ascii="宋体" w:hAnsi="宋体" w:eastAsia="宋体" w:cs="TimesNewRoman"/>
          <w:kern w:val="0"/>
          <w:szCs w:val="21"/>
        </w:rPr>
        <w:t>。</w:t>
      </w:r>
      <w:r>
        <w:rPr>
          <w:rFonts w:ascii="宋体" w:hAnsi="宋体" w:eastAsia="宋体" w:cs="宋体"/>
          <w:kern w:val="0"/>
          <w:szCs w:val="21"/>
        </w:rPr>
        <w:t>于是，“私权”只是浅层次地得到满足，实际上“私权”和“公权”均未圆满实现。</w:t>
      </w:r>
    </w:p>
    <w:p w14:paraId="76461637">
      <w:pPr>
        <w:autoSpaceDE w:val="0"/>
        <w:autoSpaceDN w:val="0"/>
        <w:spacing w:line="400" w:lineRule="exact"/>
        <w:ind w:firstLine="420" w:firstLineChars="200"/>
        <w:rPr>
          <w:rFonts w:ascii="宋体" w:hAnsi="宋体" w:eastAsia="宋体" w:cs="宋体"/>
          <w:kern w:val="0"/>
          <w:szCs w:val="21"/>
        </w:rPr>
      </w:pPr>
      <w:r>
        <w:rPr>
          <w:rFonts w:ascii="宋体" w:hAnsi="宋体" w:eastAsia="宋体" w:cs="TimesNewRoman"/>
          <w:kern w:val="0"/>
          <w:szCs w:val="21"/>
        </w:rPr>
        <w:t>再之，</w:t>
      </w:r>
      <w:r>
        <w:rPr>
          <w:rFonts w:ascii="宋体" w:hAnsi="宋体" w:eastAsia="宋体" w:cs="Times New Roman"/>
          <w:szCs w:val="21"/>
        </w:rPr>
        <w:t>生育权利说割裂了</w:t>
      </w:r>
      <w:r>
        <w:rPr>
          <w:rFonts w:ascii="宋体" w:hAnsi="宋体" w:eastAsia="宋体" w:cs="宋体"/>
          <w:kern w:val="0"/>
          <w:szCs w:val="21"/>
        </w:rPr>
        <w:t>个人利益同社会利益和全球利益的关系。国际上最早对生育权进行系统研究的瑞典隆德大学丹麦籍著名人权专家卡塔琳娜</w:t>
      </w:r>
      <w:r>
        <w:rPr>
          <w:rFonts w:hint="eastAsia" w:ascii="宋体" w:hAnsi="宋体" w:eastAsia="宋体" w:cs="Courier"/>
          <w:kern w:val="0"/>
          <w:szCs w:val="21"/>
        </w:rPr>
        <w:t>·</w:t>
      </w:r>
      <w:r>
        <w:rPr>
          <w:rFonts w:ascii="宋体" w:hAnsi="宋体" w:eastAsia="宋体" w:cs="宋体"/>
          <w:kern w:val="0"/>
          <w:szCs w:val="21"/>
        </w:rPr>
        <w:t>托马瑟夫斯基撰写的《人口政策中的人权问题》一书</w:t>
      </w:r>
      <w:r>
        <w:rPr>
          <w:rFonts w:ascii="宋体" w:hAnsi="宋体" w:eastAsia="宋体" w:cs="TimesNewRoman"/>
          <w:kern w:val="0"/>
          <w:szCs w:val="21"/>
        </w:rPr>
        <w:t>，</w:t>
      </w:r>
      <w:r>
        <w:rPr>
          <w:rFonts w:ascii="宋体" w:hAnsi="宋体" w:eastAsia="宋体" w:cs="宋体"/>
          <w:kern w:val="0"/>
          <w:szCs w:val="21"/>
        </w:rPr>
        <w:t>从人权角度分析了各种人口政策以确定与人口政策有关的人权标准的实际意义</w:t>
      </w:r>
      <w:r>
        <w:rPr>
          <w:rFonts w:ascii="宋体" w:hAnsi="宋体" w:eastAsia="宋体" w:cs="TimesNewRoman"/>
          <w:kern w:val="0"/>
          <w:szCs w:val="21"/>
        </w:rPr>
        <w:t>，</w:t>
      </w:r>
      <w:r>
        <w:rPr>
          <w:rFonts w:ascii="宋体" w:hAnsi="宋体" w:eastAsia="宋体" w:cs="宋体"/>
          <w:kern w:val="0"/>
          <w:szCs w:val="21"/>
        </w:rPr>
        <w:t>并根据这些标准规定了政府在人口政策领域所应承担的义务。该书认为</w:t>
      </w:r>
      <w:r>
        <w:rPr>
          <w:rFonts w:ascii="宋体" w:hAnsi="宋体" w:eastAsia="宋体" w:cs="TimesNewRoman"/>
          <w:kern w:val="0"/>
          <w:szCs w:val="21"/>
        </w:rPr>
        <w:t>，</w:t>
      </w:r>
      <w:r>
        <w:rPr>
          <w:rFonts w:ascii="宋体" w:hAnsi="宋体" w:eastAsia="宋体" w:cs="宋体"/>
          <w:kern w:val="0"/>
          <w:szCs w:val="21"/>
        </w:rPr>
        <w:t>政府为影响人们的生育行为而进行的干预并不一定都是与人权标准相违背的。人权标准要求将个人权利与整个国家的福利相平衡。如果高生育率会对整个社会产生有害作用</w:t>
      </w:r>
      <w:r>
        <w:rPr>
          <w:rFonts w:ascii="宋体" w:hAnsi="宋体" w:eastAsia="宋体" w:cs="TimesNewRoman"/>
          <w:kern w:val="0"/>
          <w:szCs w:val="21"/>
        </w:rPr>
        <w:t>，</w:t>
      </w:r>
      <w:r>
        <w:rPr>
          <w:rFonts w:ascii="宋体" w:hAnsi="宋体" w:eastAsia="宋体" w:cs="宋体"/>
          <w:kern w:val="0"/>
          <w:szCs w:val="21"/>
        </w:rPr>
        <w:t>或者父母的生育行为会对其子女产生不良影响</w:t>
      </w:r>
      <w:r>
        <w:rPr>
          <w:rFonts w:ascii="宋体" w:hAnsi="宋体" w:eastAsia="宋体" w:cs="TimesNewRoman"/>
          <w:kern w:val="0"/>
          <w:szCs w:val="21"/>
        </w:rPr>
        <w:t>，</w:t>
      </w:r>
      <w:r>
        <w:rPr>
          <w:rFonts w:ascii="宋体" w:hAnsi="宋体" w:eastAsia="宋体" w:cs="宋体"/>
          <w:kern w:val="0"/>
          <w:szCs w:val="21"/>
        </w:rPr>
        <w:t>那么政府就有权干涉。</w:t>
      </w:r>
      <w:r>
        <w:rPr>
          <w:rFonts w:ascii="宋体" w:hAnsi="宋体" w:eastAsia="宋体" w:cs="宋体"/>
          <w:kern w:val="0"/>
          <w:szCs w:val="21"/>
          <w:vertAlign w:val="superscript"/>
        </w:rPr>
        <w:footnoteReference w:id="595"/>
      </w:r>
      <w:r>
        <w:rPr>
          <w:rFonts w:ascii="宋体" w:hAnsi="宋体" w:eastAsia="宋体" w:cs="宋体"/>
          <w:kern w:val="0"/>
          <w:szCs w:val="21"/>
        </w:rPr>
        <w:t>美国东西方中心人口研究所研究员凯伦</w:t>
      </w:r>
      <w:r>
        <w:rPr>
          <w:rFonts w:ascii="宋体" w:hAnsi="宋体" w:eastAsia="宋体" w:cs="Courier"/>
          <w:kern w:val="0"/>
          <w:szCs w:val="21"/>
        </w:rPr>
        <w:t>·</w:t>
      </w:r>
      <w:r>
        <w:rPr>
          <w:rFonts w:ascii="宋体" w:hAnsi="宋体" w:eastAsia="宋体" w:cs="宋体"/>
          <w:kern w:val="0"/>
          <w:szCs w:val="21"/>
        </w:rPr>
        <w:t>梅森的《人口方案侵犯妇女人权吗》指出</w:t>
      </w:r>
      <w:r>
        <w:rPr>
          <w:rFonts w:ascii="宋体" w:hAnsi="宋体" w:eastAsia="宋体" w:cs="TimesNewRoman"/>
          <w:kern w:val="0"/>
          <w:szCs w:val="21"/>
        </w:rPr>
        <w:t>：</w:t>
      </w:r>
      <w:r>
        <w:rPr>
          <w:rFonts w:ascii="宋体" w:hAnsi="宋体" w:eastAsia="宋体" w:cs="宋体"/>
          <w:kern w:val="0"/>
          <w:szCs w:val="21"/>
        </w:rPr>
        <w:t>一些国家人口迅速增长</w:t>
      </w:r>
      <w:r>
        <w:rPr>
          <w:rFonts w:ascii="宋体" w:hAnsi="宋体" w:eastAsia="宋体" w:cs="TimesNewRoman"/>
          <w:kern w:val="0"/>
          <w:szCs w:val="21"/>
        </w:rPr>
        <w:t>，</w:t>
      </w:r>
      <w:r>
        <w:rPr>
          <w:rFonts w:ascii="宋体" w:hAnsi="宋体" w:eastAsia="宋体" w:cs="宋体"/>
          <w:kern w:val="0"/>
          <w:szCs w:val="21"/>
        </w:rPr>
        <w:t>而资源十分短缺</w:t>
      </w:r>
      <w:r>
        <w:rPr>
          <w:rFonts w:ascii="宋体" w:hAnsi="宋体" w:eastAsia="宋体" w:cs="TimesNewRoman"/>
          <w:kern w:val="0"/>
          <w:szCs w:val="21"/>
        </w:rPr>
        <w:t>，</w:t>
      </w:r>
      <w:r>
        <w:rPr>
          <w:rFonts w:ascii="宋体" w:hAnsi="宋体" w:eastAsia="宋体" w:cs="宋体"/>
          <w:kern w:val="0"/>
          <w:szCs w:val="21"/>
        </w:rPr>
        <w:t>孩子生多了就会影响到社会目前和未来的发展。在这种情况下</w:t>
      </w:r>
      <w:r>
        <w:rPr>
          <w:rFonts w:ascii="宋体" w:hAnsi="宋体" w:eastAsia="宋体" w:cs="TimesNewRoman"/>
          <w:kern w:val="0"/>
          <w:szCs w:val="21"/>
        </w:rPr>
        <w:t>，</w:t>
      </w:r>
      <w:r>
        <w:rPr>
          <w:rFonts w:ascii="宋体" w:hAnsi="宋体" w:eastAsia="宋体" w:cs="宋体"/>
          <w:kern w:val="0"/>
          <w:szCs w:val="21"/>
        </w:rPr>
        <w:t>为了防止生育失控而影响整体利益</w:t>
      </w:r>
      <w:r>
        <w:rPr>
          <w:rFonts w:ascii="宋体" w:hAnsi="宋体" w:eastAsia="宋体" w:cs="TimesNewRoman"/>
          <w:kern w:val="0"/>
          <w:szCs w:val="21"/>
        </w:rPr>
        <w:t>，</w:t>
      </w:r>
      <w:r>
        <w:rPr>
          <w:rFonts w:ascii="宋体" w:hAnsi="宋体" w:eastAsia="宋体" w:cs="宋体"/>
          <w:kern w:val="0"/>
          <w:szCs w:val="21"/>
        </w:rPr>
        <w:t>政府限制个人的生育自由是完全正当的。</w:t>
      </w:r>
      <w:r>
        <w:rPr>
          <w:rFonts w:ascii="宋体" w:hAnsi="宋体" w:eastAsia="宋体" w:cs="宋体"/>
          <w:kern w:val="0"/>
          <w:szCs w:val="21"/>
          <w:vertAlign w:val="superscript"/>
        </w:rPr>
        <w:footnoteReference w:id="596"/>
      </w:r>
      <w:r>
        <w:rPr>
          <w:rFonts w:ascii="宋体" w:hAnsi="宋体" w:eastAsia="宋体" w:cs="宋体"/>
          <w:kern w:val="0"/>
          <w:szCs w:val="21"/>
        </w:rPr>
        <w:t>加拿大生殖健康权利研究专家吕贝卡</w:t>
      </w:r>
      <w:r>
        <w:rPr>
          <w:rFonts w:hint="eastAsia" w:ascii="宋体" w:hAnsi="宋体" w:eastAsia="宋体" w:cs="Courier"/>
          <w:kern w:val="0"/>
          <w:szCs w:val="21"/>
        </w:rPr>
        <w:t>·</w:t>
      </w:r>
      <w:r>
        <w:rPr>
          <w:rFonts w:ascii="宋体" w:hAnsi="宋体" w:eastAsia="宋体" w:cs="宋体"/>
          <w:kern w:val="0"/>
          <w:szCs w:val="21"/>
        </w:rPr>
        <w:t>库克在《生殖健康与人权》一书中指出</w:t>
      </w:r>
      <w:r>
        <w:rPr>
          <w:rFonts w:hint="eastAsia" w:ascii="宋体" w:hAnsi="宋体" w:eastAsia="宋体" w:cs="宋体"/>
          <w:kern w:val="0"/>
          <w:szCs w:val="21"/>
        </w:rPr>
        <w:t>，</w:t>
      </w:r>
      <w:r>
        <w:rPr>
          <w:rFonts w:ascii="宋体" w:hAnsi="宋体" w:eastAsia="宋体" w:cs="宋体"/>
          <w:kern w:val="0"/>
          <w:szCs w:val="21"/>
        </w:rPr>
        <w:t>发展中国家的人们特别是妇女缺乏调节和控制生育能力</w:t>
      </w:r>
      <w:r>
        <w:rPr>
          <w:rFonts w:ascii="宋体" w:hAnsi="宋体" w:eastAsia="宋体" w:cs="TimesNewRoman"/>
          <w:kern w:val="0"/>
          <w:szCs w:val="21"/>
        </w:rPr>
        <w:t>，</w:t>
      </w:r>
      <w:r>
        <w:rPr>
          <w:rFonts w:ascii="宋体" w:hAnsi="宋体" w:eastAsia="宋体" w:cs="宋体"/>
          <w:kern w:val="0"/>
          <w:szCs w:val="21"/>
        </w:rPr>
        <w:t>不仅会影响到他们家人的健康</w:t>
      </w:r>
      <w:r>
        <w:rPr>
          <w:rFonts w:ascii="宋体" w:hAnsi="宋体" w:eastAsia="宋体" w:cs="TimesNewRoman"/>
          <w:kern w:val="0"/>
          <w:szCs w:val="21"/>
        </w:rPr>
        <w:t>，</w:t>
      </w:r>
      <w:r>
        <w:rPr>
          <w:rFonts w:ascii="宋体" w:hAnsi="宋体" w:eastAsia="宋体" w:cs="宋体"/>
          <w:kern w:val="0"/>
          <w:szCs w:val="21"/>
        </w:rPr>
        <w:t>还会影响到全球的稳定</w:t>
      </w:r>
      <w:r>
        <w:rPr>
          <w:rFonts w:ascii="宋体" w:hAnsi="宋体" w:eastAsia="宋体" w:cs="TimesNewRoman"/>
          <w:kern w:val="0"/>
          <w:szCs w:val="21"/>
        </w:rPr>
        <w:t>，</w:t>
      </w:r>
      <w:r>
        <w:rPr>
          <w:rFonts w:ascii="宋体" w:hAnsi="宋体" w:eastAsia="宋体" w:cs="宋体"/>
          <w:kern w:val="0"/>
          <w:szCs w:val="21"/>
        </w:rPr>
        <w:t>影响人口与自然资源、人与环境之间的平衡</w:t>
      </w:r>
      <w:r>
        <w:rPr>
          <w:rFonts w:ascii="宋体" w:hAnsi="宋体" w:eastAsia="宋体" w:cs="TimesNewRoman"/>
          <w:kern w:val="0"/>
          <w:szCs w:val="21"/>
        </w:rPr>
        <w:t>，</w:t>
      </w:r>
      <w:r>
        <w:rPr>
          <w:rFonts w:ascii="宋体" w:hAnsi="宋体" w:eastAsia="宋体" w:cs="宋体"/>
          <w:kern w:val="0"/>
          <w:szCs w:val="21"/>
        </w:rPr>
        <w:t>成为对妇女人权的侵犯。</w:t>
      </w:r>
      <w:r>
        <w:rPr>
          <w:rFonts w:ascii="宋体" w:hAnsi="宋体" w:eastAsia="宋体" w:cs="宋体"/>
          <w:kern w:val="0"/>
          <w:szCs w:val="21"/>
          <w:vertAlign w:val="superscript"/>
        </w:rPr>
        <w:footnoteReference w:id="597"/>
      </w:r>
      <w:r>
        <w:rPr>
          <w:rFonts w:ascii="宋体" w:hAnsi="宋体" w:eastAsia="宋体" w:cs="宋体"/>
          <w:kern w:val="0"/>
          <w:szCs w:val="21"/>
        </w:rPr>
        <w:t>联合国《公民权利和政治权利国际公约》第一条还明确规定：所有民族均享有自决权和自由处置其天然财富和资源的权利</w:t>
      </w:r>
      <w:r>
        <w:rPr>
          <w:rFonts w:ascii="宋体" w:hAnsi="宋体" w:eastAsia="宋体" w:cs="TimesNewRoman"/>
          <w:kern w:val="0"/>
          <w:szCs w:val="21"/>
        </w:rPr>
        <w:t>，</w:t>
      </w:r>
      <w:r>
        <w:rPr>
          <w:rFonts w:ascii="宋体" w:hAnsi="宋体" w:eastAsia="宋体" w:cs="宋体"/>
          <w:kern w:val="0"/>
          <w:szCs w:val="21"/>
        </w:rPr>
        <w:t>这是民族之生计</w:t>
      </w:r>
      <w:r>
        <w:rPr>
          <w:rFonts w:ascii="宋体" w:hAnsi="宋体" w:eastAsia="宋体" w:cs="TimesNewRoman"/>
          <w:kern w:val="0"/>
          <w:szCs w:val="21"/>
        </w:rPr>
        <w:t>，</w:t>
      </w:r>
      <w:r>
        <w:rPr>
          <w:rFonts w:ascii="宋体" w:hAnsi="宋体" w:eastAsia="宋体" w:cs="宋体"/>
          <w:kern w:val="0"/>
          <w:szCs w:val="21"/>
        </w:rPr>
        <w:t>不容剥夺。这就突破了西方仅将人权理解为个人权利的片面观点</w:t>
      </w:r>
      <w:r>
        <w:rPr>
          <w:rFonts w:ascii="宋体" w:hAnsi="宋体" w:eastAsia="宋体" w:cs="TimesNewRoman"/>
          <w:kern w:val="0"/>
          <w:szCs w:val="21"/>
        </w:rPr>
        <w:t>，</w:t>
      </w:r>
      <w:r>
        <w:rPr>
          <w:rFonts w:ascii="宋体" w:hAnsi="宋体" w:eastAsia="宋体" w:cs="宋体"/>
          <w:kern w:val="0"/>
          <w:szCs w:val="21"/>
        </w:rPr>
        <w:t>第一次在国际人权中确认了国家（集体或民族）人权</w:t>
      </w:r>
      <w:r>
        <w:rPr>
          <w:rFonts w:ascii="宋体" w:hAnsi="宋体" w:eastAsia="宋体" w:cs="TimesNewRoman"/>
          <w:kern w:val="0"/>
          <w:szCs w:val="21"/>
        </w:rPr>
        <w:t>，</w:t>
      </w:r>
      <w:r>
        <w:rPr>
          <w:rFonts w:ascii="宋体" w:hAnsi="宋体" w:eastAsia="宋体" w:cs="宋体"/>
          <w:kern w:val="0"/>
          <w:szCs w:val="21"/>
        </w:rPr>
        <w:t>并使之成为基本人权的重要组成部分。国际社会对生育权利的研究表明，尽管“家庭和夫妇在生育问题上应该有自主自决的权利”</w:t>
      </w:r>
      <w:r>
        <w:rPr>
          <w:rFonts w:ascii="宋体" w:hAnsi="宋体" w:eastAsia="宋体" w:cs="宋体"/>
          <w:kern w:val="0"/>
          <w:szCs w:val="21"/>
          <w:vertAlign w:val="superscript"/>
        </w:rPr>
        <w:footnoteReference w:id="598"/>
      </w:r>
      <w:r>
        <w:rPr>
          <w:rFonts w:ascii="宋体" w:hAnsi="宋体" w:eastAsia="宋体" w:cs="宋体"/>
          <w:kern w:val="0"/>
          <w:szCs w:val="21"/>
        </w:rPr>
        <w:t>，尽管生育是一种现实的具体的个人可行使的权利</w:t>
      </w:r>
      <w:r>
        <w:rPr>
          <w:rFonts w:ascii="宋体" w:hAnsi="宋体" w:eastAsia="宋体" w:cs="TimesNewRoman"/>
          <w:kern w:val="0"/>
          <w:szCs w:val="21"/>
        </w:rPr>
        <w:t>，</w:t>
      </w:r>
      <w:r>
        <w:rPr>
          <w:rFonts w:ascii="宋体" w:hAnsi="宋体" w:eastAsia="宋体" w:cs="宋体"/>
          <w:kern w:val="0"/>
          <w:szCs w:val="21"/>
        </w:rPr>
        <w:t>但对于人口快速增长的发展中国家来说</w:t>
      </w:r>
      <w:r>
        <w:rPr>
          <w:rFonts w:ascii="宋体" w:hAnsi="宋体" w:eastAsia="宋体" w:cs="TimesNewRoman"/>
          <w:kern w:val="0"/>
          <w:szCs w:val="21"/>
        </w:rPr>
        <w:t>，</w:t>
      </w:r>
      <w:r>
        <w:rPr>
          <w:rFonts w:ascii="宋体" w:hAnsi="宋体" w:eastAsia="宋体" w:cs="宋体"/>
          <w:kern w:val="0"/>
          <w:szCs w:val="21"/>
        </w:rPr>
        <w:t>通过制定人口政策限制个体自由生育权，是完全必要的和科学的。个体生育权的无节制自由行使</w:t>
      </w:r>
      <w:r>
        <w:rPr>
          <w:rFonts w:ascii="宋体" w:hAnsi="宋体" w:eastAsia="宋体" w:cs="TimesNewRoman"/>
          <w:kern w:val="0"/>
          <w:szCs w:val="21"/>
        </w:rPr>
        <w:t>，</w:t>
      </w:r>
      <w:r>
        <w:rPr>
          <w:rFonts w:ascii="宋体" w:hAnsi="宋体" w:eastAsia="宋体" w:cs="宋体"/>
          <w:kern w:val="0"/>
          <w:szCs w:val="21"/>
        </w:rPr>
        <w:t>必然危害国家整体的生存权和发展权</w:t>
      </w:r>
      <w:r>
        <w:rPr>
          <w:rFonts w:ascii="宋体" w:hAnsi="宋体" w:eastAsia="宋体" w:cs="TimesNewRoman"/>
          <w:kern w:val="0"/>
          <w:szCs w:val="21"/>
        </w:rPr>
        <w:t>。</w:t>
      </w:r>
      <w:r>
        <w:rPr>
          <w:rFonts w:ascii="宋体" w:hAnsi="宋体" w:eastAsia="宋体" w:cs="宋体"/>
          <w:kern w:val="0"/>
          <w:szCs w:val="21"/>
        </w:rPr>
        <w:t>而国家和民族的生存权、发展权的进步</w:t>
      </w:r>
      <w:r>
        <w:rPr>
          <w:rFonts w:ascii="宋体" w:hAnsi="宋体" w:eastAsia="宋体" w:cs="TimesNewRoman"/>
          <w:kern w:val="0"/>
          <w:szCs w:val="21"/>
        </w:rPr>
        <w:t>，</w:t>
      </w:r>
      <w:r>
        <w:rPr>
          <w:rFonts w:ascii="宋体" w:hAnsi="宋体" w:eastAsia="宋体" w:cs="宋体"/>
          <w:kern w:val="0"/>
          <w:szCs w:val="21"/>
        </w:rPr>
        <w:t>也将为个体生育权和发展权提供更为和谐有利的环境和条件。</w:t>
      </w:r>
      <w:r>
        <w:rPr>
          <w:rFonts w:ascii="宋体" w:hAnsi="宋体" w:eastAsia="宋体" w:cs="TimesNewRoman"/>
          <w:kern w:val="0"/>
          <w:szCs w:val="21"/>
        </w:rPr>
        <w:t>私权和公权，两者应该</w:t>
      </w:r>
      <w:r>
        <w:rPr>
          <w:rFonts w:hint="eastAsia" w:ascii="宋体" w:hAnsi="宋体" w:eastAsia="宋体" w:cs="TimesNewRoman"/>
          <w:kern w:val="0"/>
          <w:szCs w:val="21"/>
        </w:rPr>
        <w:t>合乎国情和世情地</w:t>
      </w:r>
      <w:r>
        <w:rPr>
          <w:rFonts w:ascii="宋体" w:hAnsi="宋体" w:eastAsia="宋体" w:cs="TimesNewRoman"/>
          <w:kern w:val="0"/>
          <w:szCs w:val="21"/>
        </w:rPr>
        <w:t>有机统一起来。</w:t>
      </w:r>
    </w:p>
    <w:p w14:paraId="3F7B7E48">
      <w:pPr>
        <w:autoSpaceDE w:val="0"/>
        <w:autoSpaceDN w:val="0"/>
        <w:spacing w:line="400" w:lineRule="exact"/>
        <w:ind w:firstLine="420" w:firstLineChars="200"/>
        <w:rPr>
          <w:rFonts w:ascii="宋体" w:hAnsi="宋体" w:eastAsia="宋体" w:cs="宋体"/>
          <w:kern w:val="0"/>
          <w:szCs w:val="21"/>
        </w:rPr>
      </w:pPr>
      <w:r>
        <w:rPr>
          <w:rFonts w:ascii="宋体" w:hAnsi="宋体" w:eastAsia="宋体" w:cs="宋体"/>
          <w:kern w:val="0"/>
          <w:szCs w:val="21"/>
        </w:rPr>
        <w:t>近代西方思想家卢梭指出，个人利益服从公共利益</w:t>
      </w:r>
      <w:r>
        <w:rPr>
          <w:rFonts w:ascii="宋体" w:hAnsi="宋体" w:eastAsia="宋体" w:cs="TimesNewRoman"/>
          <w:kern w:val="0"/>
          <w:szCs w:val="21"/>
        </w:rPr>
        <w:t>，</w:t>
      </w:r>
      <w:r>
        <w:rPr>
          <w:rFonts w:ascii="宋体" w:hAnsi="宋体" w:eastAsia="宋体" w:cs="宋体"/>
          <w:kern w:val="0"/>
          <w:szCs w:val="21"/>
        </w:rPr>
        <w:t>只不过是社会成员服从自己的理由而已</w:t>
      </w:r>
      <w:r>
        <w:rPr>
          <w:rFonts w:ascii="宋体" w:hAnsi="宋体" w:eastAsia="宋体" w:cs="TimesNewRoman"/>
          <w:kern w:val="0"/>
          <w:szCs w:val="21"/>
        </w:rPr>
        <w:t>；</w:t>
      </w:r>
      <w:r>
        <w:rPr>
          <w:rFonts w:ascii="宋体" w:hAnsi="宋体" w:eastAsia="宋体" w:cs="宋体"/>
          <w:kern w:val="0"/>
          <w:szCs w:val="21"/>
        </w:rPr>
        <w:t>国家和全体社会成员强迫个别社会成员服从公共利益</w:t>
      </w:r>
      <w:r>
        <w:rPr>
          <w:rFonts w:ascii="宋体" w:hAnsi="宋体" w:eastAsia="宋体" w:cs="TimesNewRoman"/>
          <w:kern w:val="0"/>
          <w:szCs w:val="21"/>
        </w:rPr>
        <w:t>，</w:t>
      </w:r>
      <w:r>
        <w:rPr>
          <w:rFonts w:ascii="宋体" w:hAnsi="宋体" w:eastAsia="宋体" w:cs="宋体"/>
          <w:kern w:val="0"/>
          <w:szCs w:val="21"/>
        </w:rPr>
        <w:t>只是强迫他服从自己的利益</w:t>
      </w:r>
      <w:r>
        <w:rPr>
          <w:rFonts w:ascii="宋体" w:hAnsi="宋体" w:eastAsia="宋体" w:cs="TimesNewRoman"/>
          <w:kern w:val="0"/>
          <w:szCs w:val="21"/>
        </w:rPr>
        <w:t>，</w:t>
      </w:r>
      <w:r>
        <w:rPr>
          <w:rFonts w:ascii="宋体" w:hAnsi="宋体" w:eastAsia="宋体" w:cs="宋体"/>
          <w:kern w:val="0"/>
          <w:szCs w:val="21"/>
        </w:rPr>
        <w:t>因为社会成员并不总是能看清自己的理由。这种统一性</w:t>
      </w:r>
      <w:r>
        <w:rPr>
          <w:rFonts w:ascii="宋体" w:hAnsi="宋体" w:eastAsia="宋体" w:cs="TimesNewRoman"/>
          <w:kern w:val="0"/>
          <w:szCs w:val="21"/>
        </w:rPr>
        <w:t>，</w:t>
      </w:r>
      <w:r>
        <w:rPr>
          <w:rFonts w:ascii="宋体" w:hAnsi="宋体" w:eastAsia="宋体" w:cs="宋体"/>
          <w:kern w:val="0"/>
          <w:szCs w:val="21"/>
        </w:rPr>
        <w:t>是公共利益与个人利益矛盾得以存在的基础之一</w:t>
      </w:r>
      <w:r>
        <w:rPr>
          <w:rFonts w:ascii="宋体" w:hAnsi="宋体" w:eastAsia="宋体" w:cs="TimesNewRoman"/>
          <w:kern w:val="0"/>
          <w:szCs w:val="21"/>
        </w:rPr>
        <w:t>，</w:t>
      </w:r>
      <w:r>
        <w:rPr>
          <w:rFonts w:ascii="宋体" w:hAnsi="宋体" w:eastAsia="宋体" w:cs="宋体"/>
          <w:kern w:val="0"/>
          <w:szCs w:val="21"/>
        </w:rPr>
        <w:t>也是人类社会、国家和法得以存在的基础之一。</w:t>
      </w:r>
      <w:r>
        <w:rPr>
          <w:rFonts w:ascii="宋体" w:hAnsi="宋体" w:eastAsia="宋体" w:cs="宋体"/>
          <w:kern w:val="0"/>
          <w:szCs w:val="21"/>
          <w:vertAlign w:val="superscript"/>
        </w:rPr>
        <w:footnoteReference w:id="599"/>
      </w:r>
      <w:r>
        <w:rPr>
          <w:rFonts w:ascii="宋体" w:hAnsi="宋体" w:eastAsia="宋体" w:cs="宋体"/>
          <w:kern w:val="0"/>
          <w:szCs w:val="21"/>
        </w:rPr>
        <w:t>这说明，在国家、民族整体利益受到严峻挑战时，牺牲部分个人与部分家庭的一些利益和愿望，也是应该的、必须的和不得已的。</w:t>
      </w:r>
    </w:p>
    <w:p w14:paraId="5823CC37">
      <w:pPr>
        <w:autoSpaceDE w:val="0"/>
        <w:autoSpaceDN w:val="0"/>
        <w:spacing w:line="400" w:lineRule="exact"/>
        <w:ind w:firstLine="420" w:firstLineChars="200"/>
        <w:rPr>
          <w:rFonts w:ascii="宋体" w:hAnsi="宋体" w:eastAsia="宋体" w:cs="宋体"/>
          <w:kern w:val="0"/>
          <w:szCs w:val="21"/>
        </w:rPr>
      </w:pPr>
      <w:r>
        <w:rPr>
          <w:rFonts w:ascii="宋体" w:hAnsi="宋体" w:eastAsia="宋体" w:cs="宋体"/>
          <w:kern w:val="0"/>
          <w:szCs w:val="21"/>
        </w:rPr>
        <w:t>最后应该指出，主张自由生育权利</w:t>
      </w:r>
      <w:r>
        <w:rPr>
          <w:rFonts w:hint="eastAsia" w:ascii="宋体" w:hAnsi="宋体" w:eastAsia="宋体" w:cs="宋体"/>
          <w:kern w:val="0"/>
          <w:szCs w:val="21"/>
        </w:rPr>
        <w:t>的论著</w:t>
      </w:r>
      <w:r>
        <w:rPr>
          <w:rFonts w:ascii="宋体" w:hAnsi="宋体" w:eastAsia="宋体" w:cs="宋体"/>
          <w:kern w:val="0"/>
          <w:szCs w:val="21"/>
        </w:rPr>
        <w:t>，大多是出于对公民个人私权的偏爱或“体恤”。然而不可否认的是，其中反映了某种秘而不宣的心态：对于人类生态环境和资源问题，提高整个民族的现代化水平和人均生活水平，那是大家的事，将来的事，可望而暂时不可及的事；而对于放开二胎等计生限制来说，则是自己和自己家族的事，是眼前的事，是可望且即刻又可及的事。</w:t>
      </w:r>
    </w:p>
    <w:p w14:paraId="7B3B9991">
      <w:pPr>
        <w:autoSpaceDE w:val="0"/>
        <w:autoSpaceDN w:val="0"/>
        <w:spacing w:line="360" w:lineRule="auto"/>
        <w:ind w:firstLine="504"/>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三、回应人口密度说</w:t>
      </w:r>
    </w:p>
    <w:p w14:paraId="041B52D6">
      <w:pPr>
        <w:spacing w:line="400" w:lineRule="exact"/>
        <w:ind w:firstLine="452" w:firstLineChars="200"/>
        <w:rPr>
          <w:rFonts w:ascii="宋体" w:hAnsi="宋体" w:eastAsia="宋体" w:cs="Arial"/>
          <w:szCs w:val="21"/>
        </w:rPr>
      </w:pPr>
      <w:r>
        <w:rPr>
          <w:rFonts w:ascii="宋体" w:hAnsi="宋体" w:eastAsia="宋体" w:cs="Arial"/>
          <w:spacing w:val="8"/>
          <w:kern w:val="0"/>
          <w:szCs w:val="21"/>
        </w:rPr>
        <w:t>有论者认为，</w:t>
      </w:r>
      <w:r>
        <w:rPr>
          <w:rFonts w:ascii="宋体" w:hAnsi="宋体" w:eastAsia="宋体" w:cs="Arial"/>
          <w:szCs w:val="21"/>
        </w:rPr>
        <w:t>从人口密度来说，英国、意大利、德国、日本、韩国、菲律宾等国都比中国要高，但这些国家并没有控制人口规模和限制生育，因而中国限制生育自然是错误的；认为人口密度优势和规模优势是经济繁荣的必要条件。</w:t>
      </w:r>
    </w:p>
    <w:p w14:paraId="37583E58">
      <w:pPr>
        <w:spacing w:line="400" w:lineRule="exact"/>
        <w:ind w:firstLine="404" w:firstLineChars="200"/>
        <w:rPr>
          <w:rFonts w:ascii="宋体" w:hAnsi="宋体" w:eastAsia="宋体" w:cs="Arial"/>
          <w:szCs w:val="21"/>
        </w:rPr>
      </w:pPr>
      <w:r>
        <w:rPr>
          <w:rFonts w:ascii="宋体" w:hAnsi="宋体" w:eastAsia="宋体" w:cs="Times New Roman"/>
          <w:spacing w:val="-4"/>
          <w:szCs w:val="21"/>
        </w:rPr>
        <w:t>首先，不能单纯以人口密度概念来衡量人口规模的合理性问题。人口密度仅考虑到地理面积，未顾及这一空间的资源和生态环境以及是否利用其他空间的资源等状况。例如，我国江苏人口的平均密度约为600～700人/KM</w:t>
      </w:r>
      <w:r>
        <w:rPr>
          <w:rFonts w:ascii="宋体" w:hAnsi="宋体" w:eastAsia="宋体" w:cs="Arial"/>
          <w:spacing w:val="8"/>
          <w:kern w:val="0"/>
          <w:szCs w:val="21"/>
          <w:vertAlign w:val="superscript"/>
        </w:rPr>
        <w:t>2</w:t>
      </w:r>
      <w:r>
        <w:rPr>
          <w:rFonts w:ascii="宋体" w:hAnsi="宋体" w:eastAsia="宋体" w:cs="Arial"/>
          <w:spacing w:val="8"/>
          <w:kern w:val="0"/>
          <w:szCs w:val="21"/>
        </w:rPr>
        <w:t>，</w:t>
      </w:r>
      <w:r>
        <w:rPr>
          <w:rFonts w:ascii="宋体" w:hAnsi="宋体" w:eastAsia="宋体" w:cs="Arial"/>
          <w:szCs w:val="21"/>
        </w:rPr>
        <w:t>而西藏却不及2人。仅从数字上会看到西藏人口稀少而江苏人口过密，同时也觉得西藏土地在供养人口方面还有巨大潜力。其实并非如此。西藏地区是海拔平均4000米的高原山地，实际耕地面积只限于狭窄的南部河谷等地区，高原干寒草场的产草量也较低，单位面积的载畜量有限。而位于长江入海处的江苏，其长江三角洲平原上的水网农田生产力较高，有效耕地面积自然远超西藏。因此，要综合考量各国家、各地区人口密度同该国该地区的内外资源和生态环境的利用关系，才能衡量某种人口密度和人口规模是否具有合理性和高效性。</w:t>
      </w:r>
    </w:p>
    <w:p w14:paraId="07E05904">
      <w:pPr>
        <w:widowControl/>
        <w:spacing w:line="400" w:lineRule="exact"/>
        <w:ind w:firstLine="452" w:firstLineChars="200"/>
        <w:rPr>
          <w:rFonts w:ascii="宋体" w:hAnsi="宋体" w:eastAsia="宋体" w:cs="Times New Roman"/>
          <w:spacing w:val="-4"/>
          <w:szCs w:val="21"/>
        </w:rPr>
      </w:pPr>
      <w:r>
        <w:rPr>
          <w:rFonts w:ascii="宋体" w:hAnsi="宋体" w:eastAsia="宋体" w:cs="Arial"/>
          <w:spacing w:val="8"/>
          <w:kern w:val="0"/>
          <w:szCs w:val="21"/>
        </w:rPr>
        <w:t>其次</w:t>
      </w:r>
      <w:r>
        <w:rPr>
          <w:rFonts w:ascii="宋体" w:hAnsi="宋体" w:eastAsia="宋体" w:cs="Arial"/>
          <w:spacing w:val="-4"/>
          <w:kern w:val="0"/>
          <w:szCs w:val="21"/>
        </w:rPr>
        <w:t>，不能把</w:t>
      </w:r>
      <w:r>
        <w:rPr>
          <w:rFonts w:ascii="宋体" w:hAnsi="宋体" w:eastAsia="宋体" w:cs="Times New Roman"/>
          <w:spacing w:val="-4"/>
          <w:szCs w:val="21"/>
        </w:rPr>
        <w:t>人口密度与经济发展之间的关系简单化。人口密度的提高可能促进经济的发展，而并非任何条件下人口数量及其密度与经济发展都相互促进并成正比例或正向相关。在一定条件下，人口数量及其密度过大又会对经济发展产生阻碍作用。同样，当人口数量及其密度达到一定高度和经济水平提高到一定程度，经济发展对人口数量增长和人口密度提高的促进作用也会趋于缓和，而不再那么明显和突出。</w:t>
      </w:r>
    </w:p>
    <w:p w14:paraId="7B905C50">
      <w:pPr>
        <w:widowControl/>
        <w:spacing w:line="400" w:lineRule="exact"/>
        <w:ind w:firstLine="404" w:firstLineChars="200"/>
        <w:rPr>
          <w:rFonts w:ascii="宋体" w:hAnsi="宋体" w:eastAsia="宋体" w:cs="Times New Roman"/>
          <w:szCs w:val="21"/>
        </w:rPr>
      </w:pPr>
      <w:r>
        <w:rPr>
          <w:rFonts w:ascii="宋体" w:hAnsi="宋体" w:eastAsia="宋体" w:cs="Times New Roman"/>
          <w:spacing w:val="-4"/>
          <w:szCs w:val="21"/>
        </w:rPr>
        <w:t>在人口密度与经济增长之间的关系方面，有许多实证的研究。在世界范围内，简单观察人口密度与经济发展水平之间的关系，往往并不能看到明显的相关关系。对1999年世界上130多个国家的人均GDP与人口密度进行等级相关分析，得出的相关系数不够显著，仅为0.194。亦即在把许多自然资源条件等因素截然不同的国家放到一起时，我们很难得到一般性的判断，说GDP与人口密度之间存在或不存在某种相关关系。对中国的实证分析也表明，人口增长和人口密度对经济发展有复杂多变的关系。从一定的意义上看，过快的人口增长意味着新增人口急剧膨胀，经济发展的成果将有相当一部分为新增人口所消耗，不利于人们生活水平的提高；意味着消费需求逐渐扩大，相应人口投资将大量增加，因而总投资中的生产性投资份额相应减少；意味着为经济发展带来就业压力；意味着对教育投资造成影响，不利于人力资源的素质提高和经济的长期发展</w:t>
      </w:r>
      <w:r>
        <w:rPr>
          <w:rFonts w:ascii="宋体" w:hAnsi="宋体" w:eastAsia="宋体" w:cs="Times New Roman"/>
          <w:szCs w:val="21"/>
        </w:rPr>
        <w:t>。</w:t>
      </w:r>
      <w:r>
        <w:rPr>
          <w:rFonts w:ascii="宋体" w:hAnsi="宋体" w:eastAsia="宋体" w:cs="Times New Roman"/>
          <w:szCs w:val="21"/>
          <w:vertAlign w:val="superscript"/>
        </w:rPr>
        <w:footnoteReference w:id="600"/>
      </w:r>
    </w:p>
    <w:p w14:paraId="6DE04F95">
      <w:pPr>
        <w:widowControl/>
        <w:spacing w:line="400" w:lineRule="exact"/>
        <w:ind w:firstLine="404" w:firstLineChars="200"/>
        <w:rPr>
          <w:rFonts w:ascii="宋体" w:hAnsi="宋体" w:eastAsia="宋体" w:cs="Times New Roman"/>
          <w:spacing w:val="-4"/>
          <w:szCs w:val="21"/>
        </w:rPr>
      </w:pPr>
      <w:r>
        <w:rPr>
          <w:rFonts w:ascii="宋体" w:hAnsi="宋体" w:eastAsia="宋体" w:cs="Times New Roman"/>
          <w:spacing w:val="-4"/>
          <w:szCs w:val="21"/>
        </w:rPr>
        <w:t>再者，不能把“人多好办事”、“韩信点兵，多多益善”，看作人口促进经济发展的规律性表述。如有论者说，美国之所以成为超级大国正因为它是一个人口大国。那么请问，美国等发达国家哪一个是因为人口多才强盛的？印度比哪个发达国家人口都多得多，为何数十年都发达不起来？韩国等人口不多，为何能较快地强盛起来？</w:t>
      </w:r>
    </w:p>
    <w:p w14:paraId="07659987">
      <w:pPr>
        <w:spacing w:line="400" w:lineRule="exact"/>
        <w:ind w:firstLine="404" w:firstLineChars="200"/>
        <w:rPr>
          <w:rFonts w:ascii="宋体" w:hAnsi="宋体" w:eastAsia="宋体" w:cs="宋体"/>
          <w:kern w:val="0"/>
          <w:szCs w:val="21"/>
        </w:rPr>
      </w:pPr>
      <w:r>
        <w:rPr>
          <w:rFonts w:ascii="宋体" w:hAnsi="宋体" w:eastAsia="宋体" w:cs="Times New Roman"/>
          <w:spacing w:val="-4"/>
          <w:szCs w:val="21"/>
        </w:rPr>
        <w:t>从人口密度居世界前列的10个国家（摩纳哥、新加坡、梵蒂冈、马耳他、巴林、孟加拉国、马尔代夫、巴巴多斯、毛里求斯、瑙鲁）和上面所提及的一些人口密度较大的国度或地区来看，其较大的人口密度，但也不能成为中国人口密度相对较小而不应该控制人口规模的理由。它们的较大人口密度与其经济发展水平并不存在正相关关系。一是上述国度或地区的较大人口密度，大多因国土面积较小。如世界上10个面积较小的国家中，人口密度最大的国家占了一多半；二是从地理位置来看，它们大多数为岛国或群岛国，地理位置十分优越；三是从发展程度、发展手段、发展方向上看，这些人口密度最大的国家或地区之间的差异也很大。有的是依托独特的资源优势，如</w:t>
      </w:r>
      <w:r>
        <w:rPr>
          <w:rFonts w:ascii="宋体" w:hAnsi="宋体" w:eastAsia="宋体" w:cs="Times New Roman"/>
          <w:szCs w:val="21"/>
        </w:rPr>
        <w:t>瑙鲁的磷酸盐矿产资源，马尔代夫比较发达的渔业和航运业，巴林举世闻名的采珠业和国际金融中心；有的几近完全依赖别国资源，如新加坡利用转口贸易的优势，进而发展出口加工业、航运业、金融业，成为亚洲屈指可数的发达国家。日本更是依赖别国资源发展的国家。</w:t>
      </w:r>
    </w:p>
    <w:p w14:paraId="7DBE34A8">
      <w:pPr>
        <w:autoSpaceDE w:val="0"/>
        <w:autoSpaceDN w:val="0"/>
        <w:spacing w:line="360" w:lineRule="auto"/>
        <w:ind w:firstLine="504"/>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四、回应人口老化说</w:t>
      </w:r>
    </w:p>
    <w:p w14:paraId="538615A4">
      <w:pPr>
        <w:spacing w:line="400" w:lineRule="exact"/>
        <w:ind w:firstLine="404" w:firstLineChars="200"/>
        <w:rPr>
          <w:rFonts w:ascii="宋体" w:hAnsi="宋体" w:eastAsia="宋体" w:cs="Times New Roman"/>
          <w:spacing w:val="-4"/>
          <w:szCs w:val="21"/>
        </w:rPr>
      </w:pPr>
      <w:r>
        <w:rPr>
          <w:rFonts w:ascii="宋体" w:hAnsi="宋体" w:eastAsia="宋体" w:cs="Times New Roman"/>
          <w:spacing w:val="-4"/>
          <w:szCs w:val="21"/>
        </w:rPr>
        <w:t>近年来，中国的老龄人口问题和老龄化趋势，引起了公众的担忧，人口老化说也成为一些人质疑现行计生政策的主要说辞。然而，这一质疑是盲目的，中国人口的主要问题在于“太多”而非“太老”。</w:t>
      </w:r>
    </w:p>
    <w:p w14:paraId="4930CC38">
      <w:pPr>
        <w:spacing w:line="400" w:lineRule="exact"/>
        <w:ind w:firstLine="404" w:firstLineChars="200"/>
        <w:rPr>
          <w:rFonts w:ascii="宋体" w:hAnsi="宋体" w:eastAsia="宋体" w:cs="Times New Roman"/>
          <w:szCs w:val="21"/>
        </w:rPr>
      </w:pPr>
      <w:r>
        <w:rPr>
          <w:rFonts w:ascii="宋体" w:hAnsi="宋体" w:eastAsia="宋体" w:cs="Times New Roman"/>
          <w:spacing w:val="-4"/>
          <w:szCs w:val="21"/>
        </w:rPr>
        <w:t>（1）老龄人口问题并非等同于人口老龄化问题。老龄人口问题是指老龄人口这一特殊群体的养老保障问题，而人口老龄化问题指的是老龄人口在总人口中的比重不断升高，而其他年龄组人口的比重不断下降的动态过程，主要表现在这一过程给经济社会发展带来的负面影响。一个国家和地区的人口不论是老龄化还是年轻化，都会存在一般意义上的老龄人口问题，但却不一定存在人口老龄化问题，而老龄化问题则内在地包含着老龄人口问题。</w:t>
      </w:r>
      <w:r>
        <w:rPr>
          <w:rFonts w:ascii="宋体" w:hAnsi="宋体" w:eastAsia="宋体" w:cs="Times New Roman"/>
          <w:szCs w:val="21"/>
          <w:vertAlign w:val="superscript"/>
        </w:rPr>
        <w:footnoteReference w:id="601"/>
      </w:r>
    </w:p>
    <w:p w14:paraId="6907F04F">
      <w:pPr>
        <w:spacing w:line="400" w:lineRule="exact"/>
        <w:ind w:firstLine="404" w:firstLineChars="200"/>
        <w:rPr>
          <w:rFonts w:ascii="宋体" w:hAnsi="宋体" w:eastAsia="宋体" w:cs="Times New Roman"/>
          <w:spacing w:val="-4"/>
          <w:szCs w:val="21"/>
        </w:rPr>
      </w:pPr>
      <w:r>
        <w:rPr>
          <w:rFonts w:ascii="宋体" w:hAnsi="宋体" w:eastAsia="宋体" w:cs="Times New Roman"/>
          <w:spacing w:val="-4"/>
          <w:szCs w:val="21"/>
        </w:rPr>
        <w:t>中国老龄人口多，并非像人口老化说所主张的完全是由低生育率带来的，而首先是由中国“人口众多”这一突出国情所决定的。</w:t>
      </w:r>
      <w:r>
        <w:rPr>
          <w:rFonts w:hint="eastAsia" w:ascii="宋体" w:hAnsi="宋体" w:eastAsia="宋体" w:cs="Times New Roman"/>
          <w:spacing w:val="-4"/>
          <w:szCs w:val="21"/>
        </w:rPr>
        <w:t>与不少发达国家相比，</w:t>
      </w:r>
      <w:r>
        <w:rPr>
          <w:rFonts w:ascii="宋体" w:hAnsi="宋体" w:eastAsia="宋体" w:cs="Times New Roman"/>
          <w:spacing w:val="-4"/>
          <w:szCs w:val="21"/>
        </w:rPr>
        <w:t>中国老龄人口规模虽大，但</w:t>
      </w:r>
      <w:r>
        <w:rPr>
          <w:rFonts w:hint="eastAsia" w:ascii="宋体" w:hAnsi="宋体" w:eastAsia="宋体" w:cs="Times New Roman"/>
          <w:spacing w:val="-4"/>
          <w:szCs w:val="21"/>
        </w:rPr>
        <w:t>目前</w:t>
      </w:r>
      <w:r>
        <w:rPr>
          <w:rFonts w:ascii="宋体" w:hAnsi="宋体" w:eastAsia="宋体" w:cs="Times New Roman"/>
          <w:spacing w:val="-4"/>
          <w:szCs w:val="21"/>
        </w:rPr>
        <w:t>老龄人口比例却</w:t>
      </w:r>
      <w:r>
        <w:rPr>
          <w:rFonts w:hint="eastAsia" w:ascii="宋体" w:hAnsi="宋体" w:eastAsia="宋体" w:cs="Times New Roman"/>
          <w:spacing w:val="-4"/>
          <w:szCs w:val="21"/>
        </w:rPr>
        <w:t>较</w:t>
      </w:r>
      <w:r>
        <w:rPr>
          <w:rFonts w:ascii="宋体" w:hAnsi="宋体" w:eastAsia="宋体" w:cs="Times New Roman"/>
          <w:spacing w:val="-4"/>
          <w:szCs w:val="21"/>
        </w:rPr>
        <w:t>低。况且中国老龄人口规模大主要表现为低龄老人（60～65岁）比例大。</w:t>
      </w:r>
      <w:r>
        <w:rPr>
          <w:rFonts w:hint="eastAsia" w:ascii="宋体" w:hAnsi="宋体" w:eastAsia="宋体" w:cs="Times New Roman"/>
          <w:spacing w:val="-4"/>
          <w:szCs w:val="21"/>
        </w:rPr>
        <w:t>这一</w:t>
      </w:r>
      <w:r>
        <w:rPr>
          <w:rFonts w:ascii="宋体" w:hAnsi="宋体" w:eastAsia="宋体" w:cs="Times New Roman"/>
          <w:spacing w:val="-4"/>
          <w:szCs w:val="21"/>
        </w:rPr>
        <w:t>老龄人口的特点说明，中国现阶段主要存在的是一般意义上的老龄人口问题，而非给经济社会发展带来诸多负面影响的人口老龄化问题。既然如此，人口老化说拿人口老龄化趋势来诟病现行计划生育政策，便是片面的。</w:t>
      </w:r>
    </w:p>
    <w:p w14:paraId="6085879F">
      <w:pPr>
        <w:spacing w:line="400" w:lineRule="exact"/>
        <w:ind w:firstLine="404" w:firstLineChars="200"/>
        <w:rPr>
          <w:rFonts w:ascii="宋体" w:hAnsi="宋体" w:eastAsia="宋体" w:cs="Times New Roman"/>
          <w:szCs w:val="21"/>
        </w:rPr>
      </w:pPr>
      <w:r>
        <w:rPr>
          <w:rFonts w:ascii="宋体" w:hAnsi="宋体" w:eastAsia="宋体" w:cs="Times New Roman"/>
          <w:spacing w:val="-4"/>
          <w:szCs w:val="21"/>
        </w:rPr>
        <w:t>（2）人口老龄化</w:t>
      </w:r>
      <w:r>
        <w:rPr>
          <w:rFonts w:hint="eastAsia" w:ascii="宋体" w:hAnsi="宋体" w:eastAsia="宋体" w:cs="Times New Roman"/>
          <w:spacing w:val="-4"/>
          <w:szCs w:val="21"/>
        </w:rPr>
        <w:t>不</w:t>
      </w:r>
      <w:r>
        <w:rPr>
          <w:rFonts w:ascii="宋体" w:hAnsi="宋体" w:eastAsia="宋体" w:cs="Times New Roman"/>
          <w:spacing w:val="-4"/>
          <w:szCs w:val="21"/>
        </w:rPr>
        <w:t>等于人口老龄危机。人口老龄化是一个人口统计学概念，表示某个人口群体中老龄人口所占比重逐渐上升的一种趋势。其正面或负面影响有多大，需要客观分析。人口老龄危机则是一个人口经济学概念，反映的是由于人口老龄化而导致了劳动力的供给小于其真实需求，从而造成一种不利于经济发展，甚至使人均国民收入或人均国民财富难</w:t>
      </w:r>
      <w:r>
        <w:rPr>
          <w:rFonts w:ascii="宋体" w:hAnsi="宋体" w:eastAsia="宋体" w:cs="Times New Roman"/>
          <w:szCs w:val="21"/>
        </w:rPr>
        <w:t>以继续增长的结果。</w:t>
      </w:r>
      <w:r>
        <w:rPr>
          <w:rFonts w:ascii="宋体" w:hAnsi="宋体" w:eastAsia="宋体" w:cs="Times New Roman"/>
          <w:szCs w:val="21"/>
          <w:vertAlign w:val="superscript"/>
        </w:rPr>
        <w:footnoteReference w:id="602"/>
      </w:r>
      <w:r>
        <w:rPr>
          <w:rFonts w:ascii="宋体" w:hAnsi="宋体" w:eastAsia="宋体" w:cs="Times New Roman"/>
          <w:szCs w:val="21"/>
        </w:rPr>
        <w:t>换言之，如果人口老龄化并没有导致劳动力供给的短缺，那么就不存在所谓的人口老龄危机。</w:t>
      </w:r>
    </w:p>
    <w:p w14:paraId="1108A046">
      <w:pPr>
        <w:spacing w:line="400" w:lineRule="exact"/>
        <w:ind w:firstLine="404" w:firstLineChars="200"/>
        <w:rPr>
          <w:rFonts w:ascii="宋体" w:hAnsi="宋体" w:eastAsia="宋体" w:cs="Times New Roman"/>
          <w:szCs w:val="21"/>
        </w:rPr>
      </w:pPr>
      <w:r>
        <w:rPr>
          <w:rFonts w:ascii="宋体" w:hAnsi="宋体" w:eastAsia="宋体" w:cs="Times New Roman"/>
          <w:spacing w:val="-4"/>
          <w:szCs w:val="21"/>
        </w:rPr>
        <w:t>以中国为例，举世公认的是，中国城乡将长期存在大量显性和隐性的劳动力过剩。因收入和劳动状况的机会成本变动而导致个别地区劳动力结构性短缺，并不能掩盖和否定这一基本事实。据预测，到2010年，中国劳动年龄人口将达到9.73亿，16～64岁人口2016年将</w:t>
      </w:r>
      <w:r>
        <w:rPr>
          <w:rFonts w:ascii="宋体" w:hAnsi="宋体" w:eastAsia="宋体" w:cs="Times New Roman"/>
          <w:szCs w:val="21"/>
        </w:rPr>
        <w:t>达到9.9亿人峰值，2050年为8.7亿人，高于目前发达国家劳动力的总和（李斌语）</w:t>
      </w:r>
      <w:r>
        <w:rPr>
          <w:rFonts w:ascii="宋体" w:hAnsi="宋体" w:eastAsia="宋体" w:cs="Times New Roman"/>
          <w:szCs w:val="21"/>
          <w:vertAlign w:val="superscript"/>
        </w:rPr>
        <w:footnoteReference w:id="603"/>
      </w:r>
      <w:r>
        <w:rPr>
          <w:rFonts w:ascii="宋体" w:hAnsi="宋体" w:eastAsia="宋体" w:cs="Times New Roman"/>
          <w:szCs w:val="21"/>
        </w:rPr>
        <w:t>，</w:t>
      </w:r>
      <w:r>
        <w:rPr>
          <w:rFonts w:ascii="宋体" w:hAnsi="宋体" w:eastAsia="宋体" w:cs="Times New Roman"/>
          <w:spacing w:val="-4"/>
          <w:szCs w:val="21"/>
        </w:rPr>
        <w:t>而经济资源和国民生产总值却比发达国家少得多。就中国现代化进程中推动资本对劳动力的潜在替代能力来看，中国没有任何理由担忧老龄化趋势。比照发达国家，中国在未来一个世纪也不会出现劳动力的供给小于劳动力的真实需求的情况，于是也就不存在人口老龄危机的问题</w:t>
      </w:r>
      <w:r>
        <w:rPr>
          <w:rFonts w:ascii="宋体" w:hAnsi="宋体" w:eastAsia="宋体" w:cs="Times New Roman"/>
          <w:szCs w:val="21"/>
        </w:rPr>
        <w:t>。</w:t>
      </w:r>
    </w:p>
    <w:p w14:paraId="10C1A61D">
      <w:pPr>
        <w:spacing w:line="400" w:lineRule="exact"/>
        <w:ind w:firstLine="404" w:firstLineChars="200"/>
        <w:rPr>
          <w:rFonts w:ascii="宋体" w:hAnsi="宋体" w:eastAsia="宋体" w:cs="Times New Roman"/>
          <w:spacing w:val="-4"/>
          <w:szCs w:val="21"/>
        </w:rPr>
      </w:pPr>
      <w:r>
        <w:rPr>
          <w:rFonts w:ascii="宋体" w:hAnsi="宋体" w:eastAsia="宋体" w:cs="Times New Roman"/>
          <w:spacing w:val="-4"/>
          <w:szCs w:val="21"/>
        </w:rPr>
        <w:t>（3）不能以某些城市和地区的老龄化数据替代动态的老龄人口分布和地区差异。在看待中国的老龄化程度问题上，人口老化说之所以表现出“忧心忡忡”，还在于忽略了中国老龄人口地区差异大和农民工流动人口等因素。整体上看，全国各地区人口年龄老化的速度和现状是有很大差别的，这种巨大差异是中国不同于一些小国(如以色列)和其本身的同质性较高的国家(如英国、法国)的一个显著特征。这正是中国在平衡地区老龄化的矛盾差异时可以利用的一个“优势”。据国家统计局对中国31个省、857个县、7100个村68000个农村住户进行大规模的抽样调查显示，截至2008年底，中国农民工总数为2.25亿人。其中1.4亿人在本乡镇以外就业，占总数的62.3%。如果考虑到这1.4亿农民工的流动和迁移，我国老龄化的整体程度自然是大大缓解的。北京、上海等每年始终保持数百万年轻的农民工及其家属，大量的职工又提前离职或退休，如果客观统计，这些城市还存在老龄危机吗？众多的农村剩余劳动力和农民工都急于转移到北京、上海等城市，这些城市有什么理由用市民两个独生子女</w:t>
      </w:r>
      <w:r>
        <w:rPr>
          <w:rFonts w:hint="eastAsia" w:ascii="宋体" w:hAnsi="宋体" w:eastAsia="宋体" w:cs="Times New Roman"/>
          <w:spacing w:val="-4"/>
          <w:szCs w:val="21"/>
        </w:rPr>
        <w:t>结婚</w:t>
      </w:r>
      <w:r>
        <w:rPr>
          <w:rFonts w:ascii="宋体" w:hAnsi="宋体" w:eastAsia="宋体" w:cs="Times New Roman"/>
          <w:spacing w:val="-4"/>
          <w:szCs w:val="21"/>
        </w:rPr>
        <w:t>生二胎来延缓这一转移呢？这说明，不能仅仅看到中国人口老龄化的总体趋势，混淆一般意义上的老龄人口问题和老龄化问题，以某些城市和地区的老龄化数据替代动态的老龄人口分布和地区差异。否则，可能构成对正常思维和政策的误导。</w:t>
      </w:r>
    </w:p>
    <w:p w14:paraId="71752D8E">
      <w:pPr>
        <w:spacing w:line="400" w:lineRule="exact"/>
        <w:ind w:firstLine="404" w:firstLineChars="200"/>
        <w:rPr>
          <w:rFonts w:ascii="宋体" w:hAnsi="宋体" w:eastAsia="宋体" w:cs="Times New Roman"/>
          <w:spacing w:val="-4"/>
          <w:szCs w:val="21"/>
        </w:rPr>
      </w:pPr>
      <w:r>
        <w:rPr>
          <w:rFonts w:ascii="宋体" w:hAnsi="宋体" w:eastAsia="宋体" w:cs="Times New Roman"/>
          <w:spacing w:val="-4"/>
          <w:szCs w:val="21"/>
        </w:rPr>
        <w:t>（4）在老龄化问题上，不能使用互相矛盾的论证逻辑。持人口老化说的论者中，有人一方面宣称人口爆炸必致科技和资源爆炸——计划生育减少的数亿人口中的少数人的科技成果，不但足以养活他们这个群体，还能使得全人类受益</w:t>
      </w:r>
      <w:r>
        <w:rPr>
          <w:rFonts w:ascii="宋体" w:hAnsi="宋体" w:eastAsia="宋体" w:cs="Times New Roman"/>
          <w:szCs w:val="21"/>
          <w:vertAlign w:val="superscript"/>
        </w:rPr>
        <w:footnoteReference w:id="604"/>
      </w:r>
      <w:r>
        <w:rPr>
          <w:rFonts w:ascii="宋体" w:hAnsi="宋体" w:eastAsia="宋体" w:cs="Times New Roman"/>
          <w:szCs w:val="21"/>
        </w:rPr>
        <w:t>；</w:t>
      </w:r>
      <w:r>
        <w:rPr>
          <w:rFonts w:ascii="宋体" w:hAnsi="宋体" w:eastAsia="宋体" w:cs="Times New Roman"/>
          <w:spacing w:val="-4"/>
          <w:szCs w:val="21"/>
        </w:rPr>
        <w:t>说什么“要从全球化角度看待资源，即使中国一个孩子都不生，民族自杀，留着资源给其他国家，也不过多用几十年。因此，人类要存在和发展只有一条路可走：依赖于科技进步开发新资源”等，可另一方面又呼喊未来的社会“老有所养，谁来养？怎么养？”</w:t>
      </w:r>
      <w:r>
        <w:rPr>
          <w:rFonts w:ascii="宋体" w:hAnsi="宋体" w:eastAsia="宋体" w:cs="Times New Roman"/>
          <w:szCs w:val="21"/>
          <w:vertAlign w:val="superscript"/>
        </w:rPr>
        <w:footnoteReference w:id="605"/>
      </w:r>
      <w:r>
        <w:rPr>
          <w:rFonts w:ascii="宋体" w:hAnsi="宋体" w:eastAsia="宋体" w:cs="Times New Roman"/>
          <w:spacing w:val="-4"/>
          <w:szCs w:val="21"/>
        </w:rPr>
        <w:t>这是混乱的逻辑矛盾。我们要追问的是：既然能养活绝对的、更多的人口，既然“科技进步开发新资源”那么容易，请问，为什么就不能养活相对更多的老人呢？</w:t>
      </w:r>
    </w:p>
    <w:p w14:paraId="5D211E7D">
      <w:pPr>
        <w:spacing w:line="400" w:lineRule="exact"/>
        <w:ind w:firstLine="404" w:firstLineChars="200"/>
        <w:rPr>
          <w:rFonts w:ascii="宋体" w:hAnsi="宋体" w:eastAsia="宋体" w:cs="Times New Roman"/>
          <w:szCs w:val="21"/>
        </w:rPr>
      </w:pPr>
      <w:r>
        <w:rPr>
          <w:rFonts w:ascii="宋体" w:hAnsi="宋体" w:eastAsia="宋体" w:cs="Times New Roman"/>
          <w:spacing w:val="-4"/>
          <w:szCs w:val="21"/>
        </w:rPr>
        <w:t>（5）以个别国家所谓养老金的短缺问题来论证，也是站不住脚的。假如一个人口逐渐老龄化的国家并没有出现劳动力的真实短缺，而且人口总量的减少加速提高了人均国民生产总值和人均收入水平，那么所谓养老金的短缺问题，不过是社会分配政策方面的不合理所致，完全可以通过调整社会分配而解决之。假设现在有两个人口数量和经济规模一模一样的“中国”，一个在100年内始终保持在13亿人口，另一个在100年后降低到5亿，无疑后者老龄化程度大大高于前者，但哪个“中国”将具有更高的人均养老收入和更好的老龄生活环境？结论不言自明</w:t>
      </w:r>
      <w:r>
        <w:rPr>
          <w:rFonts w:ascii="宋体" w:hAnsi="宋体" w:eastAsia="宋体" w:cs="Times New Roman"/>
          <w:szCs w:val="21"/>
        </w:rPr>
        <w:t>。</w:t>
      </w:r>
      <w:r>
        <w:rPr>
          <w:rFonts w:ascii="宋体" w:hAnsi="宋体" w:eastAsia="宋体" w:cs="Times New Roman"/>
          <w:szCs w:val="21"/>
          <w:vertAlign w:val="superscript"/>
        </w:rPr>
        <w:footnoteReference w:id="606"/>
      </w:r>
    </w:p>
    <w:p w14:paraId="318A45D0">
      <w:pPr>
        <w:spacing w:line="400" w:lineRule="exact"/>
        <w:ind w:firstLine="404" w:firstLineChars="200"/>
        <w:rPr>
          <w:rFonts w:ascii="宋体" w:hAnsi="宋体" w:eastAsia="宋体" w:cs="Times New Roman"/>
          <w:szCs w:val="21"/>
        </w:rPr>
      </w:pPr>
      <w:r>
        <w:rPr>
          <w:rFonts w:ascii="宋体" w:hAnsi="宋体" w:eastAsia="宋体" w:cs="Times New Roman"/>
          <w:spacing w:val="-4"/>
          <w:szCs w:val="21"/>
        </w:rPr>
        <w:t>（6）解决人口老龄化问题（含老龄人口问题）取决于人均劳动生产率而非抚养比。人口老化说经常用劳动人口对老年人口的抚养比之提高趋势，来表示老龄化将使劳动力养老负担不堪重负，甚至认为“存钱不如存人！多养育一个孩子等于买一份最好的养老保险。</w:t>
      </w:r>
      <w:r>
        <w:rPr>
          <w:rFonts w:ascii="宋体" w:hAnsi="宋体" w:eastAsia="宋体" w:cs="Times New Roman"/>
          <w:szCs w:val="21"/>
        </w:rPr>
        <w:t>”</w:t>
      </w:r>
      <w:r>
        <w:rPr>
          <w:rFonts w:ascii="宋体" w:hAnsi="宋体" w:eastAsia="宋体" w:cs="Times New Roman"/>
          <w:szCs w:val="21"/>
          <w:vertAlign w:val="superscript"/>
        </w:rPr>
        <w:footnoteReference w:id="607"/>
      </w:r>
      <w:r>
        <w:rPr>
          <w:rFonts w:ascii="宋体" w:hAnsi="宋体" w:eastAsia="宋体" w:cs="Times New Roman"/>
          <w:szCs w:val="21"/>
        </w:rPr>
        <w:t>这</w:t>
      </w:r>
      <w:r>
        <w:rPr>
          <w:rFonts w:ascii="宋体" w:hAnsi="宋体" w:eastAsia="宋体" w:cs="Times New Roman"/>
          <w:spacing w:val="-4"/>
          <w:szCs w:val="21"/>
        </w:rPr>
        <w:t>种观点，没有看到中国劳动力大量过剩的事实，以及仍将长期潜在过剩的趋势和资本对劳动替代的潜能，没有认识到一个社会提供养老金的能力主要取决于人均劳动生产率和人均国民收入水平，而非劳动力的人头数。现代化的最基本涵义，就是以更多的机械与自动化设备代替人力来生产财富。因而有论著提出：美国为什么能够用3亿人口生产出远高于中国13亿人口所生产的GDP？说到底，就是美国科学技术的发达使得它得以用资本技术密集型生产方式来创造财富。一个人均GDP4万美元需供养的老龄人口比例为40％的国家比一个人均GDP 5千美元而老龄人口为20％的国家，哪个更有利于老年人的养老保障？答案显然是不言而喻的。</w:t>
      </w:r>
      <w:r>
        <w:rPr>
          <w:rFonts w:ascii="宋体" w:hAnsi="宋体" w:eastAsia="宋体" w:cs="Times New Roman"/>
          <w:szCs w:val="21"/>
          <w:vertAlign w:val="superscript"/>
        </w:rPr>
        <w:footnoteReference w:id="608"/>
      </w:r>
    </w:p>
    <w:p w14:paraId="0317EA1C">
      <w:pPr>
        <w:spacing w:line="400" w:lineRule="exact"/>
        <w:ind w:firstLine="404" w:firstLineChars="200"/>
        <w:rPr>
          <w:rFonts w:ascii="宋体" w:hAnsi="宋体" w:eastAsia="宋体" w:cs="Times New Roman"/>
          <w:spacing w:val="-4"/>
          <w:szCs w:val="21"/>
        </w:rPr>
      </w:pPr>
      <w:r>
        <w:rPr>
          <w:rFonts w:ascii="宋体" w:hAnsi="宋体" w:eastAsia="宋体" w:cs="Times New Roman"/>
          <w:spacing w:val="-4"/>
          <w:szCs w:val="21"/>
        </w:rPr>
        <w:t>（7）依据上述分析精神，可以认识到另一个重要问题，即对严格“一胎化”所容易形成的某些“四二一”人口结构的家庭，要有个正确的评价。一方面，这只是一部分家庭的人口结构而非全部，另一方面，若采取提高退休年龄，以消除让劳动人口提前退休而又实际形成三分之一退休者再就业的不良局面，又把严格计划生育所节约的各种经费及时投入到老龄人口的生活和工作改善，那么，即使属于“四二一”人口结构的家庭，其社会生活总水平也不会低于放开二胎状况的，反而会减少现阶段大量的“啃老族”现象。</w:t>
      </w:r>
    </w:p>
    <w:p w14:paraId="52D4EE92">
      <w:pPr>
        <w:spacing w:line="400" w:lineRule="exact"/>
        <w:ind w:firstLine="404" w:firstLineChars="200"/>
        <w:rPr>
          <w:rFonts w:ascii="宋体" w:hAnsi="宋体" w:eastAsia="宋体" w:cs="Times New Roman"/>
          <w:spacing w:val="-4"/>
          <w:szCs w:val="21"/>
        </w:rPr>
      </w:pPr>
      <w:r>
        <w:rPr>
          <w:rFonts w:hint="eastAsia" w:ascii="宋体" w:hAnsi="宋体" w:eastAsia="宋体" w:cs="Times New Roman"/>
          <w:spacing w:val="-4"/>
          <w:szCs w:val="21"/>
        </w:rPr>
        <w:t>（8）在人均国内生产总值只有3千美元的中国，已形成大量老龄人口，这是社会主义制度的优越性，是好事而非坏事。联合国确认的“人文发展指数”三大指标之一是人均寿命。人的平均寿命不断延长，这是人类发展的必然趋势和正效应。随着我国人均寿命的逐渐提高，应像日本等国一样，相应提高退休年龄和老龄人起点年龄的标准。</w:t>
      </w:r>
    </w:p>
    <w:p w14:paraId="0B38AA58">
      <w:pPr>
        <w:autoSpaceDE w:val="0"/>
        <w:autoSpaceDN w:val="0"/>
        <w:spacing w:line="360" w:lineRule="auto"/>
        <w:ind w:firstLine="504"/>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五、回应性别失衡说</w:t>
      </w:r>
    </w:p>
    <w:p w14:paraId="3AE5FB90">
      <w:pPr>
        <w:spacing w:line="400" w:lineRule="exact"/>
        <w:ind w:firstLine="420" w:firstLineChars="200"/>
        <w:rPr>
          <w:rFonts w:ascii="宋体" w:hAnsi="宋体" w:eastAsia="宋体" w:cs="Times New Roman"/>
          <w:szCs w:val="21"/>
        </w:rPr>
      </w:pPr>
      <w:r>
        <w:rPr>
          <w:rFonts w:ascii="宋体" w:hAnsi="宋体" w:eastAsia="宋体" w:cs="Times New Roman"/>
          <w:szCs w:val="21"/>
        </w:rPr>
        <w:t>性别失衡说既是国内一些论者主张放开二胎的主要论据，也是西方少数人利用中国人口出生性别比失衡来批评中国计生政策的主要说辞。在对待中国人口出生性别比问题上，悲观派认为是“一个无解的难题”</w:t>
      </w:r>
      <w:r>
        <w:rPr>
          <w:rFonts w:ascii="宋体" w:hAnsi="宋体" w:eastAsia="宋体" w:cs="Times New Roman"/>
          <w:szCs w:val="21"/>
          <w:vertAlign w:val="superscript"/>
        </w:rPr>
        <w:footnoteReference w:id="609"/>
      </w:r>
      <w:r>
        <w:rPr>
          <w:rFonts w:ascii="宋体" w:hAnsi="宋体" w:eastAsia="宋体" w:cs="Times New Roman"/>
          <w:szCs w:val="21"/>
        </w:rPr>
        <w:t>，乐观派则认为“微不足道”</w:t>
      </w:r>
      <w:r>
        <w:rPr>
          <w:rFonts w:ascii="宋体" w:hAnsi="宋体" w:eastAsia="宋体" w:cs="Times New Roman"/>
          <w:szCs w:val="21"/>
          <w:vertAlign w:val="superscript"/>
        </w:rPr>
        <w:footnoteReference w:id="610"/>
      </w:r>
      <w:r>
        <w:rPr>
          <w:rFonts w:ascii="宋体" w:hAnsi="宋体" w:eastAsia="宋体" w:cs="Times New Roman"/>
          <w:szCs w:val="21"/>
        </w:rPr>
        <w:t>；有论者认为未来4千万至5千万男性公民将要面对终生的“无妻徒刑”，而其反对者却指出这是严重地夸大其辞；一些人认为这将在未来产生诸多难以解决的社会问题，另一些人则批评这种推断是想当然……可谓莫衷一是，“迷雾重重”。</w:t>
      </w:r>
    </w:p>
    <w:p w14:paraId="1616F2B2">
      <w:pPr>
        <w:spacing w:line="400" w:lineRule="exact"/>
        <w:ind w:firstLine="420" w:firstLineChars="200"/>
        <w:rPr>
          <w:rFonts w:ascii="宋体" w:hAnsi="宋体" w:eastAsia="宋体" w:cs="Times New Roman"/>
          <w:spacing w:val="-4"/>
          <w:szCs w:val="21"/>
        </w:rPr>
      </w:pPr>
      <w:r>
        <w:rPr>
          <w:rFonts w:ascii="宋体" w:hAnsi="宋体" w:eastAsia="宋体" w:cs="Times New Roman"/>
          <w:szCs w:val="21"/>
        </w:rPr>
        <w:t>然而，在综合考察了各种观点以后，我们认为，第一，截至目前，在对偏差程度的认识、偏差原因的解读和偏差后果的前瞻等方面，马瀛通所带领的研究团队历经十年心血撰著的《出生性别比新理论与应用》</w:t>
      </w:r>
      <w:r>
        <w:rPr>
          <w:rFonts w:ascii="宋体" w:hAnsi="宋体" w:eastAsia="宋体" w:cs="Times New Roman"/>
          <w:szCs w:val="21"/>
          <w:vertAlign w:val="superscript"/>
        </w:rPr>
        <w:footnoteReference w:id="611"/>
      </w:r>
      <w:r>
        <w:rPr>
          <w:rFonts w:ascii="宋体" w:hAnsi="宋体" w:eastAsia="宋体" w:cs="Times New Roman"/>
          <w:szCs w:val="21"/>
        </w:rPr>
        <w:t>，澄清了错谬，拨开了迷雾。该专著针对出生性别比问题上的是非而作的有根有据的实证研究，主要提出出生性别比属于条件随机事件而非独立随机事件（即性别比随胎次上升而升高具有普遍性，从而一、二孩比例的增加不但</w:t>
      </w:r>
      <w:r>
        <w:rPr>
          <w:rFonts w:ascii="宋体" w:hAnsi="宋体" w:eastAsia="宋体" w:cs="Times New Roman"/>
          <w:spacing w:val="-4"/>
          <w:szCs w:val="21"/>
        </w:rPr>
        <w:t xml:space="preserve">不会使性别比增高，反而会使之下降）这一崭新观点。因而把中国80年代以来出生性别比日益增高归结为是性别偏好日益强化的结果，或归结为是出生人口中的第一、二孩比例升高与多孩比例下降所导致等观点，都是只看表面现象误用相关分析方法而产生的误解。性别偏好与出生性别比没有直接的互为因果关系。只有当生男偏好付诸于人为影响受孕胎儿性别，如实施胎儿性别选择性人工流产，才能导致出生性别比异常变动；中国第一、二孩比例提高与多孩比例的下降，不仅不会导致出生性别比升高，反而致使其下降。此外该书还指出，出生性别比相应于未来婚配时的性别比(简称婚配性别比)，绝不是简单的随时间推移的队列匹配关系；出生性别比根本不同于未来的相应婚配性别比。因此，不可将其等量齐观，或将其简单化了。   </w:t>
      </w:r>
    </w:p>
    <w:p w14:paraId="2AA5A2C7">
      <w:pPr>
        <w:spacing w:line="400" w:lineRule="exact"/>
        <w:ind w:firstLine="420" w:firstLineChars="200"/>
        <w:rPr>
          <w:rFonts w:ascii="宋体" w:hAnsi="宋体" w:eastAsia="宋体" w:cs="Times New Roman"/>
          <w:szCs w:val="21"/>
        </w:rPr>
      </w:pPr>
      <w:r>
        <w:rPr>
          <w:rFonts w:ascii="宋体" w:hAnsi="宋体" w:eastAsia="宋体" w:cs="Times New Roman"/>
          <w:szCs w:val="21"/>
        </w:rPr>
        <w:t>第二，以性别失衡说而</w:t>
      </w:r>
      <w:r>
        <w:rPr>
          <w:rFonts w:ascii="宋体" w:hAnsi="宋体" w:eastAsia="宋体" w:cs="AdobeSongStd-Light-Acro"/>
          <w:kern w:val="0"/>
          <w:szCs w:val="21"/>
        </w:rPr>
        <w:t>主张全面或基本放开二胎的论者</w:t>
      </w:r>
      <w:r>
        <w:rPr>
          <w:rFonts w:ascii="宋体" w:hAnsi="宋体" w:eastAsia="宋体" w:cs="Times New Roman"/>
          <w:kern w:val="0"/>
          <w:szCs w:val="21"/>
        </w:rPr>
        <w:t>，“</w:t>
      </w:r>
      <w:r>
        <w:rPr>
          <w:rFonts w:ascii="宋体" w:hAnsi="宋体" w:eastAsia="宋体" w:cs="AdobeSongStd-Light-Acro"/>
          <w:kern w:val="0"/>
          <w:szCs w:val="21"/>
        </w:rPr>
        <w:t>有必要论证</w:t>
      </w:r>
      <w:r>
        <w:rPr>
          <w:rFonts w:ascii="宋体" w:hAnsi="宋体" w:eastAsia="宋体" w:cs="Times New Roman"/>
          <w:kern w:val="0"/>
          <w:szCs w:val="21"/>
        </w:rPr>
        <w:t>，</w:t>
      </w:r>
      <w:r>
        <w:rPr>
          <w:rFonts w:ascii="宋体" w:hAnsi="宋体" w:eastAsia="宋体" w:cs="AdobeSongStd-Light-Acro"/>
          <w:kern w:val="0"/>
          <w:szCs w:val="21"/>
        </w:rPr>
        <w:t>其放开二胎的方案会更有助于消除出生性别比偏高问题。”</w:t>
      </w:r>
      <w:r>
        <w:rPr>
          <w:rFonts w:ascii="宋体" w:hAnsi="宋体" w:eastAsia="宋体" w:cs="AdobeSongStd-Light-Acro"/>
          <w:kern w:val="0"/>
          <w:szCs w:val="21"/>
          <w:vertAlign w:val="superscript"/>
        </w:rPr>
        <w:footnoteReference w:id="612"/>
      </w:r>
      <w:r>
        <w:rPr>
          <w:rFonts w:ascii="宋体" w:hAnsi="宋体" w:eastAsia="宋体" w:cs="AdobeSongStd-Light-Acro"/>
          <w:kern w:val="0"/>
          <w:szCs w:val="21"/>
        </w:rPr>
        <w:t>仅简单</w:t>
      </w:r>
      <w:r>
        <w:rPr>
          <w:rFonts w:hint="eastAsia" w:ascii="宋体" w:hAnsi="宋体" w:eastAsia="宋体" w:cs="AdobeSongStd-Light-Acro"/>
          <w:kern w:val="0"/>
          <w:szCs w:val="21"/>
        </w:rPr>
        <w:t>重复类似</w:t>
      </w:r>
      <w:r>
        <w:rPr>
          <w:rFonts w:ascii="宋体" w:hAnsi="宋体" w:eastAsia="宋体" w:cs="Times New Roman"/>
          <w:szCs w:val="21"/>
        </w:rPr>
        <w:t>放开二胎有利于缓解目前严重的出生婴儿性别比偏高</w:t>
      </w:r>
      <w:r>
        <w:rPr>
          <w:rFonts w:hint="eastAsia" w:ascii="宋体" w:hAnsi="宋体" w:eastAsia="宋体" w:cs="Times New Roman"/>
          <w:szCs w:val="21"/>
        </w:rPr>
        <w:t>等说辞</w:t>
      </w:r>
      <w:r>
        <w:rPr>
          <w:rFonts w:ascii="宋体" w:hAnsi="宋体" w:eastAsia="宋体" w:cs="Times New Roman"/>
          <w:szCs w:val="21"/>
          <w:vertAlign w:val="superscript"/>
        </w:rPr>
        <w:footnoteReference w:id="613"/>
      </w:r>
      <w:r>
        <w:rPr>
          <w:rFonts w:ascii="宋体" w:hAnsi="宋体" w:eastAsia="宋体" w:cs="Times New Roman"/>
          <w:szCs w:val="21"/>
        </w:rPr>
        <w:t>，是没有说服力的。由《出生性别比新理论与应用》研究可知，</w:t>
      </w:r>
      <w:r>
        <w:rPr>
          <w:rFonts w:ascii="宋体" w:hAnsi="宋体" w:eastAsia="宋体" w:cs="AdobeSongStd-Light-Acro"/>
          <w:kern w:val="0"/>
          <w:szCs w:val="21"/>
        </w:rPr>
        <w:t>放开二胎的方案</w:t>
      </w:r>
      <w:r>
        <w:rPr>
          <w:rFonts w:ascii="宋体" w:hAnsi="宋体" w:eastAsia="宋体" w:cs="Times New Roman"/>
          <w:szCs w:val="21"/>
        </w:rPr>
        <w:t>不仅不能</w:t>
      </w:r>
      <w:r>
        <w:rPr>
          <w:rFonts w:ascii="宋体" w:hAnsi="宋体" w:eastAsia="宋体" w:cs="AdobeSongStd-Light-Acro"/>
          <w:kern w:val="0"/>
          <w:szCs w:val="21"/>
        </w:rPr>
        <w:t>消除出生性别比偏高问题，反而会促使这种偏高程度增加。同样，</w:t>
      </w:r>
      <w:r>
        <w:rPr>
          <w:rFonts w:ascii="宋体" w:hAnsi="宋体" w:eastAsia="宋体" w:cs="Times New Roman"/>
          <w:szCs w:val="21"/>
        </w:rPr>
        <w:t>性别失衡说也没有充分的论据足以证明是我国近30年来的生育控制对总人口性别比产生了具有因果关系的影响。那么，也就没有什么理由把出生性别比的失衡“安置”在现行计划生育政策的头上。</w:t>
      </w:r>
    </w:p>
    <w:p w14:paraId="014577D8">
      <w:pPr>
        <w:spacing w:line="400" w:lineRule="exact"/>
        <w:ind w:firstLine="420" w:firstLineChars="200"/>
        <w:rPr>
          <w:rFonts w:ascii="宋体" w:hAnsi="宋体" w:eastAsia="宋体" w:cs="Times New Roman"/>
          <w:szCs w:val="21"/>
        </w:rPr>
      </w:pPr>
      <w:r>
        <w:rPr>
          <w:rFonts w:ascii="宋体" w:hAnsi="宋体" w:eastAsia="宋体" w:cs="Times New Roman"/>
          <w:szCs w:val="21"/>
        </w:rPr>
        <w:t>第三，在如何看待和治理现在偏高的出生性别比包括总体性别比问题上，持“微不足道”观点的学者也给了我们一些启发。常识告诉我们，男性从事的许多高风险的社会职业角色（如当兵、下井、建筑等），生理特点和后天的许多习惯（如吸烟、酗酒等）所导致的相对较高的死亡率，客观上需要与之相适应的相对较高的出生性别比。即便实行普遍二胎会有助于出生性别比有所降低，但对于因庞大人口基数和巨量增长而导致了如此众多社会经济问题的大国，为此而付出使人口多出数以亿计的代价，并非理性选择，却有些舍本求末。</w:t>
      </w:r>
      <w:r>
        <w:rPr>
          <w:rFonts w:ascii="宋体" w:hAnsi="宋体" w:eastAsia="宋体" w:cs="Times New Roman"/>
          <w:szCs w:val="21"/>
          <w:vertAlign w:val="superscript"/>
        </w:rPr>
        <w:footnoteReference w:id="614"/>
      </w:r>
    </w:p>
    <w:p w14:paraId="581840D5">
      <w:pPr>
        <w:spacing w:line="400" w:lineRule="exact"/>
        <w:ind w:firstLine="420" w:firstLineChars="200"/>
        <w:rPr>
          <w:rFonts w:ascii="宋体" w:hAnsi="宋体" w:eastAsia="宋体" w:cs="Times New Roman"/>
          <w:bCs/>
          <w:szCs w:val="21"/>
        </w:rPr>
      </w:pPr>
      <w:r>
        <w:rPr>
          <w:rFonts w:ascii="宋体" w:hAnsi="宋体" w:eastAsia="宋体" w:cs="Times New Roman"/>
          <w:szCs w:val="21"/>
        </w:rPr>
        <w:t>第四，男女出生性别比的偏差，不能归咎于现行计划生育政策。按照出生概率，无论是只生一胎，还是头胎女孩可再生二胎，男女出生性别比应大体相同。事实上，造成出生性别比的偏差的主要原因，在于养老保障制度的缺陷、观念上的重男轻女、技术上的胎儿性别鉴定、社会上的一些不合理状态（如女性就业歧视）等，并非因计划生育政策而来，也不能因取消计划生育政策而去。性别失衡的现状必须扭转，只能靠综合治理。尤其要在建立一种有差别的变罚为奖的社会保障措施（“无胎高保、女胎中保、男胎基保</w:t>
      </w:r>
      <w:r>
        <w:rPr>
          <w:rFonts w:hint="eastAsia" w:ascii="宋体" w:hAnsi="宋体" w:eastAsia="宋体" w:cs="Times New Roman"/>
          <w:szCs w:val="21"/>
        </w:rPr>
        <w:t>即</w:t>
      </w:r>
      <w:r>
        <w:rPr>
          <w:rFonts w:ascii="宋体" w:hAnsi="宋体" w:eastAsia="宋体" w:cs="Times New Roman"/>
          <w:szCs w:val="21"/>
        </w:rPr>
        <w:t>低保、超胎不保”）、严惩</w:t>
      </w:r>
      <w:r>
        <w:rPr>
          <w:rFonts w:hint="eastAsia" w:ascii="宋体" w:hAnsi="宋体" w:eastAsia="宋体" w:cs="Times New Roman"/>
          <w:szCs w:val="21"/>
        </w:rPr>
        <w:t>胎儿</w:t>
      </w:r>
      <w:r>
        <w:rPr>
          <w:rFonts w:ascii="宋体" w:hAnsi="宋体" w:eastAsia="宋体" w:cs="Times New Roman"/>
          <w:szCs w:val="21"/>
        </w:rPr>
        <w:t>性别查堕行为、消除女性就业歧视、延长男性寿命这四个方面加以努力，才能为纠正出生性别比、人口性别失衡和婚配性别比的失衡扫清障碍。</w:t>
      </w:r>
    </w:p>
    <w:p w14:paraId="6893B180">
      <w:pPr>
        <w:autoSpaceDE w:val="0"/>
        <w:autoSpaceDN w:val="0"/>
        <w:spacing w:line="360" w:lineRule="auto"/>
        <w:ind w:firstLine="504"/>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六、回应高质生二说</w:t>
      </w:r>
    </w:p>
    <w:p w14:paraId="77B9ECCE">
      <w:pPr>
        <w:spacing w:line="400" w:lineRule="exact"/>
        <w:ind w:firstLine="420" w:firstLineChars="200"/>
        <w:rPr>
          <w:rFonts w:ascii="宋体" w:hAnsi="宋体" w:eastAsia="宋体" w:cs="Times New Roman"/>
          <w:szCs w:val="21"/>
        </w:rPr>
      </w:pPr>
      <w:r>
        <w:rPr>
          <w:rFonts w:ascii="宋体" w:hAnsi="宋体" w:eastAsia="宋体" w:cs="Times New Roman"/>
          <w:szCs w:val="21"/>
        </w:rPr>
        <w:t>有的论著指出了一种怪圈：“特殊人群允许生（指</w:t>
      </w:r>
      <w:r>
        <w:rPr>
          <w:rFonts w:ascii="宋体" w:hAnsi="宋体" w:eastAsia="宋体" w:cs="Times New Roman"/>
          <w:bCs/>
          <w:szCs w:val="21"/>
        </w:rPr>
        <w:t>生二胎。下同</w:t>
      </w:r>
      <w:r>
        <w:rPr>
          <w:rFonts w:ascii="宋体" w:hAnsi="宋体" w:eastAsia="宋体" w:cs="Times New Roman"/>
          <w:szCs w:val="21"/>
        </w:rPr>
        <w:t>），贫困人群躲着生，暴富人群交钱生，高质人群不能生。”认为这种“生育逆淘汰”或“人口素质逆淘汰”现象已有蔓延之势，如长此下去，将导致国民素质的整体下降。应允许高质群体生育二胎，如允许院士、教授、高科技人员（乃至企业家、白领阶层、研究生以上学历或有较高收入者）生育二胎。也有人认为，计划生育实行30多年来，“有钱的罚着生，没钱的偷着生”，真正被限制的仅是公职人员。现在农村夫妇和城市无业人员大都生育了二胎，而1.5亿公职人员多是一胎。按1.5亿中处于生育年龄阶段公职人员来看，最多只是控制了近7千万的出生数。而这少生的7千万却是素质较好的一群人，从经济条件、学习环境、培养能力等方面看，他们是占优势的。论者认为，提出这一观点或建议“会引起争议，但是还是觉得有必要提出这个建议”，“不管结果怎么样，至少是一种提醒，一种思路。”</w:t>
      </w:r>
      <w:r>
        <w:rPr>
          <w:rFonts w:ascii="宋体" w:hAnsi="宋体" w:eastAsia="宋体" w:cs="Times New Roman"/>
          <w:szCs w:val="21"/>
          <w:vertAlign w:val="superscript"/>
        </w:rPr>
        <w:footnoteReference w:id="615"/>
      </w:r>
    </w:p>
    <w:p w14:paraId="1028EA4F">
      <w:pPr>
        <w:spacing w:line="400" w:lineRule="exact"/>
        <w:ind w:firstLine="420" w:firstLineChars="200"/>
        <w:rPr>
          <w:rFonts w:ascii="宋体" w:hAnsi="宋体" w:eastAsia="宋体" w:cs="Times New Roman"/>
          <w:bCs/>
          <w:szCs w:val="21"/>
        </w:rPr>
      </w:pPr>
      <w:r>
        <w:rPr>
          <w:rFonts w:ascii="宋体" w:hAnsi="宋体" w:eastAsia="宋体" w:cs="Times New Roman"/>
          <w:szCs w:val="21"/>
        </w:rPr>
        <w:t>我们认为，“提醒”本身具有积极作用，</w:t>
      </w:r>
      <w:r>
        <w:rPr>
          <w:rFonts w:ascii="宋体" w:hAnsi="宋体" w:eastAsia="宋体" w:cs="Times New Roman"/>
          <w:bCs/>
          <w:szCs w:val="21"/>
        </w:rPr>
        <w:t>其着眼于提高人口素质的出发点，将引发人们对</w:t>
      </w:r>
      <w:r>
        <w:rPr>
          <w:rFonts w:ascii="宋体" w:hAnsi="宋体" w:eastAsia="宋体" w:cs="Times New Roman"/>
          <w:szCs w:val="21"/>
        </w:rPr>
        <w:t>“人口素质逆淘汰”现象的思考</w:t>
      </w:r>
      <w:r>
        <w:rPr>
          <w:rFonts w:ascii="宋体" w:hAnsi="宋体" w:eastAsia="宋体" w:cs="Times New Roman"/>
          <w:bCs/>
          <w:szCs w:val="21"/>
        </w:rPr>
        <w:t>。但</w:t>
      </w:r>
      <w:r>
        <w:rPr>
          <w:rFonts w:ascii="宋体" w:hAnsi="宋体" w:eastAsia="宋体" w:cs="Times New Roman"/>
          <w:szCs w:val="21"/>
        </w:rPr>
        <w:t>这也只能是一种“思路”，不仅因</w:t>
      </w:r>
      <w:r>
        <w:rPr>
          <w:rFonts w:ascii="宋体" w:hAnsi="宋体" w:eastAsia="宋体" w:cs="Times New Roman"/>
          <w:bCs/>
          <w:szCs w:val="21"/>
        </w:rPr>
        <w:t>没有可操作性而难以实施，在实际上也是弊大于利的，是得不偿失的。</w:t>
      </w:r>
    </w:p>
    <w:p w14:paraId="5EA956E3">
      <w:pPr>
        <w:spacing w:line="400" w:lineRule="exact"/>
        <w:ind w:firstLine="420" w:firstLineChars="200"/>
        <w:rPr>
          <w:rFonts w:ascii="宋体" w:hAnsi="宋体" w:eastAsia="宋体" w:cs="Times New Roman"/>
          <w:szCs w:val="21"/>
        </w:rPr>
      </w:pPr>
      <w:r>
        <w:rPr>
          <w:rFonts w:ascii="宋体" w:hAnsi="宋体" w:eastAsia="宋体" w:cs="Times New Roman"/>
          <w:bCs/>
          <w:szCs w:val="21"/>
        </w:rPr>
        <w:t>（1）</w:t>
      </w:r>
      <w:r>
        <w:rPr>
          <w:rFonts w:ascii="宋体" w:hAnsi="宋体" w:eastAsia="宋体" w:cs="Times New Roman"/>
          <w:szCs w:val="21"/>
        </w:rPr>
        <w:t>没有数据证明高学历、</w:t>
      </w:r>
      <w:r>
        <w:rPr>
          <w:rFonts w:ascii="宋体" w:hAnsi="宋体" w:eastAsia="宋体" w:cs="Times New Roman"/>
          <w:bCs/>
          <w:szCs w:val="21"/>
        </w:rPr>
        <w:t>高职务父母的</w:t>
      </w:r>
      <w:r>
        <w:rPr>
          <w:rFonts w:ascii="宋体" w:hAnsi="宋体" w:eastAsia="宋体" w:cs="Times New Roman"/>
          <w:szCs w:val="21"/>
        </w:rPr>
        <w:t>子女智力和素质就高。首先，从遗传学角度看，父母智商与子女智商具有不确定性。政界高干、学界高知和商界高管的孩子或其他孩子的智商均不具有同质性，其身体素质、智商水平和行为能力的差别</w:t>
      </w:r>
      <w:r>
        <w:rPr>
          <w:rFonts w:hint="eastAsia" w:ascii="宋体" w:hAnsi="宋体" w:eastAsia="宋体" w:cs="Times New Roman"/>
          <w:szCs w:val="21"/>
        </w:rPr>
        <w:t>实际</w:t>
      </w:r>
      <w:r>
        <w:rPr>
          <w:rFonts w:ascii="宋体" w:hAnsi="宋体" w:eastAsia="宋体" w:cs="Times New Roman"/>
          <w:szCs w:val="21"/>
        </w:rPr>
        <w:t>有很大。因为一个人的各种智商和能力主要不是天生出来的，而是通过教化和锻炼等各种社会化的途径自我砥砺出来的。高学历、</w:t>
      </w:r>
      <w:r>
        <w:rPr>
          <w:rFonts w:ascii="宋体" w:hAnsi="宋体" w:eastAsia="宋体" w:cs="Times New Roman"/>
          <w:bCs/>
          <w:szCs w:val="21"/>
        </w:rPr>
        <w:t>高职务</w:t>
      </w:r>
      <w:r>
        <w:rPr>
          <w:rFonts w:ascii="宋体" w:hAnsi="宋体" w:eastAsia="宋体" w:cs="Times New Roman"/>
          <w:szCs w:val="21"/>
        </w:rPr>
        <w:t>的父母与其后代的“人口素质”没有简单的因果关系。</w:t>
      </w:r>
    </w:p>
    <w:p w14:paraId="2A778432">
      <w:pPr>
        <w:spacing w:line="400" w:lineRule="exact"/>
        <w:ind w:firstLine="420" w:firstLineChars="200"/>
        <w:rPr>
          <w:rFonts w:ascii="宋体" w:hAnsi="宋体" w:eastAsia="宋体" w:cs="Times New Roman"/>
          <w:szCs w:val="21"/>
        </w:rPr>
      </w:pPr>
      <w:r>
        <w:rPr>
          <w:rFonts w:ascii="宋体" w:hAnsi="宋体" w:eastAsia="宋体" w:cs="Times New Roman"/>
          <w:szCs w:val="21"/>
        </w:rPr>
        <w:t>其次，一个民主社会应该坚决反对“血统论”倾向。</w:t>
      </w:r>
      <w:r>
        <w:rPr>
          <w:rFonts w:ascii="宋体" w:hAnsi="宋体" w:eastAsia="宋体" w:cs="Times New Roman"/>
          <w:bCs/>
          <w:szCs w:val="21"/>
        </w:rPr>
        <w:t>高质二胎说普遍被社会舆论斥责为“龙生龙</w:t>
      </w:r>
      <w:r>
        <w:rPr>
          <w:rFonts w:hint="eastAsia" w:ascii="宋体" w:hAnsi="宋体" w:eastAsia="宋体" w:cs="Times New Roman"/>
          <w:bCs/>
          <w:szCs w:val="21"/>
        </w:rPr>
        <w:t>、</w:t>
      </w:r>
      <w:r>
        <w:rPr>
          <w:rFonts w:ascii="宋体" w:hAnsi="宋体" w:eastAsia="宋体" w:cs="Times New Roman"/>
          <w:bCs/>
          <w:szCs w:val="21"/>
        </w:rPr>
        <w:t>凤生凤”的陈腐血统论</w:t>
      </w:r>
      <w:r>
        <w:rPr>
          <w:rFonts w:ascii="宋体" w:hAnsi="宋体" w:eastAsia="宋体" w:cs="Times New Roman"/>
          <w:szCs w:val="21"/>
        </w:rPr>
        <w:t>，就像古代等级制和现代“种族论</w:t>
      </w:r>
      <w:r>
        <w:rPr>
          <w:rFonts w:ascii="宋体" w:hAnsi="宋体" w:eastAsia="宋体" w:cs="Tahoma"/>
          <w:szCs w:val="21"/>
        </w:rPr>
        <w:t>”</w:t>
      </w:r>
      <w:r>
        <w:rPr>
          <w:rFonts w:ascii="宋体" w:hAnsi="宋体" w:eastAsia="宋体" w:cs="Times New Roman"/>
          <w:szCs w:val="21"/>
        </w:rPr>
        <w:t>一样，孩子一出生就会被打上一种等级烙印。社会成员的分工和分层是客观存在的，但所谓社会“精英”与大众的的生育关系应当平等，否则，就可能漠视和否定人生的勤奋和后天的努力，亵渎人类数千年来追求的平等。要通过少生来优生，而不是通过“精英”多生来优生。与“少生快富”的口号一样，“少生优生”、“少生先富”的原则和精神应当普及。</w:t>
      </w:r>
    </w:p>
    <w:p w14:paraId="467C02B8">
      <w:pPr>
        <w:spacing w:line="400" w:lineRule="exact"/>
        <w:ind w:firstLine="420" w:firstLineChars="200"/>
        <w:rPr>
          <w:rFonts w:ascii="宋体" w:hAnsi="宋体" w:eastAsia="宋体" w:cs="Times New Roman"/>
          <w:szCs w:val="21"/>
        </w:rPr>
      </w:pPr>
      <w:r>
        <w:rPr>
          <w:rFonts w:ascii="宋体" w:hAnsi="宋体" w:eastAsia="宋体" w:cs="Times New Roman"/>
          <w:bCs/>
          <w:szCs w:val="21"/>
        </w:rPr>
        <w:t>（2）</w:t>
      </w:r>
      <w:r>
        <w:rPr>
          <w:rFonts w:ascii="宋体" w:hAnsi="宋体" w:eastAsia="宋体" w:cs="Times New Roman"/>
          <w:szCs w:val="21"/>
        </w:rPr>
        <w:t>重生不重教或生了不能教的观点</w:t>
      </w:r>
      <w:r>
        <w:rPr>
          <w:rFonts w:ascii="宋体" w:hAnsi="宋体" w:eastAsia="宋体" w:cs="Times New Roman"/>
          <w:bCs/>
          <w:szCs w:val="21"/>
        </w:rPr>
        <w:t>是没有说服力的。</w:t>
      </w:r>
      <w:r>
        <w:rPr>
          <w:rFonts w:ascii="宋体" w:hAnsi="宋体" w:eastAsia="宋体" w:cs="Times New Roman"/>
          <w:szCs w:val="21"/>
        </w:rPr>
        <w:t>有论者指出，</w:t>
      </w:r>
      <w:r>
        <w:rPr>
          <w:rFonts w:ascii="宋体" w:hAnsi="宋体" w:eastAsia="宋体" w:cs="Times New Roman"/>
          <w:bCs/>
          <w:szCs w:val="21"/>
        </w:rPr>
        <w:t>低素质人口只</w:t>
      </w:r>
      <w:r>
        <w:rPr>
          <w:rFonts w:ascii="宋体" w:hAnsi="宋体" w:eastAsia="宋体" w:cs="Times New Roman"/>
          <w:szCs w:val="21"/>
        </w:rPr>
        <w:t>注重生育而不注重教育，或不能更好地教育，应该严格控制其生育二胎，相应放开高质人口生育二胎，这样才是</w:t>
      </w:r>
      <w:r>
        <w:rPr>
          <w:rFonts w:ascii="宋体" w:hAnsi="宋体" w:eastAsia="宋体" w:cs="Times New Roman"/>
          <w:bCs/>
          <w:szCs w:val="21"/>
        </w:rPr>
        <w:t>着眼于全民素质的提高。对此，首先我们</w:t>
      </w:r>
      <w:r>
        <w:rPr>
          <w:rFonts w:ascii="宋体" w:hAnsi="宋体" w:eastAsia="宋体" w:cs="Times New Roman"/>
          <w:szCs w:val="21"/>
        </w:rPr>
        <w:t>应该承认，重生不重教或生了不能教，确有部分事实支撑，但这只是问题的一面。问题的关键在于，只有建立不断提高的农民社会养老保险，才可能逐渐消除农村和少数民族地区许多中低收入家庭的养儿防老等陈腐观念和生二三胎的行为。稳定低生育水平</w:t>
      </w:r>
      <w:r>
        <w:rPr>
          <w:rFonts w:hint="eastAsia" w:ascii="宋体" w:hAnsi="宋体" w:eastAsia="宋体" w:cs="Times New Roman"/>
          <w:szCs w:val="21"/>
        </w:rPr>
        <w:t>和缩减年均人口新增规模</w:t>
      </w:r>
      <w:r>
        <w:rPr>
          <w:rFonts w:ascii="宋体" w:hAnsi="宋体" w:eastAsia="宋体" w:cs="Times New Roman"/>
          <w:szCs w:val="21"/>
        </w:rPr>
        <w:t>的重要方法，是法律赋予农民承担计划生育义务的</w:t>
      </w:r>
      <w:r>
        <w:rPr>
          <w:rFonts w:hint="eastAsia" w:ascii="宋体" w:hAnsi="宋体" w:eastAsia="宋体" w:cs="Times New Roman"/>
          <w:szCs w:val="21"/>
        </w:rPr>
        <w:t>社会各项</w:t>
      </w:r>
      <w:r>
        <w:rPr>
          <w:rFonts w:ascii="宋体" w:hAnsi="宋体" w:eastAsia="宋体" w:cs="Times New Roman"/>
          <w:szCs w:val="21"/>
        </w:rPr>
        <w:t>保障，</w:t>
      </w:r>
      <w:r>
        <w:rPr>
          <w:rFonts w:hint="eastAsia" w:ascii="宋体" w:hAnsi="宋体" w:eastAsia="宋体" w:cs="Times New Roman"/>
          <w:szCs w:val="21"/>
        </w:rPr>
        <w:t>这类社保开支等</w:t>
      </w:r>
      <w:r>
        <w:rPr>
          <w:rFonts w:ascii="宋体" w:hAnsi="宋体" w:eastAsia="宋体" w:cs="Times New Roman"/>
          <w:szCs w:val="21"/>
        </w:rPr>
        <w:t>是国家财政参与人口控制和减少的经济手段。如果在现行的计划生育政策内，再允许</w:t>
      </w:r>
      <w:r>
        <w:rPr>
          <w:rFonts w:ascii="宋体" w:hAnsi="宋体" w:eastAsia="宋体" w:cs="Times New Roman"/>
          <w:bCs/>
          <w:szCs w:val="21"/>
        </w:rPr>
        <w:t>高质生二胎</w:t>
      </w:r>
      <w:r>
        <w:rPr>
          <w:rFonts w:ascii="宋体" w:hAnsi="宋体" w:eastAsia="宋体" w:cs="Times New Roman"/>
          <w:szCs w:val="21"/>
        </w:rPr>
        <w:t>，并对农民等加强控制，不仅会导致出生率的升高，还可能引起社会阶层之间的矛盾，成为一部分群体歧视另一部分群体的口实，给社会带来不和谐因素。</w:t>
      </w:r>
    </w:p>
    <w:p w14:paraId="7D8ED55D">
      <w:pPr>
        <w:spacing w:line="400" w:lineRule="exact"/>
        <w:ind w:firstLine="420" w:firstLineChars="200"/>
        <w:rPr>
          <w:rFonts w:ascii="宋体" w:hAnsi="宋体" w:eastAsia="宋体" w:cs="Times New Roman"/>
          <w:szCs w:val="21"/>
        </w:rPr>
      </w:pPr>
      <w:r>
        <w:rPr>
          <w:rFonts w:ascii="宋体" w:hAnsi="宋体" w:eastAsia="宋体" w:cs="Times New Roman"/>
          <w:bCs/>
          <w:szCs w:val="21"/>
        </w:rPr>
        <w:t>其次，</w:t>
      </w:r>
      <w:r>
        <w:rPr>
          <w:rFonts w:ascii="宋体" w:hAnsi="宋体" w:eastAsia="宋体" w:cs="Times New Roman"/>
          <w:szCs w:val="21"/>
        </w:rPr>
        <w:t>提高国民素质，不能仅倚靠那些所谓处于人口数量金字塔顶的高</w:t>
      </w:r>
      <w:r>
        <w:rPr>
          <w:rFonts w:ascii="宋体" w:hAnsi="宋体" w:eastAsia="宋体" w:cs="Times New Roman"/>
          <w:bCs/>
          <w:szCs w:val="21"/>
        </w:rPr>
        <w:t>质</w:t>
      </w:r>
      <w:r>
        <w:rPr>
          <w:rFonts w:ascii="宋体" w:hAnsi="宋体" w:eastAsia="宋体" w:cs="Times New Roman"/>
          <w:szCs w:val="21"/>
        </w:rPr>
        <w:t>人群。国家人口素质的全面提高也非如此可一蹴而就。况且</w:t>
      </w:r>
      <w:r>
        <w:rPr>
          <w:rFonts w:ascii="宋体" w:hAnsi="宋体" w:eastAsia="宋体" w:cs="Times New Roman"/>
          <w:bCs/>
          <w:szCs w:val="21"/>
        </w:rPr>
        <w:t>，</w:t>
      </w:r>
      <w:r>
        <w:rPr>
          <w:rFonts w:ascii="宋体" w:hAnsi="宋体" w:eastAsia="宋体" w:cs="Times New Roman"/>
          <w:szCs w:val="21"/>
        </w:rPr>
        <w:t>在目前的中国，整个民族素质的提高，同人口总量的“先控后减”密切相关。也就是说，中国人口的最大问题是规模问题，这绝对是首要的问题。规模庞大的人口总量是我国现代化进程中始终不该规避也难以规避的障碍，任何重要的、与人口或劳动力有关的政策出台，都只能把规模问题放在首位来考虑。高质群体多生孩子无疑会进一步增加人口，这不仅有悖于人口总量的减少，对于提高高质群体的比例也是杯水车薪。尤其是在未来10年生育水平处于回升状态和生育小高峰期间（张维庆语），更应倍加重视。</w:t>
      </w:r>
    </w:p>
    <w:p w14:paraId="51BB342A">
      <w:pPr>
        <w:spacing w:line="400" w:lineRule="exact"/>
        <w:ind w:firstLine="420" w:firstLineChars="200"/>
        <w:rPr>
          <w:rFonts w:ascii="宋体" w:hAnsi="宋体" w:eastAsia="宋体" w:cs="Times New Roman"/>
          <w:bCs/>
          <w:szCs w:val="21"/>
        </w:rPr>
      </w:pPr>
      <w:r>
        <w:rPr>
          <w:rFonts w:ascii="宋体" w:hAnsi="宋体" w:eastAsia="宋体" w:cs="Times New Roman"/>
          <w:szCs w:val="21"/>
        </w:rPr>
        <w:t>第三，从国家范围来说，少生可以使每个人得到更多的教育等公共资源</w:t>
      </w:r>
      <w:r>
        <w:rPr>
          <w:rFonts w:hint="eastAsia" w:ascii="宋体" w:hAnsi="宋体" w:eastAsia="宋体" w:cs="Times New Roman"/>
          <w:szCs w:val="21"/>
        </w:rPr>
        <w:t>。</w:t>
      </w:r>
      <w:r>
        <w:rPr>
          <w:rFonts w:ascii="宋体" w:hAnsi="宋体" w:eastAsia="宋体" w:cs="Times New Roman"/>
          <w:szCs w:val="21"/>
        </w:rPr>
        <w:t>而对于绝大多数家庭来说，几乎谁都知道培养一个子女的困难比两个三个要小，且下一代获得的教育也会更好。允许高质生二，表面上看也许达到了某种“平衡”，但实际上整个国家的教育等公共资源，相对每一个个体来说却并没有相应增加。就中国各种资源人均拥有量看，保持一对夫妇只生一个并不断提高其家庭的就业和福利水平，已是够紧张的。那么，在资源有限和不足的情况下，保证农民等所谓“低素质”家庭的一个子女能够有良好的受教育和就业机会，便是提高整个民族素质的要义之一。</w:t>
      </w:r>
      <w:r>
        <w:rPr>
          <w:rFonts w:ascii="宋体" w:hAnsi="宋体" w:eastAsia="宋体" w:cs="Times New Roman"/>
          <w:szCs w:val="21"/>
          <w:vertAlign w:val="superscript"/>
        </w:rPr>
        <w:footnoteReference w:id="616"/>
      </w:r>
    </w:p>
    <w:p w14:paraId="31120608">
      <w:pPr>
        <w:autoSpaceDE w:val="0"/>
        <w:autoSpaceDN w:val="0"/>
        <w:spacing w:line="360" w:lineRule="auto"/>
        <w:ind w:firstLine="504"/>
        <w:jc w:val="center"/>
        <w:rPr>
          <w:rFonts w:eastAsia="宋体" w:asciiTheme="majorHAnsi" w:hAnsiTheme="majorHAnsi" w:cstheme="majorBidi"/>
          <w:b/>
          <w:bCs/>
          <w:kern w:val="28"/>
          <w:szCs w:val="32"/>
        </w:rPr>
      </w:pPr>
      <w:r>
        <w:rPr>
          <w:rFonts w:hint="eastAsia" w:eastAsia="宋体" w:asciiTheme="majorHAnsi" w:hAnsiTheme="majorHAnsi" w:cstheme="majorBidi"/>
          <w:b/>
          <w:bCs/>
          <w:kern w:val="28"/>
          <w:sz w:val="24"/>
          <w:szCs w:val="32"/>
        </w:rPr>
        <w:t>七、回应头胎较憨说</w:t>
      </w:r>
    </w:p>
    <w:p w14:paraId="52D0EB06">
      <w:pPr>
        <w:widowControl/>
        <w:spacing w:line="400" w:lineRule="exact"/>
        <w:ind w:firstLine="420" w:firstLineChars="200"/>
        <w:rPr>
          <w:rFonts w:ascii="宋体" w:hAnsi="宋体" w:eastAsia="宋体" w:cs="Times New Roman"/>
          <w:szCs w:val="21"/>
        </w:rPr>
      </w:pPr>
      <w:r>
        <w:rPr>
          <w:rFonts w:ascii="宋体" w:hAnsi="宋体" w:eastAsia="宋体" w:cs="Times New Roman"/>
          <w:szCs w:val="21"/>
        </w:rPr>
        <w:t>中国民间有一个说法：“老大憨，老二精，老三最聪敏。”这一“俗语”也被一些主张放开二胎的论者拿来作为论据。其实，这个论据实在不怎么有力。</w:t>
      </w:r>
    </w:p>
    <w:p w14:paraId="5BF76336">
      <w:pPr>
        <w:widowControl/>
        <w:spacing w:line="400" w:lineRule="exact"/>
        <w:ind w:firstLine="420" w:firstLineChars="200"/>
        <w:rPr>
          <w:rFonts w:ascii="宋体" w:hAnsi="宋体" w:eastAsia="宋体" w:cs="Times New Roman"/>
          <w:szCs w:val="21"/>
        </w:rPr>
      </w:pPr>
      <w:r>
        <w:rPr>
          <w:rFonts w:ascii="宋体" w:hAnsi="宋体" w:eastAsia="宋体" w:cs="Times New Roman"/>
          <w:szCs w:val="21"/>
        </w:rPr>
        <w:t>（1）“憨”为何义？老大为什么“憨”？首先要指出，这一说法可能算不上一个俗语，倒似顺口溜。所谓俗语，一般反映出某些人群的生活经验。那么，“老大憨”的说法真的反映了人们的普遍生活经验？事实上，这种好似经验总结的“老大憨”，不过是一种假象而已。</w:t>
      </w:r>
    </w:p>
    <w:p w14:paraId="21CB1720">
      <w:pPr>
        <w:widowControl/>
        <w:spacing w:line="400" w:lineRule="exact"/>
        <w:ind w:firstLine="420" w:firstLineChars="200"/>
        <w:rPr>
          <w:rFonts w:ascii="宋体" w:hAnsi="宋体" w:eastAsia="宋体" w:cs="Times New Roman"/>
          <w:szCs w:val="21"/>
        </w:rPr>
      </w:pPr>
      <w:r>
        <w:rPr>
          <w:rFonts w:ascii="宋体" w:hAnsi="宋体" w:eastAsia="宋体" w:cs="Times New Roman"/>
          <w:szCs w:val="21"/>
        </w:rPr>
        <w:t>其一，第一个孩子出生了，初为父母者少有生养和教育的经验，一般只能在摸索中养育。孩子在这样的情况下长大，好像有些“憨”了。到第二个第三个孩子时，父母有些养育的经验了，孩子会比第一个孩子教育得好一些。这样解释为什么“老大憨”，可能又给了主张放开二胎的论者以口实：既然如此，那就应该生第二个第三个孩子呀？</w:t>
      </w:r>
    </w:p>
    <w:p w14:paraId="1DE59740">
      <w:pPr>
        <w:widowControl/>
        <w:spacing w:line="400" w:lineRule="exact"/>
        <w:ind w:firstLine="420" w:firstLineChars="200"/>
        <w:rPr>
          <w:rFonts w:ascii="宋体" w:hAnsi="宋体" w:eastAsia="宋体" w:cs="Times New Roman"/>
          <w:szCs w:val="21"/>
        </w:rPr>
      </w:pPr>
      <w:r>
        <w:rPr>
          <w:rFonts w:ascii="宋体" w:hAnsi="宋体" w:eastAsia="宋体" w:cs="Times New Roman"/>
          <w:szCs w:val="21"/>
        </w:rPr>
        <w:t>其二，请注意，在这里说的是“好像有些‘憨’”。更主要的原因也许在于以下俗语，如“要得好，大让小”；再如“天下爷娘疼小儿”。头胎孩子即老大，在父母和社会上“大让小”的灌输下，自然养成了老实、忍让、吃亏是福、爱护弟弟关心妹妹的品性；老大，在父母生下“老三儿”时，已经长“大”了，能够自己照顾自己了，或说不需要父母特别关照了，因而“天下爷娘疼小儿”。不要以为这样解释牵强，因为还有一个理由：作为老大，总要担负起照看弟妹的任务，有所谓“半个爹妈”的传统做法，有时扮演着兄弟姐妹中的“带头人”和“监护人”角色。</w:t>
      </w:r>
    </w:p>
    <w:p w14:paraId="16D3D0B7">
      <w:pPr>
        <w:widowControl/>
        <w:spacing w:line="400" w:lineRule="exact"/>
        <w:ind w:firstLine="420" w:firstLineChars="200"/>
        <w:rPr>
          <w:rFonts w:ascii="宋体" w:hAnsi="宋体" w:eastAsia="宋体" w:cs="Times New Roman"/>
          <w:szCs w:val="21"/>
        </w:rPr>
      </w:pPr>
      <w:r>
        <w:rPr>
          <w:rFonts w:ascii="宋体" w:hAnsi="宋体" w:eastAsia="宋体" w:cs="Times New Roman"/>
          <w:szCs w:val="21"/>
        </w:rPr>
        <w:t>其三，人类社会总是不会停止它前进的脚步，后出生的老二老三们，总是能够得到比老大多得多的社会刺激、文化信息、生活启迪。换句话说，老二老三们的世界往往比老大们的世界精彩。于是，老大显得憨了点儿。</w:t>
      </w:r>
    </w:p>
    <w:p w14:paraId="06FBB8FA">
      <w:pPr>
        <w:widowControl/>
        <w:spacing w:line="400" w:lineRule="exact"/>
        <w:ind w:firstLine="420" w:firstLineChars="200"/>
        <w:rPr>
          <w:rFonts w:ascii="宋体" w:hAnsi="宋体" w:eastAsia="宋体" w:cs="宋体"/>
          <w:kern w:val="0"/>
          <w:szCs w:val="21"/>
        </w:rPr>
      </w:pPr>
      <w:r>
        <w:rPr>
          <w:rFonts w:ascii="宋体" w:hAnsi="宋体" w:eastAsia="宋体" w:cs="宋体"/>
          <w:kern w:val="0"/>
          <w:szCs w:val="21"/>
        </w:rPr>
        <w:t>（2）“</w:t>
      </w:r>
      <w:r>
        <w:rPr>
          <w:rFonts w:ascii="宋体" w:hAnsi="宋体" w:eastAsia="宋体" w:cs="宋体"/>
          <w:bCs/>
          <w:kern w:val="0"/>
          <w:szCs w:val="21"/>
        </w:rPr>
        <w:t>老大憨”的说法，在制定</w:t>
      </w:r>
      <w:r>
        <w:rPr>
          <w:rFonts w:ascii="宋体" w:hAnsi="宋体" w:eastAsia="宋体" w:cs="宋体"/>
          <w:kern w:val="0"/>
          <w:szCs w:val="21"/>
        </w:rPr>
        <w:t>“只生一个”的政策时，已得到了慎重地讨论和考量。1980年3月开始，国家有关部门专门召开了五次会议，据曾参加过这些座谈会的人口学专家田雪原先生回忆说，讨论“只生一个”这一政策是否可行时，就有人提出民间这一说法，头胎出生的孩子一般都比较憨傻，如果施行一胎政策，会不会导致国人的智力水准下降？当时专家查找了资料，发现美国飞行员中有40﹪都是“老大”，这意味着第一个孩子照样有足够的智力和能力进行复杂的工作。于是，这一说法便被否定了。</w:t>
      </w:r>
    </w:p>
    <w:p w14:paraId="7E820242">
      <w:pPr>
        <w:spacing w:line="400" w:lineRule="exact"/>
        <w:ind w:firstLine="420" w:firstLineChars="200"/>
        <w:rPr>
          <w:rFonts w:ascii="宋体" w:hAnsi="宋体" w:eastAsia="宋体" w:cs="Times New Roman"/>
          <w:bCs/>
          <w:szCs w:val="21"/>
        </w:rPr>
      </w:pPr>
      <w:r>
        <w:rPr>
          <w:rFonts w:ascii="宋体" w:hAnsi="宋体" w:eastAsia="宋体" w:cs="Times New Roman"/>
          <w:szCs w:val="21"/>
        </w:rPr>
        <w:t>（3）个案不能成为</w:t>
      </w:r>
      <w:r>
        <w:rPr>
          <w:rFonts w:ascii="宋体" w:hAnsi="宋体" w:eastAsia="宋体" w:cs="Times New Roman"/>
          <w:bCs/>
          <w:szCs w:val="21"/>
        </w:rPr>
        <w:t>头胎较憨说的论据。</w:t>
      </w:r>
      <w:r>
        <w:rPr>
          <w:rFonts w:ascii="宋体" w:hAnsi="宋体" w:eastAsia="宋体" w:cs="Times New Roman"/>
          <w:szCs w:val="21"/>
        </w:rPr>
        <w:t>不可否认，在现实生活中，有的作为</w:t>
      </w:r>
      <w:r>
        <w:rPr>
          <w:rFonts w:ascii="宋体" w:hAnsi="宋体" w:eastAsia="宋体" w:cs="Times New Roman"/>
          <w:bCs/>
          <w:szCs w:val="21"/>
        </w:rPr>
        <w:t>头胎的</w:t>
      </w:r>
      <w:r>
        <w:rPr>
          <w:rFonts w:ascii="宋体" w:hAnsi="宋体" w:eastAsia="宋体" w:cs="Times New Roman"/>
          <w:szCs w:val="21"/>
        </w:rPr>
        <w:t>老大是有些智力障碍或先天不足。但这怎么也不能归咎于生育胎次，更不能因此而以偏概全。中国目前一些特殊情况下允许生育二胎的现象，由于科技、医疗、优生优育的原因，二胎避免了</w:t>
      </w:r>
      <w:r>
        <w:rPr>
          <w:rFonts w:ascii="宋体" w:hAnsi="宋体" w:eastAsia="宋体" w:cs="Times New Roman"/>
          <w:bCs/>
          <w:szCs w:val="21"/>
        </w:rPr>
        <w:t>头胎孩子的一些</w:t>
      </w:r>
      <w:r>
        <w:rPr>
          <w:rFonts w:ascii="宋体" w:hAnsi="宋体" w:eastAsia="宋体" w:cs="Times New Roman"/>
          <w:szCs w:val="21"/>
        </w:rPr>
        <w:t>先天不足，这岂能生拉硬扯过来作为</w:t>
      </w:r>
      <w:r>
        <w:rPr>
          <w:rFonts w:ascii="宋体" w:hAnsi="宋体" w:eastAsia="宋体" w:cs="Times New Roman"/>
          <w:bCs/>
          <w:szCs w:val="21"/>
        </w:rPr>
        <w:t>头胎较憨说的普遍论据？</w:t>
      </w:r>
    </w:p>
    <w:p w14:paraId="5F5D5504">
      <w:pPr>
        <w:autoSpaceDE w:val="0"/>
        <w:autoSpaceDN w:val="0"/>
        <w:spacing w:line="360" w:lineRule="auto"/>
        <w:ind w:firstLine="504"/>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八、回应兵源风险说</w:t>
      </w:r>
    </w:p>
    <w:p w14:paraId="6DC47968">
      <w:pPr>
        <w:spacing w:line="400" w:lineRule="exact"/>
        <w:ind w:firstLine="420" w:firstLineChars="200"/>
        <w:rPr>
          <w:rFonts w:ascii="宋体" w:hAnsi="宋体" w:eastAsia="宋体" w:cs="Times New Roman"/>
          <w:szCs w:val="21"/>
        </w:rPr>
      </w:pPr>
      <w:r>
        <w:rPr>
          <w:rFonts w:ascii="宋体" w:hAnsi="宋体" w:eastAsia="宋体" w:cs="Times New Roman"/>
          <w:szCs w:val="21"/>
        </w:rPr>
        <w:t>有论者认为，基于独生子女的成长风险，国家一旦遭受战争，如果独生子女比例过高，对兵源和士气的影响是显而易见的。兵源逐渐短缺，可挑兵员越来越少。一旦发生战事或需要独生子女及其家庭奉献时，国防风险也就随之存在。</w:t>
      </w:r>
      <w:r>
        <w:rPr>
          <w:rFonts w:ascii="宋体" w:hAnsi="宋体" w:eastAsia="宋体" w:cs="Times New Roman"/>
          <w:szCs w:val="21"/>
          <w:vertAlign w:val="superscript"/>
        </w:rPr>
        <w:footnoteReference w:id="617"/>
      </w:r>
      <w:r>
        <w:rPr>
          <w:rFonts w:ascii="宋体" w:hAnsi="宋体" w:eastAsia="宋体" w:cs="Times New Roman"/>
          <w:szCs w:val="21"/>
        </w:rPr>
        <w:t>笔者认为，这是一个可以相对合理解决的问题。</w:t>
      </w:r>
    </w:p>
    <w:p w14:paraId="50CE0E1E">
      <w:pPr>
        <w:spacing w:line="400" w:lineRule="exact"/>
        <w:ind w:firstLine="420" w:firstLineChars="200"/>
        <w:rPr>
          <w:rFonts w:ascii="宋体" w:hAnsi="宋体" w:eastAsia="宋体" w:cs="Times New Roman"/>
          <w:szCs w:val="21"/>
        </w:rPr>
      </w:pPr>
      <w:r>
        <w:rPr>
          <w:rFonts w:ascii="宋体" w:hAnsi="宋体" w:eastAsia="宋体" w:cs="Times New Roman"/>
          <w:szCs w:val="21"/>
        </w:rPr>
        <w:t>首先，从绝对量上说，中国在整个21世纪不会存在兵源不足问题。即使2100年之后中国人口绝对数量只有新中国建国前的水平，也不会存在什么兵源总量“风险”问题。难道3亿、4亿人口以下的众多国家和独生子女较多的发达国家就不存在所谓“风险”？况且，现代战争的胜负主要不取决于军队的人数。</w:t>
      </w:r>
    </w:p>
    <w:p w14:paraId="0297386D">
      <w:pPr>
        <w:spacing w:line="400" w:lineRule="exact"/>
        <w:ind w:firstLine="420" w:firstLineChars="200"/>
        <w:rPr>
          <w:rFonts w:ascii="宋体" w:hAnsi="宋体" w:eastAsia="宋体" w:cs="Times New Roman"/>
          <w:szCs w:val="21"/>
        </w:rPr>
      </w:pPr>
      <w:r>
        <w:rPr>
          <w:rFonts w:ascii="宋体" w:hAnsi="宋体" w:eastAsia="宋体" w:cs="Times New Roman"/>
          <w:szCs w:val="21"/>
        </w:rPr>
        <w:t>其次，不论在现实正常生活中，还是在征兵和战场上，我们都不能把“独生子女”的生命权凌驾于“多子女”之上。因为人的平等关键在于宪法所规定的权利和义务上的平等。当今世界各国的宪法，比较普遍地规定了公民服兵役的基本义务，这是民族国家抵御外侮、戡定内乱的客观要求（日本属于例外）。</w:t>
      </w:r>
      <w:r>
        <w:rPr>
          <w:rFonts w:ascii="宋体" w:hAnsi="宋体" w:eastAsia="宋体" w:cs="Times New Roman"/>
          <w:szCs w:val="21"/>
          <w:vertAlign w:val="superscript"/>
        </w:rPr>
        <w:footnoteReference w:id="618"/>
      </w:r>
      <w:r>
        <w:rPr>
          <w:rFonts w:ascii="宋体" w:hAnsi="宋体" w:eastAsia="宋体" w:cs="Times New Roman"/>
          <w:szCs w:val="21"/>
        </w:rPr>
        <w:t>《希腊共和国宪法》第13条第4款还规定，“任何人均不得以其宗教信仰为理由，拒绝履行对国家的义务或不遵守法律。”这里面“对国家的义务”，当然包括服兵役的义务。我国兵役法第3条一般性地规定了公民平等服兵役的义务：中华人民共和国公民，不分民族、种族、职业、家庭出身、宗教信仰和教育程度，都有义务依照本法的规定服兵役。</w:t>
      </w:r>
    </w:p>
    <w:p w14:paraId="6B0497BF">
      <w:pPr>
        <w:spacing w:line="400" w:lineRule="exact"/>
        <w:ind w:firstLine="420" w:firstLineChars="200"/>
        <w:rPr>
          <w:rFonts w:ascii="宋体" w:hAnsi="宋体" w:eastAsia="宋体" w:cs="Times New Roman"/>
          <w:szCs w:val="21"/>
        </w:rPr>
      </w:pPr>
      <w:r>
        <w:rPr>
          <w:rFonts w:ascii="宋体" w:hAnsi="宋体" w:eastAsia="宋体" w:cs="Times New Roman"/>
          <w:szCs w:val="21"/>
        </w:rPr>
        <w:t>可见，中国不存在缺少兵源的问题，中国也不必担心“国防已开始由‘小皇帝’们来守卫了”的问题</w:t>
      </w:r>
      <w:r>
        <w:rPr>
          <w:rFonts w:ascii="宋体" w:hAnsi="宋体" w:eastAsia="宋体" w:cs="Times New Roman"/>
          <w:szCs w:val="21"/>
          <w:vertAlign w:val="superscript"/>
        </w:rPr>
        <w:footnoteReference w:id="619"/>
      </w:r>
      <w:r>
        <w:rPr>
          <w:rFonts w:ascii="宋体" w:hAnsi="宋体" w:eastAsia="宋体" w:cs="Times New Roman"/>
          <w:szCs w:val="21"/>
        </w:rPr>
        <w:t>。独生子女兵与非独生子女兵不存在性格、能力、人格贵贱等区别。所谓国防风险等说法，不应成为反对“一胎化”的理由。不过，国家应对包括兵役逝世或伤残在内的非正常人生夭折或失去劳动能力的不同情况，立法给予高低不一的家庭补贴或保障。</w:t>
      </w:r>
    </w:p>
    <w:p w14:paraId="7F65C8D3">
      <w:pPr>
        <w:autoSpaceDE w:val="0"/>
        <w:autoSpaceDN w:val="0"/>
        <w:spacing w:line="360" w:lineRule="auto"/>
        <w:ind w:firstLine="504"/>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九、回应大国空巢说</w:t>
      </w:r>
    </w:p>
    <w:p w14:paraId="3B1A000F">
      <w:pPr>
        <w:spacing w:line="400" w:lineRule="exact"/>
        <w:ind w:firstLine="420" w:firstLineChars="200"/>
        <w:rPr>
          <w:rFonts w:ascii="宋体" w:hAnsi="宋体" w:eastAsia="宋体" w:cs="Times New Roman"/>
          <w:bCs/>
          <w:szCs w:val="21"/>
        </w:rPr>
      </w:pPr>
      <w:r>
        <w:rPr>
          <w:rFonts w:ascii="宋体" w:hAnsi="宋体" w:eastAsia="宋体" w:cs="Times New Roman"/>
          <w:bCs/>
          <w:szCs w:val="21"/>
        </w:rPr>
        <w:t>在主张放开生育政策的论者中，有一个骇人听闻的大国空巢说。论者认为，中国的计划生育政策已经导致了大国空巢、劳力短缺、学校破产；笃信“早婚早育多子多福”、“不孝有三无后为大”和“人口大国优势论”、“生育文化决定论（</w:t>
      </w:r>
      <w:r>
        <w:rPr>
          <w:rFonts w:ascii="宋体" w:hAnsi="宋体" w:eastAsia="宋体" w:cs="Arial"/>
          <w:szCs w:val="21"/>
        </w:rPr>
        <w:t>各民族的博弈归根到底是生育文化的博弈）</w:t>
      </w:r>
      <w:r>
        <w:rPr>
          <w:rFonts w:ascii="宋体" w:hAnsi="宋体" w:eastAsia="宋体" w:cs="Times New Roman"/>
          <w:bCs/>
          <w:szCs w:val="21"/>
        </w:rPr>
        <w:t>”、“人口多多益善论”，“</w:t>
      </w:r>
      <w:r>
        <w:rPr>
          <w:rFonts w:ascii="宋体" w:hAnsi="宋体" w:eastAsia="宋体" w:cs="Times New Roman"/>
          <w:szCs w:val="21"/>
        </w:rPr>
        <w:t>中国的人口过多只是一个流传很广的谎言”</w:t>
      </w:r>
      <w:r>
        <w:rPr>
          <w:rFonts w:ascii="宋体" w:hAnsi="宋体" w:eastAsia="宋体" w:cs="Times New Roman"/>
          <w:bCs/>
          <w:szCs w:val="21"/>
        </w:rPr>
        <w:t>；主张</w:t>
      </w:r>
      <w:r>
        <w:rPr>
          <w:rFonts w:ascii="宋体" w:hAnsi="宋体" w:eastAsia="宋体" w:cs="Arial"/>
          <w:szCs w:val="21"/>
        </w:rPr>
        <w:t>“全球环境污染没有人们想象的那么严重</w:t>
      </w:r>
      <w:r>
        <w:rPr>
          <w:rFonts w:ascii="宋体" w:hAnsi="宋体" w:eastAsia="宋体" w:cs="Times New Roman"/>
          <w:bCs/>
          <w:szCs w:val="21"/>
        </w:rPr>
        <w:t>”，中国的一切问题“都是中国</w:t>
      </w:r>
      <w:r>
        <w:rPr>
          <w:rFonts w:ascii="宋体" w:hAnsi="宋体" w:eastAsia="宋体" w:cs="Times New Roman"/>
          <w:szCs w:val="21"/>
        </w:rPr>
        <w:t>走入歧途的</w:t>
      </w:r>
      <w:r>
        <w:rPr>
          <w:rFonts w:ascii="宋体" w:hAnsi="宋体" w:eastAsia="宋体" w:cs="Times New Roman"/>
          <w:bCs/>
          <w:szCs w:val="21"/>
        </w:rPr>
        <w:t>计划生育惹的祸”等等</w:t>
      </w:r>
      <w:r>
        <w:rPr>
          <w:rFonts w:ascii="宋体" w:hAnsi="宋体" w:eastAsia="宋体" w:cs="Times New Roman"/>
          <w:szCs w:val="21"/>
          <w:vertAlign w:val="superscript"/>
        </w:rPr>
        <w:footnoteReference w:id="620"/>
      </w:r>
      <w:r>
        <w:rPr>
          <w:rFonts w:ascii="宋体" w:hAnsi="宋体" w:eastAsia="宋体" w:cs="Times New Roman"/>
          <w:bCs/>
          <w:szCs w:val="21"/>
        </w:rPr>
        <w:t>。限于篇幅，以下只分析其若干谬误。</w:t>
      </w:r>
    </w:p>
    <w:p w14:paraId="6AC2F5D7">
      <w:pPr>
        <w:autoSpaceDE w:val="0"/>
        <w:autoSpaceDN w:val="0"/>
        <w:spacing w:line="400" w:lineRule="exact"/>
        <w:ind w:firstLine="420" w:firstLineChars="200"/>
        <w:rPr>
          <w:rFonts w:ascii="宋体" w:hAnsi="宋体" w:eastAsia="宋体" w:cs="Times New Roman"/>
          <w:szCs w:val="21"/>
        </w:rPr>
      </w:pPr>
      <w:r>
        <w:rPr>
          <w:rFonts w:ascii="宋体" w:hAnsi="宋体" w:eastAsia="宋体" w:cs="Times New Roman"/>
          <w:bCs/>
          <w:szCs w:val="21"/>
        </w:rPr>
        <w:t>（1）大国空巢说一向不以</w:t>
      </w:r>
      <w:r>
        <w:rPr>
          <w:rFonts w:ascii="宋体" w:hAnsi="宋体" w:eastAsia="宋体" w:cs="Times New Roman"/>
          <w:szCs w:val="21"/>
        </w:rPr>
        <w:t>中国国情作为观察和述说的出发点。</w:t>
      </w:r>
      <w:r>
        <w:rPr>
          <w:rFonts w:ascii="宋体" w:hAnsi="宋体" w:eastAsia="宋体" w:cs="宋体"/>
          <w:kern w:val="0"/>
          <w:szCs w:val="21"/>
        </w:rPr>
        <w:t>温家宝总理</w:t>
      </w:r>
      <w:r>
        <w:rPr>
          <w:rFonts w:ascii="宋体" w:hAnsi="宋体" w:eastAsia="宋体" w:cs="Courier"/>
          <w:kern w:val="0"/>
          <w:szCs w:val="21"/>
        </w:rPr>
        <w:t>2003</w:t>
      </w:r>
      <w:r>
        <w:rPr>
          <w:rFonts w:ascii="宋体" w:hAnsi="宋体" w:eastAsia="宋体" w:cs="宋体"/>
          <w:kern w:val="0"/>
          <w:szCs w:val="21"/>
        </w:rPr>
        <w:t>年在美国哈佛大学演讲时</w:t>
      </w:r>
      <w:r>
        <w:rPr>
          <w:rFonts w:ascii="宋体" w:hAnsi="宋体" w:eastAsia="宋体" w:cs="TimesNewRoman"/>
          <w:kern w:val="0"/>
          <w:szCs w:val="21"/>
        </w:rPr>
        <w:t>指出：“</w:t>
      </w:r>
      <w:r>
        <w:rPr>
          <w:rFonts w:ascii="宋体" w:hAnsi="宋体" w:eastAsia="宋体" w:cs="Times New Roman"/>
          <w:szCs w:val="21"/>
        </w:rPr>
        <w:t>人多，不发达，这是中国的两大国情。中国有13亿人口，不管多么小的问题，只要乘以13亿，那就成为很大很大的问题；不管多么可观的财力、物力，只要除以13亿，那就成为很低很低的人均水平。这是中国领导人任何时候都必须牢牢记住的。”</w:t>
      </w:r>
      <w:r>
        <w:rPr>
          <w:rFonts w:ascii="宋体" w:hAnsi="宋体" w:eastAsia="宋体" w:cs="Times New Roman"/>
          <w:szCs w:val="21"/>
          <w:vertAlign w:val="superscript"/>
        </w:rPr>
        <w:footnoteReference w:id="621"/>
      </w:r>
    </w:p>
    <w:p w14:paraId="2814F87F">
      <w:pPr>
        <w:spacing w:line="400" w:lineRule="exact"/>
        <w:ind w:firstLine="420" w:firstLineChars="200"/>
        <w:rPr>
          <w:rFonts w:ascii="宋体" w:hAnsi="宋体" w:eastAsia="宋体" w:cs="Times New Roman"/>
          <w:bCs/>
          <w:szCs w:val="21"/>
        </w:rPr>
      </w:pPr>
      <w:r>
        <w:rPr>
          <w:rFonts w:ascii="宋体" w:hAnsi="宋体" w:eastAsia="宋体" w:cs="Times New Roman"/>
          <w:kern w:val="0"/>
          <w:szCs w:val="21"/>
        </w:rPr>
        <w:t>其一，论者对中国人口总量的压力是漠视的。截至2007年末，中国总人口为13.21万人</w:t>
      </w:r>
      <w:r>
        <w:rPr>
          <w:rFonts w:ascii="宋体" w:hAnsi="宋体" w:eastAsia="宋体" w:cs="Times New Roman"/>
          <w:kern w:val="0"/>
          <w:szCs w:val="21"/>
          <w:vertAlign w:val="superscript"/>
        </w:rPr>
        <w:footnoteReference w:id="622"/>
      </w:r>
      <w:r>
        <w:rPr>
          <w:rFonts w:hint="eastAsia" w:ascii="宋体" w:hAnsi="宋体" w:eastAsia="宋体" w:cs="Times New Roman"/>
          <w:kern w:val="0"/>
          <w:szCs w:val="21"/>
        </w:rPr>
        <w:t>（</w:t>
      </w:r>
      <w:r>
        <w:rPr>
          <w:rFonts w:ascii="宋体" w:hAnsi="宋体" w:eastAsia="宋体" w:cs="Times New Roman"/>
          <w:szCs w:val="21"/>
        </w:rPr>
        <w:t>2008年底</w:t>
      </w:r>
      <w:r>
        <w:rPr>
          <w:rFonts w:hint="eastAsia" w:ascii="宋体" w:hAnsi="宋体" w:eastAsia="宋体" w:cs="Times New Roman"/>
          <w:szCs w:val="21"/>
        </w:rPr>
        <w:t>达</w:t>
      </w:r>
      <w:r>
        <w:rPr>
          <w:rFonts w:ascii="宋体" w:hAnsi="宋体" w:eastAsia="宋体" w:cs="Times New Roman"/>
          <w:szCs w:val="21"/>
        </w:rPr>
        <w:t>13.28亿</w:t>
      </w:r>
      <w:r>
        <w:rPr>
          <w:rFonts w:hint="eastAsia" w:ascii="宋体" w:hAnsi="宋体" w:eastAsia="宋体" w:cs="Times New Roman"/>
          <w:szCs w:val="21"/>
        </w:rPr>
        <w:t>人</w:t>
      </w:r>
      <w:r>
        <w:rPr>
          <w:rFonts w:hint="eastAsia" w:ascii="宋体" w:hAnsi="宋体" w:eastAsia="宋体" w:cs="Times New Roman"/>
          <w:kern w:val="0"/>
          <w:szCs w:val="21"/>
        </w:rPr>
        <w:t>），</w:t>
      </w:r>
      <w:r>
        <w:rPr>
          <w:rFonts w:ascii="宋体" w:hAnsi="宋体" w:eastAsia="宋体" w:cs="Times New Roman"/>
          <w:kern w:val="0"/>
          <w:szCs w:val="21"/>
        </w:rPr>
        <w:t>尽管自然增长率已处于低位，但是在未来的近40年内还将有3亿的增幅。仅据学界中位方案预测，2045年将达峰值规模15.34亿人。</w:t>
      </w:r>
      <w:r>
        <w:rPr>
          <w:rFonts w:ascii="宋体" w:hAnsi="宋体" w:eastAsia="宋体" w:cs="Times New Roman"/>
          <w:kern w:val="0"/>
          <w:szCs w:val="21"/>
          <w:vertAlign w:val="superscript"/>
        </w:rPr>
        <w:footnoteReference w:id="623"/>
      </w:r>
      <w:r>
        <w:rPr>
          <w:rFonts w:ascii="宋体" w:hAnsi="宋体" w:eastAsia="宋体" w:cs="Times New Roman"/>
          <w:kern w:val="0"/>
          <w:szCs w:val="21"/>
        </w:rPr>
        <w:t>人口压力有增无减。</w:t>
      </w:r>
      <w:r>
        <w:rPr>
          <w:rFonts w:ascii="宋体" w:hAnsi="宋体" w:eastAsia="宋体" w:cs="Times New Roman"/>
          <w:bCs/>
          <w:szCs w:val="21"/>
        </w:rPr>
        <w:t>大国空巢说</w:t>
      </w:r>
      <w:r>
        <w:rPr>
          <w:rFonts w:ascii="宋体" w:hAnsi="宋体" w:eastAsia="宋体" w:cs="Times New Roman"/>
          <w:szCs w:val="21"/>
        </w:rPr>
        <w:t>漠视中国“最大的实际”——初级阶段人口多、底子薄的基本国情，对中国人口仍在继续增长、生育率仍存在反弹（甚至一“放”即发）的可能性视而不见（希望生两个及以上孩子的妇女比例达70.7﹪）</w:t>
      </w:r>
      <w:r>
        <w:rPr>
          <w:rFonts w:ascii="宋体" w:hAnsi="宋体" w:eastAsia="宋体" w:cs="Times New Roman"/>
          <w:szCs w:val="21"/>
          <w:vertAlign w:val="superscript"/>
        </w:rPr>
        <w:footnoteReference w:id="624"/>
      </w:r>
      <w:r>
        <w:rPr>
          <w:rFonts w:ascii="宋体" w:hAnsi="宋体" w:eastAsia="宋体" w:cs="Times New Roman"/>
          <w:szCs w:val="21"/>
        </w:rPr>
        <w:t>，而对中国控制人口的负面影响却夸大其辞，以至于认为当初马寅初和中央倡导计划生育本来就是错误的。</w:t>
      </w:r>
      <w:r>
        <w:rPr>
          <w:rFonts w:ascii="宋体" w:hAnsi="宋体" w:eastAsia="宋体" w:cs="Times New Roman"/>
          <w:kern w:val="0"/>
          <w:szCs w:val="21"/>
        </w:rPr>
        <w:t>中共中央、国务院《</w:t>
      </w:r>
      <w:r>
        <w:rPr>
          <w:rFonts w:ascii="宋体" w:hAnsi="宋体" w:eastAsia="宋体" w:cs="宋体"/>
          <w:kern w:val="0"/>
          <w:szCs w:val="21"/>
        </w:rPr>
        <w:t>关于加强人口与计划生育工作稳定低生育水平的决定》认为，虽然已经进入低生育水平阶段，但“</w:t>
      </w:r>
      <w:r>
        <w:rPr>
          <w:rFonts w:ascii="宋体" w:hAnsi="宋体" w:eastAsia="宋体" w:cs="宋体"/>
          <w:kern w:val="0"/>
          <w:szCs w:val="21"/>
          <w:lang w:val="zh-CN"/>
        </w:rPr>
        <w:t>人口过多仍是我国首要的问题”，</w:t>
      </w:r>
      <w:r>
        <w:rPr>
          <w:rFonts w:ascii="宋体" w:hAnsi="宋体" w:eastAsia="宋体" w:cs="宋体"/>
          <w:kern w:val="0"/>
          <w:szCs w:val="21"/>
        </w:rPr>
        <w:t>人口数量问题在今后相当长的一个时期内仍将是中国社会经济发展的首要制约因素。</w:t>
      </w:r>
      <w:r>
        <w:rPr>
          <w:rFonts w:ascii="宋体" w:hAnsi="宋体" w:eastAsia="宋体" w:cs="宋体"/>
          <w:kern w:val="0"/>
          <w:szCs w:val="21"/>
          <w:vertAlign w:val="superscript"/>
        </w:rPr>
        <w:footnoteReference w:id="625"/>
      </w:r>
    </w:p>
    <w:p w14:paraId="7A0C6AE6">
      <w:pPr>
        <w:spacing w:line="400" w:lineRule="exact"/>
        <w:ind w:firstLine="420" w:firstLineChars="200"/>
        <w:rPr>
          <w:rFonts w:ascii="宋体" w:hAnsi="宋体" w:eastAsia="宋体" w:cs="Times New Roman"/>
          <w:szCs w:val="21"/>
        </w:rPr>
      </w:pPr>
      <w:r>
        <w:rPr>
          <w:rFonts w:ascii="宋体" w:hAnsi="宋体" w:eastAsia="宋体" w:cs="Times New Roman"/>
          <w:szCs w:val="21"/>
        </w:rPr>
        <w:t xml:space="preserve">中国的人多，这是一个不争的事实。当今，许多关乎中国国家大事的问题，归根结底往往都是因人口的规模过大。资源、环境、就业、住房、教育、交通、治安、分配、外贸等等问题，有哪一个与人口过多无关？简言之，人口总量制约着我国一切政策的制定和调整，这是中国最大的实际。 </w:t>
      </w:r>
    </w:p>
    <w:p w14:paraId="53F1C9CD">
      <w:pPr>
        <w:autoSpaceDE w:val="0"/>
        <w:autoSpaceDN w:val="0"/>
        <w:spacing w:line="400" w:lineRule="exact"/>
        <w:ind w:firstLine="420" w:firstLineChars="200"/>
        <w:rPr>
          <w:rFonts w:ascii="宋体" w:hAnsi="宋体" w:eastAsia="宋体" w:cs="Times New Roman"/>
          <w:kern w:val="0"/>
          <w:szCs w:val="21"/>
        </w:rPr>
      </w:pPr>
      <w:r>
        <w:rPr>
          <w:rFonts w:ascii="宋体" w:hAnsi="宋体" w:eastAsia="宋体" w:cs="Times New Roman"/>
          <w:kern w:val="0"/>
          <w:szCs w:val="21"/>
        </w:rPr>
        <w:t>其二，论者对中国</w:t>
      </w:r>
      <w:r>
        <w:rPr>
          <w:rFonts w:ascii="宋体" w:hAnsi="宋体" w:eastAsia="宋体" w:cs="宋体"/>
          <w:kern w:val="0"/>
          <w:szCs w:val="21"/>
        </w:rPr>
        <w:t>就业方面的巨大压力</w:t>
      </w:r>
      <w:r>
        <w:rPr>
          <w:rFonts w:ascii="宋体" w:hAnsi="宋体" w:eastAsia="宋体" w:cs="Times New Roman"/>
          <w:kern w:val="0"/>
          <w:szCs w:val="21"/>
        </w:rPr>
        <w:t>是麻木的。</w:t>
      </w:r>
      <w:r>
        <w:rPr>
          <w:rFonts w:ascii="宋体" w:hAnsi="宋体" w:eastAsia="宋体" w:cs="Times New Roman"/>
          <w:szCs w:val="21"/>
        </w:rPr>
        <w:t>据多数学者的研究和预测，在目前生育率不变的前提下，中国未来几十年内将会面临一个来势汹猛的就业高峰，承担前所未有的失业压力。如按袁守启的预测，今后20年内，劳动力将始终处于供大于求的严重失衡状态。2000年劳动力供给为7.14亿，2010年上升为7.82亿，2020年7.75亿，而2010年劳动力的最大需求为7.4亿，2020年仍为7.4亿。2010年和2020年的失业率分别为5.18%和4.42%，失业人口分别为4000万和3400万。</w:t>
      </w:r>
      <w:r>
        <w:rPr>
          <w:rFonts w:ascii="宋体" w:hAnsi="宋体" w:eastAsia="宋体" w:cs="Times New Roman"/>
          <w:szCs w:val="21"/>
          <w:vertAlign w:val="superscript"/>
        </w:rPr>
        <w:footnoteReference w:id="626"/>
      </w:r>
      <w:r>
        <w:rPr>
          <w:rFonts w:ascii="宋体" w:hAnsi="宋体" w:eastAsia="宋体" w:cs="Times New Roman"/>
          <w:kern w:val="0"/>
          <w:szCs w:val="21"/>
        </w:rPr>
        <w:t>按另一种算法，以女16～54岁和男16～59岁为劳动年龄人口进行预测，2010～2030年将持续在9亿左右，比重约为64﹪，本世纪前50年劳动年龄人口增幅将持续快于总人口增幅，每年新增劳动年龄人口1100多万。</w:t>
      </w:r>
      <w:r>
        <w:rPr>
          <w:rFonts w:ascii="宋体" w:hAnsi="宋体" w:eastAsia="宋体" w:cs="Times New Roman"/>
          <w:szCs w:val="21"/>
        </w:rPr>
        <w:t>与此同时，</w:t>
      </w:r>
      <w:r>
        <w:rPr>
          <w:rFonts w:ascii="宋体" w:hAnsi="宋体" w:eastAsia="宋体" w:cs="Times New Roman"/>
          <w:kern w:val="0"/>
          <w:szCs w:val="21"/>
        </w:rPr>
        <w:t>本世纪头30年随着非农化速度的加快，农村剩余劳动力人口约保持在2亿。</w:t>
      </w:r>
      <w:r>
        <w:rPr>
          <w:rFonts w:ascii="宋体" w:hAnsi="宋体" w:eastAsia="宋体" w:cs="Times New Roman"/>
          <w:szCs w:val="21"/>
        </w:rPr>
        <w:t>这些研究的具体预测结果虽有差异，但结论却是共同的，即中国未来的劳动力市场供大于求，劳动力将长期处于相对过剩状况。在稳定目前低生育水平的条件下，未来劳动力供给都已是过剩的。如果还要放开二胎生育，其结果只能是加剧这种过剩状态，增加显性和隐性失业人口的数量。</w:t>
      </w:r>
      <w:r>
        <w:rPr>
          <w:rFonts w:ascii="宋体" w:hAnsi="宋体" w:eastAsia="宋体" w:cs="Times New Roman"/>
          <w:kern w:val="0"/>
          <w:szCs w:val="21"/>
        </w:rPr>
        <w:t>目前就业问题，还因大量下岗待业、提前退休、买断工龄变相失业和潜在失业人口而更趋复杂，</w:t>
      </w:r>
      <w:r>
        <w:rPr>
          <w:rFonts w:ascii="宋体" w:hAnsi="宋体" w:eastAsia="宋体" w:cs="AdobeSongStd-Light-Acro"/>
          <w:kern w:val="0"/>
          <w:szCs w:val="21"/>
        </w:rPr>
        <w:t>给经济社会发展带来沉重负担</w:t>
      </w:r>
      <w:r>
        <w:rPr>
          <w:rFonts w:ascii="宋体" w:hAnsi="宋体" w:eastAsia="宋体" w:cs="Times New Roman"/>
          <w:kern w:val="0"/>
          <w:szCs w:val="21"/>
        </w:rPr>
        <w:t>。解决城乡劳动就业问题，早已并将一直是政府工作的难题。</w:t>
      </w:r>
    </w:p>
    <w:p w14:paraId="606F2E47">
      <w:pPr>
        <w:spacing w:line="400" w:lineRule="exact"/>
        <w:ind w:firstLine="420" w:firstLineChars="200"/>
        <w:textAlignment w:val="baseline"/>
        <w:rPr>
          <w:rFonts w:ascii="宋体" w:hAnsi="宋体" w:eastAsia="宋体" w:cs="Times New Roman"/>
          <w:bCs/>
          <w:szCs w:val="21"/>
        </w:rPr>
      </w:pPr>
      <w:r>
        <w:rPr>
          <w:rFonts w:ascii="宋体" w:hAnsi="宋体" w:eastAsia="宋体" w:cs="Times New Roman"/>
          <w:bCs/>
          <w:szCs w:val="21"/>
        </w:rPr>
        <w:t>（2）大国空巢说以耸人听闻的推论反对一胎化政策是错误的。按大国空巢说，因为计划生育，</w:t>
      </w:r>
      <w:r>
        <w:rPr>
          <w:rFonts w:ascii="宋体" w:hAnsi="宋体" w:eastAsia="宋体" w:cs="Times New Roman"/>
          <w:szCs w:val="21"/>
        </w:rPr>
        <w:t>“</w:t>
      </w:r>
      <w:r>
        <w:rPr>
          <w:rFonts w:ascii="宋体" w:hAnsi="宋体" w:eastAsia="宋体" w:cs="Times New Roman"/>
          <w:bCs/>
          <w:szCs w:val="21"/>
        </w:rPr>
        <w:t>中国作为一个传统意义上的人口大国，有在短时间沦为空巢大国的危险，有失去人口大国优势的危险，有民族自杀、亡国灭种的危险……”其论说方式如下：</w:t>
      </w:r>
      <w:r>
        <w:rPr>
          <w:rFonts w:ascii="宋体" w:hAnsi="宋体" w:eastAsia="宋体" w:cs="Times New Roman"/>
          <w:szCs w:val="21"/>
        </w:rPr>
        <w:t>现在不少人口学家声称要将中国人口降低到7亿、5亿或者3亿。2005年中国人口中1970年以后出生的7亿，1978年以后出生的5亿，1988年以后出生的3亿。现在一个孩子都不生，今后平均寿命为76岁的话，中国人口也要到2046年、2054年、2064年才能分别降低到7亿、5亿、3亿，但那个时候最年轻的妇女也已经有41岁、49岁、59岁了，基本都丧失生育能力了，然后在2085年左右中华民族基本灭绝。”“而1.3的生育率意味着持续的老化，这数千万人口到时将以中老年人为主，年轻劳力少得可怜，由于人口的持续老化，社会将难以发展。可见，不要说我国有13亿人口，就算是有130亿人口，如果不保持合理的生育率，也很容易下降到几千万甚至灭亡。天不老地不荒，人生却是如此的短暂，倘若彻底停止生育，即使现在中国有130亿人口，但一个世纪之后也该都进了黄土，到2100年中国也该亡国灭种了。”</w:t>
      </w:r>
      <w:r>
        <w:rPr>
          <w:rFonts w:ascii="宋体" w:hAnsi="宋体" w:eastAsia="宋体" w:cs="Times New Roman"/>
          <w:szCs w:val="21"/>
          <w:vertAlign w:val="superscript"/>
        </w:rPr>
        <w:footnoteReference w:id="627"/>
      </w:r>
      <w:r>
        <w:rPr>
          <w:rFonts w:ascii="宋体" w:hAnsi="宋体" w:eastAsia="宋体" w:cs="Times New Roman"/>
          <w:szCs w:val="21"/>
        </w:rPr>
        <w:t>请看，先说持续老化，再是下降到几千万，最后亡国灭种，而论者强加的虚妄条件却在不断改变：先是生育率1.3，再是不保持合理的生育率，最后是彻底停止生育、一个孩子都不生。这样，中国的“计划生育”便摇身一变，成了“亡国灭种”。这里的危言耸听</w:t>
      </w:r>
      <w:r>
        <w:rPr>
          <w:rFonts w:ascii="宋体" w:hAnsi="宋体" w:eastAsia="宋体" w:cs="Times New Roman"/>
          <w:bCs/>
          <w:szCs w:val="21"/>
        </w:rPr>
        <w:t>和双重标准（</w:t>
      </w:r>
      <w:r>
        <w:rPr>
          <w:rFonts w:ascii="宋体" w:hAnsi="宋体" w:eastAsia="宋体" w:cs="Times New Roman"/>
          <w:szCs w:val="21"/>
        </w:rPr>
        <w:t>一边认为“中国的人口过多只是一个流传很广的谎言”，一边却又主张“中国成为第一人口大国是古代精英精心策划的结果”</w:t>
      </w:r>
      <w:r>
        <w:rPr>
          <w:rFonts w:ascii="宋体" w:hAnsi="宋体" w:eastAsia="宋体" w:cs="Times New Roman"/>
          <w:szCs w:val="21"/>
          <w:vertAlign w:val="superscript"/>
        </w:rPr>
        <w:footnoteReference w:id="628"/>
      </w:r>
      <w:r>
        <w:rPr>
          <w:rFonts w:ascii="宋体" w:hAnsi="宋体" w:eastAsia="宋体" w:cs="Times New Roman"/>
          <w:szCs w:val="21"/>
        </w:rPr>
        <w:t>），是非常明显的。</w:t>
      </w:r>
    </w:p>
    <w:p w14:paraId="5A352376">
      <w:pPr>
        <w:spacing w:line="400" w:lineRule="exact"/>
        <w:ind w:firstLine="420" w:firstLineChars="200"/>
        <w:textAlignment w:val="baseline"/>
        <w:rPr>
          <w:rFonts w:ascii="宋体" w:hAnsi="宋体" w:eastAsia="宋体" w:cs="Times New Roman"/>
          <w:szCs w:val="21"/>
        </w:rPr>
      </w:pPr>
      <w:r>
        <w:rPr>
          <w:rFonts w:ascii="宋体" w:hAnsi="宋体" w:eastAsia="宋体" w:cs="宋体"/>
          <w:kern w:val="0"/>
          <w:szCs w:val="21"/>
        </w:rPr>
        <w:t>中国现有可利用的经济资源和人口容量比美国少得多，而只有3亿人口的美国对比13亿之众的中国，在人均国力和综合国力等方面都要大得多，也未见美国说人口总量不足。在目前的资源、环境、技术和管理条件下，人口少一些要比人口多一些能使中国的发展困难少些，发展质量高些，人民得到的实惠更多些。因此，与美国人口总量和经济总量相比，即使中国推行一胎化计划生育措施，至少在未来一个世纪左右，也根本不必担心人口过少。美国人口只有2亿多的时候，并没有妨碍它成为超级经济强国。中国要较快成为一个强大的国家，也没必要具备</w:t>
      </w:r>
      <w:r>
        <w:rPr>
          <w:rFonts w:hint="eastAsia" w:ascii="宋体" w:hAnsi="宋体" w:eastAsia="宋体" w:cs="宋体"/>
          <w:kern w:val="0"/>
          <w:szCs w:val="21"/>
        </w:rPr>
        <w:t>8</w:t>
      </w:r>
      <w:r>
        <w:rPr>
          <w:rFonts w:ascii="宋体" w:hAnsi="宋体" w:eastAsia="宋体" w:cs="宋体"/>
          <w:kern w:val="0"/>
          <w:szCs w:val="21"/>
        </w:rPr>
        <w:t>亿或15亿人的前提条件。如果要确立中国人口发展的长远战略目标，我们倾向于采取立法、经济、教育和宣传等综合方法，通过一胎化为主的长期政策，让中国总人口先得到</w:t>
      </w:r>
      <w:r>
        <w:rPr>
          <w:rFonts w:hint="eastAsia" w:ascii="宋体" w:hAnsi="宋体" w:eastAsia="宋体" w:cs="宋体"/>
          <w:kern w:val="0"/>
          <w:szCs w:val="21"/>
        </w:rPr>
        <w:t>抑制</w:t>
      </w:r>
      <w:r>
        <w:rPr>
          <w:rFonts w:ascii="宋体" w:hAnsi="宋体" w:eastAsia="宋体" w:cs="宋体"/>
          <w:kern w:val="0"/>
          <w:szCs w:val="21"/>
        </w:rPr>
        <w:t>继续大规模增长的有效控制，再逐步较快地减少，比让中国总人口静止在15亿或8亿上更有利于现在和未来的又好又快发展。</w:t>
      </w:r>
      <w:r>
        <w:rPr>
          <w:rFonts w:ascii="宋体" w:hAnsi="宋体" w:eastAsia="宋体" w:cs="Times New Roman"/>
          <w:szCs w:val="21"/>
        </w:rPr>
        <w:t>相比澳大利亚700多万平方公里的国土而人口仅2千万尚且不偏好移民，我们这个每3年接近净增一个澳大利亚人口的国度，还有必要担心未来劳动力的短缺吗？</w:t>
      </w:r>
    </w:p>
    <w:p w14:paraId="435FB4B3">
      <w:pPr>
        <w:autoSpaceDE w:val="0"/>
        <w:autoSpaceDN w:val="0"/>
        <w:spacing w:line="400" w:lineRule="exact"/>
        <w:ind w:firstLine="420" w:firstLineChars="200"/>
        <w:rPr>
          <w:rFonts w:ascii="宋体" w:hAnsi="宋体" w:eastAsia="宋体" w:cs="Times New Roman"/>
          <w:szCs w:val="21"/>
        </w:rPr>
      </w:pPr>
      <w:r>
        <w:rPr>
          <w:rFonts w:ascii="宋体" w:hAnsi="宋体" w:eastAsia="宋体" w:cs="宋体"/>
          <w:kern w:val="0"/>
          <w:szCs w:val="21"/>
        </w:rPr>
        <w:t>（3）</w:t>
      </w:r>
      <w:r>
        <w:rPr>
          <w:rFonts w:ascii="宋体" w:hAnsi="宋体" w:eastAsia="宋体" w:cs="Times New Roman"/>
          <w:bCs/>
          <w:szCs w:val="21"/>
        </w:rPr>
        <w:t>大国空巢说</w:t>
      </w:r>
      <w:r>
        <w:rPr>
          <w:rFonts w:ascii="宋体" w:hAnsi="宋体" w:eastAsia="宋体" w:cs="宋体"/>
          <w:kern w:val="0"/>
          <w:szCs w:val="21"/>
        </w:rPr>
        <w:t>认为，</w:t>
      </w:r>
      <w:r>
        <w:rPr>
          <w:rFonts w:ascii="宋体" w:hAnsi="宋体" w:eastAsia="宋体" w:cs="Times New Roman"/>
          <w:szCs w:val="21"/>
        </w:rPr>
        <w:t>为了拉动内需就要鼓励生育。</w:t>
      </w:r>
      <w:r>
        <w:rPr>
          <w:rFonts w:ascii="宋体" w:hAnsi="宋体" w:eastAsia="宋体" w:cs="宋体"/>
          <w:kern w:val="0"/>
          <w:szCs w:val="21"/>
        </w:rPr>
        <w:t>国家人口和计生委主任李斌介绍，2007年全国人均</w:t>
      </w:r>
      <w:r>
        <w:rPr>
          <w:rFonts w:ascii="宋体" w:hAnsi="宋体" w:eastAsia="宋体" w:cs="Times New Roman"/>
          <w:kern w:val="0"/>
          <w:szCs w:val="21"/>
        </w:rPr>
        <w:t>GDP</w:t>
      </w:r>
      <w:r>
        <w:rPr>
          <w:rFonts w:ascii="宋体" w:hAnsi="宋体" w:eastAsia="宋体" w:cs="宋体"/>
          <w:kern w:val="0"/>
          <w:szCs w:val="21"/>
        </w:rPr>
        <w:t>达到2400美元，而据测算，如不实行计划生育，只有1800多美元。</w:t>
      </w:r>
      <w:r>
        <w:rPr>
          <w:rFonts w:ascii="宋体" w:hAnsi="宋体" w:eastAsia="宋体" w:cs="宋体"/>
          <w:kern w:val="0"/>
          <w:szCs w:val="21"/>
          <w:vertAlign w:val="superscript"/>
        </w:rPr>
        <w:footnoteReference w:id="629"/>
      </w:r>
      <w:r>
        <w:rPr>
          <w:rFonts w:ascii="宋体" w:hAnsi="宋体" w:eastAsia="宋体" w:cs="Times New Roman"/>
          <w:szCs w:val="21"/>
        </w:rPr>
        <w:t xml:space="preserve"> 撇开投资和外贸不谈，即使从消费拉动经济增长来分析，我们应当提高现存人口的消费水平和生活质量，而不是再新增几亿人来拉动内需。不能认为一旦人口减少，内需就会萎缩。论者从事医学工作，似乎不明白一个经济学常识：15亿人每人消费1万元与5亿人每人消费3万元，内需总量是一样的。</w:t>
      </w:r>
    </w:p>
    <w:p w14:paraId="0F523CCC">
      <w:pPr>
        <w:autoSpaceDE w:val="0"/>
        <w:autoSpaceDN w:val="0"/>
        <w:spacing w:line="360" w:lineRule="auto"/>
        <w:ind w:firstLine="504"/>
        <w:jc w:val="center"/>
        <w:rPr>
          <w:rFonts w:eastAsia="宋体" w:asciiTheme="majorHAnsi" w:hAnsiTheme="majorHAnsi" w:cstheme="majorBidi"/>
          <w:b/>
          <w:bCs/>
          <w:kern w:val="28"/>
          <w:sz w:val="24"/>
          <w:szCs w:val="32"/>
        </w:rPr>
      </w:pPr>
      <w:r>
        <w:rPr>
          <w:rFonts w:hint="eastAsia" w:eastAsia="宋体" w:asciiTheme="majorHAnsi" w:hAnsiTheme="majorHAnsi" w:cstheme="majorBidi"/>
          <w:b/>
          <w:bCs/>
          <w:kern w:val="28"/>
          <w:sz w:val="24"/>
          <w:szCs w:val="32"/>
        </w:rPr>
        <w:t>十、回应独子性格说</w:t>
      </w:r>
    </w:p>
    <w:p w14:paraId="78934354">
      <w:pPr>
        <w:spacing w:line="400" w:lineRule="exact"/>
        <w:ind w:firstLine="420" w:firstLineChars="200"/>
        <w:rPr>
          <w:rFonts w:ascii="宋体" w:hAnsi="宋体" w:eastAsia="宋体" w:cs="Times New Roman"/>
          <w:bCs/>
          <w:szCs w:val="21"/>
        </w:rPr>
      </w:pPr>
      <w:r>
        <w:rPr>
          <w:rFonts w:ascii="宋体" w:hAnsi="宋体" w:eastAsia="宋体" w:cs="Times New Roman"/>
          <w:bCs/>
          <w:szCs w:val="21"/>
        </w:rPr>
        <w:t>独子性格说，是主张放开二胎的论者又一个非常重要的论据。然而，一旦全面审视学界有关中国独生子女的研究历程和结论便可看出，独子性格说远不能成为一个事实上的论据。</w:t>
      </w:r>
    </w:p>
    <w:p w14:paraId="7BF30EF4">
      <w:pPr>
        <w:spacing w:line="400" w:lineRule="exact"/>
        <w:ind w:firstLine="420" w:firstLineChars="200"/>
        <w:rPr>
          <w:rFonts w:ascii="宋体" w:hAnsi="宋体" w:eastAsia="宋体" w:cs="Times New Roman"/>
          <w:szCs w:val="21"/>
        </w:rPr>
      </w:pPr>
      <w:r>
        <w:rPr>
          <w:rFonts w:ascii="宋体" w:hAnsi="宋体" w:eastAsia="宋体" w:cs="Times New Roman"/>
          <w:bCs/>
          <w:szCs w:val="21"/>
        </w:rPr>
        <w:t>第一，</w:t>
      </w:r>
      <w:r>
        <w:rPr>
          <w:rFonts w:ascii="宋体" w:hAnsi="宋体" w:eastAsia="宋体" w:cs="Times New Roman"/>
          <w:szCs w:val="21"/>
        </w:rPr>
        <w:t>认为独生子女有性格缺陷的研究成果在减少，认为独生子女具有积极性格特征或与非独生子女没有性格倾向方面差异的研究成果在增多。</w:t>
      </w:r>
    </w:p>
    <w:p w14:paraId="3F531F72">
      <w:pPr>
        <w:spacing w:line="400" w:lineRule="exact"/>
        <w:ind w:firstLine="420" w:firstLineChars="200"/>
        <w:rPr>
          <w:rFonts w:ascii="宋体" w:hAnsi="宋体" w:eastAsia="宋体" w:cs="Times New Roman"/>
          <w:bCs/>
          <w:szCs w:val="21"/>
        </w:rPr>
      </w:pPr>
      <w:r>
        <w:rPr>
          <w:rFonts w:ascii="宋体" w:hAnsi="宋体" w:eastAsia="宋体" w:cs="Times New Roman"/>
          <w:bCs/>
          <w:szCs w:val="21"/>
        </w:rPr>
        <w:t>如果以1986年《光明日报》</w:t>
      </w:r>
      <w:r>
        <w:rPr>
          <w:rFonts w:ascii="宋体" w:hAnsi="宋体" w:eastAsia="宋体" w:cs="Times New Roman"/>
          <w:szCs w:val="21"/>
        </w:rPr>
        <w:t>为时半年之久的</w:t>
      </w:r>
      <w:r>
        <w:rPr>
          <w:rFonts w:ascii="宋体" w:hAnsi="宋体" w:eastAsia="宋体" w:cs="Times New Roman"/>
          <w:bCs/>
          <w:szCs w:val="21"/>
        </w:rPr>
        <w:t>全国性独生子女教育大讨论为界，我们可以把30年来有关中国独生子女的研究阶段一分为二。在前后两个阶段的研究中，关于独生子女是否具有性格缺陷等消极方面的争论，尽管伴随着整个研究历程，但前后两个阶段却表现出非常明显的差异性和各自的倾向性。</w:t>
      </w:r>
    </w:p>
    <w:p w14:paraId="49AFC6C3">
      <w:pPr>
        <w:spacing w:line="400" w:lineRule="exact"/>
        <w:ind w:firstLine="420" w:firstLineChars="200"/>
        <w:rPr>
          <w:rFonts w:ascii="宋体" w:hAnsi="宋体" w:eastAsia="宋体" w:cs="Times New Roman"/>
          <w:szCs w:val="21"/>
        </w:rPr>
      </w:pPr>
      <w:r>
        <w:rPr>
          <w:rFonts w:ascii="宋体" w:hAnsi="宋体" w:eastAsia="宋体" w:cs="Times New Roman"/>
          <w:bCs/>
          <w:szCs w:val="21"/>
        </w:rPr>
        <w:t>前一阶段的研究大多认为独生子女在性格特征上有不同程度的问题倾向，甚或有的断定独生子女就是“问题儿童”。作为《光明日报》讨论的最后总结，专家指出了那时独生子女教育的问题：一是营养过剩，造成发育不良；二是智力投资过剩，品德教育不足。需要指出的是，在前一阶段研究中，代表我国学术水平的《心理学报》、《中国心理卫生杂志》、《教育学》等杂志所发表的成果，采</w:t>
      </w:r>
      <w:r>
        <w:rPr>
          <w:rFonts w:ascii="宋体" w:hAnsi="宋体" w:eastAsia="宋体" w:cs="Times New Roman"/>
          <w:szCs w:val="21"/>
        </w:rPr>
        <w:t>用心理统计数据作出了质和量上的判断，比研究初期</w:t>
      </w:r>
      <w:r>
        <w:rPr>
          <w:rFonts w:ascii="宋体" w:hAnsi="宋体" w:eastAsia="宋体" w:cs="Times New Roman"/>
          <w:bCs/>
          <w:szCs w:val="21"/>
        </w:rPr>
        <w:t>多以观察、个案推断等手段有较强的科学性，其结论也</w:t>
      </w:r>
      <w:r>
        <w:rPr>
          <w:rFonts w:ascii="宋体" w:hAnsi="宋体" w:eastAsia="宋体" w:cs="Times New Roman"/>
          <w:szCs w:val="21"/>
        </w:rPr>
        <w:t>十分明确：普遍认为独生子女性格</w:t>
      </w:r>
      <w:r>
        <w:rPr>
          <w:rFonts w:ascii="宋体" w:hAnsi="宋体" w:eastAsia="宋体" w:cs="Times New Roman"/>
          <w:bCs/>
          <w:szCs w:val="21"/>
        </w:rPr>
        <w:t>缺陷等</w:t>
      </w:r>
      <w:r>
        <w:rPr>
          <w:rFonts w:ascii="宋体" w:hAnsi="宋体" w:eastAsia="宋体" w:cs="Times New Roman"/>
          <w:szCs w:val="21"/>
        </w:rPr>
        <w:t>特征在总体上并不存在。</w:t>
      </w:r>
    </w:p>
    <w:p w14:paraId="63814D0B">
      <w:pPr>
        <w:spacing w:line="400" w:lineRule="exact"/>
        <w:ind w:firstLine="420" w:firstLineChars="200"/>
        <w:rPr>
          <w:rFonts w:ascii="宋体" w:hAnsi="宋体" w:eastAsia="宋体" w:cs="Times New Roman"/>
          <w:szCs w:val="21"/>
        </w:rPr>
      </w:pPr>
      <w:r>
        <w:rPr>
          <w:rFonts w:ascii="宋体" w:hAnsi="宋体" w:eastAsia="宋体" w:cs="Times New Roman"/>
          <w:szCs w:val="21"/>
        </w:rPr>
        <w:t>而后一阶段的研究成果，则大多明确肯定了独生子女在某些方面较非独生子女具有积极的性格特征。尤其是近年来在独生子女长大成人、独生子女数量逐渐增多和在此背景下研究成果不断丰富的基础上，学界在对研究成果进行综合比较后表明，独生子女与非独生子女之间的差异是一种随独生子女的年龄变化而变化的现象，并且这种变化的总趋势是二者之间的差异在逐渐缩小。</w:t>
      </w:r>
      <w:r>
        <w:rPr>
          <w:rFonts w:ascii="宋体" w:hAnsi="宋体" w:eastAsia="宋体" w:cs="Times New Roman"/>
          <w:szCs w:val="21"/>
          <w:vertAlign w:val="superscript"/>
        </w:rPr>
        <w:footnoteReference w:id="630"/>
      </w:r>
    </w:p>
    <w:p w14:paraId="681BCC7C">
      <w:pPr>
        <w:spacing w:line="400" w:lineRule="exact"/>
        <w:ind w:firstLine="420" w:firstLineChars="200"/>
        <w:rPr>
          <w:rFonts w:ascii="宋体" w:hAnsi="宋体" w:eastAsia="宋体" w:cs="Times New Roman"/>
          <w:szCs w:val="21"/>
        </w:rPr>
      </w:pPr>
      <w:r>
        <w:rPr>
          <w:rFonts w:ascii="宋体" w:hAnsi="宋体" w:eastAsia="宋体" w:cs="Times New Roman"/>
          <w:szCs w:val="21"/>
        </w:rPr>
        <w:t>如果我们再把30年的研究历程进行持续的不分阶段的综合剖析，可以看到以下研究趋向：即随着研究力量的壮大、研究手段和方法的科学性增强、研究的学科性质凸显等，认为独生子女有性格缺陷的结论逐渐减少，认为独生子女具有积极性格特征或与非独生子女没有性格倾向方面差异的成果逐渐增多。</w:t>
      </w:r>
    </w:p>
    <w:p w14:paraId="314707B5">
      <w:pPr>
        <w:spacing w:line="400" w:lineRule="exact"/>
        <w:ind w:firstLine="420" w:firstLineChars="200"/>
        <w:rPr>
          <w:rFonts w:ascii="宋体" w:hAnsi="宋体" w:eastAsia="宋体" w:cs="Times New Roman"/>
          <w:bCs/>
          <w:szCs w:val="21"/>
        </w:rPr>
      </w:pPr>
      <w:r>
        <w:rPr>
          <w:rFonts w:ascii="宋体" w:hAnsi="宋体" w:eastAsia="宋体" w:cs="Times New Roman"/>
          <w:szCs w:val="21"/>
        </w:rPr>
        <w:t>第二，少数个案不能拿来作为独生子女整体定性的依据。社会上乃至学界一些夸张之辞如“小皇帝”、“问题儿童”等究竟是怎么流传的？他们在什么意义上才具有其合理性？对问题甄审后的回答是：“好事不出门，坏事传千里。”在人们的谈资甚至“研究”中，一般充斥的是一些非常态的、少见的事物或现象，人们对之多有兴致；而习常的、应该的和多见的事物或现象却是没有多少位置的，既为司空见惯，故而熟视无睹。当人们在谈论个别或少数独生子女的任性、自私等倾向时，他们实际上忽视了更多发生在他们身边的、行为表现都十分正常的独生子女。</w:t>
      </w:r>
      <w:r>
        <w:rPr>
          <w:rFonts w:ascii="宋体" w:hAnsi="宋体" w:eastAsia="宋体" w:cs="Times New Roman"/>
          <w:szCs w:val="21"/>
          <w:vertAlign w:val="superscript"/>
        </w:rPr>
        <w:footnoteReference w:id="631"/>
      </w:r>
      <w:r>
        <w:rPr>
          <w:rFonts w:ascii="宋体" w:hAnsi="宋体" w:eastAsia="宋体" w:cs="Times New Roman"/>
          <w:szCs w:val="21"/>
        </w:rPr>
        <w:t>而所谈个例，由于其个别和特殊，不免人云亦云，于是给人们留下了有关独生子女整体的印象，</w:t>
      </w:r>
      <w:r>
        <w:rPr>
          <w:rFonts w:ascii="宋体" w:hAnsi="宋体" w:eastAsia="宋体" w:cs="Times New Roman"/>
          <w:bCs/>
          <w:szCs w:val="21"/>
        </w:rPr>
        <w:t>促使个例变成了“整体”，个别走上了“一般”。</w:t>
      </w:r>
    </w:p>
    <w:p w14:paraId="29DA4AC1">
      <w:pPr>
        <w:spacing w:line="400" w:lineRule="exact"/>
        <w:ind w:firstLine="420" w:firstLineChars="200"/>
        <w:rPr>
          <w:rFonts w:ascii="宋体" w:hAnsi="宋体" w:eastAsia="宋体" w:cs="Times New Roman"/>
          <w:bCs/>
          <w:szCs w:val="21"/>
        </w:rPr>
      </w:pPr>
      <w:r>
        <w:rPr>
          <w:rFonts w:ascii="宋体" w:hAnsi="宋体" w:eastAsia="宋体" w:cs="Times New Roman"/>
          <w:szCs w:val="21"/>
        </w:rPr>
        <w:t>如1983年9月，《美国新闻周刊》发表《一大群“小皇帝”》，文章认为中国的父母今天都跪倒在自己的独生子女面前；1986年，北京《中国作家》便刊登了报告文学《中国“小皇帝”》，作者哀叹：今天的父母看来只是抚育孩子成长，事实上却在创造历史。这些年来我们看到，有人提出独生子女容易得“四二一综合症”，于是这种症状便“三人成虎”，连“四二一家庭”好似也成了中国走向衰败的说辞；有人写了个《拿什么拯救你，我的爱人》，于是便出现了各种版本的“拿什么拯救你，独生子女们”</w:t>
      </w:r>
      <w:r>
        <w:rPr>
          <w:rFonts w:hint="eastAsia" w:ascii="宋体" w:hAnsi="宋体" w:eastAsia="宋体" w:cs="Times New Roman"/>
          <w:szCs w:val="21"/>
        </w:rPr>
        <w:t>。</w:t>
      </w:r>
      <w:r>
        <w:rPr>
          <w:rFonts w:ascii="宋体" w:hAnsi="宋体" w:eastAsia="宋体" w:cs="Times New Roman"/>
          <w:bCs/>
          <w:szCs w:val="21"/>
        </w:rPr>
        <w:t>1980年上海市幼儿教育研究室等单位进行了“四岁至六岁独生子女的行为特点与品德教育”的调查。调查以70名独生子女和30名非独生子女为对象，得出了独生子女“挑食、挑衣、不尊敬长辈、不爱惜用品、玩具、爱发脾气、无理取闹、比较自私、不懂关心别人、胆小、生活上自理能力差”等等结论。尽管调查也指出了非独生子女身上也有类似的问题，但由于是中国最早的独生子女问题研究之一，以致其结论至今还经常被引用</w:t>
      </w:r>
      <w:r>
        <w:rPr>
          <w:rFonts w:ascii="宋体" w:hAnsi="宋体" w:eastAsia="宋体" w:cs="Times New Roman"/>
          <w:bCs/>
          <w:szCs w:val="21"/>
          <w:vertAlign w:val="superscript"/>
        </w:rPr>
        <w:footnoteReference w:id="632"/>
      </w:r>
      <w:r>
        <w:rPr>
          <w:rFonts w:ascii="宋体" w:hAnsi="宋体" w:eastAsia="宋体" w:cs="Times New Roman"/>
          <w:bCs/>
          <w:szCs w:val="21"/>
        </w:rPr>
        <w:t>，甚至夸大和“传抄”。</w:t>
      </w:r>
    </w:p>
    <w:p w14:paraId="32129C04">
      <w:pPr>
        <w:tabs>
          <w:tab w:val="left" w:pos="540"/>
        </w:tabs>
        <w:spacing w:line="400" w:lineRule="exact"/>
        <w:ind w:firstLine="420" w:firstLineChars="200"/>
        <w:rPr>
          <w:rFonts w:ascii="宋体" w:hAnsi="宋体" w:eastAsia="宋体" w:cs="Times New Roman"/>
          <w:szCs w:val="21"/>
        </w:rPr>
      </w:pPr>
      <w:r>
        <w:rPr>
          <w:rFonts w:ascii="宋体" w:hAnsi="宋体" w:eastAsia="宋体" w:cs="Times New Roman"/>
          <w:szCs w:val="21"/>
        </w:rPr>
        <w:t>第三，部分独生子女的部分不良倾向，完全可以在其社会化的过程中，通过教化</w:t>
      </w:r>
      <w:r>
        <w:rPr>
          <w:rFonts w:hint="eastAsia" w:ascii="宋体" w:hAnsi="宋体" w:eastAsia="宋体" w:cs="Times New Roman"/>
          <w:szCs w:val="21"/>
        </w:rPr>
        <w:t>、</w:t>
      </w:r>
      <w:r>
        <w:rPr>
          <w:rFonts w:ascii="宋体" w:hAnsi="宋体" w:eastAsia="宋体" w:cs="Times New Roman"/>
          <w:szCs w:val="21"/>
        </w:rPr>
        <w:t>体制机制调整</w:t>
      </w:r>
      <w:r>
        <w:rPr>
          <w:rFonts w:hint="eastAsia" w:ascii="宋体" w:hAnsi="宋体" w:eastAsia="宋体" w:cs="Times New Roman"/>
          <w:szCs w:val="21"/>
        </w:rPr>
        <w:t>和</w:t>
      </w:r>
      <w:r>
        <w:rPr>
          <w:rFonts w:ascii="宋体" w:hAnsi="宋体" w:eastAsia="宋体" w:cs="Times New Roman"/>
          <w:szCs w:val="21"/>
        </w:rPr>
        <w:t>社会交往</w:t>
      </w:r>
      <w:r>
        <w:rPr>
          <w:rFonts w:hint="eastAsia" w:ascii="宋体" w:hAnsi="宋体" w:eastAsia="宋体" w:cs="Times New Roman"/>
          <w:szCs w:val="21"/>
        </w:rPr>
        <w:t>实践等措施</w:t>
      </w:r>
      <w:r>
        <w:rPr>
          <w:rFonts w:ascii="宋体" w:hAnsi="宋体" w:eastAsia="宋体" w:cs="Times New Roman"/>
          <w:szCs w:val="21"/>
        </w:rPr>
        <w:t>予以纠正。就像非独生子女的部分不良倾向也是这样纠正的一样。一个社会大多</w:t>
      </w:r>
      <w:r>
        <w:rPr>
          <w:rFonts w:hint="eastAsia" w:ascii="宋体" w:hAnsi="宋体" w:eastAsia="宋体" w:cs="Times New Roman"/>
          <w:szCs w:val="21"/>
        </w:rPr>
        <w:t>数</w:t>
      </w:r>
      <w:r>
        <w:rPr>
          <w:rFonts w:ascii="宋体" w:hAnsi="宋体" w:eastAsia="宋体" w:cs="Times New Roman"/>
          <w:szCs w:val="21"/>
        </w:rPr>
        <w:t>人</w:t>
      </w:r>
      <w:r>
        <w:rPr>
          <w:rFonts w:hint="eastAsia" w:ascii="宋体" w:hAnsi="宋体" w:eastAsia="宋体" w:cs="Times New Roman"/>
          <w:szCs w:val="21"/>
        </w:rPr>
        <w:t>的</w:t>
      </w:r>
      <w:r>
        <w:rPr>
          <w:rFonts w:ascii="宋体" w:hAnsi="宋体" w:eastAsia="宋体" w:cs="Times New Roman"/>
          <w:szCs w:val="21"/>
        </w:rPr>
        <w:t>性格和言行往往与该社会的各种制度、教育等密切相关。我们刚刚看到，</w:t>
      </w:r>
      <w:r>
        <w:rPr>
          <w:rFonts w:ascii="宋体" w:hAnsi="宋体" w:eastAsia="宋体" w:cs="宋体"/>
          <w:kern w:val="0"/>
          <w:szCs w:val="21"/>
        </w:rPr>
        <w:t>80后、90后甚至不到10岁的00后一些“新新人类”，是怎样在5·12汶川大地震后成为社会的道德楷模，现实生活中他们又是怎样以实际行动颠覆着自己“被毁掉”的形象的。</w:t>
      </w:r>
      <w:r>
        <w:rPr>
          <w:rFonts w:ascii="宋体" w:hAnsi="宋体" w:eastAsia="宋体" w:cs="Times New Roman"/>
          <w:szCs w:val="21"/>
        </w:rPr>
        <w:t>所谓的独生子女问题，本质上却是社会制度环境以及家庭、学校和社会教化方式的问题，是“社会化因素的影响和作用”问题。</w:t>
      </w:r>
      <w:r>
        <w:rPr>
          <w:rFonts w:ascii="宋体" w:hAnsi="宋体" w:eastAsia="宋体" w:cs="Times New Roman"/>
          <w:szCs w:val="21"/>
          <w:vertAlign w:val="superscript"/>
        </w:rPr>
        <w:footnoteReference w:id="633"/>
      </w:r>
      <w:r>
        <w:rPr>
          <w:rFonts w:ascii="宋体" w:hAnsi="宋体" w:eastAsia="宋体" w:cs="Times New Roman"/>
          <w:szCs w:val="21"/>
        </w:rPr>
        <w:t>学界有关“差异是一种随独生子女的年龄变化而变化并逐渐缩小”等研究成果，为我们提供了充分的佐证。不同社会化因素（如不同的年龄阶段，家庭、学校和社会等因素）的作用和影响是随着独生子女的年龄变化而发生变化的。年龄越小，父母、家庭对独生子女社会化的影响和作用越大。比如年龄越小的儿童越不喜欢他人与自己分享一些玩具、食品。因为是独生，于是习惯了“独占”。随着年龄的增长，他们更多地受到学校和社会大家庭的感染或制约，开始与父母疏离并向同龄群体靠拢。而且孩子各自所面对的父母和家庭的差别相对要大一些，而他们所面对的学校、同龄群体、大众传媒等则是相同或相似的。这种相同性或相似性，成为使差异逐渐趋同的重要机制。</w:t>
      </w:r>
      <w:r>
        <w:rPr>
          <w:rFonts w:ascii="宋体" w:hAnsi="宋体" w:eastAsia="宋体" w:cs="Times New Roman"/>
          <w:szCs w:val="21"/>
          <w:vertAlign w:val="superscript"/>
        </w:rPr>
        <w:footnoteReference w:id="634"/>
      </w:r>
      <w:r>
        <w:rPr>
          <w:rFonts w:ascii="宋体" w:hAnsi="宋体" w:eastAsia="宋体" w:cs="Times New Roman"/>
          <w:szCs w:val="21"/>
        </w:rPr>
        <w:t>所以，儿童也并非只能在通过与兄弟姐妹相处中才能社会化；“</w:t>
      </w:r>
      <w:r>
        <w:rPr>
          <w:rFonts w:ascii="宋体" w:hAnsi="宋体" w:eastAsia="宋体" w:cs="Arial"/>
          <w:szCs w:val="21"/>
          <w:lang w:eastAsia="zh-Hans"/>
        </w:rPr>
        <w:t>独子难教</w:t>
      </w:r>
      <w:r>
        <w:rPr>
          <w:rFonts w:ascii="宋体" w:hAnsi="宋体" w:eastAsia="宋体" w:cs="Arial"/>
          <w:szCs w:val="21"/>
        </w:rPr>
        <w:t>”、</w:t>
      </w:r>
      <w:r>
        <w:rPr>
          <w:rFonts w:ascii="宋体" w:hAnsi="宋体" w:eastAsia="宋体" w:cs="Times New Roman"/>
          <w:szCs w:val="21"/>
        </w:rPr>
        <w:t>“兄弟姐妹为朋友之本”</w:t>
      </w:r>
      <w:r>
        <w:rPr>
          <w:rFonts w:ascii="宋体" w:hAnsi="宋体" w:eastAsia="宋体" w:cs="Times New Roman"/>
          <w:szCs w:val="21"/>
          <w:vertAlign w:val="superscript"/>
        </w:rPr>
        <w:footnoteReference w:id="635"/>
      </w:r>
      <w:r>
        <w:rPr>
          <w:rFonts w:ascii="宋体" w:hAnsi="宋体" w:eastAsia="宋体" w:cs="Times New Roman"/>
          <w:szCs w:val="21"/>
        </w:rPr>
        <w:t>等观念并非具有绝对意义。</w:t>
      </w:r>
    </w:p>
    <w:p w14:paraId="597BFCEA">
      <w:pPr>
        <w:autoSpaceDE w:val="0"/>
        <w:autoSpaceDN w:val="0"/>
        <w:spacing w:line="400" w:lineRule="exact"/>
        <w:ind w:firstLine="420" w:firstLineChars="200"/>
        <w:rPr>
          <w:rFonts w:ascii="宋体" w:hAnsi="宋体" w:eastAsia="宋体" w:cs="Times New Roman"/>
          <w:szCs w:val="21"/>
        </w:rPr>
      </w:pPr>
      <w:r>
        <w:rPr>
          <w:rFonts w:ascii="宋体" w:hAnsi="宋体" w:eastAsia="宋体" w:cs="Times New Roman"/>
          <w:szCs w:val="21"/>
        </w:rPr>
        <w:t>第四，某些研究成果缺乏科学分析方法。学界所揭示的研究中存在的某些问题，至今依然是人们难以客观公正地看待独生子女这一群体的主要障碍。如理论性研究的</w:t>
      </w:r>
      <w:r>
        <w:rPr>
          <w:rFonts w:hint="eastAsia" w:ascii="宋体" w:hAnsi="宋体" w:eastAsia="宋体" w:cs="Times New Roman"/>
          <w:szCs w:val="21"/>
        </w:rPr>
        <w:t>主观化</w:t>
      </w:r>
      <w:r>
        <w:rPr>
          <w:rFonts w:ascii="宋体" w:hAnsi="宋体" w:eastAsia="宋体" w:cs="Times New Roman"/>
          <w:szCs w:val="21"/>
        </w:rPr>
        <w:t>、个别化倾向，普遍存在着的无经验数据支持的空洞的、泛泛的、心得体会式的主观议论；经验性研究中缺乏科学性，方法上存在研究设计的简单化、资料分析的表面化倾向，有不少的研究结果是在对象选择、样本抽取、概念操作化、变量测量、统计分析等方面存在着诸多问题的情况下得到的，且单纯描述现象较多，着重于现象间</w:t>
      </w:r>
      <w:r>
        <w:rPr>
          <w:rFonts w:hint="eastAsia" w:ascii="宋体" w:hAnsi="宋体" w:eastAsia="宋体" w:cs="Times New Roman"/>
          <w:szCs w:val="21"/>
        </w:rPr>
        <w:t>的内在</w:t>
      </w:r>
      <w:r>
        <w:rPr>
          <w:rFonts w:ascii="宋体" w:hAnsi="宋体" w:eastAsia="宋体" w:cs="Times New Roman"/>
          <w:szCs w:val="21"/>
        </w:rPr>
        <w:t>关系的探讨较少；研究对象上以学龄前幼儿、学龄儿童为主，对青年期普通独生子女的研究不够；在对大学生独生子女的研究中，将实际上属于城乡变量或家庭背景变量所造成的差异，误以为是独生与非独生所造成的差异；对于与一代独生子女的成长和未来密切相关的社会性、宏观性、潜在性和未来性问题的探讨相对薄弱；在看待独生子女的成长与发展状况时，忘却与他们共同成长的中国社会大变化。</w:t>
      </w:r>
      <w:r>
        <w:rPr>
          <w:rFonts w:ascii="宋体" w:hAnsi="宋体" w:eastAsia="宋体" w:cs="Times New Roman"/>
          <w:szCs w:val="21"/>
          <w:vertAlign w:val="superscript"/>
        </w:rPr>
        <w:footnoteReference w:id="636"/>
      </w:r>
      <w:r>
        <w:rPr>
          <w:rFonts w:ascii="宋体" w:hAnsi="宋体" w:eastAsia="宋体" w:cs="Times New Roman"/>
          <w:szCs w:val="21"/>
        </w:rPr>
        <w:t>可见，撇开资本主义发达或不发达国家独生子女与非独生子女性格倾向的多种组合状态不谈，目前许多被认为是中国独生子女的特征、现象和问题，实际上是上个世纪70年代末改革开放以来与我国社会巨大变革一起成长的新一代城市青少年的整体特征和共同问题。我们在生活中所看到的种种差异和不同，可能是两代人（50～70年代出生的人与在计划生育和改革开放大潮中出生的人）之间的差别，而非两类人（独生子女与非独生子女）的差别。</w:t>
      </w:r>
      <w:r>
        <w:rPr>
          <w:rFonts w:ascii="宋体" w:hAnsi="宋体" w:eastAsia="宋体" w:cs="Times New Roman"/>
          <w:szCs w:val="21"/>
          <w:vertAlign w:val="superscript"/>
        </w:rPr>
        <w:footnoteReference w:id="637"/>
      </w:r>
      <w:r>
        <w:rPr>
          <w:rFonts w:ascii="宋体" w:hAnsi="宋体" w:eastAsia="宋体" w:cs="Times New Roman"/>
          <w:szCs w:val="21"/>
        </w:rPr>
        <w:t>因此，“现行的生育政策造成了空前的教育难题”和“为什么把下一代的成长搞得那么难”</w:t>
      </w:r>
      <w:r>
        <w:rPr>
          <w:rFonts w:ascii="宋体" w:hAnsi="宋体" w:eastAsia="宋体" w:cs="Times New Roman"/>
          <w:szCs w:val="21"/>
          <w:vertAlign w:val="superscript"/>
        </w:rPr>
        <w:footnoteReference w:id="638"/>
      </w:r>
      <w:r>
        <w:rPr>
          <w:rFonts w:ascii="宋体" w:hAnsi="宋体" w:eastAsia="宋体" w:cs="Times New Roman"/>
          <w:szCs w:val="21"/>
        </w:rPr>
        <w:t>等批评，并没有认清社会所影响或赋予两代人之间的性格倾向和差别。</w:t>
      </w:r>
    </w:p>
    <w:p w14:paraId="5E2363A8">
      <w:pPr>
        <w:autoSpaceDE w:val="0"/>
        <w:autoSpaceDN w:val="0"/>
        <w:spacing w:line="400" w:lineRule="exact"/>
        <w:ind w:firstLine="420" w:firstLineChars="200"/>
        <w:rPr>
          <w:rFonts w:ascii="宋体" w:hAnsi="宋体" w:eastAsia="宋体" w:cs="Times New Roman"/>
          <w:szCs w:val="24"/>
        </w:rPr>
      </w:pPr>
    </w:p>
    <w:p w14:paraId="1C30E94F">
      <w:pPr>
        <w:autoSpaceDE w:val="0"/>
        <w:autoSpaceDN w:val="0"/>
        <w:spacing w:line="400" w:lineRule="exact"/>
        <w:ind w:firstLine="420" w:firstLineChars="200"/>
        <w:rPr>
          <w:rFonts w:ascii="宋体" w:hAnsi="宋体" w:eastAsia="宋体" w:cs="Times New Roman"/>
          <w:szCs w:val="24"/>
        </w:rPr>
      </w:pPr>
      <w:r>
        <w:rPr>
          <w:rFonts w:hint="eastAsia" w:ascii="宋体" w:hAnsi="宋体" w:eastAsia="宋体" w:cs="Times New Roman"/>
          <w:szCs w:val="24"/>
        </w:rPr>
        <w:t>（原载《</w:t>
      </w:r>
      <w:r>
        <w:rPr>
          <w:rFonts w:hint="eastAsia" w:ascii="宋体" w:hAnsi="宋体" w:eastAsia="宋体" w:cs="Times New Roman"/>
          <w:szCs w:val="21"/>
        </w:rPr>
        <w:t>中国社会科学内刊》2010年第1期）</w:t>
      </w:r>
    </w:p>
    <w:p w14:paraId="0C1B7EF2">
      <w:pPr>
        <w:autoSpaceDE w:val="0"/>
        <w:autoSpaceDN w:val="0"/>
        <w:adjustRightInd w:val="0"/>
        <w:ind w:firstLine="647" w:firstLineChars="202"/>
        <w:jc w:val="center"/>
        <w:outlineLvl w:val="1"/>
        <w:rPr>
          <w:rFonts w:ascii="宋体" w:eastAsia="宋体" w:cs="宋体"/>
          <w:b/>
          <w:color w:val="231F20"/>
          <w:kern w:val="0"/>
          <w:sz w:val="21"/>
          <w:szCs w:val="24"/>
        </w:rPr>
      </w:pPr>
      <w:r>
        <w:rPr>
          <w:rFonts w:ascii="Times New Roman" w:hAnsi="Times New Roman" w:eastAsia="宋体" w:cs="Times New Roman"/>
          <w:b/>
          <w:sz w:val="32"/>
          <w:szCs w:val="24"/>
        </w:rPr>
        <w:br w:type="page"/>
      </w:r>
      <w:bookmarkStart w:id="1150" w:name="_Toc23553"/>
      <w:bookmarkStart w:id="1151" w:name="_Toc819289405"/>
      <w:bookmarkStart w:id="1152" w:name="_Toc366775469"/>
      <w:r>
        <w:rPr>
          <w:rFonts w:hint="eastAsia" w:ascii="Times New Roman" w:hAnsi="Times New Roman" w:eastAsia="宋体" w:cs="Times New Roman"/>
          <w:b/>
          <w:sz w:val="32"/>
          <w:szCs w:val="24"/>
          <w:lang w:val="en-US" w:eastAsia="zh-CN"/>
        </w:rPr>
        <w:t>20</w:t>
      </w:r>
      <w:r>
        <w:rPr>
          <w:rFonts w:hint="eastAsia" w:ascii="宋体" w:hAnsi="宋体" w:eastAsia="宋体" w:cs="宋体"/>
          <w:b/>
          <w:color w:val="231F20"/>
          <w:kern w:val="0"/>
          <w:sz w:val="21"/>
          <w:szCs w:val="24"/>
        </w:rPr>
        <w:t>构建国家主导的企业职工权益保护体系</w:t>
      </w:r>
      <w:bookmarkEnd w:id="1150"/>
      <w:bookmarkEnd w:id="1151"/>
      <w:bookmarkEnd w:id="1152"/>
    </w:p>
    <w:p w14:paraId="14AE67BD">
      <w:pPr>
        <w:autoSpaceDE w:val="0"/>
        <w:autoSpaceDN w:val="0"/>
        <w:adjustRightInd w:val="0"/>
        <w:ind w:firstLine="424" w:firstLineChars="202"/>
        <w:jc w:val="left"/>
        <w:rPr>
          <w:rFonts w:ascii="宋体" w:hAnsi="宋体" w:eastAsia="宋体" w:cs="宋体"/>
          <w:color w:val="231F20"/>
          <w:kern w:val="0"/>
          <w:sz w:val="21"/>
          <w:szCs w:val="24"/>
        </w:rPr>
      </w:pPr>
    </w:p>
    <w:p w14:paraId="398AFA16">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随着我国社会主义市场经济体制建设的不断推进，在新型劳动关系体制建设取得长足进展的同时，我国劳动者权益保护状况却趋向恶化，劳动关系日趋紧张。劳资纠纷不断、劳动关系恶化已经成为影响我国经济社会稳定发展的重要隐患。正如恩格斯指出，资本和劳动的关系是现代全部社会体系所依以旋转的轴心。</w:t>
      </w:r>
      <w:r>
        <w:rPr>
          <w:rFonts w:ascii="宋体" w:eastAsia="宋体" w:cs="宋体"/>
          <w:color w:val="231F20"/>
          <w:kern w:val="0"/>
          <w:sz w:val="21"/>
          <w:szCs w:val="24"/>
          <w:vertAlign w:val="superscript"/>
        </w:rPr>
        <w:footnoteReference w:id="639"/>
      </w:r>
      <w:r>
        <w:rPr>
          <w:rFonts w:hint="eastAsia" w:ascii="宋体" w:hAnsi="宋体" w:eastAsia="宋体" w:cs="宋体"/>
          <w:color w:val="231F20"/>
          <w:kern w:val="0"/>
          <w:sz w:val="21"/>
          <w:szCs w:val="24"/>
        </w:rPr>
        <w:t>劳动关系同样是我国社会主义初级阶段社会最基本的经济关系。如何切实保护劳动者权益、构建和谐劳动关系，对于构建社会主义和谐社会，推动经济社会健康协调可持续发展，具有十分重要的意义。</w:t>
      </w:r>
    </w:p>
    <w:p w14:paraId="20949F11">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自</w:t>
      </w:r>
      <w:r>
        <w:rPr>
          <w:rFonts w:ascii="宋体" w:hAnsi="宋体" w:eastAsia="宋体" w:cs="宋体"/>
          <w:color w:val="231F20"/>
          <w:kern w:val="0"/>
          <w:sz w:val="21"/>
          <w:szCs w:val="24"/>
        </w:rPr>
        <w:t>2006</w:t>
      </w:r>
      <w:r>
        <w:rPr>
          <w:rFonts w:hint="eastAsia" w:ascii="宋体" w:hAnsi="宋体" w:eastAsia="宋体" w:cs="宋体"/>
          <w:color w:val="231F20"/>
          <w:kern w:val="0"/>
          <w:sz w:val="21"/>
          <w:szCs w:val="24"/>
        </w:rPr>
        <w:t>年以来，笔者主持了一项“关于我国企业职工权益保护状况的调研”课题，在北京市、上海市、山东省、山西省、福建省、贵州省、河北省、河南省等地共向企业职工发放调查问卷</w:t>
      </w:r>
      <w:r>
        <w:rPr>
          <w:rFonts w:ascii="宋体" w:hAnsi="宋体" w:eastAsia="宋体" w:cs="宋体"/>
          <w:color w:val="231F20"/>
          <w:kern w:val="0"/>
          <w:sz w:val="21"/>
          <w:szCs w:val="24"/>
        </w:rPr>
        <w:t>3000</w:t>
      </w:r>
      <w:r>
        <w:rPr>
          <w:rFonts w:hint="eastAsia" w:ascii="宋体" w:hAnsi="宋体" w:eastAsia="宋体" w:cs="宋体"/>
          <w:color w:val="231F20"/>
          <w:kern w:val="0"/>
          <w:sz w:val="21"/>
          <w:szCs w:val="24"/>
        </w:rPr>
        <w:t>份，回收有效问卷</w:t>
      </w:r>
      <w:r>
        <w:rPr>
          <w:rFonts w:ascii="宋体" w:hAnsi="宋体" w:eastAsia="宋体" w:cs="宋体"/>
          <w:color w:val="231F20"/>
          <w:kern w:val="0"/>
          <w:sz w:val="21"/>
          <w:szCs w:val="24"/>
        </w:rPr>
        <w:t>2712</w:t>
      </w:r>
      <w:r>
        <w:rPr>
          <w:rFonts w:hint="eastAsia" w:ascii="宋体" w:hAnsi="宋体" w:eastAsia="宋体" w:cs="宋体"/>
          <w:color w:val="231F20"/>
          <w:kern w:val="0"/>
          <w:sz w:val="21"/>
          <w:szCs w:val="24"/>
        </w:rPr>
        <w:t>份。其中，国有企业、集体企业、民营企业和外资企业职工分别占</w:t>
      </w:r>
      <w:r>
        <w:rPr>
          <w:rFonts w:ascii="宋体" w:hAnsi="宋体" w:eastAsia="宋体" w:cs="宋体"/>
          <w:color w:val="231F20"/>
          <w:kern w:val="0"/>
          <w:sz w:val="21"/>
          <w:szCs w:val="24"/>
        </w:rPr>
        <w:t>47.5%</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10.2%</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33.2%</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9.1%</w:t>
      </w:r>
      <w:r>
        <w:rPr>
          <w:rFonts w:hint="eastAsia" w:ascii="宋体" w:hAnsi="宋体" w:eastAsia="宋体" w:cs="宋体"/>
          <w:color w:val="231F20"/>
          <w:kern w:val="0"/>
          <w:sz w:val="21"/>
          <w:szCs w:val="24"/>
        </w:rPr>
        <w:t>；同时针对职工权益保护的重点问题在上述地区进行了实地访谈调研，对于我国企业职工权益保护状况有了较全面的了解。</w:t>
      </w:r>
    </w:p>
    <w:p w14:paraId="41EC4280">
      <w:pPr>
        <w:autoSpaceDE w:val="0"/>
        <w:autoSpaceDN w:val="0"/>
        <w:adjustRightInd w:val="0"/>
        <w:ind w:firstLine="425" w:firstLineChars="202"/>
        <w:jc w:val="left"/>
        <w:rPr>
          <w:rFonts w:ascii="宋体" w:eastAsia="宋体" w:cs="宋体"/>
          <w:b/>
          <w:color w:val="231F20"/>
          <w:kern w:val="0"/>
          <w:sz w:val="21"/>
          <w:szCs w:val="24"/>
        </w:rPr>
      </w:pPr>
      <w:r>
        <w:rPr>
          <w:rFonts w:hint="eastAsia" w:ascii="宋体" w:hAnsi="宋体" w:eastAsia="宋体" w:cs="宋体"/>
          <w:b/>
          <w:color w:val="231F20"/>
          <w:kern w:val="0"/>
          <w:sz w:val="21"/>
          <w:szCs w:val="24"/>
        </w:rPr>
        <w:t>一、我国企业职工享有的权益处于相对较低水平</w:t>
      </w:r>
    </w:p>
    <w:p w14:paraId="0555F997">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（一）企业职工工资水平较低</w:t>
      </w:r>
    </w:p>
    <w:p w14:paraId="21AB02B3">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我国企业职工的收入虽然逐年上升，但始终慢于</w:t>
      </w:r>
      <w:r>
        <w:rPr>
          <w:rFonts w:ascii="宋体" w:hAnsi="宋体" w:eastAsia="宋体" w:cs="宋体"/>
          <w:color w:val="231F20"/>
          <w:kern w:val="0"/>
          <w:sz w:val="21"/>
          <w:szCs w:val="24"/>
        </w:rPr>
        <w:t>GDP</w:t>
      </w:r>
      <w:r>
        <w:rPr>
          <w:rFonts w:hint="eastAsia" w:ascii="宋体" w:hAnsi="宋体" w:eastAsia="宋体" w:cs="宋体"/>
          <w:color w:val="231F20"/>
          <w:kern w:val="0"/>
          <w:sz w:val="21"/>
          <w:szCs w:val="24"/>
        </w:rPr>
        <w:t>的增长，目前仍然处于较低水平。国际劳工组织公布的数据显示，</w:t>
      </w:r>
      <w:r>
        <w:rPr>
          <w:rFonts w:ascii="宋体" w:hAnsi="宋体" w:eastAsia="宋体" w:cs="宋体"/>
          <w:color w:val="231F20"/>
          <w:kern w:val="0"/>
          <w:sz w:val="21"/>
          <w:szCs w:val="24"/>
        </w:rPr>
        <w:t>2000</w:t>
      </w:r>
      <w:r>
        <w:rPr>
          <w:rFonts w:hint="eastAsia" w:ascii="宋体" w:hAnsi="宋体" w:eastAsia="宋体" w:cs="宋体"/>
          <w:color w:val="231F20"/>
          <w:kern w:val="0"/>
          <w:sz w:val="21"/>
          <w:szCs w:val="24"/>
        </w:rPr>
        <w:t>年至</w:t>
      </w:r>
      <w:r>
        <w:rPr>
          <w:rFonts w:ascii="宋体" w:hAnsi="宋体" w:eastAsia="宋体" w:cs="宋体"/>
          <w:color w:val="231F20"/>
          <w:kern w:val="0"/>
          <w:sz w:val="21"/>
          <w:szCs w:val="24"/>
        </w:rPr>
        <w:t>2005</w:t>
      </w:r>
      <w:r>
        <w:rPr>
          <w:rFonts w:hint="eastAsia" w:ascii="宋体" w:hAnsi="宋体" w:eastAsia="宋体" w:cs="宋体"/>
          <w:color w:val="231F20"/>
          <w:kern w:val="0"/>
          <w:sz w:val="21"/>
          <w:szCs w:val="24"/>
        </w:rPr>
        <w:t>年，中国的人均产值增长了</w:t>
      </w:r>
      <w:r>
        <w:rPr>
          <w:rFonts w:ascii="宋体" w:hAnsi="宋体" w:eastAsia="宋体" w:cs="宋体"/>
          <w:color w:val="231F20"/>
          <w:kern w:val="0"/>
          <w:sz w:val="21"/>
          <w:szCs w:val="24"/>
        </w:rPr>
        <w:t>64%</w:t>
      </w:r>
      <w:r>
        <w:rPr>
          <w:rFonts w:hint="eastAsia" w:ascii="宋体" w:hAnsi="宋体" w:eastAsia="宋体" w:cs="宋体"/>
          <w:color w:val="231F20"/>
          <w:kern w:val="0"/>
          <w:sz w:val="21"/>
          <w:szCs w:val="24"/>
        </w:rPr>
        <w:t>，但工资总额占</w:t>
      </w:r>
      <w:r>
        <w:rPr>
          <w:rFonts w:ascii="宋体" w:hAnsi="宋体" w:eastAsia="宋体" w:cs="宋体"/>
          <w:color w:val="231F20"/>
          <w:kern w:val="0"/>
          <w:sz w:val="21"/>
          <w:szCs w:val="24"/>
        </w:rPr>
        <w:t>GDP</w:t>
      </w:r>
      <w:r>
        <w:rPr>
          <w:rFonts w:hint="eastAsia" w:ascii="宋体" w:hAnsi="宋体" w:eastAsia="宋体" w:cs="宋体"/>
          <w:color w:val="231F20"/>
          <w:kern w:val="0"/>
          <w:sz w:val="21"/>
          <w:szCs w:val="24"/>
        </w:rPr>
        <w:t>的比重却从</w:t>
      </w:r>
      <w:r>
        <w:rPr>
          <w:rFonts w:ascii="宋体" w:hAnsi="宋体" w:eastAsia="宋体" w:cs="宋体"/>
          <w:color w:val="231F20"/>
          <w:kern w:val="0"/>
          <w:sz w:val="21"/>
          <w:szCs w:val="24"/>
        </w:rPr>
        <w:t>12%</w:t>
      </w:r>
      <w:r>
        <w:rPr>
          <w:rFonts w:hint="eastAsia" w:ascii="宋体" w:hAnsi="宋体" w:eastAsia="宋体" w:cs="宋体"/>
          <w:color w:val="231F20"/>
          <w:kern w:val="0"/>
          <w:sz w:val="21"/>
          <w:szCs w:val="24"/>
        </w:rPr>
        <w:t>下降到</w:t>
      </w:r>
      <w:r>
        <w:rPr>
          <w:rFonts w:ascii="宋体" w:hAnsi="宋体" w:eastAsia="宋体" w:cs="宋体"/>
          <w:color w:val="231F20"/>
          <w:kern w:val="0"/>
          <w:sz w:val="21"/>
          <w:szCs w:val="24"/>
        </w:rPr>
        <w:t>11%</w:t>
      </w:r>
      <w:r>
        <w:rPr>
          <w:rFonts w:hint="eastAsia" w:ascii="宋体" w:hAnsi="宋体" w:eastAsia="宋体" w:cs="宋体"/>
          <w:color w:val="231F20"/>
          <w:kern w:val="0"/>
          <w:sz w:val="21"/>
          <w:szCs w:val="24"/>
        </w:rPr>
        <w:t>，延续了</w:t>
      </w:r>
      <w:r>
        <w:rPr>
          <w:rFonts w:ascii="宋体" w:hAnsi="宋体" w:eastAsia="宋体" w:cs="宋体"/>
          <w:color w:val="231F20"/>
          <w:kern w:val="0"/>
          <w:sz w:val="21"/>
          <w:szCs w:val="24"/>
        </w:rPr>
        <w:t>1980</w:t>
      </w:r>
      <w:r>
        <w:rPr>
          <w:rFonts w:hint="eastAsia" w:ascii="宋体" w:hAnsi="宋体" w:eastAsia="宋体" w:cs="宋体"/>
          <w:color w:val="231F20"/>
          <w:kern w:val="0"/>
          <w:sz w:val="21"/>
          <w:szCs w:val="24"/>
        </w:rPr>
        <w:t>年代以来不断下降的趋势。这不仅大大低于国外发达国家的水平，甚至低于许多发展中国家的水平。作为制造业大国，目前中国制造业领域的劳动力价格比印度还要低</w:t>
      </w:r>
      <w:r>
        <w:rPr>
          <w:rFonts w:ascii="宋体" w:hAnsi="宋体" w:eastAsia="宋体" w:cs="宋体"/>
          <w:color w:val="231F20"/>
          <w:kern w:val="0"/>
          <w:sz w:val="21"/>
          <w:szCs w:val="24"/>
        </w:rPr>
        <w:t>10%</w:t>
      </w:r>
      <w:r>
        <w:rPr>
          <w:rFonts w:hint="eastAsia" w:ascii="宋体" w:hAnsi="宋体" w:eastAsia="宋体" w:cs="宋体"/>
          <w:color w:val="231F20"/>
          <w:kern w:val="0"/>
          <w:sz w:val="21"/>
          <w:szCs w:val="24"/>
        </w:rPr>
        <w:t>。根据本次调研的问卷统计，</w:t>
      </w:r>
      <w:r>
        <w:rPr>
          <w:rFonts w:ascii="宋体" w:hAnsi="宋体" w:eastAsia="宋体" w:cs="宋体"/>
          <w:color w:val="231F20"/>
          <w:kern w:val="0"/>
          <w:sz w:val="21"/>
          <w:szCs w:val="24"/>
        </w:rPr>
        <w:t>83.2%</w:t>
      </w:r>
      <w:r>
        <w:rPr>
          <w:rFonts w:hint="eastAsia" w:ascii="宋体" w:hAnsi="宋体" w:eastAsia="宋体" w:cs="宋体"/>
          <w:color w:val="231F20"/>
          <w:kern w:val="0"/>
          <w:sz w:val="21"/>
          <w:szCs w:val="24"/>
        </w:rPr>
        <w:t>的企业职工月工资额在个税起征点</w:t>
      </w:r>
      <w:r>
        <w:rPr>
          <w:rFonts w:ascii="宋体" w:hAnsi="宋体" w:eastAsia="宋体" w:cs="宋体"/>
          <w:color w:val="231F20"/>
          <w:kern w:val="0"/>
          <w:sz w:val="21"/>
          <w:szCs w:val="24"/>
        </w:rPr>
        <w:t>1600</w:t>
      </w:r>
      <w:r>
        <w:rPr>
          <w:rFonts w:hint="eastAsia" w:ascii="宋体" w:hAnsi="宋体" w:eastAsia="宋体" w:cs="宋体"/>
          <w:color w:val="231F20"/>
          <w:kern w:val="0"/>
          <w:sz w:val="21"/>
          <w:szCs w:val="24"/>
        </w:rPr>
        <w:t>元以下。</w:t>
      </w:r>
      <w:r>
        <w:rPr>
          <w:rFonts w:ascii="宋体" w:eastAsia="宋体" w:cs="宋体"/>
          <w:color w:val="231F20"/>
          <w:kern w:val="0"/>
          <w:sz w:val="21"/>
          <w:szCs w:val="24"/>
          <w:vertAlign w:val="superscript"/>
        </w:rPr>
        <w:footnoteReference w:id="640"/>
      </w:r>
    </w:p>
    <w:p w14:paraId="002EAF2F">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（二）劳动用工随意性大，劳动合同管理不规范</w:t>
      </w:r>
    </w:p>
    <w:p w14:paraId="075F9EFE">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本次调查显示，有</w:t>
      </w:r>
      <w:r>
        <w:rPr>
          <w:rFonts w:ascii="宋体" w:hAnsi="宋体" w:eastAsia="宋体" w:cs="宋体"/>
          <w:color w:val="231F20"/>
          <w:kern w:val="0"/>
          <w:sz w:val="21"/>
          <w:szCs w:val="24"/>
        </w:rPr>
        <w:t>23.8%</w:t>
      </w:r>
      <w:r>
        <w:rPr>
          <w:rFonts w:hint="eastAsia" w:ascii="宋体" w:hAnsi="宋体" w:eastAsia="宋体" w:cs="宋体"/>
          <w:color w:val="231F20"/>
          <w:kern w:val="0"/>
          <w:sz w:val="21"/>
          <w:szCs w:val="24"/>
        </w:rPr>
        <w:t>的职工没有与企业签订劳动合同，只有</w:t>
      </w:r>
      <w:r>
        <w:rPr>
          <w:rFonts w:ascii="宋体" w:hAnsi="宋体" w:eastAsia="宋体" w:cs="宋体"/>
          <w:color w:val="231F20"/>
          <w:kern w:val="0"/>
          <w:sz w:val="21"/>
          <w:szCs w:val="24"/>
        </w:rPr>
        <w:t>31.6%</w:t>
      </w:r>
      <w:r>
        <w:rPr>
          <w:rFonts w:hint="eastAsia" w:ascii="宋体" w:hAnsi="宋体" w:eastAsia="宋体" w:cs="宋体"/>
          <w:color w:val="231F20"/>
          <w:kern w:val="0"/>
          <w:sz w:val="21"/>
          <w:szCs w:val="24"/>
        </w:rPr>
        <w:t>的书面劳动合同签订时征求了职工的意见，许多企业未能按照《劳动法》和劳动部门提供的样本去制订合同，合同条款不全面，而且许多劳动合同条款权利、义务不对等，片面强调用人单位的权利和职工的义务，对职工的权益规定得少而空或者没有明确规定，个别企业劳动合同甚至含有违法内容。更为严重的是，许多企业并没有认真履行劳动合同，任意解除劳动合同，随意开除和辞退员工的现象大量存在。</w:t>
      </w:r>
    </w:p>
    <w:p w14:paraId="109BEB7F">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（三）企业职工的休息休假权没有切实执行</w:t>
      </w:r>
    </w:p>
    <w:p w14:paraId="0C467384">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调查显示，职工每周正常休息</w:t>
      </w:r>
      <w:r>
        <w:rPr>
          <w:rFonts w:ascii="宋体" w:hAnsi="宋体" w:eastAsia="宋体" w:cs="宋体"/>
          <w:color w:val="231F20"/>
          <w:kern w:val="0"/>
          <w:sz w:val="21"/>
          <w:szCs w:val="24"/>
        </w:rPr>
        <w:t>2</w:t>
      </w:r>
      <w:r>
        <w:rPr>
          <w:rFonts w:hint="eastAsia" w:ascii="宋体" w:hAnsi="宋体" w:eastAsia="宋体" w:cs="宋体"/>
          <w:color w:val="231F20"/>
          <w:kern w:val="0"/>
          <w:sz w:val="21"/>
          <w:szCs w:val="24"/>
        </w:rPr>
        <w:t>天的仅占</w:t>
      </w:r>
      <w:r>
        <w:rPr>
          <w:rFonts w:ascii="宋体" w:hAnsi="宋体" w:eastAsia="宋体" w:cs="宋体"/>
          <w:color w:val="231F20"/>
          <w:kern w:val="0"/>
          <w:sz w:val="21"/>
          <w:szCs w:val="24"/>
        </w:rPr>
        <w:t>50.7%</w:t>
      </w:r>
      <w:r>
        <w:rPr>
          <w:rFonts w:hint="eastAsia" w:ascii="宋体" w:hAnsi="宋体" w:eastAsia="宋体" w:cs="宋体"/>
          <w:color w:val="231F20"/>
          <w:kern w:val="0"/>
          <w:sz w:val="21"/>
          <w:szCs w:val="24"/>
        </w:rPr>
        <w:t>，企业职工加班大多是企业的硬性要求或者企业布置的工作过多在</w:t>
      </w:r>
      <w:r>
        <w:rPr>
          <w:rFonts w:ascii="宋体" w:hAnsi="宋体" w:eastAsia="宋体" w:cs="宋体"/>
          <w:color w:val="231F20"/>
          <w:kern w:val="0"/>
          <w:sz w:val="21"/>
          <w:szCs w:val="24"/>
        </w:rPr>
        <w:t>8</w:t>
      </w:r>
      <w:r>
        <w:rPr>
          <w:rFonts w:hint="eastAsia" w:ascii="宋体" w:hAnsi="宋体" w:eastAsia="宋体" w:cs="宋体"/>
          <w:color w:val="231F20"/>
          <w:kern w:val="0"/>
          <w:sz w:val="21"/>
          <w:szCs w:val="24"/>
        </w:rPr>
        <w:t>小时内难以完成，职工被迫加班的占</w:t>
      </w:r>
      <w:r>
        <w:rPr>
          <w:rFonts w:ascii="宋体" w:hAnsi="宋体" w:eastAsia="宋体" w:cs="宋体"/>
          <w:color w:val="231F20"/>
          <w:kern w:val="0"/>
          <w:sz w:val="21"/>
          <w:szCs w:val="24"/>
        </w:rPr>
        <w:t>87.4%</w:t>
      </w:r>
      <w:r>
        <w:rPr>
          <w:rFonts w:hint="eastAsia" w:ascii="宋体" w:hAnsi="宋体" w:eastAsia="宋体" w:cs="宋体"/>
          <w:color w:val="231F20"/>
          <w:kern w:val="0"/>
          <w:sz w:val="21"/>
          <w:szCs w:val="24"/>
        </w:rPr>
        <w:t>。</w:t>
      </w:r>
    </w:p>
    <w:p w14:paraId="342E34AB">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（四）企业职工加班大多没有得到法定的补偿</w:t>
      </w:r>
    </w:p>
    <w:p w14:paraId="59CB0F9C">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根据《劳动法》的规定，职工在工作日、休息日、节假日加班，企业应分别支付不低于</w:t>
      </w:r>
      <w:r>
        <w:rPr>
          <w:rFonts w:ascii="宋体" w:hAnsi="宋体" w:eastAsia="宋体" w:cs="宋体"/>
          <w:color w:val="231F20"/>
          <w:kern w:val="0"/>
          <w:sz w:val="21"/>
          <w:szCs w:val="24"/>
        </w:rPr>
        <w:t>1.5</w:t>
      </w:r>
      <w:r>
        <w:rPr>
          <w:rFonts w:hint="eastAsia" w:ascii="宋体" w:hAnsi="宋体" w:eastAsia="宋体" w:cs="宋体"/>
          <w:color w:val="231F20"/>
          <w:kern w:val="0"/>
          <w:sz w:val="21"/>
          <w:szCs w:val="24"/>
        </w:rPr>
        <w:t>倍、</w:t>
      </w:r>
      <w:r>
        <w:rPr>
          <w:rFonts w:ascii="宋体" w:hAnsi="宋体" w:eastAsia="宋体" w:cs="宋体"/>
          <w:color w:val="231F20"/>
          <w:kern w:val="0"/>
          <w:sz w:val="21"/>
          <w:szCs w:val="24"/>
        </w:rPr>
        <w:t>2</w:t>
      </w:r>
      <w:r>
        <w:rPr>
          <w:rFonts w:hint="eastAsia" w:ascii="宋体" w:hAnsi="宋体" w:eastAsia="宋体" w:cs="宋体"/>
          <w:color w:val="231F20"/>
          <w:kern w:val="0"/>
          <w:sz w:val="21"/>
          <w:szCs w:val="24"/>
        </w:rPr>
        <w:t>倍和</w:t>
      </w:r>
      <w:r>
        <w:rPr>
          <w:rFonts w:ascii="宋体" w:hAnsi="宋体" w:eastAsia="宋体" w:cs="宋体"/>
          <w:color w:val="231F20"/>
          <w:kern w:val="0"/>
          <w:sz w:val="21"/>
          <w:szCs w:val="24"/>
        </w:rPr>
        <w:t>3</w:t>
      </w:r>
      <w:r>
        <w:rPr>
          <w:rFonts w:hint="eastAsia" w:ascii="宋体" w:hAnsi="宋体" w:eastAsia="宋体" w:cs="宋体"/>
          <w:color w:val="231F20"/>
          <w:kern w:val="0"/>
          <w:sz w:val="21"/>
          <w:szCs w:val="24"/>
        </w:rPr>
        <w:t>倍的正常日工资。实地调研发现，许多企业管理者和职工都不清楚此项具体规定，只知道职工加班应当被支付加班工资。调查显示，职工在这三种时间加班得到法定补偿的比例仅仅分别为</w:t>
      </w:r>
      <w:r>
        <w:rPr>
          <w:rFonts w:ascii="宋体" w:hAnsi="宋体" w:eastAsia="宋体" w:cs="宋体"/>
          <w:color w:val="231F20"/>
          <w:kern w:val="0"/>
          <w:sz w:val="21"/>
          <w:szCs w:val="24"/>
        </w:rPr>
        <w:t>19.7%</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19.0%</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30.3%</w:t>
      </w:r>
      <w:r>
        <w:rPr>
          <w:rFonts w:hint="eastAsia" w:ascii="宋体" w:hAnsi="宋体" w:eastAsia="宋体" w:cs="宋体"/>
          <w:color w:val="231F20"/>
          <w:kern w:val="0"/>
          <w:sz w:val="21"/>
          <w:szCs w:val="24"/>
        </w:rPr>
        <w:t>。</w:t>
      </w:r>
    </w:p>
    <w:p w14:paraId="7AB5576A">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（五）职工的社会保险参保率较低</w:t>
      </w:r>
    </w:p>
    <w:p w14:paraId="67166C8D">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根据</w:t>
      </w:r>
      <w:r>
        <w:rPr>
          <w:rFonts w:ascii="宋体" w:hAnsi="宋体" w:eastAsia="宋体" w:cs="宋体"/>
          <w:color w:val="231F20"/>
          <w:kern w:val="0"/>
          <w:sz w:val="21"/>
          <w:szCs w:val="24"/>
        </w:rPr>
        <w:t>2006</w:t>
      </w:r>
      <w:r>
        <w:rPr>
          <w:rFonts w:hint="eastAsia" w:ascii="宋体" w:hAnsi="宋体" w:eastAsia="宋体" w:cs="宋体"/>
          <w:color w:val="231F20"/>
          <w:kern w:val="0"/>
          <w:sz w:val="21"/>
          <w:szCs w:val="24"/>
        </w:rPr>
        <w:t>年中国统计年鉴，</w:t>
      </w:r>
      <w:r>
        <w:rPr>
          <w:rFonts w:ascii="宋体" w:hAnsi="宋体" w:eastAsia="宋体" w:cs="宋体"/>
          <w:color w:val="231F20"/>
          <w:kern w:val="0"/>
          <w:sz w:val="21"/>
          <w:szCs w:val="24"/>
        </w:rPr>
        <w:t>2005</w:t>
      </w:r>
      <w:r>
        <w:rPr>
          <w:rFonts w:hint="eastAsia" w:ascii="宋体" w:hAnsi="宋体" w:eastAsia="宋体" w:cs="宋体"/>
          <w:color w:val="231F20"/>
          <w:kern w:val="0"/>
          <w:sz w:val="21"/>
          <w:szCs w:val="24"/>
        </w:rPr>
        <w:t>年我国城镇就业人员为</w:t>
      </w:r>
      <w:r>
        <w:rPr>
          <w:rFonts w:ascii="宋体" w:hAnsi="宋体" w:eastAsia="宋体" w:cs="宋体"/>
          <w:color w:val="231F20"/>
          <w:kern w:val="0"/>
          <w:sz w:val="21"/>
          <w:szCs w:val="24"/>
        </w:rPr>
        <w:t>27331</w:t>
      </w:r>
      <w:r>
        <w:rPr>
          <w:rFonts w:hint="eastAsia" w:ascii="宋体" w:hAnsi="宋体" w:eastAsia="宋体" w:cs="宋体"/>
          <w:color w:val="231F20"/>
          <w:kern w:val="0"/>
          <w:sz w:val="21"/>
          <w:szCs w:val="24"/>
        </w:rPr>
        <w:t>万人，参加养老保险的人数为</w:t>
      </w:r>
      <w:r>
        <w:rPr>
          <w:rFonts w:ascii="宋体" w:hAnsi="宋体" w:eastAsia="宋体" w:cs="宋体"/>
          <w:color w:val="231F20"/>
          <w:kern w:val="0"/>
          <w:sz w:val="21"/>
          <w:szCs w:val="24"/>
        </w:rPr>
        <w:t>13120.4</w:t>
      </w:r>
      <w:r>
        <w:rPr>
          <w:rFonts w:hint="eastAsia" w:ascii="宋体" w:hAnsi="宋体" w:eastAsia="宋体" w:cs="宋体"/>
          <w:color w:val="231F20"/>
          <w:kern w:val="0"/>
          <w:sz w:val="21"/>
          <w:szCs w:val="24"/>
        </w:rPr>
        <w:t>万人，仅占</w:t>
      </w:r>
      <w:r>
        <w:rPr>
          <w:rFonts w:ascii="宋体" w:hAnsi="宋体" w:eastAsia="宋体" w:cs="宋体"/>
          <w:color w:val="231F20"/>
          <w:kern w:val="0"/>
          <w:sz w:val="21"/>
          <w:szCs w:val="24"/>
        </w:rPr>
        <w:t>48.0%</w:t>
      </w:r>
      <w:r>
        <w:rPr>
          <w:rFonts w:hint="eastAsia" w:ascii="宋体" w:hAnsi="宋体" w:eastAsia="宋体" w:cs="宋体"/>
          <w:color w:val="231F20"/>
          <w:kern w:val="0"/>
          <w:sz w:val="21"/>
          <w:szCs w:val="24"/>
        </w:rPr>
        <w:t>；参加基本医疗保险人数为</w:t>
      </w:r>
      <w:r>
        <w:rPr>
          <w:rFonts w:ascii="宋体" w:hAnsi="宋体" w:eastAsia="宋体" w:cs="宋体"/>
          <w:color w:val="231F20"/>
          <w:kern w:val="0"/>
          <w:sz w:val="21"/>
          <w:szCs w:val="24"/>
        </w:rPr>
        <w:t>10021.7</w:t>
      </w:r>
      <w:r>
        <w:rPr>
          <w:rFonts w:hint="eastAsia" w:ascii="宋体" w:hAnsi="宋体" w:eastAsia="宋体" w:cs="宋体"/>
          <w:color w:val="231F20"/>
          <w:kern w:val="0"/>
          <w:sz w:val="21"/>
          <w:szCs w:val="24"/>
        </w:rPr>
        <w:t>万人，仅占</w:t>
      </w:r>
      <w:r>
        <w:rPr>
          <w:rFonts w:ascii="宋体" w:hAnsi="宋体" w:eastAsia="宋体" w:cs="宋体"/>
          <w:color w:val="231F20"/>
          <w:kern w:val="0"/>
          <w:sz w:val="21"/>
          <w:szCs w:val="24"/>
        </w:rPr>
        <w:t>36.7%</w:t>
      </w:r>
      <w:r>
        <w:rPr>
          <w:rFonts w:hint="eastAsia" w:ascii="宋体" w:hAnsi="宋体" w:eastAsia="宋体" w:cs="宋体"/>
          <w:color w:val="231F20"/>
          <w:kern w:val="0"/>
          <w:sz w:val="21"/>
          <w:szCs w:val="24"/>
        </w:rPr>
        <w:t>；参加失业保险人数为</w:t>
      </w:r>
      <w:r>
        <w:rPr>
          <w:rFonts w:ascii="宋体" w:hAnsi="宋体" w:eastAsia="宋体" w:cs="宋体"/>
          <w:color w:val="231F20"/>
          <w:kern w:val="0"/>
          <w:sz w:val="21"/>
          <w:szCs w:val="24"/>
        </w:rPr>
        <w:t>10647.7</w:t>
      </w:r>
      <w:r>
        <w:rPr>
          <w:rFonts w:hint="eastAsia" w:ascii="宋体" w:hAnsi="宋体" w:eastAsia="宋体" w:cs="宋体"/>
          <w:color w:val="231F20"/>
          <w:kern w:val="0"/>
          <w:sz w:val="21"/>
          <w:szCs w:val="24"/>
        </w:rPr>
        <w:t>万人，仅占</w:t>
      </w:r>
      <w:r>
        <w:rPr>
          <w:rFonts w:ascii="宋体" w:hAnsi="宋体" w:eastAsia="宋体" w:cs="宋体"/>
          <w:color w:val="231F20"/>
          <w:kern w:val="0"/>
          <w:sz w:val="21"/>
          <w:szCs w:val="24"/>
        </w:rPr>
        <w:t>39.0%</w:t>
      </w:r>
      <w:r>
        <w:rPr>
          <w:rFonts w:hint="eastAsia" w:ascii="宋体" w:hAnsi="宋体" w:eastAsia="宋体" w:cs="宋体"/>
          <w:color w:val="231F20"/>
          <w:kern w:val="0"/>
          <w:sz w:val="21"/>
          <w:szCs w:val="24"/>
        </w:rPr>
        <w:t>；参加工伤保险的人数为</w:t>
      </w:r>
      <w:r>
        <w:rPr>
          <w:rFonts w:ascii="宋体" w:hAnsi="宋体" w:eastAsia="宋体" w:cs="宋体"/>
          <w:color w:val="231F20"/>
          <w:kern w:val="0"/>
          <w:sz w:val="21"/>
          <w:szCs w:val="24"/>
        </w:rPr>
        <w:t>8478.0</w:t>
      </w:r>
      <w:r>
        <w:rPr>
          <w:rFonts w:hint="eastAsia" w:ascii="宋体" w:hAnsi="宋体" w:eastAsia="宋体" w:cs="宋体"/>
          <w:color w:val="231F20"/>
          <w:kern w:val="0"/>
          <w:sz w:val="21"/>
          <w:szCs w:val="24"/>
        </w:rPr>
        <w:t>万人，仅占</w:t>
      </w:r>
      <w:r>
        <w:rPr>
          <w:rFonts w:ascii="宋体" w:hAnsi="宋体" w:eastAsia="宋体" w:cs="宋体"/>
          <w:color w:val="231F20"/>
          <w:kern w:val="0"/>
          <w:sz w:val="21"/>
          <w:szCs w:val="24"/>
        </w:rPr>
        <w:t>31.0%</w:t>
      </w:r>
      <w:r>
        <w:rPr>
          <w:rFonts w:hint="eastAsia" w:ascii="宋体" w:hAnsi="宋体" w:eastAsia="宋体" w:cs="宋体"/>
          <w:color w:val="231F20"/>
          <w:kern w:val="0"/>
          <w:sz w:val="21"/>
          <w:szCs w:val="24"/>
        </w:rPr>
        <w:t>；参加生育保险的人数为</w:t>
      </w:r>
      <w:r>
        <w:rPr>
          <w:rFonts w:ascii="宋体" w:hAnsi="宋体" w:eastAsia="宋体" w:cs="宋体"/>
          <w:color w:val="231F20"/>
          <w:kern w:val="0"/>
          <w:sz w:val="21"/>
          <w:szCs w:val="24"/>
        </w:rPr>
        <w:t>5408.0</w:t>
      </w:r>
      <w:r>
        <w:rPr>
          <w:rFonts w:hint="eastAsia" w:ascii="宋体" w:hAnsi="宋体" w:eastAsia="宋体" w:cs="宋体"/>
          <w:color w:val="231F20"/>
          <w:kern w:val="0"/>
          <w:sz w:val="21"/>
          <w:szCs w:val="24"/>
        </w:rPr>
        <w:t>万人，占</w:t>
      </w:r>
      <w:r>
        <w:rPr>
          <w:rFonts w:ascii="宋体" w:hAnsi="宋体" w:eastAsia="宋体" w:cs="宋体"/>
          <w:color w:val="231F20"/>
          <w:kern w:val="0"/>
          <w:sz w:val="21"/>
          <w:szCs w:val="24"/>
        </w:rPr>
        <w:t>19.8</w:t>
      </w:r>
      <w:r>
        <w:rPr>
          <w:rFonts w:hint="eastAsia" w:ascii="宋体" w:hAnsi="宋体" w:eastAsia="宋体" w:cs="宋体"/>
          <w:color w:val="231F20"/>
          <w:kern w:val="0"/>
          <w:sz w:val="21"/>
          <w:szCs w:val="24"/>
        </w:rPr>
        <w:t>％。</w:t>
      </w:r>
      <w:r>
        <w:rPr>
          <w:rFonts w:ascii="宋体" w:eastAsia="宋体" w:cs="宋体"/>
          <w:color w:val="231F20"/>
          <w:kern w:val="0"/>
          <w:sz w:val="21"/>
          <w:szCs w:val="24"/>
          <w:vertAlign w:val="superscript"/>
        </w:rPr>
        <w:footnoteReference w:id="641"/>
      </w:r>
      <w:r>
        <w:rPr>
          <w:rFonts w:hint="eastAsia" w:ascii="宋体" w:hAnsi="宋体" w:eastAsia="宋体" w:cs="宋体"/>
          <w:color w:val="231F20"/>
          <w:kern w:val="0"/>
          <w:sz w:val="21"/>
          <w:szCs w:val="24"/>
        </w:rPr>
        <w:t>近两年我国社会保险的覆盖面有所扩大，但是职工的社会保险参保率仍然较低。</w:t>
      </w:r>
    </w:p>
    <w:p w14:paraId="6817F727">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（六）企业的安全生产和卫生条件存在不符合国家标准情况，职工因工伤亡和患职业病情况频繁发生，“过劳死”现象开始出现</w:t>
      </w:r>
    </w:p>
    <w:p w14:paraId="2218F88A">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企业为降低生产成本，减少对生产安全和卫生设施的投资，劳保用品发放不足，导致职工伤亡和患职业病情况频繁发生，超时用工现象普遍存在。根据此次调研的问卷调查统计，</w:t>
      </w:r>
      <w:r>
        <w:rPr>
          <w:rFonts w:ascii="宋体" w:hAnsi="宋体" w:eastAsia="宋体" w:cs="宋体"/>
          <w:color w:val="231F20"/>
          <w:kern w:val="0"/>
          <w:sz w:val="21"/>
          <w:szCs w:val="24"/>
        </w:rPr>
        <w:t>57.0%</w:t>
      </w:r>
      <w:r>
        <w:rPr>
          <w:rFonts w:hint="eastAsia" w:ascii="宋体" w:hAnsi="宋体" w:eastAsia="宋体" w:cs="宋体"/>
          <w:color w:val="231F20"/>
          <w:kern w:val="0"/>
          <w:sz w:val="21"/>
          <w:szCs w:val="24"/>
        </w:rPr>
        <w:t>的职工遇到过因工伤亡或患职业病的情况。</w:t>
      </w:r>
      <w:r>
        <w:rPr>
          <w:rFonts w:ascii="宋体" w:eastAsia="宋体" w:cs="宋体"/>
          <w:color w:val="231F20"/>
          <w:kern w:val="0"/>
          <w:sz w:val="21"/>
          <w:szCs w:val="24"/>
          <w:vertAlign w:val="superscript"/>
        </w:rPr>
        <w:footnoteReference w:id="642"/>
      </w:r>
    </w:p>
    <w:p w14:paraId="76E424D1">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（七）企业职工的主人翁感下降，职工的知情权、参与权和发展权没有保障</w:t>
      </w:r>
    </w:p>
    <w:p w14:paraId="4ED4771D">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调查显示，认同“老板或领导是企业的主人，职工只是雇佣劳动者”的人数占被调查者的</w:t>
      </w:r>
      <w:r>
        <w:rPr>
          <w:rFonts w:ascii="宋体" w:hAnsi="宋体" w:eastAsia="宋体" w:cs="宋体"/>
          <w:color w:val="231F20"/>
          <w:kern w:val="0"/>
          <w:sz w:val="21"/>
          <w:szCs w:val="24"/>
        </w:rPr>
        <w:t>50.8%</w:t>
      </w:r>
      <w:r>
        <w:rPr>
          <w:rFonts w:hint="eastAsia" w:ascii="宋体" w:hAnsi="宋体" w:eastAsia="宋体" w:cs="宋体"/>
          <w:color w:val="231F20"/>
          <w:kern w:val="0"/>
          <w:sz w:val="21"/>
          <w:szCs w:val="24"/>
        </w:rPr>
        <w:t>，显著多于认同“职工是企业的主人翁”的人数；</w:t>
      </w:r>
      <w:r>
        <w:rPr>
          <w:rFonts w:ascii="宋体" w:hAnsi="宋体" w:eastAsia="宋体" w:cs="宋体"/>
          <w:color w:val="231F20"/>
          <w:kern w:val="0"/>
          <w:sz w:val="21"/>
          <w:szCs w:val="24"/>
        </w:rPr>
        <w:t>64.3%</w:t>
      </w:r>
      <w:r>
        <w:rPr>
          <w:rFonts w:hint="eastAsia" w:ascii="宋体" w:hAnsi="宋体" w:eastAsia="宋体" w:cs="宋体"/>
          <w:color w:val="231F20"/>
          <w:kern w:val="0"/>
          <w:sz w:val="21"/>
          <w:szCs w:val="24"/>
        </w:rPr>
        <w:t>的职工从未参与过企业生产技术的改进、经营方针的制定、企业管理人员的任命、工资薪酬的调整、劳动保护方案的拟定和财务状况的监督等企业经营管理活动；</w:t>
      </w:r>
      <w:r>
        <w:rPr>
          <w:rFonts w:ascii="宋体" w:hAnsi="宋体" w:eastAsia="宋体" w:cs="宋体"/>
          <w:color w:val="231F20"/>
          <w:kern w:val="0"/>
          <w:sz w:val="21"/>
          <w:szCs w:val="24"/>
        </w:rPr>
        <w:t>71.1%</w:t>
      </w:r>
      <w:r>
        <w:rPr>
          <w:rFonts w:hint="eastAsia" w:ascii="宋体" w:hAnsi="宋体" w:eastAsia="宋体" w:cs="宋体"/>
          <w:color w:val="231F20"/>
          <w:kern w:val="0"/>
          <w:sz w:val="21"/>
          <w:szCs w:val="24"/>
        </w:rPr>
        <w:t>的职工认为向企业提出建议没有作用或作用不大。</w:t>
      </w:r>
    </w:p>
    <w:p w14:paraId="72F5F762">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（八）劳动争议逐年增多，大多数企业的内部劳动争议协调机制尚未建立或不完善</w:t>
      </w:r>
    </w:p>
    <w:p w14:paraId="791F5805">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调查显示，遇到过劳动争议的职工比例为</w:t>
      </w:r>
      <w:r>
        <w:rPr>
          <w:rFonts w:ascii="宋体" w:hAnsi="宋体" w:eastAsia="宋体" w:cs="宋体"/>
          <w:color w:val="231F20"/>
          <w:kern w:val="0"/>
          <w:sz w:val="21"/>
          <w:szCs w:val="24"/>
        </w:rPr>
        <w:t>61.9%</w:t>
      </w:r>
      <w:r>
        <w:rPr>
          <w:rFonts w:hint="eastAsia" w:ascii="宋体" w:hAnsi="宋体" w:eastAsia="宋体" w:cs="宋体"/>
          <w:color w:val="231F20"/>
          <w:kern w:val="0"/>
          <w:sz w:val="21"/>
          <w:szCs w:val="24"/>
        </w:rPr>
        <w:t>；</w:t>
      </w:r>
      <w:r>
        <w:rPr>
          <w:rFonts w:ascii="宋体" w:eastAsia="宋体" w:cs="宋体"/>
          <w:color w:val="231F20"/>
          <w:kern w:val="0"/>
          <w:sz w:val="21"/>
          <w:szCs w:val="24"/>
          <w:vertAlign w:val="superscript"/>
        </w:rPr>
        <w:footnoteReference w:id="643"/>
      </w:r>
      <w:r>
        <w:rPr>
          <w:rFonts w:hint="eastAsia" w:ascii="宋体" w:hAnsi="宋体" w:eastAsia="宋体" w:cs="宋体"/>
          <w:color w:val="231F20"/>
          <w:kern w:val="0"/>
          <w:sz w:val="21"/>
          <w:szCs w:val="24"/>
        </w:rPr>
        <w:t>劳动报酬问题是产生劳动争议的首要原因，其次是工伤或职业病问题。仅有</w:t>
      </w:r>
      <w:r>
        <w:rPr>
          <w:rFonts w:ascii="宋体" w:hAnsi="宋体" w:eastAsia="宋体" w:cs="宋体"/>
          <w:color w:val="231F20"/>
          <w:kern w:val="0"/>
          <w:sz w:val="21"/>
          <w:szCs w:val="24"/>
        </w:rPr>
        <w:t>16.6%</w:t>
      </w:r>
      <w:r>
        <w:rPr>
          <w:rFonts w:hint="eastAsia" w:ascii="宋体" w:hAnsi="宋体" w:eastAsia="宋体" w:cs="宋体"/>
          <w:color w:val="231F20"/>
          <w:kern w:val="0"/>
          <w:sz w:val="21"/>
          <w:szCs w:val="24"/>
        </w:rPr>
        <w:t>的企业建立了劳动争议协调委员会，且发生劳动争议时，职工更愿意找上一级领导进行解决。</w:t>
      </w:r>
    </w:p>
    <w:p w14:paraId="293EF266">
      <w:pPr>
        <w:autoSpaceDE w:val="0"/>
        <w:autoSpaceDN w:val="0"/>
        <w:adjustRightInd w:val="0"/>
        <w:ind w:firstLine="425" w:firstLineChars="202"/>
        <w:jc w:val="left"/>
        <w:rPr>
          <w:rFonts w:ascii="宋体" w:eastAsia="宋体" w:cs="宋体"/>
          <w:b/>
          <w:color w:val="231F20"/>
          <w:kern w:val="0"/>
          <w:sz w:val="21"/>
          <w:szCs w:val="24"/>
        </w:rPr>
      </w:pPr>
      <w:r>
        <w:rPr>
          <w:rFonts w:hint="eastAsia" w:ascii="宋体" w:hAnsi="宋体" w:eastAsia="宋体" w:cs="宋体"/>
          <w:b/>
          <w:color w:val="231F20"/>
          <w:kern w:val="0"/>
          <w:sz w:val="21"/>
          <w:szCs w:val="24"/>
        </w:rPr>
        <w:t>二、企业职工的权益保护状况表现出层次性、差异性和复杂性</w:t>
      </w:r>
    </w:p>
    <w:p w14:paraId="2E4E60B6">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（一）从企业的所有制看，公有制企业的职工权益保护状况整体上好于非公企业</w:t>
      </w:r>
    </w:p>
    <w:p w14:paraId="6F11641D">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国有企业与职工签订书面劳动合同的比例高，合同签订和履行较为规范。调查显示，国有企业、集体企业、民营企业和外资企业中，书面劳动合同的签订率分别为</w:t>
      </w:r>
      <w:r>
        <w:rPr>
          <w:rFonts w:ascii="宋体" w:hAnsi="宋体" w:eastAsia="宋体" w:cs="宋体"/>
          <w:color w:val="231F20"/>
          <w:kern w:val="0"/>
          <w:sz w:val="21"/>
          <w:szCs w:val="24"/>
        </w:rPr>
        <w:t>88.0%</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68.8%</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51.6%</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89.5%</w:t>
      </w:r>
      <w:r>
        <w:rPr>
          <w:rFonts w:hint="eastAsia" w:ascii="宋体" w:hAnsi="宋体" w:eastAsia="宋体" w:cs="宋体"/>
          <w:color w:val="231F20"/>
          <w:kern w:val="0"/>
          <w:sz w:val="21"/>
          <w:szCs w:val="24"/>
        </w:rPr>
        <w:t>。民营企业劳动合同签订率低且流于形式，签订劳动合同没有成为职工合法权益保护的有效手段。国有企业、集体企业、民营企业和外资企业职工没有因为法定节假日、婚丧假、病假和依法参加社会活动等不工作而扣减薪酬的比例分别为</w:t>
      </w:r>
      <w:r>
        <w:rPr>
          <w:rFonts w:ascii="宋体" w:hAnsi="宋体" w:eastAsia="宋体" w:cs="宋体"/>
          <w:color w:val="231F20"/>
          <w:kern w:val="0"/>
          <w:sz w:val="21"/>
          <w:szCs w:val="24"/>
        </w:rPr>
        <w:t>61.4%</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61.6%</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56.1%</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54.4%</w:t>
      </w:r>
      <w:r>
        <w:rPr>
          <w:rFonts w:hint="eastAsia" w:ascii="宋体" w:hAnsi="宋体" w:eastAsia="宋体" w:cs="宋体"/>
          <w:color w:val="231F20"/>
          <w:kern w:val="0"/>
          <w:sz w:val="21"/>
          <w:szCs w:val="24"/>
        </w:rPr>
        <w:t>。国有企业、集体企业、民营企业和外资企业职工接受过安全卫生知识培训的比例分别为</w:t>
      </w:r>
      <w:r>
        <w:rPr>
          <w:rFonts w:ascii="宋体" w:hAnsi="宋体" w:eastAsia="宋体" w:cs="宋体"/>
          <w:color w:val="231F20"/>
          <w:kern w:val="0"/>
          <w:sz w:val="21"/>
          <w:szCs w:val="24"/>
        </w:rPr>
        <w:t>69.5%</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52.9%</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53.7%</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58.1%</w:t>
      </w:r>
      <w:r>
        <w:rPr>
          <w:rFonts w:hint="eastAsia" w:ascii="宋体" w:hAnsi="宋体" w:eastAsia="宋体" w:cs="宋体"/>
          <w:color w:val="231F20"/>
          <w:kern w:val="0"/>
          <w:sz w:val="21"/>
          <w:szCs w:val="24"/>
        </w:rPr>
        <w:t>，职工参加过本企业组织的职业技术、技能或管理方面培训的比例分别为</w:t>
      </w:r>
      <w:r>
        <w:rPr>
          <w:rFonts w:ascii="宋体" w:hAnsi="宋体" w:eastAsia="宋体" w:cs="宋体"/>
          <w:color w:val="231F20"/>
          <w:kern w:val="0"/>
          <w:sz w:val="21"/>
          <w:szCs w:val="24"/>
        </w:rPr>
        <w:t>80.8%</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56.9%</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58.0%</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66.9%</w:t>
      </w:r>
      <w:r>
        <w:rPr>
          <w:rFonts w:hint="eastAsia" w:ascii="宋体" w:hAnsi="宋体" w:eastAsia="宋体" w:cs="宋体"/>
          <w:color w:val="231F20"/>
          <w:kern w:val="0"/>
          <w:sz w:val="21"/>
          <w:szCs w:val="24"/>
        </w:rPr>
        <w:t>。国有企业、集体企业、民营企业和外资企业为职工办理养老保险的比例分别为</w:t>
      </w:r>
      <w:r>
        <w:rPr>
          <w:rFonts w:ascii="宋体" w:hAnsi="宋体" w:eastAsia="宋体" w:cs="宋体"/>
          <w:color w:val="231F20"/>
          <w:kern w:val="0"/>
          <w:sz w:val="21"/>
          <w:szCs w:val="24"/>
        </w:rPr>
        <w:t>88.3%</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58.3%</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48.7%</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86.3%</w:t>
      </w:r>
      <w:r>
        <w:rPr>
          <w:rFonts w:hint="eastAsia" w:ascii="宋体" w:hAnsi="宋体" w:eastAsia="宋体" w:cs="宋体"/>
          <w:color w:val="231F20"/>
          <w:kern w:val="0"/>
          <w:sz w:val="21"/>
          <w:szCs w:val="24"/>
        </w:rPr>
        <w:t>。国有企业是设立职工权益维护组织最广泛的企业类型。调查显示，</w:t>
      </w:r>
      <w:r>
        <w:rPr>
          <w:rFonts w:ascii="宋体" w:hAnsi="宋体" w:eastAsia="宋体" w:cs="宋体"/>
          <w:color w:val="231F20"/>
          <w:kern w:val="0"/>
          <w:sz w:val="21"/>
          <w:szCs w:val="24"/>
        </w:rPr>
        <w:t>95%</w:t>
      </w:r>
      <w:r>
        <w:rPr>
          <w:rFonts w:hint="eastAsia" w:ascii="宋体" w:hAnsi="宋体" w:eastAsia="宋体" w:cs="宋体"/>
          <w:color w:val="231F20"/>
          <w:kern w:val="0"/>
          <w:sz w:val="21"/>
          <w:szCs w:val="24"/>
        </w:rPr>
        <w:t>的国有企业设有工会组织，</w:t>
      </w:r>
      <w:r>
        <w:rPr>
          <w:rFonts w:ascii="宋体" w:hAnsi="宋体" w:eastAsia="宋体" w:cs="宋体"/>
          <w:color w:val="231F20"/>
          <w:kern w:val="0"/>
          <w:sz w:val="21"/>
          <w:szCs w:val="24"/>
        </w:rPr>
        <w:t>55%</w:t>
      </w:r>
      <w:r>
        <w:rPr>
          <w:rFonts w:hint="eastAsia" w:ascii="宋体" w:hAnsi="宋体" w:eastAsia="宋体" w:cs="宋体"/>
          <w:color w:val="231F20"/>
          <w:kern w:val="0"/>
          <w:sz w:val="21"/>
          <w:szCs w:val="24"/>
        </w:rPr>
        <w:t>的职工加入了工会，</w:t>
      </w:r>
      <w:r>
        <w:rPr>
          <w:rFonts w:ascii="宋体" w:hAnsi="宋体" w:eastAsia="宋体" w:cs="宋体"/>
          <w:color w:val="231F20"/>
          <w:kern w:val="0"/>
          <w:sz w:val="21"/>
          <w:szCs w:val="24"/>
        </w:rPr>
        <w:t>76.2%</w:t>
      </w:r>
      <w:r>
        <w:rPr>
          <w:rFonts w:hint="eastAsia" w:ascii="宋体" w:hAnsi="宋体" w:eastAsia="宋体" w:cs="宋体"/>
          <w:color w:val="231F20"/>
          <w:kern w:val="0"/>
          <w:sz w:val="21"/>
          <w:szCs w:val="24"/>
        </w:rPr>
        <w:t>的国有企业设有职工代表大会，国有企业工会、职工代表大会、劳动争议协调委员会、劳动安全委员会和劳动监察组织的设立率均大大高于民营企业。国有企业职工对本企业的认同感和归属感相对较强。国有企业、集体企业、民营企业和外资企业职工认同“老板或领导是企业的主人，职工只是雇佣劳动者”的比例分别为</w:t>
      </w:r>
      <w:r>
        <w:rPr>
          <w:rFonts w:ascii="宋体" w:hAnsi="宋体" w:eastAsia="宋体" w:cs="宋体"/>
          <w:color w:val="231F20"/>
          <w:kern w:val="0"/>
          <w:sz w:val="21"/>
          <w:szCs w:val="24"/>
        </w:rPr>
        <w:t>48.7%</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34.1%</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58.3%</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54.0%</w:t>
      </w:r>
      <w:r>
        <w:rPr>
          <w:rFonts w:hint="eastAsia" w:ascii="宋体" w:hAnsi="宋体" w:eastAsia="宋体" w:cs="宋体"/>
          <w:color w:val="231F20"/>
          <w:kern w:val="0"/>
          <w:sz w:val="21"/>
          <w:szCs w:val="24"/>
        </w:rPr>
        <w:t>，如果有再次择业机会还会选择在原类型企业工作的比例分别为</w:t>
      </w:r>
      <w:r>
        <w:rPr>
          <w:rFonts w:ascii="宋体" w:hAnsi="宋体" w:eastAsia="宋体" w:cs="宋体"/>
          <w:color w:val="231F20"/>
          <w:kern w:val="0"/>
          <w:sz w:val="21"/>
          <w:szCs w:val="24"/>
        </w:rPr>
        <w:t>55.4%</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28.6%</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11.8%</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46.4%</w:t>
      </w:r>
      <w:r>
        <w:rPr>
          <w:rFonts w:hint="eastAsia" w:ascii="宋体" w:hAnsi="宋体" w:eastAsia="宋体" w:cs="宋体"/>
          <w:color w:val="231F20"/>
          <w:kern w:val="0"/>
          <w:sz w:val="21"/>
          <w:szCs w:val="24"/>
        </w:rPr>
        <w:t>。</w:t>
      </w:r>
    </w:p>
    <w:p w14:paraId="1F5A5344">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（二）从企业的规模看，规模较大企业的职工权益保护状况整体上好于规模较小企业</w:t>
      </w:r>
    </w:p>
    <w:p w14:paraId="385B6D44">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通过实地调研和访谈发现，规模较大企业，不管是国有企业、民营企业、还是外资企业，企业的工会、职代会、劳动安全委员会等职工权益维护组织相对较为健全，职工工资一般都以打入银行卡的方式定期发放，基本没有出现拖欠职工工资的现象。规模较大企业注重对职工的技能培训，鼓励员工签订长期劳动合同，一般都按照国家规定为职工交纳社会保险金或基金。规模较大企业还注重培育企业文化，组织职工参与各种文体活动，关心职工的生活状况，劳保用品的发放和福利提供较好。</w:t>
      </w:r>
    </w:p>
    <w:p w14:paraId="3DB85A8C">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（三）从企业的经济效益看，经济效益较好企业的职工权益保护状况好于经济效益较差企业</w:t>
      </w:r>
    </w:p>
    <w:p w14:paraId="27ED2243">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通过实地调研和访谈发现，经济效益较好的企业一般都会按照劳动合同的规定定期发放职工工资和交纳社会保险金或基金，而经济效益转差的企业或者经济效益一直较差的企业的现金流常常出现问题，企业工资的拖欠和克扣经常发生，职工的流动性较大，企业的安全卫生保护措施较弱，劳动争议案件大量出现。</w:t>
      </w:r>
    </w:p>
    <w:p w14:paraId="6F93EB5A">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（四）从企业的存在状态看，正常运转的企业的职工权益保护状况好于改制或破产企业</w:t>
      </w:r>
    </w:p>
    <w:p w14:paraId="4DED7AA5">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企业一旦进入改制或破产状态，通常伴随职工的下岗分流，出现职工安置和补偿、工资拖欠、社会保险费欠缴等问题。通过实地调研和访谈发现，一些突发的群体性事件，如集体上访、阻断交通等，重要原因就是改制或破产企业的职工经济补偿和利益问题没有妥善处置。在面临下岗分流的压力下，一些在岗职工对一些侵犯他们权益的做法、措施也不敢声张，而企业的原有职工维权机制通常处于瘫痪状态，职工的合法权益无法得到有效维护。</w:t>
      </w:r>
    </w:p>
    <w:p w14:paraId="5496A47F">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（五）从企业的所在行业看，采矿业和建筑业的职工权益保护状况差于制造业等其他行业企业</w:t>
      </w:r>
    </w:p>
    <w:p w14:paraId="0F089BA4">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采矿业和建筑业企业职工的工作环境和工作条件恶劣，因此企业需要具备较高的安全卫生生产条件和标准，而要达到较高的安全卫生生产条件和标准需要较大的生产成本投入，一些企业为了追求更大的利润往往降低安全卫生方面的投入，而这些企业的职工以农民工和非正式工为主，职工流动性大，导致企业和职工都忽视职工合法权益的保护。通过调研和实地访谈发现，一些采矿业和建筑业企业与职工签订了除足额发放工资外，生老病死和工伤都与企业无关的所谓“生死合同”。</w:t>
      </w:r>
    </w:p>
    <w:p w14:paraId="3FBD48DB">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（六）从企业的职工类别看，在本企业工作年限长的、职位高的、学历高的职工的权益保护状况好于工作年限短的、职位低的和学历低的职工</w:t>
      </w:r>
    </w:p>
    <w:p w14:paraId="6C197377">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根据此次调研的问卷调查统计，工作年限分别为</w:t>
      </w:r>
      <w:r>
        <w:rPr>
          <w:rFonts w:ascii="宋体" w:hAnsi="宋体" w:eastAsia="宋体" w:cs="宋体"/>
          <w:color w:val="231F20"/>
          <w:kern w:val="0"/>
          <w:sz w:val="21"/>
          <w:szCs w:val="24"/>
        </w:rPr>
        <w:t>3</w:t>
      </w:r>
      <w:r>
        <w:rPr>
          <w:rFonts w:hint="eastAsia" w:ascii="宋体" w:hAnsi="宋体" w:eastAsia="宋体" w:cs="宋体"/>
          <w:color w:val="231F20"/>
          <w:kern w:val="0"/>
          <w:sz w:val="21"/>
          <w:szCs w:val="24"/>
        </w:rPr>
        <w:t>年以下、</w:t>
      </w:r>
      <w:r>
        <w:rPr>
          <w:rFonts w:ascii="宋体" w:hAnsi="宋体" w:eastAsia="宋体" w:cs="宋体"/>
          <w:color w:val="231F20"/>
          <w:kern w:val="0"/>
          <w:sz w:val="21"/>
          <w:szCs w:val="24"/>
        </w:rPr>
        <w:t>3—6</w:t>
      </w:r>
      <w:r>
        <w:rPr>
          <w:rFonts w:hint="eastAsia" w:ascii="宋体" w:hAnsi="宋体" w:eastAsia="宋体" w:cs="宋体"/>
          <w:color w:val="231F20"/>
          <w:kern w:val="0"/>
          <w:sz w:val="21"/>
          <w:szCs w:val="24"/>
        </w:rPr>
        <w:t>年、</w:t>
      </w:r>
      <w:r>
        <w:rPr>
          <w:rFonts w:ascii="宋体" w:hAnsi="宋体" w:eastAsia="宋体" w:cs="宋体"/>
          <w:color w:val="231F20"/>
          <w:kern w:val="0"/>
          <w:sz w:val="21"/>
          <w:szCs w:val="24"/>
        </w:rPr>
        <w:t>7—12</w:t>
      </w:r>
      <w:r>
        <w:rPr>
          <w:rFonts w:hint="eastAsia" w:ascii="宋体" w:hAnsi="宋体" w:eastAsia="宋体" w:cs="宋体"/>
          <w:color w:val="231F20"/>
          <w:kern w:val="0"/>
          <w:sz w:val="21"/>
          <w:szCs w:val="24"/>
        </w:rPr>
        <w:t>年和</w:t>
      </w:r>
      <w:r>
        <w:rPr>
          <w:rFonts w:ascii="宋体" w:hAnsi="宋体" w:eastAsia="宋体" w:cs="宋体"/>
          <w:color w:val="231F20"/>
          <w:kern w:val="0"/>
          <w:sz w:val="21"/>
          <w:szCs w:val="24"/>
        </w:rPr>
        <w:t>12</w:t>
      </w:r>
      <w:r>
        <w:rPr>
          <w:rFonts w:hint="eastAsia" w:ascii="宋体" w:hAnsi="宋体" w:eastAsia="宋体" w:cs="宋体"/>
          <w:color w:val="231F20"/>
          <w:kern w:val="0"/>
          <w:sz w:val="21"/>
          <w:szCs w:val="24"/>
        </w:rPr>
        <w:t>年以上的企业职工书面合同签订率分别为</w:t>
      </w:r>
      <w:r>
        <w:rPr>
          <w:rFonts w:ascii="宋体" w:hAnsi="宋体" w:eastAsia="宋体" w:cs="宋体"/>
          <w:color w:val="231F20"/>
          <w:kern w:val="0"/>
          <w:sz w:val="21"/>
          <w:szCs w:val="24"/>
        </w:rPr>
        <w:t>44.0%</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72.7%</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88.4%</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92.8%</w:t>
      </w:r>
      <w:r>
        <w:rPr>
          <w:rFonts w:hint="eastAsia" w:ascii="宋体" w:hAnsi="宋体" w:eastAsia="宋体" w:cs="宋体"/>
          <w:color w:val="231F20"/>
          <w:kern w:val="0"/>
          <w:sz w:val="21"/>
          <w:szCs w:val="24"/>
        </w:rPr>
        <w:t>，养老保险的参保率分别为</w:t>
      </w:r>
      <w:r>
        <w:rPr>
          <w:rFonts w:ascii="宋体" w:hAnsi="宋体" w:eastAsia="宋体" w:cs="宋体"/>
          <w:color w:val="231F20"/>
          <w:kern w:val="0"/>
          <w:sz w:val="21"/>
          <w:szCs w:val="24"/>
        </w:rPr>
        <w:t>38.5</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65.8</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89.3</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95.5</w:t>
      </w:r>
      <w:r>
        <w:rPr>
          <w:rFonts w:hint="eastAsia" w:ascii="宋体" w:hAnsi="宋体" w:eastAsia="宋体" w:cs="宋体"/>
          <w:color w:val="231F20"/>
          <w:kern w:val="0"/>
          <w:sz w:val="21"/>
          <w:szCs w:val="24"/>
        </w:rPr>
        <w:t>％，医疗保险的参保率分别为</w:t>
      </w:r>
      <w:r>
        <w:rPr>
          <w:rFonts w:ascii="宋体" w:hAnsi="宋体" w:eastAsia="宋体" w:cs="宋体"/>
          <w:color w:val="231F20"/>
          <w:kern w:val="0"/>
          <w:sz w:val="21"/>
          <w:szCs w:val="24"/>
        </w:rPr>
        <w:t>33.9%</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62.0%</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85.8%</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91.9%</w:t>
      </w:r>
      <w:r>
        <w:rPr>
          <w:rFonts w:hint="eastAsia" w:ascii="宋体" w:hAnsi="宋体" w:eastAsia="宋体" w:cs="宋体"/>
          <w:color w:val="231F20"/>
          <w:kern w:val="0"/>
          <w:sz w:val="21"/>
          <w:szCs w:val="24"/>
        </w:rPr>
        <w:t>，失业保险的参保率分别为</w:t>
      </w:r>
      <w:r>
        <w:rPr>
          <w:rFonts w:ascii="宋体" w:hAnsi="宋体" w:eastAsia="宋体" w:cs="宋体"/>
          <w:color w:val="231F20"/>
          <w:kern w:val="0"/>
          <w:sz w:val="21"/>
          <w:szCs w:val="24"/>
        </w:rPr>
        <w:t>25.5</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50.1</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67.8</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67.9</w:t>
      </w:r>
      <w:r>
        <w:rPr>
          <w:rFonts w:hint="eastAsia" w:ascii="宋体" w:hAnsi="宋体" w:eastAsia="宋体" w:cs="宋体"/>
          <w:color w:val="231F20"/>
          <w:kern w:val="0"/>
          <w:sz w:val="21"/>
          <w:szCs w:val="24"/>
        </w:rPr>
        <w:t>％，住房公积金的办理率分别为</w:t>
      </w:r>
      <w:r>
        <w:rPr>
          <w:rFonts w:ascii="宋体" w:hAnsi="宋体" w:eastAsia="宋体" w:cs="宋体"/>
          <w:color w:val="231F20"/>
          <w:kern w:val="0"/>
          <w:sz w:val="21"/>
          <w:szCs w:val="24"/>
        </w:rPr>
        <w:t>21.0</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37.1</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61.4</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73.6</w:t>
      </w:r>
      <w:r>
        <w:rPr>
          <w:rFonts w:hint="eastAsia" w:ascii="宋体" w:hAnsi="宋体" w:eastAsia="宋体" w:cs="宋体"/>
          <w:color w:val="231F20"/>
          <w:kern w:val="0"/>
          <w:sz w:val="21"/>
          <w:szCs w:val="24"/>
        </w:rPr>
        <w:t>％，可见工作年限越长的职工，其书面合同签订率越高，社会保险和基金的交纳率也越高；工作职位分别为一般职工、基层管理者、中层管理者和高层管理者的书面合同签订率分别为</w:t>
      </w:r>
      <w:r>
        <w:rPr>
          <w:rFonts w:ascii="宋体" w:hAnsi="宋体" w:eastAsia="宋体" w:cs="宋体"/>
          <w:color w:val="231F20"/>
          <w:kern w:val="0"/>
          <w:sz w:val="21"/>
          <w:szCs w:val="24"/>
        </w:rPr>
        <w:t>71.1%</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78.7%</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83.7%</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89.3%</w:t>
      </w:r>
      <w:r>
        <w:rPr>
          <w:rFonts w:hint="eastAsia" w:ascii="宋体" w:hAnsi="宋体" w:eastAsia="宋体" w:cs="宋体"/>
          <w:color w:val="231F20"/>
          <w:kern w:val="0"/>
          <w:sz w:val="21"/>
          <w:szCs w:val="24"/>
        </w:rPr>
        <w:t>，养老保险的参保率分别</w:t>
      </w:r>
      <w:r>
        <w:rPr>
          <w:rFonts w:ascii="宋体" w:hAnsi="宋体" w:eastAsia="宋体" w:cs="宋体"/>
          <w:color w:val="231F20"/>
          <w:kern w:val="0"/>
          <w:sz w:val="21"/>
          <w:szCs w:val="24"/>
        </w:rPr>
        <w:t>68.7</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73.9</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89.0</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96.4</w:t>
      </w:r>
      <w:r>
        <w:rPr>
          <w:rFonts w:hint="eastAsia" w:ascii="宋体" w:hAnsi="宋体" w:eastAsia="宋体" w:cs="宋体"/>
          <w:color w:val="231F20"/>
          <w:kern w:val="0"/>
          <w:sz w:val="21"/>
          <w:szCs w:val="24"/>
        </w:rPr>
        <w:t>％，医疗保险的参保率分别为</w:t>
      </w:r>
      <w:r>
        <w:rPr>
          <w:rFonts w:ascii="宋体" w:hAnsi="宋体" w:eastAsia="宋体" w:cs="宋体"/>
          <w:color w:val="231F20"/>
          <w:kern w:val="0"/>
          <w:sz w:val="21"/>
          <w:szCs w:val="24"/>
        </w:rPr>
        <w:t>64.4%</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71.6%</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84.1%</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92.9%</w:t>
      </w:r>
      <w:r>
        <w:rPr>
          <w:rFonts w:hint="eastAsia" w:ascii="宋体" w:hAnsi="宋体" w:eastAsia="宋体" w:cs="宋体"/>
          <w:color w:val="231F20"/>
          <w:kern w:val="0"/>
          <w:sz w:val="21"/>
          <w:szCs w:val="24"/>
        </w:rPr>
        <w:t>，失业保险的参保率分别为</w:t>
      </w:r>
      <w:r>
        <w:rPr>
          <w:rFonts w:ascii="宋体" w:hAnsi="宋体" w:eastAsia="宋体" w:cs="宋体"/>
          <w:color w:val="231F20"/>
          <w:kern w:val="0"/>
          <w:sz w:val="21"/>
          <w:szCs w:val="24"/>
        </w:rPr>
        <w:t>46.7</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61.1</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72.3</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89.3</w:t>
      </w:r>
      <w:r>
        <w:rPr>
          <w:rFonts w:hint="eastAsia" w:ascii="宋体" w:hAnsi="宋体" w:eastAsia="宋体" w:cs="宋体"/>
          <w:color w:val="231F20"/>
          <w:kern w:val="0"/>
          <w:sz w:val="21"/>
          <w:szCs w:val="24"/>
        </w:rPr>
        <w:t>％，住房公积金的办理率分别为</w:t>
      </w:r>
      <w:r>
        <w:rPr>
          <w:rFonts w:ascii="宋体" w:hAnsi="宋体" w:eastAsia="宋体" w:cs="宋体"/>
          <w:color w:val="231F20"/>
          <w:kern w:val="0"/>
          <w:sz w:val="21"/>
          <w:szCs w:val="24"/>
        </w:rPr>
        <w:t>45.6</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50.3</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66.5</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78.6</w:t>
      </w:r>
      <w:r>
        <w:rPr>
          <w:rFonts w:hint="eastAsia" w:ascii="宋体" w:hAnsi="宋体" w:eastAsia="宋体" w:cs="宋体"/>
          <w:color w:val="231F20"/>
          <w:kern w:val="0"/>
          <w:sz w:val="21"/>
          <w:szCs w:val="24"/>
        </w:rPr>
        <w:t>％，可见工作职位越高的职工，书面合同签订率越高，社会保险和基金的交纳率也越高；学历分别为初中及以下、高中或中专、大学和研究生的企业职工书面合同签订率分别为</w:t>
      </w:r>
      <w:r>
        <w:rPr>
          <w:rFonts w:ascii="宋体" w:hAnsi="宋体" w:eastAsia="宋体" w:cs="宋体"/>
          <w:color w:val="231F20"/>
          <w:kern w:val="0"/>
          <w:sz w:val="21"/>
          <w:szCs w:val="24"/>
        </w:rPr>
        <w:t>70.0%</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66.5%</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84.7%</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88.0%</w:t>
      </w:r>
      <w:r>
        <w:rPr>
          <w:rFonts w:hint="eastAsia" w:ascii="宋体" w:hAnsi="宋体" w:eastAsia="宋体" w:cs="宋体"/>
          <w:color w:val="231F20"/>
          <w:kern w:val="0"/>
          <w:sz w:val="21"/>
          <w:szCs w:val="24"/>
        </w:rPr>
        <w:t>，养老保险的参保率分别为</w:t>
      </w:r>
      <w:r>
        <w:rPr>
          <w:rFonts w:ascii="宋体" w:hAnsi="宋体" w:eastAsia="宋体" w:cs="宋体"/>
          <w:color w:val="231F20"/>
          <w:kern w:val="0"/>
          <w:sz w:val="21"/>
          <w:szCs w:val="24"/>
        </w:rPr>
        <w:t>67.1</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64.0</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83.4</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84.0</w:t>
      </w:r>
      <w:r>
        <w:rPr>
          <w:rFonts w:hint="eastAsia" w:ascii="宋体" w:hAnsi="宋体" w:eastAsia="宋体" w:cs="宋体"/>
          <w:color w:val="231F20"/>
          <w:kern w:val="0"/>
          <w:sz w:val="21"/>
          <w:szCs w:val="24"/>
        </w:rPr>
        <w:t>％，医疗保险的参保率分别为</w:t>
      </w:r>
      <w:r>
        <w:rPr>
          <w:rFonts w:ascii="宋体" w:hAnsi="宋体" w:eastAsia="宋体" w:cs="宋体"/>
          <w:color w:val="231F20"/>
          <w:kern w:val="0"/>
          <w:sz w:val="21"/>
          <w:szCs w:val="24"/>
        </w:rPr>
        <w:t>58.2%</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60.6%</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81.2%</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88.0%</w:t>
      </w:r>
      <w:r>
        <w:rPr>
          <w:rFonts w:hint="eastAsia" w:ascii="宋体" w:hAnsi="宋体" w:eastAsia="宋体" w:cs="宋体"/>
          <w:color w:val="231F20"/>
          <w:kern w:val="0"/>
          <w:sz w:val="21"/>
          <w:szCs w:val="24"/>
        </w:rPr>
        <w:t>，失业保险的参保率分别为</w:t>
      </w:r>
      <w:r>
        <w:rPr>
          <w:rFonts w:ascii="宋体" w:hAnsi="宋体" w:eastAsia="宋体" w:cs="宋体"/>
          <w:color w:val="231F20"/>
          <w:kern w:val="0"/>
          <w:sz w:val="21"/>
          <w:szCs w:val="24"/>
        </w:rPr>
        <w:t>37.0</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46.2</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66.8</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80.0</w:t>
      </w:r>
      <w:r>
        <w:rPr>
          <w:rFonts w:hint="eastAsia" w:ascii="宋体" w:hAnsi="宋体" w:eastAsia="宋体" w:cs="宋体"/>
          <w:color w:val="231F20"/>
          <w:kern w:val="0"/>
          <w:sz w:val="21"/>
          <w:szCs w:val="24"/>
        </w:rPr>
        <w:t>％，住房公积金的办理率分别为</w:t>
      </w:r>
      <w:r>
        <w:rPr>
          <w:rFonts w:ascii="宋体" w:hAnsi="宋体" w:eastAsia="宋体" w:cs="宋体"/>
          <w:color w:val="231F20"/>
          <w:kern w:val="0"/>
          <w:sz w:val="21"/>
          <w:szCs w:val="24"/>
        </w:rPr>
        <w:t>35.8</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39.3</w:t>
      </w:r>
      <w:r>
        <w:rPr>
          <w:rFonts w:hint="eastAsia" w:ascii="宋体" w:hAnsi="宋体" w:eastAsia="宋体" w:cs="宋体"/>
          <w:color w:val="231F20"/>
          <w:kern w:val="0"/>
          <w:sz w:val="21"/>
          <w:szCs w:val="24"/>
        </w:rPr>
        <w:t>％、</w:t>
      </w:r>
      <w:r>
        <w:rPr>
          <w:rFonts w:ascii="宋体" w:hAnsi="宋体" w:eastAsia="宋体" w:cs="宋体"/>
          <w:color w:val="231F20"/>
          <w:kern w:val="0"/>
          <w:sz w:val="21"/>
          <w:szCs w:val="24"/>
        </w:rPr>
        <w:t>65.2</w:t>
      </w:r>
      <w:r>
        <w:rPr>
          <w:rFonts w:hint="eastAsia" w:ascii="宋体" w:hAnsi="宋体" w:eastAsia="宋体" w:cs="宋体"/>
          <w:color w:val="231F20"/>
          <w:kern w:val="0"/>
          <w:sz w:val="21"/>
          <w:szCs w:val="24"/>
        </w:rPr>
        <w:t>％和</w:t>
      </w:r>
      <w:r>
        <w:rPr>
          <w:rFonts w:ascii="宋体" w:hAnsi="宋体" w:eastAsia="宋体" w:cs="宋体"/>
          <w:color w:val="231F20"/>
          <w:kern w:val="0"/>
          <w:sz w:val="21"/>
          <w:szCs w:val="24"/>
        </w:rPr>
        <w:t>82.0</w:t>
      </w:r>
      <w:r>
        <w:rPr>
          <w:rFonts w:hint="eastAsia" w:ascii="宋体" w:hAnsi="宋体" w:eastAsia="宋体" w:cs="宋体"/>
          <w:color w:val="231F20"/>
          <w:kern w:val="0"/>
          <w:sz w:val="21"/>
          <w:szCs w:val="24"/>
        </w:rPr>
        <w:t>％，可见学历越高的职工，其书面合同签订率越高，社会保险和基金的交纳率也越高。</w:t>
      </w:r>
    </w:p>
    <w:p w14:paraId="53B8DF68">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（七）从企业的用工形式看，正式工的权益保护状况好于合同工或临时工及派遣工</w:t>
      </w:r>
    </w:p>
    <w:p w14:paraId="443B2597">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通过实地调研和访谈发现，许多企业出现了同工不同酬现象，一些国有企业或集体企业改制后，原有工人一般为正式工，改制后进入企业的工人一般为合同工或临时工和派遣工，这些职工享有的工资水平、社会保障、技能培训等都差于原有正式工人。合同工或临时工及派遣工的工资和福利水平一般由职工与企业或者派出机构与企业谈判决定，在劳动力市场供过于求的情况下，这些职工的工资和福利水平被压低，他们的就业稳定性也差，社会保险或基金的交纳率较低。</w:t>
      </w:r>
    </w:p>
    <w:p w14:paraId="58A6F788">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（八）从企业的职工身份看，当地户籍职工的权益保护状况好于非当地的城镇户籍职工或农民工</w:t>
      </w:r>
    </w:p>
    <w:p w14:paraId="1EC6DA1B">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通过实地调研和访谈发现，许多企业大量雇佣了非当地的城镇户籍职工和农民工，但大都没有为这些职工交纳养老保险、医疗保险、失业保险和住房公积金等社会保险或基金，而且这些职工工资的拖欠和扣押现象严重。据全国总工会公布的资料显示，</w:t>
      </w:r>
      <w:r>
        <w:rPr>
          <w:rFonts w:ascii="宋体" w:hAnsi="宋体" w:eastAsia="宋体" w:cs="宋体"/>
          <w:color w:val="231F20"/>
          <w:kern w:val="0"/>
          <w:sz w:val="21"/>
          <w:szCs w:val="24"/>
        </w:rPr>
        <w:t>2004</w:t>
      </w:r>
      <w:r>
        <w:rPr>
          <w:rFonts w:hint="eastAsia" w:ascii="宋体" w:hAnsi="宋体" w:eastAsia="宋体" w:cs="宋体"/>
          <w:color w:val="231F20"/>
          <w:kern w:val="0"/>
          <w:sz w:val="21"/>
          <w:szCs w:val="24"/>
        </w:rPr>
        <w:t>年以前全国进城务工的农民工被拖欠的工资在</w:t>
      </w:r>
      <w:r>
        <w:rPr>
          <w:rFonts w:ascii="宋体" w:hAnsi="宋体" w:eastAsia="宋体" w:cs="宋体"/>
          <w:color w:val="231F20"/>
          <w:kern w:val="0"/>
          <w:sz w:val="21"/>
          <w:szCs w:val="24"/>
        </w:rPr>
        <w:t>1000</w:t>
      </w:r>
      <w:r>
        <w:rPr>
          <w:rFonts w:hint="eastAsia" w:ascii="宋体" w:hAnsi="宋体" w:eastAsia="宋体" w:cs="宋体"/>
          <w:color w:val="231F20"/>
          <w:kern w:val="0"/>
          <w:sz w:val="21"/>
          <w:szCs w:val="24"/>
        </w:rPr>
        <w:t>亿元左右，全国农民工的数量有</w:t>
      </w:r>
      <w:r>
        <w:rPr>
          <w:rFonts w:ascii="宋体" w:hAnsi="宋体" w:eastAsia="宋体" w:cs="宋体"/>
          <w:color w:val="231F20"/>
          <w:kern w:val="0"/>
          <w:sz w:val="21"/>
          <w:szCs w:val="24"/>
        </w:rPr>
        <w:t>1</w:t>
      </w:r>
      <w:r>
        <w:rPr>
          <w:rFonts w:hint="eastAsia" w:ascii="宋体" w:hAnsi="宋体" w:eastAsia="宋体" w:cs="宋体"/>
          <w:color w:val="231F20"/>
          <w:kern w:val="0"/>
          <w:sz w:val="21"/>
          <w:szCs w:val="24"/>
        </w:rPr>
        <w:t>亿人左右，即每名农民工平均被拖欠</w:t>
      </w:r>
      <w:r>
        <w:rPr>
          <w:rFonts w:ascii="宋体" w:hAnsi="宋体" w:eastAsia="宋体" w:cs="宋体"/>
          <w:color w:val="231F20"/>
          <w:kern w:val="0"/>
          <w:sz w:val="21"/>
          <w:szCs w:val="24"/>
        </w:rPr>
        <w:t>1000</w:t>
      </w:r>
      <w:r>
        <w:rPr>
          <w:rFonts w:hint="eastAsia" w:ascii="宋体" w:hAnsi="宋体" w:eastAsia="宋体" w:cs="宋体"/>
          <w:color w:val="231F20"/>
          <w:kern w:val="0"/>
          <w:sz w:val="21"/>
          <w:szCs w:val="24"/>
        </w:rPr>
        <w:t>元左右，近</w:t>
      </w:r>
      <w:r>
        <w:rPr>
          <w:rFonts w:ascii="宋体" w:hAnsi="宋体" w:eastAsia="宋体" w:cs="宋体"/>
          <w:color w:val="231F20"/>
          <w:kern w:val="0"/>
          <w:sz w:val="21"/>
          <w:szCs w:val="24"/>
        </w:rPr>
        <w:t>70</w:t>
      </w:r>
      <w:r>
        <w:rPr>
          <w:rFonts w:hint="eastAsia" w:ascii="宋体" w:hAnsi="宋体" w:eastAsia="宋体" w:cs="宋体"/>
          <w:color w:val="231F20"/>
          <w:kern w:val="0"/>
          <w:sz w:val="21"/>
          <w:szCs w:val="24"/>
        </w:rPr>
        <w:t>％的农民工有过被拖欠工资的经历。</w:t>
      </w:r>
      <w:r>
        <w:rPr>
          <w:rFonts w:ascii="宋体" w:hAnsi="宋体" w:eastAsia="宋体" w:cs="宋体"/>
          <w:color w:val="231F20"/>
          <w:kern w:val="0"/>
          <w:sz w:val="21"/>
          <w:szCs w:val="24"/>
        </w:rPr>
        <w:t>[2]</w:t>
      </w:r>
      <w:r>
        <w:rPr>
          <w:rFonts w:hint="eastAsia" w:ascii="宋体" w:hAnsi="宋体" w:eastAsia="宋体" w:cs="宋体"/>
          <w:color w:val="231F20"/>
          <w:kern w:val="0"/>
          <w:sz w:val="21"/>
          <w:szCs w:val="24"/>
        </w:rPr>
        <w:t>虽然近几年各级政府大力推进解决农民工工资拖欠问题，并取得显著成效，但是农民工工资拖欠问题仍然大量存在。</w:t>
      </w:r>
    </w:p>
    <w:p w14:paraId="709E545C">
      <w:pPr>
        <w:autoSpaceDE w:val="0"/>
        <w:autoSpaceDN w:val="0"/>
        <w:adjustRightInd w:val="0"/>
        <w:ind w:firstLine="425" w:firstLineChars="202"/>
        <w:jc w:val="left"/>
        <w:rPr>
          <w:rFonts w:ascii="宋体" w:eastAsia="宋体" w:cs="宋体"/>
          <w:b/>
          <w:color w:val="231F20"/>
          <w:kern w:val="0"/>
          <w:sz w:val="21"/>
          <w:szCs w:val="24"/>
        </w:rPr>
      </w:pPr>
      <w:r>
        <w:rPr>
          <w:rFonts w:hint="eastAsia" w:ascii="宋体" w:hAnsi="宋体" w:eastAsia="宋体" w:cs="宋体"/>
          <w:b/>
          <w:color w:val="231F20"/>
          <w:kern w:val="0"/>
          <w:sz w:val="21"/>
          <w:szCs w:val="24"/>
        </w:rPr>
        <w:t>三、构建国家主导的职工权益保护体系</w:t>
      </w:r>
    </w:p>
    <w:p w14:paraId="66024971">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应该看到，我国企业职工权益保护在政府积极推动、工会努力维权和职工主动参与下逐步得到加强和改善。首先，面对职工权益保护水平较低和劳动争议迅速增加的现状，我国从科学发展观和构建社会主义和谐社会的战略高度出发，多层次、多角度努力维护职工的合法权益，以构建和谐的劳动关系。这主要表现在：相继出台了一系列保护职工权益的法律法规，仅</w:t>
      </w:r>
      <w:r>
        <w:rPr>
          <w:rFonts w:ascii="宋体" w:hAnsi="宋体" w:eastAsia="宋体" w:cs="宋体"/>
          <w:color w:val="231F20"/>
          <w:kern w:val="0"/>
          <w:sz w:val="21"/>
          <w:szCs w:val="24"/>
        </w:rPr>
        <w:t>2007</w:t>
      </w:r>
      <w:r>
        <w:rPr>
          <w:rFonts w:hint="eastAsia" w:ascii="宋体" w:hAnsi="宋体" w:eastAsia="宋体" w:cs="宋体"/>
          <w:color w:val="231F20"/>
          <w:kern w:val="0"/>
          <w:sz w:val="21"/>
          <w:szCs w:val="24"/>
        </w:rPr>
        <w:t>年就出台和颁布了</w:t>
      </w:r>
      <w:r>
        <w:rPr>
          <w:rFonts w:ascii="宋体" w:hAnsi="宋体" w:eastAsia="宋体" w:cs="宋体"/>
          <w:color w:val="231F20"/>
          <w:kern w:val="0"/>
          <w:sz w:val="21"/>
          <w:szCs w:val="24"/>
        </w:rPr>
        <w:t>3</w:t>
      </w:r>
      <w:r>
        <w:rPr>
          <w:rFonts w:hint="eastAsia" w:ascii="宋体" w:hAnsi="宋体" w:eastAsia="宋体" w:cs="宋体"/>
          <w:color w:val="231F20"/>
          <w:kern w:val="0"/>
          <w:sz w:val="21"/>
          <w:szCs w:val="24"/>
        </w:rPr>
        <w:t>部事关企业职工权益的法律：《中华人民共和国劳动合同法》、《中华人民共和国就业促进法》和《中华人民共和国劳动争议调节仲裁法》，并积极开展劳动法等法律、法规的执法检查，及时纠正企业侵犯职工权益的行为；不断加强我国的社会保障体系建设，因地制宜地建立和完善职工的医疗卫生、生育养老、失业就业、住房、教育培训等社会保障、社会救济和社会优抚制度；各地政府不断采取提高最低工资水平等政策措施改善职工权益的保护。其次，我国企业工会的独立意识、自身角色意识和维护职工权益意识开始增强。企业工会的组建方式从“自上而下”向“自下而上”转变，企业工会的功能定位从维护企业利益向维护职工利益转变，从文体活动型向集体谈判型和职工维权型转变。最后，随着社会主义市场经济的不断发展，我国企业职工的权益意识开始增强，敢于主动维护自己的合法权益。</w:t>
      </w:r>
    </w:p>
    <w:p w14:paraId="4E3E0E02">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但是，对于如何构建我国社会主义的新型劳动关系和职工权益保护体系，存在着不同的意见。有些学者认为，我国现在处于低技能的劳动密集型的劳动阶段，过于强调我国企业职工权益的保护，会让我国丧失劳动密集型产业的竞争力；另一些学者则认为，保护企业职工的权益和提高企业职工权益的保护状况，这主要应通过扩大“自下而上”的工会的组建，工会维权意识的增强和工会力量的强大，可以增强劳资关系中“劳方”的力量，通过谈判来维护职工的权益，而国家和政府的作用应是辅助和弥补性的。</w:t>
      </w:r>
    </w:p>
    <w:p w14:paraId="5136465C">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要深刻认识到，通过降低和压低职工权益的保护水平来维护我国劳动密集型产业的竞争力是不可持续的。低端的劳动密集型产业市场是一个近乎完全竞争的市场，靠低廉的劳动力成本和微薄利润生存的状况依然受到更欠发展国家的更低廉劳动力的挑战。必须通过提高技术水平，掌握核心知识产权，打造核心竞争力，实现产业层次的升级，才能实现经济发展的可持续性。另一方面，还应看到，我国企业职工仅仅获得维护甚至低于简单劳动力再生产的工资水平，劳动力缺乏向上发展和提高素质的能力和机会，从而陷入了所谓低廉的劳动力价格具有比较优势的“比较优势陷阱”，导致劳动力素质向上发展的不可持续性，从而把我国的产业层次锁定于低端的劳动密集型产业。</w:t>
      </w:r>
    </w:p>
    <w:p w14:paraId="7B166C65">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保护企业职工的权益，迫切需要构建国家（各级人大和政府）主导的、工会和职工积极参与的、相关企业管理者和雇主组织积极配合的三层面职工权益保护体系。我们看到，在以私有制为基础的资本主义市场经济中，代表资本家利益的资本主义国家，并不站在劳动阶级的立场上，积极主导地参与职工权益的保护。企业职工权益保护水平的提高只能是依靠工人组建工会，提高工人与资本家的谈判能力和不断地通过罢工等斗争方式，来维护和提高企业职工的权益水平。尚且不说这种方式所带来的社会不和谐局面，单从劳资关系博弈的劳资双方的对比来看，掌握“资本”大权的资方通常是强势的一方，劳方权益水平的高低总是以资本的利润的最大化为前提的，职工权益水平的一点提高总是以很大的牺牲为代价换取的。</w:t>
      </w:r>
    </w:p>
    <w:p w14:paraId="0456C6F2">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在共产党执政的社会主义中国，作为代表劳动人民根本利益的国家理应自觉站在劳动大众的立场上，主动承担起保护和提高职工权益的重任，通过制定和有效实施职工权益保护的法律法规并严格执法，同时依靠工会和职工的积极参与，并要求企业高管以及有关工商联和雇主协会等一起自觉做好配合工作，从而切实保护和改善职工的权益，打造和谐的社会主义劳动关系和劳资关系，为构建社会主义和谐社会打下牢固的经济社会基础。吉林通钢、河南林钢、深圳富士康企业连续自杀等越来越多的案例表明，各级政府和有关部门不能等到权益受损的职工怠工、罢工、静坐、上访、下跪、自杀、闹事甚至暴力行为发生后，再来合理处理或让步处理非和谐的劳动关系和劳资关系。</w:t>
      </w:r>
    </w:p>
    <w:p w14:paraId="6E3E5400">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当前，《国有资产管理法》必须尽快修改，国有企业改制方案必须通过职代会和工会投票表决，而不是只“征求意见”；各类企业职工的收入必须随着企业的高管层收入、劳动生产率和利润率的提高而及时提高；政府要严厉查处各类企业不严格执行法定劳动时间和劳动报酬以及《劳动合同法》的行为（笔者程恩富研究员作为全国人大代表，在讨论这一法律时就强烈表示过这样的观点）。只有这样，才能真正落实以人为本的科学发展观，在劳动关系和劳资关系日益和谐的基础上加强整个社会的和谐度。</w:t>
      </w:r>
    </w:p>
    <w:p w14:paraId="6AA15855">
      <w:pPr>
        <w:autoSpaceDE w:val="0"/>
        <w:autoSpaceDN w:val="0"/>
        <w:adjustRightInd w:val="0"/>
        <w:ind w:firstLine="424" w:firstLineChars="202"/>
        <w:jc w:val="left"/>
        <w:rPr>
          <w:rFonts w:ascii="宋体" w:eastAsia="宋体" w:cs="宋体"/>
          <w:color w:val="231F20"/>
          <w:kern w:val="0"/>
          <w:sz w:val="21"/>
          <w:szCs w:val="24"/>
        </w:rPr>
      </w:pPr>
    </w:p>
    <w:p w14:paraId="5B4D207A">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参考文献</w:t>
      </w:r>
    </w:p>
    <w:p w14:paraId="479B567B">
      <w:pPr>
        <w:autoSpaceDE w:val="0"/>
        <w:autoSpaceDN w:val="0"/>
        <w:adjustRightInd w:val="0"/>
        <w:ind w:firstLine="424" w:firstLineChars="202"/>
        <w:jc w:val="left"/>
        <w:rPr>
          <w:rFonts w:ascii="宋体" w:eastAsia="宋体" w:cs="宋体"/>
          <w:color w:val="231F20"/>
          <w:kern w:val="0"/>
          <w:sz w:val="21"/>
          <w:szCs w:val="24"/>
        </w:rPr>
      </w:pPr>
      <w:r>
        <w:rPr>
          <w:rFonts w:ascii="宋体" w:hAnsi="宋体" w:eastAsia="宋体" w:cs="宋体"/>
          <w:color w:val="231F20"/>
          <w:kern w:val="0"/>
          <w:sz w:val="21"/>
          <w:szCs w:val="24"/>
        </w:rPr>
        <w:t>[1]</w:t>
      </w:r>
      <w:r>
        <w:rPr>
          <w:rFonts w:hint="eastAsia" w:ascii="宋体" w:hAnsi="宋体" w:eastAsia="宋体" w:cs="宋体"/>
          <w:color w:val="231F20"/>
          <w:kern w:val="0"/>
          <w:sz w:val="21"/>
          <w:szCs w:val="24"/>
        </w:rPr>
        <w:t>《马克思恩格斯全集》（第</w:t>
      </w:r>
      <w:r>
        <w:rPr>
          <w:rFonts w:ascii="宋体" w:hAnsi="宋体" w:eastAsia="宋体" w:cs="宋体"/>
          <w:color w:val="231F20"/>
          <w:kern w:val="0"/>
          <w:sz w:val="21"/>
          <w:szCs w:val="24"/>
        </w:rPr>
        <w:t>16</w:t>
      </w:r>
      <w:r>
        <w:rPr>
          <w:rFonts w:hint="eastAsia" w:ascii="宋体" w:hAnsi="宋体" w:eastAsia="宋体" w:cs="宋体"/>
          <w:color w:val="231F20"/>
          <w:kern w:val="0"/>
          <w:sz w:val="21"/>
          <w:szCs w:val="24"/>
        </w:rPr>
        <w:t>卷），人民出版社</w:t>
      </w:r>
      <w:r>
        <w:rPr>
          <w:rFonts w:ascii="宋体" w:hAnsi="宋体" w:eastAsia="宋体" w:cs="宋体"/>
          <w:color w:val="231F20"/>
          <w:kern w:val="0"/>
          <w:sz w:val="21"/>
          <w:szCs w:val="24"/>
        </w:rPr>
        <w:t>1964</w:t>
      </w:r>
      <w:r>
        <w:rPr>
          <w:rFonts w:hint="eastAsia" w:ascii="宋体" w:hAnsi="宋体" w:eastAsia="宋体" w:cs="宋体"/>
          <w:color w:val="231F20"/>
          <w:kern w:val="0"/>
          <w:sz w:val="21"/>
          <w:szCs w:val="24"/>
        </w:rPr>
        <w:t>年版。</w:t>
      </w:r>
    </w:p>
    <w:p w14:paraId="2F4A1DA4">
      <w:pPr>
        <w:autoSpaceDE w:val="0"/>
        <w:autoSpaceDN w:val="0"/>
        <w:adjustRightInd w:val="0"/>
        <w:ind w:firstLine="424" w:firstLineChars="202"/>
        <w:jc w:val="left"/>
        <w:rPr>
          <w:rFonts w:ascii="宋体" w:hAnsi="宋体" w:eastAsia="宋体" w:cs="宋体"/>
          <w:color w:val="231F20"/>
          <w:kern w:val="0"/>
          <w:sz w:val="21"/>
          <w:szCs w:val="24"/>
        </w:rPr>
      </w:pPr>
      <w:r>
        <w:rPr>
          <w:rFonts w:ascii="宋体" w:hAnsi="宋体" w:eastAsia="宋体" w:cs="宋体"/>
          <w:color w:val="231F20"/>
          <w:kern w:val="0"/>
          <w:sz w:val="21"/>
          <w:szCs w:val="24"/>
        </w:rPr>
        <w:t>[2]</w:t>
      </w:r>
      <w:r>
        <w:rPr>
          <w:rFonts w:hint="eastAsia" w:ascii="宋体" w:hAnsi="宋体" w:eastAsia="宋体" w:cs="宋体"/>
          <w:color w:val="231F20"/>
          <w:kern w:val="0"/>
          <w:sz w:val="21"/>
          <w:szCs w:val="24"/>
        </w:rPr>
        <w:t>全国总工会</w:t>
      </w:r>
      <w:r>
        <w:rPr>
          <w:rFonts w:ascii="宋体" w:hAnsi="宋体" w:eastAsia="宋体" w:cs="宋体"/>
          <w:color w:val="231F20"/>
          <w:kern w:val="0"/>
          <w:sz w:val="21"/>
          <w:szCs w:val="24"/>
        </w:rPr>
        <w:t>.</w:t>
      </w:r>
      <w:r>
        <w:rPr>
          <w:rFonts w:hint="eastAsia" w:ascii="宋体" w:hAnsi="宋体" w:eastAsia="宋体" w:cs="宋体"/>
          <w:color w:val="231F20"/>
          <w:kern w:val="0"/>
          <w:sz w:val="21"/>
          <w:szCs w:val="24"/>
        </w:rPr>
        <w:t>加快解决农民工工资拖欠问题</w:t>
      </w:r>
      <w:r>
        <w:rPr>
          <w:rFonts w:ascii="宋体" w:hAnsi="宋体" w:eastAsia="宋体" w:cs="宋体"/>
          <w:color w:val="231F20"/>
          <w:kern w:val="0"/>
          <w:sz w:val="21"/>
          <w:szCs w:val="24"/>
        </w:rPr>
        <w:t>[OB/EL].www.acftu.org.2007-11-3.</w:t>
      </w:r>
    </w:p>
    <w:p w14:paraId="4FF220D5">
      <w:pPr>
        <w:autoSpaceDE w:val="0"/>
        <w:autoSpaceDN w:val="0"/>
        <w:adjustRightInd w:val="0"/>
        <w:ind w:firstLine="424" w:firstLineChars="202"/>
        <w:jc w:val="left"/>
        <w:rPr>
          <w:rFonts w:ascii="宋体" w:hAnsi="宋体" w:eastAsia="宋体" w:cs="宋体"/>
          <w:color w:val="231F20"/>
          <w:kern w:val="0"/>
          <w:sz w:val="21"/>
          <w:szCs w:val="24"/>
        </w:rPr>
      </w:pPr>
    </w:p>
    <w:p w14:paraId="15E5615E">
      <w:pPr>
        <w:autoSpaceDE w:val="0"/>
        <w:autoSpaceDN w:val="0"/>
        <w:adjustRightInd w:val="0"/>
        <w:ind w:firstLine="424" w:firstLineChars="202"/>
        <w:jc w:val="left"/>
        <w:rPr>
          <w:rFonts w:ascii="宋体" w:eastAsia="宋体" w:cs="宋体"/>
          <w:color w:val="231F20"/>
          <w:kern w:val="0"/>
          <w:sz w:val="21"/>
          <w:szCs w:val="24"/>
        </w:rPr>
      </w:pPr>
      <w:r>
        <w:rPr>
          <w:rFonts w:hint="eastAsia" w:ascii="宋体" w:hAnsi="宋体" w:eastAsia="宋体" w:cs="宋体"/>
          <w:color w:val="231F20"/>
          <w:kern w:val="0"/>
          <w:sz w:val="21"/>
          <w:szCs w:val="24"/>
        </w:rPr>
        <w:t>（原载《毛泽东邓小平理论研究》</w:t>
      </w:r>
      <w:r>
        <w:rPr>
          <w:rFonts w:ascii="宋体" w:hAnsi="宋体" w:eastAsia="宋体" w:cs="宋体"/>
          <w:color w:val="231F20"/>
          <w:kern w:val="0"/>
          <w:sz w:val="21"/>
          <w:szCs w:val="24"/>
        </w:rPr>
        <w:t>2010</w:t>
      </w:r>
      <w:r>
        <w:rPr>
          <w:rFonts w:hint="eastAsia" w:ascii="宋体" w:hAnsi="宋体" w:eastAsia="宋体" w:cs="宋体"/>
          <w:color w:val="231F20"/>
          <w:kern w:val="0"/>
          <w:sz w:val="21"/>
          <w:szCs w:val="24"/>
        </w:rPr>
        <w:t>年第</w:t>
      </w:r>
      <w:r>
        <w:rPr>
          <w:rFonts w:ascii="宋体" w:hAnsi="宋体" w:eastAsia="宋体" w:cs="宋体"/>
          <w:color w:val="231F20"/>
          <w:kern w:val="0"/>
          <w:sz w:val="21"/>
          <w:szCs w:val="24"/>
        </w:rPr>
        <w:t>6</w:t>
      </w:r>
      <w:r>
        <w:rPr>
          <w:rFonts w:hint="eastAsia" w:ascii="宋体" w:hAnsi="宋体" w:eastAsia="宋体" w:cs="宋体"/>
          <w:color w:val="231F20"/>
          <w:kern w:val="0"/>
          <w:sz w:val="21"/>
          <w:szCs w:val="24"/>
        </w:rPr>
        <w:t>期，第二作者为胡乐明）</w:t>
      </w:r>
    </w:p>
    <w:p w14:paraId="3693D797">
      <w:pPr>
        <w:rPr>
          <w:rFonts w:eastAsia="宋体" w:cs="Times New Roman"/>
          <w:sz w:val="21"/>
          <w:szCs w:val="24"/>
        </w:rPr>
      </w:pPr>
    </w:p>
    <w:p w14:paraId="4019F58B">
      <w:pPr>
        <w:jc w:val="center"/>
        <w:outlineLvl w:val="1"/>
        <w:rPr>
          <w:rFonts w:ascii="宋体" w:hAnsi="宋体" w:eastAsia="宋体" w:cs="Times New Roman"/>
          <w:b/>
          <w:color w:val="000000"/>
          <w:sz w:val="21"/>
          <w:szCs w:val="21"/>
        </w:rPr>
      </w:pPr>
      <w:bookmarkStart w:id="1153" w:name="_Toc257922102"/>
      <w:bookmarkStart w:id="1154" w:name="_Toc5537"/>
      <w:bookmarkStart w:id="1155" w:name="_Toc78713301"/>
      <w:bookmarkStart w:id="1156" w:name="_Toc6151"/>
      <w:bookmarkStart w:id="1157" w:name="_Toc131885271"/>
      <w:bookmarkStart w:id="1158" w:name="_Toc1117240593"/>
      <w:r>
        <w:rPr>
          <w:rFonts w:hint="eastAsia" w:ascii="宋体" w:hAnsi="宋体" w:eastAsia="宋体" w:cs="Times New Roman"/>
          <w:b/>
          <w:color w:val="000000"/>
          <w:sz w:val="21"/>
          <w:szCs w:val="21"/>
          <w:lang w:val="en-US" w:eastAsia="zh-CN"/>
        </w:rPr>
        <w:t>21</w:t>
      </w:r>
      <w:r>
        <w:rPr>
          <w:rFonts w:hint="eastAsia" w:ascii="宋体" w:hAnsi="宋体" w:eastAsia="宋体" w:cs="Times New Roman"/>
          <w:b/>
          <w:color w:val="000000"/>
          <w:sz w:val="21"/>
          <w:szCs w:val="21"/>
        </w:rPr>
        <w:t>世界财富分配失衡与未来全球民主治理</w:t>
      </w:r>
      <w:bookmarkEnd w:id="1153"/>
      <w:bookmarkEnd w:id="1154"/>
      <w:bookmarkEnd w:id="1155"/>
      <w:bookmarkEnd w:id="1156"/>
      <w:bookmarkEnd w:id="1157"/>
      <w:bookmarkEnd w:id="1158"/>
    </w:p>
    <w:p w14:paraId="5AD623CE">
      <w:pPr>
        <w:jc w:val="center"/>
        <w:rPr>
          <w:rFonts w:ascii="宋体" w:hAnsi="宋体" w:eastAsia="宋体" w:cs="Times New Roman"/>
          <w:b/>
          <w:color w:val="000000"/>
          <w:sz w:val="21"/>
          <w:szCs w:val="21"/>
        </w:rPr>
      </w:pPr>
    </w:p>
    <w:p w14:paraId="0FD5A40A">
      <w:pPr>
        <w:jc w:val="center"/>
        <w:rPr>
          <w:rFonts w:ascii="宋体" w:hAnsi="宋体" w:eastAsia="宋体" w:cs="Times New Roman"/>
          <w:b/>
          <w:color w:val="000000"/>
          <w:sz w:val="21"/>
          <w:szCs w:val="21"/>
        </w:rPr>
      </w:pPr>
      <w:r>
        <w:rPr>
          <w:rFonts w:hint="eastAsia" w:ascii="宋体" w:hAnsi="宋体" w:eastAsia="宋体" w:cs="Times New Roman"/>
          <w:b/>
          <w:color w:val="000000"/>
          <w:sz w:val="21"/>
          <w:szCs w:val="21"/>
        </w:rPr>
        <w:t>一、世界财富分配失衡和南北发展失衡</w:t>
      </w:r>
    </w:p>
    <w:p w14:paraId="4B539548">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2009年9月匹兹堡G20峰会上，针对美国等国家提出解决全球经济失衡问题的动议，胡锦涛主席指出：“失衡既表现为部分国家储蓄消费失衡、贸易收支失衡，更表现为世界财富分配失衡、资源拥有和消耗失衡、国际货币体系失衡</w:t>
      </w:r>
      <w:r>
        <w:rPr>
          <w:rFonts w:ascii="宋体" w:hAnsi="宋体" w:eastAsia="宋体" w:cs="Times New Roman"/>
          <w:color w:val="000000"/>
          <w:sz w:val="21"/>
          <w:szCs w:val="21"/>
        </w:rPr>
        <w:t>……</w:t>
      </w:r>
      <w:r>
        <w:rPr>
          <w:rFonts w:hint="eastAsia" w:ascii="宋体" w:hAnsi="宋体" w:eastAsia="宋体" w:cs="Times New Roman"/>
          <w:color w:val="000000"/>
          <w:sz w:val="21"/>
          <w:szCs w:val="21"/>
        </w:rPr>
        <w:t xml:space="preserve">，从根本上看，失衡根源是南北发展严重不平衡。” </w:t>
      </w:r>
    </w:p>
    <w:p w14:paraId="2AF68410">
      <w:pPr>
        <w:ind w:firstLine="420" w:firstLineChars="200"/>
        <w:rPr>
          <w:rFonts w:ascii="宋体" w:hAnsi="宋体" w:eastAsia="宋体" w:cs="Times New Roman"/>
          <w:color w:val="000000"/>
          <w:sz w:val="21"/>
          <w:szCs w:val="21"/>
        </w:rPr>
      </w:pPr>
      <w:r>
        <w:rPr>
          <w:rFonts w:hint="eastAsia" w:ascii="宋体" w:hAnsi="宋体" w:eastAsia="宋体" w:cs="Times New Roman"/>
          <w:b/>
          <w:color w:val="000000"/>
          <w:sz w:val="21"/>
          <w:szCs w:val="21"/>
        </w:rPr>
        <w:t>美国一直强调全球储蓄与消费失衡，但却忽视了这一表象背后更深层的失衡问题——世界财富分配失衡和南北发展失衡</w:t>
      </w:r>
      <w:r>
        <w:rPr>
          <w:rFonts w:hint="eastAsia" w:ascii="宋体" w:hAnsi="宋体" w:eastAsia="宋体" w:cs="Times New Roman"/>
          <w:color w:val="000000"/>
          <w:sz w:val="21"/>
          <w:szCs w:val="21"/>
        </w:rPr>
        <w:t>。当今世界，财富分布极不均衡。联合国大学世界经济发展研究所2006年12月发布了《世界家庭财富分配报告》，该报告被认为是国际上首次发布的包含所有国家以及所有财产构成的研究。该研究显示：从人口分布看，全球最富有的10%的人拥有世界财富的85%，世界底层的半数人口仅拥有世界财富的1%。从区域分布看，世界上的财富主要集中在北美、欧洲和亚太地区部分经济发达的国家和地区，这些国家和地区的人拥有了世界上近90%的财富。波士顿企业咨询公司2009年9月15日发布的《世界财富报告》认为，受经济衰退影响财富大幅缩水的美国仍是世界上最富有的国家，同时也拥有最多的百万富翁，而欧洲则成为世界上最富庶的地区。真是“瘦死的骆驼比马大”。该咨询公司此前的研究结果显示，全球最富裕的1%家庭掌握着全球35%的财富。</w:t>
      </w:r>
    </w:p>
    <w:p w14:paraId="4C072E16">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发展中国家发展水平低，在全球经济份额中占比少。拿中国来说，尽管GDP总量升至全球第三位，但IMF在2009年4月推出的全球人均GDP排名中，中国仅排在第106位。所以，美国人指责中国人消费少是没道理的。可以说，财富分配不平衡是发展中国家消费不足的根本原因。</w:t>
      </w:r>
    </w:p>
    <w:p w14:paraId="4251D7BA">
      <w:pPr>
        <w:ind w:firstLine="420" w:firstLineChars="200"/>
        <w:rPr>
          <w:rFonts w:ascii="宋体" w:hAnsi="宋体" w:eastAsia="宋体" w:cs="Times New Roman"/>
          <w:color w:val="000000"/>
          <w:sz w:val="21"/>
          <w:szCs w:val="21"/>
        </w:rPr>
      </w:pPr>
      <w:r>
        <w:rPr>
          <w:rFonts w:hint="eastAsia" w:ascii="宋体" w:hAnsi="宋体" w:eastAsia="宋体" w:cs="Times New Roman"/>
          <w:color w:val="000000"/>
          <w:sz w:val="21"/>
          <w:szCs w:val="21"/>
        </w:rPr>
        <w:t>发达国家国内的财富分布不均也是一个大问题。英国、法国超过10%的富人占据社会财富的50%，美国的这一比例则高达70%。此次全球性的金融和经济危机，很大程度上就是美国的贫富差距拉大、负债经济难以为继的恶果。</w:t>
      </w:r>
    </w:p>
    <w:p w14:paraId="51986453">
      <w:pPr>
        <w:ind w:firstLine="420" w:firstLineChars="200"/>
        <w:rPr>
          <w:rFonts w:ascii="宋体" w:hAnsi="宋体" w:eastAsia="宋体" w:cs="Times New Roman"/>
          <w:color w:val="000000"/>
          <w:sz w:val="21"/>
          <w:szCs w:val="21"/>
        </w:rPr>
      </w:pPr>
    </w:p>
    <w:p w14:paraId="3D0729F6">
      <w:pPr>
        <w:ind w:firstLine="420" w:firstLineChars="200"/>
        <w:rPr>
          <w:rFonts w:ascii="宋体" w:hAnsi="宋体" w:eastAsia="宋体" w:cs="Times New Roman"/>
          <w:color w:val="000000"/>
          <w:sz w:val="21"/>
          <w:szCs w:val="21"/>
        </w:rPr>
      </w:pPr>
      <w:r>
        <w:rPr>
          <w:rFonts w:hint="eastAsia" w:ascii="宋体" w:hAnsi="宋体" w:eastAsia="宋体" w:cs="宋体"/>
          <w:b/>
          <w:bCs/>
          <w:color w:val="000000"/>
          <w:kern w:val="0"/>
          <w:sz w:val="21"/>
          <w:szCs w:val="21"/>
          <w:lang w:val="zh-CN"/>
        </w:rPr>
        <w:t>二、经济的全球化与资本主义狭隘利益的矛盾</w:t>
      </w:r>
    </w:p>
    <w:p w14:paraId="6EE43F4B">
      <w:pPr>
        <w:ind w:firstLine="420" w:firstLineChars="200"/>
        <w:rPr>
          <w:rFonts w:ascii="宋体" w:hAnsi="宋体" w:eastAsia="宋体" w:cs="Times New Roman"/>
          <w:color w:val="000000"/>
          <w:sz w:val="21"/>
          <w:szCs w:val="21"/>
        </w:rPr>
      </w:pPr>
    </w:p>
    <w:p w14:paraId="561CCD8C">
      <w:pPr>
        <w:ind w:firstLine="420" w:firstLineChars="200"/>
        <w:rPr>
          <w:rFonts w:ascii="宋体" w:hAnsi="宋体" w:eastAsia="宋体" w:cs="宋体"/>
          <w:bCs/>
          <w:color w:val="000000"/>
          <w:kern w:val="0"/>
          <w:sz w:val="21"/>
          <w:szCs w:val="21"/>
          <w:lang w:val="zh-CN"/>
        </w:rPr>
      </w:pPr>
      <w:r>
        <w:rPr>
          <w:rFonts w:hint="eastAsia" w:ascii="宋体" w:hAnsi="宋体" w:eastAsia="宋体" w:cs="Times New Roman"/>
          <w:color w:val="000000"/>
          <w:sz w:val="21"/>
          <w:szCs w:val="21"/>
        </w:rPr>
        <w:t>传统观点认为，经济</w:t>
      </w:r>
      <w:r>
        <w:rPr>
          <w:rFonts w:hint="eastAsia" w:ascii="宋体" w:hAnsi="宋体" w:eastAsia="宋体" w:cs="宋体"/>
          <w:bCs/>
          <w:color w:val="000000"/>
          <w:kern w:val="0"/>
          <w:sz w:val="21"/>
          <w:szCs w:val="21"/>
          <w:lang w:val="zh-CN"/>
        </w:rPr>
        <w:t>危机是资本主义基本矛盾即生产的不断社会化与生产资料的资本主义私人占有之间的矛盾造成的，当前的全球危机证明这是完全正确的。不过这还不够，因为这只从一国内部来考察分析，而现在经济社会化已经升级为全球化了。现在是经济全球化时代，科技进步、生产力发展、流通大发展等等，使得人类社会作为一个整体的社会化程度越来越高。那么，这种</w:t>
      </w:r>
      <w:r>
        <w:rPr>
          <w:rFonts w:hint="eastAsia" w:ascii="宋体" w:hAnsi="宋体" w:eastAsia="宋体" w:cs="宋体"/>
          <w:b/>
          <w:bCs/>
          <w:color w:val="000000"/>
          <w:kern w:val="0"/>
          <w:sz w:val="21"/>
          <w:szCs w:val="21"/>
          <w:lang w:val="zh-CN"/>
        </w:rPr>
        <w:t>经济全球化条件下的全球基本矛盾是什么呢？我认为，那就是经济的不断社会化和全球化与生产要素或生产资料的私人所有之间有冲突，甚至与集体所有、合作所有、国家所有也都有矛盾</w:t>
      </w:r>
      <w:r>
        <w:rPr>
          <w:rFonts w:hint="eastAsia" w:ascii="宋体" w:hAnsi="宋体" w:eastAsia="宋体" w:cs="宋体"/>
          <w:bCs/>
          <w:color w:val="000000"/>
          <w:kern w:val="0"/>
          <w:sz w:val="21"/>
          <w:szCs w:val="21"/>
          <w:lang w:val="zh-CN"/>
        </w:rPr>
        <w:t>。也就是说，经济的全球化要求突破国家的界限，以使生产要素在全球统一自觉配置。但是，由于美国等资本主义国家不愿意搞公正发展的经济全球化，它要保持南北之间的差距，维护它本国的狭隘的利益，全球统一自觉配置也就无从谈起。相反，发达国家还要搞</w:t>
      </w:r>
      <w:r>
        <w:rPr>
          <w:rFonts w:hint="eastAsia" w:ascii="宋体" w:hAnsi="宋体" w:eastAsia="宋体" w:cs="宋体"/>
          <w:color w:val="000000"/>
          <w:kern w:val="0"/>
          <w:sz w:val="21"/>
          <w:szCs w:val="21"/>
          <w:lang w:val="zh-CN"/>
        </w:rPr>
        <w:t>资源战、气候战、金融战、贸易战、货币战等等，来损人利己。这种种形式的博弈在本质上是因为现在的各种制度包括国有制度，都不适应经济全球化的需求。</w:t>
      </w:r>
    </w:p>
    <w:p w14:paraId="5C99F8A9">
      <w:pPr>
        <w:ind w:firstLine="420" w:firstLineChars="200"/>
        <w:rPr>
          <w:rFonts w:ascii="宋体" w:hAnsi="宋体" w:eastAsia="宋体" w:cs="宋体"/>
          <w:bCs/>
          <w:color w:val="000000"/>
          <w:kern w:val="0"/>
          <w:sz w:val="21"/>
          <w:szCs w:val="21"/>
          <w:lang w:val="zh-CN"/>
        </w:rPr>
      </w:pPr>
      <w:r>
        <w:rPr>
          <w:rFonts w:hint="eastAsia" w:ascii="宋体" w:hAnsi="宋体" w:eastAsia="宋体" w:cs="宋体"/>
          <w:color w:val="000000"/>
          <w:kern w:val="0"/>
          <w:sz w:val="21"/>
          <w:szCs w:val="21"/>
          <w:lang w:val="zh-CN"/>
        </w:rPr>
        <w:t>既然现今的全球化无法扭转，怎么办才能维护自身利益呢？欧洲首先成立欧盟，东盟也成立起来，这</w:t>
      </w:r>
      <w:r>
        <w:rPr>
          <w:rFonts w:hint="eastAsia" w:ascii="宋体" w:hAnsi="宋体" w:eastAsia="宋体" w:cs="宋体"/>
          <w:bCs/>
          <w:color w:val="000000"/>
          <w:kern w:val="0"/>
          <w:sz w:val="21"/>
          <w:szCs w:val="21"/>
          <w:lang w:val="zh-CN"/>
        </w:rPr>
        <w:t>实际上都是在现有的世界资本主义大框架范围内的局部改良，一个部分的质变。</w:t>
      </w:r>
      <w:r>
        <w:rPr>
          <w:rFonts w:hint="eastAsia" w:ascii="宋体" w:hAnsi="宋体" w:eastAsia="宋体" w:cs="宋体"/>
          <w:color w:val="000000"/>
          <w:kern w:val="0"/>
          <w:sz w:val="21"/>
          <w:szCs w:val="21"/>
          <w:lang w:val="zh-CN"/>
        </w:rPr>
        <w:t>欧盟的产生、</w:t>
      </w:r>
      <w:r>
        <w:rPr>
          <w:rFonts w:hint="eastAsia" w:ascii="宋体" w:hAnsi="宋体" w:eastAsia="宋体" w:cs="宋体"/>
          <w:bCs/>
          <w:color w:val="000000"/>
          <w:kern w:val="0"/>
          <w:sz w:val="21"/>
          <w:szCs w:val="21"/>
          <w:lang w:val="zh-CN"/>
        </w:rPr>
        <w:t>跨国公司的大规模的出现</w:t>
      </w:r>
      <w:r>
        <w:rPr>
          <w:rFonts w:hint="eastAsia" w:ascii="宋体" w:hAnsi="宋体" w:eastAsia="宋体" w:cs="宋体"/>
          <w:color w:val="000000"/>
          <w:kern w:val="0"/>
          <w:sz w:val="21"/>
          <w:szCs w:val="21"/>
          <w:lang w:val="zh-CN"/>
        </w:rPr>
        <w:t>，实际上是在朝社会主义经济全球化大方向“蠕动”。</w:t>
      </w:r>
      <w:r>
        <w:rPr>
          <w:rFonts w:hint="eastAsia" w:ascii="宋体" w:hAnsi="宋体" w:eastAsia="宋体" w:cs="宋体"/>
          <w:bCs/>
          <w:color w:val="000000"/>
          <w:kern w:val="0"/>
          <w:sz w:val="21"/>
          <w:szCs w:val="21"/>
          <w:lang w:val="zh-CN"/>
        </w:rPr>
        <w:t>过去列宁讲，国家垄断资本主义再进一步就是社会主义，现在我们可以称欧盟、跨国公司、国际垄断资本主义比国家垄断资本主义是更进一步，它们已逐渐站在全球社会主义的入口处。</w:t>
      </w:r>
    </w:p>
    <w:p w14:paraId="7D66C22E">
      <w:pPr>
        <w:ind w:firstLine="420" w:firstLineChars="200"/>
        <w:rPr>
          <w:rFonts w:ascii="宋体" w:hAnsi="宋体" w:eastAsia="宋体" w:cs="宋体"/>
          <w:bCs/>
          <w:color w:val="000000"/>
          <w:kern w:val="0"/>
          <w:sz w:val="21"/>
          <w:szCs w:val="21"/>
          <w:lang w:val="zh-CN"/>
        </w:rPr>
      </w:pPr>
      <w:r>
        <w:rPr>
          <w:rFonts w:hint="eastAsia" w:ascii="宋体" w:hAnsi="宋体" w:eastAsia="宋体" w:cs="宋体"/>
          <w:bCs/>
          <w:color w:val="000000"/>
          <w:kern w:val="0"/>
          <w:sz w:val="21"/>
          <w:szCs w:val="21"/>
          <w:lang w:val="zh-CN"/>
        </w:rPr>
        <w:t>但是，个别国家地区的联合或合作，根本无法抵消全球资本主义分裂与霸权并存的消极作用。</w:t>
      </w:r>
    </w:p>
    <w:p w14:paraId="70390FE8">
      <w:pPr>
        <w:ind w:firstLine="420" w:firstLineChars="200"/>
        <w:rPr>
          <w:rFonts w:ascii="宋体" w:hAnsi="宋体" w:eastAsia="宋体" w:cs="宋体"/>
          <w:bCs/>
          <w:color w:val="000000"/>
          <w:kern w:val="0"/>
          <w:sz w:val="21"/>
          <w:szCs w:val="21"/>
          <w:lang w:val="zh-CN"/>
        </w:rPr>
      </w:pPr>
    </w:p>
    <w:p w14:paraId="25E8106C">
      <w:pPr>
        <w:ind w:firstLine="420" w:firstLineChars="200"/>
        <w:rPr>
          <w:rFonts w:ascii="宋体" w:hAnsi="宋体" w:eastAsia="宋体" w:cs="宋体"/>
          <w:b/>
          <w:bCs/>
          <w:color w:val="000000"/>
          <w:kern w:val="0"/>
          <w:sz w:val="21"/>
          <w:szCs w:val="21"/>
          <w:lang w:val="zh-CN"/>
        </w:rPr>
      </w:pPr>
      <w:r>
        <w:rPr>
          <w:rFonts w:hint="eastAsia" w:ascii="宋体" w:hAnsi="宋体" w:eastAsia="宋体" w:cs="宋体"/>
          <w:b/>
          <w:bCs/>
          <w:color w:val="000000"/>
          <w:kern w:val="0"/>
          <w:sz w:val="21"/>
          <w:szCs w:val="21"/>
          <w:lang w:val="zh-CN"/>
        </w:rPr>
        <w:t>三、发达国家制造南北失衡的手段</w:t>
      </w:r>
    </w:p>
    <w:p w14:paraId="6ABEAA92">
      <w:pPr>
        <w:ind w:firstLine="420" w:firstLineChars="200"/>
        <w:rPr>
          <w:rFonts w:ascii="宋体" w:hAnsi="宋体" w:eastAsia="宋体" w:cs="宋体"/>
          <w:color w:val="000000"/>
          <w:kern w:val="0"/>
          <w:sz w:val="21"/>
          <w:szCs w:val="21"/>
          <w:lang w:val="zh-CN"/>
        </w:rPr>
      </w:pPr>
    </w:p>
    <w:p w14:paraId="3582CBDF">
      <w:pPr>
        <w:autoSpaceDE w:val="0"/>
        <w:autoSpaceDN w:val="0"/>
        <w:adjustRightInd w:val="0"/>
        <w:ind w:firstLine="411" w:firstLineChars="196"/>
        <w:rPr>
          <w:rFonts w:ascii="宋体" w:hAnsi="宋体" w:eastAsia="宋体" w:cs="宋体"/>
          <w:bCs/>
          <w:color w:val="000000"/>
          <w:kern w:val="0"/>
          <w:sz w:val="21"/>
          <w:szCs w:val="21"/>
          <w:lang w:val="zh-CN"/>
        </w:rPr>
      </w:pPr>
      <w:r>
        <w:rPr>
          <w:rFonts w:hint="eastAsia" w:ascii="宋体" w:hAnsi="宋体" w:eastAsia="宋体" w:cs="宋体"/>
          <w:bCs/>
          <w:color w:val="000000"/>
          <w:kern w:val="0"/>
          <w:sz w:val="21"/>
          <w:szCs w:val="21"/>
          <w:lang w:val="zh-CN"/>
        </w:rPr>
        <w:t>导致全球财富分配失衡的原因，当前最重要的就是知识产权的垄断。以信息技术为代表的现代科技的大发展，拉大了各国之间在信息资源及其占有方面的差距，或者说扩大了知识经济分布的不平衡。现代的南北鸿沟主要来源于发达国家对知识产权的垄断。自由竞争的资本主义阶段，商品输出为主要特征；到了垄断资本主义阶段，其特征是资本输出。现在，资本输出、商品输出仍然是存在的，但是作为上世纪90年代至今以来的经济全球化阶段的输出，其突出特征是知识产权输出</w:t>
      </w:r>
      <w:r>
        <w:rPr>
          <w:rFonts w:hint="eastAsia" w:ascii="宋体" w:hAnsi="宋体" w:eastAsia="宋体" w:cs="宋体"/>
          <w:color w:val="000000"/>
          <w:kern w:val="0"/>
          <w:sz w:val="21"/>
          <w:szCs w:val="21"/>
          <w:lang w:val="zh-CN"/>
        </w:rPr>
        <w:t>，</w:t>
      </w:r>
      <w:r>
        <w:rPr>
          <w:rFonts w:hint="eastAsia" w:ascii="宋体" w:hAnsi="宋体" w:eastAsia="宋体" w:cs="宋体"/>
          <w:bCs/>
          <w:color w:val="000000"/>
          <w:kern w:val="0"/>
          <w:sz w:val="21"/>
          <w:szCs w:val="21"/>
          <w:lang w:val="zh-CN"/>
        </w:rPr>
        <w:t>垄断也不是一般的资本垄断，而是知识产权垄断。知识产权垄断导致南北差距比过去更大。它是靠商标、专利，靠核心技术、技术标准、技术许可证转让等手段，来拉大发达国家和发展中国家之间的差距。发达国家是“脑国”，发展中国家是“躯国”，知识产权这个经济发展的脑袋被以美国为代表的发达国家控制了。</w:t>
      </w:r>
    </w:p>
    <w:p w14:paraId="0DE39D69">
      <w:pPr>
        <w:autoSpaceDE w:val="0"/>
        <w:autoSpaceDN w:val="0"/>
        <w:adjustRightInd w:val="0"/>
        <w:ind w:firstLine="420" w:firstLineChars="200"/>
        <w:rPr>
          <w:rFonts w:ascii="宋体" w:hAnsi="宋体" w:eastAsia="宋体" w:cs="宋体"/>
          <w:bCs/>
          <w:color w:val="000000"/>
          <w:kern w:val="0"/>
          <w:sz w:val="21"/>
          <w:szCs w:val="21"/>
          <w:lang w:val="zh-CN"/>
        </w:rPr>
      </w:pPr>
      <w:r>
        <w:rPr>
          <w:rFonts w:hint="eastAsia" w:ascii="宋体" w:hAnsi="宋体" w:eastAsia="宋体" w:cs="宋体"/>
          <w:color w:val="000000"/>
          <w:kern w:val="0"/>
          <w:sz w:val="21"/>
          <w:szCs w:val="21"/>
          <w:lang w:val="zh-CN"/>
        </w:rPr>
        <w:t>西方近现代经济学家在国际贸易方面早就有“比较优势”的说法，90年代美国经济学家波特又提出了“竞争优势”，包含了六七个主要变量，我把它叫做综合竞争优势。这两个说法都是有缺陷的。综合竞争优势论最明显的问题是</w:t>
      </w:r>
      <w:r>
        <w:rPr>
          <w:rFonts w:hint="eastAsia" w:ascii="宋体" w:hAnsi="宋体" w:eastAsia="宋体" w:cs="宋体"/>
          <w:bCs/>
          <w:color w:val="000000"/>
          <w:kern w:val="0"/>
          <w:sz w:val="21"/>
          <w:szCs w:val="21"/>
          <w:lang w:val="zh-CN"/>
        </w:rPr>
        <w:t>变量太多，不突出，</w:t>
      </w:r>
      <w:r>
        <w:rPr>
          <w:rFonts w:hint="eastAsia" w:ascii="宋体" w:hAnsi="宋体" w:eastAsia="宋体" w:cs="宋体"/>
          <w:color w:val="000000"/>
          <w:kern w:val="0"/>
          <w:sz w:val="21"/>
          <w:szCs w:val="21"/>
          <w:lang w:val="zh-CN"/>
        </w:rPr>
        <w:t>就像一个人成绩好当然是有很多的因素影响，但一定有个最主要的因素。</w:t>
      </w:r>
      <w:r>
        <w:rPr>
          <w:rFonts w:hint="eastAsia" w:ascii="宋体" w:hAnsi="宋体" w:eastAsia="宋体" w:cs="宋体"/>
          <w:bCs/>
          <w:color w:val="000000"/>
          <w:kern w:val="0"/>
          <w:sz w:val="21"/>
          <w:szCs w:val="21"/>
          <w:lang w:val="zh-CN"/>
        </w:rPr>
        <w:t>所以，前几年我提出了第三种优势理论——“知识产权优势”。我站在发展中国家自由公正的立场发现，西方经济学、国际贸易学不可能揭示这个真理，即使西方主流经济学家心里明白也不会说。</w:t>
      </w:r>
    </w:p>
    <w:p w14:paraId="01F9DA24">
      <w:pPr>
        <w:autoSpaceDE w:val="0"/>
        <w:autoSpaceDN w:val="0"/>
        <w:adjustRightInd w:val="0"/>
        <w:ind w:firstLine="420" w:firstLineChars="200"/>
        <w:rPr>
          <w:rFonts w:ascii="宋体" w:hAnsi="宋体" w:eastAsia="宋体" w:cs="宋体"/>
          <w:color w:val="000000"/>
          <w:kern w:val="0"/>
          <w:sz w:val="21"/>
          <w:szCs w:val="21"/>
          <w:lang w:val="zh-CN"/>
        </w:rPr>
      </w:pPr>
      <w:r>
        <w:rPr>
          <w:rFonts w:hint="eastAsia" w:ascii="宋体" w:hAnsi="宋体" w:eastAsia="宋体" w:cs="宋体"/>
          <w:bCs/>
          <w:color w:val="000000"/>
          <w:kern w:val="0"/>
          <w:sz w:val="21"/>
          <w:szCs w:val="21"/>
          <w:lang w:val="zh-CN"/>
        </w:rPr>
        <w:t>2009年我在上海参加知识产权局的咨询专家会议，讲中国要有自主知识产权，要打破西方的垄断，打破垄断就是和西方一起对人类作出贡献，同时使得国际社会更加自由公正。但在座的一位跨国公司在华联合机构的代言人却说：中国应当提知识产权，但不要提自主知识产权，因为，自主知识产权就是用公的权力来支持私的经济，干预市场经济，会遭到西方发达国家的反对。这显然是站在西方跨国公司的立场上说话的。跨国公司在华的研发机构也是有利有弊的，它的目的是利用中国廉价的高科技人才以及土地、税收等资源来搞发明，但大头都归它</w:t>
      </w:r>
      <w:r>
        <w:rPr>
          <w:rFonts w:hint="eastAsia" w:ascii="宋体" w:hAnsi="宋体" w:eastAsia="宋体" w:cs="宋体"/>
          <w:color w:val="000000"/>
          <w:kern w:val="0"/>
          <w:sz w:val="21"/>
          <w:szCs w:val="21"/>
          <w:lang w:val="zh-CN"/>
        </w:rPr>
        <w:t>。在国内，</w:t>
      </w:r>
      <w:r>
        <w:rPr>
          <w:rFonts w:hint="eastAsia" w:ascii="宋体" w:hAnsi="宋体" w:eastAsia="宋体" w:cs="宋体"/>
          <w:bCs/>
          <w:color w:val="000000"/>
          <w:kern w:val="0"/>
          <w:sz w:val="21"/>
          <w:szCs w:val="21"/>
          <w:lang w:val="zh-CN"/>
        </w:rPr>
        <w:t>我最早强调“知识产权保护是基础，自主知识产权创新（创造）是目标”。</w:t>
      </w:r>
      <w:r>
        <w:rPr>
          <w:rFonts w:hint="eastAsia" w:ascii="宋体" w:hAnsi="宋体" w:eastAsia="宋体" w:cs="宋体"/>
          <w:color w:val="000000"/>
          <w:kern w:val="0"/>
          <w:sz w:val="21"/>
          <w:szCs w:val="21"/>
          <w:lang w:val="zh-CN"/>
        </w:rPr>
        <w:t>近年搞高速铁路的做法，我认为是比较成功的，就是除了自主创新之外，我们买发达国家的产品时一定要求对方把核心技术卖给我们。</w:t>
      </w:r>
      <w:r>
        <w:rPr>
          <w:rFonts w:hint="eastAsia" w:ascii="宋体" w:hAnsi="宋体" w:eastAsia="宋体" w:cs="宋体"/>
          <w:bCs/>
          <w:color w:val="000000"/>
          <w:kern w:val="0"/>
          <w:sz w:val="21"/>
          <w:szCs w:val="21"/>
          <w:lang w:val="zh-CN"/>
        </w:rPr>
        <w:t>千万不能再重复改革头二十几年“用市场换技术”的老路了。</w:t>
      </w:r>
    </w:p>
    <w:p w14:paraId="26175389">
      <w:pPr>
        <w:ind w:firstLine="413" w:firstLineChars="197"/>
        <w:rPr>
          <w:rFonts w:ascii="宋体" w:hAnsi="宋体" w:eastAsia="宋体" w:cs="宋体"/>
          <w:bCs/>
          <w:color w:val="000000"/>
          <w:kern w:val="0"/>
          <w:sz w:val="21"/>
          <w:szCs w:val="21"/>
          <w:lang w:val="zh-CN"/>
        </w:rPr>
      </w:pPr>
      <w:r>
        <w:rPr>
          <w:rFonts w:hint="eastAsia" w:ascii="宋体" w:hAnsi="宋体" w:eastAsia="宋体" w:cs="宋体"/>
          <w:color w:val="000000"/>
          <w:kern w:val="0"/>
          <w:sz w:val="21"/>
          <w:szCs w:val="21"/>
          <w:lang w:val="zh-CN"/>
        </w:rPr>
        <w:t>导致南北差距巨大的第二个原因是</w:t>
      </w:r>
      <w:r>
        <w:rPr>
          <w:rFonts w:hint="eastAsia" w:ascii="宋体" w:hAnsi="宋体" w:eastAsia="宋体" w:cs="宋体"/>
          <w:bCs/>
          <w:color w:val="000000"/>
          <w:kern w:val="0"/>
          <w:sz w:val="21"/>
          <w:szCs w:val="21"/>
          <w:lang w:val="zh-CN"/>
        </w:rPr>
        <w:t>美元霸权。美国通过美元的国际储蓄机制，合法地掠夺各国的、特别是发展中国家的财富</w:t>
      </w:r>
      <w:r>
        <w:rPr>
          <w:rFonts w:hint="eastAsia" w:ascii="宋体" w:hAnsi="宋体" w:eastAsia="宋体" w:cs="宋体"/>
          <w:color w:val="000000"/>
          <w:kern w:val="0"/>
          <w:sz w:val="21"/>
          <w:szCs w:val="21"/>
          <w:lang w:val="zh-CN"/>
        </w:rPr>
        <w:t>。</w:t>
      </w:r>
      <w:r>
        <w:rPr>
          <w:rFonts w:hint="eastAsia" w:ascii="宋体" w:hAnsi="宋体" w:eastAsia="宋体" w:cs="宋体"/>
          <w:bCs/>
          <w:color w:val="000000"/>
          <w:kern w:val="0"/>
          <w:sz w:val="21"/>
          <w:szCs w:val="21"/>
          <w:lang w:val="zh-CN"/>
        </w:rPr>
        <w:t>以中美之间的经济交换方式为例，能很清楚地揭示这种掠夺本质。中国利用廉价的劳动力、土地、生态资源、中高级人才等等各类资源进行多种类的生产经营，生产完了廉价卖给美国，美国就不生产了；然后，美国印钞票来换你的商品，你把赚来的钱又存在美国，等于又借给美国用，美国用的时候还不给你保值增值，利息是负的，因为它大量发行美元导致美元贬值；到最后，他还倒打一耙，指控你制造了经济失衡。美国的那么多财富不仅是美国人民创造的，更是全世界、特别是发展中国家的人民创造出来的。所以，我主张不仅要搞人民币的区域化和国际化，还要积极推动构建“世界元”体系，统一全球货币。</w:t>
      </w:r>
    </w:p>
    <w:p w14:paraId="18291C7F">
      <w:pPr>
        <w:ind w:firstLine="414" w:firstLineChars="197"/>
        <w:rPr>
          <w:rFonts w:ascii="宋体" w:hAnsi="宋体" w:eastAsia="宋体" w:cs="宋体"/>
          <w:color w:val="000000"/>
          <w:kern w:val="0"/>
          <w:sz w:val="21"/>
          <w:szCs w:val="21"/>
          <w:lang w:val="zh-CN"/>
        </w:rPr>
      </w:pPr>
      <w:r>
        <w:rPr>
          <w:rFonts w:hint="eastAsia" w:ascii="宋体" w:hAnsi="宋体" w:eastAsia="宋体" w:cs="宋体"/>
          <w:b/>
          <w:color w:val="000000"/>
          <w:kern w:val="0"/>
          <w:sz w:val="21"/>
          <w:szCs w:val="21"/>
          <w:lang w:val="zh-CN"/>
        </w:rPr>
        <w:t>美英等发达国家还</w:t>
      </w:r>
      <w:r>
        <w:rPr>
          <w:rFonts w:hint="eastAsia" w:ascii="宋体" w:hAnsi="宋体" w:eastAsia="宋体" w:cs="宋体"/>
          <w:b/>
          <w:bCs/>
          <w:color w:val="000000"/>
          <w:kern w:val="0"/>
          <w:sz w:val="21"/>
          <w:szCs w:val="21"/>
          <w:lang w:val="zh-CN"/>
        </w:rPr>
        <w:t>通过文化霸权掠夺别国的财富，其中很重要的依赖途径是语言，即英语</w:t>
      </w:r>
      <w:r>
        <w:rPr>
          <w:rFonts w:hint="eastAsia" w:ascii="宋体" w:hAnsi="宋体" w:eastAsia="宋体" w:cs="宋体"/>
          <w:bCs/>
          <w:color w:val="000000"/>
          <w:kern w:val="0"/>
          <w:sz w:val="21"/>
          <w:szCs w:val="21"/>
          <w:lang w:val="zh-CN"/>
        </w:rPr>
        <w:t>。《经济动态》曾经发表过华南师大经管学院林勇院长的一篇语言经济学的好文章，就阐述了这一点。首先互联网92%~95%都是英语，全世界的人都要学习英语，你都要买英语书，</w:t>
      </w:r>
      <w:r>
        <w:rPr>
          <w:rFonts w:hint="eastAsia" w:ascii="宋体" w:hAnsi="宋体" w:eastAsia="宋体" w:cs="宋体"/>
          <w:color w:val="000000"/>
          <w:kern w:val="0"/>
          <w:sz w:val="21"/>
          <w:szCs w:val="21"/>
          <w:lang w:val="zh-CN"/>
        </w:rPr>
        <w:t>那么欧美的出版商也就发达了。英语杂志可以在世界发行，中文和</w:t>
      </w:r>
      <w:r>
        <w:rPr>
          <w:rFonts w:hint="eastAsia" w:ascii="宋体" w:hAnsi="宋体" w:eastAsia="宋体" w:cs="宋体"/>
          <w:bCs/>
          <w:color w:val="000000"/>
          <w:kern w:val="0"/>
          <w:sz w:val="21"/>
          <w:szCs w:val="21"/>
          <w:lang w:val="zh-CN"/>
        </w:rPr>
        <w:t>其他国家语言的杂志很难国际化。我们现在要翻译英文书都要8%左右的版税，这个钱很轻易地就进了他的腰包。还有影视作品，美国大片占据了发展中国家的巨大市场。所以，现在最应加速的全球化工作，除了“世元”以外，就是语言全球化。取代英语的，要么就是现在的世界语，要么就是联合国领导下再创造一个共同的语言，这样每个人的生命就变相延长了若干年。而且，全球每年几千亿美元的翻译费用，都可以节省下来，一举就能解决全球的很多贫困问题。</w:t>
      </w:r>
    </w:p>
    <w:p w14:paraId="4742135A">
      <w:pPr>
        <w:ind w:firstLine="450"/>
        <w:rPr>
          <w:rFonts w:ascii="宋体" w:hAnsi="宋体" w:eastAsia="宋体" w:cs="宋体"/>
          <w:bCs/>
          <w:color w:val="000000"/>
          <w:sz w:val="21"/>
          <w:szCs w:val="21"/>
          <w:lang w:val="zh-CN"/>
        </w:rPr>
      </w:pPr>
      <w:r>
        <w:rPr>
          <w:rFonts w:hint="eastAsia" w:ascii="宋体" w:hAnsi="宋体" w:eastAsia="宋体" w:cs="宋体"/>
          <w:bCs/>
          <w:color w:val="000000"/>
          <w:kern w:val="0"/>
          <w:sz w:val="21"/>
          <w:szCs w:val="21"/>
          <w:lang w:val="zh-CN"/>
        </w:rPr>
        <w:t>但搞“世元”和“世界语”谁最反对呢？是美国。所以，美国是阻碍世界公正发展经济全球化、政治民主化、文化多样化和军事自卫化的世界第一障碍。</w:t>
      </w:r>
    </w:p>
    <w:p w14:paraId="6B4235D3">
      <w:pPr>
        <w:tabs>
          <w:tab w:val="center" w:pos="4680"/>
        </w:tabs>
        <w:ind w:left="-105" w:leftChars="-50" w:right="-105" w:rightChars="-50"/>
        <w:jc w:val="center"/>
        <w:rPr>
          <w:rFonts w:ascii="宋体" w:hAnsi="宋体" w:eastAsia="宋体" w:cs="Times New Roman"/>
          <w:b/>
          <w:color w:val="000000"/>
          <w:sz w:val="21"/>
          <w:szCs w:val="21"/>
        </w:rPr>
      </w:pPr>
      <w:r>
        <w:rPr>
          <w:rFonts w:hint="eastAsia" w:ascii="宋体" w:hAnsi="宋体" w:eastAsia="宋体" w:cs="Times New Roman"/>
          <w:b/>
          <w:color w:val="000000"/>
          <w:sz w:val="21"/>
          <w:szCs w:val="21"/>
        </w:rPr>
        <w:t>四、全球治理的历史类型</w:t>
      </w:r>
    </w:p>
    <w:p w14:paraId="3CF5FF1D">
      <w:pPr>
        <w:ind w:firstLine="411" w:firstLineChars="196"/>
        <w:rPr>
          <w:rFonts w:ascii="宋体" w:hAnsi="宋体" w:eastAsia="宋体" w:cs="Times New Roman"/>
          <w:color w:val="000000"/>
          <w:sz w:val="21"/>
          <w:szCs w:val="21"/>
        </w:rPr>
      </w:pPr>
    </w:p>
    <w:p w14:paraId="12518235">
      <w:pPr>
        <w:ind w:firstLine="411" w:firstLineChars="196"/>
        <w:rPr>
          <w:rFonts w:ascii="宋体" w:hAnsi="宋体" w:eastAsia="宋体" w:cs="Times New Roman"/>
          <w:color w:val="000000"/>
          <w:sz w:val="21"/>
          <w:szCs w:val="21"/>
        </w:rPr>
      </w:pPr>
      <w:r>
        <w:rPr>
          <w:rFonts w:hint="eastAsia" w:ascii="宋体" w:hAnsi="宋体" w:eastAsia="宋体" w:cs="Times New Roman"/>
          <w:color w:val="000000"/>
          <w:sz w:val="21"/>
          <w:szCs w:val="21"/>
        </w:rPr>
        <w:t>20世纪以来全球政治经济的治理大致经历了三种类型。</w:t>
      </w:r>
    </w:p>
    <w:p w14:paraId="1ACABCC3">
      <w:pPr>
        <w:ind w:firstLine="411" w:firstLineChars="196"/>
        <w:rPr>
          <w:rFonts w:ascii="宋体" w:hAnsi="宋体" w:eastAsia="宋体" w:cs="Times New Roman"/>
          <w:color w:val="000000"/>
          <w:sz w:val="21"/>
          <w:szCs w:val="21"/>
        </w:rPr>
      </w:pPr>
      <w:r>
        <w:rPr>
          <w:rFonts w:hint="eastAsia" w:ascii="宋体" w:hAnsi="宋体" w:eastAsia="宋体" w:cs="Times New Roman"/>
          <w:color w:val="000000"/>
          <w:sz w:val="21"/>
          <w:szCs w:val="21"/>
        </w:rPr>
        <w:t>第一，列强争霸或帝国争夺型治理。1900~1945年，伴随着英国霸权地位的日渐衰落和美国等国势力的不断提升，世界强国之间的冲突和竞争加剧，维护国际政治经济体系稳定的国际组织和国际规则缺失，各国之间弱肉强食，单边主义政策盛行，“以邻为壑”式的贸易战与货币战频发，国际政治经济体系剧烈动荡，爆发了两次世界大战及一系列殖民主义战争和一次严重的世界性经济危机。但是，苏联等社会主义国家的诞生，使全球政治经济的民主治理出现了许多积极的因素。</w:t>
      </w:r>
    </w:p>
    <w:p w14:paraId="7C370E7B">
      <w:pPr>
        <w:ind w:firstLine="411" w:firstLineChars="196"/>
        <w:rPr>
          <w:rFonts w:ascii="宋体" w:hAnsi="宋体" w:eastAsia="宋体" w:cs="Times New Roman"/>
          <w:color w:val="000000"/>
          <w:sz w:val="21"/>
          <w:szCs w:val="21"/>
        </w:rPr>
      </w:pPr>
      <w:r>
        <w:rPr>
          <w:rFonts w:hint="eastAsia" w:ascii="宋体" w:hAnsi="宋体" w:eastAsia="宋体" w:cs="Times New Roman"/>
          <w:color w:val="000000"/>
          <w:sz w:val="21"/>
          <w:szCs w:val="21"/>
        </w:rPr>
        <w:t>第二，两超阵营型治理。1946~1989年，美苏两个超级大国分别支配了资本主义和社会主义两大阵营，各方都尽力维持着自己的势力范围，维持了世界政治经济体系的一种相对的平衡和稳定。美国以西方世界霸主自居，出于遏止“苏联共产主义扩张”的政治需要，容忍了西欧和日本等国长期的“搭便车”行为，为西方资本主义世界体系提供了诸如自由开放的国际贸易体制、稳定的国际货币体系、国际安全和对外援助等国际公共物品。在军事政治领域，美国组建了北约集团，向其盟国提供安全和核保护伞；在经济贸易领域，美国主导了以GATT为核心的自由贸易体制和国际贸易规则，从而维系了西方资本主义国际体系的某种长期稳定。在此期间，在苏联为首的社会主义国家的促进和影响下，落后国家的民族解放战争也纷纷胜利，第三世界国家作用不断扩大，世界经济政治的民主治理的积极因素持续提升。但是，主要资本主义国家长期发动的“冷战”，严重妨碍全球经济、政治和文化进步，并使军备竞赛加剧。</w:t>
      </w:r>
    </w:p>
    <w:p w14:paraId="61C08227">
      <w:pPr>
        <w:ind w:firstLine="411" w:firstLineChars="196"/>
        <w:rPr>
          <w:rFonts w:ascii="宋体" w:hAnsi="宋体" w:eastAsia="宋体" w:cs="Times New Roman"/>
          <w:color w:val="000000"/>
          <w:sz w:val="21"/>
          <w:szCs w:val="21"/>
        </w:rPr>
      </w:pPr>
      <w:r>
        <w:rPr>
          <w:rFonts w:hint="eastAsia" w:ascii="宋体" w:hAnsi="宋体" w:eastAsia="宋体" w:cs="Times New Roman"/>
          <w:color w:val="000000"/>
          <w:sz w:val="21"/>
          <w:szCs w:val="21"/>
        </w:rPr>
        <w:t>第三，一霸数强型治理。1990年至今，随着冷战的结束，美国成为了唯一的超级大国，没有其他国家或国家集团能够扮演平衡者的角色。为了巩固“全球领导地位”，美国不断交替使用“单边主义”、“多边主义”战略手段阻遏多极化趋势，从立足于联合国转移到国际货币基金组织、世界银行、世界贸易组织、国际能源机构和北约军事组织等，主导国际规则的制定，推行新自由主义、新帝国主义政策，越来越露骨地把接受西方国家的价值观作为它提供对外援助和贷款的先决条件，越来越露骨地把国际政策变成促进或维护其本国实力、遏制或削弱他国实力以实现自己利益的工具，破坏了全球经济、政治和文化的民主治理。这导致维持国际体系稳定的行动能力明显降低，导致全球公共物品供给相对不足，各种全球性问题不断凸现。仅在经济领域，世界范围内的贸易战、金融战、资源战、科技战等就层出不穷。</w:t>
      </w:r>
    </w:p>
    <w:p w14:paraId="3391328C">
      <w:pPr>
        <w:ind w:firstLine="411" w:firstLineChars="196"/>
        <w:rPr>
          <w:rFonts w:ascii="宋体" w:hAnsi="宋体" w:eastAsia="宋体" w:cs="Times New Roman"/>
          <w:color w:val="000000"/>
          <w:sz w:val="21"/>
          <w:szCs w:val="21"/>
        </w:rPr>
      </w:pPr>
    </w:p>
    <w:p w14:paraId="5EF9649F">
      <w:pPr>
        <w:ind w:firstLine="412" w:firstLineChars="196"/>
        <w:jc w:val="center"/>
        <w:rPr>
          <w:rFonts w:ascii="宋体" w:hAnsi="宋体" w:eastAsia="宋体" w:cs="Times New Roman"/>
          <w:b/>
          <w:color w:val="000000"/>
          <w:sz w:val="21"/>
          <w:szCs w:val="21"/>
        </w:rPr>
      </w:pPr>
      <w:r>
        <w:rPr>
          <w:rFonts w:hint="eastAsia" w:ascii="宋体" w:hAnsi="宋体" w:eastAsia="宋体" w:cs="Times New Roman"/>
          <w:b/>
          <w:color w:val="000000"/>
          <w:sz w:val="21"/>
          <w:szCs w:val="21"/>
        </w:rPr>
        <w:t>五、未来的全球民主治理与中国的举措</w:t>
      </w:r>
    </w:p>
    <w:p w14:paraId="27D64807">
      <w:pPr>
        <w:ind w:firstLine="411" w:firstLineChars="196"/>
        <w:rPr>
          <w:rFonts w:ascii="宋体" w:hAnsi="宋体" w:eastAsia="宋体" w:cs="Times New Roman"/>
          <w:color w:val="000000"/>
          <w:sz w:val="21"/>
          <w:szCs w:val="21"/>
        </w:rPr>
      </w:pPr>
      <w:r>
        <w:rPr>
          <w:rFonts w:hint="eastAsia" w:ascii="宋体" w:hAnsi="宋体" w:eastAsia="宋体" w:cs="Times New Roman"/>
          <w:color w:val="000000"/>
          <w:sz w:val="21"/>
          <w:szCs w:val="21"/>
        </w:rPr>
        <w:t>展望未来，超越霸权治理、实现全球经济政治的民主治理，任重而道远。为了提升现时期全球经济政治的民主治理水平，必须首先改革联合国以及国际货币基金组织等国际机构，构建联合国主导型治理框架。应改革联合国安理会的构成和机制，增加发展中国家的理事名额，激励世界各国和地区政治实体共同参与全球事务决策，提高其代表性和决策效率；应改革国际货币基金组织和世界银行的代表机制和表决权等，改变少数富国对重大决策拥有否决权的现状，制定更有效的金融规则和危机处理机制，加强对全球资本流动的监管；应改革世界贸易组织及其规则，保证发展中国家更多地参与决策并从中受益，确保贸易活动不损害民族利益和劳工权益；应尽快确立全球统一的货币即“世元”、全球统一的语言即“世界语”；取消美国控制下的北约和某些国际法律机构，重新建立联合国领导下的维和部队和国际法律机构。只有这样，才能重新建立一种各国共同负责的全球经济政治文化新秩序，公正发展经济全球化、政治民主化、文化多样化、军事自卫化。</w:t>
      </w:r>
    </w:p>
    <w:p w14:paraId="258A9E7C">
      <w:pPr>
        <w:ind w:firstLine="450"/>
        <w:rPr>
          <w:rFonts w:ascii="宋体" w:hAnsi="宋体" w:eastAsia="宋体" w:cs="Times New Roman"/>
          <w:color w:val="000000"/>
          <w:sz w:val="21"/>
          <w:szCs w:val="21"/>
        </w:rPr>
      </w:pPr>
      <w:r>
        <w:rPr>
          <w:rFonts w:hint="eastAsia" w:ascii="宋体" w:hAnsi="宋体" w:eastAsia="宋体" w:cs="Times New Roman"/>
          <w:color w:val="000000"/>
          <w:sz w:val="21"/>
          <w:szCs w:val="21"/>
        </w:rPr>
        <w:t>目前，西方金融和经济危机的肆虐，又一次宣告了新自由资本主义的失败，世界体系的变革和再造恰逢其时。对此应该得出三个结论：第一，这一次西方金融和经济危机，不仅是金融危机，不在于什么操作问题，或者是信心不足问题，或者是诚信不足问题，而在于全球资本主义基本矛盾。第二，</w:t>
      </w:r>
      <w:r>
        <w:rPr>
          <w:rFonts w:hint="eastAsia" w:ascii="宋体" w:hAnsi="宋体" w:eastAsia="宋体" w:cs="Times New Roman"/>
          <w:b/>
          <w:color w:val="000000"/>
          <w:sz w:val="21"/>
          <w:szCs w:val="21"/>
        </w:rPr>
        <w:t>长期解决的根本出路和办法就是用全球社会主义逐步取代全球资本主义</w:t>
      </w:r>
      <w:r>
        <w:rPr>
          <w:rFonts w:hint="eastAsia" w:ascii="宋体" w:hAnsi="宋体" w:eastAsia="宋体" w:cs="Times New Roman"/>
          <w:color w:val="000000"/>
          <w:sz w:val="21"/>
          <w:szCs w:val="21"/>
        </w:rPr>
        <w:t>。苏东国家剧变以后，实际上是资本主义的西风逐渐压倒社会主义的东风，而二战以后到苏东巨变之前，则是社会主义东风逐步压倒资本主义西风的时期。以这次全球危机为标志和起点，世界社会主义正式走出了低谷，各国进步人士要通过自己的实际工作来逐步促进世界社会主义高潮的出现。第三，中国特色社会主义没有经济危机，中国经济虽受到国际金融和经济危机的影响，但采取强有力的措施后，已经继续高涨。中国模式必将推动世界社会主义的未来发展。</w:t>
      </w:r>
    </w:p>
    <w:p w14:paraId="622DC9BD">
      <w:pPr>
        <w:ind w:firstLine="450"/>
        <w:rPr>
          <w:rFonts w:ascii="宋体" w:hAnsi="宋体" w:eastAsia="宋体" w:cs="宋体"/>
          <w:bCs/>
          <w:color w:val="000000"/>
          <w:sz w:val="21"/>
          <w:szCs w:val="21"/>
          <w:lang w:val="zh-CN"/>
        </w:rPr>
      </w:pPr>
      <w:r>
        <w:rPr>
          <w:rFonts w:hint="eastAsia" w:ascii="宋体" w:hAnsi="宋体" w:eastAsia="宋体" w:cs="宋体"/>
          <w:bCs/>
          <w:color w:val="000000"/>
          <w:kern w:val="0"/>
          <w:sz w:val="21"/>
          <w:szCs w:val="21"/>
          <w:lang w:val="zh-CN"/>
        </w:rPr>
        <w:t>面对现实，发展中国家若要更好地维护本国以及世界劳动者的利益，就必须加强合作。合作对象有哪些呢？一是发展中国家之间的合作。比如说在这次气候会议上，中国、印度等国家加强了合作，对美国这样一个要搞“气候霸权”国家，起了重要的遏制作用</w:t>
      </w:r>
      <w:r>
        <w:rPr>
          <w:rFonts w:hint="eastAsia" w:ascii="宋体" w:hAnsi="宋体" w:eastAsia="宋体" w:cs="宋体"/>
          <w:color w:val="000000"/>
          <w:kern w:val="0"/>
          <w:sz w:val="21"/>
          <w:szCs w:val="21"/>
          <w:lang w:val="zh-CN"/>
        </w:rPr>
        <w:t>。</w:t>
      </w:r>
      <w:r>
        <w:rPr>
          <w:rFonts w:hint="eastAsia" w:ascii="宋体" w:hAnsi="宋体" w:eastAsia="宋体" w:cs="宋体"/>
          <w:bCs/>
          <w:color w:val="000000"/>
          <w:kern w:val="0"/>
          <w:sz w:val="21"/>
          <w:szCs w:val="21"/>
          <w:lang w:val="zh-CN"/>
        </w:rPr>
        <w:t>我们越是团结得好，合作得好，就越能最大限度的维护发展中国家人民的利益。</w:t>
      </w:r>
      <w:r>
        <w:rPr>
          <w:rFonts w:hint="eastAsia" w:ascii="宋体" w:hAnsi="宋体" w:eastAsia="宋体" w:cs="宋体"/>
          <w:color w:val="000000"/>
          <w:kern w:val="0"/>
          <w:sz w:val="21"/>
          <w:szCs w:val="21"/>
          <w:lang w:val="zh-CN"/>
        </w:rPr>
        <w:t>二</w:t>
      </w:r>
      <w:r>
        <w:rPr>
          <w:rFonts w:hint="eastAsia" w:ascii="宋体" w:hAnsi="宋体" w:eastAsia="宋体" w:cs="宋体"/>
          <w:bCs/>
          <w:color w:val="000000"/>
          <w:kern w:val="0"/>
          <w:sz w:val="21"/>
          <w:szCs w:val="21"/>
          <w:lang w:val="zh-CN"/>
        </w:rPr>
        <w:t>是加强政党之间合作。</w:t>
      </w:r>
      <w:r>
        <w:rPr>
          <w:rFonts w:hint="eastAsia" w:ascii="宋体" w:hAnsi="宋体" w:eastAsia="宋体" w:cs="宋体"/>
          <w:color w:val="000000"/>
          <w:kern w:val="0"/>
          <w:sz w:val="21"/>
          <w:szCs w:val="21"/>
          <w:lang w:val="zh-CN"/>
        </w:rPr>
        <w:t>现在是政党政治，尤其是对那些共产党或左翼党没有掌权的国家，只能通过政党的合作在国际上造舆论，使得各国的右翼力量受到遏制，国际社会因此而进步。</w:t>
      </w:r>
      <w:r>
        <w:rPr>
          <w:rFonts w:hint="eastAsia" w:ascii="宋体" w:hAnsi="宋体" w:eastAsia="宋体" w:cs="宋体"/>
          <w:bCs/>
          <w:color w:val="000000"/>
          <w:kern w:val="0"/>
          <w:sz w:val="21"/>
          <w:szCs w:val="21"/>
          <w:lang w:val="zh-CN"/>
        </w:rPr>
        <w:t>三是加强全球工会的合作。因为除了共产党、左翼政党外，工会也是代表工人阶级、维护劳动者利益的一支重要力量。四是世界的马克思主义学者和左翼学者的合作。因为他们掌握一定的话语权，可以从学术和政策研究，从舆论方面，来促进世界更加和谐。媒体如果单独拿出来，就是第五个要合作的力量。中国要打破西方的政治封锁，打破他们在新疆、西藏、台湾等问题上丑化、妖魔化中国的局面，就必须加强与世界各国的媒体间的团结合作。中国现在外汇很多，媒体也很多，中国大的媒体集团应该主动地走出去并购（或采取其他合作方式）美国等发达国家的重要媒体，促使它们客观报道中国，维护世界公众的利益。当然美国等肯定会极力反对，那么，我们要以其人之道还治其人之身，指出其虚假的经济自由和新闻自由</w:t>
      </w:r>
      <w:r>
        <w:rPr>
          <w:rFonts w:hint="eastAsia" w:ascii="宋体" w:hAnsi="宋体" w:eastAsia="宋体" w:cs="宋体"/>
          <w:bCs/>
          <w:color w:val="000000"/>
          <w:sz w:val="21"/>
          <w:szCs w:val="21"/>
          <w:lang w:val="zh-CN"/>
        </w:rPr>
        <w:t>。</w:t>
      </w:r>
    </w:p>
    <w:p w14:paraId="72AA3EBB">
      <w:pPr>
        <w:ind w:firstLine="450"/>
        <w:rPr>
          <w:rFonts w:eastAsia="宋体" w:cs="Times New Roman"/>
          <w:color w:val="000000"/>
          <w:sz w:val="21"/>
          <w:szCs w:val="24"/>
          <w:lang w:val="zh-CN"/>
        </w:rPr>
      </w:pPr>
      <w:r>
        <w:rPr>
          <w:rFonts w:hint="eastAsia" w:eastAsia="宋体" w:cs="Times New Roman"/>
          <w:color w:val="000000"/>
          <w:kern w:val="0"/>
          <w:sz w:val="21"/>
          <w:szCs w:val="24"/>
          <w:lang w:val="zh-CN"/>
        </w:rPr>
        <w:t>有些合作要加强，有些则要削弱。比如，世界财富论坛以及世界经济论坛为什么总提要保护知识产权而不说财富分配不公的问题呢？因为它是跨国公司搞的，所以强调的始终是片面的经济自由化和全球化，有利于巩固发达国家的各种垄断地位。对这种论坛，不必太热心。全世界左翼则搞了一个世界社会论坛，参会的非政府组织比世界经济论坛更多，出席的人也更多，对于当前的世界，这个论坛揭示了很多真相和真理。我主张中国应该派人去参加世界社会论坛，甚至也可以在中国举办。这样，我们才能对世界的经济、政治、文化和军事发展的大趋势有个全面客观清醒的认识。再比如，中国是社会主义大国，大国要有大国的风范，要与其他国家平等交流，外交上要讲对等原则。美国的社会科学学者、哪怕他是诺贝尔奖获得者来华，国家领导人也根本没必要接见他，因为诺贝尔经济学奖是有很强的价值观和政治性的。对待西方左中右学者的方式至少应是一视同仁的。这些所谓的主流经济学大家到底有多少见识呢？面对全球危机他们个个面面相觑，哑口无言，以至于英国女王不久前责问他们为什么没有一个提出预警的。干吗抬举他们</w:t>
      </w:r>
      <w:r>
        <w:rPr>
          <w:rFonts w:hint="eastAsia" w:eastAsia="宋体" w:cs="Times New Roman"/>
          <w:color w:val="000000"/>
          <w:sz w:val="21"/>
          <w:szCs w:val="24"/>
          <w:lang w:val="zh-CN"/>
        </w:rPr>
        <w:t>？</w:t>
      </w:r>
    </w:p>
    <w:p w14:paraId="427B5DB7">
      <w:pPr>
        <w:ind w:firstLine="450"/>
        <w:rPr>
          <w:rFonts w:ascii="宋体" w:hAnsi="宋体" w:eastAsia="宋体" w:cs="宋体"/>
          <w:bCs/>
          <w:color w:val="000000"/>
          <w:sz w:val="21"/>
          <w:szCs w:val="21"/>
        </w:rPr>
      </w:pPr>
      <w:r>
        <w:rPr>
          <w:rFonts w:hint="eastAsia" w:ascii="宋体" w:hAnsi="宋体" w:eastAsia="宋体" w:cs="宋体"/>
          <w:bCs/>
          <w:color w:val="000000"/>
          <w:sz w:val="21"/>
          <w:szCs w:val="21"/>
        </w:rPr>
        <w:t>（原载《绿叶》2010年第1-2合期）</w:t>
      </w:r>
    </w:p>
    <w:p w14:paraId="586A930C">
      <w:pPr>
        <w:spacing w:line="400" w:lineRule="exact"/>
        <w:ind w:firstLine="640" w:firstLineChars="200"/>
        <w:outlineLvl w:val="9"/>
        <w:rPr>
          <w:rFonts w:ascii="黑体" w:hAnsi="黑体" w:eastAsia="黑体" w:cs="Times New Roman"/>
          <w:sz w:val="32"/>
          <w:szCs w:val="24"/>
        </w:rPr>
      </w:pPr>
    </w:p>
    <w:p w14:paraId="132F8B61">
      <w:pPr>
        <w:bidi w:val="0"/>
      </w:pPr>
    </w:p>
    <w:sdt>
      <w:sdtPr>
        <w:rPr>
          <w:color w:val="000000" w:themeColor="text1"/>
          <w14:textFill>
            <w14:solidFill>
              <w14:schemeClr w14:val="tx1"/>
            </w14:solidFill>
          </w14:textFill>
        </w:rPr>
        <w:id w:val="708772705"/>
        <w:docPartObj>
          <w:docPartGallery w:val="autotext"/>
        </w:docPartObj>
      </w:sdtPr>
      <w:sdtEndPr>
        <w:rPr>
          <w:color w:val="000000" w:themeColor="text1"/>
          <w14:textFill>
            <w14:solidFill>
              <w14:schemeClr w14:val="tx1"/>
            </w14:solidFill>
          </w14:textFill>
        </w:rPr>
      </w:sdtEndPr>
      <w:sdtContent>
        <w:p w14:paraId="0C1FAB4D">
          <w:pPr>
            <w:ind w:firstLine="420" w:firstLineChars="200"/>
            <w:jc w:val="center"/>
            <w:rPr>
              <w:rFonts w:ascii="Times New Roman" w:hAnsi="Times New Roman"/>
              <w:color w:val="000000" w:themeColor="text1"/>
              <w:kern w:val="0"/>
              <w:sz w:val="20"/>
              <w:szCs w:val="20"/>
              <w14:textFill>
                <w14:solidFill>
                  <w14:schemeClr w14:val="tx1"/>
                </w14:solidFill>
              </w14:textFill>
            </w:rPr>
          </w:pPr>
          <w:bookmarkStart w:id="1159" w:name="_Toc30182"/>
          <w:bookmarkEnd w:id="1159"/>
        </w:p>
        <w:sdt>
          <w:sdtPr>
            <w:rPr>
              <w:lang w:val="zh-CN"/>
            </w:rPr>
            <w:id w:val="721508981"/>
            <w:docPartObj>
              <w:docPartGallery w:val="Table of Contents"/>
              <w:docPartUnique/>
            </w:docPartObj>
          </w:sdtPr>
          <w:sdtEndPr>
            <w:rPr>
              <w:rFonts w:ascii="Calibri" w:hAnsi="Calibri" w:eastAsia="宋体" w:cs="Times New Roman"/>
              <w:b/>
              <w:bCs/>
              <w:color w:val="auto"/>
              <w:kern w:val="2"/>
              <w:sz w:val="21"/>
              <w:szCs w:val="21"/>
              <w:lang w:val="zh-CN"/>
            </w:rPr>
          </w:sdtEndPr>
          <w:sdtContent>
            <w:p w14:paraId="20C4A5C9">
              <w:pPr>
                <w:pStyle w:val="25"/>
                <w:jc w:val="center"/>
                <w:rPr>
                  <w:rFonts w:ascii="黑体" w:hAnsi="黑体" w:eastAsia="黑体"/>
                  <w:color w:val="000000" w:themeColor="text1"/>
                  <w14:textFill>
                    <w14:solidFill>
                      <w14:schemeClr w14:val="tx1"/>
                    </w14:solidFill>
                  </w14:textFill>
                </w:rPr>
              </w:pPr>
              <w:r>
                <w:rPr>
                  <w:rFonts w:ascii="黑体" w:hAnsi="黑体" w:eastAsia="黑体"/>
                  <w:color w:val="000000" w:themeColor="text1"/>
                  <w:lang w:val="zh-CN"/>
                  <w14:textFill>
                    <w14:solidFill>
                      <w14:schemeClr w14:val="tx1"/>
                    </w14:solidFill>
                  </w14:textFill>
                </w:rPr>
                <w:t>目录</w:t>
              </w:r>
            </w:p>
            <w:p w14:paraId="07AF3B7C">
              <w:pPr>
                <w:pStyle w:val="10"/>
                <w:tabs>
                  <w:tab w:val="right" w:leader="dot" w:pos="8240"/>
                </w:tabs>
                <w:rPr>
                  <w:rFonts w:ascii="宋体" w:hAnsi="宋体"/>
                  <w:sz w:val="24"/>
                  <w:szCs w:val="24"/>
                </w:rPr>
              </w:pPr>
              <w:r>
                <w:rPr>
                  <w:rFonts w:ascii="宋体" w:hAnsi="宋体"/>
                  <w:sz w:val="24"/>
                  <w:szCs w:val="24"/>
                </w:rPr>
                <w:fldChar w:fldCharType="begin"/>
              </w:r>
              <w:r>
                <w:rPr>
                  <w:rFonts w:ascii="宋体" w:hAnsi="宋体"/>
                  <w:sz w:val="24"/>
                  <w:szCs w:val="24"/>
                </w:rPr>
                <w:instrText xml:space="preserve"> TOC \o "1-3" \h \z \u </w:instrText>
              </w:r>
              <w:r>
                <w:rPr>
                  <w:rFonts w:ascii="宋体" w:hAnsi="宋体"/>
                  <w:sz w:val="24"/>
                  <w:szCs w:val="24"/>
                </w:rPr>
                <w:fldChar w:fldCharType="separate"/>
              </w:r>
              <w:r>
                <w:fldChar w:fldCharType="begin"/>
              </w:r>
              <w:r>
                <w:instrText xml:space="preserve"> HYPERLINK \l "_Toc114057770" </w:instrText>
              </w:r>
              <w:r>
                <w:fldChar w:fldCharType="separate"/>
              </w:r>
              <w:r>
                <w:rPr>
                  <w:rStyle w:val="19"/>
                  <w:rFonts w:ascii="宋体" w:hAnsi="宋体"/>
                  <w:sz w:val="24"/>
                  <w:szCs w:val="24"/>
                </w:rPr>
                <w:t>2011年</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_Toc114057770 \h </w:instrText>
              </w:r>
              <w:r>
                <w:rPr>
                  <w:rFonts w:ascii="宋体" w:hAnsi="宋体"/>
                  <w:sz w:val="24"/>
                  <w:szCs w:val="24"/>
                </w:rPr>
                <w:fldChar w:fldCharType="separate"/>
              </w:r>
              <w:r>
                <w:rPr>
                  <w:rFonts w:ascii="宋体" w:hAnsi="宋体"/>
                  <w:sz w:val="24"/>
                  <w:szCs w:val="24"/>
                </w:rPr>
                <w:t>1354</w:t>
              </w:r>
              <w:r>
                <w:rPr>
                  <w:rFonts w:ascii="宋体" w:hAnsi="宋体"/>
                  <w:sz w:val="24"/>
                  <w:szCs w:val="24"/>
                </w:rPr>
                <w:fldChar w:fldCharType="end"/>
              </w:r>
              <w:r>
                <w:rPr>
                  <w:rFonts w:ascii="宋体" w:hAnsi="宋体"/>
                  <w:sz w:val="24"/>
                  <w:szCs w:val="24"/>
                </w:rPr>
                <w:fldChar w:fldCharType="end"/>
              </w:r>
            </w:p>
            <w:p w14:paraId="177B81DD">
              <w:pPr>
                <w:pStyle w:val="10"/>
                <w:tabs>
                  <w:tab w:val="right" w:leader="dot" w:pos="8240"/>
                </w:tabs>
                <w:rPr>
                  <w:rFonts w:ascii="宋体" w:hAnsi="宋体"/>
                  <w:sz w:val="24"/>
                  <w:szCs w:val="24"/>
                </w:rPr>
              </w:pPr>
              <w:r>
                <w:fldChar w:fldCharType="begin"/>
              </w:r>
              <w:r>
                <w:instrText xml:space="preserve"> HYPERLINK \l "_Toc114057771" </w:instrText>
              </w:r>
              <w:r>
                <w:fldChar w:fldCharType="separate"/>
              </w:r>
              <w:r>
                <w:rPr>
                  <w:rStyle w:val="19"/>
                  <w:rFonts w:ascii="宋体" w:hAnsi="宋体"/>
                  <w:sz w:val="24"/>
                  <w:szCs w:val="24"/>
                </w:rPr>
                <w:t>1马列主义是认识和改造世界的科学方法与指南</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_Toc114057771 \h </w:instrText>
              </w:r>
              <w:r>
                <w:rPr>
                  <w:rFonts w:ascii="宋体" w:hAnsi="宋体"/>
                  <w:sz w:val="24"/>
                  <w:szCs w:val="24"/>
                </w:rPr>
                <w:fldChar w:fldCharType="separate"/>
              </w:r>
              <w:r>
                <w:rPr>
                  <w:rFonts w:ascii="宋体" w:hAnsi="宋体"/>
                  <w:sz w:val="24"/>
                  <w:szCs w:val="24"/>
                </w:rPr>
                <w:t>1354</w:t>
              </w:r>
              <w:r>
                <w:rPr>
                  <w:rFonts w:ascii="宋体" w:hAnsi="宋体"/>
                  <w:sz w:val="24"/>
                  <w:szCs w:val="24"/>
                </w:rPr>
                <w:fldChar w:fldCharType="end"/>
              </w:r>
              <w:r>
                <w:rPr>
                  <w:rFonts w:ascii="宋体" w:hAnsi="宋体"/>
                  <w:sz w:val="24"/>
                  <w:szCs w:val="24"/>
                </w:rPr>
                <w:fldChar w:fldCharType="end"/>
              </w:r>
            </w:p>
            <w:p w14:paraId="1C9CC856">
              <w:pPr>
                <w:pStyle w:val="10"/>
                <w:tabs>
                  <w:tab w:val="right" w:leader="dot" w:pos="8240"/>
                </w:tabs>
                <w:rPr>
                  <w:rFonts w:ascii="宋体" w:hAnsi="宋体"/>
                  <w:sz w:val="24"/>
                  <w:szCs w:val="24"/>
                </w:rPr>
              </w:pPr>
              <w:r>
                <w:fldChar w:fldCharType="begin"/>
              </w:r>
              <w:r>
                <w:instrText xml:space="preserve"> HYPERLINK \l "_Toc114057772" </w:instrText>
              </w:r>
              <w:r>
                <w:fldChar w:fldCharType="separate"/>
              </w:r>
              <w:r>
                <w:rPr>
                  <w:rStyle w:val="19"/>
                  <w:rFonts w:ascii="宋体" w:hAnsi="宋体"/>
                  <w:sz w:val="24"/>
                  <w:szCs w:val="24"/>
                </w:rPr>
                <w:t>2关于中国模式研究的若干难点问题探析</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_Toc114057772 \h </w:instrText>
              </w:r>
              <w:r>
                <w:rPr>
                  <w:rFonts w:ascii="宋体" w:hAnsi="宋体"/>
                  <w:sz w:val="24"/>
                  <w:szCs w:val="24"/>
                </w:rPr>
                <w:fldChar w:fldCharType="separate"/>
              </w:r>
              <w:r>
                <w:rPr>
                  <w:rFonts w:ascii="宋体" w:hAnsi="宋体"/>
                  <w:sz w:val="24"/>
                  <w:szCs w:val="24"/>
                </w:rPr>
                <w:t>1372</w:t>
              </w:r>
              <w:r>
                <w:rPr>
                  <w:rFonts w:ascii="宋体" w:hAnsi="宋体"/>
                  <w:sz w:val="24"/>
                  <w:szCs w:val="24"/>
                </w:rPr>
                <w:fldChar w:fldCharType="end"/>
              </w:r>
              <w:r>
                <w:rPr>
                  <w:rFonts w:ascii="宋体" w:hAnsi="宋体"/>
                  <w:sz w:val="24"/>
                  <w:szCs w:val="24"/>
                </w:rPr>
                <w:fldChar w:fldCharType="end"/>
              </w:r>
            </w:p>
            <w:p w14:paraId="3783C9D3">
              <w:pPr>
                <w:pStyle w:val="10"/>
                <w:tabs>
                  <w:tab w:val="right" w:leader="dot" w:pos="8240"/>
                </w:tabs>
                <w:rPr>
                  <w:rFonts w:ascii="宋体" w:hAnsi="宋体"/>
                  <w:sz w:val="24"/>
                  <w:szCs w:val="24"/>
                </w:rPr>
              </w:pPr>
              <w:r>
                <w:fldChar w:fldCharType="begin"/>
              </w:r>
              <w:r>
                <w:instrText xml:space="preserve"> HYPERLINK \l "_Toc114057773" </w:instrText>
              </w:r>
              <w:r>
                <w:fldChar w:fldCharType="separate"/>
              </w:r>
              <w:r>
                <w:rPr>
                  <w:rStyle w:val="19"/>
                  <w:rFonts w:ascii="宋体" w:hAnsi="宋体"/>
                  <w:sz w:val="24"/>
                  <w:szCs w:val="24"/>
                </w:rPr>
                <w:t>3近年社会主义核心价值体系建设情况的调查研究报告</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_Toc114057773 \h </w:instrText>
              </w:r>
              <w:r>
                <w:rPr>
                  <w:rFonts w:ascii="宋体" w:hAnsi="宋体"/>
                  <w:sz w:val="24"/>
                  <w:szCs w:val="24"/>
                </w:rPr>
                <w:fldChar w:fldCharType="separate"/>
              </w:r>
              <w:r>
                <w:rPr>
                  <w:rFonts w:ascii="宋体" w:hAnsi="宋体"/>
                  <w:sz w:val="24"/>
                  <w:szCs w:val="24"/>
                </w:rPr>
                <w:t>1379</w:t>
              </w:r>
              <w:r>
                <w:rPr>
                  <w:rFonts w:ascii="宋体" w:hAnsi="宋体"/>
                  <w:sz w:val="24"/>
                  <w:szCs w:val="24"/>
                </w:rPr>
                <w:fldChar w:fldCharType="end"/>
              </w:r>
              <w:r>
                <w:rPr>
                  <w:rFonts w:ascii="宋体" w:hAnsi="宋体"/>
                  <w:sz w:val="24"/>
                  <w:szCs w:val="24"/>
                </w:rPr>
                <w:fldChar w:fldCharType="end"/>
              </w:r>
            </w:p>
            <w:p w14:paraId="28365F8C">
              <w:pPr>
                <w:pStyle w:val="10"/>
                <w:tabs>
                  <w:tab w:val="right" w:leader="dot" w:pos="8240"/>
                </w:tabs>
                <w:rPr>
                  <w:rFonts w:ascii="宋体" w:hAnsi="宋体"/>
                  <w:sz w:val="24"/>
                  <w:szCs w:val="24"/>
                </w:rPr>
              </w:pPr>
              <w:r>
                <w:fldChar w:fldCharType="begin"/>
              </w:r>
              <w:r>
                <w:instrText xml:space="preserve"> HYPERLINK \l "_Toc114057774" </w:instrText>
              </w:r>
              <w:r>
                <w:fldChar w:fldCharType="separate"/>
              </w:r>
              <w:r>
                <w:rPr>
                  <w:rStyle w:val="19"/>
                  <w:rFonts w:ascii="宋体" w:hAnsi="宋体"/>
                  <w:sz w:val="24"/>
                  <w:szCs w:val="24"/>
                </w:rPr>
                <w:t>4公众“幸福感”的政府责任</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_Toc114057774 \h </w:instrText>
              </w:r>
              <w:r>
                <w:rPr>
                  <w:rFonts w:ascii="宋体" w:hAnsi="宋体"/>
                  <w:sz w:val="24"/>
                  <w:szCs w:val="24"/>
                </w:rPr>
                <w:fldChar w:fldCharType="separate"/>
              </w:r>
              <w:r>
                <w:rPr>
                  <w:rFonts w:ascii="宋体" w:hAnsi="宋体"/>
                  <w:sz w:val="24"/>
                  <w:szCs w:val="24"/>
                </w:rPr>
                <w:t>1392</w:t>
              </w:r>
              <w:r>
                <w:rPr>
                  <w:rFonts w:ascii="宋体" w:hAnsi="宋体"/>
                  <w:sz w:val="24"/>
                  <w:szCs w:val="24"/>
                </w:rPr>
                <w:fldChar w:fldCharType="end"/>
              </w:r>
              <w:r>
                <w:rPr>
                  <w:rFonts w:ascii="宋体" w:hAnsi="宋体"/>
                  <w:sz w:val="24"/>
                  <w:szCs w:val="24"/>
                </w:rPr>
                <w:fldChar w:fldCharType="end"/>
              </w:r>
            </w:p>
            <w:p w14:paraId="4B6A6C33">
              <w:pPr>
                <w:pStyle w:val="10"/>
                <w:tabs>
                  <w:tab w:val="right" w:leader="dot" w:pos="8240"/>
                </w:tabs>
                <w:rPr>
                  <w:rFonts w:ascii="宋体" w:hAnsi="宋体"/>
                  <w:sz w:val="24"/>
                  <w:szCs w:val="24"/>
                </w:rPr>
              </w:pPr>
              <w:r>
                <w:fldChar w:fldCharType="begin"/>
              </w:r>
              <w:r>
                <w:instrText xml:space="preserve"> HYPERLINK \l "_Toc114057775" </w:instrText>
              </w:r>
              <w:r>
                <w:fldChar w:fldCharType="separate"/>
              </w:r>
              <w:r>
                <w:rPr>
                  <w:rStyle w:val="19"/>
                  <w:rFonts w:ascii="宋体" w:hAnsi="宋体"/>
                  <w:sz w:val="24"/>
                  <w:szCs w:val="24"/>
                </w:rPr>
                <w:t>5中国模式是社会主义本质的中国实现形式</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_Toc114057775 \h </w:instrText>
              </w:r>
              <w:r>
                <w:rPr>
                  <w:rFonts w:ascii="宋体" w:hAnsi="宋体"/>
                  <w:sz w:val="24"/>
                  <w:szCs w:val="24"/>
                </w:rPr>
                <w:fldChar w:fldCharType="separate"/>
              </w:r>
              <w:r>
                <w:rPr>
                  <w:rFonts w:ascii="宋体" w:hAnsi="宋体"/>
                  <w:sz w:val="24"/>
                  <w:szCs w:val="24"/>
                </w:rPr>
                <w:t>1395</w:t>
              </w:r>
              <w:r>
                <w:rPr>
                  <w:rFonts w:ascii="宋体" w:hAnsi="宋体"/>
                  <w:sz w:val="24"/>
                  <w:szCs w:val="24"/>
                </w:rPr>
                <w:fldChar w:fldCharType="end"/>
              </w:r>
              <w:r>
                <w:rPr>
                  <w:rFonts w:ascii="宋体" w:hAnsi="宋体"/>
                  <w:sz w:val="24"/>
                  <w:szCs w:val="24"/>
                </w:rPr>
                <w:fldChar w:fldCharType="end"/>
              </w:r>
            </w:p>
            <w:p w14:paraId="560276DA">
              <w:pPr>
                <w:pStyle w:val="10"/>
                <w:tabs>
                  <w:tab w:val="right" w:leader="dot" w:pos="8240"/>
                </w:tabs>
                <w:rPr>
                  <w:rFonts w:ascii="宋体" w:hAnsi="宋体"/>
                  <w:sz w:val="24"/>
                  <w:szCs w:val="24"/>
                </w:rPr>
              </w:pPr>
              <w:r>
                <w:fldChar w:fldCharType="begin"/>
              </w:r>
              <w:r>
                <w:instrText xml:space="preserve"> HYPERLINK \l "_Toc114057776" </w:instrText>
              </w:r>
              <w:r>
                <w:fldChar w:fldCharType="separate"/>
              </w:r>
              <w:r>
                <w:rPr>
                  <w:rStyle w:val="19"/>
                  <w:rFonts w:ascii="宋体" w:hAnsi="宋体"/>
                  <w:sz w:val="24"/>
                  <w:szCs w:val="24"/>
                </w:rPr>
                <w:t>6新“房改”的未来方向</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_Toc114057776 \h </w:instrText>
              </w:r>
              <w:r>
                <w:rPr>
                  <w:rFonts w:ascii="宋体" w:hAnsi="宋体"/>
                  <w:sz w:val="24"/>
                  <w:szCs w:val="24"/>
                </w:rPr>
                <w:fldChar w:fldCharType="separate"/>
              </w:r>
              <w:r>
                <w:rPr>
                  <w:rFonts w:ascii="宋体" w:hAnsi="宋体"/>
                  <w:sz w:val="24"/>
                  <w:szCs w:val="24"/>
                </w:rPr>
                <w:t>1395</w:t>
              </w:r>
              <w:r>
                <w:rPr>
                  <w:rFonts w:ascii="宋体" w:hAnsi="宋体"/>
                  <w:sz w:val="24"/>
                  <w:szCs w:val="24"/>
                </w:rPr>
                <w:fldChar w:fldCharType="end"/>
              </w:r>
              <w:r>
                <w:rPr>
                  <w:rFonts w:ascii="宋体" w:hAnsi="宋体"/>
                  <w:sz w:val="24"/>
                  <w:szCs w:val="24"/>
                </w:rPr>
                <w:fldChar w:fldCharType="end"/>
              </w:r>
            </w:p>
            <w:p w14:paraId="7670273F">
              <w:pPr>
                <w:pStyle w:val="10"/>
                <w:tabs>
                  <w:tab w:val="right" w:leader="dot" w:pos="8240"/>
                </w:tabs>
                <w:rPr>
                  <w:rFonts w:ascii="宋体" w:hAnsi="宋体"/>
                  <w:sz w:val="24"/>
                  <w:szCs w:val="24"/>
                </w:rPr>
              </w:pPr>
              <w:r>
                <w:fldChar w:fldCharType="begin"/>
              </w:r>
              <w:r>
                <w:instrText xml:space="preserve"> HYPERLINK \l "_Toc114057777" </w:instrText>
              </w:r>
              <w:r>
                <w:fldChar w:fldCharType="separate"/>
              </w:r>
              <w:r>
                <w:rPr>
                  <w:rStyle w:val="19"/>
                  <w:rFonts w:ascii="宋体" w:hAnsi="宋体"/>
                  <w:sz w:val="24"/>
                  <w:szCs w:val="24"/>
                </w:rPr>
                <w:t>7当前西方金融和经济危机对世界资本主义生存和发展的影响</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_Toc114057777 \h </w:instrText>
              </w:r>
              <w:r>
                <w:rPr>
                  <w:rFonts w:ascii="宋体" w:hAnsi="宋体"/>
                  <w:sz w:val="24"/>
                  <w:szCs w:val="24"/>
                </w:rPr>
                <w:fldChar w:fldCharType="separate"/>
              </w:r>
              <w:r>
                <w:rPr>
                  <w:rFonts w:ascii="宋体" w:hAnsi="宋体"/>
                  <w:sz w:val="24"/>
                  <w:szCs w:val="24"/>
                </w:rPr>
                <w:t>1398</w:t>
              </w:r>
              <w:r>
                <w:rPr>
                  <w:rFonts w:ascii="宋体" w:hAnsi="宋体"/>
                  <w:sz w:val="24"/>
                  <w:szCs w:val="24"/>
                </w:rPr>
                <w:fldChar w:fldCharType="end"/>
              </w:r>
              <w:r>
                <w:rPr>
                  <w:rFonts w:ascii="宋体" w:hAnsi="宋体"/>
                  <w:sz w:val="24"/>
                  <w:szCs w:val="24"/>
                </w:rPr>
                <w:fldChar w:fldCharType="end"/>
              </w:r>
            </w:p>
            <w:p w14:paraId="7363C8CA">
              <w:pPr>
                <w:pStyle w:val="10"/>
                <w:tabs>
                  <w:tab w:val="right" w:leader="dot" w:pos="8240"/>
                </w:tabs>
                <w:rPr>
                  <w:rFonts w:ascii="宋体" w:hAnsi="宋体"/>
                  <w:sz w:val="24"/>
                  <w:szCs w:val="24"/>
                </w:rPr>
              </w:pPr>
              <w:r>
                <w:fldChar w:fldCharType="begin"/>
              </w:r>
              <w:r>
                <w:instrText xml:space="preserve"> HYPERLINK \l "_Toc114057778" </w:instrText>
              </w:r>
              <w:r>
                <w:fldChar w:fldCharType="separate"/>
              </w:r>
              <w:r>
                <w:rPr>
                  <w:rStyle w:val="19"/>
                  <w:rFonts w:ascii="宋体" w:hAnsi="宋体"/>
                  <w:sz w:val="24"/>
                  <w:szCs w:val="24"/>
                </w:rPr>
                <w:t>8、9转变对外经济发展方式的新开放策论</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_Toc114057778 \h </w:instrText>
              </w:r>
              <w:r>
                <w:rPr>
                  <w:rFonts w:ascii="宋体" w:hAnsi="宋体"/>
                  <w:sz w:val="24"/>
                  <w:szCs w:val="24"/>
                </w:rPr>
                <w:fldChar w:fldCharType="separate"/>
              </w:r>
              <w:r>
                <w:rPr>
                  <w:rFonts w:ascii="宋体" w:hAnsi="宋体"/>
                  <w:sz w:val="24"/>
                  <w:szCs w:val="24"/>
                </w:rPr>
                <w:t>1407</w:t>
              </w:r>
              <w:r>
                <w:rPr>
                  <w:rFonts w:ascii="宋体" w:hAnsi="宋体"/>
                  <w:sz w:val="24"/>
                  <w:szCs w:val="24"/>
                </w:rPr>
                <w:fldChar w:fldCharType="end"/>
              </w:r>
              <w:r>
                <w:rPr>
                  <w:rFonts w:ascii="宋体" w:hAnsi="宋体"/>
                  <w:sz w:val="24"/>
                  <w:szCs w:val="24"/>
                </w:rPr>
                <w:fldChar w:fldCharType="end"/>
              </w:r>
            </w:p>
            <w:p w14:paraId="294579BA">
              <w:pPr>
                <w:pStyle w:val="10"/>
                <w:tabs>
                  <w:tab w:val="right" w:leader="dot" w:pos="8240"/>
                </w:tabs>
                <w:rPr>
                  <w:rFonts w:ascii="宋体" w:hAnsi="宋体"/>
                  <w:sz w:val="24"/>
                  <w:szCs w:val="24"/>
                </w:rPr>
              </w:pPr>
              <w:r>
                <w:fldChar w:fldCharType="begin"/>
              </w:r>
              <w:r>
                <w:instrText xml:space="preserve"> HYPERLINK \l "_Toc114057779" </w:instrText>
              </w:r>
              <w:r>
                <w:fldChar w:fldCharType="separate"/>
              </w:r>
              <w:r>
                <w:rPr>
                  <w:rStyle w:val="19"/>
                  <w:rFonts w:ascii="宋体" w:hAnsi="宋体"/>
                  <w:sz w:val="24"/>
                  <w:szCs w:val="24"/>
                </w:rPr>
                <w:t>10论政府在功能收入分配和规模收入分配中的作用</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_Toc114057779 \h </w:instrText>
              </w:r>
              <w:r>
                <w:rPr>
                  <w:rFonts w:ascii="宋体" w:hAnsi="宋体"/>
                  <w:sz w:val="24"/>
                  <w:szCs w:val="24"/>
                </w:rPr>
                <w:fldChar w:fldCharType="separate"/>
              </w:r>
              <w:r>
                <w:rPr>
                  <w:rFonts w:ascii="宋体" w:hAnsi="宋体"/>
                  <w:sz w:val="24"/>
                  <w:szCs w:val="24"/>
                </w:rPr>
                <w:t>1424</w:t>
              </w:r>
              <w:r>
                <w:rPr>
                  <w:rFonts w:ascii="宋体" w:hAnsi="宋体"/>
                  <w:sz w:val="24"/>
                  <w:szCs w:val="24"/>
                </w:rPr>
                <w:fldChar w:fldCharType="end"/>
              </w:r>
              <w:r>
                <w:rPr>
                  <w:rFonts w:ascii="宋体" w:hAnsi="宋体"/>
                  <w:sz w:val="24"/>
                  <w:szCs w:val="24"/>
                </w:rPr>
                <w:fldChar w:fldCharType="end"/>
              </w:r>
            </w:p>
            <w:p w14:paraId="290AA2BE">
              <w:pPr>
                <w:pStyle w:val="10"/>
                <w:tabs>
                  <w:tab w:val="right" w:leader="dot" w:pos="8240"/>
                </w:tabs>
                <w:rPr>
                  <w:rFonts w:ascii="宋体" w:hAnsi="宋体"/>
                  <w:sz w:val="24"/>
                  <w:szCs w:val="24"/>
                </w:rPr>
              </w:pPr>
              <w:r>
                <w:fldChar w:fldCharType="begin"/>
              </w:r>
              <w:r>
                <w:instrText xml:space="preserve"> HYPERLINK \l "_Toc114057780" </w:instrText>
              </w:r>
              <w:r>
                <w:fldChar w:fldCharType="separate"/>
              </w:r>
              <w:r>
                <w:rPr>
                  <w:rStyle w:val="19"/>
                  <w:rFonts w:ascii="宋体" w:hAnsi="宋体"/>
                  <w:sz w:val="24"/>
                  <w:szCs w:val="24"/>
                </w:rPr>
                <w:t>11直面中国七大社会理论思潮</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_Toc114057780 \h </w:instrText>
              </w:r>
              <w:r>
                <w:rPr>
                  <w:rFonts w:ascii="宋体" w:hAnsi="宋体"/>
                  <w:sz w:val="24"/>
                  <w:szCs w:val="24"/>
                </w:rPr>
                <w:fldChar w:fldCharType="separate"/>
              </w:r>
              <w:r>
                <w:rPr>
                  <w:rFonts w:ascii="宋体" w:hAnsi="宋体"/>
                  <w:sz w:val="24"/>
                  <w:szCs w:val="24"/>
                </w:rPr>
                <w:t>1435</w:t>
              </w:r>
              <w:r>
                <w:rPr>
                  <w:rFonts w:ascii="宋体" w:hAnsi="宋体"/>
                  <w:sz w:val="24"/>
                  <w:szCs w:val="24"/>
                </w:rPr>
                <w:fldChar w:fldCharType="end"/>
              </w:r>
              <w:r>
                <w:rPr>
                  <w:rFonts w:ascii="宋体" w:hAnsi="宋体"/>
                  <w:sz w:val="24"/>
                  <w:szCs w:val="24"/>
                </w:rPr>
                <w:fldChar w:fldCharType="end"/>
              </w:r>
            </w:p>
            <w:p w14:paraId="488D8CAD">
              <w:pPr>
                <w:pStyle w:val="10"/>
                <w:tabs>
                  <w:tab w:val="right" w:leader="dot" w:pos="8240"/>
                </w:tabs>
                <w:rPr>
                  <w:rFonts w:ascii="宋体" w:hAnsi="宋体"/>
                  <w:sz w:val="24"/>
                  <w:szCs w:val="24"/>
                </w:rPr>
              </w:pPr>
              <w:r>
                <w:fldChar w:fldCharType="begin"/>
              </w:r>
              <w:r>
                <w:instrText xml:space="preserve"> HYPERLINK \l "_Toc114057781" </w:instrText>
              </w:r>
              <w:r>
                <w:fldChar w:fldCharType="separate"/>
              </w:r>
              <w:r>
                <w:rPr>
                  <w:rStyle w:val="19"/>
                  <w:rFonts w:ascii="宋体" w:hAnsi="宋体"/>
                  <w:sz w:val="24"/>
                  <w:szCs w:val="24"/>
                </w:rPr>
                <w:t>12政治经济学现代化的四个学术方向</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_Toc114057781 \h </w:instrText>
              </w:r>
              <w:r>
                <w:rPr>
                  <w:rFonts w:ascii="宋体" w:hAnsi="宋体"/>
                  <w:sz w:val="24"/>
                  <w:szCs w:val="24"/>
                </w:rPr>
                <w:fldChar w:fldCharType="separate"/>
              </w:r>
              <w:r>
                <w:rPr>
                  <w:rFonts w:ascii="宋体" w:hAnsi="宋体"/>
                  <w:sz w:val="24"/>
                  <w:szCs w:val="24"/>
                </w:rPr>
                <w:t>1438</w:t>
              </w:r>
              <w:r>
                <w:rPr>
                  <w:rFonts w:ascii="宋体" w:hAnsi="宋体"/>
                  <w:sz w:val="24"/>
                  <w:szCs w:val="24"/>
                </w:rPr>
                <w:fldChar w:fldCharType="end"/>
              </w:r>
              <w:r>
                <w:rPr>
                  <w:rFonts w:ascii="宋体" w:hAnsi="宋体"/>
                  <w:sz w:val="24"/>
                  <w:szCs w:val="24"/>
                </w:rPr>
                <w:fldChar w:fldCharType="end"/>
              </w:r>
            </w:p>
            <w:p w14:paraId="6A2A77CB">
              <w:pPr>
                <w:pStyle w:val="10"/>
                <w:tabs>
                  <w:tab w:val="right" w:leader="dot" w:pos="8240"/>
                </w:tabs>
                <w:rPr>
                  <w:rFonts w:ascii="宋体" w:hAnsi="宋体"/>
                  <w:sz w:val="24"/>
                  <w:szCs w:val="24"/>
                </w:rPr>
              </w:pPr>
              <w:r>
                <w:fldChar w:fldCharType="begin"/>
              </w:r>
              <w:r>
                <w:instrText xml:space="preserve"> HYPERLINK \l "_Toc114057782" </w:instrText>
              </w:r>
              <w:r>
                <w:fldChar w:fldCharType="separate"/>
              </w:r>
              <w:r>
                <w:rPr>
                  <w:rStyle w:val="19"/>
                  <w:rFonts w:ascii="宋体" w:hAnsi="宋体"/>
                  <w:sz w:val="24"/>
                  <w:szCs w:val="24"/>
                </w:rPr>
                <w:t>13马克思主义区域化的典型</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_Toc114057782 \h </w:instrText>
              </w:r>
              <w:r>
                <w:rPr>
                  <w:rFonts w:ascii="宋体" w:hAnsi="宋体"/>
                  <w:sz w:val="24"/>
                  <w:szCs w:val="24"/>
                </w:rPr>
                <w:fldChar w:fldCharType="separate"/>
              </w:r>
              <w:r>
                <w:rPr>
                  <w:rFonts w:ascii="宋体" w:hAnsi="宋体"/>
                  <w:sz w:val="24"/>
                  <w:szCs w:val="24"/>
                </w:rPr>
                <w:t>1444</w:t>
              </w:r>
              <w:r>
                <w:rPr>
                  <w:rFonts w:ascii="宋体" w:hAnsi="宋体"/>
                  <w:sz w:val="24"/>
                  <w:szCs w:val="24"/>
                </w:rPr>
                <w:fldChar w:fldCharType="end"/>
              </w:r>
              <w:r>
                <w:rPr>
                  <w:rFonts w:ascii="宋体" w:hAnsi="宋体"/>
                  <w:sz w:val="24"/>
                  <w:szCs w:val="24"/>
                </w:rPr>
                <w:fldChar w:fldCharType="end"/>
              </w:r>
            </w:p>
            <w:p w14:paraId="39EFC3E8">
              <w:pPr>
                <w:pStyle w:val="10"/>
                <w:tabs>
                  <w:tab w:val="right" w:leader="dot" w:pos="8240"/>
                </w:tabs>
                <w:rPr>
                  <w:rFonts w:ascii="宋体" w:hAnsi="宋体"/>
                  <w:sz w:val="24"/>
                  <w:szCs w:val="24"/>
                </w:rPr>
              </w:pPr>
              <w:r>
                <w:fldChar w:fldCharType="begin"/>
              </w:r>
              <w:r>
                <w:instrText xml:space="preserve"> HYPERLINK \l "_Toc114057783" </w:instrText>
              </w:r>
              <w:r>
                <w:fldChar w:fldCharType="separate"/>
              </w:r>
              <w:r>
                <w:rPr>
                  <w:rStyle w:val="19"/>
                  <w:rFonts w:ascii="宋体" w:hAnsi="宋体"/>
                  <w:sz w:val="24"/>
                  <w:szCs w:val="24"/>
                </w:rPr>
                <w:t>14中国模式若干基本问题初探</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_Toc114057783 \h </w:instrText>
              </w:r>
              <w:r>
                <w:rPr>
                  <w:rFonts w:ascii="宋体" w:hAnsi="宋体"/>
                  <w:sz w:val="24"/>
                  <w:szCs w:val="24"/>
                </w:rPr>
                <w:fldChar w:fldCharType="separate"/>
              </w:r>
              <w:r>
                <w:rPr>
                  <w:rFonts w:ascii="宋体" w:hAnsi="宋体"/>
                  <w:sz w:val="24"/>
                  <w:szCs w:val="24"/>
                </w:rPr>
                <w:t>1444</w:t>
              </w:r>
              <w:r>
                <w:rPr>
                  <w:rFonts w:ascii="宋体" w:hAnsi="宋体"/>
                  <w:sz w:val="24"/>
                  <w:szCs w:val="24"/>
                </w:rPr>
                <w:fldChar w:fldCharType="end"/>
              </w:r>
              <w:r>
                <w:rPr>
                  <w:rFonts w:ascii="宋体" w:hAnsi="宋体"/>
                  <w:sz w:val="24"/>
                  <w:szCs w:val="24"/>
                </w:rPr>
                <w:fldChar w:fldCharType="end"/>
              </w:r>
            </w:p>
            <w:p w14:paraId="40922744">
              <w:pPr>
                <w:pStyle w:val="10"/>
                <w:tabs>
                  <w:tab w:val="right" w:leader="dot" w:pos="8240"/>
                </w:tabs>
                <w:rPr>
                  <w:rFonts w:ascii="宋体" w:hAnsi="宋体"/>
                  <w:sz w:val="24"/>
                  <w:szCs w:val="24"/>
                </w:rPr>
              </w:pPr>
              <w:r>
                <w:fldChar w:fldCharType="begin"/>
              </w:r>
              <w:r>
                <w:instrText xml:space="preserve"> HYPERLINK \l "_Toc114057784" </w:instrText>
              </w:r>
              <w:r>
                <w:fldChar w:fldCharType="separate"/>
              </w:r>
              <w:r>
                <w:rPr>
                  <w:rStyle w:val="19"/>
                  <w:rFonts w:ascii="宋体" w:hAnsi="宋体"/>
                  <w:sz w:val="24"/>
                  <w:szCs w:val="24"/>
                </w:rPr>
                <w:t>15应对资本主义危机要超越新自由主义和凯恩斯主义</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_Toc114057784 \h </w:instrText>
              </w:r>
              <w:r>
                <w:rPr>
                  <w:rFonts w:ascii="宋体" w:hAnsi="宋体"/>
                  <w:sz w:val="24"/>
                  <w:szCs w:val="24"/>
                </w:rPr>
                <w:fldChar w:fldCharType="separate"/>
              </w:r>
              <w:r>
                <w:rPr>
                  <w:rFonts w:ascii="宋体" w:hAnsi="宋体"/>
                  <w:sz w:val="24"/>
                  <w:szCs w:val="24"/>
                </w:rPr>
                <w:t>1451</w:t>
              </w:r>
              <w:r>
                <w:rPr>
                  <w:rFonts w:ascii="宋体" w:hAnsi="宋体"/>
                  <w:sz w:val="24"/>
                  <w:szCs w:val="24"/>
                </w:rPr>
                <w:fldChar w:fldCharType="end"/>
              </w:r>
              <w:r>
                <w:rPr>
                  <w:rFonts w:ascii="宋体" w:hAnsi="宋体"/>
                  <w:sz w:val="24"/>
                  <w:szCs w:val="24"/>
                </w:rPr>
                <w:fldChar w:fldCharType="end"/>
              </w:r>
            </w:p>
            <w:p w14:paraId="495F063E">
              <w:pPr>
                <w:pStyle w:val="10"/>
                <w:tabs>
                  <w:tab w:val="right" w:leader="dot" w:pos="8240"/>
                </w:tabs>
                <w:rPr>
                  <w:rFonts w:ascii="宋体" w:hAnsi="宋体"/>
                  <w:sz w:val="24"/>
                  <w:szCs w:val="24"/>
                </w:rPr>
              </w:pPr>
              <w:r>
                <w:fldChar w:fldCharType="begin"/>
              </w:r>
              <w:r>
                <w:instrText xml:space="preserve"> HYPERLINK \l "_Toc114057785" </w:instrText>
              </w:r>
              <w:r>
                <w:fldChar w:fldCharType="separate"/>
              </w:r>
              <w:r>
                <w:rPr>
                  <w:rStyle w:val="19"/>
                  <w:rFonts w:ascii="宋体" w:hAnsi="宋体"/>
                  <w:sz w:val="24"/>
                  <w:szCs w:val="24"/>
                </w:rPr>
                <w:t>16做强做优的新国企策论——</w:t>
              </w:r>
              <w:r>
                <w:rPr>
                  <w:rStyle w:val="19"/>
                  <w:rFonts w:ascii="宋体" w:hAnsi="宋体" w:cs="Calibri"/>
                  <w:sz w:val="24"/>
                  <w:szCs w:val="24"/>
                </w:rPr>
                <w:t>“2011</w:t>
              </w:r>
              <w:r>
                <w:rPr>
                  <w:rStyle w:val="19"/>
                  <w:rFonts w:ascii="宋体" w:hAnsi="宋体"/>
                  <w:sz w:val="24"/>
                  <w:szCs w:val="24"/>
                </w:rPr>
                <w:t>中国国有经济发展论坛</w:t>
              </w:r>
              <w:r>
                <w:rPr>
                  <w:rStyle w:val="19"/>
                  <w:rFonts w:ascii="宋体" w:hAnsi="宋体" w:cs="Calibri"/>
                  <w:sz w:val="24"/>
                  <w:szCs w:val="24"/>
                </w:rPr>
                <w:t>”</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_Toc114057785 \h </w:instrText>
              </w:r>
              <w:r>
                <w:rPr>
                  <w:rFonts w:ascii="宋体" w:hAnsi="宋体"/>
                  <w:sz w:val="24"/>
                  <w:szCs w:val="24"/>
                </w:rPr>
                <w:fldChar w:fldCharType="separate"/>
              </w:r>
              <w:r>
                <w:rPr>
                  <w:rFonts w:ascii="宋体" w:hAnsi="宋体"/>
                  <w:sz w:val="24"/>
                  <w:szCs w:val="24"/>
                </w:rPr>
                <w:t>1454</w:t>
              </w:r>
              <w:r>
                <w:rPr>
                  <w:rFonts w:ascii="宋体" w:hAnsi="宋体"/>
                  <w:sz w:val="24"/>
                  <w:szCs w:val="24"/>
                </w:rPr>
                <w:fldChar w:fldCharType="end"/>
              </w:r>
              <w:r>
                <w:rPr>
                  <w:rFonts w:ascii="宋体" w:hAnsi="宋体"/>
                  <w:sz w:val="24"/>
                  <w:szCs w:val="24"/>
                </w:rPr>
                <w:fldChar w:fldCharType="end"/>
              </w:r>
            </w:p>
            <w:p w14:paraId="4953CA83">
              <w:pPr>
                <w:pStyle w:val="10"/>
                <w:tabs>
                  <w:tab w:val="right" w:leader="dot" w:pos="8240"/>
                </w:tabs>
                <w:rPr>
                  <w:rFonts w:ascii="宋体" w:hAnsi="宋体"/>
                  <w:sz w:val="24"/>
                  <w:szCs w:val="24"/>
                </w:rPr>
              </w:pPr>
              <w:r>
                <w:fldChar w:fldCharType="begin"/>
              </w:r>
              <w:r>
                <w:instrText xml:space="preserve"> HYPERLINK \l "_Toc114057786" </w:instrText>
              </w:r>
              <w:r>
                <w:fldChar w:fldCharType="separate"/>
              </w:r>
              <w:r>
                <w:rPr>
                  <w:rStyle w:val="19"/>
                  <w:rFonts w:ascii="宋体" w:hAnsi="宋体"/>
                  <w:sz w:val="24"/>
                  <w:szCs w:val="24"/>
                </w:rPr>
                <w:t>17西方马克思主义经济学家关于资本主义制度及其命运的研究</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_Toc114057786 \h </w:instrText>
              </w:r>
              <w:r>
                <w:rPr>
                  <w:rFonts w:ascii="宋体" w:hAnsi="宋体"/>
                  <w:sz w:val="24"/>
                  <w:szCs w:val="24"/>
                </w:rPr>
                <w:fldChar w:fldCharType="separate"/>
              </w:r>
              <w:r>
                <w:rPr>
                  <w:rFonts w:ascii="宋体" w:hAnsi="宋体"/>
                  <w:sz w:val="24"/>
                  <w:szCs w:val="24"/>
                </w:rPr>
                <w:t>1454</w:t>
              </w:r>
              <w:r>
                <w:rPr>
                  <w:rFonts w:ascii="宋体" w:hAnsi="宋体"/>
                  <w:sz w:val="24"/>
                  <w:szCs w:val="24"/>
                </w:rPr>
                <w:fldChar w:fldCharType="end"/>
              </w:r>
              <w:r>
                <w:rPr>
                  <w:rFonts w:ascii="宋体" w:hAnsi="宋体"/>
                  <w:sz w:val="24"/>
                  <w:szCs w:val="24"/>
                </w:rPr>
                <w:fldChar w:fldCharType="end"/>
              </w:r>
            </w:p>
            <w:p w14:paraId="64F4EA03">
              <w:pPr>
                <w:pStyle w:val="10"/>
                <w:tabs>
                  <w:tab w:val="right" w:leader="dot" w:pos="8240"/>
                </w:tabs>
                <w:rPr>
                  <w:rFonts w:ascii="宋体" w:hAnsi="宋体"/>
                  <w:sz w:val="24"/>
                  <w:szCs w:val="24"/>
                </w:rPr>
              </w:pPr>
              <w:r>
                <w:fldChar w:fldCharType="begin"/>
              </w:r>
              <w:r>
                <w:instrText xml:space="preserve"> HYPERLINK \l "_Toc114057787" </w:instrText>
              </w:r>
              <w:r>
                <w:fldChar w:fldCharType="separate"/>
              </w:r>
              <w:r>
                <w:rPr>
                  <w:rStyle w:val="19"/>
                  <w:rFonts w:ascii="宋体" w:hAnsi="宋体"/>
                  <w:sz w:val="24"/>
                  <w:szCs w:val="24"/>
                </w:rPr>
                <w:t>18苏联剧变主要原因的系统分析</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_Toc114057787 \h </w:instrText>
              </w:r>
              <w:r>
                <w:rPr>
                  <w:rFonts w:ascii="宋体" w:hAnsi="宋体"/>
                  <w:sz w:val="24"/>
                  <w:szCs w:val="24"/>
                </w:rPr>
                <w:fldChar w:fldCharType="separate"/>
              </w:r>
              <w:r>
                <w:rPr>
                  <w:rFonts w:ascii="宋体" w:hAnsi="宋体"/>
                  <w:sz w:val="24"/>
                  <w:szCs w:val="24"/>
                </w:rPr>
                <w:t>1465</w:t>
              </w:r>
              <w:r>
                <w:rPr>
                  <w:rFonts w:ascii="宋体" w:hAnsi="宋体"/>
                  <w:sz w:val="24"/>
                  <w:szCs w:val="24"/>
                </w:rPr>
                <w:fldChar w:fldCharType="end"/>
              </w:r>
              <w:r>
                <w:rPr>
                  <w:rFonts w:ascii="宋体" w:hAnsi="宋体"/>
                  <w:sz w:val="24"/>
                  <w:szCs w:val="24"/>
                </w:rPr>
                <w:fldChar w:fldCharType="end"/>
              </w:r>
            </w:p>
            <w:p w14:paraId="4AD4E042">
              <w:pPr>
                <w:pStyle w:val="10"/>
                <w:tabs>
                  <w:tab w:val="right" w:leader="dot" w:pos="8240"/>
                </w:tabs>
                <w:rPr>
                  <w:rFonts w:ascii="宋体" w:hAnsi="宋体"/>
                  <w:sz w:val="24"/>
                  <w:szCs w:val="24"/>
                </w:rPr>
              </w:pPr>
              <w:r>
                <w:fldChar w:fldCharType="begin"/>
              </w:r>
              <w:r>
                <w:instrText xml:space="preserve"> HYPERLINK \l "_Toc114057788" </w:instrText>
              </w:r>
              <w:r>
                <w:fldChar w:fldCharType="separate"/>
              </w:r>
              <w:r>
                <w:rPr>
                  <w:rStyle w:val="19"/>
                  <w:rFonts w:ascii="宋体" w:hAnsi="宋体"/>
                  <w:sz w:val="24"/>
                  <w:szCs w:val="24"/>
                </w:rPr>
                <w:t>19面对各种挑战，继续坚持和完善社会主义经济体制和机制</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_Toc114057788 \h </w:instrText>
              </w:r>
              <w:r>
                <w:rPr>
                  <w:rFonts w:ascii="宋体" w:hAnsi="宋体"/>
                  <w:sz w:val="24"/>
                  <w:szCs w:val="24"/>
                </w:rPr>
                <w:fldChar w:fldCharType="separate"/>
              </w:r>
              <w:r>
                <w:rPr>
                  <w:rFonts w:ascii="宋体" w:hAnsi="宋体"/>
                  <w:sz w:val="24"/>
                  <w:szCs w:val="24"/>
                </w:rPr>
                <w:t>1480</w:t>
              </w:r>
              <w:r>
                <w:rPr>
                  <w:rFonts w:ascii="宋体" w:hAnsi="宋体"/>
                  <w:sz w:val="24"/>
                  <w:szCs w:val="24"/>
                </w:rPr>
                <w:fldChar w:fldCharType="end"/>
              </w:r>
              <w:r>
                <w:rPr>
                  <w:rFonts w:ascii="宋体" w:hAnsi="宋体"/>
                  <w:sz w:val="24"/>
                  <w:szCs w:val="24"/>
                </w:rPr>
                <w:fldChar w:fldCharType="end"/>
              </w:r>
            </w:p>
            <w:p w14:paraId="55848BD9">
              <w:pPr>
                <w:pStyle w:val="10"/>
                <w:tabs>
                  <w:tab w:val="right" w:leader="dot" w:pos="8240"/>
                </w:tabs>
                <w:rPr>
                  <w:rFonts w:ascii="宋体" w:hAnsi="宋体"/>
                  <w:sz w:val="24"/>
                  <w:szCs w:val="24"/>
                </w:rPr>
              </w:pPr>
              <w:r>
                <w:fldChar w:fldCharType="begin"/>
              </w:r>
              <w:r>
                <w:instrText xml:space="preserve"> HYPERLINK \l "_Toc114057789" </w:instrText>
              </w:r>
              <w:r>
                <w:fldChar w:fldCharType="separate"/>
              </w:r>
              <w:r>
                <w:rPr>
                  <w:rStyle w:val="19"/>
                  <w:rFonts w:ascii="宋体" w:hAnsi="宋体"/>
                  <w:sz w:val="24"/>
                  <w:szCs w:val="24"/>
                </w:rPr>
                <w:t>20城市以公租房为主的“新住房策论”</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_Toc114057789 \h </w:instrText>
              </w:r>
              <w:r>
                <w:rPr>
                  <w:rFonts w:ascii="宋体" w:hAnsi="宋体"/>
                  <w:sz w:val="24"/>
                  <w:szCs w:val="24"/>
                </w:rPr>
                <w:fldChar w:fldCharType="separate"/>
              </w:r>
              <w:r>
                <w:rPr>
                  <w:rFonts w:ascii="宋体" w:hAnsi="宋体"/>
                  <w:sz w:val="24"/>
                  <w:szCs w:val="24"/>
                </w:rPr>
                <w:t>1487</w:t>
              </w:r>
              <w:r>
                <w:rPr>
                  <w:rFonts w:ascii="宋体" w:hAnsi="宋体"/>
                  <w:sz w:val="24"/>
                  <w:szCs w:val="24"/>
                </w:rPr>
                <w:fldChar w:fldCharType="end"/>
              </w:r>
              <w:r>
                <w:rPr>
                  <w:rFonts w:ascii="宋体" w:hAnsi="宋体"/>
                  <w:sz w:val="24"/>
                  <w:szCs w:val="24"/>
                </w:rPr>
                <w:fldChar w:fldCharType="end"/>
              </w:r>
            </w:p>
            <w:p w14:paraId="6C6ACA92">
              <w:pPr>
                <w:pStyle w:val="10"/>
                <w:tabs>
                  <w:tab w:val="right" w:leader="dot" w:pos="8240"/>
                </w:tabs>
                <w:rPr>
                  <w:rFonts w:ascii="宋体" w:hAnsi="宋体"/>
                  <w:sz w:val="24"/>
                  <w:szCs w:val="24"/>
                </w:rPr>
              </w:pPr>
              <w:r>
                <w:fldChar w:fldCharType="begin"/>
              </w:r>
              <w:r>
                <w:instrText xml:space="preserve"> HYPERLINK \l "_Toc114057790" </w:instrText>
              </w:r>
              <w:r>
                <w:fldChar w:fldCharType="separate"/>
              </w:r>
              <w:r>
                <w:rPr>
                  <w:rStyle w:val="19"/>
                  <w:rFonts w:ascii="宋体" w:hAnsi="宋体"/>
                  <w:sz w:val="24"/>
                  <w:szCs w:val="24"/>
                </w:rPr>
                <w:t>21马列主义及其中国化理论的科学实践——谈重庆经验与模式</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_Toc114057790 \h </w:instrText>
              </w:r>
              <w:r>
                <w:rPr>
                  <w:rFonts w:ascii="宋体" w:hAnsi="宋体"/>
                  <w:sz w:val="24"/>
                  <w:szCs w:val="24"/>
                </w:rPr>
                <w:fldChar w:fldCharType="separate"/>
              </w:r>
              <w:r>
                <w:rPr>
                  <w:rFonts w:ascii="宋体" w:hAnsi="宋体"/>
                  <w:sz w:val="24"/>
                  <w:szCs w:val="24"/>
                </w:rPr>
                <w:t>1497</w:t>
              </w:r>
              <w:r>
                <w:rPr>
                  <w:rFonts w:ascii="宋体" w:hAnsi="宋体"/>
                  <w:sz w:val="24"/>
                  <w:szCs w:val="24"/>
                </w:rPr>
                <w:fldChar w:fldCharType="end"/>
              </w:r>
              <w:r>
                <w:rPr>
                  <w:rFonts w:ascii="宋体" w:hAnsi="宋体"/>
                  <w:sz w:val="24"/>
                  <w:szCs w:val="24"/>
                </w:rPr>
                <w:fldChar w:fldCharType="end"/>
              </w:r>
            </w:p>
            <w:p w14:paraId="5C4D12A6">
              <w:pPr>
                <w:pStyle w:val="10"/>
                <w:tabs>
                  <w:tab w:val="right" w:leader="dot" w:pos="8240"/>
                </w:tabs>
                <w:rPr>
                  <w:rFonts w:ascii="宋体" w:hAnsi="宋体"/>
                  <w:sz w:val="24"/>
                  <w:szCs w:val="24"/>
                </w:rPr>
              </w:pPr>
              <w:r>
                <w:fldChar w:fldCharType="begin"/>
              </w:r>
              <w:r>
                <w:instrText xml:space="preserve"> HYPERLINK \l "_Toc114057791" </w:instrText>
              </w:r>
              <w:r>
                <w:fldChar w:fldCharType="separate"/>
              </w:r>
              <w:r>
                <w:rPr>
                  <w:rStyle w:val="19"/>
                  <w:rFonts w:ascii="宋体" w:hAnsi="宋体"/>
                  <w:sz w:val="24"/>
                  <w:szCs w:val="24"/>
                </w:rPr>
                <w:t>2012年</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_Toc114057791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3EAACF14">
              <w:pPr>
                <w:pStyle w:val="10"/>
                <w:tabs>
                  <w:tab w:val="right" w:leader="dot" w:pos="8240"/>
                </w:tabs>
                <w:rPr>
                  <w:rFonts w:ascii="宋体" w:hAnsi="宋体"/>
                  <w:sz w:val="24"/>
                  <w:szCs w:val="24"/>
                </w:rPr>
              </w:pPr>
              <w:r>
                <w:fldChar w:fldCharType="begin"/>
              </w:r>
              <w:r>
                <w:instrText xml:space="preserve"> HYPERLINK \l "_Toc114057792" </w:instrText>
              </w:r>
              <w:r>
                <w:fldChar w:fldCharType="separate"/>
              </w:r>
              <w:r>
                <w:rPr>
                  <w:rStyle w:val="19"/>
                  <w:rFonts w:ascii="宋体" w:hAnsi="宋体"/>
                  <w:sz w:val="24"/>
                  <w:szCs w:val="24"/>
                </w:rPr>
                <w:t>1马克思“重建个人所有制”的思想探析</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_Toc114057792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35FE59A0">
              <w:pPr>
                <w:pStyle w:val="10"/>
                <w:tabs>
                  <w:tab w:val="right" w:leader="dot" w:pos="8240"/>
                </w:tabs>
                <w:rPr>
                  <w:rFonts w:ascii="宋体" w:hAnsi="宋体"/>
                  <w:sz w:val="24"/>
                  <w:szCs w:val="24"/>
                </w:rPr>
              </w:pPr>
              <w:r>
                <w:fldChar w:fldCharType="begin"/>
              </w:r>
              <w:r>
                <w:instrText xml:space="preserve"> HYPERLINK \l "_Toc114057793" </w:instrText>
              </w:r>
              <w:r>
                <w:fldChar w:fldCharType="separate"/>
              </w:r>
              <w:r>
                <w:rPr>
                  <w:rStyle w:val="19"/>
                  <w:rFonts w:ascii="宋体" w:hAnsi="宋体"/>
                  <w:sz w:val="24"/>
                  <w:szCs w:val="24"/>
                </w:rPr>
                <w:t>2金融危机催生变革资本主义思潮</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_Toc114057793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79889E6C">
              <w:pPr>
                <w:pStyle w:val="10"/>
                <w:tabs>
                  <w:tab w:val="right" w:leader="dot" w:pos="8240"/>
                </w:tabs>
                <w:rPr>
                  <w:rFonts w:ascii="宋体" w:hAnsi="宋体"/>
                  <w:sz w:val="24"/>
                  <w:szCs w:val="24"/>
                </w:rPr>
              </w:pPr>
              <w:r>
                <w:fldChar w:fldCharType="begin"/>
              </w:r>
              <w:r>
                <w:instrText xml:space="preserve"> HYPERLINK \l "_Toc114057794" </w:instrText>
              </w:r>
              <w:r>
                <w:fldChar w:fldCharType="separate"/>
              </w:r>
              <w:r>
                <w:rPr>
                  <w:rStyle w:val="19"/>
                  <w:rFonts w:ascii="宋体" w:hAnsi="宋体"/>
                  <w:sz w:val="24"/>
                  <w:szCs w:val="24"/>
                </w:rPr>
                <w:t>3国企与民企要同舟共进</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_Toc114057794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2CDA8BE1">
              <w:pPr>
                <w:pStyle w:val="10"/>
                <w:tabs>
                  <w:tab w:val="right" w:leader="dot" w:pos="8240"/>
                </w:tabs>
                <w:rPr>
                  <w:rFonts w:ascii="宋体" w:hAnsi="宋体"/>
                  <w:sz w:val="24"/>
                  <w:szCs w:val="24"/>
                </w:rPr>
              </w:pPr>
              <w:r>
                <w:fldChar w:fldCharType="begin"/>
              </w:r>
              <w:r>
                <w:instrText xml:space="preserve"> HYPERLINK \l "_Toc114057795" </w:instrText>
              </w:r>
              <w:r>
                <w:fldChar w:fldCharType="separate"/>
              </w:r>
              <w:r>
                <w:rPr>
                  <w:rStyle w:val="19"/>
                  <w:rFonts w:ascii="宋体" w:hAnsi="宋体"/>
                  <w:sz w:val="24"/>
                  <w:szCs w:val="24"/>
                </w:rPr>
                <w:t>4中国理论亟需自主创新五大原因</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_Toc114057795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4932665E">
              <w:pPr>
                <w:pStyle w:val="10"/>
                <w:tabs>
                  <w:tab w:val="right" w:leader="dot" w:pos="8240"/>
                </w:tabs>
                <w:rPr>
                  <w:rFonts w:ascii="宋体" w:hAnsi="宋体"/>
                  <w:sz w:val="24"/>
                  <w:szCs w:val="24"/>
                </w:rPr>
              </w:pPr>
              <w:r>
                <w:fldChar w:fldCharType="begin"/>
              </w:r>
              <w:r>
                <w:instrText xml:space="preserve"> HYPERLINK \l "_Toc114057796" </w:instrText>
              </w:r>
              <w:r>
                <w:fldChar w:fldCharType="separate"/>
              </w:r>
              <w:r>
                <w:rPr>
                  <w:rStyle w:val="19"/>
                  <w:rFonts w:ascii="宋体" w:hAnsi="宋体"/>
                  <w:b/>
                  <w:sz w:val="24"/>
                  <w:szCs w:val="24"/>
                </w:rPr>
                <w:t>5当前西方资本主义危机引发的困境及其出路</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_Toc114057796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6549F307">
              <w:pPr>
                <w:pStyle w:val="10"/>
                <w:tabs>
                  <w:tab w:val="right" w:leader="dot" w:pos="8240"/>
                </w:tabs>
                <w:rPr>
                  <w:rFonts w:ascii="宋体" w:hAnsi="宋体"/>
                  <w:sz w:val="24"/>
                  <w:szCs w:val="24"/>
                </w:rPr>
              </w:pPr>
              <w:r>
                <w:fldChar w:fldCharType="begin"/>
              </w:r>
              <w:r>
                <w:instrText xml:space="preserve"> HYPERLINK \l "_Toc114057797" </w:instrText>
              </w:r>
              <w:r>
                <w:fldChar w:fldCharType="separate"/>
              </w:r>
              <w:r>
                <w:rPr>
                  <w:rStyle w:val="19"/>
                  <w:rFonts w:ascii="宋体" w:hAnsi="宋体"/>
                  <w:sz w:val="24"/>
                  <w:szCs w:val="24"/>
                </w:rPr>
                <w:t>6我国劳动力资源变动趋势与预测</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_Toc114057797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39466139">
              <w:pPr>
                <w:pStyle w:val="10"/>
                <w:tabs>
                  <w:tab w:val="right" w:leader="dot" w:pos="8240"/>
                </w:tabs>
                <w:rPr>
                  <w:rFonts w:ascii="宋体" w:hAnsi="宋体"/>
                  <w:sz w:val="24"/>
                  <w:szCs w:val="24"/>
                </w:rPr>
              </w:pPr>
              <w:r>
                <w:fldChar w:fldCharType="begin"/>
              </w:r>
              <w:r>
                <w:instrText xml:space="preserve"> HYPERLINK \l "_Toc114057798" </w:instrText>
              </w:r>
              <w:r>
                <w:fldChar w:fldCharType="separate"/>
              </w:r>
              <w:r>
                <w:rPr>
                  <w:rStyle w:val="19"/>
                  <w:rFonts w:ascii="宋体" w:hAnsi="宋体"/>
                  <w:sz w:val="24"/>
                  <w:szCs w:val="24"/>
                </w:rPr>
                <w:t>7不敢正视的矛盾根源</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_Toc114057798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3AC58890">
              <w:pPr>
                <w:pStyle w:val="10"/>
                <w:tabs>
                  <w:tab w:val="right" w:leader="dot" w:pos="8240"/>
                </w:tabs>
                <w:rPr>
                  <w:rFonts w:ascii="宋体" w:hAnsi="宋体"/>
                  <w:sz w:val="24"/>
                  <w:szCs w:val="24"/>
                </w:rPr>
              </w:pPr>
              <w:r>
                <w:fldChar w:fldCharType="begin"/>
              </w:r>
              <w:r>
                <w:instrText xml:space="preserve"> HYPERLINK \l "_Toc114057799" </w:instrText>
              </w:r>
              <w:r>
                <w:fldChar w:fldCharType="separate"/>
              </w:r>
              <w:r>
                <w:rPr>
                  <w:rStyle w:val="19"/>
                  <w:rFonts w:ascii="宋体" w:hAnsi="宋体"/>
                  <w:sz w:val="24"/>
                  <w:szCs w:val="24"/>
                </w:rPr>
                <w:t>8“国家资本主义”乱贴标签用意何在？</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_Toc114057799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362858FE">
              <w:pPr>
                <w:pStyle w:val="10"/>
                <w:tabs>
                  <w:tab w:val="right" w:leader="dot" w:pos="8240"/>
                </w:tabs>
                <w:rPr>
                  <w:rFonts w:ascii="宋体" w:hAnsi="宋体"/>
                  <w:sz w:val="24"/>
                  <w:szCs w:val="24"/>
                </w:rPr>
              </w:pPr>
              <w:r>
                <w:fldChar w:fldCharType="begin"/>
              </w:r>
              <w:r>
                <w:instrText xml:space="preserve"> HYPERLINK \l "_Toc114057800" </w:instrText>
              </w:r>
              <w:r>
                <w:fldChar w:fldCharType="separate"/>
              </w:r>
              <w:r>
                <w:rPr>
                  <w:rStyle w:val="19"/>
                  <w:rFonts w:ascii="宋体" w:hAnsi="宋体"/>
                  <w:sz w:val="24"/>
                  <w:szCs w:val="24"/>
                </w:rPr>
                <w:t>9要高度重视邓小平关于两个“三个有利于”重要思想</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_Toc114057800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420FE417">
              <w:pPr>
                <w:pStyle w:val="10"/>
                <w:tabs>
                  <w:tab w:val="right" w:leader="dot" w:pos="8240"/>
                </w:tabs>
                <w:rPr>
                  <w:rFonts w:ascii="宋体" w:hAnsi="宋体"/>
                  <w:sz w:val="24"/>
                  <w:szCs w:val="24"/>
                </w:rPr>
              </w:pPr>
              <w:r>
                <w:fldChar w:fldCharType="begin"/>
              </w:r>
              <w:r>
                <w:instrText xml:space="preserve"> HYPERLINK \l "_Toc114057801" </w:instrText>
              </w:r>
              <w:r>
                <w:fldChar w:fldCharType="separate"/>
              </w:r>
              <w:r>
                <w:rPr>
                  <w:rStyle w:val="19"/>
                  <w:rFonts w:ascii="宋体" w:hAnsi="宋体"/>
                  <w:sz w:val="24"/>
                  <w:szCs w:val="24"/>
                </w:rPr>
                <w:t>10论中国模式改革的若干基本问题</w:t>
              </w:r>
              <w:r>
                <w:rPr>
                  <w:rStyle w:val="19"/>
                  <w:rFonts w:ascii="宋体" w:hAnsi="宋体"/>
                  <w:kern w:val="0"/>
                  <w:sz w:val="24"/>
                  <w:szCs w:val="24"/>
                </w:rPr>
                <w:t>——兼议若干疑惑</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_Toc114057801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33E3681C">
              <w:pPr>
                <w:pStyle w:val="10"/>
                <w:tabs>
                  <w:tab w:val="right" w:leader="dot" w:pos="8240"/>
                </w:tabs>
                <w:rPr>
                  <w:rFonts w:ascii="宋体" w:hAnsi="宋体"/>
                  <w:sz w:val="24"/>
                  <w:szCs w:val="24"/>
                </w:rPr>
              </w:pPr>
              <w:r>
                <w:fldChar w:fldCharType="begin"/>
              </w:r>
              <w:r>
                <w:instrText xml:space="preserve"> HYPERLINK \l "_Toc114057802" </w:instrText>
              </w:r>
              <w:r>
                <w:fldChar w:fldCharType="separate"/>
              </w:r>
              <w:r>
                <w:rPr>
                  <w:rStyle w:val="19"/>
                  <w:rFonts w:ascii="宋体" w:hAnsi="宋体"/>
                  <w:b/>
                  <w:sz w:val="24"/>
                  <w:szCs w:val="24"/>
                </w:rPr>
                <w:t>11社会主义共同富裕的理论解读与实践剖析</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_Toc114057802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3472CAEF">
              <w:pPr>
                <w:pStyle w:val="10"/>
                <w:tabs>
                  <w:tab w:val="right" w:leader="dot" w:pos="8240"/>
                </w:tabs>
                <w:rPr>
                  <w:rFonts w:ascii="宋体" w:hAnsi="宋体"/>
                  <w:sz w:val="24"/>
                  <w:szCs w:val="24"/>
                </w:rPr>
              </w:pPr>
              <w:r>
                <w:fldChar w:fldCharType="begin"/>
              </w:r>
              <w:r>
                <w:instrText xml:space="preserve"> HYPERLINK \l "_Toc114057803" </w:instrText>
              </w:r>
              <w:r>
                <w:fldChar w:fldCharType="separate"/>
              </w:r>
              <w:r>
                <w:rPr>
                  <w:rStyle w:val="19"/>
                  <w:rFonts w:ascii="宋体" w:hAnsi="宋体"/>
                  <w:b/>
                  <w:sz w:val="24"/>
                  <w:szCs w:val="24"/>
                </w:rPr>
                <w:t>12评国有经济退出竞争领域论</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_Toc114057803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3D7AA205">
              <w:pPr>
                <w:pStyle w:val="10"/>
                <w:tabs>
                  <w:tab w:val="right" w:leader="dot" w:pos="8240"/>
                </w:tabs>
                <w:rPr>
                  <w:rFonts w:ascii="宋体" w:hAnsi="宋体"/>
                  <w:sz w:val="24"/>
                  <w:szCs w:val="24"/>
                </w:rPr>
              </w:pPr>
              <w:r>
                <w:fldChar w:fldCharType="begin"/>
              </w:r>
              <w:r>
                <w:instrText xml:space="preserve"> HYPERLINK \l "_Toc114057804" </w:instrText>
              </w:r>
              <w:r>
                <w:fldChar w:fldCharType="separate"/>
              </w:r>
              <w:r>
                <w:rPr>
                  <w:rStyle w:val="19"/>
                  <w:rFonts w:ascii="宋体" w:hAnsi="宋体"/>
                  <w:sz w:val="24"/>
                  <w:szCs w:val="24"/>
                </w:rPr>
                <w:t>13深化经济改革的首要任务绝不是国有企业私有化</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_Toc114057804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20216B86">
              <w:pPr>
                <w:pStyle w:val="10"/>
                <w:tabs>
                  <w:tab w:val="right" w:leader="dot" w:pos="8240"/>
                </w:tabs>
                <w:rPr>
                  <w:rFonts w:ascii="宋体" w:hAnsi="宋体"/>
                  <w:sz w:val="24"/>
                  <w:szCs w:val="24"/>
                </w:rPr>
              </w:pPr>
              <w:r>
                <w:fldChar w:fldCharType="begin"/>
              </w:r>
              <w:r>
                <w:instrText xml:space="preserve"> HYPERLINK \l "_Toc114057805" </w:instrText>
              </w:r>
              <w:r>
                <w:fldChar w:fldCharType="separate"/>
              </w:r>
              <w:r>
                <w:rPr>
                  <w:rStyle w:val="19"/>
                  <w:rFonts w:ascii="宋体" w:hAnsi="宋体"/>
                  <w:sz w:val="24"/>
                  <w:szCs w:val="24"/>
                </w:rPr>
                <w:t>14拜物教批判理论与马克思共产主义学说</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_Toc114057805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089A584D">
              <w:pPr>
                <w:pStyle w:val="10"/>
                <w:tabs>
                  <w:tab w:val="right" w:leader="dot" w:pos="8240"/>
                </w:tabs>
                <w:rPr>
                  <w:rFonts w:ascii="宋体" w:hAnsi="宋体"/>
                  <w:sz w:val="24"/>
                  <w:szCs w:val="24"/>
                </w:rPr>
              </w:pPr>
              <w:r>
                <w:fldChar w:fldCharType="begin"/>
              </w:r>
              <w:r>
                <w:instrText xml:space="preserve"> HYPERLINK \l "_Toc114057806" </w:instrText>
              </w:r>
              <w:r>
                <w:fldChar w:fldCharType="separate"/>
              </w:r>
              <w:r>
                <w:rPr>
                  <w:rStyle w:val="19"/>
                  <w:rFonts w:ascii="宋体" w:hAnsi="宋体"/>
                  <w:sz w:val="24"/>
                  <w:szCs w:val="24"/>
                </w:rPr>
                <w:t>15以社会主义核心价值体系引领我国文化大发展大繁荣</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_Toc114057806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697123F6">
              <w:pPr>
                <w:pStyle w:val="10"/>
                <w:tabs>
                  <w:tab w:val="right" w:leader="dot" w:pos="8240"/>
                </w:tabs>
                <w:rPr>
                  <w:rFonts w:ascii="宋体" w:hAnsi="宋体"/>
                  <w:sz w:val="24"/>
                  <w:szCs w:val="24"/>
                </w:rPr>
              </w:pPr>
              <w:r>
                <w:fldChar w:fldCharType="begin"/>
              </w:r>
              <w:r>
                <w:instrText xml:space="preserve"> HYPERLINK \l "_Toc114057807" </w:instrText>
              </w:r>
              <w:r>
                <w:fldChar w:fldCharType="separate"/>
              </w:r>
              <w:r>
                <w:rPr>
                  <w:rStyle w:val="19"/>
                  <w:rFonts w:ascii="宋体" w:hAnsi="宋体"/>
                  <w:sz w:val="24"/>
                  <w:szCs w:val="24"/>
                </w:rPr>
                <w:t>16关于党的指导思想的表述探讨——为迎接党的十八大而作</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_Toc114057807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6CC7E49E">
              <w:pPr>
                <w:pStyle w:val="10"/>
                <w:tabs>
                  <w:tab w:val="right" w:leader="dot" w:pos="8240"/>
                </w:tabs>
                <w:rPr>
                  <w:rFonts w:ascii="宋体" w:hAnsi="宋体"/>
                  <w:sz w:val="24"/>
                  <w:szCs w:val="24"/>
                </w:rPr>
              </w:pPr>
              <w:r>
                <w:fldChar w:fldCharType="begin"/>
              </w:r>
              <w:r>
                <w:instrText xml:space="preserve"> HYPERLINK \l "_Toc114057808" </w:instrText>
              </w:r>
              <w:r>
                <w:fldChar w:fldCharType="separate"/>
              </w:r>
              <w:r>
                <w:rPr>
                  <w:rStyle w:val="19"/>
                  <w:rFonts w:ascii="宋体" w:hAnsi="宋体"/>
                  <w:sz w:val="24"/>
                  <w:szCs w:val="24"/>
                </w:rPr>
                <w:t>17评析“国有经济低效论”和“国有企业垄断论”</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_Toc114057808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5E302C4E">
              <w:pPr>
                <w:pStyle w:val="10"/>
                <w:tabs>
                  <w:tab w:val="right" w:leader="dot" w:pos="8240"/>
                </w:tabs>
                <w:rPr>
                  <w:rFonts w:ascii="宋体" w:hAnsi="宋体"/>
                  <w:sz w:val="24"/>
                  <w:szCs w:val="24"/>
                </w:rPr>
              </w:pPr>
              <w:r>
                <w:fldChar w:fldCharType="begin"/>
              </w:r>
              <w:r>
                <w:instrText xml:space="preserve"> HYPERLINK \l "_Toc114057809" </w:instrText>
              </w:r>
              <w:r>
                <w:fldChar w:fldCharType="separate"/>
              </w:r>
              <w:r>
                <w:rPr>
                  <w:rStyle w:val="19"/>
                  <w:rFonts w:ascii="宋体" w:hAnsi="宋体"/>
                  <w:sz w:val="24"/>
                  <w:szCs w:val="24"/>
                </w:rPr>
                <w:t>18大力发展多样化模式的集体经济和合作经济</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_Toc114057809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39E74735">
              <w:pPr>
                <w:pStyle w:val="10"/>
                <w:tabs>
                  <w:tab w:val="right" w:leader="dot" w:pos="8240"/>
                </w:tabs>
                <w:rPr>
                  <w:rFonts w:ascii="宋体" w:hAnsi="宋体"/>
                  <w:sz w:val="24"/>
                  <w:szCs w:val="24"/>
                </w:rPr>
              </w:pPr>
              <w:r>
                <w:fldChar w:fldCharType="begin"/>
              </w:r>
              <w:r>
                <w:instrText xml:space="preserve"> HYPERLINK \l "_Toc114057810" </w:instrText>
              </w:r>
              <w:r>
                <w:fldChar w:fldCharType="separate"/>
              </w:r>
              <w:r>
                <w:rPr>
                  <w:rStyle w:val="19"/>
                  <w:rFonts w:ascii="宋体" w:hAnsi="宋体"/>
                  <w:sz w:val="24"/>
                  <w:szCs w:val="24"/>
                </w:rPr>
                <w:t>19评萨金特的宏观经济因果实证研究</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_Toc114057810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138B4BDE">
              <w:pPr>
                <w:pStyle w:val="10"/>
                <w:tabs>
                  <w:tab w:val="right" w:leader="dot" w:pos="8240"/>
                </w:tabs>
                <w:rPr>
                  <w:rFonts w:ascii="宋体" w:hAnsi="宋体"/>
                  <w:sz w:val="24"/>
                  <w:szCs w:val="24"/>
                </w:rPr>
              </w:pPr>
              <w:r>
                <w:fldChar w:fldCharType="begin"/>
              </w:r>
              <w:r>
                <w:instrText xml:space="preserve"> HYPERLINK \l "_Toc114057811" </w:instrText>
              </w:r>
              <w:r>
                <w:fldChar w:fldCharType="separate"/>
              </w:r>
              <w:r>
                <w:rPr>
                  <w:rStyle w:val="19"/>
                  <w:rFonts w:ascii="宋体" w:hAnsi="宋体"/>
                  <w:sz w:val="24"/>
                  <w:szCs w:val="24"/>
                </w:rPr>
                <w:t>20十八大报告新思想新亮点</w:t>
              </w:r>
              <w:r>
                <w:rPr>
                  <w:rStyle w:val="19"/>
                  <w:rFonts w:ascii="宋体" w:hAnsi="宋体" w:cs="Calibri"/>
                  <w:sz w:val="24"/>
                  <w:szCs w:val="24"/>
                </w:rPr>
                <w:t>——</w:t>
              </w:r>
              <w:r>
                <w:rPr>
                  <w:rStyle w:val="19"/>
                  <w:rFonts w:ascii="宋体" w:hAnsi="宋体"/>
                  <w:sz w:val="24"/>
                  <w:szCs w:val="24"/>
                </w:rPr>
                <w:t>开启历史新阶段和新征程</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_Toc114057811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761C48BE">
              <w:pPr>
                <w:pStyle w:val="10"/>
                <w:tabs>
                  <w:tab w:val="right" w:leader="dot" w:pos="8240"/>
                </w:tabs>
                <w:rPr>
                  <w:rFonts w:ascii="宋体" w:hAnsi="宋体"/>
                  <w:sz w:val="24"/>
                  <w:szCs w:val="24"/>
                </w:rPr>
              </w:pPr>
              <w:r>
                <w:fldChar w:fldCharType="begin"/>
              </w:r>
              <w:r>
                <w:instrText xml:space="preserve"> HYPERLINK \l "_Toc114057812" </w:instrText>
              </w:r>
              <w:r>
                <w:fldChar w:fldCharType="separate"/>
              </w:r>
              <w:r>
                <w:rPr>
                  <w:rStyle w:val="19"/>
                  <w:rFonts w:ascii="宋体" w:hAnsi="宋体"/>
                  <w:sz w:val="24"/>
                  <w:szCs w:val="24"/>
                </w:rPr>
                <w:t>21评</w:t>
              </w:r>
              <w:r>
                <w:rPr>
                  <w:rStyle w:val="19"/>
                  <w:rFonts w:ascii="宋体" w:hAnsi="宋体" w:cs="Calibri"/>
                  <w:sz w:val="24"/>
                  <w:szCs w:val="24"/>
                </w:rPr>
                <w:t>2011</w:t>
              </w:r>
              <w:r>
                <w:rPr>
                  <w:rStyle w:val="19"/>
                  <w:rFonts w:ascii="宋体" w:hAnsi="宋体"/>
                  <w:sz w:val="24"/>
                  <w:szCs w:val="24"/>
                </w:rPr>
                <w:t>年诺贝尔经济学奖得主萨金特的宏观经济因果实证研究———</w:t>
              </w:r>
              <w:r>
                <w:rPr>
                  <w:rStyle w:val="19"/>
                  <w:rFonts w:ascii="宋体" w:hAnsi="宋体" w:cs="Calibri"/>
                  <w:sz w:val="24"/>
                  <w:szCs w:val="24"/>
                </w:rPr>
                <w:t>2011</w:t>
              </w:r>
              <w:r>
                <w:rPr>
                  <w:rStyle w:val="19"/>
                  <w:rFonts w:ascii="宋体" w:hAnsi="宋体"/>
                  <w:sz w:val="24"/>
                  <w:szCs w:val="24"/>
                </w:rPr>
                <w:t>年诺贝尔经济学奖的反思</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_Toc114057812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6842CAC0">
              <w:pPr>
                <w:pStyle w:val="10"/>
                <w:tabs>
                  <w:tab w:val="right" w:leader="dot" w:pos="8240"/>
                </w:tabs>
                <w:rPr>
                  <w:rFonts w:ascii="宋体" w:hAnsi="宋体"/>
                  <w:sz w:val="24"/>
                  <w:szCs w:val="24"/>
                </w:rPr>
              </w:pPr>
              <w:r>
                <w:fldChar w:fldCharType="begin"/>
              </w:r>
              <w:r>
                <w:instrText xml:space="preserve"> HYPERLINK \l "_Toc114057813" </w:instrText>
              </w:r>
              <w:r>
                <w:fldChar w:fldCharType="separate"/>
              </w:r>
              <w:r>
                <w:rPr>
                  <w:rStyle w:val="19"/>
                  <w:rFonts w:ascii="宋体" w:hAnsi="宋体"/>
                  <w:sz w:val="24"/>
                  <w:szCs w:val="24"/>
                </w:rPr>
                <w:t>22西方马克思主义经济学家关于资本主义制度及其命运的研究</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_Toc114057813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7406078B">
              <w:pPr>
                <w:pStyle w:val="10"/>
                <w:tabs>
                  <w:tab w:val="right" w:leader="dot" w:pos="8240"/>
                </w:tabs>
                <w:rPr>
                  <w:rFonts w:ascii="宋体" w:hAnsi="宋体"/>
                  <w:sz w:val="24"/>
                  <w:szCs w:val="24"/>
                </w:rPr>
              </w:pPr>
              <w:r>
                <w:fldChar w:fldCharType="begin"/>
              </w:r>
              <w:r>
                <w:instrText xml:space="preserve"> HYPERLINK \l "_Toc114057814" </w:instrText>
              </w:r>
              <w:r>
                <w:fldChar w:fldCharType="separate"/>
              </w:r>
              <w:r>
                <w:rPr>
                  <w:rStyle w:val="19"/>
                  <w:rFonts w:ascii="宋体" w:hAnsi="宋体"/>
                  <w:sz w:val="24"/>
                  <w:szCs w:val="24"/>
                </w:rPr>
                <w:t>23关于我国低消费率与消费不足的几个问题</w:t>
              </w:r>
              <w:r>
                <w:rPr>
                  <w:rFonts w:ascii="宋体" w:hAnsi="宋体"/>
                  <w:sz w:val="24"/>
                  <w:szCs w:val="24"/>
                </w:rPr>
                <w:tab/>
              </w:r>
              <w:r>
                <w:rPr>
                  <w:rFonts w:ascii="宋体" w:hAnsi="宋体"/>
                  <w:sz w:val="24"/>
                  <w:szCs w:val="24"/>
                </w:rPr>
                <w:fldChar w:fldCharType="begin"/>
              </w:r>
              <w:r>
                <w:rPr>
                  <w:rFonts w:ascii="宋体" w:hAnsi="宋体"/>
                  <w:sz w:val="24"/>
                  <w:szCs w:val="24"/>
                </w:rPr>
                <w:instrText xml:space="preserve"> PAGEREF _Toc114057814 \h </w:instrText>
              </w:r>
              <w:r>
                <w:rPr>
                  <w:rFonts w:ascii="宋体" w:hAnsi="宋体"/>
                  <w:sz w:val="24"/>
                  <w:szCs w:val="24"/>
                </w:rPr>
                <w:fldChar w:fldCharType="separate"/>
              </w:r>
              <w:r>
                <w:rPr>
                  <w:b/>
                </w:rPr>
                <w:t>错误！未定义书签。</w:t>
              </w:r>
              <w:r>
                <w:rPr>
                  <w:rFonts w:ascii="宋体" w:hAnsi="宋体"/>
                  <w:sz w:val="24"/>
                  <w:szCs w:val="24"/>
                </w:rPr>
                <w:fldChar w:fldCharType="end"/>
              </w:r>
              <w:r>
                <w:rPr>
                  <w:rFonts w:ascii="宋体" w:hAnsi="宋体"/>
                  <w:sz w:val="24"/>
                  <w:szCs w:val="24"/>
                </w:rPr>
                <w:fldChar w:fldCharType="end"/>
              </w:r>
            </w:p>
            <w:p w14:paraId="018B561A">
              <w:r>
                <w:rPr>
                  <w:rFonts w:ascii="宋体" w:hAnsi="宋体"/>
                  <w:b/>
                  <w:bCs/>
                  <w:sz w:val="24"/>
                  <w:szCs w:val="24"/>
                  <w:lang w:val="zh-CN"/>
                </w:rPr>
                <w:fldChar w:fldCharType="end"/>
              </w:r>
            </w:p>
          </w:sdtContent>
        </w:sdt>
        <w:p w14:paraId="2F49550D">
          <w:pPr>
            <w:pStyle w:val="35"/>
            <w:ind w:firstLine="400" w:firstLineChars="200"/>
            <w:rPr>
              <w:color w:val="000000" w:themeColor="text1"/>
              <w14:textFill>
                <w14:solidFill>
                  <w14:schemeClr w14:val="tx1"/>
                </w14:solidFill>
              </w14:textFill>
            </w:rPr>
          </w:pPr>
        </w:p>
      </w:sdtContent>
    </w:sdt>
    <w:p w14:paraId="22812912">
      <w:pPr>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 xml:space="preserve"> </w:t>
      </w:r>
    </w:p>
    <w:p w14:paraId="693FBBFD">
      <w:pPr>
        <w:pStyle w:val="2"/>
        <w:spacing w:before="120" w:after="120" w:line="400" w:lineRule="exact"/>
        <w:ind w:firstLine="800" w:firstLineChars="200"/>
        <w:jc w:val="left"/>
        <w:rPr>
          <w:rFonts w:ascii="宋体" w:hAnsi="宋体" w:eastAsia="宋体"/>
          <w:color w:val="000000" w:themeColor="text1"/>
          <w:sz w:val="40"/>
          <w:szCs w:val="40"/>
          <w14:textFill>
            <w14:solidFill>
              <w14:schemeClr w14:val="tx1"/>
            </w14:solidFill>
          </w14:textFill>
        </w:rPr>
      </w:pPr>
      <w:bookmarkStart w:id="1160" w:name="_Toc32119"/>
      <w:bookmarkEnd w:id="1160"/>
      <w:bookmarkStart w:id="1161" w:name="_Toc12855"/>
      <w:bookmarkStart w:id="1162" w:name="_Toc114057770"/>
      <w:bookmarkStart w:id="1163" w:name="_Toc392625993"/>
      <w:bookmarkStart w:id="1164" w:name="_Toc2013120830"/>
      <w:r>
        <w:rPr>
          <w:rFonts w:hint="eastAsia" w:ascii="宋体" w:hAnsi="宋体" w:eastAsia="宋体"/>
          <w:color w:val="000000" w:themeColor="text1"/>
          <w:sz w:val="40"/>
          <w:szCs w:val="40"/>
          <w14:textFill>
            <w14:solidFill>
              <w14:schemeClr w14:val="tx1"/>
            </w14:solidFill>
          </w14:textFill>
        </w:rPr>
        <w:t>2011年</w:t>
      </w:r>
      <w:bookmarkEnd w:id="1161"/>
      <w:bookmarkEnd w:id="1162"/>
      <w:bookmarkEnd w:id="1163"/>
      <w:bookmarkEnd w:id="1164"/>
    </w:p>
    <w:p w14:paraId="14A6E5B2">
      <w:pPr>
        <w:pStyle w:val="3"/>
        <w:ind w:firstLine="640" w:firstLineChars="200"/>
        <w:outlineLvl w:val="1"/>
        <w:rPr>
          <w:rFonts w:hint="eastAsia"/>
          <w:color w:val="000000" w:themeColor="text1"/>
          <w14:textFill>
            <w14:solidFill>
              <w14:schemeClr w14:val="tx1"/>
            </w14:solidFill>
          </w14:textFill>
        </w:rPr>
      </w:pPr>
      <w:bookmarkStart w:id="1165" w:name="_Toc93074686"/>
      <w:bookmarkEnd w:id="1165"/>
      <w:bookmarkStart w:id="1166" w:name="_Toc18187"/>
      <w:bookmarkEnd w:id="1166"/>
      <w:bookmarkStart w:id="1167" w:name="_Toc24465"/>
      <w:bookmarkEnd w:id="1167"/>
      <w:bookmarkStart w:id="1168" w:name="_Toc22113"/>
      <w:bookmarkEnd w:id="1168"/>
      <w:bookmarkStart w:id="1169" w:name="_Toc29210"/>
      <w:bookmarkStart w:id="1170" w:name="_Toc114057771"/>
      <w:bookmarkStart w:id="1171" w:name="_Toc9802"/>
      <w:bookmarkStart w:id="1172" w:name="_Toc1795300767"/>
      <w:bookmarkStart w:id="1173" w:name="_Toc916931325"/>
      <w:bookmarkStart w:id="1174" w:name="_Toc17596"/>
      <w:r>
        <w:rPr>
          <w:rFonts w:hint="eastAsia" w:ascii="黑体" w:hAnsi="黑体"/>
          <w:color w:val="000000" w:themeColor="text1"/>
          <w14:textFill>
            <w14:solidFill>
              <w14:schemeClr w14:val="tx1"/>
            </w14:solidFill>
          </w14:textFill>
        </w:rPr>
        <w:t>1</w:t>
      </w:r>
      <w:r>
        <w:rPr>
          <w:rFonts w:ascii="黑体" w:hAnsi="黑体"/>
          <w:color w:val="000000" w:themeColor="text1"/>
          <w14:textFill>
            <w14:solidFill>
              <w14:schemeClr w14:val="tx1"/>
            </w14:solidFill>
          </w14:textFill>
        </w:rPr>
        <w:t>马列主义是认识和改造世界的科学方法与指南</w:t>
      </w:r>
      <w:bookmarkEnd w:id="1169"/>
      <w:bookmarkEnd w:id="1170"/>
      <w:bookmarkEnd w:id="1171"/>
      <w:bookmarkEnd w:id="1172"/>
      <w:bookmarkEnd w:id="1173"/>
    </w:p>
    <w:p w14:paraId="766660C2">
      <w:pPr>
        <w:autoSpaceDE w:val="0"/>
        <w:adjustRightInd w:val="0"/>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内容提要】本文围绕《马克思恩格斯文选》、《列宁专题文集》两部文集，重点阐述五个问题：强调要做马克思、列宁那样的革命者和建设者，阐明两部文集是科学的认识工具，论述关于全世界无产者和被压迫民族联合起来，关于社会主义就是消灭阶级和剥削，以及关于党是阶级的领导者和组织者等重要理论问题。</w:t>
      </w:r>
    </w:p>
    <w:p w14:paraId="3FD3733B">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【关键词】马克思列宁主义工人阶级政党国际共产主义运动工人阶级消灭剥削和阶级</w:t>
      </w:r>
    </w:p>
    <w:p w14:paraId="2DE20E9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p>
    <w:p w14:paraId="36ADE36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马克思恩格斯文集》和《列宁专题文集》的出版，是我国思想界、文化界一件可喜可贺的事情。20世纪八九十年代，国际共产主义运动经历了严重挫折，马克思列宁主义在世界的传播遭受了空前的压力。在这样的国际形势下，中国共产党启动并完成了这样一件很有规模的马列著作编辑和出版工程，为马克思列宁主义的传播和发展，为推动陷入低潮的国际共产主义运动复兴，作出了实实在在的努力。</w:t>
      </w:r>
    </w:p>
    <w:p w14:paraId="128C05C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1954年中华人民共和国第一届全国人民代表大会上，毛泽东在开幕词的讲话里向中国人民，也是向全世界庄严地指出：“指导我们思想的理论基础是马克思列宁主义。”这不仅指明了马克思列宁主义与作为中国共产党指导思想的毛泽东思想的关系，也同样阐明了马克思列宁主义与作为当代中国社会主义建设的指导思想的中国特色社会主义理论体系的关系。明确这种关系，无论在我国的新民主主义革命战争年代，还是在当代社会主义革命和建设时期，对我们科学地认识马克思列宁主义，无疑是至关重要的。显然，如果我们不知道、不懂得党和国家的指导思想的理论基础是什么，那就既不能科学地理解党和国家的指导思想，也不能科学地运用和发展它们。</w:t>
      </w:r>
    </w:p>
    <w:p w14:paraId="32AF666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马列著作是非常丰富的。为了学习马列主义的立场、观点和方法，先读他们的哪些文章和著作呢？《马克思恩格斯文集》和《列宁专题文集》的编辑、出版，为我国人民及其理论工作者深入学习和研究马列主义，又增添了一种文本，是中国人学习和研究马列主义的又一个成果。结合我们的前辈学习马列主义的历史和经验，不断地研读和领会马列主义，回答和解决实践中不断产生的新问题，是中国马克思主义者继往开来的一个不断探索的课题。</w:t>
      </w:r>
    </w:p>
    <w:p w14:paraId="69F9D17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p>
    <w:p w14:paraId="7E3F7261">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175" w:name="_Toc14918"/>
      <w:bookmarkEnd w:id="1175"/>
      <w:bookmarkStart w:id="1176" w:name="_Toc24909"/>
      <w:bookmarkEnd w:id="1176"/>
      <w:bookmarkStart w:id="1177" w:name="_Toc14187"/>
      <w:bookmarkEnd w:id="1177"/>
      <w:bookmarkStart w:id="1178" w:name="_Toc30529"/>
      <w:bookmarkEnd w:id="1178"/>
      <w:bookmarkStart w:id="1179" w:name="_Toc14862"/>
      <w:r>
        <w:rPr>
          <w:rFonts w:hint="eastAsia" w:ascii="宋体" w:hAnsi="宋体"/>
          <w:b/>
          <w:color w:val="000000" w:themeColor="text1"/>
          <w:sz w:val="24"/>
          <w:szCs w:val="24"/>
          <w14:textFill>
            <w14:solidFill>
              <w14:schemeClr w14:val="tx1"/>
            </w14:solidFill>
          </w14:textFill>
        </w:rPr>
        <w:t>一、做马克思、列宁那样的革命者和建设者</w:t>
      </w:r>
      <w:bookmarkEnd w:id="1179"/>
    </w:p>
    <w:p w14:paraId="3A2269E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马克思首先是一个革命家。他毕生的真正使命，就是以这种或那种方式参加推翻资本主义社会及其所建立的国家设施的事业，参加现代无产阶级的解放事业，正是他第一次使现代无产阶级意识到自身的地位和需要，意识到自身解放的条件。斗争是他的生命要素。很少有人像他那样满腔热情、坚忍不拔和卓有成效地进行斗争……正因为这样，所以马克思是当代最遭嫉恨和最受诬蔑的人。各国政府——无论专制政府或共和政府，都驱逐他；资产者——无论保守派或极端民主派，都竞相诽谤他，诅咒他。他对这一切毫不在意，把它们当作蛛丝一样轻轻拂去，只是在万不得已时才给以回敬。现在他逝世了，在整个欧洲和美洲，从西伯利亚矿井到加利福尼亚，千百万革命战友无不对他表示尊敬、爱戴和悼念，而我可以大胆地说：他可能有过许多敌人，但未必有一个私敌。”恩格斯在马克思墓前的这番讲话，可以说，不仅是对马克思，也是对列宁等无产阶级革命战士一生所追求的事业及其全部活动和思想的评述。要学习和掌握马列主义，就要做他们那样的人；而只有做马克思、列宁那样的人，才能学会马列主义。</w:t>
      </w:r>
    </w:p>
    <w:p w14:paraId="7DC0CECB">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马克思列宁主义诞生的100多年里，马列主义一再被许多国家、被来自不同社会阵营的人们反复地思考与争论，被来自马克思主义阵营内外的一大批时髦的思想家一而再、再而三地宣布过时或死亡了。但是，马列主义每一次被宣布过时了、死亡了，就如同昭告它们依然还茁壮地生存和顽强地奋斗着。这种来自反马克思主义、非马克思主义阵营对马列主义的一再打击和否定，难道不正是强烈表现了它那不可遏止的蓬勃的生命力吗？难道不是再鲜明不过地体现了它那穿越时空的巨大影响和极其深刻的现实意义吗？马列主义一再地被引起争论，再清楚不过地表明有人需要他，有人害怕他。这个世界共处和对立的两大阶级、两大阵营——无产阶级和资产阶级、社会主义和资本主义，是可以用对待马列主义的态度来标识和区别的。</w:t>
      </w:r>
    </w:p>
    <w:p w14:paraId="074728C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苏东剧变后，西方思想界一度流行马列主义“过时论”、“破产论”。但是仅仅过去了十几年，美国就于2008年爆发了金融危机，进而引起全球经济危机，西方思想界不得不重视马克思主义经典作家的著作，尤其是马克思的《资本论》，不得不承认马克思的理论和科学预见对分析当前危机的实际启迪和指导意义。人们现在又戏剧性地听到那个一再发出马克思主义过时论的西方世界，开始流行马克思主义“复兴论”了。马克思主义在西方为什么会得以复兴呢？原因就在于马克思主义是科学的世界观和方法论，具有巨大的认识功能和实践(改造)功能，是革命和建设的学说。马列主义关于“人类的解放”这一经常被谈论的永恒主题，也使它的复兴成为历史的必然。我们学习这两部文集，不能无视马列主义诞生以来发生过的一系列具有深远影响的历史事件，不能无视世界历史进程中发生的新变化新进展。当前，我们尤其需要通过研读体现了马列主义精髓的这两部文集，来提高我们运用马列主义的水平和能力，深刻观察和科学分析目前正在发生的这场西方金融危机和经济危机以及世界的新走向。</w:t>
      </w:r>
    </w:p>
    <w:p w14:paraId="15E64EFC">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研读马列主义，从哪里开始认识它们呢？马克思说过这样的话：“共产党人的理论原理，决不是以这个或那个世界改革家所发明或发现的思想、原则为根据的”。恩格斯公开申明，马克思主义没有为共产党人准备过“任何一劳永逸的现成方案，我们对未来非资本主义社会区别于现代社会的特征的看法，是从历史事实和发展过程中得出的确切结论，不结合这些事实和过程加以阐明，就没有任何理论价值和实际价值”。无产阶级革命和建设的理论精髓——马克思主义，绝不是马克思、恩格斯坐在屋子里冥思苦想的结果，而是他们积极进行革命活动的记录和总结，是他们所从事的“无产阶级运动的理论表现”；这个理论的任务，是深入考察现代无产阶级的历史使命——解放人类和世界的事业——的历史条件以及这一事业的性质本身，“从而使负有使命完成这一事业的今天受压迫的阶级认识到自己的行动的条件和性质”。列宁主义也是这样。</w:t>
      </w:r>
    </w:p>
    <w:p w14:paraId="0484A30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马克思的学说直接为教育和组织现代社会的先进阶级服务，指出这一阶级的任务，并且证明现代制度由于经济的发展必然要被新的制度所代替，因此这一学说在其生命的途程中每走一步都得经过战斗，也就不足为奇了。”经过战斗得来的东西，也只有在战斗中才能读懂和应用。我们应当从马克思、列宁所从事的社会活动，来了解和把握他们是怎样思考问题和解决问题的，脱离了他们的社会活动而作单纯的或学术的思想文字来解读，只会离马列主义越来越远。</w:t>
      </w:r>
    </w:p>
    <w:p w14:paraId="35F424B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人在学习马列主义的历史上，直到今天也时常听到一种责备某某理论准备不足而做错事情的观点。这种观点是不科学的。因为它经不起这样的追问，即所谓的“理论准备”要准备什么，怎么准备，准备到什么程度就算准备足了？革命斗争史上有理论“准备足”了的案例吗？既然提出了理论准备不足的问题，那么请提出这个观点的人把今后所需要的理论准备出来，能做得到吗？显然是行不通的，是违反生活常识和历史常识的。毛泽东批评过这种情况：“共产党的正确而不动摇的斗争策略，决不是少数人坐在房子里能够产生的，它是要在群众的斗争过程中才能产生的，这就是说要在实际经验中才能产生。”这样的认识，科学地回答了马克思主义的革命理论是从何而来的问题，说明了马克思主义的理论是怎么“准备”出来的。理论产生于实践，理论的意义在于回答实践所提出的问题，理论与实践紧密结合，是马克思主义生命的源头活水和发展动力。所以，马克思主义创始人一再申明，共产党人的理论原理“是现存的阶级斗争、我们眼前的历史运动的真实关系的一般表述”；“这些原理的实际运用，正如《宣言》中所说的，随时随地都要以当时的历史条件为转移”。不要用“学理主义和教条主义的态度去对待它，认为只要把它背得烂熟，就足以满足一切需要”，马克思主义不是教条，而是行动的指南。</w:t>
      </w:r>
    </w:p>
    <w:p w14:paraId="0940268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和世界关于社会主义和共产主义的革命和建设任务，并没有都完成，相反任重而道远。毫无疑问，如果我们不能像马克思、列宁那样毕生“参加推翻资本主义社会及其所建立的国家设施的事业，参加现代无产阶级的解放事业”，而是脱离替代资本主义的无产阶级革命斗争，脱离广大人民群众为主体的社会主义革命和建设的具体实践，关起门来学习和研究马列主义，那么马列主义就成了毫无生命的古董。不仅如此，这还可能走向它们的反面。</w:t>
      </w:r>
    </w:p>
    <w:p w14:paraId="35527C08">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180" w:name="_Toc26333"/>
      <w:bookmarkEnd w:id="1180"/>
      <w:bookmarkStart w:id="1181" w:name="_Toc19239"/>
      <w:bookmarkEnd w:id="1181"/>
      <w:bookmarkStart w:id="1182" w:name="_Toc4007"/>
      <w:bookmarkEnd w:id="1182"/>
      <w:bookmarkStart w:id="1183" w:name="_Toc129"/>
      <w:bookmarkEnd w:id="1183"/>
      <w:bookmarkStart w:id="1184" w:name="_Toc1186"/>
      <w:r>
        <w:rPr>
          <w:rFonts w:hint="eastAsia" w:ascii="宋体" w:hAnsi="宋体"/>
          <w:b/>
          <w:color w:val="000000" w:themeColor="text1"/>
          <w:sz w:val="24"/>
          <w:szCs w:val="24"/>
          <w14:textFill>
            <w14:solidFill>
              <w14:schemeClr w14:val="tx1"/>
            </w14:solidFill>
          </w14:textFill>
        </w:rPr>
        <w:t>二、科学的认识工具</w:t>
      </w:r>
      <w:bookmarkEnd w:id="1184"/>
    </w:p>
    <w:p w14:paraId="13C6D446">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人类为摆脱数不尽的剥削和压迫，为摆脱各种苦难，历经千年艰辛，从未停止对“理想国”、“大同世界”的追求。即使是近代资产阶级经济学家和伟大的空想社会主义批评家所做的一切研究，也只是在黑暗中摸索，一直没有发现、没有找到通向理想社会的有效途径。在马克思主义产生之前，无产阶级最好的待遇也不过是被资产阶级学者和空想社会主义批判家看作一个值得同情的受苦最深的阶层，是一些社会慈善家施舍或需要扶助的贫苦人群。即使像英国欧文主义者那样坚韧的合作主义改革家，为改变在他们看来是不合理的生产制度所导致的工人的贫苦状况，建设了诸如理性社、和谐厅、罗契台儿先驱者合作社等新社会试验区，可在告终之日也没有为无产阶级找到迅速摆脱困境的出路。原因在于，他们既没有完全阐明资本主义制度下雇佣奴隶制的本质，又没有完全发现资本主义发展的规律，没有完全找到能够成为新社会的创造者的社会力量。</w:t>
      </w:r>
    </w:p>
    <w:p w14:paraId="71B9923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马克思主义实现了人类思想领域里的彻底革命。他们继承和发展了唯物主义，把它对自然界的认识推广到对人类社会的认识，把唯物主义贯彻到底。他们发现并创立的历史唯物主义，是科学思想的最大成果，使过去在历史观和政治观方面占支配地位的那种混乱的和随意性的理论，被一种极其完整严密的科学理论所代替。历史唯物主义揭示和阐明了历来为繁芜丛杂的意识形态所掩盖着的这样一个简单事实，即人们首先必须吃、喝、住、穿，然后才能从事政治、科学、艺术、宗教等等；因而每一历史阶段的直接的物质的生活资料的生产便构成该阶段的社会的基础，人们的国家设施、法的观点、艺术以至宗教观念，就是从这个基础上发展起来的，必须由这个基础来解释。马克思、恩格斯运用历史唯物主义的思想方法，研究了人类的全部历史及其社会生活，发现了隐藏在商品生产中的剩余价值，揭示了资本剥削劳动的秘密，从而发现了现代资本主义生产方式和它所产生的资产阶级社会的运动规律，阐明从原始土地公有制解体以来的“全部历史都是阶级斗争的历史，即社会发展各个阶段上被剥削阶级和剥削阶级之间、被统治阶级和统治阶级之间斗争的历史；而这个斗争现在已经达到这样一个阶段，即被剥削被压迫的阶级(无产阶级)，如果不同时使整个社会永远摆脱剥削、压迫和阶级斗争，就不再能使自己从剥削它压迫它的那个阶级(资产阶级)下解放出来。”</w:t>
      </w:r>
    </w:p>
    <w:p w14:paraId="2B0D833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1872年，即巴黎公社失败后的第一年，在资本战胜劳动的强大资本主义世界面前，马克思再版了《资本论》第一卷，公开声明《资本论》是代表一个阶级对资本展开无情的批判，“它能代表的只是这样一个阶级，这个阶级的历史使命是推翻资本主义生产方式和最后消灭阶级。这个阶级就是无产阶级。”从无产阶级的立场出发，马克思、恩格斯从资本主义社会生活隐藏的一个事实里面看到这样一种任何力量也不能阻挡的发展趋势，那就是“无产阶级不只是一个受苦的阶级，正是它所处的那种低贱的经济地位，无可遏止地推动它前进，迫使它去争取本身最终解放。而战斗中的无产阶级是能够自己帮助自己的。工人阶级的政治运动必然会使工人认识到，除了社会主义，他们没有别的出路。另一方面，社会主义只有成为工人阶级的政治斗争的目标时，才会成为一种力量。”所以，当一批社会幻想家，甚至是一些天才人物，站在工人群众运动以外，以为只要说服统治人物和统治阶级相信现代社会制度是不合理的，就很容易在世界上确立真正合乎人性的和平、和谐、自由、民主、公平、正义和福利等制度的时候，当他们幻想不经过斗争就能实现社会主义的时候，是马克思、恩格斯向工人阶级指出，工人阶级本身及其要求是现代经济制度的产物，现代经济制度在造成资产阶级的同时，也必然造成并组织了无产阶级；能使人类摆脱现在所受灾难的，不是个别高尚人物善意的尝试和慈善行为，而是组织起来的无产阶级所进行的阶级斗争；社会主义不是幻想家的臆造，而是现代社会生产力发展的动力、目标和必然结果；到现在为止的全部有记载的历史，都是不断更替地由一些社会阶级统治和战胜另一些社会阶级的历史，这种情形在阶级斗争和阶级统治的基础即私有制及其混乱的社会生产消灭以前，将会继续下去；无产阶级的利益要求消灭私有制，所以有组织的工人自觉进行的阶级斗争，目标就应该对准私有制。消灭私有制及其私有观念，这是《共产党宣言》强调的共产主义运动同其他社会运动的本质区别。</w:t>
      </w:r>
    </w:p>
    <w:p w14:paraId="2D7AF24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历史唯物主义和剩余价值学说，是马克思、恩格斯为人类作出的两个划时代的历史贡献。马克思主义的哲学唯物主义世界观使无产阶级摆脱深受资产阶级欺骗的精神奴役，而马克思主义的经济理论为无产阶级阐明了他们在整个资本主义制度中的地位，从而“教会了工人阶级自我认识和自我意识，用科学代替了幻想。”</w:t>
      </w:r>
    </w:p>
    <w:p w14:paraId="64331B8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马克思列宁主义是中国人民和中国共产党一切指导思想的理论基础，以辩证唯物主义和历史唯物主义构成的完备的唯物主义哲学世界观则是马列主义的理论基础，学好这个理论基础，对掌握马列主义是至关重要和不可或缺的。</w:t>
      </w:r>
    </w:p>
    <w:p w14:paraId="7F939CCB">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20世纪60年代，毛泽东在中宣部编印的一份学术资料上作了这样的批语：“不关心哲学，我们的工作是不能胜利的。”——把关心哲学，把提高哲学的思维和分析的能力与共产党人事业的成功与否结合起来，这在马克思主义思想史上还是第一次。毛泽东作出这样的论断并昭告全党，决非小题大做，而是从国际共产主义运动和中国革命的历史实践中总结出来的经验和教训。</w:t>
      </w:r>
    </w:p>
    <w:p w14:paraId="059A2DA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19世纪80年代发展起来的第二国际社会主义运动，历经90年代的高潮，走到20世纪初期，遭到了破产。这一历史结果，是从德国社会民主党为首的第二国际理论家篡改和背叛马克思主义的哲学唯物主义世界观开始的。恩格斯逝世后，资产阶级思想家对马克思主义哲学进行了广泛的攻击。那时以巴特尔和齐美尔为代表的资产阶级教授公开出来反对唯物主义历史观，在关于社会存在决定社会意识的相互关系问题、社会规律性问题、人民群众和个人在历史上的作用、社会意识(艺术、宗教)的各种形态的本质和相互作用、意识形态发展的相对独立性等一系列问题上，轻视和歪曲马克思主义的历史唯物主义观点。这类马克思主义的公开论敌，得到了第二国际修正主义者的支持。他们把这些敌人的唯心主义世界观、庸俗进化论和“批判”历史唯物主义的方式全盘接受了。修正主义把自己缚在了唯心主义的战车上，企图把任何一种唯心主义学说与马克思主义“调和”起来。以伯恩施坦为代表的一批第二国际理论家，号召回到康德那里，宣称马克思主义应当与康德主义、与“社会达尔文主义”相调和，要求马克思主义与新康德主义、马赫主义相结合。</w:t>
      </w:r>
    </w:p>
    <w:p w14:paraId="44A83F3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列宁与第二国际理论家进行了激烈的论战，毫不留情地揭露和批判他们：“在哲学方面，修正主义跟在资产阶级教授的‘科学’的屁股后面跑。”哲学战线，是列宁领导的布尔什维克与第二国际机会主义进行激烈斗争的战场之一。正是在这场批判资产阶级唯心主义哲学和捍卫马克思主义唯物主义哲学的斗争中，列宁写下了《马克思主义和修正主义》、《唯物主义和经验批判主义》等哲学著作，清除资产阶级唯心主义哲学的污染，保卫了俄国马克思主义队伍的理论基础。与此相反，“在第二国际内部，修正主义者对马克思主义理论的攻击往往是没有遇到重大的阻力的。革命马克思主义者——拉法格、威廉·李卜克内西、梅林和其他人——对修正主义思潮、尤其是对伯恩施坦反对马克思主义唯物主义斗争的危险性估计不足。拉法格认为伯恩施坦对马克思主义的‘批判’是‘理智的疲劳过度’的结果。威廉·李卜克内西说伯恩施坦主义是智力的发展过程，可以不去理会它。按梅林的意见，修正主义决不是工人运动发展的社会历史条件产生的。‘除了修正主义的情绪外，在德国从来没有存在过修正主义。’”如此哲学视野和思想水平，第二国际内部的革命马克思主义者焉能不在修正主义思潮的泛滥中打败仗。第二国际的破产，就是毛泽东所说“不关心哲学，我们的工作是不能胜利的”一个典型案例。列宁与第二国际修正主义在哲学战场上进行尖锐斗争的历史实践和历史经验，是我们中国马克思主义者在学习马列主义时应该反复思考和汲取的。</w:t>
      </w:r>
    </w:p>
    <w:p w14:paraId="10D13D3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以毛泽东为代表的中国共产党人，学习和继承了列宁主义保卫马克思主义理论基础的战斗风格和思想遗产，一直把在中国共产党内灌输和普及马克思主义世界观作为党的建设的不可偏废的重要方面。早在20世纪30年代初革命战争的开创时期，毛泽东就为阻止教条主义侵害革命根据地建设而写下了《反对本本主义》一文，有针对性地提出“必须洗刷唯心精神，防止一切机会主义盲动主义错误出现，才能完成争取群众战胜敌人的任务，必须努力作实际调查，才能洗刷唯心精神”，喊出了“没有调查，没有发言权”的口号。在抗日战争即将全面爆发之际，毛泽东精心写下了《实践论》、《矛盾论》，为全党思想转变及制定新的战略策略，铺垫了哲学理论的基石。</w:t>
      </w:r>
    </w:p>
    <w:p w14:paraId="6B62EBC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视马克思主义方法方面的学习，是列宁和毛泽东的一个共同特点。列宁强调：“马克思主义者从马克思的理论中，无疑只是借用了宝贵的方法，没有这种方法，就不能阐明社会关系。”在毛泽东领导中国共产党革命和建设的艰苦奋斗的年代，尤其重视中国共产党思想方法和工作方法的创新和建设，亲手制定和讨论通过了中国共产党历史上第一个也是唯一一个《中共中央关于工作方法的决定》；撰写了一系列关于政治、经济、军事、社会等方面的方法论著作，《关于纠正党内的错误思想》、《怎样分析农村阶级》、《关心群众生活，注意工作方法》、《中国革命战争的战略问题》、《关于领导方法的若干问题》、《党委会的工作方法》、《工作方法六十条》等等，不胜枚举。毛泽东深知，方法不是个小问题，尤其在哲学中就更不是小问题了，因为方法是任何一个哲学体系的灵魂，在每一个严肃的体系中具有决定性的意义。</w:t>
      </w:r>
    </w:p>
    <w:p w14:paraId="3539840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建国后，毛泽东把推动全党和全国人民学习马克思主义哲学提到了社会主义建设和发展的更加重要的地位上。1955年，在社会主义革命和建设全面到来的时候，毛泽东在中国共产党全国代表会议上明确提出了要在全党和全国人民中建立共同语言的问题，鲜明地指出：“我劝同志们要学哲学。有相当多的人，对哲学没有兴趣，他们没有学哲学的习惯。可以先看小册子、短篇文章，从那里引起兴趣，然后再看七八万字的，然后再看那个几十万字一本的书。马克思主义有几门学问：马克思主义的哲学，马克思主义的经济学，马克思主义的社会主义——阶级斗争学说，但基础的东西是马克思主义哲学。这个东西没有学通，我们就没有共同的语言，没有共同的方法，扯了许多皮，还扯不清楚。有了辩证唯物论的思想，就省得许多事，也少犯许多错误。”毛泽东号召全党：“组成这么一支强大的理论队伍，有几百万人读马克思主义的理论基础，即辩证唯物论和历史唯物论，反对各种唯心论和机械唯物论。我们现在有许多做理论工作的干部，但还没有组成理论队伍，尤其是还没有强大的理论队伍。而没有这支队伍，对我们全党的事业，对我国的社会主义工业化、社会主义改造、现代化国防、原子能的研究，是不行的，是不能解决问题的。”</w:t>
      </w:r>
    </w:p>
    <w:p w14:paraId="088AB0B1">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哲学是民族思想形成和发展的基石，是一个民族理论思维能力的直接体现。人类思想史表明，哲学是人由精神被动转入主动的食粮和推手，没有先进哲学的民族是没有前途的民族。列宁在掌握和运用马克思主义的辩证唯物主义和历史唯物主义思想方法的基础上，继续开辟了科学运用它们的领域，创造了列宁主义，造就了伟大的十月革命的胜利，开启了人类历史发展的新时代。中国曾经沦落为半殖民地的历史，也是中华民族哲学思想和能力衰败的历史。中国本来是个不缺哲学的民族，有过骄人的灿烂和辉煌。但是到20世纪初，已经是“只手难扶唐社稷”，“鼓角灯前老泪多”。国家的贫弱，民族的危亡，迫使中国思想界不得不喊出“打倒孔家店”，愤起刨自己的“祖坟”！那个时候，以尊孔读经、提倡旧礼教为代表的中国哲学，早已不是西方资本主义的对手，不但不能引领民族前进，反而与帝国主义“结成文化上的反动同盟”，反对新思想、新文化。世界史一再表明，在帝国主义扩张称霸的时代，哲学的兴衰与民族的兴衰可谓休戚与共。列宁主义在苏俄的经历，也是苏联的兴亡史。南斯拉夫等国家的悲惨现实，无一不是哲学荣辱史的注脚。</w:t>
      </w:r>
    </w:p>
    <w:p w14:paraId="07FAFB1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马克思主义发展史、理论史揭示出这样一种思想现象，在理论思想的建设和创新方面，“没有辩证法，没有哲学家头脑的作家，要写出好的经济学著作来是不可能的。马克思能够写出《资本论》，列宁能够写出《帝国主义论》，因为他们同时是哲学家，有哲学家的头脑，有辩证法这个武器。”只有方法的创新，才是一种哲学思想或哲学体系产生和发展的标志。马克思主义的完备的哲学唯物主义世界观是伟大的认识工具。马克思把这一伟大的认识工具给了人类，特别是给了工人阶级，给他们指明了如何摆脱一切被压迫阶级至今深受其害的精神奴役的出路。马克思列宁主义是人类伟大的认识工具，是无产阶级用来观察世界和改造世界的思想上的望远镜和显微镜。</w:t>
      </w:r>
    </w:p>
    <w:p w14:paraId="2AEC190E">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185" w:name="_Toc2432"/>
      <w:bookmarkEnd w:id="1185"/>
      <w:bookmarkStart w:id="1186" w:name="_Toc6776"/>
      <w:bookmarkEnd w:id="1186"/>
      <w:bookmarkStart w:id="1187" w:name="_Toc14230"/>
      <w:bookmarkEnd w:id="1187"/>
      <w:bookmarkStart w:id="1188" w:name="_Toc25135"/>
      <w:bookmarkEnd w:id="1188"/>
      <w:bookmarkStart w:id="1189" w:name="_Toc7482"/>
      <w:r>
        <w:rPr>
          <w:rFonts w:hint="eastAsia" w:ascii="宋体" w:hAnsi="宋体"/>
          <w:b/>
          <w:bCs/>
          <w:color w:val="000000" w:themeColor="text1"/>
          <w:sz w:val="24"/>
          <w:szCs w:val="24"/>
          <w14:textFill>
            <w14:solidFill>
              <w14:schemeClr w14:val="tx1"/>
            </w14:solidFill>
          </w14:textFill>
        </w:rPr>
        <w:t>三、关于全世界无产者和被压迫民族联合起来</w:t>
      </w:r>
      <w:bookmarkEnd w:id="1189"/>
    </w:p>
    <w:p w14:paraId="6E8167D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认真读过《共产党宣言》的人，都不会忘记《宣言》的最后一句话——“全世界无产者，联合起来！”这是1848年马克思、恩格斯和共产主义同盟的战友们“在巴黎革命即无产阶级带着自己的要求参加的第一次革命的前夜向世界上发出这个号召”。16年后，马克思领导的国际工人协会即第一国际在英国伦敦成立，又亲自起草了《国际工人协会成立宣言》。这份宣言的最后一句话，仍然是当年他在《共产党宣言》里第一次发出的号召：“全世界无产者，联合起来！”自那以后，从马克思、恩格斯始，列宁、斯大林、毛泽东、邓小平，所有坚信马克思主义的无产阶级革命家在出版自己的著作时，都把“全世界无产者，联合起来！”这句口号，庄严地印在自己著作的第1页上。这个相沿已久的举动，已经成为马克思主义革命家的一个传统，一个公开申明自己身份和信念的标记。这个口号是马克思主义的精髓之一，再清楚不过地显示出马克思主义的本质和它那毫不妥协的革命品格。</w:t>
      </w:r>
    </w:p>
    <w:p w14:paraId="507F1B4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无产阶级要彻底改变自身被资本剥削、压迫和奴役的社会地位，他们在强大的资本面前，除了联合起来、团结起来共同与资本战斗，没有别的可以选择。无产阶级认识到这一点，完全归功于马克思、恩格斯，归功于马克思主义。</w:t>
      </w:r>
    </w:p>
    <w:p w14:paraId="737AEEA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进入20世纪，欧洲自由资本主义发展成垄断资本主义，进一步公开诉诸武力，争霸世界。列宁运用马克思主义的望远镜和显微镜，重新考察和深入分析被垄断资本主义争霸而极大分裂的世界和各个民族，由此发现了导致世界各国经济和政治发展的不平衡已经成为资本主义的普遍现状和发展的绝对规律，确认世界进入到帝国主义和无产阶级革命的时代，冲破第二国际修正主义设置在马克思主义上的重重藩篱，提出了“社会主义可能首先在少数甚至在单独一个资本主义国家内获得胜利”的论断。</w:t>
      </w:r>
    </w:p>
    <w:p w14:paraId="3BCD5CE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不在这里讨论划分整个人类历史发展时代的十月革命的各种意义，就学习马克思列宁主义来说，其中最重要和最成功的经验之一，是列宁在坚持马克思的“全世界无产者联合起来”的口号和纲领的同时，进一步丰富并发展为“全世界无产者和被压迫民族联合起来！”这个伟大的纲领性口号是列宁主义最主要最鲜明的特征之一，也是十月革命所开启的无产阶级社会主义革命时代的最重要、最鲜明的特征之一。</w:t>
      </w:r>
    </w:p>
    <w:p w14:paraId="6766831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人民和中国共产党人历来对“全世界无产者和被压迫民族联合起来”这个口号感到特别的亲切！正是列宁向东方发出的这个号召和动员，把十月革命的光辉照耀到备受帝国主义列强凌辱的中华民族身上，启蒙了有思想的中国人，产生了尊严和勇气，重新规划民族的未来。中国共产党就是列宁发出的这个震撼当代世界伟大口号的直接产物。</w:t>
      </w:r>
    </w:p>
    <w:p w14:paraId="65D472AC">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全世界无产者联合起来”到“全世界无产者联合起来，全世界无产者和被压迫民族联合起来”，两个口号分别代表着不同的革命年代，显示出革命的范围和革命的力量扩大了，革命的内容和革命的主题深化了。</w:t>
      </w:r>
    </w:p>
    <w:p w14:paraId="62A6479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1848年马克思、恩格斯发出“全世界无产者联合起来”号召的年代，是欧洲资产阶级革命即将走向后期的年代。马克思、恩格斯通过共产主义同盟发出这个号召，一方面着眼于把欧洲各国散乱的无产阶级团结起来，组织起来；另一方面，更主要的用意是把组织起来的无产阶级从长期受资产阶级领导和思想影响的资产阶级革命运动中解放出来，独立出来，作为一支不依附于资产阶级的独立的政治力量与尚能革命的资产阶级联合，共同把反封建的资产阶级革命进行到底。只有这样，无产阶级才能享有他们为之浴血奋斗过的资产阶级革命胜利的果实，并在这一革命成功之日，立刻把资产阶级革命不停顿地发展为无产阶级的社会主义革命，从而完成和实现自身的彻底解放。显然，在那个无产阶级革命刚刚起步，还混淆于资产阶级革命运动的年代，这是一项十分艰巨的任务。“全世界无产者联合起来”这个口号直接反映了19世纪无产阶级革命运动的欧洲范围和马克思、恩格斯为此而制定的战略策略。马克思、恩格斯一方面积极投身欧洲大陆的革命运动，另一方面，又不得不用更多的精力来从事无产阶级革命思想体系和理论纲领的研究、制定和创立，启发、教育和组织年轻的无产阶级。而后一方面，更是那个年代稚嫩的无产阶级及其革命运动所急需的。《资本论》的研究和写作深刻表明，历史决定了他们有限的生命所能完成的任务，就是为后来的无产阶级革命运动打下思想理论和组织机构两方面的基础。</w:t>
      </w:r>
    </w:p>
    <w:p w14:paraId="7328FE2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同19世纪相比，列宁生活的时代，无论资产阶级还是无产阶级都有了翻天覆地的变化。至20世纪初，欧洲自由资本主义发展到垄断资本主义，完全丧失了早期反封建的革命性，成为穷凶极恶的帝国主义。欧洲无产阶级运动经历第一国际和第二国际几十年的锻炼，在各国已经形成有组织的革命政党。其思想纲领的成熟灵活和组织机构的严密有力，首先体现在列宁领导的俄国社会民主工党布尔什维克派别身上。1917年俄国二月资产阶级革命成功不久，列宁就立刻领导布尔什维克率先从思想上“脱掉那件‘穿惯了的’、‘可爱的’脏衬衫”，决意要把党的名称由社会民主党改为共产党，另起炉灶，彻底实现与第二国际社会民主主义的决裂。同时，紧紧抓住第一次世界大战帝国主义相互厮杀和彼此损伤的机会，把国际战争转变为国内革命，成功地把二月资产阶级革命过渡到无产阶级的十月社会主义革命。列宁坚持和运用马克思主义不断革命的思想和方法，建立共产国际，组成最广泛的革命统一战线，马不停蹄地在全世界开辟无产阶级革命的战场，扩大十月革命的战果，有组织地把革命推广到殖民地半殖民地国家，通过发展十月革命来保卫和扩大十月革命的直接成果——苏维埃无产阶级专政。列宁不愧为能够最大限度地发展革命和扩大革命成果的革命大师。</w:t>
      </w:r>
    </w:p>
    <w:p w14:paraId="233D0C7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通过十月革命，列宁领导苏维埃俄国和共产国际在坚持“全世界无产者联合起来”口号的基础上，向世界发出了“全世界无产者和被压迫民族联合起来”的号召和动员，极大地激发和调动了世界被压迫民族和人民争取自身解放的勇气和力量。这个深深地打着时代烙印的口号，雄辩而光辉地体现了集列宁主义之大成的无产阶级革命的战略策略。这个纲领性口号之英明，就在于它紧紧抓住了垄断资本主义和帝国主义时代最重要最基本的经济事实和经济特征：“几个特殊民族的剥削者的幸福建筑在对亚洲和一切殖民地以及小国亿万劳动人民的奴役之上”；“现在全世界已经划分为两部分，一部分是为数众多的被压迫民族，另一部分是少数几个拥有巨量财富和强大军事实力的压迫民族。”正是这个基本事实及其所体现出来的阶级力量的对比，决定了今后各国无产阶级革命所应采取的与以往时代完全不同的战略和策略，并从这个具体事实出发制定具体的可行的革命政策。在列宁的领导和启发下，共产国际和各国共产党迅速调整了支持落后国家资产阶级民主运动的方针政策，首先在概念和名称上，把“资产阶级民主”运动改提为民族革命运动。这种对落后国家尤其是殖民地半殖民地资产阶级民族革命运动的重新界定，具有极其重大的实践意义和理论意义。</w:t>
      </w:r>
    </w:p>
    <w:p w14:paraId="4F7CE55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全世界无产者和被压迫民族联合起来”这个口号是列宁主义的精髓之一，包含着列宁主义对马克思主义的无产阶级革命理论尤其是农民问题理论的极其重大的发展。首先在实践上，表现为直接影响、发动和掀起了波澜壮阔的世界民族解放运动，这本身就是对无产阶级革命运动和人类社会解放的一个特别重大的贡献。列宁清楚地看到“落后国家的主要居民群众是农民”，民族解放运动的主体和实质应是工人阶级领导的农民运动。所以，列宁极其重视农民被剥削被压迫的一面，挖掘了、提升了农民长期被忽视、被压抑的革命潜能和无穷力量，把农民视为工人阶级革命的牢固的同盟军。这样，就把曾经长期依附于资产阶级的农民运动接纳到无产阶级革命运动里，解决了无产阶级可以领导农民为主体的资产阶级革命运动的问题。从此，这样的资产阶级民族民主革命运动“就不再是属于旧的世界资产阶级民主主义革命的范畴，而属于新的范畴了；它就不再是旧的资产阶级和资本主义的世界革命的一部分，而是新的世界革命的一部分，即无产阶级社会主义世界革命的一部分了。这种革命的殖民地半殖民地，已经不能当作世界资本主义反革命战线的同盟军，而改变为世界社会主义革命战线的同盟军了。”“全世界无产者和被压迫民族联合起来”的伟大口号，直接体现出被剥削被压迫的农民在无产阶级革命运动中成为一个平等的革命主体和一支极其重要、极其巨大的革命力量，从而能够在社会主义革命和建设中形成巩固的工农联盟。正是由于列宁真心地把农民当作无产阶级的极其重要、极其巨大的革命力量而加以依靠，这就不仅在理论上，也在实践上终于解决了在此之前恩格斯自己“只是觉得”，包括马克思、恩格斯和整个第一国际、第二国际“没有找到”的“接近农民的正确方法”。</w:t>
      </w:r>
    </w:p>
    <w:p w14:paraId="5DDAFD0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历史显示，列宁主义领导和影响下的无产阶级革命运动和民族解放运动的紧密结合又互为支撑，开辟了打击和削弱帝国主义的无限广阔的战场。这样的民族解放运动，一方面是支持社会主义的苏联，在20世纪上半叶在帝国主义的围剿中能够坚持下来的巨大力量，另一方面为社会主义的苏联生存和发展，提供了可以纵横捭阖的纵深无比的战略空间。列宁提出了关于农民问题理论的新学说：“胜利了的革命无产阶级对落后民族进行系统的宣传，而各苏维埃政府以其所拥有的一切手段去帮助它们，那么，说落后民族无法避免资本主义发展阶段就不对了。在一切殖民地和落后国家，我们不仅应该组成能够独立进行斗争的基干队伍，即党的组织，不仅应该立即宣传组织农民苏维埃并使这种苏维埃适应资本主义前的条件，而且共产国际还应该指出，还应该从理论上说明，在先进国家无产阶级的帮助下，落后国家可以不经过资本主义发展阶段而过渡到苏维埃制度，然后经过一定的发展阶段过渡到共产主义。”这一新学说，把马克思主义的社会主义理论大大地向前推进了。</w:t>
      </w:r>
    </w:p>
    <w:p w14:paraId="10F7CE7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毫无疑问，列宁主义不仅在理论上，也在实践上，解决了无产阶级革命与资产阶级革命的关系问题，实现了资产阶级革命与无产阶级的社会主义革命的连接和过渡，给了殖民地半殖民地人民一件实现自身解放的强大思想武器，特别是在俄国和中国，实现了恩格斯的这样一种设想，即努力使农民“免于真正沦为无产者，在还是农民时就能被我们争取过来的农民人数越多，社会改造的实现也就会越迅速和越容易”。正是经过列宁主义阶段，马克思主义和列宁主义的农民问题理论在中国这块农民人口广阔的土地上得到了发扬光大，由毛泽东在中国革命和建设的实践中发展成一个成熟的体系，正在广大的第三世界得到传播和运用。</w:t>
      </w:r>
    </w:p>
    <w:p w14:paraId="55DD372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列宁主义关于“全世界无产者和被压迫民族联合起来”的号召和思想，在21世纪的当代世界仍然有着非常重要的现实意义。因为这个伟大口号所反映和依托的世界经济状况和政治格局——“全世界已经划分为两部分，一部分是为数众多的被压迫民族，另一部分是少数几个拥有巨量财富和强大军事实力的压迫民族”——没有根本改变，那么无疑，坚持和贯彻这一纲领性口号及其战略策略，就是当代一切真正的马克思主义政党和马克思主义者的义不容辞的任务。</w:t>
      </w:r>
    </w:p>
    <w:p w14:paraId="3EB6A9B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p>
    <w:p w14:paraId="48D911AE">
      <w:pPr>
        <w:spacing w:before="147" w:beforeLines="50" w:after="147" w:afterLines="50" w:line="400" w:lineRule="exact"/>
        <w:ind w:firstLine="480" w:firstLineChars="200"/>
        <w:jc w:val="center"/>
        <w:rPr>
          <w:rFonts w:hint="eastAsia" w:ascii="宋体" w:hAnsi="宋体"/>
          <w:b/>
          <w:bCs/>
          <w:color w:val="000000" w:themeColor="text1"/>
          <w:sz w:val="24"/>
          <w:szCs w:val="24"/>
          <w14:textFill>
            <w14:solidFill>
              <w14:schemeClr w14:val="tx1"/>
            </w14:solidFill>
          </w14:textFill>
        </w:rPr>
      </w:pPr>
      <w:bookmarkStart w:id="1190" w:name="_Toc7331"/>
      <w:bookmarkEnd w:id="1190"/>
      <w:bookmarkStart w:id="1191" w:name="_Toc1082"/>
      <w:bookmarkEnd w:id="1191"/>
      <w:bookmarkStart w:id="1192" w:name="_Toc9441"/>
      <w:bookmarkEnd w:id="1192"/>
      <w:bookmarkStart w:id="1193" w:name="_Toc8697"/>
      <w:bookmarkEnd w:id="1193"/>
      <w:bookmarkStart w:id="1194" w:name="_Toc14707"/>
      <w:r>
        <w:rPr>
          <w:rFonts w:hint="eastAsia" w:ascii="宋体" w:hAnsi="宋体"/>
          <w:b/>
          <w:bCs/>
          <w:color w:val="000000" w:themeColor="text1"/>
          <w:sz w:val="24"/>
          <w:szCs w:val="24"/>
          <w14:textFill>
            <w14:solidFill>
              <w14:schemeClr w14:val="tx1"/>
            </w14:solidFill>
          </w14:textFill>
        </w:rPr>
        <w:t>四、关于社会主义就是消灭阶级和剥削</w:t>
      </w:r>
      <w:bookmarkEnd w:id="1194"/>
    </w:p>
    <w:p w14:paraId="60799EC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全世界无产者联合起来”、“全世界无产者和被压迫民族联合起来”干什么呢？就是消除资本主义，建立社会主义。在科学社会主义产生的19世纪40年代，共产主义就是马克思的社会主义。那么什么是社会主义呢？这个曾经是很明确的问题，在当代，因苏联亡党亡国使国际共产主义运动陷入低潮而被搅得模糊起来。我们所从事的是马克思列宁主义指导的科学社会主义事业，而不是别的什么思想影响下的别的什么社会主义。牢牢记住马克思主义经典作家说过的几条最简明易懂的关于什么是社会主义的观点，就能识别形形色色的冒牌社会主义。</w:t>
      </w:r>
    </w:p>
    <w:p w14:paraId="540F67B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1846年，恩格斯致布鲁塞尔共产主义通讯委员会的信中说：“共产主义究竟是什么呢？……我把共产主义者的宗旨规定如下：(1)实现同资产者利益相反的无产者的利益；(2)用消灭私有制而代之以财产公有的手段来实现这一点；(3)除了进行暴力的民主的革命以外，不承认有实现这些目的的其他手段。”</w:t>
      </w:r>
    </w:p>
    <w:p w14:paraId="5F465ED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——1848年，马克思、恩格斯在《共产党宣言》里说：“共产主义的特征并不是要废除一般的所有制，而是要废除资产阶级的所有制。”“共产党人可以把自己的理论概括为一句话：消灭私有制。”</w:t>
      </w:r>
    </w:p>
    <w:p w14:paraId="1401D99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1850年，马克思在总结1848年至1850的法兰西阶级斗争时指出：无产阶级要“团结在革命的社会主义周围，团结在被资产阶级用布朗基来命名的共产主义周围。这种社会主义就是宣布不断革命，就是无产阶级的阶级专政，这种专政是达到消灭一切阶级差别，达到消灭这些差别所由产生的一切生产关系，达到消灭和这些生产关系相适应的一切社会关系，达到改变由这些社会关系产生出来的一切观念的必然的过渡阶段。”</w:t>
      </w:r>
    </w:p>
    <w:p w14:paraId="133DA2F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——1875年，恩格斯批评俄国民粹派时指出：“现代社会主义力图实现的变革，简言之，就是无产阶级战胜资产阶级，以及通过消灭任何阶级差别来建立新的社会组织。”</w:t>
      </w:r>
    </w:p>
    <w:p w14:paraId="4CE883C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1880年，恩格斯在《社会主义从空想到科学的发展》著作里说：“社会主义现在已经不再被看作某个天才头脑的偶然发现，而被看作两个历史地产生的阶级即无产阶级和资产阶级之间斗争的必然产物。它的任务不再是构想出一个尽可能完善的社会体系，而是研究必然产生这两个阶级及其相互斗争的那种历史的经济的过程；并在由此造成的经济状况中找出解决冲突的手段。”</w:t>
      </w:r>
    </w:p>
    <w:p w14:paraId="2030C33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——1894年，恩格斯在《法德农民问题》文章里说：“社会主义是专门反对剥削雇佣劳动的。”</w:t>
      </w:r>
    </w:p>
    <w:p w14:paraId="2CCA602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——1894年，列宁在批判自由主义民粹派时说：“要知道，反对剥削劳动者的抗议和斗争，目的在于完全消灭这种剥削的斗争，才叫作社会主义。”</w:t>
      </w:r>
    </w:p>
    <w:p w14:paraId="1E61026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——1905年，列宁在《小资产阶级社会主义和无产阶级社会主义》文章里说：“社会主义斗争则是工人反对整个资产阶级的斗争。”</w:t>
      </w:r>
    </w:p>
    <w:p w14:paraId="77C290D1">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——1916年，列宁在《论“废除武装”的口号》文章里强调：“谁指望不通过社会革命和无产阶级专政来实现社会主义，谁就不是社会主义者。”</w:t>
      </w:r>
    </w:p>
    <w:p w14:paraId="2C9F094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——1919年，列宁在《无产阶级专政时代的经济和政治》中说：“社会主义就是消灭阶级。”</w:t>
      </w:r>
    </w:p>
    <w:p w14:paraId="62CAF88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对上述言论无须作过多的解释，即使是文化程度不高的工农群众理解起来也不困难。因为他们是从自身的生活来认识和学习社会主义的，如同毛泽东所揭示的那样，“中国有许多专门从书本上讨生活的从事社会科学研究的共产党员，不是一批一批地成了反革命吗？……那些不识字的工人常常能够很好地掌握马克思主义”。</w:t>
      </w:r>
    </w:p>
    <w:p w14:paraId="3909379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当代中国人熟悉邓小平的一段话；“社会主义的本质，是解放生产力，发展生产力，消灭剥削，消除两极分化，最终达到共同富裕。”我们说马克思列宁主义、毛泽东思想、邓小平理论是一脉相承的，那么这个“一脉”是什么呢？在哪里呢？我们认为，就是邓小平说的“消灭剥削”。在市面上流行的解说邓小平理论的读本里，人们一眼就能发现，我国思想界往往只谈“解放生产力，发展生产力”、“共同富裕”三句话，认为这是邓小平社会主义本质观最主要、最本质的东西，而对“消灭剥削，消除两极分化”两句话不作解释，避而不谈。这种认识是极其错误、极其有害的。有这种认识的人，非常有必要学一学关于社会主义的初步知识。</w:t>
      </w:r>
    </w:p>
    <w:p w14:paraId="06C9D74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这种错误的认识割裂了邓小平社会主义本质观，泯灭了邓小平社会主义本质观鲜明的党性原则即阶级性和革命性，掩盖了邓小平社会主义本质观的社会指向和革命锋芒，把马克思主义的科学社会主义变成了非马克思主义或反马克思主义可以接受和玩弄的庸俗社会学。为什么呢？道理并不复杂，难道资产阶级就不解放生产力、发展生产力吗？任何关于什么是社会主义的思想观点，如果不把“消灭剥削”看作是最本质的东西，其错误的性质正如美国前驻苏大使马特洛克在《苏联解体亲历记》里一针见血地剖析苏共修正主义纲领所说的：“苏联领导人愿意抛弃这个观念(即阶级斗争的理论——笔者注)，那么他们是否继续称他们的指导思想为‘马克思主义’也就无关紧要了。这已是一个别样的社会里实行的别样的‘马克思主义’。这个别样的社会则是我们大家都能认可的社会。”显然，任何关于邓小平社会主义本质观的论述，有意或无意地回避“消灭剥削”即消灭由私有制形成剥削这一内核，就是抹杀了马克思主义的无产阶级社会主义与资产阶级社会主义的本质区别，都是对邓小平社会主义本质观的亵渎。</w:t>
      </w:r>
    </w:p>
    <w:p w14:paraId="73B8119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解放生产力，发展生产力”，是“消灭剥削，消除两极分化，最终达到共同富裕”的物质基础，而“消灭剥削，消除两极分化”是“解放生产力，发展生产力”和“最终达到共同富裕”的所有制基础，“最终达到共同富裕”是生产力发展和公有制发展共同的目标和结果。邓小平社会主义本质观更深刻的内容在于，既然“社会主义的本质”是“消灭剥削”，那么前提自然是在建立和建设的社会主义进程中还在一定程度、一定范围内存在私有制引发的剥削。由此，对社会主义实践的考察必然产生出一系列十分重大的问题及其思想逻辑，如什么是剥削?是谁在剥削谁?怎么才能“消灭剥削”?靠谁、靠什么来“消灭剥削”等等。马克思主义告诉我们，剥削是个生产方式和生产关系的问题，它发生在阶级之间，因而剥削关系也是个阶级关系问题。</w:t>
      </w:r>
    </w:p>
    <w:p w14:paraId="7EC8BC7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当代世界是资本主义生产方式和生产关系占统治地位的世界，不是别的而是私有资本剥削劳动，是资产阶级剥削工人阶级和其他劳动人民。剥削是怎么实现的？主要是通过商品交换，即通过商品经济实现的。就是说，有私有制基础上的商品经济就存在剥削，因为私有剩余价值就包含在商品之中，并通过商品经济，通过劳动力的买卖和其他商品交换得以实现。而“两极分化”是剥削的必然结果，“两极分化”就是阶级分化，其表现和结果就是无产阶级与资产阶级的矛盾和博弈。消灭剥削和消灭阶级是一回事，是一个问题的两个不可分割的方面。正是基于此，列宁讲“社会主义就是消灭阶级”，但是“要一下子消灭阶级是办不到的”。因为阶级的存在是同生产发展的一定历史阶段相联系的，因而消灭剥削即消灭阶级是一个历史的过程，因而社会主义要“消灭剥削”即消灭资本主义就必须实行一套科学的持久的政策和策略。这就是邓小平为什么说“最终达到共同富裕”。“最终”是个时空概念，所表达的内容就是告诉人们，“达到共同富裕”是要经过一个历史的过程，是社会主义社会发展的最终结果。</w:t>
      </w:r>
    </w:p>
    <w:p w14:paraId="6078335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无疑，在实现“达到共同富裕”的历史进程中，要“消灭剥削”就不可避免地发生阶级之间的矛盾和较量，即无产阶级彻底消灭资产阶级的斗争，而邓小平提出的四项基本原则是无产阶级为“消灭剥削”而彻底消灭资产阶级最有力的武器。因为“社会主义就是由无产阶级专政的社会向无国家的社会的过渡”。邓小平在1992年初即国际共产主义运动刚刚遭受巨大挫折的时候，毅然决然地指明社会主义的本质是“消灭剥削”，就是坚持了马克思主义的阶级斗争和无产阶级专政的学说，就是举起了马克思主义阶级斗争和人民民主专政(无产阶级专政)的社会主义革命旗帜。同时也是告诫我们，苏联共产党的领导集团就是因为放弃了科学社会主义的这个基本原则而导致了亡党亡国。</w:t>
      </w:r>
    </w:p>
    <w:p w14:paraId="0DE0B44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毋容置疑，马克思主义的科学社会主义的本质和宗旨，“就是阐明了无产阶级作为社会主义社会创造者的世界历史作用”，就是无产阶级反对资产阶级的斗争，就是“无产阶级必须采取政治行动，必须实行无产阶级专政以作为达到废除阶级并和阶级一起废除国家的过渡”，因而无产阶级只有解放全人类才能最后解放自己。所以“离开阶级斗争，社会主义就是空话或者幼稚的幻想”，“只要阶级斗争还在一定范围内存在，我们就不能丢弃马克思主义的阶级和阶级分析的观点与方法。这种观点与方法始终是我们观察社会主义与各种敌对势力斗争的复杂政治现象的一把钥匙。”所以马克思主义的科学社会主义是全面建设的社会主义，其中包括经济、政治、文化、社会、生态、国防等领域的建设，包括正确处理人民内部矛盾、敌我矛盾和阶级矛盾等，包括科学发展、改革和开放，包括社会主义的革命、建设和改革等。</w:t>
      </w:r>
    </w:p>
    <w:p w14:paraId="2855A645">
      <w:pPr>
        <w:spacing w:before="147" w:beforeLines="50" w:after="147" w:afterLines="50" w:line="400" w:lineRule="exact"/>
        <w:ind w:firstLine="480" w:firstLineChars="200"/>
        <w:jc w:val="center"/>
        <w:rPr>
          <w:rFonts w:hint="eastAsia" w:ascii="宋体" w:hAnsi="宋体"/>
          <w:b/>
          <w:bCs/>
          <w:color w:val="000000" w:themeColor="text1"/>
          <w:sz w:val="24"/>
          <w:szCs w:val="24"/>
          <w14:textFill>
            <w14:solidFill>
              <w14:schemeClr w14:val="tx1"/>
            </w14:solidFill>
          </w14:textFill>
        </w:rPr>
      </w:pPr>
      <w:bookmarkStart w:id="1195" w:name="_Toc19121"/>
      <w:bookmarkEnd w:id="1195"/>
      <w:bookmarkStart w:id="1196" w:name="_Toc15689"/>
      <w:bookmarkEnd w:id="1196"/>
      <w:bookmarkStart w:id="1197" w:name="_Toc7867"/>
      <w:bookmarkEnd w:id="1197"/>
      <w:bookmarkStart w:id="1198" w:name="_Toc4776"/>
      <w:bookmarkEnd w:id="1198"/>
      <w:bookmarkStart w:id="1199" w:name="_Toc3083"/>
      <w:r>
        <w:rPr>
          <w:rFonts w:hint="eastAsia" w:ascii="宋体" w:hAnsi="宋体"/>
          <w:b/>
          <w:bCs/>
          <w:color w:val="000000" w:themeColor="text1"/>
          <w:sz w:val="24"/>
          <w:szCs w:val="24"/>
          <w14:textFill>
            <w14:solidFill>
              <w14:schemeClr w14:val="tx1"/>
            </w14:solidFill>
          </w14:textFill>
        </w:rPr>
        <w:t>五、关于党是阶级的领导者和组织者</w:t>
      </w:r>
      <w:bookmarkEnd w:id="1199"/>
    </w:p>
    <w:p w14:paraId="09AC0A1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马克思、列宁的著作中，关于他们从事党的建设的历史实践和理论思想有丰富的记述，其中既有成功经验的总结，也有对失败教训的分析。当我们学习他们呕心沥血建立工人阶级政党的光辉历史和理论思想的时候，同时必须面对国际共产主义运动中一个又一个曲折的历史结果。一部马克思列宁主义发展史，就是一部既有成功发展又有惨痛失败的无产阶级政党的历史，就是一部无产阶级政党建设的经验和教训的历史教科书。显然，要学好马克思列宁主义关于党的建设的理论思想和基本经验，就必须结合各国无产阶级政党曲折斗争的经历。</w:t>
      </w:r>
    </w:p>
    <w:p w14:paraId="63DC014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19世纪40年代，也就是国际共产主义运动白手起家的年代始，马克思、恩格斯经过艰苦的宣传和动员，在欧洲一些国家首先开始建立工人阶级的政党组织，组织和发动了无产阶级革命运动。那时，马克思、恩格斯把分散的与个别资本家斗争的工人组织起来，“把许多性质相同的地方性的斗争汇合成全国性的斗争，汇合成阶级斗争”，把“无产者组织成为阶级，从而组织成为政党”。通过组建工人政党，他们给欧洲工人阶级灌输了这样两点最基本的思想理念：其一，“共产党一分钟也不忽略教育工人尽可能明确地意识到资产阶级和无产阶级的敌对的对立，以便德国工人能够立刻利用资产阶级统治所必然带来的社会的和政治的条件作为反对资产阶级的武器，以便在推翻德国的反动阶级之后立即开始反对资产阶级本身的斗争。”其二，“认清自己的阶级利益，尽快地采取自己独立政党的立场，一时一刻也不要由于受到民主主义的小资产者花言巧语的诱惑而离开无产阶级政党保持独立组织的道路。他们的战斗口号应该是：‘不断革命’，‘直到无产阶级夺取国家政权’。”正是由于建立了这样的革命或彻底改革的意识，欧洲工人阶级不断革命，发展出了夺取资产阶级政权的巴黎公社斗争。其后，他们大力支持德国社会民主党的建立，指导德国社会民主党在俾斯麦的“反社会主义者法”高压下，不屈不挠地进行“非法”的半公开的秘密斗争，获得了巨大发展。马克思去世后，恩格斯担起了指导世界无产阶级革命运动的重担，不失时机地以德国社会民主党为核心发起和组建了第二国际，在德国打破了“反社会主义者法”，使德国社会民主党获得了公开活动的权利和条件。</w:t>
      </w:r>
    </w:p>
    <w:p w14:paraId="331D513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比较后来列宁、毛泽东这样的能够完全掌控本国无产阶级政党的革命家、组织家和理论家，马克思、恩格斯在党的建设的实践方面就显露出很深的历史和时代的局限性。由于马克思深受欧洲各国反动政府的通缉和迫害，不仅在自己的祖国——德国，在其他一些国家也难以安身，被迫流亡在英国。这种已经公开的革命家身份，使他难以非常具体地指导各国的无产阶级政党的实际斗争和发展，主要是从远方和外部，给某一国家的工人政党活动以影响和导引。社会存在决定社会意识。国际共产主义运动的政党史表明，对党的建设具有重大指导作用的理论思想、政策策略和基本经验，是经过列宁、毛泽东的发展而系统化并成熟起来的。</w:t>
      </w:r>
    </w:p>
    <w:p w14:paraId="7C8C374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列宁领导俄国布尔什维克夺取十月革命的胜利，毛泽东领导中国共产党夺取中国革命的胜利，也是马克思列宁主义关于无产阶级政党建设思想上方法上的成功体现，是无产阶级政党建设取之不尽的思想宝库。</w:t>
      </w:r>
    </w:p>
    <w:p w14:paraId="317FAE41">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政党是干什么的？政党是近代以来，即资本主义社会建立以来阶级发展的产物和工具。为夺取政权和领导政权而进行的政治活动，是一切政党最基本的任务。谁不了解这一点，不牢牢地把握这一点，谁就不懂得政党是干什么的，也就不懂得党的建设的宗旨、任务和方法到底该怎么确定和实施，也就谈不上共产党的先进性建设、夺权能力建设和执政能力建设。</w:t>
      </w:r>
    </w:p>
    <w:p w14:paraId="4A2DD04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列宁对马克思主义政党建设的重要发展和贡献，首先体现在组织建设方面，确立了民主集中制的原则。这是列宁与深受第二国际“合法”斗争影响的俄国社会民主工党孟什维克派激烈斗争的产物。其实马克思很早就看出，“革命活动只有在集中的条件下才能发挥全部力量……实行最严格的中央集权制是真正革命党的任务。”列宁继承了马克思的这一基本思想，创造性地提出和贯彻了民主集中制的组织原则，从而在资产阶级镇压革命的复杂形势下，把“非法”斗争与“合法”斗争灵活地结合起来，取得了无产阶级革命政党的发展和胜利。而第二国际和俄国社会民主工党的孟什维克派，实行的仍然是来自资产阶级政党的自由主义的党的建设的理念和制度，在资产阶级国家所谓三权分立政体的“合法”的议会政党斗争中，反而被所谓的“合法”和议会民主制改造得面目全非，丧失了工人阶级政党的品格，堕落成欺骗工人的机会主义政党。列宁不仅以民主集中制组建和发展了俄国社会民主工党布尔什维克，还把这个原则推广到十月革命后俄国共产党对无产阶级专政的国家的领导和建设上，旗帜鲜明地强调，必须坚持俄共在国家政权中的领导地位，“国家政权的一切政治经济工作都由工人阶级觉悟的先锋队共产党领导”，其他政党必须接受和拥护俄共的领导地位，绝不允许搞什么资产阶级的议会多党制。针对国内外资产阶级和第二国际攻击俄共“独裁”、“一党专政”，列宁针锋相对地回答，如果你们认为坚持共产党的领导就是“一党专政”，那么“我们就说：是的，是一党专政！我们就是坚持一党专政，而且我们决不能离开这个基地”。民主集中制的组织原则是马克思列宁主义指导的无产阶级政党建设的基本原则和基本经验之一。</w:t>
      </w:r>
    </w:p>
    <w:p w14:paraId="669B9B51">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列宁对马克思主义政党建设的第二个重要贡献是，把俄国社会民主工党更名为俄国共产党。列宁的这个举动是20世纪前期那个年代国际共产主义运动和马克思主义政党史上的一件大事，对后来各国共产党的建立和发展产生了巨大影响。这件事的影响和意义，正如当年列宁阐明的：其一，“‘社会民主党’这个名称在科学上是不正确的……工人在建立了自己的国家之后，就了解到民主制(资产阶级民主制)的概念在我国革命的发展中已经过时了；我们建立了西欧任何地方不曾有过的民主类型”；“实际情况准确说明苏维埃政权是新型国家，是无产阶级专政的形式，说明我们为民主制提出了不同的任务”；其二，真正的无产阶级政党“所要达到的目的，即建立共产主义社会……因此，共产党这个名称在科学上是唯一正确的”；其三，第一次世界大战时期，“欧洲各先进国家旧的正式的社会党，都没有摆脱使欧洲正式社会主义在这次战争中彻底破产的社会沙文主义和社会爱国主义的乌烟瘴气，因此直到现在，几乎所有正式的社会党都是工人社会主义革命运动真正的障碍，真正的绊脚石”。俄国共产党的新命名，为酝酿已久的共产国际的成立扫清了道路，推动了后来一个时期国际共产主义运动的大发展。</w:t>
      </w:r>
    </w:p>
    <w:p w14:paraId="029E594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列宁对马克思主义政党建设的第三个重要贡献是，把农民当作无产阶级的极其重要、极其巨大的革命力量来依靠，解决了马克思、恩格斯和整个第一国际、第二国际“没有找到”的“接近农民的正确方法”，从而扩大了党的组织及其所领导的革命队伍，极大地拓展了无产阶级政党建设的深度和广度。</w:t>
      </w:r>
    </w:p>
    <w:p w14:paraId="3EE5B4B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列宁对马克思主义政党建设的第四个重要贡献是，在思想建设方面反对和摈弃“自发论”，提倡和推行科学的“灌输论”。列宁深入挖掘和论述了这样一个观点，马克思主义即科学社会主义是不能在工人阶级中自发产生的。实践证明，“工人阶级单靠自己本身的力量，只能形成工联主义的意识”及其经济主义；工人阶级的科学社会主义的意识“只能从外面灌输进入”。所以“问题只能是这样，或者是资产阶级的思想体系，或者是社会主义的思想体系，这里中间的东西的是没有的”；因为“在为阶级矛盾所分裂的社会中，任何时候不可能有非阶级的或超阶级的思想体系，因此，对社会主义思想体系的任何轻视和任何脱离，都意味着资产阶级思想体系的加强”；而“工人运动的自发的发展，恰恰导致运动受资产阶级思想体系的支配”。马克思列宁主义的立场、观点、方法和人类优秀的思想、道德和作风，都需要自觉地、有意识地、长期地去提倡和培养，才能被人们普遍接受并形成起来。这是因为自阶级社会产生以来，占统治地位的剥削阶级对劳动人民几千年的压迫和奴化，使剥削阶级的思想道德深入到社会生活的各个领域，形成了强大的习惯势力。要改变这种情况，只有经过长期不懈的教育。因此，必须有组织地、经常地对全体党员和各界群众进行系统地马克思主义思想道德的教育。</w:t>
      </w:r>
    </w:p>
    <w:p w14:paraId="06353B9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列宁对马克思主义及其政党建设的一些发展和贡献，是在与第二国际机会主义的斗争中取得的，是在反对一切修正主义和机会主义的斗争中产生和发展起来的。</w:t>
      </w:r>
    </w:p>
    <w:p w14:paraId="2B007DE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共产党是在十月革命和列宁主义建立起来的历史平台上，接受和吸取了世界上最先进的、最成功的俄国共产党的革命经验和建党理论成立起来的。为了在中国这样一个曾经是极度衰败的半殖民地半封建国家里，在一个有几亿贫穷愚昧的农民、众多小资产阶级而现代工业无产阶级很少的国家里，建立起以马克思列宁主义为指导、有战斗力的、强大的无产阶级政党，以毛泽东为代表的中国共产党人自觉地提出并解决了这样一个问题：“我们今天要怎样建设我们的党？要怎样才能建设一个‘全国范围的、广大群众性的、思想上政治上组织上完全巩固的布尔什维克化的中国共产党’？”“我们现在要建设这样一个党，究竟应该怎样进行呢？”由此，毛泽东把马克思列宁主义的政党建设及其理论学说发展成一个系统的、完备的科学体系。为什么这样说，根据在哪里呢？根据就是毛泽东发现并阐明了无产阶级政党建设的一条根本性的原理。</w:t>
      </w:r>
    </w:p>
    <w:p w14:paraId="4DCB6C3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科学产生和发展的历史表明，一种科学体系只有在它的理论形态里含有若干自然的或社会的基本原理的时候才能树立起来，才有了在科学史上独立存在的人类价值。原理不是被人为地制造出来的，而是在长期的生产实践和科学研究中，被人们发现出来的自然的或社会的不可违背的规律。</w:t>
      </w:r>
    </w:p>
    <w:p w14:paraId="28F07CC1">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毛泽东发现的无产阶级政党建设的基本原理是什么呢？1945年他在中国共产党第七次代表大会的政治报告里总结整风运动，总结中国共产党24年党的建设的一条基本经验：“掌握思想教育，是团结全党进行伟大政治斗争的中心环节。如果这个任务不解决，党的一切政治任务是不能完成的。”这个原理揭示出，无产阶级政党——共产党，首先是一个专门做政治思想工作的机关。政治思想工作是共产党各级组织和领导首要的工作和任务。党的历史表明，共产党的领导和威信，从而共产党的权力，首先和根本的是通过对广大群众进行持久而深入的政治思想教育，影响他们，把他们团结和争取到马克思主义的、共产党的旗帜下。共产党的领导首先和根本的是体现在“无产阶级思想领导”上。“思想领导”是必须通过党的政治思想的教育才能实现。毛泽东把思想教育和政治工作，当作“中心环节”，当作“生命线”，足见其多么的重要！如果共产党把“中心环节”和“生命线”这样的工作，这样的事情淡化或忘记了，那将意味着什么呢？就意味着共产党或党的一级组织放弃了，失去了对它所依靠的群众的影响，也就是放弃从根本上领导群众，这无异于一种自杀的行为。党的政治思想教育一旦被忽视或破坏，其结局就是群众和干部如同离群的野马，四散而去，相应的制度就会随之坍塌。制度固然重要，但思想会指导制度的制定和落实。</w:t>
      </w:r>
    </w:p>
    <w:p w14:paraId="6D3F4931">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邓小平在中国共产党第八次代表大会作修改党章报告时指出：“党是阶级组织的最高形式，指出这一点，在今天党已经在国家工作中居于领导地位的时候，特别重要。”无疑，党“是阶级的领导者和组织者”如果不是从无产阶级反对各种非无产阶级，特别是从反对封建主义和资产阶级的方面，自觉思考和从事党的建设及其政治思想工作，那么连党的建设的“门”也进不去。只有明确了、解决了党的建设及其政治思想工作的对象及其问题，党的其他建设才能有的放矢，党的组织才能成为教育人、改造人的学校，党的政治思想工作才能成为实现党的各项任务的强有力的工具。</w:t>
      </w:r>
    </w:p>
    <w:p w14:paraId="04DE473B">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思想理论教育是党的建设的基础，是中国共产党学习马克思列宁主义而总结出的一条根本经验，为我们党和整个国际共产主义运动正反两方面历史经验和教训的实践所证明。针对1989年的政治风波，邓小平一针见血地指出，“这次事件确实把我们的失误也暴露得足够了，我们确实有失误呀！而且失误很不小啊！”问题主要在哪里呢？就是我们的“教育和思想政治工作太差”，“缺乏一贯性，没有行动，甚至讲得都很少”，“十年最大的失误是教育，这里我主要是讲思想政治教育，不单纯是对学校、青年学生，是泛指对人民的教育”。正是因为“教育和思想政治工作太差”，导致了腐败蔓延，激起了严重的政治动乱，为此邓小平向全党大声疾呼，“这个党该抓了，不抓不行了”！东欧、苏联共产党的垮台，都可以从他们放弃这一无产阶级政党建设的基本原理得到科学的解释。</w:t>
      </w:r>
    </w:p>
    <w:p w14:paraId="0E5ED83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总之，我们应当看到，《马克思恩格斯文集》和《列宁专题文集》的编辑和出版，是中华民族和中国共产党人勤勉学习、准确传承和科学发展马克思列宁主义的写照。为了推进马列主义及其中国化理论的发展，我们首先就要研读马列主义本身，并弄懂马列主义与中国化马列主义之间的关系。在怎样学习马克思列宁主义这一国际共产主义运动的重要问题上，邓小平从中国共产党人的长期实践中作出的这样一个总结性论断，应当成为一切坚持马克思主义的同志们学习的指针。他说：“马克思主义的思想理论工作是不能离开现实政治的。我在这里所说的政治，是国内外阶级斗争的大局，是中国人民和世界人民在现实斗争中的根本利害。不能设想，离开政治的大局，不研究政治的大局，不估计革命斗争的实际发展，能成为一个马克思主义的思想家、理论家。”我们要以马列主义及其中国化理论为指导，继续促进中国和世界的不断进步与和谐。</w:t>
      </w:r>
    </w:p>
    <w:p w14:paraId="1F11A5E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p>
    <w:p w14:paraId="3B55FC7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参考文献：</w:t>
      </w:r>
    </w:p>
    <w:p w14:paraId="7F04455C">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[1]《马克思恩格斯文集》，北京：人民出版社，2009年。</w:t>
      </w:r>
    </w:p>
    <w:p w14:paraId="6E0CB326">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[2]《列宁专题文集》，北京：人民出版社，2009年。</w:t>
      </w:r>
    </w:p>
    <w:p w14:paraId="711D4C3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[3]《毛泽东选集》，北京：人民出版社，1991年。</w:t>
      </w:r>
    </w:p>
    <w:p w14:paraId="22CA387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[4]《邓小平文选》第3卷，北京：人民出版社，1993年。</w:t>
      </w:r>
    </w:p>
    <w:p w14:paraId="713113E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[5]程恩富、何干强：《坚持公有制为主体、多种所有制经济共同发展的基本经济制度》，载《海派经济学》2008卷第24辑。</w:t>
      </w:r>
    </w:p>
    <w:p w14:paraId="4C85221B">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[6]程恩富、胡乐明：《中国马克思主义理论研究60年》，载《马克思主义研究》2010年1期。[7]《江泽民文选》第3卷，北京：人民出版社，2006年。</w:t>
      </w:r>
    </w:p>
    <w:p w14:paraId="65CCC4C5">
      <w:pPr>
        <w:pStyle w:val="6"/>
        <w:spacing w:line="400" w:lineRule="exact"/>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(原载于《马克思主义研究》2011年第1期，第二作者为李伟。)</w:t>
      </w:r>
    </w:p>
    <w:p w14:paraId="7D0C9FC0">
      <w:pPr>
        <w:pStyle w:val="6"/>
        <w:spacing w:line="400" w:lineRule="exact"/>
        <w:ind w:firstLine="420" w:firstLineChars="200"/>
        <w:rPr>
          <w:rFonts w:hint="eastAsia" w:hAnsi="宋体"/>
          <w:color w:val="000000" w:themeColor="text1"/>
          <w14:textFill>
            <w14:solidFill>
              <w14:schemeClr w14:val="tx1"/>
            </w14:solidFill>
          </w14:textFill>
        </w:rPr>
      </w:pPr>
    </w:p>
    <w:p w14:paraId="40A1DBB5">
      <w:pPr>
        <w:pStyle w:val="3"/>
        <w:ind w:firstLine="640" w:firstLineChars="200"/>
        <w:outlineLvl w:val="1"/>
        <w:rPr>
          <w:rFonts w:hint="eastAsia"/>
          <w:color w:val="000000" w:themeColor="text1"/>
          <w14:textFill>
            <w14:solidFill>
              <w14:schemeClr w14:val="tx1"/>
            </w14:solidFill>
          </w14:textFill>
        </w:rPr>
      </w:pPr>
      <w:bookmarkStart w:id="1200" w:name="_Toc14850"/>
      <w:bookmarkStart w:id="1201" w:name="_Toc114057772"/>
      <w:bookmarkStart w:id="1202" w:name="_Toc11562"/>
      <w:bookmarkStart w:id="1203" w:name="_Toc1474750619"/>
      <w:bookmarkStart w:id="1204" w:name="_Toc522128403"/>
      <w:r>
        <w:rPr>
          <w:rFonts w:hint="eastAsia" w:ascii="黑体" w:hAnsi="黑体"/>
          <w:color w:val="000000" w:themeColor="text1"/>
          <w14:textFill>
            <w14:solidFill>
              <w14:schemeClr w14:val="tx1"/>
            </w14:solidFill>
          </w14:textFill>
        </w:rPr>
        <w:t>2</w:t>
      </w:r>
      <w:r>
        <w:rPr>
          <w:rFonts w:ascii="黑体" w:hAnsi="黑体"/>
          <w:color w:val="000000" w:themeColor="text1"/>
          <w14:textFill>
            <w14:solidFill>
              <w14:schemeClr w14:val="tx1"/>
            </w14:solidFill>
          </w14:textFill>
        </w:rPr>
        <w:t>关于中国模式研究的若干难点问题探析</w:t>
      </w:r>
      <w:bookmarkEnd w:id="1200"/>
      <w:bookmarkEnd w:id="1201"/>
      <w:bookmarkEnd w:id="1202"/>
      <w:bookmarkEnd w:id="1203"/>
      <w:bookmarkEnd w:id="1204"/>
    </w:p>
    <w:p w14:paraId="753E4FDE">
      <w:pPr>
        <w:autoSpaceDE w:val="0"/>
        <w:spacing w:before="147" w:beforeLines="50"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摘要：中国模式是客观存在和分层次的，阐述中国模式的经济、政治、文化和社会的体制内涵，强调世界热议的中国模式，实质上指的是社会主义本质在中国的当代实现形式，中国模式的全称是“当代中国特色社会主义模式”。</w:t>
      </w:r>
    </w:p>
    <w:p w14:paraId="0154B28F">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关键词：中国模式；当代中国的社会主义发展模式；中国特色社会主义模式</w:t>
      </w:r>
    </w:p>
    <w:p w14:paraId="5F7FD1B7">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中国模式的讨论由来已久。</w:t>
      </w:r>
      <w:r>
        <w:rPr>
          <w:rFonts w:hint="eastAsia" w:cs="Calibri"/>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w:t>
      </w:r>
      <w:r>
        <w:rPr>
          <w:rFonts w:hint="eastAsia" w:cs="Calibri"/>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年代之前，便有国外学者讨论和研究中国模式。</w:t>
      </w:r>
      <w:r>
        <w:rPr>
          <w:rFonts w:hint="eastAsia" w:cs="Calibri"/>
          <w:color w:val="000000" w:themeColor="text1"/>
          <w14:textFill>
            <w14:solidFill>
              <w14:schemeClr w14:val="tx1"/>
            </w14:solidFill>
          </w14:textFill>
        </w:rPr>
        <w:t>80-90</w:t>
      </w:r>
      <w:r>
        <w:rPr>
          <w:rFonts w:hint="eastAsia" w:ascii="宋体" w:hAnsi="宋体"/>
          <w:color w:val="000000" w:themeColor="text1"/>
          <w14:textFill>
            <w14:solidFill>
              <w14:schemeClr w14:val="tx1"/>
            </w14:solidFill>
          </w14:textFill>
        </w:rPr>
        <w:t>年代，国际范围关于中国模式的讨论趋于活跃。其间国外学者多以比较中俄经济转轨视角来探讨中国模式。进入</w:t>
      </w:r>
      <w:r>
        <w:rPr>
          <w:rFonts w:hint="eastAsia" w:cs="Calibri"/>
          <w:color w:val="000000" w:themeColor="text1"/>
          <w14:textFill>
            <w14:solidFill>
              <w14:schemeClr w14:val="tx1"/>
            </w14:solidFill>
          </w14:textFill>
        </w:rPr>
        <w:t>21</w:t>
      </w:r>
      <w:r>
        <w:rPr>
          <w:rFonts w:hint="eastAsia" w:ascii="宋体" w:hAnsi="宋体"/>
          <w:color w:val="000000" w:themeColor="text1"/>
          <w14:textFill>
            <w14:solidFill>
              <w14:schemeClr w14:val="tx1"/>
            </w14:solidFill>
          </w14:textFill>
        </w:rPr>
        <w:t>世纪以来，国际社会开始从国家整体发展战略和现代化道路等视角对中国模式进行更加广泛的讨论。</w:t>
      </w:r>
      <w:r>
        <w:rPr>
          <w:rFonts w:hint="eastAsia" w:cs="Calibri"/>
          <w:color w:val="000000" w:themeColor="text1"/>
          <w14:textFill>
            <w14:solidFill>
              <w14:schemeClr w14:val="tx1"/>
            </w14:solidFill>
          </w14:textFill>
        </w:rPr>
        <w:t>2004</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月雷默提出“北京共识”更是催生了中国模式的深入讨论。</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全球金融危机爆发，一些曾经认为西方经济体系完美无缺的经济学家对于被许多发展中国家称赞并仿效的中国模式表现出浓厚兴趣。然而其关于“中国道路”、“中国经验”、中国模式的内涵、独特性、面临的挑战及世界性的深远影响等解读，因立场、视角和心态的不同而有明显差别。</w:t>
      </w:r>
    </w:p>
    <w:p w14:paraId="41484093">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与国外学者的“热炒”相比，中国学者和媒体对于中国模式则显得比较拘谨。以纪念改革开放</w:t>
      </w:r>
      <w:r>
        <w:rPr>
          <w:rFonts w:hint="eastAsia" w:cs="Calibri"/>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周年和新中国成立</w:t>
      </w:r>
      <w:r>
        <w:rPr>
          <w:rFonts w:hint="eastAsia" w:cs="Calibri"/>
          <w:color w:val="000000" w:themeColor="text1"/>
          <w14:textFill>
            <w14:solidFill>
              <w14:schemeClr w14:val="tx1"/>
            </w14:solidFill>
          </w14:textFill>
        </w:rPr>
        <w:t>60</w:t>
      </w:r>
      <w:r>
        <w:rPr>
          <w:rFonts w:hint="eastAsia" w:ascii="宋体" w:hAnsi="宋体"/>
          <w:color w:val="000000" w:themeColor="text1"/>
          <w14:textFill>
            <w14:solidFill>
              <w14:schemeClr w14:val="tx1"/>
            </w14:solidFill>
          </w14:textFill>
        </w:rPr>
        <w:t>周年为契机，国内对于中国发展经验与教训的总结深入展开，对于世界热议的中国模式的研究也持续升温，进入</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年以来达到高潮。现就研究中的若干难点和疑点问题作些探讨和分析。</w:t>
      </w:r>
    </w:p>
    <w:p w14:paraId="6575F5E9">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05" w:name="_Toc12817"/>
      <w:bookmarkEnd w:id="1205"/>
      <w:bookmarkStart w:id="1206" w:name="_Toc2877"/>
      <w:bookmarkEnd w:id="1206"/>
      <w:bookmarkStart w:id="1207" w:name="_Toc9621"/>
      <w:bookmarkEnd w:id="1207"/>
      <w:bookmarkStart w:id="1208" w:name="_Toc3743"/>
      <w:bookmarkEnd w:id="1208"/>
      <w:bookmarkStart w:id="1209" w:name="_Toc1002"/>
      <w:r>
        <w:rPr>
          <w:rFonts w:hint="eastAsia" w:ascii="宋体" w:hAnsi="宋体"/>
          <w:b/>
          <w:color w:val="000000" w:themeColor="text1"/>
          <w:sz w:val="24"/>
          <w:szCs w:val="24"/>
          <w14:textFill>
            <w14:solidFill>
              <w14:schemeClr w14:val="tx1"/>
            </w14:solidFill>
          </w14:textFill>
        </w:rPr>
        <w:t>一、什么是模式，有没有中国模式</w:t>
      </w:r>
      <w:bookmarkEnd w:id="1209"/>
    </w:p>
    <w:p w14:paraId="3B28AD3D">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一种观点认为要慎提中国模式。有学者不赞成使用“模式”一词，认为我们的体制还没有定型，还在继续探索，讲“模式”，有定型之嫌，并提出以“中国特色”替代中国模式。有学者认为“模式”一词含有示范、样本之义，但中国并无此意，应该叫“中国案例”。</w:t>
      </w:r>
    </w:p>
    <w:p w14:paraId="08F1EA43">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多数观点认为不能否认中国模式。有学者指出，对于否认中国模式的客观存在的意见，事关我们在中国模式问题上的话语权，尤需通过讨论加以澄清。中国模式着眼于社会主义发展道路的多样性，丝毫没有自封样板之意；它所体现的不是“民族主义”，而是无产阶级尊重民族特征、重视民族差别的一贯要求；它可供别国借鉴和参考，但不能照抄更不能强加；要适应新变化顺应新期待，与时俱进地不断完善中国模式。</w:t>
      </w:r>
    </w:p>
    <w:p w14:paraId="3FE8A039">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也有学者指出，没有必要回避中国模式。认为还处于变动之中就没有中国模式，那么只能说当今世界没有任何模式；认为只有完全定型的才称之为“模式”，那等于说“模式”必定是僵化的。也有学者认为，不承认中国模式，只能导致对其所包含的缺陷的忽视或漠视。</w:t>
      </w:r>
    </w:p>
    <w:p w14:paraId="1DE9AB73">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我们认为，中国模式是客观存在的，也是不容回避的。</w:t>
      </w:r>
    </w:p>
    <w:p w14:paraId="18C75B61">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一，模式和其多样性是一种客观现实。世界上曾经出现过许多这样或那样的模式。任何一种模式都是相对于其他发展模式而言的。一旦一国或一地区经济发展取得显著成就或具有突出特点，就会有相应的模式提出，比如“莱茵模式”、“盎格鲁－撒克逊模式”、“东亚模式”等资本主义模式。再如“南斯拉夫模式”、“苏联模式”等有过重要影响的社会主义模式。中国模式概念提出的参照系，正是上述各类模式。社会发展模式的多样性是人类社会发展的一般规律和特殊规律的现实体现，是普遍性与特殊性的统一。世界各国的发展模式大都借鉴了人类社会已有的文明成果，反映了特定阶段人类社会发展的某些共同因素，体现了人类社会发展一般规律的共同作用。</w:t>
      </w:r>
    </w:p>
    <w:p w14:paraId="3A899411">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第二，中国模式并非西方人的发明。一些论著把中国模式的提出归之于雷默的“北京共识”。其实它并非西方人的发明。早在</w:t>
      </w:r>
      <w:r>
        <w:rPr>
          <w:rFonts w:hint="eastAsia" w:cs="Calibri"/>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w:t>
      </w:r>
      <w:r>
        <w:rPr>
          <w:rFonts w:hint="eastAsia" w:cs="Calibri"/>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年代，邓小平就多次提到中国模式，江泽民、胡锦涛等均有相关详细论述。他们提出或说使用中国模式概念，是瞩目于坚决维护世界多样性和发展模式多样化，坚定支持各国选择自己发展模式的正当权利，也是着眼于强调现代化建设不能照搬别国模式，必须独立自主地走自己的路。而且，他们并没有因中国尚未在各方面形成一整套完全定型的制度而否认中国模式。由于基本制度、经济政治文化传统及社会历史背景的不同，各种发展模式都具有自己鲜明的特色，即便同属资本主义或社会主义的发展模式，因受各自国家发展战略和政策等影响，其具体内涵也有差异。况任何模式决非完美无缺或一成不变，需随时代和环境变化而有所调整。因此，那种认为提中国模式有完全定型化之嫌，可能导致“自满”的理由就显得微不足道了。</w:t>
      </w:r>
    </w:p>
    <w:p w14:paraId="4F940343">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三，金融危机后，中国的优秀表现使世界的反思有了一个客观存在的参照系，因而中国模式及其导致的中国崛起被世界热议。还有，《人民论坛》杂志社联合几家媒体进行的“你如何看待中国模式？”的专题调查，比较可信地反映出中国民众对中国模式概念的认可。在此境况下，使用中国模式概念应是水到渠成的事，不仅不会冲淡“中国道路”的鲜亮颜色，相反，只会给“中国道路”或“中国特色”添彩增色，进一步丰富对中国的研究和宣传。许多国外知识界和媒体，更偏好于使用“中国模式”一词。</w:t>
      </w:r>
    </w:p>
    <w:p w14:paraId="68D87A5D">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10" w:name="_Toc11542"/>
      <w:bookmarkEnd w:id="1210"/>
      <w:bookmarkStart w:id="1211" w:name="_Toc3566"/>
      <w:bookmarkEnd w:id="1211"/>
      <w:bookmarkStart w:id="1212" w:name="_Toc10987"/>
      <w:bookmarkEnd w:id="1212"/>
      <w:bookmarkStart w:id="1213" w:name="_Toc10043"/>
      <w:bookmarkEnd w:id="1213"/>
      <w:bookmarkStart w:id="1214" w:name="_Toc3356"/>
      <w:r>
        <w:rPr>
          <w:rFonts w:hint="eastAsia" w:ascii="宋体" w:hAnsi="宋体"/>
          <w:b/>
          <w:color w:val="000000" w:themeColor="text1"/>
          <w:sz w:val="24"/>
          <w:szCs w:val="24"/>
          <w14:textFill>
            <w14:solidFill>
              <w14:schemeClr w14:val="tx1"/>
            </w14:solidFill>
          </w14:textFill>
        </w:rPr>
        <w:t>二、中国模式的实质</w:t>
      </w:r>
      <w:bookmarkEnd w:id="1214"/>
    </w:p>
    <w:p w14:paraId="0DB04E09">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有学者认为，中国模式实质上就是中国作为一个发展中国家在全球化背景下实现社会现代化的一种战略选择，就是中国在改革开放过程中逐渐发展起来的一整套应对全球化挑战的发展战略和治理模式。也有学者认为，中国模式其实质内涵，是现实性的马克思人类解放理论的现实性运用，是基本原理与具体国情相结合的中国社会主义道路。“四个建设”的提出是对中国马克思主义者现实化马克思人类解放理论的实践经验的总结与升华，是对中国模式的最全面概括。</w:t>
      </w:r>
    </w:p>
    <w:p w14:paraId="4C977424">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认为，其一，国内外学界基于静态的社会制度、动态的转轨转型以及经济发展这样几个视角对中国模式进行了解读，其中不乏真知灼见，也有以偏概全。这就好比盲人摸象，中国现状在各类盲人摸象中得到拼凑，而若把这些局部拼凑起来，可得全貌。当然有些观点则不能排除是居心叵测的“误读”。但从总体上看，国内外的观点是有助于我们从整体上认识中国模式内涵的。不讲社会主义，不讲四项基本原则，不分清一些基本的界限如“四个重大界限”，就无法深入地把握中国模式的实质。一些观点就因这方面有意无意地“忘却”，从而使自己对中国模式的解读沦落为对中国现状既片面且表象的描画，自然也就既无法把握中国模式的“中国特色”，也无法正确回答中国模式“从何处来，到何处去？”这一深刻理解中国模式无法规避的重大问题。有学者就指出，与忽略社会主义性质相对应，国外学者论及中国模式内涵时较少涉及它的制度层面。</w:t>
      </w:r>
    </w:p>
    <w:p w14:paraId="21CE491C">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二，不能正确把握列宁关于社会主义及其民族实现形式之间关系的论断，即一切民族都将走向社会主义，但一切民族的走法却不会完全一样……每个民族都会有自己的特点，那很可能会使自己对中国模式内涵的解读不可避免地陷入教条化的尴尬境地。换言之</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因为不能理解中国模式的民族性，很可能会导致把自己对中国模式内涵所作的可能含有真理颗粒的解读或者说某些中国的经验当作“教条”来挥舞，从而暴露出自己强求模式千篇一律的所谓西方优越性的思维模式特点。我们坚持认为，对中国模式内涵的解读，既要立足当代，也要跳出“当代性”的陷阱。否则就会因无视“没有一成不变的发展道路和发展模式”这一历史一再证明的真理，而犯“把书本上的个别论断当做束缚自己思想和手脚的教条”或“把实践中已见成效的东西看成完美无缺的模式”等错误。我们必须牢记胡锦涛强调的“必须不断完善适合我国国情的发展道路和发展模式”的论断，否则，中国模式的所谓“定型”之日，可能就是中国模式注定没有未来之时。解读中国模式的内涵，如果不放眼世界，那必定宛如盲人摸象，只能失之片面，从而既无法理解邓小平关于中国要谋求发展，就必须开放的告诫，也无法深入触摸到中国模式本身宣示的“维护世界多样性和发展模式多样化”这一具有强大生命力的真理。</w:t>
      </w:r>
    </w:p>
    <w:p w14:paraId="284614A1">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三，中国模式作为一种社会发展模式，是一种社会主义的发展模式，是一种当代中国的社会主义发展模式。首先，尽管中国模式充分学习和借鉴了包括西方资本主义在内的一切人类文明优秀成果，但是中国模式与西方模式显然存在本质差异。因而中国模式的成功在于，正确处理社会主义与资本主义的关系，充分利用资本主义来发展社会主义。其次，尽管中国模式没有彻底否定“苏联模式”，中国模式与“苏联模式”等社会主义的发展模式之间存在某些共同之处，但中国模式与其他社会主义发展模式也存在着明显的重大的差异。因而中国模式的成功还在于，高举中国特色社会主义伟大旗帜，开辟了中国特色社会主义道路，形成了中国特色社会主义理论体系。</w:t>
      </w:r>
    </w:p>
    <w:p w14:paraId="6266C1D9">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四，把马克思主义基本原理同中国具体实际相结合，走自己的道路，建设中国特色社会主义，无疑是对中国模式的精神实质所作的精炼概括。因为这一概括既讲了社会主义，也深刻把握了中国模式的民族性时代性，还维护了世界多样性和发展模式多样化；同时还回答了中国模式“从何处来，到何处去？”这一重大问题。诚然，做好中国模式或有中国特色社会主义道路的解读，需讲究传播艺术，这样有助于消除世界对中国的偏见，使中国发展模式得以在世界范围内赢得更多理解与发展空间。</w:t>
      </w:r>
    </w:p>
    <w:p w14:paraId="5415705F">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上述对中国模式所作的分析，启发我们得出这样一个结论，即目前世界热议的中国模式的实质是社会主义本质在中国的当代实现形式而已。中国模式的成功是中国特色社会主义的成功。其实际经验就在于十七大报告所总结的“十个结合”。中国模式主张利用外国的和本国的资本主义，但又从未把资本主义当成目标，并一再强调利用的前提即“主体是社会主义”，强调坚持四项基本原则和共同富裕，强调发展成果为人民共享。中国模式彰显了社会主义本质实现的中国个性，具有较强的民族色彩。同时体现了改革开放以来的时代精神和进步内容，具有鲜明的当代性。中国模式将会与时俱进地汲取时代的新精神和进步内容。</w:t>
      </w:r>
    </w:p>
    <w:p w14:paraId="5D92D437">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15" w:name="_Toc32298"/>
      <w:bookmarkEnd w:id="1215"/>
      <w:bookmarkStart w:id="1216" w:name="_Toc14368"/>
      <w:bookmarkEnd w:id="1216"/>
      <w:bookmarkStart w:id="1217" w:name="_Toc10709"/>
      <w:bookmarkEnd w:id="1217"/>
      <w:bookmarkStart w:id="1218" w:name="_Toc13136"/>
      <w:bookmarkEnd w:id="1218"/>
      <w:bookmarkStart w:id="1219" w:name="_Toc23199"/>
      <w:r>
        <w:rPr>
          <w:rFonts w:hint="eastAsia" w:ascii="宋体" w:hAnsi="宋体"/>
          <w:b/>
          <w:color w:val="000000" w:themeColor="text1"/>
          <w:sz w:val="24"/>
          <w:szCs w:val="24"/>
          <w14:textFill>
            <w14:solidFill>
              <w14:schemeClr w14:val="tx1"/>
            </w14:solidFill>
          </w14:textFill>
        </w:rPr>
        <w:t>三、中国模式的体制特征与内涵</w:t>
      </w:r>
      <w:bookmarkEnd w:id="1219"/>
    </w:p>
    <w:p w14:paraId="124AF054">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有些学者分别认为，中国特色经济模式中，既有社会主义因素，也容许资本主义因素存在。中国经济并没有照抄欧美自由市场模式，没有遵循新自由主义的“华盛顿共识”。中国政治模式是参与式民主和协商式民主；是在共产党领导下为实现现代化强国而走出来的道路；集权为民是其显著特点；当代中国“民本”政治模式中共产党在革命和建设事业上不可替代的先进性等。中国模式的文化体制成就，即马克思主义文化日益显现与普通民众的亲和力；趋利避义的价值取向并没有为大众所接受和推崇；越来越多的思想精英开始引导民众进行发展目的的反思，以人为本、“和谐社会”这一中华文化的根基被重拾。中国社会转型，包括从原有计划经济向社会主义市场经济体制转变、农业社会向工业社会转变、乡村社会向城镇社会转变、封闭半封闭社会向开放社会转变、伦理社会向法理社会转变等。中国模式其实就是中华文明孕育了五千年，在改革开放条件下催生而出，且正在茁壮成长的和谐社会建设。</w:t>
      </w:r>
    </w:p>
    <w:p w14:paraId="68FE3FA8">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认为，要区分中国模式的层次。目前学术界对此问题的认识较为混乱，笔者主张把中国模式先分成中国发展模式与中国体制模式，比如中国经济发展模式和中国经济体制模式，中国政治发展模式和中国政治体制模式；然后中国经济发展模式再分层次，如工业、农业、外贸、城镇化等领域的发展模式，如中国经济体制模式还可以细分为经济体制改革</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过程</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模式与经济体制改革目标模式。中国政治、文化、社会、外交、国防等领域都可以细分层次。全面把握十六大以来党中央所孜孜追索的特色事业四位一体总体布局，按此布局全面推进社会主义的市场经济、民主政治、先进文化和和谐社会建设，是坚持中国特色社会主义道路的内在要求，也是我们正确理解中国模式的基本立足点和出发点。以下笔者简述中国体制模式的主要内容。</w:t>
      </w:r>
    </w:p>
    <w:p w14:paraId="3033BA6C">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模式在经济建设上形成了“四主型经济制度”特征：公有主体型的多种类产权制度，即在公有制为主体的前提下发展中外私有制经济；劳动主体型的多要素分配制度，即按劳分配为主体多要素所有者凭产权参与分配，经济公平与经济效率呈现交互同向和并重关系；国家主导型的多结构市场制度，即多结构地发展市场体系，发挥市场的基础性配置资源的作用；自立主导型的多方位开放制度，即处理好引进国外技术和资本同自力更生地发展自主知识产权和高效利用本国资本的关系，实行内需为主并与外需相结合的经济交往关系。</w:t>
      </w:r>
    </w:p>
    <w:p w14:paraId="55A18E75">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模式在政治建设上形成了“三者统一、四层制度”的架构。即坚持党的领导、人民当家作主、依法治国有机统一，坚持和完善人民代表大会制度、中国共产党领导的多党合作和政治协商制度、民族区域自治制度以及基层群众自治制度，不断推进社会主义政治制度自我完善和发展。</w:t>
      </w:r>
    </w:p>
    <w:p w14:paraId="36E61CC9">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模式在文化建设上形成了“一个体系、两个主体”的格局。社会主义先进文化体现在构建和弘扬社会主义核心价值体系，文化发展始终坚持改革创新和科技进步，大力破除制约发展的体制性障碍，不断解放和发展文化生产力；在此基础上文化建设形成了“公有制为主体、民族文化为主体”的两主体格局。</w:t>
      </w:r>
    </w:p>
    <w:p w14:paraId="1837B52C">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模式在社会建设上形成了“一个格局、三个互动、四个机制”的体制。即构建和谐社会要求“健全党委领导、政府负责、社会协同、公众参与的社会管理格局”；社会管理体制方面，积极推动建立政府调控机制同社会协调机制互联、政府行政功能同社会自治功能互补、政府管理力量同社会调节力量互动的社会管理网络，形成科学有效的利益协调、诉求表达、矛盾调处和权益保障等机制。</w:t>
      </w:r>
    </w:p>
    <w:p w14:paraId="6CE1FA18">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20" w:name="_Toc6793"/>
      <w:bookmarkEnd w:id="1220"/>
      <w:bookmarkStart w:id="1221" w:name="_Toc19409"/>
      <w:bookmarkEnd w:id="1221"/>
      <w:bookmarkStart w:id="1222" w:name="_Toc13282"/>
      <w:bookmarkEnd w:id="1222"/>
      <w:bookmarkStart w:id="1223" w:name="_Toc12358"/>
      <w:bookmarkEnd w:id="1223"/>
      <w:bookmarkStart w:id="1224" w:name="_Toc11945"/>
      <w:r>
        <w:rPr>
          <w:rFonts w:hint="eastAsia" w:ascii="宋体" w:hAnsi="宋体"/>
          <w:b/>
          <w:color w:val="000000" w:themeColor="text1"/>
          <w:sz w:val="24"/>
          <w:szCs w:val="24"/>
          <w14:textFill>
            <w14:solidFill>
              <w14:schemeClr w14:val="tx1"/>
            </w14:solidFill>
          </w14:textFill>
        </w:rPr>
        <w:t>四、中国模式的影响</w:t>
      </w:r>
      <w:bookmarkEnd w:id="1224"/>
    </w:p>
    <w:p w14:paraId="3F4D982C">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的成就赢得了世人高度关注。有学者分析，三十年来国外学者对中国模式从忽视到重视，中国道路正成为国外学界探讨的热点；国外政要对中国模式从否认到承认，中国因素正成为国际政要认识、把握世界格局的重要因子；外国政府对中国模式从戒备到借鉴，中国经验正成为国外政府治国理政的重要参考。国外学者主要有“可效仿的榜样说”、“西方的威胁说”、“历史重燃希望说”等众多评论。</w:t>
      </w:r>
    </w:p>
    <w:p w14:paraId="55DCA4B3">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我们看来，首先，多年以来尤其是此次世界金融危机以来，“人们将许多不平等现象归咎于美国式的资本主义，全世界对这些不平等现象的不满，可能会将人们的注意力更多地转向像中国这样的社会主义模式”。但若据此认为中国模式会对世界产生什么“威胁”，那无疑是错误的。中国模式本身既维护世界多样性和发展模式多样化，也坚决反对强加于人的做派行径。因此，对那些“中国模式威胁论”者们来说，只需说一句：“世上本无事，庸人自扰之”。</w:t>
      </w:r>
    </w:p>
    <w:p w14:paraId="056C2054">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次，中国模式既证明了社会主义模式的多样性原理，也证明了社会主义的生命力的事实，无疑会使真正关心世界社会主义前途命运的世界进步人士重新燃起希望之火。金融危机后，西方资本主义发达国家“反资本主义行情”看涨，社会主义在某些基本层面成为“金字招牌”、西方学界重现“马克思主义的复兴”现象，以及西方左翼终于开始“获得巨大的发展契机”等事实，无疑会使更多的人们相信，新自由主义的、全球化的资本主义并非历史的终结，进步人类有必要“更加认真地思考社会主义的历史主题”，“对所谓资本主义的胜利从新的视角进行思索”。</w:t>
      </w:r>
    </w:p>
    <w:p w14:paraId="4460A20A">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再次，虽然中国模式具有较强的民族色彩，或说“中国特色”，但这丝毫不意味着中国模式不可以供外国学习和借鉴，也丝毫不意味着可以否认中国模式给世界提供了普遍适用的经验。正如邓小平早就对外国元首所说的：“如果说中国有什么适用的经验，恐怕就是按照自己国家的实际情况制定自己的政策和计划，在前进过程中及时总结经验。”十七大报告总结的“十个结合”的经验，客观上会产生国际影响。</w:t>
      </w:r>
    </w:p>
    <w:p w14:paraId="12EE0A00">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25" w:name="_Toc19590"/>
      <w:bookmarkEnd w:id="1225"/>
      <w:bookmarkStart w:id="1226" w:name="_Toc27687"/>
      <w:bookmarkEnd w:id="1226"/>
      <w:bookmarkStart w:id="1227" w:name="_Toc30452"/>
      <w:bookmarkEnd w:id="1227"/>
      <w:bookmarkStart w:id="1228" w:name="_Toc17302"/>
      <w:bookmarkEnd w:id="1228"/>
      <w:bookmarkStart w:id="1229" w:name="_Toc10484"/>
      <w:r>
        <w:rPr>
          <w:rFonts w:hint="eastAsia" w:ascii="宋体" w:hAnsi="宋体"/>
          <w:b/>
          <w:color w:val="000000" w:themeColor="text1"/>
          <w:sz w:val="24"/>
          <w:szCs w:val="24"/>
          <w14:textFill>
            <w14:solidFill>
              <w14:schemeClr w14:val="tx1"/>
            </w14:solidFill>
          </w14:textFill>
        </w:rPr>
        <w:t>五、中国模式面临的挑战</w:t>
      </w:r>
      <w:bookmarkEnd w:id="1229"/>
    </w:p>
    <w:p w14:paraId="446FD35C">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有学者指出，我们应如何回应被世人热议的中国模式？应当自警自检，不可自我膨胀自夸“盛世”，尤其腐败盛行使中国模式面临生死考验。有学者也指出，重要的是深入探究中国模式的要素、特征，分析其得失之道，尤其是从这种发展模式中应当吸取哪些教训。美国有学者认为，无论左、右翼，对中国模式还没有形成完全共识，中国必须进一步深化改革，清除腐败，才能未雨绸缪，防患于未然。</w:t>
      </w:r>
    </w:p>
    <w:p w14:paraId="0BD4B5F0">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认为，任何一个发展模式都并非完美无缺，都会面临这样那样的挑战。中国模式当前面临着以下主要挑战：如指导思想上，一些人妖魔化马克思主义，神圣化西方学术理论、体制和政策；人口资源环境压力过大，高耗能高污染高成本严重制约着国民经济的可持续发展；对外经济依存度过高造成经济发展的自主性不足；学术文化赤字较高，学术文化“走出去”的步伐缓慢，文化软实力有待加强；社会不良事件不断增加，社会管理难度增大，等等。</w:t>
      </w:r>
    </w:p>
    <w:p w14:paraId="11099AFE">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对这些风险与挑战，首先要有充分的思想准备，认识到改革开放本身是充满风险的事业，以增强忧患意识和攻克难题决心。其次要有科学的理念，掌握辩证唯物主义的认识论，努力解决有限和无限、已知和未知的矛盾，加强对世情、国情、党情和民情的科学认知，在马克思主义及其中国化理论的指导下，实事求是、解放思想，与时俱进，求真务实，将科学理念转化为实际行动。再次要有解决实际问题的政策措施和体制机制，最大限度地消除风险，变挑战为动力。</w:t>
      </w:r>
    </w:p>
    <w:p w14:paraId="036B4194">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30" w:name="_Toc17704"/>
      <w:bookmarkEnd w:id="1230"/>
      <w:bookmarkStart w:id="1231" w:name="_Toc15856"/>
      <w:bookmarkEnd w:id="1231"/>
      <w:bookmarkStart w:id="1232" w:name="_Toc11776"/>
      <w:bookmarkEnd w:id="1232"/>
      <w:bookmarkStart w:id="1233" w:name="_Toc19320"/>
      <w:bookmarkEnd w:id="1233"/>
      <w:bookmarkStart w:id="1234" w:name="_Toc8832"/>
      <w:r>
        <w:rPr>
          <w:rFonts w:hint="eastAsia" w:ascii="宋体" w:hAnsi="宋体"/>
          <w:b/>
          <w:color w:val="000000" w:themeColor="text1"/>
          <w:sz w:val="24"/>
          <w:szCs w:val="24"/>
          <w14:textFill>
            <w14:solidFill>
              <w14:schemeClr w14:val="tx1"/>
            </w14:solidFill>
          </w14:textFill>
        </w:rPr>
        <w:t>六、中国模式与中国道路等的关系</w:t>
      </w:r>
      <w:bookmarkEnd w:id="1234"/>
    </w:p>
    <w:p w14:paraId="6CD9E864">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有些学者认为，中国模式与中国道路完全不同，特色论与模式论是截然不同的两种发展战略思维方式。总结三十多年改革发展史，最宝贵的经验就是开辟了中国特色社会主义道路，形成了中国特色社会主义理论体系。这两条正是反对模式论坚持特色论的伟大成果。</w:t>
      </w:r>
    </w:p>
    <w:p w14:paraId="30607E11">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众多学者认为，中国模式与中国道路等密切相关，十七大报告中所说的“道路”、“理论”、“体系”共同构成了中国模式。用中国模式概括中国特色社会主义，十分简洁，也有利于开展国际对话。应抓住热议中国模式这一契机向世界“说明中国”，破除“误读”，减少“误导”，进一步扩大中国的影响。</w:t>
      </w:r>
    </w:p>
    <w:p w14:paraId="7B2035FB">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我们认为，以中央领导同志相关重要论述为指导，从马克思主义的立场观点方法出发，汲取国内外关于中国模式的合理论述，是回答有关中国模式相关问题和今后继续研究的基本点。</w:t>
      </w:r>
    </w:p>
    <w:p w14:paraId="67BCDF1B">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首先，邓小平、江泽民、胡锦涛都有关于中国模式问题的论述。早在</w:t>
      </w:r>
      <w:r>
        <w:rPr>
          <w:rFonts w:hint="eastAsia" w:cs="Calibri"/>
          <w:color w:val="000000" w:themeColor="text1"/>
          <w14:textFill>
            <w14:solidFill>
              <w14:schemeClr w14:val="tx1"/>
            </w14:solidFill>
          </w14:textFill>
        </w:rPr>
        <w:t>1988</w:t>
      </w:r>
      <w:r>
        <w:rPr>
          <w:rFonts w:hint="eastAsia" w:ascii="宋体" w:hAnsi="宋体"/>
          <w:color w:val="000000" w:themeColor="text1"/>
          <w14:textFill>
            <w14:solidFill>
              <w14:schemeClr w14:val="tx1"/>
            </w14:solidFill>
          </w14:textFill>
        </w:rPr>
        <w:t>年，邓小平就指出：“世界上的问题不可能都用一个模式解决。中国有中国自己的模式，莫桑比克也应该有莫桑比克自己的模式。”他强调，中国只能搞中国的社会主义，要走自己的道路，建设有中国特色的社会主义。针对现代化建设过程中出现的一些人只讲四化不讲社会主义的现象，他批评道，这就忘记了事物的本质，也就离开了中国的发展道路，并一再告诫，整个改革开放的过程中，必须始终坚持四项基本原则。江泽民指出：“历史经验特别是近百年来的历史经验一再告诫人们，强求一种模式的后果是严重的”，世界各国情况千差万别，实现社会主义的道路和模式可以是多种多样的。他深刻洞察到西方推行多党制的</w:t>
      </w:r>
    </w:p>
    <w:p w14:paraId="0A8730A7">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目的，就是要把一些发展中国家纳入他们的发展模式，成为其附庸。胡锦涛指出：“各国的国情不同，实现发展的道路也必然不同，不可能有一个适用于一切国家、一切时代的固定不变的模式”，中国“致力于实现不同文明和谐进步，维护世界多样性和发展模式多样化”。他强调，中国共产党人一定要坚持改革开放的正确方向，不断完善适合我国国情的发展道路和发展模式。</w:t>
      </w:r>
    </w:p>
    <w:p w14:paraId="5A6054F9">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次，要清楚中国模式、中国道路、中国经验以及中国案例之间的关系。上文我们关于中国模式内涵的概括，是与十七大关于中国道路、中国经验以及中国案例的概括密切关联和相辅相成的，并非对立和排斥。那种以美国和瑞典的资本主义制度为最佳模式，用西方的“普世价值观”来否定中国道路和中国模式的做法是根本错误的。至于有舆论认为只能用中国案例一词，这也是偏颇的。中国模式是从一个新的视角来概括中国道路、中国经验和中国案例的某些内涵和特征，是中外学术界习惯使用的一个有用概念。</w:t>
      </w:r>
    </w:p>
    <w:p w14:paraId="5E744862">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最后，有些西方学者之所以喜欢使用中国模式而少用中国道路，旨在把中国特色社会主义从中国模式中清除掉，使这一概念变得更加中性化或去意识形态化。而我们在研究中国模式和使用中国模式这一概念时，一定要把它与社会主义密切联系起来，把它与中国特色社会主义道路紧密地联系起来，把它与共产主义远大的奋斗目标联系起来。中国模式的全称只能是“当代中国特色社会主义模式”。</w:t>
      </w:r>
    </w:p>
    <w:p w14:paraId="08893F25">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参考文献：</w:t>
      </w:r>
    </w:p>
    <w:p w14:paraId="4F76169B">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ab/>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程恩富，辛向阳</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如何理解“中国模式”？</w:t>
      </w:r>
      <w:r>
        <w:rPr>
          <w:rFonts w:hint="eastAsia" w:cs="Calibri"/>
          <w:color w:val="000000" w:themeColor="text1"/>
          <w14:textFill>
            <w14:solidFill>
              <w14:schemeClr w14:val="tx1"/>
            </w14:solidFill>
          </w14:textFill>
        </w:rPr>
        <w:t>[N]</w:t>
      </w:r>
      <w:r>
        <w:rPr>
          <w:rFonts w:hint="eastAsia" w:ascii="宋体" w:hAnsi="宋体"/>
          <w:color w:val="000000" w:themeColor="text1"/>
          <w14:textFill>
            <w14:solidFill>
              <w14:schemeClr w14:val="tx1"/>
            </w14:solidFill>
          </w14:textFill>
        </w:rPr>
        <w:t>，人民日报，</w:t>
      </w:r>
      <w:r>
        <w:rPr>
          <w:rFonts w:hint="eastAsia" w:cs="Calibri"/>
          <w:color w:val="000000" w:themeColor="text1"/>
          <w14:textFill>
            <w14:solidFill>
              <w14:schemeClr w14:val="tx1"/>
            </w14:solidFill>
          </w14:textFill>
        </w:rPr>
        <w:t>2010-09-15.</w:t>
      </w:r>
    </w:p>
    <w:p w14:paraId="2B27B79C">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ab/>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徐崇温</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中国模式的形成、内涵和特征</w:t>
      </w:r>
      <w:r>
        <w:rPr>
          <w:rFonts w:hint="eastAsia" w:cs="Calibri"/>
          <w:color w:val="000000" w:themeColor="text1"/>
          <w14:textFill>
            <w14:solidFill>
              <w14:schemeClr w14:val="tx1"/>
            </w14:solidFill>
          </w14:textFill>
        </w:rPr>
        <w:t>[J]</w:t>
      </w:r>
      <w:r>
        <w:rPr>
          <w:rFonts w:hint="eastAsia" w:ascii="宋体" w:hAnsi="宋体"/>
          <w:color w:val="000000" w:themeColor="text1"/>
          <w14:textFill>
            <w14:solidFill>
              <w14:schemeClr w14:val="tx1"/>
            </w14:solidFill>
          </w14:textFill>
        </w:rPr>
        <w:t>，马克思主义研究，</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(9).</w:t>
      </w:r>
    </w:p>
    <w:p w14:paraId="394DF0D8">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ab/>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丁晓钦</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不断完善中国特色社会主义经济理论体系——访青年经济学家张宇</w:t>
      </w:r>
      <w:r>
        <w:rPr>
          <w:rFonts w:hint="eastAsia" w:cs="Calibri"/>
          <w:color w:val="000000" w:themeColor="text1"/>
          <w14:textFill>
            <w14:solidFill>
              <w14:schemeClr w14:val="tx1"/>
            </w14:solidFill>
          </w14:textFill>
        </w:rPr>
        <w:t>[J]</w:t>
      </w:r>
      <w:r>
        <w:rPr>
          <w:rFonts w:hint="eastAsia" w:ascii="宋体" w:hAnsi="宋体"/>
          <w:color w:val="000000" w:themeColor="text1"/>
          <w14:textFill>
            <w14:solidFill>
              <w14:schemeClr w14:val="tx1"/>
            </w14:solidFill>
          </w14:textFill>
        </w:rPr>
        <w:t>，海派经济学，</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(21).</w:t>
      </w:r>
    </w:p>
    <w:p w14:paraId="69979561">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ab/>
      </w: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何自力，乔晓楠，李菁</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中国模式与未来道路探索</w:t>
      </w:r>
      <w:r>
        <w:rPr>
          <w:rFonts w:hint="eastAsia" w:cs="Calibri"/>
          <w:color w:val="000000" w:themeColor="text1"/>
          <w14:textFill>
            <w14:solidFill>
              <w14:schemeClr w14:val="tx1"/>
            </w14:solidFill>
          </w14:textFill>
        </w:rPr>
        <w:t>[J]</w:t>
      </w:r>
      <w:r>
        <w:rPr>
          <w:rFonts w:hint="eastAsia" w:ascii="宋体" w:hAnsi="宋体"/>
          <w:color w:val="000000" w:themeColor="text1"/>
          <w14:textFill>
            <w14:solidFill>
              <w14:schemeClr w14:val="tx1"/>
            </w14:solidFill>
          </w14:textFill>
        </w:rPr>
        <w:t>，社会科学研究，</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p>
    <w:p w14:paraId="7D3C9DE4">
      <w:pPr>
        <w:autoSpaceDE w:val="0"/>
        <w:spacing w:before="147" w:beforeLines="50" w:line="400" w:lineRule="exact"/>
        <w:ind w:firstLine="420" w:firstLineChars="200"/>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ab/>
      </w:r>
      <w:r>
        <w:rPr>
          <w:rFonts w:hint="eastAsia" w:cs="Calibri"/>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王崇光</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跳出传统经济学研究中国经济问题——兼谈马克思主义经济学的现实意义</w:t>
      </w:r>
      <w:r>
        <w:rPr>
          <w:rFonts w:hint="eastAsia" w:cs="Calibri"/>
          <w:color w:val="000000" w:themeColor="text1"/>
          <w14:textFill>
            <w14:solidFill>
              <w14:schemeClr w14:val="tx1"/>
            </w14:solidFill>
          </w14:textFill>
        </w:rPr>
        <w:t>[J].</w:t>
      </w:r>
      <w:r>
        <w:rPr>
          <w:rFonts w:hint="eastAsia" w:ascii="宋体" w:hAnsi="宋体"/>
          <w:color w:val="000000" w:themeColor="text1"/>
          <w14:textFill>
            <w14:solidFill>
              <w14:schemeClr w14:val="tx1"/>
            </w14:solidFill>
          </w14:textFill>
        </w:rPr>
        <w:t>海派经济学，</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(23).</w:t>
      </w:r>
    </w:p>
    <w:p w14:paraId="21EE9BDF">
      <w:pPr>
        <w:spacing w:line="400" w:lineRule="exact"/>
        <w:ind w:firstLine="420" w:firstLineChars="200"/>
        <w:rPr>
          <w:rFonts w:hint="eastAsia" w:ascii="Arial"/>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（原载于《河北经贸大学学报》</w:t>
      </w:r>
      <w:r>
        <w:rPr>
          <w:rFonts w:hint="eastAsia" w:ascii="Arial" w:hAnsi="Arial" w:cs="Arial"/>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w:t>
      </w:r>
      <w:r>
        <w:rPr>
          <w:rFonts w:hint="eastAsia" w:ascii="Arial" w:hAnsi="Arial" w:cs="Arial"/>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月第</w:t>
      </w:r>
      <w:r>
        <w:rPr>
          <w:rFonts w:hint="eastAsia" w:ascii="Arial" w:hAnsi="Arial" w:cs="Arial"/>
          <w:color w:val="000000" w:themeColor="text1"/>
          <w14:textFill>
            <w14:solidFill>
              <w14:schemeClr w14:val="tx1"/>
            </w14:solidFill>
          </w14:textFill>
        </w:rPr>
        <w:t>32</w:t>
      </w:r>
      <w:r>
        <w:rPr>
          <w:rFonts w:hint="eastAsia" w:ascii="宋体" w:hAnsi="宋体"/>
          <w:color w:val="000000" w:themeColor="text1"/>
          <w14:textFill>
            <w14:solidFill>
              <w14:schemeClr w14:val="tx1"/>
            </w14:solidFill>
          </w14:textFill>
        </w:rPr>
        <w:t>卷第</w:t>
      </w:r>
      <w:r>
        <w:rPr>
          <w:rFonts w:hint="eastAsia" w:ascii="Arial" w:hAnsi="Arial" w:cs="Arial"/>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期，第二作者为胡乐明、刘志明。）</w:t>
      </w:r>
    </w:p>
    <w:p w14:paraId="192ED9E8">
      <w:pPr>
        <w:spacing w:line="400" w:lineRule="exact"/>
        <w:ind w:firstLine="420" w:firstLineChars="200"/>
        <w:rPr>
          <w:rFonts w:ascii="Arial"/>
          <w:color w:val="000000" w:themeColor="text1"/>
          <w14:textFill>
            <w14:solidFill>
              <w14:schemeClr w14:val="tx1"/>
            </w14:solidFill>
          </w14:textFill>
        </w:rPr>
      </w:pPr>
      <w:r>
        <w:rPr>
          <w:rFonts w:hint="eastAsia" w:ascii="Arial"/>
          <w:color w:val="000000" w:themeColor="text1"/>
          <w14:textFill>
            <w14:solidFill>
              <w14:schemeClr w14:val="tx1"/>
            </w14:solidFill>
          </w14:textFill>
        </w:rPr>
        <w:t xml:space="preserve"> </w:t>
      </w:r>
    </w:p>
    <w:p w14:paraId="11D20391">
      <w:pPr>
        <w:pStyle w:val="3"/>
        <w:ind w:firstLine="640" w:firstLineChars="200"/>
        <w:outlineLvl w:val="1"/>
        <w:rPr>
          <w:rFonts w:hint="eastAsia"/>
          <w:color w:val="000000" w:themeColor="text1"/>
          <w14:textFill>
            <w14:solidFill>
              <w14:schemeClr w14:val="tx1"/>
            </w14:solidFill>
          </w14:textFill>
        </w:rPr>
      </w:pPr>
      <w:bookmarkStart w:id="1235" w:name="_Toc16289"/>
      <w:bookmarkStart w:id="1236" w:name="_Toc1714"/>
      <w:bookmarkStart w:id="1237" w:name="_Toc114057773"/>
      <w:bookmarkStart w:id="1238" w:name="_Toc2024883506"/>
      <w:bookmarkStart w:id="1239" w:name="_Toc793887579"/>
      <w:r>
        <w:rPr>
          <w:rFonts w:hint="eastAsia" w:ascii="黑体" w:hAnsi="黑体"/>
          <w:color w:val="000000" w:themeColor="text1"/>
          <w14:textFill>
            <w14:solidFill>
              <w14:schemeClr w14:val="tx1"/>
            </w14:solidFill>
          </w14:textFill>
        </w:rPr>
        <w:t>3</w:t>
      </w:r>
      <w:r>
        <w:rPr>
          <w:rFonts w:ascii="黑体" w:hAnsi="黑体"/>
          <w:color w:val="000000" w:themeColor="text1"/>
          <w14:textFill>
            <w14:solidFill>
              <w14:schemeClr w14:val="tx1"/>
            </w14:solidFill>
          </w14:textFill>
        </w:rPr>
        <w:t>近年社会主义核心价值体系建设情况的调查研究报告</w:t>
      </w:r>
      <w:bookmarkEnd w:id="1235"/>
      <w:bookmarkEnd w:id="1236"/>
      <w:bookmarkEnd w:id="1237"/>
      <w:bookmarkEnd w:id="1238"/>
      <w:bookmarkEnd w:id="1239"/>
    </w:p>
    <w:p w14:paraId="7EB5892F">
      <w:pPr>
        <w:autoSpaceDE w:val="0"/>
        <w:adjustRightInd w:val="0"/>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摘要]自中国共产党十六届六中全会提出建设社会主义核心价值体系的战略任务以来，全国范围内掀起了学习和践行社会主义核心价值体系的热潮，一方面，马克思主义指导思想作为全党全国人民团结奋斗的共同思想基础与社会主义荣辱观都得到了较普遍的认同；另一方面，马克思主义指导地位也面临挑战，部分人社会主义理想信念较淡薄，部分领导干部马克思主义信仰不够坚定，对意识形态领域的形势缺少忧患意识。今后要进一步增强社会主义核心价值体系的感召力，为社会主义核心价值体系奠定牢固的经济基础，积极用社会主义核心价值体系引领多样化的社会思潮。</w:t>
      </w:r>
    </w:p>
    <w:p w14:paraId="319EF62C">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[关键词]社会主义；核心价值体系；调研报告</w:t>
      </w:r>
    </w:p>
    <w:p w14:paraId="0A81931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p>
    <w:p w14:paraId="3E3A1DA6">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社会科学院马克思主义研究学部于2007年底承担了中国社会科学院重大国情调研课题——“关于社会主义核心价值体系建设情况的调查”。调研课题组成员走访调查了北京、上海、广州、南昌和山东、河南、湖北、山西等省市的科研机构、大中院校、工厂企业、乡村城镇、城市社区和中介组织，共发放问卷2000份，实际回收有效问卷1748份。结合访谈材料和问卷的数据统计，以马克思主义为指导，本着求真务实的态度，依据第一手资料，理论与实践相结合，对社会主义核心价值体系建设情况进行了较广泛深入的分析，并针对问题提出有效的对策建议，形成了这份调研报告，供党政有关部门和知识界参考。</w:t>
      </w:r>
    </w:p>
    <w:p w14:paraId="36EEB54B">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40" w:name="_Toc4672"/>
      <w:bookmarkEnd w:id="1240"/>
      <w:bookmarkStart w:id="1241" w:name="_Toc12490"/>
      <w:bookmarkEnd w:id="1241"/>
      <w:bookmarkStart w:id="1242" w:name="_Toc32156"/>
      <w:bookmarkEnd w:id="1242"/>
      <w:bookmarkStart w:id="1243" w:name="_Toc23223"/>
      <w:bookmarkEnd w:id="1243"/>
      <w:bookmarkStart w:id="1244" w:name="_Toc31929"/>
      <w:r>
        <w:rPr>
          <w:rFonts w:hint="eastAsia" w:ascii="宋体" w:hAnsi="宋体"/>
          <w:b/>
          <w:color w:val="000000" w:themeColor="text1"/>
          <w:sz w:val="24"/>
          <w:szCs w:val="24"/>
          <w14:textFill>
            <w14:solidFill>
              <w14:schemeClr w14:val="tx1"/>
            </w14:solidFill>
          </w14:textFill>
        </w:rPr>
        <w:t>一、社会主义核心价值体系建设的成绩和原因分析</w:t>
      </w:r>
      <w:bookmarkEnd w:id="1244"/>
    </w:p>
    <w:p w14:paraId="6D84B1D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自中国共产党十六届六中全会提出建设社会主义核心价值体系的战略任务以来，全国范围内掀起了学习和践行社会主义核心价值体系的热潮，取得了很大的成绩，主要体现在以下四个方面。</w:t>
      </w:r>
    </w:p>
    <w:p w14:paraId="533957B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一，马克思主义指导思想作为全党全国人民团结奋斗的共同思想基础，得到了比较普遍的认同。由于中央将以马克思主义为指导作为社会主义核心价值体系的首要内容，以及建设社会主义核心价值体系学习、宣传和践行活动的开展，马克思主义作为全党全国各族人民团结奋斗的共同思想基础，进一步得到了加强和巩固。在调查研究中，61.78%的人认为“马克思主义应该成为指导思想”；广大党员干部和群众充分认识到，在当今世界中，只有马克思主义才是先进文化的代表。在调查研究中，68.48%的人认为“马克思主义是先进文化的代表”；同时，广大党员干部和群众对列宁主义和毛泽东思想仍然保持着较高的认同度，对邓小平理论都能作出正确的认识和评价，也认可中国特色社会主义理论体系是对马列主义和毛泽东思想的继承和发展。特别是以胡锦涛为总书记的新一届党中央提出科学发展观和构建社会主义和谐社会的新理念之后，由于党和政府推出了一系列新举措——解决收入差距扩大、重新构思医疗体制、建设社会主义新农村、重拳打击腐败等，受到广大人民群众的普遍欢迎和拥护。在调查研究中，81.64%的人赞成用科学发展观统领经济社会发展全局。这些都说明马克思主义的指导思想在广大干部群众中得到广泛的认可、巩固和发展。</w:t>
      </w:r>
    </w:p>
    <w:p w14:paraId="7DAF8276">
      <w:pPr>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第二，中国特色社会主义共同理想已逐步成为中华民族团结奋斗的精神支柱和精神动力。</w:t>
      </w:r>
    </w:p>
    <w:p w14:paraId="621F4CB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特色社会主义共同理想是在我国改革开放过程中，中国共产党把马克思主义基本原理和我国具体实际相结合，致力于建设中国特色社会主义的伟大实践中逐步确立起来的。这个共同理想就是要在中国共产党领导下，走中国特色社会主义道路，实现中华民族的伟大复兴。调查数据显示，79.92%的人认为“中国特色社会主义是全国各族人民的共同理想”，绝大多数人赞同在中国共产党领导下，走中国特色社会主义道路，实现中华民族的伟大复兴。并且，中国特色社会主义共同理想得到广大干部群众的基本认同。调查数据显示，70.59%的人同意中国特色社会主义是全国各族人民的共同理想。在改革开放的新时期和新的历史条件下，中国特色社会主义共同理想逐步成为中华民族团结奋斗的精神支柱和精神动力。</w:t>
      </w:r>
    </w:p>
    <w:p w14:paraId="70B08FB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第三，以爱国主义为核心的民族精神和以改革创新为核心的时代精神已成为全国人民开拓进取、创造崭新业绩的力量源泉。</w:t>
      </w:r>
    </w:p>
    <w:p w14:paraId="5BFAF65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作为社会主义核心价值体系的精髓，以爱国主义为核心的民族精神和以改革创新为核心的时代精神得到了人们的普遍认同，已经成为当代中国人民开拓进取、创造崭新业绩的精神支柱和力量源泉。调查显示，在改革开放的新时期，人们对于以爱国主义为核心的民族精神表示了极大的支持和认同，普遍认为它们应该成为社会主义核心价值体系的精髓，成为当代中国人民的精神支柱。调查数据显示，77.92％的人赞同爱国主义是民族精神的核心；同时，作为社会主义核心价值体系的精髓，改革创新已经成为当今中国的时代精神风尚。要改革就要不断创新，创新是一个民族进步的灵魂，是一个国家兴旺发达的不竭源泉。中国共产党领导中国人民进行改革开放的30年，就是不断发扬改革创新精神的30年。随着改革开放事业的深入，改革创新精神越来越成为当今中国的时代精神风尚，得到当今中国人民的精神认同。调查数据显示，70.31％的人赞同改革创新是时代精神的核心。最后，调研发现，高学历群体和与文化建设直接相关的职业群体对民族精神和时代精神建设取得的成绩肯定度更高。</w:t>
      </w:r>
    </w:p>
    <w:p w14:paraId="03F5731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第四，社会主义荣辱观得到较为普遍的认同，知荣辱、讲正气、树新风的文明道德风尚正在逐渐形成。</w:t>
      </w:r>
    </w:p>
    <w:p w14:paraId="31AAEF7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自胡锦涛总书记提出以“八荣八耻”为主要内容的社会主义荣辱观以来，全国范围内学习和践行社会主义荣辱观活动持续进行，使得我国学习和践行社会主义荣辱观取得了可喜成绩。首先，人们对社会主义荣辱观基本内容的知晓度比较高。以“八荣八耻”为主要内容的社会主义荣辱观教育活动开展以来，社会主义荣辱观教育活动得到了社会各界的广泛关注和高度重视。调查显示，在回答“您知道正在开展的社会主义荣辱观教育活动吗”时，1748份问卷中，有545人选择“很了解”，占调研对象总人数的31.18%；选择“基本了解”的有856人，占调研对象总人数的48.97%，两项相加，达到80.15%，这表明大多数人对社会主义荣辱观有较高程度的了解。其次，人们对社会主义荣辱观的深刻内涵有比较准确的认识。调查显示，对于社会主义荣辱观的深刻内涵，广大干部群众也有着比较准确的认识。63.22%的人认为社会主义荣辱观是对马克思主义道德观的继承和发展。再次，人们对社会主义荣辱观重要意义的认同度高。调查显示，86.84%的人认为社会主义荣辱观是我国社会生活的主流价值观念。这说明，以“八荣八耻”为主要内容的社会主义荣辱观已经深入民心，得到广大人民群众的衷心拥护和普遍认同。</w:t>
      </w:r>
    </w:p>
    <w:p w14:paraId="3D2C3E2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社会主义核心价值体系建设之所以能够取得可喜的成绩，有着以下几个主要原因：</w:t>
      </w:r>
    </w:p>
    <w:p w14:paraId="540C377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第一，理论上的科学概括，为社会主义核心价值体系建设提供了理论前提。</w:t>
      </w:r>
    </w:p>
    <w:p w14:paraId="45E71B7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社会主义核心价值体系包括四方面的基本内容，即马克思主义指导思想、中国特色社会主义共同理想、以爱国主义为核心的民族精神和以改革创新为核心的时代精神、以“八荣八耻”为主要内容的社会主义荣辱观。社会主义核心价值体系将党的主张、国家意志、社会要求和人民意愿统一起来，把政治与伦理、理想与现实、民族性与时代性结合起来，是一个结构完整、逻辑严密、内涵丰富的科学体系。我们所要建设的社会主义核心价值体系，是与我们正在从事的中国特色社会主义事业相适应的核心价值观，也可以说，它就是中国特色社会主义的核心价值体系。社会主义核心价值体系的内涵是丰富和科学的，富有鲜明的时代特征和浓郁的人文意蕴，它强调在实践基础上的科学原则与价值原则的统一。</w:t>
      </w:r>
    </w:p>
    <w:p w14:paraId="2CED182B">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同时，党中央也在随着时代的发展不断充实、发展社会主义核心价值体系的科学内涵，从而保持一种与时俱进的理论品格。特别是对于社会主义核心价值中的民族精神和时代精神的科学内涵不断加以明确。在领导中国社会主义现代化建设的过程中，中国共产党高度重视总结和提炼现代化建设中所展现的崭新的时代精神，丰富和发展了民族精神。例如“六十四字”新时期创业精神、伟大抗洪精神、为实现社会主义现代化而不懈奋斗的精神、抗震救灾精神等等。正是通过这些努力，不断深化了对时代精神的系统把握和理论创新，使民族精神不断获得新的生命力和吸引力。这些理论上的科学概括和与时俱进，使社会主义核心价值体系日益深入人心，人们对于社会主义核心价值体系建设表示了极大的支持和认同，并以极大的热情积极参与其中。</w:t>
      </w:r>
    </w:p>
    <w:p w14:paraId="31628016">
      <w:pPr>
        <w:numPr>
          <w:ilvl w:val="0"/>
          <w:numId w:val="19"/>
        </w:numPr>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改革开放的巨大成就为社会主义核心价值体系建设奠定了物质基础和感情基础。</w:t>
      </w:r>
    </w:p>
    <w:p w14:paraId="005D1161">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改革开放是决定中国命运的关键抉择，改革就是要冲破一切阻碍社会生产力发展的旧体制与机制，让一切创造社会财富的源泉充分涌流。改革开放的巨大成就，为社会主义核心价值体系建设奠定了物质基础。改革开放取得的丰硕成果，也使人们感受到了社会主义制度的优越性，愿意将社会主义核心价值体系变成自身的自觉行动，从而为社会主义核心价值体系建设奠定了感情基础。</w:t>
      </w:r>
    </w:p>
    <w:p w14:paraId="3E47C5A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改革开放以来，我国在经济建设方面取得了举世瞩目的巨大成就，在内政外交和治党治国治军方面也取得了显著成绩。尤其是以胡锦涛为总书记的新一届中央领导集体，坚持全心全意为人民服务的宗旨，坚持权为民所用、情为民所系、利为民所谋，全面落实科学发展观，加强党的执政能力建设和党的先进性建设，构建社会主义和谐社会，使广大人民群众不断获得日益丰富的经济、政治、文化和社会利益。改革开放取得的巨大成就，增强了社会主义的凝聚力和信服力，成为思想教育最有力的现实教材和伟大学校。</w:t>
      </w:r>
    </w:p>
    <w:p w14:paraId="2D8CB3B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改革开放是决定中国命运的关键抉择，是新的时代条件下中国共产党带领中国人民进行的新的伟大革命，是我国社会主义制度的自我完善和发展。改革开放取得了巨大成就，推动了中国特色社会主义事业的繁荣发展，极大地提高了人民群众的生活水平，给广大人民带来了前所未有的幸福感和成就感。中国最广大人民群众是改革开放的最大受益者，他们对改革开放有着深厚的感情。改革开放的这些伟大成就为社会主义核心价值体系建设奠定了丰厚的物质基础和深厚的感情基础。</w:t>
      </w:r>
    </w:p>
    <w:p w14:paraId="0B9957C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第三，不断加强和改进党的自身建设，保持党的先进性，为社会主义核心价值体系建设提供根本保证。</w:t>
      </w:r>
    </w:p>
    <w:p w14:paraId="6A6224C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办好中国的事情，关键在党。实践证明，没有中国共产党就没有新中国，就没有中国特色社会主义。推进社会主义现代化，建设社会主义核心价值体系，必须毫不动摇地坚持中国共产党的领导，不断加强和改进党的建设，始终保持党的先进性。</w:t>
      </w:r>
    </w:p>
    <w:p w14:paraId="1F234C2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党的建设是马克思主义政党在马克思主义党的学说指导下进行的领导国家、社会和提高自身生机与活力的理论和实践活动。当今世界正处在大发展大变革大调整时期。我国经济建设、政治建设、文化建设、社会建设以及生态文明建设也正处在进一步发展的重要战略机遇期。在这样的新形势下，我们党必须进一步加强和改进自身建设。加强和改进新形势下党的建设，按照党章要求，着眼于继续解放思想、坚持改革开放、推动科学发展、促进社会和谐，着眼于提高党的执政能力、保持和发展党的先进性。“三讲”教育、“保先”教育等的成功开展，有力促进了党的建设。通过党的先进性教育活动，全党的精神面貌发生了新的变化，更加确认马克思主义的指导地位，认同“三个代表”重要思想。党的先进性教育活动使人民群众更加认识到，中国共产党能够走在时代的前列，带领全国人民把中国特色社会主义现代化建设全面推向前进。</w:t>
      </w:r>
    </w:p>
    <w:p w14:paraId="5BCA605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广大党员干部是中国特色社会主义建设事业的带头人、先行者和排头兵，是党的理论路线、方针政策的传播者，是党教育群众、发动群众完成自身使命的主要力量，党员、干部的模范带头作用是党凝聚力量、战胜困难的强大精神力量，他们的行为对于引领整个社会前进具有重要的示范作用。因此，社会主义核心价值体系建设，首先必须搞好党的思想政治建设，使党员、干部成为社会主义核心价值体系的积极实践者。调研中我们了解到，各地党政机关都在纷纷开展争创文明机关、争当“人民满意公务员”等活动，树立执政为民的良好形象，为社会主义核心价值体系建设提供了根本保证。</w:t>
      </w:r>
    </w:p>
    <w:p w14:paraId="3B1FA92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第四，建设中国特色社会主义的积极探索，为社会主义核心价值体系建设创造了实践条件。</w:t>
      </w:r>
    </w:p>
    <w:p w14:paraId="6BA7F6D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历史的经验和现实的发展充分证明，发展中国特色社会主义是全国各族人民实现自己的利益、创造美好生活的共同事业，是亿万人民群众广泛参与的创造性事业。建设中国特色社会主义的积极探索，为社会主义核心价值体系建设创造了实践条件。</w:t>
      </w:r>
    </w:p>
    <w:p w14:paraId="7B267E0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建设有中国特色社会主义的伟大事业中，我党始终高度重视中国特色社会主义的共同理想教育，坚持用中国特色社会主义共同理想凝聚全国各族人民，保证了最广大人民群众在政治上、思想上、行动上的团结一致。中国特色社会主义共同理想教育同中国特色社会主义伟大事业是相互促进、有机统一的。一方面，中国特色社会主义共同理想教育为中国特色社会主义伟大事业提供精神支柱和精神动力。精神支柱是齐心协力、团结奋斗的前提，是凝聚人心、凝聚智慧和力量的重要保证。中国特色社会主义共同理想就是凝聚中华儿女的共同意志、整合各种力量、发展中国特色社会主义的精神支柱，是中华民族团结奋斗的精神动力。另一方面，中国特色社会主义事业的蓬勃发展，极大地增强了人们发展中国特色社会主义、实现中华民族伟大复兴的信心，有力地促进了中国特色社会主义共同理想教育。中国特色社会主义共同理想教育使广大人民群众树立起了对于中国特色社会主义发展道路、对建设中国特色社会主义事业的信心。</w:t>
      </w:r>
    </w:p>
    <w:p w14:paraId="719F8D7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改革开放以来，党和国家将工作重点转移到发展生产、提高人民物质生活水平上，坚持以经济建设为中心，全面推进政治建设、文化建设和社会建设，努力实现经济发展和社会全面进步，这为共同理想教育奠定了坚实的物质基础。中国特色社会主义在我国显示了勃勃生机与活力，使广大人民群众真真正正得到实惠，真切感受到了社会主义的优越性，从而为社会主义核心价值体系建设提供了充分的实践条件。</w:t>
      </w:r>
    </w:p>
    <w:p w14:paraId="182CE80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第五，党中央高度重视，为社会主义核心价值体系建设提供了政治保障。</w:t>
      </w:r>
    </w:p>
    <w:p w14:paraId="7A111CC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核心价值体系是一个国家、社会得以存在和发展的灵魂。核心价值体系集中体现了整个社会和全体人民的愿望、理想、需要和利益，是社会意识和时代精神的本质体现，决定着社会意识的性质和方向。社会主义核心价值体系是马克思主义经典作家的科学社会主义核心价值理念与中国实际相结合而产生的，是反映国家核心利益和社会主流意识形态的观念体系。因此，党中央高度重视，牢牢抓住意识形态的领导权、主动权、话语权，为社会主义核心价值体系建设提供了坚强的政治保障。</w:t>
      </w:r>
    </w:p>
    <w:p w14:paraId="0F7B66CB">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新形势下，党中央高度重视马克思主义在我国意识形态领域的指导地位，指出马克思主义是人们认识世界、改造世界的强大思想武器，是我们立党立国的根本指导思想，是全党全国各族人民的共同精神支柱。新形势下，只有用马克思主义的立场、观点和方法来认识人类社会发展的规律，认识经济社会发展的大势，认识社会思想的主流和支流，用发展着的马克思主义指导实践，才能在错综复杂的社会现象中明确方向，在认识和改造世界的实践活动中不断提高预见性、增强主动性，克服片面性、减少盲目性，从而把中国特色社会主义事业推向前进。</w:t>
      </w:r>
    </w:p>
    <w:p w14:paraId="40B283D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党中央高度重视社会主义精神文明建设，始终把爱国主义教育和改革创新教育放在重要位置。以“八荣八耻”为主要内容的社会主义荣辱观之所以能够深入民心，得到广大人民群众的衷心拥护和普遍认同，树立和实践社会主义荣辱观的教育活动之所以能够引发社会各界的广泛关注和积极参与，就是因为党中央高度重视，采取了一系列加强思想道德建设的措施。</w:t>
      </w:r>
    </w:p>
    <w:p w14:paraId="42D3E7A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第六，通过大众传媒的积极宣传，营造学习践行社会主义核心价值体系的浓厚舆论氛围。</w:t>
      </w:r>
    </w:p>
    <w:p w14:paraId="5FD81CC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大众传媒是引导社会舆论的咽喉。我们党一贯高度重视思想舆论工作，多次强调“要提高舆论引导能力”、“坚持正确的舆论导向”。因此，在社会主义核心价值体系建设中，通过大众传媒的积极宣传，营造了学习践行社会主义核心价值体系的浓厚舆论氛围，大力推进了社会主义核心价值体系建设。</w:t>
      </w:r>
    </w:p>
    <w:p w14:paraId="0D7EF7F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按照中央“以科学的理论武装人、以正确的舆论引导人、以高尚的精神塑造人、以优秀的作品鼓舞人”的宣传工作思路，报纸、广播、电视等大众传媒和互联网、手机短信、移动电视等传播工具，充分发挥大众传媒的优势特点，运用各种形式方法，积极宣传社会主义核心价值体系建设的重大意义、深刻内涵、基本内容和精神实质，宣传广大干部群众践行社会主义核心价值体系的生动实践，通过新闻报道、言论评论、专家点评、群众讨论和公益广告等多种形式，营造了浓厚的“学习和践行社会主义核心价值体系”的舆论氛围，有力促进了社会主义核心价值体系的建设。</w:t>
      </w:r>
    </w:p>
    <w:p w14:paraId="52F6A3D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调研中我们了解到，各新闻宣传部门注重在新闻报道中体现社会主义核心价值体系的要求，注重在文化宣传中加大思想道德建设的力度。在大力宣传诸如孔繁森、牛玉儒、任长霞等时代英雄人物的同时，也十分注重宣传与人民群众日常生活十分贴近的先进人物，起到了弘扬正气、激励民心、引导世风的积极作用。通过大众传媒的积极宣传、营造氛围，广大人民不仅明确了社会主义核心价值体系的价值取向，而且深切感受到其强烈的感召力和推动力，从而在自身实践中积极学习和践行。</w:t>
      </w:r>
    </w:p>
    <w:p w14:paraId="05D37174">
      <w:pPr>
        <w:spacing w:before="147" w:beforeLines="50" w:after="147" w:afterLines="50" w:line="400" w:lineRule="exact"/>
        <w:ind w:firstLine="480" w:firstLineChars="200"/>
        <w:jc w:val="center"/>
        <w:rPr>
          <w:rFonts w:hint="eastAsia" w:ascii="宋体" w:hAnsi="宋体"/>
          <w:color w:val="000000" w:themeColor="text1"/>
          <w14:textFill>
            <w14:solidFill>
              <w14:schemeClr w14:val="tx1"/>
            </w14:solidFill>
          </w14:textFill>
        </w:rPr>
      </w:pPr>
      <w:bookmarkStart w:id="1245" w:name="_Toc31402"/>
      <w:bookmarkEnd w:id="1245"/>
      <w:bookmarkStart w:id="1246" w:name="_Toc28718"/>
      <w:bookmarkEnd w:id="1246"/>
      <w:bookmarkStart w:id="1247" w:name="_Toc23521"/>
      <w:bookmarkEnd w:id="1247"/>
      <w:bookmarkStart w:id="1248" w:name="_Toc29255"/>
      <w:bookmarkEnd w:id="1248"/>
      <w:bookmarkStart w:id="1249" w:name="_Toc29010"/>
      <w:r>
        <w:rPr>
          <w:rFonts w:hint="eastAsia" w:ascii="宋体" w:hAnsi="宋体"/>
          <w:b/>
          <w:color w:val="000000" w:themeColor="text1"/>
          <w:sz w:val="24"/>
          <w:szCs w:val="24"/>
          <w14:textFill>
            <w14:solidFill>
              <w14:schemeClr w14:val="tx1"/>
            </w14:solidFill>
          </w14:textFill>
        </w:rPr>
        <w:t>二、社会主义核心价值体系建设存在的问题与原因分析</w:t>
      </w:r>
      <w:bookmarkEnd w:id="1249"/>
    </w:p>
    <w:p w14:paraId="4B8AE5E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由于党中央高度重视，我国社会主义核心价值体系建设取得了巨大的成就，但是，我们在调研中也发现社会主义核心价值体系建设还存在不少问题，主要表现如下：</w:t>
      </w:r>
    </w:p>
    <w:p w14:paraId="78CC3B8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第一，新形势下，存在马克思主义被“弱化”、“淡化”现象，马克思主义的指导地位面临挑战。</w:t>
      </w:r>
    </w:p>
    <w:p w14:paraId="1337845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实际工作中，马克思主义存在不同程度的“弱化”、“淡化”现象，部分党员干部，虽然也承认马克思主义是共同思想基础，但却认为它只是政治宣传，不起实际作用，没有现实应用的价值和意义；还有部分理论工作者和高校教师，甚至在课堂上公开提出马克思主义基本原理已经过时，主张用非马克思主义的思想取代马克思主义，甚至有的公开否定四项基本原则，主张资产阶级自由化，否定公有制，主张私有制。在调研中，只有44.57%的人明确反对“逐步私有化是我国改革的方向”，42.85%的人赞同“社会主义与资本主义逐步融合、走向趋同”。在调研“对西方发达国家在发展中国家推行‘民主’、自由价值观的目的的看法”时，有47.65%的人认为西方发达国家在发展中国家推行民主、自由使这些国家的人民享受真正的民主和自由；还有少部分人恶意攻击马克思主义，诅咒马克思主义是僵尸，已经死亡，要扫进历史的垃圾堆，叫嚣推翻共产党的领导，取而代之以所谓西方的民主、多党制和三权分立。这些人的不良影响造成了不少人政治观念的混乱，马克思主义的指导地位面临一定程度的挑战。</w:t>
      </w:r>
    </w:p>
    <w:p w14:paraId="1F2956C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第二，新形势下，部分人社会主义理想信念较淡薄，中国特色社会主义共同理想遭到冲击。</w:t>
      </w:r>
    </w:p>
    <w:p w14:paraId="7260215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世纪新阶段，深刻变化的国际环境，使中国特色社会主义共同理想面临着新的挑战，遭到来自国际上西方敌对势力和国内“左”、右两方面的歪曲、攻击以及来自苏联解体、东欧剧变、市场经济负面效应和经济社会转型的强烈冲击。这些冲击导致部分人的社会主义理想信念比较淡薄，一些人对社会主义必然战胜资本主义的信念产生动摇，对建设中国特色社会主义事业缺乏信心，尤其是当代大学生的理想信念问题令人堪忧，他们的理想更多地集中在生活和职业理想上，而对社会和道德理想则关注很少，只占10%左右。总之，理论上的困惑，思想上的混乱，众多的社会矛盾和问题，使一些人对中国特色社会主义信念发生动摇，对中华民族的伟大复兴缺乏信心，这使得中国特色社会主义共同理想教育面临前所未有的挑战和冲击。</w:t>
      </w:r>
    </w:p>
    <w:p w14:paraId="6F9892C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第三，部分人对民族精神和时代精神的科学内涵把握不够，对两者之间的关系认识模糊。</w:t>
      </w:r>
    </w:p>
    <w:p w14:paraId="2CF184A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肯定民族精神和时代精神发展方面重大成绩的同时，必须清醒地看到，人们对民族精神和时代精神科学内涵的理解、对两者之间关系的把握等方面，还存在着一定的差距。一方面，在如何把握以爱国主义为核心的民族精神同以改革创新为核心的时代精神的关系方面，人们的认识还存在着不足，有相当一部分人看不到两者之间继承和发展的关系，甚至割裂两者之间的内在一致性。在回答“您认为爱国主义的民族精神和改革开放的时代精神的关系怎样”时，1748份问卷中，认为两者没有关系的人数有312人，占调研对象总人数的17.85%；同时还有105人认为两者之间的关系“说不清”，占调研对象总人数的6.01％。这就是说，有23.86%的人没有看到两者之间的内在联系，这个比例是不能忽视的；另一方面，在对爱国主义与民族主义关系的理解上，有相当多的人把爱国主义和民族主义混为一谈。在回答“爱国主义是否等同于各种民族主义”问题的617位中共党员中，回答“是”的有193人，占总人数的31.28％；回答“说不清”的有32人，占总人数的5.19％。不能正确把握爱国主义的真正涵义，直接影响到以爱国主义为核心的民族精神的发展。对这些问题我们必须高度重视，否则就会直接影响到社会主义核心价值体系的建设。</w:t>
      </w:r>
    </w:p>
    <w:p w14:paraId="157E5AB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第四，部分人对社会主义荣辱观的认知存在偏差，认知与践行也存在脱节现象。</w:t>
      </w:r>
    </w:p>
    <w:p w14:paraId="3E57F4B6">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虽然在社会主义荣辱观的宣传教育方面取得了相当的成效，但调研结果同时表明，人们对社会主义荣辱观的宣传学习和深入研究还远远不够，一些人在对社会主义荣辱观的认知方面依然存在一些偏差甚至空白。从问卷调查结果可以看到，虽然表示“了解社会主义荣辱观”的人占到了80.15%，但其中表示“很了解”的仅占31.18%。另外，在受访人群中，依然有18.15%的人选择了“仅听说过”和“不清楚”，距离达到中央提出的要做到“家喻户晓、人人皆知、成为全体公民的广泛共识”的目标还有一定距离；并且仍有少部分人对社会主义荣辱观的基本内容、丰富内涵以及行为规范存在认识模糊和认识不清的状况；更有极少数人依然存在“是非不分、荣辱不明，甚至颠倒是非、混淆善恶、以耻为荣”的情况。另外，社会主义荣辱观知行脱节的现象也较严重，知行脱节不仅存在于一些青少年和普通干部群众之中，而且也严重存在于一些高级领导干部身上。</w:t>
      </w:r>
    </w:p>
    <w:p w14:paraId="2ED9822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社会主义核心价值体系建设之所以还存在上述问题，究其原因，主要有以下几个：</w:t>
      </w:r>
    </w:p>
    <w:p w14:paraId="6EB0EB2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第一，部分领导干部马克思主义信仰不够坚定，对意识形态领域的形势缺少忧患意识。</w:t>
      </w:r>
    </w:p>
    <w:p w14:paraId="08F8C75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部分党员领导干部中，社会主义和共产主义的理想信念逐渐淡化，甚至丧失，内心世界里早已不认同马克思主义，对它冷嘲热讽，在人民群众中造成了恶劣的影响。在回答“您认为对共产主义理想信念产生危机的原因是什么”时，实际回收1748份问卷中，有916人选择了“部分领导干部和教育者自己不信仰共产主义”，占调研对象总人数的52.40%，位居六项选择的第二。</w:t>
      </w:r>
    </w:p>
    <w:p w14:paraId="660043E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一些地方党和政府的领导干部对意识形态领域的形势缺少忧患意识，以为当前全党全国各族人民团结奋斗的共同思想基础十分稳固，可以马放南山、刀枪入库，患有高度近视。殊不知，西方敌对势力为实现其“西化”、“分化”中国的图谋，动摇马克思主义在我国意识形态领域的指导地位，极力鼓吹马克思主义“过时论”、社会主义“失败论”、共产主义“渺茫论”等，大肆歪曲和攻击马克思主义、社会主义和中国共产党的领导。在国内，随着改革开放的深入推进，马克思主义、社会主义、中国共产党的领导，遭受着来自“左”、右两方面的歪曲，造成了极大的思想混乱。部分领导干部在实际工作中重经济建设，轻理论学习的现象愈演愈烈。而西方敌对势力则加紧对我国进行意识形态的渗透和颠覆，他们不仅利用广播、卫星电视等传统媒体，而且还利用互联网等新兴媒体，千方百计削弱我国主流舆论的影响，造成思想混乱，严重影响到社会主义核心价值体系的建设。</w:t>
      </w:r>
    </w:p>
    <w:p w14:paraId="655126A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第二，贫富差距与党内腐败现象造成部分人社会主义理想信念淡薄，对共产主义缺乏信心。</w:t>
      </w:r>
    </w:p>
    <w:p w14:paraId="0B773B3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当前，我国处于一个社会经济转型期，同时也是一个社会矛盾“凸显期”，存在许多经济社会问题，包括城乡二元结构还没有改变，地区差距扩大的趋势仍没有扭转，就业和社会保障的压力仍然较大，腐败问题依然比较突出等。上述种种问题的存在，致使一部分人对社会主义理想和信念产生了动摇，对建设中国特色社会主义事业缺乏信心。</w:t>
      </w:r>
    </w:p>
    <w:p w14:paraId="73441A3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如果马克思主义政党不能解决贫富差距与腐败问题，势必会使群众认为马克思主义、社会主义解决不了这些问题。在回答“您认为对共产主义理想信念产生危机的原因是什么”时，76.03%的人认为是“干部腐败问题”。调查中一些人指出，各级党政机关和行政执法队伍中出现的违法违纪事件，特别是领导干部腐败问题，给思想道德建设带来了不少负面影响，对公民道德产生了不良影响，不利于思想道德教育的开展。一些领导干部一边在会议上、甚至在电视上大讲反腐败的重要性，一边不择手段地聚敛钱财、贪污腐败。这种言行不一的现象，在人民群众中造成了很大的消极影响，甚至直接影响到党和政府的威信与执政基础，也严重影响到人们的理想信念。</w:t>
      </w:r>
    </w:p>
    <w:p w14:paraId="1407728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在调研中我们了解到，认为“社会主义终究可以战胜资本主义”的大学生仅占44.8%，相当一部分大学生在座谈中反映，“大学生就业形势不乐观，压力大”，这些也成为了他们盲目崇拜西方的一个重要原因。</w:t>
      </w:r>
    </w:p>
    <w:p w14:paraId="7023A60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第三，宣传教育形式主义现象比较严重，造成不同程度的知行脱节，远离现实、远离人民群众的问题。</w:t>
      </w:r>
    </w:p>
    <w:p w14:paraId="0EDC7326">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形式主义者过多地关注表面的形式化的东西，而忽视了对问题本身的认识和解决，直接影响了人们对社会主义核心价值体系的学习和践行。</w:t>
      </w:r>
    </w:p>
    <w:p w14:paraId="1E0D9EA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调研中，有58.87%的人认为马克思主义被弱化的原因是宣传教育形式化。在爱国主义教育中，实际也存在着某种程度的形式主义，过多地关注表面的形式化的东西，而忽视了对爱国主义本身的教育和培养，直接影响了青少年对爱国主义的正确理解。有些地方、单位，仅仅注意搞了多少活动，开了多少基地，组织了多少次会议，而不注意把爱国主义和民族精神真正落实到青少年的思想深处，导致青少年错误地把活动、会议等同于爱国主义本身；有些地方和单位过多地强调地方文化特色或某些民族文化的特殊性，而忽视了中华民族文化的整体性和中华民族精神的统一性，导致青少年把地方性、特殊性等同于民族文化、民族精神。</w:t>
      </w:r>
    </w:p>
    <w:p w14:paraId="3B4E6E5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社会主义荣辱观宣传教育也存在注重形式，与生活脱节、远离群众生活，缺乏针对性、实效性和感染力的问题。这主要表现在三个方面：其一，思想道德教育的内容过全，一些地方和部门仅限于大而空的概念性号召。没有针对本部门本地区的实际，有针对性地开展思想道德教育的宣传学习，致使一些人缺乏学习的积极性主动性，对社会主义荣辱观教育缺乏热情和兴趣；其二，一些地方和单位在推进社会主义荣辱观的宣传和教育活动中，对先进典型宣传的针对性和层次性缺乏科学区分，与普通群众的距离较大，使人们感到难学难比；其三，一些地区和部门把社会主义荣辱观教育理解为简单的知识宣传，停留在常规的主题德育教育活动层面，只求轰轰烈烈的形式，不求实实在在的效果。</w:t>
      </w:r>
    </w:p>
    <w:p w14:paraId="2C940CB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第四，随着改革开放的深入，一些错误思潮的泛滥，直接影响了人们对社会主义核心价值的学习和践行。</w:t>
      </w:r>
    </w:p>
    <w:p w14:paraId="24F578C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当今时代，是一个思潮纷呈的时代。随着改革开放的深入和我国社会主义市场经济的发展，各种良莠不齐的社会思潮蜂拥而入，各种思想文化相互激荡，人们的思想受到前所未有的冲击。在我国思想文化领域，存在着各种各样的文化思潮，诸如民主社会主义、新自由主义、历史虚无主义、极端民族主义、后现代主义、新实用主义等。其中有些思潮否认民族精神的合理性，有些思潮以消解历史为标榜，有些思潮过度夸大地方性和民族性特点而否认中华民族精神的一体性，有些思潮则通过宣扬西方社会某些所谓的优越性来否认中华民族精神的合理性，否认爱国主义的必要性等。</w:t>
      </w:r>
    </w:p>
    <w:p w14:paraId="777F0C6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需要特别关注的是，在当前的思想文化领域存在着一种无原则的“庸俗宽容论”倾向。一些明显具有错误倾向甚至反动倾向的思想通行无阻，一些学术主管部门甚至思想宣传部门对此持“壁上观”态度，以至于主张这些错误思想的人不仅成为所谓的学术英雄、思想精英，而且在政治地位上和社会评价中处于优势状态，他们的错误思想在社会上产生了很大的负面影响。</w:t>
      </w:r>
    </w:p>
    <w:p w14:paraId="3A18515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随着改革开放的深入推进和社会主义市场经济的不断发展，人们的价值选择、思维方式及生活方式多样性、多元化和多变性的情况日渐显明，流行的厚黑学、自私经济人理论、原罪理论和“以财富论英雄”等一些非马克思主义甚至反马克思主义的意识形态和学术思潮广为传播，理论信仰者增多。在问卷调查中得知，通过网络了解西方文化者在大学师生中均超过了50%。人们在充分享受信息化带来的便利和乐趣的同时，也面临各种有害信息的腐蚀和侵害，这些都给我国社会主义核心价值体系建设带来很大阻碍。</w:t>
      </w:r>
    </w:p>
    <w:p w14:paraId="10369E16">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第五，社会矛盾的凸显、热点难点问题的出现造成思想上的困惑和理想上的迷失。</w:t>
      </w:r>
    </w:p>
    <w:p w14:paraId="0F0C1F1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经过三十多年的改革开放，我国目前处于社会矛盾的“凸显期”，热点难点问题和群体性事件增多。加之改革开放的深入推进和社会主义市场经济的不断发展，人们的价值选择、思维方式和生活方式多样性、多元化、多变性的特征日渐凸显，一些非马克思主义甚至反马克思主义的思潮有所滋长，为统一思想、凝聚力量带来了一定的难度。</w:t>
      </w:r>
    </w:p>
    <w:p w14:paraId="1DB878F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特别是对改革开放的一些错误认识，直接影响了社会主义核心价值体系的建设。在改革开放和中国特色社会主义事业蓬勃发展的过程中，确实存在着这样那样的杂音和干扰。一些人以所谓的“纯粹客观主义”或“完全自然主义”的眼光看待改革开放成果，认为改革开放以来的成果纯粹是历史本身的必然结果，不论在什么党的领导下，不论在什么社会制度下，历史都会按照“纯粹客观的”、“完全自然的”方式向前发展，因此不能把改革开放的成果归结为社会主义制度的优越性的体现或者中国共产党的正确领导。一些人过度夸大改革开放攻坚阶段的社会矛盾和现实问题，认为这些矛盾和问题“都是改革开放惹的祸”，认为“改革开放并不是社会主义的自我完善和发展，相反是对社会主义本身的侵蚀和毁坏”，因此改革开放是成败同在、毁誉兼有，甚至是过大于功、得不偿失。一些人受到“纯粹客观主义”的影响，切断社会主义制度同改革开放成果之间的内在联系，在享受改革开放成果的同时却并不认同社会主义制度的优越性。一些人特别是一些弱势群体受到了“问题夸大论”的影响，在享受改革开放成果的同时却又否认改革开放的合理性。随着改革的进一步深入，经济社会的剧烈变革，一些深层次矛盾和社会问题凸显出来，许多热点、难点、焦点问题随之出现，造成思想上的困惑和理想上的迷失，影响到社会主义核心价值体系建设。</w:t>
      </w:r>
    </w:p>
    <w:p w14:paraId="37250D0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第六，世界社会主义运动处于低潮，敌强我弱的形势产生了一定的负面效应，部分人对社会主义前途产生怀疑。</w:t>
      </w:r>
    </w:p>
    <w:p w14:paraId="50FB9D2C">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苏东剧变使社会主义运动处于低谷，总体上资强社弱的局势使得一些人特别是部分青年对社会主义的前途和生命力产生了怀疑，对社会主义制度的优越性产生了动摇。在回答“您认为对共产主义理想信念产生危机的原因是什么”时，37.76%的人选择“苏东社会主义国家的蜕变”。</w:t>
      </w:r>
    </w:p>
    <w:p w14:paraId="0B3FEA5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这种形势下，建设中国特色社会主义的伟大事业也遭到冲击，中国特色社会主义的共同理想被理解为是建立“中国特色资本主义”。有一些人明确讲，他们理解的共同理想不是别的，是中国特色资本主义。调查结果也证明这点，例如，在回答“您认为全国各族人民的共同理想是什么”时，1748份问卷中，有101人选择“中国特色资本主义”，占调研对象总人数的5.78%。这种冲击主要来自苏联解体、东欧剧变及西方发达国家的进一步发展对人们心理上的强烈冲击。社会主义和资本主义力量的一降一升，使一些人对社会主义运动、马克思主义理论、共产主义理想信念产生怀疑、迷惑甚至动摇，产生了我国“红旗到底能打多久”的疑问。资强社弱的总体局势尚未改变，世界社会主义运动仍处于低潮的负面效应影响了社会主义核心价值体系的建设。</w:t>
      </w:r>
    </w:p>
    <w:p w14:paraId="66DEBBBB">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50" w:name="_Toc13613"/>
      <w:bookmarkEnd w:id="1250"/>
      <w:bookmarkStart w:id="1251" w:name="_Toc20949"/>
      <w:bookmarkEnd w:id="1251"/>
      <w:bookmarkStart w:id="1252" w:name="_Toc24822"/>
      <w:bookmarkEnd w:id="1252"/>
      <w:bookmarkStart w:id="1253" w:name="_Toc20482"/>
      <w:bookmarkEnd w:id="1253"/>
      <w:bookmarkStart w:id="1254" w:name="_Toc5115"/>
      <w:r>
        <w:rPr>
          <w:rFonts w:hint="eastAsia" w:ascii="宋体" w:hAnsi="宋体"/>
          <w:b/>
          <w:color w:val="000000" w:themeColor="text1"/>
          <w:sz w:val="24"/>
          <w:szCs w:val="24"/>
          <w14:textFill>
            <w14:solidFill>
              <w14:schemeClr w14:val="tx1"/>
            </w14:solidFill>
          </w14:textFill>
        </w:rPr>
        <w:t>三、进一步加强社会主义核心价值体系建设的对策建议</w:t>
      </w:r>
      <w:bookmarkEnd w:id="1254"/>
    </w:p>
    <w:p w14:paraId="32BBC65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社会主义核心价值体系建设的过程中，我们虽然取得了很大成绩，但同时，也还存在不少问题。分析各方面存在问题的原因，我们可以看到，有些问题在不同的方面暴露出来，但存在问题的原因是相同或者近似的，具有一定的普遍性。有的问题则是某一领域或者某一方面的工作中特有的。通过调查研究，我们也深切感到，要做好社会主义核心价值体系的建设工作，并不单纯是思想意识形态一个领域或部门的工作，需要其他领域和部门共同努力和相互配合。为此，我们特提出以下对策建议：</w:t>
      </w:r>
    </w:p>
    <w:p w14:paraId="15384BF6">
      <w:pPr>
        <w:ind w:firstLine="420" w:firstLineChars="200"/>
        <w:rPr>
          <w:rFonts w:hint="eastAsia" w:ascii="宋体" w:hAnsi="宋体"/>
          <w:color w:val="000000" w:themeColor="text1"/>
          <w14:textFill>
            <w14:solidFill>
              <w14:schemeClr w14:val="tx1"/>
            </w14:solidFill>
          </w14:textFill>
        </w:rPr>
      </w:pPr>
      <w:bookmarkStart w:id="1255" w:name="_Toc20063"/>
      <w:bookmarkEnd w:id="1255"/>
      <w:r>
        <w:rPr>
          <w:rFonts w:hint="eastAsia" w:ascii="宋体" w:hAnsi="宋体"/>
          <w:color w:val="000000" w:themeColor="text1"/>
          <w14:textFill>
            <w14:solidFill>
              <w14:schemeClr w14:val="tx1"/>
            </w14:solidFill>
          </w14:textFill>
        </w:rPr>
        <w:t>第一，深化社会主义核心价值体系的理论研究。</w:t>
      </w:r>
    </w:p>
    <w:p w14:paraId="13F3D9A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行动是理论的生命，理论是行动的先导，没有理论的行动是盲目的。要搞好社会主义核心价值体系建设，必须进一步深化社会主义核心价值体系的理论研究，使社会主义核心价值体系在理论上能够说服人、在内容上能够启迪人、在形式上能够吸引人。例如，要探讨用简洁的词语来表达社会主义核心价值体系。西方学者用具有资产阶级特殊内涵的“自由、平等、博爱、人权、民主、公正、自私”等词语表达资本主义的核心价值观或“普世价值观”。我国有学者提出“以人为本”是社会主义的核心价值，还有学者提出，“富强、民主、文明、和谐”是社会主义核心价值体系基本价值理念和价值目标的集中体现等，这些观点是否准确值得研究。至于核心价值观、基本价值观、共同价值观和“普世价值观”的内涵及其相互关系，那就更需要精心地深入探讨。</w:t>
      </w:r>
    </w:p>
    <w:p w14:paraId="3C6D0E98">
      <w:pPr>
        <w:ind w:firstLine="420" w:firstLineChars="200"/>
        <w:rPr>
          <w:rFonts w:hint="eastAsia" w:ascii="宋体" w:hAnsi="宋体"/>
          <w:color w:val="000000" w:themeColor="text1"/>
          <w14:textFill>
            <w14:solidFill>
              <w14:schemeClr w14:val="tx1"/>
            </w14:solidFill>
          </w14:textFill>
        </w:rPr>
      </w:pPr>
      <w:bookmarkStart w:id="1256" w:name="_Toc15149"/>
      <w:bookmarkEnd w:id="1256"/>
      <w:r>
        <w:rPr>
          <w:rFonts w:hint="eastAsia" w:ascii="宋体" w:hAnsi="宋体"/>
          <w:color w:val="000000" w:themeColor="text1"/>
          <w14:textFill>
            <w14:solidFill>
              <w14:schemeClr w14:val="tx1"/>
            </w14:solidFill>
          </w14:textFill>
        </w:rPr>
        <w:t>第二，努力提高党领导社会主义核心价值体系宣传教育工作的能力。</w:t>
      </w:r>
    </w:p>
    <w:p w14:paraId="03E134F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社会主义核心价值体系是我国意识形态的集中体现，要积极掌握党对意识形态的领导权和主动权。在这方面，我们必须时刻保持清醒的头脑。调查马克思主义指导地位被弱化的原因时，在受访的人中，有36.21%的人认为“部分单位的领导权不掌握在马克思主义者手中”是马克思主义指导地位被弱化的原因。有的甚至认为，它们的领导权实际掌握在自由主义色彩很浓的人手中。有不少教授专家在调查中强调，哪个单位的马克思主义和社会主义核心价值体系被弱化，往往就是哪个单位的领导班子有问题，程度不同地受到了西方资产阶级意识形态和学术的影响。因此，特别要关注党和政府有关教育、研究和宣传单位的领导班子建设，从组织上确保该单位主动践行社会主义核心价值体系。</w:t>
      </w:r>
    </w:p>
    <w:p w14:paraId="3E682A6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第三，从源头上治理党内腐败，增强人民群众对社会主义核心价值体系的感召力和亲和力。</w:t>
      </w:r>
    </w:p>
    <w:p w14:paraId="4C5EB72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社会主义核心价值体系是代表先进生产力、先进文化和广大人民根本利益的先进价值体系。它首先应该在社会先进分子的价值实践中得到充分体现。共产党员作为工人阶级的先锋分子，首先应该身体力行。但是，调查显示，党内腐败现象的盛行，已经严重地败坏了党和国家的声誉，危及人民群众对马克思主义和社会主义的理想信念，引起干部和群众普遍的强烈不满。</w:t>
      </w:r>
    </w:p>
    <w:p w14:paraId="007F9D2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前面提到，调查共产主义理想信念产生危机的原因时，在受访的人中，有76.03%的人认为是由于干部腐败问题造成的。因此，反腐败工作关系着社会主义核心价值体系的践行以及党和国家的生死存亡。要坚持标本兼治、综合治理的方针，将预防腐败和惩治腐败相结合，从制度上解决权力制约、监督问题。其中，目前要加大研究非公经济的行贿打击等问题、高级干部子女经商等管理问题。强化党内监督、舆论监督、法律监督、群众监督，依法建立健全制约和监督权力运行的机制，通过体制变革铲除腐败行为滋生的土壤和条件，从而增强人民群众对社会主义核心价值体系的感召力和亲和力。</w:t>
      </w:r>
    </w:p>
    <w:p w14:paraId="7CF5867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第四，逐步缩小财富和收入分配差距，为践行社会主义核心价值体系奠定牢固的经济基础。</w:t>
      </w:r>
    </w:p>
    <w:p w14:paraId="21A67A0B">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社会主义核心价值体系是生产力大发展和先进基本经济制度在人们的道德情感和理想信念上的集中表现和反映。社会主义核心价值体系作为党的思想理论，要想有说服力和感召力，首先是通过实践结果来体现的。创新的理论必须具有符合全民共享发展成果的机制和广大群众认同的实践效应。当前，由于财产和收入的不断分化而导致的干群关系紧张问题已十分严重。这是对党执政能力的考验，也直接影响着人民群众对社会主义的信念和信心，影响着人民群众对社会主义核心价值体系的学习与践行。因此，必须认真落实邓小平关于在两个世纪之交要把解决贫富分化、实现共同富裕的问题提到议事日程的一系列指示，并从加强和巩固公有制为主体的社会所有制结构这一初级社会主义社会的基本经济制度的源头上加以扭转。</w:t>
      </w:r>
    </w:p>
    <w:p w14:paraId="0FC23DEC">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第五，重点抓好党员领导干部和青少年这两头，积极加强理想信念教育。</w:t>
      </w:r>
    </w:p>
    <w:p w14:paraId="5623E69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抓好党员领导干部的理想信念教育是关键。党员领导干部的理想信念如何，极大地影响着人民群众的理想信念。我们要根据新形势新任务，全面加强各级党员领导干部的思想作风、工作作风、领导作风、生活作风、学风建设，切切实实把党风、政风搞好，才能建立起强有力的社会主义核心价值体系，切实引领广大人民群众坚定地走中国特色社会主义道路；青少年是党和人民事业的未来，是祖国和民族的未来，对他们的共同理想教育，事关中国特色社会主义的前途命运。尤其是在当前全球化进程空前加快，网络社会影响日渐增强，西方资本主义发达国家加紧与我们争夺青少年一代的斗争更为激烈的情况下，必须重点抓好对青少年的共同理想教育。通过“大处着眼、小处着手”的两头重点宣传教育，才能从总体上提升对社会主义核心价值体系的认知度和践行效果。</w:t>
      </w:r>
    </w:p>
    <w:p w14:paraId="731F844D">
      <w:pPr>
        <w:ind w:firstLine="420" w:firstLineChars="200"/>
        <w:rPr>
          <w:rFonts w:hint="eastAsia" w:ascii="宋体" w:hAnsi="宋体"/>
          <w:color w:val="000000" w:themeColor="text1"/>
          <w14:textFill>
            <w14:solidFill>
              <w14:schemeClr w14:val="tx1"/>
            </w14:solidFill>
          </w14:textFill>
        </w:rPr>
      </w:pPr>
      <w:bookmarkStart w:id="1257" w:name="_Toc21461"/>
      <w:bookmarkEnd w:id="1257"/>
      <w:r>
        <w:rPr>
          <w:rFonts w:hint="eastAsia" w:ascii="宋体" w:hAnsi="宋体"/>
          <w:color w:val="000000" w:themeColor="text1"/>
          <w14:textFill>
            <w14:solidFill>
              <w14:schemeClr w14:val="tx1"/>
            </w14:solidFill>
          </w14:textFill>
        </w:rPr>
        <w:t>第六，积极用社会主义核心价值体系引领多样化的社会思潮。</w:t>
      </w:r>
    </w:p>
    <w:p w14:paraId="677B4CA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社会主义核心价值体系的引领，要根据不同人群和不同年龄阶段的特点，多形式、多渠道地进行。要及时运用不断现代化的传播手段，有效运用报纸、刊物、书籍、电视、网络、广播等传统和现代传媒，有针对性地采用影视、报刊、书籍、音乐、戏剧、美术、讲坛、故事会等形式。既要引领好多样化的社会思潮，又要有力抵制腐朽的、错误的尤其是反动的思潮；既要坚持主导意识形态科学性的原则，又要掌握主导意识形态渗透性的技巧；既要在和谐发展中强调最大的包容性，又要坚决维持意识形态底线的不可触动性；既要坚持社会主义核心价值体系内容的严肃性，反对“庸俗、低俗、媚俗、恶俗”的社会风气，又要增强社会主义核心价值体系传播的通俗性和生动性。大力扶持与主流价值观和现代表现形式相符合的作品创作和传播，进一步增强人们对社会主义核心价值体系各个部分的认同感和践行自觉性。在这方面，重庆开展的“唱读讲传”等活动，都是生动活泼又切实有效的思想政治教育，很有现实意义和示范作用。西藏等少数民族地区要进一步加强马克思主义世界观、人生观、价值观的教育，并落实到祖国观、民族观、宗教观和文化观“四观”和唯物论、无神论“两论”的宣传教育上，自觉抵御各种错误或反动思潮的影响。</w:t>
      </w:r>
    </w:p>
    <w:p w14:paraId="0303436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第七，把社会主义核心价值体系作为选择和确定先进典型的重要标准。</w:t>
      </w:r>
    </w:p>
    <w:p w14:paraId="7C195F9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社会主义核心价值体系应是各类先进典型的灵魂。当今时代是英模辈出的时代，各行各业不断涌现出一批批优秀分子，以其出色的工作业绩和可亲可敬的人格魅力成为引领时代前进的航标。随着我国经济成分、组织形式、就业方式、利益关系和分配方式的日益多样化，先进典型愈益多姿多彩、层出不穷，但是，不论他们来自哪个领域、从事何种职业，都应当是社会主义核心价值体系的积极倡导者和模范实践者。虽然他们的优秀事迹各不相同，但都从不同侧面体现着社会主义核心价值体系的本质要求。社会主义核心价值体系是我们选择先进典型的社会原则和价值尺度。因此，在实践中选择和确定先进典型，就是要看其是不是坚持马克思主义和中国特色社会主义的理想信念，是不是体现民族精神和时代精神，是不是弘扬社会主义荣辱观。只有这样，才能树立起正面的良好典型。</w:t>
      </w:r>
    </w:p>
    <w:p w14:paraId="130DB08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（原载于《毛泽东邓小平理论研究》2011年第2期，第二作者为郑一明、冯颜利等。）</w:t>
      </w:r>
    </w:p>
    <w:p w14:paraId="66F85D0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p>
    <w:p w14:paraId="6F518574">
      <w:pPr>
        <w:pStyle w:val="3"/>
        <w:ind w:firstLine="640" w:firstLineChars="200"/>
        <w:outlineLvl w:val="1"/>
        <w:rPr>
          <w:color w:val="000000" w:themeColor="text1"/>
          <w14:textFill>
            <w14:solidFill>
              <w14:schemeClr w14:val="tx1"/>
            </w14:solidFill>
          </w14:textFill>
        </w:rPr>
      </w:pPr>
      <w:bookmarkStart w:id="1258" w:name="_Toc16904"/>
      <w:bookmarkStart w:id="1259" w:name="_Toc26222"/>
      <w:bookmarkStart w:id="1260" w:name="_Toc114057774"/>
      <w:bookmarkStart w:id="1261" w:name="_Toc1043731333"/>
      <w:bookmarkStart w:id="1262" w:name="_Toc552641442"/>
      <w:r>
        <w:rPr>
          <w:rFonts w:hint="eastAsia" w:ascii="黑体" w:hAnsi="黑体"/>
          <w:color w:val="000000" w:themeColor="text1"/>
          <w14:textFill>
            <w14:solidFill>
              <w14:schemeClr w14:val="tx1"/>
            </w14:solidFill>
          </w14:textFill>
        </w:rPr>
        <w:t>4公众“幸福感”的政府责任</w:t>
      </w:r>
      <w:bookmarkEnd w:id="1258"/>
      <w:bookmarkEnd w:id="1259"/>
      <w:bookmarkEnd w:id="1260"/>
      <w:bookmarkEnd w:id="1261"/>
      <w:bookmarkEnd w:id="1262"/>
    </w:p>
    <w:p w14:paraId="6908FCF5">
      <w:pPr>
        <w:adjustRightInd w:val="0"/>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追求幸福是人生的永恒主题，也是一切人类活动的终极目的。幸福的主观形式即幸福感，是一种超越感官快乐的、深刻而持久的心灵快乐，其客观实质是人生重大需要的满足。</w:t>
      </w:r>
    </w:p>
    <w:p w14:paraId="0ABC75B7">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幸福不仅与主体自身状况密切相关，而且在很大程度上受到社会环境的影响，主要包括经济因素、政治因素和文化因素。</w:t>
      </w:r>
    </w:p>
    <w:p w14:paraId="4BF19128">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63" w:name="_Toc14005"/>
      <w:bookmarkEnd w:id="1263"/>
      <w:bookmarkStart w:id="1264" w:name="_Toc1379"/>
      <w:bookmarkEnd w:id="1264"/>
      <w:bookmarkStart w:id="1265" w:name="_Toc17701"/>
      <w:bookmarkEnd w:id="1265"/>
      <w:bookmarkStart w:id="1266" w:name="_Toc17809"/>
      <w:bookmarkEnd w:id="1266"/>
      <w:bookmarkStart w:id="1267" w:name="_Toc27727"/>
      <w:r>
        <w:rPr>
          <w:rFonts w:hint="eastAsia" w:ascii="宋体" w:hAnsi="宋体"/>
          <w:b/>
          <w:color w:val="000000" w:themeColor="text1"/>
          <w:sz w:val="24"/>
          <w:szCs w:val="24"/>
          <w14:textFill>
            <w14:solidFill>
              <w14:schemeClr w14:val="tx1"/>
            </w14:solidFill>
          </w14:textFill>
        </w:rPr>
        <w:t>一、幸福不只看收入</w:t>
      </w:r>
      <w:bookmarkEnd w:id="1267"/>
    </w:p>
    <w:p w14:paraId="40785D79">
      <w:pPr>
        <w:adjustRightInd w:val="0"/>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在传统视野中，收入的增加是提升幸福水平最有力的手段。近年来国内外学者通过实证研究对此进行了进一步的验证。</w:t>
      </w:r>
    </w:p>
    <w:p w14:paraId="60F7280B">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中，国际层面的研究表明，那些生活在富裕国家中的人们总体上比生活在贫穷国家中的人们更加幸福。而从国内层面来看，在一国之内，较高收入群体普遍比较低收入群体体验到更多的幸福。尤其在欠发达国家中，居民个人收入与主观幸福感的相关性要更强一些。</w:t>
      </w:r>
    </w:p>
    <w:p w14:paraId="48962AF2">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就业也是影响幸福的一个重要因素，无论是对个人失业和普遍失业的研究都表明，失业会给人们的幸福感带来相当大的负面影响，因为工作不仅是收入的主要来源，而且还是自尊感、自信心以及生活意义的重要来源，所以即使是在瑞士、丹麦、瑞典这样典型的高福利国家，失业也仍然会使人们的幸福水平大大降低。</w:t>
      </w:r>
    </w:p>
    <w:p w14:paraId="32A691B3">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政治不仅能够通过对经济、文化的反作用间接影响人们的幸福感，其自身也是影响幸福感的重要因素。研究显示，人们的幸福水平受他们生活于其中的政治制度类型的影响，生活于宪法民主制度中的人们更为幸福，同时，广泛的政治权利和民主的政治程序对公民的幸福水平也具有直接的影响作用。公民的立法提案权、选举权、投票权等政治权利越广泛，行使权利的方式越直接、效果越直观，那么公民的幸福水平就越高。</w:t>
      </w:r>
    </w:p>
    <w:p w14:paraId="07B3042A">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近年来，心理学家们对主观幸福感的跨文化研究显示了主观幸福感的文化差异，证实了文化也是影响主观幸福感的重要因素。</w:t>
      </w:r>
    </w:p>
    <w:p w14:paraId="0A3DC9F7">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文化对主观幸福感的影响主要通过两个途径：通过影响个体评判幸福的标准来影响主观幸福感；通过影响个体的社会心理取向来影响主观幸福感。</w:t>
      </w:r>
    </w:p>
    <w:p w14:paraId="5941F95C">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68" w:name="_Toc4596"/>
      <w:bookmarkEnd w:id="1268"/>
      <w:bookmarkStart w:id="1269" w:name="_Toc20599"/>
      <w:bookmarkEnd w:id="1269"/>
      <w:bookmarkStart w:id="1270" w:name="_Toc22019"/>
      <w:bookmarkEnd w:id="1270"/>
      <w:bookmarkStart w:id="1271" w:name="_Toc18954"/>
      <w:bookmarkEnd w:id="1271"/>
      <w:bookmarkStart w:id="1272" w:name="_Toc32564"/>
      <w:r>
        <w:rPr>
          <w:rFonts w:hint="eastAsia" w:ascii="宋体" w:hAnsi="宋体"/>
          <w:b/>
          <w:color w:val="000000" w:themeColor="text1"/>
          <w:sz w:val="24"/>
          <w:szCs w:val="24"/>
          <w14:textFill>
            <w14:solidFill>
              <w14:schemeClr w14:val="tx1"/>
            </w14:solidFill>
          </w14:textFill>
        </w:rPr>
        <w:t>二、幸福从哪儿来？</w:t>
      </w:r>
      <w:bookmarkEnd w:id="1272"/>
    </w:p>
    <w:p w14:paraId="11E284AA">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近半个多世纪以来，科学技术的进步使人类社会的物质财富得到了持续高速的增长，但人们的幸福感却没有得到同步增进。</w:t>
      </w:r>
    </w:p>
    <w:p w14:paraId="44B85BCF">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调查显示：在1946-2004年的将近60年间，美国人的平均幸福指数几乎没有大的波动；日本则更加典型，从1958年到1991年，日本的人均收入翻了两番还多，但其平均幸福水平却仍然维持在1958年的水平。</w:t>
      </w:r>
    </w:p>
    <w:p w14:paraId="1419D78D">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国也存在着类似的情形，根据盖洛普公司自1994年开始在中国进行的消费者调查，在1994-2004年的十年间，中国消费者的总体满意度先升后降，与GDP的增长变化并不同步。这就是所谓的“幸福悖论”现象，它引起了人们对经济与幸福之间关系的反思。</w:t>
      </w:r>
    </w:p>
    <w:p w14:paraId="619B631C">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一，收入与幸福的关系并不是绝对的正相关，而是呈倒U形曲线。也就是说，存在一个临界收入水平，在达到临界值以前，收入增长对提高幸福水平有重要作用，而一旦达到或超过这个临界值，进一步的经济增长对于提高幸福水平或无效或效果很小，甚至有反作用。</w:t>
      </w:r>
    </w:p>
    <w:p w14:paraId="0D76C276">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第二，经济因素虽然是影响幸福的重要因素，但并不是唯一因素，如果过分关注经济因素，以至于忽略甚至牺牲了其他许多重要的非经济因素，比如亲情、友情、健康、环境等，是大大有损人的整体幸福感的。</w:t>
      </w:r>
    </w:p>
    <w:p w14:paraId="18B07581">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三，相对收入水平比绝对收入水平更能影响人的幸福感。因为人们在社会生活中通常有一种心理倾向，就是把自己的收入跟他人相比较，比较的结果能够反映出个人的经济地位、社会地位，这将会在很大程度上影响个人的幸福水平。</w:t>
      </w:r>
    </w:p>
    <w:p w14:paraId="43E9538E">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实际上，不仅仅是在经济收入方面有社会比较的存在，在社会生活的其他方面，比如政治待遇、生活环境、文化程度等方面也一样有社会比较。所以，消除社会生活各方面的不合理差距就成为保障国民幸福的一个必要措施。</w:t>
      </w:r>
    </w:p>
    <w:p w14:paraId="518DEA73">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因此，在社会实践中，要求人们依靠个人的勤劳和智慧，通过合法的、道德的途径，提高可支配的经济收入，为物质生活需要的满足提供良好的保障。</w:t>
      </w:r>
    </w:p>
    <w:p w14:paraId="643F8E56">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树立全面、整体的幸福观，综合考虑影响幸福的各种因素，并依据个人的能力和条件，制定最优的资源配置策略，使其在保障了基本物质生活需要的基础上，更多地用于满足精神文化方面的需要。</w:t>
      </w:r>
    </w:p>
    <w:p w14:paraId="568E89EB">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同时，在生活中既要善待他人、努力建构和谐的人际关系，又要积极发挥主观能动性，努力于“为”中求好。</w:t>
      </w:r>
    </w:p>
    <w:p w14:paraId="42B94D0A">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73" w:name="_Toc22992"/>
      <w:bookmarkEnd w:id="1273"/>
      <w:bookmarkStart w:id="1274" w:name="_Toc3495"/>
      <w:bookmarkEnd w:id="1274"/>
      <w:bookmarkStart w:id="1275" w:name="_Toc25845"/>
      <w:bookmarkEnd w:id="1275"/>
      <w:bookmarkStart w:id="1276" w:name="_Toc19710"/>
      <w:bookmarkEnd w:id="1276"/>
      <w:bookmarkStart w:id="1277" w:name="_Toc24786"/>
      <w:r>
        <w:rPr>
          <w:rFonts w:hint="eastAsia" w:ascii="宋体" w:hAnsi="宋体"/>
          <w:b/>
          <w:color w:val="000000" w:themeColor="text1"/>
          <w:sz w:val="24"/>
          <w:szCs w:val="24"/>
          <w14:textFill>
            <w14:solidFill>
              <w14:schemeClr w14:val="tx1"/>
            </w14:solidFill>
          </w14:textFill>
        </w:rPr>
        <w:t>三、政府应该怎么做？</w:t>
      </w:r>
      <w:bookmarkEnd w:id="1277"/>
    </w:p>
    <w:p w14:paraId="3ED75A60">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首先，政府公共政策的制定要以增进人民幸福而不是增加社会财富为目标。也就是说，政府公共政策的制定要体现“幸福”这一终极价值。因为我们政策的目的不是要让人们更有钱，而是要让人们更幸福。</w:t>
      </w:r>
    </w:p>
    <w:p w14:paraId="4F863A42">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在公共政策的评价上，要消除狭隘的GDP崇拜，把更多的、能够切实反映民生幸福的指标纳入评价考核体系。</w:t>
      </w:r>
    </w:p>
    <w:p w14:paraId="1108E846">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次，政府应当重视文化建设，通过文化政策的研究创新，深化文化体制改革、加强公共文化设施建设、加大对文化事业的财政投入、积极扶持文化产业的发展，为人民群众提供更多、更好的文化产品和文化服务，满足人们多样化、多层次的精神需求，增进民众的精神幸福。</w:t>
      </w:r>
    </w:p>
    <w:p w14:paraId="59AD7CEC">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p>
    <w:p w14:paraId="14A6916F">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（原载于</w:t>
      </w:r>
      <w:r>
        <w:rPr>
          <w:rFonts w:hint="eastAsia" w:ascii="宋体" w:hAnsi="宋体" w:cs="Arial"/>
          <w:color w:val="000000" w:themeColor="text1"/>
          <w:shd w:val="clear" w:color="auto" w:fill="FFFFFF"/>
          <w14:textFill>
            <w14:solidFill>
              <w14:schemeClr w14:val="tx1"/>
            </w14:solidFill>
          </w14:textFill>
        </w:rPr>
        <w:t>《中国经济周刊》</w:t>
      </w:r>
      <w:r>
        <w:rPr>
          <w:rFonts w:ascii="Arial" w:hAnsi="Arial" w:cs="Arial"/>
          <w:color w:val="000000" w:themeColor="text1"/>
          <w:shd w:val="clear" w:color="auto" w:fill="FFFFFF"/>
          <w14:textFill>
            <w14:solidFill>
              <w14:schemeClr w14:val="tx1"/>
            </w14:solidFill>
          </w14:textFill>
        </w:rPr>
        <w:t>2011</w:t>
      </w:r>
      <w:r>
        <w:rPr>
          <w:rFonts w:hint="eastAsia" w:ascii="宋体" w:hAnsi="宋体" w:cs="Arial"/>
          <w:color w:val="000000" w:themeColor="text1"/>
          <w:shd w:val="clear" w:color="auto" w:fill="FFFFFF"/>
          <w14:textFill>
            <w14:solidFill>
              <w14:schemeClr w14:val="tx1"/>
            </w14:solidFill>
          </w14:textFill>
        </w:rPr>
        <w:t>年第</w:t>
      </w:r>
      <w:r>
        <w:rPr>
          <w:rFonts w:ascii="Arial" w:hAnsi="Arial" w:cs="Arial"/>
          <w:color w:val="000000" w:themeColor="text1"/>
          <w:shd w:val="clear" w:color="auto" w:fill="FFFFFF"/>
          <w14:textFill>
            <w14:solidFill>
              <w14:schemeClr w14:val="tx1"/>
            </w14:solidFill>
          </w14:textFill>
        </w:rPr>
        <w:t>8</w:t>
      </w:r>
      <w:r>
        <w:rPr>
          <w:rFonts w:hint="eastAsia" w:ascii="宋体" w:hAnsi="宋体" w:cs="Arial"/>
          <w:color w:val="000000" w:themeColor="text1"/>
          <w:shd w:val="clear" w:color="auto" w:fill="FFFFFF"/>
          <w14:textFill>
            <w14:solidFill>
              <w14:schemeClr w14:val="tx1"/>
            </w14:solidFill>
          </w14:textFill>
        </w:rPr>
        <w:t>期，第二作者为王艺</w:t>
      </w:r>
      <w:r>
        <w:rPr>
          <w:rFonts w:hint="eastAsia" w:ascii="宋体" w:hAnsi="宋体"/>
          <w:color w:val="000000" w:themeColor="text1"/>
          <w14:textFill>
            <w14:solidFill>
              <w14:schemeClr w14:val="tx1"/>
            </w14:solidFill>
          </w14:textFill>
        </w:rPr>
        <w:t>）</w:t>
      </w:r>
    </w:p>
    <w:p w14:paraId="193C9A45">
      <w:pPr>
        <w:spacing w:before="147" w:beforeLines="50" w:after="147" w:afterLines="50" w:line="400" w:lineRule="exact"/>
        <w:ind w:firstLine="420" w:firstLineChars="200"/>
        <w:jc w:val="left"/>
        <w:rPr>
          <w:rFonts w:hint="eastAsia" w:ascii="黑体" w:hAnsi="黑体"/>
          <w:color w:val="000000" w:themeColor="text1"/>
          <w14:textFill>
            <w14:solidFill>
              <w14:schemeClr w14:val="tx1"/>
            </w14:solidFill>
          </w14:textFill>
        </w:rPr>
      </w:pPr>
      <w:r>
        <w:rPr>
          <w:rFonts w:hint="eastAsia" w:ascii="黑体" w:hAnsi="黑体"/>
          <w:color w:val="000000" w:themeColor="text1"/>
          <w14:textFill>
            <w14:solidFill>
              <w14:schemeClr w14:val="tx1"/>
            </w14:solidFill>
          </w14:textFill>
        </w:rPr>
        <w:br w:type="page"/>
      </w:r>
    </w:p>
    <w:p w14:paraId="3666B713">
      <w:pPr>
        <w:pStyle w:val="3"/>
        <w:ind w:firstLine="640" w:firstLineChars="200"/>
        <w:outlineLvl w:val="1"/>
        <w:rPr>
          <w:rFonts w:hint="eastAsia"/>
          <w:color w:val="000000" w:themeColor="text1"/>
          <w14:textFill>
            <w14:solidFill>
              <w14:schemeClr w14:val="tx1"/>
            </w14:solidFill>
          </w14:textFill>
        </w:rPr>
      </w:pPr>
      <w:bookmarkStart w:id="1278" w:name="_Toc6013"/>
      <w:bookmarkStart w:id="1279" w:name="_Toc16650"/>
      <w:bookmarkStart w:id="1280" w:name="_Toc114057775"/>
      <w:bookmarkStart w:id="1281" w:name="_Toc1346085035"/>
      <w:bookmarkStart w:id="1282" w:name="_Toc377942419"/>
      <w:bookmarkStart w:id="1283" w:name="_Toc10481"/>
      <w:r>
        <w:rPr>
          <w:rFonts w:ascii="黑体" w:hAnsi="黑体"/>
          <w:color w:val="000000" w:themeColor="text1"/>
          <w14:textFill>
            <w14:solidFill>
              <w14:schemeClr w14:val="tx1"/>
            </w14:solidFill>
          </w14:textFill>
        </w:rPr>
        <w:t>5中国模式是社会主义本质的中国实现形式</w:t>
      </w:r>
      <w:bookmarkEnd w:id="1278"/>
      <w:bookmarkEnd w:id="1279"/>
      <w:bookmarkEnd w:id="1280"/>
      <w:bookmarkEnd w:id="1281"/>
      <w:bookmarkEnd w:id="1282"/>
    </w:p>
    <w:p w14:paraId="63B777BA">
      <w:pPr>
        <w:pStyle w:val="6"/>
        <w:spacing w:line="400" w:lineRule="exact"/>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中国模式作为一种社会发展模式，是一种社会主义的发展模式，是当代中国的社会主义发展模式。其成功是中国特色社会主义的成功，其经验即党的十七大所总结概括并被胡锦涛总书记反复强调的“十个结合”。中国逐步形成“四位一体”的体制模式。西方金融经济危机后中国的优秀</w:t>
      </w:r>
      <w:r>
        <w:rPr>
          <w:rFonts w:hint="eastAsia" w:hAnsi="宋体"/>
          <w:color w:val="000000" w:themeColor="text1"/>
          <w14:textFill>
            <w14:solidFill>
              <w14:schemeClr w14:val="tx1"/>
            </w14:solidFill>
          </w14:textFill>
        </w:rPr>
        <w:tab/>
      </w:r>
      <w:r>
        <w:rPr>
          <w:rFonts w:hint="eastAsia" w:hAnsi="宋体"/>
          <w:color w:val="000000" w:themeColor="text1"/>
          <w14:textFill>
            <w14:solidFill>
              <w14:schemeClr w14:val="tx1"/>
            </w14:solidFill>
          </w14:textFill>
        </w:rPr>
        <w:t>表现，使中国模式及其导致的中国崛起在世界范围内引起热议。《人民论坛》杂志社联合几家媒体进行的“你如何看待中国模式”专题调查，比较可信地反映了广大民众对中国模式的认可，此时使用“中国模式”概念不仅不会冲淡中国特色和中国道路，而且会给中国特色添彩增色。因此，继续深入研究中国模式及其国际比较，对于细化和丰富中国道路与经验，推进马克思主义中国化、时代化、大众化，进而推进中国特色社会主义事业，提升中国在国际上的话语权和软实力，均具有十分重要的意义。</w:t>
      </w:r>
    </w:p>
    <w:p w14:paraId="34E85693">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（原载于《国企》2011年第3期。)</w:t>
      </w:r>
    </w:p>
    <w:p w14:paraId="7B758DAC">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 xml:space="preserve"> </w:t>
      </w:r>
    </w:p>
    <w:p w14:paraId="566F3BCC">
      <w:pPr>
        <w:pStyle w:val="3"/>
        <w:ind w:firstLine="640" w:firstLineChars="200"/>
        <w:outlineLvl w:val="1"/>
        <w:rPr>
          <w:rFonts w:hint="eastAsia"/>
          <w:color w:val="000000" w:themeColor="text1"/>
          <w14:textFill>
            <w14:solidFill>
              <w14:schemeClr w14:val="tx1"/>
            </w14:solidFill>
          </w14:textFill>
        </w:rPr>
      </w:pPr>
      <w:bookmarkStart w:id="1284" w:name="_Toc12644"/>
      <w:bookmarkStart w:id="1285" w:name="_Toc114057776"/>
      <w:bookmarkStart w:id="1286" w:name="_Toc2058445747"/>
      <w:bookmarkStart w:id="1287" w:name="_Toc1969091954"/>
      <w:r>
        <w:rPr>
          <w:rFonts w:ascii="黑体" w:hAnsi="黑体"/>
          <w:color w:val="000000" w:themeColor="text1"/>
          <w14:textFill>
            <w14:solidFill>
              <w14:schemeClr w14:val="tx1"/>
            </w14:solidFill>
          </w14:textFill>
        </w:rPr>
        <w:t>6</w:t>
      </w:r>
      <w:r>
        <w:rPr>
          <w:rFonts w:hint="eastAsia" w:ascii="黑体" w:hAnsi="黑体"/>
          <w:color w:val="000000" w:themeColor="text1"/>
          <w14:textFill>
            <w14:solidFill>
              <w14:schemeClr w14:val="tx1"/>
            </w14:solidFill>
          </w14:textFill>
        </w:rPr>
        <w:t>新“房改”的未来方向</w:t>
      </w:r>
      <w:bookmarkEnd w:id="1283"/>
      <w:bookmarkEnd w:id="1284"/>
      <w:bookmarkEnd w:id="1285"/>
      <w:bookmarkEnd w:id="1286"/>
      <w:bookmarkEnd w:id="1287"/>
    </w:p>
    <w:p w14:paraId="67C5E4AA">
      <w:pPr>
        <w:adjustRightInd w:val="0"/>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保障性住房层次越多，管理的成本就越高，制度建设就越复杂，效率就越低。我认为，总体上分为公租房、私租房、商品房三大类，并实行“以公租房为主体、以商品房和私租房为辅”的“新住房策论”。</w:t>
      </w:r>
    </w:p>
    <w:p w14:paraId="5A43B702">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随着我国经济体制改革的深入，住房制度也经历了变革，近年来房价一路飙升，让许多老百姓望房兴叹，住房问题成为社会关注的焦点和热点之一。基于住房既是基本生活必需品，又是投资品，市场具有不完全性、房价收入比及平均利润的相关理论，我的基本观点是建立以市场调节为基础，国家调节为主导这样一个机制，针对不同的群体提供不同的住房产品来加以解决。</w:t>
      </w:r>
    </w:p>
    <w:p w14:paraId="698450F3">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88" w:name="_Toc5180"/>
      <w:bookmarkEnd w:id="1288"/>
      <w:bookmarkStart w:id="1289" w:name="_Toc267"/>
      <w:bookmarkEnd w:id="1289"/>
      <w:bookmarkStart w:id="1290" w:name="_Toc13789"/>
      <w:bookmarkEnd w:id="1290"/>
      <w:bookmarkStart w:id="1291" w:name="_Toc6835"/>
      <w:bookmarkEnd w:id="1291"/>
      <w:bookmarkStart w:id="1292" w:name="_Toc6247"/>
      <w:r>
        <w:rPr>
          <w:rFonts w:hint="eastAsia" w:ascii="宋体" w:hAnsi="宋体"/>
          <w:b/>
          <w:color w:val="000000" w:themeColor="text1"/>
          <w:sz w:val="24"/>
          <w:szCs w:val="24"/>
          <w14:textFill>
            <w14:solidFill>
              <w14:schemeClr w14:val="tx1"/>
            </w14:solidFill>
          </w14:textFill>
        </w:rPr>
        <w:t>一、城镇住房自有率不应过高</w:t>
      </w:r>
      <w:bookmarkEnd w:id="1292"/>
    </w:p>
    <w:p w14:paraId="77EA1FDB">
      <w:pPr>
        <w:adjustRightInd w:val="0"/>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一个国家的住房问题解决得好不好，以及居民住房福利水平的好坏，通常用住房自有率这个概念来加以描述。所谓住房自有率是指在所有居民居住单元中，拥有居住房屋产权的居住者的百分比。其公式为：住房自有率=(居住于自有产权的住房家庭户数/全部住房家庭户数)×100%。它是用来衡量在一定的经济水平和政策水平下，依靠居民个人力量的购房能力和居住水平满足的实现程度指标。让居民拥有自己的住房是构建社会主义和谐社会的重要条件之一。因为安居才能乐业，我国古代就已说过“有恒产者有恒心”，同时，支持居民拥有住房也是理顺目前收入分配关系的重要途径之一。</w:t>
      </w:r>
    </w:p>
    <w:p w14:paraId="4185358E">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2007年4季度的美国居民住房自有率为67.79%。目前我国城镇住房自有率已达到80%左右。从长期战略来分析，为了使今后广大居民更好地支持反侵略战争和维护国家统一战争，住房自有率不应过高，除非国家来出资建造被战争摧毁的私人住房。因此，现阶段我国只能通过对大多数城市居民按其财富和收入的不同而提供居住面积和质量不同的各类公租房，由少数拥有较多财富和收入的人自购商品房。</w:t>
      </w:r>
    </w:p>
    <w:p w14:paraId="31E3045B">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93" w:name="_Toc32548"/>
      <w:bookmarkEnd w:id="1293"/>
      <w:bookmarkStart w:id="1294" w:name="_Toc24167"/>
      <w:bookmarkEnd w:id="1294"/>
      <w:bookmarkStart w:id="1295" w:name="_Toc21000"/>
      <w:bookmarkEnd w:id="1295"/>
      <w:bookmarkStart w:id="1296" w:name="_Toc21653"/>
      <w:bookmarkEnd w:id="1296"/>
      <w:bookmarkStart w:id="1297" w:name="_Toc32377"/>
      <w:r>
        <w:rPr>
          <w:rFonts w:hint="eastAsia" w:ascii="宋体" w:hAnsi="宋体"/>
          <w:b/>
          <w:color w:val="000000" w:themeColor="text1"/>
          <w:sz w:val="24"/>
          <w:szCs w:val="24"/>
          <w14:textFill>
            <w14:solidFill>
              <w14:schemeClr w14:val="tx1"/>
            </w14:solidFill>
          </w14:textFill>
        </w:rPr>
        <w:t>二、房价收入比应控制在居民能承受的范围之内</w:t>
      </w:r>
      <w:bookmarkEnd w:id="1297"/>
    </w:p>
    <w:p w14:paraId="1C0457E3">
      <w:pPr>
        <w:adjustRightInd w:val="0"/>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根据自由市场国家的经验数据，普遍认为家庭住房消费占可支配收入的30%以内为正常；如果超过30%，说明家庭购房压力较大，支付能力不足；如果超过50%，说明家庭购房压力巨大，居民购房支付能力严重不足。正是基于这一经验数据，联合国人类住区(生境)中心设计了房价收入比以衡量家庭的住房购买力和承受力。房价收入比，是指住房价格与城市居民家庭年收入之比。国际上一般认为房价收入比落在3-6区间为正常，如果超过6，说明居民的购房压力较大。根据2010年国家统计局公布的数据测算，我国城镇2009年的房价收入比为10.65，住房消费占可支配收入53.23%，部分城市还大大超出这一水平。</w:t>
      </w:r>
    </w:p>
    <w:p w14:paraId="625128AB">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参考国际标准并结合我国的实际情况，我们认为国内城镇的房价收入比应控在7以内比较合适。以2010年国家统计局公布的数据，如果房价收入比控制为6，那么，2009年住宅的平均售价应是2512.11元。这样以一套中等面积的90平方米的住房来计算，房价总值为226090元，首付三成需要67827元，其余按二十年贷款158263元，在利率为五年期85折优惠的基础上，年均还15451.4元，占家庭平均可支配收入的30%，首付通过五年左右时间积累完成，不会影响家庭的日常生活需要的开支。</w:t>
      </w:r>
    </w:p>
    <w:p w14:paraId="350C4A8A">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298" w:name="_Toc8134"/>
      <w:bookmarkEnd w:id="1298"/>
      <w:bookmarkStart w:id="1299" w:name="_Toc4626"/>
      <w:bookmarkEnd w:id="1299"/>
      <w:bookmarkStart w:id="1300" w:name="_Toc373"/>
      <w:bookmarkEnd w:id="1300"/>
      <w:bookmarkStart w:id="1301" w:name="_Toc29520"/>
      <w:bookmarkEnd w:id="1301"/>
      <w:bookmarkStart w:id="1302" w:name="_Toc27895"/>
      <w:r>
        <w:rPr>
          <w:rFonts w:hint="eastAsia" w:ascii="宋体" w:hAnsi="宋体"/>
          <w:b/>
          <w:color w:val="000000" w:themeColor="text1"/>
          <w:sz w:val="24"/>
          <w:szCs w:val="24"/>
          <w14:textFill>
            <w14:solidFill>
              <w14:schemeClr w14:val="tx1"/>
            </w14:solidFill>
          </w14:textFill>
        </w:rPr>
        <w:t>三、行业利润不能过度超过平均利润的水平</w:t>
      </w:r>
      <w:bookmarkEnd w:id="1302"/>
    </w:p>
    <w:p w14:paraId="06CF762B">
      <w:pPr>
        <w:adjustRightInd w:val="0"/>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目前我国房地产行业的利润到底有多高？虽然没有一个精确的统计，但综合第二次全国经济普查主要数据公报公布的数据、2006年财政部会计信息质量检查所反映的情况、胡润富豪排行榜，基本可以判断房地产行业是一个暴利的行业。</w:t>
      </w:r>
    </w:p>
    <w:p w14:paraId="0632E1F2">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社科院发布2010年《国家竞争力蓝皮书——中国国家竞争力报告》。中国近20年的经济增长并非靠产业结构升级换代来获得，而是靠消耗资源和扩大投资，尤其是房地产业膨胀发展。正是房地产行业的高利润，近年来吸引不少非房地产的实体企业纷纷加入这一行业，随着更多有实力企业的进入，由于土地市场的垄断，地王便纷纷出现，这样又进一步推高房价，使住房问题社会化和政治化。另外由于许多主业不是房地产的企业纷纷涉足房地产业，导致企业资金分散，经营注意力分散，企业创新力不够，这样严重影响了实体经济的健康发展。因此遵循利润平均的基本原理，政府必须加强对房地产行业宏观调控，加大保障性住房的建设力度，把房地产企业的利润控制在合理的范围之内，才能有利于国民经济的健康发展，有利于广大老百姓安居乐业和社会主义和谐社会的构建。</w:t>
      </w:r>
    </w:p>
    <w:p w14:paraId="16ED0AC4">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303" w:name="_Toc32236"/>
      <w:bookmarkEnd w:id="1303"/>
      <w:bookmarkStart w:id="1304" w:name="_Toc1675"/>
      <w:bookmarkEnd w:id="1304"/>
      <w:bookmarkStart w:id="1305" w:name="_Toc4428"/>
      <w:bookmarkEnd w:id="1305"/>
      <w:bookmarkStart w:id="1306" w:name="_Toc20122"/>
      <w:bookmarkEnd w:id="1306"/>
      <w:bookmarkStart w:id="1307" w:name="_Toc21370"/>
      <w:r>
        <w:rPr>
          <w:rFonts w:hint="eastAsia" w:ascii="宋体" w:hAnsi="宋体"/>
          <w:b/>
          <w:color w:val="000000" w:themeColor="text1"/>
          <w:sz w:val="24"/>
          <w:szCs w:val="24"/>
          <w14:textFill>
            <w14:solidFill>
              <w14:schemeClr w14:val="tx1"/>
            </w14:solidFill>
          </w14:textFill>
        </w:rPr>
        <w:t>四、完善住房制度建设，针对不同群体采取不同的政策措施</w:t>
      </w:r>
      <w:bookmarkEnd w:id="1307"/>
    </w:p>
    <w:p w14:paraId="6EB53F6A">
      <w:pPr>
        <w:adjustRightInd w:val="0"/>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针对不同的群体采取不同的政策措施，是实现住房公平的关键，也是引导住房市场健康发展，使房价回归合理水平的重要手段。但现有保障性住房层次划分过于复杂，以北京为例，有廉租房、经济适用房、公共租赁房和限价商品房等，保障性住房层次越多，管理的成本就越高，制度建设就越复杂，效率就越低。我们认为，总体上分为公租房、私租房、商品房三大类，并实行“以公租房为主体、以商品房和私租房为辅”的“新住房策论”。其中，依据各个城镇的政府实力和居民收入等状况，公租房建设可分为3-5个档次，分别在建筑面积和建设成本上有所不同。</w:t>
      </w:r>
    </w:p>
    <w:p w14:paraId="3EC0F3CB">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建设面向高收入以上家庭的商品性住房。高收入以上的家庭占城镇家庭总数的20%左右。其住房问题自我解决的能力强，因此这部分家庭的住房问题应通过市场来完成。</w:t>
      </w:r>
    </w:p>
    <w:p w14:paraId="1F547CDD">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高收入家庭的住房虽然主要靠市场调节，但必须有国家的宏观调控。第一，我国是人多地少的国家，保护耕地的任务非常艰巨。因此新开工建设的商品住房的单套面积必须严格按照国家规定，90平方米以内要占到70%。第二，据估计，我国城镇高收入（含一部分较高收入）家庭占总户数的20%左右，约为3000万户，他们的收入占城镇居民总收入的80%左右，银行存款有10多万亿元，具有强大的购房能力。我国近几年每年建房6亿多平方米，500多万套。如果每年有百分之十几的高收入者进入市场买一套房，就可以买去60%以上的新建住房，从而占用大量宝贵的住房资源。因此不对这部分高收入者进行有效的宏观调节，会造成住房市场的混乱。第三，要防止国际游资冲击房地产市场。目前西方国家压迫我国人民币升值，与当年美国、联邦德国、法国、英国与日本签订的“广场协议”本质上没有什么不同。因此不加强房地产市场的宏观调控将会给我国经济带来严重损害，不利于国民经济的健康发展。</w:t>
      </w:r>
    </w:p>
    <w:p w14:paraId="3895EF56">
      <w:pPr>
        <w:spacing w:before="147" w:beforeLines="50" w:after="147" w:afterLines="50" w:line="400" w:lineRule="exact"/>
        <w:ind w:firstLine="480" w:firstLineChars="200"/>
        <w:jc w:val="center"/>
        <w:rPr>
          <w:rFonts w:hint="eastAsia" w:ascii="宋体" w:hAnsi="宋体"/>
          <w:color w:val="000000" w:themeColor="text1"/>
          <w14:textFill>
            <w14:solidFill>
              <w14:schemeClr w14:val="tx1"/>
            </w14:solidFill>
          </w14:textFill>
        </w:rPr>
      </w:pPr>
      <w:bookmarkStart w:id="1308" w:name="_Toc14232"/>
      <w:bookmarkEnd w:id="1308"/>
      <w:bookmarkStart w:id="1309" w:name="_Toc8743"/>
      <w:bookmarkEnd w:id="1309"/>
      <w:bookmarkStart w:id="1310" w:name="_Toc1176"/>
      <w:bookmarkEnd w:id="1310"/>
      <w:bookmarkStart w:id="1311" w:name="_Toc14046"/>
      <w:bookmarkEnd w:id="1311"/>
      <w:bookmarkStart w:id="1312" w:name="_Toc23613"/>
      <w:r>
        <w:rPr>
          <w:rFonts w:hint="eastAsia" w:ascii="宋体" w:hAnsi="宋体"/>
          <w:b/>
          <w:color w:val="000000" w:themeColor="text1"/>
          <w:sz w:val="24"/>
          <w:szCs w:val="24"/>
          <w14:textFill>
            <w14:solidFill>
              <w14:schemeClr w14:val="tx1"/>
            </w14:solidFill>
          </w14:textFill>
        </w:rPr>
        <w:t>五、对开发各类住房采取的调控措施</w:t>
      </w:r>
      <w:bookmarkEnd w:id="1312"/>
    </w:p>
    <w:p w14:paraId="0EB4821A">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公共租赁住房开发的相关调控措施，其开发投资成本无法由享受主体来承担，必须由政府以财政拨款为主，鼓励有志于慈善事业的有实力企业和私人介入。政府应该成立公共租赁房建设、维护和运行机构，土地以无偿划拨为主。</w:t>
      </w:r>
    </w:p>
    <w:p w14:paraId="1CCB39AF">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商品性住房以市场调节为主，遵循价值规律的基本要求，政府对其进行宏观调控引导，以保证房地产市场的健康有序发展。房地产开发企业的自有资金应该占总开发资金30%以上。商品性住房的国有土地使用权以招标、拍卖、挂牌方式出让。国家对其调控主要是防止其囤地、捂盘惜售、哄抬房价，扰乱房地产市场方面。对于其通过招拍挂方式获得的国有土地使用权，必须严格按照《闲置土地处置办法》、《中华人民共和国城市房地产管理法》、《国有土地使用权出让合同》、《国有土地使用权出让合同补充协议》的相关规定。</w:t>
      </w:r>
    </w:p>
    <w:p w14:paraId="0B37911D">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取消商品房预售制度。随着历史条件的变化，目前房地产企业的资金和住房的供应问题都已不存在。取消预售制度打击的是那些空手套白狼的皮包公司，不会对有实力的房地产企业产生资金影响。另外，目前我国有大量的商品房闲置，空置率高，不存在供不应求的问题，取消预售制度影响的是住房买卖投机者，对自住用户不会产生影响。</w:t>
      </w:r>
    </w:p>
    <w:p w14:paraId="39E96326">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p>
    <w:p w14:paraId="4C73533F">
      <w:pPr>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（原载于《人民论坛》第2011年第9期）</w:t>
      </w:r>
    </w:p>
    <w:p w14:paraId="6309944A">
      <w:pPr>
        <w:adjustRightInd w:val="0"/>
        <w:snapToGri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br w:type="page"/>
      </w:r>
    </w:p>
    <w:p w14:paraId="523DA905">
      <w:pPr>
        <w:pStyle w:val="3"/>
        <w:ind w:firstLine="640" w:firstLineChars="200"/>
        <w:outlineLvl w:val="1"/>
        <w:rPr>
          <w:rFonts w:ascii="Times New Roman" w:hAnsi="Times New Roman" w:eastAsia="宋体"/>
          <w:color w:val="000000" w:themeColor="text1"/>
          <w:kern w:val="2"/>
          <w14:textFill>
            <w14:solidFill>
              <w14:schemeClr w14:val="tx1"/>
            </w14:solidFill>
          </w14:textFill>
        </w:rPr>
      </w:pPr>
      <w:bookmarkStart w:id="1313" w:name="_Toc7941"/>
      <w:bookmarkStart w:id="1314" w:name="_Toc22247"/>
      <w:bookmarkStart w:id="1315" w:name="_Toc114057777"/>
      <w:bookmarkStart w:id="1316" w:name="_Toc336116659"/>
      <w:bookmarkStart w:id="1317" w:name="_Toc1805470608"/>
      <w:r>
        <w:rPr>
          <w:rFonts w:hint="eastAsia" w:ascii="黑体" w:hAnsi="黑体"/>
          <w:color w:val="000000" w:themeColor="text1"/>
          <w14:textFill>
            <w14:solidFill>
              <w14:schemeClr w14:val="tx1"/>
            </w14:solidFill>
          </w14:textFill>
        </w:rPr>
        <w:t>7当前西方金融和经济危机对世界资本</w:t>
      </w:r>
      <w:bookmarkEnd w:id="1313"/>
      <w:r>
        <w:rPr>
          <w:rFonts w:hint="eastAsia" w:ascii="黑体" w:hAnsi="黑体"/>
          <w:color w:val="000000" w:themeColor="text1"/>
          <w14:textFill>
            <w14:solidFill>
              <w14:schemeClr w14:val="tx1"/>
            </w14:solidFill>
          </w14:textFill>
        </w:rPr>
        <w:t>主义生存和发展的影响</w:t>
      </w:r>
      <w:bookmarkEnd w:id="1314"/>
      <w:bookmarkEnd w:id="1315"/>
      <w:bookmarkEnd w:id="1316"/>
      <w:bookmarkEnd w:id="1317"/>
    </w:p>
    <w:p w14:paraId="2CF48F15">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内容提要：本文分析了这次国际金融危机的新特点及其根源，从资本主义国家金融体系难以根治投机、公司治理具有内在弊端、贫富分化加重和国家调节低效四个方面，剖析了西方资本主义经济陷入长期动荡甚至生存危机的可能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指出危机可能迫使美国采取美元霸权、国家干预、打击他国经济货币体系、成立超主权货币及发动战争等特殊手段，来进一步维护其全球霸权。</w:t>
      </w:r>
    </w:p>
    <w:p w14:paraId="4C06260B">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关键词：西方金融和经济危机世界资本主义经济霸权</w:t>
      </w:r>
    </w:p>
    <w:p w14:paraId="3B266AFF">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 xml:space="preserve"> </w:t>
      </w:r>
    </w:p>
    <w:p w14:paraId="4DAD6552">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与以往经济危机相比，当前西方国家的金融和经济危机具有显著不同的特点和成因。西方资本主义经济可能陷入长期动荡甚至生存危机。随着西方资本主义经济陷入长期动荡和生存危机</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美国可能采取特殊措施阻止其全球经济霸权走向衰败，包括通过金融手段向世界各国转嫁危机损失和代价，加强对自然资源、知识产权等别国经济命脉的垄断性控制，继续策划隐蔽的金融战争等打击他国并掠夺财富，甚至为挽救危机推行军事凯恩斯主义而策动战争。</w:t>
      </w:r>
    </w:p>
    <w:p w14:paraId="47A7E16F">
      <w:pPr>
        <w:spacing w:before="147" w:beforeLines="50" w:after="147" w:afterLines="50" w:line="400" w:lineRule="exact"/>
        <w:ind w:firstLine="480" w:firstLineChars="200"/>
        <w:jc w:val="center"/>
        <w:rPr>
          <w:rFonts w:hint="eastAsia" w:ascii="Times New Roman" w:hAnsi="Times New Roman"/>
          <w:b/>
          <w:bCs/>
          <w:color w:val="000000" w:themeColor="text1"/>
          <w14:textFill>
            <w14:solidFill>
              <w14:schemeClr w14:val="tx1"/>
            </w14:solidFill>
          </w14:textFill>
        </w:rPr>
      </w:pPr>
      <w:bookmarkStart w:id="1318" w:name="_Toc25887"/>
      <w:bookmarkEnd w:id="1318"/>
      <w:bookmarkStart w:id="1319" w:name="_Toc4056"/>
      <w:bookmarkEnd w:id="1319"/>
      <w:bookmarkStart w:id="1320" w:name="_Toc19473"/>
      <w:bookmarkEnd w:id="1320"/>
      <w:bookmarkStart w:id="1321" w:name="_Toc25130"/>
      <w:bookmarkEnd w:id="1321"/>
      <w:bookmarkStart w:id="1322" w:name="_Toc639"/>
      <w:r>
        <w:rPr>
          <w:rFonts w:hint="eastAsia" w:ascii="宋体" w:hAnsi="宋体"/>
          <w:b/>
          <w:color w:val="000000" w:themeColor="text1"/>
          <w:sz w:val="24"/>
          <w:szCs w:val="24"/>
          <w14:textFill>
            <w14:solidFill>
              <w14:schemeClr w14:val="tx1"/>
            </w14:solidFill>
          </w14:textFill>
        </w:rPr>
        <w:t>一、这次国际金融危机的新特点和根源</w:t>
      </w:r>
      <w:bookmarkEnd w:id="1322"/>
    </w:p>
    <w:p w14:paraId="47E6CE8D">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当前国际金融危机出现了一些值得密切关注的新特点。</w:t>
      </w:r>
      <w:r>
        <w:rPr>
          <w:rFonts w:hint="eastAsia" w:ascii="Times New Roman" w:hAnsi="Times New Roman"/>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年美国金融危机迅速蔓延、扩散到欧洲国家</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逐渐转变为一场波及整个资本主义世界的严重经济危机。美国金融家索罗斯认为，这次国际金融危机的严重程度远远超过</w:t>
      </w:r>
      <w:r>
        <w:rPr>
          <w:rFonts w:hint="eastAsia" w:ascii="Times New Roman" w:hAnsi="Times New Roman"/>
          <w:color w:val="000000" w:themeColor="text1"/>
          <w14:textFill>
            <w14:solidFill>
              <w14:schemeClr w14:val="tx1"/>
            </w14:solidFill>
          </w14:textFill>
        </w:rPr>
        <w:t>1929</w:t>
      </w:r>
      <w:r>
        <w:rPr>
          <w:rFonts w:hint="eastAsia" w:ascii="宋体" w:hAnsi="宋体"/>
          <w:color w:val="000000" w:themeColor="text1"/>
          <w14:textFill>
            <w14:solidFill>
              <w14:schemeClr w14:val="tx1"/>
            </w14:solidFill>
          </w14:textFill>
        </w:rPr>
        <w:t>年大萧条</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主要原因在于各种债务总额占国内生产总值的比重远远超过了</w:t>
      </w:r>
      <w:r>
        <w:rPr>
          <w:rFonts w:hint="eastAsia" w:ascii="Times New Roman" w:hAnsi="Times New Roman"/>
          <w:color w:val="000000" w:themeColor="text1"/>
          <w14:textFill>
            <w14:solidFill>
              <w14:schemeClr w14:val="tx1"/>
            </w14:solidFill>
          </w14:textFill>
        </w:rPr>
        <w:t>1929</w:t>
      </w:r>
      <w:r>
        <w:rPr>
          <w:rFonts w:hint="eastAsia" w:ascii="宋体" w:hAnsi="宋体"/>
          <w:color w:val="000000" w:themeColor="text1"/>
          <w14:textFill>
            <w14:solidFill>
              <w14:schemeClr w14:val="tx1"/>
            </w14:solidFill>
          </w14:textFill>
        </w:rPr>
        <w:t>年。</w:t>
      </w:r>
      <w:r>
        <w:rPr>
          <w:rFonts w:hint="eastAsia" w:ascii="Times New Roman" w:hAnsi="Times New Roman"/>
          <w:color w:val="000000" w:themeColor="text1"/>
          <w14:textFill>
            <w14:solidFill>
              <w14:schemeClr w14:val="tx1"/>
            </w14:solidFill>
          </w14:textFill>
        </w:rPr>
        <w:t>1929</w:t>
      </w:r>
      <w:r>
        <w:rPr>
          <w:rFonts w:hint="eastAsia" w:ascii="宋体" w:hAnsi="宋体"/>
          <w:color w:val="000000" w:themeColor="text1"/>
          <w14:textFill>
            <w14:solidFill>
              <w14:schemeClr w14:val="tx1"/>
            </w14:solidFill>
          </w14:textFill>
        </w:rPr>
        <w:t>年大萧条时美国未偿付债务的总额是</w:t>
      </w:r>
      <w:r>
        <w:rPr>
          <w:rFonts w:hint="eastAsia"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w:t>
      </w:r>
      <w:r>
        <w:rPr>
          <w:rFonts w:hint="eastAsia" w:ascii="Times New Roman" w:hAnsi="Times New Roman"/>
          <w:color w:val="000000" w:themeColor="text1"/>
          <w14:textFill>
            <w14:solidFill>
              <w14:schemeClr w14:val="tx1"/>
            </w14:solidFill>
          </w14:textFill>
        </w:rPr>
        <w:t>160%,2008</w:t>
      </w:r>
      <w:r>
        <w:rPr>
          <w:rFonts w:hint="eastAsia" w:ascii="宋体" w:hAnsi="宋体"/>
          <w:color w:val="000000" w:themeColor="text1"/>
          <w14:textFill>
            <w14:solidFill>
              <w14:schemeClr w14:val="tx1"/>
            </w14:solidFill>
          </w14:textFill>
        </w:rPr>
        <w:t>年爆发金融危机时美国未偿付债务的总额是</w:t>
      </w:r>
      <w:r>
        <w:rPr>
          <w:rFonts w:hint="eastAsia"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w:t>
      </w:r>
      <w:r>
        <w:rPr>
          <w:rFonts w:hint="eastAsia" w:ascii="Times New Roman" w:hAnsi="Times New Roman"/>
          <w:color w:val="000000" w:themeColor="text1"/>
          <w14:textFill>
            <w14:solidFill>
              <w14:schemeClr w14:val="tx1"/>
            </w14:solidFill>
          </w14:textFill>
        </w:rPr>
        <w:t>365%,</w:t>
      </w:r>
      <w:r>
        <w:rPr>
          <w:rFonts w:hint="eastAsia" w:ascii="宋体" w:hAnsi="宋体"/>
          <w:color w:val="000000" w:themeColor="text1"/>
          <w14:textFill>
            <w14:solidFill>
              <w14:schemeClr w14:val="tx1"/>
            </w14:solidFill>
          </w14:textFill>
        </w:rPr>
        <w:t>而且随着美国消费者和企业陷入困境将会上升到</w:t>
      </w:r>
      <w:r>
        <w:rPr>
          <w:rFonts w:hint="eastAsia" w:ascii="Times New Roman" w:hAnsi="Times New Roman"/>
          <w:color w:val="000000" w:themeColor="text1"/>
          <w14:textFill>
            <w14:solidFill>
              <w14:schemeClr w14:val="tx1"/>
            </w14:solidFill>
          </w14:textFill>
        </w:rPr>
        <w:t>500%,</w:t>
      </w:r>
      <w:r>
        <w:rPr>
          <w:rFonts w:hint="eastAsia" w:ascii="宋体" w:hAnsi="宋体"/>
          <w:color w:val="000000" w:themeColor="text1"/>
          <w14:textFill>
            <w14:solidFill>
              <w14:schemeClr w14:val="tx1"/>
            </w14:solidFill>
          </w14:textFill>
        </w:rPr>
        <w:t>倘若考虑到金融衍生品未偿付债务总额还将会大幅度扩大</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多倍，这就意味着美国蓄积的经济危机能量远远超过大萧条时期，正处于一个随时可能喷发的巨大债务泡沫火山口之上。金融资本进行金融衍生品赌博时完全丧失了自控能力，催生全球金融衍生品泡沫膨胀到</w:t>
      </w:r>
      <w:r>
        <w:rPr>
          <w:rFonts w:hint="eastAsia" w:ascii="Times New Roman" w:hAnsi="Times New Roman"/>
          <w:color w:val="000000" w:themeColor="text1"/>
          <w14:textFill>
            <w14:solidFill>
              <w14:schemeClr w14:val="tx1"/>
            </w14:solidFill>
          </w14:textFill>
        </w:rPr>
        <w:t>680</w:t>
      </w:r>
      <w:r>
        <w:rPr>
          <w:rFonts w:hint="eastAsia" w:ascii="宋体" w:hAnsi="宋体"/>
          <w:color w:val="000000" w:themeColor="text1"/>
          <w14:textFill>
            <w14:solidFill>
              <w14:schemeClr w14:val="tx1"/>
            </w14:solidFill>
          </w14:textFill>
        </w:rPr>
        <w:t>万亿美元的巨大规模，相当于</w:t>
      </w:r>
      <w:r>
        <w:rPr>
          <w:rFonts w:hint="eastAsia" w:ascii="Times New Roman" w:hAnsi="Times New Roman"/>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万亿美元全球国内生产总值的</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多倍，这就意味着这次危机具有摧毁西方资本主义经济的巨大能量，证明了列宁关于垄断资本主义垂死性论述仍具有重要的现实意义。列宁所论述的垄断资本的寄生性和腐朽性，在金融衍生品投机泛滥的时代获得了前所未有的发展。</w:t>
      </w:r>
    </w:p>
    <w:p w14:paraId="319FDBC3">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当前美国官方宣布恢复增长丝毫不值得人们乐观并放松警惕，巨大债务泡沫破裂随时可能导致经济形势恶化，像大萧条时期那样出现双底型或多底型经济衰退。倘若美国的金融危机确实起源于市场恐慌和信心不足，那么美国政府采取注资挽救市场是正确的做法，投资者克服恐慌获得信心后市场就会恢复正常运转。但是，通过扩大货币发行、消费信贷和政府借债的办法，都是暂时推迟、缓解基本矛盾激化的饮鸩止渴办法</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根本无法阻止矛盾不断积累并以更加猛烈的形式爆发。</w:t>
      </w:r>
    </w:p>
    <w:p w14:paraId="7E09D937">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广大民众购买力不足形成的生产相对过剩，在当代资本主义条件下主要表现为债务泡沫膨胀，越来越依靠寅吃卯粮的借贷消费来弥补需求不足。昔日传统的资本主义经济危机中，有效需求不足直接表现为生产过剩，但是，</w:t>
      </w:r>
      <w:r>
        <w:rPr>
          <w:rFonts w:hint="eastAsia" w:ascii="Times New Roman" w:hAnsi="Times New Roman"/>
          <w:color w:val="000000" w:themeColor="text1"/>
          <w14:textFill>
            <w14:solidFill>
              <w14:schemeClr w14:val="tx1"/>
            </w14:solidFill>
          </w14:textFill>
        </w:rPr>
        <w:t>2007</w:t>
      </w:r>
      <w:r>
        <w:rPr>
          <w:rFonts w:hint="eastAsia" w:ascii="宋体" w:hAnsi="宋体"/>
          <w:color w:val="000000" w:themeColor="text1"/>
          <w14:textFill>
            <w14:solidFill>
              <w14:schemeClr w14:val="tx1"/>
            </w14:solidFill>
          </w14:textFill>
        </w:rPr>
        <w:t>年美国爆发的次贷危机中，有效需求不足则表现为次贷规模的过度膨胀，高风险次贷相关的金融衍生品泛滥成灾，最终因大规模次贷违约引爆金融危机。这次西方国家爆发严重的金融和经济危机是</w:t>
      </w:r>
      <w:r>
        <w:rPr>
          <w:rFonts w:hint="eastAsia" w:ascii="Times New Roman" w:hAnsi="Times New Roman"/>
          <w:color w:val="000000" w:themeColor="text1"/>
          <w14:textFill>
            <w14:solidFill>
              <w14:schemeClr w14:val="tx1"/>
            </w14:solidFill>
          </w14:textFill>
        </w:rPr>
        <w:t>1980</w:t>
      </w:r>
      <w:r>
        <w:rPr>
          <w:rFonts w:hint="eastAsia" w:ascii="宋体" w:hAnsi="宋体"/>
          <w:color w:val="000000" w:themeColor="text1"/>
          <w14:textFill>
            <w14:solidFill>
              <w14:schemeClr w14:val="tx1"/>
            </w14:solidFill>
          </w14:textFill>
        </w:rPr>
        <w:t>年以来新自由主义在全世界泛滥所导致的一个非常符合逻辑的结果。与马克思和列宁所处的时代相比，当今世界资本主义经济的基本矛盾是经济不断社会化和全球化，与生产要素的私人所有、集体所有和国家所有的矛盾，与国民经济的无政府状态或无秩序状态的矛盾。这个扩展了的全球基本经济矛盾，通过以下四种具体矛盾和中间环节导致次贷危机、金融危机和经济危机。</w:t>
      </w:r>
    </w:p>
    <w:p w14:paraId="61D517BC">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其一，从微观基础分析</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私有制及其企业管理模式容易形成高级管理层为追求个人巨额收入极大化而追求利润极大化，</w:t>
      </w:r>
      <w:r>
        <w:rPr>
          <w:rFonts w:hint="eastAsia" w:ascii="Times New Roman" w:hAnsi="Times New Roman"/>
          <w:color w:val="000000" w:themeColor="text1"/>
          <w14:textFill>
            <w14:solidFill>
              <w14:schemeClr w14:val="tx1"/>
            </w14:solidFill>
          </w14:textFill>
        </w:rPr>
        <w:t>0</w:t>
      </w:r>
      <w:r>
        <w:rPr>
          <w:rFonts w:hint="eastAsia" w:ascii="宋体" w:hAnsi="宋体"/>
          <w:color w:val="000000" w:themeColor="text1"/>
          <w14:textFill>
            <w14:solidFill>
              <w14:schemeClr w14:val="tx1"/>
            </w14:solidFill>
          </w14:textFill>
        </w:rPr>
        <w:t>益采用风险较大的金融工具以及次贷方式，从而酿成各种危机。</w:t>
      </w:r>
    </w:p>
    <w:p w14:paraId="1E5A2EAC">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其二，从经济结构分析，私有制结合市场经济容易形成生产相对过剩、实体经济与虚拟经济的比例失衡</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从而酿成各种危机。</w:t>
      </w:r>
    </w:p>
    <w:p w14:paraId="7502BA55">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其三，从经济调节分析</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私有制垄断集团和金融寡头容易反对国家监管和调控，而资产阶级国家又为私有制经济基础服务，导致市场和国家调节双失灵</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从而酿成各种危机。</w:t>
      </w:r>
    </w:p>
    <w:p w14:paraId="5D8A891B">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其四，从分配消费分析</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私有制结合市场经济容易形成社会财富和收入分</w:t>
      </w:r>
    </w:p>
    <w:p w14:paraId="5B63258C">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配的贫富分化，导致生产的无限扩大与群众有支付能力需求相对缩小的矛盾，群众被迫进行维持生计的含次贷在内的过度消费信贷</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从而酿成各种危机。</w:t>
      </w:r>
    </w:p>
    <w:p w14:paraId="3884AFE2">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323" w:name="_Toc27878"/>
      <w:bookmarkEnd w:id="1323"/>
      <w:bookmarkStart w:id="1324" w:name="_Toc27519"/>
      <w:bookmarkEnd w:id="1324"/>
      <w:bookmarkStart w:id="1325" w:name="_Toc15220"/>
      <w:bookmarkEnd w:id="1325"/>
      <w:bookmarkStart w:id="1326" w:name="_Toc23838"/>
      <w:bookmarkEnd w:id="1326"/>
      <w:bookmarkStart w:id="1327" w:name="_Toc13764"/>
      <w:bookmarkEnd w:id="1327"/>
      <w:r>
        <w:rPr>
          <w:rFonts w:hint="eastAsia" w:ascii="宋体" w:hAnsi="宋体"/>
          <w:b/>
          <w:color w:val="000000" w:themeColor="text1"/>
          <w:sz w:val="24"/>
          <w:szCs w:val="24"/>
          <w14:textFill>
            <w14:solidFill>
              <w14:schemeClr w14:val="tx1"/>
            </w14:solidFill>
          </w14:textFill>
        </w:rPr>
        <w:t>二、西方资本主义经济可能陷入长期动荡甚至生存危机</w:t>
      </w:r>
    </w:p>
    <w:p w14:paraId="486CB5FA">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扩展了的全球基本经济矛盾，是资本主义基本矛盾在全球化条件下的具体体现。从目前看，全球资本主义经济体系不仅无法从根本上消除这个矛盾，相反还会进一步激化这个矛盾，最终可能会导致西方资本主义经济陷入长期动荡甚至面临生存危机。</w:t>
      </w:r>
    </w:p>
    <w:p w14:paraId="1C3D68B3">
      <w:pPr>
        <w:autoSpaceDE w:val="0"/>
        <w:spacing w:line="400" w:lineRule="exact"/>
        <w:ind w:firstLine="420" w:firstLineChars="200"/>
        <w:rPr>
          <w:rFonts w:hint="eastAsia" w:ascii="Times New Roman" w:hAnsi="Times New Roman"/>
          <w:b/>
          <w:bCs/>
          <w:color w:val="000000" w:themeColor="text1"/>
          <w14:textFill>
            <w14:solidFill>
              <w14:schemeClr w14:val="tx1"/>
            </w14:solidFill>
          </w14:textFill>
        </w:rPr>
      </w:pPr>
      <w:r>
        <w:rPr>
          <w:rFonts w:hint="eastAsia" w:ascii="Times New Roman" w:hAnsi="Times New Roman"/>
          <w:b/>
          <w:bCs/>
          <w:color w:val="000000" w:themeColor="text1"/>
          <w14:textFill>
            <w14:solidFill>
              <w14:schemeClr w14:val="tx1"/>
            </w14:solidFill>
          </w14:textFill>
        </w:rPr>
        <w:t>1.</w:t>
      </w:r>
      <w:r>
        <w:rPr>
          <w:rFonts w:hint="eastAsia" w:ascii="宋体" w:hAnsi="宋体"/>
          <w:b/>
          <w:bCs/>
          <w:color w:val="000000" w:themeColor="text1"/>
          <w14:textFill>
            <w14:solidFill>
              <w14:schemeClr w14:val="tx1"/>
            </w14:solidFill>
          </w14:textFill>
        </w:rPr>
        <w:t>危机凸显金融体系及其</w:t>
      </w:r>
      <w:r>
        <w:rPr>
          <w:rFonts w:hint="eastAsia" w:ascii="Times New Roman" w:hAnsi="Times New Roman"/>
          <w:b/>
          <w:bCs/>
          <w:color w:val="000000" w:themeColor="text1"/>
          <w14:textFill>
            <w14:solidFill>
              <w14:schemeClr w14:val="tx1"/>
            </w14:solidFill>
          </w14:textFill>
        </w:rPr>
        <w:t>"</w:t>
      </w:r>
      <w:r>
        <w:rPr>
          <w:rFonts w:hint="eastAsia" w:ascii="宋体" w:hAnsi="宋体"/>
          <w:b/>
          <w:bCs/>
          <w:color w:val="000000" w:themeColor="text1"/>
          <w14:textFill>
            <w14:solidFill>
              <w14:schemeClr w14:val="tx1"/>
            </w14:solidFill>
          </w14:textFill>
        </w:rPr>
        <w:t>有毒资产</w:t>
      </w:r>
      <w:r>
        <w:rPr>
          <w:rFonts w:hint="eastAsia" w:ascii="Times New Roman" w:hAnsi="Times New Roman"/>
          <w:b/>
          <w:bCs/>
          <w:color w:val="000000" w:themeColor="text1"/>
          <w14:textFill>
            <w14:solidFill>
              <w14:schemeClr w14:val="tx1"/>
            </w14:solidFill>
          </w14:textFill>
        </w:rPr>
        <w:t>"</w:t>
      </w:r>
      <w:r>
        <w:rPr>
          <w:rFonts w:hint="eastAsia" w:ascii="宋体" w:hAnsi="宋体"/>
          <w:b/>
          <w:bCs/>
          <w:color w:val="000000" w:themeColor="text1"/>
          <w14:textFill>
            <w14:solidFill>
              <w14:schemeClr w14:val="tx1"/>
            </w14:solidFill>
          </w14:textFill>
        </w:rPr>
        <w:t>难以根治，影响资本主义生存和发展</w:t>
      </w:r>
    </w:p>
    <w:p w14:paraId="01379892">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月在英国伦敦召开的</w:t>
      </w:r>
      <w:r>
        <w:rPr>
          <w:rFonts w:hint="eastAsia" w:ascii="Times New Roman" w:hAnsi="Times New Roman"/>
          <w:color w:val="000000" w:themeColor="text1"/>
          <w14:textFill>
            <w14:solidFill>
              <w14:schemeClr w14:val="tx1"/>
            </w14:solidFill>
          </w14:textFill>
        </w:rPr>
        <w:t>G20</w:t>
      </w:r>
      <w:r>
        <w:rPr>
          <w:rFonts w:hint="eastAsia" w:ascii="宋体" w:hAnsi="宋体"/>
          <w:color w:val="000000" w:themeColor="text1"/>
          <w14:textFill>
            <w14:solidFill>
              <w14:schemeClr w14:val="tx1"/>
            </w14:solidFill>
          </w14:textFill>
        </w:rPr>
        <w:t>峰会上，美欧各国领导人有意回避了银行体系的巨额</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有毒资产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问题，尽管他们也承认不解决这一关键性问题，经济刺激计划难以推动全球经济的复苏。</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有毒资产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指的是表面上仍有价值而实际上将会变成坏账、亏损的资产，如金融创新制造出的各种次贷相关衍生证券等，不同于正常经营中出现的不良资产，“有毒资产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往往涉及高杠杆金融投机的欺诈骗局。国际货币基金总裁卡恩对西方国家的回避态度提出了严厉批评</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他称根据以前发生的</w:t>
      </w:r>
      <w:r>
        <w:rPr>
          <w:rFonts w:hint="eastAsia" w:ascii="Times New Roman" w:hAnsi="Times New Roman"/>
          <w:color w:val="000000" w:themeColor="text1"/>
          <w14:textFill>
            <w14:solidFill>
              <w14:schemeClr w14:val="tx1"/>
            </w14:solidFill>
          </w14:textFill>
        </w:rPr>
        <w:t>120</w:t>
      </w:r>
      <w:r>
        <w:rPr>
          <w:rFonts w:hint="eastAsia" w:ascii="宋体" w:hAnsi="宋体"/>
          <w:color w:val="000000" w:themeColor="text1"/>
          <w14:textFill>
            <w14:solidFill>
              <w14:schemeClr w14:val="tx1"/>
            </w14:solidFill>
          </w14:textFill>
        </w:rPr>
        <w:t>次银行危机的经验</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不解决银行不良资产问题就不可能出现真正的经济复苏。美国次贷危机引发了全球金融海啸，主要原因是金融衍生品损失远远超过次贷直接损失，导致美欧银行普遍陷入困境并形成了巨额</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有毒资产由于美欧长期缺乏金融监管已造成了严重恶果，因此</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仅仅承诺未来加强监管而不解决监管缺失的后果，消除由于监管长期缺失形成巨额银行</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‘有毒资产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，就仿佛承诺加强食品安全监管而不清除有毒奶粉，无法消除危害社会公众的安全隐患。特别危险的是，美欧银行体系正不断暴露出更令人惊讶的</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有毒资产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的新数据，显示出已暴露的问题其实不过是</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‘冰山一角。</w:t>
      </w:r>
    </w:p>
    <w:p w14:paraId="7728B1AC">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月</w:t>
      </w:r>
      <w:r>
        <w:rPr>
          <w:rFonts w:hint="eastAsia" w:ascii="Times New Roman" w:hAnsi="Times New Roman"/>
          <w:color w:val="000000" w:themeColor="text1"/>
          <w14:textFill>
            <w14:solidFill>
              <w14:schemeClr w14:val="tx1"/>
            </w14:solidFill>
          </w14:textFill>
        </w:rPr>
        <w:t>11</w:t>
      </w:r>
      <w:r>
        <w:rPr>
          <w:rFonts w:hint="eastAsia" w:ascii="宋体" w:hAnsi="宋体"/>
          <w:color w:val="000000" w:themeColor="text1"/>
          <w14:textFill>
            <w14:solidFill>
              <w14:schemeClr w14:val="tx1"/>
            </w14:solidFill>
          </w14:textFill>
        </w:rPr>
        <w:t>日，英国《每日电讯报》网站曾披露了欧盟委员会的一份内部报告的数据，显示欧盟区整个银行体系的“有毒资产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数额高达</w:t>
      </w:r>
      <w:r>
        <w:rPr>
          <w:rFonts w:hint="eastAsia" w:ascii="Times New Roman" w:hAnsi="Times New Roman"/>
          <w:color w:val="000000" w:themeColor="text1"/>
          <w14:textFill>
            <w14:solidFill>
              <w14:schemeClr w14:val="tx1"/>
            </w14:solidFill>
          </w14:textFill>
        </w:rPr>
        <w:t>25</w:t>
      </w:r>
      <w:r>
        <w:rPr>
          <w:rFonts w:hint="eastAsia" w:ascii="宋体" w:hAnsi="宋体"/>
          <w:color w:val="000000" w:themeColor="text1"/>
          <w14:textFill>
            <w14:solidFill>
              <w14:schemeClr w14:val="tx1"/>
            </w14:solidFill>
          </w14:textFill>
        </w:rPr>
        <w:t>万亿美元，其规模庞大竟然相当于</w:t>
      </w:r>
      <w:r>
        <w:rPr>
          <w:rFonts w:hint="eastAsia" w:ascii="Times New Roman" w:hAnsi="Times New Roman"/>
          <w:color w:val="000000" w:themeColor="text1"/>
          <w14:textFill>
            <w14:solidFill>
              <w14:schemeClr w14:val="tx1"/>
            </w14:solidFill>
          </w14:textFill>
        </w:rPr>
        <w:t>2006</w:t>
      </w:r>
      <w:r>
        <w:rPr>
          <w:rFonts w:hint="eastAsia" w:ascii="宋体" w:hAnsi="宋体"/>
          <w:color w:val="000000" w:themeColor="text1"/>
          <w14:textFill>
            <w14:solidFill>
              <w14:schemeClr w14:val="tx1"/>
            </w14:solidFill>
          </w14:textFill>
        </w:rPr>
        <w:t>年</w:t>
      </w:r>
      <w:r>
        <w:rPr>
          <w:rFonts w:hint="eastAsia" w:ascii="Times New Roman" w:hAnsi="Times New Roman"/>
          <w:color w:val="000000" w:themeColor="text1"/>
          <w14:textFill>
            <w14:solidFill>
              <w14:schemeClr w14:val="tx1"/>
            </w14:solidFill>
          </w14:textFill>
        </w:rPr>
        <w:t>13.6</w:t>
      </w:r>
      <w:r>
        <w:rPr>
          <w:rFonts w:hint="eastAsia" w:ascii="宋体" w:hAnsi="宋体"/>
          <w:color w:val="000000" w:themeColor="text1"/>
          <w14:textFill>
            <w14:solidFill>
              <w14:schemeClr w14:val="tx1"/>
            </w14:solidFill>
          </w14:textFill>
        </w:rPr>
        <w:t>万亿美元的欧盟区国内生产总值的</w:t>
      </w:r>
      <w:r>
        <w:rPr>
          <w:rFonts w:hint="eastAsia" w:ascii="Times New Roman" w:hAnsi="Times New Roman"/>
          <w:color w:val="000000" w:themeColor="text1"/>
          <w14:textFill>
            <w14:solidFill>
              <w14:schemeClr w14:val="tx1"/>
            </w14:solidFill>
          </w14:textFill>
        </w:rPr>
        <w:t>183%,</w:t>
      </w:r>
      <w:r>
        <w:rPr>
          <w:rFonts w:hint="eastAsia" w:ascii="宋体" w:hAnsi="宋体"/>
          <w:color w:val="000000" w:themeColor="text1"/>
          <w14:textFill>
            <w14:solidFill>
              <w14:schemeClr w14:val="tx1"/>
            </w14:solidFill>
          </w14:textFill>
        </w:rPr>
        <w:t>这个数据充分揭示了欧洲国家央行注入的数万亿美元流动性为何无效，因为其相对于</w:t>
      </w:r>
      <w:r>
        <w:rPr>
          <w:rFonts w:hint="eastAsia" w:ascii="Times New Roman" w:hAnsi="Times New Roman"/>
          <w:color w:val="000000" w:themeColor="text1"/>
          <w14:textFill>
            <w14:solidFill>
              <w14:schemeClr w14:val="tx1"/>
            </w14:solidFill>
          </w14:textFill>
        </w:rPr>
        <w:t>25</w:t>
      </w:r>
      <w:r>
        <w:rPr>
          <w:rFonts w:hint="eastAsia" w:ascii="宋体" w:hAnsi="宋体"/>
          <w:color w:val="000000" w:themeColor="text1"/>
          <w14:textFill>
            <w14:solidFill>
              <w14:schemeClr w14:val="tx1"/>
            </w14:solidFill>
          </w14:textFill>
        </w:rPr>
        <w:t>万亿美元银行“有毒资产”的确是杯水车薪。正如美国获诺贝尔奖的经济学家斯蒂格利茨指出，美欧国家巨资救市仿佛</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采取输血的办法挽救内脏大出血病人</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，将会导致巨额资金被银行</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有毒资产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的黑洞白白浪费掉，导致缺乏资金的实体经济部门陷入资金更加匮乏的局面，无法促进物质生产的巨额注资将带来巨大通货膨胀压力。</w:t>
      </w:r>
    </w:p>
    <w:p w14:paraId="69B26DFD">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欧盟整个银行体系“有毒资产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高达</w:t>
      </w:r>
      <w:r>
        <w:rPr>
          <w:rFonts w:hint="eastAsia" w:ascii="Times New Roman" w:hAnsi="Times New Roman"/>
          <w:color w:val="000000" w:themeColor="text1"/>
          <w14:textFill>
            <w14:solidFill>
              <w14:schemeClr w14:val="tx1"/>
            </w14:solidFill>
          </w14:textFill>
        </w:rPr>
        <w:t>25</w:t>
      </w:r>
      <w:r>
        <w:rPr>
          <w:rFonts w:hint="eastAsia" w:ascii="宋体" w:hAnsi="宋体"/>
          <w:color w:val="000000" w:themeColor="text1"/>
          <w14:textFill>
            <w14:solidFill>
              <w14:schemeClr w14:val="tx1"/>
            </w14:solidFill>
          </w14:textFill>
        </w:rPr>
        <w:t>万亿美元的数据，还揭示出其来源不是面向实体经济贷款形成的不良资产，而是来自髙杠杆的金融衍生品投机泡沫形成的坏账，否则不可能以如此大的幅度超过欧盟国内生产总值的规模；同时这个数据还揭示出美欧巨资救市是徒劳无功的错误方法，其真实目的与其说是挽救经济和维护民众利益，不如说是以掩人耳目的理由向金融财团输送巨大利益。难怪《每日电讯报》网站次日又匆忙删去了有关银行“有毒资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的详细数据，这种欲盖弥彰的做法是为了掩盖欧洲银行坏账的严重程度，以免人们认识到事情的真相彻底丧失了救市信心，就会迫使政府寻找触动金融财团利益的真正挽救危机办法。</w:t>
      </w:r>
    </w:p>
    <w:p w14:paraId="59FC317D">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ascii="Times New Roman" w:hAnsi="Times New Roman"/>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月</w:t>
      </w:r>
      <w:r>
        <w:rPr>
          <w:rFonts w:hint="eastAsia"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日，美国财政部“不良资产援助计划</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特别督察长巴洛夫斯基表示，目前联邦政府各项援助计划仅仅是挽救银行行动的开始，未来救助银行的总金额可能高达</w:t>
      </w:r>
      <w:r>
        <w:rPr>
          <w:rFonts w:hint="eastAsia" w:ascii="Times New Roman" w:hAnsi="Times New Roman"/>
          <w:color w:val="000000" w:themeColor="text1"/>
          <w14:textFill>
            <w14:solidFill>
              <w14:schemeClr w14:val="tx1"/>
            </w14:solidFill>
          </w14:textFill>
        </w:rPr>
        <w:t>23.7</w:t>
      </w:r>
      <w:r>
        <w:rPr>
          <w:rFonts w:hint="eastAsia" w:ascii="宋体" w:hAnsi="宋体"/>
          <w:color w:val="000000" w:themeColor="text1"/>
          <w14:textFill>
            <w14:solidFill>
              <w14:schemeClr w14:val="tx1"/>
            </w14:solidFill>
          </w14:textFill>
        </w:rPr>
        <w:t>万亿美元，这表明他间接承认已经暴露的问题不过是</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冰山一角新自由主义的取消政府监管的金融自由化政策，造成了虚拟经济投机泡沫脱离实体经济的无限制膨胀，美欧的金融衍生品规模高达</w:t>
      </w:r>
      <w:r>
        <w:rPr>
          <w:rFonts w:hint="eastAsia" w:ascii="Times New Roman" w:hAnsi="Times New Roman"/>
          <w:color w:val="000000" w:themeColor="text1"/>
          <w14:textFill>
            <w14:solidFill>
              <w14:schemeClr w14:val="tx1"/>
            </w14:solidFill>
          </w14:textFill>
        </w:rPr>
        <w:t>680</w:t>
      </w:r>
      <w:r>
        <w:rPr>
          <w:rFonts w:hint="eastAsia" w:ascii="宋体" w:hAnsi="宋体"/>
          <w:color w:val="000000" w:themeColor="text1"/>
          <w14:textFill>
            <w14:solidFill>
              <w14:schemeClr w14:val="tx1"/>
            </w14:solidFill>
          </w14:textFill>
        </w:rPr>
        <w:t>万亿美元，比较美国</w:t>
      </w:r>
      <w:r>
        <w:rPr>
          <w:rFonts w:hint="eastAsia" w:ascii="Times New Roman" w:hAnsi="Times New Roman"/>
          <w:color w:val="000000" w:themeColor="text1"/>
          <w14:textFill>
            <w14:solidFill>
              <w14:schemeClr w14:val="tx1"/>
            </w14:solidFill>
          </w14:textFill>
        </w:rPr>
        <w:t>14</w:t>
      </w:r>
      <w:r>
        <w:rPr>
          <w:rFonts w:hint="eastAsia" w:ascii="宋体" w:hAnsi="宋体"/>
          <w:color w:val="000000" w:themeColor="text1"/>
          <w14:textFill>
            <w14:solidFill>
              <w14:schemeClr w14:val="tx1"/>
            </w14:solidFill>
          </w14:textFill>
        </w:rPr>
        <w:t>万亿美元的国内生产总值高出近</w:t>
      </w:r>
      <w:r>
        <w:rPr>
          <w:rFonts w:hint="eastAsia" w:ascii="Times New Roman" w:hAnsi="Times New Roman"/>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倍，比较</w:t>
      </w:r>
      <w:r>
        <w:rPr>
          <w:rFonts w:hint="eastAsia" w:ascii="Times New Roman" w:hAnsi="Times New Roman"/>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万亿美元的全球国内生产总值总和还高出</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多倍，这就意味着即使全世界</w:t>
      </w:r>
      <w:r>
        <w:rPr>
          <w:rFonts w:hint="eastAsia" w:ascii="Times New Roman" w:hAnsi="Times New Roman"/>
          <w:color w:val="000000" w:themeColor="text1"/>
          <w14:textFill>
            <w14:solidFill>
              <w14:schemeClr w14:val="tx1"/>
            </w14:solidFill>
          </w14:textFill>
        </w:rPr>
        <w:t>60</w:t>
      </w:r>
      <w:r>
        <w:rPr>
          <w:rFonts w:hint="eastAsia" w:ascii="宋体" w:hAnsi="宋体"/>
          <w:color w:val="000000" w:themeColor="text1"/>
          <w14:textFill>
            <w14:solidFill>
              <w14:schemeClr w14:val="tx1"/>
            </w14:solidFill>
          </w14:textFill>
        </w:rPr>
        <w:t>亿人口停止任何消费活动，节省</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年的全部收入也不足以挽救潜在的金融衍生品坏账。这次金融危机与以往任何一次危机相比具有截然不同的特点，就是通过所谓金融创新吹起高达天文数字的金融衍生品泡沫，具有摧毁全球经济的巨大能量。金融衍生品坏债其实是脱离实体经济的投机赌博债务</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世界各国只有正确认识这种坏债的巨大危害和性质，釆取果断措施将其冻结、注销才能化险为夷，否则将会不断遭受一轮轮金融和经济危机的袭击。</w:t>
      </w:r>
    </w:p>
    <w:p w14:paraId="1B4BAB3A">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这次国际金融危机中金融衍生品的扩大风险作用，充分暴露其不是避险工具而是投机谋利手段，因此，运用马克思主义经济学的方法进行分析，可以透过所谓金融衍生品是为了规避风险的表象，看出其本质是为获取超额利润进行的剥削方式创新。这次国际金融危机的严重程度超过普通经济危机，原因在于美欧流行的金融创新具有两面性，即使金融创新的初始功能具有避险作用，但资本主义生产关系决定其必须服从资本谋利贪欲。金融创新促使资本主义剥削形式发生变化，大大扩展了剥削的对象、程度和时空范围，使之延伸到不同实体经济领域及地区和国家，牵涉各种社会阶层甚至未来几代人。华尔街通过金融创新制造出的金融衍生品泡沫，由于具有高杠杆性质</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使金融投机获得了广阔空间，摆脱了自有资本和政府金融监管的限制，可以依照金融资本的自由意志获得无束缚发展，大大加深了全球贫富分化和资本主义基本矛盾，最终成为诱发金融海啸和全球经济衰退的重要原因。</w:t>
      </w:r>
    </w:p>
    <w:p w14:paraId="5512C38C">
      <w:pPr>
        <w:ind w:firstLine="420" w:firstLineChars="200"/>
        <w:rPr>
          <w:rFonts w:hint="eastAsia" w:ascii="Times New Roman" w:hAnsi="Times New Roman"/>
          <w:b/>
          <w:bCs/>
          <w:color w:val="000000" w:themeColor="text1"/>
          <w14:textFill>
            <w14:solidFill>
              <w14:schemeClr w14:val="tx1"/>
            </w14:solidFill>
          </w14:textFill>
        </w:rPr>
      </w:pPr>
      <w:bookmarkStart w:id="1328" w:name="_Toc22521"/>
      <w:r>
        <w:rPr>
          <w:rFonts w:hint="eastAsia" w:ascii="Times New Roman" w:hAnsi="Times New Roman"/>
          <w:b/>
          <w:bCs/>
          <w:color w:val="000000" w:themeColor="text1"/>
          <w14:textFill>
            <w14:solidFill>
              <w14:schemeClr w14:val="tx1"/>
            </w14:solidFill>
          </w14:textFill>
        </w:rPr>
        <w:t>2.</w:t>
      </w:r>
      <w:bookmarkEnd w:id="1328"/>
      <w:r>
        <w:rPr>
          <w:rFonts w:hint="eastAsia" w:ascii="宋体" w:hAnsi="宋体"/>
          <w:b/>
          <w:bCs/>
          <w:color w:val="000000" w:themeColor="text1"/>
          <w14:textFill>
            <w14:solidFill>
              <w14:schemeClr w14:val="tx1"/>
            </w14:solidFill>
          </w14:textFill>
        </w:rPr>
        <w:t>危机凸显私有制公司治理的弊端，影响资本主义生存和发展</w:t>
      </w:r>
    </w:p>
    <w:p w14:paraId="45141CB7">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当前西方不断进行金融衍生品创新的大环境下，以私有产权为基础的股份公司治理结构正面临着巨大危机。资本主义总是不断进行各个层面的创新活动，包括生产力方面的科学技术创新，但是也有生产关系方面的剥削方式创新，这种剥削方式创新不断酿成巨大风险。西方的代议制民主政体架构，现代企业制度的公司治理架构</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都无法抵御金融衍生品创新的诱惑腐蚀。近</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年来华尔街花了</w:t>
      </w:r>
      <w:r>
        <w:rPr>
          <w:rFonts w:hint="eastAsia" w:ascii="Times New Roman" w:hAnsi="Times New Roman"/>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亿美元游说、贿赂美国国会议员，促使美国国会在明知金融衍生品巨大风险的情况下，仍然通过了一系列放松监管的金融自由化法案，因此，美国媒体也承认</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美国政府和华尔街勾结起来出卖了美国在这种金融衍生品创新的巨大诱惑力之下，股份公司的治理结构难以遏制来自内部的腐败。即使高层经理在股份公司里拥有比较大比重的股权，譬如</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w:t>
      </w:r>
      <w:r>
        <w:rPr>
          <w:rFonts w:hint="eastAsia"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的股权，其一年收益也远远小于一次金融衍生品作弊收益。金融衍生品的交易动辄成百上千亿美元，西方大公司高管年薪水平一般为数千万美元，如次贷危机后担任美林证券董事长的赛恩年薪五千万美元，但是，通过金融衍生品作弊带来的利益就大得多，许多公司衍生品交易损失都涉及串谋欺诈。政府无论怎样监管也深入不到公司内部，仅仅从外部监管不仅成本很高而且难以奏效。政府不拥有企业产权无法深入到股份公司内部，无法掌握会计审计、重大交易的详细信息。政府高官、美联储本身也是垄断财团利益的代理人，即使在风险充分曝光后仍继续纵容金融衍生品投机。从微观经济角度分析，私有制企业模式容易形成追求私人巨额收入的贪欲，不计风险采用次贷及相关的金融衍生品工具，并不断游说政府、国会为金融投机创造宽松条件，导致了伦理失灵、市场失灵和政府失灵这三种调节共同失灵。在当代西方资本主义国家，列宁曾论述的垄断资本的寄生性和腐朽性，在金融衍生品投机泛滥的时代获得了前所未有的发展。</w:t>
      </w:r>
    </w:p>
    <w:p w14:paraId="2213ED5A">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格林斯潘承认资本主义无法节制自己的贪欲，总想不断追求放纵贪欲自由甚至不顾自我毁灭的危险。私有制不能自我克制且尽情放纵贪欲</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在当代金融创新提供了新型剥削手段的条件下，可以催生高杠杆金融衍生品泡沫的无限制膨胀，就可能促使资本主义基本矛盾不断积累和激化，在同以前相比较短的时间内积蓄巨大能量</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酿成严重的金融和经济危机甚至危及资本主义生存基础。当代金融垄断资本就像无法自我节制的赌徒</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进行金融衍生品赌博时完全丧失了自控能力，这就意味着本次危机与以前相比具有截然不同的特点，具有摧毁西方乃至全球资本主义经济基础的巨大能量，证明了列宁关于垄断资本主义垂死性或过渡性论述仍具有重要的现实意义。列宁曾指出</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资本主义已发展到这样的程度，商品生产虽然依然</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占统治地位</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，依然被看作全部经济的基础，但实际上已经被破坏了，大部分利润都被那些干金融勾当的</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天才</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拿去了</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这次危机也说明金融衍生品泡沫对实体经济的巨大破坏，正日益瓦解着西方资本主义的经济基础，并促使其面临日益深刻的垂死、过渡过程的生存挑战。列宁在论述垄断资本主义是垂死的、过渡的资本主义时，还指出垂死性并不意味着资本主义将会很快灭亡，尽管私有制关系已越来越不适应生产力发展，但它可能因各种人为因素拖延继续生存下去，</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‘在腐烂状态中保持一个比较长的时期</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西方社会改良时期推行严格限制金融投机的监管政策，超出了凯恩斯主张的宏观货币财政政策范围，更多是迫于社会主义国家形成的强大压力，借鉴了马列主义关于金融必须为实体经济服务的理论，因此，第二次世界大战后西方经济周期缓和非但不能证明马列主义理论失效，反而恰恰证明了马列主义理论的正确性，具有影响现实和改变世界历史进程的强大生命力。但即使在西方国家实行社会改良的时期，美国金融财团也始终渴望回到甚至比大萧条前更少管制的资本主义，花旗银行的老板沃特•瑞斯顿为恢复自由放任资本主义，竭力支持哈耶，克、弗里德曼等新自由主义经济学家。这表明金融垄断财团始终将社会改良视为被迫釆取的权宜之计，始终竭力支持新</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自由主义以求恢复自由放任资本主义，社会改良并不代表西方资本主义发生了本质性变化。</w:t>
      </w:r>
    </w:p>
    <w:p w14:paraId="37B201EC">
      <w:pPr>
        <w:ind w:firstLine="420" w:firstLineChars="200"/>
        <w:rPr>
          <w:rFonts w:hint="eastAsia" w:ascii="Times New Roman" w:hAnsi="Times New Roman"/>
          <w:b/>
          <w:bCs/>
          <w:color w:val="000000" w:themeColor="text1"/>
          <w14:textFill>
            <w14:solidFill>
              <w14:schemeClr w14:val="tx1"/>
            </w14:solidFill>
          </w14:textFill>
        </w:rPr>
      </w:pPr>
      <w:bookmarkStart w:id="1329" w:name="_Toc24450"/>
      <w:r>
        <w:rPr>
          <w:rFonts w:hint="eastAsia" w:ascii="Times New Roman" w:hAnsi="Times New Roman"/>
          <w:b/>
          <w:bCs/>
          <w:color w:val="000000" w:themeColor="text1"/>
          <w14:textFill>
            <w14:solidFill>
              <w14:schemeClr w14:val="tx1"/>
            </w14:solidFill>
          </w14:textFill>
        </w:rPr>
        <w:t>3.</w:t>
      </w:r>
      <w:bookmarkEnd w:id="1329"/>
      <w:r>
        <w:rPr>
          <w:rFonts w:hint="eastAsia" w:ascii="宋体" w:hAnsi="宋体"/>
          <w:b/>
          <w:bCs/>
          <w:color w:val="000000" w:themeColor="text1"/>
          <w14:textFill>
            <w14:solidFill>
              <w14:schemeClr w14:val="tx1"/>
            </w14:solidFill>
          </w14:textFill>
        </w:rPr>
        <w:t>危机凸显贫富分化的加剧，影响资本主义生存和发展</w:t>
      </w:r>
    </w:p>
    <w:p w14:paraId="4A5E26AB">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w:t>
      </w:r>
      <w:r>
        <w:rPr>
          <w:rFonts w:hint="eastAsia"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年代以来，里根政府推行新自由主义造成了日益严重的贫富分化</w:t>
      </w:r>
      <w:r>
        <w:rPr>
          <w:rFonts w:hint="eastAsia"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增长的绝大部分都进入了少数富有阶层的口袋。</w:t>
      </w:r>
      <w:r>
        <w:rPr>
          <w:rFonts w:hint="eastAsia" w:ascii="Times New Roman" w:hAnsi="Times New Roman"/>
          <w:color w:val="000000" w:themeColor="text1"/>
          <w14:textFill>
            <w14:solidFill>
              <w14:schemeClr w14:val="tx1"/>
            </w14:solidFill>
          </w14:textFill>
        </w:rPr>
        <w:t>2005</w:t>
      </w:r>
      <w:r>
        <w:rPr>
          <w:rFonts w:hint="eastAsia" w:ascii="宋体" w:hAnsi="宋体"/>
          <w:color w:val="000000" w:themeColor="text1"/>
          <w14:textFill>
            <w14:solidFill>
              <w14:schemeClr w14:val="tx1"/>
            </w14:solidFill>
          </w14:textFill>
        </w:rPr>
        <w:t>年，美国最富有的</w:t>
      </w:r>
      <w:r>
        <w:rPr>
          <w:rFonts w:hint="eastAsia"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和</w:t>
      </w:r>
      <w:r>
        <w:rPr>
          <w:rFonts w:hint="eastAsia"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。的人所拥有的财富都达到了</w:t>
      </w:r>
      <w:r>
        <w:rPr>
          <w:rFonts w:hint="eastAsia" w:ascii="Times New Roman" w:hAnsi="Times New Roman"/>
          <w:color w:val="000000" w:themeColor="text1"/>
          <w14:textFill>
            <w14:solidFill>
              <w14:schemeClr w14:val="tx1"/>
            </w14:solidFill>
          </w14:textFill>
        </w:rPr>
        <w:t>1928</w:t>
      </w:r>
      <w:r>
        <w:rPr>
          <w:rFonts w:hint="eastAsia" w:ascii="宋体" w:hAnsi="宋体"/>
          <w:color w:val="000000" w:themeColor="text1"/>
          <w14:textFill>
            <w14:solidFill>
              <w14:schemeClr w14:val="tx1"/>
            </w14:solidFill>
          </w14:textFill>
        </w:rPr>
        <w:t>年以来的最高水平。最富有的</w:t>
      </w:r>
      <w:r>
        <w:rPr>
          <w:rFonts w:hint="eastAsia"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。的人口只有</w:t>
      </w:r>
      <w:r>
        <w:rPr>
          <w:rFonts w:hint="eastAsia" w:ascii="Times New Roman" w:hAnsi="Times New Roman"/>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万，他们的收入与最穷的</w:t>
      </w:r>
      <w:r>
        <w:rPr>
          <w:rFonts w:hint="eastAsia" w:ascii="Times New Roman" w:hAnsi="Times New Roman"/>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的人口的总收入是相当的，而最穷的</w:t>
      </w:r>
      <w:r>
        <w:rPr>
          <w:rFonts w:hint="eastAsia" w:ascii="Times New Roman" w:hAnsi="Times New Roman"/>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的人口有</w:t>
      </w:r>
      <w:r>
        <w:rPr>
          <w:rFonts w:hint="eastAsia" w:ascii="Times New Roman" w:hAnsi="Times New Roman"/>
          <w:color w:val="000000" w:themeColor="text1"/>
          <w14:textFill>
            <w14:solidFill>
              <w14:schemeClr w14:val="tx1"/>
            </w14:solidFill>
          </w14:textFill>
        </w:rPr>
        <w:t>1.5</w:t>
      </w:r>
      <w:r>
        <w:rPr>
          <w:rFonts w:hint="eastAsia" w:ascii="宋体" w:hAnsi="宋体"/>
          <w:color w:val="000000" w:themeColor="text1"/>
          <w14:textFill>
            <w14:solidFill>
              <w14:schemeClr w14:val="tx1"/>
            </w14:solidFill>
          </w14:textFill>
        </w:rPr>
        <w:t>亿。美国最富的</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的家庭财富占社会财富的比例高达</w:t>
      </w:r>
      <w:r>
        <w:rPr>
          <w:rFonts w:hint="eastAsia" w:ascii="Times New Roman" w:hAnsi="Times New Roman"/>
          <w:color w:val="000000" w:themeColor="text1"/>
          <w14:textFill>
            <w14:solidFill>
              <w14:schemeClr w14:val="tx1"/>
            </w14:solidFill>
          </w14:textFill>
        </w:rPr>
        <w:t>70%</w:t>
      </w:r>
      <w:r>
        <w:rPr>
          <w:rFonts w:hint="eastAsia" w:ascii="宋体" w:hAnsi="宋体"/>
          <w:color w:val="000000" w:themeColor="text1"/>
          <w14:textFill>
            <w14:solidFill>
              <w14:schemeClr w14:val="tx1"/>
            </w14:solidFill>
          </w14:textFill>
        </w:rPr>
        <w:t>。由美国次贷危机引发国际金融和经济危机的一个重要原因，就是美国的贫富差距拉大、负债经济难以为继。其他发达国家也面临同样的问题，英国、法国超过</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的富人占据社会财富的</w:t>
      </w:r>
      <w:r>
        <w:rPr>
          <w:rFonts w:hint="eastAsia" w:ascii="Times New Roman" w:hAnsi="Times New Roman"/>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危机进一步增加了发达国家的贫困人口。</w:t>
      </w:r>
    </w:p>
    <w:p w14:paraId="136D7FDE">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世界财富分配失衡和南北发展存在严重失衡。联合国大学世界经济发展研究所</w:t>
      </w:r>
      <w:r>
        <w:rPr>
          <w:rFonts w:hint="eastAsia" w:ascii="Times New Roman" w:hAnsi="Times New Roman"/>
          <w:color w:val="000000" w:themeColor="text1"/>
          <w14:textFill>
            <w14:solidFill>
              <w14:schemeClr w14:val="tx1"/>
            </w14:solidFill>
          </w14:textFill>
        </w:rPr>
        <w:t>2006</w:t>
      </w:r>
      <w:r>
        <w:rPr>
          <w:rFonts w:hint="eastAsia" w:ascii="宋体" w:hAnsi="宋体"/>
          <w:color w:val="000000" w:themeColor="text1"/>
          <w14:textFill>
            <w14:solidFill>
              <w14:schemeClr w14:val="tx1"/>
            </w14:solidFill>
          </w14:textFill>
        </w:rPr>
        <w:t>年</w:t>
      </w:r>
      <w:r>
        <w:rPr>
          <w:rFonts w:hint="eastAsia" w:ascii="Times New Roman" w:hAnsi="Times New Roman"/>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月发布了《世界家庭财富分配报告》，该研究报告显示：从人口分布看</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全球最富有的</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的人拥有世界财富的</w:t>
      </w:r>
      <w:r>
        <w:rPr>
          <w:rFonts w:hint="eastAsia" w:ascii="Times New Roman" w:hAnsi="Times New Roman"/>
          <w:color w:val="000000" w:themeColor="text1"/>
          <w14:textFill>
            <w14:solidFill>
              <w14:schemeClr w14:val="tx1"/>
            </w14:solidFill>
          </w14:textFill>
        </w:rPr>
        <w:t>85%,</w:t>
      </w:r>
      <w:r>
        <w:rPr>
          <w:rFonts w:hint="eastAsia" w:ascii="宋体" w:hAnsi="宋体"/>
          <w:color w:val="000000" w:themeColor="text1"/>
          <w14:textFill>
            <w14:solidFill>
              <w14:schemeClr w14:val="tx1"/>
            </w14:solidFill>
          </w14:textFill>
        </w:rPr>
        <w:t>世界底层的半数人口仅拥有世界财富的</w:t>
      </w:r>
      <w:r>
        <w:rPr>
          <w:rFonts w:hint="eastAsia"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。从区域分布看，世界上的财富主要集中在北美、欧洲和亚太地区部分经济发达的国家和地区，这些国家和地区的人拥有了世界上近</w:t>
      </w:r>
      <w:r>
        <w:rPr>
          <w:rFonts w:hint="eastAsia" w:ascii="Times New Roman" w:hAnsi="Times New Roman"/>
          <w:color w:val="000000" w:themeColor="text1"/>
          <w14:textFill>
            <w14:solidFill>
              <w14:schemeClr w14:val="tx1"/>
            </w14:solidFill>
          </w14:textFill>
        </w:rPr>
        <w:t>90%</w:t>
      </w:r>
      <w:r>
        <w:rPr>
          <w:rFonts w:hint="eastAsia" w:ascii="宋体" w:hAnsi="宋体"/>
          <w:color w:val="000000" w:themeColor="text1"/>
          <w14:textFill>
            <w14:solidFill>
              <w14:schemeClr w14:val="tx1"/>
            </w14:solidFill>
          </w14:textFill>
        </w:rPr>
        <w:t>的财富。可以说，财富分配不平衡是发展中国家消费不足的根本原因，也是此次全球性的金融和经济危机的一个重要原因。</w:t>
      </w:r>
    </w:p>
    <w:p w14:paraId="1D48AC07">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美国等资本主义国家在危机中和危机后不从根本上解决本国财富和收入的贫富对立，继续保持南北之间的贫富等经济差距，就必然引起资本主义生存和发展的一系列问题和顽症，并引发替代资本主义的阶级博弈和制度变革。</w:t>
      </w:r>
    </w:p>
    <w:p w14:paraId="46756BA3">
      <w:pPr>
        <w:ind w:firstLine="420" w:firstLineChars="200"/>
        <w:rPr>
          <w:rFonts w:hint="eastAsia" w:ascii="Times New Roman" w:hAnsi="Times New Roman"/>
          <w:b/>
          <w:bCs/>
          <w:color w:val="000000" w:themeColor="text1"/>
          <w14:textFill>
            <w14:solidFill>
              <w14:schemeClr w14:val="tx1"/>
            </w14:solidFill>
          </w14:textFill>
        </w:rPr>
      </w:pPr>
      <w:bookmarkStart w:id="1330" w:name="_Toc22495"/>
      <w:r>
        <w:rPr>
          <w:rFonts w:hint="eastAsia" w:ascii="Times New Roman" w:hAnsi="Times New Roman"/>
          <w:b/>
          <w:bCs/>
          <w:color w:val="000000" w:themeColor="text1"/>
          <w14:textFill>
            <w14:solidFill>
              <w14:schemeClr w14:val="tx1"/>
            </w14:solidFill>
          </w14:textFill>
        </w:rPr>
        <w:t>4.</w:t>
      </w:r>
      <w:bookmarkEnd w:id="1330"/>
      <w:r>
        <w:rPr>
          <w:rFonts w:hint="eastAsia" w:ascii="宋体" w:hAnsi="宋体"/>
          <w:b/>
          <w:bCs/>
          <w:color w:val="000000" w:themeColor="text1"/>
          <w14:textFill>
            <w14:solidFill>
              <w14:schemeClr w14:val="tx1"/>
            </w14:solidFill>
          </w14:textFill>
        </w:rPr>
        <w:t>危机凸显国家调节的低效，影响资本主义生存和发展</w:t>
      </w:r>
    </w:p>
    <w:p w14:paraId="47835014">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当前美国经济呈现出的微弱活力和复苏迹象，主要来自政府采取的前所未有的巨额注资措施，为了剌激一美元的国内生产总值增长，美国政府和美联储对虚拟金融部门，至少推出了</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倍金额以上的各种救市计划。美国著名金融评论家、《利率观察家》杂志主编吉姆格雷特认为，在以前美国第二次世界大战后经历的</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次经济衰退中，美国政府平均采取的财政、货币刺激力度，仅为国内生产总值的</w:t>
      </w:r>
      <w:r>
        <w:rPr>
          <w:rFonts w:hint="eastAsia" w:ascii="Times New Roman" w:hAnsi="Times New Roman"/>
          <w:color w:val="000000" w:themeColor="text1"/>
          <w14:textFill>
            <w14:solidFill>
              <w14:schemeClr w14:val="tx1"/>
            </w14:solidFill>
          </w14:textFill>
        </w:rPr>
        <w:t>2.9%,</w:t>
      </w:r>
      <w:r>
        <w:rPr>
          <w:rFonts w:hint="eastAsia" w:ascii="宋体" w:hAnsi="宋体"/>
          <w:color w:val="000000" w:themeColor="text1"/>
          <w14:textFill>
            <w14:solidFill>
              <w14:schemeClr w14:val="tx1"/>
            </w14:solidFill>
          </w14:textFill>
        </w:rPr>
        <w:t>而当前美国政府采取的财政、货币刺激力度，达到了超过以前</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倍以上的前所未有规模</w:t>
      </w:r>
      <w:r>
        <w:rPr>
          <w:rFonts w:hint="eastAsia"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w:t>
      </w:r>
      <w:r>
        <w:rPr>
          <w:rFonts w:hint="eastAsia" w:ascii="Times New Roman" w:hAnsi="Times New Roman"/>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年代大萧条中，美国的国内生产总值下降了</w:t>
      </w:r>
      <w:r>
        <w:rPr>
          <w:rFonts w:hint="eastAsia" w:ascii="Times New Roman" w:hAnsi="Times New Roman"/>
          <w:color w:val="000000" w:themeColor="text1"/>
          <w14:textFill>
            <w14:solidFill>
              <w14:schemeClr w14:val="tx1"/>
            </w14:solidFill>
          </w14:textFill>
        </w:rPr>
        <w:t>27%,</w:t>
      </w:r>
      <w:r>
        <w:rPr>
          <w:rFonts w:hint="eastAsia" w:ascii="宋体" w:hAnsi="宋体"/>
          <w:color w:val="000000" w:themeColor="text1"/>
          <w14:textFill>
            <w14:solidFill>
              <w14:schemeClr w14:val="tx1"/>
            </w14:solidFill>
          </w14:textFill>
        </w:rPr>
        <w:t>当时政府采取的财政、货币刺激力度，也仅为国内生产总值的</w:t>
      </w:r>
      <w:r>
        <w:rPr>
          <w:rFonts w:hint="eastAsia" w:ascii="Times New Roman" w:hAnsi="Times New Roman"/>
          <w:color w:val="000000" w:themeColor="text1"/>
          <w14:textFill>
            <w14:solidFill>
              <w14:schemeClr w14:val="tx1"/>
            </w14:solidFill>
          </w14:textFill>
        </w:rPr>
        <w:t>8.3%</w:t>
      </w:r>
      <w:r>
        <w:rPr>
          <w:rFonts w:hint="eastAsia" w:ascii="宋体" w:hAnsi="宋体"/>
          <w:color w:val="000000" w:themeColor="text1"/>
          <w14:textFill>
            <w14:solidFill>
              <w14:schemeClr w14:val="tx1"/>
            </w14:solidFill>
          </w14:textFill>
        </w:rPr>
        <w:t>。据计算，同大萧条时期相比，美国为挽救一个百分点的经济衰退，付出的救市代价相当于大萧条时期的</w:t>
      </w:r>
      <w:r>
        <w:rPr>
          <w:rFonts w:hint="eastAsia" w:ascii="Times New Roman" w:hAnsi="Times New Roman"/>
          <w:color w:val="000000" w:themeColor="text1"/>
          <w14:textFill>
            <w14:solidFill>
              <w14:schemeClr w14:val="tx1"/>
            </w14:solidFill>
          </w14:textFill>
        </w:rPr>
        <w:t>54</w:t>
      </w:r>
      <w:r>
        <w:rPr>
          <w:rFonts w:hint="eastAsia" w:ascii="宋体" w:hAnsi="宋体"/>
          <w:color w:val="000000" w:themeColor="text1"/>
          <w14:textFill>
            <w14:solidFill>
              <w14:schemeClr w14:val="tx1"/>
            </w14:solidFill>
          </w14:textFill>
        </w:rPr>
        <w:t>倍，也就是说为挽救危机所付出的代价损失，甚至远远超过了危机本身造成的损失，美国政府付出巨大买单代价仅仅带来了微弱复苏。</w:t>
      </w:r>
    </w:p>
    <w:p w14:paraId="54F8909E">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当前</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尽管美国政府和央行不断出台规模庞大的各种救市计划，国债泡沫和美元债务泡沫膨胀达到空前规模，但是，美国经济尚未摆脱衰退并处于不稳定的震荡状态，即使今后债务泡沫膨胀刺激国内生产总值恢复增长，也不是实质上摆脱了经济衰退并进入经济复苏，而是从经济危机的“自然爆发状态</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变成了</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人为压抑状态</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债务泡沬暂时压抑的需求不足矛盾仍在不断蓄积能量，债务清算期来临时就会以更加强烈的威力爆发。美国今后即便宣布国内生产总值恢复微弱增长，也不能说明美国经济真正康复了，而可能是又一次某种形式的经济危机和经济风暴来临前的暂时平静时期。据</w:t>
      </w:r>
      <w:r>
        <w:rPr>
          <w:rFonts w:hint="eastAsia" w:ascii="Times New Roman" w:hAnsi="Times New Roman"/>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hint="eastAsia"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月</w:t>
      </w:r>
      <w:r>
        <w:rPr>
          <w:rFonts w:hint="eastAsia" w:ascii="Times New Roman" w:hAnsi="Times New Roman"/>
          <w:color w:val="000000" w:themeColor="text1"/>
          <w14:textFill>
            <w14:solidFill>
              <w14:schemeClr w14:val="tx1"/>
            </w14:solidFill>
          </w14:textFill>
        </w:rPr>
        <w:t>9</w:t>
      </w:r>
      <w:r>
        <w:rPr>
          <w:rFonts w:hint="eastAsia" w:ascii="宋体" w:hAnsi="宋体"/>
          <w:color w:val="000000" w:themeColor="text1"/>
          <w14:textFill>
            <w14:solidFill>
              <w14:schemeClr w14:val="tx1"/>
            </w14:solidFill>
          </w14:textFill>
        </w:rPr>
        <w:t>日公布的最新数据表明，美国失业率达到两位数，欧盟失业率从</w:t>
      </w:r>
      <w:r>
        <w:rPr>
          <w:rFonts w:hint="eastAsia"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月的</w:t>
      </w:r>
      <w:r>
        <w:rPr>
          <w:rFonts w:hint="eastAsia" w:ascii="Times New Roman" w:hAnsi="Times New Roman"/>
          <w:color w:val="000000" w:themeColor="text1"/>
          <w14:textFill>
            <w14:solidFill>
              <w14:schemeClr w14:val="tx1"/>
            </w14:solidFill>
          </w14:textFill>
        </w:rPr>
        <w:t>9.9%</w:t>
      </w:r>
      <w:r>
        <w:rPr>
          <w:rFonts w:hint="eastAsia" w:ascii="宋体" w:hAnsi="宋体"/>
          <w:color w:val="000000" w:themeColor="text1"/>
          <w14:textFill>
            <w14:solidFill>
              <w14:schemeClr w14:val="tx1"/>
            </w14:solidFill>
          </w14:textFill>
        </w:rPr>
        <w:t>升至</w:t>
      </w:r>
      <w:r>
        <w:rPr>
          <w:rFonts w:hint="eastAsia" w:ascii="Times New Roman" w:hAnsi="Times New Roman"/>
          <w:color w:val="000000" w:themeColor="text1"/>
          <w14:textFill>
            <w14:solidFill>
              <w14:schemeClr w14:val="tx1"/>
            </w14:solidFill>
          </w14:textFill>
        </w:rPr>
        <w:t>11</w:t>
      </w:r>
      <w:r>
        <w:rPr>
          <w:rFonts w:hint="eastAsia" w:ascii="宋体" w:hAnsi="宋体"/>
          <w:color w:val="000000" w:themeColor="text1"/>
          <w14:textFill>
            <w14:solidFill>
              <w14:schemeClr w14:val="tx1"/>
            </w14:solidFill>
          </w14:textFill>
        </w:rPr>
        <w:t>月的</w:t>
      </w:r>
      <w:r>
        <w:rPr>
          <w:rFonts w:hint="eastAsia" w:ascii="Times New Roman" w:hAnsi="Times New Roman"/>
          <w:color w:val="000000" w:themeColor="text1"/>
          <w14:textFill>
            <w14:solidFill>
              <w14:schemeClr w14:val="tx1"/>
            </w14:solidFill>
          </w14:textFill>
        </w:rPr>
        <w:t>10.0%,</w:t>
      </w:r>
      <w:r>
        <w:rPr>
          <w:rFonts w:hint="eastAsia" w:ascii="宋体" w:hAnsi="宋体"/>
          <w:color w:val="000000" w:themeColor="text1"/>
          <w14:textFill>
            <w14:solidFill>
              <w14:schemeClr w14:val="tx1"/>
            </w14:solidFill>
          </w14:textFill>
        </w:rPr>
        <w:t>美欧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都出现了复苏，但是个疲弱的</w:t>
      </w:r>
      <w:r>
        <w:rPr>
          <w:rFonts w:hint="eastAsia" w:ascii="Times New Roman" w:hAnsi="Times New Roman"/>
          <w:color w:val="000000" w:themeColor="text1"/>
          <w14:textFill>
            <w14:solidFill>
              <w14:schemeClr w14:val="tx1"/>
            </w14:solidFill>
          </w14:textFill>
        </w:rPr>
        <w:t>U</w:t>
      </w:r>
      <w:r>
        <w:rPr>
          <w:rFonts w:hint="eastAsia" w:ascii="宋体" w:hAnsi="宋体"/>
          <w:color w:val="000000" w:themeColor="text1"/>
          <w14:textFill>
            <w14:solidFill>
              <w14:schemeClr w14:val="tx1"/>
            </w14:solidFill>
          </w14:textFill>
        </w:rPr>
        <w:t>形复苏”。</w:t>
      </w:r>
    </w:p>
    <w:p w14:paraId="2DEEEA8B">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西方垄断财团一方面竭力贬低维护社会利益的国家调节，一方面毫不犹豫操纵政府为其谋求私利。政治上资产阶级政党轮流执政和政治制度的低效率，精神上主张非为人民服务的“自私经济人</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的理念和行为，必然导致市场失灵和伦理失灵基础上的国家调节失灵</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从而影响资本主义的生存和发展。</w:t>
      </w:r>
    </w:p>
    <w:p w14:paraId="1DD67624">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331" w:name="_Toc32478"/>
      <w:bookmarkEnd w:id="1331"/>
      <w:bookmarkStart w:id="1332" w:name="_Toc27736"/>
      <w:bookmarkEnd w:id="1332"/>
      <w:bookmarkStart w:id="1333" w:name="_Toc30091"/>
      <w:bookmarkEnd w:id="1333"/>
      <w:bookmarkStart w:id="1334" w:name="_Toc14238"/>
      <w:bookmarkEnd w:id="1334"/>
      <w:bookmarkStart w:id="1335" w:name="_Toc25649"/>
      <w:bookmarkEnd w:id="1335"/>
      <w:r>
        <w:rPr>
          <w:rFonts w:hint="eastAsia" w:ascii="宋体" w:hAnsi="宋体"/>
          <w:b/>
          <w:color w:val="000000" w:themeColor="text1"/>
          <w:sz w:val="24"/>
          <w:szCs w:val="24"/>
          <w14:textFill>
            <w14:solidFill>
              <w14:schemeClr w14:val="tx1"/>
            </w14:solidFill>
          </w14:textFill>
        </w:rPr>
        <w:t>三、危机可能迫使美国采取特殊手段维护全球霸权</w:t>
      </w:r>
    </w:p>
    <w:p w14:paraId="3AFDA6F8">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美国作为拥有全球经济军事霸权的资本主义国家，不会坐视金融和经济危机侵蚀其国际地位，不会容忍能给其带来巨大利益的美元霸权走向衰落。帝国主义在逐渐衰亡的垂死过渡时撕将拼命挣扎甚至变得更加危险</w:t>
      </w:r>
      <w:r>
        <w:rPr>
          <w:rFonts w:hint="eastAsia" w:ascii="Times New Roman" w:hAnsi="Times New Roman"/>
          <w:color w:val="000000" w:themeColor="text1"/>
          <w14:textFill>
            <w14:solidFill>
              <w14:schemeClr w14:val="tx1"/>
            </w14:solidFill>
          </w14:textFill>
        </w:rPr>
        <w:t>,1929</w:t>
      </w:r>
      <w:r>
        <w:rPr>
          <w:rFonts w:hint="eastAsia" w:ascii="宋体" w:hAnsi="宋体"/>
          <w:color w:val="000000" w:themeColor="text1"/>
          <w14:textFill>
            <w14:solidFill>
              <w14:schemeClr w14:val="tx1"/>
            </w14:solidFill>
          </w14:textFill>
        </w:rPr>
        <w:t>年大萧条引发两次世界大战的灾难就说明了这一点。当代核武器的发展限制了大规模战争的爆发</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但这也促使帝国主义进行新隐蔽战争形式的创新。</w:t>
      </w:r>
    </w:p>
    <w:p w14:paraId="516E189B">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从历史上观察，越南战争期间，美国曾面临全球经济军事霸权全面衰败的危机，危机迫使美国放弃了冷战遏制转向隐蔽攻击的</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缓和</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战略。尼克松称</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‘从冷战开始直至</w:t>
      </w:r>
      <w:r>
        <w:rPr>
          <w:rFonts w:hint="eastAsia" w:ascii="Times New Roman" w:hAnsi="Times New Roman"/>
          <w:color w:val="000000" w:themeColor="text1"/>
          <w14:textFill>
            <w14:solidFill>
              <w14:schemeClr w14:val="tx1"/>
            </w14:solidFill>
          </w14:textFill>
        </w:rPr>
        <w:t>1969</w:t>
      </w:r>
      <w:r>
        <w:rPr>
          <w:rFonts w:hint="eastAsia" w:ascii="宋体" w:hAnsi="宋体"/>
          <w:color w:val="000000" w:themeColor="text1"/>
          <w14:textFill>
            <w14:solidFill>
              <w14:schemeClr w14:val="tx1"/>
            </w14:solidFill>
          </w14:textFill>
        </w:rPr>
        <w:t>年，美国的政策是遏制，企图以一系列联盟组织包围苏联</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这一政策使美国疲于奔命并陷入极其被动的境地，从长远来说，遏制是个失败的政策</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从</w:t>
      </w:r>
      <w:r>
        <w:rPr>
          <w:rFonts w:hint="eastAsia" w:ascii="Times New Roman" w:hAnsi="Times New Roman"/>
          <w:color w:val="000000" w:themeColor="text1"/>
          <w14:textFill>
            <w14:solidFill>
              <w14:schemeClr w14:val="tx1"/>
            </w14:solidFill>
          </w14:textFill>
        </w:rPr>
        <w:t>1969</w:t>
      </w:r>
      <w:r>
        <w:rPr>
          <w:rFonts w:hint="eastAsia" w:ascii="宋体" w:hAnsi="宋体"/>
          <w:color w:val="000000" w:themeColor="text1"/>
          <w14:textFill>
            <w14:solidFill>
              <w14:schemeClr w14:val="tx1"/>
            </w14:solidFill>
          </w14:textFill>
        </w:rPr>
        <w:t>年开始，美国奉行的是讲究实际的缓和政策”。美国从</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冷战遏制</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转向</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缓和</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战略，重视利用各种经济杠杆培育战略依赖性，通过贸易、金融、贷款、能源、粮食等筹码，形成维护美国全球霸权的新政策武器网络。在这种历史背景下，基辛格提出</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如果你控制了石油，你就控制了所有国家，如果你控制了粮食，你就控制了所有的人，如果你控制了货币，你就控制了全世界</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清楚地表明美国已经将金融经济政策视为维护全球霸权的战略手段。越战后美国将维护霸权重点从冷战遏制转向经济筹码，其重要战略目的之一是让人们误认为马列主义失效，进而推动社会主义国家发生制度解体或民族分裂主义，尼克松曾称</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紧张局势的缓和破坏了共产党政府的理论，这无情地推动共产党人通过实行改革或获得更大的民族独立性来寻求合法化。</w:t>
      </w:r>
      <w:r>
        <w:rPr>
          <w:rFonts w:hint="eastAsia"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w:t>
      </w:r>
      <w:r>
        <w:rPr>
          <w:rFonts w:hint="eastAsia"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年代，里根政府指使情报、外交、经济部门策划秘密战略，发动了旨在瓦解前苏联的“无情经济战争</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，表明美国已将隐蔽经济战争视为摧毁主要国际对手的手段。令人遗憾的是，前苏联解体时戈尔巴乔夫对布什沮丧地宣称美国“赢得了冷战</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，他全然不知道美国早就输掉了“冷战</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并转向“缓和</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战略，导致前苏联解体的是美国策划的软硬兼施的“软战争”。美国通过误导前苏联推行新自由主义的自杀性经济改革，彻底摧毁了前苏联实力并导致</w:t>
      </w:r>
      <w:r>
        <w:rPr>
          <w:rFonts w:hint="eastAsia"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年中国民收入下降一半，大量社会财富通过廉价私有化和资金外逃落入美国垄断财团掌控之中。</w:t>
      </w:r>
    </w:p>
    <w:p w14:paraId="1CB24737">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从现实上分析</w:t>
      </w:r>
      <w:r>
        <w:rPr>
          <w:rFonts w:hint="eastAsia" w:ascii="Times New Roman" w:hAnsi="Times New Roman"/>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年爆发的西方金融和经济危机，严重削弱了美国的整体经济军事实力，给美国的全球霸权地位带来了严重挑战。</w:t>
      </w:r>
      <w:r>
        <w:rPr>
          <w:rFonts w:hint="eastAsia"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年美国财政赤字达到了创纪录的</w:t>
      </w:r>
      <w:r>
        <w:rPr>
          <w:rFonts w:hint="eastAsia" w:ascii="Times New Roman" w:hAnsi="Times New Roman"/>
          <w:color w:val="000000" w:themeColor="text1"/>
          <w14:textFill>
            <w14:solidFill>
              <w14:schemeClr w14:val="tx1"/>
            </w14:solidFill>
          </w14:textFill>
        </w:rPr>
        <w:t>1.4</w:t>
      </w:r>
      <w:r>
        <w:rPr>
          <w:rFonts w:hint="eastAsia" w:ascii="宋体" w:hAnsi="宋体"/>
          <w:color w:val="000000" w:themeColor="text1"/>
          <w14:textFill>
            <w14:solidFill>
              <w14:schemeClr w14:val="tx1"/>
            </w14:solidFill>
          </w14:textFill>
        </w:rPr>
        <w:t>万亿美元，挽救金融危机代价猛增限制了美国在全球的庞大军事开支。美联储滥发货币挽救危机导致美元大幅度贬值，发展中国家纷纷提出以超主权国际货币替代美元，美元霸权面临着比布雷顿森林体系解体更为严重的挑战，迫使美国正采取一系列特殊措施挽救全球霸权。</w:t>
      </w:r>
    </w:p>
    <w:p w14:paraId="3ADF99EC">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一，美国正通过借助美元霸权制造庞氏骗局的办法，转嫁危机的损失、代价并掠夺全世界财富。美国纽约大学经济学教授鲁比尼曾准确预见次贺危机，他称现在美国整个国家的运作方式已经沦为骗局之国，政府、企业和银行</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都采取类似麦道夫的庞氏骗局，依靠不断制造绚丽的资产泡沫吸引并掠夺全世界的财富。根据美国财政部公布的统计数据，由于国际金融和经济危机的冲击，美国政府为挽救危机致使财政赤字急剧扩大，不断膨胀的国债泡沫达到了惊人规模，美国在今后</w:t>
      </w:r>
      <w:r>
        <w:rPr>
          <w:rFonts w:hint="eastAsia" w:ascii="Times New Roman" w:hAnsi="Times New Roman"/>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个月内将有</w:t>
      </w:r>
      <w:r>
        <w:rPr>
          <w:rFonts w:hint="eastAsia"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万亿美元国债到期，其中至少</w:t>
      </w:r>
      <w:r>
        <w:rPr>
          <w:rFonts w:hint="eastAsia" w:ascii="Times New Roman" w:hAnsi="Times New Roman"/>
          <w:color w:val="000000" w:themeColor="text1"/>
          <w14:textFill>
            <w14:solidFill>
              <w14:schemeClr w14:val="tx1"/>
            </w14:solidFill>
          </w14:textFill>
        </w:rPr>
        <w:t>8800</w:t>
      </w:r>
      <w:r>
        <w:rPr>
          <w:rFonts w:hint="eastAsia" w:ascii="宋体" w:hAnsi="宋体"/>
          <w:color w:val="000000" w:themeColor="text1"/>
          <w14:textFill>
            <w14:solidFill>
              <w14:schemeClr w14:val="tx1"/>
            </w14:solidFill>
          </w14:textFill>
        </w:rPr>
        <w:t>亿美元为全世界各国的投资者所购买</w:t>
      </w:r>
      <w:r>
        <w:rPr>
          <w:rFonts w:hint="eastAsia" w:ascii="Times New Roman" w:hAnsi="Times New Roman"/>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年美国政府的财政赤字预计将达到</w:t>
      </w:r>
      <w:r>
        <w:rPr>
          <w:rFonts w:hint="eastAsia" w:ascii="Times New Roman" w:hAnsi="Times New Roman"/>
          <w:color w:val="000000" w:themeColor="text1"/>
          <w14:textFill>
            <w14:solidFill>
              <w14:schemeClr w14:val="tx1"/>
            </w14:solidFill>
          </w14:textFill>
        </w:rPr>
        <w:t>1.5</w:t>
      </w:r>
      <w:r>
        <w:rPr>
          <w:rFonts w:hint="eastAsia" w:ascii="宋体" w:hAnsi="宋体"/>
          <w:color w:val="000000" w:themeColor="text1"/>
          <w14:textFill>
            <w14:solidFill>
              <w14:schemeClr w14:val="tx1"/>
            </w14:solidFill>
          </w14:textFill>
        </w:rPr>
        <w:t>万亿美元，美国政府维持运转迫切需要筹集</w:t>
      </w:r>
      <w:r>
        <w:rPr>
          <w:rFonts w:hint="eastAsia"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万亿美元资金，而美国一年国内的全部储蓄总额仅为</w:t>
      </w:r>
      <w:r>
        <w:rPr>
          <w:rFonts w:hint="eastAsia" w:ascii="Times New Roman" w:hAnsi="Times New Roman"/>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千亿美元，这就意味着美国必须继续制造泡沫，源源不断地吸收全世界财富，或者利用美元霸权滥发货币向全世界转嫁危机代价。正因如此</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美国金融财团正再次推高股市和金融衍生品泡沫，促使全球资金出于谋利诱惑和避险恐慌流向美国。</w:t>
      </w:r>
    </w:p>
    <w:p w14:paraId="327DB674">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第二</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美国华尔街正借助对政府的影响和国家调节力量，进一步扩大美国金融垄断财团对其他行业和其他国家享有的特殊地位。</w:t>
      </w:r>
      <w:r>
        <w:rPr>
          <w:rFonts w:hint="eastAsia" w:ascii="Times New Roman" w:hAnsi="Times New Roman"/>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年美国爆发严重的金融危机之后，华尔街将挟持政府注资救市视为千载难逢的赚钱机会，美国政府向国际集团（</w:t>
      </w:r>
      <w:r>
        <w:rPr>
          <w:rFonts w:hint="eastAsia" w:ascii="Times New Roman" w:hAnsi="Times New Roman"/>
          <w:color w:val="000000" w:themeColor="text1"/>
          <w14:textFill>
            <w14:solidFill>
              <w14:schemeClr w14:val="tx1"/>
            </w14:solidFill>
          </w14:textFill>
        </w:rPr>
        <w:t>AIG</w:t>
      </w:r>
      <w:r>
        <w:rPr>
          <w:rFonts w:hint="eastAsia" w:ascii="宋体" w:hAnsi="宋体"/>
          <w:color w:val="000000" w:themeColor="text1"/>
          <w14:textFill>
            <w14:solidFill>
              <w14:schemeClr w14:val="tx1"/>
            </w14:solidFill>
          </w14:textFill>
        </w:rPr>
        <w:t>）注入</w:t>
      </w:r>
      <w:r>
        <w:rPr>
          <w:rFonts w:hint="eastAsia" w:ascii="Times New Roman" w:hAnsi="Times New Roman"/>
          <w:color w:val="000000" w:themeColor="text1"/>
          <w14:textFill>
            <w14:solidFill>
              <w14:schemeClr w14:val="tx1"/>
            </w14:solidFill>
          </w14:textFill>
        </w:rPr>
        <w:t>800</w:t>
      </w:r>
      <w:r>
        <w:rPr>
          <w:rFonts w:hint="eastAsia" w:ascii="宋体" w:hAnsi="宋体"/>
          <w:color w:val="000000" w:themeColor="text1"/>
          <w14:textFill>
            <w14:solidFill>
              <w14:schemeClr w14:val="tx1"/>
            </w14:solidFill>
          </w14:textFill>
        </w:rPr>
        <w:t>亿美元资金后，该公司的高层经理集体到海滨度假狂欢，尽显骗局得逞的狂喜而丝毫没有愧疚之情。美国注入巨资挽救华尔街金融资本的各种救市计划，本质上是华尔街金融资本挟持政府和公众，为继续获取超额利润进行的一种新的剥•削形式创新。美国华尔街金融资本以公众银行存款和养老金等为人质，还以世界去国的外汇储备为人质要挟参与共同救市，收获丰厚赎金的效应已经产生了严重的道德风险，数十、数百亿的救市注资远远超过正常经营收入。美国大银行凭借规模巨大的金融衍生品坏账，就可以要挟纳税人、政府和央行持续不断注资救市，何必还要辛苦地向实体经济发放贷款获得微薄收益，这就更加促使美国金融机构沉溺于虚拟泡沫经济。统计数据显示美国金融机构利润更加依赖于投机赌博性交易，高盛的高风险投机性日均交易额达到</w:t>
      </w:r>
      <w:r>
        <w:rPr>
          <w:rFonts w:hint="eastAsia" w:ascii="Times New Roman" w:hAnsi="Times New Roman"/>
          <w:color w:val="000000" w:themeColor="text1"/>
          <w14:textFill>
            <w14:solidFill>
              <w14:schemeClr w14:val="tx1"/>
            </w14:solidFill>
          </w14:textFill>
        </w:rPr>
        <w:t>2.45</w:t>
      </w:r>
      <w:r>
        <w:rPr>
          <w:rFonts w:hint="eastAsia" w:ascii="宋体" w:hAnsi="宋体"/>
          <w:color w:val="000000" w:themeColor="text1"/>
          <w14:textFill>
            <w14:solidFill>
              <w14:schemeClr w14:val="tx1"/>
            </w14:solidFill>
          </w14:textFill>
        </w:rPr>
        <w:t>亿美元，同次贷危机前</w:t>
      </w:r>
      <w:r>
        <w:rPr>
          <w:rFonts w:hint="eastAsia" w:ascii="Times New Roman" w:hAnsi="Times New Roman"/>
          <w:color w:val="000000" w:themeColor="text1"/>
          <w14:textFill>
            <w14:solidFill>
              <w14:schemeClr w14:val="tx1"/>
            </w14:solidFill>
          </w14:textFill>
        </w:rPr>
        <w:t>2007</w:t>
      </w:r>
      <w:r>
        <w:rPr>
          <w:rFonts w:hint="eastAsia" w:ascii="宋体" w:hAnsi="宋体"/>
          <w:color w:val="000000" w:themeColor="text1"/>
          <w14:textFill>
            <w14:solidFill>
              <w14:schemeClr w14:val="tx1"/>
            </w14:solidFill>
          </w14:textFill>
        </w:rPr>
        <w:t>年第一季度的数据相比增加了一倍，显示出美国银行业潜伏着比次贷危机前更大的风险。</w:t>
      </w:r>
    </w:p>
    <w:p w14:paraId="64AB03EE">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三，美国正通过各种途径加强对资源、碳排放交易、知识产权和自然垄断行业的控制，以求即使在全球经济长期陷入停滞时仍能谋取超额利润。美国为维护全球霸权特别重视加强对全球范围内自然资源的控制，中东、非洲地区的许多战争、冲突都是围绕争夺自然资源展开的。美国政府高官坦言发动伊拉克战争的真正目的，不是为控制大规模杀伤性武器，而是为控制伊拉克的石油资源。美国垄断财团在许多投机泡沫破灭的情况下，更加重视将投资方向转向控制自然资源，波斯湾、中亚里海地区、南中国海、尼罗河流域等，都成为美国垄断资本为争夺资源竭力渗透并控制的地区。美国垄断财团还积极利用环保议题制造新的经济泡沫，设法利用对抗全球变暖创造一个巨大的碳排放限额及其衍生品交易市场，规模将达到上万亿美元并且随着碳减排计划实施而不断膨胀。据美国媒体揭露碳排放限额交易制度实质上是允许华尔街将碳排放市场纳入其私人征税计划，通过向所有国家排放碳的实体经济部门征税来谋利，进一步加深有利于西方金融垄断资本的财富转移，比政府动用纳税人金钱挽救私人金融机构更糟的是，这将使私人金融机构得以在纳税人纳税之前就掠夺他们的财富。美国还将通过碳排放私人征税限制发展中国家增长，哥本哈根全球气候峰会上的交锋就反映了发展中国家与西方国家的激烈利益博弈。美国还操纵国际货币基金在全球范围推行自然垄断和公益事业领域的私有化，逼迫发展中国家向跨国公司出售自然垄断行业的国有企业。马克思所处的时代西方国家政府虽然普遍奉行不干预政策，但对于少数自然垄断行业和公益事业部门，仍然存在较多的政府监管和公共企业。这说明工业资本当时具有较多的进步性，它们反对自然垄断行业的私人资本为获取利润，利用垄断力量寻租提高价格增加工业生产成本。但是，当代西方金融垄断资本主义具有更大的寄生性和腐朽性，为垄断寻租鼓吹被称为古典自由主义“更极端翻版</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的新自由主义，主张即使在自然垄断行业和公益事业领域，也必须取消政府管制和公共企业并推行彻底的私有化，包括铁路、公路、供电、燃气、自来水、医院等等。国际货币基金组织强迫许多拉丁美洲和亚洲国家，接受新自由主义的经济改革和全面私有化方案，结果导致水、电等生活必需品的价格大幅度上涨</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严重损害了公众利益甚至引起社会暴乱。中国应对国内外主张自然垄断行业推行国企私有化的声音保持高度警惕。</w:t>
      </w:r>
    </w:p>
    <w:p w14:paraId="68895C32">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四，美国仍在利用新自由主义政策误导各国经济金融改革，策划隐蔽的经济金融战争打击别国经济和货币体系。美国为挽救自身金融危机釆取了一系列与“华盛顿共识”截然相反的政策，但是，美国操纵国际货币基金向许多发展中国家提供挽救危机援助时，依然要求其接受“华盛顿共识</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的一系列苛刻的附加条件。西欧科学家发现</w:t>
      </w:r>
      <w:r>
        <w:rPr>
          <w:rFonts w:hint="eastAsia"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年乌克兰的“猪流感死亡激增恐慌</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，很多属于肺结核扩散并且同国际货币基金的危机援助条件存在着密切联系。</w:t>
      </w:r>
      <w:r>
        <w:rPr>
          <w:rFonts w:hint="eastAsia"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w:t>
      </w:r>
      <w:r>
        <w:rPr>
          <w:rFonts w:hint="eastAsia" w:ascii="Times New Roman" w:hAnsi="Times New Roman"/>
          <w:color w:val="000000" w:themeColor="text1"/>
          <w14:textFill>
            <w14:solidFill>
              <w14:schemeClr w14:val="tx1"/>
            </w14:solidFill>
          </w14:textFill>
        </w:rPr>
        <w:t>80,90</w:t>
      </w:r>
      <w:r>
        <w:rPr>
          <w:rFonts w:hint="eastAsia" w:ascii="宋体" w:hAnsi="宋体"/>
          <w:color w:val="000000" w:themeColor="text1"/>
          <w14:textFill>
            <w14:solidFill>
              <w14:schemeClr w14:val="tx1"/>
            </w14:solidFill>
          </w14:textFill>
        </w:rPr>
        <w:t>年代，美国曾操纵国际货币基金推动金融自由化政策，导致拉美、日本、东南亚、俄罗斯爆发严重的金融危机，打击国际对手掠夺大量财富并维护了美元霸权。直到美国金融危机猛烈爆发之后，美国政府高官还竭力将金融危机的责任推脱给中国，指责中国操纵汇率并继续施压迫使人民币升值，美国财长、高盛前总裁保尔森还公开警告中国不要因美国金融危机而放弃金融自由化改革方向。</w:t>
      </w:r>
      <w:r>
        <w:rPr>
          <w:rFonts w:hint="eastAsia"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年美元面临大幅度贬值的风险加剧时，美国金融垄断财团有意加速引爆迪拜、希腊等国债务泡沫危机</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促使避险恐慌导致美元大幅度反弹以缓解美元危机。据英国《每日电讯报》披露，在美国爆发金融危机前夜</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美国华尔街重要金融机构曾在华盛顿召开了会议，主要议题是利用所谓的</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金融快速反应部队</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金融机构与对冲基金组织，针对中国发动一场“没有硝烟的金融战争对华实施金融攻击图谋的幕后政界推手，就是美国国会下属的美中经济安全审查委员会，以及该委员会的掌舵人——凯洛琳•巴塞洛缪。美国金融界专家认为，一个国家金融市场逐步开放的</w:t>
      </w:r>
      <w:r>
        <w:rPr>
          <w:rFonts w:hint="eastAsia"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年到</w:t>
      </w:r>
      <w:r>
        <w:rPr>
          <w:rFonts w:hint="eastAsia" w:ascii="Times New Roman" w:hAnsi="Times New Roman"/>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年时间内，实施金融袭击相对脆弱的金融体系的成功可能性最大，因而未来</w:t>
      </w:r>
      <w:r>
        <w:rPr>
          <w:rFonts w:hint="eastAsia"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年到</w:t>
      </w:r>
      <w:r>
        <w:rPr>
          <w:rFonts w:hint="eastAsia"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年内是争取</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延缓中国崛起</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的机会。美国策划对华金融战的重点是通过理论和政策误导，诱使中国实行刺激泡沫经济的宏观货币政策，同时施压中国向西方银行开放投资和金融市场，通过炒作股市、楼市暴涨暴跌攫取投机暴利，然后趁泡沫破裂之际控制中国的银行和战略行业。华尔街金融家詹姆斯•查诺斯善于利用股指期货牟取暴利，他曾正确预见安然破产和次贷危机并利用股指期货做空大发横财。查诺斯认为，目前世界上没有什么地方比中国的信贷过度问题更加严重，天量信贷刺激的股市、房地产泡沫可能导致经济崩溃，他还准备在中国重操利用股指期货做空的办法大赚一笔。华尔街金融机构特别擅长在制造泡沫的同时利用股指期货作空谋取双重暴利，中国应高度警惕美国金融资本在吹捧中国经济的同时发出的利用股指期货做空谋利信号。</w:t>
      </w:r>
    </w:p>
    <w:p w14:paraId="1FD978BE">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第五</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美国一方面通过滥发美元掠夺全世界财富转嫁危机损失，一方面为美元最终衰败后继续控制全球金融准备替代方案。美国乔治城大学教授、前总统克林顿的导师奎格利</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是一位深得西方金融权势集团信任的学者，他著书透露垄断财团的御用智库早就拟定详细计划，逐步建立一种由少数金融寡头统治世界的新秩序</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最终发行由少数金融寡头控制的超主权世界货币。西方金融权势集团构想的这种超主权世界货币，与中国提出的替代美元的超主权世界货币截然不同，中国的设想是维护世界各国的金融货币主权，将超主权世界货币的作用局限于国际贸易、金融领域，而西方金融权势集团构想的超主权世界货币，将会彻底剥夺世界各国的经济金融主权，由西方金融寡头控制的世界货币替代各国的主权货币。西方金融权势集团深知将会遭遇各国民众抵抗</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有意推行旨在诱发全球金融危机和长期动荡的政策，同时诱惑各国央行推行天量信贷政策来挽救金融危机，以便在经济崩溃与恶性通货膨胀并存的全球灾难到来之际，将责任归咎于各国央行和主权货币，误导各国民众出于对恶性通货膨胀造成极度痛苦的恐惧，愿意放弃各国主权货币并接受金融寡头的全球统治。倘若美国金融财团剥夺各国金融主权的图谋得逞，就意味着即使金融危机最终导致美元彻底丧失信誉，国际金融寡头也能通过其控制的新型世界储备货币，更加直接、有效地控制各国经济金融命脉并掠夺财富。</w:t>
      </w:r>
    </w:p>
    <w:p w14:paraId="5027279A">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第六，美国在采取经济金融手段难以挽救危机的情况下，甚至有可能釆取军事凯恩斯主义发动战争。</w:t>
      </w:r>
      <w:r>
        <w:rPr>
          <w:rFonts w:hint="eastAsia"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w:t>
      </w:r>
      <w:r>
        <w:rPr>
          <w:rFonts w:hint="eastAsia" w:ascii="Times New Roman" w:hAnsi="Times New Roman"/>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年代美国经济陷入大萧条后，是依靠两次世界大战的动员经济才最终摆脱了危机。布什政府发动入侵伊拉克战争的重要目的之一，也是利用军事凯恩斯主义摆脱网络泡沫破灭后的危机。</w:t>
      </w:r>
      <w:r>
        <w:rPr>
          <w:rFonts w:hint="eastAsia"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月</w:t>
      </w:r>
      <w:r>
        <w:rPr>
          <w:rFonts w:hint="eastAsia"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日，美国新任国家情报总监丹尼斯•布莱尔在出席参院情报委员会例会时表示，经济危机已取代恐怖主义和本•拉登</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成为对美国国家安全的最大挑战，他称</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美国现时面临的最大安全威胁是，全球金融危机和它将带来的地缘政治后果加利福尼亚是美国最大、最富有的州，由于金融危机导致州政府面临严重的财政危机，被迫释放了</w:t>
      </w:r>
      <w:r>
        <w:rPr>
          <w:rFonts w:hint="eastAsia" w:ascii="Times New Roman" w:hAnsi="Times New Roman"/>
          <w:color w:val="000000" w:themeColor="text1"/>
          <w14:textFill>
            <w14:solidFill>
              <w14:schemeClr w14:val="tx1"/>
            </w14:solidFill>
          </w14:textFill>
        </w:rPr>
        <w:t>5.5</w:t>
      </w:r>
      <w:r>
        <w:rPr>
          <w:rFonts w:hint="eastAsia" w:ascii="宋体" w:hAnsi="宋体"/>
          <w:color w:val="000000" w:themeColor="text1"/>
          <w14:textFill>
            <w14:solidFill>
              <w14:schemeClr w14:val="tx1"/>
            </w14:solidFill>
          </w14:textFill>
        </w:rPr>
        <w:t>万名囚犯任其流入社会，直接威胁到美国人民的人身安全和社会稳定。</w:t>
      </w:r>
    </w:p>
    <w:p w14:paraId="647BB7B6">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特别值得警惕的是，受美国军工、金融垄断财团支持的右翼政治势力，深知不妥善解决巨额银行“有毒资产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则难免再度爆发危机，正在布局推举主张对外扩张的右翼强硬派赢得下届大选。倘若债务泡沫破裂引发新一轮金融和经济危机，美国迫于巨大债务压力可能难以反复投入巨资救市，企业破产和失业猛增都可能导致社会动荡局面，为美国军工、金融垄断财团支持的右翼势力主张对外扩张提供借口，届时难免影响和平发展的国际环境。</w:t>
      </w:r>
    </w:p>
    <w:p w14:paraId="413D6B27">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随着西方资本主义经济陷入长期动荡和生存危机，如何将左翼思潮发展为世界社会主义运动的复兴，揭露美国向全世界转嫁危机并维护霸权的图谋，防止美国策划隐蔽金融战争掠夺全世界财富，甚至实行军事凯恩斯主义发动战争并对外扩张，将成为摆在全世界人民面前的重大严肃问题。</w:t>
      </w:r>
    </w:p>
    <w:p w14:paraId="68808F05">
      <w:pPr>
        <w:autoSpaceDE w:val="0"/>
        <w:spacing w:line="400" w:lineRule="exact"/>
        <w:ind w:firstLine="420" w:firstLineChars="200"/>
        <w:rPr>
          <w:rFonts w:hint="eastAsia" w:ascii="Times New Roman" w:hAnsi="Times New Roman"/>
          <w:b/>
          <w:bCs/>
          <w:color w:val="000000" w:themeColor="text1"/>
          <w14:textFill>
            <w14:solidFill>
              <w14:schemeClr w14:val="tx1"/>
            </w14:solidFill>
          </w14:textFill>
        </w:rPr>
      </w:pPr>
      <w:r>
        <w:rPr>
          <w:rFonts w:hint="eastAsia" w:ascii="宋体" w:hAnsi="宋体"/>
          <w:b/>
          <w:bCs/>
          <w:color w:val="000000" w:themeColor="text1"/>
          <w14:textFill>
            <w14:solidFill>
              <w14:schemeClr w14:val="tx1"/>
            </w14:solidFill>
          </w14:textFill>
        </w:rPr>
        <w:t>参考文献</w:t>
      </w:r>
    </w:p>
    <w:p w14:paraId="51589043">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大卫•科茨</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当前金融和经济危机：新自由主义资本主义的体制危机</w:t>
      </w:r>
      <w:r>
        <w:rPr>
          <w:rFonts w:hint="eastAsia" w:ascii="Times New Roman" w:hAnsi="Times New Roman"/>
          <w:color w:val="000000" w:themeColor="text1"/>
          <w14:textFill>
            <w14:solidFill>
              <w14:schemeClr w14:val="tx1"/>
            </w14:solidFill>
          </w14:textFill>
        </w:rPr>
        <w:t>[J].</w:t>
      </w:r>
      <w:r>
        <w:rPr>
          <w:rFonts w:hint="eastAsia" w:ascii="宋体" w:hAnsi="宋体"/>
          <w:color w:val="000000" w:themeColor="text1"/>
          <w14:textFill>
            <w14:solidFill>
              <w14:schemeClr w14:val="tx1"/>
            </w14:solidFill>
          </w14:textFill>
        </w:rPr>
        <w:t>海派经济学</w:t>
      </w:r>
      <w:r>
        <w:rPr>
          <w:rFonts w:hint="eastAsia" w:ascii="Times New Roman" w:hAnsi="Times New Roman"/>
          <w:color w:val="000000" w:themeColor="text1"/>
          <w14:textFill>
            <w14:solidFill>
              <w14:schemeClr w14:val="tx1"/>
            </w14:solidFill>
          </w14:textFill>
        </w:rPr>
        <w:t>,2009(25).</w:t>
      </w:r>
    </w:p>
    <w:p w14:paraId="57CDF49D">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科依克•佩德罗夫</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本世纪最大规模的操控</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美国</w:t>
      </w:r>
      <w:r>
        <w:rPr>
          <w:rFonts w:hint="eastAsia" w:ascii="Times New Roman" w:hAnsi="Times New Roman"/>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年金融危机</w:t>
      </w:r>
      <w:r>
        <w:rPr>
          <w:rFonts w:hint="eastAsia" w:ascii="Times New Roman" w:hAnsi="Times New Roman"/>
          <w:color w:val="000000" w:themeColor="text1"/>
          <w14:textFill>
            <w14:solidFill>
              <w14:schemeClr w14:val="tx1"/>
            </w14:solidFill>
          </w14:textFill>
        </w:rPr>
        <w:t>[J].</w:t>
      </w:r>
      <w:r>
        <w:rPr>
          <w:rFonts w:hint="eastAsia" w:ascii="宋体" w:hAnsi="宋体"/>
          <w:color w:val="000000" w:themeColor="text1"/>
          <w14:textFill>
            <w14:solidFill>
              <w14:schemeClr w14:val="tx1"/>
            </w14:solidFill>
          </w14:textFill>
        </w:rPr>
        <w:t>海派经济学，</w:t>
      </w:r>
      <w:r>
        <w:rPr>
          <w:rFonts w:hint="eastAsia" w:ascii="Times New Roman" w:hAnsi="Times New Roman"/>
          <w:color w:val="000000" w:themeColor="text1"/>
          <w14:textFill>
            <w14:solidFill>
              <w14:schemeClr w14:val="tx1"/>
            </w14:solidFill>
          </w14:textFill>
        </w:rPr>
        <w:t>2009(25).</w:t>
      </w:r>
    </w:p>
    <w:p w14:paraId="5DCF53EE">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齐昊</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国外马克思主义视角中的美国金融危机</w:t>
      </w:r>
      <w:r>
        <w:rPr>
          <w:rFonts w:hint="eastAsia" w:ascii="Times New Roman" w:hAnsi="Times New Roman"/>
          <w:color w:val="000000" w:themeColor="text1"/>
          <w14:textFill>
            <w14:solidFill>
              <w14:schemeClr w14:val="tx1"/>
            </w14:solidFill>
          </w14:textFill>
        </w:rPr>
        <w:t>[J].</w:t>
      </w:r>
      <w:r>
        <w:rPr>
          <w:rFonts w:hint="eastAsia" w:ascii="宋体" w:hAnsi="宋体"/>
          <w:color w:val="000000" w:themeColor="text1"/>
          <w14:textFill>
            <w14:solidFill>
              <w14:schemeClr w14:val="tx1"/>
            </w14:solidFill>
          </w14:textFill>
        </w:rPr>
        <w:t>国外理论动态</w:t>
      </w:r>
      <w:r>
        <w:rPr>
          <w:rFonts w:hint="eastAsia" w:ascii="Times New Roman" w:hAnsi="Times New Roman"/>
          <w:color w:val="000000" w:themeColor="text1"/>
          <w14:textFill>
            <w14:solidFill>
              <w14:schemeClr w14:val="tx1"/>
            </w14:solidFill>
          </w14:textFill>
        </w:rPr>
        <w:t>,2009(5).</w:t>
      </w:r>
    </w:p>
    <w:p w14:paraId="394906A5">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杨承训</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论当代资本主义矛盾的阶段性特征一国际金融危机的深层根源及其启示</w:t>
      </w:r>
      <w:r>
        <w:rPr>
          <w:rFonts w:hint="eastAsia" w:ascii="Times New Roman" w:hAnsi="Times New Roman"/>
          <w:color w:val="000000" w:themeColor="text1"/>
          <w14:textFill>
            <w14:solidFill>
              <w14:schemeClr w14:val="tx1"/>
            </w14:solidFill>
          </w14:textFill>
        </w:rPr>
        <w:t>EJ].</w:t>
      </w:r>
      <w:r>
        <w:rPr>
          <w:rFonts w:hint="eastAsia" w:ascii="宋体" w:hAnsi="宋体"/>
          <w:color w:val="000000" w:themeColor="text1"/>
          <w14:textFill>
            <w14:solidFill>
              <w14:schemeClr w14:val="tx1"/>
            </w14:solidFill>
          </w14:textFill>
        </w:rPr>
        <w:t>海派经济学</w:t>
      </w:r>
      <w:r>
        <w:rPr>
          <w:rFonts w:hint="eastAsia" w:ascii="Times New Roman" w:hAnsi="Times New Roman"/>
          <w:color w:val="000000" w:themeColor="text1"/>
          <w14:textFill>
            <w14:solidFill>
              <w14:schemeClr w14:val="tx1"/>
            </w14:solidFill>
          </w14:textFill>
        </w:rPr>
        <w:t>,2010(29).</w:t>
      </w:r>
    </w:p>
    <w:p w14:paraId="468A2688">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陆夏</w:t>
      </w:r>
      <w:r>
        <w:rPr>
          <w:rFonts w:hint="eastAsia"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对西方金融危机和经济危机的不同解释</w:t>
      </w:r>
      <w:r>
        <w:rPr>
          <w:rFonts w:hint="eastAsia" w:ascii="Times New Roman" w:hAnsi="Times New Roman"/>
          <w:color w:val="000000" w:themeColor="text1"/>
          <w14:textFill>
            <w14:solidFill>
              <w14:schemeClr w14:val="tx1"/>
            </w14:solidFill>
          </w14:textFill>
        </w:rPr>
        <w:t>[J].</w:t>
      </w:r>
      <w:r>
        <w:rPr>
          <w:rFonts w:hint="eastAsia" w:ascii="宋体" w:hAnsi="宋体"/>
          <w:color w:val="000000" w:themeColor="text1"/>
          <w14:textFill>
            <w14:solidFill>
              <w14:schemeClr w14:val="tx1"/>
            </w14:solidFill>
          </w14:textFill>
        </w:rPr>
        <w:t>海派经济学</w:t>
      </w:r>
      <w:r>
        <w:rPr>
          <w:rFonts w:hint="eastAsia" w:ascii="Times New Roman" w:hAnsi="Times New Roman"/>
          <w:color w:val="000000" w:themeColor="text1"/>
          <w14:textFill>
            <w14:solidFill>
              <w14:schemeClr w14:val="tx1"/>
            </w14:solidFill>
          </w14:textFill>
        </w:rPr>
        <w:t>,2009(28).</w:t>
      </w:r>
    </w:p>
    <w:p w14:paraId="59DEB68A">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（原载于《海派经济学》</w:t>
      </w:r>
      <w:r>
        <w:rPr>
          <w:rFonts w:hint="eastAsia" w:ascii="Times New Roman" w:hAnsi="Times New Roman"/>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卷第</w:t>
      </w:r>
      <w:r>
        <w:rPr>
          <w:rFonts w:hint="eastAsia"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辑，第二作者是杨斌）</w:t>
      </w:r>
    </w:p>
    <w:p w14:paraId="1A1A4CAB">
      <w:pPr>
        <w:autoSpaceDE w:val="0"/>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 xml:space="preserve"> </w:t>
      </w:r>
    </w:p>
    <w:p w14:paraId="0D1E4193">
      <w:pPr>
        <w:pStyle w:val="3"/>
        <w:ind w:firstLine="640" w:firstLineChars="200"/>
        <w:outlineLvl w:val="1"/>
        <w:rPr>
          <w:rFonts w:hint="eastAsia"/>
          <w:color w:val="000000" w:themeColor="text1"/>
          <w14:textFill>
            <w14:solidFill>
              <w14:schemeClr w14:val="tx1"/>
            </w14:solidFill>
          </w14:textFill>
        </w:rPr>
      </w:pPr>
      <w:bookmarkStart w:id="1336" w:name="_Toc1692"/>
      <w:bookmarkStart w:id="1337" w:name="_Toc114057778"/>
      <w:bookmarkStart w:id="1338" w:name="_Toc1230696203"/>
      <w:bookmarkStart w:id="1339" w:name="_Toc600576546"/>
      <w:r>
        <w:rPr>
          <w:rFonts w:hint="eastAsia" w:ascii="黑体" w:hAnsi="黑体"/>
          <w:color w:val="000000" w:themeColor="text1"/>
          <w14:textFill>
            <w14:solidFill>
              <w14:schemeClr w14:val="tx1"/>
            </w14:solidFill>
          </w14:textFill>
        </w:rPr>
        <w:t>8转变对外经济发展方式的新开放策论</w:t>
      </w:r>
      <w:bookmarkEnd w:id="1174"/>
      <w:bookmarkEnd w:id="1336"/>
      <w:bookmarkEnd w:id="1337"/>
      <w:bookmarkEnd w:id="1338"/>
      <w:bookmarkEnd w:id="1339"/>
    </w:p>
    <w:p w14:paraId="0F9BDDBB">
      <w:pPr>
        <w:spacing w:before="147" w:beforeLines="50"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从强调经济开放战略指导方针和主题变换的意义上说，</w:t>
      </w:r>
      <w:r>
        <w:rPr>
          <w:rFonts w:hint="eastAsia" w:cs="Calibri"/>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多年的经济开放可分为三个阶段，第一阶段是强调“引进来”的单一战略，单纯追求对外国的资本和技术等引进；第二阶段强调“引进来和走出去”并重的战略，在继续追求“引进来”的同时，实施中国企业走出去投资的举措；第三阶段强调“自主创新”的新战略，实施自主知识产权和创新型国家的举措。</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月，胡锦涛总书记在“两会”期间广东代表团的讲话中首次提到要“转变对外经济发展方式”笔者之一程恩富《加快转变对外经济发展方式须实现“五个控制和提升”》一文中率先提出“转变对外经济发展方式”问题。</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月</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日，在省部级主要领导干部深入贯彻落实科学发展观加快经济发展方式转变专题研讨班上，胡锦涛同志又深刻地指出：“国际金融危机对我国经济的冲击表面上是对经济增长速度的冲击，实质上是对经济发展方式的冲击。综合判断国际国内经济形势，转变经济发展方式已刻不容缓”。并把“转变对外经济发展方式”作为八项重点工作之一。</w:t>
      </w:r>
    </w:p>
    <w:p w14:paraId="5CBCDAEF">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目前，在要不要和如何加快转变对外经济发展方式这一重大理论和政策问题上，存在歧见，亟需探讨。</w:t>
      </w:r>
    </w:p>
    <w:p w14:paraId="53B6CA27">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本文认为，我国的经济开放应在前三个阶段的基础上及时进入第四阶段，即强调并积极实施“转变对外经济发展方式”的全新战略，适度控制对外资、外技、外产、外贸、外汇和外源的依赖程度，积极提升协调使用国内外各种广义资源的综合效益。这一新战略和新策论，在巩固和完善“自力（更生）主导型多方位开放体系”的基础上，更加注重经济开放中的自主发展、高端竞争、经济安全、国家权益和民生实惠，以促进经济大国向经济强国、全面小康社会向生活富裕社会的根本转变。</w:t>
      </w:r>
    </w:p>
    <w:p w14:paraId="26E81AEE">
      <w:pPr>
        <w:spacing w:before="147" w:beforeLines="50" w:after="147" w:afterLines="50" w:line="400" w:lineRule="exact"/>
        <w:ind w:firstLine="480" w:firstLineChars="200"/>
        <w:jc w:val="center"/>
        <w:rPr>
          <w:b/>
          <w:color w:val="000000" w:themeColor="text1"/>
          <w:sz w:val="24"/>
          <w:szCs w:val="24"/>
          <w14:textFill>
            <w14:solidFill>
              <w14:schemeClr w14:val="tx1"/>
            </w14:solidFill>
          </w14:textFill>
        </w:rPr>
      </w:pPr>
      <w:bookmarkStart w:id="1340" w:name="_Toc30917"/>
      <w:bookmarkEnd w:id="1340"/>
      <w:bookmarkStart w:id="1341" w:name="_Toc14397"/>
      <w:bookmarkEnd w:id="1341"/>
      <w:bookmarkStart w:id="1342" w:name="_Toc10775"/>
      <w:bookmarkEnd w:id="1342"/>
      <w:bookmarkStart w:id="1343" w:name="_Toc3665"/>
      <w:bookmarkEnd w:id="1343"/>
      <w:bookmarkStart w:id="1344" w:name="_Toc18222"/>
      <w:r>
        <w:rPr>
          <w:rFonts w:hint="eastAsia" w:ascii="宋体" w:hAnsi="宋体"/>
          <w:b/>
          <w:color w:val="000000" w:themeColor="text1"/>
          <w:sz w:val="24"/>
          <w:szCs w:val="24"/>
          <w14:textFill>
            <w14:solidFill>
              <w14:schemeClr w14:val="tx1"/>
            </w14:solidFill>
          </w14:textFill>
        </w:rPr>
        <w:t>一、我国传统开放型经济面临的问题</w:t>
      </w:r>
      <w:bookmarkEnd w:id="1344"/>
    </w:p>
    <w:p w14:paraId="01919F3F">
      <w:pPr>
        <w:spacing w:line="400" w:lineRule="exact"/>
        <w:ind w:firstLine="420" w:firstLineChars="200"/>
        <w:rPr>
          <w:color w:val="000000" w:themeColor="text1"/>
          <w14:textFill>
            <w14:solidFill>
              <w14:schemeClr w14:val="tx1"/>
            </w14:solidFill>
          </w14:textFill>
        </w:rPr>
      </w:pPr>
      <w:r>
        <w:rPr>
          <w:rFonts w:hint="eastAsia" w:cs="Calibri"/>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多年开放型经济的发展，对中国经济增长起了推动作用。我国开放型经济是在发展初级阶段和粗放型条件下生成的，基本上是以追求引进资本和技术数量为主要特征，以注重增加国内生产总值和出口创汇为发展导向。这种偏重数量而忽视质量、偏重总量增长而忽视结构调整的对外经济发展方式，使目前的中国经济面临着巨大的风险，在实践中也难以为继。其弊端和内在风险主要体现在以下几个方面。</w:t>
      </w:r>
    </w:p>
    <w:p w14:paraId="69A5DC61">
      <w:pPr>
        <w:ind w:firstLine="420" w:firstLineChars="200"/>
        <w:rPr>
          <w:b/>
          <w:color w:val="000000" w:themeColor="text1"/>
          <w14:textFill>
            <w14:solidFill>
              <w14:schemeClr w14:val="tx1"/>
            </w14:solidFill>
          </w14:textFill>
        </w:rPr>
      </w:pPr>
      <w:bookmarkStart w:id="1345" w:name="_Toc20733"/>
      <w:bookmarkEnd w:id="1345"/>
      <w:r>
        <w:rPr>
          <w:rFonts w:hint="eastAsia" w:cs="Calibri"/>
          <w:b/>
          <w:color w:val="000000" w:themeColor="text1"/>
          <w14:textFill>
            <w14:solidFill>
              <w14:schemeClr w14:val="tx1"/>
            </w14:solidFill>
          </w14:textFill>
        </w:rPr>
        <w:t>1</w:t>
      </w:r>
      <w:r>
        <w:rPr>
          <w:rFonts w:hint="eastAsia" w:ascii="宋体" w:hAnsi="宋体"/>
          <w:b/>
          <w:color w:val="000000" w:themeColor="text1"/>
          <w14:textFill>
            <w14:solidFill>
              <w14:schemeClr w14:val="tx1"/>
            </w14:solidFill>
          </w14:textFill>
        </w:rPr>
        <w:t>、外国直接投资的过度利用及其负面影响</w:t>
      </w:r>
    </w:p>
    <w:p w14:paraId="1B0E5AD8">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改革开放初期，在资本相对短缺的条件下，我国采取了积极利用外资的政策，推动了我国经济增长和社会进步。截至</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年底，在华投资的外资企业达</w:t>
      </w:r>
      <w:r>
        <w:rPr>
          <w:rFonts w:hint="eastAsia" w:cs="Calibri"/>
          <w:color w:val="000000" w:themeColor="text1"/>
          <w14:textFill>
            <w14:solidFill>
              <w14:schemeClr w14:val="tx1"/>
            </w14:solidFill>
          </w14:textFill>
        </w:rPr>
        <w:t>68</w:t>
      </w:r>
      <w:r>
        <w:rPr>
          <w:rFonts w:hint="eastAsia" w:ascii="宋体" w:hAnsi="宋体"/>
          <w:color w:val="000000" w:themeColor="text1"/>
          <w14:textFill>
            <w14:solidFill>
              <w14:schemeClr w14:val="tx1"/>
            </w14:solidFill>
          </w14:textFill>
        </w:rPr>
        <w:t>万家，外商投资总额逾</w:t>
      </w:r>
      <w:r>
        <w:rPr>
          <w:rFonts w:hint="eastAsia" w:cs="Calibri"/>
          <w:color w:val="000000" w:themeColor="text1"/>
          <w14:textFill>
            <w14:solidFill>
              <w14:schemeClr w14:val="tx1"/>
            </w14:solidFill>
          </w14:textFill>
        </w:rPr>
        <w:t>10000</w:t>
      </w:r>
      <w:r>
        <w:rPr>
          <w:rFonts w:hint="eastAsia" w:ascii="宋体" w:hAnsi="宋体"/>
          <w:color w:val="000000" w:themeColor="text1"/>
          <w14:textFill>
            <w14:solidFill>
              <w14:schemeClr w14:val="tx1"/>
            </w14:solidFill>
          </w14:textFill>
        </w:rPr>
        <w:t>亿美元，连续</w:t>
      </w:r>
      <w:r>
        <w:rPr>
          <w:rFonts w:hint="eastAsia" w:cs="Calibri"/>
          <w:color w:val="000000" w:themeColor="text1"/>
          <w14:textFill>
            <w14:solidFill>
              <w14:schemeClr w14:val="tx1"/>
            </w14:solidFill>
          </w14:textFill>
        </w:rPr>
        <w:t>17</w:t>
      </w:r>
      <w:r>
        <w:rPr>
          <w:rFonts w:hint="eastAsia" w:ascii="宋体" w:hAnsi="宋体"/>
          <w:color w:val="000000" w:themeColor="text1"/>
          <w14:textFill>
            <w14:solidFill>
              <w14:schemeClr w14:val="tx1"/>
            </w14:solidFill>
          </w14:textFill>
        </w:rPr>
        <w:t>年位居发展中国家之首，使我国成为世界上吸收外商直接投资最多的国家。</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年，我国实际使用外资金额</w:t>
      </w:r>
      <w:r>
        <w:rPr>
          <w:rFonts w:hint="eastAsia" w:cs="Calibri"/>
          <w:color w:val="000000" w:themeColor="text1"/>
          <w14:textFill>
            <w14:solidFill>
              <w14:schemeClr w14:val="tx1"/>
            </w14:solidFill>
          </w14:textFill>
        </w:rPr>
        <w:t>1057</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亿美元，同比增加</w:t>
      </w:r>
      <w:r>
        <w:rPr>
          <w:rFonts w:hint="eastAsia" w:cs="Calibri"/>
          <w:color w:val="000000" w:themeColor="text1"/>
          <w14:textFill>
            <w14:solidFill>
              <w14:schemeClr w14:val="tx1"/>
            </w14:solidFill>
          </w14:textFill>
        </w:rPr>
        <w:t>17</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创历史新高。然而，我国利用外资方面取得的成就，往往是以外资“超国民待遇”所隐含的巨大成本为代价的，而这种代价的付出并不总是对经济长远发展有益。由于外国直接投资本身追求资本利益最大化的资本主义目的，发展中国家期望通过引进外资实现国家利益的初衷即使不是单厢情愿，在实践中往往也不能顺利地实现。即使联合国贸发会议跨国公司与投资司在其编著的报告中也认为，引进外资对发展中国家的开放政策及其驾驭开放的能力，实质上是一种考验。该报告指出：“有必要认识到跨国公司的目标与政府的目标并不一致：政府试图促进本国范围内经济的发展，而跨国公司试图增强其在国际范围内的竞争力。因此，并不是所有的</w:t>
      </w:r>
      <w:r>
        <w:rPr>
          <w:rFonts w:hint="eastAsia" w:cs="Calibri"/>
          <w:color w:val="000000" w:themeColor="text1"/>
          <w14:textFill>
            <w14:solidFill>
              <w14:schemeClr w14:val="tx1"/>
            </w14:solidFill>
          </w14:textFill>
        </w:rPr>
        <w:t>FDI</w:t>
      </w:r>
      <w:r>
        <w:rPr>
          <w:rFonts w:hint="eastAsia" w:ascii="宋体" w:hAnsi="宋体"/>
          <w:color w:val="000000" w:themeColor="text1"/>
          <w14:textFill>
            <w14:solidFill>
              <w14:schemeClr w14:val="tx1"/>
            </w14:solidFill>
          </w14:textFill>
        </w:rPr>
        <w:t>都总是、并自动地符合东道国的最佳利益。有些会对发展造成负面影响。”这些负面影响包括：外资对东道国企业的并购、市场的占领、民族品牌的削弱，还包括对东道国就业、产业结构和经济安全的影响等。因此，需要结合我国引进外资付出的成本，来全面认识外资的作用。</w:t>
      </w:r>
    </w:p>
    <w:p w14:paraId="21394D8D">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我国在利用外资方面付出的巨大成本，至少体现在以下几个方面。</w:t>
      </w:r>
    </w:p>
    <w:p w14:paraId="05605469">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土地代价较大。在片面追求国内生产总值和引进外资越多越好的总体格局下，一些地方政府为了达到引资目的，不惜以低于成本价格甚至无偿出让工业用地来吸引外资，致使引资“门槛一降再降、成本一减再减、空间一让再让”。</w:t>
      </w:r>
      <w:r>
        <w:rPr>
          <w:rFonts w:hint="eastAsia" w:cs="Calibri"/>
          <w:color w:val="000000" w:themeColor="text1"/>
          <w14:textFill>
            <w14:solidFill>
              <w14:schemeClr w14:val="tx1"/>
            </w14:solidFill>
          </w14:textFill>
        </w:rPr>
        <w:t>2006</w:t>
      </w:r>
      <w:r>
        <w:rPr>
          <w:rFonts w:hint="eastAsia" w:ascii="宋体" w:hAnsi="宋体"/>
          <w:color w:val="000000" w:themeColor="text1"/>
          <w14:textFill>
            <w14:solidFill>
              <w14:schemeClr w14:val="tx1"/>
            </w14:solidFill>
          </w14:textFill>
        </w:rPr>
        <w:t>年，审计部门审计调查</w:t>
      </w:r>
      <w:r>
        <w:rPr>
          <w:rFonts w:hint="eastAsia" w:cs="Calibri"/>
          <w:color w:val="000000" w:themeColor="text1"/>
          <w14:textFill>
            <w14:solidFill>
              <w14:schemeClr w14:val="tx1"/>
            </w14:solidFill>
          </w14:textFill>
        </w:rPr>
        <w:t>87</w:t>
      </w:r>
      <w:r>
        <w:rPr>
          <w:rFonts w:hint="eastAsia" w:ascii="宋体" w:hAnsi="宋体"/>
          <w:color w:val="000000" w:themeColor="text1"/>
          <w14:textFill>
            <w14:solidFill>
              <w14:schemeClr w14:val="tx1"/>
            </w14:solidFill>
          </w14:textFill>
        </w:rPr>
        <w:t>个开发区，发现其中</w:t>
      </w:r>
      <w:r>
        <w:rPr>
          <w:rFonts w:hint="eastAsia" w:cs="Calibri"/>
          <w:color w:val="000000" w:themeColor="text1"/>
          <w14:textFill>
            <w14:solidFill>
              <w14:schemeClr w14:val="tx1"/>
            </w14:solidFill>
          </w14:textFill>
        </w:rPr>
        <w:t>60</w:t>
      </w:r>
      <w:r>
        <w:rPr>
          <w:rFonts w:hint="eastAsia" w:ascii="宋体" w:hAnsi="宋体"/>
          <w:color w:val="000000" w:themeColor="text1"/>
          <w14:textFill>
            <w14:solidFill>
              <w14:schemeClr w14:val="tx1"/>
            </w14:solidFill>
          </w14:textFill>
        </w:rPr>
        <w:t>个开发区存在违规低价出让土地的行为。在苏州，其工业用地开发成本平均为每亩</w:t>
      </w:r>
      <w:r>
        <w:rPr>
          <w:rFonts w:hint="eastAsia" w:cs="Calibri"/>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万元，但为了引进外资，却将地价压至每亩</w:t>
      </w:r>
      <w:r>
        <w:rPr>
          <w:rFonts w:hint="eastAsia" w:cs="Calibri"/>
          <w:color w:val="000000" w:themeColor="text1"/>
          <w14:textFill>
            <w14:solidFill>
              <w14:schemeClr w14:val="tx1"/>
            </w14:solidFill>
          </w14:textFill>
        </w:rPr>
        <w:t>15</w:t>
      </w:r>
      <w:r>
        <w:rPr>
          <w:rFonts w:hint="eastAsia" w:ascii="宋体" w:hAnsi="宋体"/>
          <w:color w:val="000000" w:themeColor="text1"/>
          <w14:textFill>
            <w14:solidFill>
              <w14:schemeClr w14:val="tx1"/>
            </w14:solidFill>
          </w14:textFill>
        </w:rPr>
        <w:t>万元。前些年苏北地区协议出让的土地最低每亩几百元，一般也就几千元。丛亚平：《利用外资八思》，《瞭望新闻周刊》</w:t>
      </w:r>
      <w:r>
        <w:rPr>
          <w:rFonts w:hint="eastAsia" w:cs="Calibri"/>
          <w:color w:val="000000" w:themeColor="text1"/>
          <w14:textFill>
            <w14:solidFill>
              <w14:schemeClr w14:val="tx1"/>
            </w14:solidFill>
          </w14:textFill>
        </w:rPr>
        <w:t>2006</w:t>
      </w:r>
      <w:r>
        <w:rPr>
          <w:rFonts w:hint="eastAsia" w:ascii="宋体" w:hAnsi="宋体"/>
          <w:color w:val="000000" w:themeColor="text1"/>
          <w14:textFill>
            <w14:solidFill>
              <w14:schemeClr w14:val="tx1"/>
            </w14:solidFill>
          </w14:textFill>
        </w:rPr>
        <w:t>年第</w:t>
      </w:r>
      <w:r>
        <w:rPr>
          <w:rFonts w:hint="eastAsia" w:cs="Calibri"/>
          <w:color w:val="000000" w:themeColor="text1"/>
          <w14:textFill>
            <w14:solidFill>
              <w14:schemeClr w14:val="tx1"/>
            </w14:solidFill>
          </w14:textFill>
        </w:rPr>
        <w:t>51</w:t>
      </w:r>
      <w:r>
        <w:rPr>
          <w:rFonts w:hint="eastAsia" w:ascii="宋体" w:hAnsi="宋体"/>
          <w:color w:val="000000" w:themeColor="text1"/>
          <w14:textFill>
            <w14:solidFill>
              <w14:schemeClr w14:val="tx1"/>
            </w14:solidFill>
          </w14:textFill>
        </w:rPr>
        <w:t>期。表面看这些资金搞活了地方经济，其实质是把土地这样一个稀缺且不可再生的资源贱卖。我国引进外资的土地代价，还体现在继续对部分外资企业的政策优惠上，如</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月</w:t>
      </w:r>
      <w:r>
        <w:rPr>
          <w:rFonts w:hint="eastAsia" w:cs="Calibri"/>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日颁布的《国务院关于进一步做好利用外资工作的若干意见》中提出，对用地集约的国家鼓励类外商投资项目优先供应土地，“在确定土地出让底价时可按不低于所在地土地等别相对应《全国工业用地出让最低价标准》的</w:t>
      </w:r>
      <w:r>
        <w:rPr>
          <w:rFonts w:hint="eastAsia" w:cs="Calibri"/>
          <w:color w:val="000000" w:themeColor="text1"/>
          <w14:textFill>
            <w14:solidFill>
              <w14:schemeClr w14:val="tx1"/>
            </w14:solidFill>
          </w14:textFill>
        </w:rPr>
        <w:t>70%</w:t>
      </w:r>
      <w:r>
        <w:rPr>
          <w:rFonts w:hint="eastAsia" w:ascii="宋体" w:hAnsi="宋体"/>
          <w:color w:val="000000" w:themeColor="text1"/>
          <w14:textFill>
            <w14:solidFill>
              <w14:schemeClr w14:val="tx1"/>
            </w14:solidFill>
          </w14:textFill>
        </w:rPr>
        <w:t>执行。”这一优惠措施，使地方政府可以合法地对外资占用工业用地实施政策倾斜，而国内企业还没有参与市场竞争，仅在土地成本上就已处于不利地位。</w:t>
      </w:r>
    </w:p>
    <w:p w14:paraId="4571B0A3">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）税收代价较大。长期以来，外资企业在我国一直享受“超国民待遇”。而外资企业通过政策优惠发展起来的产值及其市场占有率优势，在实践中并没有体现为相应的纳税贡献。据资料统计，</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年外资企业产值已占我国工业产值的</w:t>
      </w:r>
      <w:r>
        <w:rPr>
          <w:rFonts w:hint="eastAsia" w:cs="Calibri"/>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以上，出口占</w:t>
      </w:r>
      <w:r>
        <w:rPr>
          <w:rFonts w:hint="eastAsia" w:cs="Calibri"/>
          <w:color w:val="000000" w:themeColor="text1"/>
          <w14:textFill>
            <w14:solidFill>
              <w14:schemeClr w14:val="tx1"/>
            </w14:solidFill>
          </w14:textFill>
        </w:rPr>
        <w:t>56%</w:t>
      </w:r>
      <w:r>
        <w:rPr>
          <w:rFonts w:hint="eastAsia" w:ascii="宋体" w:hAnsi="宋体"/>
          <w:color w:val="000000" w:themeColor="text1"/>
          <w14:textFill>
            <w14:solidFill>
              <w14:schemeClr w14:val="tx1"/>
            </w14:solidFill>
          </w14:textFill>
        </w:rPr>
        <w:t>以上，但纳税仅占</w:t>
      </w:r>
      <w:r>
        <w:rPr>
          <w:rFonts w:hint="eastAsia" w:cs="Calibri"/>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外资企业的纳税额与其经济规模并不对称。造成这种现象的原因，并不是外资企业纳税能力弱。相反，外资在中国市场取得的利润量巨大，远高于其在其他国家和地区投资的收益。仅以美国在华投资为例，据《人民日报》转述中美商会发布调查报告，</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71%</w:t>
      </w:r>
      <w:r>
        <w:rPr>
          <w:rFonts w:hint="eastAsia" w:ascii="宋体" w:hAnsi="宋体"/>
          <w:color w:val="000000" w:themeColor="text1"/>
          <w14:textFill>
            <w14:solidFill>
              <w14:schemeClr w14:val="tx1"/>
            </w14:solidFill>
          </w14:textFill>
        </w:rPr>
        <w:t>在华企业实现盈利，而</w:t>
      </w:r>
      <w:r>
        <w:rPr>
          <w:rFonts w:hint="eastAsia" w:cs="Calibri"/>
          <w:color w:val="000000" w:themeColor="text1"/>
          <w14:textFill>
            <w14:solidFill>
              <w14:schemeClr w14:val="tx1"/>
            </w14:solidFill>
          </w14:textFill>
        </w:rPr>
        <w:t>46%</w:t>
      </w:r>
      <w:r>
        <w:rPr>
          <w:rFonts w:hint="eastAsia" w:ascii="宋体" w:hAnsi="宋体"/>
          <w:color w:val="000000" w:themeColor="text1"/>
          <w14:textFill>
            <w14:solidFill>
              <w14:schemeClr w14:val="tx1"/>
            </w14:solidFill>
          </w14:textFill>
        </w:rPr>
        <w:t>的受访企业在中国市场的利润率高于其全球利润率。可见，外资企业纳税比重相对较低，与经营状况相关性并不大（国内民营企业盈利能力总体上要低于外资企业），而主要是由于我国对外资企业的税收优惠政策。</w:t>
      </w:r>
    </w:p>
    <w:p w14:paraId="13625C76">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需要提及的是，外资企业除了堂而皇之地享受合法的免税、减税和低税率保护伞，还常常利用非法手段进行避税和逃税等活动。国内有学者估计，外资企业利用各种手法偷漏的税款金额每年至少有</w:t>
      </w:r>
      <w:r>
        <w:rPr>
          <w:rFonts w:hint="eastAsia" w:cs="Calibri"/>
          <w:color w:val="000000" w:themeColor="text1"/>
          <w14:textFill>
            <w14:solidFill>
              <w14:schemeClr w14:val="tx1"/>
            </w14:solidFill>
          </w14:textFill>
        </w:rPr>
        <w:t>1000</w:t>
      </w:r>
      <w:r>
        <w:rPr>
          <w:rFonts w:hint="eastAsia" w:ascii="宋体" w:hAnsi="宋体"/>
          <w:color w:val="000000" w:themeColor="text1"/>
          <w14:textFill>
            <w14:solidFill>
              <w14:schemeClr w14:val="tx1"/>
            </w14:solidFill>
          </w14:textFill>
        </w:rPr>
        <w:t>亿元。所谓的“超国民待遇”不仅使外资企业规避了社会发展的义务，使政府财政收入减少，同时也人为地制造了一个不平等的竞争环境，使国内企业很容易开始就输在起跑线上。还有学者指出，内外资企业税制统一前，外资企业所得税水平仅为内资企业税收水平的一半左右。税收上的不公平待遇竟然使很多境内企业转而以海外注册公司的形式生存，直接导致国内财政税收进一步流失。在这种情况下期望扩大外资引进规模和进入领域，来体现外资企业的所谓平等地位，更是南辕北辙。尽管外资企业由于具有超国民待遇在我国获得了大量的优惠，但我国前两年却仍然存在一种观点，认为“一家外商投资企业经中国政府批准成立以后，它接受中国政府的监管，向中国政府交税，为中国创造就业机会，它就应该是百分之百的中国企业”。这种片面强调外资企业税收贡献和就业贡献，而忽视外资本质上与国内企业差别、盲目推崇开放外资进入领域的观点，显然是经不住实践和统计资料检验的。</w:t>
      </w:r>
    </w:p>
    <w:p w14:paraId="1E5E9102">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取消外资企业税收优惠是否会导致外资大规模撤离</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事实说明，这种担心是完全多余的。我国“两税合一”和《国务院关于进一步做好利用外资工作的若干意见》实施以来，国内吸引外资数量仍然在持续上升，</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月至</w:t>
      </w:r>
      <w:r>
        <w:rPr>
          <w:rFonts w:hint="eastAsia" w:cs="Calibri"/>
          <w:color w:val="000000" w:themeColor="text1"/>
          <w14:textFill>
            <w14:solidFill>
              <w14:schemeClr w14:val="tx1"/>
            </w14:solidFill>
          </w14:textFill>
        </w:rPr>
        <w:t>11</w:t>
      </w:r>
      <w:r>
        <w:rPr>
          <w:rFonts w:hint="eastAsia" w:ascii="宋体" w:hAnsi="宋体"/>
          <w:color w:val="000000" w:themeColor="text1"/>
          <w14:textFill>
            <w14:solidFill>
              <w14:schemeClr w14:val="tx1"/>
            </w14:solidFill>
          </w14:textFill>
        </w:rPr>
        <w:t>月，全国新批设立外商投资企业</w:t>
      </w:r>
      <w:r>
        <w:rPr>
          <w:rFonts w:hint="eastAsia" w:cs="Calibri"/>
          <w:color w:val="000000" w:themeColor="text1"/>
          <w14:textFill>
            <w14:solidFill>
              <w14:schemeClr w14:val="tx1"/>
            </w14:solidFill>
          </w14:textFill>
        </w:rPr>
        <w:t>24302</w:t>
      </w:r>
      <w:r>
        <w:rPr>
          <w:rFonts w:hint="eastAsia" w:ascii="宋体" w:hAnsi="宋体"/>
          <w:color w:val="000000" w:themeColor="text1"/>
          <w14:textFill>
            <w14:solidFill>
              <w14:schemeClr w14:val="tx1"/>
            </w14:solidFill>
          </w14:textFill>
        </w:rPr>
        <w:t>家，同比增长</w:t>
      </w:r>
      <w:r>
        <w:rPr>
          <w:rFonts w:hint="eastAsia" w:cs="Calibri"/>
          <w:color w:val="000000" w:themeColor="text1"/>
          <w14:textFill>
            <w14:solidFill>
              <w14:schemeClr w14:val="tx1"/>
            </w14:solidFill>
          </w14:textFill>
        </w:rPr>
        <w:t>17</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97%</w:t>
      </w:r>
      <w:r>
        <w:rPr>
          <w:rFonts w:hint="eastAsia" w:ascii="宋体" w:hAnsi="宋体"/>
          <w:color w:val="000000" w:themeColor="text1"/>
          <w14:textFill>
            <w14:solidFill>
              <w14:schemeClr w14:val="tx1"/>
            </w14:solidFill>
          </w14:textFill>
        </w:rPr>
        <w:t>；实际使用外资金额</w:t>
      </w:r>
      <w:r>
        <w:rPr>
          <w:rFonts w:hint="eastAsia" w:cs="Calibri"/>
          <w:color w:val="000000" w:themeColor="text1"/>
          <w14:textFill>
            <w14:solidFill>
              <w14:schemeClr w14:val="tx1"/>
            </w14:solidFill>
          </w14:textFill>
        </w:rPr>
        <w:t>917</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07</w:t>
      </w:r>
      <w:r>
        <w:rPr>
          <w:rFonts w:hint="eastAsia" w:ascii="宋体" w:hAnsi="宋体"/>
          <w:color w:val="000000" w:themeColor="text1"/>
          <w14:textFill>
            <w14:solidFill>
              <w14:schemeClr w14:val="tx1"/>
            </w14:solidFill>
          </w14:textFill>
        </w:rPr>
        <w:t>亿美元，同比增长</w:t>
      </w:r>
      <w:r>
        <w:rPr>
          <w:rFonts w:hint="eastAsia" w:cs="Calibri"/>
          <w:color w:val="000000" w:themeColor="text1"/>
          <w14:textFill>
            <w14:solidFill>
              <w14:schemeClr w14:val="tx1"/>
            </w14:solidFill>
          </w14:textFill>
        </w:rPr>
        <w:t>17</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73%</w:t>
      </w:r>
      <w:r>
        <w:rPr>
          <w:rFonts w:hint="eastAsia" w:ascii="宋体" w:hAnsi="宋体"/>
          <w:color w:val="000000" w:themeColor="text1"/>
          <w14:textFill>
            <w14:solidFill>
              <w14:schemeClr w14:val="tx1"/>
            </w14:solidFill>
          </w14:textFill>
        </w:rPr>
        <w:t>。可见，对外资税收优惠并不是引进外资的必要条件，相反，我国如继续对外资实施优惠，只会给国内带来更大的税收、市场等利益损失。对此，前两年日本《经济学人》就曾载文“世界进入空前的超额利润时代”指出，发达国家通过利用发展中国家廉价劳动力，实质上获得了显著的超额利润。此外，外资的过度引进并没有促进就业。截至</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年，我国外资企业直接吸纳就业近</w:t>
      </w:r>
      <w:r>
        <w:rPr>
          <w:rFonts w:hint="eastAsia" w:cs="Calibri"/>
          <w:color w:val="000000" w:themeColor="text1"/>
          <w14:textFill>
            <w14:solidFill>
              <w14:schemeClr w14:val="tx1"/>
            </w14:solidFill>
          </w14:textFill>
        </w:rPr>
        <w:t>5000</w:t>
      </w:r>
      <w:r>
        <w:rPr>
          <w:rFonts w:hint="eastAsia" w:ascii="宋体" w:hAnsi="宋体"/>
          <w:color w:val="000000" w:themeColor="text1"/>
          <w14:textFill>
            <w14:solidFill>
              <w14:schemeClr w14:val="tx1"/>
            </w14:solidFill>
          </w14:textFill>
        </w:rPr>
        <w:t>万人，仅占全国就业总数</w:t>
      </w:r>
      <w:r>
        <w:rPr>
          <w:rFonts w:hint="eastAsia" w:cs="Calibri"/>
          <w:color w:val="000000" w:themeColor="text1"/>
          <w14:textFill>
            <w14:solidFill>
              <w14:schemeClr w14:val="tx1"/>
            </w14:solidFill>
          </w14:textFill>
        </w:rPr>
        <w:t>77995</w:t>
      </w:r>
      <w:r>
        <w:rPr>
          <w:rFonts w:hint="eastAsia" w:ascii="宋体" w:hAnsi="宋体"/>
          <w:color w:val="000000" w:themeColor="text1"/>
          <w14:textFill>
            <w14:solidFill>
              <w14:schemeClr w14:val="tx1"/>
            </w14:solidFill>
          </w14:textFill>
        </w:rPr>
        <w:t>万人的</w:t>
      </w:r>
      <w:r>
        <w:rPr>
          <w:rFonts w:hint="eastAsia" w:cs="Calibri"/>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享受税收优惠的外资企业，其就业容纳能力与其产值、市场占有率和税收贡献是不相称的。但外商直接投资对国内投资的“挤出效应”，则不仅损害了民族产业，还在某种程度上加重了民生、就业、资源等经济社会问题。</w:t>
      </w:r>
    </w:p>
    <w:p w14:paraId="277B23D7">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环境代价较大。“外资利润流走，留下生态失衡”的现象较为普遍。发达国家从保护本国环境、调整产业结构的目的出发，通过国际经济合作、国际投资或跨国公司经营等途径，将造纸、建材、制药、纺织、化工等污染严重的行业转移到中国等发展中国家。有学者指出，污染排放水平较高的制造业是外资流入的首选行业，经验观察和大量的实证研究均表明，</w:t>
      </w:r>
      <w:r>
        <w:rPr>
          <w:rFonts w:hint="eastAsia" w:cs="Calibri"/>
          <w:color w:val="000000" w:themeColor="text1"/>
          <w14:textFill>
            <w14:solidFill>
              <w14:schemeClr w14:val="tx1"/>
            </w14:solidFill>
          </w14:textFill>
        </w:rPr>
        <w:t>2000</w:t>
      </w:r>
      <w:r>
        <w:rPr>
          <w:rFonts w:hint="eastAsia" w:ascii="宋体" w:hAnsi="宋体"/>
          <w:color w:val="000000" w:themeColor="text1"/>
          <w14:textFill>
            <w14:solidFill>
              <w14:schemeClr w14:val="tx1"/>
            </w14:solidFill>
          </w14:textFill>
        </w:rPr>
        <w:t>年以后我国实际利用外资的大规模增长，与我国工业二氧化硫、固体废弃物排放水平的大幅度攀升存在着一定的关系。陈军亚：《外商直接投资的环境效应》，《光明日报》</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月</w:t>
      </w:r>
      <w:r>
        <w:rPr>
          <w:rFonts w:hint="eastAsia" w:cs="Calibri"/>
          <w:color w:val="000000" w:themeColor="text1"/>
          <w14:textFill>
            <w14:solidFill>
              <w14:schemeClr w14:val="tx1"/>
            </w14:solidFill>
          </w14:textFill>
        </w:rPr>
        <w:t>21</w:t>
      </w:r>
      <w:r>
        <w:rPr>
          <w:rFonts w:hint="eastAsia" w:ascii="宋体" w:hAnsi="宋体"/>
          <w:color w:val="000000" w:themeColor="text1"/>
          <w14:textFill>
            <w14:solidFill>
              <w14:schemeClr w14:val="tx1"/>
            </w14:solidFill>
          </w14:textFill>
        </w:rPr>
        <w:t>日。在污染和落后产业向我国转移的过程中，跨国公司起了主导作用。我国的一些地方政府由于引资心切和管理薄弱，大大降低在国际上或本国（本地区）企业奉行的环保标准和治污成本，甚至不惜牺牲当地居民的长远利益，对那些污染严重、破坏生态平衡的项目也大开方便之门。使跨国公司得以利用这些便利，通过规避环保成本来大肆攫取利益。据</w:t>
      </w:r>
      <w:r>
        <w:rPr>
          <w:rFonts w:hint="eastAsia" w:cs="Calibri"/>
          <w:color w:val="000000" w:themeColor="text1"/>
          <w14:textFill>
            <w14:solidFill>
              <w14:schemeClr w14:val="tx1"/>
            </w14:solidFill>
          </w14:textFill>
        </w:rPr>
        <w:t>NGO</w:t>
      </w:r>
      <w:r>
        <w:rPr>
          <w:rFonts w:hint="eastAsia" w:ascii="宋体" w:hAnsi="宋体"/>
          <w:color w:val="000000" w:themeColor="text1"/>
          <w14:textFill>
            <w14:solidFill>
              <w14:schemeClr w14:val="tx1"/>
            </w14:solidFill>
          </w14:textFill>
        </w:rPr>
        <w:t>组织“公众与环境研究中心”统计，</w:t>
      </w:r>
      <w:r>
        <w:rPr>
          <w:rFonts w:hint="eastAsia" w:cs="Calibri"/>
          <w:color w:val="000000" w:themeColor="text1"/>
          <w14:textFill>
            <w14:solidFill>
              <w14:schemeClr w14:val="tx1"/>
            </w14:solidFill>
          </w14:textFill>
        </w:rPr>
        <w:t>2006-2008</w:t>
      </w:r>
      <w:r>
        <w:rPr>
          <w:rFonts w:hint="eastAsia" w:ascii="宋体" w:hAnsi="宋体"/>
          <w:color w:val="000000" w:themeColor="text1"/>
          <w14:textFill>
            <w14:solidFill>
              <w14:schemeClr w14:val="tx1"/>
            </w14:solidFill>
          </w14:textFill>
        </w:rPr>
        <w:t>年，被中国环保部门点名批评过的跨国公司的数量就从八、九十家增加到近三百家。该研究中心认为，跨国企业在中国污染状况呈上升势头，原因在于他们执行双重标准，在中国缺乏环境责任感。因此，表面上看，利用外资增加了引进外资地区的经济收益，但背后付出的却是巨大的生态成本和长期的社会收益，损害了经济长期发展的基础，并且很难在短期内消除影响。</w:t>
      </w:r>
    </w:p>
    <w:p w14:paraId="1F6864EA">
      <w:pPr>
        <w:ind w:firstLine="420" w:firstLineChars="200"/>
        <w:rPr>
          <w:b/>
          <w:color w:val="000000" w:themeColor="text1"/>
          <w14:textFill>
            <w14:solidFill>
              <w14:schemeClr w14:val="tx1"/>
            </w14:solidFill>
          </w14:textFill>
        </w:rPr>
      </w:pPr>
      <w:bookmarkStart w:id="1346" w:name="_Toc30542"/>
      <w:bookmarkEnd w:id="1346"/>
      <w:r>
        <w:rPr>
          <w:rFonts w:hint="eastAsia" w:cs="Calibri"/>
          <w:b/>
          <w:color w:val="000000" w:themeColor="text1"/>
          <w14:textFill>
            <w14:solidFill>
              <w14:schemeClr w14:val="tx1"/>
            </w14:solidFill>
          </w14:textFill>
        </w:rPr>
        <w:t>2</w:t>
      </w:r>
      <w:r>
        <w:rPr>
          <w:rFonts w:hint="eastAsia" w:ascii="宋体" w:hAnsi="宋体"/>
          <w:b/>
          <w:color w:val="000000" w:themeColor="text1"/>
          <w14:textFill>
            <w14:solidFill>
              <w14:schemeClr w14:val="tx1"/>
            </w14:solidFill>
          </w14:textFill>
        </w:rPr>
        <w:t>、“外源”依赖性的增强及其对经济发展的制约</w:t>
      </w:r>
    </w:p>
    <w:p w14:paraId="355F3F63">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战略性资源的供给问题关系到我国经济的长期稳定发展。虽然中国拥有总量较大的国内资源，但人均拥有量却很贫乏，这大大限制了中国的工业生产和经济发展。</w:t>
      </w:r>
      <w:r>
        <w:rPr>
          <w:rFonts w:hint="eastAsia" w:cs="Calibri"/>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w:t>
      </w:r>
      <w:r>
        <w:rPr>
          <w:rFonts w:hint="eastAsia" w:cs="Calibri"/>
          <w:color w:val="000000" w:themeColor="text1"/>
          <w14:textFill>
            <w14:solidFill>
              <w14:schemeClr w14:val="tx1"/>
            </w14:solidFill>
          </w14:textFill>
        </w:rPr>
        <w:t>90</w:t>
      </w:r>
      <w:r>
        <w:rPr>
          <w:rFonts w:hint="eastAsia" w:ascii="宋体" w:hAnsi="宋体"/>
          <w:color w:val="000000" w:themeColor="text1"/>
          <w14:textFill>
            <w14:solidFill>
              <w14:schemeClr w14:val="tx1"/>
            </w14:solidFill>
          </w14:textFill>
        </w:rPr>
        <w:t>年代以来，中国的“外源”（指某些进口比例很高的外国能源和资源，如石油、铁矿石等）使用急剧增长，出口导向对外经济发展方式所需的能源原材料的约束日益加大，风险也越来越大。从能源消费看，根据国家统计局公布的数据，</w:t>
      </w:r>
      <w:r>
        <w:rPr>
          <w:rFonts w:hint="eastAsia" w:cs="Calibri"/>
          <w:color w:val="000000" w:themeColor="text1"/>
          <w14:textFill>
            <w14:solidFill>
              <w14:schemeClr w14:val="tx1"/>
            </w14:solidFill>
          </w14:textFill>
        </w:rPr>
        <w:t>2002</w:t>
      </w:r>
      <w:r>
        <w:rPr>
          <w:rFonts w:hint="eastAsia" w:ascii="宋体" w:hAnsi="宋体"/>
          <w:color w:val="000000" w:themeColor="text1"/>
          <w14:textFill>
            <w14:solidFill>
              <w14:schemeClr w14:val="tx1"/>
            </w14:solidFill>
          </w14:textFill>
        </w:rPr>
        <w:t>年能源净进口占国内能源消费的比重仅为</w:t>
      </w:r>
      <w:r>
        <w:rPr>
          <w:rFonts w:hint="eastAsia" w:cs="Calibri"/>
          <w:color w:val="000000" w:themeColor="text1"/>
          <w14:textFill>
            <w14:solidFill>
              <w14:schemeClr w14:val="tx1"/>
            </w14:solidFill>
          </w14:textFill>
        </w:rPr>
        <w:t>0</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9%</w:t>
      </w:r>
      <w:r>
        <w:rPr>
          <w:rFonts w:hint="eastAsia" w:ascii="宋体" w:hAnsi="宋体"/>
          <w:color w:val="000000" w:themeColor="text1"/>
          <w14:textFill>
            <w14:solidFill>
              <w14:schemeClr w14:val="tx1"/>
            </w14:solidFill>
          </w14:textFill>
        </w:rPr>
        <w:t>，而</w:t>
      </w:r>
      <w:r>
        <w:rPr>
          <w:rFonts w:hint="eastAsia" w:cs="Calibri"/>
          <w:color w:val="000000" w:themeColor="text1"/>
          <w14:textFill>
            <w14:solidFill>
              <w14:schemeClr w14:val="tx1"/>
            </w14:solidFill>
          </w14:textFill>
        </w:rPr>
        <w:t>2006</w:t>
      </w:r>
      <w:r>
        <w:rPr>
          <w:rFonts w:hint="eastAsia" w:ascii="宋体" w:hAnsi="宋体"/>
          <w:color w:val="000000" w:themeColor="text1"/>
          <w14:textFill>
            <w14:solidFill>
              <w14:schemeClr w14:val="tx1"/>
            </w14:solidFill>
          </w14:textFill>
        </w:rPr>
        <w:t>年即上升到</w:t>
      </w:r>
      <w:r>
        <w:rPr>
          <w:rFonts w:hint="eastAsia" w:cs="Calibri"/>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9%</w:t>
      </w:r>
      <w:r>
        <w:rPr>
          <w:rFonts w:hint="eastAsia" w:ascii="宋体" w:hAnsi="宋体"/>
          <w:color w:val="000000" w:themeColor="text1"/>
          <w14:textFill>
            <w14:solidFill>
              <w14:schemeClr w14:val="tx1"/>
            </w14:solidFill>
          </w14:textFill>
        </w:rPr>
        <w:t>，而且进口主要集中在关键性的石油和煤炭等战略性资源上。以石油为例，自</w:t>
      </w:r>
      <w:r>
        <w:rPr>
          <w:rFonts w:hint="eastAsia" w:cs="Calibri"/>
          <w:color w:val="000000" w:themeColor="text1"/>
          <w14:textFill>
            <w14:solidFill>
              <w14:schemeClr w14:val="tx1"/>
            </w14:solidFill>
          </w14:textFill>
        </w:rPr>
        <w:t>1993</w:t>
      </w:r>
      <w:r>
        <w:rPr>
          <w:rFonts w:hint="eastAsia" w:ascii="宋体" w:hAnsi="宋体"/>
          <w:color w:val="000000" w:themeColor="text1"/>
          <w14:textFill>
            <w14:solidFill>
              <w14:schemeClr w14:val="tx1"/>
            </w14:solidFill>
          </w14:textFill>
        </w:rPr>
        <w:t>年中国成为净进口国以来，对外依存度逐年上升。</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年原油净进口</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99</w:t>
      </w:r>
      <w:r>
        <w:rPr>
          <w:rFonts w:hint="eastAsia" w:ascii="宋体" w:hAnsi="宋体"/>
          <w:color w:val="000000" w:themeColor="text1"/>
          <w14:textFill>
            <w14:solidFill>
              <w14:schemeClr w14:val="tx1"/>
            </w14:solidFill>
          </w14:textFill>
        </w:rPr>
        <w:t>亿吨，增长</w:t>
      </w:r>
      <w:r>
        <w:rPr>
          <w:rFonts w:hint="eastAsia" w:cs="Calibri"/>
          <w:color w:val="000000" w:themeColor="text1"/>
          <w14:textFill>
            <w14:solidFill>
              <w14:schemeClr w14:val="tx1"/>
            </w14:solidFill>
          </w14:textFill>
        </w:rPr>
        <w:t>13</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，中国原油对外依存度约为</w:t>
      </w:r>
      <w:r>
        <w:rPr>
          <w:rFonts w:hint="eastAsia" w:cs="Calibri"/>
          <w:color w:val="000000" w:themeColor="text1"/>
          <w14:textFill>
            <w14:solidFill>
              <w14:schemeClr w14:val="tx1"/>
            </w14:solidFill>
          </w14:textFill>
        </w:rPr>
        <w:t>51</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，已经超过</w:t>
      </w:r>
      <w:r>
        <w:rPr>
          <w:rFonts w:hint="eastAsia" w:cs="Calibri"/>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的警戒线。在煤炭方面，海关总署的数据显示，</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1-12</w:t>
      </w:r>
      <w:r>
        <w:rPr>
          <w:rFonts w:hint="eastAsia" w:ascii="宋体" w:hAnsi="宋体"/>
          <w:color w:val="000000" w:themeColor="text1"/>
          <w14:textFill>
            <w14:solidFill>
              <w14:schemeClr w14:val="tx1"/>
            </w14:solidFill>
          </w14:textFill>
        </w:rPr>
        <w:t>月我国煤炭进口</w:t>
      </w:r>
      <w:r>
        <w:rPr>
          <w:rFonts w:hint="eastAsia" w:cs="Calibri"/>
          <w:color w:val="000000" w:themeColor="text1"/>
          <w14:textFill>
            <w14:solidFill>
              <w14:schemeClr w14:val="tx1"/>
            </w14:solidFill>
          </w14:textFill>
        </w:rPr>
        <w:t>12583</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万吨，同比增长</w:t>
      </w:r>
      <w:r>
        <w:rPr>
          <w:rFonts w:hint="eastAsia" w:cs="Calibri"/>
          <w:color w:val="000000" w:themeColor="text1"/>
          <w14:textFill>
            <w14:solidFill>
              <w14:schemeClr w14:val="tx1"/>
            </w14:solidFill>
          </w14:textFill>
        </w:rPr>
        <w:t>211</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9%</w:t>
      </w:r>
      <w:r>
        <w:rPr>
          <w:rFonts w:hint="eastAsia" w:ascii="宋体" w:hAnsi="宋体"/>
          <w:color w:val="000000" w:themeColor="text1"/>
          <w14:textFill>
            <w14:solidFill>
              <w14:schemeClr w14:val="tx1"/>
            </w14:solidFill>
          </w14:textFill>
        </w:rPr>
        <w:t>，而同期出口同比下降</w:t>
      </w:r>
      <w:r>
        <w:rPr>
          <w:rFonts w:hint="eastAsia" w:cs="Calibri"/>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，全年煤炭净进口达到了历史性的</w:t>
      </w:r>
      <w:r>
        <w:rPr>
          <w:rFonts w:hint="eastAsia" w:cs="Calibri"/>
          <w:color w:val="000000" w:themeColor="text1"/>
          <w14:textFill>
            <w14:solidFill>
              <w14:schemeClr w14:val="tx1"/>
            </w14:solidFill>
          </w14:textFill>
        </w:rPr>
        <w:t>10343</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万吨。</w:t>
      </w:r>
    </w:p>
    <w:p w14:paraId="4D74A50B">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近年来，我国不仅在能源方面对外依赖性在上升，在原材料上的进口比例也较大。首先，我国部分原材料进口大幅增长。</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月中国进口铁矿石、铜都创下历史新高，分别达到</w:t>
      </w:r>
      <w:r>
        <w:rPr>
          <w:rFonts w:hint="eastAsia" w:cs="Calibri"/>
          <w:color w:val="000000" w:themeColor="text1"/>
          <w14:textFill>
            <w14:solidFill>
              <w14:schemeClr w14:val="tx1"/>
            </w14:solidFill>
          </w14:textFill>
        </w:rPr>
        <w:t>5210</w:t>
      </w:r>
      <w:r>
        <w:rPr>
          <w:rFonts w:hint="eastAsia" w:ascii="宋体" w:hAnsi="宋体"/>
          <w:color w:val="000000" w:themeColor="text1"/>
          <w14:textFill>
            <w14:solidFill>
              <w14:schemeClr w14:val="tx1"/>
            </w14:solidFill>
          </w14:textFill>
        </w:rPr>
        <w:t>万吨和</w:t>
      </w:r>
      <w:r>
        <w:rPr>
          <w:rFonts w:hint="eastAsia" w:cs="Calibri"/>
          <w:color w:val="000000" w:themeColor="text1"/>
          <w14:textFill>
            <w14:solidFill>
              <w14:schemeClr w14:val="tx1"/>
            </w14:solidFill>
          </w14:textFill>
        </w:rPr>
        <w:t>37</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49</w:t>
      </w:r>
      <w:r>
        <w:rPr>
          <w:rFonts w:hint="eastAsia" w:ascii="宋体" w:hAnsi="宋体"/>
          <w:color w:val="000000" w:themeColor="text1"/>
          <w14:textFill>
            <w14:solidFill>
              <w14:schemeClr w14:val="tx1"/>
            </w14:solidFill>
          </w14:textFill>
        </w:rPr>
        <w:t>万吨；而钢材、未锻造铝及铝材也分别进口</w:t>
      </w:r>
      <w:r>
        <w:rPr>
          <w:rFonts w:hint="eastAsia" w:cs="Calibri"/>
          <w:color w:val="000000" w:themeColor="text1"/>
          <w14:textFill>
            <w14:solidFill>
              <w14:schemeClr w14:val="tx1"/>
            </w14:solidFill>
          </w14:textFill>
        </w:rPr>
        <w:t>14</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万吨和</w:t>
      </w:r>
      <w:r>
        <w:rPr>
          <w:rFonts w:hint="eastAsia" w:cs="Calibri"/>
          <w:color w:val="000000" w:themeColor="text1"/>
          <w14:textFill>
            <w14:solidFill>
              <w14:schemeClr w14:val="tx1"/>
            </w14:solidFill>
          </w14:textFill>
        </w:rPr>
        <w:t>127</w:t>
      </w:r>
      <w:r>
        <w:rPr>
          <w:rFonts w:hint="eastAsia" w:ascii="宋体" w:hAnsi="宋体"/>
          <w:color w:val="000000" w:themeColor="text1"/>
          <w14:textFill>
            <w14:solidFill>
              <w14:schemeClr w14:val="tx1"/>
            </w14:solidFill>
          </w14:textFill>
        </w:rPr>
        <w:t>万吨，中国成为钢材及电解铝净进口国的日期日益逼近。不仅如此，我国大豆、油菜籽等大宗农产品进口近年来也大幅增长，接近历史高位。《原材料进口连创新高，世界工厂变世界仓库》，《中国证券报》</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月</w:t>
      </w:r>
      <w:r>
        <w:rPr>
          <w:rFonts w:hint="eastAsia" w:cs="Calibri"/>
          <w:color w:val="000000" w:themeColor="text1"/>
          <w14:textFill>
            <w14:solidFill>
              <w14:schemeClr w14:val="tx1"/>
            </w14:solidFill>
          </w14:textFill>
        </w:rPr>
        <w:t>11</w:t>
      </w:r>
      <w:r>
        <w:rPr>
          <w:rFonts w:hint="eastAsia" w:ascii="宋体" w:hAnsi="宋体"/>
          <w:color w:val="000000" w:themeColor="text1"/>
          <w14:textFill>
            <w14:solidFill>
              <w14:schemeClr w14:val="tx1"/>
            </w14:solidFill>
          </w14:textFill>
        </w:rPr>
        <w:t>日。其次，部分原料进口量持续超越出口量。有关统计数据显示，</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1-3</w:t>
      </w:r>
      <w:r>
        <w:rPr>
          <w:rFonts w:hint="eastAsia" w:ascii="宋体" w:hAnsi="宋体"/>
          <w:color w:val="000000" w:themeColor="text1"/>
          <w14:textFill>
            <w14:solidFill>
              <w14:schemeClr w14:val="tx1"/>
            </w14:solidFill>
          </w14:textFill>
        </w:rPr>
        <w:t>月份，我国大部分基本有机化工原料及主要无机原料（如硫酸、盐酸、硝酸），都呈现进口量大于出口量的格局，有的产品进口量大于出口量达数百倍（如甲苯、甲醇），甚至数千倍（如二乙醇胺），部分原料则完全依赖进口弥补国内供需缺口（如三乙醇胺）。其三，是我国出口产业中来料加工部分占有较大比例。根据科普曼对</w:t>
      </w:r>
      <w:r>
        <w:rPr>
          <w:rFonts w:hint="eastAsia" w:cs="Calibri"/>
          <w:color w:val="000000" w:themeColor="text1"/>
          <w14:textFill>
            <w14:solidFill>
              <w14:schemeClr w14:val="tx1"/>
            </w14:solidFill>
          </w14:textFill>
        </w:rPr>
        <w:t>2006</w:t>
      </w:r>
      <w:r>
        <w:rPr>
          <w:rFonts w:hint="eastAsia" w:ascii="宋体" w:hAnsi="宋体"/>
          <w:color w:val="000000" w:themeColor="text1"/>
          <w14:textFill>
            <w14:solidFill>
              <w14:schemeClr w14:val="tx1"/>
            </w14:solidFill>
          </w14:textFill>
        </w:rPr>
        <w:t>年中国外贸数据的测算，当年我国在对美出口</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亿美元中，来自世界其他地区的原材料和零配件价值为</w:t>
      </w:r>
      <w:r>
        <w:rPr>
          <w:rFonts w:hint="eastAsia" w:cs="Calibri"/>
          <w:color w:val="000000" w:themeColor="text1"/>
          <w14:textFill>
            <w14:solidFill>
              <w14:schemeClr w14:val="tx1"/>
            </w14:solidFill>
          </w14:textFill>
        </w:rPr>
        <w:t>1130</w:t>
      </w:r>
      <w:r>
        <w:rPr>
          <w:rFonts w:hint="eastAsia" w:ascii="宋体" w:hAnsi="宋体"/>
          <w:color w:val="000000" w:themeColor="text1"/>
          <w14:textFill>
            <w14:solidFill>
              <w14:schemeClr w14:val="tx1"/>
            </w14:solidFill>
          </w14:textFill>
        </w:rPr>
        <w:t>亿美元，占总额的</w:t>
      </w:r>
      <w:r>
        <w:rPr>
          <w:rFonts w:hint="eastAsia" w:cs="Calibri"/>
          <w:color w:val="000000" w:themeColor="text1"/>
          <w14:textFill>
            <w14:solidFill>
              <w14:schemeClr w14:val="tx1"/>
            </w14:solidFill>
          </w14:textFill>
        </w:rPr>
        <w:t>55%</w:t>
      </w:r>
      <w:r>
        <w:rPr>
          <w:rFonts w:hint="eastAsia" w:ascii="宋体" w:hAnsi="宋体"/>
          <w:color w:val="000000" w:themeColor="text1"/>
          <w14:textFill>
            <w14:solidFill>
              <w14:schemeClr w14:val="tx1"/>
            </w14:solidFill>
          </w14:textFill>
        </w:rPr>
        <w:t>。从总的发展趋势看，中国资源能源的对外依存度在未来二三十年还将继续呈扩大状态。</w:t>
      </w:r>
    </w:p>
    <w:p w14:paraId="341DC2C8">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我国对“外源”需求的长期急剧增长可能造成多重不利后果。</w:t>
      </w:r>
    </w:p>
    <w:p w14:paraId="0CE8528E">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）增加我国能源供给的不确定性。由于国际市场原料不断涨价，外贸对经济效益提高的牵引作用会明显下降，社会风险越来越高。</w:t>
      </w:r>
      <w:r>
        <w:rPr>
          <w:rFonts w:hint="eastAsia" w:cs="Calibri"/>
          <w:color w:val="000000" w:themeColor="text1"/>
          <w14:textFill>
            <w14:solidFill>
              <w14:schemeClr w14:val="tx1"/>
            </w14:solidFill>
          </w14:textFill>
        </w:rPr>
        <w:t>2000</w:t>
      </w:r>
      <w:r>
        <w:rPr>
          <w:rFonts w:hint="eastAsia" w:ascii="宋体" w:hAnsi="宋体"/>
          <w:color w:val="000000" w:themeColor="text1"/>
          <w14:textFill>
            <w14:solidFill>
              <w14:schemeClr w14:val="tx1"/>
            </w14:solidFill>
          </w14:textFill>
        </w:rPr>
        <w:t>年以来，国际市场原材料价格总体呈上升趋势，金融危机后国际市场原材料（如铁矿石等）价格上升更为迅猛，对经营管理粗放特征显著的国内产业产生了很大的成本压力，威胁一些企业的正常经营和职工就业。</w:t>
      </w:r>
    </w:p>
    <w:p w14:paraId="6E65DE68">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使我国面临利益损失和价格风险。经济发展过程中对“外源”依赖性的上升，导致我国能源供应容易受到实体因素以及投机因素的冲击，而直接导致利益损失。首先是导致大量国民财富外流。根据国家信息中心测算，单纯由于涨价因素，</w:t>
      </w:r>
      <w:r>
        <w:rPr>
          <w:rFonts w:hint="eastAsia" w:cs="Calibri"/>
          <w:color w:val="000000" w:themeColor="text1"/>
          <w14:textFill>
            <w14:solidFill>
              <w14:schemeClr w14:val="tx1"/>
            </w14:solidFill>
          </w14:textFill>
        </w:rPr>
        <w:t>2005</w:t>
      </w:r>
      <w:r>
        <w:rPr>
          <w:rFonts w:hint="eastAsia" w:ascii="宋体" w:hAnsi="宋体"/>
          <w:color w:val="000000" w:themeColor="text1"/>
          <w14:textFill>
            <w14:solidFill>
              <w14:schemeClr w14:val="tx1"/>
            </w14:solidFill>
          </w14:textFill>
        </w:rPr>
        <w:t>年一年中国就有相当于</w:t>
      </w:r>
      <w:r>
        <w:rPr>
          <w:rFonts w:hint="eastAsia" w:cs="Calibri"/>
          <w:color w:val="000000" w:themeColor="text1"/>
          <w14:textFill>
            <w14:solidFill>
              <w14:schemeClr w14:val="tx1"/>
            </w14:solidFill>
          </w14:textFill>
        </w:rPr>
        <w:t>1200</w:t>
      </w:r>
      <w:r>
        <w:rPr>
          <w:rFonts w:hint="eastAsia" w:ascii="宋体" w:hAnsi="宋体"/>
          <w:color w:val="000000" w:themeColor="text1"/>
          <w14:textFill>
            <w14:solidFill>
              <w14:schemeClr w14:val="tx1"/>
            </w14:solidFill>
          </w14:textFill>
        </w:rPr>
        <w:t>亿元人民币的国民财富转移到产油国和国外石油巨头手中，近年来能源价格暴涨使中国国民财富净溢出的总额更是达到数千亿元人民币。其次是使我国面临价格风险。</w:t>
      </w:r>
      <w:r>
        <w:rPr>
          <w:rFonts w:hint="eastAsia" w:cs="Calibri"/>
          <w:color w:val="000000" w:themeColor="text1"/>
          <w14:textFill>
            <w14:solidFill>
              <w14:schemeClr w14:val="tx1"/>
            </w14:solidFill>
          </w14:textFill>
        </w:rPr>
        <w:t>2005</w:t>
      </w:r>
      <w:r>
        <w:rPr>
          <w:rFonts w:hint="eastAsia" w:ascii="宋体" w:hAnsi="宋体"/>
          <w:color w:val="000000" w:themeColor="text1"/>
          <w14:textFill>
            <w14:solidFill>
              <w14:schemeClr w14:val="tx1"/>
            </w14:solidFill>
          </w14:textFill>
        </w:rPr>
        <w:t>年以来，国际油价上涨幅度明显加快，与国际石油炒家的大肆投机活动有很大关系，这进一步增大了中国能源（主要是石油）供应的价格风险，使我国国内经济增长受到影响。</w:t>
      </w:r>
    </w:p>
    <w:p w14:paraId="4DD41F7F">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削弱我国国际市场上的话语权。过度依赖“外源”的发展模式，不仅使我国某些能源资源的消费受制于国际市场供应方的打压，也面对环境保护的指责。近年来，我国在铁矿石、石油等领域的谈判屡屡受到国际市场阻击，在国际谈判中处于被动和不利地位。尽管我国在发展中承担了更多的环境压力，但西方发达国家却罔顾我国人均能源消费量远低于发达国家的事实，鼓吹“能源消费大国责任论”，在碳排放问题上对我国提出了过分的要求。这些因素的综合作用，无形中降低了我国在国际市场上的话语权和主导能力。</w:t>
      </w:r>
    </w:p>
    <w:p w14:paraId="4572D144">
      <w:pPr>
        <w:ind w:firstLine="420" w:firstLineChars="200"/>
        <w:rPr>
          <w:b/>
          <w:color w:val="000000" w:themeColor="text1"/>
          <w14:textFill>
            <w14:solidFill>
              <w14:schemeClr w14:val="tx1"/>
            </w14:solidFill>
          </w14:textFill>
        </w:rPr>
      </w:pPr>
      <w:bookmarkStart w:id="1347" w:name="_Toc26640"/>
      <w:bookmarkEnd w:id="1347"/>
      <w:r>
        <w:rPr>
          <w:rFonts w:hint="eastAsia" w:cs="Calibri"/>
          <w:b/>
          <w:color w:val="000000" w:themeColor="text1"/>
          <w14:textFill>
            <w14:solidFill>
              <w14:schemeClr w14:val="tx1"/>
            </w14:solidFill>
          </w14:textFill>
        </w:rPr>
        <w:t>3</w:t>
      </w:r>
      <w:r>
        <w:rPr>
          <w:rFonts w:hint="eastAsia" w:ascii="宋体" w:hAnsi="宋体"/>
          <w:b/>
          <w:color w:val="000000" w:themeColor="text1"/>
          <w14:textFill>
            <w14:solidFill>
              <w14:schemeClr w14:val="tx1"/>
            </w14:solidFill>
          </w14:textFill>
        </w:rPr>
        <w:t>、对外技术依存度的提高及其冲击效应</w:t>
      </w:r>
    </w:p>
    <w:p w14:paraId="756EDC51">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对外技术依存度是反映一个国家对技术引进依赖程度的指标。一般认为，国家对外技术依存度与技术引进经费、研发经费相关。其计算采取公式为：技术依存度（</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技术引进经费</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R&amp;D</w:t>
      </w:r>
      <w:r>
        <w:rPr>
          <w:rFonts w:hint="eastAsia" w:ascii="宋体" w:hAnsi="宋体"/>
          <w:color w:val="000000" w:themeColor="text1"/>
          <w14:textFill>
            <w14:solidFill>
              <w14:schemeClr w14:val="tx1"/>
            </w14:solidFill>
          </w14:textFill>
        </w:rPr>
        <w:t>经费</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技术引进经费）。一般说来，不管是发展中国家，还是发达国家，适度引进国外的先进技术，可以对国内起示范效应，增强国内企业技术创新的动力，但对外技术依存度过高，则会造成国内企业依附于国外核心技术而在竞争中惨遭淘汰。由于技术依存度与研发经费成反比，过高的技术依存度，往往反映出国内研发能力的欠缺和技术保障能力的薄弱。换言之，一个国家的对外技术依存度较高，表明该国对国外技术的依赖程度较强；反之，技术依存度较低则表明该国自主创新成分较大。注重引资数量和出口创汇导向的对外经济发展模式，使我国因重视国际贸易而片面注重引进国外先进技术，产生对外技术依存度过高的倾向。我国对外技术依存度过高及其负面影响，可以从以下方面来认识。</w:t>
      </w:r>
    </w:p>
    <w:p w14:paraId="52E3F5EA">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对外技术依存度过高不利于经济自主发展。在推进开放、进军国际市场的过程中，我国对外技术依存度指标变动的总趋势是由低向高发展。在开放初期，我国还坚持以我为主，依托大量自身技术和自有品牌发展，但经历合资合作等过程，我国原有技术、品牌被摒弃的同时，导致原始创新能力不足，技术自给率低，特别是关键技术自给率急剧下降。资料表明，</w:t>
      </w:r>
      <w:r>
        <w:rPr>
          <w:rFonts w:hint="eastAsia" w:cs="Calibri"/>
          <w:color w:val="000000" w:themeColor="text1"/>
          <w14:textFill>
            <w14:solidFill>
              <w14:schemeClr w14:val="tx1"/>
            </w14:solidFill>
          </w14:textFill>
        </w:rPr>
        <w:t>2005</w:t>
      </w:r>
      <w:r>
        <w:rPr>
          <w:rFonts w:hint="eastAsia" w:ascii="宋体" w:hAnsi="宋体"/>
          <w:color w:val="000000" w:themeColor="text1"/>
          <w14:textFill>
            <w14:solidFill>
              <w14:schemeClr w14:val="tx1"/>
            </w14:solidFill>
          </w14:textFill>
        </w:rPr>
        <w:t>年我国占固定资产投资</w:t>
      </w:r>
      <w:r>
        <w:rPr>
          <w:rFonts w:hint="eastAsia" w:cs="Calibri"/>
          <w:color w:val="000000" w:themeColor="text1"/>
          <w14:textFill>
            <w14:solidFill>
              <w14:schemeClr w14:val="tx1"/>
            </w14:solidFill>
          </w14:textFill>
        </w:rPr>
        <w:t>40%</w:t>
      </w:r>
      <w:r>
        <w:rPr>
          <w:rFonts w:hint="eastAsia" w:ascii="宋体" w:hAnsi="宋体"/>
          <w:color w:val="000000" w:themeColor="text1"/>
          <w14:textFill>
            <w14:solidFill>
              <w14:schemeClr w14:val="tx1"/>
            </w14:solidFill>
          </w14:textFill>
        </w:rPr>
        <w:t>左右的设备投资中，有</w:t>
      </w:r>
      <w:r>
        <w:rPr>
          <w:rFonts w:hint="eastAsia" w:cs="Calibri"/>
          <w:color w:val="000000" w:themeColor="text1"/>
          <w14:textFill>
            <w14:solidFill>
              <w14:schemeClr w14:val="tx1"/>
            </w14:solidFill>
          </w14:textFill>
        </w:rPr>
        <w:t>60%</w:t>
      </w:r>
      <w:r>
        <w:rPr>
          <w:rFonts w:hint="eastAsia" w:ascii="宋体" w:hAnsi="宋体"/>
          <w:color w:val="000000" w:themeColor="text1"/>
          <w14:textFill>
            <w14:solidFill>
              <w14:schemeClr w14:val="tx1"/>
            </w14:solidFill>
          </w14:textFill>
        </w:rPr>
        <w:t>以上要靠进口来满足，高科技含量的关键装备基本上依赖进口。</w:t>
      </w:r>
      <w:r>
        <w:rPr>
          <w:rFonts w:hint="eastAsia" w:cs="Calibri"/>
          <w:color w:val="000000" w:themeColor="text1"/>
          <w14:textFill>
            <w14:solidFill>
              <w14:schemeClr w14:val="tx1"/>
            </w14:solidFill>
          </w14:textFill>
        </w:rPr>
        <w:t>2007</w:t>
      </w:r>
      <w:r>
        <w:rPr>
          <w:rFonts w:hint="eastAsia" w:ascii="宋体" w:hAnsi="宋体"/>
          <w:color w:val="000000" w:themeColor="text1"/>
          <w14:textFill>
            <w14:solidFill>
              <w14:schemeClr w14:val="tx1"/>
            </w14:solidFill>
          </w14:textFill>
        </w:rPr>
        <w:t>年，我国的高新技术产业产值只占工业产值的</w:t>
      </w:r>
      <w:r>
        <w:rPr>
          <w:rFonts w:hint="eastAsia" w:cs="Calibri"/>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，而发达国家占</w:t>
      </w:r>
      <w:r>
        <w:rPr>
          <w:rFonts w:hint="eastAsia" w:cs="Calibri"/>
          <w:color w:val="000000" w:themeColor="text1"/>
          <w14:textFill>
            <w14:solidFill>
              <w14:schemeClr w14:val="tx1"/>
            </w14:solidFill>
          </w14:textFill>
        </w:rPr>
        <w:t>40%</w:t>
      </w:r>
      <w:r>
        <w:rPr>
          <w:rFonts w:hint="eastAsia" w:ascii="宋体" w:hAnsi="宋体"/>
          <w:color w:val="000000" w:themeColor="text1"/>
          <w14:textFill>
            <w14:solidFill>
              <w14:schemeClr w14:val="tx1"/>
            </w14:solidFill>
          </w14:textFill>
        </w:rPr>
        <w:t>；软件产业产值我国只占世界比重的</w:t>
      </w:r>
      <w:r>
        <w:rPr>
          <w:rFonts w:hint="eastAsia" w:cs="Calibri"/>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，而美国、欧盟则占到</w:t>
      </w:r>
      <w:r>
        <w:rPr>
          <w:rFonts w:hint="eastAsia" w:cs="Calibri"/>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。在不到三十年的时间里，我国从开放初期的几乎主要依靠自我研发、自我发展，发展到技术对外依存度高达约</w:t>
      </w:r>
      <w:r>
        <w:rPr>
          <w:rFonts w:hint="eastAsia" w:cs="Calibri"/>
          <w:color w:val="000000" w:themeColor="text1"/>
          <w14:textFill>
            <w14:solidFill>
              <w14:schemeClr w14:val="tx1"/>
            </w14:solidFill>
          </w14:textFill>
        </w:rPr>
        <w:t>60%</w:t>
      </w:r>
      <w:r>
        <w:rPr>
          <w:rFonts w:hint="eastAsia" w:ascii="宋体" w:hAnsi="宋体"/>
          <w:color w:val="000000" w:themeColor="text1"/>
          <w14:textFill>
            <w14:solidFill>
              <w14:schemeClr w14:val="tx1"/>
            </w14:solidFill>
          </w14:textFill>
        </w:rPr>
        <w:t>，与发达国家对外依存度的差距进一步拉大。对外技术依存度过高，会直接影响到我国的产业控制力。例如，近几年机械行业外资股权控制度一直维持</w:t>
      </w:r>
      <w:r>
        <w:rPr>
          <w:rFonts w:hint="eastAsia" w:cs="Calibri"/>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以上，车用发动机和汽车、摩托车配件等行业，外资也达到对企业的相对控制程度，而在文体用品制造业等轻工领域外资控制度已超过国际公认的安全标准。又如，</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以来，外资对钢铁、石化产业的技术控制度呈快速上升趋势，外资涉入并控制我国有色金属开采活动的步伐在加快。由于我国大多数出口企业在技术上不具备核心竞争力，其生产过程和产品市场逐渐被外资支配，经济自主性相应被削弱。</w:t>
      </w:r>
    </w:p>
    <w:p w14:paraId="28AC4A72">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）过度依赖国外技术不利于国际竞争。中国目前虽被称为“世界工厂”，但总体上缺乏核心技术和品牌竞争力，不能从根本上保证自己的经济利益。如：中国是世界上最大的</w:t>
      </w:r>
      <w:r>
        <w:rPr>
          <w:rFonts w:hint="eastAsia" w:cs="Calibri"/>
          <w:color w:val="000000" w:themeColor="text1"/>
          <w14:textFill>
            <w14:solidFill>
              <w14:schemeClr w14:val="tx1"/>
            </w14:solidFill>
          </w14:textFill>
        </w:rPr>
        <w:t>DVD</w:t>
      </w:r>
      <w:r>
        <w:rPr>
          <w:rFonts w:hint="eastAsia" w:ascii="宋体" w:hAnsi="宋体"/>
          <w:color w:val="000000" w:themeColor="text1"/>
          <w14:textFill>
            <w14:solidFill>
              <w14:schemeClr w14:val="tx1"/>
            </w14:solidFill>
          </w14:textFill>
        </w:rPr>
        <w:t>生产国和出口国，但在</w:t>
      </w:r>
      <w:r>
        <w:rPr>
          <w:rFonts w:hint="eastAsia" w:cs="Calibri"/>
          <w:color w:val="000000" w:themeColor="text1"/>
          <w14:textFill>
            <w14:solidFill>
              <w14:schemeClr w14:val="tx1"/>
            </w14:solidFill>
          </w14:textFill>
        </w:rPr>
        <w:t>DVD</w:t>
      </w:r>
      <w:r>
        <w:rPr>
          <w:rFonts w:hint="eastAsia" w:ascii="宋体" w:hAnsi="宋体"/>
          <w:color w:val="000000" w:themeColor="text1"/>
          <w14:textFill>
            <w14:solidFill>
              <w14:schemeClr w14:val="tx1"/>
            </w14:solidFill>
          </w14:textFill>
        </w:rPr>
        <w:t>的</w:t>
      </w:r>
      <w:r>
        <w:rPr>
          <w:rFonts w:hint="eastAsia" w:cs="Calibri"/>
          <w:color w:val="000000" w:themeColor="text1"/>
          <w14:textFill>
            <w14:solidFill>
              <w14:schemeClr w14:val="tx1"/>
            </w14:solidFill>
          </w14:textFill>
        </w:rPr>
        <w:t>57</w:t>
      </w:r>
      <w:r>
        <w:rPr>
          <w:rFonts w:hint="eastAsia" w:ascii="宋体" w:hAnsi="宋体"/>
          <w:color w:val="000000" w:themeColor="text1"/>
          <w14:textFill>
            <w14:solidFill>
              <w14:schemeClr w14:val="tx1"/>
            </w14:solidFill>
          </w14:textFill>
        </w:rPr>
        <w:t>项关键技术中，我国掌握的仅有</w:t>
      </w:r>
      <w:r>
        <w:rPr>
          <w:rFonts w:hint="eastAsia" w:cs="Calibri"/>
          <w:color w:val="000000" w:themeColor="text1"/>
          <w14:textFill>
            <w14:solidFill>
              <w14:schemeClr w14:val="tx1"/>
            </w14:solidFill>
          </w14:textFill>
        </w:rPr>
        <w:t>9</w:t>
      </w:r>
      <w:r>
        <w:rPr>
          <w:rFonts w:hint="eastAsia" w:ascii="宋体" w:hAnsi="宋体"/>
          <w:color w:val="000000" w:themeColor="text1"/>
          <w14:textFill>
            <w14:solidFill>
              <w14:schemeClr w14:val="tx1"/>
            </w14:solidFill>
          </w14:textFill>
        </w:rPr>
        <w:t>项；中国的纺织品、服装、皮革产品的国际市场份额都是全球第一，但国际竞争力仅为第</w:t>
      </w:r>
      <w:r>
        <w:rPr>
          <w:rFonts w:hint="eastAsia" w:cs="Calibri"/>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位、第</w:t>
      </w:r>
      <w:r>
        <w:rPr>
          <w:rFonts w:hint="eastAsia" w:cs="Calibri"/>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位和第</w:t>
      </w:r>
      <w:r>
        <w:rPr>
          <w:rFonts w:hint="eastAsia" w:cs="Calibri"/>
          <w:color w:val="000000" w:themeColor="text1"/>
          <w14:textFill>
            <w14:solidFill>
              <w14:schemeClr w14:val="tx1"/>
            </w14:solidFill>
          </w14:textFill>
        </w:rPr>
        <w:t>13</w:t>
      </w:r>
      <w:r>
        <w:rPr>
          <w:rFonts w:hint="eastAsia" w:ascii="宋体" w:hAnsi="宋体"/>
          <w:color w:val="000000" w:themeColor="text1"/>
          <w14:textFill>
            <w14:solidFill>
              <w14:schemeClr w14:val="tx1"/>
            </w14:solidFill>
          </w14:textFill>
        </w:rPr>
        <w:t>位。又如：目前中国汽车市场已经高度繁荣，产量达到世界第一，但中国汽车企业的竞争力却没有实质提升，合资汽车企业仍倾向于从外方直接获得技术援助，而不是通过自主开发形成独立的技术创新能力。根据国际经验，在来料加工的贸易方式中，生产国实际能够得到的外汇收入仅为贸易额的</w:t>
      </w:r>
      <w:r>
        <w:rPr>
          <w:rFonts w:hint="eastAsia" w:cs="Calibri"/>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左右，国民所得更为有限。中国目前大量从事贴牌生产的企业，其利润额的</w:t>
      </w:r>
      <w:r>
        <w:rPr>
          <w:rFonts w:hint="eastAsia" w:cs="Calibri"/>
          <w:color w:val="000000" w:themeColor="text1"/>
          <w14:textFill>
            <w14:solidFill>
              <w14:schemeClr w14:val="tx1"/>
            </w14:solidFill>
          </w14:textFill>
        </w:rPr>
        <w:t>92%</w:t>
      </w:r>
      <w:r>
        <w:rPr>
          <w:rFonts w:hint="eastAsia" w:ascii="宋体" w:hAnsi="宋体"/>
          <w:color w:val="000000" w:themeColor="text1"/>
          <w14:textFill>
            <w14:solidFill>
              <w14:schemeClr w14:val="tx1"/>
            </w14:solidFill>
          </w14:textFill>
        </w:rPr>
        <w:t>都要被外资公司拿走，留在国内的不足</w:t>
      </w:r>
      <w:r>
        <w:rPr>
          <w:rFonts w:hint="eastAsia" w:cs="Calibri"/>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。令人痛心的是，在这样微薄的利润下，我国出口产品既要参与国际市场价格竞争，还要同时受到贸易伙伴国内知识产权法律的限制。例如，目前我国已经成为美国超级</w:t>
      </w:r>
      <w:r>
        <w:rPr>
          <w:rFonts w:hint="eastAsia" w:cs="Calibri"/>
          <w:color w:val="000000" w:themeColor="text1"/>
          <w14:textFill>
            <w14:solidFill>
              <w14:schemeClr w14:val="tx1"/>
            </w14:solidFill>
          </w14:textFill>
        </w:rPr>
        <w:t>301</w:t>
      </w:r>
      <w:r>
        <w:rPr>
          <w:rFonts w:hint="eastAsia" w:ascii="宋体" w:hAnsi="宋体"/>
          <w:color w:val="000000" w:themeColor="text1"/>
          <w14:textFill>
            <w14:solidFill>
              <w14:schemeClr w14:val="tx1"/>
            </w14:solidFill>
          </w14:textFill>
        </w:rPr>
        <w:t>调查最多的国家。当中国放弃粗放式的价格竞争而转向技术和品牌竞争时，西方跨国企业却凭借其在知识产权领域的先发优势打压中国产品出口。据报道，目前我国已连续</w:t>
      </w:r>
      <w:r>
        <w:rPr>
          <w:rFonts w:hint="eastAsia" w:cs="Calibri"/>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年位居</w:t>
      </w:r>
      <w:r>
        <w:rPr>
          <w:rFonts w:hint="eastAsia" w:cs="Calibri"/>
          <w:color w:val="000000" w:themeColor="text1"/>
          <w14:textFill>
            <w14:solidFill>
              <w14:schemeClr w14:val="tx1"/>
            </w14:solidFill>
          </w14:textFill>
        </w:rPr>
        <w:t>337</w:t>
      </w:r>
      <w:r>
        <w:rPr>
          <w:rFonts w:hint="eastAsia" w:ascii="宋体" w:hAnsi="宋体"/>
          <w:color w:val="000000" w:themeColor="text1"/>
          <w14:textFill>
            <w14:solidFill>
              <w14:schemeClr w14:val="tx1"/>
            </w14:solidFill>
          </w14:textFill>
        </w:rPr>
        <w:t>调查涉案国家（地区）的首位。可见，对外技术依存度过高，已成为加剧我国国际贸易争端、恶化国际竞争环境的一个重要因素。</w:t>
      </w:r>
    </w:p>
    <w:p w14:paraId="529FB0F6">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对外技术依存度过高加剧国内低水平竞争。由于过度依赖于外国技术，我国现有的发明和专利主要还是集中在外观和实用新型技术上，原始技术特别是核心和关键技术一直难有重大突破，而外国投资商和技术拥有者却坐收巨大的专利利益。过度依赖于外国技术，还导致国内企业短期化倾向严重。很多企业只是简单地依靠来料加工、代工贴牌来维持生产运营，赚取生产链低端的微薄利润，并不真正努力创立自主独立的知识产权和知名品牌，使产业陷入低水平重复建设和恶性竞争，从而加剧产业同一化的弊端，为产业结构进一步优化升级和转变国内经济发展方式增加了困难。</w:t>
      </w:r>
    </w:p>
    <w:p w14:paraId="2E6FB5D6">
      <w:pPr>
        <w:spacing w:line="400" w:lineRule="exact"/>
        <w:ind w:firstLine="420" w:firstLineChars="200"/>
        <w:rPr>
          <w:color w:val="000000" w:themeColor="text1"/>
          <w14:textFill>
            <w14:solidFill>
              <w14:schemeClr w14:val="tx1"/>
            </w14:solidFill>
          </w14:textFill>
        </w:rPr>
      </w:pP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外汇储备过大产生的利益损失和国际争端风险</w:t>
      </w:r>
    </w:p>
    <w:p w14:paraId="6F7D0606">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出口创汇导向型的对外经济发展方式所带来的问题，经过长期的积累，必然使我国在外汇储备规模和结构方面的矛盾日益突出。首先是外汇储备规模过大。从纵向角度看，在开放过程中我国外汇储备存在着过快增长的趋势。根据国家统计局公布的数据，</w:t>
      </w:r>
      <w:r>
        <w:rPr>
          <w:rFonts w:hint="eastAsia" w:cs="Calibri"/>
          <w:color w:val="000000" w:themeColor="text1"/>
          <w14:textFill>
            <w14:solidFill>
              <w14:schemeClr w14:val="tx1"/>
            </w14:solidFill>
          </w14:textFill>
        </w:rPr>
        <w:t>2000</w:t>
      </w:r>
      <w:r>
        <w:rPr>
          <w:rFonts w:hint="eastAsia" w:ascii="宋体" w:hAnsi="宋体"/>
          <w:color w:val="000000" w:themeColor="text1"/>
          <w14:textFill>
            <w14:solidFill>
              <w14:schemeClr w14:val="tx1"/>
            </w14:solidFill>
          </w14:textFill>
        </w:rPr>
        <w:t>年我国外汇储备规模还仅有</w:t>
      </w:r>
      <w:r>
        <w:rPr>
          <w:rFonts w:hint="eastAsia" w:cs="Calibri"/>
          <w:color w:val="000000" w:themeColor="text1"/>
          <w14:textFill>
            <w14:solidFill>
              <w14:schemeClr w14:val="tx1"/>
            </w14:solidFill>
          </w14:textFill>
        </w:rPr>
        <w:t>1655</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亿美元，而</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年末即达到</w:t>
      </w:r>
      <w:r>
        <w:rPr>
          <w:rFonts w:hint="eastAsia" w:cs="Calibri"/>
          <w:color w:val="000000" w:themeColor="text1"/>
          <w14:textFill>
            <w14:solidFill>
              <w14:schemeClr w14:val="tx1"/>
            </w14:solidFill>
          </w14:textFill>
        </w:rPr>
        <w:t>23992</w:t>
      </w:r>
      <w:r>
        <w:rPr>
          <w:rFonts w:hint="eastAsia" w:ascii="宋体" w:hAnsi="宋体"/>
          <w:color w:val="000000" w:themeColor="text1"/>
          <w14:textFill>
            <w14:solidFill>
              <w14:schemeClr w14:val="tx1"/>
            </w14:solidFill>
          </w14:textFill>
        </w:rPr>
        <w:t>亿美元，这一上升势头仍在保持。据国家外汇管理局最新公布的数据，截至</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月我国外汇储备已达</w:t>
      </w:r>
      <w:r>
        <w:rPr>
          <w:rFonts w:hint="eastAsia" w:cs="Calibri"/>
          <w:color w:val="000000" w:themeColor="text1"/>
          <w14:textFill>
            <w14:solidFill>
              <w14:schemeClr w14:val="tx1"/>
            </w14:solidFill>
          </w14:textFill>
        </w:rPr>
        <w:t>26483</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03</w:t>
      </w:r>
      <w:r>
        <w:rPr>
          <w:rFonts w:hint="eastAsia" w:ascii="宋体" w:hAnsi="宋体"/>
          <w:color w:val="000000" w:themeColor="text1"/>
          <w14:textFill>
            <w14:solidFill>
              <w14:schemeClr w14:val="tx1"/>
            </w14:solidFill>
          </w14:textFill>
        </w:rPr>
        <w:t>亿美元，增长幅度超过了同期</w:t>
      </w:r>
      <w:r>
        <w:rPr>
          <w:rFonts w:hint="eastAsia" w:cs="Calibri"/>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增长幅度。从横向角度看，我国外汇储备的规模过大，还体现在其相对国内生产总值的比重过高，</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年我国外汇储备占国内生产总值的比重已经接近</w:t>
      </w:r>
      <w:r>
        <w:rPr>
          <w:rFonts w:hint="eastAsia" w:cs="Calibri"/>
          <w:color w:val="000000" w:themeColor="text1"/>
          <w14:textFill>
            <w14:solidFill>
              <w14:schemeClr w14:val="tx1"/>
            </w14:solidFill>
          </w14:textFill>
        </w:rPr>
        <w:t>45%.2009</w:t>
      </w:r>
      <w:r>
        <w:rPr>
          <w:rFonts w:hint="eastAsia" w:ascii="宋体" w:hAnsi="宋体"/>
          <w:color w:val="000000" w:themeColor="text1"/>
          <w14:textFill>
            <w14:solidFill>
              <w14:schemeClr w14:val="tx1"/>
            </w14:solidFill>
          </w14:textFill>
        </w:rPr>
        <w:t>年这一比重已经上升到</w:t>
      </w:r>
      <w:r>
        <w:rPr>
          <w:rFonts w:hint="eastAsia" w:cs="Calibri"/>
          <w:color w:val="000000" w:themeColor="text1"/>
          <w14:textFill>
            <w14:solidFill>
              <w14:schemeClr w14:val="tx1"/>
            </w14:solidFill>
          </w14:textFill>
        </w:rPr>
        <w:t>48</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，并且目前仍在保持着快速上升势头。而同期其他各主要经济大国一般保持在</w:t>
      </w:r>
      <w:r>
        <w:rPr>
          <w:rFonts w:hint="eastAsia" w:cs="Calibri"/>
          <w:color w:val="000000" w:themeColor="text1"/>
          <w14:textFill>
            <w14:solidFill>
              <w14:schemeClr w14:val="tx1"/>
            </w14:solidFill>
          </w14:textFill>
        </w:rPr>
        <w:t>25%</w:t>
      </w:r>
      <w:r>
        <w:rPr>
          <w:rFonts w:hint="eastAsia" w:ascii="宋体" w:hAnsi="宋体"/>
          <w:color w:val="000000" w:themeColor="text1"/>
          <w14:textFill>
            <w14:solidFill>
              <w14:schemeClr w14:val="tx1"/>
            </w14:solidFill>
          </w14:textFill>
        </w:rPr>
        <w:t>以下。尽管美国因其美元地位是个例外，但德国这样外贸依存度高达</w:t>
      </w:r>
      <w:r>
        <w:rPr>
          <w:rFonts w:hint="eastAsia" w:cs="Calibri"/>
          <w:color w:val="000000" w:themeColor="text1"/>
          <w14:textFill>
            <w14:solidFill>
              <w14:schemeClr w14:val="tx1"/>
            </w14:solidFill>
          </w14:textFill>
        </w:rPr>
        <w:t>73%</w:t>
      </w:r>
      <w:r>
        <w:rPr>
          <w:rFonts w:hint="eastAsia" w:ascii="宋体" w:hAnsi="宋体"/>
          <w:color w:val="000000" w:themeColor="text1"/>
          <w14:textFill>
            <w14:solidFill>
              <w14:schemeClr w14:val="tx1"/>
            </w14:solidFill>
          </w14:textFill>
        </w:rPr>
        <w:t>的国家，其外汇储备也仅仅维持在不到</w:t>
      </w:r>
      <w:r>
        <w:rPr>
          <w:rFonts w:hint="eastAsia" w:cs="Calibri"/>
          <w:color w:val="000000" w:themeColor="text1"/>
          <w14:textFill>
            <w14:solidFill>
              <w14:schemeClr w14:val="tx1"/>
            </w14:solidFill>
          </w14:textFill>
        </w:rPr>
        <w:t>11%</w:t>
      </w:r>
      <w:r>
        <w:rPr>
          <w:rFonts w:hint="eastAsia" w:ascii="宋体" w:hAnsi="宋体"/>
          <w:color w:val="000000" w:themeColor="text1"/>
          <w14:textFill>
            <w14:solidFill>
              <w14:schemeClr w14:val="tx1"/>
            </w14:solidFill>
          </w14:textFill>
        </w:rPr>
        <w:t>的低水平（见表</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）。可见，中国外汇储备的规模，已经不仅仅远远高于发达资本主义国家，也高于一般发展中国家（如巴西、印度）的水平。</w:t>
      </w:r>
    </w:p>
    <w:p w14:paraId="7DBC5F9E">
      <w:pPr>
        <w:spacing w:line="400" w:lineRule="exact"/>
        <w:ind w:firstLine="420" w:firstLineChars="200"/>
        <w:jc w:val="center"/>
        <w:rPr>
          <w:color w:val="000000" w:themeColor="text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705344" behindDoc="0" locked="0" layoutInCell="1" allowOverlap="1">
            <wp:simplePos x="0" y="0"/>
            <wp:positionH relativeFrom="column">
              <wp:posOffset>885190</wp:posOffset>
            </wp:positionH>
            <wp:positionV relativeFrom="paragraph">
              <wp:posOffset>301625</wp:posOffset>
            </wp:positionV>
            <wp:extent cx="3314065" cy="1416685"/>
            <wp:effectExtent l="0" t="0" r="13335" b="5715"/>
            <wp:wrapTopAndBottom/>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a:xfrm>
                      <a:off x="0" y="0"/>
                      <a:ext cx="3314065" cy="1416685"/>
                    </a:xfrm>
                    <a:prstGeom prst="rect">
                      <a:avLst/>
                    </a:prstGeom>
                    <a:noFill/>
                    <a:ln>
                      <a:noFill/>
                    </a:ln>
                  </pic:spPr>
                </pic:pic>
              </a:graphicData>
            </a:graphic>
          </wp:anchor>
        </w:drawing>
      </w:r>
      <w:r>
        <w:rPr>
          <w:rFonts w:hint="eastAsia" w:ascii="宋体" w:hAnsi="宋体"/>
          <w:color w:val="000000" w:themeColor="text1"/>
          <w14:textFill>
            <w14:solidFill>
              <w14:schemeClr w14:val="tx1"/>
            </w14:solidFill>
          </w14:textFill>
        </w:rPr>
        <w:t>表</w:t>
      </w:r>
      <w:r>
        <w:rPr>
          <w:rFonts w:hint="eastAsia" w:cs="Calibri"/>
          <w:color w:val="000000" w:themeColor="text1"/>
          <w14:textFill>
            <w14:solidFill>
              <w14:schemeClr w14:val="tx1"/>
            </w14:solidFill>
          </w14:textFill>
        </w:rPr>
        <w:t>1</w:t>
      </w:r>
      <w:r>
        <w:rPr>
          <w:rFonts w:cs="Calibri"/>
          <w:color w:val="000000" w:themeColor="text1"/>
          <w14:textFill>
            <w14:solidFill>
              <w14:schemeClr w14:val="tx1"/>
            </w14:solidFill>
          </w14:textFill>
        </w:rPr>
        <w:t xml:space="preserve">  </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年外汇储备占国内生产总值比重的国际</w:t>
      </w:r>
    </w:p>
    <w:p w14:paraId="25823CE8">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次，我国外汇储备结构不合理。对外贸易中产生的巨额外汇储备，因对外直接投资时受西方国家限制，只能投资于美国等发达资本主义国家的政府和企业债券。我国近年来已经成为美国的“头号债主”，据美国《华盛顿日报》</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月</w:t>
      </w:r>
      <w:r>
        <w:rPr>
          <w:rFonts w:hint="eastAsia" w:cs="Calibri"/>
          <w:color w:val="000000" w:themeColor="text1"/>
          <w14:textFill>
            <w14:solidFill>
              <w14:schemeClr w14:val="tx1"/>
            </w14:solidFill>
          </w14:textFill>
        </w:rPr>
        <w:t>16</w:t>
      </w:r>
      <w:r>
        <w:rPr>
          <w:rFonts w:hint="eastAsia" w:ascii="宋体" w:hAnsi="宋体"/>
          <w:color w:val="000000" w:themeColor="text1"/>
          <w14:textFill>
            <w14:solidFill>
              <w14:schemeClr w14:val="tx1"/>
            </w14:solidFill>
          </w14:textFill>
        </w:rPr>
        <w:t>日转述美国财政部月度国际资本的报告，截至</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月我国所持美国国债总额高达</w:t>
      </w:r>
      <w:r>
        <w:rPr>
          <w:rFonts w:hint="eastAsia" w:cs="Calibri"/>
          <w:color w:val="000000" w:themeColor="text1"/>
          <w14:textFill>
            <w14:solidFill>
              <w14:schemeClr w14:val="tx1"/>
            </w14:solidFill>
          </w14:textFill>
        </w:rPr>
        <w:t>9048</w:t>
      </w:r>
      <w:r>
        <w:rPr>
          <w:rFonts w:hint="eastAsia" w:ascii="宋体" w:hAnsi="宋体"/>
          <w:color w:val="000000" w:themeColor="text1"/>
          <w14:textFill>
            <w14:solidFill>
              <w14:schemeClr w14:val="tx1"/>
            </w14:solidFill>
          </w14:textFill>
        </w:rPr>
        <w:t>亿美元。由于我国外汇储备存在形式相对单一和相对集中，使外汇风险也相对增大。外汇储备相对于经济总量规模过高和结构上的不合理，在实践上会导致一系列难题。</w:t>
      </w:r>
    </w:p>
    <w:p w14:paraId="5F1EE7FF">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）加大人民币升值压力。在美元为储备主体且美国是主要贸易对象的情况下，我国外汇储备规模过大，使人民币面临较大的升值压力。本来，将贸易问题与人民币汇率挂钩并没有依据，</w:t>
      </w:r>
      <w:r>
        <w:rPr>
          <w:rFonts w:hint="eastAsia" w:cs="Calibri"/>
          <w:color w:val="000000" w:themeColor="text1"/>
          <w14:textFill>
            <w14:solidFill>
              <w14:schemeClr w14:val="tx1"/>
            </w14:solidFill>
          </w14:textFill>
        </w:rPr>
        <w:t>2005</w:t>
      </w:r>
      <w:r>
        <w:rPr>
          <w:rFonts w:hint="eastAsia" w:ascii="宋体" w:hAnsi="宋体"/>
          <w:color w:val="000000" w:themeColor="text1"/>
          <w14:textFill>
            <w14:solidFill>
              <w14:schemeClr w14:val="tx1"/>
            </w14:solidFill>
          </w14:textFill>
        </w:rPr>
        <w:t>年我国进行汇率改革以来，人民币汇率已累计上升约</w:t>
      </w:r>
      <w:r>
        <w:rPr>
          <w:rFonts w:hint="eastAsia" w:cs="Calibri"/>
          <w:color w:val="000000" w:themeColor="text1"/>
          <w14:textFill>
            <w14:solidFill>
              <w14:schemeClr w14:val="tx1"/>
            </w14:solidFill>
          </w14:textFill>
        </w:rPr>
        <w:t>25%</w:t>
      </w:r>
      <w:r>
        <w:rPr>
          <w:rFonts w:hint="eastAsia" w:ascii="宋体" w:hAnsi="宋体"/>
          <w:color w:val="000000" w:themeColor="text1"/>
          <w14:textFill>
            <w14:solidFill>
              <w14:schemeClr w14:val="tx1"/>
            </w14:solidFill>
          </w14:textFill>
        </w:rPr>
        <w:t>，但外贸顺差仍然在急剧增加，汇率并不是造成贸易失衡的主要原因。但西方国家却将两者挂钩，目前我国的“外汇储备过万亿”，已经被美国等发达国家看作是人民币币值低估的最具体表现。在这一借口下，美国等国家已经开始更加强硬地要求人民币升值，并且以各种制裁措施相威胁，导致我国商品出口遭遇较多的贸易摩擦和贸易壁垒，在个别情况下还会激化贸易争端。</w:t>
      </w:r>
    </w:p>
    <w:p w14:paraId="6FAB94E1">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加大国内宏观调控难度。外汇储备规模过大的一个直接影响，就是通过货币传导机制干扰国内的经济平稳运行。在现有结售汇制度下，我国的外汇储备管理制度实际上已经导致了人民币的超额发行，并容易使中央银行货币的政策独立性落空。它对国内经济生活的消极影响：一是会引起国内流动性过剩，使资产价格过度上涨，加大经济泡沫风险；二是促使国内非理性投资活动膨胀，扰乱正常的投资活动和生产经营；三是扭曲价格机制，削弱市场配置资源的功能。这些因素，在客观上都加大了我国宏观调控的难度。</w:t>
      </w:r>
    </w:p>
    <w:p w14:paraId="7F8E6A62">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导致国民财富大量流失。虽然自人民币汇率改革以来，我国外汇储备已经开始转向一揽子储备方式，但其中美元储备还是大头，外汇储备结构不合理的情况仍没有根本改变，为我国国民财富流失埋下了隐患。外汇储备过高带来的国民财富损失主要通过两种方式：间接方式和直接方式。间接流失主要体现为外汇贬值带来的损失。截至</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年末，中国持有美国国债</w:t>
      </w:r>
      <w:r>
        <w:rPr>
          <w:rFonts w:hint="eastAsia" w:cs="Calibri"/>
          <w:color w:val="000000" w:themeColor="text1"/>
          <w14:textFill>
            <w14:solidFill>
              <w14:schemeClr w14:val="tx1"/>
            </w14:solidFill>
          </w14:textFill>
        </w:rPr>
        <w:t>8948</w:t>
      </w:r>
      <w:r>
        <w:rPr>
          <w:rFonts w:hint="eastAsia" w:ascii="宋体" w:hAnsi="宋体"/>
          <w:color w:val="000000" w:themeColor="text1"/>
          <w14:textFill>
            <w14:solidFill>
              <w14:schemeClr w14:val="tx1"/>
            </w14:solidFill>
          </w14:textFill>
        </w:rPr>
        <w:t>亿美元，比美国国债第二大买主日本持有的</w:t>
      </w:r>
      <w:r>
        <w:rPr>
          <w:rFonts w:hint="eastAsia" w:cs="Calibri"/>
          <w:color w:val="000000" w:themeColor="text1"/>
          <w14:textFill>
            <w14:solidFill>
              <w14:schemeClr w14:val="tx1"/>
            </w14:solidFill>
          </w14:textFill>
        </w:rPr>
        <w:t>7688</w:t>
      </w:r>
      <w:r>
        <w:rPr>
          <w:rFonts w:hint="eastAsia" w:ascii="宋体" w:hAnsi="宋体"/>
          <w:color w:val="000000" w:themeColor="text1"/>
          <w14:textFill>
            <w14:solidFill>
              <w14:schemeClr w14:val="tx1"/>
            </w14:solidFill>
          </w14:textFill>
        </w:rPr>
        <w:t>亿美元还多出</w:t>
      </w:r>
      <w:r>
        <w:rPr>
          <w:rFonts w:hint="eastAsia" w:cs="Calibri"/>
          <w:color w:val="000000" w:themeColor="text1"/>
          <w14:textFill>
            <w14:solidFill>
              <w14:schemeClr w14:val="tx1"/>
            </w14:solidFill>
          </w14:textFill>
        </w:rPr>
        <w:t>1260</w:t>
      </w:r>
      <w:r>
        <w:rPr>
          <w:rFonts w:hint="eastAsia" w:ascii="宋体" w:hAnsi="宋体"/>
          <w:color w:val="000000" w:themeColor="text1"/>
          <w14:textFill>
            <w14:solidFill>
              <w14:schemeClr w14:val="tx1"/>
            </w14:solidFill>
          </w14:textFill>
        </w:rPr>
        <w:t>亿美元。由于中国成为美国国债第一大买主，因此，日趋走低的美元汇率，也使中国成为外汇储备贬值损失最大的国家。而美国则从中国外汇贬值中受益：根据美国会研究局</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月发布的报告，如果没有中国大规模购买美国国债，美国利率将提高</w:t>
      </w:r>
      <w:r>
        <w:rPr>
          <w:rFonts w:hint="eastAsia" w:cs="Calibri"/>
          <w:color w:val="000000" w:themeColor="text1"/>
          <w14:textFill>
            <w14:solidFill>
              <w14:schemeClr w14:val="tx1"/>
            </w14:solidFill>
          </w14:textFill>
        </w:rPr>
        <w:t>0</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个百分点，相应需要多支出国债利息约</w:t>
      </w:r>
      <w:r>
        <w:rPr>
          <w:rFonts w:hint="eastAsia" w:cs="Calibri"/>
          <w:color w:val="000000" w:themeColor="text1"/>
          <w14:textFill>
            <w14:solidFill>
              <w14:schemeClr w14:val="tx1"/>
            </w14:solidFill>
          </w14:textFill>
        </w:rPr>
        <w:t>616</w:t>
      </w:r>
      <w:r>
        <w:rPr>
          <w:rFonts w:hint="eastAsia" w:ascii="宋体" w:hAnsi="宋体"/>
          <w:color w:val="000000" w:themeColor="text1"/>
          <w14:textFill>
            <w14:solidFill>
              <w14:schemeClr w14:val="tx1"/>
            </w14:solidFill>
          </w14:textFill>
        </w:rPr>
        <w:t>亿美元。从直接损失来看，</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年中国持有美国债券组合投资有</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06</w:t>
      </w:r>
      <w:r>
        <w:rPr>
          <w:rFonts w:hint="eastAsia" w:ascii="宋体" w:hAnsi="宋体"/>
          <w:color w:val="000000" w:themeColor="text1"/>
          <w14:textFill>
            <w14:solidFill>
              <w14:schemeClr w14:val="tx1"/>
            </w14:solidFill>
          </w14:textFill>
        </w:rPr>
        <w:t>万亿美元，除了</w:t>
      </w:r>
      <w:r>
        <w:rPr>
          <w:rFonts w:hint="eastAsia" w:cs="Calibri"/>
          <w:color w:val="000000" w:themeColor="text1"/>
          <w14:textFill>
            <w14:solidFill>
              <w14:schemeClr w14:val="tx1"/>
            </w14:solidFill>
          </w14:textFill>
        </w:rPr>
        <w:t>51%</w:t>
      </w:r>
      <w:r>
        <w:rPr>
          <w:rFonts w:hint="eastAsia" w:ascii="宋体" w:hAnsi="宋体"/>
          <w:color w:val="000000" w:themeColor="text1"/>
          <w14:textFill>
            <w14:solidFill>
              <w14:schemeClr w14:val="tx1"/>
            </w14:solidFill>
          </w14:textFill>
        </w:rPr>
        <w:t>美国国债外，还有</w:t>
      </w:r>
      <w:r>
        <w:rPr>
          <w:rFonts w:hint="eastAsia" w:cs="Calibri"/>
          <w:color w:val="000000" w:themeColor="text1"/>
          <w14:textFill>
            <w14:solidFill>
              <w14:schemeClr w14:val="tx1"/>
            </w14:solidFill>
          </w14:textFill>
        </w:rPr>
        <w:t>42%</w:t>
      </w:r>
      <w:r>
        <w:rPr>
          <w:rFonts w:hint="eastAsia" w:ascii="宋体" w:hAnsi="宋体"/>
          <w:color w:val="000000" w:themeColor="text1"/>
          <w14:textFill>
            <w14:solidFill>
              <w14:schemeClr w14:val="tx1"/>
            </w14:solidFill>
          </w14:textFill>
        </w:rPr>
        <w:t>为政府相关企业债券，</w:t>
      </w:r>
      <w:r>
        <w:rPr>
          <w:rFonts w:hint="eastAsia" w:cs="Calibri"/>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企业债券，其中包括大量的资产支持证券和抵押债务证券。仅我国持有的“两房”债券，就可能高达</w:t>
      </w:r>
      <w:r>
        <w:rPr>
          <w:rFonts w:hint="eastAsia" w:cs="Calibri"/>
          <w:color w:val="000000" w:themeColor="text1"/>
          <w14:textFill>
            <w14:solidFill>
              <w14:schemeClr w14:val="tx1"/>
            </w14:solidFill>
          </w14:textFill>
        </w:rPr>
        <w:t>3760</w:t>
      </w:r>
      <w:r>
        <w:rPr>
          <w:rFonts w:hint="eastAsia" w:ascii="宋体" w:hAnsi="宋体"/>
          <w:color w:val="000000" w:themeColor="text1"/>
          <w14:textFill>
            <w14:solidFill>
              <w14:schemeClr w14:val="tx1"/>
            </w14:solidFill>
          </w14:textFill>
        </w:rPr>
        <w:t>亿美元。尽管我国海外投资损失的数据没有公开，但美国次贷危机后企业倒闭、破产和经济萧条等，直接使我国在美投资的债券，特别是资产支持证券和抵押债务证券遭受重创，使外汇储备蒙受了巨大的直接经济损失。</w:t>
      </w:r>
    </w:p>
    <w:p w14:paraId="1B0243EC">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外汇储备结构不合理，还导致人民币面临着进一步的贬值风险。本来，金融危机爆发后，美国为应对金融危机通过了所谓的巨额救市法案，其近</w:t>
      </w:r>
      <w:r>
        <w:rPr>
          <w:rFonts w:hint="eastAsia" w:cs="Calibri"/>
          <w:color w:val="000000" w:themeColor="text1"/>
          <w14:textFill>
            <w14:solidFill>
              <w14:schemeClr w14:val="tx1"/>
            </w14:solidFill>
          </w14:textFill>
        </w:rPr>
        <w:t>8000</w:t>
      </w:r>
      <w:r>
        <w:rPr>
          <w:rFonts w:hint="eastAsia" w:ascii="宋体" w:hAnsi="宋体"/>
          <w:color w:val="000000" w:themeColor="text1"/>
          <w14:textFill>
            <w14:solidFill>
              <w14:schemeClr w14:val="tx1"/>
            </w14:solidFill>
          </w14:textFill>
        </w:rPr>
        <w:t>亿美元救市资金中的很大一部分，主要通过发行债券来筹集。而继</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月</w:t>
      </w:r>
      <w:r>
        <w:rPr>
          <w:rFonts w:hint="eastAsia" w:cs="Calibri"/>
          <w:color w:val="000000" w:themeColor="text1"/>
          <w14:textFill>
            <w14:solidFill>
              <w14:schemeClr w14:val="tx1"/>
            </w14:solidFill>
          </w14:textFill>
        </w:rPr>
        <w:t>18</w:t>
      </w:r>
      <w:r>
        <w:rPr>
          <w:rFonts w:hint="eastAsia" w:ascii="宋体" w:hAnsi="宋体"/>
          <w:color w:val="000000" w:themeColor="text1"/>
          <w14:textFill>
            <w14:solidFill>
              <w14:schemeClr w14:val="tx1"/>
            </w14:solidFill>
          </w14:textFill>
        </w:rPr>
        <w:t>日美联储首次实施量化宽松货币政策不久，</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11</w:t>
      </w:r>
      <w:r>
        <w:rPr>
          <w:rFonts w:hint="eastAsia" w:ascii="宋体" w:hAnsi="宋体"/>
          <w:color w:val="000000" w:themeColor="text1"/>
          <w14:textFill>
            <w14:solidFill>
              <w14:schemeClr w14:val="tx1"/>
            </w14:solidFill>
          </w14:textFill>
        </w:rPr>
        <w:t>月初，美联储又推出了第二轮量化宽松政策，继续向市场大量注入货币。这些措施已经导致中国外汇储备因贬值而损失较大。最近美联储主席伯南克又表示，不排除推出第三轮的量化宽松政策。据部分学者估计，美国为保证经济增长并避免通货紧缩，将不得不启动新的量化宽松政策。如果这一趋势延续下去，随着美元大幅贬值和全球大宗商品价格上扬，我国美元资产收益将进一步降低，外汇储备面临的损失和风险也将日益加大。</w:t>
      </w:r>
    </w:p>
    <w:p w14:paraId="6D923F7D">
      <w:pPr>
        <w:spacing w:line="400" w:lineRule="exact"/>
        <w:ind w:firstLine="420" w:firstLineChars="200"/>
        <w:rPr>
          <w:color w:val="000000" w:themeColor="text1"/>
          <w14:textFill>
            <w14:solidFill>
              <w14:schemeClr w14:val="tx1"/>
            </w14:solidFill>
          </w14:textFill>
        </w:rPr>
      </w:pPr>
      <w:r>
        <w:rPr>
          <w:rFonts w:hint="eastAsia" w:cs="Calibri"/>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外贸规模过大导致的经济运行风险</w:t>
      </w:r>
    </w:p>
    <w:p w14:paraId="7B2362DC">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对外贸易依存度是指在一定时期内（通常为一年）一国或地区的进出口贸易总值占其国内生产总值或国民生产总值的比重，是衡量一国经济发展对对外贸易依赖程度的重要指标。改革开放以来，我国对外贸易规模逐年扩大。进出口总额从</w:t>
      </w:r>
      <w:r>
        <w:rPr>
          <w:rFonts w:hint="eastAsia" w:cs="Calibri"/>
          <w:color w:val="000000" w:themeColor="text1"/>
          <w14:textFill>
            <w14:solidFill>
              <w14:schemeClr w14:val="tx1"/>
            </w14:solidFill>
          </w14:textFill>
        </w:rPr>
        <w:t>1978</w:t>
      </w:r>
      <w:r>
        <w:rPr>
          <w:rFonts w:hint="eastAsia" w:ascii="宋体" w:hAnsi="宋体"/>
          <w:color w:val="000000" w:themeColor="text1"/>
          <w14:textFill>
            <w14:solidFill>
              <w14:schemeClr w14:val="tx1"/>
            </w14:solidFill>
          </w14:textFill>
        </w:rPr>
        <w:t>年的</w:t>
      </w:r>
      <w:r>
        <w:rPr>
          <w:rFonts w:hint="eastAsia" w:cs="Calibri"/>
          <w:color w:val="000000" w:themeColor="text1"/>
          <w14:textFill>
            <w14:solidFill>
              <w14:schemeClr w14:val="tx1"/>
            </w14:solidFill>
          </w14:textFill>
        </w:rPr>
        <w:t>206</w:t>
      </w:r>
      <w:r>
        <w:rPr>
          <w:rFonts w:hint="eastAsia" w:ascii="宋体" w:hAnsi="宋体"/>
          <w:color w:val="000000" w:themeColor="text1"/>
          <w14:textFill>
            <w14:solidFill>
              <w14:schemeClr w14:val="tx1"/>
            </w14:solidFill>
          </w14:textFill>
        </w:rPr>
        <w:t>亿美元，发展到</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年的</w:t>
      </w:r>
      <w:r>
        <w:rPr>
          <w:rFonts w:hint="eastAsia" w:cs="Calibri"/>
          <w:color w:val="000000" w:themeColor="text1"/>
          <w14:textFill>
            <w14:solidFill>
              <w14:schemeClr w14:val="tx1"/>
            </w14:solidFill>
          </w14:textFill>
        </w:rPr>
        <w:t>25616</w:t>
      </w:r>
      <w:r>
        <w:rPr>
          <w:rFonts w:hint="eastAsia" w:ascii="宋体" w:hAnsi="宋体"/>
          <w:color w:val="000000" w:themeColor="text1"/>
          <w14:textFill>
            <w14:solidFill>
              <w14:schemeClr w14:val="tx1"/>
            </w14:solidFill>
          </w14:textFill>
        </w:rPr>
        <w:t>亿美元，</w:t>
      </w:r>
      <w:r>
        <w:rPr>
          <w:rFonts w:hint="eastAsia" w:cs="Calibri"/>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年增长了</w:t>
      </w:r>
      <w:r>
        <w:rPr>
          <w:rFonts w:hint="eastAsia" w:cs="Calibri"/>
          <w:color w:val="000000" w:themeColor="text1"/>
          <w14:textFill>
            <w14:solidFill>
              <w14:schemeClr w14:val="tx1"/>
            </w14:solidFill>
          </w14:textFill>
        </w:rPr>
        <w:t>124</w:t>
      </w:r>
      <w:r>
        <w:rPr>
          <w:rFonts w:hint="eastAsia" w:ascii="宋体" w:hAnsi="宋体"/>
          <w:color w:val="000000" w:themeColor="text1"/>
          <w14:textFill>
            <w14:solidFill>
              <w14:schemeClr w14:val="tx1"/>
            </w14:solidFill>
          </w14:textFill>
        </w:rPr>
        <w:t>倍。</w:t>
      </w:r>
    </w:p>
    <w:p w14:paraId="089BF9A5">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相应地，我国的外贸依存度在</w:t>
      </w:r>
      <w:r>
        <w:rPr>
          <w:rFonts w:hint="eastAsia" w:cs="Calibri"/>
          <w:color w:val="000000" w:themeColor="text1"/>
          <w14:textFill>
            <w14:solidFill>
              <w14:schemeClr w14:val="tx1"/>
            </w14:solidFill>
          </w14:textFill>
        </w:rPr>
        <w:t>1978</w:t>
      </w:r>
      <w:r>
        <w:rPr>
          <w:rFonts w:hint="eastAsia" w:ascii="宋体" w:hAnsi="宋体"/>
          <w:color w:val="000000" w:themeColor="text1"/>
          <w14:textFill>
            <w14:solidFill>
              <w14:schemeClr w14:val="tx1"/>
            </w14:solidFill>
          </w14:textFill>
        </w:rPr>
        <w:t>年时仅为</w:t>
      </w:r>
      <w:r>
        <w:rPr>
          <w:rFonts w:hint="eastAsia" w:cs="Calibri"/>
          <w:color w:val="000000" w:themeColor="text1"/>
          <w14:textFill>
            <w14:solidFill>
              <w14:schemeClr w14:val="tx1"/>
            </w14:solidFill>
          </w14:textFill>
        </w:rPr>
        <w:t>9</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74%</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2004</w:t>
      </w:r>
      <w:r>
        <w:rPr>
          <w:rFonts w:hint="eastAsia" w:ascii="宋体" w:hAnsi="宋体"/>
          <w:color w:val="000000" w:themeColor="text1"/>
          <w14:textFill>
            <w14:solidFill>
              <w14:schemeClr w14:val="tx1"/>
            </w14:solidFill>
          </w14:textFill>
        </w:rPr>
        <w:t>年和</w:t>
      </w:r>
      <w:r>
        <w:rPr>
          <w:rFonts w:hint="eastAsia" w:cs="Calibri"/>
          <w:color w:val="000000" w:themeColor="text1"/>
          <w14:textFill>
            <w14:solidFill>
              <w14:schemeClr w14:val="tx1"/>
            </w14:solidFill>
          </w14:textFill>
        </w:rPr>
        <w:t>2005</w:t>
      </w:r>
      <w:r>
        <w:rPr>
          <w:rFonts w:hint="eastAsia" w:ascii="宋体" w:hAnsi="宋体"/>
          <w:color w:val="000000" w:themeColor="text1"/>
          <w14:textFill>
            <w14:solidFill>
              <w14:schemeClr w14:val="tx1"/>
            </w14:solidFill>
          </w14:textFill>
        </w:rPr>
        <w:t>年最高峰值时曾一度高达</w:t>
      </w:r>
      <w:r>
        <w:rPr>
          <w:rFonts w:hint="eastAsia" w:cs="Calibri"/>
          <w:color w:val="000000" w:themeColor="text1"/>
          <w14:textFill>
            <w14:solidFill>
              <w14:schemeClr w14:val="tx1"/>
            </w14:solidFill>
          </w14:textFill>
        </w:rPr>
        <w:t>70%</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年仍居于</w:t>
      </w:r>
      <w:r>
        <w:rPr>
          <w:rFonts w:hint="eastAsia" w:cs="Calibri"/>
          <w:color w:val="000000" w:themeColor="text1"/>
          <w14:textFill>
            <w14:solidFill>
              <w14:schemeClr w14:val="tx1"/>
            </w14:solidFill>
          </w14:textFill>
        </w:rPr>
        <w:t>66%</w:t>
      </w:r>
      <w:r>
        <w:rPr>
          <w:rFonts w:hint="eastAsia" w:ascii="宋体" w:hAnsi="宋体"/>
          <w:color w:val="000000" w:themeColor="text1"/>
          <w14:textFill>
            <w14:solidFill>
              <w14:schemeClr w14:val="tx1"/>
            </w14:solidFill>
          </w14:textFill>
        </w:rPr>
        <w:t>的高位。历史数据根据《中国统计年鉴》相关年份数据计算得出。</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年数据根据国家统计局最新颁布资料计算得出。国际金融危机爆发以来，这一指标开始下降，</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年我国外贸依存度降到</w:t>
      </w:r>
      <w:r>
        <w:rPr>
          <w:rFonts w:hint="eastAsia" w:cs="Calibri"/>
          <w:color w:val="000000" w:themeColor="text1"/>
          <w14:textFill>
            <w14:solidFill>
              <w14:schemeClr w14:val="tx1"/>
            </w14:solidFill>
          </w14:textFill>
        </w:rPr>
        <w:t>44</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9%</w:t>
      </w:r>
      <w:r>
        <w:rPr>
          <w:rFonts w:hint="eastAsia" w:ascii="宋体" w:hAnsi="宋体"/>
          <w:color w:val="000000" w:themeColor="text1"/>
          <w14:textFill>
            <w14:solidFill>
              <w14:schemeClr w14:val="tx1"/>
            </w14:solidFill>
          </w14:textFill>
        </w:rPr>
        <w:t>。但</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年后，即使在人民币已经大幅升值的情况下，我国外贸依存度又重拾升势。根据国家商务部发布的《中国对外贸易形势报告（</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年秋季）》，</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年前三季度进出口总额</w:t>
      </w:r>
      <w:r>
        <w:rPr>
          <w:rFonts w:hint="eastAsia" w:cs="Calibri"/>
          <w:color w:val="000000" w:themeColor="text1"/>
          <w14:textFill>
            <w14:solidFill>
              <w14:schemeClr w14:val="tx1"/>
            </w14:solidFill>
          </w14:textFill>
        </w:rPr>
        <w:t>21486</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亿美元，比上年同期增长</w:t>
      </w:r>
      <w:r>
        <w:rPr>
          <w:rFonts w:hint="eastAsia" w:cs="Calibri"/>
          <w:color w:val="000000" w:themeColor="text1"/>
          <w14:textFill>
            <w14:solidFill>
              <w14:schemeClr w14:val="tx1"/>
            </w14:solidFill>
          </w14:textFill>
        </w:rPr>
        <w:t>37</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9%</w:t>
      </w:r>
      <w:r>
        <w:rPr>
          <w:rFonts w:hint="eastAsia" w:ascii="宋体" w:hAnsi="宋体"/>
          <w:color w:val="000000" w:themeColor="text1"/>
          <w14:textFill>
            <w14:solidFill>
              <w14:schemeClr w14:val="tx1"/>
            </w14:solidFill>
          </w14:textFill>
        </w:rPr>
        <w:t>；而国家统计局的数据表明，同期国内生产总值</w:t>
      </w:r>
      <w:r>
        <w:rPr>
          <w:rFonts w:hint="eastAsia" w:cs="Calibri"/>
          <w:color w:val="000000" w:themeColor="text1"/>
          <w14:textFill>
            <w14:solidFill>
              <w14:schemeClr w14:val="tx1"/>
            </w14:solidFill>
          </w14:textFill>
        </w:rPr>
        <w:t>268660</w:t>
      </w:r>
      <w:r>
        <w:rPr>
          <w:rFonts w:hint="eastAsia" w:ascii="宋体" w:hAnsi="宋体"/>
          <w:color w:val="000000" w:themeColor="text1"/>
          <w14:textFill>
            <w14:solidFill>
              <w14:schemeClr w14:val="tx1"/>
            </w14:solidFill>
          </w14:textFill>
        </w:rPr>
        <w:t>亿元。换言之，国际金融危机冲击后，我国外贸依存度重新回到了</w:t>
      </w:r>
      <w:r>
        <w:rPr>
          <w:rFonts w:hint="eastAsia" w:cs="Calibri"/>
          <w:color w:val="000000" w:themeColor="text1"/>
          <w14:textFill>
            <w14:solidFill>
              <w14:schemeClr w14:val="tx1"/>
            </w14:solidFill>
          </w14:textFill>
        </w:rPr>
        <w:t>53</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的较高水平。</w:t>
      </w:r>
    </w:p>
    <w:p w14:paraId="4CECA681">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外贸依存度的高低，总是与各个经济体的规模及其所处的一定经济发展阶段相联系的。一般来说，经济大国、发达国家的外贸依存度相对较低（德国是个例外），而小国、不发达国家的外贸依存度相对较高。如：根据</w:t>
      </w:r>
      <w:r>
        <w:rPr>
          <w:rFonts w:hint="eastAsia" w:cs="Calibri"/>
          <w:color w:val="000000" w:themeColor="text1"/>
          <w14:textFill>
            <w14:solidFill>
              <w14:schemeClr w14:val="tx1"/>
            </w14:solidFill>
          </w14:textFill>
        </w:rPr>
        <w:t>WTO</w:t>
      </w:r>
      <w:r>
        <w:rPr>
          <w:rFonts w:hint="eastAsia" w:ascii="宋体" w:hAnsi="宋体"/>
          <w:color w:val="000000" w:themeColor="text1"/>
          <w14:textFill>
            <w14:solidFill>
              <w14:schemeClr w14:val="tx1"/>
            </w14:solidFill>
          </w14:textFill>
        </w:rPr>
        <w:t>和</w:t>
      </w:r>
      <w:r>
        <w:rPr>
          <w:rFonts w:hint="eastAsia" w:cs="Calibri"/>
          <w:color w:val="000000" w:themeColor="text1"/>
          <w14:textFill>
            <w14:solidFill>
              <w14:schemeClr w14:val="tx1"/>
            </w14:solidFill>
          </w14:textFill>
        </w:rPr>
        <w:t>IMF</w:t>
      </w:r>
      <w:r>
        <w:rPr>
          <w:rFonts w:hint="eastAsia" w:ascii="宋体" w:hAnsi="宋体"/>
          <w:color w:val="000000" w:themeColor="text1"/>
          <w14:textFill>
            <w14:solidFill>
              <w14:schemeClr w14:val="tx1"/>
            </w14:solidFill>
          </w14:textFill>
        </w:rPr>
        <w:t>的数据测算，全球平均贸易依存度在</w:t>
      </w:r>
      <w:r>
        <w:rPr>
          <w:rFonts w:hint="eastAsia" w:cs="Calibri"/>
          <w:color w:val="000000" w:themeColor="text1"/>
          <w14:textFill>
            <w14:solidFill>
              <w14:schemeClr w14:val="tx1"/>
            </w14:solidFill>
          </w14:textFill>
        </w:rPr>
        <w:t>2003</w:t>
      </w:r>
      <w:r>
        <w:rPr>
          <w:rFonts w:hint="eastAsia" w:ascii="宋体" w:hAnsi="宋体"/>
          <w:color w:val="000000" w:themeColor="text1"/>
          <w14:textFill>
            <w14:solidFill>
              <w14:schemeClr w14:val="tx1"/>
            </w14:solidFill>
          </w14:textFill>
        </w:rPr>
        <w:t>年接近</w:t>
      </w:r>
      <w:r>
        <w:rPr>
          <w:rFonts w:hint="eastAsia" w:cs="Calibri"/>
          <w:color w:val="000000" w:themeColor="text1"/>
          <w14:textFill>
            <w14:solidFill>
              <w14:schemeClr w14:val="tx1"/>
            </w14:solidFill>
          </w14:textFill>
        </w:rPr>
        <w:t>45%</w:t>
      </w:r>
      <w:r>
        <w:rPr>
          <w:rFonts w:hint="eastAsia" w:ascii="宋体" w:hAnsi="宋体"/>
          <w:color w:val="000000" w:themeColor="text1"/>
          <w14:textFill>
            <w14:solidFill>
              <w14:schemeClr w14:val="tx1"/>
            </w14:solidFill>
          </w14:textFill>
        </w:rPr>
        <w:t>。其中，发达国家平均水平为</w:t>
      </w:r>
      <w:r>
        <w:rPr>
          <w:rFonts w:hint="eastAsia" w:cs="Calibri"/>
          <w:color w:val="000000" w:themeColor="text1"/>
          <w14:textFill>
            <w14:solidFill>
              <w14:schemeClr w14:val="tx1"/>
            </w14:solidFill>
          </w14:textFill>
        </w:rPr>
        <w:t>38.4%</w:t>
      </w:r>
      <w:r>
        <w:rPr>
          <w:rFonts w:hint="eastAsia" w:ascii="宋体" w:hAnsi="宋体"/>
          <w:color w:val="000000" w:themeColor="text1"/>
          <w14:textFill>
            <w14:solidFill>
              <w14:schemeClr w14:val="tx1"/>
            </w14:solidFill>
          </w14:textFill>
        </w:rPr>
        <w:t>，发展中国家平均水平为</w:t>
      </w:r>
      <w:r>
        <w:rPr>
          <w:rFonts w:hint="eastAsia" w:cs="Calibri"/>
          <w:color w:val="000000" w:themeColor="text1"/>
          <w14:textFill>
            <w14:solidFill>
              <w14:schemeClr w14:val="tx1"/>
            </w14:solidFill>
          </w14:textFill>
        </w:rPr>
        <w:t>51%</w:t>
      </w:r>
      <w:r>
        <w:rPr>
          <w:rFonts w:hint="eastAsia" w:ascii="宋体" w:hAnsi="宋体"/>
          <w:color w:val="000000" w:themeColor="text1"/>
          <w14:textFill>
            <w14:solidFill>
              <w14:schemeClr w14:val="tx1"/>
            </w14:solidFill>
          </w14:textFill>
        </w:rPr>
        <w:t>，发展中国家整体水平要相对高于发达国家。但中国作为发展中大国，外贸依存度远远超越于一般发展中大国。仅以</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年的数据进行比较，我国外贸依存度不仅高于发达国家，也高于发展中国家平均水平。特别值得一提的是，与中国发展水平相近的印度和巴西，其外贸依存度要远远低于中国。（见表</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w:t>
      </w:r>
    </w:p>
    <w:p w14:paraId="2E9E84DE">
      <w:pPr>
        <w:spacing w:line="400" w:lineRule="exact"/>
        <w:ind w:firstLine="420" w:firstLineChars="200"/>
        <w:jc w:val="center"/>
        <w:rPr>
          <w:color w:val="000000" w:themeColor="text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706368" behindDoc="0" locked="0" layoutInCell="1" allowOverlap="1">
            <wp:simplePos x="0" y="0"/>
            <wp:positionH relativeFrom="margin">
              <wp:align>center</wp:align>
            </wp:positionH>
            <wp:positionV relativeFrom="paragraph">
              <wp:posOffset>436245</wp:posOffset>
            </wp:positionV>
            <wp:extent cx="4255135" cy="1707515"/>
            <wp:effectExtent l="0" t="0" r="12065" b="19685"/>
            <wp:wrapTopAndBottom/>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a:xfrm>
                      <a:off x="0" y="0"/>
                      <a:ext cx="4255135" cy="1707515"/>
                    </a:xfrm>
                    <a:prstGeom prst="rect">
                      <a:avLst/>
                    </a:prstGeom>
                    <a:noFill/>
                    <a:ln>
                      <a:noFill/>
                    </a:ln>
                  </pic:spPr>
                </pic:pic>
              </a:graphicData>
            </a:graphic>
          </wp:anchor>
        </w:drawing>
      </w:r>
      <w:r>
        <w:rPr>
          <w:rFonts w:hint="eastAsia" w:ascii="宋体" w:hAnsi="宋体"/>
          <w:color w:val="000000" w:themeColor="text1"/>
          <w14:textFill>
            <w14:solidFill>
              <w14:schemeClr w14:val="tx1"/>
            </w14:solidFill>
          </w14:textFill>
        </w:rPr>
        <w:t>表</w:t>
      </w:r>
      <w:r>
        <w:rPr>
          <w:rFonts w:hint="eastAsia" w:cs="Calibri"/>
          <w:color w:val="000000" w:themeColor="text1"/>
          <w14:textFill>
            <w14:solidFill>
              <w14:schemeClr w14:val="tx1"/>
            </w14:solidFill>
          </w14:textFill>
        </w:rPr>
        <w:t>2</w:t>
      </w:r>
      <w:r>
        <w:rPr>
          <w:rFonts w:cs="Calibri"/>
          <w:color w:val="000000" w:themeColor="text1"/>
          <w14:textFill>
            <w14:solidFill>
              <w14:schemeClr w14:val="tx1"/>
            </w14:solidFill>
          </w14:textFill>
        </w:rPr>
        <w:t xml:space="preserve"> </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年各主要国家外贸依存度比较</w:t>
      </w:r>
    </w:p>
    <w:p w14:paraId="24214FBB">
      <w:pPr>
        <w:spacing w:line="400" w:lineRule="exact"/>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 xml:space="preserve"> </w:t>
      </w:r>
    </w:p>
    <w:p w14:paraId="226B3755">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过度依赖对外贸易，必然会加大经济运行的风险。一是使国内经济增长受国际市场的影响。</w:t>
      </w:r>
      <w:r>
        <w:rPr>
          <w:rFonts w:hint="eastAsia" w:cs="Calibri"/>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年“金融海啸”所引发的一系列冲击就是鲜明的例证。受其影响，我国</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月的进出口总值为</w:t>
      </w:r>
      <w:r>
        <w:rPr>
          <w:rFonts w:hint="eastAsia" w:cs="Calibri"/>
          <w:color w:val="000000" w:themeColor="text1"/>
          <w14:textFill>
            <w14:solidFill>
              <w14:schemeClr w14:val="tx1"/>
            </w14:solidFill>
          </w14:textFill>
        </w:rPr>
        <w:t>1418</w:t>
      </w:r>
      <w:r>
        <w:rPr>
          <w:rFonts w:hint="eastAsia" w:ascii="宋体" w:hAnsi="宋体"/>
          <w:color w:val="000000" w:themeColor="text1"/>
          <w14:textFill>
            <w14:solidFill>
              <w14:schemeClr w14:val="tx1"/>
            </w14:solidFill>
          </w14:textFill>
        </w:rPr>
        <w:t>亿美元，比去年同期下降了近三成。其中出口下降了</w:t>
      </w:r>
      <w:r>
        <w:rPr>
          <w:rFonts w:hint="eastAsia" w:cs="Calibri"/>
          <w:color w:val="000000" w:themeColor="text1"/>
          <w14:textFill>
            <w14:solidFill>
              <w14:schemeClr w14:val="tx1"/>
            </w14:solidFill>
          </w14:textFill>
        </w:rPr>
        <w:t>17</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，进口下降了</w:t>
      </w:r>
      <w:r>
        <w:rPr>
          <w:rFonts w:hint="eastAsia" w:cs="Calibri"/>
          <w:color w:val="000000" w:themeColor="text1"/>
          <w14:textFill>
            <w14:solidFill>
              <w14:schemeClr w14:val="tx1"/>
            </w14:solidFill>
          </w14:textFill>
        </w:rPr>
        <w:t>43</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。这是中国十余年来创纪录的两位数跌幅，尤其出口已经连续三个月出现了负增长。海关统计，中华人民共和国海关总署，</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月</w:t>
      </w:r>
      <w:r>
        <w:rPr>
          <w:rFonts w:hint="eastAsia" w:cs="Calibri"/>
          <w:color w:val="000000" w:themeColor="text1"/>
          <w14:textFill>
            <w14:solidFill>
              <w14:schemeClr w14:val="tx1"/>
            </w14:solidFill>
          </w14:textFill>
        </w:rPr>
        <w:t>11</w:t>
      </w:r>
      <w:r>
        <w:rPr>
          <w:rFonts w:hint="eastAsia" w:ascii="宋体" w:hAnsi="宋体"/>
          <w:color w:val="000000" w:themeColor="text1"/>
          <w14:textFill>
            <w14:solidFill>
              <w14:schemeClr w14:val="tx1"/>
            </w14:solidFill>
          </w14:textFill>
        </w:rPr>
        <w:t>日。二是导致国内生产能力大量过剩。由于国内大量产能主要用于生产出口商品，在实践中必然导致我国生产性投资超越国内真实需求，使总投资和总消费失衡，导致国民经济主要比例关系不合理。三是威胁我国经济安全。在市场经济条件下，商品在交换过程中的实现是一个惊险的跳跃，国内过剩产能生产的大量商品一旦不能在国际市场出售，很容易导致生产过程的中断和阻塞，进而使国内经济发生危机。同时，西方主要进口国家也往往会以此打压我国，威胁我国的经济安全。四是为西方国家打压我国提供了借口。据环球时报报道，我国在对外贸易中产生的顺差，其中有</w:t>
      </w:r>
      <w:r>
        <w:rPr>
          <w:rFonts w:hint="eastAsia" w:cs="Calibri"/>
          <w:color w:val="000000" w:themeColor="text1"/>
          <w14:textFill>
            <w14:solidFill>
              <w14:schemeClr w14:val="tx1"/>
            </w14:solidFill>
          </w14:textFill>
        </w:rPr>
        <w:t>65%</w:t>
      </w:r>
      <w:r>
        <w:rPr>
          <w:rFonts w:hint="eastAsia" w:ascii="宋体" w:hAnsi="宋体"/>
          <w:color w:val="000000" w:themeColor="text1"/>
          <w14:textFill>
            <w14:solidFill>
              <w14:schemeClr w14:val="tx1"/>
            </w14:solidFill>
          </w14:textFill>
        </w:rPr>
        <w:t>来自外企。中美顺差中至少有</w:t>
      </w:r>
      <w:r>
        <w:rPr>
          <w:rFonts w:hint="eastAsia" w:cs="Calibri"/>
          <w:color w:val="000000" w:themeColor="text1"/>
          <w14:textFill>
            <w14:solidFill>
              <w14:schemeClr w14:val="tx1"/>
            </w14:solidFill>
          </w14:textFill>
        </w:rPr>
        <w:t>60%</w:t>
      </w:r>
      <w:r>
        <w:rPr>
          <w:rFonts w:hint="eastAsia" w:ascii="宋体" w:hAnsi="宋体"/>
          <w:color w:val="000000" w:themeColor="text1"/>
          <w14:textFill>
            <w14:solidFill>
              <w14:schemeClr w14:val="tx1"/>
            </w14:solidFill>
          </w14:textFill>
        </w:rPr>
        <w:t>是美国企业的利润，但美在华企业赚走巨额利润的同时，人民币汇率反成替罪羔羊，美国国内竟出现了“中国偷走美国工作”的指责，借口顺差问题对我国进一步施压。任安里：《苹果，美对华“逆差”的故事》，《环球时报》</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月</w:t>
      </w:r>
      <w:r>
        <w:rPr>
          <w:rFonts w:hint="eastAsia" w:cs="Calibri"/>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日。</w:t>
      </w:r>
    </w:p>
    <w:p w14:paraId="6470BF90">
      <w:pPr>
        <w:ind w:firstLine="420" w:firstLineChars="200"/>
        <w:rPr>
          <w:b/>
          <w:color w:val="000000" w:themeColor="text1"/>
          <w14:textFill>
            <w14:solidFill>
              <w14:schemeClr w14:val="tx1"/>
            </w14:solidFill>
          </w14:textFill>
        </w:rPr>
      </w:pPr>
      <w:bookmarkStart w:id="1348" w:name="_Toc7648"/>
      <w:bookmarkEnd w:id="1348"/>
      <w:r>
        <w:rPr>
          <w:rFonts w:hint="eastAsia" w:cs="Calibri"/>
          <w:b/>
          <w:color w:val="000000" w:themeColor="text1"/>
          <w14:textFill>
            <w14:solidFill>
              <w14:schemeClr w14:val="tx1"/>
            </w14:solidFill>
          </w14:textFill>
        </w:rPr>
        <w:t>6</w:t>
      </w:r>
      <w:r>
        <w:rPr>
          <w:rFonts w:hint="eastAsia" w:ascii="宋体" w:hAnsi="宋体"/>
          <w:b/>
          <w:color w:val="000000" w:themeColor="text1"/>
          <w14:textFill>
            <w14:solidFill>
              <w14:schemeClr w14:val="tx1"/>
            </w14:solidFill>
          </w14:textFill>
        </w:rPr>
        <w:t>、开放型经济运行中的失衡和经济循环问题</w:t>
      </w:r>
    </w:p>
    <w:p w14:paraId="6486676C">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国利用对外开放的战略机遇，取得举世瞩目的绩效。但是，由于开放型经济是建立在低起点、低层次基础上的，发展至今，它的运行仍然具有高度的粗放、低效和利益流动极不合理的特征，导致某些失衡现象的存在。例如，内需不足形成内需与外需有所失衡；又如，大量外资企业的进入有“挤出效应”和“垄断效应”，形成内外资企业发展有所失衡；再如，国内技术的提升却往往伴随着发达国家高附加值零配件和核心技术进口的增长，形成国外引进与自主创新生产技术有所失衡。国民经济部分失衡的体系，其本身包含着国内资本、国际资本、国内外融合资本三个不同的循环体系，都在影响投资、消费、分配、外贸、知识产权和生态环境等，产生着正负经济效应。</w:t>
      </w:r>
    </w:p>
    <w:p w14:paraId="03A6CE89">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从国内资本来说，为了出口就需要大量要素投入，从而加剧价格等方面竞争，但压低产品价格和压低工资，往往又导致国内消费不足，这又势必依赖出口。这是中国低端参与国际竞争的一种经济循环。在出口创汇型发展战略下，国内的企业本身存在着出口的冲动，这有多重原因：一是存在着政策上的导向，包括存在着出口退税等优惠政策；二是由于国内技术相对落后，地方出于增长需要在低技术领域的重复投资，客观上导致企业过度竞争，而国内产能过剩造成国内市场狭小的压力，迫使企业竞相出口。但是，这种出口导向型的发展，却极大地耗费了国内大量的能源和其他资源，并在国际竞价的压力下压低了国内的工资水平，从而导致国内消费能力的下降，并使企业受制于新一轮出口竞争之中。在这个过程中，由于大量的出口，中国还形成了巨大的外汇储备。其原因也是多样的：一者是因为中国企业因自身技术、管理等因素，对外直接投资的能力不足，竞争力弱，从而难以“走出去”；一者是因为国际对我国的封锁和打压；等等。由于大量外汇储备的形成，中国出于保值需要购买的主要发达资本主义国家政府及企业债券，却一方面陷于贬值的风险之中，另一方面为国际资本对中国再投资提供了支撑。</w:t>
      </w:r>
    </w:p>
    <w:p w14:paraId="2C2DD907">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从国际资本来说，为了利润和控制中国市场而投资，在这一过程中，它们享受政策优惠，使用低价资源和较高素质劳动力，获取了高额利润后再进行投资。这是跨国公司通过独立投资和控制中国市场等途径形成的一种良性经济循环。国际垄断资本还通过垄断我国信用评级业，来掌握我国资本市场的定价权和话语权，进而通过资本市场谋取利益。根据国际惯例，一国所有机构发行外币债券的评级均不得超过本国主权信用等级。尽管从总债务余额、财政赤字和外汇储备比重等各方面看，中国政府偿付能力均要优于美国，但</w:t>
      </w:r>
      <w:r>
        <w:rPr>
          <w:rFonts w:hint="eastAsia" w:cs="Calibri"/>
          <w:color w:val="000000" w:themeColor="text1"/>
          <w14:textFill>
            <w14:solidFill>
              <w14:schemeClr w14:val="tx1"/>
            </w14:solidFill>
          </w14:textFill>
        </w:rPr>
        <w:t>2004</w:t>
      </w:r>
      <w:r>
        <w:rPr>
          <w:rFonts w:hint="eastAsia" w:ascii="宋体" w:hAnsi="宋体"/>
          <w:color w:val="000000" w:themeColor="text1"/>
          <w14:textFill>
            <w14:solidFill>
              <w14:schemeClr w14:val="tx1"/>
            </w14:solidFill>
          </w14:textFill>
        </w:rPr>
        <w:t>年以前，标准普尔对我国主权信用评级却一直维持在</w:t>
      </w:r>
      <w:r>
        <w:rPr>
          <w:rFonts w:hint="eastAsia" w:cs="Calibri"/>
          <w:color w:val="000000" w:themeColor="text1"/>
          <w14:textFill>
            <w14:solidFill>
              <w14:schemeClr w14:val="tx1"/>
            </w14:solidFill>
          </w14:textFill>
        </w:rPr>
        <w:t>BBB</w:t>
      </w:r>
      <w:r>
        <w:rPr>
          <w:rFonts w:hint="eastAsia" w:ascii="宋体" w:hAnsi="宋体"/>
          <w:color w:val="000000" w:themeColor="text1"/>
          <w14:textFill>
            <w14:solidFill>
              <w14:schemeClr w14:val="tx1"/>
            </w14:solidFill>
          </w14:textFill>
        </w:rPr>
        <w:t>级</w:t>
      </w:r>
      <w:r>
        <w:rPr>
          <w:rFonts w:hint="eastAsia" w:cs="Calibri"/>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年不变，这一评级仅为“适宜投资”的最低级，导致我国企业和金融机构普遍成为不值得信任的</w:t>
      </w:r>
      <w:r>
        <w:rPr>
          <w:rFonts w:hint="eastAsia" w:cs="Calibri"/>
          <w:color w:val="000000" w:themeColor="text1"/>
          <w14:textFill>
            <w14:solidFill>
              <w14:schemeClr w14:val="tx1"/>
            </w14:solidFill>
          </w14:textFill>
        </w:rPr>
        <w:t>BBB</w:t>
      </w:r>
      <w:r>
        <w:rPr>
          <w:rFonts w:hint="eastAsia" w:ascii="宋体" w:hAnsi="宋体"/>
          <w:color w:val="000000" w:themeColor="text1"/>
          <w14:textFill>
            <w14:solidFill>
              <w14:schemeClr w14:val="tx1"/>
            </w14:solidFill>
          </w14:textFill>
        </w:rPr>
        <w:t>以下的“投机级”，为国际垄断资本低价攫取中国国有资产大开了方便之门。世界银行</w:t>
      </w:r>
      <w:r>
        <w:rPr>
          <w:rFonts w:hint="eastAsia" w:cs="Calibri"/>
          <w:color w:val="000000" w:themeColor="text1"/>
          <w14:textFill>
            <w14:solidFill>
              <w14:schemeClr w14:val="tx1"/>
            </w14:solidFill>
          </w14:textFill>
        </w:rPr>
        <w:t>2007</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月在《中国经济季报》中曾指出，中国银行股被境外战略投资者低价购买，问题不在</w:t>
      </w:r>
      <w:r>
        <w:rPr>
          <w:rFonts w:hint="eastAsia" w:cs="Calibri"/>
          <w:color w:val="000000" w:themeColor="text1"/>
          <w14:textFill>
            <w14:solidFill>
              <w14:schemeClr w14:val="tx1"/>
            </w14:solidFill>
          </w14:textFill>
        </w:rPr>
        <w:t>IPO</w:t>
      </w:r>
      <w:r>
        <w:rPr>
          <w:rFonts w:hint="eastAsia" w:ascii="宋体" w:hAnsi="宋体"/>
          <w:color w:val="000000" w:themeColor="text1"/>
          <w14:textFill>
            <w14:solidFill>
              <w14:schemeClr w14:val="tx1"/>
            </w14:solidFill>
          </w14:textFill>
        </w:rPr>
        <w:t>环节，而是在此前引入战略投资者的定价上。目前，外资控制了越来越多的中国产业和重要经济领域的生产、流通和经营。</w:t>
      </w:r>
    </w:p>
    <w:p w14:paraId="46472C02">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从国际资本与国内资本融合来说，大都是外企以外国的资本、技术或品牌等资源投入，形成合资合作企业以后，利用国内生产要素生产产品和提供服务，在国内外销售获取高额利润后再投资。这是外资先投资参股、后并购，或者直接在华并购所形成的另一种经济循环。其经营形式在各地区、各领域的发展呈多样化趋势。</w:t>
      </w:r>
    </w:p>
    <w:p w14:paraId="794BABED">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当指出，在后两个经济循环中，我国有大量国有资产和国有资本被低价整合进合资企业中，其品牌、销售网络和人才，同样被以较低廉的价格为合资企业或外商独资企业所用，成为国际资本从中国获益的重要手段，而我国的流行舆论则一律称赞为“引进战略投资者”。总之，目前我国以高度依赖性增长为特征、强调引进和数量扩张为目标、以资源高消耗为手段、以环境损坏为代价的粗放式对外经济发展模式，已经不能适应国内外经济协调发展、特别是“十二五”发展的新形势和转变经济发展方式的新要求。</w:t>
      </w:r>
    </w:p>
    <w:p w14:paraId="0E230F63">
      <w:pPr>
        <w:spacing w:before="147" w:beforeLines="50" w:after="147" w:afterLines="50" w:line="400" w:lineRule="exact"/>
        <w:ind w:firstLine="480" w:firstLineChars="200"/>
        <w:jc w:val="center"/>
        <w:rPr>
          <w:rFonts w:ascii="宋体" w:hAnsi="宋体"/>
          <w:b/>
          <w:color w:val="000000" w:themeColor="text1"/>
          <w:sz w:val="24"/>
          <w:szCs w:val="24"/>
          <w14:textFill>
            <w14:solidFill>
              <w14:schemeClr w14:val="tx1"/>
            </w14:solidFill>
          </w14:textFill>
        </w:rPr>
      </w:pPr>
      <w:bookmarkStart w:id="1349" w:name="_Toc31224"/>
      <w:bookmarkEnd w:id="1349"/>
      <w:bookmarkStart w:id="1350" w:name="_Toc31838"/>
      <w:bookmarkEnd w:id="1350"/>
      <w:bookmarkStart w:id="1351" w:name="_Toc4525"/>
      <w:bookmarkEnd w:id="1351"/>
      <w:bookmarkStart w:id="1352" w:name="_Toc2713"/>
      <w:bookmarkEnd w:id="1352"/>
      <w:bookmarkStart w:id="1353" w:name="_Toc4002"/>
      <w:r>
        <w:rPr>
          <w:rFonts w:hint="eastAsia" w:ascii="宋体" w:hAnsi="宋体"/>
          <w:b/>
          <w:color w:val="000000" w:themeColor="text1"/>
          <w:sz w:val="24"/>
          <w:szCs w:val="24"/>
          <w14:textFill>
            <w14:solidFill>
              <w14:schemeClr w14:val="tx1"/>
            </w14:solidFill>
          </w14:textFill>
        </w:rPr>
        <w:t>二、加快转变的战略抉择：六个适当控制与积极提升</w:t>
      </w:r>
      <w:bookmarkEnd w:id="1353"/>
    </w:p>
    <w:p w14:paraId="71C17A6D">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加快转变对外经济发展方式，需要确立科学的开放观，从战略上谋划对外经济的长远发展。新的发展阶段，我国应当在科学发展观的指导下，统筹国内经济发展与对外开放的关系，积极调整开放战略和对外经济政策，避免成为国际垄断资本的利益输送地、发达国家的廉价打工仔、西方投机资本的跑马场、跨国公司的专利提款机和世界污染的避难所，通过对外资、外源、外贸、外技、外汇和外产的适当控制和提升，从根本上建立起“低损耗、高效益，双向互动，自主创新”的“精益型”对外开放模式，促进国民经济又好又快地持续发展。</w:t>
      </w:r>
    </w:p>
    <w:p w14:paraId="431A76A2">
      <w:pPr>
        <w:ind w:firstLine="420" w:firstLineChars="200"/>
        <w:rPr>
          <w:b/>
          <w:color w:val="000000" w:themeColor="text1"/>
          <w14:textFill>
            <w14:solidFill>
              <w14:schemeClr w14:val="tx1"/>
            </w14:solidFill>
          </w14:textFill>
        </w:rPr>
      </w:pPr>
      <w:bookmarkStart w:id="1354" w:name="_Toc26268"/>
      <w:bookmarkEnd w:id="1354"/>
      <w:r>
        <w:rPr>
          <w:rFonts w:hint="eastAsia" w:cs="Calibri"/>
          <w:b/>
          <w:color w:val="000000" w:themeColor="text1"/>
          <w14:textFill>
            <w14:solidFill>
              <w14:schemeClr w14:val="tx1"/>
            </w14:solidFill>
          </w14:textFill>
        </w:rPr>
        <w:t>1</w:t>
      </w:r>
      <w:r>
        <w:rPr>
          <w:rFonts w:hint="eastAsia" w:ascii="宋体" w:hAnsi="宋体"/>
          <w:b/>
          <w:color w:val="000000" w:themeColor="text1"/>
          <w14:textFill>
            <w14:solidFill>
              <w14:schemeClr w14:val="tx1"/>
            </w14:solidFill>
          </w14:textFill>
        </w:rPr>
        <w:t>、适当控制外资依存度，积极提升中外资本协调使用的效益</w:t>
      </w:r>
    </w:p>
    <w:p w14:paraId="64DD1BFE">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随着世界经济格局的变化，在新的历史时期我国必须对利用外资做出重大调整。一方面，要看到经过多年发展，外商投资企业目前在我国经济中已占有重要地位，我国工业部门的产业结构和产品质量提升都与外商投资企业相关；另一方面，我国也不能继续沉浸在引资规模的扩张上，而是要追求引资质量的提高。</w:t>
      </w:r>
    </w:p>
    <w:p w14:paraId="009293E8">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必须引导和实现外资投向和要素流入结构的改善。必须从注重“引资”转为谨慎“选资”，应制定以保护环境为主的外资进入产业目录，严格限制污染性行业的外资进入，加大对“清洁”外资的引进力度，应引进弥补我国产业和产品空缺的、符合低碳经济要求的、科技含量高的企业。有的学者认为，中国经济已经步入快车道，是全球经济的强者，公用事业等领域开放不必担心外资入侵的问题，“多一些善待外资就是善待自己的前瞻性”。这个观点混淆了公用事业领域和一般竞争性产业领域的区别，把具有稳定盈利和预防外资支配而有损于民生的公益事业，轻易地让位于外资，以为引进外资越多越好，实际上这并不利于发挥内外资的综合效益。</w:t>
      </w:r>
    </w:p>
    <w:p w14:paraId="7CA7BDFC">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需要确立公平的竞争环境。一是要逐步取消外资企业在税收方面的优惠，保证国内企业在同一起跑平台上参与竞争；二是要通过提高环保标准来提高投资门槛，吸引真正有实力的“清洁投资者”，使引资工作适应我国结构调整与产业升级的大方略，服务于我们转变生产方式的大目标。</w:t>
      </w:r>
    </w:p>
    <w:p w14:paraId="303BE29B">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）需要调动国内资本，促进内外资合作。合理利用和引进外资，提高引资质量，其前提条件是必须充分唤醒和启动国内已有的巨大储蓄存款资源。存差通常是指商业银行存款减去贷款的差值。从</w:t>
      </w:r>
      <w:r>
        <w:rPr>
          <w:rFonts w:hint="eastAsia" w:cs="Calibri"/>
          <w:color w:val="000000" w:themeColor="text1"/>
          <w14:textFill>
            <w14:solidFill>
              <w14:schemeClr w14:val="tx1"/>
            </w14:solidFill>
          </w14:textFill>
        </w:rPr>
        <w:t>1995</w:t>
      </w:r>
      <w:r>
        <w:rPr>
          <w:rFonts w:hint="eastAsia" w:ascii="宋体" w:hAnsi="宋体"/>
          <w:color w:val="000000" w:themeColor="text1"/>
          <w14:textFill>
            <w14:solidFill>
              <w14:schemeClr w14:val="tx1"/>
            </w14:solidFill>
          </w14:textFill>
        </w:rPr>
        <w:t>年我国金融机构首次出现存差开始，</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年末全部金融机构本外币各项存款余额</w:t>
      </w:r>
      <w:r>
        <w:rPr>
          <w:rFonts w:hint="eastAsia" w:cs="Calibri"/>
          <w:color w:val="000000" w:themeColor="text1"/>
          <w14:textFill>
            <w14:solidFill>
              <w14:schemeClr w14:val="tx1"/>
            </w14:solidFill>
          </w14:textFill>
        </w:rPr>
        <w:t>61</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万亿元，本外币各项贷款余额</w:t>
      </w:r>
      <w:r>
        <w:rPr>
          <w:rFonts w:hint="eastAsia" w:cs="Calibri"/>
          <w:color w:val="000000" w:themeColor="text1"/>
          <w14:textFill>
            <w14:solidFill>
              <w14:schemeClr w14:val="tx1"/>
            </w14:solidFill>
          </w14:textFill>
        </w:rPr>
        <w:t>42</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万亿元，存差早已突破了</w:t>
      </w:r>
      <w:r>
        <w:rPr>
          <w:rFonts w:hint="eastAsia" w:cs="Calibri"/>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万亿元，达到</w:t>
      </w:r>
      <w:r>
        <w:rPr>
          <w:rFonts w:hint="eastAsia" w:cs="Calibri"/>
          <w:color w:val="000000" w:themeColor="text1"/>
          <w14:textFill>
            <w14:solidFill>
              <w14:schemeClr w14:val="tx1"/>
            </w14:solidFill>
          </w14:textFill>
        </w:rPr>
        <w:t>18</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万亿元。这表明我国目前储蓄增长相对过快，信贷增长相对不足，资金闲置和使用效率低。在这种新形势下，倘若继续如饥似渴地引进外资，势必产生“挤出效应”，影响中资的有效配置和利用效益。因此，适当控制外资依存度，是亟需统一认识和创新政策的重大问题。目前，关键是要推动以中资为主的中外资合作，引导和激发国内资本进入高新技术领域，适当控制外商独资企业的发展，提升中外资协调使用的经济效益。</w:t>
      </w:r>
    </w:p>
    <w:p w14:paraId="6A620C50">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）需要加强对中国境外的投资，发挥中国过剩资本的有效作用。商务部的数据显示，</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年中国境内投资者共对</w:t>
      </w:r>
      <w:r>
        <w:rPr>
          <w:rFonts w:hint="eastAsia" w:cs="Calibri"/>
          <w:color w:val="000000" w:themeColor="text1"/>
          <w14:textFill>
            <w14:solidFill>
              <w14:schemeClr w14:val="tx1"/>
            </w14:solidFill>
          </w14:textFill>
        </w:rPr>
        <w:t>129</w:t>
      </w:r>
      <w:r>
        <w:rPr>
          <w:rFonts w:hint="eastAsia" w:ascii="宋体" w:hAnsi="宋体"/>
          <w:color w:val="000000" w:themeColor="text1"/>
          <w14:textFill>
            <w14:solidFill>
              <w14:schemeClr w14:val="tx1"/>
            </w14:solidFill>
          </w14:textFill>
        </w:rPr>
        <w:t>个国家和地区的</w:t>
      </w:r>
      <w:r>
        <w:rPr>
          <w:rFonts w:hint="eastAsia" w:cs="Calibri"/>
          <w:color w:val="000000" w:themeColor="text1"/>
          <w14:textFill>
            <w14:solidFill>
              <w14:schemeClr w14:val="tx1"/>
            </w14:solidFill>
          </w14:textFill>
        </w:rPr>
        <w:t>3125</w:t>
      </w:r>
      <w:r>
        <w:rPr>
          <w:rFonts w:hint="eastAsia" w:ascii="宋体" w:hAnsi="宋体"/>
          <w:color w:val="000000" w:themeColor="text1"/>
          <w14:textFill>
            <w14:solidFill>
              <w14:schemeClr w14:val="tx1"/>
            </w14:solidFill>
          </w14:textFill>
        </w:rPr>
        <w:t>家境外企业进行了直接投资，累计实现非金融类对外直接投资</w:t>
      </w:r>
      <w:r>
        <w:rPr>
          <w:rFonts w:hint="eastAsia" w:cs="Calibri"/>
          <w:color w:val="000000" w:themeColor="text1"/>
          <w14:textFill>
            <w14:solidFill>
              <w14:schemeClr w14:val="tx1"/>
            </w14:solidFill>
          </w14:textFill>
        </w:rPr>
        <w:t>590</w:t>
      </w:r>
      <w:r>
        <w:rPr>
          <w:rFonts w:hint="eastAsia" w:ascii="宋体" w:hAnsi="宋体"/>
          <w:color w:val="000000" w:themeColor="text1"/>
          <w14:textFill>
            <w14:solidFill>
              <w14:schemeClr w14:val="tx1"/>
            </w14:solidFill>
          </w14:textFill>
        </w:rPr>
        <w:t>亿美元，同比增长</w:t>
      </w:r>
      <w:r>
        <w:rPr>
          <w:rFonts w:hint="eastAsia" w:cs="Calibri"/>
          <w:color w:val="000000" w:themeColor="text1"/>
          <w14:textFill>
            <w14:solidFill>
              <w14:schemeClr w14:val="tx1"/>
            </w14:solidFill>
          </w14:textFill>
        </w:rPr>
        <w:t>36</w:t>
      </w: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，创历史新高。截至</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底，中国累计非金融类对外直接投资</w:t>
      </w:r>
      <w:r>
        <w:rPr>
          <w:rFonts w:hint="eastAsia" w:cs="Calibri"/>
          <w:color w:val="000000" w:themeColor="text1"/>
          <w14:textFill>
            <w14:solidFill>
              <w14:schemeClr w14:val="tx1"/>
            </w14:solidFill>
          </w14:textFill>
        </w:rPr>
        <w:t>2588</w:t>
      </w:r>
      <w:r>
        <w:rPr>
          <w:rFonts w:hint="eastAsia" w:ascii="宋体" w:hAnsi="宋体"/>
          <w:color w:val="000000" w:themeColor="text1"/>
          <w14:textFill>
            <w14:solidFill>
              <w14:schemeClr w14:val="tx1"/>
            </w14:solidFill>
          </w14:textFill>
        </w:rPr>
        <w:t>亿元。姜煜：《我国利用外资首破千亿美元》，《北京日报》</w:t>
      </w:r>
      <w:r>
        <w:rPr>
          <w:rFonts w:hint="eastAsia" w:cs="Calibri"/>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月</w:t>
      </w:r>
      <w:r>
        <w:rPr>
          <w:rFonts w:hint="eastAsia" w:cs="Calibri"/>
          <w:color w:val="000000" w:themeColor="text1"/>
          <w14:textFill>
            <w14:solidFill>
              <w14:schemeClr w14:val="tx1"/>
            </w14:solidFill>
          </w14:textFill>
        </w:rPr>
        <w:t>19</w:t>
      </w:r>
      <w:r>
        <w:rPr>
          <w:rFonts w:hint="eastAsia" w:ascii="宋体" w:hAnsi="宋体"/>
          <w:color w:val="000000" w:themeColor="text1"/>
          <w14:textFill>
            <w14:solidFill>
              <w14:schemeClr w14:val="tx1"/>
            </w14:solidFill>
          </w14:textFill>
        </w:rPr>
        <w:t>日。鉴于中方资本在国内使用不掉等情况，必须进一步加大对发展中国家，特别是发达国家的投资，包括工业交通、商业、农业、旅游、文化、新闻媒体等多领域的多元化灵活投资。</w:t>
      </w:r>
    </w:p>
    <w:p w14:paraId="7D908CC2">
      <w:pPr>
        <w:ind w:firstLine="420" w:firstLineChars="200"/>
        <w:rPr>
          <w:b/>
          <w:color w:val="000000" w:themeColor="text1"/>
          <w14:textFill>
            <w14:solidFill>
              <w14:schemeClr w14:val="tx1"/>
            </w14:solidFill>
          </w14:textFill>
        </w:rPr>
      </w:pPr>
      <w:bookmarkStart w:id="1355" w:name="_Toc17914"/>
      <w:bookmarkEnd w:id="1355"/>
      <w:r>
        <w:rPr>
          <w:rFonts w:hint="eastAsia" w:cs="Calibri"/>
          <w:b/>
          <w:color w:val="000000" w:themeColor="text1"/>
          <w14:textFill>
            <w14:solidFill>
              <w14:schemeClr w14:val="tx1"/>
            </w14:solidFill>
          </w14:textFill>
        </w:rPr>
        <w:t>2</w:t>
      </w:r>
      <w:r>
        <w:rPr>
          <w:rFonts w:hint="eastAsia" w:ascii="宋体" w:hAnsi="宋体"/>
          <w:b/>
          <w:color w:val="000000" w:themeColor="text1"/>
          <w14:textFill>
            <w14:solidFill>
              <w14:schemeClr w14:val="tx1"/>
            </w14:solidFill>
          </w14:textFill>
        </w:rPr>
        <w:t>、适当降低外技依存度，积极提升自主创新的能力</w:t>
      </w:r>
    </w:p>
    <w:p w14:paraId="06E17FD0">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事实证明，在缺乏核心技术而形成的“三高一低”（高污染、高能耗、低附加值、高依存度）模式下所获取的贸易利益，只能属于初级开放阶段的状态。倘若长期照此模式继续下去，过度依赖发达国家的高科技产品，会在外贸结构、贸易条件、社会整体福利水平提高等方面改善缓慢，并逐渐陷入“比较优势陷阱”。</w:t>
      </w:r>
    </w:p>
    <w:p w14:paraId="581CBD4D">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确立自主知识产权优势战略。我国的对外贸易战略虽然要重视发挥“比较优势”，但不能以西方教科书上的比较优势战略作为主要模式，需要解放思想，突破以传统比较优势理论为基础的旧式国际分工模式的束缚，变“比较优势”为“知识产权优势”。只有具有自主知识产权的优势，企业和产业的核心竞争优势才有可能形成并长期保持。或者说，知识产权优势是维护持久、高端竞争优势的必要性条件。那种只强调保护国内外知识产权，不强调创造自主知识产权的做法，那种主要寄希望于依赖式不断引进外技、外牌和外资的策略，那种看不到跨国公司在华投资双面效应的思维，都是不科学的僵化开放理念。至于西方跨国公司批评中国政府鼓励自主知识产权创新是所谓用“公权力”对抗“私权力”，这完全是站不住脚的，因为西方发达国家一贯如此。</w:t>
      </w:r>
    </w:p>
    <w:p w14:paraId="699797A4">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强化国际科技合作，积极完善国内创新环境。降低外技依存度，需要推动以我为主的国际国内的科技合作，使科技合作与经济合作相融合。实现国际科技合作的关键在于完善国内创新环境。一是要完善科技人才成长和发展环境，加大创新人才的培养力度，建设一支适应时代和社会发展需要的民族创新人才队伍；二是要加大自主创新的研发经费投入，完善创新载体和创新平台，为自主创新提供必要的物质基础；三是要充分发挥政府的主导作用，利用社会主义集中力量办大事的优势，组织好若干重大科研项目的攻关，努力在若干技术前沿领域和重要产业领域，掌握一批自主核心技术和技术标准，积极提高中方专利和品牌的档次和质量。</w:t>
      </w:r>
    </w:p>
    <w:p w14:paraId="647605FA">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强化国内企业科技创新的主体地位。积极提升自主创新能力，重点要积极发展控技（尤其是核心技术和技术标准）、控牌（尤其是名牌）和控股的“三控型”民族企业集团和跨国公司，突出培育和发挥自主知识产权优势，以打造“中国的世界工厂”来取代“世界在中国的加工厂”，尽快完成从技术大国向技术强国、专利大国向专利强国、品牌大国向品牌强国的转型。</w:t>
      </w:r>
    </w:p>
    <w:p w14:paraId="0CC2EE56">
      <w:pPr>
        <w:ind w:firstLine="420" w:firstLineChars="200"/>
        <w:rPr>
          <w:b/>
          <w:color w:val="000000" w:themeColor="text1"/>
          <w14:textFill>
            <w14:solidFill>
              <w14:schemeClr w14:val="tx1"/>
            </w14:solidFill>
          </w14:textFill>
        </w:rPr>
      </w:pPr>
      <w:bookmarkStart w:id="1356" w:name="_Toc32734"/>
      <w:bookmarkEnd w:id="1356"/>
      <w:r>
        <w:rPr>
          <w:rFonts w:hint="eastAsia" w:cs="Calibri"/>
          <w:b/>
          <w:color w:val="000000" w:themeColor="text1"/>
          <w14:textFill>
            <w14:solidFill>
              <w14:schemeClr w14:val="tx1"/>
            </w14:solidFill>
          </w14:textFill>
        </w:rPr>
        <w:t>3</w:t>
      </w:r>
      <w:r>
        <w:rPr>
          <w:rFonts w:hint="eastAsia" w:ascii="宋体" w:hAnsi="宋体"/>
          <w:b/>
          <w:color w:val="000000" w:themeColor="text1"/>
          <w14:textFill>
            <w14:solidFill>
              <w14:schemeClr w14:val="tx1"/>
            </w14:solidFill>
          </w14:textFill>
        </w:rPr>
        <w:t>、适当降低“外源”依存度，积极提升配置资源的效率</w:t>
      </w:r>
    </w:p>
    <w:p w14:paraId="54E4AADF">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能源等一些资源过度依赖进口，既使我国未来的经济发展背上沉重的成本负担，也威胁到国家的经济政治安全，并且容易引发更多的国际争端。适当降低对国际市场能源和资源的依赖程度，是我国转变对外经济发展方式的重要内容。</w:t>
      </w:r>
    </w:p>
    <w:p w14:paraId="2C3287F4">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尽管能源大量依赖进口存在着较高的风险，但由于国内能源供给数量有限，进口仍然会成为中国能源供给的重要方式之一。问题的根本在于，如何把握能源进口的依赖程度。一些舆论认为，中国目前的能源对外依赖程度并不足以引起高度警戒，也没有必要加以防范。其理由一是从国外进口开采成本低，符合经济规律，二是中国到目前为止并未遭遇过政治上的禁运。事实上，国际原油价格一度突破百元大关，日日高企的原油价格令低成本说不攻自破，而至今没有遭遇禁运，也绝不能推论出未来就没有遭遇禁运的可能。因此，中国某些能源和资源的进口高依存度“无风险”论并不能成立，需要及时建立风险防范措施。</w:t>
      </w:r>
    </w:p>
    <w:p w14:paraId="5F8B4C0E">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需要尽快建立起自己的重要能源（特别是石油）战略储备体系，形成一道基本的防火墙。在开放经济条件下，由于处于低端生产环节，我国能源原材料需求急剧增加，供需缺口加大，但国家能源等战略储备建设滞后，而且国内又存在西方大型公司的垄断化经营，导致我国一方面由于对国际市场存在刚性依赖，难以有效防范国际市场价格的异常波动带来的风险。另一方面，也对国内能源安全带来冲击，不利于增强我国在国际市场的自主性。建立能源战略储备体系，既可以防范国际市场价格风险，也可以应对不可预见的突发事件。最重要的是，能源战略储备体系可以平抑国内能源市场价格波动，引导和促进我国能源消费的合理化。</w:t>
      </w:r>
    </w:p>
    <w:p w14:paraId="528343BB">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需要重视国内资源能源的科学开发和高效利用。一是要科学制定国内能源和资源的可持续开发、利用和保护计划；二是要提高国内矿产资源开发的门槛限制和企业标准，提高能源开采效率；三是要适当提高资源消费价格，引导资源消费行为，提高资源的利用效率。</w:t>
      </w:r>
    </w:p>
    <w:p w14:paraId="3AE5F6E8">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）需要坚持鼓励和支持对新能源的开发和利用，从政策上重奖节能，重罚浪费。要积极出台政策，大力支持低碳技术、节能减排技术的创新和应用，限制“三高一低”项目的发展，减轻资源环境的压力。</w:t>
      </w:r>
    </w:p>
    <w:p w14:paraId="32C956DD">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）需要加强石油、黄金、有色金属、煤炭等各种稀缺资源的战略性管理，提升资源类商品的国际市场定价权和市场控制力。据有关资料，由于不掌握定价权，我国出口稀土曾便宜到每公斤价格仅</w:t>
      </w:r>
      <w:r>
        <w:rPr>
          <w:rFonts w:hint="eastAsia" w:cs="Calibri"/>
          <w:color w:val="000000" w:themeColor="text1"/>
          <w14:textFill>
            <w14:solidFill>
              <w14:schemeClr w14:val="tx1"/>
            </w14:solidFill>
          </w14:textFill>
        </w:rPr>
        <w:t>18</w:t>
      </w:r>
      <w:r>
        <w:rPr>
          <w:rFonts w:hint="eastAsia" w:ascii="宋体" w:hAnsi="宋体"/>
          <w:color w:val="000000" w:themeColor="text1"/>
          <w14:textFill>
            <w14:solidFill>
              <w14:schemeClr w14:val="tx1"/>
            </w14:solidFill>
          </w14:textFill>
        </w:rPr>
        <w:t>元人民币，而国际市场价格竟高达</w:t>
      </w:r>
      <w:r>
        <w:rPr>
          <w:rFonts w:hint="eastAsia" w:cs="Calibri"/>
          <w:color w:val="000000" w:themeColor="text1"/>
          <w14:textFill>
            <w14:solidFill>
              <w14:schemeClr w14:val="tx1"/>
            </w14:solidFill>
          </w14:textFill>
        </w:rPr>
        <w:t>1000</w:t>
      </w:r>
      <w:r>
        <w:rPr>
          <w:rFonts w:hint="eastAsia" w:ascii="宋体" w:hAnsi="宋体"/>
          <w:color w:val="000000" w:themeColor="text1"/>
          <w14:textFill>
            <w14:solidFill>
              <w14:schemeClr w14:val="tx1"/>
            </w14:solidFill>
          </w14:textFill>
        </w:rPr>
        <w:t>美元</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公斤。英国《金融时报》的文章提到，中国</w:t>
      </w:r>
      <w:r>
        <w:rPr>
          <w:rFonts w:hint="eastAsia" w:cs="Calibri"/>
          <w:color w:val="000000" w:themeColor="text1"/>
          <w14:textFill>
            <w14:solidFill>
              <w14:schemeClr w14:val="tx1"/>
            </w14:solidFill>
          </w14:textFill>
        </w:rPr>
        <w:t>2005</w:t>
      </w:r>
      <w:r>
        <w:rPr>
          <w:rFonts w:hint="eastAsia" w:ascii="宋体" w:hAnsi="宋体"/>
          <w:color w:val="000000" w:themeColor="text1"/>
          <w14:textFill>
            <w14:solidFill>
              <w14:schemeClr w14:val="tx1"/>
            </w14:solidFill>
          </w14:textFill>
        </w:rPr>
        <w:t>年时的稀土产量曾经达到全世界的</w:t>
      </w:r>
      <w:r>
        <w:rPr>
          <w:rFonts w:hint="eastAsia" w:cs="Calibri"/>
          <w:color w:val="000000" w:themeColor="text1"/>
          <w14:textFill>
            <w14:solidFill>
              <w14:schemeClr w14:val="tx1"/>
            </w14:solidFill>
          </w14:textFill>
        </w:rPr>
        <w:t>96%</w:t>
      </w:r>
      <w:r>
        <w:rPr>
          <w:rFonts w:hint="eastAsia" w:ascii="宋体" w:hAnsi="宋体"/>
          <w:color w:val="000000" w:themeColor="text1"/>
          <w14:textFill>
            <w14:solidFill>
              <w14:schemeClr w14:val="tx1"/>
            </w14:solidFill>
          </w14:textFill>
        </w:rPr>
        <w:t>，出口量也达到</w:t>
      </w:r>
      <w:r>
        <w:rPr>
          <w:rFonts w:hint="eastAsia" w:cs="Calibri"/>
          <w:color w:val="000000" w:themeColor="text1"/>
          <w14:textFill>
            <w14:solidFill>
              <w14:schemeClr w14:val="tx1"/>
            </w14:solidFill>
          </w14:textFill>
        </w:rPr>
        <w:t>60%</w:t>
      </w:r>
      <w:r>
        <w:rPr>
          <w:rFonts w:hint="eastAsia" w:ascii="宋体" w:hAnsi="宋体"/>
          <w:color w:val="000000" w:themeColor="text1"/>
          <w14:textFill>
            <w14:solidFill>
              <w14:schemeClr w14:val="tx1"/>
            </w14:solidFill>
          </w14:textFill>
        </w:rPr>
        <w:t>以上，但是稀土的定价权却并不掌握在我国企业手里。这个教训值得汲取。今后，我国对重要的能源和资源都应该加以出口管制，力争战略性资源产品定价主导权。要由“价格追随者”变为“价格制定者”，尤其要注重提高黑色金属（如铁矿石）、有色金属（如铜、铝、铅、锌、锡、镍）及稀土资源的国际定价权。</w:t>
      </w:r>
    </w:p>
    <w:p w14:paraId="19938A6E">
      <w:pPr>
        <w:ind w:firstLine="420" w:firstLineChars="200"/>
        <w:rPr>
          <w:b/>
          <w:color w:val="000000" w:themeColor="text1"/>
          <w14:textFill>
            <w14:solidFill>
              <w14:schemeClr w14:val="tx1"/>
            </w14:solidFill>
          </w14:textFill>
        </w:rPr>
      </w:pPr>
      <w:bookmarkStart w:id="1357" w:name="_Toc29615"/>
      <w:bookmarkEnd w:id="1357"/>
      <w:r>
        <w:rPr>
          <w:rFonts w:hint="eastAsia" w:cs="Calibri"/>
          <w:b/>
          <w:color w:val="000000" w:themeColor="text1"/>
          <w14:textFill>
            <w14:solidFill>
              <w14:schemeClr w14:val="tx1"/>
            </w14:solidFill>
          </w14:textFill>
        </w:rPr>
        <w:t>4</w:t>
      </w:r>
      <w:r>
        <w:rPr>
          <w:rFonts w:hint="eastAsia" w:ascii="宋体" w:hAnsi="宋体"/>
          <w:b/>
          <w:color w:val="000000" w:themeColor="text1"/>
          <w14:textFill>
            <w14:solidFill>
              <w14:schemeClr w14:val="tx1"/>
            </w14:solidFill>
          </w14:textFill>
        </w:rPr>
        <w:t>、适当控制外汇储备规模，积极提升使用外汇的收益</w:t>
      </w:r>
    </w:p>
    <w:p w14:paraId="396F38DB">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充足的外汇储备有利于增强我国的对外支付和清偿能力，防范国际收支和金融风险，提高海内外对中国经济的信心。但是，如果长时间和大幅度地超过合理规模，会给经济发展带来诸多负面影响。解决外汇储备过度的问题，不仅要控制低收益的加工贸易的发展规模，从根源上减少贸易顺差，降低外汇储备激增的速度，而且要通过扩大内需，增加国内消费，更多地进口以平衡对外贸易。历史经验证明，大部分发达国家都经历了一个先“引进来”，再“走出去”的过程。目前我国比较充裕的外汇储备，可以为我国“走出去”提供坚实的经济后盾。</w:t>
      </w:r>
    </w:p>
    <w:p w14:paraId="61AFD94B">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巨额的外汇储备是我们来之不易的宝贵财富，除了尽可能实现保值和增值，以及合理地安排其在境外的投资结构以外，也要及时地合理配置手中已有的外汇资源。从国内来说，应当有计划地激活这些资源，用于国内急需的国计民生领域和项目，如社会保障、基础教育、医疗卫生、扶贫、住房、环境保护、基础设施、西部开发等等。</w:t>
      </w:r>
    </w:p>
    <w:p w14:paraId="643B6336">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国际来说，针对不断贬值的美元外汇储备，必须及时提高外汇使用的效率，改善现有外汇的配置。一是可赎回被美国企业收购的中国重要国有企业资产；二是可用来支持中国企业收购海外资源和有价值实体企业，或收购控制着中国战略性行业的跨国公司股份；三是可用来引进国外的关键技术和科研人才，实现“引智创新”；四是积极建立“主权基金”，或直接进行“海外购物”，购买高端技术和设备或相关物资；五是参股或并购海外各种媒体，客观介绍中国，反击妖魔化中国的浪潮，增强国际话语权和软实力。总之，要采取多种方式，降低货币资本储存的机会成本。同时，还要在不放弃对资本流动管制的条件下，大力促进人民币的区域化和国际化进程，使人民币逐步成为世界贸易结算、流通和储备货币之一，从根本上解决“币权”问题。</w:t>
      </w:r>
    </w:p>
    <w:p w14:paraId="26B2A95C">
      <w:pPr>
        <w:ind w:firstLine="420" w:firstLineChars="200"/>
        <w:rPr>
          <w:b/>
          <w:color w:val="000000" w:themeColor="text1"/>
          <w14:textFill>
            <w14:solidFill>
              <w14:schemeClr w14:val="tx1"/>
            </w14:solidFill>
          </w14:textFill>
        </w:rPr>
      </w:pPr>
      <w:bookmarkStart w:id="1358" w:name="_Toc30580"/>
      <w:bookmarkEnd w:id="1358"/>
      <w:r>
        <w:rPr>
          <w:rFonts w:hint="eastAsia" w:cs="Calibri"/>
          <w:b/>
          <w:color w:val="000000" w:themeColor="text1"/>
          <w14:textFill>
            <w14:solidFill>
              <w14:schemeClr w14:val="tx1"/>
            </w14:solidFill>
          </w14:textFill>
        </w:rPr>
        <w:t>5</w:t>
      </w:r>
      <w:r>
        <w:rPr>
          <w:rFonts w:hint="eastAsia" w:ascii="宋体" w:hAnsi="宋体"/>
          <w:b/>
          <w:color w:val="000000" w:themeColor="text1"/>
          <w14:textFill>
            <w14:solidFill>
              <w14:schemeClr w14:val="tx1"/>
            </w14:solidFill>
          </w14:textFill>
        </w:rPr>
        <w:t>、适当控制外贸依存度，积极提升消费拉动增长的作用</w:t>
      </w:r>
    </w:p>
    <w:p w14:paraId="64D306E6">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经济自主发展、竞争力不断提高的基础上参与国际竞争，积极开拓国际市场，是转变对外经济发展方式的内在要求。增强经济自主性，需要发挥内需拉动经济增长的作用，适当降低外贸规模；提高国际市场竞争力，需要加快提升贸易层次和调整贸易结构。作为一个发展中大国，从保持经济健康可持续发展和提高人民生活角度考虑，都不能不重视外贸依存度问题，需要将外贸依存度控制在略低于发展中国家的平均水平。适当控制外贸依存度，重点是做好以下几个方面。</w:t>
      </w:r>
    </w:p>
    <w:p w14:paraId="55D8BEF9">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尽快扭转我国进出口不平衡的趋势。技术层次低、竞争力弱和发展中短期利益倾向，容易导致对外贸易方式相对单一、贸易对象和内容单调、贸易结构不合理，是造成我国进出口不平衡的主要原因。今后，不仅需要平衡好进出口数量关系，也需要调整好进出口结构。首先，是要优化我国的贸易方式，在积极提升加工贸易的同时，大力发展边境贸易、易货贸易、转口贸易、租赁贸易等其他贸易方式；其次，是要促进服务贸易的进出口增长，适度开放服务贸易领域，提高服务贸易额在总贸易额中的比重；其三，是要加快改善外贸结构，改变贸易主体长期由外资主导的局面，促进本土企业参与高端国际贸易和竞争；其四，是要加快改善文化贸易的结构，消除“文化赤字”；最后，改善扭转进出口不平衡局面，还需要适时调整对外贸易区域，改变国际贸易上对发达国家的过度依赖。</w:t>
      </w:r>
    </w:p>
    <w:p w14:paraId="1C5D927C">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积极促进内需与外需协调发展。积极扩大内需，既是转变经济发展方式的条件，也是消化国内过剩产能的重要手段。扩大内需有利于适当降低企业对国际市场的依赖程度，有利于降低外贸依存度。今后，在推动外贸平稳增长和提高档次的同时，要更加重视促进外贸企业服务于扩大内需的大局。一方面，要推动外贸出口企业调整产品结构、调整市场方向；另一方面，国家也要适时出台相关政策，引导和支持外贸出口企业的转型，引导社会消费合理化，使消费成为拉动经济增长的内在动力。</w:t>
      </w:r>
    </w:p>
    <w:p w14:paraId="48298DD6">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）大幅提高中低阶层收入水平。社会中低阶层收入水平的提高，是增强全社会消费能力、扩大内需的前提条件。过去</w:t>
      </w:r>
      <w:r>
        <w:rPr>
          <w:rFonts w:hint="eastAsia" w:cs="Calibri"/>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多年，虽然我国城乡居民收入水平有所提高，但中国企业的薪酬福利平均成本不到总成本的</w:t>
      </w:r>
      <w:r>
        <w:rPr>
          <w:rFonts w:hint="eastAsia" w:cs="Calibri"/>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，远低于欧洲的</w:t>
      </w:r>
      <w:r>
        <w:rPr>
          <w:rFonts w:hint="eastAsia" w:cs="Calibri"/>
          <w:color w:val="000000" w:themeColor="text1"/>
          <w14:textFill>
            <w14:solidFill>
              <w14:schemeClr w14:val="tx1"/>
            </w14:solidFill>
          </w14:textFill>
        </w:rPr>
        <w:t>22%</w:t>
      </w:r>
      <w:r>
        <w:rPr>
          <w:rFonts w:hint="eastAsia" w:ascii="宋体" w:hAnsi="宋体"/>
          <w:color w:val="000000" w:themeColor="text1"/>
          <w14:textFill>
            <w14:solidFill>
              <w14:schemeClr w14:val="tx1"/>
            </w14:solidFill>
          </w14:textFill>
        </w:rPr>
        <w:t>和美国的</w:t>
      </w:r>
      <w:r>
        <w:rPr>
          <w:rFonts w:hint="eastAsia" w:cs="Calibri"/>
          <w:color w:val="000000" w:themeColor="text1"/>
          <w14:textFill>
            <w14:solidFill>
              <w14:schemeClr w14:val="tx1"/>
            </w14:solidFill>
          </w14:textFill>
        </w:rPr>
        <w:t>34%</w:t>
      </w:r>
      <w:r>
        <w:rPr>
          <w:rFonts w:hint="eastAsia" w:ascii="宋体" w:hAnsi="宋体"/>
          <w:color w:val="000000" w:themeColor="text1"/>
          <w14:textFill>
            <w14:solidFill>
              <w14:schemeClr w14:val="tx1"/>
            </w14:solidFill>
          </w14:textFill>
        </w:rPr>
        <w:t>；人多地少的国情和国际农产品的冲击，也使农民增收缓慢，很多农民不得不进入外向加工型企业打工。这种建立在廉价劳动力基础上的竞争优势，其实是以牺牲民生福利水平为代价，是不可持续的。大幅提高中低阶层收入水平，关键是要加快财富和收入分配制度改革，调整国民收入分配初次分配和再分配的结构，尽快提高劳动收入占</w:t>
      </w:r>
      <w:r>
        <w:rPr>
          <w:rFonts w:hint="eastAsia" w:cs="Calibri"/>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比重，扭转收入和财富分配差距不断扩大的趋势。大幅提高中低阶层收入水平，还需要尽量减轻居民生活负担，提高其消费意愿和能力。一是要考虑通过加大农业和农村的基础设施投资，促进农民持续增收等措施，持续扩大农村消费；二是要坚持提高社会医疗和社会保障水平，解除基层群众后顾之忧；三是要加大基础教育和健康卫生方面的公共投资，逐步缩小公共物品和公共服务的分配差距，有效改善人们的消费预期，提高消费倾向。</w:t>
      </w:r>
    </w:p>
    <w:p w14:paraId="6ED7CBC3">
      <w:pPr>
        <w:spacing w:line="400" w:lineRule="exact"/>
        <w:ind w:firstLine="420" w:firstLineChars="200"/>
        <w:rPr>
          <w:b/>
          <w:color w:val="000000" w:themeColor="text1"/>
          <w14:textFill>
            <w14:solidFill>
              <w14:schemeClr w14:val="tx1"/>
            </w14:solidFill>
          </w14:textFill>
        </w:rPr>
      </w:pPr>
      <w:r>
        <w:rPr>
          <w:rFonts w:hint="eastAsia" w:cs="Calibri"/>
          <w:b/>
          <w:color w:val="000000" w:themeColor="text1"/>
          <w14:textFill>
            <w14:solidFill>
              <w14:schemeClr w14:val="tx1"/>
            </w14:solidFill>
          </w14:textFill>
        </w:rPr>
        <w:t>6</w:t>
      </w:r>
      <w:r>
        <w:rPr>
          <w:rFonts w:hint="eastAsia" w:ascii="宋体" w:hAnsi="宋体"/>
          <w:b/>
          <w:color w:val="000000" w:themeColor="text1"/>
          <w14:textFill>
            <w14:solidFill>
              <w14:schemeClr w14:val="tx1"/>
            </w14:solidFill>
          </w14:textFill>
        </w:rPr>
        <w:t>、适当降低“外产”依赖度，提升参与国际分工的层次提升国内产业的国际分工水平，是转变对外经济发展方式的立足点</w:t>
      </w:r>
    </w:p>
    <w:p w14:paraId="0AEE780B">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只有提升产业分工层次，消除“微笑曲线”不良分工现象，国际分工中的“微笑曲线”是中国“外产”依赖度高的直接体现。</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美国智库凯利托研究所发表报告指出：中美国际分工呈“微笑曲线”模式，即美国控制了高利润的商标、概念设计等前期生产过程及物流、销售和市场开发等后期服务，而中国仅承担低附加值的中期生产加工。从双方获利比率来看，美方才是中美经贸合作的最大受益方。据其测算，中国创造的产品附加值仅占对美出口总额的</w:t>
      </w:r>
      <w:r>
        <w:rPr>
          <w:rFonts w:hint="eastAsia" w:cs="Calibri"/>
          <w:color w:val="000000" w:themeColor="text1"/>
          <w14:textFill>
            <w14:solidFill>
              <w14:schemeClr w14:val="tx1"/>
            </w14:solidFill>
          </w14:textFill>
        </w:rPr>
        <w:t>1/3</w:t>
      </w:r>
      <w:r>
        <w:rPr>
          <w:rFonts w:hint="eastAsia" w:ascii="宋体" w:hAnsi="宋体"/>
          <w:color w:val="000000" w:themeColor="text1"/>
          <w14:textFill>
            <w14:solidFill>
              <w14:schemeClr w14:val="tx1"/>
            </w14:solidFill>
          </w14:textFill>
        </w:rPr>
        <w:t>到</w:t>
      </w:r>
      <w:r>
        <w:rPr>
          <w:rFonts w:hint="eastAsia" w:cs="Calibri"/>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才能降低对外国产业的依赖度，打破西方发达国家对我国的“产业链阴谋”（郎咸平语）。当前，要扭转以“引进战略投资者”为理由，主动或被动地逐步让西方跨国公司支配或控制中国产业和重要产品的现象；要利用西方金融和经济危机过程和今后国际生产和贸易格局变革的历史机遇期，适当淘汰高污染、高能耗的外向型加工业，积极推进产业优化升级，提升参与国际分工层次。</w:t>
      </w:r>
    </w:p>
    <w:p w14:paraId="4655D0E2">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加快调整产业结构。以提高产业竞争力和产品附加值为导向，促进产业结构合理化，使产业在调整中优化和提高。调整优化产业结构涉及诸多方面，主要是做好以下几个工作：首先是要用先进技术改造传统产业，推动传统产业技术装备更新换代和产业升级，力争使传统产业在全球产业链获取更高的附加值，避免陷入“比较优势陷阱”，防止我国沦为西方发达国家的“生产基地”；其次是要制定中长期的国家产业创新战略，切实推进产业创新，大力发展信息产业和新能源产业，大力发展设计、咨询、物流等现代服务业和文化教育产业，抢占未来全球经济和文化教育竞争的制高点；三是要鼓励民间创业和国内企业创新，改革和完善投融资体制，引导和鼓励国内资本调整投资方向，使新增投资逐渐向现代服务业和高新技术产业转移，以便像中国高铁成为首个发展中国家向发达国家输出的战略性高新技术领域那样，逐步提升参与国际分工的层次。</w:t>
      </w:r>
    </w:p>
    <w:p w14:paraId="5630A396">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完善国家经济安全防范体系。加强国家经济安全，首先是要加强对外资企业并购中国企业的监管，加大对关系到国计民生和战略性产业的保护。要运用经济的、法律的手段，制止西方跨国公司越来越多地控制和垄断我国产业的行为。其次，是要严格执行环保等前置性审批，完善外资投资目标指引，提高外资进入门槛和标准，遏制跨国公司将技术落后和污染严重的生产基地转移到我国的现象。最后，是要健全金融监管体系，稳健开放金融业等涉及国家经济安全的核心产业，确保国内产业安全和金融安全。</w:t>
      </w:r>
    </w:p>
    <w:p w14:paraId="294CCE2B">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积极参与国际货币体系改革，改善国际经济环境。降低对国际产业的依赖，需要积极创造公平合理的国际经济竞争和合作条件。一方面，我国应主动和积极地介入国际高端产业分工，广泛开展国际市场竞争；另一方面，也要积极推动国际货币金融体系改革，增强我国在国际经济规则制订中的主动权，避免西方发达国家利用非市场力量打压我国。需要清醒地看到，只有通过“走出去”来提升我国的全球要素配置能力，才能创造出参与国际分工的新优势。安毅、常清、付文阁：《历次国际金融危机与世界经济格局变化探析》，《经济社会体制比较》</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年第</w:t>
      </w:r>
      <w:r>
        <w:rPr>
          <w:rFonts w:hint="eastAsia" w:cs="Calibri"/>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期。当前，应利用我国外汇储备急剧增长、人民币升值等有利因素，在国内资源整合和产业升级的基础上，积极开展海外投资和跨国并购，化解目前开放层次低、利益少、自主性差的发展难题。在自主、自立和自强的基础上，真正使我国开放型经济体系成为全球生产体系的重要组成部分。</w:t>
      </w:r>
    </w:p>
    <w:p w14:paraId="73B43DDE">
      <w:pPr>
        <w:spacing w:line="400" w:lineRule="exact"/>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 xml:space="preserve"> </w:t>
      </w:r>
    </w:p>
    <w:p w14:paraId="0B80F291">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（原载于《当代经济研究》</w:t>
      </w:r>
      <w:r>
        <w:rPr>
          <w:rFonts w:hint="eastAsia" w:cs="Calibri"/>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年第</w:t>
      </w: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期、第</w:t>
      </w:r>
      <w:r>
        <w:rPr>
          <w:rFonts w:hint="eastAsia" w:cs="Calibri"/>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期。第二作者侯为民）</w:t>
      </w:r>
      <w:r>
        <w:rPr>
          <w:color w:val="000000" w:themeColor="text1"/>
          <w14:textFill>
            <w14:solidFill>
              <w14:schemeClr w14:val="tx1"/>
            </w14:solidFill>
          </w14:textFill>
        </w:rPr>
        <w:br w:type="page"/>
      </w:r>
    </w:p>
    <w:p w14:paraId="5CA27E01">
      <w:pPr>
        <w:pStyle w:val="3"/>
        <w:ind w:firstLine="640" w:firstLineChars="200"/>
        <w:outlineLvl w:val="1"/>
        <w:rPr>
          <w:color w:val="000000" w:themeColor="text1"/>
          <w14:textFill>
            <w14:solidFill>
              <w14:schemeClr w14:val="tx1"/>
            </w14:solidFill>
          </w14:textFill>
        </w:rPr>
      </w:pPr>
      <w:bookmarkStart w:id="1359" w:name="_Toc162"/>
      <w:bookmarkEnd w:id="1359"/>
      <w:bookmarkStart w:id="1360" w:name="_Toc17259"/>
      <w:bookmarkEnd w:id="1360"/>
      <w:bookmarkStart w:id="1361" w:name="_Toc7115"/>
      <w:bookmarkEnd w:id="1361"/>
      <w:bookmarkStart w:id="1362" w:name="_Toc93074687"/>
      <w:bookmarkEnd w:id="1362"/>
      <w:bookmarkStart w:id="1363" w:name="_Toc329173753"/>
      <w:bookmarkEnd w:id="1363"/>
      <w:bookmarkStart w:id="1364" w:name="_Toc19184"/>
      <w:bookmarkStart w:id="1365" w:name="_Toc114057779"/>
      <w:bookmarkStart w:id="1366" w:name="_Toc22193"/>
      <w:bookmarkStart w:id="1367" w:name="_Toc1896079564"/>
      <w:bookmarkStart w:id="1368" w:name="_Toc716867722"/>
      <w:r>
        <w:rPr>
          <w:rFonts w:hint="eastAsia" w:ascii="黑体" w:hAnsi="黑体"/>
          <w:color w:val="000000" w:themeColor="text1"/>
          <w:lang w:val="en-US" w:eastAsia="zh-CN"/>
          <w14:textFill>
            <w14:solidFill>
              <w14:schemeClr w14:val="tx1"/>
            </w14:solidFill>
          </w14:textFill>
        </w:rPr>
        <w:t>9</w:t>
      </w:r>
      <w:r>
        <w:rPr>
          <w:rFonts w:hint="eastAsia" w:ascii="黑体" w:hAnsi="黑体"/>
          <w:color w:val="000000" w:themeColor="text1"/>
          <w14:textFill>
            <w14:solidFill>
              <w14:schemeClr w14:val="tx1"/>
            </w14:solidFill>
          </w14:textFill>
        </w:rPr>
        <w:t>论政府在功能收入分配和规模收入分配中的作用</w:t>
      </w:r>
      <w:bookmarkEnd w:id="1364"/>
      <w:bookmarkEnd w:id="1365"/>
      <w:bookmarkEnd w:id="1366"/>
      <w:bookmarkEnd w:id="1367"/>
      <w:bookmarkEnd w:id="1368"/>
    </w:p>
    <w:p w14:paraId="501CACF5">
      <w:pPr>
        <w:spacing w:before="147" w:beforeLines="50" w:after="147" w:afterLines="50" w:line="400" w:lineRule="exact"/>
        <w:ind w:firstLine="480" w:firstLineChars="200"/>
        <w:jc w:val="center"/>
        <w:rPr>
          <w:rFonts w:ascii="宋体" w:hAnsi="宋体"/>
          <w:b/>
          <w:color w:val="000000" w:themeColor="text1"/>
          <w:sz w:val="24"/>
          <w:szCs w:val="24"/>
          <w14:textFill>
            <w14:solidFill>
              <w14:schemeClr w14:val="tx1"/>
            </w14:solidFill>
          </w14:textFill>
        </w:rPr>
      </w:pPr>
      <w:bookmarkStart w:id="1369" w:name="_Toc15819"/>
      <w:bookmarkEnd w:id="1369"/>
      <w:bookmarkStart w:id="1370" w:name="_Toc2994"/>
      <w:bookmarkEnd w:id="1370"/>
      <w:bookmarkStart w:id="1371" w:name="_Toc15074"/>
      <w:bookmarkEnd w:id="1371"/>
      <w:bookmarkStart w:id="1372" w:name="_Toc22109"/>
      <w:r>
        <w:rPr>
          <w:rFonts w:hint="eastAsia" w:ascii="宋体" w:hAnsi="宋体"/>
          <w:b/>
          <w:color w:val="000000" w:themeColor="text1"/>
          <w:sz w:val="24"/>
          <w:szCs w:val="24"/>
          <w14:textFill>
            <w14:solidFill>
              <w14:schemeClr w14:val="tx1"/>
            </w14:solidFill>
          </w14:textFill>
        </w:rPr>
        <w:t>一、功能收入分配和规模收入分配的基本概念</w:t>
      </w:r>
      <w:bookmarkEnd w:id="1372"/>
    </w:p>
    <w:p w14:paraId="11DE6755">
      <w:pPr>
        <w:ind w:firstLine="420" w:firstLineChars="200"/>
        <w:rPr>
          <w:rFonts w:ascii="Times New Roman" w:hAnsi="Times New Roman"/>
          <w:b/>
          <w:color w:val="000000" w:themeColor="text1"/>
          <w14:textFill>
            <w14:solidFill>
              <w14:schemeClr w14:val="tx1"/>
            </w14:solidFill>
          </w14:textFill>
        </w:rPr>
      </w:pPr>
      <w:bookmarkStart w:id="1373" w:name="_Toc24280"/>
      <w:bookmarkEnd w:id="1373"/>
      <w:r>
        <w:rPr>
          <w:rFonts w:ascii="Times New Roman" w:hAnsi="Times New Roman"/>
          <w:b/>
          <w:color w:val="000000" w:themeColor="text1"/>
          <w14:textFill>
            <w14:solidFill>
              <w14:schemeClr w14:val="tx1"/>
            </w14:solidFill>
          </w14:textFill>
        </w:rPr>
        <w:t>1.</w:t>
      </w:r>
      <w:r>
        <w:rPr>
          <w:rFonts w:hint="eastAsia" w:ascii="宋体" w:hAnsi="宋体"/>
          <w:b/>
          <w:color w:val="000000" w:themeColor="text1"/>
          <w14:textFill>
            <w14:solidFill>
              <w14:schemeClr w14:val="tx1"/>
            </w14:solidFill>
          </w14:textFill>
        </w:rPr>
        <w:t>功能收入分配与规模收入分配的区别</w:t>
      </w:r>
    </w:p>
    <w:p w14:paraId="53A07B0C">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功能收入分配和规模收入分配是研究国民收入分配的两种基本方法。功能收入分配也被称为要素收入分配，它探讨各种生产要素与其收入所得的关系，是从收入来源的角度研究收入分配，关注的是资本和劳动的相对收入份额。规模收入分配也被称为个人收入分配或家户收入分配，它探讨不同个人和家庭的收入总额，关注的是不同阶层的人口或家庭得到的相对收入份额。功能收入分配主要关注国民收入的初次分配，而规模收入分配主要关注国民收入的最终分配。</w:t>
      </w:r>
    </w:p>
    <w:p w14:paraId="3D7F09B4">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历史上最早研究功能性收入分配的经济学家是亚当•斯密。斯密把全部收入划分为工资、利润和地租。工资收入的性质是劳动收入，利润和地租收入的性质是资本收入。继斯密之后，李嘉图、马克思等经济学家都坚持从功能收入角度研究收入分配。衡量功能收入分配的常用指标是劳动收入份额与资本收入份额。由于经济中存在很多复合收入——例如，农民的收入、城镇小业主的收入等都属于复合收入——如何把复合收入分解为劳动收入和资本收入，在很大程度上会影响劳动收入份额和资本收入份额的计算。由于功能收入分配对收入性质的划分要涉及规范分析，因此强调实证分析的当代西方经济学把研究的重点从功能收入分配转向了规模收入分配。</w:t>
      </w:r>
    </w:p>
    <w:p w14:paraId="21CC79ED">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帕累托是最早研究规模收入分配的经济学家。规模收入分配不区分收入的来源和性质，这种方法以家庭（或个人）为分析单位，按家庭收入总量，将所有家庭由低到高进行排序，分析不同家庭所占的比例。这种分析方法可以探讨某一阶层的人口或家庭的比重与其所得的收入份额之间的关系如何，以及什么因素决定个人或家庭的收入分配结构。衡量规模收入分配的常用指标有</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分位法、</w:t>
      </w:r>
      <w:r>
        <w:rPr>
          <w:rFonts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分位法、基尼系数法和泰勒系数法等。过去经济学家多用基尼系数法衡量规模收入分配，现在泰勒系数法也越来越流行。在基尼系数法中，离散行数据的基尼系数计算公式为</w:t>
      </w:r>
      <w:r>
        <w:rPr>
          <w:color w:val="000000" w:themeColor="text1"/>
          <w14:textFill>
            <w14:solidFill>
              <w14:schemeClr w14:val="tx1"/>
            </w14:solidFill>
          </w14:textFill>
        </w:rPr>
        <w:drawing>
          <wp:inline distT="0" distB="0" distL="0" distR="0">
            <wp:extent cx="1231265" cy="427990"/>
            <wp:effectExtent l="0" t="0" r="13335" b="317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a:xfrm>
                      <a:off x="0" y="0"/>
                      <a:ext cx="1231265" cy="42799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，基尼系数可以简单地看作是所有个体相对收入</w:t>
      </w:r>
      <w:r>
        <w:rPr>
          <w:color w:val="000000" w:themeColor="text1"/>
          <w14:textFill>
            <w14:solidFill>
              <w14:schemeClr w14:val="tx1"/>
            </w14:solidFill>
          </w14:textFill>
        </w:rPr>
        <w:drawing>
          <wp:inline distT="0" distB="0" distL="0" distR="0">
            <wp:extent cx="190500" cy="401955"/>
            <wp:effectExtent l="0" t="0" r="12700" b="381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a:xfrm>
                      <a:off x="0" y="0"/>
                      <a:ext cx="190500" cy="401955"/>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的加权加总，其中排在第</w:t>
      </w:r>
      <w:r>
        <w:rPr>
          <w:rFonts w:ascii="Times New Roman" w:hAnsi="Times New Roman"/>
          <w:i/>
          <w:color w:val="000000" w:themeColor="text1"/>
          <w14:textFill>
            <w14:solidFill>
              <w14:schemeClr w14:val="tx1"/>
            </w14:solidFill>
          </w14:textFill>
        </w:rPr>
        <w:t>i</w:t>
      </w:r>
      <w:r>
        <w:rPr>
          <w:rFonts w:hint="eastAsia" w:ascii="宋体" w:hAnsi="宋体"/>
          <w:color w:val="000000" w:themeColor="text1"/>
          <w14:textFill>
            <w14:solidFill>
              <w14:schemeClr w14:val="tx1"/>
            </w14:solidFill>
          </w14:textFill>
        </w:rPr>
        <w:t>个位置的权重为</w:t>
      </w:r>
      <w:r>
        <w:rPr>
          <w:color w:val="000000" w:themeColor="text1"/>
          <w14:textFill>
            <w14:solidFill>
              <w14:schemeClr w14:val="tx1"/>
            </w14:solidFill>
          </w14:textFill>
        </w:rPr>
        <w:drawing>
          <wp:inline distT="0" distB="0" distL="0" distR="0">
            <wp:extent cx="591820" cy="401955"/>
            <wp:effectExtent l="0" t="0" r="17780" b="3810"/>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a:xfrm>
                      <a:off x="0" y="0"/>
                      <a:ext cx="591820" cy="401955"/>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。而泰勒系数法（</w:t>
      </w:r>
      <w:r>
        <w:rPr>
          <w:rFonts w:ascii="Times New Roman" w:hAnsi="Times New Roman"/>
          <w:color w:val="000000" w:themeColor="text1"/>
          <w14:textFill>
            <w14:solidFill>
              <w14:schemeClr w14:val="tx1"/>
            </w14:solidFill>
          </w14:textFill>
        </w:rPr>
        <w:t>TheilIndex</w:t>
      </w:r>
      <w:r>
        <w:rPr>
          <w:rFonts w:hint="eastAsia" w:ascii="宋体" w:hAnsi="宋体"/>
          <w:color w:val="000000" w:themeColor="text1"/>
          <w14:textFill>
            <w14:solidFill>
              <w14:schemeClr w14:val="tx1"/>
            </w14:solidFill>
          </w14:textFill>
        </w:rPr>
        <w:t>）通过计算人们的收入份额与人口份额之比，来考察现实收入分配离完全平等的偏离程度。其计算公式为</w:t>
      </w:r>
      <w:r>
        <w:rPr>
          <w:color w:val="000000" w:themeColor="text1"/>
          <w14:textFill>
            <w14:solidFill>
              <w14:schemeClr w14:val="tx1"/>
            </w14:solidFill>
          </w14:textFill>
        </w:rPr>
        <w:drawing>
          <wp:inline distT="0" distB="0" distL="0" distR="0">
            <wp:extent cx="1316355" cy="427990"/>
            <wp:effectExtent l="0" t="0" r="4445" b="317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a:xfrm>
                      <a:off x="0" y="0"/>
                      <a:ext cx="1316355" cy="42799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，其中</w:t>
      </w:r>
      <w:r>
        <w:rPr>
          <w:color w:val="000000" w:themeColor="text1"/>
          <w14:textFill>
            <w14:solidFill>
              <w14:schemeClr w14:val="tx1"/>
            </w14:solidFill>
          </w14:textFill>
        </w:rPr>
        <w:drawing>
          <wp:inline distT="0" distB="0" distL="0" distR="0">
            <wp:extent cx="174625" cy="238125"/>
            <wp:effectExtent l="0" t="0" r="3175" b="19050"/>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a:xfrm>
                      <a:off x="0" y="0"/>
                      <a:ext cx="174625" cy="238125"/>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是第</w:t>
      </w:r>
      <w:r>
        <w:rPr>
          <w:rFonts w:ascii="Times New Roman" w:hAnsi="Times New Roman"/>
          <w:i/>
          <w:color w:val="000000" w:themeColor="text1"/>
          <w14:textFill>
            <w14:solidFill>
              <w14:schemeClr w14:val="tx1"/>
            </w14:solidFill>
          </w14:textFill>
        </w:rPr>
        <w:t>i</w:t>
      </w:r>
      <w:r>
        <w:rPr>
          <w:rFonts w:hint="eastAsia" w:ascii="宋体" w:hAnsi="宋体"/>
          <w:color w:val="000000" w:themeColor="text1"/>
          <w14:textFill>
            <w14:solidFill>
              <w14:schemeClr w14:val="tx1"/>
            </w14:solidFill>
          </w14:textFill>
        </w:rPr>
        <w:t>个人的收入，</w:t>
      </w:r>
      <w:r>
        <w:rPr>
          <w:rFonts w:ascii="Times New Roman" w:hAnsi="Times New Roman"/>
          <w:i/>
          <w:color w:val="000000" w:themeColor="text1"/>
          <w14:textFill>
            <w14:solidFill>
              <w14:schemeClr w14:val="tx1"/>
            </w14:solidFill>
          </w14:textFill>
        </w:rPr>
        <w:t>Y</w:t>
      </w:r>
      <w:r>
        <w:rPr>
          <w:rFonts w:hint="eastAsia" w:ascii="宋体" w:hAnsi="宋体"/>
          <w:color w:val="000000" w:themeColor="text1"/>
          <w14:textFill>
            <w14:solidFill>
              <w14:schemeClr w14:val="tx1"/>
            </w14:solidFill>
          </w14:textFill>
        </w:rPr>
        <w:t>是总收入，</w:t>
      </w:r>
      <w:r>
        <w:rPr>
          <w:rFonts w:ascii="Times New Roman" w:hAnsi="Times New Roman"/>
          <w:i/>
          <w:color w:val="000000" w:themeColor="text1"/>
          <w14:textFill>
            <w14:solidFill>
              <w14:schemeClr w14:val="tx1"/>
            </w14:solidFill>
          </w14:textFill>
        </w:rPr>
        <w:t>N</w:t>
      </w:r>
      <w:r>
        <w:rPr>
          <w:rFonts w:hint="eastAsia" w:ascii="宋体" w:hAnsi="宋体"/>
          <w:color w:val="000000" w:themeColor="text1"/>
          <w14:textFill>
            <w14:solidFill>
              <w14:schemeClr w14:val="tx1"/>
            </w14:solidFill>
          </w14:textFill>
        </w:rPr>
        <w:t>是总人口。</w:t>
      </w:r>
    </w:p>
    <w:p w14:paraId="234A9CE5">
      <w:pPr>
        <w:ind w:firstLine="420" w:firstLineChars="200"/>
        <w:rPr>
          <w:rFonts w:hint="eastAsia" w:ascii="Times New Roman" w:hAnsi="Times New Roman"/>
          <w:b/>
          <w:color w:val="000000" w:themeColor="text1"/>
          <w14:textFill>
            <w14:solidFill>
              <w14:schemeClr w14:val="tx1"/>
            </w14:solidFill>
          </w14:textFill>
        </w:rPr>
      </w:pPr>
      <w:bookmarkStart w:id="1374" w:name="_Toc16022"/>
      <w:bookmarkEnd w:id="1374"/>
      <w:r>
        <w:rPr>
          <w:rFonts w:ascii="Times New Roman" w:hAnsi="Times New Roman"/>
          <w:b/>
          <w:color w:val="000000" w:themeColor="text1"/>
          <w14:textFill>
            <w14:solidFill>
              <w14:schemeClr w14:val="tx1"/>
            </w14:solidFill>
          </w14:textFill>
        </w:rPr>
        <w:t>2.</w:t>
      </w:r>
      <w:r>
        <w:rPr>
          <w:rFonts w:hint="eastAsia" w:ascii="宋体" w:hAnsi="宋体"/>
          <w:b/>
          <w:color w:val="000000" w:themeColor="text1"/>
          <w14:textFill>
            <w14:solidFill>
              <w14:schemeClr w14:val="tx1"/>
            </w14:solidFill>
          </w14:textFill>
        </w:rPr>
        <w:t>功能收入分配与规模收入分配的联系</w:t>
      </w:r>
    </w:p>
    <w:p w14:paraId="7E265E11">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功能收入分配和规模收入分配存在密切的联系。一般而言，功能收入分配差别越大，规模收入分配差别也越大。反之则反是。任何强化功能收入分配差距的措施都会影响规模收入分配格局。收入的功能分配决定着收入的规模分配。功能收入分配从收入来源角度研究收入分配，其分析原则是经济效率原则；而规模收入分配研究人口规模或家庭规模与收入规模的关系，其结果可以用来说明社会阶层流动状况，也可以说明不同的社会经济群体之间收入分配的形成和变化趋势。功能收入分配决定和影响规模分配，因为某一经济群体的人口所获得的收入份额在很大程度上取决于他们所占有的生产要素的多寡。</w:t>
      </w:r>
    </w:p>
    <w:p w14:paraId="74A9EEC0">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经济制度会影响功能收入分配和规模收入分配间的联系。按照新古典经济学的边际生产力理论，在一个完全竞争的市场环境中，功能收入分配会导致每种要素的所有者收入趋向均等化。但这并不符合现实。例如，在现实中，由于雇主与工会之间的集体讨价还价，垄断者和富有的地主从其个人利益出发对资本、土地和产品价格的操纵，都会使功能收入分配的理论产生很大的局限性。</w:t>
      </w:r>
    </w:p>
    <w:p w14:paraId="607BB818">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无论是功能收入分配，还是规模收入分配，都非常关注收入不平等的成因。收入不平等一般由两种原因所致。一种是财产性收入不平等，另一种是工资不平等。工资水平的降低会导致财产性收入上升，而财产性收入上升会加剧收入不平等；工资不平等上升也会导致收入不平等。在发展中国家，人们的收入差距往往是财产性收入不平等造成的；但在发达国家，工资不平等是收入不平等上升的主要原因。例如，在中国，劳动收入占国民收入的比重只有四成，收入不平等主要来源于资本收入的不平等。而在美国，劳动收入占国民收入的三分之二，劳动收入不平等对美国收入不平等的贡献率就会大大超过中国。弗里德曼（</w:t>
      </w:r>
      <w:r>
        <w:rPr>
          <w:rFonts w:ascii="Times New Roman" w:hAnsi="Times New Roman"/>
          <w:color w:val="000000" w:themeColor="text1"/>
          <w14:textFill>
            <w14:solidFill>
              <w14:schemeClr w14:val="tx1"/>
            </w14:solidFill>
          </w14:textFill>
        </w:rPr>
        <w:t>Friedman</w:t>
      </w:r>
      <w:r>
        <w:rPr>
          <w:rFonts w:hint="eastAsia" w:ascii="宋体" w:hAnsi="宋体"/>
          <w:color w:val="000000" w:themeColor="text1"/>
          <w14:textFill>
            <w14:solidFill>
              <w14:schemeClr w14:val="tx1"/>
            </w14:solidFill>
          </w14:textFill>
        </w:rPr>
        <w:t>）认为，从总体而言，占美国收入三分之二的劳动性收入不平等的扩大是驱动美国收入不平等扩大的主要原因。在美国，工资不平等上升的主要原因是工人群体中受过高等教育，掌握了先进技术的工人工资增长较快。但上述观点忽略了如下事实：在美国，劳动收入高的群体同时也是财产性收入的获得者。这说明劳动收入不平等和资本收入不平等会相互促进。工资不平等和财产不平等的共同作用，使得美国的国民收入差距不断拉大。</w:t>
      </w:r>
    </w:p>
    <w:p w14:paraId="68D32CA2">
      <w:pPr>
        <w:ind w:firstLine="420" w:firstLineChars="200"/>
        <w:rPr>
          <w:rFonts w:hint="eastAsia" w:ascii="Times New Roman" w:hAnsi="Times New Roman"/>
          <w:b/>
          <w:color w:val="000000" w:themeColor="text1"/>
          <w14:textFill>
            <w14:solidFill>
              <w14:schemeClr w14:val="tx1"/>
            </w14:solidFill>
          </w14:textFill>
        </w:rPr>
      </w:pPr>
      <w:bookmarkStart w:id="1375" w:name="_Toc15469"/>
      <w:bookmarkEnd w:id="1375"/>
      <w:r>
        <w:rPr>
          <w:rFonts w:ascii="Times New Roman" w:hAnsi="Times New Roman"/>
          <w:b/>
          <w:color w:val="000000" w:themeColor="text1"/>
          <w14:textFill>
            <w14:solidFill>
              <w14:schemeClr w14:val="tx1"/>
            </w14:solidFill>
          </w14:textFill>
        </w:rPr>
        <w:t>3.</w:t>
      </w:r>
      <w:r>
        <w:rPr>
          <w:rFonts w:hint="eastAsia" w:ascii="宋体" w:hAnsi="宋体"/>
          <w:b/>
          <w:color w:val="000000" w:themeColor="text1"/>
          <w14:textFill>
            <w14:solidFill>
              <w14:schemeClr w14:val="tx1"/>
            </w14:solidFill>
          </w14:textFill>
        </w:rPr>
        <w:t>功能收入分配、规模收入分配与产出最终使用的图示关系</w:t>
      </w:r>
    </w:p>
    <w:p w14:paraId="36BBBA92">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 xml:space="preserve"> </w:t>
      </w:r>
    </w:p>
    <w:p w14:paraId="3678E47D">
      <w:pPr>
        <w:spacing w:line="400" w:lineRule="exact"/>
        <w:ind w:firstLine="420" w:firstLineChars="200"/>
        <w:jc w:val="center"/>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图</w:t>
      </w:r>
      <w:r>
        <w:rPr>
          <w:rFonts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政府在功能收入分配和规模收入分配中的作用</w:t>
      </w:r>
    </w:p>
    <w:p w14:paraId="68E5EA1F">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功能收入分配和规模收入分配是研究国民收入分配的两种基本方法。近年来，越来越多的学者认识到，研究国民收入分配还应该有第三种视角，即国民产出最终使用。</w:t>
      </w:r>
    </w:p>
    <w:p w14:paraId="733CA8EF">
      <w:pPr>
        <w:spacing w:line="400" w:lineRule="exact"/>
        <w:ind w:firstLine="420" w:firstLineChars="200"/>
        <w:jc w:val="left"/>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国民产出的最终使用</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投资需求</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消费需求（</w:t>
      </w:r>
      <w:r>
        <w:rPr>
          <w:rFonts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w:t>
      </w:r>
    </w:p>
    <w:p w14:paraId="4AEC2483">
      <w:pPr>
        <w:spacing w:line="400" w:lineRule="exact"/>
        <w:ind w:firstLine="420" w:firstLineChars="200"/>
        <w:jc w:val="left"/>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其中，投资需求</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政府投资</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企业投资</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①</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③</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⑤（</w:t>
      </w:r>
      <w:r>
        <w:rPr>
          <w:rFonts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w:t>
      </w:r>
    </w:p>
    <w:p w14:paraId="2B5F7660">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消费需求</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政府消费</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居民消费</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②</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④</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⑥（</w:t>
      </w:r>
      <w:r>
        <w:rPr>
          <w:rFonts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w:t>
      </w:r>
    </w:p>
    <w:p w14:paraId="403E43F9">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w:t>
      </w:r>
      <w:r>
        <w:rPr>
          <w:rFonts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）式中，企业投资的来源是居民家庭，其中高收入家庭是企业投资的主体，因为企业的所有权往往掌握在少数高收入家庭手中。低收入家庭的投资需求存在，但非常有限。</w:t>
      </w:r>
    </w:p>
    <w:p w14:paraId="5DFA7863">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在图</w:t>
      </w:r>
      <w:r>
        <w:rPr>
          <w:rFonts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的关系中，功能收入分配和规模收入分配都将政府剔除在外。从功能收入分配角度讲，政府是生产中处于劳资之外的第三方，功能收入分配只考虑生产中资本和劳动力两大生产要素所有者的收益分割，政府不是生产要素的投资者，因而被排除在外。而规模收入分配以家户为分析单位，政府收入中的相当部分会以转移收入的形式分解到各个家庭。因而规模收入分配也把政府排除在外。从最终使用角度研究国民收入分配的优势在于，该方法能将政府在功能收入分配与规模收入分配之间的关系显现出来。</w:t>
      </w:r>
    </w:p>
    <w:p w14:paraId="55FC2760">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如图</w:t>
      </w:r>
      <w:r>
        <w:rPr>
          <w:rFonts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所示，国民产出最终使用涉及三大经济主体：政府、企业、家庭。方福前利用我国统计年鉴中公布的“投入产出基本流量表”对我国国民产出最终使用中政府、企业和居民三大经济主体的比重进行了估计。在现实经济中，按家庭收入从高到低排序是一个连续谱系。但在图</w:t>
      </w:r>
      <w:r>
        <w:rPr>
          <w:rFonts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中，我们把居民家庭简化为高收入家庭和低收入家庭两类，假设高收入家庭是企业的主要所有者。把政府引入功能收入分配和规模收入分配，这两种收入分配将会通过政府的作用被联系在一起。</w:t>
      </w:r>
    </w:p>
    <w:p w14:paraId="7657DF99">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376" w:name="_Toc14961"/>
      <w:bookmarkEnd w:id="1376"/>
      <w:bookmarkStart w:id="1377" w:name="_Toc27357"/>
      <w:bookmarkEnd w:id="1377"/>
      <w:bookmarkStart w:id="1378" w:name="_Toc11235"/>
      <w:bookmarkEnd w:id="1378"/>
      <w:bookmarkStart w:id="1379" w:name="_Toc770"/>
      <w:bookmarkEnd w:id="1379"/>
      <w:r>
        <w:rPr>
          <w:rFonts w:hint="eastAsia" w:ascii="宋体" w:hAnsi="宋体"/>
          <w:b/>
          <w:color w:val="000000" w:themeColor="text1"/>
          <w:sz w:val="24"/>
          <w:szCs w:val="24"/>
          <w14:textFill>
            <w14:solidFill>
              <w14:schemeClr w14:val="tx1"/>
            </w14:solidFill>
          </w14:textFill>
        </w:rPr>
        <w:t>二、政府对功能收入分配和规模收入分配的影响</w:t>
      </w:r>
    </w:p>
    <w:p w14:paraId="2BAC64A4">
      <w:pPr>
        <w:ind w:firstLine="420" w:firstLineChars="200"/>
        <w:rPr>
          <w:rFonts w:ascii="Times New Roman" w:hAnsi="Times New Roman"/>
          <w:b/>
          <w:color w:val="000000" w:themeColor="text1"/>
          <w14:textFill>
            <w14:solidFill>
              <w14:schemeClr w14:val="tx1"/>
            </w14:solidFill>
          </w14:textFill>
        </w:rPr>
      </w:pPr>
      <w:bookmarkStart w:id="1380" w:name="_Toc8709"/>
      <w:bookmarkEnd w:id="1380"/>
      <w:r>
        <w:rPr>
          <w:rFonts w:ascii="Times New Roman" w:hAnsi="Times New Roman"/>
          <w:b/>
          <w:color w:val="000000" w:themeColor="text1"/>
          <w14:textFill>
            <w14:solidFill>
              <w14:schemeClr w14:val="tx1"/>
            </w14:solidFill>
          </w14:textFill>
        </w:rPr>
        <w:t>1.</w:t>
      </w:r>
      <w:r>
        <w:rPr>
          <w:rFonts w:hint="eastAsia" w:ascii="宋体" w:hAnsi="宋体"/>
          <w:b/>
          <w:color w:val="000000" w:themeColor="text1"/>
          <w14:textFill>
            <w14:solidFill>
              <w14:schemeClr w14:val="tx1"/>
            </w14:solidFill>
          </w14:textFill>
        </w:rPr>
        <w:t>政府对功能收入分配的影响</w:t>
      </w:r>
    </w:p>
    <w:p w14:paraId="037C7448">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按照马克思的基本理论，单个商品价值为：</w:t>
      </w:r>
    </w:p>
    <w:p w14:paraId="5610E7EB">
      <w:pPr>
        <w:spacing w:line="400" w:lineRule="exact"/>
        <w:ind w:firstLine="420" w:firstLineChars="200"/>
        <w:rPr>
          <w:rFonts w:ascii="Times New Roman" w:hAnsi="Times New Roman"/>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925195" cy="206375"/>
            <wp:effectExtent l="0" t="0" r="14605" b="2286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a:xfrm>
                      <a:off x="0" y="0"/>
                      <a:ext cx="925195" cy="206375"/>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 xml:space="preserve">  （</w:t>
      </w:r>
      <w:r>
        <w:rPr>
          <w:rFonts w:ascii="Times New Roman" w:hAnsi="Times New Roman"/>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w:t>
      </w:r>
    </w:p>
    <w:p w14:paraId="33BF6CC9">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对国民经济而言，所有商品价值的总和可以写为：</w:t>
      </w:r>
    </w:p>
    <w:p w14:paraId="4A2ADE82">
      <w:pPr>
        <w:spacing w:line="400" w:lineRule="exact"/>
        <w:ind w:firstLine="420" w:firstLineChars="200"/>
        <w:rPr>
          <w:rFonts w:ascii="Times New Roman" w:hAnsi="Times New Roman"/>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1876425" cy="259080"/>
            <wp:effectExtent l="0" t="0" r="3175" b="2159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a:xfrm>
                      <a:off x="0" y="0"/>
                      <a:ext cx="1876425" cy="25908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w:t>
      </w:r>
    </w:p>
    <w:p w14:paraId="0037BA15">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但公式（</w:t>
      </w:r>
      <w:r>
        <w:rPr>
          <w:rFonts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）要成立，必须有严格的条件，即所有产品都是最终产品，这样才会避免中间产品的重复计算。</w:t>
      </w:r>
    </w:p>
    <w:p w14:paraId="33DB9971">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公式（</w:t>
      </w:r>
      <w:r>
        <w:rPr>
          <w:rFonts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）中存在两个部分，</w:t>
      </w:r>
      <w:r>
        <w:rPr>
          <w:color w:val="000000" w:themeColor="text1"/>
          <w14:textFill>
            <w14:solidFill>
              <w14:schemeClr w14:val="tx1"/>
            </w14:solidFill>
          </w14:textFill>
        </w:rPr>
        <w:drawing>
          <wp:inline distT="0" distB="0" distL="0" distR="0">
            <wp:extent cx="348615" cy="259080"/>
            <wp:effectExtent l="0" t="0" r="0" b="21590"/>
            <wp:docPr id="125"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25"/>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a:xfrm>
                      <a:off x="0" y="0"/>
                      <a:ext cx="348615" cy="25908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是不变资本部分，是存量；</w:t>
      </w:r>
      <w:r>
        <w:rPr>
          <w:color w:val="000000" w:themeColor="text1"/>
          <w14:textFill>
            <w14:solidFill>
              <w14:schemeClr w14:val="tx1"/>
            </w14:solidFill>
          </w14:textFill>
        </w:rPr>
        <w:drawing>
          <wp:inline distT="0" distB="0" distL="0" distR="0">
            <wp:extent cx="808990" cy="259080"/>
            <wp:effectExtent l="0" t="0" r="0" b="2159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808990" cy="25908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是新增价值部分，是流量。在现行的国民经济统计中，国内生产总值</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是一个流量概念，它只包括商品价值总和中的第二部分，即</w:t>
      </w:r>
      <w:r>
        <w:rPr>
          <w:color w:val="000000" w:themeColor="text1"/>
          <w14:textFill>
            <w14:solidFill>
              <w14:schemeClr w14:val="tx1"/>
            </w14:solidFill>
          </w14:textFill>
        </w:rPr>
        <w:drawing>
          <wp:inline distT="0" distB="0" distL="0" distR="0">
            <wp:extent cx="808990" cy="259080"/>
            <wp:effectExtent l="0" t="0" r="0" b="21590"/>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808990" cy="25908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。因此有：</w:t>
      </w:r>
    </w:p>
    <w:p w14:paraId="792F98EA">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GDP=</w:t>
      </w:r>
      <w:r>
        <w:rPr>
          <w:color w:val="000000" w:themeColor="text1"/>
          <w14:textFill>
            <w14:solidFill>
              <w14:schemeClr w14:val="tx1"/>
            </w14:solidFill>
          </w14:textFill>
        </w:rPr>
        <w:drawing>
          <wp:inline distT="0" distB="0" distL="0" distR="0">
            <wp:extent cx="808990" cy="259080"/>
            <wp:effectExtent l="0" t="0" r="0" b="2159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a:xfrm>
                      <a:off x="0" y="0"/>
                      <a:ext cx="808990" cy="25908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w:t>
      </w:r>
    </w:p>
    <w:p w14:paraId="487482B1">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由该公式也可知，</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可以划分为两个部分：劳动收入</w:t>
      </w:r>
      <w:r>
        <w:rPr>
          <w:color w:val="000000" w:themeColor="text1"/>
          <w14:textFill>
            <w14:solidFill>
              <w14:schemeClr w14:val="tx1"/>
            </w14:solidFill>
          </w14:textFill>
        </w:rPr>
        <w:drawing>
          <wp:inline distT="0" distB="0" distL="0" distR="0">
            <wp:extent cx="348615" cy="259080"/>
            <wp:effectExtent l="0" t="0" r="6985" b="2159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a:xfrm>
                      <a:off x="0" y="0"/>
                      <a:ext cx="348615" cy="25908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和资本收入</w:t>
      </w:r>
      <w:r>
        <w:rPr>
          <w:color w:val="000000" w:themeColor="text1"/>
          <w14:textFill>
            <w14:solidFill>
              <w14:schemeClr w14:val="tx1"/>
            </w14:solidFill>
          </w14:textFill>
        </w:rPr>
        <w:drawing>
          <wp:inline distT="0" distB="0" distL="0" distR="0">
            <wp:extent cx="401955" cy="259080"/>
            <wp:effectExtent l="0" t="0" r="0" b="21590"/>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a:xfrm>
                      <a:off x="0" y="0"/>
                      <a:ext cx="401955" cy="25908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w:t>
      </w:r>
    </w:p>
    <w:p w14:paraId="15E877A6">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现实中的国民收入分割远比上述理论分割要复杂。上述国民收入分割假定政府不存在。但在当代资本主义国家，政府支配的收入会占到</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40%</w:t>
      </w:r>
      <w:r>
        <w:rPr>
          <w:rFonts w:hint="eastAsia" w:ascii="宋体" w:hAnsi="宋体"/>
          <w:color w:val="000000" w:themeColor="text1"/>
          <w14:textFill>
            <w14:solidFill>
              <w14:schemeClr w14:val="tx1"/>
            </w14:solidFill>
          </w14:textFill>
        </w:rPr>
        <w:t>。因此必须对政府收入进行分解。政府对功能收入分配的影响通过两条渠道实现。第一，政府可以通过劳动立法，调节劳资双方的谈判力量，进而调节附加价值在资本收入和劳动收入之间的分割。第二，政府可以通过对资本收入和劳动收入征税的税负分配，调节资本收入和劳动收入。对资本收入征税主要通过企业所得税实现，对劳动收入征税主要通过工资、薪金所得税实现。</w:t>
      </w:r>
    </w:p>
    <w:p w14:paraId="097B97DA">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假定政府收入全部来自税收，即政府没有资本收入，政府的税收按不同标准可以划分为两种类型：按征税对象，可以划分为对劳动收入征税和对资本收入征税；按征税方式，可以划分为直接税和间接税。在不同的征税方式下，国民收入的分割也不同。在现实经济中，政府的税收来源主要分为直接税和间接税，它们对资本收入有利还是对劳动收入有利必须依情况而定。在现实当中，每个家庭的收入都是复合收入——既有劳动收入，又有资本收入。一般而言，高收入家庭的收入以资本收入为主，低收入家庭的收入以劳动收入为主。在直接税条件下，如果个人收入所得税起征点高，累进所得税的边际税率高，则对高收入家庭不利，这相当于加重了资本收入的税负；如果个人所得税起征点低，累进所得税的边际税率低，则对低收入家庭不利，这相当于加重了劳动收入的税负。在间接税条件下，间接税对资本收入有利还是对劳动收入有利则更难以分析。在间接税中，针对奢侈品的消费税对高收入家庭不利，这相当于对资本收入征税；而增值税的税负分配是中性的。由于增值税的税收扭曲效应低，增值税成为越来越重要的间接税种。在增值税条件下，国民收入被分割为三部分，在不考虑政府收入到底来源于资本收入还是来源于劳动收入，就可以从微观商品价值角度出发，把商品价值公式修改为：</w:t>
      </w:r>
    </w:p>
    <w:p w14:paraId="08804553">
      <w:pPr>
        <w:spacing w:line="400" w:lineRule="exact"/>
        <w:ind w:firstLine="420" w:firstLineChars="200"/>
        <w:rPr>
          <w:rFonts w:ascii="Times New Roman" w:hAnsi="Times New Roman"/>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315210" cy="227330"/>
            <wp:effectExtent l="0" t="0" r="21590" b="1270"/>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a:xfrm>
                      <a:off x="0" y="0"/>
                      <a:ext cx="2315210" cy="22733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w:t>
      </w:r>
    </w:p>
    <w:p w14:paraId="705B00A4">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其中</w:t>
      </w:r>
      <w:r>
        <w:rPr>
          <w:color w:val="000000" w:themeColor="text1"/>
          <w14:textFill>
            <w14:solidFill>
              <w14:schemeClr w14:val="tx1"/>
            </w14:solidFill>
          </w14:textFill>
        </w:rPr>
        <w:drawing>
          <wp:inline distT="0" distB="0" distL="0" distR="0">
            <wp:extent cx="105410" cy="163830"/>
            <wp:effectExtent l="0" t="0" r="21590" b="1397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192">
                      <a:extLst>
                        <a:ext uri="{28A0092B-C50C-407E-A947-70E740481C1C}">
                          <a14:useLocalDpi xmlns:a14="http://schemas.microsoft.com/office/drawing/2010/main" val="0"/>
                        </a:ext>
                      </a:extLst>
                    </a:blip>
                    <a:srcRect/>
                    <a:stretch>
                      <a:fillRect/>
                    </a:stretch>
                  </pic:blipFill>
                  <pic:spPr>
                    <a:xfrm>
                      <a:off x="0" y="0"/>
                      <a:ext cx="105410" cy="16383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是税后劳动者报酬，</w:t>
      </w:r>
      <w:r>
        <w:rPr>
          <w:color w:val="000000" w:themeColor="text1"/>
          <w14:textFill>
            <w14:solidFill>
              <w14:schemeClr w14:val="tx1"/>
            </w14:solidFill>
          </w14:textFill>
        </w:rPr>
        <w:drawing>
          <wp:inline distT="0" distB="0" distL="0" distR="0">
            <wp:extent cx="206375" cy="179705"/>
            <wp:effectExtent l="0" t="0" r="22225" b="23495"/>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pic:cNvPicPr>
                      <a:picLocks noChangeAspect="1" noChangeArrowheads="1"/>
                    </pic:cNvPicPr>
                  </pic:nvPicPr>
                  <pic:blipFill>
                    <a:blip r:embed="rId193">
                      <a:extLst>
                        <a:ext uri="{28A0092B-C50C-407E-A947-70E740481C1C}">
                          <a14:useLocalDpi xmlns:a14="http://schemas.microsoft.com/office/drawing/2010/main" val="0"/>
                        </a:ext>
                      </a:extLst>
                    </a:blip>
                    <a:srcRect/>
                    <a:stretch>
                      <a:fillRect/>
                    </a:stretch>
                  </pic:blipFill>
                  <pic:spPr>
                    <a:xfrm>
                      <a:off x="0" y="0"/>
                      <a:ext cx="206375" cy="179705"/>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是税后剩余价值，</w:t>
      </w:r>
      <w:r>
        <w:rPr>
          <w:color w:val="000000" w:themeColor="text1"/>
          <w14:textFill>
            <w14:solidFill>
              <w14:schemeClr w14:val="tx1"/>
            </w14:solidFill>
          </w14:textFill>
        </w:rPr>
        <w:drawing>
          <wp:inline distT="0" distB="0" distL="0" distR="0">
            <wp:extent cx="105410" cy="153035"/>
            <wp:effectExtent l="0" t="0" r="21590" b="24765"/>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pic:cNvPicPr>
                      <a:picLocks noChangeAspect="1" noChangeArrowheads="1"/>
                    </pic:cNvPicPr>
                  </pic:nvPicPr>
                  <pic:blipFill>
                    <a:blip r:embed="rId194">
                      <a:extLst>
                        <a:ext uri="{28A0092B-C50C-407E-A947-70E740481C1C}">
                          <a14:useLocalDpi xmlns:a14="http://schemas.microsoft.com/office/drawing/2010/main" val="0"/>
                        </a:ext>
                      </a:extLst>
                    </a:blip>
                    <a:srcRect/>
                    <a:stretch>
                      <a:fillRect/>
                    </a:stretch>
                  </pic:blipFill>
                  <pic:spPr>
                    <a:xfrm>
                      <a:off x="0" y="0"/>
                      <a:ext cx="105410" cy="153035"/>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为政府税收收入。</w:t>
      </w:r>
    </w:p>
    <w:p w14:paraId="0C875866">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国民经济中，所有商品的价值可以写为：</w:t>
      </w:r>
    </w:p>
    <w:p w14:paraId="39DFF073">
      <w:pPr>
        <w:spacing w:line="400" w:lineRule="exact"/>
        <w:ind w:firstLine="420" w:firstLineChars="200"/>
        <w:rPr>
          <w:rFonts w:ascii="Times New Roman" w:hAnsi="Times New Roman"/>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479040" cy="227330"/>
            <wp:effectExtent l="0" t="0" r="10160" b="1270"/>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a:xfrm>
                      <a:off x="0" y="0"/>
                      <a:ext cx="2479040" cy="22733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w:t>
      </w:r>
    </w:p>
    <w:p w14:paraId="4B282BD9">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国民生产总值可以写为：</w:t>
      </w:r>
    </w:p>
    <w:p w14:paraId="3498E25E">
      <w:pPr>
        <w:spacing w:line="400" w:lineRule="exact"/>
        <w:ind w:firstLine="420" w:firstLineChars="200"/>
        <w:rPr>
          <w:rFonts w:ascii="Times New Roman" w:hAnsi="Times New Roman"/>
          <w:color w:val="000000" w:themeColor="text1"/>
          <w14:textFill>
            <w14:solidFill>
              <w14:schemeClr w14:val="tx1"/>
            </w14:solidFill>
          </w14:textFill>
        </w:rPr>
      </w:pPr>
      <w:r>
        <w:rPr>
          <w:color w:val="000000" w:themeColor="text1"/>
          <w14:textFill>
            <w14:solidFill>
              <w14:schemeClr w14:val="tx1"/>
            </w14:solidFill>
          </w14:textFill>
        </w:rPr>
        <w:drawing>
          <wp:inline distT="0" distB="0" distL="0" distR="0">
            <wp:extent cx="2040255" cy="227330"/>
            <wp:effectExtent l="0" t="0" r="17145" b="1270"/>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a:xfrm>
                      <a:off x="0" y="0"/>
                      <a:ext cx="2040255" cy="227330"/>
                    </a:xfrm>
                    <a:prstGeom prst="rect">
                      <a:avLst/>
                    </a:prstGeom>
                    <a:noFill/>
                    <a:ln>
                      <a:noFill/>
                    </a:ln>
                  </pic:spPr>
                </pic:pic>
              </a:graphicData>
            </a:graphic>
          </wp:inline>
        </w:drawing>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9</w:t>
      </w:r>
      <w:r>
        <w:rPr>
          <w:rFonts w:hint="eastAsia" w:ascii="宋体" w:hAnsi="宋体"/>
          <w:color w:val="000000" w:themeColor="text1"/>
          <w14:textFill>
            <w14:solidFill>
              <w14:schemeClr w14:val="tx1"/>
            </w14:solidFill>
          </w14:textFill>
        </w:rPr>
        <w:t>）</w:t>
      </w:r>
    </w:p>
    <w:p w14:paraId="2DCC6EED">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9</w:t>
      </w:r>
      <w:r>
        <w:rPr>
          <w:rFonts w:hint="eastAsia" w:ascii="宋体" w:hAnsi="宋体"/>
          <w:color w:val="000000" w:themeColor="text1"/>
          <w14:textFill>
            <w14:solidFill>
              <w14:schemeClr w14:val="tx1"/>
            </w14:solidFill>
          </w14:textFill>
        </w:rPr>
        <w:t>）式中的三部分相对应的是：劳动收入、资本收入和政府收入。在一些文献中，劳动收入也被称为居民收入，而资本收入也被称为企业收入。</w:t>
      </w:r>
    </w:p>
    <w:p w14:paraId="3BA3CAC8">
      <w:pPr>
        <w:ind w:firstLine="420" w:firstLineChars="200"/>
        <w:rPr>
          <w:rFonts w:hint="eastAsia" w:ascii="Times New Roman" w:hAnsi="Times New Roman"/>
          <w:b/>
          <w:color w:val="000000" w:themeColor="text1"/>
          <w14:textFill>
            <w14:solidFill>
              <w14:schemeClr w14:val="tx1"/>
            </w14:solidFill>
          </w14:textFill>
        </w:rPr>
      </w:pPr>
      <w:bookmarkStart w:id="1381" w:name="_Toc13248"/>
      <w:bookmarkEnd w:id="1381"/>
      <w:r>
        <w:rPr>
          <w:rFonts w:ascii="Times New Roman" w:hAnsi="Times New Roman"/>
          <w:b/>
          <w:color w:val="000000" w:themeColor="text1"/>
          <w14:textFill>
            <w14:solidFill>
              <w14:schemeClr w14:val="tx1"/>
            </w14:solidFill>
          </w14:textFill>
        </w:rPr>
        <w:t>2.</w:t>
      </w:r>
      <w:r>
        <w:rPr>
          <w:rFonts w:hint="eastAsia" w:ascii="宋体" w:hAnsi="宋体"/>
          <w:b/>
          <w:color w:val="000000" w:themeColor="text1"/>
          <w14:textFill>
            <w14:solidFill>
              <w14:schemeClr w14:val="tx1"/>
            </w14:solidFill>
          </w14:textFill>
        </w:rPr>
        <w:t>政府对规模收入分配的影响</w:t>
      </w:r>
    </w:p>
    <w:p w14:paraId="16A5979D">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政府对最终收入分配的影响主要通过对支出活动的调节实现。政府支出规模和支出结构的变动都会影响到最终收入分配。</w:t>
      </w:r>
    </w:p>
    <w:p w14:paraId="4187EF09">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政府支出规模对规模收入分配的影响。政府支出规模的变动会在一定程度上对居民支出和企业支出产生“挤出效应”。政府的消费需求会对居民部门的消费产生挤出效应；政府的投资需求会对企业部门的投资产生挤出效应。挤出效应是否是有害的？这取决于政府支出的效率。在消费支出方面，如果政府支出购买公共产品，能够弥补居民部门公共品供给不足的缺陷，则政府的消费效率就高于居民部门的消费效率。在投资方面，如果政府投资能够弥补私人企业对大型、长期投资项目的不足，政府的投资效率就高于企业部门的投资效率。</w:t>
      </w:r>
    </w:p>
    <w:p w14:paraId="0E7D5B16">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这也意味着，政府和居民、企业部门之间的关系必须是互补关系，而不是竞争关系。如果政府和居民、企业部门之间的关系是竞争关系，则政府支出的效率就会是低下的。政府支出可能在消费领域产生“强迫消费”、“过度消费”。例如，政府可能通过行政摊派造成强制消费；政府部门的公款吃喝、公款旅游、公款养车的“三公消费”可能会造成过度消费。强制消费和过度消费会降低政府支出的效率。在投资领域，政府投资可能会通过垄断限制私人资本进入，从而赚取垄断利润。这也会导致政府投资效率低下。</w:t>
      </w:r>
    </w:p>
    <w:p w14:paraId="36A10D10">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政府支出结构对规模收入分配的影响。政府支出可以分为投资性支出、消费性支出和保障性支出三种。政府为了经济建设的目的而投资于基础设施、区域开发、生态保护、高科技研发等的支出，是投资性支出；政府为了维护公共管理机构正常运转而产生的国防、公共安全、政府公共机构管理支出，则是消费性支出。消费性支出也被称为政府购买公共产品和公共服务支出；政府对落后地区的转移支付、支农支出、教育支出、医疗支出和社会保障支出，是保障性支付。保障性支出在政府支出中的比重越高，低收入者获得的转移支付越多，社会财富的分配也就越公平。政府消费性支出增长过快时，可能会对居民消费（来自工资基金的消费）产生挤出效应。</w:t>
      </w:r>
    </w:p>
    <w:p w14:paraId="774A7EAB">
      <w:pPr>
        <w:spacing w:before="147" w:beforeLines="50" w:after="147" w:afterLines="50" w:line="400" w:lineRule="exact"/>
        <w:ind w:firstLine="480" w:firstLineChars="200"/>
        <w:jc w:val="center"/>
        <w:rPr>
          <w:rFonts w:ascii="宋体" w:hAnsi="宋体"/>
          <w:b/>
          <w:color w:val="000000" w:themeColor="text1"/>
          <w:sz w:val="24"/>
          <w:szCs w:val="24"/>
          <w14:textFill>
            <w14:solidFill>
              <w14:schemeClr w14:val="tx1"/>
            </w14:solidFill>
          </w14:textFill>
        </w:rPr>
      </w:pPr>
      <w:bookmarkStart w:id="1382" w:name="_Toc30131"/>
      <w:bookmarkEnd w:id="1382"/>
      <w:bookmarkStart w:id="1383" w:name="_Toc14306"/>
      <w:bookmarkEnd w:id="1383"/>
      <w:bookmarkStart w:id="1384" w:name="_Toc26229"/>
      <w:bookmarkEnd w:id="1384"/>
      <w:bookmarkStart w:id="1385" w:name="_Toc29326"/>
      <w:bookmarkEnd w:id="1385"/>
      <w:bookmarkStart w:id="1386" w:name="_Toc7449"/>
      <w:r>
        <w:rPr>
          <w:rFonts w:hint="eastAsia" w:ascii="宋体" w:hAnsi="宋体"/>
          <w:b/>
          <w:color w:val="000000" w:themeColor="text1"/>
          <w:sz w:val="24"/>
          <w:szCs w:val="24"/>
          <w14:textFill>
            <w14:solidFill>
              <w14:schemeClr w14:val="tx1"/>
            </w14:solidFill>
          </w14:textFill>
        </w:rPr>
        <w:t>三、我国财政收入与财政支出中政府对功能收入分配与规模收入分配</w:t>
      </w:r>
      <w:bookmarkEnd w:id="1386"/>
      <w:bookmarkStart w:id="1387" w:name="_Toc21665"/>
      <w:bookmarkEnd w:id="1387"/>
      <w:r>
        <w:rPr>
          <w:rFonts w:hint="eastAsia" w:ascii="宋体" w:hAnsi="宋体"/>
          <w:b/>
          <w:color w:val="000000" w:themeColor="text1"/>
          <w:sz w:val="24"/>
          <w:szCs w:val="24"/>
          <w14:textFill>
            <w14:solidFill>
              <w14:schemeClr w14:val="tx1"/>
            </w14:solidFill>
          </w14:textFill>
        </w:rPr>
        <w:t>的作用机制</w:t>
      </w:r>
    </w:p>
    <w:p w14:paraId="041FBCE9">
      <w:pPr>
        <w:ind w:firstLine="420" w:firstLineChars="200"/>
        <w:rPr>
          <w:rFonts w:ascii="Times New Roman" w:hAnsi="Times New Roman"/>
          <w:b/>
          <w:color w:val="000000" w:themeColor="text1"/>
          <w14:textFill>
            <w14:solidFill>
              <w14:schemeClr w14:val="tx1"/>
            </w14:solidFill>
          </w14:textFill>
        </w:rPr>
      </w:pPr>
      <w:bookmarkStart w:id="1388" w:name="_Toc9667"/>
      <w:bookmarkEnd w:id="1388"/>
      <w:r>
        <w:rPr>
          <w:rFonts w:ascii="Times New Roman" w:hAnsi="Times New Roman"/>
          <w:b/>
          <w:color w:val="000000" w:themeColor="text1"/>
          <w14:textFill>
            <w14:solidFill>
              <w14:schemeClr w14:val="tx1"/>
            </w14:solidFill>
          </w14:textFill>
        </w:rPr>
        <w:t>1.</w:t>
      </w:r>
      <w:r>
        <w:rPr>
          <w:rFonts w:hint="eastAsia" w:ascii="宋体" w:hAnsi="宋体"/>
          <w:b/>
          <w:color w:val="000000" w:themeColor="text1"/>
          <w14:textFill>
            <w14:solidFill>
              <w14:schemeClr w14:val="tx1"/>
            </w14:solidFill>
          </w14:textFill>
        </w:rPr>
        <w:t>我国国民收入统计中的功能收入与规模收入</w:t>
      </w:r>
    </w:p>
    <w:p w14:paraId="21698E5C">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我国的国民收入统计经历了从</w:t>
      </w:r>
      <w:r>
        <w:rPr>
          <w:rFonts w:ascii="Times New Roman" w:hAnsi="Times New Roman"/>
          <w:color w:val="000000" w:themeColor="text1"/>
          <w14:textFill>
            <w14:solidFill>
              <w14:schemeClr w14:val="tx1"/>
            </w14:solidFill>
          </w14:textFill>
        </w:rPr>
        <w:t>MPS</w:t>
      </w:r>
      <w:r>
        <w:rPr>
          <w:rFonts w:hint="eastAsia" w:ascii="宋体" w:hAnsi="宋体"/>
          <w:color w:val="000000" w:themeColor="text1"/>
          <w14:textFill>
            <w14:solidFill>
              <w14:schemeClr w14:val="tx1"/>
            </w14:solidFill>
          </w14:textFill>
        </w:rPr>
        <w:t>体系到</w:t>
      </w:r>
      <w:r>
        <w:rPr>
          <w:rFonts w:ascii="Times New Roman" w:hAnsi="Times New Roman"/>
          <w:color w:val="000000" w:themeColor="text1"/>
          <w14:textFill>
            <w14:solidFill>
              <w14:schemeClr w14:val="tx1"/>
            </w14:solidFill>
          </w14:textFill>
        </w:rPr>
        <w:t>SNA</w:t>
      </w:r>
      <w:r>
        <w:rPr>
          <w:rFonts w:hint="eastAsia" w:ascii="宋体" w:hAnsi="宋体"/>
          <w:color w:val="000000" w:themeColor="text1"/>
          <w14:textFill>
            <w14:solidFill>
              <w14:schemeClr w14:val="tx1"/>
            </w14:solidFill>
          </w14:textFill>
        </w:rPr>
        <w:t>体系的转变。我国在</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年实行</w:t>
      </w:r>
      <w:r>
        <w:rPr>
          <w:rFonts w:ascii="Times New Roman" w:hAnsi="Times New Roman"/>
          <w:color w:val="000000" w:themeColor="text1"/>
          <w14:textFill>
            <w14:solidFill>
              <w14:schemeClr w14:val="tx1"/>
            </w14:solidFill>
          </w14:textFill>
        </w:rPr>
        <w:t>MPS</w:t>
      </w:r>
      <w:r>
        <w:rPr>
          <w:rFonts w:hint="eastAsia" w:ascii="宋体" w:hAnsi="宋体"/>
          <w:color w:val="000000" w:themeColor="text1"/>
          <w14:textFill>
            <w14:solidFill>
              <w14:schemeClr w14:val="tx1"/>
            </w14:solidFill>
          </w14:textFill>
        </w:rPr>
        <w:t>核算体系，</w:t>
      </w:r>
      <w:r>
        <w:rPr>
          <w:rFonts w:ascii="Times New Roman" w:hAnsi="Times New Roman"/>
          <w:color w:val="000000" w:themeColor="text1"/>
          <w14:textFill>
            <w14:solidFill>
              <w14:schemeClr w14:val="tx1"/>
            </w14:solidFill>
          </w14:textFill>
        </w:rPr>
        <w:t>1993</w:t>
      </w:r>
      <w:r>
        <w:rPr>
          <w:rFonts w:hint="eastAsia" w:ascii="宋体" w:hAnsi="宋体"/>
          <w:color w:val="000000" w:themeColor="text1"/>
          <w14:textFill>
            <w14:solidFill>
              <w14:schemeClr w14:val="tx1"/>
            </w14:solidFill>
          </w14:textFill>
        </w:rPr>
        <w:t>年开始正式实行</w:t>
      </w:r>
      <w:r>
        <w:rPr>
          <w:rFonts w:ascii="Times New Roman" w:hAnsi="Times New Roman"/>
          <w:color w:val="000000" w:themeColor="text1"/>
          <w14:textFill>
            <w14:solidFill>
              <w14:schemeClr w14:val="tx1"/>
            </w14:solidFill>
          </w14:textFill>
        </w:rPr>
        <w:t>SNA</w:t>
      </w:r>
      <w:r>
        <w:rPr>
          <w:rFonts w:hint="eastAsia" w:ascii="宋体" w:hAnsi="宋体"/>
          <w:color w:val="000000" w:themeColor="text1"/>
          <w14:textFill>
            <w14:solidFill>
              <w14:schemeClr w14:val="tx1"/>
            </w14:solidFill>
          </w14:textFill>
        </w:rPr>
        <w:t>核算体系，中间是过渡阶段。</w:t>
      </w:r>
      <w:r>
        <w:rPr>
          <w:rFonts w:ascii="Times New Roman" w:hAnsi="Times New Roman"/>
          <w:color w:val="000000" w:themeColor="text1"/>
          <w14:textFill>
            <w14:solidFill>
              <w14:schemeClr w14:val="tx1"/>
            </w14:solidFill>
          </w14:textFill>
        </w:rPr>
        <w:t>MPS</w:t>
      </w:r>
      <w:r>
        <w:rPr>
          <w:rFonts w:hint="eastAsia" w:ascii="宋体" w:hAnsi="宋体"/>
          <w:color w:val="000000" w:themeColor="text1"/>
          <w14:textFill>
            <w14:solidFill>
              <w14:schemeClr w14:val="tx1"/>
            </w14:solidFill>
          </w14:textFill>
        </w:rPr>
        <w:t>体系比较关注功能收入分配，其计算公式为：</w:t>
      </w:r>
    </w:p>
    <w:p w14:paraId="1BFDD0AD">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国民收入</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（工资</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职工福利基金）</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（利润</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利息）</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税金</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其他（</w:t>
      </w:r>
      <w:r>
        <w:rPr>
          <w:rFonts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w:t>
      </w:r>
    </w:p>
    <w:p w14:paraId="3CA14292">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SNA</w:t>
      </w:r>
      <w:r>
        <w:rPr>
          <w:rFonts w:hint="eastAsia" w:ascii="宋体" w:hAnsi="宋体"/>
          <w:color w:val="000000" w:themeColor="text1"/>
          <w14:textFill>
            <w14:solidFill>
              <w14:schemeClr w14:val="tx1"/>
            </w14:solidFill>
          </w14:textFill>
        </w:rPr>
        <w:t>体系比较关注国民产出的最终用途，其计算公式为：</w:t>
      </w:r>
    </w:p>
    <w:p w14:paraId="515E640F">
      <w:pPr>
        <w:spacing w:line="400" w:lineRule="exact"/>
        <w:ind w:firstLine="420" w:firstLineChars="200"/>
        <w:jc w:val="left"/>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国民收入</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总消费</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总投资</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货物和服务净出口</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（居民消费</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社会消费）</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（固定资产形成</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存货增加）</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（货物和服务出口－货物和服务进口）（</w:t>
      </w:r>
      <w:r>
        <w:rPr>
          <w:rFonts w:ascii="Times New Roman" w:hAnsi="Times New Roman"/>
          <w:color w:val="000000" w:themeColor="text1"/>
          <w14:textFill>
            <w14:solidFill>
              <w14:schemeClr w14:val="tx1"/>
            </w14:solidFill>
          </w14:textFill>
        </w:rPr>
        <w:t>11</w:t>
      </w:r>
      <w:r>
        <w:rPr>
          <w:rFonts w:hint="eastAsia" w:ascii="宋体" w:hAnsi="宋体"/>
          <w:color w:val="000000" w:themeColor="text1"/>
          <w14:textFill>
            <w14:solidFill>
              <w14:schemeClr w14:val="tx1"/>
            </w14:solidFill>
          </w14:textFill>
        </w:rPr>
        <w:t>）</w:t>
      </w:r>
    </w:p>
    <w:p w14:paraId="7132F6A9">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无论是</w:t>
      </w:r>
      <w:r>
        <w:rPr>
          <w:rFonts w:ascii="Times New Roman" w:hAnsi="Times New Roman"/>
          <w:color w:val="000000" w:themeColor="text1"/>
          <w14:textFill>
            <w14:solidFill>
              <w14:schemeClr w14:val="tx1"/>
            </w14:solidFill>
          </w14:textFill>
        </w:rPr>
        <w:t>MPS</w:t>
      </w:r>
      <w:r>
        <w:rPr>
          <w:rFonts w:hint="eastAsia" w:ascii="宋体" w:hAnsi="宋体"/>
          <w:color w:val="000000" w:themeColor="text1"/>
          <w14:textFill>
            <w14:solidFill>
              <w14:schemeClr w14:val="tx1"/>
            </w14:solidFill>
          </w14:textFill>
        </w:rPr>
        <w:t>体系，还是</w:t>
      </w:r>
      <w:r>
        <w:rPr>
          <w:rFonts w:ascii="Times New Roman" w:hAnsi="Times New Roman"/>
          <w:color w:val="000000" w:themeColor="text1"/>
          <w14:textFill>
            <w14:solidFill>
              <w14:schemeClr w14:val="tx1"/>
            </w14:solidFill>
          </w14:textFill>
        </w:rPr>
        <w:t>SNA</w:t>
      </w:r>
      <w:r>
        <w:rPr>
          <w:rFonts w:hint="eastAsia" w:ascii="宋体" w:hAnsi="宋体"/>
          <w:color w:val="000000" w:themeColor="text1"/>
          <w14:textFill>
            <w14:solidFill>
              <w14:schemeClr w14:val="tx1"/>
            </w14:solidFill>
          </w14:textFill>
        </w:rPr>
        <w:t>体系，都无法直接获得规模收入分配的信息。规模收入分配只涉及家庭，不涉及企业与政府。规模收入分配假定企业和政府的收入最终都要归结为家庭收入。规模收入分配的计算往往通过基尼系数等衡量。以下对我国功能收入分配、规模收入分配和国民产出最终使用三方面的现状进行分析。</w:t>
      </w:r>
    </w:p>
    <w:p w14:paraId="409613AB">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我国的功能收入分配。我国目前的国民收入统计采用收入法，将增加值分解为劳动者报酬、生产税净额、固定资产折旧和营业盈余。从这种统计方法并不能直接看出劳动收入份额和资本收入份额。周明海、肖文、姚先国认为，在这种国民统计核算中，生产税净额既不属于劳动者收入，也不属于资本收入，税收份额的增加将低估劳动收入份额。要计算我国的劳动收入份额，还存在着个体经济劳动收入份额分解的困难。</w:t>
      </w:r>
      <w:r>
        <w:rPr>
          <w:rFonts w:ascii="Times New Roman" w:hAnsi="Times New Roman"/>
          <w:color w:val="000000" w:themeColor="text1"/>
          <w14:textFill>
            <w14:solidFill>
              <w14:schemeClr w14:val="tx1"/>
            </w14:solidFill>
          </w14:textFill>
        </w:rPr>
        <w:t>2004</w:t>
      </w:r>
      <w:r>
        <w:rPr>
          <w:rFonts w:hint="eastAsia" w:ascii="宋体" w:hAnsi="宋体"/>
          <w:color w:val="000000" w:themeColor="text1"/>
          <w14:textFill>
            <w14:solidFill>
              <w14:schemeClr w14:val="tx1"/>
            </w14:solidFill>
          </w14:textFill>
        </w:rPr>
        <w:t>年，我国统计中把个体劳动者收入全部视为劳动者报酬，此后将个体经济业主的劳动报酬和经营利润视为营业利润。</w:t>
      </w:r>
    </w:p>
    <w:p w14:paraId="691F2F36">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上述计量困难会影响到我国劳动收入份额的绝对度量，但对劳动收入份额的相对度量影响并不显著。白重恩和钱震杰，卓勇良，周明海、肖文、姚先国等人的研究结果都表明，</w:t>
      </w:r>
      <w:r>
        <w:rPr>
          <w:rFonts w:ascii="Times New Roman" w:hAnsi="Times New Roman"/>
          <w:color w:val="000000" w:themeColor="text1"/>
          <w14:textFill>
            <w14:solidFill>
              <w14:schemeClr w14:val="tx1"/>
            </w14:solidFill>
          </w14:textFill>
        </w:rPr>
        <w:t>1978</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1984</w:t>
      </w:r>
      <w:r>
        <w:rPr>
          <w:rFonts w:hint="eastAsia" w:ascii="宋体" w:hAnsi="宋体"/>
          <w:color w:val="000000" w:themeColor="text1"/>
          <w14:textFill>
            <w14:solidFill>
              <w14:schemeClr w14:val="tx1"/>
            </w14:solidFill>
          </w14:textFill>
        </w:rPr>
        <w:t>年我国劳动收入份额处于上升阶段，相对而言资本收入份额处于下降阶段；</w:t>
      </w:r>
      <w:r>
        <w:rPr>
          <w:rFonts w:ascii="Times New Roman" w:hAnsi="Times New Roman"/>
          <w:color w:val="000000" w:themeColor="text1"/>
          <w14:textFill>
            <w14:solidFill>
              <w14:schemeClr w14:val="tx1"/>
            </w14:solidFill>
          </w14:textFill>
        </w:rPr>
        <w:t>1984</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2007</w:t>
      </w:r>
      <w:r>
        <w:rPr>
          <w:rFonts w:hint="eastAsia" w:ascii="宋体" w:hAnsi="宋体"/>
          <w:color w:val="000000" w:themeColor="text1"/>
          <w14:textFill>
            <w14:solidFill>
              <w14:schemeClr w14:val="tx1"/>
            </w14:solidFill>
          </w14:textFill>
        </w:rPr>
        <w:t>年劳动收入份额处于下降阶段，资本收入份额处于上升阶段。</w:t>
      </w:r>
    </w:p>
    <w:p w14:paraId="5C9E634A">
      <w:pPr>
        <w:spacing w:line="400" w:lineRule="exact"/>
        <w:ind w:firstLine="420" w:firstLineChars="200"/>
        <w:jc w:val="center"/>
        <w:rPr>
          <w:rFonts w:hint="eastAsia" w:ascii="Times New Roman" w:hAnsi="Times New Roman"/>
          <w:color w:val="000000" w:themeColor="text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708416" behindDoc="0" locked="0" layoutInCell="1" allowOverlap="1">
            <wp:simplePos x="0" y="0"/>
            <wp:positionH relativeFrom="column">
              <wp:posOffset>-193040</wp:posOffset>
            </wp:positionH>
            <wp:positionV relativeFrom="paragraph">
              <wp:posOffset>0</wp:posOffset>
            </wp:positionV>
            <wp:extent cx="5274310" cy="1467485"/>
            <wp:effectExtent l="0" t="0" r="8890" b="5715"/>
            <wp:wrapTopAndBottom/>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a:xfrm>
                      <a:off x="0" y="0"/>
                      <a:ext cx="5274310" cy="1467485"/>
                    </a:xfrm>
                    <a:prstGeom prst="rect">
                      <a:avLst/>
                    </a:prstGeom>
                    <a:noFill/>
                    <a:ln>
                      <a:noFill/>
                    </a:ln>
                  </pic:spPr>
                </pic:pic>
              </a:graphicData>
            </a:graphic>
          </wp:anchor>
        </w:drawing>
      </w:r>
      <w:r>
        <w:rPr>
          <w:color w:val="000000" w:themeColor="text1"/>
          <w14:textFill>
            <w14:solidFill>
              <w14:schemeClr w14:val="tx1"/>
            </w14:solidFill>
          </w14:textFill>
        </w:rPr>
        <w:drawing>
          <wp:anchor distT="0" distB="0" distL="114300" distR="114300" simplePos="0" relativeHeight="251707392" behindDoc="0" locked="0" layoutInCell="1" allowOverlap="1">
            <wp:simplePos x="0" y="0"/>
            <wp:positionH relativeFrom="column">
              <wp:posOffset>265430</wp:posOffset>
            </wp:positionH>
            <wp:positionV relativeFrom="paragraph">
              <wp:posOffset>5813425</wp:posOffset>
            </wp:positionV>
            <wp:extent cx="5274310" cy="1615440"/>
            <wp:effectExtent l="0" t="0" r="8890" b="10160"/>
            <wp:wrapTopAndBottom/>
            <wp:docPr id="138" name="图片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a:xfrm>
                      <a:off x="0" y="0"/>
                      <a:ext cx="5274310" cy="1615440"/>
                    </a:xfrm>
                    <a:prstGeom prst="rect">
                      <a:avLst/>
                    </a:prstGeom>
                    <a:noFill/>
                    <a:ln>
                      <a:noFill/>
                    </a:ln>
                  </pic:spPr>
                </pic:pic>
              </a:graphicData>
            </a:graphic>
          </wp:anchor>
        </w:drawing>
      </w:r>
      <w:r>
        <w:rPr>
          <w:rFonts w:hint="eastAsia" w:ascii="宋体" w:hAnsi="宋体"/>
          <w:color w:val="000000" w:themeColor="text1"/>
          <w14:textFill>
            <w14:solidFill>
              <w14:schemeClr w14:val="tx1"/>
            </w14:solidFill>
          </w14:textFill>
        </w:rPr>
        <w:t>图</w:t>
      </w:r>
      <w:r>
        <w:rPr>
          <w:rFonts w:ascii="Times New Roman" w:hAnsi="Times New Roman"/>
          <w:color w:val="000000" w:themeColor="text1"/>
          <w14:textFill>
            <w14:solidFill>
              <w14:schemeClr w14:val="tx1"/>
            </w14:solidFill>
          </w14:textFill>
        </w:rPr>
        <w:t>21978</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2007</w:t>
      </w:r>
      <w:r>
        <w:rPr>
          <w:rFonts w:hint="eastAsia" w:ascii="宋体" w:hAnsi="宋体"/>
          <w:color w:val="000000" w:themeColor="text1"/>
          <w14:textFill>
            <w14:solidFill>
              <w14:schemeClr w14:val="tx1"/>
            </w14:solidFill>
          </w14:textFill>
        </w:rPr>
        <w:t>年我国劳动收入份额的变动</w:t>
      </w:r>
    </w:p>
    <w:p w14:paraId="0DE537AD">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注：在白重恩的计算结果中，</w:t>
      </w:r>
      <w:r>
        <w:rPr>
          <w:rFonts w:ascii="Times New Roman" w:hAnsi="Times New Roman"/>
          <w:color w:val="000000" w:themeColor="text1"/>
          <w14:textFill>
            <w14:solidFill>
              <w14:schemeClr w14:val="tx1"/>
            </w14:solidFill>
          </w14:textFill>
        </w:rPr>
        <w:t>2007</w:t>
      </w:r>
      <w:r>
        <w:rPr>
          <w:rFonts w:hint="eastAsia" w:ascii="宋体" w:hAnsi="宋体"/>
          <w:color w:val="000000" w:themeColor="text1"/>
          <w14:textFill>
            <w14:solidFill>
              <w14:schemeClr w14:val="tx1"/>
            </w14:solidFill>
          </w14:textFill>
        </w:rPr>
        <w:t>年数据由刘社建等整理。</w:t>
      </w:r>
    </w:p>
    <w:p w14:paraId="534838CB">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1984</w:t>
      </w:r>
      <w:r>
        <w:rPr>
          <w:rFonts w:hint="eastAsia" w:ascii="宋体" w:hAnsi="宋体"/>
          <w:color w:val="000000" w:themeColor="text1"/>
          <w14:textFill>
            <w14:solidFill>
              <w14:schemeClr w14:val="tx1"/>
            </w14:solidFill>
          </w14:textFill>
        </w:rPr>
        <w:t>年以来，我国劳动收入份额的下降从企业利润率的变化也能够得到证实。张杰等利用国家统计局</w:t>
      </w:r>
      <w:r>
        <w:rPr>
          <w:rFonts w:ascii="Times New Roman" w:hAnsi="Times New Roman"/>
          <w:color w:val="000000" w:themeColor="text1"/>
          <w14:textFill>
            <w14:solidFill>
              <w14:schemeClr w14:val="tx1"/>
            </w14:solidFill>
          </w14:textFill>
        </w:rPr>
        <w:t>1999</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2007</w:t>
      </w:r>
      <w:r>
        <w:rPr>
          <w:rFonts w:hint="eastAsia" w:ascii="宋体" w:hAnsi="宋体"/>
          <w:color w:val="000000" w:themeColor="text1"/>
          <w14:textFill>
            <w14:solidFill>
              <w14:schemeClr w14:val="tx1"/>
            </w14:solidFill>
          </w14:textFill>
        </w:rPr>
        <w:t>年的工业企业统计数据库建立多元回归模型，</w:t>
      </w:r>
      <w:r>
        <w:rPr>
          <w:rFonts w:ascii="Times New Roman" w:hAnsi="Times New Roman"/>
          <w:color w:val="000000" w:themeColor="text1"/>
          <w14:textFill>
            <w14:solidFill>
              <w14:schemeClr w14:val="tx1"/>
            </w14:solidFill>
          </w14:textFill>
        </w:rPr>
        <w:t>sperman</w:t>
      </w:r>
      <w:r>
        <w:rPr>
          <w:rFonts w:hint="eastAsia" w:ascii="宋体" w:hAnsi="宋体"/>
          <w:color w:val="000000" w:themeColor="text1"/>
          <w14:textFill>
            <w14:solidFill>
              <w14:schemeClr w14:val="tx1"/>
            </w14:solidFill>
          </w14:textFill>
        </w:rPr>
        <w:t>相关系数矩阵结果显示，企业利润率和人均工资之间呈现出一种显著且稳定的负相关关系，这表明，在我国越是利润高的企业支付给员工的工资水平越低。这意味着企业利润是靠挤占员工工资来实现的，这似乎为中国企业微观层次“利润挤占工资”提供了检验事实。</w:t>
      </w:r>
    </w:p>
    <w:p w14:paraId="0E0A7BFA">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）我国的规模收入分配。王祖祥（</w:t>
      </w:r>
      <w:r>
        <w:rPr>
          <w:rFonts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）利用《中国统计年鉴》</w:t>
      </w:r>
      <w:r>
        <w:rPr>
          <w:rFonts w:ascii="Times New Roman" w:hAnsi="Times New Roman"/>
          <w:color w:val="000000" w:themeColor="text1"/>
          <w14:textFill>
            <w14:solidFill>
              <w14:schemeClr w14:val="tx1"/>
            </w14:solidFill>
          </w14:textFill>
        </w:rPr>
        <w:t>(1995</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2005)</w:t>
      </w:r>
      <w:r>
        <w:rPr>
          <w:rFonts w:hint="eastAsia" w:ascii="宋体" w:hAnsi="宋体"/>
          <w:color w:val="000000" w:themeColor="text1"/>
          <w14:textFill>
            <w14:solidFill>
              <w14:schemeClr w14:val="tx1"/>
            </w14:solidFill>
          </w14:textFill>
        </w:rPr>
        <w:t>的收入分配数据进行估算，发现目前我国城镇与农村两部门内部的基尼系数都不大，都没有超过</w:t>
      </w:r>
      <w:r>
        <w:rPr>
          <w:rFonts w:ascii="Times New Roman" w:hAnsi="Times New Roman"/>
          <w:color w:val="000000" w:themeColor="text1"/>
          <w14:textFill>
            <w14:solidFill>
              <w14:schemeClr w14:val="tx1"/>
            </w14:solidFill>
          </w14:textFill>
        </w:rPr>
        <w:t>0.34</w:t>
      </w:r>
      <w:r>
        <w:rPr>
          <w:rFonts w:hint="eastAsia" w:ascii="宋体" w:hAnsi="宋体"/>
          <w:color w:val="000000" w:themeColor="text1"/>
          <w14:textFill>
            <w14:solidFill>
              <w14:schemeClr w14:val="tx1"/>
            </w14:solidFill>
          </w14:textFill>
        </w:rPr>
        <w:t>，但从</w:t>
      </w:r>
      <w:r>
        <w:rPr>
          <w:rFonts w:ascii="Times New Roman" w:hAnsi="Times New Roman"/>
          <w:color w:val="000000" w:themeColor="text1"/>
          <w14:textFill>
            <w14:solidFill>
              <w14:schemeClr w14:val="tx1"/>
            </w14:solidFill>
          </w14:textFill>
        </w:rPr>
        <w:t>2003</w:t>
      </w:r>
      <w:r>
        <w:rPr>
          <w:rFonts w:hint="eastAsia" w:ascii="宋体" w:hAnsi="宋体"/>
          <w:color w:val="000000" w:themeColor="text1"/>
          <w14:textFill>
            <w14:solidFill>
              <w14:schemeClr w14:val="tx1"/>
            </w14:solidFill>
          </w14:textFill>
        </w:rPr>
        <w:t>年开始，我国的加总基尼系数已经超过了</w:t>
      </w:r>
      <w:r>
        <w:rPr>
          <w:rFonts w:ascii="Times New Roman" w:hAnsi="Times New Roman"/>
          <w:color w:val="000000" w:themeColor="text1"/>
          <w14:textFill>
            <w14:solidFill>
              <w14:schemeClr w14:val="tx1"/>
            </w14:solidFill>
          </w14:textFill>
        </w:rPr>
        <w:t>0.44,</w:t>
      </w:r>
      <w:r>
        <w:rPr>
          <w:rFonts w:hint="eastAsia" w:ascii="宋体" w:hAnsi="宋体"/>
          <w:color w:val="000000" w:themeColor="text1"/>
          <w14:textFill>
            <w14:solidFill>
              <w14:schemeClr w14:val="tx1"/>
            </w14:solidFill>
          </w14:textFill>
        </w:rPr>
        <w:t>远远越过了警戒水平</w:t>
      </w:r>
      <w:r>
        <w:rPr>
          <w:rFonts w:ascii="Times New Roman" w:hAnsi="Times New Roman"/>
          <w:color w:val="000000" w:themeColor="text1"/>
          <w14:textFill>
            <w14:solidFill>
              <w14:schemeClr w14:val="tx1"/>
            </w14:solidFill>
          </w14:textFill>
        </w:rPr>
        <w:t>0.4</w:t>
      </w:r>
      <w:r>
        <w:rPr>
          <w:rFonts w:hint="eastAsia" w:ascii="宋体" w:hAnsi="宋体"/>
          <w:color w:val="000000" w:themeColor="text1"/>
          <w14:textFill>
            <w14:solidFill>
              <w14:schemeClr w14:val="tx1"/>
            </w14:solidFill>
          </w14:textFill>
        </w:rPr>
        <w:t>。王祖祥认为城乡收入差距是我国不平等程度扩大的主要原因。农民工工资增长缓慢固然是城乡收入差距拉大的原因，但城乡收入差距拉大的最主要原因是城市居民资本收入（财产收入）增长迅速。改革开放以来，中国农民工数量越来越庞大，工资收入在农村居民家庭中的比重逐年提高。</w:t>
      </w:r>
      <w:r>
        <w:rPr>
          <w:rFonts w:ascii="Times New Roman" w:hAnsi="Times New Roman"/>
          <w:color w:val="000000" w:themeColor="text1"/>
          <w14:textFill>
            <w14:solidFill>
              <w14:schemeClr w14:val="tx1"/>
            </w14:solidFill>
          </w14:textFill>
        </w:rPr>
        <w:t>1984</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1996</w:t>
      </w:r>
      <w:r>
        <w:rPr>
          <w:rFonts w:hint="eastAsia" w:ascii="宋体" w:hAnsi="宋体"/>
          <w:color w:val="000000" w:themeColor="text1"/>
          <w14:textFill>
            <w14:solidFill>
              <w14:schemeClr w14:val="tx1"/>
            </w14:solidFill>
          </w14:textFill>
        </w:rPr>
        <w:t>年，我国农民工工资收入占农村居民家庭纯收入的比重从</w:t>
      </w:r>
      <w:r>
        <w:rPr>
          <w:rFonts w:ascii="Times New Roman" w:hAnsi="Times New Roman"/>
          <w:color w:val="000000" w:themeColor="text1"/>
          <w14:textFill>
            <w14:solidFill>
              <w14:schemeClr w14:val="tx1"/>
            </w14:solidFill>
          </w14:textFill>
        </w:rPr>
        <w:t>17.17%</w:t>
      </w:r>
      <w:r>
        <w:rPr>
          <w:rFonts w:hint="eastAsia" w:ascii="宋体" w:hAnsi="宋体"/>
          <w:color w:val="000000" w:themeColor="text1"/>
          <w14:textFill>
            <w14:solidFill>
              <w14:schemeClr w14:val="tx1"/>
            </w14:solidFill>
          </w14:textFill>
        </w:rPr>
        <w:t>提高到</w:t>
      </w:r>
      <w:r>
        <w:rPr>
          <w:rFonts w:ascii="Times New Roman" w:hAnsi="Times New Roman"/>
          <w:color w:val="000000" w:themeColor="text1"/>
          <w14:textFill>
            <w14:solidFill>
              <w14:schemeClr w14:val="tx1"/>
            </w14:solidFill>
          </w14:textFill>
        </w:rPr>
        <w:t>23.59%</w:t>
      </w:r>
      <w:r>
        <w:rPr>
          <w:rFonts w:hint="eastAsia" w:ascii="宋体" w:hAnsi="宋体"/>
          <w:color w:val="000000" w:themeColor="text1"/>
          <w14:textFill>
            <w14:solidFill>
              <w14:schemeClr w14:val="tx1"/>
            </w14:solidFill>
          </w14:textFill>
        </w:rPr>
        <w:t>。到</w:t>
      </w:r>
      <w:r>
        <w:rPr>
          <w:rFonts w:ascii="Times New Roman" w:hAnsi="Times New Roman"/>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年，这一比重又进一步上升到</w:t>
      </w:r>
      <w:r>
        <w:rPr>
          <w:rFonts w:ascii="Times New Roman" w:hAnsi="Times New Roman"/>
          <w:color w:val="000000" w:themeColor="text1"/>
          <w14:textFill>
            <w14:solidFill>
              <w14:schemeClr w14:val="tx1"/>
            </w14:solidFill>
          </w14:textFill>
        </w:rPr>
        <w:t>37.42%</w:t>
      </w:r>
      <w:r>
        <w:rPr>
          <w:rFonts w:hint="eastAsia" w:ascii="宋体" w:hAnsi="宋体"/>
          <w:color w:val="000000" w:themeColor="text1"/>
          <w14:textFill>
            <w14:solidFill>
              <w14:schemeClr w14:val="tx1"/>
            </w14:solidFill>
          </w14:textFill>
        </w:rPr>
        <w:t>。上海市的这一比例最高，高达</w:t>
      </w:r>
      <w:r>
        <w:rPr>
          <w:rFonts w:ascii="Times New Roman" w:hAnsi="Times New Roman"/>
          <w:color w:val="000000" w:themeColor="text1"/>
          <w14:textFill>
            <w14:solidFill>
              <w14:schemeClr w14:val="tx1"/>
            </w14:solidFill>
          </w14:textFill>
        </w:rPr>
        <w:t>70%</w:t>
      </w:r>
      <w:r>
        <w:rPr>
          <w:rFonts w:hint="eastAsia" w:ascii="宋体" w:hAnsi="宋体"/>
          <w:color w:val="000000" w:themeColor="text1"/>
          <w14:textFill>
            <w14:solidFill>
              <w14:schemeClr w14:val="tx1"/>
            </w14:solidFill>
          </w14:textFill>
        </w:rPr>
        <w:t>，东部沿海地区普遍都在</w:t>
      </w:r>
      <w:r>
        <w:rPr>
          <w:rFonts w:ascii="Times New Roman" w:hAnsi="Times New Roman"/>
          <w:color w:val="000000" w:themeColor="text1"/>
          <w14:textFill>
            <w14:solidFill>
              <w14:schemeClr w14:val="tx1"/>
            </w14:solidFill>
          </w14:textFill>
        </w:rPr>
        <w:t>40%</w:t>
      </w:r>
      <w:r>
        <w:rPr>
          <w:rFonts w:hint="eastAsia" w:ascii="宋体" w:hAnsi="宋体"/>
          <w:color w:val="000000" w:themeColor="text1"/>
          <w14:textFill>
            <w14:solidFill>
              <w14:schemeClr w14:val="tx1"/>
            </w14:solidFill>
          </w14:textFill>
        </w:rPr>
        <w:t>以上。</w:t>
      </w:r>
    </w:p>
    <w:p w14:paraId="279BC275">
      <w:pPr>
        <w:spacing w:line="400" w:lineRule="exact"/>
        <w:ind w:firstLine="420" w:firstLineChars="200"/>
        <w:jc w:val="center"/>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图</w:t>
      </w:r>
      <w:r>
        <w:rPr>
          <w:rFonts w:ascii="Times New Roman" w:hAnsi="Times New Roman"/>
          <w:color w:val="000000" w:themeColor="text1"/>
          <w14:textFill>
            <w14:solidFill>
              <w14:schemeClr w14:val="tx1"/>
            </w14:solidFill>
          </w14:textFill>
        </w:rPr>
        <w:t>31978</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年我国城乡消费水平对比</w:t>
      </w:r>
    </w:p>
    <w:p w14:paraId="562690F7">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数据来源：《中国统计年鉴</w:t>
      </w:r>
      <w:r>
        <w:rPr>
          <w:rFonts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w:t>
      </w:r>
    </w:p>
    <w:p w14:paraId="71556ACE">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图</w:t>
      </w:r>
      <w:r>
        <w:rPr>
          <w:rFonts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反映了我国城乡居民消费水平对比的变化趋势。从图中可以看出，自</w:t>
      </w:r>
      <w:r>
        <w:rPr>
          <w:rFonts w:ascii="Times New Roman" w:hAnsi="Times New Roman"/>
          <w:color w:val="000000" w:themeColor="text1"/>
          <w14:textFill>
            <w14:solidFill>
              <w14:schemeClr w14:val="tx1"/>
            </w14:solidFill>
          </w14:textFill>
        </w:rPr>
        <w:t>1984</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1995</w:t>
      </w:r>
      <w:r>
        <w:rPr>
          <w:rFonts w:hint="eastAsia" w:ascii="宋体" w:hAnsi="宋体"/>
          <w:color w:val="000000" w:themeColor="text1"/>
          <w14:textFill>
            <w14:solidFill>
              <w14:schemeClr w14:val="tx1"/>
            </w14:solidFill>
          </w14:textFill>
        </w:rPr>
        <w:t>年，我国城乡居民消费水平差距急剧增大。自</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w:t>
      </w:r>
      <w:r>
        <w:rPr>
          <w:rFonts w:ascii="Times New Roman" w:hAnsi="Times New Roman"/>
          <w:color w:val="000000" w:themeColor="text1"/>
          <w14:textFill>
            <w14:solidFill>
              <w14:schemeClr w14:val="tx1"/>
            </w14:solidFill>
          </w14:textFill>
        </w:rPr>
        <w:t>90</w:t>
      </w:r>
      <w:r>
        <w:rPr>
          <w:rFonts w:hint="eastAsia" w:ascii="宋体" w:hAnsi="宋体"/>
          <w:color w:val="000000" w:themeColor="text1"/>
          <w14:textFill>
            <w14:solidFill>
              <w14:schemeClr w14:val="tx1"/>
            </w14:solidFill>
          </w14:textFill>
        </w:rPr>
        <w:t>年代中期以来，城市居民对农村居民的消费水平倍数一致维持在</w:t>
      </w:r>
      <w:r>
        <w:rPr>
          <w:rFonts w:ascii="Times New Roman" w:hAnsi="Times New Roman"/>
          <w:color w:val="000000" w:themeColor="text1"/>
          <w14:textFill>
            <w14:solidFill>
              <w14:schemeClr w14:val="tx1"/>
            </w14:solidFill>
          </w14:textFill>
        </w:rPr>
        <w:t>3.5</w:t>
      </w:r>
      <w:r>
        <w:rPr>
          <w:rFonts w:hint="eastAsia" w:ascii="宋体" w:hAnsi="宋体"/>
          <w:color w:val="000000" w:themeColor="text1"/>
          <w14:textFill>
            <w14:solidFill>
              <w14:schemeClr w14:val="tx1"/>
            </w14:solidFill>
          </w14:textFill>
        </w:rPr>
        <w:t>倍以上。城乡收入差距的扩大，一是因为城市居民的劳动收入高于农村居民，二是因为城市居民的财产性收入也高于农村居民的财产性收入。</w:t>
      </w:r>
    </w:p>
    <w:p w14:paraId="6F72C8F7">
      <w:pPr>
        <w:spacing w:line="400" w:lineRule="exact"/>
        <w:ind w:firstLine="420" w:firstLineChars="200"/>
        <w:rPr>
          <w:rFonts w:hint="eastAsia" w:ascii="Times New Roman" w:hAnsi="Times New Roman"/>
          <w:color w:val="000000" w:themeColor="text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709440" behindDoc="0" locked="0" layoutInCell="1" allowOverlap="1">
            <wp:simplePos x="0" y="0"/>
            <wp:positionH relativeFrom="margin">
              <wp:align>center</wp:align>
            </wp:positionH>
            <wp:positionV relativeFrom="paragraph">
              <wp:posOffset>3246755</wp:posOffset>
            </wp:positionV>
            <wp:extent cx="5274310" cy="3357880"/>
            <wp:effectExtent l="0" t="0" r="8890" b="20320"/>
            <wp:wrapTopAndBottom/>
            <wp:docPr id="139"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图片 139"/>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a:xfrm>
                      <a:off x="0" y="0"/>
                      <a:ext cx="5274310" cy="3357880"/>
                    </a:xfrm>
                    <a:prstGeom prst="rect">
                      <a:avLst/>
                    </a:prstGeom>
                    <a:noFill/>
                    <a:ln>
                      <a:noFill/>
                    </a:ln>
                  </pic:spPr>
                </pic:pic>
              </a:graphicData>
            </a:graphic>
          </wp:anchor>
        </w:drawing>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我国的国民产出的最终使用。我国现行的国民收入统计，按总值收入法，可以将国民收入划分为劳动者报酬、生产税净额、固定资产折旧和营业盈余；按支出法可以将国内生产总值划分为最终消费支出、资本形成总额、货物和服务净出口。这样就在功能收入分配和产出最终用途之间建立了联系。这种划分法可以计算出资本形成率（投资率）和最终消费率；其中最终消费支出可以分解为居民消费支出（农村、城市）和政府消费支出。图</w:t>
      </w:r>
      <w:r>
        <w:rPr>
          <w:rFonts w:ascii="Times New Roman" w:hAnsi="Times New Roman"/>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是我国现行国民收入统计中的收入法和支出法的统计项目区别。</w:t>
      </w:r>
    </w:p>
    <w:p w14:paraId="230BE616">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 xml:space="preserve"> </w:t>
      </w:r>
    </w:p>
    <w:p w14:paraId="1AC277EF">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图</w:t>
      </w:r>
      <w:r>
        <w:rPr>
          <w:rFonts w:ascii="Times New Roman" w:hAnsi="Times New Roman"/>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我国统计年鉴中按支出法和收入法划分的国内生产总值构成</w:t>
      </w:r>
    </w:p>
    <w:p w14:paraId="769514DA">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表</w:t>
      </w:r>
      <w:r>
        <w:rPr>
          <w:rFonts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是用支出法衡量的我国国内生产总值构成。支出法衡量的优势是便于衡量最终需求的去向。最终消费、投资与净出口是国民收入的三大最终流向。</w:t>
      </w:r>
    </w:p>
    <w:p w14:paraId="51EF52FA">
      <w:pPr>
        <w:spacing w:line="400" w:lineRule="exact"/>
        <w:ind w:firstLine="420" w:firstLineChars="200"/>
        <w:jc w:val="center"/>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表</w:t>
      </w:r>
      <w:r>
        <w:rPr>
          <w:rFonts w:ascii="Times New Roman" w:hAnsi="Times New Roman"/>
          <w:color w:val="000000" w:themeColor="text1"/>
          <w14:textFill>
            <w14:solidFill>
              <w14:schemeClr w14:val="tx1"/>
            </w14:solidFill>
          </w14:textFill>
        </w:rPr>
        <w:t>11978</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年我国国内生产总值构成（支出法）</w:t>
      </w:r>
    </w:p>
    <w:p w14:paraId="25E91105">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Times New Roman" w:hAnsi="Times New Roman"/>
          <w:color w:val="000000" w:themeColor="text1"/>
          <w14:textFill>
            <w14:solidFill>
              <w14:schemeClr w14:val="tx1"/>
            </w14:solidFill>
          </w14:textFill>
        </w:rPr>
        <w:t xml:space="preserve"> </w:t>
      </w:r>
    </w:p>
    <w:p w14:paraId="25A4BF38">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数据来源：《中国统计年鉴》</w:t>
      </w:r>
      <w:r>
        <w:rPr>
          <w:rFonts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w:t>
      </w:r>
    </w:p>
    <w:p w14:paraId="32F54EDF">
      <w:pPr>
        <w:spacing w:before="147" w:beforeLines="50" w:line="400" w:lineRule="exact"/>
        <w:ind w:firstLine="420" w:firstLineChars="200"/>
        <w:rPr>
          <w:rFonts w:ascii="Times New Roman" w:hAnsi="Times New Roman"/>
          <w:color w:val="000000" w:themeColor="text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710464" behindDoc="0" locked="0" layoutInCell="1" allowOverlap="1">
            <wp:simplePos x="0" y="0"/>
            <wp:positionH relativeFrom="column">
              <wp:posOffset>85725</wp:posOffset>
            </wp:positionH>
            <wp:positionV relativeFrom="paragraph">
              <wp:posOffset>633095</wp:posOffset>
            </wp:positionV>
            <wp:extent cx="5259070" cy="1332230"/>
            <wp:effectExtent l="0" t="0" r="24130" b="13970"/>
            <wp:wrapTopAndBottom/>
            <wp:docPr id="140"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a:xfrm>
                      <a:off x="0" y="0"/>
                      <a:ext cx="5259070" cy="1332230"/>
                    </a:xfrm>
                    <a:prstGeom prst="rect">
                      <a:avLst/>
                    </a:prstGeom>
                    <a:noFill/>
                    <a:ln>
                      <a:noFill/>
                    </a:ln>
                  </pic:spPr>
                </pic:pic>
              </a:graphicData>
            </a:graphic>
          </wp:anchor>
        </w:drawing>
      </w:r>
      <w:r>
        <w:rPr>
          <w:rFonts w:hint="eastAsia" w:ascii="宋体" w:hAnsi="宋体"/>
          <w:color w:val="000000" w:themeColor="text1"/>
          <w14:textFill>
            <w14:solidFill>
              <w14:schemeClr w14:val="tx1"/>
            </w14:solidFill>
          </w14:textFill>
        </w:rPr>
        <w:t>在国民收入的最终流向中，投资和消费是两大最重要的项目。从图</w:t>
      </w:r>
      <w:r>
        <w:rPr>
          <w:rFonts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可以发现，</w:t>
      </w:r>
      <w:r>
        <w:rPr>
          <w:rFonts w:ascii="Times New Roman" w:hAnsi="Times New Roman"/>
          <w:color w:val="000000" w:themeColor="text1"/>
          <w14:textFill>
            <w14:solidFill>
              <w14:schemeClr w14:val="tx1"/>
            </w14:solidFill>
          </w14:textFill>
        </w:rPr>
        <w:t>1978</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年，我国投资率不断上升，而最终消费率却在不断下降。</w:t>
      </w:r>
    </w:p>
    <w:p w14:paraId="764166C3">
      <w:pPr>
        <w:spacing w:line="400" w:lineRule="exact"/>
        <w:ind w:firstLine="420" w:firstLineChars="200"/>
        <w:rPr>
          <w:rFonts w:hint="eastAsia" w:ascii="Times New Roman" w:hAnsi="Times New Roman"/>
          <w:color w:val="000000" w:themeColor="text1"/>
          <w14:textFill>
            <w14:solidFill>
              <w14:schemeClr w14:val="tx1"/>
            </w14:solidFill>
          </w14:textFill>
        </w:rPr>
      </w:pPr>
      <w:r>
        <w:rPr>
          <w:color w:val="000000" w:themeColor="text1"/>
          <w14:textFill>
            <w14:solidFill>
              <w14:schemeClr w14:val="tx1"/>
            </w14:solidFill>
          </w14:textFill>
        </w:rPr>
        <w:drawing>
          <wp:anchor distT="0" distB="0" distL="114300" distR="114300" simplePos="0" relativeHeight="251711488" behindDoc="0" locked="0" layoutInCell="1" allowOverlap="1">
            <wp:simplePos x="0" y="0"/>
            <wp:positionH relativeFrom="column">
              <wp:posOffset>265430</wp:posOffset>
            </wp:positionH>
            <wp:positionV relativeFrom="paragraph">
              <wp:posOffset>0</wp:posOffset>
            </wp:positionV>
            <wp:extent cx="5274310" cy="1330960"/>
            <wp:effectExtent l="0" t="0" r="8890" b="15240"/>
            <wp:wrapTopAndBottom/>
            <wp:docPr id="141"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a:xfrm>
                      <a:off x="0" y="0"/>
                      <a:ext cx="5274310" cy="1330960"/>
                    </a:xfrm>
                    <a:prstGeom prst="rect">
                      <a:avLst/>
                    </a:prstGeom>
                    <a:noFill/>
                    <a:ln>
                      <a:noFill/>
                    </a:ln>
                  </pic:spPr>
                </pic:pic>
              </a:graphicData>
            </a:graphic>
          </wp:anchor>
        </w:drawing>
      </w:r>
      <w:r>
        <w:rPr>
          <w:rFonts w:hint="eastAsia" w:ascii="宋体" w:hAnsi="宋体"/>
          <w:color w:val="000000" w:themeColor="text1"/>
          <w14:textFill>
            <w14:solidFill>
              <w14:schemeClr w14:val="tx1"/>
            </w14:solidFill>
          </w14:textFill>
        </w:rPr>
        <w:t>图</w:t>
      </w:r>
      <w:r>
        <w:rPr>
          <w:rFonts w:ascii="Times New Roman" w:hAnsi="Times New Roman"/>
          <w:color w:val="000000" w:themeColor="text1"/>
          <w14:textFill>
            <w14:solidFill>
              <w14:schemeClr w14:val="tx1"/>
            </w14:solidFill>
          </w14:textFill>
        </w:rPr>
        <w:t>51978</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年我国的投资率和消费率</w:t>
      </w:r>
    </w:p>
    <w:p w14:paraId="4B3BB609">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数据来源：《中国统计年鉴》</w:t>
      </w:r>
      <w:r>
        <w:rPr>
          <w:rFonts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w:t>
      </w:r>
    </w:p>
    <w:p w14:paraId="485EB682">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以上分析说明，功能收入分配、规模收入分配与国民产出的最终使用密切相关，政府收支活动是联结三者的重要枢纽（如图</w:t>
      </w:r>
      <w:r>
        <w:rPr>
          <w:rFonts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所示）。以下将对政府在其中的作用作进一步分析。</w:t>
      </w:r>
    </w:p>
    <w:p w14:paraId="1D145406">
      <w:pPr>
        <w:spacing w:line="400" w:lineRule="exact"/>
        <w:ind w:firstLine="420" w:firstLineChars="200"/>
        <w:rPr>
          <w:rFonts w:hint="eastAsia" w:ascii="Times New Roman" w:hAnsi="Times New Roman"/>
          <w:b/>
          <w:color w:val="000000" w:themeColor="text1"/>
          <w14:textFill>
            <w14:solidFill>
              <w14:schemeClr w14:val="tx1"/>
            </w14:solidFill>
          </w14:textFill>
        </w:rPr>
      </w:pPr>
      <w:r>
        <w:rPr>
          <w:rFonts w:ascii="Times New Roman" w:hAnsi="Times New Roman"/>
          <w:b/>
          <w:color w:val="000000" w:themeColor="text1"/>
          <w14:textFill>
            <w14:solidFill>
              <w14:schemeClr w14:val="tx1"/>
            </w14:solidFill>
          </w14:textFill>
        </w:rPr>
        <w:t>2.</w:t>
      </w:r>
      <w:r>
        <w:rPr>
          <w:rFonts w:hint="eastAsia" w:ascii="宋体" w:hAnsi="宋体"/>
          <w:b/>
          <w:color w:val="000000" w:themeColor="text1"/>
          <w14:textFill>
            <w14:solidFill>
              <w14:schemeClr w14:val="tx1"/>
            </w14:solidFill>
          </w14:textFill>
        </w:rPr>
        <w:t>我国政府财政收支在功能收入分配、规模收入分配与国民产出最终使用中存在的问题及政策建议</w:t>
      </w:r>
    </w:p>
    <w:p w14:paraId="265816A5">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）我国功能收入分配中存在的问题及对策。我国功能收入分配中面临的主要问题是劳动收入份额过低。在美国，</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w:t>
      </w:r>
      <w:r>
        <w:rPr>
          <w:rFonts w:ascii="Times New Roman" w:hAnsi="Times New Roman"/>
          <w:color w:val="000000" w:themeColor="text1"/>
          <w14:textFill>
            <w14:solidFill>
              <w14:schemeClr w14:val="tx1"/>
            </w14:solidFill>
          </w14:textFill>
        </w:rPr>
        <w:t>70</w:t>
      </w:r>
      <w:r>
        <w:rPr>
          <w:rFonts w:hint="eastAsia" w:ascii="宋体" w:hAnsi="宋体"/>
          <w:color w:val="000000" w:themeColor="text1"/>
          <w14:textFill>
            <w14:solidFill>
              <w14:schemeClr w14:val="tx1"/>
            </w14:solidFill>
          </w14:textFill>
        </w:rPr>
        <w:t>年代以来，劳动收入占</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的比重一直维持在</w:t>
      </w:r>
      <w:r>
        <w:rPr>
          <w:rFonts w:ascii="Times New Roman" w:hAnsi="Times New Roman"/>
          <w:color w:val="000000" w:themeColor="text1"/>
          <w14:textFill>
            <w14:solidFill>
              <w14:schemeClr w14:val="tx1"/>
            </w14:solidFill>
          </w14:textFill>
        </w:rPr>
        <w:t>65%</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68%</w:t>
      </w:r>
      <w:r>
        <w:rPr>
          <w:rFonts w:hint="eastAsia" w:ascii="宋体" w:hAnsi="宋体"/>
          <w:color w:val="000000" w:themeColor="text1"/>
          <w14:textFill>
            <w14:solidFill>
              <w14:schemeClr w14:val="tx1"/>
            </w14:solidFill>
          </w14:textFill>
        </w:rPr>
        <w:t>。为了经济的健康、平稳发展，今后我国政府必须在功能收入分配中提高劳动收入份额的比重。劳动收入份额的提高会对经济增长通过以下途径发挥影响：第一，劳动收入份额提高会提高社会消费需求，避免经济危机。第二，劳动收入份额提高会提高低收入家庭的规模收入，降低最终分配的收入差距。因为低收入家庭的主要收入来源是劳动收入。第三，劳动收入份额提高也有利于提高投资效率。传统理论认为，高收入家庭是资本投资的主体，但在现代金融体制下，由于发达的信用体系便利了直接投资和间接投资，投资行为已经社会化了，不再是单个资本的行为。劳动收入也会转化为资本。低收入家庭也会有资本收入。劳动收入份额的提高，会使很多雇佣劳动者家庭也成为投资者。这有利于在社会上形成中产阶层。</w:t>
      </w:r>
    </w:p>
    <w:p w14:paraId="4001E9AF">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我国，提高劳动收入份额的主要措施，从劳动立法角度，应该通过政府力量，矫正劳资谈判力量；从税收角度，应该降低劳动收入的税负。程恩富在另一文中认为，我国企业职工仅仅获得维护甚至低于简单劳动力再生产的工资水平，劳动力缺乏向上发展和提高素质的能力和机会，因而陷入了所谓低廉的劳动力价值具有比较优势的“比较优势陷阱”。我国通过降低和压低职工权益的保护水平来维持我国劳动密集型产业的竞争力是不可持续的。低端的劳动密集型产业市场是一个近乎完全竞争的市场，只有通过提高技术水平，掌握核心知识产权，打造核心竞争力，实现产业层次的升级，才能实现经济发展的可持续性。我国是社会主义国家，作为代表劳动人民根本利益的国家理应自觉站在劳动大众的立场上，主动承担起保护和提高职工权益的重任，通过制定和有效实施职工权益保护的法律法规并严格执法，同时依靠工会和职工的积极参与，并要求企业高管以及有关工商联和雇主协会等一起自觉做好配合工作，从而切实保护和改善职工的权益，打造和谐的社会主义劳动关系和劳资关系，为构建社会主义和谐社会打下牢固的经济社会基础。</w:t>
      </w:r>
    </w:p>
    <w:p w14:paraId="4F5A308B">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我国规模收入分配中存在的问题及对策。我国规模收入分配中存在的主要问题是居民收入差距过大，而这又和政府再分配职能弱化有关。政府在收入再分配中起着非常重要的作用。政府通过财政收入和财政支出，都可以发挥收入再分配的职能。</w:t>
      </w:r>
    </w:p>
    <w:p w14:paraId="3772A59F">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财政收入角度看，一般而言，政府收入中间接税的比重越小，直接税的比重越大，财政对最终收入分配的调节作用越明显。杨文芳、方齐云对美国和中国的财政收入结构和支出结构进行了比较研究，发现美国的财政收入以直接税为主，所得税在美国政府的财政收入中所占的比例一直接近</w:t>
      </w:r>
      <w:r>
        <w:rPr>
          <w:rFonts w:ascii="Times New Roman" w:hAnsi="Times New Roman"/>
          <w:color w:val="000000" w:themeColor="text1"/>
          <w14:textFill>
            <w14:solidFill>
              <w14:schemeClr w14:val="tx1"/>
            </w14:solidFill>
          </w14:textFill>
        </w:rPr>
        <w:t>60%</w:t>
      </w:r>
      <w:r>
        <w:rPr>
          <w:rFonts w:hint="eastAsia" w:ascii="宋体" w:hAnsi="宋体"/>
          <w:color w:val="000000" w:themeColor="text1"/>
          <w14:textFill>
            <w14:solidFill>
              <w14:schemeClr w14:val="tx1"/>
            </w14:solidFill>
          </w14:textFill>
        </w:rPr>
        <w:t>，其次是社会保险税，占财政收入的比例为</w:t>
      </w:r>
      <w:r>
        <w:rPr>
          <w:rFonts w:ascii="Times New Roman" w:hAnsi="Times New Roman"/>
          <w:color w:val="000000" w:themeColor="text1"/>
          <w14:textFill>
            <w14:solidFill>
              <w14:schemeClr w14:val="tx1"/>
            </w14:solidFill>
          </w14:textFill>
        </w:rPr>
        <w:t>35%</w:t>
      </w:r>
      <w:r>
        <w:rPr>
          <w:rFonts w:hint="eastAsia" w:ascii="宋体" w:hAnsi="宋体"/>
          <w:color w:val="000000" w:themeColor="text1"/>
          <w14:textFill>
            <w14:solidFill>
              <w14:schemeClr w14:val="tx1"/>
            </w14:solidFill>
          </w14:textFill>
        </w:rPr>
        <w:t>左右。中国的财政收入中，间接税一直占</w:t>
      </w:r>
      <w:r>
        <w:rPr>
          <w:rFonts w:ascii="Times New Roman" w:hAnsi="Times New Roman"/>
          <w:color w:val="000000" w:themeColor="text1"/>
          <w14:textFill>
            <w14:solidFill>
              <w14:schemeClr w14:val="tx1"/>
            </w14:solidFill>
          </w14:textFill>
        </w:rPr>
        <w:t>70%</w:t>
      </w:r>
      <w:r>
        <w:rPr>
          <w:rFonts w:hint="eastAsia" w:ascii="宋体" w:hAnsi="宋体"/>
          <w:color w:val="000000" w:themeColor="text1"/>
          <w14:textFill>
            <w14:solidFill>
              <w14:schemeClr w14:val="tx1"/>
            </w14:solidFill>
          </w14:textFill>
        </w:rPr>
        <w:t>以上。在财政支出方面，美国政府的财政支出以转移支付与保障性支出为主，这两项支出一直稳定在</w:t>
      </w:r>
      <w:r>
        <w:rPr>
          <w:rFonts w:ascii="Times New Roman" w:hAnsi="Times New Roman"/>
          <w:color w:val="000000" w:themeColor="text1"/>
          <w14:textFill>
            <w14:solidFill>
              <w14:schemeClr w14:val="tx1"/>
            </w14:solidFill>
          </w14:textFill>
        </w:rPr>
        <w:t>62%</w:t>
      </w:r>
      <w:r>
        <w:rPr>
          <w:rFonts w:hint="eastAsia" w:ascii="宋体" w:hAnsi="宋体"/>
          <w:color w:val="000000" w:themeColor="text1"/>
          <w14:textFill>
            <w14:solidFill>
              <w14:schemeClr w14:val="tx1"/>
            </w14:solidFill>
          </w14:textFill>
        </w:rPr>
        <w:t>左右。而中国的财政支出比重则以消费性支出为主，所占比例一直高达</w:t>
      </w:r>
      <w:r>
        <w:rPr>
          <w:rFonts w:ascii="Times New Roman" w:hAnsi="Times New Roman"/>
          <w:color w:val="000000" w:themeColor="text1"/>
          <w14:textFill>
            <w14:solidFill>
              <w14:schemeClr w14:val="tx1"/>
            </w14:solidFill>
          </w14:textFill>
        </w:rPr>
        <w:t>65%</w:t>
      </w:r>
      <w:r>
        <w:rPr>
          <w:rFonts w:hint="eastAsia" w:ascii="宋体" w:hAnsi="宋体"/>
          <w:color w:val="000000" w:themeColor="text1"/>
          <w14:textFill>
            <w14:solidFill>
              <w14:schemeClr w14:val="tx1"/>
            </w14:solidFill>
          </w14:textFill>
        </w:rPr>
        <w:t>以上，其次是投资性支出，稳定在</w:t>
      </w:r>
      <w:r>
        <w:rPr>
          <w:rFonts w:ascii="Times New Roman" w:hAnsi="Times New Roman"/>
          <w:color w:val="000000" w:themeColor="text1"/>
          <w14:textFill>
            <w14:solidFill>
              <w14:schemeClr w14:val="tx1"/>
            </w14:solidFill>
          </w14:textFill>
        </w:rPr>
        <w:t>23%</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之间，而保障性支出比例最小，一直低于</w:t>
      </w:r>
      <w:r>
        <w:rPr>
          <w:rFonts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。以上情况说明，美国的财政支出注重财政政策的收入分配功能，而我国的财政支出结构体现了财政政策对经济的宏观调控功能。今后我国的财政支出应该更侧重于财政的收入再分配职能。</w:t>
      </w:r>
    </w:p>
    <w:p w14:paraId="1BE60967">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财政支出角度看，财政支出的方向、结构会直接影响到最终收入分配。王艺明等人的研究表明，政府的行政管理费支出在全国层面上显著扩大了城乡收入差距。而基本建设支出、文教科卫支出、福利保障支出对城乡收入差距的影响存在区域性差异。在东部地区，上述支出缩小了城乡收入差距；在西部地区，上述支出却扩大了城乡收入差距。主要原因在于，西部地区农村财政投入严重不足，上述支出严重向城市倾斜，因而进一步拉大了城乡收入差距。程恩富在另文中认为，促进消费的关键环节在于打破束缚个人消费的瓶颈，即完善全社会医疗和社会保障体系，加大基础教育和健康卫生方面的公共投资，有效改善人们的消费预期，提高消费倾向。以上研究表明，今后我国政府支出必须重视降低政府行政管理费支出，增加对农村地区的文教科卫和社会保障支出。</w:t>
      </w:r>
    </w:p>
    <w:p w14:paraId="5C172EE6">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我国国民产出最终使用中存在的问题及对策。我国国民产出中存在的主要问题是投资比重大，消费比重小，社会总需求不足。而社会总需求不足的原因又主要在于居民消费率长期低迷。我国居民消费率长期低迷不振是不争的事实。但对居民消费低迷的原因却有不同的解释。</w:t>
      </w:r>
    </w:p>
    <w:p w14:paraId="5644426A">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一种观点认为，收入差距拉大是我国居民消费率低迷的原因。例如，杨文芳、方齐云认为，我国居民消费率低迷的原因主要在于，一是改革开放以来，多种分配方式下，居民收入差距逐渐拉大，导致整体居民消费倾向降低；二是我国社会保障制度的发展滞后，居民面临的收入和支出不确定性加大，导致预防性储蓄动机加强，社会消费倾向降低。吴栋等人的研究表明，我国的社会保障支出变化率对城镇居民和农村居民消费率均有比较显著的正向影响。社会保障支出具有转移支付性质，能够改善收入分配结构从而提高社会消费倾向。同样，教育和卫生支出对社会消费增长率也有正向影响。这可能是因为财政人力资本投资比物质资本投资更能提高经济增长率的缘故。</w:t>
      </w:r>
    </w:p>
    <w:p w14:paraId="73611ABA">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第二种观点认为，政府消费对居民消费的挤出效应是我国居民消费率低迷的原因。例如，方福前认为，居民之间的收入差距扩大也是中国居民消费需求不足的原因，但不是主要原因。中国的收入分配自</w:t>
      </w:r>
      <w:r>
        <w:rPr>
          <w:rFonts w:ascii="Times New Roman" w:hAnsi="Times New Roman"/>
          <w:color w:val="000000" w:themeColor="text1"/>
          <w14:textFill>
            <w14:solidFill>
              <w14:schemeClr w14:val="tx1"/>
            </w14:solidFill>
          </w14:textFill>
        </w:rPr>
        <w:t>1996</w:t>
      </w:r>
      <w:r>
        <w:rPr>
          <w:rFonts w:hint="eastAsia" w:ascii="宋体" w:hAnsi="宋体"/>
          <w:color w:val="000000" w:themeColor="text1"/>
          <w14:textFill>
            <w14:solidFill>
              <w14:schemeClr w14:val="tx1"/>
            </w14:solidFill>
          </w14:textFill>
        </w:rPr>
        <w:t>年开始一直向政府倾斜，自</w:t>
      </w:r>
      <w:r>
        <w:rPr>
          <w:rFonts w:ascii="Times New Roman" w:hAnsi="Times New Roman"/>
          <w:color w:val="000000" w:themeColor="text1"/>
          <w14:textFill>
            <w14:solidFill>
              <w14:schemeClr w14:val="tx1"/>
            </w14:solidFill>
          </w14:textFill>
        </w:rPr>
        <w:t>2004</w:t>
      </w:r>
      <w:r>
        <w:rPr>
          <w:rFonts w:hint="eastAsia" w:ascii="宋体" w:hAnsi="宋体"/>
          <w:color w:val="000000" w:themeColor="text1"/>
          <w14:textFill>
            <w14:solidFill>
              <w14:schemeClr w14:val="tx1"/>
            </w14:solidFill>
          </w14:textFill>
        </w:rPr>
        <w:t>年开始又向企业倾斜。在经济蛋糕不断扩大的过程中，政府和企业获得的份额越来越大，而居民的份额却在不断缩小。自</w:t>
      </w:r>
      <w:r>
        <w:rPr>
          <w:rFonts w:ascii="Times New Roman" w:hAnsi="Times New Roman"/>
          <w:color w:val="000000" w:themeColor="text1"/>
          <w14:textFill>
            <w14:solidFill>
              <w14:schemeClr w14:val="tx1"/>
            </w14:solidFill>
          </w14:textFill>
        </w:rPr>
        <w:t>1997</w:t>
      </w:r>
      <w:r>
        <w:rPr>
          <w:rFonts w:hint="eastAsia" w:ascii="宋体" w:hAnsi="宋体"/>
          <w:color w:val="000000" w:themeColor="text1"/>
          <w14:textFill>
            <w14:solidFill>
              <w14:schemeClr w14:val="tx1"/>
            </w14:solidFill>
          </w14:textFill>
        </w:rPr>
        <w:t>年下半年开始，中国宏观经济从供给不足转向需求不足。发达国家总需求不足的原因是投资需求不足，而我国的总需求不足是消费需求不足。主要表现在中国的最终消费率（最终消费支出占支出法</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的比重）偏低，而且自</w:t>
      </w:r>
      <w:r>
        <w:rPr>
          <w:rFonts w:ascii="Times New Roman" w:hAnsi="Times New Roman"/>
          <w:color w:val="000000" w:themeColor="text1"/>
          <w14:textFill>
            <w14:solidFill>
              <w14:schemeClr w14:val="tx1"/>
            </w14:solidFill>
          </w14:textFill>
        </w:rPr>
        <w:t>2000</w:t>
      </w:r>
      <w:r>
        <w:rPr>
          <w:rFonts w:hint="eastAsia" w:ascii="宋体" w:hAnsi="宋体"/>
          <w:color w:val="000000" w:themeColor="text1"/>
          <w14:textFill>
            <w14:solidFill>
              <w14:schemeClr w14:val="tx1"/>
            </w14:solidFill>
          </w14:textFill>
        </w:rPr>
        <w:t>年以来逐渐下降。</w:t>
      </w:r>
      <w:r>
        <w:rPr>
          <w:rFonts w:ascii="Times New Roman" w:hAnsi="Times New Roman"/>
          <w:color w:val="000000" w:themeColor="text1"/>
          <w14:textFill>
            <w14:solidFill>
              <w14:schemeClr w14:val="tx1"/>
            </w14:solidFill>
          </w14:textFill>
        </w:rPr>
        <w:t>1998</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2006</w:t>
      </w:r>
      <w:r>
        <w:rPr>
          <w:rFonts w:hint="eastAsia" w:ascii="宋体" w:hAnsi="宋体"/>
          <w:color w:val="000000" w:themeColor="text1"/>
          <w14:textFill>
            <w14:solidFill>
              <w14:schemeClr w14:val="tx1"/>
            </w14:solidFill>
          </w14:textFill>
        </w:rPr>
        <w:t>年，中国的消费率一直低于</w:t>
      </w:r>
      <w:r>
        <w:rPr>
          <w:rFonts w:ascii="Times New Roman" w:hAnsi="Times New Roman"/>
          <w:color w:val="000000" w:themeColor="text1"/>
          <w14:textFill>
            <w14:solidFill>
              <w14:schemeClr w14:val="tx1"/>
            </w14:solidFill>
          </w14:textFill>
        </w:rPr>
        <w:t>62%</w:t>
      </w:r>
      <w:r>
        <w:rPr>
          <w:rFonts w:hint="eastAsia" w:ascii="宋体" w:hAnsi="宋体"/>
          <w:color w:val="000000" w:themeColor="text1"/>
          <w14:textFill>
            <w14:solidFill>
              <w14:schemeClr w14:val="tx1"/>
            </w14:solidFill>
          </w14:textFill>
        </w:rPr>
        <w:t>，而同期世界平均的消费率为</w:t>
      </w:r>
      <w:r>
        <w:rPr>
          <w:rFonts w:ascii="Times New Roman" w:hAnsi="Times New Roman"/>
          <w:color w:val="000000" w:themeColor="text1"/>
          <w14:textFill>
            <w14:solidFill>
              <w14:schemeClr w14:val="tx1"/>
            </w14:solidFill>
          </w14:textFill>
        </w:rPr>
        <w:t>75%</w:t>
      </w:r>
      <w:r>
        <w:rPr>
          <w:rFonts w:hint="eastAsia" w:ascii="宋体" w:hAnsi="宋体"/>
          <w:color w:val="000000" w:themeColor="text1"/>
          <w14:textFill>
            <w14:solidFill>
              <w14:schemeClr w14:val="tx1"/>
            </w14:solidFill>
          </w14:textFill>
        </w:rPr>
        <w:t>左右，其中发达国家的消费率为</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。在中国的最终消费结构中，居民消费和政府消费呈现此消彼长的关系。自</w:t>
      </w:r>
      <w:r>
        <w:rPr>
          <w:rFonts w:ascii="Times New Roman" w:hAnsi="Times New Roman"/>
          <w:color w:val="000000" w:themeColor="text1"/>
          <w14:textFill>
            <w14:solidFill>
              <w14:schemeClr w14:val="tx1"/>
            </w14:solidFill>
          </w14:textFill>
        </w:rPr>
        <w:t>2000</w:t>
      </w:r>
      <w:r>
        <w:rPr>
          <w:rFonts w:hint="eastAsia" w:ascii="宋体" w:hAnsi="宋体"/>
          <w:color w:val="000000" w:themeColor="text1"/>
          <w14:textFill>
            <w14:solidFill>
              <w14:schemeClr w14:val="tx1"/>
            </w14:solidFill>
          </w14:textFill>
        </w:rPr>
        <w:t>年以来，我国居民消费率的增长落后于固定资产增长和</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增长。这主要是中国经济的高增长主要靠高速增长的固定资产投资支撑的发展模式造成的。</w:t>
      </w:r>
    </w:p>
    <w:p w14:paraId="41998F91">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上述两种观点看似矛盾，实则不然。我国居民消费倾向低的原因是政府的社会保障支出比重太低；而政府消费增长过快导致居民消费下降，说明我国政府的支出结构不合理。如果政府能够压缩行政开支，增加社会保障支出，提高财政支出的效率，上述两方面的问题都可以被克服。</w:t>
      </w:r>
    </w:p>
    <w:p w14:paraId="347B88A9">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我国政府支出中存在的问题和对策。政府支付的规模和结构会对城镇居民和农村居民的消费倾向产生影响，进而影响到社会总需求。我国功能收入分配、规模收入分配和产出最终使用中存在的很多问题，都要求控制财政支出增长速度，优化财政支出结构。</w:t>
      </w:r>
    </w:p>
    <w:p w14:paraId="03DD5B78">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首先，控制财政支出增长速度，使财政支出和经济增长相适应。根据世界银行的统计，人均</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国民收入小于</w:t>
      </w:r>
      <w:r>
        <w:rPr>
          <w:rFonts w:ascii="Times New Roman" w:hAnsi="Times New Roman"/>
          <w:color w:val="000000" w:themeColor="text1"/>
          <w14:textFill>
            <w14:solidFill>
              <w14:schemeClr w14:val="tx1"/>
            </w14:solidFill>
          </w14:textFill>
        </w:rPr>
        <w:t>3000</w:t>
      </w:r>
      <w:r>
        <w:rPr>
          <w:rFonts w:hint="eastAsia" w:ascii="宋体" w:hAnsi="宋体"/>
          <w:color w:val="000000" w:themeColor="text1"/>
          <w14:textFill>
            <w14:solidFill>
              <w14:schemeClr w14:val="tx1"/>
            </w14:solidFill>
          </w14:textFill>
        </w:rPr>
        <w:t>美元的国家财政占</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的比重一般为</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；人均</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为</w:t>
      </w:r>
      <w:r>
        <w:rPr>
          <w:rFonts w:ascii="Times New Roman" w:hAnsi="Times New Roman"/>
          <w:color w:val="000000" w:themeColor="text1"/>
          <w14:textFill>
            <w14:solidFill>
              <w14:schemeClr w14:val="tx1"/>
            </w14:solidFill>
          </w14:textFill>
        </w:rPr>
        <w:t>3000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10000</w:t>
      </w:r>
      <w:r>
        <w:rPr>
          <w:rFonts w:hint="eastAsia" w:ascii="宋体" w:hAnsi="宋体"/>
          <w:color w:val="000000" w:themeColor="text1"/>
          <w14:textFill>
            <w14:solidFill>
              <w14:schemeClr w14:val="tx1"/>
            </w14:solidFill>
          </w14:textFill>
        </w:rPr>
        <w:t>美元的国家一般为</w:t>
      </w:r>
      <w:r>
        <w:rPr>
          <w:rFonts w:ascii="Times New Roman" w:hAnsi="Times New Roman"/>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40%</w:t>
      </w:r>
      <w:r>
        <w:rPr>
          <w:rFonts w:hint="eastAsia" w:ascii="宋体" w:hAnsi="宋体"/>
          <w:color w:val="000000" w:themeColor="text1"/>
          <w14:textFill>
            <w14:solidFill>
              <w14:schemeClr w14:val="tx1"/>
            </w14:solidFill>
          </w14:textFill>
        </w:rPr>
        <w:t>；人均国民收入大于</w:t>
      </w:r>
      <w:r>
        <w:rPr>
          <w:rFonts w:ascii="Times New Roman" w:hAnsi="Times New Roman"/>
          <w:color w:val="000000" w:themeColor="text1"/>
          <w14:textFill>
            <w14:solidFill>
              <w14:schemeClr w14:val="tx1"/>
            </w14:solidFill>
          </w14:textFill>
        </w:rPr>
        <w:t>20000</w:t>
      </w:r>
      <w:r>
        <w:rPr>
          <w:rFonts w:hint="eastAsia" w:ascii="宋体" w:hAnsi="宋体"/>
          <w:color w:val="000000" w:themeColor="text1"/>
          <w14:textFill>
            <w14:solidFill>
              <w14:schemeClr w14:val="tx1"/>
            </w14:solidFill>
          </w14:textFill>
        </w:rPr>
        <w:t>美元的国家，该比重一般为</w:t>
      </w:r>
      <w:r>
        <w:rPr>
          <w:rFonts w:ascii="Times New Roman" w:hAnsi="Times New Roman"/>
          <w:color w:val="000000" w:themeColor="text1"/>
          <w14:textFill>
            <w14:solidFill>
              <w14:schemeClr w14:val="tx1"/>
            </w14:solidFill>
          </w14:textFill>
        </w:rPr>
        <w:t>40%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60%</w:t>
      </w:r>
      <w:r>
        <w:rPr>
          <w:rFonts w:hint="eastAsia" w:ascii="宋体" w:hAnsi="宋体"/>
          <w:color w:val="000000" w:themeColor="text1"/>
          <w14:textFill>
            <w14:solidFill>
              <w14:schemeClr w14:val="tx1"/>
            </w14:solidFill>
          </w14:textFill>
        </w:rPr>
        <w:t>。根据我国的人均</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水平，我国的财政占</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的比重应该在</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之间。</w:t>
      </w:r>
    </w:p>
    <w:p w14:paraId="57F14349">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根据郭彦卿等人的研究，</w:t>
      </w:r>
      <w:r>
        <w:rPr>
          <w:rFonts w:ascii="Times New Roman" w:hAnsi="Times New Roman"/>
          <w:color w:val="000000" w:themeColor="text1"/>
          <w14:textFill>
            <w14:solidFill>
              <w14:schemeClr w14:val="tx1"/>
            </w14:solidFill>
          </w14:textFill>
        </w:rPr>
        <w:t>1978</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1992</w:t>
      </w:r>
      <w:r>
        <w:rPr>
          <w:rFonts w:hint="eastAsia" w:ascii="宋体" w:hAnsi="宋体"/>
          <w:color w:val="000000" w:themeColor="text1"/>
          <w14:textFill>
            <w14:solidFill>
              <w14:schemeClr w14:val="tx1"/>
            </w14:solidFill>
          </w14:textFill>
        </w:rPr>
        <w:t>年，我国财政收入规模占</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的比重为</w:t>
      </w:r>
      <w:r>
        <w:rPr>
          <w:rFonts w:ascii="Times New Roman" w:hAnsi="Times New Roman"/>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之间，均值为</w:t>
      </w:r>
      <w:r>
        <w:rPr>
          <w:rFonts w:ascii="Times New Roman" w:hAnsi="Times New Roman"/>
          <w:color w:val="000000" w:themeColor="text1"/>
          <w14:textFill>
            <w14:solidFill>
              <w14:schemeClr w14:val="tx1"/>
            </w14:solidFill>
          </w14:textFill>
        </w:rPr>
        <w:t>37%</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1993</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1999</w:t>
      </w:r>
      <w:r>
        <w:rPr>
          <w:rFonts w:hint="eastAsia" w:ascii="宋体" w:hAnsi="宋体"/>
          <w:color w:val="000000" w:themeColor="text1"/>
          <w14:textFill>
            <w14:solidFill>
              <w14:schemeClr w14:val="tx1"/>
            </w14:solidFill>
          </w14:textFill>
        </w:rPr>
        <w:t>年这一比重下降为</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以下，均值为</w:t>
      </w:r>
      <w:r>
        <w:rPr>
          <w:rFonts w:ascii="Times New Roman" w:hAnsi="Times New Roman"/>
          <w:color w:val="000000" w:themeColor="text1"/>
          <w14:textFill>
            <w14:solidFill>
              <w14:schemeClr w14:val="tx1"/>
            </w14:solidFill>
          </w14:textFill>
        </w:rPr>
        <w:t>17%</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2000</w:t>
      </w:r>
      <w:r>
        <w:rPr>
          <w:rFonts w:hint="eastAsia" w:ascii="宋体" w:hAnsi="宋体"/>
          <w:color w:val="000000" w:themeColor="text1"/>
          <w14:textFill>
            <w14:solidFill>
              <w14:schemeClr w14:val="tx1"/>
            </w14:solidFill>
          </w14:textFill>
        </w:rPr>
        <w:t>年以来这一比重稳定在</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以上，均值为</w:t>
      </w:r>
      <w:r>
        <w:rPr>
          <w:rFonts w:ascii="Times New Roman" w:hAnsi="Times New Roman"/>
          <w:color w:val="000000" w:themeColor="text1"/>
          <w14:textFill>
            <w14:solidFill>
              <w14:schemeClr w14:val="tx1"/>
            </w14:solidFill>
          </w14:textFill>
        </w:rPr>
        <w:t>23%</w:t>
      </w:r>
      <w:r>
        <w:rPr>
          <w:rFonts w:hint="eastAsia" w:ascii="宋体" w:hAnsi="宋体"/>
          <w:color w:val="000000" w:themeColor="text1"/>
          <w14:textFill>
            <w14:solidFill>
              <w14:schemeClr w14:val="tx1"/>
            </w14:solidFill>
          </w14:textFill>
        </w:rPr>
        <w:t>。从这一比重来看，我国的财政收入占</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比重似乎保持在一个合理的区间。但有些学者认为，我国的财政收入统计存在漏出量，导致实际财政比例可能更高。这些未被统计的财政收入包括：预算外收入、没有纳入预算外管理的制度外收入以及地方政府和事业单位自行决定征收的各种收入，如各种费用收入、价外加价、基金、集资、摊派等等。有鉴于此，一些经济学家基于新自由主义经济主张，认为我国应该限制政府支出规模。</w:t>
      </w:r>
    </w:p>
    <w:p w14:paraId="611C1F2C">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新自由主义经济学家们主张限制政府、减少政府对市场的干预。这是一个过于理想化的方案。其实即便在美国等西方资本主义国家，政府规模也在不断扩大，政府支出占</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的比重也居高不下。按照德国经济学家瓦格纳</w:t>
      </w:r>
      <w:r>
        <w:rPr>
          <w:rFonts w:ascii="Times New Roman" w:hAnsi="Times New Roman"/>
          <w:color w:val="000000" w:themeColor="text1"/>
          <w14:textFill>
            <w14:solidFill>
              <w14:schemeClr w14:val="tx1"/>
            </w14:solidFill>
          </w14:textFill>
        </w:rPr>
        <w:t>1882</w:t>
      </w:r>
      <w:r>
        <w:rPr>
          <w:rFonts w:hint="eastAsia" w:ascii="宋体" w:hAnsi="宋体"/>
          <w:color w:val="000000" w:themeColor="text1"/>
          <w14:textFill>
            <w14:solidFill>
              <w14:schemeClr w14:val="tx1"/>
            </w14:solidFill>
          </w14:textFill>
        </w:rPr>
        <w:t>年一条著名的瓦格纳法则的预测，未来政府的支出规模只会继续增加。该法则认为，一国政府职能的扩大与国民收入之间存在正向的函数关系。随着经济的发展，国家的职能也会不断扩大，为保证行使国家职能，公共支出的比重也会增加。这一法则也被称为“公共支出不断增长法则”或“政府活动扩张法则”。人类社会在进入工业化、城市化以后，人与人的交往范围日益扩大，社会生活的公共领域不断扩大，公共支出比重确实也在增长，这似乎验证了瓦格纳法则。</w:t>
      </w:r>
    </w:p>
    <w:p w14:paraId="3771DD68">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如果瓦格纳法则是正确的，未来我国的财政收入规模不但不会降低，反而会继续上升。因而在长期内削减财政支出的政策建议可能并不符合社会发展的实际。但是，在短期内，适当限制政府支出的过快增长，有利于政府提高财政支出效率。近年来我国税收收入大幅增加，</w:t>
      </w:r>
      <w:r>
        <w:rPr>
          <w:rFonts w:ascii="Times New Roman" w:hAnsi="Times New Roman"/>
          <w:color w:val="000000" w:themeColor="text1"/>
          <w14:textFill>
            <w14:solidFill>
              <w14:schemeClr w14:val="tx1"/>
            </w14:solidFill>
          </w14:textFill>
        </w:rPr>
        <w:t>2000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2006</w:t>
      </w:r>
      <w:r>
        <w:rPr>
          <w:rFonts w:hint="eastAsia" w:ascii="宋体" w:hAnsi="宋体"/>
          <w:color w:val="000000" w:themeColor="text1"/>
          <w14:textFill>
            <w14:solidFill>
              <w14:schemeClr w14:val="tx1"/>
            </w14:solidFill>
          </w14:textFill>
        </w:rPr>
        <w:t>年，我国税收收入年均增长达到</w:t>
      </w:r>
      <w:r>
        <w:rPr>
          <w:rFonts w:ascii="Times New Roman" w:hAnsi="Times New Roman"/>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，远高于</w:t>
      </w:r>
      <w:r>
        <w:rPr>
          <w:rFonts w:ascii="Times New Roman" w:hAnsi="Times New Roman"/>
          <w:color w:val="000000" w:themeColor="text1"/>
          <w14:textFill>
            <w14:solidFill>
              <w14:schemeClr w14:val="tx1"/>
            </w14:solidFill>
          </w14:textFill>
        </w:rPr>
        <w:t>GDP</w:t>
      </w:r>
      <w:r>
        <w:rPr>
          <w:rFonts w:hint="eastAsia" w:ascii="宋体" w:hAnsi="宋体"/>
          <w:color w:val="000000" w:themeColor="text1"/>
          <w14:textFill>
            <w14:solidFill>
              <w14:schemeClr w14:val="tx1"/>
            </w14:solidFill>
          </w14:textFill>
        </w:rPr>
        <w:t>的增幅。把财政支付的增长控制在适度范围内，使财政支出和经济增长相适应，规范财政收入，降低财政预算外收入，是我国财政规模应解决的主要问题。</w:t>
      </w:r>
    </w:p>
    <w:p w14:paraId="62DEFC6C">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次，优化财政支出结构，增强政府支出的透明度。我国财政支出的主要问题不是财政支出规模，而是财政支出结构。我国政府支出结构存在诸多不合理之处。一方面，我国财政支出中非生产性支出增长过快；另一方面，公共服务和社会保障转移支付又严重不足。</w:t>
      </w:r>
    </w:p>
    <w:p w14:paraId="0E4EA047">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韩贵英等人的研究发现，我国财政支出中，行政管理费支出呈逐年上升的趋势。</w:t>
      </w:r>
      <w:r>
        <w:rPr>
          <w:rFonts w:ascii="Times New Roman" w:hAnsi="Times New Roman"/>
          <w:color w:val="000000" w:themeColor="text1"/>
          <w14:textFill>
            <w14:solidFill>
              <w14:schemeClr w14:val="tx1"/>
            </w14:solidFill>
          </w14:textFill>
        </w:rPr>
        <w:t>1998</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2002</w:t>
      </w:r>
      <w:r>
        <w:rPr>
          <w:rFonts w:hint="eastAsia" w:ascii="宋体" w:hAnsi="宋体"/>
          <w:color w:val="000000" w:themeColor="text1"/>
          <w14:textFill>
            <w14:solidFill>
              <w14:schemeClr w14:val="tx1"/>
            </w14:solidFill>
          </w14:textFill>
        </w:rPr>
        <w:t>年，我国的行政管理支出费用在财政支出中的比重年均超过了</w:t>
      </w:r>
      <w:r>
        <w:rPr>
          <w:rFonts w:ascii="Times New Roman" w:hAnsi="Times New Roman"/>
          <w:color w:val="000000" w:themeColor="text1"/>
          <w14:textFill>
            <w14:solidFill>
              <w14:schemeClr w14:val="tx1"/>
            </w14:solidFill>
          </w14:textFill>
        </w:rPr>
        <w:t>14%</w:t>
      </w:r>
      <w:r>
        <w:rPr>
          <w:rFonts w:hint="eastAsia" w:ascii="宋体" w:hAnsi="宋体"/>
          <w:color w:val="000000" w:themeColor="text1"/>
          <w14:textFill>
            <w14:solidFill>
              <w14:schemeClr w14:val="tx1"/>
            </w14:solidFill>
          </w14:textFill>
        </w:rPr>
        <w:t>，明显高于其他国家。韩贵英等人认为，政府机构和人员编制急剧膨胀是行政管理支出比重急剧上升的原因。许雄奇、朱秋白认为，我国财政投资在总量增加的同时，质量却有所下降。财政支出缺乏宏观调控，投资结构失调，重复建设、盲目建设项目多，政府运转人员的薪金、行政费用消耗了财政收入增长的很大比例，因而造成财政支出效率降低。</w:t>
      </w:r>
    </w:p>
    <w:p w14:paraId="213B28D1">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目前我国的财政支出中，教育、科技、文化、卫生、广播电视、社会保障及环保支出占财政总支出的比重依然较小。这些支出具有很强的社会效应和外部效应。这些支出的不足导致我国公共物品和公共服务供给不足，严重影响了经济和社会的发展。未来中国政府面临的一个重大挑战是政府职能如何实现转型，如何提高政府效率，转变为服务型政府。要实现这一转变，必须增加政府收入和支出的透明度，加强财政收支的社会监督。</w:t>
      </w:r>
    </w:p>
    <w:p w14:paraId="6C958121">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综上所述，政府是国民收入分配的重要经济主体。政府活动通过财政收入与支出，以及相关的法律法规，对功能收入分配和规模收入分配起着重要的引导作用。发展经济学研究早已表明，政府要么在经济发展中起着重要的促进作用，要么在经济发展中起着严重的阻碍作用。新自由主义力图在经济中去掉政府的作用，这根本不符合市场经济发展的要求。市场经济发展的要求，是要规范，而不是去除政府作用。我国未来的收入分配是否合理，经济能够健康稳步发展，关键取决于政府对市场经济的作用机制能否规范。</w:t>
      </w:r>
    </w:p>
    <w:p w14:paraId="7B012EC6">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 xml:space="preserve"> </w:t>
      </w:r>
    </w:p>
    <w:p w14:paraId="446E8CC4">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（原载于《马克思主义研究》</w:t>
      </w:r>
      <w:r>
        <w:rPr>
          <w:rFonts w:ascii="Times New Roman" w:hAnsi="Times New Roman"/>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年第</w:t>
      </w:r>
      <w:r>
        <w:rPr>
          <w:rFonts w:ascii="Times New Roman" w:hAnsi="Times New Roman"/>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期，第二作者为胡靖春，第三作者为侯和宏）</w:t>
      </w:r>
    </w:p>
    <w:p w14:paraId="34209B84">
      <w:pPr>
        <w:spacing w:line="400" w:lineRule="exact"/>
        <w:ind w:firstLine="420" w:firstLineChars="200"/>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 xml:space="preserve"> </w:t>
      </w:r>
    </w:p>
    <w:p w14:paraId="3337D1BF">
      <w:pPr>
        <w:pStyle w:val="3"/>
        <w:ind w:firstLine="640" w:firstLineChars="200"/>
        <w:outlineLvl w:val="1"/>
        <w:rPr>
          <w:rFonts w:hint="eastAsia"/>
          <w:color w:val="000000" w:themeColor="text1"/>
          <w14:textFill>
            <w14:solidFill>
              <w14:schemeClr w14:val="tx1"/>
            </w14:solidFill>
          </w14:textFill>
        </w:rPr>
      </w:pPr>
      <w:bookmarkStart w:id="1389" w:name="_Toc501119860"/>
      <w:bookmarkEnd w:id="1389"/>
      <w:bookmarkStart w:id="1390" w:name="_Toc21878"/>
      <w:bookmarkEnd w:id="1390"/>
      <w:bookmarkStart w:id="1391" w:name="_Toc2479"/>
      <w:bookmarkEnd w:id="1391"/>
      <w:bookmarkStart w:id="1392" w:name="_Toc30514"/>
      <w:bookmarkEnd w:id="1392"/>
      <w:bookmarkStart w:id="1393" w:name="_Toc1543"/>
      <w:bookmarkEnd w:id="1393"/>
      <w:bookmarkStart w:id="1394" w:name="_Toc93074688"/>
      <w:bookmarkEnd w:id="1394"/>
      <w:bookmarkStart w:id="1395" w:name="_Toc5084"/>
      <w:bookmarkEnd w:id="1395"/>
      <w:bookmarkStart w:id="1396" w:name="_Toc93074690"/>
      <w:bookmarkEnd w:id="1396"/>
      <w:bookmarkStart w:id="1397" w:name="_Toc6102"/>
      <w:bookmarkEnd w:id="1397"/>
      <w:bookmarkStart w:id="1398" w:name="_Toc27982"/>
      <w:bookmarkEnd w:id="1398"/>
      <w:bookmarkStart w:id="1399" w:name="_Toc114057780"/>
      <w:bookmarkStart w:id="1400" w:name="_Toc9997"/>
      <w:bookmarkStart w:id="1401" w:name="_Toc6105"/>
      <w:bookmarkStart w:id="1402" w:name="_Toc899394315"/>
      <w:bookmarkStart w:id="1403" w:name="_Toc1012543984"/>
      <w:bookmarkStart w:id="1404" w:name="_Toc22470"/>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0</w:t>
      </w:r>
      <w:r>
        <w:rPr>
          <w:rFonts w:ascii="黑体" w:hAnsi="黑体"/>
          <w:color w:val="000000" w:themeColor="text1"/>
          <w14:textFill>
            <w14:solidFill>
              <w14:schemeClr w14:val="tx1"/>
            </w14:solidFill>
          </w14:textFill>
        </w:rPr>
        <w:t>直面中国七大社会理论思潮</w:t>
      </w:r>
      <w:bookmarkEnd w:id="1399"/>
      <w:bookmarkEnd w:id="1400"/>
      <w:bookmarkEnd w:id="1401"/>
      <w:bookmarkEnd w:id="1402"/>
      <w:bookmarkEnd w:id="1403"/>
    </w:p>
    <w:p w14:paraId="1DC822D6">
      <w:pPr>
        <w:pStyle w:val="6"/>
        <w:spacing w:line="400" w:lineRule="exact"/>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当前我国有七大社会思潮互相激荡，互相批评。总的来说，我们应以马列主义及其中国化理论来指导我们的学术研究、政策研究和体制机制研究。思想政治教育的研究无法脱离当代中外各种思潮这一大环境。</w:t>
      </w:r>
    </w:p>
    <w:p w14:paraId="751974F6">
      <w:pPr>
        <w:spacing w:before="147" w:beforeLines="50" w:after="147" w:afterLines="50" w:line="400" w:lineRule="exact"/>
        <w:ind w:firstLine="480" w:firstLineChars="200"/>
        <w:jc w:val="center"/>
        <w:rPr>
          <w:rFonts w:hint="eastAsia" w:ascii="宋体" w:hAnsi="宋体"/>
          <w:b/>
          <w:bCs/>
          <w:color w:val="000000" w:themeColor="text1"/>
          <w:sz w:val="24"/>
          <w:szCs w:val="24"/>
          <w14:textFill>
            <w14:solidFill>
              <w14:schemeClr w14:val="tx1"/>
            </w14:solidFill>
          </w14:textFill>
        </w:rPr>
      </w:pPr>
      <w:bookmarkStart w:id="1405" w:name="_Toc14625"/>
      <w:bookmarkEnd w:id="1405"/>
      <w:bookmarkStart w:id="1406" w:name="_Toc20331"/>
      <w:bookmarkEnd w:id="1406"/>
      <w:bookmarkStart w:id="1407" w:name="_Toc8766"/>
      <w:bookmarkEnd w:id="1407"/>
      <w:bookmarkStart w:id="1408" w:name="_Toc7093"/>
      <w:bookmarkEnd w:id="1408"/>
      <w:bookmarkStart w:id="1409" w:name="_Toc31893"/>
      <w:r>
        <w:rPr>
          <w:rFonts w:hint="eastAsia" w:ascii="宋体" w:hAnsi="宋体"/>
          <w:b/>
          <w:bCs/>
          <w:color w:val="000000" w:themeColor="text1"/>
          <w:sz w:val="24"/>
          <w:szCs w:val="24"/>
          <w14:textFill>
            <w14:solidFill>
              <w14:schemeClr w14:val="tx1"/>
            </w14:solidFill>
          </w14:textFill>
        </w:rPr>
        <w:t>一、新自由主义思潮</w:t>
      </w:r>
      <w:bookmarkEnd w:id="1409"/>
    </w:p>
    <w:p w14:paraId="7B1D0BB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新自由主义思潮，也称新保守主义思潮。它属于反映私有跨国公司利益的国际垄断资本主义思潮，核心思想可简要概括为非调控化、私有化、自由化和福利个人化。新自由主义在各国包括我国意识形态领域的渗透比较广泛。对新自由主义的批评要长流水、不断线，要抵御对改革的负面影响，以免我们自觉不自觉地受其影响。</w:t>
      </w:r>
    </w:p>
    <w:p w14:paraId="03F1690C">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新自由主义维护美国等发达国家主导下的经济全球化，反对建立国际经济新秩序。从现阶段经济全球化的一个特征来看，经济全球化是美国等发达资本主义国家主导下的经济关系在全球的扩张。这个扩张化的趋势，会带来经济全球化不公正。</w:t>
      </w:r>
    </w:p>
    <w:p w14:paraId="79A4CE2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福利个人化，反对建立福利国家。改革不能降低群众福利水平。有一项统计资料证明，新自由主义主导下的所谓的改革等等，最近二三十年，劳动生产力大幅提高，科技革命创造大量财富，可是大部分被以CEO为主的资产阶级及其代理人获得，劳动人民、公众的财富和收入增长很少。各国贫富两极分化在不断拉大，其主要原因就是受新自由主义的影响。</w:t>
      </w:r>
    </w:p>
    <w:p w14:paraId="08E562B4">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以香港大学张五常教授为代表的学者，主张全盘私有化，私有化程度越深越好，反对公有制，宣扬私有“产权神化”理论。以为只要一搞私有制、私有化，效率就会上去，把私有制作为西方产权理论的唯一因素。在诺贝尔经济学奖得主斯蒂格利茨看来，私有化是必要条件不是充分条件，产权它只是影响经济发展的因素之一。而在我们看来，产权是不是首要因素，还要与别的因素进行比较之后才能确定。</w:t>
      </w:r>
    </w:p>
    <w:p w14:paraId="3444075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在某些中外学者和政治家的用语中，私有化、非公有化、民营化是一个概念。北京大学张维迎教授用中英文发表了两篇文章，一篇是《中国改革的方向一一私有化〉〉（英文），一篇是《中国改革的方向一一民营化＞〉（中文）。我们要警惕在民营化的口号下实施私有化。</w:t>
      </w:r>
    </w:p>
    <w:p w14:paraId="0F6C0DDE">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以日韩为例，国家主导型的市场经济是其过去经济快速发展的主要或首要原因，后来，日韩经济出了问题，特别是日本经济问题还比较严重，那不是政府或国家科学主导和调控的结果，而是新自由主义主导的结果。日本的一些经济学家从美国等国外学成回到日本以后，就宣传新自由主义，把日本经济搞得一蹶不振，拉美也是如此一样。日本新自由主义代表性的人物中谷岩，出了一本书《资本主义为什么会自我崩溃？一一新自由主义的忏悔〉〉，他宣布放弃新自由主义信仰。</w:t>
      </w:r>
    </w:p>
    <w:p w14:paraId="51EE6781">
      <w:pPr>
        <w:spacing w:before="147" w:beforeLines="50" w:after="147" w:afterLines="50" w:line="400" w:lineRule="exact"/>
        <w:ind w:firstLine="480" w:firstLineChars="200"/>
        <w:jc w:val="center"/>
        <w:rPr>
          <w:rFonts w:hint="eastAsia" w:hAnsi="宋体"/>
          <w:b/>
          <w:bCs/>
          <w:color w:val="000000" w:themeColor="text1"/>
          <w14:textFill>
            <w14:solidFill>
              <w14:schemeClr w14:val="tx1"/>
            </w14:solidFill>
          </w14:textFill>
        </w:rPr>
      </w:pPr>
      <w:bookmarkStart w:id="1410" w:name="_Toc5250"/>
      <w:bookmarkEnd w:id="1410"/>
      <w:bookmarkStart w:id="1411" w:name="_Toc25635"/>
      <w:bookmarkEnd w:id="1411"/>
      <w:bookmarkStart w:id="1412" w:name="_Toc30859"/>
      <w:bookmarkEnd w:id="1412"/>
      <w:bookmarkStart w:id="1413" w:name="_Toc681"/>
      <w:bookmarkEnd w:id="1413"/>
      <w:bookmarkStart w:id="1414" w:name="_Toc3476"/>
      <w:r>
        <w:rPr>
          <w:rFonts w:hint="eastAsia" w:ascii="宋体" w:hAnsi="宋体"/>
          <w:b/>
          <w:bCs/>
          <w:color w:val="000000" w:themeColor="text1"/>
          <w:sz w:val="24"/>
          <w:szCs w:val="24"/>
          <w14:textFill>
            <w14:solidFill>
              <w14:schemeClr w14:val="tx1"/>
            </w14:solidFill>
          </w14:textFill>
        </w:rPr>
        <w:t>二、民主社会主义思潮</w:t>
      </w:r>
      <w:bookmarkEnd w:id="1414"/>
    </w:p>
    <w:p w14:paraId="78578AB4">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民主社会主义，在指导思想上，是文艺复兴时期、法国大革命时期、凯恩斯主义时期等思想大杂绘。其次，在政治层面，主张资产阶级多党制。再次，在经济制度上，主张私有制占主体。</w:t>
      </w:r>
    </w:p>
    <w:p w14:paraId="3E4D1478">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民主社会主义，其指导思想和价值体系是多元化的，是混乱的，总体上也属于资产阶级价值体系，崇尚个人主义。至于对外关系，比如说英国工党，就是社民党的民主社会主义的主要政党，它跟着美国发动战争，不是真正主张和平和谐。</w:t>
      </w:r>
    </w:p>
    <w:p w14:paraId="139ACB93">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社民党不是新的东西，国民党实际上就属于这种思想体系。蔡和森也说过，三民主义是小资产阶级思想体系。民主社会主义和中国特色社会主义不可能相提并论，有本质区别，但是在中国有个别人极力主张西方的民主社会主义。很有代表性的是中国人民大学原副校长谢韬教授，在2007年第2期《炎黄春秋》发表的《民主社会主义模式与中国前途》。</w:t>
      </w:r>
    </w:p>
    <w:p w14:paraId="766272C6">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当前，民主社会主义最有影响的国家就是瑞典。瑞典仍然是一个垄断资本主义国家，100个大企业垄断了经济的80%,贫富差距分化，只不过总体福利水平比较高。瑞典社民党的民主社会主义经历了理论和政策主张发展三部曲，第一阶段叫福利社会主义，实行高福利。第二阶段叫职能社会主义，主张社会主义发挥其基本职能，比如强调计划，抑制市场的不良影响、负面效应，等等。第三阶段叫基金社会主义。当你要动资本家所有制这个问题，而不是简单地多收一点税的时候，阶级矛盾就会激化，便难以实现。</w:t>
      </w:r>
    </w:p>
    <w:p w14:paraId="6072E12E">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民主社会主义者提出发展混合经济私有制。混合经济是有不同主体的，它是两个混合，第一个是私有制和公有制的混合，第二是计划和市场的混合。当代资本主义经济是私有制为主体的混合经济，所以叫资本主义经济制度。我国也是混合经济，是公有制为主体的混合经济，所以叫社会主义初级阶段，两者不一样。</w:t>
      </w:r>
    </w:p>
    <w:p w14:paraId="0D4EB534">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1998年，国内民主社会主义者就发表观点，社会主义等于社会公正加市场经济。吴敬琏等人提出市场化改革，实际上主张的是一种泛市场化，不赞成社会主义国家许多必须的宏观调控或者国家调节。其实，国家调节并不都是宏观行为和政府调节，还要包括人大调节和微观调节。</w:t>
      </w:r>
    </w:p>
    <w:p w14:paraId="69BE254B">
      <w:pPr>
        <w:spacing w:before="147" w:beforeLines="50" w:after="147" w:afterLines="50" w:line="400" w:lineRule="exact"/>
        <w:ind w:firstLine="480" w:firstLineChars="200"/>
        <w:jc w:val="center"/>
        <w:rPr>
          <w:rFonts w:hint="eastAsia" w:hAnsi="宋体"/>
          <w:b/>
          <w:bCs/>
          <w:color w:val="000000" w:themeColor="text1"/>
          <w14:textFill>
            <w14:solidFill>
              <w14:schemeClr w14:val="tx1"/>
            </w14:solidFill>
          </w14:textFill>
        </w:rPr>
      </w:pPr>
      <w:bookmarkStart w:id="1415" w:name="_Toc26850"/>
      <w:bookmarkEnd w:id="1415"/>
      <w:bookmarkStart w:id="1416" w:name="_Toc22395"/>
      <w:bookmarkEnd w:id="1416"/>
      <w:bookmarkStart w:id="1417" w:name="_Toc19380"/>
      <w:bookmarkEnd w:id="1417"/>
      <w:bookmarkStart w:id="1418" w:name="_Toc26529"/>
      <w:bookmarkEnd w:id="1418"/>
      <w:bookmarkStart w:id="1419" w:name="_Toc28970"/>
      <w:r>
        <w:rPr>
          <w:rFonts w:hint="eastAsia" w:ascii="宋体" w:hAnsi="宋体"/>
          <w:b/>
          <w:bCs/>
          <w:color w:val="000000" w:themeColor="text1"/>
          <w:sz w:val="24"/>
          <w:szCs w:val="24"/>
          <w14:textFill>
            <w14:solidFill>
              <w14:schemeClr w14:val="tx1"/>
            </w14:solidFill>
          </w14:textFill>
        </w:rPr>
        <w:t>三、新左派思潮</w:t>
      </w:r>
      <w:bookmarkEnd w:id="1419"/>
    </w:p>
    <w:p w14:paraId="0A51B242">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新左派或者叫新左翼思潮，学术界经常有文章讨论新左派与自由派之间的区别。新左派理论上不成熟，容易走极端。相比之下，新右派是非常老道的。如果外行去看的话，很多人会赞成自由派的观点，不会赞成新左派的观点。</w:t>
      </w:r>
    </w:p>
    <w:p w14:paraId="56D729DF">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新左派总的来说，是新马派的学术同盟军。代表人物之一是清华大学的崔之元教授，《自由社会主义与中国的未来：小资产阶级社会主义宣言》。小资产阶级社会主义宣言，又名自由社会主义宣言。当然，现在他的观点有重要变化，也赞成中国特色社会主义。北京航天航空大学管理系副教授韩德强也是新左派的代表人物，并创办了这一思潮的代表性网站乌有之乡网站，颇有影响。</w:t>
      </w:r>
    </w:p>
    <w:p w14:paraId="2183266A">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郎咸平教授实质上是三民主义观点，他把他自己与北京大学张维迎、周其仁等教授的争论，归纳为新自由主义和新法制主义之间的争论。他具有很强的爱国主义、民族精神，在非马克思主义学术领域，郎咸平教授的观点最值得重视。新左派是新马派的同盟军，具有一定的思想进步性和不成熟性。</w:t>
      </w:r>
    </w:p>
    <w:p w14:paraId="6DE6AC8D">
      <w:pPr>
        <w:spacing w:before="147" w:beforeLines="50" w:after="147" w:afterLines="50" w:line="400" w:lineRule="exact"/>
        <w:ind w:firstLine="480" w:firstLineChars="200"/>
        <w:jc w:val="center"/>
        <w:rPr>
          <w:rFonts w:hint="eastAsia" w:ascii="宋体" w:hAnsi="宋体"/>
          <w:b/>
          <w:bCs/>
          <w:color w:val="000000" w:themeColor="text1"/>
          <w:sz w:val="24"/>
          <w:szCs w:val="24"/>
          <w14:textFill>
            <w14:solidFill>
              <w14:schemeClr w14:val="tx1"/>
            </w14:solidFill>
          </w14:textFill>
        </w:rPr>
      </w:pPr>
      <w:bookmarkStart w:id="1420" w:name="_Toc27720"/>
      <w:bookmarkEnd w:id="1420"/>
      <w:bookmarkStart w:id="1421" w:name="_Toc5588"/>
      <w:bookmarkEnd w:id="1421"/>
      <w:bookmarkStart w:id="1422" w:name="_Toc12304"/>
      <w:bookmarkEnd w:id="1422"/>
      <w:bookmarkStart w:id="1423" w:name="_Toc29145"/>
      <w:bookmarkEnd w:id="1423"/>
      <w:bookmarkStart w:id="1424" w:name="_Toc5645"/>
      <w:r>
        <w:rPr>
          <w:rFonts w:hint="eastAsia" w:ascii="宋体" w:hAnsi="宋体"/>
          <w:b/>
          <w:bCs/>
          <w:color w:val="000000" w:themeColor="text1"/>
          <w:sz w:val="24"/>
          <w:szCs w:val="24"/>
          <w14:textFill>
            <w14:solidFill>
              <w14:schemeClr w14:val="tx1"/>
            </w14:solidFill>
          </w14:textFill>
        </w:rPr>
        <w:t>四.复古主义思潮</w:t>
      </w:r>
      <w:bookmarkEnd w:id="1424"/>
    </w:p>
    <w:p w14:paraId="5AEF528C">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复古主义是什么意思呢？就是主张用儒释道等传统思想治国。比如，主张儒家化，要儒化中国、儒化社会主义、儒化共产党。</w:t>
      </w:r>
    </w:p>
    <w:p w14:paraId="00FAF13E">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蒋庆先生在《政治儒学》一书中提出要用儒家思想来作为治国的一个总的思想。还有北京大学一位教授直接提出马克思主义也是西方来的，包括马克思主义在内的整个西学都不能作为中国的总体思想，中国的指导思想应该从国学里面产生，从以儒学为代表的思想产生。随着国学热，主张用儒、释、道来替代马克思主义、替代社会主义核心价值体系的思潮开始有所增长</w:t>
      </w:r>
    </w:p>
    <w:p w14:paraId="760A3326">
      <w:pPr>
        <w:spacing w:before="147" w:beforeLines="50" w:after="147" w:afterLines="50" w:line="400" w:lineRule="exact"/>
        <w:ind w:firstLine="480" w:firstLineChars="200"/>
        <w:jc w:val="center"/>
        <w:rPr>
          <w:rFonts w:hint="eastAsia" w:ascii="宋体" w:hAnsi="宋体"/>
          <w:b/>
          <w:bCs/>
          <w:color w:val="000000" w:themeColor="text1"/>
          <w:sz w:val="24"/>
          <w:szCs w:val="24"/>
          <w14:textFill>
            <w14:solidFill>
              <w14:schemeClr w14:val="tx1"/>
            </w14:solidFill>
          </w14:textFill>
        </w:rPr>
      </w:pPr>
      <w:bookmarkStart w:id="1425" w:name="_Toc27135"/>
      <w:bookmarkEnd w:id="1425"/>
      <w:bookmarkStart w:id="1426" w:name="_Toc24122"/>
      <w:bookmarkEnd w:id="1426"/>
      <w:bookmarkStart w:id="1427" w:name="_Toc28988"/>
      <w:bookmarkEnd w:id="1427"/>
      <w:bookmarkStart w:id="1428" w:name="_Toc13980"/>
      <w:r>
        <w:rPr>
          <w:rFonts w:hint="eastAsia" w:ascii="宋体" w:hAnsi="宋体"/>
          <w:b/>
          <w:bCs/>
          <w:color w:val="000000" w:themeColor="text1"/>
          <w:sz w:val="24"/>
          <w:szCs w:val="24"/>
          <w14:textFill>
            <w14:solidFill>
              <w14:schemeClr w14:val="tx1"/>
            </w14:solidFill>
          </w14:textFill>
        </w:rPr>
        <w:t>五.传统马克思主义思潮</w:t>
      </w:r>
      <w:bookmarkEnd w:id="1428"/>
    </w:p>
    <w:p w14:paraId="285FAE8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毛泽东旗帜网是传统马克思主义思潮的代表性网站，基调是代表传统马克思主义思潮，坚持马克思主义原理，坚决批判新自由主义、民主社会主义，历史虚无主义等。代表性人物有原国家统计局局长李成瑞同志，他是马克思主义统计学家，文章写得非常好,但这一思潮的创新较少。中央党校经济学教授陈文通也属于这一思潮，不赞成适当吸收西方学术的某些合理成分，对创新马克思主义的某些理论持反对意见。</w:t>
      </w:r>
    </w:p>
    <w:p w14:paraId="76E823A7">
      <w:pPr>
        <w:spacing w:before="147" w:beforeLines="50" w:after="147" w:afterLines="50" w:line="400" w:lineRule="exact"/>
        <w:ind w:firstLine="480" w:firstLineChars="200"/>
        <w:jc w:val="center"/>
        <w:rPr>
          <w:rFonts w:hint="eastAsia" w:hAnsi="宋体"/>
          <w:b/>
          <w:bCs/>
          <w:color w:val="000000" w:themeColor="text1"/>
          <w14:textFill>
            <w14:solidFill>
              <w14:schemeClr w14:val="tx1"/>
            </w14:solidFill>
          </w14:textFill>
        </w:rPr>
      </w:pPr>
      <w:bookmarkStart w:id="1429" w:name="_Toc25560"/>
      <w:bookmarkEnd w:id="1429"/>
      <w:bookmarkStart w:id="1430" w:name="_Toc14767"/>
      <w:bookmarkEnd w:id="1430"/>
      <w:bookmarkStart w:id="1431" w:name="_Toc21766"/>
      <w:bookmarkEnd w:id="1431"/>
      <w:bookmarkStart w:id="1432" w:name="_Toc11004"/>
      <w:bookmarkEnd w:id="1432"/>
      <w:bookmarkStart w:id="1433" w:name="_Toc23270"/>
      <w:r>
        <w:rPr>
          <w:rFonts w:hint="eastAsia" w:ascii="宋体" w:hAnsi="宋体"/>
          <w:b/>
          <w:bCs/>
          <w:color w:val="000000" w:themeColor="text1"/>
          <w:sz w:val="24"/>
          <w:szCs w:val="24"/>
          <w14:textFill>
            <w14:solidFill>
              <w14:schemeClr w14:val="tx1"/>
            </w14:solidFill>
          </w14:textFill>
        </w:rPr>
        <w:t>六、折中马克思主义思潮</w:t>
      </w:r>
      <w:bookmarkEnd w:id="1433"/>
    </w:p>
    <w:p w14:paraId="35BD2D95">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研究西方经济学，没有看出西方经济学的问题所在，但折中主义的马克思主义思潮往往以创新马克思主义面目出现，所以带有一定迷惑性。</w:t>
      </w:r>
    </w:p>
    <w:p w14:paraId="57C75E26">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中央党校经济学部主任王东京教授提倡用西方经济学驾驭中国改革开放；党建部主任王长江教授在中央党校主管主办的《学习时报》第534期发表了“党有自身利益是一种客观存在”；哲学部原副主任董德刚教授，在党的十七大召开之前，2001年10月8日，在《北京日报》发表《当代中国的十大观念变革》—文，提出社会主义要从制度转向观念。文章认为，社会主义制度是什么说不清楚，还要继续探讨。既然社会主义制度搞不清，我们就不要多谈制度，转向社会主义观念。社会主义观念是什么？就是不谈公有制和按劳分配为主体的"共同富裕”，曲解了邓小平理论。</w:t>
      </w:r>
    </w:p>
    <w:p w14:paraId="0F6BCAAF">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传统马克思主义思潮和折中主义思潮这两种思潮，偏离了马克思主义理论，但是他们没有反对马克思主义，算折中主义马克思主义。</w:t>
      </w:r>
    </w:p>
    <w:p w14:paraId="4FB354B5">
      <w:pPr>
        <w:spacing w:before="147" w:beforeLines="50" w:after="147" w:afterLines="50" w:line="400" w:lineRule="exact"/>
        <w:ind w:firstLine="480" w:firstLineChars="200"/>
        <w:jc w:val="center"/>
        <w:rPr>
          <w:rFonts w:hint="eastAsia" w:ascii="宋体" w:hAnsi="宋体"/>
          <w:b/>
          <w:bCs/>
          <w:color w:val="000000" w:themeColor="text1"/>
          <w:sz w:val="24"/>
          <w:szCs w:val="24"/>
          <w14:textFill>
            <w14:solidFill>
              <w14:schemeClr w14:val="tx1"/>
            </w14:solidFill>
          </w14:textFill>
        </w:rPr>
      </w:pPr>
      <w:bookmarkStart w:id="1434" w:name="_Toc25849"/>
      <w:bookmarkEnd w:id="1434"/>
      <w:bookmarkStart w:id="1435" w:name="_Toc25144"/>
      <w:bookmarkEnd w:id="1435"/>
      <w:bookmarkStart w:id="1436" w:name="_Toc27921"/>
      <w:bookmarkEnd w:id="1436"/>
      <w:bookmarkStart w:id="1437" w:name="_Toc22671"/>
      <w:bookmarkEnd w:id="1437"/>
      <w:bookmarkStart w:id="1438" w:name="_Toc2816"/>
      <w:r>
        <w:rPr>
          <w:rFonts w:hint="eastAsia" w:ascii="宋体" w:hAnsi="宋体"/>
          <w:b/>
          <w:bCs/>
          <w:color w:val="000000" w:themeColor="text1"/>
          <w:sz w:val="24"/>
          <w:szCs w:val="24"/>
          <w14:textFill>
            <w14:solidFill>
              <w14:schemeClr w14:val="tx1"/>
            </w14:solidFill>
          </w14:textFill>
        </w:rPr>
        <w:t>七、创新马克思主义思潮</w:t>
      </w:r>
      <w:bookmarkEnd w:id="1438"/>
    </w:p>
    <w:p w14:paraId="397C6569">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在马克思主义研究的队伍里面，实际上有三种思潮。其中之一是创新马克思主义思潮。以中国社科院刘国光教授和方克立教授、中国人民大学卫兴华和我本人等一批老中青学者为代表。提倡实质性地继承和创新马克思主义。如果思潮是中性的话，那么就属于创新马克思主义思潮，简称新马派。</w:t>
      </w:r>
    </w:p>
    <w:p w14:paraId="18E2A3CD">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创新马克思主义要在"马学为体，西学为用，国学为根”这三大知识体系的基础上,以"世情为鉴，国情为据，党情为要二进行"综合创新”。</w:t>
      </w:r>
    </w:p>
    <w:p w14:paraId="0AEA4FC3">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以经济学为例。中国经济学现代化的“综合创新”，为的是形成具有中国特色、中国风格和中国气派的中国现代马克思主义经济学。这需要确立自主创新的志气。应当结合实践，从简单引进和模仿外国经济学的自在方式，实现向理论创新的自觉或自为方式的转变。这意味着，要实现两个超越：既在具体化的意义上超越马列经典经济学，又在科学范式的意义上超越当代西方经济学；要体现两种实践：既体现东西方市场经济实践,又体现有中国特色的社会主义实践；要显现两种创新：既要有经济学的某些常规发展，又要有其范式的革命。它将是一种科学反映经济现代性的"后现代经济学”，同时也将是一种“后马克思经济学新综合二也就是在唯物史观指导下，以世界眼光，坚持“马学”这个根本，在当代国外经济学继续分化和局部综合的基础上，去实现全面系统的科</w:t>
      </w:r>
    </w:p>
    <w:p w14:paraId="7D02E2E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学大综合。其中包括分析和借鉴西方马克思主义经济理论、西方激进经济理论、凯恩斯左翼经济理论、克鲁格曼国际经济理论、发展经济学、比较经济学以及“中心一外围”等发展中国家经济理论；积极汲取当代哲学、伦理学、美学、心理学、法学、政治学、系统学、场态学、生物学、数学等多学科的可用方法。</w:t>
      </w:r>
    </w:p>
    <w:p w14:paraId="7C87C992">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在这个综合创新的过程中，中国的马克思主义经济学者应当同各国学界和政界的马克思主义经济学者建立密切的良性互动关系。同时，要遵循学术发展规律，坚定不移地贯彻落实党的“双百方针二并且允许马克思主义思想体系内部发展不同学派，在活跃的学术争鸣中深化理论研究，探索并构建政界马克思主义与学界马克思主义的良性互动机制。这必将有利于中国经济学的现代化。</w:t>
      </w:r>
    </w:p>
    <w:p w14:paraId="0CE87E5C">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总而言之，我们要真正搞清什么是马克思主义、中国特色社会主义、社会主义核心价值体系，就必须要在对各种思潮的比较中间，鉴别出真伪。理论上的清醒是政治上坚定的前提，这是思想政治教育的基础。</w:t>
      </w:r>
    </w:p>
    <w:p w14:paraId="6053F294">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（原载于《思想政治教育研究论丛》2011年）</w:t>
      </w:r>
    </w:p>
    <w:p w14:paraId="71A25D62">
      <w:pPr>
        <w:pStyle w:val="3"/>
        <w:ind w:firstLine="640" w:firstLineChars="200"/>
        <w:outlineLvl w:val="1"/>
        <w:rPr>
          <w:color w:val="000000" w:themeColor="text1"/>
          <w14:textFill>
            <w14:solidFill>
              <w14:schemeClr w14:val="tx1"/>
            </w14:solidFill>
          </w14:textFill>
        </w:rPr>
      </w:pPr>
      <w:bookmarkStart w:id="1439" w:name="_Toc27929"/>
      <w:bookmarkStart w:id="1440" w:name="_Toc114057781"/>
      <w:bookmarkStart w:id="1441" w:name="_Toc2130344619"/>
      <w:bookmarkStart w:id="1442" w:name="_Toc1166320260"/>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1</w:t>
      </w:r>
      <w:r>
        <w:rPr>
          <w:rFonts w:hint="eastAsia" w:ascii="黑体" w:hAnsi="黑体"/>
          <w:color w:val="000000" w:themeColor="text1"/>
          <w14:textFill>
            <w14:solidFill>
              <w14:schemeClr w14:val="tx1"/>
            </w14:solidFill>
          </w14:textFill>
        </w:rPr>
        <w:t>政治经济学现代化的四个学术方向</w:t>
      </w:r>
      <w:bookmarkEnd w:id="1404"/>
      <w:bookmarkEnd w:id="1439"/>
      <w:bookmarkEnd w:id="1440"/>
      <w:bookmarkEnd w:id="1441"/>
      <w:bookmarkEnd w:id="1442"/>
    </w:p>
    <w:p w14:paraId="759CBFF8">
      <w:pPr>
        <w:spacing w:before="147" w:beforeLines="50"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经济学和政治经济学现代化的学术原则应当是“马学为体、西学为用、国学为根、世情为鉴、国情为据、综合创新”而政治经济学的现代化应当是在国际化、应用化、数学化和学派化这四个学术方向上持久地开拓创新。</w:t>
      </w:r>
    </w:p>
    <w:p w14:paraId="1D5ACC42">
      <w:pPr>
        <w:spacing w:before="147" w:beforeLines="50" w:after="147" w:afterLines="50" w:line="400" w:lineRule="exact"/>
        <w:ind w:firstLine="480" w:firstLineChars="200"/>
        <w:jc w:val="center"/>
        <w:rPr>
          <w:rFonts w:ascii="宋体" w:hAnsi="宋体"/>
          <w:b/>
          <w:color w:val="000000" w:themeColor="text1"/>
          <w:sz w:val="24"/>
          <w:szCs w:val="24"/>
          <w14:textFill>
            <w14:solidFill>
              <w14:schemeClr w14:val="tx1"/>
            </w14:solidFill>
          </w14:textFill>
        </w:rPr>
      </w:pPr>
      <w:bookmarkStart w:id="1443" w:name="_Toc12510"/>
      <w:bookmarkEnd w:id="1443"/>
      <w:bookmarkStart w:id="1444" w:name="_Toc4381"/>
      <w:bookmarkEnd w:id="1444"/>
      <w:bookmarkStart w:id="1445" w:name="_Toc19226"/>
      <w:bookmarkEnd w:id="1445"/>
      <w:bookmarkStart w:id="1446" w:name="_Toc11157"/>
      <w:bookmarkEnd w:id="1446"/>
      <w:bookmarkStart w:id="1447" w:name="_Toc2011"/>
      <w:r>
        <w:rPr>
          <w:rFonts w:hint="eastAsia" w:ascii="宋体" w:hAnsi="宋体"/>
          <w:b/>
          <w:color w:val="000000" w:themeColor="text1"/>
          <w:sz w:val="24"/>
          <w:szCs w:val="24"/>
          <w14:textFill>
            <w14:solidFill>
              <w14:schemeClr w14:val="tx1"/>
            </w14:solidFill>
          </w14:textFill>
        </w:rPr>
        <w:t>一、政治经济学的国际化</w:t>
      </w:r>
      <w:bookmarkEnd w:id="1447"/>
    </w:p>
    <w:p w14:paraId="2B6280E2">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马克思主义政治经济学从它诞生之日起就是一个国际化的学说，只是后来随着世界上社会主义国家的建立和“冷战”的兴起，政治经济学在东西方两大阵营以及在每个阵营的不同国家内分别走上了不同的发展道路，并日益隔绝起来。中国改革开放以后，对国外的马克思主义政治经济学研究日益关注，翻译和引进了不少学术成果，但迄今为止，这种交流主要是单向的，还处于中国政治经济学界了解和借鉴国外政治经济学的阶段。随着中国长期经济发展奇迹的出现、中国经济模式优势的确立，尤其是中国经济在西方金融和经济危机爆发后的优异表现，中国的政治经济学理论发展日益得到国际知识界的关注。现阶段政治经济学国际化的中心思想是加大双向交流：一方面，中国在世界上的地位越来越重要，中国马克思主义经济理论研究的国际影响也日趋扩大；另一方面，西方金融和经济危机使马克思主义在苏东剧变之后重新得到世人的广泛关注，马克思在《资本论》中对于资本主义市场经济的批评也被西方国家的民众甚至一些政要认可。国外一大批马克思主义经济学家，如大卫·科茨、莱伯曼、柯瑞文、迪劳内、伊藤诚等以马克思主义经济学的基本原理与当代世界经济的具体实际的结合为主题，阐述了世界资本主义和社会主义市场经济的一系列新的理论和政策思路，为中国经济学家的理论创新提供了可供借鉴的宝贵思想资源。随着中国经济参与世界经济进程的加深，中国马克思主义经济学的研究除继续关注中国的发展外，也将逐步扩大国际视野，积极参与全球政治经济学和左翼经济学的学术研讨和争论。这有益于把马列主义经济学及其中国化理论客观和正确地介绍到各国，有益于中国抵御西方发达国家施加给中国经济的无理压力、维护中国的合理经济权益和推动世界经济的公正有序发展，有益于加强中国政治经济学在世界马克思主义经济学界的平等交流和“话语权”，有益于与西方主流经济学界的对话和论争，以增强对整个国际知识界的影响力。</w:t>
      </w:r>
    </w:p>
    <w:p w14:paraId="4901C511">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政治经济学国际化正在积极地进行之中。最近六年，由各国学者推选的中国经济学家领衔的全球学术团体——世界政治经济学学会分别在中国、日本、法国和美国召开世界政治经济学大会；</w:t>
      </w:r>
      <w:r>
        <w:rPr>
          <w:rFonts w:hint="eastAsia" w:cs="Calibri"/>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年，创办了《世界政治经济学评论》国际英文季刊；</w:t>
      </w:r>
      <w:r>
        <w:rPr>
          <w:rFonts w:hint="eastAsia" w:cs="Calibri"/>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年开始，每年评选“</w:t>
      </w:r>
      <w:r>
        <w:rPr>
          <w:rFonts w:hint="eastAsia" w:cs="Calibri"/>
          <w:color w:val="000000" w:themeColor="text1"/>
          <w14:textFill>
            <w14:solidFill>
              <w14:schemeClr w14:val="tx1"/>
            </w14:solidFill>
          </w14:textFill>
        </w:rPr>
        <w:t>21</w:t>
      </w:r>
      <w:r>
        <w:rPr>
          <w:rFonts w:hint="eastAsia" w:ascii="宋体" w:hAnsi="宋体"/>
          <w:color w:val="000000" w:themeColor="text1"/>
          <w14:textFill>
            <w14:solidFill>
              <w14:schemeClr w14:val="tx1"/>
            </w14:solidFill>
          </w14:textFill>
        </w:rPr>
        <w:t>世纪现代政治经济学杰出成果奖”；</w:t>
      </w:r>
      <w:r>
        <w:rPr>
          <w:rFonts w:hint="eastAsia" w:cs="Calibri"/>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年开始，每年评选“世界马克思经济学奖”，不断双向翻译发表一些重要著作和论文。</w:t>
      </w:r>
      <w:r>
        <w:rPr>
          <w:rFonts w:hint="eastAsia" w:cs="Calibri"/>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年，中国社会科学院支持创刊的《国际批判思想》（中文翻译为《国际思想评论》）国际英文季刊，由</w:t>
      </w:r>
      <w:r>
        <w:rPr>
          <w:rFonts w:hint="eastAsia" w:cs="Calibri"/>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多个国家的约</w:t>
      </w:r>
      <w:r>
        <w:rPr>
          <w:rFonts w:hint="eastAsia" w:cs="Calibri"/>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位国际知名学者担任编委，政治经济学探讨和评论是其十多个重要学科之一。这些世界级的政治经济学学会、刊物、翻译和评奖等学术工作，均有力地推动了中国政治经济学的国际化和国外政治经济学的中国化，在各国的学术影响迅速增大。</w:t>
      </w:r>
    </w:p>
    <w:p w14:paraId="52869793">
      <w:pPr>
        <w:spacing w:before="147" w:beforeLines="50" w:after="147" w:afterLines="50" w:line="400" w:lineRule="exact"/>
        <w:ind w:firstLine="480" w:firstLineChars="200"/>
        <w:jc w:val="center"/>
        <w:rPr>
          <w:rFonts w:ascii="宋体" w:hAnsi="宋体"/>
          <w:b/>
          <w:color w:val="000000" w:themeColor="text1"/>
          <w:sz w:val="24"/>
          <w:szCs w:val="24"/>
          <w14:textFill>
            <w14:solidFill>
              <w14:schemeClr w14:val="tx1"/>
            </w14:solidFill>
          </w14:textFill>
        </w:rPr>
      </w:pPr>
      <w:bookmarkStart w:id="1448" w:name="_Toc18856"/>
      <w:bookmarkEnd w:id="1448"/>
      <w:bookmarkStart w:id="1449" w:name="_Toc19187"/>
      <w:bookmarkEnd w:id="1449"/>
      <w:bookmarkStart w:id="1450" w:name="_Toc4667"/>
      <w:bookmarkEnd w:id="1450"/>
      <w:bookmarkStart w:id="1451" w:name="_Toc7823"/>
      <w:bookmarkEnd w:id="1451"/>
      <w:bookmarkStart w:id="1452" w:name="_Toc5526"/>
      <w:r>
        <w:rPr>
          <w:rFonts w:hint="eastAsia" w:ascii="宋体" w:hAnsi="宋体"/>
          <w:b/>
          <w:color w:val="000000" w:themeColor="text1"/>
          <w:sz w:val="24"/>
          <w:szCs w:val="24"/>
          <w14:textFill>
            <w14:solidFill>
              <w14:schemeClr w14:val="tx1"/>
            </w14:solidFill>
          </w14:textFill>
        </w:rPr>
        <w:t>二、政治经济学的应用化</w:t>
      </w:r>
      <w:bookmarkEnd w:id="1452"/>
    </w:p>
    <w:p w14:paraId="74B6AED5">
      <w:pPr>
        <w:spacing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理论是为社会实践和应用服务的，经济理论更是如此，强调经世济民和民富国强，以便更好地解决中外经济社会发展中的问题。现代政治经济学理论应当更多地被运用、拓展到部门经济、应用经济和专题经济的学科中去。从近年来的情况看，西方经济学理论的广泛应用是经济学发展的主要趋势。比如，西方经济学的基本概念、理论、原理和分析方法等，都渗透到了金融、贸易、产业经济等学科之中，体现了理论经济学对应用经济学的引领作用。这一点是值得马克思主义经济学借鉴的。不过，西方金融和经济危机爆发后，西方发达国家内部、西方发达国家之间以及西方发达国家与发展中国家之间的矛盾日益激化，以西方经济学为基础理论的国际金融、国际贸易、发展经济学等应用经济学的内在缺陷日益显露，急需运用科学的经济学基础理论来改造这些应用学科。许多问题，如金融衍生产品到底是化解金融风险、促进经济发展的利器，还是国际金融垄断寡头扩大金融风险、掠夺世界人民的工具，其真相到底如何等等，这些都需要根据马克思主义政治经济学原理改造和发展的相关应用经济学来系统诠释。</w:t>
      </w:r>
    </w:p>
    <w:p w14:paraId="467EC490">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马克思主义经济学可以分为马克思主义理论经济学（其中政治经济学是主体）和马克思主义应用经济学两个层次。应当说，经典马克思主义经济学本身已包含对现代学者所细分的应用经济学的分析。马克思关于货币、价格、工资、企业、流通、分配、产业、金融、汇率、信用、危机等理论及其应用，都是当时历史条件下政治经济学理论具体化、部门化和应用化的精华。尽管由于著作篇幅有限，论述得还不够，而且随着时代的变迁，这些理论的部分结论有一定的局限性，但只要根据现实的经济发展对这些理论精髓进行深入挖掘和科学扩展，就能够很好地指导各门应用经济学和交叉经济学。以许多应用经济学和新兴交叉经济学都要涉及的供求关系为例，马克思抓住了资本主义经济的本质，即对私人剩余价值的追逐，论证了资本主义市场经济必然出现生产等相对过剩，出现供给与需求的不平衡。“资本家的供给和需求的差额越大，就是说，他所供给的商品价值越是超出他所需求的商品价值，资本家的资本增殖率就越大。他的目的，不在于使二者相抵，而是尽可能使它们不相抵，使他的供给超出他的需求。”因此，与建立在供给与需求处处均衡分析之上的西方经济学相比，马克思主义政治经济学能够给予各门应用经济学科真正科学的方法论和理论导向。</w:t>
      </w:r>
    </w:p>
    <w:p w14:paraId="33B9C53C">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与西方学术界中的“经济学帝国主义”，即用西方经济学的思想和分析方法研究和解释其他社会科学所研究的问题相类似，政治经济学的应用化，还包括其被应用到其他各个学科，尽管其中的缘由与“经济学帝国主义”大不相同。政治经济学关于劳动、财富、价值、产权、资本、资源、成本、收益、经济利益、按比例发展、经济调节机制和经济全球化等分析方法和原理，其中有不少可以被借鉴应用到其他社会科学的学科中。正是因为政治经济学揭示了现代社会的经济运动规律和机制，而经济系统与政治、文化和社会等其他系统存在一定的联系和发展的某种共性，因而它对于其他相关学科往往具有渗透和双向借鉴的意义，这在经济社会学、经济哲学、经济伦理学、经济心理学、经济人类学、新政治经济学、人口学、国际政治经济学、国际关系学等学科发展中尤其重要。</w:t>
      </w:r>
    </w:p>
    <w:p w14:paraId="3BF33FFA">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推动政治经济学应用化的方式较多。这里只说明两点：一是要加强大学生和研究生教材的编写。目前，中国社会科学院马克思主义研究院正在组织全国科研单位和高校，重新编写</w:t>
      </w:r>
      <w:r>
        <w:rPr>
          <w:rFonts w:hint="eastAsia" w:cs="Calibri"/>
          <w:color w:val="000000" w:themeColor="text1"/>
          <w14:textFill>
            <w14:solidFill>
              <w14:schemeClr w14:val="tx1"/>
            </w14:solidFill>
          </w14:textFill>
        </w:rPr>
        <w:t>150</w:t>
      </w:r>
      <w:r>
        <w:rPr>
          <w:rFonts w:hint="eastAsia" w:ascii="宋体" w:hAnsi="宋体"/>
          <w:color w:val="000000" w:themeColor="text1"/>
          <w14:textFill>
            <w14:solidFill>
              <w14:schemeClr w14:val="tx1"/>
            </w14:solidFill>
          </w14:textFill>
        </w:rPr>
        <w:t>门左右的理论经济学、应用经济学、交叉经济学及相关学科的教科书，以便逐步摆脱中国经济学科“被殖民化”（美化为中国经济学“与国际接轨或国际化”）的严重偏向，构建真正具有时代精神、世界实践和科学创新的马克思主义经济科学的完整学科体系，实现“以我（国）为主”的经济学双向交流和国际化。其特点和综合创新之处，便是以经济全球化、区域化和集团化为背景，以中外现代经济关系和经济制度为对象，广泛运用中外马克思主义政治经济学及其应用的最新科学研究成果来创造性地编著，能够体现中国和世界现代马克思主义经济学的最高研究水平，适合各国马克思主义经济学的教学和进一步的研究需要。二是要重视由马克思主义政治经济学家领衔召开的应用经济领域和相关领域的研讨会。政府、学术界和社会各界人士，共同研讨经济问题，也是一种很好的方式。近年来中国社会科学院马克思主义研究院和经济社会发展研究中心联合十余所高校共同举办的“中国经济社会智库高层论坛”，应用马克思主义经济学方法和理论精神，对社会普遍关心的重大现实问题进行独创性研讨，已先后提出“先控后减的新人口策论”“机关、事业和企业联动的新养老策论”“转变对外经济发展方式的新开放策论”和“城市以公租房为主的新住房策论”等，引起社会各界的广泛重视，起到了很好的建言献策和理论传播效果。</w:t>
      </w:r>
    </w:p>
    <w:p w14:paraId="4D4A0297">
      <w:pPr>
        <w:spacing w:before="147" w:beforeLines="50" w:after="147" w:afterLines="50" w:line="400" w:lineRule="exact"/>
        <w:ind w:firstLine="480" w:firstLineChars="200"/>
        <w:jc w:val="center"/>
        <w:rPr>
          <w:rFonts w:ascii="宋体" w:hAnsi="宋体"/>
          <w:b/>
          <w:color w:val="000000" w:themeColor="text1"/>
          <w:sz w:val="24"/>
          <w:szCs w:val="24"/>
          <w14:textFill>
            <w14:solidFill>
              <w14:schemeClr w14:val="tx1"/>
            </w14:solidFill>
          </w14:textFill>
        </w:rPr>
      </w:pPr>
      <w:bookmarkStart w:id="1453" w:name="_Toc15693"/>
      <w:bookmarkEnd w:id="1453"/>
      <w:bookmarkStart w:id="1454" w:name="_Toc5098"/>
      <w:bookmarkEnd w:id="1454"/>
      <w:bookmarkStart w:id="1455" w:name="_Toc2761"/>
      <w:bookmarkEnd w:id="1455"/>
      <w:bookmarkStart w:id="1456" w:name="_Toc5260"/>
      <w:bookmarkEnd w:id="1456"/>
      <w:bookmarkStart w:id="1457" w:name="_Toc21108"/>
      <w:r>
        <w:rPr>
          <w:rFonts w:hint="eastAsia" w:ascii="宋体" w:hAnsi="宋体"/>
          <w:b/>
          <w:color w:val="000000" w:themeColor="text1"/>
          <w:sz w:val="24"/>
          <w:szCs w:val="24"/>
          <w14:textFill>
            <w14:solidFill>
              <w14:schemeClr w14:val="tx1"/>
            </w14:solidFill>
          </w14:textFill>
        </w:rPr>
        <w:t>三、政治经济学的数学化</w:t>
      </w:r>
      <w:bookmarkEnd w:id="1457"/>
    </w:p>
    <w:p w14:paraId="520CE0FC">
      <w:pPr>
        <w:spacing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视数学分析，在定性分析的基础上进行必要的定量分析，一直是马克思主义政治经济学的优良传统之一。《资本论》就是一个典范，可以说，在古典政治经济学体系中运用数学最多的就是马克思。“马克思使用的计算，主要是用作文字论证的补充说明，他的文字论证将过程和横断面分析结合在一起了，这样的计算即使对今天现有的数学技巧来说，也是做不到的。”马克思自己曾说：“为了分析危机，我不止一次地想计算出这些作为有规则曲线的升和降，并曾想用数学方式从中得出危机的主要规律（而且现在我还认为，如有足够的经过检验的材料，这是可能的）。”马克思重视数学方法在经济研究中的作用，但并不迷信数学，而是始终将数学方法建立在正确的分析前提上，即以唯物辩证法为指导，坚持以科学抽象法、逻辑方法和历史方法作为分析的基础。此外，马克思还认为，在纯数学领域内进行的研究，必须通过经济分析进行检查，使它不脱离某一经济现象所固有的经济规律。由于坚持了上述原则，马克思的经济学理论的数学化分析能够增强理论的解释力和科学性。</w:t>
      </w:r>
    </w:p>
    <w:p w14:paraId="2AB3E451">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相比之下，现代西方经济学虽然运用了大量的数学工具，但由于其出发点时常失误或脱离现实，因而其数学化的结果并不能表明其理论的科学性和精确性。例如，西方宏观经济学的计量经济学模型的联立方程组中，通常必有一个方程是按总供给与总需求相均衡的原则设立的，从而这样的数学模型求解出来的结果，必定与生产过剩等的常见实情相距甚远，从而无法发现经济运行中的问题，也无法预测经济危机。另外，数学模型的复杂性并不与数学模型的科学性成正比。比如，西方宏观经济学模型为了体现自己的科学程度，喜欢搞上百个方程和上百个变量的过于复杂的大型模型，却忽略了每个变量都存在计量误差，随着方程数和变量数的增加，每个变量的些许误差的集合会放大成巨大的误差，从而使得模型只有纸面上的意义，难以科学认知和应用。</w:t>
      </w:r>
    </w:p>
    <w:p w14:paraId="08E2D493">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对政治经济学的数学化可以有两种态度。第一种是坚持唯物辩证法和历史唯物论为总的方法论原则，同时高度重视利用数学分析工具，把数学分析与现代马克思主义政治经济学前提假设和理论基础结合起来，进行马克思主义经济学原理的论证、阐述和发展，以弥补定性分析和规范分析的不足。这里所说的数学化，并非化得越深越好，而是依据理论分析的必要性和可能性。第二种则是盲目地与西方主流经济学接轨，注重数学分析的形式主义和滥用数学工具。为了数学而分析，而不是为了分析而运用数学，甚至为了便于参照西方经济学的方式运用数学，而采用西方经济学所使用的部分错误假设和前提，背离了在政治经济学里运用数学的初衷，得出了许多错误的结论。现代西方主流经济学偏好以片面的或脱离现实的假设为研究经济问题的出发点，建立一个“理论假设—逻辑推演—实证检验”固定的分析模式，并视为唯一科学的研究范式，排斥研究方法和叙述方法的多样性，以至于把亚当·斯密的《国富论》和马克思的《资本论》称为经济哲学而非经济学著作，这是典型的现代教条主义。前一种态度是中国经济学的主攻方向之一，后一种态度则是需要避免的。</w:t>
      </w:r>
    </w:p>
    <w:p w14:paraId="4AD0AA0C">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需要指出的是，西方经济学对于数学工具的运用是不充分的。马克思曾经讽刺李嘉图：“看来，除了资产阶级社会形式以外，‘欧文先生的平行四边形’是他所知道的唯一的社会形式”。与此类似，“令所谓的利润函数一阶导数等于零是西方经济学家所知道的唯一的求解利润最大化的方法”。但是，一方面，这一方法并不总是求解利润最大化的方法；另一方面，考虑到风险的存在，资本家也并不处处追逐短期利润的最大化。显然，不受西方经济学束缚的政治经济学可以更为合理地使用更多的数学方法。</w:t>
      </w:r>
    </w:p>
    <w:p w14:paraId="74EB3221">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经济学研究中的模型，除了文字模型和图表模型以外，数学模型是重要的表达和分析方法。政治经济学的数学化，将在以下几个方面促进中国经济学的发展：</w:t>
      </w:r>
      <w:r>
        <w:rPr>
          <w:rFonts w:hint="eastAsia" w:cs="Calibri"/>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可以运用现代数学的最新成果，为逻辑分析、抽象分析和定性分析等方法提供支撑，对马克思主义经济理论进行更全面的阐述，如价值转形问题、劳动生产率与价值量变动的关系问题等；</w:t>
      </w:r>
      <w:r>
        <w:rPr>
          <w:rFonts w:hint="eastAsia" w:cs="Calibri"/>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可以运用数学工具，对现代社会中经济发展的经验材料进行更科学的归纳、整理和分析，并为国家和企业的经济决策提供更为翔实的依据，如劳动报酬和人口的统计分析等；</w:t>
      </w:r>
      <w:r>
        <w:rPr>
          <w:rFonts w:hint="eastAsia" w:cs="Calibri"/>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在马克思主义方法论的基础上，对现代市场现象进行数学解释，有利于马克思主义经济理论与西方经济理论的对比，从而增强人们的理论辨别力，如国有企业的真实效率等；</w:t>
      </w:r>
      <w:r>
        <w:rPr>
          <w:rFonts w:hint="eastAsia" w:cs="Calibri"/>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可以使理论更严谨和清晰，易于表达，增强马克思主义经济学的学术解释力和说服力，如一般利润率下降规律等。总之，政治经济学的数学化，将有利于弥补目前政治经济学研究中的部分缺憾，大大促进其理论的传承和创新，真正体现中国经济学的时代特征。</w:t>
      </w:r>
    </w:p>
    <w:p w14:paraId="7EB5719F">
      <w:pPr>
        <w:spacing w:before="147" w:beforeLines="50" w:after="147" w:afterLines="50" w:line="400" w:lineRule="exact"/>
        <w:ind w:firstLine="480" w:firstLineChars="200"/>
        <w:jc w:val="center"/>
        <w:rPr>
          <w:rFonts w:ascii="宋体" w:hAnsi="宋体"/>
          <w:b/>
          <w:color w:val="000000" w:themeColor="text1"/>
          <w:sz w:val="24"/>
          <w:szCs w:val="24"/>
          <w14:textFill>
            <w14:solidFill>
              <w14:schemeClr w14:val="tx1"/>
            </w14:solidFill>
          </w14:textFill>
        </w:rPr>
      </w:pPr>
      <w:bookmarkStart w:id="1458" w:name="_Toc23045"/>
      <w:bookmarkEnd w:id="1458"/>
      <w:bookmarkStart w:id="1459" w:name="_Toc11119"/>
      <w:bookmarkEnd w:id="1459"/>
      <w:bookmarkStart w:id="1460" w:name="_Toc12700"/>
      <w:bookmarkEnd w:id="1460"/>
      <w:bookmarkStart w:id="1461" w:name="_Toc29044"/>
      <w:bookmarkEnd w:id="1461"/>
      <w:bookmarkStart w:id="1462" w:name="_Toc5541"/>
      <w:r>
        <w:rPr>
          <w:rFonts w:hint="eastAsia" w:ascii="宋体" w:hAnsi="宋体"/>
          <w:b/>
          <w:color w:val="000000" w:themeColor="text1"/>
          <w:sz w:val="24"/>
          <w:szCs w:val="24"/>
          <w14:textFill>
            <w14:solidFill>
              <w14:schemeClr w14:val="tx1"/>
            </w14:solidFill>
          </w14:textFill>
        </w:rPr>
        <w:t>四、政治经济学的学派化</w:t>
      </w:r>
      <w:bookmarkEnd w:id="1462"/>
    </w:p>
    <w:p w14:paraId="0BAF2ED9">
      <w:pPr>
        <w:spacing w:line="400" w:lineRule="exact"/>
        <w:ind w:firstLine="420" w:firstLineChars="200"/>
        <w:rPr>
          <w:rFonts w:hint="eastAsia"/>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辞海》中对“学派”一词解释为：“一门学问中由于学说师承不同而形成的派别。”这种定义的学派是传统的“师承性学派”。学派还可以指以某一地域、国家、民族、文明、社会或某一问题为研究对象，而形成具有特色的学术群体。这种现代性的学术群体，同样可称为“学派”。在西方经济学界中，有芝加哥学派、奥地利学派、剑桥学派等以地域命名的学派，有重农学派、货币主义学派、供应学派、产权学派等以概念或主题命名的学派，也有凯恩斯主义学派、后凯恩斯主义学派等以某一重要理论创始人命名的学派。以这三种不同形式命名的经济学学派的形成和发展，除了某些是与对抗马克思主义经济学有关之外，主要还是与资本主义国家中阶级的分层及其利益的分层有关，如有的学派主要维护的是大地主阶级的利益，有的学派主要维护的是小资产阶级的利益，有的学派侧重维护的是产业资本阶级的利益，有的学派侧重维护的是金融资本阶级的利益，有的学派主张资产阶级的经济改良主义，有的学派主张维护大垄断资产阶级的利益，等等。随着各自所维护的阶级和阶层在社会和统治集团内部地位的升降，这些学派的学术影响力也相应地升降。</w:t>
      </w:r>
    </w:p>
    <w:p w14:paraId="325AF94C">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与资产阶级经济学学派的形成和发展不同，中国政治经济学的学派化，不是为了代表劳动阶级不同阶层的利益，而是都应站在劳动阶级和广大人民的整体立场，都应遵循马克思经济学的方法论和理论精神，都应尽可能地全面系统地掌握实际经济情况，在此基础上对马克思主义政治经济学方法、理论及其应用进行深入探讨，并由于认识上的不同或不能完全做到“三个都应”而形成各自的学术流派。</w:t>
      </w:r>
    </w:p>
    <w:p w14:paraId="7241E29E">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实际上，随着马克思主义政治经济学研究的日益深入，政治经济学的学派化，将是未来的一个主要方向。这是因为，马克思发现的唯物史观和改造旧哲学形成的唯物辩证法，第一次打开了人们科学地认识人类历史发展规律的大门，马克思主义博大精深，涉及经济学、政治学、社会学等许多学科，而且这些学科之间还有丰富的交叉内容，单凭个人或少数几个人的努力要全面研究马克思主义并将其应用于各个学科是做不到的，形成学派势在必行。</w:t>
      </w:r>
    </w:p>
    <w:p w14:paraId="406DE471">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学术自由、繁荣和质量的标志之一是学派化，其益处，一是可以集中研究主题，避免泛泛而谈和不够深入的缺点，体现研究成果的特色，形成具有深度的学术积累；二是可以在不同学派中形成争鸣，增强政治经济学的辨别力和旺盛力，形成有学术渊源的思想发展史；三是可以通过学派的传承和壮大，凝聚有特色的研究群体，形成研究合力。在日本政治经济学界，劳农派、宇野派、新古典马克思主义经济学派、演化经济学派等都颇有影响。目前，国内政治经济学研究领域已开始形成一些影响程度不同的学派，如以中国社会科学院和上海财经大学为研究基地的新马克思经济学综合学派</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或称海派经济学</w:t>
      </w:r>
      <w:r>
        <w:rPr>
          <w:rFonts w:hint="eastAsia" w:cs="Calibri"/>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等。有些人以为形成学派很简单，其实，学派化对学者尤其是学派的学术带头人的要求会更高。学派要能站得住脚，就要求学者在经济学方法、理论和政策研究上与别人有科学价值的重要区别，但又不能像许多西方主流学派那样，只是把某一方法、理论或政策加以极端化和片面化，呈现极端成派的不良学术格局和倾向。如产权学派只认定产权这一因素最重要，货币学派只认定货币政策最重要，供给学派只认定供给最重要，从而缺乏辩证的系统分析思维，缺乏在一定条件下各种重要因素的地位相互转化的认知。另外，学派不是封闭性的宗派，其思想和人员均应呈现动态式的开放。马克思主义政治经济学的诞生和发展，曾经与各种经济学思潮和流派进行互动、批评和反批评。现代政治经济学的学派化不应当宗派化和极端化，而应当促进思想解放、互相借鉴和正常的学术批评，形成合乎学术规范的争鸣局面。</w:t>
      </w:r>
    </w:p>
    <w:p w14:paraId="277E0F86">
      <w:pPr>
        <w:spacing w:line="400" w:lineRule="exact"/>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 xml:space="preserve"> </w:t>
      </w:r>
    </w:p>
    <w:p w14:paraId="4B998F4D">
      <w:pPr>
        <w:spacing w:line="400" w:lineRule="exact"/>
        <w:ind w:firstLine="420" w:firstLineChars="200"/>
        <w:rPr>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（原载于《学术月刊》</w:t>
      </w:r>
      <w:r>
        <w:rPr>
          <w:rFonts w:hint="eastAsia" w:cs="Calibri"/>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年第</w:t>
      </w:r>
      <w:r>
        <w:rPr>
          <w:rFonts w:hint="eastAsia" w:cs="Calibri"/>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期）</w:t>
      </w:r>
      <w:r>
        <w:rPr>
          <w:color w:val="000000" w:themeColor="text1"/>
          <w14:textFill>
            <w14:solidFill>
              <w14:schemeClr w14:val="tx1"/>
            </w14:solidFill>
          </w14:textFill>
        </w:rPr>
        <w:br w:type="page"/>
      </w:r>
    </w:p>
    <w:p w14:paraId="0866FB2A">
      <w:pPr>
        <w:spacing w:line="400" w:lineRule="exact"/>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 xml:space="preserve"> </w:t>
      </w:r>
    </w:p>
    <w:p w14:paraId="69EB2B5A">
      <w:pPr>
        <w:pStyle w:val="3"/>
        <w:ind w:firstLine="640" w:firstLineChars="200"/>
        <w:outlineLvl w:val="1"/>
        <w:rPr>
          <w:rFonts w:hint="eastAsia"/>
          <w:color w:val="000000" w:themeColor="text1"/>
          <w14:textFill>
            <w14:solidFill>
              <w14:schemeClr w14:val="tx1"/>
            </w14:solidFill>
          </w14:textFill>
        </w:rPr>
      </w:pPr>
      <w:bookmarkStart w:id="1463" w:name="_Toc93074692"/>
      <w:bookmarkEnd w:id="1463"/>
      <w:bookmarkStart w:id="1464" w:name="_Toc1672"/>
      <w:bookmarkEnd w:id="1464"/>
      <w:bookmarkStart w:id="1465" w:name="_Toc93074698"/>
      <w:bookmarkEnd w:id="1465"/>
      <w:bookmarkStart w:id="1466" w:name="_Toc7580"/>
      <w:bookmarkEnd w:id="1466"/>
      <w:bookmarkStart w:id="1467" w:name="_Toc14596"/>
      <w:bookmarkEnd w:id="1467"/>
      <w:bookmarkStart w:id="1468" w:name="_Toc30831"/>
      <w:bookmarkEnd w:id="1468"/>
      <w:bookmarkStart w:id="1469" w:name="_Toc27068"/>
      <w:bookmarkEnd w:id="1469"/>
      <w:bookmarkStart w:id="1470" w:name="_Toc11125"/>
      <w:bookmarkEnd w:id="1470"/>
      <w:bookmarkStart w:id="1471" w:name="_Toc28667"/>
      <w:bookmarkEnd w:id="1471"/>
      <w:bookmarkStart w:id="1472" w:name="_Toc14251"/>
      <w:bookmarkEnd w:id="1472"/>
      <w:bookmarkStart w:id="1473" w:name="_Toc93074691"/>
      <w:bookmarkEnd w:id="1473"/>
      <w:bookmarkStart w:id="1474" w:name="_Toc29865"/>
      <w:bookmarkEnd w:id="1474"/>
      <w:bookmarkStart w:id="1475" w:name="_Toc10725"/>
      <w:bookmarkEnd w:id="1475"/>
      <w:bookmarkStart w:id="1476" w:name="_Toc8372"/>
      <w:bookmarkEnd w:id="1476"/>
      <w:bookmarkStart w:id="1477" w:name="_Toc10787"/>
      <w:bookmarkEnd w:id="1477"/>
      <w:bookmarkStart w:id="1478" w:name="_Toc19131"/>
      <w:bookmarkStart w:id="1479" w:name="_Toc5974"/>
      <w:bookmarkStart w:id="1480" w:name="_Toc114057782"/>
      <w:bookmarkStart w:id="1481" w:name="_Toc1854648749"/>
      <w:bookmarkStart w:id="1482" w:name="_Toc113880004"/>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2</w:t>
      </w:r>
      <w:r>
        <w:rPr>
          <w:rFonts w:ascii="黑体" w:hAnsi="黑体"/>
          <w:color w:val="000000" w:themeColor="text1"/>
          <w14:textFill>
            <w14:solidFill>
              <w14:schemeClr w14:val="tx1"/>
            </w14:solidFill>
          </w14:textFill>
        </w:rPr>
        <w:t>马克思主义区域化的典型</w:t>
      </w:r>
      <w:bookmarkEnd w:id="1478"/>
      <w:bookmarkEnd w:id="1479"/>
      <w:bookmarkEnd w:id="1480"/>
      <w:bookmarkEnd w:id="1481"/>
      <w:bookmarkEnd w:id="1482"/>
    </w:p>
    <w:p w14:paraId="45C48708">
      <w:pPr>
        <w:autoSpaceDE w:val="0"/>
        <w:adjustRightInd w:val="0"/>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经济方面来讲，重庆有以下四个方面的工作是非常有特色的。第一，提出了以民生为导向来转变经济发展方式，这较之从转变经济结构、产业结构或可持续发展的角度来提更加准确。在民生导向方面，重庆很多工作都是率先的。重庆在全国率先实现了城乡养老的全覆盖，非常好。</w:t>
      </w:r>
    </w:p>
    <w:p w14:paraId="71DE1F6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第二，真正实现了“引进来，走出去”并重的方针，是一种双向开放而不是一种单向开放。</w:t>
      </w:r>
    </w:p>
    <w:p w14:paraId="09A0253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第三，将缩小三大差距作为约束性指标写入“十二五规划”，全国是第一个。</w:t>
      </w:r>
    </w:p>
    <w:p w14:paraId="081542C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第四，重庆“国民共进”做得好，二者在竞争中共同发展，这在全国具有榜样的作用。真正的中国特色社会主义，必须具有公有制为主体，国有经济为主导，多种所有制共同发展的格局。但现在并不是这样。</w:t>
      </w:r>
    </w:p>
    <w:p w14:paraId="237DDE6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应当有马克思主义区域化的提法：</w:t>
      </w:r>
    </w:p>
    <w:p w14:paraId="75C6272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现在有马克思主义的中国化、时代化、大众化的提法，我们是不是也可以考虑再增加一个提法，就是马克思主义地区化。重庆就是马克思主义区域化的典型，重庆实践可以称之为马克思主义重庆化。重庆模式比过去中国改革以来曾经出现过的一些所谓的模式更加符合“模式”的内涵，其特征主要是共同富裕、中国特色社会主义和真正的社会主义市场经济。</w:t>
      </w:r>
    </w:p>
    <w:p w14:paraId="483D0E1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（原载于《人民论坛》2011年第22期。）</w:t>
      </w:r>
    </w:p>
    <w:p w14:paraId="78E5AA4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p>
    <w:p w14:paraId="04846BFE">
      <w:pPr>
        <w:pStyle w:val="3"/>
        <w:ind w:firstLine="640" w:firstLineChars="200"/>
        <w:outlineLvl w:val="1"/>
        <w:rPr>
          <w:rFonts w:hint="eastAsia"/>
          <w:color w:val="000000" w:themeColor="text1"/>
          <w14:textFill>
            <w14:solidFill>
              <w14:schemeClr w14:val="tx1"/>
            </w14:solidFill>
          </w14:textFill>
        </w:rPr>
      </w:pPr>
      <w:bookmarkStart w:id="1483" w:name="_Toc17716"/>
      <w:bookmarkEnd w:id="1483"/>
      <w:bookmarkStart w:id="1484" w:name="_Toc24305"/>
      <w:bookmarkStart w:id="1485" w:name="_Toc9648"/>
      <w:bookmarkStart w:id="1486" w:name="_Toc114057783"/>
      <w:bookmarkStart w:id="1487" w:name="_Toc356388238"/>
      <w:bookmarkStart w:id="1488" w:name="_Toc573297751"/>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3</w:t>
      </w:r>
      <w:r>
        <w:rPr>
          <w:rFonts w:ascii="黑体" w:hAnsi="黑体"/>
          <w:color w:val="000000" w:themeColor="text1"/>
          <w14:textFill>
            <w14:solidFill>
              <w14:schemeClr w14:val="tx1"/>
            </w14:solidFill>
          </w14:textFill>
        </w:rPr>
        <w:t>中国模式若干基本问题初探</w:t>
      </w:r>
      <w:bookmarkEnd w:id="1484"/>
      <w:bookmarkEnd w:id="1485"/>
      <w:bookmarkEnd w:id="1486"/>
      <w:bookmarkEnd w:id="1487"/>
      <w:bookmarkEnd w:id="1488"/>
    </w:p>
    <w:p w14:paraId="7019FF7C">
      <w:pPr>
        <w:pStyle w:val="6"/>
        <w:spacing w:line="400" w:lineRule="exact"/>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随着中国经济的快速发展，世界对中国的关注越来越强烈，关于北京共识、中国模式的话题为国际主流学术界所高度关注。相应的理论争论就不断出现:有没有中国模式?它包含什么内容?其前景是什么?等等。</w:t>
      </w:r>
    </w:p>
    <w:p w14:paraId="17ECDAD5">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 xml:space="preserve"> </w:t>
      </w:r>
    </w:p>
    <w:p w14:paraId="5ED4746B">
      <w:pPr>
        <w:pStyle w:val="6"/>
        <w:spacing w:line="400" w:lineRule="exact"/>
        <w:ind w:firstLine="480" w:firstLineChars="200"/>
        <w:jc w:val="center"/>
        <w:rPr>
          <w:rFonts w:hint="eastAsia" w:hAnsi="宋体"/>
          <w:b/>
          <w:bCs/>
          <w:color w:val="000000" w:themeColor="text1"/>
          <w:sz w:val="24"/>
          <w:szCs w:val="24"/>
          <w14:textFill>
            <w14:solidFill>
              <w14:schemeClr w14:val="tx1"/>
            </w14:solidFill>
          </w14:textFill>
        </w:rPr>
      </w:pPr>
      <w:r>
        <w:rPr>
          <w:rFonts w:hint="eastAsia" w:hAnsi="宋体"/>
          <w:b/>
          <w:bCs/>
          <w:color w:val="000000" w:themeColor="text1"/>
          <w:sz w:val="24"/>
          <w:szCs w:val="24"/>
          <w14:textFill>
            <w14:solidFill>
              <w14:schemeClr w14:val="tx1"/>
            </w14:solidFill>
          </w14:textFill>
        </w:rPr>
        <w:t>一、模式与中国模式的基本含义</w:t>
      </w:r>
    </w:p>
    <w:p w14:paraId="472B39C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首先看一看模式的含义。模式在现代汉语词典中的解释是:某种事物的标准形式或使人可以照着做的标准样式。恩格斯在1876~1878年写的《反杜林论》中批判了杜林的“世界模式论”，指出杜林所谓对世界“一般有效模式的透彻分析”和其根底深厚的基本模式的根子原来是来源于黑格尔《逻辑学》第一部分存在论的范畴，这是一种从别人那里剽窃来的存在模式论。杜林这里使用的模式是一种哲学含义，它意味着世界是按照范畴塑造出来的世界，因此恩格斯讥笑杜林“是在黑格尔范畴模式论的笼子里谈哲学”。根据马克思主义的世界观和方法论，我们对模式下的定义就是:模式是事物内在机理的展开，它以各种不同的方式系统地体现着事物的本质属性。模式的基本特点就是:内在性，模式是一个事物内在本质的展现;外在性，模式有其外在的表现方式;可借鉴性，模式可以为人们所借鉴和学习。</w:t>
      </w:r>
    </w:p>
    <w:p w14:paraId="428C31CB">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其次看一下中国模式的含义。不同的学者对于中国模式有不同的定义。有的学者讲，中国模式是指新中国成立60年来，特别是改革开放30年建设中国特色社会主义的理念、战略、政策、实践的过程和结果的总称，也包括出现的问题。有的学者讲，中国模式对发展中国家来说更多的是发展经验问题，对西方国家尤其是对美国来说，则更多的是一种价值问题。还有的学者讲，中国模式，应该就是对中国30年改革开放和现代化建设实践经验的集中概括和总结，有着鲜明而独特的内在规定性，其实质乃是在全球化背景下，中华民族在中国共产党领导下把科学社会主义原则与当代中国国情和时代特征相结合，走出的一条后发国家的现代化之路。这些定义都有其合理性，但不全面。我们认为，把握中国模式应该侧重这样几个层面:它是马克思主义中国化的模式，既不是新自由主义中国化的模式，也不是儒家社会主义模式;它是社会主义的模式，既不是什么权贵资本主义模式，也不是什么民主社会主义模式;它是发展中大国的模式，既不是西方发达国家的发展模式，也不是不发达的小国的发展模式，中国的发展一定不能脱离发展中国家的利益。</w:t>
      </w:r>
    </w:p>
    <w:p w14:paraId="19BD824C">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最后，要弄清楚中国模式、中国经验及其与中国案例之间的关系。有的学者认为，中国有经验无模式，有的则认为连经验都谈不上，只有中国案例。我们认为，中国有很多成功的案例，包括经济发展的案例、政治发展的案例，也有文化与社会发展的案例。这些案例以其共同的特性，形成了中国经验。中国经验不仅仅是一些理念性的东西，它还包括成功的发展道路和制度安排。因此，中国经验又进一步发展成为中国模式。</w:t>
      </w:r>
    </w:p>
    <w:p w14:paraId="3CF93F79">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有很多的西方学者之所以喜欢使用“中国模式”而很少使用中国道路，关键就是试图把中国特色社会主义从中国模式中清除掉，使这一概念变得更加中性化或者讲去意识形态化。因此，我们在使用“中国模式”这一概念时一定要鲜明地把它与社会主义密切联系起来，把它与中国特色社会主义道路紧密联系起来，把它与我们远大的奋斗目标联系起来。</w:t>
      </w:r>
    </w:p>
    <w:p w14:paraId="4DDB2471">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美国著名学者奈斯比特和赵启正共同撰写的《对话中国模式》一书中就表达了这样几个意思:(1)“中国现在实行的是一种全新的模式，你们治国理政的方式，你们行事的方式，都是全新的，所以不能简单地使用‘社会主义’来描述了。”(2)“在欧洲，很多人一说到中国特色就想到共产主义，会产生意识形态方面的一些联想，而这种联想往往是负面的，实际上对中国也是不利的。”(3)中国不要把自己裹在共产主义这个趼子当中，你已经化蝶了，你就应该展翅高飞，而不是躲在过去的旧的观念当中。这些观点的本质就是不能理解中国道路的本质:无论是化蝶也好，还是展翅高飞也好，其动力就来自于中国特色</w:t>
      </w:r>
    </w:p>
    <w:p w14:paraId="1F552295">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社会主义道路。所以研究中国模式一定要把中国特色社会主义道路的本质和内涵研究清楚。</w:t>
      </w:r>
    </w:p>
    <w:p w14:paraId="3BF41756">
      <w:pPr>
        <w:pStyle w:val="6"/>
        <w:spacing w:line="400" w:lineRule="exact"/>
        <w:ind w:firstLine="480" w:firstLineChars="200"/>
        <w:jc w:val="center"/>
        <w:rPr>
          <w:rFonts w:hint="eastAsia" w:hAnsi="宋体"/>
          <w:color w:val="000000" w:themeColor="text1"/>
          <w14:textFill>
            <w14:solidFill>
              <w14:schemeClr w14:val="tx1"/>
            </w14:solidFill>
          </w14:textFill>
        </w:rPr>
      </w:pPr>
      <w:r>
        <w:rPr>
          <w:rFonts w:hint="eastAsia" w:hAnsi="宋体"/>
          <w:b/>
          <w:bCs/>
          <w:color w:val="000000" w:themeColor="text1"/>
          <w:sz w:val="24"/>
          <w:szCs w:val="24"/>
          <w14:textFill>
            <w14:solidFill>
              <w14:schemeClr w14:val="tx1"/>
            </w14:solidFill>
          </w14:textFill>
        </w:rPr>
        <w:t>二、中国模式的基本内涵</w:t>
      </w:r>
    </w:p>
    <w:p w14:paraId="4D0FF16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党的十六大以来，以胡锦涛同志为总书记的党中央，坚持以邓小平理论和“三个代表”重要思想为指导，深入贯彻落实科学发展观，提出构建社会主义和谐社会的战略思想和重大任务，从而使中国特色社会主义事业总体布局由经济建设、政治建设、文化建设三位一体，扩展为经济建设、政治建设、文化建设、社会建设四位一体。这体现了我们党对共产党执政规律、社会主义建设规律、人类社会发展规律认识的深化。全面把握中国特色社会主义事业总体布局，按照这个总体布局全面推进社会主义市场经济、社会主义民主政治、社会主义先进文化、社会主义和谐社会建设，是坚持中国特色社会主义道路的内在要求，也是我们正确理解中国模式的基本出发点。</w:t>
      </w:r>
    </w:p>
    <w:p w14:paraId="4832DBB9">
      <w:pPr>
        <w:ind w:firstLine="420" w:firstLineChars="200"/>
        <w:rPr>
          <w:rFonts w:hint="eastAsia" w:hAnsi="宋体"/>
          <w:color w:val="000000" w:themeColor="text1"/>
          <w14:textFill>
            <w14:solidFill>
              <w14:schemeClr w14:val="tx1"/>
            </w14:solidFill>
          </w14:textFill>
        </w:rPr>
      </w:pPr>
      <w:bookmarkStart w:id="1489" w:name="_Toc10005"/>
      <w:bookmarkEnd w:id="1489"/>
      <w:r>
        <w:rPr>
          <w:rFonts w:hint="eastAsia" w:hAnsi="宋体"/>
          <w:color w:val="000000" w:themeColor="text1"/>
          <w14:textFill>
            <w14:solidFill>
              <w14:schemeClr w14:val="tx1"/>
            </w14:solidFill>
          </w14:textFill>
        </w:rPr>
        <w:t>第一，中国模式在经济建设上形成了“四主型经济制度”。一是，公有主体型的多种</w:t>
      </w:r>
    </w:p>
    <w:p w14:paraId="5A87BF21">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类产权制度，即在公有制为主体的前提下(包含资产在质上和量上的优势)，发展中外私有制经济。它表现在资本结构、就业结构、GDP结构、税收结构、外贸结构等多方面。我国应当在多种所有制共存的动态发展中保持这一“主体—辅体”的宏观所有制结构。二是，劳动主体型的多要素分配制度，即按劳分配为主体，多要素所有者可凭产权参与分配，经济公平与经济效率呈现交互同向和并重关系。应采取产权和分配上的双重措施，真正做到“提低、扩中和控高”的分配和谐。三是，国家主导型的多结构市场制度，即多结构地发展市场体系，发挥市场的基础性配置资源的作用，同时，在廉洁、廉价、民主和高效的基础上发挥国家调节的主导型作用。四是，自立主导型的多方位开放制度，即处理好引进国外技术和资本同自力更生地发展自主知识产权和高效利用本国资本的关系，实行内需为主并与外需相结合的国内外经济交往关系，促进追求引进数量的粗放型开放模式向追求引进效益的质量型开发模式转变，从而尽快完成从贸易大国向贸易强国和经济大国向经济强国的转型。</w:t>
      </w:r>
    </w:p>
    <w:p w14:paraId="2AB7A312">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第二，中国模式在政治建设上形成了“三者统一、四层制度”的架构。中国特色的政治发展之路就是:坚持党的领导、人民当家做主、依法治国的有机统一，坚持和完善人民代表大会制度、中国共产党领导的多党合作和政治协商制度、民族区域自治制度以及基层群众自治制度，不断推进社会主义政治制度自我完善和发展。坚持党的领导、人民当家做主、依法治国有机统一是中国模式在政治上的本质要求。党的领导在“三统一”中起着核心作用，党的领导提供了人民当家做主最基础的条件和最广阔的空间，它体现为“四个确保”:党的领导确保中国特色社会主义政治发展的正确方向，确保中国特色社会主义政治发展的科学架构，确保中国特色社会主义政治发展的高效运行，确保中国特色社会主义政治发展的有序参与。人民当家做主作为中国特色社会主义民主政治的根本目的意味着人民群众有权管理国家的重大事物，一切权力来源于人民;人民当家做主意味着人民群众有权选举包括国家领导人在内的一切政府官员，一切权力要服从于人民;人民当家做主意味着人民群众有权监督所选举出来的一切国家工作人员，一切权力都要接受人民的监督。这三个意味着就体现了人民当家做主的本质要求。依法治国是党领导人民治理国家的基本方略。依法治国不是离开党的领导的依法治国，也不是离开人民当家做主的依法治国。离开党的领导和人民当家做主，依法治国就会变成少数人的统治。依法治国体现了党在宪法和法律的范围内活动的基本思想，体现了人民当家做主的有序性。党的领导、人民当家做主、依法治国是有机统一的:党的领导最根本的目的就是依法领导人民实现当家做主，人民当家做主是在党的领导下和法律基础上的当家做主，依法治国是党领导下和人民群众监督下的依法治国。</w:t>
      </w:r>
    </w:p>
    <w:p w14:paraId="024B9C7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第三，中国模式在文化建设上形成了“一个体系、两个主体”的格局。党的十六大以</w:t>
      </w:r>
    </w:p>
    <w:p w14:paraId="1072CBC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来，我们明确了文化建设是中国特色社会主义事业总体布局的重要组成部分，文化越来越成为民族凝聚力和创造力的重要源泉，越来越成为综合国力竞争的重要因素，越来越成为人民群众丰富精神生活的重要诉求。社会主义先进文化体现在构建和弘扬一个社会主义核心价值体系，即马克思主义的指导思想、中国特色社会主义的共同理想、以爱国主义为核心的民族精神、以改革创新为核心的时代精神、以“八荣八耻”为主要内容的公民道德。文化发展始终坚持改革创新和科技进步，大力破除制约发展的体制性障碍，不断解放和发展文化生产力。在具体举措上形成了六个一手:一手抓公益性文化事业、一手抓经营性文化产业，一手努力构建覆盖城乡、惠及全民的公共文化服务体系，一手壮大文化产业、繁荣社会主义文化市场，一手抓繁荣、一手抓管理，推动文化全面协调发展。在这一基础上，文化建设形成了“公有制为主体、民族文化为主体”的两主体格局。李长春同志在2008年1月的全国宣传思想工作会议上明确指出:“在文化发展格局上，明确要形成以公有制为主体、多种所有制共同发展的文化产业格局，以民族文化为主体、吸收外来有益文化的文化市场格局”。</w:t>
      </w:r>
    </w:p>
    <w:p w14:paraId="2BA4E7D8">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第四，中国模式在社会建设上形成了“一个格局、三个互动、四个机制”的体制。党的十六届六中全会从中国特色社会主义事业总体布局和全面建设小康社会全局出发，做出了构建社会主义和谐社会的重大战略部署。通过近几年的努力，构建社会主义和谐社会取得一定进展。首先，构建社会主义和谐社会要求“健全党委领导、政府负责、社会协同、公众参与的社会管理格局。”其次，要创新社会管理体制，“在党的领导下，积极推动建立政府调控机制同社会协调机制互联、政府行政功能同社会自治功能互补、政府管理力量同社会调节力量互动的社会管理网络，形成科学有效的利益协调机制、诉求表达机制、矛盾调处机制、权益保障机制”。一个格局的不断健全，三个互动的建立，四个机制的形成，说明在社会建设上正在出现中国自己的模式。</w:t>
      </w:r>
    </w:p>
    <w:p w14:paraId="2E2A2457">
      <w:pPr>
        <w:pStyle w:val="6"/>
        <w:spacing w:line="400" w:lineRule="exact"/>
        <w:ind w:firstLine="420" w:firstLineChars="200"/>
        <w:rPr>
          <w:rFonts w:hint="eastAsia" w:hAnsi="宋体"/>
          <w:b/>
          <w:bCs/>
          <w:color w:val="000000" w:themeColor="text1"/>
          <w14:textFill>
            <w14:solidFill>
              <w14:schemeClr w14:val="tx1"/>
            </w14:solidFill>
          </w14:textFill>
        </w:rPr>
      </w:pPr>
      <w:r>
        <w:rPr>
          <w:rFonts w:hint="eastAsia" w:hAnsi="宋体"/>
          <w:b/>
          <w:bCs/>
          <w:color w:val="000000" w:themeColor="text1"/>
          <w14:textFill>
            <w14:solidFill>
              <w14:schemeClr w14:val="tx1"/>
            </w14:solidFill>
          </w14:textFill>
        </w:rPr>
        <w:t xml:space="preserve"> </w:t>
      </w:r>
    </w:p>
    <w:p w14:paraId="3EACB23F">
      <w:pPr>
        <w:pStyle w:val="6"/>
        <w:spacing w:line="400" w:lineRule="exact"/>
        <w:ind w:firstLine="480" w:firstLineChars="200"/>
        <w:jc w:val="center"/>
        <w:rPr>
          <w:rFonts w:hint="eastAsia" w:hAnsi="宋体"/>
          <w:b/>
          <w:bCs/>
          <w:color w:val="000000" w:themeColor="text1"/>
          <w:sz w:val="24"/>
          <w:szCs w:val="24"/>
          <w14:textFill>
            <w14:solidFill>
              <w14:schemeClr w14:val="tx1"/>
            </w14:solidFill>
          </w14:textFill>
        </w:rPr>
      </w:pPr>
      <w:r>
        <w:rPr>
          <w:rFonts w:hint="eastAsia" w:hAnsi="宋体"/>
          <w:b/>
          <w:bCs/>
          <w:color w:val="000000" w:themeColor="text1"/>
          <w:sz w:val="24"/>
          <w:szCs w:val="24"/>
          <w14:textFill>
            <w14:solidFill>
              <w14:schemeClr w14:val="tx1"/>
            </w14:solidFill>
          </w14:textFill>
        </w:rPr>
        <w:t>三、中国模式若干问题辨析</w:t>
      </w:r>
    </w:p>
    <w:p w14:paraId="4BDD8728">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在中国模式问题上存在着诸多需要进行科学辨析的内容。</w:t>
      </w:r>
    </w:p>
    <w:p w14:paraId="264314EC">
      <w:pPr>
        <w:pStyle w:val="6"/>
        <w:spacing w:line="400" w:lineRule="exact"/>
        <w:ind w:firstLine="420" w:firstLineChars="200"/>
        <w:rPr>
          <w:rFonts w:hint="eastAsia" w:hAnsi="宋体"/>
          <w:b/>
          <w:bCs/>
          <w:color w:val="000000" w:themeColor="text1"/>
          <w14:textFill>
            <w14:solidFill>
              <w14:schemeClr w14:val="tx1"/>
            </w14:solidFill>
          </w14:textFill>
        </w:rPr>
      </w:pPr>
      <w:r>
        <w:rPr>
          <w:rFonts w:hint="eastAsia" w:hAnsi="宋体"/>
          <w:b/>
          <w:bCs/>
          <w:color w:val="000000" w:themeColor="text1"/>
          <w14:textFill>
            <w14:solidFill>
              <w14:schemeClr w14:val="tx1"/>
            </w14:solidFill>
          </w14:textFill>
        </w:rPr>
        <w:t>(一)中国模式是否是外国人提出来的?</w:t>
      </w:r>
    </w:p>
    <w:p w14:paraId="483C22EF">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很多研究者都把中国模式问题的提出归之于雷默的“北京共识”。如一种观点讲:“2004年5月11日，美国高盛公司高级顾问、清华大学兼职教授乔舒亚·库珀·雷默在题为《北京共识》的报告中对中国20多年的经济改革成就作了全面的理性的分析，指出中国摸索出了一个适合本国国情的发展模式，即所谓的‘中国模式’。”其实，中国模式的提出不是西方人的发明。</w:t>
      </w:r>
    </w:p>
    <w:p w14:paraId="73C70F2B">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早在20世纪80年代，邓小平就多次提到中国模式。1980年5月，邓小平在谈到处理兄弟党关系的一条重要原则时，谈到“中国革命就没有按照十月革命的模式去进行”，“既然中国革命胜利靠的是马列主义普遍真理同本国具体实践相结合，我们就不应该要求其他发展中国家都按照中国的模式去进行革命，更不应该要求发达的资本主义国家也采取中国的模式”。1988年5月18日在会见莫桑比克总统希萨诺时，邓小平指出:“世界上的问题不可能都用一个模式解决。中国有中国自己的模式，莫桑比克也应该有莫桑比克自己的模式。”邓小平谈到的中国的模式以及后来江泽民、胡锦涛等同志多次论及的中国特色社会主义道路有深厚的含义:在当代中国无论革命、建设还是改革，都要独立自主地走自己的路，照抄照搬别国经验、别国模式从来不能成功;要敢于和善于把马克思主义基本原理同新的实际和时代条件结合起来，坚决走充满生机活力的新路，决不走实践证明是封闭僵化的老路，也决不走那种改旗易帜、放弃共产党领导、放弃社会主义的邪路。</w:t>
      </w:r>
    </w:p>
    <w:p w14:paraId="19518CD4">
      <w:pPr>
        <w:pStyle w:val="6"/>
        <w:spacing w:line="400" w:lineRule="exact"/>
        <w:ind w:firstLine="420" w:firstLineChars="200"/>
        <w:rPr>
          <w:rFonts w:hint="eastAsia" w:hAnsi="宋体"/>
          <w:b/>
          <w:bCs/>
          <w:color w:val="000000" w:themeColor="text1"/>
          <w14:textFill>
            <w14:solidFill>
              <w14:schemeClr w14:val="tx1"/>
            </w14:solidFill>
          </w14:textFill>
        </w:rPr>
      </w:pPr>
      <w:r>
        <w:rPr>
          <w:rFonts w:hint="eastAsia" w:hAnsi="宋体"/>
          <w:b/>
          <w:bCs/>
          <w:color w:val="000000" w:themeColor="text1"/>
          <w14:textFill>
            <w14:solidFill>
              <w14:schemeClr w14:val="tx1"/>
            </w14:solidFill>
          </w14:textFill>
        </w:rPr>
        <w:t>(二)中国模式是否已经成熟?</w:t>
      </w:r>
    </w:p>
    <w:p w14:paraId="48DDEDA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有的学者认为，“中国模式”还不成熟。其理由有二:发达国家的成熟模式，都是国家发展到较高的水平，并且经历过长期的和各种环境的检验;“中国模式”虽然起步已经有20多年，但还不够长;虽然经济有很大的发展，但水平还是太低。今天的中国仍然处在变化之中，一切都还远未定型，而且也不会很快定型。这两个理由其实都是站不住脚的。首先，发达国家模式不一定都是经济发展到较高阶段才基本成熟，如德国模式、日本模式都是如此。恰恰相反，它们都是利用相对成熟的发展模式推动经济社会的发展，使经济不断成长。我们认为，中国模式已经基本成熟。基本的根据就是前面已经谈到的，中国无论是在经济建设，还是政治建设;无论是在文化建设，还是在社会建设等方面，都已经形成了比较系统完整的格局及模式。这体现在我们党一直强调制度定型化。2000年10月11日在中共十五届五中全会上发表讲话时，江泽民同志讲:“我们进行改革的根本目的，就是要使生产关系适应生产力的发展，使上层建筑适应经济基础的发展，使我国社会主义社会的各个方面都形成比较成熟、比较定型的制度。”党的十六大以来，新的中央领导集体也反复强调制度定型的问题。2003年12月20日曾庆红同志在全国人才工作会议结束时发表讲话指出:“十六届三中全会对深化改革、完善社会主义市场经济体制作出了全面部署，应当看到，完善社会主义市场经济体制，从根本上说，就是要实现中国特色社会主义在经济制度上的定型化。邓小平同志在一九九二年视察南方谈话中曾经说过:‘恐怕再有三十年的时间，我们才会在各方面形成一整套更加成熟、更加定型的制度。在这个制度下的方针、政策，也将更加定型化。’这里所说的各方面制度，当然包括党的领导制度、组织制度和干部人事制度。”</w:t>
      </w:r>
    </w:p>
    <w:p w14:paraId="7EC0D71F">
      <w:pPr>
        <w:pStyle w:val="6"/>
        <w:spacing w:line="400" w:lineRule="exact"/>
        <w:ind w:firstLine="420" w:firstLineChars="200"/>
        <w:rPr>
          <w:rFonts w:hint="eastAsia" w:hAnsi="宋体"/>
          <w:b/>
          <w:bCs/>
          <w:color w:val="000000" w:themeColor="text1"/>
          <w14:textFill>
            <w14:solidFill>
              <w14:schemeClr w14:val="tx1"/>
            </w14:solidFill>
          </w14:textFill>
        </w:rPr>
      </w:pPr>
      <w:r>
        <w:rPr>
          <w:rFonts w:hint="eastAsia" w:hAnsi="宋体"/>
          <w:b/>
          <w:bCs/>
          <w:color w:val="000000" w:themeColor="text1"/>
          <w14:textFill>
            <w14:solidFill>
              <w14:schemeClr w14:val="tx1"/>
            </w14:solidFill>
          </w14:textFill>
        </w:rPr>
        <w:t>(三)中国模式是否具有可借鉴性?</w:t>
      </w:r>
    </w:p>
    <w:p w14:paraId="32694281">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中国模式直接影响了一些国家经济社会发展模式的选择。印度总理辛格2008年1月15日在中国社会科学院发表演说称，中国的改革推动了印度的发展。他说:“在过去的几十年里，对外经济开放使中国深深受益，也使印度深深受益，印度正在发生着变化。我承认，中国的成功是促进变化的一种动力，这一进程始于上世纪80年代，于1991年深入发展。”在中东，中国模式开始成为一些国家的榜样。2007年10月，约旦国王阿卜杜拉二世在访问中国时指出:“中国的发展模式已成为许多中东国家学习的榜样，作为一个在国际上拥有重要地位的国家，中国的声音在这里备受关注。”中国模式还受到伊朗领导人的欢迎。美国哈佛大学商学院的里金钠·艾布拉米总结了“中国模式”的实践意义和理论意义:从实践意义看，“中国模式”也许不完全适用于其他发展中国家，但毕竟为他们提供了一条新的发展道路，值得他们思考;从理论意义看，“中国模式”颠覆了公有制企业没有效率的传统观点、新兴的大国必是好战和富有侵略性国家的论点以及经济发展必将导致西方式民主的定论。</w:t>
      </w:r>
    </w:p>
    <w:p w14:paraId="71ACBB49">
      <w:pPr>
        <w:pStyle w:val="6"/>
        <w:spacing w:line="400" w:lineRule="exact"/>
        <w:ind w:firstLine="420" w:firstLineChars="200"/>
        <w:rPr>
          <w:rFonts w:hint="eastAsia" w:hAnsi="宋体"/>
          <w:b/>
          <w:bCs/>
          <w:color w:val="000000" w:themeColor="text1"/>
          <w14:textFill>
            <w14:solidFill>
              <w14:schemeClr w14:val="tx1"/>
            </w14:solidFill>
          </w14:textFill>
        </w:rPr>
      </w:pPr>
      <w:r>
        <w:rPr>
          <w:rFonts w:hint="eastAsia" w:hAnsi="宋体"/>
          <w:b/>
          <w:bCs/>
          <w:color w:val="000000" w:themeColor="text1"/>
          <w14:textFill>
            <w14:solidFill>
              <w14:schemeClr w14:val="tx1"/>
            </w14:solidFill>
          </w14:textFill>
        </w:rPr>
        <w:t>(四)中国模式面临什么挑战?</w:t>
      </w:r>
    </w:p>
    <w:p w14:paraId="2E6AB63D">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中共十七大报告指出:发达国家在经济科技上占优势的压力长期存在，可以预见和难以预见的风险增多。中共十七届四中全会的决定指出:发达国家在经济、科技等方面仍占</w:t>
      </w:r>
    </w:p>
    <w:p w14:paraId="64CE599A">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优势，综合国力竞争和各种力量较量更趋激烈，不稳定不确定因素增多。究竟有什么样的不确定性风险?其一，如何避免社会问题愈演愈烈?近几年来，社会群体事件频发。据统计，1993年全国发生群体性事件8700起，1994年发生10000起，1995年发生11000起，1996年发生12000起，1997年发生17000起，1998年发生25000起，1999年发生32000起，2000年就突破了40000起。2005年达到7.4万起，2007年以来基本保持在每年9万起;参与人数从每年73万人次快速上升到576万人次。其二，中国会不会与别的国家迎头相撞?当中国开始发展起来，成为世界大国的时候，发现周边到处都是别人的利益范围和领地，中国的发展在与别人合作共赢的同时也会产生竞争关系:(1)中国搞大飞机，可</w:t>
      </w:r>
    </w:p>
    <w:p w14:paraId="10088D61">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能会影响到美国波音和欧洲空客在中国市场的利益。2005年美国政府对波音公司处以4700万美元的罚款，理由是从2000年到2003年，波音卖给中国的9架民用飞机上装有违反美国出口管制条例的陀螺仪芯片技术。(2)中国搞动车，日本、法国和德国企业认为影响到了它们的利益。近年来，中国企业通过与外国公司开展项目的开发合作，不断学习、消化和吸收，成功搭建了具有世界先进水平的多种机车组的设计、制造技术平台，形成了持续研发和制造的完整体系。其中长大编组卧车动车组的研制成功就是我国在高速动车组</w:t>
      </w:r>
    </w:p>
    <w:p w14:paraId="660E61B5">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领域实施自主创新和铁路技术装备现代化取得的又一重大成果。这引起西方一些跨国公司的不满，2009年1月2日，法国阿尔斯通(Alstom)交通运输公司鼓动西方国家不要采购中国生产的机车，指控中国市场逐步排挤外商、不让外商参与其国内市场竞标等。其公司</w:t>
      </w:r>
    </w:p>
    <w:p w14:paraId="32896BB2">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首席执行官菲利普·梅利耶在接受《金融时报》采访时呼吁西方国家不要购买中国生产的机车。</w:t>
      </w:r>
    </w:p>
    <w:p w14:paraId="7E5C05B2">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应对这些风险，要有科学的理念。(1)改革本身是充满风险的事业。邓小平在1988年6月3日谈到:改革没有万无一失的方案，问题是要搞得比较稳妥一些，选择的方式和时机要恰当。“不犯错误不可能，要争取犯得小一点，遇到问题就及时调整。这是有风险的事情，但我看可以实现，可以完成。这个乐观的预言，不是没有根据的。同时，我们要</w:t>
      </w:r>
    </w:p>
    <w:p w14:paraId="418578B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把工作的基点放在出现较大的风险上，准备好对策。这样，即使出现了大的风险，天也不会塌下来。”他还强调，不冒点风险，办什么事情都有百分之百的把握，万无一失，谁敢说这样的话?(2)要有忧患意识。“生于忧患，死于安乐”，这是江泽民同志反复强调的一句话。对国际敌对势力的渗透、破坏活动，对敌对分子颠覆中国共产党和社会主义制度的政治图谋，对民族分裂主义势力的分裂活动，对暴力恐怖活动等要有高度的警觉，要有风险意识。在这个问题上，切不可书生气十足;在这个方面，千万不可天真。(3)要掌</w:t>
      </w:r>
    </w:p>
    <w:p w14:paraId="3E37D66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握辩证唯物主义的认识论，努力解决人类认识过程中有限和无限、已知和未知的矛盾，加强对客观世界特别是对支配人们日常生活的外部力量的认识。</w:t>
      </w:r>
    </w:p>
    <w:p w14:paraId="448B0146">
      <w:pPr>
        <w:pStyle w:val="6"/>
        <w:spacing w:line="400" w:lineRule="exact"/>
        <w:ind w:firstLine="420" w:firstLineChars="200"/>
        <w:rPr>
          <w:rFonts w:hint="eastAsia" w:hAnsi="宋体"/>
          <w:b/>
          <w:bCs/>
          <w:color w:val="000000" w:themeColor="text1"/>
          <w14:textFill>
            <w14:solidFill>
              <w14:schemeClr w14:val="tx1"/>
            </w14:solidFill>
          </w14:textFill>
        </w:rPr>
      </w:pPr>
      <w:r>
        <w:rPr>
          <w:rFonts w:hint="eastAsia" w:hAnsi="宋体"/>
          <w:b/>
          <w:bCs/>
          <w:color w:val="000000" w:themeColor="text1"/>
          <w14:textFill>
            <w14:solidFill>
              <w14:schemeClr w14:val="tx1"/>
            </w14:solidFill>
          </w14:textFill>
        </w:rPr>
        <w:t>(五)中国模式是否是实用主义?</w:t>
      </w:r>
    </w:p>
    <w:p w14:paraId="19E47404">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德国杜伊斯堡—埃森大学政治学研究所P东亚学研究所所长托马斯·海贝勒曾经在2005年发表题为《关于中国模式若干问题的研究》的文章。他认为政治实用主义是中国发展模式和政治文化的显著特色。他说:“这种实用主义的特征如下:经济上，从计划经济到市场经济的转型，或者说政治的经济化。政治上，共产党已经从一个阶级的政党发展成为一个人民的政党。意识形态上，政府的目标不再是一个遥不可及的‘共产主义’，而是一个不太遥远的‘和谐社会’。政权的合法性不再基于意识形态之上，而是基于对现代化、增强国力、维护安定、建立社会主义民主等的承诺。许多事例都表明了这种政治实用主义，例如，经济改革从计划经济到市场经济的转变，在发展过程中允许私人成分的加入、允许外资的流入、认可社会的急剧变化等。我们甚至可以从中国共产党党章的变化来解读中国的政治实用主义。”这是一种片面的观点。中国模式坚持以马克思主义世界观为指导，不是什么实用主义。这一模式强调实事求是，强调求真务实，但这不是什么实用主义。我们党在强调为社会主义初级阶段现代化目标奋斗的同时，始终强调共产主义的远大理想。我们党强调以人为本，始终把实现好、维护好、发展好最广大人民的根本利益作为党和国家一切工作的出发点和落脚点，尊重人民主体地位，发挥人民首创精神，保障人民各项权益，走共同富裕道路，促进人的全面发展，做到发展为了人民、发展依靠人民、发展成果由人民共享。这种以人民的根本利益为工作出发点和落脚点的观点是完全不同于以个人利益追求和目标实现为衡量标准的实用主义的。</w:t>
      </w:r>
    </w:p>
    <w:p w14:paraId="1D53B3DE">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看待中国模式，一定要运用马克思主义的立场、观点和方法。中国模式是中国人民在中国共产党领导下不懈探索的结果，是具有开创性的模式;世界上没有放之四海而皆准的发展道路和发展模式，也没有一成不变的发展道路和发展模式;我们既不能把书本上的个别论断当做束缚自己思想和手脚的教条，也不能把实践中已见成效的东西看成完美无缺的模式;我们要适应国内外形势新变化、顺应人民新期待，坚定信心，砥砺勇气，不断完善适合我国国情的发展道路和发展模式。</w:t>
      </w:r>
    </w:p>
    <w:p w14:paraId="0FB50CDC">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（原载于《外国经济学说与中国研究报告（2011），第二作者为辛向阳。》</w:t>
      </w:r>
    </w:p>
    <w:p w14:paraId="0ACB0283">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 xml:space="preserve"> </w:t>
      </w:r>
    </w:p>
    <w:p w14:paraId="29120563">
      <w:pPr>
        <w:pStyle w:val="3"/>
        <w:ind w:firstLine="640" w:firstLineChars="200"/>
        <w:outlineLvl w:val="1"/>
        <w:rPr>
          <w:rFonts w:hint="eastAsia"/>
          <w:color w:val="000000" w:themeColor="text1"/>
          <w14:textFill>
            <w14:solidFill>
              <w14:schemeClr w14:val="tx1"/>
            </w14:solidFill>
          </w14:textFill>
        </w:rPr>
      </w:pPr>
      <w:bookmarkStart w:id="1490" w:name="_Toc20649"/>
      <w:bookmarkStart w:id="1491" w:name="_Toc7614"/>
      <w:bookmarkStart w:id="1492" w:name="_Toc114057784"/>
      <w:bookmarkStart w:id="1493" w:name="_Toc485224583"/>
      <w:bookmarkStart w:id="1494" w:name="_Toc1803660615"/>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4</w:t>
      </w:r>
      <w:r>
        <w:rPr>
          <w:rFonts w:hint="eastAsia" w:ascii="黑体" w:hAnsi="黑体"/>
          <w:color w:val="000000" w:themeColor="text1"/>
          <w14:textFill>
            <w14:solidFill>
              <w14:schemeClr w14:val="tx1"/>
            </w14:solidFill>
          </w14:textFill>
        </w:rPr>
        <w:t>应对资本主义危机要超越新自由主义和凯恩斯主义</w:t>
      </w:r>
      <w:bookmarkEnd w:id="1490"/>
      <w:bookmarkEnd w:id="1491"/>
      <w:bookmarkEnd w:id="1492"/>
      <w:bookmarkEnd w:id="1493"/>
      <w:bookmarkEnd w:id="1494"/>
    </w:p>
    <w:p w14:paraId="302047CC">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破解经济危机带来的困局，实现公平而持续的经济发展，是各国关心的共同主题。由于国际金融危机的肆虐，当前世界经济、贸易和工业生产增速出现了放缓趋势。尽管各主要经济体都采取了反危机的各种措施，但资本主义各国经济复苏乏力。美国产能利用率仍处较低水平，而失业率居高不下；欧盟经济受主权债务危机拖累，被迫紧缩财政赤字，可能像日本一样滑向迷失的十年；日本经济继续面临通货紧缩压力，经济增长缓慢。而新兴市场国家经济增长也有快有慢，通胀压力普遍较大。由于各国经济刺激计划已陆续出台，就业、赤字、债务、产能过剩、通胀和美国量化宽松政策等引发的不确定性风险可能继续释放，世界经济发展面临严峻的挑战。</w:t>
      </w:r>
    </w:p>
    <w:p w14:paraId="755750D6">
      <w:pPr>
        <w:spacing w:line="400" w:lineRule="exact"/>
        <w:ind w:firstLine="420" w:firstLineChars="200"/>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100</w:t>
      </w:r>
      <w:r>
        <w:rPr>
          <w:rFonts w:hint="eastAsia" w:ascii="宋体" w:hAnsi="宋体"/>
          <w:color w:val="000000" w:themeColor="text1"/>
          <w14:textFill>
            <w14:solidFill>
              <w14:schemeClr w14:val="tx1"/>
            </w14:solidFill>
          </w14:textFill>
        </w:rPr>
        <w:t>多年前，马克思就指出，世界市场危机必须看作资产阶级经济一切矛盾的现实综合和强制平衡。</w:t>
      </w:r>
      <w:r>
        <w:rPr>
          <w:rFonts w:ascii="Times New Roman" w:hAnsi="Times New Roman"/>
          <w:color w:val="000000" w:themeColor="text1"/>
          <w14:textFill>
            <w14:solidFill>
              <w14:schemeClr w14:val="tx1"/>
            </w14:solidFill>
          </w14:textFill>
        </w:rPr>
        <w:t>100</w:t>
      </w:r>
      <w:r>
        <w:rPr>
          <w:rFonts w:hint="eastAsia" w:ascii="宋体" w:hAnsi="宋体"/>
          <w:color w:val="000000" w:themeColor="text1"/>
          <w14:textFill>
            <w14:solidFill>
              <w14:schemeClr w14:val="tx1"/>
            </w14:solidFill>
          </w14:textFill>
        </w:rPr>
        <w:t>多年过去了，资本主义经济仍然需要通过一次次经济危机这种强制平衡来延续，危机的根源即资本主义基本矛盾仍然没有改变，改变的不过是它的表现形式。当新自由主义在全球肆意横行、有人高呼社会主义“历史终结”的时候，嬗变为国际垄断资本的经济范式和政治纲领的新自由主义和凯恩斯主义药方，并没有给世界经济带来繁荣，却带来了全球性的经济动荡，世界贫富分化的矛盾更加尖锐，地区差距、国家差距、民族差距和阶级差距变得更大。断言以资本主义私有化和西方自由民主制度为人类方向的“普世价值”和“历史终结”神话并没有变成现实，由经济基础决定的世界政治和军事形势也没有因为“一超”主导和欧盟“集体帝国主义”（萨米尔·阿明语）行为而变得更加稳定，资本主义经济、政治、文化和军事的价值观带给世界的不是劳动人民的自由，而是垄断资本的自由及其所导致的前所未有的混乱和无序。现在，一切不带偏见的人都可以看出，由美国主导的各种资产阶级理论和政策，不仅不能挽救资本主义，反而大大地加深了世界经济体系的矛盾，成了历史的反面教材。就连曾经主张“历史终结论”的福山也不得不在其《新保守主义之后》一书中承认：对美国保守主义的批评实在是很让人信服的，而解决方法则是去改善既成事实，搭建一个“多极世界”。</w:t>
      </w:r>
    </w:p>
    <w:p w14:paraId="20631A22">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资本主义危机是一面镜子，折射了世界的未来发展方向。在资本主义危机下，资本增值要求与劳动者生活状态恶化、国际垄断资本扩张与民族经济发展、经济增长与生态环境等之间的紧张关系不断加剧，将大大加快世界经济的分化、重组和重建进程，世界格局和世界秩序“一超独霸”的时代也将一去不复返。可以预见，未来世界格局将发生三个“超越”。一是在经济发展上将超越新自由主义和凯恩斯主义的理论枷锁，重新认识国际垄断资本主导下的自由化、私有化、市场化的局限性，使普通民众摆脱贫困的努力建立在其真正的经济权利、特别是对生产资料所有权的掌控之上，构建公正的经济全球化、地区化和集团化机制。二是在政治发展上超越“一超”主导的世界政治力量版图，摆脱少数西方国家频频干涉别国内政和人权进步的状态，保障自由民主的人民性、自由民主表达的多样性，构建民主的政治多极化和国防自卫化机制。三是在文化发展上将超越资本主义的单一价值观，确认各国和各民族文化的差异性，构建丰富的文化多样化和交互化机制。有理由相信，仍在发展和深化的资本主义危机，将不断唤醒世界各国人民对更高社会形态的渴望和探索，逐渐增强世界社会主义理论和运动的力量。</w:t>
      </w:r>
    </w:p>
    <w:p w14:paraId="6179BBC9">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对后资本主义的未来和更高社会形态的不懈探索，是</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世纪以来人类社会的伟大壮举，其中既有成功的经验，也有严重的曲折。今年是苏联解体</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周年，苏联的解体使世界由两极对立演变为“一超”主导格局，加速了资本主义在全球的扩张，导致世界范围内的金融、资源、环境、领土、民族、宗教等问题也日益突出。苏联解体并不表明社会主义行不通，更不表明马克思主义已经过时。大量的文献研究表明，苏联解体的最主要原因不在于所谓的苏联计划经济缺陷和生活水平低下以及民主程度不够等，而是苏联领导集团主动背叛马克思主义、放弃社会主义制度的结果。然而，抛弃社会主义制度并没有给俄罗斯和东欧国家带来经济奇迹，却纷纷陷入了经济衰退和发展缓慢的泥潭。</w:t>
      </w:r>
    </w:p>
    <w:p w14:paraId="6FD1B078">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与此同时，实行社会主义市场经济的中国和越南、实行“市场社会主义”的白俄罗斯以及实行“</w:t>
      </w:r>
      <w:r>
        <w:rPr>
          <w:rFonts w:ascii="Times New Roman" w:hAnsi="Times New Roman"/>
          <w:color w:val="000000" w:themeColor="text1"/>
          <w14:textFill>
            <w14:solidFill>
              <w14:schemeClr w14:val="tx1"/>
            </w14:solidFill>
          </w14:textFill>
        </w:rPr>
        <w:t>21</w:t>
      </w:r>
      <w:r>
        <w:rPr>
          <w:rFonts w:hint="eastAsia" w:ascii="宋体" w:hAnsi="宋体"/>
          <w:color w:val="000000" w:themeColor="text1"/>
          <w14:textFill>
            <w14:solidFill>
              <w14:schemeClr w14:val="tx1"/>
            </w14:solidFill>
          </w14:textFill>
        </w:rPr>
        <w:t>世纪社会主义”的委内瑞拉等国家，都呈现发展又好又快的新局面。这些国家的成功经验表明，各种社会主义特征的新型经济体制模式，比美国等新自由主义和北欧等凯恩斯主义主导下的资本主义经济体制框架更加有效。中国特色社会主义道路是发展中大国的一种有益探索。中国经济体制的目标模式是实行公有主体型的多种类产权制度、劳动主体型的多要素分配制度、国家主导型的多结构市场制度和自立主导型的多方位开放制度。中国需要在各种挑战中继续坚持和完善社会主义经济体制和机制。</w:t>
      </w:r>
    </w:p>
    <w:p w14:paraId="2E2B1479">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应当指出，西方国家通过诺贝尔经济学奖在全世界推广其经济价值观、理论和政策。而这个所谓的诺贝尔经济学奖，其全称是“瑞典国家银行纪念阿尔弗雷德·诺贝尔经济学奖”，但“瑞典银行”的股权并不由瑞典人拥有，也不是由瑞典国家拥有，而是由“国际出资人”拥有，使该奖实质上成为借诺贝尔之名颁发的资产阶级经济学奖。它以半秘密的右翼团体即共济会的主流意识形态为标准，具有鲜明的政治和意识形态涵义。美国倡导“新社会主义”的加尔布雷斯、英国沟通凯恩斯主义和马克思主义的“剑桥学派”等带有一定进步性的资产阶级和小资产阶级经济学家，都被排挤而未曾获得此奖。对于这种情况，诺贝尔侄孙彼得·诺贝尔先生称之为“占诺贝尔之名的布谷鸟”。</w:t>
      </w:r>
    </w:p>
    <w:p w14:paraId="133474A7">
      <w:pPr>
        <w:spacing w:line="400" w:lineRule="exact"/>
        <w:ind w:firstLine="420" w:firstLineChars="200"/>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月</w:t>
      </w:r>
      <w:r>
        <w:rPr>
          <w:rFonts w:ascii="Times New Roman" w:hAnsi="Times New Roman"/>
          <w:color w:val="000000" w:themeColor="text1"/>
          <w14:textFill>
            <w14:solidFill>
              <w14:schemeClr w14:val="tx1"/>
            </w14:solidFill>
          </w14:textFill>
        </w:rPr>
        <w:t>29</w:t>
      </w:r>
      <w:r>
        <w:rPr>
          <w:rFonts w:hint="eastAsia" w:ascii="宋体" w:hAnsi="宋体"/>
          <w:color w:val="000000" w:themeColor="text1"/>
          <w14:textFill>
            <w14:solidFill>
              <w14:schemeClr w14:val="tx1"/>
            </w14:solidFill>
          </w14:textFill>
        </w:rPr>
        <w:t>日第六届世界政治经济学学会论坛，发表了题为“对资本主义危机的回应：超越新自由主义与凯恩斯主义”的共同宣言，其要义是：</w:t>
      </w:r>
    </w:p>
    <w:p w14:paraId="159BDD7A">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鉴于当前大多数资本主义国家的经济产出已在某种程度上恢复，一些分析人士声称经济大衰退已经结束。然而，始于</w:t>
      </w:r>
      <w:r>
        <w:rPr>
          <w:rFonts w:ascii="Times New Roman" w:hAnsi="Times New Roman"/>
          <w:color w:val="000000" w:themeColor="text1"/>
          <w14:textFill>
            <w14:solidFill>
              <w14:schemeClr w14:val="tx1"/>
            </w14:solidFill>
          </w14:textFill>
        </w:rPr>
        <w:t>2007</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年间的经济危机并未结束。当资本家收益增加、首席执行官们涨工资的时候，大多数国家失业率仍居高不下，工人们工资持续减少，中等人均收入都在下降，公共服务和社会事务质量骤降正影响着数以百万的人们。贫穷和饥饿的情形仍很严重。</w:t>
      </w:r>
    </w:p>
    <w:p w14:paraId="48141BEE">
      <w:pPr>
        <w:spacing w:line="400" w:lineRule="exact"/>
        <w:ind w:firstLine="420" w:firstLineChars="200"/>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2008</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间，大银行和非金融公司面临倒闭的威胁，资本主义宣称暂时放弃浮夸的自由市场策略，用纳税人的钱帮助他们脱离困境，与此同时，制定高开支计划来阻止经济崩盘。一旦完成救助，经济产出上的一落千丈的状况停下来，“精英舆论”将迅速变为支持财政紧缩的政策。</w:t>
      </w:r>
    </w:p>
    <w:p w14:paraId="0F07F222">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全球资产阶级正设法利用经济危机的形势更加全面地执行如今声名狼藉的新自由主义行为。他们突然发现政府预算平衡的优点，并借此来掩盖他们的行动：收回工人阶级在过去政治斗争中所赢得的一切社会利益，暗中破坏公共部门的工会运动。我们不同意把当今财政问题归咎于社会项目法规的论断，我们也尤为反对这种变相的美国式危害：过高地发放工资和红利；我们更加拒斥那些公共部门工人的工会代表权。很多实际问题是晚期资本主义所特有：毫无节制的金融投机，为保护企业利润的减薪需要，勉强要求有钱人公平缴纳应付的税款，高额的私有化医疗开支、军费开支、帝国主义战争开支（最后一条在美国尤为严重）。资本家们甚至连福利领域的增值机会都不放过，例如电力、市容、医疗、电信服务等。</w:t>
      </w:r>
    </w:p>
    <w:p w14:paraId="1C6D6FA6">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诸如此次的资本主义经济危机时期总会构成重大的危险。正当无数人遭受着经济危机所带来的负面影响时，右翼学术和政治势力正试图把人们的视线从大银行、大公司和资本主义制度这些经济危机的罪魁祸首身上引开，而将贫困移民、少数民族或非主流宗教作为替罪羊，以赢得公众的支持。在美国，相关的危险还来自对其他国家发展的恐惧。不择手段的政客们把自身的问题怪罪到其他国家。例如，美国的政客和大众媒体将他们的愤怒发泄到近期经济发展迅速而过去贫穷的国家，尤其是中国和印度。</w:t>
      </w:r>
    </w:p>
    <w:p w14:paraId="63857A38">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现代马克思主义政治经济学在这场理论和政策斗争中应发挥如下作用：一是推动各个国家出台调控政策和经济计划，以迅速扭转工人所处的恶化环境。二是批判右翼学术和政治势力将人们的注意力从实际问题转向全球和各国工人阶级的主张。三是推动发展非传统意义的</w:t>
      </w:r>
      <w:r>
        <w:rPr>
          <w:rFonts w:ascii="Times New Roman" w:hAnsi="Times New Roman"/>
          <w:color w:val="000000" w:themeColor="text1"/>
          <w14:textFill>
            <w14:solidFill>
              <w14:schemeClr w14:val="tx1"/>
            </w14:solidFill>
          </w14:textFill>
        </w:rPr>
        <w:t>21</w:t>
      </w:r>
      <w:r>
        <w:rPr>
          <w:rFonts w:hint="eastAsia" w:ascii="宋体" w:hAnsi="宋体"/>
          <w:color w:val="000000" w:themeColor="text1"/>
          <w14:textFill>
            <w14:solidFill>
              <w14:schemeClr w14:val="tx1"/>
            </w14:solidFill>
          </w14:textFill>
        </w:rPr>
        <w:t>世纪社会主义，以解决资本主义所产生的各种问题。四是分析新自由资本主义导致产生这场经济危机的路径和制度根源。五是制止以新帝国主义战争作为解救资本主义危机的手段。</w:t>
      </w:r>
    </w:p>
    <w:p w14:paraId="744B7573">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当下的经济危机为我们提供了机遇和挑战。危机明显地暴露了资本主义的非理性和新自由主义行为的非法化。从根本上解决当前和今后金融和经济危机的理论和政策，必须超越各种新自由主义和凯恩斯主义。我们相信，对世界上绝大多数人来说，很多经济问题的长远解决方案是放弃资本主义，建立全球的社会主义制度。对于资本主义制造的巨大麻烦，马克思主义政治经济学家有责任面向急切的公众给出问题的答案。</w:t>
      </w:r>
    </w:p>
    <w:p w14:paraId="072D0C55">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理想的社会主义制度之下，每个人都能获得一份工作和满意的工作环境，而不是失业和过劳。每个人都会有一份足够的收入，而不是一小部分人富有而大多数人过着入不敷出的生活。国家将会为人们提供共同的消费需求，而不是去削减有价值的公共项目。保证每个人从出生到终老都有满意的居住条件，而不是资本主义经济所固有的持续不稳定状况。全球的社会主义制度是使得相互尊重国家主权的和平国际关系成为可能的制度，而不是被富于侵略性的资本主义驱使去控制他国的市场、技术、资源和生态。社会主义将会给世界带来一个基于合作和互利之上的经济制度，而不是以全世界工人在持续到底的战斗中彼此对抗为前提的国际经济部署。</w:t>
      </w:r>
    </w:p>
    <w:p w14:paraId="31FAD1C0">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全世界的马克思主义经济学家应联合起来，让我们通过文章、交流、合作、组织等各种研究方式，为实现上述价值目标而努力。</w:t>
      </w:r>
    </w:p>
    <w:p w14:paraId="36C12268">
      <w:pPr>
        <w:spacing w:line="400" w:lineRule="exact"/>
        <w:ind w:firstLine="420" w:firstLineChars="200"/>
        <w:jc w:val="right"/>
        <w:rPr>
          <w:rFonts w:hint="eastAsia"/>
          <w:color w:val="000000" w:themeColor="text1"/>
          <w14:textFill>
            <w14:solidFill>
              <w14:schemeClr w14:val="tx1"/>
            </w14:solidFill>
          </w14:textFill>
        </w:rPr>
      </w:pPr>
      <w:r>
        <w:rPr>
          <w:rFonts w:hint="eastAsia"/>
          <w:color w:val="000000" w:themeColor="text1"/>
          <w14:textFill>
            <w14:solidFill>
              <w14:schemeClr w14:val="tx1"/>
            </w14:solidFill>
          </w14:textFill>
        </w:rPr>
        <w:t xml:space="preserve"> </w:t>
      </w:r>
    </w:p>
    <w:p w14:paraId="59264E66">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（原载《红旗文稿》</w:t>
      </w:r>
      <w:r>
        <w:rPr>
          <w:rFonts w:ascii="Times New Roman" w:hAnsi="Times New Roman"/>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18</w:t>
      </w:r>
      <w:r>
        <w:rPr>
          <w:rFonts w:hint="eastAsia" w:ascii="宋体" w:hAnsi="宋体"/>
          <w:color w:val="000000" w:themeColor="text1"/>
          <w14:textFill>
            <w14:solidFill>
              <w14:schemeClr w14:val="tx1"/>
            </w14:solidFill>
          </w14:textFill>
        </w:rPr>
        <w:t>期）</w:t>
      </w:r>
    </w:p>
    <w:p w14:paraId="5C1CBBF8">
      <w:pPr>
        <w:spacing w:line="400" w:lineRule="exact"/>
        <w:ind w:firstLine="420" w:firstLineChars="200"/>
        <w:rPr>
          <w:color w:val="000000" w:themeColor="text1"/>
          <w14:textFill>
            <w14:solidFill>
              <w14:schemeClr w14:val="tx1"/>
            </w14:solidFill>
          </w14:textFill>
        </w:rPr>
      </w:pPr>
      <w:r>
        <w:rPr>
          <w:color w:val="000000" w:themeColor="text1"/>
          <w14:textFill>
            <w14:solidFill>
              <w14:schemeClr w14:val="tx1"/>
            </w14:solidFill>
          </w14:textFill>
        </w:rPr>
        <w:t xml:space="preserve"> </w:t>
      </w:r>
    </w:p>
    <w:p w14:paraId="31E6EEEA">
      <w:pPr>
        <w:pStyle w:val="3"/>
        <w:ind w:firstLine="640" w:firstLineChars="200"/>
        <w:outlineLvl w:val="1"/>
        <w:rPr>
          <w:rFonts w:hint="eastAsia"/>
          <w:color w:val="000000" w:themeColor="text1"/>
          <w14:textFill>
            <w14:solidFill>
              <w14:schemeClr w14:val="tx1"/>
            </w14:solidFill>
          </w14:textFill>
        </w:rPr>
      </w:pPr>
      <w:bookmarkStart w:id="1495" w:name="_Toc20164"/>
      <w:bookmarkStart w:id="1496" w:name="_Toc22869"/>
      <w:bookmarkStart w:id="1497" w:name="_Toc114057785"/>
      <w:bookmarkStart w:id="1498" w:name="_Toc1174158822"/>
      <w:bookmarkStart w:id="1499" w:name="_Toc244795253"/>
      <w:bookmarkStart w:id="1500" w:name="_Toc114057786"/>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5</w:t>
      </w:r>
      <w:r>
        <w:rPr>
          <w:rFonts w:ascii="黑体" w:hAnsi="黑体"/>
          <w:color w:val="000000" w:themeColor="text1"/>
          <w14:textFill>
            <w14:solidFill>
              <w14:schemeClr w14:val="tx1"/>
            </w14:solidFill>
          </w14:textFill>
        </w:rPr>
        <w:t>做强做优的新国企策论</w:t>
      </w:r>
      <w:bookmarkEnd w:id="1495"/>
      <w:r>
        <w:rPr>
          <w:rFonts w:hint="eastAsia" w:ascii="黑体" w:hAnsi="黑体"/>
          <w:color w:val="000000" w:themeColor="text1"/>
          <w14:textFill>
            <w14:solidFill>
              <w14:schemeClr w14:val="tx1"/>
            </w14:solidFill>
          </w14:textFill>
        </w:rPr>
        <w:t>——</w:t>
      </w:r>
      <w:r>
        <w:rPr>
          <w:rFonts w:cs="Calibri"/>
          <w:color w:val="000000" w:themeColor="text1"/>
          <w14:textFill>
            <w14:solidFill>
              <w14:schemeClr w14:val="tx1"/>
            </w14:solidFill>
          </w14:textFill>
        </w:rPr>
        <w:t>“2011</w:t>
      </w:r>
      <w:r>
        <w:rPr>
          <w:rFonts w:ascii="黑体" w:hAnsi="黑体"/>
          <w:color w:val="000000" w:themeColor="text1"/>
          <w14:textFill>
            <w14:solidFill>
              <w14:schemeClr w14:val="tx1"/>
            </w14:solidFill>
          </w14:textFill>
        </w:rPr>
        <w:t>中国国有经济发展论坛</w:t>
      </w:r>
      <w:r>
        <w:rPr>
          <w:rFonts w:cs="Calibri"/>
          <w:color w:val="000000" w:themeColor="text1"/>
          <w14:textFill>
            <w14:solidFill>
              <w14:schemeClr w14:val="tx1"/>
            </w14:solidFill>
          </w14:textFill>
        </w:rPr>
        <w:t>”</w:t>
      </w:r>
      <w:bookmarkEnd w:id="1496"/>
      <w:bookmarkEnd w:id="1497"/>
      <w:bookmarkEnd w:id="1498"/>
      <w:bookmarkEnd w:id="1499"/>
    </w:p>
    <w:p w14:paraId="6AF9C1EC">
      <w:pPr>
        <w:pStyle w:val="6"/>
        <w:spacing w:line="400" w:lineRule="exact"/>
        <w:ind w:firstLine="420" w:firstLineChars="200"/>
        <w:rPr>
          <w:rFonts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首先我代表中国社科院对论坛的顺利召开表示热烈的祝贺！</w:t>
      </w:r>
    </w:p>
    <w:p w14:paraId="18C3A02B">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吉林大学我也很熟，去过好几次。这次会议我觉得和前两次不一样，注意了一下报道，前两次我也注意了，这次会议可以听到好几位坚决主张做强做优的经济学界专家的演讲，这是一个转折，这个转折和国资委领导、和张德江同志发挥更大的作用有关，因为去年我们也参加了一些国企杂志社的会议，跟国资委的局长有所交流，前年我还请研究局的副局长到我们马研院来做报告，听了以后，才知道原来国资委有很多自己的想法。原来我在各地作报告，实事求是地说我是批评国资委的，听到以后，我知道有些想法不是国资委能决定的，所以我从去年开始就一直主张国资委不能低调，因为人家是高调国企，主张私有化，所以仅靠我们少数马克思主义经济学家在那维护，舆论几乎是不利于贯彻中央文件的精神。所以从去年开始，国资委把那些编委大部分都换了，原来属于消灭国有企业的人都是反对国资委的编委，现在换的都是支持国资委的编委。今天开的这个论坛是个重要的转折，这个转折将来在中国的国有企业、国有经济发展史上会留下痕迹。</w:t>
      </w:r>
    </w:p>
    <w:p w14:paraId="0AD947F2">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国有企业是我长期跟踪研究的十几个问题之一，从1992年、1993年开始，我当时在上海财经大学工作，我是上海国资委的咨询专家，他们主要的会议我都参加了。我记得国资局（国资委的前身）第一次在财政部下面成立一个副部级的国资局，第一任局长当时到上海财大去开座谈会，我就向他提出我的改革模式，他听了彳艮感兴趣，也邀请我出席第一次国资局成立大会，半年以后，他向江泽民同志汇报工作的时候，把我这个模式称之为是三大模式之一。我在1993年提的国资管理模式简单来说是（一府两相），国资委应该成为一个政府级单位，不应该是财政部下面的，国资委应该是一个独立的决策系统，不应该是财政部、发改委、工信部。其他政府部门都是没有最后的决策权，都属于政策调整，最后的决策权应该是国资委独立的管理系统，国资管理系统应该是三个层次：一个是国有企业；第二是控股公司；第三就是国资委。当时90年代我提岀的总经理、董事长都应该市场招聘，不应该在组织部门里面设一个专门来招聘国有企业或者控股公司的负责人，应该由国资委独立自主地招聘。像上海这些都是组织部门管理国资的人变到了国资委党委里面去了，这个也是一个主张。但是三年前，因为我作为人大代表，当时要制定国资法，当时我提了五六条意见，按照他们现在的程序，他们一般是不接受的，所以五六条没有一条接受的。他们跟我沟通，我说你们这个民主决策的办法有问题，你请的都是一派意见，然后制定法，最后就两句话，谁看得懂。有的同志老是强调政治体制改革，首先你民主决策要请不同意见的人参加，你都是一派意见，召开专家座谈会都是一派意见，这是中国最大的不民主，智库很多，实际真正的智库很少。有些是智库单位，我说我们报的东西好像是不符合社科院身份，他们政府方面说，只要跟领导讲的不一样，他们会打招呼，所以编辑部不敢发，首先政府的决策要民主，这里我不细讲了。</w:t>
      </w:r>
    </w:p>
    <w:p w14:paraId="4FC548DA">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1997年，我在上海召开国际论坛就讨论过国有企业的问题，据我观察，很快就会出现国有企业大规模萎缩的过程，有进有退这些方针是对的，但是如果是大规模的退出，要退岀一切竞争性领域，我说这个没有理论上的依据，对中国特色社会主义只有坏处，没有好处，也不符合国际惯例。所以当时我们就开过好多会，讨论国资法的时候，比如我随便举两个例子，第一我说国企改制，有的非要改制的时候，应该明确经过人代会批准，但是国资法是征求（人代会）意见，征求意见他爱听就听，不爱听就不听，这样有时候经常会侵犯工人的利益。昨天我还收到鞍钢几十位工人按手印，给我寄来的书面材料，反映鞍钢两万工人下岗，待遇很差，因为各地的工人也看到过我的一些文章，我每年都会收到好多信，但是按照人大代表的规定，我们是不做处理的。这种事情非常普遍，我们也管不过来，我们只能从理论上，从政策上提出我们的建议。</w:t>
      </w:r>
    </w:p>
    <w:p w14:paraId="6DEBBF73">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上个月我在中国社科院召开了大型智库论坛——第五届智库论坛，提出了我们对国企应当如何发展，如何改革，如何做强做优，甚至应该做大，我写了一篇文章，我现在不读了，我主要是回应学术界包括有些政府部门，我们也听过一些省委书记讲话，这些观点我把它概括为十个观点来加以评论，比如说我现在讲一个总的，我们这次讨论叫经济发展模式，有没有中国经济模式呢？邓小平认为有。两三次讲话明确指出，我们有自己的模式。但是我们社会上不少人认为，不再谈中国模式，说中国模式有两大缺点：第一，国家宏观调控太多，应该像美国像香港；第二，国有企业太多。观点鲜明的人很多。我这里举一个例子，刚刚退职的香港招商集团的董事长秦晓先生说，我们要用西方的普世价值观替代中国模式论。就把这个观点挑明了，又一次思想交锋，大家可以在网上看他的文章，是不是符合党中央的精神，西方的普世价值观要替代中国模式。国有企业你要坚持宪法、党章、党中央文件所说的，全国人大委员长历次报告、三月份报告都提出过，要坚持公有制为主体，国有制经济为主导。</w:t>
      </w:r>
    </w:p>
    <w:p w14:paraId="5C7684F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俄罗斯经过20年的改革，目前国有企业什么样呢？它的国有企业数量占企业总数的8.2%,它的国企就业总数占整个社会就业总数的31.5%o它的固定资产投资占全社会的40%,它的GDP占一半，50%。他们把这个叫做社会市场经济，实际上就是资本主义市场经济，如果你看了这四个数字，企业数少这个不是主要的，因为它大，就可以少，主要是前三个数字，就业总数占31.5%o我们国有企业就业总数有没有31.5%,因为1989年以后国家统计局不再统计国有企业某些指标，尤其是资产的指标。两会委员不少人提过意见，提过建议书，希望国家统计局能够继续统计，可是国家统计局不愿意统计，不愿意统计的动机是什么？我想这个很明确，大家可以想象的。所以我们中国改革在世界里面，主张改革的人这两年分别发表意见，既然宪法这样规定，党中央文件这样规定，国家的各个部门，各个省市都有权围绕这点，要维护宪法，维护党章严肃性，不能各搞一套。现在很多马克思主义经济学家手上没有资料来证明国有企业资产所占的比重等等，而是靠全国工商联说民营经济占65%,倒推国有经济还有多少，这也是不负责任的一个表现。如果要改那就先改宪法，改完了，马克思主义经济学家没有意见，如果宪法党章没有改,这样做是不是政令统一，是不是真正的依法治国，是不是一个民主的国家应该做的？这个意见不是我一个人的意见，是所有主张国有企业做大做强的坚定的马克思主义者，包括在座的张全景同志。</w:t>
      </w:r>
    </w:p>
    <w:p w14:paraId="5A3B8D06">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我在那篇文章里回应了十个观点，我在这里提其中的几个，比如说认为国有企业只是拾遗补缺的，这个是西方资产阶级执政党以及他的理论家提出的观点。他们是私有制为主体，国有经济是为私有经济服务的，平时如果这个行业是亏损的，或者投资收益比较低，私人不能干，国家去干。干了盈利了，再卖给私人，什么叫资产阶级政府？什么叫人民政府？在国企上面就是最典型的表现。一个是我们办国企为主，私企是作为一个重要的组成部分，按照邓小平讲话是为了巩固公有制，所以才发展私有制，他们是为了巩固私有制才发展一点公有制，这个性质不一样的，特点功能不一样的。十年前我就听到，当时某一个省的省委书记说，国企不要与“民”竞争，这就是资产阶级典型的口号，他那个“民”不是人民，是资本家，尤其是大的垄断资本家。</w:t>
      </w:r>
    </w:p>
    <w:p w14:paraId="41BCDABD">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第二个观点，包括人民日报两个退休的副总编都写过文章，国有企业不是共产党执政的基础，几年前我在中央领导中南海开会讨论国企的时候，我就直接批评了这个观点。我说你可以看，不要说马克思主义基本观点了，我们就看《江泽民文选》第三卷，有一篇巩固社会主义基础，34页就说了一个观点，公有企业主要是指国企，是共产党执政等上层建筑的经济基础。社会主义社会的经济基础是包括非公经济的，但是社会主义性质的经济基础就是单指公有制。你去看美国出的经济学大辞典，当讲到什么是社会主义的时候，运行机制、调节方式主要是市场机制，但是公有制是主要的，所以西方有一些学者也看到这一点，如果都是一样的话，还搞什么非公有化、私有化、民营化，没有必要了。我们知道国内外学术界有两种观点，第一种观点是认为只有私有化才有效率，第二种观点就是超效率，私有化和公有化跟效率没有关系，郎咸平是这样主张的，他是在台湾读过本科，受三民主义的影响，认为国家应该办企业，国有银行、工业、商业，大的不能控制在私人手上，这是三民主义之所以叫做小资产阶级社会主义的原因之一。2002年江泽民同志在上海开座谈会，当时我在常规汇报之外，提了两条，十六大要搞清一个理论问题，就是邓小平理论和三民主义有何异同，我去台湾也收集过资料，我说它（三民主义）认为国民党是抑制资本，抑制资本就是抑制私人大资本。所以现在有些人认为，很多大的企业也都可以私有，可以国家不掌管，这个跟三民主义是不同的。经济制度特别是所有制制度和谐是分配和谐和其他政治、意识形态、文化方面发展的一个基础，这是一个争论。共产党执政的经济基础是什么，当然我在那次会议上提出，我说在撒切尔夫人、日本、叶利钦包括中国人有些人的讲话，三个概念是一个概念，私有化、非公有化、民营化是一个概念。叶利钦搞资本主义颠覆共产党的时候，他用的是私有化，民营化是日本的资产阶级爱用，所以很多报刊，你讲私有化不行，你讲民营化就可以。有一位工商联的副主席提出要以民营经济为主体，人民大学的教授还专门写了文章，说这样的做法是背离了宪法。</w:t>
      </w:r>
    </w:p>
    <w:p w14:paraId="1DA265BD">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我最后讲一个问题，就是国有企业和民生有没有关系，和经济危机有没有关系。你看西方的观点都可以看到，私有制为主体，肯定美国若干年会出现经济衰退的，这个自马克思以来都是这样的，当代也是这样，无非是大小。包括瑞典在内，它仍然是一个贫富分化的社会，只是它最低水平比我们中国高，瑞典不是一个共同富裕的典型，也是一个两极分化，只不过它分化的程度比美国高一些。贫富分化主要看财富占有，美国一位学者说1%的美国人控制了40%的财富，他用的指标是整个社会财富指标，包括生产资料在内的，而且他断定，如果这样的话，1%和99%将形成对抗，美国可能会发生问题，他是新凯恩斯奖的获得者。</w:t>
      </w:r>
    </w:p>
    <w:p w14:paraId="6BEF2E05">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去年我在会议上讲，国资委应该自己办报刊，应该不只是低调，应该来回应一些误解也好，偏见也好，攻击也好。现在国资委领导已经接受这个意见，准备办了。第二条，我说利润，财政部或者国资委只允许交5%的利润，后来又说5%到15%,我说这个定得太死，应该根据每一个集团的情况，国家需要你这个集团继续大规模发展，那么你就是一分钱不交也是可以的，如果不太需要你发展，那它就应该交超过15%的利润，应该是个灵活的情况，而不是一个死规定。因为我在安徽问黄山的管理局局长，我说你们每年赚多少？他说好几千万，我说你们交多少？他说我们交的很少，黄山不需要大规模投资，像这样的就应该让它交50%甚至80%。现在做得比较好的就是重庆模式，总的来说，重庆模式是中国特色社会主义和科学发展观落实得最好的一个模式。其中包括国企，它是国进民也进，不是国退民进，而且它是大规模走出去的，它的利润明确30%交财政，然后财政里面50%用于民生。所以现在自由派和有些糊涂的人批评国企，主要是两个理由，第一个理由就是说国企跟民生没有关系，你的利润都是自我循环，所以这个批评我认为应当要注意，注意的办法就是灵活交，很多企业可以超过10%。第二就是批评国企，你利润不交，但是你老总的工资那么高，你工人的福利那么好，所以你是私分或者国家允许你自己留下来了，这样就激起了广大群众对国企强烈的不满。有些人利用这点，为消灭国企奠定了舆论基础。这两条谁规定的，谁规定不能多上缴利润，谁规定国企的管理层拿那么多的薪水，根本不符合国际惯例。国际惯例最低的、北欧的一个国家他的国企的负责人的平均收入只相当于公务员的1.5倍，只增加了50%,当然也沱•略高一点的，但是没有高出十几倍的，所以根本不符合国际惯例。你经常讲国际星轨，该接轨的却没有接轨。现在部长也就十万左右，我们没有听过哪个部长跳槽，国企员工的福利普遍高于私有企业，这就是国企的特征，共同富裕。三年前制定国资法，我就主张要加的，当然我说加不是只说国企，还有私有企业，企业一般的职工收入包括福利，应该和高管层的收入和福利挂钩，它涨它也涨，绝对不能像美国，管理层增加了300多倍，工人只增加了百分之几十。第二挂钩就是和企业的劳动生产力挂钩，和企业三五年内的利润挂钩，还有就是和当地的物价挂钩，应该四挂钩，但是人大都没有接受，都是抽象地维护工人利益，劳动者的利益应该靠国家来维护的，是国家主导型。国家如果不主导，事实上就是私人垄断，资本家垄断。像“地王”就是这样，“地王”是供求关系决定的，也不是国企退出了，地价就降下来了，没有这个关系。</w:t>
      </w:r>
    </w:p>
    <w:p w14:paraId="1C27DE39">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还有一些内容，时间关系，我不再讲了，我讲得比较激烈，我想把我们的主要意见、创新马克思主义学派，在国资问题上做一个比较透彻的介绍。</w:t>
      </w:r>
    </w:p>
    <w:p w14:paraId="65185A34">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谢谢各位！</w:t>
      </w:r>
    </w:p>
    <w:p w14:paraId="703B994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（原载于《国有经济论丛》2011年。）</w:t>
      </w:r>
    </w:p>
    <w:p w14:paraId="20E7A4E4">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 xml:space="preserve"> </w:t>
      </w:r>
    </w:p>
    <w:p w14:paraId="2DA8E150">
      <w:pPr>
        <w:ind w:firstLine="420" w:firstLineChars="200"/>
        <w:rPr>
          <w:color w:val="000000" w:themeColor="text1"/>
          <w14:textFill>
            <w14:solidFill>
              <w14:schemeClr w14:val="tx1"/>
            </w14:solidFill>
          </w14:textFill>
        </w:rPr>
      </w:pPr>
    </w:p>
    <w:p w14:paraId="3913B078">
      <w:pPr>
        <w:pStyle w:val="3"/>
        <w:ind w:firstLine="640" w:firstLineChars="200"/>
        <w:outlineLvl w:val="1"/>
        <w:rPr>
          <w:rFonts w:hint="eastAsia" w:ascii="宋体" w:hAnsi="宋体" w:eastAsia="宋体"/>
          <w:color w:val="000000" w:themeColor="text1"/>
          <w:sz w:val="21"/>
          <w:szCs w:val="21"/>
          <w14:textFill>
            <w14:solidFill>
              <w14:schemeClr w14:val="tx1"/>
            </w14:solidFill>
          </w14:textFill>
        </w:rPr>
      </w:pPr>
      <w:bookmarkStart w:id="1501" w:name="_Toc22414"/>
      <w:bookmarkStart w:id="1502" w:name="_Toc860089071"/>
      <w:bookmarkStart w:id="1503" w:name="_Toc1842633166"/>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6</w:t>
      </w:r>
      <w:r>
        <w:rPr>
          <w:rFonts w:ascii="黑体" w:hAnsi="黑体"/>
          <w:color w:val="000000" w:themeColor="text1"/>
          <w14:textFill>
            <w14:solidFill>
              <w14:schemeClr w14:val="tx1"/>
            </w14:solidFill>
          </w14:textFill>
        </w:rPr>
        <w:t>西方马克思主义经济学家关于资本主义制度及其命运的研究</w:t>
      </w:r>
      <w:bookmarkEnd w:id="1500"/>
      <w:bookmarkEnd w:id="1501"/>
      <w:bookmarkEnd w:id="1502"/>
      <w:bookmarkEnd w:id="1503"/>
    </w:p>
    <w:p w14:paraId="2D71CD49">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1867年《资本论》第一卷出版后近一个半世纪以来，西方马克思主义经济思想取得了长足的发展。西方马克思主义经济思想是以马克思的经济思想为基础进行学术研究的，并始终关注经济理论与现实研究，从范畴到体系、从制度到运行，充满学术性，较少受到意识形态的影响。由于西方马克思主义经济学家身处发达资本主义经济社会中，他们在某种程度上对于资本主义和传统社会主义经济体制的弊病看得更深刻和更清楚。同时，他们也身处西方主流经济学的包围之中，这样对于马克思经济思想的研究视野显得更为宽阔，其研究问题涉及的领域较为广泛，除了对马克思主义经济学本身的探索之外，还就资本主义制度和命运，以及社会主义经济运行等问题展开了深入的探讨。本文主要对后者进行阐述。</w:t>
      </w:r>
    </w:p>
    <w:p w14:paraId="31AD9408">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 xml:space="preserve"> </w:t>
      </w:r>
    </w:p>
    <w:p w14:paraId="079E9A9F">
      <w:pPr>
        <w:spacing w:before="147" w:beforeLines="50" w:after="147" w:afterLines="50" w:line="400" w:lineRule="exact"/>
        <w:ind w:firstLine="480" w:firstLineChars="200"/>
        <w:jc w:val="center"/>
        <w:rPr>
          <w:rFonts w:hint="eastAsia" w:ascii="宋体" w:hAnsi="宋体"/>
          <w:b/>
          <w:bCs/>
          <w:color w:val="000000" w:themeColor="text1"/>
          <w:sz w:val="24"/>
          <w:szCs w:val="24"/>
          <w14:textFill>
            <w14:solidFill>
              <w14:schemeClr w14:val="tx1"/>
            </w14:solidFill>
          </w14:textFill>
        </w:rPr>
      </w:pPr>
      <w:bookmarkStart w:id="1504" w:name="_Toc30287"/>
      <w:bookmarkEnd w:id="1504"/>
      <w:bookmarkStart w:id="1505" w:name="_Toc16741"/>
      <w:bookmarkEnd w:id="1505"/>
      <w:bookmarkStart w:id="1506" w:name="_Toc24178"/>
      <w:bookmarkEnd w:id="1506"/>
      <w:bookmarkStart w:id="1507" w:name="_Toc5232"/>
      <w:bookmarkEnd w:id="1507"/>
      <w:bookmarkStart w:id="1508" w:name="_Toc8692"/>
      <w:r>
        <w:rPr>
          <w:rFonts w:hint="eastAsia" w:ascii="宋体" w:hAnsi="宋体"/>
          <w:b/>
          <w:bCs/>
          <w:color w:val="000000" w:themeColor="text1"/>
          <w:sz w:val="24"/>
          <w:szCs w:val="24"/>
          <w14:textFill>
            <w14:solidFill>
              <w14:schemeClr w14:val="tx1"/>
            </w14:solidFill>
          </w14:textFill>
        </w:rPr>
        <w:t>一、资本主义“崩溃”理论的探讨</w:t>
      </w:r>
      <w:bookmarkEnd w:id="1508"/>
    </w:p>
    <w:p w14:paraId="2D4B60E2">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早在20世纪前20年，西欧的马克思主义者就曾对资本主义制度的“崩溃”理论进行过激烈的争论。争论的焦点是，是否存在足以导致资本主义制度灭亡的那种全面的经济危机。到了20年代中期，这一争论的焦点主要集中在两个方面：第一，马克思经济思想中是否存在一种“崩溃”理论？资本主义制度实际发展中是否存在“崩溃”趋势？当时，考茨基和希法亭都认为，在“有组织的资本主义”的新时代，较大的经济危机已不可能再发生，从而在理论上否定了“崩溃”的可能性。鲍威尔(OttoBauer)等人则坚持认为，无论在理论上和现实上，资本主义制度的“崩溃”仍然有其内在的必然性。第二，在对引起资本主义制度“崩溃”原因的探讨上也存在着不同的解释，其中主要有鲍威尔和科里(L.Corey)的消费不足理论、波洛克(F．Pollock)的比例失调论、莫斯科斯卡对消费不足论和“过度积累”论的综合等观点。这些争论在“大萧条”期间得到了不同程度的体现。</w:t>
      </w:r>
    </w:p>
    <w:p w14:paraId="3922F1A6">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格罗斯曼在1929年“大萧条”爆发前夕出版的《资本主义制度的积累和崩溃的规律》一书，试图对资本主义“崩溃”理论作出新的探讨。他认为，对资本主义经济“崩溃”趋势的研究，必须从资本主义生产的内在本质规定性的研究出发，而不能从对商品流通或商品交换的表面现象的研究出发。资本主义的资本积累和扩大再生产，最终会导致资本主义积累由于缺乏用于积累的剩余价值而不能继续下去，因此资本主义制度必然由此走向“崩溃”。但是，格罗斯曼也认为，资本主义最后的“崩溃”只有在一些反作用趋势不再存在的情况下才可能实际地发生。这些反作用趋势主要表现在：第一部类技术进步带来的生产资料成本降低、第二部类技术进步带来的劳动力价值变得相对便宜、地租和商业利润部分趋于下降、国际贸易中的不平等交换、“新重商主义”政策、资本输出等。但是，格罗斯曼认为，这些反作用趋势并没有改变资本主义走向“崩溃”这一总的方向。</w:t>
      </w:r>
    </w:p>
    <w:p w14:paraId="6E3128D1">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到了20世纪80年代之后，美国左翼学者沃勒斯坦(ImmanuelWallerstein，1930~)和奥尔曼(BertellOllman)也对资本主义“崩溃”论进行了进一步的分析和预测。他认为全球化自由市场经济已走入绝境，而取代资本主义世界体系的“新秩序”将在不久的将来出现。沃勒斯坦之所以作出如此具体的预测是基于两个理由：其一就是在未来资本主义体系中所有人的利润都会愈来愈薄，这是资本主义体系结构天生就有的限制，不是任何人可以做些什么就能改善的，所以资本主义全球经济体系发展受到限制；其二是政治在衰退，即国家的角色越来越弱，因为社会中有越来越多的人，由于收入差距越来越大，对自己的未来也越来越不乐观。经济加上政治压力，自然就造成了资本主义全球体系的危机。</w:t>
      </w:r>
    </w:p>
    <w:p w14:paraId="6785ED6E">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奥尔曼教授在对待资本主义未来这个问题上同沃勒斯坦的基本观点是一致的。他认为，西方资本主义虽然产生了大量的财富，但仍然在走向崩溃。奥尔曼阐述了两种分析西方资本主义的方法及资本主义走向崩溃的主要因素。他指出，无论从整体上分析西方资本主义，还是从具体国家分析西方资本主义，都应当从三个“太多”入手，即资本主义国家有太多的商品、太多的资本、太多的失业工人。这些都与资本主义制度相关，也是资本主义走向崩溃的因素。</w:t>
      </w:r>
    </w:p>
    <w:p w14:paraId="6E79C645">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危机理论是马克思主义经济学的重要部分，已经提供了较为成熟的危机理论框架。鲍威尔、格罗斯曼及奥尔曼等人在不同的历史发展阶段，根据当时产生的资本主义经济危机，提出了基于消费不足、过度积累等不同的资本主义“崩溃”理论，这些理论有新意，但过份强调某一角度和原因，显得有些粗糙和片面，缺乏马克思主义经济学的系统分析和资本主义整体发展的现实。</w:t>
      </w:r>
    </w:p>
    <w:p w14:paraId="50BBAF0F">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 xml:space="preserve"> </w:t>
      </w:r>
    </w:p>
    <w:p w14:paraId="6135FE85">
      <w:pPr>
        <w:spacing w:before="147" w:beforeLines="50" w:after="147" w:afterLines="50" w:line="400" w:lineRule="exact"/>
        <w:ind w:firstLine="480" w:firstLineChars="200"/>
        <w:jc w:val="center"/>
        <w:rPr>
          <w:rFonts w:hint="eastAsia" w:ascii="宋体" w:hAnsi="宋体"/>
          <w:b/>
          <w:bCs/>
          <w:color w:val="000000" w:themeColor="text1"/>
          <w:sz w:val="24"/>
          <w:szCs w:val="24"/>
          <w14:textFill>
            <w14:solidFill>
              <w14:schemeClr w14:val="tx1"/>
            </w14:solidFill>
          </w14:textFill>
        </w:rPr>
      </w:pPr>
      <w:bookmarkStart w:id="1509" w:name="_Toc5033"/>
      <w:bookmarkEnd w:id="1509"/>
      <w:bookmarkStart w:id="1510" w:name="_Toc5374"/>
      <w:bookmarkEnd w:id="1510"/>
      <w:bookmarkStart w:id="1511" w:name="_Toc31635"/>
      <w:bookmarkEnd w:id="1511"/>
      <w:bookmarkStart w:id="1512" w:name="_Toc1793"/>
      <w:bookmarkEnd w:id="1512"/>
      <w:bookmarkStart w:id="1513" w:name="_Toc4687"/>
      <w:r>
        <w:rPr>
          <w:rFonts w:hint="eastAsia" w:ascii="宋体" w:hAnsi="宋体"/>
          <w:b/>
          <w:bCs/>
          <w:color w:val="000000" w:themeColor="text1"/>
          <w:sz w:val="24"/>
          <w:szCs w:val="24"/>
          <w14:textFill>
            <w14:solidFill>
              <w14:schemeClr w14:val="tx1"/>
            </w14:solidFill>
          </w14:textFill>
        </w:rPr>
        <w:t>二、战后资本主义历史命运的争论</w:t>
      </w:r>
      <w:bookmarkEnd w:id="1513"/>
    </w:p>
    <w:p w14:paraId="2694174C">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苏东剧变以后，西方马克思主义经济学界掀起了一股关于讨论资本主义历史命运的思潮。</w:t>
      </w:r>
    </w:p>
    <w:p w14:paraId="3BD791F5">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施韦卡特(DavidSchweickat，1942~)在“市场社会主义”流派中以提出“经济民主的市场社会主义”而著称。他针对当时西方盛行的除了资本主义“别无选择”的观点作了有力的批判，并从经济、政治和伦理等角度比较市场社会主义与资本主义模式，充分显示其“经济民主的市场社会主义”是资本主义制度的较好替代物。</w:t>
      </w:r>
    </w:p>
    <w:p w14:paraId="408EDC45">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施韦卡特强调，资本主义有四个问题值得注意：就业问题十分严峻；社会经济缺乏稳定性；富足之中存在赤贫；资本主义的发展缺乏理性。所有这些都注定了资本主义制度本身必然要出现危机，同时也为更好的制度取代它提供了可能。而这种更好的制度就是“经济民主”的市场社会主义。在施韦卡特看来，“经济民主”之所以能够替代资本主义制度，是因为他既能实现企业的民主管理，又能实现有效的投资社会控制。因此，能够克服资本主义的基本矛盾。</w:t>
      </w:r>
    </w:p>
    <w:p w14:paraId="68CB6AFD">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墨西哥学者迪德里奇.海因斯(HeinzDieterich)认为，资本主义是必然要灭亡的。这是因为，从当今的情况来看，跨国资本主义的市场和资产阶级的形式民主都已经步入衰退阶段，在政治、经济、社会领域的各个方面，这个体制都即将走到尽头。而全球社会的统治阶层——资产阶级却没有能力面对一系列的经济、社会、政治和生态问题，他们不能为人们提供任何有希望的出路。同时，他在指出资本主义必然灭亡的基础上，自觉承担起了为人们制定未来社会的蓝图的任务。迪德里奇制定的“新的历史蓝图”实质上包含了四个方面：政治领域、经济领域、文化领域和军事领域。他认为，这一历史蓝图是改善人类大多数人的生活条件的“惟一希望”。</w:t>
      </w:r>
    </w:p>
    <w:p w14:paraId="4067D399">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罗默和巴德汉(P.Bardhan)提出了“新市场社会主义”设想来替代资本主义。新市场社会主义模型建立的目的有两个：实现早期市场社会主义模型的目标(效率和公平)，同时避免其缺陷，尤其是西方新信息经济学的批评。罗默和巴德汉的“新市场社会主义”主要为外部控制模式，即产权属于不同机构，如银行、互助基金和其他企业等。他们试图通过模型解决经理的激励问题，另外还强调了国家的作用。不过，巴德汉和罗默的理论有主观臆断的成分，以为只有产权分散化才能解决激励问题。</w:t>
      </w:r>
    </w:p>
    <w:p w14:paraId="737602B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应当看到，苏东剧变以后，人们对于人类社会历史发展的认识，并不像福山的“历史终结论”那样简单。一切认真思考资本主义经济现状及其未来的人们，无论是西方马克思主义经济学家，还是西方左翼激进经济学家，只要严肃地面对现实，没有谁看不到资本主义社会并非人类生存的理想状态。相反，在经济上的不平等等弊端，以及由此决定的政治、文化、社会和外交方面的诸多问题，无不暴露出资本主义的本质缺陷。</w:t>
      </w:r>
    </w:p>
    <w:p w14:paraId="703FA3A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正因为有这样的深刻认识以及对资本主义制度的反思，才激励这些进步的马克思主义思想家根据新的历史条件，对人类未来的美好替代方案进行了有益的探索。这对于我们了解西方资本主义经济社会发展中所存在的各种矛盾问题和以及所出现的新社会因素，无疑具有极大的参考价值。</w:t>
      </w:r>
    </w:p>
    <w:p w14:paraId="2B51F2A5">
      <w:pPr>
        <w:spacing w:before="147" w:beforeLines="50" w:after="147" w:afterLines="50" w:line="400" w:lineRule="exact"/>
        <w:ind w:firstLine="480" w:firstLineChars="200"/>
        <w:jc w:val="center"/>
        <w:rPr>
          <w:rFonts w:hint="eastAsia" w:ascii="宋体" w:hAnsi="宋体"/>
          <w:b/>
          <w:bCs/>
          <w:color w:val="000000" w:themeColor="text1"/>
          <w:sz w:val="24"/>
          <w:szCs w:val="24"/>
          <w14:textFill>
            <w14:solidFill>
              <w14:schemeClr w14:val="tx1"/>
            </w14:solidFill>
          </w14:textFill>
        </w:rPr>
      </w:pPr>
      <w:bookmarkStart w:id="1514" w:name="_Toc24314"/>
      <w:bookmarkEnd w:id="1514"/>
      <w:bookmarkStart w:id="1515" w:name="_Toc19910"/>
      <w:bookmarkEnd w:id="1515"/>
      <w:bookmarkStart w:id="1516" w:name="_Toc21023"/>
      <w:bookmarkEnd w:id="1516"/>
      <w:bookmarkStart w:id="1517" w:name="_Toc10643"/>
      <w:bookmarkEnd w:id="1517"/>
      <w:bookmarkStart w:id="1518" w:name="_Toc12257"/>
      <w:r>
        <w:rPr>
          <w:rFonts w:hint="eastAsia" w:ascii="宋体" w:hAnsi="宋体"/>
          <w:b/>
          <w:bCs/>
          <w:color w:val="000000" w:themeColor="text1"/>
          <w:sz w:val="24"/>
          <w:szCs w:val="24"/>
          <w14:textFill>
            <w14:solidFill>
              <w14:schemeClr w14:val="tx1"/>
            </w14:solidFill>
          </w14:textFill>
        </w:rPr>
        <w:t>三、激进政治经济学的兴起</w:t>
      </w:r>
      <w:bookmarkEnd w:id="1518"/>
    </w:p>
    <w:p w14:paraId="11ACB913">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激进政治经济学从广泛意义上讲，是一种批判正统经济学的具有左翼激进色彩的经济思潮的总称。激进政治经济学有广义和狭义之分。广义激进政治经济学把凯恩斯左派或后凯恩斯主义、新制度主义、斯拉法主义或新李嘉图主义、马克思主义经济学都囊括在内，因为他们都以“左”的姿态批判正统经济学，揭露现行资本主义经济制度的弊端。持这种观点的有美国激进政治经济学家霍华德·舍曼和英国激进政治经济学家索耶。狭义激进政治经济学专指产生于二十世纪60年代西方国家和第三世界国家，自称运用马克思主义和社会主义经济理论观点批判正统经济学和资本主义制度并代之以社会主义的经济思潮。</w:t>
      </w:r>
    </w:p>
    <w:p w14:paraId="4A121085">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从20世纪50年代末到70年代初，美国国内掀起了一系列革命浪潮：50年代后期到60年代后期，黑人反对歧视、反对种族隔离，争取平等自由的权力；60年代后期到70年代，反对越南战争的群众性运动不断爆发；以加利福尼亚大学为先导，美国各大学广泛开展要求改革、进步的学生运动。于是，到了1969年，一些青年学生、教师以加利福尼亚大学为基地，成立了“激进经济学联盟”，并定期出版《激进经济学评论》季刊。自此激进政治经济学正式踏上了自己的道路。在激进政治经济学的发展过程中，主要的代表人物有：巴兰、斯威齐、多布、霍华德·舍曼、阿明(SamirAmin，1931~)及曼德尔(ErnestMandel，1923~1995)等。</w:t>
      </w:r>
    </w:p>
    <w:p w14:paraId="0ED5D2B6">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二十世纪60年代末70年代初为激进政治经济学的早期阶段,激进政治经济学着重研究的领域有社会结构变迁、中央集权计划、政治和私人经济权利的关系、收入和财务分配以及决策民主化等五个领域。</w:t>
      </w:r>
    </w:p>
    <w:p w14:paraId="25763403">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70年代中期至80年代中期，激进政治经济学的研究范围、主题或理论取向有了新的变化。第一个变化是激进学派全面系统地批判正统经济学，拓宽了研究领域。第二个变化是明显现露出“重新研究”、“重新思考”、“重新塑造”马克思主义经济理论的独立倾向。许多学者强调其与苏东“官方的”、“传统的”或“原教旨主义”马克思主义经济学的分歧和对立。这种再思考或重构含有某些有价值的思想材料(诸如重视市场作用)，但是在许多方面(诸如劳动价值论、剩余价值论、唯物史观)背离或曲解了真正的马克思主义经济学。</w:t>
      </w:r>
    </w:p>
    <w:p w14:paraId="7937F33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80年代至90年代，激进政治经济学理论取向又有了新的变化。首先，关于马克思主义认识论和方法论的争论在激进政治经济学内部仍然普遍，而价值和分配理论、剥削、帝国主义等仍然是最有争议的研究领域。此外，还有马克思的理论遗产问题、积累和危机理论、经济发展理论。其次，用以代替资本主义的社会主义体制和模式的探讨和论战，格外引人注目。</w:t>
      </w:r>
    </w:p>
    <w:p w14:paraId="571B0E78">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一般而言，广义的当代激进政治经济学的共同特征是对正统派经济学和资本主义制度持批判态度，当然这并不否认其中绝大多数激进政治经济学者是改良主义者，并从正统派经济</w:t>
      </w:r>
    </w:p>
    <w:p w14:paraId="064D80C1">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理论中吸取营养。狭义政治经济学或马克思主义激进政治经济学，除具备上述特征之外，其成员大多以马克思主义者或社会主义者自居，并且还力图主张以社会主义、公产主义制度代替资本主义制度。</w:t>
      </w:r>
    </w:p>
    <w:p w14:paraId="29E4B1B8">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美国是激进政治经济学的发祥地，其特点是受制度主义经济学的影响。作为广义激进政治经济学或资产阶级经济学派的制度主义经济学，它的特征是对主流经济学的批判以及揭露资本主义制度的弊端。但是，从总体或性质上看，制度主义是在激进的幌子下推行改良主义。美国激进政治经济学的代表人物有斯威齐、巴兰、马格多夫(FredMagdoff，1942~)、舍曼等。</w:t>
      </w:r>
    </w:p>
    <w:p w14:paraId="68EB21A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英国是欧洲激进政治经济学的中心。英国激进政治经济学的一个重要特点是深受新剑桥学派的影响，另一个特点是深受英国“社会主义”传统的影响。多布和米克是老左派马克思主义经济学家，英国激进政治经济学的精神领袖。多布是20世纪20年代末马克思主义经济学说在西方复兴的最主要的代表。而米克是50年代马克思主义经济学说在西方发展处于低潮时期的最主要的代表。米克和多布虽然批评罗宾逊夫人反劳动价值论的观点，却赞同罗宾逊的“沟通沦”，这表明他们不是彻底的马克思主义者。英国激进政治经济学的另外两个代表人物是霍奇森(GeoffreyM.Hodgson)和索耶(MalcolmSawyer)，霍奇森1982年撰写的具有斯拉法马克思主义色彩的《资本主义、价值和剥削》是80年代初期英国激进政治经济学派阐述其基础经济理论发面的代表作，索耶1989年撰写的《激进政治经济学的挑战—介绍新古典经济学的取代者》是上个世纪80年代末英国激进政治经济学派阐释其理论体系的主要教科书之一，而且还是构筑激进政治经济学理论体系的一次尝试。</w:t>
      </w:r>
    </w:p>
    <w:p w14:paraId="74BC46AF">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日本激进政治经济学的研究领域侧重于马克思经典著作及其基本理论，这是其重要特征。这一现象有其深厚的历史根源，第一，从历史上看日本是最早传播马克思经济学的亚洲国家；其次，他们在长达10年(始于1927年)的关于日本社会性质的论战中形成了讲座派(后分化出结构改革派)和劳农派(后分化出实践经济学派)；第三，马克思主义经济学在日本高校普及程度超过欧美国家，《资本论》始终列为日本高校的必修课程。日本激进政治经济学派的主要代表人物有河上肇、都留重人、宇野弘藏等。</w:t>
      </w:r>
    </w:p>
    <w:p w14:paraId="75BC94CE">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激进政治经济学已发展成为一种国际性思潮，它在美、法、英、比利时、西德、日本等国都有其代表人物、刊物、学派或组织。激进政治经济学不仅有力地批判了资本主义制度，而且也对主流经济学发起了挑战。然而，激进政治经济学迄今尚未形成一致赞同的理论体系、方法论框架、政策主张或社会模式。</w:t>
      </w:r>
    </w:p>
    <w:p w14:paraId="08D5D36F">
      <w:pPr>
        <w:spacing w:before="147" w:beforeLines="50" w:after="147" w:afterLines="50" w:line="400" w:lineRule="exact"/>
        <w:ind w:firstLine="480" w:firstLineChars="200"/>
        <w:jc w:val="center"/>
        <w:rPr>
          <w:rFonts w:hint="eastAsia" w:ascii="宋体" w:hAnsi="宋体"/>
          <w:b/>
          <w:bCs/>
          <w:color w:val="000000" w:themeColor="text1"/>
          <w:sz w:val="24"/>
          <w:szCs w:val="24"/>
          <w14:textFill>
            <w14:solidFill>
              <w14:schemeClr w14:val="tx1"/>
            </w14:solidFill>
          </w14:textFill>
        </w:rPr>
      </w:pPr>
      <w:bookmarkStart w:id="1519" w:name="_Toc19412"/>
      <w:bookmarkEnd w:id="1519"/>
      <w:bookmarkStart w:id="1520" w:name="_Toc30080"/>
      <w:bookmarkEnd w:id="1520"/>
      <w:bookmarkStart w:id="1521" w:name="_Toc27616"/>
      <w:bookmarkEnd w:id="1521"/>
      <w:bookmarkStart w:id="1522" w:name="_Toc27612"/>
      <w:bookmarkEnd w:id="1522"/>
      <w:bookmarkStart w:id="1523" w:name="_Toc15218"/>
      <w:r>
        <w:rPr>
          <w:rFonts w:hint="eastAsia" w:ascii="宋体" w:hAnsi="宋体"/>
          <w:b/>
          <w:bCs/>
          <w:color w:val="000000" w:themeColor="text1"/>
          <w:sz w:val="24"/>
          <w:szCs w:val="24"/>
          <w14:textFill>
            <w14:solidFill>
              <w14:schemeClr w14:val="tx1"/>
            </w14:solidFill>
          </w14:textFill>
        </w:rPr>
        <w:t>四、不发达政治经济学的研究</w:t>
      </w:r>
      <w:bookmarkEnd w:id="1523"/>
    </w:p>
    <w:p w14:paraId="56D2525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新古典经济学理论体系运用纯粹逻辑，从概念到概念，把完全竞争的市场——价格机制视为资源最优配置机制，无视历史的变化，把工业资本主义看成是永恒不变的自然现象，而对国际间讨价还价的能力、收入分配不公忽略不论，因此，在新古典经济学理论中没有不发达经济学的位置。马克思主义者从发达国家与发展中国家的内部与外部条件出发，从历史和现状两方面去认识两者之间依附关系。第二次世界大战以后，一些地区的落后越来越明显。此外，作为一种政治力量，马克思主义主要是在不发达地区获得了发展，不发达经济学也获得了长足的发展。</w:t>
      </w:r>
    </w:p>
    <w:p w14:paraId="60E45A22">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1952年巴兰发表的《论落后问题的政治经济学》一文首次论及了不发达经济学。他认为，经济的增长是剩余的多少及对其利用的结果。这样，中心和外围的分化就取决于世界剩余产品在不同地区的分配，以及它们在这些地区被使用的方式。在新帝国主义时期，剩余被吸收主要通过外国投资利润转移的方式。这加剧了发达国家剩余吸收的问题，却不能通过外围地区自身扩大投资来缓解。因此，第三世界后进国家之所以不能如马克思说的那样走上发达国家资本主义国家的发展道路，是因为实际经济剩余和潜在经济剩余两者之间差别太大，以至于资本积累太少而投资不足。巴兰对第二次世界大战之后不发达状况的分析可概括为：首先，第三世界落后的原因是外生的而不是内生的，即它们的贫穷在于与西方的联系，而不纯粹是因为内部的经济增长的障碍；其次，这些联系产生的结果是不发达而不是发达，因为富裕的资本主义国家既有阻止其发展的强烈动机，又具备这种能力。</w:t>
      </w:r>
    </w:p>
    <w:p w14:paraId="554B77EA">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马格多夫和其他巴兰的追随者认为，不发达使资本有机构成更低、剥削率更高，因而可以获得比发达国家更高的利润率。并且相应地从中心地区出口的工业制成品价格较高，而从外围地区进口的原材料价格更低。这种状况往往通过政治、经济权力的行使得以保持。技术垄断和第三世界国家日益增长的债务也发挥了重要的作用。这使得一些国际组织可任意干预它们的经济。</w:t>
      </w:r>
    </w:p>
    <w:p w14:paraId="1A388814">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巴兰的思想为在理论上理解不发达问题的马克思主义经济学提供了基础。同时，它对普雷维什(RaulPrebisch，1901~1986)、弗兰克(AndreGunderFrank，1929~2005)、桑托斯(TheotonioDosSantos，1936~)和布罗代尔(FernandBraudel，1902~1985)、沃勒斯坦等人的不发达经济学也产生了重大影响。</w:t>
      </w:r>
    </w:p>
    <w:p w14:paraId="6259756B">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到了20世纪60年代，弗兰克发展了巴兰的思想，并应用于拉丁美洲的分析上。弗兰克集中研究了垄断对外围地区的影响，但没有强调它在中心地带的停滞趋势。他明确反对新古典主义的国际贸易理论、罗斯托(W.Rostow)的“现代化”理论，以及强调外围社会经济僵化及二元化的重要性的更激进的结构主义。弗兰克认为，发达国家的发达是不发达国家的不发达的原因，后者对前者是一种依附。历史经验表明，只有当这种依附关系减弱时，不发达国家的经济才能发展。</w:t>
      </w:r>
    </w:p>
    <w:p w14:paraId="088D5D2B">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另外在20世纪60年代，伊曼纽尔(A.Emmanuel，1911~2001)在马克思劳动价值论和国际贸易理论的基础上，以及在批判地继承古典经济学家李嘉图的比较成本学说的基础上，对发达国家与不发达国家在贸易中的不平等交换关系进行了系统的论证，建立起了系统的“不平等交换”理论。伊曼纽尔按照马克思价值转化为生产价格的思路，在国际生产价格形式基础上，区分了发达国家与不发达国家在国际贸易中的两种不平等交换形式——广义的不平等交换形式和狭义的不平等交换形式。广义的不平等交换是指“仅仅是在工资相等而资本有机构成不相等时由价值转化为生产价格所引起的”不平等交换。狭义的不平等交换是指“工资和资本有机构成都不相等”的情况下的不平等交换。在伊曼纽尔看来，只有狭义的不平等交换，才是真正意义的不平等交换。由此，他得出以下结论：在所有其他条件相等的情况下，工资的不平等是引起不平等交换的唯一原因。</w:t>
      </w:r>
    </w:p>
    <w:p w14:paraId="3EDA1EF8">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截止20世纪60年代末，弗兰克超越了拉丁美洲不发达问题，转向更为广泛的世界经济主题，这正是阿明和沃勒斯坦关注的中心问题。随着沃勒斯坦的世界经济体系理论在70年代初的兴起，巴兰首创的不发达理论经历了第二次修正。</w:t>
      </w:r>
    </w:p>
    <w:p w14:paraId="449211EF">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沃勒斯坦认为，人类历史虽然包含着各个不同的部落、种族、民族和民族国家的历史，但这些历史不是孤立地发展的，而是相互联系着发展和演变的，总是形成一定的“世界体系”。沃勒斯坦认为，马克思所分析的资本原始积累过程实际上是资本积累过程的开始。资本主义发展过程则是中心国家通过不平等交换剥削和掠夺边缘国家的整个资本积累过程，因此边缘国家的不发达与这种资本积累过程密切相关。</w:t>
      </w:r>
    </w:p>
    <w:p w14:paraId="3849B82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20世纪70年代以后发展起来的“边缘资本主义”理论，是其代表人物萨米尔.阿明对“依附理论”的一种补充和发展。这一理论的主要内容有四个方面：</w:t>
      </w:r>
    </w:p>
    <w:p w14:paraId="3B92ED23">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第一，与世界资本主义体系分为“中心”和“边缘”两大部分相对应，资本积累也分为“中心型”和“边缘型”两大模式；在世界资本主义体系内部，“边缘”生产的剩余不断流向“中心”，造成了中心资本主义国家的发达的资本积累和边缘资本主义国家的不发达的积累。</w:t>
      </w:r>
    </w:p>
    <w:p w14:paraId="16145C5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第二，边缘资本主义社会具有共同的特征：农业资本主义在国民生产部门中占统治地位；国内产生的主要从事商业的资产阶级从属于占统治地位的外国资本；当代边缘国家特有的官僚政治趋于发展，而无产阶级化的现象还未完成。</w:t>
      </w:r>
    </w:p>
    <w:p w14:paraId="4D4D2FD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第三，边缘资本主义的发展可分为三个阶段：殖民主义阶段、进口替代工业化阶段和“边缘”真正走自力更生道路阶段。</w:t>
      </w:r>
    </w:p>
    <w:p w14:paraId="7F9FDE8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第四，在世界资本主义体系中，边缘资本主义要求得真正发展，就必须和世界资本主义“脱钩”，即摆脱本国社会经济的发展战略听命于“全球化”的态势。实现这种“脱钩”的方式就是进行社会主义革命，这是边缘资本主义发展的必然趋势。</w:t>
      </w:r>
    </w:p>
    <w:p w14:paraId="4F1F691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除此之外，阿明在论述边缘资本主义理论的过程中，对“不平等交换”理论也作了详尽的阐述。他认为，“中心”和“边缘”在生产率差距制约下的工资差距，导致了国际间专业化分工上的不平等，从而导致了国际贸易中的不平等交换。二战后，不平等交换持续存在的原因在于“中心”在“边缘”实行“进口替代”战略时期。以“边缘”出口廉价制成品为基础的新的国际分工的形成，将使“边缘”丧失控制自己发展的能力，增大从“边缘”向“中心”的剩余转移，使整个世界资本主义体系处于持续的不平等发展过程之中。</w:t>
      </w:r>
    </w:p>
    <w:p w14:paraId="64B60AF5">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从以上分析可以看出，巴兰把世界经济的不平衡归结为发达国家与不发达国家的对立，这是颇有道理的。然而，巴兰忽视了一战之前和二战之后资本流动和贸易多在发达国家之间进行的事实。他的垄断资本理论、消费不足理论和对第三世界国家实施出口导向战略的否定，也受到了某种批评。同时，巴兰没能对自主发展和依附发展进行合理的区分，从而没能正确指出不发达地区经济发展的出路。弗兰克坚持认为，发达国家的发达是不发达国家的不发达产生的根本原因，但是，在分析其机制上，他只是简单的综合了巴兰和依附理论的主要观点。沃勒斯坦接受了弗兰克从交换关系角度对关于资本主义的界定，但他从世界范围的角度，从政治、经济、历史、文化、地理等学科结为一体的分析，属于视野广阔的新发展。</w:t>
      </w:r>
    </w:p>
    <w:p w14:paraId="7A2F8216">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伊曼纽尔在接受马克思的劳动价值论、生产价格理论和国际贸易理论的基础上，对发达国家和不发达国家之间的贸易作出了新的解释，拓宽了马克思国际价值和生产价格理论的内容，但把工资看成了外生变量值得推敲。阿明的“边缘资本主义”理论是对依附理论的补充和发展，在论及“不平等交换”问题时，把马克思主义的分析方法、伊曼纽尔的国际生产价格的分析方法和自己的不平等交换理论融为一体，因此可以说，阿明的理论是在马克思主义传统范围内，对国际贸易问题进行的一种的新综合。</w:t>
      </w:r>
    </w:p>
    <w:p w14:paraId="449F1951">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主要参考文献：</w:t>
      </w:r>
    </w:p>
    <w:p w14:paraId="206B8436">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1、顾海良、张雷声著：《20世纪国外马克思主义经济思想史》，经济科学出版社2006年版。</w:t>
      </w:r>
    </w:p>
    <w:p w14:paraId="3FE779FD">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2、程恩富主编：《马克思主义经济思想史》(五卷本)，东方出版中心2006年版。</w:t>
      </w:r>
    </w:p>
    <w:p w14:paraId="4DF161A5">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3、程恩富主编，程恩富、李新、朱富强著：《东欧俄罗斯经济学》，当代中国出版社2002年版。</w:t>
      </w:r>
    </w:p>
    <w:p w14:paraId="3B41E467">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4、何玉长、王宏伟、潘孟菊著：《批判与超越——西方激进经济学述评》，当代中国出版社</w:t>
      </w:r>
    </w:p>
    <w:p w14:paraId="677A55FB">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2002年版。</w:t>
      </w:r>
    </w:p>
    <w:p w14:paraId="33E9DFD0">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5、中国社科院苏联东欧研究所主编：《东欧国家社会主义建设问题》资料(一、二、三、四、五、六)。</w:t>
      </w:r>
    </w:p>
    <w:p w14:paraId="750AA33C">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6、宋涛主编：《国外社会主义经济体制改革理论著作评介》，西南财经大学出版社1989年版。</w:t>
      </w:r>
    </w:p>
    <w:p w14:paraId="6656D4E4">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（原载于《中华外国经济学说研究会第19次年会暨外国经济学说与国内外经济发展新格局（会议文集）》，第二作者为朱奎。）</w:t>
      </w:r>
    </w:p>
    <w:p w14:paraId="54FA930F">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 xml:space="preserve"> </w:t>
      </w:r>
    </w:p>
    <w:p w14:paraId="2C11EEEC">
      <w:pPr>
        <w:pStyle w:val="6"/>
        <w:spacing w:line="400" w:lineRule="exact"/>
        <w:ind w:firstLine="420" w:firstLineChars="200"/>
        <w:rPr>
          <w:rFonts w:hint="eastAsia" w:hAnsi="宋体"/>
          <w:color w:val="000000" w:themeColor="text1"/>
          <w14:textFill>
            <w14:solidFill>
              <w14:schemeClr w14:val="tx1"/>
            </w14:solidFill>
          </w14:textFill>
        </w:rPr>
      </w:pPr>
      <w:r>
        <w:rPr>
          <w:rFonts w:hint="eastAsia" w:hAnsi="宋体"/>
          <w:color w:val="000000" w:themeColor="text1"/>
          <w14:textFill>
            <w14:solidFill>
              <w14:schemeClr w14:val="tx1"/>
            </w14:solidFill>
          </w14:textFill>
        </w:rPr>
        <w:t xml:space="preserve"> </w:t>
      </w:r>
    </w:p>
    <w:p w14:paraId="7785D1C4">
      <w:pPr>
        <w:pStyle w:val="3"/>
        <w:ind w:firstLine="640" w:firstLineChars="200"/>
        <w:outlineLvl w:val="1"/>
        <w:rPr>
          <w:color w:val="000000" w:themeColor="text1"/>
          <w14:textFill>
            <w14:solidFill>
              <w14:schemeClr w14:val="tx1"/>
            </w14:solidFill>
          </w14:textFill>
        </w:rPr>
      </w:pPr>
      <w:bookmarkStart w:id="1524" w:name="_Toc329173759"/>
      <w:bookmarkStart w:id="1525" w:name="_Toc853"/>
      <w:bookmarkStart w:id="1526" w:name="_Toc114057787"/>
      <w:bookmarkStart w:id="1527" w:name="_Toc804588340"/>
      <w:bookmarkStart w:id="1528" w:name="_Toc273947575"/>
      <w:r>
        <w:rPr>
          <w:rFonts w:hint="eastAsia"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7</w:t>
      </w:r>
      <w:r>
        <w:rPr>
          <w:rFonts w:hint="eastAsia" w:ascii="黑体" w:hAnsi="黑体"/>
          <w:color w:val="000000" w:themeColor="text1"/>
          <w14:textFill>
            <w14:solidFill>
              <w14:schemeClr w14:val="tx1"/>
            </w14:solidFill>
          </w14:textFill>
        </w:rPr>
        <w:t>苏联剧变主要原因的系统分析</w:t>
      </w:r>
      <w:bookmarkEnd w:id="1524"/>
      <w:bookmarkEnd w:id="1525"/>
      <w:bookmarkEnd w:id="1526"/>
      <w:bookmarkEnd w:id="1527"/>
      <w:bookmarkEnd w:id="1528"/>
    </w:p>
    <w:p w14:paraId="0E81A922">
      <w:pPr>
        <w:spacing w:before="147" w:beforeLines="50" w:line="400" w:lineRule="exact"/>
        <w:ind w:firstLine="420" w:firstLineChars="200"/>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世纪最重大的历史事件之一，是苏联和东欧社会主义国家发生剧变。在过去的</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年里，中外各界对苏联剧变和解体的原因进行了大量的探讨，提供了丰富的研究成果。但是，在众多原因何者为主要原因的问题上，即使在马克思主义知识界也没有达成共识。今年正值苏联剧变和解体</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周年，苏共走下执政舞台的政治、经济和社会后果业已展示其全貌，很有必要重新审视和客观剖析苏联解体的主要原因。这不仅具有重要的学术价值，而且对于各国马克思主义者从事现实社会主义运动来说，也是极其重要的，特别是对加强中国共产党的执政建设和巩固其执政地位尤为重要。</w:t>
      </w:r>
    </w:p>
    <w:p w14:paraId="246342C1">
      <w:pPr>
        <w:spacing w:before="147" w:beforeLines="50" w:after="147" w:afterLines="50" w:line="400" w:lineRule="exact"/>
        <w:ind w:firstLine="480" w:firstLineChars="200"/>
        <w:jc w:val="center"/>
        <w:rPr>
          <w:rFonts w:ascii="宋体" w:hAnsi="宋体"/>
          <w:b/>
          <w:color w:val="000000" w:themeColor="text1"/>
          <w:sz w:val="24"/>
          <w:szCs w:val="24"/>
          <w14:textFill>
            <w14:solidFill>
              <w14:schemeClr w14:val="tx1"/>
            </w14:solidFill>
          </w14:textFill>
        </w:rPr>
      </w:pPr>
      <w:bookmarkStart w:id="1529" w:name="_Toc2815"/>
      <w:bookmarkEnd w:id="1529"/>
      <w:bookmarkStart w:id="1530" w:name="_Toc25058"/>
      <w:bookmarkEnd w:id="1530"/>
      <w:bookmarkStart w:id="1531" w:name="_Toc4964"/>
      <w:bookmarkEnd w:id="1531"/>
      <w:bookmarkStart w:id="1532" w:name="_Toc16472"/>
      <w:bookmarkEnd w:id="1532"/>
      <w:bookmarkStart w:id="1533" w:name="_Toc15510"/>
      <w:r>
        <w:rPr>
          <w:rFonts w:hint="eastAsia" w:ascii="宋体" w:hAnsi="宋体"/>
          <w:b/>
          <w:color w:val="000000" w:themeColor="text1"/>
          <w:sz w:val="24"/>
          <w:szCs w:val="24"/>
          <w14:textFill>
            <w14:solidFill>
              <w14:schemeClr w14:val="tx1"/>
            </w14:solidFill>
          </w14:textFill>
        </w:rPr>
        <w:t>一、苏联剧变和解体的三大主要原因</w:t>
      </w:r>
      <w:bookmarkEnd w:id="1533"/>
    </w:p>
    <w:p w14:paraId="591CA14E">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关于苏联剧变和解体的原因，在大量的外文资料和研究成果中，我们主要筛选了四类：一是原苏共领导人的反省；二是独联体国家共产党和左翼力量的剖析；三是独联体国家学者的分析；四是西方国家和中国学者的研究。笔者认为，苏联剧变、解体和苏共丧失执政地位，既有思想原因，又有组织原因，致命的政治性根本原因是以戈尔巴乔夫为首的苏共领导集团背叛了马克思主义和科学社会主义。</w:t>
      </w:r>
    </w:p>
    <w:p w14:paraId="56C6FD11">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b/>
          <w:color w:val="000000" w:themeColor="text1"/>
          <w14:textFill>
            <w14:solidFill>
              <w14:schemeClr w14:val="tx1"/>
            </w14:solidFill>
          </w14:textFill>
        </w:rPr>
        <w:t>（一）思想原因：</w:t>
      </w:r>
      <w:r>
        <w:rPr>
          <w:rFonts w:hint="eastAsia" w:ascii="宋体" w:hAnsi="宋体"/>
          <w:color w:val="000000" w:themeColor="text1"/>
          <w14:textFill>
            <w14:solidFill>
              <w14:schemeClr w14:val="tx1"/>
            </w14:solidFill>
          </w14:textFill>
        </w:rPr>
        <w:t>过度否定斯大林和西方和平演变战略引发了长期思想混乱，而僵化的思想理论和传统宣传教育体制和机制又难以及时有效地予以消除</w:t>
      </w:r>
    </w:p>
    <w:p w14:paraId="1FBCB843">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首先，赫鲁晓夫过度否定斯大林所引发的思想混乱。“苏共二十大给苏维埃带来不能恢复元气的打击。这是破坏苏联国家合法性的第一步。”“先前苏联官方千方百计使斯大林的思想和政策具有魅力，而苏共二十大以后，又尽可能地谴责、揭发斯大林。转变太大，引起人们思想的混乱。苏共二十大实际上引起社会思想的分裂，分成两个阵营：斯大林主义者和反斯大林主义者。”其中怀疑马克思主义和社会主义的群体，逐渐成为以后几十年自由主义知识分子和干部的骨干，迎合和支持了戈尔巴乔夫改革的“民主化”和“公开性”原则。戈尔巴乔夫也承认赫鲁晓夫过度否定斯大林对他本人思想信仰的震撼。</w:t>
      </w:r>
      <w:r>
        <w:rPr>
          <w:rFonts w:ascii="Times New Roman" w:hAnsi="Times New Roman"/>
          <w:color w:val="000000" w:themeColor="text1"/>
          <w14:textFill>
            <w14:solidFill>
              <w14:schemeClr w14:val="tx1"/>
            </w14:solidFill>
          </w14:textFill>
        </w:rPr>
        <w:t>2006</w:t>
      </w:r>
      <w:r>
        <w:rPr>
          <w:rFonts w:hint="eastAsia" w:ascii="宋体" w:hAnsi="宋体"/>
          <w:color w:val="000000" w:themeColor="text1"/>
          <w14:textFill>
            <w14:solidFill>
              <w14:schemeClr w14:val="tx1"/>
            </w14:solidFill>
          </w14:textFill>
        </w:rPr>
        <w:t>年苏共二十大召开</w:t>
      </w:r>
      <w:r>
        <w:rPr>
          <w:rFonts w:ascii="Times New Roman" w:hAnsi="Times New Roman"/>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周年之际，戈尔巴乔夫接受《俄罗斯报》记者采访时说，苏共二十大决议的确对我产生很大震动，要知道当时我还是青年人。</w:t>
      </w:r>
      <w:r>
        <w:rPr>
          <w:rFonts w:ascii="Times New Roman" w:hAnsi="Times New Roman"/>
          <w:color w:val="000000" w:themeColor="text1"/>
          <w14:textFill>
            <w14:solidFill>
              <w14:schemeClr w14:val="tx1"/>
            </w14:solidFill>
          </w14:textFill>
        </w:rPr>
        <w:t>1955</w:t>
      </w:r>
      <w:r>
        <w:rPr>
          <w:rFonts w:hint="eastAsia" w:ascii="宋体" w:hAnsi="宋体"/>
          <w:color w:val="000000" w:themeColor="text1"/>
          <w14:textFill>
            <w14:solidFill>
              <w14:schemeClr w14:val="tx1"/>
            </w14:solidFill>
          </w14:textFill>
        </w:rPr>
        <w:t>年刚刚大学毕业的我来到了塔夫罗波尔市，在塔夫罗波尔边疆区检察院实习</w:t>
      </w:r>
      <w:r>
        <w:rPr>
          <w:rFonts w:ascii="Times New Roman" w:hAnsi="Times New Roman"/>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天以后，上级让我领导共青团塔夫罗波尔边疆区委员会的宣传部工作。</w:t>
      </w:r>
      <w:r>
        <w:rPr>
          <w:rFonts w:ascii="Times New Roman" w:hAnsi="Times New Roman"/>
          <w:color w:val="000000" w:themeColor="text1"/>
          <w14:textFill>
            <w14:solidFill>
              <w14:schemeClr w14:val="tx1"/>
            </w14:solidFill>
          </w14:textFill>
        </w:rPr>
        <w:t>1956</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月便召开了苏共第二十次代表大会。我曾经是坚定的共产党员，可以说是祖传的。我在</w:t>
      </w:r>
      <w:r>
        <w:rPr>
          <w:rFonts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年级就入了党，当时甚至写过作文高度赞美斯大林。</w:t>
      </w:r>
      <w:r>
        <w:rPr>
          <w:rFonts w:ascii="Times New Roman" w:hAnsi="Times New Roman"/>
          <w:color w:val="000000" w:themeColor="text1"/>
          <w14:textFill>
            <w14:solidFill>
              <w14:schemeClr w14:val="tx1"/>
            </w14:solidFill>
          </w14:textFill>
        </w:rPr>
        <w:t>1956</w:t>
      </w:r>
      <w:r>
        <w:rPr>
          <w:rFonts w:hint="eastAsia" w:ascii="宋体" w:hAnsi="宋体"/>
          <w:color w:val="000000" w:themeColor="text1"/>
          <w14:textFill>
            <w14:solidFill>
              <w14:schemeClr w14:val="tx1"/>
            </w14:solidFill>
          </w14:textFill>
        </w:rPr>
        <w:t>年下发赫鲁晓夫报告的红皮书下达在党员中传达其精神的指令以后，我们需要到每一个区委会解释，说明那些远远超出我们理解范围的惊魂动魄的事实。有俄罗斯人总结道：“赫鲁晓夫破坏了国家精神的支柱，勃列日涅夫没有对其进行修复，仅仅是用红色颜料封上裂痕，戈尔巴乔夫和叶利钦在裂痕上挖出窟窿，使大厦最终坍塌。”</w:t>
      </w:r>
    </w:p>
    <w:p w14:paraId="78CD63CD">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其次，西方和平演变所引发的思想混乱。冷战时期，美国为首的西方国家针对苏联展开了全方位的心理战。截止</w:t>
      </w:r>
      <w:r>
        <w:rPr>
          <w:rFonts w:ascii="Times New Roman" w:hAnsi="Times New Roman"/>
          <w:color w:val="000000" w:themeColor="text1"/>
          <w14:textFill>
            <w14:solidFill>
              <w14:schemeClr w14:val="tx1"/>
            </w14:solidFill>
          </w14:textFill>
        </w:rPr>
        <w:t>1975</w:t>
      </w:r>
      <w:r>
        <w:rPr>
          <w:rFonts w:hint="eastAsia" w:ascii="宋体" w:hAnsi="宋体"/>
          <w:color w:val="000000" w:themeColor="text1"/>
          <w14:textFill>
            <w14:solidFill>
              <w14:schemeClr w14:val="tx1"/>
            </w14:solidFill>
          </w14:textFill>
        </w:rPr>
        <w:t>年，美国中央情报局以各种方式参与出版关于苏联的书籍</w:t>
      </w:r>
      <w:r>
        <w:rPr>
          <w:rFonts w:ascii="Times New Roman" w:hAnsi="Times New Roman"/>
          <w:color w:val="000000" w:themeColor="text1"/>
          <w14:textFill>
            <w14:solidFill>
              <w14:schemeClr w14:val="tx1"/>
            </w14:solidFill>
          </w14:textFill>
        </w:rPr>
        <w:t>1500</w:t>
      </w:r>
      <w:r>
        <w:rPr>
          <w:rFonts w:hint="eastAsia" w:ascii="宋体" w:hAnsi="宋体"/>
          <w:color w:val="000000" w:themeColor="text1"/>
          <w14:textFill>
            <w14:solidFill>
              <w14:schemeClr w14:val="tx1"/>
            </w14:solidFill>
          </w14:textFill>
        </w:rPr>
        <w:t>多种。有不少诋毁斯大林的书籍，美国人很高兴赫鲁晓夫开了否定斯大林的先例。利用书刊宣传反苏在西方、尤其是在美国国内也积极进行过。在美国的宣传下，有人把苏联称为“邪恶帝国”，视它为一个庞大的集中营，在那里人们因为一点小小的问题或说了一句不该说的话，就会被赶到古拉格群岛上生活。电影成为美国人更鲜活的宣传手段，催生出一个超高科技的、超级智能化的美国，同时潜在地形成了“落后的、原始的”俄罗斯形象。宣布保护人权是自己外交政策核心要素的美国卡特政府执政以后，“同共产主义斗争”的战略包括了支持苏联和东欧国家为人权而展开斗争的思想。美国曾在苏联周围建立了</w:t>
      </w:r>
      <w:r>
        <w:rPr>
          <w:rFonts w:ascii="Times New Roman" w:hAnsi="Times New Roman"/>
          <w:color w:val="000000" w:themeColor="text1"/>
          <w14:textFill>
            <w14:solidFill>
              <w14:schemeClr w14:val="tx1"/>
            </w14:solidFill>
          </w14:textFill>
        </w:rPr>
        <w:t>60</w:t>
      </w:r>
      <w:r>
        <w:rPr>
          <w:rFonts w:hint="eastAsia" w:ascii="宋体" w:hAnsi="宋体"/>
          <w:color w:val="000000" w:themeColor="text1"/>
          <w14:textFill>
            <w14:solidFill>
              <w14:schemeClr w14:val="tx1"/>
            </w14:solidFill>
          </w14:textFill>
        </w:rPr>
        <w:t>多个电台，用苏联各民族语言全天候对苏广播，歪曲和丑化苏联党和国家的历史，歪曲和丑化斯大林，美化西方“人权、自由、民主”价值观。苏联那些多年来在西方“声音”教育下成长起来的亲西方的自由主义知识分子认为，美国和西方国家的“道德和政治”高于苏联。苏联领导人所有的外交活动，都被解释成“极权主义的”苏联同“自由的”西方的对抗。国家利益、国家的完整性、民族尊严、爱国责任等概念在自由主义者那里，都被当成是共产主义和大国主义思想的本质属性。有误宣传的积淀发挥了作用。到</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年代中期，尤其在年轻人中间，从前的自由、善良、平等、真诚、互助的思想被扭曲和嘲笑，代之以色情、暴力、贬低自己和崇拜西方的文化。那些没有失去自我监督，依然忠诚于道德和诚信，忠诚于社会主义理想的人或者被边缘化，或者被公开嘲笑，进而被称为“改革的敌人”、“极权主义残余”等等。仰慕西方逐步转化为一种潮流，冲击和干扰着苏联人的独立思考，俄罗斯和苏联文化被认为是“不值一提的”、“落后的”。苏联历史被称为“极权主义的历史”。因此，</w:t>
      </w:r>
      <w:r>
        <w:rPr>
          <w:rFonts w:ascii="Times New Roman" w:hAnsi="Times New Roman"/>
          <w:color w:val="000000" w:themeColor="text1"/>
          <w14:textFill>
            <w14:solidFill>
              <w14:schemeClr w14:val="tx1"/>
            </w14:solidFill>
          </w14:textFill>
        </w:rPr>
        <w:t>2009</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月</w:t>
      </w:r>
      <w:r>
        <w:rPr>
          <w:rFonts w:ascii="Times New Roman" w:hAnsi="Times New Roman"/>
          <w:color w:val="000000" w:themeColor="text1"/>
          <w14:textFill>
            <w14:solidFill>
              <w14:schemeClr w14:val="tx1"/>
            </w14:solidFill>
          </w14:textFill>
        </w:rPr>
        <w:t>11</w:t>
      </w:r>
      <w:r>
        <w:rPr>
          <w:rFonts w:hint="eastAsia" w:ascii="宋体" w:hAnsi="宋体"/>
          <w:color w:val="000000" w:themeColor="text1"/>
          <w14:textFill>
            <w14:solidFill>
              <w14:schemeClr w14:val="tx1"/>
            </w14:solidFill>
          </w14:textFill>
        </w:rPr>
        <w:t>日，现任俄罗斯联邦共产党主席久加诺夫就“苏联解体、苏共垮台的原因”回答网友提问时强调：“国内的‘第五纵队’在苏联解体中扮演了重要角色，它在各级甚至是最高领导机构中活动。”诚然，“第五纵队”得逞、西方和平演变战略发挥作用的前提是苏共党内的思想混乱。</w:t>
      </w:r>
    </w:p>
    <w:p w14:paraId="12C2AF29">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简言之，在苏联党内外的思想理论较为僵化、宣传教育和思想政治工作显然缺乏民主性和有效性的情况下，赫鲁晓夫过度否定斯大林和西方和平演变战略引发了长期思想混乱，从而成为苏联剧变和解体的重要思想理论基础或先导性思想原因。</w:t>
      </w:r>
    </w:p>
    <w:p w14:paraId="7B4A5365">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b/>
          <w:color w:val="000000" w:themeColor="text1"/>
          <w14:textFill>
            <w14:solidFill>
              <w14:schemeClr w14:val="tx1"/>
            </w14:solidFill>
          </w14:textFill>
        </w:rPr>
        <w:t>（二）组织原因：</w:t>
      </w:r>
      <w:r>
        <w:rPr>
          <w:rFonts w:hint="eastAsia" w:ascii="宋体" w:hAnsi="宋体"/>
          <w:color w:val="000000" w:themeColor="text1"/>
          <w14:textFill>
            <w14:solidFill>
              <w14:schemeClr w14:val="tx1"/>
            </w14:solidFill>
          </w14:textFill>
        </w:rPr>
        <w:t>苏共逐步提拔和重用了大批非马克思主义干部，而存在严重弊端的组织体制和机制又难以及时有效地予以消除</w:t>
      </w:r>
    </w:p>
    <w:p w14:paraId="2EC0CEEE">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一，苏共领导集团成员选拔任用的非民主性和非公正性。列宁曾经指出，现在国家的主人是工人和农民，国家应该广泛、有序、系统、透明地选拔最优秀的、特殊的人才作为国家或地方的管理者、组织者和经济建设的参与者、领导者。斯大林选拔各级管理者的原则里缺乏公开化。保密性成为官阶等级名录制的鲜明特征和重要原则，特别是</w:t>
      </w:r>
      <w:r>
        <w:rPr>
          <w:rFonts w:ascii="Times New Roman" w:hAnsi="Times New Roman"/>
          <w:color w:val="000000" w:themeColor="text1"/>
          <w14:textFill>
            <w14:solidFill>
              <w14:schemeClr w14:val="tx1"/>
            </w14:solidFill>
          </w14:textFill>
        </w:rPr>
        <w:t>1932</w:t>
      </w:r>
      <w:r>
        <w:rPr>
          <w:rFonts w:hint="eastAsia" w:ascii="宋体" w:hAnsi="宋体"/>
          <w:color w:val="000000" w:themeColor="text1"/>
          <w14:textFill>
            <w14:solidFill>
              <w14:schemeClr w14:val="tx1"/>
            </w14:solidFill>
          </w14:textFill>
        </w:rPr>
        <w:t>年以后任命官员名单一直处于严格保密。官阶等级名录使这一垄断特权阶层逐步强化了自身的地位并使其合法化，它把自己同社会和人民隔离开来，在很大程度上背离了党内民主原则，遮盖了普通共产党员和社会监督的视线。官阶等级名录制培养出来的这类机关干部，视党的代表大会、苏维埃代表大会、工会代表大会等仅仅为大型活动，会议上的各种讨论和争论均被认为是不必要的，甚至是有害的，阻碍了党的事业。对他们来说，最重要的是得到领导指令和对上级个人的忠诚。许多干部为了追求领导地位而不择手段、不惜代价。</w:t>
      </w:r>
    </w:p>
    <w:p w14:paraId="77E9F242">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二，非马克思主义干部逐渐进入苏共领导岗位。一些俄罗斯学者将苏共执政时期的社会精英划分为四代。第一代被称为“列宁的近卫军”，对于他们而言，世界革命思想是优先的、重要的。第二代是斯大林主义者，是斯大林社会主义意愿的守纪律的执行者。第三代是党内官僚的杰出代表，赫鲁晓夫特别是勃列日涅夫成为他们的领袖。第四代即最后一代苏联“社会精英”，完全是成份驳杂的一代。勃列日涅夫上台以后，新推荐的领导人中大多数是从</w:t>
      </w:r>
      <w:r>
        <w:rPr>
          <w:rFonts w:ascii="Times New Roman" w:hAnsi="Times New Roman"/>
          <w:color w:val="000000" w:themeColor="text1"/>
          <w14:textFill>
            <w14:solidFill>
              <w14:schemeClr w14:val="tx1"/>
            </w14:solidFill>
          </w14:textFill>
        </w:rPr>
        <w:t>30</w:t>
      </w:r>
      <w:r>
        <w:rPr>
          <w:rFonts w:hint="eastAsia" w:ascii="宋体" w:hAnsi="宋体"/>
          <w:color w:val="000000" w:themeColor="text1"/>
          <w14:textFill>
            <w14:solidFill>
              <w14:schemeClr w14:val="tx1"/>
            </w14:solidFill>
          </w14:textFill>
        </w:rPr>
        <w:t>年代中走过来的“机械行事的”一代，即命令的执行者，已经不习惯于承担责任和作出独立的决定。“环境扭曲了苏共干部的行为准则，两面派、言行不一、阴谋诡计似乎成为了生存条件。被推荐到党和国家最高领导职位并不是由于自己的革命功勋或具备领袖才干，而首先是遵守着干部阶梯的爬行规则，精力充沛地爬到政权的顶峰。”勃列日涅夫执政时期是苏共官阶等级名录任命官员相对稳定的发展时期，但有舆论将勃列日涅夫执政时期称为“领导互相包庇”的时期和“特权腐败猖獗”时期。</w:t>
      </w:r>
    </w:p>
    <w:p w14:paraId="20D120D3">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俄罗斯社会主义学者协会主席</w:t>
      </w:r>
      <w:r>
        <w:rPr>
          <w:rFonts w:ascii="Times New Roman" w:hAnsi="Times New Roman"/>
          <w:color w:val="000000" w:themeColor="text1"/>
          <w14:textFill>
            <w14:solidFill>
              <w14:schemeClr w14:val="tx1"/>
            </w14:solidFill>
          </w14:textFill>
        </w:rPr>
        <w:t>B.C.</w:t>
      </w:r>
      <w:r>
        <w:rPr>
          <w:rFonts w:hint="eastAsia" w:ascii="宋体" w:hAnsi="宋体"/>
          <w:color w:val="000000" w:themeColor="text1"/>
          <w14:textFill>
            <w14:solidFill>
              <w14:schemeClr w14:val="tx1"/>
            </w14:solidFill>
          </w14:textFill>
        </w:rPr>
        <w:t>舍韦卢哈总结性地强调，苏共中央在干部工作中的错误削弱了党，最终导致苏联毁灭。让戈尔巴乔夫和叶利钦爬上最高领导岗位，是苏共中央干部政策最大的错误。正如曼德尔所指出的那样，背叛了马克思主义和社会主义的苏共领导集团，“窃取权力的过程是以干部的逆向选择机制为媒介的。”</w:t>
      </w:r>
    </w:p>
    <w:p w14:paraId="605CBFA1">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简言之，戈尔巴乔夫当上党的第一把手以后，大肆利用苏联上述非民主化和非正常化的传统高度集权的组织体制的弊端，在短短几年之内便以干部年轻化和改革为名，大规模撤换了坚持社会主义方向的原有党政军主要领导，突击提拔和重用了一大批反党反社会主义或立场模糊的干部，从而为政治上的“改向”奠定了组织和干部这一重要基础。</w:t>
      </w:r>
    </w:p>
    <w:p w14:paraId="1464C156">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b/>
          <w:color w:val="000000" w:themeColor="text1"/>
          <w14:textFill>
            <w14:solidFill>
              <w14:schemeClr w14:val="tx1"/>
            </w14:solidFill>
          </w14:textFill>
        </w:rPr>
        <w:t>（三）政治原因：</w:t>
      </w:r>
      <w:r>
        <w:rPr>
          <w:rFonts w:hint="eastAsia" w:ascii="宋体" w:hAnsi="宋体"/>
          <w:color w:val="000000" w:themeColor="text1"/>
          <w14:textFill>
            <w14:solidFill>
              <w14:schemeClr w14:val="tx1"/>
            </w14:solidFill>
          </w14:textFill>
        </w:rPr>
        <w:t>苏共领导集团背叛马克思主义和社会主义，而高度集权和缺乏约束的传统政治体制和机制又难以及时有效地予以消除</w:t>
      </w:r>
    </w:p>
    <w:p w14:paraId="12E3B63A">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一是主动背弃苏联社会主义。</w:t>
      </w:r>
      <w:r>
        <w:rPr>
          <w:rFonts w:ascii="Times New Roman" w:hAnsi="Times New Roman"/>
          <w:color w:val="000000" w:themeColor="text1"/>
          <w14:textFill>
            <w14:solidFill>
              <w14:schemeClr w14:val="tx1"/>
            </w14:solidFill>
          </w14:textFill>
        </w:rPr>
        <w:t>2010</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月</w:t>
      </w:r>
      <w:r>
        <w:rPr>
          <w:rFonts w:ascii="Times New Roman" w:hAnsi="Times New Roman"/>
          <w:color w:val="000000" w:themeColor="text1"/>
          <w14:textFill>
            <w14:solidFill>
              <w14:schemeClr w14:val="tx1"/>
            </w14:solidFill>
          </w14:textFill>
        </w:rPr>
        <w:t>18</w:t>
      </w:r>
      <w:r>
        <w:rPr>
          <w:rFonts w:hint="eastAsia" w:ascii="宋体" w:hAnsi="宋体"/>
          <w:color w:val="000000" w:themeColor="text1"/>
          <w14:textFill>
            <w14:solidFill>
              <w14:schemeClr w14:val="tx1"/>
            </w14:solidFill>
          </w14:textFill>
        </w:rPr>
        <w:t>日俄罗斯《独立报》刊登了一则采访原苏共领导人之一利加乔夫的消息。当记者问已经过去四分之一个世纪了，您认为应该如何认识苏联的改革时，这位一直同戈尔巴乔夫和叶利钦作斗争的利加乔夫回答说，在</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年代的改革中有两种立场和倾向。第一种是我坚决拥护的，并为之奋斗的。这是社会主义的改革，是社会主义的自我革新，而不是对苏维埃制度的拆毁。第二种是戈尔巴乔夫及其同盟者的立场。他们为自己背叛社会主义、党和人民，精心思考了如下解释。他们说，苏维埃制度完成了许多事情，所有人都知道，它是带着光辉的篇章走进历史的。但是它不能够改革和完善。应该打碎它，用资本主义制度取代。</w:t>
      </w:r>
    </w:p>
    <w:p w14:paraId="475E0D6A">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俄罗斯联邦共产党的文献中也有与上述相似的描述：“</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年代下半叶，苏联社会中的列宁主义者渴望解决已经成熟表现的社会问题，抑制社会中积聚起来的负面倾向，使其迈入新的境地。但这样的愿望被社会主义的叛徒以欺骗的手段加以利用了。另一些人假惺惺地喊着‘更多民主，更多社会主义</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的口号，但实际上却干着消灭它们的勾当……。削弱国家的作用，人为制造物资‘短缺’，引发了民众的抗议，大众传媒工具被有意地交给了持资产阶级观点的代表手中。他们使用心理战的方法，向群众灌输大量恶意中伤苏联及其历史的信息，对反苏维埃政权和联盟国家统一的势力听之任之”。</w:t>
      </w:r>
    </w:p>
    <w:p w14:paraId="2A29B434">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白俄罗斯共产党纲领则更是直言指出：“落入诽谤和挑拨者手中的大众传媒工具，对社会主义和苏联历史大肆污蔑，为反对苏维埃政权及联盟国家的力量开辟道路，于是</w:t>
      </w:r>
      <w:r>
        <w:rPr>
          <w:rFonts w:ascii="Times New Roman" w:hAnsi="Times New Roman"/>
          <w:color w:val="000000" w:themeColor="text1"/>
          <w14:textFill>
            <w14:solidFill>
              <w14:schemeClr w14:val="tx1"/>
            </w14:solidFill>
          </w14:textFill>
        </w:rPr>
        <w:t>1991</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月实现了反革命的国家政变”。</w:t>
      </w:r>
    </w:p>
    <w:p w14:paraId="55210BD7">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1991</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月</w:t>
      </w:r>
      <w:r>
        <w:rPr>
          <w:rFonts w:ascii="Times New Roman" w:hAnsi="Times New Roman"/>
          <w:color w:val="000000" w:themeColor="text1"/>
          <w14:textFill>
            <w14:solidFill>
              <w14:schemeClr w14:val="tx1"/>
            </w14:solidFill>
          </w14:textFill>
        </w:rPr>
        <w:t>17</w:t>
      </w:r>
      <w:r>
        <w:rPr>
          <w:rFonts w:hint="eastAsia" w:ascii="宋体" w:hAnsi="宋体"/>
          <w:color w:val="000000" w:themeColor="text1"/>
          <w14:textFill>
            <w14:solidFill>
              <w14:schemeClr w14:val="tx1"/>
            </w14:solidFill>
          </w14:textFill>
        </w:rPr>
        <w:t>日，戈尔巴乔夫领导集团试图放弃共产党执政和社会主义制度并解体苏联，因而举行是否解体苏联的全民公决。全苏有权参加公决的公民为</w:t>
      </w:r>
      <w:r>
        <w:rPr>
          <w:rFonts w:ascii="Times New Roman" w:hAnsi="Times New Roman"/>
          <w:color w:val="000000" w:themeColor="text1"/>
          <w14:textFill>
            <w14:solidFill>
              <w14:schemeClr w14:val="tx1"/>
            </w14:solidFill>
          </w14:textFill>
        </w:rPr>
        <w:t>185647335</w:t>
      </w:r>
      <w:r>
        <w:rPr>
          <w:rFonts w:hint="eastAsia" w:ascii="宋体" w:hAnsi="宋体"/>
          <w:color w:val="000000" w:themeColor="text1"/>
          <w14:textFill>
            <w14:solidFill>
              <w14:schemeClr w14:val="tx1"/>
            </w14:solidFill>
          </w14:textFill>
        </w:rPr>
        <w:t>人，参加投票的</w:t>
      </w:r>
      <w:r>
        <w:rPr>
          <w:rFonts w:ascii="Times New Roman" w:hAnsi="Times New Roman"/>
          <w:color w:val="000000" w:themeColor="text1"/>
          <w14:textFill>
            <w14:solidFill>
              <w14:schemeClr w14:val="tx1"/>
            </w14:solidFill>
          </w14:textFill>
        </w:rPr>
        <w:t>148574606</w:t>
      </w:r>
      <w:r>
        <w:rPr>
          <w:rFonts w:hint="eastAsia" w:ascii="宋体" w:hAnsi="宋体"/>
          <w:color w:val="000000" w:themeColor="text1"/>
          <w14:textFill>
            <w14:solidFill>
              <w14:schemeClr w14:val="tx1"/>
            </w14:solidFill>
          </w14:textFill>
        </w:rPr>
        <w:t>人，占</w:t>
      </w:r>
      <w:r>
        <w:rPr>
          <w:rFonts w:ascii="Times New Roman" w:hAnsi="Times New Roman"/>
          <w:color w:val="000000" w:themeColor="text1"/>
          <w14:textFill>
            <w14:solidFill>
              <w14:schemeClr w14:val="tx1"/>
            </w14:solidFill>
          </w14:textFill>
        </w:rPr>
        <w:t>80.0%</w:t>
      </w:r>
      <w:r>
        <w:rPr>
          <w:rFonts w:hint="eastAsia" w:ascii="宋体" w:hAnsi="宋体"/>
          <w:color w:val="000000" w:themeColor="text1"/>
          <w14:textFill>
            <w14:solidFill>
              <w14:schemeClr w14:val="tx1"/>
            </w14:solidFill>
          </w14:textFill>
        </w:rPr>
        <w:t>。其中同意保留苏联的</w:t>
      </w:r>
      <w:r>
        <w:rPr>
          <w:rFonts w:ascii="Times New Roman" w:hAnsi="Times New Roman"/>
          <w:color w:val="000000" w:themeColor="text1"/>
          <w14:textFill>
            <w14:solidFill>
              <w14:schemeClr w14:val="tx1"/>
            </w14:solidFill>
          </w14:textFill>
        </w:rPr>
        <w:t>113512812</w:t>
      </w:r>
      <w:r>
        <w:rPr>
          <w:rFonts w:hint="eastAsia" w:ascii="宋体" w:hAnsi="宋体"/>
          <w:color w:val="000000" w:themeColor="text1"/>
          <w14:textFill>
            <w14:solidFill>
              <w14:schemeClr w14:val="tx1"/>
            </w14:solidFill>
          </w14:textFill>
        </w:rPr>
        <w:t>人，占</w:t>
      </w:r>
      <w:r>
        <w:rPr>
          <w:rFonts w:ascii="Times New Roman" w:hAnsi="Times New Roman"/>
          <w:color w:val="000000" w:themeColor="text1"/>
          <w14:textFill>
            <w14:solidFill>
              <w14:schemeClr w14:val="tx1"/>
            </w14:solidFill>
          </w14:textFill>
        </w:rPr>
        <w:t>76.4%</w:t>
      </w:r>
      <w:r>
        <w:rPr>
          <w:rFonts w:hint="eastAsia" w:ascii="宋体" w:hAnsi="宋体"/>
          <w:color w:val="000000" w:themeColor="text1"/>
          <w14:textFill>
            <w14:solidFill>
              <w14:schemeClr w14:val="tx1"/>
            </w14:solidFill>
          </w14:textFill>
        </w:rPr>
        <w:t>，不同意的</w:t>
      </w:r>
      <w:r>
        <w:rPr>
          <w:rFonts w:ascii="Times New Roman" w:hAnsi="Times New Roman"/>
          <w:color w:val="000000" w:themeColor="text1"/>
          <w14:textFill>
            <w14:solidFill>
              <w14:schemeClr w14:val="tx1"/>
            </w14:solidFill>
          </w14:textFill>
        </w:rPr>
        <w:t>32303927</w:t>
      </w:r>
      <w:r>
        <w:rPr>
          <w:rFonts w:hint="eastAsia" w:ascii="宋体" w:hAnsi="宋体"/>
          <w:color w:val="000000" w:themeColor="text1"/>
          <w14:textFill>
            <w14:solidFill>
              <w14:schemeClr w14:val="tx1"/>
            </w14:solidFill>
          </w14:textFill>
        </w:rPr>
        <w:t>人，占</w:t>
      </w:r>
      <w:r>
        <w:rPr>
          <w:rFonts w:ascii="Times New Roman" w:hAnsi="Times New Roman"/>
          <w:color w:val="000000" w:themeColor="text1"/>
          <w14:textFill>
            <w14:solidFill>
              <w14:schemeClr w14:val="tx1"/>
            </w14:solidFill>
          </w14:textFill>
        </w:rPr>
        <w:t>21.7%</w:t>
      </w:r>
      <w:r>
        <w:rPr>
          <w:rFonts w:hint="eastAsia" w:ascii="宋体" w:hAnsi="宋体"/>
          <w:color w:val="000000" w:themeColor="text1"/>
          <w14:textFill>
            <w14:solidFill>
              <w14:schemeClr w14:val="tx1"/>
            </w14:solidFill>
          </w14:textFill>
        </w:rPr>
        <w:t>，投无效票的</w:t>
      </w:r>
      <w:r>
        <w:rPr>
          <w:rFonts w:ascii="Times New Roman" w:hAnsi="Times New Roman"/>
          <w:color w:val="000000" w:themeColor="text1"/>
          <w14:textFill>
            <w14:solidFill>
              <w14:schemeClr w14:val="tx1"/>
            </w14:solidFill>
          </w14:textFill>
        </w:rPr>
        <w:t>2757817</w:t>
      </w:r>
      <w:r>
        <w:rPr>
          <w:rFonts w:hint="eastAsia" w:ascii="宋体" w:hAnsi="宋体"/>
          <w:color w:val="000000" w:themeColor="text1"/>
          <w14:textFill>
            <w14:solidFill>
              <w14:schemeClr w14:val="tx1"/>
            </w14:solidFill>
          </w14:textFill>
        </w:rPr>
        <w:t>人，占</w:t>
      </w:r>
      <w:r>
        <w:rPr>
          <w:rFonts w:ascii="Times New Roman" w:hAnsi="Times New Roman"/>
          <w:color w:val="000000" w:themeColor="text1"/>
          <w14:textFill>
            <w14:solidFill>
              <w14:schemeClr w14:val="tx1"/>
            </w14:solidFill>
          </w14:textFill>
        </w:rPr>
        <w:t>1.9%</w:t>
      </w:r>
      <w:r>
        <w:rPr>
          <w:rFonts w:hint="eastAsia" w:ascii="宋体" w:hAnsi="宋体"/>
          <w:color w:val="000000" w:themeColor="text1"/>
          <w14:textFill>
            <w14:solidFill>
              <w14:schemeClr w14:val="tx1"/>
            </w14:solidFill>
          </w14:textFill>
        </w:rPr>
        <w:t>。此前尽管反苏联、反社会主义的宣传已经甚嚣尘上，但参加公决的大部分公民依然认为必须保留苏联。作为戈尔巴乔夫领导集团主要人物之一的俄罗斯总统叶利钦，于</w:t>
      </w:r>
      <w:r>
        <w:rPr>
          <w:rFonts w:ascii="Times New Roman" w:hAnsi="Times New Roman"/>
          <w:color w:val="000000" w:themeColor="text1"/>
          <w14:textFill>
            <w14:solidFill>
              <w14:schemeClr w14:val="tx1"/>
            </w14:solidFill>
          </w14:textFill>
        </w:rPr>
        <w:t>1991</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月</w:t>
      </w:r>
      <w:r>
        <w:rPr>
          <w:rFonts w:ascii="Times New Roman" w:hAnsi="Times New Roman"/>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日同白俄罗斯和乌克兰的领导人签署了别洛韦日协议即《关于建立独立国家联合体协议》，宣布“苏联作为国际法主体和地缘政治实体已经终止存在”。整整</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年过去了，</w:t>
      </w:r>
      <w:r>
        <w:rPr>
          <w:rFonts w:ascii="Times New Roman" w:hAnsi="Times New Roman"/>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月</w:t>
      </w:r>
      <w:r>
        <w:rPr>
          <w:rFonts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日，即戈尔巴乔夫</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岁生日那天，俄罗斯新闻社有消息说，据全俄民意研究中心调查显示，</w:t>
      </w:r>
      <w:r>
        <w:rPr>
          <w:rFonts w:ascii="Times New Roman" w:hAnsi="Times New Roman"/>
          <w:color w:val="000000" w:themeColor="text1"/>
          <w14:textFill>
            <w14:solidFill>
              <w14:schemeClr w14:val="tx1"/>
            </w14:solidFill>
          </w14:textFill>
        </w:rPr>
        <w:t>42%</w:t>
      </w:r>
      <w:r>
        <w:rPr>
          <w:rFonts w:hint="eastAsia" w:ascii="宋体" w:hAnsi="宋体"/>
          <w:color w:val="000000" w:themeColor="text1"/>
          <w14:textFill>
            <w14:solidFill>
              <w14:schemeClr w14:val="tx1"/>
            </w14:solidFill>
          </w14:textFill>
        </w:rPr>
        <w:t>的俄罗斯人认为戈尔巴乔夫是导致苏联解体的罪魁祸首。</w:t>
      </w:r>
    </w:p>
    <w:p w14:paraId="7227D4B7">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二是有意背弃东欧社会主义国家。不少研究者认为，民主德国的命运及整个德国问题被戈尔巴乔夫为首的苏联领导人，以最不利于社会主义的方式解决的，从中可窥见戈尔巴乔夫诋毁社会主义的决心。而美国总统布什早已察觉到戈尔巴乔夫的意图，在</w:t>
      </w:r>
      <w:r>
        <w:rPr>
          <w:rFonts w:ascii="Times New Roman" w:hAnsi="Times New Roman"/>
          <w:color w:val="000000" w:themeColor="text1"/>
          <w14:textFill>
            <w14:solidFill>
              <w14:schemeClr w14:val="tx1"/>
            </w14:solidFill>
          </w14:textFill>
        </w:rPr>
        <w:t>1988</w:t>
      </w:r>
      <w:r>
        <w:rPr>
          <w:rFonts w:hint="eastAsia" w:ascii="宋体" w:hAnsi="宋体"/>
          <w:color w:val="000000" w:themeColor="text1"/>
          <w14:textFill>
            <w14:solidFill>
              <w14:schemeClr w14:val="tx1"/>
            </w14:solidFill>
          </w14:textFill>
        </w:rPr>
        <w:t>年底就对美国驻苏联大使沃尔特强调，决定性的时刻到来了，德意志联邦共和国的地图上要包括民主共和国。美国如愿以偿，统一后的德国立刻加入了北约。美国记者沃尔什就此写道：“</w:t>
      </w:r>
      <w:r>
        <w:rPr>
          <w:rFonts w:ascii="Times New Roman" w:hAnsi="Times New Roman"/>
          <w:color w:val="000000" w:themeColor="text1"/>
          <w14:textFill>
            <w14:solidFill>
              <w14:schemeClr w14:val="tx1"/>
            </w14:solidFill>
          </w14:textFill>
        </w:rPr>
        <w:t>1990</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月，戈尔巴乔夫访问美国。在布什总统办公室，两位总统的顾问和外国使馆首脑出席的情况下，戈尔巴乔夫似乎很随便地声明，如果德国人民愿意的话，他同意承认统一后的德国成为北约成员国。参加会议的人们都被惊呆了”，“布什甚至请戈尔巴乔夫重复一遍他所说过的话。”最令俄罗斯人不能容忍的是，戈尔巴乔夫用简单的点头不仅表示了同意，而且在事实上明确废止了作为苏联卫国战争胜利体现的《波茨坦协定》规定的结果。</w:t>
      </w:r>
    </w:p>
    <w:p w14:paraId="2E087DC6">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就戈尔巴乔夫对民主德国的命运问题的处理，前苏联克格勃主席、苏共中央政治局成员、苏联国家紧急委员会成员克留奇科夫证实：</w:t>
      </w:r>
      <w:r>
        <w:rPr>
          <w:rFonts w:ascii="Times New Roman" w:hAnsi="Times New Roman"/>
          <w:color w:val="000000" w:themeColor="text1"/>
          <w14:textFill>
            <w14:solidFill>
              <w14:schemeClr w14:val="tx1"/>
            </w14:solidFill>
          </w14:textFill>
        </w:rPr>
        <w:t>1989</w:t>
      </w:r>
      <w:r>
        <w:rPr>
          <w:rFonts w:hint="eastAsia" w:ascii="宋体" w:hAnsi="宋体"/>
          <w:color w:val="000000" w:themeColor="text1"/>
          <w14:textFill>
            <w14:solidFill>
              <w14:schemeClr w14:val="tx1"/>
            </w14:solidFill>
          </w14:textFill>
        </w:rPr>
        <w:t>年末戈尔巴乔夫同美国新任总统布什在在马耳他岛会晤，在那里戈尔巴乔夫“抵押”了民主德国，对乔治•布什表现得十分殷勤，并且做出了一个令人惊讶的声明，即苏联准备不把美国看作是自己的主要对手。也就是说，他在美国面前放弃了自己的军事和政治立场，却没有得到任何回报。</w:t>
      </w:r>
      <w:r>
        <w:rPr>
          <w:rFonts w:ascii="Times New Roman" w:hAnsi="Times New Roman"/>
          <w:color w:val="000000" w:themeColor="text1"/>
          <w14:textFill>
            <w14:solidFill>
              <w14:schemeClr w14:val="tx1"/>
            </w14:solidFill>
          </w14:textFill>
        </w:rPr>
        <w:t>1990</w:t>
      </w:r>
      <w:r>
        <w:rPr>
          <w:rFonts w:hint="eastAsia" w:ascii="宋体" w:hAnsi="宋体"/>
          <w:color w:val="000000" w:themeColor="text1"/>
          <w14:textFill>
            <w14:solidFill>
              <w14:schemeClr w14:val="tx1"/>
            </w14:solidFill>
          </w14:textFill>
        </w:rPr>
        <w:t>年春天在高加索地区会见德国总理科尔时，戈尔巴乔夫宣布莫斯科不反对德国统一。对于科尔来说，类似的声明是他完全没有预料到的，以至于他请翻译再重复一次戈尔巴乔夫所说的话。当翻译再说了一遍之后，科尔甚至一度茫然，但很快他就对戈尔巴乔夫表示感谢，并把这个始料未及的消息带回了波恩。</w:t>
      </w:r>
    </w:p>
    <w:p w14:paraId="525A656A">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简言之，戈尔巴乔夫和叶利钦领导集团利用高度集权和缺乏约束的传统政治体制机制，主动背叛马克思主义和社会主义以及广大人民的根本利益，这是苏联（包括东欧社会主义国家）剧变和解体致命性的政治根源和直接原因。顺便指出，以为这样客观揭示和总结是偏离历史唯物主义的指责并不成立，因为具有辩证性的历史唯物论强调人民群众属于决定和推动历史的最终力量和根本作用，绝不会否定关键人物、领袖及其领导集团在某一具体历史事件和时点上的决定性作用或力量。</w:t>
      </w:r>
    </w:p>
    <w:p w14:paraId="6AD8DA41">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综上所述，基于高度集权和僵化的传统社会主义体制和模式，在苏联剧变和解体的三大主要原因或根本原因中，长期的思想理论混乱是基础性原因，长期的组织政策失误是关键性原因，而实行“改革新思维”的政治上背叛是直接的致命性原因和首要原因。三大主要原因涉及思想与政治、理论与实践、领袖与群众、个人与集团、制度与政策、统一与解体、改革与“改向”、长期与短期、内因与外因、政治与经济等关系及其正负效应，其综合作用的必然结果是苏联剧变和解体。而其他原因即使客观存在，也是排在三大原因之后或是局部的原因。正如江泽民同志所指出的：“东欧剧变、苏联解体，最重要的教训是：放弃了社会主义道路，放弃了无产阶级专政，放弃了共产党的领导地位，放弃了马克思列宁主义，结果使得已经相当严重的政治、经济、社会和民族矛盾进一步激化，最终酿成了制度剧变、国家解体的历史悲剧。”</w:t>
      </w:r>
    </w:p>
    <w:p w14:paraId="6E4110BA">
      <w:pPr>
        <w:spacing w:before="147" w:beforeLines="50" w:after="147" w:afterLines="50" w:line="400" w:lineRule="exact"/>
        <w:ind w:firstLine="480" w:firstLineChars="200"/>
        <w:jc w:val="center"/>
        <w:rPr>
          <w:rFonts w:ascii="宋体" w:hAnsi="宋体"/>
          <w:b/>
          <w:color w:val="000000" w:themeColor="text1"/>
          <w:sz w:val="24"/>
          <w:szCs w:val="24"/>
          <w14:textFill>
            <w14:solidFill>
              <w14:schemeClr w14:val="tx1"/>
            </w14:solidFill>
          </w14:textFill>
        </w:rPr>
      </w:pPr>
      <w:bookmarkStart w:id="1534" w:name="_Toc5577"/>
      <w:bookmarkEnd w:id="1534"/>
      <w:bookmarkStart w:id="1535" w:name="_Toc28542"/>
      <w:bookmarkEnd w:id="1535"/>
      <w:bookmarkStart w:id="1536" w:name="_Toc5325"/>
      <w:bookmarkEnd w:id="1536"/>
      <w:bookmarkStart w:id="1537" w:name="_Toc14556"/>
      <w:bookmarkEnd w:id="1537"/>
      <w:bookmarkStart w:id="1538" w:name="_Toc18083"/>
      <w:r>
        <w:rPr>
          <w:rFonts w:hint="eastAsia" w:ascii="宋体" w:hAnsi="宋体"/>
          <w:b/>
          <w:color w:val="000000" w:themeColor="text1"/>
          <w:sz w:val="24"/>
          <w:szCs w:val="24"/>
          <w14:textFill>
            <w14:solidFill>
              <w14:schemeClr w14:val="tx1"/>
            </w14:solidFill>
          </w14:textFill>
        </w:rPr>
        <w:t>二、评析关于苏联剧变和解体的其他五种“主要原因论”</w:t>
      </w:r>
      <w:bookmarkEnd w:id="1538"/>
    </w:p>
    <w:p w14:paraId="1815CD2D">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苏联剧变和解体以后的</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年来，国内外对苏联剧变和解体的原因进行了大量的研究，积累了丰富的研究成果。然而，始终存在某些片面的或有误的所谓主要原因论或根源论，下面对此进行概括和简评。</w:t>
      </w:r>
    </w:p>
    <w:p w14:paraId="6F57D472">
      <w:pPr>
        <w:ind w:firstLine="420" w:firstLineChars="200"/>
        <w:rPr>
          <w:rFonts w:ascii="Times New Roman" w:hAnsi="Times New Roman"/>
          <w:b/>
          <w:color w:val="000000" w:themeColor="text1"/>
          <w14:textFill>
            <w14:solidFill>
              <w14:schemeClr w14:val="tx1"/>
            </w14:solidFill>
          </w14:textFill>
        </w:rPr>
      </w:pPr>
      <w:bookmarkStart w:id="1539" w:name="_Toc31166"/>
      <w:bookmarkEnd w:id="1539"/>
      <w:r>
        <w:rPr>
          <w:rFonts w:hint="eastAsia" w:ascii="宋体" w:hAnsi="宋体"/>
          <w:b/>
          <w:color w:val="000000" w:themeColor="text1"/>
          <w14:textFill>
            <w14:solidFill>
              <w14:schemeClr w14:val="tx1"/>
            </w14:solidFill>
          </w14:textFill>
        </w:rPr>
        <w:t>（一）传统模式必然论</w:t>
      </w:r>
    </w:p>
    <w:p w14:paraId="03ECF5B0">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第一个问题：传统的斯大林模式必然导致苏联剧变和解体吗？早在苏联解体十年之际，国内就有学者撰文写道：“我早在</w:t>
      </w:r>
      <w:r>
        <w:rPr>
          <w:rFonts w:ascii="Times New Roman" w:hAnsi="Times New Roman"/>
          <w:color w:val="000000" w:themeColor="text1"/>
          <w14:textFill>
            <w14:solidFill>
              <w14:schemeClr w14:val="tx1"/>
            </w14:solidFill>
          </w14:textFill>
        </w:rPr>
        <w:t>1989</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月</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当波兰等六个东欧国家发生剧变后就提出</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这些国家剧变的根本原因是体制问题，就是说，斯大林模式弊病太多，历次改革又遭失败，从而到后来，这种体制走入死胡同，失去了动力机制。后来，我一直从体制这个角度研究苏联剧变原因。此学者在《苏联剧变深层次原因研究》一书又重申“苏联剧变的根本性原因是体制问题，就是说苏联传统的体制弊病太多，已走入了死胡同，失去了动力机制”。《苏联剧变新探》一书也明确写道：“本书新观点在于：具有</w:t>
      </w:r>
      <w:r>
        <w:rPr>
          <w:rFonts w:ascii="Times New Roman" w:hAnsi="Times New Roman"/>
          <w:color w:val="000000" w:themeColor="text1"/>
          <w14:textFill>
            <w14:solidFill>
              <w14:schemeClr w14:val="tx1"/>
            </w14:solidFill>
          </w14:textFill>
        </w:rPr>
        <w:t>70</w:t>
      </w:r>
      <w:r>
        <w:rPr>
          <w:rFonts w:hint="eastAsia" w:ascii="宋体" w:hAnsi="宋体"/>
          <w:color w:val="000000" w:themeColor="text1"/>
          <w14:textFill>
            <w14:solidFill>
              <w14:schemeClr w14:val="tx1"/>
            </w14:solidFill>
          </w14:textFill>
        </w:rPr>
        <w:t>年历史的斯大林模式是导致苏联解体的主要原因”。俄罗斯著名经济学家、莫斯科大学А</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В</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布兹加林教授提出苏联社会主义是“突变社会主义”的观点，认为这种“突变体”存在极大的矛盾：“一极是恶性膨胀的官僚主义，另一极是具有能够回应新问题挑战潜力的社会主义因素。但后者慢慢地被官僚制度所压制。”他强调“突变社会主义”内部矛盾激化是造成苏联解体的原因，斯大林模式是导致苏联解体的主要原因，而且是必然解体。</w:t>
      </w:r>
    </w:p>
    <w:p w14:paraId="63ADC454">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我们看来，斯大林模式是人类历史上第一个社会主义模式，其基本特征和内涵表现为：思想文化上是以马列主义为指导，政治上是共产党执政和人民代表大会制，经济上是公有化、计划经济和按劳分配体制。这一根本制度模式比一切资本主义根本制度模式要先进和优越，因而取得了经济、政治、文化和军事上的重大成就，改变了资本主义剥削和压迫制度一统世界的格局。不过，它排斥思想文化领域的多样化、政治领域的民主化和经济领域的市场化，因而存在严重弊端，出现重大失误。尽管这些弊端和错误比历史上和现实中的资本主义模式要小，但仍然必须认真反思、深刻批判和全面改革。</w:t>
      </w:r>
    </w:p>
    <w:p w14:paraId="5F19AE55">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关键在于，斯大林模式或改良的传统社会主义模式是否必然导致走上资本主义道路？众所周知，从</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年代开始，以斯大林模式为基础的传统社会主义逐渐演化为三种道路：一是以中国和越南为代表的社会主义全面改革开放的道路，实行社会主义市场经济体制和民主政治体制；二是以古巴、老挝和朝鲜为代表的社会主义适当改良的道路，逐渐增加市场机制和民主机制；三是以苏联和大多数东欧国家为代表的全面资本主义改向的道路，实行经济政治文化上的资本主义基本制度。倘若说斯大林模式必然崩溃或失败，那就等于说包括中国在内的所有传统社会主义国家都必然崩溃和失败。显然，这种貌似有理的“传统模式必然论”既经不起逻辑分析，更经不起当今现实的验证。要区别斯大林模式演变的必然性与或然性。或然性是或许可能，是有可能而不一定，斯大林模式要经过前述三大主要原因的形成这一中间环节，才肯定（或另一种含义的“必然”）导向资本主义，否则只是演变或选择的可能性之一。</w:t>
      </w:r>
    </w:p>
    <w:p w14:paraId="17957529">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据俄罗斯科学研究院综合社会研究所在</w:t>
      </w:r>
      <w:r>
        <w:rPr>
          <w:rFonts w:ascii="Times New Roman" w:hAnsi="Times New Roman"/>
          <w:color w:val="000000" w:themeColor="text1"/>
          <w14:textFill>
            <w14:solidFill>
              <w14:schemeClr w14:val="tx1"/>
            </w14:solidFill>
          </w14:textFill>
        </w:rPr>
        <w:t>1999</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2001</w:t>
      </w:r>
      <w:r>
        <w:rPr>
          <w:rFonts w:hint="eastAsia" w:ascii="宋体" w:hAnsi="宋体"/>
          <w:color w:val="000000" w:themeColor="text1"/>
          <w14:textFill>
            <w14:solidFill>
              <w14:schemeClr w14:val="tx1"/>
            </w14:solidFill>
          </w14:textFill>
        </w:rPr>
        <w:t>年曾作了几次调查也可验证以上结论。占被调查者</w:t>
      </w:r>
      <w:r>
        <w:rPr>
          <w:rFonts w:ascii="Times New Roman" w:hAnsi="Times New Roman"/>
          <w:color w:val="000000" w:themeColor="text1"/>
          <w14:textFill>
            <w14:solidFill>
              <w14:schemeClr w14:val="tx1"/>
            </w14:solidFill>
          </w14:textFill>
        </w:rPr>
        <w:t>66.5%</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63.2%</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57.6%</w:t>
      </w:r>
      <w:r>
        <w:rPr>
          <w:rFonts w:hint="eastAsia" w:ascii="宋体" w:hAnsi="宋体"/>
          <w:color w:val="000000" w:themeColor="text1"/>
          <w14:textFill>
            <w14:solidFill>
              <w14:schemeClr w14:val="tx1"/>
            </w14:solidFill>
          </w14:textFill>
        </w:rPr>
        <w:t>的俄罗斯人均认为苏联解体是可以防止的，赞同“苏联解体是不可避免的”观点的人仅仅占</w:t>
      </w:r>
      <w:r>
        <w:rPr>
          <w:rFonts w:ascii="Times New Roman" w:hAnsi="Times New Roman"/>
          <w:color w:val="000000" w:themeColor="text1"/>
          <w14:textFill>
            <w14:solidFill>
              <w14:schemeClr w14:val="tx1"/>
            </w14:solidFill>
          </w14:textFill>
        </w:rPr>
        <w:t>20.3%</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25.4%</w:t>
      </w:r>
      <w:r>
        <w:rPr>
          <w:rFonts w:hint="eastAsia" w:ascii="宋体" w:hAnsi="宋体"/>
          <w:color w:val="000000" w:themeColor="text1"/>
          <w14:textFill>
            <w14:solidFill>
              <w14:schemeClr w14:val="tx1"/>
            </w14:solidFill>
          </w14:textFill>
        </w:rPr>
        <w:t>和</w:t>
      </w:r>
      <w:r>
        <w:rPr>
          <w:rFonts w:ascii="Times New Roman" w:hAnsi="Times New Roman"/>
          <w:color w:val="000000" w:themeColor="text1"/>
          <w14:textFill>
            <w14:solidFill>
              <w14:schemeClr w14:val="tx1"/>
            </w14:solidFill>
          </w14:textFill>
        </w:rPr>
        <w:t>30.0%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2005</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月俄罗斯“全俄民意调查中心”对俄罗斯</w:t>
      </w:r>
      <w:r>
        <w:rPr>
          <w:rFonts w:ascii="Times New Roman" w:hAnsi="Times New Roman"/>
          <w:color w:val="000000" w:themeColor="text1"/>
          <w14:textFill>
            <w14:solidFill>
              <w14:schemeClr w14:val="tx1"/>
            </w14:solidFill>
          </w14:textFill>
        </w:rPr>
        <w:t>46</w:t>
      </w:r>
      <w:r>
        <w:rPr>
          <w:rFonts w:hint="eastAsia" w:ascii="宋体" w:hAnsi="宋体"/>
          <w:color w:val="000000" w:themeColor="text1"/>
          <w14:textFill>
            <w14:solidFill>
              <w14:schemeClr w14:val="tx1"/>
            </w14:solidFill>
          </w14:textFill>
        </w:rPr>
        <w:t>个州、边疆区和共和国的</w:t>
      </w:r>
      <w:r>
        <w:rPr>
          <w:rFonts w:ascii="Times New Roman" w:hAnsi="Times New Roman"/>
          <w:color w:val="000000" w:themeColor="text1"/>
          <w14:textFill>
            <w14:solidFill>
              <w14:schemeClr w14:val="tx1"/>
            </w14:solidFill>
          </w14:textFill>
        </w:rPr>
        <w:t>153</w:t>
      </w:r>
      <w:r>
        <w:rPr>
          <w:rFonts w:hint="eastAsia" w:ascii="宋体" w:hAnsi="宋体"/>
          <w:color w:val="000000" w:themeColor="text1"/>
          <w14:textFill>
            <w14:solidFill>
              <w14:schemeClr w14:val="tx1"/>
            </w14:solidFill>
          </w14:textFill>
        </w:rPr>
        <w:t>个居民点进行了民意调查，</w:t>
      </w:r>
      <w:r>
        <w:rPr>
          <w:rFonts w:ascii="Times New Roman" w:hAnsi="Times New Roman"/>
          <w:color w:val="000000" w:themeColor="text1"/>
          <w14:textFill>
            <w14:solidFill>
              <w14:schemeClr w14:val="tx1"/>
            </w14:solidFill>
          </w14:textFill>
        </w:rPr>
        <w:t>57%</w:t>
      </w:r>
      <w:r>
        <w:rPr>
          <w:rFonts w:hint="eastAsia" w:ascii="宋体" w:hAnsi="宋体"/>
          <w:color w:val="000000" w:themeColor="text1"/>
          <w14:textFill>
            <w14:solidFill>
              <w14:schemeClr w14:val="tx1"/>
            </w14:solidFill>
          </w14:textFill>
        </w:rPr>
        <w:t>的人则认为，苏联解体本来是可以避免的，就是说多数俄罗斯人并不同意“当时的苏联社会制度必然灭亡”的观点。这一点甚至连戈尔巴乔夫本人也是认可的。</w:t>
      </w:r>
      <w:r>
        <w:rPr>
          <w:rFonts w:ascii="Times New Roman" w:hAnsi="Times New Roman"/>
          <w:color w:val="000000" w:themeColor="text1"/>
          <w14:textFill>
            <w14:solidFill>
              <w14:schemeClr w14:val="tx1"/>
            </w14:solidFill>
          </w14:textFill>
        </w:rPr>
        <w:t>2006</w:t>
      </w:r>
      <w:r>
        <w:rPr>
          <w:rFonts w:hint="eastAsia" w:ascii="宋体" w:hAnsi="宋体"/>
          <w:color w:val="000000" w:themeColor="text1"/>
          <w14:textFill>
            <w14:solidFill>
              <w14:schemeClr w14:val="tx1"/>
            </w14:solidFill>
          </w14:textFill>
        </w:rPr>
        <w:t>年，戈尔巴乔夫在</w:t>
      </w:r>
      <w:r>
        <w:rPr>
          <w:rFonts w:ascii="Times New Roman" w:hAnsi="Times New Roman"/>
          <w:color w:val="000000" w:themeColor="text1"/>
          <w14:textFill>
            <w14:solidFill>
              <w14:schemeClr w14:val="tx1"/>
            </w14:solidFill>
          </w14:textFill>
        </w:rPr>
        <w:t>75</w:t>
      </w:r>
      <w:r>
        <w:rPr>
          <w:rFonts w:hint="eastAsia" w:ascii="宋体" w:hAnsi="宋体"/>
          <w:color w:val="000000" w:themeColor="text1"/>
          <w14:textFill>
            <w14:solidFill>
              <w14:schemeClr w14:val="tx1"/>
            </w14:solidFill>
          </w14:textFill>
        </w:rPr>
        <w:t>岁生日时，有人问他：“如果不搞当初的改革，你现在干什么？”戈尔巴乔夫回答说：“如果我身体还行的话，仍在当苏共中央总书记。因为在我执政的时期，社会体制也还是足够稳固的。”的确，被戈氏等所谓“改革派”亲手葬送掉的社会主义体制，并不需要为错误改革的路线负责。而一个足够稳固且人民大众并不期望解体的体制在短短数年间突然崩溃，中间的教训也不能不引起后人们深思！</w:t>
      </w:r>
    </w:p>
    <w:p w14:paraId="43C2530C">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二个问题：传统的计划经济模式必然导致苏联剧变和解体吗？应当确认，传统计划经济体制是有利有弊的，正如当代西方经济学大师萨缪尔森在《经济学》教科书中解释“为什么要学习苏联经济”时指出：“同它的早期批评家所相信的东西相反，苏联经济迅速地增长，扩大了它的影响并且赢得了许多盟友。它成功地把自己从一个军事上的弱国，弱到</w:t>
      </w:r>
      <w:r>
        <w:rPr>
          <w:rFonts w:ascii="Times New Roman" w:hAnsi="Times New Roman"/>
          <w:color w:val="000000" w:themeColor="text1"/>
          <w14:textFill>
            <w14:solidFill>
              <w14:schemeClr w14:val="tx1"/>
            </w14:solidFill>
          </w14:textFill>
        </w:rPr>
        <w:t>1918</w:t>
      </w:r>
      <w:r>
        <w:rPr>
          <w:rFonts w:hint="eastAsia" w:ascii="宋体" w:hAnsi="宋体"/>
          <w:color w:val="000000" w:themeColor="text1"/>
          <w14:textFill>
            <w14:solidFill>
              <w14:schemeClr w14:val="tx1"/>
            </w14:solidFill>
          </w14:textFill>
        </w:rPr>
        <w:t>年向德国乞求休战，变成了一个令整个世界感到害怕的超级大国。从经济学的观点来看，也许最有意义的教训是，命令经济是可以发挥机能的。命令是这样组织经济的，即国家拥有生产手段，利润不是主要的动力，而且主要决策是由行政上作出的──这种命令经济可以在很长的时期内运行良好。”事实上，即使在传统计划经济体制和国际环境有利于私有制大国的条件下，苏联的发展业绩和效率也超过了绝大多数西方国家。苏联从</w:t>
      </w:r>
      <w:r>
        <w:rPr>
          <w:rFonts w:ascii="Times New Roman" w:hAnsi="Times New Roman"/>
          <w:color w:val="000000" w:themeColor="text1"/>
          <w14:textFill>
            <w14:solidFill>
              <w14:schemeClr w14:val="tx1"/>
            </w14:solidFill>
          </w14:textFill>
        </w:rPr>
        <w:t>1925</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1940</w:t>
      </w:r>
      <w:r>
        <w:rPr>
          <w:rFonts w:hint="eastAsia" w:ascii="宋体" w:hAnsi="宋体"/>
          <w:color w:val="000000" w:themeColor="text1"/>
          <w14:textFill>
            <w14:solidFill>
              <w14:schemeClr w14:val="tx1"/>
            </w14:solidFill>
          </w14:textFill>
        </w:rPr>
        <w:t>年，只用</w:t>
      </w:r>
      <w:r>
        <w:rPr>
          <w:rFonts w:ascii="Times New Roman" w:hAnsi="Times New Roman"/>
          <w:color w:val="000000" w:themeColor="text1"/>
          <w14:textFill>
            <w14:solidFill>
              <w14:schemeClr w14:val="tx1"/>
            </w14:solidFill>
          </w14:textFill>
        </w:rPr>
        <w:t>15</w:t>
      </w:r>
      <w:r>
        <w:rPr>
          <w:rFonts w:hint="eastAsia" w:ascii="宋体" w:hAnsi="宋体"/>
          <w:color w:val="000000" w:themeColor="text1"/>
          <w14:textFill>
            <w14:solidFill>
              <w14:schemeClr w14:val="tx1"/>
            </w14:solidFill>
          </w14:textFill>
        </w:rPr>
        <w:t>年的时间走完了主要资本主义国家用</w:t>
      </w:r>
      <w:r>
        <w:rPr>
          <w:rFonts w:ascii="Times New Roman" w:hAnsi="Times New Roman"/>
          <w:color w:val="000000" w:themeColor="text1"/>
          <w14:textFill>
            <w14:solidFill>
              <w14:schemeClr w14:val="tx1"/>
            </w14:solidFill>
          </w14:textFill>
        </w:rPr>
        <w:t>50</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100</w:t>
      </w:r>
      <w:r>
        <w:rPr>
          <w:rFonts w:hint="eastAsia" w:ascii="宋体" w:hAnsi="宋体"/>
          <w:color w:val="000000" w:themeColor="text1"/>
          <w14:textFill>
            <w14:solidFill>
              <w14:schemeClr w14:val="tx1"/>
            </w14:solidFill>
          </w14:textFill>
        </w:rPr>
        <w:t>年走过的路程。</w:t>
      </w:r>
      <w:r>
        <w:rPr>
          <w:rFonts w:ascii="Times New Roman" w:hAnsi="Times New Roman"/>
          <w:color w:val="000000" w:themeColor="text1"/>
          <w14:textFill>
            <w14:solidFill>
              <w14:schemeClr w14:val="tx1"/>
            </w14:solidFill>
          </w14:textFill>
        </w:rPr>
        <w:t>1913</w:t>
      </w:r>
      <w:r>
        <w:rPr>
          <w:rFonts w:hint="eastAsia" w:ascii="宋体" w:hAnsi="宋体"/>
          <w:color w:val="000000" w:themeColor="text1"/>
          <w14:textFill>
            <w14:solidFill>
              <w14:schemeClr w14:val="tx1"/>
            </w14:solidFill>
          </w14:textFill>
        </w:rPr>
        <w:t>年，俄国工业产值在欧洲居第四位，在世界居第五位。到</w:t>
      </w:r>
      <w:r>
        <w:rPr>
          <w:rFonts w:ascii="Times New Roman" w:hAnsi="Times New Roman"/>
          <w:color w:val="000000" w:themeColor="text1"/>
          <w14:textFill>
            <w14:solidFill>
              <w14:schemeClr w14:val="tx1"/>
            </w14:solidFill>
          </w14:textFill>
        </w:rPr>
        <w:t>1940</w:t>
      </w:r>
      <w:r>
        <w:rPr>
          <w:rFonts w:hint="eastAsia" w:ascii="宋体" w:hAnsi="宋体"/>
          <w:color w:val="000000" w:themeColor="text1"/>
          <w14:textFill>
            <w14:solidFill>
              <w14:schemeClr w14:val="tx1"/>
            </w14:solidFill>
          </w14:textFill>
        </w:rPr>
        <w:t>年，苏联的工业产值已超过英、法、德三国，跃居欧洲第一位，世界第二位。二次大战后的恢复工作，步伐也很快。</w:t>
      </w:r>
      <w:r>
        <w:rPr>
          <w:rFonts w:ascii="Times New Roman" w:hAnsi="Times New Roman"/>
          <w:color w:val="000000" w:themeColor="text1"/>
          <w14:textFill>
            <w14:solidFill>
              <w14:schemeClr w14:val="tx1"/>
            </w14:solidFill>
          </w14:textFill>
        </w:rPr>
        <w:t>1964</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1982</w:t>
      </w:r>
      <w:r>
        <w:rPr>
          <w:rFonts w:hint="eastAsia" w:ascii="宋体" w:hAnsi="宋体"/>
          <w:color w:val="000000" w:themeColor="text1"/>
          <w14:textFill>
            <w14:solidFill>
              <w14:schemeClr w14:val="tx1"/>
            </w14:solidFill>
          </w14:textFill>
        </w:rPr>
        <w:t>年，苏联经济每年平均递增</w:t>
      </w:r>
      <w:r>
        <w:rPr>
          <w:rFonts w:ascii="Times New Roman" w:hAnsi="Times New Roman"/>
          <w:color w:val="000000" w:themeColor="text1"/>
          <w14:textFill>
            <w14:solidFill>
              <w14:schemeClr w14:val="tx1"/>
            </w14:solidFill>
          </w14:textFill>
        </w:rPr>
        <w:t>6.1%</w:t>
      </w:r>
      <w:r>
        <w:rPr>
          <w:rFonts w:hint="eastAsia" w:ascii="宋体" w:hAnsi="宋体"/>
          <w:color w:val="000000" w:themeColor="text1"/>
          <w14:textFill>
            <w14:solidFill>
              <w14:schemeClr w14:val="tx1"/>
            </w14:solidFill>
          </w14:textFill>
        </w:rPr>
        <w:t>，超过了所有西方国家。社会生产总值增长</w:t>
      </w:r>
      <w:r>
        <w:rPr>
          <w:rFonts w:ascii="Times New Roman" w:hAnsi="Times New Roman"/>
          <w:color w:val="000000" w:themeColor="text1"/>
          <w14:textFill>
            <w14:solidFill>
              <w14:schemeClr w14:val="tx1"/>
            </w14:solidFill>
          </w14:textFill>
        </w:rPr>
        <w:t>1.46</w:t>
      </w:r>
      <w:r>
        <w:rPr>
          <w:rFonts w:hint="eastAsia" w:ascii="宋体" w:hAnsi="宋体"/>
          <w:color w:val="000000" w:themeColor="text1"/>
          <w14:textFill>
            <w14:solidFill>
              <w14:schemeClr w14:val="tx1"/>
            </w14:solidFill>
          </w14:textFill>
        </w:rPr>
        <w:t>倍，工业产量占世界的</w:t>
      </w:r>
      <w:r>
        <w:rPr>
          <w:rFonts w:ascii="Times New Roman" w:hAnsi="Times New Roman"/>
          <w:color w:val="000000" w:themeColor="text1"/>
          <w14:textFill>
            <w14:solidFill>
              <w14:schemeClr w14:val="tx1"/>
            </w14:solidFill>
          </w14:textFill>
        </w:rPr>
        <w:t>1/5</w:t>
      </w:r>
      <w:r>
        <w:rPr>
          <w:rFonts w:hint="eastAsia" w:ascii="宋体" w:hAnsi="宋体"/>
          <w:color w:val="000000" w:themeColor="text1"/>
          <w14:textFill>
            <w14:solidFill>
              <w14:schemeClr w14:val="tx1"/>
            </w14:solidFill>
          </w14:textFill>
        </w:rPr>
        <w:t>，有</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多种主要工业品的产量均超过美国居世界领先地位。到了戈尔巴乔夫上台的</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年代中期，苏联综合国力大大超过德、法、英、日等发达或不发达的私有制国家，成为与美国日益接近的世界第二号经济和科技强国。在苏维埃政权存在的</w:t>
      </w:r>
      <w:r>
        <w:rPr>
          <w:rFonts w:ascii="Times New Roman" w:hAnsi="Times New Roman"/>
          <w:color w:val="000000" w:themeColor="text1"/>
          <w14:textFill>
            <w14:solidFill>
              <w14:schemeClr w14:val="tx1"/>
            </w14:solidFill>
          </w14:textFill>
        </w:rPr>
        <w:t>70</w:t>
      </w:r>
      <w:r>
        <w:rPr>
          <w:rFonts w:hint="eastAsia" w:ascii="宋体" w:hAnsi="宋体"/>
          <w:color w:val="000000" w:themeColor="text1"/>
          <w14:textFill>
            <w14:solidFill>
              <w14:schemeClr w14:val="tx1"/>
            </w14:solidFill>
          </w14:textFill>
        </w:rPr>
        <w:t>年里，苏联工业发展速度是世界其他工业化国家发展速度的</w:t>
      </w:r>
      <w:r>
        <w:rPr>
          <w:rFonts w:ascii="Times New Roman" w:hAnsi="Times New Roman"/>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倍。由于国民经济总量和基数越来越大等缘故，因而从</w:t>
      </w:r>
      <w:r>
        <w:rPr>
          <w:rFonts w:ascii="Times New Roman" w:hAnsi="Times New Roman"/>
          <w:color w:val="000000" w:themeColor="text1"/>
          <w14:textFill>
            <w14:solidFill>
              <w14:schemeClr w14:val="tx1"/>
            </w14:solidFill>
          </w14:textFill>
        </w:rPr>
        <w:t>70</w:t>
      </w:r>
      <w:r>
        <w:rPr>
          <w:rFonts w:hint="eastAsia" w:ascii="宋体" w:hAnsi="宋体"/>
          <w:color w:val="000000" w:themeColor="text1"/>
          <w14:textFill>
            <w14:solidFill>
              <w14:schemeClr w14:val="tx1"/>
            </w14:solidFill>
          </w14:textFill>
        </w:rPr>
        <w:t>年代中期开始，发展速度开始持续下降，但即使是这样，依然高于资本主义国家。例如，在</w:t>
      </w:r>
      <w:r>
        <w:rPr>
          <w:rFonts w:ascii="Times New Roman" w:hAnsi="Times New Roman"/>
          <w:color w:val="000000" w:themeColor="text1"/>
          <w14:textFill>
            <w14:solidFill>
              <w14:schemeClr w14:val="tx1"/>
            </w14:solidFill>
          </w14:textFill>
        </w:rPr>
        <w:t>1981</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年间，苏联国民生产总值增长</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，同期美国为</w:t>
      </w:r>
      <w:r>
        <w:rPr>
          <w:rFonts w:ascii="Times New Roman" w:hAnsi="Times New Roman"/>
          <w:color w:val="000000" w:themeColor="text1"/>
          <w14:textFill>
            <w14:solidFill>
              <w14:schemeClr w14:val="tx1"/>
            </w14:solidFill>
          </w14:textFill>
        </w:rPr>
        <w:t>14%</w:t>
      </w:r>
      <w:r>
        <w:rPr>
          <w:rFonts w:hint="eastAsia" w:ascii="宋体" w:hAnsi="宋体"/>
          <w:color w:val="000000" w:themeColor="text1"/>
          <w14:textFill>
            <w14:solidFill>
              <w14:schemeClr w14:val="tx1"/>
            </w14:solidFill>
          </w14:textFill>
        </w:rPr>
        <w:t>，法国和意大利为</w:t>
      </w:r>
      <w:r>
        <w:rPr>
          <w:rFonts w:ascii="Times New Roman" w:hAnsi="Times New Roman"/>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。可是，戈尔巴乔夫执政以后却总是把这一时期说得一无是处。</w:t>
      </w:r>
    </w:p>
    <w:p w14:paraId="0E8009A4">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统计资料表明，是戈尔巴乔夫领导集团的一系列背弃社会主义的政策，才导致苏联解体前的经济负增长和经济社会危机。以国民收入为例，在戈氏执政之前的</w:t>
      </w:r>
      <w:r>
        <w:rPr>
          <w:rFonts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1981</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年）增长</w:t>
      </w:r>
      <w:r>
        <w:rPr>
          <w:rFonts w:ascii="Times New Roman" w:hAnsi="Times New Roman"/>
          <w:color w:val="000000" w:themeColor="text1"/>
          <w14:textFill>
            <w14:solidFill>
              <w14:schemeClr w14:val="tx1"/>
            </w14:solidFill>
          </w14:textFill>
        </w:rPr>
        <w:t>17%</w:t>
      </w:r>
      <w:r>
        <w:rPr>
          <w:rFonts w:hint="eastAsia" w:ascii="宋体" w:hAnsi="宋体"/>
          <w:color w:val="000000" w:themeColor="text1"/>
          <w14:textFill>
            <w14:solidFill>
              <w14:schemeClr w14:val="tx1"/>
            </w14:solidFill>
          </w14:textFill>
        </w:rPr>
        <w:t>，年均增长率为</w:t>
      </w:r>
      <w:r>
        <w:rPr>
          <w:rFonts w:ascii="Times New Roman" w:hAnsi="Times New Roman"/>
          <w:color w:val="000000" w:themeColor="text1"/>
          <w14:textFill>
            <w14:solidFill>
              <w14:schemeClr w14:val="tx1"/>
            </w14:solidFill>
          </w14:textFill>
        </w:rPr>
        <w:t>3.4%</w:t>
      </w:r>
      <w:r>
        <w:rPr>
          <w:rFonts w:hint="eastAsia" w:ascii="宋体" w:hAnsi="宋体"/>
          <w:color w:val="000000" w:themeColor="text1"/>
          <w14:textFill>
            <w14:solidFill>
              <w14:schemeClr w14:val="tx1"/>
            </w14:solidFill>
          </w14:textFill>
        </w:rPr>
        <w:t>，而</w:t>
      </w:r>
      <w:r>
        <w:rPr>
          <w:rFonts w:ascii="Times New Roman" w:hAnsi="Times New Roman"/>
          <w:color w:val="000000" w:themeColor="text1"/>
          <w14:textFill>
            <w14:solidFill>
              <w14:schemeClr w14:val="tx1"/>
            </w14:solidFill>
          </w14:textFill>
        </w:rPr>
        <w:t>1986</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1990</w:t>
      </w:r>
      <w:r>
        <w:rPr>
          <w:rFonts w:hint="eastAsia" w:ascii="宋体" w:hAnsi="宋体"/>
          <w:color w:val="000000" w:themeColor="text1"/>
          <w14:textFill>
            <w14:solidFill>
              <w14:schemeClr w14:val="tx1"/>
            </w14:solidFill>
          </w14:textFill>
        </w:rPr>
        <w:t>年间仅增长</w:t>
      </w:r>
      <w:r>
        <w:rPr>
          <w:rFonts w:ascii="Times New Roman" w:hAnsi="Times New Roman"/>
          <w:color w:val="000000" w:themeColor="text1"/>
          <w14:textFill>
            <w14:solidFill>
              <w14:schemeClr w14:val="tx1"/>
            </w14:solidFill>
          </w14:textFill>
        </w:rPr>
        <w:t>6.8%</w:t>
      </w:r>
      <w:r>
        <w:rPr>
          <w:rFonts w:hint="eastAsia" w:ascii="宋体" w:hAnsi="宋体"/>
          <w:color w:val="000000" w:themeColor="text1"/>
          <w14:textFill>
            <w14:solidFill>
              <w14:schemeClr w14:val="tx1"/>
            </w14:solidFill>
          </w14:textFill>
        </w:rPr>
        <w:t>，平均增长率仅为</w:t>
      </w:r>
      <w:r>
        <w:rPr>
          <w:rFonts w:ascii="Times New Roman" w:hAnsi="Times New Roman"/>
          <w:color w:val="000000" w:themeColor="text1"/>
          <w14:textFill>
            <w14:solidFill>
              <w14:schemeClr w14:val="tx1"/>
            </w14:solidFill>
          </w14:textFill>
        </w:rPr>
        <w:t>1.3%</w:t>
      </w:r>
      <w:r>
        <w:rPr>
          <w:rFonts w:hint="eastAsia" w:ascii="宋体" w:hAnsi="宋体"/>
          <w:color w:val="000000" w:themeColor="text1"/>
          <w14:textFill>
            <w14:solidFill>
              <w14:schemeClr w14:val="tx1"/>
            </w14:solidFill>
          </w14:textFill>
        </w:rPr>
        <w:t>。其中，</w:t>
      </w:r>
      <w:r>
        <w:rPr>
          <w:rFonts w:ascii="Times New Roman" w:hAnsi="Times New Roman"/>
          <w:color w:val="000000" w:themeColor="text1"/>
          <w14:textFill>
            <w14:solidFill>
              <w14:schemeClr w14:val="tx1"/>
            </w14:solidFill>
          </w14:textFill>
        </w:rPr>
        <w:t>1990</w:t>
      </w:r>
      <w:r>
        <w:rPr>
          <w:rFonts w:hint="eastAsia" w:ascii="宋体" w:hAnsi="宋体"/>
          <w:color w:val="000000" w:themeColor="text1"/>
          <w14:textFill>
            <w14:solidFill>
              <w14:schemeClr w14:val="tx1"/>
            </w14:solidFill>
          </w14:textFill>
        </w:rPr>
        <w:t>年首次出现了负增长，即下降</w:t>
      </w:r>
      <w:r>
        <w:rPr>
          <w:rFonts w:ascii="Times New Roman" w:hAnsi="Times New Roman"/>
          <w:color w:val="000000" w:themeColor="text1"/>
          <w14:textFill>
            <w14:solidFill>
              <w14:schemeClr w14:val="tx1"/>
            </w14:solidFill>
          </w14:textFill>
        </w:rPr>
        <w:t>4%</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1991</w:t>
      </w:r>
      <w:r>
        <w:rPr>
          <w:rFonts w:hint="eastAsia" w:ascii="宋体" w:hAnsi="宋体"/>
          <w:color w:val="000000" w:themeColor="text1"/>
          <w14:textFill>
            <w14:solidFill>
              <w14:schemeClr w14:val="tx1"/>
            </w14:solidFill>
          </w14:textFill>
        </w:rPr>
        <w:t>年又下降近</w:t>
      </w:r>
      <w:r>
        <w:rPr>
          <w:rFonts w:ascii="Times New Roman" w:hAnsi="Times New Roman"/>
          <w:color w:val="000000" w:themeColor="text1"/>
          <w14:textFill>
            <w14:solidFill>
              <w14:schemeClr w14:val="tx1"/>
            </w14:solidFill>
          </w14:textFill>
        </w:rPr>
        <w:t>15%</w:t>
      </w:r>
      <w:r>
        <w:rPr>
          <w:rFonts w:hint="eastAsia" w:ascii="宋体" w:hAnsi="宋体"/>
          <w:color w:val="000000" w:themeColor="text1"/>
          <w14:textFill>
            <w14:solidFill>
              <w14:schemeClr w14:val="tx1"/>
            </w14:solidFill>
          </w14:textFill>
        </w:rPr>
        <w:t>。又如国民生产总值，</w:t>
      </w:r>
      <w:r>
        <w:rPr>
          <w:rFonts w:ascii="Times New Roman" w:hAnsi="Times New Roman"/>
          <w:color w:val="000000" w:themeColor="text1"/>
          <w14:textFill>
            <w14:solidFill>
              <w14:schemeClr w14:val="tx1"/>
            </w14:solidFill>
          </w14:textFill>
        </w:rPr>
        <w:t>1981</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年间增长</w:t>
      </w:r>
      <w:r>
        <w:rPr>
          <w:rFonts w:ascii="Times New Roman" w:hAnsi="Times New Roman"/>
          <w:color w:val="000000" w:themeColor="text1"/>
          <w14:textFill>
            <w14:solidFill>
              <w14:schemeClr w14:val="tx1"/>
            </w14:solidFill>
          </w14:textFill>
        </w:rPr>
        <w:t>19.5%</w:t>
      </w:r>
      <w:r>
        <w:rPr>
          <w:rFonts w:hint="eastAsia" w:ascii="宋体" w:hAnsi="宋体"/>
          <w:color w:val="000000" w:themeColor="text1"/>
          <w14:textFill>
            <w14:solidFill>
              <w14:schemeClr w14:val="tx1"/>
            </w14:solidFill>
          </w14:textFill>
        </w:rPr>
        <w:t>，年均增长率为</w:t>
      </w:r>
      <w:r>
        <w:rPr>
          <w:rFonts w:ascii="Times New Roman" w:hAnsi="Times New Roman"/>
          <w:color w:val="000000" w:themeColor="text1"/>
          <w14:textFill>
            <w14:solidFill>
              <w14:schemeClr w14:val="tx1"/>
            </w14:solidFill>
          </w14:textFill>
        </w:rPr>
        <w:t>3.9%</w:t>
      </w:r>
      <w:r>
        <w:rPr>
          <w:rFonts w:hint="eastAsia" w:ascii="宋体" w:hAnsi="宋体"/>
          <w:color w:val="000000" w:themeColor="text1"/>
          <w14:textFill>
            <w14:solidFill>
              <w14:schemeClr w14:val="tx1"/>
            </w14:solidFill>
          </w14:textFill>
        </w:rPr>
        <w:t>。而</w:t>
      </w:r>
      <w:r>
        <w:rPr>
          <w:rFonts w:ascii="Times New Roman" w:hAnsi="Times New Roman"/>
          <w:color w:val="000000" w:themeColor="text1"/>
          <w14:textFill>
            <w14:solidFill>
              <w14:schemeClr w14:val="tx1"/>
            </w14:solidFill>
          </w14:textFill>
        </w:rPr>
        <w:t>1986</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1990</w:t>
      </w:r>
      <w:r>
        <w:rPr>
          <w:rFonts w:hint="eastAsia" w:ascii="宋体" w:hAnsi="宋体"/>
          <w:color w:val="000000" w:themeColor="text1"/>
          <w14:textFill>
            <w14:solidFill>
              <w14:schemeClr w14:val="tx1"/>
            </w14:solidFill>
          </w14:textFill>
        </w:rPr>
        <w:t>年间仅增长</w:t>
      </w:r>
      <w:r>
        <w:rPr>
          <w:rFonts w:ascii="Times New Roman" w:hAnsi="Times New Roman"/>
          <w:color w:val="000000" w:themeColor="text1"/>
          <w14:textFill>
            <w14:solidFill>
              <w14:schemeClr w14:val="tx1"/>
            </w14:solidFill>
          </w14:textFill>
        </w:rPr>
        <w:t>13.2%</w:t>
      </w:r>
      <w:r>
        <w:rPr>
          <w:rFonts w:hint="eastAsia" w:ascii="宋体" w:hAnsi="宋体"/>
          <w:color w:val="000000" w:themeColor="text1"/>
          <w14:textFill>
            <w14:solidFill>
              <w14:schemeClr w14:val="tx1"/>
            </w14:solidFill>
          </w14:textFill>
        </w:rPr>
        <w:t>，年均增长率下降为</w:t>
      </w:r>
      <w:r>
        <w:rPr>
          <w:rFonts w:ascii="Times New Roman" w:hAnsi="Times New Roman"/>
          <w:color w:val="000000" w:themeColor="text1"/>
          <w14:textFill>
            <w14:solidFill>
              <w14:schemeClr w14:val="tx1"/>
            </w14:solidFill>
          </w14:textFill>
        </w:rPr>
        <w:t>2.6%</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1990</w:t>
      </w:r>
      <w:r>
        <w:rPr>
          <w:rFonts w:hint="eastAsia" w:ascii="宋体" w:hAnsi="宋体"/>
          <w:color w:val="000000" w:themeColor="text1"/>
          <w14:textFill>
            <w14:solidFill>
              <w14:schemeClr w14:val="tx1"/>
            </w14:solidFill>
          </w14:textFill>
        </w:rPr>
        <w:t>年下降</w:t>
      </w:r>
      <w:r>
        <w:rPr>
          <w:rFonts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1991</w:t>
      </w:r>
      <w:r>
        <w:rPr>
          <w:rFonts w:hint="eastAsia" w:ascii="宋体" w:hAnsi="宋体"/>
          <w:color w:val="000000" w:themeColor="text1"/>
          <w14:textFill>
            <w14:solidFill>
              <w14:schemeClr w14:val="tx1"/>
            </w14:solidFill>
          </w14:textFill>
        </w:rPr>
        <w:t>年下降幅度高达</w:t>
      </w:r>
      <w:r>
        <w:rPr>
          <w:rFonts w:ascii="Times New Roman" w:hAnsi="Times New Roman"/>
          <w:color w:val="000000" w:themeColor="text1"/>
          <w14:textFill>
            <w14:solidFill>
              <w14:schemeClr w14:val="tx1"/>
            </w14:solidFill>
          </w14:textFill>
        </w:rPr>
        <w:t>17%</w:t>
      </w:r>
      <w:r>
        <w:rPr>
          <w:rFonts w:hint="eastAsia" w:ascii="宋体" w:hAnsi="宋体"/>
          <w:color w:val="000000" w:themeColor="text1"/>
          <w14:textFill>
            <w14:solidFill>
              <w14:schemeClr w14:val="tx1"/>
            </w14:solidFill>
          </w14:textFill>
        </w:rPr>
        <w:t>。再看社会劳动生产率，年均增长率由</w:t>
      </w:r>
      <w:r>
        <w:rPr>
          <w:rFonts w:ascii="Times New Roman" w:hAnsi="Times New Roman"/>
          <w:color w:val="000000" w:themeColor="text1"/>
          <w14:textFill>
            <w14:solidFill>
              <w14:schemeClr w14:val="tx1"/>
            </w14:solidFill>
          </w14:textFill>
        </w:rPr>
        <w:t>1981</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年间的</w:t>
      </w:r>
      <w:r>
        <w:rPr>
          <w:rFonts w:ascii="Times New Roman" w:hAnsi="Times New Roman"/>
          <w:color w:val="000000" w:themeColor="text1"/>
          <w14:textFill>
            <w14:solidFill>
              <w14:schemeClr w14:val="tx1"/>
            </w14:solidFill>
          </w14:textFill>
        </w:rPr>
        <w:t>3.1%</w:t>
      </w:r>
      <w:r>
        <w:rPr>
          <w:rFonts w:hint="eastAsia" w:ascii="宋体" w:hAnsi="宋体"/>
          <w:color w:val="000000" w:themeColor="text1"/>
          <w14:textFill>
            <w14:solidFill>
              <w14:schemeClr w14:val="tx1"/>
            </w14:solidFill>
          </w14:textFill>
        </w:rPr>
        <w:t>下降到了</w:t>
      </w:r>
      <w:r>
        <w:rPr>
          <w:rFonts w:ascii="Times New Roman" w:hAnsi="Times New Roman"/>
          <w:color w:val="000000" w:themeColor="text1"/>
          <w14:textFill>
            <w14:solidFill>
              <w14:schemeClr w14:val="tx1"/>
            </w14:solidFill>
          </w14:textFill>
        </w:rPr>
        <w:t>1986</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1989</w:t>
      </w:r>
      <w:r>
        <w:rPr>
          <w:rFonts w:hint="eastAsia" w:ascii="宋体" w:hAnsi="宋体"/>
          <w:color w:val="000000" w:themeColor="text1"/>
          <w14:textFill>
            <w14:solidFill>
              <w14:schemeClr w14:val="tx1"/>
            </w14:solidFill>
          </w14:textFill>
        </w:rPr>
        <w:t>年的</w:t>
      </w:r>
      <w:r>
        <w:rPr>
          <w:rFonts w:ascii="Times New Roman" w:hAnsi="Times New Roman"/>
          <w:color w:val="000000" w:themeColor="text1"/>
          <w14:textFill>
            <w14:solidFill>
              <w14:schemeClr w14:val="tx1"/>
            </w14:solidFill>
          </w14:textFill>
        </w:rPr>
        <w:t>2.7%</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1990</w:t>
      </w:r>
      <w:r>
        <w:rPr>
          <w:rFonts w:hint="eastAsia" w:ascii="宋体" w:hAnsi="宋体"/>
          <w:color w:val="000000" w:themeColor="text1"/>
          <w14:textFill>
            <w14:solidFill>
              <w14:schemeClr w14:val="tx1"/>
            </w14:solidFill>
          </w14:textFill>
        </w:rPr>
        <w:t>年出现</w:t>
      </w:r>
      <w:r>
        <w:rPr>
          <w:rFonts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1991</w:t>
      </w:r>
      <w:r>
        <w:rPr>
          <w:rFonts w:hint="eastAsia" w:ascii="宋体" w:hAnsi="宋体"/>
          <w:color w:val="000000" w:themeColor="text1"/>
          <w14:textFill>
            <w14:solidFill>
              <w14:schemeClr w14:val="tx1"/>
            </w14:solidFill>
          </w14:textFill>
        </w:rPr>
        <w:t>年为</w:t>
      </w:r>
      <w:r>
        <w:rPr>
          <w:rFonts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以上。可以说，戈尔巴乔夫执政期间，经济衰退幅度之大，在苏联历史上是创纪录的。</w:t>
      </w:r>
    </w:p>
    <w:p w14:paraId="5A356EBC">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除此以外，即使按照西方比较经济体制学的说法，市场资本主义、计划资本主义、计划社会主义和市场社会主义这四种典型的体制，也都是各有利弊的，其互相转换取决于决策者的选择和主导思想。如果说计划经济体制或计划社会主义必然导致失败和走上市场资本主义道路，那么，又怎样解释中国和越南先后走上社会主义市场经济体制的道路呢？</w:t>
      </w:r>
    </w:p>
    <w:p w14:paraId="3FE5A8EF">
      <w:pPr>
        <w:ind w:firstLine="420" w:firstLineChars="200"/>
        <w:rPr>
          <w:rFonts w:ascii="Times New Roman" w:hAnsi="Times New Roman"/>
          <w:b/>
          <w:color w:val="000000" w:themeColor="text1"/>
          <w14:textFill>
            <w14:solidFill>
              <w14:schemeClr w14:val="tx1"/>
            </w14:solidFill>
          </w14:textFill>
        </w:rPr>
      </w:pPr>
      <w:bookmarkStart w:id="1540" w:name="_Toc13176"/>
      <w:bookmarkEnd w:id="1540"/>
      <w:r>
        <w:rPr>
          <w:rFonts w:hint="eastAsia" w:ascii="宋体" w:hAnsi="宋体"/>
          <w:b/>
          <w:color w:val="000000" w:themeColor="text1"/>
          <w14:textFill>
            <w14:solidFill>
              <w14:schemeClr w14:val="tx1"/>
            </w14:solidFill>
          </w14:textFill>
        </w:rPr>
        <w:t>（二）戈氏改革失控论</w:t>
      </w:r>
    </w:p>
    <w:p w14:paraId="02E653FF">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美国著名马克思主义经济学家大卫</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科茨教授在《来自上层的革命——苏联体制的终结》一书中认为，戈尔巴乔夫执政以后的公开性原则、经济改革和政治民主化，出其意料地引起苏联亲资本主义联盟兴起，出现了反对派运动，最终使苏联放弃社会主义信念，转向了西方式的资本主义。“在戈尔巴乔夫看来，这种公开性将允许人们公开地讨论他所呼吁的改革实施起来将多么富有的前景。他希望以此动员社会力量，克服对重大变革的本能反抗。然而，一旦市民社会在公开性的刺激下崭露头角，苏联领导层就会失去对讨论的完全控制权。”“政治制度的彻底民主化，却可能大大削弱领导者手中的权力，甚至带来意想不到的后果。真正的民主化，可能会使权力从戈尔巴乔夫及其幕僚手中转移到其他一些持不同政见的集团手中。”“然而，民主化的改革，却使得戈尔巴乔夫的政治权力越来越弱，使得他无法完成社会主义的改革进程，虽然这种状况在一开始并不明显。”</w:t>
      </w:r>
    </w:p>
    <w:p w14:paraId="7CB50ED3">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认为，不是坚持马克思主义和社会主义改革方向的戈尔巴乔夫及其右翼集团，要通过政治民主化和公开化、经济市场化、意识形态宽松化来完善社会主义，而是本质上就属于“持不同政见者”的戈尔巴乔夫及其右翼集团，要通过资产阶级的所谓人道社会主义和民主社会主义来颠覆带有缺陷的苏共执政的社会主义根本制度，改向为资本主义，并带动整个东欧社会主义国家一起转向资本主义道路。</w:t>
      </w:r>
    </w:p>
    <w:p w14:paraId="679D9AD9">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事实表明，戈尔巴乔夫上台后，逐步形成了以戈氏为中心包括雅科夫列夫、谢瓦尔德纳泽、梅德韦杰夫在内的右翼集团，他们主导了政治局。戈尔巴乔夫一开始加以伪装，后来时机成熟则对多党制表示认可，随后在</w:t>
      </w:r>
      <w:r>
        <w:rPr>
          <w:rFonts w:ascii="Times New Roman" w:hAnsi="Times New Roman"/>
          <w:color w:val="000000" w:themeColor="text1"/>
          <w14:textFill>
            <w14:solidFill>
              <w14:schemeClr w14:val="tx1"/>
            </w14:solidFill>
          </w14:textFill>
        </w:rPr>
        <w:t>1990</w:t>
      </w:r>
      <w:r>
        <w:rPr>
          <w:rFonts w:hint="eastAsia" w:ascii="宋体" w:hAnsi="宋体"/>
          <w:color w:val="000000" w:themeColor="text1"/>
          <w14:textFill>
            <w14:solidFill>
              <w14:schemeClr w14:val="tx1"/>
            </w14:solidFill>
          </w14:textFill>
        </w:rPr>
        <w:t>年苏共中央二月全会上，正式提出了修改宪法第</w:t>
      </w:r>
      <w:r>
        <w:rPr>
          <w:rFonts w:ascii="Times New Roman" w:hAnsi="Times New Roman"/>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条的决议，取消苏共对国家政权的法定领导地位。在苏共二十八大上，戈尔巴乔夫声明，苏共将起着议会党的作用。这一切，并非出其意料地“带来意想不到的后果”，“使得戈尔巴乔夫的政治权力越来越弱，使得他无法完成社会主义的改革进程”，而是有蓄谋的背叛。因此，前苏联部长会议主席雷日科夫在《大动荡的十年》中分析说：戈尔巴乔夫“此人身上同时还有一种魔鬼般喜欢背叛的特性。”“他不仅背叛我们和全国人民据以追随他、信赖他的理想，他还一次次奸诈狡猾地把与他志同道合的人都出卖掉了。”“总书记在他整个的历史时期内，都是为了消灭党，消灭国家，并把那些反对这种目的和行为的活动家们一个个罢免掉。”“可以原谅错误，但不能饶恕蓄谋的背叛”。他在谈到戈氏和叶利钦的历史责任时指出：“戈尔巴乔夫把国家引向资本主义，而叶利钦、盖达尔及其一伙则把国家引到了资本主义，而且是野蛮的资本主义。”“这就是两个领袖——改革领袖戈尔巴乔夫和后改革领袖叶利钦的主要的背叛。”他的看法和态度是：“可以原谅错误，但不能饶恕蓄谋的背叛。”曾任戈尔巴乔夫秘书、后任苏共中央书记的博尔金在《戈尔巴乔夫沉浮录》中指出：“无论是世界大战、革命，还是两大阵营的军事、经济对抗，都没能摧毁和肢解这个伟大的国家。苏联是被人从内部攻破的，是被一小撮有影响的党和国家领导人葬送的，是被反对派搞垮的。”俄罗斯“社会舆论基金会”</w:t>
      </w:r>
      <w:r>
        <w:rPr>
          <w:rFonts w:ascii="Times New Roman" w:hAnsi="Times New Roman"/>
          <w:color w:val="000000" w:themeColor="text1"/>
          <w14:textFill>
            <w14:solidFill>
              <w14:schemeClr w14:val="tx1"/>
            </w14:solidFill>
          </w14:textFill>
        </w:rPr>
        <w:t>2001</w:t>
      </w:r>
      <w:r>
        <w:rPr>
          <w:rFonts w:hint="eastAsia" w:ascii="宋体" w:hAnsi="宋体"/>
          <w:color w:val="000000" w:themeColor="text1"/>
          <w14:textFill>
            <w14:solidFill>
              <w14:schemeClr w14:val="tx1"/>
            </w14:solidFill>
          </w14:textFill>
        </w:rPr>
        <w:t>、</w:t>
      </w:r>
      <w:r>
        <w:rPr>
          <w:rFonts w:ascii="Times New Roman" w:hAnsi="Times New Roman"/>
          <w:color w:val="000000" w:themeColor="text1"/>
          <w14:textFill>
            <w14:solidFill>
              <w14:schemeClr w14:val="tx1"/>
            </w14:solidFill>
          </w14:textFill>
        </w:rPr>
        <w:t>2004</w:t>
      </w:r>
      <w:r>
        <w:rPr>
          <w:rFonts w:hint="eastAsia" w:ascii="宋体" w:hAnsi="宋体"/>
          <w:color w:val="000000" w:themeColor="text1"/>
          <w14:textFill>
            <w14:solidFill>
              <w14:schemeClr w14:val="tx1"/>
            </w14:solidFill>
          </w14:textFill>
        </w:rPr>
        <w:t>年两次就戈尔巴乔夫评价进行了民意调查，赞成“戈尔巴乔夫的执政对人民造成更大的危害”的人分别占</w:t>
      </w:r>
      <w:r>
        <w:rPr>
          <w:rFonts w:ascii="Times New Roman" w:hAnsi="Times New Roman"/>
          <w:color w:val="000000" w:themeColor="text1"/>
          <w14:textFill>
            <w14:solidFill>
              <w14:schemeClr w14:val="tx1"/>
            </w14:solidFill>
          </w14:textFill>
        </w:rPr>
        <w:t>56</w:t>
      </w:r>
      <w:r>
        <w:rPr>
          <w:rFonts w:hint="eastAsia" w:ascii="宋体" w:hAnsi="宋体"/>
          <w:color w:val="000000" w:themeColor="text1"/>
          <w14:textFill>
            <w14:solidFill>
              <w14:schemeClr w14:val="tx1"/>
            </w14:solidFill>
          </w14:textFill>
        </w:rPr>
        <w:t>％和</w:t>
      </w:r>
      <w:r>
        <w:rPr>
          <w:rFonts w:ascii="Times New Roman" w:hAnsi="Times New Roman"/>
          <w:color w:val="000000" w:themeColor="text1"/>
          <w14:textFill>
            <w14:solidFill>
              <w14:schemeClr w14:val="tx1"/>
            </w14:solidFill>
          </w14:textFill>
        </w:rPr>
        <w:t>51</w:t>
      </w:r>
      <w:r>
        <w:rPr>
          <w:rFonts w:hint="eastAsia" w:ascii="宋体" w:hAnsi="宋体"/>
          <w:color w:val="000000" w:themeColor="text1"/>
          <w14:textFill>
            <w14:solidFill>
              <w14:schemeClr w14:val="tx1"/>
            </w14:solidFill>
          </w14:textFill>
        </w:rPr>
        <w:t>％，认为“他对人民带来更多利益”的人仅仅占</w:t>
      </w:r>
      <w:r>
        <w:rPr>
          <w:rFonts w:ascii="Times New Roman" w:hAnsi="Times New Roman"/>
          <w:color w:val="000000" w:themeColor="text1"/>
          <w14:textFill>
            <w14:solidFill>
              <w14:schemeClr w14:val="tx1"/>
            </w14:solidFill>
          </w14:textFill>
        </w:rPr>
        <w:t>14</w:t>
      </w:r>
      <w:r>
        <w:rPr>
          <w:rFonts w:hint="eastAsia" w:ascii="宋体" w:hAnsi="宋体"/>
          <w:color w:val="000000" w:themeColor="text1"/>
          <w14:textFill>
            <w14:solidFill>
              <w14:schemeClr w14:val="tx1"/>
            </w14:solidFill>
          </w14:textFill>
        </w:rPr>
        <w:t>％和</w:t>
      </w:r>
      <w:r>
        <w:rPr>
          <w:rFonts w:ascii="Times New Roman" w:hAnsi="Times New Roman"/>
          <w:color w:val="000000" w:themeColor="text1"/>
          <w14:textFill>
            <w14:solidFill>
              <w14:schemeClr w14:val="tx1"/>
            </w14:solidFill>
          </w14:textFill>
        </w:rPr>
        <w:t>11</w:t>
      </w:r>
      <w:r>
        <w:rPr>
          <w:rFonts w:hint="eastAsia" w:ascii="宋体" w:hAnsi="宋体"/>
          <w:color w:val="000000" w:themeColor="text1"/>
          <w14:textFill>
            <w14:solidFill>
              <w14:schemeClr w14:val="tx1"/>
            </w14:solidFill>
          </w14:textFill>
        </w:rPr>
        <w:t>％。</w:t>
      </w:r>
    </w:p>
    <w:p w14:paraId="6856DBC1">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俄罗斯、乌克兰等独联体国家的共产党也普遍认同“以戈尔巴乔夫为首的苏共上层领导集团背叛马克思主义和社会主义，是苏联解体和苏共失去执政地位直接和主要原因”的观点。俄共领袖久加诺夫在很多场合都讲过，伟大的国家、强大的组织不是葬送在胜利者手中，而是由于内部的叛变。乌克兰共产党在纲领性文献中则这样写道：“一些无原则立场的、口是心非的人，甚至是敌对分子，担任了极其重要的职务，其中包括苏共中央政治局委员，以及党中央总书记职务。对苏联命运而言非常重要的时刻，有封号的‘上级任命官员’背叛了党，跑到社会主义最凶恶的敌人的阵营中，没有战火就将国家交给了凶残的、罪恶的资本主义，将人民大众抛入了贫困与痛苦之中。”</w:t>
      </w:r>
    </w:p>
    <w:p w14:paraId="258250A0">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另外，</w:t>
      </w:r>
      <w:r>
        <w:rPr>
          <w:rFonts w:ascii="Times New Roman" w:hAnsi="Times New Roman"/>
          <w:color w:val="000000" w:themeColor="text1"/>
          <w14:textFill>
            <w14:solidFill>
              <w14:schemeClr w14:val="tx1"/>
            </w14:solidFill>
          </w14:textFill>
        </w:rPr>
        <w:t>1999</w:t>
      </w:r>
      <w:r>
        <w:rPr>
          <w:rFonts w:hint="eastAsia" w:ascii="宋体" w:hAnsi="宋体"/>
          <w:color w:val="000000" w:themeColor="text1"/>
          <w14:textFill>
            <w14:solidFill>
              <w14:schemeClr w14:val="tx1"/>
            </w14:solidFill>
          </w14:textFill>
        </w:rPr>
        <w:t>年戈尔巴乔夫在土耳其首都安卡拉美国大学发表演讲时，毫不掩饰地坦白自己早已树立的埋葬社会主义和苏联共产党的决心：“我生活的目的就是消灭对人民实行无法忍受的独裁统治的共产主义。为了这个目的，我利用了自己在党和国家中的地位。正是因此，我的妻子一直鼓励我不断占据国家中更高的地位。当我认识了西方，我的决定就成为不可更改的了。为此我需要消除苏共和苏联的整个领导</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”。由于此话过于露白，戈尔巴乔夫又试图否定已说过，但至今也不敢公布其讲话的全文来予以证明。不过，戈氏在</w:t>
      </w:r>
      <w:r>
        <w:rPr>
          <w:rFonts w:ascii="Times New Roman" w:hAnsi="Times New Roman"/>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8</w:t>
      </w:r>
      <w:r>
        <w:rPr>
          <w:rFonts w:hint="eastAsia" w:ascii="宋体" w:hAnsi="宋体"/>
          <w:color w:val="000000" w:themeColor="text1"/>
          <w14:textFill>
            <w14:solidFill>
              <w14:schemeClr w14:val="tx1"/>
            </w14:solidFill>
          </w14:textFill>
        </w:rPr>
        <w:t>月就苏联解体</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周年回答英国《卫报》关于他本人行为的意义时再次声称：“它引导了冷战的结束，推动了新的世界秩序的产生，而且归根到底，它引出了一个使国家从极权向民主过渡的渐进过程。”这便又一次证明，戈氏与西方敌对势力一样，一向是把传统社会主义苏联视为要根除的“极权”国家。</w:t>
      </w:r>
    </w:p>
    <w:p w14:paraId="7A955026">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对此，雷日科夫在回忆录中直言不讳地指出：“要想看透一个人的内心，了解他的真实意图是很难的。但要说戈尔巴乔夫早就怀有消灭为他开拓了生活美好前景的共产党，消灭培养他成长的社会主义之心，那是绝对不会有错的。在</w:t>
      </w:r>
      <w:r>
        <w:rPr>
          <w:rFonts w:ascii="Times New Roman" w:hAnsi="Times New Roman"/>
          <w:color w:val="000000" w:themeColor="text1"/>
          <w14:textFill>
            <w14:solidFill>
              <w14:schemeClr w14:val="tx1"/>
            </w14:solidFill>
          </w14:textFill>
        </w:rPr>
        <w:t>1991</w:t>
      </w:r>
      <w:r>
        <w:rPr>
          <w:rFonts w:hint="eastAsia" w:ascii="宋体" w:hAnsi="宋体"/>
          <w:color w:val="000000" w:themeColor="text1"/>
          <w14:textFill>
            <w14:solidFill>
              <w14:schemeClr w14:val="tx1"/>
            </w14:solidFill>
          </w14:textFill>
        </w:rPr>
        <w:t>年以后，他自己就说过这样的话。”戈尔巴乔夫说，“自他懂事以来，就一直梦想着要把共产主义埋葬”。俄罗斯许多研究戈尔巴乔夫的资料中都提及，戈尔巴乔夫从年轻时起就怀疑和痛恨苏维埃政权，并将从金字塔的顶端摧毁这个系统作为自己不断向上爬的动力。</w:t>
      </w:r>
    </w:p>
    <w:p w14:paraId="02B203A8">
      <w:pPr>
        <w:ind w:firstLine="420" w:firstLineChars="200"/>
        <w:rPr>
          <w:rFonts w:ascii="Times New Roman" w:hAnsi="Times New Roman"/>
          <w:b/>
          <w:color w:val="000000" w:themeColor="text1"/>
          <w14:textFill>
            <w14:solidFill>
              <w14:schemeClr w14:val="tx1"/>
            </w14:solidFill>
          </w14:textFill>
        </w:rPr>
      </w:pPr>
      <w:bookmarkStart w:id="1541" w:name="_Toc15816"/>
      <w:bookmarkEnd w:id="1541"/>
      <w:r>
        <w:rPr>
          <w:rFonts w:hint="eastAsia" w:ascii="宋体" w:hAnsi="宋体"/>
          <w:b/>
          <w:color w:val="000000" w:themeColor="text1"/>
          <w14:textFill>
            <w14:solidFill>
              <w14:schemeClr w14:val="tx1"/>
            </w14:solidFill>
          </w14:textFill>
        </w:rPr>
        <w:t>（三）人民群众抛弃论</w:t>
      </w:r>
    </w:p>
    <w:p w14:paraId="7CE80AFC">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有的论著认为，苏共“在长期执政的条件下，相当部分共产党员包括党的领导干部严重脱离人民群众，甚至以权谋私，共产党不是最广大人民根本利益的忠实代表，而是成了少数特权阶层特殊利益的忠实代表，社会主义事业失去了人民群众的衷心支持和拥护。”苏联共产党被它一直代表的工人阶级和苏联人民所抛弃，是导致苏共亡党、苏联解体的决定性因素。</w:t>
      </w:r>
    </w:p>
    <w:p w14:paraId="05C8655A">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认为，尽管执政的苏联共产党有缺乏民主化的高度集中的经济政治文化体制的不良弊端，有严重官僚主义和以权谋私的现象，以及其他失误，但总体上还是代表了工人阶级和广大人民的根本利益。苏共不是被广大党员和人民群众抛弃的，而是被戈尔巴乔夫和叶利钦领导集团及其追随者一步步抛弃的。在自戈尔巴乔夫执政至苏联解体，不少高层领导、普通党员干部和群众都进行过程度不同的多种形式的反对，但均被压制、打击、围剿和镇压下去了。比如，</w:t>
      </w:r>
      <w:r>
        <w:rPr>
          <w:rFonts w:ascii="Times New Roman" w:hAnsi="Times New Roman"/>
          <w:color w:val="000000" w:themeColor="text1"/>
          <w14:textFill>
            <w14:solidFill>
              <w14:schemeClr w14:val="tx1"/>
            </w14:solidFill>
          </w14:textFill>
        </w:rPr>
        <w:t>1988</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月</w:t>
      </w:r>
      <w:r>
        <w:rPr>
          <w:rFonts w:ascii="Times New Roman" w:hAnsi="Times New Roman"/>
          <w:color w:val="000000" w:themeColor="text1"/>
          <w14:textFill>
            <w14:solidFill>
              <w14:schemeClr w14:val="tx1"/>
            </w14:solidFill>
          </w14:textFill>
        </w:rPr>
        <w:t>13</w:t>
      </w:r>
      <w:r>
        <w:rPr>
          <w:rFonts w:hint="eastAsia" w:ascii="宋体" w:hAnsi="宋体"/>
          <w:color w:val="000000" w:themeColor="text1"/>
          <w14:textFill>
            <w14:solidFill>
              <w14:schemeClr w14:val="tx1"/>
            </w14:solidFill>
          </w14:textFill>
        </w:rPr>
        <w:t>日，《苏维埃俄罗斯报》发表了列宁格勒工学院女教师尼娜•安德烈耶娃的一封读者来信，题为《我不能放弃原则》。信中尖锐地指出了当时舆论界许多不正常的现象：如国内外敌对势力支持的各种非正式组织的空前活跃，各种媒体和研讨会上拚命鼓噪的西方议会制、多党制、彻底否定共产党和工人阶级的领导地位、恶毒攻击苏联历史和社会主义制度的论调，等等。这封信即刻在全苏联引发了轩然大波。文章在各共和国、地区、城市和行业报纸被转载</w:t>
      </w:r>
      <w:r>
        <w:rPr>
          <w:rFonts w:ascii="Times New Roman" w:hAnsi="Times New Roman"/>
          <w:color w:val="000000" w:themeColor="text1"/>
          <w14:textFill>
            <w14:solidFill>
              <w14:schemeClr w14:val="tx1"/>
            </w14:solidFill>
          </w14:textFill>
        </w:rPr>
        <w:t>937</w:t>
      </w:r>
      <w:r>
        <w:rPr>
          <w:rFonts w:hint="eastAsia" w:ascii="宋体" w:hAnsi="宋体"/>
          <w:color w:val="000000" w:themeColor="text1"/>
          <w14:textFill>
            <w14:solidFill>
              <w14:schemeClr w14:val="tx1"/>
            </w14:solidFill>
          </w14:textFill>
        </w:rPr>
        <w:t>次。安德烈耶娃所在的列宁格勒工学院收到了来自全国各地、社会各阶层人士成千上万的信件，其中超过</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％的来信充分肯定作者的意见。大量的信件还寄到了《真理报》，这些信件中支持安德烈耶娃观点的也超过了</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苏共中央政治局接连两天召开紧急会议商讨对策，目的就是要制止和反击这股所谓的“反对改革的势力”。结果戈尔巴乔夫将坚持马列主义原则的、原主管意识形态的政治局委员利加乔夫调整为主管农业，取而代之的是反马克思主义的中央书记雅科夫列夫。此外，大批党员主动退出被反马克思主义领导集团控制的苏联共产党，有的将军甚至以自杀来表示不满，修改宪法时大批代表反对取消有关苏共执政条款的行为，第一次公民投票中超过</w:t>
      </w:r>
      <w:r>
        <w:rPr>
          <w:rFonts w:ascii="Times New Roman" w:hAnsi="Times New Roman"/>
          <w:color w:val="000000" w:themeColor="text1"/>
          <w14:textFill>
            <w14:solidFill>
              <w14:schemeClr w14:val="tx1"/>
            </w14:solidFill>
          </w14:textFill>
        </w:rPr>
        <w:t>70%</w:t>
      </w:r>
      <w:r>
        <w:rPr>
          <w:rFonts w:hint="eastAsia" w:ascii="宋体" w:hAnsi="宋体"/>
          <w:color w:val="000000" w:themeColor="text1"/>
          <w14:textFill>
            <w14:solidFill>
              <w14:schemeClr w14:val="tx1"/>
            </w14:solidFill>
          </w14:textFill>
        </w:rPr>
        <w:t>的人民反对解散苏联，以及苏联国家紧急状态委员会在“</w:t>
      </w:r>
      <w:r>
        <w:rPr>
          <w:rFonts w:ascii="Times New Roman" w:hAnsi="Times New Roman"/>
          <w:color w:val="000000" w:themeColor="text1"/>
          <w14:textFill>
            <w14:solidFill>
              <w14:schemeClr w14:val="tx1"/>
            </w14:solidFill>
          </w14:textFill>
        </w:rPr>
        <w:t>8.19</w:t>
      </w:r>
      <w:r>
        <w:rPr>
          <w:rFonts w:hint="eastAsia" w:ascii="宋体" w:hAnsi="宋体"/>
          <w:color w:val="000000" w:themeColor="text1"/>
          <w14:textFill>
            <w14:solidFill>
              <w14:schemeClr w14:val="tx1"/>
            </w14:solidFill>
          </w14:textFill>
        </w:rPr>
        <w:t>”事件中挽救苏联不被解体的行动等等，均应视为代表广大人民群众的各种强烈反抗。至于说到在苏共和苏联被西化派领导集团和国内外敌对势力搞乱以后的某些民意测验结果，其实它已不能真正代表广大人民群众的本质意愿了。</w:t>
      </w:r>
    </w:p>
    <w:p w14:paraId="53330359">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与“人民群众抛弃论”密切相关的一个论点，是干脆说苏联根本不属于社会主义国家，因而苏联人民要抛弃它。例如，日本共产党声称，“苏联在列宁时期走的道路是正确的，但是自斯大林执政开始严重践踏了‘社会主义道路’，不再是社会主义国家，或者说不再是以社会主义为目标的国家”。苏联解体之时，日本共产党召开常任干部会，不破哲三委员长发表了题为“庆祝大国主义、霸权主义历史的终结——值此苏联解体之际”的讲演。他说：“迄今为止，苏联作为蛮横的霸权主义国家，给世界带来巨大伤害，现在它解体了，日本共产党对此表示极大的欢迎。”</w:t>
      </w:r>
    </w:p>
    <w:p w14:paraId="48EAB8DA">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如何科学评析这一论点呢？我们应当承认，苏联社会主义道路是有缺陷或犯有严重错误的，如农业集体化过程中的强迫命令，肃反运动中的扩大化和非法治化，政治领导中的集权化，国际交往中的大国沙文主义等等。但它还是社会主义性质的国家，斯大林和后续领导人是在走社会主义的道路上所出现的失误。依照历史唯物论的观点，判断一个国家的社会性质，不是看它有没有失误或错误的大小，而是经济和政治的根本制度及其性质。犹如判断德国、意大利和日本法西斯国家的社会性质与反法西斯的美国、英国和法国的社会性质有否实质性的区别，不在于谁先发动了战争或国内实行什么样的政策，而在于是不是私有经济占主体和资产阶级政党掌权。既然苏联是实行公有制和共产党领导的根本经济政治制度，那么，某些国内外政策、具体体制性和机制性问题，都是可以通过不断改革和完善来解决的，而不必重蹈资本主义的覆辙。作为理智的马克思主义者，应当严厉批判苏联所犯的错误，但不应跟随全球敌对势力而欢呼社会主义的苏联剧变和解体。试图与斯大林模式划清界限，不等于要否认苏联还是社会主义国家。否则，过去所有的社会主义国家都是模仿斯大林模式的，难道都不属于社会主义国家？西方学者也不如此非科学的断定和分析。</w:t>
      </w:r>
    </w:p>
    <w:p w14:paraId="7F63A0EC">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与“人民群众抛弃论”密切相关的另一个论点，是强调苏联把马克思主义教条化，因而苏联人民要抛弃它。譬如，有论著写到：“苏共把马克思列宁主义教条化，使党的指导思想长期陷于僵化半僵化状态。……苏共一贯重视意识形态工作，却把经典著作中的思想‘教科书化’，抽去其活的灵魂，不讲理论创新，不容许独立思考，使党的指导思想对广大干群特别是年青一代失去了吸引力和教育功能。”另有学者横向研究苏共某一届领导人执政时期的思想理论僵化。例如，认为勃列日涅夫执政</w:t>
      </w:r>
      <w:r>
        <w:rPr>
          <w:rFonts w:ascii="Times New Roman" w:hAnsi="Times New Roman"/>
          <w:color w:val="000000" w:themeColor="text1"/>
          <w14:textFill>
            <w14:solidFill>
              <w14:schemeClr w14:val="tx1"/>
            </w14:solidFill>
          </w14:textFill>
        </w:rPr>
        <w:t>18</w:t>
      </w:r>
      <w:r>
        <w:rPr>
          <w:rFonts w:hint="eastAsia" w:ascii="宋体" w:hAnsi="宋体"/>
          <w:color w:val="000000" w:themeColor="text1"/>
          <w14:textFill>
            <w14:solidFill>
              <w14:schemeClr w14:val="tx1"/>
            </w14:solidFill>
          </w14:textFill>
        </w:rPr>
        <w:t>年，苏共思想理论僵化尤为严重。“勃列日涅夫时期，苏联在意识形态领域逐渐把苏共领导人对马列主义的理解和解释以及他们的论断作为判断是非、划分敌我的唯一标准，大谈‘发达社会主义’，对现实存在的困难和问题却视而不见；大批资本主义制度的腐朽没落，对一些发达资本主义国家在社会经济发展中出现的种种新情况却缄默不言。这种把马克思主义教条化、把苏联模式绝对化、严重脱离实际的空洞说教，在群众中造成了思想混乱甚至逆反心理。”</w:t>
      </w:r>
    </w:p>
    <w:p w14:paraId="6F246391">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必须清醒地认识到，苏联确实存在对马克思主义的教条主义和思想理论僵化的普遍情况，但对马克思主义的教条主义同对西方资本主义思想的教条主义和盲目崇拜是性质不同的两回事，同对马克思主义和社会主义的怀疑和否定更是两回事。前者只会导致盲目批判资本主义的“左”的社会主义问题，而后者会导致崇拜和信仰资本主义，从而否定马克思主义和社会主义的问题。两种性质不同的教条主义和思想理论倾向会带来两种不同性质的思想混乱和社会后果。显然，社会主义的苏联剧变和解体，并走上资本主义道路，是思想理论上崇拜西方而放弃马克思主义和社会主义的结果，是资本主义思想力量战胜了社会主义思想力量的结果，同时也与人民反感口头上背诵马克思主义词句而实际行动是捞取干部私利密切相关，而不是对马克思主义和社会主义有些教条主义就必然带来的后果。中国“文革”中对马克思主义和社会主义的教条主义和横扫某些“封资修”的极左思想理论远远超过了苏联，导致走上资本主义道路了吗？</w:t>
      </w:r>
    </w:p>
    <w:p w14:paraId="588F1F89">
      <w:pPr>
        <w:ind w:firstLine="420" w:firstLineChars="200"/>
        <w:rPr>
          <w:rFonts w:ascii="Times New Roman" w:hAnsi="Times New Roman"/>
          <w:b/>
          <w:color w:val="000000" w:themeColor="text1"/>
          <w14:textFill>
            <w14:solidFill>
              <w14:schemeClr w14:val="tx1"/>
            </w14:solidFill>
          </w14:textFill>
        </w:rPr>
      </w:pPr>
      <w:bookmarkStart w:id="1542" w:name="_Toc30095"/>
      <w:bookmarkEnd w:id="1542"/>
      <w:r>
        <w:rPr>
          <w:rFonts w:hint="eastAsia" w:ascii="宋体" w:hAnsi="宋体"/>
          <w:b/>
          <w:color w:val="000000" w:themeColor="text1"/>
          <w14:textFill>
            <w14:solidFill>
              <w14:schemeClr w14:val="tx1"/>
            </w14:solidFill>
          </w14:textFill>
        </w:rPr>
        <w:t>（四）军备竞赛拖垮论</w:t>
      </w:r>
    </w:p>
    <w:p w14:paraId="2AF41624">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逝去的苏联和今日俄罗斯都顶着军事大国的桂冠。不少国内外学者从此着手探寻苏联解体的原因，认为长期以来苏联大力发展重工业和军事工业，搞军备竞赛，暴力输出革命，争霸世界，背离了社会主义要为人民谋福利这一宗旨。苏联国内的政治生活、经济运行体制也都是与此相适应的。高度集中的计划经济体制既是适应发展重工业、特别是军工生产的要求而形成的，又是其备战型经济的重要组成部分。进行经济体制改革，扩大企业自主权，会冲击这种体制，与加强军备生产这一最重要的战略任务相抵触，自然受到遏制。这是导致苏联走向衰落与解体不可忽视的一个深层次原因。</w:t>
      </w:r>
    </w:p>
    <w:p w14:paraId="5821E8B3">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关于军备竞赛拖垮了苏联而解体的观点，在西方国家的报刊上也多有登载，有学者撰文考察西方社会如何看苏联解体的原因，援引了法、德、日等国类似的观点。例如，法国《费加罗报》载文认为，苏联长期一贯地实行战争经济，尽快、尽可能直接地动用各种资金用于军事，而只提供最起码的必需消费品，创造了在军事上可与美国匹敌的奇迹。但是，美国比苏联要富得多，可以毫不困难地给不到美国国民生产总值</w:t>
      </w:r>
      <w:r>
        <w:rPr>
          <w:rFonts w:ascii="Times New Roman" w:hAnsi="Times New Roman"/>
          <w:color w:val="000000" w:themeColor="text1"/>
          <w14:textFill>
            <w14:solidFill>
              <w14:schemeClr w14:val="tx1"/>
            </w14:solidFill>
          </w14:textFill>
        </w:rPr>
        <w:t>5%</w:t>
      </w:r>
      <w:r>
        <w:rPr>
          <w:rFonts w:hint="eastAsia" w:ascii="宋体" w:hAnsi="宋体"/>
          <w:color w:val="000000" w:themeColor="text1"/>
          <w14:textFill>
            <w14:solidFill>
              <w14:schemeClr w14:val="tx1"/>
            </w14:solidFill>
          </w14:textFill>
        </w:rPr>
        <w:t>的军事预算提供资金，和美国相比苏联的国民生产总值并不高，却要动用其中很大一部分用于军费开支。随着美国经济的发展和技术潜力的增长，这种不断增多的提取最终逐步窒息了苏联的经济增长。德国《明镜》周刊也有文章认为，苏联为其生存扩军备战，浪费了数以十亿计的资金。最后它变得无支付能力，自我解体。</w:t>
      </w:r>
    </w:p>
    <w:p w14:paraId="01F56070">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认为，当时为了先后应对十四个西方国家的军事干涉、德国法西斯的军事入侵以及“冷战”中以美国为首的北约集团的军事威胁和侵略，苏联被迫进行的扩军备战和军备竞赛，这肯定会影响国民经济的发展和城乡居民的生活水平提高，但绝不至于国民经济和财政就“变得无支付能力，自我解体”了。与主观臆断的“军备竞赛拖垮论”的观点相反，苏联的国民经济、财政收入和科学技术都是逐年提高的，是日渐接近并在不少领域逐步超过美国的。</w:t>
      </w:r>
    </w:p>
    <w:p w14:paraId="1013D2CB">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值得指出的是，戈尔巴乔夫上台后，便在军备武器和军备竞赛方面讨好西方，这方面备受谴责的是消灭“奥卡”导弹系统。据俄有关资料，该武器由前苏联科学院著名的战术导弹设计大师谢尔盖•涅波别季梅耶院士主持研制，建立该导弹系统耗时</w:t>
      </w:r>
      <w:r>
        <w:rPr>
          <w:rFonts w:ascii="Times New Roman" w:hAnsi="Times New Roman"/>
          <w:color w:val="000000" w:themeColor="text1"/>
          <w14:textFill>
            <w14:solidFill>
              <w14:schemeClr w14:val="tx1"/>
            </w14:solidFill>
          </w14:textFill>
        </w:rPr>
        <w:t>7</w:t>
      </w:r>
      <w:r>
        <w:rPr>
          <w:rFonts w:hint="eastAsia" w:ascii="宋体" w:hAnsi="宋体"/>
          <w:color w:val="000000" w:themeColor="text1"/>
          <w14:textFill>
            <w14:solidFill>
              <w14:schemeClr w14:val="tx1"/>
            </w14:solidFill>
          </w14:textFill>
        </w:rPr>
        <w:t>年，有近</w:t>
      </w:r>
      <w:r>
        <w:rPr>
          <w:rFonts w:ascii="Times New Roman" w:hAnsi="Times New Roman"/>
          <w:color w:val="000000" w:themeColor="text1"/>
          <w14:textFill>
            <w14:solidFill>
              <w14:schemeClr w14:val="tx1"/>
            </w14:solidFill>
          </w14:textFill>
        </w:rPr>
        <w:t>10</w:t>
      </w:r>
      <w:r>
        <w:rPr>
          <w:rFonts w:hint="eastAsia" w:ascii="宋体" w:hAnsi="宋体"/>
          <w:color w:val="000000" w:themeColor="text1"/>
          <w14:textFill>
            <w14:solidFill>
              <w14:schemeClr w14:val="tx1"/>
            </w14:solidFill>
          </w14:textFill>
        </w:rPr>
        <w:t>万学者、设计师、工人、实验人员和军人等参与，当时号称可以“击中地球的任意角落”。为了获得美国和北约的青睐，戈尔巴乔夫销毁了</w:t>
      </w:r>
      <w:r>
        <w:rPr>
          <w:rFonts w:ascii="Times New Roman" w:hAnsi="Times New Roman"/>
          <w:color w:val="000000" w:themeColor="text1"/>
          <w14:textFill>
            <w14:solidFill>
              <w14:schemeClr w14:val="tx1"/>
            </w14:solidFill>
          </w14:textFill>
        </w:rPr>
        <w:t>239</w:t>
      </w:r>
      <w:r>
        <w:rPr>
          <w:rFonts w:hint="eastAsia" w:ascii="宋体" w:hAnsi="宋体"/>
          <w:color w:val="000000" w:themeColor="text1"/>
          <w14:textFill>
            <w14:solidFill>
              <w14:schemeClr w14:val="tx1"/>
            </w14:solidFill>
          </w14:textFill>
        </w:rPr>
        <w:t>枚射程为</w:t>
      </w:r>
      <w:r>
        <w:rPr>
          <w:rFonts w:ascii="Times New Roman" w:hAnsi="Times New Roman"/>
          <w:color w:val="000000" w:themeColor="text1"/>
          <w14:textFill>
            <w14:solidFill>
              <w14:schemeClr w14:val="tx1"/>
            </w14:solidFill>
          </w14:textFill>
        </w:rPr>
        <w:t>400</w:t>
      </w:r>
      <w:r>
        <w:rPr>
          <w:rFonts w:hint="eastAsia" w:ascii="宋体" w:hAnsi="宋体"/>
          <w:color w:val="000000" w:themeColor="text1"/>
          <w14:textFill>
            <w14:solidFill>
              <w14:schemeClr w14:val="tx1"/>
            </w14:solidFill>
          </w14:textFill>
        </w:rPr>
        <w:t>公里的“奥卡”导弹，其实它没有违反任何一个国际条约，包括《中导条约》。对此类情况，俄罗斯楚瓦什国立大学教授弗拉基米尔•谢德林在所著的《巴格达日记》中这样写道：在我们的军队中“有了独特的武器，世界上不曾有过的，现在也没有类似的武器。它的历史同样很独特：武器被制造出来，投入使用，而在瞬间被彻底销毁，包括所有的图纸、设计以及工艺。”</w:t>
      </w:r>
    </w:p>
    <w:p w14:paraId="6CEA2330">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军备竞赛和解散华约方面讨好西方，从戈尔巴乔夫登上苏共最高领导职位之前就开始了。据当时出席会晤的苏共中央委员雅科夫列夫证实，戈尔巴乔夫作为政治局成员出访伦敦时，曾主动向撒切尔夫人展示标有一旦发生世界战争而核导弹在英国打击点的秘密军事地图，撒切尔为卓越的合作伙伴的坦率而大喜过望。戈尔巴乔夫执政以后时常呆在国外，是苏共主要领导者在国外呆得时间最多的人。有俄罗斯人讽刺说：“在西方（在那里他像英雄一样受到款待）的旅程间隙，戈尔巴乔夫返回莫斯科，推出新一轮的国家瓦解政策：‘改革’本身，军事体系，军工系统等等。”“他把同时解散华约和北约作为对西方的战略目标，最终华约解散，而北约至今依然存在。”另据史料证明，美国前国务卿贝克会见戈尔巴乔夫，当贝克向戈尔巴乔夫保证北约不会“从自己现有的位置”东扩“一英寸”，并准备讨论该“不东扩”的国际法保障时，戈尔巴乔夫竟然说，北约军事集团向俄罗斯方向扩张并不让他担心。这位苏联领袖的如此态度让贝克十分吃惊。</w:t>
      </w:r>
    </w:p>
    <w:p w14:paraId="266536B2">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军备竞赛拖垮论”还内含一个推论，即认为苏联因为军备竞赛而使生活水平低下，并由此导致苏联剧变和解体。有学者这样评论：如果说在第二次世界大战之前，苏联人民的“吃喝穿住及其他一些东西都极端贫乏，几千万人非正常死亡，还可以用‘人民必须为国家富强做出牺牲’来解释的话；那么二战后的</w:t>
      </w:r>
      <w:r>
        <w:rPr>
          <w:rFonts w:ascii="Times New Roman" w:hAnsi="Times New Roman"/>
          <w:color w:val="000000" w:themeColor="text1"/>
          <w14:textFill>
            <w14:solidFill>
              <w14:schemeClr w14:val="tx1"/>
            </w14:solidFill>
          </w14:textFill>
        </w:rPr>
        <w:t>45</w:t>
      </w:r>
      <w:r>
        <w:rPr>
          <w:rFonts w:hint="eastAsia" w:ascii="宋体" w:hAnsi="宋体"/>
          <w:color w:val="000000" w:themeColor="text1"/>
          <w14:textFill>
            <w14:solidFill>
              <w14:schemeClr w14:val="tx1"/>
            </w14:solidFill>
          </w14:textFill>
        </w:rPr>
        <w:t>年里，苏联人民的生活水平和生活质量依旧不能相应提高，社会经济衰退，就只能归结为是苏共执政理念偏差、执政能力低下、思想冥顽不化所致。这样的执政党被人民所抛弃，是不足为怪的。”</w:t>
      </w:r>
    </w:p>
    <w:p w14:paraId="7E8D560C">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苏联和世界许多统计资料和研究论著，均确认苏联人民生活水平是不断提高的，并日益接近西方发达国家普通居民的实际生活质量。例如，</w:t>
      </w:r>
      <w:r>
        <w:rPr>
          <w:rFonts w:ascii="Times New Roman" w:hAnsi="Times New Roman"/>
          <w:color w:val="000000" w:themeColor="text1"/>
          <w14:textFill>
            <w14:solidFill>
              <w14:schemeClr w14:val="tx1"/>
            </w14:solidFill>
          </w14:textFill>
        </w:rPr>
        <w:t>1960</w:t>
      </w:r>
      <w:r>
        <w:rPr>
          <w:rFonts w:hint="eastAsia" w:ascii="宋体" w:hAnsi="宋体"/>
          <w:color w:val="000000" w:themeColor="text1"/>
          <w14:textFill>
            <w14:solidFill>
              <w14:schemeClr w14:val="tx1"/>
            </w14:solidFill>
          </w14:textFill>
        </w:rPr>
        <w:t>年苏联国民收入为</w:t>
      </w:r>
      <w:r>
        <w:rPr>
          <w:rFonts w:ascii="Times New Roman" w:hAnsi="Times New Roman"/>
          <w:color w:val="000000" w:themeColor="text1"/>
          <w14:textFill>
            <w14:solidFill>
              <w14:schemeClr w14:val="tx1"/>
            </w14:solidFill>
          </w14:textFill>
        </w:rPr>
        <w:t>1450</w:t>
      </w:r>
      <w:r>
        <w:rPr>
          <w:rFonts w:hint="eastAsia" w:ascii="宋体" w:hAnsi="宋体"/>
          <w:color w:val="000000" w:themeColor="text1"/>
          <w14:textFill>
            <w14:solidFill>
              <w14:schemeClr w14:val="tx1"/>
            </w14:solidFill>
          </w14:textFill>
        </w:rPr>
        <w:t>亿卢布，</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年增加到</w:t>
      </w:r>
      <w:r>
        <w:rPr>
          <w:rFonts w:ascii="Times New Roman" w:hAnsi="Times New Roman"/>
          <w:color w:val="000000" w:themeColor="text1"/>
          <w14:textFill>
            <w14:solidFill>
              <w14:schemeClr w14:val="tx1"/>
            </w14:solidFill>
          </w14:textFill>
        </w:rPr>
        <w:t>5777</w:t>
      </w:r>
      <w:r>
        <w:rPr>
          <w:rFonts w:hint="eastAsia" w:ascii="宋体" w:hAnsi="宋体"/>
          <w:color w:val="000000" w:themeColor="text1"/>
          <w14:textFill>
            <w14:solidFill>
              <w14:schemeClr w14:val="tx1"/>
            </w14:solidFill>
          </w14:textFill>
        </w:rPr>
        <w:t>亿卢布，比</w:t>
      </w:r>
      <w:r>
        <w:rPr>
          <w:rFonts w:ascii="Times New Roman" w:hAnsi="Times New Roman"/>
          <w:color w:val="000000" w:themeColor="text1"/>
          <w14:textFill>
            <w14:solidFill>
              <w14:schemeClr w14:val="tx1"/>
            </w14:solidFill>
          </w14:textFill>
        </w:rPr>
        <w:t>1960</w:t>
      </w:r>
      <w:r>
        <w:rPr>
          <w:rFonts w:hint="eastAsia" w:ascii="宋体" w:hAnsi="宋体"/>
          <w:color w:val="000000" w:themeColor="text1"/>
          <w14:textFill>
            <w14:solidFill>
              <w14:schemeClr w14:val="tx1"/>
            </w14:solidFill>
          </w14:textFill>
        </w:rPr>
        <w:t>年提高了近</w:t>
      </w:r>
      <w:r>
        <w:rPr>
          <w:rFonts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倍。</w:t>
      </w:r>
      <w:r>
        <w:rPr>
          <w:rFonts w:ascii="Times New Roman" w:hAnsi="Times New Roman"/>
          <w:color w:val="000000" w:themeColor="text1"/>
          <w14:textFill>
            <w14:solidFill>
              <w14:schemeClr w14:val="tx1"/>
            </w14:solidFill>
          </w14:textFill>
        </w:rPr>
        <w:t>1960</w:t>
      </w:r>
      <w:r>
        <w:rPr>
          <w:rFonts w:hint="eastAsia" w:ascii="宋体" w:hAnsi="宋体"/>
          <w:color w:val="000000" w:themeColor="text1"/>
          <w14:textFill>
            <w14:solidFill>
              <w14:schemeClr w14:val="tx1"/>
            </w14:solidFill>
          </w14:textFill>
        </w:rPr>
        <w:t>年，苏联按照人口平均计算的社会总产值和国民收入分别为</w:t>
      </w:r>
      <w:r>
        <w:rPr>
          <w:rFonts w:ascii="Times New Roman" w:hAnsi="Times New Roman"/>
          <w:color w:val="000000" w:themeColor="text1"/>
          <w14:textFill>
            <w14:solidFill>
              <w14:schemeClr w14:val="tx1"/>
            </w14:solidFill>
          </w14:textFill>
        </w:rPr>
        <w:t>1431</w:t>
      </w:r>
      <w:r>
        <w:rPr>
          <w:rFonts w:hint="eastAsia" w:ascii="宋体" w:hAnsi="宋体"/>
          <w:color w:val="000000" w:themeColor="text1"/>
          <w14:textFill>
            <w14:solidFill>
              <w14:schemeClr w14:val="tx1"/>
            </w14:solidFill>
          </w14:textFill>
        </w:rPr>
        <w:t>卢布和</w:t>
      </w:r>
      <w:r>
        <w:rPr>
          <w:rFonts w:ascii="Times New Roman" w:hAnsi="Times New Roman"/>
          <w:color w:val="000000" w:themeColor="text1"/>
          <w14:textFill>
            <w14:solidFill>
              <w14:schemeClr w14:val="tx1"/>
            </w14:solidFill>
          </w14:textFill>
        </w:rPr>
        <w:t>683</w:t>
      </w:r>
      <w:r>
        <w:rPr>
          <w:rFonts w:hint="eastAsia" w:ascii="宋体" w:hAnsi="宋体"/>
          <w:color w:val="000000" w:themeColor="text1"/>
          <w14:textFill>
            <w14:solidFill>
              <w14:schemeClr w14:val="tx1"/>
            </w14:solidFill>
          </w14:textFill>
        </w:rPr>
        <w:t>卢布</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年已经相应提高到</w:t>
      </w:r>
      <w:r>
        <w:rPr>
          <w:rFonts w:ascii="Times New Roman" w:hAnsi="Times New Roman"/>
          <w:color w:val="000000" w:themeColor="text1"/>
          <w14:textFill>
            <w14:solidFill>
              <w14:schemeClr w14:val="tx1"/>
            </w14:solidFill>
          </w14:textFill>
        </w:rPr>
        <w:t>5003</w:t>
      </w:r>
      <w:r>
        <w:rPr>
          <w:rFonts w:hint="eastAsia" w:ascii="宋体" w:hAnsi="宋体"/>
          <w:color w:val="000000" w:themeColor="text1"/>
          <w14:textFill>
            <w14:solidFill>
              <w14:schemeClr w14:val="tx1"/>
            </w14:solidFill>
          </w14:textFill>
        </w:rPr>
        <w:t>卢布和</w:t>
      </w:r>
      <w:r>
        <w:rPr>
          <w:rFonts w:ascii="Times New Roman" w:hAnsi="Times New Roman"/>
          <w:color w:val="000000" w:themeColor="text1"/>
          <w14:textFill>
            <w14:solidFill>
              <w14:schemeClr w14:val="tx1"/>
            </w14:solidFill>
          </w14:textFill>
        </w:rPr>
        <w:t>2090</w:t>
      </w:r>
      <w:r>
        <w:rPr>
          <w:rFonts w:hint="eastAsia" w:ascii="宋体" w:hAnsi="宋体"/>
          <w:color w:val="000000" w:themeColor="text1"/>
          <w14:textFill>
            <w14:solidFill>
              <w14:schemeClr w14:val="tx1"/>
            </w14:solidFill>
          </w14:textFill>
        </w:rPr>
        <w:t>卢布</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分别增加了</w:t>
      </w:r>
      <w:r>
        <w:rPr>
          <w:rFonts w:ascii="Times New Roman" w:hAnsi="Times New Roman"/>
          <w:color w:val="000000" w:themeColor="text1"/>
          <w14:textFill>
            <w14:solidFill>
              <w14:schemeClr w14:val="tx1"/>
            </w14:solidFill>
          </w14:textFill>
        </w:rPr>
        <w:t>2.4</w:t>
      </w:r>
      <w:r>
        <w:rPr>
          <w:rFonts w:hint="eastAsia" w:ascii="宋体" w:hAnsi="宋体"/>
          <w:color w:val="000000" w:themeColor="text1"/>
          <w14:textFill>
            <w14:solidFill>
              <w14:schemeClr w14:val="tx1"/>
            </w14:solidFill>
          </w14:textFill>
        </w:rPr>
        <w:t>倍和</w:t>
      </w:r>
      <w:r>
        <w:rPr>
          <w:rFonts w:ascii="Times New Roman" w:hAnsi="Times New Roman"/>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倍多。全部居民实际收入的增长（按人口平均计算，</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）以</w:t>
      </w:r>
      <w:r>
        <w:rPr>
          <w:rFonts w:ascii="Times New Roman" w:hAnsi="Times New Roman"/>
          <w:color w:val="000000" w:themeColor="text1"/>
          <w14:textFill>
            <w14:solidFill>
              <w14:schemeClr w14:val="tx1"/>
            </w14:solidFill>
          </w14:textFill>
        </w:rPr>
        <w:t>1940</w:t>
      </w:r>
      <w:r>
        <w:rPr>
          <w:rFonts w:hint="eastAsia" w:ascii="宋体" w:hAnsi="宋体"/>
          <w:color w:val="000000" w:themeColor="text1"/>
          <w14:textFill>
            <w14:solidFill>
              <w14:schemeClr w14:val="tx1"/>
            </w14:solidFill>
          </w14:textFill>
        </w:rPr>
        <w:t>年为</w:t>
      </w:r>
      <w:r>
        <w:rPr>
          <w:rFonts w:ascii="Times New Roman" w:hAnsi="Times New Roman"/>
          <w:color w:val="000000" w:themeColor="text1"/>
          <w14:textFill>
            <w14:solidFill>
              <w14:schemeClr w14:val="tx1"/>
            </w14:solidFill>
          </w14:textFill>
        </w:rPr>
        <w:t>100,</w:t>
      </w:r>
      <w:r>
        <w:rPr>
          <w:rFonts w:hint="eastAsia" w:ascii="宋体" w:hAnsi="宋体"/>
          <w:color w:val="000000" w:themeColor="text1"/>
          <w14:textFill>
            <w14:solidFill>
              <w14:schemeClr w14:val="tx1"/>
            </w14:solidFill>
          </w14:textFill>
        </w:rPr>
        <w:t>到</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年增长为</w:t>
      </w:r>
      <w:r>
        <w:rPr>
          <w:rFonts w:ascii="Times New Roman" w:hAnsi="Times New Roman"/>
          <w:color w:val="000000" w:themeColor="text1"/>
          <w14:textFill>
            <w14:solidFill>
              <w14:schemeClr w14:val="tx1"/>
            </w14:solidFill>
          </w14:textFill>
        </w:rPr>
        <w:t>646</w:t>
      </w:r>
      <w:r>
        <w:rPr>
          <w:rFonts w:hint="eastAsia" w:ascii="宋体" w:hAnsi="宋体"/>
          <w:color w:val="000000" w:themeColor="text1"/>
          <w14:textFill>
            <w14:solidFill>
              <w14:schemeClr w14:val="tx1"/>
            </w14:solidFill>
          </w14:textFill>
        </w:rPr>
        <w:t>。又如，苏联社会消费基金由</w:t>
      </w:r>
      <w:r>
        <w:rPr>
          <w:rFonts w:ascii="Times New Roman" w:hAnsi="Times New Roman"/>
          <w:color w:val="000000" w:themeColor="text1"/>
          <w14:textFill>
            <w14:solidFill>
              <w14:schemeClr w14:val="tx1"/>
            </w14:solidFill>
          </w14:textFill>
        </w:rPr>
        <w:t>1965</w:t>
      </w:r>
      <w:r>
        <w:rPr>
          <w:rFonts w:hint="eastAsia" w:ascii="宋体" w:hAnsi="宋体"/>
          <w:color w:val="000000" w:themeColor="text1"/>
          <w14:textFill>
            <w14:solidFill>
              <w14:schemeClr w14:val="tx1"/>
            </w14:solidFill>
          </w14:textFill>
        </w:rPr>
        <w:t>年的</w:t>
      </w:r>
      <w:r>
        <w:rPr>
          <w:rFonts w:ascii="Times New Roman" w:hAnsi="Times New Roman"/>
          <w:color w:val="000000" w:themeColor="text1"/>
          <w14:textFill>
            <w14:solidFill>
              <w14:schemeClr w14:val="tx1"/>
            </w14:solidFill>
          </w14:textFill>
        </w:rPr>
        <w:t>419</w:t>
      </w:r>
      <w:r>
        <w:rPr>
          <w:rFonts w:hint="eastAsia" w:ascii="宋体" w:hAnsi="宋体"/>
          <w:color w:val="000000" w:themeColor="text1"/>
          <w14:textFill>
            <w14:solidFill>
              <w14:schemeClr w14:val="tx1"/>
            </w14:solidFill>
          </w14:textFill>
        </w:rPr>
        <w:t>亿卢布增加到</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年的</w:t>
      </w:r>
      <w:r>
        <w:rPr>
          <w:rFonts w:ascii="Times New Roman" w:hAnsi="Times New Roman"/>
          <w:color w:val="000000" w:themeColor="text1"/>
          <w14:textFill>
            <w14:solidFill>
              <w14:schemeClr w14:val="tx1"/>
            </w14:solidFill>
          </w14:textFill>
        </w:rPr>
        <w:t>1470</w:t>
      </w:r>
      <w:r>
        <w:rPr>
          <w:rFonts w:hint="eastAsia" w:ascii="宋体" w:hAnsi="宋体"/>
          <w:color w:val="000000" w:themeColor="text1"/>
          <w14:textFill>
            <w14:solidFill>
              <w14:schemeClr w14:val="tx1"/>
            </w14:solidFill>
          </w14:textFill>
        </w:rPr>
        <w:t>亿卢布，居民按人均计算从社会消费基金中得到的各种支付和优惠，由</w:t>
      </w:r>
      <w:r>
        <w:rPr>
          <w:rFonts w:ascii="Times New Roman" w:hAnsi="Times New Roman"/>
          <w:color w:val="000000" w:themeColor="text1"/>
          <w14:textFill>
            <w14:solidFill>
              <w14:schemeClr w14:val="tx1"/>
            </w14:solidFill>
          </w14:textFill>
        </w:rPr>
        <w:t>1965</w:t>
      </w:r>
      <w:r>
        <w:rPr>
          <w:rFonts w:hint="eastAsia" w:ascii="宋体" w:hAnsi="宋体"/>
          <w:color w:val="000000" w:themeColor="text1"/>
          <w14:textFill>
            <w14:solidFill>
              <w14:schemeClr w14:val="tx1"/>
            </w14:solidFill>
          </w14:textFill>
        </w:rPr>
        <w:t>年的</w:t>
      </w:r>
      <w:r>
        <w:rPr>
          <w:rFonts w:ascii="Times New Roman" w:hAnsi="Times New Roman"/>
          <w:color w:val="000000" w:themeColor="text1"/>
          <w14:textFill>
            <w14:solidFill>
              <w14:schemeClr w14:val="tx1"/>
            </w14:solidFill>
          </w14:textFill>
        </w:rPr>
        <w:t>182</w:t>
      </w:r>
      <w:r>
        <w:rPr>
          <w:rFonts w:hint="eastAsia" w:ascii="宋体" w:hAnsi="宋体"/>
          <w:color w:val="000000" w:themeColor="text1"/>
          <w14:textFill>
            <w14:solidFill>
              <w14:schemeClr w14:val="tx1"/>
            </w14:solidFill>
          </w14:textFill>
        </w:rPr>
        <w:t>卢布增加到</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年的</w:t>
      </w:r>
      <w:r>
        <w:rPr>
          <w:rFonts w:ascii="Times New Roman" w:hAnsi="Times New Roman"/>
          <w:color w:val="000000" w:themeColor="text1"/>
          <w14:textFill>
            <w14:solidFill>
              <w14:schemeClr w14:val="tx1"/>
            </w14:solidFill>
          </w14:textFill>
        </w:rPr>
        <w:t>530</w:t>
      </w:r>
      <w:r>
        <w:rPr>
          <w:rFonts w:hint="eastAsia" w:ascii="宋体" w:hAnsi="宋体"/>
          <w:color w:val="000000" w:themeColor="text1"/>
          <w14:textFill>
            <w14:solidFill>
              <w14:schemeClr w14:val="tx1"/>
            </w14:solidFill>
          </w14:textFill>
        </w:rPr>
        <w:t>卢布，提高了</w:t>
      </w:r>
      <w:r>
        <w:rPr>
          <w:rFonts w:ascii="Times New Roman" w:hAnsi="Times New Roman"/>
          <w:color w:val="000000" w:themeColor="text1"/>
          <w14:textFill>
            <w14:solidFill>
              <w14:schemeClr w14:val="tx1"/>
            </w14:solidFill>
          </w14:textFill>
        </w:rPr>
        <w:t>1.9</w:t>
      </w:r>
      <w:r>
        <w:rPr>
          <w:rFonts w:hint="eastAsia" w:ascii="宋体" w:hAnsi="宋体"/>
          <w:color w:val="000000" w:themeColor="text1"/>
          <w14:textFill>
            <w14:solidFill>
              <w14:schemeClr w14:val="tx1"/>
            </w14:solidFill>
          </w14:textFill>
        </w:rPr>
        <w:t>倍。第三，苏联从</w:t>
      </w:r>
      <w:r>
        <w:rPr>
          <w:rFonts w:ascii="Times New Roman" w:hAnsi="Times New Roman"/>
          <w:color w:val="000000" w:themeColor="text1"/>
          <w14:textFill>
            <w14:solidFill>
              <w14:schemeClr w14:val="tx1"/>
            </w14:solidFill>
          </w14:textFill>
        </w:rPr>
        <w:t>1928</w:t>
      </w:r>
      <w:r>
        <w:rPr>
          <w:rFonts w:hint="eastAsia" w:ascii="宋体" w:hAnsi="宋体"/>
          <w:color w:val="000000" w:themeColor="text1"/>
          <w14:textFill>
            <w14:solidFill>
              <w14:schemeClr w14:val="tx1"/>
            </w14:solidFill>
          </w14:textFill>
        </w:rPr>
        <w:t>年以来一直实行低房租的政策。</w:t>
      </w:r>
      <w:r>
        <w:rPr>
          <w:rFonts w:ascii="Times New Roman" w:hAnsi="Times New Roman"/>
          <w:color w:val="000000" w:themeColor="text1"/>
          <w14:textFill>
            <w14:solidFill>
              <w14:schemeClr w14:val="tx1"/>
            </w14:solidFill>
          </w14:textFill>
        </w:rPr>
        <w:t>1913</w:t>
      </w:r>
      <w:r>
        <w:rPr>
          <w:rFonts w:hint="eastAsia" w:ascii="宋体" w:hAnsi="宋体"/>
          <w:color w:val="000000" w:themeColor="text1"/>
          <w14:textFill>
            <w14:solidFill>
              <w14:schemeClr w14:val="tx1"/>
            </w14:solidFill>
          </w14:textFill>
        </w:rPr>
        <w:t>年城镇人均住房的有效面积仅为</w:t>
      </w:r>
      <w:r>
        <w:rPr>
          <w:rFonts w:ascii="Times New Roman" w:hAnsi="Times New Roman"/>
          <w:color w:val="000000" w:themeColor="text1"/>
          <w14:textFill>
            <w14:solidFill>
              <w14:schemeClr w14:val="tx1"/>
            </w14:solidFill>
          </w14:textFill>
        </w:rPr>
        <w:t>6.3</w:t>
      </w:r>
      <w:r>
        <w:rPr>
          <w:rFonts w:hint="eastAsia" w:ascii="宋体" w:hAnsi="宋体"/>
          <w:color w:val="000000" w:themeColor="text1"/>
          <w14:textFill>
            <w14:solidFill>
              <w14:schemeClr w14:val="tx1"/>
            </w14:solidFill>
          </w14:textFill>
        </w:rPr>
        <w:t>平方米，</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年提高到</w:t>
      </w:r>
      <w:r>
        <w:rPr>
          <w:rFonts w:ascii="Times New Roman" w:hAnsi="Times New Roman"/>
          <w:color w:val="000000" w:themeColor="text1"/>
          <w14:textFill>
            <w14:solidFill>
              <w14:schemeClr w14:val="tx1"/>
            </w14:solidFill>
          </w14:textFill>
        </w:rPr>
        <w:t>14.1</w:t>
      </w:r>
      <w:r>
        <w:rPr>
          <w:rFonts w:hint="eastAsia" w:ascii="宋体" w:hAnsi="宋体"/>
          <w:color w:val="000000" w:themeColor="text1"/>
          <w14:textFill>
            <w14:solidFill>
              <w14:schemeClr w14:val="tx1"/>
            </w14:solidFill>
          </w14:textFill>
        </w:rPr>
        <w:t>平方米，比革命前增加了</w:t>
      </w:r>
      <w:r>
        <w:rPr>
          <w:rFonts w:ascii="Times New Roman" w:hAnsi="Times New Roman"/>
          <w:color w:val="000000" w:themeColor="text1"/>
          <w14:textFill>
            <w14:solidFill>
              <w14:schemeClr w14:val="tx1"/>
            </w14:solidFill>
          </w14:textFill>
        </w:rPr>
        <w:t>1</w:t>
      </w:r>
      <w:r>
        <w:rPr>
          <w:rFonts w:hint="eastAsia" w:ascii="宋体" w:hAnsi="宋体"/>
          <w:color w:val="000000" w:themeColor="text1"/>
          <w14:textFill>
            <w14:solidFill>
              <w14:schemeClr w14:val="tx1"/>
            </w14:solidFill>
          </w14:textFill>
        </w:rPr>
        <w:t>倍多，苏联城市中有百分之八十的家庭已住进单元式的成套住。上世纪</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年代，苏联国民住房按计划分配，每户月均支付租金</w:t>
      </w:r>
      <w:r>
        <w:rPr>
          <w:rFonts w:ascii="Times New Roman" w:hAnsi="Times New Roman"/>
          <w:color w:val="000000" w:themeColor="text1"/>
          <w14:textFill>
            <w14:solidFill>
              <w14:schemeClr w14:val="tx1"/>
            </w14:solidFill>
          </w14:textFill>
        </w:rPr>
        <w:t>3</w:t>
      </w:r>
      <w:r>
        <w:rPr>
          <w:rFonts w:hint="eastAsia" w:ascii="宋体" w:hAnsi="宋体"/>
          <w:color w:val="000000" w:themeColor="text1"/>
          <w14:textFill>
            <w14:solidFill>
              <w14:schemeClr w14:val="tx1"/>
            </w14:solidFill>
          </w14:textFill>
        </w:rPr>
        <w:t>卢布，同期美国居民月均房租要几百美元。</w:t>
      </w:r>
      <w:r>
        <w:rPr>
          <w:rFonts w:ascii="Times New Roman" w:hAnsi="Times New Roman"/>
          <w:color w:val="000000" w:themeColor="text1"/>
          <w14:textFill>
            <w14:solidFill>
              <w14:schemeClr w14:val="tx1"/>
            </w14:solidFill>
          </w14:textFill>
        </w:rPr>
        <w:t>80</w:t>
      </w:r>
      <w:r>
        <w:rPr>
          <w:rFonts w:hint="eastAsia" w:ascii="宋体" w:hAnsi="宋体"/>
          <w:color w:val="000000" w:themeColor="text1"/>
          <w14:textFill>
            <w14:solidFill>
              <w14:schemeClr w14:val="tx1"/>
            </w14:solidFill>
          </w14:textFill>
        </w:rPr>
        <w:t>年代中期，美国有关单位进行了一次“宜居城市”调查，主要评定指标包括店内商品充裕程度、交通状况、住宅舒适程度、污水处理状况、热水供应状况和空气清洁程度等。苏联的莫斯科、列宁格勒和基辅三个城市被调查，结果都进入了世界十大最舒适城市行列（戈尔巴乔夫却说，同美国普通工人的居住条件相比，苏联人是“住在山洞里”。）第四，</w:t>
      </w:r>
      <w:r>
        <w:rPr>
          <w:rFonts w:ascii="Times New Roman" w:hAnsi="Times New Roman"/>
          <w:color w:val="000000" w:themeColor="text1"/>
          <w14:textFill>
            <w14:solidFill>
              <w14:schemeClr w14:val="tx1"/>
            </w14:solidFill>
          </w14:textFill>
        </w:rPr>
        <w:t>1980</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苏联人均粮食产量已高达</w:t>
      </w:r>
      <w:r>
        <w:rPr>
          <w:rFonts w:ascii="Times New Roman" w:hAnsi="Times New Roman"/>
          <w:color w:val="000000" w:themeColor="text1"/>
          <w14:textFill>
            <w14:solidFill>
              <w14:schemeClr w14:val="tx1"/>
            </w14:solidFill>
          </w14:textFill>
        </w:rPr>
        <w:t>715</w:t>
      </w:r>
      <w:r>
        <w:rPr>
          <w:rFonts w:hint="eastAsia" w:ascii="宋体" w:hAnsi="宋体"/>
          <w:color w:val="000000" w:themeColor="text1"/>
          <w14:textFill>
            <w14:solidFill>
              <w14:schemeClr w14:val="tx1"/>
            </w14:solidFill>
          </w14:textFill>
        </w:rPr>
        <w:t>公斤</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从来没有发粮票来限制粮食消费。多淀粉食品的消费量不断减少，蛋白质含量高的食品消费量显著增加。</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年，主要食品人均消费量是：肉类和肉制品为</w:t>
      </w:r>
      <w:r>
        <w:rPr>
          <w:rFonts w:ascii="Times New Roman" w:hAnsi="Times New Roman"/>
          <w:color w:val="000000" w:themeColor="text1"/>
          <w14:textFill>
            <w14:solidFill>
              <w14:schemeClr w14:val="tx1"/>
            </w14:solidFill>
          </w14:textFill>
        </w:rPr>
        <w:t>61.4</w:t>
      </w:r>
      <w:r>
        <w:rPr>
          <w:rFonts w:hint="eastAsia" w:ascii="宋体" w:hAnsi="宋体"/>
          <w:color w:val="000000" w:themeColor="text1"/>
          <w14:textFill>
            <w14:solidFill>
              <w14:schemeClr w14:val="tx1"/>
            </w14:solidFill>
          </w14:textFill>
        </w:rPr>
        <w:t>公斤</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奶类和奶制品为</w:t>
      </w:r>
      <w:r>
        <w:rPr>
          <w:rFonts w:ascii="Times New Roman" w:hAnsi="Times New Roman"/>
          <w:color w:val="000000" w:themeColor="text1"/>
          <w14:textFill>
            <w14:solidFill>
              <w14:schemeClr w14:val="tx1"/>
            </w14:solidFill>
          </w14:textFill>
        </w:rPr>
        <w:t>323</w:t>
      </w:r>
      <w:r>
        <w:rPr>
          <w:rFonts w:hint="eastAsia" w:ascii="宋体" w:hAnsi="宋体"/>
          <w:color w:val="000000" w:themeColor="text1"/>
          <w14:textFill>
            <w14:solidFill>
              <w14:schemeClr w14:val="tx1"/>
            </w14:solidFill>
          </w14:textFill>
        </w:rPr>
        <w:t>公斤</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蛋类</w:t>
      </w:r>
      <w:r>
        <w:rPr>
          <w:rFonts w:ascii="Times New Roman" w:hAnsi="Times New Roman"/>
          <w:color w:val="000000" w:themeColor="text1"/>
          <w14:textFill>
            <w14:solidFill>
              <w14:schemeClr w14:val="tx1"/>
            </w14:solidFill>
          </w14:textFill>
        </w:rPr>
        <w:t>260</w:t>
      </w:r>
      <w:r>
        <w:rPr>
          <w:rFonts w:hint="eastAsia" w:ascii="宋体" w:hAnsi="宋体"/>
          <w:color w:val="000000" w:themeColor="text1"/>
          <w14:textFill>
            <w14:solidFill>
              <w14:schemeClr w14:val="tx1"/>
            </w14:solidFill>
          </w14:textFill>
        </w:rPr>
        <w:t>个</w:t>
      </w:r>
      <w:r>
        <w:rPr>
          <w:rFonts w:ascii="Times New Roman" w:hAnsi="Times New Roman"/>
          <w:color w:val="000000" w:themeColor="text1"/>
          <w14:textFill>
            <w14:solidFill>
              <w14:schemeClr w14:val="tx1"/>
            </w14:solidFill>
          </w14:textFill>
        </w:rPr>
        <w:t>,</w:t>
      </w:r>
      <w:r>
        <w:rPr>
          <w:rFonts w:hint="eastAsia" w:ascii="宋体" w:hAnsi="宋体"/>
          <w:color w:val="000000" w:themeColor="text1"/>
          <w14:textFill>
            <w14:solidFill>
              <w14:schemeClr w14:val="tx1"/>
            </w14:solidFill>
          </w14:textFill>
        </w:rPr>
        <w:t>鱼和鱼制品为</w:t>
      </w:r>
      <w:r>
        <w:rPr>
          <w:rFonts w:ascii="Times New Roman" w:hAnsi="Times New Roman"/>
          <w:color w:val="000000" w:themeColor="text1"/>
          <w14:textFill>
            <w14:solidFill>
              <w14:schemeClr w14:val="tx1"/>
            </w14:solidFill>
          </w14:textFill>
        </w:rPr>
        <w:t>17.7</w:t>
      </w:r>
      <w:r>
        <w:rPr>
          <w:rFonts w:hint="eastAsia" w:ascii="宋体" w:hAnsi="宋体"/>
          <w:color w:val="000000" w:themeColor="text1"/>
          <w14:textFill>
            <w14:solidFill>
              <w14:schemeClr w14:val="tx1"/>
            </w14:solidFill>
          </w14:textFill>
        </w:rPr>
        <w:t>公斤，糖为</w:t>
      </w:r>
      <w:r>
        <w:rPr>
          <w:rFonts w:ascii="Times New Roman" w:hAnsi="Times New Roman"/>
          <w:color w:val="000000" w:themeColor="text1"/>
          <w14:textFill>
            <w14:solidFill>
              <w14:schemeClr w14:val="tx1"/>
            </w14:solidFill>
          </w14:textFill>
        </w:rPr>
        <w:t>42</w:t>
      </w:r>
      <w:r>
        <w:rPr>
          <w:rFonts w:hint="eastAsia" w:ascii="宋体" w:hAnsi="宋体"/>
          <w:color w:val="000000" w:themeColor="text1"/>
          <w14:textFill>
            <w14:solidFill>
              <w14:schemeClr w14:val="tx1"/>
            </w14:solidFill>
          </w14:textFill>
        </w:rPr>
        <w:t>公斤，植物油为</w:t>
      </w:r>
      <w:r>
        <w:rPr>
          <w:rFonts w:ascii="Times New Roman" w:hAnsi="Times New Roman"/>
          <w:color w:val="000000" w:themeColor="text1"/>
          <w14:textFill>
            <w14:solidFill>
              <w14:schemeClr w14:val="tx1"/>
            </w14:solidFill>
          </w14:textFill>
        </w:rPr>
        <w:t>9.7</w:t>
      </w:r>
      <w:r>
        <w:rPr>
          <w:rFonts w:hint="eastAsia" w:ascii="宋体" w:hAnsi="宋体"/>
          <w:color w:val="000000" w:themeColor="text1"/>
          <w14:textFill>
            <w14:solidFill>
              <w14:schemeClr w14:val="tx1"/>
            </w14:solidFill>
          </w14:textFill>
        </w:rPr>
        <w:t>公斤，面包制品为</w:t>
      </w:r>
      <w:r>
        <w:rPr>
          <w:rFonts w:ascii="Times New Roman" w:hAnsi="Times New Roman"/>
          <w:color w:val="000000" w:themeColor="text1"/>
          <w14:textFill>
            <w14:solidFill>
              <w14:schemeClr w14:val="tx1"/>
            </w14:solidFill>
          </w14:textFill>
        </w:rPr>
        <w:t>133</w:t>
      </w:r>
      <w:r>
        <w:rPr>
          <w:rFonts w:hint="eastAsia" w:ascii="宋体" w:hAnsi="宋体"/>
          <w:color w:val="000000" w:themeColor="text1"/>
          <w14:textFill>
            <w14:solidFill>
              <w14:schemeClr w14:val="tx1"/>
            </w14:solidFill>
          </w14:textFill>
        </w:rPr>
        <w:t>公斤。工业工人家庭的恩格尔系数</w:t>
      </w:r>
      <w:r>
        <w:rPr>
          <w:rFonts w:ascii="Times New Roman" w:hAnsi="Times New Roman"/>
          <w:color w:val="000000" w:themeColor="text1"/>
          <w14:textFill>
            <w14:solidFill>
              <w14:schemeClr w14:val="tx1"/>
            </w14:solidFill>
          </w14:textFill>
        </w:rPr>
        <w:t>1922</w:t>
      </w:r>
      <w:r>
        <w:rPr>
          <w:rFonts w:hint="eastAsia" w:ascii="宋体" w:hAnsi="宋体"/>
          <w:color w:val="000000" w:themeColor="text1"/>
          <w14:textFill>
            <w14:solidFill>
              <w14:schemeClr w14:val="tx1"/>
            </w14:solidFill>
          </w14:textFill>
        </w:rPr>
        <w:t>年为</w:t>
      </w:r>
      <w:r>
        <w:rPr>
          <w:rFonts w:ascii="Times New Roman" w:hAnsi="Times New Roman"/>
          <w:color w:val="000000" w:themeColor="text1"/>
          <w14:textFill>
            <w14:solidFill>
              <w14:schemeClr w14:val="tx1"/>
            </w14:solidFill>
          </w14:textFill>
        </w:rPr>
        <w:t>45.6%</w:t>
      </w:r>
      <w:r>
        <w:rPr>
          <w:rFonts w:hint="eastAsia" w:ascii="宋体" w:hAnsi="宋体"/>
          <w:color w:val="000000" w:themeColor="text1"/>
          <w14:textFill>
            <w14:solidFill>
              <w14:schemeClr w14:val="tx1"/>
            </w14:solidFill>
          </w14:textFill>
        </w:rPr>
        <w:t>，至</w:t>
      </w:r>
      <w:r>
        <w:rPr>
          <w:rFonts w:ascii="Times New Roman" w:hAnsi="Times New Roman"/>
          <w:color w:val="000000" w:themeColor="text1"/>
          <w14:textFill>
            <w14:solidFill>
              <w14:schemeClr w14:val="tx1"/>
            </w14:solidFill>
          </w14:textFill>
        </w:rPr>
        <w:t>1975</w:t>
      </w:r>
      <w:r>
        <w:rPr>
          <w:rFonts w:hint="eastAsia" w:ascii="宋体" w:hAnsi="宋体"/>
          <w:color w:val="000000" w:themeColor="text1"/>
          <w14:textFill>
            <w14:solidFill>
              <w14:schemeClr w14:val="tx1"/>
            </w14:solidFill>
          </w14:textFill>
        </w:rPr>
        <w:t>年下降为</w:t>
      </w:r>
      <w:r>
        <w:rPr>
          <w:rFonts w:ascii="Times New Roman" w:hAnsi="Times New Roman"/>
          <w:color w:val="000000" w:themeColor="text1"/>
          <w14:textFill>
            <w14:solidFill>
              <w14:schemeClr w14:val="tx1"/>
            </w14:solidFill>
          </w14:textFill>
        </w:rPr>
        <w:t>32.9%</w:t>
      </w:r>
      <w:r>
        <w:rPr>
          <w:rFonts w:hint="eastAsia" w:ascii="宋体" w:hAnsi="宋体"/>
          <w:color w:val="000000" w:themeColor="text1"/>
          <w14:textFill>
            <w14:solidFill>
              <w14:schemeClr w14:val="tx1"/>
            </w14:solidFill>
          </w14:textFill>
        </w:rPr>
        <w:t>。第五，</w:t>
      </w:r>
      <w:r>
        <w:rPr>
          <w:rFonts w:ascii="Times New Roman" w:hAnsi="Times New Roman"/>
          <w:color w:val="000000" w:themeColor="text1"/>
          <w14:textFill>
            <w14:solidFill>
              <w14:schemeClr w14:val="tx1"/>
            </w14:solidFill>
          </w14:textFill>
        </w:rPr>
        <w:t>1985</w:t>
      </w:r>
      <w:r>
        <w:rPr>
          <w:rFonts w:hint="eastAsia" w:ascii="宋体" w:hAnsi="宋体"/>
          <w:color w:val="000000" w:themeColor="text1"/>
          <w14:textFill>
            <w14:solidFill>
              <w14:schemeClr w14:val="tx1"/>
            </w14:solidFill>
          </w14:textFill>
        </w:rPr>
        <w:t>年，每百户城乡居民已拥有电视机</w:t>
      </w:r>
      <w:r>
        <w:rPr>
          <w:rFonts w:ascii="Times New Roman" w:hAnsi="Times New Roman"/>
          <w:color w:val="000000" w:themeColor="text1"/>
          <w14:textFill>
            <w14:solidFill>
              <w14:schemeClr w14:val="tx1"/>
            </w14:solidFill>
          </w14:textFill>
        </w:rPr>
        <w:t>97</w:t>
      </w:r>
      <w:r>
        <w:rPr>
          <w:rFonts w:hint="eastAsia" w:ascii="宋体" w:hAnsi="宋体"/>
          <w:color w:val="000000" w:themeColor="text1"/>
          <w14:textFill>
            <w14:solidFill>
              <w14:schemeClr w14:val="tx1"/>
            </w14:solidFill>
          </w14:textFill>
        </w:rPr>
        <w:t>台，冰箱</w:t>
      </w:r>
      <w:r>
        <w:rPr>
          <w:rFonts w:ascii="Times New Roman" w:hAnsi="Times New Roman"/>
          <w:color w:val="000000" w:themeColor="text1"/>
          <w14:textFill>
            <w14:solidFill>
              <w14:schemeClr w14:val="tx1"/>
            </w14:solidFill>
          </w14:textFill>
        </w:rPr>
        <w:t>90</w:t>
      </w:r>
      <w:r>
        <w:rPr>
          <w:rFonts w:hint="eastAsia" w:ascii="宋体" w:hAnsi="宋体"/>
          <w:color w:val="000000" w:themeColor="text1"/>
          <w14:textFill>
            <w14:solidFill>
              <w14:schemeClr w14:val="tx1"/>
            </w14:solidFill>
          </w14:textFill>
        </w:rPr>
        <w:t>个。</w:t>
      </w:r>
    </w:p>
    <w:p w14:paraId="16BED18D">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况且，纵观全球，自然环境、历史和现实等众多因素决定了一个国家城乡居民生活水平的高低和变化，而生活水平的高低一般不可能直接成为根本社会制度突变的主要原因。在整个</w:t>
      </w:r>
      <w:r>
        <w:rPr>
          <w:rFonts w:ascii="Times New Roman" w:hAnsi="Times New Roman"/>
          <w:color w:val="000000" w:themeColor="text1"/>
          <w14:textFill>
            <w14:solidFill>
              <w14:schemeClr w14:val="tx1"/>
            </w14:solidFill>
          </w14:textFill>
        </w:rPr>
        <w:t>20</w:t>
      </w:r>
      <w:r>
        <w:rPr>
          <w:rFonts w:hint="eastAsia" w:ascii="宋体" w:hAnsi="宋体"/>
          <w:color w:val="000000" w:themeColor="text1"/>
          <w14:textFill>
            <w14:solidFill>
              <w14:schemeClr w14:val="tx1"/>
            </w14:solidFill>
          </w14:textFill>
        </w:rPr>
        <w:t>世纪，大多数发展中的资本主义国家普通居民生活水平并没有大多数社会主义国家高，这些资本主义国家并未剧变为社会主义国家；同理，发展中的社会主义国家如果发生朝资本主义方向的剧变，也不会因为或至少不会简单地因为生活水平与发达资本主义国家有差异。</w:t>
      </w:r>
    </w:p>
    <w:p w14:paraId="5391AFBE">
      <w:pPr>
        <w:ind w:firstLine="420" w:firstLineChars="200"/>
        <w:rPr>
          <w:rFonts w:ascii="Times New Roman" w:hAnsi="Times New Roman"/>
          <w:b/>
          <w:color w:val="000000" w:themeColor="text1"/>
          <w14:textFill>
            <w14:solidFill>
              <w14:schemeClr w14:val="tx1"/>
            </w14:solidFill>
          </w14:textFill>
        </w:rPr>
      </w:pPr>
      <w:bookmarkStart w:id="1543" w:name="_Toc4740"/>
      <w:bookmarkEnd w:id="1543"/>
      <w:r>
        <w:rPr>
          <w:rFonts w:hint="eastAsia" w:ascii="宋体" w:hAnsi="宋体"/>
          <w:b/>
          <w:color w:val="000000" w:themeColor="text1"/>
          <w14:textFill>
            <w14:solidFill>
              <w14:schemeClr w14:val="tx1"/>
            </w14:solidFill>
          </w14:textFill>
        </w:rPr>
        <w:t>（五）民族宗教失策论</w:t>
      </w:r>
    </w:p>
    <w:p w14:paraId="400DDF27">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有学者认为，从彼得大帝开始，俄罗斯势力的迅速扩张，主要是俄罗斯民族靠武力征服其他不同民族的一个过程，民族矛盾积怨甚深，长达数个世纪之久。斯大林时代，中央集权过多，推行大俄罗斯主义，限制少数民族使用本民族的语言、文字，大大挫伤了民族感情。二战前后，苏联在“保卫苏联”、“巩固边疆”口号下，强制推行少数民族内迁政策，如把鞑靼人从温暖富饶的克里米亚地区赶到寒冷荒凉的中亚和西伯利亚，把高加索的印古什人和车臣人驱赶到中亚等，埋下了民族仇恨的种子。苏联长期推行民族问题阶级化的错误政策，对少数民族经济发展、风俗习惯、教育和提干等方面的歧视政策，甚至企图搞“民族同化”的做法，严重伤害了少数民族感情，增大了少数民族的离心力。所以，才导致苏联在波罗的海三国独立后，一下子分裂为</w:t>
      </w:r>
      <w:r>
        <w:rPr>
          <w:rFonts w:ascii="Times New Roman" w:hAnsi="Times New Roman"/>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个独联体国家。</w:t>
      </w:r>
    </w:p>
    <w:p w14:paraId="20DA53D4">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事实上，是历代沙皇均对被征服的民族实行压迫与奴役，煽动俄罗斯民族沙文主义情绪，致使俄罗斯民族和非俄罗斯民族之间的矛盾较为尖锐。苏联是在沙俄废墟上建立起来的联邦制国家，强调政治上的民族团结和经济上的相互支援，大大缓和了民族矛盾，没有出现大的民族闹事和冲突。只是戈尔巴乔夫背弃社会主义民族团结的“公开性、民主化”政策，才为民族主义泛滥提供了契机。例如，出现</w:t>
      </w:r>
      <w:r>
        <w:rPr>
          <w:rFonts w:ascii="Times New Roman" w:hAnsi="Times New Roman"/>
          <w:color w:val="000000" w:themeColor="text1"/>
          <w14:textFill>
            <w14:solidFill>
              <w14:schemeClr w14:val="tx1"/>
            </w14:solidFill>
          </w14:textFill>
        </w:rPr>
        <w:t>1986</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12</w:t>
      </w:r>
      <w:r>
        <w:rPr>
          <w:rFonts w:hint="eastAsia" w:ascii="宋体" w:hAnsi="宋体"/>
          <w:color w:val="000000" w:themeColor="text1"/>
          <w14:textFill>
            <w14:solidFill>
              <w14:schemeClr w14:val="tx1"/>
            </w14:solidFill>
          </w14:textFill>
        </w:rPr>
        <w:t>月的阿拉木图事件以及</w:t>
      </w:r>
      <w:r>
        <w:rPr>
          <w:rFonts w:ascii="Times New Roman" w:hAnsi="Times New Roman"/>
          <w:color w:val="000000" w:themeColor="text1"/>
          <w14:textFill>
            <w14:solidFill>
              <w14:schemeClr w14:val="tx1"/>
            </w14:solidFill>
          </w14:textFill>
        </w:rPr>
        <w:t>1987</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月的克里米亚鞑靼人大规模示威活动。叶利钦在背弃马克思主义和社会主义以后，不顾大多数苏联公民投票反对解体苏联的人民意愿，从个人利益和服从西方意图出发，在民族主义泛滥的基础上进一步推行民族分裂和苏联解体的政策，才导致苏联的最终瓦解。可见，是戈尔巴乔夫和叶利钦领导集团的错误政策导致了民族之间的冲突和民族主义的泛滥，进而导致苏联解体，而不是戈尔巴乔夫执政以前的传统民族矛盾导致民族主义泛滥和苏联解体（民族主义者自然是利用了苏联</w:t>
      </w:r>
      <w:r>
        <w:rPr>
          <w:rFonts w:ascii="Times New Roman" w:hAnsi="Times New Roman"/>
          <w:color w:val="000000" w:themeColor="text1"/>
          <w14:textFill>
            <w14:solidFill>
              <w14:schemeClr w14:val="tx1"/>
            </w14:solidFill>
          </w14:textFill>
        </w:rPr>
        <w:t>1924</w:t>
      </w:r>
      <w:r>
        <w:rPr>
          <w:rFonts w:hint="eastAsia" w:ascii="宋体" w:hAnsi="宋体"/>
          <w:color w:val="000000" w:themeColor="text1"/>
          <w14:textFill>
            <w14:solidFill>
              <w14:schemeClr w14:val="tx1"/>
            </w14:solidFill>
          </w14:textFill>
        </w:rPr>
        <w:t>年、</w:t>
      </w:r>
      <w:r>
        <w:rPr>
          <w:rFonts w:ascii="Times New Roman" w:hAnsi="Times New Roman"/>
          <w:color w:val="000000" w:themeColor="text1"/>
          <w14:textFill>
            <w14:solidFill>
              <w14:schemeClr w14:val="tx1"/>
            </w14:solidFill>
          </w14:textFill>
        </w:rPr>
        <w:t>1936</w:t>
      </w:r>
      <w:r>
        <w:rPr>
          <w:rFonts w:hint="eastAsia" w:ascii="宋体" w:hAnsi="宋体"/>
          <w:color w:val="000000" w:themeColor="text1"/>
          <w14:textFill>
            <w14:solidFill>
              <w14:schemeClr w14:val="tx1"/>
            </w14:solidFill>
          </w14:textFill>
        </w:rPr>
        <w:t>年和</w:t>
      </w:r>
      <w:r>
        <w:rPr>
          <w:rFonts w:ascii="Times New Roman" w:hAnsi="Times New Roman"/>
          <w:color w:val="000000" w:themeColor="text1"/>
          <w14:textFill>
            <w14:solidFill>
              <w14:schemeClr w14:val="tx1"/>
            </w14:solidFill>
          </w14:textFill>
        </w:rPr>
        <w:t>1977</w:t>
      </w:r>
      <w:r>
        <w:rPr>
          <w:rFonts w:hint="eastAsia" w:ascii="宋体" w:hAnsi="宋体"/>
          <w:color w:val="000000" w:themeColor="text1"/>
          <w14:textFill>
            <w14:solidFill>
              <w14:schemeClr w14:val="tx1"/>
            </w14:solidFill>
          </w14:textFill>
        </w:rPr>
        <w:t>年宪法中都明文规定的各加盟共和国享有自由退出联盟的权利。）</w:t>
      </w:r>
    </w:p>
    <w:p w14:paraId="22DF99CD">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还可以进一步分析，包括美国、英国、西班牙、印度和中国等世界上任何多民族国家的民族之间均有程度不同的矛盾，各民族地区的经济社会发展水平也不尽一致，各名族领袖想当独立国家领导人的心态也是客观存在的。问题在于，一个多民族独立国家的解体是不是由于一般民族差异和传统民族矛盾所直接造成的，则需要依据主要事实来具体研究，不宜夸大矛盾和主观臆断。此外，对马克思主义民族理论有重要发展的斯大林是格鲁吉亚人，而断定作为非俄罗斯民族的人“推行大俄罗斯主义”，这本身就值得从经验和逻辑上加以验证和推敲。</w:t>
      </w:r>
    </w:p>
    <w:p w14:paraId="34CB5786">
      <w:pPr>
        <w:spacing w:line="400" w:lineRule="exact"/>
        <w:ind w:firstLine="420" w:firstLineChars="200"/>
        <w:rPr>
          <w:rFonts w:hint="eastAsia"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也有学者把宗教政策失误作为苏联剧变和解体的主要原因，并具体归结为三个方面：一是苏联前中期的反宗教斗争的策略违反了意识形态领域的斗争规律，长期的宗教迫害反而加强了民众对苏联党和政权的离心倾向。二是苏联前中期的宗教迫害严重损害了苏联社会主义国家的形象，削弱了社会主义的号召力，为国际上反社会主义势力向苏联社会渗透制造了条件。苏联后期在“新思维”指导下大逆转的宗教政策，又使苏联逐步解除了对西方敌对势力利用宗教进行政治渗透的警觉。三是宗教问题同民族问题复杂交织，在苏联解体过程中起着推波助澜的作用。</w:t>
      </w:r>
    </w:p>
    <w:p w14:paraId="42903CFF">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我们认为，用科学的世界观、人生观和价值观取代宗教信仰，是一个漫长的理论传播和思想教育过程，而且还需要一定的经济政治条件和国际环境。苏共及其政府未看到这一过程的长期性和艰巨性，急于用各种手段消除群众的宗教信仰，对宗教组织和神职人员实行过于严厉的政策，确实是苏共、苏联政府在宗教政策上的一个失误。但问题在于，传统社会主义较为严厉的宗教政策会不会必然导致苏联剧变和解体呢？假如苏联没有较严厉的宗教政策这一失误，戈尔巴乔夫领导集团就不会攻击马克思主义和社会主义、推行完全自由放任的宗教政策，并促使苏联剧变和解体了？西方敌对势力就不会利用宗教来进行颠覆苏联的思想和信仰渗透了？正确的答案是不说自明的。</w:t>
      </w:r>
    </w:p>
    <w:p w14:paraId="133F5BC9">
      <w:pPr>
        <w:spacing w:line="400" w:lineRule="exact"/>
        <w:ind w:firstLine="420" w:firstLineChars="200"/>
        <w:rPr>
          <w:rFonts w:ascii="Times New Roman" w:hAnsi="Times New Roman"/>
          <w:color w:val="000000" w:themeColor="text1"/>
          <w14:textFill>
            <w14:solidFill>
              <w14:schemeClr w14:val="tx1"/>
            </w14:solidFill>
          </w14:textFill>
        </w:rPr>
      </w:pPr>
      <w:r>
        <w:rPr>
          <w:rFonts w:ascii="Times New Roman" w:hAnsi="Times New Roman"/>
          <w:color w:val="000000" w:themeColor="text1"/>
          <w14:textFill>
            <w14:solidFill>
              <w14:schemeClr w14:val="tx1"/>
            </w14:solidFill>
          </w14:textFill>
        </w:rPr>
        <w:t xml:space="preserve"> </w:t>
      </w:r>
    </w:p>
    <w:p w14:paraId="73B8A27D">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（原载《中国社会科学》</w:t>
      </w:r>
      <w:r>
        <w:rPr>
          <w:rFonts w:ascii="Times New Roman" w:hAnsi="Times New Roman"/>
          <w:color w:val="000000" w:themeColor="text1"/>
          <w14:textFill>
            <w14:solidFill>
              <w14:schemeClr w14:val="tx1"/>
            </w14:solidFill>
          </w14:textFill>
        </w:rPr>
        <w:t>2011</w:t>
      </w:r>
      <w:r>
        <w:rPr>
          <w:rFonts w:hint="eastAsia" w:ascii="宋体" w:hAnsi="宋体"/>
          <w:color w:val="000000" w:themeColor="text1"/>
          <w14:textFill>
            <w14:solidFill>
              <w14:schemeClr w14:val="tx1"/>
            </w14:solidFill>
          </w14:textFill>
        </w:rPr>
        <w:t>年第</w:t>
      </w:r>
      <w:r>
        <w:rPr>
          <w:rFonts w:ascii="Times New Roman" w:hAnsi="Times New Roman"/>
          <w:color w:val="000000" w:themeColor="text1"/>
          <w14:textFill>
            <w14:solidFill>
              <w14:schemeClr w14:val="tx1"/>
            </w14:solidFill>
          </w14:textFill>
        </w:rPr>
        <w:t>6</w:t>
      </w:r>
      <w:r>
        <w:rPr>
          <w:rFonts w:hint="eastAsia" w:ascii="宋体" w:hAnsi="宋体"/>
          <w:color w:val="000000" w:themeColor="text1"/>
          <w14:textFill>
            <w14:solidFill>
              <w14:schemeClr w14:val="tx1"/>
            </w14:solidFill>
          </w14:textFill>
        </w:rPr>
        <w:t>期，第二作者为丁军）</w:t>
      </w:r>
    </w:p>
    <w:p w14:paraId="43C3728D">
      <w:pPr>
        <w:spacing w:line="400" w:lineRule="exact"/>
        <w:ind w:firstLine="420" w:firstLineChars="200"/>
        <w:rPr>
          <w:rFonts w:ascii="Times New Roman" w:hAnsi="Times New Roman"/>
          <w:color w:val="000000" w:themeColor="text1"/>
          <w14:textFill>
            <w14:solidFill>
              <w14:schemeClr w14:val="tx1"/>
            </w14:solidFill>
          </w14:textFill>
        </w:rPr>
      </w:pPr>
      <w:r>
        <w:rPr>
          <w:rFonts w:hint="eastAsia" w:ascii="宋体" w:hAnsi="宋体" w:cs="A9+cajcd fnta1"/>
          <w:color w:val="000000" w:themeColor="text1"/>
          <w:kern w:val="0"/>
          <w14:textFill>
            <w14:solidFill>
              <w14:schemeClr w14:val="tx1"/>
            </w14:solidFill>
          </w14:textFill>
        </w:rPr>
        <w:br w:type="page"/>
      </w:r>
    </w:p>
    <w:p w14:paraId="21810226">
      <w:pPr>
        <w:pStyle w:val="3"/>
        <w:ind w:firstLine="640" w:firstLineChars="200"/>
        <w:outlineLvl w:val="1"/>
        <w:rPr>
          <w:rFonts w:hint="eastAsia"/>
          <w:color w:val="000000" w:themeColor="text1"/>
          <w14:textFill>
            <w14:solidFill>
              <w14:schemeClr w14:val="tx1"/>
            </w14:solidFill>
          </w14:textFill>
        </w:rPr>
      </w:pPr>
      <w:bookmarkStart w:id="1544" w:name="_Toc114057788"/>
      <w:bookmarkStart w:id="1545" w:name="_Toc8284"/>
      <w:bookmarkStart w:id="1546" w:name="_Toc11705221"/>
      <w:bookmarkStart w:id="1547" w:name="_Toc31953857"/>
      <w:r>
        <w:rPr>
          <w:rFonts w:ascii="黑体" w:hAnsi="黑体"/>
          <w:color w:val="000000" w:themeColor="text1"/>
          <w14:textFill>
            <w14:solidFill>
              <w14:schemeClr w14:val="tx1"/>
            </w14:solidFill>
          </w14:textFill>
        </w:rPr>
        <w:t>1</w:t>
      </w:r>
      <w:r>
        <w:rPr>
          <w:rFonts w:hint="eastAsia" w:ascii="黑体" w:hAnsi="黑体"/>
          <w:color w:val="000000" w:themeColor="text1"/>
          <w:lang w:val="en-US" w:eastAsia="zh-CN"/>
          <w14:textFill>
            <w14:solidFill>
              <w14:schemeClr w14:val="tx1"/>
            </w14:solidFill>
          </w14:textFill>
        </w:rPr>
        <w:t>8</w:t>
      </w:r>
      <w:r>
        <w:rPr>
          <w:rFonts w:hint="eastAsia" w:ascii="黑体" w:hAnsi="黑体"/>
          <w:color w:val="000000" w:themeColor="text1"/>
          <w14:textFill>
            <w14:solidFill>
              <w14:schemeClr w14:val="tx1"/>
            </w14:solidFill>
          </w14:textFill>
        </w:rPr>
        <w:t>面对各种挑战，继续坚持和完善社会主义经济体制和机制</w:t>
      </w:r>
      <w:bookmarkEnd w:id="1544"/>
      <w:bookmarkEnd w:id="1545"/>
      <w:bookmarkEnd w:id="1546"/>
      <w:bookmarkEnd w:id="1547"/>
    </w:p>
    <w:p w14:paraId="0BA40368">
      <w:pPr>
        <w:autoSpaceDE w:val="0"/>
        <w:autoSpaceDN w:val="0"/>
        <w:adjustRightInd w:val="0"/>
        <w:spacing w:line="400" w:lineRule="exact"/>
        <w:ind w:firstLine="420" w:firstLineChars="200"/>
        <w:jc w:val="left"/>
        <w:rPr>
          <w:rFonts w:ascii="宋体" w:hAnsi="宋体" w:cs="FZXBSK--GBK1-00+ZBNFQG-3"/>
          <w:color w:val="000000" w:themeColor="text1"/>
          <w14:textFill>
            <w14:solidFill>
              <w14:schemeClr w14:val="tx1"/>
            </w14:solidFill>
          </w14:textFill>
        </w:rPr>
      </w:pPr>
      <w:r>
        <w:rPr>
          <w:rFonts w:hint="eastAsia" w:ascii="宋体" w:hAnsi="宋体" w:cs="E-BZ+ZBNFQH-6"/>
          <w:color w:val="000000" w:themeColor="text1"/>
          <w14:textFill>
            <w14:solidFill>
              <w14:schemeClr w14:val="tx1"/>
            </w14:solidFill>
          </w14:textFill>
        </w:rPr>
        <w:t>20</w:t>
      </w:r>
      <w:r>
        <w:rPr>
          <w:rFonts w:hint="eastAsia" w:ascii="宋体" w:hAnsi="宋体" w:cs="SSJ4+ZBNFQG-1"/>
          <w:color w:val="000000" w:themeColor="text1"/>
          <w14:textFill>
            <w14:solidFill>
              <w14:schemeClr w14:val="tx1"/>
            </w14:solidFill>
          </w14:textFill>
        </w:rPr>
        <w:t>世</w:t>
      </w:r>
      <w:r>
        <w:rPr>
          <w:rFonts w:hint="eastAsia" w:ascii="宋体" w:hAnsi="宋体" w:cs="FZSSK--GBK1-00+ZBNFQH-7"/>
          <w:color w:val="000000" w:themeColor="text1"/>
          <w14:textFill>
            <w14:solidFill>
              <w14:schemeClr w14:val="tx1"/>
            </w14:solidFill>
          </w14:textFill>
        </w:rPr>
        <w:t>纪</w:t>
      </w:r>
      <w:r>
        <w:rPr>
          <w:rFonts w:hint="eastAsia" w:ascii="宋体" w:hAnsi="宋体" w:cs="E-BZ+ZBNFQH-6"/>
          <w:color w:val="000000" w:themeColor="text1"/>
          <w14:textFill>
            <w14:solidFill>
              <w14:schemeClr w14:val="tx1"/>
            </w14:solidFill>
          </w14:textFill>
        </w:rPr>
        <w:t>80</w:t>
      </w:r>
      <w:r>
        <w:rPr>
          <w:rFonts w:hint="eastAsia" w:ascii="宋体" w:hAnsi="宋体" w:cs="FZSSK--GBK1-00+ZBNFQH-5"/>
          <w:color w:val="000000" w:themeColor="text1"/>
          <w14:textFill>
            <w14:solidFill>
              <w14:schemeClr w14:val="tx1"/>
            </w14:solidFill>
          </w14:textFill>
        </w:rPr>
        <w:t>年代</w:t>
      </w:r>
      <w:r>
        <w:rPr>
          <w:rFonts w:hint="eastAsia" w:ascii="宋体" w:hAnsi="宋体" w:cs="FZSSK--GBK1-00+ZBNFQI-9"/>
          <w:color w:val="000000" w:themeColor="text1"/>
          <w14:textFill>
            <w14:solidFill>
              <w14:schemeClr w14:val="tx1"/>
            </w14:solidFill>
          </w14:textFill>
        </w:rPr>
        <w:t>初</w:t>
      </w:r>
      <w:r>
        <w:rPr>
          <w:rFonts w:hint="eastAsia" w:ascii="宋体" w:hAnsi="宋体" w:cs="FZSSK--GBK1-00+ZBNFQH-5"/>
          <w:color w:val="000000" w:themeColor="text1"/>
          <w14:textFill>
            <w14:solidFill>
              <w14:schemeClr w14:val="tx1"/>
            </w14:solidFill>
          </w14:textFill>
        </w:rPr>
        <w:t>到</w:t>
      </w:r>
      <w:r>
        <w:rPr>
          <w:rFonts w:hint="eastAsia" w:ascii="宋体" w:hAnsi="宋体" w:cs="E-BZ+ZBNFQH-6"/>
          <w:color w:val="000000" w:themeColor="text1"/>
          <w14:textFill>
            <w14:solidFill>
              <w14:schemeClr w14:val="tx1"/>
            </w14:solidFill>
          </w14:textFill>
        </w:rPr>
        <w:t>2007</w:t>
      </w:r>
      <w:r>
        <w:rPr>
          <w:rFonts w:hint="eastAsia" w:ascii="宋体" w:hAnsi="宋体" w:cs="FZSSK--GBK1-00+ZBNFQH-5"/>
          <w:color w:val="000000" w:themeColor="text1"/>
          <w14:textFill>
            <w14:solidFill>
              <w14:schemeClr w14:val="tx1"/>
            </w14:solidFill>
          </w14:textFill>
        </w:rPr>
        <w:t>年美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5"/>
          <w:color w:val="000000" w:themeColor="text1"/>
          <w14:textFill>
            <w14:solidFill>
              <w14:schemeClr w14:val="tx1"/>
            </w14:solidFill>
          </w14:textFill>
        </w:rPr>
        <w:t>金融危</w:t>
      </w:r>
      <w:r>
        <w:rPr>
          <w:rFonts w:hint="eastAsia" w:ascii="宋体" w:hAnsi="宋体" w:cs="SSJ4+ZBNFQG-1"/>
          <w:color w:val="000000" w:themeColor="text1"/>
          <w14:textFill>
            <w14:solidFill>
              <w14:schemeClr w14:val="tx1"/>
            </w14:solidFill>
          </w14:textFill>
        </w:rPr>
        <w:t>机</w:t>
      </w:r>
      <w:r>
        <w:rPr>
          <w:rFonts w:hint="eastAsia" w:ascii="宋体" w:hAnsi="宋体" w:cs="FZSSK--GBK1-00+ZBNFQH-7"/>
          <w:color w:val="000000" w:themeColor="text1"/>
          <w14:textFill>
            <w14:solidFill>
              <w14:schemeClr w14:val="tx1"/>
            </w14:solidFill>
          </w14:textFill>
        </w:rPr>
        <w:t>爆</w:t>
      </w:r>
      <w:r>
        <w:rPr>
          <w:rFonts w:hint="eastAsia" w:ascii="宋体" w:hAnsi="宋体" w:cs="SSJ4+ZBNFQG-1"/>
          <w:color w:val="000000" w:themeColor="text1"/>
          <w14:textFill>
            <w14:solidFill>
              <w14:schemeClr w14:val="tx1"/>
            </w14:solidFill>
          </w14:textFill>
        </w:rPr>
        <w:t>发，世界资本主义</w:t>
      </w:r>
      <w:r>
        <w:rPr>
          <w:rFonts w:hint="eastAsia" w:ascii="宋体" w:hAnsi="宋体" w:cs="FZSSK--GBK1-00+ZBNFQI-9"/>
          <w:color w:val="000000" w:themeColor="text1"/>
          <w14:textFill>
            <w14:solidFill>
              <w14:schemeClr w14:val="tx1"/>
            </w14:solidFill>
          </w14:textFill>
        </w:rPr>
        <w:t>占</w:t>
      </w:r>
      <w:r>
        <w:rPr>
          <w:rFonts w:hint="eastAsia" w:ascii="宋体" w:hAnsi="宋体" w:cs="SSJ4+ZBNFQG-1"/>
          <w:color w:val="000000" w:themeColor="text1"/>
          <w14:textFill>
            <w14:solidFill>
              <w14:schemeClr w14:val="tx1"/>
            </w14:solidFill>
          </w14:textFill>
        </w:rPr>
        <w:t>主</w:t>
      </w:r>
      <w:r>
        <w:rPr>
          <w:rFonts w:hint="eastAsia" w:ascii="宋体" w:hAnsi="宋体" w:cs="FZSSK--GBK1-00+ZBNFQH-8"/>
          <w:color w:val="000000" w:themeColor="text1"/>
          <w14:textFill>
            <w14:solidFill>
              <w14:schemeClr w14:val="tx1"/>
            </w14:solidFill>
          </w14:textFill>
        </w:rPr>
        <w:t>导</w:t>
      </w:r>
      <w:r>
        <w:rPr>
          <w:rFonts w:hint="eastAsia" w:ascii="宋体" w:hAnsi="宋体" w:cs="FZSSK--GBK1-00+ZBNFQI-10"/>
          <w:color w:val="000000" w:themeColor="text1"/>
          <w14:textFill>
            <w14:solidFill>
              <w14:schemeClr w14:val="tx1"/>
            </w14:solidFill>
          </w14:textFill>
        </w:rPr>
        <w:t>地</w:t>
      </w:r>
      <w:r>
        <w:rPr>
          <w:rFonts w:hint="eastAsia" w:ascii="宋体" w:hAnsi="宋体" w:cs="FZSSK--GBK1-00+ZBNFQJ-12"/>
          <w:color w:val="000000" w:themeColor="text1"/>
          <w14:textFill>
            <w14:solidFill>
              <w14:schemeClr w14:val="tx1"/>
            </w14:solidFill>
          </w14:textFill>
        </w:rPr>
        <w:t>位</w:t>
      </w:r>
      <w:r>
        <w:rPr>
          <w:rFonts w:hint="eastAsia" w:ascii="宋体" w:hAnsi="宋体" w:cs="SSJ4+ZBNFQG-1"/>
          <w:color w:val="000000" w:themeColor="text1"/>
          <w14:textFill>
            <w14:solidFill>
              <w14:schemeClr w14:val="tx1"/>
            </w14:solidFill>
          </w14:textFill>
        </w:rPr>
        <w:t>的</w:t>
      </w:r>
      <w:r>
        <w:rPr>
          <w:rFonts w:hint="eastAsia" w:ascii="宋体" w:hAnsi="宋体" w:cs="FZSSK--GBK1-00+ZBNFQI-10"/>
          <w:color w:val="000000" w:themeColor="text1"/>
          <w14:textFill>
            <w14:solidFill>
              <w14:schemeClr w14:val="tx1"/>
            </w14:solidFill>
          </w14:textFill>
        </w:rPr>
        <w:t>积</w:t>
      </w:r>
      <w:r>
        <w:rPr>
          <w:rFonts w:hint="eastAsia" w:ascii="宋体" w:hAnsi="宋体" w:cs="FZSSK--GBK1-00+ZBNFQM-17"/>
          <w:color w:val="000000" w:themeColor="text1"/>
          <w14:textFill>
            <w14:solidFill>
              <w14:schemeClr w14:val="tx1"/>
            </w14:solidFill>
          </w14:textFill>
        </w:rPr>
        <w:t>累</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是新自由主义，但是</w:t>
      </w:r>
      <w:r>
        <w:rPr>
          <w:rFonts w:hint="eastAsia" w:ascii="宋体" w:hAnsi="宋体" w:cs="FZSSK--GBK1-00+ZBNFQH-5"/>
          <w:color w:val="000000" w:themeColor="text1"/>
          <w14:textFill>
            <w14:solidFill>
              <w14:schemeClr w14:val="tx1"/>
            </w14:solidFill>
          </w14:textFill>
        </w:rPr>
        <w:t>它</w:t>
      </w:r>
      <w:r>
        <w:rPr>
          <w:rFonts w:hint="eastAsia" w:ascii="宋体" w:hAnsi="宋体" w:cs="FZSSK--GBK1-00+ZBNFQH-8"/>
          <w:color w:val="000000" w:themeColor="text1"/>
          <w14:textFill>
            <w14:solidFill>
              <w14:schemeClr w14:val="tx1"/>
            </w14:solidFill>
          </w14:textFill>
        </w:rPr>
        <w:t>并</w:t>
      </w:r>
      <w:r>
        <w:rPr>
          <w:rFonts w:hint="eastAsia" w:ascii="宋体" w:hAnsi="宋体" w:cs="FZSSK--GBK1-00+ZBNFQH-5"/>
          <w:color w:val="000000" w:themeColor="text1"/>
          <w14:textFill>
            <w14:solidFill>
              <w14:schemeClr w14:val="tx1"/>
            </w14:solidFill>
          </w14:textFill>
        </w:rPr>
        <w:t>没</w:t>
      </w:r>
      <w:r>
        <w:rPr>
          <w:rFonts w:hint="eastAsia" w:ascii="宋体" w:hAnsi="宋体" w:cs="SSJ4+ZBNFQG-1"/>
          <w:color w:val="000000" w:themeColor="text1"/>
          <w14:textFill>
            <w14:solidFill>
              <w14:schemeClr w14:val="tx1"/>
            </w14:solidFill>
          </w14:textFill>
        </w:rPr>
        <w:t>有</w:t>
      </w:r>
      <w:r>
        <w:rPr>
          <w:rFonts w:hint="eastAsia" w:ascii="宋体" w:hAnsi="宋体" w:cs="FZSSK--GBK1-00+ZBNFQJ-12"/>
          <w:color w:val="000000" w:themeColor="text1"/>
          <w14:textFill>
            <w14:solidFill>
              <w14:schemeClr w14:val="tx1"/>
            </w14:solidFill>
          </w14:textFill>
        </w:rPr>
        <w:t>给</w:t>
      </w:r>
      <w:r>
        <w:rPr>
          <w:rFonts w:hint="eastAsia" w:ascii="宋体" w:hAnsi="宋体" w:cs="SSJ4+ZBNFQG-1"/>
          <w:color w:val="000000" w:themeColor="text1"/>
          <w14:textFill>
            <w14:solidFill>
              <w14:schemeClr w14:val="tx1"/>
            </w14:solidFill>
          </w14:textFill>
        </w:rPr>
        <w:t>世界经</w:t>
      </w:r>
      <w:r>
        <w:rPr>
          <w:rFonts w:hint="eastAsia" w:ascii="宋体" w:hAnsi="宋体" w:cs="FZSSK--GBK1-00+ZBNFQH-7"/>
          <w:color w:val="000000" w:themeColor="text1"/>
          <w14:textFill>
            <w14:solidFill>
              <w14:schemeClr w14:val="tx1"/>
            </w14:solidFill>
          </w14:textFill>
        </w:rPr>
        <w:t>济带</w:t>
      </w:r>
      <w:r>
        <w:rPr>
          <w:rFonts w:hint="eastAsia" w:ascii="宋体" w:hAnsi="宋体" w:cs="SSJ4+ZBNFQG-1"/>
          <w:color w:val="000000" w:themeColor="text1"/>
          <w14:textFill>
            <w14:solidFill>
              <w14:schemeClr w14:val="tx1"/>
            </w14:solidFill>
          </w14:textFill>
        </w:rPr>
        <w:t>来</w:t>
      </w:r>
      <w:r>
        <w:rPr>
          <w:rFonts w:hint="eastAsia" w:ascii="宋体" w:hAnsi="宋体" w:cs="FZSSK--GBK1-00+ZBNFQH-8"/>
          <w:color w:val="000000" w:themeColor="text1"/>
          <w14:textFill>
            <w14:solidFill>
              <w14:schemeClr w14:val="tx1"/>
            </w14:solidFill>
          </w14:textFill>
        </w:rPr>
        <w:t>繁荣</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却</w:t>
      </w:r>
      <w:r>
        <w:rPr>
          <w:rFonts w:hint="eastAsia" w:ascii="宋体" w:hAnsi="宋体" w:cs="FZSSK--GBK1-00+ZBNFQH-8"/>
          <w:color w:val="000000" w:themeColor="text1"/>
          <w14:textFill>
            <w14:solidFill>
              <w14:schemeClr w14:val="tx1"/>
            </w14:solidFill>
          </w14:textFill>
        </w:rPr>
        <w:t>导致</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FZSSK--GBK1-00+ZBNFQI-10"/>
          <w:color w:val="000000" w:themeColor="text1"/>
          <w14:textFill>
            <w14:solidFill>
              <w14:schemeClr w14:val="tx1"/>
            </w14:solidFill>
          </w14:textFill>
        </w:rPr>
        <w:t>地区</w:t>
      </w:r>
      <w:r>
        <w:rPr>
          <w:rFonts w:hint="eastAsia" w:ascii="宋体" w:hAnsi="宋体" w:cs="FZSSK--GBK1-00+ZBNFQI-9"/>
          <w:color w:val="000000" w:themeColor="text1"/>
          <w14:textFill>
            <w14:solidFill>
              <w14:schemeClr w14:val="tx1"/>
            </w14:solidFill>
          </w14:textFill>
        </w:rPr>
        <w:t>差距</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I-9"/>
          <w:color w:val="000000" w:themeColor="text1"/>
          <w14:textFill>
            <w14:solidFill>
              <w14:schemeClr w14:val="tx1"/>
            </w14:solidFill>
          </w14:textFill>
        </w:rPr>
        <w:t>差距</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J-13"/>
          <w:color w:val="000000" w:themeColor="text1"/>
          <w14:textFill>
            <w14:solidFill>
              <w14:schemeClr w14:val="tx1"/>
            </w14:solidFill>
          </w14:textFill>
        </w:rPr>
        <w:t>族</w:t>
      </w:r>
      <w:r>
        <w:rPr>
          <w:rFonts w:hint="eastAsia" w:ascii="宋体" w:hAnsi="宋体" w:cs="FZSSK--GBK1-00+ZBNFQI-9"/>
          <w:color w:val="000000" w:themeColor="text1"/>
          <w14:textFill>
            <w14:solidFill>
              <w14:schemeClr w14:val="tx1"/>
            </w14:solidFill>
          </w14:textFill>
        </w:rPr>
        <w:t>差距</w:t>
      </w:r>
      <w:r>
        <w:rPr>
          <w:rFonts w:hint="eastAsia" w:ascii="宋体" w:hAnsi="宋体" w:cs="SSJ4+ZBNFQG-1"/>
          <w:color w:val="000000" w:themeColor="text1"/>
          <w14:textFill>
            <w14:solidFill>
              <w14:schemeClr w14:val="tx1"/>
            </w14:solidFill>
          </w14:textFill>
        </w:rPr>
        <w:t>和阶</w:t>
      </w:r>
      <w:r>
        <w:rPr>
          <w:rFonts w:hint="eastAsia" w:ascii="宋体" w:hAnsi="宋体" w:cs="FZSSK--GBK1-00+ZBNFQH-7"/>
          <w:color w:val="000000" w:themeColor="text1"/>
          <w14:textFill>
            <w14:solidFill>
              <w14:schemeClr w14:val="tx1"/>
            </w14:solidFill>
          </w14:textFill>
        </w:rPr>
        <w:t>级</w:t>
      </w:r>
      <w:r>
        <w:rPr>
          <w:rFonts w:hint="eastAsia" w:ascii="宋体" w:hAnsi="宋体" w:cs="FZSSK--GBK1-00+ZBNFQI-9"/>
          <w:color w:val="000000" w:themeColor="text1"/>
          <w14:textFill>
            <w14:solidFill>
              <w14:schemeClr w14:val="tx1"/>
            </w14:solidFill>
          </w14:textFill>
        </w:rPr>
        <w:t>差距</w:t>
      </w:r>
      <w:r>
        <w:rPr>
          <w:rFonts w:hint="eastAsia" w:ascii="宋体" w:hAnsi="宋体" w:cs="FZSSK--GBK1-00+ZBNFQH-8"/>
          <w:color w:val="000000" w:themeColor="text1"/>
          <w14:textFill>
            <w14:solidFill>
              <w14:schemeClr w14:val="tx1"/>
            </w14:solidFill>
          </w14:textFill>
        </w:rPr>
        <w:t>越</w:t>
      </w:r>
      <w:r>
        <w:rPr>
          <w:rFonts w:hint="eastAsia" w:ascii="宋体" w:hAnsi="宋体" w:cs="SSJ4+ZBNFQG-1"/>
          <w:color w:val="000000" w:themeColor="text1"/>
          <w14:textFill>
            <w14:solidFill>
              <w14:schemeClr w14:val="tx1"/>
            </w14:solidFill>
          </w14:textFill>
        </w:rPr>
        <w:t>来</w:t>
      </w:r>
      <w:r>
        <w:rPr>
          <w:rFonts w:hint="eastAsia" w:ascii="宋体" w:hAnsi="宋体" w:cs="FZSSK--GBK1-00+ZBNFQH-8"/>
          <w:color w:val="000000" w:themeColor="text1"/>
          <w14:textFill>
            <w14:solidFill>
              <w14:schemeClr w14:val="tx1"/>
            </w14:solidFill>
          </w14:textFill>
        </w:rPr>
        <w:t>越</w:t>
      </w:r>
      <w:r>
        <w:rPr>
          <w:rFonts w:hint="eastAsia" w:ascii="宋体" w:hAnsi="宋体" w:cs="SSJ4+ZBNFQG-1"/>
          <w:color w:val="000000" w:themeColor="text1"/>
          <w14:textFill>
            <w14:solidFill>
              <w14:schemeClr w14:val="tx1"/>
            </w14:solidFill>
          </w14:textFill>
        </w:rPr>
        <w:t>大，</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FZSSK--GBK1-00+ZBNFQH-7"/>
          <w:color w:val="000000" w:themeColor="text1"/>
          <w14:textFill>
            <w14:solidFill>
              <w14:schemeClr w14:val="tx1"/>
            </w14:solidFill>
          </w14:textFill>
        </w:rPr>
        <w:t>性</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和</w:t>
      </w:r>
      <w:r>
        <w:rPr>
          <w:rFonts w:hint="eastAsia" w:ascii="宋体" w:hAnsi="宋体" w:cs="FZSSK--GBK1-00+ZBNFQH-7"/>
          <w:color w:val="000000" w:themeColor="text1"/>
          <w14:textFill>
            <w14:solidFill>
              <w14:schemeClr w14:val="tx1"/>
            </w14:solidFill>
          </w14:textFill>
        </w:rPr>
        <w:t>政治</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7"/>
          <w:color w:val="000000" w:themeColor="text1"/>
          <w14:textFill>
            <w14:solidFill>
              <w14:schemeClr w14:val="tx1"/>
            </w14:solidFill>
          </w14:textFill>
        </w:rPr>
        <w:t>荡</w:t>
      </w:r>
      <w:r>
        <w:rPr>
          <w:rFonts w:hint="eastAsia" w:ascii="宋体" w:hAnsi="宋体" w:cs="FZSSK--GBK1-00+ZBNFQI-9"/>
          <w:color w:val="000000" w:themeColor="text1"/>
          <w14:textFill>
            <w14:solidFill>
              <w14:schemeClr w14:val="tx1"/>
            </w14:solidFill>
          </w14:textFill>
        </w:rPr>
        <w:t>愈</w:t>
      </w:r>
      <w:r>
        <w:rPr>
          <w:rFonts w:hint="eastAsia" w:ascii="宋体" w:hAnsi="宋体" w:cs="FZSSK--GBK1-00+ZBNFQH-8"/>
          <w:color w:val="000000" w:themeColor="text1"/>
          <w14:textFill>
            <w14:solidFill>
              <w14:schemeClr w14:val="tx1"/>
            </w14:solidFill>
          </w14:textFill>
        </w:rPr>
        <w:t>演</w:t>
      </w:r>
      <w:r>
        <w:rPr>
          <w:rFonts w:hint="eastAsia" w:ascii="宋体" w:hAnsi="宋体" w:cs="FZSSK--GBK1-00+ZBNFQI-9"/>
          <w:color w:val="000000" w:themeColor="text1"/>
          <w14:textFill>
            <w14:solidFill>
              <w14:schemeClr w14:val="tx1"/>
            </w14:solidFill>
          </w14:textFill>
        </w:rPr>
        <w:t>愈</w:t>
      </w:r>
      <w:r>
        <w:rPr>
          <w:rFonts w:hint="eastAsia" w:ascii="宋体" w:hAnsi="宋体" w:cs="FZSSK--GBK1-00+ZBNFQH-7"/>
          <w:color w:val="000000" w:themeColor="text1"/>
          <w14:textFill>
            <w14:solidFill>
              <w14:schemeClr w14:val="tx1"/>
            </w14:solidFill>
          </w14:textFill>
        </w:rPr>
        <w:t>烈</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断</w:t>
      </w:r>
      <w:r>
        <w:rPr>
          <w:rFonts w:hint="eastAsia" w:ascii="宋体" w:hAnsi="宋体" w:cs="FZSSK--GBK1-00+ZBNFQI-9"/>
          <w:color w:val="000000" w:themeColor="text1"/>
          <w14:textFill>
            <w14:solidFill>
              <w14:schemeClr w14:val="tx1"/>
            </w14:solidFill>
          </w14:textFill>
        </w:rPr>
        <w:t>言</w:t>
      </w:r>
      <w:r>
        <w:rPr>
          <w:rFonts w:hint="eastAsia" w:ascii="宋体" w:hAnsi="宋体" w:cs="SSJ4+ZBNFQG-1"/>
          <w:color w:val="000000" w:themeColor="text1"/>
          <w14:textFill>
            <w14:solidFill>
              <w14:schemeClr w14:val="tx1"/>
            </w14:solidFill>
          </w14:textFill>
        </w:rPr>
        <w:t>资本主义</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有化和</w:t>
      </w:r>
      <w:r>
        <w:rPr>
          <w:rFonts w:hint="eastAsia" w:ascii="宋体" w:hAnsi="宋体" w:cs="FZSSK--GBK1-00+ZBNFQH-8"/>
          <w:color w:val="000000" w:themeColor="text1"/>
          <w14:textFill>
            <w14:solidFill>
              <w14:schemeClr w14:val="tx1"/>
            </w14:solidFill>
          </w14:textFill>
        </w:rPr>
        <w:t>西方</w:t>
      </w:r>
      <w:r>
        <w:rPr>
          <w:rFonts w:hint="eastAsia" w:ascii="宋体" w:hAnsi="宋体" w:cs="SSJ4+ZBNFQG-1"/>
          <w:color w:val="000000" w:themeColor="text1"/>
          <w14:textFill>
            <w14:solidFill>
              <w14:schemeClr w14:val="tx1"/>
            </w14:solidFill>
          </w14:textFill>
        </w:rPr>
        <w:t>自由</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主</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为</w:t>
      </w:r>
      <w:r>
        <w:rPr>
          <w:rFonts w:hint="eastAsia" w:ascii="宋体" w:hAnsi="宋体" w:cs="FZSSK--GBK1-00+ZBNFQH-5"/>
          <w:color w:val="000000" w:themeColor="text1"/>
          <w14:textFill>
            <w14:solidFill>
              <w14:schemeClr w14:val="tx1"/>
            </w14:solidFill>
          </w14:textFill>
        </w:rPr>
        <w:t>人类</w:t>
      </w:r>
      <w:r>
        <w:rPr>
          <w:rFonts w:hint="eastAsia" w:ascii="宋体" w:hAnsi="宋体" w:cs="FZSSK--GBK1-00+ZBNFQH-8"/>
          <w:color w:val="000000" w:themeColor="text1"/>
          <w14:textFill>
            <w14:solidFill>
              <w14:schemeClr w14:val="tx1"/>
            </w14:solidFill>
          </w14:textFill>
        </w:rPr>
        <w:t>方</w:t>
      </w:r>
      <w:r>
        <w:rPr>
          <w:rFonts w:hint="eastAsia" w:ascii="宋体" w:hAnsi="宋体" w:cs="FZSSK--GBK1-00+ZBNFQI-10"/>
          <w:color w:val="000000" w:themeColor="text1"/>
          <w14:textFill>
            <w14:solidFill>
              <w14:schemeClr w14:val="tx1"/>
            </w14:solidFill>
          </w14:textFill>
        </w:rPr>
        <w:t>向</w:t>
      </w:r>
      <w:r>
        <w:rPr>
          <w:rFonts w:hint="eastAsia" w:ascii="宋体" w:hAnsi="宋体" w:cs="FZSSK--GBK1-00+ZBNFQH-5"/>
          <w:color w:val="000000" w:themeColor="text1"/>
          <w14:textFill>
            <w14:solidFill>
              <w14:schemeClr w14:val="tx1"/>
            </w14:solidFill>
          </w14:textFill>
        </w:rPr>
        <w:t>一类</w:t>
      </w:r>
      <w:r>
        <w:rPr>
          <w:rFonts w:hint="eastAsia" w:ascii="宋体" w:hAnsi="宋体" w:cs="SSJ4+ZBNFQG-1"/>
          <w:color w:val="000000" w:themeColor="text1"/>
          <w14:textFill>
            <w14:solidFill>
              <w14:schemeClr w14:val="tx1"/>
            </w14:solidFill>
          </w14:textFill>
        </w:rPr>
        <w:t>的所</w:t>
      </w:r>
      <w:r>
        <w:rPr>
          <w:rFonts w:hint="eastAsia" w:ascii="宋体" w:hAnsi="宋体" w:cs="FZSSK--GBK1-00+ZBNFQJ-12"/>
          <w:color w:val="000000" w:themeColor="text1"/>
          <w14:textFill>
            <w14:solidFill>
              <w14:schemeClr w14:val="tx1"/>
            </w14:solidFill>
          </w14:textFill>
        </w:rPr>
        <w:t>谓</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普</w:t>
      </w:r>
      <w:r>
        <w:rPr>
          <w:rFonts w:hint="eastAsia" w:ascii="宋体" w:hAnsi="宋体" w:cs="SSJ4+ZBNFQG-1"/>
          <w:color w:val="000000" w:themeColor="text1"/>
          <w14:textFill>
            <w14:solidFill>
              <w14:schemeClr w14:val="tx1"/>
            </w14:solidFill>
          </w14:textFill>
        </w:rPr>
        <w:t>世</w:t>
      </w:r>
      <w:r>
        <w:rPr>
          <w:rFonts w:hint="eastAsia" w:ascii="宋体" w:hAnsi="宋体" w:cs="FZSSK--GBK1-00+ZBNFQJ-12"/>
          <w:color w:val="000000" w:themeColor="text1"/>
          <w14:textFill>
            <w14:solidFill>
              <w14:schemeClr w14:val="tx1"/>
            </w14:solidFill>
          </w14:textFill>
        </w:rPr>
        <w:t>价</w:t>
      </w:r>
      <w:r>
        <w:rPr>
          <w:rFonts w:hint="eastAsia" w:ascii="宋体" w:hAnsi="宋体" w:cs="FZSSK--GBK1-00+ZBNFQI-10"/>
          <w:color w:val="000000" w:themeColor="text1"/>
          <w14:textFill>
            <w14:solidFill>
              <w14:schemeClr w14:val="tx1"/>
            </w14:solidFill>
          </w14:textFill>
        </w:rPr>
        <w:t>值</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和</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历</w:t>
      </w:r>
      <w:r>
        <w:rPr>
          <w:rFonts w:hint="eastAsia" w:ascii="宋体" w:hAnsi="宋体" w:cs="FZSSK--GBK1-00+ZBNFQH-7"/>
          <w:color w:val="000000" w:themeColor="text1"/>
          <w14:textFill>
            <w14:solidFill>
              <w14:schemeClr w14:val="tx1"/>
            </w14:solidFill>
          </w14:textFill>
        </w:rPr>
        <w:t>史</w:t>
      </w:r>
      <w:r>
        <w:rPr>
          <w:rFonts w:hint="eastAsia" w:ascii="宋体" w:hAnsi="宋体" w:cs="FZSSK--GBK1-00+ZBNFQJ-12"/>
          <w:color w:val="000000" w:themeColor="text1"/>
          <w14:textFill>
            <w14:solidFill>
              <w14:schemeClr w14:val="tx1"/>
            </w14:solidFill>
          </w14:textFill>
        </w:rPr>
        <w:t>终</w:t>
      </w:r>
      <w:r>
        <w:rPr>
          <w:rFonts w:hint="eastAsia" w:ascii="宋体" w:hAnsi="宋体" w:cs="FZSSK--GBK1-00+ZBNFQH-5"/>
          <w:color w:val="000000" w:themeColor="text1"/>
          <w14:textFill>
            <w14:solidFill>
              <w14:schemeClr w14:val="tx1"/>
            </w14:solidFill>
          </w14:textFill>
        </w:rPr>
        <w:t>结</w:t>
      </w:r>
      <w:r>
        <w:rPr>
          <w:rFonts w:hint="eastAsia" w:ascii="宋体" w:hAnsi="宋体" w:cs="SSJ0+ZBNFQG-4"/>
          <w:color w:val="000000" w:themeColor="text1"/>
          <w14:textFill>
            <w14:solidFill>
              <w14:schemeClr w14:val="tx1"/>
            </w14:solidFill>
          </w14:textFill>
        </w:rPr>
        <w:t>”</w:t>
      </w:r>
      <w:r>
        <w:rPr>
          <w:rFonts w:hint="eastAsia" w:ascii="宋体" w:hAnsi="宋体" w:cs="FZSSK--GBK1-00+ZBNFQN-20"/>
          <w:color w:val="000000" w:themeColor="text1"/>
          <w14:textFill>
            <w14:solidFill>
              <w14:schemeClr w14:val="tx1"/>
            </w14:solidFill>
          </w14:textFill>
        </w:rPr>
        <w:t>神</w:t>
      </w:r>
      <w:r>
        <w:rPr>
          <w:rFonts w:hint="eastAsia" w:ascii="宋体" w:hAnsi="宋体" w:cs="FZSSK--GBK1-00+ZBNFQH-5"/>
          <w:color w:val="000000" w:themeColor="text1"/>
          <w14:textFill>
            <w14:solidFill>
              <w14:schemeClr w14:val="tx1"/>
            </w14:solidFill>
          </w14:textFill>
        </w:rPr>
        <w:t>话</w:t>
      </w:r>
      <w:r>
        <w:rPr>
          <w:rFonts w:hint="eastAsia" w:ascii="宋体" w:hAnsi="宋体" w:cs="FZSSK--GBK1-00+ZBNFQH-8"/>
          <w:color w:val="000000" w:themeColor="text1"/>
          <w14:textFill>
            <w14:solidFill>
              <w14:schemeClr w14:val="tx1"/>
            </w14:solidFill>
          </w14:textFill>
        </w:rPr>
        <w:t>并</w:t>
      </w:r>
      <w:r>
        <w:rPr>
          <w:rFonts w:hint="eastAsia" w:ascii="宋体" w:hAnsi="宋体" w:cs="FZSSK--GBK1-00+ZBNFQH-5"/>
          <w:color w:val="000000" w:themeColor="text1"/>
          <w14:textFill>
            <w14:solidFill>
              <w14:schemeClr w14:val="tx1"/>
            </w14:solidFill>
          </w14:textFill>
        </w:rPr>
        <w:t>没</w:t>
      </w:r>
      <w:r>
        <w:rPr>
          <w:rFonts w:hint="eastAsia" w:ascii="宋体" w:hAnsi="宋体" w:cs="SSJ4+ZBNFQG-1"/>
          <w:color w:val="000000" w:themeColor="text1"/>
          <w14:textFill>
            <w14:solidFill>
              <w14:schemeClr w14:val="tx1"/>
            </w14:solidFill>
          </w14:textFill>
        </w:rPr>
        <w:t>有变</w:t>
      </w:r>
      <w:r>
        <w:rPr>
          <w:rFonts w:hint="eastAsia" w:ascii="宋体" w:hAnsi="宋体" w:cs="FZSSK--GBK1-00+ZBNFQI-9"/>
          <w:color w:val="000000" w:themeColor="text1"/>
          <w14:textFill>
            <w14:solidFill>
              <w14:schemeClr w14:val="tx1"/>
            </w14:solidFill>
          </w14:textFill>
        </w:rPr>
        <w:t>成</w:t>
      </w:r>
      <w:r>
        <w:rPr>
          <w:rFonts w:hint="eastAsia" w:ascii="宋体" w:hAnsi="宋体" w:cs="FZSSK--GBK1-00+ZBNFQH-5"/>
          <w:color w:val="000000" w:themeColor="text1"/>
          <w14:textFill>
            <w14:solidFill>
              <w14:schemeClr w14:val="tx1"/>
            </w14:solidFill>
          </w14:textFill>
        </w:rPr>
        <w:t>现</w:t>
      </w:r>
      <w:r>
        <w:rPr>
          <w:rFonts w:hint="eastAsia" w:ascii="宋体" w:hAnsi="宋体" w:cs="FZSSK--GBK1-00+ZBNFQI-10"/>
          <w:color w:val="000000" w:themeColor="text1"/>
          <w14:textFill>
            <w14:solidFill>
              <w14:schemeClr w14:val="tx1"/>
            </w14:solidFill>
          </w14:textFill>
        </w:rPr>
        <w:t>实</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最</w:t>
      </w:r>
      <w:r>
        <w:rPr>
          <w:rFonts w:hint="eastAsia" w:ascii="宋体" w:hAnsi="宋体" w:cs="FZSSK--GBK1-00+ZBNFQJ-12"/>
          <w:color w:val="000000" w:themeColor="text1"/>
          <w14:textFill>
            <w14:solidFill>
              <w14:schemeClr w14:val="tx1"/>
            </w14:solidFill>
          </w14:textFill>
        </w:rPr>
        <w:t>终</w:t>
      </w:r>
      <w:r>
        <w:rPr>
          <w:rFonts w:hint="eastAsia" w:ascii="宋体" w:hAnsi="宋体" w:cs="FZSSK--GBK1-00+ZBNFQI-9"/>
          <w:color w:val="000000" w:themeColor="text1"/>
          <w14:textFill>
            <w14:solidFill>
              <w14:schemeClr w14:val="tx1"/>
            </w14:solidFill>
          </w14:textFill>
        </w:rPr>
        <w:t>却</w:t>
      </w:r>
      <w:r>
        <w:rPr>
          <w:rFonts w:hint="eastAsia" w:ascii="宋体" w:hAnsi="宋体" w:cs="SSJ4+ZBNFQG-1"/>
          <w:color w:val="000000" w:themeColor="text1"/>
          <w14:textFill>
            <w14:solidFill>
              <w14:schemeClr w14:val="tx1"/>
            </w14:solidFill>
          </w14:textFill>
        </w:rPr>
        <w:t>以</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SSJ4+ZBNFQG-1"/>
          <w:color w:val="000000" w:themeColor="text1"/>
          <w14:textFill>
            <w14:solidFill>
              <w14:schemeClr w14:val="tx1"/>
            </w14:solidFill>
          </w14:textFill>
        </w:rPr>
        <w:t>资本主义</w:t>
      </w:r>
      <w:r>
        <w:rPr>
          <w:rFonts w:hint="eastAsia" w:ascii="宋体" w:hAnsi="宋体" w:cs="FZSSK--GBK1-00+ZBNFQH-5"/>
          <w:color w:val="000000" w:themeColor="text1"/>
          <w14:textFill>
            <w14:solidFill>
              <w14:schemeClr w14:val="tx1"/>
            </w14:solidFill>
          </w14:textFill>
        </w:rPr>
        <w:t>金融</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大</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FZSSK--GBK1-00+ZBNFQH-5"/>
          <w:color w:val="000000" w:themeColor="text1"/>
          <w14:textFill>
            <w14:solidFill>
              <w14:schemeClr w14:val="tx1"/>
            </w14:solidFill>
          </w14:textFill>
        </w:rPr>
        <w:t>结束</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FZSSK--GBK1-00+ZBNFQH-7"/>
          <w:color w:val="000000" w:themeColor="text1"/>
          <w14:textFill>
            <w14:solidFill>
              <w14:schemeClr w14:val="tx1"/>
            </w14:solidFill>
          </w14:textFill>
        </w:rPr>
        <w:t>爆</w:t>
      </w:r>
      <w:r>
        <w:rPr>
          <w:rFonts w:hint="eastAsia" w:ascii="宋体" w:hAnsi="宋体" w:cs="SSJ4+ZBNFQG-1"/>
          <w:color w:val="000000" w:themeColor="text1"/>
          <w14:textFill>
            <w14:solidFill>
              <w14:schemeClr w14:val="tx1"/>
            </w14:solidFill>
          </w14:textFill>
        </w:rPr>
        <w:t>发</w:t>
      </w:r>
      <w:r>
        <w:rPr>
          <w:rFonts w:hint="eastAsia" w:ascii="宋体" w:hAnsi="宋体" w:cs="FZSSK--GBK1-00+ZBNFQH-7"/>
          <w:color w:val="000000" w:themeColor="text1"/>
          <w14:textFill>
            <w14:solidFill>
              <w14:schemeClr w14:val="tx1"/>
            </w14:solidFill>
          </w14:textFill>
        </w:rPr>
        <w:t>后</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各</w:t>
      </w:r>
      <w:r>
        <w:rPr>
          <w:rFonts w:hint="eastAsia" w:ascii="宋体" w:hAnsi="宋体" w:cs="SSJ4+ZBNFQG-1"/>
          <w:color w:val="000000" w:themeColor="text1"/>
          <w14:textFill>
            <w14:solidFill>
              <w14:schemeClr w14:val="tx1"/>
            </w14:solidFill>
          </w14:textFill>
        </w:rPr>
        <w:t>主要经</w:t>
      </w:r>
      <w:r>
        <w:rPr>
          <w:rFonts w:hint="eastAsia" w:ascii="宋体" w:hAnsi="宋体" w:cs="FZSSK--GBK1-00+ZBNFQH-7"/>
          <w:color w:val="000000" w:themeColor="text1"/>
          <w14:textFill>
            <w14:solidFill>
              <w14:schemeClr w14:val="tx1"/>
            </w14:solidFill>
          </w14:textFill>
        </w:rPr>
        <w:t>济体都</w:t>
      </w:r>
      <w:r>
        <w:rPr>
          <w:rFonts w:hint="eastAsia" w:ascii="宋体" w:hAnsi="宋体" w:cs="FZSSK--GBK1-00+ZBNFQK-14"/>
          <w:color w:val="000000" w:themeColor="text1"/>
          <w14:textFill>
            <w14:solidFill>
              <w14:schemeClr w14:val="tx1"/>
            </w14:solidFill>
          </w14:textFill>
        </w:rPr>
        <w:t>采取</w:t>
      </w:r>
      <w:r>
        <w:rPr>
          <w:rFonts w:hint="eastAsia" w:ascii="宋体" w:hAnsi="宋体" w:cs="SSJ4+ZBNFQG-1"/>
          <w:color w:val="000000" w:themeColor="text1"/>
          <w14:textFill>
            <w14:solidFill>
              <w14:schemeClr w14:val="tx1"/>
            </w14:solidFill>
          </w14:textFill>
        </w:rPr>
        <w:t>了</w:t>
      </w:r>
      <w:r>
        <w:rPr>
          <w:rFonts w:hint="eastAsia" w:ascii="宋体" w:hAnsi="宋体" w:cs="FZSSK--GBK1-00+ZBNFQH-7"/>
          <w:color w:val="000000" w:themeColor="text1"/>
          <w14:textFill>
            <w14:solidFill>
              <w14:schemeClr w14:val="tx1"/>
            </w14:solidFill>
          </w14:textFill>
        </w:rPr>
        <w:t>带</w:t>
      </w:r>
      <w:r>
        <w:rPr>
          <w:rFonts w:hint="eastAsia" w:ascii="宋体" w:hAnsi="宋体" w:cs="SSJ4+ZBNFQG-1"/>
          <w:color w:val="000000" w:themeColor="text1"/>
          <w14:textFill>
            <w14:solidFill>
              <w14:schemeClr w14:val="tx1"/>
            </w14:solidFill>
          </w14:textFill>
        </w:rPr>
        <w:t>有</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w:t>
      </w:r>
      <w:r>
        <w:rPr>
          <w:rFonts w:hint="eastAsia" w:ascii="宋体" w:hAnsi="宋体" w:cs="FZSSK--GBK1-00+ZBNFQH-5"/>
          <w:color w:val="000000" w:themeColor="text1"/>
          <w14:textFill>
            <w14:solidFill>
              <w14:schemeClr w14:val="tx1"/>
            </w14:solidFill>
          </w14:textFill>
        </w:rPr>
        <w:t>特点</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各</w:t>
      </w:r>
      <w:r>
        <w:rPr>
          <w:rFonts w:hint="eastAsia" w:ascii="宋体" w:hAnsi="宋体" w:cs="FZSSK--GBK1-00+ZBNFQH-5"/>
          <w:color w:val="000000" w:themeColor="text1"/>
          <w14:textFill>
            <w14:solidFill>
              <w14:schemeClr w14:val="tx1"/>
            </w14:solidFill>
          </w14:textFill>
        </w:rPr>
        <w:t>种</w:t>
      </w:r>
      <w:r>
        <w:rPr>
          <w:rFonts w:hint="eastAsia" w:ascii="宋体" w:hAnsi="宋体" w:cs="FZSSK--GBK1-00+ZBNFQI-9"/>
          <w:color w:val="000000" w:themeColor="text1"/>
          <w14:textFill>
            <w14:solidFill>
              <w14:schemeClr w14:val="tx1"/>
            </w14:solidFill>
          </w14:textFill>
        </w:rPr>
        <w:t>反</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FZSSK--GBK1-00+ZBNFQH-8"/>
          <w:color w:val="000000" w:themeColor="text1"/>
          <w14:textFill>
            <w14:solidFill>
              <w14:schemeClr w14:val="tx1"/>
            </w14:solidFill>
          </w14:textFill>
        </w:rPr>
        <w:t>措施</w:t>
      </w:r>
      <w:r>
        <w:rPr>
          <w:rFonts w:hint="eastAsia" w:ascii="宋体" w:hAnsi="宋体" w:cs="SSJ4+ZBNFQG-1"/>
          <w:color w:val="000000" w:themeColor="text1"/>
          <w14:textFill>
            <w14:solidFill>
              <w14:schemeClr w14:val="tx1"/>
            </w14:solidFill>
          </w14:textFill>
        </w:rPr>
        <w:t>，但</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w:t>
      </w:r>
      <w:r>
        <w:rPr>
          <w:rFonts w:hint="eastAsia" w:ascii="宋体" w:hAnsi="宋体" w:cs="FZSSK--GBK1-00+ZBNFQH-5"/>
          <w:color w:val="000000" w:themeColor="text1"/>
          <w14:textFill>
            <w14:solidFill>
              <w14:schemeClr w14:val="tx1"/>
            </w14:solidFill>
          </w14:textFill>
        </w:rPr>
        <w:t>也没</w:t>
      </w:r>
      <w:r>
        <w:rPr>
          <w:rFonts w:hint="eastAsia" w:ascii="宋体" w:hAnsi="宋体" w:cs="SSJ4+ZBNFQG-1"/>
          <w:color w:val="000000" w:themeColor="text1"/>
          <w14:textFill>
            <w14:solidFill>
              <w14:schemeClr w14:val="tx1"/>
            </w14:solidFill>
          </w14:textFill>
        </w:rPr>
        <w:t>有</w:t>
      </w:r>
      <w:r>
        <w:rPr>
          <w:rFonts w:hint="eastAsia" w:ascii="宋体" w:hAnsi="宋体" w:cs="FZSSK--GBK1-00+ZBNFQH-7"/>
          <w:color w:val="000000" w:themeColor="text1"/>
          <w14:textFill>
            <w14:solidFill>
              <w14:schemeClr w14:val="tx1"/>
            </w14:solidFill>
          </w14:textFill>
        </w:rPr>
        <w:t>带</w:t>
      </w:r>
      <w:r>
        <w:rPr>
          <w:rFonts w:hint="eastAsia" w:ascii="宋体" w:hAnsi="宋体" w:cs="SSJ4+ZBNFQG-1"/>
          <w:color w:val="000000" w:themeColor="text1"/>
          <w14:textFill>
            <w14:solidFill>
              <w14:schemeClr w14:val="tx1"/>
            </w14:solidFill>
          </w14:textFill>
        </w:rPr>
        <w:t>来</w:t>
      </w:r>
      <w:r>
        <w:rPr>
          <w:rFonts w:hint="eastAsia" w:ascii="宋体" w:hAnsi="宋体" w:cs="FZSSK--GBK1-00+ZBNFQJ-12"/>
          <w:color w:val="000000" w:themeColor="text1"/>
          <w14:textFill>
            <w14:solidFill>
              <w14:schemeClr w14:val="tx1"/>
            </w14:solidFill>
          </w14:textFill>
        </w:rPr>
        <w:t>真</w:t>
      </w:r>
      <w:r>
        <w:rPr>
          <w:rFonts w:hint="eastAsia" w:ascii="宋体" w:hAnsi="宋体" w:cs="SSJ4+ZBNFQG-1"/>
          <w:color w:val="000000" w:themeColor="text1"/>
          <w14:textFill>
            <w14:solidFill>
              <w14:schemeClr w14:val="tx1"/>
            </w14:solidFill>
          </w14:textFill>
        </w:rPr>
        <w:t>正的</w:t>
      </w:r>
      <w:r>
        <w:rPr>
          <w:rFonts w:hint="eastAsia" w:ascii="宋体" w:hAnsi="宋体" w:cs="FZSSK--GBK1-00+ZBNFQI-10"/>
          <w:color w:val="000000" w:themeColor="text1"/>
          <w14:textFill>
            <w14:solidFill>
              <w14:schemeClr w14:val="tx1"/>
            </w14:solidFill>
          </w14:textFill>
        </w:rPr>
        <w:t>持</w:t>
      </w:r>
      <w:r>
        <w:rPr>
          <w:rFonts w:hint="eastAsia" w:ascii="宋体" w:hAnsi="宋体" w:cs="FZSSK--GBK1-00+ZBNFQK-15"/>
          <w:color w:val="000000" w:themeColor="text1"/>
          <w14:textFill>
            <w14:solidFill>
              <w14:schemeClr w14:val="tx1"/>
            </w14:solidFill>
          </w14:textFill>
        </w:rPr>
        <w:t>久</w:t>
      </w:r>
      <w:r>
        <w:rPr>
          <w:rFonts w:hint="eastAsia" w:ascii="宋体" w:hAnsi="宋体" w:cs="SSJ4+ZBNFQG-1"/>
          <w:color w:val="000000" w:themeColor="text1"/>
          <w14:textFill>
            <w14:solidFill>
              <w14:schemeClr w14:val="tx1"/>
            </w14:solidFill>
          </w14:textFill>
        </w:rPr>
        <w:t>的经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复</w:t>
      </w:r>
      <w:r>
        <w:rPr>
          <w:rFonts w:hint="eastAsia" w:ascii="宋体" w:hAnsi="宋体" w:cs="FZSSK--GBK1-00+ZBNFQH-7"/>
          <w:color w:val="000000" w:themeColor="text1"/>
          <w14:textFill>
            <w14:solidFill>
              <w14:schemeClr w14:val="tx1"/>
            </w14:solidFill>
          </w14:textFill>
        </w:rPr>
        <w:t>苏</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各</w:t>
      </w:r>
      <w:r>
        <w:rPr>
          <w:rFonts w:hint="eastAsia" w:ascii="宋体" w:hAnsi="宋体" w:cs="SSJ4+ZBNFQG-1"/>
          <w:color w:val="000000" w:themeColor="text1"/>
          <w14:textFill>
            <w14:solidFill>
              <w14:schemeClr w14:val="tx1"/>
            </w14:solidFill>
          </w14:textFill>
        </w:rPr>
        <w:t>国</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机仍</w:t>
      </w:r>
      <w:r>
        <w:rPr>
          <w:rFonts w:hint="eastAsia" w:ascii="宋体" w:hAnsi="宋体" w:cs="FZSSK--GBK1-00+ZBNFQH-8"/>
          <w:color w:val="000000" w:themeColor="text1"/>
          <w14:textFill>
            <w14:solidFill>
              <w14:schemeClr w14:val="tx1"/>
            </w14:solidFill>
          </w14:textFill>
        </w:rPr>
        <w:t>然</w:t>
      </w:r>
      <w:r>
        <w:rPr>
          <w:rFonts w:hint="eastAsia" w:ascii="宋体" w:hAnsi="宋体" w:cs="SSJ4+ZBNFQG-1"/>
          <w:color w:val="000000" w:themeColor="text1"/>
          <w14:textFill>
            <w14:solidFill>
              <w14:schemeClr w14:val="tx1"/>
            </w14:solidFill>
          </w14:textFill>
        </w:rPr>
        <w:t>在深化</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H-8"/>
          <w:color w:val="000000" w:themeColor="text1"/>
          <w14:textFill>
            <w14:solidFill>
              <w14:schemeClr w14:val="tx1"/>
            </w14:solidFill>
          </w14:textFill>
        </w:rPr>
        <w:t>利用</w:t>
      </w:r>
      <w:r>
        <w:rPr>
          <w:rFonts w:hint="eastAsia" w:ascii="宋体" w:hAnsi="宋体" w:cs="FZSSK--GBK1-00+ZBNFQK-14"/>
          <w:color w:val="000000" w:themeColor="text1"/>
          <w14:textFill>
            <w14:solidFill>
              <w14:schemeClr w14:val="tx1"/>
            </w14:solidFill>
          </w14:textFill>
        </w:rPr>
        <w:t>率</w:t>
      </w:r>
      <w:r>
        <w:rPr>
          <w:rFonts w:hint="eastAsia" w:ascii="宋体" w:hAnsi="宋体" w:cs="SSJ4+ZBNFQG-1"/>
          <w:color w:val="000000" w:themeColor="text1"/>
          <w14:textFill>
            <w14:solidFill>
              <w14:schemeClr w14:val="tx1"/>
            </w14:solidFill>
          </w14:textFill>
        </w:rPr>
        <w:t>仍处于</w:t>
      </w:r>
      <w:r>
        <w:rPr>
          <w:rFonts w:hint="eastAsia" w:ascii="宋体" w:hAnsi="宋体" w:cs="FZSSK--GBK1-00+ZBNFQH-5"/>
          <w:color w:val="000000" w:themeColor="text1"/>
          <w14:textFill>
            <w14:solidFill>
              <w14:schemeClr w14:val="tx1"/>
            </w14:solidFill>
          </w14:textFill>
        </w:rPr>
        <w:t>较</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K-14"/>
          <w:color w:val="000000" w:themeColor="text1"/>
          <w14:textFill>
            <w14:solidFill>
              <w14:schemeClr w14:val="tx1"/>
            </w14:solidFill>
          </w14:textFill>
        </w:rPr>
        <w:t>水</w:t>
      </w:r>
      <w:r>
        <w:rPr>
          <w:rFonts w:hint="eastAsia" w:ascii="宋体" w:hAnsi="宋体" w:cs="FZSSK--GBK1-00+ZBNFQH-5"/>
          <w:color w:val="000000" w:themeColor="text1"/>
          <w14:textFill>
            <w14:solidFill>
              <w14:schemeClr w14:val="tx1"/>
            </w14:solidFill>
          </w14:textFill>
        </w:rPr>
        <w:t>平</w:t>
      </w:r>
      <w:r>
        <w:rPr>
          <w:rFonts w:hint="eastAsia" w:ascii="宋体" w:hAnsi="宋体" w:cs="SSJ4+ZBNFQG-1"/>
          <w:color w:val="000000" w:themeColor="text1"/>
          <w14:textFill>
            <w14:solidFill>
              <w14:schemeClr w14:val="tx1"/>
            </w14:solidFill>
          </w14:textFill>
        </w:rPr>
        <w:t>，而</w:t>
      </w:r>
      <w:r>
        <w:rPr>
          <w:rFonts w:hint="eastAsia" w:ascii="宋体" w:hAnsi="宋体" w:cs="FZSSK--GBK1-00+ZBNFQL-16"/>
          <w:color w:val="000000" w:themeColor="text1"/>
          <w14:textFill>
            <w14:solidFill>
              <w14:schemeClr w14:val="tx1"/>
            </w14:solidFill>
          </w14:textFill>
        </w:rPr>
        <w:t>失</w:t>
      </w:r>
      <w:r>
        <w:rPr>
          <w:rFonts w:hint="eastAsia" w:ascii="宋体" w:hAnsi="宋体" w:cs="FZSSK--GBK1-00+ZBNFQJ-12"/>
          <w:color w:val="000000" w:themeColor="text1"/>
          <w14:textFill>
            <w14:solidFill>
              <w14:schemeClr w14:val="tx1"/>
            </w14:solidFill>
          </w14:textFill>
        </w:rPr>
        <w:t>业</w:t>
      </w:r>
      <w:r>
        <w:rPr>
          <w:rFonts w:hint="eastAsia" w:ascii="宋体" w:hAnsi="宋体" w:cs="FZSSK--GBK1-00+ZBNFQK-14"/>
          <w:color w:val="000000" w:themeColor="text1"/>
          <w14:textFill>
            <w14:solidFill>
              <w14:schemeClr w14:val="tx1"/>
            </w14:solidFill>
          </w14:textFill>
        </w:rPr>
        <w:t>率</w:t>
      </w:r>
      <w:r>
        <w:rPr>
          <w:rFonts w:hint="eastAsia" w:ascii="宋体" w:hAnsi="宋体" w:cs="FZSSK--GBK1-00+ZBNFQK-15"/>
          <w:color w:val="000000" w:themeColor="text1"/>
          <w14:textFill>
            <w14:solidFill>
              <w14:schemeClr w14:val="tx1"/>
            </w14:solidFill>
          </w14:textFill>
        </w:rPr>
        <w:t>居</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8"/>
          <w:color w:val="000000" w:themeColor="text1"/>
          <w14:textFill>
            <w14:solidFill>
              <w14:schemeClr w14:val="tx1"/>
            </w14:solidFill>
          </w14:textFill>
        </w:rPr>
        <w:t>下</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欧</w:t>
      </w:r>
      <w:r>
        <w:rPr>
          <w:rFonts w:hint="eastAsia" w:ascii="宋体" w:hAnsi="宋体" w:cs="FZSSK--GBK1-00+ZBNFQJ-13"/>
          <w:color w:val="000000" w:themeColor="text1"/>
          <w14:textFill>
            <w14:solidFill>
              <w14:schemeClr w14:val="tx1"/>
            </w14:solidFill>
          </w14:textFill>
        </w:rPr>
        <w:t>盟</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10"/>
          <w:color w:val="000000" w:themeColor="text1"/>
          <w14:textFill>
            <w14:solidFill>
              <w14:schemeClr w14:val="tx1"/>
            </w14:solidFill>
          </w14:textFill>
        </w:rPr>
        <w:t>受</w:t>
      </w:r>
      <w:r>
        <w:rPr>
          <w:rFonts w:hint="eastAsia" w:ascii="宋体" w:hAnsi="宋体" w:cs="SSJ4+ZBNFQG-1"/>
          <w:color w:val="000000" w:themeColor="text1"/>
          <w14:textFill>
            <w14:solidFill>
              <w14:schemeClr w14:val="tx1"/>
            </w14:solidFill>
          </w14:textFill>
        </w:rPr>
        <w:t>主</w:t>
      </w:r>
      <w:r>
        <w:rPr>
          <w:rFonts w:hint="eastAsia" w:ascii="宋体" w:hAnsi="宋体" w:cs="FZSSK--GBK1-00+ZBNFQH-5"/>
          <w:color w:val="000000" w:themeColor="text1"/>
          <w14:textFill>
            <w14:solidFill>
              <w14:schemeClr w14:val="tx1"/>
            </w14:solidFill>
          </w14:textFill>
        </w:rPr>
        <w:t>权</w:t>
      </w:r>
      <w:r>
        <w:rPr>
          <w:rFonts w:hint="eastAsia" w:ascii="宋体" w:hAnsi="宋体" w:cs="FZSSK--GBK1-00+ZBNFQI-9"/>
          <w:color w:val="000000" w:themeColor="text1"/>
          <w14:textFill>
            <w14:solidFill>
              <w14:schemeClr w14:val="tx1"/>
            </w14:solidFill>
          </w14:textFill>
        </w:rPr>
        <w:t>债务</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FZSSK--GBK1-00+ZBNFQT-26"/>
          <w:color w:val="000000" w:themeColor="text1"/>
          <w14:textFill>
            <w14:solidFill>
              <w14:schemeClr w14:val="tx1"/>
            </w14:solidFill>
          </w14:textFill>
        </w:rPr>
        <w:t>拖</w:t>
      </w:r>
      <w:r>
        <w:rPr>
          <w:rFonts w:hint="eastAsia" w:ascii="宋体" w:hAnsi="宋体" w:cs="FZSSK--GBK1-00+ZBNFQM-17"/>
          <w:color w:val="000000" w:themeColor="text1"/>
          <w14:textFill>
            <w14:solidFill>
              <w14:schemeClr w14:val="tx1"/>
            </w14:solidFill>
          </w14:textFill>
        </w:rPr>
        <w:t>累</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被</w:t>
      </w:r>
      <w:r>
        <w:rPr>
          <w:rFonts w:hint="eastAsia" w:ascii="宋体" w:hAnsi="宋体" w:cs="FZSSK--GBK1-00+ZBNFQI-9"/>
          <w:color w:val="000000" w:themeColor="text1"/>
          <w14:textFill>
            <w14:solidFill>
              <w14:schemeClr w14:val="tx1"/>
            </w14:solidFill>
          </w14:textFill>
        </w:rPr>
        <w:t>迫</w:t>
      </w:r>
      <w:r>
        <w:rPr>
          <w:rFonts w:hint="eastAsia" w:ascii="宋体" w:hAnsi="宋体" w:cs="FZSSK--GBK1-00+ZBNFQI-10"/>
          <w:color w:val="000000" w:themeColor="text1"/>
          <w14:textFill>
            <w14:solidFill>
              <w14:schemeClr w14:val="tx1"/>
            </w14:solidFill>
          </w14:textFill>
        </w:rPr>
        <w:t>紧</w:t>
      </w:r>
      <w:r>
        <w:rPr>
          <w:rFonts w:hint="eastAsia" w:ascii="宋体" w:hAnsi="宋体" w:cs="FZSSK--GBK1-00+ZBNFQH-8"/>
          <w:color w:val="000000" w:themeColor="text1"/>
          <w14:textFill>
            <w14:solidFill>
              <w14:schemeClr w14:val="tx1"/>
            </w14:solidFill>
          </w14:textFill>
        </w:rPr>
        <w:t>缩</w:t>
      </w:r>
      <w:r>
        <w:rPr>
          <w:rFonts w:hint="eastAsia" w:ascii="宋体" w:hAnsi="宋体" w:cs="FZSSK--GBK1-00+ZBNFQI-9"/>
          <w:color w:val="000000" w:themeColor="text1"/>
          <w14:textFill>
            <w14:solidFill>
              <w14:schemeClr w14:val="tx1"/>
            </w14:solidFill>
          </w14:textFill>
        </w:rPr>
        <w:t>财</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K-14"/>
          <w:color w:val="000000" w:themeColor="text1"/>
          <w14:textFill>
            <w14:solidFill>
              <w14:schemeClr w14:val="tx1"/>
            </w14:solidFill>
          </w14:textFill>
        </w:rPr>
        <w:t>赤</w:t>
      </w:r>
      <w:r>
        <w:rPr>
          <w:rFonts w:hint="eastAsia" w:ascii="宋体" w:hAnsi="宋体" w:cs="FZSSK--GBK1-00+ZBNFQJ-12"/>
          <w:color w:val="000000" w:themeColor="text1"/>
          <w14:textFill>
            <w14:solidFill>
              <w14:schemeClr w14:val="tx1"/>
            </w14:solidFill>
          </w14:textFill>
        </w:rPr>
        <w:t>字</w:t>
      </w:r>
      <w:r>
        <w:rPr>
          <w:rFonts w:hint="eastAsia" w:ascii="宋体" w:hAnsi="宋体" w:cs="SSJ4+ZBNFQG-1"/>
          <w:color w:val="000000" w:themeColor="text1"/>
          <w14:textFill>
            <w14:solidFill>
              <w14:schemeClr w14:val="tx1"/>
            </w14:solidFill>
          </w14:textFill>
        </w:rPr>
        <w:t>，可</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O-22"/>
          <w:color w:val="000000" w:themeColor="text1"/>
          <w14:textFill>
            <w14:solidFill>
              <w14:schemeClr w14:val="tx1"/>
            </w14:solidFill>
          </w14:textFill>
        </w:rPr>
        <w:t>像</w:t>
      </w:r>
      <w:r>
        <w:rPr>
          <w:rFonts w:hint="eastAsia" w:ascii="宋体" w:hAnsi="宋体" w:cs="FZSSK--GBK1-00+ZBNFQI-10"/>
          <w:color w:val="000000" w:themeColor="text1"/>
          <w14:textFill>
            <w14:solidFill>
              <w14:schemeClr w14:val="tx1"/>
            </w14:solidFill>
          </w14:textFill>
        </w:rPr>
        <w:t>日</w:t>
      </w:r>
      <w:r>
        <w:rPr>
          <w:rFonts w:hint="eastAsia" w:ascii="宋体" w:hAnsi="宋体" w:cs="SSJ4+ZBNFQG-1"/>
          <w:color w:val="000000" w:themeColor="text1"/>
          <w14:textFill>
            <w14:solidFill>
              <w14:schemeClr w14:val="tx1"/>
            </w14:solidFill>
          </w14:textFill>
        </w:rPr>
        <w:t>本</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7"/>
          <w:color w:val="000000" w:themeColor="text1"/>
          <w14:textFill>
            <w14:solidFill>
              <w14:schemeClr w14:val="tx1"/>
            </w14:solidFill>
          </w14:textFill>
        </w:rPr>
        <w:t>样</w:t>
      </w:r>
      <w:r>
        <w:rPr>
          <w:rFonts w:hint="eastAsia" w:ascii="宋体" w:hAnsi="宋体" w:cs="FZSSK--GBK1-00+ZBNFQT-26"/>
          <w:color w:val="000000" w:themeColor="text1"/>
          <w14:textFill>
            <w14:solidFill>
              <w14:schemeClr w14:val="tx1"/>
            </w14:solidFill>
          </w14:textFill>
        </w:rPr>
        <w:t>滑</w:t>
      </w:r>
      <w:r>
        <w:rPr>
          <w:rFonts w:hint="eastAsia" w:ascii="宋体" w:hAnsi="宋体" w:cs="FZSSK--GBK1-00+ZBNFQI-10"/>
          <w:color w:val="000000" w:themeColor="text1"/>
          <w14:textFill>
            <w14:solidFill>
              <w14:schemeClr w14:val="tx1"/>
            </w14:solidFill>
          </w14:textFill>
        </w:rPr>
        <w:t>向</w:t>
      </w:r>
      <w:r>
        <w:rPr>
          <w:rFonts w:hint="eastAsia" w:ascii="宋体" w:hAnsi="宋体" w:cs="FZSSK--GBK1-00+ZBNFQK-14"/>
          <w:color w:val="000000" w:themeColor="text1"/>
          <w14:textFill>
            <w14:solidFill>
              <w14:schemeClr w14:val="tx1"/>
            </w14:solidFill>
          </w14:textFill>
        </w:rPr>
        <w:t>迷</w:t>
      </w:r>
      <w:r>
        <w:rPr>
          <w:rFonts w:hint="eastAsia" w:ascii="宋体" w:hAnsi="宋体" w:cs="FZSSK--GBK1-00+ZBNFQL-16"/>
          <w:color w:val="000000" w:themeColor="text1"/>
          <w14:textFill>
            <w14:solidFill>
              <w14:schemeClr w14:val="tx1"/>
            </w14:solidFill>
          </w14:textFill>
        </w:rPr>
        <w:t>失</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十</w:t>
      </w:r>
      <w:r>
        <w:rPr>
          <w:rFonts w:hint="eastAsia" w:ascii="宋体" w:hAnsi="宋体" w:cs="FZSSK--GBK1-00+ZBNFQI-9"/>
          <w:color w:val="000000" w:themeColor="text1"/>
          <w14:textFill>
            <w14:solidFill>
              <w14:schemeClr w14:val="tx1"/>
            </w14:solidFill>
          </w14:textFill>
        </w:rPr>
        <w:t>几</w:t>
      </w:r>
      <w:r>
        <w:rPr>
          <w:rFonts w:hint="eastAsia" w:ascii="宋体" w:hAnsi="宋体" w:cs="FZSSK--GBK1-00+ZBNFQH-5"/>
          <w:color w:val="000000" w:themeColor="text1"/>
          <w14:textFill>
            <w14:solidFill>
              <w14:schemeClr w14:val="tx1"/>
            </w14:solidFill>
          </w14:textFill>
        </w:rPr>
        <w:t>年</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日</w:t>
      </w:r>
      <w:r>
        <w:rPr>
          <w:rFonts w:hint="eastAsia" w:ascii="宋体" w:hAnsi="宋体" w:cs="SSJ4+ZBNFQG-1"/>
          <w:color w:val="000000" w:themeColor="text1"/>
          <w14:textFill>
            <w14:solidFill>
              <w14:schemeClr w14:val="tx1"/>
            </w14:solidFill>
          </w14:textFill>
        </w:rPr>
        <w:t>本经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J-13"/>
          <w:color w:val="000000" w:themeColor="text1"/>
          <w14:textFill>
            <w14:solidFill>
              <w14:schemeClr w14:val="tx1"/>
            </w14:solidFill>
          </w14:textFill>
        </w:rPr>
        <w:t>继</w:t>
      </w:r>
      <w:r>
        <w:rPr>
          <w:rFonts w:hint="eastAsia" w:ascii="宋体" w:hAnsi="宋体" w:cs="FZSSK--GBK1-00+ZBNFQH-8"/>
          <w:color w:val="000000" w:themeColor="text1"/>
          <w14:textFill>
            <w14:solidFill>
              <w14:schemeClr w14:val="tx1"/>
            </w14:solidFill>
          </w14:textFill>
        </w:rPr>
        <w:t>续</w:t>
      </w:r>
      <w:r>
        <w:rPr>
          <w:rFonts w:hint="eastAsia" w:ascii="宋体" w:hAnsi="宋体" w:cs="SSJ4+ZBNFQG-1"/>
          <w:color w:val="000000" w:themeColor="text1"/>
          <w14:textFill>
            <w14:solidFill>
              <w14:schemeClr w14:val="tx1"/>
            </w14:solidFill>
          </w14:textFill>
        </w:rPr>
        <w:t>面临</w:t>
      </w:r>
      <w:r>
        <w:rPr>
          <w:rFonts w:hint="eastAsia" w:ascii="宋体" w:hAnsi="宋体" w:cs="FZSSK--GBK1-00+ZBNFQI-10"/>
          <w:color w:val="000000" w:themeColor="text1"/>
          <w14:textFill>
            <w14:solidFill>
              <w14:schemeClr w14:val="tx1"/>
            </w14:solidFill>
          </w14:textFill>
        </w:rPr>
        <w:t>通</w:t>
      </w:r>
      <w:r>
        <w:rPr>
          <w:rFonts w:hint="eastAsia" w:ascii="宋体" w:hAnsi="宋体" w:cs="FZSSK--GBK1-00+ZBNFQK-14"/>
          <w:color w:val="000000" w:themeColor="text1"/>
          <w14:textFill>
            <w14:solidFill>
              <w14:schemeClr w14:val="tx1"/>
            </w14:solidFill>
          </w14:textFill>
        </w:rPr>
        <w:t>货</w:t>
      </w:r>
      <w:r>
        <w:rPr>
          <w:rFonts w:hint="eastAsia" w:ascii="宋体" w:hAnsi="宋体" w:cs="FZSSK--GBK1-00+ZBNFQI-10"/>
          <w:color w:val="000000" w:themeColor="text1"/>
          <w14:textFill>
            <w14:solidFill>
              <w14:schemeClr w14:val="tx1"/>
            </w14:solidFill>
          </w14:textFill>
        </w:rPr>
        <w:t>紧</w:t>
      </w:r>
      <w:r>
        <w:rPr>
          <w:rFonts w:hint="eastAsia" w:ascii="宋体" w:hAnsi="宋体" w:cs="FZSSK--GBK1-00+ZBNFQH-8"/>
          <w:color w:val="000000" w:themeColor="text1"/>
          <w14:textFill>
            <w14:solidFill>
              <w14:schemeClr w14:val="tx1"/>
            </w14:solidFill>
          </w14:textFill>
        </w:rPr>
        <w:t>缩</w:t>
      </w:r>
      <w:r>
        <w:rPr>
          <w:rFonts w:hint="eastAsia" w:ascii="宋体" w:hAnsi="宋体" w:cs="FZSSK--GBK1-00+ZBNFQH-7"/>
          <w:color w:val="000000" w:themeColor="text1"/>
          <w14:textFill>
            <w14:solidFill>
              <w14:schemeClr w14:val="tx1"/>
            </w14:solidFill>
          </w14:textFill>
        </w:rPr>
        <w:t>等</w:t>
      </w:r>
      <w:r>
        <w:rPr>
          <w:rFonts w:hint="eastAsia" w:ascii="宋体" w:hAnsi="宋体" w:cs="FZSSK--GBK1-00+ZBNFQI-10"/>
          <w:color w:val="000000" w:themeColor="text1"/>
          <w14:textFill>
            <w14:solidFill>
              <w14:schemeClr w14:val="tx1"/>
            </w14:solidFill>
          </w14:textFill>
        </w:rPr>
        <w:t>压</w:t>
      </w:r>
      <w:r>
        <w:rPr>
          <w:rFonts w:hint="eastAsia" w:ascii="宋体" w:hAnsi="宋体" w:cs="FZSSK--GBK1-00+ZBNFQH-7"/>
          <w:color w:val="000000" w:themeColor="text1"/>
          <w14:textFill>
            <w14:solidFill>
              <w14:schemeClr w14:val="tx1"/>
            </w14:solidFill>
          </w14:textFill>
        </w:rPr>
        <w:t>力</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L-16"/>
          <w:color w:val="000000" w:themeColor="text1"/>
          <w14:textFill>
            <w14:solidFill>
              <w14:schemeClr w14:val="tx1"/>
            </w14:solidFill>
          </w14:textFill>
        </w:rPr>
        <w:t>缓</w:t>
      </w:r>
      <w:r>
        <w:rPr>
          <w:rFonts w:hint="eastAsia" w:ascii="宋体" w:hAnsi="宋体" w:cs="FZSSK--GBK1-00+ZBNFQO-22"/>
          <w:color w:val="000000" w:themeColor="text1"/>
          <w14:textFill>
            <w14:solidFill>
              <w14:schemeClr w14:val="tx1"/>
            </w14:solidFill>
          </w14:textFill>
        </w:rPr>
        <w:t>慢</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而新</w:t>
      </w:r>
      <w:r>
        <w:rPr>
          <w:rFonts w:hint="eastAsia" w:ascii="宋体" w:hAnsi="宋体" w:cs="FZSSK--GBK1-00+ZBNFQI-9"/>
          <w:color w:val="000000" w:themeColor="text1"/>
          <w14:textFill>
            <w14:solidFill>
              <w14:schemeClr w14:val="tx1"/>
            </w14:solidFill>
          </w14:textFill>
        </w:rPr>
        <w:t>兴市</w:t>
      </w:r>
      <w:r>
        <w:rPr>
          <w:rFonts w:hint="eastAsia" w:ascii="宋体" w:hAnsi="宋体" w:cs="FZSSK--GBK1-00+ZBNFQH-5"/>
          <w:color w:val="000000" w:themeColor="text1"/>
          <w14:textFill>
            <w14:solidFill>
              <w14:schemeClr w14:val="tx1"/>
            </w14:solidFill>
          </w14:textFill>
        </w:rPr>
        <w:t>场</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有</w:t>
      </w:r>
      <w:r>
        <w:rPr>
          <w:rFonts w:hint="eastAsia" w:ascii="宋体" w:hAnsi="宋体" w:cs="FZSSK--GBK1-00+ZBNFQH-7"/>
          <w:color w:val="000000" w:themeColor="text1"/>
          <w14:textFill>
            <w14:solidFill>
              <w14:schemeClr w14:val="tx1"/>
            </w14:solidFill>
          </w14:textFill>
        </w:rPr>
        <w:t>快</w:t>
      </w:r>
      <w:r>
        <w:rPr>
          <w:rFonts w:hint="eastAsia" w:ascii="宋体" w:hAnsi="宋体" w:cs="SSJ4+ZBNFQG-1"/>
          <w:color w:val="000000" w:themeColor="text1"/>
          <w14:textFill>
            <w14:solidFill>
              <w14:schemeClr w14:val="tx1"/>
            </w14:solidFill>
          </w14:textFill>
        </w:rPr>
        <w:t>有</w:t>
      </w:r>
      <w:r>
        <w:rPr>
          <w:rFonts w:hint="eastAsia" w:ascii="宋体" w:hAnsi="宋体" w:cs="FZSSK--GBK1-00+ZBNFQO-22"/>
          <w:color w:val="000000" w:themeColor="text1"/>
          <w14:textFill>
            <w14:solidFill>
              <w14:schemeClr w14:val="tx1"/>
            </w14:solidFill>
          </w14:textFill>
        </w:rPr>
        <w:t>慢</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通</w:t>
      </w:r>
      <w:r>
        <w:rPr>
          <w:rFonts w:hint="eastAsia" w:ascii="宋体" w:hAnsi="宋体" w:cs="FZSSK--GBK1-00+ZBNFQK-14"/>
          <w:color w:val="000000" w:themeColor="text1"/>
          <w14:textFill>
            <w14:solidFill>
              <w14:schemeClr w14:val="tx1"/>
            </w14:solidFill>
          </w14:textFill>
        </w:rPr>
        <w:t>胀</w:t>
      </w:r>
      <w:r>
        <w:rPr>
          <w:rFonts w:hint="eastAsia" w:ascii="宋体" w:hAnsi="宋体" w:cs="FZSSK--GBK1-00+ZBNFQI-10"/>
          <w:color w:val="000000" w:themeColor="text1"/>
          <w14:textFill>
            <w14:solidFill>
              <w14:schemeClr w14:val="tx1"/>
            </w14:solidFill>
          </w14:textFill>
        </w:rPr>
        <w:t>压</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I-9"/>
          <w:color w:val="000000" w:themeColor="text1"/>
          <w14:textFill>
            <w14:solidFill>
              <w14:schemeClr w14:val="tx1"/>
            </w14:solidFill>
          </w14:textFill>
        </w:rPr>
        <w:t>普遍</w:t>
      </w:r>
      <w:r>
        <w:rPr>
          <w:rFonts w:hint="eastAsia" w:ascii="宋体" w:hAnsi="宋体" w:cs="FZSSK--GBK1-00+ZBNFQH-5"/>
          <w:color w:val="000000" w:themeColor="text1"/>
          <w14:textFill>
            <w14:solidFill>
              <w14:schemeClr w14:val="tx1"/>
            </w14:solidFill>
          </w14:textFill>
        </w:rPr>
        <w:t>较</w:t>
      </w:r>
      <w:r>
        <w:rPr>
          <w:rFonts w:hint="eastAsia" w:ascii="宋体" w:hAnsi="宋体" w:cs="SSJ4+ZBNFQG-1"/>
          <w:color w:val="000000" w:themeColor="text1"/>
          <w14:textFill>
            <w14:solidFill>
              <w14:schemeClr w14:val="tx1"/>
            </w14:solidFill>
          </w14:textFill>
        </w:rPr>
        <w:t>大</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世界资本主义</w:t>
      </w:r>
      <w:r>
        <w:rPr>
          <w:rFonts w:hint="eastAsia" w:ascii="宋体" w:hAnsi="宋体" w:cs="FZSSK--GBK1-00+ZBNFQH-5"/>
          <w:color w:val="000000" w:themeColor="text1"/>
          <w14:textFill>
            <w14:solidFill>
              <w14:schemeClr w14:val="tx1"/>
            </w14:solidFill>
          </w14:textFill>
        </w:rPr>
        <w:t>将</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期深</w:t>
      </w:r>
      <w:r>
        <w:rPr>
          <w:rFonts w:hint="eastAsia" w:ascii="宋体" w:hAnsi="宋体" w:cs="FZSSK--GBK1-00+ZBNFQH-8"/>
          <w:color w:val="000000" w:themeColor="text1"/>
          <w14:textFill>
            <w14:solidFill>
              <w14:schemeClr w14:val="tx1"/>
            </w14:solidFill>
          </w14:textFill>
        </w:rPr>
        <w:t>陷</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机中而</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7"/>
          <w:color w:val="000000" w:themeColor="text1"/>
          <w14:textFill>
            <w14:solidFill>
              <w14:schemeClr w14:val="tx1"/>
            </w14:solidFill>
          </w14:textFill>
        </w:rPr>
        <w:t>能</w:t>
      </w:r>
      <w:r>
        <w:rPr>
          <w:rFonts w:hint="eastAsia" w:ascii="宋体" w:hAnsi="宋体" w:cs="SSJ4+ZBNFQG-1"/>
          <w:color w:val="000000" w:themeColor="text1"/>
          <w14:textFill>
            <w14:solidFill>
              <w14:schemeClr w14:val="tx1"/>
            </w14:solidFill>
          </w14:textFill>
        </w:rPr>
        <w:t>自</w:t>
      </w:r>
      <w:r>
        <w:rPr>
          <w:rFonts w:hint="eastAsia" w:ascii="宋体" w:hAnsi="宋体" w:cs="FZSSK--GBK1-00+ZBNFQT-26"/>
          <w:color w:val="000000" w:themeColor="text1"/>
          <w14:textFill>
            <w14:solidFill>
              <w14:schemeClr w14:val="tx1"/>
            </w14:solidFill>
          </w14:textFill>
        </w:rPr>
        <w:t>拔</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在，</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J-13"/>
          <w:color w:val="000000" w:themeColor="text1"/>
          <w14:textFill>
            <w14:solidFill>
              <w14:schemeClr w14:val="tx1"/>
            </w14:solidFill>
          </w14:textFill>
        </w:rPr>
        <w:t>切</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7"/>
          <w:color w:val="000000" w:themeColor="text1"/>
          <w14:textFill>
            <w14:solidFill>
              <w14:schemeClr w14:val="tx1"/>
            </w14:solidFill>
          </w14:textFill>
        </w:rPr>
        <w:t>带</w:t>
      </w:r>
      <w:r>
        <w:rPr>
          <w:rFonts w:hint="eastAsia" w:ascii="宋体" w:hAnsi="宋体" w:cs="FZSSK--GBK1-00+ZBNFQT-26"/>
          <w:color w:val="000000" w:themeColor="text1"/>
          <w14:textFill>
            <w14:solidFill>
              <w14:schemeClr w14:val="tx1"/>
            </w14:solidFill>
          </w14:textFill>
        </w:rPr>
        <w:t>偏</w:t>
      </w:r>
      <w:r>
        <w:rPr>
          <w:rFonts w:hint="eastAsia" w:ascii="宋体" w:hAnsi="宋体" w:cs="FZSSK--GBK1-00+ZBNFQH-5"/>
          <w:color w:val="000000" w:themeColor="text1"/>
          <w14:textFill>
            <w14:solidFill>
              <w14:schemeClr w14:val="tx1"/>
            </w14:solidFill>
          </w14:textFill>
        </w:rPr>
        <w:t>见</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H-7"/>
          <w:color w:val="000000" w:themeColor="text1"/>
          <w14:textFill>
            <w14:solidFill>
              <w14:schemeClr w14:val="tx1"/>
            </w14:solidFill>
          </w14:textFill>
        </w:rPr>
        <w:t>都</w:t>
      </w:r>
      <w:r>
        <w:rPr>
          <w:rFonts w:hint="eastAsia" w:ascii="宋体" w:hAnsi="宋体" w:cs="SSJ4+ZBNFQG-1"/>
          <w:color w:val="000000" w:themeColor="text1"/>
          <w14:textFill>
            <w14:solidFill>
              <w14:schemeClr w14:val="tx1"/>
            </w14:solidFill>
          </w14:textFill>
        </w:rPr>
        <w:t>可以看出，由</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国主</w:t>
      </w:r>
      <w:r>
        <w:rPr>
          <w:rFonts w:hint="eastAsia" w:ascii="宋体" w:hAnsi="宋体" w:cs="FZSSK--GBK1-00+ZBNFQH-8"/>
          <w:color w:val="000000" w:themeColor="text1"/>
          <w14:textFill>
            <w14:solidFill>
              <w14:schemeClr w14:val="tx1"/>
            </w14:solidFill>
          </w14:textFill>
        </w:rPr>
        <w:t>导</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各</w:t>
      </w:r>
      <w:r>
        <w:rPr>
          <w:rFonts w:hint="eastAsia" w:ascii="宋体" w:hAnsi="宋体" w:cs="FZSSK--GBK1-00+ZBNFQH-5"/>
          <w:color w:val="000000" w:themeColor="text1"/>
          <w14:textFill>
            <w14:solidFill>
              <w14:schemeClr w14:val="tx1"/>
            </w14:solidFill>
          </w14:textFill>
        </w:rPr>
        <w:t>种</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阶</w:t>
      </w:r>
      <w:r>
        <w:rPr>
          <w:rFonts w:hint="eastAsia" w:ascii="宋体" w:hAnsi="宋体" w:cs="FZSSK--GBK1-00+ZBNFQH-7"/>
          <w:color w:val="000000" w:themeColor="text1"/>
          <w14:textFill>
            <w14:solidFill>
              <w14:schemeClr w14:val="tx1"/>
            </w14:solidFill>
          </w14:textFill>
        </w:rPr>
        <w:t>级</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H-5"/>
          <w:color w:val="000000" w:themeColor="text1"/>
          <w14:textFill>
            <w14:solidFill>
              <w14:schemeClr w14:val="tx1"/>
            </w14:solidFill>
          </w14:textFill>
        </w:rPr>
        <w:t>论</w:t>
      </w:r>
      <w:r>
        <w:rPr>
          <w:rFonts w:hint="eastAsia" w:ascii="宋体" w:hAnsi="宋体" w:cs="SSJ4+ZBNFQG-1"/>
          <w:color w:val="000000" w:themeColor="text1"/>
          <w14:textFill>
            <w14:solidFill>
              <w14:schemeClr w14:val="tx1"/>
            </w14:solidFill>
          </w14:textFill>
        </w:rPr>
        <w:t>和</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策</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7"/>
          <w:color w:val="000000" w:themeColor="text1"/>
          <w14:textFill>
            <w14:solidFill>
              <w14:schemeClr w14:val="tx1"/>
            </w14:solidFill>
          </w14:textFill>
        </w:rPr>
        <w:t>管</w:t>
      </w:r>
      <w:r>
        <w:rPr>
          <w:rFonts w:hint="eastAsia" w:ascii="宋体" w:hAnsi="宋体" w:cs="SSJ4+ZBNFQG-1"/>
          <w:color w:val="000000" w:themeColor="text1"/>
          <w14:textFill>
            <w14:solidFill>
              <w14:schemeClr w14:val="tx1"/>
            </w14:solidFill>
          </w14:textFill>
        </w:rPr>
        <w:t>是新自由主义</w:t>
      </w: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是</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w:t>
      </w:r>
      <w:r>
        <w:rPr>
          <w:rFonts w:hint="eastAsia" w:ascii="宋体" w:hAnsi="宋体" w:cs="FZSSK--GBK1-00+ZBNFQH-7"/>
          <w:color w:val="000000" w:themeColor="text1"/>
          <w14:textFill>
            <w14:solidFill>
              <w14:schemeClr w14:val="tx1"/>
            </w14:solidFill>
          </w14:textFill>
        </w:rPr>
        <w:t>都</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P-23"/>
          <w:color w:val="000000" w:themeColor="text1"/>
          <w14:textFill>
            <w14:solidFill>
              <w14:schemeClr w14:val="tx1"/>
            </w14:solidFill>
          </w14:textFill>
        </w:rPr>
        <w:t>挽</w:t>
      </w:r>
      <w:r>
        <w:rPr>
          <w:rFonts w:hint="eastAsia" w:ascii="宋体" w:hAnsi="宋体" w:cs="FZSSK--GBK1-00+ZBNFQJ-13"/>
          <w:color w:val="000000" w:themeColor="text1"/>
          <w14:textFill>
            <w14:solidFill>
              <w14:schemeClr w14:val="tx1"/>
            </w14:solidFill>
          </w14:textFill>
        </w:rPr>
        <w:t>救</w:t>
      </w:r>
      <w:r>
        <w:rPr>
          <w:rFonts w:hint="eastAsia" w:ascii="宋体" w:hAnsi="宋体" w:cs="SSJ4+ZBNFQG-1"/>
          <w:color w:val="000000" w:themeColor="text1"/>
          <w14:textFill>
            <w14:solidFill>
              <w14:schemeClr w14:val="tx1"/>
            </w14:solidFill>
          </w14:textFill>
        </w:rPr>
        <w:t>资本主义的</w:t>
      </w:r>
      <w:r>
        <w:rPr>
          <w:rFonts w:hint="eastAsia" w:ascii="宋体" w:hAnsi="宋体" w:cs="FZSSK--GBK1-00+ZBNFQJ-12"/>
          <w:color w:val="000000" w:themeColor="text1"/>
          <w14:textFill>
            <w14:solidFill>
              <w14:schemeClr w14:val="tx1"/>
            </w14:solidFill>
          </w14:textFill>
        </w:rPr>
        <w:t>命</w:t>
      </w:r>
      <w:r>
        <w:rPr>
          <w:rFonts w:hint="eastAsia" w:ascii="宋体" w:hAnsi="宋体" w:cs="FZSSK--GBK1-00+ZBNFQI-9"/>
          <w:color w:val="000000" w:themeColor="text1"/>
          <w14:textFill>
            <w14:solidFill>
              <w14:schemeClr w14:val="tx1"/>
            </w14:solidFill>
          </w14:textFill>
        </w:rPr>
        <w:t>运</w:t>
      </w:r>
      <w:r>
        <w:rPr>
          <w:rFonts w:hint="eastAsia" w:ascii="宋体" w:hAnsi="宋体" w:cs="SSJ4+ZBNFQG-1"/>
          <w:color w:val="000000" w:themeColor="text1"/>
          <w14:textFill>
            <w14:solidFill>
              <w14:schemeClr w14:val="tx1"/>
            </w14:solidFill>
          </w14:textFill>
        </w:rPr>
        <w:t>，而历</w:t>
      </w:r>
      <w:r>
        <w:rPr>
          <w:rFonts w:hint="eastAsia" w:ascii="宋体" w:hAnsi="宋体" w:cs="FZSSK--GBK1-00+ZBNFQH-7"/>
          <w:color w:val="000000" w:themeColor="text1"/>
          <w14:textFill>
            <w14:solidFill>
              <w14:schemeClr w14:val="tx1"/>
            </w14:solidFill>
          </w14:textFill>
        </w:rPr>
        <w:t>史</w:t>
      </w:r>
      <w:r>
        <w:rPr>
          <w:rFonts w:hint="eastAsia" w:ascii="宋体" w:hAnsi="宋体" w:cs="FZSSK--GBK1-00+ZBNFQH-5"/>
          <w:color w:val="000000" w:themeColor="text1"/>
          <w14:textFill>
            <w14:solidFill>
              <w14:schemeClr w14:val="tx1"/>
            </w14:solidFill>
          </w14:textFill>
        </w:rPr>
        <w:t>将</w:t>
      </w:r>
      <w:r>
        <w:rPr>
          <w:rFonts w:hint="eastAsia" w:ascii="宋体" w:hAnsi="宋体" w:cs="FZSSK--GBK1-00+ZBNFQH-8"/>
          <w:color w:val="000000" w:themeColor="text1"/>
          <w14:textFill>
            <w14:solidFill>
              <w14:schemeClr w14:val="tx1"/>
            </w14:solidFill>
          </w14:textFill>
        </w:rPr>
        <w:t>证</w:t>
      </w:r>
      <w:r>
        <w:rPr>
          <w:rFonts w:hint="eastAsia" w:ascii="宋体" w:hAnsi="宋体" w:cs="SSJ4+ZBNFQG-1"/>
          <w:color w:val="000000" w:themeColor="text1"/>
          <w14:textFill>
            <w14:solidFill>
              <w14:schemeClr w14:val="tx1"/>
            </w14:solidFill>
          </w14:textFill>
        </w:rPr>
        <w:t>明</w:t>
      </w:r>
      <w:r>
        <w:rPr>
          <w:rFonts w:hint="eastAsia" w:ascii="宋体" w:hAnsi="宋体" w:cs="FZSSK--GBK1-00+ZBNFQJ-12"/>
          <w:color w:val="000000" w:themeColor="text1"/>
          <w14:textFill>
            <w14:solidFill>
              <w14:schemeClr w14:val="tx1"/>
            </w14:solidFill>
          </w14:textFill>
        </w:rPr>
        <w:t>只</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I-10"/>
          <w:color w:val="000000" w:themeColor="text1"/>
          <w14:textFill>
            <w14:solidFill>
              <w14:schemeClr w14:val="tx1"/>
            </w14:solidFill>
          </w14:textFill>
        </w:rPr>
        <w:t>够</w:t>
      </w:r>
      <w:r>
        <w:rPr>
          <w:rFonts w:hint="eastAsia" w:ascii="宋体" w:hAnsi="宋体" w:cs="FZSSK--GBK1-00+ZBNFQQ-24"/>
          <w:color w:val="000000" w:themeColor="text1"/>
          <w14:textFill>
            <w14:solidFill>
              <w14:schemeClr w14:val="tx1"/>
            </w14:solidFill>
          </w14:textFill>
        </w:rPr>
        <w:t>拯</w:t>
      </w:r>
      <w:r>
        <w:rPr>
          <w:rFonts w:hint="eastAsia" w:ascii="宋体" w:hAnsi="宋体" w:cs="FZSSK--GBK1-00+ZBNFQJ-13"/>
          <w:color w:val="000000" w:themeColor="text1"/>
          <w14:textFill>
            <w14:solidFill>
              <w14:schemeClr w14:val="tx1"/>
            </w14:solidFill>
          </w14:textFill>
        </w:rPr>
        <w:t>救</w:t>
      </w:r>
      <w:r>
        <w:rPr>
          <w:rFonts w:hint="eastAsia" w:ascii="宋体" w:hAnsi="宋体" w:cs="SSJ4+ZBNFQG-1"/>
          <w:color w:val="000000" w:themeColor="text1"/>
          <w14:textFill>
            <w14:solidFill>
              <w14:schemeClr w14:val="tx1"/>
            </w14:solidFill>
          </w14:textFill>
        </w:rPr>
        <w:t>当前世界</w:t>
      </w:r>
      <w:r>
        <w:rPr>
          <w:rFonts w:hint="eastAsia" w:ascii="宋体" w:hAnsi="宋体" w:cs="SSJ0+ZBNFQG-4"/>
          <w:color w:val="000000" w:themeColor="text1"/>
          <w14:textFill>
            <w14:solidFill>
              <w14:schemeClr w14:val="tx1"/>
            </w14:solidFill>
          </w14:textFill>
        </w:rPr>
        <w:t>。</w:t>
      </w:r>
    </w:p>
    <w:p w14:paraId="02F79A24">
      <w:pPr>
        <w:spacing w:before="147" w:beforeLines="50" w:after="147" w:afterLines="50" w:line="400" w:lineRule="exact"/>
        <w:ind w:firstLine="480" w:firstLineChars="200"/>
        <w:jc w:val="center"/>
        <w:rPr>
          <w:rFonts w:hint="eastAsia" w:ascii="宋体" w:hAnsi="宋体" w:cs="SSJ4+ZBNFQG-1"/>
          <w:b/>
          <w:bCs/>
          <w:color w:val="000000" w:themeColor="text1"/>
          <w:kern w:val="28"/>
          <w:sz w:val="24"/>
          <w:szCs w:val="24"/>
          <w14:textFill>
            <w14:solidFill>
              <w14:schemeClr w14:val="tx1"/>
            </w14:solidFill>
          </w14:textFill>
        </w:rPr>
      </w:pPr>
      <w:r>
        <w:rPr>
          <w:rFonts w:hint="eastAsia" w:ascii="宋体" w:hAnsi="宋体"/>
          <w:b/>
          <w:bCs/>
          <w:color w:val="000000" w:themeColor="text1"/>
          <w:kern w:val="28"/>
          <w:sz w:val="24"/>
          <w:szCs w:val="24"/>
          <w14:textFill>
            <w14:solidFill>
              <w14:schemeClr w14:val="tx1"/>
            </w14:solidFill>
          </w14:textFill>
        </w:rPr>
        <w:t>超越新自由主义和凯恩斯主义，坚持中国特色社会主义</w:t>
      </w:r>
    </w:p>
    <w:p w14:paraId="34A19677">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要</w:t>
      </w:r>
      <w:r>
        <w:rPr>
          <w:rFonts w:hint="eastAsia" w:ascii="宋体" w:hAnsi="宋体" w:cs="FZSSK--GBK1-00+ZBNFQH-8"/>
          <w:color w:val="000000" w:themeColor="text1"/>
          <w14:textFill>
            <w14:solidFill>
              <w14:schemeClr w14:val="tx1"/>
            </w14:solidFill>
          </w14:textFill>
        </w:rPr>
        <w:t>应</w:t>
      </w:r>
      <w:r>
        <w:rPr>
          <w:rFonts w:hint="eastAsia" w:ascii="宋体" w:hAnsi="宋体" w:cs="SSJ4+ZBNFQG-1"/>
          <w:color w:val="000000" w:themeColor="text1"/>
          <w14:textFill>
            <w14:solidFill>
              <w14:schemeClr w14:val="tx1"/>
            </w14:solidFill>
          </w14:textFill>
        </w:rPr>
        <w:t>对</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SSJ4+ZBNFQG-1"/>
          <w:color w:val="000000" w:themeColor="text1"/>
          <w14:textFill>
            <w14:solidFill>
              <w14:schemeClr w14:val="tx1"/>
            </w14:solidFill>
          </w14:textFill>
        </w:rPr>
        <w:t>资本主义</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机对中国的</w:t>
      </w:r>
      <w:r>
        <w:rPr>
          <w:rFonts w:hint="eastAsia" w:ascii="宋体" w:hAnsi="宋体" w:cs="FZSSK--GBK1-00+ZBNFQH-7"/>
          <w:color w:val="000000" w:themeColor="text1"/>
          <w14:textFill>
            <w14:solidFill>
              <w14:schemeClr w14:val="tx1"/>
            </w14:solidFill>
          </w14:textFill>
        </w:rPr>
        <w:t>巨</w:t>
      </w:r>
      <w:r>
        <w:rPr>
          <w:rFonts w:hint="eastAsia" w:ascii="宋体" w:hAnsi="宋体" w:cs="SSJ4+ZBNFQG-1"/>
          <w:color w:val="000000" w:themeColor="text1"/>
          <w14:textFill>
            <w14:solidFill>
              <w14:schemeClr w14:val="tx1"/>
            </w14:solidFill>
          </w14:textFill>
        </w:rPr>
        <w:t>大挑战，我</w:t>
      </w:r>
      <w:r>
        <w:rPr>
          <w:rFonts w:hint="eastAsia" w:ascii="宋体" w:hAnsi="宋体" w:cs="FZSSK--GBK1-00+ZBNFQH-5"/>
          <w:color w:val="000000" w:themeColor="text1"/>
          <w14:textFill>
            <w14:solidFill>
              <w14:schemeClr w14:val="tx1"/>
            </w14:solidFill>
          </w14:textFill>
        </w:rPr>
        <w:t>们</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K-14"/>
          <w:color w:val="000000" w:themeColor="text1"/>
          <w14:textFill>
            <w14:solidFill>
              <w14:schemeClr w14:val="tx1"/>
            </w14:solidFill>
          </w14:textFill>
        </w:rPr>
        <w:t>须</w:t>
      </w:r>
      <w:r>
        <w:rPr>
          <w:rFonts w:hint="eastAsia" w:ascii="宋体" w:hAnsi="宋体" w:cs="FZSSK--GBK1-00+ZBNFQO-21"/>
          <w:color w:val="000000" w:themeColor="text1"/>
          <w14:textFill>
            <w14:solidFill>
              <w14:schemeClr w14:val="tx1"/>
            </w14:solidFill>
          </w14:textFill>
        </w:rPr>
        <w:t>警</w:t>
      </w:r>
      <w:r>
        <w:rPr>
          <w:rFonts w:hint="eastAsia" w:ascii="宋体" w:hAnsi="宋体" w:cs="FZSSK--GBK1-00+ZBNFQQ-24"/>
          <w:color w:val="000000" w:themeColor="text1"/>
          <w14:textFill>
            <w14:solidFill>
              <w14:schemeClr w14:val="tx1"/>
            </w14:solidFill>
          </w14:textFill>
        </w:rPr>
        <w:t>惕</w:t>
      </w:r>
      <w:r>
        <w:rPr>
          <w:rFonts w:hint="eastAsia" w:ascii="宋体" w:hAnsi="宋体" w:cs="SSJ4+ZBNFQG-1"/>
          <w:color w:val="000000" w:themeColor="text1"/>
          <w14:textFill>
            <w14:solidFill>
              <w14:schemeClr w14:val="tx1"/>
            </w14:solidFill>
          </w14:textFill>
        </w:rPr>
        <w:t>新自由主义和</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w:t>
      </w:r>
      <w:r>
        <w:rPr>
          <w:rFonts w:hint="eastAsia" w:ascii="宋体" w:hAnsi="宋体" w:cs="FZSSK--GBK1-00+ZBNFQI-10"/>
          <w:color w:val="000000" w:themeColor="text1"/>
          <w14:textFill>
            <w14:solidFill>
              <w14:schemeClr w14:val="tx1"/>
            </w14:solidFill>
          </w14:textFill>
        </w:rPr>
        <w:t>坚持</w:t>
      </w:r>
      <w:r>
        <w:rPr>
          <w:rFonts w:hint="eastAsia" w:ascii="宋体" w:hAnsi="宋体" w:cs="SSJ4+ZBNFQG-1"/>
          <w:color w:val="000000" w:themeColor="text1"/>
          <w14:textFill>
            <w14:solidFill>
              <w14:schemeClr w14:val="tx1"/>
            </w14:solidFill>
          </w14:textFill>
        </w:rPr>
        <w:t>中国</w:t>
      </w:r>
      <w:r>
        <w:rPr>
          <w:rFonts w:hint="eastAsia" w:ascii="宋体" w:hAnsi="宋体" w:cs="FZSSK--GBK1-00+ZBNFQH-5"/>
          <w:color w:val="000000" w:themeColor="text1"/>
          <w14:textFill>
            <w14:solidFill>
              <w14:schemeClr w14:val="tx1"/>
            </w14:solidFill>
          </w14:textFill>
        </w:rPr>
        <w:t>特</w:t>
      </w:r>
      <w:r>
        <w:rPr>
          <w:rFonts w:hint="eastAsia" w:ascii="宋体" w:hAnsi="宋体" w:cs="FZSSK--GBK1-00+ZBNFQI-10"/>
          <w:color w:val="000000" w:themeColor="text1"/>
          <w14:textFill>
            <w14:solidFill>
              <w14:schemeClr w14:val="tx1"/>
            </w14:solidFill>
          </w14:textFill>
        </w:rPr>
        <w:t>色</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w:t>
      </w:r>
      <w:r>
        <w:rPr>
          <w:rFonts w:hint="eastAsia" w:ascii="宋体" w:hAnsi="宋体" w:cs="SSJ0+ZBNFQG-4"/>
          <w:color w:val="000000" w:themeColor="text1"/>
          <w14:textFill>
            <w14:solidFill>
              <w14:schemeClr w14:val="tx1"/>
            </w14:solidFill>
          </w14:textFill>
        </w:rPr>
        <w:t>。</w:t>
      </w:r>
    </w:p>
    <w:p w14:paraId="4A692E5C">
      <w:pPr>
        <w:autoSpaceDE w:val="0"/>
        <w:autoSpaceDN w:val="0"/>
        <w:adjustRightInd w:val="0"/>
        <w:spacing w:line="400" w:lineRule="exact"/>
        <w:ind w:firstLine="420" w:firstLineChars="200"/>
        <w:jc w:val="left"/>
        <w:rPr>
          <w:rFonts w:hint="eastAsia" w:ascii="宋体" w:hAnsi="宋体" w:cs="FZSSK--GBK1-00+ZBNFQT-26"/>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新自由主义</w:t>
      </w:r>
      <w:r>
        <w:rPr>
          <w:rFonts w:hint="eastAsia" w:ascii="宋体" w:hAnsi="宋体" w:cs="FZSSK--GBK1-00+ZBNFQH-5"/>
          <w:color w:val="000000" w:themeColor="text1"/>
          <w14:textFill>
            <w14:solidFill>
              <w14:schemeClr w14:val="tx1"/>
            </w14:solidFill>
          </w14:textFill>
        </w:rPr>
        <w:t>这种</w:t>
      </w:r>
      <w:r>
        <w:rPr>
          <w:rFonts w:hint="eastAsia" w:ascii="宋体" w:hAnsi="宋体" w:cs="FZSSK--GBK1-00+ZBNFQI-10"/>
          <w:color w:val="000000" w:themeColor="text1"/>
          <w14:textFill>
            <w14:solidFill>
              <w14:schemeClr w14:val="tx1"/>
            </w14:solidFill>
          </w14:textFill>
        </w:rPr>
        <w:t>思</w:t>
      </w:r>
      <w:r>
        <w:rPr>
          <w:rFonts w:hint="eastAsia" w:ascii="宋体" w:hAnsi="宋体" w:cs="FZSSK--GBK1-00+ZBNFQI-9"/>
          <w:color w:val="000000" w:themeColor="text1"/>
          <w14:textFill>
            <w14:solidFill>
              <w14:schemeClr w14:val="tx1"/>
            </w14:solidFill>
          </w14:textFill>
        </w:rPr>
        <w:t>潮</w:t>
      </w:r>
      <w:r>
        <w:rPr>
          <w:rFonts w:hint="eastAsia" w:ascii="宋体" w:hAnsi="宋体" w:cs="SSJ4+ZBNFQG-1"/>
          <w:color w:val="000000" w:themeColor="text1"/>
          <w14:textFill>
            <w14:solidFill>
              <w14:schemeClr w14:val="tx1"/>
            </w14:solidFill>
          </w14:textFill>
        </w:rPr>
        <w:t>主要是由资</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阶</w:t>
      </w:r>
      <w:r>
        <w:rPr>
          <w:rFonts w:hint="eastAsia" w:ascii="宋体" w:hAnsi="宋体" w:cs="FZSSK--GBK1-00+ZBNFQH-7"/>
          <w:color w:val="000000" w:themeColor="text1"/>
          <w14:textFill>
            <w14:solidFill>
              <w14:schemeClr w14:val="tx1"/>
            </w14:solidFill>
          </w14:textFill>
        </w:rPr>
        <w:t>级</w:t>
      </w:r>
      <w:r>
        <w:rPr>
          <w:rFonts w:hint="eastAsia" w:ascii="宋体" w:hAnsi="宋体" w:cs="FZSSK--GBK1-00+ZBNFQK-15"/>
          <w:color w:val="000000" w:themeColor="text1"/>
          <w14:textFill>
            <w14:solidFill>
              <w14:schemeClr w14:val="tx1"/>
            </w14:solidFill>
          </w14:textFill>
        </w:rPr>
        <w:t>右</w:t>
      </w:r>
      <w:r>
        <w:rPr>
          <w:rFonts w:hint="eastAsia" w:ascii="宋体" w:hAnsi="宋体" w:cs="FZSSK--GBK1-00+ZBNFQI-9"/>
          <w:color w:val="000000" w:themeColor="text1"/>
          <w14:textFill>
            <w14:solidFill>
              <w14:schemeClr w14:val="tx1"/>
            </w14:solidFill>
          </w14:textFill>
        </w:rPr>
        <w:t>翼</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10"/>
          <w:color w:val="000000" w:themeColor="text1"/>
          <w14:textFill>
            <w14:solidFill>
              <w14:schemeClr w14:val="tx1"/>
            </w14:solidFill>
          </w14:textFill>
        </w:rPr>
        <w:t>党</w:t>
      </w:r>
      <w:r>
        <w:rPr>
          <w:rFonts w:hint="eastAsia" w:ascii="宋体" w:hAnsi="宋体" w:cs="FZSSK--GBK1-00+ZBNFQH-5"/>
          <w:color w:val="000000" w:themeColor="text1"/>
          <w14:textFill>
            <w14:solidFill>
              <w14:schemeClr w14:val="tx1"/>
            </w14:solidFill>
          </w14:textFill>
        </w:rPr>
        <w:t>如</w:t>
      </w:r>
      <w:r>
        <w:rPr>
          <w:rFonts w:hint="eastAsia" w:ascii="宋体" w:hAnsi="宋体" w:cs="FZSSK--GBK1-00+ZBNFQI-9"/>
          <w:color w:val="000000" w:themeColor="text1"/>
          <w14:textFill>
            <w14:solidFill>
              <w14:schemeClr w14:val="tx1"/>
            </w14:solidFill>
          </w14:textFill>
        </w:rPr>
        <w:t>英</w:t>
      </w:r>
      <w:r>
        <w:rPr>
          <w:rFonts w:hint="eastAsia" w:ascii="宋体" w:hAnsi="宋体" w:cs="SSJ4+ZBNFQG-1"/>
          <w:color w:val="000000" w:themeColor="text1"/>
          <w14:textFill>
            <w14:solidFill>
              <w14:schemeClr w14:val="tx1"/>
            </w14:solidFill>
          </w14:textFill>
        </w:rPr>
        <w:t>国的</w:t>
      </w:r>
      <w:r>
        <w:rPr>
          <w:rFonts w:hint="eastAsia" w:ascii="宋体" w:hAnsi="宋体" w:cs="FZSSK--GBK1-00+ZBNFQI-9"/>
          <w:color w:val="000000" w:themeColor="text1"/>
          <w14:textFill>
            <w14:solidFill>
              <w14:schemeClr w14:val="tx1"/>
            </w14:solidFill>
          </w14:textFill>
        </w:rPr>
        <w:t>保</w:t>
      </w:r>
      <w:r>
        <w:rPr>
          <w:rFonts w:hint="eastAsia" w:ascii="宋体" w:hAnsi="宋体" w:cs="FZSSK--GBK1-00+ZBNFQT-26"/>
          <w:color w:val="000000" w:themeColor="text1"/>
          <w14:textFill>
            <w14:solidFill>
              <w14:schemeClr w14:val="tx1"/>
            </w14:solidFill>
          </w14:textFill>
        </w:rPr>
        <w:t>守</w:t>
      </w:r>
      <w:r>
        <w:rPr>
          <w:rFonts w:hint="eastAsia" w:ascii="宋体" w:hAnsi="宋体" w:cs="FZSSK--GBK1-00+ZBNFQI-10"/>
          <w:color w:val="000000" w:themeColor="text1"/>
          <w14:textFill>
            <w14:solidFill>
              <w14:schemeClr w14:val="tx1"/>
            </w14:solidFill>
          </w14:textFill>
        </w:rPr>
        <w:t>党</w:t>
      </w:r>
      <w:r>
        <w:rPr>
          <w:rFonts w:hint="eastAsia" w:ascii="宋体" w:hAnsi="宋体" w:cs="FZSSK--GBK1-00+ZBNFQH-7"/>
          <w:color w:val="000000" w:themeColor="text1"/>
          <w14:textFill>
            <w14:solidFill>
              <w14:schemeClr w14:val="tx1"/>
            </w14:solidFill>
          </w14:textFill>
        </w:rPr>
        <w:t>等</w:t>
      </w:r>
      <w:r>
        <w:rPr>
          <w:rFonts w:hint="eastAsia" w:ascii="宋体" w:hAnsi="宋体" w:cs="FZSSK--GBK1-00+ZBNFQH-8"/>
          <w:color w:val="000000" w:themeColor="text1"/>
          <w14:textFill>
            <w14:solidFill>
              <w14:schemeClr w14:val="tx1"/>
            </w14:solidFill>
          </w14:textFill>
        </w:rPr>
        <w:t>推</w:t>
      </w:r>
      <w:r>
        <w:rPr>
          <w:rFonts w:hint="eastAsia" w:ascii="宋体" w:hAnsi="宋体" w:cs="FZSSK--GBK1-00+ZBNFQI-10"/>
          <w:color w:val="000000" w:themeColor="text1"/>
          <w14:textFill>
            <w14:solidFill>
              <w14:schemeClr w14:val="tx1"/>
            </w14:solidFill>
          </w14:textFill>
        </w:rPr>
        <w:t>行</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新自由主义的经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模</w:t>
      </w:r>
      <w:r>
        <w:rPr>
          <w:rFonts w:hint="eastAsia" w:ascii="宋体" w:hAnsi="宋体" w:cs="FZSSK--GBK1-00+ZBNFQI-10"/>
          <w:color w:val="000000" w:themeColor="text1"/>
          <w14:textFill>
            <w14:solidFill>
              <w14:schemeClr w14:val="tx1"/>
            </w14:solidFill>
          </w14:textFill>
        </w:rPr>
        <w:t>式</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第一</w:t>
      </w:r>
      <w:r>
        <w:rPr>
          <w:rFonts w:hint="eastAsia" w:ascii="宋体" w:hAnsi="宋体" w:cs="FZSSK--GBK1-00+ZBNFQH-7"/>
          <w:color w:val="000000" w:themeColor="text1"/>
          <w14:textFill>
            <w14:solidFill>
              <w14:schemeClr w14:val="tx1"/>
            </w14:solidFill>
          </w14:textFill>
        </w:rPr>
        <w:t>强</w:t>
      </w:r>
      <w:r>
        <w:rPr>
          <w:rFonts w:hint="eastAsia" w:ascii="宋体" w:hAnsi="宋体" w:cs="SSJ4+ZBNFQG-1"/>
          <w:color w:val="000000" w:themeColor="text1"/>
          <w14:textFill>
            <w14:solidFill>
              <w14:schemeClr w14:val="tx1"/>
            </w14:solidFill>
          </w14:textFill>
        </w:rPr>
        <w:t>调经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非</w:t>
      </w:r>
      <w:r>
        <w:rPr>
          <w:rFonts w:hint="eastAsia" w:ascii="宋体" w:hAnsi="宋体" w:cs="SSJ4+ZBNFQG-1"/>
          <w:color w:val="000000" w:themeColor="text1"/>
          <w14:textFill>
            <w14:solidFill>
              <w14:schemeClr w14:val="tx1"/>
            </w14:solidFill>
          </w14:textFill>
        </w:rPr>
        <w:t>调</w:t>
      </w:r>
      <w:r>
        <w:rPr>
          <w:rFonts w:hint="eastAsia" w:ascii="宋体" w:hAnsi="宋体" w:cs="FZSSK--GBK1-00+ZBNFQJ-12"/>
          <w:color w:val="000000" w:themeColor="text1"/>
          <w14:textFill>
            <w14:solidFill>
              <w14:schemeClr w14:val="tx1"/>
            </w14:solidFill>
          </w14:textFill>
        </w:rPr>
        <w:t>控</w:t>
      </w:r>
      <w:r>
        <w:rPr>
          <w:rFonts w:hint="eastAsia" w:ascii="宋体" w:hAnsi="宋体" w:cs="SSJ4+ZBNFQG-1"/>
          <w:color w:val="000000" w:themeColor="text1"/>
          <w14:textFill>
            <w14:solidFill>
              <w14:schemeClr w14:val="tx1"/>
            </w14:solidFill>
          </w14:textFill>
        </w:rPr>
        <w:t>化，主</w:t>
      </w:r>
      <w:r>
        <w:rPr>
          <w:rFonts w:hint="eastAsia" w:ascii="宋体" w:hAnsi="宋体" w:cs="FZSSK--GBK1-00+ZBNFQQ-24"/>
          <w:color w:val="000000" w:themeColor="text1"/>
          <w14:textFill>
            <w14:solidFill>
              <w14:schemeClr w14:val="tx1"/>
            </w14:solidFill>
          </w14:textFill>
        </w:rPr>
        <w:t>张</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w:t>
      </w:r>
      <w:r>
        <w:rPr>
          <w:rFonts w:hint="eastAsia" w:ascii="宋体" w:hAnsi="宋体" w:cs="FZSSK--GBK1-00+ZBNFQH-8"/>
          <w:color w:val="000000" w:themeColor="text1"/>
          <w14:textFill>
            <w14:solidFill>
              <w14:schemeClr w14:val="tx1"/>
            </w14:solidFill>
          </w14:textFill>
        </w:rPr>
        <w:t>万</w:t>
      </w:r>
      <w:r>
        <w:rPr>
          <w:rFonts w:hint="eastAsia" w:ascii="宋体" w:hAnsi="宋体" w:cs="FZSSK--GBK1-00+ZBNFQH-7"/>
          <w:color w:val="000000" w:themeColor="text1"/>
          <w14:textFill>
            <w14:solidFill>
              <w14:schemeClr w14:val="tx1"/>
            </w14:solidFill>
          </w14:textFill>
        </w:rPr>
        <w:t>能</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第</w:t>
      </w:r>
      <w:r>
        <w:rPr>
          <w:rFonts w:hint="eastAsia" w:ascii="宋体" w:hAnsi="宋体" w:cs="FZSSK--GBK1-00+ZBNFQH-7"/>
          <w:color w:val="000000" w:themeColor="text1"/>
          <w14:textFill>
            <w14:solidFill>
              <w14:schemeClr w14:val="tx1"/>
            </w14:solidFill>
          </w14:textFill>
        </w:rPr>
        <w:t>二</w:t>
      </w:r>
      <w:r>
        <w:rPr>
          <w:rFonts w:hint="eastAsia" w:ascii="宋体" w:hAnsi="宋体" w:cs="SSJ4+ZBNFQG-1"/>
          <w:color w:val="000000" w:themeColor="text1"/>
          <w14:textFill>
            <w14:solidFill>
              <w14:schemeClr w14:val="tx1"/>
            </w14:solidFill>
          </w14:textFill>
        </w:rPr>
        <w:t>是主</w:t>
      </w:r>
      <w:r>
        <w:rPr>
          <w:rFonts w:hint="eastAsia" w:ascii="宋体" w:hAnsi="宋体" w:cs="FZSSK--GBK1-00+ZBNFQQ-24"/>
          <w:color w:val="000000" w:themeColor="text1"/>
          <w14:textFill>
            <w14:solidFill>
              <w14:schemeClr w14:val="tx1"/>
            </w14:solidFill>
          </w14:textFill>
        </w:rPr>
        <w:t>张</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有化，</w:t>
      </w:r>
      <w:r>
        <w:rPr>
          <w:rFonts w:hint="eastAsia" w:ascii="宋体" w:hAnsi="宋体" w:cs="FZSSK--GBK1-00+ZBNFQI-9"/>
          <w:color w:val="000000" w:themeColor="text1"/>
          <w14:textFill>
            <w14:solidFill>
              <w14:schemeClr w14:val="tx1"/>
            </w14:solidFill>
          </w14:textFill>
        </w:rPr>
        <w:t>反</w:t>
      </w:r>
      <w:r>
        <w:rPr>
          <w:rFonts w:hint="eastAsia" w:ascii="宋体" w:hAnsi="宋体" w:cs="SSJ4+ZBNFQG-1"/>
          <w:color w:val="000000" w:themeColor="text1"/>
          <w14:textFill>
            <w14:solidFill>
              <w14:schemeClr w14:val="tx1"/>
            </w14:solidFill>
          </w14:textFill>
        </w:rPr>
        <w:t>对</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第</w:t>
      </w:r>
      <w:r>
        <w:rPr>
          <w:rFonts w:hint="eastAsia" w:ascii="宋体" w:hAnsi="宋体" w:cs="FZSSK--GBK1-00+ZBNFQH-7"/>
          <w:color w:val="000000" w:themeColor="text1"/>
          <w14:textFill>
            <w14:solidFill>
              <w14:schemeClr w14:val="tx1"/>
            </w14:solidFill>
          </w14:textFill>
        </w:rPr>
        <w:t>三</w:t>
      </w:r>
      <w:r>
        <w:rPr>
          <w:rFonts w:hint="eastAsia" w:ascii="宋体" w:hAnsi="宋体" w:cs="SSJ4+ZBNFQG-1"/>
          <w:color w:val="000000" w:themeColor="text1"/>
          <w14:textFill>
            <w14:solidFill>
              <w14:schemeClr w14:val="tx1"/>
            </w14:solidFill>
          </w14:textFill>
        </w:rPr>
        <w:t>是主</w:t>
      </w:r>
      <w:r>
        <w:rPr>
          <w:rFonts w:hint="eastAsia" w:ascii="宋体" w:hAnsi="宋体" w:cs="FZSSK--GBK1-00+ZBNFQQ-24"/>
          <w:color w:val="000000" w:themeColor="text1"/>
          <w14:textFill>
            <w14:solidFill>
              <w14:schemeClr w14:val="tx1"/>
            </w14:solidFill>
          </w14:textFill>
        </w:rPr>
        <w:t>张</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5"/>
          <w:color w:val="000000" w:themeColor="text1"/>
          <w14:textFill>
            <w14:solidFill>
              <w14:schemeClr w14:val="tx1"/>
            </w14:solidFill>
          </w14:textFill>
        </w:rPr>
        <w:t>完全</w:t>
      </w:r>
      <w:r>
        <w:rPr>
          <w:rFonts w:hint="eastAsia" w:ascii="宋体" w:hAnsi="宋体" w:cs="SSJ4+ZBNFQG-1"/>
          <w:color w:val="000000" w:themeColor="text1"/>
          <w14:textFill>
            <w14:solidFill>
              <w14:schemeClr w14:val="tx1"/>
            </w14:solidFill>
          </w14:textFill>
        </w:rPr>
        <w:t>的自由化，而</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个自由化</w:t>
      </w:r>
      <w:r>
        <w:rPr>
          <w:rFonts w:hint="eastAsia" w:ascii="宋体" w:hAnsi="宋体" w:cs="FZSSK--GBK1-00+ZBNFQH-8"/>
          <w:color w:val="000000" w:themeColor="text1"/>
          <w14:textFill>
            <w14:solidFill>
              <w14:schemeClr w14:val="tx1"/>
            </w14:solidFill>
          </w14:textFill>
        </w:rPr>
        <w:t>又</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L-16"/>
          <w:color w:val="000000" w:themeColor="text1"/>
          <w14:textFill>
            <w14:solidFill>
              <w14:schemeClr w14:val="tx1"/>
            </w14:solidFill>
          </w14:textFill>
        </w:rPr>
        <w:t>护</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发</w:t>
      </w:r>
      <w:r>
        <w:rPr>
          <w:rFonts w:hint="eastAsia" w:ascii="宋体" w:hAnsi="宋体" w:cs="FZSSK--GBK1-00+ZBNFQH-8"/>
          <w:color w:val="000000" w:themeColor="text1"/>
          <w14:textFill>
            <w14:solidFill>
              <w14:schemeClr w14:val="tx1"/>
            </w14:solidFill>
          </w14:textFill>
        </w:rPr>
        <w:t>达</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主</w:t>
      </w:r>
      <w:r>
        <w:rPr>
          <w:rFonts w:hint="eastAsia" w:ascii="宋体" w:hAnsi="宋体" w:cs="FZSSK--GBK1-00+ZBNFQH-8"/>
          <w:color w:val="000000" w:themeColor="text1"/>
          <w14:textFill>
            <w14:solidFill>
              <w14:schemeClr w14:val="tx1"/>
            </w14:solidFill>
          </w14:textFill>
        </w:rPr>
        <w:t>导下</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正的经</w:t>
      </w:r>
      <w:r>
        <w:rPr>
          <w:rFonts w:hint="eastAsia" w:ascii="宋体" w:hAnsi="宋体" w:cs="FZSSK--GBK1-00+ZBNFQH-7"/>
          <w:color w:val="000000" w:themeColor="text1"/>
          <w14:textFill>
            <w14:solidFill>
              <w14:schemeClr w14:val="tx1"/>
            </w14:solidFill>
          </w14:textFill>
        </w:rPr>
        <w:t>济</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政治</w:t>
      </w:r>
      <w:r>
        <w:rPr>
          <w:rFonts w:hint="eastAsia" w:ascii="宋体" w:hAnsi="宋体" w:cs="FZSSK--GBK1-00+ZBNFQL-16"/>
          <w:color w:val="000000" w:themeColor="text1"/>
          <w14:textFill>
            <w14:solidFill>
              <w14:schemeClr w14:val="tx1"/>
            </w14:solidFill>
          </w14:textFill>
        </w:rPr>
        <w:t>秩序</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反</w:t>
      </w:r>
      <w:r>
        <w:rPr>
          <w:rFonts w:hint="eastAsia" w:ascii="宋体" w:hAnsi="宋体" w:cs="SSJ4+ZBNFQG-1"/>
          <w:color w:val="000000" w:themeColor="text1"/>
          <w14:textFill>
            <w14:solidFill>
              <w14:schemeClr w14:val="tx1"/>
            </w14:solidFill>
          </w14:textFill>
        </w:rPr>
        <w:t>对发展中国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I-10"/>
          <w:color w:val="000000" w:themeColor="text1"/>
          <w14:textFill>
            <w14:solidFill>
              <w14:schemeClr w14:val="tx1"/>
            </w14:solidFill>
          </w14:textFill>
        </w:rPr>
        <w:t>改</w:t>
      </w:r>
      <w:r>
        <w:rPr>
          <w:rFonts w:hint="eastAsia" w:ascii="宋体" w:hAnsi="宋体" w:cs="SSJ4+ZBNFQG-1"/>
          <w:color w:val="000000" w:themeColor="text1"/>
          <w14:textFill>
            <w14:solidFill>
              <w14:schemeClr w14:val="tx1"/>
            </w14:solidFill>
          </w14:textFill>
        </w:rPr>
        <w:t>变</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有的</w:t>
      </w:r>
      <w:r>
        <w:rPr>
          <w:rFonts w:hint="eastAsia" w:ascii="宋体" w:hAnsi="宋体" w:cs="FZSSK--GBK1-00+ZBNFQI-9"/>
          <w:color w:val="000000" w:themeColor="text1"/>
          <w14:textFill>
            <w14:solidFill>
              <w14:schemeClr w14:val="tx1"/>
            </w14:solidFill>
          </w14:textFill>
        </w:rPr>
        <w:t>很</w:t>
      </w:r>
      <w:r>
        <w:rPr>
          <w:rFonts w:hint="eastAsia" w:ascii="宋体" w:hAnsi="宋体" w:cs="SSJ4+ZBNFQG-1"/>
          <w:color w:val="000000" w:themeColor="text1"/>
          <w14:textFill>
            <w14:solidFill>
              <w14:schemeClr w14:val="tx1"/>
            </w14:solidFill>
          </w14:textFill>
        </w:rPr>
        <w:t>多</w:t>
      </w:r>
      <w:r>
        <w:rPr>
          <w:rFonts w:hint="eastAsia" w:ascii="宋体" w:hAnsi="宋体" w:cs="FZSSK--GBK1-00+ZBNFQH-5"/>
          <w:color w:val="000000" w:themeColor="text1"/>
          <w14:textFill>
            <w14:solidFill>
              <w14:schemeClr w14:val="tx1"/>
            </w14:solidFill>
          </w14:textFill>
        </w:rPr>
        <w:t>不合</w:t>
      </w:r>
      <w:r>
        <w:rPr>
          <w:rFonts w:hint="eastAsia" w:ascii="宋体" w:hAnsi="宋体" w:cs="FZSSK--GBK1-00+ZBNFQI-9"/>
          <w:color w:val="000000" w:themeColor="text1"/>
          <w14:textFill>
            <w14:solidFill>
              <w14:schemeClr w14:val="tx1"/>
            </w14:solidFill>
          </w14:textFill>
        </w:rPr>
        <w:t>理</w:t>
      </w:r>
      <w:r>
        <w:rPr>
          <w:rFonts w:hint="eastAsia" w:ascii="宋体" w:hAnsi="宋体" w:cs="SSJ4+ZBNFQG-1"/>
          <w:color w:val="000000" w:themeColor="text1"/>
          <w14:textFill>
            <w14:solidFill>
              <w14:schemeClr w14:val="tx1"/>
            </w14:solidFill>
          </w14:textFill>
        </w:rPr>
        <w:t>的国际经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规</w:t>
      </w:r>
      <w:r>
        <w:rPr>
          <w:rFonts w:hint="eastAsia" w:ascii="宋体" w:hAnsi="宋体" w:cs="FZSSK--GBK1-00+ZBNFQH-8"/>
          <w:color w:val="000000" w:themeColor="text1"/>
          <w14:textFill>
            <w14:solidFill>
              <w14:schemeClr w14:val="tx1"/>
            </w14:solidFill>
          </w14:textFill>
        </w:rPr>
        <w:t>则</w:t>
      </w:r>
      <w:r>
        <w:rPr>
          <w:rFonts w:hint="eastAsia" w:ascii="宋体" w:hAnsi="宋体" w:cs="SSJ4+ZBNFQG-1"/>
          <w:color w:val="000000" w:themeColor="text1"/>
          <w14:textFill>
            <w14:solidFill>
              <w14:schemeClr w14:val="tx1"/>
            </w14:solidFill>
          </w14:textFill>
        </w:rPr>
        <w:t>和</w:t>
      </w:r>
      <w:r>
        <w:rPr>
          <w:rFonts w:hint="eastAsia" w:ascii="宋体" w:hAnsi="宋体" w:cs="FZSSK--GBK1-00+ZBNFQL-16"/>
          <w:color w:val="000000" w:themeColor="text1"/>
          <w14:textFill>
            <w14:solidFill>
              <w14:schemeClr w14:val="tx1"/>
            </w14:solidFill>
          </w14:textFill>
        </w:rPr>
        <w:t>秩序</w:t>
      </w:r>
      <w:r>
        <w:rPr>
          <w:rFonts w:hint="eastAsia" w:ascii="宋体" w:hAnsi="宋体" w:cs="SSJ4+ZBNFQG-1"/>
          <w:color w:val="000000" w:themeColor="text1"/>
          <w14:textFill>
            <w14:solidFill>
              <w14:schemeClr w14:val="tx1"/>
            </w14:solidFill>
          </w14:textFill>
        </w:rPr>
        <w:t>的要</w:t>
      </w:r>
      <w:r>
        <w:rPr>
          <w:rFonts w:hint="eastAsia" w:ascii="宋体" w:hAnsi="宋体" w:cs="FZSSK--GBK1-00+ZBNFQK-15"/>
          <w:color w:val="000000" w:themeColor="text1"/>
          <w14:textFill>
            <w14:solidFill>
              <w14:schemeClr w14:val="tx1"/>
            </w14:solidFill>
          </w14:textFill>
        </w:rPr>
        <w:t>求</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第</w:t>
      </w:r>
      <w:r>
        <w:rPr>
          <w:rFonts w:hint="eastAsia" w:ascii="宋体" w:hAnsi="宋体" w:cs="FZSSK--GBK1-00+ZBNFQI-10"/>
          <w:color w:val="000000" w:themeColor="text1"/>
          <w14:textFill>
            <w14:solidFill>
              <w14:schemeClr w14:val="tx1"/>
            </w14:solidFill>
          </w14:textFill>
        </w:rPr>
        <w:t>四</w:t>
      </w:r>
      <w:r>
        <w:rPr>
          <w:rFonts w:hint="eastAsia" w:ascii="宋体" w:hAnsi="宋体" w:cs="SSJ4+ZBNFQG-1"/>
          <w:color w:val="000000" w:themeColor="text1"/>
          <w14:textFill>
            <w14:solidFill>
              <w14:schemeClr w14:val="tx1"/>
            </w14:solidFill>
          </w14:textFill>
        </w:rPr>
        <w:t>是主</w:t>
      </w:r>
      <w:r>
        <w:rPr>
          <w:rFonts w:hint="eastAsia" w:ascii="宋体" w:hAnsi="宋体" w:cs="FZSSK--GBK1-00+ZBNFQQ-24"/>
          <w:color w:val="000000" w:themeColor="text1"/>
          <w14:textFill>
            <w14:solidFill>
              <w14:schemeClr w14:val="tx1"/>
            </w14:solidFill>
          </w14:textFill>
        </w:rPr>
        <w:t>张</w:t>
      </w:r>
      <w:r>
        <w:rPr>
          <w:rFonts w:hint="eastAsia" w:ascii="宋体" w:hAnsi="宋体" w:cs="FZSSK--GBK1-00+ZBNFQJ-12"/>
          <w:color w:val="000000" w:themeColor="text1"/>
          <w14:textFill>
            <w14:solidFill>
              <w14:schemeClr w14:val="tx1"/>
            </w14:solidFill>
          </w14:textFill>
        </w:rPr>
        <w:t>福</w:t>
      </w:r>
      <w:r>
        <w:rPr>
          <w:rFonts w:hint="eastAsia" w:ascii="宋体" w:hAnsi="宋体" w:cs="FZSSK--GBK1-00+ZBNFQH-8"/>
          <w:color w:val="000000" w:themeColor="text1"/>
          <w14:textFill>
            <w14:solidFill>
              <w14:schemeClr w14:val="tx1"/>
            </w14:solidFill>
          </w14:textFill>
        </w:rPr>
        <w:t>利</w:t>
      </w:r>
      <w:r>
        <w:rPr>
          <w:rFonts w:hint="eastAsia" w:ascii="宋体" w:hAnsi="宋体" w:cs="SSJ4+ZBNFQG-1"/>
          <w:color w:val="000000" w:themeColor="text1"/>
          <w14:textFill>
            <w14:solidFill>
              <w14:schemeClr w14:val="tx1"/>
            </w14:solidFill>
          </w14:textFill>
        </w:rPr>
        <w:t>个</w:t>
      </w:r>
      <w:r>
        <w:rPr>
          <w:rFonts w:hint="eastAsia" w:ascii="宋体" w:hAnsi="宋体" w:cs="FZSSK--GBK1-00+ZBNFQH-5"/>
          <w:color w:val="000000" w:themeColor="text1"/>
          <w14:textFill>
            <w14:solidFill>
              <w14:schemeClr w14:val="tx1"/>
            </w14:solidFill>
          </w14:textFill>
        </w:rPr>
        <w:t>人</w:t>
      </w:r>
      <w:r>
        <w:rPr>
          <w:rFonts w:hint="eastAsia" w:ascii="宋体" w:hAnsi="宋体" w:cs="SSJ4+ZBNFQG-1"/>
          <w:color w:val="000000" w:themeColor="text1"/>
          <w14:textFill>
            <w14:solidFill>
              <w14:schemeClr w14:val="tx1"/>
            </w14:solidFill>
          </w14:textFill>
        </w:rPr>
        <w:t>化，</w:t>
      </w:r>
      <w:r>
        <w:rPr>
          <w:rFonts w:hint="eastAsia" w:ascii="宋体" w:hAnsi="宋体" w:cs="FZSSK--GBK1-00+ZBNFQI-9"/>
          <w:color w:val="000000" w:themeColor="text1"/>
          <w14:textFill>
            <w14:solidFill>
              <w14:schemeClr w14:val="tx1"/>
            </w14:solidFill>
          </w14:textFill>
        </w:rPr>
        <w:t>反</w:t>
      </w:r>
      <w:r>
        <w:rPr>
          <w:rFonts w:hint="eastAsia" w:ascii="宋体" w:hAnsi="宋体" w:cs="SSJ4+ZBNFQG-1"/>
          <w:color w:val="000000" w:themeColor="text1"/>
          <w14:textFill>
            <w14:solidFill>
              <w14:schemeClr w14:val="tx1"/>
            </w14:solidFill>
          </w14:textFill>
        </w:rPr>
        <w:t>对</w:t>
      </w:r>
      <w:r>
        <w:rPr>
          <w:rFonts w:hint="eastAsia" w:ascii="宋体" w:hAnsi="宋体" w:cs="FZSSK--GBK1-00+ZBNFQJ-12"/>
          <w:color w:val="000000" w:themeColor="text1"/>
          <w14:textFill>
            <w14:solidFill>
              <w14:schemeClr w14:val="tx1"/>
            </w14:solidFill>
          </w14:textFill>
        </w:rPr>
        <w:t>福</w:t>
      </w:r>
      <w:r>
        <w:rPr>
          <w:rFonts w:hint="eastAsia" w:ascii="宋体" w:hAnsi="宋体" w:cs="FZSSK--GBK1-00+ZBNFQH-8"/>
          <w:color w:val="000000" w:themeColor="text1"/>
          <w14:textFill>
            <w14:solidFill>
              <w14:schemeClr w14:val="tx1"/>
            </w14:solidFill>
          </w14:textFill>
        </w:rPr>
        <w:t>利</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福</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策</w:t>
      </w:r>
      <w:r>
        <w:rPr>
          <w:rFonts w:hint="eastAsia" w:ascii="宋体" w:hAnsi="宋体" w:cs="FZSSK--GBK1-00+ZBNFQH-7"/>
          <w:color w:val="000000" w:themeColor="text1"/>
          <w14:textFill>
            <w14:solidFill>
              <w14:schemeClr w14:val="tx1"/>
            </w14:solidFill>
          </w14:textFill>
        </w:rPr>
        <w:t>等等</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这种</w:t>
      </w:r>
      <w:r>
        <w:rPr>
          <w:rFonts w:hint="eastAsia" w:ascii="宋体" w:hAnsi="宋体" w:cs="SSJ4+ZBNFQG-1"/>
          <w:color w:val="000000" w:themeColor="text1"/>
          <w14:textFill>
            <w14:solidFill>
              <w14:schemeClr w14:val="tx1"/>
            </w14:solidFill>
          </w14:textFill>
        </w:rPr>
        <w:t>主</w:t>
      </w:r>
      <w:r>
        <w:rPr>
          <w:rFonts w:hint="eastAsia" w:ascii="宋体" w:hAnsi="宋体" w:cs="FZSSK--GBK1-00+ZBNFQQ-24"/>
          <w:color w:val="000000" w:themeColor="text1"/>
          <w14:textFill>
            <w14:solidFill>
              <w14:schemeClr w14:val="tx1"/>
            </w14:solidFill>
          </w14:textFill>
        </w:rPr>
        <w:t>张</w:t>
      </w:r>
      <w:r>
        <w:rPr>
          <w:rFonts w:hint="eastAsia" w:ascii="宋体" w:hAnsi="宋体" w:cs="SSJ4+ZBNFQG-1"/>
          <w:color w:val="000000" w:themeColor="text1"/>
          <w14:textFill>
            <w14:solidFill>
              <w14:schemeClr w14:val="tx1"/>
            </w14:solidFill>
          </w14:textFill>
        </w:rPr>
        <w:t>是国际大</w:t>
      </w:r>
      <w:r>
        <w:rPr>
          <w:rFonts w:hint="eastAsia" w:ascii="宋体" w:hAnsi="宋体" w:cs="FZSSK--GBK1-00+ZBNFQH-5"/>
          <w:color w:val="000000" w:themeColor="text1"/>
          <w14:textFill>
            <w14:solidFill>
              <w14:schemeClr w14:val="tx1"/>
            </w14:solidFill>
          </w14:textFill>
        </w:rPr>
        <w:t>垄断</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阶</w:t>
      </w:r>
      <w:r>
        <w:rPr>
          <w:rFonts w:hint="eastAsia" w:ascii="宋体" w:hAnsi="宋体" w:cs="FZSSK--GBK1-00+ZBNFQH-7"/>
          <w:color w:val="000000" w:themeColor="text1"/>
          <w14:textFill>
            <w14:solidFill>
              <w14:schemeClr w14:val="tx1"/>
            </w14:solidFill>
          </w14:textFill>
        </w:rPr>
        <w:t>级</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一种</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意</w:t>
      </w:r>
      <w:r>
        <w:rPr>
          <w:rFonts w:hint="eastAsia" w:ascii="宋体" w:hAnsi="宋体" w:cs="FZSSK--GBK1-00+ZBNFQI-10"/>
          <w:color w:val="000000" w:themeColor="text1"/>
          <w14:textFill>
            <w14:solidFill>
              <w14:schemeClr w14:val="tx1"/>
            </w14:solidFill>
          </w14:textFill>
        </w:rPr>
        <w:t>识</w:t>
      </w:r>
      <w:r>
        <w:rPr>
          <w:rFonts w:hint="eastAsia" w:ascii="宋体" w:hAnsi="宋体" w:cs="SSJ4+ZBNFQG-1"/>
          <w:color w:val="000000" w:themeColor="text1"/>
          <w14:textFill>
            <w14:solidFill>
              <w14:schemeClr w14:val="tx1"/>
            </w14:solidFill>
          </w14:textFill>
        </w:rPr>
        <w:t>形</w:t>
      </w:r>
      <w:r>
        <w:rPr>
          <w:rFonts w:hint="eastAsia" w:ascii="宋体" w:hAnsi="宋体" w:cs="FZSSK--GBK1-00+ZBNFQH-7"/>
          <w:color w:val="000000" w:themeColor="text1"/>
          <w14:textFill>
            <w14:solidFill>
              <w14:schemeClr w14:val="tx1"/>
            </w14:solidFill>
          </w14:textFill>
        </w:rPr>
        <w:t>态</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当前新自由主义深</w:t>
      </w:r>
      <w:r>
        <w:rPr>
          <w:rFonts w:hint="eastAsia" w:ascii="宋体" w:hAnsi="宋体" w:cs="FZSSK--GBK1-00+ZBNFQH-8"/>
          <w:color w:val="000000" w:themeColor="text1"/>
          <w14:textFill>
            <w14:solidFill>
              <w14:schemeClr w14:val="tx1"/>
            </w14:solidFill>
          </w14:textFill>
        </w:rPr>
        <w:t>陷</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机之中，在世界</w:t>
      </w:r>
      <w:r>
        <w:rPr>
          <w:rFonts w:hint="eastAsia" w:ascii="宋体" w:hAnsi="宋体" w:cs="FZSSK--GBK1-00+ZBNFQH-7"/>
          <w:color w:val="000000" w:themeColor="text1"/>
          <w14:textFill>
            <w14:solidFill>
              <w14:schemeClr w14:val="tx1"/>
            </w14:solidFill>
          </w14:textFill>
        </w:rPr>
        <w:t>上</w:t>
      </w:r>
      <w:r>
        <w:rPr>
          <w:rFonts w:hint="eastAsia" w:ascii="宋体" w:hAnsi="宋体" w:cs="FZSSK--GBK1-00+ZBNFQH-5"/>
          <w:color w:val="000000" w:themeColor="text1"/>
          <w14:textFill>
            <w14:solidFill>
              <w14:schemeClr w14:val="tx1"/>
            </w14:solidFill>
          </w14:textFill>
        </w:rPr>
        <w:t>已</w:t>
      </w:r>
      <w:r>
        <w:rPr>
          <w:rFonts w:hint="eastAsia" w:ascii="宋体" w:hAnsi="宋体" w:cs="SSJ4+ZBNFQG-1"/>
          <w:color w:val="000000" w:themeColor="text1"/>
          <w14:textFill>
            <w14:solidFill>
              <w14:schemeClr w14:val="tx1"/>
            </w14:solidFill>
          </w14:textFill>
        </w:rPr>
        <w:t>经</w:t>
      </w:r>
      <w:r>
        <w:rPr>
          <w:rFonts w:hint="eastAsia" w:ascii="宋体" w:hAnsi="宋体" w:cs="FZSSK--GBK1-00+ZBNFQO-21"/>
          <w:color w:val="000000" w:themeColor="text1"/>
          <w14:textFill>
            <w14:solidFill>
              <w14:schemeClr w14:val="tx1"/>
            </w14:solidFill>
          </w14:textFill>
        </w:rPr>
        <w:t>臭</w:t>
      </w:r>
      <w:r>
        <w:rPr>
          <w:rFonts w:hint="eastAsia" w:ascii="宋体" w:hAnsi="宋体" w:cs="FZSSK--GBK1-00+ZBNFQM-17"/>
          <w:color w:val="000000" w:themeColor="text1"/>
          <w14:textFill>
            <w14:solidFill>
              <w14:schemeClr w14:val="tx1"/>
            </w14:solidFill>
          </w14:textFill>
        </w:rPr>
        <w:t>名</w:t>
      </w:r>
      <w:r>
        <w:rPr>
          <w:rFonts w:hint="eastAsia" w:ascii="宋体" w:hAnsi="宋体" w:cs="FZSSK--GBK1-00+ZBNFQT-26"/>
          <w:color w:val="000000" w:themeColor="text1"/>
          <w14:textFill>
            <w14:solidFill>
              <w14:schemeClr w14:val="tx1"/>
            </w14:solidFill>
          </w14:textFill>
        </w:rPr>
        <w:t>昭著</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由于中国</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w:t>
      </w:r>
      <w:r>
        <w:rPr>
          <w:rFonts w:hint="eastAsia" w:ascii="宋体" w:hAnsi="宋体" w:cs="FZSSK--GBK1-00+ZBNFQI-9"/>
          <w:color w:val="000000" w:themeColor="text1"/>
          <w14:textFill>
            <w14:solidFill>
              <w14:schemeClr w14:val="tx1"/>
            </w14:solidFill>
          </w14:textFill>
        </w:rPr>
        <w:t>初</w:t>
      </w:r>
      <w:r>
        <w:rPr>
          <w:rFonts w:hint="eastAsia" w:ascii="宋体" w:hAnsi="宋体" w:cs="FZSSK--GBK1-00+ZBNFQH-7"/>
          <w:color w:val="000000" w:themeColor="text1"/>
          <w14:textFill>
            <w14:solidFill>
              <w14:schemeClr w14:val="tx1"/>
            </w14:solidFill>
          </w14:textFill>
        </w:rPr>
        <w:t>级</w:t>
      </w:r>
      <w:r>
        <w:rPr>
          <w:rFonts w:hint="eastAsia" w:ascii="宋体" w:hAnsi="宋体" w:cs="SSJ4+ZBNFQG-1"/>
          <w:color w:val="000000" w:themeColor="text1"/>
          <w14:textFill>
            <w14:solidFill>
              <w14:schemeClr w14:val="tx1"/>
            </w14:solidFill>
          </w14:textFill>
        </w:rPr>
        <w:t>阶段的</w:t>
      </w:r>
      <w:r>
        <w:rPr>
          <w:rFonts w:hint="eastAsia" w:ascii="宋体" w:hAnsi="宋体" w:cs="FZSSK--GBK1-00+ZBNFQI-9"/>
          <w:color w:val="000000" w:themeColor="text1"/>
          <w14:textFill>
            <w14:solidFill>
              <w14:schemeClr w14:val="tx1"/>
            </w14:solidFill>
          </w14:textFill>
        </w:rPr>
        <w:t>基</w:t>
      </w:r>
      <w:r>
        <w:rPr>
          <w:rFonts w:hint="eastAsia" w:ascii="宋体" w:hAnsi="宋体" w:cs="SSJ4+ZBNFQG-1"/>
          <w:color w:val="000000" w:themeColor="text1"/>
          <w14:textFill>
            <w14:solidFill>
              <w14:schemeClr w14:val="tx1"/>
            </w14:solidFill>
          </w14:textFill>
        </w:rPr>
        <w:t>本经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FZSSK--GBK1-00+ZBNFQH-7"/>
          <w:color w:val="000000" w:themeColor="text1"/>
          <w14:textFill>
            <w14:solidFill>
              <w14:schemeClr w14:val="tx1"/>
            </w14:solidFill>
          </w14:textFill>
        </w:rPr>
        <w:t>具</w:t>
      </w:r>
      <w:r>
        <w:rPr>
          <w:rFonts w:hint="eastAsia" w:ascii="宋体" w:hAnsi="宋体" w:cs="SSJ4+ZBNFQG-1"/>
          <w:color w:val="000000" w:themeColor="text1"/>
          <w14:textFill>
            <w14:solidFill>
              <w14:schemeClr w14:val="tx1"/>
            </w14:solidFill>
          </w14:textFill>
        </w:rPr>
        <w:t>有</w:t>
      </w:r>
      <w:r>
        <w:rPr>
          <w:rFonts w:hint="eastAsia" w:ascii="宋体" w:hAnsi="宋体" w:cs="FZSSK--GBK1-00+ZBNFQH-7"/>
          <w:color w:val="000000" w:themeColor="text1"/>
          <w14:textFill>
            <w14:solidFill>
              <w14:schemeClr w14:val="tx1"/>
            </w14:solidFill>
          </w14:textFill>
        </w:rPr>
        <w:t>巨</w:t>
      </w:r>
      <w:r>
        <w:rPr>
          <w:rFonts w:hint="eastAsia" w:ascii="宋体" w:hAnsi="宋体" w:cs="SSJ4+ZBNFQG-1"/>
          <w:color w:val="000000" w:themeColor="text1"/>
          <w14:textFill>
            <w14:solidFill>
              <w14:schemeClr w14:val="tx1"/>
            </w14:solidFill>
          </w14:textFill>
        </w:rPr>
        <w:t>大</w:t>
      </w:r>
      <w:r>
        <w:rPr>
          <w:rFonts w:hint="eastAsia" w:ascii="宋体" w:hAnsi="宋体" w:cs="FZSSK--GBK1-00+ZBNFQL-16"/>
          <w:color w:val="000000" w:themeColor="text1"/>
          <w14:textFill>
            <w14:solidFill>
              <w14:schemeClr w14:val="tx1"/>
            </w14:solidFill>
          </w14:textFill>
        </w:rPr>
        <w:t>优</w:t>
      </w:r>
      <w:r>
        <w:rPr>
          <w:rFonts w:hint="eastAsia" w:ascii="宋体" w:hAnsi="宋体" w:cs="SSJ4+ZBNFQG-1"/>
          <w:color w:val="000000" w:themeColor="text1"/>
          <w14:textFill>
            <w14:solidFill>
              <w14:schemeClr w14:val="tx1"/>
            </w14:solidFill>
          </w14:textFill>
        </w:rPr>
        <w:t>势，我国</w:t>
      </w:r>
      <w:r>
        <w:rPr>
          <w:rFonts w:hint="eastAsia" w:ascii="宋体" w:hAnsi="宋体" w:cs="FZSSK--GBK1-00+ZBNFQI-10"/>
          <w:color w:val="000000" w:themeColor="text1"/>
          <w14:textFill>
            <w14:solidFill>
              <w14:schemeClr w14:val="tx1"/>
            </w14:solidFill>
          </w14:textFill>
        </w:rPr>
        <w:t>受</w:t>
      </w:r>
      <w:r>
        <w:rPr>
          <w:rFonts w:hint="eastAsia" w:ascii="宋体" w:hAnsi="宋体" w:cs="FZSSK--GBK1-00+ZBNFQH-8"/>
          <w:color w:val="000000" w:themeColor="text1"/>
          <w14:textFill>
            <w14:solidFill>
              <w14:schemeClr w14:val="tx1"/>
            </w14:solidFill>
          </w14:textFill>
        </w:rPr>
        <w:t>西方</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机的</w:t>
      </w:r>
      <w:r>
        <w:rPr>
          <w:rFonts w:hint="eastAsia" w:ascii="宋体" w:hAnsi="宋体" w:cs="FZSSK--GBK1-00+ZBNFQJ-13"/>
          <w:color w:val="000000" w:themeColor="text1"/>
          <w14:textFill>
            <w14:solidFill>
              <w14:schemeClr w14:val="tx1"/>
            </w14:solidFill>
          </w14:textFill>
        </w:rPr>
        <w:t>影响</w:t>
      </w:r>
      <w:r>
        <w:rPr>
          <w:rFonts w:hint="eastAsia" w:ascii="宋体" w:hAnsi="宋体" w:cs="FZSSK--GBK1-00+ZBNFQH-5"/>
          <w:color w:val="000000" w:themeColor="text1"/>
          <w14:textFill>
            <w14:solidFill>
              <w14:schemeClr w14:val="tx1"/>
            </w14:solidFill>
          </w14:textFill>
        </w:rPr>
        <w:t>还不</w:t>
      </w:r>
      <w:r>
        <w:rPr>
          <w:rFonts w:hint="eastAsia" w:ascii="宋体" w:hAnsi="宋体" w:cs="FZSSK--GBK1-00+ZBNFQI-9"/>
          <w:color w:val="000000" w:themeColor="text1"/>
          <w14:textFill>
            <w14:solidFill>
              <w14:schemeClr w14:val="tx1"/>
            </w14:solidFill>
          </w14:textFill>
        </w:rPr>
        <w:t>很</w:t>
      </w:r>
      <w:r>
        <w:rPr>
          <w:rFonts w:hint="eastAsia" w:ascii="宋体" w:hAnsi="宋体" w:cs="FZSSK--GBK1-00+ZBNFQJ-13"/>
          <w:color w:val="000000" w:themeColor="text1"/>
          <w14:textFill>
            <w14:solidFill>
              <w14:schemeClr w14:val="tx1"/>
            </w14:solidFill>
          </w14:textFill>
        </w:rPr>
        <w:t>严</w:t>
      </w:r>
      <w:r>
        <w:rPr>
          <w:rFonts w:hint="eastAsia" w:ascii="宋体" w:hAnsi="宋体" w:cs="SSJ4+ZBNFQG-1"/>
          <w:color w:val="000000" w:themeColor="text1"/>
          <w14:textFill>
            <w14:solidFill>
              <w14:schemeClr w14:val="tx1"/>
            </w14:solidFill>
          </w14:textFill>
        </w:rPr>
        <w:t>重，</w:t>
      </w:r>
      <w:r>
        <w:rPr>
          <w:rFonts w:hint="eastAsia" w:ascii="宋体" w:hAnsi="宋体" w:cs="FZSSK--GBK1-00+ZBNFQH-5"/>
          <w:color w:val="000000" w:themeColor="text1"/>
          <w14:textFill>
            <w14:solidFill>
              <w14:schemeClr w14:val="tx1"/>
            </w14:solidFill>
          </w14:textFill>
        </w:rPr>
        <w:t>因此</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I-9"/>
          <w:color w:val="000000" w:themeColor="text1"/>
          <w14:textFill>
            <w14:solidFill>
              <w14:schemeClr w14:val="tx1"/>
            </w14:solidFill>
          </w14:textFill>
        </w:rPr>
        <w:t>少</w:t>
      </w:r>
      <w:r>
        <w:rPr>
          <w:rFonts w:hint="eastAsia" w:ascii="宋体" w:hAnsi="宋体" w:cs="FZSSK--GBK1-00+ZBNFQH-5"/>
          <w:color w:val="000000" w:themeColor="text1"/>
          <w14:textFill>
            <w14:solidFill>
              <w14:schemeClr w14:val="tx1"/>
            </w14:solidFill>
          </w14:textFill>
        </w:rPr>
        <w:t>人</w:t>
      </w:r>
      <w:r>
        <w:rPr>
          <w:rFonts w:hint="eastAsia" w:ascii="宋体" w:hAnsi="宋体" w:cs="SSJ4+ZBNFQG-1"/>
          <w:color w:val="000000" w:themeColor="text1"/>
          <w14:textFill>
            <w14:solidFill>
              <w14:schemeClr w14:val="tx1"/>
            </w14:solidFill>
          </w14:textFill>
        </w:rPr>
        <w:t>对于新自由主义的</w:t>
      </w:r>
      <w:r>
        <w:rPr>
          <w:rFonts w:hint="eastAsia" w:ascii="宋体" w:hAnsi="宋体" w:cs="FZSSK--GBK1-00+ZBNFQH-5"/>
          <w:color w:val="000000" w:themeColor="text1"/>
          <w14:textFill>
            <w14:solidFill>
              <w14:schemeClr w14:val="tx1"/>
            </w14:solidFill>
          </w14:textFill>
        </w:rPr>
        <w:t>危害还认</w:t>
      </w:r>
      <w:r>
        <w:rPr>
          <w:rFonts w:hint="eastAsia" w:ascii="宋体" w:hAnsi="宋体" w:cs="FZSSK--GBK1-00+ZBNFQI-10"/>
          <w:color w:val="000000" w:themeColor="text1"/>
          <w14:textFill>
            <w14:solidFill>
              <w14:schemeClr w14:val="tx1"/>
            </w14:solidFill>
          </w14:textFill>
        </w:rPr>
        <w:t>识</w:t>
      </w:r>
      <w:r>
        <w:rPr>
          <w:rFonts w:hint="eastAsia" w:ascii="宋体" w:hAnsi="宋体" w:cs="FZSSK--GBK1-00+ZBNFQH-8"/>
          <w:color w:val="000000" w:themeColor="text1"/>
          <w14:textFill>
            <w14:solidFill>
              <w14:schemeClr w14:val="tx1"/>
            </w14:solidFill>
          </w14:textFill>
        </w:rPr>
        <w:t>得</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I-10"/>
          <w:color w:val="000000" w:themeColor="text1"/>
          <w14:textFill>
            <w14:solidFill>
              <w14:schemeClr w14:val="tx1"/>
            </w14:solidFill>
          </w14:textFill>
        </w:rPr>
        <w:t>够</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总</w:t>
      </w:r>
      <w:r>
        <w:rPr>
          <w:rFonts w:hint="eastAsia" w:ascii="宋体" w:hAnsi="宋体" w:cs="FZSSK--GBK1-00+ZBNFQI-10"/>
          <w:color w:val="000000" w:themeColor="text1"/>
          <w14:textFill>
            <w14:solidFill>
              <w14:schemeClr w14:val="tx1"/>
            </w14:solidFill>
          </w14:textFill>
        </w:rPr>
        <w:t>想</w:t>
      </w:r>
      <w:r>
        <w:rPr>
          <w:rFonts w:hint="eastAsia" w:ascii="宋体" w:hAnsi="宋体" w:cs="FZSSK--GBK1-00+ZBNFQJ-13"/>
          <w:color w:val="000000" w:themeColor="text1"/>
          <w14:textFill>
            <w14:solidFill>
              <w14:schemeClr w14:val="tx1"/>
            </w14:solidFill>
          </w14:textFill>
        </w:rPr>
        <w:t>继</w:t>
      </w:r>
      <w:r>
        <w:rPr>
          <w:rFonts w:hint="eastAsia" w:ascii="宋体" w:hAnsi="宋体" w:cs="FZSSK--GBK1-00+ZBNFQH-8"/>
          <w:color w:val="000000" w:themeColor="text1"/>
          <w14:textFill>
            <w14:solidFill>
              <w14:schemeClr w14:val="tx1"/>
            </w14:solidFill>
          </w14:textFill>
        </w:rPr>
        <w:t>续</w:t>
      </w:r>
      <w:r>
        <w:rPr>
          <w:rFonts w:hint="eastAsia" w:ascii="宋体" w:hAnsi="宋体" w:cs="SSJ4+ZBNFQG-1"/>
          <w:color w:val="000000" w:themeColor="text1"/>
          <w14:textFill>
            <w14:solidFill>
              <w14:schemeClr w14:val="tx1"/>
            </w14:solidFill>
          </w14:textFill>
        </w:rPr>
        <w:t>在中国</w:t>
      </w:r>
      <w:r>
        <w:rPr>
          <w:rFonts w:hint="eastAsia" w:ascii="宋体" w:hAnsi="宋体" w:cs="FZSSK--GBK1-00+ZBNFQH-8"/>
          <w:color w:val="000000" w:themeColor="text1"/>
          <w14:textFill>
            <w14:solidFill>
              <w14:schemeClr w14:val="tx1"/>
            </w14:solidFill>
          </w14:textFill>
        </w:rPr>
        <w:t>推</w:t>
      </w:r>
      <w:r>
        <w:rPr>
          <w:rFonts w:hint="eastAsia" w:ascii="宋体" w:hAnsi="宋体" w:cs="FZSSK--GBK1-00+ZBNFQH-5"/>
          <w:color w:val="000000" w:themeColor="text1"/>
          <w14:textFill>
            <w14:solidFill>
              <w14:schemeClr w14:val="tx1"/>
            </w14:solidFill>
          </w14:textFill>
        </w:rPr>
        <w:t>进这</w:t>
      </w:r>
      <w:r>
        <w:rPr>
          <w:rFonts w:hint="eastAsia" w:ascii="宋体" w:hAnsi="宋体" w:cs="FZSSK--GBK1-00+ZBNFQJ-13"/>
          <w:color w:val="000000" w:themeColor="text1"/>
          <w14:textFill>
            <w14:solidFill>
              <w14:schemeClr w14:val="tx1"/>
            </w14:solidFill>
          </w14:textFill>
        </w:rPr>
        <w:t>条</w:t>
      </w:r>
      <w:r>
        <w:rPr>
          <w:rFonts w:hint="eastAsia" w:ascii="宋体" w:hAnsi="宋体" w:cs="FZSSK--GBK1-00+ZBNFQH-7"/>
          <w:color w:val="000000" w:themeColor="text1"/>
          <w14:textFill>
            <w14:solidFill>
              <w14:schemeClr w14:val="tx1"/>
            </w14:solidFill>
          </w14:textFill>
        </w:rPr>
        <w:t>道</w:t>
      </w:r>
      <w:r>
        <w:rPr>
          <w:rFonts w:hint="eastAsia" w:ascii="宋体" w:hAnsi="宋体" w:cs="FZSSK--GBK1-00+ZBNFQK-15"/>
          <w:color w:val="000000" w:themeColor="text1"/>
          <w14:textFill>
            <w14:solidFill>
              <w14:schemeClr w14:val="tx1"/>
            </w14:solidFill>
          </w14:textFill>
        </w:rPr>
        <w:t>路</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可以说是</w:t>
      </w:r>
      <w:r>
        <w:rPr>
          <w:rFonts w:hint="eastAsia" w:ascii="宋体" w:hAnsi="宋体" w:cs="FZSSK--GBK1-00+ZBNFQH-5"/>
          <w:color w:val="000000" w:themeColor="text1"/>
          <w14:textFill>
            <w14:solidFill>
              <w14:schemeClr w14:val="tx1"/>
            </w14:solidFill>
          </w14:textFill>
        </w:rPr>
        <w:t>不</w:t>
      </w:r>
      <w:r>
        <w:rPr>
          <w:rFonts w:hint="eastAsia" w:ascii="宋体" w:hAnsi="宋体" w:cs="SSJ4+ZBNFQG-1"/>
          <w:color w:val="000000" w:themeColor="text1"/>
          <w14:textFill>
            <w14:solidFill>
              <w14:schemeClr w14:val="tx1"/>
            </w14:solidFill>
          </w14:textFill>
        </w:rPr>
        <w:t>知</w:t>
      </w:r>
      <w:r>
        <w:rPr>
          <w:rFonts w:hint="eastAsia" w:ascii="宋体" w:hAnsi="宋体" w:cs="FZSSK--GBK1-00+ZBNFQK-14"/>
          <w:color w:val="000000" w:themeColor="text1"/>
          <w14:textFill>
            <w14:solidFill>
              <w14:schemeClr w14:val="tx1"/>
            </w14:solidFill>
          </w14:textFill>
        </w:rPr>
        <w:t>天</w:t>
      </w:r>
      <w:r>
        <w:rPr>
          <w:rFonts w:hint="eastAsia" w:ascii="宋体" w:hAnsi="宋体" w:cs="FZSSK--GBK1-00+ZBNFQH-8"/>
          <w:color w:val="000000" w:themeColor="text1"/>
          <w14:textFill>
            <w14:solidFill>
              <w14:schemeClr w14:val="tx1"/>
            </w14:solidFill>
          </w14:textFill>
        </w:rPr>
        <w:t>下</w:t>
      </w:r>
      <w:r>
        <w:rPr>
          <w:rFonts w:hint="eastAsia" w:ascii="宋体" w:hAnsi="宋体" w:cs="SSJ4+ZBNFQG-1"/>
          <w:color w:val="000000" w:themeColor="text1"/>
          <w14:textFill>
            <w14:solidFill>
              <w14:schemeClr w14:val="tx1"/>
            </w14:solidFill>
          </w14:textFill>
        </w:rPr>
        <w:t>大势的</w:t>
      </w:r>
      <w:r>
        <w:rPr>
          <w:rFonts w:hint="eastAsia" w:ascii="宋体" w:hAnsi="宋体" w:cs="FZSSK--GBK1-00+ZBNFQN-20"/>
          <w:color w:val="000000" w:themeColor="text1"/>
          <w14:textFill>
            <w14:solidFill>
              <w14:schemeClr w14:val="tx1"/>
            </w14:solidFill>
          </w14:textFill>
        </w:rPr>
        <w:t>梦</w:t>
      </w:r>
      <w:r>
        <w:rPr>
          <w:rFonts w:hint="eastAsia" w:ascii="宋体" w:hAnsi="宋体" w:cs="FZSSK--GBK1-00+ZBNFQT-26"/>
          <w:color w:val="000000" w:themeColor="text1"/>
          <w14:textFill>
            <w14:solidFill>
              <w14:schemeClr w14:val="tx1"/>
            </w14:solidFill>
          </w14:textFill>
        </w:rPr>
        <w:t>呓</w:t>
      </w:r>
      <w:r>
        <w:rPr>
          <w:rFonts w:hint="eastAsia" w:ascii="宋体" w:hAnsi="宋体" w:cs="SSJ0+ZBNFQG-4"/>
          <w:color w:val="000000" w:themeColor="text1"/>
          <w14:textFill>
            <w14:solidFill>
              <w14:schemeClr w14:val="tx1"/>
            </w14:solidFill>
          </w14:textFill>
        </w:rPr>
        <w:t>。</w:t>
      </w:r>
    </w:p>
    <w:p w14:paraId="2E1CF661">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主义主要由</w:t>
      </w:r>
      <w:r>
        <w:rPr>
          <w:rFonts w:hint="eastAsia" w:ascii="宋体" w:hAnsi="宋体" w:cs="FZSSK--GBK1-00+ZBNFQH-7"/>
          <w:color w:val="000000" w:themeColor="text1"/>
          <w14:textFill>
            <w14:solidFill>
              <w14:schemeClr w14:val="tx1"/>
            </w14:solidFill>
          </w14:textFill>
        </w:rPr>
        <w:t>各</w:t>
      </w:r>
      <w:r>
        <w:rPr>
          <w:rFonts w:hint="eastAsia" w:ascii="宋体" w:hAnsi="宋体" w:cs="SSJ4+ZBNFQG-1"/>
          <w:color w:val="000000" w:themeColor="text1"/>
          <w14:textFill>
            <w14:solidFill>
              <w14:schemeClr w14:val="tx1"/>
            </w14:solidFill>
          </w14:textFill>
        </w:rPr>
        <w:t>国的</w:t>
      </w:r>
      <w:r>
        <w:rPr>
          <w:rFonts w:hint="eastAsia" w:ascii="宋体" w:hAnsi="宋体" w:cs="FZSSK--GBK1-00+ZBNFQH-5"/>
          <w:color w:val="000000" w:themeColor="text1"/>
          <w14:textFill>
            <w14:solidFill>
              <w14:schemeClr w14:val="tx1"/>
            </w14:solidFill>
          </w14:textFill>
        </w:rPr>
        <w:t>社</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I-10"/>
          <w:color w:val="000000" w:themeColor="text1"/>
          <w14:textFill>
            <w14:solidFill>
              <w14:schemeClr w14:val="tx1"/>
            </w14:solidFill>
          </w14:textFill>
        </w:rPr>
        <w:t>党</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英</w:t>
      </w:r>
      <w:r>
        <w:rPr>
          <w:rFonts w:hint="eastAsia" w:ascii="宋体" w:hAnsi="宋体" w:cs="SSJ4+ZBNFQG-1"/>
          <w:color w:val="000000" w:themeColor="text1"/>
          <w14:textFill>
            <w14:solidFill>
              <w14:schemeClr w14:val="tx1"/>
            </w14:solidFill>
          </w14:textFill>
        </w:rPr>
        <w:t>国的</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I-10"/>
          <w:color w:val="000000" w:themeColor="text1"/>
          <w14:textFill>
            <w14:solidFill>
              <w14:schemeClr w14:val="tx1"/>
            </w14:solidFill>
          </w14:textFill>
        </w:rPr>
        <w:t>党</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资本主义中</w:t>
      </w:r>
      <w:r>
        <w:rPr>
          <w:rFonts w:hint="eastAsia" w:ascii="宋体" w:hAnsi="宋体" w:cs="FZSSK--GBK1-00+ZBNFQK-15"/>
          <w:color w:val="000000" w:themeColor="text1"/>
          <w14:textFill>
            <w14:solidFill>
              <w14:schemeClr w14:val="tx1"/>
            </w14:solidFill>
          </w14:textFill>
        </w:rPr>
        <w:t>右</w:t>
      </w:r>
      <w:r>
        <w:rPr>
          <w:rFonts w:hint="eastAsia" w:ascii="宋体" w:hAnsi="宋体" w:cs="FZSSK--GBK1-00+ZBNFQI-9"/>
          <w:color w:val="000000" w:themeColor="text1"/>
          <w14:textFill>
            <w14:solidFill>
              <w14:schemeClr w14:val="tx1"/>
            </w14:solidFill>
          </w14:textFill>
        </w:rPr>
        <w:t>翼</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10"/>
          <w:color w:val="000000" w:themeColor="text1"/>
          <w14:textFill>
            <w14:solidFill>
              <w14:schemeClr w14:val="tx1"/>
            </w14:solidFill>
          </w14:textFill>
        </w:rPr>
        <w:t>党</w:t>
      </w:r>
      <w:r>
        <w:rPr>
          <w:rFonts w:hint="eastAsia" w:ascii="宋体" w:hAnsi="宋体" w:cs="FZSSK--GBK1-00+ZBNFQH-8"/>
          <w:color w:val="000000" w:themeColor="text1"/>
          <w14:textFill>
            <w14:solidFill>
              <w14:schemeClr w14:val="tx1"/>
            </w14:solidFill>
          </w14:textFill>
        </w:rPr>
        <w:t>推</w:t>
      </w:r>
      <w:r>
        <w:rPr>
          <w:rFonts w:hint="eastAsia" w:ascii="宋体" w:hAnsi="宋体" w:cs="FZSSK--GBK1-00+ZBNFQI-10"/>
          <w:color w:val="000000" w:themeColor="text1"/>
          <w14:textFill>
            <w14:solidFill>
              <w14:schemeClr w14:val="tx1"/>
            </w14:solidFill>
          </w14:textFill>
        </w:rPr>
        <w:t>行</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在新自由主义</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I-9"/>
          <w:color w:val="000000" w:themeColor="text1"/>
          <w14:textFill>
            <w14:solidFill>
              <w14:schemeClr w14:val="tx1"/>
            </w14:solidFill>
          </w14:textFill>
        </w:rPr>
        <w:t>统</w:t>
      </w:r>
      <w:r>
        <w:rPr>
          <w:rFonts w:hint="eastAsia" w:ascii="宋体" w:hAnsi="宋体" w:cs="FZSSK--GBK1-00+ZBNFQK-14"/>
          <w:color w:val="000000" w:themeColor="text1"/>
          <w14:textFill>
            <w14:solidFill>
              <w14:schemeClr w14:val="tx1"/>
            </w14:solidFill>
          </w14:textFill>
        </w:rPr>
        <w:t>天</w:t>
      </w:r>
      <w:r>
        <w:rPr>
          <w:rFonts w:hint="eastAsia" w:ascii="宋体" w:hAnsi="宋体" w:cs="FZSSK--GBK1-00+ZBNFQH-8"/>
          <w:color w:val="000000" w:themeColor="text1"/>
          <w14:textFill>
            <w14:solidFill>
              <w14:schemeClr w14:val="tx1"/>
            </w14:solidFill>
          </w14:textFill>
        </w:rPr>
        <w:t>下</w:t>
      </w:r>
      <w:r>
        <w:rPr>
          <w:rFonts w:hint="eastAsia" w:ascii="宋体" w:hAnsi="宋体" w:cs="FZSSK--GBK1-00+ZBNFQH-7"/>
          <w:color w:val="000000" w:themeColor="text1"/>
          <w14:textFill>
            <w14:solidFill>
              <w14:schemeClr w14:val="tx1"/>
            </w14:solidFill>
          </w14:textFill>
        </w:rPr>
        <w:t>后</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些政</w:t>
      </w:r>
      <w:r>
        <w:rPr>
          <w:rFonts w:hint="eastAsia" w:ascii="宋体" w:hAnsi="宋体" w:cs="FZSSK--GBK1-00+ZBNFQI-10"/>
          <w:color w:val="000000" w:themeColor="text1"/>
          <w14:textFill>
            <w14:solidFill>
              <w14:schemeClr w14:val="tx1"/>
            </w14:solidFill>
          </w14:textFill>
        </w:rPr>
        <w:t>党</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策</w:t>
      </w:r>
      <w:r>
        <w:rPr>
          <w:rFonts w:hint="eastAsia" w:ascii="宋体" w:hAnsi="宋体" w:cs="FZSSK--GBK1-00+ZBNFQH-5"/>
          <w:color w:val="000000" w:themeColor="text1"/>
          <w14:textFill>
            <w14:solidFill>
              <w14:schemeClr w14:val="tx1"/>
            </w14:solidFill>
          </w14:textFill>
        </w:rPr>
        <w:t>也</w:t>
      </w:r>
      <w:r>
        <w:rPr>
          <w:rFonts w:hint="eastAsia" w:ascii="宋体" w:hAnsi="宋体" w:cs="FZSSK--GBK1-00+ZBNFQK-14"/>
          <w:color w:val="000000" w:themeColor="text1"/>
          <w14:textFill>
            <w14:solidFill>
              <w14:schemeClr w14:val="tx1"/>
            </w14:solidFill>
          </w14:textFill>
        </w:rPr>
        <w:t>吸</w:t>
      </w:r>
      <w:r>
        <w:rPr>
          <w:rFonts w:hint="eastAsia" w:ascii="宋体" w:hAnsi="宋体" w:cs="FZSSK--GBK1-00+ZBNFQH-8"/>
          <w:color w:val="000000" w:themeColor="text1"/>
          <w14:textFill>
            <w14:solidFill>
              <w14:schemeClr w14:val="tx1"/>
            </w14:solidFill>
          </w14:textFill>
        </w:rPr>
        <w:t>收</w:t>
      </w:r>
      <w:r>
        <w:rPr>
          <w:rFonts w:hint="eastAsia" w:ascii="宋体" w:hAnsi="宋体" w:cs="SSJ4+ZBNFQG-1"/>
          <w:color w:val="000000" w:themeColor="text1"/>
          <w14:textFill>
            <w14:solidFill>
              <w14:schemeClr w14:val="tx1"/>
            </w14:solidFill>
          </w14:textFill>
        </w:rPr>
        <w:t>了</w:t>
      </w:r>
      <w:r>
        <w:rPr>
          <w:rFonts w:hint="eastAsia" w:ascii="宋体" w:hAnsi="宋体" w:cs="FZSSK--GBK1-00+ZBNFQI-9"/>
          <w:color w:val="000000" w:themeColor="text1"/>
          <w14:textFill>
            <w14:solidFill>
              <w14:schemeClr w14:val="tx1"/>
            </w14:solidFill>
          </w14:textFill>
        </w:rPr>
        <w:t>很</w:t>
      </w:r>
      <w:r>
        <w:rPr>
          <w:rFonts w:hint="eastAsia" w:ascii="宋体" w:hAnsi="宋体" w:cs="SSJ4+ZBNFQG-1"/>
          <w:color w:val="000000" w:themeColor="text1"/>
          <w14:textFill>
            <w14:solidFill>
              <w14:schemeClr w14:val="tx1"/>
            </w14:solidFill>
          </w14:textFill>
        </w:rPr>
        <w:t>多的新自由主义</w:t>
      </w:r>
      <w:r>
        <w:rPr>
          <w:rFonts w:hint="eastAsia" w:ascii="宋体" w:hAnsi="宋体" w:cs="FZSSK--GBK1-00+ZBNFQH-5"/>
          <w:color w:val="000000" w:themeColor="text1"/>
          <w14:textFill>
            <w14:solidFill>
              <w14:schemeClr w14:val="tx1"/>
            </w14:solidFill>
          </w14:textFill>
        </w:rPr>
        <w:t>因</w:t>
      </w:r>
      <w:r>
        <w:rPr>
          <w:rFonts w:hint="eastAsia" w:ascii="宋体" w:hAnsi="宋体" w:cs="FZSSK--GBK1-00+ZBNFQK-15"/>
          <w:color w:val="000000" w:themeColor="text1"/>
          <w14:textFill>
            <w14:solidFill>
              <w14:schemeClr w14:val="tx1"/>
            </w14:solidFill>
          </w14:textFill>
        </w:rPr>
        <w:t>素</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甚至</w:t>
      </w:r>
      <w:r>
        <w:rPr>
          <w:rFonts w:hint="eastAsia" w:ascii="宋体" w:hAnsi="宋体" w:cs="FZSSK--GBK1-00+ZBNFQK-15"/>
          <w:color w:val="000000" w:themeColor="text1"/>
          <w14:textFill>
            <w14:solidFill>
              <w14:schemeClr w14:val="tx1"/>
            </w14:solidFill>
          </w14:textFill>
        </w:rPr>
        <w:t>趋</w:t>
      </w:r>
      <w:r>
        <w:rPr>
          <w:rFonts w:hint="eastAsia" w:ascii="宋体" w:hAnsi="宋体" w:cs="SSJ4+ZBNFQG-1"/>
          <w:color w:val="000000" w:themeColor="text1"/>
          <w14:textFill>
            <w14:solidFill>
              <w14:schemeClr w14:val="tx1"/>
            </w14:solidFill>
          </w14:textFill>
        </w:rPr>
        <w:t>同于新自由主义</w:t>
      </w:r>
      <w:r>
        <w:rPr>
          <w:rFonts w:hint="eastAsia" w:ascii="宋体" w:hAnsi="宋体" w:cs="SSJ0+ZBNFQG-4"/>
          <w:color w:val="000000" w:themeColor="text1"/>
          <w14:textFill>
            <w14:solidFill>
              <w14:schemeClr w14:val="tx1"/>
            </w14:solidFill>
          </w14:textFill>
        </w:rPr>
        <w:t>。</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主义主要是在</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I-10"/>
          <w:color w:val="000000" w:themeColor="text1"/>
          <w14:textFill>
            <w14:solidFill>
              <w14:schemeClr w14:val="tx1"/>
            </w14:solidFill>
          </w14:textFill>
        </w:rPr>
        <w:t>改</w:t>
      </w:r>
      <w:r>
        <w:rPr>
          <w:rFonts w:hint="eastAsia" w:ascii="宋体" w:hAnsi="宋体" w:cs="SSJ4+ZBNFQG-1"/>
          <w:color w:val="000000" w:themeColor="text1"/>
          <w14:textFill>
            <w14:solidFill>
              <w14:schemeClr w14:val="tx1"/>
            </w14:solidFill>
          </w14:textFill>
        </w:rPr>
        <w:t>变资本主义的</w:t>
      </w:r>
      <w:r>
        <w:rPr>
          <w:rFonts w:hint="eastAsia" w:ascii="宋体" w:hAnsi="宋体" w:cs="FZSSK--GBK1-00+ZBNFQI-9"/>
          <w:color w:val="000000" w:themeColor="text1"/>
          <w14:textFill>
            <w14:solidFill>
              <w14:schemeClr w14:val="tx1"/>
            </w14:solidFill>
          </w14:textFill>
        </w:rPr>
        <w:t>基</w:t>
      </w:r>
      <w:r>
        <w:rPr>
          <w:rFonts w:hint="eastAsia" w:ascii="宋体" w:hAnsi="宋体" w:cs="SSJ4+ZBNFQG-1"/>
          <w:color w:val="000000" w:themeColor="text1"/>
          <w14:textFill>
            <w14:solidFill>
              <w14:schemeClr w14:val="tx1"/>
            </w14:solidFill>
          </w14:textFill>
        </w:rPr>
        <w:t>本</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情</w:t>
      </w:r>
      <w:r>
        <w:rPr>
          <w:rFonts w:hint="eastAsia" w:ascii="宋体" w:hAnsi="宋体" w:cs="FZSSK--GBK1-00+ZBNFQL-16"/>
          <w:color w:val="000000" w:themeColor="text1"/>
          <w14:textFill>
            <w14:solidFill>
              <w14:schemeClr w14:val="tx1"/>
            </w14:solidFill>
          </w14:textFill>
        </w:rPr>
        <w:t>况</w:t>
      </w:r>
      <w:r>
        <w:rPr>
          <w:rFonts w:hint="eastAsia" w:ascii="宋体" w:hAnsi="宋体" w:cs="FZSSK--GBK1-00+ZBNFQH-8"/>
          <w:color w:val="000000" w:themeColor="text1"/>
          <w14:textFill>
            <w14:solidFill>
              <w14:schemeClr w14:val="tx1"/>
            </w14:solidFill>
          </w14:textFill>
        </w:rPr>
        <w:t>下</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I-10"/>
          <w:color w:val="000000" w:themeColor="text1"/>
          <w14:textFill>
            <w14:solidFill>
              <w14:schemeClr w14:val="tx1"/>
            </w14:solidFill>
          </w14:textFill>
        </w:rPr>
        <w:t>图通</w:t>
      </w:r>
      <w:r>
        <w:rPr>
          <w:rFonts w:hint="eastAsia" w:ascii="宋体" w:hAnsi="宋体" w:cs="FZSSK--GBK1-00+ZBNFQH-5"/>
          <w:color w:val="000000" w:themeColor="text1"/>
          <w14:textFill>
            <w14:solidFill>
              <w14:schemeClr w14:val="tx1"/>
            </w14:solidFill>
          </w14:textFill>
        </w:rPr>
        <w:t>过</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J-13"/>
          <w:color w:val="000000" w:themeColor="text1"/>
          <w14:textFill>
            <w14:solidFill>
              <w14:schemeClr w14:val="tx1"/>
            </w14:solidFill>
          </w14:textFill>
        </w:rPr>
        <w:t>干</w:t>
      </w:r>
      <w:r>
        <w:rPr>
          <w:rFonts w:hint="eastAsia" w:ascii="宋体" w:hAnsi="宋体" w:cs="FZSSK--GBK1-00+ZBNFQH-5"/>
          <w:color w:val="000000" w:themeColor="text1"/>
          <w14:textFill>
            <w14:solidFill>
              <w14:schemeClr w14:val="tx1"/>
            </w14:solidFill>
          </w14:textFill>
        </w:rPr>
        <w:t>预</w:t>
      </w:r>
      <w:r>
        <w:rPr>
          <w:rFonts w:hint="eastAsia" w:ascii="宋体" w:hAnsi="宋体" w:cs="SSJ4+ZBNFQG-1"/>
          <w:color w:val="000000" w:themeColor="text1"/>
          <w14:textFill>
            <w14:solidFill>
              <w14:schemeClr w14:val="tx1"/>
            </w14:solidFill>
          </w14:textFill>
        </w:rPr>
        <w:t>来</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J-12"/>
          <w:color w:val="000000" w:themeColor="text1"/>
          <w14:textFill>
            <w14:solidFill>
              <w14:schemeClr w14:val="tx1"/>
            </w14:solidFill>
          </w14:textFill>
        </w:rPr>
        <w:t>服</w:t>
      </w:r>
      <w:r>
        <w:rPr>
          <w:rFonts w:hint="eastAsia" w:ascii="宋体" w:hAnsi="宋体" w:cs="SSJ4+ZBNFQG-1"/>
          <w:color w:val="000000" w:themeColor="text1"/>
          <w14:textFill>
            <w14:solidFill>
              <w14:schemeClr w14:val="tx1"/>
            </w14:solidFill>
          </w14:textFill>
        </w:rPr>
        <w:t>资本主义</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5"/>
          <w:color w:val="000000" w:themeColor="text1"/>
          <w14:textFill>
            <w14:solidFill>
              <w14:schemeClr w14:val="tx1"/>
            </w14:solidFill>
          </w14:textFill>
        </w:rPr>
        <w:t>现平</w:t>
      </w:r>
      <w:r>
        <w:rPr>
          <w:rFonts w:hint="eastAsia" w:ascii="宋体" w:hAnsi="宋体" w:cs="FZSSK--GBK1-00+ZBNFQI-10"/>
          <w:color w:val="000000" w:themeColor="text1"/>
          <w14:textFill>
            <w14:solidFill>
              <w14:schemeClr w14:val="tx1"/>
            </w14:solidFill>
          </w14:textFill>
        </w:rPr>
        <w:t>稳</w:t>
      </w:r>
      <w:r>
        <w:rPr>
          <w:rFonts w:hint="eastAsia" w:ascii="宋体" w:hAnsi="宋体" w:cs="SSJ4+ZBNFQG-1"/>
          <w:color w:val="000000" w:themeColor="text1"/>
          <w14:textFill>
            <w14:solidFill>
              <w14:schemeClr w14:val="tx1"/>
            </w14:solidFill>
          </w14:textFill>
        </w:rPr>
        <w:t>发展</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当前</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I-9"/>
          <w:color w:val="000000" w:themeColor="text1"/>
          <w14:textFill>
            <w14:solidFill>
              <w14:schemeClr w14:val="tx1"/>
            </w14:solidFill>
          </w14:textFill>
        </w:rPr>
        <w:t>少</w:t>
      </w:r>
      <w:r>
        <w:rPr>
          <w:rFonts w:hint="eastAsia" w:ascii="宋体" w:hAnsi="宋体" w:cs="FZSSK--GBK1-00+ZBNFQH-5"/>
          <w:color w:val="000000" w:themeColor="text1"/>
          <w14:textFill>
            <w14:solidFill>
              <w14:schemeClr w14:val="tx1"/>
            </w14:solidFill>
          </w14:textFill>
        </w:rPr>
        <w:t>人认</w:t>
      </w:r>
      <w:r>
        <w:rPr>
          <w:rFonts w:hint="eastAsia" w:ascii="宋体" w:hAnsi="宋体" w:cs="SSJ4+ZBNFQG-1"/>
          <w:color w:val="000000" w:themeColor="text1"/>
          <w14:textFill>
            <w14:solidFill>
              <w14:schemeClr w14:val="tx1"/>
            </w14:solidFill>
          </w14:textFill>
        </w:rPr>
        <w:t>为中国可以</w:t>
      </w:r>
      <w:r>
        <w:rPr>
          <w:rFonts w:hint="eastAsia" w:ascii="宋体" w:hAnsi="宋体" w:cs="FZSSK--GBK1-00+ZBNFQI-10"/>
          <w:color w:val="000000" w:themeColor="text1"/>
          <w14:textFill>
            <w14:solidFill>
              <w14:schemeClr w14:val="tx1"/>
            </w14:solidFill>
          </w14:textFill>
        </w:rPr>
        <w:t>通</w:t>
      </w:r>
      <w:r>
        <w:rPr>
          <w:rFonts w:hint="eastAsia" w:ascii="宋体" w:hAnsi="宋体" w:cs="FZSSK--GBK1-00+ZBNFQH-5"/>
          <w:color w:val="000000" w:themeColor="text1"/>
          <w14:textFill>
            <w14:solidFill>
              <w14:schemeClr w14:val="tx1"/>
            </w14:solidFill>
          </w14:textFill>
        </w:rPr>
        <w:t>过</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济上</w:t>
      </w:r>
      <w:r>
        <w:rPr>
          <w:rFonts w:hint="eastAsia" w:ascii="宋体" w:hAnsi="宋体" w:cs="SSJ4+ZBNFQG-1"/>
          <w:color w:val="000000" w:themeColor="text1"/>
          <w14:textFill>
            <w14:solidFill>
              <w14:schemeClr w14:val="tx1"/>
            </w14:solidFill>
          </w14:textFill>
        </w:rPr>
        <w:t>的</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w:t>
      </w:r>
      <w:r>
        <w:rPr>
          <w:rFonts w:hint="eastAsia" w:ascii="宋体" w:hAnsi="宋体" w:cs="FZSSK--GBK1-00+ZBNFQJ-12"/>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H-5"/>
          <w:color w:val="000000" w:themeColor="text1"/>
          <w14:textFill>
            <w14:solidFill>
              <w14:schemeClr w14:val="tx1"/>
            </w14:solidFill>
          </w14:textFill>
        </w:rPr>
        <w:t>如</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H-7"/>
          <w:color w:val="000000" w:themeColor="text1"/>
          <w14:textFill>
            <w14:solidFill>
              <w14:schemeClr w14:val="tx1"/>
            </w14:solidFill>
          </w14:textFill>
        </w:rPr>
        <w:t>或</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K-15"/>
          <w:color w:val="000000" w:themeColor="text1"/>
          <w14:textFill>
            <w14:solidFill>
              <w14:schemeClr w14:val="tx1"/>
            </w14:solidFill>
          </w14:textFill>
        </w:rPr>
        <w:t>营</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为主</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的</w:t>
      </w:r>
      <w:r>
        <w:rPr>
          <w:rFonts w:hint="eastAsia" w:ascii="宋体" w:hAnsi="宋体" w:cs="FZSSK--GBK1-00+ZBNFQT-26"/>
          <w:color w:val="000000" w:themeColor="text1"/>
          <w14:textFill>
            <w14:solidFill>
              <w14:schemeClr w14:val="tx1"/>
            </w14:solidFill>
          </w14:textFill>
        </w:rPr>
        <w:t>混</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J-12"/>
          <w:color w:val="000000" w:themeColor="text1"/>
          <w14:textFill>
            <w14:solidFill>
              <w14:schemeClr w14:val="tx1"/>
            </w14:solidFill>
          </w14:textFill>
        </w:rPr>
        <w:t>）</w:t>
      </w:r>
      <w:r>
        <w:rPr>
          <w:rFonts w:hint="eastAsia" w:ascii="宋体" w:hAnsi="宋体" w:cs="FZSSK--GBK1-00+ZBNFQK-15"/>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政治上</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主</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主义来</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J-12"/>
          <w:color w:val="000000" w:themeColor="text1"/>
          <w14:textFill>
            <w14:solidFill>
              <w14:schemeClr w14:val="tx1"/>
            </w14:solidFill>
          </w14:textFill>
        </w:rPr>
        <w:t>服</w:t>
      </w:r>
      <w:r>
        <w:rPr>
          <w:rFonts w:hint="eastAsia" w:ascii="宋体" w:hAnsi="宋体" w:cs="SSJ4+ZBNFQG-1"/>
          <w:color w:val="000000" w:themeColor="text1"/>
          <w14:textFill>
            <w14:solidFill>
              <w14:schemeClr w14:val="tx1"/>
            </w14:solidFill>
          </w14:textFill>
        </w:rPr>
        <w:t>中国面临的</w:t>
      </w:r>
      <w:r>
        <w:rPr>
          <w:rFonts w:hint="eastAsia" w:ascii="宋体" w:hAnsi="宋体" w:cs="FZSSK--GBK1-00+ZBNFQH-7"/>
          <w:color w:val="000000" w:themeColor="text1"/>
          <w14:textFill>
            <w14:solidFill>
              <w14:schemeClr w14:val="tx1"/>
            </w14:solidFill>
          </w14:textFill>
        </w:rPr>
        <w:t>困难</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是对中国</w:t>
      </w:r>
      <w:r>
        <w:rPr>
          <w:rFonts w:hint="eastAsia" w:ascii="宋体" w:hAnsi="宋体" w:cs="FZSSK--GBK1-00+ZBNFQH-5"/>
          <w:color w:val="000000" w:themeColor="text1"/>
          <w14:textFill>
            <w14:solidFill>
              <w14:schemeClr w14:val="tx1"/>
            </w14:solidFill>
          </w14:textFill>
        </w:rPr>
        <w:t>特</w:t>
      </w:r>
      <w:r>
        <w:rPr>
          <w:rFonts w:hint="eastAsia" w:ascii="宋体" w:hAnsi="宋体" w:cs="FZSSK--GBK1-00+ZBNFQI-10"/>
          <w:color w:val="000000" w:themeColor="text1"/>
          <w14:textFill>
            <w14:solidFill>
              <w14:schemeClr w14:val="tx1"/>
            </w14:solidFill>
          </w14:textFill>
        </w:rPr>
        <w:t>色</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模</w:t>
      </w:r>
      <w:r>
        <w:rPr>
          <w:rFonts w:hint="eastAsia" w:ascii="宋体" w:hAnsi="宋体" w:cs="FZSSK--GBK1-00+ZBNFQI-10"/>
          <w:color w:val="000000" w:themeColor="text1"/>
          <w14:textFill>
            <w14:solidFill>
              <w14:schemeClr w14:val="tx1"/>
            </w14:solidFill>
          </w14:textFill>
        </w:rPr>
        <w:t>式</w:t>
      </w:r>
      <w:r>
        <w:rPr>
          <w:rFonts w:hint="eastAsia" w:ascii="宋体" w:hAnsi="宋体" w:cs="SSJ4+ZBNFQG-1"/>
          <w:color w:val="000000" w:themeColor="text1"/>
          <w14:textFill>
            <w14:solidFill>
              <w14:schemeClr w14:val="tx1"/>
            </w14:solidFill>
          </w14:textFill>
        </w:rPr>
        <w:t>的</w:t>
      </w:r>
      <w:r>
        <w:rPr>
          <w:rFonts w:hint="eastAsia" w:ascii="宋体" w:hAnsi="宋体" w:cs="FZSSK--GBK1-00+ZBNFQO-22"/>
          <w:color w:val="000000" w:themeColor="text1"/>
          <w14:textFill>
            <w14:solidFill>
              <w14:schemeClr w14:val="tx1"/>
            </w14:solidFill>
          </w14:textFill>
        </w:rPr>
        <w:t>另</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个</w:t>
      </w:r>
      <w:r>
        <w:rPr>
          <w:rFonts w:hint="eastAsia" w:ascii="宋体" w:hAnsi="宋体" w:cs="FZSSK--GBK1-00+ZBNFQJ-13"/>
          <w:color w:val="000000" w:themeColor="text1"/>
          <w14:textFill>
            <w14:solidFill>
              <w14:schemeClr w14:val="tx1"/>
            </w14:solidFill>
          </w14:textFill>
        </w:rPr>
        <w:t>冲</w:t>
      </w:r>
      <w:r>
        <w:rPr>
          <w:rFonts w:hint="eastAsia" w:ascii="宋体" w:hAnsi="宋体" w:cs="FZSSK--GBK1-00+ZBNFQJ-12"/>
          <w:color w:val="000000" w:themeColor="text1"/>
          <w14:textFill>
            <w14:solidFill>
              <w14:schemeClr w14:val="tx1"/>
            </w14:solidFill>
          </w14:textFill>
        </w:rPr>
        <w:t>击</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其</w:t>
      </w:r>
      <w:r>
        <w:rPr>
          <w:rFonts w:hint="eastAsia" w:ascii="宋体" w:hAnsi="宋体" w:cs="FZSSK--GBK1-00+ZBNFQI-10"/>
          <w:color w:val="000000" w:themeColor="text1"/>
          <w14:textFill>
            <w14:solidFill>
              <w14:schemeClr w14:val="tx1"/>
            </w14:solidFill>
          </w14:textFill>
        </w:rPr>
        <w:t>实</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J-13"/>
          <w:color w:val="000000" w:themeColor="text1"/>
          <w14:textFill>
            <w14:solidFill>
              <w14:schemeClr w14:val="tx1"/>
            </w14:solidFill>
          </w14:textFill>
        </w:rPr>
        <w:t>条</w:t>
      </w:r>
      <w:r>
        <w:rPr>
          <w:rFonts w:hint="eastAsia" w:ascii="宋体" w:hAnsi="宋体" w:cs="FZSSK--GBK1-00+ZBNFQK-15"/>
          <w:color w:val="000000" w:themeColor="text1"/>
          <w14:textFill>
            <w14:solidFill>
              <w14:schemeClr w14:val="tx1"/>
            </w14:solidFill>
          </w14:textFill>
        </w:rPr>
        <w:t>路</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I-10"/>
          <w:color w:val="000000" w:themeColor="text1"/>
          <w14:textFill>
            <w14:solidFill>
              <w14:schemeClr w14:val="tx1"/>
            </w14:solidFill>
          </w14:textFill>
        </w:rPr>
        <w:t>通</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西方</w:t>
      </w:r>
      <w:r>
        <w:rPr>
          <w:rFonts w:hint="eastAsia" w:ascii="宋体" w:hAnsi="宋体" w:cs="SSJ4+ZBNFQG-1"/>
          <w:color w:val="000000" w:themeColor="text1"/>
          <w14:textFill>
            <w14:solidFill>
              <w14:schemeClr w14:val="tx1"/>
            </w14:solidFill>
          </w14:textFill>
        </w:rPr>
        <w:t>新自由主义</w:t>
      </w:r>
      <w:r>
        <w:rPr>
          <w:rFonts w:hint="eastAsia" w:ascii="宋体" w:hAnsi="宋体" w:cs="FZSSK--GBK1-00+ZBNFQH-5"/>
          <w:color w:val="000000" w:themeColor="text1"/>
          <w14:textFill>
            <w14:solidFill>
              <w14:schemeClr w14:val="tx1"/>
            </w14:solidFill>
          </w14:textFill>
        </w:rPr>
        <w:t>就</w:t>
      </w:r>
      <w:r>
        <w:rPr>
          <w:rFonts w:hint="eastAsia" w:ascii="宋体" w:hAnsi="宋体" w:cs="SSJ4+ZBNFQG-1"/>
          <w:color w:val="000000" w:themeColor="text1"/>
          <w14:textFill>
            <w14:solidFill>
              <w14:schemeClr w14:val="tx1"/>
            </w14:solidFill>
          </w14:textFill>
        </w:rPr>
        <w:t>是为了</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J-12"/>
          <w:color w:val="000000" w:themeColor="text1"/>
          <w14:textFill>
            <w14:solidFill>
              <w14:schemeClr w14:val="tx1"/>
            </w14:solidFill>
          </w14:textFill>
        </w:rPr>
        <w:t>服</w:t>
      </w:r>
      <w:r>
        <w:rPr>
          <w:rFonts w:hint="eastAsia" w:ascii="宋体" w:hAnsi="宋体" w:cs="E-BZ+ZBNFQH-6"/>
          <w:color w:val="000000" w:themeColor="text1"/>
          <w14:textFill>
            <w14:solidFill>
              <w14:schemeClr w14:val="tx1"/>
            </w14:solidFill>
          </w14:textFill>
        </w:rPr>
        <w:t>20</w:t>
      </w:r>
      <w:r>
        <w:rPr>
          <w:rFonts w:hint="eastAsia" w:ascii="宋体" w:hAnsi="宋体" w:cs="SSJ4+ZBNFQG-1"/>
          <w:color w:val="000000" w:themeColor="text1"/>
          <w14:textFill>
            <w14:solidFill>
              <w14:schemeClr w14:val="tx1"/>
            </w14:solidFill>
          </w14:textFill>
        </w:rPr>
        <w:t>世</w:t>
      </w:r>
      <w:r>
        <w:rPr>
          <w:rFonts w:hint="eastAsia" w:ascii="宋体" w:hAnsi="宋体" w:cs="FZSSK--GBK1-00+ZBNFQH-7"/>
          <w:color w:val="000000" w:themeColor="text1"/>
          <w14:textFill>
            <w14:solidFill>
              <w14:schemeClr w14:val="tx1"/>
            </w14:solidFill>
          </w14:textFill>
        </w:rPr>
        <w:t>纪</w:t>
      </w:r>
      <w:r>
        <w:rPr>
          <w:rFonts w:hint="eastAsia" w:ascii="宋体" w:hAnsi="宋体" w:cs="E-BZ+ZBNFQH-6"/>
          <w:color w:val="000000" w:themeColor="text1"/>
          <w14:textFill>
            <w14:solidFill>
              <w14:schemeClr w14:val="tx1"/>
            </w14:solidFill>
          </w14:textFill>
        </w:rPr>
        <w:t>70</w:t>
      </w:r>
      <w:r>
        <w:rPr>
          <w:rFonts w:hint="eastAsia" w:ascii="宋体" w:hAnsi="宋体" w:cs="FZSSK--GBK1-00+ZBNFQH-5"/>
          <w:color w:val="000000" w:themeColor="text1"/>
          <w14:textFill>
            <w14:solidFill>
              <w14:schemeClr w14:val="tx1"/>
            </w14:solidFill>
          </w14:textFill>
        </w:rPr>
        <w:t>年代</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主义的</w:t>
      </w:r>
      <w:r>
        <w:rPr>
          <w:rFonts w:hint="eastAsia" w:ascii="宋体" w:hAnsi="宋体" w:cs="FZSSK--GBK1-00+ZBNFQL-16"/>
          <w:color w:val="000000" w:themeColor="text1"/>
          <w14:textFill>
            <w14:solidFill>
              <w14:schemeClr w14:val="tx1"/>
            </w14:solidFill>
          </w14:textFill>
        </w:rPr>
        <w:t>失</w:t>
      </w:r>
      <w:r>
        <w:rPr>
          <w:rFonts w:hint="eastAsia" w:ascii="宋体" w:hAnsi="宋体" w:cs="FZSSK--GBK1-00+ZBNFQI-10"/>
          <w:color w:val="000000" w:themeColor="text1"/>
          <w14:textFill>
            <w14:solidFill>
              <w14:schemeClr w14:val="tx1"/>
            </w14:solidFill>
          </w14:textFill>
        </w:rPr>
        <w:t>败</w:t>
      </w:r>
      <w:r>
        <w:rPr>
          <w:rFonts w:hint="eastAsia" w:ascii="宋体" w:hAnsi="宋体" w:cs="SSJ4+ZBNFQG-1"/>
          <w:color w:val="000000" w:themeColor="text1"/>
          <w14:textFill>
            <w14:solidFill>
              <w14:schemeClr w14:val="tx1"/>
            </w14:solidFill>
          </w14:textFill>
        </w:rPr>
        <w:t>而</w:t>
      </w:r>
      <w:r>
        <w:rPr>
          <w:rFonts w:hint="eastAsia" w:ascii="宋体" w:hAnsi="宋体" w:cs="FZSSK--GBK1-00+ZBNFQI-9"/>
          <w:color w:val="000000" w:themeColor="text1"/>
          <w14:textFill>
            <w14:solidFill>
              <w14:schemeClr w14:val="tx1"/>
            </w14:solidFill>
          </w14:textFill>
        </w:rPr>
        <w:t>兴</w:t>
      </w:r>
      <w:r>
        <w:rPr>
          <w:rFonts w:hint="eastAsia" w:ascii="宋体" w:hAnsi="宋体" w:cs="FZSSK--GBK1-00+ZBNFQH-8"/>
          <w:color w:val="000000" w:themeColor="text1"/>
          <w14:textFill>
            <w14:solidFill>
              <w14:schemeClr w14:val="tx1"/>
            </w14:solidFill>
          </w14:textFill>
        </w:rPr>
        <w:t>起</w:t>
      </w:r>
      <w:r>
        <w:rPr>
          <w:rFonts w:hint="eastAsia" w:ascii="宋体" w:hAnsi="宋体" w:cs="SSJ4+ZBNFQG-1"/>
          <w:color w:val="000000" w:themeColor="text1"/>
          <w14:textFill>
            <w14:solidFill>
              <w14:schemeClr w14:val="tx1"/>
            </w14:solidFill>
          </w14:textFill>
        </w:rPr>
        <w:t>的，但</w:t>
      </w:r>
      <w:r>
        <w:rPr>
          <w:rFonts w:hint="eastAsia" w:ascii="宋体" w:hAnsi="宋体" w:cs="FZSSK--GBK1-00+ZBNFQH-8"/>
          <w:color w:val="000000" w:themeColor="text1"/>
          <w14:textFill>
            <w14:solidFill>
              <w14:schemeClr w14:val="tx1"/>
            </w14:solidFill>
          </w14:textFill>
        </w:rPr>
        <w:t>又</w:t>
      </w:r>
      <w:r>
        <w:rPr>
          <w:rFonts w:hint="eastAsia" w:ascii="宋体" w:hAnsi="宋体" w:cs="FZSSK--GBK1-00+ZBNFQH-5"/>
          <w:color w:val="000000" w:themeColor="text1"/>
          <w14:textFill>
            <w14:solidFill>
              <w14:schemeClr w14:val="tx1"/>
            </w14:solidFill>
          </w14:textFill>
        </w:rPr>
        <w:t>不断</w:t>
      </w:r>
      <w:r>
        <w:rPr>
          <w:rFonts w:hint="eastAsia" w:ascii="宋体" w:hAnsi="宋体" w:cs="FZSSK--GBK1-00+ZBNFQI-10"/>
          <w:color w:val="000000" w:themeColor="text1"/>
          <w14:textFill>
            <w14:solidFill>
              <w14:schemeClr w14:val="tx1"/>
            </w14:solidFill>
          </w14:textFill>
        </w:rPr>
        <w:t>地</w:t>
      </w:r>
      <w:r>
        <w:rPr>
          <w:rFonts w:hint="eastAsia" w:ascii="宋体" w:hAnsi="宋体" w:cs="FZSSK--GBK1-00+ZBNFQI-9"/>
          <w:color w:val="000000" w:themeColor="text1"/>
          <w14:textFill>
            <w14:solidFill>
              <w14:schemeClr w14:val="tx1"/>
            </w14:solidFill>
          </w14:textFill>
        </w:rPr>
        <w:t>引</w:t>
      </w:r>
      <w:r>
        <w:rPr>
          <w:rFonts w:hint="eastAsia" w:ascii="宋体" w:hAnsi="宋体" w:cs="SSJ4+ZBNFQG-1"/>
          <w:color w:val="000000" w:themeColor="text1"/>
          <w14:textFill>
            <w14:solidFill>
              <w14:schemeClr w14:val="tx1"/>
            </w14:solidFill>
          </w14:textFill>
        </w:rPr>
        <w:t>发资本主义</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I-9"/>
          <w:color w:val="000000" w:themeColor="text1"/>
          <w14:textFill>
            <w14:solidFill>
              <w14:schemeClr w14:val="tx1"/>
            </w14:solidFill>
          </w14:textFill>
        </w:rPr>
        <w:t>几</w:t>
      </w:r>
      <w:r>
        <w:rPr>
          <w:rFonts w:hint="eastAsia" w:ascii="宋体" w:hAnsi="宋体" w:cs="FZSSK--GBK1-00+ZBNFQH-5"/>
          <w:color w:val="000000" w:themeColor="text1"/>
          <w14:textFill>
            <w14:solidFill>
              <w14:schemeClr w14:val="tx1"/>
            </w14:solidFill>
          </w14:textFill>
        </w:rPr>
        <w:t>年</w:t>
      </w:r>
      <w:r>
        <w:rPr>
          <w:rFonts w:hint="eastAsia" w:ascii="宋体" w:hAnsi="宋体" w:cs="SSJ4+ZBNFQG-1"/>
          <w:color w:val="000000" w:themeColor="text1"/>
          <w14:textFill>
            <w14:solidFill>
              <w14:schemeClr w14:val="tx1"/>
            </w14:solidFill>
          </w14:textFill>
        </w:rPr>
        <w:t>资本主义国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w:t>
      </w:r>
      <w:r>
        <w:rPr>
          <w:rFonts w:hint="eastAsia" w:ascii="宋体" w:hAnsi="宋体" w:cs="FZSSK--GBK1-00+ZBNFQI-10"/>
          <w:color w:val="000000" w:themeColor="text1"/>
          <w14:textFill>
            <w14:solidFill>
              <w14:schemeClr w14:val="tx1"/>
            </w14:solidFill>
          </w14:textFill>
        </w:rPr>
        <w:t>式</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J-12"/>
          <w:color w:val="000000" w:themeColor="text1"/>
          <w14:textFill>
            <w14:solidFill>
              <w14:schemeClr w14:val="tx1"/>
            </w14:solidFill>
          </w14:textFill>
        </w:rPr>
        <w:t>服</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机的</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策</w:t>
      </w:r>
      <w:r>
        <w:rPr>
          <w:rFonts w:hint="eastAsia" w:ascii="宋体" w:hAnsi="宋体" w:cs="FZSSK--GBK1-00+ZBNFQH-5"/>
          <w:color w:val="000000" w:themeColor="text1"/>
          <w14:textFill>
            <w14:solidFill>
              <w14:schemeClr w14:val="tx1"/>
            </w14:solidFill>
          </w14:textFill>
        </w:rPr>
        <w:t>也没</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完全</w:t>
      </w:r>
      <w:r>
        <w:rPr>
          <w:rFonts w:hint="eastAsia" w:ascii="宋体" w:hAnsi="宋体" w:cs="FZSSK--GBK1-00+ZBNFQT-26"/>
          <w:color w:val="000000" w:themeColor="text1"/>
          <w14:textFill>
            <w14:solidFill>
              <w14:schemeClr w14:val="tx1"/>
            </w14:solidFill>
          </w14:textFill>
        </w:rPr>
        <w:t>奏</w:t>
      </w:r>
      <w:r>
        <w:rPr>
          <w:rFonts w:hint="eastAsia" w:ascii="宋体" w:hAnsi="宋体" w:cs="FZSSK--GBK1-00+ZBNFQK-14"/>
          <w:color w:val="000000" w:themeColor="text1"/>
          <w14:textFill>
            <w14:solidFill>
              <w14:schemeClr w14:val="tx1"/>
            </w14:solidFill>
          </w14:textFill>
        </w:rPr>
        <w:t>效</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导致</w:t>
      </w:r>
      <w:r>
        <w:rPr>
          <w:rFonts w:hint="eastAsia" w:ascii="宋体" w:hAnsi="宋体" w:cs="SSJ4+ZBNFQG-1"/>
          <w:color w:val="000000" w:themeColor="text1"/>
          <w14:textFill>
            <w14:solidFill>
              <w14:schemeClr w14:val="tx1"/>
            </w14:solidFill>
          </w14:textFill>
        </w:rPr>
        <w:t>世界</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在深化</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其</w:t>
      </w:r>
      <w:r>
        <w:rPr>
          <w:rFonts w:hint="eastAsia" w:ascii="宋体" w:hAnsi="宋体" w:cs="FZSSK--GBK1-00+ZBNFQI-10"/>
          <w:color w:val="000000" w:themeColor="text1"/>
          <w14:textFill>
            <w14:solidFill>
              <w14:schemeClr w14:val="tx1"/>
            </w14:solidFill>
          </w14:textFill>
        </w:rPr>
        <w:t>实</w:t>
      </w:r>
      <w:r>
        <w:rPr>
          <w:rFonts w:hint="eastAsia" w:ascii="宋体" w:hAnsi="宋体" w:cs="SSJ4+ZBNFQG-1"/>
          <w:color w:val="000000" w:themeColor="text1"/>
          <w14:textFill>
            <w14:solidFill>
              <w14:schemeClr w14:val="tx1"/>
            </w14:solidFill>
          </w14:textFill>
        </w:rPr>
        <w:t>，所</w:t>
      </w:r>
      <w:r>
        <w:rPr>
          <w:rFonts w:hint="eastAsia" w:ascii="宋体" w:hAnsi="宋体" w:cs="FZSSK--GBK1-00+ZBNFQJ-12"/>
          <w:color w:val="000000" w:themeColor="text1"/>
          <w14:textFill>
            <w14:solidFill>
              <w14:schemeClr w14:val="tx1"/>
            </w14:solidFill>
          </w14:textFill>
        </w:rPr>
        <w:t>谓</w:t>
      </w:r>
      <w:r>
        <w:rPr>
          <w:rFonts w:hint="eastAsia" w:ascii="宋体" w:hAnsi="宋体" w:cs="SSJ4+ZBNFQG-1"/>
          <w:color w:val="000000" w:themeColor="text1"/>
          <w14:textFill>
            <w14:solidFill>
              <w14:schemeClr w14:val="tx1"/>
            </w14:solidFill>
          </w14:textFill>
        </w:rPr>
        <w:t>的</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主义在</w:t>
      </w:r>
      <w:r>
        <w:rPr>
          <w:rFonts w:hint="eastAsia" w:ascii="宋体" w:hAnsi="宋体" w:cs="E-BZ+ZBNFQH-6"/>
          <w:color w:val="000000" w:themeColor="text1"/>
          <w14:textFill>
            <w14:solidFill>
              <w14:schemeClr w14:val="tx1"/>
            </w14:solidFill>
          </w14:textFill>
        </w:rPr>
        <w:t>40</w:t>
      </w:r>
      <w:r>
        <w:rPr>
          <w:rFonts w:hint="eastAsia" w:ascii="宋体" w:hAnsi="宋体" w:cs="FZSSK--GBK1-00+ZBNFQH-5"/>
          <w:color w:val="000000" w:themeColor="text1"/>
          <w14:textFill>
            <w14:solidFill>
              <w14:schemeClr w14:val="tx1"/>
            </w14:solidFill>
          </w14:textFill>
        </w:rPr>
        <w:t>年代</w:t>
      </w:r>
      <w:r>
        <w:rPr>
          <w:rFonts w:hint="eastAsia" w:ascii="宋体" w:hAnsi="宋体" w:cs="FZSSK--GBK1-00+ZBNFQH-7"/>
          <w:color w:val="000000" w:themeColor="text1"/>
          <w14:textFill>
            <w14:solidFill>
              <w14:schemeClr w14:val="tx1"/>
            </w14:solidFill>
          </w14:textFill>
        </w:rPr>
        <w:t>后</w:t>
      </w:r>
      <w:r>
        <w:rPr>
          <w:rFonts w:hint="eastAsia" w:ascii="宋体" w:hAnsi="宋体" w:cs="FZSSK--GBK1-00+ZBNFQI-10"/>
          <w:color w:val="000000" w:themeColor="text1"/>
          <w14:textFill>
            <w14:solidFill>
              <w14:schemeClr w14:val="tx1"/>
            </w14:solidFill>
          </w14:textFill>
        </w:rPr>
        <w:t>曾</w:t>
      </w:r>
      <w:r>
        <w:rPr>
          <w:rFonts w:hint="eastAsia" w:ascii="宋体" w:hAnsi="宋体" w:cs="SSJ4+ZBNFQG-1"/>
          <w:color w:val="000000" w:themeColor="text1"/>
          <w14:textFill>
            <w14:solidFill>
              <w14:schemeClr w14:val="tx1"/>
            </w14:solidFill>
          </w14:textFill>
        </w:rPr>
        <w:t>经</w:t>
      </w:r>
      <w:r>
        <w:rPr>
          <w:rFonts w:hint="eastAsia" w:ascii="宋体" w:hAnsi="宋体" w:cs="FZSSK--GBK1-00+ZBNFQI-9"/>
          <w:color w:val="000000" w:themeColor="text1"/>
          <w14:textFill>
            <w14:solidFill>
              <w14:schemeClr w14:val="tx1"/>
            </w14:solidFill>
          </w14:textFill>
        </w:rPr>
        <w:t>成</w:t>
      </w:r>
      <w:r>
        <w:rPr>
          <w:rFonts w:hint="eastAsia" w:ascii="宋体" w:hAnsi="宋体" w:cs="FZSSK--GBK1-00+ZBNFQI-10"/>
          <w:color w:val="000000" w:themeColor="text1"/>
          <w14:textFill>
            <w14:solidFill>
              <w14:schemeClr w14:val="tx1"/>
            </w14:solidFill>
          </w14:textFill>
        </w:rPr>
        <w:t>功</w:t>
      </w:r>
      <w:r>
        <w:rPr>
          <w:rFonts w:hint="eastAsia" w:ascii="宋体" w:hAnsi="宋体" w:cs="SSJ4+ZBNFQG-1"/>
          <w:color w:val="000000" w:themeColor="text1"/>
          <w14:textFill>
            <w14:solidFill>
              <w14:schemeClr w14:val="tx1"/>
            </w14:solidFill>
          </w14:textFill>
        </w:rPr>
        <w:t>的说法</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L-16"/>
          <w:color w:val="000000" w:themeColor="text1"/>
          <w14:textFill>
            <w14:solidFill>
              <w14:schemeClr w14:val="tx1"/>
            </w14:solidFill>
          </w14:textFill>
        </w:rPr>
        <w:t>符</w:t>
      </w:r>
      <w:r>
        <w:rPr>
          <w:rFonts w:hint="eastAsia" w:ascii="宋体" w:hAnsi="宋体" w:cs="FZSSK--GBK1-00+ZBNFQH-5"/>
          <w:color w:val="000000" w:themeColor="text1"/>
          <w14:textFill>
            <w14:solidFill>
              <w14:schemeClr w14:val="tx1"/>
            </w14:solidFill>
          </w14:textFill>
        </w:rPr>
        <w:t>合</w:t>
      </w:r>
      <w:r>
        <w:rPr>
          <w:rFonts w:hint="eastAsia" w:ascii="宋体" w:hAnsi="宋体" w:cs="FZSSK--GBK1-00+ZBNFQI-9"/>
          <w:color w:val="000000" w:themeColor="text1"/>
          <w14:textFill>
            <w14:solidFill>
              <w14:schemeClr w14:val="tx1"/>
            </w14:solidFill>
          </w14:textFill>
        </w:rPr>
        <w:t>事</w:t>
      </w:r>
      <w:r>
        <w:rPr>
          <w:rFonts w:hint="eastAsia" w:ascii="宋体" w:hAnsi="宋体" w:cs="FZSSK--GBK1-00+ZBNFQI-10"/>
          <w:color w:val="000000" w:themeColor="text1"/>
          <w14:textFill>
            <w14:solidFill>
              <w14:schemeClr w14:val="tx1"/>
            </w14:solidFill>
          </w14:textFill>
        </w:rPr>
        <w:t>实</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罗</w:t>
      </w:r>
      <w:r>
        <w:rPr>
          <w:rFonts w:hint="eastAsia" w:ascii="宋体" w:hAnsi="宋体" w:cs="FZSSK--GBK1-00+ZBNFQJ-12"/>
          <w:color w:val="000000" w:themeColor="text1"/>
          <w14:textFill>
            <w14:solidFill>
              <w14:schemeClr w14:val="tx1"/>
            </w14:solidFill>
          </w14:textFill>
        </w:rPr>
        <w:t>斯福</w:t>
      </w:r>
      <w:r>
        <w:rPr>
          <w:rFonts w:hint="eastAsia" w:ascii="宋体" w:hAnsi="宋体" w:cs="SSJ4+ZBNFQG-1"/>
          <w:color w:val="000000" w:themeColor="text1"/>
          <w14:textFill>
            <w14:solidFill>
              <w14:schemeClr w14:val="tx1"/>
            </w14:solidFill>
          </w14:textFill>
        </w:rPr>
        <w:t>新</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8"/>
          <w:color w:val="000000" w:themeColor="text1"/>
          <w14:textFill>
            <w14:solidFill>
              <w14:schemeClr w14:val="tx1"/>
            </w14:solidFill>
          </w14:textFill>
        </w:rPr>
        <w:t>施</w:t>
      </w:r>
      <w:r>
        <w:rPr>
          <w:rFonts w:hint="eastAsia" w:ascii="宋体" w:hAnsi="宋体" w:cs="FZSSK--GBK1-00+ZBNFQH-7"/>
          <w:color w:val="000000" w:themeColor="text1"/>
          <w14:textFill>
            <w14:solidFill>
              <w14:schemeClr w14:val="tx1"/>
            </w14:solidFill>
          </w14:textFill>
        </w:rPr>
        <w:t>后</w:t>
      </w:r>
      <w:r>
        <w:rPr>
          <w:rFonts w:hint="eastAsia" w:ascii="宋体" w:hAnsi="宋体" w:cs="FZSSK--GBK1-00+ZBNFQI-9"/>
          <w:color w:val="000000" w:themeColor="text1"/>
          <w14:textFill>
            <w14:solidFill>
              <w14:schemeClr w14:val="tx1"/>
            </w14:solidFill>
          </w14:textFill>
        </w:rPr>
        <w:t>几</w:t>
      </w:r>
      <w:r>
        <w:rPr>
          <w:rFonts w:hint="eastAsia" w:ascii="宋体" w:hAnsi="宋体" w:cs="FZSSK--GBK1-00+ZBNFQH-5"/>
          <w:color w:val="000000" w:themeColor="text1"/>
          <w14:textFill>
            <w14:solidFill>
              <w14:schemeClr w14:val="tx1"/>
            </w14:solidFill>
          </w14:textFill>
        </w:rPr>
        <w:t>年</w:t>
      </w:r>
      <w:r>
        <w:rPr>
          <w:rFonts w:hint="eastAsia" w:ascii="宋体" w:hAnsi="宋体" w:cs="FZSSK--GBK1-00+ZBNFQH-8"/>
          <w:color w:val="000000" w:themeColor="text1"/>
          <w14:textFill>
            <w14:solidFill>
              <w14:schemeClr w14:val="tx1"/>
            </w14:solidFill>
          </w14:textFill>
        </w:rPr>
        <w:t>并</w:t>
      </w:r>
      <w:r>
        <w:rPr>
          <w:rFonts w:hint="eastAsia" w:ascii="宋体" w:hAnsi="宋体" w:cs="FZSSK--GBK1-00+ZBNFQH-5"/>
          <w:color w:val="000000" w:themeColor="text1"/>
          <w14:textFill>
            <w14:solidFill>
              <w14:schemeClr w14:val="tx1"/>
            </w14:solidFill>
          </w14:textFill>
        </w:rPr>
        <w:t>没</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5"/>
          <w:color w:val="000000" w:themeColor="text1"/>
          <w14:textFill>
            <w14:solidFill>
              <w14:schemeClr w14:val="tx1"/>
            </w14:solidFill>
          </w14:textFill>
        </w:rPr>
        <w:t>就</w:t>
      </w:r>
      <w:r>
        <w:rPr>
          <w:rFonts w:hint="eastAsia" w:ascii="宋体" w:hAnsi="宋体" w:cs="FZSSK--GBK1-00+ZBNFQJ-12"/>
          <w:color w:val="000000" w:themeColor="text1"/>
          <w14:textFill>
            <w14:solidFill>
              <w14:schemeClr w14:val="tx1"/>
            </w14:solidFill>
          </w14:textFill>
        </w:rPr>
        <w:t>业</w:t>
      </w:r>
      <w:r>
        <w:rPr>
          <w:rFonts w:hint="eastAsia" w:ascii="宋体" w:hAnsi="宋体" w:cs="SSJ4+ZBNFQG-1"/>
          <w:color w:val="000000" w:themeColor="text1"/>
          <w14:textFill>
            <w14:solidFill>
              <w14:schemeClr w14:val="tx1"/>
            </w14:solidFill>
          </w14:textFill>
        </w:rPr>
        <w:t>和经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大</w:t>
      </w:r>
      <w:r>
        <w:rPr>
          <w:rFonts w:hint="eastAsia" w:ascii="宋体" w:hAnsi="宋体" w:cs="FZSSK--GBK1-00+ZBNFQI-9"/>
          <w:color w:val="000000" w:themeColor="text1"/>
          <w14:textFill>
            <w14:solidFill>
              <w14:schemeClr w14:val="tx1"/>
            </w14:solidFill>
          </w14:textFill>
        </w:rPr>
        <w:t>规模</w:t>
      </w:r>
      <w:r>
        <w:rPr>
          <w:rFonts w:hint="eastAsia" w:ascii="宋体" w:hAnsi="宋体" w:cs="FZSSK--GBK1-00+ZBNFQJ-13"/>
          <w:color w:val="000000" w:themeColor="text1"/>
          <w14:textFill>
            <w14:solidFill>
              <w14:schemeClr w14:val="tx1"/>
            </w14:solidFill>
          </w14:textFill>
        </w:rPr>
        <w:t>好</w:t>
      </w:r>
      <w:r>
        <w:rPr>
          <w:rFonts w:hint="eastAsia" w:ascii="宋体" w:hAnsi="宋体" w:cs="FZSSK--GBK1-00+ZBNFQI-10"/>
          <w:color w:val="000000" w:themeColor="text1"/>
          <w14:textFill>
            <w14:solidFill>
              <w14:schemeClr w14:val="tx1"/>
            </w14:solidFill>
          </w14:textFill>
        </w:rPr>
        <w:t>转</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J-12"/>
          <w:color w:val="000000" w:themeColor="text1"/>
          <w14:textFill>
            <w14:solidFill>
              <w14:schemeClr w14:val="tx1"/>
            </w14:solidFill>
          </w14:textFill>
        </w:rPr>
        <w:t>只</w:t>
      </w:r>
      <w:r>
        <w:rPr>
          <w:rFonts w:hint="eastAsia" w:ascii="宋体" w:hAnsi="宋体" w:cs="SSJ4+ZBNFQG-1"/>
          <w:color w:val="000000" w:themeColor="text1"/>
          <w14:textFill>
            <w14:solidFill>
              <w14:schemeClr w14:val="tx1"/>
            </w14:solidFill>
          </w14:textFill>
        </w:rPr>
        <w:t>是</w:t>
      </w:r>
      <w:r>
        <w:rPr>
          <w:rFonts w:hint="eastAsia" w:ascii="宋体" w:hAnsi="宋体" w:cs="FZSSK--GBK1-00+ZBNFQH-8"/>
          <w:color w:val="000000" w:themeColor="text1"/>
          <w14:textFill>
            <w14:solidFill>
              <w14:schemeClr w14:val="tx1"/>
            </w14:solidFill>
          </w14:textFill>
        </w:rPr>
        <w:t>被</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I-10"/>
          <w:color w:val="000000" w:themeColor="text1"/>
          <w14:textFill>
            <w14:solidFill>
              <w14:schemeClr w14:val="tx1"/>
            </w14:solidFill>
          </w14:textFill>
        </w:rPr>
        <w:t>持住</w:t>
      </w:r>
      <w:r>
        <w:rPr>
          <w:rFonts w:hint="eastAsia" w:ascii="宋体" w:hAnsi="宋体" w:cs="FZSSK--GBK1-00+ZBNFQH-5"/>
          <w:color w:val="000000" w:themeColor="text1"/>
          <w14:textFill>
            <w14:solidFill>
              <w14:schemeClr w14:val="tx1"/>
            </w14:solidFill>
          </w14:textFill>
        </w:rPr>
        <w:t>没</w:t>
      </w:r>
      <w:r>
        <w:rPr>
          <w:rFonts w:hint="eastAsia" w:ascii="宋体" w:hAnsi="宋体" w:cs="SSJ4+ZBNFQG-1"/>
          <w:color w:val="000000" w:themeColor="text1"/>
          <w14:textFill>
            <w14:solidFill>
              <w14:schemeClr w14:val="tx1"/>
            </w14:solidFill>
          </w14:textFill>
        </w:rPr>
        <w:t>有</w:t>
      </w:r>
      <w:r>
        <w:rPr>
          <w:rFonts w:hint="eastAsia" w:ascii="宋体" w:hAnsi="宋体" w:cs="FZSSK--GBK1-00+ZBNFQO-22"/>
          <w:color w:val="000000" w:themeColor="text1"/>
          <w14:textFill>
            <w14:solidFill>
              <w14:schemeClr w14:val="tx1"/>
            </w14:solidFill>
          </w14:textFill>
        </w:rPr>
        <w:t>崩溃</w:t>
      </w:r>
      <w:r>
        <w:rPr>
          <w:rFonts w:hint="eastAsia" w:ascii="宋体" w:hAnsi="宋体" w:cs="SSJ4+ZBNFQG-1"/>
          <w:color w:val="000000" w:themeColor="text1"/>
          <w14:textFill>
            <w14:solidFill>
              <w14:schemeClr w14:val="tx1"/>
            </w14:solidFill>
          </w14:textFill>
        </w:rPr>
        <w:t>而</w:t>
      </w:r>
      <w:r>
        <w:rPr>
          <w:rFonts w:hint="eastAsia" w:ascii="宋体" w:hAnsi="宋体" w:cs="FZSSK--GBK1-00+ZBNFQH-5"/>
          <w:color w:val="000000" w:themeColor="text1"/>
          <w14:textFill>
            <w14:solidFill>
              <w14:schemeClr w14:val="tx1"/>
            </w14:solidFill>
          </w14:textFill>
        </w:rPr>
        <w:t>已</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其</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仍</w:t>
      </w:r>
      <w:r>
        <w:rPr>
          <w:rFonts w:hint="eastAsia" w:ascii="宋体" w:hAnsi="宋体" w:cs="FZSSK--GBK1-00+ZBNFQI-9"/>
          <w:color w:val="000000" w:themeColor="text1"/>
          <w14:textFill>
            <w14:solidFill>
              <w14:schemeClr w14:val="tx1"/>
            </w14:solidFill>
          </w14:textFill>
        </w:rPr>
        <w:t>很</w:t>
      </w:r>
      <w:r>
        <w:rPr>
          <w:rFonts w:hint="eastAsia" w:ascii="宋体" w:hAnsi="宋体" w:cs="FZSSK--GBK1-00+ZBNFQL-16"/>
          <w:color w:val="000000" w:themeColor="text1"/>
          <w14:textFill>
            <w14:solidFill>
              <w14:schemeClr w14:val="tx1"/>
            </w14:solidFill>
          </w14:textFill>
        </w:rPr>
        <w:t>缓</w:t>
      </w:r>
      <w:r>
        <w:rPr>
          <w:rFonts w:hint="eastAsia" w:ascii="宋体" w:hAnsi="宋体" w:cs="FZSSK--GBK1-00+ZBNFQO-22"/>
          <w:color w:val="000000" w:themeColor="text1"/>
          <w14:textFill>
            <w14:solidFill>
              <w14:schemeClr w14:val="tx1"/>
            </w14:solidFill>
          </w14:textFill>
        </w:rPr>
        <w:t>慢</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后</w:t>
      </w:r>
      <w:r>
        <w:rPr>
          <w:rFonts w:hint="eastAsia" w:ascii="宋体" w:hAnsi="宋体" w:cs="SSJ4+ZBNFQG-1"/>
          <w:color w:val="000000" w:themeColor="text1"/>
          <w14:textFill>
            <w14:solidFill>
              <w14:schemeClr w14:val="tx1"/>
            </w14:solidFill>
          </w14:textFill>
        </w:rPr>
        <w:t>来</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国是</w:t>
      </w:r>
      <w:r>
        <w:rPr>
          <w:rFonts w:hint="eastAsia" w:ascii="宋体" w:hAnsi="宋体" w:cs="FZSSK--GBK1-00+ZBNFQI-10"/>
          <w:color w:val="000000" w:themeColor="text1"/>
          <w14:textFill>
            <w14:solidFill>
              <w14:schemeClr w14:val="tx1"/>
            </w14:solidFill>
          </w14:textFill>
        </w:rPr>
        <w:t>通</w:t>
      </w:r>
      <w:r>
        <w:rPr>
          <w:rFonts w:hint="eastAsia" w:ascii="宋体" w:hAnsi="宋体" w:cs="FZSSK--GBK1-00+ZBNFQH-5"/>
          <w:color w:val="000000" w:themeColor="text1"/>
          <w14:textFill>
            <w14:solidFill>
              <w14:schemeClr w14:val="tx1"/>
            </w14:solidFill>
          </w14:textFill>
        </w:rPr>
        <w:t>过不断</w:t>
      </w:r>
      <w:r>
        <w:rPr>
          <w:rFonts w:hint="eastAsia" w:ascii="宋体" w:hAnsi="宋体" w:cs="SSJ4+ZBNFQG-1"/>
          <w:color w:val="000000" w:themeColor="text1"/>
          <w14:textFill>
            <w14:solidFill>
              <w14:schemeClr w14:val="tx1"/>
            </w14:solidFill>
          </w14:textFill>
        </w:rPr>
        <w:t>的战争</w:t>
      </w:r>
      <w:r>
        <w:rPr>
          <w:rFonts w:hint="eastAsia" w:ascii="宋体" w:hAnsi="宋体" w:cs="FZSSK--GBK1-00+ZBNFQP-23"/>
          <w:color w:val="000000" w:themeColor="text1"/>
          <w14:textFill>
            <w14:solidFill>
              <w14:schemeClr w14:val="tx1"/>
            </w14:solidFill>
          </w14:textFill>
        </w:rPr>
        <w:t>才</w:t>
      </w:r>
      <w:r>
        <w:rPr>
          <w:rFonts w:hint="eastAsia" w:ascii="宋体" w:hAnsi="宋体" w:cs="FZSSK--GBK1-00+ZBNFQJ-12"/>
          <w:color w:val="000000" w:themeColor="text1"/>
          <w14:textFill>
            <w14:solidFill>
              <w14:schemeClr w14:val="tx1"/>
            </w14:solidFill>
          </w14:textFill>
        </w:rPr>
        <w:t>真</w:t>
      </w:r>
      <w:r>
        <w:rPr>
          <w:rFonts w:hint="eastAsia" w:ascii="宋体" w:hAnsi="宋体" w:cs="SSJ4+ZBNFQG-1"/>
          <w:color w:val="000000" w:themeColor="text1"/>
          <w14:textFill>
            <w14:solidFill>
              <w14:schemeClr w14:val="tx1"/>
            </w14:solidFill>
          </w14:textFill>
        </w:rPr>
        <w:t>正</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J-12"/>
          <w:color w:val="000000" w:themeColor="text1"/>
          <w14:textFill>
            <w14:solidFill>
              <w14:schemeClr w14:val="tx1"/>
            </w14:solidFill>
          </w14:textFill>
        </w:rPr>
        <w:t>服</w:t>
      </w:r>
      <w:r>
        <w:rPr>
          <w:rFonts w:hint="eastAsia" w:ascii="宋体" w:hAnsi="宋体" w:cs="SSJ4+ZBNFQG-1"/>
          <w:color w:val="000000" w:themeColor="text1"/>
          <w14:textFill>
            <w14:solidFill>
              <w14:schemeClr w14:val="tx1"/>
            </w14:solidFill>
          </w14:textFill>
        </w:rPr>
        <w:t>了生</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O-21"/>
          <w:color w:val="000000" w:themeColor="text1"/>
          <w14:textFill>
            <w14:solidFill>
              <w14:schemeClr w14:val="tx1"/>
            </w14:solidFill>
          </w14:textFill>
        </w:rPr>
        <w:t>剩</w:t>
      </w:r>
      <w:r>
        <w:rPr>
          <w:rFonts w:hint="eastAsia" w:ascii="宋体" w:hAnsi="宋体" w:cs="FZSSK--GBK1-00+ZBNFQH-7"/>
          <w:color w:val="000000" w:themeColor="text1"/>
          <w14:textFill>
            <w14:solidFill>
              <w14:schemeClr w14:val="tx1"/>
            </w14:solidFill>
          </w14:textFill>
        </w:rPr>
        <w:t>等</w:t>
      </w:r>
      <w:r>
        <w:rPr>
          <w:rFonts w:hint="eastAsia" w:ascii="宋体" w:hAnsi="宋体" w:cs="FZSSK--GBK1-00+ZBNFQH-5"/>
          <w:color w:val="000000" w:themeColor="text1"/>
          <w14:textFill>
            <w14:solidFill>
              <w14:schemeClr w14:val="tx1"/>
            </w14:solidFill>
          </w14:textFill>
        </w:rPr>
        <w:t>问题</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战</w:t>
      </w:r>
      <w:r>
        <w:rPr>
          <w:rFonts w:hint="eastAsia" w:ascii="宋体" w:hAnsi="宋体" w:cs="FZSSK--GBK1-00+ZBNFQH-7"/>
          <w:color w:val="000000" w:themeColor="text1"/>
          <w14:textFill>
            <w14:solidFill>
              <w14:schemeClr w14:val="tx1"/>
            </w14:solidFill>
          </w14:textFill>
        </w:rPr>
        <w:t>后</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繁荣除</w:t>
      </w:r>
      <w:r>
        <w:rPr>
          <w:rFonts w:hint="eastAsia" w:ascii="宋体" w:hAnsi="宋体" w:cs="SSJ4+ZBNFQG-1"/>
          <w:color w:val="000000" w:themeColor="text1"/>
          <w14:textFill>
            <w14:solidFill>
              <w14:schemeClr w14:val="tx1"/>
            </w14:solidFill>
          </w14:textFill>
        </w:rPr>
        <w:t>了</w:t>
      </w:r>
      <w:r>
        <w:rPr>
          <w:rFonts w:hint="eastAsia" w:ascii="宋体" w:hAnsi="宋体" w:cs="FZSSK--GBK1-00+ZBNFQH-7"/>
          <w:color w:val="000000" w:themeColor="text1"/>
          <w14:textFill>
            <w14:solidFill>
              <w14:schemeClr w14:val="tx1"/>
            </w14:solidFill>
          </w14:textFill>
        </w:rPr>
        <w:t>与</w:t>
      </w:r>
      <w:r>
        <w:rPr>
          <w:rFonts w:hint="eastAsia" w:ascii="宋体" w:hAnsi="宋体" w:cs="SSJ4+ZBNFQG-1"/>
          <w:color w:val="000000" w:themeColor="text1"/>
          <w14:textFill>
            <w14:solidFill>
              <w14:schemeClr w14:val="tx1"/>
            </w14:solidFill>
          </w14:textFill>
        </w:rPr>
        <w:t>战争</w:t>
      </w:r>
      <w:r>
        <w:rPr>
          <w:rFonts w:hint="eastAsia" w:ascii="宋体" w:hAnsi="宋体" w:cs="FZSSK--GBK1-00+ZBNFQO-21"/>
          <w:color w:val="000000" w:themeColor="text1"/>
          <w14:textFill>
            <w14:solidFill>
              <w14:schemeClr w14:val="tx1"/>
            </w14:solidFill>
          </w14:textFill>
        </w:rPr>
        <w:t>摧</w:t>
      </w:r>
      <w:r>
        <w:rPr>
          <w:rFonts w:hint="eastAsia" w:ascii="宋体" w:hAnsi="宋体" w:cs="FZSSK--GBK1-00+ZBNFQN-20"/>
          <w:color w:val="000000" w:themeColor="text1"/>
          <w14:textFill>
            <w14:solidFill>
              <w14:schemeClr w14:val="tx1"/>
            </w14:solidFill>
          </w14:textFill>
        </w:rPr>
        <w:t>毁</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O-21"/>
          <w:color w:val="000000" w:themeColor="text1"/>
          <w14:textFill>
            <w14:solidFill>
              <w14:schemeClr w14:val="tx1"/>
            </w14:solidFill>
          </w14:textFill>
        </w:rPr>
        <w:t>剩</w:t>
      </w:r>
      <w:r>
        <w:rPr>
          <w:rFonts w:hint="eastAsia" w:ascii="宋体" w:hAnsi="宋体" w:cs="SSJ4+ZBNFQG-1"/>
          <w:color w:val="000000" w:themeColor="text1"/>
          <w14:textFill>
            <w14:solidFill>
              <w14:schemeClr w14:val="tx1"/>
            </w14:solidFill>
          </w14:textFill>
        </w:rPr>
        <w:t>生</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7"/>
          <w:color w:val="000000" w:themeColor="text1"/>
          <w14:textFill>
            <w14:solidFill>
              <w14:schemeClr w14:val="tx1"/>
            </w14:solidFill>
          </w14:textFill>
        </w:rPr>
        <w:t>能力</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关外</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和</w:t>
      </w:r>
      <w:r>
        <w:rPr>
          <w:rFonts w:hint="eastAsia" w:ascii="宋体" w:hAnsi="宋体" w:cs="FZSSK--GBK1-00+ZBNFQJ-13"/>
          <w:color w:val="000000" w:themeColor="text1"/>
          <w14:textFill>
            <w14:solidFill>
              <w14:schemeClr w14:val="tx1"/>
            </w14:solidFill>
          </w14:textFill>
        </w:rPr>
        <w:t>科</w:t>
      </w:r>
      <w:r>
        <w:rPr>
          <w:rFonts w:hint="eastAsia" w:ascii="宋体" w:hAnsi="宋体" w:cs="FZSSK--GBK1-00+ZBNFQJ-12"/>
          <w:color w:val="000000" w:themeColor="text1"/>
          <w14:textFill>
            <w14:solidFill>
              <w14:schemeClr w14:val="tx1"/>
            </w14:solidFill>
          </w14:textFill>
        </w:rPr>
        <w:t>技</w:t>
      </w:r>
      <w:r>
        <w:rPr>
          <w:rFonts w:hint="eastAsia" w:ascii="宋体" w:hAnsi="宋体" w:cs="SSJ4+ZBNFQG-1"/>
          <w:color w:val="000000" w:themeColor="text1"/>
          <w14:textFill>
            <w14:solidFill>
              <w14:schemeClr w14:val="tx1"/>
            </w14:solidFill>
          </w14:textFill>
        </w:rPr>
        <w:t>革</w:t>
      </w:r>
      <w:r>
        <w:rPr>
          <w:rFonts w:hint="eastAsia" w:ascii="宋体" w:hAnsi="宋体" w:cs="FZSSK--GBK1-00+ZBNFQJ-12"/>
          <w:color w:val="000000" w:themeColor="text1"/>
          <w14:textFill>
            <w14:solidFill>
              <w14:schemeClr w14:val="tx1"/>
            </w14:solidFill>
          </w14:textFill>
        </w:rPr>
        <w:t>命</w:t>
      </w:r>
      <w:r>
        <w:rPr>
          <w:rFonts w:hint="eastAsia" w:ascii="宋体" w:hAnsi="宋体" w:cs="SSJ4+ZBNFQG-1"/>
          <w:color w:val="000000" w:themeColor="text1"/>
          <w14:textFill>
            <w14:solidFill>
              <w14:schemeClr w14:val="tx1"/>
            </w14:solidFill>
          </w14:textFill>
        </w:rPr>
        <w:t>和世界</w:t>
      </w:r>
      <w:r>
        <w:rPr>
          <w:rFonts w:hint="eastAsia" w:ascii="宋体" w:hAnsi="宋体" w:cs="FZSSK--GBK1-00+ZBNFQH-7"/>
          <w:color w:val="000000" w:themeColor="text1"/>
          <w14:textFill>
            <w14:solidFill>
              <w14:schemeClr w14:val="tx1"/>
            </w14:solidFill>
          </w14:textFill>
        </w:rPr>
        <w:t>性</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H-5"/>
          <w:color w:val="000000" w:themeColor="text1"/>
          <w14:textFill>
            <w14:solidFill>
              <w14:schemeClr w14:val="tx1"/>
            </w14:solidFill>
          </w14:textFill>
        </w:rPr>
        <w:t>量</w:t>
      </w:r>
      <w:r>
        <w:rPr>
          <w:rFonts w:hint="eastAsia" w:ascii="宋体" w:hAnsi="宋体" w:cs="FZSSK--GBK1-00+ZBNFQQ-24"/>
          <w:color w:val="000000" w:themeColor="text1"/>
          <w14:textFill>
            <w14:solidFill>
              <w14:schemeClr w14:val="tx1"/>
            </w14:solidFill>
          </w14:textFill>
        </w:rPr>
        <w:t>壮</w:t>
      </w:r>
      <w:r>
        <w:rPr>
          <w:rFonts w:hint="eastAsia" w:ascii="宋体" w:hAnsi="宋体" w:cs="SSJ4+ZBNFQG-1"/>
          <w:color w:val="000000" w:themeColor="text1"/>
          <w14:textFill>
            <w14:solidFill>
              <w14:schemeClr w14:val="tx1"/>
            </w14:solidFill>
          </w14:textFill>
        </w:rPr>
        <w:t>大有</w:t>
      </w:r>
      <w:r>
        <w:rPr>
          <w:rFonts w:hint="eastAsia" w:ascii="宋体" w:hAnsi="宋体" w:cs="FZSSK--GBK1-00+ZBNFQI-10"/>
          <w:color w:val="000000" w:themeColor="text1"/>
          <w14:textFill>
            <w14:solidFill>
              <w14:schemeClr w14:val="tx1"/>
            </w14:solidFill>
          </w14:textFill>
        </w:rPr>
        <w:t>关</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H-5"/>
          <w:color w:val="000000" w:themeColor="text1"/>
          <w14:textFill>
            <w14:solidFill>
              <w14:schemeClr w14:val="tx1"/>
            </w14:solidFill>
          </w14:textFill>
        </w:rPr>
        <w:t>将</w:t>
      </w:r>
      <w:r>
        <w:rPr>
          <w:rFonts w:hint="eastAsia" w:ascii="宋体" w:hAnsi="宋体" w:cs="FZSSK--GBK1-00+ZBNFQI-10"/>
          <w:color w:val="000000" w:themeColor="text1"/>
          <w14:textFill>
            <w14:solidFill>
              <w14:schemeClr w14:val="tx1"/>
            </w14:solidFill>
          </w14:textFill>
        </w:rPr>
        <w:t>功</w:t>
      </w:r>
      <w:r>
        <w:rPr>
          <w:rFonts w:hint="eastAsia" w:ascii="宋体" w:hAnsi="宋体" w:cs="FZSSK--GBK1-00+ZBNFQK-15"/>
          <w:color w:val="000000" w:themeColor="text1"/>
          <w14:textFill>
            <w14:solidFill>
              <w14:schemeClr w14:val="tx1"/>
            </w14:solidFill>
          </w14:textFill>
        </w:rPr>
        <w:t>劳</w:t>
      </w:r>
      <w:r>
        <w:rPr>
          <w:rFonts w:hint="eastAsia" w:ascii="宋体" w:hAnsi="宋体" w:cs="SSJ4+ZBNFQG-1"/>
          <w:color w:val="000000" w:themeColor="text1"/>
          <w14:textFill>
            <w14:solidFill>
              <w14:schemeClr w14:val="tx1"/>
            </w14:solidFill>
          </w14:textFill>
        </w:rPr>
        <w:t>主要</w:t>
      </w:r>
      <w:r>
        <w:rPr>
          <w:rFonts w:hint="eastAsia" w:ascii="宋体" w:hAnsi="宋体" w:cs="FZSSK--GBK1-00+ZBNFQM-17"/>
          <w:color w:val="000000" w:themeColor="text1"/>
          <w14:textFill>
            <w14:solidFill>
              <w14:schemeClr w14:val="tx1"/>
            </w14:solidFill>
          </w14:textFill>
        </w:rPr>
        <w:t>归</w:t>
      </w:r>
      <w:r>
        <w:rPr>
          <w:rFonts w:hint="eastAsia" w:ascii="宋体" w:hAnsi="宋体" w:cs="SSJ4+ZBNFQG-1"/>
          <w:color w:val="000000" w:themeColor="text1"/>
          <w14:textFill>
            <w14:solidFill>
              <w14:schemeClr w14:val="tx1"/>
            </w14:solidFill>
          </w14:textFill>
        </w:rPr>
        <w:t>于</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可</w:t>
      </w:r>
      <w:r>
        <w:rPr>
          <w:rFonts w:hint="eastAsia" w:ascii="宋体" w:hAnsi="宋体" w:cs="FZSSK--GBK1-00+ZBNFQH-5"/>
          <w:color w:val="000000" w:themeColor="text1"/>
          <w14:textFill>
            <w14:solidFill>
              <w14:schemeClr w14:val="tx1"/>
            </w14:solidFill>
          </w14:textFill>
        </w:rPr>
        <w:t>见</w:t>
      </w:r>
      <w:r>
        <w:rPr>
          <w:rFonts w:hint="eastAsia" w:ascii="宋体" w:hAnsi="宋体" w:cs="SSJ4+ZBNFQG-1"/>
          <w:color w:val="000000" w:themeColor="text1"/>
          <w14:textFill>
            <w14:solidFill>
              <w14:schemeClr w14:val="tx1"/>
            </w14:solidFill>
          </w14:textFill>
        </w:rPr>
        <w:t>，指</w:t>
      </w:r>
      <w:r>
        <w:rPr>
          <w:rFonts w:hint="eastAsia" w:ascii="宋体" w:hAnsi="宋体" w:cs="FZSSK--GBK1-00+ZBNFQK-14"/>
          <w:color w:val="000000" w:themeColor="text1"/>
          <w14:textFill>
            <w14:solidFill>
              <w14:schemeClr w14:val="tx1"/>
            </w14:solidFill>
          </w14:textFill>
        </w:rPr>
        <w:t>望</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主义和</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主</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J-12"/>
          <w:color w:val="000000" w:themeColor="text1"/>
          <w14:textFill>
            <w14:solidFill>
              <w14:schemeClr w14:val="tx1"/>
            </w14:solidFill>
          </w14:textFill>
        </w:rPr>
        <w:t>服</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是</w:t>
      </w:r>
      <w:r>
        <w:rPr>
          <w:rFonts w:hint="eastAsia" w:ascii="宋体" w:hAnsi="宋体" w:cs="FZSSK--GBK1-00+ZBNFQL-16"/>
          <w:color w:val="000000" w:themeColor="text1"/>
          <w14:textFill>
            <w14:solidFill>
              <w14:schemeClr w14:val="tx1"/>
            </w14:solidFill>
          </w14:textFill>
        </w:rPr>
        <w:t>欺</w:t>
      </w:r>
      <w:r>
        <w:rPr>
          <w:rFonts w:hint="eastAsia" w:ascii="宋体" w:hAnsi="宋体" w:cs="FZSSK--GBK1-00+ZBNFQH-5"/>
          <w:color w:val="000000" w:themeColor="text1"/>
          <w14:textFill>
            <w14:solidFill>
              <w14:schemeClr w14:val="tx1"/>
            </w14:solidFill>
          </w14:textFill>
        </w:rPr>
        <w:t>人</w:t>
      </w:r>
      <w:r>
        <w:rPr>
          <w:rFonts w:hint="eastAsia" w:ascii="宋体" w:hAnsi="宋体" w:cs="SSJ4+ZBNFQG-1"/>
          <w:color w:val="000000" w:themeColor="text1"/>
          <w14:textFill>
            <w14:solidFill>
              <w14:schemeClr w14:val="tx1"/>
            </w14:solidFill>
          </w14:textFill>
        </w:rPr>
        <w:t>之谈</w:t>
      </w:r>
      <w:r>
        <w:rPr>
          <w:rFonts w:hint="eastAsia" w:ascii="宋体" w:hAnsi="宋体" w:cs="SSJ0+ZBNFQG-4"/>
          <w:color w:val="000000" w:themeColor="text1"/>
          <w14:textFill>
            <w14:solidFill>
              <w14:schemeClr w14:val="tx1"/>
            </w14:solidFill>
          </w14:textFill>
        </w:rPr>
        <w:t>。</w:t>
      </w:r>
    </w:p>
    <w:p w14:paraId="076B888F">
      <w:pPr>
        <w:autoSpaceDE w:val="0"/>
        <w:autoSpaceDN w:val="0"/>
        <w:adjustRightInd w:val="0"/>
        <w:spacing w:line="400" w:lineRule="exact"/>
        <w:ind w:firstLine="420" w:firstLineChars="200"/>
        <w:jc w:val="left"/>
        <w:rPr>
          <w:rFonts w:hint="eastAsia" w:ascii="宋体" w:hAnsi="宋体" w:cs="FZSSK--GBK1-00+ZBNFQH-5"/>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中国出</w:t>
      </w:r>
      <w:r>
        <w:rPr>
          <w:rFonts w:hint="eastAsia" w:ascii="宋体" w:hAnsi="宋体" w:cs="FZSSK--GBK1-00+ZBNFQH-5"/>
          <w:color w:val="000000" w:themeColor="text1"/>
          <w14:textFill>
            <w14:solidFill>
              <w14:schemeClr w14:val="tx1"/>
            </w14:solidFill>
          </w14:textFill>
        </w:rPr>
        <w:t>现</w:t>
      </w:r>
      <w:r>
        <w:rPr>
          <w:rFonts w:hint="eastAsia" w:ascii="宋体" w:hAnsi="宋体" w:cs="FZSSK--GBK1-00+ZBNFQN-20"/>
          <w:color w:val="000000" w:themeColor="text1"/>
          <w14:textFill>
            <w14:solidFill>
              <w14:schemeClr w14:val="tx1"/>
            </w14:solidFill>
          </w14:textFill>
        </w:rPr>
        <w:t>某</w:t>
      </w:r>
      <w:r>
        <w:rPr>
          <w:rFonts w:hint="eastAsia" w:ascii="宋体" w:hAnsi="宋体" w:cs="FZSSK--GBK1-00+ZBNFQH-7"/>
          <w:color w:val="000000" w:themeColor="text1"/>
          <w14:textFill>
            <w14:solidFill>
              <w14:schemeClr w14:val="tx1"/>
            </w14:solidFill>
          </w14:textFill>
        </w:rPr>
        <w:t>些</w:t>
      </w:r>
      <w:r>
        <w:rPr>
          <w:rFonts w:hint="eastAsia" w:ascii="宋体" w:hAnsi="宋体" w:cs="FZSSK--GBK1-00+ZBNFQH-5"/>
          <w:color w:val="000000" w:themeColor="text1"/>
          <w14:textFill>
            <w14:solidFill>
              <w14:schemeClr w14:val="tx1"/>
            </w14:solidFill>
          </w14:textFill>
        </w:rPr>
        <w:t>问题</w:t>
      </w:r>
      <w:r>
        <w:rPr>
          <w:rFonts w:hint="eastAsia" w:ascii="宋体" w:hAnsi="宋体" w:cs="FZSSK--GBK1-00+ZBNFQH-8"/>
          <w:color w:val="000000" w:themeColor="text1"/>
          <w14:textFill>
            <w14:solidFill>
              <w14:schemeClr w14:val="tx1"/>
            </w14:solidFill>
          </w14:textFill>
        </w:rPr>
        <w:t>并且长</w:t>
      </w:r>
      <w:r>
        <w:rPr>
          <w:rFonts w:hint="eastAsia" w:ascii="宋体" w:hAnsi="宋体" w:cs="SSJ4+ZBNFQG-1"/>
          <w:color w:val="000000" w:themeColor="text1"/>
          <w14:textFill>
            <w14:solidFill>
              <w14:schemeClr w14:val="tx1"/>
            </w14:solidFill>
          </w14:textFill>
        </w:rPr>
        <w:t>期</w:t>
      </w:r>
      <w:r>
        <w:rPr>
          <w:rFonts w:hint="eastAsia" w:ascii="宋体" w:hAnsi="宋体" w:cs="FZSSK--GBK1-00+ZBNFQH-8"/>
          <w:color w:val="000000" w:themeColor="text1"/>
          <w14:textFill>
            <w14:solidFill>
              <w14:schemeClr w14:val="tx1"/>
            </w14:solidFill>
          </w14:textFill>
        </w:rPr>
        <w:t>得</w:t>
      </w:r>
      <w:r>
        <w:rPr>
          <w:rFonts w:hint="eastAsia" w:ascii="宋体" w:hAnsi="宋体" w:cs="FZSSK--GBK1-00+ZBNFQH-5"/>
          <w:color w:val="000000" w:themeColor="text1"/>
          <w14:textFill>
            <w14:solidFill>
              <w14:schemeClr w14:val="tx1"/>
            </w14:solidFill>
          </w14:textFill>
        </w:rPr>
        <w:t>不到</w:t>
      </w:r>
      <w:r>
        <w:rPr>
          <w:rFonts w:hint="eastAsia" w:ascii="宋体" w:hAnsi="宋体" w:cs="FZSSK--GBK1-00+ZBNFQH-8"/>
          <w:color w:val="000000" w:themeColor="text1"/>
          <w14:textFill>
            <w14:solidFill>
              <w14:schemeClr w14:val="tx1"/>
            </w14:solidFill>
          </w14:textFill>
        </w:rPr>
        <w:t>解</w:t>
      </w:r>
      <w:r>
        <w:rPr>
          <w:rFonts w:hint="eastAsia" w:ascii="宋体" w:hAnsi="宋体" w:cs="FZSSK--GBK1-00+ZBNFQI-10"/>
          <w:color w:val="000000" w:themeColor="text1"/>
          <w14:textFill>
            <w14:solidFill>
              <w14:schemeClr w14:val="tx1"/>
            </w14:solidFill>
          </w14:textFill>
        </w:rPr>
        <w:t>决</w:t>
      </w:r>
      <w:r>
        <w:rPr>
          <w:rFonts w:hint="eastAsia" w:ascii="宋体" w:hAnsi="宋体" w:cs="SSJ4+ZBNFQG-1"/>
          <w:color w:val="000000" w:themeColor="text1"/>
          <w14:textFill>
            <w14:solidFill>
              <w14:schemeClr w14:val="tx1"/>
            </w14:solidFill>
          </w14:textFill>
        </w:rPr>
        <w:t>，是和</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两</w:t>
      </w:r>
      <w:r>
        <w:rPr>
          <w:rFonts w:hint="eastAsia" w:ascii="宋体" w:hAnsi="宋体" w:cs="FZSSK--GBK1-00+ZBNFQH-5"/>
          <w:color w:val="000000" w:themeColor="text1"/>
          <w14:textFill>
            <w14:solidFill>
              <w14:schemeClr w14:val="tx1"/>
            </w14:solidFill>
          </w14:textFill>
        </w:rPr>
        <w:t>种</w:t>
      </w:r>
      <w:r>
        <w:rPr>
          <w:rFonts w:hint="eastAsia" w:ascii="宋体" w:hAnsi="宋体" w:cs="FZSSK--GBK1-00+ZBNFQI-10"/>
          <w:color w:val="000000" w:themeColor="text1"/>
          <w14:textFill>
            <w14:solidFill>
              <w14:schemeClr w14:val="tx1"/>
            </w14:solidFill>
          </w14:textFill>
        </w:rPr>
        <w:t>思</w:t>
      </w:r>
      <w:r>
        <w:rPr>
          <w:rFonts w:hint="eastAsia" w:ascii="宋体" w:hAnsi="宋体" w:cs="FZSSK--GBK1-00+ZBNFQI-9"/>
          <w:color w:val="000000" w:themeColor="text1"/>
          <w14:textFill>
            <w14:solidFill>
              <w14:schemeClr w14:val="tx1"/>
            </w14:solidFill>
          </w14:textFill>
        </w:rPr>
        <w:t>潮</w:t>
      </w:r>
      <w:r>
        <w:rPr>
          <w:rFonts w:hint="eastAsia" w:ascii="宋体" w:hAnsi="宋体" w:cs="SSJ4+ZBNFQG-1"/>
          <w:color w:val="000000" w:themeColor="text1"/>
          <w14:textFill>
            <w14:solidFill>
              <w14:schemeClr w14:val="tx1"/>
            </w14:solidFill>
          </w14:textFill>
        </w:rPr>
        <w:t>在</w:t>
      </w:r>
      <w:r>
        <w:rPr>
          <w:rFonts w:hint="eastAsia" w:ascii="宋体" w:hAnsi="宋体" w:cs="FZSSK--GBK1-00+ZBNFQI-9"/>
          <w:color w:val="000000" w:themeColor="text1"/>
          <w14:textFill>
            <w14:solidFill>
              <w14:schemeClr w14:val="tx1"/>
            </w14:solidFill>
          </w14:textFill>
        </w:rPr>
        <w:t>很</w:t>
      </w:r>
      <w:r>
        <w:rPr>
          <w:rFonts w:hint="eastAsia" w:ascii="宋体" w:hAnsi="宋体" w:cs="SSJ4+ZBNFQG-1"/>
          <w:color w:val="000000" w:themeColor="text1"/>
          <w14:textFill>
            <w14:solidFill>
              <w14:schemeClr w14:val="tx1"/>
            </w14:solidFill>
          </w14:textFill>
        </w:rPr>
        <w:t>多经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J-12"/>
          <w:color w:val="000000" w:themeColor="text1"/>
          <w14:textFill>
            <w14:solidFill>
              <w14:schemeClr w14:val="tx1"/>
            </w14:solidFill>
          </w14:textFill>
        </w:rPr>
        <w:t>领</w:t>
      </w:r>
      <w:r>
        <w:rPr>
          <w:rFonts w:hint="eastAsia" w:ascii="宋体" w:hAnsi="宋体" w:cs="FZSSK--GBK1-00+ZBNFQK-15"/>
          <w:color w:val="000000" w:themeColor="text1"/>
          <w14:textFill>
            <w14:solidFill>
              <w14:schemeClr w14:val="tx1"/>
            </w14:solidFill>
          </w14:textFill>
        </w:rPr>
        <w:t>域</w:t>
      </w:r>
      <w:r>
        <w:rPr>
          <w:rFonts w:hint="eastAsia" w:ascii="宋体" w:hAnsi="宋体" w:cs="SSJ4+ZBNFQG-1"/>
          <w:color w:val="000000" w:themeColor="text1"/>
          <w14:textFill>
            <w14:solidFill>
              <w14:schemeClr w14:val="tx1"/>
            </w14:solidFill>
          </w14:textFill>
        </w:rPr>
        <w:t>的重要</w:t>
      </w:r>
      <w:r>
        <w:rPr>
          <w:rFonts w:hint="eastAsia" w:ascii="宋体" w:hAnsi="宋体" w:cs="FZSSK--GBK1-00+ZBNFQJ-13"/>
          <w:color w:val="000000" w:themeColor="text1"/>
          <w14:textFill>
            <w14:solidFill>
              <w14:schemeClr w14:val="tx1"/>
            </w14:solidFill>
          </w14:textFill>
        </w:rPr>
        <w:t>影响</w:t>
      </w:r>
      <w:r>
        <w:rPr>
          <w:rFonts w:hint="eastAsia" w:ascii="宋体" w:hAnsi="宋体" w:cs="FZSSK--GBK1-00+ZBNFQI-10"/>
          <w:color w:val="000000" w:themeColor="text1"/>
          <w14:textFill>
            <w14:solidFill>
              <w14:schemeClr w14:val="tx1"/>
            </w14:solidFill>
          </w14:textFill>
        </w:rPr>
        <w:t>密</w:t>
      </w:r>
      <w:r>
        <w:rPr>
          <w:rFonts w:hint="eastAsia" w:ascii="宋体" w:hAnsi="宋体" w:cs="FZSSK--GBK1-00+ZBNFQJ-13"/>
          <w:color w:val="000000" w:themeColor="text1"/>
          <w14:textFill>
            <w14:solidFill>
              <w14:schemeClr w14:val="tx1"/>
            </w14:solidFill>
          </w14:textFill>
        </w:rPr>
        <w:t>切</w:t>
      </w:r>
      <w:r>
        <w:rPr>
          <w:rFonts w:hint="eastAsia" w:ascii="宋体" w:hAnsi="宋体" w:cs="FZSSK--GBK1-00+ZBNFQH-5"/>
          <w:color w:val="000000" w:themeColor="text1"/>
          <w14:textFill>
            <w14:solidFill>
              <w14:schemeClr w14:val="tx1"/>
            </w14:solidFill>
          </w14:textFill>
        </w:rPr>
        <w:t>相</w:t>
      </w:r>
      <w:r>
        <w:rPr>
          <w:rFonts w:hint="eastAsia" w:ascii="宋体" w:hAnsi="宋体" w:cs="FZSSK--GBK1-00+ZBNFQI-10"/>
          <w:color w:val="000000" w:themeColor="text1"/>
          <w14:textFill>
            <w14:solidFill>
              <w14:schemeClr w14:val="tx1"/>
            </w14:solidFill>
          </w14:textFill>
        </w:rPr>
        <w:t>关</w:t>
      </w:r>
      <w:r>
        <w:rPr>
          <w:rFonts w:hint="eastAsia" w:ascii="宋体" w:hAnsi="宋体" w:cs="SSJ4+ZBNFQG-1"/>
          <w:color w:val="000000" w:themeColor="text1"/>
          <w14:textFill>
            <w14:solidFill>
              <w14:schemeClr w14:val="tx1"/>
            </w14:solidFill>
          </w14:textFill>
        </w:rPr>
        <w:t>的</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而中国</w:t>
      </w:r>
      <w:r>
        <w:rPr>
          <w:rFonts w:hint="eastAsia" w:ascii="宋体" w:hAnsi="宋体" w:cs="FZSSK--GBK1-00+ZBNFQH-5"/>
          <w:color w:val="000000" w:themeColor="text1"/>
          <w14:textFill>
            <w14:solidFill>
              <w14:schemeClr w14:val="tx1"/>
            </w14:solidFill>
          </w14:textFill>
        </w:rPr>
        <w:t>特</w:t>
      </w:r>
      <w:r>
        <w:rPr>
          <w:rFonts w:hint="eastAsia" w:ascii="宋体" w:hAnsi="宋体" w:cs="FZSSK--GBK1-00+ZBNFQI-10"/>
          <w:color w:val="000000" w:themeColor="text1"/>
          <w14:textFill>
            <w14:solidFill>
              <w14:schemeClr w14:val="tx1"/>
            </w14:solidFill>
          </w14:textFill>
        </w:rPr>
        <w:t>色</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模</w:t>
      </w:r>
      <w:r>
        <w:rPr>
          <w:rFonts w:hint="eastAsia" w:ascii="宋体" w:hAnsi="宋体" w:cs="FZSSK--GBK1-00+ZBNFQI-10"/>
          <w:color w:val="000000" w:themeColor="text1"/>
          <w14:textFill>
            <w14:solidFill>
              <w14:schemeClr w14:val="tx1"/>
            </w14:solidFill>
          </w14:textFill>
        </w:rPr>
        <w:t>式</w:t>
      </w:r>
      <w:r>
        <w:rPr>
          <w:rFonts w:hint="eastAsia" w:ascii="宋体" w:hAnsi="宋体" w:cs="FZSSK--GBK1-00+ZBNFQP-23"/>
          <w:color w:val="000000" w:themeColor="text1"/>
          <w14:textFill>
            <w14:solidFill>
              <w14:schemeClr w14:val="tx1"/>
            </w14:solidFill>
          </w14:textFill>
        </w:rPr>
        <w:t>才</w:t>
      </w:r>
      <w:r>
        <w:rPr>
          <w:rFonts w:hint="eastAsia" w:ascii="宋体" w:hAnsi="宋体" w:cs="SSJ4+ZBNFQG-1"/>
          <w:color w:val="000000" w:themeColor="text1"/>
          <w14:textFill>
            <w14:solidFill>
              <w14:schemeClr w14:val="tx1"/>
            </w14:solidFill>
          </w14:textFill>
        </w:rPr>
        <w:t>是中国</w:t>
      </w:r>
      <w:r>
        <w:rPr>
          <w:rFonts w:hint="eastAsia" w:ascii="宋体" w:hAnsi="宋体" w:cs="FZSSK--GBK1-00+ZBNFQH-8"/>
          <w:color w:val="000000" w:themeColor="text1"/>
          <w14:textFill>
            <w14:solidFill>
              <w14:schemeClr w14:val="tx1"/>
            </w14:solidFill>
          </w14:textFill>
        </w:rPr>
        <w:t>未</w:t>
      </w:r>
      <w:r>
        <w:rPr>
          <w:rFonts w:hint="eastAsia" w:ascii="宋体" w:hAnsi="宋体" w:cs="SSJ4+ZBNFQG-1"/>
          <w:color w:val="000000" w:themeColor="text1"/>
          <w14:textFill>
            <w14:solidFill>
              <w14:schemeClr w14:val="tx1"/>
            </w14:solidFill>
          </w14:textFill>
        </w:rPr>
        <w:t>来的正</w:t>
      </w:r>
      <w:r>
        <w:rPr>
          <w:rFonts w:hint="eastAsia" w:ascii="宋体" w:hAnsi="宋体" w:cs="FZSSK--GBK1-00+ZBNFQH-7"/>
          <w:color w:val="000000" w:themeColor="text1"/>
          <w14:textFill>
            <w14:solidFill>
              <w14:schemeClr w14:val="tx1"/>
            </w14:solidFill>
          </w14:textFill>
        </w:rPr>
        <w:t>道</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这一</w:t>
      </w:r>
      <w:r>
        <w:rPr>
          <w:rFonts w:hint="eastAsia" w:ascii="宋体" w:hAnsi="宋体" w:cs="FZSSK--GBK1-00+ZBNFQI-9"/>
          <w:color w:val="000000" w:themeColor="text1"/>
          <w14:textFill>
            <w14:solidFill>
              <w14:schemeClr w14:val="tx1"/>
            </w14:solidFill>
          </w14:textFill>
        </w:rPr>
        <w:t>模</w:t>
      </w:r>
      <w:r>
        <w:rPr>
          <w:rFonts w:hint="eastAsia" w:ascii="宋体" w:hAnsi="宋体" w:cs="FZSSK--GBK1-00+ZBNFQI-10"/>
          <w:color w:val="000000" w:themeColor="text1"/>
          <w14:textFill>
            <w14:solidFill>
              <w14:schemeClr w14:val="tx1"/>
            </w14:solidFill>
          </w14:textFill>
        </w:rPr>
        <w:t>式</w:t>
      </w:r>
      <w:r>
        <w:rPr>
          <w:rFonts w:hint="eastAsia" w:ascii="宋体" w:hAnsi="宋体" w:cs="SSJ4+ZBNFQG-1"/>
          <w:color w:val="000000" w:themeColor="text1"/>
          <w14:textFill>
            <w14:solidFill>
              <w14:schemeClr w14:val="tx1"/>
            </w14:solidFill>
          </w14:textFill>
        </w:rPr>
        <w:t>可以</w:t>
      </w:r>
      <w:r>
        <w:rPr>
          <w:rFonts w:hint="eastAsia" w:ascii="宋体" w:hAnsi="宋体" w:cs="FZSSK--GBK1-00+ZBNFQI-10"/>
          <w:color w:val="000000" w:themeColor="text1"/>
          <w14:textFill>
            <w14:solidFill>
              <w14:schemeClr w14:val="tx1"/>
            </w14:solidFill>
          </w14:textFill>
        </w:rPr>
        <w:t>概</w:t>
      </w:r>
      <w:r>
        <w:rPr>
          <w:rFonts w:hint="eastAsia" w:ascii="宋体" w:hAnsi="宋体" w:cs="FZSSK--GBK1-00+ZBNFQJ-12"/>
          <w:color w:val="000000" w:themeColor="text1"/>
          <w14:textFill>
            <w14:solidFill>
              <w14:schemeClr w14:val="tx1"/>
            </w14:solidFill>
          </w14:textFill>
        </w:rPr>
        <w:t>括</w:t>
      </w:r>
      <w:r>
        <w:rPr>
          <w:rFonts w:hint="eastAsia" w:ascii="宋体" w:hAnsi="宋体" w:cs="SSJ4+ZBNFQG-1"/>
          <w:color w:val="000000" w:themeColor="text1"/>
          <w14:textFill>
            <w14:solidFill>
              <w14:schemeClr w14:val="tx1"/>
            </w14:solidFill>
          </w14:textFill>
        </w:rPr>
        <w:t>为</w:t>
      </w:r>
      <w:r>
        <w:rPr>
          <w:rFonts w:hint="eastAsia" w:ascii="宋体" w:hAnsi="宋体" w:cs="SSJ0+ZBNFQG-4"/>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四</w:t>
      </w:r>
      <w:r>
        <w:rPr>
          <w:rFonts w:hint="eastAsia" w:ascii="宋体" w:hAnsi="宋体" w:cs="SSJ4+ZBNFQG-1"/>
          <w:color w:val="000000" w:themeColor="text1"/>
          <w14:textFill>
            <w14:solidFill>
              <w14:schemeClr w14:val="tx1"/>
            </w14:solidFill>
          </w14:textFill>
        </w:rPr>
        <w:t>主</w:t>
      </w:r>
      <w:r>
        <w:rPr>
          <w:rFonts w:hint="eastAsia" w:ascii="宋体" w:hAnsi="宋体" w:cs="FZSSK--GBK1-00+ZBNFQJ-12"/>
          <w:color w:val="000000" w:themeColor="text1"/>
          <w14:textFill>
            <w14:solidFill>
              <w14:schemeClr w14:val="tx1"/>
            </w14:solidFill>
          </w14:textFill>
        </w:rPr>
        <w:t>型</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济体</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是</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为主</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的多</w:t>
      </w:r>
      <w:r>
        <w:rPr>
          <w:rFonts w:hint="eastAsia" w:ascii="宋体" w:hAnsi="宋体" w:cs="FZSSK--GBK1-00+ZBNFQH-5"/>
          <w:color w:val="000000" w:themeColor="text1"/>
          <w14:textFill>
            <w14:solidFill>
              <w14:schemeClr w14:val="tx1"/>
            </w14:solidFill>
          </w14:textFill>
        </w:rPr>
        <w:t>种</w:t>
      </w:r>
      <w:r>
        <w:rPr>
          <w:rFonts w:hint="eastAsia" w:ascii="宋体" w:hAnsi="宋体" w:cs="SSJ4+ZBNFQG-1"/>
          <w:color w:val="000000" w:themeColor="text1"/>
          <w14:textFill>
            <w14:solidFill>
              <w14:schemeClr w14:val="tx1"/>
            </w14:solidFill>
          </w14:textFill>
        </w:rPr>
        <w:t>所有</w:t>
      </w:r>
      <w:r>
        <w:rPr>
          <w:rFonts w:hint="eastAsia" w:ascii="宋体" w:hAnsi="宋体" w:cs="FZSSK--GBK1-00+ZBNFQI-10"/>
          <w:color w:val="000000" w:themeColor="text1"/>
          <w14:textFill>
            <w14:solidFill>
              <w14:schemeClr w14:val="tx1"/>
            </w14:solidFill>
          </w14:textFill>
        </w:rPr>
        <w:t>制共</w:t>
      </w:r>
      <w:r>
        <w:rPr>
          <w:rFonts w:hint="eastAsia" w:ascii="宋体" w:hAnsi="宋体" w:cs="SSJ4+ZBNFQG-1"/>
          <w:color w:val="000000" w:themeColor="text1"/>
          <w14:textFill>
            <w14:solidFill>
              <w14:schemeClr w14:val="tx1"/>
            </w14:solidFill>
          </w14:textFill>
        </w:rPr>
        <w:t>同发展</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二</w:t>
      </w:r>
      <w:r>
        <w:rPr>
          <w:rFonts w:hint="eastAsia" w:ascii="宋体" w:hAnsi="宋体" w:cs="SSJ4+ZBNFQG-1"/>
          <w:color w:val="000000" w:themeColor="text1"/>
          <w14:textFill>
            <w14:solidFill>
              <w14:schemeClr w14:val="tx1"/>
            </w14:solidFill>
          </w14:textFill>
        </w:rPr>
        <w:t>是</w:t>
      </w:r>
      <w:r>
        <w:rPr>
          <w:rFonts w:hint="eastAsia" w:ascii="宋体" w:hAnsi="宋体" w:cs="FZSSK--GBK1-00+ZBNFQK-15"/>
          <w:color w:val="000000" w:themeColor="text1"/>
          <w14:textFill>
            <w14:solidFill>
              <w14:schemeClr w14:val="tx1"/>
            </w14:solidFill>
          </w14:textFill>
        </w:rPr>
        <w:t>按劳</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配</w:t>
      </w:r>
      <w:r>
        <w:rPr>
          <w:rFonts w:hint="eastAsia" w:ascii="宋体" w:hAnsi="宋体" w:cs="SSJ4+ZBNFQG-1"/>
          <w:color w:val="000000" w:themeColor="text1"/>
          <w14:textFill>
            <w14:solidFill>
              <w14:schemeClr w14:val="tx1"/>
            </w14:solidFill>
          </w14:textFill>
        </w:rPr>
        <w:t>为主</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的多</w:t>
      </w:r>
      <w:r>
        <w:rPr>
          <w:rFonts w:hint="eastAsia" w:ascii="宋体" w:hAnsi="宋体" w:cs="FZSSK--GBK1-00+ZBNFQH-5"/>
          <w:color w:val="000000" w:themeColor="text1"/>
          <w14:textFill>
            <w14:solidFill>
              <w14:schemeClr w14:val="tx1"/>
            </w14:solidFill>
          </w14:textFill>
        </w:rPr>
        <w:t>种</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配</w:t>
      </w:r>
      <w:r>
        <w:rPr>
          <w:rFonts w:hint="eastAsia" w:ascii="宋体" w:hAnsi="宋体" w:cs="FZSSK--GBK1-00+ZBNFQI-9"/>
          <w:color w:val="000000" w:themeColor="text1"/>
          <w14:textFill>
            <w14:solidFill>
              <w14:schemeClr w14:val="tx1"/>
            </w14:solidFill>
          </w14:textFill>
        </w:rPr>
        <w:t>模</w:t>
      </w:r>
      <w:r>
        <w:rPr>
          <w:rFonts w:hint="eastAsia" w:ascii="宋体" w:hAnsi="宋体" w:cs="FZSSK--GBK1-00+ZBNFQI-10"/>
          <w:color w:val="000000" w:themeColor="text1"/>
          <w14:textFill>
            <w14:solidFill>
              <w14:schemeClr w14:val="tx1"/>
            </w14:solidFill>
          </w14:textFill>
        </w:rPr>
        <w:t>式</w:t>
      </w:r>
      <w:r>
        <w:rPr>
          <w:rFonts w:hint="eastAsia" w:ascii="宋体" w:hAnsi="宋体" w:cs="FZSSK--GBK1-00+ZBNFQH-8"/>
          <w:color w:val="000000" w:themeColor="text1"/>
          <w14:textFill>
            <w14:solidFill>
              <w14:schemeClr w14:val="tx1"/>
            </w14:solidFill>
          </w14:textFill>
        </w:rPr>
        <w:t>并</w:t>
      </w:r>
      <w:r>
        <w:rPr>
          <w:rFonts w:hint="eastAsia" w:ascii="宋体" w:hAnsi="宋体" w:cs="FZSSK--GBK1-00+ZBNFQJ-13"/>
          <w:color w:val="000000" w:themeColor="text1"/>
          <w14:textFill>
            <w14:solidFill>
              <w14:schemeClr w14:val="tx1"/>
            </w14:solidFill>
          </w14:textFill>
        </w:rPr>
        <w:t>存：</w:t>
      </w:r>
      <w:r>
        <w:rPr>
          <w:rFonts w:hint="eastAsia" w:ascii="宋体" w:hAnsi="宋体" w:cs="FZSSK--GBK1-00+ZBNFQH-7"/>
          <w:color w:val="000000" w:themeColor="text1"/>
          <w14:textFill>
            <w14:solidFill>
              <w14:schemeClr w14:val="tx1"/>
            </w14:solidFill>
          </w14:textFill>
        </w:rPr>
        <w:t>三</w:t>
      </w:r>
      <w:r>
        <w:rPr>
          <w:rFonts w:hint="eastAsia" w:ascii="宋体" w:hAnsi="宋体" w:cs="SSJ4+ZBNFQG-1"/>
          <w:color w:val="000000" w:themeColor="text1"/>
          <w14:textFill>
            <w14:solidFill>
              <w14:schemeClr w14:val="tx1"/>
            </w14:solidFill>
          </w14:textFill>
        </w:rPr>
        <w:t>是国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调</w:t>
      </w:r>
      <w:r>
        <w:rPr>
          <w:rFonts w:hint="eastAsia" w:ascii="宋体" w:hAnsi="宋体" w:cs="FZSSK--GBK1-00+ZBNFQL-16"/>
          <w:color w:val="000000" w:themeColor="text1"/>
          <w14:textFill>
            <w14:solidFill>
              <w14:schemeClr w14:val="tx1"/>
            </w14:solidFill>
          </w14:textFill>
        </w:rPr>
        <w:t>节</w:t>
      </w:r>
      <w:r>
        <w:rPr>
          <w:rFonts w:hint="eastAsia" w:ascii="宋体" w:hAnsi="宋体" w:cs="SSJ4+ZBNFQG-1"/>
          <w:color w:val="000000" w:themeColor="text1"/>
          <w14:textFill>
            <w14:solidFill>
              <w14:schemeClr w14:val="tx1"/>
            </w14:solidFill>
          </w14:textFill>
        </w:rPr>
        <w:t>为主</w:t>
      </w:r>
      <w:r>
        <w:rPr>
          <w:rFonts w:hint="eastAsia" w:ascii="宋体" w:hAnsi="宋体" w:cs="FZSSK--GBK1-00+ZBNFQH-8"/>
          <w:color w:val="000000" w:themeColor="text1"/>
          <w14:textFill>
            <w14:solidFill>
              <w14:schemeClr w14:val="tx1"/>
            </w14:solidFill>
          </w14:textFill>
        </w:rPr>
        <w:t>导</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w:t>
      </w:r>
      <w:r>
        <w:rPr>
          <w:rFonts w:hint="eastAsia" w:ascii="宋体" w:hAnsi="宋体" w:cs="SSJ4+ZBNFQG-1"/>
          <w:color w:val="000000" w:themeColor="text1"/>
          <w14:textFill>
            <w14:solidFill>
              <w14:schemeClr w14:val="tx1"/>
            </w14:solidFill>
          </w14:textFill>
        </w:rPr>
        <w:t>调</w:t>
      </w:r>
      <w:r>
        <w:rPr>
          <w:rFonts w:hint="eastAsia" w:ascii="宋体" w:hAnsi="宋体" w:cs="FZSSK--GBK1-00+ZBNFQL-16"/>
          <w:color w:val="000000" w:themeColor="text1"/>
          <w14:textFill>
            <w14:solidFill>
              <w14:schemeClr w14:val="tx1"/>
            </w14:solidFill>
          </w14:textFill>
        </w:rPr>
        <w:t>节</w:t>
      </w:r>
      <w:r>
        <w:rPr>
          <w:rFonts w:hint="eastAsia" w:ascii="宋体" w:hAnsi="宋体" w:cs="SSJ4+ZBNFQG-1"/>
          <w:color w:val="000000" w:themeColor="text1"/>
          <w14:textFill>
            <w14:solidFill>
              <w14:schemeClr w14:val="tx1"/>
            </w14:solidFill>
          </w14:textFill>
        </w:rPr>
        <w:t>为</w:t>
      </w:r>
      <w:r>
        <w:rPr>
          <w:rFonts w:hint="eastAsia" w:ascii="宋体" w:hAnsi="宋体" w:cs="FZSSK--GBK1-00+ZBNFQI-9"/>
          <w:color w:val="000000" w:themeColor="text1"/>
          <w14:textFill>
            <w14:solidFill>
              <w14:schemeClr w14:val="tx1"/>
            </w14:solidFill>
          </w14:textFill>
        </w:rPr>
        <w:t>基</w:t>
      </w:r>
      <w:r>
        <w:rPr>
          <w:rFonts w:hint="eastAsia" w:ascii="宋体" w:hAnsi="宋体" w:cs="FZSSK--GBK1-00+ZBNFQK-15"/>
          <w:color w:val="000000" w:themeColor="text1"/>
          <w14:textFill>
            <w14:solidFill>
              <w14:schemeClr w14:val="tx1"/>
            </w14:solidFill>
          </w14:textFill>
        </w:rPr>
        <w:t>础</w:t>
      </w:r>
      <w:r>
        <w:rPr>
          <w:rFonts w:hint="eastAsia" w:ascii="宋体" w:hAnsi="宋体" w:cs="SSJ4+ZBNFQG-1"/>
          <w:color w:val="000000" w:themeColor="text1"/>
          <w14:textFill>
            <w14:solidFill>
              <w14:schemeClr w14:val="tx1"/>
            </w14:solidFill>
          </w14:textFill>
        </w:rPr>
        <w:t>的</w:t>
      </w:r>
      <w:r>
        <w:rPr>
          <w:rFonts w:hint="eastAsia" w:ascii="宋体" w:hAnsi="宋体" w:cs="FZSSK--GBK1-00+ZBNFQJ-13"/>
          <w:color w:val="000000" w:themeColor="text1"/>
          <w14:textFill>
            <w14:solidFill>
              <w14:schemeClr w14:val="tx1"/>
            </w14:solidFill>
          </w14:textFill>
        </w:rPr>
        <w:t>双</w:t>
      </w:r>
      <w:r>
        <w:rPr>
          <w:rFonts w:hint="eastAsia" w:ascii="宋体" w:hAnsi="宋体" w:cs="SSJ4+ZBNFQG-1"/>
          <w:color w:val="000000" w:themeColor="text1"/>
          <w14:textFill>
            <w14:solidFill>
              <w14:schemeClr w14:val="tx1"/>
            </w14:solidFill>
          </w14:textFill>
        </w:rPr>
        <w:t>重调</w:t>
      </w:r>
      <w:r>
        <w:rPr>
          <w:rFonts w:hint="eastAsia" w:ascii="宋体" w:hAnsi="宋体" w:cs="FZSSK--GBK1-00+ZBNFQL-16"/>
          <w:color w:val="000000" w:themeColor="text1"/>
          <w14:textFill>
            <w14:solidFill>
              <w14:schemeClr w14:val="tx1"/>
            </w14:solidFill>
          </w14:textFill>
        </w:rPr>
        <w:t>节</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四</w:t>
      </w:r>
      <w:r>
        <w:rPr>
          <w:rFonts w:hint="eastAsia" w:ascii="宋体" w:hAnsi="宋体" w:cs="SSJ4+ZBNFQG-1"/>
          <w:color w:val="000000" w:themeColor="text1"/>
          <w14:textFill>
            <w14:solidFill>
              <w14:schemeClr w14:val="tx1"/>
            </w14:solidFill>
          </w14:textFill>
        </w:rPr>
        <w:t>是自</w:t>
      </w:r>
      <w:r>
        <w:rPr>
          <w:rFonts w:hint="eastAsia" w:ascii="宋体" w:hAnsi="宋体" w:cs="FZSSK--GBK1-00+ZBNFQH-7"/>
          <w:color w:val="000000" w:themeColor="text1"/>
          <w14:textFill>
            <w14:solidFill>
              <w14:schemeClr w14:val="tx1"/>
            </w14:solidFill>
          </w14:textFill>
        </w:rPr>
        <w:t>力更</w:t>
      </w:r>
      <w:r>
        <w:rPr>
          <w:rFonts w:hint="eastAsia" w:ascii="宋体" w:hAnsi="宋体" w:cs="SSJ4+ZBNFQG-1"/>
          <w:color w:val="000000" w:themeColor="text1"/>
          <w14:textFill>
            <w14:solidFill>
              <w14:schemeClr w14:val="tx1"/>
            </w14:solidFill>
          </w14:textFill>
        </w:rPr>
        <w:t>生为主</w:t>
      </w:r>
      <w:r>
        <w:rPr>
          <w:rFonts w:hint="eastAsia" w:ascii="宋体" w:hAnsi="宋体" w:cs="FZSSK--GBK1-00+ZBNFQH-8"/>
          <w:color w:val="000000" w:themeColor="text1"/>
          <w14:textFill>
            <w14:solidFill>
              <w14:schemeClr w14:val="tx1"/>
            </w14:solidFill>
          </w14:textFill>
        </w:rPr>
        <w:t>导</w:t>
      </w:r>
      <w:r>
        <w:rPr>
          <w:rFonts w:hint="eastAsia" w:ascii="宋体" w:hAnsi="宋体" w:cs="SSJ4+ZBNFQG-1"/>
          <w:color w:val="000000" w:themeColor="text1"/>
          <w14:textFill>
            <w14:solidFill>
              <w14:schemeClr w14:val="tx1"/>
            </w14:solidFill>
          </w14:textFill>
        </w:rPr>
        <w:t>，同</w:t>
      </w:r>
      <w:r>
        <w:rPr>
          <w:rFonts w:hint="eastAsia" w:ascii="宋体" w:hAnsi="宋体" w:cs="FZSSK--GBK1-00+ZBNFQH-5"/>
          <w:color w:val="000000" w:themeColor="text1"/>
          <w14:textFill>
            <w14:solidFill>
              <w14:schemeClr w14:val="tx1"/>
            </w14:solidFill>
          </w14:textFill>
        </w:rPr>
        <w:t>时</w:t>
      </w:r>
      <w:r>
        <w:rPr>
          <w:rFonts w:hint="eastAsia" w:ascii="宋体" w:hAnsi="宋体" w:cs="FZSSK--GBK1-00+ZBNFQH-8"/>
          <w:color w:val="000000" w:themeColor="text1"/>
          <w14:textFill>
            <w14:solidFill>
              <w14:schemeClr w14:val="tx1"/>
            </w14:solidFill>
          </w14:textFill>
        </w:rPr>
        <w:t>又</w:t>
      </w:r>
      <w:r>
        <w:rPr>
          <w:rFonts w:hint="eastAsia" w:ascii="宋体" w:hAnsi="宋体" w:cs="SSJ4+ZBNFQG-1"/>
          <w:color w:val="000000" w:themeColor="text1"/>
          <w14:textFill>
            <w14:solidFill>
              <w14:schemeClr w14:val="tx1"/>
            </w14:solidFill>
          </w14:textFill>
        </w:rPr>
        <w:t>多</w:t>
      </w:r>
      <w:r>
        <w:rPr>
          <w:rFonts w:hint="eastAsia" w:ascii="宋体" w:hAnsi="宋体" w:cs="FZSSK--GBK1-00+ZBNFQH-8"/>
          <w:color w:val="000000" w:themeColor="text1"/>
          <w14:textFill>
            <w14:solidFill>
              <w14:schemeClr w14:val="tx1"/>
            </w14:solidFill>
          </w14:textFill>
        </w:rPr>
        <w:t>方</w:t>
      </w:r>
      <w:r>
        <w:rPr>
          <w:rFonts w:hint="eastAsia" w:ascii="宋体" w:hAnsi="宋体" w:cs="FZSSK--GBK1-00+ZBNFQJ-12"/>
          <w:color w:val="000000" w:themeColor="text1"/>
          <w14:textFill>
            <w14:solidFill>
              <w14:schemeClr w14:val="tx1"/>
            </w14:solidFill>
          </w14:textFill>
        </w:rPr>
        <w:t>位</w:t>
      </w:r>
      <w:r>
        <w:rPr>
          <w:rFonts w:hint="eastAsia" w:ascii="宋体" w:hAnsi="宋体" w:cs="FZSSK--GBK1-00+ZBNFQH-7"/>
          <w:color w:val="000000" w:themeColor="text1"/>
          <w14:textFill>
            <w14:solidFill>
              <w14:schemeClr w14:val="tx1"/>
            </w14:solidFill>
          </w14:textFill>
        </w:rPr>
        <w:t>开</w:t>
      </w:r>
      <w:r>
        <w:rPr>
          <w:rFonts w:hint="eastAsia" w:ascii="宋体" w:hAnsi="宋体" w:cs="FZSSK--GBK1-00+ZBNFQK-14"/>
          <w:color w:val="000000" w:themeColor="text1"/>
          <w14:textFill>
            <w14:solidFill>
              <w14:schemeClr w14:val="tx1"/>
            </w14:solidFill>
          </w14:textFill>
        </w:rPr>
        <w:t>放</w:t>
      </w:r>
      <w:r>
        <w:rPr>
          <w:rFonts w:hint="eastAsia" w:ascii="宋体" w:hAnsi="宋体" w:cs="SSJ0+ZBNFQG-4"/>
          <w:color w:val="000000" w:themeColor="text1"/>
          <w14:textFill>
            <w14:solidFill>
              <w14:schemeClr w14:val="tx1"/>
            </w14:solidFill>
          </w14:textFill>
        </w:rPr>
        <w:t>。</w:t>
      </w:r>
    </w:p>
    <w:p w14:paraId="089ABD16">
      <w:pPr>
        <w:autoSpaceDE w:val="0"/>
        <w:autoSpaceDN w:val="0"/>
        <w:adjustRightInd w:val="0"/>
        <w:spacing w:line="400" w:lineRule="exact"/>
        <w:ind w:firstLine="420" w:firstLineChars="200"/>
        <w:jc w:val="left"/>
        <w:rPr>
          <w:rFonts w:hint="eastAsia" w:ascii="宋体" w:hAnsi="宋体" w:cs="FZSSK--GBK1-00+ZBNFQH-5"/>
          <w:color w:val="000000" w:themeColor="text1"/>
          <w14:textFill>
            <w14:solidFill>
              <w14:schemeClr w14:val="tx1"/>
            </w14:solidFill>
          </w14:textFill>
        </w:rPr>
      </w:pPr>
      <w:r>
        <w:rPr>
          <w:rFonts w:hint="eastAsia" w:ascii="宋体" w:hAnsi="宋体" w:cs="FZSSK--GBK1-00+ZBNFQH-5"/>
          <w:color w:val="000000" w:themeColor="text1"/>
          <w14:textFill>
            <w14:solidFill>
              <w14:schemeClr w14:val="tx1"/>
            </w14:solidFill>
          </w14:textFill>
        </w:rPr>
        <w:t>这种</w:t>
      </w:r>
      <w:r>
        <w:rPr>
          <w:rFonts w:hint="eastAsia" w:ascii="宋体" w:hAnsi="宋体" w:cs="FZSSK--GBK1-00+ZBNFQI-9"/>
          <w:color w:val="000000" w:themeColor="text1"/>
          <w14:textFill>
            <w14:solidFill>
              <w14:schemeClr w14:val="tx1"/>
            </w14:solidFill>
          </w14:textFill>
        </w:rPr>
        <w:t>模</w:t>
      </w:r>
      <w:r>
        <w:rPr>
          <w:rFonts w:hint="eastAsia" w:ascii="宋体" w:hAnsi="宋体" w:cs="FZSSK--GBK1-00+ZBNFQI-10"/>
          <w:color w:val="000000" w:themeColor="text1"/>
          <w14:textFill>
            <w14:solidFill>
              <w14:schemeClr w14:val="tx1"/>
            </w14:solidFill>
          </w14:textFill>
        </w:rPr>
        <w:t>式</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使</w:t>
      </w:r>
      <w:r>
        <w:rPr>
          <w:rFonts w:hint="eastAsia" w:ascii="宋体" w:hAnsi="宋体" w:cs="SSJ4+ZBNFQG-1"/>
          <w:color w:val="000000" w:themeColor="text1"/>
          <w14:textFill>
            <w14:solidFill>
              <w14:schemeClr w14:val="tx1"/>
            </w14:solidFill>
          </w14:textFill>
        </w:rPr>
        <w:t>我</w:t>
      </w:r>
      <w:r>
        <w:rPr>
          <w:rFonts w:hint="eastAsia" w:ascii="宋体" w:hAnsi="宋体" w:cs="FZSSK--GBK1-00+ZBNFQH-5"/>
          <w:color w:val="000000" w:themeColor="text1"/>
          <w14:textFill>
            <w14:solidFill>
              <w14:schemeClr w14:val="tx1"/>
            </w14:solidFill>
          </w14:textFill>
        </w:rPr>
        <w:t>们</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调</w:t>
      </w:r>
      <w:r>
        <w:rPr>
          <w:rFonts w:hint="eastAsia" w:ascii="宋体" w:hAnsi="宋体" w:cs="FZSSK--GBK1-00+ZBNFQL-16"/>
          <w:color w:val="000000" w:themeColor="text1"/>
          <w14:textFill>
            <w14:solidFill>
              <w14:schemeClr w14:val="tx1"/>
            </w14:solidFill>
          </w14:textFill>
        </w:rPr>
        <w:t>节</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I-9"/>
          <w:color w:val="000000" w:themeColor="text1"/>
          <w14:textFill>
            <w14:solidFill>
              <w14:schemeClr w14:val="tx1"/>
            </w14:solidFill>
          </w14:textFill>
        </w:rPr>
        <w:t>度</w:t>
      </w:r>
      <w:r>
        <w:rPr>
          <w:rFonts w:hint="eastAsia" w:ascii="宋体" w:hAnsi="宋体" w:cs="SSJ0+ZBNFQG-4"/>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水</w:t>
      </w:r>
      <w:r>
        <w:rPr>
          <w:rFonts w:hint="eastAsia" w:ascii="宋体" w:hAnsi="宋体" w:cs="FZSSK--GBK1-00+ZBNFQH-5"/>
          <w:color w:val="000000" w:themeColor="text1"/>
          <w14:textFill>
            <w14:solidFill>
              <w14:schemeClr w14:val="tx1"/>
            </w14:solidFill>
          </w14:textFill>
        </w:rPr>
        <w:t>平</w:t>
      </w:r>
      <w:r>
        <w:rPr>
          <w:rFonts w:hint="eastAsia" w:ascii="宋体" w:hAnsi="宋体" w:cs="SSJ4+ZBNFQG-1"/>
          <w:color w:val="000000" w:themeColor="text1"/>
          <w14:textFill>
            <w14:solidFill>
              <w14:schemeClr w14:val="tx1"/>
            </w14:solidFill>
          </w14:textFill>
        </w:rPr>
        <w:t>和有</w:t>
      </w:r>
      <w:r>
        <w:rPr>
          <w:rFonts w:hint="eastAsia" w:ascii="宋体" w:hAnsi="宋体" w:cs="FZSSK--GBK1-00+ZBNFQK-14"/>
          <w:color w:val="000000" w:themeColor="text1"/>
          <w14:textFill>
            <w14:solidFill>
              <w14:schemeClr w14:val="tx1"/>
            </w14:solidFill>
          </w14:textFill>
        </w:rPr>
        <w:t>效</w:t>
      </w:r>
      <w:r>
        <w:rPr>
          <w:rFonts w:hint="eastAsia" w:ascii="宋体" w:hAnsi="宋体" w:cs="FZSSK--GBK1-00+ZBNFQH-7"/>
          <w:color w:val="000000" w:themeColor="text1"/>
          <w14:textFill>
            <w14:solidFill>
              <w14:schemeClr w14:val="tx1"/>
            </w14:solidFill>
          </w14:textFill>
        </w:rPr>
        <w:t>性都超</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H-8"/>
          <w:color w:val="000000" w:themeColor="text1"/>
          <w14:textFill>
            <w14:solidFill>
              <w14:schemeClr w14:val="tx1"/>
            </w14:solidFill>
          </w14:textFill>
        </w:rPr>
        <w:t>西方</w:t>
      </w:r>
      <w:r>
        <w:rPr>
          <w:rFonts w:hint="eastAsia" w:ascii="宋体" w:hAnsi="宋体" w:cs="SSJ4+ZBNFQG-1"/>
          <w:color w:val="000000" w:themeColor="text1"/>
          <w14:textFill>
            <w14:solidFill>
              <w14:schemeClr w14:val="tx1"/>
            </w14:solidFill>
          </w14:textFill>
        </w:rPr>
        <w:t>，而</w:t>
      </w:r>
      <w:r>
        <w:rPr>
          <w:rFonts w:hint="eastAsia" w:ascii="宋体" w:hAnsi="宋体" w:cs="FZSSK--GBK1-00+ZBNFQH-8"/>
          <w:color w:val="000000" w:themeColor="text1"/>
          <w14:textFill>
            <w14:solidFill>
              <w14:schemeClr w14:val="tx1"/>
            </w14:solidFill>
          </w14:textFill>
        </w:rPr>
        <w:t>且</w:t>
      </w:r>
      <w:r>
        <w:rPr>
          <w:rFonts w:hint="eastAsia" w:ascii="宋体" w:hAnsi="宋体" w:cs="FZSSK--GBK1-00+ZBNFQH-7"/>
          <w:color w:val="000000" w:themeColor="text1"/>
          <w14:textFill>
            <w14:solidFill>
              <w14:schemeClr w14:val="tx1"/>
            </w14:solidFill>
          </w14:textFill>
        </w:rPr>
        <w:t>最</w:t>
      </w:r>
      <w:r>
        <w:rPr>
          <w:rFonts w:hint="eastAsia" w:ascii="宋体" w:hAnsi="宋体" w:cs="SSJ4+ZBNFQG-1"/>
          <w:color w:val="000000" w:themeColor="text1"/>
          <w14:textFill>
            <w14:solidFill>
              <w14:schemeClr w14:val="tx1"/>
            </w14:solidFill>
          </w14:textFill>
        </w:rPr>
        <w:t>重要的是，我</w:t>
      </w:r>
      <w:r>
        <w:rPr>
          <w:rFonts w:hint="eastAsia" w:ascii="宋体" w:hAnsi="宋体" w:cs="FZSSK--GBK1-00+ZBNFQH-5"/>
          <w:color w:val="000000" w:themeColor="text1"/>
          <w14:textFill>
            <w14:solidFill>
              <w14:schemeClr w14:val="tx1"/>
            </w14:solidFill>
          </w14:textFill>
        </w:rPr>
        <w:t>们</w:t>
      </w:r>
      <w:r>
        <w:rPr>
          <w:rFonts w:hint="eastAsia" w:ascii="宋体" w:hAnsi="宋体" w:cs="SSJ4+ZBNFQG-1"/>
          <w:color w:val="000000" w:themeColor="text1"/>
          <w14:textFill>
            <w14:solidFill>
              <w14:schemeClr w14:val="tx1"/>
            </w14:solidFill>
          </w14:textFill>
        </w:rPr>
        <w:t>中国</w:t>
      </w:r>
      <w:r>
        <w:rPr>
          <w:rFonts w:hint="eastAsia" w:ascii="宋体" w:hAnsi="宋体" w:cs="FZSSK--GBK1-00+ZBNFQH-5"/>
          <w:color w:val="000000" w:themeColor="text1"/>
          <w14:textFill>
            <w14:solidFill>
              <w14:schemeClr w14:val="tx1"/>
            </w14:solidFill>
          </w14:textFill>
        </w:rPr>
        <w:t>特</w:t>
      </w:r>
      <w:r>
        <w:rPr>
          <w:rFonts w:hint="eastAsia" w:ascii="宋体" w:hAnsi="宋体" w:cs="FZSSK--GBK1-00+ZBNFQI-10"/>
          <w:color w:val="000000" w:themeColor="text1"/>
          <w14:textFill>
            <w14:solidFill>
              <w14:schemeClr w14:val="tx1"/>
            </w14:solidFill>
          </w14:textFill>
        </w:rPr>
        <w:t>色</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主义是为</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J-12"/>
          <w:color w:val="000000" w:themeColor="text1"/>
          <w14:textFill>
            <w14:solidFill>
              <w14:schemeClr w14:val="tx1"/>
            </w14:solidFill>
          </w14:textFill>
        </w:rPr>
        <w:t>服</w:t>
      </w:r>
      <w:r>
        <w:rPr>
          <w:rFonts w:hint="eastAsia" w:ascii="宋体" w:hAnsi="宋体" w:cs="FZSSK--GBK1-00+ZBNFQI-9"/>
          <w:color w:val="000000" w:themeColor="text1"/>
          <w14:textFill>
            <w14:solidFill>
              <w14:schemeClr w14:val="tx1"/>
            </w14:solidFill>
          </w14:textFill>
        </w:rPr>
        <w:t>务</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以</w:t>
      </w:r>
      <w:r>
        <w:rPr>
          <w:rFonts w:hint="eastAsia" w:ascii="宋体" w:hAnsi="宋体" w:cs="FZSSK--GBK1-00+ZBNFQH-5"/>
          <w:color w:val="000000" w:themeColor="text1"/>
          <w14:textFill>
            <w14:solidFill>
              <w14:schemeClr w14:val="tx1"/>
            </w14:solidFill>
          </w14:textFill>
        </w:rPr>
        <w:t>人</w:t>
      </w:r>
      <w:r>
        <w:rPr>
          <w:rFonts w:hint="eastAsia" w:ascii="宋体" w:hAnsi="宋体" w:cs="SSJ4+ZBNFQG-1"/>
          <w:color w:val="000000" w:themeColor="text1"/>
          <w14:textFill>
            <w14:solidFill>
              <w14:schemeClr w14:val="tx1"/>
            </w14:solidFill>
          </w14:textFill>
        </w:rPr>
        <w:t>为本，</w:t>
      </w:r>
      <w:r>
        <w:rPr>
          <w:rFonts w:hint="eastAsia" w:ascii="宋体" w:hAnsi="宋体" w:cs="FZSSK--GBK1-00+ZBNFQH-7"/>
          <w:color w:val="000000" w:themeColor="text1"/>
          <w14:textFill>
            <w14:solidFill>
              <w14:schemeClr w14:val="tx1"/>
            </w14:solidFill>
          </w14:textFill>
        </w:rPr>
        <w:t>强</w:t>
      </w:r>
      <w:r>
        <w:rPr>
          <w:rFonts w:hint="eastAsia" w:ascii="宋体" w:hAnsi="宋体" w:cs="SSJ4+ZBNFQG-1"/>
          <w:color w:val="000000" w:themeColor="text1"/>
          <w14:textFill>
            <w14:solidFill>
              <w14:schemeClr w14:val="tx1"/>
            </w14:solidFill>
          </w14:textFill>
        </w:rPr>
        <w:t>调</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生和</w:t>
      </w:r>
      <w:r>
        <w:rPr>
          <w:rFonts w:hint="eastAsia" w:ascii="宋体" w:hAnsi="宋体" w:cs="FZSSK--GBK1-00+ZBNFQI-10"/>
          <w:color w:val="000000" w:themeColor="text1"/>
          <w14:textFill>
            <w14:solidFill>
              <w14:schemeClr w14:val="tx1"/>
            </w14:solidFill>
          </w14:textFill>
        </w:rPr>
        <w:t>共</w:t>
      </w:r>
      <w:r>
        <w:rPr>
          <w:rFonts w:hint="eastAsia" w:ascii="宋体" w:hAnsi="宋体" w:cs="SSJ4+ZBNFQG-1"/>
          <w:color w:val="000000" w:themeColor="text1"/>
          <w14:textFill>
            <w14:solidFill>
              <w14:schemeClr w14:val="tx1"/>
            </w14:solidFill>
          </w14:textFill>
        </w:rPr>
        <w:t>同</w:t>
      </w:r>
      <w:r>
        <w:rPr>
          <w:rFonts w:hint="eastAsia" w:ascii="宋体" w:hAnsi="宋体" w:cs="FZSSK--GBK1-00+ZBNFQI-9"/>
          <w:color w:val="000000" w:themeColor="text1"/>
          <w14:textFill>
            <w14:solidFill>
              <w14:schemeClr w14:val="tx1"/>
            </w14:solidFill>
          </w14:textFill>
        </w:rPr>
        <w:t>富</w:t>
      </w:r>
      <w:r>
        <w:rPr>
          <w:rFonts w:hint="eastAsia" w:ascii="宋体" w:hAnsi="宋体" w:cs="FZSSK--GBK1-00+ZBNFQK-15"/>
          <w:color w:val="000000" w:themeColor="text1"/>
          <w14:textFill>
            <w14:solidFill>
              <w14:schemeClr w14:val="tx1"/>
            </w14:solidFill>
          </w14:textFill>
        </w:rPr>
        <w:t>裕</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强</w:t>
      </w:r>
      <w:r>
        <w:rPr>
          <w:rFonts w:hint="eastAsia" w:ascii="宋体" w:hAnsi="宋体" w:cs="SSJ4+ZBNFQG-1"/>
          <w:color w:val="000000" w:themeColor="text1"/>
          <w14:textFill>
            <w14:solidFill>
              <w14:schemeClr w14:val="tx1"/>
            </w14:solidFill>
          </w14:textFill>
        </w:rPr>
        <w:t>调发展经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最</w:t>
      </w:r>
      <w:r>
        <w:rPr>
          <w:rFonts w:hint="eastAsia" w:ascii="宋体" w:hAnsi="宋体" w:cs="FZSSK--GBK1-00+ZBNFQJ-12"/>
          <w:color w:val="000000" w:themeColor="text1"/>
          <w14:textFill>
            <w14:solidFill>
              <w14:schemeClr w14:val="tx1"/>
            </w14:solidFill>
          </w14:textFill>
        </w:rPr>
        <w:t>终</w:t>
      </w:r>
      <w:r>
        <w:rPr>
          <w:rFonts w:hint="eastAsia" w:ascii="宋体" w:hAnsi="宋体" w:cs="FZSSK--GBK1-00+ZBNFQH-7"/>
          <w:color w:val="000000" w:themeColor="text1"/>
          <w14:textFill>
            <w14:solidFill>
              <w14:schemeClr w14:val="tx1"/>
            </w14:solidFill>
          </w14:textFill>
        </w:rPr>
        <w:t>目</w:t>
      </w:r>
      <w:r>
        <w:rPr>
          <w:rFonts w:hint="eastAsia" w:ascii="宋体" w:hAnsi="宋体" w:cs="SSJ4+ZBNFQG-1"/>
          <w:color w:val="000000" w:themeColor="text1"/>
          <w14:textFill>
            <w14:solidFill>
              <w14:schemeClr w14:val="tx1"/>
            </w14:solidFill>
          </w14:textFill>
        </w:rPr>
        <w:t>的是为了</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的生</w:t>
      </w:r>
      <w:r>
        <w:rPr>
          <w:rFonts w:hint="eastAsia" w:ascii="宋体" w:hAnsi="宋体" w:cs="FZSSK--GBK1-00+ZBNFQI-10"/>
          <w:color w:val="000000" w:themeColor="text1"/>
          <w14:textFill>
            <w14:solidFill>
              <w14:schemeClr w14:val="tx1"/>
            </w14:solidFill>
          </w14:textFill>
        </w:rPr>
        <w:t>活</w:t>
      </w:r>
      <w:r>
        <w:rPr>
          <w:rFonts w:hint="eastAsia" w:ascii="宋体" w:hAnsi="宋体" w:cs="FZSSK--GBK1-00+ZBNFQK-14"/>
          <w:color w:val="000000" w:themeColor="text1"/>
          <w14:textFill>
            <w14:solidFill>
              <w14:schemeClr w14:val="tx1"/>
            </w14:solidFill>
          </w14:textFill>
        </w:rPr>
        <w:t>水</w:t>
      </w:r>
      <w:r>
        <w:rPr>
          <w:rFonts w:hint="eastAsia" w:ascii="宋体" w:hAnsi="宋体" w:cs="FZSSK--GBK1-00+ZBNFQH-5"/>
          <w:color w:val="000000" w:themeColor="text1"/>
          <w14:textFill>
            <w14:solidFill>
              <w14:schemeClr w14:val="tx1"/>
            </w14:solidFill>
          </w14:textFill>
        </w:rPr>
        <w:t>平</w:t>
      </w:r>
      <w:r>
        <w:rPr>
          <w:rFonts w:hint="eastAsia" w:ascii="宋体" w:hAnsi="宋体" w:cs="SSJ4+ZBNFQG-1"/>
          <w:color w:val="000000" w:themeColor="text1"/>
          <w14:textFill>
            <w14:solidFill>
              <w14:schemeClr w14:val="tx1"/>
            </w14:solidFill>
          </w14:textFill>
        </w:rPr>
        <w:t>和生</w:t>
      </w:r>
      <w:r>
        <w:rPr>
          <w:rFonts w:hint="eastAsia" w:ascii="宋体" w:hAnsi="宋体" w:cs="FZSSK--GBK1-00+ZBNFQI-10"/>
          <w:color w:val="000000" w:themeColor="text1"/>
          <w14:textFill>
            <w14:solidFill>
              <w14:schemeClr w14:val="tx1"/>
            </w14:solidFill>
          </w14:textFill>
        </w:rPr>
        <w:t>活</w:t>
      </w:r>
      <w:r>
        <w:rPr>
          <w:rFonts w:hint="eastAsia" w:ascii="宋体" w:hAnsi="宋体" w:cs="FZSSK--GBK1-00+ZBNFQH-5"/>
          <w:color w:val="000000" w:themeColor="text1"/>
          <w14:textFill>
            <w14:solidFill>
              <w14:schemeClr w14:val="tx1"/>
            </w14:solidFill>
          </w14:textFill>
        </w:rPr>
        <w:t>质量</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新自由主义</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H-5"/>
          <w:color w:val="000000" w:themeColor="text1"/>
          <w14:textFill>
            <w14:solidFill>
              <w14:schemeClr w14:val="tx1"/>
            </w14:solidFill>
          </w14:textFill>
        </w:rPr>
        <w:t>论</w:t>
      </w:r>
      <w:r>
        <w:rPr>
          <w:rFonts w:hint="eastAsia" w:ascii="宋体" w:hAnsi="宋体" w:cs="SSJ4+ZBNFQG-1"/>
          <w:color w:val="000000" w:themeColor="text1"/>
          <w14:textFill>
            <w14:solidFill>
              <w14:schemeClr w14:val="tx1"/>
            </w14:solidFill>
          </w14:textFill>
        </w:rPr>
        <w:t>，即</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主义主</w:t>
      </w:r>
      <w:r>
        <w:rPr>
          <w:rFonts w:hint="eastAsia" w:ascii="宋体" w:hAnsi="宋体" w:cs="FZSSK--GBK1-00+ZBNFQQ-24"/>
          <w:color w:val="000000" w:themeColor="text1"/>
          <w14:textFill>
            <w14:solidFill>
              <w14:schemeClr w14:val="tx1"/>
            </w14:solidFill>
          </w14:textFill>
        </w:rPr>
        <w:t>张</w:t>
      </w:r>
      <w:r>
        <w:rPr>
          <w:rFonts w:hint="eastAsia" w:ascii="宋体" w:hAnsi="宋体" w:cs="SSJ4+ZBNFQG-1"/>
          <w:color w:val="000000" w:themeColor="text1"/>
          <w14:textFill>
            <w14:solidFill>
              <w14:schemeClr w14:val="tx1"/>
            </w14:solidFill>
          </w14:textFill>
        </w:rPr>
        <w:t>要</w:t>
      </w:r>
      <w:r>
        <w:rPr>
          <w:rFonts w:hint="eastAsia" w:ascii="宋体" w:hAnsi="宋体" w:cs="FZSSK--GBK1-00+ZBNFQI-9"/>
          <w:color w:val="000000" w:themeColor="text1"/>
          <w14:textFill>
            <w14:solidFill>
              <w14:schemeClr w14:val="tx1"/>
            </w14:solidFill>
          </w14:textFill>
        </w:rPr>
        <w:t>保</w:t>
      </w:r>
      <w:r>
        <w:rPr>
          <w:rFonts w:hint="eastAsia" w:ascii="宋体" w:hAnsi="宋体" w:cs="FZSSK--GBK1-00+ZBNFQL-16"/>
          <w:color w:val="000000" w:themeColor="text1"/>
          <w14:textFill>
            <w14:solidFill>
              <w14:schemeClr w14:val="tx1"/>
            </w14:solidFill>
          </w14:textFill>
        </w:rPr>
        <w:t>留</w:t>
      </w:r>
      <w:r>
        <w:rPr>
          <w:rFonts w:hint="eastAsia" w:ascii="宋体" w:hAnsi="宋体" w:cs="FZSSK--GBK1-00+ZBNFQH-5"/>
          <w:color w:val="000000" w:themeColor="text1"/>
          <w14:textFill>
            <w14:solidFill>
              <w14:schemeClr w14:val="tx1"/>
            </w14:solidFill>
          </w14:textFill>
        </w:rPr>
        <w:t>相</w:t>
      </w:r>
      <w:r>
        <w:rPr>
          <w:rFonts w:hint="eastAsia" w:ascii="宋体" w:hAnsi="宋体" w:cs="SSJ4+ZBNFQG-1"/>
          <w:color w:val="000000" w:themeColor="text1"/>
          <w14:textFill>
            <w14:solidFill>
              <w14:schemeClr w14:val="tx1"/>
            </w14:solidFill>
          </w14:textFill>
        </w:rPr>
        <w:t>当</w:t>
      </w:r>
      <w:r>
        <w:rPr>
          <w:rFonts w:hint="eastAsia" w:ascii="宋体" w:hAnsi="宋体" w:cs="FZSSK--GBK1-00+ZBNFQJ-12"/>
          <w:color w:val="000000" w:themeColor="text1"/>
          <w14:textFill>
            <w14:solidFill>
              <w14:schemeClr w14:val="tx1"/>
            </w14:solidFill>
          </w14:textFill>
        </w:rPr>
        <w:t>程</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的国有</w:t>
      </w:r>
      <w:r>
        <w:rPr>
          <w:rFonts w:hint="eastAsia" w:ascii="宋体" w:hAnsi="宋体" w:cs="FZSSK--GBK1-00+ZBNFQJ-12"/>
          <w:color w:val="000000" w:themeColor="text1"/>
          <w14:textFill>
            <w14:solidFill>
              <w14:schemeClr w14:val="tx1"/>
            </w14:solidFill>
          </w14:textFill>
        </w:rPr>
        <w:t>企业</w:t>
      </w:r>
      <w:r>
        <w:rPr>
          <w:rFonts w:hint="eastAsia" w:ascii="宋体" w:hAnsi="宋体" w:cs="SSJ4+ZBNFQG-1"/>
          <w:color w:val="000000" w:themeColor="text1"/>
          <w14:textFill>
            <w14:solidFill>
              <w14:schemeClr w14:val="tx1"/>
            </w14:solidFill>
          </w14:textFill>
        </w:rPr>
        <w:t>和国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J-13"/>
          <w:color w:val="000000" w:themeColor="text1"/>
          <w14:textFill>
            <w14:solidFill>
              <w14:schemeClr w14:val="tx1"/>
            </w14:solidFill>
          </w14:textFill>
        </w:rPr>
        <w:t>干</w:t>
      </w:r>
      <w:r>
        <w:rPr>
          <w:rFonts w:hint="eastAsia" w:ascii="宋体" w:hAnsi="宋体" w:cs="FZSSK--GBK1-00+ZBNFQH-5"/>
          <w:color w:val="000000" w:themeColor="text1"/>
          <w14:textFill>
            <w14:solidFill>
              <w14:schemeClr w14:val="tx1"/>
            </w14:solidFill>
          </w14:textFill>
        </w:rPr>
        <w:t>预</w:t>
      </w:r>
      <w:r>
        <w:rPr>
          <w:rFonts w:hint="eastAsia" w:ascii="宋体" w:hAnsi="宋体" w:cs="SSJ4+ZBNFQG-1"/>
          <w:color w:val="000000" w:themeColor="text1"/>
          <w14:textFill>
            <w14:solidFill>
              <w14:schemeClr w14:val="tx1"/>
            </w14:solidFill>
          </w14:textFill>
        </w:rPr>
        <w:t>，由于</w:t>
      </w:r>
      <w:r>
        <w:rPr>
          <w:rFonts w:hint="eastAsia" w:ascii="宋体" w:hAnsi="宋体" w:cs="FZSSK--GBK1-00+ZBNFQH-5"/>
          <w:color w:val="000000" w:themeColor="text1"/>
          <w14:textFill>
            <w14:solidFill>
              <w14:schemeClr w14:val="tx1"/>
            </w14:solidFill>
          </w14:textFill>
        </w:rPr>
        <w:t>它不</w:t>
      </w:r>
      <w:r>
        <w:rPr>
          <w:rFonts w:hint="eastAsia" w:ascii="宋体" w:hAnsi="宋体" w:cs="FZSSK--GBK1-00+ZBNFQT-26"/>
          <w:color w:val="000000" w:themeColor="text1"/>
          <w14:textFill>
            <w14:solidFill>
              <w14:schemeClr w14:val="tx1"/>
            </w14:solidFill>
          </w14:textFill>
        </w:rPr>
        <w:t>触</w:t>
      </w:r>
      <w:r>
        <w:rPr>
          <w:rFonts w:hint="eastAsia" w:ascii="宋体" w:hAnsi="宋体" w:cs="FZSSK--GBK1-00+ZBNFQH-5"/>
          <w:color w:val="000000" w:themeColor="text1"/>
          <w14:textFill>
            <w14:solidFill>
              <w14:schemeClr w14:val="tx1"/>
            </w14:solidFill>
          </w14:textFill>
        </w:rPr>
        <w:t>动</w:t>
      </w:r>
      <w:r>
        <w:rPr>
          <w:rFonts w:hint="eastAsia" w:ascii="宋体" w:hAnsi="宋体" w:cs="SSJ4+ZBNFQG-1"/>
          <w:color w:val="000000" w:themeColor="text1"/>
          <w14:textFill>
            <w14:solidFill>
              <w14:schemeClr w14:val="tx1"/>
            </w14:solidFill>
          </w14:textFill>
        </w:rPr>
        <w:t>以</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为主</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是以</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L-16"/>
          <w:color w:val="000000" w:themeColor="text1"/>
          <w14:textFill>
            <w14:solidFill>
              <w14:schemeClr w14:val="tx1"/>
            </w14:solidFill>
          </w14:textFill>
        </w:rPr>
        <w:t>护</w:t>
      </w:r>
      <w:r>
        <w:rPr>
          <w:rFonts w:hint="eastAsia" w:ascii="宋体" w:hAnsi="宋体" w:cs="FZSSK--GBK1-00+ZBNFQM-17"/>
          <w:color w:val="000000" w:themeColor="text1"/>
          <w14:textFill>
            <w14:solidFill>
              <w14:schemeClr w14:val="tx1"/>
            </w14:solidFill>
          </w14:textFill>
        </w:rPr>
        <w:t>私</w:t>
      </w:r>
      <w:r>
        <w:rPr>
          <w:rFonts w:hint="eastAsia" w:ascii="宋体" w:hAnsi="宋体" w:cs="FZSSK--GBK1-00+ZBNFQH-5"/>
          <w:color w:val="000000" w:themeColor="text1"/>
          <w14:textFill>
            <w14:solidFill>
              <w14:schemeClr w14:val="tx1"/>
            </w14:solidFill>
          </w14:textFill>
        </w:rPr>
        <w:t>人</w:t>
      </w:r>
      <w:r>
        <w:rPr>
          <w:rFonts w:hint="eastAsia" w:ascii="宋体" w:hAnsi="宋体" w:cs="SSJ4+ZBNFQG-1"/>
          <w:color w:val="000000" w:themeColor="text1"/>
          <w14:textFill>
            <w14:solidFill>
              <w14:schemeClr w14:val="tx1"/>
            </w14:solidFill>
          </w14:textFill>
        </w:rPr>
        <w:t>资本</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K-15"/>
          <w:color w:val="000000" w:themeColor="text1"/>
          <w14:textFill>
            <w14:solidFill>
              <w14:schemeClr w14:val="tx1"/>
            </w14:solidFill>
          </w14:textFill>
        </w:rPr>
        <w:t>益</w:t>
      </w:r>
      <w:r>
        <w:rPr>
          <w:rFonts w:hint="eastAsia" w:ascii="宋体" w:hAnsi="宋体" w:cs="SSJ4+ZBNFQG-1"/>
          <w:color w:val="000000" w:themeColor="text1"/>
          <w14:textFill>
            <w14:solidFill>
              <w14:schemeClr w14:val="tx1"/>
            </w14:solidFill>
          </w14:textFill>
        </w:rPr>
        <w:t>为</w:t>
      </w:r>
      <w:r>
        <w:rPr>
          <w:rFonts w:hint="eastAsia" w:ascii="宋体" w:hAnsi="宋体" w:cs="FZSSK--GBK1-00+ZBNFQK-14"/>
          <w:color w:val="000000" w:themeColor="text1"/>
          <w14:textFill>
            <w14:solidFill>
              <w14:schemeClr w14:val="tx1"/>
            </w14:solidFill>
          </w14:textFill>
        </w:rPr>
        <w:t>宗</w:t>
      </w:r>
      <w:r>
        <w:rPr>
          <w:rFonts w:hint="eastAsia" w:ascii="宋体" w:hAnsi="宋体" w:cs="FZSSK--GBK1-00+ZBNFQT-26"/>
          <w:color w:val="000000" w:themeColor="text1"/>
          <w14:textFill>
            <w14:solidFill>
              <w14:schemeClr w14:val="tx1"/>
            </w14:solidFill>
          </w14:textFill>
        </w:rPr>
        <w:t>旨</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因</w:t>
      </w:r>
      <w:r>
        <w:rPr>
          <w:rFonts w:hint="eastAsia" w:ascii="宋体" w:hAnsi="宋体" w:cs="SSJ4+ZBNFQG-1"/>
          <w:color w:val="000000" w:themeColor="text1"/>
          <w14:textFill>
            <w14:solidFill>
              <w14:schemeClr w14:val="tx1"/>
            </w14:solidFill>
          </w14:textFill>
        </w:rPr>
        <w:t>而</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5"/>
          <w:color w:val="000000" w:themeColor="text1"/>
          <w14:textFill>
            <w14:solidFill>
              <w14:schemeClr w14:val="tx1"/>
            </w14:solidFill>
          </w14:textFill>
        </w:rPr>
        <w:t>现不</w:t>
      </w:r>
      <w:r>
        <w:rPr>
          <w:rFonts w:hint="eastAsia" w:ascii="宋体" w:hAnsi="宋体" w:cs="SSJ4+ZBNFQG-1"/>
          <w:color w:val="000000" w:themeColor="text1"/>
          <w14:textFill>
            <w14:solidFill>
              <w14:schemeClr w14:val="tx1"/>
            </w14:solidFill>
          </w14:textFill>
        </w:rPr>
        <w:t>了</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化大生</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所要</w:t>
      </w:r>
      <w:r>
        <w:rPr>
          <w:rFonts w:hint="eastAsia" w:ascii="宋体" w:hAnsi="宋体" w:cs="FZSSK--GBK1-00+ZBNFQK-15"/>
          <w:color w:val="000000" w:themeColor="text1"/>
          <w14:textFill>
            <w14:solidFill>
              <w14:schemeClr w14:val="tx1"/>
            </w14:solidFill>
          </w14:textFill>
        </w:rPr>
        <w:t>求</w:t>
      </w:r>
      <w:r>
        <w:rPr>
          <w:rFonts w:hint="eastAsia" w:ascii="宋体" w:hAnsi="宋体" w:cs="SSJ4+ZBNFQG-1"/>
          <w:color w:val="000000" w:themeColor="text1"/>
          <w14:textFill>
            <w14:solidFill>
              <w14:schemeClr w14:val="tx1"/>
            </w14:solidFill>
          </w14:textFill>
        </w:rPr>
        <w:t>的</w:t>
      </w:r>
      <w:r>
        <w:rPr>
          <w:rFonts w:hint="eastAsia" w:ascii="宋体" w:hAnsi="宋体" w:cs="FZSSK--GBK1-00+ZBNFQJ-13"/>
          <w:color w:val="000000" w:themeColor="text1"/>
          <w14:textFill>
            <w14:solidFill>
              <w14:schemeClr w14:val="tx1"/>
            </w14:solidFill>
          </w14:textFill>
        </w:rPr>
        <w:t>公</w:t>
      </w:r>
      <w:r>
        <w:rPr>
          <w:rFonts w:hint="eastAsia" w:ascii="宋体" w:hAnsi="宋体" w:cs="FZSSK--GBK1-00+ZBNFQI-10"/>
          <w:color w:val="000000" w:themeColor="text1"/>
          <w14:textFill>
            <w14:solidFill>
              <w14:schemeClr w14:val="tx1"/>
            </w14:solidFill>
          </w14:textFill>
        </w:rPr>
        <w:t>共</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K-15"/>
          <w:color w:val="000000" w:themeColor="text1"/>
          <w14:textFill>
            <w14:solidFill>
              <w14:schemeClr w14:val="tx1"/>
            </w14:solidFill>
          </w14:textFill>
        </w:rPr>
        <w:t>益</w:t>
      </w:r>
      <w:r>
        <w:rPr>
          <w:rFonts w:hint="eastAsia" w:ascii="宋体" w:hAnsi="宋体" w:cs="FZSSK--GBK1-00+ZBNFQJ-12"/>
          <w:color w:val="000000" w:themeColor="text1"/>
          <w14:textFill>
            <w14:solidFill>
              <w14:schemeClr w14:val="tx1"/>
            </w14:solidFill>
          </w14:textFill>
        </w:rPr>
        <w:t>控</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生</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J-12"/>
          <w:color w:val="000000" w:themeColor="text1"/>
          <w14:textFill>
            <w14:solidFill>
              <w14:schemeClr w14:val="tx1"/>
            </w14:solidFill>
          </w14:textFill>
        </w:rPr>
        <w:t>服</w:t>
      </w:r>
      <w:r>
        <w:rPr>
          <w:rFonts w:hint="eastAsia" w:ascii="宋体" w:hAnsi="宋体" w:cs="FZSSK--GBK1-00+ZBNFQH-5"/>
          <w:color w:val="000000" w:themeColor="text1"/>
          <w14:textFill>
            <w14:solidFill>
              <w14:schemeClr w14:val="tx1"/>
            </w14:solidFill>
          </w14:textFill>
        </w:rPr>
        <w:t>不</w:t>
      </w:r>
      <w:r>
        <w:rPr>
          <w:rFonts w:hint="eastAsia" w:ascii="宋体" w:hAnsi="宋体" w:cs="SSJ4+ZBNFQG-1"/>
          <w:color w:val="000000" w:themeColor="text1"/>
          <w14:textFill>
            <w14:solidFill>
              <w14:schemeClr w14:val="tx1"/>
            </w14:solidFill>
          </w14:textFill>
        </w:rPr>
        <w:t>了</w:t>
      </w:r>
      <w:r>
        <w:rPr>
          <w:rFonts w:hint="eastAsia" w:ascii="宋体" w:hAnsi="宋体" w:cs="FZSSK--GBK1-00+ZBNFQH-7"/>
          <w:color w:val="000000" w:themeColor="text1"/>
          <w14:textFill>
            <w14:solidFill>
              <w14:schemeClr w14:val="tx1"/>
            </w14:solidFill>
          </w14:textFill>
        </w:rPr>
        <w:t>各</w:t>
      </w:r>
      <w:r>
        <w:rPr>
          <w:rFonts w:hint="eastAsia" w:ascii="宋体" w:hAnsi="宋体" w:cs="FZSSK--GBK1-00+ZBNFQH-5"/>
          <w:color w:val="000000" w:themeColor="text1"/>
          <w14:textFill>
            <w14:solidFill>
              <w14:schemeClr w14:val="tx1"/>
            </w14:solidFill>
          </w14:textFill>
        </w:rPr>
        <w:t>种</w:t>
      </w:r>
      <w:r>
        <w:rPr>
          <w:rFonts w:hint="eastAsia" w:ascii="宋体" w:hAnsi="宋体" w:cs="FZSSK--GBK1-00+ZBNFQK-15"/>
          <w:color w:val="000000" w:themeColor="text1"/>
          <w14:textFill>
            <w14:solidFill>
              <w14:schemeClr w14:val="tx1"/>
            </w14:solidFill>
          </w14:textFill>
        </w:rPr>
        <w:t>矛盾</w:t>
      </w:r>
      <w:r>
        <w:rPr>
          <w:rFonts w:hint="eastAsia" w:ascii="宋体" w:hAnsi="宋体" w:cs="SSJ4+ZBNFQG-1"/>
          <w:color w:val="000000" w:themeColor="text1"/>
          <w14:textFill>
            <w14:solidFill>
              <w14:schemeClr w14:val="tx1"/>
            </w14:solidFill>
          </w14:textFill>
        </w:rPr>
        <w:t>和</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SSJ0+ZBNFQG-4"/>
          <w:color w:val="000000" w:themeColor="text1"/>
          <w14:textFill>
            <w14:solidFill>
              <w14:schemeClr w14:val="tx1"/>
            </w14:solidFill>
          </w14:textFill>
        </w:rPr>
        <w:t>。</w:t>
      </w:r>
    </w:p>
    <w:p w14:paraId="7BC0E275">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FZSSK--GBK1-00+ZBNFQH-5"/>
          <w:color w:val="000000" w:themeColor="text1"/>
          <w14:textFill>
            <w14:solidFill>
              <w14:schemeClr w14:val="tx1"/>
            </w14:solidFill>
          </w14:textFill>
        </w:rPr>
        <w:t>相</w:t>
      </w:r>
      <w:r>
        <w:rPr>
          <w:rFonts w:hint="eastAsia" w:ascii="宋体" w:hAnsi="宋体" w:cs="FZSSK--GBK1-00+ZBNFQI-9"/>
          <w:color w:val="000000" w:themeColor="text1"/>
          <w14:textFill>
            <w14:solidFill>
              <w14:schemeClr w14:val="tx1"/>
            </w14:solidFill>
          </w14:textFill>
        </w:rPr>
        <w:t>反</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8"/>
          <w:color w:val="000000" w:themeColor="text1"/>
          <w14:textFill>
            <w14:solidFill>
              <w14:schemeClr w14:val="tx1"/>
            </w14:solidFill>
          </w14:textFill>
        </w:rPr>
        <w:t>仅</w:t>
      </w:r>
      <w:r>
        <w:rPr>
          <w:rFonts w:hint="eastAsia" w:ascii="宋体" w:hAnsi="宋体" w:cs="SSJ4+ZBNFQG-1"/>
          <w:color w:val="000000" w:themeColor="text1"/>
          <w14:textFill>
            <w14:solidFill>
              <w14:schemeClr w14:val="tx1"/>
            </w14:solidFill>
          </w14:textFill>
        </w:rPr>
        <w:t>中国，而</w:t>
      </w:r>
      <w:r>
        <w:rPr>
          <w:rFonts w:hint="eastAsia" w:ascii="宋体" w:hAnsi="宋体" w:cs="FZSSK--GBK1-00+ZBNFQH-8"/>
          <w:color w:val="000000" w:themeColor="text1"/>
          <w14:textFill>
            <w14:solidFill>
              <w14:schemeClr w14:val="tx1"/>
            </w14:solidFill>
          </w14:textFill>
        </w:rPr>
        <w:t>且</w:t>
      </w:r>
      <w:r>
        <w:rPr>
          <w:rFonts w:hint="eastAsia" w:ascii="宋体" w:hAnsi="宋体" w:cs="FZSSK--GBK1-00+ZBNFQI-10"/>
          <w:color w:val="000000" w:themeColor="text1"/>
          <w14:textFill>
            <w14:solidFill>
              <w14:schemeClr w14:val="tx1"/>
            </w14:solidFill>
          </w14:textFill>
        </w:rPr>
        <w:t>实行</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越</w:t>
      </w:r>
      <w:r>
        <w:rPr>
          <w:rFonts w:hint="eastAsia" w:ascii="宋体" w:hAnsi="宋体" w:cs="FZSSK--GBK1-00+ZBNFQI-10"/>
          <w:color w:val="000000" w:themeColor="text1"/>
          <w14:textFill>
            <w14:solidFill>
              <w14:schemeClr w14:val="tx1"/>
            </w14:solidFill>
          </w14:textFill>
        </w:rPr>
        <w:t>南</w:t>
      </w:r>
      <w:r>
        <w:rPr>
          <w:rFonts w:hint="eastAsia" w:ascii="宋体" w:hAnsi="宋体" w:cs="SSJ0+ZBNFQG-4"/>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实行</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场社会</w:t>
      </w:r>
      <w:r>
        <w:rPr>
          <w:rFonts w:hint="eastAsia" w:ascii="宋体" w:hAnsi="宋体" w:cs="SSJ4+ZBNFQG-1"/>
          <w:color w:val="000000" w:themeColor="text1"/>
          <w14:textFill>
            <w14:solidFill>
              <w14:schemeClr w14:val="tx1"/>
            </w14:solidFill>
          </w14:textFill>
        </w:rPr>
        <w:t>主义</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的</w:t>
      </w:r>
      <w:r>
        <w:rPr>
          <w:rFonts w:hint="eastAsia" w:ascii="宋体" w:hAnsi="宋体" w:cs="FZSSK--GBK1-00+ZBNFQO-22"/>
          <w:color w:val="000000" w:themeColor="text1"/>
          <w14:textFill>
            <w14:solidFill>
              <w14:schemeClr w14:val="tx1"/>
            </w14:solidFill>
          </w14:textFill>
        </w:rPr>
        <w:t>白</w:t>
      </w:r>
      <w:r>
        <w:rPr>
          <w:rFonts w:hint="eastAsia" w:ascii="宋体" w:hAnsi="宋体" w:cs="FZSSK--GBK1-00+ZBNFQJ-13"/>
          <w:color w:val="000000" w:themeColor="text1"/>
          <w14:textFill>
            <w14:solidFill>
              <w14:schemeClr w14:val="tx1"/>
            </w14:solidFill>
          </w14:textFill>
        </w:rPr>
        <w:t>俄</w:t>
      </w:r>
      <w:r>
        <w:rPr>
          <w:rFonts w:hint="eastAsia" w:ascii="宋体" w:hAnsi="宋体" w:cs="FZSSK--GBK1-00+ZBNFQI-9"/>
          <w:color w:val="000000" w:themeColor="text1"/>
          <w14:textFill>
            <w14:solidFill>
              <w14:schemeClr w14:val="tx1"/>
            </w14:solidFill>
          </w14:textFill>
        </w:rPr>
        <w:t>罗</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以</w:t>
      </w:r>
      <w:r>
        <w:rPr>
          <w:rFonts w:hint="eastAsia" w:ascii="宋体" w:hAnsi="宋体" w:cs="FZSSK--GBK1-00+ZBNFQI-9"/>
          <w:color w:val="000000" w:themeColor="text1"/>
          <w14:textFill>
            <w14:solidFill>
              <w14:schemeClr w14:val="tx1"/>
            </w14:solidFill>
          </w14:textFill>
        </w:rPr>
        <w:t>及</w:t>
      </w:r>
      <w:r>
        <w:rPr>
          <w:rFonts w:hint="eastAsia" w:ascii="宋体" w:hAnsi="宋体" w:cs="FZSSK--GBK1-00+ZBNFQI-10"/>
          <w:color w:val="000000" w:themeColor="text1"/>
          <w14:textFill>
            <w14:solidFill>
              <w14:schemeClr w14:val="tx1"/>
            </w14:solidFill>
          </w14:textFill>
        </w:rPr>
        <w:t>实行</w:t>
      </w:r>
      <w:r>
        <w:rPr>
          <w:rFonts w:hint="eastAsia" w:ascii="宋体" w:hAnsi="宋体" w:cs="SSJ0+ZBNFQG-4"/>
          <w:color w:val="000000" w:themeColor="text1"/>
          <w14:textFill>
            <w14:solidFill>
              <w14:schemeClr w14:val="tx1"/>
            </w14:solidFill>
          </w14:textFill>
        </w:rPr>
        <w:t>“</w:t>
      </w:r>
      <w:r>
        <w:rPr>
          <w:rFonts w:hint="eastAsia" w:ascii="宋体" w:hAnsi="宋体" w:cs="E-BZ+ZBNFQH-6"/>
          <w:color w:val="000000" w:themeColor="text1"/>
          <w14:textFill>
            <w14:solidFill>
              <w14:schemeClr w14:val="tx1"/>
            </w14:solidFill>
          </w14:textFill>
        </w:rPr>
        <w:t>21</w:t>
      </w:r>
      <w:r>
        <w:rPr>
          <w:rFonts w:hint="eastAsia" w:ascii="宋体" w:hAnsi="宋体" w:cs="SSJ4+ZBNFQG-1"/>
          <w:color w:val="000000" w:themeColor="text1"/>
          <w14:textFill>
            <w14:solidFill>
              <w14:schemeClr w14:val="tx1"/>
            </w14:solidFill>
          </w14:textFill>
        </w:rPr>
        <w:t>世</w:t>
      </w:r>
      <w:r>
        <w:rPr>
          <w:rFonts w:hint="eastAsia" w:ascii="宋体" w:hAnsi="宋体" w:cs="FZSSK--GBK1-00+ZBNFQH-7"/>
          <w:color w:val="000000" w:themeColor="text1"/>
          <w14:textFill>
            <w14:solidFill>
              <w14:schemeClr w14:val="tx1"/>
            </w14:solidFill>
          </w14:textFill>
        </w:rPr>
        <w:t>纪</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的</w:t>
      </w:r>
      <w:r>
        <w:rPr>
          <w:rFonts w:hint="eastAsia" w:ascii="宋体" w:hAnsi="宋体" w:cs="FZSSK--GBK1-00+ZBNFQL-16"/>
          <w:color w:val="000000" w:themeColor="text1"/>
          <w14:textFill>
            <w14:solidFill>
              <w14:schemeClr w14:val="tx1"/>
            </w14:solidFill>
          </w14:textFill>
        </w:rPr>
        <w:t>委</w:t>
      </w:r>
      <w:r>
        <w:rPr>
          <w:rFonts w:hint="eastAsia" w:ascii="宋体" w:hAnsi="宋体" w:cs="FZSSK--GBK1-00+ZBNFQH-7"/>
          <w:color w:val="000000" w:themeColor="text1"/>
          <w14:textFill>
            <w14:solidFill>
              <w14:schemeClr w14:val="tx1"/>
            </w14:solidFill>
          </w14:textFill>
        </w:rPr>
        <w:t>内</w:t>
      </w:r>
      <w:r>
        <w:rPr>
          <w:rFonts w:hint="eastAsia" w:ascii="宋体" w:hAnsi="宋体" w:cs="FZSSK--GBK1-00+ZBNFQK-14"/>
          <w:color w:val="000000" w:themeColor="text1"/>
          <w14:textFill>
            <w14:solidFill>
              <w14:schemeClr w14:val="tx1"/>
            </w14:solidFill>
          </w14:textFill>
        </w:rPr>
        <w:t>瑞</w:t>
      </w:r>
      <w:r>
        <w:rPr>
          <w:rFonts w:hint="eastAsia" w:ascii="宋体" w:hAnsi="宋体" w:cs="FZSSK--GBK1-00+ZBNFQH-8"/>
          <w:color w:val="000000" w:themeColor="text1"/>
          <w14:textFill>
            <w14:solidFill>
              <w14:schemeClr w14:val="tx1"/>
            </w14:solidFill>
          </w14:textFill>
        </w:rPr>
        <w:t>拉</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也</w:t>
      </w:r>
      <w:r>
        <w:rPr>
          <w:rFonts w:hint="eastAsia" w:ascii="宋体" w:hAnsi="宋体" w:cs="FZSSK--GBK1-00+ZBNFQH-7"/>
          <w:color w:val="000000" w:themeColor="text1"/>
          <w14:textFill>
            <w14:solidFill>
              <w14:schemeClr w14:val="tx1"/>
            </w14:solidFill>
          </w14:textFill>
        </w:rPr>
        <w:t>都</w:t>
      </w:r>
      <w:r>
        <w:rPr>
          <w:rFonts w:hint="eastAsia" w:ascii="宋体" w:hAnsi="宋体" w:cs="FZSSK--GBK1-00+ZBNFQK-15"/>
          <w:color w:val="000000" w:themeColor="text1"/>
          <w14:textFill>
            <w14:solidFill>
              <w14:schemeClr w14:val="tx1"/>
            </w14:solidFill>
          </w14:textFill>
        </w:rPr>
        <w:t>呈</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出发展</w:t>
      </w:r>
      <w:r>
        <w:rPr>
          <w:rFonts w:hint="eastAsia" w:ascii="宋体" w:hAnsi="宋体" w:cs="FZSSK--GBK1-00+ZBNFQH-8"/>
          <w:color w:val="000000" w:themeColor="text1"/>
          <w14:textFill>
            <w14:solidFill>
              <w14:schemeClr w14:val="tx1"/>
            </w14:solidFill>
          </w14:textFill>
        </w:rPr>
        <w:t>又</w:t>
      </w:r>
      <w:r>
        <w:rPr>
          <w:rFonts w:hint="eastAsia" w:ascii="宋体" w:hAnsi="宋体" w:cs="FZSSK--GBK1-00+ZBNFQJ-13"/>
          <w:color w:val="000000" w:themeColor="text1"/>
          <w14:textFill>
            <w14:solidFill>
              <w14:schemeClr w14:val="tx1"/>
            </w14:solidFill>
          </w14:textFill>
        </w:rPr>
        <w:t>好</w:t>
      </w:r>
      <w:r>
        <w:rPr>
          <w:rFonts w:hint="eastAsia" w:ascii="宋体" w:hAnsi="宋体" w:cs="FZSSK--GBK1-00+ZBNFQH-8"/>
          <w:color w:val="000000" w:themeColor="text1"/>
          <w14:textFill>
            <w14:solidFill>
              <w14:schemeClr w14:val="tx1"/>
            </w14:solidFill>
          </w14:textFill>
        </w:rPr>
        <w:t>又</w:t>
      </w:r>
      <w:r>
        <w:rPr>
          <w:rFonts w:hint="eastAsia" w:ascii="宋体" w:hAnsi="宋体" w:cs="FZSSK--GBK1-00+ZBNFQH-7"/>
          <w:color w:val="000000" w:themeColor="text1"/>
          <w14:textFill>
            <w14:solidFill>
              <w14:schemeClr w14:val="tx1"/>
            </w14:solidFill>
          </w14:textFill>
        </w:rPr>
        <w:t>快</w:t>
      </w:r>
      <w:r>
        <w:rPr>
          <w:rFonts w:hint="eastAsia" w:ascii="宋体" w:hAnsi="宋体" w:cs="SSJ4+ZBNFQG-1"/>
          <w:color w:val="000000" w:themeColor="text1"/>
          <w14:textFill>
            <w14:solidFill>
              <w14:schemeClr w14:val="tx1"/>
            </w14:solidFill>
          </w14:textFill>
        </w:rPr>
        <w:t>的新</w:t>
      </w:r>
      <w:r>
        <w:rPr>
          <w:rFonts w:hint="eastAsia" w:ascii="宋体" w:hAnsi="宋体" w:cs="FZSSK--GBK1-00+ZBNFQH-7"/>
          <w:color w:val="000000" w:themeColor="text1"/>
          <w14:textFill>
            <w14:solidFill>
              <w14:schemeClr w14:val="tx1"/>
            </w14:solidFill>
          </w14:textFill>
        </w:rPr>
        <w:t>局</w:t>
      </w:r>
      <w:r>
        <w:rPr>
          <w:rFonts w:hint="eastAsia" w:ascii="宋体" w:hAnsi="宋体" w:cs="SSJ4+ZBNFQG-1"/>
          <w:color w:val="000000" w:themeColor="text1"/>
          <w14:textFill>
            <w14:solidFill>
              <w14:schemeClr w14:val="tx1"/>
            </w14:solidFill>
          </w14:textFill>
        </w:rPr>
        <w:t>面</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些</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成</w:t>
      </w:r>
      <w:r>
        <w:rPr>
          <w:rFonts w:hint="eastAsia" w:ascii="宋体" w:hAnsi="宋体" w:cs="FZSSK--GBK1-00+ZBNFQI-10"/>
          <w:color w:val="000000" w:themeColor="text1"/>
          <w14:textFill>
            <w14:solidFill>
              <w14:schemeClr w14:val="tx1"/>
            </w14:solidFill>
          </w14:textFill>
        </w:rPr>
        <w:t>功</w:t>
      </w:r>
      <w:r>
        <w:rPr>
          <w:rFonts w:hint="eastAsia" w:ascii="宋体" w:hAnsi="宋体" w:cs="SSJ4+ZBNFQG-1"/>
          <w:color w:val="000000" w:themeColor="text1"/>
          <w14:textFill>
            <w14:solidFill>
              <w14:schemeClr w14:val="tx1"/>
            </w14:solidFill>
          </w14:textFill>
        </w:rPr>
        <w:t>经</w:t>
      </w:r>
      <w:r>
        <w:rPr>
          <w:rFonts w:hint="eastAsia" w:ascii="宋体" w:hAnsi="宋体" w:cs="FZSSK--GBK1-00+ZBNFQM-17"/>
          <w:color w:val="000000" w:themeColor="text1"/>
          <w14:textFill>
            <w14:solidFill>
              <w14:schemeClr w14:val="tx1"/>
            </w14:solidFill>
          </w14:textFill>
        </w:rPr>
        <w:t>验</w:t>
      </w:r>
      <w:r>
        <w:rPr>
          <w:rFonts w:hint="eastAsia" w:ascii="宋体" w:hAnsi="宋体" w:cs="FZSSK--GBK1-00+ZBNFQI-9"/>
          <w:color w:val="000000" w:themeColor="text1"/>
          <w14:textFill>
            <w14:solidFill>
              <w14:schemeClr w14:val="tx1"/>
            </w14:solidFill>
          </w14:textFill>
        </w:rPr>
        <w:t>表</w:t>
      </w:r>
      <w:r>
        <w:rPr>
          <w:rFonts w:hint="eastAsia" w:ascii="宋体" w:hAnsi="宋体" w:cs="SSJ4+ZBNFQG-1"/>
          <w:color w:val="000000" w:themeColor="text1"/>
          <w14:textFill>
            <w14:solidFill>
              <w14:schemeClr w14:val="tx1"/>
            </w14:solidFill>
          </w14:textFill>
        </w:rPr>
        <w:t>明，</w:t>
      </w:r>
      <w:r>
        <w:rPr>
          <w:rFonts w:hint="eastAsia" w:ascii="宋体" w:hAnsi="宋体" w:cs="FZSSK--GBK1-00+ZBNFQH-7"/>
          <w:color w:val="000000" w:themeColor="text1"/>
          <w14:textFill>
            <w14:solidFill>
              <w14:schemeClr w14:val="tx1"/>
            </w14:solidFill>
          </w14:textFill>
        </w:rPr>
        <w:t>各</w:t>
      </w:r>
      <w:r>
        <w:rPr>
          <w:rFonts w:hint="eastAsia" w:ascii="宋体" w:hAnsi="宋体" w:cs="FZSSK--GBK1-00+ZBNFQH-5"/>
          <w:color w:val="000000" w:themeColor="text1"/>
          <w14:textFill>
            <w14:solidFill>
              <w14:schemeClr w14:val="tx1"/>
            </w14:solidFill>
          </w14:textFill>
        </w:rPr>
        <w:t>种社会</w:t>
      </w:r>
      <w:r>
        <w:rPr>
          <w:rFonts w:hint="eastAsia" w:ascii="宋体" w:hAnsi="宋体" w:cs="SSJ4+ZBNFQG-1"/>
          <w:color w:val="000000" w:themeColor="text1"/>
          <w14:textFill>
            <w14:solidFill>
              <w14:schemeClr w14:val="tx1"/>
            </w14:solidFill>
          </w14:textFill>
        </w:rPr>
        <w:t>主义</w:t>
      </w:r>
      <w:r>
        <w:rPr>
          <w:rFonts w:hint="eastAsia" w:ascii="宋体" w:hAnsi="宋体" w:cs="FZSSK--GBK1-00+ZBNFQH-5"/>
          <w:color w:val="000000" w:themeColor="text1"/>
          <w14:textFill>
            <w14:solidFill>
              <w14:schemeClr w14:val="tx1"/>
            </w14:solidFill>
          </w14:textFill>
        </w:rPr>
        <w:t>特征</w:t>
      </w:r>
      <w:r>
        <w:rPr>
          <w:rFonts w:hint="eastAsia" w:ascii="宋体" w:hAnsi="宋体" w:cs="SSJ4+ZBNFQG-1"/>
          <w:color w:val="000000" w:themeColor="text1"/>
          <w14:textFill>
            <w14:solidFill>
              <w14:schemeClr w14:val="tx1"/>
            </w14:solidFill>
          </w14:textFill>
        </w:rPr>
        <w:t>的新</w:t>
      </w:r>
      <w:r>
        <w:rPr>
          <w:rFonts w:hint="eastAsia" w:ascii="宋体" w:hAnsi="宋体" w:cs="FZSSK--GBK1-00+ZBNFQJ-12"/>
          <w:color w:val="000000" w:themeColor="text1"/>
          <w14:textFill>
            <w14:solidFill>
              <w14:schemeClr w14:val="tx1"/>
            </w14:solidFill>
          </w14:textFill>
        </w:rPr>
        <w:t>型</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济体</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模</w:t>
      </w:r>
      <w:r>
        <w:rPr>
          <w:rFonts w:hint="eastAsia" w:ascii="宋体" w:hAnsi="宋体" w:cs="FZSSK--GBK1-00+ZBNFQI-10"/>
          <w:color w:val="000000" w:themeColor="text1"/>
          <w14:textFill>
            <w14:solidFill>
              <w14:schemeClr w14:val="tx1"/>
            </w14:solidFill>
          </w14:textFill>
        </w:rPr>
        <w:t>式</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新自由主义和</w:t>
      </w:r>
      <w:r>
        <w:rPr>
          <w:rFonts w:hint="eastAsia" w:ascii="宋体" w:hAnsi="宋体" w:cs="FZSSK--GBK1-00+ZBNFQI-9"/>
          <w:color w:val="000000" w:themeColor="text1"/>
          <w14:textFill>
            <w14:solidFill>
              <w14:schemeClr w14:val="tx1"/>
            </w14:solidFill>
          </w14:textFill>
        </w:rPr>
        <w:t>北</w:t>
      </w:r>
      <w:r>
        <w:rPr>
          <w:rFonts w:hint="eastAsia" w:ascii="宋体" w:hAnsi="宋体" w:cs="FZSSK--GBK1-00+ZBNFQH-7"/>
          <w:color w:val="000000" w:themeColor="text1"/>
          <w14:textFill>
            <w14:solidFill>
              <w14:schemeClr w14:val="tx1"/>
            </w14:solidFill>
          </w14:textFill>
        </w:rPr>
        <w:t>欧等</w:t>
      </w:r>
      <w:r>
        <w:rPr>
          <w:rFonts w:hint="eastAsia" w:ascii="宋体" w:hAnsi="宋体" w:cs="FZSSK--GBK1-00+ZBNFQT-26"/>
          <w:color w:val="000000" w:themeColor="text1"/>
          <w14:textFill>
            <w14:solidFill>
              <w14:schemeClr w14:val="tx1"/>
            </w14:solidFill>
          </w14:textFill>
        </w:rPr>
        <w:t>凯恩</w:t>
      </w:r>
      <w:r>
        <w:rPr>
          <w:rFonts w:hint="eastAsia" w:ascii="宋体" w:hAnsi="宋体" w:cs="FZSSK--GBK1-00+ZBNFQJ-12"/>
          <w:color w:val="000000" w:themeColor="text1"/>
          <w14:textFill>
            <w14:solidFill>
              <w14:schemeClr w14:val="tx1"/>
            </w14:solidFill>
          </w14:textFill>
        </w:rPr>
        <w:t>斯</w:t>
      </w:r>
      <w:r>
        <w:rPr>
          <w:rFonts w:hint="eastAsia" w:ascii="宋体" w:hAnsi="宋体" w:cs="SSJ4+ZBNFQG-1"/>
          <w:color w:val="000000" w:themeColor="text1"/>
          <w14:textFill>
            <w14:solidFill>
              <w14:schemeClr w14:val="tx1"/>
            </w14:solidFill>
          </w14:textFill>
        </w:rPr>
        <w:t>主义主</w:t>
      </w:r>
      <w:r>
        <w:rPr>
          <w:rFonts w:hint="eastAsia" w:ascii="宋体" w:hAnsi="宋体" w:cs="FZSSK--GBK1-00+ZBNFQH-8"/>
          <w:color w:val="000000" w:themeColor="text1"/>
          <w14:textFill>
            <w14:solidFill>
              <w14:schemeClr w14:val="tx1"/>
            </w14:solidFill>
          </w14:textFill>
        </w:rPr>
        <w:t>导下</w:t>
      </w:r>
      <w:r>
        <w:rPr>
          <w:rFonts w:hint="eastAsia" w:ascii="宋体" w:hAnsi="宋体" w:cs="SSJ4+ZBNFQG-1"/>
          <w:color w:val="000000" w:themeColor="text1"/>
          <w14:textFill>
            <w14:solidFill>
              <w14:schemeClr w14:val="tx1"/>
            </w14:solidFill>
          </w14:textFill>
        </w:rPr>
        <w:t>的资本主义经</w:t>
      </w:r>
      <w:r>
        <w:rPr>
          <w:rFonts w:hint="eastAsia" w:ascii="宋体" w:hAnsi="宋体" w:cs="FZSSK--GBK1-00+ZBNFQH-7"/>
          <w:color w:val="000000" w:themeColor="text1"/>
          <w14:textFill>
            <w14:solidFill>
              <w14:schemeClr w14:val="tx1"/>
            </w14:solidFill>
          </w14:textFill>
        </w:rPr>
        <w:t>济体</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T-26"/>
          <w:color w:val="000000" w:themeColor="text1"/>
          <w14:textFill>
            <w14:solidFill>
              <w14:schemeClr w14:val="tx1"/>
            </w14:solidFill>
          </w14:textFill>
        </w:rPr>
        <w:t>框</w:t>
      </w:r>
      <w:r>
        <w:rPr>
          <w:rFonts w:hint="eastAsia" w:ascii="宋体" w:hAnsi="宋体" w:cs="FZSSK--GBK1-00+ZBNFQQ-24"/>
          <w:color w:val="000000" w:themeColor="text1"/>
          <w14:textFill>
            <w14:solidFill>
              <w14:schemeClr w14:val="tx1"/>
            </w14:solidFill>
          </w14:textFill>
        </w:rPr>
        <w:t>架</w:t>
      </w:r>
      <w:r>
        <w:rPr>
          <w:rFonts w:hint="eastAsia" w:ascii="宋体" w:hAnsi="宋体" w:cs="FZSSK--GBK1-00+ZBNFQH-7"/>
          <w:color w:val="000000" w:themeColor="text1"/>
          <w14:textFill>
            <w14:solidFill>
              <w14:schemeClr w14:val="tx1"/>
            </w14:solidFill>
          </w14:textFill>
        </w:rPr>
        <w:t>更</w:t>
      </w:r>
      <w:r>
        <w:rPr>
          <w:rFonts w:hint="eastAsia" w:ascii="宋体" w:hAnsi="宋体" w:cs="FZSSK--GBK1-00+ZBNFQI-9"/>
          <w:color w:val="000000" w:themeColor="text1"/>
          <w14:textFill>
            <w14:solidFill>
              <w14:schemeClr w14:val="tx1"/>
            </w14:solidFill>
          </w14:textFill>
        </w:rPr>
        <w:t>加</w:t>
      </w:r>
      <w:r>
        <w:rPr>
          <w:rFonts w:hint="eastAsia" w:ascii="宋体" w:hAnsi="宋体" w:cs="SSJ4+ZBNFQG-1"/>
          <w:color w:val="000000" w:themeColor="text1"/>
          <w14:textFill>
            <w14:solidFill>
              <w14:schemeClr w14:val="tx1"/>
            </w14:solidFill>
          </w14:textFill>
        </w:rPr>
        <w:t>有</w:t>
      </w:r>
      <w:r>
        <w:rPr>
          <w:rFonts w:hint="eastAsia" w:ascii="宋体" w:hAnsi="宋体" w:cs="FZSSK--GBK1-00+ZBNFQK-14"/>
          <w:color w:val="000000" w:themeColor="text1"/>
          <w14:textFill>
            <w14:solidFill>
              <w14:schemeClr w14:val="tx1"/>
            </w14:solidFill>
          </w14:textFill>
        </w:rPr>
        <w:t>效</w:t>
      </w:r>
      <w:r>
        <w:rPr>
          <w:rFonts w:hint="eastAsia" w:ascii="宋体" w:hAnsi="宋体" w:cs="SSJ0+ZBNFQG-4"/>
          <w:color w:val="000000" w:themeColor="text1"/>
          <w14:textFill>
            <w14:solidFill>
              <w14:schemeClr w14:val="tx1"/>
            </w14:solidFill>
          </w14:textFill>
        </w:rPr>
        <w:t>。</w:t>
      </w:r>
    </w:p>
    <w:p w14:paraId="0AB5B1CC">
      <w:pPr>
        <w:autoSpaceDE w:val="0"/>
        <w:autoSpaceDN w:val="0"/>
        <w:adjustRightInd w:val="0"/>
        <w:spacing w:line="400" w:lineRule="exact"/>
        <w:ind w:firstLine="420" w:firstLineChars="200"/>
        <w:jc w:val="left"/>
        <w:rPr>
          <w:rFonts w:hint="eastAsia" w:ascii="宋体" w:hAnsi="宋体" w:cs="FZXBSK--GBK1-00+ZBNFQG-3"/>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中国</w:t>
      </w:r>
      <w:r>
        <w:rPr>
          <w:rFonts w:hint="eastAsia" w:ascii="宋体" w:hAnsi="宋体" w:cs="FZSSK--GBK1-00+ZBNFQJ-12"/>
          <w:color w:val="000000" w:themeColor="text1"/>
          <w14:textFill>
            <w14:solidFill>
              <w14:schemeClr w14:val="tx1"/>
            </w14:solidFill>
          </w14:textFill>
        </w:rPr>
        <w:t>需</w:t>
      </w:r>
      <w:r>
        <w:rPr>
          <w:rFonts w:hint="eastAsia" w:ascii="宋体" w:hAnsi="宋体" w:cs="SSJ4+ZBNFQG-1"/>
          <w:color w:val="000000" w:themeColor="text1"/>
          <w14:textFill>
            <w14:solidFill>
              <w14:schemeClr w14:val="tx1"/>
            </w14:solidFill>
          </w14:textFill>
        </w:rPr>
        <w:t>要在</w:t>
      </w:r>
      <w:r>
        <w:rPr>
          <w:rFonts w:hint="eastAsia" w:ascii="宋体" w:hAnsi="宋体" w:cs="FZSSK--GBK1-00+ZBNFQH-7"/>
          <w:color w:val="000000" w:themeColor="text1"/>
          <w14:textFill>
            <w14:solidFill>
              <w14:schemeClr w14:val="tx1"/>
            </w14:solidFill>
          </w14:textFill>
        </w:rPr>
        <w:t>各</w:t>
      </w:r>
      <w:r>
        <w:rPr>
          <w:rFonts w:hint="eastAsia" w:ascii="宋体" w:hAnsi="宋体" w:cs="FZSSK--GBK1-00+ZBNFQH-5"/>
          <w:color w:val="000000" w:themeColor="text1"/>
          <w14:textFill>
            <w14:solidFill>
              <w14:schemeClr w14:val="tx1"/>
            </w14:solidFill>
          </w14:textFill>
        </w:rPr>
        <w:t>种</w:t>
      </w:r>
      <w:r>
        <w:rPr>
          <w:rFonts w:hint="eastAsia" w:ascii="宋体" w:hAnsi="宋体" w:cs="SSJ4+ZBNFQG-1"/>
          <w:color w:val="000000" w:themeColor="text1"/>
          <w14:textFill>
            <w14:solidFill>
              <w14:schemeClr w14:val="tx1"/>
            </w14:solidFill>
          </w14:textFill>
        </w:rPr>
        <w:t>挑战中</w:t>
      </w:r>
      <w:r>
        <w:rPr>
          <w:rFonts w:hint="eastAsia" w:ascii="宋体" w:hAnsi="宋体" w:cs="FZSSK--GBK1-00+ZBNFQJ-13"/>
          <w:color w:val="000000" w:themeColor="text1"/>
          <w14:textFill>
            <w14:solidFill>
              <w14:schemeClr w14:val="tx1"/>
            </w14:solidFill>
          </w14:textFill>
        </w:rPr>
        <w:t>继</w:t>
      </w:r>
      <w:r>
        <w:rPr>
          <w:rFonts w:hint="eastAsia" w:ascii="宋体" w:hAnsi="宋体" w:cs="FZSSK--GBK1-00+ZBNFQH-8"/>
          <w:color w:val="000000" w:themeColor="text1"/>
          <w14:textFill>
            <w14:solidFill>
              <w14:schemeClr w14:val="tx1"/>
            </w14:solidFill>
          </w14:textFill>
        </w:rPr>
        <w:t>续</w:t>
      </w:r>
      <w:r>
        <w:rPr>
          <w:rFonts w:hint="eastAsia" w:ascii="宋体" w:hAnsi="宋体" w:cs="FZSSK--GBK1-00+ZBNFQI-10"/>
          <w:color w:val="000000" w:themeColor="text1"/>
          <w14:textFill>
            <w14:solidFill>
              <w14:schemeClr w14:val="tx1"/>
            </w14:solidFill>
          </w14:textFill>
        </w:rPr>
        <w:t>坚持</w:t>
      </w:r>
      <w:r>
        <w:rPr>
          <w:rFonts w:hint="eastAsia" w:ascii="宋体" w:hAnsi="宋体" w:cs="SSJ4+ZBNFQG-1"/>
          <w:color w:val="000000" w:themeColor="text1"/>
          <w14:textFill>
            <w14:solidFill>
              <w14:schemeClr w14:val="tx1"/>
            </w14:solidFill>
          </w14:textFill>
        </w:rPr>
        <w:t>和</w:t>
      </w:r>
      <w:r>
        <w:rPr>
          <w:rFonts w:hint="eastAsia" w:ascii="宋体" w:hAnsi="宋体" w:cs="FZSSK--GBK1-00+ZBNFQH-5"/>
          <w:color w:val="000000" w:themeColor="text1"/>
          <w14:textFill>
            <w14:solidFill>
              <w14:schemeClr w14:val="tx1"/>
            </w14:solidFill>
          </w14:textFill>
        </w:rPr>
        <w:t>完</w:t>
      </w:r>
      <w:r>
        <w:rPr>
          <w:rFonts w:hint="eastAsia" w:ascii="宋体" w:hAnsi="宋体" w:cs="FZSSK--GBK1-00+ZBNFQL-16"/>
          <w:color w:val="000000" w:themeColor="text1"/>
          <w14:textFill>
            <w14:solidFill>
              <w14:schemeClr w14:val="tx1"/>
            </w14:solidFill>
          </w14:textFill>
        </w:rPr>
        <w:t>善</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主义经</w:t>
      </w:r>
      <w:r>
        <w:rPr>
          <w:rFonts w:hint="eastAsia" w:ascii="宋体" w:hAnsi="宋体" w:cs="FZSSK--GBK1-00+ZBNFQH-7"/>
          <w:color w:val="000000" w:themeColor="text1"/>
          <w14:textFill>
            <w14:solidFill>
              <w14:schemeClr w14:val="tx1"/>
            </w14:solidFill>
          </w14:textFill>
        </w:rPr>
        <w:t>济体</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和机</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，在当前当</w:t>
      </w:r>
      <w:r>
        <w:rPr>
          <w:rFonts w:hint="eastAsia" w:ascii="宋体" w:hAnsi="宋体" w:cs="FZSSK--GBK1-00+ZBNFQI-9"/>
          <w:color w:val="000000" w:themeColor="text1"/>
          <w14:textFill>
            <w14:solidFill>
              <w14:schemeClr w14:val="tx1"/>
            </w14:solidFill>
          </w14:textFill>
        </w:rPr>
        <w:t>务</w:t>
      </w:r>
      <w:r>
        <w:rPr>
          <w:rFonts w:hint="eastAsia" w:ascii="宋体" w:hAnsi="宋体" w:cs="SSJ4+ZBNFQG-1"/>
          <w:color w:val="000000" w:themeColor="text1"/>
          <w14:textFill>
            <w14:solidFill>
              <w14:schemeClr w14:val="tx1"/>
            </w14:solidFill>
          </w14:textFill>
        </w:rPr>
        <w:t>之</w:t>
      </w:r>
      <w:r>
        <w:rPr>
          <w:rFonts w:hint="eastAsia" w:ascii="宋体" w:hAnsi="宋体" w:cs="FZSSK--GBK1-00+ZBNFQI-9"/>
          <w:color w:val="000000" w:themeColor="text1"/>
          <w14:textFill>
            <w14:solidFill>
              <w14:schemeClr w14:val="tx1"/>
            </w14:solidFill>
          </w14:textFill>
        </w:rPr>
        <w:t>急</w:t>
      </w:r>
      <w:r>
        <w:rPr>
          <w:rFonts w:hint="eastAsia" w:ascii="宋体" w:hAnsi="宋体" w:cs="SSJ4+ZBNFQG-1"/>
          <w:color w:val="000000" w:themeColor="text1"/>
          <w14:textFill>
            <w14:solidFill>
              <w14:schemeClr w14:val="tx1"/>
            </w14:solidFill>
          </w14:textFill>
        </w:rPr>
        <w:t>是要处</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J-13"/>
          <w:color w:val="000000" w:themeColor="text1"/>
          <w14:textFill>
            <w14:solidFill>
              <w14:schemeClr w14:val="tx1"/>
            </w14:solidFill>
          </w14:textFill>
        </w:rPr>
        <w:t>好</w:t>
      </w:r>
      <w:r>
        <w:rPr>
          <w:rFonts w:hint="eastAsia" w:ascii="宋体" w:hAnsi="宋体" w:cs="FZSSK--GBK1-00+ZBNFQH-5"/>
          <w:color w:val="000000" w:themeColor="text1"/>
          <w14:textFill>
            <w14:solidFill>
              <w14:schemeClr w14:val="tx1"/>
            </w14:solidFill>
          </w14:textFill>
        </w:rPr>
        <w:t>如</w:t>
      </w:r>
      <w:r>
        <w:rPr>
          <w:rFonts w:hint="eastAsia" w:ascii="宋体" w:hAnsi="宋体" w:cs="FZSSK--GBK1-00+ZBNFQH-8"/>
          <w:color w:val="000000" w:themeColor="text1"/>
          <w14:textFill>
            <w14:solidFill>
              <w14:schemeClr w14:val="tx1"/>
            </w14:solidFill>
          </w14:textFill>
        </w:rPr>
        <w:t>下</w:t>
      </w:r>
      <w:r>
        <w:rPr>
          <w:rFonts w:hint="eastAsia" w:ascii="宋体" w:hAnsi="宋体" w:cs="FZSSK--GBK1-00+ZBNFQI-9"/>
          <w:color w:val="000000" w:themeColor="text1"/>
          <w14:textFill>
            <w14:solidFill>
              <w14:schemeClr w14:val="tx1"/>
            </w14:solidFill>
          </w14:textFill>
        </w:rPr>
        <w:t>几</w:t>
      </w:r>
      <w:r>
        <w:rPr>
          <w:rFonts w:hint="eastAsia" w:ascii="宋体" w:hAnsi="宋体" w:cs="SSJ4+ZBNFQG-1"/>
          <w:color w:val="000000" w:themeColor="text1"/>
          <w14:textFill>
            <w14:solidFill>
              <w14:schemeClr w14:val="tx1"/>
            </w14:solidFill>
          </w14:textFill>
        </w:rPr>
        <w:t>个</w:t>
      </w:r>
      <w:r>
        <w:rPr>
          <w:rFonts w:hint="eastAsia" w:ascii="宋体" w:hAnsi="宋体" w:cs="FZSSK--GBK1-00+ZBNFQH-5"/>
          <w:color w:val="000000" w:themeColor="text1"/>
          <w14:textFill>
            <w14:solidFill>
              <w14:schemeClr w14:val="tx1"/>
            </w14:solidFill>
          </w14:textFill>
        </w:rPr>
        <w:t>问题：</w:t>
      </w:r>
      <w:r>
        <w:rPr>
          <w:rFonts w:hint="eastAsia" w:ascii="宋体" w:hAnsi="宋体" w:cs="FZSSK--GBK1-00+ZBNFQI-10"/>
          <w:color w:val="000000" w:themeColor="text1"/>
          <w14:textFill>
            <w14:solidFill>
              <w14:schemeClr w14:val="tx1"/>
            </w14:solidFill>
          </w14:textFill>
        </w:rPr>
        <w:t>注</w:t>
      </w:r>
      <w:r>
        <w:rPr>
          <w:rFonts w:hint="eastAsia" w:ascii="宋体" w:hAnsi="宋体" w:cs="SSJ4+ZBNFQG-1"/>
          <w:color w:val="000000" w:themeColor="text1"/>
          <w14:textFill>
            <w14:solidFill>
              <w14:schemeClr w14:val="tx1"/>
            </w14:solidFill>
          </w14:textFill>
        </w:rPr>
        <w:t>重</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I-10"/>
          <w:color w:val="000000" w:themeColor="text1"/>
          <w14:textFill>
            <w14:solidFill>
              <w14:schemeClr w14:val="tx1"/>
            </w14:solidFill>
          </w14:textFill>
        </w:rPr>
        <w:t>升</w:t>
      </w:r>
      <w:r>
        <w:rPr>
          <w:rFonts w:hint="eastAsia" w:ascii="宋体" w:hAnsi="宋体" w:cs="SSJ0+ZBNFQG-4"/>
          <w:color w:val="000000" w:themeColor="text1"/>
          <w14:textFill>
            <w14:solidFill>
              <w14:schemeClr w14:val="tx1"/>
            </w14:solidFill>
          </w14:textFill>
        </w:rPr>
        <w:t>、</w:t>
      </w:r>
      <w:r>
        <w:rPr>
          <w:rFonts w:hint="eastAsia" w:ascii="宋体" w:hAnsi="宋体" w:cs="FZSSK--GBK1-00+ZBNFQQ-24"/>
          <w:color w:val="000000" w:themeColor="text1"/>
          <w14:textFill>
            <w14:solidFill>
              <w14:schemeClr w14:val="tx1"/>
            </w14:solidFill>
          </w14:textFill>
        </w:rPr>
        <w:t>巩固</w:t>
      </w:r>
      <w:r>
        <w:rPr>
          <w:rFonts w:hint="eastAsia" w:ascii="宋体" w:hAnsi="宋体" w:cs="SSJ4+ZBNFQG-1"/>
          <w:color w:val="000000" w:themeColor="text1"/>
          <w14:textFill>
            <w14:solidFill>
              <w14:schemeClr w14:val="tx1"/>
            </w14:solidFill>
          </w14:textFill>
        </w:rPr>
        <w:t>和</w:t>
      </w:r>
      <w:r>
        <w:rPr>
          <w:rFonts w:hint="eastAsia" w:ascii="宋体" w:hAnsi="宋体" w:cs="FZSSK--GBK1-00+ZBNFQI-10"/>
          <w:color w:val="000000" w:themeColor="text1"/>
          <w14:textFill>
            <w14:solidFill>
              <w14:schemeClr w14:val="tx1"/>
            </w14:solidFill>
          </w14:textFill>
        </w:rPr>
        <w:t>改</w:t>
      </w:r>
      <w:r>
        <w:rPr>
          <w:rFonts w:hint="eastAsia" w:ascii="宋体" w:hAnsi="宋体" w:cs="FZSSK--GBK1-00+ZBNFQL-16"/>
          <w:color w:val="000000" w:themeColor="text1"/>
          <w14:textFill>
            <w14:solidFill>
              <w14:schemeClr w14:val="tx1"/>
            </w14:solidFill>
          </w14:textFill>
        </w:rPr>
        <w:t>善</w:t>
      </w:r>
      <w:r>
        <w:rPr>
          <w:rFonts w:hint="eastAsia" w:ascii="宋体" w:hAnsi="宋体" w:cs="SSJ4+ZBNFQG-1"/>
          <w:color w:val="000000" w:themeColor="text1"/>
          <w14:textFill>
            <w14:solidFill>
              <w14:schemeClr w14:val="tx1"/>
            </w14:solidFill>
          </w14:textFill>
        </w:rPr>
        <w:t>国有经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以</w:t>
      </w:r>
      <w:r>
        <w:rPr>
          <w:rFonts w:hint="eastAsia" w:ascii="宋体" w:hAnsi="宋体" w:cs="FZSSK--GBK1-00+ZBNFQI-9"/>
          <w:color w:val="000000" w:themeColor="text1"/>
          <w14:textFill>
            <w14:solidFill>
              <w14:schemeClr w14:val="tx1"/>
            </w14:solidFill>
          </w14:textFill>
        </w:rPr>
        <w:t>及</w:t>
      </w:r>
      <w:r>
        <w:rPr>
          <w:rFonts w:hint="eastAsia" w:ascii="宋体" w:hAnsi="宋体" w:cs="FZSSK--GBK1-00+ZBNFQH-8"/>
          <w:color w:val="000000" w:themeColor="text1"/>
          <w14:textFill>
            <w14:solidFill>
              <w14:schemeClr w14:val="tx1"/>
            </w14:solidFill>
          </w14:textFill>
        </w:rPr>
        <w:t>推</w:t>
      </w:r>
      <w:r>
        <w:rPr>
          <w:rFonts w:hint="eastAsia" w:ascii="宋体" w:hAnsi="宋体" w:cs="FZSSK--GBK1-00+ZBNFQH-5"/>
          <w:color w:val="000000" w:themeColor="text1"/>
          <w14:textFill>
            <w14:solidFill>
              <w14:schemeClr w14:val="tx1"/>
            </w14:solidFill>
          </w14:textFill>
        </w:rPr>
        <w:t>动</w:t>
      </w:r>
      <w:r>
        <w:rPr>
          <w:rFonts w:hint="eastAsia" w:ascii="宋体" w:hAnsi="宋体" w:cs="SSJ4+ZBNFQG-1"/>
          <w:color w:val="000000" w:themeColor="text1"/>
          <w14:textFill>
            <w14:solidFill>
              <w14:schemeClr w14:val="tx1"/>
            </w14:solidFill>
          </w14:textFill>
        </w:rPr>
        <w:t>国际新</w:t>
      </w:r>
      <w:r>
        <w:rPr>
          <w:rFonts w:hint="eastAsia" w:ascii="宋体" w:hAnsi="宋体" w:cs="FZSSK--GBK1-00+ZBNFQL-16"/>
          <w:color w:val="000000" w:themeColor="text1"/>
          <w14:textFill>
            <w14:solidFill>
              <w14:schemeClr w14:val="tx1"/>
            </w14:solidFill>
          </w14:textFill>
        </w:rPr>
        <w:t>秩序</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I-10"/>
          <w:color w:val="000000" w:themeColor="text1"/>
          <w14:textFill>
            <w14:solidFill>
              <w14:schemeClr w14:val="tx1"/>
            </w14:solidFill>
          </w14:textFill>
        </w:rPr>
        <w:t>立</w:t>
      </w:r>
      <w:r>
        <w:rPr>
          <w:rFonts w:hint="eastAsia" w:ascii="宋体" w:hAnsi="宋体" w:cs="SSJ0+ZBNFQG-4"/>
          <w:color w:val="000000" w:themeColor="text1"/>
          <w14:textFill>
            <w14:solidFill>
              <w14:schemeClr w14:val="tx1"/>
            </w14:solidFill>
          </w14:textFill>
        </w:rPr>
        <w:t>。</w:t>
      </w:r>
    </w:p>
    <w:p w14:paraId="18F7ED18">
      <w:pPr>
        <w:spacing w:before="147" w:beforeLines="50" w:after="147" w:afterLines="50" w:line="400" w:lineRule="exact"/>
        <w:ind w:firstLine="480" w:firstLineChars="200"/>
        <w:jc w:val="center"/>
        <w:rPr>
          <w:rFonts w:hint="eastAsia" w:ascii="宋体" w:hAnsi="宋体" w:cs="FZSSK--GBK1-00+ZBNFQQ-24"/>
          <w:b/>
          <w:bCs/>
          <w:color w:val="000000" w:themeColor="text1"/>
          <w:kern w:val="28"/>
          <w:sz w:val="24"/>
          <w:szCs w:val="24"/>
          <w14:textFill>
            <w14:solidFill>
              <w14:schemeClr w14:val="tx1"/>
            </w14:solidFill>
          </w14:textFill>
        </w:rPr>
      </w:pPr>
      <w:r>
        <w:rPr>
          <w:rFonts w:hint="eastAsia" w:ascii="宋体" w:hAnsi="宋体"/>
          <w:b/>
          <w:bCs/>
          <w:color w:val="000000" w:themeColor="text1"/>
          <w:kern w:val="28"/>
          <w:sz w:val="24"/>
          <w:szCs w:val="24"/>
          <w14:textFill>
            <w14:solidFill>
              <w14:schemeClr w14:val="tx1"/>
            </w14:solidFill>
          </w14:textFill>
        </w:rPr>
        <w:t>注重劳动收入份额提升</w:t>
      </w:r>
    </w:p>
    <w:p w14:paraId="5F1E855D">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FZSSK--GBK1-00+ZBNFQQ-24"/>
          <w:color w:val="000000" w:themeColor="text1"/>
          <w14:textFill>
            <w14:solidFill>
              <w14:schemeClr w14:val="tx1"/>
            </w14:solidFill>
          </w14:textFill>
        </w:rPr>
        <w:t>综</w:t>
      </w:r>
      <w:r>
        <w:rPr>
          <w:rFonts w:hint="eastAsia" w:ascii="宋体" w:hAnsi="宋体" w:cs="FZSSK--GBK1-00+ZBNFQH-5"/>
          <w:color w:val="000000" w:themeColor="text1"/>
          <w14:textFill>
            <w14:solidFill>
              <w14:schemeClr w14:val="tx1"/>
            </w14:solidFill>
          </w14:textFill>
        </w:rPr>
        <w:t>合</w:t>
      </w:r>
      <w:r>
        <w:rPr>
          <w:rFonts w:hint="eastAsia" w:ascii="宋体" w:hAnsi="宋体" w:cs="FZSSK--GBK1-00+ZBNFQH-7"/>
          <w:color w:val="000000" w:themeColor="text1"/>
          <w14:textFill>
            <w14:solidFill>
              <w14:schemeClr w14:val="tx1"/>
            </w14:solidFill>
          </w14:textFill>
        </w:rPr>
        <w:t>各</w:t>
      </w:r>
      <w:r>
        <w:rPr>
          <w:rFonts w:hint="eastAsia" w:ascii="宋体" w:hAnsi="宋体" w:cs="FZSSK--GBK1-00+ZBNFQH-5"/>
          <w:color w:val="000000" w:themeColor="text1"/>
          <w14:textFill>
            <w14:solidFill>
              <w14:schemeClr w14:val="tx1"/>
            </w14:solidFill>
          </w14:textFill>
        </w:rPr>
        <w:t>种</w:t>
      </w:r>
      <w:r>
        <w:rPr>
          <w:rFonts w:hint="eastAsia" w:ascii="宋体" w:hAnsi="宋体" w:cs="FZSSK--GBK1-00+ZBNFQJ-12"/>
          <w:color w:val="000000" w:themeColor="text1"/>
          <w14:textFill>
            <w14:solidFill>
              <w14:schemeClr w14:val="tx1"/>
            </w14:solidFill>
          </w14:textFill>
        </w:rPr>
        <w:t>文</w:t>
      </w:r>
      <w:r>
        <w:rPr>
          <w:rFonts w:hint="eastAsia" w:ascii="宋体" w:hAnsi="宋体" w:cs="FZSSK--GBK1-00+ZBNFQP-23"/>
          <w:color w:val="000000" w:themeColor="text1"/>
          <w14:textFill>
            <w14:solidFill>
              <w14:schemeClr w14:val="tx1"/>
            </w14:solidFill>
          </w14:textFill>
        </w:rPr>
        <w:t>献</w:t>
      </w:r>
      <w:r>
        <w:rPr>
          <w:rFonts w:hint="eastAsia" w:ascii="宋体" w:hAnsi="宋体" w:cs="SSJ4+ZBNFQG-1"/>
          <w:color w:val="000000" w:themeColor="text1"/>
          <w14:textFill>
            <w14:solidFill>
              <w14:schemeClr w14:val="tx1"/>
            </w14:solidFill>
          </w14:textFill>
        </w:rPr>
        <w:t>的</w:t>
      </w:r>
      <w:r>
        <w:rPr>
          <w:rFonts w:hint="eastAsia" w:ascii="宋体" w:hAnsi="宋体" w:cs="FZSSK--GBK1-00+ZBNFQL-16"/>
          <w:color w:val="000000" w:themeColor="text1"/>
          <w14:textFill>
            <w14:solidFill>
              <w14:schemeClr w14:val="tx1"/>
            </w14:solidFill>
          </w14:textFill>
        </w:rPr>
        <w:t>估</w:t>
      </w:r>
      <w:r>
        <w:rPr>
          <w:rFonts w:hint="eastAsia" w:ascii="宋体" w:hAnsi="宋体" w:cs="FZSSK--GBK1-00+ZBNFQI-9"/>
          <w:color w:val="000000" w:themeColor="text1"/>
          <w14:textFill>
            <w14:solidFill>
              <w14:schemeClr w14:val="tx1"/>
            </w14:solidFill>
          </w14:textFill>
        </w:rPr>
        <w:t>计</w:t>
      </w:r>
      <w:r>
        <w:rPr>
          <w:rFonts w:hint="eastAsia" w:ascii="宋体" w:hAnsi="宋体" w:cs="SSJ4+ZBNFQG-1"/>
          <w:color w:val="000000" w:themeColor="text1"/>
          <w14:textFill>
            <w14:solidFill>
              <w14:schemeClr w14:val="tx1"/>
            </w14:solidFill>
          </w14:textFill>
        </w:rPr>
        <w:t>可以</w:t>
      </w:r>
      <w:r>
        <w:rPr>
          <w:rFonts w:hint="eastAsia" w:ascii="宋体" w:hAnsi="宋体" w:cs="FZSSK--GBK1-00+ZBNFQH-8"/>
          <w:color w:val="000000" w:themeColor="text1"/>
          <w14:textFill>
            <w14:solidFill>
              <w14:schemeClr w14:val="tx1"/>
            </w14:solidFill>
          </w14:textFill>
        </w:rPr>
        <w:t>得</w:t>
      </w:r>
      <w:r>
        <w:rPr>
          <w:rFonts w:hint="eastAsia" w:ascii="宋体" w:hAnsi="宋体" w:cs="SSJ4+ZBNFQG-1"/>
          <w:color w:val="000000" w:themeColor="text1"/>
          <w14:textFill>
            <w14:solidFill>
              <w14:schemeClr w14:val="tx1"/>
            </w14:solidFill>
          </w14:textFill>
        </w:rPr>
        <w:t>知，</w:t>
      </w:r>
      <w:r>
        <w:rPr>
          <w:rFonts w:hint="eastAsia" w:ascii="宋体" w:hAnsi="宋体" w:cs="E-BZ+ZBNFQH-6"/>
          <w:color w:val="000000" w:themeColor="text1"/>
          <w14:textFill>
            <w14:solidFill>
              <w14:schemeClr w14:val="tx1"/>
            </w14:solidFill>
          </w14:textFill>
        </w:rPr>
        <w:t>2002</w:t>
      </w:r>
      <w:r>
        <w:rPr>
          <w:rFonts w:hint="eastAsia" w:ascii="宋体" w:hAnsi="宋体" w:cs="SSJ0+ZBNFQG-4"/>
          <w:color w:val="000000" w:themeColor="text1"/>
          <w14:textFill>
            <w14:solidFill>
              <w14:schemeClr w14:val="tx1"/>
            </w14:solidFill>
          </w14:textFill>
        </w:rPr>
        <w:t>—</w:t>
      </w:r>
      <w:r>
        <w:rPr>
          <w:rFonts w:hint="eastAsia" w:ascii="宋体" w:hAnsi="宋体" w:cs="E-BZ+ZBNFQH-6"/>
          <w:color w:val="000000" w:themeColor="text1"/>
          <w14:textFill>
            <w14:solidFill>
              <w14:schemeClr w14:val="tx1"/>
            </w14:solidFill>
          </w14:textFill>
        </w:rPr>
        <w:t>2006</w:t>
      </w:r>
      <w:r>
        <w:rPr>
          <w:rFonts w:hint="eastAsia" w:ascii="宋体" w:hAnsi="宋体" w:cs="FZSSK--GBK1-00+ZBNFQH-5"/>
          <w:color w:val="000000" w:themeColor="text1"/>
          <w14:textFill>
            <w14:solidFill>
              <w14:schemeClr w14:val="tx1"/>
            </w14:solidFill>
          </w14:textFill>
        </w:rPr>
        <w:t>年</w:t>
      </w:r>
      <w:r>
        <w:rPr>
          <w:rFonts w:hint="eastAsia" w:ascii="宋体" w:hAnsi="宋体" w:cs="SSJ4+ZBNFQG-1"/>
          <w:color w:val="000000" w:themeColor="text1"/>
          <w14:textFill>
            <w14:solidFill>
              <w14:schemeClr w14:val="tx1"/>
            </w14:solidFill>
          </w14:textFill>
        </w:rPr>
        <w:t>，我国</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SSJ4+ZBNFQG-1"/>
          <w:color w:val="000000" w:themeColor="text1"/>
          <w14:textFill>
            <w14:solidFill>
              <w14:schemeClr w14:val="tx1"/>
            </w14:solidFill>
          </w14:textFill>
        </w:rPr>
        <w:t>的</w:t>
      </w:r>
      <w:r>
        <w:rPr>
          <w:rFonts w:hint="eastAsia" w:ascii="宋体" w:hAnsi="宋体" w:cs="FZSSK--GBK1-00+ZBNFQL-16"/>
          <w:color w:val="000000" w:themeColor="text1"/>
          <w14:textFill>
            <w14:solidFill>
              <w14:schemeClr w14:val="tx1"/>
            </w14:solidFill>
          </w14:textFill>
        </w:rPr>
        <w:t>乐</w:t>
      </w:r>
      <w:r>
        <w:rPr>
          <w:rFonts w:hint="eastAsia" w:ascii="宋体" w:hAnsi="宋体" w:cs="FZSSK--GBK1-00+ZBNFQH-5"/>
          <w:color w:val="000000" w:themeColor="text1"/>
          <w14:textFill>
            <w14:solidFill>
              <w14:schemeClr w14:val="tx1"/>
            </w14:solidFill>
          </w14:textFill>
        </w:rPr>
        <w:t>观</w:t>
      </w:r>
      <w:r>
        <w:rPr>
          <w:rFonts w:hint="eastAsia" w:ascii="宋体" w:hAnsi="宋体" w:cs="FZSSK--GBK1-00+ZBNFQL-16"/>
          <w:color w:val="000000" w:themeColor="text1"/>
          <w14:textFill>
            <w14:solidFill>
              <w14:schemeClr w14:val="tx1"/>
            </w14:solidFill>
          </w14:textFill>
        </w:rPr>
        <w:t>估</w:t>
      </w:r>
      <w:r>
        <w:rPr>
          <w:rFonts w:hint="eastAsia" w:ascii="宋体" w:hAnsi="宋体" w:cs="FZSSK--GBK1-00+ZBNFQI-9"/>
          <w:color w:val="000000" w:themeColor="text1"/>
          <w14:textFill>
            <w14:solidFill>
              <w14:schemeClr w14:val="tx1"/>
            </w14:solidFill>
          </w14:textFill>
        </w:rPr>
        <w:t>计</w:t>
      </w:r>
      <w:r>
        <w:rPr>
          <w:rFonts w:hint="eastAsia" w:ascii="宋体" w:hAnsi="宋体" w:cs="SSJ4+ZBNFQG-1"/>
          <w:color w:val="000000" w:themeColor="text1"/>
          <w14:textFill>
            <w14:solidFill>
              <w14:schemeClr w14:val="tx1"/>
            </w14:solidFill>
          </w14:textFill>
        </w:rPr>
        <w:t>大</w:t>
      </w:r>
      <w:r>
        <w:rPr>
          <w:rFonts w:hint="eastAsia" w:ascii="宋体" w:hAnsi="宋体" w:cs="FZSSK--GBK1-00+ZBNFQI-10"/>
          <w:color w:val="000000" w:themeColor="text1"/>
          <w14:textFill>
            <w14:solidFill>
              <w14:schemeClr w14:val="tx1"/>
            </w14:solidFill>
          </w14:textFill>
        </w:rPr>
        <w:t>概</w:t>
      </w:r>
      <w:r>
        <w:rPr>
          <w:rFonts w:hint="eastAsia" w:ascii="宋体" w:hAnsi="宋体" w:cs="SSJ4+ZBNFQG-1"/>
          <w:color w:val="000000" w:themeColor="text1"/>
          <w14:textFill>
            <w14:solidFill>
              <w14:schemeClr w14:val="tx1"/>
            </w14:solidFill>
          </w14:textFill>
        </w:rPr>
        <w:t>是</w:t>
      </w:r>
      <w:r>
        <w:rPr>
          <w:rFonts w:hint="eastAsia" w:ascii="宋体" w:hAnsi="宋体" w:cs="E-BZ+ZBNFQH-6"/>
          <w:color w:val="000000" w:themeColor="text1"/>
          <w14:textFill>
            <w14:solidFill>
              <w14:schemeClr w14:val="tx1"/>
            </w14:solidFill>
          </w14:textFill>
        </w:rPr>
        <w:t>50%</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悲</w:t>
      </w:r>
      <w:r>
        <w:rPr>
          <w:rFonts w:hint="eastAsia" w:ascii="宋体" w:hAnsi="宋体" w:cs="FZSSK--GBK1-00+ZBNFQH-5"/>
          <w:color w:val="000000" w:themeColor="text1"/>
          <w14:textFill>
            <w14:solidFill>
              <w14:schemeClr w14:val="tx1"/>
            </w14:solidFill>
          </w14:textFill>
        </w:rPr>
        <w:t>观</w:t>
      </w:r>
      <w:r>
        <w:rPr>
          <w:rFonts w:hint="eastAsia" w:ascii="宋体" w:hAnsi="宋体" w:cs="FZSSK--GBK1-00+ZBNFQL-16"/>
          <w:color w:val="000000" w:themeColor="text1"/>
          <w14:textFill>
            <w14:solidFill>
              <w14:schemeClr w14:val="tx1"/>
            </w14:solidFill>
          </w14:textFill>
        </w:rPr>
        <w:t>估</w:t>
      </w:r>
      <w:r>
        <w:rPr>
          <w:rFonts w:hint="eastAsia" w:ascii="宋体" w:hAnsi="宋体" w:cs="FZSSK--GBK1-00+ZBNFQI-9"/>
          <w:color w:val="000000" w:themeColor="text1"/>
          <w14:textFill>
            <w14:solidFill>
              <w14:schemeClr w14:val="tx1"/>
            </w14:solidFill>
          </w14:textFill>
        </w:rPr>
        <w:t>计</w:t>
      </w:r>
      <w:r>
        <w:rPr>
          <w:rFonts w:hint="eastAsia" w:ascii="宋体" w:hAnsi="宋体" w:cs="SSJ4+ZBNFQG-1"/>
          <w:color w:val="000000" w:themeColor="text1"/>
          <w14:textFill>
            <w14:solidFill>
              <w14:schemeClr w14:val="tx1"/>
            </w14:solidFill>
          </w14:textFill>
        </w:rPr>
        <w:t>是在</w:t>
      </w:r>
      <w:r>
        <w:rPr>
          <w:rFonts w:hint="eastAsia" w:ascii="宋体" w:hAnsi="宋体" w:cs="E-BZ+ZBNFQH-6"/>
          <w:color w:val="000000" w:themeColor="text1"/>
          <w14:textFill>
            <w14:solidFill>
              <w14:schemeClr w14:val="tx1"/>
            </w14:solidFill>
          </w14:textFill>
        </w:rPr>
        <w:t>40%</w:t>
      </w:r>
      <w:r>
        <w:rPr>
          <w:rFonts w:hint="eastAsia" w:ascii="宋体" w:hAnsi="宋体" w:cs="FZSSK--GBK1-00+ZBNFQI-9"/>
          <w:color w:val="000000" w:themeColor="text1"/>
          <w14:textFill>
            <w14:solidFill>
              <w14:schemeClr w14:val="tx1"/>
            </w14:solidFill>
          </w14:textFill>
        </w:rPr>
        <w:t>左</w:t>
      </w:r>
      <w:r>
        <w:rPr>
          <w:rFonts w:hint="eastAsia" w:ascii="宋体" w:hAnsi="宋体" w:cs="FZSSK--GBK1-00+ZBNFQK-15"/>
          <w:color w:val="000000" w:themeColor="text1"/>
          <w14:textFill>
            <w14:solidFill>
              <w14:schemeClr w14:val="tx1"/>
            </w14:solidFill>
          </w14:textFill>
        </w:rPr>
        <w:t>右</w:t>
      </w:r>
      <w:r>
        <w:rPr>
          <w:rFonts w:hint="eastAsia" w:ascii="宋体" w:hAnsi="宋体" w:cs="SSJ0+ZBNFQG-4"/>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研究</w:t>
      </w:r>
      <w:r>
        <w:rPr>
          <w:rFonts w:hint="eastAsia" w:ascii="宋体" w:hAnsi="宋体" w:cs="FZSSK--GBK1-00+ZBNFQJ-12"/>
          <w:color w:val="000000" w:themeColor="text1"/>
          <w14:textFill>
            <w14:solidFill>
              <w14:schemeClr w14:val="tx1"/>
            </w14:solidFill>
          </w14:textFill>
        </w:rPr>
        <w:t>数</w:t>
      </w:r>
      <w:r>
        <w:rPr>
          <w:rFonts w:hint="eastAsia" w:ascii="宋体" w:hAnsi="宋体" w:cs="FZSSK--GBK1-00+ZBNFQI-9"/>
          <w:color w:val="000000" w:themeColor="text1"/>
          <w14:textFill>
            <w14:solidFill>
              <w14:schemeClr w14:val="tx1"/>
            </w14:solidFill>
          </w14:textFill>
        </w:rPr>
        <w:t>据表</w:t>
      </w:r>
      <w:r>
        <w:rPr>
          <w:rFonts w:hint="eastAsia" w:ascii="宋体" w:hAnsi="宋体" w:cs="SSJ4+ZBNFQG-1"/>
          <w:color w:val="000000" w:themeColor="text1"/>
          <w14:textFill>
            <w14:solidFill>
              <w14:schemeClr w14:val="tx1"/>
            </w14:solidFill>
          </w14:textFill>
        </w:rPr>
        <w:t>明，</w:t>
      </w:r>
      <w:r>
        <w:rPr>
          <w:rFonts w:hint="eastAsia" w:ascii="宋体" w:hAnsi="宋体" w:cs="FZSSK--GBK1-00+ZBNFQK-14"/>
          <w:color w:val="000000" w:themeColor="text1"/>
          <w14:textFill>
            <w14:solidFill>
              <w14:schemeClr w14:val="tx1"/>
            </w14:solidFill>
          </w14:textFill>
        </w:rPr>
        <w:t>近</w:t>
      </w:r>
      <w:r>
        <w:rPr>
          <w:rFonts w:hint="eastAsia" w:ascii="宋体" w:hAnsi="宋体" w:cs="FZSSK--GBK1-00+ZBNFQH-5"/>
          <w:color w:val="000000" w:themeColor="text1"/>
          <w14:textFill>
            <w14:solidFill>
              <w14:schemeClr w14:val="tx1"/>
            </w14:solidFill>
          </w14:textFill>
        </w:rPr>
        <w:t>年</w:t>
      </w:r>
      <w:r>
        <w:rPr>
          <w:rFonts w:hint="eastAsia" w:ascii="宋体" w:hAnsi="宋体" w:cs="SSJ4+ZBNFQG-1"/>
          <w:color w:val="000000" w:themeColor="text1"/>
          <w14:textFill>
            <w14:solidFill>
              <w14:schemeClr w14:val="tx1"/>
            </w14:solidFill>
          </w14:textFill>
        </w:rPr>
        <w:t>来我国</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8"/>
          <w:color w:val="000000" w:themeColor="text1"/>
          <w14:textFill>
            <w14:solidFill>
              <w14:schemeClr w14:val="tx1"/>
            </w14:solidFill>
          </w14:textFill>
        </w:rPr>
        <w:t>下</w:t>
      </w:r>
      <w:r>
        <w:rPr>
          <w:rFonts w:hint="eastAsia" w:ascii="宋体" w:hAnsi="宋体" w:cs="FZSSK--GBK1-00+ZBNFQK-15"/>
          <w:color w:val="000000" w:themeColor="text1"/>
          <w14:textFill>
            <w14:solidFill>
              <w14:schemeClr w14:val="tx1"/>
            </w14:solidFill>
          </w14:textFill>
        </w:rPr>
        <w:t>降</w:t>
      </w:r>
      <w:r>
        <w:rPr>
          <w:rFonts w:hint="eastAsia" w:ascii="宋体" w:hAnsi="宋体" w:cs="FZSSK--GBK1-00+ZBNFQH-5"/>
          <w:color w:val="000000" w:themeColor="text1"/>
          <w14:textFill>
            <w14:solidFill>
              <w14:schemeClr w14:val="tx1"/>
            </w14:solidFill>
          </w14:textFill>
        </w:rPr>
        <w:t>到</w:t>
      </w:r>
      <w:r>
        <w:rPr>
          <w:rFonts w:hint="eastAsia" w:ascii="宋体" w:hAnsi="宋体" w:cs="SSJ4+ZBNFQG-1"/>
          <w:color w:val="000000" w:themeColor="text1"/>
          <w14:textFill>
            <w14:solidFill>
              <w14:schemeClr w14:val="tx1"/>
            </w14:solidFill>
          </w14:textFill>
        </w:rPr>
        <w:t>历</w:t>
      </w:r>
      <w:r>
        <w:rPr>
          <w:rFonts w:hint="eastAsia" w:ascii="宋体" w:hAnsi="宋体" w:cs="FZSSK--GBK1-00+ZBNFQH-7"/>
          <w:color w:val="000000" w:themeColor="text1"/>
          <w14:textFill>
            <w14:solidFill>
              <w14:schemeClr w14:val="tx1"/>
            </w14:solidFill>
          </w14:textFill>
        </w:rPr>
        <w:t>史最</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K-14"/>
          <w:color w:val="000000" w:themeColor="text1"/>
          <w14:textFill>
            <w14:solidFill>
              <w14:schemeClr w14:val="tx1"/>
            </w14:solidFill>
          </w14:textFill>
        </w:rPr>
        <w:t>水</w:t>
      </w:r>
      <w:r>
        <w:rPr>
          <w:rFonts w:hint="eastAsia" w:ascii="宋体" w:hAnsi="宋体" w:cs="FZSSK--GBK1-00+ZBNFQH-5"/>
          <w:color w:val="000000" w:themeColor="text1"/>
          <w14:textFill>
            <w14:solidFill>
              <w14:schemeClr w14:val="tx1"/>
            </w14:solidFill>
          </w14:textFill>
        </w:rPr>
        <w:t>平</w:t>
      </w:r>
      <w:r>
        <w:rPr>
          <w:rFonts w:hint="eastAsia" w:ascii="宋体" w:hAnsi="宋体" w:cs="SSJ4+ZBNFQG-1"/>
          <w:color w:val="000000" w:themeColor="text1"/>
          <w14:textFill>
            <w14:solidFill>
              <w14:schemeClr w14:val="tx1"/>
            </w14:solidFill>
          </w14:textFill>
        </w:rPr>
        <w:t>是个</w:t>
      </w:r>
      <w:r>
        <w:rPr>
          <w:rFonts w:hint="eastAsia" w:ascii="宋体" w:hAnsi="宋体" w:cs="FZSSK--GBK1-00+ZBNFQH-5"/>
          <w:color w:val="000000" w:themeColor="text1"/>
          <w14:textFill>
            <w14:solidFill>
              <w14:schemeClr w14:val="tx1"/>
            </w14:solidFill>
          </w14:textFill>
        </w:rPr>
        <w:t>不</w:t>
      </w:r>
      <w:r>
        <w:rPr>
          <w:rFonts w:hint="eastAsia" w:ascii="宋体" w:hAnsi="宋体" w:cs="SSJ4+ZBNFQG-1"/>
          <w:color w:val="000000" w:themeColor="text1"/>
          <w14:textFill>
            <w14:solidFill>
              <w14:schemeClr w14:val="tx1"/>
            </w14:solidFill>
          </w14:textFill>
        </w:rPr>
        <w:t>争的</w:t>
      </w:r>
      <w:r>
        <w:rPr>
          <w:rFonts w:hint="eastAsia" w:ascii="宋体" w:hAnsi="宋体" w:cs="FZSSK--GBK1-00+ZBNFQI-9"/>
          <w:color w:val="000000" w:themeColor="text1"/>
          <w14:textFill>
            <w14:solidFill>
              <w14:schemeClr w14:val="tx1"/>
            </w14:solidFill>
          </w14:textFill>
        </w:rPr>
        <w:t>事</w:t>
      </w:r>
      <w:r>
        <w:rPr>
          <w:rFonts w:hint="eastAsia" w:ascii="宋体" w:hAnsi="宋体" w:cs="FZSSK--GBK1-00+ZBNFQI-10"/>
          <w:color w:val="000000" w:themeColor="text1"/>
          <w14:textFill>
            <w14:solidFill>
              <w14:schemeClr w14:val="tx1"/>
            </w14:solidFill>
          </w14:textFill>
        </w:rPr>
        <w:t>实</w:t>
      </w:r>
      <w:r>
        <w:rPr>
          <w:rFonts w:hint="eastAsia" w:ascii="宋体" w:hAnsi="宋体" w:cs="SSJ0+ZBNFQG-4"/>
          <w:color w:val="000000" w:themeColor="text1"/>
          <w14:textFill>
            <w14:solidFill>
              <w14:schemeClr w14:val="tx1"/>
            </w14:solidFill>
          </w14:textFill>
        </w:rPr>
        <w:t>。</w:t>
      </w:r>
    </w:p>
    <w:p w14:paraId="463C0B22">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和资本主义国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5"/>
          <w:color w:val="000000" w:themeColor="text1"/>
          <w14:textFill>
            <w14:solidFill>
              <w14:schemeClr w14:val="tx1"/>
            </w14:solidFill>
          </w14:textFill>
        </w:rPr>
        <w:t>相</w:t>
      </w:r>
      <w:r>
        <w:rPr>
          <w:rFonts w:hint="eastAsia" w:ascii="宋体" w:hAnsi="宋体" w:cs="FZSSK--GBK1-00+ZBNFQI-9"/>
          <w:color w:val="000000" w:themeColor="text1"/>
          <w14:textFill>
            <w14:solidFill>
              <w14:schemeClr w14:val="tx1"/>
            </w14:solidFill>
          </w14:textFill>
        </w:rPr>
        <w:t>比</w:t>
      </w:r>
      <w:r>
        <w:rPr>
          <w:rFonts w:hint="eastAsia" w:ascii="宋体" w:hAnsi="宋体" w:cs="SSJ4+ZBNFQG-1"/>
          <w:color w:val="000000" w:themeColor="text1"/>
          <w14:textFill>
            <w14:solidFill>
              <w14:schemeClr w14:val="tx1"/>
            </w14:solidFill>
          </w14:textFill>
        </w:rPr>
        <w:t>，我国的</w:t>
      </w:r>
      <w:r>
        <w:rPr>
          <w:rFonts w:hint="eastAsia" w:ascii="宋体" w:hAnsi="宋体" w:cs="FZSSK--GBK1-00+ZBNFQI-9"/>
          <w:color w:val="000000" w:themeColor="text1"/>
          <w14:textFill>
            <w14:solidFill>
              <w14:schemeClr w14:val="tx1"/>
            </w14:solidFill>
          </w14:textFill>
        </w:rPr>
        <w:t>差距</w:t>
      </w:r>
      <w:r>
        <w:rPr>
          <w:rFonts w:hint="eastAsia" w:ascii="宋体" w:hAnsi="宋体" w:cs="FZSSK--GBK1-00+ZBNFQH-5"/>
          <w:color w:val="000000" w:themeColor="text1"/>
          <w14:textFill>
            <w14:solidFill>
              <w14:schemeClr w14:val="tx1"/>
            </w14:solidFill>
          </w14:textFill>
        </w:rPr>
        <w:t>也</w:t>
      </w:r>
      <w:r>
        <w:rPr>
          <w:rFonts w:hint="eastAsia" w:ascii="宋体" w:hAnsi="宋体" w:cs="FZSSK--GBK1-00+ZBNFQI-9"/>
          <w:color w:val="000000" w:themeColor="text1"/>
          <w14:textFill>
            <w14:solidFill>
              <w14:schemeClr w14:val="tx1"/>
            </w14:solidFill>
          </w14:textFill>
        </w:rPr>
        <w:t>很</w:t>
      </w:r>
      <w:r>
        <w:rPr>
          <w:rFonts w:hint="eastAsia" w:ascii="宋体" w:hAnsi="宋体" w:cs="SSJ4+ZBNFQG-1"/>
          <w:color w:val="000000" w:themeColor="text1"/>
          <w14:textFill>
            <w14:solidFill>
              <w14:schemeClr w14:val="tx1"/>
            </w14:solidFill>
          </w14:textFill>
        </w:rPr>
        <w:t>明</w:t>
      </w:r>
      <w:r>
        <w:rPr>
          <w:rFonts w:hint="eastAsia" w:ascii="宋体" w:hAnsi="宋体" w:cs="FZSSK--GBK1-00+ZBNFQI-10"/>
          <w:color w:val="000000" w:themeColor="text1"/>
          <w14:textFill>
            <w14:solidFill>
              <w14:schemeClr w14:val="tx1"/>
            </w14:solidFill>
          </w14:textFill>
        </w:rPr>
        <w:t>显</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二</w:t>
      </w:r>
      <w:r>
        <w:rPr>
          <w:rFonts w:hint="eastAsia" w:ascii="宋体" w:hAnsi="宋体" w:cs="SSJ4+ZBNFQG-1"/>
          <w:color w:val="000000" w:themeColor="text1"/>
          <w14:textFill>
            <w14:solidFill>
              <w14:schemeClr w14:val="tx1"/>
            </w14:solidFill>
          </w14:textFill>
        </w:rPr>
        <w:t>战以</w:t>
      </w:r>
      <w:r>
        <w:rPr>
          <w:rFonts w:hint="eastAsia" w:ascii="宋体" w:hAnsi="宋体" w:cs="FZSSK--GBK1-00+ZBNFQH-7"/>
          <w:color w:val="000000" w:themeColor="text1"/>
          <w14:textFill>
            <w14:solidFill>
              <w14:schemeClr w14:val="tx1"/>
            </w14:solidFill>
          </w14:textFill>
        </w:rPr>
        <w:t>后</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西方</w:t>
      </w:r>
      <w:r>
        <w:rPr>
          <w:rFonts w:hint="eastAsia" w:ascii="宋体" w:hAnsi="宋体" w:cs="SSJ4+ZBNFQG-1"/>
          <w:color w:val="000000" w:themeColor="text1"/>
          <w14:textFill>
            <w14:solidFill>
              <w14:schemeClr w14:val="tx1"/>
            </w14:solidFill>
          </w14:textFill>
        </w:rPr>
        <w:t>资本主义国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I-9"/>
          <w:color w:val="000000" w:themeColor="text1"/>
          <w14:textFill>
            <w14:solidFill>
              <w14:schemeClr w14:val="tx1"/>
            </w14:solidFill>
          </w14:textFill>
        </w:rPr>
        <w:t>普遍</w:t>
      </w:r>
      <w:r>
        <w:rPr>
          <w:rFonts w:hint="eastAsia" w:ascii="宋体" w:hAnsi="宋体" w:cs="SSJ4+ZBNFQG-1"/>
          <w:color w:val="000000" w:themeColor="text1"/>
          <w14:textFill>
            <w14:solidFill>
              <w14:schemeClr w14:val="tx1"/>
            </w14:solidFill>
          </w14:textFill>
        </w:rPr>
        <w:t>经历了</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个</w:t>
      </w:r>
      <w:r>
        <w:rPr>
          <w:rFonts w:hint="eastAsia" w:ascii="宋体" w:hAnsi="宋体" w:cs="FZSSK--GBK1-00+ZBNFQH-7"/>
          <w:color w:val="000000" w:themeColor="text1"/>
          <w14:textFill>
            <w14:solidFill>
              <w14:schemeClr w14:val="tx1"/>
            </w14:solidFill>
          </w14:textFill>
        </w:rPr>
        <w:t>上</w:t>
      </w:r>
      <w:r>
        <w:rPr>
          <w:rFonts w:hint="eastAsia" w:ascii="宋体" w:hAnsi="宋体" w:cs="FZSSK--GBK1-00+ZBNFQI-10"/>
          <w:color w:val="000000" w:themeColor="text1"/>
          <w14:textFill>
            <w14:solidFill>
              <w14:schemeClr w14:val="tx1"/>
            </w14:solidFill>
          </w14:textFill>
        </w:rPr>
        <w:t>升</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J-12"/>
          <w:color w:val="000000" w:themeColor="text1"/>
          <w14:textFill>
            <w14:solidFill>
              <w14:schemeClr w14:val="tx1"/>
            </w14:solidFill>
          </w14:textFill>
        </w:rPr>
        <w:t>程</w:t>
      </w:r>
      <w:r>
        <w:rPr>
          <w:rFonts w:hint="eastAsia" w:ascii="宋体" w:hAnsi="宋体" w:cs="SSJ0+ZBNFQG-4"/>
          <w:color w:val="000000" w:themeColor="text1"/>
          <w14:textFill>
            <w14:solidFill>
              <w14:schemeClr w14:val="tx1"/>
            </w14:solidFill>
          </w14:textFill>
        </w:rPr>
        <w:t>。</w:t>
      </w:r>
      <w:r>
        <w:rPr>
          <w:rFonts w:hint="eastAsia" w:ascii="宋体" w:hAnsi="宋体" w:cs="E-BZ+ZBNFQH-6"/>
          <w:color w:val="000000" w:themeColor="text1"/>
          <w14:textFill>
            <w14:solidFill>
              <w14:schemeClr w14:val="tx1"/>
            </w14:solidFill>
          </w14:textFill>
        </w:rPr>
        <w:t>1952</w:t>
      </w:r>
      <w:r>
        <w:rPr>
          <w:rFonts w:hint="eastAsia" w:ascii="宋体" w:hAnsi="宋体" w:cs="FZSSK--GBK1-00+ZBNFQH-5"/>
          <w:color w:val="000000" w:themeColor="text1"/>
          <w14:textFill>
            <w14:solidFill>
              <w14:schemeClr w14:val="tx1"/>
            </w14:solidFill>
          </w14:textFill>
        </w:rPr>
        <w:t>年</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国的</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J-12"/>
          <w:color w:val="000000" w:themeColor="text1"/>
          <w14:textFill>
            <w14:solidFill>
              <w14:schemeClr w14:val="tx1"/>
            </w14:solidFill>
          </w14:textFill>
        </w:rPr>
        <w:t>只</w:t>
      </w:r>
      <w:r>
        <w:rPr>
          <w:rFonts w:hint="eastAsia" w:ascii="宋体" w:hAnsi="宋体" w:cs="SSJ4+ZBNFQG-1"/>
          <w:color w:val="000000" w:themeColor="text1"/>
          <w14:textFill>
            <w14:solidFill>
              <w14:schemeClr w14:val="tx1"/>
            </w14:solidFill>
          </w14:textFill>
        </w:rPr>
        <w:t>有</w:t>
      </w:r>
      <w:r>
        <w:rPr>
          <w:rFonts w:hint="eastAsia" w:ascii="宋体" w:hAnsi="宋体" w:cs="E-BZ+ZBNFQH-6"/>
          <w:color w:val="000000" w:themeColor="text1"/>
          <w14:textFill>
            <w14:solidFill>
              <w14:schemeClr w14:val="tx1"/>
            </w14:solidFill>
          </w14:textFill>
        </w:rPr>
        <w:t>61%</w:t>
      </w:r>
      <w:r>
        <w:rPr>
          <w:rFonts w:hint="eastAsia" w:ascii="宋体" w:hAnsi="宋体" w:cs="SSJ4+ZBNFQG-1"/>
          <w:color w:val="000000" w:themeColor="text1"/>
          <w14:textFill>
            <w14:solidFill>
              <w14:schemeClr w14:val="tx1"/>
            </w14:solidFill>
          </w14:textFill>
        </w:rPr>
        <w:t>，</w:t>
      </w:r>
      <w:r>
        <w:rPr>
          <w:rFonts w:hint="eastAsia" w:ascii="宋体" w:hAnsi="宋体" w:cs="E-BZ+ZBNFQH-6"/>
          <w:color w:val="000000" w:themeColor="text1"/>
          <w14:textFill>
            <w14:solidFill>
              <w14:schemeClr w14:val="tx1"/>
            </w14:solidFill>
          </w14:textFill>
        </w:rPr>
        <w:t>1970</w:t>
      </w:r>
      <w:r>
        <w:rPr>
          <w:rFonts w:hint="eastAsia" w:ascii="宋体" w:hAnsi="宋体" w:cs="FZSSK--GBK1-00+ZBNFQH-5"/>
          <w:color w:val="000000" w:themeColor="text1"/>
          <w14:textFill>
            <w14:solidFill>
              <w14:schemeClr w14:val="tx1"/>
            </w14:solidFill>
          </w14:textFill>
        </w:rPr>
        <w:t>年代</w:t>
      </w:r>
      <w:r>
        <w:rPr>
          <w:rFonts w:hint="eastAsia" w:ascii="宋体" w:hAnsi="宋体" w:cs="FZSSK--GBK1-00+ZBNFQI-9"/>
          <w:color w:val="000000" w:themeColor="text1"/>
          <w14:textFill>
            <w14:solidFill>
              <w14:schemeClr w14:val="tx1"/>
            </w14:solidFill>
          </w14:textFill>
        </w:rPr>
        <w:t>末</w:t>
      </w:r>
      <w:r>
        <w:rPr>
          <w:rFonts w:hint="eastAsia" w:ascii="宋体" w:hAnsi="宋体" w:cs="FZSSK--GBK1-00+ZBNFQH-7"/>
          <w:color w:val="000000" w:themeColor="text1"/>
          <w14:textFill>
            <w14:solidFill>
              <w14:schemeClr w14:val="tx1"/>
            </w14:solidFill>
          </w14:textFill>
        </w:rPr>
        <w:t>上</w:t>
      </w:r>
      <w:r>
        <w:rPr>
          <w:rFonts w:hint="eastAsia" w:ascii="宋体" w:hAnsi="宋体" w:cs="FZSSK--GBK1-00+ZBNFQI-10"/>
          <w:color w:val="000000" w:themeColor="text1"/>
          <w14:textFill>
            <w14:solidFill>
              <w14:schemeClr w14:val="tx1"/>
            </w14:solidFill>
          </w14:textFill>
        </w:rPr>
        <w:t>升</w:t>
      </w:r>
      <w:r>
        <w:rPr>
          <w:rFonts w:hint="eastAsia" w:ascii="宋体" w:hAnsi="宋体" w:cs="FZSSK--GBK1-00+ZBNFQH-5"/>
          <w:color w:val="000000" w:themeColor="text1"/>
          <w14:textFill>
            <w14:solidFill>
              <w14:schemeClr w14:val="tx1"/>
            </w14:solidFill>
          </w14:textFill>
        </w:rPr>
        <w:t>到</w:t>
      </w:r>
      <w:r>
        <w:rPr>
          <w:rFonts w:hint="eastAsia" w:ascii="宋体" w:hAnsi="宋体" w:cs="SSJ4+ZBNFQG-1"/>
          <w:color w:val="000000" w:themeColor="text1"/>
          <w14:textFill>
            <w14:solidFill>
              <w14:schemeClr w14:val="tx1"/>
            </w14:solidFill>
          </w14:textFill>
        </w:rPr>
        <w:t>了</w:t>
      </w:r>
      <w:r>
        <w:rPr>
          <w:rFonts w:hint="eastAsia" w:ascii="宋体" w:hAnsi="宋体" w:cs="E-BZ+ZBNFQH-6"/>
          <w:color w:val="000000" w:themeColor="text1"/>
          <w14:textFill>
            <w14:solidFill>
              <w14:schemeClr w14:val="tx1"/>
            </w14:solidFill>
          </w14:textFill>
        </w:rPr>
        <w:t>68%</w:t>
      </w:r>
      <w:r>
        <w:rPr>
          <w:rFonts w:hint="eastAsia" w:ascii="宋体" w:hAnsi="宋体" w:cs="SSJ4+ZBNFQG-1"/>
          <w:color w:val="000000" w:themeColor="text1"/>
          <w14:textFill>
            <w14:solidFill>
              <w14:schemeClr w14:val="tx1"/>
            </w14:solidFill>
          </w14:textFill>
        </w:rPr>
        <w:t>，之</w:t>
      </w:r>
      <w:r>
        <w:rPr>
          <w:rFonts w:hint="eastAsia" w:ascii="宋体" w:hAnsi="宋体" w:cs="FZSSK--GBK1-00+ZBNFQH-7"/>
          <w:color w:val="000000" w:themeColor="text1"/>
          <w14:textFill>
            <w14:solidFill>
              <w14:schemeClr w14:val="tx1"/>
            </w14:solidFill>
          </w14:textFill>
        </w:rPr>
        <w:t>后</w:t>
      </w:r>
      <w:r>
        <w:rPr>
          <w:rFonts w:hint="eastAsia" w:ascii="宋体" w:hAnsi="宋体" w:cs="FZSSK--GBK1-00+ZBNFQQ-24"/>
          <w:color w:val="000000" w:themeColor="text1"/>
          <w14:textFill>
            <w14:solidFill>
              <w14:schemeClr w14:val="tx1"/>
            </w14:solidFill>
          </w14:textFill>
        </w:rPr>
        <w:t>虽</w:t>
      </w:r>
      <w:r>
        <w:rPr>
          <w:rFonts w:hint="eastAsia" w:ascii="宋体" w:hAnsi="宋体" w:cs="SSJ4+ZBNFQG-1"/>
          <w:color w:val="000000" w:themeColor="text1"/>
          <w14:textFill>
            <w14:solidFill>
              <w14:schemeClr w14:val="tx1"/>
            </w14:solidFill>
          </w14:textFill>
        </w:rPr>
        <w:t>有所</w:t>
      </w:r>
      <w:r>
        <w:rPr>
          <w:rFonts w:hint="eastAsia" w:ascii="宋体" w:hAnsi="宋体" w:cs="FZSSK--GBK1-00+ZBNFQH-8"/>
          <w:color w:val="000000" w:themeColor="text1"/>
          <w14:textFill>
            <w14:solidFill>
              <w14:schemeClr w14:val="tx1"/>
            </w14:solidFill>
          </w14:textFill>
        </w:rPr>
        <w:t>下</w:t>
      </w:r>
      <w:r>
        <w:rPr>
          <w:rFonts w:hint="eastAsia" w:ascii="宋体" w:hAnsi="宋体" w:cs="FZSSK--GBK1-00+ZBNFQK-15"/>
          <w:color w:val="000000" w:themeColor="text1"/>
          <w14:textFill>
            <w14:solidFill>
              <w14:schemeClr w14:val="tx1"/>
            </w14:solidFill>
          </w14:textFill>
        </w:rPr>
        <w:t>降</w:t>
      </w:r>
      <w:r>
        <w:rPr>
          <w:rFonts w:hint="eastAsia" w:ascii="宋体" w:hAnsi="宋体" w:cs="SSJ4+ZBNFQG-1"/>
          <w:color w:val="000000" w:themeColor="text1"/>
          <w14:textFill>
            <w14:solidFill>
              <w14:schemeClr w14:val="tx1"/>
            </w14:solidFill>
          </w14:textFill>
        </w:rPr>
        <w:t>，但</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7"/>
          <w:color w:val="000000" w:themeColor="text1"/>
          <w14:textFill>
            <w14:solidFill>
              <w14:schemeClr w14:val="tx1"/>
            </w14:solidFill>
          </w14:textFill>
        </w:rPr>
        <w:t>直都</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I-10"/>
          <w:color w:val="000000" w:themeColor="text1"/>
          <w14:textFill>
            <w14:solidFill>
              <w14:schemeClr w14:val="tx1"/>
            </w14:solidFill>
          </w14:textFill>
        </w:rPr>
        <w:t>持</w:t>
      </w:r>
      <w:r>
        <w:rPr>
          <w:rFonts w:hint="eastAsia" w:ascii="宋体" w:hAnsi="宋体" w:cs="SSJ4+ZBNFQG-1"/>
          <w:color w:val="000000" w:themeColor="text1"/>
          <w14:textFill>
            <w14:solidFill>
              <w14:schemeClr w14:val="tx1"/>
            </w14:solidFill>
          </w14:textFill>
        </w:rPr>
        <w:t>在</w:t>
      </w:r>
      <w:r>
        <w:rPr>
          <w:rFonts w:hint="eastAsia" w:ascii="宋体" w:hAnsi="宋体" w:cs="E-BZ+ZBNFQH-6"/>
          <w:color w:val="000000" w:themeColor="text1"/>
          <w14:textFill>
            <w14:solidFill>
              <w14:schemeClr w14:val="tx1"/>
            </w14:solidFill>
          </w14:textFill>
        </w:rPr>
        <w:t>65%</w:t>
      </w:r>
      <w:r>
        <w:rPr>
          <w:rFonts w:hint="eastAsia" w:ascii="宋体" w:hAnsi="宋体" w:cs="FZSSK--GBK1-00+ZBNFQI-9"/>
          <w:color w:val="000000" w:themeColor="text1"/>
          <w14:textFill>
            <w14:solidFill>
              <w14:schemeClr w14:val="tx1"/>
            </w14:solidFill>
          </w14:textFill>
        </w:rPr>
        <w:t>左</w:t>
      </w:r>
      <w:r>
        <w:rPr>
          <w:rFonts w:hint="eastAsia" w:ascii="宋体" w:hAnsi="宋体" w:cs="FZSSK--GBK1-00+ZBNFQK-15"/>
          <w:color w:val="000000" w:themeColor="text1"/>
          <w14:textFill>
            <w14:solidFill>
              <w14:schemeClr w14:val="tx1"/>
            </w14:solidFill>
          </w14:textFill>
        </w:rPr>
        <w:t>右</w:t>
      </w:r>
      <w:r>
        <w:rPr>
          <w:rFonts w:hint="eastAsia" w:ascii="宋体" w:hAnsi="宋体" w:cs="SSJ0+ZBNFQG-4"/>
          <w:color w:val="000000" w:themeColor="text1"/>
          <w14:textFill>
            <w14:solidFill>
              <w14:schemeClr w14:val="tx1"/>
            </w14:solidFill>
          </w14:textFill>
        </w:rPr>
        <w:t>。</w:t>
      </w:r>
      <w:r>
        <w:rPr>
          <w:rFonts w:hint="eastAsia" w:ascii="宋体" w:hAnsi="宋体" w:cs="E-BZ+ZBNFQH-6"/>
          <w:color w:val="000000" w:themeColor="text1"/>
          <w14:textFill>
            <w14:solidFill>
              <w14:schemeClr w14:val="tx1"/>
            </w14:solidFill>
          </w14:textFill>
        </w:rPr>
        <w:t>1955</w:t>
      </w:r>
      <w:r>
        <w:rPr>
          <w:rFonts w:hint="eastAsia" w:ascii="宋体" w:hAnsi="宋体" w:cs="FZSSK--GBK1-00+ZBNFQH-5"/>
          <w:color w:val="000000" w:themeColor="text1"/>
          <w14:textFill>
            <w14:solidFill>
              <w14:schemeClr w14:val="tx1"/>
            </w14:solidFill>
          </w14:textFill>
        </w:rPr>
        <w:t>年</w:t>
      </w:r>
      <w:r>
        <w:rPr>
          <w:rFonts w:hint="eastAsia" w:ascii="宋体" w:hAnsi="宋体" w:cs="FZSSK--GBK1-00+ZBNFQI-10"/>
          <w:color w:val="000000" w:themeColor="text1"/>
          <w14:textFill>
            <w14:solidFill>
              <w14:schemeClr w14:val="tx1"/>
            </w14:solidFill>
          </w14:textFill>
        </w:rPr>
        <w:t>日</w:t>
      </w:r>
      <w:r>
        <w:rPr>
          <w:rFonts w:hint="eastAsia" w:ascii="宋体" w:hAnsi="宋体" w:cs="SSJ4+ZBNFQG-1"/>
          <w:color w:val="000000" w:themeColor="text1"/>
          <w14:textFill>
            <w14:solidFill>
              <w14:schemeClr w14:val="tx1"/>
            </w14:solidFill>
          </w14:textFill>
        </w:rPr>
        <w:t>本的</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J-12"/>
          <w:color w:val="000000" w:themeColor="text1"/>
          <w14:textFill>
            <w14:solidFill>
              <w14:schemeClr w14:val="tx1"/>
            </w14:solidFill>
          </w14:textFill>
        </w:rPr>
        <w:t>只</w:t>
      </w:r>
      <w:r>
        <w:rPr>
          <w:rFonts w:hint="eastAsia" w:ascii="宋体" w:hAnsi="宋体" w:cs="SSJ4+ZBNFQG-1"/>
          <w:color w:val="000000" w:themeColor="text1"/>
          <w14:textFill>
            <w14:solidFill>
              <w14:schemeClr w14:val="tx1"/>
            </w14:solidFill>
          </w14:textFill>
        </w:rPr>
        <w:t>有</w:t>
      </w:r>
      <w:r>
        <w:rPr>
          <w:rFonts w:hint="eastAsia" w:ascii="宋体" w:hAnsi="宋体" w:cs="E-BZ+ZBNFQH-6"/>
          <w:color w:val="000000" w:themeColor="text1"/>
          <w14:textFill>
            <w14:solidFill>
              <w14:schemeClr w14:val="tx1"/>
            </w14:solidFill>
          </w14:textFill>
        </w:rPr>
        <w:t>40%</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此</w:t>
      </w:r>
      <w:r>
        <w:rPr>
          <w:rFonts w:hint="eastAsia" w:ascii="宋体" w:hAnsi="宋体" w:cs="FZSSK--GBK1-00+ZBNFQH-7"/>
          <w:color w:val="000000" w:themeColor="text1"/>
          <w14:textFill>
            <w14:solidFill>
              <w14:schemeClr w14:val="tx1"/>
            </w14:solidFill>
          </w14:textFill>
        </w:rPr>
        <w:t>后</w:t>
      </w:r>
      <w:r>
        <w:rPr>
          <w:rFonts w:hint="eastAsia" w:ascii="宋体" w:hAnsi="宋体" w:cs="FZSSK--GBK1-00+ZBNFQH-5"/>
          <w:color w:val="000000" w:themeColor="text1"/>
          <w14:textFill>
            <w14:solidFill>
              <w14:schemeClr w14:val="tx1"/>
            </w14:solidFill>
          </w14:textFill>
        </w:rPr>
        <w:t>不断</w:t>
      </w:r>
      <w:r>
        <w:rPr>
          <w:rFonts w:hint="eastAsia" w:ascii="宋体" w:hAnsi="宋体" w:cs="FZSSK--GBK1-00+ZBNFQH-7"/>
          <w:color w:val="000000" w:themeColor="text1"/>
          <w14:textFill>
            <w14:solidFill>
              <w14:schemeClr w14:val="tx1"/>
            </w14:solidFill>
          </w14:textFill>
        </w:rPr>
        <w:t>上</w:t>
      </w:r>
      <w:r>
        <w:rPr>
          <w:rFonts w:hint="eastAsia" w:ascii="宋体" w:hAnsi="宋体" w:cs="FZSSK--GBK1-00+ZBNFQI-10"/>
          <w:color w:val="000000" w:themeColor="text1"/>
          <w14:textFill>
            <w14:solidFill>
              <w14:schemeClr w14:val="tx1"/>
            </w14:solidFill>
          </w14:textFill>
        </w:rPr>
        <w:t>升</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从上</w:t>
      </w:r>
      <w:r>
        <w:rPr>
          <w:rFonts w:hint="eastAsia" w:ascii="宋体" w:hAnsi="宋体" w:cs="SSJ4+ZBNFQG-1"/>
          <w:color w:val="000000" w:themeColor="text1"/>
          <w14:textFill>
            <w14:solidFill>
              <w14:schemeClr w14:val="tx1"/>
            </w14:solidFill>
          </w14:textFill>
        </w:rPr>
        <w:t>世</w:t>
      </w:r>
      <w:r>
        <w:rPr>
          <w:rFonts w:hint="eastAsia" w:ascii="宋体" w:hAnsi="宋体" w:cs="FZSSK--GBK1-00+ZBNFQH-7"/>
          <w:color w:val="000000" w:themeColor="text1"/>
          <w14:textFill>
            <w14:solidFill>
              <w14:schemeClr w14:val="tx1"/>
            </w14:solidFill>
          </w14:textFill>
        </w:rPr>
        <w:t>纪</w:t>
      </w:r>
      <w:r>
        <w:rPr>
          <w:rFonts w:hint="eastAsia" w:ascii="宋体" w:hAnsi="宋体" w:cs="E-BZ+ZBNFQH-6"/>
          <w:color w:val="000000" w:themeColor="text1"/>
          <w14:textFill>
            <w14:solidFill>
              <w14:schemeClr w14:val="tx1"/>
            </w14:solidFill>
          </w14:textFill>
        </w:rPr>
        <w:t>70</w:t>
      </w:r>
      <w:r>
        <w:rPr>
          <w:rFonts w:hint="eastAsia" w:ascii="宋体" w:hAnsi="宋体" w:cs="FZSSK--GBK1-00+ZBNFQH-5"/>
          <w:color w:val="000000" w:themeColor="text1"/>
          <w14:textFill>
            <w14:solidFill>
              <w14:schemeClr w14:val="tx1"/>
            </w14:solidFill>
          </w14:textFill>
        </w:rPr>
        <w:t>年代</w:t>
      </w:r>
      <w:r>
        <w:rPr>
          <w:rFonts w:hint="eastAsia" w:ascii="宋体" w:hAnsi="宋体" w:cs="SSJ4+ZBNFQG-1"/>
          <w:color w:val="000000" w:themeColor="text1"/>
          <w14:textFill>
            <w14:solidFill>
              <w14:schemeClr w14:val="tx1"/>
            </w14:solidFill>
          </w14:textFill>
        </w:rPr>
        <w:t>中期</w:t>
      </w:r>
      <w:r>
        <w:rPr>
          <w:rFonts w:hint="eastAsia" w:ascii="宋体" w:hAnsi="宋体" w:cs="FZSSK--GBK1-00+ZBNFQH-5"/>
          <w:color w:val="000000" w:themeColor="text1"/>
          <w14:textFill>
            <w14:solidFill>
              <w14:schemeClr w14:val="tx1"/>
            </w14:solidFill>
          </w14:textFill>
        </w:rPr>
        <w:t>到</w:t>
      </w:r>
      <w:r>
        <w:rPr>
          <w:rFonts w:hint="eastAsia" w:ascii="宋体" w:hAnsi="宋体" w:cs="E-BZ+ZBNFQH-6"/>
          <w:color w:val="000000" w:themeColor="text1"/>
          <w14:textFill>
            <w14:solidFill>
              <w14:schemeClr w14:val="tx1"/>
            </w14:solidFill>
          </w14:textFill>
        </w:rPr>
        <w:t>90</w:t>
      </w:r>
      <w:r>
        <w:rPr>
          <w:rFonts w:hint="eastAsia" w:ascii="宋体" w:hAnsi="宋体" w:cs="FZSSK--GBK1-00+ZBNFQH-5"/>
          <w:color w:val="000000" w:themeColor="text1"/>
          <w14:textFill>
            <w14:solidFill>
              <w14:schemeClr w14:val="tx1"/>
            </w14:solidFill>
          </w14:textFill>
        </w:rPr>
        <w:t>年代</w:t>
      </w:r>
      <w:r>
        <w:rPr>
          <w:rFonts w:hint="eastAsia" w:ascii="宋体" w:hAnsi="宋体" w:cs="FZSSK--GBK1-00+ZBNFQI-9"/>
          <w:color w:val="000000" w:themeColor="text1"/>
          <w14:textFill>
            <w14:solidFill>
              <w14:schemeClr w14:val="tx1"/>
            </w14:solidFill>
          </w14:textFill>
        </w:rPr>
        <w:t>末</w:t>
      </w:r>
      <w:r>
        <w:rPr>
          <w:rFonts w:hint="eastAsia" w:ascii="宋体" w:hAnsi="宋体" w:cs="SSJ4+ZBNFQG-1"/>
          <w:color w:val="000000" w:themeColor="text1"/>
          <w14:textFill>
            <w14:solidFill>
              <w14:schemeClr w14:val="tx1"/>
            </w14:solidFill>
          </w14:textFill>
        </w:rPr>
        <w:t>期</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7"/>
          <w:color w:val="000000" w:themeColor="text1"/>
          <w14:textFill>
            <w14:solidFill>
              <w14:schemeClr w14:val="tx1"/>
            </w14:solidFill>
          </w14:textFill>
        </w:rPr>
        <w:t>直</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I-10"/>
          <w:color w:val="000000" w:themeColor="text1"/>
          <w14:textFill>
            <w14:solidFill>
              <w14:schemeClr w14:val="tx1"/>
            </w14:solidFill>
          </w14:textFill>
        </w:rPr>
        <w:t>持</w:t>
      </w:r>
      <w:r>
        <w:rPr>
          <w:rFonts w:hint="eastAsia" w:ascii="宋体" w:hAnsi="宋体" w:cs="SSJ4+ZBNFQG-1"/>
          <w:color w:val="000000" w:themeColor="text1"/>
          <w14:textFill>
            <w14:solidFill>
              <w14:schemeClr w14:val="tx1"/>
            </w14:solidFill>
          </w14:textFill>
        </w:rPr>
        <w:t>在</w:t>
      </w:r>
      <w:r>
        <w:rPr>
          <w:rFonts w:hint="eastAsia" w:ascii="宋体" w:hAnsi="宋体" w:cs="E-BZ+ZBNFQH-6"/>
          <w:color w:val="000000" w:themeColor="text1"/>
          <w14:textFill>
            <w14:solidFill>
              <w14:schemeClr w14:val="tx1"/>
            </w14:solidFill>
          </w14:textFill>
        </w:rPr>
        <w:t>55%</w:t>
      </w:r>
      <w:r>
        <w:rPr>
          <w:rFonts w:hint="eastAsia" w:ascii="宋体" w:hAnsi="宋体" w:cs="SSJ0+ZBNFQG-4"/>
          <w:color w:val="000000" w:themeColor="text1"/>
          <w14:textFill>
            <w14:solidFill>
              <w14:schemeClr w14:val="tx1"/>
            </w14:solidFill>
          </w14:textFill>
        </w:rPr>
        <w:t>。</w:t>
      </w:r>
    </w:p>
    <w:p w14:paraId="3BECA83C">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和</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SSJ0+ZBNFQG-4"/>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日</w:t>
      </w:r>
      <w:r>
        <w:rPr>
          <w:rFonts w:hint="eastAsia" w:ascii="宋体" w:hAnsi="宋体" w:cs="SSJ4+ZBNFQG-1"/>
          <w:color w:val="000000" w:themeColor="text1"/>
          <w14:textFill>
            <w14:solidFill>
              <w14:schemeClr w14:val="tx1"/>
            </w14:solidFill>
          </w14:textFill>
        </w:rPr>
        <w:t>本</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英</w:t>
      </w:r>
      <w:r>
        <w:rPr>
          <w:rFonts w:hint="eastAsia" w:ascii="宋体" w:hAnsi="宋体" w:cs="SSJ4+ZBNFQG-1"/>
          <w:color w:val="000000" w:themeColor="text1"/>
          <w14:textFill>
            <w14:solidFill>
              <w14:schemeClr w14:val="tx1"/>
            </w14:solidFill>
          </w14:textFill>
        </w:rPr>
        <w:t>国</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资本主义国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H-5"/>
          <w:color w:val="000000" w:themeColor="text1"/>
          <w14:textFill>
            <w14:solidFill>
              <w14:schemeClr w14:val="tx1"/>
            </w14:solidFill>
          </w14:textFill>
        </w:rPr>
        <w:t>相</w:t>
      </w:r>
      <w:r>
        <w:rPr>
          <w:rFonts w:hint="eastAsia" w:ascii="宋体" w:hAnsi="宋体" w:cs="FZSSK--GBK1-00+ZBNFQI-9"/>
          <w:color w:val="000000" w:themeColor="text1"/>
          <w14:textFill>
            <w14:solidFill>
              <w14:schemeClr w14:val="tx1"/>
            </w14:solidFill>
          </w14:textFill>
        </w:rPr>
        <w:t>比</w:t>
      </w:r>
      <w:r>
        <w:rPr>
          <w:rFonts w:hint="eastAsia" w:ascii="宋体" w:hAnsi="宋体" w:cs="SSJ4+ZBNFQG-1"/>
          <w:color w:val="000000" w:themeColor="text1"/>
          <w14:textFill>
            <w14:solidFill>
              <w14:schemeClr w14:val="tx1"/>
            </w14:solidFill>
          </w14:textFill>
        </w:rPr>
        <w:t>，我国</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7"/>
          <w:color w:val="000000" w:themeColor="text1"/>
          <w14:textFill>
            <w14:solidFill>
              <w14:schemeClr w14:val="tx1"/>
            </w14:solidFill>
          </w14:textFill>
        </w:rPr>
        <w:t>上</w:t>
      </w:r>
      <w:r>
        <w:rPr>
          <w:rFonts w:hint="eastAsia" w:ascii="宋体" w:hAnsi="宋体" w:cs="FZSSK--GBK1-00+ZBNFQI-10"/>
          <w:color w:val="000000" w:themeColor="text1"/>
          <w14:textFill>
            <w14:solidFill>
              <w14:schemeClr w14:val="tx1"/>
            </w14:solidFill>
          </w14:textFill>
        </w:rPr>
        <w:t>升</w:t>
      </w: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有</w:t>
      </w:r>
      <w:r>
        <w:rPr>
          <w:rFonts w:hint="eastAsia" w:ascii="宋体" w:hAnsi="宋体" w:cs="FZSSK--GBK1-00+ZBNFQI-9"/>
          <w:color w:val="000000" w:themeColor="text1"/>
          <w14:textFill>
            <w14:solidFill>
              <w14:schemeClr w14:val="tx1"/>
            </w14:solidFill>
          </w14:textFill>
        </w:rPr>
        <w:t>很</w:t>
      </w:r>
      <w:r>
        <w:rPr>
          <w:rFonts w:hint="eastAsia" w:ascii="宋体" w:hAnsi="宋体" w:cs="SSJ4+ZBNFQG-1"/>
          <w:color w:val="000000" w:themeColor="text1"/>
          <w14:textFill>
            <w14:solidFill>
              <w14:schemeClr w14:val="tx1"/>
            </w14:solidFill>
          </w14:textFill>
        </w:rPr>
        <w:t>大</w:t>
      </w:r>
      <w:r>
        <w:rPr>
          <w:rFonts w:hint="eastAsia" w:ascii="宋体" w:hAnsi="宋体" w:cs="FZSSK--GBK1-00+ZBNFQH-8"/>
          <w:color w:val="000000" w:themeColor="text1"/>
          <w14:textFill>
            <w14:solidFill>
              <w14:schemeClr w14:val="tx1"/>
            </w14:solidFill>
          </w14:textFill>
        </w:rPr>
        <w:t>空</w:t>
      </w:r>
      <w:r>
        <w:rPr>
          <w:rFonts w:hint="eastAsia" w:ascii="宋体" w:hAnsi="宋体" w:cs="FZSSK--GBK1-00+ZBNFQH-5"/>
          <w:color w:val="000000" w:themeColor="text1"/>
          <w14:textFill>
            <w14:solidFill>
              <w14:schemeClr w14:val="tx1"/>
            </w14:solidFill>
          </w14:textFill>
        </w:rPr>
        <w:t>间</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如果</w:t>
      </w:r>
      <w:r>
        <w:rPr>
          <w:rFonts w:hint="eastAsia" w:ascii="宋体" w:hAnsi="宋体" w:cs="SSJ4+ZBNFQG-1"/>
          <w:color w:val="000000" w:themeColor="text1"/>
          <w14:textFill>
            <w14:solidFill>
              <w14:schemeClr w14:val="tx1"/>
            </w14:solidFill>
          </w14:textFill>
        </w:rPr>
        <w:t>中国的</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7"/>
          <w:color w:val="000000" w:themeColor="text1"/>
          <w14:textFill>
            <w14:solidFill>
              <w14:schemeClr w14:val="tx1"/>
            </w14:solidFill>
          </w14:textFill>
        </w:rPr>
        <w:t>能从目</w:t>
      </w:r>
      <w:r>
        <w:rPr>
          <w:rFonts w:hint="eastAsia" w:ascii="宋体" w:hAnsi="宋体" w:cs="SSJ4+ZBNFQG-1"/>
          <w:color w:val="000000" w:themeColor="text1"/>
          <w14:textFill>
            <w14:solidFill>
              <w14:schemeClr w14:val="tx1"/>
            </w14:solidFill>
          </w14:textFill>
        </w:rPr>
        <w:t>前的</w:t>
      </w:r>
      <w:r>
        <w:rPr>
          <w:rFonts w:hint="eastAsia" w:ascii="宋体" w:hAnsi="宋体" w:cs="E-BZ+ZBNFQH-6"/>
          <w:color w:val="000000" w:themeColor="text1"/>
          <w14:textFill>
            <w14:solidFill>
              <w14:schemeClr w14:val="tx1"/>
            </w14:solidFill>
          </w14:textFill>
        </w:rPr>
        <w:t>40%</w:t>
      </w:r>
      <w:r>
        <w:rPr>
          <w:rFonts w:hint="eastAsia" w:ascii="宋体" w:hAnsi="宋体" w:cs="FZSSK--GBK1-00+ZBNFQI-9"/>
          <w:color w:val="000000" w:themeColor="text1"/>
          <w14:textFill>
            <w14:solidFill>
              <w14:schemeClr w14:val="tx1"/>
            </w14:solidFill>
          </w14:textFill>
        </w:rPr>
        <w:t>左</w:t>
      </w:r>
      <w:r>
        <w:rPr>
          <w:rFonts w:hint="eastAsia" w:ascii="宋体" w:hAnsi="宋体" w:cs="FZSSK--GBK1-00+ZBNFQK-15"/>
          <w:color w:val="000000" w:themeColor="text1"/>
          <w14:textFill>
            <w14:solidFill>
              <w14:schemeClr w14:val="tx1"/>
            </w14:solidFill>
          </w14:textFill>
        </w:rPr>
        <w:t>右</w:t>
      </w:r>
      <w:r>
        <w:rPr>
          <w:rFonts w:hint="eastAsia" w:ascii="宋体" w:hAnsi="宋体" w:cs="FZSSK--GBK1-00+ZBNFQH-7"/>
          <w:color w:val="000000" w:themeColor="text1"/>
          <w14:textFill>
            <w14:solidFill>
              <w14:schemeClr w14:val="tx1"/>
            </w14:solidFill>
          </w14:textFill>
        </w:rPr>
        <w:t>上</w:t>
      </w:r>
      <w:r>
        <w:rPr>
          <w:rFonts w:hint="eastAsia" w:ascii="宋体" w:hAnsi="宋体" w:cs="FZSSK--GBK1-00+ZBNFQI-10"/>
          <w:color w:val="000000" w:themeColor="text1"/>
          <w14:textFill>
            <w14:solidFill>
              <w14:schemeClr w14:val="tx1"/>
            </w14:solidFill>
          </w14:textFill>
        </w:rPr>
        <w:t>升</w:t>
      </w:r>
      <w:r>
        <w:rPr>
          <w:rFonts w:hint="eastAsia" w:ascii="宋体" w:hAnsi="宋体" w:cs="FZSSK--GBK1-00+ZBNFQH-5"/>
          <w:color w:val="000000" w:themeColor="text1"/>
          <w14:textFill>
            <w14:solidFill>
              <w14:schemeClr w14:val="tx1"/>
            </w14:solidFill>
          </w14:textFill>
        </w:rPr>
        <w:t>到</w:t>
      </w:r>
      <w:r>
        <w:rPr>
          <w:rFonts w:hint="eastAsia" w:ascii="宋体" w:hAnsi="宋体" w:cs="E-BZ+ZBNFQH-6"/>
          <w:color w:val="000000" w:themeColor="text1"/>
          <w14:textFill>
            <w14:solidFill>
              <w14:schemeClr w14:val="tx1"/>
            </w14:solidFill>
          </w14:textFill>
        </w:rPr>
        <w:t>60%</w:t>
      </w:r>
      <w:r>
        <w:rPr>
          <w:rFonts w:hint="eastAsia" w:ascii="宋体" w:hAnsi="宋体" w:cs="SSJ4+ZBNFQG-1"/>
          <w:color w:val="000000" w:themeColor="text1"/>
          <w14:textFill>
            <w14:solidFill>
              <w14:schemeClr w14:val="tx1"/>
            </w14:solidFill>
          </w14:textFill>
        </w:rPr>
        <w:t>，</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10"/>
          <w:color w:val="000000" w:themeColor="text1"/>
          <w14:textFill>
            <w14:solidFill>
              <w14:schemeClr w14:val="tx1"/>
            </w14:solidFill>
          </w14:textFill>
        </w:rPr>
        <w:t>者</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入将会</w:t>
      </w:r>
      <w:r>
        <w:rPr>
          <w:rFonts w:hint="eastAsia" w:ascii="宋体" w:hAnsi="宋体" w:cs="SSJ4+ZBNFQG-1"/>
          <w:color w:val="000000" w:themeColor="text1"/>
          <w14:textFill>
            <w14:solidFill>
              <w14:schemeClr w14:val="tx1"/>
            </w14:solidFill>
          </w14:textFill>
        </w:rPr>
        <w:t>有</w:t>
      </w:r>
      <w:r>
        <w:rPr>
          <w:rFonts w:hint="eastAsia" w:ascii="宋体" w:hAnsi="宋体" w:cs="FZSSK--GBK1-00+ZBNFQI-9"/>
          <w:color w:val="000000" w:themeColor="text1"/>
          <w14:textFill>
            <w14:solidFill>
              <w14:schemeClr w14:val="tx1"/>
            </w14:solidFill>
          </w14:textFill>
        </w:rPr>
        <w:t>很</w:t>
      </w:r>
      <w:r>
        <w:rPr>
          <w:rFonts w:hint="eastAsia" w:ascii="宋体" w:hAnsi="宋体" w:cs="SSJ4+ZBNFQG-1"/>
          <w:color w:val="000000" w:themeColor="text1"/>
          <w14:textFill>
            <w14:solidFill>
              <w14:schemeClr w14:val="tx1"/>
            </w14:solidFill>
          </w14:textFill>
        </w:rPr>
        <w:t>大的</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对中国</w:t>
      </w:r>
      <w:r>
        <w:rPr>
          <w:rFonts w:hint="eastAsia" w:ascii="宋体" w:hAnsi="宋体" w:cs="FZSSK--GBK1-00+ZBNFQH-8"/>
          <w:color w:val="000000" w:themeColor="text1"/>
          <w14:textFill>
            <w14:solidFill>
              <w14:schemeClr w14:val="tx1"/>
            </w14:solidFill>
          </w14:textFill>
        </w:rPr>
        <w:t>未</w:t>
      </w:r>
      <w:r>
        <w:rPr>
          <w:rFonts w:hint="eastAsia" w:ascii="宋体" w:hAnsi="宋体" w:cs="SSJ4+ZBNFQG-1"/>
          <w:color w:val="000000" w:themeColor="text1"/>
          <w14:textFill>
            <w14:solidFill>
              <w14:schemeClr w14:val="tx1"/>
            </w14:solidFill>
          </w14:textFill>
        </w:rPr>
        <w:t>来的经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H-5"/>
          <w:color w:val="000000" w:themeColor="text1"/>
          <w14:textFill>
            <w14:solidFill>
              <w14:schemeClr w14:val="tx1"/>
            </w14:solidFill>
          </w14:textFill>
        </w:rPr>
        <w:t>将</w:t>
      </w:r>
      <w:r>
        <w:rPr>
          <w:rFonts w:hint="eastAsia" w:ascii="宋体" w:hAnsi="宋体" w:cs="SSJ4+ZBNFQG-1"/>
          <w:color w:val="000000" w:themeColor="text1"/>
          <w14:textFill>
            <w14:solidFill>
              <w14:schemeClr w14:val="tx1"/>
            </w14:solidFill>
          </w14:textFill>
        </w:rPr>
        <w:t>有</w:t>
      </w:r>
      <w:r>
        <w:rPr>
          <w:rFonts w:hint="eastAsia" w:ascii="宋体" w:hAnsi="宋体" w:cs="FZSSK--GBK1-00+ZBNFQI-9"/>
          <w:color w:val="000000" w:themeColor="text1"/>
          <w14:textFill>
            <w14:solidFill>
              <w14:schemeClr w14:val="tx1"/>
            </w14:solidFill>
          </w14:textFill>
        </w:rPr>
        <w:t>很</w:t>
      </w:r>
      <w:r>
        <w:rPr>
          <w:rFonts w:hint="eastAsia" w:ascii="宋体" w:hAnsi="宋体" w:cs="SSJ4+ZBNFQG-1"/>
          <w:color w:val="000000" w:themeColor="text1"/>
          <w14:textFill>
            <w14:solidFill>
              <w14:schemeClr w14:val="tx1"/>
            </w14:solidFill>
          </w14:textFill>
        </w:rPr>
        <w:t>大的</w:t>
      </w:r>
      <w:r>
        <w:rPr>
          <w:rFonts w:hint="eastAsia" w:ascii="宋体" w:hAnsi="宋体" w:cs="FZSSK--GBK1-00+ZBNFQH-7"/>
          <w:color w:val="000000" w:themeColor="text1"/>
          <w14:textFill>
            <w14:solidFill>
              <w14:schemeClr w14:val="tx1"/>
            </w14:solidFill>
          </w14:textFill>
        </w:rPr>
        <w:t>带</w:t>
      </w:r>
      <w:r>
        <w:rPr>
          <w:rFonts w:hint="eastAsia" w:ascii="宋体" w:hAnsi="宋体" w:cs="FZSSK--GBK1-00+ZBNFQH-5"/>
          <w:color w:val="000000" w:themeColor="text1"/>
          <w14:textFill>
            <w14:solidFill>
              <w14:schemeClr w14:val="tx1"/>
            </w14:solidFill>
          </w14:textFill>
        </w:rPr>
        <w:t>动</w:t>
      </w:r>
      <w:r>
        <w:rPr>
          <w:rFonts w:hint="eastAsia" w:ascii="宋体" w:hAnsi="宋体" w:cs="SSJ4+ZBNFQG-1"/>
          <w:color w:val="000000" w:themeColor="text1"/>
          <w14:textFill>
            <w14:solidFill>
              <w14:schemeClr w14:val="tx1"/>
            </w14:solidFill>
          </w14:textFill>
        </w:rPr>
        <w:t>作</w:t>
      </w:r>
      <w:r>
        <w:rPr>
          <w:rFonts w:hint="eastAsia" w:ascii="宋体" w:hAnsi="宋体" w:cs="FZSSK--GBK1-00+ZBNFQH-8"/>
          <w:color w:val="000000" w:themeColor="text1"/>
          <w14:textFill>
            <w14:solidFill>
              <w14:schemeClr w14:val="tx1"/>
            </w14:solidFill>
          </w14:textFill>
        </w:rPr>
        <w:t>用</w:t>
      </w:r>
      <w:r>
        <w:rPr>
          <w:rFonts w:hint="eastAsia" w:ascii="宋体" w:hAnsi="宋体" w:cs="SSJ0+ZBNFQG-4"/>
          <w:color w:val="000000" w:themeColor="text1"/>
          <w14:textFill>
            <w14:solidFill>
              <w14:schemeClr w14:val="tx1"/>
            </w14:solidFill>
          </w14:textFill>
        </w:rPr>
        <w:t>。</w:t>
      </w:r>
    </w:p>
    <w:p w14:paraId="0E352CB0">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我国</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H-7"/>
          <w:color w:val="000000" w:themeColor="text1"/>
          <w14:textFill>
            <w14:solidFill>
              <w14:schemeClr w14:val="tx1"/>
            </w14:solidFill>
          </w14:textFill>
        </w:rPr>
        <w:t>与</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P-23"/>
          <w:color w:val="000000" w:themeColor="text1"/>
          <w14:textFill>
            <w14:solidFill>
              <w14:schemeClr w14:val="tx1"/>
            </w14:solidFill>
          </w14:textFill>
        </w:rPr>
        <w:t>附</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I-10"/>
          <w:color w:val="000000" w:themeColor="text1"/>
          <w14:textFill>
            <w14:solidFill>
              <w14:schemeClr w14:val="tx1"/>
            </w14:solidFill>
          </w14:textFill>
        </w:rPr>
        <w:t>值</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J-12"/>
          <w:color w:val="000000" w:themeColor="text1"/>
          <w14:textFill>
            <w14:solidFill>
              <w14:schemeClr w14:val="tx1"/>
            </w14:solidFill>
          </w14:textFill>
        </w:rPr>
        <w:t>业</w:t>
      </w:r>
      <w:r>
        <w:rPr>
          <w:rFonts w:hint="eastAsia" w:ascii="宋体" w:hAnsi="宋体" w:cs="SSJ4+ZBNFQG-1"/>
          <w:color w:val="000000" w:themeColor="text1"/>
          <w14:textFill>
            <w14:solidFill>
              <w14:schemeClr w14:val="tx1"/>
            </w14:solidFill>
          </w14:textFill>
        </w:rPr>
        <w:t>发展</w:t>
      </w:r>
      <w:r>
        <w:rPr>
          <w:rFonts w:hint="eastAsia" w:ascii="宋体" w:hAnsi="宋体" w:cs="FZSSK--GBK1-00+ZBNFQH-5"/>
          <w:color w:val="000000" w:themeColor="text1"/>
          <w14:textFill>
            <w14:solidFill>
              <w14:schemeClr w14:val="tx1"/>
            </w14:solidFill>
          </w14:textFill>
        </w:rPr>
        <w:t>不无</w:t>
      </w:r>
      <w:r>
        <w:rPr>
          <w:rFonts w:hint="eastAsia" w:ascii="宋体" w:hAnsi="宋体" w:cs="FZSSK--GBK1-00+ZBNFQI-10"/>
          <w:color w:val="000000" w:themeColor="text1"/>
          <w14:textFill>
            <w14:solidFill>
              <w14:schemeClr w14:val="tx1"/>
            </w14:solidFill>
          </w14:textFill>
        </w:rPr>
        <w:t>关</w:t>
      </w:r>
      <w:r>
        <w:rPr>
          <w:rFonts w:hint="eastAsia" w:ascii="宋体" w:hAnsi="宋体" w:cs="FZSSK--GBK1-00+ZBNFQL-16"/>
          <w:color w:val="000000" w:themeColor="text1"/>
          <w14:textFill>
            <w14:solidFill>
              <w14:schemeClr w14:val="tx1"/>
            </w14:solidFill>
          </w14:textFill>
        </w:rPr>
        <w:t>系</w:t>
      </w:r>
      <w:r>
        <w:rPr>
          <w:rFonts w:hint="eastAsia" w:ascii="宋体" w:hAnsi="宋体" w:cs="SSJ4+ZBNFQG-1"/>
          <w:color w:val="000000" w:themeColor="text1"/>
          <w14:textFill>
            <w14:solidFill>
              <w14:schemeClr w14:val="tx1"/>
            </w14:solidFill>
          </w14:textFill>
        </w:rPr>
        <w:t>，而之所以</w:t>
      </w:r>
      <w:r>
        <w:rPr>
          <w:rFonts w:hint="eastAsia" w:ascii="宋体" w:hAnsi="宋体" w:cs="FZSSK--GBK1-00+ZBNFQH-5"/>
          <w:color w:val="000000" w:themeColor="text1"/>
          <w14:textFill>
            <w14:solidFill>
              <w14:schemeClr w14:val="tx1"/>
            </w14:solidFill>
          </w14:textFill>
        </w:rPr>
        <w:t>会</w:t>
      </w:r>
      <w:r>
        <w:rPr>
          <w:rFonts w:hint="eastAsia" w:ascii="宋体" w:hAnsi="宋体" w:cs="FZSSK--GBK1-00+ZBNFQH-8"/>
          <w:color w:val="000000" w:themeColor="text1"/>
          <w14:textFill>
            <w14:solidFill>
              <w14:schemeClr w14:val="tx1"/>
            </w14:solidFill>
          </w14:textFill>
        </w:rPr>
        <w:t>陷</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P-23"/>
          <w:color w:val="000000" w:themeColor="text1"/>
          <w14:textFill>
            <w14:solidFill>
              <w14:schemeClr w14:val="tx1"/>
            </w14:solidFill>
          </w14:textFill>
        </w:rPr>
        <w:t>附</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I-10"/>
          <w:color w:val="000000" w:themeColor="text1"/>
          <w14:textFill>
            <w14:solidFill>
              <w14:schemeClr w14:val="tx1"/>
            </w14:solidFill>
          </w14:textFill>
        </w:rPr>
        <w:t>值</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J-12"/>
          <w:color w:val="000000" w:themeColor="text1"/>
          <w14:textFill>
            <w14:solidFill>
              <w14:schemeClr w14:val="tx1"/>
            </w14:solidFill>
          </w14:textFill>
        </w:rPr>
        <w:t>业</w:t>
      </w:r>
      <w:r>
        <w:rPr>
          <w:rFonts w:hint="eastAsia" w:ascii="宋体" w:hAnsi="宋体" w:cs="SSJ4+ZBNFQG-1"/>
          <w:color w:val="000000" w:themeColor="text1"/>
          <w14:textFill>
            <w14:solidFill>
              <w14:schemeClr w14:val="tx1"/>
            </w14:solidFill>
          </w14:textFill>
        </w:rPr>
        <w:t>发展</w:t>
      </w:r>
      <w:r>
        <w:rPr>
          <w:rFonts w:hint="eastAsia" w:ascii="宋体" w:hAnsi="宋体" w:cs="FZSSK--GBK1-00+ZBNFQI-9"/>
          <w:color w:val="000000" w:themeColor="text1"/>
          <w14:textFill>
            <w14:solidFill>
              <w14:schemeClr w14:val="tx1"/>
            </w14:solidFill>
          </w14:textFill>
        </w:rPr>
        <w:t>模</w:t>
      </w:r>
      <w:r>
        <w:rPr>
          <w:rFonts w:hint="eastAsia" w:ascii="宋体" w:hAnsi="宋体" w:cs="FZSSK--GBK1-00+ZBNFQI-10"/>
          <w:color w:val="000000" w:themeColor="text1"/>
          <w14:textFill>
            <w14:solidFill>
              <w14:schemeClr w14:val="tx1"/>
            </w14:solidFill>
          </w14:textFill>
        </w:rPr>
        <w:t>式</w:t>
      </w:r>
      <w:r>
        <w:rPr>
          <w:rFonts w:hint="eastAsia" w:ascii="宋体" w:hAnsi="宋体" w:cs="FZSSK--GBK1-00+ZBNFQH-5"/>
          <w:color w:val="000000" w:themeColor="text1"/>
          <w14:textFill>
            <w14:solidFill>
              <w14:schemeClr w14:val="tx1"/>
            </w14:solidFill>
          </w14:textFill>
        </w:rPr>
        <w:t>无</w:t>
      </w:r>
      <w:r>
        <w:rPr>
          <w:rFonts w:hint="eastAsia" w:ascii="宋体" w:hAnsi="宋体" w:cs="SSJ4+ZBNFQG-1"/>
          <w:color w:val="000000" w:themeColor="text1"/>
          <w14:textFill>
            <w14:solidFill>
              <w14:schemeClr w14:val="tx1"/>
            </w14:solidFill>
          </w14:textFill>
        </w:rPr>
        <w:t>法</w:t>
      </w:r>
      <w:r>
        <w:rPr>
          <w:rFonts w:hint="eastAsia" w:ascii="宋体" w:hAnsi="宋体" w:cs="FZSSK--GBK1-00+ZBNFQH-7"/>
          <w:color w:val="000000" w:themeColor="text1"/>
          <w14:textFill>
            <w14:solidFill>
              <w14:schemeClr w14:val="tx1"/>
            </w14:solidFill>
          </w14:textFill>
        </w:rPr>
        <w:t>跳</w:t>
      </w:r>
      <w:r>
        <w:rPr>
          <w:rFonts w:hint="eastAsia" w:ascii="宋体" w:hAnsi="宋体" w:cs="SSJ4+ZBNFQG-1"/>
          <w:color w:val="000000" w:themeColor="text1"/>
          <w14:textFill>
            <w14:solidFill>
              <w14:schemeClr w14:val="tx1"/>
            </w14:solidFill>
          </w14:textFill>
        </w:rPr>
        <w:t>出，主要在于我国的</w:t>
      </w:r>
      <w:r>
        <w:rPr>
          <w:rFonts w:hint="eastAsia" w:ascii="宋体" w:hAnsi="宋体" w:cs="FZSSK--GBK1-00+ZBNFQH-7"/>
          <w:color w:val="000000" w:themeColor="text1"/>
          <w14:textFill>
            <w14:solidFill>
              <w14:schemeClr w14:val="tx1"/>
            </w14:solidFill>
          </w14:textFill>
        </w:rPr>
        <w:t>最</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策</w:t>
      </w:r>
      <w:r>
        <w:rPr>
          <w:rFonts w:hint="eastAsia" w:ascii="宋体" w:hAnsi="宋体" w:cs="FZSSK--GBK1-00+ZBNFQH-5"/>
          <w:color w:val="000000" w:themeColor="text1"/>
          <w14:textFill>
            <w14:solidFill>
              <w14:schemeClr w14:val="tx1"/>
            </w14:solidFill>
          </w14:textFill>
        </w:rPr>
        <w:t>没</w:t>
      </w:r>
      <w:r>
        <w:rPr>
          <w:rFonts w:hint="eastAsia" w:ascii="宋体" w:hAnsi="宋体" w:cs="SSJ4+ZBNFQG-1"/>
          <w:color w:val="000000" w:themeColor="text1"/>
          <w14:textFill>
            <w14:solidFill>
              <w14:schemeClr w14:val="tx1"/>
            </w14:solidFill>
          </w14:textFill>
        </w:rPr>
        <w:t>有</w:t>
      </w:r>
      <w:r>
        <w:rPr>
          <w:rFonts w:hint="eastAsia" w:ascii="宋体" w:hAnsi="宋体" w:cs="FZSSK--GBK1-00+ZBNFQH-8"/>
          <w:color w:val="000000" w:themeColor="text1"/>
          <w14:textFill>
            <w14:solidFill>
              <w14:schemeClr w14:val="tx1"/>
            </w14:solidFill>
          </w14:textFill>
        </w:rPr>
        <w:t>得</w:t>
      </w:r>
      <w:r>
        <w:rPr>
          <w:rFonts w:hint="eastAsia" w:ascii="宋体" w:hAnsi="宋体" w:cs="FZSSK--GBK1-00+ZBNFQH-5"/>
          <w:color w:val="000000" w:themeColor="text1"/>
          <w14:textFill>
            <w14:solidFill>
              <w14:schemeClr w14:val="tx1"/>
            </w14:solidFill>
          </w14:textFill>
        </w:rPr>
        <w:t>到</w:t>
      </w:r>
      <w:r>
        <w:rPr>
          <w:rFonts w:hint="eastAsia" w:ascii="宋体" w:hAnsi="宋体" w:cs="FZSSK--GBK1-00+ZBNFQJ-13"/>
          <w:color w:val="000000" w:themeColor="text1"/>
          <w14:textFill>
            <w14:solidFill>
              <w14:schemeClr w14:val="tx1"/>
            </w14:solidFill>
          </w14:textFill>
        </w:rPr>
        <w:t>严</w:t>
      </w:r>
      <w:r>
        <w:rPr>
          <w:rFonts w:hint="eastAsia" w:ascii="宋体" w:hAnsi="宋体" w:cs="FZSSK--GBK1-00+ZBNFQH-7"/>
          <w:color w:val="000000" w:themeColor="text1"/>
          <w14:textFill>
            <w14:solidFill>
              <w14:schemeClr w14:val="tx1"/>
            </w14:solidFill>
          </w14:textFill>
        </w:rPr>
        <w:t>格</w:t>
      </w:r>
      <w:r>
        <w:rPr>
          <w:rFonts w:hint="eastAsia" w:ascii="宋体" w:hAnsi="宋体" w:cs="FZSSK--GBK1-00+ZBNFQT-26"/>
          <w:color w:val="000000" w:themeColor="text1"/>
          <w14:textFill>
            <w14:solidFill>
              <w14:schemeClr w14:val="tx1"/>
            </w14:solidFill>
          </w14:textFill>
        </w:rPr>
        <w:t>执</w:t>
      </w:r>
      <w:r>
        <w:rPr>
          <w:rFonts w:hint="eastAsia" w:ascii="宋体" w:hAnsi="宋体" w:cs="FZSSK--GBK1-00+ZBNFQI-10"/>
          <w:color w:val="000000" w:themeColor="text1"/>
          <w14:textFill>
            <w14:solidFill>
              <w14:schemeClr w14:val="tx1"/>
            </w14:solidFill>
          </w14:textFill>
        </w:rPr>
        <w:t>行</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落</w:t>
      </w:r>
      <w:r>
        <w:rPr>
          <w:rFonts w:hint="eastAsia" w:ascii="宋体" w:hAnsi="宋体" w:cs="FZSSK--GBK1-00+ZBNFQH-7"/>
          <w:color w:val="000000" w:themeColor="text1"/>
          <w14:textFill>
            <w14:solidFill>
              <w14:schemeClr w14:val="tx1"/>
            </w14:solidFill>
          </w14:textFill>
        </w:rPr>
        <w:t>后</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O-22"/>
          <w:color w:val="000000" w:themeColor="text1"/>
          <w14:textFill>
            <w14:solidFill>
              <w14:schemeClr w14:val="tx1"/>
            </w14:solidFill>
          </w14:textFill>
        </w:rPr>
        <w:t>淘汰</w:t>
      </w:r>
      <w:r>
        <w:rPr>
          <w:rFonts w:hint="eastAsia" w:ascii="宋体" w:hAnsi="宋体" w:cs="SSJ4+ZBNFQG-1"/>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H-5"/>
          <w:color w:val="000000" w:themeColor="text1"/>
          <w14:textFill>
            <w14:solidFill>
              <w14:schemeClr w14:val="tx1"/>
            </w14:solidFill>
          </w14:textFill>
        </w:rPr>
        <w:t>没</w:t>
      </w:r>
      <w:r>
        <w:rPr>
          <w:rFonts w:hint="eastAsia" w:ascii="宋体" w:hAnsi="宋体" w:cs="SSJ4+ZBNFQG-1"/>
          <w:color w:val="000000" w:themeColor="text1"/>
          <w14:textFill>
            <w14:solidFill>
              <w14:schemeClr w14:val="tx1"/>
            </w14:solidFill>
          </w14:textFill>
        </w:rPr>
        <w:t>有</w:t>
      </w:r>
      <w:r>
        <w:rPr>
          <w:rFonts w:hint="eastAsia" w:ascii="宋体" w:hAnsi="宋体" w:cs="FZSSK--GBK1-00+ZBNFQJ-12"/>
          <w:color w:val="000000" w:themeColor="text1"/>
          <w14:textFill>
            <w14:solidFill>
              <w14:schemeClr w14:val="tx1"/>
            </w14:solidFill>
          </w14:textFill>
        </w:rPr>
        <w:t>技术</w:t>
      </w:r>
      <w:r>
        <w:rPr>
          <w:rFonts w:hint="eastAsia" w:ascii="宋体" w:hAnsi="宋体" w:cs="FZSSK--GBK1-00+ZBNFQI-10"/>
          <w:color w:val="000000" w:themeColor="text1"/>
          <w14:textFill>
            <w14:solidFill>
              <w14:schemeClr w14:val="tx1"/>
            </w14:solidFill>
          </w14:textFill>
        </w:rPr>
        <w:t>升</w:t>
      </w:r>
      <w:r>
        <w:rPr>
          <w:rFonts w:hint="eastAsia" w:ascii="宋体" w:hAnsi="宋体" w:cs="FZSSK--GBK1-00+ZBNFQH-7"/>
          <w:color w:val="000000" w:themeColor="text1"/>
          <w14:textFill>
            <w14:solidFill>
              <w14:schemeClr w14:val="tx1"/>
            </w14:solidFill>
          </w14:textFill>
        </w:rPr>
        <w:t>级</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7"/>
          <w:color w:val="000000" w:themeColor="text1"/>
          <w14:textFill>
            <w14:solidFill>
              <w14:schemeClr w14:val="tx1"/>
            </w14:solidFill>
          </w14:textFill>
        </w:rPr>
        <w:t>力</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马</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I-10"/>
          <w:color w:val="000000" w:themeColor="text1"/>
          <w14:textFill>
            <w14:solidFill>
              <w14:schemeClr w14:val="tx1"/>
            </w14:solidFill>
          </w14:textFill>
        </w:rPr>
        <w:t>思曾</w:t>
      </w:r>
      <w:r>
        <w:rPr>
          <w:rFonts w:hint="eastAsia" w:ascii="宋体" w:hAnsi="宋体" w:cs="SSJ4+ZBNFQG-1"/>
          <w:color w:val="000000" w:themeColor="text1"/>
          <w14:textFill>
            <w14:solidFill>
              <w14:schemeClr w14:val="tx1"/>
            </w14:solidFill>
          </w14:textFill>
        </w:rPr>
        <w:t>经指出，由于</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L-16"/>
          <w:color w:val="000000" w:themeColor="text1"/>
          <w14:textFill>
            <w14:solidFill>
              <w14:schemeClr w14:val="tx1"/>
            </w14:solidFill>
          </w14:textFill>
        </w:rPr>
        <w:t>太</w:t>
      </w:r>
      <w:r>
        <w:rPr>
          <w:rFonts w:hint="eastAsia" w:ascii="宋体" w:hAnsi="宋体" w:cs="FZSSK--GBK1-00+ZBNFQI-9"/>
          <w:color w:val="000000" w:themeColor="text1"/>
          <w14:textFill>
            <w14:solidFill>
              <w14:schemeClr w14:val="tx1"/>
            </w14:solidFill>
          </w14:textFill>
        </w:rPr>
        <w:t>低</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H-8"/>
          <w:color w:val="000000" w:themeColor="text1"/>
          <w14:textFill>
            <w14:solidFill>
              <w14:schemeClr w14:val="tx1"/>
            </w14:solidFill>
          </w14:textFill>
        </w:rPr>
        <w:t>用</w:t>
      </w:r>
      <w:r>
        <w:rPr>
          <w:rFonts w:hint="eastAsia" w:ascii="宋体" w:hAnsi="宋体" w:cs="SSJ4+ZBNFQG-1"/>
          <w:color w:val="000000" w:themeColor="text1"/>
          <w14:textFill>
            <w14:solidFill>
              <w14:schemeClr w14:val="tx1"/>
            </w14:solidFill>
          </w14:textFill>
        </w:rPr>
        <w:t>机</w:t>
      </w:r>
      <w:r>
        <w:rPr>
          <w:rFonts w:hint="eastAsia" w:ascii="宋体" w:hAnsi="宋体" w:cs="FZSSK--GBK1-00+ZBNFQJ-12"/>
          <w:color w:val="000000" w:themeColor="text1"/>
          <w14:textFill>
            <w14:solidFill>
              <w14:schemeClr w14:val="tx1"/>
            </w14:solidFill>
          </w14:textFill>
        </w:rPr>
        <w:t>器</w:t>
      </w:r>
      <w:r>
        <w:rPr>
          <w:rFonts w:hint="eastAsia" w:ascii="宋体" w:hAnsi="宋体" w:cs="FZSSK--GBK1-00+ZBNFQI-9"/>
          <w:color w:val="000000" w:themeColor="text1"/>
          <w14:textFill>
            <w14:solidFill>
              <w14:schemeClr w14:val="tx1"/>
            </w14:solidFill>
          </w14:textFill>
        </w:rPr>
        <w:t>反</w:t>
      </w:r>
      <w:r>
        <w:rPr>
          <w:rFonts w:hint="eastAsia" w:ascii="宋体" w:hAnsi="宋体" w:cs="SSJ4+ZBNFQG-1"/>
          <w:color w:val="000000" w:themeColor="text1"/>
          <w14:textFill>
            <w14:solidFill>
              <w14:schemeClr w14:val="tx1"/>
            </w14:solidFill>
          </w14:textFill>
        </w:rPr>
        <w:t>而</w:t>
      </w:r>
      <w:r>
        <w:rPr>
          <w:rFonts w:hint="eastAsia" w:ascii="宋体" w:hAnsi="宋体" w:cs="FZSSK--GBK1-00+ZBNFQH-5"/>
          <w:color w:val="000000" w:themeColor="text1"/>
          <w14:textFill>
            <w14:solidFill>
              <w14:schemeClr w14:val="tx1"/>
            </w14:solidFill>
          </w14:textFill>
        </w:rPr>
        <w:t>会</w:t>
      </w:r>
      <w:r>
        <w:rPr>
          <w:rFonts w:hint="eastAsia" w:ascii="宋体" w:hAnsi="宋体" w:cs="FZSSK--GBK1-00+ZBNFQI-10"/>
          <w:color w:val="000000" w:themeColor="text1"/>
          <w14:textFill>
            <w14:solidFill>
              <w14:schemeClr w14:val="tx1"/>
            </w14:solidFill>
          </w14:textFill>
        </w:rPr>
        <w:t>使</w:t>
      </w:r>
      <w:r>
        <w:rPr>
          <w:rFonts w:hint="eastAsia" w:ascii="宋体" w:hAnsi="宋体" w:cs="SSJ4+ZBNFQG-1"/>
          <w:color w:val="000000" w:themeColor="text1"/>
          <w14:textFill>
            <w14:solidFill>
              <w14:schemeClr w14:val="tx1"/>
            </w14:solidFill>
          </w14:textFill>
        </w:rPr>
        <w:t>生</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变</w:t>
      </w:r>
      <w:r>
        <w:rPr>
          <w:rFonts w:hint="eastAsia" w:ascii="宋体" w:hAnsi="宋体" w:cs="FZSSK--GBK1-00+ZBNFQT-26"/>
          <w:color w:val="000000" w:themeColor="text1"/>
          <w14:textFill>
            <w14:solidFill>
              <w14:schemeClr w14:val="tx1"/>
            </w14:solidFill>
          </w14:textFill>
        </w:rPr>
        <w:t>贵</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因</w:t>
      </w:r>
      <w:r>
        <w:rPr>
          <w:rFonts w:hint="eastAsia" w:ascii="宋体" w:hAnsi="宋体" w:cs="SSJ4+ZBNFQG-1"/>
          <w:color w:val="000000" w:themeColor="text1"/>
          <w14:textFill>
            <w14:solidFill>
              <w14:schemeClr w14:val="tx1"/>
            </w14:solidFill>
          </w14:textFill>
        </w:rPr>
        <w:t>而</w:t>
      </w:r>
      <w:r>
        <w:rPr>
          <w:rFonts w:hint="eastAsia" w:ascii="宋体" w:hAnsi="宋体" w:cs="FZSSK--GBK1-00+ZBNFQI-9"/>
          <w:color w:val="000000" w:themeColor="text1"/>
          <w14:textFill>
            <w14:solidFill>
              <w14:schemeClr w14:val="tx1"/>
            </w14:solidFill>
          </w14:textFill>
        </w:rPr>
        <w:t>英</w:t>
      </w:r>
      <w:r>
        <w:rPr>
          <w:rFonts w:hint="eastAsia" w:ascii="宋体" w:hAnsi="宋体" w:cs="SSJ4+ZBNFQG-1"/>
          <w:color w:val="000000" w:themeColor="text1"/>
          <w14:textFill>
            <w14:solidFill>
              <w14:schemeClr w14:val="tx1"/>
            </w14:solidFill>
          </w14:textFill>
        </w:rPr>
        <w:t>国发明的机</w:t>
      </w:r>
      <w:r>
        <w:rPr>
          <w:rFonts w:hint="eastAsia" w:ascii="宋体" w:hAnsi="宋体" w:cs="FZSSK--GBK1-00+ZBNFQJ-12"/>
          <w:color w:val="000000" w:themeColor="text1"/>
          <w14:textFill>
            <w14:solidFill>
              <w14:schemeClr w14:val="tx1"/>
            </w14:solidFill>
          </w14:textFill>
        </w:rPr>
        <w:t>器</w:t>
      </w:r>
      <w:r>
        <w:rPr>
          <w:rFonts w:hint="eastAsia" w:ascii="宋体" w:hAnsi="宋体" w:cs="FZSSK--GBK1-00+ZBNFQI-10"/>
          <w:color w:val="000000" w:themeColor="text1"/>
          <w14:textFill>
            <w14:solidFill>
              <w14:schemeClr w14:val="tx1"/>
            </w14:solidFill>
          </w14:textFill>
        </w:rPr>
        <w:t>曾</w:t>
      </w:r>
      <w:r>
        <w:rPr>
          <w:rFonts w:hint="eastAsia" w:ascii="宋体" w:hAnsi="宋体" w:cs="SSJ4+ZBNFQG-1"/>
          <w:color w:val="000000" w:themeColor="text1"/>
          <w14:textFill>
            <w14:solidFill>
              <w14:schemeClr w14:val="tx1"/>
            </w14:solidFill>
          </w14:textFill>
        </w:rPr>
        <w:t>经</w:t>
      </w:r>
      <w:r>
        <w:rPr>
          <w:rFonts w:hint="eastAsia" w:ascii="宋体" w:hAnsi="宋体" w:cs="FZSSK--GBK1-00+ZBNFQJ-12"/>
          <w:color w:val="000000" w:themeColor="text1"/>
          <w14:textFill>
            <w14:solidFill>
              <w14:schemeClr w14:val="tx1"/>
            </w14:solidFill>
          </w14:textFill>
        </w:rPr>
        <w:t>只</w:t>
      </w:r>
      <w:r>
        <w:rPr>
          <w:rFonts w:hint="eastAsia" w:ascii="宋体" w:hAnsi="宋体" w:cs="FZSSK--GBK1-00+ZBNFQH-7"/>
          <w:color w:val="000000" w:themeColor="text1"/>
          <w14:textFill>
            <w14:solidFill>
              <w14:schemeClr w14:val="tx1"/>
            </w14:solidFill>
          </w14:textFill>
        </w:rPr>
        <w:t>能</w:t>
      </w:r>
      <w:r>
        <w:rPr>
          <w:rFonts w:hint="eastAsia" w:ascii="宋体" w:hAnsi="宋体" w:cs="SSJ4+ZBNFQG-1"/>
          <w:color w:val="000000" w:themeColor="text1"/>
          <w14:textFill>
            <w14:solidFill>
              <w14:schemeClr w14:val="tx1"/>
            </w14:solidFill>
          </w14:textFill>
        </w:rPr>
        <w:t>在</w:t>
      </w:r>
      <w:r>
        <w:rPr>
          <w:rFonts w:hint="eastAsia" w:ascii="宋体" w:hAnsi="宋体" w:cs="FZSSK--GBK1-00+ZBNFQI-9"/>
          <w:color w:val="000000" w:themeColor="text1"/>
          <w14:textFill>
            <w14:solidFill>
              <w14:schemeClr w14:val="tx1"/>
            </w14:solidFill>
          </w14:textFill>
        </w:rPr>
        <w:t>北</w:t>
      </w:r>
      <w:r>
        <w:rPr>
          <w:rFonts w:hint="eastAsia" w:ascii="宋体" w:hAnsi="宋体" w:cs="FZSSK--GBK1-00+ZBNFQH-5"/>
          <w:color w:val="000000" w:themeColor="text1"/>
          <w14:textFill>
            <w14:solidFill>
              <w14:schemeClr w14:val="tx1"/>
            </w14:solidFill>
          </w14:textFill>
        </w:rPr>
        <w:t>美</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H-8"/>
          <w:color w:val="000000" w:themeColor="text1"/>
          <w14:textFill>
            <w14:solidFill>
              <w14:schemeClr w14:val="tx1"/>
            </w14:solidFill>
          </w14:textFill>
        </w:rPr>
        <w:t>用</w:t>
      </w:r>
      <w:r>
        <w:rPr>
          <w:rFonts w:hint="eastAsia" w:ascii="宋体" w:hAnsi="宋体" w:cs="SSJ0+ZBNFQG-4"/>
          <w:color w:val="000000" w:themeColor="text1"/>
          <w14:textFill>
            <w14:solidFill>
              <w14:schemeClr w14:val="tx1"/>
            </w14:solidFill>
          </w14:textFill>
        </w:rPr>
        <w:t>。</w:t>
      </w:r>
    </w:p>
    <w:p w14:paraId="73F9A62C">
      <w:pPr>
        <w:autoSpaceDE w:val="0"/>
        <w:autoSpaceDN w:val="0"/>
        <w:adjustRightInd w:val="0"/>
        <w:spacing w:line="400" w:lineRule="exact"/>
        <w:ind w:firstLine="420" w:firstLineChars="200"/>
        <w:jc w:val="left"/>
        <w:rPr>
          <w:rFonts w:hint="eastAsia" w:ascii="宋体" w:hAnsi="宋体" w:cs="E-BZ+ZBNFQH-6"/>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而要</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我国</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K-14"/>
          <w:color w:val="000000" w:themeColor="text1"/>
          <w14:textFill>
            <w14:solidFill>
              <w14:schemeClr w14:val="tx1"/>
            </w14:solidFill>
          </w14:textFill>
        </w:rPr>
        <w:t>须</w:t>
      </w:r>
      <w:r>
        <w:rPr>
          <w:rFonts w:hint="eastAsia" w:ascii="宋体" w:hAnsi="宋体" w:cs="SSJ4+ZBNFQG-1"/>
          <w:color w:val="000000" w:themeColor="text1"/>
          <w14:textFill>
            <w14:solidFill>
              <w14:schemeClr w14:val="tx1"/>
            </w14:solidFill>
          </w14:textFill>
        </w:rPr>
        <w:t>发</w:t>
      </w:r>
      <w:r>
        <w:rPr>
          <w:rFonts w:hint="eastAsia" w:ascii="宋体" w:hAnsi="宋体" w:cs="FZSSK--GBK1-00+ZBNFQM-17"/>
          <w:color w:val="000000" w:themeColor="text1"/>
          <w14:textFill>
            <w14:solidFill>
              <w14:schemeClr w14:val="tx1"/>
            </w14:solidFill>
          </w14:textFill>
        </w:rPr>
        <w:t>挥</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府</w:t>
      </w:r>
      <w:r>
        <w:rPr>
          <w:rFonts w:hint="eastAsia" w:ascii="宋体" w:hAnsi="宋体" w:cs="FZSSK--GBK1-00+ZBNFQH-7"/>
          <w:color w:val="000000" w:themeColor="text1"/>
          <w14:textFill>
            <w14:solidFill>
              <w14:schemeClr w14:val="tx1"/>
            </w14:solidFill>
          </w14:textFill>
        </w:rPr>
        <w:t>与</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会</w:t>
      </w:r>
      <w:r>
        <w:rPr>
          <w:rFonts w:hint="eastAsia" w:ascii="宋体" w:hAnsi="宋体" w:cs="SSJ4+ZBNFQG-1"/>
          <w:color w:val="000000" w:themeColor="text1"/>
          <w14:textFill>
            <w14:solidFill>
              <w14:schemeClr w14:val="tx1"/>
            </w14:solidFill>
          </w14:textFill>
        </w:rPr>
        <w:t>两大经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主</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的作</w:t>
      </w:r>
      <w:r>
        <w:rPr>
          <w:rFonts w:hint="eastAsia" w:ascii="宋体" w:hAnsi="宋体" w:cs="FZSSK--GBK1-00+ZBNFQH-8"/>
          <w:color w:val="000000" w:themeColor="text1"/>
          <w14:textFill>
            <w14:solidFill>
              <w14:schemeClr w14:val="tx1"/>
            </w14:solidFill>
          </w14:textFill>
        </w:rPr>
        <w:t>用</w:t>
      </w:r>
      <w:r>
        <w:rPr>
          <w:rFonts w:hint="eastAsia" w:ascii="宋体" w:hAnsi="宋体" w:cs="SSJ4+ZBNFQG-1"/>
          <w:color w:val="000000" w:themeColor="text1"/>
          <w14:textFill>
            <w14:solidFill>
              <w14:schemeClr w14:val="tx1"/>
            </w14:solidFill>
          </w14:textFill>
        </w:rPr>
        <w:t>，</w:t>
      </w:r>
      <w:r>
        <w:rPr>
          <w:rFonts w:hint="eastAsia" w:ascii="宋体" w:hAnsi="宋体" w:cs="FZSSK--GBK1-00+ZBNFQJ-13"/>
          <w:color w:val="000000" w:themeColor="text1"/>
          <w14:textFill>
            <w14:solidFill>
              <w14:schemeClr w14:val="tx1"/>
            </w14:solidFill>
          </w14:textFill>
        </w:rPr>
        <w:t>严</w:t>
      </w:r>
      <w:r>
        <w:rPr>
          <w:rFonts w:hint="eastAsia" w:ascii="宋体" w:hAnsi="宋体" w:cs="FZSSK--GBK1-00+ZBNFQH-7"/>
          <w:color w:val="000000" w:themeColor="text1"/>
          <w14:textFill>
            <w14:solidFill>
              <w14:schemeClr w14:val="tx1"/>
            </w14:solidFill>
          </w14:textFill>
        </w:rPr>
        <w:t>格</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8"/>
          <w:color w:val="000000" w:themeColor="text1"/>
          <w14:textFill>
            <w14:solidFill>
              <w14:schemeClr w14:val="tx1"/>
            </w14:solidFill>
          </w14:textFill>
        </w:rPr>
        <w:t>施</w:t>
      </w:r>
      <w:r>
        <w:rPr>
          <w:rFonts w:hint="eastAsia" w:ascii="宋体" w:hAnsi="宋体" w:cs="FZSSK--GBK1-00+ZBNFQH-7"/>
          <w:color w:val="000000" w:themeColor="text1"/>
          <w14:textFill>
            <w14:solidFill>
              <w14:schemeClr w14:val="tx1"/>
            </w14:solidFill>
          </w14:textFill>
        </w:rPr>
        <w:t>最</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I-10"/>
          <w:color w:val="000000" w:themeColor="text1"/>
          <w14:textFill>
            <w14:solidFill>
              <w14:schemeClr w14:val="tx1"/>
            </w14:solidFill>
          </w14:textFill>
        </w:rPr>
        <w:t>立</w:t>
      </w:r>
      <w:r>
        <w:rPr>
          <w:rFonts w:hint="eastAsia" w:ascii="宋体" w:hAnsi="宋体" w:cs="FZSSK--GBK1-00+ZBNFQH-5"/>
          <w:color w:val="000000" w:themeColor="text1"/>
          <w14:textFill>
            <w14:solidFill>
              <w14:schemeClr w14:val="tx1"/>
            </w14:solidFill>
          </w14:textFill>
        </w:rPr>
        <w:t>合</w:t>
      </w:r>
      <w:r>
        <w:rPr>
          <w:rFonts w:hint="eastAsia" w:ascii="宋体" w:hAnsi="宋体" w:cs="FZSSK--GBK1-00+ZBNFQI-9"/>
          <w:color w:val="000000" w:themeColor="text1"/>
          <w14:textFill>
            <w14:solidFill>
              <w14:schemeClr w14:val="tx1"/>
            </w14:solidFill>
          </w14:textFill>
        </w:rPr>
        <w:t>理</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J-12"/>
          <w:color w:val="000000" w:themeColor="text1"/>
          <w14:textFill>
            <w14:solidFill>
              <w14:schemeClr w14:val="tx1"/>
            </w14:solidFill>
          </w14:textFill>
        </w:rPr>
        <w:t>途径</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长方</w:t>
      </w:r>
      <w:r>
        <w:rPr>
          <w:rFonts w:hint="eastAsia" w:ascii="宋体" w:hAnsi="宋体" w:cs="FZSSK--GBK1-00+ZBNFQI-10"/>
          <w:color w:val="000000" w:themeColor="text1"/>
          <w14:textFill>
            <w14:solidFill>
              <w14:schemeClr w14:val="tx1"/>
            </w14:solidFill>
          </w14:textFill>
        </w:rPr>
        <w:t>式</w:t>
      </w:r>
      <w:r>
        <w:rPr>
          <w:rFonts w:hint="eastAsia" w:ascii="宋体" w:hAnsi="宋体" w:cs="SSJ4+ZBNFQG-1"/>
          <w:color w:val="000000" w:themeColor="text1"/>
          <w14:textFill>
            <w14:solidFill>
              <w14:schemeClr w14:val="tx1"/>
            </w14:solidFill>
          </w14:textFill>
        </w:rPr>
        <w:t>的</w:t>
      </w:r>
      <w:r>
        <w:rPr>
          <w:rFonts w:hint="eastAsia" w:ascii="宋体" w:hAnsi="宋体" w:cs="FZSSK--GBK1-00+ZBNFQI-10"/>
          <w:color w:val="000000" w:themeColor="text1"/>
          <w14:textFill>
            <w14:solidFill>
              <w14:schemeClr w14:val="tx1"/>
            </w14:solidFill>
          </w14:textFill>
        </w:rPr>
        <w:t>转</w:t>
      </w:r>
      <w:r>
        <w:rPr>
          <w:rFonts w:hint="eastAsia" w:ascii="宋体" w:hAnsi="宋体" w:cs="SSJ4+ZBNFQG-1"/>
          <w:color w:val="000000" w:themeColor="text1"/>
          <w14:textFill>
            <w14:solidFill>
              <w14:schemeClr w14:val="tx1"/>
            </w14:solidFill>
          </w14:textFill>
        </w:rPr>
        <w:t>变</w:t>
      </w:r>
      <w:r>
        <w:rPr>
          <w:rFonts w:hint="eastAsia" w:ascii="宋体" w:hAnsi="宋体" w:cs="SSJ0+ZBNFQG-4"/>
          <w:color w:val="000000" w:themeColor="text1"/>
          <w14:textFill>
            <w14:solidFill>
              <w14:schemeClr w14:val="tx1"/>
            </w14:solidFill>
          </w14:textFill>
        </w:rPr>
        <w:t>。</w:t>
      </w:r>
    </w:p>
    <w:p w14:paraId="1504A5DA">
      <w:pPr>
        <w:autoSpaceDE w:val="0"/>
        <w:autoSpaceDN w:val="0"/>
        <w:adjustRightInd w:val="0"/>
        <w:spacing w:line="400" w:lineRule="exact"/>
        <w:ind w:firstLine="420" w:firstLineChars="200"/>
        <w:jc w:val="left"/>
        <w:rPr>
          <w:rFonts w:hint="eastAsia" w:ascii="宋体" w:hAnsi="宋体" w:cs="E-BZ+ZBNFQH-6"/>
          <w:color w:val="000000" w:themeColor="text1"/>
          <w14:textFill>
            <w14:solidFill>
              <w14:schemeClr w14:val="tx1"/>
            </w14:solidFill>
          </w14:textFill>
        </w:rPr>
      </w:pPr>
      <w:r>
        <w:rPr>
          <w:rFonts w:hint="eastAsia" w:ascii="宋体" w:hAnsi="宋体" w:cs="E-BZ+ZBNFQH-6"/>
          <w:color w:val="000000" w:themeColor="text1"/>
          <w14:textFill>
            <w14:solidFill>
              <w14:schemeClr w14:val="tx1"/>
            </w14:solidFill>
          </w14:textFill>
        </w:rPr>
        <w:t>1.</w:t>
      </w:r>
      <w:r>
        <w:rPr>
          <w:rFonts w:hint="eastAsia" w:ascii="宋体" w:hAnsi="宋体" w:cs="SSJ4+ZBNFQG-1"/>
          <w:color w:val="000000" w:themeColor="text1"/>
          <w14:textFill>
            <w14:solidFill>
              <w14:schemeClr w14:val="tx1"/>
            </w14:solidFill>
          </w14:textFill>
        </w:rPr>
        <w:t>发</w:t>
      </w:r>
      <w:r>
        <w:rPr>
          <w:rFonts w:hint="eastAsia" w:ascii="宋体" w:hAnsi="宋体" w:cs="FZSSK--GBK1-00+ZBNFQM-17"/>
          <w:color w:val="000000" w:themeColor="text1"/>
          <w14:textFill>
            <w14:solidFill>
              <w14:schemeClr w14:val="tx1"/>
            </w14:solidFill>
          </w14:textFill>
        </w:rPr>
        <w:t>挥</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和</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会</w:t>
      </w:r>
      <w:r>
        <w:rPr>
          <w:rFonts w:hint="eastAsia" w:ascii="宋体" w:hAnsi="宋体" w:cs="SSJ4+ZBNFQG-1"/>
          <w:color w:val="000000" w:themeColor="text1"/>
          <w14:textFill>
            <w14:solidFill>
              <w14:schemeClr w14:val="tx1"/>
            </w14:solidFill>
          </w14:textFill>
        </w:rPr>
        <w:t>两大经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主</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的作</w:t>
      </w:r>
      <w:r>
        <w:rPr>
          <w:rFonts w:hint="eastAsia" w:ascii="宋体" w:hAnsi="宋体" w:cs="FZSSK--GBK1-00+ZBNFQH-8"/>
          <w:color w:val="000000" w:themeColor="text1"/>
          <w14:textFill>
            <w14:solidFill>
              <w14:schemeClr w14:val="tx1"/>
            </w14:solidFill>
          </w14:textFill>
        </w:rPr>
        <w:t>用</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第一</w:t>
      </w:r>
      <w:r>
        <w:rPr>
          <w:rFonts w:hint="eastAsia" w:ascii="宋体" w:hAnsi="宋体" w:cs="SSJ4+ZBNFQG-1"/>
          <w:color w:val="000000" w:themeColor="text1"/>
          <w14:textFill>
            <w14:solidFill>
              <w14:schemeClr w14:val="tx1"/>
            </w14:solidFill>
          </w14:textFill>
        </w:rPr>
        <w:t>，</w:t>
      </w:r>
      <w:r>
        <w:rPr>
          <w:rFonts w:hint="eastAsia" w:ascii="宋体" w:hAnsi="宋体" w:cs="FZSSK--GBK1-00+ZBNFQN-20"/>
          <w:color w:val="000000" w:themeColor="text1"/>
          <w14:textFill>
            <w14:solidFill>
              <w14:schemeClr w14:val="tx1"/>
            </w14:solidFill>
          </w14:textFill>
        </w:rPr>
        <w:t>构</w:t>
      </w:r>
      <w:r>
        <w:rPr>
          <w:rFonts w:hint="eastAsia" w:ascii="宋体" w:hAnsi="宋体" w:cs="FZSSK--GBK1-00+ZBNFQK-14"/>
          <w:color w:val="000000" w:themeColor="text1"/>
          <w14:textFill>
            <w14:solidFill>
              <w14:schemeClr w14:val="tx1"/>
            </w14:solidFill>
          </w14:textFill>
        </w:rPr>
        <w:t>建</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主</w:t>
      </w:r>
      <w:r>
        <w:rPr>
          <w:rFonts w:hint="eastAsia" w:ascii="宋体" w:hAnsi="宋体" w:cs="FZSSK--GBK1-00+ZBNFQH-8"/>
          <w:color w:val="000000" w:themeColor="text1"/>
          <w14:textFill>
            <w14:solidFill>
              <w14:schemeClr w14:val="tx1"/>
            </w14:solidFill>
          </w14:textFill>
        </w:rPr>
        <w:t>导</w:t>
      </w:r>
      <w:r>
        <w:rPr>
          <w:rFonts w:hint="eastAsia" w:ascii="宋体" w:hAnsi="宋体" w:cs="FZSSK--GBK1-00+ZBNFQJ-12"/>
          <w:color w:val="000000" w:themeColor="text1"/>
          <w14:textFill>
            <w14:solidFill>
              <w14:schemeClr w14:val="tx1"/>
            </w14:solidFill>
          </w14:textFill>
        </w:rPr>
        <w:t>型</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10"/>
          <w:color w:val="000000" w:themeColor="text1"/>
          <w14:textFill>
            <w14:solidFill>
              <w14:schemeClr w14:val="tx1"/>
            </w14:solidFill>
          </w14:textFill>
        </w:rPr>
        <w:t>者</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H-5"/>
          <w:color w:val="000000" w:themeColor="text1"/>
          <w14:textFill>
            <w14:solidFill>
              <w14:schemeClr w14:val="tx1"/>
            </w14:solidFill>
          </w14:textFill>
        </w:rPr>
        <w:t>权</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，是</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SSJ4+ZBNFQG-1"/>
          <w:color w:val="000000" w:themeColor="text1"/>
          <w14:textFill>
            <w14:solidFill>
              <w14:schemeClr w14:val="tx1"/>
            </w14:solidFill>
          </w14:textFill>
        </w:rPr>
        <w:t>的首要</w:t>
      </w:r>
      <w:r>
        <w:rPr>
          <w:rFonts w:hint="eastAsia" w:ascii="宋体" w:hAnsi="宋体" w:cs="FZSSK--GBK1-00+ZBNFQJ-13"/>
          <w:color w:val="000000" w:themeColor="text1"/>
          <w14:textFill>
            <w14:solidFill>
              <w14:schemeClr w14:val="tx1"/>
            </w14:solidFill>
          </w14:textFill>
        </w:rPr>
        <w:t>条</w:t>
      </w:r>
      <w:r>
        <w:rPr>
          <w:rFonts w:hint="eastAsia" w:ascii="宋体" w:hAnsi="宋体" w:cs="FZSSK--GBK1-00+ZBNFQI-9"/>
          <w:color w:val="000000" w:themeColor="text1"/>
          <w14:textFill>
            <w14:solidFill>
              <w14:schemeClr w14:val="tx1"/>
            </w14:solidFill>
          </w14:textFill>
        </w:rPr>
        <w:t>件</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目</w:t>
      </w:r>
      <w:r>
        <w:rPr>
          <w:rFonts w:hint="eastAsia" w:ascii="宋体" w:hAnsi="宋体" w:cs="SSJ4+ZBNFQG-1"/>
          <w:color w:val="000000" w:themeColor="text1"/>
          <w14:textFill>
            <w14:solidFill>
              <w14:schemeClr w14:val="tx1"/>
            </w14:solidFill>
          </w14:textFill>
        </w:rPr>
        <w:t>前我国</w:t>
      </w:r>
      <w:r>
        <w:rPr>
          <w:rFonts w:hint="eastAsia" w:ascii="宋体" w:hAnsi="宋体" w:cs="E-BZ+ZBNFQH-6"/>
          <w:color w:val="000000" w:themeColor="text1"/>
          <w14:textFill>
            <w14:solidFill>
              <w14:schemeClr w14:val="tx1"/>
            </w14:solidFill>
          </w14:textFill>
        </w:rPr>
        <w:t>70%</w:t>
      </w:r>
      <w:r>
        <w:rPr>
          <w:rFonts w:hint="eastAsia" w:ascii="宋体" w:hAnsi="宋体" w:cs="SSJ4+ZBNFQG-1"/>
          <w:color w:val="000000" w:themeColor="text1"/>
          <w14:textFill>
            <w14:solidFill>
              <w14:schemeClr w14:val="tx1"/>
            </w14:solidFill>
          </w14:textFill>
        </w:rPr>
        <w:t>以</w:t>
      </w:r>
      <w:r>
        <w:rPr>
          <w:rFonts w:hint="eastAsia" w:ascii="宋体" w:hAnsi="宋体" w:cs="FZSSK--GBK1-00+ZBNFQH-7"/>
          <w:color w:val="000000" w:themeColor="text1"/>
          <w14:textFill>
            <w14:solidFill>
              <w14:schemeClr w14:val="tx1"/>
            </w14:solidFill>
          </w14:textFill>
        </w:rPr>
        <w:t>上</w:t>
      </w:r>
      <w:r>
        <w:rPr>
          <w:rFonts w:hint="eastAsia" w:ascii="宋体" w:hAnsi="宋体" w:cs="SSJ4+ZBNFQG-1"/>
          <w:color w:val="000000" w:themeColor="text1"/>
          <w14:textFill>
            <w14:solidFill>
              <w14:schemeClr w14:val="tx1"/>
            </w14:solidFill>
          </w14:textFill>
        </w:rPr>
        <w:t>的</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10"/>
          <w:color w:val="000000" w:themeColor="text1"/>
          <w14:textFill>
            <w14:solidFill>
              <w14:schemeClr w14:val="tx1"/>
            </w14:solidFill>
          </w14:textFill>
        </w:rPr>
        <w:t>者</w:t>
      </w:r>
      <w:r>
        <w:rPr>
          <w:rFonts w:hint="eastAsia" w:ascii="宋体" w:hAnsi="宋体" w:cs="SSJ4+ZBNFQG-1"/>
          <w:color w:val="000000" w:themeColor="text1"/>
          <w14:textFill>
            <w14:solidFill>
              <w14:schemeClr w14:val="tx1"/>
            </w14:solidFill>
          </w14:textFill>
        </w:rPr>
        <w:t>在</w:t>
      </w:r>
      <w:r>
        <w:rPr>
          <w:rFonts w:hint="eastAsia" w:ascii="宋体" w:hAnsi="宋体" w:cs="FZSSK--GBK1-00+ZBNFQH-5"/>
          <w:color w:val="000000" w:themeColor="text1"/>
          <w14:textFill>
            <w14:solidFill>
              <w14:schemeClr w14:val="tx1"/>
            </w14:solidFill>
          </w14:textFill>
        </w:rPr>
        <w:t>非</w:t>
      </w:r>
      <w:r>
        <w:rPr>
          <w:rFonts w:hint="eastAsia" w:ascii="宋体" w:hAnsi="宋体" w:cs="FZSSK--GBK1-00+ZBNFQJ-13"/>
          <w:color w:val="000000" w:themeColor="text1"/>
          <w14:textFill>
            <w14:solidFill>
              <w14:schemeClr w14:val="tx1"/>
            </w14:solidFill>
          </w14:textFill>
        </w:rPr>
        <w:t>公</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H-5"/>
          <w:color w:val="000000" w:themeColor="text1"/>
          <w14:textFill>
            <w14:solidFill>
              <w14:schemeClr w14:val="tx1"/>
            </w14:solidFill>
          </w14:textFill>
        </w:rPr>
        <w:t>就</w:t>
      </w:r>
      <w:r>
        <w:rPr>
          <w:rFonts w:hint="eastAsia" w:ascii="宋体" w:hAnsi="宋体" w:cs="FZSSK--GBK1-00+ZBNFQJ-12"/>
          <w:color w:val="000000" w:themeColor="text1"/>
          <w14:textFill>
            <w14:solidFill>
              <w14:schemeClr w14:val="tx1"/>
            </w14:solidFill>
          </w14:textFill>
        </w:rPr>
        <w:t>业</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资主要由</w:t>
      </w:r>
      <w:r>
        <w:rPr>
          <w:rFonts w:hint="eastAsia" w:ascii="宋体" w:hAnsi="宋体" w:cs="FZSSK--GBK1-00+ZBNFQK-14"/>
          <w:color w:val="000000" w:themeColor="text1"/>
          <w14:textFill>
            <w14:solidFill>
              <w14:schemeClr w14:val="tx1"/>
            </w14:solidFill>
          </w14:textFill>
        </w:rPr>
        <w:t>老</w:t>
      </w:r>
      <w:r>
        <w:rPr>
          <w:rFonts w:hint="eastAsia" w:ascii="宋体" w:hAnsi="宋体" w:cs="FZSSK--GBK1-00+ZBNFQI-10"/>
          <w:color w:val="000000" w:themeColor="text1"/>
          <w14:textFill>
            <w14:solidFill>
              <w14:schemeClr w14:val="tx1"/>
            </w14:solidFill>
          </w14:textFill>
        </w:rPr>
        <w:t>板</w:t>
      </w:r>
      <w:r>
        <w:rPr>
          <w:rFonts w:hint="eastAsia" w:ascii="宋体" w:hAnsi="宋体" w:cs="SSJ4+ZBNFQG-1"/>
          <w:color w:val="000000" w:themeColor="text1"/>
          <w14:textFill>
            <w14:solidFill>
              <w14:schemeClr w14:val="tx1"/>
            </w14:solidFill>
          </w14:textFill>
        </w:rPr>
        <w:t>说了</w:t>
      </w:r>
      <w:r>
        <w:rPr>
          <w:rFonts w:hint="eastAsia" w:ascii="宋体" w:hAnsi="宋体" w:cs="FZSSK--GBK1-00+ZBNFQM-17"/>
          <w:color w:val="000000" w:themeColor="text1"/>
          <w14:textFill>
            <w14:solidFill>
              <w14:schemeClr w14:val="tx1"/>
            </w14:solidFill>
          </w14:textFill>
        </w:rPr>
        <w:t>算</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府</w:t>
      </w:r>
      <w:r>
        <w:rPr>
          <w:rFonts w:hint="eastAsia" w:ascii="宋体" w:hAnsi="宋体" w:cs="FZSSK--GBK1-00+ZBNFQJ-13"/>
          <w:color w:val="000000" w:themeColor="text1"/>
          <w14:textFill>
            <w14:solidFill>
              <w14:schemeClr w14:val="tx1"/>
            </w14:solidFill>
          </w14:textFill>
        </w:rPr>
        <w:t>干</w:t>
      </w:r>
      <w:r>
        <w:rPr>
          <w:rFonts w:hint="eastAsia" w:ascii="宋体" w:hAnsi="宋体" w:cs="FZSSK--GBK1-00+ZBNFQH-5"/>
          <w:color w:val="000000" w:themeColor="text1"/>
          <w14:textFill>
            <w14:solidFill>
              <w14:schemeClr w14:val="tx1"/>
            </w14:solidFill>
          </w14:textFill>
        </w:rPr>
        <w:t>预</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空</w:t>
      </w:r>
      <w:r>
        <w:rPr>
          <w:rFonts w:hint="eastAsia" w:ascii="宋体" w:hAnsi="宋体" w:cs="FZSSK--GBK1-00+ZBNFQH-5"/>
          <w:color w:val="000000" w:themeColor="text1"/>
          <w14:textFill>
            <w14:solidFill>
              <w14:schemeClr w14:val="tx1"/>
            </w14:solidFill>
          </w14:textFill>
        </w:rPr>
        <w:t>间</w:t>
      </w:r>
      <w:r>
        <w:rPr>
          <w:rFonts w:hint="eastAsia" w:ascii="宋体" w:hAnsi="宋体" w:cs="FZSSK--GBK1-00+ZBNFQI-9"/>
          <w:color w:val="000000" w:themeColor="text1"/>
          <w14:textFill>
            <w14:solidFill>
              <w14:schemeClr w14:val="tx1"/>
            </w14:solidFill>
          </w14:textFill>
        </w:rPr>
        <w:t>很</w:t>
      </w:r>
      <w:r>
        <w:rPr>
          <w:rFonts w:hint="eastAsia" w:ascii="宋体" w:hAnsi="宋体" w:cs="FZSSK--GBK1-00+ZBNFQH-5"/>
          <w:color w:val="000000" w:themeColor="text1"/>
          <w14:textFill>
            <w14:solidFill>
              <w14:schemeClr w14:val="tx1"/>
            </w14:solidFill>
          </w14:textFill>
        </w:rPr>
        <w:t>小</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过去</w:t>
      </w:r>
      <w:r>
        <w:rPr>
          <w:rFonts w:hint="eastAsia" w:ascii="宋体" w:hAnsi="宋体" w:cs="SSJ4+ZBNFQG-1"/>
          <w:color w:val="000000" w:themeColor="text1"/>
          <w14:textFill>
            <w14:solidFill>
              <w14:schemeClr w14:val="tx1"/>
            </w14:solidFill>
          </w14:textFill>
        </w:rPr>
        <w:t>在</w:t>
      </w:r>
      <w:r>
        <w:rPr>
          <w:rFonts w:hint="eastAsia" w:ascii="宋体" w:hAnsi="宋体" w:cs="FZSSK--GBK1-00+ZBNFQH-8"/>
          <w:color w:val="000000" w:themeColor="text1"/>
          <w14:textFill>
            <w14:solidFill>
              <w14:schemeClr w14:val="tx1"/>
            </w14:solidFill>
          </w14:textFill>
        </w:rPr>
        <w:t>西</w:t>
      </w:r>
      <w:r>
        <w:rPr>
          <w:rFonts w:hint="eastAsia" w:ascii="宋体" w:hAnsi="宋体" w:cs="FZSSK--GBK1-00+ZBNFQJ-13"/>
          <w:color w:val="000000" w:themeColor="text1"/>
          <w14:textFill>
            <w14:solidFill>
              <w14:schemeClr w14:val="tx1"/>
            </w14:solidFill>
          </w14:textFill>
        </w:rPr>
        <w:t>德</w:t>
      </w:r>
      <w:r>
        <w:rPr>
          <w:rFonts w:hint="eastAsia" w:ascii="宋体" w:hAnsi="宋体" w:cs="SSJ4+ZBNFQG-1"/>
          <w:color w:val="000000" w:themeColor="text1"/>
          <w14:textFill>
            <w14:solidFill>
              <w14:schemeClr w14:val="tx1"/>
            </w14:solidFill>
          </w14:textFill>
        </w:rPr>
        <w:t>，在</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T-26"/>
          <w:color w:val="000000" w:themeColor="text1"/>
          <w14:textFill>
            <w14:solidFill>
              <w14:schemeClr w14:val="tx1"/>
            </w14:solidFill>
          </w14:textFill>
        </w:rPr>
        <w:t>董</w:t>
      </w:r>
      <w:r>
        <w:rPr>
          <w:rFonts w:hint="eastAsia" w:ascii="宋体" w:hAnsi="宋体" w:cs="FZSSK--GBK1-00+ZBNFQI-9"/>
          <w:color w:val="000000" w:themeColor="text1"/>
          <w14:textFill>
            <w14:solidFill>
              <w14:schemeClr w14:val="tx1"/>
            </w14:solidFill>
          </w14:textFill>
        </w:rPr>
        <w:t>事</w:t>
      </w:r>
      <w:r>
        <w:rPr>
          <w:rFonts w:hint="eastAsia" w:ascii="宋体" w:hAnsi="宋体" w:cs="FZSSK--GBK1-00+ZBNFQH-5"/>
          <w:color w:val="000000" w:themeColor="text1"/>
          <w14:textFill>
            <w14:solidFill>
              <w14:schemeClr w14:val="tx1"/>
            </w14:solidFill>
          </w14:textFill>
        </w:rPr>
        <w:t>会</w:t>
      </w:r>
      <w:r>
        <w:rPr>
          <w:rFonts w:hint="eastAsia" w:ascii="宋体" w:hAnsi="宋体" w:cs="SSJ4+ZBNFQG-1"/>
          <w:color w:val="000000" w:themeColor="text1"/>
          <w14:textFill>
            <w14:solidFill>
              <w14:schemeClr w14:val="tx1"/>
            </w14:solidFill>
          </w14:textFill>
        </w:rPr>
        <w:t>中的</w:t>
      </w:r>
      <w:r>
        <w:rPr>
          <w:rFonts w:hint="eastAsia" w:ascii="宋体" w:hAnsi="宋体" w:cs="FZSSK--GBK1-00+ZBNFQT-26"/>
          <w:color w:val="000000" w:themeColor="text1"/>
          <w14:textFill>
            <w14:solidFill>
              <w14:schemeClr w14:val="tx1"/>
            </w14:solidFill>
          </w14:textFill>
        </w:rPr>
        <w:t>雇</w:t>
      </w:r>
      <w:r>
        <w:rPr>
          <w:rFonts w:hint="eastAsia" w:ascii="宋体" w:hAnsi="宋体" w:cs="FZSSK--GBK1-00+ZBNFQJ-12"/>
          <w:color w:val="000000" w:themeColor="text1"/>
          <w14:textFill>
            <w14:solidFill>
              <w14:schemeClr w14:val="tx1"/>
            </w14:solidFill>
          </w14:textFill>
        </w:rPr>
        <w:t>员</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H-8"/>
          <w:color w:val="000000" w:themeColor="text1"/>
          <w14:textFill>
            <w14:solidFill>
              <w14:schemeClr w14:val="tx1"/>
            </w14:solidFill>
          </w14:textFill>
        </w:rPr>
        <w:t>例</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和</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I-10"/>
          <w:color w:val="000000" w:themeColor="text1"/>
          <w14:textFill>
            <w14:solidFill>
              <w14:schemeClr w14:val="tx1"/>
            </w14:solidFill>
          </w14:textFill>
        </w:rPr>
        <w:t>共决</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作</w:t>
      </w:r>
      <w:r>
        <w:rPr>
          <w:rFonts w:hint="eastAsia" w:ascii="宋体" w:hAnsi="宋体" w:cs="FZSSK--GBK1-00+ZBNFQH-8"/>
          <w:color w:val="000000" w:themeColor="text1"/>
          <w14:textFill>
            <w14:solidFill>
              <w14:schemeClr w14:val="tx1"/>
            </w14:solidFill>
          </w14:textFill>
        </w:rPr>
        <w:t>用下</w:t>
      </w:r>
      <w:r>
        <w:rPr>
          <w:rFonts w:hint="eastAsia" w:ascii="宋体" w:hAnsi="宋体" w:cs="SSJ4+ZBNFQG-1"/>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会</w:t>
      </w:r>
      <w:r>
        <w:rPr>
          <w:rFonts w:hint="eastAsia" w:ascii="宋体" w:hAnsi="宋体" w:cs="FZSSK--GBK1-00+ZBNFQO-22"/>
          <w:color w:val="000000" w:themeColor="text1"/>
          <w14:textFill>
            <w14:solidFill>
              <w14:schemeClr w14:val="tx1"/>
            </w14:solidFill>
          </w14:textFill>
        </w:rPr>
        <w:t>依</w:t>
      </w:r>
      <w:r>
        <w:rPr>
          <w:rFonts w:hint="eastAsia" w:ascii="宋体" w:hAnsi="宋体" w:cs="FZSSK--GBK1-00+ZBNFQI-9"/>
          <w:color w:val="000000" w:themeColor="text1"/>
          <w14:textFill>
            <w14:solidFill>
              <w14:schemeClr w14:val="tx1"/>
            </w14:solidFill>
          </w14:textFill>
        </w:rPr>
        <w:t>据</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SSJ4+ZBNFQG-1"/>
          <w:color w:val="000000" w:themeColor="text1"/>
          <w14:textFill>
            <w14:solidFill>
              <w14:schemeClr w14:val="tx1"/>
            </w14:solidFill>
          </w14:textFill>
        </w:rPr>
        <w:t>生</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K-14"/>
          <w:color w:val="000000" w:themeColor="text1"/>
          <w14:textFill>
            <w14:solidFill>
              <w14:schemeClr w14:val="tx1"/>
            </w14:solidFill>
          </w14:textFill>
        </w:rPr>
        <w:t>率</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来谈</w:t>
      </w:r>
      <w:r>
        <w:rPr>
          <w:rFonts w:hint="eastAsia" w:ascii="宋体" w:hAnsi="宋体" w:cs="FZSSK--GBK1-00+ZBNFQJ-13"/>
          <w:color w:val="000000" w:themeColor="text1"/>
          <w14:textFill>
            <w14:solidFill>
              <w14:schemeClr w14:val="tx1"/>
            </w14:solidFill>
          </w14:textFill>
        </w:rPr>
        <w:t>判</w:t>
      </w:r>
      <w:r>
        <w:rPr>
          <w:rFonts w:hint="eastAsia" w:ascii="宋体" w:hAnsi="宋体" w:cs="FZSSK--GBK1-00+ZBNFQT-26"/>
          <w:color w:val="000000" w:themeColor="text1"/>
          <w14:textFill>
            <w14:solidFill>
              <w14:schemeClr w14:val="tx1"/>
            </w14:solidFill>
          </w14:textFill>
        </w:rPr>
        <w:t>雇</w:t>
      </w:r>
      <w:r>
        <w:rPr>
          <w:rFonts w:hint="eastAsia" w:ascii="宋体" w:hAnsi="宋体" w:cs="FZSSK--GBK1-00+ZBNFQJ-12"/>
          <w:color w:val="000000" w:themeColor="text1"/>
          <w14:textFill>
            <w14:solidFill>
              <w14:schemeClr w14:val="tx1"/>
            </w14:solidFill>
          </w14:textFill>
        </w:rPr>
        <w:t>员</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合</w:t>
      </w:r>
      <w:r>
        <w:rPr>
          <w:rFonts w:hint="eastAsia" w:ascii="宋体" w:hAnsi="宋体" w:cs="FZSSK--GBK1-00+ZBNFQI-9"/>
          <w:color w:val="000000" w:themeColor="text1"/>
          <w14:textFill>
            <w14:solidFill>
              <w14:schemeClr w14:val="tx1"/>
            </w14:solidFill>
          </w14:textFill>
        </w:rPr>
        <w:t>理增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J-13"/>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在</w:t>
      </w:r>
      <w:r>
        <w:rPr>
          <w:rFonts w:hint="eastAsia" w:ascii="宋体" w:hAnsi="宋体" w:cs="FZSSK--GBK1-00+ZBNFQI-10"/>
          <w:color w:val="000000" w:themeColor="text1"/>
          <w14:textFill>
            <w14:solidFill>
              <w14:schemeClr w14:val="tx1"/>
            </w14:solidFill>
          </w14:textFill>
        </w:rPr>
        <w:t>日</w:t>
      </w:r>
      <w:r>
        <w:rPr>
          <w:rFonts w:hint="eastAsia" w:ascii="宋体" w:hAnsi="宋体" w:cs="SSJ4+ZBNFQG-1"/>
          <w:color w:val="000000" w:themeColor="text1"/>
          <w14:textFill>
            <w14:solidFill>
              <w14:schemeClr w14:val="tx1"/>
            </w14:solidFill>
          </w14:textFill>
        </w:rPr>
        <w:t>本，</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O-22"/>
          <w:color w:val="000000" w:themeColor="text1"/>
          <w14:textFill>
            <w14:solidFill>
              <w14:schemeClr w14:val="tx1"/>
            </w14:solidFill>
          </w14:textFill>
        </w:rPr>
        <w:t>依</w:t>
      </w:r>
      <w:r>
        <w:rPr>
          <w:rFonts w:hint="eastAsia" w:ascii="宋体" w:hAnsi="宋体" w:cs="FZSSK--GBK1-00+ZBNFQI-9"/>
          <w:color w:val="000000" w:themeColor="text1"/>
          <w14:textFill>
            <w14:solidFill>
              <w14:schemeClr w14:val="tx1"/>
            </w14:solidFill>
          </w14:textFill>
        </w:rPr>
        <w:t>据</w:t>
      </w:r>
      <w:r>
        <w:rPr>
          <w:rFonts w:hint="eastAsia" w:ascii="宋体" w:hAnsi="宋体" w:cs="FZSSK--GBK1-00+ZBNFQL-16"/>
          <w:color w:val="000000" w:themeColor="text1"/>
          <w14:textFill>
            <w14:solidFill>
              <w14:schemeClr w14:val="tx1"/>
            </w14:solidFill>
          </w14:textFill>
        </w:rPr>
        <w:t>职</w:t>
      </w:r>
      <w:r>
        <w:rPr>
          <w:rFonts w:hint="eastAsia" w:ascii="宋体" w:hAnsi="宋体" w:cs="FZSSK--GBK1-00+ZBNFQK-14"/>
          <w:color w:val="000000" w:themeColor="text1"/>
          <w14:textFill>
            <w14:solidFill>
              <w14:schemeClr w14:val="tx1"/>
            </w14:solidFill>
          </w14:textFill>
        </w:rPr>
        <w:t>工工</w:t>
      </w:r>
      <w:r>
        <w:rPr>
          <w:rFonts w:hint="eastAsia" w:ascii="宋体" w:hAnsi="宋体" w:cs="FZSSK--GBK1-00+ZBNFQK-15"/>
          <w:color w:val="000000" w:themeColor="text1"/>
          <w14:textFill>
            <w14:solidFill>
              <w14:schemeClr w14:val="tx1"/>
            </w14:solidFill>
          </w14:textFill>
        </w:rPr>
        <w:t>龄</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增加</w:t>
      </w:r>
      <w:r>
        <w:rPr>
          <w:rFonts w:hint="eastAsia" w:ascii="宋体" w:hAnsi="宋体" w:cs="SSJ4+ZBNFQG-1"/>
          <w:color w:val="000000" w:themeColor="text1"/>
          <w14:textFill>
            <w14:solidFill>
              <w14:schemeClr w14:val="tx1"/>
            </w14:solidFill>
          </w14:textFill>
        </w:rPr>
        <w:t>而</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些</w:t>
      </w:r>
      <w:r>
        <w:rPr>
          <w:rFonts w:hint="eastAsia" w:ascii="宋体" w:hAnsi="宋体" w:cs="FZSSK--GBK1-00+ZBNFQH-8"/>
          <w:color w:val="000000" w:themeColor="text1"/>
          <w14:textFill>
            <w14:solidFill>
              <w14:schemeClr w14:val="tx1"/>
            </w14:solidFill>
          </w14:textFill>
        </w:rPr>
        <w:t>措施</w:t>
      </w:r>
      <w:r>
        <w:rPr>
          <w:rFonts w:hint="eastAsia" w:ascii="宋体" w:hAnsi="宋体" w:cs="FZSSK--GBK1-00+ZBNFQH-7"/>
          <w:color w:val="000000" w:themeColor="text1"/>
          <w14:textFill>
            <w14:solidFill>
              <w14:schemeClr w14:val="tx1"/>
            </w14:solidFill>
          </w14:textFill>
        </w:rPr>
        <w:t>都</w:t>
      </w:r>
      <w:r>
        <w:rPr>
          <w:rFonts w:hint="eastAsia" w:ascii="宋体" w:hAnsi="宋体" w:cs="SSJ4+ZBNFQG-1"/>
          <w:color w:val="000000" w:themeColor="text1"/>
          <w14:textFill>
            <w14:solidFill>
              <w14:schemeClr w14:val="tx1"/>
            </w14:solidFill>
          </w14:textFill>
        </w:rPr>
        <w:t>可以为我国</w:t>
      </w:r>
      <w:r>
        <w:rPr>
          <w:rFonts w:hint="eastAsia" w:ascii="宋体" w:hAnsi="宋体" w:cs="FZSSK--GBK1-00+ZBNFQQ-24"/>
          <w:color w:val="000000" w:themeColor="text1"/>
          <w14:textFill>
            <w14:solidFill>
              <w14:schemeClr w14:val="tx1"/>
            </w14:solidFill>
          </w14:textFill>
        </w:rPr>
        <w:t>借</w:t>
      </w:r>
      <w:r>
        <w:rPr>
          <w:rFonts w:hint="eastAsia" w:ascii="宋体" w:hAnsi="宋体" w:cs="FZSSK--GBK1-00+ZBNFQK-14"/>
          <w:color w:val="000000" w:themeColor="text1"/>
          <w14:textFill>
            <w14:solidFill>
              <w14:schemeClr w14:val="tx1"/>
            </w14:solidFill>
          </w14:textFill>
        </w:rPr>
        <w:t>鉴</w:t>
      </w:r>
      <w:r>
        <w:rPr>
          <w:rFonts w:hint="eastAsia" w:ascii="宋体" w:hAnsi="宋体" w:cs="FZSSK--GBK1-00+ZBNFQH-8"/>
          <w:color w:val="000000" w:themeColor="text1"/>
          <w14:textFill>
            <w14:solidFill>
              <w14:schemeClr w14:val="tx1"/>
            </w14:solidFill>
          </w14:textFill>
        </w:rPr>
        <w:t>利用</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我国</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府</w:t>
      </w:r>
      <w:r>
        <w:rPr>
          <w:rFonts w:hint="eastAsia" w:ascii="宋体" w:hAnsi="宋体" w:cs="FZSSK--GBK1-00+ZBNFQH-8"/>
          <w:color w:val="000000" w:themeColor="text1"/>
          <w14:textFill>
            <w14:solidFill>
              <w14:schemeClr w14:val="tx1"/>
            </w14:solidFill>
          </w14:textFill>
        </w:rPr>
        <w:t>应</w:t>
      </w:r>
      <w:r>
        <w:rPr>
          <w:rFonts w:hint="eastAsia" w:ascii="宋体" w:hAnsi="宋体" w:cs="SSJ4+ZBNFQG-1"/>
          <w:color w:val="000000" w:themeColor="text1"/>
          <w14:textFill>
            <w14:solidFill>
              <w14:schemeClr w14:val="tx1"/>
            </w14:solidFill>
          </w14:textFill>
        </w:rPr>
        <w:t>当</w:t>
      </w:r>
      <w:r>
        <w:rPr>
          <w:rFonts w:hint="eastAsia" w:ascii="宋体" w:hAnsi="宋体" w:cs="FZSSK--GBK1-00+ZBNFQO-22"/>
          <w:color w:val="000000" w:themeColor="text1"/>
          <w14:textFill>
            <w14:solidFill>
              <w14:schemeClr w14:val="tx1"/>
            </w14:solidFill>
          </w14:textFill>
        </w:rPr>
        <w:t>像</w:t>
      </w:r>
      <w:r>
        <w:rPr>
          <w:rFonts w:hint="eastAsia" w:ascii="宋体" w:hAnsi="宋体" w:cs="SSJ4+ZBNFQG-1"/>
          <w:color w:val="000000" w:themeColor="text1"/>
          <w14:textFill>
            <w14:solidFill>
              <w14:schemeClr w14:val="tx1"/>
            </w14:solidFill>
          </w14:textFill>
        </w:rPr>
        <w:t>当</w:t>
      </w:r>
      <w:r>
        <w:rPr>
          <w:rFonts w:hint="eastAsia" w:ascii="宋体" w:hAnsi="宋体" w:cs="FZSSK--GBK1-00+ZBNFQH-5"/>
          <w:color w:val="000000" w:themeColor="text1"/>
          <w14:textFill>
            <w14:solidFill>
              <w14:schemeClr w14:val="tx1"/>
            </w14:solidFill>
          </w14:textFill>
        </w:rPr>
        <w:t>年</w:t>
      </w:r>
      <w:r>
        <w:rPr>
          <w:rFonts w:hint="eastAsia" w:ascii="宋体" w:hAnsi="宋体" w:cs="FZSSK--GBK1-00+ZBNFQI-9"/>
          <w:color w:val="000000" w:themeColor="text1"/>
          <w14:textFill>
            <w14:solidFill>
              <w14:schemeClr w14:val="tx1"/>
            </w14:solidFill>
          </w14:textFill>
        </w:rPr>
        <w:t>英</w:t>
      </w:r>
      <w:r>
        <w:rPr>
          <w:rFonts w:hint="eastAsia" w:ascii="宋体" w:hAnsi="宋体" w:cs="SSJ4+ZBNFQG-1"/>
          <w:color w:val="000000" w:themeColor="text1"/>
          <w14:textFill>
            <w14:solidFill>
              <w14:schemeClr w14:val="tx1"/>
            </w14:solidFill>
          </w14:textFill>
        </w:rPr>
        <w:t>国</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府</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7"/>
          <w:color w:val="000000" w:themeColor="text1"/>
          <w14:textFill>
            <w14:solidFill>
              <w14:schemeClr w14:val="tx1"/>
            </w14:solidFill>
          </w14:textFill>
        </w:rPr>
        <w:t>样</w:t>
      </w:r>
      <w:r>
        <w:rPr>
          <w:rFonts w:hint="eastAsia" w:ascii="宋体" w:hAnsi="宋体" w:cs="FZSSK--GBK1-00+ZBNFQI-10"/>
          <w:color w:val="000000" w:themeColor="text1"/>
          <w14:textFill>
            <w14:solidFill>
              <w14:schemeClr w14:val="tx1"/>
            </w14:solidFill>
          </w14:textFill>
        </w:rPr>
        <w:t>向</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O-22"/>
          <w:color w:val="000000" w:themeColor="text1"/>
          <w14:textFill>
            <w14:solidFill>
              <w14:schemeClr w14:val="tx1"/>
            </w14:solidFill>
          </w14:textFill>
        </w:rPr>
        <w:t>派</w:t>
      </w:r>
      <w:r>
        <w:rPr>
          <w:rFonts w:hint="eastAsia" w:ascii="宋体" w:hAnsi="宋体" w:cs="SSJ4+ZBNFQG-1"/>
          <w:color w:val="000000" w:themeColor="text1"/>
          <w14:textFill>
            <w14:solidFill>
              <w14:schemeClr w14:val="tx1"/>
            </w14:solidFill>
          </w14:textFill>
        </w:rPr>
        <w:t>出</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N-20"/>
          <w:color w:val="000000" w:themeColor="text1"/>
          <w14:textFill>
            <w14:solidFill>
              <w14:schemeClr w14:val="tx1"/>
            </w14:solidFill>
          </w14:textFill>
        </w:rPr>
        <w:t>厂</w:t>
      </w:r>
      <w:r>
        <w:rPr>
          <w:rFonts w:hint="eastAsia" w:ascii="宋体" w:hAnsi="宋体" w:cs="FZSSK--GBK1-00+ZBNFQH-8"/>
          <w:color w:val="000000" w:themeColor="text1"/>
          <w14:textFill>
            <w14:solidFill>
              <w14:schemeClr w14:val="tx1"/>
            </w14:solidFill>
          </w14:textFill>
        </w:rPr>
        <w:t>视</w:t>
      </w:r>
      <w:r>
        <w:rPr>
          <w:rFonts w:hint="eastAsia" w:ascii="宋体" w:hAnsi="宋体" w:cs="FZSSK--GBK1-00+ZBNFQQ-24"/>
          <w:color w:val="000000" w:themeColor="text1"/>
          <w14:textFill>
            <w14:solidFill>
              <w14:schemeClr w14:val="tx1"/>
            </w14:solidFill>
          </w14:textFill>
        </w:rPr>
        <w:t>察</w:t>
      </w:r>
      <w:r>
        <w:rPr>
          <w:rFonts w:hint="eastAsia" w:ascii="宋体" w:hAnsi="宋体" w:cs="FZSSK--GBK1-00+ZBNFQJ-12"/>
          <w:color w:val="000000" w:themeColor="text1"/>
          <w14:textFill>
            <w14:solidFill>
              <w14:schemeClr w14:val="tx1"/>
            </w14:solidFill>
          </w14:textFill>
        </w:rPr>
        <w:t>员</w:t>
      </w:r>
      <w:r>
        <w:rPr>
          <w:rFonts w:hint="eastAsia" w:ascii="宋体" w:hAnsi="宋体" w:cs="SSJ4+ZBNFQG-1"/>
          <w:color w:val="000000" w:themeColor="text1"/>
          <w14:textFill>
            <w14:solidFill>
              <w14:schemeClr w14:val="tx1"/>
            </w14:solidFill>
          </w14:textFill>
        </w:rPr>
        <w:t>，对于</w:t>
      </w:r>
      <w:r>
        <w:rPr>
          <w:rFonts w:hint="eastAsia" w:ascii="宋体" w:hAnsi="宋体" w:cs="FZSSK--GBK1-00+ZBNFQH-5"/>
          <w:color w:val="000000" w:themeColor="text1"/>
          <w14:textFill>
            <w14:solidFill>
              <w14:schemeClr w14:val="tx1"/>
            </w14:solidFill>
          </w14:textFill>
        </w:rPr>
        <w:t>侵</w:t>
      </w:r>
      <w:r>
        <w:rPr>
          <w:rFonts w:hint="eastAsia" w:ascii="宋体" w:hAnsi="宋体" w:cs="FZSSK--GBK1-00+ZBNFQT-26"/>
          <w:color w:val="000000" w:themeColor="text1"/>
          <w14:textFill>
            <w14:solidFill>
              <w14:schemeClr w14:val="tx1"/>
            </w14:solidFill>
          </w14:textFill>
        </w:rPr>
        <w:t>犯</w:t>
      </w:r>
      <w:r>
        <w:rPr>
          <w:rFonts w:hint="eastAsia" w:ascii="宋体" w:hAnsi="宋体" w:cs="FZSSK--GBK1-00+ZBNFQL-16"/>
          <w:color w:val="000000" w:themeColor="text1"/>
          <w14:textFill>
            <w14:solidFill>
              <w14:schemeClr w14:val="tx1"/>
            </w14:solidFill>
          </w14:textFill>
        </w:rPr>
        <w:t>职</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K-15"/>
          <w:color w:val="000000" w:themeColor="text1"/>
          <w14:textFill>
            <w14:solidFill>
              <w14:schemeClr w14:val="tx1"/>
            </w14:solidFill>
          </w14:textFill>
        </w:rPr>
        <w:t>益</w:t>
      </w:r>
      <w:r>
        <w:rPr>
          <w:rFonts w:hint="eastAsia" w:ascii="宋体" w:hAnsi="宋体" w:cs="SSJ4+ZBNFQG-1"/>
          <w:color w:val="000000" w:themeColor="text1"/>
          <w14:textFill>
            <w14:solidFill>
              <w14:schemeClr w14:val="tx1"/>
            </w14:solidFill>
          </w14:textFill>
        </w:rPr>
        <w:t>的</w:t>
      </w:r>
      <w:r>
        <w:rPr>
          <w:rFonts w:hint="eastAsia" w:ascii="宋体" w:hAnsi="宋体" w:cs="FZSSK--GBK1-00+ZBNFQI-10"/>
          <w:color w:val="000000" w:themeColor="text1"/>
          <w14:textFill>
            <w14:solidFill>
              <w14:schemeClr w14:val="tx1"/>
            </w14:solidFill>
          </w14:textFill>
        </w:rPr>
        <w:t>行</w:t>
      </w:r>
      <w:r>
        <w:rPr>
          <w:rFonts w:hint="eastAsia" w:ascii="宋体" w:hAnsi="宋体" w:cs="SSJ4+ZBNFQG-1"/>
          <w:color w:val="000000" w:themeColor="text1"/>
          <w14:textFill>
            <w14:solidFill>
              <w14:schemeClr w14:val="tx1"/>
            </w14:solidFill>
          </w14:textFill>
        </w:rPr>
        <w:t>为</w:t>
      </w:r>
      <w:r>
        <w:rPr>
          <w:rFonts w:hint="eastAsia" w:ascii="宋体" w:hAnsi="宋体" w:cs="FZSSK--GBK1-00+ZBNFQH-7"/>
          <w:color w:val="000000" w:themeColor="text1"/>
          <w14:textFill>
            <w14:solidFill>
              <w14:schemeClr w14:val="tx1"/>
            </w14:solidFill>
          </w14:textFill>
        </w:rPr>
        <w:t>直</w:t>
      </w:r>
      <w:r>
        <w:rPr>
          <w:rFonts w:hint="eastAsia" w:ascii="宋体" w:hAnsi="宋体" w:cs="FZSSK--GBK1-00+ZBNFQH-8"/>
          <w:color w:val="000000" w:themeColor="text1"/>
          <w14:textFill>
            <w14:solidFill>
              <w14:schemeClr w14:val="tx1"/>
            </w14:solidFill>
          </w14:textFill>
        </w:rPr>
        <w:t>接</w:t>
      </w:r>
      <w:r>
        <w:rPr>
          <w:rFonts w:hint="eastAsia" w:ascii="宋体" w:hAnsi="宋体" w:cs="FZSSK--GBK1-00+ZBNFQH-5"/>
          <w:color w:val="000000" w:themeColor="text1"/>
          <w14:textFill>
            <w14:solidFill>
              <w14:schemeClr w14:val="tx1"/>
            </w14:solidFill>
          </w14:textFill>
        </w:rPr>
        <w:t>进</w:t>
      </w:r>
      <w:r>
        <w:rPr>
          <w:rFonts w:hint="eastAsia" w:ascii="宋体" w:hAnsi="宋体" w:cs="FZSSK--GBK1-00+ZBNFQI-10"/>
          <w:color w:val="000000" w:themeColor="text1"/>
          <w14:textFill>
            <w14:solidFill>
              <w14:schemeClr w14:val="tx1"/>
            </w14:solidFill>
          </w14:textFill>
        </w:rPr>
        <w:t>行</w:t>
      </w:r>
      <w:r>
        <w:rPr>
          <w:rFonts w:hint="eastAsia" w:ascii="宋体" w:hAnsi="宋体" w:cs="FZSSK--GBK1-00+ZBNFQH-8"/>
          <w:color w:val="000000" w:themeColor="text1"/>
          <w14:textFill>
            <w14:solidFill>
              <w14:schemeClr w14:val="tx1"/>
            </w14:solidFill>
          </w14:textFill>
        </w:rPr>
        <w:t>起</w:t>
      </w:r>
      <w:r>
        <w:rPr>
          <w:rFonts w:hint="eastAsia" w:ascii="宋体" w:hAnsi="宋体" w:cs="FZSSK--GBK1-00+ZBNFQQ-24"/>
          <w:color w:val="000000" w:themeColor="text1"/>
          <w14:textFill>
            <w14:solidFill>
              <w14:schemeClr w14:val="tx1"/>
            </w14:solidFill>
          </w14:textFill>
        </w:rPr>
        <w:t>诉</w:t>
      </w:r>
      <w:r>
        <w:rPr>
          <w:rFonts w:hint="eastAsia" w:ascii="宋体" w:hAnsi="宋体" w:cs="SSJ4+ZBNFQG-1"/>
          <w:color w:val="000000" w:themeColor="text1"/>
          <w14:textFill>
            <w14:solidFill>
              <w14:schemeClr w14:val="tx1"/>
            </w14:solidFill>
          </w14:textFill>
        </w:rPr>
        <w:t>，而</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H-8"/>
          <w:color w:val="000000" w:themeColor="text1"/>
          <w14:textFill>
            <w14:solidFill>
              <w14:schemeClr w14:val="tx1"/>
            </w14:solidFill>
          </w14:textFill>
        </w:rPr>
        <w:t>仅仅</w:t>
      </w:r>
      <w:r>
        <w:rPr>
          <w:rFonts w:hint="eastAsia" w:ascii="宋体" w:hAnsi="宋体" w:cs="SSJ4+ZBNFQG-1"/>
          <w:color w:val="000000" w:themeColor="text1"/>
          <w14:textFill>
            <w14:solidFill>
              <w14:schemeClr w14:val="tx1"/>
            </w14:solidFill>
          </w14:textFill>
        </w:rPr>
        <w:t>要</w:t>
      </w:r>
      <w:r>
        <w:rPr>
          <w:rFonts w:hint="eastAsia" w:ascii="宋体" w:hAnsi="宋体" w:cs="FZSSK--GBK1-00+ZBNFQK-15"/>
          <w:color w:val="000000" w:themeColor="text1"/>
          <w14:textFill>
            <w14:solidFill>
              <w14:schemeClr w14:val="tx1"/>
            </w14:solidFill>
          </w14:textFill>
        </w:rPr>
        <w:t>求</w:t>
      </w:r>
      <w:r>
        <w:rPr>
          <w:rFonts w:hint="eastAsia" w:ascii="宋体" w:hAnsi="宋体" w:cs="FZSSK--GBK1-00+ZBNFQM-17"/>
          <w:color w:val="000000" w:themeColor="text1"/>
          <w14:textFill>
            <w14:solidFill>
              <w14:schemeClr w14:val="tx1"/>
            </w14:solidFill>
          </w14:textFill>
        </w:rPr>
        <w:t>每</w:t>
      </w:r>
      <w:r>
        <w:rPr>
          <w:rFonts w:hint="eastAsia" w:ascii="宋体" w:hAnsi="宋体" w:cs="SSJ4+ZBNFQG-1"/>
          <w:color w:val="000000" w:themeColor="text1"/>
          <w14:textFill>
            <w14:solidFill>
              <w14:schemeClr w14:val="tx1"/>
            </w14:solidFill>
          </w14:textFill>
        </w:rPr>
        <w:t>个</w:t>
      </w:r>
      <w:r>
        <w:rPr>
          <w:rFonts w:hint="eastAsia" w:ascii="宋体" w:hAnsi="宋体" w:cs="FZSSK--GBK1-00+ZBNFQM-17"/>
          <w:color w:val="000000" w:themeColor="text1"/>
          <w14:textFill>
            <w14:solidFill>
              <w14:schemeClr w14:val="tx1"/>
            </w14:solidFill>
          </w14:textFill>
        </w:rPr>
        <w:t>单</w:t>
      </w:r>
      <w:r>
        <w:rPr>
          <w:rFonts w:hint="eastAsia" w:ascii="宋体" w:hAnsi="宋体" w:cs="FZSSK--GBK1-00+ZBNFQJ-12"/>
          <w:color w:val="000000" w:themeColor="text1"/>
          <w14:textFill>
            <w14:solidFill>
              <w14:schemeClr w14:val="tx1"/>
            </w14:solidFill>
          </w14:textFill>
        </w:rPr>
        <w:t>位</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会一</w:t>
      </w:r>
      <w:r>
        <w:rPr>
          <w:rFonts w:hint="eastAsia" w:ascii="宋体" w:hAnsi="宋体" w:cs="SSJ4+ZBNFQG-1"/>
          <w:color w:val="000000" w:themeColor="text1"/>
          <w14:textFill>
            <w14:solidFill>
              <w14:schemeClr w14:val="tx1"/>
            </w14:solidFill>
          </w14:textFill>
        </w:rPr>
        <w:t>对</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I-10"/>
          <w:color w:val="000000" w:themeColor="text1"/>
          <w14:textFill>
            <w14:solidFill>
              <w14:schemeClr w14:val="tx1"/>
            </w14:solidFill>
          </w14:textFill>
        </w:rPr>
        <w:t>地</w:t>
      </w:r>
      <w:r>
        <w:rPr>
          <w:rFonts w:hint="eastAsia" w:ascii="宋体" w:hAnsi="宋体" w:cs="FZSSK--GBK1-00+ZBNFQH-5"/>
          <w:color w:val="000000" w:themeColor="text1"/>
          <w14:textFill>
            <w14:solidFill>
              <w14:schemeClr w14:val="tx1"/>
            </w14:solidFill>
          </w14:textFill>
        </w:rPr>
        <w:t>进</w:t>
      </w:r>
      <w:r>
        <w:rPr>
          <w:rFonts w:hint="eastAsia" w:ascii="宋体" w:hAnsi="宋体" w:cs="FZSSK--GBK1-00+ZBNFQI-10"/>
          <w:color w:val="000000" w:themeColor="text1"/>
          <w14:textFill>
            <w14:solidFill>
              <w14:schemeClr w14:val="tx1"/>
            </w14:solidFill>
          </w14:textFill>
        </w:rPr>
        <w:t>行</w:t>
      </w:r>
      <w:r>
        <w:rPr>
          <w:rFonts w:hint="eastAsia" w:ascii="宋体" w:hAnsi="宋体" w:cs="FZSSK--GBK1-00+ZBNFQK-15"/>
          <w:color w:val="000000" w:themeColor="text1"/>
          <w14:textFill>
            <w14:solidFill>
              <w14:schemeClr w14:val="tx1"/>
            </w14:solidFill>
          </w14:textFill>
        </w:rPr>
        <w:t>集</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谈</w:t>
      </w:r>
      <w:r>
        <w:rPr>
          <w:rFonts w:hint="eastAsia" w:ascii="宋体" w:hAnsi="宋体" w:cs="FZSSK--GBK1-00+ZBNFQJ-13"/>
          <w:color w:val="000000" w:themeColor="text1"/>
          <w14:textFill>
            <w14:solidFill>
              <w14:schemeClr w14:val="tx1"/>
            </w14:solidFill>
          </w14:textFill>
        </w:rPr>
        <w:t>判</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第</w:t>
      </w:r>
      <w:r>
        <w:rPr>
          <w:rFonts w:hint="eastAsia" w:ascii="宋体" w:hAnsi="宋体" w:cs="FZSSK--GBK1-00+ZBNFQH-7"/>
          <w:color w:val="000000" w:themeColor="text1"/>
          <w14:textFill>
            <w14:solidFill>
              <w14:schemeClr w14:val="tx1"/>
            </w14:solidFill>
          </w14:textFill>
        </w:rPr>
        <w:t>二</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H-7"/>
          <w:color w:val="000000" w:themeColor="text1"/>
          <w14:textFill>
            <w14:solidFill>
              <w14:schemeClr w14:val="tx1"/>
            </w14:solidFill>
          </w14:textFill>
        </w:rPr>
        <w:t>强</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会</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H-5"/>
          <w:color w:val="000000" w:themeColor="text1"/>
          <w14:textFill>
            <w14:solidFill>
              <w14:schemeClr w14:val="tx1"/>
            </w14:solidFill>
          </w14:textFill>
        </w:rPr>
        <w:t>量</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5"/>
          <w:color w:val="000000" w:themeColor="text1"/>
          <w14:textFill>
            <w14:solidFill>
              <w14:schemeClr w14:val="tx1"/>
            </w14:solidFill>
          </w14:textFill>
        </w:rPr>
        <w:t>现</w:t>
      </w:r>
      <w:r>
        <w:rPr>
          <w:rFonts w:hint="eastAsia" w:ascii="宋体" w:hAnsi="宋体" w:cs="FZSSK--GBK1-00+ZBNFQK-15"/>
          <w:color w:val="000000" w:themeColor="text1"/>
          <w14:textFill>
            <w14:solidFill>
              <w14:schemeClr w14:val="tx1"/>
            </w14:solidFill>
          </w14:textFill>
        </w:rPr>
        <w:t>劳</w:t>
      </w:r>
      <w:r>
        <w:rPr>
          <w:rFonts w:hint="eastAsia" w:ascii="宋体" w:hAnsi="宋体" w:cs="SSJ4+ZBNFQG-1"/>
          <w:color w:val="000000" w:themeColor="text1"/>
          <w14:textFill>
            <w14:solidFill>
              <w14:schemeClr w14:val="tx1"/>
            </w14:solidFill>
          </w14:textFill>
        </w:rPr>
        <w:t>资</w:t>
      </w:r>
      <w:r>
        <w:rPr>
          <w:rFonts w:hint="eastAsia" w:ascii="宋体" w:hAnsi="宋体" w:cs="FZSSK--GBK1-00+ZBNFQI-10"/>
          <w:color w:val="000000" w:themeColor="text1"/>
          <w14:textFill>
            <w14:solidFill>
              <w14:schemeClr w14:val="tx1"/>
            </w14:solidFill>
          </w14:textFill>
        </w:rPr>
        <w:t>共决</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要</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K-14"/>
          <w:color w:val="000000" w:themeColor="text1"/>
          <w14:textFill>
            <w14:solidFill>
              <w14:schemeClr w14:val="tx1"/>
            </w14:solidFill>
          </w14:textFill>
        </w:rPr>
        <w:t>须</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H-7"/>
          <w:color w:val="000000" w:themeColor="text1"/>
          <w14:textFill>
            <w14:solidFill>
              <w14:schemeClr w14:val="tx1"/>
            </w14:solidFill>
          </w14:textFill>
        </w:rPr>
        <w:t>强</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会</w:t>
      </w:r>
      <w:r>
        <w:rPr>
          <w:rFonts w:hint="eastAsia" w:ascii="宋体" w:hAnsi="宋体" w:cs="SSJ4+ZBNFQG-1"/>
          <w:color w:val="000000" w:themeColor="text1"/>
          <w14:textFill>
            <w14:solidFill>
              <w14:schemeClr w14:val="tx1"/>
            </w14:solidFill>
          </w14:textFill>
        </w:rPr>
        <w:t>在</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10"/>
          <w:color w:val="000000" w:themeColor="text1"/>
          <w14:textFill>
            <w14:solidFill>
              <w14:schemeClr w14:val="tx1"/>
            </w14:solidFill>
          </w14:textFill>
        </w:rPr>
        <w:t>决</w:t>
      </w:r>
      <w:r>
        <w:rPr>
          <w:rFonts w:hint="eastAsia" w:ascii="宋体" w:hAnsi="宋体" w:cs="FZSSK--GBK1-00+ZBNFQH-7"/>
          <w:color w:val="000000" w:themeColor="text1"/>
          <w14:textFill>
            <w14:solidFill>
              <w14:schemeClr w14:val="tx1"/>
            </w14:solidFill>
          </w14:textFill>
        </w:rPr>
        <w:t>定</w:t>
      </w:r>
      <w:r>
        <w:rPr>
          <w:rFonts w:hint="eastAsia" w:ascii="宋体" w:hAnsi="宋体" w:cs="SSJ4+ZBNFQG-1"/>
          <w:color w:val="000000" w:themeColor="text1"/>
          <w14:textFill>
            <w14:solidFill>
              <w14:schemeClr w14:val="tx1"/>
            </w14:solidFill>
          </w14:textFill>
        </w:rPr>
        <w:t>中的谈</w:t>
      </w:r>
      <w:r>
        <w:rPr>
          <w:rFonts w:hint="eastAsia" w:ascii="宋体" w:hAnsi="宋体" w:cs="FZSSK--GBK1-00+ZBNFQJ-13"/>
          <w:color w:val="000000" w:themeColor="text1"/>
          <w14:textFill>
            <w14:solidFill>
              <w14:schemeClr w14:val="tx1"/>
            </w14:solidFill>
          </w14:textFill>
        </w:rPr>
        <w:t>判</w:t>
      </w:r>
      <w:r>
        <w:rPr>
          <w:rFonts w:hint="eastAsia" w:ascii="宋体" w:hAnsi="宋体" w:cs="SSJ4+ZBNFQG-1"/>
          <w:color w:val="000000" w:themeColor="text1"/>
          <w14:textFill>
            <w14:solidFill>
              <w14:schemeClr w14:val="tx1"/>
            </w14:solidFill>
          </w14:textFill>
        </w:rPr>
        <w:t>作</w:t>
      </w:r>
      <w:r>
        <w:rPr>
          <w:rFonts w:hint="eastAsia" w:ascii="宋体" w:hAnsi="宋体" w:cs="FZSSK--GBK1-00+ZBNFQH-8"/>
          <w:color w:val="000000" w:themeColor="text1"/>
          <w14:textFill>
            <w14:solidFill>
              <w14:schemeClr w14:val="tx1"/>
            </w14:solidFill>
          </w14:textFill>
        </w:rPr>
        <w:t>用</w:t>
      </w:r>
      <w:r>
        <w:rPr>
          <w:rFonts w:hint="eastAsia" w:ascii="宋体" w:hAnsi="宋体" w:cs="SSJ0+ZBNFQG-4"/>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通</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K-15"/>
          <w:color w:val="000000" w:themeColor="text1"/>
          <w14:textFill>
            <w14:solidFill>
              <w14:schemeClr w14:val="tx1"/>
            </w14:solidFill>
          </w14:textFill>
        </w:rPr>
        <w:t>劳</w:t>
      </w:r>
      <w:r>
        <w:rPr>
          <w:rFonts w:hint="eastAsia" w:ascii="宋体" w:hAnsi="宋体" w:cs="SSJ4+ZBNFQG-1"/>
          <w:color w:val="000000" w:themeColor="text1"/>
          <w14:textFill>
            <w14:solidFill>
              <w14:schemeClr w14:val="tx1"/>
            </w14:solidFill>
          </w14:textFill>
        </w:rPr>
        <w:t>资谈</w:t>
      </w:r>
      <w:r>
        <w:rPr>
          <w:rFonts w:hint="eastAsia" w:ascii="宋体" w:hAnsi="宋体" w:cs="FZSSK--GBK1-00+ZBNFQJ-13"/>
          <w:color w:val="000000" w:themeColor="text1"/>
          <w14:textFill>
            <w14:solidFill>
              <w14:schemeClr w14:val="tx1"/>
            </w14:solidFill>
          </w14:textFill>
        </w:rPr>
        <w:t>判</w:t>
      </w:r>
      <w:r>
        <w:rPr>
          <w:rFonts w:hint="eastAsia" w:ascii="宋体" w:hAnsi="宋体" w:cs="SSJ4+ZBNFQG-1"/>
          <w:color w:val="000000" w:themeColor="text1"/>
          <w14:textFill>
            <w14:solidFill>
              <w14:schemeClr w14:val="tx1"/>
            </w14:solidFill>
          </w14:textFill>
        </w:rPr>
        <w:t>，可以</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I-10"/>
          <w:color w:val="000000" w:themeColor="text1"/>
          <w14:textFill>
            <w14:solidFill>
              <w14:schemeClr w14:val="tx1"/>
            </w14:solidFill>
          </w14:textFill>
        </w:rPr>
        <w:t>立</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资形</w:t>
      </w:r>
      <w:r>
        <w:rPr>
          <w:rFonts w:hint="eastAsia" w:ascii="宋体" w:hAnsi="宋体" w:cs="FZSSK--GBK1-00+ZBNFQI-9"/>
          <w:color w:val="000000" w:themeColor="text1"/>
          <w14:textFill>
            <w14:solidFill>
              <w14:schemeClr w14:val="tx1"/>
            </w14:solidFill>
          </w14:textFill>
        </w:rPr>
        <w:t>成</w:t>
      </w:r>
      <w:r>
        <w:rPr>
          <w:rFonts w:hint="eastAsia" w:ascii="宋体" w:hAnsi="宋体" w:cs="SSJ4+ZBNFQG-1"/>
          <w:color w:val="000000" w:themeColor="text1"/>
          <w14:textFill>
            <w14:solidFill>
              <w14:schemeClr w14:val="tx1"/>
            </w14:solidFill>
          </w14:textFill>
        </w:rPr>
        <w:t>的</w:t>
      </w:r>
      <w:r>
        <w:rPr>
          <w:rFonts w:hint="eastAsia" w:ascii="宋体" w:hAnsi="宋体" w:cs="FZSSK--GBK1-00+ZBNFQI-10"/>
          <w:color w:val="000000" w:themeColor="text1"/>
          <w14:textFill>
            <w14:solidFill>
              <w14:schemeClr w14:val="tx1"/>
            </w14:solidFill>
          </w14:textFill>
        </w:rPr>
        <w:t>共决制</w:t>
      </w:r>
      <w:r>
        <w:rPr>
          <w:rFonts w:hint="eastAsia" w:ascii="宋体" w:hAnsi="宋体" w:cs="FZSSK--GBK1-00+ZBNFQI-9"/>
          <w:color w:val="000000" w:themeColor="text1"/>
          <w14:textFill>
            <w14:solidFill>
              <w14:schemeClr w14:val="tx1"/>
            </w14:solidFill>
          </w14:textFill>
        </w:rPr>
        <w:t>度</w:t>
      </w:r>
      <w:r>
        <w:rPr>
          <w:rFonts w:hint="eastAsia" w:ascii="宋体" w:hAnsi="宋体" w:cs="SSJ0+ZBNFQG-4"/>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10"/>
          <w:color w:val="000000" w:themeColor="text1"/>
          <w14:textFill>
            <w14:solidFill>
              <w14:schemeClr w14:val="tx1"/>
            </w14:solidFill>
          </w14:textFill>
        </w:rPr>
        <w:t>共决</w:t>
      </w:r>
      <w:r>
        <w:rPr>
          <w:rFonts w:hint="eastAsia" w:ascii="宋体" w:hAnsi="宋体" w:cs="SSJ4+ZBNFQG-1"/>
          <w:color w:val="000000" w:themeColor="text1"/>
          <w14:textFill>
            <w14:solidFill>
              <w14:schemeClr w14:val="tx1"/>
            </w14:solidFill>
          </w14:textFill>
        </w:rPr>
        <w:t>和</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I-10"/>
          <w:color w:val="000000" w:themeColor="text1"/>
          <w14:textFill>
            <w14:solidFill>
              <w14:schemeClr w14:val="tx1"/>
            </w14:solidFill>
          </w14:textFill>
        </w:rPr>
        <w:t>润</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T-26"/>
          <w:color w:val="000000" w:themeColor="text1"/>
          <w14:textFill>
            <w14:solidFill>
              <w14:schemeClr w14:val="tx1"/>
            </w14:solidFill>
          </w14:textFill>
        </w:rPr>
        <w:t>享</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可以</w:t>
      </w:r>
      <w:r>
        <w:rPr>
          <w:rFonts w:hint="eastAsia" w:ascii="宋体" w:hAnsi="宋体" w:cs="FZSSK--GBK1-00+ZBNFQM-17"/>
          <w:color w:val="000000" w:themeColor="text1"/>
          <w14:textFill>
            <w14:solidFill>
              <w14:schemeClr w14:val="tx1"/>
            </w14:solidFill>
          </w14:textFill>
        </w:rPr>
        <w:t>抑</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T-26"/>
          <w:color w:val="000000" w:themeColor="text1"/>
          <w14:textFill>
            <w14:solidFill>
              <w14:schemeClr w14:val="tx1"/>
            </w14:solidFill>
          </w14:textFill>
        </w:rPr>
        <w:t>雇</w:t>
      </w:r>
      <w:r>
        <w:rPr>
          <w:rFonts w:hint="eastAsia" w:ascii="宋体" w:hAnsi="宋体" w:cs="SSJ4+ZBNFQG-1"/>
          <w:color w:val="000000" w:themeColor="text1"/>
          <w14:textFill>
            <w14:solidFill>
              <w14:schemeClr w14:val="tx1"/>
            </w14:solidFill>
          </w14:textFill>
        </w:rPr>
        <w:t>主对于</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资的</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压</w:t>
      </w:r>
      <w:r>
        <w:rPr>
          <w:rFonts w:hint="eastAsia" w:ascii="宋体" w:hAnsi="宋体" w:cs="FZSSK--GBK1-00+ZBNFQI-9"/>
          <w:color w:val="000000" w:themeColor="text1"/>
          <w14:textFill>
            <w14:solidFill>
              <w14:schemeClr w14:val="tx1"/>
            </w14:solidFill>
          </w14:textFill>
        </w:rPr>
        <w:t>低</w:t>
      </w:r>
      <w:r>
        <w:rPr>
          <w:rFonts w:hint="eastAsia" w:ascii="宋体" w:hAnsi="宋体" w:cs="SSJ4+ZBNFQG-1"/>
          <w:color w:val="000000" w:themeColor="text1"/>
          <w14:textFill>
            <w14:solidFill>
              <w14:schemeClr w14:val="tx1"/>
            </w14:solidFill>
          </w14:textFill>
        </w:rPr>
        <w:t>，可以在</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7"/>
          <w:color w:val="000000" w:themeColor="text1"/>
          <w14:textFill>
            <w14:solidFill>
              <w14:schemeClr w14:val="tx1"/>
            </w14:solidFill>
          </w14:textFill>
        </w:rPr>
        <w:t>定</w:t>
      </w:r>
      <w:r>
        <w:rPr>
          <w:rFonts w:hint="eastAsia" w:ascii="宋体" w:hAnsi="宋体" w:cs="FZSSK--GBK1-00+ZBNFQJ-13"/>
          <w:color w:val="000000" w:themeColor="text1"/>
          <w14:textFill>
            <w14:solidFill>
              <w14:schemeClr w14:val="tx1"/>
            </w14:solidFill>
          </w14:textFill>
        </w:rPr>
        <w:t>条</w:t>
      </w:r>
      <w:r>
        <w:rPr>
          <w:rFonts w:hint="eastAsia" w:ascii="宋体" w:hAnsi="宋体" w:cs="FZSSK--GBK1-00+ZBNFQI-9"/>
          <w:color w:val="000000" w:themeColor="text1"/>
          <w14:textFill>
            <w14:solidFill>
              <w14:schemeClr w14:val="tx1"/>
            </w14:solidFill>
          </w14:textFill>
        </w:rPr>
        <w:t>件</w:t>
      </w:r>
      <w:r>
        <w:rPr>
          <w:rFonts w:hint="eastAsia" w:ascii="宋体" w:hAnsi="宋体" w:cs="FZSSK--GBK1-00+ZBNFQH-8"/>
          <w:color w:val="000000" w:themeColor="text1"/>
          <w14:textFill>
            <w14:solidFill>
              <w14:schemeClr w14:val="tx1"/>
            </w14:solidFill>
          </w14:textFill>
        </w:rPr>
        <w:t>下</w:t>
      </w:r>
      <w:r>
        <w:rPr>
          <w:rFonts w:hint="eastAsia" w:ascii="宋体" w:hAnsi="宋体" w:cs="FZSSK--GBK1-00+ZBNFQI-10"/>
          <w:color w:val="000000" w:themeColor="text1"/>
          <w14:textFill>
            <w14:solidFill>
              <w14:schemeClr w14:val="tx1"/>
            </w14:solidFill>
          </w14:textFill>
        </w:rPr>
        <w:t>改</w:t>
      </w:r>
      <w:r>
        <w:rPr>
          <w:rFonts w:hint="eastAsia" w:ascii="宋体" w:hAnsi="宋体" w:cs="FZSSK--GBK1-00+ZBNFQL-16"/>
          <w:color w:val="000000" w:themeColor="text1"/>
          <w14:textFill>
            <w14:solidFill>
              <w14:schemeClr w14:val="tx1"/>
            </w14:solidFill>
          </w14:textFill>
        </w:rPr>
        <w:t>善</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9"/>
          <w:color w:val="000000" w:themeColor="text1"/>
          <w14:textFill>
            <w14:solidFill>
              <w14:schemeClr w14:val="tx1"/>
            </w14:solidFill>
          </w14:textFill>
        </w:rPr>
        <w:t>报</w:t>
      </w:r>
      <w:r>
        <w:rPr>
          <w:rFonts w:hint="eastAsia" w:ascii="宋体" w:hAnsi="宋体" w:cs="FZSSK--GBK1-00+ZBNFQQ-24"/>
          <w:color w:val="000000" w:themeColor="text1"/>
          <w14:textFill>
            <w14:solidFill>
              <w14:schemeClr w14:val="tx1"/>
            </w14:solidFill>
          </w14:textFill>
        </w:rPr>
        <w:t>酬</w:t>
      </w:r>
      <w:r>
        <w:rPr>
          <w:rFonts w:hint="eastAsia" w:ascii="宋体" w:hAnsi="宋体" w:cs="SSJ4+ZBNFQG-1"/>
          <w:color w:val="000000" w:themeColor="text1"/>
          <w14:textFill>
            <w14:solidFill>
              <w14:schemeClr w14:val="tx1"/>
            </w14:solidFill>
          </w14:textFill>
        </w:rPr>
        <w:t>在</w:t>
      </w:r>
      <w:r>
        <w:rPr>
          <w:rFonts w:hint="eastAsia" w:ascii="宋体" w:hAnsi="宋体" w:cs="FZSSK--GBK1-00+ZBNFQI-9"/>
          <w:color w:val="000000" w:themeColor="text1"/>
          <w14:textFill>
            <w14:solidFill>
              <w14:schemeClr w14:val="tx1"/>
            </w14:solidFill>
          </w14:textFill>
        </w:rPr>
        <w:t>初</w:t>
      </w:r>
      <w:r>
        <w:rPr>
          <w:rFonts w:hint="eastAsia" w:ascii="宋体" w:hAnsi="宋体" w:cs="SSJ4+ZBNFQG-1"/>
          <w:color w:val="000000" w:themeColor="text1"/>
          <w14:textFill>
            <w14:solidFill>
              <w14:schemeClr w14:val="tx1"/>
            </w14:solidFill>
          </w14:textFill>
        </w:rPr>
        <w:t>次</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配</w:t>
      </w:r>
      <w:r>
        <w:rPr>
          <w:rFonts w:hint="eastAsia" w:ascii="宋体" w:hAnsi="宋体" w:cs="SSJ4+ZBNFQG-1"/>
          <w:color w:val="000000" w:themeColor="text1"/>
          <w14:textFill>
            <w14:solidFill>
              <w14:schemeClr w14:val="tx1"/>
            </w14:solidFill>
          </w14:textFill>
        </w:rPr>
        <w:t>中的</w:t>
      </w:r>
      <w:r>
        <w:rPr>
          <w:rFonts w:hint="eastAsia" w:ascii="宋体" w:hAnsi="宋体" w:cs="FZSSK--GBK1-00+ZBNFQI-9"/>
          <w:color w:val="000000" w:themeColor="text1"/>
          <w14:textFill>
            <w14:solidFill>
              <w14:schemeClr w14:val="tx1"/>
            </w14:solidFill>
          </w14:textFill>
        </w:rPr>
        <w:t>比</w:t>
      </w:r>
      <w:r>
        <w:rPr>
          <w:rFonts w:hint="eastAsia" w:ascii="宋体" w:hAnsi="宋体" w:cs="SSJ4+ZBNFQG-1"/>
          <w:color w:val="000000" w:themeColor="text1"/>
          <w14:textFill>
            <w14:solidFill>
              <w14:schemeClr w14:val="tx1"/>
            </w14:solidFill>
          </w14:textFill>
        </w:rPr>
        <w:t>重</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在调整</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所有</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H-5"/>
          <w:color w:val="000000" w:themeColor="text1"/>
          <w14:textFill>
            <w14:solidFill>
              <w14:schemeClr w14:val="tx1"/>
            </w14:solidFill>
          </w14:textFill>
        </w:rPr>
        <w:t>结</w:t>
      </w:r>
      <w:r>
        <w:rPr>
          <w:rFonts w:hint="eastAsia" w:ascii="宋体" w:hAnsi="宋体" w:cs="FZSSK--GBK1-00+ZBNFQN-20"/>
          <w:color w:val="000000" w:themeColor="text1"/>
          <w14:textFill>
            <w14:solidFill>
              <w14:schemeClr w14:val="tx1"/>
            </w14:solidFill>
          </w14:textFill>
        </w:rPr>
        <w:t>构</w:t>
      </w:r>
      <w:r>
        <w:rPr>
          <w:rFonts w:hint="eastAsia" w:ascii="宋体" w:hAnsi="宋体" w:cs="FZSSK--GBK1-00+ZBNFQI-9"/>
          <w:color w:val="000000" w:themeColor="text1"/>
          <w14:textFill>
            <w14:solidFill>
              <w14:schemeClr w14:val="tx1"/>
            </w14:solidFill>
          </w14:textFill>
        </w:rPr>
        <w:t>基</w:t>
      </w:r>
      <w:r>
        <w:rPr>
          <w:rFonts w:hint="eastAsia" w:ascii="宋体" w:hAnsi="宋体" w:cs="FZSSK--GBK1-00+ZBNFQK-15"/>
          <w:color w:val="000000" w:themeColor="text1"/>
          <w14:textFill>
            <w14:solidFill>
              <w14:schemeClr w14:val="tx1"/>
            </w14:solidFill>
          </w14:textFill>
        </w:rPr>
        <w:t>础</w:t>
      </w:r>
      <w:r>
        <w:rPr>
          <w:rFonts w:hint="eastAsia" w:ascii="宋体" w:hAnsi="宋体" w:cs="FZSSK--GBK1-00+ZBNFQH-7"/>
          <w:color w:val="000000" w:themeColor="text1"/>
          <w14:textFill>
            <w14:solidFill>
              <w14:schemeClr w14:val="tx1"/>
            </w14:solidFill>
          </w14:textFill>
        </w:rPr>
        <w:t>上</w:t>
      </w:r>
      <w:r>
        <w:rPr>
          <w:rFonts w:hint="eastAsia" w:ascii="宋体" w:hAnsi="宋体" w:cs="SSJ4+ZBNFQG-1"/>
          <w:color w:val="000000" w:themeColor="text1"/>
          <w14:textFill>
            <w14:solidFill>
              <w14:schemeClr w14:val="tx1"/>
            </w14:solidFill>
          </w14:textFill>
        </w:rPr>
        <w:t>重</w:t>
      </w:r>
      <w:r>
        <w:rPr>
          <w:rFonts w:hint="eastAsia" w:ascii="宋体" w:hAnsi="宋体" w:cs="FZSSK--GBK1-00+ZBNFQH-5"/>
          <w:color w:val="000000" w:themeColor="text1"/>
          <w14:textFill>
            <w14:solidFill>
              <w14:schemeClr w14:val="tx1"/>
            </w14:solidFill>
          </w14:textFill>
        </w:rPr>
        <w:t>点</w:t>
      </w:r>
      <w:r>
        <w:rPr>
          <w:rFonts w:hint="eastAsia" w:ascii="宋体" w:hAnsi="宋体" w:cs="FZSSK--GBK1-00+ZBNFQH-8"/>
          <w:color w:val="000000" w:themeColor="text1"/>
          <w14:textFill>
            <w14:solidFill>
              <w14:schemeClr w14:val="tx1"/>
            </w14:solidFill>
          </w14:textFill>
        </w:rPr>
        <w:t>缩</w:t>
      </w:r>
      <w:r>
        <w:rPr>
          <w:rFonts w:hint="eastAsia" w:ascii="宋体" w:hAnsi="宋体" w:cs="FZSSK--GBK1-00+ZBNFQH-5"/>
          <w:color w:val="000000" w:themeColor="text1"/>
          <w14:textFill>
            <w14:solidFill>
              <w14:schemeClr w14:val="tx1"/>
            </w14:solidFill>
          </w14:textFill>
        </w:rPr>
        <w:t>小</w:t>
      </w:r>
      <w:r>
        <w:rPr>
          <w:rFonts w:hint="eastAsia" w:ascii="宋体" w:hAnsi="宋体" w:cs="SSJ4+ZBNFQG-1"/>
          <w:color w:val="000000" w:themeColor="text1"/>
          <w14:textFill>
            <w14:solidFill>
              <w14:schemeClr w14:val="tx1"/>
            </w14:solidFill>
          </w14:textFill>
        </w:rPr>
        <w:t>国</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SSJ4+ZBNFQG-1"/>
          <w:color w:val="000000" w:themeColor="text1"/>
          <w14:textFill>
            <w14:solidFill>
              <w14:schemeClr w14:val="tx1"/>
            </w14:solidFill>
          </w14:textFill>
        </w:rPr>
        <w:t>在</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M-17"/>
          <w:color w:val="000000" w:themeColor="text1"/>
          <w14:textFill>
            <w14:solidFill>
              <w14:schemeClr w14:val="tx1"/>
            </w14:solidFill>
          </w14:textFill>
        </w:rPr>
        <w:t>层</w:t>
      </w:r>
      <w:r>
        <w:rPr>
          <w:rFonts w:hint="eastAsia" w:ascii="宋体" w:hAnsi="宋体" w:cs="SSJ4+ZBNFQG-1"/>
          <w:color w:val="000000" w:themeColor="text1"/>
          <w14:textFill>
            <w14:solidFill>
              <w14:schemeClr w14:val="tx1"/>
            </w14:solidFill>
          </w14:textFill>
        </w:rPr>
        <w:t>面的</w:t>
      </w:r>
      <w:r>
        <w:rPr>
          <w:rFonts w:hint="eastAsia" w:ascii="宋体" w:hAnsi="宋体" w:cs="FZSSK--GBK1-00+ZBNFQI-9"/>
          <w:color w:val="000000" w:themeColor="text1"/>
          <w14:textFill>
            <w14:solidFill>
              <w14:schemeClr w14:val="tx1"/>
            </w14:solidFill>
          </w14:textFill>
        </w:rPr>
        <w:t>初</w:t>
      </w:r>
      <w:r>
        <w:rPr>
          <w:rFonts w:hint="eastAsia" w:ascii="宋体" w:hAnsi="宋体" w:cs="SSJ4+ZBNFQG-1"/>
          <w:color w:val="000000" w:themeColor="text1"/>
          <w14:textFill>
            <w14:solidFill>
              <w14:schemeClr w14:val="tx1"/>
            </w14:solidFill>
          </w14:textFill>
        </w:rPr>
        <w:t>次</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配</w:t>
      </w:r>
      <w:r>
        <w:rPr>
          <w:rFonts w:hint="eastAsia" w:ascii="宋体" w:hAnsi="宋体" w:cs="SSJ4+ZBNFQG-1"/>
          <w:color w:val="000000" w:themeColor="text1"/>
          <w14:textFill>
            <w14:solidFill>
              <w14:schemeClr w14:val="tx1"/>
            </w14:solidFill>
          </w14:textFill>
        </w:rPr>
        <w:t>中的</w:t>
      </w:r>
      <w:r>
        <w:rPr>
          <w:rFonts w:hint="eastAsia" w:ascii="宋体" w:hAnsi="宋体" w:cs="FZSSK--GBK1-00+ZBNFQI-9"/>
          <w:color w:val="000000" w:themeColor="text1"/>
          <w14:textFill>
            <w14:solidFill>
              <w14:schemeClr w14:val="tx1"/>
            </w14:solidFill>
          </w14:textFill>
        </w:rPr>
        <w:t>贫富</w:t>
      </w:r>
      <w:r>
        <w:rPr>
          <w:rFonts w:hint="eastAsia" w:ascii="宋体" w:hAnsi="宋体" w:cs="FZSSK--GBK1-00+ZBNFQH-8"/>
          <w:color w:val="000000" w:themeColor="text1"/>
          <w14:textFill>
            <w14:solidFill>
              <w14:schemeClr w14:val="tx1"/>
            </w14:solidFill>
          </w14:textFill>
        </w:rPr>
        <w:t>分</w:t>
      </w:r>
      <w:r>
        <w:rPr>
          <w:rFonts w:hint="eastAsia" w:ascii="宋体" w:hAnsi="宋体" w:cs="SSJ4+ZBNFQG-1"/>
          <w:color w:val="000000" w:themeColor="text1"/>
          <w14:textFill>
            <w14:solidFill>
              <w14:schemeClr w14:val="tx1"/>
            </w14:solidFill>
          </w14:textFill>
        </w:rPr>
        <w:t>化和</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I-9"/>
          <w:color w:val="000000" w:themeColor="text1"/>
          <w14:textFill>
            <w14:solidFill>
              <w14:schemeClr w14:val="tx1"/>
            </w14:solidFill>
          </w14:textFill>
        </w:rPr>
        <w:t>差</w:t>
      </w:r>
      <w:r>
        <w:rPr>
          <w:rFonts w:hint="eastAsia" w:ascii="宋体" w:hAnsi="宋体" w:cs="FZSSK--GBK1-00+ZBNFQH-5"/>
          <w:color w:val="000000" w:themeColor="text1"/>
          <w14:textFill>
            <w14:solidFill>
              <w14:schemeClr w14:val="tx1"/>
            </w14:solidFill>
          </w14:textFill>
        </w:rPr>
        <w:t>别</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J-12"/>
          <w:color w:val="000000" w:themeColor="text1"/>
          <w14:textFill>
            <w14:solidFill>
              <w14:schemeClr w14:val="tx1"/>
            </w14:solidFill>
          </w14:textFill>
        </w:rPr>
        <w:t>只</w:t>
      </w:r>
      <w:r>
        <w:rPr>
          <w:rFonts w:hint="eastAsia" w:ascii="宋体" w:hAnsi="宋体" w:cs="FZSSK--GBK1-00+ZBNFQL-16"/>
          <w:color w:val="000000" w:themeColor="text1"/>
          <w14:textFill>
            <w14:solidFill>
              <w14:schemeClr w14:val="tx1"/>
            </w14:solidFill>
          </w14:textFill>
        </w:rPr>
        <w:t>属</w:t>
      </w:r>
      <w:r>
        <w:rPr>
          <w:rFonts w:hint="eastAsia" w:ascii="宋体" w:hAnsi="宋体" w:cs="SSJ4+ZBNFQG-1"/>
          <w:color w:val="000000" w:themeColor="text1"/>
          <w14:textFill>
            <w14:solidFill>
              <w14:schemeClr w14:val="tx1"/>
            </w14:solidFill>
          </w14:textFill>
        </w:rPr>
        <w:t>于</w:t>
      </w:r>
      <w:r>
        <w:rPr>
          <w:rFonts w:hint="eastAsia" w:ascii="宋体" w:hAnsi="宋体" w:cs="FZSSK--GBK1-00+ZBNFQK-15"/>
          <w:color w:val="000000" w:themeColor="text1"/>
          <w14:textFill>
            <w14:solidFill>
              <w14:schemeClr w14:val="tx1"/>
            </w14:solidFill>
          </w14:textFill>
        </w:rPr>
        <w:t>微</w:t>
      </w:r>
      <w:r>
        <w:rPr>
          <w:rFonts w:hint="eastAsia" w:ascii="宋体" w:hAnsi="宋体" w:cs="SSJ4+ZBNFQG-1"/>
          <w:color w:val="000000" w:themeColor="text1"/>
          <w14:textFill>
            <w14:solidFill>
              <w14:schemeClr w14:val="tx1"/>
            </w14:solidFill>
          </w14:textFill>
        </w:rPr>
        <w:t>调</w:t>
      </w:r>
      <w:r>
        <w:rPr>
          <w:rFonts w:hint="eastAsia" w:ascii="宋体" w:hAnsi="宋体" w:cs="FZSSK--GBK1-00+ZBNFQH-7"/>
          <w:color w:val="000000" w:themeColor="text1"/>
          <w14:textFill>
            <w14:solidFill>
              <w14:schemeClr w14:val="tx1"/>
            </w14:solidFill>
          </w14:textFill>
        </w:rPr>
        <w:t>性</w:t>
      </w:r>
      <w:r>
        <w:rPr>
          <w:rFonts w:hint="eastAsia" w:ascii="宋体" w:hAnsi="宋体" w:cs="FZSSK--GBK1-00+ZBNFQH-5"/>
          <w:color w:val="000000" w:themeColor="text1"/>
          <w14:textFill>
            <w14:solidFill>
              <w14:schemeClr w14:val="tx1"/>
            </w14:solidFill>
          </w14:textFill>
        </w:rPr>
        <w:t>质</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再分</w:t>
      </w:r>
      <w:r>
        <w:rPr>
          <w:rFonts w:hint="eastAsia" w:ascii="宋体" w:hAnsi="宋体" w:cs="FZSSK--GBK1-00+ZBNFQI-10"/>
          <w:color w:val="000000" w:themeColor="text1"/>
          <w14:textFill>
            <w14:solidFill>
              <w14:schemeClr w14:val="tx1"/>
            </w14:solidFill>
          </w14:textFill>
        </w:rPr>
        <w:t>配改</w:t>
      </w:r>
      <w:r>
        <w:rPr>
          <w:rFonts w:hint="eastAsia" w:ascii="宋体" w:hAnsi="宋体" w:cs="FZSSK--GBK1-00+ZBNFQL-16"/>
          <w:color w:val="000000" w:themeColor="text1"/>
          <w14:textFill>
            <w14:solidFill>
              <w14:schemeClr w14:val="tx1"/>
            </w14:solidFill>
          </w14:textFill>
        </w:rPr>
        <w:t>良</w:t>
      </w:r>
      <w:r>
        <w:rPr>
          <w:rFonts w:hint="eastAsia" w:ascii="宋体" w:hAnsi="宋体" w:cs="FZSSK--GBK1-00+ZBNFQH-7"/>
          <w:color w:val="000000" w:themeColor="text1"/>
          <w14:textFill>
            <w14:solidFill>
              <w14:schemeClr w14:val="tx1"/>
            </w14:solidFill>
          </w14:textFill>
        </w:rPr>
        <w:t>肯定</w:t>
      </w:r>
      <w:r>
        <w:rPr>
          <w:rFonts w:hint="eastAsia" w:ascii="宋体" w:hAnsi="宋体" w:cs="SSJ4+ZBNFQG-1"/>
          <w:color w:val="000000" w:themeColor="text1"/>
          <w14:textFill>
            <w14:solidFill>
              <w14:schemeClr w14:val="tx1"/>
            </w14:solidFill>
          </w14:textFill>
        </w:rPr>
        <w:t>重要</w:t>
      </w:r>
      <w:r>
        <w:rPr>
          <w:rFonts w:hint="eastAsia" w:ascii="宋体" w:hAnsi="宋体" w:cs="FZSSK--GBK1-00+ZBNFQH-8"/>
          <w:color w:val="000000" w:themeColor="text1"/>
          <w14:textFill>
            <w14:solidFill>
              <w14:schemeClr w14:val="tx1"/>
            </w14:solidFill>
          </w14:textFill>
        </w:rPr>
        <w:t>得</w:t>
      </w:r>
      <w:r>
        <w:rPr>
          <w:rFonts w:hint="eastAsia" w:ascii="宋体" w:hAnsi="宋体" w:cs="SSJ4+ZBNFQG-1"/>
          <w:color w:val="000000" w:themeColor="text1"/>
          <w14:textFill>
            <w14:solidFill>
              <w14:schemeClr w14:val="tx1"/>
            </w14:solidFill>
          </w14:textFill>
        </w:rPr>
        <w:t>多</w:t>
      </w:r>
      <w:r>
        <w:rPr>
          <w:rFonts w:hint="eastAsia" w:ascii="宋体" w:hAnsi="宋体" w:cs="SSJ0+ZBNFQG-4"/>
          <w:color w:val="000000" w:themeColor="text1"/>
          <w14:textFill>
            <w14:solidFill>
              <w14:schemeClr w14:val="tx1"/>
            </w14:solidFill>
          </w14:textFill>
        </w:rPr>
        <w:t>。</w:t>
      </w:r>
    </w:p>
    <w:p w14:paraId="1CD47496">
      <w:pPr>
        <w:autoSpaceDE w:val="0"/>
        <w:autoSpaceDN w:val="0"/>
        <w:adjustRightInd w:val="0"/>
        <w:spacing w:line="400" w:lineRule="exact"/>
        <w:ind w:firstLine="420" w:firstLineChars="200"/>
        <w:jc w:val="left"/>
        <w:rPr>
          <w:rFonts w:hint="eastAsia" w:ascii="宋体" w:hAnsi="宋体" w:cs="FZSSK--GBK1-00+ZBNFQJ-12"/>
          <w:color w:val="000000" w:themeColor="text1"/>
          <w14:textFill>
            <w14:solidFill>
              <w14:schemeClr w14:val="tx1"/>
            </w14:solidFill>
          </w14:textFill>
        </w:rPr>
      </w:pPr>
      <w:r>
        <w:rPr>
          <w:rFonts w:hint="eastAsia" w:ascii="宋体" w:hAnsi="宋体" w:cs="E-BZ+ZBNFQH-6"/>
          <w:color w:val="000000" w:themeColor="text1"/>
          <w14:textFill>
            <w14:solidFill>
              <w14:schemeClr w14:val="tx1"/>
            </w14:solidFill>
          </w14:textFill>
        </w:rPr>
        <w:t>2.</w:t>
      </w:r>
      <w:r>
        <w:rPr>
          <w:rFonts w:hint="eastAsia" w:ascii="宋体" w:hAnsi="宋体" w:cs="FZSSK--GBK1-00+ZBNFQJ-13"/>
          <w:color w:val="000000" w:themeColor="text1"/>
          <w14:textFill>
            <w14:solidFill>
              <w14:schemeClr w14:val="tx1"/>
            </w14:solidFill>
          </w14:textFill>
        </w:rPr>
        <w:t>严</w:t>
      </w:r>
      <w:r>
        <w:rPr>
          <w:rFonts w:hint="eastAsia" w:ascii="宋体" w:hAnsi="宋体" w:cs="FZSSK--GBK1-00+ZBNFQH-7"/>
          <w:color w:val="000000" w:themeColor="text1"/>
          <w14:textFill>
            <w14:solidFill>
              <w14:schemeClr w14:val="tx1"/>
            </w14:solidFill>
          </w14:textFill>
        </w:rPr>
        <w:t>格</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8"/>
          <w:color w:val="000000" w:themeColor="text1"/>
          <w14:textFill>
            <w14:solidFill>
              <w14:schemeClr w14:val="tx1"/>
            </w14:solidFill>
          </w14:textFill>
        </w:rPr>
        <w:t>施</w:t>
      </w:r>
      <w:r>
        <w:rPr>
          <w:rFonts w:hint="eastAsia" w:ascii="宋体" w:hAnsi="宋体" w:cs="FZSSK--GBK1-00+ZBNFQH-7"/>
          <w:color w:val="000000" w:themeColor="text1"/>
          <w14:textFill>
            <w14:solidFill>
              <w14:schemeClr w14:val="tx1"/>
            </w14:solidFill>
          </w14:textFill>
        </w:rPr>
        <w:t>最</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I-10"/>
          <w:color w:val="000000" w:themeColor="text1"/>
          <w14:textFill>
            <w14:solidFill>
              <w14:schemeClr w14:val="tx1"/>
            </w14:solidFill>
          </w14:textFill>
        </w:rPr>
        <w:t>立</w:t>
      </w:r>
      <w:r>
        <w:rPr>
          <w:rFonts w:hint="eastAsia" w:ascii="宋体" w:hAnsi="宋体" w:cs="FZSSK--GBK1-00+ZBNFQH-5"/>
          <w:color w:val="000000" w:themeColor="text1"/>
          <w14:textFill>
            <w14:solidFill>
              <w14:schemeClr w14:val="tx1"/>
            </w14:solidFill>
          </w14:textFill>
        </w:rPr>
        <w:t>合</w:t>
      </w:r>
      <w:r>
        <w:rPr>
          <w:rFonts w:hint="eastAsia" w:ascii="宋体" w:hAnsi="宋体" w:cs="FZSSK--GBK1-00+ZBNFQI-9"/>
          <w:color w:val="000000" w:themeColor="text1"/>
          <w14:textFill>
            <w14:solidFill>
              <w14:schemeClr w14:val="tx1"/>
            </w14:solidFill>
          </w14:textFill>
        </w:rPr>
        <w:t>理</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第一</w:t>
      </w:r>
      <w:r>
        <w:rPr>
          <w:rFonts w:hint="eastAsia" w:ascii="宋体" w:hAnsi="宋体" w:cs="SSJ4+ZBNFQG-1"/>
          <w:color w:val="000000" w:themeColor="text1"/>
          <w14:textFill>
            <w14:solidFill>
              <w14:schemeClr w14:val="tx1"/>
            </w14:solidFill>
          </w14:textFill>
        </w:rPr>
        <w:t>，</w:t>
      </w:r>
      <w:r>
        <w:rPr>
          <w:rFonts w:hint="eastAsia" w:ascii="宋体" w:hAnsi="宋体" w:cs="FZSSK--GBK1-00+ZBNFQJ-13"/>
          <w:color w:val="000000" w:themeColor="text1"/>
          <w14:textFill>
            <w14:solidFill>
              <w14:schemeClr w14:val="tx1"/>
            </w14:solidFill>
          </w14:textFill>
        </w:rPr>
        <w:t>严</w:t>
      </w:r>
      <w:r>
        <w:rPr>
          <w:rFonts w:hint="eastAsia" w:ascii="宋体" w:hAnsi="宋体" w:cs="FZSSK--GBK1-00+ZBNFQH-7"/>
          <w:color w:val="000000" w:themeColor="text1"/>
          <w14:textFill>
            <w14:solidFill>
              <w14:schemeClr w14:val="tx1"/>
            </w14:solidFill>
          </w14:textFill>
        </w:rPr>
        <w:t>格</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8"/>
          <w:color w:val="000000" w:themeColor="text1"/>
          <w14:textFill>
            <w14:solidFill>
              <w14:schemeClr w14:val="tx1"/>
            </w14:solidFill>
          </w14:textFill>
        </w:rPr>
        <w:t>施</w:t>
      </w:r>
      <w:r>
        <w:rPr>
          <w:rFonts w:hint="eastAsia" w:ascii="宋体" w:hAnsi="宋体" w:cs="FZSSK--GBK1-00+ZBNFQH-7"/>
          <w:color w:val="000000" w:themeColor="text1"/>
          <w14:textFill>
            <w14:solidFill>
              <w14:schemeClr w14:val="tx1"/>
            </w14:solidFill>
          </w14:textFill>
        </w:rPr>
        <w:t>最</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SSJ0+ZBNFQG-4"/>
          <w:color w:val="000000" w:themeColor="text1"/>
          <w14:textFill>
            <w14:solidFill>
              <w14:schemeClr w14:val="tx1"/>
            </w14:solidFill>
          </w14:textFill>
        </w:rPr>
        <w:t>。</w:t>
      </w:r>
      <w:r>
        <w:rPr>
          <w:rFonts w:hint="eastAsia" w:ascii="宋体" w:hAnsi="宋体" w:cs="FZSSK--GBK1-00+ZBNFQK-15"/>
          <w:color w:val="000000" w:themeColor="text1"/>
          <w14:textFill>
            <w14:solidFill>
              <w14:schemeClr w14:val="tx1"/>
            </w14:solidFill>
          </w14:textFill>
        </w:rPr>
        <w:t>劳</w:t>
      </w:r>
      <w:r>
        <w:rPr>
          <w:rFonts w:hint="eastAsia" w:ascii="宋体" w:hAnsi="宋体" w:cs="SSJ4+ZBNFQG-1"/>
          <w:color w:val="000000" w:themeColor="text1"/>
          <w14:textFill>
            <w14:solidFill>
              <w14:schemeClr w14:val="tx1"/>
            </w14:solidFill>
          </w14:textFill>
        </w:rPr>
        <w:t>资</w:t>
      </w:r>
      <w:r>
        <w:rPr>
          <w:rFonts w:hint="eastAsia" w:ascii="宋体" w:hAnsi="宋体" w:cs="FZSSK--GBK1-00+ZBNFQJ-13"/>
          <w:color w:val="000000" w:themeColor="text1"/>
          <w14:textFill>
            <w14:solidFill>
              <w14:schemeClr w14:val="tx1"/>
            </w14:solidFill>
          </w14:textFill>
        </w:rPr>
        <w:t>冲突</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核</w:t>
      </w:r>
      <w:r>
        <w:rPr>
          <w:rFonts w:hint="eastAsia" w:ascii="宋体" w:hAnsi="宋体" w:cs="FZSSK--GBK1-00+ZBNFQH-8"/>
          <w:color w:val="000000" w:themeColor="text1"/>
          <w14:textFill>
            <w14:solidFill>
              <w14:schemeClr w14:val="tx1"/>
            </w14:solidFill>
          </w14:textFill>
        </w:rPr>
        <w:t>心</w:t>
      </w:r>
      <w:r>
        <w:rPr>
          <w:rFonts w:hint="eastAsia" w:ascii="宋体" w:hAnsi="宋体" w:cs="SSJ4+ZBNFQG-1"/>
          <w:color w:val="000000" w:themeColor="text1"/>
          <w14:textFill>
            <w14:solidFill>
              <w14:schemeClr w14:val="tx1"/>
            </w14:solidFill>
          </w14:textFill>
        </w:rPr>
        <w:t>是</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K-15"/>
          <w:color w:val="000000" w:themeColor="text1"/>
          <w14:textFill>
            <w14:solidFill>
              <w14:schemeClr w14:val="tx1"/>
            </w14:solidFill>
          </w14:textFill>
        </w:rPr>
        <w:t>益</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配</w:t>
      </w:r>
      <w:r>
        <w:rPr>
          <w:rFonts w:hint="eastAsia" w:ascii="宋体" w:hAnsi="宋体" w:cs="FZSSK--GBK1-00+ZBNFQJ-13"/>
          <w:color w:val="000000" w:themeColor="text1"/>
          <w14:textFill>
            <w14:solidFill>
              <w14:schemeClr w14:val="tx1"/>
            </w14:solidFill>
          </w14:textFill>
        </w:rPr>
        <w:t>冲突</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J-13"/>
          <w:color w:val="000000" w:themeColor="text1"/>
          <w14:textFill>
            <w14:solidFill>
              <w14:schemeClr w14:val="tx1"/>
            </w14:solidFill>
          </w14:textFill>
        </w:rPr>
        <w:t>条</w:t>
      </w:r>
      <w:r>
        <w:rPr>
          <w:rFonts w:hint="eastAsia" w:ascii="宋体" w:hAnsi="宋体" w:cs="FZSSK--GBK1-00+ZBNFQI-9"/>
          <w:color w:val="000000" w:themeColor="text1"/>
          <w14:textFill>
            <w14:solidFill>
              <w14:schemeClr w14:val="tx1"/>
            </w14:solidFill>
          </w14:textFill>
        </w:rPr>
        <w:t>件</w:t>
      </w:r>
      <w:r>
        <w:rPr>
          <w:rFonts w:hint="eastAsia" w:ascii="宋体" w:hAnsi="宋体" w:cs="FZSSK--GBK1-00+ZBNFQH-8"/>
          <w:color w:val="000000" w:themeColor="text1"/>
          <w14:textFill>
            <w14:solidFill>
              <w14:schemeClr w14:val="tx1"/>
            </w14:solidFill>
          </w14:textFill>
        </w:rPr>
        <w:t>下</w:t>
      </w:r>
      <w:r>
        <w:rPr>
          <w:rFonts w:hint="eastAsia" w:ascii="宋体" w:hAnsi="宋体" w:cs="SSJ4+ZBNFQG-1"/>
          <w:color w:val="000000" w:themeColor="text1"/>
          <w14:textFill>
            <w14:solidFill>
              <w14:schemeClr w14:val="tx1"/>
            </w14:solidFill>
          </w14:textFill>
        </w:rPr>
        <w:t>要有</w:t>
      </w:r>
      <w:r>
        <w:rPr>
          <w:rFonts w:hint="eastAsia" w:ascii="宋体" w:hAnsi="宋体" w:cs="FZSSK--GBK1-00+ZBNFQK-14"/>
          <w:color w:val="000000" w:themeColor="text1"/>
          <w14:textFill>
            <w14:solidFill>
              <w14:schemeClr w14:val="tx1"/>
            </w14:solidFill>
          </w14:textFill>
        </w:rPr>
        <w:t>效</w:t>
      </w:r>
      <w:r>
        <w:rPr>
          <w:rFonts w:hint="eastAsia" w:ascii="宋体" w:hAnsi="宋体" w:cs="FZSSK--GBK1-00+ZBNFQL-16"/>
          <w:color w:val="000000" w:themeColor="text1"/>
          <w14:textFill>
            <w14:solidFill>
              <w14:schemeClr w14:val="tx1"/>
            </w14:solidFill>
          </w14:textFill>
        </w:rPr>
        <w:t>缓</w:t>
      </w:r>
      <w:r>
        <w:rPr>
          <w:rFonts w:hint="eastAsia" w:ascii="宋体" w:hAnsi="宋体" w:cs="FZSSK--GBK1-00+ZBNFQH-8"/>
          <w:color w:val="000000" w:themeColor="text1"/>
          <w14:textFill>
            <w14:solidFill>
              <w14:schemeClr w14:val="tx1"/>
            </w14:solidFill>
          </w14:textFill>
        </w:rPr>
        <w:t>解</w:t>
      </w:r>
      <w:r>
        <w:rPr>
          <w:rFonts w:hint="eastAsia" w:ascii="宋体" w:hAnsi="宋体" w:cs="FZSSK--GBK1-00+ZBNFQK-15"/>
          <w:color w:val="000000" w:themeColor="text1"/>
          <w14:textFill>
            <w14:solidFill>
              <w14:schemeClr w14:val="tx1"/>
            </w14:solidFill>
          </w14:textFill>
        </w:rPr>
        <w:t>劳</w:t>
      </w:r>
      <w:r>
        <w:rPr>
          <w:rFonts w:hint="eastAsia" w:ascii="宋体" w:hAnsi="宋体" w:cs="SSJ4+ZBNFQG-1"/>
          <w:color w:val="000000" w:themeColor="text1"/>
          <w14:textFill>
            <w14:solidFill>
              <w14:schemeClr w14:val="tx1"/>
            </w14:solidFill>
          </w14:textFill>
        </w:rPr>
        <w:t>资</w:t>
      </w:r>
      <w:r>
        <w:rPr>
          <w:rFonts w:hint="eastAsia" w:ascii="宋体" w:hAnsi="宋体" w:cs="FZSSK--GBK1-00+ZBNFQJ-13"/>
          <w:color w:val="000000" w:themeColor="text1"/>
          <w14:textFill>
            <w14:solidFill>
              <w14:schemeClr w14:val="tx1"/>
            </w14:solidFill>
          </w14:textFill>
        </w:rPr>
        <w:t>冲突</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K-14"/>
          <w:color w:val="000000" w:themeColor="text1"/>
          <w14:textFill>
            <w14:solidFill>
              <w14:schemeClr w14:val="tx1"/>
            </w14:solidFill>
          </w14:textFill>
        </w:rPr>
        <w:t>须建</w:t>
      </w:r>
      <w:r>
        <w:rPr>
          <w:rFonts w:hint="eastAsia" w:ascii="宋体" w:hAnsi="宋体" w:cs="FZSSK--GBK1-00+ZBNFQI-10"/>
          <w:color w:val="000000" w:themeColor="text1"/>
          <w14:textFill>
            <w14:solidFill>
              <w14:schemeClr w14:val="tx1"/>
            </w14:solidFill>
          </w14:textFill>
        </w:rPr>
        <w:t>立</w:t>
      </w:r>
      <w:r>
        <w:rPr>
          <w:rFonts w:hint="eastAsia" w:ascii="宋体" w:hAnsi="宋体" w:cs="FZSSK--GBK1-00+ZBNFQK-15"/>
          <w:color w:val="000000" w:themeColor="text1"/>
          <w14:textFill>
            <w14:solidFill>
              <w14:schemeClr w14:val="tx1"/>
            </w14:solidFill>
          </w14:textFill>
        </w:rPr>
        <w:t>劳</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资</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政三</w:t>
      </w:r>
      <w:r>
        <w:rPr>
          <w:rFonts w:hint="eastAsia" w:ascii="宋体" w:hAnsi="宋体" w:cs="FZSSK--GBK1-00+ZBNFQH-8"/>
          <w:color w:val="000000" w:themeColor="text1"/>
          <w14:textFill>
            <w14:solidFill>
              <w14:schemeClr w14:val="tx1"/>
            </w14:solidFill>
          </w14:textFill>
        </w:rPr>
        <w:t>方</w:t>
      </w:r>
      <w:r>
        <w:rPr>
          <w:rFonts w:hint="eastAsia" w:ascii="宋体" w:hAnsi="宋体" w:cs="FZSSK--GBK1-00+ZBNFQQ-24"/>
          <w:color w:val="000000" w:themeColor="text1"/>
          <w14:textFill>
            <w14:solidFill>
              <w14:schemeClr w14:val="tx1"/>
            </w14:solidFill>
          </w14:textFill>
        </w:rPr>
        <w:t>协</w:t>
      </w:r>
      <w:r>
        <w:rPr>
          <w:rFonts w:hint="eastAsia" w:ascii="宋体" w:hAnsi="宋体" w:cs="SSJ4+ZBNFQG-1"/>
          <w:color w:val="000000" w:themeColor="text1"/>
          <w14:textFill>
            <w14:solidFill>
              <w14:schemeClr w14:val="tx1"/>
            </w14:solidFill>
          </w14:textFill>
        </w:rPr>
        <w:t>调机</w:t>
      </w:r>
      <w:r>
        <w:rPr>
          <w:rFonts w:hint="eastAsia" w:ascii="宋体" w:hAnsi="宋体" w:cs="FZSSK--GBK1-00+ZBNFQI-10"/>
          <w:color w:val="000000" w:themeColor="text1"/>
          <w14:textFill>
            <w14:solidFill>
              <w14:schemeClr w14:val="tx1"/>
            </w14:solidFill>
          </w14:textFill>
        </w:rPr>
        <w:t>制</w:t>
      </w:r>
      <w:r>
        <w:rPr>
          <w:rFonts w:hint="eastAsia" w:ascii="宋体" w:hAnsi="宋体" w:cs="SSJ0+ZBNFQG-4"/>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西方</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经</w:t>
      </w:r>
      <w:r>
        <w:rPr>
          <w:rFonts w:hint="eastAsia" w:ascii="宋体" w:hAnsi="宋体" w:cs="FZSSK--GBK1-00+ZBNFQH-5"/>
          <w:color w:val="000000" w:themeColor="text1"/>
          <w14:textFill>
            <w14:solidFill>
              <w14:schemeClr w14:val="tx1"/>
            </w14:solidFill>
          </w14:textFill>
        </w:rPr>
        <w:t>过</w:t>
      </w:r>
      <w:r>
        <w:rPr>
          <w:rFonts w:hint="eastAsia" w:ascii="宋体" w:hAnsi="宋体" w:cs="E-BZ+ZBNFQH-6"/>
          <w:color w:val="000000" w:themeColor="text1"/>
          <w14:textFill>
            <w14:solidFill>
              <w14:schemeClr w14:val="tx1"/>
            </w14:solidFill>
          </w14:textFill>
        </w:rPr>
        <w:t>100</w:t>
      </w:r>
      <w:r>
        <w:rPr>
          <w:rFonts w:hint="eastAsia" w:ascii="宋体" w:hAnsi="宋体" w:cs="SSJ4+ZBNFQG-1"/>
          <w:color w:val="000000" w:themeColor="text1"/>
          <w14:textFill>
            <w14:solidFill>
              <w14:schemeClr w14:val="tx1"/>
            </w14:solidFill>
          </w14:textFill>
        </w:rPr>
        <w:t>多</w:t>
      </w:r>
      <w:r>
        <w:rPr>
          <w:rFonts w:hint="eastAsia" w:ascii="宋体" w:hAnsi="宋体" w:cs="FZSSK--GBK1-00+ZBNFQH-5"/>
          <w:color w:val="000000" w:themeColor="text1"/>
          <w14:textFill>
            <w14:solidFill>
              <w14:schemeClr w14:val="tx1"/>
            </w14:solidFill>
          </w14:textFill>
        </w:rPr>
        <w:t>年</w:t>
      </w:r>
      <w:r>
        <w:rPr>
          <w:rFonts w:hint="eastAsia" w:ascii="宋体" w:hAnsi="宋体" w:cs="SSJ4+ZBNFQG-1"/>
          <w:color w:val="000000" w:themeColor="text1"/>
          <w14:textFill>
            <w14:solidFill>
              <w14:schemeClr w14:val="tx1"/>
            </w14:solidFill>
          </w14:textFill>
        </w:rPr>
        <w:t>的发展，</w:t>
      </w:r>
      <w:r>
        <w:rPr>
          <w:rFonts w:hint="eastAsia" w:ascii="宋体" w:hAnsi="宋体" w:cs="FZSSK--GBK1-00+ZBNFQH-5"/>
          <w:color w:val="000000" w:themeColor="text1"/>
          <w14:textFill>
            <w14:solidFill>
              <w14:schemeClr w14:val="tx1"/>
            </w14:solidFill>
          </w14:textFill>
        </w:rPr>
        <w:t>已</w:t>
      </w:r>
      <w:r>
        <w:rPr>
          <w:rFonts w:hint="eastAsia" w:ascii="宋体" w:hAnsi="宋体" w:cs="SSJ4+ZBNFQG-1"/>
          <w:color w:val="000000" w:themeColor="text1"/>
          <w14:textFill>
            <w14:solidFill>
              <w14:schemeClr w14:val="tx1"/>
            </w14:solidFill>
          </w14:textFill>
        </w:rPr>
        <w:t>经</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I-10"/>
          <w:color w:val="000000" w:themeColor="text1"/>
          <w14:textFill>
            <w14:solidFill>
              <w14:schemeClr w14:val="tx1"/>
            </w14:solidFill>
          </w14:textFill>
        </w:rPr>
        <w:t>立</w:t>
      </w:r>
      <w:r>
        <w:rPr>
          <w:rFonts w:hint="eastAsia" w:ascii="宋体" w:hAnsi="宋体" w:cs="FZSSK--GBK1-00+ZBNFQH-8"/>
          <w:color w:val="000000" w:themeColor="text1"/>
          <w14:textFill>
            <w14:solidFill>
              <w14:schemeClr w14:val="tx1"/>
            </w14:solidFill>
          </w14:textFill>
        </w:rPr>
        <w:t>起</w:t>
      </w:r>
      <w:r>
        <w:rPr>
          <w:rFonts w:hint="eastAsia" w:ascii="宋体" w:hAnsi="宋体" w:cs="SSJ4+ZBNFQG-1"/>
          <w:color w:val="000000" w:themeColor="text1"/>
          <w14:textFill>
            <w14:solidFill>
              <w14:schemeClr w14:val="tx1"/>
            </w14:solidFill>
          </w14:textFill>
        </w:rPr>
        <w:t>有</w:t>
      </w:r>
      <w:r>
        <w:rPr>
          <w:rFonts w:hint="eastAsia" w:ascii="宋体" w:hAnsi="宋体" w:cs="FZSSK--GBK1-00+ZBNFQK-14"/>
          <w:color w:val="000000" w:themeColor="text1"/>
          <w14:textFill>
            <w14:solidFill>
              <w14:schemeClr w14:val="tx1"/>
            </w14:solidFill>
          </w14:textFill>
        </w:rPr>
        <w:t>效</w:t>
      </w:r>
      <w:r>
        <w:rPr>
          <w:rFonts w:hint="eastAsia" w:ascii="宋体" w:hAnsi="宋体" w:cs="SSJ4+ZBNFQG-1"/>
          <w:color w:val="000000" w:themeColor="text1"/>
          <w14:textFill>
            <w14:solidFill>
              <w14:schemeClr w14:val="tx1"/>
            </w14:solidFill>
          </w14:textFill>
        </w:rPr>
        <w:t>的</w:t>
      </w:r>
      <w:r>
        <w:rPr>
          <w:rFonts w:hint="eastAsia" w:ascii="宋体" w:hAnsi="宋体" w:cs="FZSSK--GBK1-00+ZBNFQK-15"/>
          <w:color w:val="000000" w:themeColor="text1"/>
          <w14:textFill>
            <w14:solidFill>
              <w14:schemeClr w14:val="tx1"/>
            </w14:solidFill>
          </w14:textFill>
        </w:rPr>
        <w:t>劳</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资</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政三</w:t>
      </w:r>
      <w:r>
        <w:rPr>
          <w:rFonts w:hint="eastAsia" w:ascii="宋体" w:hAnsi="宋体" w:cs="FZSSK--GBK1-00+ZBNFQH-8"/>
          <w:color w:val="000000" w:themeColor="text1"/>
          <w14:textFill>
            <w14:solidFill>
              <w14:schemeClr w14:val="tx1"/>
            </w14:solidFill>
          </w14:textFill>
        </w:rPr>
        <w:t>方</w:t>
      </w:r>
      <w:r>
        <w:rPr>
          <w:rFonts w:hint="eastAsia" w:ascii="宋体" w:hAnsi="宋体" w:cs="FZSSK--GBK1-00+ZBNFQQ-24"/>
          <w:color w:val="000000" w:themeColor="text1"/>
          <w14:textFill>
            <w14:solidFill>
              <w14:schemeClr w14:val="tx1"/>
            </w14:solidFill>
          </w14:textFill>
        </w:rPr>
        <w:t>协</w:t>
      </w:r>
      <w:r>
        <w:rPr>
          <w:rFonts w:hint="eastAsia" w:ascii="宋体" w:hAnsi="宋体" w:cs="SSJ4+ZBNFQG-1"/>
          <w:color w:val="000000" w:themeColor="text1"/>
          <w14:textFill>
            <w14:solidFill>
              <w14:schemeClr w14:val="tx1"/>
            </w14:solidFill>
          </w14:textFill>
        </w:rPr>
        <w:t>调机</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，而</w:t>
      </w:r>
      <w:r>
        <w:rPr>
          <w:rFonts w:hint="eastAsia" w:ascii="宋体" w:hAnsi="宋体" w:cs="FZSSK--GBK1-00+ZBNFQH-5"/>
          <w:color w:val="000000" w:themeColor="text1"/>
          <w14:textFill>
            <w14:solidFill>
              <w14:schemeClr w14:val="tx1"/>
            </w14:solidFill>
          </w14:textFill>
        </w:rPr>
        <w:t>这一</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在我国</w:t>
      </w: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处于</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J-12"/>
          <w:color w:val="000000" w:themeColor="text1"/>
          <w14:textFill>
            <w14:solidFill>
              <w14:schemeClr w14:val="tx1"/>
            </w14:solidFill>
          </w14:textFill>
        </w:rPr>
        <w:t>设</w:t>
      </w:r>
      <w:r>
        <w:rPr>
          <w:rFonts w:hint="eastAsia" w:ascii="宋体" w:hAnsi="宋体" w:cs="SSJ0+ZBNFQG-4"/>
          <w:color w:val="000000" w:themeColor="text1"/>
          <w14:textFill>
            <w14:solidFill>
              <w14:schemeClr w14:val="tx1"/>
            </w14:solidFill>
          </w14:textFill>
        </w:rPr>
        <w:t>、</w:t>
      </w:r>
      <w:r>
        <w:rPr>
          <w:rFonts w:hint="eastAsia" w:ascii="宋体" w:hAnsi="宋体" w:cs="FZSSK--GBK1-00+ZBNFQL-16"/>
          <w:color w:val="000000" w:themeColor="text1"/>
          <w14:textFill>
            <w14:solidFill>
              <w14:schemeClr w14:val="tx1"/>
            </w14:solidFill>
          </w14:textFill>
        </w:rPr>
        <w:t>探</w:t>
      </w:r>
      <w:r>
        <w:rPr>
          <w:rFonts w:hint="eastAsia" w:ascii="宋体" w:hAnsi="宋体" w:cs="FZSSK--GBK1-00+ZBNFQO-22"/>
          <w:color w:val="000000" w:themeColor="text1"/>
          <w14:textFill>
            <w14:solidFill>
              <w14:schemeClr w14:val="tx1"/>
            </w14:solidFill>
          </w14:textFill>
        </w:rPr>
        <w:t>索</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J-12"/>
          <w:color w:val="000000" w:themeColor="text1"/>
          <w14:textFill>
            <w14:solidFill>
              <w14:schemeClr w14:val="tx1"/>
            </w14:solidFill>
          </w14:textFill>
        </w:rPr>
        <w:t>程</w:t>
      </w:r>
      <w:r>
        <w:rPr>
          <w:rFonts w:hint="eastAsia" w:ascii="宋体" w:hAnsi="宋体" w:cs="SSJ4+ZBNFQG-1"/>
          <w:color w:val="000000" w:themeColor="text1"/>
          <w14:textFill>
            <w14:solidFill>
              <w14:schemeClr w14:val="tx1"/>
            </w14:solidFill>
          </w14:textFill>
        </w:rPr>
        <w:t>中</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在中国</w:t>
      </w:r>
      <w:r>
        <w:rPr>
          <w:rFonts w:hint="eastAsia" w:ascii="宋体" w:hAnsi="宋体" w:cs="FZSSK--GBK1-00+ZBNFQH-7"/>
          <w:color w:val="000000" w:themeColor="text1"/>
          <w14:textFill>
            <w14:solidFill>
              <w14:schemeClr w14:val="tx1"/>
            </w14:solidFill>
          </w14:textFill>
        </w:rPr>
        <w:t>目</w:t>
      </w:r>
      <w:r>
        <w:rPr>
          <w:rFonts w:hint="eastAsia" w:ascii="宋体" w:hAnsi="宋体" w:cs="SSJ4+ZBNFQG-1"/>
          <w:color w:val="000000" w:themeColor="text1"/>
          <w14:textFill>
            <w14:solidFill>
              <w14:schemeClr w14:val="tx1"/>
            </w14:solidFill>
          </w14:textFill>
        </w:rPr>
        <w:t>前的</w:t>
      </w:r>
      <w:r>
        <w:rPr>
          <w:rFonts w:hint="eastAsia" w:ascii="宋体" w:hAnsi="宋体" w:cs="FZSSK--GBK1-00+ZBNFQI-9"/>
          <w:color w:val="000000" w:themeColor="text1"/>
          <w14:textFill>
            <w14:solidFill>
              <w14:schemeClr w14:val="tx1"/>
            </w14:solidFill>
          </w14:textFill>
        </w:rPr>
        <w:t>情</w:t>
      </w:r>
      <w:r>
        <w:rPr>
          <w:rFonts w:hint="eastAsia" w:ascii="宋体" w:hAnsi="宋体" w:cs="FZSSK--GBK1-00+ZBNFQL-16"/>
          <w:color w:val="000000" w:themeColor="text1"/>
          <w14:textFill>
            <w14:solidFill>
              <w14:schemeClr w14:val="tx1"/>
            </w14:solidFill>
          </w14:textFill>
        </w:rPr>
        <w:t>况</w:t>
      </w:r>
      <w:r>
        <w:rPr>
          <w:rFonts w:hint="eastAsia" w:ascii="宋体" w:hAnsi="宋体" w:cs="FZSSK--GBK1-00+ZBNFQH-8"/>
          <w:color w:val="000000" w:themeColor="text1"/>
          <w14:textFill>
            <w14:solidFill>
              <w14:schemeClr w14:val="tx1"/>
            </w14:solidFill>
          </w14:textFill>
        </w:rPr>
        <w:t>下</w:t>
      </w:r>
      <w:r>
        <w:rPr>
          <w:rFonts w:hint="eastAsia" w:ascii="宋体" w:hAnsi="宋体" w:cs="SSJ4+ZBNFQG-1"/>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只</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通</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J-13"/>
          <w:color w:val="000000" w:themeColor="text1"/>
          <w14:textFill>
            <w14:solidFill>
              <w14:schemeClr w14:val="tx1"/>
            </w14:solidFill>
          </w14:textFill>
        </w:rPr>
        <w:t>严</w:t>
      </w:r>
      <w:r>
        <w:rPr>
          <w:rFonts w:hint="eastAsia" w:ascii="宋体" w:hAnsi="宋体" w:cs="FZSSK--GBK1-00+ZBNFQH-7"/>
          <w:color w:val="000000" w:themeColor="text1"/>
          <w14:textFill>
            <w14:solidFill>
              <w14:schemeClr w14:val="tx1"/>
            </w14:solidFill>
          </w14:textFill>
        </w:rPr>
        <w:t>格</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8"/>
          <w:color w:val="000000" w:themeColor="text1"/>
          <w14:textFill>
            <w14:solidFill>
              <w14:schemeClr w14:val="tx1"/>
            </w14:solidFill>
          </w14:textFill>
        </w:rPr>
        <w:t>施</w:t>
      </w:r>
      <w:r>
        <w:rPr>
          <w:rFonts w:hint="eastAsia" w:ascii="宋体" w:hAnsi="宋体" w:cs="FZSSK--GBK1-00+ZBNFQH-7"/>
          <w:color w:val="000000" w:themeColor="text1"/>
          <w14:textFill>
            <w14:solidFill>
              <w14:schemeClr w14:val="tx1"/>
            </w14:solidFill>
          </w14:textFill>
        </w:rPr>
        <w:t>最</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w:t>
      </w:r>
      <w:r>
        <w:rPr>
          <w:rFonts w:hint="eastAsia" w:ascii="宋体" w:hAnsi="宋体" w:cs="FZSSK--GBK1-00+ZBNFQP-23"/>
          <w:color w:val="000000" w:themeColor="text1"/>
          <w14:textFill>
            <w14:solidFill>
              <w14:schemeClr w14:val="tx1"/>
            </w14:solidFill>
          </w14:textFill>
        </w:rPr>
        <w:t>才</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I-10"/>
          <w:color w:val="000000" w:themeColor="text1"/>
          <w14:textFill>
            <w14:solidFill>
              <w14:schemeClr w14:val="tx1"/>
            </w14:solidFill>
          </w14:textFill>
        </w:rPr>
        <w:t>改</w:t>
      </w:r>
      <w:r>
        <w:rPr>
          <w:rFonts w:hint="eastAsia" w:ascii="宋体" w:hAnsi="宋体" w:cs="FZSSK--GBK1-00+ZBNFQL-16"/>
          <w:color w:val="000000" w:themeColor="text1"/>
          <w14:textFill>
            <w14:solidFill>
              <w14:schemeClr w14:val="tx1"/>
            </w14:solidFill>
          </w14:textFill>
        </w:rPr>
        <w:t>善</w:t>
      </w:r>
      <w:r>
        <w:rPr>
          <w:rFonts w:hint="eastAsia" w:ascii="宋体" w:hAnsi="宋体" w:cs="FZSSK--GBK1-00+ZBNFQK-15"/>
          <w:color w:val="000000" w:themeColor="text1"/>
          <w14:textFill>
            <w14:solidFill>
              <w14:schemeClr w14:val="tx1"/>
            </w14:solidFill>
          </w14:textFill>
        </w:rPr>
        <w:t>劳</w:t>
      </w:r>
      <w:r>
        <w:rPr>
          <w:rFonts w:hint="eastAsia" w:ascii="宋体" w:hAnsi="宋体" w:cs="SSJ4+ZBNFQG-1"/>
          <w:color w:val="000000" w:themeColor="text1"/>
          <w14:textFill>
            <w14:solidFill>
              <w14:schemeClr w14:val="tx1"/>
            </w14:solidFill>
          </w14:textFill>
        </w:rPr>
        <w:t>资</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配</w:t>
      </w:r>
      <w:r>
        <w:rPr>
          <w:rFonts w:hint="eastAsia" w:ascii="宋体" w:hAnsi="宋体" w:cs="SSJ4+ZBNFQG-1"/>
          <w:color w:val="000000" w:themeColor="text1"/>
          <w14:textFill>
            <w14:solidFill>
              <w14:schemeClr w14:val="tx1"/>
            </w14:solidFill>
          </w14:textFill>
        </w:rPr>
        <w:t>，</w:t>
      </w:r>
      <w:r>
        <w:rPr>
          <w:rFonts w:hint="eastAsia" w:ascii="宋体" w:hAnsi="宋体" w:cs="FZSSK--GBK1-00+ZBNFQL-16"/>
          <w:color w:val="000000" w:themeColor="text1"/>
          <w14:textFill>
            <w14:solidFill>
              <w14:schemeClr w14:val="tx1"/>
            </w14:solidFill>
          </w14:textFill>
        </w:rPr>
        <w:t>缓</w:t>
      </w:r>
      <w:r>
        <w:rPr>
          <w:rFonts w:hint="eastAsia" w:ascii="宋体" w:hAnsi="宋体" w:cs="FZSSK--GBK1-00+ZBNFQH-8"/>
          <w:color w:val="000000" w:themeColor="text1"/>
          <w14:textFill>
            <w14:solidFill>
              <w14:schemeClr w14:val="tx1"/>
            </w14:solidFill>
          </w14:textFill>
        </w:rPr>
        <w:t>解</w:t>
      </w:r>
      <w:r>
        <w:rPr>
          <w:rFonts w:hint="eastAsia" w:ascii="宋体" w:hAnsi="宋体" w:cs="FZSSK--GBK1-00+ZBNFQK-15"/>
          <w:color w:val="000000" w:themeColor="text1"/>
          <w14:textFill>
            <w14:solidFill>
              <w14:schemeClr w14:val="tx1"/>
            </w14:solidFill>
          </w14:textFill>
        </w:rPr>
        <w:t>劳</w:t>
      </w:r>
      <w:r>
        <w:rPr>
          <w:rFonts w:hint="eastAsia" w:ascii="宋体" w:hAnsi="宋体" w:cs="SSJ4+ZBNFQG-1"/>
          <w:color w:val="000000" w:themeColor="text1"/>
          <w14:textFill>
            <w14:solidFill>
              <w14:schemeClr w14:val="tx1"/>
            </w14:solidFill>
          </w14:textFill>
        </w:rPr>
        <w:t>资</w:t>
      </w:r>
      <w:r>
        <w:rPr>
          <w:rFonts w:hint="eastAsia" w:ascii="宋体" w:hAnsi="宋体" w:cs="FZSSK--GBK1-00+ZBNFQK-15"/>
          <w:color w:val="000000" w:themeColor="text1"/>
          <w14:textFill>
            <w14:solidFill>
              <w14:schemeClr w14:val="tx1"/>
            </w14:solidFill>
          </w14:textFill>
        </w:rPr>
        <w:t>矛盾</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第</w:t>
      </w:r>
      <w:r>
        <w:rPr>
          <w:rFonts w:hint="eastAsia" w:ascii="宋体" w:hAnsi="宋体" w:cs="FZSSK--GBK1-00+ZBNFQH-7"/>
          <w:color w:val="000000" w:themeColor="text1"/>
          <w14:textFill>
            <w14:solidFill>
              <w14:schemeClr w14:val="tx1"/>
            </w14:solidFill>
          </w14:textFill>
        </w:rPr>
        <w:t>二</w:t>
      </w:r>
      <w:r>
        <w:rPr>
          <w:rFonts w:hint="eastAsia" w:ascii="宋体" w:hAnsi="宋体" w:cs="SSJ4+ZBNFQG-1"/>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I-10"/>
          <w:color w:val="000000" w:themeColor="text1"/>
          <w14:textFill>
            <w14:solidFill>
              <w14:schemeClr w14:val="tx1"/>
            </w14:solidFill>
          </w14:textFill>
        </w:rPr>
        <w:t>立</w:t>
      </w:r>
      <w:r>
        <w:rPr>
          <w:rFonts w:hint="eastAsia" w:ascii="宋体" w:hAnsi="宋体" w:cs="FZSSK--GBK1-00+ZBNFQH-5"/>
          <w:color w:val="000000" w:themeColor="text1"/>
          <w14:textFill>
            <w14:solidFill>
              <w14:schemeClr w14:val="tx1"/>
            </w14:solidFill>
          </w14:textFill>
        </w:rPr>
        <w:t>合</w:t>
      </w:r>
      <w:r>
        <w:rPr>
          <w:rFonts w:hint="eastAsia" w:ascii="宋体" w:hAnsi="宋体" w:cs="FZSSK--GBK1-00+ZBNFQI-9"/>
          <w:color w:val="000000" w:themeColor="text1"/>
          <w14:textFill>
            <w14:solidFill>
              <w14:schemeClr w14:val="tx1"/>
            </w14:solidFill>
          </w14:textFill>
        </w:rPr>
        <w:t>理</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我国自</w:t>
      </w:r>
      <w:r>
        <w:rPr>
          <w:rFonts w:hint="eastAsia" w:ascii="宋体" w:hAnsi="宋体" w:cs="FZSSK--GBK1-00+ZBNFQI-10"/>
          <w:color w:val="000000" w:themeColor="text1"/>
          <w14:textFill>
            <w14:solidFill>
              <w14:schemeClr w14:val="tx1"/>
            </w14:solidFill>
          </w14:textFill>
        </w:rPr>
        <w:t>改</w:t>
      </w:r>
      <w:r>
        <w:rPr>
          <w:rFonts w:hint="eastAsia" w:ascii="宋体" w:hAnsi="宋体" w:cs="SSJ4+ZBNFQG-1"/>
          <w:color w:val="000000" w:themeColor="text1"/>
          <w14:textFill>
            <w14:solidFill>
              <w14:schemeClr w14:val="tx1"/>
            </w14:solidFill>
          </w14:textFill>
        </w:rPr>
        <w:t>革</w:t>
      </w:r>
      <w:r>
        <w:rPr>
          <w:rFonts w:hint="eastAsia" w:ascii="宋体" w:hAnsi="宋体" w:cs="FZSSK--GBK1-00+ZBNFQH-7"/>
          <w:color w:val="000000" w:themeColor="text1"/>
          <w14:textFill>
            <w14:solidFill>
              <w14:schemeClr w14:val="tx1"/>
            </w14:solidFill>
          </w14:textFill>
        </w:rPr>
        <w:t>开</w:t>
      </w:r>
      <w:r>
        <w:rPr>
          <w:rFonts w:hint="eastAsia" w:ascii="宋体" w:hAnsi="宋体" w:cs="FZSSK--GBK1-00+ZBNFQK-14"/>
          <w:color w:val="000000" w:themeColor="text1"/>
          <w14:textFill>
            <w14:solidFill>
              <w14:schemeClr w14:val="tx1"/>
            </w14:solidFill>
          </w14:textFill>
        </w:rPr>
        <w:t>放</w:t>
      </w:r>
      <w:r>
        <w:rPr>
          <w:rFonts w:hint="eastAsia" w:ascii="宋体" w:hAnsi="宋体" w:cs="SSJ4+ZBNFQG-1"/>
          <w:color w:val="000000" w:themeColor="text1"/>
          <w14:textFill>
            <w14:solidFill>
              <w14:schemeClr w14:val="tx1"/>
            </w14:solidFill>
          </w14:textFill>
        </w:rPr>
        <w:t>以来，</w:t>
      </w:r>
      <w:r>
        <w:rPr>
          <w:rFonts w:hint="eastAsia" w:ascii="宋体" w:hAnsi="宋体" w:cs="FZSSK--GBK1-00+ZBNFQJ-13"/>
          <w:color w:val="000000" w:themeColor="text1"/>
          <w14:textFill>
            <w14:solidFill>
              <w14:schemeClr w14:val="tx1"/>
            </w14:solidFill>
          </w14:textFill>
        </w:rPr>
        <w:t>逐</w:t>
      </w:r>
      <w:r>
        <w:rPr>
          <w:rFonts w:hint="eastAsia" w:ascii="宋体" w:hAnsi="宋体" w:cs="FZSSK--GBK1-00+ZBNFQH-7"/>
          <w:color w:val="000000" w:themeColor="text1"/>
          <w14:textFill>
            <w14:solidFill>
              <w14:schemeClr w14:val="tx1"/>
            </w14:solidFill>
          </w14:textFill>
        </w:rPr>
        <w:t>步</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I-10"/>
          <w:color w:val="000000" w:themeColor="text1"/>
          <w14:textFill>
            <w14:solidFill>
              <w14:schemeClr w14:val="tx1"/>
            </w14:solidFill>
          </w14:textFill>
        </w:rPr>
        <w:t>立</w:t>
      </w:r>
      <w:r>
        <w:rPr>
          <w:rFonts w:hint="eastAsia" w:ascii="宋体" w:hAnsi="宋体" w:cs="SSJ4+ZBNFQG-1"/>
          <w:color w:val="000000" w:themeColor="text1"/>
          <w14:textFill>
            <w14:solidFill>
              <w14:schemeClr w14:val="tx1"/>
            </w14:solidFill>
          </w14:textFill>
        </w:rPr>
        <w:t>了</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10"/>
          <w:color w:val="000000" w:themeColor="text1"/>
          <w14:textFill>
            <w14:solidFill>
              <w14:schemeClr w14:val="tx1"/>
            </w14:solidFill>
          </w14:textFill>
        </w:rPr>
        <w:t>决</w:t>
      </w:r>
      <w:r>
        <w:rPr>
          <w:rFonts w:hint="eastAsia" w:ascii="宋体" w:hAnsi="宋体" w:cs="FZSSK--GBK1-00+ZBNFQH-7"/>
          <w:color w:val="000000" w:themeColor="text1"/>
          <w14:textFill>
            <w14:solidFill>
              <w14:schemeClr w14:val="tx1"/>
            </w14:solidFill>
          </w14:textFill>
        </w:rPr>
        <w:t>定</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但</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府</w:t>
      </w:r>
      <w:r>
        <w:rPr>
          <w:rFonts w:hint="eastAsia" w:ascii="宋体" w:hAnsi="宋体" w:cs="SSJ4+ZBNFQG-1"/>
          <w:color w:val="000000" w:themeColor="text1"/>
          <w14:textFill>
            <w14:solidFill>
              <w14:schemeClr w14:val="tx1"/>
            </w14:solidFill>
          </w14:textFill>
        </w:rPr>
        <w:t>对</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资的调</w:t>
      </w:r>
      <w:r>
        <w:rPr>
          <w:rFonts w:hint="eastAsia" w:ascii="宋体" w:hAnsi="宋体" w:cs="FZSSK--GBK1-00+ZBNFQL-16"/>
          <w:color w:val="000000" w:themeColor="text1"/>
          <w14:textFill>
            <w14:solidFill>
              <w14:schemeClr w14:val="tx1"/>
            </w14:solidFill>
          </w14:textFill>
        </w:rPr>
        <w:t>节</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H-8"/>
          <w:color w:val="000000" w:themeColor="text1"/>
          <w14:textFill>
            <w14:solidFill>
              <w14:schemeClr w14:val="tx1"/>
            </w14:solidFill>
          </w14:textFill>
        </w:rPr>
        <w:t>并</w:t>
      </w:r>
      <w:r>
        <w:rPr>
          <w:rFonts w:hint="eastAsia" w:ascii="宋体" w:hAnsi="宋体" w:cs="FZSSK--GBK1-00+ZBNFQH-5"/>
          <w:color w:val="000000" w:themeColor="text1"/>
          <w14:textFill>
            <w14:solidFill>
              <w14:schemeClr w14:val="tx1"/>
            </w14:solidFill>
          </w14:textFill>
        </w:rPr>
        <w:t>没</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相</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J-13"/>
          <w:color w:val="000000" w:themeColor="text1"/>
          <w14:textFill>
            <w14:solidFill>
              <w14:schemeClr w14:val="tx1"/>
            </w14:solidFill>
          </w14:textFill>
        </w:rPr>
        <w:t>跟</w:t>
      </w:r>
      <w:r>
        <w:rPr>
          <w:rFonts w:hint="eastAsia" w:ascii="宋体" w:hAnsi="宋体" w:cs="FZSSK--GBK1-00+ZBNFQH-5"/>
          <w:color w:val="000000" w:themeColor="text1"/>
          <w14:textFill>
            <w14:solidFill>
              <w14:schemeClr w14:val="tx1"/>
            </w14:solidFill>
          </w14:textFill>
        </w:rPr>
        <w:t>进</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在当前</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5"/>
          <w:color w:val="000000" w:themeColor="text1"/>
          <w14:textFill>
            <w14:solidFill>
              <w14:schemeClr w14:val="tx1"/>
            </w14:solidFill>
          </w14:textFill>
        </w:rPr>
        <w:t>不断</w:t>
      </w:r>
      <w:r>
        <w:rPr>
          <w:rFonts w:hint="eastAsia" w:ascii="宋体" w:hAnsi="宋体" w:cs="FZSSK--GBK1-00+ZBNFQH-8"/>
          <w:color w:val="000000" w:themeColor="text1"/>
          <w14:textFill>
            <w14:solidFill>
              <w14:schemeClr w14:val="tx1"/>
            </w14:solidFill>
          </w14:textFill>
        </w:rPr>
        <w:t>下</w:t>
      </w:r>
      <w:r>
        <w:rPr>
          <w:rFonts w:hint="eastAsia" w:ascii="宋体" w:hAnsi="宋体" w:cs="FZSSK--GBK1-00+ZBNFQT-26"/>
          <w:color w:val="000000" w:themeColor="text1"/>
          <w14:textFill>
            <w14:solidFill>
              <w14:schemeClr w14:val="tx1"/>
            </w14:solidFill>
          </w14:textFill>
        </w:rPr>
        <w:t>滑</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情</w:t>
      </w:r>
      <w:r>
        <w:rPr>
          <w:rFonts w:hint="eastAsia" w:ascii="宋体" w:hAnsi="宋体" w:cs="FZSSK--GBK1-00+ZBNFQL-16"/>
          <w:color w:val="000000" w:themeColor="text1"/>
          <w14:textFill>
            <w14:solidFill>
              <w14:schemeClr w14:val="tx1"/>
            </w14:solidFill>
          </w14:textFill>
        </w:rPr>
        <w:t>况</w:t>
      </w:r>
      <w:r>
        <w:rPr>
          <w:rFonts w:hint="eastAsia" w:ascii="宋体" w:hAnsi="宋体" w:cs="FZSSK--GBK1-00+ZBNFQH-8"/>
          <w:color w:val="000000" w:themeColor="text1"/>
          <w14:textFill>
            <w14:solidFill>
              <w14:schemeClr w14:val="tx1"/>
            </w14:solidFill>
          </w14:textFill>
        </w:rPr>
        <w:t>下</w:t>
      </w:r>
      <w:r>
        <w:rPr>
          <w:rFonts w:hint="eastAsia" w:ascii="宋体" w:hAnsi="宋体" w:cs="SSJ4+ZBNFQG-1"/>
          <w:color w:val="000000" w:themeColor="text1"/>
          <w14:textFill>
            <w14:solidFill>
              <w14:schemeClr w14:val="tx1"/>
            </w14:solidFill>
          </w14:textFill>
        </w:rPr>
        <w:t>，可以</w:t>
      </w:r>
      <w:r>
        <w:rPr>
          <w:rFonts w:hint="eastAsia" w:ascii="宋体" w:hAnsi="宋体" w:cs="FZSSK--GBK1-00+ZBNFQI-10"/>
          <w:color w:val="000000" w:themeColor="text1"/>
          <w14:textFill>
            <w14:solidFill>
              <w14:schemeClr w14:val="tx1"/>
            </w14:solidFill>
          </w14:textFill>
        </w:rPr>
        <w:t>通</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府</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资调</w:t>
      </w:r>
      <w:r>
        <w:rPr>
          <w:rFonts w:hint="eastAsia" w:ascii="宋体" w:hAnsi="宋体" w:cs="FZSSK--GBK1-00+ZBNFQL-16"/>
          <w:color w:val="000000" w:themeColor="text1"/>
          <w14:textFill>
            <w14:solidFill>
              <w14:schemeClr w14:val="tx1"/>
            </w14:solidFill>
          </w14:textFill>
        </w:rPr>
        <w:t>节</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T-26"/>
          <w:color w:val="000000" w:themeColor="text1"/>
          <w14:textFill>
            <w14:solidFill>
              <w14:schemeClr w14:val="tx1"/>
            </w14:solidFill>
          </w14:textFill>
        </w:rPr>
        <w:t>矫</w:t>
      </w:r>
      <w:r>
        <w:rPr>
          <w:rFonts w:hint="eastAsia" w:ascii="宋体" w:hAnsi="宋体" w:cs="SSJ4+ZBNFQG-1"/>
          <w:color w:val="000000" w:themeColor="text1"/>
          <w14:textFill>
            <w14:solidFill>
              <w14:schemeClr w14:val="tx1"/>
            </w14:solidFill>
          </w14:textFill>
        </w:rPr>
        <w:t>正</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10"/>
          <w:color w:val="000000" w:themeColor="text1"/>
          <w14:textFill>
            <w14:solidFill>
              <w14:schemeClr w14:val="tx1"/>
            </w14:solidFill>
          </w14:textFill>
        </w:rPr>
        <w:t>决</w:t>
      </w:r>
      <w:r>
        <w:rPr>
          <w:rFonts w:hint="eastAsia" w:ascii="宋体" w:hAnsi="宋体" w:cs="FZSSK--GBK1-00+ZBNFQH-7"/>
          <w:color w:val="000000" w:themeColor="text1"/>
          <w14:textFill>
            <w14:solidFill>
              <w14:schemeClr w14:val="tx1"/>
            </w14:solidFill>
          </w14:textFill>
        </w:rPr>
        <w:t>定</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府</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H-5"/>
          <w:color w:val="000000" w:themeColor="text1"/>
          <w14:textFill>
            <w14:solidFill>
              <w14:schemeClr w14:val="tx1"/>
            </w14:solidFill>
          </w14:textFill>
        </w:rPr>
        <w:t>量</w:t>
      </w:r>
      <w:r>
        <w:rPr>
          <w:rFonts w:hint="eastAsia" w:ascii="宋体" w:hAnsi="宋体" w:cs="SSJ4+ZBNFQG-1"/>
          <w:color w:val="000000" w:themeColor="text1"/>
          <w14:textFill>
            <w14:solidFill>
              <w14:schemeClr w14:val="tx1"/>
            </w14:solidFill>
          </w14:textFill>
        </w:rPr>
        <w:t>和</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H-5"/>
          <w:color w:val="000000" w:themeColor="text1"/>
          <w14:textFill>
            <w14:solidFill>
              <w14:schemeClr w14:val="tx1"/>
            </w14:solidFill>
          </w14:textFill>
        </w:rPr>
        <w:t>量相结合</w:t>
      </w:r>
      <w:r>
        <w:rPr>
          <w:rFonts w:hint="eastAsia" w:ascii="宋体" w:hAnsi="宋体" w:cs="SSJ4+ZBNFQG-1"/>
          <w:color w:val="000000" w:themeColor="text1"/>
          <w14:textFill>
            <w14:solidFill>
              <w14:schemeClr w14:val="tx1"/>
            </w14:solidFill>
          </w14:textFill>
        </w:rPr>
        <w:t>，形</w:t>
      </w:r>
      <w:r>
        <w:rPr>
          <w:rFonts w:hint="eastAsia" w:ascii="宋体" w:hAnsi="宋体" w:cs="FZSSK--GBK1-00+ZBNFQI-9"/>
          <w:color w:val="000000" w:themeColor="text1"/>
          <w14:textFill>
            <w14:solidFill>
              <w14:schemeClr w14:val="tx1"/>
            </w14:solidFill>
          </w14:textFill>
        </w:rPr>
        <w:t>成</w:t>
      </w:r>
      <w:r>
        <w:rPr>
          <w:rFonts w:hint="eastAsia" w:ascii="宋体" w:hAnsi="宋体" w:cs="FZSSK--GBK1-00+ZBNFQH-5"/>
          <w:color w:val="000000" w:themeColor="text1"/>
          <w14:textFill>
            <w14:solidFill>
              <w14:schemeClr w14:val="tx1"/>
            </w14:solidFill>
          </w14:textFill>
        </w:rPr>
        <w:t>合</w:t>
      </w:r>
      <w:r>
        <w:rPr>
          <w:rFonts w:hint="eastAsia" w:ascii="宋体" w:hAnsi="宋体" w:cs="FZSSK--GBK1-00+ZBNFQI-9"/>
          <w:color w:val="000000" w:themeColor="text1"/>
          <w14:textFill>
            <w14:solidFill>
              <w14:schemeClr w14:val="tx1"/>
            </w14:solidFill>
          </w14:textFill>
        </w:rPr>
        <w:t>理</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合</w:t>
      </w:r>
      <w:r>
        <w:rPr>
          <w:rFonts w:hint="eastAsia" w:ascii="宋体" w:hAnsi="宋体" w:cs="FZSSK--GBK1-00+ZBNFQI-9"/>
          <w:color w:val="000000" w:themeColor="text1"/>
          <w14:textFill>
            <w14:solidFill>
              <w14:schemeClr w14:val="tx1"/>
            </w14:solidFill>
          </w14:textFill>
        </w:rPr>
        <w:t>理</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J-12"/>
          <w:color w:val="000000" w:themeColor="text1"/>
          <w14:textFill>
            <w14:solidFill>
              <w14:schemeClr w14:val="tx1"/>
            </w14:solidFill>
          </w14:textFill>
        </w:rPr>
        <w:t>包括</w:t>
      </w:r>
      <w:r>
        <w:rPr>
          <w:rFonts w:hint="eastAsia" w:ascii="宋体" w:hAnsi="宋体" w:cs="SSJ4+ZBNFQG-1"/>
          <w:color w:val="000000" w:themeColor="text1"/>
          <w14:textFill>
            <w14:solidFill>
              <w14:schemeClr w14:val="tx1"/>
            </w14:solidFill>
          </w14:textFill>
        </w:rPr>
        <w:t>两</w:t>
      </w:r>
      <w:r>
        <w:rPr>
          <w:rFonts w:hint="eastAsia" w:ascii="宋体" w:hAnsi="宋体" w:cs="FZSSK--GBK1-00+ZBNFQH-8"/>
          <w:color w:val="000000" w:themeColor="text1"/>
          <w14:textFill>
            <w14:solidFill>
              <w14:schemeClr w14:val="tx1"/>
            </w14:solidFill>
          </w14:textFill>
        </w:rPr>
        <w:t>方</w:t>
      </w:r>
      <w:r>
        <w:rPr>
          <w:rFonts w:hint="eastAsia" w:ascii="宋体" w:hAnsi="宋体" w:cs="SSJ4+ZBNFQG-1"/>
          <w:color w:val="000000" w:themeColor="text1"/>
          <w14:textFill>
            <w14:solidFill>
              <w14:schemeClr w14:val="tx1"/>
            </w14:solidFill>
          </w14:textFill>
        </w:rPr>
        <w:t>面</w:t>
      </w:r>
      <w:r>
        <w:rPr>
          <w:rFonts w:hint="eastAsia" w:ascii="宋体" w:hAnsi="宋体" w:cs="FZSSK--GBK1-00+ZBNFQH-7"/>
          <w:color w:val="000000" w:themeColor="text1"/>
          <w14:textFill>
            <w14:solidFill>
              <w14:schemeClr w14:val="tx1"/>
            </w14:solidFill>
          </w14:textFill>
        </w:rPr>
        <w:t>内</w:t>
      </w:r>
      <w:r>
        <w:rPr>
          <w:rFonts w:hint="eastAsia" w:ascii="宋体" w:hAnsi="宋体" w:cs="FZSSK--GBK1-00+ZBNFQJ-12"/>
          <w:color w:val="000000" w:themeColor="text1"/>
          <w14:textFill>
            <w14:solidFill>
              <w14:schemeClr w14:val="tx1"/>
            </w14:solidFill>
          </w14:textFill>
        </w:rPr>
        <w:t>容</w:t>
      </w:r>
      <w:r>
        <w:rPr>
          <w:rFonts w:hint="eastAsia" w:ascii="宋体" w:hAnsi="宋体" w:cs="FZSSK--GBK1-00+ZBNFQH-5"/>
          <w:color w:val="000000" w:themeColor="text1"/>
          <w14:textFill>
            <w14:solidFill>
              <w14:schemeClr w14:val="tx1"/>
            </w14:solidFill>
          </w14:textFill>
        </w:rPr>
        <w:t>：</w:t>
      </w:r>
    </w:p>
    <w:p w14:paraId="09F33B4D">
      <w:pPr>
        <w:autoSpaceDE w:val="0"/>
        <w:autoSpaceDN w:val="0"/>
        <w:adjustRightInd w:val="0"/>
        <w:spacing w:line="400" w:lineRule="exact"/>
        <w:ind w:firstLine="420" w:firstLineChars="200"/>
        <w:jc w:val="left"/>
        <w:rPr>
          <w:rFonts w:hint="eastAsia" w:ascii="宋体" w:hAnsi="宋体" w:cs="FZSSK--GBK1-00+ZBNFQJ-12"/>
          <w:color w:val="000000" w:themeColor="text1"/>
          <w14:textFill>
            <w14:solidFill>
              <w14:schemeClr w14:val="tx1"/>
            </w14:solidFill>
          </w14:textFill>
        </w:rPr>
      </w:pPr>
      <w:r>
        <w:rPr>
          <w:rFonts w:hint="eastAsia" w:ascii="宋体" w:hAnsi="宋体" w:cs="FZSSK--GBK1-00+ZBNFQJ-12"/>
          <w:color w:val="000000" w:themeColor="text1"/>
          <w14:textFill>
            <w14:solidFill>
              <w14:schemeClr w14:val="tx1"/>
            </w14:solidFill>
          </w14:textFill>
        </w:rPr>
        <w:t>（</w:t>
      </w:r>
      <w:r>
        <w:rPr>
          <w:rFonts w:hint="eastAsia" w:ascii="宋体" w:hAnsi="宋体" w:cs="E-BZ+ZBNFQH-6"/>
          <w:color w:val="000000" w:themeColor="text1"/>
          <w14:textFill>
            <w14:solidFill>
              <w14:schemeClr w14:val="tx1"/>
            </w14:solidFill>
          </w14:textFill>
        </w:rPr>
        <w:t>1</w:t>
      </w:r>
      <w:r>
        <w:rPr>
          <w:rFonts w:hint="eastAsia" w:ascii="宋体" w:hAnsi="宋体" w:cs="FZSSK--GBK1-00+ZBNFQJ-12"/>
          <w:color w:val="000000" w:themeColor="text1"/>
          <w14:textFill>
            <w14:solidFill>
              <w14:schemeClr w14:val="tx1"/>
            </w14:solidFill>
          </w14:textFill>
        </w:rPr>
        <w:t>）</w:t>
      </w:r>
      <w:r>
        <w:rPr>
          <w:rFonts w:hint="eastAsia" w:ascii="宋体" w:hAnsi="宋体" w:cs="FZSSK--GBK1-00+ZBNFQL-16"/>
          <w:color w:val="000000" w:themeColor="text1"/>
          <w14:textFill>
            <w14:solidFill>
              <w14:schemeClr w14:val="tx1"/>
            </w14:solidFill>
          </w14:textFill>
        </w:rPr>
        <w:t>职</w:t>
      </w:r>
      <w:r>
        <w:rPr>
          <w:rFonts w:hint="eastAsia" w:ascii="宋体" w:hAnsi="宋体" w:cs="FZSSK--GBK1-00+ZBNFQK-14"/>
          <w:color w:val="000000" w:themeColor="text1"/>
          <w14:textFill>
            <w14:solidFill>
              <w14:schemeClr w14:val="tx1"/>
            </w14:solidFill>
          </w14:textFill>
        </w:rPr>
        <w:t>工工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的指</w:t>
      </w:r>
      <w:r>
        <w:rPr>
          <w:rFonts w:hint="eastAsia" w:ascii="宋体" w:hAnsi="宋体" w:cs="FZSSK--GBK1-00+ZBNFQJ-12"/>
          <w:color w:val="000000" w:themeColor="text1"/>
          <w14:textFill>
            <w14:solidFill>
              <w14:schemeClr w14:val="tx1"/>
            </w14:solidFill>
          </w14:textFill>
        </w:rPr>
        <w:t>数</w:t>
      </w:r>
      <w:r>
        <w:rPr>
          <w:rFonts w:hint="eastAsia" w:ascii="宋体" w:hAnsi="宋体" w:cs="SSJ4+ZBNFQG-1"/>
          <w:color w:val="000000" w:themeColor="text1"/>
          <w14:textFill>
            <w14:solidFill>
              <w14:schemeClr w14:val="tx1"/>
            </w14:solidFill>
          </w14:textFill>
        </w:rPr>
        <w:t>化</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从</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9"/>
          <w:color w:val="000000" w:themeColor="text1"/>
          <w14:textFill>
            <w14:solidFill>
              <w14:schemeClr w14:val="tx1"/>
            </w14:solidFill>
          </w14:textFill>
        </w:rPr>
        <w:t>报</w:t>
      </w:r>
      <w:r>
        <w:rPr>
          <w:rFonts w:hint="eastAsia" w:ascii="宋体" w:hAnsi="宋体" w:cs="FZSSK--GBK1-00+ZBNFQQ-24"/>
          <w:color w:val="000000" w:themeColor="text1"/>
          <w14:textFill>
            <w14:solidFill>
              <w14:schemeClr w14:val="tx1"/>
            </w14:solidFill>
          </w14:textFill>
        </w:rPr>
        <w:t>酬</w:t>
      </w:r>
      <w:r>
        <w:rPr>
          <w:rFonts w:hint="eastAsia" w:ascii="宋体" w:hAnsi="宋体" w:cs="SSJ4+ZBNFQG-1"/>
          <w:color w:val="000000" w:themeColor="text1"/>
          <w14:textFill>
            <w14:solidFill>
              <w14:schemeClr w14:val="tx1"/>
            </w14:solidFill>
          </w14:textFill>
        </w:rPr>
        <w:t>的</w:t>
      </w:r>
      <w:r>
        <w:rPr>
          <w:rFonts w:hint="eastAsia" w:ascii="宋体" w:hAnsi="宋体" w:cs="FZSSK--GBK1-00+ZBNFQJ-12"/>
          <w:color w:val="000000" w:themeColor="text1"/>
          <w14:textFill>
            <w14:solidFill>
              <w14:schemeClr w14:val="tx1"/>
            </w14:solidFill>
          </w14:textFill>
        </w:rPr>
        <w:t>绝</w:t>
      </w:r>
      <w:r>
        <w:rPr>
          <w:rFonts w:hint="eastAsia" w:ascii="宋体" w:hAnsi="宋体" w:cs="SSJ4+ZBNFQG-1"/>
          <w:color w:val="000000" w:themeColor="text1"/>
          <w14:textFill>
            <w14:solidFill>
              <w14:schemeClr w14:val="tx1"/>
            </w14:solidFill>
          </w14:textFill>
        </w:rPr>
        <w:t>对</w:t>
      </w:r>
      <w:r>
        <w:rPr>
          <w:rFonts w:hint="eastAsia" w:ascii="宋体" w:hAnsi="宋体" w:cs="FZSSK--GBK1-00+ZBNFQH-5"/>
          <w:color w:val="000000" w:themeColor="text1"/>
          <w14:textFill>
            <w14:solidFill>
              <w14:schemeClr w14:val="tx1"/>
            </w14:solidFill>
          </w14:textFill>
        </w:rPr>
        <w:t>量</w:t>
      </w:r>
      <w:r>
        <w:rPr>
          <w:rFonts w:hint="eastAsia" w:ascii="宋体" w:hAnsi="宋体" w:cs="SSJ4+ZBNFQG-1"/>
          <w:color w:val="000000" w:themeColor="text1"/>
          <w14:textFill>
            <w14:solidFill>
              <w14:schemeClr w14:val="tx1"/>
            </w14:solidFill>
          </w14:textFill>
        </w:rPr>
        <w:t>来看，</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9"/>
          <w:color w:val="000000" w:themeColor="text1"/>
          <w14:textFill>
            <w14:solidFill>
              <w14:schemeClr w14:val="tx1"/>
            </w14:solidFill>
          </w14:textFill>
        </w:rPr>
        <w:t>报</w:t>
      </w:r>
      <w:r>
        <w:rPr>
          <w:rFonts w:hint="eastAsia" w:ascii="宋体" w:hAnsi="宋体" w:cs="FZSSK--GBK1-00+ZBNFQQ-24"/>
          <w:color w:val="000000" w:themeColor="text1"/>
          <w14:textFill>
            <w14:solidFill>
              <w14:schemeClr w14:val="tx1"/>
            </w14:solidFill>
          </w14:textFill>
        </w:rPr>
        <w:t>酬</w:t>
      </w:r>
      <w:r>
        <w:rPr>
          <w:rFonts w:hint="eastAsia" w:ascii="宋体" w:hAnsi="宋体" w:cs="FZSSK--GBK1-00+ZBNFQH-8"/>
          <w:color w:val="000000" w:themeColor="text1"/>
          <w14:textFill>
            <w14:solidFill>
              <w14:schemeClr w14:val="tx1"/>
            </w14:solidFill>
          </w14:textFill>
        </w:rPr>
        <w:t>应</w:t>
      </w:r>
      <w:r>
        <w:rPr>
          <w:rFonts w:hint="eastAsia" w:ascii="宋体" w:hAnsi="宋体" w:cs="SSJ4+ZBNFQG-1"/>
          <w:color w:val="000000" w:themeColor="text1"/>
          <w14:textFill>
            <w14:solidFill>
              <w14:schemeClr w14:val="tx1"/>
            </w14:solidFill>
          </w14:textFill>
        </w:rPr>
        <w:t>当</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10"/>
          <w:color w:val="000000" w:themeColor="text1"/>
          <w14:textFill>
            <w14:solidFill>
              <w14:schemeClr w14:val="tx1"/>
            </w14:solidFill>
          </w14:textFill>
        </w:rPr>
        <w:t>者</w:t>
      </w:r>
      <w:r>
        <w:rPr>
          <w:rFonts w:hint="eastAsia" w:ascii="宋体" w:hAnsi="宋体" w:cs="FZSSK--GBK1-00+ZBNFQI-9"/>
          <w:color w:val="000000" w:themeColor="text1"/>
          <w14:textFill>
            <w14:solidFill>
              <w14:schemeClr w14:val="tx1"/>
            </w14:solidFill>
          </w14:textFill>
        </w:rPr>
        <w:t>及</w:t>
      </w:r>
      <w:r>
        <w:rPr>
          <w:rFonts w:hint="eastAsia" w:ascii="宋体" w:hAnsi="宋体" w:cs="FZSSK--GBK1-00+ZBNFQH-7"/>
          <w:color w:val="000000" w:themeColor="text1"/>
          <w14:textFill>
            <w14:solidFill>
              <w14:schemeClr w14:val="tx1"/>
            </w14:solidFill>
          </w14:textFill>
        </w:rPr>
        <w:t>其</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I-9"/>
          <w:color w:val="000000" w:themeColor="text1"/>
          <w14:textFill>
            <w14:solidFill>
              <w14:schemeClr w14:val="tx1"/>
            </w14:solidFill>
          </w14:textFill>
        </w:rPr>
        <w:t>庭</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I-10"/>
          <w:color w:val="000000" w:themeColor="text1"/>
          <w14:textFill>
            <w14:solidFill>
              <w14:schemeClr w14:val="tx1"/>
            </w14:solidFill>
          </w14:textFill>
        </w:rPr>
        <w:t>持</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个</w:t>
      </w:r>
      <w:r>
        <w:rPr>
          <w:rFonts w:hint="eastAsia" w:ascii="宋体" w:hAnsi="宋体" w:cs="FZSSK--GBK1-00+ZBNFQH-5"/>
          <w:color w:val="000000" w:themeColor="text1"/>
          <w14:textFill>
            <w14:solidFill>
              <w14:schemeClr w14:val="tx1"/>
            </w14:solidFill>
          </w14:textFill>
        </w:rPr>
        <w:t>不断进</w:t>
      </w:r>
      <w:r>
        <w:rPr>
          <w:rFonts w:hint="eastAsia" w:ascii="宋体" w:hAnsi="宋体" w:cs="FZSSK--GBK1-00+ZBNFQH-7"/>
          <w:color w:val="000000" w:themeColor="text1"/>
          <w14:textFill>
            <w14:solidFill>
              <w14:schemeClr w14:val="tx1"/>
            </w14:solidFill>
          </w14:textFill>
        </w:rPr>
        <w:t>步</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社会</w:t>
      </w:r>
      <w:r>
        <w:rPr>
          <w:rFonts w:hint="eastAsia" w:ascii="宋体" w:hAnsi="宋体" w:cs="FZSSK--GBK1-00+ZBNFQH-7"/>
          <w:color w:val="000000" w:themeColor="text1"/>
          <w14:textFill>
            <w14:solidFill>
              <w14:schemeClr w14:val="tx1"/>
            </w14:solidFill>
          </w14:textFill>
        </w:rPr>
        <w:t>最</w:t>
      </w:r>
      <w:r>
        <w:rPr>
          <w:rFonts w:hint="eastAsia" w:ascii="宋体" w:hAnsi="宋体" w:cs="FZSSK--GBK1-00+ZBNFQI-9"/>
          <w:color w:val="000000" w:themeColor="text1"/>
          <w14:textFill>
            <w14:solidFill>
              <w14:schemeClr w14:val="tx1"/>
            </w14:solidFill>
          </w14:textFill>
        </w:rPr>
        <w:t>低</w:t>
      </w:r>
      <w:r>
        <w:rPr>
          <w:rFonts w:hint="eastAsia" w:ascii="宋体" w:hAnsi="宋体" w:cs="SSJ4+ZBNFQG-1"/>
          <w:color w:val="000000" w:themeColor="text1"/>
          <w14:textFill>
            <w14:solidFill>
              <w14:schemeClr w14:val="tx1"/>
            </w14:solidFill>
          </w14:textFill>
        </w:rPr>
        <w:t>生</w:t>
      </w:r>
      <w:r>
        <w:rPr>
          <w:rFonts w:hint="eastAsia" w:ascii="宋体" w:hAnsi="宋体" w:cs="FZSSK--GBK1-00+ZBNFQI-10"/>
          <w:color w:val="000000" w:themeColor="text1"/>
          <w14:textFill>
            <w14:solidFill>
              <w14:schemeClr w14:val="tx1"/>
            </w14:solidFill>
          </w14:textFill>
        </w:rPr>
        <w:t>活</w:t>
      </w:r>
      <w:r>
        <w:rPr>
          <w:rFonts w:hint="eastAsia" w:ascii="宋体" w:hAnsi="宋体" w:cs="FZSSK--GBK1-00+ZBNFQK-14"/>
          <w:color w:val="000000" w:themeColor="text1"/>
          <w14:textFill>
            <w14:solidFill>
              <w14:schemeClr w14:val="tx1"/>
            </w14:solidFill>
          </w14:textFill>
        </w:rPr>
        <w:t>水</w:t>
      </w:r>
      <w:r>
        <w:rPr>
          <w:rFonts w:hint="eastAsia" w:ascii="宋体" w:hAnsi="宋体" w:cs="FZSSK--GBK1-00+ZBNFQH-5"/>
          <w:color w:val="000000" w:themeColor="text1"/>
          <w14:textFill>
            <w14:solidFill>
              <w14:schemeClr w14:val="tx1"/>
            </w14:solidFill>
          </w14:textFill>
        </w:rPr>
        <w:t>平</w:t>
      </w:r>
      <w:r>
        <w:rPr>
          <w:rFonts w:hint="eastAsia" w:ascii="宋体" w:hAnsi="宋体" w:cs="SSJ4+ZBNFQG-1"/>
          <w:color w:val="000000" w:themeColor="text1"/>
          <w14:textFill>
            <w14:solidFill>
              <w14:schemeClr w14:val="tx1"/>
            </w14:solidFill>
          </w14:textFill>
        </w:rPr>
        <w:t>以</w:t>
      </w:r>
      <w:r>
        <w:rPr>
          <w:rFonts w:hint="eastAsia" w:ascii="宋体" w:hAnsi="宋体" w:cs="FZSSK--GBK1-00+ZBNFQH-7"/>
          <w:color w:val="000000" w:themeColor="text1"/>
          <w14:textFill>
            <w14:solidFill>
              <w14:schemeClr w14:val="tx1"/>
            </w14:solidFill>
          </w14:textFill>
        </w:rPr>
        <w:t>上</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入量</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要</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9"/>
          <w:color w:val="000000" w:themeColor="text1"/>
          <w14:textFill>
            <w14:solidFill>
              <w14:schemeClr w14:val="tx1"/>
            </w14:solidFill>
          </w14:textFill>
        </w:rPr>
        <w:t>报</w:t>
      </w:r>
      <w:r>
        <w:rPr>
          <w:rFonts w:hint="eastAsia" w:ascii="宋体" w:hAnsi="宋体" w:cs="FZSSK--GBK1-00+ZBNFQQ-24"/>
          <w:color w:val="000000" w:themeColor="text1"/>
          <w14:textFill>
            <w14:solidFill>
              <w14:schemeClr w14:val="tx1"/>
            </w14:solidFill>
          </w14:textFill>
        </w:rPr>
        <w:t>酬</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H-7"/>
          <w:color w:val="000000" w:themeColor="text1"/>
          <w14:textFill>
            <w14:solidFill>
              <w14:schemeClr w14:val="tx1"/>
            </w14:solidFill>
          </w14:textFill>
        </w:rPr>
        <w:t>与</w:t>
      </w:r>
      <w:r>
        <w:rPr>
          <w:rFonts w:hint="eastAsia" w:ascii="宋体" w:hAnsi="宋体" w:cs="E-BZ+ZBNFQH-6"/>
          <w:color w:val="000000" w:themeColor="text1"/>
          <w14:textFill>
            <w14:solidFill>
              <w14:schemeClr w14:val="tx1"/>
            </w14:solidFill>
          </w14:textFill>
        </w:rPr>
        <w:t>GDP</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大</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同</w:t>
      </w:r>
      <w:r>
        <w:rPr>
          <w:rFonts w:hint="eastAsia" w:ascii="宋体" w:hAnsi="宋体" w:cs="FZSSK--GBK1-00+ZBNFQH-7"/>
          <w:color w:val="000000" w:themeColor="text1"/>
          <w14:textFill>
            <w14:solidFill>
              <w14:schemeClr w14:val="tx1"/>
            </w14:solidFill>
          </w14:textFill>
        </w:rPr>
        <w:t>步</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K-14"/>
          <w:color w:val="000000" w:themeColor="text1"/>
          <w14:textFill>
            <w14:solidFill>
              <w14:schemeClr w14:val="tx1"/>
            </w14:solidFill>
          </w14:textFill>
        </w:rPr>
        <w:t>须采</w:t>
      </w:r>
      <w:r>
        <w:rPr>
          <w:rFonts w:hint="eastAsia" w:ascii="宋体" w:hAnsi="宋体" w:cs="FZSSK--GBK1-00+ZBNFQH-8"/>
          <w:color w:val="000000" w:themeColor="text1"/>
          <w14:textFill>
            <w14:solidFill>
              <w14:schemeClr w14:val="tx1"/>
            </w14:solidFill>
          </w14:textFill>
        </w:rPr>
        <w:t>用</w:t>
      </w:r>
      <w:r>
        <w:rPr>
          <w:rFonts w:hint="eastAsia" w:ascii="宋体" w:hAnsi="宋体" w:cs="SSJ4+ZBNFQG-1"/>
          <w:color w:val="000000" w:themeColor="text1"/>
          <w14:textFill>
            <w14:solidFill>
              <w14:schemeClr w14:val="tx1"/>
            </w14:solidFill>
          </w14:textFill>
        </w:rPr>
        <w:t>指</w:t>
      </w:r>
      <w:r>
        <w:rPr>
          <w:rFonts w:hint="eastAsia" w:ascii="宋体" w:hAnsi="宋体" w:cs="FZSSK--GBK1-00+ZBNFQJ-12"/>
          <w:color w:val="000000" w:themeColor="text1"/>
          <w14:textFill>
            <w14:solidFill>
              <w14:schemeClr w14:val="tx1"/>
            </w14:solidFill>
          </w14:textFill>
        </w:rPr>
        <w:t>数</w:t>
      </w:r>
      <w:r>
        <w:rPr>
          <w:rFonts w:hint="eastAsia" w:ascii="宋体" w:hAnsi="宋体" w:cs="SSJ4+ZBNFQG-1"/>
          <w:color w:val="000000" w:themeColor="text1"/>
          <w14:textFill>
            <w14:solidFill>
              <w14:schemeClr w14:val="tx1"/>
            </w14:solidFill>
          </w14:textFill>
        </w:rPr>
        <w:t>化</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资，即</w:t>
      </w:r>
      <w:r>
        <w:rPr>
          <w:rFonts w:hint="eastAsia" w:ascii="宋体" w:hAnsi="宋体" w:cs="FZSSK--GBK1-00+ZBNFQM-17"/>
          <w:color w:val="000000" w:themeColor="text1"/>
          <w14:textFill>
            <w14:solidFill>
              <w14:schemeClr w14:val="tx1"/>
            </w14:solidFill>
          </w14:textFill>
        </w:rPr>
        <w:t>每</w:t>
      </w:r>
      <w:r>
        <w:rPr>
          <w:rFonts w:hint="eastAsia" w:ascii="宋体" w:hAnsi="宋体" w:cs="FZSSK--GBK1-00+ZBNFQH-5"/>
          <w:color w:val="000000" w:themeColor="text1"/>
          <w14:textFill>
            <w14:solidFill>
              <w14:schemeClr w14:val="tx1"/>
            </w14:solidFill>
          </w14:textFill>
        </w:rPr>
        <w:t>年</w:t>
      </w:r>
      <w:r>
        <w:rPr>
          <w:rFonts w:hint="eastAsia" w:ascii="宋体" w:hAnsi="宋体" w:cs="FZSSK--GBK1-00+ZBNFQL-16"/>
          <w:color w:val="000000" w:themeColor="text1"/>
          <w14:textFill>
            <w14:solidFill>
              <w14:schemeClr w14:val="tx1"/>
            </w14:solidFill>
          </w14:textFill>
        </w:rPr>
        <w:t>参</w:t>
      </w:r>
      <w:r>
        <w:rPr>
          <w:rFonts w:hint="eastAsia" w:ascii="宋体" w:hAnsi="宋体" w:cs="FZSSK--GBK1-00+ZBNFQK-15"/>
          <w:color w:val="000000" w:themeColor="text1"/>
          <w14:textFill>
            <w14:solidFill>
              <w14:schemeClr w14:val="tx1"/>
            </w14:solidFill>
          </w14:textFill>
        </w:rPr>
        <w:t>照</w:t>
      </w:r>
      <w:r>
        <w:rPr>
          <w:rFonts w:hint="eastAsia" w:ascii="宋体" w:hAnsi="宋体" w:cs="E-BZ+ZBNFQH-6"/>
          <w:color w:val="000000" w:themeColor="text1"/>
          <w14:textFill>
            <w14:solidFill>
              <w14:schemeClr w14:val="tx1"/>
            </w14:solidFill>
          </w14:textFill>
        </w:rPr>
        <w:t>GDP</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K-14"/>
          <w:color w:val="000000" w:themeColor="text1"/>
          <w14:textFill>
            <w14:solidFill>
              <w14:schemeClr w14:val="tx1"/>
            </w14:solidFill>
          </w14:textFill>
        </w:rPr>
        <w:t>率</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H-7"/>
          <w:color w:val="000000" w:themeColor="text1"/>
          <w14:textFill>
            <w14:solidFill>
              <w14:schemeClr w14:val="tx1"/>
            </w14:solidFill>
          </w14:textFill>
        </w:rPr>
        <w:t>定</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资的</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K-14"/>
          <w:color w:val="000000" w:themeColor="text1"/>
          <w14:textFill>
            <w14:solidFill>
              <w14:schemeClr w14:val="tx1"/>
            </w14:solidFill>
          </w14:textFill>
        </w:rPr>
        <w:t>率</w:t>
      </w:r>
      <w:r>
        <w:rPr>
          <w:rFonts w:hint="eastAsia" w:ascii="宋体" w:hAnsi="宋体" w:cs="SSJ0+ZBNFQG-4"/>
          <w:color w:val="000000" w:themeColor="text1"/>
          <w14:textFill>
            <w14:solidFill>
              <w14:schemeClr w14:val="tx1"/>
            </w14:solidFill>
          </w14:textFill>
        </w:rPr>
        <w:t>。</w:t>
      </w:r>
    </w:p>
    <w:p w14:paraId="521A3A5A">
      <w:pPr>
        <w:autoSpaceDE w:val="0"/>
        <w:autoSpaceDN w:val="0"/>
        <w:adjustRightInd w:val="0"/>
        <w:spacing w:line="400" w:lineRule="exact"/>
        <w:ind w:firstLine="420" w:firstLineChars="200"/>
        <w:jc w:val="left"/>
        <w:rPr>
          <w:rFonts w:hint="eastAsia" w:ascii="宋体" w:hAnsi="宋体" w:cs="E-BZ+ZBNFQH-6"/>
          <w:color w:val="000000" w:themeColor="text1"/>
          <w14:textFill>
            <w14:solidFill>
              <w14:schemeClr w14:val="tx1"/>
            </w14:solidFill>
          </w14:textFill>
        </w:rPr>
      </w:pPr>
      <w:r>
        <w:rPr>
          <w:rFonts w:hint="eastAsia" w:ascii="宋体" w:hAnsi="宋体" w:cs="FZSSK--GBK1-00+ZBNFQJ-12"/>
          <w:color w:val="000000" w:themeColor="text1"/>
          <w14:textFill>
            <w14:solidFill>
              <w14:schemeClr w14:val="tx1"/>
            </w14:solidFill>
          </w14:textFill>
        </w:rPr>
        <w:t>（</w:t>
      </w:r>
      <w:r>
        <w:rPr>
          <w:rFonts w:hint="eastAsia" w:ascii="宋体" w:hAnsi="宋体" w:cs="E-BZ+ZBNFQH-6"/>
          <w:color w:val="000000" w:themeColor="text1"/>
          <w14:textFill>
            <w14:solidFill>
              <w14:schemeClr w14:val="tx1"/>
            </w14:solidFill>
          </w14:textFill>
        </w:rPr>
        <w:t>2</w:t>
      </w:r>
      <w:r>
        <w:rPr>
          <w:rFonts w:hint="eastAsia" w:ascii="宋体" w:hAnsi="宋体" w:cs="FZSSK--GBK1-00+ZBNFQJ-12"/>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M-17"/>
          <w:color w:val="000000" w:themeColor="text1"/>
          <w14:textFill>
            <w14:solidFill>
              <w14:schemeClr w14:val="tx1"/>
            </w14:solidFill>
          </w14:textFill>
        </w:rPr>
        <w:t>层</w:t>
      </w:r>
      <w:r>
        <w:rPr>
          <w:rFonts w:hint="eastAsia" w:ascii="宋体" w:hAnsi="宋体" w:cs="FZSSK--GBK1-00+ZBNFQH-7"/>
          <w:color w:val="000000" w:themeColor="text1"/>
          <w14:textFill>
            <w14:solidFill>
              <w14:schemeClr w14:val="tx1"/>
            </w14:solidFill>
          </w14:textFill>
        </w:rPr>
        <w:t>管</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J-12"/>
          <w:color w:val="000000" w:themeColor="text1"/>
          <w14:textFill>
            <w14:solidFill>
              <w14:schemeClr w14:val="tx1"/>
            </w14:solidFill>
          </w14:textFill>
        </w:rPr>
        <w:t>员</w:t>
      </w:r>
      <w:r>
        <w:rPr>
          <w:rFonts w:hint="eastAsia" w:ascii="宋体" w:hAnsi="宋体" w:cs="FZSSK--GBK1-00+ZBNFQQ-24"/>
          <w:color w:val="000000" w:themeColor="text1"/>
          <w14:textFill>
            <w14:solidFill>
              <w14:schemeClr w14:val="tx1"/>
            </w14:solidFill>
          </w14:textFill>
        </w:rPr>
        <w:t>薪酬</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和</w:t>
      </w:r>
      <w:r>
        <w:rPr>
          <w:rFonts w:hint="eastAsia" w:ascii="宋体" w:hAnsi="宋体" w:cs="FZSSK--GBK1-00+ZBNFQL-16"/>
          <w:color w:val="000000" w:themeColor="text1"/>
          <w14:textFill>
            <w14:solidFill>
              <w14:schemeClr w14:val="tx1"/>
            </w14:solidFill>
          </w14:textFill>
        </w:rPr>
        <w:t>职</w:t>
      </w:r>
      <w:r>
        <w:rPr>
          <w:rFonts w:hint="eastAsia" w:ascii="宋体" w:hAnsi="宋体" w:cs="FZSSK--GBK1-00+ZBNFQK-14"/>
          <w:color w:val="000000" w:themeColor="text1"/>
          <w14:textFill>
            <w14:solidFill>
              <w14:schemeClr w14:val="tx1"/>
            </w14:solidFill>
          </w14:textFill>
        </w:rPr>
        <w:t>工工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指</w:t>
      </w:r>
      <w:r>
        <w:rPr>
          <w:rFonts w:hint="eastAsia" w:ascii="宋体" w:hAnsi="宋体" w:cs="FZSSK--GBK1-00+ZBNFQI-9"/>
          <w:color w:val="000000" w:themeColor="text1"/>
          <w14:textFill>
            <w14:solidFill>
              <w14:schemeClr w14:val="tx1"/>
            </w14:solidFill>
          </w14:textFill>
        </w:rPr>
        <w:t>标</w:t>
      </w:r>
      <w:r>
        <w:rPr>
          <w:rFonts w:hint="eastAsia" w:ascii="宋体" w:hAnsi="宋体" w:cs="FZSSK--GBK1-00+ZBNFQT-26"/>
          <w:color w:val="000000" w:themeColor="text1"/>
          <w14:textFill>
            <w14:solidFill>
              <w14:schemeClr w14:val="tx1"/>
            </w14:solidFill>
          </w14:textFill>
        </w:rPr>
        <w:t>挂钩</w:t>
      </w:r>
      <w:r>
        <w:rPr>
          <w:rFonts w:hint="eastAsia" w:ascii="宋体" w:hAnsi="宋体" w:cs="SSJ0+ZBNFQG-4"/>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近</w:t>
      </w:r>
      <w:r>
        <w:rPr>
          <w:rFonts w:hint="eastAsia" w:ascii="宋体" w:hAnsi="宋体" w:cs="FZSSK--GBK1-00+ZBNFQH-5"/>
          <w:color w:val="000000" w:themeColor="text1"/>
          <w14:textFill>
            <w14:solidFill>
              <w14:schemeClr w14:val="tx1"/>
            </w14:solidFill>
          </w14:textFill>
        </w:rPr>
        <w:t>年</w:t>
      </w:r>
      <w:r>
        <w:rPr>
          <w:rFonts w:hint="eastAsia" w:ascii="宋体" w:hAnsi="宋体" w:cs="SSJ4+ZBNFQG-1"/>
          <w:color w:val="000000" w:themeColor="text1"/>
          <w14:textFill>
            <w14:solidFill>
              <w14:schemeClr w14:val="tx1"/>
            </w14:solidFill>
          </w14:textFill>
        </w:rPr>
        <w:t>来我国</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SSJ4+ZBNFQG-1"/>
          <w:color w:val="000000" w:themeColor="text1"/>
          <w14:textFill>
            <w14:solidFill>
              <w14:schemeClr w14:val="tx1"/>
            </w14:solidFill>
          </w14:textFill>
        </w:rPr>
        <w:t>出</w:t>
      </w:r>
      <w:r>
        <w:rPr>
          <w:rFonts w:hint="eastAsia" w:ascii="宋体" w:hAnsi="宋体" w:cs="FZSSK--GBK1-00+ZBNFQH-5"/>
          <w:color w:val="000000" w:themeColor="text1"/>
          <w14:textFill>
            <w14:solidFill>
              <w14:schemeClr w14:val="tx1"/>
            </w14:solidFill>
          </w14:textFill>
        </w:rPr>
        <w:t>现</w:t>
      </w:r>
      <w:r>
        <w:rPr>
          <w:rFonts w:hint="eastAsia" w:ascii="宋体" w:hAnsi="宋体" w:cs="FZSSK--GBK1-00+ZBNFQK-15"/>
          <w:color w:val="000000" w:themeColor="text1"/>
          <w14:textFill>
            <w14:solidFill>
              <w14:schemeClr w14:val="tx1"/>
            </w14:solidFill>
          </w14:textFill>
        </w:rPr>
        <w:t>降</w:t>
      </w:r>
      <w:r>
        <w:rPr>
          <w:rFonts w:hint="eastAsia" w:ascii="宋体" w:hAnsi="宋体" w:cs="FZSSK--GBK1-00+ZBNFQI-9"/>
          <w:color w:val="000000" w:themeColor="text1"/>
          <w14:textFill>
            <w14:solidFill>
              <w14:schemeClr w14:val="tx1"/>
            </w14:solidFill>
          </w14:textFill>
        </w:rPr>
        <w:t>低</w:t>
      </w:r>
      <w:r>
        <w:rPr>
          <w:rFonts w:hint="eastAsia" w:ascii="宋体" w:hAnsi="宋体" w:cs="SSJ4+ZBNFQG-1"/>
          <w:color w:val="000000" w:themeColor="text1"/>
          <w14:textFill>
            <w14:solidFill>
              <w14:schemeClr w14:val="tx1"/>
            </w14:solidFill>
          </w14:textFill>
        </w:rPr>
        <w:t>，但</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M-17"/>
          <w:color w:val="000000" w:themeColor="text1"/>
          <w14:textFill>
            <w14:solidFill>
              <w14:schemeClr w14:val="tx1"/>
            </w14:solidFill>
          </w14:textFill>
        </w:rPr>
        <w:t>层</w:t>
      </w:r>
      <w:r>
        <w:rPr>
          <w:rFonts w:hint="eastAsia" w:ascii="宋体" w:hAnsi="宋体" w:cs="FZSSK--GBK1-00+ZBNFQH-7"/>
          <w:color w:val="000000" w:themeColor="text1"/>
          <w14:textFill>
            <w14:solidFill>
              <w14:schemeClr w14:val="tx1"/>
            </w14:solidFill>
          </w14:textFill>
        </w:rPr>
        <w:t>管</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J-12"/>
          <w:color w:val="000000" w:themeColor="text1"/>
          <w14:textFill>
            <w14:solidFill>
              <w14:schemeClr w14:val="tx1"/>
            </w14:solidFill>
          </w14:textFill>
        </w:rPr>
        <w:t>员</w:t>
      </w:r>
      <w:r>
        <w:rPr>
          <w:rFonts w:hint="eastAsia" w:ascii="宋体" w:hAnsi="宋体" w:cs="FZSSK--GBK1-00+ZBNFQQ-24"/>
          <w:color w:val="000000" w:themeColor="text1"/>
          <w14:textFill>
            <w14:solidFill>
              <w14:schemeClr w14:val="tx1"/>
            </w14:solidFill>
          </w14:textFill>
        </w:rPr>
        <w:t>薪酬</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I-9"/>
          <w:color w:val="000000" w:themeColor="text1"/>
          <w14:textFill>
            <w14:solidFill>
              <w14:schemeClr w14:val="tx1"/>
            </w14:solidFill>
          </w14:textFill>
        </w:rPr>
        <w:t>却很</w:t>
      </w:r>
      <w:r>
        <w:rPr>
          <w:rFonts w:hint="eastAsia" w:ascii="宋体" w:hAnsi="宋体" w:cs="FZSSK--GBK1-00+ZBNFQH-7"/>
          <w:color w:val="000000" w:themeColor="text1"/>
          <w14:textFill>
            <w14:solidFill>
              <w14:schemeClr w14:val="tx1"/>
            </w14:solidFill>
          </w14:textFill>
        </w:rPr>
        <w:t>快</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M-17"/>
          <w:color w:val="000000" w:themeColor="text1"/>
          <w14:textFill>
            <w14:solidFill>
              <w14:schemeClr w14:val="tx1"/>
            </w14:solidFill>
          </w14:textFill>
        </w:rPr>
        <w:t>层</w:t>
      </w:r>
      <w:r>
        <w:rPr>
          <w:rFonts w:hint="eastAsia" w:ascii="宋体" w:hAnsi="宋体" w:cs="FZSSK--GBK1-00+ZBNFQH-7"/>
          <w:color w:val="000000" w:themeColor="text1"/>
          <w14:textFill>
            <w14:solidFill>
              <w14:schemeClr w14:val="tx1"/>
            </w14:solidFill>
          </w14:textFill>
        </w:rPr>
        <w:t>管</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J-12"/>
          <w:color w:val="000000" w:themeColor="text1"/>
          <w14:textFill>
            <w14:solidFill>
              <w14:schemeClr w14:val="tx1"/>
            </w14:solidFill>
          </w14:textFill>
        </w:rPr>
        <w:t>员</w:t>
      </w:r>
      <w:r>
        <w:rPr>
          <w:rFonts w:hint="eastAsia" w:ascii="宋体" w:hAnsi="宋体" w:cs="FZSSK--GBK1-00+ZBNFQQ-24"/>
          <w:color w:val="000000" w:themeColor="text1"/>
          <w14:textFill>
            <w14:solidFill>
              <w14:schemeClr w14:val="tx1"/>
            </w14:solidFill>
          </w14:textFill>
        </w:rPr>
        <w:t>薪酬</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快</w:t>
      </w:r>
      <w:r>
        <w:rPr>
          <w:rFonts w:hint="eastAsia" w:ascii="宋体" w:hAnsi="宋体" w:cs="FZSSK--GBK1-00+ZBNFQK-14"/>
          <w:color w:val="000000" w:themeColor="text1"/>
          <w14:textFill>
            <w14:solidFill>
              <w14:schemeClr w14:val="tx1"/>
            </w14:solidFill>
          </w14:textFill>
        </w:rPr>
        <w:t>速</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拉</w:t>
      </w:r>
      <w:r>
        <w:rPr>
          <w:rFonts w:hint="eastAsia" w:ascii="宋体" w:hAnsi="宋体" w:cs="SSJ4+ZBNFQG-1"/>
          <w:color w:val="000000" w:themeColor="text1"/>
          <w14:textFill>
            <w14:solidFill>
              <w14:schemeClr w14:val="tx1"/>
            </w14:solidFill>
          </w14:textFill>
        </w:rPr>
        <w:t>大了国</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I-9"/>
          <w:color w:val="000000" w:themeColor="text1"/>
          <w14:textFill>
            <w14:solidFill>
              <w14:schemeClr w14:val="tx1"/>
            </w14:solidFill>
          </w14:textFill>
        </w:rPr>
        <w:t>差距</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府</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8"/>
          <w:color w:val="000000" w:themeColor="text1"/>
          <w14:textFill>
            <w14:solidFill>
              <w14:schemeClr w14:val="tx1"/>
            </w14:solidFill>
          </w14:textFill>
        </w:rPr>
        <w:t>应</w:t>
      </w:r>
      <w:r>
        <w:rPr>
          <w:rFonts w:hint="eastAsia" w:ascii="宋体" w:hAnsi="宋体" w:cs="SSJ4+ZBNFQG-1"/>
          <w:color w:val="000000" w:themeColor="text1"/>
          <w14:textFill>
            <w14:solidFill>
              <w14:schemeClr w14:val="tx1"/>
            </w14:solidFill>
          </w14:textFill>
        </w:rPr>
        <w:t>当</w:t>
      </w:r>
      <w:r>
        <w:rPr>
          <w:rFonts w:hint="eastAsia" w:ascii="宋体" w:hAnsi="宋体" w:cs="FZSSK--GBK1-00+ZBNFQI-9"/>
          <w:color w:val="000000" w:themeColor="text1"/>
          <w14:textFill>
            <w14:solidFill>
              <w14:schemeClr w14:val="tx1"/>
            </w14:solidFill>
          </w14:textFill>
        </w:rPr>
        <w:t>支</w:t>
      </w:r>
      <w:r>
        <w:rPr>
          <w:rFonts w:hint="eastAsia" w:ascii="宋体" w:hAnsi="宋体" w:cs="FZSSK--GBK1-00+ZBNFQI-10"/>
          <w:color w:val="000000" w:themeColor="text1"/>
          <w14:textFill>
            <w14:solidFill>
              <w14:schemeClr w14:val="tx1"/>
            </w14:solidFill>
          </w14:textFill>
        </w:rPr>
        <w:t>持</w:t>
      </w:r>
      <w:r>
        <w:rPr>
          <w:rFonts w:hint="eastAsia" w:ascii="宋体" w:hAnsi="宋体" w:cs="SSJ4+ZBNFQG-1"/>
          <w:color w:val="000000" w:themeColor="text1"/>
          <w14:textFill>
            <w14:solidFill>
              <w14:schemeClr w14:val="tx1"/>
            </w14:solidFill>
          </w14:textFill>
        </w:rPr>
        <w:t>和</w:t>
      </w:r>
      <w:r>
        <w:rPr>
          <w:rFonts w:hint="eastAsia" w:ascii="宋体" w:hAnsi="宋体" w:cs="FZSSK--GBK1-00+ZBNFQO-22"/>
          <w:color w:val="000000" w:themeColor="text1"/>
          <w14:textFill>
            <w14:solidFill>
              <w14:schemeClr w14:val="tx1"/>
            </w14:solidFill>
          </w14:textFill>
        </w:rPr>
        <w:t>批</w:t>
      </w:r>
      <w:r>
        <w:rPr>
          <w:rFonts w:hint="eastAsia" w:ascii="宋体" w:hAnsi="宋体" w:cs="FZSSK--GBK1-00+ZBNFQK-15"/>
          <w:color w:val="000000" w:themeColor="text1"/>
          <w14:textFill>
            <w14:solidFill>
              <w14:schemeClr w14:val="tx1"/>
            </w14:solidFill>
          </w14:textFill>
        </w:rPr>
        <w:t>准</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M-17"/>
          <w:color w:val="000000" w:themeColor="text1"/>
          <w14:textFill>
            <w14:solidFill>
              <w14:schemeClr w14:val="tx1"/>
            </w14:solidFill>
          </w14:textFill>
        </w:rPr>
        <w:t>层</w:t>
      </w:r>
      <w:r>
        <w:rPr>
          <w:rFonts w:hint="eastAsia" w:ascii="宋体" w:hAnsi="宋体" w:cs="FZSSK--GBK1-00+ZBNFQH-7"/>
          <w:color w:val="000000" w:themeColor="text1"/>
          <w14:textFill>
            <w14:solidFill>
              <w14:schemeClr w14:val="tx1"/>
            </w14:solidFill>
          </w14:textFill>
        </w:rPr>
        <w:t>管</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J-12"/>
          <w:color w:val="000000" w:themeColor="text1"/>
          <w14:textFill>
            <w14:solidFill>
              <w14:schemeClr w14:val="tx1"/>
            </w14:solidFill>
          </w14:textFill>
        </w:rPr>
        <w:t>员</w:t>
      </w:r>
      <w:r>
        <w:rPr>
          <w:rFonts w:hint="eastAsia" w:ascii="宋体" w:hAnsi="宋体" w:cs="FZSSK--GBK1-00+ZBNFQQ-24"/>
          <w:color w:val="000000" w:themeColor="text1"/>
          <w14:textFill>
            <w14:solidFill>
              <w14:schemeClr w14:val="tx1"/>
            </w14:solidFill>
          </w14:textFill>
        </w:rPr>
        <w:t>薪酬</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不合</w:t>
      </w:r>
      <w:r>
        <w:rPr>
          <w:rFonts w:hint="eastAsia" w:ascii="宋体" w:hAnsi="宋体" w:cs="FZSSK--GBK1-00+ZBNFQI-9"/>
          <w:color w:val="000000" w:themeColor="text1"/>
          <w14:textFill>
            <w14:solidFill>
              <w14:schemeClr w14:val="tx1"/>
            </w14:solidFill>
          </w14:textFill>
        </w:rPr>
        <w:t>理增</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，而</w:t>
      </w:r>
      <w:r>
        <w:rPr>
          <w:rFonts w:hint="eastAsia" w:ascii="宋体" w:hAnsi="宋体" w:cs="FZSSK--GBK1-00+ZBNFQH-8"/>
          <w:color w:val="000000" w:themeColor="text1"/>
          <w14:textFill>
            <w14:solidFill>
              <w14:schemeClr w14:val="tx1"/>
            </w14:solidFill>
          </w14:textFill>
        </w:rPr>
        <w:t>应</w:t>
      </w:r>
      <w:r>
        <w:rPr>
          <w:rFonts w:hint="eastAsia" w:ascii="宋体" w:hAnsi="宋体" w:cs="SSJ4+ZBNFQG-1"/>
          <w:color w:val="000000" w:themeColor="text1"/>
          <w14:textFill>
            <w14:solidFill>
              <w14:schemeClr w14:val="tx1"/>
            </w14:solidFill>
          </w14:textFill>
        </w:rPr>
        <w:t>出</w:t>
      </w:r>
      <w:r>
        <w:rPr>
          <w:rFonts w:hint="eastAsia" w:ascii="宋体" w:hAnsi="宋体" w:cs="FZSSK--GBK1-00+ZBNFQJ-12"/>
          <w:color w:val="000000" w:themeColor="text1"/>
          <w14:textFill>
            <w14:solidFill>
              <w14:schemeClr w14:val="tx1"/>
            </w14:solidFill>
          </w14:textFill>
        </w:rPr>
        <w:t>台</w:t>
      </w:r>
      <w:r>
        <w:rPr>
          <w:rFonts w:hint="eastAsia" w:ascii="宋体" w:hAnsi="宋体" w:cs="SSJ4+ZBNFQG-1"/>
          <w:color w:val="000000" w:themeColor="text1"/>
          <w14:textFill>
            <w14:solidFill>
              <w14:schemeClr w14:val="tx1"/>
            </w14:solidFill>
          </w14:textFill>
        </w:rPr>
        <w:t>法</w:t>
      </w:r>
      <w:r>
        <w:rPr>
          <w:rFonts w:hint="eastAsia" w:ascii="宋体" w:hAnsi="宋体" w:cs="FZSSK--GBK1-00+ZBNFQI-9"/>
          <w:color w:val="000000" w:themeColor="text1"/>
          <w14:textFill>
            <w14:solidFill>
              <w14:schemeClr w14:val="tx1"/>
            </w14:solidFill>
          </w14:textFill>
        </w:rPr>
        <w:t>规</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规</w:t>
      </w:r>
      <w:r>
        <w:rPr>
          <w:rFonts w:hint="eastAsia" w:ascii="宋体" w:hAnsi="宋体" w:cs="FZSSK--GBK1-00+ZBNFQH-7"/>
          <w:color w:val="000000" w:themeColor="text1"/>
          <w14:textFill>
            <w14:solidFill>
              <w14:schemeClr w14:val="tx1"/>
            </w14:solidFill>
          </w14:textFill>
        </w:rPr>
        <w:t>定</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H-7"/>
          <w:color w:val="000000" w:themeColor="text1"/>
          <w14:textFill>
            <w14:solidFill>
              <w14:schemeClr w14:val="tx1"/>
            </w14:solidFill>
          </w14:textFill>
        </w:rPr>
        <w:t>高管</w:t>
      </w:r>
      <w:r>
        <w:rPr>
          <w:rFonts w:hint="eastAsia" w:ascii="宋体" w:hAnsi="宋体" w:cs="FZSSK--GBK1-00+ZBNFQM-17"/>
          <w:color w:val="000000" w:themeColor="text1"/>
          <w14:textFill>
            <w14:solidFill>
              <w14:schemeClr w14:val="tx1"/>
            </w14:solidFill>
          </w14:textFill>
        </w:rPr>
        <w:t>层</w:t>
      </w:r>
      <w:r>
        <w:rPr>
          <w:rFonts w:hint="eastAsia" w:ascii="宋体" w:hAnsi="宋体" w:cs="FZSSK--GBK1-00+ZBNFQQ-24"/>
          <w:color w:val="000000" w:themeColor="text1"/>
          <w14:textFill>
            <w14:solidFill>
              <w14:schemeClr w14:val="tx1"/>
            </w14:solidFill>
          </w14:textFill>
        </w:rPr>
        <w:t>薪酬</w:t>
      </w:r>
      <w:r>
        <w:rPr>
          <w:rFonts w:hint="eastAsia" w:ascii="宋体" w:hAnsi="宋体" w:cs="FZSSK--GBK1-00+ZBNFQJ-12"/>
          <w:color w:val="000000" w:themeColor="text1"/>
          <w14:textFill>
            <w14:solidFill>
              <w14:schemeClr w14:val="tx1"/>
            </w14:solidFill>
          </w14:textFill>
        </w:rPr>
        <w:t>（</w:t>
      </w:r>
      <w:r>
        <w:rPr>
          <w:rFonts w:hint="eastAsia" w:ascii="宋体" w:hAnsi="宋体" w:cs="FZSSK--GBK1-00+ZBNFQL-16"/>
          <w:color w:val="000000" w:themeColor="text1"/>
          <w14:textFill>
            <w14:solidFill>
              <w14:schemeClr w14:val="tx1"/>
            </w14:solidFill>
          </w14:textFill>
        </w:rPr>
        <w:t>含</w:t>
      </w:r>
      <w:r>
        <w:rPr>
          <w:rFonts w:hint="eastAsia" w:ascii="宋体" w:hAnsi="宋体" w:cs="SSJ4+ZBNFQG-1"/>
          <w:color w:val="000000" w:themeColor="text1"/>
          <w14:textFill>
            <w14:solidFill>
              <w14:schemeClr w14:val="tx1"/>
            </w14:solidFill>
          </w14:textFill>
        </w:rPr>
        <w:t>变</w:t>
      </w:r>
      <w:r>
        <w:rPr>
          <w:rFonts w:hint="eastAsia" w:ascii="宋体" w:hAnsi="宋体" w:cs="FZSSK--GBK1-00+ZBNFQH-5"/>
          <w:color w:val="000000" w:themeColor="text1"/>
          <w14:textFill>
            <w14:solidFill>
              <w14:schemeClr w14:val="tx1"/>
            </w14:solidFill>
          </w14:textFill>
        </w:rPr>
        <w:t>相</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SSJ4+ZBNFQG-1"/>
          <w:color w:val="000000" w:themeColor="text1"/>
          <w14:textFill>
            <w14:solidFill>
              <w14:schemeClr w14:val="tx1"/>
            </w14:solidFill>
          </w14:textFill>
        </w:rPr>
        <w:t>即</w:t>
      </w:r>
      <w:r>
        <w:rPr>
          <w:rFonts w:hint="eastAsia" w:ascii="宋体" w:hAnsi="宋体" w:cs="FZSSK--GBK1-00+ZBNFQJ-12"/>
          <w:color w:val="000000" w:themeColor="text1"/>
          <w14:textFill>
            <w14:solidFill>
              <w14:schemeClr w14:val="tx1"/>
            </w14:solidFill>
          </w14:textFill>
        </w:rPr>
        <w:t>福</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J-12"/>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和</w:t>
      </w:r>
      <w:r>
        <w:rPr>
          <w:rFonts w:hint="eastAsia" w:ascii="宋体" w:hAnsi="宋体" w:cs="FZSSK--GBK1-00+ZBNFQL-16"/>
          <w:color w:val="000000" w:themeColor="text1"/>
          <w14:textFill>
            <w14:solidFill>
              <w14:schemeClr w14:val="tx1"/>
            </w14:solidFill>
          </w14:textFill>
        </w:rPr>
        <w:t>职</w:t>
      </w:r>
      <w:r>
        <w:rPr>
          <w:rFonts w:hint="eastAsia" w:ascii="宋体" w:hAnsi="宋体" w:cs="FZSSK--GBK1-00+ZBNFQK-14"/>
          <w:color w:val="000000" w:themeColor="text1"/>
          <w14:textFill>
            <w14:solidFill>
              <w14:schemeClr w14:val="tx1"/>
            </w14:solidFill>
          </w14:textFill>
        </w:rPr>
        <w:t>工工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SSJ4+ZBNFQG-1"/>
          <w:color w:val="000000" w:themeColor="text1"/>
          <w14:textFill>
            <w14:solidFill>
              <w14:schemeClr w14:val="tx1"/>
            </w14:solidFill>
          </w14:textFill>
        </w:rPr>
        <w:t>生</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K-14"/>
          <w:color w:val="000000" w:themeColor="text1"/>
          <w14:textFill>
            <w14:solidFill>
              <w14:schemeClr w14:val="tx1"/>
            </w14:solidFill>
          </w14:textFill>
        </w:rPr>
        <w:t>率</w:t>
      </w:r>
      <w:r>
        <w:rPr>
          <w:rFonts w:hint="eastAsia" w:ascii="宋体" w:hAnsi="宋体" w:cs="SSJ0+ZBNFQG-4"/>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I-10"/>
          <w:color w:val="000000" w:themeColor="text1"/>
          <w14:textFill>
            <w14:solidFill>
              <w14:schemeClr w14:val="tx1"/>
            </w14:solidFill>
          </w14:textFill>
        </w:rPr>
        <w:t>润</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I-9"/>
          <w:color w:val="000000" w:themeColor="text1"/>
          <w14:textFill>
            <w14:solidFill>
              <w14:schemeClr w14:val="tx1"/>
            </w14:solidFill>
          </w14:textFill>
        </w:rPr>
        <w:t>保</w:t>
      </w:r>
      <w:r>
        <w:rPr>
          <w:rFonts w:hint="eastAsia" w:ascii="宋体" w:hAnsi="宋体" w:cs="FZSSK--GBK1-00+ZBNFQI-10"/>
          <w:color w:val="000000" w:themeColor="text1"/>
          <w14:textFill>
            <w14:solidFill>
              <w14:schemeClr w14:val="tx1"/>
            </w14:solidFill>
          </w14:textFill>
        </w:rPr>
        <w:t>持</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7"/>
          <w:color w:val="000000" w:themeColor="text1"/>
          <w14:textFill>
            <w14:solidFill>
              <w14:schemeClr w14:val="tx1"/>
            </w14:solidFill>
          </w14:textFill>
        </w:rPr>
        <w:t>定</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H-8"/>
          <w:color w:val="000000" w:themeColor="text1"/>
          <w14:textFill>
            <w14:solidFill>
              <w14:schemeClr w14:val="tx1"/>
            </w14:solidFill>
          </w14:textFill>
        </w:rPr>
        <w:t>例</w:t>
      </w:r>
      <w:r>
        <w:rPr>
          <w:rFonts w:hint="eastAsia" w:ascii="宋体" w:hAnsi="宋体" w:cs="SSJ0+ZBNFQG-4"/>
          <w:color w:val="000000" w:themeColor="text1"/>
          <w14:textFill>
            <w14:solidFill>
              <w14:schemeClr w14:val="tx1"/>
            </w14:solidFill>
          </w14:textFill>
        </w:rPr>
        <w:t>。</w:t>
      </w:r>
    </w:p>
    <w:p w14:paraId="4E765835">
      <w:pPr>
        <w:autoSpaceDE w:val="0"/>
        <w:autoSpaceDN w:val="0"/>
        <w:adjustRightInd w:val="0"/>
        <w:spacing w:line="400" w:lineRule="exact"/>
        <w:ind w:firstLine="420" w:firstLineChars="200"/>
        <w:jc w:val="left"/>
        <w:rPr>
          <w:rFonts w:hint="eastAsia" w:ascii="宋体" w:hAnsi="宋体" w:cs="FZSSK--GBK1-00+ZBNFQH-5"/>
          <w:color w:val="000000" w:themeColor="text1"/>
          <w14:textFill>
            <w14:solidFill>
              <w14:schemeClr w14:val="tx1"/>
            </w14:solidFill>
          </w14:textFill>
        </w:rPr>
      </w:pPr>
      <w:r>
        <w:rPr>
          <w:rFonts w:hint="eastAsia" w:ascii="宋体" w:hAnsi="宋体" w:cs="E-BZ+ZBNFQH-6"/>
          <w:color w:val="000000" w:themeColor="text1"/>
          <w14:textFill>
            <w14:solidFill>
              <w14:schemeClr w14:val="tx1"/>
            </w14:solidFill>
          </w14:textFill>
        </w:rPr>
        <w:t>3.</w:t>
      </w:r>
      <w:r>
        <w:rPr>
          <w:rFonts w:hint="eastAsia" w:ascii="宋体" w:hAnsi="宋体" w:cs="FZSSK--GBK1-00+ZBNFQI-10"/>
          <w:color w:val="000000" w:themeColor="text1"/>
          <w14:textFill>
            <w14:solidFill>
              <w14:schemeClr w14:val="tx1"/>
            </w14:solidFill>
          </w14:textFill>
        </w:rPr>
        <w:t>转</w:t>
      </w:r>
      <w:r>
        <w:rPr>
          <w:rFonts w:hint="eastAsia" w:ascii="宋体" w:hAnsi="宋体" w:cs="SSJ4+ZBNFQG-1"/>
          <w:color w:val="000000" w:themeColor="text1"/>
          <w14:textFill>
            <w14:solidFill>
              <w14:schemeClr w14:val="tx1"/>
            </w14:solidFill>
          </w14:textFill>
        </w:rPr>
        <w:t>变经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长方</w:t>
      </w:r>
      <w:r>
        <w:rPr>
          <w:rFonts w:hint="eastAsia" w:ascii="宋体" w:hAnsi="宋体" w:cs="FZSSK--GBK1-00+ZBNFQI-10"/>
          <w:color w:val="000000" w:themeColor="text1"/>
          <w14:textFill>
            <w14:solidFill>
              <w14:schemeClr w14:val="tx1"/>
            </w14:solidFill>
          </w14:textFill>
        </w:rPr>
        <w:t>式</w:t>
      </w:r>
      <w:r>
        <w:rPr>
          <w:rFonts w:hint="eastAsia" w:ascii="宋体" w:hAnsi="宋体" w:cs="SSJ0+ZBNFQG-4"/>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5"/>
          <w:color w:val="000000" w:themeColor="text1"/>
          <w14:textFill>
            <w14:solidFill>
              <w14:schemeClr w14:val="tx1"/>
            </w14:solidFill>
          </w14:textFill>
        </w:rPr>
        <w:t>现</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期看，</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K-14"/>
          <w:color w:val="000000" w:themeColor="text1"/>
          <w14:textFill>
            <w14:solidFill>
              <w14:schemeClr w14:val="tx1"/>
            </w14:solidFill>
          </w14:textFill>
        </w:rPr>
        <w:t>须</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K-14"/>
          <w:color w:val="000000" w:themeColor="text1"/>
          <w14:textFill>
            <w14:solidFill>
              <w14:schemeClr w14:val="tx1"/>
            </w14:solidFill>
          </w14:textFill>
        </w:rPr>
        <w:t>效率</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要</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我国的经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K-14"/>
          <w:color w:val="000000" w:themeColor="text1"/>
          <w14:textFill>
            <w14:solidFill>
              <w14:schemeClr w14:val="tx1"/>
            </w14:solidFill>
          </w14:textFill>
        </w:rPr>
        <w:t>效率</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K-14"/>
          <w:color w:val="000000" w:themeColor="text1"/>
          <w14:textFill>
            <w14:solidFill>
              <w14:schemeClr w14:val="tx1"/>
            </w14:solidFill>
          </w14:textFill>
        </w:rPr>
        <w:t>须</w:t>
      </w:r>
      <w:r>
        <w:rPr>
          <w:rFonts w:hint="eastAsia" w:ascii="宋体" w:hAnsi="宋体" w:cs="FZSSK--GBK1-00+ZBNFQI-10"/>
          <w:color w:val="000000" w:themeColor="text1"/>
          <w14:textFill>
            <w14:solidFill>
              <w14:schemeClr w14:val="tx1"/>
            </w14:solidFill>
          </w14:textFill>
        </w:rPr>
        <w:t>转</w:t>
      </w:r>
      <w:r>
        <w:rPr>
          <w:rFonts w:hint="eastAsia" w:ascii="宋体" w:hAnsi="宋体" w:cs="SSJ4+ZBNFQG-1"/>
          <w:color w:val="000000" w:themeColor="text1"/>
          <w14:textFill>
            <w14:solidFill>
              <w14:schemeClr w14:val="tx1"/>
            </w14:solidFill>
          </w14:textFill>
        </w:rPr>
        <w:t>变经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长方</w:t>
      </w:r>
      <w:r>
        <w:rPr>
          <w:rFonts w:hint="eastAsia" w:ascii="宋体" w:hAnsi="宋体" w:cs="FZSSK--GBK1-00+ZBNFQI-10"/>
          <w:color w:val="000000" w:themeColor="text1"/>
          <w14:textFill>
            <w14:solidFill>
              <w14:schemeClr w14:val="tx1"/>
            </w14:solidFill>
          </w14:textFill>
        </w:rPr>
        <w:t>式</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我国的经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7"/>
          <w:color w:val="000000" w:themeColor="text1"/>
          <w14:textFill>
            <w14:solidFill>
              <w14:schemeClr w14:val="tx1"/>
            </w14:solidFill>
          </w14:textFill>
        </w:rPr>
        <w:t>直</w:t>
      </w:r>
      <w:r>
        <w:rPr>
          <w:rFonts w:hint="eastAsia" w:ascii="宋体" w:hAnsi="宋体" w:cs="SSJ4+ZBNFQG-1"/>
          <w:color w:val="000000" w:themeColor="text1"/>
          <w14:textFill>
            <w14:solidFill>
              <w14:schemeClr w14:val="tx1"/>
            </w14:solidFill>
          </w14:textFill>
        </w:rPr>
        <w:t>以来</w:t>
      </w:r>
      <w:r>
        <w:rPr>
          <w:rFonts w:hint="eastAsia" w:ascii="宋体" w:hAnsi="宋体" w:cs="FZSSK--GBK1-00+ZBNFQH-7"/>
          <w:color w:val="000000" w:themeColor="text1"/>
          <w14:textFill>
            <w14:solidFill>
              <w14:schemeClr w14:val="tx1"/>
            </w14:solidFill>
          </w14:textFill>
        </w:rPr>
        <w:t>都</w:t>
      </w:r>
      <w:r>
        <w:rPr>
          <w:rFonts w:hint="eastAsia" w:ascii="宋体" w:hAnsi="宋体" w:cs="SSJ4+ZBNFQG-1"/>
          <w:color w:val="000000" w:themeColor="text1"/>
          <w14:textFill>
            <w14:solidFill>
              <w14:schemeClr w14:val="tx1"/>
            </w14:solidFill>
          </w14:textFill>
        </w:rPr>
        <w:t>是</w:t>
      </w:r>
      <w:r>
        <w:rPr>
          <w:rFonts w:hint="eastAsia" w:ascii="宋体" w:hAnsi="宋体" w:cs="FZSSK--GBK1-00+ZBNFQL-16"/>
          <w:color w:val="000000" w:themeColor="text1"/>
          <w14:textFill>
            <w14:solidFill>
              <w14:schemeClr w14:val="tx1"/>
            </w14:solidFill>
          </w14:textFill>
        </w:rPr>
        <w:t>靠</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I-10"/>
          <w:color w:val="000000" w:themeColor="text1"/>
          <w14:textFill>
            <w14:solidFill>
              <w14:schemeClr w14:val="tx1"/>
            </w14:solidFill>
          </w14:textFill>
        </w:rPr>
        <w:t>积</w:t>
      </w:r>
      <w:r>
        <w:rPr>
          <w:rFonts w:hint="eastAsia" w:ascii="宋体" w:hAnsi="宋体" w:cs="FZSSK--GBK1-00+ZBNFQM-17"/>
          <w:color w:val="000000" w:themeColor="text1"/>
          <w14:textFill>
            <w14:solidFill>
              <w14:schemeClr w14:val="tx1"/>
            </w14:solidFill>
          </w14:textFill>
        </w:rPr>
        <w:t>累</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K-14"/>
          <w:color w:val="000000" w:themeColor="text1"/>
          <w14:textFill>
            <w14:solidFill>
              <w14:schemeClr w14:val="tx1"/>
            </w14:solidFill>
          </w14:textFill>
        </w:rPr>
        <w:t>投</w:t>
      </w:r>
      <w:r>
        <w:rPr>
          <w:rFonts w:hint="eastAsia" w:ascii="宋体" w:hAnsi="宋体" w:cs="SSJ4+ZBNFQG-1"/>
          <w:color w:val="000000" w:themeColor="text1"/>
          <w14:textFill>
            <w14:solidFill>
              <w14:schemeClr w14:val="tx1"/>
            </w14:solidFill>
          </w14:textFill>
        </w:rPr>
        <w:t>资</w:t>
      </w:r>
      <w:r>
        <w:rPr>
          <w:rFonts w:hint="eastAsia" w:ascii="宋体" w:hAnsi="宋体" w:cs="FZSSK--GBK1-00+ZBNFQH-8"/>
          <w:color w:val="000000" w:themeColor="text1"/>
          <w14:textFill>
            <w14:solidFill>
              <w14:schemeClr w14:val="tx1"/>
            </w14:solidFill>
          </w14:textFill>
        </w:rPr>
        <w:t>推</w:t>
      </w:r>
      <w:r>
        <w:rPr>
          <w:rFonts w:hint="eastAsia" w:ascii="宋体" w:hAnsi="宋体" w:cs="FZSSK--GBK1-00+ZBNFQH-5"/>
          <w:color w:val="000000" w:themeColor="text1"/>
          <w14:textFill>
            <w14:solidFill>
              <w14:schemeClr w14:val="tx1"/>
            </w14:solidFill>
          </w14:textFill>
        </w:rPr>
        <w:t>动</w:t>
      </w:r>
      <w:r>
        <w:rPr>
          <w:rFonts w:hint="eastAsia" w:ascii="宋体" w:hAnsi="宋体" w:cs="SSJ4+ZBNFQG-1"/>
          <w:color w:val="000000" w:themeColor="text1"/>
          <w14:textFill>
            <w14:solidFill>
              <w14:schemeClr w14:val="tx1"/>
            </w14:solidFill>
          </w14:textFill>
        </w:rPr>
        <w:t>，在</w:t>
      </w:r>
      <w:r>
        <w:rPr>
          <w:rFonts w:hint="eastAsia" w:ascii="宋体" w:hAnsi="宋体" w:cs="FZSSK--GBK1-00+ZBNFQI-9"/>
          <w:color w:val="000000" w:themeColor="text1"/>
          <w14:textFill>
            <w14:solidFill>
              <w14:schemeClr w14:val="tx1"/>
            </w14:solidFill>
          </w14:textFill>
        </w:rPr>
        <w:t>计</w:t>
      </w:r>
      <w:r>
        <w:rPr>
          <w:rFonts w:hint="eastAsia" w:ascii="宋体" w:hAnsi="宋体" w:cs="FZSSK--GBK1-00+ZBNFQM-17"/>
          <w:color w:val="000000" w:themeColor="text1"/>
          <w14:textFill>
            <w14:solidFill>
              <w14:schemeClr w14:val="tx1"/>
            </w14:solidFill>
          </w14:textFill>
        </w:rPr>
        <w:t>划</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5"/>
          <w:color w:val="000000" w:themeColor="text1"/>
          <w14:textFill>
            <w14:solidFill>
              <w14:schemeClr w14:val="tx1"/>
            </w14:solidFill>
          </w14:textFill>
        </w:rPr>
        <w:t>时代</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I-10"/>
          <w:color w:val="000000" w:themeColor="text1"/>
          <w14:textFill>
            <w14:solidFill>
              <w14:schemeClr w14:val="tx1"/>
            </w14:solidFill>
          </w14:textFill>
        </w:rPr>
        <w:t>积</w:t>
      </w:r>
      <w:r>
        <w:rPr>
          <w:rFonts w:hint="eastAsia" w:ascii="宋体" w:hAnsi="宋体" w:cs="FZSSK--GBK1-00+ZBNFQM-17"/>
          <w:color w:val="000000" w:themeColor="text1"/>
          <w14:textFill>
            <w14:solidFill>
              <w14:schemeClr w14:val="tx1"/>
            </w14:solidFill>
          </w14:textFill>
        </w:rPr>
        <w:t>累</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K-14"/>
          <w:color w:val="000000" w:themeColor="text1"/>
          <w14:textFill>
            <w14:solidFill>
              <w14:schemeClr w14:val="tx1"/>
            </w14:solidFill>
          </w14:textFill>
        </w:rPr>
        <w:t>投</w:t>
      </w:r>
      <w:r>
        <w:rPr>
          <w:rFonts w:hint="eastAsia" w:ascii="宋体" w:hAnsi="宋体" w:cs="SSJ4+ZBNFQG-1"/>
          <w:color w:val="000000" w:themeColor="text1"/>
          <w14:textFill>
            <w14:solidFill>
              <w14:schemeClr w14:val="tx1"/>
            </w14:solidFill>
          </w14:textFill>
        </w:rPr>
        <w:t>资的主</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是国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，而在</w:t>
      </w:r>
      <w:r>
        <w:rPr>
          <w:rFonts w:hint="eastAsia" w:ascii="宋体" w:hAnsi="宋体" w:cs="FZSSK--GBK1-00+ZBNFQI-10"/>
          <w:color w:val="000000" w:themeColor="text1"/>
          <w14:textFill>
            <w14:solidFill>
              <w14:schemeClr w14:val="tx1"/>
            </w14:solidFill>
          </w14:textFill>
        </w:rPr>
        <w:t>向</w:t>
      </w:r>
      <w:r>
        <w:rPr>
          <w:rFonts w:hint="eastAsia" w:ascii="宋体" w:hAnsi="宋体" w:cs="FZSSK--GBK1-00+ZBNFQH-5"/>
          <w:color w:val="000000" w:themeColor="text1"/>
          <w14:textFill>
            <w14:solidFill>
              <w14:schemeClr w14:val="tx1"/>
            </w14:solidFill>
          </w14:textFill>
        </w:rPr>
        <w:t>社会</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10"/>
          <w:color w:val="000000" w:themeColor="text1"/>
          <w14:textFill>
            <w14:solidFill>
              <w14:schemeClr w14:val="tx1"/>
            </w14:solidFill>
          </w14:textFill>
        </w:rPr>
        <w:t>转</w:t>
      </w:r>
      <w:r>
        <w:rPr>
          <w:rFonts w:hint="eastAsia" w:ascii="宋体" w:hAnsi="宋体" w:cs="FZSSK--GBK1-00+ZBNFQN-20"/>
          <w:color w:val="000000" w:themeColor="text1"/>
          <w14:textFill>
            <w14:solidFill>
              <w14:schemeClr w14:val="tx1"/>
            </w14:solidFill>
          </w14:textFill>
        </w:rPr>
        <w:t>轨</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J-12"/>
          <w:color w:val="000000" w:themeColor="text1"/>
          <w14:textFill>
            <w14:solidFill>
              <w14:schemeClr w14:val="tx1"/>
            </w14:solidFill>
          </w14:textFill>
        </w:rPr>
        <w:t>程</w:t>
      </w:r>
      <w:r>
        <w:rPr>
          <w:rFonts w:hint="eastAsia" w:ascii="宋体" w:hAnsi="宋体" w:cs="SSJ4+ZBNFQG-1"/>
          <w:color w:val="000000" w:themeColor="text1"/>
          <w14:textFill>
            <w14:solidFill>
              <w14:schemeClr w14:val="tx1"/>
            </w14:solidFill>
          </w14:textFill>
        </w:rPr>
        <w:t>中，</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I-10"/>
          <w:color w:val="000000" w:themeColor="text1"/>
          <w14:textFill>
            <w14:solidFill>
              <w14:schemeClr w14:val="tx1"/>
            </w14:solidFill>
          </w14:textFill>
        </w:rPr>
        <w:t>积</w:t>
      </w:r>
      <w:r>
        <w:rPr>
          <w:rFonts w:hint="eastAsia" w:ascii="宋体" w:hAnsi="宋体" w:cs="FZSSK--GBK1-00+ZBNFQM-17"/>
          <w:color w:val="000000" w:themeColor="text1"/>
          <w14:textFill>
            <w14:solidFill>
              <w14:schemeClr w14:val="tx1"/>
            </w14:solidFill>
          </w14:textFill>
        </w:rPr>
        <w:t>累</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K-14"/>
          <w:color w:val="000000" w:themeColor="text1"/>
          <w14:textFill>
            <w14:solidFill>
              <w14:schemeClr w14:val="tx1"/>
            </w14:solidFill>
          </w14:textFill>
        </w:rPr>
        <w:t>投</w:t>
      </w:r>
      <w:r>
        <w:rPr>
          <w:rFonts w:hint="eastAsia" w:ascii="宋体" w:hAnsi="宋体" w:cs="SSJ4+ZBNFQG-1"/>
          <w:color w:val="000000" w:themeColor="text1"/>
          <w14:textFill>
            <w14:solidFill>
              <w14:schemeClr w14:val="tx1"/>
            </w14:solidFill>
          </w14:textFill>
        </w:rPr>
        <w:t>资的主</w:t>
      </w:r>
      <w:r>
        <w:rPr>
          <w:rFonts w:hint="eastAsia" w:ascii="宋体" w:hAnsi="宋体" w:cs="FZSSK--GBK1-00+ZBNFQH-7"/>
          <w:color w:val="000000" w:themeColor="text1"/>
          <w14:textFill>
            <w14:solidFill>
              <w14:schemeClr w14:val="tx1"/>
            </w14:solidFill>
          </w14:textFill>
        </w:rPr>
        <w:t>体既</w:t>
      </w:r>
      <w:r>
        <w:rPr>
          <w:rFonts w:hint="eastAsia" w:ascii="宋体" w:hAnsi="宋体" w:cs="SSJ4+ZBNFQG-1"/>
          <w:color w:val="000000" w:themeColor="text1"/>
          <w14:textFill>
            <w14:solidFill>
              <w14:schemeClr w14:val="tx1"/>
            </w14:solidFill>
          </w14:textFill>
        </w:rPr>
        <w:t>有国有</w:t>
      </w:r>
      <w:r>
        <w:rPr>
          <w:rFonts w:hint="eastAsia" w:ascii="宋体" w:hAnsi="宋体" w:cs="SSJ0+ZBNFQG-4"/>
          <w:color w:val="000000" w:themeColor="text1"/>
          <w14:textFill>
            <w14:solidFill>
              <w14:schemeClr w14:val="tx1"/>
            </w14:solidFill>
          </w14:textFill>
        </w:rPr>
        <w:t>、</w:t>
      </w:r>
      <w:r>
        <w:rPr>
          <w:rFonts w:hint="eastAsia" w:ascii="宋体" w:hAnsi="宋体" w:cs="FZSSK--GBK1-00+ZBNFQK-15"/>
          <w:color w:val="000000" w:themeColor="text1"/>
          <w14:textFill>
            <w14:solidFill>
              <w14:schemeClr w14:val="tx1"/>
            </w14:solidFill>
          </w14:textFill>
        </w:rPr>
        <w:t>集</w:t>
      </w:r>
      <w:r>
        <w:rPr>
          <w:rFonts w:hint="eastAsia" w:ascii="宋体" w:hAnsi="宋体" w:cs="FZSSK--GBK1-00+ZBNFQH-7"/>
          <w:color w:val="000000" w:themeColor="text1"/>
          <w14:textFill>
            <w14:solidFill>
              <w14:schemeClr w14:val="tx1"/>
            </w14:solidFill>
          </w14:textFill>
        </w:rPr>
        <w:t>体</w:t>
      </w:r>
      <w:r>
        <w:rPr>
          <w:rFonts w:hint="eastAsia" w:ascii="宋体" w:hAnsi="宋体" w:cs="FZSSK--GBK1-00+ZBNFQJ-12"/>
          <w:color w:val="000000" w:themeColor="text1"/>
          <w14:textFill>
            <w14:solidFill>
              <w14:schemeClr w14:val="tx1"/>
            </w14:solidFill>
          </w14:textFill>
        </w:rPr>
        <w:t>企业</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有</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K-15"/>
          <w:color w:val="000000" w:themeColor="text1"/>
          <w14:textFill>
            <w14:solidFill>
              <w14:schemeClr w14:val="tx1"/>
            </w14:solidFill>
          </w14:textFill>
        </w:rPr>
        <w:t>营</w:t>
      </w:r>
      <w:r>
        <w:rPr>
          <w:rFonts w:hint="eastAsia" w:ascii="宋体" w:hAnsi="宋体" w:cs="FZSSK--GBK1-00+ZBNFQJ-12"/>
          <w:color w:val="000000" w:themeColor="text1"/>
          <w14:textFill>
            <w14:solidFill>
              <w14:schemeClr w14:val="tx1"/>
            </w14:solidFill>
          </w14:textFill>
        </w:rPr>
        <w:t>企业</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在</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J-13"/>
          <w:color w:val="000000" w:themeColor="text1"/>
          <w14:textFill>
            <w14:solidFill>
              <w14:schemeClr w14:val="tx1"/>
            </w14:solidFill>
          </w14:textFill>
        </w:rPr>
        <w:t>条</w:t>
      </w:r>
      <w:r>
        <w:rPr>
          <w:rFonts w:hint="eastAsia" w:ascii="宋体" w:hAnsi="宋体" w:cs="FZSSK--GBK1-00+ZBNFQI-9"/>
          <w:color w:val="000000" w:themeColor="text1"/>
          <w14:textFill>
            <w14:solidFill>
              <w14:schemeClr w14:val="tx1"/>
            </w14:solidFill>
          </w14:textFill>
        </w:rPr>
        <w:t>件</w:t>
      </w:r>
      <w:r>
        <w:rPr>
          <w:rFonts w:hint="eastAsia" w:ascii="宋体" w:hAnsi="宋体" w:cs="FZSSK--GBK1-00+ZBNFQH-8"/>
          <w:color w:val="000000" w:themeColor="text1"/>
          <w14:textFill>
            <w14:solidFill>
              <w14:schemeClr w14:val="tx1"/>
            </w14:solidFill>
          </w14:textFill>
        </w:rPr>
        <w:t>下</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I-10"/>
          <w:color w:val="000000" w:themeColor="text1"/>
          <w14:textFill>
            <w14:solidFill>
              <w14:schemeClr w14:val="tx1"/>
            </w14:solidFill>
          </w14:textFill>
        </w:rPr>
        <w:t>积</w:t>
      </w:r>
      <w:r>
        <w:rPr>
          <w:rFonts w:hint="eastAsia" w:ascii="宋体" w:hAnsi="宋体" w:cs="FZSSK--GBK1-00+ZBNFQM-17"/>
          <w:color w:val="000000" w:themeColor="text1"/>
          <w14:textFill>
            <w14:solidFill>
              <w14:schemeClr w14:val="tx1"/>
            </w14:solidFill>
          </w14:textFill>
        </w:rPr>
        <w:t>累</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K-14"/>
          <w:color w:val="000000" w:themeColor="text1"/>
          <w14:textFill>
            <w14:solidFill>
              <w14:schemeClr w14:val="tx1"/>
            </w14:solidFill>
          </w14:textFill>
        </w:rPr>
        <w:t>投</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表</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为新</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J-12"/>
          <w:color w:val="000000" w:themeColor="text1"/>
          <w14:textFill>
            <w14:solidFill>
              <w14:schemeClr w14:val="tx1"/>
            </w14:solidFill>
          </w14:textFill>
        </w:rPr>
        <w:t>价</w:t>
      </w:r>
      <w:r>
        <w:rPr>
          <w:rFonts w:hint="eastAsia" w:ascii="宋体" w:hAnsi="宋体" w:cs="FZSSK--GBK1-00+ZBNFQI-10"/>
          <w:color w:val="000000" w:themeColor="text1"/>
          <w14:textFill>
            <w14:solidFill>
              <w14:schemeClr w14:val="tx1"/>
            </w14:solidFill>
          </w14:textFill>
        </w:rPr>
        <w:t>值</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配</w:t>
      </w:r>
      <w:r>
        <w:rPr>
          <w:rFonts w:hint="eastAsia" w:ascii="宋体" w:hAnsi="宋体" w:cs="SSJ4+ZBNFQG-1"/>
          <w:color w:val="000000" w:themeColor="text1"/>
          <w14:textFill>
            <w14:solidFill>
              <w14:schemeClr w14:val="tx1"/>
            </w14:solidFill>
          </w14:textFill>
        </w:rPr>
        <w:t>中资本</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5"/>
          <w:color w:val="000000" w:themeColor="text1"/>
          <w14:textFill>
            <w14:solidFill>
              <w14:schemeClr w14:val="tx1"/>
            </w14:solidFill>
          </w14:textFill>
        </w:rPr>
        <w:t>较</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，而</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5"/>
          <w:color w:val="000000" w:themeColor="text1"/>
          <w14:textFill>
            <w14:solidFill>
              <w14:schemeClr w14:val="tx1"/>
            </w14:solidFill>
          </w14:textFill>
        </w:rPr>
        <w:t>较</w:t>
      </w:r>
      <w:r>
        <w:rPr>
          <w:rFonts w:hint="eastAsia" w:ascii="宋体" w:hAnsi="宋体" w:cs="FZSSK--GBK1-00+ZBNFQI-9"/>
          <w:color w:val="000000" w:themeColor="text1"/>
          <w14:textFill>
            <w14:solidFill>
              <w14:schemeClr w14:val="tx1"/>
            </w14:solidFill>
          </w14:textFill>
        </w:rPr>
        <w:t>低</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8"/>
          <w:color w:val="000000" w:themeColor="text1"/>
          <w14:textFill>
            <w14:solidFill>
              <w14:schemeClr w14:val="tx1"/>
            </w14:solidFill>
          </w14:textFill>
        </w:rPr>
        <w:t>必然</w:t>
      </w:r>
      <w:r>
        <w:rPr>
          <w:rFonts w:hint="eastAsia" w:ascii="宋体" w:hAnsi="宋体" w:cs="FZSSK--GBK1-00+ZBNFQH-5"/>
          <w:color w:val="000000" w:themeColor="text1"/>
          <w14:textFill>
            <w14:solidFill>
              <w14:schemeClr w14:val="tx1"/>
            </w14:solidFill>
          </w14:textFill>
        </w:rPr>
        <w:t>会</w:t>
      </w:r>
      <w:r>
        <w:rPr>
          <w:rFonts w:hint="eastAsia" w:ascii="宋体" w:hAnsi="宋体" w:cs="FZSSK--GBK1-00+ZBNFQK-15"/>
          <w:color w:val="000000" w:themeColor="text1"/>
          <w14:textFill>
            <w14:solidFill>
              <w14:schemeClr w14:val="tx1"/>
            </w14:solidFill>
          </w14:textFill>
        </w:rPr>
        <w:t>降</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压</w:t>
      </w:r>
      <w:r>
        <w:rPr>
          <w:rFonts w:hint="eastAsia" w:ascii="宋体" w:hAnsi="宋体" w:cs="FZSSK--GBK1-00+ZBNFQH-8"/>
          <w:color w:val="000000" w:themeColor="text1"/>
          <w14:textFill>
            <w14:solidFill>
              <w14:schemeClr w14:val="tx1"/>
            </w14:solidFill>
          </w14:textFill>
        </w:rPr>
        <w:t>缩</w:t>
      </w:r>
      <w:r>
        <w:rPr>
          <w:rFonts w:hint="eastAsia" w:ascii="宋体" w:hAnsi="宋体" w:cs="SSJ4+ZBNFQG-1"/>
          <w:color w:val="000000" w:themeColor="text1"/>
          <w14:textFill>
            <w14:solidFill>
              <w14:schemeClr w14:val="tx1"/>
            </w14:solidFill>
          </w14:textFill>
        </w:rPr>
        <w:t>国</w:t>
      </w:r>
      <w:r>
        <w:rPr>
          <w:rFonts w:hint="eastAsia" w:ascii="宋体" w:hAnsi="宋体" w:cs="FZSSK--GBK1-00+ZBNFQH-7"/>
          <w:color w:val="000000" w:themeColor="text1"/>
          <w14:textFill>
            <w14:solidFill>
              <w14:schemeClr w14:val="tx1"/>
            </w14:solidFill>
          </w14:textFill>
        </w:rPr>
        <w:t>内</w:t>
      </w:r>
      <w:r>
        <w:rPr>
          <w:rFonts w:hint="eastAsia" w:ascii="宋体" w:hAnsi="宋体" w:cs="FZSSK--GBK1-00+ZBNFQJ-13"/>
          <w:color w:val="000000" w:themeColor="text1"/>
          <w14:textFill>
            <w14:solidFill>
              <w14:schemeClr w14:val="tx1"/>
            </w14:solidFill>
          </w14:textFill>
        </w:rPr>
        <w:t>消费</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7"/>
          <w:color w:val="000000" w:themeColor="text1"/>
          <w14:textFill>
            <w14:solidFill>
              <w14:schemeClr w14:val="tx1"/>
            </w14:solidFill>
          </w14:textFill>
        </w:rPr>
        <w:t>能</w:t>
      </w:r>
      <w:r>
        <w:rPr>
          <w:rFonts w:hint="eastAsia" w:ascii="宋体" w:hAnsi="宋体" w:cs="SSJ4+ZBNFQG-1"/>
          <w:color w:val="000000" w:themeColor="text1"/>
          <w14:textFill>
            <w14:solidFill>
              <w14:schemeClr w14:val="tx1"/>
            </w14:solidFill>
          </w14:textFill>
        </w:rPr>
        <w:t>发</w:t>
      </w:r>
      <w:r>
        <w:rPr>
          <w:rFonts w:hint="eastAsia" w:ascii="宋体" w:hAnsi="宋体" w:cs="FZSSK--GBK1-00+ZBNFQM-17"/>
          <w:color w:val="000000" w:themeColor="text1"/>
          <w14:textFill>
            <w14:solidFill>
              <w14:schemeClr w14:val="tx1"/>
            </w14:solidFill>
          </w14:textFill>
        </w:rPr>
        <w:t>挥</w:t>
      </w:r>
      <w:r>
        <w:rPr>
          <w:rFonts w:hint="eastAsia" w:ascii="宋体" w:hAnsi="宋体" w:cs="SSJ4+ZBNFQG-1"/>
          <w:color w:val="000000" w:themeColor="text1"/>
          <w14:textFill>
            <w14:solidFill>
              <w14:schemeClr w14:val="tx1"/>
            </w14:solidFill>
          </w14:textFill>
        </w:rPr>
        <w:t>出国</w:t>
      </w:r>
      <w:r>
        <w:rPr>
          <w:rFonts w:hint="eastAsia" w:ascii="宋体" w:hAnsi="宋体" w:cs="FZSSK--GBK1-00+ZBNFQH-7"/>
          <w:color w:val="000000" w:themeColor="text1"/>
          <w14:textFill>
            <w14:solidFill>
              <w14:schemeClr w14:val="tx1"/>
            </w14:solidFill>
          </w14:textFill>
        </w:rPr>
        <w:t>内</w:t>
      </w:r>
      <w:r>
        <w:rPr>
          <w:rFonts w:hint="eastAsia" w:ascii="宋体" w:hAnsi="宋体" w:cs="FZSSK--GBK1-00+ZBNFQK-15"/>
          <w:color w:val="000000" w:themeColor="text1"/>
          <w14:textFill>
            <w14:solidFill>
              <w14:schemeClr w14:val="tx1"/>
            </w14:solidFill>
          </w14:textFill>
        </w:rPr>
        <w:t>居</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J-13"/>
          <w:color w:val="000000" w:themeColor="text1"/>
          <w14:textFill>
            <w14:solidFill>
              <w14:schemeClr w14:val="tx1"/>
            </w14:solidFill>
          </w14:textFill>
        </w:rPr>
        <w:t>消费</w:t>
      </w:r>
      <w:r>
        <w:rPr>
          <w:rFonts w:hint="eastAsia" w:ascii="宋体" w:hAnsi="宋体" w:cs="SSJ4+ZBNFQG-1"/>
          <w:color w:val="000000" w:themeColor="text1"/>
          <w14:textFill>
            <w14:solidFill>
              <w14:schemeClr w14:val="tx1"/>
            </w14:solidFill>
          </w14:textFill>
        </w:rPr>
        <w:t>对经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的</w:t>
      </w:r>
      <w:r>
        <w:rPr>
          <w:rFonts w:hint="eastAsia" w:ascii="宋体" w:hAnsi="宋体" w:cs="FZSSK--GBK1-00+ZBNFQP-23"/>
          <w:color w:val="000000" w:themeColor="text1"/>
          <w14:textFill>
            <w14:solidFill>
              <w14:schemeClr w14:val="tx1"/>
            </w14:solidFill>
          </w14:textFill>
        </w:rPr>
        <w:t>贡献</w:t>
      </w:r>
      <w:r>
        <w:rPr>
          <w:rFonts w:hint="eastAsia" w:ascii="宋体" w:hAnsi="宋体" w:cs="SSJ0+ZBNFQG-4"/>
          <w:color w:val="000000" w:themeColor="text1"/>
          <w14:textFill>
            <w14:solidFill>
              <w14:schemeClr w14:val="tx1"/>
            </w14:solidFill>
          </w14:textFill>
        </w:rPr>
        <w:t>。</w:t>
      </w:r>
    </w:p>
    <w:p w14:paraId="7986B88E">
      <w:pPr>
        <w:autoSpaceDE w:val="0"/>
        <w:autoSpaceDN w:val="0"/>
        <w:adjustRightInd w:val="0"/>
        <w:spacing w:line="400" w:lineRule="exact"/>
        <w:ind w:firstLine="420" w:firstLineChars="200"/>
        <w:jc w:val="left"/>
        <w:rPr>
          <w:rFonts w:hint="eastAsia" w:ascii="宋体" w:hAnsi="宋体" w:cs="FZXBSK--GBK1-00+ZBNFQG-3"/>
          <w:color w:val="000000" w:themeColor="text1"/>
          <w14:textFill>
            <w14:solidFill>
              <w14:schemeClr w14:val="tx1"/>
            </w14:solidFill>
          </w14:textFill>
        </w:rPr>
      </w:pPr>
      <w:r>
        <w:rPr>
          <w:rFonts w:hint="eastAsia" w:ascii="宋体" w:hAnsi="宋体" w:cs="FZSSK--GBK1-00+ZBNFQH-5"/>
          <w:color w:val="000000" w:themeColor="text1"/>
          <w14:textFill>
            <w14:solidFill>
              <w14:schemeClr w14:val="tx1"/>
            </w14:solidFill>
          </w14:textFill>
        </w:rPr>
        <w:t>如果</w:t>
      </w:r>
      <w:r>
        <w:rPr>
          <w:rFonts w:hint="eastAsia" w:ascii="宋体" w:hAnsi="宋体" w:cs="SSJ4+ZBNFQG-1"/>
          <w:color w:val="000000" w:themeColor="text1"/>
          <w14:textFill>
            <w14:solidFill>
              <w14:schemeClr w14:val="tx1"/>
            </w14:solidFill>
          </w14:textFill>
        </w:rPr>
        <w:t>我国</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在</w:t>
      </w:r>
      <w:r>
        <w:rPr>
          <w:rFonts w:hint="eastAsia" w:ascii="宋体" w:hAnsi="宋体" w:cs="FZSSK--GBK1-00+ZBNFQJ-13"/>
          <w:color w:val="000000" w:themeColor="text1"/>
          <w14:textFill>
            <w14:solidFill>
              <w14:schemeClr w14:val="tx1"/>
            </w14:solidFill>
          </w14:textFill>
        </w:rPr>
        <w:t>严</w:t>
      </w:r>
      <w:r>
        <w:rPr>
          <w:rFonts w:hint="eastAsia" w:ascii="宋体" w:hAnsi="宋体" w:cs="FZSSK--GBK1-00+ZBNFQH-7"/>
          <w:color w:val="000000" w:themeColor="text1"/>
          <w14:textFill>
            <w14:solidFill>
              <w14:schemeClr w14:val="tx1"/>
            </w14:solidFill>
          </w14:textFill>
        </w:rPr>
        <w:t>格</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8"/>
          <w:color w:val="000000" w:themeColor="text1"/>
          <w14:textFill>
            <w14:solidFill>
              <w14:schemeClr w14:val="tx1"/>
            </w14:solidFill>
          </w14:textFill>
        </w:rPr>
        <w:t>施</w:t>
      </w:r>
      <w:r>
        <w:rPr>
          <w:rFonts w:hint="eastAsia" w:ascii="宋体" w:hAnsi="宋体" w:cs="FZSSK--GBK1-00+ZBNFQH-5"/>
          <w:color w:val="000000" w:themeColor="text1"/>
          <w14:textFill>
            <w14:solidFill>
              <w14:schemeClr w14:val="tx1"/>
            </w14:solidFill>
          </w14:textFill>
        </w:rPr>
        <w:t>不断</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最</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和</w:t>
      </w:r>
      <w:r>
        <w:rPr>
          <w:rFonts w:hint="eastAsia" w:ascii="宋体" w:hAnsi="宋体" w:cs="FZSSK--GBK1-00+ZBNFQL-16"/>
          <w:color w:val="000000" w:themeColor="text1"/>
          <w14:textFill>
            <w14:solidFill>
              <w14:schemeClr w14:val="tx1"/>
            </w14:solidFill>
          </w14:textFill>
        </w:rPr>
        <w:t>职</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J-12"/>
          <w:color w:val="000000" w:themeColor="text1"/>
          <w14:textFill>
            <w14:solidFill>
              <w14:schemeClr w14:val="tx1"/>
            </w14:solidFill>
          </w14:textFill>
        </w:rPr>
        <w:t>福</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5"/>
          <w:color w:val="000000" w:themeColor="text1"/>
          <w14:textFill>
            <w14:solidFill>
              <w14:schemeClr w14:val="tx1"/>
            </w14:solidFill>
          </w14:textFill>
        </w:rPr>
        <w:t>就会</w:t>
      </w:r>
      <w:r>
        <w:rPr>
          <w:rFonts w:hint="eastAsia" w:ascii="宋体" w:hAnsi="宋体" w:cs="FZSSK--GBK1-00+ZBNFQJ-13"/>
          <w:color w:val="000000" w:themeColor="text1"/>
          <w14:textFill>
            <w14:solidFill>
              <w14:schemeClr w14:val="tx1"/>
            </w14:solidFill>
          </w14:textFill>
        </w:rPr>
        <w:t>逐</w:t>
      </w:r>
      <w:r>
        <w:rPr>
          <w:rFonts w:hint="eastAsia" w:ascii="宋体" w:hAnsi="宋体" w:cs="FZSSK--GBK1-00+ZBNFQH-7"/>
          <w:color w:val="000000" w:themeColor="text1"/>
          <w14:textFill>
            <w14:solidFill>
              <w14:schemeClr w14:val="tx1"/>
            </w14:solidFill>
          </w14:textFill>
        </w:rPr>
        <w:t>步</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K-14"/>
          <w:color w:val="000000" w:themeColor="text1"/>
          <w14:textFill>
            <w14:solidFill>
              <w14:schemeClr w14:val="tx1"/>
            </w14:solidFill>
          </w14:textFill>
        </w:rPr>
        <w:t>投</w:t>
      </w:r>
      <w:r>
        <w:rPr>
          <w:rFonts w:hint="eastAsia" w:ascii="宋体" w:hAnsi="宋体" w:cs="SSJ4+ZBNFQG-1"/>
          <w:color w:val="000000" w:themeColor="text1"/>
          <w14:textFill>
            <w14:solidFill>
              <w14:schemeClr w14:val="tx1"/>
            </w14:solidFill>
          </w14:textFill>
        </w:rPr>
        <w:t>资</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低</w:t>
      </w:r>
      <w:r>
        <w:rPr>
          <w:rFonts w:hint="eastAsia" w:ascii="宋体" w:hAnsi="宋体" w:cs="FZSSK--GBK1-00+ZBNFQK-15"/>
          <w:color w:val="000000" w:themeColor="text1"/>
          <w14:textFill>
            <w14:solidFill>
              <w14:schemeClr w14:val="tx1"/>
            </w14:solidFill>
          </w14:textFill>
        </w:rPr>
        <w:t>回</w:t>
      </w:r>
      <w:r>
        <w:rPr>
          <w:rFonts w:hint="eastAsia" w:ascii="宋体" w:hAnsi="宋体" w:cs="FZSSK--GBK1-00+ZBNFQI-9"/>
          <w:color w:val="000000" w:themeColor="text1"/>
          <w14:textFill>
            <w14:solidFill>
              <w14:schemeClr w14:val="tx1"/>
            </w14:solidFill>
          </w14:textFill>
        </w:rPr>
        <w:t>报</w:t>
      </w:r>
      <w:r>
        <w:rPr>
          <w:rFonts w:hint="eastAsia" w:ascii="宋体" w:hAnsi="宋体" w:cs="FZSSK--GBK1-00+ZBNFQK-14"/>
          <w:color w:val="000000" w:themeColor="text1"/>
          <w14:textFill>
            <w14:solidFill>
              <w14:schemeClr w14:val="tx1"/>
            </w14:solidFill>
          </w14:textFill>
        </w:rPr>
        <w:t>率</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I-9"/>
          <w:color w:val="000000" w:themeColor="text1"/>
          <w14:textFill>
            <w14:solidFill>
              <w14:schemeClr w14:val="tx1"/>
            </w14:solidFill>
          </w14:textFill>
        </w:rPr>
        <w:t>模</w:t>
      </w:r>
      <w:r>
        <w:rPr>
          <w:rFonts w:hint="eastAsia" w:ascii="宋体" w:hAnsi="宋体" w:cs="FZSSK--GBK1-00+ZBNFQI-10"/>
          <w:color w:val="000000" w:themeColor="text1"/>
          <w14:textFill>
            <w14:solidFill>
              <w14:schemeClr w14:val="tx1"/>
            </w14:solidFill>
          </w14:textFill>
        </w:rPr>
        <w:t>式</w:t>
      </w:r>
      <w:r>
        <w:rPr>
          <w:rFonts w:hint="eastAsia" w:ascii="宋体" w:hAnsi="宋体" w:cs="FZSSK--GBK1-00+ZBNFQH-5"/>
          <w:color w:val="000000" w:themeColor="text1"/>
          <w14:textFill>
            <w14:solidFill>
              <w14:schemeClr w14:val="tx1"/>
            </w14:solidFill>
          </w14:textFill>
        </w:rPr>
        <w:t>就会</w:t>
      </w:r>
      <w:r>
        <w:rPr>
          <w:rFonts w:hint="eastAsia" w:ascii="宋体" w:hAnsi="宋体" w:cs="FZSSK--GBK1-00+ZBNFQH-8"/>
          <w:color w:val="000000" w:themeColor="text1"/>
          <w14:textFill>
            <w14:solidFill>
              <w14:schemeClr w14:val="tx1"/>
            </w14:solidFill>
          </w14:textFill>
        </w:rPr>
        <w:t>得</w:t>
      </w:r>
      <w:r>
        <w:rPr>
          <w:rFonts w:hint="eastAsia" w:ascii="宋体" w:hAnsi="宋体" w:cs="FZSSK--GBK1-00+ZBNFQH-5"/>
          <w:color w:val="000000" w:themeColor="text1"/>
          <w14:textFill>
            <w14:solidFill>
              <w14:schemeClr w14:val="tx1"/>
            </w14:solidFill>
          </w14:textFill>
        </w:rPr>
        <w:t>到一</w:t>
      </w:r>
      <w:r>
        <w:rPr>
          <w:rFonts w:hint="eastAsia" w:ascii="宋体" w:hAnsi="宋体" w:cs="FZSSK--GBK1-00+ZBNFQH-7"/>
          <w:color w:val="000000" w:themeColor="text1"/>
          <w14:textFill>
            <w14:solidFill>
              <w14:schemeClr w14:val="tx1"/>
            </w14:solidFill>
          </w14:textFill>
        </w:rPr>
        <w:t>定</w:t>
      </w:r>
      <w:r>
        <w:rPr>
          <w:rFonts w:hint="eastAsia" w:ascii="宋体" w:hAnsi="宋体" w:cs="FZSSK--GBK1-00+ZBNFQJ-12"/>
          <w:color w:val="000000" w:themeColor="text1"/>
          <w14:textFill>
            <w14:solidFill>
              <w14:schemeClr w14:val="tx1"/>
            </w14:solidFill>
          </w14:textFill>
        </w:rPr>
        <w:t>程</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的</w:t>
      </w:r>
      <w:r>
        <w:rPr>
          <w:rFonts w:hint="eastAsia" w:ascii="宋体" w:hAnsi="宋体" w:cs="FZSSK--GBK1-00+ZBNFQI-10"/>
          <w:color w:val="000000" w:themeColor="text1"/>
          <w14:textFill>
            <w14:solidFill>
              <w14:schemeClr w14:val="tx1"/>
            </w14:solidFill>
          </w14:textFill>
        </w:rPr>
        <w:t>转</w:t>
      </w:r>
      <w:r>
        <w:rPr>
          <w:rFonts w:hint="eastAsia" w:ascii="宋体" w:hAnsi="宋体" w:cs="SSJ4+ZBNFQG-1"/>
          <w:color w:val="000000" w:themeColor="text1"/>
          <w14:textFill>
            <w14:solidFill>
              <w14:schemeClr w14:val="tx1"/>
            </w14:solidFill>
          </w14:textFill>
        </w:rPr>
        <w:t>变</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资本</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H-8"/>
          <w:color w:val="000000" w:themeColor="text1"/>
          <w14:textFill>
            <w14:solidFill>
              <w14:schemeClr w14:val="tx1"/>
            </w14:solidFill>
          </w14:textFill>
        </w:rPr>
        <w:t>用</w:t>
      </w:r>
      <w:r>
        <w:rPr>
          <w:rFonts w:hint="eastAsia" w:ascii="宋体" w:hAnsi="宋体" w:cs="FZSSK--GBK1-00+ZBNFQK-14"/>
          <w:color w:val="000000" w:themeColor="text1"/>
          <w14:textFill>
            <w14:solidFill>
              <w14:schemeClr w14:val="tx1"/>
            </w14:solidFill>
          </w14:textFill>
        </w:rPr>
        <w:t>效率</w:t>
      </w:r>
      <w:r>
        <w:rPr>
          <w:rFonts w:hint="eastAsia" w:ascii="宋体" w:hAnsi="宋体" w:cs="SSJ4+ZBNFQG-1"/>
          <w:color w:val="000000" w:themeColor="text1"/>
          <w14:textFill>
            <w14:solidFill>
              <w14:schemeClr w14:val="tx1"/>
            </w14:solidFill>
          </w14:textFill>
        </w:rPr>
        <w:t>，</w:t>
      </w:r>
      <w:r>
        <w:rPr>
          <w:rFonts w:hint="eastAsia" w:ascii="宋体" w:hAnsi="宋体" w:cs="FZSSK--GBK1-00+ZBNFQJ-13"/>
          <w:color w:val="000000" w:themeColor="text1"/>
          <w14:textFill>
            <w14:solidFill>
              <w14:schemeClr w14:val="tx1"/>
            </w14:solidFill>
          </w14:textFill>
        </w:rPr>
        <w:t>逐</w:t>
      </w:r>
      <w:r>
        <w:rPr>
          <w:rFonts w:hint="eastAsia" w:ascii="宋体" w:hAnsi="宋体" w:cs="FZSSK--GBK1-00+ZBNFQK-15"/>
          <w:color w:val="000000" w:themeColor="text1"/>
          <w14:textFill>
            <w14:solidFill>
              <w14:schemeClr w14:val="tx1"/>
            </w14:solidFill>
          </w14:textFill>
        </w:rPr>
        <w:t>渐</w:t>
      </w:r>
      <w:r>
        <w:rPr>
          <w:rFonts w:hint="eastAsia" w:ascii="宋体" w:hAnsi="宋体" w:cs="FZSSK--GBK1-00+ZBNFQI-10"/>
          <w:color w:val="000000" w:themeColor="text1"/>
          <w14:textFill>
            <w14:solidFill>
              <w14:schemeClr w14:val="tx1"/>
            </w14:solidFill>
          </w14:textFill>
        </w:rPr>
        <w:t>转向</w:t>
      </w:r>
      <w:r>
        <w:rPr>
          <w:rFonts w:hint="eastAsia" w:ascii="宋体" w:hAnsi="宋体" w:cs="FZSSK--GBK1-00+ZBNFQP-23"/>
          <w:color w:val="000000" w:themeColor="text1"/>
          <w14:textFill>
            <w14:solidFill>
              <w14:schemeClr w14:val="tx1"/>
            </w14:solidFill>
          </w14:textFill>
        </w:rPr>
        <w:t>附</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J-12"/>
          <w:color w:val="000000" w:themeColor="text1"/>
          <w14:textFill>
            <w14:solidFill>
              <w14:schemeClr w14:val="tx1"/>
            </w14:solidFill>
          </w14:textFill>
        </w:rPr>
        <w:t>价</w:t>
      </w:r>
      <w:r>
        <w:rPr>
          <w:rFonts w:hint="eastAsia" w:ascii="宋体" w:hAnsi="宋体" w:cs="FZSSK--GBK1-00+ZBNFQI-10"/>
          <w:color w:val="000000" w:themeColor="text1"/>
          <w14:textFill>
            <w14:solidFill>
              <w14:schemeClr w14:val="tx1"/>
            </w14:solidFill>
          </w14:textFill>
        </w:rPr>
        <w:t>值</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产品</w:t>
      </w:r>
      <w:r>
        <w:rPr>
          <w:rFonts w:hint="eastAsia" w:ascii="宋体" w:hAnsi="宋体" w:cs="SSJ4+ZBNFQG-1"/>
          <w:color w:val="000000" w:themeColor="text1"/>
          <w14:textFill>
            <w14:solidFill>
              <w14:schemeClr w14:val="tx1"/>
            </w14:solidFill>
          </w14:textFill>
        </w:rPr>
        <w:t>和</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J-12"/>
          <w:color w:val="000000" w:themeColor="text1"/>
          <w14:textFill>
            <w14:solidFill>
              <w14:schemeClr w14:val="tx1"/>
            </w14:solidFill>
          </w14:textFill>
        </w:rPr>
        <w:t>业</w:t>
      </w:r>
      <w:r>
        <w:rPr>
          <w:rFonts w:hint="eastAsia" w:ascii="宋体" w:hAnsi="宋体" w:cs="SSJ4+ZBNFQG-1"/>
          <w:color w:val="000000" w:themeColor="text1"/>
          <w14:textFill>
            <w14:solidFill>
              <w14:schemeClr w14:val="tx1"/>
            </w14:solidFill>
          </w14:textFill>
        </w:rPr>
        <w:t>，可以</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5"/>
          <w:color w:val="000000" w:themeColor="text1"/>
          <w14:textFill>
            <w14:solidFill>
              <w14:schemeClr w14:val="tx1"/>
            </w14:solidFill>
          </w14:textFill>
        </w:rPr>
        <w:t>现</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3"/>
          <w:color w:val="000000" w:themeColor="text1"/>
          <w14:textFill>
            <w14:solidFill>
              <w14:schemeClr w14:val="tx1"/>
            </w14:solidFill>
          </w14:textFill>
        </w:rPr>
        <w:t>份</w:t>
      </w:r>
      <w:r>
        <w:rPr>
          <w:rFonts w:hint="eastAsia" w:ascii="宋体" w:hAnsi="宋体" w:cs="FZSSK--GBK1-00+ZBNFQK-14"/>
          <w:color w:val="000000" w:themeColor="text1"/>
          <w14:textFill>
            <w14:solidFill>
              <w14:schemeClr w14:val="tx1"/>
            </w14:solidFill>
          </w14:textFill>
        </w:rPr>
        <w:t>额</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和</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J-12"/>
          <w:color w:val="000000" w:themeColor="text1"/>
          <w14:textFill>
            <w14:solidFill>
              <w14:schemeClr w14:val="tx1"/>
            </w14:solidFill>
          </w14:textFill>
        </w:rPr>
        <w:t>业</w:t>
      </w:r>
      <w:r>
        <w:rPr>
          <w:rFonts w:hint="eastAsia" w:ascii="宋体" w:hAnsi="宋体" w:cs="FZSSK--GBK1-00+ZBNFQH-5"/>
          <w:color w:val="000000" w:themeColor="text1"/>
          <w14:textFill>
            <w14:solidFill>
              <w14:schemeClr w14:val="tx1"/>
            </w14:solidFill>
          </w14:textFill>
        </w:rPr>
        <w:t>结</w:t>
      </w:r>
      <w:r>
        <w:rPr>
          <w:rFonts w:hint="eastAsia" w:ascii="宋体" w:hAnsi="宋体" w:cs="FZSSK--GBK1-00+ZBNFQN-20"/>
          <w:color w:val="000000" w:themeColor="text1"/>
          <w14:textFill>
            <w14:solidFill>
              <w14:schemeClr w14:val="tx1"/>
            </w14:solidFill>
          </w14:textFill>
        </w:rPr>
        <w:t>构</w:t>
      </w:r>
      <w:r>
        <w:rPr>
          <w:rFonts w:hint="eastAsia" w:ascii="宋体" w:hAnsi="宋体" w:cs="FZSSK--GBK1-00+ZBNFQI-10"/>
          <w:color w:val="000000" w:themeColor="text1"/>
          <w14:textFill>
            <w14:solidFill>
              <w14:schemeClr w14:val="tx1"/>
            </w14:solidFill>
          </w14:textFill>
        </w:rPr>
        <w:t>升</w:t>
      </w:r>
      <w:r>
        <w:rPr>
          <w:rFonts w:hint="eastAsia" w:ascii="宋体" w:hAnsi="宋体" w:cs="FZSSK--GBK1-00+ZBNFQH-7"/>
          <w:color w:val="000000" w:themeColor="text1"/>
          <w14:textFill>
            <w14:solidFill>
              <w14:schemeClr w14:val="tx1"/>
            </w14:solidFill>
          </w14:textFill>
        </w:rPr>
        <w:t>级</w:t>
      </w:r>
      <w:r>
        <w:rPr>
          <w:rFonts w:hint="eastAsia" w:ascii="宋体" w:hAnsi="宋体" w:cs="FZSSK--GBK1-00+ZBNFQH-5"/>
          <w:color w:val="000000" w:themeColor="text1"/>
          <w14:textFill>
            <w14:solidFill>
              <w14:schemeClr w14:val="tx1"/>
            </w14:solidFill>
          </w14:textFill>
        </w:rPr>
        <w:t>相互</w:t>
      </w:r>
      <w:r>
        <w:rPr>
          <w:rFonts w:hint="eastAsia" w:ascii="宋体" w:hAnsi="宋体" w:cs="FZSSK--GBK1-00+ZBNFQQ-24"/>
          <w:color w:val="000000" w:themeColor="text1"/>
          <w14:textFill>
            <w14:solidFill>
              <w14:schemeClr w14:val="tx1"/>
            </w14:solidFill>
          </w14:textFill>
        </w:rPr>
        <w:t>促</w:t>
      </w:r>
      <w:r>
        <w:rPr>
          <w:rFonts w:hint="eastAsia" w:ascii="宋体" w:hAnsi="宋体" w:cs="FZSSK--GBK1-00+ZBNFQH-5"/>
          <w:color w:val="000000" w:themeColor="text1"/>
          <w14:textFill>
            <w14:solidFill>
              <w14:schemeClr w14:val="tx1"/>
            </w14:solidFill>
          </w14:textFill>
        </w:rPr>
        <w:t>进</w:t>
      </w:r>
      <w:r>
        <w:rPr>
          <w:rFonts w:hint="eastAsia" w:ascii="宋体" w:hAnsi="宋体" w:cs="SSJ0+ZBNFQG-4"/>
          <w:color w:val="000000" w:themeColor="text1"/>
          <w14:textFill>
            <w14:solidFill>
              <w14:schemeClr w14:val="tx1"/>
            </w14:solidFill>
          </w14:textFill>
        </w:rPr>
        <w:t>、</w:t>
      </w:r>
      <w:r>
        <w:rPr>
          <w:rFonts w:hint="eastAsia" w:ascii="宋体" w:hAnsi="宋体" w:cs="FZSSK--GBK1-00+ZBNFQL-16"/>
          <w:color w:val="000000" w:themeColor="text1"/>
          <w14:textFill>
            <w14:solidFill>
              <w14:schemeClr w14:val="tx1"/>
            </w14:solidFill>
          </w14:textFill>
        </w:rPr>
        <w:t>良</w:t>
      </w:r>
      <w:r>
        <w:rPr>
          <w:rFonts w:hint="eastAsia" w:ascii="宋体" w:hAnsi="宋体" w:cs="FZSSK--GBK1-00+ZBNFQH-7"/>
          <w:color w:val="000000" w:themeColor="text1"/>
          <w14:textFill>
            <w14:solidFill>
              <w14:schemeClr w14:val="tx1"/>
            </w14:solidFill>
          </w14:textFill>
        </w:rPr>
        <w:t>性</w:t>
      </w:r>
      <w:r>
        <w:rPr>
          <w:rFonts w:hint="eastAsia" w:ascii="宋体" w:hAnsi="宋体" w:cs="FZSSK--GBK1-00+ZBNFQO-22"/>
          <w:color w:val="000000" w:themeColor="text1"/>
          <w14:textFill>
            <w14:solidFill>
              <w14:schemeClr w14:val="tx1"/>
            </w14:solidFill>
          </w14:textFill>
        </w:rPr>
        <w:t>循</w:t>
      </w:r>
      <w:r>
        <w:rPr>
          <w:rFonts w:hint="eastAsia" w:ascii="宋体" w:hAnsi="宋体" w:cs="FZSSK--GBK1-00+ZBNFQK-15"/>
          <w:color w:val="000000" w:themeColor="text1"/>
          <w14:textFill>
            <w14:solidFill>
              <w14:schemeClr w14:val="tx1"/>
            </w14:solidFill>
          </w14:textFill>
        </w:rPr>
        <w:t>环</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这也</w:t>
      </w:r>
      <w:r>
        <w:rPr>
          <w:rFonts w:hint="eastAsia" w:ascii="宋体" w:hAnsi="宋体" w:cs="SSJ4+ZBNFQG-1"/>
          <w:color w:val="000000" w:themeColor="text1"/>
          <w14:textFill>
            <w14:solidFill>
              <w14:schemeClr w14:val="tx1"/>
            </w14:solidFill>
          </w14:textFill>
        </w:rPr>
        <w:t>是我国</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J-12"/>
          <w:color w:val="000000" w:themeColor="text1"/>
          <w14:textFill>
            <w14:solidFill>
              <w14:schemeClr w14:val="tx1"/>
            </w14:solidFill>
          </w14:textFill>
        </w:rPr>
        <w:t>业</w:t>
      </w:r>
      <w:r>
        <w:rPr>
          <w:rFonts w:hint="eastAsia" w:ascii="宋体" w:hAnsi="宋体" w:cs="SSJ4+ZBNFQG-1"/>
          <w:color w:val="000000" w:themeColor="text1"/>
          <w14:textFill>
            <w14:solidFill>
              <w14:schemeClr w14:val="tx1"/>
            </w14:solidFill>
          </w14:textFill>
        </w:rPr>
        <w:t>发展</w:t>
      </w:r>
      <w:r>
        <w:rPr>
          <w:rFonts w:hint="eastAsia" w:ascii="宋体" w:hAnsi="宋体" w:cs="FZSSK--GBK1-00+ZBNFQJ-13"/>
          <w:color w:val="000000" w:themeColor="text1"/>
          <w14:textFill>
            <w14:solidFill>
              <w14:schemeClr w14:val="tx1"/>
            </w14:solidFill>
          </w14:textFill>
        </w:rPr>
        <w:t>走</w:t>
      </w:r>
      <w:r>
        <w:rPr>
          <w:rFonts w:hint="eastAsia" w:ascii="宋体" w:hAnsi="宋体" w:cs="SSJ4+ZBNFQG-1"/>
          <w:color w:val="000000" w:themeColor="text1"/>
          <w14:textFill>
            <w14:solidFill>
              <w14:schemeClr w14:val="tx1"/>
            </w14:solidFill>
          </w14:textFill>
        </w:rPr>
        <w:t>出</w:t>
      </w:r>
      <w:r>
        <w:rPr>
          <w:rFonts w:hint="eastAsia" w:ascii="宋体" w:hAnsi="宋体" w:cs="FZSSK--GBK1-00+ZBNFQK-15"/>
          <w:color w:val="000000" w:themeColor="text1"/>
          <w14:textFill>
            <w14:solidFill>
              <w14:schemeClr w14:val="tx1"/>
            </w14:solidFill>
          </w14:textFill>
        </w:rPr>
        <w:t>粗</w:t>
      </w:r>
      <w:r>
        <w:rPr>
          <w:rFonts w:hint="eastAsia" w:ascii="宋体" w:hAnsi="宋体" w:cs="FZSSK--GBK1-00+ZBNFQK-14"/>
          <w:color w:val="000000" w:themeColor="text1"/>
          <w14:textFill>
            <w14:solidFill>
              <w14:schemeClr w14:val="tx1"/>
            </w14:solidFill>
          </w14:textFill>
        </w:rPr>
        <w:t>放</w:t>
      </w:r>
      <w:r>
        <w:rPr>
          <w:rFonts w:hint="eastAsia" w:ascii="宋体" w:hAnsi="宋体" w:cs="FZSSK--GBK1-00+ZBNFQJ-12"/>
          <w:color w:val="000000" w:themeColor="text1"/>
          <w14:textFill>
            <w14:solidFill>
              <w14:schemeClr w14:val="tx1"/>
            </w14:solidFill>
          </w14:textFill>
        </w:rPr>
        <w:t>型</w:t>
      </w:r>
      <w:r>
        <w:rPr>
          <w:rFonts w:hint="eastAsia" w:ascii="宋体" w:hAnsi="宋体" w:cs="SSJ4+ZBNFQG-1"/>
          <w:color w:val="000000" w:themeColor="text1"/>
          <w14:textFill>
            <w14:solidFill>
              <w14:schemeClr w14:val="tx1"/>
            </w14:solidFill>
          </w14:textFill>
        </w:rPr>
        <w:t>发展</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进入</w:t>
      </w:r>
      <w:r>
        <w:rPr>
          <w:rFonts w:hint="eastAsia" w:ascii="宋体" w:hAnsi="宋体" w:cs="FZSSK--GBK1-00+ZBNFQK-15"/>
          <w:color w:val="000000" w:themeColor="text1"/>
          <w14:textFill>
            <w14:solidFill>
              <w14:schemeClr w14:val="tx1"/>
            </w14:solidFill>
          </w14:textFill>
        </w:rPr>
        <w:t>集</w:t>
      </w:r>
      <w:r>
        <w:rPr>
          <w:rFonts w:hint="eastAsia" w:ascii="宋体" w:hAnsi="宋体" w:cs="FZSSK--GBK1-00+ZBNFQJ-13"/>
          <w:color w:val="000000" w:themeColor="text1"/>
          <w14:textFill>
            <w14:solidFill>
              <w14:schemeClr w14:val="tx1"/>
            </w14:solidFill>
          </w14:textFill>
        </w:rPr>
        <w:t>约</w:t>
      </w:r>
      <w:r>
        <w:rPr>
          <w:rFonts w:hint="eastAsia" w:ascii="宋体" w:hAnsi="宋体" w:cs="SSJ4+ZBNFQG-1"/>
          <w:color w:val="000000" w:themeColor="text1"/>
          <w14:textFill>
            <w14:solidFill>
              <w14:schemeClr w14:val="tx1"/>
            </w14:solidFill>
          </w14:textFill>
        </w:rPr>
        <w:t>化经</w:t>
      </w:r>
      <w:r>
        <w:rPr>
          <w:rFonts w:hint="eastAsia" w:ascii="宋体" w:hAnsi="宋体" w:cs="FZSSK--GBK1-00+ZBNFQK-15"/>
          <w:color w:val="000000" w:themeColor="text1"/>
          <w14:textFill>
            <w14:solidFill>
              <w14:schemeClr w14:val="tx1"/>
            </w14:solidFill>
          </w14:textFill>
        </w:rPr>
        <w:t>营</w:t>
      </w:r>
      <w:r>
        <w:rPr>
          <w:rFonts w:hint="eastAsia" w:ascii="宋体" w:hAnsi="宋体" w:cs="SSJ4+ZBNFQG-1"/>
          <w:color w:val="000000" w:themeColor="text1"/>
          <w14:textFill>
            <w14:solidFill>
              <w14:schemeClr w14:val="tx1"/>
            </w14:solidFill>
          </w14:textFill>
        </w:rPr>
        <w:t>的重要</w:t>
      </w:r>
      <w:r>
        <w:rPr>
          <w:rFonts w:hint="eastAsia" w:ascii="宋体" w:hAnsi="宋体" w:cs="FZSSK--GBK1-00+ZBNFQJ-13"/>
          <w:color w:val="000000" w:themeColor="text1"/>
          <w14:textFill>
            <w14:solidFill>
              <w14:schemeClr w14:val="tx1"/>
            </w14:solidFill>
          </w14:textFill>
        </w:rPr>
        <w:t>条</w:t>
      </w:r>
      <w:r>
        <w:rPr>
          <w:rFonts w:hint="eastAsia" w:ascii="宋体" w:hAnsi="宋体" w:cs="FZSSK--GBK1-00+ZBNFQI-9"/>
          <w:color w:val="000000" w:themeColor="text1"/>
          <w14:textFill>
            <w14:solidFill>
              <w14:schemeClr w14:val="tx1"/>
            </w14:solidFill>
          </w14:textFill>
        </w:rPr>
        <w:t>件</w:t>
      </w:r>
      <w:r>
        <w:rPr>
          <w:rFonts w:hint="eastAsia" w:ascii="宋体" w:hAnsi="宋体" w:cs="SSJ0+ZBNFQG-4"/>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5"/>
          <w:color w:val="000000" w:themeColor="text1"/>
          <w14:textFill>
            <w14:solidFill>
              <w14:schemeClr w14:val="tx1"/>
            </w14:solidFill>
          </w14:textFill>
        </w:rPr>
        <w:t>现</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J-12"/>
          <w:color w:val="000000" w:themeColor="text1"/>
          <w14:textFill>
            <w14:solidFill>
              <w14:schemeClr w14:val="tx1"/>
            </w14:solidFill>
          </w14:textFill>
        </w:rPr>
        <w:t>业</w:t>
      </w:r>
      <w:r>
        <w:rPr>
          <w:rFonts w:hint="eastAsia" w:ascii="宋体" w:hAnsi="宋体" w:cs="SSJ4+ZBNFQG-1"/>
          <w:color w:val="000000" w:themeColor="text1"/>
          <w14:textFill>
            <w14:solidFill>
              <w14:schemeClr w14:val="tx1"/>
            </w14:solidFill>
          </w14:textFill>
        </w:rPr>
        <w:t>发展的</w:t>
      </w:r>
      <w:r>
        <w:rPr>
          <w:rFonts w:hint="eastAsia" w:ascii="宋体" w:hAnsi="宋体" w:cs="FZSSK--GBK1-00+ZBNFQH-5"/>
          <w:color w:val="000000" w:themeColor="text1"/>
          <w14:textFill>
            <w14:solidFill>
              <w14:schemeClr w14:val="tx1"/>
            </w14:solidFill>
          </w14:textFill>
        </w:rPr>
        <w:t>这一</w:t>
      </w:r>
      <w:r>
        <w:rPr>
          <w:rFonts w:hint="eastAsia" w:ascii="宋体" w:hAnsi="宋体" w:cs="FZSSK--GBK1-00+ZBNFQI-10"/>
          <w:color w:val="000000" w:themeColor="text1"/>
          <w14:textFill>
            <w14:solidFill>
              <w14:schemeClr w14:val="tx1"/>
            </w14:solidFill>
          </w14:textFill>
        </w:rPr>
        <w:t>转</w:t>
      </w:r>
      <w:r>
        <w:rPr>
          <w:rFonts w:hint="eastAsia" w:ascii="宋体" w:hAnsi="宋体" w:cs="SSJ4+ZBNFQG-1"/>
          <w:color w:val="000000" w:themeColor="text1"/>
          <w14:textFill>
            <w14:solidFill>
              <w14:schemeClr w14:val="tx1"/>
            </w14:solidFill>
          </w14:textFill>
        </w:rPr>
        <w:t>变有两</w:t>
      </w:r>
      <w:r>
        <w:rPr>
          <w:rFonts w:hint="eastAsia" w:ascii="宋体" w:hAnsi="宋体" w:cs="FZSSK--GBK1-00+ZBNFQH-8"/>
          <w:color w:val="000000" w:themeColor="text1"/>
          <w14:textFill>
            <w14:solidFill>
              <w14:schemeClr w14:val="tx1"/>
            </w14:solidFill>
          </w14:textFill>
        </w:rPr>
        <w:t>方</w:t>
      </w:r>
      <w:r>
        <w:rPr>
          <w:rFonts w:hint="eastAsia" w:ascii="宋体" w:hAnsi="宋体" w:cs="SSJ4+ZBNFQG-1"/>
          <w:color w:val="000000" w:themeColor="text1"/>
          <w14:textFill>
            <w14:solidFill>
              <w14:schemeClr w14:val="tx1"/>
            </w14:solidFill>
          </w14:textFill>
        </w:rPr>
        <w:t>面的</w:t>
      </w:r>
      <w:r>
        <w:rPr>
          <w:rFonts w:hint="eastAsia" w:ascii="宋体" w:hAnsi="宋体" w:cs="FZSSK--GBK1-00+ZBNFQJ-13"/>
          <w:color w:val="000000" w:themeColor="text1"/>
          <w14:textFill>
            <w14:solidFill>
              <w14:schemeClr w14:val="tx1"/>
            </w14:solidFill>
          </w14:textFill>
        </w:rPr>
        <w:t>好</w:t>
      </w:r>
      <w:r>
        <w:rPr>
          <w:rFonts w:hint="eastAsia" w:ascii="宋体" w:hAnsi="宋体" w:cs="SSJ4+ZBNFQG-1"/>
          <w:color w:val="000000" w:themeColor="text1"/>
          <w14:textFill>
            <w14:solidFill>
              <w14:schemeClr w14:val="tx1"/>
            </w14:solidFill>
          </w14:textFill>
        </w:rPr>
        <w:t>处，</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8"/>
          <w:color w:val="000000" w:themeColor="text1"/>
          <w14:textFill>
            <w14:solidFill>
              <w14:schemeClr w14:val="tx1"/>
            </w14:solidFill>
          </w14:textFill>
        </w:rPr>
        <w:t>方</w:t>
      </w:r>
      <w:r>
        <w:rPr>
          <w:rFonts w:hint="eastAsia" w:ascii="宋体" w:hAnsi="宋体" w:cs="SSJ4+ZBNFQG-1"/>
          <w:color w:val="000000" w:themeColor="text1"/>
          <w14:textFill>
            <w14:solidFill>
              <w14:schemeClr w14:val="tx1"/>
            </w14:solidFill>
          </w14:textFill>
        </w:rPr>
        <w:t>面</w:t>
      </w:r>
      <w:r>
        <w:rPr>
          <w:rFonts w:hint="eastAsia" w:ascii="宋体" w:hAnsi="宋体" w:cs="FZSSK--GBK1-00+ZBNFQH-5"/>
          <w:color w:val="000000" w:themeColor="text1"/>
          <w14:textFill>
            <w14:solidFill>
              <w14:schemeClr w14:val="tx1"/>
            </w14:solidFill>
          </w14:textFill>
        </w:rPr>
        <w:t>会</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高内</w:t>
      </w:r>
      <w:r>
        <w:rPr>
          <w:rFonts w:hint="eastAsia" w:ascii="宋体" w:hAnsi="宋体" w:cs="FZSSK--GBK1-00+ZBNFQJ-12"/>
          <w:color w:val="000000" w:themeColor="text1"/>
          <w14:textFill>
            <w14:solidFill>
              <w14:schemeClr w14:val="tx1"/>
            </w14:solidFill>
          </w14:textFill>
        </w:rPr>
        <w:t>需</w:t>
      </w:r>
      <w:r>
        <w:rPr>
          <w:rFonts w:hint="eastAsia" w:ascii="宋体" w:hAnsi="宋体" w:cs="SSJ4+ZBNFQG-1"/>
          <w:color w:val="000000" w:themeColor="text1"/>
          <w14:textFill>
            <w14:solidFill>
              <w14:schemeClr w14:val="tx1"/>
            </w14:solidFill>
          </w14:textFill>
        </w:rPr>
        <w:t>对经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H-8"/>
          <w:color w:val="000000" w:themeColor="text1"/>
          <w14:textFill>
            <w14:solidFill>
              <w14:schemeClr w14:val="tx1"/>
            </w14:solidFill>
          </w14:textFill>
        </w:rPr>
        <w:t>长</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带</w:t>
      </w:r>
      <w:r>
        <w:rPr>
          <w:rFonts w:hint="eastAsia" w:ascii="宋体" w:hAnsi="宋体" w:cs="FZSSK--GBK1-00+ZBNFQH-5"/>
          <w:color w:val="000000" w:themeColor="text1"/>
          <w14:textFill>
            <w14:solidFill>
              <w14:schemeClr w14:val="tx1"/>
            </w14:solidFill>
          </w14:textFill>
        </w:rPr>
        <w:t>动</w:t>
      </w:r>
      <w:r>
        <w:rPr>
          <w:rFonts w:hint="eastAsia" w:ascii="宋体" w:hAnsi="宋体" w:cs="SSJ4+ZBNFQG-1"/>
          <w:color w:val="000000" w:themeColor="text1"/>
          <w14:textFill>
            <w14:solidFill>
              <w14:schemeClr w14:val="tx1"/>
            </w14:solidFill>
          </w14:textFill>
        </w:rPr>
        <w:t>作</w:t>
      </w:r>
      <w:r>
        <w:rPr>
          <w:rFonts w:hint="eastAsia" w:ascii="宋体" w:hAnsi="宋体" w:cs="FZSSK--GBK1-00+ZBNFQH-8"/>
          <w:color w:val="000000" w:themeColor="text1"/>
          <w14:textFill>
            <w14:solidFill>
              <w14:schemeClr w14:val="tx1"/>
            </w14:solidFill>
          </w14:textFill>
        </w:rPr>
        <w:t>用</w:t>
      </w:r>
      <w:r>
        <w:rPr>
          <w:rFonts w:hint="eastAsia" w:ascii="宋体" w:hAnsi="宋体" w:cs="SSJ4+ZBNFQG-1"/>
          <w:color w:val="000000" w:themeColor="text1"/>
          <w14:textFill>
            <w14:solidFill>
              <w14:schemeClr w14:val="tx1"/>
            </w14:solidFill>
          </w14:textFill>
        </w:rPr>
        <w:t>，</w:t>
      </w:r>
      <w:r>
        <w:rPr>
          <w:rFonts w:hint="eastAsia" w:ascii="宋体" w:hAnsi="宋体" w:cs="FZSSK--GBK1-00+ZBNFQO-22"/>
          <w:color w:val="000000" w:themeColor="text1"/>
          <w14:textFill>
            <w14:solidFill>
              <w14:schemeClr w14:val="tx1"/>
            </w14:solidFill>
          </w14:textFill>
        </w:rPr>
        <w:t>另</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8"/>
          <w:color w:val="000000" w:themeColor="text1"/>
          <w14:textFill>
            <w14:solidFill>
              <w14:schemeClr w14:val="tx1"/>
            </w14:solidFill>
          </w14:textFill>
        </w:rPr>
        <w:t>方</w:t>
      </w:r>
      <w:r>
        <w:rPr>
          <w:rFonts w:hint="eastAsia" w:ascii="宋体" w:hAnsi="宋体" w:cs="SSJ4+ZBNFQG-1"/>
          <w:color w:val="000000" w:themeColor="text1"/>
          <w14:textFill>
            <w14:solidFill>
              <w14:schemeClr w14:val="tx1"/>
            </w14:solidFill>
          </w14:textFill>
        </w:rPr>
        <w:t>面可以在</w:t>
      </w:r>
      <w:r>
        <w:rPr>
          <w:rFonts w:hint="eastAsia" w:ascii="宋体" w:hAnsi="宋体" w:cs="FZSSK--GBK1-00+ZBNFQI-9"/>
          <w:color w:val="000000" w:themeColor="text1"/>
          <w14:textFill>
            <w14:solidFill>
              <w14:schemeClr w14:val="tx1"/>
            </w14:solidFill>
          </w14:textFill>
        </w:rPr>
        <w:t>很</w:t>
      </w:r>
      <w:r>
        <w:rPr>
          <w:rFonts w:hint="eastAsia" w:ascii="宋体" w:hAnsi="宋体" w:cs="SSJ4+ZBNFQG-1"/>
          <w:color w:val="000000" w:themeColor="text1"/>
          <w14:textFill>
            <w14:solidFill>
              <w14:schemeClr w14:val="tx1"/>
            </w14:solidFill>
          </w14:textFill>
        </w:rPr>
        <w:t>大</w:t>
      </w:r>
      <w:r>
        <w:rPr>
          <w:rFonts w:hint="eastAsia" w:ascii="宋体" w:hAnsi="宋体" w:cs="FZSSK--GBK1-00+ZBNFQJ-12"/>
          <w:color w:val="000000" w:themeColor="text1"/>
          <w14:textFill>
            <w14:solidFill>
              <w14:schemeClr w14:val="tx1"/>
            </w14:solidFill>
          </w14:textFill>
        </w:rPr>
        <w:t>程</w:t>
      </w:r>
      <w:r>
        <w:rPr>
          <w:rFonts w:hint="eastAsia" w:ascii="宋体" w:hAnsi="宋体" w:cs="FZSSK--GBK1-00+ZBNFQI-9"/>
          <w:color w:val="000000" w:themeColor="text1"/>
          <w14:textFill>
            <w14:solidFill>
              <w14:schemeClr w14:val="tx1"/>
            </w14:solidFill>
          </w14:textFill>
        </w:rPr>
        <w:t>度</w:t>
      </w:r>
      <w:r>
        <w:rPr>
          <w:rFonts w:hint="eastAsia" w:ascii="宋体" w:hAnsi="宋体" w:cs="FZSSK--GBK1-00+ZBNFQH-7"/>
          <w:color w:val="000000" w:themeColor="text1"/>
          <w14:textFill>
            <w14:solidFill>
              <w14:schemeClr w14:val="tx1"/>
            </w14:solidFill>
          </w14:textFill>
        </w:rPr>
        <w:t>上</w:t>
      </w:r>
      <w:r>
        <w:rPr>
          <w:rFonts w:hint="eastAsia" w:ascii="宋体" w:hAnsi="宋体" w:cs="FZSSK--GBK1-00+ZBNFQK-15"/>
          <w:color w:val="000000" w:themeColor="text1"/>
          <w14:textFill>
            <w14:solidFill>
              <w14:schemeClr w14:val="tx1"/>
            </w14:solidFill>
          </w14:textFill>
        </w:rPr>
        <w:t>降</w:t>
      </w:r>
      <w:r>
        <w:rPr>
          <w:rFonts w:hint="eastAsia" w:ascii="宋体" w:hAnsi="宋体" w:cs="FZSSK--GBK1-00+ZBNFQI-9"/>
          <w:color w:val="000000" w:themeColor="text1"/>
          <w14:textFill>
            <w14:solidFill>
              <w14:schemeClr w14:val="tx1"/>
            </w14:solidFill>
          </w14:textFill>
        </w:rPr>
        <w:t>低</w:t>
      </w:r>
      <w:r>
        <w:rPr>
          <w:rFonts w:hint="eastAsia" w:ascii="宋体" w:hAnsi="宋体" w:cs="SSJ4+ZBNFQG-1"/>
          <w:color w:val="000000" w:themeColor="text1"/>
          <w14:textFill>
            <w14:solidFill>
              <w14:schemeClr w14:val="tx1"/>
            </w14:solidFill>
          </w14:textFill>
        </w:rPr>
        <w:t>我国的</w:t>
      </w:r>
      <w:r>
        <w:rPr>
          <w:rFonts w:hint="eastAsia" w:ascii="宋体" w:hAnsi="宋体" w:cs="FZSSK--GBK1-00+ZBNFQI-10"/>
          <w:color w:val="000000" w:themeColor="text1"/>
          <w14:textFill>
            <w14:solidFill>
              <w14:schemeClr w14:val="tx1"/>
            </w14:solidFill>
          </w14:textFill>
        </w:rPr>
        <w:t>外</w:t>
      </w:r>
      <w:r>
        <w:rPr>
          <w:rFonts w:hint="eastAsia" w:ascii="宋体" w:hAnsi="宋体" w:cs="FZSSK--GBK1-00+ZBNFQK-15"/>
          <w:color w:val="000000" w:themeColor="text1"/>
          <w14:textFill>
            <w14:solidFill>
              <w14:schemeClr w14:val="tx1"/>
            </w14:solidFill>
          </w14:textFill>
        </w:rPr>
        <w:t>贸</w:t>
      </w:r>
      <w:r>
        <w:rPr>
          <w:rFonts w:hint="eastAsia" w:ascii="宋体" w:hAnsi="宋体" w:cs="FZSSK--GBK1-00+ZBNFQO-22"/>
          <w:color w:val="000000" w:themeColor="text1"/>
          <w14:textFill>
            <w14:solidFill>
              <w14:schemeClr w14:val="tx1"/>
            </w14:solidFill>
          </w14:textFill>
        </w:rPr>
        <w:t>依</w:t>
      </w:r>
      <w:r>
        <w:rPr>
          <w:rFonts w:hint="eastAsia" w:ascii="宋体" w:hAnsi="宋体" w:cs="FZSSK--GBK1-00+ZBNFQJ-13"/>
          <w:color w:val="000000" w:themeColor="text1"/>
          <w14:textFill>
            <w14:solidFill>
              <w14:schemeClr w14:val="tx1"/>
            </w14:solidFill>
          </w14:textFill>
        </w:rPr>
        <w:t>存</w:t>
      </w:r>
      <w:r>
        <w:rPr>
          <w:rFonts w:hint="eastAsia" w:ascii="宋体" w:hAnsi="宋体" w:cs="FZSSK--GBK1-00+ZBNFQI-9"/>
          <w:color w:val="000000" w:themeColor="text1"/>
          <w14:textFill>
            <w14:solidFill>
              <w14:schemeClr w14:val="tx1"/>
            </w14:solidFill>
          </w14:textFill>
        </w:rPr>
        <w:t>度</w:t>
      </w:r>
      <w:r>
        <w:rPr>
          <w:rFonts w:hint="eastAsia" w:ascii="宋体" w:hAnsi="宋体" w:cs="SSJ0+ZBNFQG-4"/>
          <w:color w:val="000000" w:themeColor="text1"/>
          <w14:textFill>
            <w14:solidFill>
              <w14:schemeClr w14:val="tx1"/>
            </w14:solidFill>
          </w14:textFill>
        </w:rPr>
        <w:t>。</w:t>
      </w:r>
    </w:p>
    <w:p w14:paraId="7AC29EB6">
      <w:pPr>
        <w:spacing w:before="147" w:beforeLines="50" w:after="147" w:afterLines="50" w:line="400" w:lineRule="exact"/>
        <w:ind w:firstLine="480" w:firstLineChars="200"/>
        <w:jc w:val="center"/>
        <w:rPr>
          <w:rFonts w:hint="eastAsia" w:ascii="宋体" w:hAnsi="宋体" w:cs="FZSSK--GBK1-00+ZBNFQJ-13"/>
          <w:b/>
          <w:bCs/>
          <w:color w:val="000000" w:themeColor="text1"/>
          <w:kern w:val="28"/>
          <w:sz w:val="24"/>
          <w:szCs w:val="24"/>
          <w14:textFill>
            <w14:solidFill>
              <w14:schemeClr w14:val="tx1"/>
            </w14:solidFill>
          </w14:textFill>
        </w:rPr>
      </w:pPr>
      <w:r>
        <w:rPr>
          <w:rFonts w:hint="eastAsia" w:ascii="宋体" w:hAnsi="宋体"/>
          <w:b/>
          <w:bCs/>
          <w:color w:val="000000" w:themeColor="text1"/>
          <w:kern w:val="28"/>
          <w:sz w:val="24"/>
          <w:szCs w:val="24"/>
          <w14:textFill>
            <w14:solidFill>
              <w14:schemeClr w14:val="tx1"/>
            </w14:solidFill>
          </w14:textFill>
        </w:rPr>
        <w:t>巩固和改善公有</w:t>
      </w:r>
      <w:r>
        <w:rPr>
          <w:rFonts w:hint="eastAsia" w:ascii="宋体" w:hAnsi="宋体" w:cs="FZXBSK--GBK1-00+ZBNFQW-28"/>
          <w:b/>
          <w:bCs/>
          <w:color w:val="000000" w:themeColor="text1"/>
          <w:kern w:val="28"/>
          <w:sz w:val="24"/>
          <w:szCs w:val="24"/>
          <w14:textFill>
            <w14:solidFill>
              <w14:schemeClr w14:val="tx1"/>
            </w14:solidFill>
          </w14:textFill>
        </w:rPr>
        <w:t>制经济</w:t>
      </w:r>
    </w:p>
    <w:p w14:paraId="0B7B1658">
      <w:pPr>
        <w:autoSpaceDE w:val="0"/>
        <w:autoSpaceDN w:val="0"/>
        <w:adjustRightInd w:val="0"/>
        <w:spacing w:line="400" w:lineRule="exact"/>
        <w:ind w:firstLine="420" w:firstLineChars="200"/>
        <w:jc w:val="left"/>
        <w:rPr>
          <w:rFonts w:hint="eastAsia" w:ascii="宋体" w:hAnsi="宋体" w:cs="FZSSK--GBK1-00+ZBNFQM-17"/>
          <w:color w:val="000000" w:themeColor="text1"/>
          <w14:textFill>
            <w14:solidFill>
              <w14:schemeClr w14:val="tx1"/>
            </w14:solidFill>
          </w14:textFill>
        </w:rPr>
      </w:pP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在生</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7"/>
          <w:color w:val="000000" w:themeColor="text1"/>
          <w14:textFill>
            <w14:solidFill>
              <w14:schemeClr w14:val="tx1"/>
            </w14:solidFill>
          </w14:textFill>
        </w:rPr>
        <w:t>力</w:t>
      </w:r>
      <w:r>
        <w:rPr>
          <w:rFonts w:hint="eastAsia" w:ascii="宋体" w:hAnsi="宋体" w:cs="SSJ4+ZBNFQG-1"/>
          <w:color w:val="000000" w:themeColor="text1"/>
          <w14:textFill>
            <w14:solidFill>
              <w14:schemeClr w14:val="tx1"/>
            </w14:solidFill>
          </w14:textFill>
        </w:rPr>
        <w:t>和</w:t>
      </w:r>
      <w:r>
        <w:rPr>
          <w:rFonts w:hint="eastAsia" w:ascii="宋体" w:hAnsi="宋体" w:cs="FZSSK--GBK1-00+ZBNFQJ-12"/>
          <w:color w:val="000000" w:themeColor="text1"/>
          <w14:textFill>
            <w14:solidFill>
              <w14:schemeClr w14:val="tx1"/>
            </w14:solidFill>
          </w14:textFill>
        </w:rPr>
        <w:t>价</w:t>
      </w:r>
      <w:r>
        <w:rPr>
          <w:rFonts w:hint="eastAsia" w:ascii="宋体" w:hAnsi="宋体" w:cs="FZSSK--GBK1-00+ZBNFQI-10"/>
          <w:color w:val="000000" w:themeColor="text1"/>
          <w14:textFill>
            <w14:solidFill>
              <w14:schemeClr w14:val="tx1"/>
            </w14:solidFill>
          </w14:textFill>
        </w:rPr>
        <w:t>值</w:t>
      </w:r>
      <w:r>
        <w:rPr>
          <w:rFonts w:hint="eastAsia" w:ascii="宋体" w:hAnsi="宋体" w:cs="FZSSK--GBK1-00+ZBNFQJ-13"/>
          <w:color w:val="000000" w:themeColor="text1"/>
          <w14:textFill>
            <w14:solidFill>
              <w14:schemeClr w14:val="tx1"/>
            </w14:solidFill>
          </w14:textFill>
        </w:rPr>
        <w:t>双</w:t>
      </w:r>
      <w:r>
        <w:rPr>
          <w:rFonts w:hint="eastAsia" w:ascii="宋体" w:hAnsi="宋体" w:cs="SSJ4+ZBNFQG-1"/>
          <w:color w:val="000000" w:themeColor="text1"/>
          <w14:textFill>
            <w14:solidFill>
              <w14:schemeClr w14:val="tx1"/>
            </w14:solidFill>
          </w14:textFill>
        </w:rPr>
        <w:t>重</w:t>
      </w:r>
      <w:r>
        <w:rPr>
          <w:rFonts w:hint="eastAsia" w:ascii="宋体" w:hAnsi="宋体" w:cs="FZSSK--GBK1-00+ZBNFQI-9"/>
          <w:color w:val="000000" w:themeColor="text1"/>
          <w14:textFill>
            <w14:solidFill>
              <w14:schemeClr w14:val="tx1"/>
            </w14:solidFill>
          </w14:textFill>
        </w:rPr>
        <w:t>标</w:t>
      </w:r>
      <w:r>
        <w:rPr>
          <w:rFonts w:hint="eastAsia" w:ascii="宋体" w:hAnsi="宋体" w:cs="FZSSK--GBK1-00+ZBNFQK-15"/>
          <w:color w:val="000000" w:themeColor="text1"/>
          <w14:textFill>
            <w14:solidFill>
              <w14:schemeClr w14:val="tx1"/>
            </w14:solidFill>
          </w14:textFill>
        </w:rPr>
        <w:t>准</w:t>
      </w:r>
      <w:r>
        <w:rPr>
          <w:rFonts w:hint="eastAsia" w:ascii="宋体" w:hAnsi="宋体" w:cs="FZSSK--GBK1-00+ZBNFQH-7"/>
          <w:color w:val="000000" w:themeColor="text1"/>
          <w14:textFill>
            <w14:solidFill>
              <w14:schemeClr w14:val="tx1"/>
            </w14:solidFill>
          </w14:textFill>
        </w:rPr>
        <w:t>上都</w:t>
      </w:r>
      <w:r>
        <w:rPr>
          <w:rFonts w:hint="eastAsia" w:ascii="宋体" w:hAnsi="宋体" w:cs="FZSSK--GBK1-00+ZBNFQH-5"/>
          <w:color w:val="000000" w:themeColor="text1"/>
          <w14:textFill>
            <w14:solidFill>
              <w14:schemeClr w14:val="tx1"/>
            </w14:solidFill>
          </w14:textFill>
        </w:rPr>
        <w:t>全</w:t>
      </w:r>
      <w:r>
        <w:rPr>
          <w:rFonts w:hint="eastAsia" w:ascii="宋体" w:hAnsi="宋体" w:cs="SSJ4+ZBNFQG-1"/>
          <w:color w:val="000000" w:themeColor="text1"/>
          <w14:textFill>
            <w14:solidFill>
              <w14:schemeClr w14:val="tx1"/>
            </w14:solidFill>
          </w14:textFill>
        </w:rPr>
        <w:t>面</w:t>
      </w:r>
      <w:r>
        <w:rPr>
          <w:rFonts w:hint="eastAsia" w:ascii="宋体" w:hAnsi="宋体" w:cs="FZSSK--GBK1-00+ZBNFQH-7"/>
          <w:color w:val="000000" w:themeColor="text1"/>
          <w14:textFill>
            <w14:solidFill>
              <w14:schemeClr w14:val="tx1"/>
            </w14:solidFill>
          </w14:textFill>
        </w:rPr>
        <w:t>超</w:t>
      </w:r>
      <w:r>
        <w:rPr>
          <w:rFonts w:hint="eastAsia" w:ascii="宋体" w:hAnsi="宋体" w:cs="FZSSK--GBK1-00+ZBNFQH-8"/>
          <w:color w:val="000000" w:themeColor="text1"/>
          <w14:textFill>
            <w14:solidFill>
              <w14:schemeClr w14:val="tx1"/>
            </w14:solidFill>
          </w14:textFill>
        </w:rPr>
        <w:t>越</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从</w:t>
      </w:r>
      <w:r>
        <w:rPr>
          <w:rFonts w:hint="eastAsia" w:ascii="宋体" w:hAnsi="宋体" w:cs="SSJ4+ZBNFQG-1"/>
          <w:color w:val="000000" w:themeColor="text1"/>
          <w14:textFill>
            <w14:solidFill>
              <w14:schemeClr w14:val="tx1"/>
            </w14:solidFill>
          </w14:textFill>
        </w:rPr>
        <w:t>生</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L-16"/>
          <w:color w:val="000000" w:themeColor="text1"/>
          <w14:textFill>
            <w14:solidFill>
              <w14:schemeClr w14:val="tx1"/>
            </w14:solidFill>
          </w14:textFill>
        </w:rPr>
        <w:t>角</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来说，</w:t>
      </w:r>
      <w:r>
        <w:rPr>
          <w:rFonts w:hint="eastAsia" w:ascii="宋体" w:hAnsi="宋体" w:cs="FZSSK--GBK1-00+ZBNFQH-5"/>
          <w:color w:val="000000" w:themeColor="text1"/>
          <w14:textFill>
            <w14:solidFill>
              <w14:schemeClr w14:val="tx1"/>
            </w14:solidFill>
          </w14:textFill>
        </w:rPr>
        <w:t>它</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K-14"/>
          <w:color w:val="000000" w:themeColor="text1"/>
          <w14:textFill>
            <w14:solidFill>
              <w14:schemeClr w14:val="tx1"/>
            </w14:solidFill>
          </w14:textFill>
        </w:rPr>
        <w:t>效率</w:t>
      </w:r>
      <w:r>
        <w:rPr>
          <w:rFonts w:hint="eastAsia" w:ascii="宋体" w:hAnsi="宋体" w:cs="FZSSK--GBK1-00+ZBNFQH-7"/>
          <w:color w:val="000000" w:themeColor="text1"/>
          <w14:textFill>
            <w14:solidFill>
              <w14:schemeClr w14:val="tx1"/>
            </w14:solidFill>
          </w14:textFill>
        </w:rPr>
        <w:t>更高</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从</w:t>
      </w:r>
      <w:r>
        <w:rPr>
          <w:rFonts w:hint="eastAsia" w:ascii="宋体" w:hAnsi="宋体" w:cs="FZSSK--GBK1-00+ZBNFQJ-12"/>
          <w:color w:val="000000" w:themeColor="text1"/>
          <w14:textFill>
            <w14:solidFill>
              <w14:schemeClr w14:val="tx1"/>
            </w14:solidFill>
          </w14:textFill>
        </w:rPr>
        <w:t>价</w:t>
      </w:r>
      <w:r>
        <w:rPr>
          <w:rFonts w:hint="eastAsia" w:ascii="宋体" w:hAnsi="宋体" w:cs="FZSSK--GBK1-00+ZBNFQI-10"/>
          <w:color w:val="000000" w:themeColor="text1"/>
          <w14:textFill>
            <w14:solidFill>
              <w14:schemeClr w14:val="tx1"/>
            </w14:solidFill>
          </w14:textFill>
        </w:rPr>
        <w:t>值</w:t>
      </w:r>
      <w:r>
        <w:rPr>
          <w:rFonts w:hint="eastAsia" w:ascii="宋体" w:hAnsi="宋体" w:cs="FZSSK--GBK1-00+ZBNFQH-5"/>
          <w:color w:val="000000" w:themeColor="text1"/>
          <w14:textFill>
            <w14:solidFill>
              <w14:schemeClr w14:val="tx1"/>
            </w14:solidFill>
          </w14:textFill>
        </w:rPr>
        <w:t>观</w:t>
      </w:r>
      <w:r>
        <w:rPr>
          <w:rFonts w:hint="eastAsia" w:ascii="宋体" w:hAnsi="宋体" w:cs="FZSSK--GBK1-00+ZBNFQL-16"/>
          <w:color w:val="000000" w:themeColor="text1"/>
          <w14:textFill>
            <w14:solidFill>
              <w14:schemeClr w14:val="tx1"/>
            </w14:solidFill>
          </w14:textFill>
        </w:rPr>
        <w:t>角</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来说，</w:t>
      </w:r>
      <w:r>
        <w:rPr>
          <w:rFonts w:hint="eastAsia" w:ascii="宋体" w:hAnsi="宋体" w:cs="FZSSK--GBK1-00+ZBNFQH-5"/>
          <w:color w:val="000000" w:themeColor="text1"/>
          <w14:textFill>
            <w14:solidFill>
              <w14:schemeClr w14:val="tx1"/>
            </w14:solidFill>
          </w14:textFill>
        </w:rPr>
        <w:t>它</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H-7"/>
          <w:color w:val="000000" w:themeColor="text1"/>
          <w14:textFill>
            <w14:solidFill>
              <w14:schemeClr w14:val="tx1"/>
            </w14:solidFill>
          </w14:textFill>
        </w:rPr>
        <w:t>更</w:t>
      </w:r>
      <w:r>
        <w:rPr>
          <w:rFonts w:hint="eastAsia" w:ascii="宋体" w:hAnsi="宋体" w:cs="SSJ4+ZBNFQG-1"/>
          <w:color w:val="000000" w:themeColor="text1"/>
          <w14:textFill>
            <w14:solidFill>
              <w14:schemeClr w14:val="tx1"/>
            </w14:solidFill>
          </w14:textFill>
        </w:rPr>
        <w:t>有</w:t>
      </w:r>
      <w:r>
        <w:rPr>
          <w:rFonts w:hint="eastAsia" w:ascii="宋体" w:hAnsi="宋体" w:cs="FZSSK--GBK1-00+ZBNFQH-8"/>
          <w:color w:val="000000" w:themeColor="text1"/>
          <w14:textFill>
            <w14:solidFill>
              <w14:schemeClr w14:val="tx1"/>
            </w14:solidFill>
          </w14:textFill>
        </w:rPr>
        <w:t>利</w:t>
      </w:r>
      <w:r>
        <w:rPr>
          <w:rFonts w:hint="eastAsia" w:ascii="宋体" w:hAnsi="宋体" w:cs="SSJ4+ZBNFQG-1"/>
          <w:color w:val="000000" w:themeColor="text1"/>
          <w14:textFill>
            <w14:solidFill>
              <w14:schemeClr w14:val="tx1"/>
            </w14:solidFill>
          </w14:textFill>
        </w:rPr>
        <w:t>于</w:t>
      </w:r>
      <w:r>
        <w:rPr>
          <w:rFonts w:hint="eastAsia" w:ascii="宋体" w:hAnsi="宋体" w:cs="FZSSK--GBK1-00+ZBNFQJ-13"/>
          <w:color w:val="000000" w:themeColor="text1"/>
          <w14:textFill>
            <w14:solidFill>
              <w14:schemeClr w14:val="tx1"/>
            </w14:solidFill>
          </w14:textFill>
        </w:rPr>
        <w:t>公</w:t>
      </w:r>
      <w:r>
        <w:rPr>
          <w:rFonts w:hint="eastAsia" w:ascii="宋体" w:hAnsi="宋体" w:cs="FZSSK--GBK1-00+ZBNFQH-5"/>
          <w:color w:val="000000" w:themeColor="text1"/>
          <w14:textFill>
            <w14:solidFill>
              <w14:schemeClr w14:val="tx1"/>
            </w14:solidFill>
          </w14:textFill>
        </w:rPr>
        <w:t>平</w:t>
      </w:r>
      <w:r>
        <w:rPr>
          <w:rFonts w:hint="eastAsia" w:ascii="宋体" w:hAnsi="宋体" w:cs="SSJ0+ZBNFQG-4"/>
          <w:color w:val="000000" w:themeColor="text1"/>
          <w14:textFill>
            <w14:solidFill>
              <w14:schemeClr w14:val="tx1"/>
            </w14:solidFill>
          </w14:textFill>
        </w:rPr>
        <w:t>。</w:t>
      </w:r>
    </w:p>
    <w:p w14:paraId="7FCA9EA6">
      <w:pPr>
        <w:autoSpaceDE w:val="0"/>
        <w:autoSpaceDN w:val="0"/>
        <w:adjustRightInd w:val="0"/>
        <w:spacing w:line="400" w:lineRule="exact"/>
        <w:ind w:firstLine="420" w:firstLineChars="200"/>
        <w:jc w:val="left"/>
        <w:rPr>
          <w:rFonts w:hint="eastAsia" w:ascii="宋体" w:hAnsi="宋体" w:cs="FZSSK--GBK1-00+ZBNFQO-22"/>
          <w:color w:val="000000" w:themeColor="text1"/>
          <w14:textFill>
            <w14:solidFill>
              <w14:schemeClr w14:val="tx1"/>
            </w14:solidFill>
          </w14:textFill>
        </w:rPr>
      </w:pP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在发展</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J-12"/>
          <w:color w:val="000000" w:themeColor="text1"/>
          <w14:textFill>
            <w14:solidFill>
              <w14:schemeClr w14:val="tx1"/>
            </w14:solidFill>
          </w14:textFill>
        </w:rPr>
        <w:t>程</w:t>
      </w:r>
      <w:r>
        <w:rPr>
          <w:rFonts w:hint="eastAsia" w:ascii="宋体" w:hAnsi="宋体" w:cs="SSJ4+ZBNFQG-1"/>
          <w:color w:val="000000" w:themeColor="text1"/>
          <w14:textFill>
            <w14:solidFill>
              <w14:schemeClr w14:val="tx1"/>
            </w14:solidFill>
          </w14:textFill>
        </w:rPr>
        <w:t>当中</w:t>
      </w:r>
      <w:r>
        <w:rPr>
          <w:rFonts w:hint="eastAsia" w:ascii="宋体" w:hAnsi="宋体" w:cs="FZSSK--GBK1-00+ZBNFQJ-13"/>
          <w:color w:val="000000" w:themeColor="text1"/>
          <w14:textFill>
            <w14:solidFill>
              <w14:schemeClr w14:val="tx1"/>
            </w14:solidFill>
          </w14:textFill>
        </w:rPr>
        <w:t>影响</w:t>
      </w:r>
      <w:r>
        <w:rPr>
          <w:rFonts w:hint="eastAsia" w:ascii="宋体" w:hAnsi="宋体" w:cs="SSJ4+ZBNFQG-1"/>
          <w:color w:val="000000" w:themeColor="text1"/>
          <w14:textFill>
            <w14:solidFill>
              <w14:schemeClr w14:val="tx1"/>
            </w14:solidFill>
          </w14:textFill>
        </w:rPr>
        <w:t>了生</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7"/>
          <w:color w:val="000000" w:themeColor="text1"/>
          <w14:textFill>
            <w14:solidFill>
              <w14:schemeClr w14:val="tx1"/>
            </w14:solidFill>
          </w14:textFill>
        </w:rPr>
        <w:t>力</w:t>
      </w:r>
      <w:r>
        <w:rPr>
          <w:rFonts w:hint="eastAsia" w:ascii="宋体" w:hAnsi="宋体" w:cs="SSJ4+ZBNFQG-1"/>
          <w:color w:val="000000" w:themeColor="text1"/>
          <w14:textFill>
            <w14:solidFill>
              <w14:schemeClr w14:val="tx1"/>
            </w14:solidFill>
          </w14:textFill>
        </w:rPr>
        <w:t>的发展，</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H-5"/>
          <w:color w:val="000000" w:themeColor="text1"/>
          <w14:textFill>
            <w14:solidFill>
              <w14:schemeClr w14:val="tx1"/>
            </w14:solidFill>
          </w14:textFill>
        </w:rPr>
        <w:t>如</w:t>
      </w:r>
      <w:r>
        <w:rPr>
          <w:rFonts w:hint="eastAsia" w:ascii="宋体" w:hAnsi="宋体" w:cs="SSJ4+ZBNFQG-1"/>
          <w:color w:val="000000" w:themeColor="text1"/>
          <w14:textFill>
            <w14:solidFill>
              <w14:schemeClr w14:val="tx1"/>
            </w14:solidFill>
          </w14:textFill>
        </w:rPr>
        <w:t>说</w:t>
      </w:r>
      <w:r>
        <w:rPr>
          <w:rFonts w:hint="eastAsia" w:ascii="宋体" w:hAnsi="宋体" w:cs="FZSSK--GBK1-00+ZBNFQH-5"/>
          <w:color w:val="000000" w:themeColor="text1"/>
          <w14:textFill>
            <w14:solidFill>
              <w14:schemeClr w14:val="tx1"/>
            </w14:solidFill>
          </w14:textFill>
        </w:rPr>
        <w:t>它</w:t>
      </w:r>
      <w:r>
        <w:rPr>
          <w:rFonts w:hint="eastAsia" w:ascii="宋体" w:hAnsi="宋体" w:cs="FZSSK--GBK1-00+ZBNFQM-17"/>
          <w:color w:val="000000" w:themeColor="text1"/>
          <w14:textFill>
            <w14:solidFill>
              <w14:schemeClr w14:val="tx1"/>
            </w14:solidFill>
          </w14:textFill>
        </w:rPr>
        <w:t>每</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I-9"/>
          <w:color w:val="000000" w:themeColor="text1"/>
          <w14:textFill>
            <w14:solidFill>
              <w14:schemeClr w14:val="tx1"/>
            </w14:solidFill>
          </w14:textFill>
        </w:rPr>
        <w:t>几</w:t>
      </w:r>
      <w:r>
        <w:rPr>
          <w:rFonts w:hint="eastAsia" w:ascii="宋体" w:hAnsi="宋体" w:cs="FZSSK--GBK1-00+ZBNFQH-5"/>
          <w:color w:val="000000" w:themeColor="text1"/>
          <w14:textFill>
            <w14:solidFill>
              <w14:schemeClr w14:val="tx1"/>
            </w14:solidFill>
          </w14:textFill>
        </w:rPr>
        <w:t>年</w:t>
      </w:r>
      <w:r>
        <w:rPr>
          <w:rFonts w:hint="eastAsia" w:ascii="宋体" w:hAnsi="宋体" w:cs="SSJ4+ZBNFQG-1"/>
          <w:color w:val="000000" w:themeColor="text1"/>
          <w14:textFill>
            <w14:solidFill>
              <w14:schemeClr w14:val="tx1"/>
            </w14:solidFill>
          </w14:textFill>
        </w:rPr>
        <w:t>出</w:t>
      </w:r>
      <w:r>
        <w:rPr>
          <w:rFonts w:hint="eastAsia" w:ascii="宋体" w:hAnsi="宋体" w:cs="FZSSK--GBK1-00+ZBNFQH-5"/>
          <w:color w:val="000000" w:themeColor="text1"/>
          <w14:textFill>
            <w14:solidFill>
              <w14:schemeClr w14:val="tx1"/>
            </w14:solidFill>
          </w14:textFill>
        </w:rPr>
        <w:t>现一</w:t>
      </w:r>
      <w:r>
        <w:rPr>
          <w:rFonts w:hint="eastAsia" w:ascii="宋体" w:hAnsi="宋体" w:cs="SSJ4+ZBNFQG-1"/>
          <w:color w:val="000000" w:themeColor="text1"/>
          <w14:textFill>
            <w14:solidFill>
              <w14:schemeClr w14:val="tx1"/>
            </w14:solidFill>
          </w14:textFill>
        </w:rPr>
        <w:t>次经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FZSSK--GBK1-00+ZBNFQH-5"/>
          <w:color w:val="000000" w:themeColor="text1"/>
          <w14:textFill>
            <w14:solidFill>
              <w14:schemeClr w14:val="tx1"/>
            </w14:solidFill>
          </w14:textFill>
        </w:rPr>
        <w:t>这种</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FZSSK--GBK1-00+ZBNFQH-8"/>
          <w:color w:val="000000" w:themeColor="text1"/>
          <w14:textFill>
            <w14:solidFill>
              <w14:schemeClr w14:val="tx1"/>
            </w14:solidFill>
          </w14:textFill>
        </w:rPr>
        <w:t>导致</w:t>
      </w:r>
      <w:r>
        <w:rPr>
          <w:rFonts w:hint="eastAsia" w:ascii="宋体" w:hAnsi="宋体" w:cs="SSJ4+ZBNFQG-1"/>
          <w:color w:val="000000" w:themeColor="text1"/>
          <w14:textFill>
            <w14:solidFill>
              <w14:schemeClr w14:val="tx1"/>
            </w14:solidFill>
          </w14:textFill>
        </w:rPr>
        <w:t>了</w:t>
      </w:r>
      <w:r>
        <w:rPr>
          <w:rFonts w:hint="eastAsia" w:ascii="宋体" w:hAnsi="宋体" w:cs="FZSSK--GBK1-00+ZBNFQH-5"/>
          <w:color w:val="000000" w:themeColor="text1"/>
          <w14:textFill>
            <w14:solidFill>
              <w14:schemeClr w14:val="tx1"/>
            </w14:solidFill>
          </w14:textFill>
        </w:rPr>
        <w:t>社会</w:t>
      </w:r>
      <w:r>
        <w:rPr>
          <w:rFonts w:hint="eastAsia" w:ascii="宋体" w:hAnsi="宋体" w:cs="FZSSK--GBK1-00+ZBNFQI-9"/>
          <w:color w:val="000000" w:themeColor="text1"/>
          <w14:textFill>
            <w14:solidFill>
              <w14:schemeClr w14:val="tx1"/>
            </w14:solidFill>
          </w14:textFill>
        </w:rPr>
        <w:t>财富</w:t>
      </w:r>
      <w:r>
        <w:rPr>
          <w:rFonts w:hint="eastAsia" w:ascii="宋体" w:hAnsi="宋体" w:cs="SSJ4+ZBNFQG-1"/>
          <w:color w:val="000000" w:themeColor="text1"/>
          <w14:textFill>
            <w14:solidFill>
              <w14:schemeClr w14:val="tx1"/>
            </w14:solidFill>
          </w14:textFill>
        </w:rPr>
        <w:t>的</w:t>
      </w:r>
      <w:r>
        <w:rPr>
          <w:rFonts w:hint="eastAsia" w:ascii="宋体" w:hAnsi="宋体" w:cs="FZSSK--GBK1-00+ZBNFQL-16"/>
          <w:color w:val="000000" w:themeColor="text1"/>
          <w14:textFill>
            <w14:solidFill>
              <w14:schemeClr w14:val="tx1"/>
            </w14:solidFill>
          </w14:textFill>
        </w:rPr>
        <w:t>损失</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发展的</w:t>
      </w:r>
      <w:r>
        <w:rPr>
          <w:rFonts w:hint="eastAsia" w:ascii="宋体" w:hAnsi="宋体" w:cs="FZSSK--GBK1-00+ZBNFQL-16"/>
          <w:color w:val="000000" w:themeColor="text1"/>
          <w14:textFill>
            <w14:solidFill>
              <w14:schemeClr w14:val="tx1"/>
            </w14:solidFill>
          </w14:textFill>
        </w:rPr>
        <w:t>缓</w:t>
      </w:r>
      <w:r>
        <w:rPr>
          <w:rFonts w:hint="eastAsia" w:ascii="宋体" w:hAnsi="宋体" w:cs="FZSSK--GBK1-00+ZBNFQO-22"/>
          <w:color w:val="000000" w:themeColor="text1"/>
          <w14:textFill>
            <w14:solidFill>
              <w14:schemeClr w14:val="tx1"/>
            </w14:solidFill>
          </w14:textFill>
        </w:rPr>
        <w:t>慢</w:t>
      </w:r>
      <w:r>
        <w:rPr>
          <w:rFonts w:hint="eastAsia" w:ascii="宋体" w:hAnsi="宋体" w:cs="SSJ4+ZBNFQG-1"/>
          <w:color w:val="000000" w:themeColor="text1"/>
          <w14:textFill>
            <w14:solidFill>
              <w14:schemeClr w14:val="tx1"/>
            </w14:solidFill>
          </w14:textFill>
        </w:rPr>
        <w:t>以</w:t>
      </w:r>
      <w:r>
        <w:rPr>
          <w:rFonts w:hint="eastAsia" w:ascii="宋体" w:hAnsi="宋体" w:cs="FZSSK--GBK1-00+ZBNFQI-9"/>
          <w:color w:val="000000" w:themeColor="text1"/>
          <w14:textFill>
            <w14:solidFill>
              <w14:schemeClr w14:val="tx1"/>
            </w14:solidFill>
          </w14:textFill>
        </w:rPr>
        <w:t>及民</w:t>
      </w:r>
      <w:r>
        <w:rPr>
          <w:rFonts w:hint="eastAsia" w:ascii="宋体" w:hAnsi="宋体" w:cs="SSJ4+ZBNFQG-1"/>
          <w:color w:val="000000" w:themeColor="text1"/>
          <w14:textFill>
            <w14:solidFill>
              <w14:schemeClr w14:val="tx1"/>
            </w14:solidFill>
          </w14:textFill>
        </w:rPr>
        <w:t>生</w:t>
      </w:r>
      <w:r>
        <w:rPr>
          <w:rFonts w:hint="eastAsia" w:ascii="宋体" w:hAnsi="宋体" w:cs="FZSSK--GBK1-00+ZBNFQH-5"/>
          <w:color w:val="000000" w:themeColor="text1"/>
          <w14:textFill>
            <w14:solidFill>
              <w14:schemeClr w14:val="tx1"/>
            </w14:solidFill>
          </w14:textFill>
        </w:rPr>
        <w:t>问题</w:t>
      </w:r>
      <w:r>
        <w:rPr>
          <w:rFonts w:hint="eastAsia" w:ascii="宋体" w:hAnsi="宋体" w:cs="SSJ4+ZBNFQG-1"/>
          <w:color w:val="000000" w:themeColor="text1"/>
          <w14:textFill>
            <w14:solidFill>
              <w14:schemeClr w14:val="tx1"/>
            </w14:solidFill>
          </w14:textFill>
        </w:rPr>
        <w:t>的</w:t>
      </w:r>
      <w:r>
        <w:rPr>
          <w:rFonts w:hint="eastAsia" w:ascii="宋体" w:hAnsi="宋体" w:cs="FZSSK--GBK1-00+ZBNFQL-16"/>
          <w:color w:val="000000" w:themeColor="text1"/>
          <w14:textFill>
            <w14:solidFill>
              <w14:schemeClr w14:val="tx1"/>
            </w14:solidFill>
          </w14:textFill>
        </w:rPr>
        <w:t>倒</w:t>
      </w:r>
      <w:r>
        <w:rPr>
          <w:rFonts w:hint="eastAsia" w:ascii="宋体" w:hAnsi="宋体" w:cs="FZSSK--GBK1-00+ZBNFQH-8"/>
          <w:color w:val="000000" w:themeColor="text1"/>
          <w14:textFill>
            <w14:solidFill>
              <w14:schemeClr w14:val="tx1"/>
            </w14:solidFill>
          </w14:textFill>
        </w:rPr>
        <w:t>退</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机的总</w:t>
      </w:r>
      <w:r>
        <w:rPr>
          <w:rFonts w:hint="eastAsia" w:ascii="宋体" w:hAnsi="宋体" w:cs="FZSSK--GBK1-00+ZBNFQH-5"/>
          <w:color w:val="000000" w:themeColor="text1"/>
          <w14:textFill>
            <w14:solidFill>
              <w14:schemeClr w14:val="tx1"/>
            </w14:solidFill>
          </w14:textFill>
        </w:rPr>
        <w:t>根源</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实</w:t>
      </w:r>
      <w:r>
        <w:rPr>
          <w:rFonts w:hint="eastAsia" w:ascii="宋体" w:hAnsi="宋体" w:cs="SSJ4+ZBNFQG-1"/>
          <w:color w:val="000000" w:themeColor="text1"/>
          <w14:textFill>
            <w14:solidFill>
              <w14:schemeClr w14:val="tx1"/>
            </w14:solidFill>
          </w14:textFill>
        </w:rPr>
        <w:t>际</w:t>
      </w:r>
      <w:r>
        <w:rPr>
          <w:rFonts w:hint="eastAsia" w:ascii="宋体" w:hAnsi="宋体" w:cs="FZSSK--GBK1-00+ZBNFQH-7"/>
          <w:color w:val="000000" w:themeColor="text1"/>
          <w14:textFill>
            <w14:solidFill>
              <w14:schemeClr w14:val="tx1"/>
            </w14:solidFill>
          </w14:textFill>
        </w:rPr>
        <w:t>上</w:t>
      </w:r>
      <w:r>
        <w:rPr>
          <w:rFonts w:hint="eastAsia" w:ascii="宋体" w:hAnsi="宋体" w:cs="SSJ4+ZBNFQG-1"/>
          <w:color w:val="000000" w:themeColor="text1"/>
          <w14:textFill>
            <w14:solidFill>
              <w14:schemeClr w14:val="tx1"/>
            </w14:solidFill>
          </w14:textFill>
        </w:rPr>
        <w:t>仍</w:t>
      </w:r>
      <w:r>
        <w:rPr>
          <w:rFonts w:hint="eastAsia" w:ascii="宋体" w:hAnsi="宋体" w:cs="FZSSK--GBK1-00+ZBNFQH-8"/>
          <w:color w:val="000000" w:themeColor="text1"/>
          <w14:textFill>
            <w14:solidFill>
              <w14:schemeClr w14:val="tx1"/>
            </w14:solidFill>
          </w14:textFill>
        </w:rPr>
        <w:t>然</w:t>
      </w:r>
      <w:r>
        <w:rPr>
          <w:rFonts w:hint="eastAsia" w:ascii="宋体" w:hAnsi="宋体" w:cs="SSJ4+ZBNFQG-1"/>
          <w:color w:val="000000" w:themeColor="text1"/>
          <w14:textFill>
            <w14:solidFill>
              <w14:schemeClr w14:val="tx1"/>
            </w14:solidFill>
          </w14:textFill>
        </w:rPr>
        <w:t>是</w:t>
      </w:r>
      <w:r>
        <w:rPr>
          <w:rFonts w:hint="eastAsia" w:ascii="宋体" w:hAnsi="宋体" w:cs="FZSSK--GBK1-00+ZBNFQI-9"/>
          <w:color w:val="000000" w:themeColor="text1"/>
          <w14:textFill>
            <w14:solidFill>
              <w14:schemeClr w14:val="tx1"/>
            </w14:solidFill>
          </w14:textFill>
        </w:rPr>
        <w:t>马</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I-10"/>
          <w:color w:val="000000" w:themeColor="text1"/>
          <w14:textFill>
            <w14:solidFill>
              <w14:schemeClr w14:val="tx1"/>
            </w14:solidFill>
          </w14:textFill>
        </w:rPr>
        <w:t>思</w:t>
      </w:r>
      <w:r>
        <w:rPr>
          <w:rFonts w:hint="eastAsia" w:ascii="宋体" w:hAnsi="宋体" w:cs="SSJ0+ZBNFQG-4"/>
          <w:color w:val="000000" w:themeColor="text1"/>
          <w14:textFill>
            <w14:solidFill>
              <w14:schemeClr w14:val="tx1"/>
            </w14:solidFill>
          </w14:textFill>
        </w:rPr>
        <w:t>、</w:t>
      </w:r>
      <w:r>
        <w:rPr>
          <w:rFonts w:hint="eastAsia" w:ascii="宋体" w:hAnsi="宋体" w:cs="FZSSK--GBK1-00+ZBNFQT-26"/>
          <w:color w:val="000000" w:themeColor="text1"/>
          <w14:textFill>
            <w14:solidFill>
              <w14:schemeClr w14:val="tx1"/>
            </w14:solidFill>
          </w14:textFill>
        </w:rPr>
        <w:t>恩</w:t>
      </w:r>
      <w:r>
        <w:rPr>
          <w:rFonts w:hint="eastAsia" w:ascii="宋体" w:hAnsi="宋体" w:cs="FZSSK--GBK1-00+ZBNFQH-7"/>
          <w:color w:val="000000" w:themeColor="text1"/>
          <w14:textFill>
            <w14:solidFill>
              <w14:schemeClr w14:val="tx1"/>
            </w14:solidFill>
          </w14:textFill>
        </w:rPr>
        <w:t>格</w:t>
      </w:r>
      <w:r>
        <w:rPr>
          <w:rFonts w:hint="eastAsia" w:ascii="宋体" w:hAnsi="宋体" w:cs="FZSSK--GBK1-00+ZBNFQJ-12"/>
          <w:color w:val="000000" w:themeColor="text1"/>
          <w14:textFill>
            <w14:solidFill>
              <w14:schemeClr w14:val="tx1"/>
            </w14:solidFill>
          </w14:textFill>
        </w:rPr>
        <w:t>斯</w:t>
      </w:r>
      <w:r>
        <w:rPr>
          <w:rFonts w:hint="eastAsia" w:ascii="宋体" w:hAnsi="宋体" w:cs="FZSSK--GBK1-00+ZBNFQT-26"/>
          <w:color w:val="000000" w:themeColor="text1"/>
          <w14:textFill>
            <w14:solidFill>
              <w14:schemeClr w14:val="tx1"/>
            </w14:solidFill>
          </w14:textFill>
        </w:rPr>
        <w:t>著</w:t>
      </w:r>
      <w:r>
        <w:rPr>
          <w:rFonts w:hint="eastAsia" w:ascii="宋体" w:hAnsi="宋体" w:cs="SSJ4+ZBNFQG-1"/>
          <w:color w:val="000000" w:themeColor="text1"/>
          <w14:textFill>
            <w14:solidFill>
              <w14:schemeClr w14:val="tx1"/>
            </w14:solidFill>
          </w14:textFill>
        </w:rPr>
        <w:t>作中所</w:t>
      </w:r>
      <w:r>
        <w:rPr>
          <w:rFonts w:hint="eastAsia" w:ascii="宋体" w:hAnsi="宋体" w:cs="FZSSK--GBK1-00+ZBNFQT-26"/>
          <w:color w:val="000000" w:themeColor="text1"/>
          <w14:textFill>
            <w14:solidFill>
              <w14:schemeClr w14:val="tx1"/>
            </w14:solidFill>
          </w14:textFill>
        </w:rPr>
        <w:t>揭</w:t>
      </w:r>
      <w:r>
        <w:rPr>
          <w:rFonts w:hint="eastAsia" w:ascii="宋体" w:hAnsi="宋体" w:cs="FZSSK--GBK1-00+ZBNFQN-20"/>
          <w:color w:val="000000" w:themeColor="text1"/>
          <w14:textFill>
            <w14:solidFill>
              <w14:schemeClr w14:val="tx1"/>
            </w14:solidFill>
          </w14:textFill>
        </w:rPr>
        <w:t>示</w:t>
      </w:r>
      <w:r>
        <w:rPr>
          <w:rFonts w:hint="eastAsia" w:ascii="宋体" w:hAnsi="宋体" w:cs="SSJ4+ZBNFQG-1"/>
          <w:color w:val="000000" w:themeColor="text1"/>
          <w14:textFill>
            <w14:solidFill>
              <w14:schemeClr w14:val="tx1"/>
            </w14:solidFill>
          </w14:textFill>
        </w:rPr>
        <w:t>的，是</w:t>
      </w:r>
      <w:r>
        <w:rPr>
          <w:rFonts w:hint="eastAsia" w:ascii="宋体" w:hAnsi="宋体" w:cs="FZSSK--GBK1-00+ZBNFQH-5"/>
          <w:color w:val="000000" w:themeColor="text1"/>
          <w14:textFill>
            <w14:solidFill>
              <w14:schemeClr w14:val="tx1"/>
            </w14:solidFill>
          </w14:textFill>
        </w:rPr>
        <w:t>因</w:t>
      </w:r>
      <w:r>
        <w:rPr>
          <w:rFonts w:hint="eastAsia" w:ascii="宋体" w:hAnsi="宋体" w:cs="SSJ4+ZBNFQG-1"/>
          <w:color w:val="000000" w:themeColor="text1"/>
          <w14:textFill>
            <w14:solidFill>
              <w14:schemeClr w14:val="tx1"/>
            </w14:solidFill>
          </w14:textFill>
        </w:rPr>
        <w:t>为生</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越</w:t>
      </w:r>
      <w:r>
        <w:rPr>
          <w:rFonts w:hint="eastAsia" w:ascii="宋体" w:hAnsi="宋体" w:cs="SSJ4+ZBNFQG-1"/>
          <w:color w:val="000000" w:themeColor="text1"/>
          <w14:textFill>
            <w14:solidFill>
              <w14:schemeClr w14:val="tx1"/>
            </w14:solidFill>
          </w14:textFill>
        </w:rPr>
        <w:t>来</w:t>
      </w:r>
      <w:r>
        <w:rPr>
          <w:rFonts w:hint="eastAsia" w:ascii="宋体" w:hAnsi="宋体" w:cs="FZSSK--GBK1-00+ZBNFQH-8"/>
          <w:color w:val="000000" w:themeColor="text1"/>
          <w14:textFill>
            <w14:solidFill>
              <w14:schemeClr w14:val="tx1"/>
            </w14:solidFill>
          </w14:textFill>
        </w:rPr>
        <w:t>越</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化，</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个</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化</w:t>
      </w:r>
      <w:r>
        <w:rPr>
          <w:rFonts w:hint="eastAsia" w:ascii="宋体" w:hAnsi="宋体" w:cs="FZSSK--GBK1-00+ZBNFQL-16"/>
          <w:color w:val="000000" w:themeColor="text1"/>
          <w14:textFill>
            <w14:solidFill>
              <w14:schemeClr w14:val="tx1"/>
            </w14:solidFill>
          </w14:textFill>
        </w:rPr>
        <w:t>客</w:t>
      </w:r>
      <w:r>
        <w:rPr>
          <w:rFonts w:hint="eastAsia" w:ascii="宋体" w:hAnsi="宋体" w:cs="FZSSK--GBK1-00+ZBNFQH-5"/>
          <w:color w:val="000000" w:themeColor="text1"/>
          <w14:textFill>
            <w14:solidFill>
              <w14:schemeClr w14:val="tx1"/>
            </w14:solidFill>
          </w14:textFill>
        </w:rPr>
        <w:t>观</w:t>
      </w:r>
      <w:r>
        <w:rPr>
          <w:rFonts w:hint="eastAsia" w:ascii="宋体" w:hAnsi="宋体" w:cs="FZSSK--GBK1-00+ZBNFQH-7"/>
          <w:color w:val="000000" w:themeColor="text1"/>
          <w14:textFill>
            <w14:solidFill>
              <w14:schemeClr w14:val="tx1"/>
            </w14:solidFill>
          </w14:textFill>
        </w:rPr>
        <w:t>上</w:t>
      </w:r>
      <w:r>
        <w:rPr>
          <w:rFonts w:hint="eastAsia" w:ascii="宋体" w:hAnsi="宋体" w:cs="SSJ4+ZBNFQG-1"/>
          <w:color w:val="000000" w:themeColor="text1"/>
          <w14:textFill>
            <w14:solidFill>
              <w14:schemeClr w14:val="tx1"/>
            </w14:solidFill>
          </w14:textFill>
        </w:rPr>
        <w:t>要</w:t>
      </w:r>
      <w:r>
        <w:rPr>
          <w:rFonts w:hint="eastAsia" w:ascii="宋体" w:hAnsi="宋体" w:cs="FZSSK--GBK1-00+ZBNFQK-15"/>
          <w:color w:val="000000" w:themeColor="text1"/>
          <w14:textFill>
            <w14:solidFill>
              <w14:schemeClr w14:val="tx1"/>
            </w14:solidFill>
          </w14:textFill>
        </w:rPr>
        <w:t>求</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，但是由于生</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资</w:t>
      </w:r>
      <w:r>
        <w:rPr>
          <w:rFonts w:hint="eastAsia" w:ascii="宋体" w:hAnsi="宋体" w:cs="FZSSK--GBK1-00+ZBNFQH-8"/>
          <w:color w:val="000000" w:themeColor="text1"/>
          <w14:textFill>
            <w14:solidFill>
              <w14:schemeClr w14:val="tx1"/>
            </w14:solidFill>
          </w14:textFill>
        </w:rPr>
        <w:t>料</w:t>
      </w:r>
      <w:r>
        <w:rPr>
          <w:rFonts w:hint="eastAsia" w:ascii="宋体" w:hAnsi="宋体" w:cs="SSJ4+ZBNFQG-1"/>
          <w:color w:val="000000" w:themeColor="text1"/>
          <w14:textFill>
            <w14:solidFill>
              <w14:schemeClr w14:val="tx1"/>
            </w14:solidFill>
          </w14:textFill>
        </w:rPr>
        <w:t>是由</w:t>
      </w:r>
      <w:r>
        <w:rPr>
          <w:rFonts w:hint="eastAsia" w:ascii="宋体" w:hAnsi="宋体" w:cs="FZSSK--GBK1-00+ZBNFQM-17"/>
          <w:color w:val="000000" w:themeColor="text1"/>
          <w14:textFill>
            <w14:solidFill>
              <w14:schemeClr w14:val="tx1"/>
            </w14:solidFill>
          </w14:textFill>
        </w:rPr>
        <w:t>私</w:t>
      </w:r>
      <w:r>
        <w:rPr>
          <w:rFonts w:hint="eastAsia" w:ascii="宋体" w:hAnsi="宋体" w:cs="FZSSK--GBK1-00+ZBNFQH-5"/>
          <w:color w:val="000000" w:themeColor="text1"/>
          <w14:textFill>
            <w14:solidFill>
              <w14:schemeClr w14:val="tx1"/>
            </w14:solidFill>
          </w14:textFill>
        </w:rPr>
        <w:t>人</w:t>
      </w:r>
      <w:r>
        <w:rPr>
          <w:rFonts w:hint="eastAsia" w:ascii="宋体" w:hAnsi="宋体" w:cs="SSJ4+ZBNFQG-1"/>
          <w:color w:val="000000" w:themeColor="text1"/>
          <w14:textFill>
            <w14:solidFill>
              <w14:schemeClr w14:val="tx1"/>
            </w14:solidFill>
          </w14:textFill>
        </w:rPr>
        <w:t>来</w:t>
      </w:r>
      <w:r>
        <w:rPr>
          <w:rFonts w:hint="eastAsia" w:ascii="宋体" w:hAnsi="宋体" w:cs="FZSSK--GBK1-00+ZBNFQI-9"/>
          <w:color w:val="000000" w:themeColor="text1"/>
          <w14:textFill>
            <w14:solidFill>
              <w14:schemeClr w14:val="tx1"/>
            </w14:solidFill>
          </w14:textFill>
        </w:rPr>
        <w:t>占</w:t>
      </w:r>
      <w:r>
        <w:rPr>
          <w:rFonts w:hint="eastAsia" w:ascii="宋体" w:hAnsi="宋体" w:cs="SSJ4+ZBNFQG-1"/>
          <w:color w:val="000000" w:themeColor="text1"/>
          <w14:textFill>
            <w14:solidFill>
              <w14:schemeClr w14:val="tx1"/>
            </w14:solidFill>
          </w14:textFill>
        </w:rPr>
        <w:t>有的，</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个生</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化和</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H-5"/>
          <w:color w:val="000000" w:themeColor="text1"/>
          <w14:textFill>
            <w14:solidFill>
              <w14:schemeClr w14:val="tx1"/>
            </w14:solidFill>
          </w14:textFill>
        </w:rPr>
        <w:t>就互相</w:t>
      </w:r>
      <w:r>
        <w:rPr>
          <w:rFonts w:hint="eastAsia" w:ascii="宋体" w:hAnsi="宋体" w:cs="FZSSK--GBK1-00+ZBNFQJ-13"/>
          <w:color w:val="000000" w:themeColor="text1"/>
          <w14:textFill>
            <w14:solidFill>
              <w14:schemeClr w14:val="tx1"/>
            </w14:solidFill>
          </w14:textFill>
        </w:rPr>
        <w:t>冲突</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个</w:t>
      </w:r>
      <w:r>
        <w:rPr>
          <w:rFonts w:hint="eastAsia" w:ascii="宋体" w:hAnsi="宋体" w:cs="FZSSK--GBK1-00+ZBNFQJ-13"/>
          <w:color w:val="000000" w:themeColor="text1"/>
          <w14:textFill>
            <w14:solidFill>
              <w14:schemeClr w14:val="tx1"/>
            </w14:solidFill>
          </w14:textFill>
        </w:rPr>
        <w:t>冲突</w:t>
      </w:r>
      <w:r>
        <w:rPr>
          <w:rFonts w:hint="eastAsia" w:ascii="宋体" w:hAnsi="宋体" w:cs="FZSSK--GBK1-00+ZBNFQH-5"/>
          <w:color w:val="000000" w:themeColor="text1"/>
          <w14:textFill>
            <w14:solidFill>
              <w14:schemeClr w14:val="tx1"/>
            </w14:solidFill>
          </w14:textFill>
        </w:rPr>
        <w:t>就</w:t>
      </w:r>
      <w:r>
        <w:rPr>
          <w:rFonts w:hint="eastAsia" w:ascii="宋体" w:hAnsi="宋体" w:cs="SSJ4+ZBNFQG-1"/>
          <w:color w:val="000000" w:themeColor="text1"/>
          <w14:textFill>
            <w14:solidFill>
              <w14:schemeClr w14:val="tx1"/>
            </w14:solidFill>
          </w14:textFill>
        </w:rPr>
        <w:t>要</w:t>
      </w:r>
      <w:r>
        <w:rPr>
          <w:rFonts w:hint="eastAsia" w:ascii="宋体" w:hAnsi="宋体" w:cs="FZSSK--GBK1-00+ZBNFQK-15"/>
          <w:color w:val="000000" w:themeColor="text1"/>
          <w14:textFill>
            <w14:solidFill>
              <w14:schemeClr w14:val="tx1"/>
            </w14:solidFill>
          </w14:textFill>
        </w:rPr>
        <w:t>求</w:t>
      </w:r>
      <w:r>
        <w:rPr>
          <w:rFonts w:hint="eastAsia" w:ascii="宋体" w:hAnsi="宋体" w:cs="FZSSK--GBK1-00+ZBNFQI-10"/>
          <w:color w:val="000000" w:themeColor="text1"/>
          <w14:textFill>
            <w14:solidFill>
              <w14:schemeClr w14:val="tx1"/>
            </w14:solidFill>
          </w14:textFill>
        </w:rPr>
        <w:t>实行</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，以</w:t>
      </w:r>
      <w:r>
        <w:rPr>
          <w:rFonts w:hint="eastAsia" w:ascii="宋体" w:hAnsi="宋体" w:cs="FZSSK--GBK1-00+ZBNFQL-16"/>
          <w:color w:val="000000" w:themeColor="text1"/>
          <w14:textFill>
            <w14:solidFill>
              <w14:schemeClr w14:val="tx1"/>
            </w14:solidFill>
          </w14:textFill>
        </w:rPr>
        <w:t>适</w:t>
      </w:r>
      <w:r>
        <w:rPr>
          <w:rFonts w:hint="eastAsia" w:ascii="宋体" w:hAnsi="宋体" w:cs="FZSSK--GBK1-00+ZBNFQH-8"/>
          <w:color w:val="000000" w:themeColor="text1"/>
          <w14:textFill>
            <w14:solidFill>
              <w14:schemeClr w14:val="tx1"/>
            </w14:solidFill>
          </w14:textFill>
        </w:rPr>
        <w:t>应越</w:t>
      </w:r>
      <w:r>
        <w:rPr>
          <w:rFonts w:hint="eastAsia" w:ascii="宋体" w:hAnsi="宋体" w:cs="SSJ4+ZBNFQG-1"/>
          <w:color w:val="000000" w:themeColor="text1"/>
          <w14:textFill>
            <w14:solidFill>
              <w14:schemeClr w14:val="tx1"/>
            </w14:solidFill>
          </w14:textFill>
        </w:rPr>
        <w:t>来</w:t>
      </w:r>
      <w:r>
        <w:rPr>
          <w:rFonts w:hint="eastAsia" w:ascii="宋体" w:hAnsi="宋体" w:cs="FZSSK--GBK1-00+ZBNFQH-8"/>
          <w:color w:val="000000" w:themeColor="text1"/>
          <w14:textFill>
            <w14:solidFill>
              <w14:schemeClr w14:val="tx1"/>
            </w14:solidFill>
          </w14:textFill>
        </w:rPr>
        <w:t>越</w:t>
      </w:r>
      <w:r>
        <w:rPr>
          <w:rFonts w:hint="eastAsia" w:ascii="宋体" w:hAnsi="宋体" w:cs="FZSSK--GBK1-00+ZBNFQH-7"/>
          <w:color w:val="000000" w:themeColor="text1"/>
          <w14:textFill>
            <w14:solidFill>
              <w14:schemeClr w14:val="tx1"/>
            </w14:solidFill>
          </w14:textFill>
        </w:rPr>
        <w:t>高</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发</w:t>
      </w:r>
      <w:r>
        <w:rPr>
          <w:rFonts w:hint="eastAsia" w:ascii="宋体" w:hAnsi="宋体" w:cs="FZSSK--GBK1-00+ZBNFQH-8"/>
          <w:color w:val="000000" w:themeColor="text1"/>
          <w14:textFill>
            <w14:solidFill>
              <w14:schemeClr w14:val="tx1"/>
            </w14:solidFill>
          </w14:textFill>
        </w:rPr>
        <w:t>达</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化的生</w:t>
      </w:r>
      <w:r>
        <w:rPr>
          <w:rFonts w:hint="eastAsia" w:ascii="宋体" w:hAnsi="宋体" w:cs="FZSSK--GBK1-00+ZBNFQI-9"/>
          <w:color w:val="000000" w:themeColor="text1"/>
          <w14:textFill>
            <w14:solidFill>
              <w14:schemeClr w14:val="tx1"/>
            </w14:solidFill>
          </w14:textFill>
        </w:rPr>
        <w:t>产</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现代</w:t>
      </w:r>
      <w:r>
        <w:rPr>
          <w:rFonts w:hint="eastAsia" w:ascii="宋体" w:hAnsi="宋体" w:cs="SSJ4+ZBNFQG-1"/>
          <w:color w:val="000000" w:themeColor="text1"/>
          <w14:textFill>
            <w14:solidFill>
              <w14:schemeClr w14:val="tx1"/>
            </w14:solidFill>
          </w14:textFill>
        </w:rPr>
        <w:t>化的生</w:t>
      </w:r>
      <w:r>
        <w:rPr>
          <w:rFonts w:hint="eastAsia" w:ascii="宋体" w:hAnsi="宋体" w:cs="FZSSK--GBK1-00+ZBNFQI-9"/>
          <w:color w:val="000000" w:themeColor="text1"/>
          <w14:textFill>
            <w14:solidFill>
              <w14:schemeClr w14:val="tx1"/>
            </w14:solidFill>
          </w14:textFill>
        </w:rPr>
        <w:t>产</w:t>
      </w:r>
      <w:r>
        <w:rPr>
          <w:rFonts w:hint="eastAsia" w:ascii="宋体" w:hAnsi="宋体" w:cs="SSJ0+ZBNFQG-4"/>
          <w:color w:val="000000" w:themeColor="text1"/>
          <w14:textFill>
            <w14:solidFill>
              <w14:schemeClr w14:val="tx1"/>
            </w14:solidFill>
          </w14:textFill>
        </w:rPr>
        <w:t>。</w:t>
      </w:r>
    </w:p>
    <w:p w14:paraId="57A67C3C">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FZSSK--GBK1-00+ZBNFQO-22"/>
          <w:color w:val="000000" w:themeColor="text1"/>
          <w14:textFill>
            <w14:solidFill>
              <w14:schemeClr w14:val="tx1"/>
            </w14:solidFill>
          </w14:textFill>
        </w:rPr>
        <w:t>另</w:t>
      </w:r>
      <w:r>
        <w:rPr>
          <w:rFonts w:hint="eastAsia" w:ascii="宋体" w:hAnsi="宋体" w:cs="FZSSK--GBK1-00+ZBNFQI-10"/>
          <w:color w:val="000000" w:themeColor="text1"/>
          <w14:textFill>
            <w14:solidFill>
              <w14:schemeClr w14:val="tx1"/>
            </w14:solidFill>
          </w14:textFill>
        </w:rPr>
        <w:t>外</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个</w:t>
      </w:r>
      <w:r>
        <w:rPr>
          <w:rFonts w:hint="eastAsia" w:ascii="宋体" w:hAnsi="宋体" w:cs="FZSSK--GBK1-00+ZBNFQH-8"/>
          <w:color w:val="000000" w:themeColor="text1"/>
          <w14:textFill>
            <w14:solidFill>
              <w14:schemeClr w14:val="tx1"/>
            </w14:solidFill>
          </w14:textFill>
        </w:rPr>
        <w:t>方</w:t>
      </w:r>
      <w:r>
        <w:rPr>
          <w:rFonts w:hint="eastAsia" w:ascii="宋体" w:hAnsi="宋体" w:cs="SSJ4+ZBNFQG-1"/>
          <w:color w:val="000000" w:themeColor="text1"/>
          <w14:textFill>
            <w14:solidFill>
              <w14:schemeClr w14:val="tx1"/>
            </w14:solidFill>
          </w14:textFill>
        </w:rPr>
        <w:t>面，</w:t>
      </w:r>
      <w:r>
        <w:rPr>
          <w:rFonts w:hint="eastAsia" w:ascii="宋体" w:hAnsi="宋体" w:cs="FZSSK--GBK1-00+ZBNFQH-5"/>
          <w:color w:val="000000" w:themeColor="text1"/>
          <w14:textFill>
            <w14:solidFill>
              <w14:schemeClr w14:val="tx1"/>
            </w14:solidFill>
          </w14:textFill>
        </w:rPr>
        <w:t>如果</w:t>
      </w:r>
      <w:r>
        <w:rPr>
          <w:rFonts w:hint="eastAsia" w:ascii="宋体" w:hAnsi="宋体" w:cs="FZSSK--GBK1-00+ZBNFQH-7"/>
          <w:color w:val="000000" w:themeColor="text1"/>
          <w14:textFill>
            <w14:solidFill>
              <w14:schemeClr w14:val="tx1"/>
            </w14:solidFill>
          </w14:textFill>
        </w:rPr>
        <w:t>从</w:t>
      </w:r>
      <w:r>
        <w:rPr>
          <w:rFonts w:hint="eastAsia" w:ascii="宋体" w:hAnsi="宋体" w:cs="FZSSK--GBK1-00+ZBNFQJ-12"/>
          <w:color w:val="000000" w:themeColor="text1"/>
          <w14:textFill>
            <w14:solidFill>
              <w14:schemeClr w14:val="tx1"/>
            </w14:solidFill>
          </w14:textFill>
        </w:rPr>
        <w:t>价</w:t>
      </w:r>
      <w:r>
        <w:rPr>
          <w:rFonts w:hint="eastAsia" w:ascii="宋体" w:hAnsi="宋体" w:cs="FZSSK--GBK1-00+ZBNFQI-10"/>
          <w:color w:val="000000" w:themeColor="text1"/>
          <w14:textFill>
            <w14:solidFill>
              <w14:schemeClr w14:val="tx1"/>
            </w14:solidFill>
          </w14:textFill>
        </w:rPr>
        <w:t>值</w:t>
      </w:r>
      <w:r>
        <w:rPr>
          <w:rFonts w:hint="eastAsia" w:ascii="宋体" w:hAnsi="宋体" w:cs="FZSSK--GBK1-00+ZBNFQI-9"/>
          <w:color w:val="000000" w:themeColor="text1"/>
          <w14:textFill>
            <w14:solidFill>
              <w14:schemeClr w14:val="tx1"/>
            </w14:solidFill>
          </w14:textFill>
        </w:rPr>
        <w:t>标</w:t>
      </w:r>
      <w:r>
        <w:rPr>
          <w:rFonts w:hint="eastAsia" w:ascii="宋体" w:hAnsi="宋体" w:cs="FZSSK--GBK1-00+ZBNFQK-15"/>
          <w:color w:val="000000" w:themeColor="text1"/>
          <w14:textFill>
            <w14:solidFill>
              <w14:schemeClr w14:val="tx1"/>
            </w14:solidFill>
          </w14:textFill>
        </w:rPr>
        <w:t>准</w:t>
      </w:r>
      <w:r>
        <w:rPr>
          <w:rFonts w:hint="eastAsia" w:ascii="宋体" w:hAnsi="宋体" w:cs="SSJ4+ZBNFQG-1"/>
          <w:color w:val="000000" w:themeColor="text1"/>
          <w14:textFill>
            <w14:solidFill>
              <w14:schemeClr w14:val="tx1"/>
            </w14:solidFill>
          </w14:textFill>
        </w:rPr>
        <w:t>来看，</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H-7"/>
          <w:color w:val="000000" w:themeColor="text1"/>
          <w14:textFill>
            <w14:solidFill>
              <w14:schemeClr w14:val="tx1"/>
            </w14:solidFill>
          </w14:textFill>
        </w:rPr>
        <w:t>体</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5"/>
          <w:color w:val="000000" w:themeColor="text1"/>
          <w14:textFill>
            <w14:solidFill>
              <w14:schemeClr w14:val="tx1"/>
            </w14:solidFill>
          </w14:textFill>
        </w:rPr>
        <w:t>平</w:t>
      </w:r>
      <w:r>
        <w:rPr>
          <w:rFonts w:hint="eastAsia" w:ascii="宋体" w:hAnsi="宋体" w:cs="FZSSK--GBK1-00+ZBNFQH-7"/>
          <w:color w:val="000000" w:themeColor="text1"/>
          <w14:textFill>
            <w14:solidFill>
              <w14:schemeClr w14:val="tx1"/>
            </w14:solidFill>
          </w14:textFill>
        </w:rPr>
        <w:t>等肯定</w:t>
      </w:r>
      <w:r>
        <w:rPr>
          <w:rFonts w:hint="eastAsia" w:ascii="宋体" w:hAnsi="宋体" w:cs="SSJ4+ZBNFQG-1"/>
          <w:color w:val="000000" w:themeColor="text1"/>
          <w14:textFill>
            <w14:solidFill>
              <w14:schemeClr w14:val="tx1"/>
            </w14:solidFill>
          </w14:textFill>
        </w:rPr>
        <w:t>是要</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于</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0+ZBNFQG-4"/>
          <w:color w:val="000000" w:themeColor="text1"/>
          <w14:textFill>
            <w14:solidFill>
              <w14:schemeClr w14:val="tx1"/>
            </w14:solidFill>
          </w14:textFill>
        </w:rPr>
        <w:t>。</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在生</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资</w:t>
      </w:r>
      <w:r>
        <w:rPr>
          <w:rFonts w:hint="eastAsia" w:ascii="宋体" w:hAnsi="宋体" w:cs="FZSSK--GBK1-00+ZBNFQH-8"/>
          <w:color w:val="000000" w:themeColor="text1"/>
          <w14:textFill>
            <w14:solidFill>
              <w14:schemeClr w14:val="tx1"/>
            </w14:solidFill>
          </w14:textFill>
        </w:rPr>
        <w:t>料</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占</w:t>
      </w:r>
      <w:r>
        <w:rPr>
          <w:rFonts w:hint="eastAsia" w:ascii="宋体" w:hAnsi="宋体" w:cs="SSJ4+ZBNFQG-1"/>
          <w:color w:val="000000" w:themeColor="text1"/>
          <w14:textFill>
            <w14:solidFill>
              <w14:schemeClr w14:val="tx1"/>
            </w14:solidFill>
          </w14:textFill>
        </w:rPr>
        <w:t>有和所有</w:t>
      </w:r>
      <w:r>
        <w:rPr>
          <w:rFonts w:hint="eastAsia" w:ascii="宋体" w:hAnsi="宋体" w:cs="FZSSK--GBK1-00+ZBNFQH-7"/>
          <w:color w:val="000000" w:themeColor="text1"/>
          <w14:textFill>
            <w14:solidFill>
              <w14:schemeClr w14:val="tx1"/>
            </w14:solidFill>
          </w14:textFill>
        </w:rPr>
        <w:t>上</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平</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的，同</w:t>
      </w:r>
      <w:r>
        <w:rPr>
          <w:rFonts w:hint="eastAsia" w:ascii="宋体" w:hAnsi="宋体" w:cs="FZSSK--GBK1-00+ZBNFQH-5"/>
          <w:color w:val="000000" w:themeColor="text1"/>
          <w14:textFill>
            <w14:solidFill>
              <w14:schemeClr w14:val="tx1"/>
            </w14:solidFill>
          </w14:textFill>
        </w:rPr>
        <w:t>时</w:t>
      </w:r>
      <w:r>
        <w:rPr>
          <w:rFonts w:hint="eastAsia" w:ascii="宋体" w:hAnsi="宋体" w:cs="SSJ4+ZBNFQG-1"/>
          <w:color w:val="000000" w:themeColor="text1"/>
          <w14:textFill>
            <w14:solidFill>
              <w14:schemeClr w14:val="tx1"/>
            </w14:solidFill>
          </w14:textFill>
        </w:rPr>
        <w:t>所有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平</w:t>
      </w:r>
      <w:r>
        <w:rPr>
          <w:rFonts w:hint="eastAsia" w:ascii="宋体" w:hAnsi="宋体" w:cs="FZSSK--GBK1-00+ZBNFQH-7"/>
          <w:color w:val="000000" w:themeColor="text1"/>
          <w14:textFill>
            <w14:solidFill>
              <w14:schemeClr w14:val="tx1"/>
            </w14:solidFill>
          </w14:textFill>
        </w:rPr>
        <w:t>等</w:t>
      </w:r>
      <w:r>
        <w:rPr>
          <w:rFonts w:hint="eastAsia" w:ascii="宋体" w:hAnsi="宋体" w:cs="FZSSK--GBK1-00+ZBNFQH-8"/>
          <w:color w:val="000000" w:themeColor="text1"/>
          <w14:textFill>
            <w14:solidFill>
              <w14:schemeClr w14:val="tx1"/>
            </w14:solidFill>
          </w14:textFill>
        </w:rPr>
        <w:t>又</w:t>
      </w:r>
      <w:r>
        <w:rPr>
          <w:rFonts w:hint="eastAsia" w:ascii="宋体" w:hAnsi="宋体" w:cs="FZSSK--GBK1-00+ZBNFQH-5"/>
          <w:color w:val="000000" w:themeColor="text1"/>
          <w14:textFill>
            <w14:solidFill>
              <w14:schemeClr w14:val="tx1"/>
            </w14:solidFill>
          </w14:textFill>
        </w:rPr>
        <w:t>会</w:t>
      </w:r>
      <w:r>
        <w:rPr>
          <w:rFonts w:hint="eastAsia" w:ascii="宋体" w:hAnsi="宋体" w:cs="FZSSK--GBK1-00+ZBNFQJ-13"/>
          <w:color w:val="000000" w:themeColor="text1"/>
          <w14:textFill>
            <w14:solidFill>
              <w14:schemeClr w14:val="tx1"/>
            </w14:solidFill>
          </w14:textFill>
        </w:rPr>
        <w:t>影响</w:t>
      </w:r>
      <w:r>
        <w:rPr>
          <w:rFonts w:hint="eastAsia" w:ascii="宋体" w:hAnsi="宋体" w:cs="FZSSK--GBK1-00+ZBNFQH-5"/>
          <w:color w:val="000000" w:themeColor="text1"/>
          <w14:textFill>
            <w14:solidFill>
              <w14:schemeClr w14:val="tx1"/>
            </w14:solidFill>
          </w14:textFill>
        </w:rPr>
        <w:t>到</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配</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在</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配</w:t>
      </w:r>
      <w:r>
        <w:rPr>
          <w:rFonts w:hint="eastAsia" w:ascii="宋体" w:hAnsi="宋体" w:cs="FZSSK--GBK1-00+ZBNFQH-7"/>
          <w:color w:val="000000" w:themeColor="text1"/>
          <w14:textFill>
            <w14:solidFill>
              <w14:schemeClr w14:val="tx1"/>
            </w14:solidFill>
          </w14:textFill>
        </w:rPr>
        <w:t>上</w:t>
      </w:r>
      <w:r>
        <w:rPr>
          <w:rFonts w:hint="eastAsia" w:ascii="宋体" w:hAnsi="宋体" w:cs="SSJ4+ZBNFQG-1"/>
          <w:color w:val="000000" w:themeColor="text1"/>
          <w14:textFill>
            <w14:solidFill>
              <w14:schemeClr w14:val="tx1"/>
            </w14:solidFill>
          </w14:textFill>
        </w:rPr>
        <w:t>，</w:t>
      </w:r>
      <w:r>
        <w:rPr>
          <w:rFonts w:hint="eastAsia" w:ascii="宋体" w:hAnsi="宋体" w:cs="FZSSK--GBK1-00+ZBNFQO-22"/>
          <w:color w:val="000000" w:themeColor="text1"/>
          <w14:textFill>
            <w14:solidFill>
              <w14:schemeClr w14:val="tx1"/>
            </w14:solidFill>
          </w14:textFill>
        </w:rPr>
        <w:t>简</w:t>
      </w:r>
      <w:r>
        <w:rPr>
          <w:rFonts w:hint="eastAsia" w:ascii="宋体" w:hAnsi="宋体" w:cs="FZSSK--GBK1-00+ZBNFQM-17"/>
          <w:color w:val="000000" w:themeColor="text1"/>
          <w14:textFill>
            <w14:solidFill>
              <w14:schemeClr w14:val="tx1"/>
            </w14:solidFill>
          </w14:textFill>
        </w:rPr>
        <w:t>单</w:t>
      </w:r>
      <w:r>
        <w:rPr>
          <w:rFonts w:hint="eastAsia" w:ascii="宋体" w:hAnsi="宋体" w:cs="SSJ4+ZBNFQG-1"/>
          <w:color w:val="000000" w:themeColor="text1"/>
          <w14:textFill>
            <w14:solidFill>
              <w14:schemeClr w14:val="tx1"/>
            </w14:solidFill>
          </w14:textFill>
        </w:rPr>
        <w:t>来说</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I-10"/>
          <w:color w:val="000000" w:themeColor="text1"/>
          <w14:textFill>
            <w14:solidFill>
              <w14:schemeClr w14:val="tx1"/>
            </w14:solidFill>
          </w14:textFill>
        </w:rPr>
        <w:t>润</w:t>
      </w:r>
      <w:r>
        <w:rPr>
          <w:rFonts w:hint="eastAsia" w:ascii="宋体" w:hAnsi="宋体" w:cs="FZSSK--GBK1-00+ZBNFQH-5"/>
          <w:color w:val="000000" w:themeColor="text1"/>
          <w14:textFill>
            <w14:solidFill>
              <w14:schemeClr w14:val="tx1"/>
            </w14:solidFill>
          </w14:textFill>
        </w:rPr>
        <w:t>不</w:t>
      </w:r>
      <w:r>
        <w:rPr>
          <w:rFonts w:hint="eastAsia" w:ascii="宋体" w:hAnsi="宋体" w:cs="SSJ4+ZBNFQG-1"/>
          <w:color w:val="000000" w:themeColor="text1"/>
          <w14:textFill>
            <w14:solidFill>
              <w14:schemeClr w14:val="tx1"/>
            </w14:solidFill>
          </w14:textFill>
        </w:rPr>
        <w:t>是个</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H-8"/>
          <w:color w:val="000000" w:themeColor="text1"/>
          <w14:textFill>
            <w14:solidFill>
              <w14:schemeClr w14:val="tx1"/>
            </w14:solidFill>
          </w14:textFill>
        </w:rPr>
        <w:t>得</w:t>
      </w:r>
      <w:r>
        <w:rPr>
          <w:rFonts w:hint="eastAsia" w:ascii="宋体" w:hAnsi="宋体" w:cs="SSJ4+ZBNFQG-1"/>
          <w:color w:val="000000" w:themeColor="text1"/>
          <w14:textFill>
            <w14:solidFill>
              <w14:schemeClr w14:val="tx1"/>
            </w14:solidFill>
          </w14:textFill>
        </w:rPr>
        <w:t>，而是</w:t>
      </w:r>
      <w:r>
        <w:rPr>
          <w:rFonts w:hint="eastAsia" w:ascii="宋体" w:hAnsi="宋体" w:cs="FZSSK--GBK1-00+ZBNFQK-15"/>
          <w:color w:val="000000" w:themeColor="text1"/>
          <w14:textFill>
            <w14:solidFill>
              <w14:schemeClr w14:val="tx1"/>
            </w14:solidFill>
          </w14:textFill>
        </w:rPr>
        <w:t>集</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或</w:t>
      </w:r>
      <w:r>
        <w:rPr>
          <w:rFonts w:hint="eastAsia" w:ascii="宋体" w:hAnsi="宋体" w:cs="FZSSK--GBK1-00+ZBNFQI-10"/>
          <w:color w:val="000000" w:themeColor="text1"/>
          <w14:textFill>
            <w14:solidFill>
              <w14:schemeClr w14:val="tx1"/>
            </w14:solidFill>
          </w14:textFill>
        </w:rPr>
        <w:t>者</w:t>
      </w:r>
      <w:r>
        <w:rPr>
          <w:rFonts w:hint="eastAsia" w:ascii="宋体" w:hAnsi="宋体" w:cs="SSJ4+ZBNFQG-1"/>
          <w:color w:val="000000" w:themeColor="text1"/>
          <w14:textFill>
            <w14:solidFill>
              <w14:schemeClr w14:val="tx1"/>
            </w14:solidFill>
          </w14:textFill>
        </w:rPr>
        <w:t>是国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的</w:t>
      </w:r>
      <w:r>
        <w:rPr>
          <w:rFonts w:hint="eastAsia" w:ascii="宋体" w:hAnsi="宋体" w:cs="SSJ0+ZBNFQG-4"/>
          <w:color w:val="000000" w:themeColor="text1"/>
          <w14:textFill>
            <w14:solidFill>
              <w14:schemeClr w14:val="tx1"/>
            </w14:solidFill>
          </w14:textFill>
        </w:rPr>
        <w:t>。</w:t>
      </w:r>
      <w:r>
        <w:rPr>
          <w:rFonts w:hint="eastAsia" w:ascii="宋体" w:hAnsi="宋体" w:cs="FZSSK--GBK1-00+ZBNFQK-15"/>
          <w:color w:val="000000" w:themeColor="text1"/>
          <w14:textFill>
            <w14:solidFill>
              <w14:schemeClr w14:val="tx1"/>
            </w14:solidFill>
          </w14:textFill>
        </w:rPr>
        <w:t>集</w:t>
      </w:r>
      <w:r>
        <w:rPr>
          <w:rFonts w:hint="eastAsia" w:ascii="宋体" w:hAnsi="宋体" w:cs="FZSSK--GBK1-00+ZBNFQH-7"/>
          <w:color w:val="000000" w:themeColor="text1"/>
          <w14:textFill>
            <w14:solidFill>
              <w14:schemeClr w14:val="tx1"/>
            </w14:solidFill>
          </w14:textFill>
        </w:rPr>
        <w:t>体</w:t>
      </w:r>
      <w:r>
        <w:rPr>
          <w:rFonts w:hint="eastAsia" w:ascii="宋体" w:hAnsi="宋体" w:cs="FZSSK--GBK1-00+ZBNFQI-10"/>
          <w:color w:val="000000" w:themeColor="text1"/>
          <w14:textFill>
            <w14:solidFill>
              <w14:schemeClr w14:val="tx1"/>
            </w14:solidFill>
          </w14:textFill>
        </w:rPr>
        <w:t>拿</w:t>
      </w:r>
      <w:r>
        <w:rPr>
          <w:rFonts w:hint="eastAsia" w:ascii="宋体" w:hAnsi="宋体" w:cs="SSJ4+ZBNFQG-1"/>
          <w:color w:val="000000" w:themeColor="text1"/>
          <w14:textFill>
            <w14:solidFill>
              <w14:schemeClr w14:val="tx1"/>
            </w14:solidFill>
          </w14:textFill>
        </w:rPr>
        <w:t>了</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些</w:t>
      </w:r>
      <w:r>
        <w:rPr>
          <w:rFonts w:hint="eastAsia" w:ascii="宋体" w:hAnsi="宋体" w:cs="FZSSK--GBK1-00+ZBNFQI-10"/>
          <w:color w:val="000000" w:themeColor="text1"/>
          <w14:textFill>
            <w14:solidFill>
              <w14:schemeClr w14:val="tx1"/>
            </w14:solidFill>
          </w14:textFill>
        </w:rPr>
        <w:t>钱</w:t>
      </w:r>
      <w:r>
        <w:rPr>
          <w:rFonts w:hint="eastAsia" w:ascii="宋体" w:hAnsi="宋体" w:cs="SSJ4+ZBNFQG-1"/>
          <w:color w:val="000000" w:themeColor="text1"/>
          <w14:textFill>
            <w14:solidFill>
              <w14:schemeClr w14:val="tx1"/>
            </w14:solidFill>
          </w14:textFill>
        </w:rPr>
        <w:t>可以</w:t>
      </w:r>
      <w:r>
        <w:rPr>
          <w:rFonts w:hint="eastAsia" w:ascii="宋体" w:hAnsi="宋体" w:cs="FZSSK--GBK1-00+ZBNFQM-17"/>
          <w:color w:val="000000" w:themeColor="text1"/>
          <w14:textFill>
            <w14:solidFill>
              <w14:schemeClr w14:val="tx1"/>
            </w14:solidFill>
          </w14:textFill>
        </w:rPr>
        <w:t>扩</w:t>
      </w:r>
      <w:r>
        <w:rPr>
          <w:rFonts w:hint="eastAsia" w:ascii="宋体" w:hAnsi="宋体" w:cs="SSJ4+ZBNFQG-1"/>
          <w:color w:val="000000" w:themeColor="text1"/>
          <w14:textFill>
            <w14:solidFill>
              <w14:schemeClr w14:val="tx1"/>
            </w14:solidFill>
          </w14:textFill>
        </w:rPr>
        <w:t>大</w:t>
      </w:r>
      <w:r>
        <w:rPr>
          <w:rFonts w:hint="eastAsia" w:ascii="宋体" w:hAnsi="宋体" w:cs="FZSSK--GBK1-00+ZBNFQH-8"/>
          <w:color w:val="000000" w:themeColor="text1"/>
          <w14:textFill>
            <w14:solidFill>
              <w14:schemeClr w14:val="tx1"/>
            </w14:solidFill>
          </w14:textFill>
        </w:rPr>
        <w:t>再</w:t>
      </w:r>
      <w:r>
        <w:rPr>
          <w:rFonts w:hint="eastAsia" w:ascii="宋体" w:hAnsi="宋体" w:cs="SSJ4+ZBNFQG-1"/>
          <w:color w:val="000000" w:themeColor="text1"/>
          <w14:textFill>
            <w14:solidFill>
              <w14:schemeClr w14:val="tx1"/>
            </w14:solidFill>
          </w14:textFill>
        </w:rPr>
        <w:t>生</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，可以</w:t>
      </w:r>
      <w:r>
        <w:rPr>
          <w:rFonts w:hint="eastAsia" w:ascii="宋体" w:hAnsi="宋体" w:cs="FZSSK--GBK1-00+ZBNFQH-7"/>
          <w:color w:val="000000" w:themeColor="text1"/>
          <w14:textFill>
            <w14:solidFill>
              <w14:schemeClr w14:val="tx1"/>
            </w14:solidFill>
          </w14:textFill>
        </w:rPr>
        <w:t>搞</w:t>
      </w:r>
      <w:r>
        <w:rPr>
          <w:rFonts w:hint="eastAsia" w:ascii="宋体" w:hAnsi="宋体" w:cs="FZSSK--GBK1-00+ZBNFQK-15"/>
          <w:color w:val="000000" w:themeColor="text1"/>
          <w14:textFill>
            <w14:solidFill>
              <w14:schemeClr w14:val="tx1"/>
            </w14:solidFill>
          </w14:textFill>
        </w:rPr>
        <w:t>集</w:t>
      </w:r>
      <w:r>
        <w:rPr>
          <w:rFonts w:hint="eastAsia" w:ascii="宋体" w:hAnsi="宋体" w:cs="FZSSK--GBK1-00+ZBNFQH-7"/>
          <w:color w:val="000000" w:themeColor="text1"/>
          <w14:textFill>
            <w14:solidFill>
              <w14:schemeClr w14:val="tx1"/>
            </w14:solidFill>
          </w14:textFill>
        </w:rPr>
        <w:t>体</w:t>
      </w:r>
      <w:r>
        <w:rPr>
          <w:rFonts w:hint="eastAsia" w:ascii="宋体" w:hAnsi="宋体" w:cs="FZSSK--GBK1-00+ZBNFQJ-12"/>
          <w:color w:val="000000" w:themeColor="text1"/>
          <w14:textFill>
            <w14:solidFill>
              <w14:schemeClr w14:val="tx1"/>
            </w14:solidFill>
          </w14:textFill>
        </w:rPr>
        <w:t>福</w:t>
      </w:r>
      <w:r>
        <w:rPr>
          <w:rFonts w:hint="eastAsia" w:ascii="宋体" w:hAnsi="宋体" w:cs="FZSSK--GBK1-00+ZBNFQH-8"/>
          <w:color w:val="000000" w:themeColor="text1"/>
          <w14:textFill>
            <w14:solidFill>
              <w14:schemeClr w14:val="tx1"/>
            </w14:solidFill>
          </w14:textFill>
        </w:rPr>
        <w:t>利</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I-10"/>
          <w:color w:val="000000" w:themeColor="text1"/>
          <w14:textFill>
            <w14:solidFill>
              <w14:schemeClr w14:val="tx1"/>
            </w14:solidFill>
          </w14:textFill>
        </w:rPr>
        <w:t>拿</w:t>
      </w:r>
      <w:r>
        <w:rPr>
          <w:rFonts w:hint="eastAsia" w:ascii="宋体" w:hAnsi="宋体" w:cs="SSJ4+ZBNFQG-1"/>
          <w:color w:val="000000" w:themeColor="text1"/>
          <w14:textFill>
            <w14:solidFill>
              <w14:schemeClr w14:val="tx1"/>
            </w14:solidFill>
          </w14:textFill>
        </w:rPr>
        <w:t>了</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些</w:t>
      </w:r>
      <w:r>
        <w:rPr>
          <w:rFonts w:hint="eastAsia" w:ascii="宋体" w:hAnsi="宋体" w:cs="FZSSK--GBK1-00+ZBNFQI-10"/>
          <w:color w:val="000000" w:themeColor="text1"/>
          <w14:textFill>
            <w14:solidFill>
              <w14:schemeClr w14:val="tx1"/>
            </w14:solidFill>
          </w14:textFill>
        </w:rPr>
        <w:t>钱</w:t>
      </w:r>
      <w:r>
        <w:rPr>
          <w:rFonts w:hint="eastAsia" w:ascii="宋体" w:hAnsi="宋体" w:cs="FZSSK--GBK1-00+ZBNFQH-5"/>
          <w:color w:val="000000" w:themeColor="text1"/>
          <w14:textFill>
            <w14:solidFill>
              <w14:schemeClr w14:val="tx1"/>
            </w14:solidFill>
          </w14:textFill>
        </w:rPr>
        <w:t>如果合</w:t>
      </w:r>
      <w:r>
        <w:rPr>
          <w:rFonts w:hint="eastAsia" w:ascii="宋体" w:hAnsi="宋体" w:cs="SSJ4+ZBNFQG-1"/>
          <w:color w:val="000000" w:themeColor="text1"/>
          <w14:textFill>
            <w14:solidFill>
              <w14:schemeClr w14:val="tx1"/>
            </w14:solidFill>
          </w14:textFill>
        </w:rPr>
        <w:t>法</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H-8"/>
          <w:color w:val="000000" w:themeColor="text1"/>
          <w14:textFill>
            <w14:solidFill>
              <w14:schemeClr w14:val="tx1"/>
            </w14:solidFill>
          </w14:textFill>
        </w:rPr>
        <w:t>用</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话</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是</w:t>
      </w:r>
      <w:r>
        <w:rPr>
          <w:rFonts w:hint="eastAsia" w:ascii="宋体" w:hAnsi="宋体" w:cs="FZSSK--GBK1-00+ZBNFQK-14"/>
          <w:color w:val="000000" w:themeColor="text1"/>
          <w14:textFill>
            <w14:solidFill>
              <w14:schemeClr w14:val="tx1"/>
            </w14:solidFill>
          </w14:textFill>
        </w:rPr>
        <w:t>取</w:t>
      </w:r>
      <w:r>
        <w:rPr>
          <w:rFonts w:hint="eastAsia" w:ascii="宋体" w:hAnsi="宋体" w:cs="SSJ4+ZBNFQG-1"/>
          <w:color w:val="000000" w:themeColor="text1"/>
          <w14:textFill>
            <w14:solidFill>
              <w14:schemeClr w14:val="tx1"/>
            </w14:solidFill>
          </w14:textFill>
        </w:rPr>
        <w:t>之于</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用</w:t>
      </w:r>
      <w:r>
        <w:rPr>
          <w:rFonts w:hint="eastAsia" w:ascii="宋体" w:hAnsi="宋体" w:cs="SSJ4+ZBNFQG-1"/>
          <w:color w:val="000000" w:themeColor="text1"/>
          <w14:textFill>
            <w14:solidFill>
              <w14:schemeClr w14:val="tx1"/>
            </w14:solidFill>
          </w14:textFill>
        </w:rPr>
        <w:t>之于</w:t>
      </w:r>
      <w:r>
        <w:rPr>
          <w:rFonts w:hint="eastAsia" w:ascii="宋体" w:hAnsi="宋体" w:cs="FZSSK--GBK1-00+ZBNFQI-9"/>
          <w:color w:val="000000" w:themeColor="text1"/>
          <w14:textFill>
            <w14:solidFill>
              <w14:schemeClr w14:val="tx1"/>
            </w14:solidFill>
          </w14:textFill>
        </w:rPr>
        <w:t>民</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从</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个</w:t>
      </w:r>
      <w:r>
        <w:rPr>
          <w:rFonts w:hint="eastAsia" w:ascii="宋体" w:hAnsi="宋体" w:cs="FZSSK--GBK1-00+ZBNFQJ-12"/>
          <w:color w:val="000000" w:themeColor="text1"/>
          <w14:textFill>
            <w14:solidFill>
              <w14:schemeClr w14:val="tx1"/>
            </w14:solidFill>
          </w14:textFill>
        </w:rPr>
        <w:t>价</w:t>
      </w:r>
      <w:r>
        <w:rPr>
          <w:rFonts w:hint="eastAsia" w:ascii="宋体" w:hAnsi="宋体" w:cs="FZSSK--GBK1-00+ZBNFQI-10"/>
          <w:color w:val="000000" w:themeColor="text1"/>
          <w14:textFill>
            <w14:solidFill>
              <w14:schemeClr w14:val="tx1"/>
            </w14:solidFill>
          </w14:textFill>
        </w:rPr>
        <w:t>值</w:t>
      </w:r>
      <w:r>
        <w:rPr>
          <w:rFonts w:hint="eastAsia" w:ascii="宋体" w:hAnsi="宋体" w:cs="FZSSK--GBK1-00+ZBNFQH-5"/>
          <w:color w:val="000000" w:themeColor="text1"/>
          <w14:textFill>
            <w14:solidFill>
              <w14:schemeClr w14:val="tx1"/>
            </w14:solidFill>
          </w14:textFill>
        </w:rPr>
        <w:t>观</w:t>
      </w:r>
      <w:r>
        <w:rPr>
          <w:rFonts w:hint="eastAsia" w:ascii="宋体" w:hAnsi="宋体" w:cs="FZSSK--GBK1-00+ZBNFQL-16"/>
          <w:color w:val="000000" w:themeColor="text1"/>
          <w14:textFill>
            <w14:solidFill>
              <w14:schemeClr w14:val="tx1"/>
            </w14:solidFill>
          </w14:textFill>
        </w:rPr>
        <w:t>角</w:t>
      </w:r>
      <w:r>
        <w:rPr>
          <w:rFonts w:hint="eastAsia" w:ascii="宋体" w:hAnsi="宋体" w:cs="FZSSK--GBK1-00+ZBNFQI-9"/>
          <w:color w:val="000000" w:themeColor="text1"/>
          <w14:textFill>
            <w14:solidFill>
              <w14:schemeClr w14:val="tx1"/>
            </w14:solidFill>
          </w14:textFill>
        </w:rPr>
        <w:t>度</w:t>
      </w:r>
      <w:r>
        <w:rPr>
          <w:rFonts w:hint="eastAsia" w:ascii="宋体" w:hAnsi="宋体" w:cs="SSJ4+ZBNFQG-1"/>
          <w:color w:val="000000" w:themeColor="text1"/>
          <w14:textFill>
            <w14:solidFill>
              <w14:schemeClr w14:val="tx1"/>
            </w14:solidFill>
          </w14:textFill>
        </w:rPr>
        <w:t>来说，</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的</w:t>
      </w:r>
      <w:r>
        <w:rPr>
          <w:rFonts w:hint="eastAsia" w:ascii="宋体" w:hAnsi="宋体" w:cs="FZSSK--GBK1-00+ZBNFQJ-13"/>
          <w:color w:val="000000" w:themeColor="text1"/>
          <w14:textFill>
            <w14:solidFill>
              <w14:schemeClr w14:val="tx1"/>
            </w14:solidFill>
          </w14:textFill>
        </w:rPr>
        <w:t>公</w:t>
      </w:r>
      <w:r>
        <w:rPr>
          <w:rFonts w:hint="eastAsia" w:ascii="宋体" w:hAnsi="宋体" w:cs="FZSSK--GBK1-00+ZBNFQH-5"/>
          <w:color w:val="000000" w:themeColor="text1"/>
          <w14:textFill>
            <w14:solidFill>
              <w14:schemeClr w14:val="tx1"/>
            </w14:solidFill>
          </w14:textFill>
        </w:rPr>
        <w:t>平</w:t>
      </w:r>
      <w:r>
        <w:rPr>
          <w:rFonts w:hint="eastAsia" w:ascii="宋体" w:hAnsi="宋体" w:cs="FZSSK--GBK1-00+ZBNFQJ-12"/>
          <w:color w:val="000000" w:themeColor="text1"/>
          <w14:textFill>
            <w14:solidFill>
              <w14:schemeClr w14:val="tx1"/>
            </w14:solidFill>
          </w14:textFill>
        </w:rPr>
        <w:t>程</w:t>
      </w:r>
      <w:r>
        <w:rPr>
          <w:rFonts w:hint="eastAsia" w:ascii="宋体" w:hAnsi="宋体" w:cs="FZSSK--GBK1-00+ZBNFQI-9"/>
          <w:color w:val="000000" w:themeColor="text1"/>
          <w14:textFill>
            <w14:solidFill>
              <w14:schemeClr w14:val="tx1"/>
            </w14:solidFill>
          </w14:textFill>
        </w:rPr>
        <w:t>度</w:t>
      </w:r>
      <w:r>
        <w:rPr>
          <w:rFonts w:hint="eastAsia" w:ascii="宋体" w:hAnsi="宋体" w:cs="FZSSK--GBK1-00+ZBNFQH-7"/>
          <w:color w:val="000000" w:themeColor="text1"/>
          <w14:textFill>
            <w14:solidFill>
              <w14:schemeClr w14:val="tx1"/>
            </w14:solidFill>
          </w14:textFill>
        </w:rPr>
        <w:t>肯定</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要</w:t>
      </w:r>
      <w:r>
        <w:rPr>
          <w:rFonts w:hint="eastAsia" w:ascii="宋体" w:hAnsi="宋体" w:cs="FZSSK--GBK1-00+ZBNFQH-7"/>
          <w:color w:val="000000" w:themeColor="text1"/>
          <w14:textFill>
            <w14:solidFill>
              <w14:schemeClr w14:val="tx1"/>
            </w14:solidFill>
          </w14:textFill>
        </w:rPr>
        <w:t>高</w:t>
      </w:r>
      <w:r>
        <w:rPr>
          <w:rFonts w:hint="eastAsia" w:ascii="宋体" w:hAnsi="宋体" w:cs="SSJ0+ZBNFQG-4"/>
          <w:color w:val="000000" w:themeColor="text1"/>
          <w14:textFill>
            <w14:solidFill>
              <w14:schemeClr w14:val="tx1"/>
            </w14:solidFill>
          </w14:textFill>
        </w:rPr>
        <w:t>。</w:t>
      </w:r>
    </w:p>
    <w:p w14:paraId="01652FE6">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总之，</w:t>
      </w:r>
      <w:r>
        <w:rPr>
          <w:rFonts w:hint="eastAsia" w:ascii="宋体" w:hAnsi="宋体" w:cs="FZSSK--GBK1-00+ZBNFQJ-12"/>
          <w:color w:val="000000" w:themeColor="text1"/>
          <w14:textFill>
            <w14:solidFill>
              <w14:schemeClr w14:val="tx1"/>
            </w14:solidFill>
          </w14:textFill>
        </w:rPr>
        <w:t>只</w:t>
      </w:r>
      <w:r>
        <w:rPr>
          <w:rFonts w:hint="eastAsia" w:ascii="宋体" w:hAnsi="宋体" w:cs="SSJ4+ZBNFQG-1"/>
          <w:color w:val="000000" w:themeColor="text1"/>
          <w14:textFill>
            <w14:solidFill>
              <w14:schemeClr w14:val="tx1"/>
            </w14:solidFill>
          </w14:textFill>
        </w:rPr>
        <w:t>要是</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为主</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肯定</w:t>
      </w:r>
      <w:r>
        <w:rPr>
          <w:rFonts w:hint="eastAsia" w:ascii="宋体" w:hAnsi="宋体" w:cs="FZSSK--GBK1-00+ZBNFQL-16"/>
          <w:color w:val="000000" w:themeColor="text1"/>
          <w14:textFill>
            <w14:solidFill>
              <w14:schemeClr w14:val="tx1"/>
            </w14:solidFill>
          </w14:textFill>
        </w:rPr>
        <w:t>若</w:t>
      </w:r>
      <w:r>
        <w:rPr>
          <w:rFonts w:hint="eastAsia" w:ascii="宋体" w:hAnsi="宋体" w:cs="FZSSK--GBK1-00+ZBNFQJ-13"/>
          <w:color w:val="000000" w:themeColor="text1"/>
          <w14:textFill>
            <w14:solidFill>
              <w14:schemeClr w14:val="tx1"/>
            </w14:solidFill>
          </w14:textFill>
        </w:rPr>
        <w:t>干</w:t>
      </w:r>
      <w:r>
        <w:rPr>
          <w:rFonts w:hint="eastAsia" w:ascii="宋体" w:hAnsi="宋体" w:cs="FZSSK--GBK1-00+ZBNFQH-5"/>
          <w:color w:val="000000" w:themeColor="text1"/>
          <w14:textFill>
            <w14:solidFill>
              <w14:schemeClr w14:val="tx1"/>
            </w14:solidFill>
          </w14:textFill>
        </w:rPr>
        <w:t>年</w:t>
      </w:r>
      <w:r>
        <w:rPr>
          <w:rFonts w:hint="eastAsia" w:ascii="宋体" w:hAnsi="宋体" w:cs="FZSSK--GBK1-00+ZBNFQH-7"/>
          <w:color w:val="000000" w:themeColor="text1"/>
          <w14:textFill>
            <w14:solidFill>
              <w14:schemeClr w14:val="tx1"/>
            </w14:solidFill>
          </w14:textFill>
        </w:rPr>
        <w:t>后</w:t>
      </w:r>
      <w:r>
        <w:rPr>
          <w:rFonts w:hint="eastAsia" w:ascii="宋体" w:hAnsi="宋体" w:cs="FZSSK--GBK1-00+ZBNFQH-5"/>
          <w:color w:val="000000" w:themeColor="text1"/>
          <w14:textFill>
            <w14:solidFill>
              <w14:schemeClr w14:val="tx1"/>
            </w14:solidFill>
          </w14:textFill>
        </w:rPr>
        <w:t>会</w:t>
      </w:r>
      <w:r>
        <w:rPr>
          <w:rFonts w:hint="eastAsia" w:ascii="宋体" w:hAnsi="宋体" w:cs="SSJ4+ZBNFQG-1"/>
          <w:color w:val="000000" w:themeColor="text1"/>
          <w14:textFill>
            <w14:solidFill>
              <w14:schemeClr w14:val="tx1"/>
            </w14:solidFill>
          </w14:textFill>
        </w:rPr>
        <w:t>出</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机的，</w:t>
      </w:r>
      <w:r>
        <w:rPr>
          <w:rFonts w:hint="eastAsia" w:ascii="宋体" w:hAnsi="宋体" w:cs="FZSSK--GBK1-00+ZBNFQI-9"/>
          <w:color w:val="000000" w:themeColor="text1"/>
          <w14:textFill>
            <w14:solidFill>
              <w14:schemeClr w14:val="tx1"/>
            </w14:solidFill>
          </w14:textFill>
        </w:rPr>
        <w:t>马</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I-10"/>
          <w:color w:val="000000" w:themeColor="text1"/>
          <w14:textFill>
            <w14:solidFill>
              <w14:schemeClr w14:val="tx1"/>
            </w14:solidFill>
          </w14:textFill>
        </w:rPr>
        <w:t>思</w:t>
      </w:r>
      <w:r>
        <w:rPr>
          <w:rFonts w:hint="eastAsia" w:ascii="宋体" w:hAnsi="宋体" w:cs="FZSSK--GBK1-00+ZBNFQH-5"/>
          <w:color w:val="000000" w:themeColor="text1"/>
          <w14:textFill>
            <w14:solidFill>
              <w14:schemeClr w14:val="tx1"/>
            </w14:solidFill>
          </w14:textFill>
        </w:rPr>
        <w:t>那</w:t>
      </w:r>
      <w:r>
        <w:rPr>
          <w:rFonts w:hint="eastAsia" w:ascii="宋体" w:hAnsi="宋体" w:cs="SSJ4+ZBNFQG-1"/>
          <w:color w:val="000000" w:themeColor="text1"/>
          <w14:textFill>
            <w14:solidFill>
              <w14:schemeClr w14:val="tx1"/>
            </w14:solidFill>
          </w14:textFill>
        </w:rPr>
        <w:t>个</w:t>
      </w:r>
      <w:r>
        <w:rPr>
          <w:rFonts w:hint="eastAsia" w:ascii="宋体" w:hAnsi="宋体" w:cs="FZSSK--GBK1-00+ZBNFQH-5"/>
          <w:color w:val="000000" w:themeColor="text1"/>
          <w14:textFill>
            <w14:solidFill>
              <w14:schemeClr w14:val="tx1"/>
            </w14:solidFill>
          </w14:textFill>
        </w:rPr>
        <w:t>年代</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样</w:t>
      </w:r>
      <w:r>
        <w:rPr>
          <w:rFonts w:hint="eastAsia" w:ascii="宋体" w:hAnsi="宋体" w:cs="SSJ4+ZBNFQG-1"/>
          <w:color w:val="000000" w:themeColor="text1"/>
          <w14:textFill>
            <w14:solidFill>
              <w14:schemeClr w14:val="tx1"/>
            </w14:solidFill>
          </w14:textFill>
        </w:rPr>
        <w:t>的，当</w:t>
      </w:r>
      <w:r>
        <w:rPr>
          <w:rFonts w:hint="eastAsia" w:ascii="宋体" w:hAnsi="宋体" w:cs="FZSSK--GBK1-00+ZBNFQH-5"/>
          <w:color w:val="000000" w:themeColor="text1"/>
          <w14:textFill>
            <w14:solidFill>
              <w14:schemeClr w14:val="tx1"/>
            </w14:solidFill>
          </w14:textFill>
        </w:rPr>
        <w:t>代也</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样</w:t>
      </w:r>
      <w:r>
        <w:rPr>
          <w:rFonts w:hint="eastAsia" w:ascii="宋体" w:hAnsi="宋体" w:cs="SSJ4+ZBNFQG-1"/>
          <w:color w:val="000000" w:themeColor="text1"/>
          <w14:textFill>
            <w14:solidFill>
              <w14:schemeClr w14:val="tx1"/>
            </w14:solidFill>
          </w14:textFill>
        </w:rPr>
        <w:t>的</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包括</w:t>
      </w:r>
      <w:r>
        <w:rPr>
          <w:rFonts w:hint="eastAsia" w:ascii="宋体" w:hAnsi="宋体" w:cs="FZSSK--GBK1-00+ZBNFQK-14"/>
          <w:color w:val="000000" w:themeColor="text1"/>
          <w14:textFill>
            <w14:solidFill>
              <w14:schemeClr w14:val="tx1"/>
            </w14:solidFill>
          </w14:textFill>
        </w:rPr>
        <w:t>瑞典</w:t>
      </w:r>
      <w:r>
        <w:rPr>
          <w:rFonts w:hint="eastAsia" w:ascii="宋体" w:hAnsi="宋体" w:cs="FZSSK--GBK1-00+ZBNFQH-7"/>
          <w:color w:val="000000" w:themeColor="text1"/>
          <w14:textFill>
            <w14:solidFill>
              <w14:schemeClr w14:val="tx1"/>
            </w14:solidFill>
          </w14:textFill>
        </w:rPr>
        <w:t>等</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主</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在</w:t>
      </w:r>
      <w:r>
        <w:rPr>
          <w:rFonts w:hint="eastAsia" w:ascii="宋体" w:hAnsi="宋体" w:cs="FZSSK--GBK1-00+ZBNFQH-7"/>
          <w:color w:val="000000" w:themeColor="text1"/>
          <w14:textFill>
            <w14:solidFill>
              <w14:schemeClr w14:val="tx1"/>
            </w14:solidFill>
          </w14:textFill>
        </w:rPr>
        <w:t>内</w:t>
      </w:r>
      <w:r>
        <w:rPr>
          <w:rFonts w:hint="eastAsia" w:ascii="宋体" w:hAnsi="宋体" w:cs="SSJ4+ZBNFQG-1"/>
          <w:color w:val="000000" w:themeColor="text1"/>
          <w14:textFill>
            <w14:solidFill>
              <w14:schemeClr w14:val="tx1"/>
            </w14:solidFill>
          </w14:textFill>
        </w:rPr>
        <w:t>，由于</w:t>
      </w: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是</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为主</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因</w:t>
      </w:r>
      <w:r>
        <w:rPr>
          <w:rFonts w:hint="eastAsia" w:ascii="宋体" w:hAnsi="宋体" w:cs="SSJ4+ZBNFQG-1"/>
          <w:color w:val="000000" w:themeColor="text1"/>
          <w14:textFill>
            <w14:solidFill>
              <w14:schemeClr w14:val="tx1"/>
            </w14:solidFill>
          </w14:textFill>
        </w:rPr>
        <w:t>而仍</w:t>
      </w:r>
      <w:r>
        <w:rPr>
          <w:rFonts w:hint="eastAsia" w:ascii="宋体" w:hAnsi="宋体" w:cs="FZSSK--GBK1-00+ZBNFQH-8"/>
          <w:color w:val="000000" w:themeColor="text1"/>
          <w14:textFill>
            <w14:solidFill>
              <w14:schemeClr w14:val="tx1"/>
            </w14:solidFill>
          </w14:textFill>
        </w:rPr>
        <w:t>然</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个</w:t>
      </w:r>
      <w:r>
        <w:rPr>
          <w:rFonts w:hint="eastAsia" w:ascii="宋体" w:hAnsi="宋体" w:cs="FZSSK--GBK1-00+ZBNFQI-9"/>
          <w:color w:val="000000" w:themeColor="text1"/>
          <w14:textFill>
            <w14:solidFill>
              <w14:schemeClr w14:val="tx1"/>
            </w14:solidFill>
          </w14:textFill>
        </w:rPr>
        <w:t>贫富</w:t>
      </w:r>
      <w:r>
        <w:rPr>
          <w:rFonts w:hint="eastAsia" w:ascii="宋体" w:hAnsi="宋体" w:cs="FZSSK--GBK1-00+ZBNFQH-8"/>
          <w:color w:val="000000" w:themeColor="text1"/>
          <w14:textFill>
            <w14:solidFill>
              <w14:schemeClr w14:val="tx1"/>
            </w14:solidFill>
          </w14:textFill>
        </w:rPr>
        <w:t>分</w:t>
      </w:r>
      <w:r>
        <w:rPr>
          <w:rFonts w:hint="eastAsia" w:ascii="宋体" w:hAnsi="宋体" w:cs="SSJ4+ZBNFQG-1"/>
          <w:color w:val="000000" w:themeColor="text1"/>
          <w14:textFill>
            <w14:solidFill>
              <w14:schemeClr w14:val="tx1"/>
            </w14:solidFill>
          </w14:textFill>
        </w:rPr>
        <w:t>化的</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，而</w:t>
      </w:r>
      <w:r>
        <w:rPr>
          <w:rFonts w:hint="eastAsia" w:ascii="宋体" w:hAnsi="宋体" w:cs="FZSSK--GBK1-00+ZBNFQH-5"/>
          <w:color w:val="000000" w:themeColor="text1"/>
          <w14:textFill>
            <w14:solidFill>
              <w14:schemeClr w14:val="tx1"/>
            </w14:solidFill>
          </w14:textFill>
        </w:rPr>
        <w:t>不</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个</w:t>
      </w:r>
      <w:r>
        <w:rPr>
          <w:rFonts w:hint="eastAsia" w:ascii="宋体" w:hAnsi="宋体" w:cs="FZSSK--GBK1-00+ZBNFQI-10"/>
          <w:color w:val="000000" w:themeColor="text1"/>
          <w14:textFill>
            <w14:solidFill>
              <w14:schemeClr w14:val="tx1"/>
            </w14:solidFill>
          </w14:textFill>
        </w:rPr>
        <w:t>共</w:t>
      </w:r>
      <w:r>
        <w:rPr>
          <w:rFonts w:hint="eastAsia" w:ascii="宋体" w:hAnsi="宋体" w:cs="SSJ4+ZBNFQG-1"/>
          <w:color w:val="000000" w:themeColor="text1"/>
          <w14:textFill>
            <w14:solidFill>
              <w14:schemeClr w14:val="tx1"/>
            </w14:solidFill>
          </w14:textFill>
        </w:rPr>
        <w:t>同</w:t>
      </w:r>
      <w:r>
        <w:rPr>
          <w:rFonts w:hint="eastAsia" w:ascii="宋体" w:hAnsi="宋体" w:cs="FZSSK--GBK1-00+ZBNFQI-9"/>
          <w:color w:val="000000" w:themeColor="text1"/>
          <w14:textFill>
            <w14:solidFill>
              <w14:schemeClr w14:val="tx1"/>
            </w14:solidFill>
          </w14:textFill>
        </w:rPr>
        <w:t>富</w:t>
      </w:r>
      <w:r>
        <w:rPr>
          <w:rFonts w:hint="eastAsia" w:ascii="宋体" w:hAnsi="宋体" w:cs="FZSSK--GBK1-00+ZBNFQK-15"/>
          <w:color w:val="000000" w:themeColor="text1"/>
          <w14:textFill>
            <w14:solidFill>
              <w14:schemeClr w14:val="tx1"/>
            </w14:solidFill>
          </w14:textFill>
        </w:rPr>
        <w:t>裕</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典</w:t>
      </w:r>
      <w:r>
        <w:rPr>
          <w:rFonts w:hint="eastAsia" w:ascii="宋体" w:hAnsi="宋体" w:cs="FZSSK--GBK1-00+ZBNFQJ-12"/>
          <w:color w:val="000000" w:themeColor="text1"/>
          <w14:textFill>
            <w14:solidFill>
              <w14:schemeClr w14:val="tx1"/>
            </w14:solidFill>
          </w14:textFill>
        </w:rPr>
        <w:t>型</w:t>
      </w:r>
      <w:r>
        <w:rPr>
          <w:rFonts w:hint="eastAsia" w:ascii="宋体" w:hAnsi="宋体" w:cs="SSJ4+ZBNFQG-1"/>
          <w:color w:val="000000" w:themeColor="text1"/>
          <w14:textFill>
            <w14:solidFill>
              <w14:schemeClr w14:val="tx1"/>
            </w14:solidFill>
          </w14:textFill>
        </w:rPr>
        <w:t>，而</w:t>
      </w:r>
      <w:r>
        <w:rPr>
          <w:rFonts w:hint="eastAsia" w:ascii="宋体" w:hAnsi="宋体" w:cs="FZSSK--GBK1-00+ZBNFQH-8"/>
          <w:color w:val="000000" w:themeColor="text1"/>
          <w14:textFill>
            <w14:solidFill>
              <w14:schemeClr w14:val="tx1"/>
            </w14:solidFill>
          </w14:textFill>
        </w:rPr>
        <w:t>且</w:t>
      </w:r>
      <w:r>
        <w:rPr>
          <w:rFonts w:hint="eastAsia" w:ascii="宋体" w:hAnsi="宋体" w:cs="FZSSK--GBK1-00+ZBNFQH-5"/>
          <w:color w:val="000000" w:themeColor="text1"/>
          <w14:textFill>
            <w14:solidFill>
              <w14:schemeClr w14:val="tx1"/>
            </w14:solidFill>
          </w14:textFill>
        </w:rPr>
        <w:t>它</w:t>
      </w:r>
      <w:r>
        <w:rPr>
          <w:rFonts w:hint="eastAsia" w:ascii="宋体" w:hAnsi="宋体" w:cs="SSJ4+ZBNFQG-1"/>
          <w:color w:val="000000" w:themeColor="text1"/>
          <w14:textFill>
            <w14:solidFill>
              <w14:schemeClr w14:val="tx1"/>
            </w14:solidFill>
          </w14:textFill>
        </w:rPr>
        <w:t>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在</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出</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了</w:t>
      </w:r>
      <w:r>
        <w:rPr>
          <w:rFonts w:hint="eastAsia" w:ascii="宋体" w:hAnsi="宋体" w:cs="FZSSK--GBK1-00+ZBNFQH-7"/>
          <w:color w:val="000000" w:themeColor="text1"/>
          <w14:textFill>
            <w14:solidFill>
              <w14:schemeClr w14:val="tx1"/>
            </w14:solidFill>
          </w14:textFill>
        </w:rPr>
        <w:t>巨</w:t>
      </w:r>
      <w:r>
        <w:rPr>
          <w:rFonts w:hint="eastAsia" w:ascii="宋体" w:hAnsi="宋体" w:cs="SSJ4+ZBNFQG-1"/>
          <w:color w:val="000000" w:themeColor="text1"/>
          <w14:textFill>
            <w14:solidFill>
              <w14:schemeClr w14:val="tx1"/>
            </w14:solidFill>
          </w14:textFill>
        </w:rPr>
        <w:t>大的</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SSJ0+ZBNFQG-4"/>
          <w:color w:val="000000" w:themeColor="text1"/>
          <w14:textFill>
            <w14:solidFill>
              <w14:schemeClr w14:val="tx1"/>
            </w14:solidFill>
          </w14:textFill>
        </w:rPr>
        <w:t>。</w:t>
      </w:r>
    </w:p>
    <w:p w14:paraId="5F15C1EB">
      <w:pPr>
        <w:autoSpaceDE w:val="0"/>
        <w:autoSpaceDN w:val="0"/>
        <w:adjustRightInd w:val="0"/>
        <w:spacing w:line="400" w:lineRule="exact"/>
        <w:ind w:firstLine="420" w:firstLineChars="200"/>
        <w:jc w:val="left"/>
        <w:rPr>
          <w:rFonts w:hint="eastAsia" w:ascii="宋体" w:hAnsi="宋体" w:cs="SSJ0+ZBNFQG-4"/>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中国当前的生</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H-5"/>
          <w:color w:val="000000" w:themeColor="text1"/>
          <w14:textFill>
            <w14:solidFill>
              <w14:schemeClr w14:val="tx1"/>
            </w14:solidFill>
          </w14:textFill>
        </w:rPr>
        <w:t>问题</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如</w:t>
      </w:r>
      <w:r>
        <w:rPr>
          <w:rFonts w:hint="eastAsia" w:ascii="宋体" w:hAnsi="宋体" w:cs="FZSSK--GBK1-00+ZBNFQJ-13"/>
          <w:color w:val="000000" w:themeColor="text1"/>
          <w14:textFill>
            <w14:solidFill>
              <w14:schemeClr w14:val="tx1"/>
            </w14:solidFill>
          </w14:textFill>
        </w:rPr>
        <w:t>科</w:t>
      </w:r>
      <w:r>
        <w:rPr>
          <w:rFonts w:hint="eastAsia" w:ascii="宋体" w:hAnsi="宋体" w:cs="FZSSK--GBK1-00+ZBNFQJ-12"/>
          <w:color w:val="000000" w:themeColor="text1"/>
          <w14:textFill>
            <w14:solidFill>
              <w14:schemeClr w14:val="tx1"/>
            </w14:solidFill>
          </w14:textFill>
        </w:rPr>
        <w:t>技</w:t>
      </w:r>
      <w:r>
        <w:rPr>
          <w:rFonts w:hint="eastAsia" w:ascii="宋体" w:hAnsi="宋体" w:cs="SSJ4+ZBNFQG-1"/>
          <w:color w:val="000000" w:themeColor="text1"/>
          <w14:textFill>
            <w14:solidFill>
              <w14:schemeClr w14:val="tx1"/>
            </w14:solidFill>
          </w14:textFill>
        </w:rPr>
        <w:t>自主</w:t>
      </w:r>
      <w:r>
        <w:rPr>
          <w:rFonts w:hint="eastAsia" w:ascii="宋体" w:hAnsi="宋体" w:cs="FZSSK--GBK1-00+ZBNFQJ-13"/>
          <w:color w:val="000000" w:themeColor="text1"/>
          <w14:textFill>
            <w14:solidFill>
              <w14:schemeClr w14:val="tx1"/>
            </w14:solidFill>
          </w14:textFill>
        </w:rPr>
        <w:t>创</w:t>
      </w:r>
      <w:r>
        <w:rPr>
          <w:rFonts w:hint="eastAsia" w:ascii="宋体" w:hAnsi="宋体" w:cs="SSJ4+ZBNFQG-1"/>
          <w:color w:val="000000" w:themeColor="text1"/>
          <w14:textFill>
            <w14:solidFill>
              <w14:schemeClr w14:val="tx1"/>
            </w14:solidFill>
          </w14:textFill>
        </w:rPr>
        <w:t>新，以</w:t>
      </w:r>
      <w:r>
        <w:rPr>
          <w:rFonts w:hint="eastAsia" w:ascii="宋体" w:hAnsi="宋体" w:cs="FZSSK--GBK1-00+ZBNFQI-9"/>
          <w:color w:val="000000" w:themeColor="text1"/>
          <w14:textFill>
            <w14:solidFill>
              <w14:schemeClr w14:val="tx1"/>
            </w14:solidFill>
          </w14:textFill>
        </w:rPr>
        <w:t>及</w:t>
      </w:r>
      <w:r>
        <w:rPr>
          <w:rFonts w:hint="eastAsia" w:ascii="宋体" w:hAnsi="宋体" w:cs="FZSSK--GBK1-00+ZBNFQJ-13"/>
          <w:color w:val="000000" w:themeColor="text1"/>
          <w14:textFill>
            <w14:solidFill>
              <w14:schemeClr w14:val="tx1"/>
            </w14:solidFill>
          </w14:textFill>
        </w:rPr>
        <w:t>公</w:t>
      </w:r>
      <w:r>
        <w:rPr>
          <w:rFonts w:hint="eastAsia" w:ascii="宋体" w:hAnsi="宋体" w:cs="FZSSK--GBK1-00+ZBNFQH-5"/>
          <w:color w:val="000000" w:themeColor="text1"/>
          <w14:textFill>
            <w14:solidFill>
              <w14:schemeClr w14:val="tx1"/>
            </w14:solidFill>
          </w14:textFill>
        </w:rPr>
        <w:t>平问题</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如</w:t>
      </w:r>
      <w:r>
        <w:rPr>
          <w:rFonts w:hint="eastAsia" w:ascii="宋体" w:hAnsi="宋体" w:cs="FZSSK--GBK1-00+ZBNFQH-8"/>
          <w:color w:val="000000" w:themeColor="text1"/>
          <w14:textFill>
            <w14:solidFill>
              <w14:schemeClr w14:val="tx1"/>
            </w14:solidFill>
          </w14:textFill>
        </w:rPr>
        <w:t>缩</w:t>
      </w:r>
      <w:r>
        <w:rPr>
          <w:rFonts w:hint="eastAsia" w:ascii="宋体" w:hAnsi="宋体" w:cs="FZSSK--GBK1-00+ZBNFQH-5"/>
          <w:color w:val="000000" w:themeColor="text1"/>
          <w14:textFill>
            <w14:solidFill>
              <w14:schemeClr w14:val="tx1"/>
            </w14:solidFill>
          </w14:textFill>
        </w:rPr>
        <w:t>小</w:t>
      </w:r>
      <w:r>
        <w:rPr>
          <w:rFonts w:hint="eastAsia" w:ascii="宋体" w:hAnsi="宋体" w:cs="FZSSK--GBK1-00+ZBNFQI-9"/>
          <w:color w:val="000000" w:themeColor="text1"/>
          <w14:textFill>
            <w14:solidFill>
              <w14:schemeClr w14:val="tx1"/>
            </w14:solidFill>
          </w14:textFill>
        </w:rPr>
        <w:t>贫富差距</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都</w:t>
      </w:r>
      <w:r>
        <w:rPr>
          <w:rFonts w:hint="eastAsia" w:ascii="宋体" w:hAnsi="宋体" w:cs="SSJ4+ZBNFQG-1"/>
          <w:color w:val="000000" w:themeColor="text1"/>
          <w14:textFill>
            <w14:solidFill>
              <w14:schemeClr w14:val="tx1"/>
            </w14:solidFill>
          </w14:textFill>
        </w:rPr>
        <w:t>有</w:t>
      </w:r>
      <w:r>
        <w:rPr>
          <w:rFonts w:hint="eastAsia" w:ascii="宋体" w:hAnsi="宋体" w:cs="FZSSK--GBK1-00+ZBNFQJ-12"/>
          <w:color w:val="000000" w:themeColor="text1"/>
          <w14:textFill>
            <w14:solidFill>
              <w14:schemeClr w14:val="tx1"/>
            </w14:solidFill>
          </w14:textFill>
        </w:rPr>
        <w:t>赖</w:t>
      </w:r>
      <w:r>
        <w:rPr>
          <w:rFonts w:hint="eastAsia" w:ascii="宋体" w:hAnsi="宋体" w:cs="SSJ4+ZBNFQG-1"/>
          <w:color w:val="000000" w:themeColor="text1"/>
          <w14:textFill>
            <w14:solidFill>
              <w14:schemeClr w14:val="tx1"/>
            </w14:solidFill>
          </w14:textFill>
        </w:rPr>
        <w:t>于</w:t>
      </w:r>
      <w:r>
        <w:rPr>
          <w:rFonts w:hint="eastAsia" w:ascii="宋体" w:hAnsi="宋体" w:cs="FZSSK--GBK1-00+ZBNFQQ-24"/>
          <w:color w:val="000000" w:themeColor="text1"/>
          <w14:textFill>
            <w14:solidFill>
              <w14:schemeClr w14:val="tx1"/>
            </w14:solidFill>
          </w14:textFill>
        </w:rPr>
        <w:t>巩固</w:t>
      </w:r>
      <w:r>
        <w:rPr>
          <w:rFonts w:hint="eastAsia" w:ascii="宋体" w:hAnsi="宋体" w:cs="SSJ4+ZBNFQG-1"/>
          <w:color w:val="000000" w:themeColor="text1"/>
          <w14:textFill>
            <w14:solidFill>
              <w14:schemeClr w14:val="tx1"/>
            </w14:solidFill>
          </w14:textFill>
        </w:rPr>
        <w:t>和</w:t>
      </w:r>
      <w:r>
        <w:rPr>
          <w:rFonts w:hint="eastAsia" w:ascii="宋体" w:hAnsi="宋体" w:cs="FZSSK--GBK1-00+ZBNFQI-10"/>
          <w:color w:val="000000" w:themeColor="text1"/>
          <w14:textFill>
            <w14:solidFill>
              <w14:schemeClr w14:val="tx1"/>
            </w14:solidFill>
          </w14:textFill>
        </w:rPr>
        <w:t>改</w:t>
      </w:r>
      <w:r>
        <w:rPr>
          <w:rFonts w:hint="eastAsia" w:ascii="宋体" w:hAnsi="宋体" w:cs="FZSSK--GBK1-00+ZBNFQL-16"/>
          <w:color w:val="000000" w:themeColor="text1"/>
          <w14:textFill>
            <w14:solidFill>
              <w14:schemeClr w14:val="tx1"/>
            </w14:solidFill>
          </w14:textFill>
        </w:rPr>
        <w:t>善</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但是</w:t>
      </w:r>
      <w:r>
        <w:rPr>
          <w:rFonts w:hint="eastAsia" w:ascii="宋体" w:hAnsi="宋体" w:cs="FZSSK--GBK1-00+ZBNFQO-21"/>
          <w:color w:val="000000" w:themeColor="text1"/>
          <w14:textFill>
            <w14:solidFill>
              <w14:schemeClr w14:val="tx1"/>
            </w14:solidFill>
          </w14:textFill>
        </w:rPr>
        <w:t>竟</w:t>
      </w:r>
      <w:r>
        <w:rPr>
          <w:rFonts w:hint="eastAsia" w:ascii="宋体" w:hAnsi="宋体" w:cs="FZSSK--GBK1-00+ZBNFQH-8"/>
          <w:color w:val="000000" w:themeColor="text1"/>
          <w14:textFill>
            <w14:solidFill>
              <w14:schemeClr w14:val="tx1"/>
            </w14:solidFill>
          </w14:textFill>
        </w:rPr>
        <w:t>然</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J-13"/>
          <w:color w:val="000000" w:themeColor="text1"/>
          <w14:textFill>
            <w14:solidFill>
              <w14:schemeClr w14:val="tx1"/>
            </w14:solidFill>
          </w14:textFill>
        </w:rPr>
        <w:t>公</w:t>
      </w:r>
      <w:r>
        <w:rPr>
          <w:rFonts w:hint="eastAsia" w:ascii="宋体" w:hAnsi="宋体" w:cs="FZSSK--GBK1-00+ZBNFQH-7"/>
          <w:color w:val="000000" w:themeColor="text1"/>
          <w14:textFill>
            <w14:solidFill>
              <w14:schemeClr w14:val="tx1"/>
            </w14:solidFill>
          </w14:textFill>
        </w:rPr>
        <w:t>开</w:t>
      </w:r>
      <w:r>
        <w:rPr>
          <w:rFonts w:hint="eastAsia" w:ascii="宋体" w:hAnsi="宋体" w:cs="SSJ4+ZBNFQG-1"/>
          <w:color w:val="000000" w:themeColor="text1"/>
          <w14:textFill>
            <w14:solidFill>
              <w14:schemeClr w14:val="tx1"/>
            </w14:solidFill>
          </w14:textFill>
        </w:rPr>
        <w:t>大</w:t>
      </w:r>
      <w:r>
        <w:rPr>
          <w:rFonts w:hint="eastAsia" w:ascii="宋体" w:hAnsi="宋体" w:cs="FZSSK--GBK1-00+ZBNFQH-5"/>
          <w:color w:val="000000" w:themeColor="text1"/>
          <w14:textFill>
            <w14:solidFill>
              <w14:schemeClr w14:val="tx1"/>
            </w14:solidFill>
          </w14:textFill>
        </w:rPr>
        <w:t>讲特讲</w:t>
      </w:r>
      <w:r>
        <w:rPr>
          <w:rFonts w:hint="eastAsia" w:ascii="宋体" w:hAnsi="宋体" w:cs="SSJ4+ZBNFQG-1"/>
          <w:color w:val="000000" w:themeColor="text1"/>
          <w14:textFill>
            <w14:solidFill>
              <w14:schemeClr w14:val="tx1"/>
            </w14:solidFill>
          </w14:textFill>
        </w:rPr>
        <w:t>，说中国</w:t>
      </w:r>
      <w:r>
        <w:rPr>
          <w:rFonts w:hint="eastAsia" w:ascii="宋体" w:hAnsi="宋体" w:cs="FZSSK--GBK1-00+ZBNFQI-9"/>
          <w:color w:val="000000" w:themeColor="text1"/>
          <w14:textFill>
            <w14:solidFill>
              <w14:schemeClr w14:val="tx1"/>
            </w14:solidFill>
          </w14:textFill>
        </w:rPr>
        <w:t>模</w:t>
      </w:r>
      <w:r>
        <w:rPr>
          <w:rFonts w:hint="eastAsia" w:ascii="宋体" w:hAnsi="宋体" w:cs="FZSSK--GBK1-00+ZBNFQI-10"/>
          <w:color w:val="000000" w:themeColor="text1"/>
          <w14:textFill>
            <w14:solidFill>
              <w14:schemeClr w14:val="tx1"/>
            </w14:solidFill>
          </w14:textFill>
        </w:rPr>
        <w:t>式</w:t>
      </w:r>
      <w:r>
        <w:rPr>
          <w:rFonts w:hint="eastAsia" w:ascii="宋体" w:hAnsi="宋体" w:cs="SSJ4+ZBNFQG-1"/>
          <w:color w:val="000000" w:themeColor="text1"/>
          <w14:textFill>
            <w14:solidFill>
              <w14:schemeClr w14:val="tx1"/>
            </w14:solidFill>
          </w14:textFill>
        </w:rPr>
        <w:t>有两大</w:t>
      </w:r>
      <w:r>
        <w:rPr>
          <w:rFonts w:hint="eastAsia" w:ascii="宋体" w:hAnsi="宋体" w:cs="FZSSK--GBK1-00+ZBNFQL-16"/>
          <w:color w:val="000000" w:themeColor="text1"/>
          <w14:textFill>
            <w14:solidFill>
              <w14:schemeClr w14:val="tx1"/>
            </w14:solidFill>
          </w14:textFill>
        </w:rPr>
        <w:t>缺</w:t>
      </w:r>
      <w:r>
        <w:rPr>
          <w:rFonts w:hint="eastAsia" w:ascii="宋体" w:hAnsi="宋体" w:cs="FZSSK--GBK1-00+ZBNFQH-5"/>
          <w:color w:val="000000" w:themeColor="text1"/>
          <w14:textFill>
            <w14:solidFill>
              <w14:schemeClr w14:val="tx1"/>
            </w14:solidFill>
          </w14:textFill>
        </w:rPr>
        <w:t>点</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第一</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L-16"/>
          <w:color w:val="000000" w:themeColor="text1"/>
          <w14:textFill>
            <w14:solidFill>
              <w14:schemeClr w14:val="tx1"/>
            </w14:solidFill>
          </w14:textFill>
        </w:rPr>
        <w:t>宏</w:t>
      </w:r>
      <w:r>
        <w:rPr>
          <w:rFonts w:hint="eastAsia" w:ascii="宋体" w:hAnsi="宋体" w:cs="FZSSK--GBK1-00+ZBNFQH-5"/>
          <w:color w:val="000000" w:themeColor="text1"/>
          <w14:textFill>
            <w14:solidFill>
              <w14:schemeClr w14:val="tx1"/>
            </w14:solidFill>
          </w14:textFill>
        </w:rPr>
        <w:t>观</w:t>
      </w:r>
      <w:r>
        <w:rPr>
          <w:rFonts w:hint="eastAsia" w:ascii="宋体" w:hAnsi="宋体" w:cs="SSJ4+ZBNFQG-1"/>
          <w:color w:val="000000" w:themeColor="text1"/>
          <w14:textFill>
            <w14:solidFill>
              <w14:schemeClr w14:val="tx1"/>
            </w14:solidFill>
          </w14:textFill>
        </w:rPr>
        <w:t>调</w:t>
      </w:r>
      <w:r>
        <w:rPr>
          <w:rFonts w:hint="eastAsia" w:ascii="宋体" w:hAnsi="宋体" w:cs="FZSSK--GBK1-00+ZBNFQJ-12"/>
          <w:color w:val="000000" w:themeColor="text1"/>
          <w14:textFill>
            <w14:solidFill>
              <w14:schemeClr w14:val="tx1"/>
            </w14:solidFill>
          </w14:textFill>
        </w:rPr>
        <w:t>控</w:t>
      </w:r>
      <w:r>
        <w:rPr>
          <w:rFonts w:hint="eastAsia" w:ascii="宋体" w:hAnsi="宋体" w:cs="FZSSK--GBK1-00+ZBNFQL-16"/>
          <w:color w:val="000000" w:themeColor="text1"/>
          <w14:textFill>
            <w14:solidFill>
              <w14:schemeClr w14:val="tx1"/>
            </w14:solidFill>
          </w14:textFill>
        </w:rPr>
        <w:t>太</w:t>
      </w:r>
      <w:r>
        <w:rPr>
          <w:rFonts w:hint="eastAsia" w:ascii="宋体" w:hAnsi="宋体" w:cs="SSJ4+ZBNFQG-1"/>
          <w:color w:val="000000" w:themeColor="text1"/>
          <w14:textFill>
            <w14:solidFill>
              <w14:schemeClr w14:val="tx1"/>
            </w14:solidFill>
          </w14:textFill>
        </w:rPr>
        <w:t>多，</w:t>
      </w:r>
      <w:r>
        <w:rPr>
          <w:rFonts w:hint="eastAsia" w:ascii="宋体" w:hAnsi="宋体" w:cs="FZSSK--GBK1-00+ZBNFQH-5"/>
          <w:color w:val="000000" w:themeColor="text1"/>
          <w14:textFill>
            <w14:solidFill>
              <w14:schemeClr w14:val="tx1"/>
            </w14:solidFill>
          </w14:textFill>
        </w:rPr>
        <w:t>第</w:t>
      </w:r>
      <w:r>
        <w:rPr>
          <w:rFonts w:hint="eastAsia" w:ascii="宋体" w:hAnsi="宋体" w:cs="FZSSK--GBK1-00+ZBNFQH-7"/>
          <w:color w:val="000000" w:themeColor="text1"/>
          <w14:textFill>
            <w14:solidFill>
              <w14:schemeClr w14:val="tx1"/>
            </w14:solidFill>
          </w14:textFill>
        </w:rPr>
        <w:t>二</w:t>
      </w:r>
      <w:r>
        <w:rPr>
          <w:rFonts w:hint="eastAsia" w:ascii="宋体" w:hAnsi="宋体" w:cs="SSJ4+ZBNFQG-1"/>
          <w:color w:val="000000" w:themeColor="text1"/>
          <w14:textFill>
            <w14:solidFill>
              <w14:schemeClr w14:val="tx1"/>
            </w14:solidFill>
          </w14:textFill>
        </w:rPr>
        <w:t>国有</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L-16"/>
          <w:color w:val="000000" w:themeColor="text1"/>
          <w14:textFill>
            <w14:solidFill>
              <w14:schemeClr w14:val="tx1"/>
            </w14:solidFill>
          </w14:textFill>
        </w:rPr>
        <w:t>太</w:t>
      </w:r>
      <w:r>
        <w:rPr>
          <w:rFonts w:hint="eastAsia" w:ascii="宋体" w:hAnsi="宋体" w:cs="SSJ4+ZBNFQG-1"/>
          <w:color w:val="000000" w:themeColor="text1"/>
          <w14:textFill>
            <w14:solidFill>
              <w14:schemeClr w14:val="tx1"/>
            </w14:solidFill>
          </w14:textFill>
        </w:rPr>
        <w:t>多，要</w:t>
      </w:r>
      <w:r>
        <w:rPr>
          <w:rFonts w:hint="eastAsia" w:ascii="宋体" w:hAnsi="宋体" w:cs="FZSSK--GBK1-00+ZBNFQO-22"/>
          <w:color w:val="000000" w:themeColor="text1"/>
          <w14:textFill>
            <w14:solidFill>
              <w14:schemeClr w14:val="tx1"/>
            </w14:solidFill>
          </w14:textFill>
        </w:rPr>
        <w:t>像</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P-23"/>
          <w:color w:val="000000" w:themeColor="text1"/>
          <w14:textFill>
            <w14:solidFill>
              <w14:schemeClr w14:val="tx1"/>
            </w14:solidFill>
          </w14:textFill>
        </w:rPr>
        <w:t>才</w:t>
      </w:r>
      <w:r>
        <w:rPr>
          <w:rFonts w:hint="eastAsia" w:ascii="宋体" w:hAnsi="宋体" w:cs="SSJ4+ZBNFQG-1"/>
          <w:color w:val="000000" w:themeColor="text1"/>
          <w14:textFill>
            <w14:solidFill>
              <w14:schemeClr w14:val="tx1"/>
            </w14:solidFill>
          </w14:textFill>
        </w:rPr>
        <w:t>对</w:t>
      </w:r>
      <w:r>
        <w:rPr>
          <w:rFonts w:hint="eastAsia" w:ascii="宋体" w:hAnsi="宋体" w:cs="SSJ0+ZBNFQG-4"/>
          <w:color w:val="000000" w:themeColor="text1"/>
          <w14:textFill>
            <w14:solidFill>
              <w14:schemeClr w14:val="tx1"/>
            </w14:solidFill>
          </w14:textFill>
        </w:rPr>
        <w:t>。</w:t>
      </w:r>
    </w:p>
    <w:p w14:paraId="3CE12BCE">
      <w:pPr>
        <w:autoSpaceDE w:val="0"/>
        <w:autoSpaceDN w:val="0"/>
        <w:adjustRightInd w:val="0"/>
        <w:spacing w:line="400" w:lineRule="exact"/>
        <w:ind w:firstLine="420" w:firstLineChars="200"/>
        <w:jc w:val="left"/>
        <w:rPr>
          <w:rFonts w:hint="eastAsia" w:ascii="宋体" w:hAnsi="宋体" w:cs="FZSSK--GBK1-00+ZBNFQH-5"/>
          <w:color w:val="000000" w:themeColor="text1"/>
          <w14:textFill>
            <w14:solidFill>
              <w14:schemeClr w14:val="tx1"/>
            </w14:solidFill>
          </w14:textFill>
        </w:rPr>
      </w:pP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一种错误观点认</w:t>
      </w:r>
      <w:r>
        <w:rPr>
          <w:rFonts w:hint="eastAsia" w:ascii="宋体" w:hAnsi="宋体" w:cs="SSJ4+ZBNFQG-1"/>
          <w:color w:val="000000" w:themeColor="text1"/>
          <w14:textFill>
            <w14:solidFill>
              <w14:schemeClr w14:val="tx1"/>
            </w14:solidFill>
          </w14:textFill>
        </w:rPr>
        <w:t>为，国</w:t>
      </w:r>
      <w:r>
        <w:rPr>
          <w:rFonts w:hint="eastAsia" w:ascii="宋体" w:hAnsi="宋体" w:cs="FZSSK--GBK1-00+ZBNFQJ-12"/>
          <w:color w:val="000000" w:themeColor="text1"/>
          <w14:textFill>
            <w14:solidFill>
              <w14:schemeClr w14:val="tx1"/>
            </w14:solidFill>
          </w14:textFill>
        </w:rPr>
        <w:t>企</w:t>
      </w:r>
      <w:r>
        <w:rPr>
          <w:rFonts w:hint="eastAsia" w:ascii="宋体" w:hAnsi="宋体" w:cs="FZSSK--GBK1-00+ZBNFQH-5"/>
          <w:color w:val="000000" w:themeColor="text1"/>
          <w14:textFill>
            <w14:solidFill>
              <w14:schemeClr w14:val="tx1"/>
            </w14:solidFill>
          </w14:textFill>
        </w:rPr>
        <w:t>不</w:t>
      </w:r>
      <w:r>
        <w:rPr>
          <w:rFonts w:hint="eastAsia" w:ascii="宋体" w:hAnsi="宋体" w:cs="SSJ4+ZBNFQG-1"/>
          <w:color w:val="000000" w:themeColor="text1"/>
          <w14:textFill>
            <w14:solidFill>
              <w14:schemeClr w14:val="tx1"/>
            </w14:solidFill>
          </w14:textFill>
        </w:rPr>
        <w:t>要</w:t>
      </w:r>
      <w:r>
        <w:rPr>
          <w:rFonts w:hint="eastAsia" w:ascii="宋体" w:hAnsi="宋体" w:cs="FZSSK--GBK1-00+ZBNFQH-7"/>
          <w:color w:val="000000" w:themeColor="text1"/>
          <w14:textFill>
            <w14:solidFill>
              <w14:schemeClr w14:val="tx1"/>
            </w14:solidFill>
          </w14:textFill>
        </w:rPr>
        <w:t>与</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J-12"/>
          <w:color w:val="000000" w:themeColor="text1"/>
          <w14:textFill>
            <w14:solidFill>
              <w14:schemeClr w14:val="tx1"/>
            </w14:solidFill>
          </w14:textFill>
        </w:rPr>
        <w:t>企</w:t>
      </w:r>
      <w:r>
        <w:rPr>
          <w:rFonts w:hint="eastAsia" w:ascii="宋体" w:hAnsi="宋体" w:cs="SSJ4+ZBNFQG-1"/>
          <w:color w:val="000000" w:themeColor="text1"/>
          <w14:textFill>
            <w14:solidFill>
              <w14:schemeClr w14:val="tx1"/>
            </w14:solidFill>
          </w14:textFill>
        </w:rPr>
        <w:t>竞争，国有</w:t>
      </w:r>
      <w:r>
        <w:rPr>
          <w:rFonts w:hint="eastAsia" w:ascii="宋体" w:hAnsi="宋体" w:cs="FZSSK--GBK1-00+ZBNFQJ-12"/>
          <w:color w:val="000000" w:themeColor="text1"/>
          <w14:textFill>
            <w14:solidFill>
              <w14:schemeClr w14:val="tx1"/>
            </w14:solidFill>
          </w14:textFill>
        </w:rPr>
        <w:t>企业只</w:t>
      </w:r>
      <w:r>
        <w:rPr>
          <w:rFonts w:hint="eastAsia" w:ascii="宋体" w:hAnsi="宋体" w:cs="SSJ4+ZBNFQG-1"/>
          <w:color w:val="000000" w:themeColor="text1"/>
          <w14:textFill>
            <w14:solidFill>
              <w14:schemeClr w14:val="tx1"/>
            </w14:solidFill>
          </w14:textFill>
        </w:rPr>
        <w:t>是</w:t>
      </w:r>
      <w:r>
        <w:rPr>
          <w:rFonts w:hint="eastAsia" w:ascii="宋体" w:hAnsi="宋体" w:cs="FZSSK--GBK1-00+ZBNFQT-26"/>
          <w:color w:val="000000" w:themeColor="text1"/>
          <w14:textFill>
            <w14:solidFill>
              <w14:schemeClr w14:val="tx1"/>
            </w14:solidFill>
          </w14:textFill>
        </w:rPr>
        <w:t>拾</w:t>
      </w:r>
      <w:r>
        <w:rPr>
          <w:rFonts w:hint="eastAsia" w:ascii="宋体" w:hAnsi="宋体" w:cs="FZSSK--GBK1-00+ZBNFQL-16"/>
          <w:color w:val="000000" w:themeColor="text1"/>
          <w14:textFill>
            <w14:solidFill>
              <w14:schemeClr w14:val="tx1"/>
            </w14:solidFill>
          </w14:textFill>
        </w:rPr>
        <w:t>遗</w:t>
      </w:r>
      <w:r>
        <w:rPr>
          <w:rFonts w:hint="eastAsia" w:ascii="宋体" w:hAnsi="宋体" w:cs="FZSSK--GBK1-00+ZBNFQM-17"/>
          <w:color w:val="000000" w:themeColor="text1"/>
          <w14:textFill>
            <w14:solidFill>
              <w14:schemeClr w14:val="tx1"/>
            </w14:solidFill>
          </w14:textFill>
        </w:rPr>
        <w:t>补</w:t>
      </w:r>
      <w:r>
        <w:rPr>
          <w:rFonts w:hint="eastAsia" w:ascii="宋体" w:hAnsi="宋体" w:cs="FZSSK--GBK1-00+ZBNFQL-16"/>
          <w:color w:val="000000" w:themeColor="text1"/>
          <w14:textFill>
            <w14:solidFill>
              <w14:schemeClr w14:val="tx1"/>
            </w14:solidFill>
          </w14:textFill>
        </w:rPr>
        <w:t>缺</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这就</w:t>
      </w:r>
      <w:r>
        <w:rPr>
          <w:rFonts w:hint="eastAsia" w:ascii="宋体" w:hAnsi="宋体" w:cs="SSJ4+ZBNFQG-1"/>
          <w:color w:val="000000" w:themeColor="text1"/>
          <w14:textFill>
            <w14:solidFill>
              <w14:schemeClr w14:val="tx1"/>
            </w14:solidFill>
          </w14:textFill>
        </w:rPr>
        <w:t>是资</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阶</w:t>
      </w:r>
      <w:r>
        <w:rPr>
          <w:rFonts w:hint="eastAsia" w:ascii="宋体" w:hAnsi="宋体" w:cs="FZSSK--GBK1-00+ZBNFQH-7"/>
          <w:color w:val="000000" w:themeColor="text1"/>
          <w14:textFill>
            <w14:solidFill>
              <w14:schemeClr w14:val="tx1"/>
            </w14:solidFill>
          </w14:textFill>
        </w:rPr>
        <w:t>级</w:t>
      </w:r>
      <w:r>
        <w:rPr>
          <w:rFonts w:hint="eastAsia" w:ascii="宋体" w:hAnsi="宋体" w:cs="FZSSK--GBK1-00+ZBNFQK-14"/>
          <w:color w:val="000000" w:themeColor="text1"/>
          <w14:textFill>
            <w14:solidFill>
              <w14:schemeClr w14:val="tx1"/>
            </w14:solidFill>
          </w14:textFill>
        </w:rPr>
        <w:t>典</w:t>
      </w:r>
      <w:r>
        <w:rPr>
          <w:rFonts w:hint="eastAsia" w:ascii="宋体" w:hAnsi="宋体" w:cs="FZSSK--GBK1-00+ZBNFQJ-12"/>
          <w:color w:val="000000" w:themeColor="text1"/>
          <w14:textFill>
            <w14:solidFill>
              <w14:schemeClr w14:val="tx1"/>
            </w14:solidFill>
          </w14:textFill>
        </w:rPr>
        <w:t>型</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口</w:t>
      </w:r>
      <w:r>
        <w:rPr>
          <w:rFonts w:hint="eastAsia" w:ascii="宋体" w:hAnsi="宋体" w:cs="FZSSK--GBK1-00+ZBNFQK-14"/>
          <w:color w:val="000000" w:themeColor="text1"/>
          <w14:textFill>
            <w14:solidFill>
              <w14:schemeClr w14:val="tx1"/>
            </w14:solidFill>
          </w14:textFill>
        </w:rPr>
        <w:t>号</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这种观点</w:t>
      </w:r>
      <w:r>
        <w:rPr>
          <w:rFonts w:hint="eastAsia" w:ascii="宋体" w:hAnsi="宋体" w:cs="SSJ4+ZBNFQG-1"/>
          <w:color w:val="000000" w:themeColor="text1"/>
          <w14:textFill>
            <w14:solidFill>
              <w14:schemeClr w14:val="tx1"/>
            </w14:solidFill>
          </w14:textFill>
        </w:rPr>
        <w:t>所说的</w:t>
      </w:r>
      <w:r>
        <w:rPr>
          <w:rFonts w:hint="eastAsia" w:ascii="宋体" w:hAnsi="宋体" w:cs="FZSSK--GBK1-00+ZBNFQH-5"/>
          <w:color w:val="000000" w:themeColor="text1"/>
          <w14:textFill>
            <w14:solidFill>
              <w14:schemeClr w14:val="tx1"/>
            </w14:solidFill>
          </w14:textFill>
        </w:rPr>
        <w:t>那</w:t>
      </w:r>
      <w:r>
        <w:rPr>
          <w:rFonts w:hint="eastAsia" w:ascii="宋体" w:hAnsi="宋体" w:cs="SSJ4+ZBNFQG-1"/>
          <w:color w:val="000000" w:themeColor="text1"/>
          <w14:textFill>
            <w14:solidFill>
              <w14:schemeClr w14:val="tx1"/>
            </w14:solidFill>
          </w14:textFill>
        </w:rPr>
        <w:t>个</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H-5"/>
          <w:color w:val="000000" w:themeColor="text1"/>
          <w14:textFill>
            <w14:solidFill>
              <w14:schemeClr w14:val="tx1"/>
            </w14:solidFill>
          </w14:textFill>
        </w:rPr>
        <w:t>不</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，是</w:t>
      </w:r>
      <w:r>
        <w:rPr>
          <w:rFonts w:hint="eastAsia" w:ascii="宋体" w:hAnsi="宋体" w:cs="FZSSK--GBK1-00+ZBNFQM-17"/>
          <w:color w:val="000000" w:themeColor="text1"/>
          <w14:textFill>
            <w14:solidFill>
              <w14:schemeClr w14:val="tx1"/>
            </w14:solidFill>
          </w14:textFill>
        </w:rPr>
        <w:t>私</w:t>
      </w:r>
      <w:r>
        <w:rPr>
          <w:rFonts w:hint="eastAsia" w:ascii="宋体" w:hAnsi="宋体" w:cs="FZSSK--GBK1-00+ZBNFQK-15"/>
          <w:color w:val="000000" w:themeColor="text1"/>
          <w14:textFill>
            <w14:solidFill>
              <w14:schemeClr w14:val="tx1"/>
            </w14:solidFill>
          </w14:textFill>
        </w:rPr>
        <w:t>营</w:t>
      </w:r>
      <w:r>
        <w:rPr>
          <w:rFonts w:hint="eastAsia" w:ascii="宋体" w:hAnsi="宋体" w:cs="FZSSK--GBK1-00+ZBNFQJ-12"/>
          <w:color w:val="000000" w:themeColor="text1"/>
          <w14:textFill>
            <w14:solidFill>
              <w14:schemeClr w14:val="tx1"/>
            </w14:solidFill>
          </w14:textFill>
        </w:rPr>
        <w:t>业</w:t>
      </w:r>
      <w:r>
        <w:rPr>
          <w:rFonts w:hint="eastAsia" w:ascii="宋体" w:hAnsi="宋体" w:cs="SSJ4+ZBNFQG-1"/>
          <w:color w:val="000000" w:themeColor="text1"/>
          <w14:textFill>
            <w14:solidFill>
              <w14:schemeClr w14:val="tx1"/>
            </w14:solidFill>
          </w14:textFill>
        </w:rPr>
        <w:t>主和资本</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w:t>
      </w:r>
      <w:r>
        <w:rPr>
          <w:rFonts w:hint="eastAsia" w:ascii="宋体" w:hAnsi="宋体" w:cs="FZSSK--GBK1-00+ZBNFQK-15"/>
          <w:color w:val="000000" w:themeColor="text1"/>
          <w14:textFill>
            <w14:solidFill>
              <w14:schemeClr w14:val="tx1"/>
            </w14:solidFill>
          </w14:textFill>
        </w:rPr>
        <w:t>尤</w:t>
      </w:r>
      <w:r>
        <w:rPr>
          <w:rFonts w:hint="eastAsia" w:ascii="宋体" w:hAnsi="宋体" w:cs="FZSSK--GBK1-00+ZBNFQH-7"/>
          <w:color w:val="000000" w:themeColor="text1"/>
          <w14:textFill>
            <w14:solidFill>
              <w14:schemeClr w14:val="tx1"/>
            </w14:solidFill>
          </w14:textFill>
        </w:rPr>
        <w:t>其</w:t>
      </w:r>
      <w:r>
        <w:rPr>
          <w:rFonts w:hint="eastAsia" w:ascii="宋体" w:hAnsi="宋体" w:cs="SSJ4+ZBNFQG-1"/>
          <w:color w:val="000000" w:themeColor="text1"/>
          <w14:textFill>
            <w14:solidFill>
              <w14:schemeClr w14:val="tx1"/>
            </w14:solidFill>
          </w14:textFill>
        </w:rPr>
        <w:t>是大的</w:t>
      </w:r>
      <w:r>
        <w:rPr>
          <w:rFonts w:hint="eastAsia" w:ascii="宋体" w:hAnsi="宋体" w:cs="FZSSK--GBK1-00+ZBNFQH-5"/>
          <w:color w:val="000000" w:themeColor="text1"/>
          <w14:textFill>
            <w14:solidFill>
              <w14:schemeClr w14:val="tx1"/>
            </w14:solidFill>
          </w14:textFill>
        </w:rPr>
        <w:t>垄断</w:t>
      </w:r>
      <w:r>
        <w:rPr>
          <w:rFonts w:hint="eastAsia" w:ascii="宋体" w:hAnsi="宋体" w:cs="SSJ4+ZBNFQG-1"/>
          <w:color w:val="000000" w:themeColor="text1"/>
          <w14:textFill>
            <w14:solidFill>
              <w14:schemeClr w14:val="tx1"/>
            </w14:solidFill>
          </w14:textFill>
        </w:rPr>
        <w:t>资本</w:t>
      </w:r>
      <w:r>
        <w:rPr>
          <w:rFonts w:hint="eastAsia" w:ascii="宋体" w:hAnsi="宋体" w:cs="FZSSK--GBK1-00+ZBNFQH-8"/>
          <w:color w:val="000000" w:themeColor="text1"/>
          <w14:textFill>
            <w14:solidFill>
              <w14:schemeClr w14:val="tx1"/>
            </w14:solidFill>
          </w14:textFill>
        </w:rPr>
        <w:t>家</w:t>
      </w:r>
      <w:r>
        <w:rPr>
          <w:rFonts w:hint="eastAsia" w:ascii="宋体" w:hAnsi="宋体" w:cs="SSJ0+ZBNFQG-4"/>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西方</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阶</w:t>
      </w:r>
      <w:r>
        <w:rPr>
          <w:rFonts w:hint="eastAsia" w:ascii="宋体" w:hAnsi="宋体" w:cs="FZSSK--GBK1-00+ZBNFQH-7"/>
          <w:color w:val="000000" w:themeColor="text1"/>
          <w14:textFill>
            <w14:solidFill>
              <w14:schemeClr w14:val="tx1"/>
            </w14:solidFill>
          </w14:textFill>
        </w:rPr>
        <w:t>级</w:t>
      </w:r>
      <w:r>
        <w:rPr>
          <w:rFonts w:hint="eastAsia" w:ascii="宋体" w:hAnsi="宋体" w:cs="FZSSK--GBK1-00+ZBNFQT-26"/>
          <w:color w:val="000000" w:themeColor="text1"/>
          <w14:textFill>
            <w14:solidFill>
              <w14:schemeClr w14:val="tx1"/>
            </w14:solidFill>
          </w14:textFill>
        </w:rPr>
        <w:t>执</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10"/>
          <w:color w:val="000000" w:themeColor="text1"/>
          <w14:textFill>
            <w14:solidFill>
              <w14:schemeClr w14:val="tx1"/>
            </w14:solidFill>
          </w14:textFill>
        </w:rPr>
        <w:t>党</w:t>
      </w:r>
      <w:r>
        <w:rPr>
          <w:rFonts w:hint="eastAsia" w:ascii="宋体" w:hAnsi="宋体" w:cs="SSJ4+ZBNFQG-1"/>
          <w:color w:val="000000" w:themeColor="text1"/>
          <w14:textFill>
            <w14:solidFill>
              <w14:schemeClr w14:val="tx1"/>
            </w14:solidFill>
          </w14:textFill>
        </w:rPr>
        <w:t>以</w:t>
      </w:r>
      <w:r>
        <w:rPr>
          <w:rFonts w:hint="eastAsia" w:ascii="宋体" w:hAnsi="宋体" w:cs="FZSSK--GBK1-00+ZBNFQI-9"/>
          <w:color w:val="000000" w:themeColor="text1"/>
          <w14:textFill>
            <w14:solidFill>
              <w14:schemeClr w14:val="tx1"/>
            </w14:solidFill>
          </w14:textFill>
        </w:rPr>
        <w:t>及</w:t>
      </w:r>
      <w:r>
        <w:rPr>
          <w:rFonts w:hint="eastAsia" w:ascii="宋体" w:hAnsi="宋体" w:cs="FZSSK--GBK1-00+ZBNFQJ-13"/>
          <w:color w:val="000000" w:themeColor="text1"/>
          <w14:textFill>
            <w14:solidFill>
              <w14:schemeClr w14:val="tx1"/>
            </w14:solidFill>
          </w14:textFill>
        </w:rPr>
        <w:t>他</w:t>
      </w:r>
      <w:r>
        <w:rPr>
          <w:rFonts w:hint="eastAsia" w:ascii="宋体" w:hAnsi="宋体" w:cs="FZSSK--GBK1-00+ZBNFQH-5"/>
          <w:color w:val="000000" w:themeColor="text1"/>
          <w14:textFill>
            <w14:solidFill>
              <w14:schemeClr w14:val="tx1"/>
            </w14:solidFill>
          </w14:textFill>
        </w:rPr>
        <w:t>们</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H-5"/>
          <w:color w:val="000000" w:themeColor="text1"/>
          <w14:textFill>
            <w14:solidFill>
              <w14:schemeClr w14:val="tx1"/>
            </w14:solidFill>
          </w14:textFill>
        </w:rPr>
        <w:t>论</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H-5"/>
          <w:color w:val="000000" w:themeColor="text1"/>
          <w14:textFill>
            <w14:solidFill>
              <w14:schemeClr w14:val="tx1"/>
            </w14:solidFill>
          </w14:textFill>
        </w:rPr>
        <w:t>就</w:t>
      </w:r>
      <w:r>
        <w:rPr>
          <w:rFonts w:hint="eastAsia" w:ascii="宋体" w:hAnsi="宋体" w:cs="FZSSK--GBK1-00+ZBNFQI-10"/>
          <w:color w:val="000000" w:themeColor="text1"/>
          <w14:textFill>
            <w14:solidFill>
              <w14:schemeClr w14:val="tx1"/>
            </w14:solidFill>
          </w14:textFill>
        </w:rPr>
        <w:t>持</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样</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观点</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些</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是</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为主</w:t>
      </w:r>
      <w:r>
        <w:rPr>
          <w:rFonts w:hint="eastAsia" w:ascii="宋体" w:hAnsi="宋体" w:cs="FZSSK--GBK1-00+ZBNFQH-7"/>
          <w:color w:val="000000" w:themeColor="text1"/>
          <w14:textFill>
            <w14:solidFill>
              <w14:schemeClr w14:val="tx1"/>
            </w14:solidFill>
          </w14:textFill>
        </w:rPr>
        <w:t>体</w:t>
      </w:r>
      <w:r>
        <w:rPr>
          <w:rFonts w:hint="eastAsia" w:ascii="宋体" w:hAnsi="宋体" w:cs="SSJ4+ZBNFQG-1"/>
          <w:color w:val="000000" w:themeColor="text1"/>
          <w14:textFill>
            <w14:solidFill>
              <w14:schemeClr w14:val="tx1"/>
            </w14:solidFill>
          </w14:textFill>
        </w:rPr>
        <w:t>，国有经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是为</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J-12"/>
          <w:color w:val="000000" w:themeColor="text1"/>
          <w14:textFill>
            <w14:solidFill>
              <w14:schemeClr w14:val="tx1"/>
            </w14:solidFill>
          </w14:textFill>
        </w:rPr>
        <w:t>服</w:t>
      </w:r>
      <w:r>
        <w:rPr>
          <w:rFonts w:hint="eastAsia" w:ascii="宋体" w:hAnsi="宋体" w:cs="FZSSK--GBK1-00+ZBNFQI-9"/>
          <w:color w:val="000000" w:themeColor="text1"/>
          <w14:textFill>
            <w14:solidFill>
              <w14:schemeClr w14:val="tx1"/>
            </w14:solidFill>
          </w14:textFill>
        </w:rPr>
        <w:t>务</w:t>
      </w:r>
      <w:r>
        <w:rPr>
          <w:rFonts w:hint="eastAsia" w:ascii="宋体" w:hAnsi="宋体" w:cs="SSJ4+ZBNFQG-1"/>
          <w:color w:val="000000" w:themeColor="text1"/>
          <w14:textFill>
            <w14:solidFill>
              <w14:schemeClr w14:val="tx1"/>
            </w14:solidFill>
          </w14:textFill>
        </w:rPr>
        <w:t>的</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平时如果</w:t>
      </w:r>
      <w:r>
        <w:rPr>
          <w:rFonts w:hint="eastAsia" w:ascii="宋体" w:hAnsi="宋体" w:cs="FZSSK--GBK1-00+ZBNFQN-20"/>
          <w:color w:val="000000" w:themeColor="text1"/>
          <w14:textFill>
            <w14:solidFill>
              <w14:schemeClr w14:val="tx1"/>
            </w14:solidFill>
          </w14:textFill>
        </w:rPr>
        <w:t>某</w:t>
      </w:r>
      <w:r>
        <w:rPr>
          <w:rFonts w:hint="eastAsia" w:ascii="宋体" w:hAnsi="宋体" w:cs="SSJ4+ZBNFQG-1"/>
          <w:color w:val="000000" w:themeColor="text1"/>
          <w14:textFill>
            <w14:solidFill>
              <w14:schemeClr w14:val="tx1"/>
            </w14:solidFill>
          </w14:textFill>
        </w:rPr>
        <w:t>个</w:t>
      </w:r>
      <w:r>
        <w:rPr>
          <w:rFonts w:hint="eastAsia" w:ascii="宋体" w:hAnsi="宋体" w:cs="FZSSK--GBK1-00+ZBNFQI-10"/>
          <w:color w:val="000000" w:themeColor="text1"/>
          <w14:textFill>
            <w14:solidFill>
              <w14:schemeClr w14:val="tx1"/>
            </w14:solidFill>
          </w14:textFill>
        </w:rPr>
        <w:t>行</w:t>
      </w:r>
      <w:r>
        <w:rPr>
          <w:rFonts w:hint="eastAsia" w:ascii="宋体" w:hAnsi="宋体" w:cs="FZSSK--GBK1-00+ZBNFQJ-12"/>
          <w:color w:val="000000" w:themeColor="text1"/>
          <w14:textFill>
            <w14:solidFill>
              <w14:schemeClr w14:val="tx1"/>
            </w14:solidFill>
          </w14:textFill>
        </w:rPr>
        <w:t>业</w:t>
      </w:r>
      <w:r>
        <w:rPr>
          <w:rFonts w:hint="eastAsia" w:ascii="宋体" w:hAnsi="宋体" w:cs="SSJ4+ZBNFQG-1"/>
          <w:color w:val="000000" w:themeColor="text1"/>
          <w14:textFill>
            <w14:solidFill>
              <w14:schemeClr w14:val="tx1"/>
            </w14:solidFill>
          </w14:textFill>
        </w:rPr>
        <w:t>是</w:t>
      </w:r>
      <w:r>
        <w:rPr>
          <w:rFonts w:hint="eastAsia" w:ascii="宋体" w:hAnsi="宋体" w:cs="FZSSK--GBK1-00+ZBNFQM-17"/>
          <w:color w:val="000000" w:themeColor="text1"/>
          <w14:textFill>
            <w14:solidFill>
              <w14:schemeClr w14:val="tx1"/>
            </w14:solidFill>
          </w14:textFill>
        </w:rPr>
        <w:t>亏</w:t>
      </w:r>
      <w:r>
        <w:rPr>
          <w:rFonts w:hint="eastAsia" w:ascii="宋体" w:hAnsi="宋体" w:cs="FZSSK--GBK1-00+ZBNFQL-16"/>
          <w:color w:val="000000" w:themeColor="text1"/>
          <w14:textFill>
            <w14:solidFill>
              <w14:schemeClr w14:val="tx1"/>
            </w14:solidFill>
          </w14:textFill>
        </w:rPr>
        <w:t>损</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或</w:t>
      </w:r>
      <w:r>
        <w:rPr>
          <w:rFonts w:hint="eastAsia" w:ascii="宋体" w:hAnsi="宋体" w:cs="FZSSK--GBK1-00+ZBNFQI-10"/>
          <w:color w:val="000000" w:themeColor="text1"/>
          <w14:textFill>
            <w14:solidFill>
              <w14:schemeClr w14:val="tx1"/>
            </w14:solidFill>
          </w14:textFill>
        </w:rPr>
        <w:t>者</w:t>
      </w:r>
      <w:r>
        <w:rPr>
          <w:rFonts w:hint="eastAsia" w:ascii="宋体" w:hAnsi="宋体" w:cs="FZSSK--GBK1-00+ZBNFQK-14"/>
          <w:color w:val="000000" w:themeColor="text1"/>
          <w14:textFill>
            <w14:solidFill>
              <w14:schemeClr w14:val="tx1"/>
            </w14:solidFill>
          </w14:textFill>
        </w:rPr>
        <w:t>投</w:t>
      </w:r>
      <w:r>
        <w:rPr>
          <w:rFonts w:hint="eastAsia" w:ascii="宋体" w:hAnsi="宋体" w:cs="SSJ4+ZBNFQG-1"/>
          <w:color w:val="000000" w:themeColor="text1"/>
          <w14:textFill>
            <w14:solidFill>
              <w14:schemeClr w14:val="tx1"/>
            </w14:solidFill>
          </w14:textFill>
        </w:rPr>
        <w:t>资</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K-15"/>
          <w:color w:val="000000" w:themeColor="text1"/>
          <w14:textFill>
            <w14:solidFill>
              <w14:schemeClr w14:val="tx1"/>
            </w14:solidFill>
          </w14:textFill>
        </w:rPr>
        <w:t>益</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H-5"/>
          <w:color w:val="000000" w:themeColor="text1"/>
          <w14:textFill>
            <w14:solidFill>
              <w14:schemeClr w14:val="tx1"/>
            </w14:solidFill>
          </w14:textFill>
        </w:rPr>
        <w:t>较</w:t>
      </w:r>
      <w:r>
        <w:rPr>
          <w:rFonts w:hint="eastAsia" w:ascii="宋体" w:hAnsi="宋体" w:cs="FZSSK--GBK1-00+ZBNFQI-9"/>
          <w:color w:val="000000" w:themeColor="text1"/>
          <w14:textFill>
            <w14:solidFill>
              <w14:schemeClr w14:val="tx1"/>
            </w14:solidFill>
          </w14:textFill>
        </w:rPr>
        <w:t>低</w:t>
      </w:r>
      <w:r>
        <w:rPr>
          <w:rFonts w:hint="eastAsia" w:ascii="宋体" w:hAnsi="宋体" w:cs="SSJ4+ZBNFQG-1"/>
          <w:color w:val="000000" w:themeColor="text1"/>
          <w14:textFill>
            <w14:solidFill>
              <w14:schemeClr w14:val="tx1"/>
            </w14:solidFill>
          </w14:textFill>
        </w:rPr>
        <w:t>，</w:t>
      </w:r>
      <w:r>
        <w:rPr>
          <w:rFonts w:hint="eastAsia" w:ascii="宋体" w:hAnsi="宋体" w:cs="FZSSK--GBK1-00+ZBNFQM-17"/>
          <w:color w:val="000000" w:themeColor="text1"/>
          <w14:textFill>
            <w14:solidFill>
              <w14:schemeClr w14:val="tx1"/>
            </w14:solidFill>
          </w14:textFill>
        </w:rPr>
        <w:t>私</w:t>
      </w:r>
      <w:r>
        <w:rPr>
          <w:rFonts w:hint="eastAsia" w:ascii="宋体" w:hAnsi="宋体" w:cs="FZSSK--GBK1-00+ZBNFQH-5"/>
          <w:color w:val="000000" w:themeColor="text1"/>
          <w14:textFill>
            <w14:solidFill>
              <w14:schemeClr w14:val="tx1"/>
            </w14:solidFill>
          </w14:textFill>
        </w:rPr>
        <w:t>人不</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J-13"/>
          <w:color w:val="000000" w:themeColor="text1"/>
          <w14:textFill>
            <w14:solidFill>
              <w14:schemeClr w14:val="tx1"/>
            </w14:solidFill>
          </w14:textFill>
        </w:rPr>
        <w:t>干</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就</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H-5"/>
          <w:color w:val="000000" w:themeColor="text1"/>
          <w14:textFill>
            <w14:solidFill>
              <w14:schemeClr w14:val="tx1"/>
            </w14:solidFill>
          </w14:textFill>
        </w:rPr>
        <w:t>去</w:t>
      </w:r>
      <w:r>
        <w:rPr>
          <w:rFonts w:hint="eastAsia" w:ascii="宋体" w:hAnsi="宋体" w:cs="FZSSK--GBK1-00+ZBNFQJ-13"/>
          <w:color w:val="000000" w:themeColor="text1"/>
          <w14:textFill>
            <w14:solidFill>
              <w14:schemeClr w14:val="tx1"/>
            </w14:solidFill>
          </w14:textFill>
        </w:rPr>
        <w:t>干</w:t>
      </w:r>
      <w:r>
        <w:rPr>
          <w:rFonts w:hint="eastAsia" w:ascii="宋体" w:hAnsi="宋体" w:cs="SSJ0+ZBNFQG-4"/>
          <w:color w:val="000000" w:themeColor="text1"/>
          <w14:textFill>
            <w14:solidFill>
              <w14:schemeClr w14:val="tx1"/>
            </w14:solidFill>
          </w14:textFill>
        </w:rPr>
        <w:t>。</w:t>
      </w:r>
      <w:r>
        <w:rPr>
          <w:rFonts w:hint="eastAsia" w:ascii="宋体" w:hAnsi="宋体" w:cs="FZSSK--GBK1-00+ZBNFQJ-13"/>
          <w:color w:val="000000" w:themeColor="text1"/>
          <w14:textFill>
            <w14:solidFill>
              <w14:schemeClr w14:val="tx1"/>
            </w14:solidFill>
          </w14:textFill>
        </w:rPr>
        <w:t>干</w:t>
      </w:r>
      <w:r>
        <w:rPr>
          <w:rFonts w:hint="eastAsia" w:ascii="宋体" w:hAnsi="宋体" w:cs="SSJ4+ZBNFQG-1"/>
          <w:color w:val="000000" w:themeColor="text1"/>
          <w14:textFill>
            <w14:solidFill>
              <w14:schemeClr w14:val="tx1"/>
            </w14:solidFill>
          </w14:textFill>
        </w:rPr>
        <w:t>了</w:t>
      </w:r>
      <w:r>
        <w:rPr>
          <w:rFonts w:hint="eastAsia" w:ascii="宋体" w:hAnsi="宋体" w:cs="FZSSK--GBK1-00+ZBNFQT-26"/>
          <w:color w:val="000000" w:themeColor="text1"/>
          <w14:textFill>
            <w14:solidFill>
              <w14:schemeClr w14:val="tx1"/>
            </w14:solidFill>
          </w14:textFill>
        </w:rPr>
        <w:t>盈</w:t>
      </w:r>
      <w:r>
        <w:rPr>
          <w:rFonts w:hint="eastAsia" w:ascii="宋体" w:hAnsi="宋体" w:cs="FZSSK--GBK1-00+ZBNFQH-8"/>
          <w:color w:val="000000" w:themeColor="text1"/>
          <w14:textFill>
            <w14:solidFill>
              <w14:schemeClr w14:val="tx1"/>
            </w14:solidFill>
          </w14:textFill>
        </w:rPr>
        <w:t>利</w:t>
      </w:r>
      <w:r>
        <w:rPr>
          <w:rFonts w:hint="eastAsia" w:ascii="宋体" w:hAnsi="宋体" w:cs="SSJ4+ZBNFQG-1"/>
          <w:color w:val="000000" w:themeColor="text1"/>
          <w14:textFill>
            <w14:solidFill>
              <w14:schemeClr w14:val="tx1"/>
            </w14:solidFill>
          </w14:textFill>
        </w:rPr>
        <w:t>了，</w:t>
      </w:r>
      <w:r>
        <w:rPr>
          <w:rFonts w:hint="eastAsia" w:ascii="宋体" w:hAnsi="宋体" w:cs="FZSSK--GBK1-00+ZBNFQH-8"/>
          <w:color w:val="000000" w:themeColor="text1"/>
          <w14:textFill>
            <w14:solidFill>
              <w14:schemeClr w14:val="tx1"/>
            </w14:solidFill>
          </w14:textFill>
        </w:rPr>
        <w:t>再</w:t>
      </w:r>
      <w:r>
        <w:rPr>
          <w:rFonts w:hint="eastAsia" w:ascii="宋体" w:hAnsi="宋体" w:cs="FZSSK--GBK1-00+ZBNFQK-15"/>
          <w:color w:val="000000" w:themeColor="text1"/>
          <w14:textFill>
            <w14:solidFill>
              <w14:schemeClr w14:val="tx1"/>
            </w14:solidFill>
          </w14:textFill>
        </w:rPr>
        <w:t>卖</w:t>
      </w:r>
      <w:r>
        <w:rPr>
          <w:rFonts w:hint="eastAsia" w:ascii="宋体" w:hAnsi="宋体" w:cs="FZSSK--GBK1-00+ZBNFQJ-12"/>
          <w:color w:val="000000" w:themeColor="text1"/>
          <w14:textFill>
            <w14:solidFill>
              <w14:schemeClr w14:val="tx1"/>
            </w14:solidFill>
          </w14:textFill>
        </w:rPr>
        <w:t>给</w:t>
      </w:r>
      <w:r>
        <w:rPr>
          <w:rFonts w:hint="eastAsia" w:ascii="宋体" w:hAnsi="宋体" w:cs="FZSSK--GBK1-00+ZBNFQM-17"/>
          <w:color w:val="000000" w:themeColor="text1"/>
          <w14:textFill>
            <w14:solidFill>
              <w14:schemeClr w14:val="tx1"/>
            </w14:solidFill>
          </w14:textFill>
        </w:rPr>
        <w:t>私</w:t>
      </w:r>
      <w:r>
        <w:rPr>
          <w:rFonts w:hint="eastAsia" w:ascii="宋体" w:hAnsi="宋体" w:cs="FZSSK--GBK1-00+ZBNFQH-5"/>
          <w:color w:val="000000" w:themeColor="text1"/>
          <w14:textFill>
            <w14:solidFill>
              <w14:schemeClr w14:val="tx1"/>
            </w14:solidFill>
          </w14:textFill>
        </w:rPr>
        <w:t>人</w:t>
      </w:r>
      <w:r>
        <w:rPr>
          <w:rFonts w:hint="eastAsia" w:ascii="宋体" w:hAnsi="宋体" w:cs="SSJ0+ZBNFQG-4"/>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什么</w:t>
      </w:r>
      <w:r>
        <w:rPr>
          <w:rFonts w:hint="eastAsia" w:ascii="宋体" w:hAnsi="宋体" w:cs="FZSSK--GBK1-00+ZBNFQH-8"/>
          <w:color w:val="000000" w:themeColor="text1"/>
          <w14:textFill>
            <w14:solidFill>
              <w14:schemeClr w14:val="tx1"/>
            </w14:solidFill>
          </w14:textFill>
        </w:rPr>
        <w:t>叫</w:t>
      </w:r>
      <w:r>
        <w:rPr>
          <w:rFonts w:hint="eastAsia" w:ascii="宋体" w:hAnsi="宋体" w:cs="SSJ4+ZBNFQG-1"/>
          <w:color w:val="000000" w:themeColor="text1"/>
          <w14:textFill>
            <w14:solidFill>
              <w14:schemeClr w14:val="tx1"/>
            </w14:solidFill>
          </w14:textFill>
        </w:rPr>
        <w:t>资</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阶</w:t>
      </w:r>
      <w:r>
        <w:rPr>
          <w:rFonts w:hint="eastAsia" w:ascii="宋体" w:hAnsi="宋体" w:cs="FZSSK--GBK1-00+ZBNFQH-7"/>
          <w:color w:val="000000" w:themeColor="text1"/>
          <w14:textFill>
            <w14:solidFill>
              <w14:schemeClr w14:val="tx1"/>
            </w14:solidFill>
          </w14:textFill>
        </w:rPr>
        <w:t>级政</w:t>
      </w:r>
      <w:r>
        <w:rPr>
          <w:rFonts w:hint="eastAsia" w:ascii="宋体" w:hAnsi="宋体" w:cs="FZSSK--GBK1-00+ZBNFQI-9"/>
          <w:color w:val="000000" w:themeColor="text1"/>
          <w14:textFill>
            <w14:solidFill>
              <w14:schemeClr w14:val="tx1"/>
            </w14:solidFill>
          </w14:textFill>
        </w:rPr>
        <w:t>府</w:t>
      </w:r>
      <w:r>
        <w:rPr>
          <w:rFonts w:hint="eastAsia" w:ascii="宋体" w:hAnsi="宋体" w:cs="FZSSK--GBK1-00+ZBNFQH-5"/>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什么</w:t>
      </w:r>
      <w:r>
        <w:rPr>
          <w:rFonts w:hint="eastAsia" w:ascii="宋体" w:hAnsi="宋体" w:cs="FZSSK--GBK1-00+ZBNFQH-8"/>
          <w:color w:val="000000" w:themeColor="text1"/>
          <w14:textFill>
            <w14:solidFill>
              <w14:schemeClr w14:val="tx1"/>
            </w14:solidFill>
          </w14:textFill>
        </w:rPr>
        <w:t>叫</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府</w:t>
      </w:r>
      <w:r>
        <w:rPr>
          <w:rFonts w:hint="eastAsia" w:ascii="宋体" w:hAnsi="宋体" w:cs="FZSSK--GBK1-00+ZBNFQH-5"/>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在国</w:t>
      </w:r>
      <w:r>
        <w:rPr>
          <w:rFonts w:hint="eastAsia" w:ascii="宋体" w:hAnsi="宋体" w:cs="FZSSK--GBK1-00+ZBNFQJ-12"/>
          <w:color w:val="000000" w:themeColor="text1"/>
          <w14:textFill>
            <w14:solidFill>
              <w14:schemeClr w14:val="tx1"/>
            </w14:solidFill>
          </w14:textFill>
        </w:rPr>
        <w:t>企</w:t>
      </w:r>
      <w:r>
        <w:rPr>
          <w:rFonts w:hint="eastAsia" w:ascii="宋体" w:hAnsi="宋体" w:cs="FZSSK--GBK1-00+ZBNFQH-5"/>
          <w:color w:val="000000" w:themeColor="text1"/>
          <w14:textFill>
            <w14:solidFill>
              <w14:schemeClr w14:val="tx1"/>
            </w14:solidFill>
          </w14:textFill>
        </w:rPr>
        <w:t>问题</w:t>
      </w:r>
      <w:r>
        <w:rPr>
          <w:rFonts w:hint="eastAsia" w:ascii="宋体" w:hAnsi="宋体" w:cs="FZSSK--GBK1-00+ZBNFQH-7"/>
          <w:color w:val="000000" w:themeColor="text1"/>
          <w14:textFill>
            <w14:solidFill>
              <w14:schemeClr w14:val="tx1"/>
            </w14:solidFill>
          </w14:textFill>
        </w:rPr>
        <w:t>上</w:t>
      </w:r>
      <w:r>
        <w:rPr>
          <w:rFonts w:hint="eastAsia" w:ascii="宋体" w:hAnsi="宋体" w:cs="FZSSK--GBK1-00+ZBNFQH-5"/>
          <w:color w:val="000000" w:themeColor="text1"/>
          <w14:textFill>
            <w14:solidFill>
              <w14:schemeClr w14:val="tx1"/>
            </w14:solidFill>
          </w14:textFill>
        </w:rPr>
        <w:t>就</w:t>
      </w:r>
      <w:r>
        <w:rPr>
          <w:rFonts w:hint="eastAsia" w:ascii="宋体" w:hAnsi="宋体" w:cs="SSJ4+ZBNFQG-1"/>
          <w:color w:val="000000" w:themeColor="text1"/>
          <w14:textFill>
            <w14:solidFill>
              <w14:schemeClr w14:val="tx1"/>
            </w14:solidFill>
          </w14:textFill>
        </w:rPr>
        <w:t>是</w:t>
      </w:r>
      <w:r>
        <w:rPr>
          <w:rFonts w:hint="eastAsia" w:ascii="宋体" w:hAnsi="宋体" w:cs="FZSSK--GBK1-00+ZBNFQH-7"/>
          <w:color w:val="000000" w:themeColor="text1"/>
          <w14:textFill>
            <w14:solidFill>
              <w14:schemeClr w14:val="tx1"/>
            </w14:solidFill>
          </w14:textFill>
        </w:rPr>
        <w:t>最</w:t>
      </w:r>
      <w:r>
        <w:rPr>
          <w:rFonts w:hint="eastAsia" w:ascii="宋体" w:hAnsi="宋体" w:cs="FZSSK--GBK1-00+ZBNFQK-14"/>
          <w:color w:val="000000" w:themeColor="text1"/>
          <w14:textFill>
            <w14:solidFill>
              <w14:schemeClr w14:val="tx1"/>
            </w14:solidFill>
          </w14:textFill>
        </w:rPr>
        <w:t>典</w:t>
      </w:r>
      <w:r>
        <w:rPr>
          <w:rFonts w:hint="eastAsia" w:ascii="宋体" w:hAnsi="宋体" w:cs="FZSSK--GBK1-00+ZBNFQJ-12"/>
          <w:color w:val="000000" w:themeColor="text1"/>
          <w14:textFill>
            <w14:solidFill>
              <w14:schemeClr w14:val="tx1"/>
            </w14:solidFill>
          </w14:textFill>
        </w:rPr>
        <w:t>型</w:t>
      </w:r>
      <w:r>
        <w:rPr>
          <w:rFonts w:hint="eastAsia" w:ascii="宋体" w:hAnsi="宋体" w:cs="SSJ4+ZBNFQG-1"/>
          <w:color w:val="000000" w:themeColor="text1"/>
          <w14:textFill>
            <w14:solidFill>
              <w14:schemeClr w14:val="tx1"/>
            </w14:solidFill>
          </w14:textFill>
        </w:rPr>
        <w:t>的</w:t>
      </w:r>
      <w:r>
        <w:rPr>
          <w:rFonts w:hint="eastAsia" w:ascii="宋体" w:hAnsi="宋体" w:cs="FZSSK--GBK1-00+ZBNFQI-10"/>
          <w:color w:val="000000" w:themeColor="text1"/>
          <w14:textFill>
            <w14:solidFill>
              <w14:schemeClr w14:val="tx1"/>
            </w14:solidFill>
          </w14:textFill>
        </w:rPr>
        <w:t>区</w:t>
      </w:r>
      <w:r>
        <w:rPr>
          <w:rFonts w:hint="eastAsia" w:ascii="宋体" w:hAnsi="宋体" w:cs="FZSSK--GBK1-00+ZBNFQH-5"/>
          <w:color w:val="000000" w:themeColor="text1"/>
          <w14:textFill>
            <w14:solidFill>
              <w14:schemeClr w14:val="tx1"/>
            </w14:solidFill>
          </w14:textFill>
        </w:rPr>
        <w:t>别</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府</w:t>
      </w:r>
      <w:r>
        <w:rPr>
          <w:rFonts w:hint="eastAsia" w:ascii="宋体" w:hAnsi="宋体" w:cs="FZSSK--GBK1-00+ZBNFQQ-24"/>
          <w:color w:val="000000" w:themeColor="text1"/>
          <w14:textFill>
            <w14:solidFill>
              <w14:schemeClr w14:val="tx1"/>
            </w14:solidFill>
          </w14:textFill>
        </w:rPr>
        <w:t>允</w:t>
      </w:r>
      <w:r>
        <w:rPr>
          <w:rFonts w:hint="eastAsia" w:ascii="宋体" w:hAnsi="宋体" w:cs="FZSSK--GBK1-00+ZBNFQL-16"/>
          <w:color w:val="000000" w:themeColor="text1"/>
          <w14:textFill>
            <w14:solidFill>
              <w14:schemeClr w14:val="tx1"/>
            </w14:solidFill>
          </w14:textFill>
        </w:rPr>
        <w:t>许</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制部</w:t>
      </w:r>
      <w:r>
        <w:rPr>
          <w:rFonts w:hint="eastAsia" w:ascii="宋体" w:hAnsi="宋体" w:cs="FZSSK--GBK1-00+ZBNFQH-8"/>
          <w:color w:val="000000" w:themeColor="text1"/>
          <w14:textFill>
            <w14:solidFill>
              <w14:schemeClr w14:val="tx1"/>
            </w14:solidFill>
          </w14:textFill>
        </w:rPr>
        <w:t>分</w:t>
      </w:r>
      <w:r>
        <w:rPr>
          <w:rFonts w:hint="eastAsia" w:ascii="宋体" w:hAnsi="宋体" w:cs="SSJ4+ZBNFQG-1"/>
          <w:color w:val="000000" w:themeColor="text1"/>
          <w14:textFill>
            <w14:solidFill>
              <w14:schemeClr w14:val="tx1"/>
            </w14:solidFill>
          </w14:textFill>
        </w:rPr>
        <w:t>发展，</w:t>
      </w:r>
      <w:r>
        <w:rPr>
          <w:rFonts w:hint="eastAsia" w:ascii="宋体" w:hAnsi="宋体" w:cs="FZSSK--GBK1-00+ZBNFQK-15"/>
          <w:color w:val="000000" w:themeColor="text1"/>
          <w14:textFill>
            <w14:solidFill>
              <w14:schemeClr w14:val="tx1"/>
            </w14:solidFill>
          </w14:textFill>
        </w:rPr>
        <w:t>按照</w:t>
      </w:r>
      <w:r>
        <w:rPr>
          <w:rFonts w:hint="eastAsia" w:ascii="宋体" w:hAnsi="宋体" w:cs="FZSSK--GBK1-00+ZBNFQH-5"/>
          <w:color w:val="000000" w:themeColor="text1"/>
          <w14:textFill>
            <w14:solidFill>
              <w14:schemeClr w14:val="tx1"/>
            </w14:solidFill>
          </w14:textFill>
        </w:rPr>
        <w:t>邓小平</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讲</w:t>
      </w:r>
      <w:r>
        <w:rPr>
          <w:rFonts w:hint="eastAsia" w:ascii="宋体" w:hAnsi="宋体" w:cs="SSJ4+ZBNFQG-1"/>
          <w:color w:val="000000" w:themeColor="text1"/>
          <w14:textFill>
            <w14:solidFill>
              <w14:schemeClr w14:val="tx1"/>
            </w14:solidFill>
          </w14:textFill>
        </w:rPr>
        <w:t>法是为了</w:t>
      </w:r>
      <w:r>
        <w:rPr>
          <w:rFonts w:hint="eastAsia" w:ascii="宋体" w:hAnsi="宋体" w:cs="FZSSK--GBK1-00+ZBNFQQ-24"/>
          <w:color w:val="000000" w:themeColor="text1"/>
          <w14:textFill>
            <w14:solidFill>
              <w14:schemeClr w14:val="tx1"/>
            </w14:solidFill>
          </w14:textFill>
        </w:rPr>
        <w:t>巩固</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，而资</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阶</w:t>
      </w:r>
      <w:r>
        <w:rPr>
          <w:rFonts w:hint="eastAsia" w:ascii="宋体" w:hAnsi="宋体" w:cs="FZSSK--GBK1-00+ZBNFQH-7"/>
          <w:color w:val="000000" w:themeColor="text1"/>
          <w14:textFill>
            <w14:solidFill>
              <w14:schemeClr w14:val="tx1"/>
            </w14:solidFill>
          </w14:textFill>
        </w:rPr>
        <w:t>级政</w:t>
      </w:r>
      <w:r>
        <w:rPr>
          <w:rFonts w:hint="eastAsia" w:ascii="宋体" w:hAnsi="宋体" w:cs="FZSSK--GBK1-00+ZBNFQI-9"/>
          <w:color w:val="000000" w:themeColor="text1"/>
          <w14:textFill>
            <w14:solidFill>
              <w14:schemeClr w14:val="tx1"/>
            </w14:solidFill>
          </w14:textFill>
        </w:rPr>
        <w:t>府</w:t>
      </w:r>
      <w:r>
        <w:rPr>
          <w:rFonts w:hint="eastAsia" w:ascii="宋体" w:hAnsi="宋体" w:cs="SSJ4+ZBNFQG-1"/>
          <w:color w:val="000000" w:themeColor="text1"/>
          <w14:textFill>
            <w14:solidFill>
              <w14:schemeClr w14:val="tx1"/>
            </w14:solidFill>
          </w14:textFill>
        </w:rPr>
        <w:t>是为了</w:t>
      </w:r>
      <w:r>
        <w:rPr>
          <w:rFonts w:hint="eastAsia" w:ascii="宋体" w:hAnsi="宋体" w:cs="FZSSK--GBK1-00+ZBNFQQ-24"/>
          <w:color w:val="000000" w:themeColor="text1"/>
          <w14:textFill>
            <w14:solidFill>
              <w14:schemeClr w14:val="tx1"/>
            </w14:solidFill>
          </w14:textFill>
        </w:rPr>
        <w:t>巩固</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P-23"/>
          <w:color w:val="000000" w:themeColor="text1"/>
          <w14:textFill>
            <w14:solidFill>
              <w14:schemeClr w14:val="tx1"/>
            </w14:solidFill>
          </w14:textFill>
        </w:rPr>
        <w:t>才</w:t>
      </w:r>
      <w:r>
        <w:rPr>
          <w:rFonts w:hint="eastAsia" w:ascii="宋体" w:hAnsi="宋体" w:cs="SSJ4+ZBNFQG-1"/>
          <w:color w:val="000000" w:themeColor="text1"/>
          <w14:textFill>
            <w14:solidFill>
              <w14:schemeClr w14:val="tx1"/>
            </w14:solidFill>
          </w14:textFill>
        </w:rPr>
        <w:t>发展</w:t>
      </w:r>
      <w:r>
        <w:rPr>
          <w:rFonts w:hint="eastAsia" w:ascii="宋体" w:hAnsi="宋体" w:cs="FZSSK--GBK1-00+ZBNFQH-5"/>
          <w:color w:val="000000" w:themeColor="text1"/>
          <w14:textFill>
            <w14:solidFill>
              <w14:schemeClr w14:val="tx1"/>
            </w14:solidFill>
          </w14:textFill>
        </w:rPr>
        <w:t>一点</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，两</w:t>
      </w:r>
      <w:r>
        <w:rPr>
          <w:rFonts w:hint="eastAsia" w:ascii="宋体" w:hAnsi="宋体" w:cs="FZSSK--GBK1-00+ZBNFQI-10"/>
          <w:color w:val="000000" w:themeColor="text1"/>
          <w14:textFill>
            <w14:solidFill>
              <w14:schemeClr w14:val="tx1"/>
            </w14:solidFill>
          </w14:textFill>
        </w:rPr>
        <w:t>者</w:t>
      </w:r>
      <w:r>
        <w:rPr>
          <w:rFonts w:hint="eastAsia" w:ascii="宋体" w:hAnsi="宋体" w:cs="FZSSK--GBK1-00+ZBNFQH-7"/>
          <w:color w:val="000000" w:themeColor="text1"/>
          <w14:textFill>
            <w14:solidFill>
              <w14:schemeClr w14:val="tx1"/>
            </w14:solidFill>
          </w14:textFill>
        </w:rPr>
        <w:t>性</w:t>
      </w:r>
      <w:r>
        <w:rPr>
          <w:rFonts w:hint="eastAsia" w:ascii="宋体" w:hAnsi="宋体" w:cs="FZSSK--GBK1-00+ZBNFQH-5"/>
          <w:color w:val="000000" w:themeColor="text1"/>
          <w14:textFill>
            <w14:solidFill>
              <w14:schemeClr w14:val="tx1"/>
            </w14:solidFill>
          </w14:textFill>
        </w:rPr>
        <w:t>质</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根</w:t>
      </w:r>
      <w:r>
        <w:rPr>
          <w:rFonts w:hint="eastAsia" w:ascii="宋体" w:hAnsi="宋体" w:cs="SSJ4+ZBNFQG-1"/>
          <w:color w:val="000000" w:themeColor="text1"/>
          <w14:textFill>
            <w14:solidFill>
              <w14:schemeClr w14:val="tx1"/>
            </w14:solidFill>
          </w14:textFill>
        </w:rPr>
        <w:t>本</w:t>
      </w:r>
      <w:r>
        <w:rPr>
          <w:rFonts w:hint="eastAsia" w:ascii="宋体" w:hAnsi="宋体" w:cs="FZSSK--GBK1-00+ZBNFQH-5"/>
          <w:color w:val="000000" w:themeColor="text1"/>
          <w14:textFill>
            <w14:solidFill>
              <w14:schemeClr w14:val="tx1"/>
            </w14:solidFill>
          </w14:textFill>
        </w:rPr>
        <w:t>不一</w:t>
      </w:r>
      <w:r>
        <w:rPr>
          <w:rFonts w:hint="eastAsia" w:ascii="宋体" w:hAnsi="宋体" w:cs="FZSSK--GBK1-00+ZBNFQH-7"/>
          <w:color w:val="000000" w:themeColor="text1"/>
          <w14:textFill>
            <w14:solidFill>
              <w14:schemeClr w14:val="tx1"/>
            </w14:solidFill>
          </w14:textFill>
        </w:rPr>
        <w:t>样</w:t>
      </w:r>
      <w:r>
        <w:rPr>
          <w:rFonts w:hint="eastAsia" w:ascii="宋体" w:hAnsi="宋体" w:cs="SSJ4+ZBNFQG-1"/>
          <w:color w:val="000000" w:themeColor="text1"/>
          <w14:textFill>
            <w14:solidFill>
              <w14:schemeClr w14:val="tx1"/>
            </w14:solidFill>
          </w14:textFill>
        </w:rPr>
        <w:t>的</w:t>
      </w:r>
      <w:r>
        <w:rPr>
          <w:rFonts w:hint="eastAsia" w:ascii="宋体" w:hAnsi="宋体" w:cs="SSJ0+ZBNFQG-4"/>
          <w:color w:val="000000" w:themeColor="text1"/>
          <w14:textFill>
            <w14:solidFill>
              <w14:schemeClr w14:val="tx1"/>
            </w14:solidFill>
          </w14:textFill>
        </w:rPr>
        <w:t>。</w:t>
      </w:r>
    </w:p>
    <w:p w14:paraId="654D7C51">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一种观点</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认</w:t>
      </w:r>
      <w:r>
        <w:rPr>
          <w:rFonts w:hint="eastAsia" w:ascii="宋体" w:hAnsi="宋体" w:cs="SSJ4+ZBNFQG-1"/>
          <w:color w:val="000000" w:themeColor="text1"/>
          <w14:textFill>
            <w14:solidFill>
              <w14:schemeClr w14:val="tx1"/>
            </w14:solidFill>
          </w14:textFill>
        </w:rPr>
        <w:t>为国有</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H-5"/>
          <w:color w:val="000000" w:themeColor="text1"/>
          <w14:textFill>
            <w14:solidFill>
              <w14:schemeClr w14:val="tx1"/>
            </w14:solidFill>
          </w14:textFill>
        </w:rPr>
        <w:t>不</w:t>
      </w:r>
      <w:r>
        <w:rPr>
          <w:rFonts w:hint="eastAsia" w:ascii="宋体" w:hAnsi="宋体" w:cs="SSJ4+ZBNFQG-1"/>
          <w:color w:val="000000" w:themeColor="text1"/>
          <w14:textFill>
            <w14:solidFill>
              <w14:schemeClr w14:val="tx1"/>
            </w14:solidFill>
          </w14:textFill>
        </w:rPr>
        <w:t>是</w:t>
      </w:r>
      <w:r>
        <w:rPr>
          <w:rFonts w:hint="eastAsia" w:ascii="宋体" w:hAnsi="宋体" w:cs="FZSSK--GBK1-00+ZBNFQI-10"/>
          <w:color w:val="000000" w:themeColor="text1"/>
          <w14:textFill>
            <w14:solidFill>
              <w14:schemeClr w14:val="tx1"/>
            </w14:solidFill>
          </w14:textFill>
        </w:rPr>
        <w:t>共</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I-10"/>
          <w:color w:val="000000" w:themeColor="text1"/>
          <w14:textFill>
            <w14:solidFill>
              <w14:schemeClr w14:val="tx1"/>
            </w14:solidFill>
          </w14:textFill>
        </w:rPr>
        <w:t>党</w:t>
      </w:r>
      <w:r>
        <w:rPr>
          <w:rFonts w:hint="eastAsia" w:ascii="宋体" w:hAnsi="宋体" w:cs="FZSSK--GBK1-00+ZBNFQT-26"/>
          <w:color w:val="000000" w:themeColor="text1"/>
          <w14:textFill>
            <w14:solidFill>
              <w14:schemeClr w14:val="tx1"/>
            </w14:solidFill>
          </w14:textFill>
        </w:rPr>
        <w:t>执</w:t>
      </w:r>
      <w:r>
        <w:rPr>
          <w:rFonts w:hint="eastAsia" w:ascii="宋体" w:hAnsi="宋体" w:cs="FZSSK--GBK1-00+ZBNFQH-7"/>
          <w:color w:val="000000" w:themeColor="text1"/>
          <w14:textFill>
            <w14:solidFill>
              <w14:schemeClr w14:val="tx1"/>
            </w14:solidFill>
          </w14:textFill>
        </w:rPr>
        <w:t>政</w:t>
      </w:r>
      <w:r>
        <w:rPr>
          <w:rFonts w:hint="eastAsia" w:ascii="宋体" w:hAnsi="宋体" w:cs="SSJ4+ZBNFQG-1"/>
          <w:color w:val="000000" w:themeColor="text1"/>
          <w14:textFill>
            <w14:solidFill>
              <w14:schemeClr w14:val="tx1"/>
            </w14:solidFill>
          </w14:textFill>
        </w:rPr>
        <w:t>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基</w:t>
      </w:r>
      <w:r>
        <w:rPr>
          <w:rFonts w:hint="eastAsia" w:ascii="宋体" w:hAnsi="宋体" w:cs="FZSSK--GBK1-00+ZBNFQK-15"/>
          <w:color w:val="000000" w:themeColor="text1"/>
          <w14:textFill>
            <w14:solidFill>
              <w14:schemeClr w14:val="tx1"/>
            </w14:solidFill>
          </w14:textFill>
        </w:rPr>
        <w:t>础</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不</w:t>
      </w:r>
      <w:r>
        <w:rPr>
          <w:rFonts w:hint="eastAsia" w:ascii="宋体" w:hAnsi="宋体" w:cs="SSJ4+ZBNFQG-1"/>
          <w:color w:val="000000" w:themeColor="text1"/>
          <w14:textFill>
            <w14:solidFill>
              <w14:schemeClr w14:val="tx1"/>
            </w14:solidFill>
          </w14:textFill>
        </w:rPr>
        <w:t>要说</w:t>
      </w:r>
      <w:r>
        <w:rPr>
          <w:rFonts w:hint="eastAsia" w:ascii="宋体" w:hAnsi="宋体" w:cs="FZSSK--GBK1-00+ZBNFQI-9"/>
          <w:color w:val="000000" w:themeColor="text1"/>
          <w14:textFill>
            <w14:solidFill>
              <w14:schemeClr w14:val="tx1"/>
            </w14:solidFill>
          </w14:textFill>
        </w:rPr>
        <w:t>马</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I-10"/>
          <w:color w:val="000000" w:themeColor="text1"/>
          <w14:textFill>
            <w14:solidFill>
              <w14:schemeClr w14:val="tx1"/>
            </w14:solidFill>
          </w14:textFill>
        </w:rPr>
        <w:t>思</w:t>
      </w:r>
      <w:r>
        <w:rPr>
          <w:rFonts w:hint="eastAsia" w:ascii="宋体" w:hAnsi="宋体" w:cs="SSJ4+ZBNFQG-1"/>
          <w:color w:val="000000" w:themeColor="text1"/>
          <w14:textFill>
            <w14:solidFill>
              <w14:schemeClr w14:val="tx1"/>
            </w14:solidFill>
          </w14:textFill>
        </w:rPr>
        <w:t>主义的</w:t>
      </w:r>
      <w:r>
        <w:rPr>
          <w:rFonts w:hint="eastAsia" w:ascii="宋体" w:hAnsi="宋体" w:cs="FZSSK--GBK1-00+ZBNFQI-9"/>
          <w:color w:val="000000" w:themeColor="text1"/>
          <w14:textFill>
            <w14:solidFill>
              <w14:schemeClr w14:val="tx1"/>
            </w14:solidFill>
          </w14:textFill>
        </w:rPr>
        <w:t>基</w:t>
      </w:r>
      <w:r>
        <w:rPr>
          <w:rFonts w:hint="eastAsia" w:ascii="宋体" w:hAnsi="宋体" w:cs="SSJ4+ZBNFQG-1"/>
          <w:color w:val="000000" w:themeColor="text1"/>
          <w14:textFill>
            <w14:solidFill>
              <w14:schemeClr w14:val="tx1"/>
            </w14:solidFill>
          </w14:textFill>
        </w:rPr>
        <w:t>本</w:t>
      </w:r>
      <w:r>
        <w:rPr>
          <w:rFonts w:hint="eastAsia" w:ascii="宋体" w:hAnsi="宋体" w:cs="FZSSK--GBK1-00+ZBNFQH-5"/>
          <w:color w:val="000000" w:themeColor="text1"/>
          <w14:textFill>
            <w14:solidFill>
              <w14:schemeClr w14:val="tx1"/>
            </w14:solidFill>
          </w14:textFill>
        </w:rPr>
        <w:t>观点</w:t>
      </w:r>
      <w:r>
        <w:rPr>
          <w:rFonts w:hint="eastAsia" w:ascii="宋体" w:hAnsi="宋体" w:cs="SSJ4+ZBNFQG-1"/>
          <w:color w:val="000000" w:themeColor="text1"/>
          <w14:textFill>
            <w14:solidFill>
              <w14:schemeClr w14:val="tx1"/>
            </w14:solidFill>
          </w14:textFill>
        </w:rPr>
        <w:t>，我</w:t>
      </w:r>
      <w:r>
        <w:rPr>
          <w:rFonts w:hint="eastAsia" w:ascii="宋体" w:hAnsi="宋体" w:cs="FZSSK--GBK1-00+ZBNFQH-5"/>
          <w:color w:val="000000" w:themeColor="text1"/>
          <w14:textFill>
            <w14:solidFill>
              <w14:schemeClr w14:val="tx1"/>
            </w14:solidFill>
          </w14:textFill>
        </w:rPr>
        <w:t>们就</w:t>
      </w:r>
      <w:r>
        <w:rPr>
          <w:rFonts w:hint="eastAsia" w:ascii="宋体" w:hAnsi="宋体" w:cs="SSJ4+ZBNFQG-1"/>
          <w:color w:val="000000" w:themeColor="text1"/>
          <w14:textFill>
            <w14:solidFill>
              <w14:schemeClr w14:val="tx1"/>
            </w14:solidFill>
          </w14:textFill>
        </w:rPr>
        <w:t>看</w:t>
      </w:r>
      <w:r>
        <w:rPr>
          <w:rFonts w:hint="eastAsia" w:ascii="宋体" w:hAnsi="宋体" w:cs="SSJ0+ZBNFQG-4"/>
          <w:color w:val="000000" w:themeColor="text1"/>
          <w14:textFill>
            <w14:solidFill>
              <w14:schemeClr w14:val="tx1"/>
            </w14:solidFill>
          </w14:textFill>
        </w:rPr>
        <w:t>《</w:t>
      </w:r>
      <w:r>
        <w:rPr>
          <w:rFonts w:hint="eastAsia" w:ascii="宋体" w:hAnsi="宋体" w:cs="FZSSK--GBK1-00+ZBNFQL-16"/>
          <w:color w:val="000000" w:themeColor="text1"/>
          <w14:textFill>
            <w14:solidFill>
              <w14:schemeClr w14:val="tx1"/>
            </w14:solidFill>
          </w14:textFill>
        </w:rPr>
        <w:t>江泽</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J-12"/>
          <w:color w:val="000000" w:themeColor="text1"/>
          <w14:textFill>
            <w14:solidFill>
              <w14:schemeClr w14:val="tx1"/>
            </w14:solidFill>
          </w14:textFill>
        </w:rPr>
        <w:t>文选</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第</w:t>
      </w:r>
      <w:r>
        <w:rPr>
          <w:rFonts w:hint="eastAsia" w:ascii="宋体" w:hAnsi="宋体" w:cs="E-BZ+ZBNFQH-6"/>
          <w:color w:val="000000" w:themeColor="text1"/>
          <w14:textFill>
            <w14:solidFill>
              <w14:schemeClr w14:val="tx1"/>
            </w14:solidFill>
          </w14:textFill>
        </w:rPr>
        <w:t>3</w:t>
      </w:r>
      <w:r>
        <w:rPr>
          <w:rFonts w:hint="eastAsia" w:ascii="宋体" w:hAnsi="宋体" w:cs="FZSSK--GBK1-00+ZBNFQO-21"/>
          <w:color w:val="000000" w:themeColor="text1"/>
          <w14:textFill>
            <w14:solidFill>
              <w14:schemeClr w14:val="tx1"/>
            </w14:solidFill>
          </w14:textFill>
        </w:rPr>
        <w:t>卷</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T-26"/>
          <w:color w:val="000000" w:themeColor="text1"/>
          <w14:textFill>
            <w14:solidFill>
              <w14:schemeClr w14:val="tx1"/>
            </w14:solidFill>
          </w14:textFill>
        </w:rPr>
        <w:t>篇</w:t>
      </w:r>
      <w:r>
        <w:rPr>
          <w:rFonts w:hint="eastAsia" w:ascii="宋体" w:hAnsi="宋体" w:cs="FZSSK--GBK1-00+ZBNFQI-10"/>
          <w:color w:val="000000" w:themeColor="text1"/>
          <w14:textFill>
            <w14:solidFill>
              <w14:schemeClr w14:val="tx1"/>
            </w14:solidFill>
          </w14:textFill>
        </w:rPr>
        <w:t>关</w:t>
      </w:r>
      <w:r>
        <w:rPr>
          <w:rFonts w:hint="eastAsia" w:ascii="宋体" w:hAnsi="宋体" w:cs="SSJ4+ZBNFQG-1"/>
          <w:color w:val="000000" w:themeColor="text1"/>
          <w14:textFill>
            <w14:solidFill>
              <w14:schemeClr w14:val="tx1"/>
            </w14:solidFill>
          </w14:textFill>
        </w:rPr>
        <w:t>于</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H-7"/>
          <w:color w:val="000000" w:themeColor="text1"/>
          <w14:textFill>
            <w14:solidFill>
              <w14:schemeClr w14:val="tx1"/>
            </w14:solidFill>
          </w14:textFill>
        </w:rPr>
        <w:t>强</w:t>
      </w:r>
      <w:r>
        <w:rPr>
          <w:rFonts w:hint="eastAsia" w:ascii="宋体" w:hAnsi="宋体" w:cs="SSJ4+ZBNFQG-1"/>
          <w:color w:val="000000" w:themeColor="text1"/>
          <w14:textFill>
            <w14:solidFill>
              <w14:schemeClr w14:val="tx1"/>
            </w14:solidFill>
          </w14:textFill>
        </w:rPr>
        <w:t>和</w:t>
      </w:r>
      <w:r>
        <w:rPr>
          <w:rFonts w:hint="eastAsia" w:ascii="宋体" w:hAnsi="宋体" w:cs="FZSSK--GBK1-00+ZBNFQQ-24"/>
          <w:color w:val="000000" w:themeColor="text1"/>
          <w14:textFill>
            <w14:solidFill>
              <w14:schemeClr w14:val="tx1"/>
            </w14:solidFill>
          </w14:textFill>
        </w:rPr>
        <w:t>巩固</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基</w:t>
      </w:r>
      <w:r>
        <w:rPr>
          <w:rFonts w:hint="eastAsia" w:ascii="宋体" w:hAnsi="宋体" w:cs="FZSSK--GBK1-00+ZBNFQK-15"/>
          <w:color w:val="000000" w:themeColor="text1"/>
          <w14:textFill>
            <w14:solidFill>
              <w14:schemeClr w14:val="tx1"/>
            </w14:solidFill>
          </w14:textFill>
        </w:rPr>
        <w:t>础</w:t>
      </w:r>
      <w:r>
        <w:rPr>
          <w:rFonts w:hint="eastAsia" w:ascii="宋体" w:hAnsi="宋体" w:cs="SSJ4+ZBNFQG-1"/>
          <w:color w:val="000000" w:themeColor="text1"/>
          <w14:textFill>
            <w14:solidFill>
              <w14:schemeClr w14:val="tx1"/>
            </w14:solidFill>
          </w14:textFill>
        </w:rPr>
        <w:t>的</w:t>
      </w:r>
      <w:r>
        <w:rPr>
          <w:rFonts w:hint="eastAsia" w:ascii="宋体" w:hAnsi="宋体" w:cs="FZSSK--GBK1-00+ZBNFQJ-12"/>
          <w:color w:val="000000" w:themeColor="text1"/>
          <w14:textFill>
            <w14:solidFill>
              <w14:schemeClr w14:val="tx1"/>
            </w14:solidFill>
          </w14:textFill>
        </w:rPr>
        <w:t>文</w:t>
      </w:r>
      <w:r>
        <w:rPr>
          <w:rFonts w:hint="eastAsia" w:ascii="宋体" w:hAnsi="宋体" w:cs="FZSSK--GBK1-00+ZBNFQM-17"/>
          <w:color w:val="000000" w:themeColor="text1"/>
          <w14:textFill>
            <w14:solidFill>
              <w14:schemeClr w14:val="tx1"/>
            </w14:solidFill>
          </w14:textFill>
        </w:rPr>
        <w:t>章</w:t>
      </w:r>
      <w:r>
        <w:rPr>
          <w:rFonts w:hint="eastAsia" w:ascii="宋体" w:hAnsi="宋体" w:cs="SSJ4+ZBNFQG-1"/>
          <w:color w:val="000000" w:themeColor="text1"/>
          <w14:textFill>
            <w14:solidFill>
              <w14:schemeClr w14:val="tx1"/>
            </w14:solidFill>
          </w14:textFill>
        </w:rPr>
        <w:t>，主</w:t>
      </w:r>
      <w:r>
        <w:rPr>
          <w:rFonts w:hint="eastAsia" w:ascii="宋体" w:hAnsi="宋体" w:cs="FZSSK--GBK1-00+ZBNFQQ-24"/>
          <w:color w:val="000000" w:themeColor="text1"/>
          <w14:textFill>
            <w14:solidFill>
              <w14:schemeClr w14:val="tx1"/>
            </w14:solidFill>
          </w14:textFill>
        </w:rPr>
        <w:t>张</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J-12"/>
          <w:color w:val="000000" w:themeColor="text1"/>
          <w14:textFill>
            <w14:solidFill>
              <w14:schemeClr w14:val="tx1"/>
            </w14:solidFill>
          </w14:textFill>
        </w:rPr>
        <w:t>企业</w:t>
      </w:r>
      <w:r>
        <w:rPr>
          <w:rFonts w:hint="eastAsia" w:ascii="宋体" w:hAnsi="宋体" w:cs="SSJ4+ZBNFQG-1"/>
          <w:color w:val="000000" w:themeColor="text1"/>
          <w14:textFill>
            <w14:solidFill>
              <w14:schemeClr w14:val="tx1"/>
            </w14:solidFill>
          </w14:textFill>
        </w:rPr>
        <w:t>主要是指国</w:t>
      </w:r>
      <w:r>
        <w:rPr>
          <w:rFonts w:hint="eastAsia" w:ascii="宋体" w:hAnsi="宋体" w:cs="FZSSK--GBK1-00+ZBNFQJ-12"/>
          <w:color w:val="000000" w:themeColor="text1"/>
          <w14:textFill>
            <w14:solidFill>
              <w14:schemeClr w14:val="tx1"/>
            </w14:solidFill>
          </w14:textFill>
        </w:rPr>
        <w:t>企</w:t>
      </w:r>
      <w:r>
        <w:rPr>
          <w:rFonts w:hint="eastAsia" w:ascii="宋体" w:hAnsi="宋体" w:cs="SSJ4+ZBNFQG-1"/>
          <w:color w:val="000000" w:themeColor="text1"/>
          <w14:textFill>
            <w14:solidFill>
              <w14:schemeClr w14:val="tx1"/>
            </w14:solidFill>
          </w14:textFill>
        </w:rPr>
        <w:t>，是</w:t>
      </w:r>
      <w:r>
        <w:rPr>
          <w:rFonts w:hint="eastAsia" w:ascii="宋体" w:hAnsi="宋体" w:cs="FZSSK--GBK1-00+ZBNFQI-10"/>
          <w:color w:val="000000" w:themeColor="text1"/>
          <w14:textFill>
            <w14:solidFill>
              <w14:schemeClr w14:val="tx1"/>
            </w14:solidFill>
          </w14:textFill>
        </w:rPr>
        <w:t>共</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I-10"/>
          <w:color w:val="000000" w:themeColor="text1"/>
          <w14:textFill>
            <w14:solidFill>
              <w14:schemeClr w14:val="tx1"/>
            </w14:solidFill>
          </w14:textFill>
        </w:rPr>
        <w:t>党</w:t>
      </w:r>
      <w:r>
        <w:rPr>
          <w:rFonts w:hint="eastAsia" w:ascii="宋体" w:hAnsi="宋体" w:cs="FZSSK--GBK1-00+ZBNFQT-26"/>
          <w:color w:val="000000" w:themeColor="text1"/>
          <w14:textFill>
            <w14:solidFill>
              <w14:schemeClr w14:val="tx1"/>
            </w14:solidFill>
          </w14:textFill>
        </w:rPr>
        <w:t>执</w:t>
      </w:r>
      <w:r>
        <w:rPr>
          <w:rFonts w:hint="eastAsia" w:ascii="宋体" w:hAnsi="宋体" w:cs="FZSSK--GBK1-00+ZBNFQH-7"/>
          <w:color w:val="000000" w:themeColor="text1"/>
          <w14:textFill>
            <w14:solidFill>
              <w14:schemeClr w14:val="tx1"/>
            </w14:solidFill>
          </w14:textFill>
        </w:rPr>
        <w:t>政等上</w:t>
      </w:r>
      <w:r>
        <w:rPr>
          <w:rFonts w:hint="eastAsia" w:ascii="宋体" w:hAnsi="宋体" w:cs="FZSSK--GBK1-00+ZBNFQM-17"/>
          <w:color w:val="000000" w:themeColor="text1"/>
          <w14:textFill>
            <w14:solidFill>
              <w14:schemeClr w14:val="tx1"/>
            </w14:solidFill>
          </w14:textFill>
        </w:rPr>
        <w:t>层</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M-17"/>
          <w:color w:val="000000" w:themeColor="text1"/>
          <w14:textFill>
            <w14:solidFill>
              <w14:schemeClr w14:val="tx1"/>
            </w14:solidFill>
          </w14:textFill>
        </w:rPr>
        <w:t>筑</w:t>
      </w:r>
      <w:r>
        <w:rPr>
          <w:rFonts w:hint="eastAsia" w:ascii="宋体" w:hAnsi="宋体" w:cs="SSJ4+ZBNFQG-1"/>
          <w:color w:val="000000" w:themeColor="text1"/>
          <w14:textFill>
            <w14:solidFill>
              <w14:schemeClr w14:val="tx1"/>
            </w14:solidFill>
          </w14:textFill>
        </w:rPr>
        <w:t>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基</w:t>
      </w:r>
      <w:r>
        <w:rPr>
          <w:rFonts w:hint="eastAsia" w:ascii="宋体" w:hAnsi="宋体" w:cs="FZSSK--GBK1-00+ZBNFQK-15"/>
          <w:color w:val="000000" w:themeColor="text1"/>
          <w14:textFill>
            <w14:solidFill>
              <w14:schemeClr w14:val="tx1"/>
            </w14:solidFill>
          </w14:textFill>
        </w:rPr>
        <w:t>础</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基</w:t>
      </w:r>
      <w:r>
        <w:rPr>
          <w:rFonts w:hint="eastAsia" w:ascii="宋体" w:hAnsi="宋体" w:cs="FZSSK--GBK1-00+ZBNFQK-15"/>
          <w:color w:val="000000" w:themeColor="text1"/>
          <w14:textFill>
            <w14:solidFill>
              <w14:schemeClr w14:val="tx1"/>
            </w14:solidFill>
          </w14:textFill>
        </w:rPr>
        <w:t>础</w:t>
      </w:r>
      <w:r>
        <w:rPr>
          <w:rFonts w:hint="eastAsia" w:ascii="宋体" w:hAnsi="宋体" w:cs="SSJ4+ZBNFQG-1"/>
          <w:color w:val="000000" w:themeColor="text1"/>
          <w14:textFill>
            <w14:solidFill>
              <w14:schemeClr w14:val="tx1"/>
            </w14:solidFill>
          </w14:textFill>
        </w:rPr>
        <w:t>是</w:t>
      </w:r>
      <w:r>
        <w:rPr>
          <w:rFonts w:hint="eastAsia" w:ascii="宋体" w:hAnsi="宋体" w:cs="FZSSK--GBK1-00+ZBNFQJ-12"/>
          <w:color w:val="000000" w:themeColor="text1"/>
          <w14:textFill>
            <w14:solidFill>
              <w14:schemeClr w14:val="tx1"/>
            </w14:solidFill>
          </w14:textFill>
        </w:rPr>
        <w:t>包括</w:t>
      </w:r>
      <w:r>
        <w:rPr>
          <w:rFonts w:hint="eastAsia" w:ascii="宋体" w:hAnsi="宋体" w:cs="FZSSK--GBK1-00+ZBNFQH-5"/>
          <w:color w:val="000000" w:themeColor="text1"/>
          <w14:textFill>
            <w14:solidFill>
              <w14:schemeClr w14:val="tx1"/>
            </w14:solidFill>
          </w14:textFill>
        </w:rPr>
        <w:t>非</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的，但是</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w:t>
      </w:r>
      <w:r>
        <w:rPr>
          <w:rFonts w:hint="eastAsia" w:ascii="宋体" w:hAnsi="宋体" w:cs="FZSSK--GBK1-00+ZBNFQH-7"/>
          <w:color w:val="000000" w:themeColor="text1"/>
          <w14:textFill>
            <w14:solidFill>
              <w14:schemeClr w14:val="tx1"/>
            </w14:solidFill>
          </w14:textFill>
        </w:rPr>
        <w:t>性</w:t>
      </w:r>
      <w:r>
        <w:rPr>
          <w:rFonts w:hint="eastAsia" w:ascii="宋体" w:hAnsi="宋体" w:cs="FZSSK--GBK1-00+ZBNFQH-5"/>
          <w:color w:val="000000" w:themeColor="text1"/>
          <w14:textFill>
            <w14:solidFill>
              <w14:schemeClr w14:val="tx1"/>
            </w14:solidFill>
          </w14:textFill>
        </w:rPr>
        <w:t>质</w:t>
      </w:r>
      <w:r>
        <w:rPr>
          <w:rFonts w:hint="eastAsia" w:ascii="宋体" w:hAnsi="宋体" w:cs="SSJ4+ZBNFQG-1"/>
          <w:color w:val="000000" w:themeColor="text1"/>
          <w14:textFill>
            <w14:solidFill>
              <w14:schemeClr w14:val="tx1"/>
            </w14:solidFill>
          </w14:textFill>
        </w:rPr>
        <w:t>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I-9"/>
          <w:color w:val="000000" w:themeColor="text1"/>
          <w14:textFill>
            <w14:solidFill>
              <w14:schemeClr w14:val="tx1"/>
            </w14:solidFill>
          </w14:textFill>
        </w:rPr>
        <w:t>基</w:t>
      </w:r>
      <w:r>
        <w:rPr>
          <w:rFonts w:hint="eastAsia" w:ascii="宋体" w:hAnsi="宋体" w:cs="FZSSK--GBK1-00+ZBNFQK-15"/>
          <w:color w:val="000000" w:themeColor="text1"/>
          <w14:textFill>
            <w14:solidFill>
              <w14:schemeClr w14:val="tx1"/>
            </w14:solidFill>
          </w14:textFill>
        </w:rPr>
        <w:t>础</w:t>
      </w:r>
      <w:r>
        <w:rPr>
          <w:rFonts w:hint="eastAsia" w:ascii="宋体" w:hAnsi="宋体" w:cs="FZSSK--GBK1-00+ZBNFQH-5"/>
          <w:color w:val="000000" w:themeColor="text1"/>
          <w14:textFill>
            <w14:solidFill>
              <w14:schemeClr w14:val="tx1"/>
            </w14:solidFill>
          </w14:textFill>
        </w:rPr>
        <w:t>就</w:t>
      </w:r>
      <w:r>
        <w:rPr>
          <w:rFonts w:hint="eastAsia" w:ascii="宋体" w:hAnsi="宋体" w:cs="SSJ4+ZBNFQG-1"/>
          <w:color w:val="000000" w:themeColor="text1"/>
          <w14:textFill>
            <w14:solidFill>
              <w14:schemeClr w14:val="tx1"/>
            </w14:solidFill>
          </w14:textFill>
        </w:rPr>
        <w:t>是</w:t>
      </w:r>
      <w:r>
        <w:rPr>
          <w:rFonts w:hint="eastAsia" w:ascii="宋体" w:hAnsi="宋体" w:cs="FZSSK--GBK1-00+ZBNFQM-17"/>
          <w:color w:val="000000" w:themeColor="text1"/>
          <w14:textFill>
            <w14:solidFill>
              <w14:schemeClr w14:val="tx1"/>
            </w14:solidFill>
          </w14:textFill>
        </w:rPr>
        <w:t>单</w:t>
      </w:r>
      <w:r>
        <w:rPr>
          <w:rFonts w:hint="eastAsia" w:ascii="宋体" w:hAnsi="宋体" w:cs="SSJ4+ZBNFQG-1"/>
          <w:color w:val="000000" w:themeColor="text1"/>
          <w14:textFill>
            <w14:solidFill>
              <w14:schemeClr w14:val="tx1"/>
            </w14:solidFill>
          </w14:textFill>
        </w:rPr>
        <w:t>指</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在</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国出</w:t>
      </w:r>
      <w:r>
        <w:rPr>
          <w:rFonts w:hint="eastAsia" w:ascii="宋体" w:hAnsi="宋体" w:cs="FZSSK--GBK1-00+ZBNFQO-21"/>
          <w:color w:val="000000" w:themeColor="text1"/>
          <w14:textFill>
            <w14:solidFill>
              <w14:schemeClr w14:val="tx1"/>
            </w14:solidFill>
          </w14:textFill>
        </w:rPr>
        <w:t>版</w:t>
      </w:r>
      <w:r>
        <w:rPr>
          <w:rFonts w:hint="eastAsia" w:ascii="宋体" w:hAnsi="宋体" w:cs="SSJ4+ZBNFQG-1"/>
          <w:color w:val="000000" w:themeColor="text1"/>
          <w14:textFill>
            <w14:solidFill>
              <w14:schemeClr w14:val="tx1"/>
            </w14:solidFill>
          </w14:textFill>
        </w:rPr>
        <w:t>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8"/>
          <w:color w:val="000000" w:themeColor="text1"/>
          <w14:textFill>
            <w14:solidFill>
              <w14:schemeClr w14:val="tx1"/>
            </w14:solidFill>
          </w14:textFill>
        </w:rPr>
        <w:t>学</w:t>
      </w:r>
      <w:r>
        <w:rPr>
          <w:rFonts w:hint="eastAsia" w:ascii="宋体" w:hAnsi="宋体" w:cs="SSJ4+ZBNFQG-1"/>
          <w:color w:val="000000" w:themeColor="text1"/>
          <w14:textFill>
            <w14:solidFill>
              <w14:schemeClr w14:val="tx1"/>
            </w14:solidFill>
          </w14:textFill>
        </w:rPr>
        <w:t>大</w:t>
      </w:r>
      <w:r>
        <w:rPr>
          <w:rFonts w:hint="eastAsia" w:ascii="宋体" w:hAnsi="宋体" w:cs="FZSSK--GBK1-00+ZBNFQO-21"/>
          <w:color w:val="000000" w:themeColor="text1"/>
          <w14:textFill>
            <w14:solidFill>
              <w14:schemeClr w14:val="tx1"/>
            </w14:solidFill>
          </w14:textFill>
        </w:rPr>
        <w:t>辞</w:t>
      </w:r>
      <w:r>
        <w:rPr>
          <w:rFonts w:hint="eastAsia" w:ascii="宋体" w:hAnsi="宋体" w:cs="FZSSK--GBK1-00+ZBNFQK-14"/>
          <w:color w:val="000000" w:themeColor="text1"/>
          <w14:textFill>
            <w14:solidFill>
              <w14:schemeClr w14:val="tx1"/>
            </w14:solidFill>
          </w14:textFill>
        </w:rPr>
        <w:t>典</w:t>
      </w:r>
      <w:r>
        <w:rPr>
          <w:rFonts w:hint="eastAsia" w:ascii="宋体" w:hAnsi="宋体" w:cs="SSJ4+ZBNFQG-1"/>
          <w:color w:val="000000" w:themeColor="text1"/>
          <w14:textFill>
            <w14:solidFill>
              <w14:schemeClr w14:val="tx1"/>
            </w14:solidFill>
          </w14:textFill>
        </w:rPr>
        <w:t>中，当</w:t>
      </w:r>
      <w:r>
        <w:rPr>
          <w:rFonts w:hint="eastAsia" w:ascii="宋体" w:hAnsi="宋体" w:cs="FZSSK--GBK1-00+ZBNFQH-5"/>
          <w:color w:val="000000" w:themeColor="text1"/>
          <w14:textFill>
            <w14:solidFill>
              <w14:schemeClr w14:val="tx1"/>
            </w14:solidFill>
          </w14:textFill>
        </w:rPr>
        <w:t>讲到</w:t>
      </w:r>
      <w:r>
        <w:rPr>
          <w:rFonts w:hint="eastAsia" w:ascii="宋体" w:hAnsi="宋体" w:cs="FZSSK--GBK1-00+ZBNFQI-10"/>
          <w:color w:val="000000" w:themeColor="text1"/>
          <w14:textFill>
            <w14:solidFill>
              <w14:schemeClr w14:val="tx1"/>
            </w14:solidFill>
          </w14:textFill>
        </w:rPr>
        <w:t>什么</w:t>
      </w:r>
      <w:r>
        <w:rPr>
          <w:rFonts w:hint="eastAsia" w:ascii="宋体" w:hAnsi="宋体" w:cs="SSJ4+ZBNFQG-1"/>
          <w:color w:val="000000" w:themeColor="text1"/>
          <w14:textFill>
            <w14:solidFill>
              <w14:schemeClr w14:val="tx1"/>
            </w14:solidFill>
          </w14:textFill>
        </w:rPr>
        <w:t>是</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场社会</w:t>
      </w:r>
      <w:r>
        <w:rPr>
          <w:rFonts w:hint="eastAsia" w:ascii="宋体" w:hAnsi="宋体" w:cs="SSJ4+ZBNFQG-1"/>
          <w:color w:val="000000" w:themeColor="text1"/>
          <w14:textFill>
            <w14:solidFill>
              <w14:schemeClr w14:val="tx1"/>
            </w14:solidFill>
          </w14:textFill>
        </w:rPr>
        <w:t>主义的</w:t>
      </w:r>
      <w:r>
        <w:rPr>
          <w:rFonts w:hint="eastAsia" w:ascii="宋体" w:hAnsi="宋体" w:cs="FZSSK--GBK1-00+ZBNFQH-5"/>
          <w:color w:val="000000" w:themeColor="text1"/>
          <w14:textFill>
            <w14:solidFill>
              <w14:schemeClr w14:val="tx1"/>
            </w14:solidFill>
          </w14:textFill>
        </w:rPr>
        <w:t>时候</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运</w:t>
      </w:r>
      <w:r>
        <w:rPr>
          <w:rFonts w:hint="eastAsia" w:ascii="宋体" w:hAnsi="宋体" w:cs="FZSSK--GBK1-00+ZBNFQI-10"/>
          <w:color w:val="000000" w:themeColor="text1"/>
          <w14:textFill>
            <w14:solidFill>
              <w14:schemeClr w14:val="tx1"/>
            </w14:solidFill>
          </w14:textFill>
        </w:rPr>
        <w:t>行</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调</w:t>
      </w:r>
      <w:r>
        <w:rPr>
          <w:rFonts w:hint="eastAsia" w:ascii="宋体" w:hAnsi="宋体" w:cs="FZSSK--GBK1-00+ZBNFQL-16"/>
          <w:color w:val="000000" w:themeColor="text1"/>
          <w14:textFill>
            <w14:solidFill>
              <w14:schemeClr w14:val="tx1"/>
            </w14:solidFill>
          </w14:textFill>
        </w:rPr>
        <w:t>节</w:t>
      </w:r>
      <w:r>
        <w:rPr>
          <w:rFonts w:hint="eastAsia" w:ascii="宋体" w:hAnsi="宋体" w:cs="FZSSK--GBK1-00+ZBNFQH-8"/>
          <w:color w:val="000000" w:themeColor="text1"/>
          <w14:textFill>
            <w14:solidFill>
              <w14:schemeClr w14:val="tx1"/>
            </w14:solidFill>
          </w14:textFill>
        </w:rPr>
        <w:t>方</w:t>
      </w:r>
      <w:r>
        <w:rPr>
          <w:rFonts w:hint="eastAsia" w:ascii="宋体" w:hAnsi="宋体" w:cs="FZSSK--GBK1-00+ZBNFQI-10"/>
          <w:color w:val="000000" w:themeColor="text1"/>
          <w14:textFill>
            <w14:solidFill>
              <w14:schemeClr w14:val="tx1"/>
            </w14:solidFill>
          </w14:textFill>
        </w:rPr>
        <w:t>式</w:t>
      </w:r>
      <w:r>
        <w:rPr>
          <w:rFonts w:hint="eastAsia" w:ascii="宋体" w:hAnsi="宋体" w:cs="SSJ4+ZBNFQG-1"/>
          <w:color w:val="000000" w:themeColor="text1"/>
          <w14:textFill>
            <w14:solidFill>
              <w14:schemeClr w14:val="tx1"/>
            </w14:solidFill>
          </w14:textFill>
        </w:rPr>
        <w:t>可以是</w:t>
      </w:r>
      <w:r>
        <w:rPr>
          <w:rFonts w:hint="eastAsia" w:ascii="宋体" w:hAnsi="宋体" w:cs="FZSSK--GBK1-00+ZBNFQI-9"/>
          <w:color w:val="000000" w:themeColor="text1"/>
          <w14:textFill>
            <w14:solidFill>
              <w14:schemeClr w14:val="tx1"/>
            </w14:solidFill>
          </w14:textFill>
        </w:rPr>
        <w:t>市</w:t>
      </w:r>
      <w:r>
        <w:rPr>
          <w:rFonts w:hint="eastAsia" w:ascii="宋体" w:hAnsi="宋体" w:cs="FZSSK--GBK1-00+ZBNFQH-5"/>
          <w:color w:val="000000" w:themeColor="text1"/>
          <w14:textFill>
            <w14:solidFill>
              <w14:schemeClr w14:val="tx1"/>
            </w14:solidFill>
          </w14:textFill>
        </w:rPr>
        <w:t>场</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，但是</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有</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占</w:t>
      </w:r>
      <w:r>
        <w:rPr>
          <w:rFonts w:hint="eastAsia" w:ascii="宋体" w:hAnsi="宋体" w:cs="SSJ4+ZBNFQG-1"/>
          <w:color w:val="000000" w:themeColor="text1"/>
          <w14:textFill>
            <w14:solidFill>
              <w14:schemeClr w14:val="tx1"/>
            </w14:solidFill>
          </w14:textFill>
        </w:rPr>
        <w:t>主</w:t>
      </w:r>
      <w:r>
        <w:rPr>
          <w:rFonts w:hint="eastAsia" w:ascii="宋体" w:hAnsi="宋体" w:cs="FZSSK--GBK1-00+ZBNFQH-8"/>
          <w:color w:val="000000" w:themeColor="text1"/>
          <w14:textFill>
            <w14:solidFill>
              <w14:schemeClr w14:val="tx1"/>
            </w14:solidFill>
          </w14:textFill>
        </w:rPr>
        <w:t>导</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是主要的本</w:t>
      </w:r>
      <w:r>
        <w:rPr>
          <w:rFonts w:hint="eastAsia" w:ascii="宋体" w:hAnsi="宋体" w:cs="FZSSK--GBK1-00+ZBNFQH-5"/>
          <w:color w:val="000000" w:themeColor="text1"/>
          <w14:textFill>
            <w14:solidFill>
              <w14:schemeClr w14:val="tx1"/>
            </w14:solidFill>
          </w14:textFill>
        </w:rPr>
        <w:t>质</w:t>
      </w:r>
      <w:r>
        <w:rPr>
          <w:rFonts w:hint="eastAsia" w:ascii="宋体" w:hAnsi="宋体" w:cs="FZSSK--GBK1-00+ZBNFQH-7"/>
          <w:color w:val="000000" w:themeColor="text1"/>
          <w14:textFill>
            <w14:solidFill>
              <w14:schemeClr w14:val="tx1"/>
            </w14:solidFill>
          </w14:textFill>
        </w:rPr>
        <w:t>性</w:t>
      </w:r>
      <w:r>
        <w:rPr>
          <w:rFonts w:hint="eastAsia" w:ascii="宋体" w:hAnsi="宋体" w:cs="FZSSK--GBK1-00+ZBNFQH-5"/>
          <w:color w:val="000000" w:themeColor="text1"/>
          <w14:textFill>
            <w14:solidFill>
              <w14:schemeClr w14:val="tx1"/>
            </w14:solidFill>
          </w14:textFill>
        </w:rPr>
        <w:t>特征</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西方</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7"/>
          <w:color w:val="000000" w:themeColor="text1"/>
          <w14:textFill>
            <w14:solidFill>
              <w14:schemeClr w14:val="tx1"/>
            </w14:solidFill>
          </w14:textFill>
        </w:rPr>
        <w:t>些</w:t>
      </w:r>
      <w:r>
        <w:rPr>
          <w:rFonts w:hint="eastAsia" w:ascii="宋体" w:hAnsi="宋体" w:cs="FZSSK--GBK1-00+ZBNFQH-8"/>
          <w:color w:val="000000" w:themeColor="text1"/>
          <w14:textFill>
            <w14:solidFill>
              <w14:schemeClr w14:val="tx1"/>
            </w14:solidFill>
          </w14:textFill>
        </w:rPr>
        <w:t>学</w:t>
      </w:r>
      <w:r>
        <w:rPr>
          <w:rFonts w:hint="eastAsia" w:ascii="宋体" w:hAnsi="宋体" w:cs="FZSSK--GBK1-00+ZBNFQI-10"/>
          <w:color w:val="000000" w:themeColor="text1"/>
          <w14:textFill>
            <w14:solidFill>
              <w14:schemeClr w14:val="tx1"/>
            </w14:solidFill>
          </w14:textFill>
        </w:rPr>
        <w:t>者</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看</w:t>
      </w:r>
      <w:r>
        <w:rPr>
          <w:rFonts w:hint="eastAsia" w:ascii="宋体" w:hAnsi="宋体" w:cs="FZSSK--GBK1-00+ZBNFQH-5"/>
          <w:color w:val="000000" w:themeColor="text1"/>
          <w14:textFill>
            <w14:solidFill>
              <w14:schemeClr w14:val="tx1"/>
            </w14:solidFill>
          </w14:textFill>
        </w:rPr>
        <w:t>到</w:t>
      </w:r>
      <w:r>
        <w:rPr>
          <w:rFonts w:hint="eastAsia" w:ascii="宋体" w:hAnsi="宋体" w:cs="SSJ4+ZBNFQG-1"/>
          <w:color w:val="000000" w:themeColor="text1"/>
          <w14:textFill>
            <w14:solidFill>
              <w14:schemeClr w14:val="tx1"/>
            </w14:solidFill>
          </w14:textFill>
        </w:rPr>
        <w:t>了</w:t>
      </w:r>
      <w:r>
        <w:rPr>
          <w:rFonts w:hint="eastAsia" w:ascii="宋体" w:hAnsi="宋体" w:cs="FZSSK--GBK1-00+ZBNFQH-5"/>
          <w:color w:val="000000" w:themeColor="text1"/>
          <w14:textFill>
            <w14:solidFill>
              <w14:schemeClr w14:val="tx1"/>
            </w14:solidFill>
          </w14:textFill>
        </w:rPr>
        <w:t>这一点</w:t>
      </w:r>
      <w:r>
        <w:rPr>
          <w:rFonts w:hint="eastAsia" w:ascii="宋体" w:hAnsi="宋体" w:cs="SSJ0+ZBNFQG-4"/>
          <w:color w:val="000000" w:themeColor="text1"/>
          <w14:textFill>
            <w14:solidFill>
              <w14:schemeClr w14:val="tx1"/>
            </w14:solidFill>
          </w14:textFill>
        </w:rPr>
        <w:t>。</w:t>
      </w:r>
    </w:p>
    <w:p w14:paraId="2EA3A952">
      <w:pPr>
        <w:autoSpaceDE w:val="0"/>
        <w:autoSpaceDN w:val="0"/>
        <w:adjustRightInd w:val="0"/>
        <w:spacing w:line="400" w:lineRule="exact"/>
        <w:ind w:firstLine="420" w:firstLineChars="200"/>
        <w:jc w:val="left"/>
        <w:rPr>
          <w:rFonts w:hint="eastAsia" w:ascii="宋体" w:hAnsi="宋体" w:cs="FZXBSK--GBK1-00+ZBNFQG-3"/>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当</w:t>
      </w:r>
      <w:r>
        <w:rPr>
          <w:rFonts w:hint="eastAsia" w:ascii="宋体" w:hAnsi="宋体" w:cs="FZSSK--GBK1-00+ZBNFQH-8"/>
          <w:color w:val="000000" w:themeColor="text1"/>
          <w14:textFill>
            <w14:solidFill>
              <w14:schemeClr w14:val="tx1"/>
            </w14:solidFill>
          </w14:textFill>
        </w:rPr>
        <w:t>然</w:t>
      </w:r>
      <w:r>
        <w:rPr>
          <w:rFonts w:hint="eastAsia" w:ascii="宋体" w:hAnsi="宋体" w:cs="SSJ4+ZBNFQG-1"/>
          <w:color w:val="000000" w:themeColor="text1"/>
          <w14:textFill>
            <w14:solidFill>
              <w14:schemeClr w14:val="tx1"/>
            </w14:solidFill>
          </w14:textFill>
        </w:rPr>
        <w:t>，国有经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管</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H-5"/>
          <w:color w:val="000000" w:themeColor="text1"/>
          <w14:textFill>
            <w14:solidFill>
              <w14:schemeClr w14:val="tx1"/>
            </w14:solidFill>
          </w14:textFill>
        </w:rPr>
        <w:t>也</w:t>
      </w:r>
      <w:r>
        <w:rPr>
          <w:rFonts w:hint="eastAsia" w:ascii="宋体" w:hAnsi="宋体" w:cs="FZSSK--GBK1-00+ZBNFQJ-12"/>
          <w:color w:val="000000" w:themeColor="text1"/>
          <w14:textFill>
            <w14:solidFill>
              <w14:schemeClr w14:val="tx1"/>
            </w14:solidFill>
          </w14:textFill>
        </w:rPr>
        <w:t>需</w:t>
      </w:r>
      <w:r>
        <w:rPr>
          <w:rFonts w:hint="eastAsia" w:ascii="宋体" w:hAnsi="宋体" w:cs="SSJ4+ZBNFQG-1"/>
          <w:color w:val="000000" w:themeColor="text1"/>
          <w14:textFill>
            <w14:solidFill>
              <w14:schemeClr w14:val="tx1"/>
            </w14:solidFill>
          </w14:textFill>
        </w:rPr>
        <w:t>要</w:t>
      </w:r>
      <w:r>
        <w:rPr>
          <w:rFonts w:hint="eastAsia" w:ascii="宋体" w:hAnsi="宋体" w:cs="FZSSK--GBK1-00+ZBNFQI-10"/>
          <w:color w:val="000000" w:themeColor="text1"/>
          <w14:textFill>
            <w14:solidFill>
              <w14:schemeClr w14:val="tx1"/>
            </w14:solidFill>
          </w14:textFill>
        </w:rPr>
        <w:t>改</w:t>
      </w:r>
      <w:r>
        <w:rPr>
          <w:rFonts w:hint="eastAsia" w:ascii="宋体" w:hAnsi="宋体" w:cs="FZSSK--GBK1-00+ZBNFQL-16"/>
          <w:color w:val="000000" w:themeColor="text1"/>
          <w14:textFill>
            <w14:solidFill>
              <w14:schemeClr w14:val="tx1"/>
            </w14:solidFill>
          </w14:textFill>
        </w:rPr>
        <w:t>善</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H-5"/>
          <w:color w:val="000000" w:themeColor="text1"/>
          <w14:textFill>
            <w14:solidFill>
              <w14:schemeClr w14:val="tx1"/>
            </w14:solidFill>
          </w14:textFill>
        </w:rPr>
        <w:t>如</w:t>
      </w:r>
      <w:r>
        <w:rPr>
          <w:rFonts w:hint="eastAsia" w:ascii="宋体" w:hAnsi="宋体" w:cs="SSJ4+ZBNFQG-1"/>
          <w:color w:val="000000" w:themeColor="text1"/>
          <w14:textFill>
            <w14:solidFill>
              <w14:schemeClr w14:val="tx1"/>
            </w14:solidFill>
          </w14:textFill>
        </w:rPr>
        <w:t>说</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I-10"/>
          <w:color w:val="000000" w:themeColor="text1"/>
          <w14:textFill>
            <w14:solidFill>
              <w14:schemeClr w14:val="tx1"/>
            </w14:solidFill>
          </w14:textFill>
        </w:rPr>
        <w:t>润</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财</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10"/>
          <w:color w:val="000000" w:themeColor="text1"/>
          <w14:textFill>
            <w14:solidFill>
              <w14:schemeClr w14:val="tx1"/>
            </w14:solidFill>
          </w14:textFill>
        </w:rPr>
        <w:t>部</w:t>
      </w:r>
      <w:r>
        <w:rPr>
          <w:rFonts w:hint="eastAsia" w:ascii="宋体" w:hAnsi="宋体" w:cs="FZSSK--GBK1-00+ZBNFQH-7"/>
          <w:color w:val="000000" w:themeColor="text1"/>
          <w14:textFill>
            <w14:solidFill>
              <w14:schemeClr w14:val="tx1"/>
            </w14:solidFill>
          </w14:textFill>
        </w:rPr>
        <w:t>或</w:t>
      </w:r>
      <w:r>
        <w:rPr>
          <w:rFonts w:hint="eastAsia" w:ascii="宋体" w:hAnsi="宋体" w:cs="FZSSK--GBK1-00+ZBNFQI-10"/>
          <w:color w:val="000000" w:themeColor="text1"/>
          <w14:textFill>
            <w14:solidFill>
              <w14:schemeClr w14:val="tx1"/>
            </w14:solidFill>
          </w14:textFill>
        </w:rPr>
        <w:t>者</w:t>
      </w:r>
      <w:r>
        <w:rPr>
          <w:rFonts w:hint="eastAsia" w:ascii="宋体" w:hAnsi="宋体" w:cs="SSJ4+ZBNFQG-1"/>
          <w:color w:val="000000" w:themeColor="text1"/>
          <w14:textFill>
            <w14:solidFill>
              <w14:schemeClr w14:val="tx1"/>
            </w14:solidFill>
          </w14:textFill>
        </w:rPr>
        <w:t>国资</w:t>
      </w:r>
      <w:r>
        <w:rPr>
          <w:rFonts w:hint="eastAsia" w:ascii="宋体" w:hAnsi="宋体" w:cs="FZSSK--GBK1-00+ZBNFQL-16"/>
          <w:color w:val="000000" w:themeColor="text1"/>
          <w14:textFill>
            <w14:solidFill>
              <w14:schemeClr w14:val="tx1"/>
            </w14:solidFill>
          </w14:textFill>
        </w:rPr>
        <w:t>委</w:t>
      </w:r>
      <w:r>
        <w:rPr>
          <w:rFonts w:hint="eastAsia" w:ascii="宋体" w:hAnsi="宋体" w:cs="FZSSK--GBK1-00+ZBNFQJ-12"/>
          <w:color w:val="000000" w:themeColor="text1"/>
          <w14:textFill>
            <w14:solidFill>
              <w14:schemeClr w14:val="tx1"/>
            </w14:solidFill>
          </w14:textFill>
        </w:rPr>
        <w:t>只</w:t>
      </w:r>
      <w:r>
        <w:rPr>
          <w:rFonts w:hint="eastAsia" w:ascii="宋体" w:hAnsi="宋体" w:cs="FZSSK--GBK1-00+ZBNFQQ-24"/>
          <w:color w:val="000000" w:themeColor="text1"/>
          <w14:textFill>
            <w14:solidFill>
              <w14:schemeClr w14:val="tx1"/>
            </w14:solidFill>
          </w14:textFill>
        </w:rPr>
        <w:t>允</w:t>
      </w:r>
      <w:r>
        <w:rPr>
          <w:rFonts w:hint="eastAsia" w:ascii="宋体" w:hAnsi="宋体" w:cs="FZSSK--GBK1-00+ZBNFQL-16"/>
          <w:color w:val="000000" w:themeColor="text1"/>
          <w14:textFill>
            <w14:solidFill>
              <w14:schemeClr w14:val="tx1"/>
            </w14:solidFill>
          </w14:textFill>
        </w:rPr>
        <w:t>许</w:t>
      </w:r>
      <w:r>
        <w:rPr>
          <w:rFonts w:hint="eastAsia" w:ascii="宋体" w:hAnsi="宋体" w:cs="FZSSK--GBK1-00+ZBNFQJ-12"/>
          <w:color w:val="000000" w:themeColor="text1"/>
          <w14:textFill>
            <w14:solidFill>
              <w14:schemeClr w14:val="tx1"/>
            </w14:solidFill>
          </w14:textFill>
        </w:rPr>
        <w:t>交</w:t>
      </w:r>
      <w:r>
        <w:rPr>
          <w:rFonts w:hint="eastAsia" w:ascii="宋体" w:hAnsi="宋体" w:cs="E-BZ+ZBNFQH-6"/>
          <w:color w:val="000000" w:themeColor="text1"/>
          <w14:textFill>
            <w14:solidFill>
              <w14:schemeClr w14:val="tx1"/>
            </w14:solidFill>
          </w14:textFill>
        </w:rPr>
        <w:t>5%</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I-10"/>
          <w:color w:val="000000" w:themeColor="text1"/>
          <w14:textFill>
            <w14:solidFill>
              <w14:schemeClr w14:val="tx1"/>
            </w14:solidFill>
          </w14:textFill>
        </w:rPr>
        <w:t>润</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后</w:t>
      </w:r>
      <w:r>
        <w:rPr>
          <w:rFonts w:hint="eastAsia" w:ascii="宋体" w:hAnsi="宋体" w:cs="SSJ4+ZBNFQG-1"/>
          <w:color w:val="000000" w:themeColor="text1"/>
          <w14:textFill>
            <w14:solidFill>
              <w14:schemeClr w14:val="tx1"/>
            </w14:solidFill>
          </w14:textFill>
        </w:rPr>
        <w:t>来</w:t>
      </w:r>
      <w:r>
        <w:rPr>
          <w:rFonts w:hint="eastAsia" w:ascii="宋体" w:hAnsi="宋体" w:cs="FZSSK--GBK1-00+ZBNFQH-8"/>
          <w:color w:val="000000" w:themeColor="text1"/>
          <w14:textFill>
            <w14:solidFill>
              <w14:schemeClr w14:val="tx1"/>
            </w14:solidFill>
          </w14:textFill>
        </w:rPr>
        <w:t>又</w:t>
      </w:r>
      <w:r>
        <w:rPr>
          <w:rFonts w:hint="eastAsia" w:ascii="宋体" w:hAnsi="宋体" w:cs="SSJ4+ZBNFQG-1"/>
          <w:color w:val="000000" w:themeColor="text1"/>
          <w14:textFill>
            <w14:solidFill>
              <w14:schemeClr w14:val="tx1"/>
            </w14:solidFill>
          </w14:textFill>
        </w:rPr>
        <w:t>说</w:t>
      </w:r>
      <w:r>
        <w:rPr>
          <w:rFonts w:hint="eastAsia" w:ascii="宋体" w:hAnsi="宋体" w:cs="E-BZ+ZBNFQH-6"/>
          <w:color w:val="000000" w:themeColor="text1"/>
          <w14:textFill>
            <w14:solidFill>
              <w14:schemeClr w14:val="tx1"/>
            </w14:solidFill>
          </w14:textFill>
        </w:rPr>
        <w:t>5%</w:t>
      </w:r>
      <w:r>
        <w:rPr>
          <w:rFonts w:hint="eastAsia" w:ascii="宋体" w:hAnsi="宋体" w:cs="FZSSK--GBK1-00+ZBNFQH-5"/>
          <w:color w:val="000000" w:themeColor="text1"/>
          <w14:textFill>
            <w14:solidFill>
              <w14:schemeClr w14:val="tx1"/>
            </w14:solidFill>
          </w14:textFill>
        </w:rPr>
        <w:t>到</w:t>
      </w:r>
      <w:r>
        <w:rPr>
          <w:rFonts w:hint="eastAsia" w:ascii="宋体" w:hAnsi="宋体" w:cs="E-BZ+ZBNFQH-6"/>
          <w:color w:val="000000" w:themeColor="text1"/>
          <w14:textFill>
            <w14:solidFill>
              <w14:schemeClr w14:val="tx1"/>
            </w14:solidFill>
          </w14:textFill>
        </w:rPr>
        <w:t>15%</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个</w:t>
      </w:r>
      <w:r>
        <w:rPr>
          <w:rFonts w:hint="eastAsia" w:ascii="宋体" w:hAnsi="宋体" w:cs="FZSSK--GBK1-00+ZBNFQH-7"/>
          <w:color w:val="000000" w:themeColor="text1"/>
          <w14:textFill>
            <w14:solidFill>
              <w14:schemeClr w14:val="tx1"/>
            </w14:solidFill>
          </w14:textFill>
        </w:rPr>
        <w:t>定</w:t>
      </w:r>
      <w:r>
        <w:rPr>
          <w:rFonts w:hint="eastAsia" w:ascii="宋体" w:hAnsi="宋体" w:cs="FZSSK--GBK1-00+ZBNFQH-8"/>
          <w:color w:val="000000" w:themeColor="text1"/>
          <w14:textFill>
            <w14:solidFill>
              <w14:schemeClr w14:val="tx1"/>
            </w14:solidFill>
          </w14:textFill>
        </w:rPr>
        <w:t>得</w:t>
      </w:r>
      <w:r>
        <w:rPr>
          <w:rFonts w:hint="eastAsia" w:ascii="宋体" w:hAnsi="宋体" w:cs="FZSSK--GBK1-00+ZBNFQL-16"/>
          <w:color w:val="000000" w:themeColor="text1"/>
          <w14:textFill>
            <w14:solidFill>
              <w14:schemeClr w14:val="tx1"/>
            </w14:solidFill>
          </w14:textFill>
        </w:rPr>
        <w:t>太</w:t>
      </w:r>
      <w:r>
        <w:rPr>
          <w:rFonts w:hint="eastAsia" w:ascii="宋体" w:hAnsi="宋体" w:cs="FZSSK--GBK1-00+ZBNFQH-7"/>
          <w:color w:val="000000" w:themeColor="text1"/>
          <w14:textFill>
            <w14:solidFill>
              <w14:schemeClr w14:val="tx1"/>
            </w14:solidFill>
          </w14:textFill>
        </w:rPr>
        <w:t>死</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I-10"/>
          <w:color w:val="000000" w:themeColor="text1"/>
          <w14:textFill>
            <w14:solidFill>
              <w14:schemeClr w14:val="tx1"/>
            </w14:solidFill>
          </w14:textFill>
        </w:rPr>
        <w:t>该</w:t>
      </w:r>
      <w:r>
        <w:rPr>
          <w:rFonts w:hint="eastAsia" w:ascii="宋体" w:hAnsi="宋体" w:cs="FZSSK--GBK1-00+ZBNFQH-5"/>
          <w:color w:val="000000" w:themeColor="text1"/>
          <w14:textFill>
            <w14:solidFill>
              <w14:schemeClr w14:val="tx1"/>
            </w14:solidFill>
          </w14:textFill>
        </w:rPr>
        <w:t>根</w:t>
      </w:r>
      <w:r>
        <w:rPr>
          <w:rFonts w:hint="eastAsia" w:ascii="宋体" w:hAnsi="宋体" w:cs="FZSSK--GBK1-00+ZBNFQI-9"/>
          <w:color w:val="000000" w:themeColor="text1"/>
          <w14:textFill>
            <w14:solidFill>
              <w14:schemeClr w14:val="tx1"/>
            </w14:solidFill>
          </w14:textFill>
        </w:rPr>
        <w:t>据</w:t>
      </w:r>
      <w:r>
        <w:rPr>
          <w:rFonts w:hint="eastAsia" w:ascii="宋体" w:hAnsi="宋体" w:cs="FZSSK--GBK1-00+ZBNFQM-17"/>
          <w:color w:val="000000" w:themeColor="text1"/>
          <w14:textFill>
            <w14:solidFill>
              <w14:schemeClr w14:val="tx1"/>
            </w14:solidFill>
          </w14:textFill>
        </w:rPr>
        <w:t>每</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个</w:t>
      </w:r>
      <w:r>
        <w:rPr>
          <w:rFonts w:hint="eastAsia" w:ascii="宋体" w:hAnsi="宋体" w:cs="FZSSK--GBK1-00+ZBNFQJ-12"/>
          <w:color w:val="000000" w:themeColor="text1"/>
          <w14:textFill>
            <w14:solidFill>
              <w14:schemeClr w14:val="tx1"/>
            </w14:solidFill>
          </w14:textFill>
        </w:rPr>
        <w:t>企业</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情</w:t>
      </w:r>
      <w:r>
        <w:rPr>
          <w:rFonts w:hint="eastAsia" w:ascii="宋体" w:hAnsi="宋体" w:cs="FZSSK--GBK1-00+ZBNFQL-16"/>
          <w:color w:val="000000" w:themeColor="text1"/>
          <w14:textFill>
            <w14:solidFill>
              <w14:schemeClr w14:val="tx1"/>
            </w14:solidFill>
          </w14:textFill>
        </w:rPr>
        <w:t>况</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J-12"/>
          <w:color w:val="000000" w:themeColor="text1"/>
          <w14:textFill>
            <w14:solidFill>
              <w14:schemeClr w14:val="tx1"/>
            </w14:solidFill>
          </w14:textFill>
        </w:rPr>
        <w:t>需</w:t>
      </w:r>
      <w:r>
        <w:rPr>
          <w:rFonts w:hint="eastAsia" w:ascii="宋体" w:hAnsi="宋体" w:cs="SSJ4+ZBNFQG-1"/>
          <w:color w:val="000000" w:themeColor="text1"/>
          <w14:textFill>
            <w14:solidFill>
              <w14:schemeClr w14:val="tx1"/>
            </w14:solidFill>
          </w14:textFill>
        </w:rPr>
        <w:t>要</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个国有</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J-13"/>
          <w:color w:val="000000" w:themeColor="text1"/>
          <w14:textFill>
            <w14:solidFill>
              <w14:schemeClr w14:val="tx1"/>
            </w14:solidFill>
          </w14:textFill>
        </w:rPr>
        <w:t>继</w:t>
      </w:r>
      <w:r>
        <w:rPr>
          <w:rFonts w:hint="eastAsia" w:ascii="宋体" w:hAnsi="宋体" w:cs="FZSSK--GBK1-00+ZBNFQH-8"/>
          <w:color w:val="000000" w:themeColor="text1"/>
          <w14:textFill>
            <w14:solidFill>
              <w14:schemeClr w14:val="tx1"/>
            </w14:solidFill>
          </w14:textFill>
        </w:rPr>
        <w:t>续</w:t>
      </w:r>
      <w:r>
        <w:rPr>
          <w:rFonts w:hint="eastAsia" w:ascii="宋体" w:hAnsi="宋体" w:cs="SSJ4+ZBNFQG-1"/>
          <w:color w:val="000000" w:themeColor="text1"/>
          <w14:textFill>
            <w14:solidFill>
              <w14:schemeClr w14:val="tx1"/>
            </w14:solidFill>
          </w14:textFill>
        </w:rPr>
        <w:t>大</w:t>
      </w:r>
      <w:r>
        <w:rPr>
          <w:rFonts w:hint="eastAsia" w:ascii="宋体" w:hAnsi="宋体" w:cs="FZSSK--GBK1-00+ZBNFQI-9"/>
          <w:color w:val="000000" w:themeColor="text1"/>
          <w14:textFill>
            <w14:solidFill>
              <w14:schemeClr w14:val="tx1"/>
            </w14:solidFill>
          </w14:textFill>
        </w:rPr>
        <w:t>规模</w:t>
      </w:r>
      <w:r>
        <w:rPr>
          <w:rFonts w:hint="eastAsia" w:ascii="宋体" w:hAnsi="宋体" w:cs="SSJ4+ZBNFQG-1"/>
          <w:color w:val="000000" w:themeColor="text1"/>
          <w14:textFill>
            <w14:solidFill>
              <w14:schemeClr w14:val="tx1"/>
            </w14:solidFill>
          </w14:textFill>
        </w:rPr>
        <w:t>发展，</w:t>
      </w:r>
      <w:r>
        <w:rPr>
          <w:rFonts w:hint="eastAsia" w:ascii="宋体" w:hAnsi="宋体" w:cs="FZSSK--GBK1-00+ZBNFQH-5"/>
          <w:color w:val="000000" w:themeColor="text1"/>
          <w14:textFill>
            <w14:solidFill>
              <w14:schemeClr w14:val="tx1"/>
            </w14:solidFill>
          </w14:textFill>
        </w:rPr>
        <w:t>那</w:t>
      </w:r>
      <w:r>
        <w:rPr>
          <w:rFonts w:hint="eastAsia" w:ascii="宋体" w:hAnsi="宋体" w:cs="FZSSK--GBK1-00+ZBNFQI-10"/>
          <w:color w:val="000000" w:themeColor="text1"/>
          <w14:textFill>
            <w14:solidFill>
              <w14:schemeClr w14:val="tx1"/>
            </w14:solidFill>
          </w14:textFill>
        </w:rPr>
        <w:t>么</w:t>
      </w:r>
      <w:r>
        <w:rPr>
          <w:rFonts w:hint="eastAsia" w:ascii="宋体" w:hAnsi="宋体" w:cs="FZSSK--GBK1-00+ZBNFQH-5"/>
          <w:color w:val="000000" w:themeColor="text1"/>
          <w14:textFill>
            <w14:solidFill>
              <w14:schemeClr w14:val="tx1"/>
            </w14:solidFill>
          </w14:textFill>
        </w:rPr>
        <w:t>就</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钱</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J-12"/>
          <w:color w:val="000000" w:themeColor="text1"/>
          <w14:textFill>
            <w14:solidFill>
              <w14:schemeClr w14:val="tx1"/>
            </w14:solidFill>
          </w14:textFill>
        </w:rPr>
        <w:t>交</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是可以的，</w:t>
      </w:r>
      <w:r>
        <w:rPr>
          <w:rFonts w:hint="eastAsia" w:ascii="宋体" w:hAnsi="宋体" w:cs="FZSSK--GBK1-00+ZBNFQH-5"/>
          <w:color w:val="000000" w:themeColor="text1"/>
          <w14:textFill>
            <w14:solidFill>
              <w14:schemeClr w14:val="tx1"/>
            </w14:solidFill>
          </w14:textFill>
        </w:rPr>
        <w:t>如果不</w:t>
      </w:r>
      <w:r>
        <w:rPr>
          <w:rFonts w:hint="eastAsia" w:ascii="宋体" w:hAnsi="宋体" w:cs="FZSSK--GBK1-00+ZBNFQL-16"/>
          <w:color w:val="000000" w:themeColor="text1"/>
          <w14:textFill>
            <w14:solidFill>
              <w14:schemeClr w14:val="tx1"/>
            </w14:solidFill>
          </w14:textFill>
        </w:rPr>
        <w:t>太</w:t>
      </w:r>
      <w:r>
        <w:rPr>
          <w:rFonts w:hint="eastAsia" w:ascii="宋体" w:hAnsi="宋体" w:cs="FZSSK--GBK1-00+ZBNFQJ-12"/>
          <w:color w:val="000000" w:themeColor="text1"/>
          <w14:textFill>
            <w14:solidFill>
              <w14:schemeClr w14:val="tx1"/>
            </w14:solidFill>
          </w14:textFill>
        </w:rPr>
        <w:t>需</w:t>
      </w:r>
      <w:r>
        <w:rPr>
          <w:rFonts w:hint="eastAsia" w:ascii="宋体" w:hAnsi="宋体" w:cs="SSJ4+ZBNFQG-1"/>
          <w:color w:val="000000" w:themeColor="text1"/>
          <w14:textFill>
            <w14:solidFill>
              <w14:schemeClr w14:val="tx1"/>
            </w14:solidFill>
          </w14:textFill>
        </w:rPr>
        <w:t>要</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个国</w:t>
      </w:r>
      <w:r>
        <w:rPr>
          <w:rFonts w:hint="eastAsia" w:ascii="宋体" w:hAnsi="宋体" w:cs="FZSSK--GBK1-00+ZBNFQJ-12"/>
          <w:color w:val="000000" w:themeColor="text1"/>
          <w14:textFill>
            <w14:solidFill>
              <w14:schemeClr w14:val="tx1"/>
            </w14:solidFill>
          </w14:textFill>
        </w:rPr>
        <w:t>企</w:t>
      </w:r>
      <w:r>
        <w:rPr>
          <w:rFonts w:hint="eastAsia" w:ascii="宋体" w:hAnsi="宋体" w:cs="SSJ4+ZBNFQG-1"/>
          <w:color w:val="000000" w:themeColor="text1"/>
          <w14:textFill>
            <w14:solidFill>
              <w14:schemeClr w14:val="tx1"/>
            </w14:solidFill>
          </w14:textFill>
        </w:rPr>
        <w:t>发展，</w:t>
      </w:r>
      <w:r>
        <w:rPr>
          <w:rFonts w:hint="eastAsia" w:ascii="宋体" w:hAnsi="宋体" w:cs="FZSSK--GBK1-00+ZBNFQH-5"/>
          <w:color w:val="000000" w:themeColor="text1"/>
          <w14:textFill>
            <w14:solidFill>
              <w14:schemeClr w14:val="tx1"/>
            </w14:solidFill>
          </w14:textFill>
        </w:rPr>
        <w:t>那它就</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I-10"/>
          <w:color w:val="000000" w:themeColor="text1"/>
          <w14:textFill>
            <w14:solidFill>
              <w14:schemeClr w14:val="tx1"/>
            </w14:solidFill>
          </w14:textFill>
        </w:rPr>
        <w:t>该</w:t>
      </w:r>
      <w:r>
        <w:rPr>
          <w:rFonts w:hint="eastAsia" w:ascii="宋体" w:hAnsi="宋体" w:cs="FZSSK--GBK1-00+ZBNFQJ-12"/>
          <w:color w:val="000000" w:themeColor="text1"/>
          <w14:textFill>
            <w14:solidFill>
              <w14:schemeClr w14:val="tx1"/>
            </w14:solidFill>
          </w14:textFill>
        </w:rPr>
        <w:t>交</w:t>
      </w:r>
      <w:r>
        <w:rPr>
          <w:rFonts w:hint="eastAsia" w:ascii="宋体" w:hAnsi="宋体" w:cs="FZSSK--GBK1-00+ZBNFQH-7"/>
          <w:color w:val="000000" w:themeColor="text1"/>
          <w14:textFill>
            <w14:solidFill>
              <w14:schemeClr w14:val="tx1"/>
            </w14:solidFill>
          </w14:textFill>
        </w:rPr>
        <w:t>超</w:t>
      </w:r>
      <w:r>
        <w:rPr>
          <w:rFonts w:hint="eastAsia" w:ascii="宋体" w:hAnsi="宋体" w:cs="FZSSK--GBK1-00+ZBNFQH-5"/>
          <w:color w:val="000000" w:themeColor="text1"/>
          <w14:textFill>
            <w14:solidFill>
              <w14:schemeClr w14:val="tx1"/>
            </w14:solidFill>
          </w14:textFill>
        </w:rPr>
        <w:t>过</w:t>
      </w:r>
      <w:r>
        <w:rPr>
          <w:rFonts w:hint="eastAsia" w:ascii="宋体" w:hAnsi="宋体" w:cs="E-BZ+ZBNFQH-6"/>
          <w:color w:val="000000" w:themeColor="text1"/>
          <w14:textFill>
            <w14:solidFill>
              <w14:schemeClr w14:val="tx1"/>
            </w14:solidFill>
          </w14:textFill>
        </w:rPr>
        <w:t>15%</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I-10"/>
          <w:color w:val="000000" w:themeColor="text1"/>
          <w14:textFill>
            <w14:solidFill>
              <w14:schemeClr w14:val="tx1"/>
            </w14:solidFill>
          </w14:textFill>
        </w:rPr>
        <w:t>润</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重</w:t>
      </w:r>
      <w:r>
        <w:rPr>
          <w:rFonts w:hint="eastAsia" w:ascii="宋体" w:hAnsi="宋体" w:cs="FZSSK--GBK1-00+ZBNFQP-23"/>
          <w:color w:val="000000" w:themeColor="text1"/>
          <w14:textFill>
            <w14:solidFill>
              <w14:schemeClr w14:val="tx1"/>
            </w14:solidFill>
          </w14:textFill>
        </w:rPr>
        <w:t>庆</w:t>
      </w:r>
      <w:r>
        <w:rPr>
          <w:rFonts w:hint="eastAsia" w:ascii="宋体" w:hAnsi="宋体" w:cs="FZSSK--GBK1-00+ZBNFQI-9"/>
          <w:color w:val="000000" w:themeColor="text1"/>
          <w14:textFill>
            <w14:solidFill>
              <w14:schemeClr w14:val="tx1"/>
            </w14:solidFill>
          </w14:textFill>
        </w:rPr>
        <w:t>规</w:t>
      </w:r>
      <w:r>
        <w:rPr>
          <w:rFonts w:hint="eastAsia" w:ascii="宋体" w:hAnsi="宋体" w:cs="FZSSK--GBK1-00+ZBNFQH-7"/>
          <w:color w:val="000000" w:themeColor="text1"/>
          <w14:textFill>
            <w14:solidFill>
              <w14:schemeClr w14:val="tx1"/>
            </w14:solidFill>
          </w14:textFill>
        </w:rPr>
        <w:t>定</w:t>
      </w:r>
      <w:r>
        <w:rPr>
          <w:rFonts w:hint="eastAsia" w:ascii="宋体" w:hAnsi="宋体" w:cs="SSJ4+ZBNFQG-1"/>
          <w:color w:val="000000" w:themeColor="text1"/>
          <w14:textFill>
            <w14:solidFill>
              <w14:schemeClr w14:val="tx1"/>
            </w14:solidFill>
          </w14:textFill>
        </w:rPr>
        <w:t>国</w:t>
      </w:r>
      <w:r>
        <w:rPr>
          <w:rFonts w:hint="eastAsia" w:ascii="宋体" w:hAnsi="宋体" w:cs="FZSSK--GBK1-00+ZBNFQJ-12"/>
          <w:color w:val="000000" w:themeColor="text1"/>
          <w14:textFill>
            <w14:solidFill>
              <w14:schemeClr w14:val="tx1"/>
            </w14:solidFill>
          </w14:textFill>
        </w:rPr>
        <w:t>企</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I-10"/>
          <w:color w:val="000000" w:themeColor="text1"/>
          <w14:textFill>
            <w14:solidFill>
              <w14:schemeClr w14:val="tx1"/>
            </w14:solidFill>
          </w14:textFill>
        </w:rPr>
        <w:t>润</w:t>
      </w:r>
      <w:r>
        <w:rPr>
          <w:rFonts w:hint="eastAsia" w:ascii="宋体" w:hAnsi="宋体" w:cs="E-BZ+ZBNFQH-6"/>
          <w:color w:val="000000" w:themeColor="text1"/>
          <w14:textFill>
            <w14:solidFill>
              <w14:schemeClr w14:val="tx1"/>
            </w14:solidFill>
          </w14:textFill>
        </w:rPr>
        <w:t>30%</w:t>
      </w:r>
      <w:r>
        <w:rPr>
          <w:rFonts w:hint="eastAsia" w:ascii="宋体" w:hAnsi="宋体" w:cs="FZSSK--GBK1-00+ZBNFQJ-12"/>
          <w:color w:val="000000" w:themeColor="text1"/>
          <w14:textFill>
            <w14:solidFill>
              <w14:schemeClr w14:val="tx1"/>
            </w14:solidFill>
          </w14:textFill>
        </w:rPr>
        <w:t>交</w:t>
      </w:r>
      <w:r>
        <w:rPr>
          <w:rFonts w:hint="eastAsia" w:ascii="宋体" w:hAnsi="宋体" w:cs="FZSSK--GBK1-00+ZBNFQI-9"/>
          <w:color w:val="000000" w:themeColor="text1"/>
          <w14:textFill>
            <w14:solidFill>
              <w14:schemeClr w14:val="tx1"/>
            </w14:solidFill>
          </w14:textFill>
        </w:rPr>
        <w:t>财</w:t>
      </w:r>
      <w:r>
        <w:rPr>
          <w:rFonts w:hint="eastAsia" w:ascii="宋体" w:hAnsi="宋体" w:cs="FZSSK--GBK1-00+ZBNFQH-7"/>
          <w:color w:val="000000" w:themeColor="text1"/>
          <w14:textFill>
            <w14:solidFill>
              <w14:schemeClr w14:val="tx1"/>
            </w14:solidFill>
          </w14:textFill>
        </w:rPr>
        <w:t>政</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然</w:t>
      </w:r>
      <w:r>
        <w:rPr>
          <w:rFonts w:hint="eastAsia" w:ascii="宋体" w:hAnsi="宋体" w:cs="FZSSK--GBK1-00+ZBNFQH-7"/>
          <w:color w:val="000000" w:themeColor="text1"/>
          <w14:textFill>
            <w14:solidFill>
              <w14:schemeClr w14:val="tx1"/>
            </w14:solidFill>
          </w14:textFill>
        </w:rPr>
        <w:t>后</w:t>
      </w:r>
      <w:r>
        <w:rPr>
          <w:rFonts w:hint="eastAsia" w:ascii="宋体" w:hAnsi="宋体" w:cs="FZSSK--GBK1-00+ZBNFQI-9"/>
          <w:color w:val="000000" w:themeColor="text1"/>
          <w14:textFill>
            <w14:solidFill>
              <w14:schemeClr w14:val="tx1"/>
            </w14:solidFill>
          </w14:textFill>
        </w:rPr>
        <w:t>财</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10"/>
          <w:color w:val="000000" w:themeColor="text1"/>
          <w14:textFill>
            <w14:solidFill>
              <w14:schemeClr w14:val="tx1"/>
            </w14:solidFill>
          </w14:textFill>
        </w:rPr>
        <w:t>里</w:t>
      </w:r>
      <w:r>
        <w:rPr>
          <w:rFonts w:hint="eastAsia" w:ascii="宋体" w:hAnsi="宋体" w:cs="SSJ4+ZBNFQG-1"/>
          <w:color w:val="000000" w:themeColor="text1"/>
          <w14:textFill>
            <w14:solidFill>
              <w14:schemeClr w14:val="tx1"/>
            </w14:solidFill>
          </w14:textFill>
        </w:rPr>
        <w:t>面</w:t>
      </w:r>
      <w:r>
        <w:rPr>
          <w:rFonts w:hint="eastAsia" w:ascii="宋体" w:hAnsi="宋体" w:cs="E-BZ+ZBNFQH-6"/>
          <w:color w:val="000000" w:themeColor="text1"/>
          <w14:textFill>
            <w14:solidFill>
              <w14:schemeClr w14:val="tx1"/>
            </w14:solidFill>
          </w14:textFill>
        </w:rPr>
        <w:t>50%</w:t>
      </w:r>
      <w:r>
        <w:rPr>
          <w:rFonts w:hint="eastAsia" w:ascii="宋体" w:hAnsi="宋体" w:cs="FZSSK--GBK1-00+ZBNFQH-8"/>
          <w:color w:val="000000" w:themeColor="text1"/>
          <w14:textFill>
            <w14:solidFill>
              <w14:schemeClr w14:val="tx1"/>
            </w14:solidFill>
          </w14:textFill>
        </w:rPr>
        <w:t>用</w:t>
      </w:r>
      <w:r>
        <w:rPr>
          <w:rFonts w:hint="eastAsia" w:ascii="宋体" w:hAnsi="宋体" w:cs="SSJ4+ZBNFQG-1"/>
          <w:color w:val="000000" w:themeColor="text1"/>
          <w14:textFill>
            <w14:solidFill>
              <w14:schemeClr w14:val="tx1"/>
            </w14:solidFill>
          </w14:textFill>
        </w:rPr>
        <w:t>于</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生</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其</w:t>
      </w:r>
      <w:r>
        <w:rPr>
          <w:rFonts w:hint="eastAsia" w:ascii="宋体" w:hAnsi="宋体" w:cs="SSJ4+ZBNFQG-1"/>
          <w:color w:val="000000" w:themeColor="text1"/>
          <w14:textFill>
            <w14:solidFill>
              <w14:schemeClr w14:val="tx1"/>
            </w14:solidFill>
          </w14:textFill>
        </w:rPr>
        <w:t>次是国</w:t>
      </w:r>
      <w:r>
        <w:rPr>
          <w:rFonts w:hint="eastAsia" w:ascii="宋体" w:hAnsi="宋体" w:cs="FZSSK--GBK1-00+ZBNFQJ-12"/>
          <w:color w:val="000000" w:themeColor="text1"/>
          <w14:textFill>
            <w14:solidFill>
              <w14:schemeClr w14:val="tx1"/>
            </w14:solidFill>
          </w14:textFill>
        </w:rPr>
        <w:t>企</w:t>
      </w:r>
      <w:r>
        <w:rPr>
          <w:rFonts w:hint="eastAsia" w:ascii="宋体" w:hAnsi="宋体" w:cs="FZSSK--GBK1-00+ZBNFQK-14"/>
          <w:color w:val="000000" w:themeColor="text1"/>
          <w14:textFill>
            <w14:solidFill>
              <w14:schemeClr w14:val="tx1"/>
            </w14:solidFill>
          </w14:textFill>
        </w:rPr>
        <w:t>老</w:t>
      </w:r>
      <w:r>
        <w:rPr>
          <w:rFonts w:hint="eastAsia" w:ascii="宋体" w:hAnsi="宋体" w:cs="SSJ4+ZBNFQG-1"/>
          <w:color w:val="000000" w:themeColor="text1"/>
          <w14:textFill>
            <w14:solidFill>
              <w14:schemeClr w14:val="tx1"/>
            </w14:solidFill>
          </w14:textFill>
        </w:rPr>
        <w:t>总和</w:t>
      </w:r>
      <w:r>
        <w:rPr>
          <w:rFonts w:hint="eastAsia" w:ascii="宋体" w:hAnsi="宋体" w:cs="FZSSK--GBK1-00+ZBNFQJ-12"/>
          <w:color w:val="000000" w:themeColor="text1"/>
          <w14:textFill>
            <w14:solidFill>
              <w14:schemeClr w14:val="tx1"/>
            </w14:solidFill>
          </w14:textFill>
        </w:rPr>
        <w:t>员</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入过</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激</w:t>
      </w:r>
      <w:r>
        <w:rPr>
          <w:rFonts w:hint="eastAsia" w:ascii="宋体" w:hAnsi="宋体" w:cs="FZSSK--GBK1-00+ZBNFQH-8"/>
          <w:color w:val="000000" w:themeColor="text1"/>
          <w14:textFill>
            <w14:solidFill>
              <w14:schemeClr w14:val="tx1"/>
            </w14:solidFill>
          </w14:textFill>
        </w:rPr>
        <w:t>起</w:t>
      </w:r>
      <w:r>
        <w:rPr>
          <w:rFonts w:hint="eastAsia" w:ascii="宋体" w:hAnsi="宋体" w:cs="SSJ4+ZBNFQG-1"/>
          <w:color w:val="000000" w:themeColor="text1"/>
          <w14:textFill>
            <w14:solidFill>
              <w14:schemeClr w14:val="tx1"/>
            </w14:solidFill>
          </w14:textFill>
        </w:rPr>
        <w:t>了</w:t>
      </w:r>
      <w:r>
        <w:rPr>
          <w:rFonts w:hint="eastAsia" w:ascii="宋体" w:hAnsi="宋体" w:cs="FZSSK--GBK1-00+ZBNFQH-8"/>
          <w:color w:val="000000" w:themeColor="text1"/>
          <w14:textFill>
            <w14:solidFill>
              <w14:schemeClr w14:val="tx1"/>
            </w14:solidFill>
          </w14:textFill>
        </w:rPr>
        <w:t>广</w:t>
      </w:r>
      <w:r>
        <w:rPr>
          <w:rFonts w:hint="eastAsia" w:ascii="宋体" w:hAnsi="宋体" w:cs="SSJ4+ZBNFQG-1"/>
          <w:color w:val="000000" w:themeColor="text1"/>
          <w14:textFill>
            <w14:solidFill>
              <w14:schemeClr w14:val="tx1"/>
            </w14:solidFill>
          </w14:textFill>
        </w:rPr>
        <w:t>大</w:t>
      </w:r>
      <w:r>
        <w:rPr>
          <w:rFonts w:hint="eastAsia" w:ascii="宋体" w:hAnsi="宋体" w:cs="FZSSK--GBK1-00+ZBNFQJ-12"/>
          <w:color w:val="000000" w:themeColor="text1"/>
          <w14:textFill>
            <w14:solidFill>
              <w14:schemeClr w14:val="tx1"/>
            </w14:solidFill>
          </w14:textFill>
        </w:rPr>
        <w:t>群</w:t>
      </w:r>
      <w:r>
        <w:rPr>
          <w:rFonts w:hint="eastAsia" w:ascii="宋体" w:hAnsi="宋体" w:cs="SSJ4+ZBNFQG-1"/>
          <w:color w:val="000000" w:themeColor="text1"/>
          <w14:textFill>
            <w14:solidFill>
              <w14:schemeClr w14:val="tx1"/>
            </w14:solidFill>
          </w14:textFill>
        </w:rPr>
        <w:t>众对国</w:t>
      </w:r>
      <w:r>
        <w:rPr>
          <w:rFonts w:hint="eastAsia" w:ascii="宋体" w:hAnsi="宋体" w:cs="FZSSK--GBK1-00+ZBNFQJ-12"/>
          <w:color w:val="000000" w:themeColor="text1"/>
          <w14:textFill>
            <w14:solidFill>
              <w14:schemeClr w14:val="tx1"/>
            </w14:solidFill>
          </w14:textFill>
        </w:rPr>
        <w:t>企</w:t>
      </w:r>
      <w:r>
        <w:rPr>
          <w:rFonts w:hint="eastAsia" w:ascii="宋体" w:hAnsi="宋体" w:cs="FZSSK--GBK1-00+ZBNFQH-7"/>
          <w:color w:val="000000" w:themeColor="text1"/>
          <w14:textFill>
            <w14:solidFill>
              <w14:schemeClr w14:val="tx1"/>
            </w14:solidFill>
          </w14:textFill>
        </w:rPr>
        <w:t>强烈</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I-9"/>
          <w:color w:val="000000" w:themeColor="text1"/>
          <w14:textFill>
            <w14:solidFill>
              <w14:schemeClr w14:val="tx1"/>
            </w14:solidFill>
          </w14:textFill>
        </w:rPr>
        <w:t>满</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国</w:t>
      </w:r>
      <w:r>
        <w:rPr>
          <w:rFonts w:hint="eastAsia" w:ascii="宋体" w:hAnsi="宋体" w:cs="FZSSK--GBK1-00+ZBNFQJ-12"/>
          <w:color w:val="000000" w:themeColor="text1"/>
          <w14:textFill>
            <w14:solidFill>
              <w14:schemeClr w14:val="tx1"/>
            </w14:solidFill>
          </w14:textFill>
        </w:rPr>
        <w:t>企</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管</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M-17"/>
          <w:color w:val="000000" w:themeColor="text1"/>
          <w14:textFill>
            <w14:solidFill>
              <w14:schemeClr w14:val="tx1"/>
            </w14:solidFill>
          </w14:textFill>
        </w:rPr>
        <w:t>层</w:t>
      </w:r>
      <w:r>
        <w:rPr>
          <w:rFonts w:hint="eastAsia" w:ascii="宋体" w:hAnsi="宋体" w:cs="FZSSK--GBK1-00+ZBNFQI-10"/>
          <w:color w:val="000000" w:themeColor="text1"/>
          <w14:textFill>
            <w14:solidFill>
              <w14:schemeClr w14:val="tx1"/>
            </w14:solidFill>
          </w14:textFill>
        </w:rPr>
        <w:t>拿</w:t>
      </w:r>
      <w:r>
        <w:rPr>
          <w:rFonts w:hint="eastAsia" w:ascii="宋体" w:hAnsi="宋体" w:cs="FZSSK--GBK1-00+ZBNFQH-5"/>
          <w:color w:val="000000" w:themeColor="text1"/>
          <w14:textFill>
            <w14:solidFill>
              <w14:schemeClr w14:val="tx1"/>
            </w14:solidFill>
          </w14:textFill>
        </w:rPr>
        <w:t>那</w:t>
      </w:r>
      <w:r>
        <w:rPr>
          <w:rFonts w:hint="eastAsia" w:ascii="宋体" w:hAnsi="宋体" w:cs="FZSSK--GBK1-00+ZBNFQI-10"/>
          <w:color w:val="000000" w:themeColor="text1"/>
          <w14:textFill>
            <w14:solidFill>
              <w14:schemeClr w14:val="tx1"/>
            </w14:solidFill>
          </w14:textFill>
        </w:rPr>
        <w:t>么</w:t>
      </w:r>
      <w:r>
        <w:rPr>
          <w:rFonts w:hint="eastAsia" w:ascii="宋体" w:hAnsi="宋体" w:cs="SSJ4+ZBNFQG-1"/>
          <w:color w:val="000000" w:themeColor="text1"/>
          <w14:textFill>
            <w14:solidFill>
              <w14:schemeClr w14:val="tx1"/>
            </w14:solidFill>
          </w14:textFill>
        </w:rPr>
        <w:t>多的</w:t>
      </w:r>
      <w:r>
        <w:rPr>
          <w:rFonts w:hint="eastAsia" w:ascii="宋体" w:hAnsi="宋体" w:cs="FZSSK--GBK1-00+ZBNFQQ-24"/>
          <w:color w:val="000000" w:themeColor="text1"/>
          <w14:textFill>
            <w14:solidFill>
              <w14:schemeClr w14:val="tx1"/>
            </w14:solidFill>
          </w14:textFill>
        </w:rPr>
        <w:t>薪</w:t>
      </w:r>
      <w:r>
        <w:rPr>
          <w:rFonts w:hint="eastAsia" w:ascii="宋体" w:hAnsi="宋体" w:cs="FZSSK--GBK1-00+ZBNFQK-14"/>
          <w:color w:val="000000" w:themeColor="text1"/>
          <w14:textFill>
            <w14:solidFill>
              <w14:schemeClr w14:val="tx1"/>
            </w14:solidFill>
          </w14:textFill>
        </w:rPr>
        <w:t>水</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根</w:t>
      </w:r>
      <w:r>
        <w:rPr>
          <w:rFonts w:hint="eastAsia" w:ascii="宋体" w:hAnsi="宋体" w:cs="SSJ4+ZBNFQG-1"/>
          <w:color w:val="000000" w:themeColor="text1"/>
          <w14:textFill>
            <w14:solidFill>
              <w14:schemeClr w14:val="tx1"/>
            </w14:solidFill>
          </w14:textFill>
        </w:rPr>
        <w:t>本</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L-16"/>
          <w:color w:val="000000" w:themeColor="text1"/>
          <w14:textFill>
            <w14:solidFill>
              <w14:schemeClr w14:val="tx1"/>
            </w14:solidFill>
          </w14:textFill>
        </w:rPr>
        <w:t>符</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国际</w:t>
      </w:r>
      <w:r>
        <w:rPr>
          <w:rFonts w:hint="eastAsia" w:ascii="宋体" w:hAnsi="宋体" w:cs="FZSSK--GBK1-00+ZBNFQL-16"/>
          <w:color w:val="000000" w:themeColor="text1"/>
          <w14:textFill>
            <w14:solidFill>
              <w14:schemeClr w14:val="tx1"/>
            </w14:solidFill>
          </w14:textFill>
        </w:rPr>
        <w:t>惯</w:t>
      </w:r>
      <w:r>
        <w:rPr>
          <w:rFonts w:hint="eastAsia" w:ascii="宋体" w:hAnsi="宋体" w:cs="FZSSK--GBK1-00+ZBNFQH-8"/>
          <w:color w:val="000000" w:themeColor="text1"/>
          <w14:textFill>
            <w14:solidFill>
              <w14:schemeClr w14:val="tx1"/>
            </w14:solidFill>
          </w14:textFill>
        </w:rPr>
        <w:t>例</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北</w:t>
      </w:r>
      <w:r>
        <w:rPr>
          <w:rFonts w:hint="eastAsia" w:ascii="宋体" w:hAnsi="宋体" w:cs="FZSSK--GBK1-00+ZBNFQH-7"/>
          <w:color w:val="000000" w:themeColor="text1"/>
          <w14:textFill>
            <w14:solidFill>
              <w14:schemeClr w14:val="tx1"/>
            </w14:solidFill>
          </w14:textFill>
        </w:rPr>
        <w:t>欧</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个国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的国</w:t>
      </w:r>
      <w:r>
        <w:rPr>
          <w:rFonts w:hint="eastAsia" w:ascii="宋体" w:hAnsi="宋体" w:cs="FZSSK--GBK1-00+ZBNFQJ-12"/>
          <w:color w:val="000000" w:themeColor="text1"/>
          <w14:textFill>
            <w14:solidFill>
              <w14:schemeClr w14:val="tx1"/>
            </w14:solidFill>
          </w14:textFill>
        </w:rPr>
        <w:t>企</w:t>
      </w:r>
      <w:r>
        <w:rPr>
          <w:rFonts w:hint="eastAsia" w:ascii="宋体" w:hAnsi="宋体" w:cs="FZSSK--GBK1-00+ZBNFQJ-13"/>
          <w:color w:val="000000" w:themeColor="text1"/>
          <w14:textFill>
            <w14:solidFill>
              <w14:schemeClr w14:val="tx1"/>
            </w14:solidFill>
          </w14:textFill>
        </w:rPr>
        <w:t>负责</w:t>
      </w:r>
      <w:r>
        <w:rPr>
          <w:rFonts w:hint="eastAsia" w:ascii="宋体" w:hAnsi="宋体" w:cs="FZSSK--GBK1-00+ZBNFQH-5"/>
          <w:color w:val="000000" w:themeColor="text1"/>
          <w14:textFill>
            <w14:solidFill>
              <w14:schemeClr w14:val="tx1"/>
            </w14:solidFill>
          </w14:textFill>
        </w:rPr>
        <w:t>人</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平</w:t>
      </w:r>
      <w:r>
        <w:rPr>
          <w:rFonts w:hint="eastAsia" w:ascii="宋体" w:hAnsi="宋体" w:cs="FZSSK--GBK1-00+ZBNFQK-14"/>
          <w:color w:val="000000" w:themeColor="text1"/>
          <w14:textFill>
            <w14:solidFill>
              <w14:schemeClr w14:val="tx1"/>
            </w14:solidFill>
          </w14:textFill>
        </w:rPr>
        <w:t>均</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2"/>
          <w:color w:val="000000" w:themeColor="text1"/>
          <w14:textFill>
            <w14:solidFill>
              <w14:schemeClr w14:val="tx1"/>
            </w14:solidFill>
          </w14:textFill>
        </w:rPr>
        <w:t>只</w:t>
      </w:r>
      <w:r>
        <w:rPr>
          <w:rFonts w:hint="eastAsia" w:ascii="宋体" w:hAnsi="宋体" w:cs="FZSSK--GBK1-00+ZBNFQH-5"/>
          <w:color w:val="000000" w:themeColor="text1"/>
          <w14:textFill>
            <w14:solidFill>
              <w14:schemeClr w14:val="tx1"/>
            </w14:solidFill>
          </w14:textFill>
        </w:rPr>
        <w:t>相</w:t>
      </w:r>
      <w:r>
        <w:rPr>
          <w:rFonts w:hint="eastAsia" w:ascii="宋体" w:hAnsi="宋体" w:cs="SSJ4+ZBNFQG-1"/>
          <w:color w:val="000000" w:themeColor="text1"/>
          <w14:textFill>
            <w14:solidFill>
              <w14:schemeClr w14:val="tx1"/>
            </w14:solidFill>
          </w14:textFill>
        </w:rPr>
        <w:t>当于</w:t>
      </w:r>
      <w:r>
        <w:rPr>
          <w:rFonts w:hint="eastAsia" w:ascii="宋体" w:hAnsi="宋体" w:cs="FZSSK--GBK1-00+ZBNFQJ-13"/>
          <w:color w:val="000000" w:themeColor="text1"/>
          <w14:textFill>
            <w14:solidFill>
              <w14:schemeClr w14:val="tx1"/>
            </w14:solidFill>
          </w14:textFill>
        </w:rPr>
        <w:t>公</w:t>
      </w:r>
      <w:r>
        <w:rPr>
          <w:rFonts w:hint="eastAsia" w:ascii="宋体" w:hAnsi="宋体" w:cs="FZSSK--GBK1-00+ZBNFQI-9"/>
          <w:color w:val="000000" w:themeColor="text1"/>
          <w14:textFill>
            <w14:solidFill>
              <w14:schemeClr w14:val="tx1"/>
            </w14:solidFill>
          </w14:textFill>
        </w:rPr>
        <w:t>务</w:t>
      </w:r>
      <w:r>
        <w:rPr>
          <w:rFonts w:hint="eastAsia" w:ascii="宋体" w:hAnsi="宋体" w:cs="FZSSK--GBK1-00+ZBNFQJ-12"/>
          <w:color w:val="000000" w:themeColor="text1"/>
          <w14:textFill>
            <w14:solidFill>
              <w14:schemeClr w14:val="tx1"/>
            </w14:solidFill>
          </w14:textFill>
        </w:rPr>
        <w:t>员</w:t>
      </w:r>
      <w:r>
        <w:rPr>
          <w:rFonts w:hint="eastAsia" w:ascii="宋体" w:hAnsi="宋体" w:cs="SSJ4+ZBNFQG-1"/>
          <w:color w:val="000000" w:themeColor="text1"/>
          <w14:textFill>
            <w14:solidFill>
              <w14:schemeClr w14:val="tx1"/>
            </w14:solidFill>
          </w14:textFill>
        </w:rPr>
        <w:t>的</w:t>
      </w:r>
      <w:r>
        <w:rPr>
          <w:rFonts w:hint="eastAsia" w:ascii="宋体" w:hAnsi="宋体" w:cs="E-BZ+ZBNFQH-6"/>
          <w:color w:val="000000" w:themeColor="text1"/>
          <w14:textFill>
            <w14:solidFill>
              <w14:schemeClr w14:val="tx1"/>
            </w14:solidFill>
          </w14:textFill>
        </w:rPr>
        <w:t>1.5</w:t>
      </w:r>
      <w:r>
        <w:rPr>
          <w:rFonts w:hint="eastAsia" w:ascii="宋体" w:hAnsi="宋体" w:cs="FZSSK--GBK1-00+ZBNFQK-14"/>
          <w:color w:val="000000" w:themeColor="text1"/>
          <w14:textFill>
            <w14:solidFill>
              <w14:schemeClr w14:val="tx1"/>
            </w14:solidFill>
          </w14:textFill>
        </w:rPr>
        <w:t>倍</w:t>
      </w:r>
      <w:r>
        <w:rPr>
          <w:rFonts w:hint="eastAsia" w:ascii="宋体" w:hAnsi="宋体" w:cs="SSJ4+ZBNFQG-1"/>
          <w:color w:val="000000" w:themeColor="text1"/>
          <w14:textFill>
            <w14:solidFill>
              <w14:schemeClr w14:val="tx1"/>
            </w14:solidFill>
          </w14:textFill>
        </w:rPr>
        <w:t>，当</w:t>
      </w:r>
      <w:r>
        <w:rPr>
          <w:rFonts w:hint="eastAsia" w:ascii="宋体" w:hAnsi="宋体" w:cs="FZSSK--GBK1-00+ZBNFQH-8"/>
          <w:color w:val="000000" w:themeColor="text1"/>
          <w14:textFill>
            <w14:solidFill>
              <w14:schemeClr w14:val="tx1"/>
            </w14:solidFill>
          </w14:textFill>
        </w:rPr>
        <w:t>然</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有</w:t>
      </w:r>
      <w:r>
        <w:rPr>
          <w:rFonts w:hint="eastAsia" w:ascii="宋体" w:hAnsi="宋体" w:cs="FZSSK--GBK1-00+ZBNFQH-7"/>
          <w:color w:val="000000" w:themeColor="text1"/>
          <w14:textFill>
            <w14:solidFill>
              <w14:schemeClr w14:val="tx1"/>
            </w14:solidFill>
          </w14:textFill>
        </w:rPr>
        <w:t>更高</w:t>
      </w:r>
      <w:r>
        <w:rPr>
          <w:rFonts w:hint="eastAsia" w:ascii="宋体" w:hAnsi="宋体" w:cs="SSJ4+ZBNFQG-1"/>
          <w:color w:val="000000" w:themeColor="text1"/>
          <w14:textFill>
            <w14:solidFill>
              <w14:schemeClr w14:val="tx1"/>
            </w14:solidFill>
          </w14:textFill>
        </w:rPr>
        <w:t>的，但是</w:t>
      </w:r>
      <w:r>
        <w:rPr>
          <w:rFonts w:hint="eastAsia" w:ascii="宋体" w:hAnsi="宋体" w:cs="FZSSK--GBK1-00+ZBNFQH-5"/>
          <w:color w:val="000000" w:themeColor="text1"/>
          <w14:textFill>
            <w14:solidFill>
              <w14:schemeClr w14:val="tx1"/>
            </w14:solidFill>
          </w14:textFill>
        </w:rPr>
        <w:t>没</w:t>
      </w:r>
      <w:r>
        <w:rPr>
          <w:rFonts w:hint="eastAsia" w:ascii="宋体" w:hAnsi="宋体" w:cs="SSJ4+ZBNFQG-1"/>
          <w:color w:val="000000" w:themeColor="text1"/>
          <w14:textFill>
            <w14:solidFill>
              <w14:schemeClr w14:val="tx1"/>
            </w14:solidFill>
          </w14:textFill>
        </w:rPr>
        <w:t>有</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出</w:t>
      </w:r>
      <w:r>
        <w:rPr>
          <w:rFonts w:hint="eastAsia" w:ascii="宋体" w:hAnsi="宋体" w:cs="FZSSK--GBK1-00+ZBNFQH-7"/>
          <w:color w:val="000000" w:themeColor="text1"/>
          <w14:textFill>
            <w14:solidFill>
              <w14:schemeClr w14:val="tx1"/>
            </w14:solidFill>
          </w14:textFill>
        </w:rPr>
        <w:t>十</w:t>
      </w:r>
      <w:r>
        <w:rPr>
          <w:rFonts w:hint="eastAsia" w:ascii="宋体" w:hAnsi="宋体" w:cs="FZSSK--GBK1-00+ZBNFQI-9"/>
          <w:color w:val="000000" w:themeColor="text1"/>
          <w14:textFill>
            <w14:solidFill>
              <w14:schemeClr w14:val="tx1"/>
            </w14:solidFill>
          </w14:textFill>
        </w:rPr>
        <w:t>几</w:t>
      </w:r>
      <w:r>
        <w:rPr>
          <w:rFonts w:hint="eastAsia" w:ascii="宋体" w:hAnsi="宋体" w:cs="FZSSK--GBK1-00+ZBNFQK-14"/>
          <w:color w:val="000000" w:themeColor="text1"/>
          <w14:textFill>
            <w14:solidFill>
              <w14:schemeClr w14:val="tx1"/>
            </w14:solidFill>
          </w14:textFill>
        </w:rPr>
        <w:t>倍</w:t>
      </w:r>
      <w:r>
        <w:rPr>
          <w:rFonts w:hint="eastAsia" w:ascii="宋体" w:hAnsi="宋体" w:cs="SSJ4+ZBNFQG-1"/>
          <w:color w:val="000000" w:themeColor="text1"/>
          <w14:textFill>
            <w14:solidFill>
              <w14:schemeClr w14:val="tx1"/>
            </w14:solidFill>
          </w14:textFill>
        </w:rPr>
        <w:t>的</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在</w:t>
      </w:r>
      <w:r>
        <w:rPr>
          <w:rFonts w:hint="eastAsia" w:ascii="宋体" w:hAnsi="宋体" w:cs="FZSSK--GBK1-00+ZBNFQI-10"/>
          <w:color w:val="000000" w:themeColor="text1"/>
          <w14:textFill>
            <w14:solidFill>
              <w14:schemeClr w14:val="tx1"/>
            </w14:solidFill>
          </w14:textFill>
        </w:rPr>
        <w:t>部</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H-5"/>
          <w:color w:val="000000" w:themeColor="text1"/>
          <w14:textFill>
            <w14:solidFill>
              <w14:schemeClr w14:val="tx1"/>
            </w14:solidFill>
          </w14:textFill>
        </w:rPr>
        <w:t>一年</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w:t>
      </w:r>
      <w:r>
        <w:rPr>
          <w:rFonts w:hint="eastAsia" w:ascii="宋体" w:hAnsi="宋体" w:cs="FZSSK--GBK1-00+ZBNFQH-5"/>
          <w:color w:val="000000" w:themeColor="text1"/>
          <w14:textFill>
            <w14:solidFill>
              <w14:schemeClr w14:val="tx1"/>
            </w14:solidFill>
          </w14:textFill>
        </w:rPr>
        <w:t>也就</w:t>
      </w:r>
      <w:r>
        <w:rPr>
          <w:rFonts w:hint="eastAsia" w:ascii="宋体" w:hAnsi="宋体" w:cs="E-BZ+ZBNFQH-6"/>
          <w:color w:val="000000" w:themeColor="text1"/>
          <w14:textFill>
            <w14:solidFill>
              <w14:schemeClr w14:val="tx1"/>
            </w14:solidFill>
          </w14:textFill>
        </w:rPr>
        <w:t>10</w:t>
      </w:r>
      <w:r>
        <w:rPr>
          <w:rFonts w:hint="eastAsia" w:ascii="宋体" w:hAnsi="宋体" w:cs="FZSSK--GBK1-00+ZBNFQH-8"/>
          <w:color w:val="000000" w:themeColor="text1"/>
          <w14:textFill>
            <w14:solidFill>
              <w14:schemeClr w14:val="tx1"/>
            </w14:solidFill>
          </w14:textFill>
        </w:rPr>
        <w:t>万</w:t>
      </w:r>
      <w:r>
        <w:rPr>
          <w:rFonts w:hint="eastAsia" w:ascii="宋体" w:hAnsi="宋体" w:cs="FZSSK--GBK1-00+ZBNFQI-9"/>
          <w:color w:val="000000" w:themeColor="text1"/>
          <w14:textFill>
            <w14:solidFill>
              <w14:schemeClr w14:val="tx1"/>
            </w14:solidFill>
          </w14:textFill>
        </w:rPr>
        <w:t>左</w:t>
      </w:r>
      <w:r>
        <w:rPr>
          <w:rFonts w:hint="eastAsia" w:ascii="宋体" w:hAnsi="宋体" w:cs="FZSSK--GBK1-00+ZBNFQK-15"/>
          <w:color w:val="000000" w:themeColor="text1"/>
          <w14:textFill>
            <w14:solidFill>
              <w14:schemeClr w14:val="tx1"/>
            </w14:solidFill>
          </w14:textFill>
        </w:rPr>
        <w:t>右</w:t>
      </w:r>
      <w:r>
        <w:rPr>
          <w:rFonts w:hint="eastAsia" w:ascii="宋体" w:hAnsi="宋体" w:cs="SSJ4+ZBNFQG-1"/>
          <w:color w:val="000000" w:themeColor="text1"/>
          <w14:textFill>
            <w14:solidFill>
              <w14:schemeClr w14:val="tx1"/>
            </w14:solidFill>
          </w14:textFill>
        </w:rPr>
        <w:t>，我</w:t>
      </w:r>
      <w:r>
        <w:rPr>
          <w:rFonts w:hint="eastAsia" w:ascii="宋体" w:hAnsi="宋体" w:cs="FZSSK--GBK1-00+ZBNFQH-5"/>
          <w:color w:val="000000" w:themeColor="text1"/>
          <w14:textFill>
            <w14:solidFill>
              <w14:schemeClr w14:val="tx1"/>
            </w14:solidFill>
          </w14:textFill>
        </w:rPr>
        <w:t>们没</w:t>
      </w:r>
      <w:r>
        <w:rPr>
          <w:rFonts w:hint="eastAsia" w:ascii="宋体" w:hAnsi="宋体" w:cs="SSJ4+ZBNFQG-1"/>
          <w:color w:val="000000" w:themeColor="text1"/>
          <w14:textFill>
            <w14:solidFill>
              <w14:schemeClr w14:val="tx1"/>
            </w14:solidFill>
          </w14:textFill>
        </w:rPr>
        <w:t>有</w:t>
      </w:r>
      <w:r>
        <w:rPr>
          <w:rFonts w:hint="eastAsia" w:ascii="宋体" w:hAnsi="宋体" w:cs="FZSSK--GBK1-00+ZBNFQM-17"/>
          <w:color w:val="000000" w:themeColor="text1"/>
          <w14:textFill>
            <w14:solidFill>
              <w14:schemeClr w14:val="tx1"/>
            </w14:solidFill>
          </w14:textFill>
        </w:rPr>
        <w:t>听</w:t>
      </w:r>
      <w:r>
        <w:rPr>
          <w:rFonts w:hint="eastAsia" w:ascii="宋体" w:hAnsi="宋体" w:cs="SSJ4+ZBNFQG-1"/>
          <w:color w:val="000000" w:themeColor="text1"/>
          <w14:textFill>
            <w14:solidFill>
              <w14:schemeClr w14:val="tx1"/>
            </w14:solidFill>
          </w14:textFill>
        </w:rPr>
        <w:t>说</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Q-24"/>
          <w:color w:val="000000" w:themeColor="text1"/>
          <w14:textFill>
            <w14:solidFill>
              <w14:schemeClr w14:val="tx1"/>
            </w14:solidFill>
          </w14:textFill>
        </w:rPr>
        <w:t>哪</w:t>
      </w:r>
      <w:r>
        <w:rPr>
          <w:rFonts w:hint="eastAsia" w:ascii="宋体" w:hAnsi="宋体" w:cs="SSJ4+ZBNFQG-1"/>
          <w:color w:val="000000" w:themeColor="text1"/>
          <w14:textFill>
            <w14:solidFill>
              <w14:schemeClr w14:val="tx1"/>
            </w14:solidFill>
          </w14:textFill>
        </w:rPr>
        <w:t>个</w:t>
      </w:r>
      <w:r>
        <w:rPr>
          <w:rFonts w:hint="eastAsia" w:ascii="宋体" w:hAnsi="宋体" w:cs="FZSSK--GBK1-00+ZBNFQI-10"/>
          <w:color w:val="000000" w:themeColor="text1"/>
          <w14:textFill>
            <w14:solidFill>
              <w14:schemeClr w14:val="tx1"/>
            </w14:solidFill>
          </w14:textFill>
        </w:rPr>
        <w:t>部</w:t>
      </w:r>
      <w:r>
        <w:rPr>
          <w:rFonts w:hint="eastAsia" w:ascii="宋体" w:hAnsi="宋体" w:cs="FZSSK--GBK1-00+ZBNFQH-8"/>
          <w:color w:val="000000" w:themeColor="text1"/>
          <w14:textFill>
            <w14:solidFill>
              <w14:schemeClr w14:val="tx1"/>
            </w14:solidFill>
          </w14:textFill>
        </w:rPr>
        <w:t>长</w:t>
      </w:r>
      <w:r>
        <w:rPr>
          <w:rFonts w:hint="eastAsia" w:ascii="宋体" w:hAnsi="宋体" w:cs="FZSSK--GBK1-00+ZBNFQH-7"/>
          <w:color w:val="000000" w:themeColor="text1"/>
          <w14:textFill>
            <w14:solidFill>
              <w14:schemeClr w14:val="tx1"/>
            </w14:solidFill>
          </w14:textFill>
        </w:rPr>
        <w:t>跳</w:t>
      </w:r>
      <w:r>
        <w:rPr>
          <w:rFonts w:hint="eastAsia" w:ascii="宋体" w:hAnsi="宋体" w:cs="FZSSK--GBK1-00+ZBNFQT-26"/>
          <w:color w:val="000000" w:themeColor="text1"/>
          <w14:textFill>
            <w14:solidFill>
              <w14:schemeClr w14:val="tx1"/>
            </w14:solidFill>
          </w14:textFill>
        </w:rPr>
        <w:t>槽</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国</w:t>
      </w:r>
      <w:r>
        <w:rPr>
          <w:rFonts w:hint="eastAsia" w:ascii="宋体" w:hAnsi="宋体" w:cs="FZSSK--GBK1-00+ZBNFQJ-12"/>
          <w:color w:val="000000" w:themeColor="text1"/>
          <w14:textFill>
            <w14:solidFill>
              <w14:schemeClr w14:val="tx1"/>
            </w14:solidFill>
          </w14:textFill>
        </w:rPr>
        <w:t>企员</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的</w:t>
      </w:r>
      <w:r>
        <w:rPr>
          <w:rFonts w:hint="eastAsia" w:ascii="宋体" w:hAnsi="宋体" w:cs="FZSSK--GBK1-00+ZBNFQJ-12"/>
          <w:color w:val="000000" w:themeColor="text1"/>
          <w14:textFill>
            <w14:solidFill>
              <w14:schemeClr w14:val="tx1"/>
            </w14:solidFill>
          </w14:textFill>
        </w:rPr>
        <w:t>福</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I-9"/>
          <w:color w:val="000000" w:themeColor="text1"/>
          <w14:textFill>
            <w14:solidFill>
              <w14:schemeClr w14:val="tx1"/>
            </w14:solidFill>
          </w14:textFill>
        </w:rPr>
        <w:t>普遍</w:t>
      </w:r>
      <w:r>
        <w:rPr>
          <w:rFonts w:hint="eastAsia" w:ascii="宋体" w:hAnsi="宋体" w:cs="FZSSK--GBK1-00+ZBNFQH-7"/>
          <w:color w:val="000000" w:themeColor="text1"/>
          <w14:textFill>
            <w14:solidFill>
              <w14:schemeClr w14:val="tx1"/>
            </w14:solidFill>
          </w14:textFill>
        </w:rPr>
        <w:t>高</w:t>
      </w:r>
      <w:r>
        <w:rPr>
          <w:rFonts w:hint="eastAsia" w:ascii="宋体" w:hAnsi="宋体" w:cs="SSJ4+ZBNFQG-1"/>
          <w:color w:val="000000" w:themeColor="text1"/>
          <w14:textFill>
            <w14:solidFill>
              <w14:schemeClr w14:val="tx1"/>
            </w14:solidFill>
          </w14:textFill>
        </w:rPr>
        <w:t>于</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J-12"/>
          <w:color w:val="000000" w:themeColor="text1"/>
          <w14:textFill>
            <w14:solidFill>
              <w14:schemeClr w14:val="tx1"/>
            </w14:solidFill>
          </w14:textFill>
        </w:rPr>
        <w:t>企业</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个</w:t>
      </w:r>
      <w:r>
        <w:rPr>
          <w:rFonts w:hint="eastAsia" w:ascii="宋体" w:hAnsi="宋体" w:cs="FZSSK--GBK1-00+ZBNFQH-5"/>
          <w:color w:val="000000" w:themeColor="text1"/>
          <w14:textFill>
            <w14:solidFill>
              <w14:schemeClr w14:val="tx1"/>
            </w14:solidFill>
          </w14:textFill>
        </w:rPr>
        <w:t>问题</w:t>
      </w:r>
      <w:r>
        <w:rPr>
          <w:rFonts w:hint="eastAsia" w:ascii="宋体" w:hAnsi="宋体" w:cs="SSJ4+ZBNFQG-1"/>
          <w:color w:val="000000" w:themeColor="text1"/>
          <w14:textFill>
            <w14:solidFill>
              <w14:schemeClr w14:val="tx1"/>
            </w14:solidFill>
          </w14:textFill>
        </w:rPr>
        <w:t>要有</w:t>
      </w:r>
      <w:r>
        <w:rPr>
          <w:rFonts w:hint="eastAsia" w:ascii="宋体" w:hAnsi="宋体" w:cs="FZSSK--GBK1-00+ZBNFQH-7"/>
          <w:color w:val="000000" w:themeColor="text1"/>
          <w14:textFill>
            <w14:solidFill>
              <w14:schemeClr w14:val="tx1"/>
            </w14:solidFill>
          </w14:textFill>
        </w:rPr>
        <w:t>更具体</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分析</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三</w:t>
      </w:r>
      <w:r>
        <w:rPr>
          <w:rFonts w:hint="eastAsia" w:ascii="宋体" w:hAnsi="宋体" w:cs="FZSSK--GBK1-00+ZBNFQH-5"/>
          <w:color w:val="000000" w:themeColor="text1"/>
          <w14:textFill>
            <w14:solidFill>
              <w14:schemeClr w14:val="tx1"/>
            </w14:solidFill>
          </w14:textFill>
        </w:rPr>
        <w:t>年</w:t>
      </w:r>
      <w:r>
        <w:rPr>
          <w:rFonts w:hint="eastAsia" w:ascii="宋体" w:hAnsi="宋体" w:cs="SSJ4+ZBNFQG-1"/>
          <w:color w:val="000000" w:themeColor="text1"/>
          <w14:textFill>
            <w14:solidFill>
              <w14:schemeClr w14:val="tx1"/>
            </w14:solidFill>
          </w14:textFill>
        </w:rPr>
        <w:t>前</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H-7"/>
          <w:color w:val="000000" w:themeColor="text1"/>
          <w14:textFill>
            <w14:solidFill>
              <w14:schemeClr w14:val="tx1"/>
            </w14:solidFill>
          </w14:textFill>
        </w:rPr>
        <w:t>定</w:t>
      </w:r>
      <w:r>
        <w:rPr>
          <w:rFonts w:hint="eastAsia" w:ascii="宋体" w:hAnsi="宋体" w:cs="SSJ4+ZBNFQG-1"/>
          <w:color w:val="000000" w:themeColor="text1"/>
          <w14:textFill>
            <w14:solidFill>
              <w14:schemeClr w14:val="tx1"/>
            </w14:solidFill>
          </w14:textFill>
        </w:rPr>
        <w:t>国资法，我</w:t>
      </w:r>
      <w:r>
        <w:rPr>
          <w:rFonts w:hint="eastAsia" w:ascii="宋体" w:hAnsi="宋体" w:cs="FZSSK--GBK1-00+ZBNFQH-5"/>
          <w:color w:val="000000" w:themeColor="text1"/>
          <w14:textFill>
            <w14:solidFill>
              <w14:schemeClr w14:val="tx1"/>
            </w14:solidFill>
          </w14:textFill>
        </w:rPr>
        <w:t>就</w:t>
      </w:r>
      <w:r>
        <w:rPr>
          <w:rFonts w:hint="eastAsia" w:ascii="宋体" w:hAnsi="宋体" w:cs="SSJ4+ZBNFQG-1"/>
          <w:color w:val="000000" w:themeColor="text1"/>
          <w14:textFill>
            <w14:solidFill>
              <w14:schemeClr w14:val="tx1"/>
            </w14:solidFill>
          </w14:textFill>
        </w:rPr>
        <w:t>主</w:t>
      </w:r>
      <w:r>
        <w:rPr>
          <w:rFonts w:hint="eastAsia" w:ascii="宋体" w:hAnsi="宋体" w:cs="FZSSK--GBK1-00+ZBNFQQ-24"/>
          <w:color w:val="000000" w:themeColor="text1"/>
          <w14:textFill>
            <w14:solidFill>
              <w14:schemeClr w14:val="tx1"/>
            </w14:solidFill>
          </w14:textFill>
        </w:rPr>
        <w:t>张</w:t>
      </w:r>
      <w:r>
        <w:rPr>
          <w:rFonts w:hint="eastAsia" w:ascii="宋体" w:hAnsi="宋体" w:cs="SSJ4+ZBNFQG-1"/>
          <w:color w:val="000000" w:themeColor="text1"/>
          <w14:textFill>
            <w14:solidFill>
              <w14:schemeClr w14:val="tx1"/>
            </w14:solidFill>
          </w14:textFill>
        </w:rPr>
        <w:t>要</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K-14"/>
          <w:color w:val="000000" w:themeColor="text1"/>
          <w14:textFill>
            <w14:solidFill>
              <w14:schemeClr w14:val="tx1"/>
            </w14:solidFill>
          </w14:textFill>
        </w:rPr>
        <w:t>工</w:t>
      </w:r>
      <w:r>
        <w:rPr>
          <w:rFonts w:hint="eastAsia" w:ascii="宋体" w:hAnsi="宋体" w:cs="SSJ4+ZBNFQG-1"/>
          <w:color w:val="000000" w:themeColor="text1"/>
          <w14:textFill>
            <w14:solidFill>
              <w14:schemeClr w14:val="tx1"/>
            </w14:solidFill>
          </w14:textFill>
        </w:rPr>
        <w:t>资，当</w:t>
      </w:r>
      <w:r>
        <w:rPr>
          <w:rFonts w:hint="eastAsia" w:ascii="宋体" w:hAnsi="宋体" w:cs="FZSSK--GBK1-00+ZBNFQH-8"/>
          <w:color w:val="000000" w:themeColor="text1"/>
          <w14:textFill>
            <w14:solidFill>
              <w14:schemeClr w14:val="tx1"/>
            </w14:solidFill>
          </w14:textFill>
        </w:rPr>
        <w:t>然</w:t>
      </w:r>
      <w:r>
        <w:rPr>
          <w:rFonts w:hint="eastAsia" w:ascii="宋体" w:hAnsi="宋体" w:cs="SSJ4+ZBNFQG-1"/>
          <w:color w:val="000000" w:themeColor="text1"/>
          <w14:textFill>
            <w14:solidFill>
              <w14:schemeClr w14:val="tx1"/>
            </w14:solidFill>
          </w14:textFill>
        </w:rPr>
        <w:t>我说</w:t>
      </w:r>
      <w:r>
        <w:rPr>
          <w:rFonts w:hint="eastAsia" w:ascii="宋体" w:hAnsi="宋体" w:cs="FZSSK--GBK1-00+ZBNFQI-9"/>
          <w:color w:val="000000" w:themeColor="text1"/>
          <w14:textFill>
            <w14:solidFill>
              <w14:schemeClr w14:val="tx1"/>
            </w14:solidFill>
          </w14:textFill>
        </w:rPr>
        <w:t>加</w:t>
      </w:r>
      <w:r>
        <w:rPr>
          <w:rFonts w:hint="eastAsia" w:ascii="宋体" w:hAnsi="宋体" w:cs="SSJ4+ZBNFQG-1"/>
          <w:color w:val="000000" w:themeColor="text1"/>
          <w14:textFill>
            <w14:solidFill>
              <w14:schemeClr w14:val="tx1"/>
            </w14:solidFill>
          </w14:textFill>
        </w:rPr>
        <w:t>的对</w:t>
      </w:r>
      <w:r>
        <w:rPr>
          <w:rFonts w:hint="eastAsia" w:ascii="宋体" w:hAnsi="宋体" w:cs="FZSSK--GBK1-00+ZBNFQI-9"/>
          <w:color w:val="000000" w:themeColor="text1"/>
          <w14:textFill>
            <w14:solidFill>
              <w14:schemeClr w14:val="tx1"/>
            </w14:solidFill>
          </w14:textFill>
        </w:rPr>
        <w:t>象</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J-12"/>
          <w:color w:val="000000" w:themeColor="text1"/>
          <w14:textFill>
            <w14:solidFill>
              <w14:schemeClr w14:val="tx1"/>
            </w14:solidFill>
          </w14:textFill>
        </w:rPr>
        <w:t>只</w:t>
      </w:r>
      <w:r>
        <w:rPr>
          <w:rFonts w:hint="eastAsia" w:ascii="宋体" w:hAnsi="宋体" w:cs="SSJ4+ZBNFQG-1"/>
          <w:color w:val="000000" w:themeColor="text1"/>
          <w14:textFill>
            <w14:solidFill>
              <w14:schemeClr w14:val="tx1"/>
            </w14:solidFill>
          </w14:textFill>
        </w:rPr>
        <w:t>是国</w:t>
      </w:r>
      <w:r>
        <w:rPr>
          <w:rFonts w:hint="eastAsia" w:ascii="宋体" w:hAnsi="宋体" w:cs="FZSSK--GBK1-00+ZBNFQJ-12"/>
          <w:color w:val="000000" w:themeColor="text1"/>
          <w14:textFill>
            <w14:solidFill>
              <w14:schemeClr w14:val="tx1"/>
            </w14:solidFill>
          </w14:textFill>
        </w:rPr>
        <w:t>企</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人</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有</w:t>
      </w:r>
      <w:r>
        <w:rPr>
          <w:rFonts w:hint="eastAsia" w:ascii="宋体" w:hAnsi="宋体" w:cs="FZSSK--GBK1-00+ZBNFQM-17"/>
          <w:color w:val="000000" w:themeColor="text1"/>
          <w14:textFill>
            <w14:solidFill>
              <w14:schemeClr w14:val="tx1"/>
            </w14:solidFill>
          </w14:textFill>
        </w:rPr>
        <w:t>私</w:t>
      </w:r>
      <w:r>
        <w:rPr>
          <w:rFonts w:hint="eastAsia" w:ascii="宋体" w:hAnsi="宋体" w:cs="SSJ4+ZBNFQG-1"/>
          <w:color w:val="000000" w:themeColor="text1"/>
          <w14:textFill>
            <w14:solidFill>
              <w14:schemeClr w14:val="tx1"/>
            </w14:solidFill>
          </w14:textFill>
        </w:rPr>
        <w:t>有</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人</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N-20"/>
          <w:color w:val="000000" w:themeColor="text1"/>
          <w14:textFill>
            <w14:solidFill>
              <w14:schemeClr w14:val="tx1"/>
            </w14:solidFill>
          </w14:textFill>
        </w:rPr>
        <w:t>般</w:t>
      </w:r>
      <w:r>
        <w:rPr>
          <w:rFonts w:hint="eastAsia" w:ascii="宋体" w:hAnsi="宋体" w:cs="SSJ4+ZBNFQG-1"/>
          <w:color w:val="000000" w:themeColor="text1"/>
          <w14:textFill>
            <w14:solidFill>
              <w14:schemeClr w14:val="tx1"/>
            </w14:solidFill>
          </w14:textFill>
        </w:rPr>
        <w:t>的</w:t>
      </w:r>
      <w:r>
        <w:rPr>
          <w:rFonts w:hint="eastAsia" w:ascii="宋体" w:hAnsi="宋体" w:cs="FZSSK--GBK1-00+ZBNFQL-16"/>
          <w:color w:val="000000" w:themeColor="text1"/>
          <w14:textFill>
            <w14:solidFill>
              <w14:schemeClr w14:val="tx1"/>
            </w14:solidFill>
          </w14:textFill>
        </w:rPr>
        <w:t>职</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FZSSK--GBK1-00+ZBNFQJ-12"/>
          <w:color w:val="000000" w:themeColor="text1"/>
          <w14:textFill>
            <w14:solidFill>
              <w14:schemeClr w14:val="tx1"/>
            </w14:solidFill>
          </w14:textFill>
        </w:rPr>
        <w:t>包括福</w:t>
      </w:r>
      <w:r>
        <w:rPr>
          <w:rFonts w:hint="eastAsia" w:ascii="宋体" w:hAnsi="宋体" w:cs="FZSSK--GBK1-00+ZBNFQH-8"/>
          <w:color w:val="000000" w:themeColor="text1"/>
          <w14:textFill>
            <w14:solidFill>
              <w14:schemeClr w14:val="tx1"/>
            </w14:solidFill>
          </w14:textFill>
        </w:rPr>
        <w:t>利</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I-10"/>
          <w:color w:val="000000" w:themeColor="text1"/>
          <w14:textFill>
            <w14:solidFill>
              <w14:schemeClr w14:val="tx1"/>
            </w14:solidFill>
          </w14:textFill>
        </w:rPr>
        <w:t>该</w:t>
      </w:r>
      <w:r>
        <w:rPr>
          <w:rFonts w:hint="eastAsia" w:ascii="宋体" w:hAnsi="宋体" w:cs="SSJ4+ZBNFQG-1"/>
          <w:color w:val="000000" w:themeColor="text1"/>
          <w14:textFill>
            <w14:solidFill>
              <w14:schemeClr w14:val="tx1"/>
            </w14:solidFill>
          </w14:textFill>
        </w:rPr>
        <w:t>和</w:t>
      </w:r>
      <w:r>
        <w:rPr>
          <w:rFonts w:hint="eastAsia" w:ascii="宋体" w:hAnsi="宋体" w:cs="FZSSK--GBK1-00+ZBNFQH-7"/>
          <w:color w:val="000000" w:themeColor="text1"/>
          <w14:textFill>
            <w14:solidFill>
              <w14:schemeClr w14:val="tx1"/>
            </w14:solidFill>
          </w14:textFill>
        </w:rPr>
        <w:t>高管</w:t>
      </w:r>
      <w:r>
        <w:rPr>
          <w:rFonts w:hint="eastAsia" w:ascii="宋体" w:hAnsi="宋体" w:cs="FZSSK--GBK1-00+ZBNFQM-17"/>
          <w:color w:val="000000" w:themeColor="text1"/>
          <w14:textFill>
            <w14:solidFill>
              <w14:schemeClr w14:val="tx1"/>
            </w14:solidFill>
          </w14:textFill>
        </w:rPr>
        <w:t>层</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w:t>
      </w:r>
      <w:r>
        <w:rPr>
          <w:rFonts w:hint="eastAsia" w:ascii="宋体" w:hAnsi="宋体" w:cs="SSJ4+ZBNFQG-1"/>
          <w:color w:val="000000" w:themeColor="text1"/>
          <w14:textFill>
            <w14:solidFill>
              <w14:schemeClr w14:val="tx1"/>
            </w14:solidFill>
          </w14:textFill>
        </w:rPr>
        <w:t>和</w:t>
      </w:r>
      <w:r>
        <w:rPr>
          <w:rFonts w:hint="eastAsia" w:ascii="宋体" w:hAnsi="宋体" w:cs="FZSSK--GBK1-00+ZBNFQJ-12"/>
          <w:color w:val="000000" w:themeColor="text1"/>
          <w14:textFill>
            <w14:solidFill>
              <w14:schemeClr w14:val="tx1"/>
            </w14:solidFill>
          </w14:textFill>
        </w:rPr>
        <w:t>福</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T-26"/>
          <w:color w:val="000000" w:themeColor="text1"/>
          <w14:textFill>
            <w14:solidFill>
              <w14:schemeClr w14:val="tx1"/>
            </w14:solidFill>
          </w14:textFill>
        </w:rPr>
        <w:t>挂钩</w:t>
      </w:r>
      <w:r>
        <w:rPr>
          <w:rFonts w:hint="eastAsia" w:ascii="宋体" w:hAnsi="宋体" w:cs="SSJ4+ZBNFQG-1"/>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绝</w:t>
      </w:r>
      <w:r>
        <w:rPr>
          <w:rFonts w:hint="eastAsia" w:ascii="宋体" w:hAnsi="宋体" w:cs="SSJ4+ZBNFQG-1"/>
          <w:color w:val="000000" w:themeColor="text1"/>
          <w14:textFill>
            <w14:solidFill>
              <w14:schemeClr w14:val="tx1"/>
            </w14:solidFill>
          </w14:textFill>
        </w:rPr>
        <w:t>对</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O-22"/>
          <w:color w:val="000000" w:themeColor="text1"/>
          <w14:textFill>
            <w14:solidFill>
              <w14:schemeClr w14:val="tx1"/>
            </w14:solidFill>
          </w14:textFill>
        </w:rPr>
        <w:t>像</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7"/>
          <w:color w:val="000000" w:themeColor="text1"/>
          <w14:textFill>
            <w14:solidFill>
              <w14:schemeClr w14:val="tx1"/>
            </w14:solidFill>
          </w14:textFill>
        </w:rPr>
        <w:t>管</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M-17"/>
          <w:color w:val="000000" w:themeColor="text1"/>
          <w14:textFill>
            <w14:solidFill>
              <w14:schemeClr w14:val="tx1"/>
            </w14:solidFill>
          </w14:textFill>
        </w:rPr>
        <w:t>层</w:t>
      </w:r>
      <w:r>
        <w:rPr>
          <w:rFonts w:hint="eastAsia" w:ascii="宋体" w:hAnsi="宋体" w:cs="FZSSK--GBK1-00+ZBNFQI-9"/>
          <w:color w:val="000000" w:themeColor="text1"/>
          <w14:textFill>
            <w14:solidFill>
              <w14:schemeClr w14:val="tx1"/>
            </w14:solidFill>
          </w14:textFill>
        </w:rPr>
        <w:t>增加</w:t>
      </w:r>
      <w:r>
        <w:rPr>
          <w:rFonts w:hint="eastAsia" w:ascii="宋体" w:hAnsi="宋体" w:cs="SSJ4+ZBNFQG-1"/>
          <w:color w:val="000000" w:themeColor="text1"/>
          <w14:textFill>
            <w14:solidFill>
              <w14:schemeClr w14:val="tx1"/>
            </w14:solidFill>
          </w14:textFill>
        </w:rPr>
        <w:t>了</w:t>
      </w:r>
      <w:r>
        <w:rPr>
          <w:rFonts w:hint="eastAsia" w:ascii="宋体" w:hAnsi="宋体" w:cs="E-BZ+ZBNFQH-6"/>
          <w:color w:val="000000" w:themeColor="text1"/>
          <w14:textFill>
            <w14:solidFill>
              <w14:schemeClr w14:val="tx1"/>
            </w14:solidFill>
          </w14:textFill>
        </w:rPr>
        <w:t>300</w:t>
      </w:r>
      <w:r>
        <w:rPr>
          <w:rFonts w:hint="eastAsia" w:ascii="宋体" w:hAnsi="宋体" w:cs="SSJ4+ZBNFQG-1"/>
          <w:color w:val="000000" w:themeColor="text1"/>
          <w14:textFill>
            <w14:solidFill>
              <w14:schemeClr w14:val="tx1"/>
            </w14:solidFill>
          </w14:textFill>
        </w:rPr>
        <w:t>多</w:t>
      </w:r>
      <w:r>
        <w:rPr>
          <w:rFonts w:hint="eastAsia" w:ascii="宋体" w:hAnsi="宋体" w:cs="FZSSK--GBK1-00+ZBNFQK-14"/>
          <w:color w:val="000000" w:themeColor="text1"/>
          <w14:textFill>
            <w14:solidFill>
              <w14:schemeClr w14:val="tx1"/>
            </w14:solidFill>
          </w14:textFill>
        </w:rPr>
        <w:t>倍</w:t>
      </w:r>
      <w:r>
        <w:rPr>
          <w:rFonts w:hint="eastAsia" w:ascii="宋体" w:hAnsi="宋体" w:cs="SSJ4+ZBNFQG-1"/>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J-12"/>
          <w:color w:val="000000" w:themeColor="text1"/>
          <w14:textFill>
            <w14:solidFill>
              <w14:schemeClr w14:val="tx1"/>
            </w14:solidFill>
          </w14:textFill>
        </w:rPr>
        <w:t>只</w:t>
      </w:r>
      <w:r>
        <w:rPr>
          <w:rFonts w:hint="eastAsia" w:ascii="宋体" w:hAnsi="宋体" w:cs="FZSSK--GBK1-00+ZBNFQI-9"/>
          <w:color w:val="000000" w:themeColor="text1"/>
          <w14:textFill>
            <w14:solidFill>
              <w14:schemeClr w14:val="tx1"/>
            </w14:solidFill>
          </w14:textFill>
        </w:rPr>
        <w:t>增加</w:t>
      </w:r>
      <w:r>
        <w:rPr>
          <w:rFonts w:hint="eastAsia" w:ascii="宋体" w:hAnsi="宋体" w:cs="SSJ4+ZBNFQG-1"/>
          <w:color w:val="000000" w:themeColor="text1"/>
          <w14:textFill>
            <w14:solidFill>
              <w14:schemeClr w14:val="tx1"/>
            </w14:solidFill>
          </w14:textFill>
        </w:rPr>
        <w:t>了</w:t>
      </w:r>
      <w:r>
        <w:rPr>
          <w:rFonts w:hint="eastAsia" w:ascii="宋体" w:hAnsi="宋体" w:cs="FZSSK--GBK1-00+ZBNFQK-15"/>
          <w:color w:val="000000" w:themeColor="text1"/>
          <w14:textFill>
            <w14:solidFill>
              <w14:schemeClr w14:val="tx1"/>
            </w14:solidFill>
          </w14:textFill>
        </w:rPr>
        <w:t>百</w:t>
      </w:r>
      <w:r>
        <w:rPr>
          <w:rFonts w:hint="eastAsia" w:ascii="宋体" w:hAnsi="宋体" w:cs="FZSSK--GBK1-00+ZBNFQH-8"/>
          <w:color w:val="000000" w:themeColor="text1"/>
          <w14:textFill>
            <w14:solidFill>
              <w14:schemeClr w14:val="tx1"/>
            </w14:solidFill>
          </w14:textFill>
        </w:rPr>
        <w:t>分</w:t>
      </w:r>
      <w:r>
        <w:rPr>
          <w:rFonts w:hint="eastAsia" w:ascii="宋体" w:hAnsi="宋体" w:cs="SSJ4+ZBNFQG-1"/>
          <w:color w:val="000000" w:themeColor="text1"/>
          <w14:textFill>
            <w14:solidFill>
              <w14:schemeClr w14:val="tx1"/>
            </w14:solidFill>
          </w14:textFill>
        </w:rPr>
        <w:t>之</w:t>
      </w:r>
      <w:r>
        <w:rPr>
          <w:rFonts w:hint="eastAsia" w:ascii="宋体" w:hAnsi="宋体" w:cs="FZSSK--GBK1-00+ZBNFQI-9"/>
          <w:color w:val="000000" w:themeColor="text1"/>
          <w14:textFill>
            <w14:solidFill>
              <w14:schemeClr w14:val="tx1"/>
            </w14:solidFill>
          </w14:textFill>
        </w:rPr>
        <w:t>几</w:t>
      </w:r>
      <w:r>
        <w:rPr>
          <w:rFonts w:hint="eastAsia" w:ascii="宋体" w:hAnsi="宋体" w:cs="FZSSK--GBK1-00+ZBNFQH-7"/>
          <w:color w:val="000000" w:themeColor="text1"/>
          <w14:textFill>
            <w14:solidFill>
              <w14:schemeClr w14:val="tx1"/>
            </w14:solidFill>
          </w14:textFill>
        </w:rPr>
        <w:t>十</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第</w:t>
      </w:r>
      <w:r>
        <w:rPr>
          <w:rFonts w:hint="eastAsia" w:ascii="宋体" w:hAnsi="宋体" w:cs="FZSSK--GBK1-00+ZBNFQH-7"/>
          <w:color w:val="000000" w:themeColor="text1"/>
          <w14:textFill>
            <w14:solidFill>
              <w14:schemeClr w14:val="tx1"/>
            </w14:solidFill>
          </w14:textFill>
        </w:rPr>
        <w:t>二</w:t>
      </w:r>
      <w:r>
        <w:rPr>
          <w:rFonts w:hint="eastAsia" w:ascii="宋体" w:hAnsi="宋体" w:cs="FZSSK--GBK1-00+ZBNFQH-5"/>
          <w:color w:val="000000" w:themeColor="text1"/>
          <w14:textFill>
            <w14:solidFill>
              <w14:schemeClr w14:val="tx1"/>
            </w14:solidFill>
          </w14:textFill>
        </w:rPr>
        <w:t>就</w:t>
      </w:r>
      <w:r>
        <w:rPr>
          <w:rFonts w:hint="eastAsia" w:ascii="宋体" w:hAnsi="宋体" w:cs="SSJ4+ZBNFQG-1"/>
          <w:color w:val="000000" w:themeColor="text1"/>
          <w14:textFill>
            <w14:solidFill>
              <w14:schemeClr w14:val="tx1"/>
            </w14:solidFill>
          </w14:textFill>
        </w:rPr>
        <w:t>是和</w:t>
      </w:r>
      <w:r>
        <w:rPr>
          <w:rFonts w:hint="eastAsia" w:ascii="宋体" w:hAnsi="宋体" w:cs="FZSSK--GBK1-00+ZBNFQJ-12"/>
          <w:color w:val="000000" w:themeColor="text1"/>
          <w14:textFill>
            <w14:solidFill>
              <w14:schemeClr w14:val="tx1"/>
            </w14:solidFill>
          </w14:textFill>
        </w:rPr>
        <w:t>企业</w:t>
      </w:r>
      <w:r>
        <w:rPr>
          <w:rFonts w:hint="eastAsia" w:ascii="宋体" w:hAnsi="宋体" w:cs="SSJ4+ZBNFQG-1"/>
          <w:color w:val="000000" w:themeColor="text1"/>
          <w14:textFill>
            <w14:solidFill>
              <w14:schemeClr w14:val="tx1"/>
            </w14:solidFill>
          </w14:textFill>
        </w:rPr>
        <w:t>的</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SSJ4+ZBNFQG-1"/>
          <w:color w:val="000000" w:themeColor="text1"/>
          <w14:textFill>
            <w14:solidFill>
              <w14:schemeClr w14:val="tx1"/>
            </w14:solidFill>
          </w14:textFill>
        </w:rPr>
        <w:t>生</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K-14"/>
          <w:color w:val="000000" w:themeColor="text1"/>
          <w14:textFill>
            <w14:solidFill>
              <w14:schemeClr w14:val="tx1"/>
            </w14:solidFill>
          </w14:textFill>
        </w:rPr>
        <w:t>率</w:t>
      </w:r>
      <w:r>
        <w:rPr>
          <w:rFonts w:hint="eastAsia" w:ascii="宋体" w:hAnsi="宋体" w:cs="FZSSK--GBK1-00+ZBNFQT-26"/>
          <w:color w:val="000000" w:themeColor="text1"/>
          <w14:textFill>
            <w14:solidFill>
              <w14:schemeClr w14:val="tx1"/>
            </w14:solidFill>
          </w14:textFill>
        </w:rPr>
        <w:t>挂钩</w:t>
      </w:r>
      <w:r>
        <w:rPr>
          <w:rFonts w:hint="eastAsia" w:ascii="宋体" w:hAnsi="宋体" w:cs="SSJ4+ZBNFQG-1"/>
          <w:color w:val="000000" w:themeColor="text1"/>
          <w14:textFill>
            <w14:solidFill>
              <w14:schemeClr w14:val="tx1"/>
            </w14:solidFill>
          </w14:textFill>
        </w:rPr>
        <w:t>，和</w:t>
      </w:r>
      <w:r>
        <w:rPr>
          <w:rFonts w:hint="eastAsia" w:ascii="宋体" w:hAnsi="宋体" w:cs="FZSSK--GBK1-00+ZBNFQJ-12"/>
          <w:color w:val="000000" w:themeColor="text1"/>
          <w14:textFill>
            <w14:solidFill>
              <w14:schemeClr w14:val="tx1"/>
            </w14:solidFill>
          </w14:textFill>
        </w:rPr>
        <w:t>企业</w:t>
      </w:r>
      <w:r>
        <w:rPr>
          <w:rFonts w:hint="eastAsia" w:ascii="宋体" w:hAnsi="宋体" w:cs="FZSSK--GBK1-00+ZBNFQH-7"/>
          <w:color w:val="000000" w:themeColor="text1"/>
          <w14:textFill>
            <w14:solidFill>
              <w14:schemeClr w14:val="tx1"/>
            </w14:solidFill>
          </w14:textFill>
        </w:rPr>
        <w:t>三</w:t>
      </w:r>
      <w:r>
        <w:rPr>
          <w:rFonts w:hint="eastAsia" w:ascii="宋体" w:hAnsi="宋体" w:cs="FZSSK--GBK1-00+ZBNFQH-5"/>
          <w:color w:val="000000" w:themeColor="text1"/>
          <w14:textFill>
            <w14:solidFill>
              <w14:schemeClr w14:val="tx1"/>
            </w14:solidFill>
          </w14:textFill>
        </w:rPr>
        <w:t>五年</w:t>
      </w:r>
      <w:r>
        <w:rPr>
          <w:rFonts w:hint="eastAsia" w:ascii="宋体" w:hAnsi="宋体" w:cs="FZSSK--GBK1-00+ZBNFQH-7"/>
          <w:color w:val="000000" w:themeColor="text1"/>
          <w14:textFill>
            <w14:solidFill>
              <w14:schemeClr w14:val="tx1"/>
            </w14:solidFill>
          </w14:textFill>
        </w:rPr>
        <w:t>内</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I-10"/>
          <w:color w:val="000000" w:themeColor="text1"/>
          <w14:textFill>
            <w14:solidFill>
              <w14:schemeClr w14:val="tx1"/>
            </w14:solidFill>
          </w14:textFill>
        </w:rPr>
        <w:t>润</w:t>
      </w:r>
      <w:r>
        <w:rPr>
          <w:rFonts w:hint="eastAsia" w:ascii="宋体" w:hAnsi="宋体" w:cs="FZSSK--GBK1-00+ZBNFQK-14"/>
          <w:color w:val="000000" w:themeColor="text1"/>
          <w14:textFill>
            <w14:solidFill>
              <w14:schemeClr w14:val="tx1"/>
            </w14:solidFill>
          </w14:textFill>
        </w:rPr>
        <w:t>率</w:t>
      </w:r>
      <w:r>
        <w:rPr>
          <w:rFonts w:hint="eastAsia" w:ascii="宋体" w:hAnsi="宋体" w:cs="FZSSK--GBK1-00+ZBNFQT-26"/>
          <w:color w:val="000000" w:themeColor="text1"/>
          <w14:textFill>
            <w14:solidFill>
              <w14:schemeClr w14:val="tx1"/>
            </w14:solidFill>
          </w14:textFill>
        </w:rPr>
        <w:t>挂钩</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还</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就</w:t>
      </w:r>
      <w:r>
        <w:rPr>
          <w:rFonts w:hint="eastAsia" w:ascii="宋体" w:hAnsi="宋体" w:cs="SSJ4+ZBNFQG-1"/>
          <w:color w:val="000000" w:themeColor="text1"/>
          <w14:textFill>
            <w14:solidFill>
              <w14:schemeClr w14:val="tx1"/>
            </w14:solidFill>
          </w14:textFill>
        </w:rPr>
        <w:t>是和当</w:t>
      </w:r>
      <w:r>
        <w:rPr>
          <w:rFonts w:hint="eastAsia" w:ascii="宋体" w:hAnsi="宋体" w:cs="FZSSK--GBK1-00+ZBNFQI-10"/>
          <w:color w:val="000000" w:themeColor="text1"/>
          <w14:textFill>
            <w14:solidFill>
              <w14:schemeClr w14:val="tx1"/>
            </w14:solidFill>
          </w14:textFill>
        </w:rPr>
        <w:t>地</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物</w:t>
      </w:r>
      <w:r>
        <w:rPr>
          <w:rFonts w:hint="eastAsia" w:ascii="宋体" w:hAnsi="宋体" w:cs="FZSSK--GBK1-00+ZBNFQJ-12"/>
          <w:color w:val="000000" w:themeColor="text1"/>
          <w14:textFill>
            <w14:solidFill>
              <w14:schemeClr w14:val="tx1"/>
            </w14:solidFill>
          </w14:textFill>
        </w:rPr>
        <w:t>价</w:t>
      </w:r>
      <w:r>
        <w:rPr>
          <w:rFonts w:hint="eastAsia" w:ascii="宋体" w:hAnsi="宋体" w:cs="FZSSK--GBK1-00+ZBNFQT-26"/>
          <w:color w:val="000000" w:themeColor="text1"/>
          <w14:textFill>
            <w14:solidFill>
              <w14:schemeClr w14:val="tx1"/>
            </w14:solidFill>
          </w14:textFill>
        </w:rPr>
        <w:t>挂钩</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I-10"/>
          <w:color w:val="000000" w:themeColor="text1"/>
          <w14:textFill>
            <w14:solidFill>
              <w14:schemeClr w14:val="tx1"/>
            </w14:solidFill>
          </w14:textFill>
        </w:rPr>
        <w:t>该四</w:t>
      </w:r>
      <w:r>
        <w:rPr>
          <w:rFonts w:hint="eastAsia" w:ascii="宋体" w:hAnsi="宋体" w:cs="SSJ4+ZBNFQG-1"/>
          <w:color w:val="000000" w:themeColor="text1"/>
          <w14:textFill>
            <w14:solidFill>
              <w14:schemeClr w14:val="tx1"/>
            </w14:solidFill>
          </w14:textFill>
        </w:rPr>
        <w:t>个同</w:t>
      </w:r>
      <w:r>
        <w:rPr>
          <w:rFonts w:hint="eastAsia" w:ascii="宋体" w:hAnsi="宋体" w:cs="FZSSK--GBK1-00+ZBNFQH-7"/>
          <w:color w:val="000000" w:themeColor="text1"/>
          <w14:textFill>
            <w14:solidFill>
              <w14:schemeClr w14:val="tx1"/>
            </w14:solidFill>
          </w14:textFill>
        </w:rPr>
        <w:t>步</w:t>
      </w:r>
      <w:r>
        <w:rPr>
          <w:rFonts w:hint="eastAsia" w:ascii="宋体" w:hAnsi="宋体" w:cs="FZSSK--GBK1-00+ZBNFQT-26"/>
          <w:color w:val="000000" w:themeColor="text1"/>
          <w14:textFill>
            <w14:solidFill>
              <w14:schemeClr w14:val="tx1"/>
            </w14:solidFill>
          </w14:textFill>
        </w:rPr>
        <w:t>挂钩</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但是</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些</w:t>
      </w:r>
      <w:r>
        <w:rPr>
          <w:rFonts w:hint="eastAsia" w:ascii="宋体" w:hAnsi="宋体" w:cs="FZSSK--GBK1-00+ZBNFQH-5"/>
          <w:color w:val="000000" w:themeColor="text1"/>
          <w14:textFill>
            <w14:solidFill>
              <w14:schemeClr w14:val="tx1"/>
            </w14:solidFill>
          </w14:textFill>
        </w:rPr>
        <w:t>还没</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落</w:t>
      </w:r>
      <w:r>
        <w:rPr>
          <w:rFonts w:hint="eastAsia" w:ascii="宋体" w:hAnsi="宋体" w:cs="FZSSK--GBK1-00+ZBNFQI-10"/>
          <w:color w:val="000000" w:themeColor="text1"/>
          <w14:textFill>
            <w14:solidFill>
              <w14:schemeClr w14:val="tx1"/>
            </w14:solidFill>
          </w14:textFill>
        </w:rPr>
        <w:t>实</w:t>
      </w:r>
      <w:r>
        <w:rPr>
          <w:rFonts w:hint="eastAsia" w:ascii="宋体" w:hAnsi="宋体" w:cs="SSJ0+ZBNFQG-4"/>
          <w:color w:val="000000" w:themeColor="text1"/>
          <w14:textFill>
            <w14:solidFill>
              <w14:schemeClr w14:val="tx1"/>
            </w14:solidFill>
          </w14:textFill>
        </w:rPr>
        <w:t>。</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10"/>
          <w:color w:val="000000" w:themeColor="text1"/>
          <w14:textFill>
            <w14:solidFill>
              <w14:schemeClr w14:val="tx1"/>
            </w14:solidFill>
          </w14:textFill>
        </w:rPr>
        <w:t>者</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K-15"/>
          <w:color w:val="000000" w:themeColor="text1"/>
          <w14:textFill>
            <w14:solidFill>
              <w14:schemeClr w14:val="tx1"/>
            </w14:solidFill>
          </w14:textFill>
        </w:rPr>
        <w:t>益</w:t>
      </w:r>
      <w:r>
        <w:rPr>
          <w:rFonts w:hint="eastAsia" w:ascii="宋体" w:hAnsi="宋体" w:cs="SSJ4+ZBNFQG-1"/>
          <w:color w:val="000000" w:themeColor="text1"/>
          <w14:textFill>
            <w14:solidFill>
              <w14:schemeClr w14:val="tx1"/>
            </w14:solidFill>
          </w14:textFill>
        </w:rPr>
        <w:t>是</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I-10"/>
          <w:color w:val="000000" w:themeColor="text1"/>
          <w14:textFill>
            <w14:solidFill>
              <w14:schemeClr w14:val="tx1"/>
            </w14:solidFill>
          </w14:textFill>
        </w:rPr>
        <w:t>该</w:t>
      </w:r>
      <w:r>
        <w:rPr>
          <w:rFonts w:hint="eastAsia" w:ascii="宋体" w:hAnsi="宋体" w:cs="FZSSK--GBK1-00+ZBNFQL-16"/>
          <w:color w:val="000000" w:themeColor="text1"/>
          <w14:textFill>
            <w14:solidFill>
              <w14:schemeClr w14:val="tx1"/>
            </w14:solidFill>
          </w14:textFill>
        </w:rPr>
        <w:t>靠</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来</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L-16"/>
          <w:color w:val="000000" w:themeColor="text1"/>
          <w14:textFill>
            <w14:solidFill>
              <w14:schemeClr w14:val="tx1"/>
            </w14:solidFill>
          </w14:textFill>
        </w:rPr>
        <w:t>护</w:t>
      </w:r>
      <w:r>
        <w:rPr>
          <w:rFonts w:hint="eastAsia" w:ascii="宋体" w:hAnsi="宋体" w:cs="SSJ4+ZBNFQG-1"/>
          <w:color w:val="000000" w:themeColor="text1"/>
          <w14:textFill>
            <w14:solidFill>
              <w14:schemeClr w14:val="tx1"/>
            </w14:solidFill>
          </w14:textFill>
        </w:rPr>
        <w:t>的，是</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I-10"/>
          <w:color w:val="000000" w:themeColor="text1"/>
          <w14:textFill>
            <w14:solidFill>
              <w14:schemeClr w14:val="tx1"/>
            </w14:solidFill>
          </w14:textFill>
        </w:rPr>
        <w:t>该</w:t>
      </w:r>
      <w:r>
        <w:rPr>
          <w:rFonts w:hint="eastAsia" w:ascii="宋体" w:hAnsi="宋体" w:cs="SSJ4+ZBNFQG-1"/>
          <w:color w:val="000000" w:themeColor="text1"/>
          <w14:textFill>
            <w14:solidFill>
              <w14:schemeClr w14:val="tx1"/>
            </w14:solidFill>
          </w14:textFill>
        </w:rPr>
        <w:t>由国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主</w:t>
      </w:r>
      <w:r>
        <w:rPr>
          <w:rFonts w:hint="eastAsia" w:ascii="宋体" w:hAnsi="宋体" w:cs="FZSSK--GBK1-00+ZBNFQH-8"/>
          <w:color w:val="000000" w:themeColor="text1"/>
          <w14:textFill>
            <w14:solidFill>
              <w14:schemeClr w14:val="tx1"/>
            </w14:solidFill>
          </w14:textFill>
        </w:rPr>
        <w:t>导</w:t>
      </w:r>
      <w:r>
        <w:rPr>
          <w:rFonts w:hint="eastAsia" w:ascii="宋体" w:hAnsi="宋体" w:cs="SSJ4+ZBNFQG-1"/>
          <w:color w:val="000000" w:themeColor="text1"/>
          <w14:textFill>
            <w14:solidFill>
              <w14:schemeClr w14:val="tx1"/>
            </w14:solidFill>
          </w14:textFill>
        </w:rPr>
        <w:t>的</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H-5"/>
          <w:color w:val="000000" w:themeColor="text1"/>
          <w14:textFill>
            <w14:solidFill>
              <w14:schemeClr w14:val="tx1"/>
            </w14:solidFill>
          </w14:textFill>
        </w:rPr>
        <w:t>如果不</w:t>
      </w:r>
      <w:r>
        <w:rPr>
          <w:rFonts w:hint="eastAsia" w:ascii="宋体" w:hAnsi="宋体" w:cs="SSJ4+ZBNFQG-1"/>
          <w:color w:val="000000" w:themeColor="text1"/>
          <w14:textFill>
            <w14:solidFill>
              <w14:schemeClr w14:val="tx1"/>
            </w14:solidFill>
          </w14:textFill>
        </w:rPr>
        <w:t>主</w:t>
      </w:r>
      <w:r>
        <w:rPr>
          <w:rFonts w:hint="eastAsia" w:ascii="宋体" w:hAnsi="宋体" w:cs="FZSSK--GBK1-00+ZBNFQH-8"/>
          <w:color w:val="000000" w:themeColor="text1"/>
          <w14:textFill>
            <w14:solidFill>
              <w14:schemeClr w14:val="tx1"/>
            </w14:solidFill>
          </w14:textFill>
        </w:rPr>
        <w:t>导</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I-9"/>
          <w:color w:val="000000" w:themeColor="text1"/>
          <w14:textFill>
            <w14:solidFill>
              <w14:schemeClr w14:val="tx1"/>
            </w14:solidFill>
          </w14:textFill>
        </w:rPr>
        <w:t>件事</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事</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7"/>
          <w:color w:val="000000" w:themeColor="text1"/>
          <w14:textFill>
            <w14:solidFill>
              <w14:schemeClr w14:val="tx1"/>
            </w14:solidFill>
          </w14:textFill>
        </w:rPr>
        <w:t>上</w:t>
      </w:r>
      <w:r>
        <w:rPr>
          <w:rFonts w:hint="eastAsia" w:ascii="宋体" w:hAnsi="宋体" w:cs="FZSSK--GBK1-00+ZBNFQH-5"/>
          <w:color w:val="000000" w:themeColor="text1"/>
          <w14:textFill>
            <w14:solidFill>
              <w14:schemeClr w14:val="tx1"/>
            </w14:solidFill>
          </w14:textFill>
        </w:rPr>
        <w:t>就</w:t>
      </w:r>
      <w:r>
        <w:rPr>
          <w:rFonts w:hint="eastAsia" w:ascii="宋体" w:hAnsi="宋体" w:cs="SSJ4+ZBNFQG-1"/>
          <w:color w:val="000000" w:themeColor="text1"/>
          <w14:textFill>
            <w14:solidFill>
              <w14:schemeClr w14:val="tx1"/>
            </w14:solidFill>
          </w14:textFill>
        </w:rPr>
        <w:t>是</w:t>
      </w:r>
      <w:r>
        <w:rPr>
          <w:rFonts w:hint="eastAsia" w:ascii="宋体" w:hAnsi="宋体" w:cs="FZSSK--GBK1-00+ZBNFQJ-12"/>
          <w:color w:val="000000" w:themeColor="text1"/>
          <w14:textFill>
            <w14:solidFill>
              <w14:schemeClr w14:val="tx1"/>
            </w14:solidFill>
          </w14:textFill>
        </w:rPr>
        <w:t>交</w:t>
      </w:r>
      <w:r>
        <w:rPr>
          <w:rFonts w:hint="eastAsia" w:ascii="宋体" w:hAnsi="宋体" w:cs="SSJ4+ZBNFQG-1"/>
          <w:color w:val="000000" w:themeColor="text1"/>
          <w14:textFill>
            <w14:solidFill>
              <w14:schemeClr w14:val="tx1"/>
            </w14:solidFill>
          </w14:textFill>
        </w:rPr>
        <w:t>由</w:t>
      </w:r>
      <w:r>
        <w:rPr>
          <w:rFonts w:hint="eastAsia" w:ascii="宋体" w:hAnsi="宋体" w:cs="FZSSK--GBK1-00+ZBNFQM-17"/>
          <w:color w:val="000000" w:themeColor="text1"/>
          <w14:textFill>
            <w14:solidFill>
              <w14:schemeClr w14:val="tx1"/>
            </w14:solidFill>
          </w14:textFill>
        </w:rPr>
        <w:t>私</w:t>
      </w:r>
      <w:r>
        <w:rPr>
          <w:rFonts w:hint="eastAsia" w:ascii="宋体" w:hAnsi="宋体" w:cs="FZSSK--GBK1-00+ZBNFQH-5"/>
          <w:color w:val="000000" w:themeColor="text1"/>
          <w14:textFill>
            <w14:solidFill>
              <w14:schemeClr w14:val="tx1"/>
            </w14:solidFill>
          </w14:textFill>
        </w:rPr>
        <w:t>人垄断</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资本</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H-5"/>
          <w:color w:val="000000" w:themeColor="text1"/>
          <w14:textFill>
            <w14:solidFill>
              <w14:schemeClr w14:val="tx1"/>
            </w14:solidFill>
          </w14:textFill>
        </w:rPr>
        <w:t>垄断</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那</w:t>
      </w:r>
      <w:r>
        <w:rPr>
          <w:rFonts w:hint="eastAsia" w:ascii="宋体" w:hAnsi="宋体" w:cs="FZSSK--GBK1-00+ZBNFQI-10"/>
          <w:color w:val="000000" w:themeColor="text1"/>
          <w14:textFill>
            <w14:solidFill>
              <w14:schemeClr w14:val="tx1"/>
            </w14:solidFill>
          </w14:textFill>
        </w:rPr>
        <w:t>么</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H-8"/>
          <w:color w:val="000000" w:themeColor="text1"/>
          <w14:textFill>
            <w14:solidFill>
              <w14:schemeClr w14:val="tx1"/>
            </w14:solidFill>
          </w14:textFill>
        </w:rPr>
        <w:t>收</w:t>
      </w:r>
      <w:r>
        <w:rPr>
          <w:rFonts w:hint="eastAsia" w:ascii="宋体" w:hAnsi="宋体" w:cs="FZSSK--GBK1-00+ZBNFQH-5"/>
          <w:color w:val="000000" w:themeColor="text1"/>
          <w14:textFill>
            <w14:solidFill>
              <w14:schemeClr w14:val="tx1"/>
            </w14:solidFill>
          </w14:textFill>
        </w:rPr>
        <w:t>入问题就</w:t>
      </w:r>
      <w:r>
        <w:rPr>
          <w:rFonts w:hint="eastAsia" w:ascii="宋体" w:hAnsi="宋体" w:cs="FZSSK--GBK1-00+ZBNFQL-16"/>
          <w:color w:val="000000" w:themeColor="text1"/>
          <w14:textFill>
            <w14:solidFill>
              <w14:schemeClr w14:val="tx1"/>
            </w14:solidFill>
          </w14:textFill>
        </w:rPr>
        <w:t>永</w:t>
      </w:r>
      <w:r>
        <w:rPr>
          <w:rFonts w:hint="eastAsia" w:ascii="宋体" w:hAnsi="宋体" w:cs="FZSSK--GBK1-00+ZBNFQI-10"/>
          <w:color w:val="000000" w:themeColor="text1"/>
          <w14:textFill>
            <w14:solidFill>
              <w14:schemeClr w14:val="tx1"/>
            </w14:solidFill>
          </w14:textFill>
        </w:rPr>
        <w:t>远</w:t>
      </w:r>
      <w:r>
        <w:rPr>
          <w:rFonts w:hint="eastAsia" w:ascii="宋体" w:hAnsi="宋体" w:cs="FZSSK--GBK1-00+ZBNFQH-8"/>
          <w:color w:val="000000" w:themeColor="text1"/>
          <w14:textFill>
            <w14:solidFill>
              <w14:schemeClr w14:val="tx1"/>
            </w14:solidFill>
          </w14:textFill>
        </w:rPr>
        <w:t>得</w:t>
      </w:r>
      <w:r>
        <w:rPr>
          <w:rFonts w:hint="eastAsia" w:ascii="宋体" w:hAnsi="宋体" w:cs="FZSSK--GBK1-00+ZBNFQH-5"/>
          <w:color w:val="000000" w:themeColor="text1"/>
          <w14:textFill>
            <w14:solidFill>
              <w14:schemeClr w14:val="tx1"/>
            </w14:solidFill>
          </w14:textFill>
        </w:rPr>
        <w:t>不到</w:t>
      </w:r>
      <w:r>
        <w:rPr>
          <w:rFonts w:hint="eastAsia" w:ascii="宋体" w:hAnsi="宋体" w:cs="FZSSK--GBK1-00+ZBNFQJ-12"/>
          <w:color w:val="000000" w:themeColor="text1"/>
          <w14:textFill>
            <w14:solidFill>
              <w14:schemeClr w14:val="tx1"/>
            </w14:solidFill>
          </w14:textFill>
        </w:rPr>
        <w:t>真</w:t>
      </w:r>
      <w:r>
        <w:rPr>
          <w:rFonts w:hint="eastAsia" w:ascii="宋体" w:hAnsi="宋体" w:cs="SSJ4+ZBNFQG-1"/>
          <w:color w:val="000000" w:themeColor="text1"/>
          <w14:textFill>
            <w14:solidFill>
              <w14:schemeClr w14:val="tx1"/>
            </w14:solidFill>
          </w14:textFill>
        </w:rPr>
        <w:t>正</w:t>
      </w:r>
      <w:r>
        <w:rPr>
          <w:rFonts w:hint="eastAsia" w:ascii="宋体" w:hAnsi="宋体" w:cs="FZSSK--GBK1-00+ZBNFQI-10"/>
          <w:color w:val="000000" w:themeColor="text1"/>
          <w14:textFill>
            <w14:solidFill>
              <w14:schemeClr w14:val="tx1"/>
            </w14:solidFill>
          </w14:textFill>
        </w:rPr>
        <w:t>改</w:t>
      </w:r>
      <w:r>
        <w:rPr>
          <w:rFonts w:hint="eastAsia" w:ascii="宋体" w:hAnsi="宋体" w:cs="FZSSK--GBK1-00+ZBNFQL-16"/>
          <w:color w:val="000000" w:themeColor="text1"/>
          <w14:textFill>
            <w14:solidFill>
              <w14:schemeClr w14:val="tx1"/>
            </w14:solidFill>
          </w14:textFill>
        </w:rPr>
        <w:t>善</w:t>
      </w:r>
      <w:r>
        <w:rPr>
          <w:rFonts w:hint="eastAsia" w:ascii="宋体" w:hAnsi="宋体" w:cs="SSJ0+ZBNFQG-4"/>
          <w:color w:val="000000" w:themeColor="text1"/>
          <w14:textFill>
            <w14:solidFill>
              <w14:schemeClr w14:val="tx1"/>
            </w14:solidFill>
          </w14:textFill>
        </w:rPr>
        <w:t>。</w:t>
      </w:r>
    </w:p>
    <w:p w14:paraId="018C8CF6">
      <w:pPr>
        <w:spacing w:before="147" w:beforeLines="50" w:after="147" w:afterLines="50" w:line="400" w:lineRule="exact"/>
        <w:ind w:firstLine="480" w:firstLineChars="200"/>
        <w:jc w:val="center"/>
        <w:rPr>
          <w:rFonts w:hint="eastAsia" w:ascii="宋体" w:hAnsi="宋体"/>
          <w:b/>
          <w:bCs/>
          <w:color w:val="000000" w:themeColor="text1"/>
          <w:kern w:val="28"/>
          <w:sz w:val="24"/>
          <w:szCs w:val="24"/>
          <w14:textFill>
            <w14:solidFill>
              <w14:schemeClr w14:val="tx1"/>
            </w14:solidFill>
          </w14:textFill>
        </w:rPr>
      </w:pPr>
      <w:r>
        <w:rPr>
          <w:rFonts w:hint="eastAsia" w:ascii="宋体" w:hAnsi="宋体"/>
          <w:b/>
          <w:bCs/>
          <w:color w:val="000000" w:themeColor="text1"/>
          <w:kern w:val="28"/>
          <w:sz w:val="24"/>
          <w:szCs w:val="24"/>
          <w14:textFill>
            <w14:solidFill>
              <w14:schemeClr w14:val="tx1"/>
            </w14:solidFill>
          </w14:textFill>
        </w:rPr>
        <w:t>建立全球经济政治文化新秩序</w:t>
      </w:r>
    </w:p>
    <w:p w14:paraId="4F223C34">
      <w:pPr>
        <w:autoSpaceDE w:val="0"/>
        <w:autoSpaceDN w:val="0"/>
        <w:adjustRightInd w:val="0"/>
        <w:spacing w:line="400" w:lineRule="exact"/>
        <w:ind w:firstLine="420" w:firstLineChars="200"/>
        <w:jc w:val="left"/>
        <w:rPr>
          <w:rFonts w:hint="eastAsia" w:ascii="宋体" w:hAnsi="宋体" w:cs="FZSSK--GBK1-00+ZBNFQH-5"/>
          <w:color w:val="000000" w:themeColor="text1"/>
          <w14:textFill>
            <w14:solidFill>
              <w14:schemeClr w14:val="tx1"/>
            </w14:solidFill>
          </w14:textFill>
        </w:rPr>
      </w:pPr>
      <w:r>
        <w:rPr>
          <w:rFonts w:hint="eastAsia" w:ascii="宋体" w:hAnsi="宋体" w:cs="E-BZ+ZBNFQH-6"/>
          <w:color w:val="000000" w:themeColor="text1"/>
          <w14:textFill>
            <w14:solidFill>
              <w14:schemeClr w14:val="tx1"/>
            </w14:solidFill>
          </w14:textFill>
        </w:rPr>
        <w:t>1990</w:t>
      </w:r>
      <w:r>
        <w:rPr>
          <w:rFonts w:hint="eastAsia" w:ascii="宋体" w:hAnsi="宋体" w:cs="FZSSK--GBK1-00+ZBNFQH-5"/>
          <w:color w:val="000000" w:themeColor="text1"/>
          <w14:textFill>
            <w14:solidFill>
              <w14:schemeClr w14:val="tx1"/>
            </w14:solidFill>
          </w14:textFill>
        </w:rPr>
        <w:t>年</w:t>
      </w:r>
      <w:r>
        <w:rPr>
          <w:rFonts w:hint="eastAsia" w:ascii="宋体" w:hAnsi="宋体" w:cs="FZSSK--GBK1-00+ZBNFQH-7"/>
          <w:color w:val="000000" w:themeColor="text1"/>
          <w14:textFill>
            <w14:solidFill>
              <w14:schemeClr w14:val="tx1"/>
            </w14:solidFill>
          </w14:textFill>
        </w:rPr>
        <w:t>至今</w:t>
      </w:r>
      <w:r>
        <w:rPr>
          <w:rFonts w:hint="eastAsia" w:ascii="宋体" w:hAnsi="宋体" w:cs="SSJ4+ZBNFQG-1"/>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随</w:t>
      </w:r>
      <w:r>
        <w:rPr>
          <w:rFonts w:hint="eastAsia" w:ascii="宋体" w:hAnsi="宋体" w:cs="FZSSK--GBK1-00+ZBNFQH-7"/>
          <w:color w:val="000000" w:themeColor="text1"/>
          <w14:textFill>
            <w14:solidFill>
              <w14:schemeClr w14:val="tx1"/>
            </w14:solidFill>
          </w14:textFill>
        </w:rPr>
        <w:t>着</w:t>
      </w:r>
      <w:r>
        <w:rPr>
          <w:rFonts w:hint="eastAsia" w:ascii="宋体" w:hAnsi="宋体" w:cs="FZSSK--GBK1-00+ZBNFQJ-12"/>
          <w:color w:val="000000" w:themeColor="text1"/>
          <w14:textFill>
            <w14:solidFill>
              <w14:schemeClr w14:val="tx1"/>
            </w14:solidFill>
          </w14:textFill>
        </w:rPr>
        <w:t>冷</w:t>
      </w:r>
      <w:r>
        <w:rPr>
          <w:rFonts w:hint="eastAsia" w:ascii="宋体" w:hAnsi="宋体" w:cs="SSJ4+ZBNFQG-1"/>
          <w:color w:val="000000" w:themeColor="text1"/>
          <w14:textFill>
            <w14:solidFill>
              <w14:schemeClr w14:val="tx1"/>
            </w14:solidFill>
          </w14:textFill>
        </w:rPr>
        <w:t>战的</w:t>
      </w:r>
      <w:r>
        <w:rPr>
          <w:rFonts w:hint="eastAsia" w:ascii="宋体" w:hAnsi="宋体" w:cs="FZSSK--GBK1-00+ZBNFQH-5"/>
          <w:color w:val="000000" w:themeColor="text1"/>
          <w14:textFill>
            <w14:solidFill>
              <w14:schemeClr w14:val="tx1"/>
            </w14:solidFill>
          </w14:textFill>
        </w:rPr>
        <w:t>结束</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I-9"/>
          <w:color w:val="000000" w:themeColor="text1"/>
          <w14:textFill>
            <w14:solidFill>
              <w14:schemeClr w14:val="tx1"/>
            </w14:solidFill>
          </w14:textFill>
        </w:rPr>
        <w:t>成</w:t>
      </w:r>
      <w:r>
        <w:rPr>
          <w:rFonts w:hint="eastAsia" w:ascii="宋体" w:hAnsi="宋体" w:cs="SSJ4+ZBNFQG-1"/>
          <w:color w:val="000000" w:themeColor="text1"/>
          <w14:textFill>
            <w14:solidFill>
              <w14:schemeClr w14:val="tx1"/>
            </w14:solidFill>
          </w14:textFill>
        </w:rPr>
        <w:t>为了</w:t>
      </w:r>
      <w:r>
        <w:rPr>
          <w:rFonts w:hint="eastAsia" w:ascii="宋体" w:hAnsi="宋体" w:cs="FZSSK--GBK1-00+ZBNFQH-8"/>
          <w:color w:val="000000" w:themeColor="text1"/>
          <w14:textFill>
            <w14:solidFill>
              <w14:schemeClr w14:val="tx1"/>
            </w14:solidFill>
          </w14:textFill>
        </w:rPr>
        <w:t>唯</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超级</w:t>
      </w:r>
      <w:r>
        <w:rPr>
          <w:rFonts w:hint="eastAsia" w:ascii="宋体" w:hAnsi="宋体" w:cs="SSJ4+ZBNFQG-1"/>
          <w:color w:val="000000" w:themeColor="text1"/>
          <w14:textFill>
            <w14:solidFill>
              <w14:schemeClr w14:val="tx1"/>
            </w14:solidFill>
          </w14:textFill>
        </w:rPr>
        <w:t>大国，</w:t>
      </w:r>
      <w:r>
        <w:rPr>
          <w:rFonts w:hint="eastAsia" w:ascii="宋体" w:hAnsi="宋体" w:cs="FZSSK--GBK1-00+ZBNFQH-5"/>
          <w:color w:val="000000" w:themeColor="text1"/>
          <w14:textFill>
            <w14:solidFill>
              <w14:schemeClr w14:val="tx1"/>
            </w14:solidFill>
          </w14:textFill>
        </w:rPr>
        <w:t>没</w:t>
      </w:r>
      <w:r>
        <w:rPr>
          <w:rFonts w:hint="eastAsia" w:ascii="宋体" w:hAnsi="宋体" w:cs="SSJ4+ZBNFQG-1"/>
          <w:color w:val="000000" w:themeColor="text1"/>
          <w14:textFill>
            <w14:solidFill>
              <w14:schemeClr w14:val="tx1"/>
            </w14:solidFill>
          </w14:textFill>
        </w:rPr>
        <w:t>有</w:t>
      </w:r>
      <w:r>
        <w:rPr>
          <w:rFonts w:hint="eastAsia" w:ascii="宋体" w:hAnsi="宋体" w:cs="FZSSK--GBK1-00+ZBNFQH-7"/>
          <w:color w:val="000000" w:themeColor="text1"/>
          <w14:textFill>
            <w14:solidFill>
              <w14:schemeClr w14:val="tx1"/>
            </w14:solidFill>
          </w14:textFill>
        </w:rPr>
        <w:t>其</w:t>
      </w:r>
      <w:r>
        <w:rPr>
          <w:rFonts w:hint="eastAsia" w:ascii="宋体" w:hAnsi="宋体" w:cs="FZSSK--GBK1-00+ZBNFQJ-13"/>
          <w:color w:val="000000" w:themeColor="text1"/>
          <w14:textFill>
            <w14:solidFill>
              <w14:schemeClr w14:val="tx1"/>
            </w14:solidFill>
          </w14:textFill>
        </w:rPr>
        <w:t>他</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H-7"/>
          <w:color w:val="000000" w:themeColor="text1"/>
          <w14:textFill>
            <w14:solidFill>
              <w14:schemeClr w14:val="tx1"/>
            </w14:solidFill>
          </w14:textFill>
        </w:rPr>
        <w:t>或</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K-15"/>
          <w:color w:val="000000" w:themeColor="text1"/>
          <w14:textFill>
            <w14:solidFill>
              <w14:schemeClr w14:val="tx1"/>
            </w14:solidFill>
          </w14:textFill>
        </w:rPr>
        <w:t>集</w:t>
      </w:r>
      <w:r>
        <w:rPr>
          <w:rFonts w:hint="eastAsia" w:ascii="宋体" w:hAnsi="宋体" w:cs="FZSSK--GBK1-00+ZBNFQL-16"/>
          <w:color w:val="000000" w:themeColor="text1"/>
          <w14:textFill>
            <w14:solidFill>
              <w14:schemeClr w14:val="tx1"/>
            </w14:solidFill>
          </w14:textFill>
        </w:rPr>
        <w:t>团</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I-10"/>
          <w:color w:val="000000" w:themeColor="text1"/>
          <w14:textFill>
            <w14:solidFill>
              <w14:schemeClr w14:val="tx1"/>
            </w14:solidFill>
          </w14:textFill>
        </w:rPr>
        <w:t>够</w:t>
      </w:r>
      <w:r>
        <w:rPr>
          <w:rFonts w:hint="eastAsia" w:ascii="宋体" w:hAnsi="宋体" w:cs="FZSSK--GBK1-00+ZBNFQT-26"/>
          <w:color w:val="000000" w:themeColor="text1"/>
          <w14:textFill>
            <w14:solidFill>
              <w14:schemeClr w14:val="tx1"/>
            </w14:solidFill>
          </w14:textFill>
        </w:rPr>
        <w:t>扮</w:t>
      </w:r>
      <w:r>
        <w:rPr>
          <w:rFonts w:hint="eastAsia" w:ascii="宋体" w:hAnsi="宋体" w:cs="FZSSK--GBK1-00+ZBNFQH-8"/>
          <w:color w:val="000000" w:themeColor="text1"/>
          <w14:textFill>
            <w14:solidFill>
              <w14:schemeClr w14:val="tx1"/>
            </w14:solidFill>
          </w14:textFill>
        </w:rPr>
        <w:t>演</w:t>
      </w:r>
      <w:r>
        <w:rPr>
          <w:rFonts w:hint="eastAsia" w:ascii="宋体" w:hAnsi="宋体" w:cs="FZSSK--GBK1-00+ZBNFQH-5"/>
          <w:color w:val="000000" w:themeColor="text1"/>
          <w14:textFill>
            <w14:solidFill>
              <w14:schemeClr w14:val="tx1"/>
            </w14:solidFill>
          </w14:textFill>
        </w:rPr>
        <w:t>平</w:t>
      </w:r>
      <w:r>
        <w:rPr>
          <w:rFonts w:hint="eastAsia" w:ascii="宋体" w:hAnsi="宋体" w:cs="FZSSK--GBK1-00+ZBNFQQ-24"/>
          <w:color w:val="000000" w:themeColor="text1"/>
          <w14:textFill>
            <w14:solidFill>
              <w14:schemeClr w14:val="tx1"/>
            </w14:solidFill>
          </w14:textFill>
        </w:rPr>
        <w:t>衡</w:t>
      </w:r>
      <w:r>
        <w:rPr>
          <w:rFonts w:hint="eastAsia" w:ascii="宋体" w:hAnsi="宋体" w:cs="FZSSK--GBK1-00+ZBNFQI-10"/>
          <w:color w:val="000000" w:themeColor="text1"/>
          <w14:textFill>
            <w14:solidFill>
              <w14:schemeClr w14:val="tx1"/>
            </w14:solidFill>
          </w14:textFill>
        </w:rPr>
        <w:t>者</w:t>
      </w:r>
      <w:r>
        <w:rPr>
          <w:rFonts w:hint="eastAsia" w:ascii="宋体" w:hAnsi="宋体" w:cs="SSJ4+ZBNFQG-1"/>
          <w:color w:val="000000" w:themeColor="text1"/>
          <w14:textFill>
            <w14:solidFill>
              <w14:schemeClr w14:val="tx1"/>
            </w14:solidFill>
          </w14:textFill>
        </w:rPr>
        <w:t>的</w:t>
      </w:r>
      <w:r>
        <w:rPr>
          <w:rFonts w:hint="eastAsia" w:ascii="宋体" w:hAnsi="宋体" w:cs="FZSSK--GBK1-00+ZBNFQL-16"/>
          <w:color w:val="000000" w:themeColor="text1"/>
          <w14:textFill>
            <w14:solidFill>
              <w14:schemeClr w14:val="tx1"/>
            </w14:solidFill>
          </w14:textFill>
        </w:rPr>
        <w:t>角</w:t>
      </w:r>
      <w:r>
        <w:rPr>
          <w:rFonts w:hint="eastAsia" w:ascii="宋体" w:hAnsi="宋体" w:cs="FZSSK--GBK1-00+ZBNFQI-10"/>
          <w:color w:val="000000" w:themeColor="text1"/>
          <w14:textFill>
            <w14:solidFill>
              <w14:schemeClr w14:val="tx1"/>
            </w14:solidFill>
          </w14:textFill>
        </w:rPr>
        <w:t>色</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为了</w:t>
      </w:r>
      <w:r>
        <w:rPr>
          <w:rFonts w:hint="eastAsia" w:ascii="宋体" w:hAnsi="宋体" w:cs="FZSSK--GBK1-00+ZBNFQQ-24"/>
          <w:color w:val="000000" w:themeColor="text1"/>
          <w14:textFill>
            <w14:solidFill>
              <w14:schemeClr w14:val="tx1"/>
            </w14:solidFill>
          </w14:textFill>
        </w:rPr>
        <w:t>巩固</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FZSSK--GBK1-00+ZBNFQJ-12"/>
          <w:color w:val="000000" w:themeColor="text1"/>
          <w14:textFill>
            <w14:solidFill>
              <w14:schemeClr w14:val="tx1"/>
            </w14:solidFill>
          </w14:textFill>
        </w:rPr>
        <w:t>领</w:t>
      </w:r>
      <w:r>
        <w:rPr>
          <w:rFonts w:hint="eastAsia" w:ascii="宋体" w:hAnsi="宋体" w:cs="FZSSK--GBK1-00+ZBNFQH-8"/>
          <w:color w:val="000000" w:themeColor="text1"/>
          <w14:textFill>
            <w14:solidFill>
              <w14:schemeClr w14:val="tx1"/>
            </w14:solidFill>
          </w14:textFill>
        </w:rPr>
        <w:t>导</w:t>
      </w:r>
      <w:r>
        <w:rPr>
          <w:rFonts w:hint="eastAsia" w:ascii="宋体" w:hAnsi="宋体" w:cs="FZSSK--GBK1-00+ZBNFQI-10"/>
          <w:color w:val="000000" w:themeColor="text1"/>
          <w14:textFill>
            <w14:solidFill>
              <w14:schemeClr w14:val="tx1"/>
            </w14:solidFill>
          </w14:textFill>
        </w:rPr>
        <w:t>地</w:t>
      </w:r>
      <w:r>
        <w:rPr>
          <w:rFonts w:hint="eastAsia" w:ascii="宋体" w:hAnsi="宋体" w:cs="FZSSK--GBK1-00+ZBNFQJ-12"/>
          <w:color w:val="000000" w:themeColor="text1"/>
          <w14:textFill>
            <w14:solidFill>
              <w14:schemeClr w14:val="tx1"/>
            </w14:solidFill>
          </w14:textFill>
        </w:rPr>
        <w:t>位</w:t>
      </w:r>
      <w:r>
        <w:rPr>
          <w:rFonts w:hint="eastAsia" w:ascii="宋体" w:hAnsi="宋体" w:cs="FZSSK--GBK1-00+ZBNFQH-5"/>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8"/>
          <w:color w:val="000000" w:themeColor="text1"/>
          <w14:textFill>
            <w14:solidFill>
              <w14:schemeClr w14:val="tx1"/>
            </w14:solidFill>
          </w14:textFill>
        </w:rPr>
        <w:t>断</w:t>
      </w:r>
      <w:r>
        <w:rPr>
          <w:rFonts w:hint="eastAsia" w:ascii="宋体" w:hAnsi="宋体" w:cs="FZSSK--GBK1-00+ZBNFQJ-12"/>
          <w:color w:val="000000" w:themeColor="text1"/>
          <w14:textFill>
            <w14:solidFill>
              <w14:schemeClr w14:val="tx1"/>
            </w14:solidFill>
          </w14:textFill>
        </w:rPr>
        <w:t>交</w:t>
      </w:r>
      <w:r>
        <w:rPr>
          <w:rFonts w:hint="eastAsia" w:ascii="宋体" w:hAnsi="宋体" w:cs="FZSSK--GBK1-00+ZBNFQT-26"/>
          <w:color w:val="000000" w:themeColor="text1"/>
          <w14:textFill>
            <w14:solidFill>
              <w14:schemeClr w14:val="tx1"/>
            </w14:solidFill>
          </w14:textFill>
        </w:rPr>
        <w:t>替</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H-8"/>
          <w:color w:val="000000" w:themeColor="text1"/>
          <w14:textFill>
            <w14:solidFill>
              <w14:schemeClr w14:val="tx1"/>
            </w14:solidFill>
          </w14:textFill>
        </w:rPr>
        <w:t>用</w:t>
      </w:r>
      <w:r>
        <w:rPr>
          <w:rFonts w:hint="eastAsia" w:ascii="宋体" w:hAnsi="宋体" w:cs="SSJ0+ZBNFQG-4"/>
          <w:color w:val="000000" w:themeColor="text1"/>
          <w14:textFill>
            <w14:solidFill>
              <w14:schemeClr w14:val="tx1"/>
            </w14:solidFill>
          </w14:textFill>
        </w:rPr>
        <w:t>“</w:t>
      </w:r>
      <w:r>
        <w:rPr>
          <w:rFonts w:hint="eastAsia" w:ascii="宋体" w:hAnsi="宋体" w:cs="FZSSK--GBK1-00+ZBNFQM-17"/>
          <w:color w:val="000000" w:themeColor="text1"/>
          <w14:textFill>
            <w14:solidFill>
              <w14:schemeClr w14:val="tx1"/>
            </w14:solidFill>
          </w14:textFill>
        </w:rPr>
        <w:t>单</w:t>
      </w:r>
      <w:r>
        <w:rPr>
          <w:rFonts w:hint="eastAsia" w:ascii="宋体" w:hAnsi="宋体" w:cs="FZSSK--GBK1-00+ZBNFQI-10"/>
          <w:color w:val="000000" w:themeColor="text1"/>
          <w14:textFill>
            <w14:solidFill>
              <w14:schemeClr w14:val="tx1"/>
            </w14:solidFill>
          </w14:textFill>
        </w:rPr>
        <w:t>边</w:t>
      </w:r>
      <w:r>
        <w:rPr>
          <w:rFonts w:hint="eastAsia" w:ascii="宋体" w:hAnsi="宋体" w:cs="SSJ4+ZBNFQG-1"/>
          <w:color w:val="000000" w:themeColor="text1"/>
          <w14:textFill>
            <w14:solidFill>
              <w14:schemeClr w14:val="tx1"/>
            </w14:solidFill>
          </w14:textFill>
        </w:rPr>
        <w:t>主义</w:t>
      </w:r>
      <w:r>
        <w:rPr>
          <w:rFonts w:hint="eastAsia" w:ascii="宋体" w:hAnsi="宋体" w:cs="FZSSK--GBK1-00+ZBNFQH-5"/>
          <w:color w:val="000000" w:themeColor="text1"/>
          <w14:textFill>
            <w14:solidFill>
              <w14:schemeClr w14:val="tx1"/>
            </w14:solidFill>
          </w14:textFill>
        </w:rPr>
        <w:t>”</w:t>
      </w:r>
      <w:r>
        <w:rPr>
          <w:rFonts w:hint="eastAsia" w:ascii="宋体" w:hAnsi="宋体" w:cs="FZSSK--GBK1-00+ZBNFQK-15"/>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多</w:t>
      </w:r>
      <w:r>
        <w:rPr>
          <w:rFonts w:hint="eastAsia" w:ascii="宋体" w:hAnsi="宋体" w:cs="FZSSK--GBK1-00+ZBNFQI-10"/>
          <w:color w:val="000000" w:themeColor="text1"/>
          <w14:textFill>
            <w14:solidFill>
              <w14:schemeClr w14:val="tx1"/>
            </w14:solidFill>
          </w14:textFill>
        </w:rPr>
        <w:t>边</w:t>
      </w:r>
      <w:r>
        <w:rPr>
          <w:rFonts w:hint="eastAsia" w:ascii="宋体" w:hAnsi="宋体" w:cs="SSJ4+ZBNFQG-1"/>
          <w:color w:val="000000" w:themeColor="text1"/>
          <w14:textFill>
            <w14:solidFill>
              <w14:schemeClr w14:val="tx1"/>
            </w14:solidFill>
          </w14:textFill>
        </w:rPr>
        <w:t>主义</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战略</w:t>
      </w:r>
      <w:r>
        <w:rPr>
          <w:rFonts w:hint="eastAsia" w:ascii="宋体" w:hAnsi="宋体" w:cs="FZSSK--GBK1-00+ZBNFQJ-13"/>
          <w:color w:val="000000" w:themeColor="text1"/>
          <w14:textFill>
            <w14:solidFill>
              <w14:schemeClr w14:val="tx1"/>
            </w14:solidFill>
          </w14:textFill>
        </w:rPr>
        <w:t>手</w:t>
      </w:r>
      <w:r>
        <w:rPr>
          <w:rFonts w:hint="eastAsia" w:ascii="宋体" w:hAnsi="宋体" w:cs="SSJ4+ZBNFQG-1"/>
          <w:color w:val="000000" w:themeColor="text1"/>
          <w14:textFill>
            <w14:solidFill>
              <w14:schemeClr w14:val="tx1"/>
            </w14:solidFill>
          </w14:textFill>
        </w:rPr>
        <w:t>段</w:t>
      </w:r>
      <w:r>
        <w:rPr>
          <w:rFonts w:hint="eastAsia" w:ascii="宋体" w:hAnsi="宋体" w:cs="FZSSK--GBK1-00+ZBNFQN-20"/>
          <w:color w:val="000000" w:themeColor="text1"/>
          <w14:textFill>
            <w14:solidFill>
              <w14:schemeClr w14:val="tx1"/>
            </w14:solidFill>
          </w14:textFill>
        </w:rPr>
        <w:t>阻</w:t>
      </w:r>
      <w:r>
        <w:rPr>
          <w:rFonts w:hint="eastAsia" w:ascii="宋体" w:hAnsi="宋体" w:cs="FZSSK--GBK1-00+ZBNFQL-16"/>
          <w:color w:val="000000" w:themeColor="text1"/>
          <w14:textFill>
            <w14:solidFill>
              <w14:schemeClr w14:val="tx1"/>
            </w14:solidFill>
          </w14:textFill>
        </w:rPr>
        <w:t>遏</w:t>
      </w:r>
      <w:r>
        <w:rPr>
          <w:rFonts w:hint="eastAsia" w:ascii="宋体" w:hAnsi="宋体" w:cs="SSJ4+ZBNFQG-1"/>
          <w:color w:val="000000" w:themeColor="text1"/>
          <w14:textFill>
            <w14:solidFill>
              <w14:schemeClr w14:val="tx1"/>
            </w14:solidFill>
          </w14:textFill>
        </w:rPr>
        <w:t>多</w:t>
      </w:r>
      <w:r>
        <w:rPr>
          <w:rFonts w:hint="eastAsia" w:ascii="宋体" w:hAnsi="宋体" w:cs="FZSSK--GBK1-00+ZBNFQH-7"/>
          <w:color w:val="000000" w:themeColor="text1"/>
          <w14:textFill>
            <w14:solidFill>
              <w14:schemeClr w14:val="tx1"/>
            </w14:solidFill>
          </w14:textFill>
        </w:rPr>
        <w:t>极</w:t>
      </w:r>
      <w:r>
        <w:rPr>
          <w:rFonts w:hint="eastAsia" w:ascii="宋体" w:hAnsi="宋体" w:cs="SSJ4+ZBNFQG-1"/>
          <w:color w:val="000000" w:themeColor="text1"/>
          <w14:textFill>
            <w14:solidFill>
              <w14:schemeClr w14:val="tx1"/>
            </w14:solidFill>
          </w14:textFill>
        </w:rPr>
        <w:t>化</w:t>
      </w:r>
      <w:r>
        <w:rPr>
          <w:rFonts w:hint="eastAsia" w:ascii="宋体" w:hAnsi="宋体" w:cs="FZSSK--GBK1-00+ZBNFQK-15"/>
          <w:color w:val="000000" w:themeColor="text1"/>
          <w14:textFill>
            <w14:solidFill>
              <w14:schemeClr w14:val="tx1"/>
            </w14:solidFill>
          </w14:textFill>
        </w:rPr>
        <w:t>趋</w:t>
      </w:r>
      <w:r>
        <w:rPr>
          <w:rFonts w:hint="eastAsia" w:ascii="宋体" w:hAnsi="宋体" w:cs="SSJ4+ZBNFQG-1"/>
          <w:color w:val="000000" w:themeColor="text1"/>
          <w14:textFill>
            <w14:solidFill>
              <w14:schemeClr w14:val="tx1"/>
            </w14:solidFill>
          </w14:textFill>
        </w:rPr>
        <w:t>势，</w:t>
      </w:r>
      <w:r>
        <w:rPr>
          <w:rFonts w:hint="eastAsia" w:ascii="宋体" w:hAnsi="宋体" w:cs="FZSSK--GBK1-00+ZBNFQH-8"/>
          <w:color w:val="000000" w:themeColor="text1"/>
          <w14:textFill>
            <w14:solidFill>
              <w14:schemeClr w14:val="tx1"/>
            </w14:solidFill>
          </w14:textFill>
        </w:rPr>
        <w:t>利用</w:t>
      </w:r>
      <w:r>
        <w:rPr>
          <w:rFonts w:hint="eastAsia" w:ascii="宋体" w:hAnsi="宋体" w:cs="SSJ4+ZBNFQG-1"/>
          <w:color w:val="000000" w:themeColor="text1"/>
          <w14:textFill>
            <w14:solidFill>
              <w14:schemeClr w14:val="tx1"/>
            </w14:solidFill>
          </w14:textFill>
        </w:rPr>
        <w:t>国际</w:t>
      </w:r>
      <w:r>
        <w:rPr>
          <w:rFonts w:hint="eastAsia" w:ascii="宋体" w:hAnsi="宋体" w:cs="FZSSK--GBK1-00+ZBNFQK-14"/>
          <w:color w:val="000000" w:themeColor="text1"/>
          <w14:textFill>
            <w14:solidFill>
              <w14:schemeClr w14:val="tx1"/>
            </w14:solidFill>
          </w14:textFill>
        </w:rPr>
        <w:t>货币</w:t>
      </w:r>
      <w:r>
        <w:rPr>
          <w:rFonts w:hint="eastAsia" w:ascii="宋体" w:hAnsi="宋体" w:cs="FZSSK--GBK1-00+ZBNFQI-9"/>
          <w:color w:val="000000" w:themeColor="text1"/>
          <w14:textFill>
            <w14:solidFill>
              <w14:schemeClr w14:val="tx1"/>
            </w14:solidFill>
          </w14:textFill>
        </w:rPr>
        <w:t>基</w:t>
      </w:r>
      <w:r>
        <w:rPr>
          <w:rFonts w:hint="eastAsia" w:ascii="宋体" w:hAnsi="宋体" w:cs="FZSSK--GBK1-00+ZBNFQH-5"/>
          <w:color w:val="000000" w:themeColor="text1"/>
          <w14:textFill>
            <w14:solidFill>
              <w14:schemeClr w14:val="tx1"/>
            </w14:solidFill>
          </w14:textFill>
        </w:rPr>
        <w:t>金</w:t>
      </w:r>
      <w:r>
        <w:rPr>
          <w:rFonts w:hint="eastAsia" w:ascii="宋体" w:hAnsi="宋体" w:cs="FZSSK--GBK1-00+ZBNFQJ-12"/>
          <w:color w:val="000000" w:themeColor="text1"/>
          <w14:textFill>
            <w14:solidFill>
              <w14:schemeClr w14:val="tx1"/>
            </w14:solidFill>
          </w14:textFill>
        </w:rPr>
        <w:t>组织</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世界</w:t>
      </w:r>
      <w:r>
        <w:rPr>
          <w:rFonts w:hint="eastAsia" w:ascii="宋体" w:hAnsi="宋体" w:cs="FZSSK--GBK1-00+ZBNFQK-15"/>
          <w:color w:val="000000" w:themeColor="text1"/>
          <w14:textFill>
            <w14:solidFill>
              <w14:schemeClr w14:val="tx1"/>
            </w14:solidFill>
          </w14:textFill>
        </w:rPr>
        <w:t>银</w:t>
      </w:r>
      <w:r>
        <w:rPr>
          <w:rFonts w:hint="eastAsia" w:ascii="宋体" w:hAnsi="宋体" w:cs="FZSSK--GBK1-00+ZBNFQI-10"/>
          <w:color w:val="000000" w:themeColor="text1"/>
          <w14:textFill>
            <w14:solidFill>
              <w14:schemeClr w14:val="tx1"/>
            </w14:solidFill>
          </w14:textFill>
        </w:rPr>
        <w:t>行</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世界</w:t>
      </w:r>
      <w:r>
        <w:rPr>
          <w:rFonts w:hint="eastAsia" w:ascii="宋体" w:hAnsi="宋体" w:cs="FZSSK--GBK1-00+ZBNFQK-15"/>
          <w:color w:val="000000" w:themeColor="text1"/>
          <w14:textFill>
            <w14:solidFill>
              <w14:schemeClr w14:val="tx1"/>
            </w14:solidFill>
          </w14:textFill>
        </w:rPr>
        <w:t>贸</w:t>
      </w:r>
      <w:r>
        <w:rPr>
          <w:rFonts w:hint="eastAsia" w:ascii="宋体" w:hAnsi="宋体" w:cs="FZSSK--GBK1-00+ZBNFQL-16"/>
          <w:color w:val="000000" w:themeColor="text1"/>
          <w14:textFill>
            <w14:solidFill>
              <w14:schemeClr w14:val="tx1"/>
            </w14:solidFill>
          </w14:textFill>
        </w:rPr>
        <w:t>易</w:t>
      </w:r>
      <w:r>
        <w:rPr>
          <w:rFonts w:hint="eastAsia" w:ascii="宋体" w:hAnsi="宋体" w:cs="FZSSK--GBK1-00+ZBNFQJ-12"/>
          <w:color w:val="000000" w:themeColor="text1"/>
          <w14:textFill>
            <w14:solidFill>
              <w14:schemeClr w14:val="tx1"/>
            </w14:solidFill>
          </w14:textFill>
        </w:rPr>
        <w:t>组织</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国际</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H-5"/>
          <w:color w:val="000000" w:themeColor="text1"/>
          <w14:textFill>
            <w14:solidFill>
              <w14:schemeClr w14:val="tx1"/>
            </w14:solidFill>
          </w14:textFill>
        </w:rPr>
        <w:t>源</w:t>
      </w:r>
      <w:r>
        <w:rPr>
          <w:rFonts w:hint="eastAsia" w:ascii="宋体" w:hAnsi="宋体" w:cs="SSJ4+ZBNFQG-1"/>
          <w:color w:val="000000" w:themeColor="text1"/>
          <w14:textFill>
            <w14:solidFill>
              <w14:schemeClr w14:val="tx1"/>
            </w14:solidFill>
          </w14:textFill>
        </w:rPr>
        <w:t>机</w:t>
      </w:r>
      <w:r>
        <w:rPr>
          <w:rFonts w:hint="eastAsia" w:ascii="宋体" w:hAnsi="宋体" w:cs="FZSSK--GBK1-00+ZBNFQN-20"/>
          <w:color w:val="000000" w:themeColor="text1"/>
          <w14:textFill>
            <w14:solidFill>
              <w14:schemeClr w14:val="tx1"/>
            </w14:solidFill>
          </w14:textFill>
        </w:rPr>
        <w:t>构</w:t>
      </w:r>
      <w:r>
        <w:rPr>
          <w:rFonts w:hint="eastAsia" w:ascii="宋体" w:hAnsi="宋体" w:cs="SSJ4+ZBNFQG-1"/>
          <w:color w:val="000000" w:themeColor="text1"/>
          <w14:textFill>
            <w14:solidFill>
              <w14:schemeClr w14:val="tx1"/>
            </w14:solidFill>
          </w14:textFill>
        </w:rPr>
        <w:t>和</w:t>
      </w:r>
      <w:r>
        <w:rPr>
          <w:rFonts w:hint="eastAsia" w:ascii="宋体" w:hAnsi="宋体" w:cs="FZSSK--GBK1-00+ZBNFQI-9"/>
          <w:color w:val="000000" w:themeColor="text1"/>
          <w14:textFill>
            <w14:solidFill>
              <w14:schemeClr w14:val="tx1"/>
            </w14:solidFill>
          </w14:textFill>
        </w:rPr>
        <w:t>北</w:t>
      </w:r>
      <w:r>
        <w:rPr>
          <w:rFonts w:hint="eastAsia" w:ascii="宋体" w:hAnsi="宋体" w:cs="FZSSK--GBK1-00+ZBNFQJ-13"/>
          <w:color w:val="000000" w:themeColor="text1"/>
          <w14:textFill>
            <w14:solidFill>
              <w14:schemeClr w14:val="tx1"/>
            </w14:solidFill>
          </w14:textFill>
        </w:rPr>
        <w:t>约</w:t>
      </w:r>
      <w:r>
        <w:rPr>
          <w:rFonts w:hint="eastAsia" w:ascii="宋体" w:hAnsi="宋体" w:cs="FZSSK--GBK1-00+ZBNFQH-8"/>
          <w:color w:val="000000" w:themeColor="text1"/>
          <w14:textFill>
            <w14:solidFill>
              <w14:schemeClr w14:val="tx1"/>
            </w14:solidFill>
          </w14:textFill>
        </w:rPr>
        <w:t>军</w:t>
      </w:r>
      <w:r>
        <w:rPr>
          <w:rFonts w:hint="eastAsia" w:ascii="宋体" w:hAnsi="宋体" w:cs="FZSSK--GBK1-00+ZBNFQI-9"/>
          <w:color w:val="000000" w:themeColor="text1"/>
          <w14:textFill>
            <w14:solidFill>
              <w14:schemeClr w14:val="tx1"/>
            </w14:solidFill>
          </w14:textFill>
        </w:rPr>
        <w:t>事</w:t>
      </w:r>
      <w:r>
        <w:rPr>
          <w:rFonts w:hint="eastAsia" w:ascii="宋体" w:hAnsi="宋体" w:cs="FZSSK--GBK1-00+ZBNFQJ-12"/>
          <w:color w:val="000000" w:themeColor="text1"/>
          <w14:textFill>
            <w14:solidFill>
              <w14:schemeClr w14:val="tx1"/>
            </w14:solidFill>
          </w14:textFill>
        </w:rPr>
        <w:t>组织</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，主</w:t>
      </w:r>
      <w:r>
        <w:rPr>
          <w:rFonts w:hint="eastAsia" w:ascii="宋体" w:hAnsi="宋体" w:cs="FZSSK--GBK1-00+ZBNFQH-8"/>
          <w:color w:val="000000" w:themeColor="text1"/>
          <w14:textFill>
            <w14:solidFill>
              <w14:schemeClr w14:val="tx1"/>
            </w14:solidFill>
          </w14:textFill>
        </w:rPr>
        <w:t>导</w:t>
      </w:r>
      <w:r>
        <w:rPr>
          <w:rFonts w:hint="eastAsia" w:ascii="宋体" w:hAnsi="宋体" w:cs="SSJ4+ZBNFQG-1"/>
          <w:color w:val="000000" w:themeColor="text1"/>
          <w14:textFill>
            <w14:solidFill>
              <w14:schemeClr w14:val="tx1"/>
            </w14:solidFill>
          </w14:textFill>
        </w:rPr>
        <w:t>国际</w:t>
      </w:r>
      <w:r>
        <w:rPr>
          <w:rFonts w:hint="eastAsia" w:ascii="宋体" w:hAnsi="宋体" w:cs="FZSSK--GBK1-00+ZBNFQI-9"/>
          <w:color w:val="000000" w:themeColor="text1"/>
          <w14:textFill>
            <w14:solidFill>
              <w14:schemeClr w14:val="tx1"/>
            </w14:solidFill>
          </w14:textFill>
        </w:rPr>
        <w:t>规</w:t>
      </w:r>
      <w:r>
        <w:rPr>
          <w:rFonts w:hint="eastAsia" w:ascii="宋体" w:hAnsi="宋体" w:cs="FZSSK--GBK1-00+ZBNFQH-8"/>
          <w:color w:val="000000" w:themeColor="text1"/>
          <w14:textFill>
            <w14:solidFill>
              <w14:schemeClr w14:val="tx1"/>
            </w14:solidFill>
          </w14:textFill>
        </w:rPr>
        <w:t>则</w:t>
      </w:r>
      <w:r>
        <w:rPr>
          <w:rFonts w:hint="eastAsia" w:ascii="宋体" w:hAnsi="宋体" w:cs="SSJ4+ZBNFQG-1"/>
          <w:color w:val="000000" w:themeColor="text1"/>
          <w14:textFill>
            <w14:solidFill>
              <w14:schemeClr w14:val="tx1"/>
            </w14:solidFill>
          </w14:textFill>
        </w:rPr>
        <w:t>的</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H-7"/>
          <w:color w:val="000000" w:themeColor="text1"/>
          <w14:textFill>
            <w14:solidFill>
              <w14:schemeClr w14:val="tx1"/>
            </w14:solidFill>
          </w14:textFill>
        </w:rPr>
        <w:t>定</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推</w:t>
      </w:r>
      <w:r>
        <w:rPr>
          <w:rFonts w:hint="eastAsia" w:ascii="宋体" w:hAnsi="宋体" w:cs="FZSSK--GBK1-00+ZBNFQI-10"/>
          <w:color w:val="000000" w:themeColor="text1"/>
          <w14:textFill>
            <w14:solidFill>
              <w14:schemeClr w14:val="tx1"/>
            </w14:solidFill>
          </w14:textFill>
        </w:rPr>
        <w:t>行</w:t>
      </w:r>
      <w:r>
        <w:rPr>
          <w:rFonts w:hint="eastAsia" w:ascii="宋体" w:hAnsi="宋体" w:cs="SSJ4+ZBNFQG-1"/>
          <w:color w:val="000000" w:themeColor="text1"/>
          <w14:textFill>
            <w14:solidFill>
              <w14:schemeClr w14:val="tx1"/>
            </w14:solidFill>
          </w14:textFill>
        </w:rPr>
        <w:t>新自由主义</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新</w:t>
      </w:r>
      <w:r>
        <w:rPr>
          <w:rFonts w:hint="eastAsia" w:ascii="宋体" w:hAnsi="宋体" w:cs="FZSSK--GBK1-00+ZBNFQH-5"/>
          <w:color w:val="000000" w:themeColor="text1"/>
          <w14:textFill>
            <w14:solidFill>
              <w14:schemeClr w14:val="tx1"/>
            </w14:solidFill>
          </w14:textFill>
        </w:rPr>
        <w:t>帝</w:t>
      </w:r>
      <w:r>
        <w:rPr>
          <w:rFonts w:hint="eastAsia" w:ascii="宋体" w:hAnsi="宋体" w:cs="SSJ4+ZBNFQG-1"/>
          <w:color w:val="000000" w:themeColor="text1"/>
          <w14:textFill>
            <w14:solidFill>
              <w14:schemeClr w14:val="tx1"/>
            </w14:solidFill>
          </w14:textFill>
        </w:rPr>
        <w:t>国主义</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策</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使南</w:t>
      </w:r>
      <w:r>
        <w:rPr>
          <w:rFonts w:hint="eastAsia" w:ascii="宋体" w:hAnsi="宋体" w:cs="FZSSK--GBK1-00+ZBNFQI-9"/>
          <w:color w:val="000000" w:themeColor="text1"/>
          <w14:textFill>
            <w14:solidFill>
              <w14:schemeClr w14:val="tx1"/>
            </w14:solidFill>
          </w14:textFill>
        </w:rPr>
        <w:t>北</w:t>
      </w:r>
      <w:r>
        <w:rPr>
          <w:rFonts w:hint="eastAsia" w:ascii="宋体" w:hAnsi="宋体" w:cs="FZSSK--GBK1-00+ZBNFQT-26"/>
          <w:color w:val="000000" w:themeColor="text1"/>
          <w14:textFill>
            <w14:solidFill>
              <w14:schemeClr w14:val="tx1"/>
            </w14:solidFill>
          </w14:textFill>
        </w:rPr>
        <w:t>鸿</w:t>
      </w:r>
      <w:r>
        <w:rPr>
          <w:rFonts w:hint="eastAsia" w:ascii="宋体" w:hAnsi="宋体" w:cs="FZSSK--GBK1-00+ZBNFQO-21"/>
          <w:color w:val="000000" w:themeColor="text1"/>
          <w14:textFill>
            <w14:solidFill>
              <w14:schemeClr w14:val="tx1"/>
            </w14:solidFill>
          </w14:textFill>
        </w:rPr>
        <w:t>沟</w:t>
      </w:r>
      <w:r>
        <w:rPr>
          <w:rFonts w:hint="eastAsia" w:ascii="宋体" w:hAnsi="宋体" w:cs="FZSSK--GBK1-00+ZBNFQH-8"/>
          <w:color w:val="000000" w:themeColor="text1"/>
          <w14:textFill>
            <w14:solidFill>
              <w14:schemeClr w14:val="tx1"/>
            </w14:solidFill>
          </w14:textFill>
        </w:rPr>
        <w:t>越</w:t>
      </w:r>
      <w:r>
        <w:rPr>
          <w:rFonts w:hint="eastAsia" w:ascii="宋体" w:hAnsi="宋体" w:cs="SSJ4+ZBNFQG-1"/>
          <w:color w:val="000000" w:themeColor="text1"/>
          <w14:textFill>
            <w14:solidFill>
              <w14:schemeClr w14:val="tx1"/>
            </w14:solidFill>
          </w14:textFill>
        </w:rPr>
        <w:t>来</w:t>
      </w:r>
      <w:r>
        <w:rPr>
          <w:rFonts w:hint="eastAsia" w:ascii="宋体" w:hAnsi="宋体" w:cs="FZSSK--GBK1-00+ZBNFQH-8"/>
          <w:color w:val="000000" w:themeColor="text1"/>
          <w14:textFill>
            <w14:solidFill>
              <w14:schemeClr w14:val="tx1"/>
            </w14:solidFill>
          </w14:textFill>
        </w:rPr>
        <w:t>越</w:t>
      </w:r>
      <w:r>
        <w:rPr>
          <w:rFonts w:hint="eastAsia" w:ascii="宋体" w:hAnsi="宋体" w:cs="SSJ4+ZBNFQG-1"/>
          <w:color w:val="000000" w:themeColor="text1"/>
          <w14:textFill>
            <w14:solidFill>
              <w14:schemeClr w14:val="tx1"/>
            </w14:solidFill>
          </w14:textFill>
        </w:rPr>
        <w:t>大，世界</w:t>
      </w:r>
      <w:r>
        <w:rPr>
          <w:rFonts w:hint="eastAsia" w:ascii="宋体" w:hAnsi="宋体" w:cs="FZSSK--GBK1-00+ZBNFQH-8"/>
          <w:color w:val="000000" w:themeColor="text1"/>
          <w14:textFill>
            <w14:solidFill>
              <w14:schemeClr w14:val="tx1"/>
            </w14:solidFill>
          </w14:textFill>
        </w:rPr>
        <w:t>越</w:t>
      </w:r>
      <w:r>
        <w:rPr>
          <w:rFonts w:hint="eastAsia" w:ascii="宋体" w:hAnsi="宋体" w:cs="SSJ4+ZBNFQG-1"/>
          <w:color w:val="000000" w:themeColor="text1"/>
          <w14:textFill>
            <w14:solidFill>
              <w14:schemeClr w14:val="tx1"/>
            </w14:solidFill>
          </w14:textFill>
        </w:rPr>
        <w:t>来</w:t>
      </w:r>
      <w:r>
        <w:rPr>
          <w:rFonts w:hint="eastAsia" w:ascii="宋体" w:hAnsi="宋体" w:cs="FZSSK--GBK1-00+ZBNFQH-8"/>
          <w:color w:val="000000" w:themeColor="text1"/>
          <w14:textFill>
            <w14:solidFill>
              <w14:schemeClr w14:val="tx1"/>
            </w14:solidFill>
          </w14:textFill>
        </w:rPr>
        <w:t>越</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7"/>
          <w:color w:val="000000" w:themeColor="text1"/>
          <w14:textFill>
            <w14:solidFill>
              <w14:schemeClr w14:val="tx1"/>
            </w14:solidFill>
          </w14:textFill>
        </w:rPr>
        <w:t>荡</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I-9"/>
          <w:color w:val="000000" w:themeColor="text1"/>
          <w14:textFill>
            <w14:solidFill>
              <w14:schemeClr w14:val="tx1"/>
            </w14:solidFill>
          </w14:textFill>
        </w:rPr>
        <w:t>安</w:t>
      </w:r>
      <w:r>
        <w:rPr>
          <w:rFonts w:hint="eastAsia" w:ascii="宋体" w:hAnsi="宋体" w:cs="SSJ0+ZBNFQG-4"/>
          <w:color w:val="000000" w:themeColor="text1"/>
          <w14:textFill>
            <w14:solidFill>
              <w14:schemeClr w14:val="tx1"/>
            </w14:solidFill>
          </w14:textFill>
        </w:rPr>
        <w:t>。</w:t>
      </w:r>
    </w:p>
    <w:p w14:paraId="580CE097">
      <w:pPr>
        <w:autoSpaceDE w:val="0"/>
        <w:autoSpaceDN w:val="0"/>
        <w:adjustRightInd w:val="0"/>
        <w:spacing w:line="400" w:lineRule="exact"/>
        <w:ind w:firstLine="420" w:firstLineChars="200"/>
        <w:jc w:val="left"/>
        <w:rPr>
          <w:rFonts w:hint="eastAsia" w:ascii="宋体" w:hAnsi="宋体" w:cs="FZSSK--GBK1-00+ZBNFQH-8"/>
          <w:color w:val="000000" w:themeColor="text1"/>
          <w14:textFill>
            <w14:solidFill>
              <w14:schemeClr w14:val="tx1"/>
            </w14:solidFill>
          </w14:textFill>
        </w:rPr>
      </w:pPr>
      <w:r>
        <w:rPr>
          <w:rFonts w:hint="eastAsia" w:ascii="宋体" w:hAnsi="宋体" w:cs="FZSSK--GBK1-00+ZBNFQH-5"/>
          <w:color w:val="000000" w:themeColor="text1"/>
          <w14:textFill>
            <w14:solidFill>
              <w14:schemeClr w14:val="tx1"/>
            </w14:solidFill>
          </w14:textFill>
        </w:rPr>
        <w:t>现代</w:t>
      </w:r>
      <w:r>
        <w:rPr>
          <w:rFonts w:hint="eastAsia" w:ascii="宋体" w:hAnsi="宋体" w:cs="SSJ4+ZBNFQG-1"/>
          <w:color w:val="000000" w:themeColor="text1"/>
          <w14:textFill>
            <w14:solidFill>
              <w14:schemeClr w14:val="tx1"/>
            </w14:solidFill>
          </w14:textFill>
        </w:rPr>
        <w:t>的</w:t>
      </w:r>
      <w:r>
        <w:rPr>
          <w:rFonts w:hint="eastAsia" w:ascii="宋体" w:hAnsi="宋体" w:cs="FZSSK--GBK1-00+ZBNFQI-10"/>
          <w:color w:val="000000" w:themeColor="text1"/>
          <w14:textFill>
            <w14:solidFill>
              <w14:schemeClr w14:val="tx1"/>
            </w14:solidFill>
          </w14:textFill>
        </w:rPr>
        <w:t>南</w:t>
      </w:r>
      <w:r>
        <w:rPr>
          <w:rFonts w:hint="eastAsia" w:ascii="宋体" w:hAnsi="宋体" w:cs="FZSSK--GBK1-00+ZBNFQI-9"/>
          <w:color w:val="000000" w:themeColor="text1"/>
          <w14:textFill>
            <w14:solidFill>
              <w14:schemeClr w14:val="tx1"/>
            </w14:solidFill>
          </w14:textFill>
        </w:rPr>
        <w:t>北</w:t>
      </w:r>
      <w:r>
        <w:rPr>
          <w:rFonts w:hint="eastAsia" w:ascii="宋体" w:hAnsi="宋体" w:cs="FZSSK--GBK1-00+ZBNFQT-26"/>
          <w:color w:val="000000" w:themeColor="text1"/>
          <w14:textFill>
            <w14:solidFill>
              <w14:schemeClr w14:val="tx1"/>
            </w14:solidFill>
          </w14:textFill>
        </w:rPr>
        <w:t>鸿</w:t>
      </w:r>
      <w:r>
        <w:rPr>
          <w:rFonts w:hint="eastAsia" w:ascii="宋体" w:hAnsi="宋体" w:cs="FZSSK--GBK1-00+ZBNFQO-21"/>
          <w:color w:val="000000" w:themeColor="text1"/>
          <w14:textFill>
            <w14:solidFill>
              <w14:schemeClr w14:val="tx1"/>
            </w14:solidFill>
          </w14:textFill>
        </w:rPr>
        <w:t>沟</w:t>
      </w:r>
      <w:r>
        <w:rPr>
          <w:rFonts w:hint="eastAsia" w:ascii="宋体" w:hAnsi="宋体" w:cs="SSJ4+ZBNFQG-1"/>
          <w:color w:val="000000" w:themeColor="text1"/>
          <w14:textFill>
            <w14:solidFill>
              <w14:schemeClr w14:val="tx1"/>
            </w14:solidFill>
          </w14:textFill>
        </w:rPr>
        <w:t>主要来</w:t>
      </w:r>
      <w:r>
        <w:rPr>
          <w:rFonts w:hint="eastAsia" w:ascii="宋体" w:hAnsi="宋体" w:cs="FZSSK--GBK1-00+ZBNFQH-5"/>
          <w:color w:val="000000" w:themeColor="text1"/>
          <w14:textFill>
            <w14:solidFill>
              <w14:schemeClr w14:val="tx1"/>
            </w14:solidFill>
          </w14:textFill>
        </w:rPr>
        <w:t>源</w:t>
      </w:r>
      <w:r>
        <w:rPr>
          <w:rFonts w:hint="eastAsia" w:ascii="宋体" w:hAnsi="宋体" w:cs="SSJ4+ZBNFQG-1"/>
          <w:color w:val="000000" w:themeColor="text1"/>
          <w14:textFill>
            <w14:solidFill>
              <w14:schemeClr w14:val="tx1"/>
            </w14:solidFill>
          </w14:textFill>
        </w:rPr>
        <w:t>于发</w:t>
      </w:r>
      <w:r>
        <w:rPr>
          <w:rFonts w:hint="eastAsia" w:ascii="宋体" w:hAnsi="宋体" w:cs="FZSSK--GBK1-00+ZBNFQH-8"/>
          <w:color w:val="000000" w:themeColor="text1"/>
          <w14:textFill>
            <w14:solidFill>
              <w14:schemeClr w14:val="tx1"/>
            </w14:solidFill>
          </w14:textFill>
        </w:rPr>
        <w:t>达</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对知</w:t>
      </w:r>
      <w:r>
        <w:rPr>
          <w:rFonts w:hint="eastAsia" w:ascii="宋体" w:hAnsi="宋体" w:cs="FZSSK--GBK1-00+ZBNFQI-10"/>
          <w:color w:val="000000" w:themeColor="text1"/>
          <w14:textFill>
            <w14:solidFill>
              <w14:schemeClr w14:val="tx1"/>
            </w14:solidFill>
          </w14:textFill>
        </w:rPr>
        <w:t>识</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5"/>
          <w:color w:val="000000" w:themeColor="text1"/>
          <w14:textFill>
            <w14:solidFill>
              <w14:schemeClr w14:val="tx1"/>
            </w14:solidFill>
          </w14:textFill>
        </w:rPr>
        <w:t>权</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垄断</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自由竞争的资本主义阶段，</w:t>
      </w:r>
      <w:r>
        <w:rPr>
          <w:rFonts w:hint="eastAsia" w:ascii="宋体" w:hAnsi="宋体" w:cs="FZSSK--GBK1-00+ZBNFQK-14"/>
          <w:color w:val="000000" w:themeColor="text1"/>
          <w14:textFill>
            <w14:solidFill>
              <w14:schemeClr w14:val="tx1"/>
            </w14:solidFill>
          </w14:textFill>
        </w:rPr>
        <w:t>商</w:t>
      </w:r>
      <w:r>
        <w:rPr>
          <w:rFonts w:hint="eastAsia" w:ascii="宋体" w:hAnsi="宋体" w:cs="FZSSK--GBK1-00+ZBNFQI-9"/>
          <w:color w:val="000000" w:themeColor="text1"/>
          <w14:textFill>
            <w14:solidFill>
              <w14:schemeClr w14:val="tx1"/>
            </w14:solidFill>
          </w14:textFill>
        </w:rPr>
        <w:t>品</w:t>
      </w:r>
      <w:r>
        <w:rPr>
          <w:rFonts w:hint="eastAsia" w:ascii="宋体" w:hAnsi="宋体" w:cs="FZSSK--GBK1-00+ZBNFQJ-12"/>
          <w:color w:val="000000" w:themeColor="text1"/>
          <w14:textFill>
            <w14:solidFill>
              <w14:schemeClr w14:val="tx1"/>
            </w14:solidFill>
          </w14:textFill>
        </w:rPr>
        <w:t>输</w:t>
      </w:r>
      <w:r>
        <w:rPr>
          <w:rFonts w:hint="eastAsia" w:ascii="宋体" w:hAnsi="宋体" w:cs="SSJ4+ZBNFQG-1"/>
          <w:color w:val="000000" w:themeColor="text1"/>
          <w14:textFill>
            <w14:solidFill>
              <w14:schemeClr w14:val="tx1"/>
            </w14:solidFill>
          </w14:textFill>
        </w:rPr>
        <w:t>出是主要</w:t>
      </w:r>
      <w:r>
        <w:rPr>
          <w:rFonts w:hint="eastAsia" w:ascii="宋体" w:hAnsi="宋体" w:cs="FZSSK--GBK1-00+ZBNFQH-5"/>
          <w:color w:val="000000" w:themeColor="text1"/>
          <w14:textFill>
            <w14:solidFill>
              <w14:schemeClr w14:val="tx1"/>
            </w14:solidFill>
          </w14:textFill>
        </w:rPr>
        <w:t>特征</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到</w:t>
      </w:r>
      <w:r>
        <w:rPr>
          <w:rFonts w:hint="eastAsia" w:ascii="宋体" w:hAnsi="宋体" w:cs="SSJ4+ZBNFQG-1"/>
          <w:color w:val="000000" w:themeColor="text1"/>
          <w14:textFill>
            <w14:solidFill>
              <w14:schemeClr w14:val="tx1"/>
            </w14:solidFill>
          </w14:textFill>
        </w:rPr>
        <w:t>了</w:t>
      </w:r>
      <w:r>
        <w:rPr>
          <w:rFonts w:hint="eastAsia" w:ascii="宋体" w:hAnsi="宋体" w:cs="FZSSK--GBK1-00+ZBNFQH-5"/>
          <w:color w:val="000000" w:themeColor="text1"/>
          <w14:textFill>
            <w14:solidFill>
              <w14:schemeClr w14:val="tx1"/>
            </w14:solidFill>
          </w14:textFill>
        </w:rPr>
        <w:t>垄断</w:t>
      </w:r>
      <w:r>
        <w:rPr>
          <w:rFonts w:hint="eastAsia" w:ascii="宋体" w:hAnsi="宋体" w:cs="SSJ4+ZBNFQG-1"/>
          <w:color w:val="000000" w:themeColor="text1"/>
          <w14:textFill>
            <w14:solidFill>
              <w14:schemeClr w14:val="tx1"/>
            </w14:solidFill>
          </w14:textFill>
        </w:rPr>
        <w:t>资本主义阶段，</w:t>
      </w:r>
      <w:r>
        <w:rPr>
          <w:rFonts w:hint="eastAsia" w:ascii="宋体" w:hAnsi="宋体" w:cs="FZSSK--GBK1-00+ZBNFQH-7"/>
          <w:color w:val="000000" w:themeColor="text1"/>
          <w14:textFill>
            <w14:solidFill>
              <w14:schemeClr w14:val="tx1"/>
            </w14:solidFill>
          </w14:textFill>
        </w:rPr>
        <w:t>其</w:t>
      </w:r>
      <w:r>
        <w:rPr>
          <w:rFonts w:hint="eastAsia" w:ascii="宋体" w:hAnsi="宋体" w:cs="FZSSK--GBK1-00+ZBNFQH-5"/>
          <w:color w:val="000000" w:themeColor="text1"/>
          <w14:textFill>
            <w14:solidFill>
              <w14:schemeClr w14:val="tx1"/>
            </w14:solidFill>
          </w14:textFill>
        </w:rPr>
        <w:t>特征</w:t>
      </w:r>
      <w:r>
        <w:rPr>
          <w:rFonts w:hint="eastAsia" w:ascii="宋体" w:hAnsi="宋体" w:cs="SSJ4+ZBNFQG-1"/>
          <w:color w:val="000000" w:themeColor="text1"/>
          <w14:textFill>
            <w14:solidFill>
              <w14:schemeClr w14:val="tx1"/>
            </w14:solidFill>
          </w14:textFill>
        </w:rPr>
        <w:t>是资本</w:t>
      </w:r>
      <w:r>
        <w:rPr>
          <w:rFonts w:hint="eastAsia" w:ascii="宋体" w:hAnsi="宋体" w:cs="FZSSK--GBK1-00+ZBNFQJ-12"/>
          <w:color w:val="000000" w:themeColor="text1"/>
          <w14:textFill>
            <w14:solidFill>
              <w14:schemeClr w14:val="tx1"/>
            </w14:solidFill>
          </w14:textFill>
        </w:rPr>
        <w:t>输</w:t>
      </w:r>
      <w:r>
        <w:rPr>
          <w:rFonts w:hint="eastAsia" w:ascii="宋体" w:hAnsi="宋体" w:cs="SSJ4+ZBNFQG-1"/>
          <w:color w:val="000000" w:themeColor="text1"/>
          <w14:textFill>
            <w14:solidFill>
              <w14:schemeClr w14:val="tx1"/>
            </w14:solidFill>
          </w14:textFill>
        </w:rPr>
        <w:t>出</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在，资本</w:t>
      </w:r>
      <w:r>
        <w:rPr>
          <w:rFonts w:hint="eastAsia" w:ascii="宋体" w:hAnsi="宋体" w:cs="FZSSK--GBK1-00+ZBNFQJ-12"/>
          <w:color w:val="000000" w:themeColor="text1"/>
          <w14:textFill>
            <w14:solidFill>
              <w14:schemeClr w14:val="tx1"/>
            </w14:solidFill>
          </w14:textFill>
        </w:rPr>
        <w:t>输</w:t>
      </w:r>
      <w:r>
        <w:rPr>
          <w:rFonts w:hint="eastAsia" w:ascii="宋体" w:hAnsi="宋体" w:cs="SSJ4+ZBNFQG-1"/>
          <w:color w:val="000000" w:themeColor="text1"/>
          <w14:textFill>
            <w14:solidFill>
              <w14:schemeClr w14:val="tx1"/>
            </w14:solidFill>
          </w14:textFill>
        </w:rPr>
        <w:t>出</w:t>
      </w:r>
      <w:r>
        <w:rPr>
          <w:rFonts w:hint="eastAsia" w:ascii="宋体" w:hAnsi="宋体" w:cs="SSJ0+ZBNFQG-4"/>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商</w:t>
      </w:r>
      <w:r>
        <w:rPr>
          <w:rFonts w:hint="eastAsia" w:ascii="宋体" w:hAnsi="宋体" w:cs="FZSSK--GBK1-00+ZBNFQI-9"/>
          <w:color w:val="000000" w:themeColor="text1"/>
          <w14:textFill>
            <w14:solidFill>
              <w14:schemeClr w14:val="tx1"/>
            </w14:solidFill>
          </w14:textFill>
        </w:rPr>
        <w:t>品</w:t>
      </w:r>
      <w:r>
        <w:rPr>
          <w:rFonts w:hint="eastAsia" w:ascii="宋体" w:hAnsi="宋体" w:cs="FZSSK--GBK1-00+ZBNFQJ-12"/>
          <w:color w:val="000000" w:themeColor="text1"/>
          <w14:textFill>
            <w14:solidFill>
              <w14:schemeClr w14:val="tx1"/>
            </w14:solidFill>
          </w14:textFill>
        </w:rPr>
        <w:t>输</w:t>
      </w:r>
      <w:r>
        <w:rPr>
          <w:rFonts w:hint="eastAsia" w:ascii="宋体" w:hAnsi="宋体" w:cs="SSJ4+ZBNFQG-1"/>
          <w:color w:val="000000" w:themeColor="text1"/>
          <w14:textFill>
            <w14:solidFill>
              <w14:schemeClr w14:val="tx1"/>
            </w14:solidFill>
          </w14:textFill>
        </w:rPr>
        <w:t>出仍</w:t>
      </w:r>
      <w:r>
        <w:rPr>
          <w:rFonts w:hint="eastAsia" w:ascii="宋体" w:hAnsi="宋体" w:cs="FZSSK--GBK1-00+ZBNFQH-8"/>
          <w:color w:val="000000" w:themeColor="text1"/>
          <w14:textFill>
            <w14:solidFill>
              <w14:schemeClr w14:val="tx1"/>
            </w14:solidFill>
          </w14:textFill>
        </w:rPr>
        <w:t>然</w:t>
      </w:r>
      <w:r>
        <w:rPr>
          <w:rFonts w:hint="eastAsia" w:ascii="宋体" w:hAnsi="宋体" w:cs="SSJ4+ZBNFQG-1"/>
          <w:color w:val="000000" w:themeColor="text1"/>
          <w14:textFill>
            <w14:solidFill>
              <w14:schemeClr w14:val="tx1"/>
            </w14:solidFill>
          </w14:textFill>
        </w:rPr>
        <w:t>是</w:t>
      </w:r>
      <w:r>
        <w:rPr>
          <w:rFonts w:hint="eastAsia" w:ascii="宋体" w:hAnsi="宋体" w:cs="FZSSK--GBK1-00+ZBNFQJ-13"/>
          <w:color w:val="000000" w:themeColor="text1"/>
          <w14:textFill>
            <w14:solidFill>
              <w14:schemeClr w14:val="tx1"/>
            </w14:solidFill>
          </w14:textFill>
        </w:rPr>
        <w:t>存</w:t>
      </w:r>
      <w:r>
        <w:rPr>
          <w:rFonts w:hint="eastAsia" w:ascii="宋体" w:hAnsi="宋体" w:cs="SSJ4+ZBNFQG-1"/>
          <w:color w:val="000000" w:themeColor="text1"/>
          <w14:textFill>
            <w14:solidFill>
              <w14:schemeClr w14:val="tx1"/>
            </w14:solidFill>
          </w14:textFill>
        </w:rPr>
        <w:t>在的，但是作为</w:t>
      </w:r>
      <w:r>
        <w:rPr>
          <w:rFonts w:hint="eastAsia" w:ascii="宋体" w:hAnsi="宋体" w:cs="FZSSK--GBK1-00+ZBNFQH-7"/>
          <w:color w:val="000000" w:themeColor="text1"/>
          <w14:textFill>
            <w14:solidFill>
              <w14:schemeClr w14:val="tx1"/>
            </w14:solidFill>
          </w14:textFill>
        </w:rPr>
        <w:t>上</w:t>
      </w:r>
      <w:r>
        <w:rPr>
          <w:rFonts w:hint="eastAsia" w:ascii="宋体" w:hAnsi="宋体" w:cs="SSJ4+ZBNFQG-1"/>
          <w:color w:val="000000" w:themeColor="text1"/>
          <w14:textFill>
            <w14:solidFill>
              <w14:schemeClr w14:val="tx1"/>
            </w14:solidFill>
          </w14:textFill>
        </w:rPr>
        <w:t>世</w:t>
      </w:r>
      <w:r>
        <w:rPr>
          <w:rFonts w:hint="eastAsia" w:ascii="宋体" w:hAnsi="宋体" w:cs="FZSSK--GBK1-00+ZBNFQH-7"/>
          <w:color w:val="000000" w:themeColor="text1"/>
          <w14:textFill>
            <w14:solidFill>
              <w14:schemeClr w14:val="tx1"/>
            </w14:solidFill>
          </w14:textFill>
        </w:rPr>
        <w:t>纪</w:t>
      </w:r>
      <w:r>
        <w:rPr>
          <w:rFonts w:hint="eastAsia" w:ascii="宋体" w:hAnsi="宋体" w:cs="E-BZ+ZBNFQH-6"/>
          <w:color w:val="000000" w:themeColor="text1"/>
          <w14:textFill>
            <w14:solidFill>
              <w14:schemeClr w14:val="tx1"/>
            </w14:solidFill>
          </w14:textFill>
        </w:rPr>
        <w:t>90</w:t>
      </w:r>
      <w:r>
        <w:rPr>
          <w:rFonts w:hint="eastAsia" w:ascii="宋体" w:hAnsi="宋体" w:cs="FZSSK--GBK1-00+ZBNFQH-5"/>
          <w:color w:val="000000" w:themeColor="text1"/>
          <w14:textFill>
            <w14:solidFill>
              <w14:schemeClr w14:val="tx1"/>
            </w14:solidFill>
          </w14:textFill>
        </w:rPr>
        <w:t>年代</w:t>
      </w:r>
      <w:r>
        <w:rPr>
          <w:rFonts w:hint="eastAsia" w:ascii="宋体" w:hAnsi="宋体" w:cs="SSJ4+ZBNFQG-1"/>
          <w:color w:val="000000" w:themeColor="text1"/>
          <w14:textFill>
            <w14:solidFill>
              <w14:schemeClr w14:val="tx1"/>
            </w14:solidFill>
          </w14:textFill>
        </w:rPr>
        <w:t>以来的经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SSJ4+ZBNFQG-1"/>
          <w:color w:val="000000" w:themeColor="text1"/>
          <w14:textFill>
            <w14:solidFill>
              <w14:schemeClr w14:val="tx1"/>
            </w14:solidFill>
          </w14:textFill>
        </w:rPr>
        <w:t>化阶段的</w:t>
      </w:r>
      <w:r>
        <w:rPr>
          <w:rFonts w:hint="eastAsia" w:ascii="宋体" w:hAnsi="宋体" w:cs="FZSSK--GBK1-00+ZBNFQJ-12"/>
          <w:color w:val="000000" w:themeColor="text1"/>
          <w14:textFill>
            <w14:solidFill>
              <w14:schemeClr w14:val="tx1"/>
            </w14:solidFill>
          </w14:textFill>
        </w:rPr>
        <w:t>输</w:t>
      </w:r>
      <w:r>
        <w:rPr>
          <w:rFonts w:hint="eastAsia" w:ascii="宋体" w:hAnsi="宋体" w:cs="SSJ4+ZBNFQG-1"/>
          <w:color w:val="000000" w:themeColor="text1"/>
          <w14:textFill>
            <w14:solidFill>
              <w14:schemeClr w14:val="tx1"/>
            </w14:solidFill>
          </w14:textFill>
        </w:rPr>
        <w:t>出，</w:t>
      </w:r>
      <w:r>
        <w:rPr>
          <w:rFonts w:hint="eastAsia" w:ascii="宋体" w:hAnsi="宋体" w:cs="FZSSK--GBK1-00+ZBNFQH-7"/>
          <w:color w:val="000000" w:themeColor="text1"/>
          <w14:textFill>
            <w14:solidFill>
              <w14:schemeClr w14:val="tx1"/>
            </w14:solidFill>
          </w14:textFill>
        </w:rPr>
        <w:t>其</w:t>
      </w:r>
      <w:r>
        <w:rPr>
          <w:rFonts w:hint="eastAsia" w:ascii="宋体" w:hAnsi="宋体" w:cs="FZSSK--GBK1-00+ZBNFQJ-13"/>
          <w:color w:val="000000" w:themeColor="text1"/>
          <w14:textFill>
            <w14:solidFill>
              <w14:schemeClr w14:val="tx1"/>
            </w14:solidFill>
          </w14:textFill>
        </w:rPr>
        <w:t>突</w:t>
      </w:r>
      <w:r>
        <w:rPr>
          <w:rFonts w:hint="eastAsia" w:ascii="宋体" w:hAnsi="宋体" w:cs="SSJ4+ZBNFQG-1"/>
          <w:color w:val="000000" w:themeColor="text1"/>
          <w14:textFill>
            <w14:solidFill>
              <w14:schemeClr w14:val="tx1"/>
            </w14:solidFill>
          </w14:textFill>
        </w:rPr>
        <w:t>出</w:t>
      </w:r>
      <w:r>
        <w:rPr>
          <w:rFonts w:hint="eastAsia" w:ascii="宋体" w:hAnsi="宋体" w:cs="FZSSK--GBK1-00+ZBNFQH-5"/>
          <w:color w:val="000000" w:themeColor="text1"/>
          <w14:textFill>
            <w14:solidFill>
              <w14:schemeClr w14:val="tx1"/>
            </w14:solidFill>
          </w14:textFill>
        </w:rPr>
        <w:t>特征</w:t>
      </w:r>
      <w:r>
        <w:rPr>
          <w:rFonts w:hint="eastAsia" w:ascii="宋体" w:hAnsi="宋体" w:cs="SSJ4+ZBNFQG-1"/>
          <w:color w:val="000000" w:themeColor="text1"/>
          <w14:textFill>
            <w14:solidFill>
              <w14:schemeClr w14:val="tx1"/>
            </w14:solidFill>
          </w14:textFill>
        </w:rPr>
        <w:t>是知</w:t>
      </w:r>
      <w:r>
        <w:rPr>
          <w:rFonts w:hint="eastAsia" w:ascii="宋体" w:hAnsi="宋体" w:cs="FZSSK--GBK1-00+ZBNFQI-10"/>
          <w:color w:val="000000" w:themeColor="text1"/>
          <w14:textFill>
            <w14:solidFill>
              <w14:schemeClr w14:val="tx1"/>
            </w14:solidFill>
          </w14:textFill>
        </w:rPr>
        <w:t>识</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5"/>
          <w:color w:val="000000" w:themeColor="text1"/>
          <w14:textFill>
            <w14:solidFill>
              <w14:schemeClr w14:val="tx1"/>
            </w14:solidFill>
          </w14:textFill>
        </w:rPr>
        <w:t>权</w:t>
      </w:r>
      <w:r>
        <w:rPr>
          <w:rFonts w:hint="eastAsia" w:ascii="宋体" w:hAnsi="宋体" w:cs="FZSSK--GBK1-00+ZBNFQJ-12"/>
          <w:color w:val="000000" w:themeColor="text1"/>
          <w14:textFill>
            <w14:solidFill>
              <w14:schemeClr w14:val="tx1"/>
            </w14:solidFill>
          </w14:textFill>
        </w:rPr>
        <w:t>输</w:t>
      </w:r>
      <w:r>
        <w:rPr>
          <w:rFonts w:hint="eastAsia" w:ascii="宋体" w:hAnsi="宋体" w:cs="SSJ4+ZBNFQG-1"/>
          <w:color w:val="000000" w:themeColor="text1"/>
          <w14:textFill>
            <w14:solidFill>
              <w14:schemeClr w14:val="tx1"/>
            </w14:solidFill>
          </w14:textFill>
        </w:rPr>
        <w:t>出，</w:t>
      </w:r>
      <w:r>
        <w:rPr>
          <w:rFonts w:hint="eastAsia" w:ascii="宋体" w:hAnsi="宋体" w:cs="FZSSK--GBK1-00+ZBNFQH-5"/>
          <w:color w:val="000000" w:themeColor="text1"/>
          <w14:textFill>
            <w14:solidFill>
              <w14:schemeClr w14:val="tx1"/>
            </w14:solidFill>
          </w14:textFill>
        </w:rPr>
        <w:t>垄断也不</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N-20"/>
          <w:color w:val="000000" w:themeColor="text1"/>
          <w14:textFill>
            <w14:solidFill>
              <w14:schemeClr w14:val="tx1"/>
            </w14:solidFill>
          </w14:textFill>
        </w:rPr>
        <w:t>般</w:t>
      </w:r>
      <w:r>
        <w:rPr>
          <w:rFonts w:hint="eastAsia" w:ascii="宋体" w:hAnsi="宋体" w:cs="SSJ4+ZBNFQG-1"/>
          <w:color w:val="000000" w:themeColor="text1"/>
          <w14:textFill>
            <w14:solidFill>
              <w14:schemeClr w14:val="tx1"/>
            </w14:solidFill>
          </w14:textFill>
        </w:rPr>
        <w:t>的资本</w:t>
      </w:r>
      <w:r>
        <w:rPr>
          <w:rFonts w:hint="eastAsia" w:ascii="宋体" w:hAnsi="宋体" w:cs="FZSSK--GBK1-00+ZBNFQH-5"/>
          <w:color w:val="000000" w:themeColor="text1"/>
          <w14:textFill>
            <w14:solidFill>
              <w14:schemeClr w14:val="tx1"/>
            </w14:solidFill>
          </w14:textFill>
        </w:rPr>
        <w:t>垄断</w:t>
      </w:r>
      <w:r>
        <w:rPr>
          <w:rFonts w:hint="eastAsia" w:ascii="宋体" w:hAnsi="宋体" w:cs="SSJ4+ZBNFQG-1"/>
          <w:color w:val="000000" w:themeColor="text1"/>
          <w14:textFill>
            <w14:solidFill>
              <w14:schemeClr w14:val="tx1"/>
            </w14:solidFill>
          </w14:textFill>
        </w:rPr>
        <w:t>，而是知</w:t>
      </w:r>
      <w:r>
        <w:rPr>
          <w:rFonts w:hint="eastAsia" w:ascii="宋体" w:hAnsi="宋体" w:cs="FZSSK--GBK1-00+ZBNFQI-10"/>
          <w:color w:val="000000" w:themeColor="text1"/>
          <w14:textFill>
            <w14:solidFill>
              <w14:schemeClr w14:val="tx1"/>
            </w14:solidFill>
          </w14:textFill>
        </w:rPr>
        <w:t>识</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5"/>
          <w:color w:val="000000" w:themeColor="text1"/>
          <w14:textFill>
            <w14:solidFill>
              <w14:schemeClr w14:val="tx1"/>
            </w14:solidFill>
          </w14:textFill>
        </w:rPr>
        <w:t>权垄断</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知</w:t>
      </w:r>
      <w:r>
        <w:rPr>
          <w:rFonts w:hint="eastAsia" w:ascii="宋体" w:hAnsi="宋体" w:cs="FZSSK--GBK1-00+ZBNFQI-10"/>
          <w:color w:val="000000" w:themeColor="text1"/>
          <w14:textFill>
            <w14:solidFill>
              <w14:schemeClr w14:val="tx1"/>
            </w14:solidFill>
          </w14:textFill>
        </w:rPr>
        <w:t>识</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5"/>
          <w:color w:val="000000" w:themeColor="text1"/>
          <w14:textFill>
            <w14:solidFill>
              <w14:schemeClr w14:val="tx1"/>
            </w14:solidFill>
          </w14:textFill>
        </w:rPr>
        <w:t>权垄断</w:t>
      </w:r>
      <w:r>
        <w:rPr>
          <w:rFonts w:hint="eastAsia" w:ascii="宋体" w:hAnsi="宋体" w:cs="FZSSK--GBK1-00+ZBNFQH-8"/>
          <w:color w:val="000000" w:themeColor="text1"/>
          <w14:textFill>
            <w14:solidFill>
              <w14:schemeClr w14:val="tx1"/>
            </w14:solidFill>
          </w14:textFill>
        </w:rPr>
        <w:t>导致</w:t>
      </w:r>
      <w:r>
        <w:rPr>
          <w:rFonts w:hint="eastAsia" w:ascii="宋体" w:hAnsi="宋体" w:cs="FZSSK--GBK1-00+ZBNFQI-10"/>
          <w:color w:val="000000" w:themeColor="text1"/>
          <w14:textFill>
            <w14:solidFill>
              <w14:schemeClr w14:val="tx1"/>
            </w14:solidFill>
          </w14:textFill>
        </w:rPr>
        <w:t>南</w:t>
      </w:r>
      <w:r>
        <w:rPr>
          <w:rFonts w:hint="eastAsia" w:ascii="宋体" w:hAnsi="宋体" w:cs="FZSSK--GBK1-00+ZBNFQI-9"/>
          <w:color w:val="000000" w:themeColor="text1"/>
          <w14:textFill>
            <w14:solidFill>
              <w14:schemeClr w14:val="tx1"/>
            </w14:solidFill>
          </w14:textFill>
        </w:rPr>
        <w:t>北差距比</w:t>
      </w:r>
      <w:r>
        <w:rPr>
          <w:rFonts w:hint="eastAsia" w:ascii="宋体" w:hAnsi="宋体" w:cs="FZSSK--GBK1-00+ZBNFQH-5"/>
          <w:color w:val="000000" w:themeColor="text1"/>
          <w14:textFill>
            <w14:solidFill>
              <w14:schemeClr w14:val="tx1"/>
            </w14:solidFill>
          </w14:textFill>
        </w:rPr>
        <w:t>过去</w:t>
      </w:r>
      <w:r>
        <w:rPr>
          <w:rFonts w:hint="eastAsia" w:ascii="宋体" w:hAnsi="宋体" w:cs="FZSSK--GBK1-00+ZBNFQH-7"/>
          <w:color w:val="000000" w:themeColor="text1"/>
          <w14:textFill>
            <w14:solidFill>
              <w14:schemeClr w14:val="tx1"/>
            </w14:solidFill>
          </w14:textFill>
        </w:rPr>
        <w:t>更</w:t>
      </w:r>
      <w:r>
        <w:rPr>
          <w:rFonts w:hint="eastAsia" w:ascii="宋体" w:hAnsi="宋体" w:cs="SSJ4+ZBNFQG-1"/>
          <w:color w:val="000000" w:themeColor="text1"/>
          <w14:textFill>
            <w14:solidFill>
              <w14:schemeClr w14:val="tx1"/>
            </w14:solidFill>
          </w14:textFill>
        </w:rPr>
        <w:t>大</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它</w:t>
      </w:r>
      <w:r>
        <w:rPr>
          <w:rFonts w:hint="eastAsia" w:ascii="宋体" w:hAnsi="宋体" w:cs="SSJ4+ZBNFQG-1"/>
          <w:color w:val="000000" w:themeColor="text1"/>
          <w14:textFill>
            <w14:solidFill>
              <w14:schemeClr w14:val="tx1"/>
            </w14:solidFill>
          </w14:textFill>
        </w:rPr>
        <w:t>是</w:t>
      </w:r>
      <w:r>
        <w:rPr>
          <w:rFonts w:hint="eastAsia" w:ascii="宋体" w:hAnsi="宋体" w:cs="FZSSK--GBK1-00+ZBNFQL-16"/>
          <w:color w:val="000000" w:themeColor="text1"/>
          <w14:textFill>
            <w14:solidFill>
              <w14:schemeClr w14:val="tx1"/>
            </w14:solidFill>
          </w14:textFill>
        </w:rPr>
        <w:t>靠</w:t>
      </w:r>
      <w:r>
        <w:rPr>
          <w:rFonts w:hint="eastAsia" w:ascii="宋体" w:hAnsi="宋体" w:cs="FZSSK--GBK1-00+ZBNFQK-14"/>
          <w:color w:val="000000" w:themeColor="text1"/>
          <w14:textFill>
            <w14:solidFill>
              <w14:schemeClr w14:val="tx1"/>
            </w14:solidFill>
          </w14:textFill>
        </w:rPr>
        <w:t>商</w:t>
      </w:r>
      <w:r>
        <w:rPr>
          <w:rFonts w:hint="eastAsia" w:ascii="宋体" w:hAnsi="宋体" w:cs="FZSSK--GBK1-00+ZBNFQI-9"/>
          <w:color w:val="000000" w:themeColor="text1"/>
          <w14:textFill>
            <w14:solidFill>
              <w14:schemeClr w14:val="tx1"/>
            </w14:solidFill>
          </w14:textFill>
        </w:rPr>
        <w:t>标</w:t>
      </w:r>
      <w:r>
        <w:rPr>
          <w:rFonts w:hint="eastAsia" w:ascii="宋体" w:hAnsi="宋体" w:cs="SSJ0+ZBNFQG-4"/>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专</w:t>
      </w:r>
      <w:r>
        <w:rPr>
          <w:rFonts w:hint="eastAsia" w:ascii="宋体" w:hAnsi="宋体" w:cs="FZSSK--GBK1-00+ZBNFQH-8"/>
          <w:color w:val="000000" w:themeColor="text1"/>
          <w14:textFill>
            <w14:solidFill>
              <w14:schemeClr w14:val="tx1"/>
            </w14:solidFill>
          </w14:textFill>
        </w:rPr>
        <w:t>利</w:t>
      </w:r>
      <w:r>
        <w:rPr>
          <w:rFonts w:hint="eastAsia" w:ascii="宋体" w:hAnsi="宋体" w:cs="SSJ4+ZBNFQG-1"/>
          <w:color w:val="000000" w:themeColor="text1"/>
          <w14:textFill>
            <w14:solidFill>
              <w14:schemeClr w14:val="tx1"/>
            </w14:solidFill>
          </w14:textFill>
        </w:rPr>
        <w:t>，</w:t>
      </w:r>
      <w:r>
        <w:rPr>
          <w:rFonts w:hint="eastAsia" w:ascii="宋体" w:hAnsi="宋体" w:cs="FZSSK--GBK1-00+ZBNFQL-16"/>
          <w:color w:val="000000" w:themeColor="text1"/>
          <w14:textFill>
            <w14:solidFill>
              <w14:schemeClr w14:val="tx1"/>
            </w14:solidFill>
          </w14:textFill>
        </w:rPr>
        <w:t>靠</w:t>
      </w:r>
      <w:r>
        <w:rPr>
          <w:rFonts w:hint="eastAsia" w:ascii="宋体" w:hAnsi="宋体" w:cs="FZSSK--GBK1-00+ZBNFQK-14"/>
          <w:color w:val="000000" w:themeColor="text1"/>
          <w14:textFill>
            <w14:solidFill>
              <w14:schemeClr w14:val="tx1"/>
            </w14:solidFill>
          </w14:textFill>
        </w:rPr>
        <w:t>核</w:t>
      </w:r>
      <w:r>
        <w:rPr>
          <w:rFonts w:hint="eastAsia" w:ascii="宋体" w:hAnsi="宋体" w:cs="FZSSK--GBK1-00+ZBNFQH-8"/>
          <w:color w:val="000000" w:themeColor="text1"/>
          <w14:textFill>
            <w14:solidFill>
              <w14:schemeClr w14:val="tx1"/>
            </w14:solidFill>
          </w14:textFill>
        </w:rPr>
        <w:t>心</w:t>
      </w:r>
      <w:r>
        <w:rPr>
          <w:rFonts w:hint="eastAsia" w:ascii="宋体" w:hAnsi="宋体" w:cs="FZSSK--GBK1-00+ZBNFQJ-12"/>
          <w:color w:val="000000" w:themeColor="text1"/>
          <w14:textFill>
            <w14:solidFill>
              <w14:schemeClr w14:val="tx1"/>
            </w14:solidFill>
          </w14:textFill>
        </w:rPr>
        <w:t>技术</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技术</w:t>
      </w:r>
      <w:r>
        <w:rPr>
          <w:rFonts w:hint="eastAsia" w:ascii="宋体" w:hAnsi="宋体" w:cs="FZSSK--GBK1-00+ZBNFQI-9"/>
          <w:color w:val="000000" w:themeColor="text1"/>
          <w14:textFill>
            <w14:solidFill>
              <w14:schemeClr w14:val="tx1"/>
            </w14:solidFill>
          </w14:textFill>
        </w:rPr>
        <w:t>标</w:t>
      </w:r>
      <w:r>
        <w:rPr>
          <w:rFonts w:hint="eastAsia" w:ascii="宋体" w:hAnsi="宋体" w:cs="FZSSK--GBK1-00+ZBNFQK-15"/>
          <w:color w:val="000000" w:themeColor="text1"/>
          <w14:textFill>
            <w14:solidFill>
              <w14:schemeClr w14:val="tx1"/>
            </w14:solidFill>
          </w14:textFill>
        </w:rPr>
        <w:t>准</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技术</w:t>
      </w:r>
      <w:r>
        <w:rPr>
          <w:rFonts w:hint="eastAsia" w:ascii="宋体" w:hAnsi="宋体" w:cs="FZSSK--GBK1-00+ZBNFQL-16"/>
          <w:color w:val="000000" w:themeColor="text1"/>
          <w14:textFill>
            <w14:solidFill>
              <w14:schemeClr w14:val="tx1"/>
            </w14:solidFill>
          </w14:textFill>
        </w:rPr>
        <w:t>许</w:t>
      </w:r>
      <w:r>
        <w:rPr>
          <w:rFonts w:hint="eastAsia" w:ascii="宋体" w:hAnsi="宋体" w:cs="SSJ4+ZBNFQG-1"/>
          <w:color w:val="000000" w:themeColor="text1"/>
          <w14:textFill>
            <w14:solidFill>
              <w14:schemeClr w14:val="tx1"/>
            </w14:solidFill>
          </w14:textFill>
        </w:rPr>
        <w:t>可</w:t>
      </w:r>
      <w:r>
        <w:rPr>
          <w:rFonts w:hint="eastAsia" w:ascii="宋体" w:hAnsi="宋体" w:cs="FZSSK--GBK1-00+ZBNFQH-8"/>
          <w:color w:val="000000" w:themeColor="text1"/>
          <w14:textFill>
            <w14:solidFill>
              <w14:schemeClr w14:val="tx1"/>
            </w14:solidFill>
          </w14:textFill>
        </w:rPr>
        <w:t>证</w:t>
      </w:r>
      <w:r>
        <w:rPr>
          <w:rFonts w:hint="eastAsia" w:ascii="宋体" w:hAnsi="宋体" w:cs="FZSSK--GBK1-00+ZBNFQI-10"/>
          <w:color w:val="000000" w:themeColor="text1"/>
          <w14:textFill>
            <w14:solidFill>
              <w14:schemeClr w14:val="tx1"/>
            </w14:solidFill>
          </w14:textFill>
        </w:rPr>
        <w:t>转</w:t>
      </w:r>
      <w:r>
        <w:rPr>
          <w:rFonts w:hint="eastAsia" w:ascii="宋体" w:hAnsi="宋体" w:cs="FZSSK--GBK1-00+ZBNFQJ-13"/>
          <w:color w:val="000000" w:themeColor="text1"/>
          <w14:textFill>
            <w14:solidFill>
              <w14:schemeClr w14:val="tx1"/>
            </w14:solidFill>
          </w14:textFill>
        </w:rPr>
        <w:t>让</w:t>
      </w:r>
      <w:r>
        <w:rPr>
          <w:rFonts w:hint="eastAsia" w:ascii="宋体" w:hAnsi="宋体" w:cs="FZSSK--GBK1-00+ZBNFQH-7"/>
          <w:color w:val="000000" w:themeColor="text1"/>
          <w14:textFill>
            <w14:solidFill>
              <w14:schemeClr w14:val="tx1"/>
            </w14:solidFill>
          </w14:textFill>
        </w:rPr>
        <w:t>等</w:t>
      </w:r>
      <w:r>
        <w:rPr>
          <w:rFonts w:hint="eastAsia" w:ascii="宋体" w:hAnsi="宋体" w:cs="FZSSK--GBK1-00+ZBNFQJ-13"/>
          <w:color w:val="000000" w:themeColor="text1"/>
          <w14:textFill>
            <w14:solidFill>
              <w14:schemeClr w14:val="tx1"/>
            </w14:solidFill>
          </w14:textFill>
        </w:rPr>
        <w:t>手</w:t>
      </w:r>
      <w:r>
        <w:rPr>
          <w:rFonts w:hint="eastAsia" w:ascii="宋体" w:hAnsi="宋体" w:cs="SSJ4+ZBNFQG-1"/>
          <w:color w:val="000000" w:themeColor="text1"/>
          <w14:textFill>
            <w14:solidFill>
              <w14:schemeClr w14:val="tx1"/>
            </w14:solidFill>
          </w14:textFill>
        </w:rPr>
        <w:t>段，来</w:t>
      </w:r>
      <w:r>
        <w:rPr>
          <w:rFonts w:hint="eastAsia" w:ascii="宋体" w:hAnsi="宋体" w:cs="FZSSK--GBK1-00+ZBNFQH-8"/>
          <w:color w:val="000000" w:themeColor="text1"/>
          <w14:textFill>
            <w14:solidFill>
              <w14:schemeClr w14:val="tx1"/>
            </w14:solidFill>
          </w14:textFill>
        </w:rPr>
        <w:t>拉</w:t>
      </w:r>
      <w:r>
        <w:rPr>
          <w:rFonts w:hint="eastAsia" w:ascii="宋体" w:hAnsi="宋体" w:cs="SSJ4+ZBNFQG-1"/>
          <w:color w:val="000000" w:themeColor="text1"/>
          <w14:textFill>
            <w14:solidFill>
              <w14:schemeClr w14:val="tx1"/>
            </w14:solidFill>
          </w14:textFill>
        </w:rPr>
        <w:t>大发</w:t>
      </w:r>
      <w:r>
        <w:rPr>
          <w:rFonts w:hint="eastAsia" w:ascii="宋体" w:hAnsi="宋体" w:cs="FZSSK--GBK1-00+ZBNFQH-8"/>
          <w:color w:val="000000" w:themeColor="text1"/>
          <w14:textFill>
            <w14:solidFill>
              <w14:schemeClr w14:val="tx1"/>
            </w14:solidFill>
          </w14:textFill>
        </w:rPr>
        <w:t>达</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和发展中国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之</w:t>
      </w:r>
      <w:r>
        <w:rPr>
          <w:rFonts w:hint="eastAsia" w:ascii="宋体" w:hAnsi="宋体" w:cs="FZSSK--GBK1-00+ZBNFQH-5"/>
          <w:color w:val="000000" w:themeColor="text1"/>
          <w14:textFill>
            <w14:solidFill>
              <w14:schemeClr w14:val="tx1"/>
            </w14:solidFill>
          </w14:textFill>
        </w:rPr>
        <w:t>间</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差距</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发</w:t>
      </w:r>
      <w:r>
        <w:rPr>
          <w:rFonts w:hint="eastAsia" w:ascii="宋体" w:hAnsi="宋体" w:cs="FZSSK--GBK1-00+ZBNFQH-8"/>
          <w:color w:val="000000" w:themeColor="text1"/>
          <w14:textFill>
            <w14:solidFill>
              <w14:schemeClr w14:val="tx1"/>
            </w14:solidFill>
          </w14:textFill>
        </w:rPr>
        <w:t>达</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是</w:t>
      </w:r>
      <w:r>
        <w:rPr>
          <w:rFonts w:hint="eastAsia" w:ascii="宋体" w:hAnsi="宋体" w:cs="SSJ0+ZBNFQG-4"/>
          <w:color w:val="000000" w:themeColor="text1"/>
          <w14:textFill>
            <w14:solidFill>
              <w14:schemeClr w14:val="tx1"/>
            </w14:solidFill>
          </w14:textFill>
        </w:rPr>
        <w:t>“</w:t>
      </w:r>
      <w:r>
        <w:rPr>
          <w:rFonts w:hint="eastAsia" w:ascii="宋体" w:hAnsi="宋体" w:cs="FZSSK--GBK1-00+ZBNFQT-26"/>
          <w:color w:val="000000" w:themeColor="text1"/>
          <w14:textFill>
            <w14:solidFill>
              <w14:schemeClr w14:val="tx1"/>
            </w14:solidFill>
          </w14:textFill>
        </w:rPr>
        <w:t>脑</w:t>
      </w:r>
      <w:r>
        <w:rPr>
          <w:rFonts w:hint="eastAsia" w:ascii="宋体" w:hAnsi="宋体" w:cs="SSJ4+ZBNFQG-1"/>
          <w:color w:val="000000" w:themeColor="text1"/>
          <w14:textFill>
            <w14:solidFill>
              <w14:schemeClr w14:val="tx1"/>
            </w14:solidFill>
          </w14:textFill>
        </w:rPr>
        <w:t>国</w:t>
      </w:r>
      <w:r>
        <w:rPr>
          <w:rFonts w:hint="eastAsia" w:ascii="宋体" w:hAnsi="宋体" w:cs="FZSSK--GBK1-00+ZBNFQH-5"/>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，发展中国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是</w:t>
      </w:r>
      <w:r>
        <w:rPr>
          <w:rFonts w:hint="eastAsia" w:ascii="宋体" w:hAnsi="宋体" w:cs="SSJ0+ZBNFQG-4"/>
          <w:color w:val="000000" w:themeColor="text1"/>
          <w14:textFill>
            <w14:solidFill>
              <w14:schemeClr w14:val="tx1"/>
            </w14:solidFill>
          </w14:textFill>
        </w:rPr>
        <w:t>“</w:t>
      </w:r>
      <w:r>
        <w:rPr>
          <w:rFonts w:hint="eastAsia" w:ascii="宋体" w:hAnsi="宋体" w:cs="FZSSK--GBK1-00+ZBNFQT-26"/>
          <w:color w:val="000000" w:themeColor="text1"/>
          <w14:textFill>
            <w14:solidFill>
              <w14:schemeClr w14:val="tx1"/>
            </w14:solidFill>
          </w14:textFill>
        </w:rPr>
        <w:t>躯</w:t>
      </w:r>
      <w:r>
        <w:rPr>
          <w:rFonts w:hint="eastAsia" w:ascii="宋体" w:hAnsi="宋体" w:cs="SSJ4+ZBNFQG-1"/>
          <w:color w:val="000000" w:themeColor="text1"/>
          <w14:textFill>
            <w14:solidFill>
              <w14:schemeClr w14:val="tx1"/>
            </w14:solidFill>
          </w14:textFill>
        </w:rPr>
        <w:t>国</w:t>
      </w:r>
      <w:r>
        <w:rPr>
          <w:rFonts w:hint="eastAsia" w:ascii="宋体" w:hAnsi="宋体" w:cs="FZSSK--GBK1-00+ZBNFQH-5"/>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，知</w:t>
      </w:r>
      <w:r>
        <w:rPr>
          <w:rFonts w:hint="eastAsia" w:ascii="宋体" w:hAnsi="宋体" w:cs="FZSSK--GBK1-00+ZBNFQI-10"/>
          <w:color w:val="000000" w:themeColor="text1"/>
          <w14:textFill>
            <w14:solidFill>
              <w14:schemeClr w14:val="tx1"/>
            </w14:solidFill>
          </w14:textFill>
        </w:rPr>
        <w:t>识</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5"/>
          <w:color w:val="000000" w:themeColor="text1"/>
          <w14:textFill>
            <w14:solidFill>
              <w14:schemeClr w14:val="tx1"/>
            </w14:solidFill>
          </w14:textFill>
        </w:rPr>
        <w:t>权这</w:t>
      </w:r>
      <w:r>
        <w:rPr>
          <w:rFonts w:hint="eastAsia" w:ascii="宋体" w:hAnsi="宋体" w:cs="SSJ4+ZBNFQG-1"/>
          <w:color w:val="000000" w:themeColor="text1"/>
          <w14:textFill>
            <w14:solidFill>
              <w14:schemeClr w14:val="tx1"/>
            </w14:solidFill>
          </w14:textFill>
        </w:rPr>
        <w:t>个经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发展的</w:t>
      </w:r>
      <w:r>
        <w:rPr>
          <w:rFonts w:hint="eastAsia" w:ascii="宋体" w:hAnsi="宋体" w:cs="FZSSK--GBK1-00+ZBNFQT-26"/>
          <w:color w:val="000000" w:themeColor="text1"/>
          <w14:textFill>
            <w14:solidFill>
              <w14:schemeClr w14:val="tx1"/>
            </w14:solidFill>
          </w14:textFill>
        </w:rPr>
        <w:t>脑</w:t>
      </w:r>
      <w:r>
        <w:rPr>
          <w:rFonts w:hint="eastAsia" w:ascii="宋体" w:hAnsi="宋体" w:cs="FZSSK--GBK1-00+ZBNFQK-15"/>
          <w:color w:val="000000" w:themeColor="text1"/>
          <w14:textFill>
            <w14:solidFill>
              <w14:schemeClr w14:val="tx1"/>
            </w14:solidFill>
          </w14:textFill>
        </w:rPr>
        <w:t>袋</w:t>
      </w:r>
      <w:r>
        <w:rPr>
          <w:rFonts w:hint="eastAsia" w:ascii="宋体" w:hAnsi="宋体" w:cs="FZSSK--GBK1-00+ZBNFQH-8"/>
          <w:color w:val="000000" w:themeColor="text1"/>
          <w14:textFill>
            <w14:solidFill>
              <w14:schemeClr w14:val="tx1"/>
            </w14:solidFill>
          </w14:textFill>
        </w:rPr>
        <w:t>被</w:t>
      </w:r>
      <w:r>
        <w:rPr>
          <w:rFonts w:hint="eastAsia" w:ascii="宋体" w:hAnsi="宋体" w:cs="SSJ4+ZBNFQG-1"/>
          <w:color w:val="000000" w:themeColor="text1"/>
          <w14:textFill>
            <w14:solidFill>
              <w14:schemeClr w14:val="tx1"/>
            </w14:solidFill>
          </w14:textFill>
        </w:rPr>
        <w:t>以</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国为</w:t>
      </w:r>
      <w:r>
        <w:rPr>
          <w:rFonts w:hint="eastAsia" w:ascii="宋体" w:hAnsi="宋体" w:cs="FZSSK--GBK1-00+ZBNFQH-5"/>
          <w:color w:val="000000" w:themeColor="text1"/>
          <w14:textFill>
            <w14:solidFill>
              <w14:schemeClr w14:val="tx1"/>
            </w14:solidFill>
          </w14:textFill>
        </w:rPr>
        <w:t>代</w:t>
      </w:r>
      <w:r>
        <w:rPr>
          <w:rFonts w:hint="eastAsia" w:ascii="宋体" w:hAnsi="宋体" w:cs="FZSSK--GBK1-00+ZBNFQI-9"/>
          <w:color w:val="000000" w:themeColor="text1"/>
          <w14:textFill>
            <w14:solidFill>
              <w14:schemeClr w14:val="tx1"/>
            </w14:solidFill>
          </w14:textFill>
        </w:rPr>
        <w:t>表</w:t>
      </w:r>
      <w:r>
        <w:rPr>
          <w:rFonts w:hint="eastAsia" w:ascii="宋体" w:hAnsi="宋体" w:cs="SSJ4+ZBNFQG-1"/>
          <w:color w:val="000000" w:themeColor="text1"/>
          <w14:textFill>
            <w14:solidFill>
              <w14:schemeClr w14:val="tx1"/>
            </w14:solidFill>
          </w14:textFill>
        </w:rPr>
        <w:t>的发</w:t>
      </w:r>
      <w:r>
        <w:rPr>
          <w:rFonts w:hint="eastAsia" w:ascii="宋体" w:hAnsi="宋体" w:cs="FZSSK--GBK1-00+ZBNFQH-8"/>
          <w:color w:val="000000" w:themeColor="text1"/>
          <w14:textFill>
            <w14:solidFill>
              <w14:schemeClr w14:val="tx1"/>
            </w14:solidFill>
          </w14:textFill>
        </w:rPr>
        <w:t>达</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J-12"/>
          <w:color w:val="000000" w:themeColor="text1"/>
          <w14:textFill>
            <w14:solidFill>
              <w14:schemeClr w14:val="tx1"/>
            </w14:solidFill>
          </w14:textFill>
        </w:rPr>
        <w:t>控</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了</w:t>
      </w:r>
      <w:r>
        <w:rPr>
          <w:rFonts w:hint="eastAsia" w:ascii="宋体" w:hAnsi="宋体" w:cs="SSJ0+ZBNFQG-4"/>
          <w:color w:val="000000" w:themeColor="text1"/>
          <w14:textFill>
            <w14:solidFill>
              <w14:schemeClr w14:val="tx1"/>
            </w14:solidFill>
          </w14:textFill>
        </w:rPr>
        <w:t>。</w:t>
      </w:r>
    </w:p>
    <w:p w14:paraId="4BBBF266">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FZSSK--GBK1-00+ZBNFQH-8"/>
          <w:color w:val="000000" w:themeColor="text1"/>
          <w14:textFill>
            <w14:solidFill>
              <w14:schemeClr w14:val="tx1"/>
            </w14:solidFill>
          </w14:textFill>
        </w:rPr>
        <w:t>导致</w:t>
      </w:r>
      <w:r>
        <w:rPr>
          <w:rFonts w:hint="eastAsia" w:ascii="宋体" w:hAnsi="宋体" w:cs="FZSSK--GBK1-00+ZBNFQI-10"/>
          <w:color w:val="000000" w:themeColor="text1"/>
          <w14:textFill>
            <w14:solidFill>
              <w14:schemeClr w14:val="tx1"/>
            </w14:solidFill>
          </w14:textFill>
        </w:rPr>
        <w:t>南</w:t>
      </w:r>
      <w:r>
        <w:rPr>
          <w:rFonts w:hint="eastAsia" w:ascii="宋体" w:hAnsi="宋体" w:cs="FZSSK--GBK1-00+ZBNFQI-9"/>
          <w:color w:val="000000" w:themeColor="text1"/>
          <w14:textFill>
            <w14:solidFill>
              <w14:schemeClr w14:val="tx1"/>
            </w14:solidFill>
          </w14:textFill>
        </w:rPr>
        <w:t>北差距</w:t>
      </w:r>
      <w:r>
        <w:rPr>
          <w:rFonts w:hint="eastAsia" w:ascii="宋体" w:hAnsi="宋体" w:cs="FZSSK--GBK1-00+ZBNFQH-7"/>
          <w:color w:val="000000" w:themeColor="text1"/>
          <w14:textFill>
            <w14:solidFill>
              <w14:schemeClr w14:val="tx1"/>
            </w14:solidFill>
          </w14:textFill>
        </w:rPr>
        <w:t>巨</w:t>
      </w:r>
      <w:r>
        <w:rPr>
          <w:rFonts w:hint="eastAsia" w:ascii="宋体" w:hAnsi="宋体" w:cs="SSJ4+ZBNFQG-1"/>
          <w:color w:val="000000" w:themeColor="text1"/>
          <w14:textFill>
            <w14:solidFill>
              <w14:schemeClr w14:val="tx1"/>
            </w14:solidFill>
          </w14:textFill>
        </w:rPr>
        <w:t>大的</w:t>
      </w:r>
      <w:r>
        <w:rPr>
          <w:rFonts w:hint="eastAsia" w:ascii="宋体" w:hAnsi="宋体" w:cs="FZSSK--GBK1-00+ZBNFQH-5"/>
          <w:color w:val="000000" w:themeColor="text1"/>
          <w14:textFill>
            <w14:solidFill>
              <w14:schemeClr w14:val="tx1"/>
            </w14:solidFill>
          </w14:textFill>
        </w:rPr>
        <w:t>第</w:t>
      </w:r>
      <w:r>
        <w:rPr>
          <w:rFonts w:hint="eastAsia" w:ascii="宋体" w:hAnsi="宋体" w:cs="FZSSK--GBK1-00+ZBNFQH-7"/>
          <w:color w:val="000000" w:themeColor="text1"/>
          <w14:textFill>
            <w14:solidFill>
              <w14:schemeClr w14:val="tx1"/>
            </w14:solidFill>
          </w14:textFill>
        </w:rPr>
        <w:t>二</w:t>
      </w:r>
      <w:r>
        <w:rPr>
          <w:rFonts w:hint="eastAsia" w:ascii="宋体" w:hAnsi="宋体" w:cs="SSJ4+ZBNFQG-1"/>
          <w:color w:val="000000" w:themeColor="text1"/>
          <w14:textFill>
            <w14:solidFill>
              <w14:schemeClr w14:val="tx1"/>
            </w14:solidFill>
          </w14:textFill>
        </w:rPr>
        <w:t>个</w:t>
      </w:r>
      <w:r>
        <w:rPr>
          <w:rFonts w:hint="eastAsia" w:ascii="宋体" w:hAnsi="宋体" w:cs="FZSSK--GBK1-00+ZBNFQI-9"/>
          <w:color w:val="000000" w:themeColor="text1"/>
          <w14:textFill>
            <w14:solidFill>
              <w14:schemeClr w14:val="tx1"/>
            </w14:solidFill>
          </w14:textFill>
        </w:rPr>
        <w:t>原</w:t>
      </w:r>
      <w:r>
        <w:rPr>
          <w:rFonts w:hint="eastAsia" w:ascii="宋体" w:hAnsi="宋体" w:cs="FZSSK--GBK1-00+ZBNFQH-5"/>
          <w:color w:val="000000" w:themeColor="text1"/>
          <w14:textFill>
            <w14:solidFill>
              <w14:schemeClr w14:val="tx1"/>
            </w14:solidFill>
          </w14:textFill>
        </w:rPr>
        <w:t>因</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美</w:t>
      </w:r>
      <w:r>
        <w:rPr>
          <w:rFonts w:hint="eastAsia" w:ascii="宋体" w:hAnsi="宋体" w:cs="FZSSK--GBK1-00+ZBNFQH-8"/>
          <w:color w:val="000000" w:themeColor="text1"/>
          <w14:textFill>
            <w14:solidFill>
              <w14:schemeClr w14:val="tx1"/>
            </w14:solidFill>
          </w14:textFill>
        </w:rPr>
        <w:t>元</w:t>
      </w:r>
      <w:r>
        <w:rPr>
          <w:rFonts w:hint="eastAsia" w:ascii="宋体" w:hAnsi="宋体" w:cs="FZSSK--GBK1-00+ZBNFQH-5"/>
          <w:color w:val="000000" w:themeColor="text1"/>
          <w14:textFill>
            <w14:solidFill>
              <w14:schemeClr w14:val="tx1"/>
            </w14:solidFill>
          </w14:textFill>
        </w:rPr>
        <w:t>霸权</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I-10"/>
          <w:color w:val="000000" w:themeColor="text1"/>
          <w14:textFill>
            <w14:solidFill>
              <w14:schemeClr w14:val="tx1"/>
            </w14:solidFill>
          </w14:textFill>
        </w:rPr>
        <w:t>通</w:t>
      </w:r>
      <w:r>
        <w:rPr>
          <w:rFonts w:hint="eastAsia" w:ascii="宋体" w:hAnsi="宋体" w:cs="FZSSK--GBK1-00+ZBNFQH-5"/>
          <w:color w:val="000000" w:themeColor="text1"/>
          <w14:textFill>
            <w14:solidFill>
              <w14:schemeClr w14:val="tx1"/>
            </w14:solidFill>
          </w14:textFill>
        </w:rPr>
        <w:t>过美</w:t>
      </w:r>
      <w:r>
        <w:rPr>
          <w:rFonts w:hint="eastAsia" w:ascii="宋体" w:hAnsi="宋体" w:cs="FZSSK--GBK1-00+ZBNFQH-8"/>
          <w:color w:val="000000" w:themeColor="text1"/>
          <w14:textFill>
            <w14:solidFill>
              <w14:schemeClr w14:val="tx1"/>
            </w14:solidFill>
          </w14:textFill>
        </w:rPr>
        <w:t>元</w:t>
      </w:r>
      <w:r>
        <w:rPr>
          <w:rFonts w:hint="eastAsia" w:ascii="宋体" w:hAnsi="宋体" w:cs="SSJ4+ZBNFQG-1"/>
          <w:color w:val="000000" w:themeColor="text1"/>
          <w14:textFill>
            <w14:solidFill>
              <w14:schemeClr w14:val="tx1"/>
            </w14:solidFill>
          </w14:textFill>
        </w:rPr>
        <w:t>的国际</w:t>
      </w:r>
      <w:r>
        <w:rPr>
          <w:rFonts w:hint="eastAsia" w:ascii="宋体" w:hAnsi="宋体" w:cs="FZSSK--GBK1-00+ZBNFQJ-13"/>
          <w:color w:val="000000" w:themeColor="text1"/>
          <w14:textFill>
            <w14:solidFill>
              <w14:schemeClr w14:val="tx1"/>
            </w14:solidFill>
          </w14:textFill>
        </w:rPr>
        <w:t>储蓄</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法</w:t>
      </w:r>
      <w:r>
        <w:rPr>
          <w:rFonts w:hint="eastAsia" w:ascii="宋体" w:hAnsi="宋体" w:cs="FZSSK--GBK1-00+ZBNFQI-10"/>
          <w:color w:val="000000" w:themeColor="text1"/>
          <w14:textFill>
            <w14:solidFill>
              <w14:schemeClr w14:val="tx1"/>
            </w14:solidFill>
          </w14:textFill>
        </w:rPr>
        <w:t>地</w:t>
      </w:r>
      <w:r>
        <w:rPr>
          <w:rFonts w:hint="eastAsia" w:ascii="宋体" w:hAnsi="宋体" w:cs="FZSSK--GBK1-00+ZBNFQK-15"/>
          <w:color w:val="000000" w:themeColor="text1"/>
          <w14:textFill>
            <w14:solidFill>
              <w14:schemeClr w14:val="tx1"/>
            </w14:solidFill>
          </w14:textFill>
        </w:rPr>
        <w:t>掠夺</w:t>
      </w:r>
      <w:r>
        <w:rPr>
          <w:rFonts w:hint="eastAsia" w:ascii="宋体" w:hAnsi="宋体" w:cs="FZSSK--GBK1-00+ZBNFQH-7"/>
          <w:color w:val="000000" w:themeColor="text1"/>
          <w14:textFill>
            <w14:solidFill>
              <w14:schemeClr w14:val="tx1"/>
            </w14:solidFill>
          </w14:textFill>
        </w:rPr>
        <w:t>各</w:t>
      </w:r>
      <w:r>
        <w:rPr>
          <w:rFonts w:hint="eastAsia" w:ascii="宋体" w:hAnsi="宋体" w:cs="SSJ4+ZBNFQG-1"/>
          <w:color w:val="000000" w:themeColor="text1"/>
          <w14:textFill>
            <w14:solidFill>
              <w14:schemeClr w14:val="tx1"/>
            </w14:solidFill>
          </w14:textFill>
        </w:rPr>
        <w:t>国的</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特别</w:t>
      </w:r>
      <w:r>
        <w:rPr>
          <w:rFonts w:hint="eastAsia" w:ascii="宋体" w:hAnsi="宋体" w:cs="SSJ4+ZBNFQG-1"/>
          <w:color w:val="000000" w:themeColor="text1"/>
          <w14:textFill>
            <w14:solidFill>
              <w14:schemeClr w14:val="tx1"/>
            </w14:solidFill>
          </w14:textFill>
        </w:rPr>
        <w:t>是发展中国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财富</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以中</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之</w:t>
      </w:r>
      <w:r>
        <w:rPr>
          <w:rFonts w:hint="eastAsia" w:ascii="宋体" w:hAnsi="宋体" w:cs="FZSSK--GBK1-00+ZBNFQH-5"/>
          <w:color w:val="000000" w:themeColor="text1"/>
          <w14:textFill>
            <w14:solidFill>
              <w14:schemeClr w14:val="tx1"/>
            </w14:solidFill>
          </w14:textFill>
        </w:rPr>
        <w:t>间</w:t>
      </w:r>
      <w:r>
        <w:rPr>
          <w:rFonts w:hint="eastAsia" w:ascii="宋体" w:hAnsi="宋体" w:cs="SSJ4+ZBNFQG-1"/>
          <w:color w:val="000000" w:themeColor="text1"/>
          <w14:textFill>
            <w14:solidFill>
              <w14:schemeClr w14:val="tx1"/>
            </w14:solidFill>
          </w14:textFill>
        </w:rPr>
        <w:t>的经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J-12"/>
          <w:color w:val="000000" w:themeColor="text1"/>
          <w14:textFill>
            <w14:solidFill>
              <w14:schemeClr w14:val="tx1"/>
            </w14:solidFill>
          </w14:textFill>
        </w:rPr>
        <w:t>交</w:t>
      </w:r>
      <w:r>
        <w:rPr>
          <w:rFonts w:hint="eastAsia" w:ascii="宋体" w:hAnsi="宋体" w:cs="FZSSK--GBK1-00+ZBNFQO-22"/>
          <w:color w:val="000000" w:themeColor="text1"/>
          <w14:textFill>
            <w14:solidFill>
              <w14:schemeClr w14:val="tx1"/>
            </w14:solidFill>
          </w14:textFill>
        </w:rPr>
        <w:t>换</w:t>
      </w:r>
      <w:r>
        <w:rPr>
          <w:rFonts w:hint="eastAsia" w:ascii="宋体" w:hAnsi="宋体" w:cs="FZSSK--GBK1-00+ZBNFQH-8"/>
          <w:color w:val="000000" w:themeColor="text1"/>
          <w14:textFill>
            <w14:solidFill>
              <w14:schemeClr w14:val="tx1"/>
            </w14:solidFill>
          </w14:textFill>
        </w:rPr>
        <w:t>方</w:t>
      </w:r>
      <w:r>
        <w:rPr>
          <w:rFonts w:hint="eastAsia" w:ascii="宋体" w:hAnsi="宋体" w:cs="FZSSK--GBK1-00+ZBNFQI-10"/>
          <w:color w:val="000000" w:themeColor="text1"/>
          <w14:textFill>
            <w14:solidFill>
              <w14:schemeClr w14:val="tx1"/>
            </w14:solidFill>
          </w14:textFill>
        </w:rPr>
        <w:t>式</w:t>
      </w:r>
      <w:r>
        <w:rPr>
          <w:rFonts w:hint="eastAsia" w:ascii="宋体" w:hAnsi="宋体" w:cs="SSJ4+ZBNFQG-1"/>
          <w:color w:val="000000" w:themeColor="text1"/>
          <w14:textFill>
            <w14:solidFill>
              <w14:schemeClr w14:val="tx1"/>
            </w14:solidFill>
          </w14:textFill>
        </w:rPr>
        <w:t>为</w:t>
      </w:r>
      <w:r>
        <w:rPr>
          <w:rFonts w:hint="eastAsia" w:ascii="宋体" w:hAnsi="宋体" w:cs="FZSSK--GBK1-00+ZBNFQH-8"/>
          <w:color w:val="000000" w:themeColor="text1"/>
          <w14:textFill>
            <w14:solidFill>
              <w14:schemeClr w14:val="tx1"/>
            </w14:solidFill>
          </w14:textFill>
        </w:rPr>
        <w:t>例</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I-9"/>
          <w:color w:val="000000" w:themeColor="text1"/>
          <w14:textFill>
            <w14:solidFill>
              <w14:schemeClr w14:val="tx1"/>
            </w14:solidFill>
          </w14:textFill>
        </w:rPr>
        <w:t>很</w:t>
      </w:r>
      <w:r>
        <w:rPr>
          <w:rFonts w:hint="eastAsia" w:ascii="宋体" w:hAnsi="宋体" w:cs="FZSSK--GBK1-00+ZBNFQH-5"/>
          <w:color w:val="000000" w:themeColor="text1"/>
          <w14:textFill>
            <w14:solidFill>
              <w14:schemeClr w14:val="tx1"/>
            </w14:solidFill>
          </w14:textFill>
        </w:rPr>
        <w:t>清</w:t>
      </w:r>
      <w:r>
        <w:rPr>
          <w:rFonts w:hint="eastAsia" w:ascii="宋体" w:hAnsi="宋体" w:cs="FZSSK--GBK1-00+ZBNFQQ-24"/>
          <w:color w:val="000000" w:themeColor="text1"/>
          <w14:textFill>
            <w14:solidFill>
              <w14:schemeClr w14:val="tx1"/>
            </w14:solidFill>
          </w14:textFill>
        </w:rPr>
        <w:t>楚</w:t>
      </w:r>
      <w:r>
        <w:rPr>
          <w:rFonts w:hint="eastAsia" w:ascii="宋体" w:hAnsi="宋体" w:cs="FZSSK--GBK1-00+ZBNFQI-10"/>
          <w:color w:val="000000" w:themeColor="text1"/>
          <w14:textFill>
            <w14:solidFill>
              <w14:schemeClr w14:val="tx1"/>
            </w14:solidFill>
          </w14:textFill>
        </w:rPr>
        <w:t>地</w:t>
      </w:r>
      <w:r>
        <w:rPr>
          <w:rFonts w:hint="eastAsia" w:ascii="宋体" w:hAnsi="宋体" w:cs="FZSSK--GBK1-00+ZBNFQT-26"/>
          <w:color w:val="000000" w:themeColor="text1"/>
          <w14:textFill>
            <w14:solidFill>
              <w14:schemeClr w14:val="tx1"/>
            </w14:solidFill>
          </w14:textFill>
        </w:rPr>
        <w:t>揭</w:t>
      </w:r>
      <w:r>
        <w:rPr>
          <w:rFonts w:hint="eastAsia" w:ascii="宋体" w:hAnsi="宋体" w:cs="FZSSK--GBK1-00+ZBNFQN-20"/>
          <w:color w:val="000000" w:themeColor="text1"/>
          <w14:textFill>
            <w14:solidFill>
              <w14:schemeClr w14:val="tx1"/>
            </w14:solidFill>
          </w14:textFill>
        </w:rPr>
        <w:t>示</w:t>
      </w:r>
      <w:r>
        <w:rPr>
          <w:rFonts w:hint="eastAsia" w:ascii="宋体" w:hAnsi="宋体" w:cs="FZSSK--GBK1-00+ZBNFQH-5"/>
          <w:color w:val="000000" w:themeColor="text1"/>
          <w14:textFill>
            <w14:solidFill>
              <w14:schemeClr w14:val="tx1"/>
            </w14:solidFill>
          </w14:textFill>
        </w:rPr>
        <w:t>这种</w:t>
      </w:r>
      <w:r>
        <w:rPr>
          <w:rFonts w:hint="eastAsia" w:ascii="宋体" w:hAnsi="宋体" w:cs="FZSSK--GBK1-00+ZBNFQK-15"/>
          <w:color w:val="000000" w:themeColor="text1"/>
          <w14:textFill>
            <w14:solidFill>
              <w14:schemeClr w14:val="tx1"/>
            </w14:solidFill>
          </w14:textFill>
        </w:rPr>
        <w:t>掠夺</w:t>
      </w:r>
      <w:r>
        <w:rPr>
          <w:rFonts w:hint="eastAsia" w:ascii="宋体" w:hAnsi="宋体" w:cs="SSJ4+ZBNFQG-1"/>
          <w:color w:val="000000" w:themeColor="text1"/>
          <w14:textFill>
            <w14:solidFill>
              <w14:schemeClr w14:val="tx1"/>
            </w14:solidFill>
          </w14:textFill>
        </w:rPr>
        <w:t>本</w:t>
      </w:r>
      <w:r>
        <w:rPr>
          <w:rFonts w:hint="eastAsia" w:ascii="宋体" w:hAnsi="宋体" w:cs="FZSSK--GBK1-00+ZBNFQH-5"/>
          <w:color w:val="000000" w:themeColor="text1"/>
          <w14:textFill>
            <w14:solidFill>
              <w14:schemeClr w14:val="tx1"/>
            </w14:solidFill>
          </w14:textFill>
        </w:rPr>
        <w:t>质</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中国</w:t>
      </w:r>
      <w:r>
        <w:rPr>
          <w:rFonts w:hint="eastAsia" w:ascii="宋体" w:hAnsi="宋体" w:cs="FZSSK--GBK1-00+ZBNFQH-8"/>
          <w:color w:val="000000" w:themeColor="text1"/>
          <w14:textFill>
            <w14:solidFill>
              <w14:schemeClr w14:val="tx1"/>
            </w14:solidFill>
          </w14:textFill>
        </w:rPr>
        <w:t>利用</w:t>
      </w:r>
      <w:r>
        <w:rPr>
          <w:rFonts w:hint="eastAsia" w:ascii="宋体" w:hAnsi="宋体" w:cs="FZSSK--GBK1-00+ZBNFQK-15"/>
          <w:color w:val="000000" w:themeColor="text1"/>
          <w14:textFill>
            <w14:solidFill>
              <w14:schemeClr w14:val="tx1"/>
            </w14:solidFill>
          </w14:textFill>
        </w:rPr>
        <w:t>廉</w:t>
      </w:r>
      <w:r>
        <w:rPr>
          <w:rFonts w:hint="eastAsia" w:ascii="宋体" w:hAnsi="宋体" w:cs="FZSSK--GBK1-00+ZBNFQJ-12"/>
          <w:color w:val="000000" w:themeColor="text1"/>
          <w14:textFill>
            <w14:solidFill>
              <w14:schemeClr w14:val="tx1"/>
            </w14:solidFill>
          </w14:textFill>
        </w:rPr>
        <w:t>价</w:t>
      </w:r>
      <w:r>
        <w:rPr>
          <w:rFonts w:hint="eastAsia" w:ascii="宋体" w:hAnsi="宋体" w:cs="SSJ4+ZBNFQG-1"/>
          <w:color w:val="000000" w:themeColor="text1"/>
          <w14:textFill>
            <w14:solidFill>
              <w14:schemeClr w14:val="tx1"/>
            </w14:solidFill>
          </w14:textFill>
        </w:rPr>
        <w:t>的</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H-7"/>
          <w:color w:val="000000" w:themeColor="text1"/>
          <w14:textFill>
            <w14:solidFill>
              <w14:schemeClr w14:val="tx1"/>
            </w14:solidFill>
          </w14:textFill>
        </w:rPr>
        <w:t>力</w:t>
      </w:r>
      <w:r>
        <w:rPr>
          <w:rFonts w:hint="eastAsia" w:ascii="宋体" w:hAnsi="宋体" w:cs="SSJ0+ZBNFQG-4"/>
          <w:color w:val="000000" w:themeColor="text1"/>
          <w14:textFill>
            <w14:solidFill>
              <w14:schemeClr w14:val="tx1"/>
            </w14:solidFill>
          </w14:textFill>
        </w:rPr>
        <w:t>、</w:t>
      </w:r>
      <w:r>
        <w:rPr>
          <w:rFonts w:hint="eastAsia" w:ascii="宋体" w:hAnsi="宋体" w:cs="FZSSK--GBK1-00+ZBNFQJ-13"/>
          <w:color w:val="000000" w:themeColor="text1"/>
          <w14:textFill>
            <w14:solidFill>
              <w14:schemeClr w14:val="tx1"/>
            </w14:solidFill>
          </w14:textFill>
        </w:rPr>
        <w:t>土</w:t>
      </w:r>
      <w:r>
        <w:rPr>
          <w:rFonts w:hint="eastAsia" w:ascii="宋体" w:hAnsi="宋体" w:cs="FZSSK--GBK1-00+ZBNFQI-10"/>
          <w:color w:val="000000" w:themeColor="text1"/>
          <w14:textFill>
            <w14:solidFill>
              <w14:schemeClr w14:val="tx1"/>
            </w14:solidFill>
          </w14:textFill>
        </w:rPr>
        <w:t>地</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生</w:t>
      </w:r>
      <w:r>
        <w:rPr>
          <w:rFonts w:hint="eastAsia" w:ascii="宋体" w:hAnsi="宋体" w:cs="FZSSK--GBK1-00+ZBNFQH-7"/>
          <w:color w:val="000000" w:themeColor="text1"/>
          <w14:textFill>
            <w14:solidFill>
              <w14:schemeClr w14:val="tx1"/>
            </w14:solidFill>
          </w14:textFill>
        </w:rPr>
        <w:t>态</w:t>
      </w:r>
      <w:r>
        <w:rPr>
          <w:rFonts w:hint="eastAsia" w:ascii="宋体" w:hAnsi="宋体" w:cs="SSJ4+ZBNFQG-1"/>
          <w:color w:val="000000" w:themeColor="text1"/>
          <w14:textFill>
            <w14:solidFill>
              <w14:schemeClr w14:val="tx1"/>
            </w14:solidFill>
          </w14:textFill>
        </w:rPr>
        <w:t>资</w:t>
      </w:r>
      <w:r>
        <w:rPr>
          <w:rFonts w:hint="eastAsia" w:ascii="宋体" w:hAnsi="宋体" w:cs="FZSSK--GBK1-00+ZBNFQH-5"/>
          <w:color w:val="000000" w:themeColor="text1"/>
          <w14:textFill>
            <w14:solidFill>
              <w14:schemeClr w14:val="tx1"/>
            </w14:solidFill>
          </w14:textFill>
        </w:rPr>
        <w:t>源</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中</w:t>
      </w:r>
      <w:r>
        <w:rPr>
          <w:rFonts w:hint="eastAsia" w:ascii="宋体" w:hAnsi="宋体" w:cs="FZSSK--GBK1-00+ZBNFQH-7"/>
          <w:color w:val="000000" w:themeColor="text1"/>
          <w14:textFill>
            <w14:solidFill>
              <w14:schemeClr w14:val="tx1"/>
            </w14:solidFill>
          </w14:textFill>
        </w:rPr>
        <w:t>高级</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P-23"/>
          <w:color w:val="000000" w:themeColor="text1"/>
          <w14:textFill>
            <w14:solidFill>
              <w14:schemeClr w14:val="tx1"/>
            </w14:solidFill>
          </w14:textFill>
        </w:rPr>
        <w:t>才</w:t>
      </w:r>
      <w:r>
        <w:rPr>
          <w:rFonts w:hint="eastAsia" w:ascii="宋体" w:hAnsi="宋体" w:cs="FZSSK--GBK1-00+ZBNFQH-7"/>
          <w:color w:val="000000" w:themeColor="text1"/>
          <w14:textFill>
            <w14:solidFill>
              <w14:schemeClr w14:val="tx1"/>
            </w14:solidFill>
          </w14:textFill>
        </w:rPr>
        <w:t>等等各</w:t>
      </w:r>
      <w:r>
        <w:rPr>
          <w:rFonts w:hint="eastAsia" w:ascii="宋体" w:hAnsi="宋体" w:cs="FZSSK--GBK1-00+ZBNFQH-5"/>
          <w:color w:val="000000" w:themeColor="text1"/>
          <w14:textFill>
            <w14:solidFill>
              <w14:schemeClr w14:val="tx1"/>
            </w14:solidFill>
          </w14:textFill>
        </w:rPr>
        <w:t>类</w:t>
      </w:r>
      <w:r>
        <w:rPr>
          <w:rFonts w:hint="eastAsia" w:ascii="宋体" w:hAnsi="宋体" w:cs="SSJ4+ZBNFQG-1"/>
          <w:color w:val="000000" w:themeColor="text1"/>
          <w14:textFill>
            <w14:solidFill>
              <w14:schemeClr w14:val="tx1"/>
            </w14:solidFill>
          </w14:textFill>
        </w:rPr>
        <w:t>资</w:t>
      </w:r>
      <w:r>
        <w:rPr>
          <w:rFonts w:hint="eastAsia" w:ascii="宋体" w:hAnsi="宋体" w:cs="FZSSK--GBK1-00+ZBNFQH-5"/>
          <w:color w:val="000000" w:themeColor="text1"/>
          <w14:textFill>
            <w14:solidFill>
              <w14:schemeClr w14:val="tx1"/>
            </w14:solidFill>
          </w14:textFill>
        </w:rPr>
        <w:t>源进</w:t>
      </w:r>
      <w:r>
        <w:rPr>
          <w:rFonts w:hint="eastAsia" w:ascii="宋体" w:hAnsi="宋体" w:cs="FZSSK--GBK1-00+ZBNFQI-10"/>
          <w:color w:val="000000" w:themeColor="text1"/>
          <w14:textFill>
            <w14:solidFill>
              <w14:schemeClr w14:val="tx1"/>
            </w14:solidFill>
          </w14:textFill>
        </w:rPr>
        <w:t>行</w:t>
      </w:r>
      <w:r>
        <w:rPr>
          <w:rFonts w:hint="eastAsia" w:ascii="宋体" w:hAnsi="宋体" w:cs="SSJ4+ZBNFQG-1"/>
          <w:color w:val="000000" w:themeColor="text1"/>
          <w14:textFill>
            <w14:solidFill>
              <w14:schemeClr w14:val="tx1"/>
            </w14:solidFill>
          </w14:textFill>
        </w:rPr>
        <w:t>多</w:t>
      </w:r>
      <w:r>
        <w:rPr>
          <w:rFonts w:hint="eastAsia" w:ascii="宋体" w:hAnsi="宋体" w:cs="FZSSK--GBK1-00+ZBNFQH-5"/>
          <w:color w:val="000000" w:themeColor="text1"/>
          <w14:textFill>
            <w14:solidFill>
              <w14:schemeClr w14:val="tx1"/>
            </w14:solidFill>
          </w14:textFill>
        </w:rPr>
        <w:t>种类</w:t>
      </w:r>
      <w:r>
        <w:rPr>
          <w:rFonts w:hint="eastAsia" w:ascii="宋体" w:hAnsi="宋体" w:cs="SSJ4+ZBNFQG-1"/>
          <w:color w:val="000000" w:themeColor="text1"/>
          <w14:textFill>
            <w14:solidFill>
              <w14:schemeClr w14:val="tx1"/>
            </w14:solidFill>
          </w14:textFill>
        </w:rPr>
        <w:t>的生</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经</w:t>
      </w:r>
      <w:r>
        <w:rPr>
          <w:rFonts w:hint="eastAsia" w:ascii="宋体" w:hAnsi="宋体" w:cs="FZSSK--GBK1-00+ZBNFQK-15"/>
          <w:color w:val="000000" w:themeColor="text1"/>
          <w14:textFill>
            <w14:solidFill>
              <w14:schemeClr w14:val="tx1"/>
            </w14:solidFill>
          </w14:textFill>
        </w:rPr>
        <w:t>营</w:t>
      </w:r>
      <w:r>
        <w:rPr>
          <w:rFonts w:hint="eastAsia" w:ascii="宋体" w:hAnsi="宋体" w:cs="SSJ4+ZBNFQG-1"/>
          <w:color w:val="000000" w:themeColor="text1"/>
          <w14:textFill>
            <w14:solidFill>
              <w14:schemeClr w14:val="tx1"/>
            </w14:solidFill>
          </w14:textFill>
        </w:rPr>
        <w:t>，生</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之</w:t>
      </w:r>
      <w:r>
        <w:rPr>
          <w:rFonts w:hint="eastAsia" w:ascii="宋体" w:hAnsi="宋体" w:cs="FZSSK--GBK1-00+ZBNFQH-7"/>
          <w:color w:val="000000" w:themeColor="text1"/>
          <w14:textFill>
            <w14:solidFill>
              <w14:schemeClr w14:val="tx1"/>
            </w14:solidFill>
          </w14:textFill>
        </w:rPr>
        <w:t>后</w:t>
      </w:r>
      <w:r>
        <w:rPr>
          <w:rFonts w:hint="eastAsia" w:ascii="宋体" w:hAnsi="宋体" w:cs="FZSSK--GBK1-00+ZBNFQK-15"/>
          <w:color w:val="000000" w:themeColor="text1"/>
          <w14:textFill>
            <w14:solidFill>
              <w14:schemeClr w14:val="tx1"/>
            </w14:solidFill>
          </w14:textFill>
        </w:rPr>
        <w:t>廉</w:t>
      </w:r>
      <w:r>
        <w:rPr>
          <w:rFonts w:hint="eastAsia" w:ascii="宋体" w:hAnsi="宋体" w:cs="FZSSK--GBK1-00+ZBNFQJ-12"/>
          <w:color w:val="000000" w:themeColor="text1"/>
          <w14:textFill>
            <w14:solidFill>
              <w14:schemeClr w14:val="tx1"/>
            </w14:solidFill>
          </w14:textFill>
        </w:rPr>
        <w:t>价</w:t>
      </w:r>
      <w:r>
        <w:rPr>
          <w:rFonts w:hint="eastAsia" w:ascii="宋体" w:hAnsi="宋体" w:cs="FZSSK--GBK1-00+ZBNFQK-15"/>
          <w:color w:val="000000" w:themeColor="text1"/>
          <w14:textFill>
            <w14:solidFill>
              <w14:schemeClr w14:val="tx1"/>
            </w14:solidFill>
          </w14:textFill>
        </w:rPr>
        <w:t>卖</w:t>
      </w:r>
      <w:r>
        <w:rPr>
          <w:rFonts w:hint="eastAsia" w:ascii="宋体" w:hAnsi="宋体" w:cs="FZSSK--GBK1-00+ZBNFQJ-12"/>
          <w:color w:val="000000" w:themeColor="text1"/>
          <w14:textFill>
            <w14:solidFill>
              <w14:schemeClr w14:val="tx1"/>
            </w14:solidFill>
          </w14:textFill>
        </w:rPr>
        <w:t>给</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5"/>
          <w:color w:val="000000" w:themeColor="text1"/>
          <w14:textFill>
            <w14:solidFill>
              <w14:schemeClr w14:val="tx1"/>
            </w14:solidFill>
          </w14:textFill>
        </w:rPr>
        <w:t>就不</w:t>
      </w:r>
      <w:r>
        <w:rPr>
          <w:rFonts w:hint="eastAsia" w:ascii="宋体" w:hAnsi="宋体" w:cs="SSJ4+ZBNFQG-1"/>
          <w:color w:val="000000" w:themeColor="text1"/>
          <w14:textFill>
            <w14:solidFill>
              <w14:schemeClr w14:val="tx1"/>
            </w14:solidFill>
          </w14:textFill>
        </w:rPr>
        <w:t>生</w:t>
      </w:r>
      <w:r>
        <w:rPr>
          <w:rFonts w:hint="eastAsia" w:ascii="宋体" w:hAnsi="宋体" w:cs="FZSSK--GBK1-00+ZBNFQI-9"/>
          <w:color w:val="000000" w:themeColor="text1"/>
          <w14:textFill>
            <w14:solidFill>
              <w14:schemeClr w14:val="tx1"/>
            </w14:solidFill>
          </w14:textFill>
        </w:rPr>
        <w:t>产</w:t>
      </w:r>
      <w:r>
        <w:rPr>
          <w:rFonts w:hint="eastAsia" w:ascii="宋体" w:hAnsi="宋体" w:cs="SSJ4+ZBNFQG-1"/>
          <w:color w:val="000000" w:themeColor="text1"/>
          <w14:textFill>
            <w14:solidFill>
              <w14:schemeClr w14:val="tx1"/>
            </w14:solidFill>
          </w14:textFill>
        </w:rPr>
        <w:t>了</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然</w:t>
      </w:r>
      <w:r>
        <w:rPr>
          <w:rFonts w:hint="eastAsia" w:ascii="宋体" w:hAnsi="宋体" w:cs="FZSSK--GBK1-00+ZBNFQH-7"/>
          <w:color w:val="000000" w:themeColor="text1"/>
          <w14:textFill>
            <w14:solidFill>
              <w14:schemeClr w14:val="tx1"/>
            </w14:solidFill>
          </w14:textFill>
        </w:rPr>
        <w:t>后</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J-12"/>
          <w:color w:val="000000" w:themeColor="text1"/>
          <w14:textFill>
            <w14:solidFill>
              <w14:schemeClr w14:val="tx1"/>
            </w14:solidFill>
          </w14:textFill>
        </w:rPr>
        <w:t>印</w:t>
      </w:r>
      <w:r>
        <w:rPr>
          <w:rFonts w:hint="eastAsia" w:ascii="宋体" w:hAnsi="宋体" w:cs="FZSSK--GBK1-00+ZBNFQT-26"/>
          <w:color w:val="000000" w:themeColor="text1"/>
          <w14:textFill>
            <w14:solidFill>
              <w14:schemeClr w14:val="tx1"/>
            </w14:solidFill>
          </w14:textFill>
        </w:rPr>
        <w:t>钞票</w:t>
      </w:r>
      <w:r>
        <w:rPr>
          <w:rFonts w:hint="eastAsia" w:ascii="宋体" w:hAnsi="宋体" w:cs="SSJ4+ZBNFQG-1"/>
          <w:color w:val="000000" w:themeColor="text1"/>
          <w14:textFill>
            <w14:solidFill>
              <w14:schemeClr w14:val="tx1"/>
            </w14:solidFill>
          </w14:textFill>
        </w:rPr>
        <w:t>来</w:t>
      </w:r>
      <w:r>
        <w:rPr>
          <w:rFonts w:hint="eastAsia" w:ascii="宋体" w:hAnsi="宋体" w:cs="FZSSK--GBK1-00+ZBNFQO-22"/>
          <w:color w:val="000000" w:themeColor="text1"/>
          <w14:textFill>
            <w14:solidFill>
              <w14:schemeClr w14:val="tx1"/>
            </w14:solidFill>
          </w14:textFill>
        </w:rPr>
        <w:t>换</w:t>
      </w:r>
      <w:r>
        <w:rPr>
          <w:rFonts w:hint="eastAsia" w:ascii="宋体" w:hAnsi="宋体" w:cs="FZSSK--GBK1-00+ZBNFQJ-13"/>
          <w:color w:val="000000" w:themeColor="text1"/>
          <w14:textFill>
            <w14:solidFill>
              <w14:schemeClr w14:val="tx1"/>
            </w14:solidFill>
          </w14:textFill>
        </w:rPr>
        <w:t>你</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商</w:t>
      </w:r>
      <w:r>
        <w:rPr>
          <w:rFonts w:hint="eastAsia" w:ascii="宋体" w:hAnsi="宋体" w:cs="FZSSK--GBK1-00+ZBNFQI-9"/>
          <w:color w:val="000000" w:themeColor="text1"/>
          <w14:textFill>
            <w14:solidFill>
              <w14:schemeClr w14:val="tx1"/>
            </w14:solidFill>
          </w14:textFill>
        </w:rPr>
        <w:t>品</w:t>
      </w:r>
      <w:r>
        <w:rPr>
          <w:rFonts w:hint="eastAsia" w:ascii="宋体" w:hAnsi="宋体" w:cs="SSJ4+ZBNFQG-1"/>
          <w:color w:val="000000" w:themeColor="text1"/>
          <w14:textFill>
            <w14:solidFill>
              <w14:schemeClr w14:val="tx1"/>
            </w14:solidFill>
          </w14:textFill>
        </w:rPr>
        <w:t>，</w:t>
      </w:r>
      <w:r>
        <w:rPr>
          <w:rFonts w:hint="eastAsia" w:ascii="宋体" w:hAnsi="宋体" w:cs="FZSSK--GBK1-00+ZBNFQJ-13"/>
          <w:color w:val="000000" w:themeColor="text1"/>
          <w14:textFill>
            <w14:solidFill>
              <w14:schemeClr w14:val="tx1"/>
            </w14:solidFill>
          </w14:textFill>
        </w:rPr>
        <w:t>你</w:t>
      </w:r>
      <w:r>
        <w:rPr>
          <w:rFonts w:hint="eastAsia" w:ascii="宋体" w:hAnsi="宋体" w:cs="FZSSK--GBK1-00+ZBNFQI-10"/>
          <w:color w:val="000000" w:themeColor="text1"/>
          <w14:textFill>
            <w14:solidFill>
              <w14:schemeClr w14:val="tx1"/>
            </w14:solidFill>
          </w14:textFill>
        </w:rPr>
        <w:t>把</w:t>
      </w:r>
      <w:r>
        <w:rPr>
          <w:rFonts w:hint="eastAsia" w:ascii="宋体" w:hAnsi="宋体" w:cs="FZSSK--GBK1-00+ZBNFQK-15"/>
          <w:color w:val="000000" w:themeColor="text1"/>
          <w14:textFill>
            <w14:solidFill>
              <w14:schemeClr w14:val="tx1"/>
            </w14:solidFill>
          </w14:textFill>
        </w:rPr>
        <w:t>赚</w:t>
      </w:r>
      <w:r>
        <w:rPr>
          <w:rFonts w:hint="eastAsia" w:ascii="宋体" w:hAnsi="宋体" w:cs="SSJ4+ZBNFQG-1"/>
          <w:color w:val="000000" w:themeColor="text1"/>
          <w14:textFill>
            <w14:solidFill>
              <w14:schemeClr w14:val="tx1"/>
            </w14:solidFill>
          </w14:textFill>
        </w:rPr>
        <w:t>来的</w:t>
      </w:r>
      <w:r>
        <w:rPr>
          <w:rFonts w:hint="eastAsia" w:ascii="宋体" w:hAnsi="宋体" w:cs="FZSSK--GBK1-00+ZBNFQI-10"/>
          <w:color w:val="000000" w:themeColor="text1"/>
          <w14:textFill>
            <w14:solidFill>
              <w14:schemeClr w14:val="tx1"/>
            </w14:solidFill>
          </w14:textFill>
        </w:rPr>
        <w:t>钱</w:t>
      </w:r>
      <w:r>
        <w:rPr>
          <w:rFonts w:hint="eastAsia" w:ascii="宋体" w:hAnsi="宋体" w:cs="FZSSK--GBK1-00+ZBNFQH-8"/>
          <w:color w:val="000000" w:themeColor="text1"/>
          <w14:textFill>
            <w14:solidFill>
              <w14:schemeClr w14:val="tx1"/>
            </w14:solidFill>
          </w14:textFill>
        </w:rPr>
        <w:t>又</w:t>
      </w:r>
      <w:r>
        <w:rPr>
          <w:rFonts w:hint="eastAsia" w:ascii="宋体" w:hAnsi="宋体" w:cs="FZSSK--GBK1-00+ZBNFQJ-13"/>
          <w:color w:val="000000" w:themeColor="text1"/>
          <w14:textFill>
            <w14:solidFill>
              <w14:schemeClr w14:val="tx1"/>
            </w14:solidFill>
          </w14:textFill>
        </w:rPr>
        <w:t>存</w:t>
      </w:r>
      <w:r>
        <w:rPr>
          <w:rFonts w:hint="eastAsia" w:ascii="宋体" w:hAnsi="宋体" w:cs="SSJ4+ZBNFQG-1"/>
          <w:color w:val="000000" w:themeColor="text1"/>
          <w14:textFill>
            <w14:solidFill>
              <w14:schemeClr w14:val="tx1"/>
            </w14:solidFill>
          </w14:textFill>
        </w:rPr>
        <w:t>在</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于</w:t>
      </w:r>
      <w:r>
        <w:rPr>
          <w:rFonts w:hint="eastAsia" w:ascii="宋体" w:hAnsi="宋体" w:cs="FZSSK--GBK1-00+ZBNFQH-8"/>
          <w:color w:val="000000" w:themeColor="text1"/>
          <w14:textFill>
            <w14:solidFill>
              <w14:schemeClr w14:val="tx1"/>
            </w14:solidFill>
          </w14:textFill>
        </w:rPr>
        <w:t>又</w:t>
      </w:r>
      <w:r>
        <w:rPr>
          <w:rFonts w:hint="eastAsia" w:ascii="宋体" w:hAnsi="宋体" w:cs="FZSSK--GBK1-00+ZBNFQQ-24"/>
          <w:color w:val="000000" w:themeColor="text1"/>
          <w14:textFill>
            <w14:solidFill>
              <w14:schemeClr w14:val="tx1"/>
            </w14:solidFill>
          </w14:textFill>
        </w:rPr>
        <w:t>借</w:t>
      </w:r>
      <w:r>
        <w:rPr>
          <w:rFonts w:hint="eastAsia" w:ascii="宋体" w:hAnsi="宋体" w:cs="FZSSK--GBK1-00+ZBNFQJ-12"/>
          <w:color w:val="000000" w:themeColor="text1"/>
          <w14:textFill>
            <w14:solidFill>
              <w14:schemeClr w14:val="tx1"/>
            </w14:solidFill>
          </w14:textFill>
        </w:rPr>
        <w:t>给</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用</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用</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时候还不</w:t>
      </w:r>
      <w:r>
        <w:rPr>
          <w:rFonts w:hint="eastAsia" w:ascii="宋体" w:hAnsi="宋体" w:cs="FZSSK--GBK1-00+ZBNFQJ-12"/>
          <w:color w:val="000000" w:themeColor="text1"/>
          <w14:textFill>
            <w14:solidFill>
              <w14:schemeClr w14:val="tx1"/>
            </w14:solidFill>
          </w14:textFill>
        </w:rPr>
        <w:t>给</w:t>
      </w:r>
      <w:r>
        <w:rPr>
          <w:rFonts w:hint="eastAsia" w:ascii="宋体" w:hAnsi="宋体" w:cs="FZSSK--GBK1-00+ZBNFQJ-13"/>
          <w:color w:val="000000" w:themeColor="text1"/>
          <w14:textFill>
            <w14:solidFill>
              <w14:schemeClr w14:val="tx1"/>
            </w14:solidFill>
          </w14:textFill>
        </w:rPr>
        <w:t>你</w:t>
      </w:r>
      <w:r>
        <w:rPr>
          <w:rFonts w:hint="eastAsia" w:ascii="宋体" w:hAnsi="宋体" w:cs="FZSSK--GBK1-00+ZBNFQI-9"/>
          <w:color w:val="000000" w:themeColor="text1"/>
          <w14:textFill>
            <w14:solidFill>
              <w14:schemeClr w14:val="tx1"/>
            </w14:solidFill>
          </w14:textFill>
        </w:rPr>
        <w:t>保</w:t>
      </w:r>
      <w:r>
        <w:rPr>
          <w:rFonts w:hint="eastAsia" w:ascii="宋体" w:hAnsi="宋体" w:cs="FZSSK--GBK1-00+ZBNFQI-10"/>
          <w:color w:val="000000" w:themeColor="text1"/>
          <w14:textFill>
            <w14:solidFill>
              <w14:schemeClr w14:val="tx1"/>
            </w14:solidFill>
          </w14:textFill>
        </w:rPr>
        <w:t>值</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增</w:t>
      </w:r>
      <w:r>
        <w:rPr>
          <w:rFonts w:hint="eastAsia" w:ascii="宋体" w:hAnsi="宋体" w:cs="FZSSK--GBK1-00+ZBNFQI-10"/>
          <w:color w:val="000000" w:themeColor="text1"/>
          <w14:textFill>
            <w14:solidFill>
              <w14:schemeClr w14:val="tx1"/>
            </w14:solidFill>
          </w14:textFill>
        </w:rPr>
        <w:t>值</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利息</w:t>
      </w:r>
      <w:r>
        <w:rPr>
          <w:rFonts w:hint="eastAsia" w:ascii="宋体" w:hAnsi="宋体" w:cs="SSJ4+ZBNFQG-1"/>
          <w:color w:val="000000" w:themeColor="text1"/>
          <w14:textFill>
            <w14:solidFill>
              <w14:schemeClr w14:val="tx1"/>
            </w14:solidFill>
          </w14:textFill>
        </w:rPr>
        <w:t>是</w:t>
      </w:r>
      <w:r>
        <w:rPr>
          <w:rFonts w:hint="eastAsia" w:ascii="宋体" w:hAnsi="宋体" w:cs="FZSSK--GBK1-00+ZBNFQJ-13"/>
          <w:color w:val="000000" w:themeColor="text1"/>
          <w14:textFill>
            <w14:solidFill>
              <w14:schemeClr w14:val="tx1"/>
            </w14:solidFill>
          </w14:textFill>
        </w:rPr>
        <w:t>负</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因</w:t>
      </w:r>
      <w:r>
        <w:rPr>
          <w:rFonts w:hint="eastAsia" w:ascii="宋体" w:hAnsi="宋体" w:cs="SSJ4+ZBNFQG-1"/>
          <w:color w:val="000000" w:themeColor="text1"/>
          <w14:textFill>
            <w14:solidFill>
              <w14:schemeClr w14:val="tx1"/>
            </w14:solidFill>
          </w14:textFill>
        </w:rPr>
        <w:t>为</w:t>
      </w:r>
      <w:r>
        <w:rPr>
          <w:rFonts w:hint="eastAsia" w:ascii="宋体" w:hAnsi="宋体" w:cs="FZSSK--GBK1-00+ZBNFQH-5"/>
          <w:color w:val="000000" w:themeColor="text1"/>
          <w14:textFill>
            <w14:solidFill>
              <w14:schemeClr w14:val="tx1"/>
            </w14:solidFill>
          </w14:textFill>
        </w:rPr>
        <w:t>它</w:t>
      </w:r>
      <w:r>
        <w:rPr>
          <w:rFonts w:hint="eastAsia" w:ascii="宋体" w:hAnsi="宋体" w:cs="SSJ4+ZBNFQG-1"/>
          <w:color w:val="000000" w:themeColor="text1"/>
          <w14:textFill>
            <w14:solidFill>
              <w14:schemeClr w14:val="tx1"/>
            </w14:solidFill>
          </w14:textFill>
        </w:rPr>
        <w:t>大</w:t>
      </w:r>
      <w:r>
        <w:rPr>
          <w:rFonts w:hint="eastAsia" w:ascii="宋体" w:hAnsi="宋体" w:cs="FZSSK--GBK1-00+ZBNFQH-5"/>
          <w:color w:val="000000" w:themeColor="text1"/>
          <w14:textFill>
            <w14:solidFill>
              <w14:schemeClr w14:val="tx1"/>
            </w14:solidFill>
          </w14:textFill>
        </w:rPr>
        <w:t>量</w:t>
      </w:r>
      <w:r>
        <w:rPr>
          <w:rFonts w:hint="eastAsia" w:ascii="宋体" w:hAnsi="宋体" w:cs="SSJ4+ZBNFQG-1"/>
          <w:color w:val="000000" w:themeColor="text1"/>
          <w14:textFill>
            <w14:solidFill>
              <w14:schemeClr w14:val="tx1"/>
            </w14:solidFill>
          </w14:textFill>
        </w:rPr>
        <w:t>发</w:t>
      </w:r>
      <w:r>
        <w:rPr>
          <w:rFonts w:hint="eastAsia" w:ascii="宋体" w:hAnsi="宋体" w:cs="FZSSK--GBK1-00+ZBNFQI-10"/>
          <w:color w:val="000000" w:themeColor="text1"/>
          <w14:textFill>
            <w14:solidFill>
              <w14:schemeClr w14:val="tx1"/>
            </w14:solidFill>
          </w14:textFill>
        </w:rPr>
        <w:t>行</w:t>
      </w:r>
      <w:r>
        <w:rPr>
          <w:rFonts w:hint="eastAsia" w:ascii="宋体" w:hAnsi="宋体" w:cs="FZSSK--GBK1-00+ZBNFQH-5"/>
          <w:color w:val="000000" w:themeColor="text1"/>
          <w14:textFill>
            <w14:solidFill>
              <w14:schemeClr w14:val="tx1"/>
            </w14:solidFill>
          </w14:textFill>
        </w:rPr>
        <w:t>美</w:t>
      </w:r>
      <w:r>
        <w:rPr>
          <w:rFonts w:hint="eastAsia" w:ascii="宋体" w:hAnsi="宋体" w:cs="FZSSK--GBK1-00+ZBNFQH-8"/>
          <w:color w:val="000000" w:themeColor="text1"/>
          <w14:textFill>
            <w14:solidFill>
              <w14:schemeClr w14:val="tx1"/>
            </w14:solidFill>
          </w14:textFill>
        </w:rPr>
        <w:t>元导致</w:t>
      </w:r>
      <w:r>
        <w:rPr>
          <w:rFonts w:hint="eastAsia" w:ascii="宋体" w:hAnsi="宋体" w:cs="FZSSK--GBK1-00+ZBNFQH-5"/>
          <w:color w:val="000000" w:themeColor="text1"/>
          <w14:textFill>
            <w14:solidFill>
              <w14:schemeClr w14:val="tx1"/>
            </w14:solidFill>
          </w14:textFill>
        </w:rPr>
        <w:t>美</w:t>
      </w:r>
      <w:r>
        <w:rPr>
          <w:rFonts w:hint="eastAsia" w:ascii="宋体" w:hAnsi="宋体" w:cs="FZSSK--GBK1-00+ZBNFQH-8"/>
          <w:color w:val="000000" w:themeColor="text1"/>
          <w14:textFill>
            <w14:solidFill>
              <w14:schemeClr w14:val="tx1"/>
            </w14:solidFill>
          </w14:textFill>
        </w:rPr>
        <w:t>元</w:t>
      </w:r>
      <w:r>
        <w:rPr>
          <w:rFonts w:hint="eastAsia" w:ascii="宋体" w:hAnsi="宋体" w:cs="FZSSK--GBK1-00+ZBNFQK-14"/>
          <w:color w:val="000000" w:themeColor="text1"/>
          <w14:textFill>
            <w14:solidFill>
              <w14:schemeClr w14:val="tx1"/>
            </w14:solidFill>
          </w14:textFill>
        </w:rPr>
        <w:t>贬</w:t>
      </w:r>
      <w:r>
        <w:rPr>
          <w:rFonts w:hint="eastAsia" w:ascii="宋体" w:hAnsi="宋体" w:cs="FZSSK--GBK1-00+ZBNFQI-10"/>
          <w:color w:val="000000" w:themeColor="text1"/>
          <w14:textFill>
            <w14:solidFill>
              <w14:schemeClr w14:val="tx1"/>
            </w14:solidFill>
          </w14:textFill>
        </w:rPr>
        <w:t>值</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到</w:t>
      </w:r>
      <w:r>
        <w:rPr>
          <w:rFonts w:hint="eastAsia" w:ascii="宋体" w:hAnsi="宋体" w:cs="FZSSK--GBK1-00+ZBNFQH-7"/>
          <w:color w:val="000000" w:themeColor="text1"/>
          <w14:textFill>
            <w14:solidFill>
              <w14:schemeClr w14:val="tx1"/>
            </w14:solidFill>
          </w14:textFill>
        </w:rPr>
        <w:t>最后</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它还</w:t>
      </w:r>
      <w:r>
        <w:rPr>
          <w:rFonts w:hint="eastAsia" w:ascii="宋体" w:hAnsi="宋体" w:cs="FZSSK--GBK1-00+ZBNFQL-16"/>
          <w:color w:val="000000" w:themeColor="text1"/>
          <w14:textFill>
            <w14:solidFill>
              <w14:schemeClr w14:val="tx1"/>
            </w14:solidFill>
          </w14:textFill>
        </w:rPr>
        <w:t>倒</w:t>
      </w:r>
      <w:r>
        <w:rPr>
          <w:rFonts w:hint="eastAsia" w:ascii="宋体" w:hAnsi="宋体" w:cs="FZSSK--GBK1-00+ZBNFQH-8"/>
          <w:color w:val="000000" w:themeColor="text1"/>
          <w14:textFill>
            <w14:solidFill>
              <w14:schemeClr w14:val="tx1"/>
            </w14:solidFill>
          </w14:textFill>
        </w:rPr>
        <w:t>打</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T-26"/>
          <w:color w:val="000000" w:themeColor="text1"/>
          <w14:textFill>
            <w14:solidFill>
              <w14:schemeClr w14:val="tx1"/>
            </w14:solidFill>
          </w14:textFill>
        </w:rPr>
        <w:t>耙</w:t>
      </w:r>
      <w:r>
        <w:rPr>
          <w:rFonts w:hint="eastAsia" w:ascii="宋体" w:hAnsi="宋体" w:cs="SSJ4+ZBNFQG-1"/>
          <w:color w:val="000000" w:themeColor="text1"/>
          <w14:textFill>
            <w14:solidFill>
              <w14:schemeClr w14:val="tx1"/>
            </w14:solidFill>
          </w14:textFill>
        </w:rPr>
        <w:t>，指</w:t>
      </w:r>
      <w:r>
        <w:rPr>
          <w:rFonts w:hint="eastAsia" w:ascii="宋体" w:hAnsi="宋体" w:cs="FZSSK--GBK1-00+ZBNFQJ-12"/>
          <w:color w:val="000000" w:themeColor="text1"/>
          <w14:textFill>
            <w14:solidFill>
              <w14:schemeClr w14:val="tx1"/>
            </w14:solidFill>
          </w14:textFill>
        </w:rPr>
        <w:t>控</w:t>
      </w:r>
      <w:r>
        <w:rPr>
          <w:rFonts w:hint="eastAsia" w:ascii="宋体" w:hAnsi="宋体" w:cs="FZSSK--GBK1-00+ZBNFQJ-13"/>
          <w:color w:val="000000" w:themeColor="text1"/>
          <w14:textFill>
            <w14:solidFill>
              <w14:schemeClr w14:val="tx1"/>
            </w14:solidFill>
          </w14:textFill>
        </w:rPr>
        <w:t>你</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I-9"/>
          <w:color w:val="000000" w:themeColor="text1"/>
          <w14:textFill>
            <w14:solidFill>
              <w14:schemeClr w14:val="tx1"/>
            </w14:solidFill>
          </w14:textFill>
        </w:rPr>
        <w:t>造</w:t>
      </w:r>
      <w:r>
        <w:rPr>
          <w:rFonts w:hint="eastAsia" w:ascii="宋体" w:hAnsi="宋体" w:cs="SSJ4+ZBNFQG-1"/>
          <w:color w:val="000000" w:themeColor="text1"/>
          <w14:textFill>
            <w14:solidFill>
              <w14:schemeClr w14:val="tx1"/>
            </w14:solidFill>
          </w14:textFill>
        </w:rPr>
        <w:t>了经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L-16"/>
          <w:color w:val="000000" w:themeColor="text1"/>
          <w14:textFill>
            <w14:solidFill>
              <w14:schemeClr w14:val="tx1"/>
            </w14:solidFill>
          </w14:textFill>
        </w:rPr>
        <w:t>失</w:t>
      </w:r>
      <w:r>
        <w:rPr>
          <w:rFonts w:hint="eastAsia" w:ascii="宋体" w:hAnsi="宋体" w:cs="FZSSK--GBK1-00+ZBNFQQ-24"/>
          <w:color w:val="000000" w:themeColor="text1"/>
          <w14:textFill>
            <w14:solidFill>
              <w14:schemeClr w14:val="tx1"/>
            </w14:solidFill>
          </w14:textFill>
        </w:rPr>
        <w:t>衡</w:t>
      </w:r>
      <w:r>
        <w:rPr>
          <w:rFonts w:hint="eastAsia" w:ascii="宋体" w:hAnsi="宋体" w:cs="SSJ0+ZBNFQG-4"/>
          <w:color w:val="000000" w:themeColor="text1"/>
          <w14:textFill>
            <w14:solidFill>
              <w14:schemeClr w14:val="tx1"/>
            </w14:solidFill>
          </w14:textFill>
        </w:rPr>
        <w:t>。</w:t>
      </w:r>
    </w:p>
    <w:p w14:paraId="50F269F5">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展</w:t>
      </w:r>
      <w:r>
        <w:rPr>
          <w:rFonts w:hint="eastAsia" w:ascii="宋体" w:hAnsi="宋体" w:cs="FZSSK--GBK1-00+ZBNFQK-14"/>
          <w:color w:val="000000" w:themeColor="text1"/>
          <w14:textFill>
            <w14:solidFill>
              <w14:schemeClr w14:val="tx1"/>
            </w14:solidFill>
          </w14:textFill>
        </w:rPr>
        <w:t>望</w:t>
      </w:r>
      <w:r>
        <w:rPr>
          <w:rFonts w:hint="eastAsia" w:ascii="宋体" w:hAnsi="宋体" w:cs="FZSSK--GBK1-00+ZBNFQH-8"/>
          <w:color w:val="000000" w:themeColor="text1"/>
          <w14:textFill>
            <w14:solidFill>
              <w14:schemeClr w14:val="tx1"/>
            </w14:solidFill>
          </w14:textFill>
        </w:rPr>
        <w:t>未</w:t>
      </w:r>
      <w:r>
        <w:rPr>
          <w:rFonts w:hint="eastAsia" w:ascii="宋体" w:hAnsi="宋体" w:cs="SSJ4+ZBNFQG-1"/>
          <w:color w:val="000000" w:themeColor="text1"/>
          <w14:textFill>
            <w14:solidFill>
              <w14:schemeClr w14:val="tx1"/>
            </w14:solidFill>
          </w14:textFill>
        </w:rPr>
        <w:t>来，</w:t>
      </w:r>
      <w:r>
        <w:rPr>
          <w:rFonts w:hint="eastAsia" w:ascii="宋体" w:hAnsi="宋体" w:cs="FZSSK--GBK1-00+ZBNFQH-7"/>
          <w:color w:val="000000" w:themeColor="text1"/>
          <w14:textFill>
            <w14:solidFill>
              <w14:schemeClr w14:val="tx1"/>
            </w14:solidFill>
          </w14:textFill>
        </w:rPr>
        <w:t>超</w:t>
      </w:r>
      <w:r>
        <w:rPr>
          <w:rFonts w:hint="eastAsia" w:ascii="宋体" w:hAnsi="宋体" w:cs="FZSSK--GBK1-00+ZBNFQH-8"/>
          <w:color w:val="000000" w:themeColor="text1"/>
          <w14:textFill>
            <w14:solidFill>
              <w14:schemeClr w14:val="tx1"/>
            </w14:solidFill>
          </w14:textFill>
        </w:rPr>
        <w:t>越</w:t>
      </w:r>
      <w:r>
        <w:rPr>
          <w:rFonts w:hint="eastAsia" w:ascii="宋体" w:hAnsi="宋体" w:cs="FZSSK--GBK1-00+ZBNFQH-5"/>
          <w:color w:val="000000" w:themeColor="text1"/>
          <w14:textFill>
            <w14:solidFill>
              <w14:schemeClr w14:val="tx1"/>
            </w14:solidFill>
          </w14:textFill>
        </w:rPr>
        <w:t>霸权</w:t>
      </w:r>
      <w:r>
        <w:rPr>
          <w:rFonts w:hint="eastAsia" w:ascii="宋体" w:hAnsi="宋体" w:cs="FZSSK--GBK1-00+ZBNFQH-7"/>
          <w:color w:val="000000" w:themeColor="text1"/>
          <w14:textFill>
            <w14:solidFill>
              <w14:schemeClr w14:val="tx1"/>
            </w14:solidFill>
          </w14:textFill>
        </w:rPr>
        <w:t>治</w:t>
      </w:r>
      <w:r>
        <w:rPr>
          <w:rFonts w:hint="eastAsia" w:ascii="宋体" w:hAnsi="宋体" w:cs="FZSSK--GBK1-00+ZBNFQI-9"/>
          <w:color w:val="000000" w:themeColor="text1"/>
          <w14:textFill>
            <w14:solidFill>
              <w14:schemeClr w14:val="tx1"/>
            </w14:solidFill>
          </w14:textFill>
        </w:rPr>
        <w:t>理</w:t>
      </w:r>
      <w:r>
        <w:rPr>
          <w:rFonts w:hint="eastAsia" w:ascii="宋体" w:hAnsi="宋体" w:cs="SSJ0+ZBNFQG-4"/>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5"/>
          <w:color w:val="000000" w:themeColor="text1"/>
          <w14:textFill>
            <w14:solidFill>
              <w14:schemeClr w14:val="tx1"/>
            </w14:solidFill>
          </w14:textFill>
        </w:rPr>
        <w:t>现全</w:t>
      </w:r>
      <w:r>
        <w:rPr>
          <w:rFonts w:hint="eastAsia" w:ascii="宋体" w:hAnsi="宋体" w:cs="FZSSK--GBK1-00+ZBNFQH-8"/>
          <w:color w:val="000000" w:themeColor="text1"/>
          <w14:textFill>
            <w14:solidFill>
              <w14:schemeClr w14:val="tx1"/>
            </w14:solidFill>
          </w14:textFill>
        </w:rPr>
        <w:t>球</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济政治</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主</w:t>
      </w:r>
      <w:r>
        <w:rPr>
          <w:rFonts w:hint="eastAsia" w:ascii="宋体" w:hAnsi="宋体" w:cs="FZSSK--GBK1-00+ZBNFQH-7"/>
          <w:color w:val="000000" w:themeColor="text1"/>
          <w14:textFill>
            <w14:solidFill>
              <w14:schemeClr w14:val="tx1"/>
            </w14:solidFill>
          </w14:textFill>
        </w:rPr>
        <w:t>治</w:t>
      </w:r>
      <w:r>
        <w:rPr>
          <w:rFonts w:hint="eastAsia" w:ascii="宋体" w:hAnsi="宋体" w:cs="FZSSK--GBK1-00+ZBNFQI-9"/>
          <w:color w:val="000000" w:themeColor="text1"/>
          <w14:textFill>
            <w14:solidFill>
              <w14:schemeClr w14:val="tx1"/>
            </w14:solidFill>
          </w14:textFill>
        </w:rPr>
        <w:t>理</w:t>
      </w:r>
      <w:r>
        <w:rPr>
          <w:rFonts w:hint="eastAsia" w:ascii="宋体" w:hAnsi="宋体" w:cs="SSJ4+ZBNFQG-1"/>
          <w:color w:val="000000" w:themeColor="text1"/>
          <w14:textFill>
            <w14:solidFill>
              <w14:schemeClr w14:val="tx1"/>
            </w14:solidFill>
          </w14:textFill>
        </w:rPr>
        <w:t>，</w:t>
      </w:r>
      <w:r>
        <w:rPr>
          <w:rFonts w:hint="eastAsia" w:ascii="宋体" w:hAnsi="宋体" w:cs="FZSSK--GBK1-00+ZBNFQL-16"/>
          <w:color w:val="000000" w:themeColor="text1"/>
          <w14:textFill>
            <w14:solidFill>
              <w14:schemeClr w14:val="tx1"/>
            </w14:solidFill>
          </w14:textFill>
        </w:rPr>
        <w:t>任</w:t>
      </w:r>
      <w:r>
        <w:rPr>
          <w:rFonts w:hint="eastAsia" w:ascii="宋体" w:hAnsi="宋体" w:cs="SSJ4+ZBNFQG-1"/>
          <w:color w:val="000000" w:themeColor="text1"/>
          <w14:textFill>
            <w14:solidFill>
              <w14:schemeClr w14:val="tx1"/>
            </w14:solidFill>
          </w14:textFill>
        </w:rPr>
        <w:t>重而</w:t>
      </w:r>
      <w:r>
        <w:rPr>
          <w:rFonts w:hint="eastAsia" w:ascii="宋体" w:hAnsi="宋体" w:cs="FZSSK--GBK1-00+ZBNFQH-7"/>
          <w:color w:val="000000" w:themeColor="text1"/>
          <w14:textFill>
            <w14:solidFill>
              <w14:schemeClr w14:val="tx1"/>
            </w14:solidFill>
          </w14:textFill>
        </w:rPr>
        <w:t>道</w:t>
      </w:r>
      <w:r>
        <w:rPr>
          <w:rFonts w:hint="eastAsia" w:ascii="宋体" w:hAnsi="宋体" w:cs="FZSSK--GBK1-00+ZBNFQI-10"/>
          <w:color w:val="000000" w:themeColor="text1"/>
          <w14:textFill>
            <w14:solidFill>
              <w14:schemeClr w14:val="tx1"/>
            </w14:solidFill>
          </w14:textFill>
        </w:rPr>
        <w:t>远</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为了</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I-10"/>
          <w:color w:val="000000" w:themeColor="text1"/>
          <w14:textFill>
            <w14:solidFill>
              <w14:schemeClr w14:val="tx1"/>
            </w14:solidFill>
          </w14:textFill>
        </w:rPr>
        <w:t>升</w:t>
      </w:r>
      <w:r>
        <w:rPr>
          <w:rFonts w:hint="eastAsia" w:ascii="宋体" w:hAnsi="宋体" w:cs="FZSSK--GBK1-00+ZBNFQH-5"/>
          <w:color w:val="000000" w:themeColor="text1"/>
          <w14:textFill>
            <w14:solidFill>
              <w14:schemeClr w14:val="tx1"/>
            </w14:solidFill>
          </w14:textFill>
        </w:rPr>
        <w:t>现时</w:t>
      </w:r>
      <w:r>
        <w:rPr>
          <w:rFonts w:hint="eastAsia" w:ascii="宋体" w:hAnsi="宋体" w:cs="SSJ4+ZBNFQG-1"/>
          <w:color w:val="000000" w:themeColor="text1"/>
          <w14:textFill>
            <w14:solidFill>
              <w14:schemeClr w14:val="tx1"/>
            </w14:solidFill>
          </w14:textFill>
        </w:rPr>
        <w:t>期</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济政治</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主</w:t>
      </w:r>
      <w:r>
        <w:rPr>
          <w:rFonts w:hint="eastAsia" w:ascii="宋体" w:hAnsi="宋体" w:cs="FZSSK--GBK1-00+ZBNFQH-7"/>
          <w:color w:val="000000" w:themeColor="text1"/>
          <w14:textFill>
            <w14:solidFill>
              <w14:schemeClr w14:val="tx1"/>
            </w14:solidFill>
          </w14:textFill>
        </w:rPr>
        <w:t>治</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K-14"/>
          <w:color w:val="000000" w:themeColor="text1"/>
          <w14:textFill>
            <w14:solidFill>
              <w14:schemeClr w14:val="tx1"/>
            </w14:solidFill>
          </w14:textFill>
        </w:rPr>
        <w:t>水</w:t>
      </w:r>
      <w:r>
        <w:rPr>
          <w:rFonts w:hint="eastAsia" w:ascii="宋体" w:hAnsi="宋体" w:cs="FZSSK--GBK1-00+ZBNFQH-5"/>
          <w:color w:val="000000" w:themeColor="text1"/>
          <w14:textFill>
            <w14:solidFill>
              <w14:schemeClr w14:val="tx1"/>
            </w14:solidFill>
          </w14:textFill>
        </w:rPr>
        <w:t>平</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K-14"/>
          <w:color w:val="000000" w:themeColor="text1"/>
          <w14:textFill>
            <w14:solidFill>
              <w14:schemeClr w14:val="tx1"/>
            </w14:solidFill>
          </w14:textFill>
        </w:rPr>
        <w:t>须</w:t>
      </w:r>
      <w:r>
        <w:rPr>
          <w:rFonts w:hint="eastAsia" w:ascii="宋体" w:hAnsi="宋体" w:cs="SSJ4+ZBNFQG-1"/>
          <w:color w:val="000000" w:themeColor="text1"/>
          <w14:textFill>
            <w14:solidFill>
              <w14:schemeClr w14:val="tx1"/>
            </w14:solidFill>
          </w14:textFill>
        </w:rPr>
        <w:t>首先</w:t>
      </w:r>
      <w:r>
        <w:rPr>
          <w:rFonts w:hint="eastAsia" w:ascii="宋体" w:hAnsi="宋体" w:cs="FZSSK--GBK1-00+ZBNFQI-10"/>
          <w:color w:val="000000" w:themeColor="text1"/>
          <w14:textFill>
            <w14:solidFill>
              <w14:schemeClr w14:val="tx1"/>
            </w14:solidFill>
          </w14:textFill>
        </w:rPr>
        <w:t>改</w:t>
      </w:r>
      <w:r>
        <w:rPr>
          <w:rFonts w:hint="eastAsia" w:ascii="宋体" w:hAnsi="宋体" w:cs="SSJ4+ZBNFQG-1"/>
          <w:color w:val="000000" w:themeColor="text1"/>
          <w14:textFill>
            <w14:solidFill>
              <w14:schemeClr w14:val="tx1"/>
            </w14:solidFill>
          </w14:textFill>
        </w:rPr>
        <w:t>革</w:t>
      </w:r>
      <w:r>
        <w:rPr>
          <w:rFonts w:hint="eastAsia" w:ascii="宋体" w:hAnsi="宋体" w:cs="FZSSK--GBK1-00+ZBNFQH-7"/>
          <w:color w:val="000000" w:themeColor="text1"/>
          <w14:textFill>
            <w14:solidFill>
              <w14:schemeClr w14:val="tx1"/>
            </w14:solidFill>
          </w14:textFill>
        </w:rPr>
        <w:t>联</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国以</w:t>
      </w:r>
      <w:r>
        <w:rPr>
          <w:rFonts w:hint="eastAsia" w:ascii="宋体" w:hAnsi="宋体" w:cs="FZSSK--GBK1-00+ZBNFQI-9"/>
          <w:color w:val="000000" w:themeColor="text1"/>
          <w14:textFill>
            <w14:solidFill>
              <w14:schemeClr w14:val="tx1"/>
            </w14:solidFill>
          </w14:textFill>
        </w:rPr>
        <w:t>及</w:t>
      </w:r>
      <w:r>
        <w:rPr>
          <w:rFonts w:hint="eastAsia" w:ascii="宋体" w:hAnsi="宋体" w:cs="SSJ4+ZBNFQG-1"/>
          <w:color w:val="000000" w:themeColor="text1"/>
          <w14:textFill>
            <w14:solidFill>
              <w14:schemeClr w14:val="tx1"/>
            </w14:solidFill>
          </w14:textFill>
        </w:rPr>
        <w:t>国际</w:t>
      </w:r>
      <w:r>
        <w:rPr>
          <w:rFonts w:hint="eastAsia" w:ascii="宋体" w:hAnsi="宋体" w:cs="FZSSK--GBK1-00+ZBNFQK-14"/>
          <w:color w:val="000000" w:themeColor="text1"/>
          <w14:textFill>
            <w14:solidFill>
              <w14:schemeClr w14:val="tx1"/>
            </w14:solidFill>
          </w14:textFill>
        </w:rPr>
        <w:t>货币</w:t>
      </w:r>
      <w:r>
        <w:rPr>
          <w:rFonts w:hint="eastAsia" w:ascii="宋体" w:hAnsi="宋体" w:cs="FZSSK--GBK1-00+ZBNFQI-9"/>
          <w:color w:val="000000" w:themeColor="text1"/>
          <w14:textFill>
            <w14:solidFill>
              <w14:schemeClr w14:val="tx1"/>
            </w14:solidFill>
          </w14:textFill>
        </w:rPr>
        <w:t>基</w:t>
      </w:r>
      <w:r>
        <w:rPr>
          <w:rFonts w:hint="eastAsia" w:ascii="宋体" w:hAnsi="宋体" w:cs="FZSSK--GBK1-00+ZBNFQH-5"/>
          <w:color w:val="000000" w:themeColor="text1"/>
          <w14:textFill>
            <w14:solidFill>
              <w14:schemeClr w14:val="tx1"/>
            </w14:solidFill>
          </w14:textFill>
        </w:rPr>
        <w:t>金</w:t>
      </w:r>
      <w:r>
        <w:rPr>
          <w:rFonts w:hint="eastAsia" w:ascii="宋体" w:hAnsi="宋体" w:cs="FZSSK--GBK1-00+ZBNFQJ-12"/>
          <w:color w:val="000000" w:themeColor="text1"/>
          <w14:textFill>
            <w14:solidFill>
              <w14:schemeClr w14:val="tx1"/>
            </w14:solidFill>
          </w14:textFill>
        </w:rPr>
        <w:t>组织</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国际机</w:t>
      </w:r>
      <w:r>
        <w:rPr>
          <w:rFonts w:hint="eastAsia" w:ascii="宋体" w:hAnsi="宋体" w:cs="FZSSK--GBK1-00+ZBNFQN-20"/>
          <w:color w:val="000000" w:themeColor="text1"/>
          <w14:textFill>
            <w14:solidFill>
              <w14:schemeClr w14:val="tx1"/>
            </w14:solidFill>
          </w14:textFill>
        </w:rPr>
        <w:t>构</w:t>
      </w:r>
      <w:r>
        <w:rPr>
          <w:rFonts w:hint="eastAsia" w:ascii="宋体" w:hAnsi="宋体" w:cs="SSJ4+ZBNFQG-1"/>
          <w:color w:val="000000" w:themeColor="text1"/>
          <w14:textFill>
            <w14:solidFill>
              <w14:schemeClr w14:val="tx1"/>
            </w14:solidFill>
          </w14:textFill>
        </w:rPr>
        <w:t>，</w:t>
      </w:r>
      <w:r>
        <w:rPr>
          <w:rFonts w:hint="eastAsia" w:ascii="宋体" w:hAnsi="宋体" w:cs="FZSSK--GBK1-00+ZBNFQN-20"/>
          <w:color w:val="000000" w:themeColor="text1"/>
          <w14:textFill>
            <w14:solidFill>
              <w14:schemeClr w14:val="tx1"/>
            </w14:solidFill>
          </w14:textFill>
        </w:rPr>
        <w:t>构</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H-7"/>
          <w:color w:val="000000" w:themeColor="text1"/>
          <w14:textFill>
            <w14:solidFill>
              <w14:schemeClr w14:val="tx1"/>
            </w14:solidFill>
          </w14:textFill>
        </w:rPr>
        <w:t>联</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国主</w:t>
      </w:r>
      <w:r>
        <w:rPr>
          <w:rFonts w:hint="eastAsia" w:ascii="宋体" w:hAnsi="宋体" w:cs="FZSSK--GBK1-00+ZBNFQH-8"/>
          <w:color w:val="000000" w:themeColor="text1"/>
          <w14:textFill>
            <w14:solidFill>
              <w14:schemeClr w14:val="tx1"/>
            </w14:solidFill>
          </w14:textFill>
        </w:rPr>
        <w:t>导</w:t>
      </w:r>
      <w:r>
        <w:rPr>
          <w:rFonts w:hint="eastAsia" w:ascii="宋体" w:hAnsi="宋体" w:cs="FZSSK--GBK1-00+ZBNFQJ-12"/>
          <w:color w:val="000000" w:themeColor="text1"/>
          <w14:textFill>
            <w14:solidFill>
              <w14:schemeClr w14:val="tx1"/>
            </w14:solidFill>
          </w14:textFill>
        </w:rPr>
        <w:t>型</w:t>
      </w:r>
      <w:r>
        <w:rPr>
          <w:rFonts w:hint="eastAsia" w:ascii="宋体" w:hAnsi="宋体" w:cs="FZSSK--GBK1-00+ZBNFQH-7"/>
          <w:color w:val="000000" w:themeColor="text1"/>
          <w14:textFill>
            <w14:solidFill>
              <w14:schemeClr w14:val="tx1"/>
            </w14:solidFill>
          </w14:textFill>
        </w:rPr>
        <w:t>治</w:t>
      </w:r>
      <w:r>
        <w:rPr>
          <w:rFonts w:hint="eastAsia" w:ascii="宋体" w:hAnsi="宋体" w:cs="FZSSK--GBK1-00+ZBNFQI-9"/>
          <w:color w:val="000000" w:themeColor="text1"/>
          <w14:textFill>
            <w14:solidFill>
              <w14:schemeClr w14:val="tx1"/>
            </w14:solidFill>
          </w14:textFill>
        </w:rPr>
        <w:t>理</w:t>
      </w:r>
      <w:r>
        <w:rPr>
          <w:rFonts w:hint="eastAsia" w:ascii="宋体" w:hAnsi="宋体" w:cs="FZSSK--GBK1-00+ZBNFQT-26"/>
          <w:color w:val="000000" w:themeColor="text1"/>
          <w14:textFill>
            <w14:solidFill>
              <w14:schemeClr w14:val="tx1"/>
            </w14:solidFill>
          </w14:textFill>
        </w:rPr>
        <w:t>框</w:t>
      </w:r>
      <w:r>
        <w:rPr>
          <w:rFonts w:hint="eastAsia" w:ascii="宋体" w:hAnsi="宋体" w:cs="FZSSK--GBK1-00+ZBNFQQ-24"/>
          <w:color w:val="000000" w:themeColor="text1"/>
          <w14:textFill>
            <w14:solidFill>
              <w14:schemeClr w14:val="tx1"/>
            </w14:solidFill>
          </w14:textFill>
        </w:rPr>
        <w:t>架</w:t>
      </w:r>
      <w:r>
        <w:rPr>
          <w:rFonts w:hint="eastAsia" w:ascii="宋体" w:hAnsi="宋体" w:cs="SSJ0+ZBNFQG-4"/>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I-10"/>
          <w:color w:val="000000" w:themeColor="text1"/>
          <w14:textFill>
            <w14:solidFill>
              <w14:schemeClr w14:val="tx1"/>
            </w14:solidFill>
          </w14:textFill>
        </w:rPr>
        <w:t>改</w:t>
      </w:r>
      <w:r>
        <w:rPr>
          <w:rFonts w:hint="eastAsia" w:ascii="宋体" w:hAnsi="宋体" w:cs="SSJ4+ZBNFQG-1"/>
          <w:color w:val="000000" w:themeColor="text1"/>
          <w14:textFill>
            <w14:solidFill>
              <w14:schemeClr w14:val="tx1"/>
            </w14:solidFill>
          </w14:textFill>
        </w:rPr>
        <w:t>革</w:t>
      </w:r>
      <w:r>
        <w:rPr>
          <w:rFonts w:hint="eastAsia" w:ascii="宋体" w:hAnsi="宋体" w:cs="FZSSK--GBK1-00+ZBNFQH-7"/>
          <w:color w:val="000000" w:themeColor="text1"/>
          <w14:textFill>
            <w14:solidFill>
              <w14:schemeClr w14:val="tx1"/>
            </w14:solidFill>
          </w14:textFill>
        </w:rPr>
        <w:t>联</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国</w:t>
      </w:r>
      <w:r>
        <w:rPr>
          <w:rFonts w:hint="eastAsia" w:ascii="宋体" w:hAnsi="宋体" w:cs="FZSSK--GBK1-00+ZBNFQI-9"/>
          <w:color w:val="000000" w:themeColor="text1"/>
          <w14:textFill>
            <w14:solidFill>
              <w14:schemeClr w14:val="tx1"/>
            </w14:solidFill>
          </w14:textFill>
        </w:rPr>
        <w:t>安理</w:t>
      </w:r>
      <w:r>
        <w:rPr>
          <w:rFonts w:hint="eastAsia" w:ascii="宋体" w:hAnsi="宋体" w:cs="FZSSK--GBK1-00+ZBNFQH-5"/>
          <w:color w:val="000000" w:themeColor="text1"/>
          <w14:textFill>
            <w14:solidFill>
              <w14:schemeClr w14:val="tx1"/>
            </w14:solidFill>
          </w14:textFill>
        </w:rPr>
        <w:t>会</w:t>
      </w:r>
      <w:r>
        <w:rPr>
          <w:rFonts w:hint="eastAsia" w:ascii="宋体" w:hAnsi="宋体" w:cs="SSJ4+ZBNFQG-1"/>
          <w:color w:val="000000" w:themeColor="text1"/>
          <w14:textFill>
            <w14:solidFill>
              <w14:schemeClr w14:val="tx1"/>
            </w14:solidFill>
          </w14:textFill>
        </w:rPr>
        <w:t>的</w:t>
      </w:r>
      <w:r>
        <w:rPr>
          <w:rFonts w:hint="eastAsia" w:ascii="宋体" w:hAnsi="宋体" w:cs="FZSSK--GBK1-00+ZBNFQN-20"/>
          <w:color w:val="000000" w:themeColor="text1"/>
          <w14:textFill>
            <w14:solidFill>
              <w14:schemeClr w14:val="tx1"/>
            </w14:solidFill>
          </w14:textFill>
        </w:rPr>
        <w:t>构</w:t>
      </w:r>
      <w:r>
        <w:rPr>
          <w:rFonts w:hint="eastAsia" w:ascii="宋体" w:hAnsi="宋体" w:cs="FZSSK--GBK1-00+ZBNFQI-9"/>
          <w:color w:val="000000" w:themeColor="text1"/>
          <w14:textFill>
            <w14:solidFill>
              <w14:schemeClr w14:val="tx1"/>
            </w14:solidFill>
          </w14:textFill>
        </w:rPr>
        <w:t>成</w:t>
      </w:r>
      <w:r>
        <w:rPr>
          <w:rFonts w:hint="eastAsia" w:ascii="宋体" w:hAnsi="宋体" w:cs="SSJ4+ZBNFQG-1"/>
          <w:color w:val="000000" w:themeColor="text1"/>
          <w14:textFill>
            <w14:solidFill>
              <w14:schemeClr w14:val="tx1"/>
            </w14:solidFill>
          </w14:textFill>
        </w:rPr>
        <w:t>和机</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增加</w:t>
      </w:r>
      <w:r>
        <w:rPr>
          <w:rFonts w:hint="eastAsia" w:ascii="宋体" w:hAnsi="宋体" w:cs="SSJ4+ZBNFQG-1"/>
          <w:color w:val="000000" w:themeColor="text1"/>
          <w14:textFill>
            <w14:solidFill>
              <w14:schemeClr w14:val="tx1"/>
            </w14:solidFill>
          </w14:textFill>
        </w:rPr>
        <w:t>发展中国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理事</w:t>
      </w:r>
      <w:r>
        <w:rPr>
          <w:rFonts w:hint="eastAsia" w:ascii="宋体" w:hAnsi="宋体" w:cs="FZSSK--GBK1-00+ZBNFQM-17"/>
          <w:color w:val="000000" w:themeColor="text1"/>
          <w14:textFill>
            <w14:solidFill>
              <w14:schemeClr w14:val="tx1"/>
            </w14:solidFill>
          </w14:textFill>
        </w:rPr>
        <w:t>名</w:t>
      </w:r>
      <w:r>
        <w:rPr>
          <w:rFonts w:hint="eastAsia" w:ascii="宋体" w:hAnsi="宋体" w:cs="FZSSK--GBK1-00+ZBNFQK-14"/>
          <w:color w:val="000000" w:themeColor="text1"/>
          <w14:textFill>
            <w14:solidFill>
              <w14:schemeClr w14:val="tx1"/>
            </w14:solidFill>
          </w14:textFill>
        </w:rPr>
        <w:t>额</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激</w:t>
      </w:r>
      <w:r>
        <w:rPr>
          <w:rFonts w:hint="eastAsia" w:ascii="宋体" w:hAnsi="宋体" w:cs="FZSSK--GBK1-00+ZBNFQQ-24"/>
          <w:color w:val="000000" w:themeColor="text1"/>
          <w14:textFill>
            <w14:solidFill>
              <w14:schemeClr w14:val="tx1"/>
            </w14:solidFill>
          </w14:textFill>
        </w:rPr>
        <w:t>励</w:t>
      </w:r>
      <w:r>
        <w:rPr>
          <w:rFonts w:hint="eastAsia" w:ascii="宋体" w:hAnsi="宋体" w:cs="SSJ4+ZBNFQG-1"/>
          <w:color w:val="000000" w:themeColor="text1"/>
          <w14:textFill>
            <w14:solidFill>
              <w14:schemeClr w14:val="tx1"/>
            </w14:solidFill>
          </w14:textFill>
        </w:rPr>
        <w:t>世界</w:t>
      </w:r>
      <w:r>
        <w:rPr>
          <w:rFonts w:hint="eastAsia" w:ascii="宋体" w:hAnsi="宋体" w:cs="FZSSK--GBK1-00+ZBNFQH-7"/>
          <w:color w:val="000000" w:themeColor="text1"/>
          <w14:textFill>
            <w14:solidFill>
              <w14:schemeClr w14:val="tx1"/>
            </w14:solidFill>
          </w14:textFill>
        </w:rPr>
        <w:t>各</w:t>
      </w:r>
      <w:r>
        <w:rPr>
          <w:rFonts w:hint="eastAsia" w:ascii="宋体" w:hAnsi="宋体" w:cs="SSJ4+ZBNFQG-1"/>
          <w:color w:val="000000" w:themeColor="text1"/>
          <w14:textFill>
            <w14:solidFill>
              <w14:schemeClr w14:val="tx1"/>
            </w14:solidFill>
          </w14:textFill>
        </w:rPr>
        <w:t>国和</w:t>
      </w:r>
      <w:r>
        <w:rPr>
          <w:rFonts w:hint="eastAsia" w:ascii="宋体" w:hAnsi="宋体" w:cs="FZSSK--GBK1-00+ZBNFQI-10"/>
          <w:color w:val="000000" w:themeColor="text1"/>
          <w14:textFill>
            <w14:solidFill>
              <w14:schemeClr w14:val="tx1"/>
            </w14:solidFill>
          </w14:textFill>
        </w:rPr>
        <w:t>地区</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政治</w:t>
      </w:r>
      <w:r>
        <w:rPr>
          <w:rFonts w:hint="eastAsia" w:ascii="宋体" w:hAnsi="宋体" w:cs="FZSSK--GBK1-00+ZBNFQI-10"/>
          <w:color w:val="000000" w:themeColor="text1"/>
          <w14:textFill>
            <w14:solidFill>
              <w14:schemeClr w14:val="tx1"/>
            </w14:solidFill>
          </w14:textFill>
        </w:rPr>
        <w:t>实</w:t>
      </w:r>
      <w:r>
        <w:rPr>
          <w:rFonts w:hint="eastAsia" w:ascii="宋体" w:hAnsi="宋体" w:cs="FZSSK--GBK1-00+ZBNFQH-7"/>
          <w:color w:val="000000" w:themeColor="text1"/>
          <w14:textFill>
            <w14:solidFill>
              <w14:schemeClr w14:val="tx1"/>
            </w14:solidFill>
          </w14:textFill>
        </w:rPr>
        <w:t>体</w:t>
      </w:r>
      <w:r>
        <w:rPr>
          <w:rFonts w:hint="eastAsia" w:ascii="宋体" w:hAnsi="宋体" w:cs="FZSSK--GBK1-00+ZBNFQI-10"/>
          <w:color w:val="000000" w:themeColor="text1"/>
          <w14:textFill>
            <w14:solidFill>
              <w14:schemeClr w14:val="tx1"/>
            </w14:solidFill>
          </w14:textFill>
        </w:rPr>
        <w:t>共</w:t>
      </w:r>
      <w:r>
        <w:rPr>
          <w:rFonts w:hint="eastAsia" w:ascii="宋体" w:hAnsi="宋体" w:cs="SSJ4+ZBNFQG-1"/>
          <w:color w:val="000000" w:themeColor="text1"/>
          <w14:textFill>
            <w14:solidFill>
              <w14:schemeClr w14:val="tx1"/>
            </w14:solidFill>
          </w14:textFill>
        </w:rPr>
        <w:t>同</w:t>
      </w:r>
      <w:r>
        <w:rPr>
          <w:rFonts w:hint="eastAsia" w:ascii="宋体" w:hAnsi="宋体" w:cs="FZSSK--GBK1-00+ZBNFQL-16"/>
          <w:color w:val="000000" w:themeColor="text1"/>
          <w14:textFill>
            <w14:solidFill>
              <w14:schemeClr w14:val="tx1"/>
            </w14:solidFill>
          </w14:textFill>
        </w:rPr>
        <w:t>参</w:t>
      </w:r>
      <w:r>
        <w:rPr>
          <w:rFonts w:hint="eastAsia" w:ascii="宋体" w:hAnsi="宋体" w:cs="FZSSK--GBK1-00+ZBNFQH-7"/>
          <w:color w:val="000000" w:themeColor="text1"/>
          <w14:textFill>
            <w14:solidFill>
              <w14:schemeClr w14:val="tx1"/>
            </w14:solidFill>
          </w14:textFill>
        </w:rPr>
        <w:t>与</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FZSSK--GBK1-00+ZBNFQI-9"/>
          <w:color w:val="000000" w:themeColor="text1"/>
          <w14:textFill>
            <w14:solidFill>
              <w14:schemeClr w14:val="tx1"/>
            </w14:solidFill>
          </w14:textFill>
        </w:rPr>
        <w:t>事务</w:t>
      </w:r>
      <w:r>
        <w:rPr>
          <w:rFonts w:hint="eastAsia" w:ascii="宋体" w:hAnsi="宋体" w:cs="FZSSK--GBK1-00+ZBNFQI-10"/>
          <w:color w:val="000000" w:themeColor="text1"/>
          <w14:textFill>
            <w14:solidFill>
              <w14:schemeClr w14:val="tx1"/>
            </w14:solidFill>
          </w14:textFill>
        </w:rPr>
        <w:t>决</w:t>
      </w:r>
      <w:r>
        <w:rPr>
          <w:rFonts w:hint="eastAsia" w:ascii="宋体" w:hAnsi="宋体" w:cs="FZSSK--GBK1-00+ZBNFQI-9"/>
          <w:color w:val="000000" w:themeColor="text1"/>
          <w14:textFill>
            <w14:solidFill>
              <w14:schemeClr w14:val="tx1"/>
            </w14:solidFill>
          </w14:textFill>
        </w:rPr>
        <w:t>策</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提</w:t>
      </w:r>
      <w:r>
        <w:rPr>
          <w:rFonts w:hint="eastAsia" w:ascii="宋体" w:hAnsi="宋体" w:cs="FZSSK--GBK1-00+ZBNFQH-7"/>
          <w:color w:val="000000" w:themeColor="text1"/>
          <w14:textFill>
            <w14:solidFill>
              <w14:schemeClr w14:val="tx1"/>
            </w14:solidFill>
          </w14:textFill>
        </w:rPr>
        <w:t>高其</w:t>
      </w:r>
      <w:r>
        <w:rPr>
          <w:rFonts w:hint="eastAsia" w:ascii="宋体" w:hAnsi="宋体" w:cs="FZSSK--GBK1-00+ZBNFQH-5"/>
          <w:color w:val="000000" w:themeColor="text1"/>
          <w14:textFill>
            <w14:solidFill>
              <w14:schemeClr w14:val="tx1"/>
            </w14:solidFill>
          </w14:textFill>
        </w:rPr>
        <w:t>代</w:t>
      </w:r>
      <w:r>
        <w:rPr>
          <w:rFonts w:hint="eastAsia" w:ascii="宋体" w:hAnsi="宋体" w:cs="FZSSK--GBK1-00+ZBNFQI-9"/>
          <w:color w:val="000000" w:themeColor="text1"/>
          <w14:textFill>
            <w14:solidFill>
              <w14:schemeClr w14:val="tx1"/>
            </w14:solidFill>
          </w14:textFill>
        </w:rPr>
        <w:t>表</w:t>
      </w:r>
      <w:r>
        <w:rPr>
          <w:rFonts w:hint="eastAsia" w:ascii="宋体" w:hAnsi="宋体" w:cs="FZSSK--GBK1-00+ZBNFQH-7"/>
          <w:color w:val="000000" w:themeColor="text1"/>
          <w14:textFill>
            <w14:solidFill>
              <w14:schemeClr w14:val="tx1"/>
            </w14:solidFill>
          </w14:textFill>
        </w:rPr>
        <w:t>性</w:t>
      </w:r>
      <w:r>
        <w:rPr>
          <w:rFonts w:hint="eastAsia" w:ascii="宋体" w:hAnsi="宋体" w:cs="SSJ4+ZBNFQG-1"/>
          <w:color w:val="000000" w:themeColor="text1"/>
          <w14:textFill>
            <w14:solidFill>
              <w14:schemeClr w14:val="tx1"/>
            </w14:solidFill>
          </w14:textFill>
        </w:rPr>
        <w:t>和</w:t>
      </w:r>
      <w:r>
        <w:rPr>
          <w:rFonts w:hint="eastAsia" w:ascii="宋体" w:hAnsi="宋体" w:cs="FZSSK--GBK1-00+ZBNFQI-10"/>
          <w:color w:val="000000" w:themeColor="text1"/>
          <w14:textFill>
            <w14:solidFill>
              <w14:schemeClr w14:val="tx1"/>
            </w14:solidFill>
          </w14:textFill>
        </w:rPr>
        <w:t>决</w:t>
      </w:r>
      <w:r>
        <w:rPr>
          <w:rFonts w:hint="eastAsia" w:ascii="宋体" w:hAnsi="宋体" w:cs="FZSSK--GBK1-00+ZBNFQI-9"/>
          <w:color w:val="000000" w:themeColor="text1"/>
          <w14:textFill>
            <w14:solidFill>
              <w14:schemeClr w14:val="tx1"/>
            </w14:solidFill>
          </w14:textFill>
        </w:rPr>
        <w:t>策</w:t>
      </w:r>
      <w:r>
        <w:rPr>
          <w:rFonts w:hint="eastAsia" w:ascii="宋体" w:hAnsi="宋体" w:cs="FZSSK--GBK1-00+ZBNFQK-14"/>
          <w:color w:val="000000" w:themeColor="text1"/>
          <w14:textFill>
            <w14:solidFill>
              <w14:schemeClr w14:val="tx1"/>
            </w14:solidFill>
          </w14:textFill>
        </w:rPr>
        <w:t>效率</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I-10"/>
          <w:color w:val="000000" w:themeColor="text1"/>
          <w14:textFill>
            <w14:solidFill>
              <w14:schemeClr w14:val="tx1"/>
            </w14:solidFill>
          </w14:textFill>
        </w:rPr>
        <w:t>改</w:t>
      </w:r>
      <w:r>
        <w:rPr>
          <w:rFonts w:hint="eastAsia" w:ascii="宋体" w:hAnsi="宋体" w:cs="SSJ4+ZBNFQG-1"/>
          <w:color w:val="000000" w:themeColor="text1"/>
          <w14:textFill>
            <w14:solidFill>
              <w14:schemeClr w14:val="tx1"/>
            </w14:solidFill>
          </w14:textFill>
        </w:rPr>
        <w:t>革国际</w:t>
      </w:r>
      <w:r>
        <w:rPr>
          <w:rFonts w:hint="eastAsia" w:ascii="宋体" w:hAnsi="宋体" w:cs="FZSSK--GBK1-00+ZBNFQK-14"/>
          <w:color w:val="000000" w:themeColor="text1"/>
          <w14:textFill>
            <w14:solidFill>
              <w14:schemeClr w14:val="tx1"/>
            </w14:solidFill>
          </w14:textFill>
        </w:rPr>
        <w:t>货币</w:t>
      </w:r>
      <w:r>
        <w:rPr>
          <w:rFonts w:hint="eastAsia" w:ascii="宋体" w:hAnsi="宋体" w:cs="FZSSK--GBK1-00+ZBNFQI-9"/>
          <w:color w:val="000000" w:themeColor="text1"/>
          <w14:textFill>
            <w14:solidFill>
              <w14:schemeClr w14:val="tx1"/>
            </w14:solidFill>
          </w14:textFill>
        </w:rPr>
        <w:t>基</w:t>
      </w:r>
      <w:r>
        <w:rPr>
          <w:rFonts w:hint="eastAsia" w:ascii="宋体" w:hAnsi="宋体" w:cs="FZSSK--GBK1-00+ZBNFQH-5"/>
          <w:color w:val="000000" w:themeColor="text1"/>
          <w14:textFill>
            <w14:solidFill>
              <w14:schemeClr w14:val="tx1"/>
            </w14:solidFill>
          </w14:textFill>
        </w:rPr>
        <w:t>金</w:t>
      </w:r>
      <w:r>
        <w:rPr>
          <w:rFonts w:hint="eastAsia" w:ascii="宋体" w:hAnsi="宋体" w:cs="FZSSK--GBK1-00+ZBNFQJ-12"/>
          <w:color w:val="000000" w:themeColor="text1"/>
          <w14:textFill>
            <w14:solidFill>
              <w14:schemeClr w14:val="tx1"/>
            </w14:solidFill>
          </w14:textFill>
        </w:rPr>
        <w:t>组织</w:t>
      </w:r>
      <w:r>
        <w:rPr>
          <w:rFonts w:hint="eastAsia" w:ascii="宋体" w:hAnsi="宋体" w:cs="SSJ4+ZBNFQG-1"/>
          <w:color w:val="000000" w:themeColor="text1"/>
          <w14:textFill>
            <w14:solidFill>
              <w14:schemeClr w14:val="tx1"/>
            </w14:solidFill>
          </w14:textFill>
        </w:rPr>
        <w:t>和世界</w:t>
      </w:r>
      <w:r>
        <w:rPr>
          <w:rFonts w:hint="eastAsia" w:ascii="宋体" w:hAnsi="宋体" w:cs="FZSSK--GBK1-00+ZBNFQK-15"/>
          <w:color w:val="000000" w:themeColor="text1"/>
          <w14:textFill>
            <w14:solidFill>
              <w14:schemeClr w14:val="tx1"/>
            </w14:solidFill>
          </w14:textFill>
        </w:rPr>
        <w:t>银</w:t>
      </w:r>
      <w:r>
        <w:rPr>
          <w:rFonts w:hint="eastAsia" w:ascii="宋体" w:hAnsi="宋体" w:cs="FZSSK--GBK1-00+ZBNFQI-10"/>
          <w:color w:val="000000" w:themeColor="text1"/>
          <w14:textFill>
            <w14:solidFill>
              <w14:schemeClr w14:val="tx1"/>
            </w14:solidFill>
          </w14:textFill>
        </w:rPr>
        <w:t>行</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代</w:t>
      </w:r>
      <w:r>
        <w:rPr>
          <w:rFonts w:hint="eastAsia" w:ascii="宋体" w:hAnsi="宋体" w:cs="FZSSK--GBK1-00+ZBNFQI-9"/>
          <w:color w:val="000000" w:themeColor="text1"/>
          <w14:textFill>
            <w14:solidFill>
              <w14:schemeClr w14:val="tx1"/>
            </w14:solidFill>
          </w14:textFill>
        </w:rPr>
        <w:t>表</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和</w:t>
      </w:r>
      <w:r>
        <w:rPr>
          <w:rFonts w:hint="eastAsia" w:ascii="宋体" w:hAnsi="宋体" w:cs="FZSSK--GBK1-00+ZBNFQI-9"/>
          <w:color w:val="000000" w:themeColor="text1"/>
          <w14:textFill>
            <w14:solidFill>
              <w14:schemeClr w14:val="tx1"/>
            </w14:solidFill>
          </w14:textFill>
        </w:rPr>
        <w:t>表</w:t>
      </w:r>
      <w:r>
        <w:rPr>
          <w:rFonts w:hint="eastAsia" w:ascii="宋体" w:hAnsi="宋体" w:cs="FZSSK--GBK1-00+ZBNFQI-10"/>
          <w:color w:val="000000" w:themeColor="text1"/>
          <w14:textFill>
            <w14:solidFill>
              <w14:schemeClr w14:val="tx1"/>
            </w14:solidFill>
          </w14:textFill>
        </w:rPr>
        <w:t>决</w:t>
      </w:r>
      <w:r>
        <w:rPr>
          <w:rFonts w:hint="eastAsia" w:ascii="宋体" w:hAnsi="宋体" w:cs="FZSSK--GBK1-00+ZBNFQH-5"/>
          <w:color w:val="000000" w:themeColor="text1"/>
          <w14:textFill>
            <w14:solidFill>
              <w14:schemeClr w14:val="tx1"/>
            </w14:solidFill>
          </w14:textFill>
        </w:rPr>
        <w:t>权</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改</w:t>
      </w:r>
      <w:r>
        <w:rPr>
          <w:rFonts w:hint="eastAsia" w:ascii="宋体" w:hAnsi="宋体" w:cs="SSJ4+ZBNFQG-1"/>
          <w:color w:val="000000" w:themeColor="text1"/>
          <w14:textFill>
            <w14:solidFill>
              <w14:schemeClr w14:val="tx1"/>
            </w14:solidFill>
          </w14:textFill>
        </w:rPr>
        <w:t>变</w:t>
      </w:r>
      <w:r>
        <w:rPr>
          <w:rFonts w:hint="eastAsia" w:ascii="宋体" w:hAnsi="宋体" w:cs="FZSSK--GBK1-00+ZBNFQI-9"/>
          <w:color w:val="000000" w:themeColor="text1"/>
          <w14:textFill>
            <w14:solidFill>
              <w14:schemeClr w14:val="tx1"/>
            </w14:solidFill>
          </w14:textFill>
        </w:rPr>
        <w:t>少</w:t>
      </w:r>
      <w:r>
        <w:rPr>
          <w:rFonts w:hint="eastAsia" w:ascii="宋体" w:hAnsi="宋体" w:cs="FZSSK--GBK1-00+ZBNFQJ-12"/>
          <w:color w:val="000000" w:themeColor="text1"/>
          <w14:textFill>
            <w14:solidFill>
              <w14:schemeClr w14:val="tx1"/>
            </w14:solidFill>
          </w14:textFill>
        </w:rPr>
        <w:t>数</w:t>
      </w:r>
      <w:r>
        <w:rPr>
          <w:rFonts w:hint="eastAsia" w:ascii="宋体" w:hAnsi="宋体" w:cs="FZSSK--GBK1-00+ZBNFQI-9"/>
          <w:color w:val="000000" w:themeColor="text1"/>
          <w14:textFill>
            <w14:solidFill>
              <w14:schemeClr w14:val="tx1"/>
            </w14:solidFill>
          </w14:textFill>
        </w:rPr>
        <w:t>富</w:t>
      </w:r>
      <w:r>
        <w:rPr>
          <w:rFonts w:hint="eastAsia" w:ascii="宋体" w:hAnsi="宋体" w:cs="SSJ4+ZBNFQG-1"/>
          <w:color w:val="000000" w:themeColor="text1"/>
          <w14:textFill>
            <w14:solidFill>
              <w14:schemeClr w14:val="tx1"/>
            </w14:solidFill>
          </w14:textFill>
        </w:rPr>
        <w:t>国对重大</w:t>
      </w:r>
      <w:r>
        <w:rPr>
          <w:rFonts w:hint="eastAsia" w:ascii="宋体" w:hAnsi="宋体" w:cs="FZSSK--GBK1-00+ZBNFQI-10"/>
          <w:color w:val="000000" w:themeColor="text1"/>
          <w14:textFill>
            <w14:solidFill>
              <w14:schemeClr w14:val="tx1"/>
            </w14:solidFill>
          </w14:textFill>
        </w:rPr>
        <w:t>决</w:t>
      </w:r>
      <w:r>
        <w:rPr>
          <w:rFonts w:hint="eastAsia" w:ascii="宋体" w:hAnsi="宋体" w:cs="FZSSK--GBK1-00+ZBNFQI-9"/>
          <w:color w:val="000000" w:themeColor="text1"/>
          <w14:textFill>
            <w14:solidFill>
              <w14:schemeClr w14:val="tx1"/>
            </w14:solidFill>
          </w14:textFill>
        </w:rPr>
        <w:t>策</w:t>
      </w:r>
      <w:r>
        <w:rPr>
          <w:rFonts w:hint="eastAsia" w:ascii="宋体" w:hAnsi="宋体" w:cs="FZSSK--GBK1-00+ZBNFQK-14"/>
          <w:color w:val="000000" w:themeColor="text1"/>
          <w14:textFill>
            <w14:solidFill>
              <w14:schemeClr w14:val="tx1"/>
            </w14:solidFill>
          </w14:textFill>
        </w:rPr>
        <w:t>拥</w:t>
      </w:r>
      <w:r>
        <w:rPr>
          <w:rFonts w:hint="eastAsia" w:ascii="宋体" w:hAnsi="宋体" w:cs="SSJ4+ZBNFQG-1"/>
          <w:color w:val="000000" w:themeColor="text1"/>
          <w14:textFill>
            <w14:solidFill>
              <w14:schemeClr w14:val="tx1"/>
            </w14:solidFill>
          </w14:textFill>
        </w:rPr>
        <w:t>有</w:t>
      </w:r>
      <w:r>
        <w:rPr>
          <w:rFonts w:hint="eastAsia" w:ascii="宋体" w:hAnsi="宋体" w:cs="FZSSK--GBK1-00+ZBNFQH-8"/>
          <w:color w:val="000000" w:themeColor="text1"/>
          <w14:textFill>
            <w14:solidFill>
              <w14:schemeClr w14:val="tx1"/>
            </w14:solidFill>
          </w14:textFill>
        </w:rPr>
        <w:t>否</w:t>
      </w:r>
      <w:r>
        <w:rPr>
          <w:rFonts w:hint="eastAsia" w:ascii="宋体" w:hAnsi="宋体" w:cs="FZSSK--GBK1-00+ZBNFQI-10"/>
          <w:color w:val="000000" w:themeColor="text1"/>
          <w14:textFill>
            <w14:solidFill>
              <w14:schemeClr w14:val="tx1"/>
            </w14:solidFill>
          </w14:textFill>
        </w:rPr>
        <w:t>决</w:t>
      </w:r>
      <w:r>
        <w:rPr>
          <w:rFonts w:hint="eastAsia" w:ascii="宋体" w:hAnsi="宋体" w:cs="FZSSK--GBK1-00+ZBNFQH-5"/>
          <w:color w:val="000000" w:themeColor="text1"/>
          <w14:textFill>
            <w14:solidFill>
              <w14:schemeClr w14:val="tx1"/>
            </w14:solidFill>
          </w14:textFill>
        </w:rPr>
        <w:t>权</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现</w:t>
      </w:r>
      <w:r>
        <w:rPr>
          <w:rFonts w:hint="eastAsia" w:ascii="宋体" w:hAnsi="宋体" w:cs="FZSSK--GBK1-00+ZBNFQH-7"/>
          <w:color w:val="000000" w:themeColor="text1"/>
          <w14:textFill>
            <w14:solidFill>
              <w14:schemeClr w14:val="tx1"/>
            </w14:solidFill>
          </w14:textFill>
        </w:rPr>
        <w:t>状</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H-7"/>
          <w:color w:val="000000" w:themeColor="text1"/>
          <w14:textFill>
            <w14:solidFill>
              <w14:schemeClr w14:val="tx1"/>
            </w14:solidFill>
          </w14:textFill>
        </w:rPr>
        <w:t>定更</w:t>
      </w:r>
      <w:r>
        <w:rPr>
          <w:rFonts w:hint="eastAsia" w:ascii="宋体" w:hAnsi="宋体" w:cs="SSJ4+ZBNFQG-1"/>
          <w:color w:val="000000" w:themeColor="text1"/>
          <w14:textFill>
            <w14:solidFill>
              <w14:schemeClr w14:val="tx1"/>
            </w14:solidFill>
          </w14:textFill>
        </w:rPr>
        <w:t>有</w:t>
      </w:r>
      <w:r>
        <w:rPr>
          <w:rFonts w:hint="eastAsia" w:ascii="宋体" w:hAnsi="宋体" w:cs="FZSSK--GBK1-00+ZBNFQK-14"/>
          <w:color w:val="000000" w:themeColor="text1"/>
          <w14:textFill>
            <w14:solidFill>
              <w14:schemeClr w14:val="tx1"/>
            </w14:solidFill>
          </w14:textFill>
        </w:rPr>
        <w:t>效</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金融</w:t>
      </w:r>
      <w:r>
        <w:rPr>
          <w:rFonts w:hint="eastAsia" w:ascii="宋体" w:hAnsi="宋体" w:cs="FZSSK--GBK1-00+ZBNFQI-9"/>
          <w:color w:val="000000" w:themeColor="text1"/>
          <w14:textFill>
            <w14:solidFill>
              <w14:schemeClr w14:val="tx1"/>
            </w14:solidFill>
          </w14:textFill>
        </w:rPr>
        <w:t>规</w:t>
      </w:r>
      <w:r>
        <w:rPr>
          <w:rFonts w:hint="eastAsia" w:ascii="宋体" w:hAnsi="宋体" w:cs="FZSSK--GBK1-00+ZBNFQH-8"/>
          <w:color w:val="000000" w:themeColor="text1"/>
          <w14:textFill>
            <w14:solidFill>
              <w14:schemeClr w14:val="tx1"/>
            </w14:solidFill>
          </w14:textFill>
        </w:rPr>
        <w:t>则</w:t>
      </w:r>
      <w:r>
        <w:rPr>
          <w:rFonts w:hint="eastAsia" w:ascii="宋体" w:hAnsi="宋体" w:cs="SSJ4+ZBNFQG-1"/>
          <w:color w:val="000000" w:themeColor="text1"/>
          <w14:textFill>
            <w14:solidFill>
              <w14:schemeClr w14:val="tx1"/>
            </w14:solidFill>
          </w14:textFill>
        </w:rPr>
        <w:t>和</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机处</w:t>
      </w:r>
      <w:r>
        <w:rPr>
          <w:rFonts w:hint="eastAsia" w:ascii="宋体" w:hAnsi="宋体" w:cs="FZSSK--GBK1-00+ZBNFQI-9"/>
          <w:color w:val="000000" w:themeColor="text1"/>
          <w14:textFill>
            <w14:solidFill>
              <w14:schemeClr w14:val="tx1"/>
            </w14:solidFill>
          </w14:textFill>
        </w:rPr>
        <w:t>理</w:t>
      </w:r>
      <w:r>
        <w:rPr>
          <w:rFonts w:hint="eastAsia" w:ascii="宋体" w:hAnsi="宋体" w:cs="SSJ4+ZBNFQG-1"/>
          <w:color w:val="000000" w:themeColor="text1"/>
          <w14:textFill>
            <w14:solidFill>
              <w14:schemeClr w14:val="tx1"/>
            </w14:solidFill>
          </w14:textFill>
        </w:rPr>
        <w:t>机</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H-7"/>
          <w:color w:val="000000" w:themeColor="text1"/>
          <w14:textFill>
            <w14:solidFill>
              <w14:schemeClr w14:val="tx1"/>
            </w14:solidFill>
          </w14:textFill>
        </w:rPr>
        <w:t>强</w:t>
      </w:r>
      <w:r>
        <w:rPr>
          <w:rFonts w:hint="eastAsia" w:ascii="宋体" w:hAnsi="宋体" w:cs="SSJ4+ZBNFQG-1"/>
          <w:color w:val="000000" w:themeColor="text1"/>
          <w14:textFill>
            <w14:solidFill>
              <w14:schemeClr w14:val="tx1"/>
            </w14:solidFill>
          </w14:textFill>
        </w:rPr>
        <w:t>对</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SSJ4+ZBNFQG-1"/>
          <w:color w:val="000000" w:themeColor="text1"/>
          <w14:textFill>
            <w14:solidFill>
              <w14:schemeClr w14:val="tx1"/>
            </w14:solidFill>
          </w14:textFill>
        </w:rPr>
        <w:t>资本</w:t>
      </w:r>
      <w:r>
        <w:rPr>
          <w:rFonts w:hint="eastAsia" w:ascii="宋体" w:hAnsi="宋体" w:cs="FZSSK--GBK1-00+ZBNFQJ-12"/>
          <w:color w:val="000000" w:themeColor="text1"/>
          <w14:textFill>
            <w14:solidFill>
              <w14:schemeClr w14:val="tx1"/>
            </w14:solidFill>
          </w14:textFill>
        </w:rPr>
        <w:t>流</w:t>
      </w:r>
      <w:r>
        <w:rPr>
          <w:rFonts w:hint="eastAsia" w:ascii="宋体" w:hAnsi="宋体" w:cs="FZSSK--GBK1-00+ZBNFQH-5"/>
          <w:color w:val="000000" w:themeColor="text1"/>
          <w14:textFill>
            <w14:solidFill>
              <w14:schemeClr w14:val="tx1"/>
            </w14:solidFill>
          </w14:textFill>
        </w:rPr>
        <w:t>动</w:t>
      </w:r>
      <w:r>
        <w:rPr>
          <w:rFonts w:hint="eastAsia" w:ascii="宋体" w:hAnsi="宋体" w:cs="SSJ4+ZBNFQG-1"/>
          <w:color w:val="000000" w:themeColor="text1"/>
          <w14:textFill>
            <w14:solidFill>
              <w14:schemeClr w14:val="tx1"/>
            </w14:solidFill>
          </w14:textFill>
        </w:rPr>
        <w:t>的</w:t>
      </w:r>
      <w:r>
        <w:rPr>
          <w:rFonts w:hint="eastAsia" w:ascii="宋体" w:hAnsi="宋体" w:cs="FZSSK--GBK1-00+ZBNFQN-20"/>
          <w:color w:val="000000" w:themeColor="text1"/>
          <w14:textFill>
            <w14:solidFill>
              <w14:schemeClr w14:val="tx1"/>
            </w14:solidFill>
          </w14:textFill>
        </w:rPr>
        <w:t>监</w:t>
      </w:r>
      <w:r>
        <w:rPr>
          <w:rFonts w:hint="eastAsia" w:ascii="宋体" w:hAnsi="宋体" w:cs="FZSSK--GBK1-00+ZBNFQH-7"/>
          <w:color w:val="000000" w:themeColor="text1"/>
          <w14:textFill>
            <w14:solidFill>
              <w14:schemeClr w14:val="tx1"/>
            </w14:solidFill>
          </w14:textFill>
        </w:rPr>
        <w:t>管</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I-10"/>
          <w:color w:val="000000" w:themeColor="text1"/>
          <w14:textFill>
            <w14:solidFill>
              <w14:schemeClr w14:val="tx1"/>
            </w14:solidFill>
          </w14:textFill>
        </w:rPr>
        <w:t>改</w:t>
      </w:r>
      <w:r>
        <w:rPr>
          <w:rFonts w:hint="eastAsia" w:ascii="宋体" w:hAnsi="宋体" w:cs="SSJ4+ZBNFQG-1"/>
          <w:color w:val="000000" w:themeColor="text1"/>
          <w14:textFill>
            <w14:solidFill>
              <w14:schemeClr w14:val="tx1"/>
            </w14:solidFill>
          </w14:textFill>
        </w:rPr>
        <w:t>革世界</w:t>
      </w:r>
      <w:r>
        <w:rPr>
          <w:rFonts w:hint="eastAsia" w:ascii="宋体" w:hAnsi="宋体" w:cs="FZSSK--GBK1-00+ZBNFQK-15"/>
          <w:color w:val="000000" w:themeColor="text1"/>
          <w14:textFill>
            <w14:solidFill>
              <w14:schemeClr w14:val="tx1"/>
            </w14:solidFill>
          </w14:textFill>
        </w:rPr>
        <w:t>贸</w:t>
      </w:r>
      <w:r>
        <w:rPr>
          <w:rFonts w:hint="eastAsia" w:ascii="宋体" w:hAnsi="宋体" w:cs="FZSSK--GBK1-00+ZBNFQL-16"/>
          <w:color w:val="000000" w:themeColor="text1"/>
          <w14:textFill>
            <w14:solidFill>
              <w14:schemeClr w14:val="tx1"/>
            </w14:solidFill>
          </w14:textFill>
        </w:rPr>
        <w:t>易</w:t>
      </w:r>
      <w:r>
        <w:rPr>
          <w:rFonts w:hint="eastAsia" w:ascii="宋体" w:hAnsi="宋体" w:cs="FZSSK--GBK1-00+ZBNFQJ-12"/>
          <w:color w:val="000000" w:themeColor="text1"/>
          <w14:textFill>
            <w14:solidFill>
              <w14:schemeClr w14:val="tx1"/>
            </w14:solidFill>
          </w14:textFill>
        </w:rPr>
        <w:t>组织</w:t>
      </w:r>
      <w:r>
        <w:rPr>
          <w:rFonts w:hint="eastAsia" w:ascii="宋体" w:hAnsi="宋体" w:cs="FZSSK--GBK1-00+ZBNFQI-9"/>
          <w:color w:val="000000" w:themeColor="text1"/>
          <w14:textFill>
            <w14:solidFill>
              <w14:schemeClr w14:val="tx1"/>
            </w14:solidFill>
          </w14:textFill>
        </w:rPr>
        <w:t>及</w:t>
      </w:r>
      <w:r>
        <w:rPr>
          <w:rFonts w:hint="eastAsia" w:ascii="宋体" w:hAnsi="宋体" w:cs="FZSSK--GBK1-00+ZBNFQH-7"/>
          <w:color w:val="000000" w:themeColor="text1"/>
          <w14:textFill>
            <w14:solidFill>
              <w14:schemeClr w14:val="tx1"/>
            </w14:solidFill>
          </w14:textFill>
        </w:rPr>
        <w:t>其</w:t>
      </w:r>
      <w:r>
        <w:rPr>
          <w:rFonts w:hint="eastAsia" w:ascii="宋体" w:hAnsi="宋体" w:cs="FZSSK--GBK1-00+ZBNFQI-9"/>
          <w:color w:val="000000" w:themeColor="text1"/>
          <w14:textFill>
            <w14:solidFill>
              <w14:schemeClr w14:val="tx1"/>
            </w14:solidFill>
          </w14:textFill>
        </w:rPr>
        <w:t>规</w:t>
      </w:r>
      <w:r>
        <w:rPr>
          <w:rFonts w:hint="eastAsia" w:ascii="宋体" w:hAnsi="宋体" w:cs="FZSSK--GBK1-00+ZBNFQH-8"/>
          <w:color w:val="000000" w:themeColor="text1"/>
          <w14:textFill>
            <w14:solidFill>
              <w14:schemeClr w14:val="tx1"/>
            </w14:solidFill>
          </w14:textFill>
        </w:rPr>
        <w:t>则</w:t>
      </w:r>
      <w:r>
        <w:rPr>
          <w:rFonts w:hint="eastAsia" w:ascii="宋体" w:hAnsi="宋体" w:cs="SSJ4+ZBNFQG-1"/>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保</w:t>
      </w:r>
      <w:r>
        <w:rPr>
          <w:rFonts w:hint="eastAsia" w:ascii="宋体" w:hAnsi="宋体" w:cs="FZSSK--GBK1-00+ZBNFQH-8"/>
          <w:color w:val="000000" w:themeColor="text1"/>
          <w14:textFill>
            <w14:solidFill>
              <w14:schemeClr w14:val="tx1"/>
            </w14:solidFill>
          </w14:textFill>
        </w:rPr>
        <w:t>证</w:t>
      </w:r>
      <w:r>
        <w:rPr>
          <w:rFonts w:hint="eastAsia" w:ascii="宋体" w:hAnsi="宋体" w:cs="SSJ4+ZBNFQG-1"/>
          <w:color w:val="000000" w:themeColor="text1"/>
          <w14:textFill>
            <w14:solidFill>
              <w14:schemeClr w14:val="tx1"/>
            </w14:solidFill>
          </w14:textFill>
        </w:rPr>
        <w:t>发展中国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H-7"/>
          <w:color w:val="000000" w:themeColor="text1"/>
          <w14:textFill>
            <w14:solidFill>
              <w14:schemeClr w14:val="tx1"/>
            </w14:solidFill>
          </w14:textFill>
        </w:rPr>
        <w:t>更</w:t>
      </w:r>
      <w:r>
        <w:rPr>
          <w:rFonts w:hint="eastAsia" w:ascii="宋体" w:hAnsi="宋体" w:cs="SSJ4+ZBNFQG-1"/>
          <w:color w:val="000000" w:themeColor="text1"/>
          <w14:textFill>
            <w14:solidFill>
              <w14:schemeClr w14:val="tx1"/>
            </w14:solidFill>
          </w14:textFill>
        </w:rPr>
        <w:t>多</w:t>
      </w:r>
      <w:r>
        <w:rPr>
          <w:rFonts w:hint="eastAsia" w:ascii="宋体" w:hAnsi="宋体" w:cs="FZSSK--GBK1-00+ZBNFQI-10"/>
          <w:color w:val="000000" w:themeColor="text1"/>
          <w14:textFill>
            <w14:solidFill>
              <w14:schemeClr w14:val="tx1"/>
            </w14:solidFill>
          </w14:textFill>
        </w:rPr>
        <w:t>地</w:t>
      </w:r>
      <w:r>
        <w:rPr>
          <w:rFonts w:hint="eastAsia" w:ascii="宋体" w:hAnsi="宋体" w:cs="FZSSK--GBK1-00+ZBNFQL-16"/>
          <w:color w:val="000000" w:themeColor="text1"/>
          <w14:textFill>
            <w14:solidFill>
              <w14:schemeClr w14:val="tx1"/>
            </w14:solidFill>
          </w14:textFill>
        </w:rPr>
        <w:t>参</w:t>
      </w:r>
      <w:r>
        <w:rPr>
          <w:rFonts w:hint="eastAsia" w:ascii="宋体" w:hAnsi="宋体" w:cs="FZSSK--GBK1-00+ZBNFQH-7"/>
          <w:color w:val="000000" w:themeColor="text1"/>
          <w14:textFill>
            <w14:solidFill>
              <w14:schemeClr w14:val="tx1"/>
            </w14:solidFill>
          </w14:textFill>
        </w:rPr>
        <w:t>与</w:t>
      </w:r>
      <w:r>
        <w:rPr>
          <w:rFonts w:hint="eastAsia" w:ascii="宋体" w:hAnsi="宋体" w:cs="FZSSK--GBK1-00+ZBNFQI-10"/>
          <w:color w:val="000000" w:themeColor="text1"/>
          <w14:textFill>
            <w14:solidFill>
              <w14:schemeClr w14:val="tx1"/>
            </w14:solidFill>
          </w14:textFill>
        </w:rPr>
        <w:t>决</w:t>
      </w:r>
      <w:r>
        <w:rPr>
          <w:rFonts w:hint="eastAsia" w:ascii="宋体" w:hAnsi="宋体" w:cs="FZSSK--GBK1-00+ZBNFQI-9"/>
          <w:color w:val="000000" w:themeColor="text1"/>
          <w14:textFill>
            <w14:solidFill>
              <w14:schemeClr w14:val="tx1"/>
            </w14:solidFill>
          </w14:textFill>
        </w:rPr>
        <w:t>策</w:t>
      </w:r>
      <w:r>
        <w:rPr>
          <w:rFonts w:hint="eastAsia" w:ascii="宋体" w:hAnsi="宋体" w:cs="FZSSK--GBK1-00+ZBNFQH-8"/>
          <w:color w:val="000000" w:themeColor="text1"/>
          <w14:textFill>
            <w14:solidFill>
              <w14:schemeClr w14:val="tx1"/>
            </w14:solidFill>
          </w14:textFill>
        </w:rPr>
        <w:t>并</w:t>
      </w:r>
      <w:r>
        <w:rPr>
          <w:rFonts w:hint="eastAsia" w:ascii="宋体" w:hAnsi="宋体" w:cs="FZSSK--GBK1-00+ZBNFQH-7"/>
          <w:color w:val="000000" w:themeColor="text1"/>
          <w14:textFill>
            <w14:solidFill>
              <w14:schemeClr w14:val="tx1"/>
            </w14:solidFill>
          </w14:textFill>
        </w:rPr>
        <w:t>从</w:t>
      </w:r>
      <w:r>
        <w:rPr>
          <w:rFonts w:hint="eastAsia" w:ascii="宋体" w:hAnsi="宋体" w:cs="SSJ4+ZBNFQG-1"/>
          <w:color w:val="000000" w:themeColor="text1"/>
          <w14:textFill>
            <w14:solidFill>
              <w14:schemeClr w14:val="tx1"/>
            </w14:solidFill>
          </w14:textFill>
        </w:rPr>
        <w:t>中</w:t>
      </w:r>
      <w:r>
        <w:rPr>
          <w:rFonts w:hint="eastAsia" w:ascii="宋体" w:hAnsi="宋体" w:cs="FZSSK--GBK1-00+ZBNFQI-10"/>
          <w:color w:val="000000" w:themeColor="text1"/>
          <w14:textFill>
            <w14:solidFill>
              <w14:schemeClr w14:val="tx1"/>
            </w14:solidFill>
          </w14:textFill>
        </w:rPr>
        <w:t>受</w:t>
      </w:r>
      <w:r>
        <w:rPr>
          <w:rFonts w:hint="eastAsia" w:ascii="宋体" w:hAnsi="宋体" w:cs="FZSSK--GBK1-00+ZBNFQK-15"/>
          <w:color w:val="000000" w:themeColor="text1"/>
          <w14:textFill>
            <w14:solidFill>
              <w14:schemeClr w14:val="tx1"/>
            </w14:solidFill>
          </w14:textFill>
        </w:rPr>
        <w:t>益</w:t>
      </w:r>
      <w:r>
        <w:rPr>
          <w:rFonts w:hint="eastAsia" w:ascii="宋体" w:hAnsi="宋体" w:cs="SSJ4+ZBNFQG-1"/>
          <w:color w:val="000000" w:themeColor="text1"/>
          <w14:textFill>
            <w14:solidFill>
              <w14:schemeClr w14:val="tx1"/>
            </w14:solidFill>
          </w14:textFill>
        </w:rPr>
        <w:t>，确</w:t>
      </w:r>
      <w:r>
        <w:rPr>
          <w:rFonts w:hint="eastAsia" w:ascii="宋体" w:hAnsi="宋体" w:cs="FZSSK--GBK1-00+ZBNFQI-9"/>
          <w:color w:val="000000" w:themeColor="text1"/>
          <w14:textFill>
            <w14:solidFill>
              <w14:schemeClr w14:val="tx1"/>
            </w14:solidFill>
          </w14:textFill>
        </w:rPr>
        <w:t>保</w:t>
      </w:r>
      <w:r>
        <w:rPr>
          <w:rFonts w:hint="eastAsia" w:ascii="宋体" w:hAnsi="宋体" w:cs="FZSSK--GBK1-00+ZBNFQK-15"/>
          <w:color w:val="000000" w:themeColor="text1"/>
          <w14:textFill>
            <w14:solidFill>
              <w14:schemeClr w14:val="tx1"/>
            </w14:solidFill>
          </w14:textFill>
        </w:rPr>
        <w:t>贸</w:t>
      </w:r>
      <w:r>
        <w:rPr>
          <w:rFonts w:hint="eastAsia" w:ascii="宋体" w:hAnsi="宋体" w:cs="FZSSK--GBK1-00+ZBNFQL-16"/>
          <w:color w:val="000000" w:themeColor="text1"/>
          <w14:textFill>
            <w14:solidFill>
              <w14:schemeClr w14:val="tx1"/>
            </w14:solidFill>
          </w14:textFill>
        </w:rPr>
        <w:t>易</w:t>
      </w:r>
      <w:r>
        <w:rPr>
          <w:rFonts w:hint="eastAsia" w:ascii="宋体" w:hAnsi="宋体" w:cs="FZSSK--GBK1-00+ZBNFQI-10"/>
          <w:color w:val="000000" w:themeColor="text1"/>
          <w14:textFill>
            <w14:solidFill>
              <w14:schemeClr w14:val="tx1"/>
            </w14:solidFill>
          </w14:textFill>
        </w:rPr>
        <w:t>活</w:t>
      </w:r>
      <w:r>
        <w:rPr>
          <w:rFonts w:hint="eastAsia" w:ascii="宋体" w:hAnsi="宋体" w:cs="FZSSK--GBK1-00+ZBNFQH-5"/>
          <w:color w:val="000000" w:themeColor="text1"/>
          <w14:textFill>
            <w14:solidFill>
              <w14:schemeClr w14:val="tx1"/>
            </w14:solidFill>
          </w14:textFill>
        </w:rPr>
        <w:t>动不</w:t>
      </w:r>
      <w:r>
        <w:rPr>
          <w:rFonts w:hint="eastAsia" w:ascii="宋体" w:hAnsi="宋体" w:cs="FZSSK--GBK1-00+ZBNFQL-16"/>
          <w:color w:val="000000" w:themeColor="text1"/>
          <w14:textFill>
            <w14:solidFill>
              <w14:schemeClr w14:val="tx1"/>
            </w14:solidFill>
          </w14:textFill>
        </w:rPr>
        <w:t>损</w:t>
      </w:r>
      <w:r>
        <w:rPr>
          <w:rFonts w:hint="eastAsia" w:ascii="宋体" w:hAnsi="宋体" w:cs="FZSSK--GBK1-00+ZBNFQH-5"/>
          <w:color w:val="000000" w:themeColor="text1"/>
          <w14:textFill>
            <w14:solidFill>
              <w14:schemeClr w14:val="tx1"/>
            </w14:solidFill>
          </w14:textFill>
        </w:rPr>
        <w:t>害</w:t>
      </w:r>
      <w:r>
        <w:rPr>
          <w:rFonts w:hint="eastAsia" w:ascii="宋体" w:hAnsi="宋体" w:cs="FZSSK--GBK1-00+ZBNFQI-9"/>
          <w:color w:val="000000" w:themeColor="text1"/>
          <w14:textFill>
            <w14:solidFill>
              <w14:schemeClr w14:val="tx1"/>
            </w14:solidFill>
          </w14:textFill>
        </w:rPr>
        <w:t>民</w:t>
      </w:r>
      <w:r>
        <w:rPr>
          <w:rFonts w:hint="eastAsia" w:ascii="宋体" w:hAnsi="宋体" w:cs="FZSSK--GBK1-00+ZBNFQJ-13"/>
          <w:color w:val="000000" w:themeColor="text1"/>
          <w14:textFill>
            <w14:solidFill>
              <w14:schemeClr w14:val="tx1"/>
            </w14:solidFill>
          </w14:textFill>
        </w:rPr>
        <w:t>族</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K-15"/>
          <w:color w:val="000000" w:themeColor="text1"/>
          <w14:textFill>
            <w14:solidFill>
              <w14:schemeClr w14:val="tx1"/>
            </w14:solidFill>
          </w14:textFill>
        </w:rPr>
        <w:t>益</w:t>
      </w:r>
      <w:r>
        <w:rPr>
          <w:rFonts w:hint="eastAsia" w:ascii="宋体" w:hAnsi="宋体" w:cs="SSJ4+ZBNFQG-1"/>
          <w:color w:val="000000" w:themeColor="text1"/>
          <w14:textFill>
            <w14:solidFill>
              <w14:schemeClr w14:val="tx1"/>
            </w14:solidFill>
          </w14:textFill>
        </w:rPr>
        <w:t>和</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权</w:t>
      </w:r>
      <w:r>
        <w:rPr>
          <w:rFonts w:hint="eastAsia" w:ascii="宋体" w:hAnsi="宋体" w:cs="FZSSK--GBK1-00+ZBNFQK-15"/>
          <w:color w:val="000000" w:themeColor="text1"/>
          <w14:textFill>
            <w14:solidFill>
              <w14:schemeClr w14:val="tx1"/>
            </w14:solidFill>
          </w14:textFill>
        </w:rPr>
        <w:t>益</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应尽</w:t>
      </w:r>
      <w:r>
        <w:rPr>
          <w:rFonts w:hint="eastAsia" w:ascii="宋体" w:hAnsi="宋体" w:cs="FZSSK--GBK1-00+ZBNFQH-7"/>
          <w:color w:val="000000" w:themeColor="text1"/>
          <w14:textFill>
            <w14:solidFill>
              <w14:schemeClr w14:val="tx1"/>
            </w14:solidFill>
          </w14:textFill>
        </w:rPr>
        <w:t>快</w:t>
      </w:r>
      <w:r>
        <w:rPr>
          <w:rFonts w:hint="eastAsia" w:ascii="宋体" w:hAnsi="宋体" w:cs="SSJ4+ZBNFQG-1"/>
          <w:color w:val="000000" w:themeColor="text1"/>
          <w14:textFill>
            <w14:solidFill>
              <w14:schemeClr w14:val="tx1"/>
            </w14:solidFill>
          </w14:textFill>
        </w:rPr>
        <w:t>确</w:t>
      </w:r>
      <w:r>
        <w:rPr>
          <w:rFonts w:hint="eastAsia" w:ascii="宋体" w:hAnsi="宋体" w:cs="FZSSK--GBK1-00+ZBNFQI-10"/>
          <w:color w:val="000000" w:themeColor="text1"/>
          <w14:textFill>
            <w14:solidFill>
              <w14:schemeClr w14:val="tx1"/>
            </w14:solidFill>
          </w14:textFill>
        </w:rPr>
        <w:t>立</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FZSSK--GBK1-00+ZBNFQI-9"/>
          <w:color w:val="000000" w:themeColor="text1"/>
          <w14:textFill>
            <w14:solidFill>
              <w14:schemeClr w14:val="tx1"/>
            </w14:solidFill>
          </w14:textFill>
        </w:rPr>
        <w:t>统</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的</w:t>
      </w:r>
      <w:r>
        <w:rPr>
          <w:rFonts w:hint="eastAsia" w:ascii="宋体" w:hAnsi="宋体" w:cs="FZSSK--GBK1-00+ZBNFQK-14"/>
          <w:color w:val="000000" w:themeColor="text1"/>
          <w14:textFill>
            <w14:solidFill>
              <w14:schemeClr w14:val="tx1"/>
            </w14:solidFill>
          </w14:textFill>
        </w:rPr>
        <w:t>货币</w:t>
      </w:r>
      <w:r>
        <w:rPr>
          <w:rFonts w:hint="eastAsia" w:ascii="宋体" w:hAnsi="宋体" w:cs="SSJ4+ZBNFQG-1"/>
          <w:color w:val="000000" w:themeColor="text1"/>
          <w14:textFill>
            <w14:solidFill>
              <w14:schemeClr w14:val="tx1"/>
            </w14:solidFill>
          </w14:textFill>
        </w:rPr>
        <w:t>即</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世</w:t>
      </w:r>
      <w:r>
        <w:rPr>
          <w:rFonts w:hint="eastAsia" w:ascii="宋体" w:hAnsi="宋体" w:cs="FZSSK--GBK1-00+ZBNFQH-8"/>
          <w:color w:val="000000" w:themeColor="text1"/>
          <w14:textFill>
            <w14:solidFill>
              <w14:schemeClr w14:val="tx1"/>
            </w14:solidFill>
          </w14:textFill>
        </w:rPr>
        <w:t>元</w:t>
      </w:r>
      <w:r>
        <w:rPr>
          <w:rFonts w:hint="eastAsia" w:ascii="宋体" w:hAnsi="宋体" w:cs="FZSSK--GBK1-00+ZBNFQH-5"/>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FZSSK--GBK1-00+ZBNFQI-9"/>
          <w:color w:val="000000" w:themeColor="text1"/>
          <w14:textFill>
            <w14:solidFill>
              <w14:schemeClr w14:val="tx1"/>
            </w14:solidFill>
          </w14:textFill>
        </w:rPr>
        <w:t>统</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的</w:t>
      </w:r>
      <w:r>
        <w:rPr>
          <w:rFonts w:hint="eastAsia" w:ascii="宋体" w:hAnsi="宋体" w:cs="FZSSK--GBK1-00+ZBNFQJ-12"/>
          <w:color w:val="000000" w:themeColor="text1"/>
          <w14:textFill>
            <w14:solidFill>
              <w14:schemeClr w14:val="tx1"/>
            </w14:solidFill>
          </w14:textFill>
        </w:rPr>
        <w:t>语</w:t>
      </w:r>
      <w:r>
        <w:rPr>
          <w:rFonts w:hint="eastAsia" w:ascii="宋体" w:hAnsi="宋体" w:cs="FZSSK--GBK1-00+ZBNFQI-9"/>
          <w:color w:val="000000" w:themeColor="text1"/>
          <w14:textFill>
            <w14:solidFill>
              <w14:schemeClr w14:val="tx1"/>
            </w14:solidFill>
          </w14:textFill>
        </w:rPr>
        <w:t>言</w:t>
      </w:r>
      <w:r>
        <w:rPr>
          <w:rFonts w:hint="eastAsia" w:ascii="宋体" w:hAnsi="宋体" w:cs="SSJ4+ZBNFQG-1"/>
          <w:color w:val="000000" w:themeColor="text1"/>
          <w14:textFill>
            <w14:solidFill>
              <w14:schemeClr w14:val="tx1"/>
            </w14:solidFill>
          </w14:textFill>
        </w:rPr>
        <w:t>即</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世界</w:t>
      </w:r>
      <w:r>
        <w:rPr>
          <w:rFonts w:hint="eastAsia" w:ascii="宋体" w:hAnsi="宋体" w:cs="FZSSK--GBK1-00+ZBNFQJ-12"/>
          <w:color w:val="000000" w:themeColor="text1"/>
          <w14:textFill>
            <w14:solidFill>
              <w14:schemeClr w14:val="tx1"/>
            </w14:solidFill>
          </w14:textFill>
        </w:rPr>
        <w:t>语</w:t>
      </w:r>
      <w:r>
        <w:rPr>
          <w:rFonts w:hint="eastAsia" w:ascii="宋体" w:hAnsi="宋体" w:cs="FZSSK--GBK1-00+ZBNFQH-5"/>
          <w:color w:val="000000" w:themeColor="text1"/>
          <w14:textFill>
            <w14:solidFill>
              <w14:schemeClr w14:val="tx1"/>
            </w14:solidFill>
          </w14:textFill>
        </w:rPr>
        <w:t>”</w:t>
      </w:r>
      <w:r>
        <w:rPr>
          <w:rFonts w:hint="eastAsia" w:ascii="宋体" w:hAnsi="宋体" w:cs="FZSSK--GBK1-00+ZBNFQJ-13"/>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取</w:t>
      </w:r>
      <w:r>
        <w:rPr>
          <w:rFonts w:hint="eastAsia" w:ascii="宋体" w:hAnsi="宋体" w:cs="FZSSK--GBK1-00+ZBNFQJ-13"/>
          <w:color w:val="000000" w:themeColor="text1"/>
          <w14:textFill>
            <w14:solidFill>
              <w14:schemeClr w14:val="tx1"/>
            </w14:solidFill>
          </w14:textFill>
        </w:rPr>
        <w:t>消</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J-12"/>
          <w:color w:val="000000" w:themeColor="text1"/>
          <w14:textFill>
            <w14:solidFill>
              <w14:schemeClr w14:val="tx1"/>
            </w14:solidFill>
          </w14:textFill>
        </w:rPr>
        <w:t>控</w:t>
      </w:r>
      <w:r>
        <w:rPr>
          <w:rFonts w:hint="eastAsia" w:ascii="宋体" w:hAnsi="宋体" w:cs="FZSSK--GBK1-00+ZBNFQI-10"/>
          <w:color w:val="000000" w:themeColor="text1"/>
          <w14:textFill>
            <w14:solidFill>
              <w14:schemeClr w14:val="tx1"/>
            </w14:solidFill>
          </w14:textFill>
        </w:rPr>
        <w:t>制</w:t>
      </w:r>
      <w:r>
        <w:rPr>
          <w:rFonts w:hint="eastAsia" w:ascii="宋体" w:hAnsi="宋体" w:cs="FZSSK--GBK1-00+ZBNFQH-8"/>
          <w:color w:val="000000" w:themeColor="text1"/>
          <w14:textFill>
            <w14:solidFill>
              <w14:schemeClr w14:val="tx1"/>
            </w14:solidFill>
          </w14:textFill>
        </w:rPr>
        <w:t>下</w:t>
      </w:r>
      <w:r>
        <w:rPr>
          <w:rFonts w:hint="eastAsia" w:ascii="宋体" w:hAnsi="宋体" w:cs="SSJ4+ZBNFQG-1"/>
          <w:color w:val="000000" w:themeColor="text1"/>
          <w14:textFill>
            <w14:solidFill>
              <w14:schemeClr w14:val="tx1"/>
            </w14:solidFill>
          </w14:textFill>
        </w:rPr>
        <w:t>的</w:t>
      </w:r>
      <w:r>
        <w:rPr>
          <w:rFonts w:hint="eastAsia" w:ascii="宋体" w:hAnsi="宋体" w:cs="FZSSK--GBK1-00+ZBNFQI-9"/>
          <w:color w:val="000000" w:themeColor="text1"/>
          <w14:textFill>
            <w14:solidFill>
              <w14:schemeClr w14:val="tx1"/>
            </w14:solidFill>
          </w14:textFill>
        </w:rPr>
        <w:t>北</w:t>
      </w:r>
      <w:r>
        <w:rPr>
          <w:rFonts w:hint="eastAsia" w:ascii="宋体" w:hAnsi="宋体" w:cs="FZSSK--GBK1-00+ZBNFQJ-13"/>
          <w:color w:val="000000" w:themeColor="text1"/>
          <w14:textFill>
            <w14:solidFill>
              <w14:schemeClr w14:val="tx1"/>
            </w14:solidFill>
          </w14:textFill>
        </w:rPr>
        <w:t>约</w:t>
      </w:r>
      <w:r>
        <w:rPr>
          <w:rFonts w:hint="eastAsia" w:ascii="宋体" w:hAnsi="宋体" w:cs="SSJ4+ZBNFQG-1"/>
          <w:color w:val="000000" w:themeColor="text1"/>
          <w14:textFill>
            <w14:solidFill>
              <w14:schemeClr w14:val="tx1"/>
            </w14:solidFill>
          </w14:textFill>
        </w:rPr>
        <w:t>和</w:t>
      </w:r>
      <w:r>
        <w:rPr>
          <w:rFonts w:hint="eastAsia" w:ascii="宋体" w:hAnsi="宋体" w:cs="FZSSK--GBK1-00+ZBNFQN-20"/>
          <w:color w:val="000000" w:themeColor="text1"/>
          <w14:textFill>
            <w14:solidFill>
              <w14:schemeClr w14:val="tx1"/>
            </w14:solidFill>
          </w14:textFill>
        </w:rPr>
        <w:t>某</w:t>
      </w:r>
      <w:r>
        <w:rPr>
          <w:rFonts w:hint="eastAsia" w:ascii="宋体" w:hAnsi="宋体" w:cs="FZSSK--GBK1-00+ZBNFQH-7"/>
          <w:color w:val="000000" w:themeColor="text1"/>
          <w14:textFill>
            <w14:solidFill>
              <w14:schemeClr w14:val="tx1"/>
            </w14:solidFill>
          </w14:textFill>
        </w:rPr>
        <w:t>些</w:t>
      </w:r>
      <w:r>
        <w:rPr>
          <w:rFonts w:hint="eastAsia" w:ascii="宋体" w:hAnsi="宋体" w:cs="SSJ4+ZBNFQG-1"/>
          <w:color w:val="000000" w:themeColor="text1"/>
          <w14:textFill>
            <w14:solidFill>
              <w14:schemeClr w14:val="tx1"/>
            </w14:solidFill>
          </w14:textFill>
        </w:rPr>
        <w:t>国际法</w:t>
      </w:r>
      <w:r>
        <w:rPr>
          <w:rFonts w:hint="eastAsia" w:ascii="宋体" w:hAnsi="宋体" w:cs="FZSSK--GBK1-00+ZBNFQO-21"/>
          <w:color w:val="000000" w:themeColor="text1"/>
          <w14:textFill>
            <w14:solidFill>
              <w14:schemeClr w14:val="tx1"/>
            </w14:solidFill>
          </w14:textFill>
        </w:rPr>
        <w:t>律</w:t>
      </w:r>
      <w:r>
        <w:rPr>
          <w:rFonts w:hint="eastAsia" w:ascii="宋体" w:hAnsi="宋体" w:cs="SSJ4+ZBNFQG-1"/>
          <w:color w:val="000000" w:themeColor="text1"/>
          <w14:textFill>
            <w14:solidFill>
              <w14:schemeClr w14:val="tx1"/>
            </w14:solidFill>
          </w14:textFill>
        </w:rPr>
        <w:t>机</w:t>
      </w:r>
      <w:r>
        <w:rPr>
          <w:rFonts w:hint="eastAsia" w:ascii="宋体" w:hAnsi="宋体" w:cs="FZSSK--GBK1-00+ZBNFQN-20"/>
          <w:color w:val="000000" w:themeColor="text1"/>
          <w14:textFill>
            <w14:solidFill>
              <w14:schemeClr w14:val="tx1"/>
            </w14:solidFill>
          </w14:textFill>
        </w:rPr>
        <w:t>构</w:t>
      </w:r>
      <w:r>
        <w:rPr>
          <w:rFonts w:hint="eastAsia" w:ascii="宋体" w:hAnsi="宋体" w:cs="SSJ4+ZBNFQG-1"/>
          <w:color w:val="000000" w:themeColor="text1"/>
          <w14:textFill>
            <w14:solidFill>
              <w14:schemeClr w14:val="tx1"/>
            </w14:solidFill>
          </w14:textFill>
        </w:rPr>
        <w:t>，重新</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I-10"/>
          <w:color w:val="000000" w:themeColor="text1"/>
          <w14:textFill>
            <w14:solidFill>
              <w14:schemeClr w14:val="tx1"/>
            </w14:solidFill>
          </w14:textFill>
        </w:rPr>
        <w:t>立</w:t>
      </w:r>
      <w:r>
        <w:rPr>
          <w:rFonts w:hint="eastAsia" w:ascii="宋体" w:hAnsi="宋体" w:cs="FZSSK--GBK1-00+ZBNFQH-7"/>
          <w:color w:val="000000" w:themeColor="text1"/>
          <w14:textFill>
            <w14:solidFill>
              <w14:schemeClr w14:val="tx1"/>
            </w14:solidFill>
          </w14:textFill>
        </w:rPr>
        <w:t>联</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国</w:t>
      </w:r>
      <w:r>
        <w:rPr>
          <w:rFonts w:hint="eastAsia" w:ascii="宋体" w:hAnsi="宋体" w:cs="FZSSK--GBK1-00+ZBNFQJ-12"/>
          <w:color w:val="000000" w:themeColor="text1"/>
          <w14:textFill>
            <w14:solidFill>
              <w14:schemeClr w14:val="tx1"/>
            </w14:solidFill>
          </w14:textFill>
        </w:rPr>
        <w:t>领</w:t>
      </w:r>
      <w:r>
        <w:rPr>
          <w:rFonts w:hint="eastAsia" w:ascii="宋体" w:hAnsi="宋体" w:cs="FZSSK--GBK1-00+ZBNFQH-8"/>
          <w:color w:val="000000" w:themeColor="text1"/>
          <w14:textFill>
            <w14:solidFill>
              <w14:schemeClr w14:val="tx1"/>
            </w14:solidFill>
          </w14:textFill>
        </w:rPr>
        <w:t>导下</w:t>
      </w:r>
      <w:r>
        <w:rPr>
          <w:rFonts w:hint="eastAsia" w:ascii="宋体" w:hAnsi="宋体" w:cs="SSJ4+ZBNFQG-1"/>
          <w:color w:val="000000" w:themeColor="text1"/>
          <w14:textFill>
            <w14:solidFill>
              <w14:schemeClr w14:val="tx1"/>
            </w14:solidFill>
          </w14:textFill>
        </w:rPr>
        <w:t>的</w:t>
      </w:r>
      <w:r>
        <w:rPr>
          <w:rFonts w:hint="eastAsia" w:ascii="宋体" w:hAnsi="宋体" w:cs="FZSSK--GBK1-00+ZBNFQJ-12"/>
          <w:color w:val="000000" w:themeColor="text1"/>
          <w14:textFill>
            <w14:solidFill>
              <w14:schemeClr w14:val="tx1"/>
            </w14:solidFill>
          </w14:textFill>
        </w:rPr>
        <w:t>维</w:t>
      </w:r>
      <w:r>
        <w:rPr>
          <w:rFonts w:hint="eastAsia" w:ascii="宋体" w:hAnsi="宋体" w:cs="SSJ4+ZBNFQG-1"/>
          <w:color w:val="000000" w:themeColor="text1"/>
          <w14:textFill>
            <w14:solidFill>
              <w14:schemeClr w14:val="tx1"/>
            </w14:solidFill>
          </w14:textFill>
        </w:rPr>
        <w:t>和</w:t>
      </w:r>
      <w:r>
        <w:rPr>
          <w:rFonts w:hint="eastAsia" w:ascii="宋体" w:hAnsi="宋体" w:cs="FZSSK--GBK1-00+ZBNFQI-10"/>
          <w:color w:val="000000" w:themeColor="text1"/>
          <w14:textFill>
            <w14:solidFill>
              <w14:schemeClr w14:val="tx1"/>
            </w14:solidFill>
          </w14:textFill>
        </w:rPr>
        <w:t>部</w:t>
      </w:r>
      <w:r>
        <w:rPr>
          <w:rFonts w:hint="eastAsia" w:ascii="宋体" w:hAnsi="宋体" w:cs="FZSSK--GBK1-00+ZBNFQK-14"/>
          <w:color w:val="000000" w:themeColor="text1"/>
          <w14:textFill>
            <w14:solidFill>
              <w14:schemeClr w14:val="tx1"/>
            </w14:solidFill>
          </w14:textFill>
        </w:rPr>
        <w:t>队</w:t>
      </w:r>
      <w:r>
        <w:rPr>
          <w:rFonts w:hint="eastAsia" w:ascii="宋体" w:hAnsi="宋体" w:cs="SSJ4+ZBNFQG-1"/>
          <w:color w:val="000000" w:themeColor="text1"/>
          <w14:textFill>
            <w14:solidFill>
              <w14:schemeClr w14:val="tx1"/>
            </w14:solidFill>
          </w14:textFill>
        </w:rPr>
        <w:t>和国际法</w:t>
      </w:r>
      <w:r>
        <w:rPr>
          <w:rFonts w:hint="eastAsia" w:ascii="宋体" w:hAnsi="宋体" w:cs="FZSSK--GBK1-00+ZBNFQO-21"/>
          <w:color w:val="000000" w:themeColor="text1"/>
          <w14:textFill>
            <w14:solidFill>
              <w14:schemeClr w14:val="tx1"/>
            </w14:solidFill>
          </w14:textFill>
        </w:rPr>
        <w:t>律</w:t>
      </w:r>
      <w:r>
        <w:rPr>
          <w:rFonts w:hint="eastAsia" w:ascii="宋体" w:hAnsi="宋体" w:cs="SSJ4+ZBNFQG-1"/>
          <w:color w:val="000000" w:themeColor="text1"/>
          <w14:textFill>
            <w14:solidFill>
              <w14:schemeClr w14:val="tx1"/>
            </w14:solidFill>
          </w14:textFill>
        </w:rPr>
        <w:t>机</w:t>
      </w:r>
      <w:r>
        <w:rPr>
          <w:rFonts w:hint="eastAsia" w:ascii="宋体" w:hAnsi="宋体" w:cs="FZSSK--GBK1-00+ZBNFQN-20"/>
          <w:color w:val="000000" w:themeColor="text1"/>
          <w14:textFill>
            <w14:solidFill>
              <w14:schemeClr w14:val="tx1"/>
            </w14:solidFill>
          </w14:textFill>
        </w:rPr>
        <w:t>构</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只</w:t>
      </w:r>
      <w:r>
        <w:rPr>
          <w:rFonts w:hint="eastAsia" w:ascii="宋体" w:hAnsi="宋体" w:cs="SSJ4+ZBNFQG-1"/>
          <w:color w:val="000000" w:themeColor="text1"/>
          <w14:textFill>
            <w14:solidFill>
              <w14:schemeClr w14:val="tx1"/>
            </w14:solidFill>
          </w14:textFill>
        </w:rPr>
        <w:t>有</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样</w:t>
      </w:r>
      <w:r>
        <w:rPr>
          <w:rFonts w:hint="eastAsia" w:ascii="宋体" w:hAnsi="宋体" w:cs="SSJ4+ZBNFQG-1"/>
          <w:color w:val="000000" w:themeColor="text1"/>
          <w14:textFill>
            <w14:solidFill>
              <w14:schemeClr w14:val="tx1"/>
            </w14:solidFill>
          </w14:textFill>
        </w:rPr>
        <w:t>，</w:t>
      </w:r>
      <w:r>
        <w:rPr>
          <w:rFonts w:hint="eastAsia" w:ascii="宋体" w:hAnsi="宋体" w:cs="FZSSK--GBK1-00+ZBNFQP-23"/>
          <w:color w:val="000000" w:themeColor="text1"/>
          <w14:textFill>
            <w14:solidFill>
              <w14:schemeClr w14:val="tx1"/>
            </w14:solidFill>
          </w14:textFill>
        </w:rPr>
        <w:t>才</w:t>
      </w:r>
      <w:r>
        <w:rPr>
          <w:rFonts w:hint="eastAsia" w:ascii="宋体" w:hAnsi="宋体" w:cs="FZSSK--GBK1-00+ZBNFQH-7"/>
          <w:color w:val="000000" w:themeColor="text1"/>
          <w14:textFill>
            <w14:solidFill>
              <w14:schemeClr w14:val="tx1"/>
            </w14:solidFill>
          </w14:textFill>
        </w:rPr>
        <w:t>能</w:t>
      </w:r>
      <w:r>
        <w:rPr>
          <w:rFonts w:hint="eastAsia" w:ascii="宋体" w:hAnsi="宋体" w:cs="SSJ4+ZBNFQG-1"/>
          <w:color w:val="000000" w:themeColor="text1"/>
          <w14:textFill>
            <w14:solidFill>
              <w14:schemeClr w14:val="tx1"/>
            </w14:solidFill>
          </w14:textFill>
        </w:rPr>
        <w:t>重新</w:t>
      </w:r>
      <w:r>
        <w:rPr>
          <w:rFonts w:hint="eastAsia" w:ascii="宋体" w:hAnsi="宋体" w:cs="FZSSK--GBK1-00+ZBNFQK-14"/>
          <w:color w:val="000000" w:themeColor="text1"/>
          <w14:textFill>
            <w14:solidFill>
              <w14:schemeClr w14:val="tx1"/>
            </w14:solidFill>
          </w14:textFill>
        </w:rPr>
        <w:t>建</w:t>
      </w:r>
      <w:r>
        <w:rPr>
          <w:rFonts w:hint="eastAsia" w:ascii="宋体" w:hAnsi="宋体" w:cs="FZSSK--GBK1-00+ZBNFQI-10"/>
          <w:color w:val="000000" w:themeColor="text1"/>
          <w14:textFill>
            <w14:solidFill>
              <w14:schemeClr w14:val="tx1"/>
            </w14:solidFill>
          </w14:textFill>
        </w:rPr>
        <w:t>立</w:t>
      </w:r>
      <w:r>
        <w:rPr>
          <w:rFonts w:hint="eastAsia" w:ascii="宋体" w:hAnsi="宋体" w:cs="FZSSK--GBK1-00+ZBNFQH-5"/>
          <w:color w:val="000000" w:themeColor="text1"/>
          <w14:textFill>
            <w14:solidFill>
              <w14:schemeClr w14:val="tx1"/>
            </w14:solidFill>
          </w14:textFill>
        </w:rPr>
        <w:t>一种</w:t>
      </w:r>
      <w:r>
        <w:rPr>
          <w:rFonts w:hint="eastAsia" w:ascii="宋体" w:hAnsi="宋体" w:cs="FZSSK--GBK1-00+ZBNFQH-7"/>
          <w:color w:val="000000" w:themeColor="text1"/>
          <w14:textFill>
            <w14:solidFill>
              <w14:schemeClr w14:val="tx1"/>
            </w14:solidFill>
          </w14:textFill>
        </w:rPr>
        <w:t>各</w:t>
      </w:r>
      <w:r>
        <w:rPr>
          <w:rFonts w:hint="eastAsia" w:ascii="宋体" w:hAnsi="宋体" w:cs="SSJ4+ZBNFQG-1"/>
          <w:color w:val="000000" w:themeColor="text1"/>
          <w14:textFill>
            <w14:solidFill>
              <w14:schemeClr w14:val="tx1"/>
            </w14:solidFill>
          </w14:textFill>
        </w:rPr>
        <w:t>国</w:t>
      </w:r>
      <w:r>
        <w:rPr>
          <w:rFonts w:hint="eastAsia" w:ascii="宋体" w:hAnsi="宋体" w:cs="FZSSK--GBK1-00+ZBNFQI-10"/>
          <w:color w:val="000000" w:themeColor="text1"/>
          <w14:textFill>
            <w14:solidFill>
              <w14:schemeClr w14:val="tx1"/>
            </w14:solidFill>
          </w14:textFill>
        </w:rPr>
        <w:t>共</w:t>
      </w:r>
      <w:r>
        <w:rPr>
          <w:rFonts w:hint="eastAsia" w:ascii="宋体" w:hAnsi="宋体" w:cs="SSJ4+ZBNFQG-1"/>
          <w:color w:val="000000" w:themeColor="text1"/>
          <w14:textFill>
            <w14:solidFill>
              <w14:schemeClr w14:val="tx1"/>
            </w14:solidFill>
          </w14:textFill>
        </w:rPr>
        <w:t>同</w:t>
      </w:r>
      <w:r>
        <w:rPr>
          <w:rFonts w:hint="eastAsia" w:ascii="宋体" w:hAnsi="宋体" w:cs="FZSSK--GBK1-00+ZBNFQJ-13"/>
          <w:color w:val="000000" w:themeColor="text1"/>
          <w14:textFill>
            <w14:solidFill>
              <w14:schemeClr w14:val="tx1"/>
            </w14:solidFill>
          </w14:textFill>
        </w:rPr>
        <w:t>负责</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济政治</w:t>
      </w:r>
      <w:r>
        <w:rPr>
          <w:rFonts w:hint="eastAsia" w:ascii="宋体" w:hAnsi="宋体" w:cs="FZSSK--GBK1-00+ZBNFQJ-12"/>
          <w:color w:val="000000" w:themeColor="text1"/>
          <w14:textFill>
            <w14:solidFill>
              <w14:schemeClr w14:val="tx1"/>
            </w14:solidFill>
          </w14:textFill>
        </w:rPr>
        <w:t>文</w:t>
      </w:r>
      <w:r>
        <w:rPr>
          <w:rFonts w:hint="eastAsia" w:ascii="宋体" w:hAnsi="宋体" w:cs="SSJ4+ZBNFQG-1"/>
          <w:color w:val="000000" w:themeColor="text1"/>
          <w14:textFill>
            <w14:solidFill>
              <w14:schemeClr w14:val="tx1"/>
            </w14:solidFill>
          </w14:textFill>
        </w:rPr>
        <w:t>化新</w:t>
      </w:r>
      <w:r>
        <w:rPr>
          <w:rFonts w:hint="eastAsia" w:ascii="宋体" w:hAnsi="宋体" w:cs="FZSSK--GBK1-00+ZBNFQL-16"/>
          <w:color w:val="000000" w:themeColor="text1"/>
          <w14:textFill>
            <w14:solidFill>
              <w14:schemeClr w14:val="tx1"/>
            </w14:solidFill>
          </w14:textFill>
        </w:rPr>
        <w:t>秩序</w:t>
      </w:r>
      <w:r>
        <w:rPr>
          <w:rFonts w:hint="eastAsia" w:ascii="宋体" w:hAnsi="宋体" w:cs="SSJ4+ZBNFQG-1"/>
          <w:color w:val="000000" w:themeColor="text1"/>
          <w14:textFill>
            <w14:solidFill>
              <w14:schemeClr w14:val="tx1"/>
            </w14:solidFill>
          </w14:textFill>
        </w:rPr>
        <w:t>，</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正发展经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SSJ4+ZBNFQG-1"/>
          <w:color w:val="000000" w:themeColor="text1"/>
          <w14:textFill>
            <w14:solidFill>
              <w14:schemeClr w14:val="tx1"/>
            </w14:solidFill>
          </w14:textFill>
        </w:rPr>
        <w:t>化</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政治</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主化</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文</w:t>
      </w:r>
      <w:r>
        <w:rPr>
          <w:rFonts w:hint="eastAsia" w:ascii="宋体" w:hAnsi="宋体" w:cs="SSJ4+ZBNFQG-1"/>
          <w:color w:val="000000" w:themeColor="text1"/>
          <w14:textFill>
            <w14:solidFill>
              <w14:schemeClr w14:val="tx1"/>
            </w14:solidFill>
          </w14:textFill>
        </w:rPr>
        <w:t>化多</w:t>
      </w:r>
      <w:r>
        <w:rPr>
          <w:rFonts w:hint="eastAsia" w:ascii="宋体" w:hAnsi="宋体" w:cs="FZSSK--GBK1-00+ZBNFQH-7"/>
          <w:color w:val="000000" w:themeColor="text1"/>
          <w14:textFill>
            <w14:solidFill>
              <w14:schemeClr w14:val="tx1"/>
            </w14:solidFill>
          </w14:textFill>
        </w:rPr>
        <w:t>样</w:t>
      </w:r>
      <w:r>
        <w:rPr>
          <w:rFonts w:hint="eastAsia" w:ascii="宋体" w:hAnsi="宋体" w:cs="SSJ4+ZBNFQG-1"/>
          <w:color w:val="000000" w:themeColor="text1"/>
          <w14:textFill>
            <w14:solidFill>
              <w14:schemeClr w14:val="tx1"/>
            </w14:solidFill>
          </w14:textFill>
        </w:rPr>
        <w:t>化</w:t>
      </w:r>
      <w:r>
        <w:rPr>
          <w:rFonts w:hint="eastAsia" w:ascii="宋体" w:hAnsi="宋体" w:cs="SSJ0+ZBNFQG-4"/>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军</w:t>
      </w:r>
      <w:r>
        <w:rPr>
          <w:rFonts w:hint="eastAsia" w:ascii="宋体" w:hAnsi="宋体" w:cs="FZSSK--GBK1-00+ZBNFQI-9"/>
          <w:color w:val="000000" w:themeColor="text1"/>
          <w14:textFill>
            <w14:solidFill>
              <w14:schemeClr w14:val="tx1"/>
            </w14:solidFill>
          </w14:textFill>
        </w:rPr>
        <w:t>事</w:t>
      </w:r>
      <w:r>
        <w:rPr>
          <w:rFonts w:hint="eastAsia" w:ascii="宋体" w:hAnsi="宋体" w:cs="SSJ4+ZBNFQG-1"/>
          <w:color w:val="000000" w:themeColor="text1"/>
          <w14:textFill>
            <w14:solidFill>
              <w14:schemeClr w14:val="tx1"/>
            </w14:solidFill>
          </w14:textFill>
        </w:rPr>
        <w:t>自</w:t>
      </w:r>
      <w:r>
        <w:rPr>
          <w:rFonts w:hint="eastAsia" w:ascii="宋体" w:hAnsi="宋体" w:cs="FZSSK--GBK1-00+ZBNFQI-9"/>
          <w:color w:val="000000" w:themeColor="text1"/>
          <w14:textFill>
            <w14:solidFill>
              <w14:schemeClr w14:val="tx1"/>
            </w14:solidFill>
          </w14:textFill>
        </w:rPr>
        <w:t>卫</w:t>
      </w:r>
      <w:r>
        <w:rPr>
          <w:rFonts w:hint="eastAsia" w:ascii="宋体" w:hAnsi="宋体" w:cs="SSJ4+ZBNFQG-1"/>
          <w:color w:val="000000" w:themeColor="text1"/>
          <w14:textFill>
            <w14:solidFill>
              <w14:schemeClr w14:val="tx1"/>
            </w14:solidFill>
          </w14:textFill>
        </w:rPr>
        <w:t>化</w:t>
      </w:r>
      <w:r>
        <w:rPr>
          <w:rFonts w:hint="eastAsia" w:ascii="宋体" w:hAnsi="宋体" w:cs="SSJ0+ZBNFQG-4"/>
          <w:color w:val="000000" w:themeColor="text1"/>
          <w14:textFill>
            <w14:solidFill>
              <w14:schemeClr w14:val="tx1"/>
            </w14:solidFill>
          </w14:textFill>
        </w:rPr>
        <w:t>。</w:t>
      </w:r>
    </w:p>
    <w:p w14:paraId="3DD67080">
      <w:pPr>
        <w:autoSpaceDE w:val="0"/>
        <w:autoSpaceDN w:val="0"/>
        <w:adjustRightInd w:val="0"/>
        <w:spacing w:line="400" w:lineRule="exact"/>
        <w:ind w:firstLine="420" w:firstLineChars="200"/>
        <w:jc w:val="left"/>
        <w:rPr>
          <w:rFonts w:hint="eastAsia" w:ascii="宋体" w:hAnsi="宋体" w:cs="SSJ4+ZBNFQG-1"/>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面对</w:t>
      </w:r>
      <w:r>
        <w:rPr>
          <w:rFonts w:hint="eastAsia" w:ascii="宋体" w:hAnsi="宋体" w:cs="FZSSK--GBK1-00+ZBNFQH-5"/>
          <w:color w:val="000000" w:themeColor="text1"/>
          <w14:textFill>
            <w14:solidFill>
              <w14:schemeClr w14:val="tx1"/>
            </w14:solidFill>
          </w14:textFill>
        </w:rPr>
        <w:t>现</w:t>
      </w:r>
      <w:r>
        <w:rPr>
          <w:rFonts w:hint="eastAsia" w:ascii="宋体" w:hAnsi="宋体" w:cs="FZSSK--GBK1-00+ZBNFQI-10"/>
          <w:color w:val="000000" w:themeColor="text1"/>
          <w14:textFill>
            <w14:solidFill>
              <w14:schemeClr w14:val="tx1"/>
            </w14:solidFill>
          </w14:textFill>
        </w:rPr>
        <w:t>实</w:t>
      </w:r>
      <w:r>
        <w:rPr>
          <w:rFonts w:hint="eastAsia" w:ascii="宋体" w:hAnsi="宋体" w:cs="SSJ4+ZBNFQG-1"/>
          <w:color w:val="000000" w:themeColor="text1"/>
          <w14:textFill>
            <w14:solidFill>
              <w14:schemeClr w14:val="tx1"/>
            </w14:solidFill>
          </w14:textFill>
        </w:rPr>
        <w:t>，发展中国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L-16"/>
          <w:color w:val="000000" w:themeColor="text1"/>
          <w14:textFill>
            <w14:solidFill>
              <w14:schemeClr w14:val="tx1"/>
            </w14:solidFill>
          </w14:textFill>
        </w:rPr>
        <w:t>若</w:t>
      </w:r>
      <w:r>
        <w:rPr>
          <w:rFonts w:hint="eastAsia" w:ascii="宋体" w:hAnsi="宋体" w:cs="SSJ4+ZBNFQG-1"/>
          <w:color w:val="000000" w:themeColor="text1"/>
          <w14:textFill>
            <w14:solidFill>
              <w14:schemeClr w14:val="tx1"/>
            </w14:solidFill>
          </w14:textFill>
        </w:rPr>
        <w:t>要</w:t>
      </w:r>
      <w:r>
        <w:rPr>
          <w:rFonts w:hint="eastAsia" w:ascii="宋体" w:hAnsi="宋体" w:cs="FZSSK--GBK1-00+ZBNFQH-7"/>
          <w:color w:val="000000" w:themeColor="text1"/>
          <w14:textFill>
            <w14:solidFill>
              <w14:schemeClr w14:val="tx1"/>
            </w14:solidFill>
          </w14:textFill>
        </w:rPr>
        <w:t>更</w:t>
      </w:r>
      <w:r>
        <w:rPr>
          <w:rFonts w:hint="eastAsia" w:ascii="宋体" w:hAnsi="宋体" w:cs="FZSSK--GBK1-00+ZBNFQJ-13"/>
          <w:color w:val="000000" w:themeColor="text1"/>
          <w14:textFill>
            <w14:solidFill>
              <w14:schemeClr w14:val="tx1"/>
            </w14:solidFill>
          </w14:textFill>
        </w:rPr>
        <w:t>好</w:t>
      </w:r>
      <w:r>
        <w:rPr>
          <w:rFonts w:hint="eastAsia" w:ascii="宋体" w:hAnsi="宋体" w:cs="FZSSK--GBK1-00+ZBNFQI-10"/>
          <w:color w:val="000000" w:themeColor="text1"/>
          <w14:textFill>
            <w14:solidFill>
              <w14:schemeClr w14:val="tx1"/>
            </w14:solidFill>
          </w14:textFill>
        </w:rPr>
        <w:t>地</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L-16"/>
          <w:color w:val="000000" w:themeColor="text1"/>
          <w14:textFill>
            <w14:solidFill>
              <w14:schemeClr w14:val="tx1"/>
            </w14:solidFill>
          </w14:textFill>
        </w:rPr>
        <w:t>护</w:t>
      </w:r>
      <w:r>
        <w:rPr>
          <w:rFonts w:hint="eastAsia" w:ascii="宋体" w:hAnsi="宋体" w:cs="SSJ4+ZBNFQG-1"/>
          <w:color w:val="000000" w:themeColor="text1"/>
          <w14:textFill>
            <w14:solidFill>
              <w14:schemeClr w14:val="tx1"/>
            </w14:solidFill>
          </w14:textFill>
        </w:rPr>
        <w:t>本国以</w:t>
      </w:r>
      <w:r>
        <w:rPr>
          <w:rFonts w:hint="eastAsia" w:ascii="宋体" w:hAnsi="宋体" w:cs="FZSSK--GBK1-00+ZBNFQI-9"/>
          <w:color w:val="000000" w:themeColor="text1"/>
          <w14:textFill>
            <w14:solidFill>
              <w14:schemeClr w14:val="tx1"/>
            </w14:solidFill>
          </w14:textFill>
        </w:rPr>
        <w:t>及</w:t>
      </w:r>
      <w:r>
        <w:rPr>
          <w:rFonts w:hint="eastAsia" w:ascii="宋体" w:hAnsi="宋体" w:cs="SSJ4+ZBNFQG-1"/>
          <w:color w:val="000000" w:themeColor="text1"/>
          <w14:textFill>
            <w14:solidFill>
              <w14:schemeClr w14:val="tx1"/>
            </w14:solidFill>
          </w14:textFill>
        </w:rPr>
        <w:t>世界</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10"/>
          <w:color w:val="000000" w:themeColor="text1"/>
          <w14:textFill>
            <w14:solidFill>
              <w14:schemeClr w14:val="tx1"/>
            </w14:solidFill>
          </w14:textFill>
        </w:rPr>
        <w:t>者</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K-15"/>
          <w:color w:val="000000" w:themeColor="text1"/>
          <w14:textFill>
            <w14:solidFill>
              <w14:schemeClr w14:val="tx1"/>
            </w14:solidFill>
          </w14:textFill>
        </w:rPr>
        <w:t>益</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就</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K-14"/>
          <w:color w:val="000000" w:themeColor="text1"/>
          <w14:textFill>
            <w14:solidFill>
              <w14:schemeClr w14:val="tx1"/>
            </w14:solidFill>
          </w14:textFill>
        </w:rPr>
        <w:t>须</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H-7"/>
          <w:color w:val="000000" w:themeColor="text1"/>
          <w14:textFill>
            <w14:solidFill>
              <w14:schemeClr w14:val="tx1"/>
            </w14:solidFill>
          </w14:textFill>
        </w:rPr>
        <w:t>强</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作对</w:t>
      </w:r>
      <w:r>
        <w:rPr>
          <w:rFonts w:hint="eastAsia" w:ascii="宋体" w:hAnsi="宋体" w:cs="FZSSK--GBK1-00+ZBNFQI-9"/>
          <w:color w:val="000000" w:themeColor="text1"/>
          <w14:textFill>
            <w14:solidFill>
              <w14:schemeClr w14:val="tx1"/>
            </w14:solidFill>
          </w14:textFill>
        </w:rPr>
        <w:t>象</w:t>
      </w:r>
      <w:r>
        <w:rPr>
          <w:rFonts w:hint="eastAsia" w:ascii="宋体" w:hAnsi="宋体" w:cs="SSJ4+ZBNFQG-1"/>
          <w:color w:val="000000" w:themeColor="text1"/>
          <w14:textFill>
            <w14:solidFill>
              <w14:schemeClr w14:val="tx1"/>
            </w14:solidFill>
          </w14:textFill>
        </w:rPr>
        <w:t>有</w:t>
      </w:r>
      <w:r>
        <w:rPr>
          <w:rFonts w:hint="eastAsia" w:ascii="宋体" w:hAnsi="宋体" w:cs="FZSSK--GBK1-00+ZBNFQQ-24"/>
          <w:color w:val="000000" w:themeColor="text1"/>
          <w14:textFill>
            <w14:solidFill>
              <w14:schemeClr w14:val="tx1"/>
            </w14:solidFill>
          </w14:textFill>
        </w:rPr>
        <w:t>哪</w:t>
      </w:r>
      <w:r>
        <w:rPr>
          <w:rFonts w:hint="eastAsia" w:ascii="宋体" w:hAnsi="宋体" w:cs="FZSSK--GBK1-00+ZBNFQH-7"/>
          <w:color w:val="000000" w:themeColor="text1"/>
          <w14:textFill>
            <w14:solidFill>
              <w14:schemeClr w14:val="tx1"/>
            </w14:solidFill>
          </w14:textFill>
        </w:rPr>
        <w:t>些</w:t>
      </w:r>
      <w:r>
        <w:rPr>
          <w:rFonts w:hint="eastAsia" w:ascii="宋体" w:hAnsi="宋体" w:cs="FZSSK--GBK1-00+ZBNFQI-10"/>
          <w:color w:val="000000" w:themeColor="text1"/>
          <w14:textFill>
            <w14:solidFill>
              <w14:schemeClr w14:val="tx1"/>
            </w14:solidFill>
          </w14:textFill>
        </w:rPr>
        <w:t>呢</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是发展中国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之</w:t>
      </w:r>
      <w:r>
        <w:rPr>
          <w:rFonts w:hint="eastAsia" w:ascii="宋体" w:hAnsi="宋体" w:cs="FZSSK--GBK1-00+ZBNFQH-5"/>
          <w:color w:val="000000" w:themeColor="text1"/>
          <w14:textFill>
            <w14:solidFill>
              <w14:schemeClr w14:val="tx1"/>
            </w14:solidFill>
          </w14:textFill>
        </w:rPr>
        <w:t>间</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H-5"/>
          <w:color w:val="000000" w:themeColor="text1"/>
          <w14:textFill>
            <w14:solidFill>
              <w14:schemeClr w14:val="tx1"/>
            </w14:solidFill>
          </w14:textFill>
        </w:rPr>
        <w:t>如</w:t>
      </w:r>
      <w:r>
        <w:rPr>
          <w:rFonts w:hint="eastAsia" w:ascii="宋体" w:hAnsi="宋体" w:cs="SSJ4+ZBNFQG-1"/>
          <w:color w:val="000000" w:themeColor="text1"/>
          <w14:textFill>
            <w14:solidFill>
              <w14:schemeClr w14:val="tx1"/>
            </w14:solidFill>
          </w14:textFill>
        </w:rPr>
        <w:t>说在</w:t>
      </w:r>
      <w:r>
        <w:rPr>
          <w:rFonts w:hint="eastAsia" w:ascii="宋体" w:hAnsi="宋体" w:cs="FZSSK--GBK1-00+ZBNFQT-26"/>
          <w:color w:val="000000" w:themeColor="text1"/>
          <w14:textFill>
            <w14:solidFill>
              <w14:schemeClr w14:val="tx1"/>
            </w14:solidFill>
          </w14:textFill>
        </w:rPr>
        <w:t>哥</w:t>
      </w:r>
      <w:r>
        <w:rPr>
          <w:rFonts w:hint="eastAsia" w:ascii="宋体" w:hAnsi="宋体" w:cs="SSJ4+ZBNFQG-1"/>
          <w:color w:val="000000" w:themeColor="text1"/>
          <w14:textFill>
            <w14:solidFill>
              <w14:schemeClr w14:val="tx1"/>
            </w14:solidFill>
          </w14:textFill>
        </w:rPr>
        <w:t>本</w:t>
      </w:r>
      <w:r>
        <w:rPr>
          <w:rFonts w:hint="eastAsia" w:ascii="宋体" w:hAnsi="宋体" w:cs="FZSSK--GBK1-00+ZBNFQT-26"/>
          <w:color w:val="000000" w:themeColor="text1"/>
          <w14:textFill>
            <w14:solidFill>
              <w14:schemeClr w14:val="tx1"/>
            </w14:solidFill>
          </w14:textFill>
        </w:rPr>
        <w:t>哈</w:t>
      </w:r>
      <w:r>
        <w:rPr>
          <w:rFonts w:hint="eastAsia" w:ascii="宋体" w:hAnsi="宋体" w:cs="FZSSK--GBK1-00+ZBNFQH-5"/>
          <w:color w:val="000000" w:themeColor="text1"/>
          <w14:textFill>
            <w14:solidFill>
              <w14:schemeClr w14:val="tx1"/>
            </w14:solidFill>
          </w14:textFill>
        </w:rPr>
        <w:t>根</w:t>
      </w:r>
      <w:r>
        <w:rPr>
          <w:rFonts w:hint="eastAsia" w:ascii="宋体" w:hAnsi="宋体" w:cs="FZSSK--GBK1-00+ZBNFQO-21"/>
          <w:color w:val="000000" w:themeColor="text1"/>
          <w14:textFill>
            <w14:solidFill>
              <w14:schemeClr w14:val="tx1"/>
            </w14:solidFill>
          </w14:textFill>
        </w:rPr>
        <w:t>气</w:t>
      </w:r>
      <w:r>
        <w:rPr>
          <w:rFonts w:hint="eastAsia" w:ascii="宋体" w:hAnsi="宋体" w:cs="FZSSK--GBK1-00+ZBNFQH-5"/>
          <w:color w:val="000000" w:themeColor="text1"/>
          <w14:textFill>
            <w14:solidFill>
              <w14:schemeClr w14:val="tx1"/>
            </w14:solidFill>
          </w14:textFill>
        </w:rPr>
        <w:t>候会</w:t>
      </w:r>
      <w:r>
        <w:rPr>
          <w:rFonts w:hint="eastAsia" w:ascii="宋体" w:hAnsi="宋体" w:cs="FZSSK--GBK1-00+ZBNFQI-9"/>
          <w:color w:val="000000" w:themeColor="text1"/>
          <w14:textFill>
            <w14:solidFill>
              <w14:schemeClr w14:val="tx1"/>
            </w14:solidFill>
          </w14:textFill>
        </w:rPr>
        <w:t>议</w:t>
      </w:r>
      <w:r>
        <w:rPr>
          <w:rFonts w:hint="eastAsia" w:ascii="宋体" w:hAnsi="宋体" w:cs="FZSSK--GBK1-00+ZBNFQH-7"/>
          <w:color w:val="000000" w:themeColor="text1"/>
          <w14:textFill>
            <w14:solidFill>
              <w14:schemeClr w14:val="tx1"/>
            </w14:solidFill>
          </w14:textFill>
        </w:rPr>
        <w:t>上</w:t>
      </w:r>
      <w:r>
        <w:rPr>
          <w:rFonts w:hint="eastAsia" w:ascii="宋体" w:hAnsi="宋体" w:cs="SSJ4+ZBNFQG-1"/>
          <w:color w:val="000000" w:themeColor="text1"/>
          <w14:textFill>
            <w14:solidFill>
              <w14:schemeClr w14:val="tx1"/>
            </w14:solidFill>
          </w14:textFill>
        </w:rPr>
        <w:t>，中国</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印</w:t>
      </w:r>
      <w:r>
        <w:rPr>
          <w:rFonts w:hint="eastAsia" w:ascii="宋体" w:hAnsi="宋体" w:cs="FZSSK--GBK1-00+ZBNFQI-9"/>
          <w:color w:val="000000" w:themeColor="text1"/>
          <w14:textFill>
            <w14:solidFill>
              <w14:schemeClr w14:val="tx1"/>
            </w14:solidFill>
          </w14:textFill>
        </w:rPr>
        <w:t>度</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H-7"/>
          <w:color w:val="000000" w:themeColor="text1"/>
          <w14:textFill>
            <w14:solidFill>
              <w14:schemeClr w14:val="tx1"/>
            </w14:solidFill>
          </w14:textFill>
        </w:rPr>
        <w:t>强</w:t>
      </w:r>
      <w:r>
        <w:rPr>
          <w:rFonts w:hint="eastAsia" w:ascii="宋体" w:hAnsi="宋体" w:cs="SSJ4+ZBNFQG-1"/>
          <w:color w:val="000000" w:themeColor="text1"/>
          <w14:textFill>
            <w14:solidFill>
              <w14:schemeClr w14:val="tx1"/>
            </w14:solidFill>
          </w14:textFill>
        </w:rPr>
        <w:t>了</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作，对</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推</w:t>
      </w:r>
      <w:r>
        <w:rPr>
          <w:rFonts w:hint="eastAsia" w:ascii="宋体" w:hAnsi="宋体" w:cs="FZSSK--GBK1-00+ZBNFQI-10"/>
          <w:color w:val="000000" w:themeColor="text1"/>
          <w14:textFill>
            <w14:solidFill>
              <w14:schemeClr w14:val="tx1"/>
            </w14:solidFill>
          </w14:textFill>
        </w:rPr>
        <w:t>行</w:t>
      </w:r>
      <w:r>
        <w:rPr>
          <w:rFonts w:hint="eastAsia" w:ascii="宋体" w:hAnsi="宋体" w:cs="SSJ0+ZBNFQG-4"/>
          <w:color w:val="000000" w:themeColor="text1"/>
          <w14:textFill>
            <w14:solidFill>
              <w14:schemeClr w14:val="tx1"/>
            </w14:solidFill>
          </w14:textFill>
        </w:rPr>
        <w:t>“</w:t>
      </w:r>
      <w:r>
        <w:rPr>
          <w:rFonts w:hint="eastAsia" w:ascii="宋体" w:hAnsi="宋体" w:cs="FZSSK--GBK1-00+ZBNFQO-21"/>
          <w:color w:val="000000" w:themeColor="text1"/>
          <w14:textFill>
            <w14:solidFill>
              <w14:schemeClr w14:val="tx1"/>
            </w14:solidFill>
          </w14:textFill>
        </w:rPr>
        <w:t>气</w:t>
      </w:r>
      <w:r>
        <w:rPr>
          <w:rFonts w:hint="eastAsia" w:ascii="宋体" w:hAnsi="宋体" w:cs="FZSSK--GBK1-00+ZBNFQH-5"/>
          <w:color w:val="000000" w:themeColor="text1"/>
          <w14:textFill>
            <w14:solidFill>
              <w14:schemeClr w14:val="tx1"/>
            </w14:solidFill>
          </w14:textFill>
        </w:rPr>
        <w:t>候霸权</w:t>
      </w:r>
      <w:r>
        <w:rPr>
          <w:rFonts w:hint="eastAsia" w:ascii="宋体" w:hAnsi="宋体" w:cs="SSJ0+ZBNFQG-4"/>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起</w:t>
      </w:r>
      <w:r>
        <w:rPr>
          <w:rFonts w:hint="eastAsia" w:ascii="宋体" w:hAnsi="宋体" w:cs="SSJ4+ZBNFQG-1"/>
          <w:color w:val="000000" w:themeColor="text1"/>
          <w14:textFill>
            <w14:solidFill>
              <w14:schemeClr w14:val="tx1"/>
            </w14:solidFill>
          </w14:textFill>
        </w:rPr>
        <w:t>了重要的</w:t>
      </w:r>
      <w:r>
        <w:rPr>
          <w:rFonts w:hint="eastAsia" w:ascii="宋体" w:hAnsi="宋体" w:cs="FZSSK--GBK1-00+ZBNFQL-16"/>
          <w:color w:val="000000" w:themeColor="text1"/>
          <w14:textFill>
            <w14:solidFill>
              <w14:schemeClr w14:val="tx1"/>
            </w14:solidFill>
          </w14:textFill>
        </w:rPr>
        <w:t>遏</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作</w:t>
      </w:r>
      <w:r>
        <w:rPr>
          <w:rFonts w:hint="eastAsia" w:ascii="宋体" w:hAnsi="宋体" w:cs="FZSSK--GBK1-00+ZBNFQH-8"/>
          <w:color w:val="000000" w:themeColor="text1"/>
          <w14:textFill>
            <w14:solidFill>
              <w14:schemeClr w14:val="tx1"/>
            </w14:solidFill>
          </w14:textFill>
        </w:rPr>
        <w:t>用</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我</w:t>
      </w:r>
      <w:r>
        <w:rPr>
          <w:rFonts w:hint="eastAsia" w:ascii="宋体" w:hAnsi="宋体" w:cs="FZSSK--GBK1-00+ZBNFQH-5"/>
          <w:color w:val="000000" w:themeColor="text1"/>
          <w14:textFill>
            <w14:solidFill>
              <w14:schemeClr w14:val="tx1"/>
            </w14:solidFill>
          </w14:textFill>
        </w:rPr>
        <w:t>们</w:t>
      </w:r>
      <w:r>
        <w:rPr>
          <w:rFonts w:hint="eastAsia" w:ascii="宋体" w:hAnsi="宋体" w:cs="FZSSK--GBK1-00+ZBNFQH-8"/>
          <w:color w:val="000000" w:themeColor="text1"/>
          <w14:textFill>
            <w14:solidFill>
              <w14:schemeClr w14:val="tx1"/>
            </w14:solidFill>
          </w14:textFill>
        </w:rPr>
        <w:t>越</w:t>
      </w:r>
      <w:r>
        <w:rPr>
          <w:rFonts w:hint="eastAsia" w:ascii="宋体" w:hAnsi="宋体" w:cs="SSJ4+ZBNFQG-1"/>
          <w:color w:val="000000" w:themeColor="text1"/>
          <w14:textFill>
            <w14:solidFill>
              <w14:schemeClr w14:val="tx1"/>
            </w14:solidFill>
          </w14:textFill>
        </w:rPr>
        <w:t>是</w:t>
      </w:r>
      <w:r>
        <w:rPr>
          <w:rFonts w:hint="eastAsia" w:ascii="宋体" w:hAnsi="宋体" w:cs="FZSSK--GBK1-00+ZBNFQL-16"/>
          <w:color w:val="000000" w:themeColor="text1"/>
          <w14:textFill>
            <w14:solidFill>
              <w14:schemeClr w14:val="tx1"/>
            </w14:solidFill>
          </w14:textFill>
        </w:rPr>
        <w:t>团</w:t>
      </w:r>
      <w:r>
        <w:rPr>
          <w:rFonts w:hint="eastAsia" w:ascii="宋体" w:hAnsi="宋体" w:cs="FZSSK--GBK1-00+ZBNFQH-5"/>
          <w:color w:val="000000" w:themeColor="text1"/>
          <w14:textFill>
            <w14:solidFill>
              <w14:schemeClr w14:val="tx1"/>
            </w14:solidFill>
          </w14:textFill>
        </w:rPr>
        <w:t>结</w:t>
      </w:r>
      <w:r>
        <w:rPr>
          <w:rFonts w:hint="eastAsia" w:ascii="宋体" w:hAnsi="宋体" w:cs="FZSSK--GBK1-00+ZBNFQH-8"/>
          <w:color w:val="000000" w:themeColor="text1"/>
          <w14:textFill>
            <w14:solidFill>
              <w14:schemeClr w14:val="tx1"/>
            </w14:solidFill>
          </w14:textFill>
        </w:rPr>
        <w:t>得</w:t>
      </w:r>
      <w:r>
        <w:rPr>
          <w:rFonts w:hint="eastAsia" w:ascii="宋体" w:hAnsi="宋体" w:cs="FZSSK--GBK1-00+ZBNFQJ-13"/>
          <w:color w:val="000000" w:themeColor="text1"/>
          <w14:textFill>
            <w14:solidFill>
              <w14:schemeClr w14:val="tx1"/>
            </w14:solidFill>
          </w14:textFill>
        </w:rPr>
        <w:t>好</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w:t>
      </w:r>
      <w:r>
        <w:rPr>
          <w:rFonts w:hint="eastAsia" w:ascii="宋体" w:hAnsi="宋体" w:cs="FZSSK--GBK1-00+ZBNFQH-8"/>
          <w:color w:val="000000" w:themeColor="text1"/>
          <w14:textFill>
            <w14:solidFill>
              <w14:schemeClr w14:val="tx1"/>
            </w14:solidFill>
          </w14:textFill>
        </w:rPr>
        <w:t>得</w:t>
      </w:r>
      <w:r>
        <w:rPr>
          <w:rFonts w:hint="eastAsia" w:ascii="宋体" w:hAnsi="宋体" w:cs="FZSSK--GBK1-00+ZBNFQJ-13"/>
          <w:color w:val="000000" w:themeColor="text1"/>
          <w14:textFill>
            <w14:solidFill>
              <w14:schemeClr w14:val="tx1"/>
            </w14:solidFill>
          </w14:textFill>
        </w:rPr>
        <w:t>好</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就</w:t>
      </w:r>
      <w:r>
        <w:rPr>
          <w:rFonts w:hint="eastAsia" w:ascii="宋体" w:hAnsi="宋体" w:cs="FZSSK--GBK1-00+ZBNFQH-8"/>
          <w:color w:val="000000" w:themeColor="text1"/>
          <w14:textFill>
            <w14:solidFill>
              <w14:schemeClr w14:val="tx1"/>
            </w14:solidFill>
          </w14:textFill>
        </w:rPr>
        <w:t>越</w:t>
      </w:r>
      <w:r>
        <w:rPr>
          <w:rFonts w:hint="eastAsia" w:ascii="宋体" w:hAnsi="宋体" w:cs="FZSSK--GBK1-00+ZBNFQH-7"/>
          <w:color w:val="000000" w:themeColor="text1"/>
          <w14:textFill>
            <w14:solidFill>
              <w14:schemeClr w14:val="tx1"/>
            </w14:solidFill>
          </w14:textFill>
        </w:rPr>
        <w:t>能最</w:t>
      </w:r>
      <w:r>
        <w:rPr>
          <w:rFonts w:hint="eastAsia" w:ascii="宋体" w:hAnsi="宋体" w:cs="SSJ4+ZBNFQG-1"/>
          <w:color w:val="000000" w:themeColor="text1"/>
          <w14:textFill>
            <w14:solidFill>
              <w14:schemeClr w14:val="tx1"/>
            </w14:solidFill>
          </w14:textFill>
        </w:rPr>
        <w:t>大</w:t>
      </w:r>
      <w:r>
        <w:rPr>
          <w:rFonts w:hint="eastAsia" w:ascii="宋体" w:hAnsi="宋体" w:cs="FZSSK--GBK1-00+ZBNFQI-9"/>
          <w:color w:val="000000" w:themeColor="text1"/>
          <w14:textFill>
            <w14:solidFill>
              <w14:schemeClr w14:val="tx1"/>
            </w14:solidFill>
          </w14:textFill>
        </w:rPr>
        <w:t>限度</w:t>
      </w:r>
      <w:r>
        <w:rPr>
          <w:rFonts w:hint="eastAsia" w:ascii="宋体" w:hAnsi="宋体" w:cs="FZSSK--GBK1-00+ZBNFQI-10"/>
          <w:color w:val="000000" w:themeColor="text1"/>
          <w14:textFill>
            <w14:solidFill>
              <w14:schemeClr w14:val="tx1"/>
            </w14:solidFill>
          </w14:textFill>
        </w:rPr>
        <w:t>地</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L-16"/>
          <w:color w:val="000000" w:themeColor="text1"/>
          <w14:textFill>
            <w14:solidFill>
              <w14:schemeClr w14:val="tx1"/>
            </w14:solidFill>
          </w14:textFill>
        </w:rPr>
        <w:t>护</w:t>
      </w:r>
      <w:r>
        <w:rPr>
          <w:rFonts w:hint="eastAsia" w:ascii="宋体" w:hAnsi="宋体" w:cs="SSJ4+ZBNFQG-1"/>
          <w:color w:val="000000" w:themeColor="text1"/>
          <w14:textFill>
            <w14:solidFill>
              <w14:schemeClr w14:val="tx1"/>
            </w14:solidFill>
          </w14:textFill>
        </w:rPr>
        <w:t>发展中国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H-5"/>
          <w:color w:val="000000" w:themeColor="text1"/>
          <w14:textFill>
            <w14:solidFill>
              <w14:schemeClr w14:val="tx1"/>
            </w14:solidFill>
          </w14:textFill>
        </w:rPr>
        <w:t>人</w:t>
      </w:r>
      <w:r>
        <w:rPr>
          <w:rFonts w:hint="eastAsia" w:ascii="宋体" w:hAnsi="宋体" w:cs="FZSSK--GBK1-00+ZBNFQI-9"/>
          <w:color w:val="000000" w:themeColor="text1"/>
          <w14:textFill>
            <w14:solidFill>
              <w14:schemeClr w14:val="tx1"/>
            </w14:solidFill>
          </w14:textFill>
        </w:rPr>
        <w:t>民</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K-15"/>
          <w:color w:val="000000" w:themeColor="text1"/>
          <w14:textFill>
            <w14:solidFill>
              <w14:schemeClr w14:val="tx1"/>
            </w14:solidFill>
          </w14:textFill>
        </w:rPr>
        <w:t>益</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二</w:t>
      </w:r>
      <w:r>
        <w:rPr>
          <w:rFonts w:hint="eastAsia" w:ascii="宋体" w:hAnsi="宋体" w:cs="SSJ4+ZBNFQG-1"/>
          <w:color w:val="000000" w:themeColor="text1"/>
          <w14:textFill>
            <w14:solidFill>
              <w14:schemeClr w14:val="tx1"/>
            </w14:solidFill>
          </w14:textFill>
        </w:rPr>
        <w:t>是</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H-7"/>
          <w:color w:val="000000" w:themeColor="text1"/>
          <w14:textFill>
            <w14:solidFill>
              <w14:schemeClr w14:val="tx1"/>
            </w14:solidFill>
          </w14:textFill>
        </w:rPr>
        <w:t>强政</w:t>
      </w:r>
      <w:r>
        <w:rPr>
          <w:rFonts w:hint="eastAsia" w:ascii="宋体" w:hAnsi="宋体" w:cs="FZSSK--GBK1-00+ZBNFQI-10"/>
          <w:color w:val="000000" w:themeColor="text1"/>
          <w14:textFill>
            <w14:solidFill>
              <w14:schemeClr w14:val="tx1"/>
            </w14:solidFill>
          </w14:textFill>
        </w:rPr>
        <w:t>党</w:t>
      </w:r>
      <w:r>
        <w:rPr>
          <w:rFonts w:hint="eastAsia" w:ascii="宋体" w:hAnsi="宋体" w:cs="SSJ4+ZBNFQG-1"/>
          <w:color w:val="000000" w:themeColor="text1"/>
          <w14:textFill>
            <w14:solidFill>
              <w14:schemeClr w14:val="tx1"/>
            </w14:solidFill>
          </w14:textFill>
        </w:rPr>
        <w:t>之</w:t>
      </w:r>
      <w:r>
        <w:rPr>
          <w:rFonts w:hint="eastAsia" w:ascii="宋体" w:hAnsi="宋体" w:cs="FZSSK--GBK1-00+ZBNFQH-5"/>
          <w:color w:val="000000" w:themeColor="text1"/>
          <w14:textFill>
            <w14:solidFill>
              <w14:schemeClr w14:val="tx1"/>
            </w14:solidFill>
          </w14:textFill>
        </w:rPr>
        <w:t>间</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在是</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10"/>
          <w:color w:val="000000" w:themeColor="text1"/>
          <w14:textFill>
            <w14:solidFill>
              <w14:schemeClr w14:val="tx1"/>
            </w14:solidFill>
          </w14:textFill>
        </w:rPr>
        <w:t>党</w:t>
      </w:r>
      <w:r>
        <w:rPr>
          <w:rFonts w:hint="eastAsia" w:ascii="宋体" w:hAnsi="宋体" w:cs="FZSSK--GBK1-00+ZBNFQH-7"/>
          <w:color w:val="000000" w:themeColor="text1"/>
          <w14:textFill>
            <w14:solidFill>
              <w14:schemeClr w14:val="tx1"/>
            </w14:solidFill>
          </w14:textFill>
        </w:rPr>
        <w:t>政治</w:t>
      </w:r>
      <w:r>
        <w:rPr>
          <w:rFonts w:hint="eastAsia" w:ascii="宋体" w:hAnsi="宋体" w:cs="SSJ4+ZBNFQG-1"/>
          <w:color w:val="000000" w:themeColor="text1"/>
          <w14:textFill>
            <w14:solidFill>
              <w14:schemeClr w14:val="tx1"/>
            </w14:solidFill>
          </w14:textFill>
        </w:rPr>
        <w:t>，</w:t>
      </w:r>
      <w:r>
        <w:rPr>
          <w:rFonts w:hint="eastAsia" w:ascii="宋体" w:hAnsi="宋体" w:cs="FZSSK--GBK1-00+ZBNFQK-15"/>
          <w:color w:val="000000" w:themeColor="text1"/>
          <w14:textFill>
            <w14:solidFill>
              <w14:schemeClr w14:val="tx1"/>
            </w14:solidFill>
          </w14:textFill>
        </w:rPr>
        <w:t>尤</w:t>
      </w:r>
      <w:r>
        <w:rPr>
          <w:rFonts w:hint="eastAsia" w:ascii="宋体" w:hAnsi="宋体" w:cs="FZSSK--GBK1-00+ZBNFQH-7"/>
          <w:color w:val="000000" w:themeColor="text1"/>
          <w14:textFill>
            <w14:solidFill>
              <w14:schemeClr w14:val="tx1"/>
            </w14:solidFill>
          </w14:textFill>
        </w:rPr>
        <w:t>其</w:t>
      </w:r>
      <w:r>
        <w:rPr>
          <w:rFonts w:hint="eastAsia" w:ascii="宋体" w:hAnsi="宋体" w:cs="SSJ4+ZBNFQG-1"/>
          <w:color w:val="000000" w:themeColor="text1"/>
          <w14:textFill>
            <w14:solidFill>
              <w14:schemeClr w14:val="tx1"/>
            </w14:solidFill>
          </w14:textFill>
        </w:rPr>
        <w:t>是对</w:t>
      </w:r>
      <w:r>
        <w:rPr>
          <w:rFonts w:hint="eastAsia" w:ascii="宋体" w:hAnsi="宋体" w:cs="FZSSK--GBK1-00+ZBNFQH-5"/>
          <w:color w:val="000000" w:themeColor="text1"/>
          <w14:textFill>
            <w14:solidFill>
              <w14:schemeClr w14:val="tx1"/>
            </w14:solidFill>
          </w14:textFill>
        </w:rPr>
        <w:t>那</w:t>
      </w:r>
      <w:r>
        <w:rPr>
          <w:rFonts w:hint="eastAsia" w:ascii="宋体" w:hAnsi="宋体" w:cs="FZSSK--GBK1-00+ZBNFQH-7"/>
          <w:color w:val="000000" w:themeColor="text1"/>
          <w14:textFill>
            <w14:solidFill>
              <w14:schemeClr w14:val="tx1"/>
            </w14:solidFill>
          </w14:textFill>
        </w:rPr>
        <w:t>些</w:t>
      </w:r>
      <w:r>
        <w:rPr>
          <w:rFonts w:hint="eastAsia" w:ascii="宋体" w:hAnsi="宋体" w:cs="FZSSK--GBK1-00+ZBNFQI-10"/>
          <w:color w:val="000000" w:themeColor="text1"/>
          <w14:textFill>
            <w14:solidFill>
              <w14:schemeClr w14:val="tx1"/>
            </w14:solidFill>
          </w14:textFill>
        </w:rPr>
        <w:t>共</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I-10"/>
          <w:color w:val="000000" w:themeColor="text1"/>
          <w14:textFill>
            <w14:solidFill>
              <w14:schemeClr w14:val="tx1"/>
            </w14:solidFill>
          </w14:textFill>
        </w:rPr>
        <w:t>党</w:t>
      </w:r>
      <w:r>
        <w:rPr>
          <w:rFonts w:hint="eastAsia" w:ascii="宋体" w:hAnsi="宋体" w:cs="FZSSK--GBK1-00+ZBNFQH-7"/>
          <w:color w:val="000000" w:themeColor="text1"/>
          <w14:textFill>
            <w14:solidFill>
              <w14:schemeClr w14:val="tx1"/>
            </w14:solidFill>
          </w14:textFill>
        </w:rPr>
        <w:t>或</w:t>
      </w:r>
      <w:r>
        <w:rPr>
          <w:rFonts w:hint="eastAsia" w:ascii="宋体" w:hAnsi="宋体" w:cs="FZSSK--GBK1-00+ZBNFQI-9"/>
          <w:color w:val="000000" w:themeColor="text1"/>
          <w14:textFill>
            <w14:solidFill>
              <w14:schemeClr w14:val="tx1"/>
            </w14:solidFill>
          </w14:textFill>
        </w:rPr>
        <w:t>左翼</w:t>
      </w:r>
      <w:r>
        <w:rPr>
          <w:rFonts w:hint="eastAsia" w:ascii="宋体" w:hAnsi="宋体" w:cs="FZSSK--GBK1-00+ZBNFQI-10"/>
          <w:color w:val="000000" w:themeColor="text1"/>
          <w14:textFill>
            <w14:solidFill>
              <w14:schemeClr w14:val="tx1"/>
            </w14:solidFill>
          </w14:textFill>
        </w:rPr>
        <w:t>党</w:t>
      </w:r>
      <w:r>
        <w:rPr>
          <w:rFonts w:hint="eastAsia" w:ascii="宋体" w:hAnsi="宋体" w:cs="FZSSK--GBK1-00+ZBNFQH-5"/>
          <w:color w:val="000000" w:themeColor="text1"/>
          <w14:textFill>
            <w14:solidFill>
              <w14:schemeClr w14:val="tx1"/>
            </w14:solidFill>
          </w14:textFill>
        </w:rPr>
        <w:t>没</w:t>
      </w:r>
      <w:r>
        <w:rPr>
          <w:rFonts w:hint="eastAsia" w:ascii="宋体" w:hAnsi="宋体" w:cs="SSJ4+ZBNFQG-1"/>
          <w:color w:val="000000" w:themeColor="text1"/>
          <w14:textFill>
            <w14:solidFill>
              <w14:schemeClr w14:val="tx1"/>
            </w14:solidFill>
          </w14:textFill>
        </w:rPr>
        <w:t>有</w:t>
      </w:r>
      <w:r>
        <w:rPr>
          <w:rFonts w:hint="eastAsia" w:ascii="宋体" w:hAnsi="宋体" w:cs="FZSSK--GBK1-00+ZBNFQT-26"/>
          <w:color w:val="000000" w:themeColor="text1"/>
          <w14:textFill>
            <w14:solidFill>
              <w14:schemeClr w14:val="tx1"/>
            </w14:solidFill>
          </w14:textFill>
        </w:rPr>
        <w:t>掌</w:t>
      </w:r>
      <w:r>
        <w:rPr>
          <w:rFonts w:hint="eastAsia" w:ascii="宋体" w:hAnsi="宋体" w:cs="FZSSK--GBK1-00+ZBNFQH-5"/>
          <w:color w:val="000000" w:themeColor="text1"/>
          <w14:textFill>
            <w14:solidFill>
              <w14:schemeClr w14:val="tx1"/>
            </w14:solidFill>
          </w14:textFill>
        </w:rPr>
        <w:t>权</w:t>
      </w:r>
      <w:r>
        <w:rPr>
          <w:rFonts w:hint="eastAsia" w:ascii="宋体" w:hAnsi="宋体" w:cs="SSJ4+ZBNFQG-1"/>
          <w:color w:val="000000" w:themeColor="text1"/>
          <w14:textFill>
            <w14:solidFill>
              <w14:schemeClr w14:val="tx1"/>
            </w14:solidFill>
          </w14:textFill>
        </w:rPr>
        <w:t>的国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只</w:t>
      </w:r>
      <w:r>
        <w:rPr>
          <w:rFonts w:hint="eastAsia" w:ascii="宋体" w:hAnsi="宋体" w:cs="FZSSK--GBK1-00+ZBNFQH-7"/>
          <w:color w:val="000000" w:themeColor="text1"/>
          <w14:textFill>
            <w14:solidFill>
              <w14:schemeClr w14:val="tx1"/>
            </w14:solidFill>
          </w14:textFill>
        </w:rPr>
        <w:t>能</w:t>
      </w:r>
      <w:r>
        <w:rPr>
          <w:rFonts w:hint="eastAsia" w:ascii="宋体" w:hAnsi="宋体" w:cs="FZSSK--GBK1-00+ZBNFQI-10"/>
          <w:color w:val="000000" w:themeColor="text1"/>
          <w14:textFill>
            <w14:solidFill>
              <w14:schemeClr w14:val="tx1"/>
            </w14:solidFill>
          </w14:textFill>
        </w:rPr>
        <w:t>通</w:t>
      </w:r>
      <w:r>
        <w:rPr>
          <w:rFonts w:hint="eastAsia" w:ascii="宋体" w:hAnsi="宋体" w:cs="FZSSK--GBK1-00+ZBNFQH-5"/>
          <w:color w:val="000000" w:themeColor="text1"/>
          <w14:textFill>
            <w14:solidFill>
              <w14:schemeClr w14:val="tx1"/>
            </w14:solidFill>
          </w14:textFill>
        </w:rPr>
        <w:t>过</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10"/>
          <w:color w:val="000000" w:themeColor="text1"/>
          <w14:textFill>
            <w14:solidFill>
              <w14:schemeClr w14:val="tx1"/>
            </w14:solidFill>
          </w14:textFill>
        </w:rPr>
        <w:t>党</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作在国际</w:t>
      </w:r>
      <w:r>
        <w:rPr>
          <w:rFonts w:hint="eastAsia" w:ascii="宋体" w:hAnsi="宋体" w:cs="FZSSK--GBK1-00+ZBNFQH-7"/>
          <w:color w:val="000000" w:themeColor="text1"/>
          <w14:textFill>
            <w14:solidFill>
              <w14:schemeClr w14:val="tx1"/>
            </w14:solidFill>
          </w14:textFill>
        </w:rPr>
        <w:t>上</w:t>
      </w:r>
      <w:r>
        <w:rPr>
          <w:rFonts w:hint="eastAsia" w:ascii="宋体" w:hAnsi="宋体" w:cs="FZSSK--GBK1-00+ZBNFQI-9"/>
          <w:color w:val="000000" w:themeColor="text1"/>
          <w14:textFill>
            <w14:solidFill>
              <w14:schemeClr w14:val="tx1"/>
            </w14:solidFill>
          </w14:textFill>
        </w:rPr>
        <w:t>造</w:t>
      </w:r>
      <w:r>
        <w:rPr>
          <w:rFonts w:hint="eastAsia" w:ascii="宋体" w:hAnsi="宋体" w:cs="FZSSK--GBK1-00+ZBNFQP-23"/>
          <w:color w:val="000000" w:themeColor="text1"/>
          <w14:textFill>
            <w14:solidFill>
              <w14:schemeClr w14:val="tx1"/>
            </w14:solidFill>
          </w14:textFill>
        </w:rPr>
        <w:t>舆</w:t>
      </w:r>
      <w:r>
        <w:rPr>
          <w:rFonts w:hint="eastAsia" w:ascii="宋体" w:hAnsi="宋体" w:cs="FZSSK--GBK1-00+ZBNFQH-5"/>
          <w:color w:val="000000" w:themeColor="text1"/>
          <w14:textFill>
            <w14:solidFill>
              <w14:schemeClr w14:val="tx1"/>
            </w14:solidFill>
          </w14:textFill>
        </w:rPr>
        <w:t>论</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H-8"/>
          <w:color w:val="000000" w:themeColor="text1"/>
          <w14:textFill>
            <w14:solidFill>
              <w14:schemeClr w14:val="tx1"/>
            </w14:solidFill>
          </w14:textFill>
        </w:rPr>
        <w:t>得</w:t>
      </w:r>
      <w:r>
        <w:rPr>
          <w:rFonts w:hint="eastAsia" w:ascii="宋体" w:hAnsi="宋体" w:cs="FZSSK--GBK1-00+ZBNFQH-7"/>
          <w:color w:val="000000" w:themeColor="text1"/>
          <w14:textFill>
            <w14:solidFill>
              <w14:schemeClr w14:val="tx1"/>
            </w14:solidFill>
          </w14:textFill>
        </w:rPr>
        <w:t>各</w:t>
      </w:r>
      <w:r>
        <w:rPr>
          <w:rFonts w:hint="eastAsia" w:ascii="宋体" w:hAnsi="宋体" w:cs="SSJ4+ZBNFQG-1"/>
          <w:color w:val="000000" w:themeColor="text1"/>
          <w14:textFill>
            <w14:solidFill>
              <w14:schemeClr w14:val="tx1"/>
            </w14:solidFill>
          </w14:textFill>
        </w:rPr>
        <w:t>国的</w:t>
      </w:r>
      <w:r>
        <w:rPr>
          <w:rFonts w:hint="eastAsia" w:ascii="宋体" w:hAnsi="宋体" w:cs="FZSSK--GBK1-00+ZBNFQK-15"/>
          <w:color w:val="000000" w:themeColor="text1"/>
          <w14:textFill>
            <w14:solidFill>
              <w14:schemeClr w14:val="tx1"/>
            </w14:solidFill>
          </w14:textFill>
        </w:rPr>
        <w:t>右</w:t>
      </w:r>
      <w:r>
        <w:rPr>
          <w:rFonts w:hint="eastAsia" w:ascii="宋体" w:hAnsi="宋体" w:cs="FZSSK--GBK1-00+ZBNFQI-9"/>
          <w:color w:val="000000" w:themeColor="text1"/>
          <w14:textFill>
            <w14:solidFill>
              <w14:schemeClr w14:val="tx1"/>
            </w14:solidFill>
          </w14:textFill>
        </w:rPr>
        <w:t>翼</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H-5"/>
          <w:color w:val="000000" w:themeColor="text1"/>
          <w14:textFill>
            <w14:solidFill>
              <w14:schemeClr w14:val="tx1"/>
            </w14:solidFill>
          </w14:textFill>
        </w:rPr>
        <w:t>量</w:t>
      </w:r>
      <w:r>
        <w:rPr>
          <w:rFonts w:hint="eastAsia" w:ascii="宋体" w:hAnsi="宋体" w:cs="FZSSK--GBK1-00+ZBNFQI-10"/>
          <w:color w:val="000000" w:themeColor="text1"/>
          <w14:textFill>
            <w14:solidFill>
              <w14:schemeClr w14:val="tx1"/>
            </w14:solidFill>
          </w14:textFill>
        </w:rPr>
        <w:t>受</w:t>
      </w:r>
      <w:r>
        <w:rPr>
          <w:rFonts w:hint="eastAsia" w:ascii="宋体" w:hAnsi="宋体" w:cs="FZSSK--GBK1-00+ZBNFQH-5"/>
          <w:color w:val="000000" w:themeColor="text1"/>
          <w14:textFill>
            <w14:solidFill>
              <w14:schemeClr w14:val="tx1"/>
            </w14:solidFill>
          </w14:textFill>
        </w:rPr>
        <w:t>到</w:t>
      </w:r>
      <w:r>
        <w:rPr>
          <w:rFonts w:hint="eastAsia" w:ascii="宋体" w:hAnsi="宋体" w:cs="FZSSK--GBK1-00+ZBNFQL-16"/>
          <w:color w:val="000000" w:themeColor="text1"/>
          <w14:textFill>
            <w14:solidFill>
              <w14:schemeClr w14:val="tx1"/>
            </w14:solidFill>
          </w14:textFill>
        </w:rPr>
        <w:t>遏</w:t>
      </w:r>
      <w:r>
        <w:rPr>
          <w:rFonts w:hint="eastAsia" w:ascii="宋体" w:hAnsi="宋体" w:cs="FZSSK--GBK1-00+ZBNFQI-10"/>
          <w:color w:val="000000" w:themeColor="text1"/>
          <w14:textFill>
            <w14:solidFill>
              <w14:schemeClr w14:val="tx1"/>
            </w14:solidFill>
          </w14:textFill>
        </w:rPr>
        <w:t>制</w:t>
      </w:r>
      <w:r>
        <w:rPr>
          <w:rFonts w:hint="eastAsia" w:ascii="宋体" w:hAnsi="宋体" w:cs="SSJ4+ZBNFQG-1"/>
          <w:color w:val="000000" w:themeColor="text1"/>
          <w14:textFill>
            <w14:solidFill>
              <w14:schemeClr w14:val="tx1"/>
            </w14:solidFill>
          </w14:textFill>
        </w:rPr>
        <w:t>，国际</w:t>
      </w:r>
      <w:r>
        <w:rPr>
          <w:rFonts w:hint="eastAsia" w:ascii="宋体" w:hAnsi="宋体" w:cs="FZSSK--GBK1-00+ZBNFQH-5"/>
          <w:color w:val="000000" w:themeColor="text1"/>
          <w14:textFill>
            <w14:solidFill>
              <w14:schemeClr w14:val="tx1"/>
            </w14:solidFill>
          </w14:textFill>
        </w:rPr>
        <w:t>社会因此</w:t>
      </w:r>
      <w:r>
        <w:rPr>
          <w:rFonts w:hint="eastAsia" w:ascii="宋体" w:hAnsi="宋体" w:cs="SSJ4+ZBNFQG-1"/>
          <w:color w:val="000000" w:themeColor="text1"/>
          <w14:textFill>
            <w14:solidFill>
              <w14:schemeClr w14:val="tx1"/>
            </w14:solidFill>
          </w14:textFill>
        </w:rPr>
        <w:t>而</w:t>
      </w:r>
      <w:r>
        <w:rPr>
          <w:rFonts w:hint="eastAsia" w:ascii="宋体" w:hAnsi="宋体" w:cs="FZSSK--GBK1-00+ZBNFQH-5"/>
          <w:color w:val="000000" w:themeColor="text1"/>
          <w14:textFill>
            <w14:solidFill>
              <w14:schemeClr w14:val="tx1"/>
            </w14:solidFill>
          </w14:textFill>
        </w:rPr>
        <w:t>进</w:t>
      </w:r>
      <w:r>
        <w:rPr>
          <w:rFonts w:hint="eastAsia" w:ascii="宋体" w:hAnsi="宋体" w:cs="FZSSK--GBK1-00+ZBNFQH-7"/>
          <w:color w:val="000000" w:themeColor="text1"/>
          <w14:textFill>
            <w14:solidFill>
              <w14:schemeClr w14:val="tx1"/>
            </w14:solidFill>
          </w14:textFill>
        </w:rPr>
        <w:t>步</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三</w:t>
      </w:r>
      <w:r>
        <w:rPr>
          <w:rFonts w:hint="eastAsia" w:ascii="宋体" w:hAnsi="宋体" w:cs="SSJ4+ZBNFQG-1"/>
          <w:color w:val="000000" w:themeColor="text1"/>
          <w14:textFill>
            <w14:solidFill>
              <w14:schemeClr w14:val="tx1"/>
            </w14:solidFill>
          </w14:textFill>
        </w:rPr>
        <w:t>是</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H-7"/>
          <w:color w:val="000000" w:themeColor="text1"/>
          <w14:textFill>
            <w14:solidFill>
              <w14:schemeClr w14:val="tx1"/>
            </w14:solidFill>
          </w14:textFill>
        </w:rPr>
        <w:t>强</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会</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因</w:t>
      </w:r>
      <w:r>
        <w:rPr>
          <w:rFonts w:hint="eastAsia" w:ascii="宋体" w:hAnsi="宋体" w:cs="SSJ4+ZBNFQG-1"/>
          <w:color w:val="000000" w:themeColor="text1"/>
          <w14:textFill>
            <w14:solidFill>
              <w14:schemeClr w14:val="tx1"/>
            </w14:solidFill>
          </w14:textFill>
        </w:rPr>
        <w:t>为</w:t>
      </w:r>
      <w:r>
        <w:rPr>
          <w:rFonts w:hint="eastAsia" w:ascii="宋体" w:hAnsi="宋体" w:cs="FZSSK--GBK1-00+ZBNFQH-8"/>
          <w:color w:val="000000" w:themeColor="text1"/>
          <w14:textFill>
            <w14:solidFill>
              <w14:schemeClr w14:val="tx1"/>
            </w14:solidFill>
          </w14:textFill>
        </w:rPr>
        <w:t>除</w:t>
      </w:r>
      <w:r>
        <w:rPr>
          <w:rFonts w:hint="eastAsia" w:ascii="宋体" w:hAnsi="宋体" w:cs="SSJ4+ZBNFQG-1"/>
          <w:color w:val="000000" w:themeColor="text1"/>
          <w14:textFill>
            <w14:solidFill>
              <w14:schemeClr w14:val="tx1"/>
            </w14:solidFill>
          </w14:textFill>
        </w:rPr>
        <w:t>了</w:t>
      </w:r>
      <w:r>
        <w:rPr>
          <w:rFonts w:hint="eastAsia" w:ascii="宋体" w:hAnsi="宋体" w:cs="FZSSK--GBK1-00+ZBNFQI-10"/>
          <w:color w:val="000000" w:themeColor="text1"/>
          <w14:textFill>
            <w14:solidFill>
              <w14:schemeClr w14:val="tx1"/>
            </w14:solidFill>
          </w14:textFill>
        </w:rPr>
        <w:t>共</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I-10"/>
          <w:color w:val="000000" w:themeColor="text1"/>
          <w14:textFill>
            <w14:solidFill>
              <w14:schemeClr w14:val="tx1"/>
            </w14:solidFill>
          </w14:textFill>
        </w:rPr>
        <w:t>党</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左翼</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10"/>
          <w:color w:val="000000" w:themeColor="text1"/>
          <w14:textFill>
            <w14:solidFill>
              <w14:schemeClr w14:val="tx1"/>
            </w14:solidFill>
          </w14:textFill>
        </w:rPr>
        <w:t>党外</w:t>
      </w:r>
      <w:r>
        <w:rPr>
          <w:rFonts w:hint="eastAsia" w:ascii="宋体" w:hAnsi="宋体" w:cs="SSJ4+ZBNFQG-1"/>
          <w:color w:val="000000" w:themeColor="text1"/>
          <w14:textFill>
            <w14:solidFill>
              <w14:schemeClr w14:val="tx1"/>
            </w14:solidFill>
          </w14:textFill>
        </w:rPr>
        <w:t>，</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会也</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代</w:t>
      </w:r>
      <w:r>
        <w:rPr>
          <w:rFonts w:hint="eastAsia" w:ascii="宋体" w:hAnsi="宋体" w:cs="FZSSK--GBK1-00+ZBNFQI-9"/>
          <w:color w:val="000000" w:themeColor="text1"/>
          <w14:textFill>
            <w14:solidFill>
              <w14:schemeClr w14:val="tx1"/>
            </w14:solidFill>
          </w14:textFill>
        </w:rPr>
        <w:t>表</w:t>
      </w:r>
      <w:r>
        <w:rPr>
          <w:rFonts w:hint="eastAsia" w:ascii="宋体" w:hAnsi="宋体" w:cs="FZSSK--GBK1-00+ZBNFQK-14"/>
          <w:color w:val="000000" w:themeColor="text1"/>
          <w14:textFill>
            <w14:solidFill>
              <w14:schemeClr w14:val="tx1"/>
            </w14:solidFill>
          </w14:textFill>
        </w:rPr>
        <w:t>工</w:t>
      </w:r>
      <w:r>
        <w:rPr>
          <w:rFonts w:hint="eastAsia" w:ascii="宋体" w:hAnsi="宋体" w:cs="FZSSK--GBK1-00+ZBNFQH-5"/>
          <w:color w:val="000000" w:themeColor="text1"/>
          <w14:textFill>
            <w14:solidFill>
              <w14:schemeClr w14:val="tx1"/>
            </w14:solidFill>
          </w14:textFill>
        </w:rPr>
        <w:t>人</w:t>
      </w:r>
      <w:r>
        <w:rPr>
          <w:rFonts w:hint="eastAsia" w:ascii="宋体" w:hAnsi="宋体" w:cs="SSJ4+ZBNFQG-1"/>
          <w:color w:val="000000" w:themeColor="text1"/>
          <w14:textFill>
            <w14:solidFill>
              <w14:schemeClr w14:val="tx1"/>
            </w14:solidFill>
          </w14:textFill>
        </w:rPr>
        <w:t>阶</w:t>
      </w:r>
      <w:r>
        <w:rPr>
          <w:rFonts w:hint="eastAsia" w:ascii="宋体" w:hAnsi="宋体" w:cs="FZSSK--GBK1-00+ZBNFQH-7"/>
          <w:color w:val="000000" w:themeColor="text1"/>
          <w14:textFill>
            <w14:solidFill>
              <w14:schemeClr w14:val="tx1"/>
            </w14:solidFill>
          </w14:textFill>
        </w:rPr>
        <w:t>级</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L-16"/>
          <w:color w:val="000000" w:themeColor="text1"/>
          <w14:textFill>
            <w14:solidFill>
              <w14:schemeClr w14:val="tx1"/>
            </w14:solidFill>
          </w14:textFill>
        </w:rPr>
        <w:t>护</w:t>
      </w:r>
      <w:r>
        <w:rPr>
          <w:rFonts w:hint="eastAsia" w:ascii="宋体" w:hAnsi="宋体" w:cs="FZSSK--GBK1-00+ZBNFQK-15"/>
          <w:color w:val="000000" w:themeColor="text1"/>
          <w14:textFill>
            <w14:solidFill>
              <w14:schemeClr w14:val="tx1"/>
            </w14:solidFill>
          </w14:textFill>
        </w:rPr>
        <w:t>劳</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10"/>
          <w:color w:val="000000" w:themeColor="text1"/>
          <w14:textFill>
            <w14:solidFill>
              <w14:schemeClr w14:val="tx1"/>
            </w14:solidFill>
          </w14:textFill>
        </w:rPr>
        <w:t>者</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K-15"/>
          <w:color w:val="000000" w:themeColor="text1"/>
          <w14:textFill>
            <w14:solidFill>
              <w14:schemeClr w14:val="tx1"/>
            </w14:solidFill>
          </w14:textFill>
        </w:rPr>
        <w:t>益</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I-9"/>
          <w:color w:val="000000" w:themeColor="text1"/>
          <w14:textFill>
            <w14:solidFill>
              <w14:schemeClr w14:val="tx1"/>
            </w14:solidFill>
          </w14:textFill>
        </w:rPr>
        <w:t>支</w:t>
      </w:r>
      <w:r>
        <w:rPr>
          <w:rFonts w:hint="eastAsia" w:ascii="宋体" w:hAnsi="宋体" w:cs="SSJ4+ZBNFQG-1"/>
          <w:color w:val="000000" w:themeColor="text1"/>
          <w14:textFill>
            <w14:solidFill>
              <w14:schemeClr w14:val="tx1"/>
            </w14:solidFill>
          </w14:textFill>
        </w:rPr>
        <w:t>重要</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H-5"/>
          <w:color w:val="000000" w:themeColor="text1"/>
          <w14:textFill>
            <w14:solidFill>
              <w14:schemeClr w14:val="tx1"/>
            </w14:solidFill>
          </w14:textFill>
        </w:rPr>
        <w:t>量</w:t>
      </w:r>
      <w:r>
        <w:rPr>
          <w:rFonts w:hint="eastAsia" w:ascii="宋体" w:hAnsi="宋体" w:cs="SSJ0+ZBNFQG-4"/>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四</w:t>
      </w:r>
      <w:r>
        <w:rPr>
          <w:rFonts w:hint="eastAsia" w:ascii="宋体" w:hAnsi="宋体" w:cs="SSJ4+ZBNFQG-1"/>
          <w:color w:val="000000" w:themeColor="text1"/>
          <w14:textFill>
            <w14:solidFill>
              <w14:schemeClr w14:val="tx1"/>
            </w14:solidFill>
          </w14:textFill>
        </w:rPr>
        <w:t>是世界的</w:t>
      </w:r>
      <w:r>
        <w:rPr>
          <w:rFonts w:hint="eastAsia" w:ascii="宋体" w:hAnsi="宋体" w:cs="FZSSK--GBK1-00+ZBNFQI-9"/>
          <w:color w:val="000000" w:themeColor="text1"/>
          <w14:textFill>
            <w14:solidFill>
              <w14:schemeClr w14:val="tx1"/>
            </w14:solidFill>
          </w14:textFill>
        </w:rPr>
        <w:t>马</w:t>
      </w:r>
      <w:r>
        <w:rPr>
          <w:rFonts w:hint="eastAsia" w:ascii="宋体" w:hAnsi="宋体" w:cs="FZSSK--GBK1-00+ZBNFQH-8"/>
          <w:color w:val="000000" w:themeColor="text1"/>
          <w14:textFill>
            <w14:solidFill>
              <w14:schemeClr w14:val="tx1"/>
            </w14:solidFill>
          </w14:textFill>
        </w:rPr>
        <w:t>克</w:t>
      </w:r>
      <w:r>
        <w:rPr>
          <w:rFonts w:hint="eastAsia" w:ascii="宋体" w:hAnsi="宋体" w:cs="FZSSK--GBK1-00+ZBNFQI-10"/>
          <w:color w:val="000000" w:themeColor="text1"/>
          <w14:textFill>
            <w14:solidFill>
              <w14:schemeClr w14:val="tx1"/>
            </w14:solidFill>
          </w14:textFill>
        </w:rPr>
        <w:t>思</w:t>
      </w:r>
      <w:r>
        <w:rPr>
          <w:rFonts w:hint="eastAsia" w:ascii="宋体" w:hAnsi="宋体" w:cs="SSJ4+ZBNFQG-1"/>
          <w:color w:val="000000" w:themeColor="text1"/>
          <w14:textFill>
            <w14:solidFill>
              <w14:schemeClr w14:val="tx1"/>
            </w14:solidFill>
          </w14:textFill>
        </w:rPr>
        <w:t>主义</w:t>
      </w:r>
      <w:r>
        <w:rPr>
          <w:rFonts w:hint="eastAsia" w:ascii="宋体" w:hAnsi="宋体" w:cs="FZSSK--GBK1-00+ZBNFQH-8"/>
          <w:color w:val="000000" w:themeColor="text1"/>
          <w14:textFill>
            <w14:solidFill>
              <w14:schemeClr w14:val="tx1"/>
            </w14:solidFill>
          </w14:textFill>
        </w:rPr>
        <w:t>学</w:t>
      </w:r>
      <w:r>
        <w:rPr>
          <w:rFonts w:hint="eastAsia" w:ascii="宋体" w:hAnsi="宋体" w:cs="FZSSK--GBK1-00+ZBNFQI-10"/>
          <w:color w:val="000000" w:themeColor="text1"/>
          <w14:textFill>
            <w14:solidFill>
              <w14:schemeClr w14:val="tx1"/>
            </w14:solidFill>
          </w14:textFill>
        </w:rPr>
        <w:t>者</w:t>
      </w:r>
      <w:r>
        <w:rPr>
          <w:rFonts w:hint="eastAsia" w:ascii="宋体" w:hAnsi="宋体" w:cs="SSJ4+ZBNFQG-1"/>
          <w:color w:val="000000" w:themeColor="text1"/>
          <w14:textFill>
            <w14:solidFill>
              <w14:schemeClr w14:val="tx1"/>
            </w14:solidFill>
          </w14:textFill>
        </w:rPr>
        <w:t>和</w:t>
      </w:r>
      <w:r>
        <w:rPr>
          <w:rFonts w:hint="eastAsia" w:ascii="宋体" w:hAnsi="宋体" w:cs="FZSSK--GBK1-00+ZBNFQI-9"/>
          <w:color w:val="000000" w:themeColor="text1"/>
          <w14:textFill>
            <w14:solidFill>
              <w14:schemeClr w14:val="tx1"/>
            </w14:solidFill>
          </w14:textFill>
        </w:rPr>
        <w:t>左翼</w:t>
      </w:r>
      <w:r>
        <w:rPr>
          <w:rFonts w:hint="eastAsia" w:ascii="宋体" w:hAnsi="宋体" w:cs="FZSSK--GBK1-00+ZBNFQH-8"/>
          <w:color w:val="000000" w:themeColor="text1"/>
          <w14:textFill>
            <w14:solidFill>
              <w14:schemeClr w14:val="tx1"/>
            </w14:solidFill>
          </w14:textFill>
        </w:rPr>
        <w:t>学</w:t>
      </w:r>
      <w:r>
        <w:rPr>
          <w:rFonts w:hint="eastAsia" w:ascii="宋体" w:hAnsi="宋体" w:cs="FZSSK--GBK1-00+ZBNFQI-10"/>
          <w:color w:val="000000" w:themeColor="text1"/>
          <w14:textFill>
            <w14:solidFill>
              <w14:schemeClr w14:val="tx1"/>
            </w14:solidFill>
          </w14:textFill>
        </w:rPr>
        <w:t>者</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因</w:t>
      </w:r>
      <w:r>
        <w:rPr>
          <w:rFonts w:hint="eastAsia" w:ascii="宋体" w:hAnsi="宋体" w:cs="SSJ4+ZBNFQG-1"/>
          <w:color w:val="000000" w:themeColor="text1"/>
          <w14:textFill>
            <w14:solidFill>
              <w14:schemeClr w14:val="tx1"/>
            </w14:solidFill>
          </w14:textFill>
        </w:rPr>
        <w:t>为</w:t>
      </w:r>
      <w:r>
        <w:rPr>
          <w:rFonts w:hint="eastAsia" w:ascii="宋体" w:hAnsi="宋体" w:cs="FZSSK--GBK1-00+ZBNFQJ-13"/>
          <w:color w:val="000000" w:themeColor="text1"/>
          <w14:textFill>
            <w14:solidFill>
              <w14:schemeClr w14:val="tx1"/>
            </w14:solidFill>
          </w14:textFill>
        </w:rPr>
        <w:t>他</w:t>
      </w:r>
      <w:r>
        <w:rPr>
          <w:rFonts w:hint="eastAsia" w:ascii="宋体" w:hAnsi="宋体" w:cs="FZSSK--GBK1-00+ZBNFQH-5"/>
          <w:color w:val="000000" w:themeColor="text1"/>
          <w14:textFill>
            <w14:solidFill>
              <w14:schemeClr w14:val="tx1"/>
            </w14:solidFill>
          </w14:textFill>
        </w:rPr>
        <w:t>们</w:t>
      </w:r>
      <w:r>
        <w:rPr>
          <w:rFonts w:hint="eastAsia" w:ascii="宋体" w:hAnsi="宋体" w:cs="FZSSK--GBK1-00+ZBNFQT-26"/>
          <w:color w:val="000000" w:themeColor="text1"/>
          <w14:textFill>
            <w14:solidFill>
              <w14:schemeClr w14:val="tx1"/>
            </w14:solidFill>
          </w14:textFill>
        </w:rPr>
        <w:t>掌握</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7"/>
          <w:color w:val="000000" w:themeColor="text1"/>
          <w14:textFill>
            <w14:solidFill>
              <w14:schemeClr w14:val="tx1"/>
            </w14:solidFill>
          </w14:textFill>
        </w:rPr>
        <w:t>定</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话</w:t>
      </w:r>
      <w:r>
        <w:rPr>
          <w:rFonts w:hint="eastAsia" w:ascii="宋体" w:hAnsi="宋体" w:cs="FZSSK--GBK1-00+ZBNFQJ-12"/>
          <w:color w:val="000000" w:themeColor="text1"/>
          <w14:textFill>
            <w14:solidFill>
              <w14:schemeClr w14:val="tx1"/>
            </w14:solidFill>
          </w14:textFill>
        </w:rPr>
        <w:t>语</w:t>
      </w:r>
      <w:r>
        <w:rPr>
          <w:rFonts w:hint="eastAsia" w:ascii="宋体" w:hAnsi="宋体" w:cs="FZSSK--GBK1-00+ZBNFQH-5"/>
          <w:color w:val="000000" w:themeColor="text1"/>
          <w14:textFill>
            <w14:solidFill>
              <w14:schemeClr w14:val="tx1"/>
            </w14:solidFill>
          </w14:textFill>
        </w:rPr>
        <w:t>权</w:t>
      </w:r>
      <w:r>
        <w:rPr>
          <w:rFonts w:hint="eastAsia" w:ascii="宋体" w:hAnsi="宋体" w:cs="SSJ4+ZBNFQG-1"/>
          <w:color w:val="000000" w:themeColor="text1"/>
          <w14:textFill>
            <w14:solidFill>
              <w14:schemeClr w14:val="tx1"/>
            </w14:solidFill>
          </w14:textFill>
        </w:rPr>
        <w:t>，可以</w:t>
      </w:r>
      <w:r>
        <w:rPr>
          <w:rFonts w:hint="eastAsia" w:ascii="宋体" w:hAnsi="宋体" w:cs="FZSSK--GBK1-00+ZBNFQH-7"/>
          <w:color w:val="000000" w:themeColor="text1"/>
          <w14:textFill>
            <w14:solidFill>
              <w14:schemeClr w14:val="tx1"/>
            </w14:solidFill>
          </w14:textFill>
        </w:rPr>
        <w:t>从</w:t>
      </w:r>
      <w:r>
        <w:rPr>
          <w:rFonts w:hint="eastAsia" w:ascii="宋体" w:hAnsi="宋体" w:cs="FZSSK--GBK1-00+ZBNFQH-8"/>
          <w:color w:val="000000" w:themeColor="text1"/>
          <w14:textFill>
            <w14:solidFill>
              <w14:schemeClr w14:val="tx1"/>
            </w14:solidFill>
          </w14:textFill>
        </w:rPr>
        <w:t>学</w:t>
      </w:r>
      <w:r>
        <w:rPr>
          <w:rFonts w:hint="eastAsia" w:ascii="宋体" w:hAnsi="宋体" w:cs="FZSSK--GBK1-00+ZBNFQJ-12"/>
          <w:color w:val="000000" w:themeColor="text1"/>
          <w14:textFill>
            <w14:solidFill>
              <w14:schemeClr w14:val="tx1"/>
            </w14:solidFill>
          </w14:textFill>
        </w:rPr>
        <w:t>术</w:t>
      </w:r>
      <w:r>
        <w:rPr>
          <w:rFonts w:hint="eastAsia" w:ascii="宋体" w:hAnsi="宋体" w:cs="SSJ4+ZBNFQG-1"/>
          <w:color w:val="000000" w:themeColor="text1"/>
          <w14:textFill>
            <w14:solidFill>
              <w14:schemeClr w14:val="tx1"/>
            </w14:solidFill>
          </w14:textFill>
        </w:rPr>
        <w:t>和</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策</w:t>
      </w:r>
      <w:r>
        <w:rPr>
          <w:rFonts w:hint="eastAsia" w:ascii="宋体" w:hAnsi="宋体" w:cs="FZSSK--GBK1-00+ZBNFQI-10"/>
          <w:color w:val="000000" w:themeColor="text1"/>
          <w14:textFill>
            <w14:solidFill>
              <w14:schemeClr w14:val="tx1"/>
            </w14:solidFill>
          </w14:textFill>
        </w:rPr>
        <w:t>研究</w:t>
      </w:r>
      <w:r>
        <w:rPr>
          <w:rFonts w:hint="eastAsia" w:ascii="宋体" w:hAnsi="宋体" w:cs="FZSSK--GBK1-00+ZBNFQH-8"/>
          <w:color w:val="000000" w:themeColor="text1"/>
          <w14:textFill>
            <w14:solidFill>
              <w14:schemeClr w14:val="tx1"/>
            </w14:solidFill>
          </w14:textFill>
        </w:rPr>
        <w:t>方</w:t>
      </w:r>
      <w:r>
        <w:rPr>
          <w:rFonts w:hint="eastAsia" w:ascii="宋体" w:hAnsi="宋体" w:cs="SSJ4+ZBNFQG-1"/>
          <w:color w:val="000000" w:themeColor="text1"/>
          <w14:textFill>
            <w14:solidFill>
              <w14:schemeClr w14:val="tx1"/>
            </w14:solidFill>
          </w14:textFill>
        </w:rPr>
        <w:t>面，</w:t>
      </w:r>
      <w:r>
        <w:rPr>
          <w:rFonts w:hint="eastAsia" w:ascii="宋体" w:hAnsi="宋体" w:cs="FZSSK--GBK1-00+ZBNFQH-7"/>
          <w:color w:val="000000" w:themeColor="text1"/>
          <w14:textFill>
            <w14:solidFill>
              <w14:schemeClr w14:val="tx1"/>
            </w14:solidFill>
          </w14:textFill>
        </w:rPr>
        <w:t>从</w:t>
      </w:r>
      <w:r>
        <w:rPr>
          <w:rFonts w:hint="eastAsia" w:ascii="宋体" w:hAnsi="宋体" w:cs="FZSSK--GBK1-00+ZBNFQP-23"/>
          <w:color w:val="000000" w:themeColor="text1"/>
          <w14:textFill>
            <w14:solidFill>
              <w14:schemeClr w14:val="tx1"/>
            </w14:solidFill>
          </w14:textFill>
        </w:rPr>
        <w:t>舆</w:t>
      </w:r>
      <w:r>
        <w:rPr>
          <w:rFonts w:hint="eastAsia" w:ascii="宋体" w:hAnsi="宋体" w:cs="FZSSK--GBK1-00+ZBNFQH-5"/>
          <w:color w:val="000000" w:themeColor="text1"/>
          <w14:textFill>
            <w14:solidFill>
              <w14:schemeClr w14:val="tx1"/>
            </w14:solidFill>
          </w14:textFill>
        </w:rPr>
        <w:t>论</w:t>
      </w:r>
      <w:r>
        <w:rPr>
          <w:rFonts w:hint="eastAsia" w:ascii="宋体" w:hAnsi="宋体" w:cs="FZSSK--GBK1-00+ZBNFQH-8"/>
          <w:color w:val="000000" w:themeColor="text1"/>
          <w14:textFill>
            <w14:solidFill>
              <w14:schemeClr w14:val="tx1"/>
            </w14:solidFill>
          </w14:textFill>
        </w:rPr>
        <w:t>方</w:t>
      </w:r>
      <w:r>
        <w:rPr>
          <w:rFonts w:hint="eastAsia" w:ascii="宋体" w:hAnsi="宋体" w:cs="SSJ4+ZBNFQG-1"/>
          <w:color w:val="000000" w:themeColor="text1"/>
          <w14:textFill>
            <w14:solidFill>
              <w14:schemeClr w14:val="tx1"/>
            </w14:solidFill>
          </w14:textFill>
        </w:rPr>
        <w:t>面，来</w:t>
      </w:r>
      <w:r>
        <w:rPr>
          <w:rFonts w:hint="eastAsia" w:ascii="宋体" w:hAnsi="宋体" w:cs="FZSSK--GBK1-00+ZBNFQQ-24"/>
          <w:color w:val="000000" w:themeColor="text1"/>
          <w14:textFill>
            <w14:solidFill>
              <w14:schemeClr w14:val="tx1"/>
            </w14:solidFill>
          </w14:textFill>
        </w:rPr>
        <w:t>促</w:t>
      </w:r>
      <w:r>
        <w:rPr>
          <w:rFonts w:hint="eastAsia" w:ascii="宋体" w:hAnsi="宋体" w:cs="FZSSK--GBK1-00+ZBNFQH-5"/>
          <w:color w:val="000000" w:themeColor="text1"/>
          <w14:textFill>
            <w14:solidFill>
              <w14:schemeClr w14:val="tx1"/>
            </w14:solidFill>
          </w14:textFill>
        </w:rPr>
        <w:t>进</w:t>
      </w:r>
      <w:r>
        <w:rPr>
          <w:rFonts w:hint="eastAsia" w:ascii="宋体" w:hAnsi="宋体" w:cs="SSJ4+ZBNFQG-1"/>
          <w:color w:val="000000" w:themeColor="text1"/>
          <w14:textFill>
            <w14:solidFill>
              <w14:schemeClr w14:val="tx1"/>
            </w14:solidFill>
          </w14:textFill>
        </w:rPr>
        <w:t>世界</w:t>
      </w:r>
      <w:r>
        <w:rPr>
          <w:rFonts w:hint="eastAsia" w:ascii="宋体" w:hAnsi="宋体" w:cs="FZSSK--GBK1-00+ZBNFQH-7"/>
          <w:color w:val="000000" w:themeColor="text1"/>
          <w14:textFill>
            <w14:solidFill>
              <w14:schemeClr w14:val="tx1"/>
            </w14:solidFill>
          </w14:textFill>
        </w:rPr>
        <w:t>更</w:t>
      </w:r>
      <w:r>
        <w:rPr>
          <w:rFonts w:hint="eastAsia" w:ascii="宋体" w:hAnsi="宋体" w:cs="FZSSK--GBK1-00+ZBNFQI-9"/>
          <w:color w:val="000000" w:themeColor="text1"/>
          <w14:textFill>
            <w14:solidFill>
              <w14:schemeClr w14:val="tx1"/>
            </w14:solidFill>
          </w14:textFill>
        </w:rPr>
        <w:t>加</w:t>
      </w:r>
      <w:r>
        <w:rPr>
          <w:rFonts w:hint="eastAsia" w:ascii="宋体" w:hAnsi="宋体" w:cs="SSJ4+ZBNFQG-1"/>
          <w:color w:val="000000" w:themeColor="text1"/>
          <w14:textFill>
            <w14:solidFill>
              <w14:schemeClr w14:val="tx1"/>
            </w14:solidFill>
          </w14:textFill>
        </w:rPr>
        <w:t>和</w:t>
      </w:r>
      <w:r>
        <w:rPr>
          <w:rFonts w:hint="eastAsia" w:ascii="宋体" w:hAnsi="宋体" w:cs="FZSSK--GBK1-00+ZBNFQP-23"/>
          <w:color w:val="000000" w:themeColor="text1"/>
          <w14:textFill>
            <w14:solidFill>
              <w14:schemeClr w14:val="tx1"/>
            </w14:solidFill>
          </w14:textFill>
        </w:rPr>
        <w:t>谐</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媒</w:t>
      </w:r>
      <w:r>
        <w:rPr>
          <w:rFonts w:hint="eastAsia" w:ascii="宋体" w:hAnsi="宋体" w:cs="FZSSK--GBK1-00+ZBNFQH-7"/>
          <w:color w:val="000000" w:themeColor="text1"/>
          <w14:textFill>
            <w14:solidFill>
              <w14:schemeClr w14:val="tx1"/>
            </w14:solidFill>
          </w14:textFill>
        </w:rPr>
        <w:t>体</w:t>
      </w:r>
      <w:r>
        <w:rPr>
          <w:rFonts w:hint="eastAsia" w:ascii="宋体" w:hAnsi="宋体" w:cs="FZSSK--GBK1-00+ZBNFQH-5"/>
          <w:color w:val="000000" w:themeColor="text1"/>
          <w14:textFill>
            <w14:solidFill>
              <w14:schemeClr w14:val="tx1"/>
            </w14:solidFill>
          </w14:textFill>
        </w:rPr>
        <w:t>如果</w:t>
      </w:r>
      <w:r>
        <w:rPr>
          <w:rFonts w:hint="eastAsia" w:ascii="宋体" w:hAnsi="宋体" w:cs="FZSSK--GBK1-00+ZBNFQM-17"/>
          <w:color w:val="000000" w:themeColor="text1"/>
          <w14:textFill>
            <w14:solidFill>
              <w14:schemeClr w14:val="tx1"/>
            </w14:solidFill>
          </w14:textFill>
        </w:rPr>
        <w:t>单</w:t>
      </w:r>
      <w:r>
        <w:rPr>
          <w:rFonts w:hint="eastAsia" w:ascii="宋体" w:hAnsi="宋体" w:cs="FZSSK--GBK1-00+ZBNFQI-10"/>
          <w:color w:val="000000" w:themeColor="text1"/>
          <w14:textFill>
            <w14:solidFill>
              <w14:schemeClr w14:val="tx1"/>
            </w14:solidFill>
          </w14:textFill>
        </w:rPr>
        <w:t>独拿</w:t>
      </w:r>
      <w:r>
        <w:rPr>
          <w:rFonts w:hint="eastAsia" w:ascii="宋体" w:hAnsi="宋体" w:cs="SSJ4+ZBNFQG-1"/>
          <w:color w:val="000000" w:themeColor="text1"/>
          <w14:textFill>
            <w14:solidFill>
              <w14:schemeClr w14:val="tx1"/>
            </w14:solidFill>
          </w14:textFill>
        </w:rPr>
        <w:t>出来，</w:t>
      </w:r>
      <w:r>
        <w:rPr>
          <w:rFonts w:hint="eastAsia" w:ascii="宋体" w:hAnsi="宋体" w:cs="FZSSK--GBK1-00+ZBNFQH-5"/>
          <w:color w:val="000000" w:themeColor="text1"/>
          <w14:textFill>
            <w14:solidFill>
              <w14:schemeClr w14:val="tx1"/>
            </w14:solidFill>
          </w14:textFill>
        </w:rPr>
        <w:t>就</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第五</w:t>
      </w:r>
      <w:r>
        <w:rPr>
          <w:rFonts w:hint="eastAsia" w:ascii="宋体" w:hAnsi="宋体" w:cs="SSJ4+ZBNFQG-1"/>
          <w:color w:val="000000" w:themeColor="text1"/>
          <w14:textFill>
            <w14:solidFill>
              <w14:schemeClr w14:val="tx1"/>
            </w14:solidFill>
          </w14:textFill>
        </w:rPr>
        <w:t>个要</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作的</w:t>
      </w:r>
      <w:r>
        <w:rPr>
          <w:rFonts w:hint="eastAsia" w:ascii="宋体" w:hAnsi="宋体" w:cs="FZSSK--GBK1-00+ZBNFQH-7"/>
          <w:color w:val="000000" w:themeColor="text1"/>
          <w14:textFill>
            <w14:solidFill>
              <w14:schemeClr w14:val="tx1"/>
            </w14:solidFill>
          </w14:textFill>
        </w:rPr>
        <w:t>力</w:t>
      </w:r>
      <w:r>
        <w:rPr>
          <w:rFonts w:hint="eastAsia" w:ascii="宋体" w:hAnsi="宋体" w:cs="FZSSK--GBK1-00+ZBNFQH-5"/>
          <w:color w:val="000000" w:themeColor="text1"/>
          <w14:textFill>
            <w14:solidFill>
              <w14:schemeClr w14:val="tx1"/>
            </w14:solidFill>
          </w14:textFill>
        </w:rPr>
        <w:t>量</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中国要</w:t>
      </w:r>
      <w:r>
        <w:rPr>
          <w:rFonts w:hint="eastAsia" w:ascii="宋体" w:hAnsi="宋体" w:cs="FZSSK--GBK1-00+ZBNFQH-8"/>
          <w:color w:val="000000" w:themeColor="text1"/>
          <w14:textFill>
            <w14:solidFill>
              <w14:schemeClr w14:val="tx1"/>
            </w14:solidFill>
          </w14:textFill>
        </w:rPr>
        <w:t>打</w:t>
      </w:r>
      <w:r>
        <w:rPr>
          <w:rFonts w:hint="eastAsia" w:ascii="宋体" w:hAnsi="宋体" w:cs="FZSSK--GBK1-00+ZBNFQH-7"/>
          <w:color w:val="000000" w:themeColor="text1"/>
          <w14:textFill>
            <w14:solidFill>
              <w14:schemeClr w14:val="tx1"/>
            </w14:solidFill>
          </w14:textFill>
        </w:rPr>
        <w:t>破</w:t>
      </w:r>
      <w:r>
        <w:rPr>
          <w:rFonts w:hint="eastAsia" w:ascii="宋体" w:hAnsi="宋体" w:cs="FZSSK--GBK1-00+ZBNFQH-8"/>
          <w:color w:val="000000" w:themeColor="text1"/>
          <w14:textFill>
            <w14:solidFill>
              <w14:schemeClr w14:val="tx1"/>
            </w14:solidFill>
          </w14:textFill>
        </w:rPr>
        <w:t>西方</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政治</w:t>
      </w:r>
      <w:r>
        <w:rPr>
          <w:rFonts w:hint="eastAsia" w:ascii="宋体" w:hAnsi="宋体" w:cs="FZSSK--GBK1-00+ZBNFQO-21"/>
          <w:color w:val="000000" w:themeColor="text1"/>
          <w14:textFill>
            <w14:solidFill>
              <w14:schemeClr w14:val="tx1"/>
            </w14:solidFill>
          </w14:textFill>
        </w:rPr>
        <w:t>封</w:t>
      </w:r>
      <w:r>
        <w:rPr>
          <w:rFonts w:hint="eastAsia" w:ascii="宋体" w:hAnsi="宋体" w:cs="FZSSK--GBK1-00+ZBNFQQ-24"/>
          <w:color w:val="000000" w:themeColor="text1"/>
          <w14:textFill>
            <w14:solidFill>
              <w14:schemeClr w14:val="tx1"/>
            </w14:solidFill>
          </w14:textFill>
        </w:rPr>
        <w:t>锁</w:t>
      </w:r>
      <w:r>
        <w:rPr>
          <w:rFonts w:hint="eastAsia" w:ascii="宋体" w:hAnsi="宋体" w:cs="SSJ4+ZBNFQG-1"/>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打</w:t>
      </w:r>
      <w:r>
        <w:rPr>
          <w:rFonts w:hint="eastAsia" w:ascii="宋体" w:hAnsi="宋体" w:cs="FZSSK--GBK1-00+ZBNFQH-7"/>
          <w:color w:val="000000" w:themeColor="text1"/>
          <w14:textFill>
            <w14:solidFill>
              <w14:schemeClr w14:val="tx1"/>
            </w14:solidFill>
          </w14:textFill>
        </w:rPr>
        <w:t>破</w:t>
      </w:r>
      <w:r>
        <w:rPr>
          <w:rFonts w:hint="eastAsia" w:ascii="宋体" w:hAnsi="宋体" w:cs="FZSSK--GBK1-00+ZBNFQJ-13"/>
          <w:color w:val="000000" w:themeColor="text1"/>
          <w14:textFill>
            <w14:solidFill>
              <w14:schemeClr w14:val="tx1"/>
            </w14:solidFill>
          </w14:textFill>
        </w:rPr>
        <w:t>他</w:t>
      </w:r>
      <w:r>
        <w:rPr>
          <w:rFonts w:hint="eastAsia" w:ascii="宋体" w:hAnsi="宋体" w:cs="FZSSK--GBK1-00+ZBNFQH-5"/>
          <w:color w:val="000000" w:themeColor="text1"/>
          <w14:textFill>
            <w14:solidFill>
              <w14:schemeClr w14:val="tx1"/>
            </w14:solidFill>
          </w14:textFill>
        </w:rPr>
        <w:t>们</w:t>
      </w:r>
      <w:r>
        <w:rPr>
          <w:rFonts w:hint="eastAsia" w:ascii="宋体" w:hAnsi="宋体" w:cs="SSJ4+ZBNFQG-1"/>
          <w:color w:val="000000" w:themeColor="text1"/>
          <w14:textFill>
            <w14:solidFill>
              <w14:schemeClr w14:val="tx1"/>
            </w14:solidFill>
          </w14:textFill>
        </w:rPr>
        <w:t>在新</w:t>
      </w:r>
      <w:r>
        <w:rPr>
          <w:rFonts w:hint="eastAsia" w:ascii="宋体" w:hAnsi="宋体" w:cs="FZSSK--GBK1-00+ZBNFQJ-12"/>
          <w:color w:val="000000" w:themeColor="text1"/>
          <w14:textFill>
            <w14:solidFill>
              <w14:schemeClr w14:val="tx1"/>
            </w14:solidFill>
          </w14:textFill>
        </w:rPr>
        <w:t>疆</w:t>
      </w:r>
      <w:r>
        <w:rPr>
          <w:rFonts w:hint="eastAsia" w:ascii="宋体" w:hAnsi="宋体" w:cs="SSJ0+ZBNFQG-4"/>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西</w:t>
      </w:r>
      <w:r>
        <w:rPr>
          <w:rFonts w:hint="eastAsia" w:ascii="宋体" w:hAnsi="宋体" w:cs="FZSSK--GBK1-00+ZBNFQK-14"/>
          <w:color w:val="000000" w:themeColor="text1"/>
          <w14:textFill>
            <w14:solidFill>
              <w14:schemeClr w14:val="tx1"/>
            </w14:solidFill>
          </w14:textFill>
        </w:rPr>
        <w:t>藏</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台</w:t>
      </w:r>
      <w:r>
        <w:rPr>
          <w:rFonts w:hint="eastAsia" w:ascii="宋体" w:hAnsi="宋体" w:cs="FZSSK--GBK1-00+ZBNFQT-26"/>
          <w:color w:val="000000" w:themeColor="text1"/>
          <w14:textFill>
            <w14:solidFill>
              <w14:schemeClr w14:val="tx1"/>
            </w14:solidFill>
          </w14:textFill>
        </w:rPr>
        <w:t>湾</w:t>
      </w:r>
      <w:r>
        <w:rPr>
          <w:rFonts w:hint="eastAsia" w:ascii="宋体" w:hAnsi="宋体" w:cs="FZSSK--GBK1-00+ZBNFQH-7"/>
          <w:color w:val="000000" w:themeColor="text1"/>
          <w14:textFill>
            <w14:solidFill>
              <w14:schemeClr w14:val="tx1"/>
            </w14:solidFill>
          </w14:textFill>
        </w:rPr>
        <w:t>等</w:t>
      </w:r>
      <w:r>
        <w:rPr>
          <w:rFonts w:hint="eastAsia" w:ascii="宋体" w:hAnsi="宋体" w:cs="FZSSK--GBK1-00+ZBNFQH-5"/>
          <w:color w:val="000000" w:themeColor="text1"/>
          <w14:textFill>
            <w14:solidFill>
              <w14:schemeClr w14:val="tx1"/>
            </w14:solidFill>
          </w14:textFill>
        </w:rPr>
        <w:t>问题</w:t>
      </w:r>
      <w:r>
        <w:rPr>
          <w:rFonts w:hint="eastAsia" w:ascii="宋体" w:hAnsi="宋体" w:cs="FZSSK--GBK1-00+ZBNFQH-7"/>
          <w:color w:val="000000" w:themeColor="text1"/>
          <w14:textFill>
            <w14:solidFill>
              <w14:schemeClr w14:val="tx1"/>
            </w14:solidFill>
          </w14:textFill>
        </w:rPr>
        <w:t>上</w:t>
      </w:r>
      <w:r>
        <w:rPr>
          <w:rFonts w:hint="eastAsia" w:ascii="宋体" w:hAnsi="宋体" w:cs="FZSSK--GBK1-00+ZBNFQO-22"/>
          <w:color w:val="000000" w:themeColor="text1"/>
          <w14:textFill>
            <w14:solidFill>
              <w14:schemeClr w14:val="tx1"/>
            </w14:solidFill>
          </w14:textFill>
        </w:rPr>
        <w:t>丑</w:t>
      </w:r>
      <w:r>
        <w:rPr>
          <w:rFonts w:hint="eastAsia" w:ascii="宋体" w:hAnsi="宋体" w:cs="SSJ4+ZBNFQG-1"/>
          <w:color w:val="000000" w:themeColor="text1"/>
          <w14:textFill>
            <w14:solidFill>
              <w14:schemeClr w14:val="tx1"/>
            </w14:solidFill>
          </w14:textFill>
        </w:rPr>
        <w:t>化</w:t>
      </w:r>
      <w:r>
        <w:rPr>
          <w:rFonts w:hint="eastAsia" w:ascii="宋体" w:hAnsi="宋体" w:cs="SSJ0+ZBNFQG-4"/>
          <w:color w:val="000000" w:themeColor="text1"/>
          <w14:textFill>
            <w14:solidFill>
              <w14:schemeClr w14:val="tx1"/>
            </w14:solidFill>
          </w14:textFill>
        </w:rPr>
        <w:t>、</w:t>
      </w:r>
      <w:r>
        <w:rPr>
          <w:rFonts w:hint="eastAsia" w:ascii="宋体" w:hAnsi="宋体" w:cs="FZSSK--GBK1-00+ZBNFQT-26"/>
          <w:color w:val="000000" w:themeColor="text1"/>
          <w14:textFill>
            <w14:solidFill>
              <w14:schemeClr w14:val="tx1"/>
            </w14:solidFill>
          </w14:textFill>
        </w:rPr>
        <w:t>妖魔</w:t>
      </w:r>
      <w:r>
        <w:rPr>
          <w:rFonts w:hint="eastAsia" w:ascii="宋体" w:hAnsi="宋体" w:cs="SSJ4+ZBNFQG-1"/>
          <w:color w:val="000000" w:themeColor="text1"/>
          <w14:textFill>
            <w14:solidFill>
              <w14:schemeClr w14:val="tx1"/>
            </w14:solidFill>
          </w14:textFill>
        </w:rPr>
        <w:t>化中国的</w:t>
      </w:r>
      <w:r>
        <w:rPr>
          <w:rFonts w:hint="eastAsia" w:ascii="宋体" w:hAnsi="宋体" w:cs="FZSSK--GBK1-00+ZBNFQH-7"/>
          <w:color w:val="000000" w:themeColor="text1"/>
          <w14:textFill>
            <w14:solidFill>
              <w14:schemeClr w14:val="tx1"/>
            </w14:solidFill>
          </w14:textFill>
        </w:rPr>
        <w:t>局</w:t>
      </w:r>
      <w:r>
        <w:rPr>
          <w:rFonts w:hint="eastAsia" w:ascii="宋体" w:hAnsi="宋体" w:cs="SSJ4+ZBNFQG-1"/>
          <w:color w:val="000000" w:themeColor="text1"/>
          <w14:textFill>
            <w14:solidFill>
              <w14:schemeClr w14:val="tx1"/>
            </w14:solidFill>
          </w14:textFill>
        </w:rPr>
        <w:t>面，</w:t>
      </w:r>
      <w:r>
        <w:rPr>
          <w:rFonts w:hint="eastAsia" w:ascii="宋体" w:hAnsi="宋体" w:cs="FZSSK--GBK1-00+ZBNFQH-5"/>
          <w:color w:val="000000" w:themeColor="text1"/>
          <w14:textFill>
            <w14:solidFill>
              <w14:schemeClr w14:val="tx1"/>
            </w14:solidFill>
          </w14:textFill>
        </w:rPr>
        <w:t>就</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K-14"/>
          <w:color w:val="000000" w:themeColor="text1"/>
          <w14:textFill>
            <w14:solidFill>
              <w14:schemeClr w14:val="tx1"/>
            </w14:solidFill>
          </w14:textFill>
        </w:rPr>
        <w:t>须</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H-7"/>
          <w:color w:val="000000" w:themeColor="text1"/>
          <w14:textFill>
            <w14:solidFill>
              <w14:schemeClr w14:val="tx1"/>
            </w14:solidFill>
          </w14:textFill>
        </w:rPr>
        <w:t>强与</w:t>
      </w:r>
      <w:r>
        <w:rPr>
          <w:rFonts w:hint="eastAsia" w:ascii="宋体" w:hAnsi="宋体" w:cs="SSJ4+ZBNFQG-1"/>
          <w:color w:val="000000" w:themeColor="text1"/>
          <w14:textFill>
            <w14:solidFill>
              <w14:schemeClr w14:val="tx1"/>
            </w14:solidFill>
          </w14:textFill>
        </w:rPr>
        <w:t>世界</w:t>
      </w:r>
      <w:r>
        <w:rPr>
          <w:rFonts w:hint="eastAsia" w:ascii="宋体" w:hAnsi="宋体" w:cs="FZSSK--GBK1-00+ZBNFQH-7"/>
          <w:color w:val="000000" w:themeColor="text1"/>
          <w14:textFill>
            <w14:solidFill>
              <w14:schemeClr w14:val="tx1"/>
            </w14:solidFill>
          </w14:textFill>
        </w:rPr>
        <w:t>各</w:t>
      </w:r>
      <w:r>
        <w:rPr>
          <w:rFonts w:hint="eastAsia" w:ascii="宋体" w:hAnsi="宋体" w:cs="SSJ4+ZBNFQG-1"/>
          <w:color w:val="000000" w:themeColor="text1"/>
          <w14:textFill>
            <w14:solidFill>
              <w14:schemeClr w14:val="tx1"/>
            </w14:solidFill>
          </w14:textFill>
        </w:rPr>
        <w:t>国的</w:t>
      </w:r>
      <w:r>
        <w:rPr>
          <w:rFonts w:hint="eastAsia" w:ascii="宋体" w:hAnsi="宋体" w:cs="FZSSK--GBK1-00+ZBNFQJ-12"/>
          <w:color w:val="000000" w:themeColor="text1"/>
          <w14:textFill>
            <w14:solidFill>
              <w14:schemeClr w14:val="tx1"/>
            </w14:solidFill>
          </w14:textFill>
        </w:rPr>
        <w:t>媒</w:t>
      </w:r>
      <w:r>
        <w:rPr>
          <w:rFonts w:hint="eastAsia" w:ascii="宋体" w:hAnsi="宋体" w:cs="FZSSK--GBK1-00+ZBNFQH-7"/>
          <w:color w:val="000000" w:themeColor="text1"/>
          <w14:textFill>
            <w14:solidFill>
              <w14:schemeClr w14:val="tx1"/>
            </w14:solidFill>
          </w14:textFill>
        </w:rPr>
        <w:t>体</w:t>
      </w:r>
      <w:r>
        <w:rPr>
          <w:rFonts w:hint="eastAsia" w:ascii="宋体" w:hAnsi="宋体" w:cs="FZSSK--GBK1-00+ZBNFQH-5"/>
          <w:color w:val="000000" w:themeColor="text1"/>
          <w14:textFill>
            <w14:solidFill>
              <w14:schemeClr w14:val="tx1"/>
            </w14:solidFill>
          </w14:textFill>
        </w:rPr>
        <w:t>间</w:t>
      </w:r>
      <w:r>
        <w:rPr>
          <w:rFonts w:hint="eastAsia" w:ascii="宋体" w:hAnsi="宋体" w:cs="SSJ4+ZBNFQG-1"/>
          <w:color w:val="000000" w:themeColor="text1"/>
          <w14:textFill>
            <w14:solidFill>
              <w14:schemeClr w14:val="tx1"/>
            </w14:solidFill>
          </w14:textFill>
        </w:rPr>
        <w:t>的</w:t>
      </w:r>
      <w:r>
        <w:rPr>
          <w:rFonts w:hint="eastAsia" w:ascii="宋体" w:hAnsi="宋体" w:cs="FZSSK--GBK1-00+ZBNFQL-16"/>
          <w:color w:val="000000" w:themeColor="text1"/>
          <w14:textFill>
            <w14:solidFill>
              <w14:schemeClr w14:val="tx1"/>
            </w14:solidFill>
          </w14:textFill>
        </w:rPr>
        <w:t>团</w:t>
      </w:r>
      <w:r>
        <w:rPr>
          <w:rFonts w:hint="eastAsia" w:ascii="宋体" w:hAnsi="宋体" w:cs="FZSSK--GBK1-00+ZBNFQH-5"/>
          <w:color w:val="000000" w:themeColor="text1"/>
          <w14:textFill>
            <w14:solidFill>
              <w14:schemeClr w14:val="tx1"/>
            </w14:solidFill>
          </w14:textFill>
        </w:rPr>
        <w:t>结合</w:t>
      </w:r>
      <w:r>
        <w:rPr>
          <w:rFonts w:hint="eastAsia" w:ascii="宋体" w:hAnsi="宋体" w:cs="SSJ4+ZBNFQG-1"/>
          <w:color w:val="000000" w:themeColor="text1"/>
          <w14:textFill>
            <w14:solidFill>
              <w14:schemeClr w14:val="tx1"/>
            </w14:solidFill>
          </w14:textFill>
        </w:rPr>
        <w:t>作</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中国</w:t>
      </w:r>
      <w:r>
        <w:rPr>
          <w:rFonts w:hint="eastAsia" w:ascii="宋体" w:hAnsi="宋体" w:cs="FZSSK--GBK1-00+ZBNFQH-5"/>
          <w:color w:val="000000" w:themeColor="text1"/>
          <w14:textFill>
            <w14:solidFill>
              <w14:schemeClr w14:val="tx1"/>
            </w14:solidFill>
          </w14:textFill>
        </w:rPr>
        <w:t>现</w:t>
      </w:r>
      <w:r>
        <w:rPr>
          <w:rFonts w:hint="eastAsia" w:ascii="宋体" w:hAnsi="宋体" w:cs="SSJ4+ZBNFQG-1"/>
          <w:color w:val="000000" w:themeColor="text1"/>
          <w14:textFill>
            <w14:solidFill>
              <w14:schemeClr w14:val="tx1"/>
            </w14:solidFill>
          </w14:textFill>
        </w:rPr>
        <w:t>在</w:t>
      </w:r>
      <w:r>
        <w:rPr>
          <w:rFonts w:hint="eastAsia" w:ascii="宋体" w:hAnsi="宋体" w:cs="FZSSK--GBK1-00+ZBNFQI-10"/>
          <w:color w:val="000000" w:themeColor="text1"/>
          <w14:textFill>
            <w14:solidFill>
              <w14:schemeClr w14:val="tx1"/>
            </w14:solidFill>
          </w14:textFill>
        </w:rPr>
        <w:t>外</w:t>
      </w:r>
      <w:r>
        <w:rPr>
          <w:rFonts w:hint="eastAsia" w:ascii="宋体" w:hAnsi="宋体" w:cs="FZSSK--GBK1-00+ZBNFQK-14"/>
          <w:color w:val="000000" w:themeColor="text1"/>
          <w14:textFill>
            <w14:solidFill>
              <w14:schemeClr w14:val="tx1"/>
            </w14:solidFill>
          </w14:textFill>
        </w:rPr>
        <w:t>汇</w:t>
      </w:r>
      <w:r>
        <w:rPr>
          <w:rFonts w:hint="eastAsia" w:ascii="宋体" w:hAnsi="宋体" w:cs="FZSSK--GBK1-00+ZBNFQI-9"/>
          <w:color w:val="000000" w:themeColor="text1"/>
          <w14:textFill>
            <w14:solidFill>
              <w14:schemeClr w14:val="tx1"/>
            </w14:solidFill>
          </w14:textFill>
        </w:rPr>
        <w:t>很</w:t>
      </w:r>
      <w:r>
        <w:rPr>
          <w:rFonts w:hint="eastAsia" w:ascii="宋体" w:hAnsi="宋体" w:cs="SSJ4+ZBNFQG-1"/>
          <w:color w:val="000000" w:themeColor="text1"/>
          <w14:textFill>
            <w14:solidFill>
              <w14:schemeClr w14:val="tx1"/>
            </w14:solidFill>
          </w14:textFill>
        </w:rPr>
        <w:t>多，</w:t>
      </w:r>
      <w:r>
        <w:rPr>
          <w:rFonts w:hint="eastAsia" w:ascii="宋体" w:hAnsi="宋体" w:cs="FZSSK--GBK1-00+ZBNFQJ-12"/>
          <w:color w:val="000000" w:themeColor="text1"/>
          <w14:textFill>
            <w14:solidFill>
              <w14:schemeClr w14:val="tx1"/>
            </w14:solidFill>
          </w14:textFill>
        </w:rPr>
        <w:t>媒</w:t>
      </w:r>
      <w:r>
        <w:rPr>
          <w:rFonts w:hint="eastAsia" w:ascii="宋体" w:hAnsi="宋体" w:cs="FZSSK--GBK1-00+ZBNFQH-7"/>
          <w:color w:val="000000" w:themeColor="text1"/>
          <w14:textFill>
            <w14:solidFill>
              <w14:schemeClr w14:val="tx1"/>
            </w14:solidFill>
          </w14:textFill>
        </w:rPr>
        <w:t>体</w:t>
      </w:r>
      <w:r>
        <w:rPr>
          <w:rFonts w:hint="eastAsia" w:ascii="宋体" w:hAnsi="宋体" w:cs="FZSSK--GBK1-00+ZBNFQH-5"/>
          <w:color w:val="000000" w:themeColor="text1"/>
          <w14:textFill>
            <w14:solidFill>
              <w14:schemeClr w14:val="tx1"/>
            </w14:solidFill>
          </w14:textFill>
        </w:rPr>
        <w:t>也</w:t>
      </w:r>
      <w:r>
        <w:rPr>
          <w:rFonts w:hint="eastAsia" w:ascii="宋体" w:hAnsi="宋体" w:cs="FZSSK--GBK1-00+ZBNFQI-9"/>
          <w:color w:val="000000" w:themeColor="text1"/>
          <w14:textFill>
            <w14:solidFill>
              <w14:schemeClr w14:val="tx1"/>
            </w14:solidFill>
          </w14:textFill>
        </w:rPr>
        <w:t>很</w:t>
      </w:r>
      <w:r>
        <w:rPr>
          <w:rFonts w:hint="eastAsia" w:ascii="宋体" w:hAnsi="宋体" w:cs="SSJ4+ZBNFQG-1"/>
          <w:color w:val="000000" w:themeColor="text1"/>
          <w14:textFill>
            <w14:solidFill>
              <w14:schemeClr w14:val="tx1"/>
            </w14:solidFill>
          </w14:textFill>
        </w:rPr>
        <w:t>多，中国大的</w:t>
      </w:r>
      <w:r>
        <w:rPr>
          <w:rFonts w:hint="eastAsia" w:ascii="宋体" w:hAnsi="宋体" w:cs="FZSSK--GBK1-00+ZBNFQJ-12"/>
          <w:color w:val="000000" w:themeColor="text1"/>
          <w14:textFill>
            <w14:solidFill>
              <w14:schemeClr w14:val="tx1"/>
            </w14:solidFill>
          </w14:textFill>
        </w:rPr>
        <w:t>媒</w:t>
      </w:r>
      <w:r>
        <w:rPr>
          <w:rFonts w:hint="eastAsia" w:ascii="宋体" w:hAnsi="宋体" w:cs="FZSSK--GBK1-00+ZBNFQH-7"/>
          <w:color w:val="000000" w:themeColor="text1"/>
          <w14:textFill>
            <w14:solidFill>
              <w14:schemeClr w14:val="tx1"/>
            </w14:solidFill>
          </w14:textFill>
        </w:rPr>
        <w:t>体</w:t>
      </w:r>
      <w:r>
        <w:rPr>
          <w:rFonts w:hint="eastAsia" w:ascii="宋体" w:hAnsi="宋体" w:cs="FZSSK--GBK1-00+ZBNFQK-15"/>
          <w:color w:val="000000" w:themeColor="text1"/>
          <w14:textFill>
            <w14:solidFill>
              <w14:schemeClr w14:val="tx1"/>
            </w14:solidFill>
          </w14:textFill>
        </w:rPr>
        <w:t>集</w:t>
      </w:r>
      <w:r>
        <w:rPr>
          <w:rFonts w:hint="eastAsia" w:ascii="宋体" w:hAnsi="宋体" w:cs="FZSSK--GBK1-00+ZBNFQL-16"/>
          <w:color w:val="000000" w:themeColor="text1"/>
          <w14:textFill>
            <w14:solidFill>
              <w14:schemeClr w14:val="tx1"/>
            </w14:solidFill>
          </w14:textFill>
        </w:rPr>
        <w:t>团</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I-10"/>
          <w:color w:val="000000" w:themeColor="text1"/>
          <w14:textFill>
            <w14:solidFill>
              <w14:schemeClr w14:val="tx1"/>
            </w14:solidFill>
          </w14:textFill>
        </w:rPr>
        <w:t>该</w:t>
      </w:r>
      <w:r>
        <w:rPr>
          <w:rFonts w:hint="eastAsia" w:ascii="宋体" w:hAnsi="宋体" w:cs="SSJ4+ZBNFQG-1"/>
          <w:color w:val="000000" w:themeColor="text1"/>
          <w14:textFill>
            <w14:solidFill>
              <w14:schemeClr w14:val="tx1"/>
            </w14:solidFill>
          </w14:textFill>
        </w:rPr>
        <w:t>主</w:t>
      </w:r>
      <w:r>
        <w:rPr>
          <w:rFonts w:hint="eastAsia" w:ascii="宋体" w:hAnsi="宋体" w:cs="FZSSK--GBK1-00+ZBNFQH-5"/>
          <w:color w:val="000000" w:themeColor="text1"/>
          <w14:textFill>
            <w14:solidFill>
              <w14:schemeClr w14:val="tx1"/>
            </w14:solidFill>
          </w14:textFill>
        </w:rPr>
        <w:t>动</w:t>
      </w:r>
      <w:r>
        <w:rPr>
          <w:rFonts w:hint="eastAsia" w:ascii="宋体" w:hAnsi="宋体" w:cs="FZSSK--GBK1-00+ZBNFQI-10"/>
          <w:color w:val="000000" w:themeColor="text1"/>
          <w14:textFill>
            <w14:solidFill>
              <w14:schemeClr w14:val="tx1"/>
            </w14:solidFill>
          </w14:textFill>
        </w:rPr>
        <w:t>地</w:t>
      </w:r>
      <w:r>
        <w:rPr>
          <w:rFonts w:hint="eastAsia" w:ascii="宋体" w:hAnsi="宋体" w:cs="FZSSK--GBK1-00+ZBNFQJ-13"/>
          <w:color w:val="000000" w:themeColor="text1"/>
          <w14:textFill>
            <w14:solidFill>
              <w14:schemeClr w14:val="tx1"/>
            </w14:solidFill>
          </w14:textFill>
        </w:rPr>
        <w:t>走</w:t>
      </w:r>
      <w:r>
        <w:rPr>
          <w:rFonts w:hint="eastAsia" w:ascii="宋体" w:hAnsi="宋体" w:cs="SSJ4+ZBNFQG-1"/>
          <w:color w:val="000000" w:themeColor="text1"/>
          <w14:textFill>
            <w14:solidFill>
              <w14:schemeClr w14:val="tx1"/>
            </w14:solidFill>
          </w14:textFill>
        </w:rPr>
        <w:t>出</w:t>
      </w:r>
      <w:r>
        <w:rPr>
          <w:rFonts w:hint="eastAsia" w:ascii="宋体" w:hAnsi="宋体" w:cs="FZSSK--GBK1-00+ZBNFQH-5"/>
          <w:color w:val="000000" w:themeColor="text1"/>
          <w14:textFill>
            <w14:solidFill>
              <w14:schemeClr w14:val="tx1"/>
            </w14:solidFill>
          </w14:textFill>
        </w:rPr>
        <w:t>去</w:t>
      </w:r>
      <w:r>
        <w:rPr>
          <w:rFonts w:hint="eastAsia" w:ascii="宋体" w:hAnsi="宋体" w:cs="FZSSK--GBK1-00+ZBNFQH-8"/>
          <w:color w:val="000000" w:themeColor="text1"/>
          <w14:textFill>
            <w14:solidFill>
              <w14:schemeClr w14:val="tx1"/>
            </w14:solidFill>
          </w14:textFill>
        </w:rPr>
        <w:t>并</w:t>
      </w:r>
      <w:r>
        <w:rPr>
          <w:rFonts w:hint="eastAsia" w:ascii="宋体" w:hAnsi="宋体" w:cs="FZSSK--GBK1-00+ZBNFQK-15"/>
          <w:color w:val="000000" w:themeColor="text1"/>
          <w14:textFill>
            <w14:solidFill>
              <w14:schemeClr w14:val="tx1"/>
            </w14:solidFill>
          </w14:textFill>
        </w:rPr>
        <w:t>购</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7"/>
          <w:color w:val="000000" w:themeColor="text1"/>
          <w14:textFill>
            <w14:solidFill>
              <w14:schemeClr w14:val="tx1"/>
            </w14:solidFill>
          </w14:textFill>
        </w:rPr>
        <w:t>等</w:t>
      </w:r>
      <w:r>
        <w:rPr>
          <w:rFonts w:hint="eastAsia" w:ascii="宋体" w:hAnsi="宋体" w:cs="SSJ4+ZBNFQG-1"/>
          <w:color w:val="000000" w:themeColor="text1"/>
          <w14:textFill>
            <w14:solidFill>
              <w14:schemeClr w14:val="tx1"/>
            </w14:solidFill>
          </w14:textFill>
        </w:rPr>
        <w:t>发</w:t>
      </w:r>
      <w:r>
        <w:rPr>
          <w:rFonts w:hint="eastAsia" w:ascii="宋体" w:hAnsi="宋体" w:cs="FZSSK--GBK1-00+ZBNFQH-8"/>
          <w:color w:val="000000" w:themeColor="text1"/>
          <w14:textFill>
            <w14:solidFill>
              <w14:schemeClr w14:val="tx1"/>
            </w14:solidFill>
          </w14:textFill>
        </w:rPr>
        <w:t>达</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的重要</w:t>
      </w:r>
      <w:r>
        <w:rPr>
          <w:rFonts w:hint="eastAsia" w:ascii="宋体" w:hAnsi="宋体" w:cs="FZSSK--GBK1-00+ZBNFQJ-12"/>
          <w:color w:val="000000" w:themeColor="text1"/>
          <w14:textFill>
            <w14:solidFill>
              <w14:schemeClr w14:val="tx1"/>
            </w14:solidFill>
          </w14:textFill>
        </w:rPr>
        <w:t>媒</w:t>
      </w:r>
      <w:r>
        <w:rPr>
          <w:rFonts w:hint="eastAsia" w:ascii="宋体" w:hAnsi="宋体" w:cs="FZSSK--GBK1-00+ZBNFQH-7"/>
          <w:color w:val="000000" w:themeColor="text1"/>
          <w14:textFill>
            <w14:solidFill>
              <w14:schemeClr w14:val="tx1"/>
            </w14:solidFill>
          </w14:textFill>
        </w:rPr>
        <w:t>体</w:t>
      </w:r>
      <w:r>
        <w:rPr>
          <w:rFonts w:hint="eastAsia" w:ascii="宋体" w:hAnsi="宋体" w:cs="FZSSK--GBK1-00+ZBNFQJ-12"/>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或</w:t>
      </w:r>
      <w:r>
        <w:rPr>
          <w:rFonts w:hint="eastAsia" w:ascii="宋体" w:hAnsi="宋体" w:cs="FZSSK--GBK1-00+ZBNFQK-14"/>
          <w:color w:val="000000" w:themeColor="text1"/>
          <w14:textFill>
            <w14:solidFill>
              <w14:schemeClr w14:val="tx1"/>
            </w14:solidFill>
          </w14:textFill>
        </w:rPr>
        <w:t>采取</w:t>
      </w:r>
      <w:r>
        <w:rPr>
          <w:rFonts w:hint="eastAsia" w:ascii="宋体" w:hAnsi="宋体" w:cs="FZSSK--GBK1-00+ZBNFQH-7"/>
          <w:color w:val="000000" w:themeColor="text1"/>
          <w14:textFill>
            <w14:solidFill>
              <w14:schemeClr w14:val="tx1"/>
            </w14:solidFill>
          </w14:textFill>
        </w:rPr>
        <w:t>其</w:t>
      </w:r>
      <w:r>
        <w:rPr>
          <w:rFonts w:hint="eastAsia" w:ascii="宋体" w:hAnsi="宋体" w:cs="FZSSK--GBK1-00+ZBNFQJ-13"/>
          <w:color w:val="000000" w:themeColor="text1"/>
          <w14:textFill>
            <w14:solidFill>
              <w14:schemeClr w14:val="tx1"/>
            </w14:solidFill>
          </w14:textFill>
        </w:rPr>
        <w:t>他</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w:t>
      </w:r>
      <w:r>
        <w:rPr>
          <w:rFonts w:hint="eastAsia" w:ascii="宋体" w:hAnsi="宋体" w:cs="FZSSK--GBK1-00+ZBNFQH-8"/>
          <w:color w:val="000000" w:themeColor="text1"/>
          <w14:textFill>
            <w14:solidFill>
              <w14:schemeClr w14:val="tx1"/>
            </w14:solidFill>
          </w14:textFill>
        </w:rPr>
        <w:t>方</w:t>
      </w:r>
      <w:r>
        <w:rPr>
          <w:rFonts w:hint="eastAsia" w:ascii="宋体" w:hAnsi="宋体" w:cs="FZSSK--GBK1-00+ZBNFQI-10"/>
          <w:color w:val="000000" w:themeColor="text1"/>
          <w14:textFill>
            <w14:solidFill>
              <w14:schemeClr w14:val="tx1"/>
            </w14:solidFill>
          </w14:textFill>
        </w:rPr>
        <w:t>式</w:t>
      </w:r>
      <w:r>
        <w:rPr>
          <w:rFonts w:hint="eastAsia" w:ascii="宋体" w:hAnsi="宋体" w:cs="FZSSK--GBK1-00+ZBNFQJ-12"/>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w:t>
      </w:r>
      <w:r>
        <w:rPr>
          <w:rFonts w:hint="eastAsia" w:ascii="宋体" w:hAnsi="宋体" w:cs="FZSSK--GBK1-00+ZBNFQQ-24"/>
          <w:color w:val="000000" w:themeColor="text1"/>
          <w14:textFill>
            <w14:solidFill>
              <w14:schemeClr w14:val="tx1"/>
            </w14:solidFill>
          </w14:textFill>
        </w:rPr>
        <w:t>促</w:t>
      </w:r>
      <w:r>
        <w:rPr>
          <w:rFonts w:hint="eastAsia" w:ascii="宋体" w:hAnsi="宋体" w:cs="FZSSK--GBK1-00+ZBNFQI-10"/>
          <w:color w:val="000000" w:themeColor="text1"/>
          <w14:textFill>
            <w14:solidFill>
              <w14:schemeClr w14:val="tx1"/>
            </w14:solidFill>
          </w14:textFill>
        </w:rPr>
        <w:t>使</w:t>
      </w:r>
      <w:r>
        <w:rPr>
          <w:rFonts w:hint="eastAsia" w:ascii="宋体" w:hAnsi="宋体" w:cs="FZSSK--GBK1-00+ZBNFQH-5"/>
          <w:color w:val="000000" w:themeColor="text1"/>
          <w14:textFill>
            <w14:solidFill>
              <w14:schemeClr w14:val="tx1"/>
            </w14:solidFill>
          </w14:textFill>
        </w:rPr>
        <w:t>它们</w:t>
      </w:r>
      <w:r>
        <w:rPr>
          <w:rFonts w:hint="eastAsia" w:ascii="宋体" w:hAnsi="宋体" w:cs="FZSSK--GBK1-00+ZBNFQL-16"/>
          <w:color w:val="000000" w:themeColor="text1"/>
          <w14:textFill>
            <w14:solidFill>
              <w14:schemeClr w14:val="tx1"/>
            </w14:solidFill>
          </w14:textFill>
        </w:rPr>
        <w:t>客</w:t>
      </w:r>
      <w:r>
        <w:rPr>
          <w:rFonts w:hint="eastAsia" w:ascii="宋体" w:hAnsi="宋体" w:cs="FZSSK--GBK1-00+ZBNFQH-5"/>
          <w:color w:val="000000" w:themeColor="text1"/>
          <w14:textFill>
            <w14:solidFill>
              <w14:schemeClr w14:val="tx1"/>
            </w14:solidFill>
          </w14:textFill>
        </w:rPr>
        <w:t>观</w:t>
      </w:r>
      <w:r>
        <w:rPr>
          <w:rFonts w:hint="eastAsia" w:ascii="宋体" w:hAnsi="宋体" w:cs="FZSSK--GBK1-00+ZBNFQI-9"/>
          <w:color w:val="000000" w:themeColor="text1"/>
          <w14:textFill>
            <w14:solidFill>
              <w14:schemeClr w14:val="tx1"/>
            </w14:solidFill>
          </w14:textFill>
        </w:rPr>
        <w:t>报</w:t>
      </w:r>
      <w:r>
        <w:rPr>
          <w:rFonts w:hint="eastAsia" w:ascii="宋体" w:hAnsi="宋体" w:cs="FZSSK--GBK1-00+ZBNFQH-7"/>
          <w:color w:val="000000" w:themeColor="text1"/>
          <w14:textFill>
            <w14:solidFill>
              <w14:schemeClr w14:val="tx1"/>
            </w14:solidFill>
          </w14:textFill>
        </w:rPr>
        <w:t>道</w:t>
      </w:r>
      <w:r>
        <w:rPr>
          <w:rFonts w:hint="eastAsia" w:ascii="宋体" w:hAnsi="宋体" w:cs="SSJ4+ZBNFQG-1"/>
          <w:color w:val="000000" w:themeColor="text1"/>
          <w14:textFill>
            <w14:solidFill>
              <w14:schemeClr w14:val="tx1"/>
            </w14:solidFill>
          </w14:textFill>
        </w:rPr>
        <w:t>中国，</w:t>
      </w:r>
      <w:r>
        <w:rPr>
          <w:rFonts w:hint="eastAsia" w:ascii="宋体" w:hAnsi="宋体" w:cs="FZSSK--GBK1-00+ZBNFQJ-12"/>
          <w:color w:val="000000" w:themeColor="text1"/>
          <w14:textFill>
            <w14:solidFill>
              <w14:schemeClr w14:val="tx1"/>
            </w14:solidFill>
          </w14:textFill>
        </w:rPr>
        <w:t>维</w:t>
      </w:r>
      <w:r>
        <w:rPr>
          <w:rFonts w:hint="eastAsia" w:ascii="宋体" w:hAnsi="宋体" w:cs="FZSSK--GBK1-00+ZBNFQL-16"/>
          <w:color w:val="000000" w:themeColor="text1"/>
          <w14:textFill>
            <w14:solidFill>
              <w14:schemeClr w14:val="tx1"/>
            </w14:solidFill>
          </w14:textFill>
        </w:rPr>
        <w:t>护</w:t>
      </w:r>
      <w:r>
        <w:rPr>
          <w:rFonts w:hint="eastAsia" w:ascii="宋体" w:hAnsi="宋体" w:cs="SSJ4+ZBNFQG-1"/>
          <w:color w:val="000000" w:themeColor="text1"/>
          <w14:textFill>
            <w14:solidFill>
              <w14:schemeClr w14:val="tx1"/>
            </w14:solidFill>
          </w14:textFill>
        </w:rPr>
        <w:t>世界</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众的</w:t>
      </w:r>
      <w:r>
        <w:rPr>
          <w:rFonts w:hint="eastAsia" w:ascii="宋体" w:hAnsi="宋体" w:cs="FZSSK--GBK1-00+ZBNFQH-8"/>
          <w:color w:val="000000" w:themeColor="text1"/>
          <w14:textFill>
            <w14:solidFill>
              <w14:schemeClr w14:val="tx1"/>
            </w14:solidFill>
          </w14:textFill>
        </w:rPr>
        <w:t>利</w:t>
      </w:r>
      <w:r>
        <w:rPr>
          <w:rFonts w:hint="eastAsia" w:ascii="宋体" w:hAnsi="宋体" w:cs="FZSSK--GBK1-00+ZBNFQK-15"/>
          <w:color w:val="000000" w:themeColor="text1"/>
          <w14:textFill>
            <w14:solidFill>
              <w14:schemeClr w14:val="tx1"/>
            </w14:solidFill>
          </w14:textFill>
        </w:rPr>
        <w:t>益</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当</w:t>
      </w:r>
      <w:r>
        <w:rPr>
          <w:rFonts w:hint="eastAsia" w:ascii="宋体" w:hAnsi="宋体" w:cs="FZSSK--GBK1-00+ZBNFQH-8"/>
          <w:color w:val="000000" w:themeColor="text1"/>
          <w14:textFill>
            <w14:solidFill>
              <w14:schemeClr w14:val="tx1"/>
            </w14:solidFill>
          </w14:textFill>
        </w:rPr>
        <w:t>然</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w:t>
      </w:r>
      <w:r>
        <w:rPr>
          <w:rFonts w:hint="eastAsia" w:ascii="宋体" w:hAnsi="宋体" w:cs="FZSSK--GBK1-00+ZBNFQH-7"/>
          <w:color w:val="000000" w:themeColor="text1"/>
          <w14:textFill>
            <w14:solidFill>
              <w14:schemeClr w14:val="tx1"/>
            </w14:solidFill>
          </w14:textFill>
        </w:rPr>
        <w:t>等肯定</w:t>
      </w:r>
      <w:r>
        <w:rPr>
          <w:rFonts w:hint="eastAsia" w:ascii="宋体" w:hAnsi="宋体" w:cs="FZSSK--GBK1-00+ZBNFQH-5"/>
          <w:color w:val="000000" w:themeColor="text1"/>
          <w14:textFill>
            <w14:solidFill>
              <w14:schemeClr w14:val="tx1"/>
            </w14:solidFill>
          </w14:textFill>
        </w:rPr>
        <w:t>会</w:t>
      </w:r>
      <w:r>
        <w:rPr>
          <w:rFonts w:hint="eastAsia" w:ascii="宋体" w:hAnsi="宋体" w:cs="FZSSK--GBK1-00+ZBNFQH-7"/>
          <w:color w:val="000000" w:themeColor="text1"/>
          <w14:textFill>
            <w14:solidFill>
              <w14:schemeClr w14:val="tx1"/>
            </w14:solidFill>
          </w14:textFill>
        </w:rPr>
        <w:t>极力</w:t>
      </w:r>
      <w:r>
        <w:rPr>
          <w:rFonts w:hint="eastAsia" w:ascii="宋体" w:hAnsi="宋体" w:cs="FZSSK--GBK1-00+ZBNFQI-9"/>
          <w:color w:val="000000" w:themeColor="text1"/>
          <w14:textFill>
            <w14:solidFill>
              <w14:schemeClr w14:val="tx1"/>
            </w14:solidFill>
          </w14:textFill>
        </w:rPr>
        <w:t>反</w:t>
      </w:r>
      <w:r>
        <w:rPr>
          <w:rFonts w:hint="eastAsia" w:ascii="宋体" w:hAnsi="宋体" w:cs="SSJ4+ZBNFQG-1"/>
          <w:color w:val="000000" w:themeColor="text1"/>
          <w14:textFill>
            <w14:solidFill>
              <w14:schemeClr w14:val="tx1"/>
            </w14:solidFill>
          </w14:textFill>
        </w:rPr>
        <w:t>对，</w:t>
      </w:r>
      <w:r>
        <w:rPr>
          <w:rFonts w:hint="eastAsia" w:ascii="宋体" w:hAnsi="宋体" w:cs="FZSSK--GBK1-00+ZBNFQH-5"/>
          <w:color w:val="000000" w:themeColor="text1"/>
          <w14:textFill>
            <w14:solidFill>
              <w14:schemeClr w14:val="tx1"/>
            </w14:solidFill>
          </w14:textFill>
        </w:rPr>
        <w:t>那</w:t>
      </w:r>
      <w:r>
        <w:rPr>
          <w:rFonts w:hint="eastAsia" w:ascii="宋体" w:hAnsi="宋体" w:cs="FZSSK--GBK1-00+ZBNFQI-10"/>
          <w:color w:val="000000" w:themeColor="text1"/>
          <w14:textFill>
            <w14:solidFill>
              <w14:schemeClr w14:val="tx1"/>
            </w14:solidFill>
          </w14:textFill>
        </w:rPr>
        <w:t>么</w:t>
      </w:r>
      <w:r>
        <w:rPr>
          <w:rFonts w:hint="eastAsia" w:ascii="宋体" w:hAnsi="宋体" w:cs="SSJ4+ZBNFQG-1"/>
          <w:color w:val="000000" w:themeColor="text1"/>
          <w14:textFill>
            <w14:solidFill>
              <w14:schemeClr w14:val="tx1"/>
            </w14:solidFill>
          </w14:textFill>
        </w:rPr>
        <w:t>，我</w:t>
      </w:r>
      <w:r>
        <w:rPr>
          <w:rFonts w:hint="eastAsia" w:ascii="宋体" w:hAnsi="宋体" w:cs="FZSSK--GBK1-00+ZBNFQH-5"/>
          <w:color w:val="000000" w:themeColor="text1"/>
          <w14:textFill>
            <w14:solidFill>
              <w14:schemeClr w14:val="tx1"/>
            </w14:solidFill>
          </w14:textFill>
        </w:rPr>
        <w:t>们就</w:t>
      </w:r>
      <w:r>
        <w:rPr>
          <w:rFonts w:hint="eastAsia" w:ascii="宋体" w:hAnsi="宋体" w:cs="SSJ4+ZBNFQG-1"/>
          <w:color w:val="000000" w:themeColor="text1"/>
          <w14:textFill>
            <w14:solidFill>
              <w14:schemeClr w14:val="tx1"/>
            </w14:solidFill>
          </w14:textFill>
        </w:rPr>
        <w:t>要以</w:t>
      </w:r>
      <w:r>
        <w:rPr>
          <w:rFonts w:hint="eastAsia" w:ascii="宋体" w:hAnsi="宋体" w:cs="FZSSK--GBK1-00+ZBNFQH-7"/>
          <w:color w:val="000000" w:themeColor="text1"/>
          <w14:textFill>
            <w14:solidFill>
              <w14:schemeClr w14:val="tx1"/>
            </w14:solidFill>
          </w14:textFill>
        </w:rPr>
        <w:t>其</w:t>
      </w:r>
      <w:r>
        <w:rPr>
          <w:rFonts w:hint="eastAsia" w:ascii="宋体" w:hAnsi="宋体" w:cs="FZSSK--GBK1-00+ZBNFQH-5"/>
          <w:color w:val="000000" w:themeColor="text1"/>
          <w14:textFill>
            <w14:solidFill>
              <w14:schemeClr w14:val="tx1"/>
            </w14:solidFill>
          </w14:textFill>
        </w:rPr>
        <w:t>人</w:t>
      </w:r>
      <w:r>
        <w:rPr>
          <w:rFonts w:hint="eastAsia" w:ascii="宋体" w:hAnsi="宋体" w:cs="SSJ4+ZBNFQG-1"/>
          <w:color w:val="000000" w:themeColor="text1"/>
          <w14:textFill>
            <w14:solidFill>
              <w14:schemeClr w14:val="tx1"/>
            </w14:solidFill>
          </w14:textFill>
        </w:rPr>
        <w:t>之</w:t>
      </w:r>
      <w:r>
        <w:rPr>
          <w:rFonts w:hint="eastAsia" w:ascii="宋体" w:hAnsi="宋体" w:cs="FZSSK--GBK1-00+ZBNFQH-7"/>
          <w:color w:val="000000" w:themeColor="text1"/>
          <w14:textFill>
            <w14:solidFill>
              <w14:schemeClr w14:val="tx1"/>
            </w14:solidFill>
          </w14:textFill>
        </w:rPr>
        <w:t>道</w:t>
      </w:r>
      <w:r>
        <w:rPr>
          <w:rFonts w:hint="eastAsia" w:ascii="宋体" w:hAnsi="宋体" w:cs="FZSSK--GBK1-00+ZBNFQH-5"/>
          <w:color w:val="000000" w:themeColor="text1"/>
          <w14:textFill>
            <w14:solidFill>
              <w14:schemeClr w14:val="tx1"/>
            </w14:solidFill>
          </w14:textFill>
        </w:rPr>
        <w:t>还</w:t>
      </w:r>
      <w:r>
        <w:rPr>
          <w:rFonts w:hint="eastAsia" w:ascii="宋体" w:hAnsi="宋体" w:cs="FZSSK--GBK1-00+ZBNFQH-7"/>
          <w:color w:val="000000" w:themeColor="text1"/>
          <w14:textFill>
            <w14:solidFill>
              <w14:schemeClr w14:val="tx1"/>
            </w14:solidFill>
          </w14:textFill>
        </w:rPr>
        <w:t>治其</w:t>
      </w:r>
      <w:r>
        <w:rPr>
          <w:rFonts w:hint="eastAsia" w:ascii="宋体" w:hAnsi="宋体" w:cs="FZSSK--GBK1-00+ZBNFQH-5"/>
          <w:color w:val="000000" w:themeColor="text1"/>
          <w14:textFill>
            <w14:solidFill>
              <w14:schemeClr w14:val="tx1"/>
            </w14:solidFill>
          </w14:textFill>
        </w:rPr>
        <w:t>人</w:t>
      </w:r>
      <w:r>
        <w:rPr>
          <w:rFonts w:hint="eastAsia" w:ascii="宋体" w:hAnsi="宋体" w:cs="SSJ4+ZBNFQG-1"/>
          <w:color w:val="000000" w:themeColor="text1"/>
          <w14:textFill>
            <w14:solidFill>
              <w14:schemeClr w14:val="tx1"/>
            </w14:solidFill>
          </w14:textFill>
        </w:rPr>
        <w:t>之</w:t>
      </w:r>
      <w:r>
        <w:rPr>
          <w:rFonts w:hint="eastAsia" w:ascii="宋体" w:hAnsi="宋体" w:cs="FZSSK--GBK1-00+ZBNFQO-22"/>
          <w:color w:val="000000" w:themeColor="text1"/>
          <w14:textFill>
            <w14:solidFill>
              <w14:schemeClr w14:val="tx1"/>
            </w14:solidFill>
          </w14:textFill>
        </w:rPr>
        <w:t>身</w:t>
      </w:r>
      <w:r>
        <w:rPr>
          <w:rFonts w:hint="eastAsia" w:ascii="宋体" w:hAnsi="宋体" w:cs="SSJ4+ZBNFQG-1"/>
          <w:color w:val="000000" w:themeColor="text1"/>
          <w14:textFill>
            <w14:solidFill>
              <w14:schemeClr w14:val="tx1"/>
            </w14:solidFill>
          </w14:textFill>
        </w:rPr>
        <w:t>，指出</w:t>
      </w:r>
      <w:r>
        <w:rPr>
          <w:rFonts w:hint="eastAsia" w:ascii="宋体" w:hAnsi="宋体" w:cs="FZSSK--GBK1-00+ZBNFQH-7"/>
          <w:color w:val="000000" w:themeColor="text1"/>
          <w14:textFill>
            <w14:solidFill>
              <w14:schemeClr w14:val="tx1"/>
            </w14:solidFill>
          </w14:textFill>
        </w:rPr>
        <w:t>其</w:t>
      </w:r>
      <w:r>
        <w:rPr>
          <w:rFonts w:hint="eastAsia" w:ascii="宋体" w:hAnsi="宋体" w:cs="FZSSK--GBK1-00+ZBNFQJ-12"/>
          <w:color w:val="000000" w:themeColor="text1"/>
          <w14:textFill>
            <w14:solidFill>
              <w14:schemeClr w14:val="tx1"/>
            </w14:solidFill>
          </w14:textFill>
        </w:rPr>
        <w:t>虚假</w:t>
      </w:r>
      <w:r>
        <w:rPr>
          <w:rFonts w:hint="eastAsia" w:ascii="宋体" w:hAnsi="宋体" w:cs="SSJ4+ZBNFQG-1"/>
          <w:color w:val="000000" w:themeColor="text1"/>
          <w14:textFill>
            <w14:solidFill>
              <w14:schemeClr w14:val="tx1"/>
            </w14:solidFill>
          </w14:textFill>
        </w:rPr>
        <w:t>的经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自由和新</w:t>
      </w:r>
      <w:r>
        <w:rPr>
          <w:rFonts w:hint="eastAsia" w:ascii="宋体" w:hAnsi="宋体" w:cs="FZSSK--GBK1-00+ZBNFQJ-13"/>
          <w:color w:val="000000" w:themeColor="text1"/>
          <w14:textFill>
            <w14:solidFill>
              <w14:schemeClr w14:val="tx1"/>
            </w14:solidFill>
          </w14:textFill>
        </w:rPr>
        <w:t>闻</w:t>
      </w:r>
      <w:r>
        <w:rPr>
          <w:rFonts w:hint="eastAsia" w:ascii="宋体" w:hAnsi="宋体" w:cs="SSJ4+ZBNFQG-1"/>
          <w:color w:val="000000" w:themeColor="text1"/>
          <w14:textFill>
            <w14:solidFill>
              <w14:schemeClr w14:val="tx1"/>
            </w14:solidFill>
          </w14:textFill>
        </w:rPr>
        <w:t>自由</w:t>
      </w:r>
      <w:r>
        <w:rPr>
          <w:rFonts w:hint="eastAsia" w:ascii="宋体" w:hAnsi="宋体" w:cs="SSJ0+ZBNFQG-4"/>
          <w:color w:val="000000" w:themeColor="text1"/>
          <w14:textFill>
            <w14:solidFill>
              <w14:schemeClr w14:val="tx1"/>
            </w14:solidFill>
          </w14:textFill>
        </w:rPr>
        <w:t>。</w:t>
      </w:r>
    </w:p>
    <w:p w14:paraId="0BE922A5">
      <w:pPr>
        <w:autoSpaceDE w:val="0"/>
        <w:autoSpaceDN w:val="0"/>
        <w:adjustRightInd w:val="0"/>
        <w:spacing w:line="400" w:lineRule="exact"/>
        <w:ind w:firstLine="420" w:firstLineChars="200"/>
        <w:jc w:val="left"/>
        <w:rPr>
          <w:rFonts w:hint="eastAsia" w:ascii="宋体" w:hAnsi="宋体" w:cs="SSJ0+ZBNFQG-4"/>
          <w:color w:val="000000" w:themeColor="text1"/>
          <w14:textFill>
            <w14:solidFill>
              <w14:schemeClr w14:val="tx1"/>
            </w14:solidFill>
          </w14:textFill>
        </w:rPr>
      </w:pPr>
      <w:r>
        <w:rPr>
          <w:rFonts w:hint="eastAsia" w:ascii="宋体" w:hAnsi="宋体" w:cs="SSJ4+ZBNFQG-1"/>
          <w:color w:val="000000" w:themeColor="text1"/>
          <w14:textFill>
            <w14:solidFill>
              <w14:schemeClr w14:val="tx1"/>
            </w14:solidFill>
          </w14:textFill>
        </w:rPr>
        <w:t>有</w:t>
      </w:r>
      <w:r>
        <w:rPr>
          <w:rFonts w:hint="eastAsia" w:ascii="宋体" w:hAnsi="宋体" w:cs="FZSSK--GBK1-00+ZBNFQH-7"/>
          <w:color w:val="000000" w:themeColor="text1"/>
          <w14:textFill>
            <w14:solidFill>
              <w14:schemeClr w14:val="tx1"/>
            </w14:solidFill>
          </w14:textFill>
        </w:rPr>
        <w:t>些</w:t>
      </w:r>
      <w:r>
        <w:rPr>
          <w:rFonts w:hint="eastAsia" w:ascii="宋体" w:hAnsi="宋体" w:cs="FZSSK--GBK1-00+ZBNFQH-5"/>
          <w:color w:val="000000" w:themeColor="text1"/>
          <w14:textFill>
            <w14:solidFill>
              <w14:schemeClr w14:val="tx1"/>
            </w14:solidFill>
          </w14:textFill>
        </w:rPr>
        <w:t>合</w:t>
      </w:r>
      <w:r>
        <w:rPr>
          <w:rFonts w:hint="eastAsia" w:ascii="宋体" w:hAnsi="宋体" w:cs="SSJ4+ZBNFQG-1"/>
          <w:color w:val="000000" w:themeColor="text1"/>
          <w14:textFill>
            <w14:solidFill>
              <w14:schemeClr w14:val="tx1"/>
            </w14:solidFill>
          </w14:textFill>
        </w:rPr>
        <w:t>作要</w:t>
      </w:r>
      <w:r>
        <w:rPr>
          <w:rFonts w:hint="eastAsia" w:ascii="宋体" w:hAnsi="宋体" w:cs="FZSSK--GBK1-00+ZBNFQI-9"/>
          <w:color w:val="000000" w:themeColor="text1"/>
          <w14:textFill>
            <w14:solidFill>
              <w14:schemeClr w14:val="tx1"/>
            </w14:solidFill>
          </w14:textFill>
        </w:rPr>
        <w:t>加</w:t>
      </w:r>
      <w:r>
        <w:rPr>
          <w:rFonts w:hint="eastAsia" w:ascii="宋体" w:hAnsi="宋体" w:cs="FZSSK--GBK1-00+ZBNFQH-7"/>
          <w:color w:val="000000" w:themeColor="text1"/>
          <w14:textFill>
            <w14:solidFill>
              <w14:schemeClr w14:val="tx1"/>
            </w14:solidFill>
          </w14:textFill>
        </w:rPr>
        <w:t>强</w:t>
      </w:r>
      <w:r>
        <w:rPr>
          <w:rFonts w:hint="eastAsia" w:ascii="宋体" w:hAnsi="宋体" w:cs="SSJ4+ZBNFQG-1"/>
          <w:color w:val="000000" w:themeColor="text1"/>
          <w14:textFill>
            <w14:solidFill>
              <w14:schemeClr w14:val="tx1"/>
            </w14:solidFill>
          </w14:textFill>
        </w:rPr>
        <w:t>，有</w:t>
      </w:r>
      <w:r>
        <w:rPr>
          <w:rFonts w:hint="eastAsia" w:ascii="宋体" w:hAnsi="宋体" w:cs="FZSSK--GBK1-00+ZBNFQH-7"/>
          <w:color w:val="000000" w:themeColor="text1"/>
          <w14:textFill>
            <w14:solidFill>
              <w14:schemeClr w14:val="tx1"/>
            </w14:solidFill>
          </w14:textFill>
        </w:rPr>
        <w:t>些</w:t>
      </w:r>
      <w:r>
        <w:rPr>
          <w:rFonts w:hint="eastAsia" w:ascii="宋体" w:hAnsi="宋体" w:cs="FZSSK--GBK1-00+ZBNFQH-8"/>
          <w:color w:val="000000" w:themeColor="text1"/>
          <w14:textFill>
            <w14:solidFill>
              <w14:schemeClr w14:val="tx1"/>
            </w14:solidFill>
          </w14:textFill>
        </w:rPr>
        <w:t>则</w:t>
      </w:r>
      <w:r>
        <w:rPr>
          <w:rFonts w:hint="eastAsia" w:ascii="宋体" w:hAnsi="宋体" w:cs="SSJ4+ZBNFQG-1"/>
          <w:color w:val="000000" w:themeColor="text1"/>
          <w14:textFill>
            <w14:solidFill>
              <w14:schemeClr w14:val="tx1"/>
            </w14:solidFill>
          </w14:textFill>
        </w:rPr>
        <w:t>要</w:t>
      </w:r>
      <w:r>
        <w:rPr>
          <w:rFonts w:hint="eastAsia" w:ascii="宋体" w:hAnsi="宋体" w:cs="FZSSK--GBK1-00+ZBNFQL-16"/>
          <w:color w:val="000000" w:themeColor="text1"/>
          <w14:textFill>
            <w14:solidFill>
              <w14:schemeClr w14:val="tx1"/>
            </w14:solidFill>
          </w14:textFill>
        </w:rPr>
        <w:t>削</w:t>
      </w:r>
      <w:r>
        <w:rPr>
          <w:rFonts w:hint="eastAsia" w:ascii="宋体" w:hAnsi="宋体" w:cs="FZSSK--GBK1-00+ZBNFQP-23"/>
          <w:color w:val="000000" w:themeColor="text1"/>
          <w14:textFill>
            <w14:solidFill>
              <w14:schemeClr w14:val="tx1"/>
            </w14:solidFill>
          </w14:textFill>
        </w:rPr>
        <w:t>弱</w:t>
      </w:r>
      <w:r>
        <w:rPr>
          <w:rFonts w:hint="eastAsia" w:ascii="宋体" w:hAnsi="宋体" w:cs="SSJ0+ZBNFQG-4"/>
          <w:color w:val="000000" w:themeColor="text1"/>
          <w14:textFill>
            <w14:solidFill>
              <w14:schemeClr w14:val="tx1"/>
            </w14:solidFill>
          </w14:textFill>
        </w:rPr>
        <w:t>。</w:t>
      </w:r>
      <w:r>
        <w:rPr>
          <w:rFonts w:hint="eastAsia" w:ascii="宋体" w:hAnsi="宋体" w:cs="FZSSK--GBK1-00+ZBNFQI-9"/>
          <w:color w:val="000000" w:themeColor="text1"/>
          <w14:textFill>
            <w14:solidFill>
              <w14:schemeClr w14:val="tx1"/>
            </w14:solidFill>
          </w14:textFill>
        </w:rPr>
        <w:t>比</w:t>
      </w:r>
      <w:r>
        <w:rPr>
          <w:rFonts w:hint="eastAsia" w:ascii="宋体" w:hAnsi="宋体" w:cs="FZSSK--GBK1-00+ZBNFQH-5"/>
          <w:color w:val="000000" w:themeColor="text1"/>
          <w14:textFill>
            <w14:solidFill>
              <w14:schemeClr w14:val="tx1"/>
            </w14:solidFill>
          </w14:textFill>
        </w:rPr>
        <w:t>如</w:t>
      </w:r>
      <w:r>
        <w:rPr>
          <w:rFonts w:hint="eastAsia" w:ascii="宋体" w:hAnsi="宋体" w:cs="SSJ4+ZBNFQG-1"/>
          <w:color w:val="000000" w:themeColor="text1"/>
          <w14:textFill>
            <w14:solidFill>
              <w14:schemeClr w14:val="tx1"/>
            </w14:solidFill>
          </w14:textFill>
        </w:rPr>
        <w:t>，世界</w:t>
      </w:r>
      <w:r>
        <w:rPr>
          <w:rFonts w:hint="eastAsia" w:ascii="宋体" w:hAnsi="宋体" w:cs="FZSSK--GBK1-00+ZBNFQI-9"/>
          <w:color w:val="000000" w:themeColor="text1"/>
          <w14:textFill>
            <w14:solidFill>
              <w14:schemeClr w14:val="tx1"/>
            </w14:solidFill>
          </w14:textFill>
        </w:rPr>
        <w:t>财富</w:t>
      </w:r>
      <w:r>
        <w:rPr>
          <w:rFonts w:hint="eastAsia" w:ascii="宋体" w:hAnsi="宋体" w:cs="FZSSK--GBK1-00+ZBNFQH-5"/>
          <w:color w:val="000000" w:themeColor="text1"/>
          <w14:textFill>
            <w14:solidFill>
              <w14:schemeClr w14:val="tx1"/>
            </w14:solidFill>
          </w14:textFill>
        </w:rPr>
        <w:t>论</w:t>
      </w:r>
      <w:r>
        <w:rPr>
          <w:rFonts w:hint="eastAsia" w:ascii="宋体" w:hAnsi="宋体" w:cs="FZSSK--GBK1-00+ZBNFQL-16"/>
          <w:color w:val="000000" w:themeColor="text1"/>
          <w14:textFill>
            <w14:solidFill>
              <w14:schemeClr w14:val="tx1"/>
            </w14:solidFill>
          </w14:textFill>
        </w:rPr>
        <w:t>坛</w:t>
      </w:r>
      <w:r>
        <w:rPr>
          <w:rFonts w:hint="eastAsia" w:ascii="宋体" w:hAnsi="宋体" w:cs="SSJ4+ZBNFQG-1"/>
          <w:color w:val="000000" w:themeColor="text1"/>
          <w14:textFill>
            <w14:solidFill>
              <w14:schemeClr w14:val="tx1"/>
            </w14:solidFill>
          </w14:textFill>
        </w:rPr>
        <w:t>以</w:t>
      </w:r>
      <w:r>
        <w:rPr>
          <w:rFonts w:hint="eastAsia" w:ascii="宋体" w:hAnsi="宋体" w:cs="FZSSK--GBK1-00+ZBNFQI-9"/>
          <w:color w:val="000000" w:themeColor="text1"/>
          <w14:textFill>
            <w14:solidFill>
              <w14:schemeClr w14:val="tx1"/>
            </w14:solidFill>
          </w14:textFill>
        </w:rPr>
        <w:t>及</w:t>
      </w:r>
      <w:r>
        <w:rPr>
          <w:rFonts w:hint="eastAsia" w:ascii="宋体" w:hAnsi="宋体" w:cs="SSJ4+ZBNFQG-1"/>
          <w:color w:val="000000" w:themeColor="text1"/>
          <w14:textFill>
            <w14:solidFill>
              <w14:schemeClr w14:val="tx1"/>
            </w14:solidFill>
          </w14:textFill>
        </w:rPr>
        <w:t>世界经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5"/>
          <w:color w:val="000000" w:themeColor="text1"/>
          <w14:textFill>
            <w14:solidFill>
              <w14:schemeClr w14:val="tx1"/>
            </w14:solidFill>
          </w14:textFill>
        </w:rPr>
        <w:t>论</w:t>
      </w:r>
      <w:r>
        <w:rPr>
          <w:rFonts w:hint="eastAsia" w:ascii="宋体" w:hAnsi="宋体" w:cs="FZSSK--GBK1-00+ZBNFQL-16"/>
          <w:color w:val="000000" w:themeColor="text1"/>
          <w14:textFill>
            <w14:solidFill>
              <w14:schemeClr w14:val="tx1"/>
            </w14:solidFill>
          </w14:textFill>
        </w:rPr>
        <w:t>坛</w:t>
      </w:r>
      <w:r>
        <w:rPr>
          <w:rFonts w:hint="eastAsia" w:ascii="宋体" w:hAnsi="宋体" w:cs="SSJ4+ZBNFQG-1"/>
          <w:color w:val="000000" w:themeColor="text1"/>
          <w14:textFill>
            <w14:solidFill>
              <w14:schemeClr w14:val="tx1"/>
            </w14:solidFill>
          </w14:textFill>
        </w:rPr>
        <w:t>为</w:t>
      </w:r>
      <w:r>
        <w:rPr>
          <w:rFonts w:hint="eastAsia" w:ascii="宋体" w:hAnsi="宋体" w:cs="FZSSK--GBK1-00+ZBNFQI-10"/>
          <w:color w:val="000000" w:themeColor="text1"/>
          <w14:textFill>
            <w14:solidFill>
              <w14:schemeClr w14:val="tx1"/>
            </w14:solidFill>
          </w14:textFill>
        </w:rPr>
        <w:t>什么</w:t>
      </w:r>
      <w:r>
        <w:rPr>
          <w:rFonts w:hint="eastAsia" w:ascii="宋体" w:hAnsi="宋体" w:cs="SSJ4+ZBNFQG-1"/>
          <w:color w:val="000000" w:themeColor="text1"/>
          <w14:textFill>
            <w14:solidFill>
              <w14:schemeClr w14:val="tx1"/>
            </w14:solidFill>
          </w14:textFill>
        </w:rPr>
        <w:t>总</w:t>
      </w:r>
      <w:r>
        <w:rPr>
          <w:rFonts w:hint="eastAsia" w:ascii="宋体" w:hAnsi="宋体" w:cs="FZSSK--GBK1-00+ZBNFQH-8"/>
          <w:color w:val="000000" w:themeColor="text1"/>
          <w14:textFill>
            <w14:solidFill>
              <w14:schemeClr w14:val="tx1"/>
            </w14:solidFill>
          </w14:textFill>
        </w:rPr>
        <w:t>提</w:t>
      </w:r>
      <w:r>
        <w:rPr>
          <w:rFonts w:hint="eastAsia" w:ascii="宋体" w:hAnsi="宋体" w:cs="SSJ4+ZBNFQG-1"/>
          <w:color w:val="000000" w:themeColor="text1"/>
          <w14:textFill>
            <w14:solidFill>
              <w14:schemeClr w14:val="tx1"/>
            </w14:solidFill>
          </w14:textFill>
        </w:rPr>
        <w:t>要</w:t>
      </w:r>
      <w:r>
        <w:rPr>
          <w:rFonts w:hint="eastAsia" w:ascii="宋体" w:hAnsi="宋体" w:cs="FZSSK--GBK1-00+ZBNFQI-9"/>
          <w:color w:val="000000" w:themeColor="text1"/>
          <w14:textFill>
            <w14:solidFill>
              <w14:schemeClr w14:val="tx1"/>
            </w14:solidFill>
          </w14:textFill>
        </w:rPr>
        <w:t>保</w:t>
      </w:r>
      <w:r>
        <w:rPr>
          <w:rFonts w:hint="eastAsia" w:ascii="宋体" w:hAnsi="宋体" w:cs="FZSSK--GBK1-00+ZBNFQL-16"/>
          <w:color w:val="000000" w:themeColor="text1"/>
          <w14:textFill>
            <w14:solidFill>
              <w14:schemeClr w14:val="tx1"/>
            </w14:solidFill>
          </w14:textFill>
        </w:rPr>
        <w:t>护</w:t>
      </w:r>
      <w:r>
        <w:rPr>
          <w:rFonts w:hint="eastAsia" w:ascii="宋体" w:hAnsi="宋体" w:cs="SSJ4+ZBNFQG-1"/>
          <w:color w:val="000000" w:themeColor="text1"/>
          <w14:textFill>
            <w14:solidFill>
              <w14:schemeClr w14:val="tx1"/>
            </w14:solidFill>
          </w14:textFill>
        </w:rPr>
        <w:t>知</w:t>
      </w:r>
      <w:r>
        <w:rPr>
          <w:rFonts w:hint="eastAsia" w:ascii="宋体" w:hAnsi="宋体" w:cs="FZSSK--GBK1-00+ZBNFQI-10"/>
          <w:color w:val="000000" w:themeColor="text1"/>
          <w14:textFill>
            <w14:solidFill>
              <w14:schemeClr w14:val="tx1"/>
            </w14:solidFill>
          </w14:textFill>
        </w:rPr>
        <w:t>识</w:t>
      </w:r>
      <w:r>
        <w:rPr>
          <w:rFonts w:hint="eastAsia" w:ascii="宋体" w:hAnsi="宋体" w:cs="FZSSK--GBK1-00+ZBNFQI-9"/>
          <w:color w:val="000000" w:themeColor="text1"/>
          <w14:textFill>
            <w14:solidFill>
              <w14:schemeClr w14:val="tx1"/>
            </w14:solidFill>
          </w14:textFill>
        </w:rPr>
        <w:t>产</w:t>
      </w:r>
      <w:r>
        <w:rPr>
          <w:rFonts w:hint="eastAsia" w:ascii="宋体" w:hAnsi="宋体" w:cs="FZSSK--GBK1-00+ZBNFQH-5"/>
          <w:color w:val="000000" w:themeColor="text1"/>
          <w14:textFill>
            <w14:solidFill>
              <w14:schemeClr w14:val="tx1"/>
            </w14:solidFill>
          </w14:textFill>
        </w:rPr>
        <w:t>权</w:t>
      </w:r>
      <w:r>
        <w:rPr>
          <w:rFonts w:hint="eastAsia" w:ascii="宋体" w:hAnsi="宋体" w:cs="SSJ4+ZBNFQG-1"/>
          <w:color w:val="000000" w:themeColor="text1"/>
          <w14:textFill>
            <w14:solidFill>
              <w14:schemeClr w14:val="tx1"/>
            </w14:solidFill>
          </w14:textFill>
        </w:rPr>
        <w:t>而</w:t>
      </w:r>
      <w:r>
        <w:rPr>
          <w:rFonts w:hint="eastAsia" w:ascii="宋体" w:hAnsi="宋体" w:cs="FZSSK--GBK1-00+ZBNFQH-5"/>
          <w:color w:val="000000" w:themeColor="text1"/>
          <w14:textFill>
            <w14:solidFill>
              <w14:schemeClr w14:val="tx1"/>
            </w14:solidFill>
          </w14:textFill>
        </w:rPr>
        <w:t>不</w:t>
      </w:r>
      <w:r>
        <w:rPr>
          <w:rFonts w:hint="eastAsia" w:ascii="宋体" w:hAnsi="宋体" w:cs="SSJ4+ZBNFQG-1"/>
          <w:color w:val="000000" w:themeColor="text1"/>
          <w14:textFill>
            <w14:solidFill>
              <w14:schemeClr w14:val="tx1"/>
            </w14:solidFill>
          </w14:textFill>
        </w:rPr>
        <w:t>说</w:t>
      </w:r>
      <w:r>
        <w:rPr>
          <w:rFonts w:hint="eastAsia" w:ascii="宋体" w:hAnsi="宋体" w:cs="FZSSK--GBK1-00+ZBNFQI-9"/>
          <w:color w:val="000000" w:themeColor="text1"/>
          <w14:textFill>
            <w14:solidFill>
              <w14:schemeClr w14:val="tx1"/>
            </w14:solidFill>
          </w14:textFill>
        </w:rPr>
        <w:t>财富</w:t>
      </w:r>
      <w:r>
        <w:rPr>
          <w:rFonts w:hint="eastAsia" w:ascii="宋体" w:hAnsi="宋体" w:cs="FZSSK--GBK1-00+ZBNFQH-8"/>
          <w:color w:val="000000" w:themeColor="text1"/>
          <w14:textFill>
            <w14:solidFill>
              <w14:schemeClr w14:val="tx1"/>
            </w14:solidFill>
          </w14:textFill>
        </w:rPr>
        <w:t>分</w:t>
      </w:r>
      <w:r>
        <w:rPr>
          <w:rFonts w:hint="eastAsia" w:ascii="宋体" w:hAnsi="宋体" w:cs="FZSSK--GBK1-00+ZBNFQI-10"/>
          <w:color w:val="000000" w:themeColor="text1"/>
          <w14:textFill>
            <w14:solidFill>
              <w14:schemeClr w14:val="tx1"/>
            </w14:solidFill>
          </w14:textFill>
        </w:rPr>
        <w:t>配</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J-13"/>
          <w:color w:val="000000" w:themeColor="text1"/>
          <w14:textFill>
            <w14:solidFill>
              <w14:schemeClr w14:val="tx1"/>
            </w14:solidFill>
          </w14:textFill>
        </w:rPr>
        <w:t>公</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问题</w:t>
      </w:r>
      <w:r>
        <w:rPr>
          <w:rFonts w:hint="eastAsia" w:ascii="宋体" w:hAnsi="宋体" w:cs="FZSSK--GBK1-00+ZBNFQI-10"/>
          <w:color w:val="000000" w:themeColor="text1"/>
          <w14:textFill>
            <w14:solidFill>
              <w14:schemeClr w14:val="tx1"/>
            </w14:solidFill>
          </w14:textFill>
        </w:rPr>
        <w:t>呢</w:t>
      </w:r>
      <w:r>
        <w:rPr>
          <w:rFonts w:hint="eastAsia" w:ascii="宋体" w:hAnsi="宋体" w:cs="FZSSK--GBK1-00+ZBNFQH-5"/>
          <w:color w:val="000000" w:themeColor="text1"/>
          <w14:textFill>
            <w14:solidFill>
              <w14:schemeClr w14:val="tx1"/>
            </w14:solidFill>
          </w14:textFill>
        </w:rPr>
        <w:t>？因</w:t>
      </w:r>
      <w:r>
        <w:rPr>
          <w:rFonts w:hint="eastAsia" w:ascii="宋体" w:hAnsi="宋体" w:cs="SSJ4+ZBNFQG-1"/>
          <w:color w:val="000000" w:themeColor="text1"/>
          <w14:textFill>
            <w14:solidFill>
              <w14:schemeClr w14:val="tx1"/>
            </w14:solidFill>
          </w14:textFill>
        </w:rPr>
        <w:t>为</w:t>
      </w:r>
      <w:r>
        <w:rPr>
          <w:rFonts w:hint="eastAsia" w:ascii="宋体" w:hAnsi="宋体" w:cs="FZSSK--GBK1-00+ZBNFQH-5"/>
          <w:color w:val="000000" w:themeColor="text1"/>
          <w14:textFill>
            <w14:solidFill>
              <w14:schemeClr w14:val="tx1"/>
            </w14:solidFill>
          </w14:textFill>
        </w:rPr>
        <w:t>它</w:t>
      </w:r>
      <w:r>
        <w:rPr>
          <w:rFonts w:hint="eastAsia" w:ascii="宋体" w:hAnsi="宋体" w:cs="SSJ4+ZBNFQG-1"/>
          <w:color w:val="000000" w:themeColor="text1"/>
          <w14:textFill>
            <w14:solidFill>
              <w14:schemeClr w14:val="tx1"/>
            </w14:solidFill>
          </w14:textFill>
        </w:rPr>
        <w:t>是</w:t>
      </w:r>
      <w:r>
        <w:rPr>
          <w:rFonts w:hint="eastAsia" w:ascii="宋体" w:hAnsi="宋体" w:cs="FZSSK--GBK1-00+ZBNFQT-26"/>
          <w:color w:val="000000" w:themeColor="text1"/>
          <w14:textFill>
            <w14:solidFill>
              <w14:schemeClr w14:val="tx1"/>
            </w14:solidFill>
          </w14:textFill>
        </w:rPr>
        <w:t>跨</w:t>
      </w:r>
      <w:r>
        <w:rPr>
          <w:rFonts w:hint="eastAsia" w:ascii="宋体" w:hAnsi="宋体" w:cs="SSJ4+ZBNFQG-1"/>
          <w:color w:val="000000" w:themeColor="text1"/>
          <w14:textFill>
            <w14:solidFill>
              <w14:schemeClr w14:val="tx1"/>
            </w14:solidFill>
          </w14:textFill>
        </w:rPr>
        <w:t>国</w:t>
      </w:r>
      <w:r>
        <w:rPr>
          <w:rFonts w:hint="eastAsia" w:ascii="宋体" w:hAnsi="宋体" w:cs="FZSSK--GBK1-00+ZBNFQJ-13"/>
          <w:color w:val="000000" w:themeColor="text1"/>
          <w14:textFill>
            <w14:solidFill>
              <w14:schemeClr w14:val="tx1"/>
            </w14:solidFill>
          </w14:textFill>
        </w:rPr>
        <w:t>公司</w:t>
      </w:r>
      <w:r>
        <w:rPr>
          <w:rFonts w:hint="eastAsia" w:ascii="宋体" w:hAnsi="宋体" w:cs="FZSSK--GBK1-00+ZBNFQI-9"/>
          <w:color w:val="000000" w:themeColor="text1"/>
          <w14:textFill>
            <w14:solidFill>
              <w14:schemeClr w14:val="tx1"/>
            </w14:solidFill>
          </w14:textFill>
        </w:rPr>
        <w:t>支</w:t>
      </w:r>
      <w:r>
        <w:rPr>
          <w:rFonts w:hint="eastAsia" w:ascii="宋体" w:hAnsi="宋体" w:cs="FZSSK--GBK1-00+ZBNFQI-10"/>
          <w:color w:val="000000" w:themeColor="text1"/>
          <w14:textFill>
            <w14:solidFill>
              <w14:schemeClr w14:val="tx1"/>
            </w14:solidFill>
          </w14:textFill>
        </w:rPr>
        <w:t>持</w:t>
      </w:r>
      <w:r>
        <w:rPr>
          <w:rFonts w:hint="eastAsia" w:ascii="宋体" w:hAnsi="宋体" w:cs="SSJ4+ZBNFQG-1"/>
          <w:color w:val="000000" w:themeColor="text1"/>
          <w14:textFill>
            <w14:solidFill>
              <w14:schemeClr w14:val="tx1"/>
            </w14:solidFill>
          </w14:textFill>
        </w:rPr>
        <w:t>的，所以</w:t>
      </w:r>
      <w:r>
        <w:rPr>
          <w:rFonts w:hint="eastAsia" w:ascii="宋体" w:hAnsi="宋体" w:cs="FZSSK--GBK1-00+ZBNFQH-7"/>
          <w:color w:val="000000" w:themeColor="text1"/>
          <w14:textFill>
            <w14:solidFill>
              <w14:schemeClr w14:val="tx1"/>
            </w14:solidFill>
          </w14:textFill>
        </w:rPr>
        <w:t>强</w:t>
      </w:r>
      <w:r>
        <w:rPr>
          <w:rFonts w:hint="eastAsia" w:ascii="宋体" w:hAnsi="宋体" w:cs="SSJ4+ZBNFQG-1"/>
          <w:color w:val="000000" w:themeColor="text1"/>
          <w14:textFill>
            <w14:solidFill>
              <w14:schemeClr w14:val="tx1"/>
            </w14:solidFill>
          </w14:textFill>
        </w:rPr>
        <w:t>调的</w:t>
      </w:r>
      <w:r>
        <w:rPr>
          <w:rFonts w:hint="eastAsia" w:ascii="宋体" w:hAnsi="宋体" w:cs="FZSSK--GBK1-00+ZBNFQH-7"/>
          <w:color w:val="000000" w:themeColor="text1"/>
          <w14:textFill>
            <w14:solidFill>
              <w14:schemeClr w14:val="tx1"/>
            </w14:solidFill>
          </w14:textFill>
        </w:rPr>
        <w:t>始</w:t>
      </w:r>
      <w:r>
        <w:rPr>
          <w:rFonts w:hint="eastAsia" w:ascii="宋体" w:hAnsi="宋体" w:cs="FZSSK--GBK1-00+ZBNFQJ-12"/>
          <w:color w:val="000000" w:themeColor="text1"/>
          <w14:textFill>
            <w14:solidFill>
              <w14:schemeClr w14:val="tx1"/>
            </w14:solidFill>
          </w14:textFill>
        </w:rPr>
        <w:t>终</w:t>
      </w:r>
      <w:r>
        <w:rPr>
          <w:rFonts w:hint="eastAsia" w:ascii="宋体" w:hAnsi="宋体" w:cs="SSJ4+ZBNFQG-1"/>
          <w:color w:val="000000" w:themeColor="text1"/>
          <w14:textFill>
            <w14:solidFill>
              <w14:schemeClr w14:val="tx1"/>
            </w14:solidFill>
          </w14:textFill>
        </w:rPr>
        <w:t>是</w:t>
      </w:r>
      <w:r>
        <w:rPr>
          <w:rFonts w:hint="eastAsia" w:ascii="宋体" w:hAnsi="宋体" w:cs="FZSSK--GBK1-00+ZBNFQO-21"/>
          <w:color w:val="000000" w:themeColor="text1"/>
          <w14:textFill>
            <w14:solidFill>
              <w14:schemeClr w14:val="tx1"/>
            </w14:solidFill>
          </w14:textFill>
        </w:rPr>
        <w:t>片</w:t>
      </w:r>
      <w:r>
        <w:rPr>
          <w:rFonts w:hint="eastAsia" w:ascii="宋体" w:hAnsi="宋体" w:cs="SSJ4+ZBNFQG-1"/>
          <w:color w:val="000000" w:themeColor="text1"/>
          <w14:textFill>
            <w14:solidFill>
              <w14:schemeClr w14:val="tx1"/>
            </w14:solidFill>
          </w14:textFill>
        </w:rPr>
        <w:t>面的经</w:t>
      </w:r>
      <w:r>
        <w:rPr>
          <w:rFonts w:hint="eastAsia" w:ascii="宋体" w:hAnsi="宋体" w:cs="FZSSK--GBK1-00+ZBNFQH-7"/>
          <w:color w:val="000000" w:themeColor="text1"/>
          <w14:textFill>
            <w14:solidFill>
              <w14:schemeClr w14:val="tx1"/>
            </w14:solidFill>
          </w14:textFill>
        </w:rPr>
        <w:t>济</w:t>
      </w:r>
      <w:r>
        <w:rPr>
          <w:rFonts w:hint="eastAsia" w:ascii="宋体" w:hAnsi="宋体" w:cs="SSJ4+ZBNFQG-1"/>
          <w:color w:val="000000" w:themeColor="text1"/>
          <w14:textFill>
            <w14:solidFill>
              <w14:schemeClr w14:val="tx1"/>
            </w14:solidFill>
          </w14:textFill>
        </w:rPr>
        <w:t>自由化和</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SSJ4+ZBNFQG-1"/>
          <w:color w:val="000000" w:themeColor="text1"/>
          <w14:textFill>
            <w14:solidFill>
              <w14:schemeClr w14:val="tx1"/>
            </w14:solidFill>
          </w14:textFill>
        </w:rPr>
        <w:t>化，有</w:t>
      </w:r>
      <w:r>
        <w:rPr>
          <w:rFonts w:hint="eastAsia" w:ascii="宋体" w:hAnsi="宋体" w:cs="FZSSK--GBK1-00+ZBNFQH-8"/>
          <w:color w:val="000000" w:themeColor="text1"/>
          <w14:textFill>
            <w14:solidFill>
              <w14:schemeClr w14:val="tx1"/>
            </w14:solidFill>
          </w14:textFill>
        </w:rPr>
        <w:t>利</w:t>
      </w:r>
      <w:r>
        <w:rPr>
          <w:rFonts w:hint="eastAsia" w:ascii="宋体" w:hAnsi="宋体" w:cs="SSJ4+ZBNFQG-1"/>
          <w:color w:val="000000" w:themeColor="text1"/>
          <w14:textFill>
            <w14:solidFill>
              <w14:schemeClr w14:val="tx1"/>
            </w14:solidFill>
          </w14:textFill>
        </w:rPr>
        <w:t>于</w:t>
      </w:r>
      <w:r>
        <w:rPr>
          <w:rFonts w:hint="eastAsia" w:ascii="宋体" w:hAnsi="宋体" w:cs="FZSSK--GBK1-00+ZBNFQQ-24"/>
          <w:color w:val="000000" w:themeColor="text1"/>
          <w14:textFill>
            <w14:solidFill>
              <w14:schemeClr w14:val="tx1"/>
            </w14:solidFill>
          </w14:textFill>
        </w:rPr>
        <w:t>巩固</w:t>
      </w:r>
      <w:r>
        <w:rPr>
          <w:rFonts w:hint="eastAsia" w:ascii="宋体" w:hAnsi="宋体" w:cs="SSJ4+ZBNFQG-1"/>
          <w:color w:val="000000" w:themeColor="text1"/>
          <w14:textFill>
            <w14:solidFill>
              <w14:schemeClr w14:val="tx1"/>
            </w14:solidFill>
          </w14:textFill>
        </w:rPr>
        <w:t>发</w:t>
      </w:r>
      <w:r>
        <w:rPr>
          <w:rFonts w:hint="eastAsia" w:ascii="宋体" w:hAnsi="宋体" w:cs="FZSSK--GBK1-00+ZBNFQH-8"/>
          <w:color w:val="000000" w:themeColor="text1"/>
          <w14:textFill>
            <w14:solidFill>
              <w14:schemeClr w14:val="tx1"/>
            </w14:solidFill>
          </w14:textFill>
        </w:rPr>
        <w:t>达</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SSJ4+ZBNFQG-1"/>
          <w:color w:val="000000" w:themeColor="text1"/>
          <w14:textFill>
            <w14:solidFill>
              <w14:schemeClr w14:val="tx1"/>
            </w14:solidFill>
          </w14:textFill>
        </w:rPr>
        <w:t>的</w:t>
      </w:r>
      <w:r>
        <w:rPr>
          <w:rFonts w:hint="eastAsia" w:ascii="宋体" w:hAnsi="宋体" w:cs="FZSSK--GBK1-00+ZBNFQH-7"/>
          <w:color w:val="000000" w:themeColor="text1"/>
          <w14:textFill>
            <w14:solidFill>
              <w14:schemeClr w14:val="tx1"/>
            </w14:solidFill>
          </w14:textFill>
        </w:rPr>
        <w:t>各</w:t>
      </w:r>
      <w:r>
        <w:rPr>
          <w:rFonts w:hint="eastAsia" w:ascii="宋体" w:hAnsi="宋体" w:cs="FZSSK--GBK1-00+ZBNFQH-5"/>
          <w:color w:val="000000" w:themeColor="text1"/>
          <w14:textFill>
            <w14:solidFill>
              <w14:schemeClr w14:val="tx1"/>
            </w14:solidFill>
          </w14:textFill>
        </w:rPr>
        <w:t>种垄断</w:t>
      </w:r>
      <w:r>
        <w:rPr>
          <w:rFonts w:hint="eastAsia" w:ascii="宋体" w:hAnsi="宋体" w:cs="FZSSK--GBK1-00+ZBNFQI-10"/>
          <w:color w:val="000000" w:themeColor="text1"/>
          <w14:textFill>
            <w14:solidFill>
              <w14:schemeClr w14:val="tx1"/>
            </w14:solidFill>
          </w14:textFill>
        </w:rPr>
        <w:t>地</w:t>
      </w:r>
      <w:r>
        <w:rPr>
          <w:rFonts w:hint="eastAsia" w:ascii="宋体" w:hAnsi="宋体" w:cs="FZSSK--GBK1-00+ZBNFQJ-12"/>
          <w:color w:val="000000" w:themeColor="text1"/>
          <w14:textFill>
            <w14:solidFill>
              <w14:schemeClr w14:val="tx1"/>
            </w14:solidFill>
          </w14:textFill>
        </w:rPr>
        <w:t>位</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对</w:t>
      </w:r>
      <w:r>
        <w:rPr>
          <w:rFonts w:hint="eastAsia" w:ascii="宋体" w:hAnsi="宋体" w:cs="FZSSK--GBK1-00+ZBNFQH-5"/>
          <w:color w:val="000000" w:themeColor="text1"/>
          <w14:textFill>
            <w14:solidFill>
              <w14:schemeClr w14:val="tx1"/>
            </w14:solidFill>
          </w14:textFill>
        </w:rPr>
        <w:t>这种论</w:t>
      </w:r>
      <w:r>
        <w:rPr>
          <w:rFonts w:hint="eastAsia" w:ascii="宋体" w:hAnsi="宋体" w:cs="FZSSK--GBK1-00+ZBNFQL-16"/>
          <w:color w:val="000000" w:themeColor="text1"/>
          <w14:textFill>
            <w14:solidFill>
              <w14:schemeClr w14:val="tx1"/>
            </w14:solidFill>
          </w14:textFill>
        </w:rPr>
        <w:t>坛</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H-8"/>
          <w:color w:val="000000" w:themeColor="text1"/>
          <w14:textFill>
            <w14:solidFill>
              <w14:schemeClr w14:val="tx1"/>
            </w14:solidFill>
          </w14:textFill>
        </w:rPr>
        <w:t>必</w:t>
      </w:r>
      <w:r>
        <w:rPr>
          <w:rFonts w:hint="eastAsia" w:ascii="宋体" w:hAnsi="宋体" w:cs="FZSSK--GBK1-00+ZBNFQL-16"/>
          <w:color w:val="000000" w:themeColor="text1"/>
          <w14:textFill>
            <w14:solidFill>
              <w14:schemeClr w14:val="tx1"/>
            </w14:solidFill>
          </w14:textFill>
        </w:rPr>
        <w:t>太</w:t>
      </w:r>
      <w:r>
        <w:rPr>
          <w:rFonts w:hint="eastAsia" w:ascii="宋体" w:hAnsi="宋体" w:cs="FZSSK--GBK1-00+ZBNFQM-17"/>
          <w:color w:val="000000" w:themeColor="text1"/>
          <w14:textFill>
            <w14:solidFill>
              <w14:schemeClr w14:val="tx1"/>
            </w14:solidFill>
          </w14:textFill>
        </w:rPr>
        <w:t>热</w:t>
      </w:r>
      <w:r>
        <w:rPr>
          <w:rFonts w:hint="eastAsia" w:ascii="宋体" w:hAnsi="宋体" w:cs="FZSSK--GBK1-00+ZBNFQH-8"/>
          <w:color w:val="000000" w:themeColor="text1"/>
          <w14:textFill>
            <w14:solidFill>
              <w14:schemeClr w14:val="tx1"/>
            </w14:solidFill>
          </w14:textFill>
        </w:rPr>
        <w:t>心</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全</w:t>
      </w:r>
      <w:r>
        <w:rPr>
          <w:rFonts w:hint="eastAsia" w:ascii="宋体" w:hAnsi="宋体" w:cs="SSJ4+ZBNFQG-1"/>
          <w:color w:val="000000" w:themeColor="text1"/>
          <w14:textFill>
            <w14:solidFill>
              <w14:schemeClr w14:val="tx1"/>
            </w14:solidFill>
          </w14:textFill>
        </w:rPr>
        <w:t>世界</w:t>
      </w:r>
      <w:r>
        <w:rPr>
          <w:rFonts w:hint="eastAsia" w:ascii="宋体" w:hAnsi="宋体" w:cs="FZSSK--GBK1-00+ZBNFQI-9"/>
          <w:color w:val="000000" w:themeColor="text1"/>
          <w14:textFill>
            <w14:solidFill>
              <w14:schemeClr w14:val="tx1"/>
            </w14:solidFill>
          </w14:textFill>
        </w:rPr>
        <w:t>左翼</w:t>
      </w:r>
      <w:r>
        <w:rPr>
          <w:rFonts w:hint="eastAsia" w:ascii="宋体" w:hAnsi="宋体" w:cs="FZSSK--GBK1-00+ZBNFQH-8"/>
          <w:color w:val="000000" w:themeColor="text1"/>
          <w14:textFill>
            <w14:solidFill>
              <w14:schemeClr w14:val="tx1"/>
            </w14:solidFill>
          </w14:textFill>
        </w:rPr>
        <w:t>则</w:t>
      </w:r>
      <w:r>
        <w:rPr>
          <w:rFonts w:hint="eastAsia" w:ascii="宋体" w:hAnsi="宋体" w:cs="FZSSK--GBK1-00+ZBNFQH-7"/>
          <w:color w:val="000000" w:themeColor="text1"/>
          <w14:textFill>
            <w14:solidFill>
              <w14:schemeClr w14:val="tx1"/>
            </w14:solidFill>
          </w14:textFill>
        </w:rPr>
        <w:t>搞</w:t>
      </w:r>
      <w:r>
        <w:rPr>
          <w:rFonts w:hint="eastAsia" w:ascii="宋体" w:hAnsi="宋体" w:cs="SSJ4+ZBNFQG-1"/>
          <w:color w:val="000000" w:themeColor="text1"/>
          <w14:textFill>
            <w14:solidFill>
              <w14:schemeClr w14:val="tx1"/>
            </w14:solidFill>
          </w14:textFill>
        </w:rPr>
        <w:t>了</w:t>
      </w:r>
      <w:r>
        <w:rPr>
          <w:rFonts w:hint="eastAsia" w:ascii="宋体" w:hAnsi="宋体" w:cs="FZSSK--GBK1-00+ZBNFQH-5"/>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个世界</w:t>
      </w:r>
      <w:r>
        <w:rPr>
          <w:rFonts w:hint="eastAsia" w:ascii="宋体" w:hAnsi="宋体" w:cs="FZSSK--GBK1-00+ZBNFQH-5"/>
          <w:color w:val="000000" w:themeColor="text1"/>
          <w14:textFill>
            <w14:solidFill>
              <w14:schemeClr w14:val="tx1"/>
            </w14:solidFill>
          </w14:textFill>
        </w:rPr>
        <w:t>社会论</w:t>
      </w:r>
      <w:r>
        <w:rPr>
          <w:rFonts w:hint="eastAsia" w:ascii="宋体" w:hAnsi="宋体" w:cs="FZSSK--GBK1-00+ZBNFQL-16"/>
          <w:color w:val="000000" w:themeColor="text1"/>
          <w14:textFill>
            <w14:solidFill>
              <w14:schemeClr w14:val="tx1"/>
            </w14:solidFill>
          </w14:textFill>
        </w:rPr>
        <w:t>坛</w:t>
      </w:r>
      <w:r>
        <w:rPr>
          <w:rFonts w:hint="eastAsia" w:ascii="宋体" w:hAnsi="宋体" w:cs="SSJ4+ZBNFQG-1"/>
          <w:color w:val="000000" w:themeColor="text1"/>
          <w14:textFill>
            <w14:solidFill>
              <w14:schemeClr w14:val="tx1"/>
            </w14:solidFill>
          </w14:textFill>
        </w:rPr>
        <w:t>，</w:t>
      </w:r>
      <w:r>
        <w:rPr>
          <w:rFonts w:hint="eastAsia" w:ascii="宋体" w:hAnsi="宋体" w:cs="FZSSK--GBK1-00+ZBNFQL-16"/>
          <w:color w:val="000000" w:themeColor="text1"/>
          <w14:textFill>
            <w14:solidFill>
              <w14:schemeClr w14:val="tx1"/>
            </w14:solidFill>
          </w14:textFill>
        </w:rPr>
        <w:t>参</w:t>
      </w:r>
      <w:r>
        <w:rPr>
          <w:rFonts w:hint="eastAsia" w:ascii="宋体" w:hAnsi="宋体" w:cs="FZSSK--GBK1-00+ZBNFQH-5"/>
          <w:color w:val="000000" w:themeColor="text1"/>
          <w14:textFill>
            <w14:solidFill>
              <w14:schemeClr w14:val="tx1"/>
            </w14:solidFill>
          </w14:textFill>
        </w:rPr>
        <w:t>会</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非</w:t>
      </w:r>
      <w:r>
        <w:rPr>
          <w:rFonts w:hint="eastAsia" w:ascii="宋体" w:hAnsi="宋体" w:cs="FZSSK--GBK1-00+ZBNFQH-7"/>
          <w:color w:val="000000" w:themeColor="text1"/>
          <w14:textFill>
            <w14:solidFill>
              <w14:schemeClr w14:val="tx1"/>
            </w14:solidFill>
          </w14:textFill>
        </w:rPr>
        <w:t>政</w:t>
      </w:r>
      <w:r>
        <w:rPr>
          <w:rFonts w:hint="eastAsia" w:ascii="宋体" w:hAnsi="宋体" w:cs="FZSSK--GBK1-00+ZBNFQI-9"/>
          <w:color w:val="000000" w:themeColor="text1"/>
          <w14:textFill>
            <w14:solidFill>
              <w14:schemeClr w14:val="tx1"/>
            </w14:solidFill>
          </w14:textFill>
        </w:rPr>
        <w:t>府</w:t>
      </w:r>
      <w:r>
        <w:rPr>
          <w:rFonts w:hint="eastAsia" w:ascii="宋体" w:hAnsi="宋体" w:cs="FZSSK--GBK1-00+ZBNFQJ-12"/>
          <w:color w:val="000000" w:themeColor="text1"/>
          <w14:textFill>
            <w14:solidFill>
              <w14:schemeClr w14:val="tx1"/>
            </w14:solidFill>
          </w14:textFill>
        </w:rPr>
        <w:t>组织</w:t>
      </w:r>
      <w:r>
        <w:rPr>
          <w:rFonts w:hint="eastAsia" w:ascii="宋体" w:hAnsi="宋体" w:cs="FZSSK--GBK1-00+ZBNFQI-9"/>
          <w:color w:val="000000" w:themeColor="text1"/>
          <w14:textFill>
            <w14:solidFill>
              <w14:schemeClr w14:val="tx1"/>
            </w14:solidFill>
          </w14:textFill>
        </w:rPr>
        <w:t>比</w:t>
      </w:r>
      <w:r>
        <w:rPr>
          <w:rFonts w:hint="eastAsia" w:ascii="宋体" w:hAnsi="宋体" w:cs="SSJ4+ZBNFQG-1"/>
          <w:color w:val="000000" w:themeColor="text1"/>
          <w14:textFill>
            <w14:solidFill>
              <w14:schemeClr w14:val="tx1"/>
            </w14:solidFill>
          </w14:textFill>
        </w:rPr>
        <w:t>世界经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5"/>
          <w:color w:val="000000" w:themeColor="text1"/>
          <w14:textFill>
            <w14:solidFill>
              <w14:schemeClr w14:val="tx1"/>
            </w14:solidFill>
          </w14:textFill>
        </w:rPr>
        <w:t>论</w:t>
      </w:r>
      <w:r>
        <w:rPr>
          <w:rFonts w:hint="eastAsia" w:ascii="宋体" w:hAnsi="宋体" w:cs="FZSSK--GBK1-00+ZBNFQL-16"/>
          <w:color w:val="000000" w:themeColor="text1"/>
          <w14:textFill>
            <w14:solidFill>
              <w14:schemeClr w14:val="tx1"/>
            </w14:solidFill>
          </w14:textFill>
        </w:rPr>
        <w:t>坛</w:t>
      </w:r>
      <w:r>
        <w:rPr>
          <w:rFonts w:hint="eastAsia" w:ascii="宋体" w:hAnsi="宋体" w:cs="FZSSK--GBK1-00+ZBNFQH-7"/>
          <w:color w:val="000000" w:themeColor="text1"/>
          <w14:textFill>
            <w14:solidFill>
              <w14:schemeClr w14:val="tx1"/>
            </w14:solidFill>
          </w14:textFill>
        </w:rPr>
        <w:t>更</w:t>
      </w:r>
      <w:r>
        <w:rPr>
          <w:rFonts w:hint="eastAsia" w:ascii="宋体" w:hAnsi="宋体" w:cs="SSJ4+ZBNFQG-1"/>
          <w:color w:val="000000" w:themeColor="text1"/>
          <w14:textFill>
            <w14:solidFill>
              <w14:schemeClr w14:val="tx1"/>
            </w14:solidFill>
          </w14:textFill>
        </w:rPr>
        <w:t>多，出</w:t>
      </w:r>
      <w:r>
        <w:rPr>
          <w:rFonts w:hint="eastAsia" w:ascii="宋体" w:hAnsi="宋体" w:cs="FZSSK--GBK1-00+ZBNFQJ-13"/>
          <w:color w:val="000000" w:themeColor="text1"/>
          <w14:textFill>
            <w14:solidFill>
              <w14:schemeClr w14:val="tx1"/>
            </w14:solidFill>
          </w14:textFill>
        </w:rPr>
        <w:t>席</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人也</w:t>
      </w:r>
      <w:r>
        <w:rPr>
          <w:rFonts w:hint="eastAsia" w:ascii="宋体" w:hAnsi="宋体" w:cs="FZSSK--GBK1-00+ZBNFQH-7"/>
          <w:color w:val="000000" w:themeColor="text1"/>
          <w14:textFill>
            <w14:solidFill>
              <w14:schemeClr w14:val="tx1"/>
            </w14:solidFill>
          </w14:textFill>
        </w:rPr>
        <w:t>更</w:t>
      </w:r>
      <w:r>
        <w:rPr>
          <w:rFonts w:hint="eastAsia" w:ascii="宋体" w:hAnsi="宋体" w:cs="SSJ4+ZBNFQG-1"/>
          <w:color w:val="000000" w:themeColor="text1"/>
          <w14:textFill>
            <w14:solidFill>
              <w14:schemeClr w14:val="tx1"/>
            </w14:solidFill>
          </w14:textFill>
        </w:rPr>
        <w:t>多，对于当前的世界，</w:t>
      </w:r>
      <w:r>
        <w:rPr>
          <w:rFonts w:hint="eastAsia" w:ascii="宋体" w:hAnsi="宋体" w:cs="FZSSK--GBK1-00+ZBNFQH-5"/>
          <w:color w:val="000000" w:themeColor="text1"/>
          <w14:textFill>
            <w14:solidFill>
              <w14:schemeClr w14:val="tx1"/>
            </w14:solidFill>
          </w14:textFill>
        </w:rPr>
        <w:t>这</w:t>
      </w:r>
      <w:r>
        <w:rPr>
          <w:rFonts w:hint="eastAsia" w:ascii="宋体" w:hAnsi="宋体" w:cs="SSJ4+ZBNFQG-1"/>
          <w:color w:val="000000" w:themeColor="text1"/>
          <w14:textFill>
            <w14:solidFill>
              <w14:schemeClr w14:val="tx1"/>
            </w14:solidFill>
          </w14:textFill>
        </w:rPr>
        <w:t>个</w:t>
      </w:r>
      <w:r>
        <w:rPr>
          <w:rFonts w:hint="eastAsia" w:ascii="宋体" w:hAnsi="宋体" w:cs="FZSSK--GBK1-00+ZBNFQH-5"/>
          <w:color w:val="000000" w:themeColor="text1"/>
          <w14:textFill>
            <w14:solidFill>
              <w14:schemeClr w14:val="tx1"/>
            </w14:solidFill>
          </w14:textFill>
        </w:rPr>
        <w:t>论</w:t>
      </w:r>
      <w:r>
        <w:rPr>
          <w:rFonts w:hint="eastAsia" w:ascii="宋体" w:hAnsi="宋体" w:cs="FZSSK--GBK1-00+ZBNFQL-16"/>
          <w:color w:val="000000" w:themeColor="text1"/>
          <w14:textFill>
            <w14:solidFill>
              <w14:schemeClr w14:val="tx1"/>
            </w14:solidFill>
          </w14:textFill>
        </w:rPr>
        <w:t>坛</w:t>
      </w:r>
      <w:r>
        <w:rPr>
          <w:rFonts w:hint="eastAsia" w:ascii="宋体" w:hAnsi="宋体" w:cs="FZSSK--GBK1-00+ZBNFQT-26"/>
          <w:color w:val="000000" w:themeColor="text1"/>
          <w14:textFill>
            <w14:solidFill>
              <w14:schemeClr w14:val="tx1"/>
            </w14:solidFill>
          </w14:textFill>
        </w:rPr>
        <w:t>揭</w:t>
      </w:r>
      <w:r>
        <w:rPr>
          <w:rFonts w:hint="eastAsia" w:ascii="宋体" w:hAnsi="宋体" w:cs="FZSSK--GBK1-00+ZBNFQN-20"/>
          <w:color w:val="000000" w:themeColor="text1"/>
          <w14:textFill>
            <w14:solidFill>
              <w14:schemeClr w14:val="tx1"/>
            </w14:solidFill>
          </w14:textFill>
        </w:rPr>
        <w:t>示</w:t>
      </w:r>
      <w:r>
        <w:rPr>
          <w:rFonts w:hint="eastAsia" w:ascii="宋体" w:hAnsi="宋体" w:cs="SSJ4+ZBNFQG-1"/>
          <w:color w:val="000000" w:themeColor="text1"/>
          <w14:textFill>
            <w14:solidFill>
              <w14:schemeClr w14:val="tx1"/>
            </w14:solidFill>
          </w14:textFill>
        </w:rPr>
        <w:t>了</w:t>
      </w:r>
      <w:r>
        <w:rPr>
          <w:rFonts w:hint="eastAsia" w:ascii="宋体" w:hAnsi="宋体" w:cs="FZSSK--GBK1-00+ZBNFQI-9"/>
          <w:color w:val="000000" w:themeColor="text1"/>
          <w14:textFill>
            <w14:solidFill>
              <w14:schemeClr w14:val="tx1"/>
            </w14:solidFill>
          </w14:textFill>
        </w:rPr>
        <w:t>很</w:t>
      </w:r>
      <w:r>
        <w:rPr>
          <w:rFonts w:hint="eastAsia" w:ascii="宋体" w:hAnsi="宋体" w:cs="SSJ4+ZBNFQG-1"/>
          <w:color w:val="000000" w:themeColor="text1"/>
          <w14:textFill>
            <w14:solidFill>
              <w14:schemeClr w14:val="tx1"/>
            </w14:solidFill>
          </w14:textFill>
        </w:rPr>
        <w:t>多</w:t>
      </w:r>
      <w:r>
        <w:rPr>
          <w:rFonts w:hint="eastAsia" w:ascii="宋体" w:hAnsi="宋体" w:cs="FZSSK--GBK1-00+ZBNFQJ-12"/>
          <w:color w:val="000000" w:themeColor="text1"/>
          <w14:textFill>
            <w14:solidFill>
              <w14:schemeClr w14:val="tx1"/>
            </w14:solidFill>
          </w14:textFill>
        </w:rPr>
        <w:t>真</w:t>
      </w:r>
      <w:r>
        <w:rPr>
          <w:rFonts w:hint="eastAsia" w:ascii="宋体" w:hAnsi="宋体" w:cs="FZSSK--GBK1-00+ZBNFQH-5"/>
          <w:color w:val="000000" w:themeColor="text1"/>
          <w14:textFill>
            <w14:solidFill>
              <w14:schemeClr w14:val="tx1"/>
            </w14:solidFill>
          </w14:textFill>
        </w:rPr>
        <w:t>相</w:t>
      </w:r>
      <w:r>
        <w:rPr>
          <w:rFonts w:hint="eastAsia" w:ascii="宋体" w:hAnsi="宋体" w:cs="SSJ4+ZBNFQG-1"/>
          <w:color w:val="000000" w:themeColor="text1"/>
          <w14:textFill>
            <w14:solidFill>
              <w14:schemeClr w14:val="tx1"/>
            </w14:solidFill>
          </w14:textFill>
        </w:rPr>
        <w:t>和</w:t>
      </w:r>
      <w:r>
        <w:rPr>
          <w:rFonts w:hint="eastAsia" w:ascii="宋体" w:hAnsi="宋体" w:cs="FZSSK--GBK1-00+ZBNFQJ-12"/>
          <w:color w:val="000000" w:themeColor="text1"/>
          <w14:textFill>
            <w14:solidFill>
              <w14:schemeClr w14:val="tx1"/>
            </w14:solidFill>
          </w14:textFill>
        </w:rPr>
        <w:t>真</w:t>
      </w:r>
      <w:r>
        <w:rPr>
          <w:rFonts w:hint="eastAsia" w:ascii="宋体" w:hAnsi="宋体" w:cs="FZSSK--GBK1-00+ZBNFQI-9"/>
          <w:color w:val="000000" w:themeColor="text1"/>
          <w14:textFill>
            <w14:solidFill>
              <w14:schemeClr w14:val="tx1"/>
            </w14:solidFill>
          </w14:textFill>
        </w:rPr>
        <w:t>理</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我主</w:t>
      </w:r>
      <w:r>
        <w:rPr>
          <w:rFonts w:hint="eastAsia" w:ascii="宋体" w:hAnsi="宋体" w:cs="FZSSK--GBK1-00+ZBNFQQ-24"/>
          <w:color w:val="000000" w:themeColor="text1"/>
          <w14:textFill>
            <w14:solidFill>
              <w14:schemeClr w14:val="tx1"/>
            </w14:solidFill>
          </w14:textFill>
        </w:rPr>
        <w:t>张</w:t>
      </w:r>
      <w:r>
        <w:rPr>
          <w:rFonts w:hint="eastAsia" w:ascii="宋体" w:hAnsi="宋体" w:cs="SSJ4+ZBNFQG-1"/>
          <w:color w:val="000000" w:themeColor="text1"/>
          <w14:textFill>
            <w14:solidFill>
              <w14:schemeClr w14:val="tx1"/>
            </w14:solidFill>
          </w14:textFill>
        </w:rPr>
        <w:t>中国</w:t>
      </w:r>
      <w:r>
        <w:rPr>
          <w:rFonts w:hint="eastAsia" w:ascii="宋体" w:hAnsi="宋体" w:cs="FZSSK--GBK1-00+ZBNFQH-8"/>
          <w:color w:val="000000" w:themeColor="text1"/>
          <w14:textFill>
            <w14:solidFill>
              <w14:schemeClr w14:val="tx1"/>
            </w14:solidFill>
          </w14:textFill>
        </w:rPr>
        <w:t>应</w:t>
      </w:r>
      <w:r>
        <w:rPr>
          <w:rFonts w:hint="eastAsia" w:ascii="宋体" w:hAnsi="宋体" w:cs="FZSSK--GBK1-00+ZBNFQI-10"/>
          <w:color w:val="000000" w:themeColor="text1"/>
          <w14:textFill>
            <w14:solidFill>
              <w14:schemeClr w14:val="tx1"/>
            </w14:solidFill>
          </w14:textFill>
        </w:rPr>
        <w:t>该</w:t>
      </w:r>
      <w:r>
        <w:rPr>
          <w:rFonts w:hint="eastAsia" w:ascii="宋体" w:hAnsi="宋体" w:cs="FZSSK--GBK1-00+ZBNFQO-22"/>
          <w:color w:val="000000" w:themeColor="text1"/>
          <w14:textFill>
            <w14:solidFill>
              <w14:schemeClr w14:val="tx1"/>
            </w14:solidFill>
          </w14:textFill>
        </w:rPr>
        <w:t>派</w:t>
      </w:r>
      <w:r>
        <w:rPr>
          <w:rFonts w:hint="eastAsia" w:ascii="宋体" w:hAnsi="宋体" w:cs="FZSSK--GBK1-00+ZBNFQH-5"/>
          <w:color w:val="000000" w:themeColor="text1"/>
          <w14:textFill>
            <w14:solidFill>
              <w14:schemeClr w14:val="tx1"/>
            </w14:solidFill>
          </w14:textFill>
        </w:rPr>
        <w:t>人去</w:t>
      </w:r>
      <w:r>
        <w:rPr>
          <w:rFonts w:hint="eastAsia" w:ascii="宋体" w:hAnsi="宋体" w:cs="FZSSK--GBK1-00+ZBNFQL-16"/>
          <w:color w:val="000000" w:themeColor="text1"/>
          <w14:textFill>
            <w14:solidFill>
              <w14:schemeClr w14:val="tx1"/>
            </w14:solidFill>
          </w14:textFill>
        </w:rPr>
        <w:t>参</w:t>
      </w:r>
      <w:r>
        <w:rPr>
          <w:rFonts w:hint="eastAsia" w:ascii="宋体" w:hAnsi="宋体" w:cs="FZSSK--GBK1-00+ZBNFQI-9"/>
          <w:color w:val="000000" w:themeColor="text1"/>
          <w14:textFill>
            <w14:solidFill>
              <w14:schemeClr w14:val="tx1"/>
            </w14:solidFill>
          </w14:textFill>
        </w:rPr>
        <w:t>加</w:t>
      </w:r>
      <w:r>
        <w:rPr>
          <w:rFonts w:hint="eastAsia" w:ascii="宋体" w:hAnsi="宋体" w:cs="SSJ4+ZBNFQG-1"/>
          <w:color w:val="000000" w:themeColor="text1"/>
          <w14:textFill>
            <w14:solidFill>
              <w14:schemeClr w14:val="tx1"/>
            </w14:solidFill>
          </w14:textFill>
        </w:rPr>
        <w:t>世界</w:t>
      </w:r>
      <w:r>
        <w:rPr>
          <w:rFonts w:hint="eastAsia" w:ascii="宋体" w:hAnsi="宋体" w:cs="FZSSK--GBK1-00+ZBNFQH-5"/>
          <w:color w:val="000000" w:themeColor="text1"/>
          <w14:textFill>
            <w14:solidFill>
              <w14:schemeClr w14:val="tx1"/>
            </w14:solidFill>
          </w14:textFill>
        </w:rPr>
        <w:t>社会论</w:t>
      </w:r>
      <w:r>
        <w:rPr>
          <w:rFonts w:hint="eastAsia" w:ascii="宋体" w:hAnsi="宋体" w:cs="FZSSK--GBK1-00+ZBNFQL-16"/>
          <w:color w:val="000000" w:themeColor="text1"/>
          <w14:textFill>
            <w14:solidFill>
              <w14:schemeClr w14:val="tx1"/>
            </w14:solidFill>
          </w14:textFill>
        </w:rPr>
        <w:t>坛</w:t>
      </w:r>
      <w:r>
        <w:rPr>
          <w:rFonts w:hint="eastAsia" w:ascii="宋体" w:hAnsi="宋体" w:cs="SSJ4+ZBNFQG-1"/>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甚至</w:t>
      </w:r>
      <w:r>
        <w:rPr>
          <w:rFonts w:hint="eastAsia" w:ascii="宋体" w:hAnsi="宋体" w:cs="FZSSK--GBK1-00+ZBNFQH-5"/>
          <w:color w:val="000000" w:themeColor="text1"/>
          <w14:textFill>
            <w14:solidFill>
              <w14:schemeClr w14:val="tx1"/>
            </w14:solidFill>
          </w14:textFill>
        </w:rPr>
        <w:t>也</w:t>
      </w:r>
      <w:r>
        <w:rPr>
          <w:rFonts w:hint="eastAsia" w:ascii="宋体" w:hAnsi="宋体" w:cs="SSJ4+ZBNFQG-1"/>
          <w:color w:val="000000" w:themeColor="text1"/>
          <w14:textFill>
            <w14:solidFill>
              <w14:schemeClr w14:val="tx1"/>
            </w14:solidFill>
          </w14:textFill>
        </w:rPr>
        <w:t>可以在中国</w:t>
      </w:r>
      <w:r>
        <w:rPr>
          <w:rFonts w:hint="eastAsia" w:ascii="宋体" w:hAnsi="宋体" w:cs="FZSSK--GBK1-00+ZBNFQJ-13"/>
          <w:color w:val="000000" w:themeColor="text1"/>
          <w14:textFill>
            <w14:solidFill>
              <w14:schemeClr w14:val="tx1"/>
            </w14:solidFill>
          </w14:textFill>
        </w:rPr>
        <w:t>举</w:t>
      </w:r>
      <w:r>
        <w:rPr>
          <w:rFonts w:hint="eastAsia" w:ascii="宋体" w:hAnsi="宋体" w:cs="FZSSK--GBK1-00+ZBNFQH-7"/>
          <w:color w:val="000000" w:themeColor="text1"/>
          <w14:textFill>
            <w14:solidFill>
              <w14:schemeClr w14:val="tx1"/>
            </w14:solidFill>
          </w14:textFill>
        </w:rPr>
        <w:t>办</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样</w:t>
      </w:r>
      <w:r>
        <w:rPr>
          <w:rFonts w:hint="eastAsia" w:ascii="宋体" w:hAnsi="宋体" w:cs="SSJ4+ZBNFQG-1"/>
          <w:color w:val="000000" w:themeColor="text1"/>
          <w14:textFill>
            <w14:solidFill>
              <w14:schemeClr w14:val="tx1"/>
            </w14:solidFill>
          </w14:textFill>
        </w:rPr>
        <w:t>，我</w:t>
      </w:r>
      <w:r>
        <w:rPr>
          <w:rFonts w:hint="eastAsia" w:ascii="宋体" w:hAnsi="宋体" w:cs="FZSSK--GBK1-00+ZBNFQH-5"/>
          <w:color w:val="000000" w:themeColor="text1"/>
          <w14:textFill>
            <w14:solidFill>
              <w14:schemeClr w14:val="tx1"/>
            </w14:solidFill>
          </w14:textFill>
        </w:rPr>
        <w:t>们</w:t>
      </w:r>
      <w:r>
        <w:rPr>
          <w:rFonts w:hint="eastAsia" w:ascii="宋体" w:hAnsi="宋体" w:cs="FZSSK--GBK1-00+ZBNFQP-23"/>
          <w:color w:val="000000" w:themeColor="text1"/>
          <w14:textFill>
            <w14:solidFill>
              <w14:schemeClr w14:val="tx1"/>
            </w14:solidFill>
          </w14:textFill>
        </w:rPr>
        <w:t>才</w:t>
      </w:r>
      <w:r>
        <w:rPr>
          <w:rFonts w:hint="eastAsia" w:ascii="宋体" w:hAnsi="宋体" w:cs="FZSSK--GBK1-00+ZBNFQH-7"/>
          <w:color w:val="000000" w:themeColor="text1"/>
          <w14:textFill>
            <w14:solidFill>
              <w14:schemeClr w14:val="tx1"/>
            </w14:solidFill>
          </w14:textFill>
        </w:rPr>
        <w:t>能</w:t>
      </w:r>
      <w:r>
        <w:rPr>
          <w:rFonts w:hint="eastAsia" w:ascii="宋体" w:hAnsi="宋体" w:cs="SSJ4+ZBNFQG-1"/>
          <w:color w:val="000000" w:themeColor="text1"/>
          <w14:textFill>
            <w14:solidFill>
              <w14:schemeClr w14:val="tx1"/>
            </w14:solidFill>
          </w14:textFill>
        </w:rPr>
        <w:t>对世界的经</w:t>
      </w:r>
      <w:r>
        <w:rPr>
          <w:rFonts w:hint="eastAsia" w:ascii="宋体" w:hAnsi="宋体" w:cs="FZSSK--GBK1-00+ZBNFQH-7"/>
          <w:color w:val="000000" w:themeColor="text1"/>
          <w14:textFill>
            <w14:solidFill>
              <w14:schemeClr w14:val="tx1"/>
            </w14:solidFill>
          </w14:textFill>
        </w:rPr>
        <w:t>济</w:t>
      </w:r>
      <w:r>
        <w:rPr>
          <w:rFonts w:hint="eastAsia" w:ascii="宋体" w:hAnsi="宋体" w:cs="SSJ0+ZBNFQG-4"/>
          <w:color w:val="000000" w:themeColor="text1"/>
          <w14:textFill>
            <w14:solidFill>
              <w14:schemeClr w14:val="tx1"/>
            </w14:solidFill>
          </w14:textFill>
        </w:rPr>
        <w:t>、</w:t>
      </w:r>
      <w:r>
        <w:rPr>
          <w:rFonts w:hint="eastAsia" w:ascii="宋体" w:hAnsi="宋体" w:cs="FZSSK--GBK1-00+ZBNFQH-7"/>
          <w:color w:val="000000" w:themeColor="text1"/>
          <w14:textFill>
            <w14:solidFill>
              <w14:schemeClr w14:val="tx1"/>
            </w14:solidFill>
          </w14:textFill>
        </w:rPr>
        <w:t>政治</w:t>
      </w:r>
      <w:r>
        <w:rPr>
          <w:rFonts w:hint="eastAsia" w:ascii="宋体" w:hAnsi="宋体" w:cs="SSJ0+ZBNFQG-4"/>
          <w:color w:val="000000" w:themeColor="text1"/>
          <w14:textFill>
            <w14:solidFill>
              <w14:schemeClr w14:val="tx1"/>
            </w14:solidFill>
          </w14:textFill>
        </w:rPr>
        <w:t>、</w:t>
      </w:r>
      <w:r>
        <w:rPr>
          <w:rFonts w:hint="eastAsia" w:ascii="宋体" w:hAnsi="宋体" w:cs="FZSSK--GBK1-00+ZBNFQJ-12"/>
          <w:color w:val="000000" w:themeColor="text1"/>
          <w14:textFill>
            <w14:solidFill>
              <w14:schemeClr w14:val="tx1"/>
            </w14:solidFill>
          </w14:textFill>
        </w:rPr>
        <w:t>文</w:t>
      </w:r>
      <w:r>
        <w:rPr>
          <w:rFonts w:hint="eastAsia" w:ascii="宋体" w:hAnsi="宋体" w:cs="SSJ4+ZBNFQG-1"/>
          <w:color w:val="000000" w:themeColor="text1"/>
          <w14:textFill>
            <w14:solidFill>
              <w14:schemeClr w14:val="tx1"/>
            </w14:solidFill>
          </w14:textFill>
        </w:rPr>
        <w:t>化和</w:t>
      </w:r>
      <w:r>
        <w:rPr>
          <w:rFonts w:hint="eastAsia" w:ascii="宋体" w:hAnsi="宋体" w:cs="FZSSK--GBK1-00+ZBNFQH-8"/>
          <w:color w:val="000000" w:themeColor="text1"/>
          <w14:textFill>
            <w14:solidFill>
              <w14:schemeClr w14:val="tx1"/>
            </w14:solidFill>
          </w14:textFill>
        </w:rPr>
        <w:t>军</w:t>
      </w:r>
      <w:r>
        <w:rPr>
          <w:rFonts w:hint="eastAsia" w:ascii="宋体" w:hAnsi="宋体" w:cs="FZSSK--GBK1-00+ZBNFQI-9"/>
          <w:color w:val="000000" w:themeColor="text1"/>
          <w14:textFill>
            <w14:solidFill>
              <w14:schemeClr w14:val="tx1"/>
            </w14:solidFill>
          </w14:textFill>
        </w:rPr>
        <w:t>事</w:t>
      </w:r>
      <w:r>
        <w:rPr>
          <w:rFonts w:hint="eastAsia" w:ascii="宋体" w:hAnsi="宋体" w:cs="SSJ4+ZBNFQG-1"/>
          <w:color w:val="000000" w:themeColor="text1"/>
          <w14:textFill>
            <w14:solidFill>
              <w14:schemeClr w14:val="tx1"/>
            </w14:solidFill>
          </w14:textFill>
        </w:rPr>
        <w:t>发展的大</w:t>
      </w:r>
      <w:r>
        <w:rPr>
          <w:rFonts w:hint="eastAsia" w:ascii="宋体" w:hAnsi="宋体" w:cs="FZSSK--GBK1-00+ZBNFQK-15"/>
          <w:color w:val="000000" w:themeColor="text1"/>
          <w14:textFill>
            <w14:solidFill>
              <w14:schemeClr w14:val="tx1"/>
            </w14:solidFill>
          </w14:textFill>
        </w:rPr>
        <w:t>趋</w:t>
      </w:r>
      <w:r>
        <w:rPr>
          <w:rFonts w:hint="eastAsia" w:ascii="宋体" w:hAnsi="宋体" w:cs="SSJ4+ZBNFQG-1"/>
          <w:color w:val="000000" w:themeColor="text1"/>
          <w14:textFill>
            <w14:solidFill>
              <w14:schemeClr w14:val="tx1"/>
            </w14:solidFill>
          </w14:textFill>
        </w:rPr>
        <w:t>势有</w:t>
      </w:r>
      <w:r>
        <w:rPr>
          <w:rFonts w:hint="eastAsia" w:ascii="宋体" w:hAnsi="宋体" w:cs="FZSSK--GBK1-00+ZBNFQH-5"/>
          <w:color w:val="000000" w:themeColor="text1"/>
          <w14:textFill>
            <w14:solidFill>
              <w14:schemeClr w14:val="tx1"/>
            </w14:solidFill>
          </w14:textFill>
        </w:rPr>
        <w:t>全</w:t>
      </w:r>
      <w:r>
        <w:rPr>
          <w:rFonts w:hint="eastAsia" w:ascii="宋体" w:hAnsi="宋体" w:cs="SSJ4+ZBNFQG-1"/>
          <w:color w:val="000000" w:themeColor="text1"/>
          <w14:textFill>
            <w14:solidFill>
              <w14:schemeClr w14:val="tx1"/>
            </w14:solidFill>
          </w14:textFill>
        </w:rPr>
        <w:t>面</w:t>
      </w:r>
      <w:r>
        <w:rPr>
          <w:rFonts w:hint="eastAsia" w:ascii="宋体" w:hAnsi="宋体" w:cs="FZSSK--GBK1-00+ZBNFQL-16"/>
          <w:color w:val="000000" w:themeColor="text1"/>
          <w14:textFill>
            <w14:solidFill>
              <w14:schemeClr w14:val="tx1"/>
            </w14:solidFill>
          </w14:textFill>
        </w:rPr>
        <w:t>客</w:t>
      </w:r>
      <w:r>
        <w:rPr>
          <w:rFonts w:hint="eastAsia" w:ascii="宋体" w:hAnsi="宋体" w:cs="FZSSK--GBK1-00+ZBNFQH-5"/>
          <w:color w:val="000000" w:themeColor="text1"/>
          <w14:textFill>
            <w14:solidFill>
              <w14:schemeClr w14:val="tx1"/>
            </w14:solidFill>
          </w14:textFill>
        </w:rPr>
        <w:t>观清</w:t>
      </w:r>
      <w:r>
        <w:rPr>
          <w:rFonts w:hint="eastAsia" w:ascii="宋体" w:hAnsi="宋体" w:cs="FZSSK--GBK1-00+ZBNFQP-23"/>
          <w:color w:val="000000" w:themeColor="text1"/>
          <w14:textFill>
            <w14:solidFill>
              <w14:schemeClr w14:val="tx1"/>
            </w14:solidFill>
          </w14:textFill>
        </w:rPr>
        <w:t>醒</w:t>
      </w:r>
      <w:r>
        <w:rPr>
          <w:rFonts w:hint="eastAsia" w:ascii="宋体" w:hAnsi="宋体" w:cs="SSJ4+ZBNFQG-1"/>
          <w:color w:val="000000" w:themeColor="text1"/>
          <w14:textFill>
            <w14:solidFill>
              <w14:schemeClr w14:val="tx1"/>
            </w14:solidFill>
          </w14:textFill>
        </w:rPr>
        <w:t>的</w:t>
      </w:r>
      <w:r>
        <w:rPr>
          <w:rFonts w:hint="eastAsia" w:ascii="宋体" w:hAnsi="宋体" w:cs="FZSSK--GBK1-00+ZBNFQH-5"/>
          <w:color w:val="000000" w:themeColor="text1"/>
          <w14:textFill>
            <w14:solidFill>
              <w14:schemeClr w14:val="tx1"/>
            </w14:solidFill>
          </w14:textFill>
        </w:rPr>
        <w:t>认</w:t>
      </w:r>
      <w:r>
        <w:rPr>
          <w:rFonts w:hint="eastAsia" w:ascii="宋体" w:hAnsi="宋体" w:cs="FZSSK--GBK1-00+ZBNFQI-10"/>
          <w:color w:val="000000" w:themeColor="text1"/>
          <w14:textFill>
            <w14:solidFill>
              <w14:schemeClr w14:val="tx1"/>
            </w14:solidFill>
          </w14:textFill>
        </w:rPr>
        <w:t>识</w:t>
      </w:r>
      <w:r>
        <w:rPr>
          <w:rFonts w:hint="eastAsia" w:ascii="宋体" w:hAnsi="宋体" w:cs="SSJ0+ZBNFQG-4"/>
          <w:color w:val="000000" w:themeColor="text1"/>
          <w14:textFill>
            <w14:solidFill>
              <w14:schemeClr w14:val="tx1"/>
            </w14:solidFill>
          </w14:textFill>
        </w:rPr>
        <w:t>。</w:t>
      </w:r>
      <w:r>
        <w:rPr>
          <w:rFonts w:hint="eastAsia" w:ascii="宋体" w:hAnsi="宋体" w:cs="FZSSK--GBK1-00+ZBNFQH-8"/>
          <w:color w:val="000000" w:themeColor="text1"/>
          <w14:textFill>
            <w14:solidFill>
              <w14:schemeClr w14:val="tx1"/>
            </w14:solidFill>
          </w14:textFill>
        </w:rPr>
        <w:t>再</w:t>
      </w:r>
      <w:r>
        <w:rPr>
          <w:rFonts w:hint="eastAsia" w:ascii="宋体" w:hAnsi="宋体" w:cs="FZSSK--GBK1-00+ZBNFQH-5"/>
          <w:color w:val="000000" w:themeColor="text1"/>
          <w14:textFill>
            <w14:solidFill>
              <w14:schemeClr w14:val="tx1"/>
            </w14:solidFill>
          </w14:textFill>
        </w:rPr>
        <w:t>如</w:t>
      </w:r>
      <w:r>
        <w:rPr>
          <w:rFonts w:hint="eastAsia" w:ascii="宋体" w:hAnsi="宋体" w:cs="SSJ4+ZBNFQG-1"/>
          <w:color w:val="000000" w:themeColor="text1"/>
          <w14:textFill>
            <w14:solidFill>
              <w14:schemeClr w14:val="tx1"/>
            </w14:solidFill>
          </w14:textFill>
        </w:rPr>
        <w:t>，中国是</w:t>
      </w:r>
      <w:r>
        <w:rPr>
          <w:rFonts w:hint="eastAsia" w:ascii="宋体" w:hAnsi="宋体" w:cs="FZSSK--GBK1-00+ZBNFQH-5"/>
          <w:color w:val="000000" w:themeColor="text1"/>
          <w14:textFill>
            <w14:solidFill>
              <w14:schemeClr w14:val="tx1"/>
            </w14:solidFill>
          </w14:textFill>
        </w:rPr>
        <w:t>社会</w:t>
      </w:r>
      <w:r>
        <w:rPr>
          <w:rFonts w:hint="eastAsia" w:ascii="宋体" w:hAnsi="宋体" w:cs="SSJ4+ZBNFQG-1"/>
          <w:color w:val="000000" w:themeColor="text1"/>
          <w14:textFill>
            <w14:solidFill>
              <w14:schemeClr w14:val="tx1"/>
            </w14:solidFill>
          </w14:textFill>
        </w:rPr>
        <w:t>主义大国，大国要有大国的风</w:t>
      </w:r>
      <w:r>
        <w:rPr>
          <w:rFonts w:hint="eastAsia" w:ascii="宋体" w:hAnsi="宋体" w:cs="FZSSK--GBK1-00+ZBNFQH-8"/>
          <w:color w:val="000000" w:themeColor="text1"/>
          <w14:textFill>
            <w14:solidFill>
              <w14:schemeClr w14:val="tx1"/>
            </w14:solidFill>
          </w14:textFill>
        </w:rPr>
        <w:t>范</w:t>
      </w:r>
      <w:r>
        <w:rPr>
          <w:rFonts w:hint="eastAsia" w:ascii="宋体" w:hAnsi="宋体" w:cs="SSJ4+ZBNFQG-1"/>
          <w:color w:val="000000" w:themeColor="text1"/>
          <w14:textFill>
            <w14:solidFill>
              <w14:schemeClr w14:val="tx1"/>
            </w14:solidFill>
          </w14:textFill>
        </w:rPr>
        <w:t>，要</w:t>
      </w:r>
      <w:r>
        <w:rPr>
          <w:rFonts w:hint="eastAsia" w:ascii="宋体" w:hAnsi="宋体" w:cs="FZSSK--GBK1-00+ZBNFQH-7"/>
          <w:color w:val="000000" w:themeColor="text1"/>
          <w14:textFill>
            <w14:solidFill>
              <w14:schemeClr w14:val="tx1"/>
            </w14:solidFill>
          </w14:textFill>
        </w:rPr>
        <w:t>与其</w:t>
      </w:r>
      <w:r>
        <w:rPr>
          <w:rFonts w:hint="eastAsia" w:ascii="宋体" w:hAnsi="宋体" w:cs="FZSSK--GBK1-00+ZBNFQJ-13"/>
          <w:color w:val="000000" w:themeColor="text1"/>
          <w14:textFill>
            <w14:solidFill>
              <w14:schemeClr w14:val="tx1"/>
            </w14:solidFill>
          </w14:textFill>
        </w:rPr>
        <w:t>他</w:t>
      </w:r>
      <w:r>
        <w:rPr>
          <w:rFonts w:hint="eastAsia" w:ascii="宋体" w:hAnsi="宋体" w:cs="SSJ4+ZBNFQG-1"/>
          <w:color w:val="000000" w:themeColor="text1"/>
          <w14:textFill>
            <w14:solidFill>
              <w14:schemeClr w14:val="tx1"/>
            </w14:solidFill>
          </w14:textFill>
        </w:rPr>
        <w:t>国</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H-5"/>
          <w:color w:val="000000" w:themeColor="text1"/>
          <w14:textFill>
            <w14:solidFill>
              <w14:schemeClr w14:val="tx1"/>
            </w14:solidFill>
          </w14:textFill>
        </w:rPr>
        <w:t>平</w:t>
      </w:r>
      <w:r>
        <w:rPr>
          <w:rFonts w:hint="eastAsia" w:ascii="宋体" w:hAnsi="宋体" w:cs="FZSSK--GBK1-00+ZBNFQH-7"/>
          <w:color w:val="000000" w:themeColor="text1"/>
          <w14:textFill>
            <w14:solidFill>
              <w14:schemeClr w14:val="tx1"/>
            </w14:solidFill>
          </w14:textFill>
        </w:rPr>
        <w:t>等</w:t>
      </w:r>
      <w:r>
        <w:rPr>
          <w:rFonts w:hint="eastAsia" w:ascii="宋体" w:hAnsi="宋体" w:cs="FZSSK--GBK1-00+ZBNFQJ-12"/>
          <w:color w:val="000000" w:themeColor="text1"/>
          <w14:textFill>
            <w14:solidFill>
              <w14:schemeClr w14:val="tx1"/>
            </w14:solidFill>
          </w14:textFill>
        </w:rPr>
        <w:t>交流</w:t>
      </w:r>
      <w:r>
        <w:rPr>
          <w:rFonts w:hint="eastAsia" w:ascii="宋体" w:hAnsi="宋体" w:cs="SSJ4+ZBNFQG-1"/>
          <w:color w:val="000000" w:themeColor="text1"/>
          <w14:textFill>
            <w14:solidFill>
              <w14:schemeClr w14:val="tx1"/>
            </w14:solidFill>
          </w14:textFill>
        </w:rPr>
        <w:t>，</w:t>
      </w:r>
      <w:r>
        <w:rPr>
          <w:rFonts w:hint="eastAsia" w:ascii="宋体" w:hAnsi="宋体" w:cs="FZSSK--GBK1-00+ZBNFQI-10"/>
          <w:color w:val="000000" w:themeColor="text1"/>
          <w14:textFill>
            <w14:solidFill>
              <w14:schemeClr w14:val="tx1"/>
            </w14:solidFill>
          </w14:textFill>
        </w:rPr>
        <w:t>外</w:t>
      </w:r>
      <w:r>
        <w:rPr>
          <w:rFonts w:hint="eastAsia" w:ascii="宋体" w:hAnsi="宋体" w:cs="FZSSK--GBK1-00+ZBNFQJ-12"/>
          <w:color w:val="000000" w:themeColor="text1"/>
          <w14:textFill>
            <w14:solidFill>
              <w14:schemeClr w14:val="tx1"/>
            </w14:solidFill>
          </w14:textFill>
        </w:rPr>
        <w:t>交</w:t>
      </w:r>
      <w:r>
        <w:rPr>
          <w:rFonts w:hint="eastAsia" w:ascii="宋体" w:hAnsi="宋体" w:cs="FZSSK--GBK1-00+ZBNFQH-7"/>
          <w:color w:val="000000" w:themeColor="text1"/>
          <w14:textFill>
            <w14:solidFill>
              <w14:schemeClr w14:val="tx1"/>
            </w14:solidFill>
          </w14:textFill>
        </w:rPr>
        <w:t>上</w:t>
      </w:r>
      <w:r>
        <w:rPr>
          <w:rFonts w:hint="eastAsia" w:ascii="宋体" w:hAnsi="宋体" w:cs="SSJ4+ZBNFQG-1"/>
          <w:color w:val="000000" w:themeColor="text1"/>
          <w14:textFill>
            <w14:solidFill>
              <w14:schemeClr w14:val="tx1"/>
            </w14:solidFill>
          </w14:textFill>
        </w:rPr>
        <w:t>要</w:t>
      </w:r>
      <w:r>
        <w:rPr>
          <w:rFonts w:hint="eastAsia" w:ascii="宋体" w:hAnsi="宋体" w:cs="FZSSK--GBK1-00+ZBNFQH-5"/>
          <w:color w:val="000000" w:themeColor="text1"/>
          <w14:textFill>
            <w14:solidFill>
              <w14:schemeClr w14:val="tx1"/>
            </w14:solidFill>
          </w14:textFill>
        </w:rPr>
        <w:t>讲</w:t>
      </w:r>
      <w:r>
        <w:rPr>
          <w:rFonts w:hint="eastAsia" w:ascii="宋体" w:hAnsi="宋体" w:cs="SSJ4+ZBNFQG-1"/>
          <w:color w:val="000000" w:themeColor="text1"/>
          <w14:textFill>
            <w14:solidFill>
              <w14:schemeClr w14:val="tx1"/>
            </w14:solidFill>
          </w14:textFill>
        </w:rPr>
        <w:t>对</w:t>
      </w:r>
      <w:r>
        <w:rPr>
          <w:rFonts w:hint="eastAsia" w:ascii="宋体" w:hAnsi="宋体" w:cs="FZSSK--GBK1-00+ZBNFQH-7"/>
          <w:color w:val="000000" w:themeColor="text1"/>
          <w14:textFill>
            <w14:solidFill>
              <w14:schemeClr w14:val="tx1"/>
            </w14:solidFill>
          </w14:textFill>
        </w:rPr>
        <w:t>等</w:t>
      </w:r>
      <w:r>
        <w:rPr>
          <w:rFonts w:hint="eastAsia" w:ascii="宋体" w:hAnsi="宋体" w:cs="FZSSK--GBK1-00+ZBNFQI-9"/>
          <w:color w:val="000000" w:themeColor="text1"/>
          <w14:textFill>
            <w14:solidFill>
              <w14:schemeClr w14:val="tx1"/>
            </w14:solidFill>
          </w14:textFill>
        </w:rPr>
        <w:t>原</w:t>
      </w:r>
      <w:r>
        <w:rPr>
          <w:rFonts w:hint="eastAsia" w:ascii="宋体" w:hAnsi="宋体" w:cs="FZSSK--GBK1-00+ZBNFQH-8"/>
          <w:color w:val="000000" w:themeColor="text1"/>
          <w14:textFill>
            <w14:solidFill>
              <w14:schemeClr w14:val="tx1"/>
            </w14:solidFill>
          </w14:textFill>
        </w:rPr>
        <w:t>则</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美</w:t>
      </w:r>
      <w:r>
        <w:rPr>
          <w:rFonts w:hint="eastAsia" w:ascii="宋体" w:hAnsi="宋体" w:cs="SSJ4+ZBNFQG-1"/>
          <w:color w:val="000000" w:themeColor="text1"/>
          <w14:textFill>
            <w14:solidFill>
              <w14:schemeClr w14:val="tx1"/>
            </w14:solidFill>
          </w14:textFill>
        </w:rPr>
        <w:t>国的</w:t>
      </w:r>
      <w:r>
        <w:rPr>
          <w:rFonts w:hint="eastAsia" w:ascii="宋体" w:hAnsi="宋体" w:cs="FZSSK--GBK1-00+ZBNFQH-5"/>
          <w:color w:val="000000" w:themeColor="text1"/>
          <w14:textFill>
            <w14:solidFill>
              <w14:schemeClr w14:val="tx1"/>
            </w14:solidFill>
          </w14:textFill>
        </w:rPr>
        <w:t>社会</w:t>
      </w:r>
      <w:r>
        <w:rPr>
          <w:rFonts w:hint="eastAsia" w:ascii="宋体" w:hAnsi="宋体" w:cs="FZSSK--GBK1-00+ZBNFQJ-13"/>
          <w:color w:val="000000" w:themeColor="text1"/>
          <w14:textFill>
            <w14:solidFill>
              <w14:schemeClr w14:val="tx1"/>
            </w14:solidFill>
          </w14:textFill>
        </w:rPr>
        <w:t>科</w:t>
      </w:r>
      <w:r>
        <w:rPr>
          <w:rFonts w:hint="eastAsia" w:ascii="宋体" w:hAnsi="宋体" w:cs="FZSSK--GBK1-00+ZBNFQH-8"/>
          <w:color w:val="000000" w:themeColor="text1"/>
          <w14:textFill>
            <w14:solidFill>
              <w14:schemeClr w14:val="tx1"/>
            </w14:solidFill>
          </w14:textFill>
        </w:rPr>
        <w:t>学学</w:t>
      </w:r>
      <w:r>
        <w:rPr>
          <w:rFonts w:hint="eastAsia" w:ascii="宋体" w:hAnsi="宋体" w:cs="FZSSK--GBK1-00+ZBNFQI-10"/>
          <w:color w:val="000000" w:themeColor="text1"/>
          <w14:textFill>
            <w14:solidFill>
              <w14:schemeClr w14:val="tx1"/>
            </w14:solidFill>
          </w14:textFill>
        </w:rPr>
        <w:t>者</w:t>
      </w:r>
      <w:r>
        <w:rPr>
          <w:rFonts w:hint="eastAsia" w:ascii="宋体" w:hAnsi="宋体" w:cs="SSJ0+ZBNFQG-4"/>
          <w:color w:val="000000" w:themeColor="text1"/>
          <w14:textFill>
            <w14:solidFill>
              <w14:schemeClr w14:val="tx1"/>
            </w14:solidFill>
          </w14:textFill>
        </w:rPr>
        <w:t>、</w:t>
      </w:r>
      <w:r>
        <w:rPr>
          <w:rFonts w:hint="eastAsia" w:ascii="宋体" w:hAnsi="宋体" w:cs="FZSSK--GBK1-00+ZBNFQQ-24"/>
          <w:color w:val="000000" w:themeColor="text1"/>
          <w14:textFill>
            <w14:solidFill>
              <w14:schemeClr w14:val="tx1"/>
            </w14:solidFill>
          </w14:textFill>
        </w:rPr>
        <w:t>哪</w:t>
      </w:r>
      <w:r>
        <w:rPr>
          <w:rFonts w:hint="eastAsia" w:ascii="宋体" w:hAnsi="宋体" w:cs="FZSSK--GBK1-00+ZBNFQJ-13"/>
          <w:color w:val="000000" w:themeColor="text1"/>
          <w14:textFill>
            <w14:solidFill>
              <w14:schemeClr w14:val="tx1"/>
            </w14:solidFill>
          </w14:textFill>
        </w:rPr>
        <w:t>怕</w:t>
      </w:r>
      <w:r>
        <w:rPr>
          <w:rFonts w:hint="eastAsia" w:ascii="宋体" w:hAnsi="宋体" w:cs="SSJ4+ZBNFQG-1"/>
          <w:color w:val="000000" w:themeColor="text1"/>
          <w14:textFill>
            <w14:solidFill>
              <w14:schemeClr w14:val="tx1"/>
            </w14:solidFill>
          </w14:textFill>
        </w:rPr>
        <w:t>是</w:t>
      </w:r>
      <w:r>
        <w:rPr>
          <w:rFonts w:hint="eastAsia" w:ascii="宋体" w:hAnsi="宋体" w:cs="FZSSK--GBK1-00+ZBNFQJ-13"/>
          <w:color w:val="000000" w:themeColor="text1"/>
          <w14:textFill>
            <w14:solidFill>
              <w14:schemeClr w14:val="tx1"/>
            </w14:solidFill>
          </w14:textFill>
        </w:rPr>
        <w:t>诺</w:t>
      </w:r>
      <w:r>
        <w:rPr>
          <w:rFonts w:hint="eastAsia" w:ascii="宋体" w:hAnsi="宋体" w:cs="FZSSK--GBK1-00+ZBNFQL-16"/>
          <w:color w:val="000000" w:themeColor="text1"/>
          <w14:textFill>
            <w14:solidFill>
              <w14:schemeClr w14:val="tx1"/>
            </w14:solidFill>
          </w14:textFill>
        </w:rPr>
        <w:t>贝</w:t>
      </w:r>
      <w:r>
        <w:rPr>
          <w:rFonts w:hint="eastAsia" w:ascii="宋体" w:hAnsi="宋体" w:cs="FZSSK--GBK1-00+ZBNFQJ-12"/>
          <w:color w:val="000000" w:themeColor="text1"/>
          <w14:textFill>
            <w14:solidFill>
              <w14:schemeClr w14:val="tx1"/>
            </w14:solidFill>
          </w14:textFill>
        </w:rPr>
        <w:t>尔</w:t>
      </w:r>
      <w:r>
        <w:rPr>
          <w:rFonts w:hint="eastAsia" w:ascii="宋体" w:hAnsi="宋体" w:cs="FZSSK--GBK1-00+ZBNFQL-16"/>
          <w:color w:val="000000" w:themeColor="text1"/>
          <w14:textFill>
            <w14:solidFill>
              <w14:schemeClr w14:val="tx1"/>
            </w14:solidFill>
          </w14:textFill>
        </w:rPr>
        <w:t>奖</w:t>
      </w:r>
      <w:r>
        <w:rPr>
          <w:rFonts w:hint="eastAsia" w:ascii="宋体" w:hAnsi="宋体" w:cs="FZSSK--GBK1-00+ZBNFQI-10"/>
          <w:color w:val="000000" w:themeColor="text1"/>
          <w14:textFill>
            <w14:solidFill>
              <w14:schemeClr w14:val="tx1"/>
            </w14:solidFill>
          </w14:textFill>
        </w:rPr>
        <w:t>获</w:t>
      </w:r>
      <w:r>
        <w:rPr>
          <w:rFonts w:hint="eastAsia" w:ascii="宋体" w:hAnsi="宋体" w:cs="FZSSK--GBK1-00+ZBNFQH-8"/>
          <w:color w:val="000000" w:themeColor="text1"/>
          <w14:textFill>
            <w14:solidFill>
              <w14:schemeClr w14:val="tx1"/>
            </w14:solidFill>
          </w14:textFill>
        </w:rPr>
        <w:t>得</w:t>
      </w:r>
      <w:r>
        <w:rPr>
          <w:rFonts w:hint="eastAsia" w:ascii="宋体" w:hAnsi="宋体" w:cs="FZSSK--GBK1-00+ZBNFQI-10"/>
          <w:color w:val="000000" w:themeColor="text1"/>
          <w14:textFill>
            <w14:solidFill>
              <w14:schemeClr w14:val="tx1"/>
            </w14:solidFill>
          </w14:textFill>
        </w:rPr>
        <w:t>者</w:t>
      </w:r>
      <w:r>
        <w:rPr>
          <w:rFonts w:hint="eastAsia" w:ascii="宋体" w:hAnsi="宋体" w:cs="SSJ4+ZBNFQG-1"/>
          <w:color w:val="000000" w:themeColor="text1"/>
          <w14:textFill>
            <w14:solidFill>
              <w14:schemeClr w14:val="tx1"/>
            </w14:solidFill>
          </w14:textFill>
        </w:rPr>
        <w:t>来</w:t>
      </w:r>
      <w:r>
        <w:rPr>
          <w:rFonts w:hint="eastAsia" w:ascii="宋体" w:hAnsi="宋体" w:cs="FZSSK--GBK1-00+ZBNFQJ-13"/>
          <w:color w:val="000000" w:themeColor="text1"/>
          <w14:textFill>
            <w14:solidFill>
              <w14:schemeClr w14:val="tx1"/>
            </w14:solidFill>
          </w14:textFill>
        </w:rPr>
        <w:t>华</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也根</w:t>
      </w:r>
      <w:r>
        <w:rPr>
          <w:rFonts w:hint="eastAsia" w:ascii="宋体" w:hAnsi="宋体" w:cs="SSJ4+ZBNFQG-1"/>
          <w:color w:val="000000" w:themeColor="text1"/>
          <w14:textFill>
            <w14:solidFill>
              <w14:schemeClr w14:val="tx1"/>
            </w14:solidFill>
          </w14:textFill>
        </w:rPr>
        <w:t>本</w:t>
      </w:r>
      <w:r>
        <w:rPr>
          <w:rFonts w:hint="eastAsia" w:ascii="宋体" w:hAnsi="宋体" w:cs="FZSSK--GBK1-00+ZBNFQH-5"/>
          <w:color w:val="000000" w:themeColor="text1"/>
          <w14:textFill>
            <w14:solidFill>
              <w14:schemeClr w14:val="tx1"/>
            </w14:solidFill>
          </w14:textFill>
        </w:rPr>
        <w:t>没</w:t>
      </w:r>
      <w:r>
        <w:rPr>
          <w:rFonts w:hint="eastAsia" w:ascii="宋体" w:hAnsi="宋体" w:cs="FZSSK--GBK1-00+ZBNFQH-8"/>
          <w:color w:val="000000" w:themeColor="text1"/>
          <w14:textFill>
            <w14:solidFill>
              <w14:schemeClr w14:val="tx1"/>
            </w14:solidFill>
          </w14:textFill>
        </w:rPr>
        <w:t>必</w:t>
      </w:r>
      <w:r>
        <w:rPr>
          <w:rFonts w:hint="eastAsia" w:ascii="宋体" w:hAnsi="宋体" w:cs="SSJ4+ZBNFQG-1"/>
          <w:color w:val="000000" w:themeColor="text1"/>
          <w14:textFill>
            <w14:solidFill>
              <w14:schemeClr w14:val="tx1"/>
            </w14:solidFill>
          </w14:textFill>
        </w:rPr>
        <w:t>要</w:t>
      </w:r>
      <w:r>
        <w:rPr>
          <w:rFonts w:hint="eastAsia" w:ascii="宋体" w:hAnsi="宋体" w:cs="FZSSK--GBK1-00+ZBNFQH-5"/>
          <w:color w:val="000000" w:themeColor="text1"/>
          <w14:textFill>
            <w14:solidFill>
              <w14:schemeClr w14:val="tx1"/>
            </w14:solidFill>
          </w14:textFill>
        </w:rPr>
        <w:t>过</w:t>
      </w:r>
      <w:r>
        <w:rPr>
          <w:rFonts w:hint="eastAsia" w:ascii="宋体" w:hAnsi="宋体" w:cs="SSJ4+ZBNFQG-1"/>
          <w:color w:val="000000" w:themeColor="text1"/>
          <w14:textFill>
            <w14:solidFill>
              <w14:schemeClr w14:val="tx1"/>
            </w14:solidFill>
          </w14:textFill>
        </w:rPr>
        <w:t>于重</w:t>
      </w:r>
      <w:r>
        <w:rPr>
          <w:rFonts w:hint="eastAsia" w:ascii="宋体" w:hAnsi="宋体" w:cs="FZSSK--GBK1-00+ZBNFQH-8"/>
          <w:color w:val="000000" w:themeColor="text1"/>
          <w14:textFill>
            <w14:solidFill>
              <w14:schemeClr w14:val="tx1"/>
            </w14:solidFill>
          </w14:textFill>
        </w:rPr>
        <w:t>视</w:t>
      </w:r>
      <w:r>
        <w:rPr>
          <w:rFonts w:hint="eastAsia" w:ascii="宋体" w:hAnsi="宋体" w:cs="FZSSK--GBK1-00+ZBNFQJ-13"/>
          <w:color w:val="000000" w:themeColor="text1"/>
          <w14:textFill>
            <w14:solidFill>
              <w14:schemeClr w14:val="tx1"/>
            </w14:solidFill>
          </w14:textFill>
        </w:rPr>
        <w:t>他</w:t>
      </w:r>
      <w:r>
        <w:rPr>
          <w:rFonts w:hint="eastAsia" w:ascii="宋体" w:hAnsi="宋体" w:cs="FZSSK--GBK1-00+ZBNFQH-5"/>
          <w:color w:val="000000" w:themeColor="text1"/>
          <w14:textFill>
            <w14:solidFill>
              <w14:schemeClr w14:val="tx1"/>
            </w14:solidFill>
          </w14:textFill>
        </w:rPr>
        <w:t>们</w:t>
      </w:r>
      <w:r>
        <w:rPr>
          <w:rFonts w:hint="eastAsia" w:ascii="宋体" w:hAnsi="宋体" w:cs="SSJ4+ZBNFQG-1"/>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因</w:t>
      </w:r>
      <w:r>
        <w:rPr>
          <w:rFonts w:hint="eastAsia" w:ascii="宋体" w:hAnsi="宋体" w:cs="SSJ4+ZBNFQG-1"/>
          <w:color w:val="000000" w:themeColor="text1"/>
          <w14:textFill>
            <w14:solidFill>
              <w14:schemeClr w14:val="tx1"/>
            </w14:solidFill>
          </w14:textFill>
        </w:rPr>
        <w:t>为</w:t>
      </w:r>
      <w:r>
        <w:rPr>
          <w:rFonts w:hint="eastAsia" w:ascii="宋体" w:hAnsi="宋体" w:cs="FZSSK--GBK1-00+ZBNFQJ-13"/>
          <w:color w:val="000000" w:themeColor="text1"/>
          <w14:textFill>
            <w14:solidFill>
              <w14:schemeClr w14:val="tx1"/>
            </w14:solidFill>
          </w14:textFill>
        </w:rPr>
        <w:t>诺</w:t>
      </w:r>
      <w:r>
        <w:rPr>
          <w:rFonts w:hint="eastAsia" w:ascii="宋体" w:hAnsi="宋体" w:cs="FZSSK--GBK1-00+ZBNFQL-16"/>
          <w:color w:val="000000" w:themeColor="text1"/>
          <w14:textFill>
            <w14:solidFill>
              <w14:schemeClr w14:val="tx1"/>
            </w14:solidFill>
          </w14:textFill>
        </w:rPr>
        <w:t>贝</w:t>
      </w:r>
      <w:r>
        <w:rPr>
          <w:rFonts w:hint="eastAsia" w:ascii="宋体" w:hAnsi="宋体" w:cs="FZSSK--GBK1-00+ZBNFQJ-12"/>
          <w:color w:val="000000" w:themeColor="text1"/>
          <w14:textFill>
            <w14:solidFill>
              <w14:schemeClr w14:val="tx1"/>
            </w14:solidFill>
          </w14:textFill>
        </w:rPr>
        <w:t>尔</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8"/>
          <w:color w:val="000000" w:themeColor="text1"/>
          <w14:textFill>
            <w14:solidFill>
              <w14:schemeClr w14:val="tx1"/>
            </w14:solidFill>
          </w14:textFill>
        </w:rPr>
        <w:t>学</w:t>
      </w:r>
      <w:r>
        <w:rPr>
          <w:rFonts w:hint="eastAsia" w:ascii="宋体" w:hAnsi="宋体" w:cs="FZSSK--GBK1-00+ZBNFQL-16"/>
          <w:color w:val="000000" w:themeColor="text1"/>
          <w14:textFill>
            <w14:solidFill>
              <w14:schemeClr w14:val="tx1"/>
            </w14:solidFill>
          </w14:textFill>
        </w:rPr>
        <w:t>奖</w:t>
      </w:r>
      <w:r>
        <w:rPr>
          <w:rFonts w:hint="eastAsia" w:ascii="宋体" w:hAnsi="宋体" w:cs="SSJ4+ZBNFQG-1"/>
          <w:color w:val="000000" w:themeColor="text1"/>
          <w14:textFill>
            <w14:solidFill>
              <w14:schemeClr w14:val="tx1"/>
            </w14:solidFill>
          </w14:textFill>
        </w:rPr>
        <w:t>是有</w:t>
      </w:r>
      <w:r>
        <w:rPr>
          <w:rFonts w:hint="eastAsia" w:ascii="宋体" w:hAnsi="宋体" w:cs="FZSSK--GBK1-00+ZBNFQI-9"/>
          <w:color w:val="000000" w:themeColor="text1"/>
          <w14:textFill>
            <w14:solidFill>
              <w14:schemeClr w14:val="tx1"/>
            </w14:solidFill>
          </w14:textFill>
        </w:rPr>
        <w:t>很</w:t>
      </w:r>
      <w:r>
        <w:rPr>
          <w:rFonts w:hint="eastAsia" w:ascii="宋体" w:hAnsi="宋体" w:cs="FZSSK--GBK1-00+ZBNFQH-7"/>
          <w:color w:val="000000" w:themeColor="text1"/>
          <w14:textFill>
            <w14:solidFill>
              <w14:schemeClr w14:val="tx1"/>
            </w14:solidFill>
          </w14:textFill>
        </w:rPr>
        <w:t>强</w:t>
      </w:r>
      <w:r>
        <w:rPr>
          <w:rFonts w:hint="eastAsia" w:ascii="宋体" w:hAnsi="宋体" w:cs="SSJ4+ZBNFQG-1"/>
          <w:color w:val="000000" w:themeColor="text1"/>
          <w14:textFill>
            <w14:solidFill>
              <w14:schemeClr w14:val="tx1"/>
            </w14:solidFill>
          </w14:textFill>
        </w:rPr>
        <w:t>的</w:t>
      </w:r>
      <w:r>
        <w:rPr>
          <w:rFonts w:hint="eastAsia" w:ascii="宋体" w:hAnsi="宋体" w:cs="FZSSK--GBK1-00+ZBNFQJ-12"/>
          <w:color w:val="000000" w:themeColor="text1"/>
          <w14:textFill>
            <w14:solidFill>
              <w14:schemeClr w14:val="tx1"/>
            </w14:solidFill>
          </w14:textFill>
        </w:rPr>
        <w:t>价</w:t>
      </w:r>
      <w:r>
        <w:rPr>
          <w:rFonts w:hint="eastAsia" w:ascii="宋体" w:hAnsi="宋体" w:cs="FZSSK--GBK1-00+ZBNFQI-10"/>
          <w:color w:val="000000" w:themeColor="text1"/>
          <w14:textFill>
            <w14:solidFill>
              <w14:schemeClr w14:val="tx1"/>
            </w14:solidFill>
          </w14:textFill>
        </w:rPr>
        <w:t>值</w:t>
      </w:r>
      <w:r>
        <w:rPr>
          <w:rFonts w:hint="eastAsia" w:ascii="宋体" w:hAnsi="宋体" w:cs="SSJ4+ZBNFQG-1"/>
          <w:color w:val="000000" w:themeColor="text1"/>
          <w14:textFill>
            <w14:solidFill>
              <w14:schemeClr w14:val="tx1"/>
            </w14:solidFill>
          </w14:textFill>
        </w:rPr>
        <w:t>和</w:t>
      </w:r>
      <w:r>
        <w:rPr>
          <w:rFonts w:hint="eastAsia" w:ascii="宋体" w:hAnsi="宋体" w:cs="FZSSK--GBK1-00+ZBNFQH-7"/>
          <w:color w:val="000000" w:themeColor="text1"/>
          <w14:textFill>
            <w14:solidFill>
              <w14:schemeClr w14:val="tx1"/>
            </w14:solidFill>
          </w14:textFill>
        </w:rPr>
        <w:t>政治</w:t>
      </w:r>
      <w:r>
        <w:rPr>
          <w:rFonts w:hint="eastAsia" w:ascii="宋体" w:hAnsi="宋体" w:cs="FZSSK--GBK1-00+ZBNFQT-26"/>
          <w:color w:val="000000" w:themeColor="text1"/>
          <w14:textFill>
            <w14:solidFill>
              <w14:schemeClr w14:val="tx1"/>
            </w14:solidFill>
          </w14:textFill>
        </w:rPr>
        <w:t>偏</w:t>
      </w:r>
      <w:r>
        <w:rPr>
          <w:rFonts w:hint="eastAsia" w:ascii="宋体" w:hAnsi="宋体" w:cs="FZSSK--GBK1-00+ZBNFQH-5"/>
          <w:color w:val="000000" w:themeColor="text1"/>
          <w14:textFill>
            <w14:solidFill>
              <w14:schemeClr w14:val="tx1"/>
            </w14:solidFill>
          </w14:textFill>
        </w:rPr>
        <w:t>见</w:t>
      </w:r>
      <w:r>
        <w:rPr>
          <w:rFonts w:hint="eastAsia" w:ascii="宋体" w:hAnsi="宋体" w:cs="SSJ4+ZBNFQG-1"/>
          <w:color w:val="000000" w:themeColor="text1"/>
          <w14:textFill>
            <w14:solidFill>
              <w14:schemeClr w14:val="tx1"/>
            </w14:solidFill>
          </w14:textFill>
        </w:rPr>
        <w:t>的</w:t>
      </w:r>
      <w:r>
        <w:rPr>
          <w:rFonts w:hint="eastAsia" w:ascii="宋体" w:hAnsi="宋体" w:cs="SSJ0+ZBNFQG-4"/>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对</w:t>
      </w:r>
      <w:r>
        <w:rPr>
          <w:rFonts w:hint="eastAsia" w:ascii="宋体" w:hAnsi="宋体" w:cs="FZSSK--GBK1-00+ZBNFQL-16"/>
          <w:color w:val="000000" w:themeColor="text1"/>
          <w14:textFill>
            <w14:solidFill>
              <w14:schemeClr w14:val="tx1"/>
            </w14:solidFill>
          </w14:textFill>
        </w:rPr>
        <w:t>待</w:t>
      </w:r>
      <w:r>
        <w:rPr>
          <w:rFonts w:hint="eastAsia" w:ascii="宋体" w:hAnsi="宋体" w:cs="FZSSK--GBK1-00+ZBNFQH-8"/>
          <w:color w:val="000000" w:themeColor="text1"/>
          <w14:textFill>
            <w14:solidFill>
              <w14:schemeClr w14:val="tx1"/>
            </w14:solidFill>
          </w14:textFill>
        </w:rPr>
        <w:t>西方</w:t>
      </w:r>
      <w:r>
        <w:rPr>
          <w:rFonts w:hint="eastAsia" w:ascii="宋体" w:hAnsi="宋体" w:cs="FZSSK--GBK1-00+ZBNFQI-9"/>
          <w:color w:val="000000" w:themeColor="text1"/>
          <w14:textFill>
            <w14:solidFill>
              <w14:schemeClr w14:val="tx1"/>
            </w14:solidFill>
          </w14:textFill>
        </w:rPr>
        <w:t>左</w:t>
      </w:r>
      <w:r>
        <w:rPr>
          <w:rFonts w:hint="eastAsia" w:ascii="宋体" w:hAnsi="宋体" w:cs="SSJ4+ZBNFQG-1"/>
          <w:color w:val="000000" w:themeColor="text1"/>
          <w14:textFill>
            <w14:solidFill>
              <w14:schemeClr w14:val="tx1"/>
            </w14:solidFill>
          </w14:textFill>
        </w:rPr>
        <w:t>中</w:t>
      </w:r>
      <w:r>
        <w:rPr>
          <w:rFonts w:hint="eastAsia" w:ascii="宋体" w:hAnsi="宋体" w:cs="FZSSK--GBK1-00+ZBNFQK-15"/>
          <w:color w:val="000000" w:themeColor="text1"/>
          <w14:textFill>
            <w14:solidFill>
              <w14:schemeClr w14:val="tx1"/>
            </w14:solidFill>
          </w14:textFill>
        </w:rPr>
        <w:t>右</w:t>
      </w:r>
      <w:r>
        <w:rPr>
          <w:rFonts w:hint="eastAsia" w:ascii="宋体" w:hAnsi="宋体" w:cs="FZSSK--GBK1-00+ZBNFQH-8"/>
          <w:color w:val="000000" w:themeColor="text1"/>
          <w14:textFill>
            <w14:solidFill>
              <w14:schemeClr w14:val="tx1"/>
            </w14:solidFill>
          </w14:textFill>
        </w:rPr>
        <w:t>学</w:t>
      </w:r>
      <w:r>
        <w:rPr>
          <w:rFonts w:hint="eastAsia" w:ascii="宋体" w:hAnsi="宋体" w:cs="FZSSK--GBK1-00+ZBNFQI-10"/>
          <w:color w:val="000000" w:themeColor="text1"/>
          <w14:textFill>
            <w14:solidFill>
              <w14:schemeClr w14:val="tx1"/>
            </w14:solidFill>
          </w14:textFill>
        </w:rPr>
        <w:t>者</w:t>
      </w:r>
      <w:r>
        <w:rPr>
          <w:rFonts w:hint="eastAsia" w:ascii="宋体" w:hAnsi="宋体" w:cs="SSJ4+ZBNFQG-1"/>
          <w:color w:val="000000" w:themeColor="text1"/>
          <w14:textFill>
            <w14:solidFill>
              <w14:schemeClr w14:val="tx1"/>
            </w14:solidFill>
          </w14:textFill>
        </w:rPr>
        <w:t>的</w:t>
      </w:r>
      <w:r>
        <w:rPr>
          <w:rFonts w:hint="eastAsia" w:ascii="宋体" w:hAnsi="宋体" w:cs="FZSSK--GBK1-00+ZBNFQH-8"/>
          <w:color w:val="000000" w:themeColor="text1"/>
          <w14:textFill>
            <w14:solidFill>
              <w14:schemeClr w14:val="tx1"/>
            </w14:solidFill>
          </w14:textFill>
        </w:rPr>
        <w:t>方</w:t>
      </w:r>
      <w:r>
        <w:rPr>
          <w:rFonts w:hint="eastAsia" w:ascii="宋体" w:hAnsi="宋体" w:cs="FZSSK--GBK1-00+ZBNFQI-10"/>
          <w:color w:val="000000" w:themeColor="text1"/>
          <w14:textFill>
            <w14:solidFill>
              <w14:schemeClr w14:val="tx1"/>
            </w14:solidFill>
          </w14:textFill>
        </w:rPr>
        <w:t>式</w:t>
      </w:r>
      <w:r>
        <w:rPr>
          <w:rFonts w:hint="eastAsia" w:ascii="宋体" w:hAnsi="宋体" w:cs="FZSSK--GBK1-00+ZBNFQH-7"/>
          <w:color w:val="000000" w:themeColor="text1"/>
          <w14:textFill>
            <w14:solidFill>
              <w14:schemeClr w14:val="tx1"/>
            </w14:solidFill>
          </w14:textFill>
        </w:rPr>
        <w:t>至</w:t>
      </w:r>
      <w:r>
        <w:rPr>
          <w:rFonts w:hint="eastAsia" w:ascii="宋体" w:hAnsi="宋体" w:cs="FZSSK--GBK1-00+ZBNFQI-9"/>
          <w:color w:val="000000" w:themeColor="text1"/>
          <w14:textFill>
            <w14:solidFill>
              <w14:schemeClr w14:val="tx1"/>
            </w14:solidFill>
          </w14:textFill>
        </w:rPr>
        <w:t>少</w:t>
      </w:r>
      <w:r>
        <w:rPr>
          <w:rFonts w:hint="eastAsia" w:ascii="宋体" w:hAnsi="宋体" w:cs="FZSSK--GBK1-00+ZBNFQH-8"/>
          <w:color w:val="000000" w:themeColor="text1"/>
          <w14:textFill>
            <w14:solidFill>
              <w14:schemeClr w14:val="tx1"/>
            </w14:solidFill>
          </w14:textFill>
        </w:rPr>
        <w:t>应</w:t>
      </w:r>
      <w:r>
        <w:rPr>
          <w:rFonts w:hint="eastAsia" w:ascii="宋体" w:hAnsi="宋体" w:cs="SSJ4+ZBNFQG-1"/>
          <w:color w:val="000000" w:themeColor="text1"/>
          <w14:textFill>
            <w14:solidFill>
              <w14:schemeClr w14:val="tx1"/>
            </w14:solidFill>
          </w14:textFill>
        </w:rPr>
        <w:t>是</w:t>
      </w:r>
      <w:r>
        <w:rPr>
          <w:rFonts w:hint="eastAsia" w:ascii="宋体" w:hAnsi="宋体" w:cs="FZSSK--GBK1-00+ZBNFQH-5"/>
          <w:color w:val="000000" w:themeColor="text1"/>
          <w14:textFill>
            <w14:solidFill>
              <w14:schemeClr w14:val="tx1"/>
            </w14:solidFill>
          </w14:textFill>
        </w:rPr>
        <w:t>一</w:t>
      </w:r>
      <w:r>
        <w:rPr>
          <w:rFonts w:hint="eastAsia" w:ascii="宋体" w:hAnsi="宋体" w:cs="FZSSK--GBK1-00+ZBNFQH-8"/>
          <w:color w:val="000000" w:themeColor="text1"/>
          <w14:textFill>
            <w14:solidFill>
              <w14:schemeClr w14:val="tx1"/>
            </w14:solidFill>
          </w14:textFill>
        </w:rPr>
        <w:t>视</w:t>
      </w:r>
      <w:r>
        <w:rPr>
          <w:rFonts w:hint="eastAsia" w:ascii="宋体" w:hAnsi="宋体" w:cs="SSJ4+ZBNFQG-1"/>
          <w:color w:val="000000" w:themeColor="text1"/>
          <w14:textFill>
            <w14:solidFill>
              <w14:schemeClr w14:val="tx1"/>
            </w14:solidFill>
          </w14:textFill>
        </w:rPr>
        <w:t>同</w:t>
      </w:r>
      <w:r>
        <w:rPr>
          <w:rFonts w:hint="eastAsia" w:ascii="宋体" w:hAnsi="宋体" w:cs="FZSSK--GBK1-00+ZBNFQT-26"/>
          <w:color w:val="000000" w:themeColor="text1"/>
          <w14:textFill>
            <w14:solidFill>
              <w14:schemeClr w14:val="tx1"/>
            </w14:solidFill>
          </w14:textFill>
        </w:rPr>
        <w:t>仁</w:t>
      </w:r>
      <w:r>
        <w:rPr>
          <w:rFonts w:hint="eastAsia" w:ascii="宋体" w:hAnsi="宋体" w:cs="SSJ4+ZBNFQG-1"/>
          <w:color w:val="000000" w:themeColor="text1"/>
          <w14:textFill>
            <w14:solidFill>
              <w14:schemeClr w14:val="tx1"/>
            </w14:solidFill>
          </w14:textFill>
        </w:rPr>
        <w:t>的</w:t>
      </w:r>
      <w:r>
        <w:rPr>
          <w:rFonts w:hint="eastAsia" w:ascii="宋体" w:hAnsi="宋体" w:cs="SSJ0+ZBNFQG-4"/>
          <w:color w:val="000000" w:themeColor="text1"/>
          <w14:textFill>
            <w14:solidFill>
              <w14:schemeClr w14:val="tx1"/>
            </w14:solidFill>
          </w14:textFill>
        </w:rPr>
        <w:t>。</w:t>
      </w:r>
      <w:r>
        <w:rPr>
          <w:rFonts w:hint="eastAsia" w:ascii="宋体" w:hAnsi="宋体" w:cs="FZSSK--GBK1-00+ZBNFQH-5"/>
          <w:color w:val="000000" w:themeColor="text1"/>
          <w14:textFill>
            <w14:solidFill>
              <w14:schemeClr w14:val="tx1"/>
            </w14:solidFill>
          </w14:textFill>
        </w:rPr>
        <w:t>这</w:t>
      </w:r>
      <w:r>
        <w:rPr>
          <w:rFonts w:hint="eastAsia" w:ascii="宋体" w:hAnsi="宋体" w:cs="FZSSK--GBK1-00+ZBNFQH-7"/>
          <w:color w:val="000000" w:themeColor="text1"/>
          <w14:textFill>
            <w14:solidFill>
              <w14:schemeClr w14:val="tx1"/>
            </w14:solidFill>
          </w14:textFill>
        </w:rPr>
        <w:t>些</w:t>
      </w:r>
      <w:r>
        <w:rPr>
          <w:rFonts w:hint="eastAsia" w:ascii="宋体" w:hAnsi="宋体" w:cs="FZSSK--GBK1-00+ZBNFQH-8"/>
          <w:color w:val="000000" w:themeColor="text1"/>
          <w14:textFill>
            <w14:solidFill>
              <w14:schemeClr w14:val="tx1"/>
            </w14:solidFill>
          </w14:textFill>
        </w:rPr>
        <w:t>西方</w:t>
      </w:r>
      <w:r>
        <w:rPr>
          <w:rFonts w:hint="eastAsia" w:ascii="宋体" w:hAnsi="宋体" w:cs="SSJ4+ZBNFQG-1"/>
          <w:color w:val="000000" w:themeColor="text1"/>
          <w14:textFill>
            <w14:solidFill>
              <w14:schemeClr w14:val="tx1"/>
            </w14:solidFill>
          </w14:textFill>
        </w:rPr>
        <w:t>主</w:t>
      </w:r>
      <w:r>
        <w:rPr>
          <w:rFonts w:hint="eastAsia" w:ascii="宋体" w:hAnsi="宋体" w:cs="FZSSK--GBK1-00+ZBNFQJ-12"/>
          <w:color w:val="000000" w:themeColor="text1"/>
          <w14:textFill>
            <w14:solidFill>
              <w14:schemeClr w14:val="tx1"/>
            </w14:solidFill>
          </w14:textFill>
        </w:rPr>
        <w:t>流</w:t>
      </w:r>
      <w:r>
        <w:rPr>
          <w:rFonts w:hint="eastAsia" w:ascii="宋体" w:hAnsi="宋体" w:cs="SSJ4+ZBNFQG-1"/>
          <w:color w:val="000000" w:themeColor="text1"/>
          <w14:textFill>
            <w14:solidFill>
              <w14:schemeClr w14:val="tx1"/>
            </w14:solidFill>
          </w14:textFill>
        </w:rPr>
        <w:t>经</w:t>
      </w:r>
      <w:r>
        <w:rPr>
          <w:rFonts w:hint="eastAsia" w:ascii="宋体" w:hAnsi="宋体" w:cs="FZSSK--GBK1-00+ZBNFQH-7"/>
          <w:color w:val="000000" w:themeColor="text1"/>
          <w14:textFill>
            <w14:solidFill>
              <w14:schemeClr w14:val="tx1"/>
            </w14:solidFill>
          </w14:textFill>
        </w:rPr>
        <w:t>济</w:t>
      </w:r>
      <w:r>
        <w:rPr>
          <w:rFonts w:hint="eastAsia" w:ascii="宋体" w:hAnsi="宋体" w:cs="FZSSK--GBK1-00+ZBNFQH-8"/>
          <w:color w:val="000000" w:themeColor="text1"/>
          <w14:textFill>
            <w14:solidFill>
              <w14:schemeClr w14:val="tx1"/>
            </w14:solidFill>
          </w14:textFill>
        </w:rPr>
        <w:t>学</w:t>
      </w:r>
      <w:r>
        <w:rPr>
          <w:rFonts w:hint="eastAsia" w:ascii="宋体" w:hAnsi="宋体" w:cs="SSJ4+ZBNFQG-1"/>
          <w:color w:val="000000" w:themeColor="text1"/>
          <w14:textFill>
            <w14:solidFill>
              <w14:schemeClr w14:val="tx1"/>
            </w14:solidFill>
          </w14:textFill>
        </w:rPr>
        <w:t>大</w:t>
      </w:r>
      <w:r>
        <w:rPr>
          <w:rFonts w:hint="eastAsia" w:ascii="宋体" w:hAnsi="宋体" w:cs="FZSSK--GBK1-00+ZBNFQH-8"/>
          <w:color w:val="000000" w:themeColor="text1"/>
          <w14:textFill>
            <w14:solidFill>
              <w14:schemeClr w14:val="tx1"/>
            </w14:solidFill>
          </w14:textFill>
        </w:rPr>
        <w:t>家</w:t>
      </w:r>
      <w:r>
        <w:rPr>
          <w:rFonts w:hint="eastAsia" w:ascii="宋体" w:hAnsi="宋体" w:cs="FZSSK--GBK1-00+ZBNFQH-5"/>
          <w:color w:val="000000" w:themeColor="text1"/>
          <w14:textFill>
            <w14:solidFill>
              <w14:schemeClr w14:val="tx1"/>
            </w14:solidFill>
          </w14:textFill>
        </w:rPr>
        <w:t>到</w:t>
      </w:r>
      <w:r>
        <w:rPr>
          <w:rFonts w:hint="eastAsia" w:ascii="宋体" w:hAnsi="宋体" w:cs="FZSSK--GBK1-00+ZBNFQH-8"/>
          <w:color w:val="000000" w:themeColor="text1"/>
          <w14:textFill>
            <w14:solidFill>
              <w14:schemeClr w14:val="tx1"/>
            </w14:solidFill>
          </w14:textFill>
        </w:rPr>
        <w:t>底</w:t>
      </w:r>
      <w:r>
        <w:rPr>
          <w:rFonts w:hint="eastAsia" w:ascii="宋体" w:hAnsi="宋体" w:cs="SSJ4+ZBNFQG-1"/>
          <w:color w:val="000000" w:themeColor="text1"/>
          <w14:textFill>
            <w14:solidFill>
              <w14:schemeClr w14:val="tx1"/>
            </w14:solidFill>
          </w14:textFill>
        </w:rPr>
        <w:t>有多</w:t>
      </w:r>
      <w:r>
        <w:rPr>
          <w:rFonts w:hint="eastAsia" w:ascii="宋体" w:hAnsi="宋体" w:cs="FZSSK--GBK1-00+ZBNFQI-9"/>
          <w:color w:val="000000" w:themeColor="text1"/>
          <w14:textFill>
            <w14:solidFill>
              <w14:schemeClr w14:val="tx1"/>
            </w14:solidFill>
          </w14:textFill>
        </w:rPr>
        <w:t>少</w:t>
      </w:r>
      <w:r>
        <w:rPr>
          <w:rFonts w:hint="eastAsia" w:ascii="宋体" w:hAnsi="宋体" w:cs="FZSSK--GBK1-00+ZBNFQH-5"/>
          <w:color w:val="000000" w:themeColor="text1"/>
          <w14:textFill>
            <w14:solidFill>
              <w14:schemeClr w14:val="tx1"/>
            </w14:solidFill>
          </w14:textFill>
        </w:rPr>
        <w:t>见</w:t>
      </w:r>
      <w:r>
        <w:rPr>
          <w:rFonts w:hint="eastAsia" w:ascii="宋体" w:hAnsi="宋体" w:cs="FZSSK--GBK1-00+ZBNFQI-10"/>
          <w:color w:val="000000" w:themeColor="text1"/>
          <w14:textFill>
            <w14:solidFill>
              <w14:schemeClr w14:val="tx1"/>
            </w14:solidFill>
          </w14:textFill>
        </w:rPr>
        <w:t>识呢</w:t>
      </w:r>
      <w:r>
        <w:rPr>
          <w:rFonts w:hint="eastAsia" w:ascii="宋体" w:hAnsi="宋体" w:cs="FZSSK--GBK1-00+ZBNFQH-5"/>
          <w:color w:val="000000" w:themeColor="text1"/>
          <w14:textFill>
            <w14:solidFill>
              <w14:schemeClr w14:val="tx1"/>
            </w14:solidFill>
          </w14:textFill>
        </w:rPr>
        <w:t>？</w:t>
      </w:r>
      <w:r>
        <w:rPr>
          <w:rFonts w:hint="eastAsia" w:ascii="宋体" w:hAnsi="宋体" w:cs="SSJ4+ZBNFQG-1"/>
          <w:color w:val="000000" w:themeColor="text1"/>
          <w14:textFill>
            <w14:solidFill>
              <w14:schemeClr w14:val="tx1"/>
            </w14:solidFill>
          </w14:textFill>
        </w:rPr>
        <w:t>面对</w:t>
      </w:r>
      <w:r>
        <w:rPr>
          <w:rFonts w:hint="eastAsia" w:ascii="宋体" w:hAnsi="宋体" w:cs="FZSSK--GBK1-00+ZBNFQH-5"/>
          <w:color w:val="000000" w:themeColor="text1"/>
          <w14:textFill>
            <w14:solidFill>
              <w14:schemeClr w14:val="tx1"/>
            </w14:solidFill>
          </w14:textFill>
        </w:rPr>
        <w:t>全</w:t>
      </w:r>
      <w:r>
        <w:rPr>
          <w:rFonts w:hint="eastAsia" w:ascii="宋体" w:hAnsi="宋体" w:cs="FZSSK--GBK1-00+ZBNFQH-8"/>
          <w:color w:val="000000" w:themeColor="text1"/>
          <w14:textFill>
            <w14:solidFill>
              <w14:schemeClr w14:val="tx1"/>
            </w14:solidFill>
          </w14:textFill>
        </w:rPr>
        <w:t>球</w:t>
      </w:r>
      <w:r>
        <w:rPr>
          <w:rFonts w:hint="eastAsia" w:ascii="宋体" w:hAnsi="宋体" w:cs="FZSSK--GBK1-00+ZBNFQH-5"/>
          <w:color w:val="000000" w:themeColor="text1"/>
          <w14:textFill>
            <w14:solidFill>
              <w14:schemeClr w14:val="tx1"/>
            </w14:solidFill>
          </w14:textFill>
        </w:rPr>
        <w:t>危</w:t>
      </w:r>
      <w:r>
        <w:rPr>
          <w:rFonts w:hint="eastAsia" w:ascii="宋体" w:hAnsi="宋体" w:cs="SSJ4+ZBNFQG-1"/>
          <w:color w:val="000000" w:themeColor="text1"/>
          <w14:textFill>
            <w14:solidFill>
              <w14:schemeClr w14:val="tx1"/>
            </w14:solidFill>
          </w14:textFill>
        </w:rPr>
        <w:t>机，</w:t>
      </w:r>
      <w:r>
        <w:rPr>
          <w:rFonts w:hint="eastAsia" w:ascii="宋体" w:hAnsi="宋体" w:cs="FZSSK--GBK1-00+ZBNFQJ-13"/>
          <w:color w:val="000000" w:themeColor="text1"/>
          <w14:textFill>
            <w14:solidFill>
              <w14:schemeClr w14:val="tx1"/>
            </w14:solidFill>
          </w14:textFill>
        </w:rPr>
        <w:t>他</w:t>
      </w:r>
      <w:r>
        <w:rPr>
          <w:rFonts w:hint="eastAsia" w:ascii="宋体" w:hAnsi="宋体" w:cs="FZSSK--GBK1-00+ZBNFQH-5"/>
          <w:color w:val="000000" w:themeColor="text1"/>
          <w14:textFill>
            <w14:solidFill>
              <w14:schemeClr w14:val="tx1"/>
            </w14:solidFill>
          </w14:textFill>
        </w:rPr>
        <w:t>们</w:t>
      </w:r>
      <w:r>
        <w:rPr>
          <w:rFonts w:hint="eastAsia" w:ascii="宋体" w:hAnsi="宋体" w:cs="SSJ4+ZBNFQG-1"/>
          <w:color w:val="000000" w:themeColor="text1"/>
          <w14:textFill>
            <w14:solidFill>
              <w14:schemeClr w14:val="tx1"/>
            </w14:solidFill>
          </w14:textFill>
        </w:rPr>
        <w:t>个个面面</w:t>
      </w:r>
      <w:r>
        <w:rPr>
          <w:rFonts w:hint="eastAsia" w:ascii="宋体" w:hAnsi="宋体" w:cs="FZSSK--GBK1-00+ZBNFQH-5"/>
          <w:color w:val="000000" w:themeColor="text1"/>
          <w14:textFill>
            <w14:solidFill>
              <w14:schemeClr w14:val="tx1"/>
            </w14:solidFill>
          </w14:textFill>
        </w:rPr>
        <w:t>相</w:t>
      </w:r>
      <w:r>
        <w:rPr>
          <w:rFonts w:hint="eastAsia" w:ascii="宋体" w:hAnsi="宋体" w:cs="FZSSK--GBK1-00+ZBNFQT-26"/>
          <w:color w:val="000000" w:themeColor="text1"/>
          <w14:textFill>
            <w14:solidFill>
              <w14:schemeClr w14:val="tx1"/>
            </w14:solidFill>
          </w14:textFill>
        </w:rPr>
        <w:t>觑</w:t>
      </w:r>
      <w:r>
        <w:rPr>
          <w:rFonts w:hint="eastAsia" w:ascii="宋体" w:hAnsi="宋体" w:cs="SSJ4+ZBNFQG-1"/>
          <w:color w:val="000000" w:themeColor="text1"/>
          <w14:textFill>
            <w14:solidFill>
              <w14:schemeClr w14:val="tx1"/>
            </w14:solidFill>
          </w14:textFill>
        </w:rPr>
        <w:t>，</w:t>
      </w:r>
      <w:r>
        <w:rPr>
          <w:rFonts w:hint="eastAsia" w:ascii="宋体" w:hAnsi="宋体" w:cs="FZSSK--GBK1-00+ZBNFQT-26"/>
          <w:color w:val="000000" w:themeColor="text1"/>
          <w14:textFill>
            <w14:solidFill>
              <w14:schemeClr w14:val="tx1"/>
            </w14:solidFill>
          </w14:textFill>
        </w:rPr>
        <w:t>哑</w:t>
      </w:r>
      <w:r>
        <w:rPr>
          <w:rFonts w:hint="eastAsia" w:ascii="宋体" w:hAnsi="宋体" w:cs="FZSSK--GBK1-00+ZBNFQI-9"/>
          <w:color w:val="000000" w:themeColor="text1"/>
          <w14:textFill>
            <w14:solidFill>
              <w14:schemeClr w14:val="tx1"/>
            </w14:solidFill>
          </w14:textFill>
        </w:rPr>
        <w:t>口</w:t>
      </w:r>
      <w:r>
        <w:rPr>
          <w:rFonts w:hint="eastAsia" w:ascii="宋体" w:hAnsi="宋体" w:cs="FZSSK--GBK1-00+ZBNFQH-5"/>
          <w:color w:val="000000" w:themeColor="text1"/>
          <w14:textFill>
            <w14:solidFill>
              <w14:schemeClr w14:val="tx1"/>
            </w14:solidFill>
          </w14:textFill>
        </w:rPr>
        <w:t>无</w:t>
      </w:r>
      <w:r>
        <w:rPr>
          <w:rFonts w:hint="eastAsia" w:ascii="宋体" w:hAnsi="宋体" w:cs="FZSSK--GBK1-00+ZBNFQI-9"/>
          <w:color w:val="000000" w:themeColor="text1"/>
          <w14:textFill>
            <w14:solidFill>
              <w14:schemeClr w14:val="tx1"/>
            </w14:solidFill>
          </w14:textFill>
        </w:rPr>
        <w:t>言</w:t>
      </w:r>
      <w:r>
        <w:rPr>
          <w:rFonts w:hint="eastAsia" w:ascii="宋体" w:hAnsi="宋体" w:cs="SSJ4+ZBNFQG-1"/>
          <w:color w:val="000000" w:themeColor="text1"/>
          <w14:textFill>
            <w14:solidFill>
              <w14:schemeClr w14:val="tx1"/>
            </w14:solidFill>
          </w14:textFill>
        </w:rPr>
        <w:t>，以</w:t>
      </w:r>
      <w:r>
        <w:rPr>
          <w:rFonts w:hint="eastAsia" w:ascii="宋体" w:hAnsi="宋体" w:cs="FZSSK--GBK1-00+ZBNFQH-7"/>
          <w:color w:val="000000" w:themeColor="text1"/>
          <w14:textFill>
            <w14:solidFill>
              <w14:schemeClr w14:val="tx1"/>
            </w14:solidFill>
          </w14:textFill>
        </w:rPr>
        <w:t>至</w:t>
      </w:r>
      <w:r>
        <w:rPr>
          <w:rFonts w:hint="eastAsia" w:ascii="宋体" w:hAnsi="宋体" w:cs="SSJ4+ZBNFQG-1"/>
          <w:color w:val="000000" w:themeColor="text1"/>
          <w14:textFill>
            <w14:solidFill>
              <w14:schemeClr w14:val="tx1"/>
            </w14:solidFill>
          </w14:textFill>
        </w:rPr>
        <w:t>于</w:t>
      </w:r>
      <w:r>
        <w:rPr>
          <w:rFonts w:hint="eastAsia" w:ascii="宋体" w:hAnsi="宋体" w:cs="FZSSK--GBK1-00+ZBNFQI-9"/>
          <w:color w:val="000000" w:themeColor="text1"/>
          <w14:textFill>
            <w14:solidFill>
              <w14:schemeClr w14:val="tx1"/>
            </w14:solidFill>
          </w14:textFill>
        </w:rPr>
        <w:t>英</w:t>
      </w:r>
      <w:r>
        <w:rPr>
          <w:rFonts w:hint="eastAsia" w:ascii="宋体" w:hAnsi="宋体" w:cs="SSJ4+ZBNFQG-1"/>
          <w:color w:val="000000" w:themeColor="text1"/>
          <w14:textFill>
            <w14:solidFill>
              <w14:schemeClr w14:val="tx1"/>
            </w14:solidFill>
          </w14:textFill>
        </w:rPr>
        <w:t>国</w:t>
      </w:r>
      <w:r>
        <w:rPr>
          <w:rFonts w:hint="eastAsia" w:ascii="宋体" w:hAnsi="宋体" w:cs="FZSSK--GBK1-00+ZBNFQT-26"/>
          <w:color w:val="000000" w:themeColor="text1"/>
          <w14:textFill>
            <w14:solidFill>
              <w14:schemeClr w14:val="tx1"/>
            </w14:solidFill>
          </w14:textFill>
        </w:rPr>
        <w:t>女王</w:t>
      </w:r>
      <w:r>
        <w:rPr>
          <w:rFonts w:hint="eastAsia" w:ascii="宋体" w:hAnsi="宋体" w:cs="FZSSK--GBK1-00+ZBNFQH-5"/>
          <w:color w:val="000000" w:themeColor="text1"/>
          <w14:textFill>
            <w14:solidFill>
              <w14:schemeClr w14:val="tx1"/>
            </w14:solidFill>
          </w14:textFill>
        </w:rPr>
        <w:t>不</w:t>
      </w:r>
      <w:r>
        <w:rPr>
          <w:rFonts w:hint="eastAsia" w:ascii="宋体" w:hAnsi="宋体" w:cs="FZSSK--GBK1-00+ZBNFQK-15"/>
          <w:color w:val="000000" w:themeColor="text1"/>
          <w14:textFill>
            <w14:solidFill>
              <w14:schemeClr w14:val="tx1"/>
            </w14:solidFill>
          </w14:textFill>
        </w:rPr>
        <w:t>久</w:t>
      </w:r>
      <w:r>
        <w:rPr>
          <w:rFonts w:hint="eastAsia" w:ascii="宋体" w:hAnsi="宋体" w:cs="SSJ4+ZBNFQG-1"/>
          <w:color w:val="000000" w:themeColor="text1"/>
          <w14:textFill>
            <w14:solidFill>
              <w14:schemeClr w14:val="tx1"/>
            </w14:solidFill>
          </w14:textFill>
        </w:rPr>
        <w:t>前</w:t>
      </w:r>
      <w:r>
        <w:rPr>
          <w:rFonts w:hint="eastAsia" w:ascii="宋体" w:hAnsi="宋体" w:cs="FZSSK--GBK1-00+ZBNFQJ-13"/>
          <w:color w:val="000000" w:themeColor="text1"/>
          <w14:textFill>
            <w14:solidFill>
              <w14:schemeClr w14:val="tx1"/>
            </w14:solidFill>
          </w14:textFill>
        </w:rPr>
        <w:t>责</w:t>
      </w:r>
      <w:r>
        <w:rPr>
          <w:rFonts w:hint="eastAsia" w:ascii="宋体" w:hAnsi="宋体" w:cs="FZSSK--GBK1-00+ZBNFQH-5"/>
          <w:color w:val="000000" w:themeColor="text1"/>
          <w14:textFill>
            <w14:solidFill>
              <w14:schemeClr w14:val="tx1"/>
            </w14:solidFill>
          </w14:textFill>
        </w:rPr>
        <w:t>问</w:t>
      </w:r>
      <w:r>
        <w:rPr>
          <w:rFonts w:hint="eastAsia" w:ascii="宋体" w:hAnsi="宋体" w:cs="FZSSK--GBK1-00+ZBNFQJ-13"/>
          <w:color w:val="000000" w:themeColor="text1"/>
          <w14:textFill>
            <w14:solidFill>
              <w14:schemeClr w14:val="tx1"/>
            </w14:solidFill>
          </w14:textFill>
        </w:rPr>
        <w:t>他</w:t>
      </w:r>
      <w:r>
        <w:rPr>
          <w:rFonts w:hint="eastAsia" w:ascii="宋体" w:hAnsi="宋体"/>
          <w:color w:val="000000" w:themeColor="text1"/>
          <w14:textFill>
            <w14:solidFill>
              <w14:schemeClr w14:val="tx1"/>
            </w14:solidFill>
          </w14:textFill>
        </w:rPr>
        <w:t>们</w:t>
      </w:r>
      <w:r>
        <w:rPr>
          <w:rFonts w:hint="eastAsia" w:ascii="宋体" w:hAnsi="宋体" w:cs="SSJ4+ZBNFQG-1"/>
          <w:color w:val="000000" w:themeColor="text1"/>
          <w14:textFill>
            <w14:solidFill>
              <w14:schemeClr w14:val="tx1"/>
            </w14:solidFill>
          </w14:textFill>
        </w:rPr>
        <w:t>为</w:t>
      </w:r>
      <w:r>
        <w:rPr>
          <w:rFonts w:hint="eastAsia" w:ascii="宋体" w:hAnsi="宋体" w:cs="FZSSK--GBK1-00+ZBNFQI-10"/>
          <w:color w:val="000000" w:themeColor="text1"/>
          <w14:textFill>
            <w14:solidFill>
              <w14:schemeClr w14:val="tx1"/>
            </w14:solidFill>
          </w14:textFill>
        </w:rPr>
        <w:t>什么</w:t>
      </w:r>
      <w:r>
        <w:rPr>
          <w:rFonts w:hint="eastAsia" w:ascii="宋体" w:hAnsi="宋体"/>
          <w:color w:val="000000" w:themeColor="text1"/>
          <w14:textFill>
            <w14:solidFill>
              <w14:schemeClr w14:val="tx1"/>
            </w14:solidFill>
          </w14:textFill>
        </w:rPr>
        <w:t>没</w:t>
      </w:r>
      <w:r>
        <w:rPr>
          <w:rFonts w:hint="eastAsia" w:ascii="宋体" w:hAnsi="宋体" w:cs="SSJ4+ZBNFQG-1"/>
          <w:color w:val="000000" w:themeColor="text1"/>
          <w14:textFill>
            <w14:solidFill>
              <w14:schemeClr w14:val="tx1"/>
            </w14:solidFill>
          </w14:textFill>
        </w:rPr>
        <w:t>有</w:t>
      </w:r>
      <w:r>
        <w:rPr>
          <w:rFonts w:hint="eastAsia" w:ascii="宋体" w:hAnsi="宋体"/>
          <w:color w:val="000000" w:themeColor="text1"/>
          <w14:textFill>
            <w14:solidFill>
              <w14:schemeClr w14:val="tx1"/>
            </w14:solidFill>
          </w14:textFill>
        </w:rPr>
        <w:t>一</w:t>
      </w:r>
      <w:r>
        <w:rPr>
          <w:rFonts w:hint="eastAsia" w:ascii="宋体" w:hAnsi="宋体" w:cs="SSJ4+ZBNFQG-1"/>
          <w:color w:val="000000" w:themeColor="text1"/>
          <w14:textFill>
            <w14:solidFill>
              <w14:schemeClr w14:val="tx1"/>
            </w14:solidFill>
          </w14:textFill>
        </w:rPr>
        <w:t>个</w:t>
      </w:r>
      <w:r>
        <w:rPr>
          <w:rFonts w:hint="eastAsia" w:ascii="宋体" w:hAnsi="宋体" w:cs="FZSSK--GBK1-00+ZBNFQH-8"/>
          <w:color w:val="000000" w:themeColor="text1"/>
          <w14:textFill>
            <w14:solidFill>
              <w14:schemeClr w14:val="tx1"/>
            </w14:solidFill>
          </w14:textFill>
        </w:rPr>
        <w:t>提</w:t>
      </w:r>
      <w:r>
        <w:rPr>
          <w:rFonts w:hint="eastAsia" w:ascii="宋体" w:hAnsi="宋体" w:cs="SSJ4+ZBNFQG-1"/>
          <w:color w:val="000000" w:themeColor="text1"/>
          <w14:textFill>
            <w14:solidFill>
              <w14:schemeClr w14:val="tx1"/>
            </w14:solidFill>
          </w14:textFill>
        </w:rPr>
        <w:t>出</w:t>
      </w:r>
      <w:r>
        <w:rPr>
          <w:rFonts w:hint="eastAsia" w:ascii="宋体" w:hAnsi="宋体"/>
          <w:color w:val="000000" w:themeColor="text1"/>
          <w14:textFill>
            <w14:solidFill>
              <w14:schemeClr w14:val="tx1"/>
            </w14:solidFill>
          </w14:textFill>
        </w:rPr>
        <w:t>预</w:t>
      </w:r>
      <w:r>
        <w:rPr>
          <w:rFonts w:hint="eastAsia" w:ascii="宋体" w:hAnsi="宋体" w:cs="FZSSK--GBK1-00+ZBNFQO-21"/>
          <w:color w:val="000000" w:themeColor="text1"/>
          <w14:textFill>
            <w14:solidFill>
              <w14:schemeClr w14:val="tx1"/>
            </w14:solidFill>
          </w14:textFill>
        </w:rPr>
        <w:t>警</w:t>
      </w:r>
      <w:r>
        <w:rPr>
          <w:rFonts w:hint="eastAsia" w:ascii="宋体" w:hAnsi="宋体" w:cs="SSJ4+ZBNFQG-1"/>
          <w:color w:val="000000" w:themeColor="text1"/>
          <w14:textFill>
            <w14:solidFill>
              <w14:schemeClr w14:val="tx1"/>
            </w14:solidFill>
          </w14:textFill>
        </w:rPr>
        <w:t>的</w:t>
      </w:r>
      <w:r>
        <w:rPr>
          <w:rFonts w:hint="eastAsia" w:ascii="宋体" w:hAnsi="宋体" w:cs="SSJ0+ZBNFQG-4"/>
          <w:color w:val="000000" w:themeColor="text1"/>
          <w14:textFill>
            <w14:solidFill>
              <w14:schemeClr w14:val="tx1"/>
            </w14:solidFill>
          </w14:textFill>
        </w:rPr>
        <w:t>。</w:t>
      </w:r>
    </w:p>
    <w:p w14:paraId="5F0B9D3D">
      <w:pPr>
        <w:autoSpaceDE w:val="0"/>
        <w:autoSpaceDN w:val="0"/>
        <w:adjustRightInd w:val="0"/>
        <w:spacing w:line="400" w:lineRule="exact"/>
        <w:ind w:firstLine="420" w:firstLineChars="200"/>
        <w:jc w:val="left"/>
        <w:rPr>
          <w:rFonts w:hint="eastAsia" w:ascii="宋体" w:hAnsi="宋体" w:cs="SSJ0+ZBNFQG-4"/>
          <w:color w:val="000000" w:themeColor="text1"/>
          <w14:textFill>
            <w14:solidFill>
              <w14:schemeClr w14:val="tx1"/>
            </w14:solidFill>
          </w14:textFill>
        </w:rPr>
      </w:pPr>
      <w:r>
        <w:rPr>
          <w:rFonts w:hint="eastAsia" w:ascii="宋体" w:hAnsi="宋体" w:cs="SSJ0+ZBNFQG-4"/>
          <w:color w:val="000000" w:themeColor="text1"/>
          <w14:textFill>
            <w14:solidFill>
              <w14:schemeClr w14:val="tx1"/>
            </w14:solidFill>
          </w14:textFill>
        </w:rPr>
        <w:t>（原载于《国外理论动态》2011年第12期）</w:t>
      </w:r>
      <w:r>
        <w:rPr>
          <w:rFonts w:hint="eastAsia" w:ascii="宋体" w:hAnsi="宋体" w:cs="SSJ0+ZBNFQG-4"/>
          <w:color w:val="000000" w:themeColor="text1"/>
          <w14:textFill>
            <w14:solidFill>
              <w14:schemeClr w14:val="tx1"/>
            </w14:solidFill>
          </w14:textFill>
        </w:rPr>
        <w:br w:type="page"/>
      </w:r>
    </w:p>
    <w:p w14:paraId="249C5685">
      <w:pPr>
        <w:pStyle w:val="3"/>
        <w:ind w:firstLine="640" w:firstLineChars="200"/>
        <w:outlineLvl w:val="1"/>
        <w:rPr>
          <w:rFonts w:hint="eastAsia" w:ascii="黑体" w:hAnsi="黑体"/>
          <w:color w:val="000000" w:themeColor="text1"/>
          <w14:textFill>
            <w14:solidFill>
              <w14:schemeClr w14:val="tx1"/>
            </w14:solidFill>
          </w14:textFill>
        </w:rPr>
      </w:pPr>
      <w:bookmarkStart w:id="1548" w:name="_Toc114057789"/>
      <w:bookmarkStart w:id="1549" w:name="_Toc27937"/>
      <w:bookmarkStart w:id="1550" w:name="_Toc1308637470"/>
      <w:bookmarkStart w:id="1551" w:name="_Toc177562849"/>
      <w:r>
        <w:rPr>
          <w:rFonts w:hint="eastAsia"/>
          <w:color w:val="000000" w:themeColor="text1"/>
          <w:lang w:val="en-US" w:eastAsia="zh-CN"/>
          <w14:textFill>
            <w14:solidFill>
              <w14:schemeClr w14:val="tx1"/>
            </w14:solidFill>
          </w14:textFill>
        </w:rPr>
        <w:t>19</w:t>
      </w:r>
      <w:r>
        <w:fldChar w:fldCharType="begin"/>
      </w:r>
      <w:r>
        <w:instrText xml:space="preserve"> HYPERLINK "file:///C:\\Users\\acher\\Desktop\\2011年\\2011年word.docx" \l "_Toc804" </w:instrText>
      </w:r>
      <w:r>
        <w:fldChar w:fldCharType="separate"/>
      </w:r>
      <w:r>
        <w:rPr>
          <w:rStyle w:val="19"/>
          <w:rFonts w:hint="eastAsia" w:ascii="黑体" w:hAnsi="黑体"/>
          <w:color w:val="000000" w:themeColor="text1"/>
          <w:u w:val="none"/>
          <w14:textFill>
            <w14:solidFill>
              <w14:schemeClr w14:val="tx1"/>
            </w14:solidFill>
          </w14:textFill>
        </w:rPr>
        <w:t>城市以公租房为主的“新住房策论”</w:t>
      </w:r>
      <w:bookmarkEnd w:id="1548"/>
      <w:r>
        <w:rPr>
          <w:rStyle w:val="19"/>
          <w:rFonts w:hint="eastAsia" w:ascii="黑体" w:hAnsi="黑体"/>
          <w:color w:val="000000" w:themeColor="text1"/>
          <w:u w:val="none"/>
          <w14:textFill>
            <w14:solidFill>
              <w14:schemeClr w14:val="tx1"/>
            </w14:solidFill>
          </w14:textFill>
        </w:rPr>
        <w:fldChar w:fldCharType="end"/>
      </w:r>
      <w:bookmarkEnd w:id="1549"/>
      <w:bookmarkEnd w:id="1550"/>
      <w:bookmarkEnd w:id="1551"/>
    </w:p>
    <w:p w14:paraId="4FFBD1B1">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住房问题是人类社会一个经久不衰的话题，马克思主义经典作家恩格斯早在1872－1873年就写下了著名的《论住宅问题》一书，提出了资产阶级无法根本解决住房上贫富对立和矛盾的基本观点。随着我国经济体制改革的深入，住房制度也经历了变革。近年来房价一路飙升，让许多城市劳动者望房兴叹，住房问题成为社会关注的焦点和热点之一。如何迅速解决我国的住房难题，不同专家学者提出了不同的解决方案。</w:t>
      </w:r>
    </w:p>
    <w:p w14:paraId="45E9FA7D">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党的十七届五中全会以来，胡锦涛总书记多次强调要加强“改革顶层设计”。国家对住房的调控不能仅仅着眼于就房价调控房价，而要有完整的住房政策体系和改革住房体制的“顶层设计”。我们这里提出的未来城市的住房目标模式及其调节措施，是秉承“顶层设计”这一方针和理念的。</w:t>
      </w:r>
    </w:p>
    <w:p w14:paraId="158347B3">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于住房的双重经济性质、房价收入比、平均利润及房价对CPI和GDP影响以及市场的负效应等相关理论，我们的基本政策思路是主张“以市场调节为基础，国家调节为主导”的双重调节机制，构建城市以“公租房为主，商品房和私租房为辅”的新格局，针对动态的不同群体提供不同的住房产品，从而妥善解决住房问题。</w:t>
      </w:r>
    </w:p>
    <w:p w14:paraId="18FD3254">
      <w:pPr>
        <w:spacing w:before="147" w:beforeLines="50" w:after="147" w:afterLines="50" w:line="400" w:lineRule="exact"/>
        <w:ind w:firstLine="480" w:firstLineChars="200"/>
        <w:jc w:val="center"/>
        <w:rPr>
          <w:rFonts w:hint="eastAsia" w:ascii="宋体" w:hAnsi="宋体"/>
          <w:b/>
          <w:color w:val="000000" w:themeColor="text1"/>
          <w14:textFill>
            <w14:solidFill>
              <w14:schemeClr w14:val="tx1"/>
            </w14:solidFill>
          </w14:textFill>
        </w:rPr>
      </w:pPr>
      <w:bookmarkStart w:id="1552" w:name="_Toc26809"/>
      <w:bookmarkEnd w:id="1552"/>
      <w:bookmarkStart w:id="1553" w:name="_Toc15511"/>
      <w:bookmarkEnd w:id="1553"/>
      <w:bookmarkStart w:id="1554" w:name="_Toc16696"/>
      <w:bookmarkEnd w:id="1554"/>
      <w:bookmarkStart w:id="1555" w:name="_Toc3647"/>
      <w:bookmarkEnd w:id="1555"/>
      <w:bookmarkStart w:id="1556" w:name="_Toc1016"/>
      <w:r>
        <w:rPr>
          <w:rFonts w:hint="eastAsia" w:ascii="宋体" w:hAnsi="宋体"/>
          <w:b/>
          <w:color w:val="000000" w:themeColor="text1"/>
          <w:sz w:val="24"/>
          <w:szCs w:val="24"/>
          <w14:textFill>
            <w14:solidFill>
              <w14:schemeClr w14:val="tx1"/>
            </w14:solidFill>
          </w14:textFill>
        </w:rPr>
        <w:t>一、</w:t>
      </w:r>
      <w:r>
        <w:rPr>
          <w:rFonts w:hint="eastAsia" w:ascii="宋体" w:hAnsi="宋体"/>
          <w:b/>
          <w:bCs/>
          <w:color w:val="000000" w:themeColor="text1"/>
          <w:kern w:val="28"/>
          <w:sz w:val="24"/>
          <w:szCs w:val="24"/>
          <w14:textFill>
            <w14:solidFill>
              <w14:schemeClr w14:val="tx1"/>
            </w14:solidFill>
          </w14:textFill>
        </w:rPr>
        <w:t>关于</w:t>
      </w:r>
      <w:r>
        <w:rPr>
          <w:rFonts w:hint="eastAsia" w:ascii="宋体" w:hAnsi="宋体"/>
          <w:b/>
          <w:color w:val="000000" w:themeColor="text1"/>
          <w:sz w:val="24"/>
          <w:szCs w:val="24"/>
          <w14:textFill>
            <w14:solidFill>
              <w14:schemeClr w14:val="tx1"/>
            </w14:solidFill>
          </w14:textFill>
        </w:rPr>
        <w:t>城市居民住房的若干理论</w:t>
      </w:r>
      <w:bookmarkEnd w:id="1556"/>
      <w:r>
        <w:rPr>
          <w:rFonts w:hint="eastAsia" w:ascii="宋体" w:hAnsi="宋体"/>
          <w:b/>
          <w:color w:val="000000" w:themeColor="text1"/>
          <w:sz w:val="24"/>
          <w:szCs w:val="24"/>
          <w14:textFill>
            <w14:solidFill>
              <w14:schemeClr w14:val="tx1"/>
            </w14:solidFill>
          </w14:textFill>
        </w:rPr>
        <w:tab/>
      </w:r>
    </w:p>
    <w:p w14:paraId="3F989DF6">
      <w:pPr>
        <w:ind w:firstLine="420" w:firstLineChars="200"/>
        <w:rPr>
          <w:rFonts w:hint="eastAsia" w:ascii="宋体" w:hAnsi="宋体"/>
          <w:b/>
          <w:color w:val="000000" w:themeColor="text1"/>
          <w14:textFill>
            <w14:solidFill>
              <w14:schemeClr w14:val="tx1"/>
            </w14:solidFill>
          </w14:textFill>
        </w:rPr>
      </w:pPr>
      <w:bookmarkStart w:id="1557" w:name="_Toc7986"/>
      <w:bookmarkEnd w:id="1557"/>
      <w:r>
        <w:rPr>
          <w:rFonts w:hint="eastAsia" w:ascii="宋体" w:hAnsi="宋体"/>
          <w:b/>
          <w:color w:val="000000" w:themeColor="text1"/>
          <w14:textFill>
            <w14:solidFill>
              <w14:schemeClr w14:val="tx1"/>
            </w14:solidFill>
          </w14:textFill>
        </w:rPr>
        <w:t>（一）住房的双重经济属性</w:t>
      </w:r>
    </w:p>
    <w:p w14:paraId="7FFF0228">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住房主要是基本生活必需品。吃穿住行用是人类赖以生存和发展的基础，不管穷人富人都离不开住房，人的一生当中至少一半以上的时间是在住房中度过的。“住有所居”自古以来就是人们的美好愿景。唐朝诗人杜甫就写出了“安得广厦千万间，大庇天下寒士俱欢颜”的千古名句。中国近代民主革命的先行者孙中山先生曾将民生问题概括为衣、食、住、行四要素。住房是位列民生问题的第三位。</w:t>
      </w:r>
    </w:p>
    <w:p w14:paraId="5AADFBBF">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联合国大会1948年的《世界人权宣言》第25条规定，“人人有权享受为维持他本人和家属的健康和福利所需要的生活水准包括食物、衣着、住房、医疗和必要的社会服务”。1996年联合国在伊斯坦布尔召开的第二届人类住区会议上通过的《人居议程》和《伊斯坦布尔人居宣言》提出两大奋斗目标之一也是“人人享有适当住房”。</w:t>
      </w:r>
    </w:p>
    <w:p w14:paraId="40CD96FD">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住房又具有投资品的性质。投资品是指购买后不需要追加新的使用价值，也不需要附加新价值即可择机出售获利（也可能亏损）的商品（孙继伟，2009）。从投资和投资品的概念可以看出，住房具有投资品的属性。住房是一种资产，这种资产可以保留、继承和转让。当人们购买了住房之后，可以用其出租也可择机出卖，获得收益，但住房又与纯投资品类（如股票、证券等）显然不同。我国目前住房投资性功能的突显，是因为解决老百姓住房问题时过度依赖市场化政策所造成的。</w:t>
      </w:r>
    </w:p>
    <w:p w14:paraId="256D560C">
      <w:pPr>
        <w:ind w:firstLine="420" w:firstLineChars="200"/>
        <w:rPr>
          <w:rFonts w:hint="eastAsia" w:ascii="宋体" w:hAnsi="宋体"/>
          <w:b/>
          <w:color w:val="000000" w:themeColor="text1"/>
          <w14:textFill>
            <w14:solidFill>
              <w14:schemeClr w14:val="tx1"/>
            </w14:solidFill>
          </w14:textFill>
        </w:rPr>
      </w:pPr>
      <w:bookmarkStart w:id="1558" w:name="_Toc3475"/>
      <w:bookmarkEnd w:id="1558"/>
      <w:r>
        <w:rPr>
          <w:rFonts w:hint="eastAsia" w:ascii="宋体" w:hAnsi="宋体"/>
          <w:b/>
          <w:color w:val="000000" w:themeColor="text1"/>
          <w14:textFill>
            <w14:solidFill>
              <w14:schemeClr w14:val="tx1"/>
            </w14:solidFill>
          </w14:textFill>
        </w:rPr>
        <w:t>（二）房价收入比</w:t>
      </w:r>
    </w:p>
    <w:p w14:paraId="6466BCDA">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房价收入比是指住房价格与居民家庭年收入之比。国际上通用的房价收入比的计算方式，是以住宅套价的中值，除以家庭年收入的中值。我国采用的是1997年世界银行的定义：平均住房价格与家庭收入平均数之比。</w:t>
      </w:r>
    </w:p>
    <w:p w14:paraId="7AAF69D2">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房价收入比指标用来衡量房价是否处于居民收入能够支撑的合理水平，它直接反映出房价水平与广大居民自住需求相匹配的程度，直接关系到民众的安居乐业。国际上普遍认为，房价收入比合理区间为3～6之间，超过6则说明居民购房的压力比较大。</w:t>
      </w:r>
    </w:p>
    <w:p w14:paraId="5FDF134A">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尽管目前对这一量化指标还存在争议，但世界上许多国家都在使用房价收入比。因为它是一个比较好的综合指标，而且现在还找不出比它更好的指标来代替它。特别是这个计算方法的依据，是住房消费占居民收入的比重应低于30%，这也是世界所公认的合理界限。因此，用房价收入比来衡量居民对房价的合理承受能力是有科学依据的。</w:t>
      </w:r>
    </w:p>
    <w:p w14:paraId="3EC71114">
      <w:pPr>
        <w:ind w:firstLine="420" w:firstLineChars="200"/>
        <w:rPr>
          <w:rFonts w:hint="eastAsia" w:ascii="宋体" w:hAnsi="宋体"/>
          <w:b/>
          <w:color w:val="000000" w:themeColor="text1"/>
          <w14:textFill>
            <w14:solidFill>
              <w14:schemeClr w14:val="tx1"/>
            </w14:solidFill>
          </w14:textFill>
        </w:rPr>
      </w:pPr>
      <w:bookmarkStart w:id="1559" w:name="_Toc244"/>
      <w:bookmarkEnd w:id="1559"/>
      <w:r>
        <w:rPr>
          <w:rFonts w:hint="eastAsia" w:ascii="宋体" w:hAnsi="宋体"/>
          <w:b/>
          <w:color w:val="000000" w:themeColor="text1"/>
          <w14:textFill>
            <w14:solidFill>
              <w14:schemeClr w14:val="tx1"/>
            </w14:solidFill>
          </w14:textFill>
        </w:rPr>
        <w:t>（三）不同行业的利润平均化理论</w:t>
      </w:r>
    </w:p>
    <w:p w14:paraId="7DE0ABD8">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根据政治经济学原理，由于不同行业的资本有机构成是不同的，相同的资本投资在不同行业所获得的利润不同，通过市场竞争，利润低的行业的资本会向利润高的行业流动，而利润高的行业由于资本的流入，造成供过于求，利润则下降。这样，通过市场机制的内在调节，在竞争性领域，不同行业的利润会趋于平均化。如果受政策性或垄断性影响，则这种利润平均化的机制会受到破坏，使资源达不到最优化的目标。因此，房地产行业的利润长期大大超过社会各行业的平均利润，是不利于国民经济按比例地又好又快发展的。</w:t>
      </w:r>
    </w:p>
    <w:p w14:paraId="2B4F6D92">
      <w:pPr>
        <w:ind w:firstLine="420" w:firstLineChars="200"/>
        <w:rPr>
          <w:rFonts w:hint="eastAsia" w:ascii="宋体" w:hAnsi="宋体"/>
          <w:b/>
          <w:color w:val="000000" w:themeColor="text1"/>
          <w14:textFill>
            <w14:solidFill>
              <w14:schemeClr w14:val="tx1"/>
            </w14:solidFill>
          </w14:textFill>
        </w:rPr>
      </w:pPr>
      <w:bookmarkStart w:id="1560" w:name="_Toc9465"/>
      <w:bookmarkEnd w:id="1560"/>
      <w:r>
        <w:rPr>
          <w:rFonts w:hint="eastAsia" w:ascii="宋体" w:hAnsi="宋体"/>
          <w:b/>
          <w:color w:val="000000" w:themeColor="text1"/>
          <w14:textFill>
            <w14:solidFill>
              <w14:schemeClr w14:val="tx1"/>
            </w14:solidFill>
          </w14:textFill>
        </w:rPr>
        <w:t>（四）房价变动对CPI和实际GDP的影响</w:t>
      </w:r>
    </w:p>
    <w:p w14:paraId="1C778E86">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消费者物价指数（CPI）是反映与居民生活有关的产品及劳务价格的物价变动指标，通常作为观察通货膨胀水平的重要指标。国内生产总值是指在一定时期内，一个国家或地区的经济中所生产出的全部最终产品和劳务的价值，有名义国内生产总值和实际国内生产总值之分。相关研究（张延群，2011）表明：“房价上涨对CPI通货膨胀率上升有显著的推动作用，而房价是否上升对实际GDP的影响并不明显。”因此，各地期望利用房价不断升高来拉动GDP的做法，是需要质疑的。</w:t>
      </w:r>
    </w:p>
    <w:p w14:paraId="5907A4AC">
      <w:pPr>
        <w:ind w:firstLine="420" w:firstLineChars="200"/>
        <w:rPr>
          <w:rFonts w:hint="eastAsia" w:ascii="宋体" w:hAnsi="宋体"/>
          <w:b/>
          <w:color w:val="000000" w:themeColor="text1"/>
          <w14:textFill>
            <w14:solidFill>
              <w14:schemeClr w14:val="tx1"/>
            </w14:solidFill>
          </w14:textFill>
        </w:rPr>
      </w:pPr>
      <w:bookmarkStart w:id="1561" w:name="_Toc20834"/>
      <w:bookmarkEnd w:id="1561"/>
      <w:r>
        <w:rPr>
          <w:rFonts w:hint="eastAsia" w:ascii="宋体" w:hAnsi="宋体"/>
          <w:b/>
          <w:color w:val="000000" w:themeColor="text1"/>
          <w14:textFill>
            <w14:solidFill>
              <w14:schemeClr w14:val="tx1"/>
            </w14:solidFill>
          </w14:textFill>
        </w:rPr>
        <w:t>（五）市场的负效应理论</w:t>
      </w:r>
    </w:p>
    <w:p w14:paraId="7274DA5D">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市场机制对资源配置的调节属于一种滞后性调节，必然会造成资源的浪费。如果放任自由市场调节，对于公共物品和准公共物品调节便会失效，不利于社会协调发展与和谐社会的构建。纯粹的市场调节在追求效率和公平两个方面都会出现严重问题。目前我国住房领域出现的问题，很大程度上就是因采取了自由放任的市场化政策所造成的。</w:t>
      </w:r>
    </w:p>
    <w:p w14:paraId="00F142E8">
      <w:pPr>
        <w:ind w:firstLine="420" w:firstLineChars="200"/>
        <w:rPr>
          <w:rFonts w:hint="eastAsia" w:ascii="宋体" w:hAnsi="宋体"/>
          <w:b/>
          <w:color w:val="000000" w:themeColor="text1"/>
          <w14:textFill>
            <w14:solidFill>
              <w14:schemeClr w14:val="tx1"/>
            </w14:solidFill>
          </w14:textFill>
        </w:rPr>
      </w:pPr>
      <w:bookmarkStart w:id="1562" w:name="_Toc2541"/>
      <w:bookmarkEnd w:id="1562"/>
      <w:r>
        <w:rPr>
          <w:rFonts w:hint="eastAsia" w:ascii="宋体" w:hAnsi="宋体"/>
          <w:b/>
          <w:color w:val="000000" w:themeColor="text1"/>
          <w14:textFill>
            <w14:solidFill>
              <w14:schemeClr w14:val="tx1"/>
            </w14:solidFill>
          </w14:textFill>
        </w:rPr>
        <w:t>（六）双重调节机制理论</w:t>
      </w:r>
    </w:p>
    <w:p w14:paraId="4C9D90F8">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基于上述理论，住房领域需要建立“以市场调节为基础、以国家调节为主导”的“基础―主导型”双重调节机制。一方面，发挥市场对资源配置的基础性作用，提高住房资源配置的效率和公平性；另一方面，要通过国家的有效调节，防止房价脱离广大居民的实际购买力，抑制其投资性功能的不适当扩大从而影响住房市场的健康发展，把住房更多复归到生活必需品的属性上来，让广大民众和弱势群体住有所居，维护社会的稳定和谐。</w:t>
      </w:r>
    </w:p>
    <w:p w14:paraId="1D52658F">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563" w:name="_Toc31056"/>
      <w:bookmarkEnd w:id="1563"/>
      <w:bookmarkStart w:id="1564" w:name="_Toc6887"/>
      <w:bookmarkEnd w:id="1564"/>
      <w:bookmarkStart w:id="1565" w:name="_Toc19363"/>
      <w:bookmarkEnd w:id="1565"/>
      <w:bookmarkStart w:id="1566" w:name="_Toc20837"/>
      <w:bookmarkEnd w:id="1566"/>
      <w:bookmarkStart w:id="1567" w:name="_Toc22515"/>
      <w:r>
        <w:rPr>
          <w:rFonts w:hint="eastAsia" w:ascii="宋体" w:hAnsi="宋体"/>
          <w:b/>
          <w:color w:val="000000" w:themeColor="text1"/>
          <w:sz w:val="24"/>
          <w:szCs w:val="24"/>
          <w14:textFill>
            <w14:solidFill>
              <w14:schemeClr w14:val="tx1"/>
            </w14:solidFill>
          </w14:textFill>
        </w:rPr>
        <w:t>二、构建和谐的城市居民住房目标模式</w:t>
      </w:r>
      <w:bookmarkEnd w:id="1567"/>
    </w:p>
    <w:p w14:paraId="116BEB1E">
      <w:pPr>
        <w:ind w:firstLine="420" w:firstLineChars="200"/>
        <w:rPr>
          <w:rFonts w:hint="eastAsia" w:ascii="宋体" w:hAnsi="宋体"/>
          <w:b/>
          <w:color w:val="000000" w:themeColor="text1"/>
          <w14:textFill>
            <w14:solidFill>
              <w14:schemeClr w14:val="tx1"/>
            </w14:solidFill>
          </w14:textFill>
        </w:rPr>
      </w:pPr>
      <w:bookmarkStart w:id="1568" w:name="_Toc26723"/>
      <w:bookmarkEnd w:id="1568"/>
      <w:r>
        <w:rPr>
          <w:rFonts w:hint="eastAsia" w:ascii="宋体" w:hAnsi="宋体"/>
          <w:b/>
          <w:color w:val="000000" w:themeColor="text1"/>
          <w14:textFill>
            <w14:solidFill>
              <w14:schemeClr w14:val="tx1"/>
            </w14:solidFill>
          </w14:textFill>
        </w:rPr>
        <w:t>（一）城市住房自有率不应过高</w:t>
      </w:r>
    </w:p>
    <w:p w14:paraId="7249AAA1">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住房自有率是指在所有居民居住单元中，拥有居住房屋产权的居住者的百分比。住房自有率＝（居住于自有产权的住房家庭户数／全部住房家庭户数）×100%。作为过去城市居民住房体制自有化和市场化改革的结果，目前我国住房自有率已超过80%。西方国家的住房自有率相对较低，住房的公有率则相对较高。比如，德国的住房自有率只有40%，大大低于英国（67%）、美国（65%）、法国（54%）、日本（61%）和意大利（70%）。住房投资是居民很大的一笔投资，考虑到战争因素和自然灾害对住房的破坏，住房自有率过高不利于对居民个人财产的保全。因为战争和自然灾害对居民个人财产的损害，政府是不负责赔偿的，而维护国家统一和反侵略战争又都需要广大人民的支持。另外，私有住房率过高，使得婚前婚后和遗产处理的矛盾极大，不利于和谐处理家庭婚姻关系。西方国家因年轻人结婚大都不拥有私有住房，基本没有我国当下家庭财产的普遍矛盾和男女两性冲突。可见，作为社会主义国家，政府对居民的住房问题理应承担更多的责任，因而公有住房的比率不宜过低，这样也更有利于政府较快解决我国中低收入家庭的住房问题，共享改革开放的成果与和谐社会的构建。</w:t>
      </w:r>
    </w:p>
    <w:p w14:paraId="47D02185">
      <w:pPr>
        <w:ind w:firstLine="420" w:firstLineChars="200"/>
        <w:rPr>
          <w:rFonts w:hint="eastAsia" w:ascii="宋体" w:hAnsi="宋体"/>
          <w:b/>
          <w:color w:val="000000" w:themeColor="text1"/>
          <w14:textFill>
            <w14:solidFill>
              <w14:schemeClr w14:val="tx1"/>
            </w14:solidFill>
          </w14:textFill>
        </w:rPr>
      </w:pPr>
      <w:bookmarkStart w:id="1569" w:name="_Toc22822"/>
      <w:bookmarkEnd w:id="1569"/>
      <w:r>
        <w:rPr>
          <w:rFonts w:hint="eastAsia" w:ascii="宋体" w:hAnsi="宋体"/>
          <w:b/>
          <w:color w:val="000000" w:themeColor="text1"/>
          <w14:textFill>
            <w14:solidFill>
              <w14:schemeClr w14:val="tx1"/>
            </w14:solidFill>
          </w14:textFill>
        </w:rPr>
        <w:t>（二）房价收入比应控制在居民能承受的范围之内</w:t>
      </w:r>
    </w:p>
    <w:p w14:paraId="03824374">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根据国外市场国家的经验数据，普遍认为家庭住房消费占可支配收入的30%以内为正常；如果超过30%，说明家庭购房压力较大，支付能力不足；如果超过50%，说明家庭购房压力巨大，居民购房支付能力严重不足。正是基于这一经验数据，联合国人类住区（生境）中心设计了房价收入比，用以衡量家庭的住房购买力和承受力。国际上一般认为，房价收入比落在3～6区间为正常。根据2010年国家统计局公布的数据，2009年我国城市人均家庭可支配收入17175元，三口之家的人均家庭可支配收入51525元，城市人均消费性支出是12265，城市家庭平均消费性支出是36795元。2009年住宅的平均售价是每平方米4459元，以一套中等面积90平方米的住房来计算，房价总值在401310元，首付三成，需120393元，按揭280917元，以20年计，需要支付的利息是147215.82元，这套房价的总额为548525.8元，年均还本付息27426.2元。据此测算，我国城市2009年的房价收入比为10.65，住房消费占可支配收入比重为53.23%，部分城市还大大超出这一水平。这远远高于国际认可的合理水平，也远远超出了居民的承受能力。过高的房价使得居民缩减其他方面的开支，导致其他方面的内需不足，影响到国民经济健康发展。</w:t>
      </w:r>
    </w:p>
    <w:p w14:paraId="06447473">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参考国际标准，并结合我国的实际情况，我们认为，国内城市的房价收入比控制在7以内比较合适。以2010年国家统计局公布的数据，如果房价收入比控制在6，那么2009年住宅的平均售价应是2512.11元。这样，以一套中等面积90平方米的住房来计算，房价总值为226090元，首付三成，需要67827元，其余按20年贷款158263元，需要支付的利息是82938元，这套房价的总额为309028元，年均还本付息15451.4元，占家庭平均可支配收入30%，首付通过5年左右时间积累完成，不会过分影响家庭日常生活需要的开支。可见，考虑到目前城市家庭的结构，并综合考虑工资增长机制，就全国而言，我国的房价收入比控制在7左右是比较合适的。这样既有利于解决老百姓的住房问题，不会产生因房价过高而导出的“挤出效应”，也有利于国民经济的持续健康发展。</w:t>
      </w:r>
    </w:p>
    <w:p w14:paraId="7D5A5815">
      <w:pPr>
        <w:ind w:firstLine="420" w:firstLineChars="200"/>
        <w:rPr>
          <w:rFonts w:hint="eastAsia" w:ascii="宋体" w:hAnsi="宋体"/>
          <w:b/>
          <w:color w:val="000000" w:themeColor="text1"/>
          <w14:textFill>
            <w14:solidFill>
              <w14:schemeClr w14:val="tx1"/>
            </w14:solidFill>
          </w14:textFill>
        </w:rPr>
      </w:pPr>
      <w:bookmarkStart w:id="1570" w:name="_Toc11227"/>
      <w:bookmarkEnd w:id="1570"/>
      <w:r>
        <w:rPr>
          <w:rFonts w:hint="eastAsia" w:ascii="宋体" w:hAnsi="宋体"/>
          <w:b/>
          <w:color w:val="000000" w:themeColor="text1"/>
          <w14:textFill>
            <w14:solidFill>
              <w14:schemeClr w14:val="tx1"/>
            </w14:solidFill>
          </w14:textFill>
        </w:rPr>
        <w:t>（三）行业利润不能过度超过平均利润的水平</w:t>
      </w:r>
    </w:p>
    <w:p w14:paraId="63C296B8">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房地产行业的利润不应过度高于平均利润，这样才有利于国民经济的健康发展。近几年我国房地产行业的利润到底有多高？虽然没有一个精确的统计，但综合第二次全国经济普查主要数据公报公布的数据，2006年财政部会计信息质量检查所反映的情况，以及胡润富豪排行榜等，大体可以判断房地产企业是一个获利过度的行业。</w:t>
      </w:r>
    </w:p>
    <w:p w14:paraId="645B3E8E">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drawing>
          <wp:anchor distT="0" distB="0" distL="114300" distR="114300" simplePos="0" relativeHeight="251704320" behindDoc="0" locked="0" layoutInCell="1" allowOverlap="0">
            <wp:simplePos x="0" y="0"/>
            <wp:positionH relativeFrom="column">
              <wp:align>left</wp:align>
            </wp:positionH>
            <wp:positionV relativeFrom="line">
              <wp:posOffset>0</wp:posOffset>
            </wp:positionV>
            <wp:extent cx="4905375" cy="990600"/>
            <wp:effectExtent l="0" t="0" r="22225" b="0"/>
            <wp:wrapSquare wrapText="bothSides"/>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a:xfrm>
                      <a:off x="0" y="0"/>
                      <a:ext cx="4905375" cy="990600"/>
                    </a:xfrm>
                    <a:prstGeom prst="rect">
                      <a:avLst/>
                    </a:prstGeom>
                    <a:noFill/>
                    <a:ln>
                      <a:noFill/>
                    </a:ln>
                  </pic:spPr>
                </pic:pic>
              </a:graphicData>
            </a:graphic>
          </wp:anchor>
        </w:drawing>
      </w:r>
      <w:r>
        <w:rPr>
          <w:rFonts w:hint="eastAsia" w:ascii="宋体" w:hAnsi="宋体"/>
          <w:color w:val="000000" w:themeColor="text1"/>
          <w14:textFill>
            <w14:solidFill>
              <w14:schemeClr w14:val="tx1"/>
            </w14:solidFill>
          </w14:textFill>
        </w:rPr>
        <w:t>2009年国家统计局公布的第二次全国经济普查数据显示，房地产业企业增长数是工业行业企业增长数的2.12倍，利润增长是工业企业的1.83倍（表1）。2006年11月财政部公布的一份会计信息质量检查公报，公布了对39个房地产开发企业的检查情况，这些企业会计报表反映的平均销售利润率为12.22%，而实际平均利润率高达26.79%，有的企业的实际利润率达到了57%。如果以自有资金来计算利润的话，比例还要更高。胡润中国富豪排行榜榜单中，2009年前10位中有6位是以房地产业为主业的，前100位中有49位涉及房地产业；2010年前10位中以房地产为主业的虽然只有2位，但涉及房地产业的仍有4家，前100位中以房地产为主业和涉及房地产的仍有41家。2011年，房地产行业在严厉调控背景下，前10位中以房地产为主业的又上升到4家，前50名中涉及房地产业的有29家。</w:t>
      </w:r>
    </w:p>
    <w:p w14:paraId="6E30A35C">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p>
    <w:p w14:paraId="3566E881">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社科院发布的2010年《国家竞争力蓝皮书——中国国家竞争力报告》也表明，中国近20年的经济增长并非靠产业结构升级换代来获得；而是依靠消耗资源和扩大投资，尤其是房地产业膨胀发展。正是房地产企业的高利润，近年来吸引不少非房地产的实体企业纷纷加入这一行业。随着更多有实力的企业进入，由于土地市场的垄断，地王便纷纷出现，这样又进一步推高房价，使住房问题严重化。另外，由于许多不是房地产的企业纷纷涉足房地产业，导致企业资金分散，经营注意力分散，企业创新力不够，因而严重影响了实体经济的健康发展。</w:t>
      </w:r>
    </w:p>
    <w:p w14:paraId="52CBBD0F">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可见，政府必须加强对房地产经济的调控，加大保障性住房的建设力度，把房地产企业的利润控制在合理的范围之内，才能有利于国民经济的健康发展，有利于广大老百姓安居乐业和社会主义和谐社会的构建。</w:t>
      </w:r>
    </w:p>
    <w:p w14:paraId="288CB44E">
      <w:pPr>
        <w:ind w:firstLine="420" w:firstLineChars="200"/>
        <w:rPr>
          <w:rFonts w:hint="eastAsia" w:ascii="宋体" w:hAnsi="宋体"/>
          <w:b/>
          <w:color w:val="000000" w:themeColor="text1"/>
          <w14:textFill>
            <w14:solidFill>
              <w14:schemeClr w14:val="tx1"/>
            </w14:solidFill>
          </w14:textFill>
        </w:rPr>
      </w:pPr>
      <w:bookmarkStart w:id="1571" w:name="_Toc12853"/>
      <w:bookmarkEnd w:id="1571"/>
      <w:r>
        <w:rPr>
          <w:rFonts w:hint="eastAsia" w:ascii="宋体" w:hAnsi="宋体"/>
          <w:b/>
          <w:color w:val="000000" w:themeColor="text1"/>
          <w14:textFill>
            <w14:solidFill>
              <w14:schemeClr w14:val="tx1"/>
            </w14:solidFill>
          </w14:textFill>
        </w:rPr>
        <w:t>（四）未来城市住房以公租房为主，商品房、私租房为辅</w:t>
      </w:r>
    </w:p>
    <w:p w14:paraId="73CA5164">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前几年，城市住房模式是以市场为主导或市场化来解决居民住房问题，保障性住房被忽视。即便所占比例不高的保障性住房，又以一次性出售的经济适用房和限价商品房为主，加上购买经济适用房、限价商品房的制度漏洞，这些保障性住房并未完全落到需要得到保障的低收入和最低收入家庭中，有一部分被中高收入的群体所购买，使得保障性住房并未真正发挥保障作用。为了纠正这种有缺陷的住房制度，未来和谐的城市居民住房目标模式应以“公租房为主，商品房和私租房为辅”。中等收入家庭和低收入家庭（含农民工）通过不同类型和标准的公租房来解决，高收入家庭住房可以通过市场化购房来解决，有特殊情况的家庭可以通过私租房来解决。其中，商品房一般应建在离市中心较远处，而公租房应该建在离市中心和工作中心较近处，以大幅度减少公共交通量和上下班时间。</w:t>
      </w:r>
    </w:p>
    <w:p w14:paraId="36A8CD2E">
      <w:pPr>
        <w:spacing w:before="147" w:beforeLines="50" w:after="147" w:afterLines="50" w:line="400" w:lineRule="exact"/>
        <w:ind w:firstLine="480" w:firstLineChars="200"/>
        <w:jc w:val="center"/>
        <w:rPr>
          <w:rFonts w:hint="eastAsia" w:ascii="宋体" w:hAnsi="宋体"/>
          <w:b/>
          <w:color w:val="000000" w:themeColor="text1"/>
          <w:sz w:val="24"/>
          <w:szCs w:val="24"/>
          <w14:textFill>
            <w14:solidFill>
              <w14:schemeClr w14:val="tx1"/>
            </w14:solidFill>
          </w14:textFill>
        </w:rPr>
      </w:pPr>
      <w:bookmarkStart w:id="1572" w:name="_Toc16469"/>
      <w:bookmarkEnd w:id="1572"/>
      <w:bookmarkStart w:id="1573" w:name="_Toc9661"/>
      <w:bookmarkEnd w:id="1573"/>
      <w:bookmarkStart w:id="1574" w:name="_Toc16443"/>
      <w:bookmarkEnd w:id="1574"/>
      <w:bookmarkStart w:id="1575" w:name="_Toc7015"/>
      <w:bookmarkEnd w:id="1575"/>
      <w:bookmarkStart w:id="1576" w:name="_Toc604"/>
      <w:r>
        <w:rPr>
          <w:rFonts w:hint="eastAsia" w:ascii="宋体" w:hAnsi="宋体"/>
          <w:b/>
          <w:color w:val="000000" w:themeColor="text1"/>
          <w:sz w:val="24"/>
          <w:szCs w:val="24"/>
          <w14:textFill>
            <w14:solidFill>
              <w14:schemeClr w14:val="tx1"/>
            </w14:solidFill>
          </w14:textFill>
        </w:rPr>
        <w:t>三、国家应相应采取的调节措施</w:t>
      </w:r>
      <w:bookmarkEnd w:id="1576"/>
    </w:p>
    <w:p w14:paraId="41D181EF">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国家对住房的调控不能仅限于房价，而要有健全的住房领域的法律法规体系，有完善的保障性住房的管理机构，对保障性住房政策要有长期周密的考虑和安排。</w:t>
      </w:r>
    </w:p>
    <w:p w14:paraId="4F798470">
      <w:pPr>
        <w:ind w:firstLine="420" w:firstLineChars="200"/>
        <w:rPr>
          <w:rFonts w:hint="eastAsia" w:ascii="宋体" w:hAnsi="宋体"/>
          <w:b/>
          <w:color w:val="000000" w:themeColor="text1"/>
          <w14:textFill>
            <w14:solidFill>
              <w14:schemeClr w14:val="tx1"/>
            </w14:solidFill>
          </w14:textFill>
        </w:rPr>
      </w:pPr>
      <w:bookmarkStart w:id="1577" w:name="_Toc17407"/>
      <w:bookmarkEnd w:id="1577"/>
      <w:r>
        <w:rPr>
          <w:rFonts w:hint="eastAsia" w:ascii="宋体" w:hAnsi="宋体"/>
          <w:b/>
          <w:color w:val="000000" w:themeColor="text1"/>
          <w14:textFill>
            <w14:solidFill>
              <w14:schemeClr w14:val="tx1"/>
            </w14:solidFill>
          </w14:textFill>
        </w:rPr>
        <w:t>（一）迅速搞好公租房建设，让所有城市劳动者居有其屋</w:t>
      </w:r>
    </w:p>
    <w:p w14:paraId="6934B940">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制定《住房保障法》，并以相关法律法规约束各级政府在公租房建设及运行中的相关义务和权利，尤其是依法建立完善的居民收入考核机制、公租房的承租条件和退出机制。要根据不同城市的经济社会发展状况，对收入群体和工龄进行划分，不同的收入层次和工龄对应可承租不同档次的公租房。收入达到高一层次时，应退出低档租金的公租房，进入租金高一档次的公租房。要考虑公租房建设运行成本，调动有能力的家庭自行解决住房的积极性。对不生育者要实行超过生育者的优惠住房政策，以利于较快提高人均住房水平。</w:t>
      </w:r>
    </w:p>
    <w:p w14:paraId="34EAA750">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公租房的建设要根据各个城市的经济实力和居民的收入状况，划分为若干个档次，分别在建筑面积、建设成本和舒适度上有所不同。例如，分别为40、70、100、130、160平方米等建筑面积。不同套型和档次的建筑成本不同，租金也不同。建筑档次越高，租金越向市场化租金靠拢。此外，小套型的公租房（如50平方米）在设计上应该考虑到将来可以相互打通，由两套小套型的住房变成一套大套型的住房，以便适应将来经济社会发展对居住条件改善的需要。</w:t>
      </w:r>
    </w:p>
    <w:p w14:paraId="3C4B299B">
      <w:pPr>
        <w:ind w:firstLine="420" w:firstLineChars="200"/>
        <w:rPr>
          <w:rFonts w:hint="eastAsia" w:ascii="宋体" w:hAnsi="宋体"/>
          <w:b/>
          <w:color w:val="000000" w:themeColor="text1"/>
          <w14:textFill>
            <w14:solidFill>
              <w14:schemeClr w14:val="tx1"/>
            </w14:solidFill>
          </w14:textFill>
        </w:rPr>
      </w:pPr>
      <w:bookmarkStart w:id="1578" w:name="_Toc21220"/>
      <w:bookmarkEnd w:id="1578"/>
      <w:r>
        <w:rPr>
          <w:rFonts w:hint="eastAsia" w:ascii="宋体" w:hAnsi="宋体"/>
          <w:b/>
          <w:color w:val="000000" w:themeColor="text1"/>
          <w14:textFill>
            <w14:solidFill>
              <w14:schemeClr w14:val="tx1"/>
            </w14:solidFill>
          </w14:textFill>
        </w:rPr>
        <w:t>（二）加强对商品性住房市场的调控</w:t>
      </w:r>
    </w:p>
    <w:p w14:paraId="649585F6">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高收入以上的城市家庭，其可支配收入高于平均水平，其住房问题自我解决的能力强，因而这部分家庭的住房问题通过市场来完成。高收入家庭的生活成本支付能力强，因此，商品性住房应该建在远郊。</w:t>
      </w:r>
    </w:p>
    <w:p w14:paraId="45117BF8">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高收入家庭的住房虽然主要靠市场调节，但必须有国家的调控。第一，我国是人多地少的国家，按2010年中国统计年鉴的数据，耕地面积只有18.26亿亩，逼近18亿亩耕地红线，人均耕地面积失守1.4亩，只有1.37亩，但目前耕地数量仍逐年减少，保护耕地面积的任务非常艰巨。因此，新开工建设的商品住房单套面积必须严格按照目前国家的规定，90平方米以内要占到70%，以后视各地情况变化应另行修订。第二，这几年某些地方的房价高飞猛进与各类炒房团不无关系。因此，各地政府早就应该出台对本地和外地居民购房的限制性政策，已经出台的政策今后应视情况继续完善。第三，商品房和保障性住房的价格是紧密相关的。一方面，商品房的价格越高，买不起房的人就越多，需要保障性住房的人就越多，反之则相反；另一方面，政府提供的保障性住房越多，就越能抑制商品房的价格上涨。对此，各级政府可以视不同时期和不同城市来加以调节。第四，要防止货币升值及过剩的国内资本，尤其是国际资本冲击房地产市场。日本房地产泡沫破裂的原因很多，但与大量国际资本进入日本的房地产业，刺激了房价上涨不无关系。目前，西方国家逼迫我国人民币升值，与当年美国、联邦德国、法国、英国与日本签订的“广场协议”有相似的情况。因此，应密切加以监控和限制。</w:t>
      </w:r>
    </w:p>
    <w:p w14:paraId="7836ABDE">
      <w:pPr>
        <w:ind w:firstLine="420" w:firstLineChars="200"/>
        <w:rPr>
          <w:rFonts w:hint="eastAsia" w:ascii="宋体" w:hAnsi="宋体"/>
          <w:b/>
          <w:color w:val="000000" w:themeColor="text1"/>
          <w14:textFill>
            <w14:solidFill>
              <w14:schemeClr w14:val="tx1"/>
            </w14:solidFill>
          </w14:textFill>
        </w:rPr>
      </w:pPr>
      <w:bookmarkStart w:id="1579" w:name="_Toc11421"/>
      <w:bookmarkEnd w:id="1579"/>
      <w:r>
        <w:rPr>
          <w:rFonts w:hint="eastAsia" w:ascii="宋体" w:hAnsi="宋体"/>
          <w:b/>
          <w:color w:val="000000" w:themeColor="text1"/>
          <w14:textFill>
            <w14:solidFill>
              <w14:schemeClr w14:val="tx1"/>
            </w14:solidFill>
          </w14:textFill>
        </w:rPr>
        <w:t>（三）制定《住房租赁法》，促进住房租赁市场的健康发展</w:t>
      </w:r>
    </w:p>
    <w:p w14:paraId="418D8DE6">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私人租赁市场是解决我国住房问题的重要组成部分。但是，长期以来，我国住房市场“重买轻租”，租赁市场发展滞后，缺乏监管，租赁市场不规范。房屋出租者随意终止承租合同或提价，中介不规范操作等不利于租赁市场健康发展的现象普遍存在。这导致许多人提前进入购房行列，从而推高商品房价格。为了规范住房租赁市场，使住房租赁市场健康发展，政府应该制定《住房租赁法》，法律要对租赁合同的签订、期限、解除、出租人和承租人权利义务等进行全面规定，核心侧重于强调对承租人权利的保护。</w:t>
      </w:r>
    </w:p>
    <w:p w14:paraId="2BB45475">
      <w:pPr>
        <w:ind w:firstLine="420" w:firstLineChars="200"/>
        <w:rPr>
          <w:rFonts w:hint="eastAsia" w:ascii="宋体" w:hAnsi="宋体"/>
          <w:b/>
          <w:color w:val="000000" w:themeColor="text1"/>
          <w14:textFill>
            <w14:solidFill>
              <w14:schemeClr w14:val="tx1"/>
            </w14:solidFill>
          </w14:textFill>
        </w:rPr>
      </w:pPr>
      <w:bookmarkStart w:id="1580" w:name="_Toc27368"/>
      <w:bookmarkEnd w:id="1580"/>
      <w:r>
        <w:rPr>
          <w:rFonts w:hint="eastAsia" w:ascii="宋体" w:hAnsi="宋体"/>
          <w:b/>
          <w:color w:val="000000" w:themeColor="text1"/>
          <w14:textFill>
            <w14:solidFill>
              <w14:schemeClr w14:val="tx1"/>
            </w14:solidFill>
          </w14:textFill>
        </w:rPr>
        <w:t>（四）对现有空置房和闲置房进行调控</w:t>
      </w:r>
    </w:p>
    <w:p w14:paraId="51530ADB">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国家应尽快开展一次全国性住房普查，摸清我国住房的家底，并参照其他国家的有关经验，对空置房和闲置房分别采取不同政策措施，促使其出租或出售。</w:t>
      </w:r>
    </w:p>
    <w:p w14:paraId="383AA177">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空置房是指开发商已经建好并在两年内未租售的住房。截至2008年12月末，全国商品房空置面积1.64亿平方米，同比增长21.8%，增幅比1-11月提高6.5个百分点。其中，空置商品住宅9069万平方米，同比增长32.3%，增幅提高9.4个百分点。对于空置房，政府应该制定相应的政策，促使其在一到两年内卖出去或者租出去，同时设法确保开发商约有10%-15%的净利润。对于没有出租和出售的空置房，政府应依据新的政策和法律法规，征收高于当地租金的空置费。这是因为，对空置房主要是促使其出售，让捂盘无利可图，要把捂盘所获得的利润以费用的形式征收。费比较灵活，税比较固定。因为不同时期的捂盘获得的利润差别较大，所以可征收空置费。征收标准，按高于捂盘期间这套房子出租时能够获得租金来征收，因为房价越高，租金一般也越高。</w:t>
      </w:r>
    </w:p>
    <w:p w14:paraId="26009A54">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闲置房是指已出售但超过一定期限没有人入住的住房。世界各国对闲置房都进行严格调控管理，以避免资源浪费。荷兰法律允许人们人住闲置一年以上的住房。瑞典政府为了遏制闲置房数量上升趋势，除了加强租赁服务外，甚至将无人居住的住房推倒。在德国，业主必须使空房得到重新利用，在房屋闲置率超过10%的市镇，当地政府还会推倒那些无法出租的住房。法国的一些城市中，房屋闲置的第一年，业主必须缴纳的罚金为房款的10%，第二年为12.5%，第三年为15%，以此类推。丹麦政府则在50多年前就开始对那些闲置6周以上房屋的所有者进行罚款。在美国亚特兰大，在边远地区租房者不仅不用付房租，还能因为租住在偏远地区而得到补偿。在该城市一些地区，甚至还有业主出钱让人租住其房屋以逃避因房屋闲置而面临的处罚（美国的克利夫兰和巴尔的摩等城市也会将空置房推倒）。参照有关国际经验，我国对闲置房也应该进行严格的调控。这是因为，闲置房浪费了有限的土地资源，造成对资源占有的不公平，进一步拉大了贫富差距，对构建和谐社会带来了负面影响。为了节约资源，盘活存量住房，对于闲置房，我国政府应该通过征收闲置税或其他相关手段来加以调节，促使其出租或出售。闲置税应该按闲置年限采用累进税率征收，闲置时间越长，税率越高。</w:t>
      </w:r>
    </w:p>
    <w:p w14:paraId="4325E8A9">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外国更多是针对闲置房的政策，而较少有空置房的严重问题。国内理论界对空置房和闲置房这两个概念常混用。依据有关统计资料，我国现存的各类空置房和空闲房已有数千万套，与近几年的城市住房总需求大体相同，因而一旦实行这一新政，可以很快在住房总量上达到供求平衡，各地政府只需要拾遗补缺地建造一些公租房即可，从而解决政府大量建造公租房的资金问题和抑制房价上升的难题。</w:t>
      </w:r>
    </w:p>
    <w:p w14:paraId="071033FA">
      <w:pPr>
        <w:ind w:firstLine="420" w:firstLineChars="200"/>
        <w:rPr>
          <w:rFonts w:hint="eastAsia" w:ascii="宋体" w:hAnsi="宋体"/>
          <w:b/>
          <w:color w:val="000000" w:themeColor="text1"/>
          <w14:textFill>
            <w14:solidFill>
              <w14:schemeClr w14:val="tx1"/>
            </w14:solidFill>
          </w14:textFill>
        </w:rPr>
      </w:pPr>
      <w:bookmarkStart w:id="1581" w:name="_Toc29070"/>
      <w:bookmarkEnd w:id="1581"/>
      <w:r>
        <w:rPr>
          <w:rFonts w:hint="eastAsia" w:ascii="宋体" w:hAnsi="宋体"/>
          <w:b/>
          <w:color w:val="000000" w:themeColor="text1"/>
          <w14:textFill>
            <w14:solidFill>
              <w14:schemeClr w14:val="tx1"/>
            </w14:solidFill>
          </w14:textFill>
        </w:rPr>
        <w:t>（五）对与上下辈同住或住在其附近的公租房申请者和商品房购买者，分别制定优惠政策</w:t>
      </w:r>
    </w:p>
    <w:p w14:paraId="1D403A9C">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据国家人口计生委2003年预测，按总和生育率1.7计算，2010年中国65岁以上老年人口将占总人口的8.29%（按第六次全国人口普查公布的数据，2010年我国65岁的老人已占人口总数的8.87%，绝对数量为1.19亿人），2020年将占11.98%，2030年将占16.68%，2040年将占22.56%，2050年将占24.41%。从绝对数量来看，2010年中国65岁以上老年人口已达到1.19亿，2020年将增加到1.72亿，2030年将增加到2.42亿，2040年将增加到3.24亿人，2050年将增加到3.46亿人。因此，除了社会养老的模式以外，如何从住房政策上促进“以家为根”的家庭养老模式，将成为我国政府一件大事。</w:t>
      </w:r>
    </w:p>
    <w:p w14:paraId="284DC1B1">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为了形成父母与子女能经常当面交流和相互照顾的和谐家庭格局，在新形势下弘扬我国尊老爱幼的传统美德，应分别制定与上辈或下辈（可规定年龄界限）同住或者住在其附近（可规定距离界限）的公租房申请者和商品房购买者的优惠政策。新加坡在这方面的经验值得借鉴。比如，“新加坡政府就通过提供优先选择权的方式，鼓励多代同堂。建屋局有15%的新建组屋是用来鼓励多代同堂而建的。同时还特意设计建造了三间一套和一间一套的相连组屋，既方便照顾老人，又能保证子女有自己的私生活。政策上，有倾斜的‘购屋津贴计划’和‘已婚子女优先计划’。‘购屋津贴计划’规定，第一次申购组屋者，若在公开市场购买一间靠近父母或者自己子女的组屋，可获得四万新元的购屋津贴。‘已婚子女优先计划’则规定，如果已婚子女在‘抽签购屋计划’和‘预购组屋计划’下申请组屋以便与父母同住或住附近，将比其他申请者多一倍的机会抽中。”</w:t>
      </w:r>
    </w:p>
    <w:p w14:paraId="0CF1DE5F">
      <w:pPr>
        <w:ind w:firstLine="420" w:firstLineChars="200"/>
        <w:rPr>
          <w:rFonts w:hint="eastAsia" w:ascii="宋体" w:hAnsi="宋体"/>
          <w:b/>
          <w:color w:val="000000" w:themeColor="text1"/>
          <w14:textFill>
            <w14:solidFill>
              <w14:schemeClr w14:val="tx1"/>
            </w14:solidFill>
          </w14:textFill>
        </w:rPr>
      </w:pPr>
      <w:r>
        <w:rPr>
          <w:rFonts w:hint="eastAsia" w:ascii="宋体" w:hAnsi="宋体"/>
          <w:b/>
          <w:color w:val="000000" w:themeColor="text1"/>
          <w14:textFill>
            <w14:solidFill>
              <w14:schemeClr w14:val="tx1"/>
            </w14:solidFill>
          </w14:textFill>
        </w:rPr>
        <w:t>（六）加强对商品房开发程序及合同的管理和完善</w:t>
      </w:r>
    </w:p>
    <w:p w14:paraId="5127BC6D">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商品性住房的国有土地使用权以招标、拍卖、挂牌方式出让。国家对其调控主要是防止囤地、捂盘惜售、哄抬房价等扰乱房地产市场的行为。对于其通过招拍挂方式获得的国有土地使用权，必须严格按照《闲置土地处置办法》、《中华人民共和国城市房地产管理法》、《国有土地使用权出让合同》、《国有土地使用权出让合同补充协议》的相关规定，按照合同约定日期动工建设并在约定的时间完成工程建设。对于未及时开工建设，或已开发建设面积占建设总面积比例不足1/3，或已投资额占总投资额不足25%，且未经批准中止开发建设连续满一年的，应按上限征收土地闲置费。同时，应该按合同约定的时间完成工程建设，未及时完成工程建设的应按土地增殖的价格缴纳延期完工溢价款。开发完成的住房必须在规定的时间完成销售，未在规定时间完成销售的，延期归还银行贷款的上浮银行利率10%。今后，随着住房供需矛盾的缓和，商品房开发商的自有资金比例等这类制度需要从严掌握和改进。</w:t>
      </w:r>
    </w:p>
    <w:p w14:paraId="31E43BE6">
      <w:pPr>
        <w:ind w:firstLine="420" w:firstLineChars="200"/>
        <w:rPr>
          <w:rFonts w:hint="eastAsia" w:ascii="宋体" w:hAnsi="宋体"/>
          <w:b/>
          <w:color w:val="000000" w:themeColor="text1"/>
          <w14:textFill>
            <w14:solidFill>
              <w14:schemeClr w14:val="tx1"/>
            </w14:solidFill>
          </w14:textFill>
        </w:rPr>
      </w:pPr>
      <w:bookmarkStart w:id="1582" w:name="_Toc3805"/>
      <w:bookmarkEnd w:id="1582"/>
      <w:r>
        <w:rPr>
          <w:rFonts w:hint="eastAsia" w:ascii="宋体" w:hAnsi="宋体"/>
          <w:b/>
          <w:color w:val="000000" w:themeColor="text1"/>
          <w14:textFill>
            <w14:solidFill>
              <w14:schemeClr w14:val="tx1"/>
            </w14:solidFill>
          </w14:textFill>
        </w:rPr>
        <w:t>（七）取消商品房预售制度</w:t>
      </w:r>
    </w:p>
    <w:p w14:paraId="63773E0B">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根据《城市商品房预售管理办法》定义，商品房预售是指房地产开发企业将正在建设中的房屋预先出售给承购人，由承购人支付定金或房价款的行为。我国商品房预售制度是一个历史的产物，适应了一个特定历史时期住房市场发展的需要，曾为我国住房市场发展和繁荣做出过一定贡献，但也留下了许多弊端，越来越成为住房市场健康发展的障碍，现已没有存在的必要。</w:t>
      </w:r>
    </w:p>
    <w:p w14:paraId="75667203">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一是商品房预售制度已失去了存在的经济条件。商品房预售制度最初是为了解决我国住房制度改革初期房地产开发企业资金不足、商品房供应不足的问题而设立的。随着经济条件的变化，目前房地产企业资金和住房的供应问题都已不存在。就开发资金而言，房地产企业经过10多年井喷式的发展，已积累了不少的资金。况且，还有大量的内资闲置，外汇储备也很充足。取消预售制度，打击的是那些空手套白狼的皮包公司或资金不足的公司，不会对有实力的房地产企业产生影响。另外，目前我国有大量的商品房空置和闲置，不存在当初供不应求的问题。取消预售制度，影响的是住房投机者，对自住用户不会产生实质性的影响。</w:t>
      </w:r>
    </w:p>
    <w:p w14:paraId="2F40E170">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二是取消预售制度，有助于减少住房交易产生的纠纷。由于预售制度卖的是期房，开发商与购房人的信息不对称，难免有先天的制度缺陷，由此产生一系列纠纷。譬如，可能导致建房质量、面积缩水、结构改变、社区不配套、一房多售、预售款挪作他用、延期交房、甚至烂尾楼现象的出现等问题，不一而足。取消预售，购房人购买的是实在的有居住功能的商品，其各种问题都容易搞清和谈判，从而减少不必要的社会纠纷和闹事。</w:t>
      </w:r>
    </w:p>
    <w:p w14:paraId="5DB583CE">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三是取消预售制度，有助于控制房价。预售制度让开发商从购房入手中收取了大量预购房资金，使开发商不需要支付任何成本就获得了大量的流动资金。这样，开发商就可能延期住房上市，待价而沽，从而推高房价。取消预售制度以后，开发商的资金只有自有资金和银行贷款两部分组成，银行贷款是有偿使用的，需要支付利息。为了减少资金使用成本，加速流动资金回收，减少资金使用成本，开发商就会加快开发进度，加速商品房的上市来回流资金，从而有利于控制商品房价格。</w:t>
      </w:r>
    </w:p>
    <w:p w14:paraId="0B26681F">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四是取消预售制度，可以避免隐性风险。过去房地产开发商自有资金所占的比例较少，开发资金主要是预售款和银行信贷。但房地产业是一个周期长、资金密集和有较高风险的行业，受政策或其他因素的影响很大。要是停止开发，就会出现“烂尾楼”这样的现象，而此时房地产开发商已通过预售制度，把风险转嫁到了购房人和银行的身上。取消预售制度，开发商就必须增加自有资金，那些资质差或靠空手套白狼的企业自然淘汰出局，同时还能有效防止企业把资金中途转移到其他项目开发上，有效防止中途卷款而逃和烂尾楼的出现，避免隐性风险的显性化。</w:t>
      </w:r>
    </w:p>
    <w:p w14:paraId="76A45497">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目前，预售制度所存在的有些弊端，政府管理部门已经意识到了，并试图通过第三方账户集中管理预售资金来解决部分问题。对预售款进行集中管理有积极的一面，一定程度上约束了开发商使用预售款的条件和范围。不过，这项新措施难以全面解决问题，并且增加了管理成本和监督成本。</w:t>
      </w:r>
    </w:p>
    <w:p w14:paraId="39C1EA58">
      <w:pPr>
        <w:ind w:firstLine="420" w:firstLineChars="200"/>
        <w:rPr>
          <w:rFonts w:hint="eastAsia" w:ascii="宋体" w:hAnsi="宋体"/>
          <w:b/>
          <w:color w:val="000000" w:themeColor="text1"/>
          <w14:textFill>
            <w14:solidFill>
              <w14:schemeClr w14:val="tx1"/>
            </w14:solidFill>
          </w14:textFill>
        </w:rPr>
      </w:pPr>
      <w:bookmarkStart w:id="1583" w:name="_Toc25016"/>
      <w:bookmarkEnd w:id="1583"/>
      <w:r>
        <w:rPr>
          <w:rFonts w:hint="eastAsia" w:ascii="宋体" w:hAnsi="宋体"/>
          <w:b/>
          <w:color w:val="000000" w:themeColor="text1"/>
          <w14:textFill>
            <w14:solidFill>
              <w14:schemeClr w14:val="tx1"/>
            </w14:solidFill>
          </w14:textFill>
        </w:rPr>
        <w:t>（八）深化土地、财政、金融、公租房和所有制等制度的配套改革</w:t>
      </w:r>
    </w:p>
    <w:p w14:paraId="74B72478">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依据2009年中央经济工作会议的精神，房地产业已经不再作为“国民经济的支柱产业”。因而，总体应改变和减少从政策层面“照顾”房地产行业市场化和过度扩张的措施。</w:t>
      </w:r>
    </w:p>
    <w:p w14:paraId="7C15AFAE">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住房与土地是紧密联系在一起的。住房是土地的附着物，不改变目前地方政府的土地财政现状，便难以解决住房问题，公租房的建设也不可能取得突破性的进展。土地制度改革重点应该是改变目前一元化的土地市场，在保证耕地面积不减少的前提下，使国有土地和集体土地平等进入土地市场。重点保障公租房土地供应，并从商品性住房和商业用房土地出让收入中，确定用于公租房建设的比例。</w:t>
      </w:r>
    </w:p>
    <w:p w14:paraId="30015C77">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多渠道筹集公租房建设资金和后续维修资金。公租房建设资金主要来源应该是国家财政划拨、租金收入、商品房土地出让金和商业土地出让金等。根据公租房的“重庆模式”及其经验，公租房建设用地由政府划拨，免征行政事业性收费和相关税费，由重庆地产集团等国企承建，不让私人开发商开发，其建设资金和后续维修资金等都能有效保证。</w:t>
      </w:r>
    </w:p>
    <w:p w14:paraId="4915C584">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此外，共产党执政的中国特色社会主义模式不应模仿资产阶级执政模式，即不宜把竞争性的高盈利领域完全让给非公企业，不应让公有经济专干一些盈利性很差的领域和为非公经济服务而成为其补充。因此，国有经济和集体经济应在利润率较高和保障性较强的住房领域保持主导地位，真正藏富于广大人民和代表人民的国家，而非极少数私人。</w:t>
      </w:r>
    </w:p>
    <w:p w14:paraId="3DDB0977">
      <w:pPr>
        <w:widowControl/>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总而言之，城市住房问题是涉及广大老百姓的一个非常重要的民生问题。国家必须树立起以人为本和民生导向的住房发展思路，并制定科学有效的住房目标模式及其国家调控政策，这样才能在短期与长期相结合的基础上，真正解决城市住房领域存在的问题，让所有的城市劳动者住有所居并不断改善。</w:t>
      </w:r>
    </w:p>
    <w:p w14:paraId="41B08AA4">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（原载《财贸经济》2</w:t>
      </w:r>
      <w:r>
        <w:rPr>
          <w:rFonts w:ascii="宋体" w:hAnsi="宋体"/>
          <w:color w:val="000000" w:themeColor="text1"/>
          <w14:textFill>
            <w14:solidFill>
              <w14:schemeClr w14:val="tx1"/>
            </w14:solidFill>
          </w14:textFill>
        </w:rPr>
        <w:t>011</w:t>
      </w:r>
      <w:r>
        <w:rPr>
          <w:rFonts w:hint="eastAsia" w:ascii="宋体" w:hAnsi="宋体"/>
          <w:color w:val="000000" w:themeColor="text1"/>
          <w14:textFill>
            <w14:solidFill>
              <w14:schemeClr w14:val="tx1"/>
            </w14:solidFill>
          </w14:textFill>
        </w:rPr>
        <w:t>年第1</w:t>
      </w:r>
      <w:r>
        <w:rPr>
          <w:rFonts w:ascii="宋体" w:hAnsi="宋体"/>
          <w:color w:val="000000" w:themeColor="text1"/>
          <w14:textFill>
            <w14:solidFill>
              <w14:schemeClr w14:val="tx1"/>
            </w14:solidFill>
          </w14:textFill>
        </w:rPr>
        <w:t>2</w:t>
      </w:r>
      <w:r>
        <w:rPr>
          <w:rFonts w:hint="eastAsia" w:ascii="宋体" w:hAnsi="宋体"/>
          <w:color w:val="000000" w:themeColor="text1"/>
          <w14:textFill>
            <w14:solidFill>
              <w14:schemeClr w14:val="tx1"/>
            </w14:solidFill>
          </w14:textFill>
        </w:rPr>
        <w:t>期，第二作者为钟卫华。）</w:t>
      </w:r>
    </w:p>
    <w:p w14:paraId="6B76F510">
      <w:pPr>
        <w:widowControl/>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s="A9+cajcd fnta1"/>
          <w:b/>
          <w:bCs/>
          <w:color w:val="000000" w:themeColor="text1"/>
          <w14:textFill>
            <w14:solidFill>
              <w14:schemeClr w14:val="tx1"/>
            </w14:solidFill>
          </w14:textFill>
        </w:rPr>
        <w:br w:type="page"/>
      </w:r>
    </w:p>
    <w:p w14:paraId="5EB0742E">
      <w:pPr>
        <w:pStyle w:val="3"/>
        <w:ind w:firstLine="640" w:firstLineChars="200"/>
        <w:outlineLvl w:val="1"/>
        <w:rPr>
          <w:rFonts w:hint="eastAsia" w:ascii="黑体" w:hAnsi="黑体"/>
          <w:color w:val="000000" w:themeColor="text1"/>
          <w14:textFill>
            <w14:solidFill>
              <w14:schemeClr w14:val="tx1"/>
            </w14:solidFill>
          </w14:textFill>
        </w:rPr>
      </w:pPr>
      <w:bookmarkStart w:id="1584" w:name="_Toc114057790"/>
      <w:bookmarkStart w:id="1585" w:name="_Toc19571"/>
      <w:bookmarkStart w:id="1586" w:name="_Toc1889929363"/>
      <w:bookmarkStart w:id="1587" w:name="_Toc1444017460"/>
      <w:r>
        <w:rPr>
          <w:rFonts w:ascii="黑体" w:hAnsi="黑体"/>
          <w:color w:val="000000" w:themeColor="text1"/>
          <w14:textFill>
            <w14:solidFill>
              <w14:schemeClr w14:val="tx1"/>
            </w14:solidFill>
          </w14:textFill>
        </w:rPr>
        <w:t>2</w:t>
      </w:r>
      <w:r>
        <w:rPr>
          <w:rFonts w:hint="eastAsia" w:ascii="黑体" w:hAnsi="黑体"/>
          <w:color w:val="000000" w:themeColor="text1"/>
          <w:lang w:val="en-US" w:eastAsia="zh-CN"/>
          <w14:textFill>
            <w14:solidFill>
              <w14:schemeClr w14:val="tx1"/>
            </w14:solidFill>
          </w14:textFill>
        </w:rPr>
        <w:t>0</w:t>
      </w:r>
      <w:r>
        <w:rPr>
          <w:rFonts w:ascii="黑体" w:hAnsi="黑体"/>
          <w:color w:val="000000" w:themeColor="text1"/>
          <w14:textFill>
            <w14:solidFill>
              <w14:schemeClr w14:val="tx1"/>
            </w14:solidFill>
          </w14:textFill>
        </w:rPr>
        <w:t>马列主义及其中国化理论的科学实践</w:t>
      </w:r>
      <w:bookmarkStart w:id="1588" w:name="_Toc19080"/>
      <w:r>
        <w:rPr>
          <w:rFonts w:ascii="黑体" w:hAnsi="黑体"/>
          <w:color w:val="000000" w:themeColor="text1"/>
          <w14:textFill>
            <w14:solidFill>
              <w14:schemeClr w14:val="tx1"/>
            </w14:solidFill>
          </w14:textFill>
        </w:rPr>
        <w:t>——谈重庆经验与模式</w:t>
      </w:r>
      <w:bookmarkEnd w:id="1584"/>
      <w:bookmarkEnd w:id="1585"/>
      <w:bookmarkEnd w:id="1586"/>
      <w:bookmarkEnd w:id="1587"/>
      <w:bookmarkEnd w:id="1588"/>
    </w:p>
    <w:p w14:paraId="5F1171FA">
      <w:pPr>
        <w:autoSpaceDE w:val="0"/>
        <w:adjustRightInd w:val="0"/>
        <w:spacing w:line="400" w:lineRule="exact"/>
        <w:ind w:firstLine="420" w:firstLineChars="200"/>
        <w:rPr>
          <w:rFonts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摘要]从中国共产党的执政经验来看，重庆经验与模式是马列主义及其中国化理论的实践本地化；是中国共产党前60年的优良传统与后30年的科学发展精神的有机结合；倡导为人民服务、共同富裕的宗旨和价值观，始终保持党同人民群众的血肉联系。从中国特色社会主义五大建设来看，重庆经济建设以民生共富为导向，政治建设以民主高效为导向，文化建设以红色文化为导向，社会建设以平安和谐为导向，生态建设以森林低碳为导向。它为不断完善中国特色社会主义理论和实践，全面落实科学发展观，提供了一种案例和示范。</w:t>
      </w:r>
    </w:p>
    <w:p w14:paraId="059B503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[关键词]马列主义；马列主义中国化；党的建设；中国特色社会主义；重庆经验与模式</w:t>
      </w:r>
    </w:p>
    <w:p w14:paraId="123C235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[中图分类号]D61[文献标识码]A[文章编号]1005-8273(2011)12-0001-08</w:t>
      </w:r>
    </w:p>
    <w:p w14:paraId="65B3F2E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p>
    <w:p w14:paraId="5E8A310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庆经验与模式是中国共产党领导改革开放的“十大经验”的典型体现，既体现了中国特色社会主义道路的共性，蕴含中国模式的精髓，又具有鲜明的重庆个性，彰显了巴渝气派；对执政党经受四种考验(执政考验、改革开放考验、市场经济考验和外部环境考验)，化解四种危险(精神懈怠的危险、能力不足的危险、脱离群众的危险和消极腐败的危险)，突破我国在科学发展中普遍存在的瓶颈，提供了开创性的思路和经验，是中国特色社会主义和落实科学发展观的较成功的典范。本文拟从中国共产党的执政经验和马列主义及其中国化理论的高度，对重庆的经验与模式进行研究与分析。</w:t>
      </w:r>
    </w:p>
    <w:p w14:paraId="251C0571">
      <w:pPr>
        <w:spacing w:before="147" w:beforeLines="50" w:after="147" w:afterLines="50" w:line="400" w:lineRule="exact"/>
        <w:ind w:firstLine="480" w:firstLineChars="200"/>
        <w:jc w:val="center"/>
        <w:rPr>
          <w:rFonts w:hint="eastAsia" w:ascii="宋体" w:hAnsi="宋体"/>
          <w:color w:val="000000" w:themeColor="text1"/>
          <w14:textFill>
            <w14:solidFill>
              <w14:schemeClr w14:val="tx1"/>
            </w14:solidFill>
          </w14:textFill>
        </w:rPr>
      </w:pPr>
      <w:bookmarkStart w:id="1589" w:name="_Toc26578"/>
      <w:bookmarkEnd w:id="1589"/>
      <w:bookmarkStart w:id="1590" w:name="_Toc27792"/>
      <w:bookmarkEnd w:id="1590"/>
      <w:bookmarkStart w:id="1591" w:name="_Toc3679"/>
      <w:bookmarkEnd w:id="1591"/>
      <w:bookmarkStart w:id="1592" w:name="_Toc29116"/>
      <w:bookmarkEnd w:id="1592"/>
      <w:bookmarkStart w:id="1593" w:name="_Toc26108"/>
      <w:r>
        <w:rPr>
          <w:rFonts w:hint="eastAsia" w:ascii="宋体" w:hAnsi="宋体"/>
          <w:b/>
          <w:color w:val="000000" w:themeColor="text1"/>
          <w:sz w:val="24"/>
          <w:szCs w:val="24"/>
          <w14:textFill>
            <w14:solidFill>
              <w14:schemeClr w14:val="tx1"/>
            </w14:solidFill>
          </w14:textFill>
        </w:rPr>
        <w:t>一、从中国共产党的执政经验探究重庆经验与模式</w:t>
      </w:r>
      <w:bookmarkEnd w:id="1593"/>
    </w:p>
    <w:p w14:paraId="0A6E2B3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共产党之所以能永葆先进性，一个重要原因就是善于总结自身的历史经验。毛泽东总结出中国共产党在中国革命中克敌制胜的三大法宝：统一战线、武装斗争、党的建设。邓小平反复强调，毛泽东倡导的“群众路线和实事求是”是我们党的传家宝。江泽民在党的十六大报告中提出关于新时期党建的“十条经验”。[1](pp.444-446)胡锦涛在十六届四中全会通过的决定中，论述党执政55年的“六条经验”；[1](pp.547-548)在党的十七大报告中提出改革开放29年的“十个结合”基本经验；[1](p.731)在《在庆祝中国共产党成立90周年大会上的讲话》中，总结保持和发展马克思主义政党先进性的“四条根本经验”。[2]从中国共产党的执政经验观察重庆经验与模式，至少可以概括为三个特征和内涵：</w:t>
      </w:r>
    </w:p>
    <w:p w14:paraId="5AD9DB2D">
      <w:pPr>
        <w:ind w:firstLine="420" w:firstLineChars="200"/>
        <w:rPr>
          <w:rFonts w:hint="eastAsia" w:ascii="宋体" w:hAnsi="宋体"/>
          <w:color w:val="000000" w:themeColor="text1"/>
          <w14:textFill>
            <w14:solidFill>
              <w14:schemeClr w14:val="tx1"/>
            </w14:solidFill>
          </w14:textFill>
        </w:rPr>
      </w:pPr>
      <w:bookmarkStart w:id="1594" w:name="_Toc1367"/>
      <w:bookmarkEnd w:id="1594"/>
      <w:r>
        <w:rPr>
          <w:rFonts w:hint="eastAsia" w:ascii="宋体" w:hAnsi="宋体"/>
          <w:color w:val="000000" w:themeColor="text1"/>
          <w14:textFill>
            <w14:solidFill>
              <w14:schemeClr w14:val="tx1"/>
            </w14:solidFill>
          </w14:textFill>
        </w:rPr>
        <w:t>第一，重庆经验与模式是马列主义及其中国化理论的本地化实践。</w:t>
      </w:r>
    </w:p>
    <w:p w14:paraId="18AA1EF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建党90年来，波浪式的发展历程告诉我们，中国共产党人坚信马列主义基本原理是颠扑不破的科学真理，坚信马列主义必须随着实践发展而不断丰富和发展，从来不把马列主义看成是空洞、僵硬、刻板的教条。马列主义的理论源泉是实践，发展依据是实践，检验标准也是实践。在历史上的一些时期，我们党曾经犯过错误，甚至遇到严重挫折，其根本原因就在于当时的某些指导思想脱离了中国实际。我们党能够依靠自己和人民的力量纠正错误，在挫折中奋起，继续胜利前进，其根本原因就在于具有实事求是和自我批评的精神，不断丰富和发展马列主义及其中国化理论。</w:t>
      </w:r>
    </w:p>
    <w:p w14:paraId="53053C97">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改革开放以来，我们党坚持实事求是，把马列主义和毛泽东思想的基本原理和理论精神同当代中国实际和时代特征相结合，构成了“根源于马列，开始于毛泽东，形成于邓小平，丰富于江泽民、胡锦涛，然后继续丰富发展”</w:t>
      </w:r>
      <w:r>
        <w:rPr>
          <w:rFonts w:hint="eastAsia" w:ascii="宋体" w:hAnsi="宋体"/>
          <w:color w:val="000000" w:themeColor="text1"/>
          <w14:textFill>
            <w14:solidFill>
              <w14:schemeClr w14:val="tx1"/>
            </w14:solidFill>
          </w14:textFill>
        </w:rPr>
        <w:tab/>
      </w:r>
      <w:r>
        <w:rPr>
          <w:rFonts w:hint="eastAsia" w:ascii="宋体" w:hAnsi="宋体"/>
          <w:color w:val="000000" w:themeColor="text1"/>
          <w14:textFill>
            <w14:solidFill>
              <w14:schemeClr w14:val="tx1"/>
            </w14:solidFill>
          </w14:textFill>
        </w:rPr>
        <w:t>(简称“源于马、始于毛、成于邓、丰于后”)的中国特色社会主义理论体系，是世界上一条最亮丽的思想轨迹和理论景象。其中，科学发展观既坚持了唯物史观关于经济社会发展的一般规律，又体现出鲜明的中国特色，实现了坚持马列主义基本原理与推进马列主义中国化的高度统一。辩证唯物的发展观要求人们在具体工作中，必须解放思想、实事求是、与时俱进、求真务实，一切从实际出发。</w:t>
      </w:r>
    </w:p>
    <w:p w14:paraId="462FFD8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庆市委、市政府不是把马克思主义作为简单的口号，而是深入把握马克思主义的世界观和方法论，始终坚持把马克思主义基本原理、中央精神同中国国情、地区区情结合起来，精心分析问题，认真解决问题，实现了马列主义及其中国化理论的实践本地化。其成功源于坚持了“一切从实际出发”和“具体问题具体分析”的马克思主义精髓。</w:t>
      </w:r>
    </w:p>
    <w:p w14:paraId="631A77C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科学发展观强调，要协调区域发展存在的不平衡，突破行政区划界限，形成若干带动力强、联系紧密的经济圈和经济带。为此，2007年3月,胡锦涛总书记为重庆作出了“314”总体部署,要求成为长江上游经济中心、西部增长极和城乡统筹的直辖市。重庆市委、市政府在全面落实科学发展观，坚决贯彻“314”总体部署的过程中，坚持从重庆大城市、大农村、大山区等实际出发，注重具体问题具体分析，努力缩小城乡、区域、贫富三个差距，积极探索民生导向的发展路子；通过森林、畅通、平安、健康、宜居等“五个重庆”建设，改善发展环境；实施“民生10条”和“共富12条”，建设“两江新区”和两路寸滩保税港区、西永综合保税区，打造内陆开放高地；实施“两翼”农户万元增收计划、户籍制度改革，大规模建设公共租赁房；加强和创新社会管理，开展“唱红打黑”、大下访等工作，经济社会步入了科学、健康发展的快车道。重庆全面转变对内对外发展方式，受到海内外进步舆论的广泛赞誉。其创新性实践，符合我党一贯提倡的，要把党中央的精神同本地和本单位的具体情况相结合，并进行创造性工作的方针，是马列主义及其中国化理论在重庆的良好运用。</w:t>
      </w:r>
    </w:p>
    <w:p w14:paraId="3085AF8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第二，重庆经验与模式是中国共产党前60年的优良传统与后30年的科学发展精神的有机结合。</w:t>
      </w:r>
    </w:p>
    <w:p w14:paraId="0380D1F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共产党前60年的优良传统，在中国人民革命和建设的实践及毛泽东思想中得到了充分体现。毛泽东思想是马克思主义在中国的运用和发展，系统回答了在一个半殖民地半封建的东方大国，如何实现新民主主义革命和社会主义革命的问题，并对建设什么样的社会主义、怎样建设社会主义进行了艰辛探索，为马列主义理论宝库增添了新的思想财富，以及以正面为主的运用经验。</w:t>
      </w:r>
    </w:p>
    <w:p w14:paraId="00C72D8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共产党后30年的科学发展精神，集中体现在改革开放的实践中国特色社会主义理论体系中。中国特色社会主义理论体系是包括邓小平理论、“三个代表”重要思想以及科学发展观等重大战略思想在内的科学理论体系，系统回答了在中国这样一个十几亿人口的发展中大国建设什么样的社会主义、怎样建设社会主义，建设什么样的党、怎样建设党，实现什么样的发展、怎样发展等一系列重大问题，是对毛泽东思想的继承和发展。</w:t>
      </w:r>
    </w:p>
    <w:p w14:paraId="44431E4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中国共产党前60年的优良传统与后30年的科学发展精神的有机结合，在重庆得到了显著的坚持与发展。其重要经验是“三三制”。</w:t>
      </w:r>
    </w:p>
    <w:p w14:paraId="68131C5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一，注重强化“三大基础”。通过加快农村改革，建设社会主义新农村，来巩固工农联盟的基础；通过保障工人阶级的利益，引导其自觉的阶级觉悟，来强化党的阶级基础；通过在非公企业中不断建立健全党的组织，引导非公人士对党的认同感，来扩大党的群众基础。</w:t>
      </w:r>
    </w:p>
    <w:p w14:paraId="216F3DB1">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其二，深入推进“三项制度”建设。即基层党组织书记每周一次接待群众制度；基层党组织班子成员每年两次进家入户走访群众制度；群众意见定期处理反馈制度。</w:t>
      </w:r>
    </w:p>
    <w:p w14:paraId="1160E34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三，扎实开展“三项活动”。一是大下访、大走访。近年来，20万名干部走访群众近100万次，解决各类矛盾纠纷11万余件，200多万群众直接受益，群众信访总件次和总人次大幅度下降；二是“三进三同”。“三进”是进基层、进农村、进农户，“三同”是与农民同吃、同住、同劳动；三是通过帮扶财物和送脱贫致富项目“结穷亲”。</w:t>
      </w:r>
    </w:p>
    <w:p w14:paraId="718BF90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这些制度和措施的效果表明，必须全面完整地理解、运用和创新建党90年的有益经验，而不应当用后30年的经验去否定前60年的优良传统和行之有效的做法(包括大学生学工学农等)。当前，执政党及其政府只有真正站在工农知等劳动者立场上，协调包括劳资关系在内的各种利益关系，才能提高党和政府的威信；基层党建工作在工作内容与工作形式上必须把传承与创新结合起来，党员干部必须以身作则，真正起到先锋模范作用；面对上访和闹事等众多社会矛盾和难题，单靠强力部门和信访部门，难以防微杜渐地解决问题，还要发扬党的优良传统，重庆“干部多下访，群众少上访”，便是一条有效经验。</w:t>
      </w:r>
    </w:p>
    <w:p w14:paraId="5050F5B1">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第三，重庆经验与模式倡导为人民服务、共同富裕的宗旨和价值观，始终保持党同人民群众的血肉联系。</w:t>
      </w:r>
    </w:p>
    <w:p w14:paraId="4E53F8C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为人民服务是党的根本宗旨，密切联系群众是党的优良作风。90年来党的发展历程表明，来自人民、植根人民、服务人民，是我们党永远立于不败之地的根本。毛泽东指出：“为什么人的问题,是一个根本的问题、原则的问题。”邓小平指出：“把人民群众拥护不拥护，满意不满意，赞成不赞成，高兴不高兴，答应不答应作为一切工作的出发点。”胡锦涛在庆祝建党90周年大会的讲话中指出：“以人为本、执政为民是我们党的性质和全心全意为人民服务根本宗旨的集中体现，是指引、评价、检验我们党一切执政活动的最高标准。全党同志必须牢记，密切联系群众是我们党的最大政治优势，脱离群众是我们党执政后的最大危险”，[2]并再次强调要坚定不移地走共同富裕道路。走共同富裕道路，是党的为人民服务根本宗旨的集中体现，是中国特色社会主义的本质特征，也是实现科学发展、社会和谐的内在要求。</w:t>
      </w:r>
    </w:p>
    <w:p w14:paraId="0A10D80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庆市委书记薄熙来多次强调，密切联系群众，是我们党克敌制胜的法宝。要求各级领导干部转变作风，都要眼睛向下，动起来，跑下去，实实在在为人民服务。重庆经验与模式牢牢把握全心全意为人民服务这一党的根本宗旨和以人为本的科学发展观的核心这一精髓，并以此为立足点，把为人民服务与以人为本结合起来，解决了各项发展为什么人的问题和人民拥护不拥护这一关键问题，从而化解了“脱离群众的危险”。这充分体现了马克思主义政党永葆先进性的特点：坚持为了人民、依靠人民，诚心诚意为人民谋利益，从人民群众中汲取智慧和力量，始终保持党同人民群众的血肉联系。其中，“五个重庆”建设，切实改善民生，满足了群众衣食住行的需要；“打黑除恶”，交巡警平台建设，加强了警民联系，提高了群众的安全感；机关干部“大下访”、“三进三同”、落实“三项制度”，维护群众切身利益，改善了党风、政风。“十大民生工程”，想得细、措施实，是实实在在的惠民工程。</w:t>
      </w:r>
    </w:p>
    <w:p w14:paraId="14C11581">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庆经验与模式把执政为民与共同富裕结合起来，努力体现社会主义的最大优越性。中共重庆市委三届九次全委会决定，把缩小三个差距作为贯彻落实“主题、主线”的重要突破口，走民生路，念共富经，努力促进共同富裕。促进共同富裕要求坚持“共建、共享、共富”，着力解决效率与公平相脱节、城乡资源要素配置不协调、基本公共服务不均等问题，团结带领全市人民在构建增长极、经济中心和内陆开放高地中同步缩小三个差距，建成全面小康社会。“共富12条”条条紧扣缩小贫富差距，其中明确规定，普通职工的收入变动要与企业的高管收入、劳动生产率、净利润率和本地消费价格挂钩，实行同步变动，从而在全国率先解决了市场经济条件下如何维护劳动者收入正常增长的合法权益和发展成果如何分享的难题。</w:t>
      </w:r>
    </w:p>
    <w:p w14:paraId="4CB3F12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这种务实行为和有效措施，着眼于人民群众的生活质量和整体经济社会环境，以群众的实际感受为最高评价标准，必然促使重庆居民幸福感等多项经济社会指标排在全国前列，使党的宗旨和价值观得到贯彻，真正密切了党群关系和干群关系。</w:t>
      </w:r>
    </w:p>
    <w:p w14:paraId="0B9A6BAE">
      <w:pPr>
        <w:spacing w:before="147" w:beforeLines="50" w:after="147" w:afterLines="50" w:line="400" w:lineRule="exact"/>
        <w:ind w:firstLine="480" w:firstLineChars="200"/>
        <w:jc w:val="center"/>
        <w:rPr>
          <w:rFonts w:hint="eastAsia" w:ascii="宋体" w:hAnsi="宋体"/>
          <w:color w:val="000000" w:themeColor="text1"/>
          <w14:textFill>
            <w14:solidFill>
              <w14:schemeClr w14:val="tx1"/>
            </w14:solidFill>
          </w14:textFill>
        </w:rPr>
      </w:pPr>
      <w:bookmarkStart w:id="1595" w:name="_Toc25507"/>
      <w:bookmarkEnd w:id="1595"/>
      <w:bookmarkStart w:id="1596" w:name="_Toc20609"/>
      <w:bookmarkEnd w:id="1596"/>
      <w:bookmarkStart w:id="1597" w:name="_Toc27155"/>
      <w:bookmarkEnd w:id="1597"/>
      <w:bookmarkStart w:id="1598" w:name="_Toc7682"/>
      <w:bookmarkEnd w:id="1598"/>
      <w:bookmarkStart w:id="1599" w:name="_Toc19946"/>
      <w:r>
        <w:rPr>
          <w:rFonts w:hint="eastAsia" w:ascii="宋体" w:hAnsi="宋体"/>
          <w:b/>
          <w:color w:val="000000" w:themeColor="text1"/>
          <w:sz w:val="24"/>
          <w:szCs w:val="24"/>
          <w14:textFill>
            <w14:solidFill>
              <w14:schemeClr w14:val="tx1"/>
            </w14:solidFill>
          </w14:textFill>
        </w:rPr>
        <w:t>二、从中国特色社会主义五大建设探究重庆经验与模式</w:t>
      </w:r>
      <w:bookmarkEnd w:id="1599"/>
    </w:p>
    <w:p w14:paraId="6F5DD80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党的建设理论经历了从“两个文明”、“三个文明”再到“四个文明”、“五个文明”的发展完善过程。重庆在五个文明建设方面都有创意。</w:t>
      </w:r>
    </w:p>
    <w:p w14:paraId="5679CECA">
      <w:pPr>
        <w:ind w:firstLine="420" w:firstLineChars="200"/>
        <w:rPr>
          <w:rFonts w:hint="eastAsia" w:ascii="宋体" w:hAnsi="宋体"/>
          <w:color w:val="000000" w:themeColor="text1"/>
          <w14:textFill>
            <w14:solidFill>
              <w14:schemeClr w14:val="tx1"/>
            </w14:solidFill>
          </w14:textFill>
        </w:rPr>
      </w:pPr>
      <w:bookmarkStart w:id="1600" w:name="_Toc22374"/>
      <w:bookmarkEnd w:id="1600"/>
      <w:r>
        <w:rPr>
          <w:rFonts w:hint="eastAsia" w:ascii="宋体" w:hAnsi="宋体"/>
          <w:color w:val="000000" w:themeColor="text1"/>
          <w14:textFill>
            <w14:solidFill>
              <w14:schemeClr w14:val="tx1"/>
            </w14:solidFill>
          </w14:textFill>
        </w:rPr>
        <w:t>第一，以民生共富为导向的经济建设。</w:t>
      </w:r>
    </w:p>
    <w:p w14:paraId="220436E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物质资料的生产是人类最基本的实践活动，是人类生存和社会发展的基础。马克思指出：“物质生活的生产方式制约着整个社会生活、政治生活和精神生活的过程。不是人们的意识决定人们的存在，相反，是人们的社会存在决定人们的意识。”[3](p.32)生产力是人类社会发展的根本动力。我们党是以中国先进生产力发展要求的代表登上历史舞台的。党的一切工作，归根到底都是为了解放和发展社会生产力，不断改善人民生活。经济建设是发展中国特色社会主义的中心任务，走中国特色社会主义道路，必须促进国民经济又好又快发展，进一步增强我国经济实力，并让广大城乡劳动人民分享改革发展的成果，逐步地实现合乎不同时期和不同水平的共同富裕。</w:t>
      </w:r>
    </w:p>
    <w:p w14:paraId="2836D6DB">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庆率先提出走民生共富为导向的发展之路，就是把“改善民生、缩小差别、共同富裕”，既作为发展的目的，也作为发展的动力，推动经济社会良性互动。这符合科学发展观强调当前要把人民群众的切身利益作为一切工作的出发点和落脚点，把保障和改善民生作为构建社会主义和谐社会的群众基础。</w:t>
      </w:r>
    </w:p>
    <w:p w14:paraId="767B0425">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从2010年6月至2012年底，重庆决定投入3000亿元，办好10件民生大事：一是建设4000万平方米公租房，解决70多万户中低收入群众住房困难；二是实施万元增收工程，使非市中心区的“两翼”95%有劳动能力的农户三年增收万元以上；三是森林覆盖率达到40%，城区绿化率达到35%，建成国家森林城市、生态园林城市、环保模范城市；四是在重庆中小学、幼儿园配备校警，建成500个交巡警平台，提升群众安全指数；五是提前实现重庆农村养老保险全覆盖，使300多万农村老人老有所养；六是培养照顾好130万农村留守儿童，解除外出务工群众后顾之忧；七是以解决农民工户口为突破，推进户籍制度改革；八是医疗资源向基层倾斜，让群众看病方便、治病便宜，实现全市40个区县1169个政府办基层医疗机构，实行基本药物“零利润”销售；九是通过财政补助等措施，发展6万家微型企业，新增30万个就业岗位；十是深入开展“三进三同”、“结穷亲”、“大下访”，深化“三项制度”，倾听群众心声，解决群众困难，化解社会矛盾。</w:t>
      </w:r>
    </w:p>
    <w:p w14:paraId="24538F8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邓小平指出：“共同致富，我们从改革一开始就讲，将来总有一天要成为中心课题。……如果搞两极分化，情况就不同了，民族矛盾、区域间矛盾、阶级矛盾都会发展，相应地中央和地方的矛盾也会发展，就可能出乱子。”[4](p.1324)近年来，重庆高度重视中国特色社会主义建设的这一重要理论和方针，率先提出和探索一条解决发展之后如何实现“缩差共富”这个“中心课题”的新路径。2011年1月召开的重庆“两会”正式将缩小贫富差距写入“十二五”规划，并提出未来5年，将通过深化收入分配改革，统筹城乡、协调区域发展等一系列举措，把衡量社会贫富差距的指标之一——基尼系数由0.42降到0.35。2011年7月，重庆市委三届九次全委会专题研究缩小贫富、城乡、区域三个差距和促进共同富裕的工作，决定到2015年底投入1万亿元，办好12件“共富”大事：一是新增330万个就业岗位，发展微型企业15万家，个体工商户增加到150万家，有效增加普通劳动者收入；二是积极稳妥地实施户籍制度改革，实现农民工等转户进城500万人，户籍城镇化率达到50%，加快缩小城乡差别；三是发展农村新型股份合作社2000个，实现农村“三权”抵押融资1000亿元以上；四是建成2500个农民新村，利用“地票”交易制度等办法拓宽农民财产性收入渠道；五是两年消除绝对贫困，3年实现2000个贫困村整村脱贫，并实行动态扶贫开发机制；六是实施两大“关爱行动”，使130万农村留守儿童健康成长、200万空巢老人老有所养；七是继续坚持“国进民也进”的原则，发挥公有制经济在促进共同富裕中的基础性作用，确保国有资本收益的30%用于民生；八是建成4000万平方米公租房，改善中低收入群体的住房条件，大幅减少住房支出；九是加强收入分配调节，将居民收入占国民收入比例由目前的43%提高到50%以上；十是最低生活保障标准与经济发展水平和物价上涨“双联动”，使全市220万困难群众生活随经济发展而提高，不因物价上涨而下降；十一是5年投入3000亿元，促进公共服务均等化，实现人人享有基本社会保障；十二是把31个远郊区县城打造成区域经济中心，建设500个现代化小城镇，加快缩小区域差距。</w:t>
      </w:r>
    </w:p>
    <w:p w14:paraId="16611A9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庆提出的“民生10条”、“共富12条”，都是在探索共同富裕发展之路。其共同富裕的实施特点有三：一是强调共同富裕不仅是物质上的要求，更是精神上的充实；二是强调共同富裕之路是科学发展之路；三是共同富裕之路是改革开放之路。可见，重庆坚持和完善以公有制为主体的多种所有制共同发展这一社会主义初级阶段的基本经济制度，坚持和完善以按劳分配为主体的多种分配制共同发展的重要经济制度，为改善民生、缩小差距，主动采取不少有效办法，形成了以民生共富为导向的经济建设新模式。这是展现社会主义制度优势和深化改革开放的必然要求。</w:t>
      </w:r>
    </w:p>
    <w:p w14:paraId="4C7EE962">
      <w:pPr>
        <w:ind w:firstLine="420" w:firstLineChars="200"/>
        <w:rPr>
          <w:rFonts w:hint="eastAsia" w:ascii="宋体" w:hAnsi="宋体"/>
          <w:color w:val="000000" w:themeColor="text1"/>
          <w14:textFill>
            <w14:solidFill>
              <w14:schemeClr w14:val="tx1"/>
            </w14:solidFill>
          </w14:textFill>
        </w:rPr>
      </w:pPr>
      <w:bookmarkStart w:id="1601" w:name="_Toc5002"/>
      <w:bookmarkEnd w:id="1601"/>
      <w:r>
        <w:rPr>
          <w:rFonts w:hint="eastAsia" w:ascii="宋体" w:hAnsi="宋体"/>
          <w:color w:val="000000" w:themeColor="text1"/>
          <w14:textFill>
            <w14:solidFill>
              <w14:schemeClr w14:val="tx1"/>
            </w14:solidFill>
          </w14:textFill>
        </w:rPr>
        <w:t>第二，以民主高效为导向的政治建设。</w:t>
      </w:r>
    </w:p>
    <w:p w14:paraId="6196985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民主与集中的关系在任何社会均存在，只不过不同的社会和国家有不一样的制度安排和习惯规范。西方学说强调民主，实际上西方国家各个层面和范围的集中并不比社会主义国家少，有些做法甚至更高，但工作效率和效果相对较差，因为当代资本主义国家总体上属于一种基于私人垄断利益基础上(寡头支配)的畸形民主模式。马列主义及其中国化理论科学分析了民主与集中、少数与多数、个人与组织、群众与领袖、政党与国家、政府与公民、法治与人治、法治与德治、票决与协商等一系列问题，辩证地阐述民主基础上的集中、集中条件下的民主。中国民主政治的成功实践是把党的领导、人民当家做主和依法治国三者有机结合，集中力量办大事好事，党政工作具有高效性。这是共产党执政和领导下的社会主义新型民主，是优于资本主义民主类型和性质的。</w:t>
      </w:r>
    </w:p>
    <w:p w14:paraId="6F980C3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胡锦涛《在庆祝中国共产党成立90周年大会上的讲话》指出，我们要继续大力推进社会主义民主政治建设，坚定不移走中国特色社会主义政治发展道路。人民民主是中国共产党始终高扬的光辉旗帜。改革开放以来，我们党总结发展社会主义民主的正反两方面经验，明确提出没有民主就没有社会主义，就没有社会主义现代化，人民当家做主是社会主义民主政治的本质和核心。这就要求我们在抓紧经济建设的同时必须抓紧政治建设。</w:t>
      </w:r>
    </w:p>
    <w:p w14:paraId="4AFB109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在政治文明建设方面，重庆强调全面贯彻党的基本路线，在坚持改革开放的同时，旗帜鲜明地坚持社会主义四项基本原则，以科学的民主集中制为基础，强调建立高效开明的党政体制和机制，强调坚持党的领导、人民当家做主、依法治市有机统一，保证人民群众依法行使选举权、知情权、参与权、表达权、监督权。其典型例子两大主题实践活动：</w:t>
      </w:r>
    </w:p>
    <w:p w14:paraId="27C8028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一是开展“人大代表在行动”。为有效发挥人大代表作用，充分挖掘人大代表的履职潜力、激发人大代表助推重庆科学发展的履职热情，2009年10月以来，重庆市人大常委会在全市范围开展了“五个重庆建设·人大代表在行动”主题活动(简称“代表行动”)，力求通过人大代表的示范和带动作用，进一步动员、引导和激发全市3200万各族人民参与“五个重庆”建设的热情，实现人民重庆人民建。“代表行动”对发展政治文明有积极意义：围绕一个主题、多级联动，全面助力“五个重庆”建设，牵头兴建了一批惠民工程，人民群众得到更多实惠；依法履职、议行合一，历练了人大代表的议政能力，从而化解了“能力不足的危险”，人大代表的主体作用更加突出，社会声望显著提高；积极参与、全面带动，密切了人大代表与人民群众的联系，激发了社会各界参与“五个重庆”、共建美好家园的热情；立足实践、不断创新，践行以出色的工作坚持和完善人民代表大会制度的要求，提升了各级人大的工作水平。“代表行动”呈现出党委重视、人大主办、人大代表参与、政府支持、各方配合的良好局面，受到了全市上下的普遍好评，是丰富闭会期间人大代表活动的新探索、新实践，充分展示了人大工作的强大活力和巨大潜力。“代表行动”同时也为保证人民群众依法行使选举权、知情权、参与权、表达权、监督权创造了条件。</w:t>
      </w:r>
    </w:p>
    <w:p w14:paraId="1E696C46">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二是800政协委员助推40区县。这种活动对发展政治文明的积极意义是：提高思想认识，激发参与热情；调整组织措施，增强工作合力；不断探索创新，增强活动实效；紧扣工作重点，助力区域发展；密切联系群众，促进社会和谐。2010年，助推和联系群众两大主题实践活动在中央和市委市政府的鼓励下，在市政协主席会议的指导下，牵头单位工作力度更大，委员参与人数更多，活动效果更好，为促进重庆政治文明建设作出了积极的贡献。</w:t>
      </w:r>
    </w:p>
    <w:p w14:paraId="13283523">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庆在发展社会主义民主政治，保证人民群众依法行使选举权、知情权、参与权、表达权、监督权方面的典型例子还有：建立“三公三意三匹配”的选人用人机制。重庆在干部选拔任用上，紧紧围绕建立健全“公开、公平、公正”相统一，“组织意图、群众意见、个人意愿”相结合，“干部品行、才能、资历与任职岗位”相匹配的工作机制，先后制订出台了19个文件和相关制度。在“三公”方面，将民主推荐结果作为干部提名的重要依据；完善任前公示制度，在原公示范围的基础上，通过新闻媒体向社会公示，扩大公示范围。“三意”中的充分体现群众意见，主要是扩大参与民主推荐、民主测评、民意调查的范围，在《干部任用条例》规定范围的基础上，增加党代表、人大代表和政协委员参与重要领导岗位人选的民主推荐，民意调查的范围扩大到过去曾经工作过的单位及服务对象的部分干部群众。“三匹配”指建立任职岗位适应性评价制度，完善能上能下、人岗相宜的用人机制。这一系列措施既激活了干部队伍，又防止了用人的不正之风。在群众满意方面，重庆市40个区县的干部选任公信度已经达到93%。2009年，在全国组织工作满意度调查中，重庆市组织工作、组工干部形象、干部选拔任用、防止和纠正用人不正之风四项指标得分大幅提升，综合排位跃升全国前列。[5]</w:t>
      </w:r>
    </w:p>
    <w:p w14:paraId="031A12C7">
      <w:pPr>
        <w:ind w:firstLine="420" w:firstLineChars="200"/>
        <w:rPr>
          <w:rFonts w:hint="eastAsia" w:ascii="宋体" w:hAnsi="宋体"/>
          <w:color w:val="000000" w:themeColor="text1"/>
          <w14:textFill>
            <w14:solidFill>
              <w14:schemeClr w14:val="tx1"/>
            </w14:solidFill>
          </w14:textFill>
        </w:rPr>
      </w:pPr>
      <w:bookmarkStart w:id="1602" w:name="_Toc3765"/>
      <w:bookmarkEnd w:id="1602"/>
      <w:r>
        <w:rPr>
          <w:rFonts w:hint="eastAsia" w:ascii="宋体" w:hAnsi="宋体"/>
          <w:color w:val="000000" w:themeColor="text1"/>
          <w14:textFill>
            <w14:solidFill>
              <w14:schemeClr w14:val="tx1"/>
            </w14:solidFill>
          </w14:textFill>
        </w:rPr>
        <w:t>第三，以红色文化为导向的文化建设。</w:t>
      </w:r>
    </w:p>
    <w:p w14:paraId="4A3D142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文化是民族的血脉和灵魂，是一个国家和地区经济发展和社会进步的精气神。精气神本是古代哲学的概念，是指形成宇宙万物的原始物质，含有元素的意思。在人类社会的进程中，凝结在精气神中的文化，既是各民族赖以自强自立的精神支柱，又是其物质发展的思想结晶。中华民族发展史说明，先进文化是社会进步的主心骨、精气神和发动机。有先进的思想文化，才有社会的大变革、大发展。</w:t>
      </w:r>
    </w:p>
    <w:p w14:paraId="5D27824B">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文化是民族凝聚力和创造力的重要源泉,是综合国力竞争的重要因素，是软实力和巧实力的重要展现。它是经济和政治的反映,又给予经济和政治以巨大影响。当今时代，丰富精神文化生活越来越成为我国人民的热切愿望。中共十七届六中全会审议通过的《中共中央关于深化文化体制改革、推动社会主义文化大发展大繁荣若干重大问题的决定》提出，建设社会主义文化强国，就是要着力推动社会主义先进文化更加深入人心，推动社会主义精神文明和物质文明全面发展，不断开创全民族文化创造活力持续迸发、社会文化生活更加丰富多彩、人民基本文化权益得到更好保障、人民思想道德素质和科学文化素质全面提高的新局面，建设中华民族共有精神家园，为人类文明进步作出更大贡献。[6]</w:t>
      </w:r>
    </w:p>
    <w:p w14:paraId="7E5EDB2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庆在开启迈向文化强市的征途中已积累了宝贵经验。重庆的文化建设以红色文化为导向，突出社会主义的共同理想，把理想与现实、传统与现代、大众与精英有机结合起来。红色文化的特点，就是洋溢着革命的理想主义，始终把满足人们群众的文化需求与陶冶情操融合为一体，催人奋进；具有强大的转化力量，不但可以照亮人心，把广大民众团结起来，而且可以形成巨大的物质力量，促进经济社会持续发展；具有强大的竞争和竞赛优势，使重庆在挑战无处不在的竞争和竞赛格局中始终能够发现生机、抓住机遇。正如薄熙来所强调的：“在世界的竞争中，思想文化优势是更内在、更持久，也更难替代和模仿的竞争优势，没有正确的思想、先进的文化，社会就会失掉主心骨，就会‘失魂落魄’。”[7]</w:t>
      </w:r>
    </w:p>
    <w:p w14:paraId="4BA8440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庆在文化建设方面办了九件实事：一是“唱读讲传”活动：唱红歌、读经典、讲故事、传箴言，通过精心组织，使其成为全体市民的文化风尚。二是电影、图书、故事、戏剧、展览“五下乡”，让先进的文化占领农村，走村入户、常年下乡，使百姓舒心满意。三是打造红岩联线品牌。四是建设丰富、健康的网络。五是先进文化进校园，让社会主义核心价值观进教材、进课堂，入脑入心，通过美育培育学生的健康情感，中小学要每月增加1—2节音乐美术课，让每个学生掌握一项可伴其终生的文艺特长。六是昂起《重庆日报》、重庆卫视两个新闻“龙头”，下力气、用心思办好《重庆日报》和重庆卫视。七是培育文艺人才和领军人物，文艺工作者要沉下去，努力创作一批“立得住、叫得响、留得下”的文艺精品，要形成一批全国一流的文艺团体。八是发挥哲学社会科学的作用。每年选择一二十个重点调研课题，由高校、科研院所承担，使哲学社会科学更好地承担为重庆改革发展“探路”的使命。九是建设重大文化建筑和基层公共文化设施。</w:t>
      </w:r>
    </w:p>
    <w:p w14:paraId="2A54FC3B">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九件实事之首的“唱读讲传”活动化解了“精神懈怠的危险”，在塑造重庆人的精神气质方面发挥了巨大作用。唱红歌解决了理想信念方面存在的突出问题；读经典塑造了主流的价值观；讲故事体现了重庆人昂然向上的风貌；传箴言体现了重庆的勃勃生机。“唱读讲传”营造了良好的社会氛围，让人民群众迸发出更大的创造力，从而“精神变物质”，推动重庆的科学发展。“唱读讲传”提升了党员的精气神，促提升党员的学习力、执行力和创新力，不断增强党组织的创造力、凝聚力和战斗力。“唱读讲传”是对我们党90年风雨历程奋斗精神的弘扬，也是推动社会主义精神文明建设、构建社会主义核心价值体系的有效载体。</w:t>
      </w:r>
    </w:p>
    <w:p w14:paraId="7041E2B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以红色文化为导向的文化建设新路子，推动了重庆文化的大发展大繁荣，激发了重庆市民文化创造活力，提高了重庆文化软实力，使市民的基本文化权益得到了更好保障，文化生活更加丰富多彩，精神风貌更加昂扬向上，使重庆成了中国文化强市和长江上游地区的文化中心，为经济社会发展提供了思想保证、精神动力和智力支持。</w:t>
      </w:r>
    </w:p>
    <w:p w14:paraId="1F761FA1">
      <w:pPr>
        <w:ind w:firstLine="420" w:firstLineChars="200"/>
        <w:rPr>
          <w:rFonts w:hint="eastAsia" w:ascii="宋体" w:hAnsi="宋体"/>
          <w:color w:val="000000" w:themeColor="text1"/>
          <w14:textFill>
            <w14:solidFill>
              <w14:schemeClr w14:val="tx1"/>
            </w14:solidFill>
          </w14:textFill>
        </w:rPr>
      </w:pPr>
      <w:bookmarkStart w:id="1603" w:name="_Toc6820"/>
      <w:bookmarkEnd w:id="1603"/>
      <w:r>
        <w:rPr>
          <w:rFonts w:hint="eastAsia" w:ascii="宋体" w:hAnsi="宋体"/>
          <w:color w:val="000000" w:themeColor="text1"/>
          <w14:textFill>
            <w14:solidFill>
              <w14:schemeClr w14:val="tx1"/>
            </w14:solidFill>
          </w14:textFill>
        </w:rPr>
        <w:t>第四，以平安和谐为导向的社会建设。</w:t>
      </w:r>
    </w:p>
    <w:p w14:paraId="3C749B5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社会和谐是中国特色社会主义的本质属性。重庆在社会建设方面，以平安和谐为导向，提出建设平安重庆、建设和谐库区。把“平安重庆”界定为“五大安全”(社会安全、生产安全、食品药品安全、交通安全、居住安全)和“两大建设”(法制环境、执法队伍)。“平安重庆”的出发点和落脚点是改善和保障民生，它关注的是人民群众的食、住、行与工作安全问题，是法治社会的维护和完善问题。</w:t>
      </w:r>
    </w:p>
    <w:p w14:paraId="59B81E6C">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平安重庆”的建设使重庆成为外来投资者的安全区、放心区，从而吸引更多的投资者来渝投资和创业。“平安重庆”的建设增强了人民群众的安全感，使群众生活更放心、更舒心。重庆的“打黑除恶”、“灭枪治暴”、“跨区域破案追逃”等社会治安综合整治专项战役深得人心，让重庆市民的安全感明显增强。国家统计局第九次全国群众安全感入户抽样调查结果显示，2009年重庆群众安全感指数达96.62％，居全国第9，居4个直辖市之首。</w:t>
      </w:r>
    </w:p>
    <w:p w14:paraId="01DD4BDC">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庆建设和谐库区，促进移民安稳致富。一是落实移民扶持政策，移民搬迁安置任务完成后，适时将工作重点转向促进移民安稳致富，建立促进库区稳定发展的长效机制。二是支持库区产业发展，积极发展适合库区特点的优势特色产业，是实现移民搬得出、稳得住、逐进了党员干部学习工作化、工作学习化，不断步能致富的主要途径。</w:t>
      </w:r>
    </w:p>
    <w:p w14:paraId="47A13ACC">
      <w:pPr>
        <w:ind w:firstLine="420" w:firstLineChars="200"/>
        <w:rPr>
          <w:rFonts w:hint="eastAsia" w:ascii="宋体" w:hAnsi="宋体"/>
          <w:color w:val="000000" w:themeColor="text1"/>
          <w14:textFill>
            <w14:solidFill>
              <w14:schemeClr w14:val="tx1"/>
            </w14:solidFill>
          </w14:textFill>
        </w:rPr>
      </w:pPr>
      <w:bookmarkStart w:id="1604" w:name="_Toc6646"/>
      <w:bookmarkEnd w:id="1604"/>
      <w:r>
        <w:rPr>
          <w:rFonts w:hint="eastAsia" w:ascii="宋体" w:hAnsi="宋体"/>
          <w:color w:val="000000" w:themeColor="text1"/>
          <w14:textFill>
            <w14:solidFill>
              <w14:schemeClr w14:val="tx1"/>
            </w14:solidFill>
          </w14:textFill>
        </w:rPr>
        <w:t>第五，以森林低碳为导向的生态建设。</w:t>
      </w:r>
    </w:p>
    <w:p w14:paraId="19931FE6">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马克思主义强调物质和精神的生产、人自身的生产、生产关系的生产，要与生态环境的生产有效地结合起来。党的十七大报告指出：“建设生态文明，基本形成节约能源资源和保护生态环境的产业结构、增长方式、消费模式。”强调，要使“生态文明观念在全社会牢固树立”。[8](p.20)“生态文明”目标的提出，不但反映了全面建设小康社会奋斗目标的新要求，而且对形成节约能源资源和保护生态环境的产业结构、增长方式、消费模式，大力发展循环经济，推进资源节约型社会和环境友好型社会建设等战略举措，作出了最精炼的概括。</w:t>
      </w:r>
    </w:p>
    <w:p w14:paraId="6156AE4C">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重庆及时制订了实施资源环境保障战略，树立生态立市和环境优先的理念，创新节约资源和保护环境的发展模式，发展循环经济和低碳经济，加快建设森林城市，并强调保护好三峡库区和长江、嘉陵江、乌江流域的水体和生态环境，建设长江上游生态文明示范区。</w:t>
      </w:r>
    </w:p>
    <w:p w14:paraId="26E01EC9">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以“森林重庆”为导向的生态建设对重庆有着特别重要的意义。在人称“大火炉”的重庆多种一些树，有助于美化城市环境，调节小气候，增加空气中的负氧离子含量，使市民的生活更舒适、更健康。更为重要的是，在75%以上面积是山地和丘陵的重庆，提高森林覆盖率可以减少土壤侵蚀，减少水土流失，尤其是确保减少流入三峡库区的泥沙；增加森林资源还有利于涵养水源、净化水质，尤其是保护三峡水库的水量和水质。</w:t>
      </w:r>
    </w:p>
    <w:p w14:paraId="6D18E53A">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其实，“五个重庆”建设都有低碳建设的要求。“森林重庆”增加碳汇，提供生物质能，培植新的经济增长点，发展碳汇经济，把荒山、穷山，变为秀山、宝山，变为生态旅游的福地，为农民提供增收致富的机会，实现生态效益和经济效益的双飞跃；“畅通重庆”提倡降低能耗，减少碳排放；“健康重庆”提倡有品质的生活，低碳消费；“平安重庆”提倡科学决策，为低碳吃、住、行创造条件；“宜居重庆”提倡低碳建筑。</w:t>
      </w:r>
    </w:p>
    <w:p w14:paraId="184771C0">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发展低碳经济，重庆大胆走向世界。要参与世界竞争，碳竞争力必须要高。可再生能源比例高、产品生产能源效率先进、产品使用能耗低。这反映在重庆转变对外经济发展方式的一系列“走出去”行为中。例如，重钢收购澳大利亚铁矿；博赛集团收购铝矾土矿及其加工厂；机电集团收购发达国家的技术装备；粮食集团购买了大宗肥沃的土地种大豆。[9]重庆始终坚持发展低碳经济是可持续发展的必然要求，从民生绿色到民生低碳，实现了发展的新跨越。</w:t>
      </w:r>
    </w:p>
    <w:p w14:paraId="56685DF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综上所述，重庆是一座充满创意和活力的城市，一座森林、畅通、平安、健康、宜居的社会主义城市，为丰富党的执政经验，为丰富建设中国特色社会主义理论，探索中国特色社会主义道路，提供了宝贵经验，其经验与模式具有创新性、系统性和可借鉴性。重庆的工作和经验在不断发展，其优势和活力还在不断展现。期待雾都日渐撩开轻雾，成为一切进步人士向往的中国特色社会主义城市和地区，为马列主义及其中国化理论和实践树立美好的典范！</w:t>
      </w:r>
    </w:p>
    <w:p w14:paraId="58DA6B6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[参考文献]</w:t>
      </w:r>
    </w:p>
    <w:p w14:paraId="55230E4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[1]十一届三中全会以来党和国家重要文献选编[M].北京：中共中央党校出版社，2008年.</w:t>
      </w:r>
    </w:p>
    <w:p w14:paraId="1D0DC07C">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[2]胡锦涛.在庆祝中国共产党成立90周年大会上的讲话[N].人民日报，2011-07-01.</w:t>
      </w:r>
    </w:p>
    <w:p w14:paraId="3963A34F">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[3]马克思恩格斯选集(第2卷)[M].北京：人民出版社，1995.</w:t>
      </w:r>
    </w:p>
    <w:p w14:paraId="543F26BC">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[4]邓小平年谱(1975-1997年)(下)[M].北京：中央文献出版社，2004.</w:t>
      </w:r>
    </w:p>
    <w:p w14:paraId="46CCA5A8">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[5]中国社会科学院马克思主义研究院课题组.重庆模式与中国特色社会主义道路[J].马克思主义研究，2011，(7).</w:t>
      </w:r>
    </w:p>
    <w:p w14:paraId="11064EFD">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[6]迈向社会主义文化强国的伟大进军(社论)[N].人民日报，2011-10-19.</w:t>
      </w:r>
    </w:p>
    <w:p w14:paraId="297CE4B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[7]薄熙来.先进文化是社会前进的主心骨发动机[J].党建，</w:t>
      </w:r>
    </w:p>
    <w:p w14:paraId="6F858EB6">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2009，(8).</w:t>
      </w:r>
    </w:p>
    <w:p w14:paraId="5680427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[8]胡锦涛.高举中国特色社会主义伟大旗帜为夺取全面建设小康社会新胜利而奋斗[M].北京：人民出版社，2007.</w:t>
      </w:r>
    </w:p>
    <w:p w14:paraId="6C73288E">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[9]肖竹.把咱重庆建得更美好让百姓的生活更幸福[N].重庆日报，2010-11-18.</w:t>
      </w:r>
    </w:p>
    <w:p w14:paraId="02725D12">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（原载于《毛泽东邓小平理论研究》2011年第12期。）</w:t>
      </w:r>
    </w:p>
    <w:p w14:paraId="7F1596A4">
      <w:pPr>
        <w:autoSpaceDE w:val="0"/>
        <w:adjustRightInd w:val="0"/>
        <w:spacing w:line="400" w:lineRule="exact"/>
        <w:ind w:firstLine="420" w:firstLineChars="200"/>
        <w:rPr>
          <w:rFonts w:hint="eastAsia" w:ascii="宋体" w:hAnsi="宋体"/>
          <w:color w:val="000000" w:themeColor="text1"/>
          <w14:textFill>
            <w14:solidFill>
              <w14:schemeClr w14:val="tx1"/>
            </w14:solidFill>
          </w14:textFill>
        </w:rPr>
      </w:pPr>
      <w:r>
        <w:rPr>
          <w:rFonts w:hint="eastAsia" w:ascii="宋体" w:hAnsi="宋体"/>
          <w:color w:val="000000" w:themeColor="text1"/>
          <w14:textFill>
            <w14:solidFill>
              <w14:schemeClr w14:val="tx1"/>
            </w14:solidFill>
          </w14:textFill>
        </w:rPr>
        <w:t xml:space="preserve"> </w:t>
      </w:r>
    </w:p>
    <w:p w14:paraId="6A893953">
      <w:pPr>
        <w:keepNext/>
        <w:keepLines/>
        <w:spacing w:before="260" w:after="260" w:line="413" w:lineRule="auto"/>
        <w:jc w:val="center"/>
        <w:outlineLvl w:val="1"/>
        <w:rPr>
          <w:rFonts w:ascii="黑体" w:hAnsi="黑体" w:eastAsia="黑体" w:cs="黑体"/>
          <w:b/>
          <w:bCs/>
          <w:kern w:val="0"/>
          <w:sz w:val="32"/>
          <w:szCs w:val="28"/>
        </w:rPr>
      </w:pPr>
      <w:bookmarkStart w:id="1605" w:name="_Toc2572"/>
      <w:bookmarkStart w:id="1606" w:name="_Toc612181164"/>
      <w:bookmarkStart w:id="1607" w:name="_Toc888755473"/>
      <w:r>
        <w:rPr>
          <w:rFonts w:hint="eastAsia" w:ascii="Arial" w:hAnsi="Arial" w:eastAsia="黑体" w:cs="Times New Roman"/>
          <w:bCs/>
          <w:kern w:val="0"/>
          <w:sz w:val="32"/>
          <w:szCs w:val="20"/>
          <w:lang w:val="en-US" w:eastAsia="zh-CN"/>
        </w:rPr>
        <w:t>21</w:t>
      </w:r>
      <w:r>
        <w:rPr>
          <w:rFonts w:hint="eastAsia" w:ascii="Arial" w:hAnsi="Arial" w:eastAsia="黑体" w:cs="Times New Roman"/>
          <w:bCs/>
          <w:kern w:val="0"/>
          <w:sz w:val="32"/>
          <w:szCs w:val="20"/>
        </w:rPr>
        <w:t>从“占领华尔街”反思资本主义制度</w:t>
      </w:r>
      <w:bookmarkEnd w:id="1605"/>
      <w:bookmarkEnd w:id="1606"/>
      <w:bookmarkEnd w:id="1607"/>
    </w:p>
    <w:p w14:paraId="795998EF">
      <w:pPr>
        <w:widowControl/>
        <w:spacing w:line="400" w:lineRule="exact"/>
        <w:ind w:right="226" w:firstLine="420" w:firstLineChars="200"/>
        <w:jc w:val="left"/>
        <w:rPr>
          <w:rFonts w:ascii="宋体" w:hAnsi="宋体" w:eastAsia="宋体" w:cs="宋体"/>
          <w:kern w:val="0"/>
          <w:sz w:val="21"/>
          <w:szCs w:val="21"/>
          <w:shd w:val="clear" w:color="auto" w:fill="FFFFFF"/>
        </w:rPr>
      </w:pPr>
    </w:p>
    <w:p w14:paraId="4351F061">
      <w:pPr>
        <w:widowControl/>
        <w:spacing w:line="400" w:lineRule="exact"/>
        <w:ind w:right="226" w:firstLine="420" w:firstLineChars="200"/>
        <w:jc w:val="left"/>
        <w:rPr>
          <w:rFonts w:ascii="宋体" w:hAnsi="宋体" w:eastAsia="宋体" w:cs="宋体"/>
          <w:kern w:val="0"/>
          <w:sz w:val="21"/>
          <w:szCs w:val="21"/>
          <w:shd w:val="clear" w:color="auto" w:fill="FFFFFF"/>
        </w:rPr>
      </w:pPr>
      <w:r>
        <w:rPr>
          <w:rFonts w:hint="eastAsia" w:ascii="宋体" w:hAnsi="宋体" w:eastAsia="宋体" w:cs="宋体"/>
          <w:kern w:val="0"/>
          <w:sz w:val="21"/>
          <w:szCs w:val="21"/>
          <w:shd w:val="clear" w:color="auto" w:fill="FFFFFF"/>
        </w:rPr>
        <w:t>“占领华尔街”是发生在美国，由不同政治派别、不同肤色、不同性别者参加的目标明确的政治抵抗运动。这场运动的共同点是：99％的大众声讨华尔街的贪婪和腐败，抗议1％的少数人对社会的控制。自2011年9月17日开始以来，该运动已持续1个多月。这场运动参与人数之众、占领城市之广、诉求目标之多、持续时间之久，已经演变为美国20世纪30年代大萧条和60年代反越战以来最大的社会运动，具有广泛民众性、国际波及性、持久对抗性和指向鲜明性。</w:t>
      </w:r>
    </w:p>
    <w:p w14:paraId="7D089530">
      <w:pPr>
        <w:widowControl/>
        <w:spacing w:line="400" w:lineRule="exact"/>
        <w:ind w:right="226" w:firstLine="420" w:firstLineChars="200"/>
        <w:jc w:val="left"/>
        <w:rPr>
          <w:rFonts w:ascii="宋体" w:hAnsi="宋体" w:eastAsia="宋体" w:cs="宋体"/>
          <w:kern w:val="0"/>
          <w:sz w:val="21"/>
          <w:szCs w:val="21"/>
          <w:shd w:val="clear" w:color="auto" w:fill="FFFFFF"/>
        </w:rPr>
      </w:pPr>
      <w:r>
        <w:rPr>
          <w:rFonts w:hint="eastAsia" w:ascii="宋体" w:hAnsi="宋体" w:eastAsia="宋体" w:cs="宋体"/>
          <w:kern w:val="0"/>
          <w:sz w:val="21"/>
          <w:szCs w:val="21"/>
          <w:shd w:val="clear" w:color="auto" w:fill="FFFFFF"/>
        </w:rPr>
        <w:t>“占领华尔街”抗议活动，是当前美国社会矛盾的真实写照，说明金融危机以来美国政府推出的经济、金融改革措施让人大失所望，美国普通民众对经济低迷、贪腐横行、就业艰难、前途无望的愤怒已积聚到需要爆发的程度，凸显了美国金融危机引发的经济、政治、文化等制度的全面危机。</w:t>
      </w:r>
    </w:p>
    <w:p w14:paraId="3F2673A6">
      <w:pPr>
        <w:widowControl/>
        <w:spacing w:before="156" w:beforeLines="50" w:after="156" w:afterLines="50" w:line="400" w:lineRule="exact"/>
        <w:ind w:right="226" w:firstLine="420" w:firstLineChars="200"/>
        <w:jc w:val="left"/>
        <w:rPr>
          <w:rFonts w:ascii="宋体" w:hAnsi="宋体" w:eastAsia="宋体" w:cs="宋体"/>
          <w:b/>
          <w:kern w:val="0"/>
          <w:sz w:val="21"/>
          <w:szCs w:val="21"/>
          <w:shd w:val="clear" w:color="auto" w:fill="FFFFFF"/>
        </w:rPr>
      </w:pPr>
      <w:r>
        <w:rPr>
          <w:rFonts w:hint="eastAsia" w:ascii="宋体" w:hAnsi="宋体" w:eastAsia="宋体" w:cs="宋体"/>
          <w:b/>
          <w:kern w:val="0"/>
          <w:sz w:val="21"/>
          <w:szCs w:val="21"/>
          <w:shd w:val="clear" w:color="auto" w:fill="FFFFFF"/>
        </w:rPr>
        <w:t>反思资本主义经济制度</w:t>
      </w:r>
    </w:p>
    <w:p w14:paraId="6C4D1B99">
      <w:pPr>
        <w:widowControl/>
        <w:spacing w:line="400" w:lineRule="exact"/>
        <w:ind w:right="226" w:firstLine="420" w:firstLineChars="200"/>
        <w:jc w:val="left"/>
        <w:rPr>
          <w:rFonts w:ascii="宋体" w:hAnsi="宋体" w:eastAsia="宋体" w:cs="宋体"/>
          <w:kern w:val="0"/>
          <w:sz w:val="21"/>
          <w:szCs w:val="21"/>
          <w:shd w:val="clear" w:color="auto" w:fill="FFFFFF"/>
        </w:rPr>
      </w:pPr>
      <w:r>
        <w:rPr>
          <w:rFonts w:hint="eastAsia" w:ascii="宋体" w:hAnsi="宋体" w:eastAsia="宋体" w:cs="宋体"/>
          <w:kern w:val="0"/>
          <w:sz w:val="21"/>
          <w:szCs w:val="21"/>
          <w:shd w:val="clear" w:color="auto" w:fill="FFFFFF"/>
        </w:rPr>
        <w:t>示威者高呼“控制华尔街！”“起诉华尔街！”“大富翁，你的末日到了！”等口号，表面上看来，这表达了他们对华尔街银行家“贪婪”的愤怒，实质上反映了资本主义金融系统已积重难返。抗议者认为，过度的金融化和收入分配不平等的扩大本身，直接影响实体经济停滞，导致就业下滑。他们重点从金融市场的运作来解释金融危机，因此将危机的根本原因归为华尔街的银行家和投机者，喊出“控诉华尔街！”</w:t>
      </w:r>
    </w:p>
    <w:p w14:paraId="3F760516">
      <w:pPr>
        <w:widowControl/>
        <w:spacing w:line="400" w:lineRule="exact"/>
        <w:ind w:right="226" w:firstLine="420" w:firstLineChars="200"/>
        <w:jc w:val="left"/>
        <w:rPr>
          <w:rFonts w:ascii="宋体" w:hAnsi="宋体" w:eastAsia="宋体" w:cs="宋体"/>
          <w:kern w:val="0"/>
          <w:sz w:val="21"/>
          <w:szCs w:val="21"/>
          <w:shd w:val="clear" w:color="auto" w:fill="FFFFFF"/>
        </w:rPr>
      </w:pPr>
      <w:r>
        <w:rPr>
          <w:rFonts w:hint="eastAsia" w:ascii="宋体" w:hAnsi="宋体" w:eastAsia="宋体" w:cs="宋体"/>
          <w:kern w:val="0"/>
          <w:sz w:val="21"/>
          <w:szCs w:val="21"/>
          <w:shd w:val="clear" w:color="auto" w:fill="FFFFFF"/>
        </w:rPr>
        <w:t>资本主义金融系统弊端重重的制度根源在于，建立在私有制基础上的资本主义社会, 难以实现高效的国家调控。实际上，当一个国家不能对资本市场进行有效监管时，私有化（民营化）往往会产生严重的腐败，导致财富迅速转移到少数暴富阶层手中。因而，即使在金融和经济危机以后，美国政府投入巨大的救市资金,也无法满足华尔街金融资本的欲望,大约200万穷困失业人口依然存在,债务危机和大量金融“有毒资产”难以消除。</w:t>
      </w:r>
    </w:p>
    <w:p w14:paraId="2A264094">
      <w:pPr>
        <w:widowControl/>
        <w:spacing w:line="400" w:lineRule="exact"/>
        <w:ind w:right="226" w:firstLine="420" w:firstLineChars="200"/>
        <w:jc w:val="left"/>
        <w:rPr>
          <w:rFonts w:ascii="宋体" w:hAnsi="宋体" w:eastAsia="宋体" w:cs="宋体"/>
          <w:kern w:val="0"/>
          <w:sz w:val="21"/>
          <w:szCs w:val="21"/>
          <w:shd w:val="clear" w:color="auto" w:fill="FFFFFF"/>
        </w:rPr>
      </w:pPr>
      <w:r>
        <w:rPr>
          <w:rFonts w:hint="eastAsia" w:ascii="宋体" w:hAnsi="宋体" w:eastAsia="宋体" w:cs="宋体"/>
          <w:kern w:val="0"/>
          <w:sz w:val="21"/>
          <w:szCs w:val="21"/>
          <w:shd w:val="clear" w:color="auto" w:fill="FFFFFF"/>
        </w:rPr>
        <w:t>资本主义私有制是社会分配不公的制度根源。私有经济占主体，必然导致美国贫富分化和社会对立，其根源在于私人企业形成的国民收入初次分配直接造成了贫富的较大差别,再分配只能有限地缩小,而不可能根本缩小财产和收入的贫富差别和对立。加之私人垄断寡头结合国家政权，又操控媒体和文化教育，从舆论和政策等方面极力阻止财富和收入差距的缩小，因此，所谓的消除贫富差距只不过是一张“空头支票”。</w:t>
      </w:r>
    </w:p>
    <w:p w14:paraId="3CD34EF7">
      <w:pPr>
        <w:widowControl/>
        <w:spacing w:before="156" w:beforeLines="50" w:after="156" w:afterLines="50" w:line="400" w:lineRule="exact"/>
        <w:ind w:right="226" w:firstLine="420" w:firstLineChars="200"/>
        <w:jc w:val="left"/>
        <w:rPr>
          <w:rFonts w:ascii="宋体" w:hAnsi="宋体" w:eastAsia="宋体" w:cs="宋体"/>
          <w:b/>
          <w:kern w:val="0"/>
          <w:sz w:val="21"/>
          <w:szCs w:val="21"/>
          <w:shd w:val="clear" w:color="auto" w:fill="FFFFFF"/>
        </w:rPr>
      </w:pPr>
      <w:r>
        <w:rPr>
          <w:rFonts w:hint="eastAsia" w:ascii="宋体" w:hAnsi="宋体" w:eastAsia="宋体" w:cs="宋体"/>
          <w:b/>
          <w:kern w:val="0"/>
          <w:sz w:val="21"/>
          <w:szCs w:val="21"/>
          <w:shd w:val="clear" w:color="auto" w:fill="FFFFFF"/>
        </w:rPr>
        <w:t>反思资本主义政治制度</w:t>
      </w:r>
    </w:p>
    <w:p w14:paraId="2B2A5F24">
      <w:pPr>
        <w:widowControl/>
        <w:spacing w:line="400" w:lineRule="exact"/>
        <w:ind w:right="226" w:firstLine="420" w:firstLineChars="200"/>
        <w:jc w:val="left"/>
        <w:rPr>
          <w:rFonts w:ascii="宋体" w:hAnsi="宋体" w:eastAsia="宋体" w:cs="宋体"/>
          <w:kern w:val="0"/>
          <w:sz w:val="21"/>
          <w:szCs w:val="21"/>
          <w:shd w:val="clear" w:color="auto" w:fill="FFFFFF"/>
        </w:rPr>
      </w:pPr>
      <w:r>
        <w:rPr>
          <w:rFonts w:hint="eastAsia" w:ascii="宋体" w:hAnsi="宋体" w:eastAsia="宋体" w:cs="宋体"/>
          <w:kern w:val="0"/>
          <w:sz w:val="21"/>
          <w:szCs w:val="21"/>
          <w:shd w:val="clear" w:color="auto" w:fill="FFFFFF"/>
        </w:rPr>
        <w:t>“占领华尔街”抗议活动凸显了资本主义政治制度的非民主性和极端虚伪性。资本主义宣扬的民主是金钱操纵下的民主，实际是资产阶级精英统治下的民主；法律名义上的平等掩盖着事实上的不平等。</w:t>
      </w:r>
    </w:p>
    <w:p w14:paraId="0B4A9B64">
      <w:pPr>
        <w:widowControl/>
        <w:spacing w:line="400" w:lineRule="exact"/>
        <w:ind w:right="226" w:firstLine="420" w:firstLineChars="200"/>
        <w:jc w:val="left"/>
        <w:rPr>
          <w:rFonts w:ascii="宋体" w:hAnsi="宋体" w:eastAsia="宋体" w:cs="宋体"/>
          <w:kern w:val="0"/>
          <w:sz w:val="21"/>
          <w:szCs w:val="21"/>
          <w:shd w:val="clear" w:color="auto" w:fill="FFFFFF"/>
        </w:rPr>
      </w:pPr>
      <w:r>
        <w:rPr>
          <w:rFonts w:hint="eastAsia" w:ascii="宋体" w:hAnsi="宋体" w:eastAsia="宋体" w:cs="宋体"/>
          <w:kern w:val="0"/>
          <w:sz w:val="21"/>
          <w:szCs w:val="21"/>
          <w:shd w:val="clear" w:color="auto" w:fill="FFFFFF"/>
        </w:rPr>
        <w:t>在这一运动中，美国民众实际上是在捍卫自己的正当权利，捍卫自己与就业、生存相联系的工作权、基本人权。美国政府一用“人权大棒”呵斥别国，然而美国民众却忍无可忍站出来揭短：美国的自由、民主只针对那1%的权贵们。在抗议活动过程中，警察粗暴对待示威者，美国主流媒体却极少报道或集体失声。这些都表明，所谓的美国式民主并不是那么完美，自由、民主和人权是虚伪的。</w:t>
      </w:r>
    </w:p>
    <w:p w14:paraId="1F9AB824">
      <w:pPr>
        <w:widowControl/>
        <w:spacing w:line="400" w:lineRule="exact"/>
        <w:ind w:right="226" w:firstLine="420" w:firstLineChars="200"/>
        <w:jc w:val="left"/>
        <w:rPr>
          <w:rFonts w:ascii="宋体" w:hAnsi="宋体" w:eastAsia="宋体" w:cs="宋体"/>
          <w:kern w:val="0"/>
          <w:sz w:val="21"/>
          <w:szCs w:val="21"/>
          <w:shd w:val="clear" w:color="auto" w:fill="FFFFFF"/>
        </w:rPr>
      </w:pPr>
      <w:r>
        <w:rPr>
          <w:rFonts w:hint="eastAsia" w:ascii="宋体" w:hAnsi="宋体" w:eastAsia="宋体" w:cs="宋体"/>
          <w:kern w:val="0"/>
          <w:sz w:val="21"/>
          <w:szCs w:val="21"/>
          <w:shd w:val="clear" w:color="auto" w:fill="FFFFFF"/>
        </w:rPr>
        <w:t>平等是资本主义最喜欢标榜的观念之一，反观这次“占领华尔街”抗议活动，我们可以看出，它所推崇的平等只是针对封建社会阶级特权的形式平等，即机会、程序等等的平等。在自由主义看来，事实平等既无可能，也无意义,除了导致抹杀个体差异和营造社会的懈怠之风，别无裨益。在马克思看来，平等问题其实就是一个要不要超越资本主义的问题。列宁也一针见血地指出:“资本主义既有形式上的平等，又有经济上的不平等和随之而来的社会的不平等。”</w:t>
      </w:r>
    </w:p>
    <w:p w14:paraId="6708CB8E">
      <w:pPr>
        <w:widowControl/>
        <w:spacing w:line="400" w:lineRule="exact"/>
        <w:ind w:right="226" w:firstLine="420" w:firstLineChars="200"/>
        <w:jc w:val="left"/>
        <w:rPr>
          <w:rFonts w:ascii="宋体" w:hAnsi="宋体" w:eastAsia="宋体" w:cs="宋体"/>
          <w:b/>
          <w:kern w:val="0"/>
          <w:sz w:val="21"/>
          <w:szCs w:val="21"/>
          <w:shd w:val="clear" w:color="auto" w:fill="FFFFFF"/>
        </w:rPr>
      </w:pPr>
      <w:r>
        <w:rPr>
          <w:rFonts w:hint="eastAsia" w:ascii="宋体" w:hAnsi="宋体" w:eastAsia="宋体" w:cs="宋体"/>
          <w:b/>
          <w:kern w:val="0"/>
          <w:sz w:val="21"/>
          <w:szCs w:val="21"/>
          <w:shd w:val="clear" w:color="auto" w:fill="FFFFFF"/>
        </w:rPr>
        <w:t>反思资本主义文化制度</w:t>
      </w:r>
    </w:p>
    <w:p w14:paraId="7D5F6671">
      <w:pPr>
        <w:widowControl/>
        <w:spacing w:line="400" w:lineRule="exact"/>
        <w:ind w:right="226" w:firstLine="420" w:firstLineChars="200"/>
        <w:jc w:val="left"/>
        <w:rPr>
          <w:rFonts w:ascii="宋体" w:hAnsi="宋体" w:eastAsia="宋体" w:cs="宋体"/>
          <w:kern w:val="0"/>
          <w:sz w:val="21"/>
          <w:szCs w:val="21"/>
          <w:shd w:val="clear" w:color="auto" w:fill="FFFFFF"/>
        </w:rPr>
      </w:pPr>
      <w:r>
        <w:rPr>
          <w:rFonts w:hint="eastAsia" w:ascii="宋体" w:hAnsi="宋体" w:eastAsia="宋体" w:cs="宋体"/>
          <w:kern w:val="0"/>
          <w:sz w:val="21"/>
          <w:szCs w:val="21"/>
          <w:shd w:val="clear" w:color="auto" w:fill="FFFFFF"/>
        </w:rPr>
        <w:t>20世纪60年代，笃信自由主义理念的美国青年曾被称作“垮掉的一代”。可在占领华尔街运动中，美国青年已喊出了响亮的口号“我们是革命的一代！”“我们需要工作，我们需要革命！”反对“债务奴役！”“消灭资本主义！”这些标语口号已经对美国民众的文化价值理念形成了冲击，并且将形成进一步的冲击，而且利用网络宣告了美国文化制度的危机。</w:t>
      </w:r>
    </w:p>
    <w:p w14:paraId="6A131192">
      <w:pPr>
        <w:widowControl/>
        <w:spacing w:line="400" w:lineRule="exact"/>
        <w:ind w:right="226" w:firstLine="420" w:firstLineChars="200"/>
        <w:jc w:val="left"/>
        <w:rPr>
          <w:rFonts w:ascii="宋体" w:hAnsi="宋体" w:eastAsia="宋体" w:cs="宋体"/>
          <w:kern w:val="0"/>
          <w:sz w:val="21"/>
          <w:szCs w:val="21"/>
          <w:shd w:val="clear" w:color="auto" w:fill="FFFFFF"/>
        </w:rPr>
      </w:pPr>
      <w:r>
        <w:rPr>
          <w:rFonts w:hint="eastAsia" w:ascii="宋体" w:hAnsi="宋体" w:eastAsia="宋体" w:cs="宋体"/>
          <w:kern w:val="0"/>
          <w:sz w:val="21"/>
          <w:szCs w:val="21"/>
          <w:shd w:val="clear" w:color="auto" w:fill="FFFFFF"/>
        </w:rPr>
        <w:t>为奥巴马政府和华尔街金融资本服务的新自由主义主流学者曾告诉人们，自由市场经济是通向最优效率、快速经济增长和创新，使所有那些愿意勤奋工作并利用机遇的人享有繁荣富裕的坦途。但实际情况是，新自由主义的幸福诺言没有实现，反而导致美国普遍的信任危机。</w:t>
      </w:r>
    </w:p>
    <w:p w14:paraId="364A6B7F">
      <w:pPr>
        <w:widowControl/>
        <w:spacing w:line="400" w:lineRule="exact"/>
        <w:ind w:right="226" w:firstLine="420" w:firstLineChars="200"/>
        <w:jc w:val="left"/>
        <w:rPr>
          <w:rFonts w:ascii="宋体" w:hAnsi="宋体" w:eastAsia="宋体" w:cs="宋体"/>
          <w:sz w:val="21"/>
          <w:szCs w:val="21"/>
        </w:rPr>
      </w:pPr>
      <w:r>
        <w:rPr>
          <w:rFonts w:hint="eastAsia" w:ascii="宋体" w:hAnsi="宋体" w:eastAsia="宋体" w:cs="宋体"/>
          <w:kern w:val="0"/>
          <w:sz w:val="21"/>
          <w:szCs w:val="21"/>
          <w:shd w:val="clear" w:color="auto" w:fill="FFFFFF"/>
        </w:rPr>
        <w:t>总之，“占领华尔街”及其日渐全美化和国际化，凸显了以美国为首的资本主义国家在经济、政治、文化、外交等制度方面的危机。示威者喊出了“推翻整个制度，资本主义是有组织的犯罪。”正如哈曼在《僵尸资本主义》所指出的，资本主义制度注定要死亡,并被一种更高级的社会秩序所代替。对此，我们拭目以待！</w:t>
      </w:r>
    </w:p>
    <w:p w14:paraId="3758147A">
      <w:r>
        <w:rPr>
          <w:rFonts w:hint="eastAsia" w:ascii="宋体" w:hAnsi="宋体" w:eastAsia="宋体" w:cs="宋体"/>
          <w:sz w:val="21"/>
          <w:szCs w:val="21"/>
        </w:rPr>
        <w:t>（原载《中国社会科学报》2011年10月25日，第二作者为谭扬芳）</w:t>
      </w:r>
    </w:p>
    <w:sectPr>
      <w:pgSz w:w="11906" w:h="16838"/>
      <w:pgMar w:top="1440" w:right="1800" w:bottom="1440" w:left="1800" w:header="851" w:footer="992" w:gutter="0"/>
      <w:pgNumType w:fmt="decimal"/>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20"/>
      </w:pPr>
      <w:r>
        <w:separator/>
      </w:r>
    </w:p>
  </w:endnote>
  <w:endnote w:type="continuationSeparator" w:id="1">
    <w:p>
      <w:pPr>
        <w:spacing w:line="240" w:lineRule="auto"/>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503050405090304"/>
    <w:charset w:val="86"/>
    <w:family w:val="auto"/>
    <w:pitch w:val="default"/>
    <w:sig w:usb0="E0000AFF" w:usb1="00007843" w:usb2="00000001" w:usb3="00000000" w:csb0="400001BF" w:csb1="DFF7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4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Cambria">
    <w:altName w:val="苹方-简"/>
    <w:panose1 w:val="02040503050406030204"/>
    <w:charset w:val="00"/>
    <w:family w:val="roman"/>
    <w:pitch w:val="default"/>
    <w:sig w:usb0="00000000" w:usb1="00000000" w:usb2="02000000" w:usb3="00000000" w:csb0="2000019F" w:csb1="00000000"/>
  </w:font>
  <w:font w:name="华光书宋_CNKI">
    <w:altName w:val="华文宋体"/>
    <w:panose1 w:val="02000500000000000000"/>
    <w:charset w:val="86"/>
    <w:family w:val="auto"/>
    <w:pitch w:val="default"/>
    <w:sig w:usb0="00000000" w:usb1="00000000" w:usb2="00000016" w:usb3="00000000" w:csb0="0004000F" w:csb1="00000000"/>
  </w:font>
  <w:font w:name="Calibri Light">
    <w:altName w:val="Helvetica Neue"/>
    <w:panose1 w:val="020F0302020204030204"/>
    <w:charset w:val="00"/>
    <w:family w:val="swiss"/>
    <w:pitch w:val="default"/>
    <w:sig w:usb0="00000000" w:usb1="00000000" w:usb2="00000009" w:usb3="00000000" w:csb0="200001FF" w:csb1="00000000"/>
  </w:font>
  <w:font w:name="Cambria Math">
    <w:altName w:val="Kingsoft Math"/>
    <w:panose1 w:val="02040503050406030204"/>
    <w:charset w:val="00"/>
    <w:family w:val="roman"/>
    <w:pitch w:val="default"/>
    <w:sig w:usb0="00000000" w:usb1="00000000" w:usb2="02000000" w:usb3="00000000" w:csb0="2000019F" w:csb1="00000000"/>
  </w:font>
  <w:font w:name="AdobeSongStd-Light">
    <w:altName w:val="苹方-简"/>
    <w:panose1 w:val="00000000000000000000"/>
    <w:charset w:val="86"/>
    <w:family w:val="auto"/>
    <w:pitch w:val="default"/>
    <w:sig w:usb0="00000000" w:usb1="00000000" w:usb2="00000010" w:usb3="00000000" w:csb0="00040000" w:csb1="00000000"/>
  </w:font>
  <w:font w:name="PMingLiU">
    <w:altName w:val="宋体-繁"/>
    <w:panose1 w:val="02010601000101010101"/>
    <w:charset w:val="88"/>
    <w:family w:val="roman"/>
    <w:pitch w:val="default"/>
    <w:sig w:usb0="00000000" w:usb1="00000000" w:usb2="00000016" w:usb3="00000000" w:csb0="00100001" w:csb1="00000000"/>
  </w:font>
  <w:font w:name="微软雅黑">
    <w:altName w:val="汉仪旗黑"/>
    <w:panose1 w:val="020B0503020204020204"/>
    <w:charset w:val="86"/>
    <w:family w:val="auto"/>
    <w:pitch w:val="default"/>
    <w:sig w:usb0="00000000" w:usb1="00000000" w:usb2="00000016" w:usb3="00000000" w:csb0="0004001F" w:csb1="00000000"/>
  </w:font>
  <w:font w:name="HGBZ_CNKI">
    <w:altName w:val="华文宋体"/>
    <w:panose1 w:val="02000500000000000000"/>
    <w:charset w:val="86"/>
    <w:family w:val="auto"/>
    <w:pitch w:val="default"/>
    <w:sig w:usb0="00000000" w:usb1="00000000" w:usb2="00000010" w:usb3="00000000" w:csb0="00040003" w:csb1="00000000"/>
  </w:font>
  <w:font w:name="MS Gothic">
    <w:altName w:val="冬青黑体简体中文"/>
    <w:panose1 w:val="020B0609070205080204"/>
    <w:charset w:val="80"/>
    <w:family w:val="modern"/>
    <w:pitch w:val="default"/>
    <w:sig w:usb0="00000000" w:usb1="00000000" w:usb2="08000012" w:usb3="00000000" w:csb0="4002009F" w:csb1="DFD70000"/>
  </w:font>
  <w:font w:name="Arial Unicode MS">
    <w:panose1 w:val="020B0604020202020204"/>
    <w:charset w:val="86"/>
    <w:family w:val="swiss"/>
    <w:pitch w:val="default"/>
    <w:sig w:usb0="FFFFFFFF" w:usb1="E9FFFFFF" w:usb2="0000003F" w:usb3="00000000" w:csb0="603F01FF" w:csb1="FFFF0000"/>
  </w:font>
  <w:font w:name="等线">
    <w:altName w:val="汉仪中等线KW"/>
    <w:panose1 w:val="02010600030101010101"/>
    <w:charset w:val="86"/>
    <w:family w:val="auto"/>
    <w:pitch w:val="default"/>
    <w:sig w:usb0="00000000" w:usb1="00000000" w:usb2="00000016" w:usb3="00000000" w:csb0="0004000F" w:csb1="00000000"/>
  </w:font>
  <w:font w:name="AdobeSongStd-Light,Bold">
    <w:altName w:val="苹方-简"/>
    <w:panose1 w:val="00000000000000000000"/>
    <w:charset w:val="86"/>
    <w:family w:val="auto"/>
    <w:pitch w:val="default"/>
    <w:sig w:usb0="00000000" w:usb1="00000000" w:usb2="00000010" w:usb3="00000000" w:csb0="00040000" w:csb1="00000000"/>
  </w:font>
  <w:font w:name="DY96+ZDDDPO-96">
    <w:altName w:val="苹方-简"/>
    <w:panose1 w:val="00000000000000000000"/>
    <w:charset w:val="00"/>
    <w:family w:val="auto"/>
    <w:pitch w:val="default"/>
    <w:sig w:usb0="00000000" w:usb1="00000000" w:usb2="00000000" w:usb3="00000000" w:csb0="00000001" w:csb1="00000000"/>
  </w:font>
  <w:font w:name="DY7+ZDDDOU-7">
    <w:altName w:val="苹方-简"/>
    <w:panose1 w:val="00000000000000000000"/>
    <w:charset w:val="00"/>
    <w:family w:val="auto"/>
    <w:pitch w:val="default"/>
    <w:sig w:usb0="00000000" w:usb1="00000000" w:usb2="00000000" w:usb3="00000000" w:csb0="00000001" w:csb1="00000000"/>
  </w:font>
  <w:font w:name="MS Mincho">
    <w:altName w:val="Hiragino Sans"/>
    <w:panose1 w:val="02020609040205080304"/>
    <w:charset w:val="80"/>
    <w:family w:val="modern"/>
    <w:pitch w:val="default"/>
    <w:sig w:usb0="00000000" w:usb1="00000000" w:usb2="08000012" w:usb3="00000000" w:csb0="0002009F" w:csb1="00000000"/>
  </w:font>
  <w:font w:name="DY83+ZMXUZf-84">
    <w:altName w:val="苹方-简"/>
    <w:panose1 w:val="00000000000000000000"/>
    <w:charset w:val="00"/>
    <w:family w:val="auto"/>
    <w:pitch w:val="default"/>
    <w:sig w:usb0="00000000" w:usb1="00000000" w:usb2="00000000" w:usb3="00000000" w:csb0="00000001" w:csb1="00000000"/>
  </w:font>
  <w:font w:name="等线 Light">
    <w:altName w:val="汉仪中等线KW"/>
    <w:panose1 w:val="02010600030101010101"/>
    <w:charset w:val="86"/>
    <w:family w:val="auto"/>
    <w:pitch w:val="default"/>
    <w:sig w:usb0="00000000" w:usb1="00000000" w:usb2="00000016" w:usb3="00000000" w:csb0="0004000F" w:csb1="00000000"/>
  </w:font>
  <w:font w:name="DY10 ZJAGDe-10">
    <w:altName w:val="苹方-简"/>
    <w:panose1 w:val="00000000000000000000"/>
    <w:charset w:val="00"/>
    <w:family w:val="auto"/>
    <w:pitch w:val="default"/>
    <w:sig w:usb0="00000000" w:usb1="00000000" w:usb2="00000000" w:usb3="00000000" w:csb0="00000000" w:csb1="00000000"/>
  </w:font>
  <w:font w:name="A9+cajcd fnta1">
    <w:altName w:val="Apple SD Gothic Neo"/>
    <w:panose1 w:val="00000000000000000000"/>
    <w:charset w:val="81"/>
    <w:family w:val="auto"/>
    <w:pitch w:val="default"/>
    <w:sig w:usb0="00000000" w:usb1="00000000" w:usb2="00000010" w:usb3="00000000" w:csb0="00080000" w:csb1="00000000"/>
  </w:font>
  <w:font w:name="Calibri">
    <w:altName w:val="Helvetica Neue"/>
    <w:panose1 w:val="020F0502020204030204"/>
    <w:charset w:val="01"/>
    <w:family w:val="auto"/>
    <w:pitch w:val="default"/>
    <w:sig w:usb0="00000000" w:usb1="00000000" w:usb2="00000000" w:usb3="00000000" w:csb0="00000000" w:csb1="00000000"/>
  </w:font>
  <w:font w:name="TimesNewRomanPSMT">
    <w:panose1 w:val="02020503050405090304"/>
    <w:charset w:val="00"/>
    <w:family w:val="auto"/>
    <w:pitch w:val="default"/>
    <w:sig w:usb0="E0000AFF" w:usb1="00007843" w:usb2="00000001" w:usb3="00000000" w:csb0="400001BF" w:csb1="DFF70000"/>
  </w:font>
  <w:font w:name="B6+cajcd fnta1">
    <w:altName w:val="苹方-简"/>
    <w:panose1 w:val="00000000000000000000"/>
    <w:charset w:val="86"/>
    <w:family w:val="auto"/>
    <w:pitch w:val="default"/>
    <w:sig w:usb0="00000000" w:usb1="00000000" w:usb2="00000010" w:usb3="00000000" w:csb0="00040000" w:csb1="00000000"/>
  </w:font>
  <w:font w:name="B4+CAJ FNT00">
    <w:altName w:val="苹方-简"/>
    <w:panose1 w:val="00000000000000000000"/>
    <w:charset w:val="86"/>
    <w:family w:val="auto"/>
    <w:pitch w:val="default"/>
    <w:sig w:usb0="00000000" w:usb1="00000000" w:usb2="00000010" w:usb3="00000000" w:csb0="00040000" w:csb1="00000000"/>
  </w:font>
  <w:font w:name="华光黑体_CNKI">
    <w:altName w:val="汉仪中黑KW"/>
    <w:panose1 w:val="02000500000000000000"/>
    <w:charset w:val="86"/>
    <w:family w:val="auto"/>
    <w:pitch w:val="default"/>
    <w:sig w:usb0="00000000" w:usb1="00000000" w:usb2="00000016" w:usb3="00000000" w:csb0="0004000F" w:csb1="00000000"/>
  </w:font>
  <w:font w:name="华光楷体_CNKI">
    <w:altName w:val="汉仪楷体简"/>
    <w:panose1 w:val="02000500000000000000"/>
    <w:charset w:val="86"/>
    <w:family w:val="auto"/>
    <w:pitch w:val="default"/>
    <w:sig w:usb0="00000000" w:usb1="00000000" w:usb2="00000016" w:usb3="00000000" w:csb0="0004000F" w:csb1="00000000"/>
  </w:font>
  <w:font w:name="Malgun Gothic">
    <w:altName w:val="Apple SD Gothic Neo"/>
    <w:panose1 w:val="020B0503020000020004"/>
    <w:charset w:val="81"/>
    <w:family w:val="auto"/>
    <w:pitch w:val="default"/>
    <w:sig w:usb0="00000000" w:usb1="00000000" w:usb2="00000012" w:usb3="00000000" w:csb0="00080001" w:csb1="00000000"/>
  </w:font>
  <w:font w:name="cajcd-fntaa">
    <w:altName w:val="苹方-简"/>
    <w:panose1 w:val="00000000000000000000"/>
    <w:charset w:val="00"/>
    <w:family w:val="swiss"/>
    <w:pitch w:val="default"/>
    <w:sig w:usb0="00000000" w:usb1="00000000" w:usb2="00000000" w:usb3="00000000" w:csb0="00000001" w:csb1="00000000"/>
  </w:font>
  <w:font w:name="cajcd-fnta0">
    <w:altName w:val="苹方-简"/>
    <w:panose1 w:val="00000000000000000000"/>
    <w:charset w:val="00"/>
    <w:family w:val="swiss"/>
    <w:pitch w:val="default"/>
    <w:sig w:usb0="00000000" w:usb1="00000000" w:usb2="00000000" w:usb3="00000000" w:csb0="00000001" w:csb1="00000000"/>
  </w:font>
  <w:font w:name="cajcd-fnta6">
    <w:altName w:val="苹方-简"/>
    <w:panose1 w:val="00000000000000000000"/>
    <w:charset w:val="00"/>
    <w:family w:val="swiss"/>
    <w:pitch w:val="default"/>
    <w:sig w:usb0="00000000" w:usb1="00000000" w:usb2="00000000" w:usb3="00000000" w:csb0="00000001" w:csb1="00000000"/>
  </w:font>
  <w:font w:name="B4+cajcd fnta1">
    <w:altName w:val="苹方-简"/>
    <w:panose1 w:val="00000000000000000000"/>
    <w:charset w:val="86"/>
    <w:family w:val="auto"/>
    <w:pitch w:val="default"/>
    <w:sig w:usb0="00000000" w:usb1="00000000" w:usb2="00000010" w:usb3="00000000" w:csb0="00040000" w:csb1="00000000"/>
  </w:font>
  <w:font w:name="B5+CAJ FNT00">
    <w:altName w:val="苹方-简"/>
    <w:panose1 w:val="00000000000000000000"/>
    <w:charset w:val="86"/>
    <w:family w:val="auto"/>
    <w:pitch w:val="default"/>
    <w:sig w:usb0="00000000" w:usb1="00000000" w:usb2="00000010" w:usb3="00000000" w:csb0="00040000" w:csb1="00000000"/>
  </w:font>
  <w:font w:name="Tahoma">
    <w:panose1 w:val="020B0604030504040204"/>
    <w:charset w:val="00"/>
    <w:family w:val="auto"/>
    <w:pitch w:val="default"/>
    <w:sig w:usb0="E1002AFF" w:usb1="C000605B" w:usb2="00000029" w:usb3="00000000" w:csb0="200101FF" w:csb1="20280000"/>
  </w:font>
  <w:font w:name="A3+CAJ FNT00">
    <w:altName w:val="苹方-简"/>
    <w:panose1 w:val="00000000000000000000"/>
    <w:charset w:val="86"/>
    <w:family w:val="auto"/>
    <w:pitch w:val="default"/>
    <w:sig w:usb0="00000000" w:usb1="00000000" w:usb2="00000010" w:usb3="00000000" w:csb0="00040000" w:csb1="00000000"/>
  </w:font>
  <w:font w:name="A12+SimSun">
    <w:altName w:val="苹方-简"/>
    <w:panose1 w:val="00000000000000000000"/>
    <w:charset w:val="86"/>
    <w:family w:val="auto"/>
    <w:pitch w:val="default"/>
    <w:sig w:usb0="00000000" w:usb1="00000000" w:usb2="00000010" w:usb3="00000000" w:csb0="00040000" w:csb1="00000000"/>
  </w:font>
  <w:font w:name="A5+cajcd fnta1">
    <w:altName w:val="Apple SD Gothic Neo"/>
    <w:panose1 w:val="00000000000000000000"/>
    <w:charset w:val="81"/>
    <w:family w:val="auto"/>
    <w:pitch w:val="default"/>
    <w:sig w:usb0="00000000" w:usb1="00000000" w:usb2="00000010" w:usb3="00000000" w:csb0="00080000" w:csb1="00000000"/>
  </w:font>
  <w:font w:name="A9+楷体">
    <w:altName w:val="汉仪楷体简"/>
    <w:panose1 w:val="00000000000000000000"/>
    <w:charset w:val="86"/>
    <w:family w:val="auto"/>
    <w:pitch w:val="default"/>
    <w:sig w:usb0="00000000" w:usb1="00000000" w:usb2="00000010" w:usb3="00000000" w:csb0="00040000" w:csb1="00000000"/>
  </w:font>
  <w:font w:name="A16+CAJ FNT04">
    <w:altName w:val="苹方-简"/>
    <w:panose1 w:val="00000000000000000000"/>
    <w:charset w:val="86"/>
    <w:family w:val="auto"/>
    <w:pitch w:val="default"/>
    <w:sig w:usb0="00000000" w:usb1="00000000" w:usb2="00000010" w:usb3="00000000" w:csb0="00040000" w:csb1="00000000"/>
  </w:font>
  <w:font w:name="A6+CAJ FNT00">
    <w:altName w:val="苹方-简"/>
    <w:panose1 w:val="00000000000000000000"/>
    <w:charset w:val="86"/>
    <w:family w:val="auto"/>
    <w:pitch w:val="default"/>
    <w:sig w:usb0="00000000" w:usb1="00000000" w:usb2="00000010" w:usb3="00000000" w:csb0="00040000" w:csb1="00000000"/>
  </w:font>
  <w:font w:name="A3+cajcd fnta1">
    <w:altName w:val="Apple SD Gothic Neo"/>
    <w:panose1 w:val="00000000000000000000"/>
    <w:charset w:val="81"/>
    <w:family w:val="auto"/>
    <w:pitch w:val="default"/>
    <w:sig w:usb0="00000000" w:usb1="00000000" w:usb2="00000010" w:usb3="00000000" w:csb0="00080000" w:csb1="00000000"/>
  </w:font>
  <w:font w:name="Nyala">
    <w:altName w:val="苹方-简"/>
    <w:panose1 w:val="00000000000000000000"/>
    <w:charset w:val="00"/>
    <w:family w:val="auto"/>
    <w:pitch w:val="default"/>
    <w:sig w:usb0="00000000" w:usb1="00000000" w:usb2="00000800" w:usb3="00000000" w:csb0="00000093" w:csb1="00000000"/>
  </w:font>
  <w:font w:name="TimesNewRoman">
    <w:altName w:val="Times New Roman"/>
    <w:panose1 w:val="00000000000000000000"/>
    <w:charset w:val="86"/>
    <w:family w:val="auto"/>
    <w:pitch w:val="default"/>
    <w:sig w:usb0="00000000" w:usb1="00000000" w:usb2="00000010" w:usb3="00000000" w:csb0="00040000" w:csb1="00000000"/>
  </w:font>
  <w:font w:name="Courier">
    <w:altName w:val="苹方-简"/>
    <w:panose1 w:val="02070409020205020404"/>
    <w:charset w:val="00"/>
    <w:family w:val="modern"/>
    <w:pitch w:val="default"/>
    <w:sig w:usb0="00000000" w:usb1="00000000" w:usb2="00000000" w:usb3="00000000" w:csb0="00000001" w:csb1="00000000"/>
  </w:font>
  <w:font w:name="AdobeSongStd-Light-Acro">
    <w:altName w:val="苹方-简"/>
    <w:panose1 w:val="00000000000000000000"/>
    <w:charset w:val="86"/>
    <w:family w:val="auto"/>
    <w:pitch w:val="default"/>
    <w:sig w:usb0="00000000" w:usb1="00000000" w:usb2="00000010" w:usb3="00000000" w:csb0="00040000" w:csb1="00000000"/>
  </w:font>
  <w:font w:name="FZXBSK--GBK1-00+ZBNFQG-3">
    <w:altName w:val="苹方-简"/>
    <w:panose1 w:val="00000000000000000000"/>
    <w:charset w:val="86"/>
    <w:family w:val="auto"/>
    <w:pitch w:val="default"/>
    <w:sig w:usb0="00000000" w:usb1="00000000" w:usb2="00000010" w:usb3="00000000" w:csb0="00040000" w:csb1="00000000"/>
  </w:font>
  <w:font w:name="E-BZ+ZBNFQH-6">
    <w:altName w:val="苹方-简"/>
    <w:panose1 w:val="00000000000000000000"/>
    <w:charset w:val="86"/>
    <w:family w:val="auto"/>
    <w:pitch w:val="default"/>
    <w:sig w:usb0="00000000" w:usb1="00000000" w:usb2="00000010" w:usb3="00000000" w:csb0="00040000" w:csb1="00000000"/>
  </w:font>
  <w:font w:name="SSJ4+ZBNFQG-1">
    <w:altName w:val="苹方-简"/>
    <w:panose1 w:val="00000000000000000000"/>
    <w:charset w:val="86"/>
    <w:family w:val="auto"/>
    <w:pitch w:val="default"/>
    <w:sig w:usb0="00000000" w:usb1="00000000" w:usb2="00000010" w:usb3="00000000" w:csb0="00040000" w:csb1="00000000"/>
  </w:font>
  <w:font w:name="FZSSK--GBK1-00+ZBNFQH-7">
    <w:altName w:val="苹方-简"/>
    <w:panose1 w:val="00000000000000000000"/>
    <w:charset w:val="86"/>
    <w:family w:val="auto"/>
    <w:pitch w:val="default"/>
    <w:sig w:usb0="00000000" w:usb1="00000000" w:usb2="00000010" w:usb3="00000000" w:csb0="00040000" w:csb1="00000000"/>
  </w:font>
  <w:font w:name="FZSSK--GBK1-00+ZBNFQH-5">
    <w:altName w:val="苹方-简"/>
    <w:panose1 w:val="00000000000000000000"/>
    <w:charset w:val="86"/>
    <w:family w:val="auto"/>
    <w:pitch w:val="default"/>
    <w:sig w:usb0="00000000" w:usb1="00000000" w:usb2="00000010" w:usb3="00000000" w:csb0="00040000" w:csb1="00000000"/>
  </w:font>
  <w:font w:name="FZSSK--GBK1-00+ZBNFQI-9">
    <w:altName w:val="苹方-简"/>
    <w:panose1 w:val="00000000000000000000"/>
    <w:charset w:val="86"/>
    <w:family w:val="auto"/>
    <w:pitch w:val="default"/>
    <w:sig w:usb0="00000000" w:usb1="00000000" w:usb2="00000010" w:usb3="00000000" w:csb0="00040000" w:csb1="00000000"/>
  </w:font>
  <w:font w:name="FZSSK--GBK1-00+ZBNFQH-8">
    <w:altName w:val="苹方-简"/>
    <w:panose1 w:val="00000000000000000000"/>
    <w:charset w:val="86"/>
    <w:family w:val="auto"/>
    <w:pitch w:val="default"/>
    <w:sig w:usb0="00000000" w:usb1="00000000" w:usb2="00000010" w:usb3="00000000" w:csb0="00040000" w:csb1="00000000"/>
  </w:font>
  <w:font w:name="FZSSK--GBK1-00+ZBNFQI-10">
    <w:altName w:val="苹方-简"/>
    <w:panose1 w:val="00000000000000000000"/>
    <w:charset w:val="86"/>
    <w:family w:val="auto"/>
    <w:pitch w:val="default"/>
    <w:sig w:usb0="00000000" w:usb1="00000000" w:usb2="00000010" w:usb3="00000000" w:csb0="00040000" w:csb1="00000000"/>
  </w:font>
  <w:font w:name="FZSSK--GBK1-00+ZBNFQJ-12">
    <w:altName w:val="苹方-简"/>
    <w:panose1 w:val="00000000000000000000"/>
    <w:charset w:val="86"/>
    <w:family w:val="auto"/>
    <w:pitch w:val="default"/>
    <w:sig w:usb0="00000000" w:usb1="00000000" w:usb2="00000010" w:usb3="00000000" w:csb0="00040000" w:csb1="00000000"/>
  </w:font>
  <w:font w:name="FZSSK--GBK1-00+ZBNFQM-17">
    <w:altName w:val="苹方-简"/>
    <w:panose1 w:val="00000000000000000000"/>
    <w:charset w:val="86"/>
    <w:family w:val="auto"/>
    <w:pitch w:val="default"/>
    <w:sig w:usb0="00000000" w:usb1="00000000" w:usb2="00000010" w:usb3="00000000" w:csb0="00040000" w:csb1="00000000"/>
  </w:font>
  <w:font w:name="SSJ0+ZBNFQG-4">
    <w:altName w:val="苹方-简"/>
    <w:panose1 w:val="00000000000000000000"/>
    <w:charset w:val="86"/>
    <w:family w:val="auto"/>
    <w:pitch w:val="default"/>
    <w:sig w:usb0="00000000" w:usb1="00000000" w:usb2="00000010" w:usb3="00000000" w:csb0="00040000" w:csb1="00000000"/>
  </w:font>
  <w:font w:name="FZSSK--GBK1-00+ZBNFQJ-13">
    <w:altName w:val="苹方-简"/>
    <w:panose1 w:val="00000000000000000000"/>
    <w:charset w:val="86"/>
    <w:family w:val="auto"/>
    <w:pitch w:val="default"/>
    <w:sig w:usb0="00000000" w:usb1="00000000" w:usb2="00000010" w:usb3="00000000" w:csb0="00040000" w:csb1="00000000"/>
  </w:font>
  <w:font w:name="FZSSK--GBK1-00+ZBNFQN-20">
    <w:altName w:val="苹方-简"/>
    <w:panose1 w:val="00000000000000000000"/>
    <w:charset w:val="86"/>
    <w:family w:val="auto"/>
    <w:pitch w:val="default"/>
    <w:sig w:usb0="00000000" w:usb1="00000000" w:usb2="00000010" w:usb3="00000000" w:csb0="00040000" w:csb1="00000000"/>
  </w:font>
  <w:font w:name="FZSSK--GBK1-00+ZBNFQK-14">
    <w:altName w:val="苹方-简"/>
    <w:panose1 w:val="00000000000000000000"/>
    <w:charset w:val="86"/>
    <w:family w:val="auto"/>
    <w:pitch w:val="default"/>
    <w:sig w:usb0="00000000" w:usb1="00000000" w:usb2="00000010" w:usb3="00000000" w:csb0="00040000" w:csb1="00000000"/>
  </w:font>
  <w:font w:name="FZSSK--GBK1-00+ZBNFQT-26">
    <w:altName w:val="苹方-简"/>
    <w:panose1 w:val="00000000000000000000"/>
    <w:charset w:val="86"/>
    <w:family w:val="auto"/>
    <w:pitch w:val="default"/>
    <w:sig w:usb0="00000000" w:usb1="00000000" w:usb2="00000010" w:usb3="00000000" w:csb0="00040000" w:csb1="00000000"/>
  </w:font>
  <w:font w:name="FZSSK--GBK1-00+ZBNFQK-15">
    <w:altName w:val="苹方-简"/>
    <w:panose1 w:val="00000000000000000000"/>
    <w:charset w:val="86"/>
    <w:family w:val="auto"/>
    <w:pitch w:val="default"/>
    <w:sig w:usb0="00000000" w:usb1="00000000" w:usb2="00000010" w:usb3="00000000" w:csb0="00040000" w:csb1="00000000"/>
  </w:font>
  <w:font w:name="FZSSK--GBK1-00+ZBNFQL-16">
    <w:altName w:val="苹方-简"/>
    <w:panose1 w:val="00000000000000000000"/>
    <w:charset w:val="86"/>
    <w:family w:val="auto"/>
    <w:pitch w:val="default"/>
    <w:sig w:usb0="00000000" w:usb1="00000000" w:usb2="00000010" w:usb3="00000000" w:csb0="00040000" w:csb1="00000000"/>
  </w:font>
  <w:font w:name="FZSSK--GBK1-00+ZBNFQO-22">
    <w:altName w:val="苹方-简"/>
    <w:panose1 w:val="00000000000000000000"/>
    <w:charset w:val="86"/>
    <w:family w:val="auto"/>
    <w:pitch w:val="default"/>
    <w:sig w:usb0="00000000" w:usb1="00000000" w:usb2="00000010" w:usb3="00000000" w:csb0="00040000" w:csb1="00000000"/>
  </w:font>
  <w:font w:name="FZSSK--GBK1-00+ZBNFQP-23">
    <w:altName w:val="苹方-简"/>
    <w:panose1 w:val="00000000000000000000"/>
    <w:charset w:val="86"/>
    <w:family w:val="auto"/>
    <w:pitch w:val="default"/>
    <w:sig w:usb0="00000000" w:usb1="00000000" w:usb2="00000010" w:usb3="00000000" w:csb0="00040000" w:csb1="00000000"/>
  </w:font>
  <w:font w:name="FZSSK--GBK1-00+ZBNFQQ-24">
    <w:altName w:val="苹方-简"/>
    <w:panose1 w:val="00000000000000000000"/>
    <w:charset w:val="86"/>
    <w:family w:val="auto"/>
    <w:pitch w:val="default"/>
    <w:sig w:usb0="00000000" w:usb1="00000000" w:usb2="00000010" w:usb3="00000000" w:csb0="00040000" w:csb1="00000000"/>
  </w:font>
  <w:font w:name="FZSSK--GBK1-00+ZBNFQO-21">
    <w:altName w:val="苹方-简"/>
    <w:panose1 w:val="00000000000000000000"/>
    <w:charset w:val="86"/>
    <w:family w:val="auto"/>
    <w:pitch w:val="default"/>
    <w:sig w:usb0="00000000" w:usb1="00000000" w:usb2="00000010" w:usb3="00000000" w:csb0="00040000" w:csb1="00000000"/>
  </w:font>
  <w:font w:name="FZXBSK--GBK1-00+ZBNFQW-28">
    <w:altName w:val="苹方-简"/>
    <w:panose1 w:val="00000000000000000000"/>
    <w:charset w:val="86"/>
    <w:family w:val="auto"/>
    <w:pitch w:val="default"/>
    <w:sig w:usb0="00000000" w:usb1="00000000" w:usb2="00000010" w:usb3="00000000" w:csb0="00040000" w:csb1="00000000"/>
  </w:font>
  <w:font w:name="Kingsoft Math">
    <w:panose1 w:val="02040503050406030204"/>
    <w:charset w:val="00"/>
    <w:family w:val="auto"/>
    <w:pitch w:val="default"/>
    <w:sig w:usb0="80000087" w:usb1="00002068" w:usb2="00000000" w:usb3="00000000" w:csb0="2000019F" w:csb1="00000000"/>
  </w:font>
  <w:font w:name="宋体-简">
    <w:panose1 w:val="02010800040101010101"/>
    <w:charset w:val="86"/>
    <w:family w:val="auto"/>
    <w:pitch w:val="default"/>
    <w:sig w:usb0="00000001" w:usb1="080F0000" w:usb2="00000000" w:usb3="00000000" w:csb0="00040000" w:csb1="00000000"/>
  </w:font>
  <w:font w:name="华文宋体">
    <w:panose1 w:val="02010600040101010101"/>
    <w:charset w:val="86"/>
    <w:family w:val="auto"/>
    <w:pitch w:val="default"/>
    <w:sig w:usb0="80000287" w:usb1="280F3C52" w:usb2="00000016" w:usb3="00000000" w:csb0="0004001F" w:csb1="00000000"/>
  </w:font>
  <w:font w:name="苹方-简">
    <w:panose1 w:val="020B0400000000000000"/>
    <w:charset w:val="86"/>
    <w:family w:val="auto"/>
    <w:pitch w:val="default"/>
    <w:sig w:usb0="A00002FF" w:usb1="7ACFFDFB" w:usb2="00000017" w:usb3="00000000" w:csb0="00040001" w:csb1="00000000"/>
  </w:font>
  <w:font w:name="Nanum Myeongjo">
    <w:panose1 w:val="02020603020101020101"/>
    <w:charset w:val="81"/>
    <w:family w:val="auto"/>
    <w:pitch w:val="default"/>
    <w:sig w:usb0="800002A7" w:usb1="01D7FCFB" w:usb2="00000010" w:usb3="00000000" w:csb0="00080001" w:csb1="00000000"/>
  </w:font>
  <w:font w:name="汉仪中等线KW">
    <w:panose1 w:val="01010104010101010101"/>
    <w:charset w:val="86"/>
    <w:family w:val="auto"/>
    <w:pitch w:val="default"/>
    <w:sig w:usb0="800002BF" w:usb1="004F7CFA" w:usb2="00000000" w:usb3="00000000" w:csb0="00040001" w:csb1="00000000"/>
  </w:font>
  <w:font w:name="冬青黑体简体中文">
    <w:panose1 w:val="020B0300000000000000"/>
    <w:charset w:val="86"/>
    <w:family w:val="auto"/>
    <w:pitch w:val="default"/>
    <w:sig w:usb0="A00002BF" w:usb1="1ACF7CFA" w:usb2="00000016" w:usb3="00000000" w:csb0="00060007" w:csb1="00000000"/>
  </w:font>
  <w:font w:name="汉仪旗黑">
    <w:panose1 w:val="00020600040101010101"/>
    <w:charset w:val="86"/>
    <w:family w:val="auto"/>
    <w:pitch w:val="default"/>
    <w:sig w:usb0="A00002BF" w:usb1="1ACF7CFA" w:usb2="00000016" w:usb3="00000000" w:csb0="0004009F" w:csb1="DFD70000"/>
  </w:font>
  <w:font w:name="Hiragino Sans">
    <w:panose1 w:val="020B0300000000000000"/>
    <w:charset w:val="80"/>
    <w:family w:val="auto"/>
    <w:pitch w:val="default"/>
    <w:sig w:usb0="E00002FF" w:usb1="7AE7FFFF" w:usb2="00000012" w:usb3="00000000" w:csb0="0002000D" w:csb1="00000000"/>
  </w:font>
  <w:font w:name="宋体-繁">
    <w:panose1 w:val="02010600040101010101"/>
    <w:charset w:val="86"/>
    <w:family w:val="auto"/>
    <w:pitch w:val="default"/>
    <w:sig w:usb0="00000287" w:usb1="080F0000" w:usb2="00000000" w:usb3="00000000" w:csb0="0004009F" w:csb1="DFD70000"/>
  </w:font>
  <w:font w:name="Apple SD Gothic Neo">
    <w:panose1 w:val="02000300000000000000"/>
    <w:charset w:val="81"/>
    <w:family w:val="auto"/>
    <w:pitch w:val="default"/>
    <w:sig w:usb0="00000203" w:usb1="21D12C10" w:usb2="00000010" w:usb3="00000000" w:csb0="00280005" w:csb1="00000000"/>
  </w:font>
  <w:font w:name="汉仪楷体简">
    <w:panose1 w:val="02010600000101010101"/>
    <w:charset w:val="86"/>
    <w:family w:val="auto"/>
    <w:pitch w:val="default"/>
    <w:sig w:usb0="00000001" w:usb1="080E0800" w:usb2="00000002" w:usb3="00000000" w:csb0="0004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893276">
    <w:pPr>
      <w:spacing w:line="1" w:lineRule="exac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011CDB">
    <w:pPr>
      <w:pStyle w:val="4"/>
      <w:spacing w:line="14" w:lineRule="auto"/>
      <w:rPr>
        <w:sz w:val="20"/>
      </w:rPr>
    </w:pPr>
    <w:r>
      <w:rPr>
        <w:sz w:val="20"/>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600" name="文本框 60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9DE5827">
                          <w:pPr>
                            <w:pStyle w:val="8"/>
                          </w:pPr>
                          <w:r>
                            <w:t xml:space="preserve">— </w:t>
                          </w:r>
                          <w:r>
                            <w:fldChar w:fldCharType="begin"/>
                          </w:r>
                          <w:r>
                            <w:instrText xml:space="preserve"> PAGE  \* MERGEFORMAT </w:instrText>
                          </w:r>
                          <w:r>
                            <w:fldChar w:fldCharType="separate"/>
                          </w:r>
                          <w:r>
                            <w:t>332</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7XY4oyAgAAZ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ztdjijICAABlBAAADgAAAAAAAAABACAAAAAfAQAAZHJzL2Uyb0RvYy54bWxQSwUG&#10;AAAAAAYABgBZAQAAwwUAAAAA&#10;">
              <v:fill on="f" focussize="0,0"/>
              <v:stroke on="f" weight="0.5pt"/>
              <v:imagedata o:title=""/>
              <o:lock v:ext="edit" aspectratio="f"/>
              <v:textbox inset="0mm,0mm,0mm,0mm" style="mso-fit-shape-to-text:t;">
                <w:txbxContent>
                  <w:p w14:paraId="59DE5827">
                    <w:pPr>
                      <w:pStyle w:val="8"/>
                    </w:pPr>
                    <w:r>
                      <w:t xml:space="preserve">— </w:t>
                    </w:r>
                    <w:r>
                      <w:fldChar w:fldCharType="begin"/>
                    </w:r>
                    <w:r>
                      <w:instrText xml:space="preserve"> PAGE  \* MERGEFORMAT </w:instrText>
                    </w:r>
                    <w:r>
                      <w:fldChar w:fldCharType="separate"/>
                    </w:r>
                    <w:r>
                      <w:t>332</w:t>
                    </w:r>
                    <w:r>
                      <w:fldChar w:fldCharType="end"/>
                    </w:r>
                    <w:r>
                      <w:t xml:space="preserve"> —</w:t>
                    </w:r>
                  </w:p>
                </w:txbxContent>
              </v:textbox>
            </v:shape>
          </w:pict>
        </mc:Fallback>
      </mc:AlternateConten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FD7EBC">
    <w:pPr>
      <w:spacing w:before="1" w:line="157" w:lineRule="auto"/>
      <w:ind w:left="283"/>
      <w:rPr>
        <w:rFonts w:ascii="微软雅黑" w:hAnsi="微软雅黑" w:eastAsia="微软雅黑" w:cs="微软雅黑"/>
        <w:sz w:val="20"/>
        <w:szCs w:val="20"/>
      </w:rPr>
    </w:pPr>
    <w:r>
      <w:rPr>
        <w:sz w:val="20"/>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601" name="文本框 60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5B9228B4">
                          <w:pPr>
                            <w:pStyle w:val="8"/>
                          </w:pPr>
                          <w:r>
                            <w:t xml:space="preserve">— </w:t>
                          </w:r>
                          <w:r>
                            <w:fldChar w:fldCharType="begin"/>
                          </w:r>
                          <w:r>
                            <w:instrText xml:space="preserve"> PAGE  \* MERGEFORMAT </w:instrText>
                          </w:r>
                          <w:r>
                            <w:fldChar w:fldCharType="separate"/>
                          </w:r>
                          <w:r>
                            <w:t>580</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pWv9FjICAABlBAAADgAAAAAAAAABACAAAAAfAQAAZHJzL2Uyb0RvYy54bWxQSwUG&#10;AAAAAAYABgBZAQAAwwUAAAAA&#10;">
              <v:fill on="f" focussize="0,0"/>
              <v:stroke on="f" weight="0.5pt"/>
              <v:imagedata o:title=""/>
              <o:lock v:ext="edit" aspectratio="f"/>
              <v:textbox inset="0mm,0mm,0mm,0mm" style="mso-fit-shape-to-text:t;">
                <w:txbxContent>
                  <w:p w14:paraId="5B9228B4">
                    <w:pPr>
                      <w:pStyle w:val="8"/>
                    </w:pPr>
                    <w:r>
                      <w:t xml:space="preserve">— </w:t>
                    </w:r>
                    <w:r>
                      <w:fldChar w:fldCharType="begin"/>
                    </w:r>
                    <w:r>
                      <w:instrText xml:space="preserve"> PAGE  \* MERGEFORMAT </w:instrText>
                    </w:r>
                    <w:r>
                      <w:fldChar w:fldCharType="separate"/>
                    </w:r>
                    <w:r>
                      <w:t>580</w:t>
                    </w:r>
                    <w:r>
                      <w:fldChar w:fldCharType="end"/>
                    </w:r>
                    <w:r>
                      <w:t xml:space="preserve"> —</w:t>
                    </w:r>
                  </w:p>
                </w:txbxContent>
              </v:textbox>
            </v:shape>
          </w:pict>
        </mc:Fallback>
      </mc:AlternateContent>
    </w:r>
    <w:r>
      <w:rPr>
        <w:rFonts w:ascii="微软雅黑" w:hAnsi="微软雅黑" w:eastAsia="微软雅黑" w:cs="微软雅黑"/>
        <w:spacing w:val="3"/>
        <w:sz w:val="20"/>
        <w:szCs w:val="20"/>
      </w:rPr>
      <w:t>116</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BFA7BC">
    <w:pPr>
      <w:spacing w:line="160" w:lineRule="auto"/>
      <w:ind w:left="7828"/>
      <w:rPr>
        <w:rFonts w:ascii="微软雅黑" w:hAnsi="微软雅黑" w:eastAsia="微软雅黑" w:cs="微软雅黑"/>
        <w:sz w:val="20"/>
        <w:szCs w:val="20"/>
      </w:rPr>
    </w:pPr>
    <w:r>
      <w:rPr>
        <w:sz w:val="20"/>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602" name="文本框 60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D1475A4">
                          <w:pPr>
                            <w:pStyle w:val="8"/>
                          </w:pPr>
                          <w:r>
                            <w:t xml:space="preserve">— </w:t>
                          </w:r>
                          <w:r>
                            <w:fldChar w:fldCharType="begin"/>
                          </w:r>
                          <w:r>
                            <w:instrText xml:space="preserve"> PAGE  \* MERGEFORMAT </w:instrText>
                          </w:r>
                          <w:r>
                            <w:fldChar w:fldCharType="separate"/>
                          </w:r>
                          <w:r>
                            <w:t>600</w:t>
                          </w:r>
                          <w:r>
                            <w:fldChar w:fldCharType="end"/>
                          </w:r>
                          <w:r>
                            <w:t xml:space="preserve"> —</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FmpL2gzAgAAZQQAAA4AAAAAAAAAAQAgAAAAHwEAAGRycy9lMm9Eb2MueG1sUEsF&#10;BgAAAAAGAAYAWQEAAMQFAAAAAA==&#10;">
              <v:fill on="f" focussize="0,0"/>
              <v:stroke on="f" weight="0.5pt"/>
              <v:imagedata o:title=""/>
              <o:lock v:ext="edit" aspectratio="f"/>
              <v:textbox inset="0mm,0mm,0mm,0mm" style="mso-fit-shape-to-text:t;">
                <w:txbxContent>
                  <w:p w14:paraId="0D1475A4">
                    <w:pPr>
                      <w:pStyle w:val="8"/>
                    </w:pPr>
                    <w:r>
                      <w:t xml:space="preserve">— </w:t>
                    </w:r>
                    <w:r>
                      <w:fldChar w:fldCharType="begin"/>
                    </w:r>
                    <w:r>
                      <w:instrText xml:space="preserve"> PAGE  \* MERGEFORMAT </w:instrText>
                    </w:r>
                    <w:r>
                      <w:fldChar w:fldCharType="separate"/>
                    </w:r>
                    <w:r>
                      <w:t>600</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1288">
    <w:p>
      <w:pPr>
        <w:spacing w:line="360" w:lineRule="auto"/>
        <w:ind w:firstLine="420"/>
      </w:pPr>
      <w:r>
        <w:separator/>
      </w:r>
    </w:p>
  </w:footnote>
  <w:footnote w:type="continuationSeparator" w:id="1289">
    <w:p>
      <w:pPr>
        <w:spacing w:line="360" w:lineRule="auto"/>
        <w:ind w:firstLine="420"/>
      </w:pPr>
      <w:r>
        <w:continuationSeparator/>
      </w:r>
    </w:p>
  </w:footnote>
  <w:footnote w:id="0">
    <w:p w14:paraId="1D80353E">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ascii="宋体" w:hAnsi="宋体" w:cs="AdobeSongStd-Light"/>
          <w:color w:val="000000"/>
          <w:kern w:val="0"/>
          <w:szCs w:val="21"/>
        </w:rPr>
        <w:t>参见程恩富：《21世纪：重建中国经济学》，《社会科学报》1994年4月7日；程恩富、张建伟：《问题意识与政治经济学革新》</w:t>
      </w:r>
      <w:r>
        <w:rPr>
          <w:rFonts w:hint="eastAsia" w:ascii="宋体" w:hAnsi="宋体"/>
          <w:color w:val="000000"/>
          <w:kern w:val="0"/>
          <w:szCs w:val="21"/>
        </w:rPr>
        <w:t>，《</w:t>
      </w:r>
      <w:r>
        <w:rPr>
          <w:rFonts w:hint="eastAsia" w:ascii="宋体" w:hAnsi="宋体" w:cs="AdobeSongStd-Light"/>
          <w:color w:val="000000"/>
          <w:kern w:val="0"/>
          <w:szCs w:val="21"/>
        </w:rPr>
        <w:t>经济学家》1999年第3期。</w:t>
      </w:r>
    </w:p>
  </w:footnote>
  <w:footnote w:id="1">
    <w:p w14:paraId="4424F326">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参见程恩富：《西方产权理论评析》，当代中国出版社，1997年版。</w:t>
      </w:r>
    </w:p>
  </w:footnote>
  <w:footnote w:id="2">
    <w:p w14:paraId="2055C9DC">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斯蒂格利茨：《社会主义向何处去》，吉林人民出版社，1998年版。</w:t>
      </w:r>
    </w:p>
  </w:footnote>
  <w:footnote w:id="3">
    <w:p w14:paraId="6F17D76A">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布热津斯基：《大失控与大混乱》，中国社会科学出版社，1994年版。</w:t>
      </w:r>
    </w:p>
  </w:footnote>
  <w:footnote w:id="4">
    <w:p w14:paraId="1CC21F42">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参见程恩富：《西方产权理论评析》，当代中国出版社，1997年版。</w:t>
      </w:r>
    </w:p>
  </w:footnote>
  <w:footnote w:id="5">
    <w:p w14:paraId="37AF8BC5">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ascii="宋体" w:hAnsi="宋体" w:cs="AdobeSongStd-Light"/>
          <w:color w:val="000000"/>
          <w:kern w:val="0"/>
          <w:szCs w:val="21"/>
        </w:rPr>
        <w:t>参见程思富、齐新宇：《重建中国经济学的若干基本问题》载《政治经济学研究报告》（第1集），社会科学文献出版社</w:t>
      </w:r>
      <w:r>
        <w:rPr>
          <w:rFonts w:ascii="宋体" w:hAnsi="宋体"/>
          <w:color w:val="000000"/>
          <w:kern w:val="0"/>
          <w:szCs w:val="21"/>
        </w:rPr>
        <w:t>，</w:t>
      </w:r>
      <w:r>
        <w:rPr>
          <w:rFonts w:hint="eastAsia" w:ascii="宋体" w:hAnsi="宋体" w:cs="AdobeSongStd-Light"/>
          <w:color w:val="000000"/>
          <w:kern w:val="0"/>
          <w:szCs w:val="21"/>
        </w:rPr>
        <w:t>2000年版。</w:t>
      </w:r>
    </w:p>
  </w:footnote>
  <w:footnote w:id="6">
    <w:p w14:paraId="3754779B">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ascii="宋体" w:hAnsi="宋体" w:cs="AdobeSongStd-Light"/>
          <w:color w:val="000000"/>
          <w:kern w:val="0"/>
          <w:szCs w:val="21"/>
        </w:rPr>
        <w:t>参见林国雄：《新儒学经济与管理》</w:t>
      </w:r>
      <w:r>
        <w:rPr>
          <w:rFonts w:ascii="宋体" w:hAnsi="宋体"/>
          <w:color w:val="000000"/>
          <w:kern w:val="0"/>
          <w:szCs w:val="21"/>
        </w:rPr>
        <w:t>，</w:t>
      </w:r>
      <w:r>
        <w:rPr>
          <w:rFonts w:hint="eastAsia" w:ascii="宋体" w:hAnsi="宋体" w:cs="AdobeSongStd-Light"/>
          <w:color w:val="000000"/>
          <w:kern w:val="0"/>
          <w:szCs w:val="21"/>
        </w:rPr>
        <w:t>台湾慈惠出版社1997年版；陈慰中：《中庸经济学》</w:t>
      </w:r>
      <w:r>
        <w:rPr>
          <w:rFonts w:ascii="宋体" w:hAnsi="宋体"/>
          <w:color w:val="000000"/>
          <w:kern w:val="0"/>
          <w:szCs w:val="21"/>
        </w:rPr>
        <w:t>，</w:t>
      </w:r>
      <w:r>
        <w:rPr>
          <w:rFonts w:hint="eastAsia" w:ascii="宋体" w:hAnsi="宋体" w:cs="AdobeSongStd-Light"/>
          <w:color w:val="000000"/>
          <w:kern w:val="0"/>
          <w:szCs w:val="21"/>
        </w:rPr>
        <w:t>中国财政经济出版社的</w:t>
      </w:r>
      <w:r>
        <w:rPr>
          <w:rFonts w:ascii="宋体" w:hAnsi="宋体"/>
          <w:color w:val="000000"/>
          <w:kern w:val="0"/>
          <w:szCs w:val="21"/>
        </w:rPr>
        <w:t xml:space="preserve">， </w:t>
      </w:r>
      <w:r>
        <w:rPr>
          <w:rFonts w:hint="eastAsia" w:ascii="宋体" w:hAnsi="宋体"/>
          <w:color w:val="000000"/>
          <w:kern w:val="0"/>
          <w:szCs w:val="21"/>
        </w:rPr>
        <w:t>1997</w:t>
      </w:r>
      <w:r>
        <w:rPr>
          <w:rFonts w:hint="eastAsia" w:ascii="宋体" w:hAnsi="宋体" w:cs="AdobeSongStd-Light"/>
          <w:color w:val="000000"/>
          <w:kern w:val="0"/>
          <w:szCs w:val="21"/>
        </w:rPr>
        <w:t>年版。</w:t>
      </w:r>
    </w:p>
  </w:footnote>
  <w:footnote w:id="7">
    <w:p w14:paraId="2C53B55B">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ascii="宋体" w:hAnsi="宋体" w:cs="AdobeSongStd-Light"/>
          <w:color w:val="000000"/>
          <w:kern w:val="0"/>
          <w:szCs w:val="21"/>
        </w:rPr>
        <w:t>参见程恩富：《充分认识哲学对经济行为分析的积极效应》，《中国社会科学》1999年第2期，《新华文摘》1999年第7期。</w:t>
      </w:r>
    </w:p>
  </w:footnote>
  <w:footnote w:id="8">
    <w:p w14:paraId="4248AE92">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ascii="宋体" w:hAnsi="宋体" w:cs="AdobeSongStd-Light"/>
          <w:color w:val="000000"/>
          <w:kern w:val="0"/>
          <w:szCs w:val="21"/>
        </w:rPr>
        <w:t>邓英淘、崔之元：《南街村》，当代中国出版社，1996年版。</w:t>
      </w:r>
    </w:p>
  </w:footnote>
  <w:footnote w:id="9">
    <w:p w14:paraId="7C17053B">
      <w:pPr>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参见2000年3月10日《文汇报》。</w:t>
      </w:r>
    </w:p>
  </w:footnote>
  <w:footnote w:id="10">
    <w:p w14:paraId="518DF2CF">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马克思：《共产党宣言》，人民出版社1964年版，第35、37页。</w:t>
      </w:r>
    </w:p>
  </w:footnote>
  <w:footnote w:id="11">
    <w:p w14:paraId="754D37E2">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马克思：《共产党宣言》，人民出版社1964年版，第35、37页。</w:t>
      </w:r>
    </w:p>
  </w:footnote>
  <w:footnote w:id="12">
    <w:p w14:paraId="69E85E15">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《邓小平文选》第3卷，人民出版社1993年版，第144页。</w:t>
      </w:r>
    </w:p>
  </w:footnote>
  <w:footnote w:id="13">
    <w:p w14:paraId="3D1BB9AD">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《马克思恩格斯全集》第23卷，第368—369页。</w:t>
      </w:r>
    </w:p>
  </w:footnote>
  <w:footnote w:id="14">
    <w:p w14:paraId="5AB38528">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《马克思恩格斯全集》第25卷，第435—439页。</w:t>
      </w:r>
    </w:p>
  </w:footnote>
  <w:footnote w:id="15">
    <w:p w14:paraId="79A7369C">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《马克思恩格斯全集》第23卷，第368—369页。</w:t>
      </w:r>
    </w:p>
  </w:footnote>
  <w:footnote w:id="16">
    <w:p w14:paraId="031F5243">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《马克思恩格斯全集》第23卷，第368—369页。</w:t>
      </w:r>
    </w:p>
  </w:footnote>
  <w:footnote w:id="17">
    <w:p w14:paraId="7AA7D4A5">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《马克思恩格斯全集》第26卷，第l册，第147页。</w:t>
      </w:r>
    </w:p>
  </w:footnote>
  <w:footnote w:id="18">
    <w:p w14:paraId="48C388E7">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《马克思恩格斯全集》第25卷，第494页。</w:t>
      </w:r>
    </w:p>
  </w:footnote>
  <w:footnote w:id="19">
    <w:p w14:paraId="36BADDF9">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《马克思恩格斯全集》第23卷，第368—369页。</w:t>
      </w:r>
    </w:p>
  </w:footnote>
  <w:footnote w:id="20">
    <w:p w14:paraId="5C3424CF">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《马克思恩格斯全集》第25卷，第435—439页。</w:t>
      </w:r>
    </w:p>
  </w:footnote>
  <w:footnote w:id="21">
    <w:p w14:paraId="47BE815F">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《马克思恩格斯全集》第23卷，第368—369页。</w:t>
      </w:r>
    </w:p>
  </w:footnote>
  <w:footnote w:id="22">
    <w:p w14:paraId="644A0C10">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《马克思恩格斯全集》第23卷，第368—369页。</w:t>
      </w:r>
    </w:p>
  </w:footnote>
  <w:footnote w:id="23">
    <w:p w14:paraId="1081AD4F">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《马克思恩格斯全集》第23卷，第362页。</w:t>
      </w:r>
    </w:p>
  </w:footnote>
  <w:footnote w:id="24">
    <w:p w14:paraId="3ED3F7A4">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江泽民：《高举邓小平理论伟大旗帜把建设有中国特色社会主义事业全面推向二十一世纪》，人民出版社1997年版，第24页。</w:t>
      </w:r>
    </w:p>
  </w:footnote>
  <w:footnote w:id="25">
    <w:p w14:paraId="3D00D160">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马克思：《资本论》第三卷，人民出版社1975年版，第493页。</w:t>
      </w:r>
    </w:p>
  </w:footnote>
  <w:footnote w:id="26">
    <w:p w14:paraId="1CEF70CD">
      <w:pPr>
        <w:pStyle w:val="12"/>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孙宪忠：《确定我国物权种类以及内容的难点》，《法学研究》，2001年第1期。</w:t>
      </w:r>
    </w:p>
  </w:footnote>
  <w:footnote w:id="27">
    <w:p w14:paraId="5CC2A59C">
      <w:pPr>
        <w:pStyle w:val="12"/>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杜靳慧：《建立员工持股制度》；傅光勋：《完善内部职工持股制度》，载《国企改革与股份制》，外文出版社1998年版。</w:t>
      </w:r>
    </w:p>
  </w:footnote>
  <w:footnote w:id="28">
    <w:p w14:paraId="54593E59">
      <w:pPr>
        <w:rPr>
          <w:rFonts w:hint="default" w:ascii="Times New Roman" w:hAnsi="Times New Roman" w:eastAsia="宋体" w:cs="Times New Roman"/>
          <w:sz w:val="18"/>
          <w:szCs w:val="18"/>
        </w:rPr>
      </w:pPr>
      <w:r>
        <w:rPr>
          <w:rFonts w:hint="default" w:ascii="Times New Roman" w:hAnsi="Times New Roman" w:eastAsia="宋体" w:cs="Times New Roman"/>
          <w:sz w:val="18"/>
          <w:szCs w:val="18"/>
          <w:vertAlign w:val="superscript"/>
        </w:rPr>
        <w:footnoteRef/>
      </w:r>
      <w:r>
        <w:rPr>
          <w:rFonts w:hint="default" w:ascii="Times New Roman" w:hAnsi="Times New Roman" w:eastAsia="宋体" w:cs="Times New Roman"/>
          <w:sz w:val="18"/>
          <w:szCs w:val="18"/>
        </w:rPr>
        <w:t>程恩富著《西方产权理论评析——兼论中国企业改革》，当代中国出版社1997年版，第74页。</w:t>
      </w:r>
    </w:p>
  </w:footnote>
  <w:footnote w:id="29">
    <w:p w14:paraId="3C1E798F">
      <w:pPr>
        <w:snapToGrid w:val="0"/>
        <w:rPr>
          <w:rFonts w:hint="default" w:ascii="Times New Roman" w:hAnsi="Times New Roman" w:eastAsia="宋体" w:cs="Times New Roman"/>
          <w:sz w:val="18"/>
          <w:szCs w:val="18"/>
        </w:rPr>
      </w:pPr>
      <w:r>
        <w:rPr>
          <w:rFonts w:hint="default" w:ascii="Times New Roman" w:hAnsi="Times New Roman" w:eastAsia="宋体" w:cs="Times New Roman"/>
          <w:sz w:val="18"/>
          <w:szCs w:val="18"/>
          <w:vertAlign w:val="superscript"/>
        </w:rPr>
        <w:footnoteRef/>
      </w:r>
      <w:r>
        <w:rPr>
          <w:rFonts w:hint="default" w:ascii="Times New Roman" w:hAnsi="Times New Roman" w:eastAsia="宋体" w:cs="Times New Roman"/>
          <w:sz w:val="18"/>
          <w:szCs w:val="18"/>
        </w:rPr>
        <w:t xml:space="preserve"> Mithell, J. Clyde, 1969,The Concept and Use of Social Network”, in Social Network in Urban Situations, edited by J. C. Mitchell. Manchester, Eng: Manchester University Press.</w:t>
      </w:r>
    </w:p>
  </w:footnote>
  <w:footnote w:id="30">
    <w:p w14:paraId="273C5349">
      <w:pPr>
        <w:snapToGrid w:val="0"/>
        <w:rPr>
          <w:rFonts w:hint="default" w:ascii="Times New Roman" w:hAnsi="Times New Roman" w:eastAsia="宋体" w:cs="Times New Roman"/>
          <w:sz w:val="18"/>
          <w:szCs w:val="18"/>
        </w:rPr>
      </w:pPr>
      <w:r>
        <w:rPr>
          <w:rFonts w:hint="default" w:ascii="Times New Roman" w:hAnsi="Times New Roman" w:eastAsia="宋体" w:cs="Times New Roman"/>
          <w:sz w:val="18"/>
          <w:szCs w:val="18"/>
          <w:vertAlign w:val="superscript"/>
        </w:rPr>
        <w:footnoteRef/>
      </w:r>
      <w:r>
        <w:rPr>
          <w:rFonts w:hint="default" w:ascii="Times New Roman" w:hAnsi="Times New Roman" w:eastAsia="宋体" w:cs="Times New Roman"/>
          <w:kern w:val="0"/>
          <w:sz w:val="18"/>
          <w:szCs w:val="18"/>
        </w:rPr>
        <w:t>王晓毅、朱成堡著《中国乡村的民营企业与家庭经济浙江苍南县项东村调查》, 山西经济出版社年1996版, 第105页。</w:t>
      </w:r>
    </w:p>
  </w:footnote>
  <w:footnote w:id="31">
    <w:p w14:paraId="696A154B">
      <w:pPr>
        <w:snapToGrid w:val="0"/>
        <w:rPr>
          <w:rFonts w:hint="default" w:ascii="Times New Roman" w:hAnsi="Times New Roman" w:eastAsia="宋体" w:cs="Times New Roman"/>
          <w:sz w:val="18"/>
          <w:szCs w:val="18"/>
        </w:rPr>
      </w:pPr>
      <w:r>
        <w:rPr>
          <w:rFonts w:hint="default" w:ascii="Times New Roman" w:hAnsi="Times New Roman" w:eastAsia="宋体" w:cs="Times New Roman"/>
          <w:sz w:val="18"/>
          <w:szCs w:val="18"/>
          <w:vertAlign w:val="superscript"/>
        </w:rPr>
        <w:footnoteRef/>
      </w:r>
      <w:r>
        <w:rPr>
          <w:rFonts w:hint="default" w:ascii="Times New Roman" w:hAnsi="Times New Roman" w:eastAsia="宋体" w:cs="Times New Roman"/>
          <w:sz w:val="18"/>
          <w:szCs w:val="18"/>
        </w:rPr>
        <w:t xml:space="preserve"> </w:t>
      </w:r>
      <w:r>
        <w:rPr>
          <w:rFonts w:hint="default" w:ascii="Times New Roman" w:hAnsi="Times New Roman" w:eastAsia="宋体" w:cs="Times New Roman"/>
          <w:kern w:val="0"/>
          <w:sz w:val="18"/>
          <w:szCs w:val="18"/>
        </w:rPr>
        <w:t>程恩富、伍山林著《企业学说与企业改革》, 财经大学出版社年2001版,，第97页。</w:t>
      </w:r>
    </w:p>
  </w:footnote>
  <w:footnote w:id="32">
    <w:p w14:paraId="3F8D5126">
      <w:pPr>
        <w:snapToGrid w:val="0"/>
        <w:rPr>
          <w:rFonts w:hint="default" w:ascii="Times New Roman" w:hAnsi="Times New Roman" w:eastAsia="宋体" w:cs="Times New Roman"/>
          <w:sz w:val="18"/>
          <w:szCs w:val="18"/>
        </w:rPr>
      </w:pPr>
      <w:r>
        <w:rPr>
          <w:rFonts w:hint="default" w:ascii="Times New Roman" w:hAnsi="Times New Roman" w:eastAsia="宋体" w:cs="Times New Roman"/>
          <w:sz w:val="18"/>
          <w:szCs w:val="18"/>
          <w:vertAlign w:val="superscript"/>
        </w:rPr>
        <w:footnoteRef/>
      </w:r>
      <w:r>
        <w:rPr>
          <w:rFonts w:hint="default" w:ascii="Times New Roman" w:hAnsi="Times New Roman" w:eastAsia="宋体" w:cs="Times New Roman"/>
          <w:sz w:val="18"/>
          <w:szCs w:val="18"/>
        </w:rPr>
        <w:t xml:space="preserve"> Williamson, O. 1975, Markets and Hierarchies : Analysis and Antitrust Implications, New York: Free Press.</w:t>
      </w:r>
    </w:p>
  </w:footnote>
  <w:footnote w:id="33">
    <w:p w14:paraId="5A66BAA9">
      <w:pPr>
        <w:snapToGrid w:val="0"/>
        <w:rPr>
          <w:rFonts w:hint="default" w:ascii="Times New Roman" w:hAnsi="Times New Roman" w:eastAsia="宋体" w:cs="Times New Roman"/>
          <w:sz w:val="18"/>
          <w:szCs w:val="18"/>
        </w:rPr>
      </w:pPr>
      <w:r>
        <w:rPr>
          <w:rFonts w:hint="default" w:ascii="Times New Roman" w:hAnsi="Times New Roman" w:eastAsia="宋体" w:cs="Times New Roman"/>
          <w:sz w:val="18"/>
          <w:szCs w:val="18"/>
          <w:vertAlign w:val="superscript"/>
        </w:rPr>
        <w:footnoteRef/>
      </w:r>
      <w:r>
        <w:rPr>
          <w:rFonts w:hint="default" w:ascii="Times New Roman" w:hAnsi="Times New Roman" w:eastAsia="宋体" w:cs="Times New Roman"/>
          <w:sz w:val="18"/>
          <w:szCs w:val="18"/>
        </w:rPr>
        <w:t xml:space="preserve"> Lin, Nan. 1982, “Social Resources and Instrumental Action”, in Marsden, P. and Lin, Nan. (eds), Social Structure and Network Analysis, Beverly Hills, CA: Sage Publication, Inc.</w:t>
      </w:r>
    </w:p>
  </w:footnote>
  <w:footnote w:id="34">
    <w:p w14:paraId="10482607">
      <w:pPr>
        <w:snapToGrid w:val="0"/>
        <w:rPr>
          <w:rFonts w:hint="default" w:ascii="Times New Roman" w:hAnsi="Times New Roman" w:eastAsia="宋体" w:cs="Times New Roman"/>
          <w:sz w:val="18"/>
          <w:szCs w:val="18"/>
        </w:rPr>
      </w:pPr>
      <w:r>
        <w:rPr>
          <w:rFonts w:hint="default" w:ascii="Times New Roman" w:hAnsi="Times New Roman" w:eastAsia="宋体" w:cs="Times New Roman"/>
          <w:sz w:val="18"/>
          <w:szCs w:val="18"/>
          <w:vertAlign w:val="superscript"/>
        </w:rPr>
        <w:footnoteRef/>
      </w:r>
      <w:r>
        <w:rPr>
          <w:rFonts w:hint="default" w:ascii="Times New Roman" w:hAnsi="Times New Roman" w:eastAsia="宋体" w:cs="Times New Roman"/>
          <w:sz w:val="18"/>
          <w:szCs w:val="18"/>
        </w:rPr>
        <w:t xml:space="preserve"> </w:t>
      </w:r>
      <w:r>
        <w:rPr>
          <w:rFonts w:hint="default" w:ascii="Times New Roman" w:hAnsi="Times New Roman" w:eastAsia="宋体" w:cs="Times New Roman"/>
          <w:kern w:val="0"/>
          <w:sz w:val="18"/>
          <w:szCs w:val="18"/>
        </w:rPr>
        <w:t>杨雪冬:《社会资本对一种新解释范式的探索》,《马克思主义与现实》,1999年第12期。</w:t>
      </w:r>
    </w:p>
  </w:footnote>
  <w:footnote w:id="35">
    <w:p w14:paraId="58BA66EA">
      <w:pPr>
        <w:pStyle w:val="12"/>
        <w:snapToGrid/>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 xml:space="preserve"> [美]O. Williamson: “The vertical integration of production: Market failure considerations”. </w:t>
      </w:r>
      <w:r>
        <w:rPr>
          <w:rFonts w:hint="default" w:ascii="Times New Roman" w:hAnsi="Times New Roman" w:cs="Times New Roman"/>
          <w:i/>
          <w:color w:val="000000"/>
          <w:sz w:val="18"/>
          <w:szCs w:val="18"/>
        </w:rPr>
        <w:t>American Economic Review</w:t>
      </w:r>
      <w:r>
        <w:rPr>
          <w:rFonts w:hint="default" w:ascii="Times New Roman" w:hAnsi="Times New Roman" w:cs="Times New Roman"/>
          <w:color w:val="000000"/>
          <w:sz w:val="18"/>
          <w:szCs w:val="18"/>
        </w:rPr>
        <w:t xml:space="preserve"> </w:t>
      </w:r>
      <w:r>
        <w:rPr>
          <w:rFonts w:hint="default" w:ascii="Times New Roman" w:hAnsi="Times New Roman" w:cs="Times New Roman"/>
          <w:sz w:val="18"/>
          <w:szCs w:val="18"/>
        </w:rPr>
        <w:t>1971年第</w:t>
      </w:r>
      <w:r>
        <w:rPr>
          <w:rFonts w:hint="default" w:ascii="Times New Roman" w:hAnsi="Times New Roman" w:cs="Times New Roman"/>
          <w:color w:val="000000"/>
          <w:sz w:val="18"/>
          <w:szCs w:val="18"/>
        </w:rPr>
        <w:t>61期, 第112–123</w:t>
      </w:r>
      <w:r>
        <w:rPr>
          <w:rFonts w:hint="default" w:ascii="Times New Roman" w:hAnsi="Times New Roman" w:cs="Times New Roman"/>
          <w:sz w:val="18"/>
          <w:szCs w:val="18"/>
        </w:rPr>
        <w:t xml:space="preserve"> 页。</w:t>
      </w:r>
    </w:p>
  </w:footnote>
  <w:footnote w:id="36">
    <w:p w14:paraId="49CD0237">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[美] 詹姆斯·科尔曼：《社会理论的基础》，邓方译，社会科学文献出版社1990年版，第15页。</w:t>
      </w:r>
    </w:p>
  </w:footnote>
  <w:footnote w:id="37">
    <w:p w14:paraId="2DE6D05E">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为了区别于一般的经济理性，我们可以用“价值”概念取代“效益”概念。后者完全是经济方面的含义，前者则涵盖经济的、文化的、社会的多重性质，它可以表示某物（事件、人……）对某一行动者的重要程度。</w:t>
      </w:r>
    </w:p>
  </w:footnote>
  <w:footnote w:id="38">
    <w:p w14:paraId="5FF9739E">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[英]吉登斯：《社会的构成》，</w:t>
      </w:r>
      <w:r>
        <w:rPr>
          <w:rStyle w:val="37"/>
          <w:rFonts w:hint="default" w:ascii="Times New Roman" w:hAnsi="Times New Roman" w:eastAsia="宋体" w:cs="Times New Roman"/>
          <w:color w:val="222222"/>
          <w:sz w:val="18"/>
          <w:szCs w:val="18"/>
          <w:lang w:eastAsia="zh-Hans"/>
        </w:rPr>
        <w:t>李康、李猛译</w:t>
      </w:r>
      <w:r>
        <w:rPr>
          <w:rStyle w:val="37"/>
          <w:rFonts w:hint="default" w:ascii="Times New Roman" w:hAnsi="Times New Roman" w:eastAsia="宋体" w:cs="Times New Roman"/>
          <w:color w:val="222222"/>
          <w:sz w:val="18"/>
          <w:szCs w:val="18"/>
        </w:rPr>
        <w:t>，</w:t>
      </w:r>
      <w:r>
        <w:rPr>
          <w:rFonts w:hint="default" w:ascii="Times New Roman" w:hAnsi="Times New Roman" w:cs="Times New Roman"/>
          <w:sz w:val="18"/>
          <w:szCs w:val="18"/>
        </w:rPr>
        <w:t>三联书店1998年版，第63-66页。</w:t>
      </w:r>
    </w:p>
  </w:footnote>
  <w:footnote w:id="39">
    <w:p w14:paraId="339A3E19">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[英]吉登斯：《社会的构成》，</w:t>
      </w:r>
      <w:r>
        <w:rPr>
          <w:rStyle w:val="37"/>
          <w:rFonts w:hint="default" w:ascii="Times New Roman" w:hAnsi="Times New Roman" w:eastAsia="宋体" w:cs="Times New Roman"/>
          <w:color w:val="222222"/>
          <w:sz w:val="18"/>
          <w:szCs w:val="18"/>
          <w:lang w:eastAsia="zh-Hans"/>
        </w:rPr>
        <w:t>李康、李猛译</w:t>
      </w:r>
      <w:r>
        <w:rPr>
          <w:rStyle w:val="37"/>
          <w:rFonts w:hint="default" w:ascii="Times New Roman" w:hAnsi="Times New Roman" w:eastAsia="宋体" w:cs="Times New Roman"/>
          <w:color w:val="222222"/>
          <w:sz w:val="18"/>
          <w:szCs w:val="18"/>
        </w:rPr>
        <w:t>，</w:t>
      </w:r>
      <w:r>
        <w:rPr>
          <w:rFonts w:hint="default" w:ascii="Times New Roman" w:hAnsi="Times New Roman" w:cs="Times New Roman"/>
          <w:sz w:val="18"/>
          <w:szCs w:val="18"/>
        </w:rPr>
        <w:t>三联书店1998年版，第62页。</w:t>
      </w:r>
    </w:p>
  </w:footnote>
  <w:footnote w:id="40">
    <w:p w14:paraId="2B769F20">
      <w:pPr>
        <w:pStyle w:val="12"/>
        <w:keepLines/>
        <w:pageBreakBefore/>
        <w:snapToGrid/>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例如，就企业主的监测能力而言，也是有限的。首先，他自己的行为很难做到完全理性，很难设计出一套尽善尽美、无空可钻的企业制度。并且，他自己可能经常破坏制度。第二，他自己无法直接监测到一定数量以上的企业成员的活动。第三，他可能委托其他人作为次一级监测者 这就形成了科层制的企业结构，但他对这些次一级监测者本身也无法作出完全有效的监测，而且，次一级监测者也会采取各种策略逃避监测。就处于最底层的被监测者而言，情况也是同样的，他将想尽办法逃避监测，并最终使得完全的监测成为不可能。</w:t>
      </w:r>
    </w:p>
  </w:footnote>
  <w:footnote w:id="41">
    <w:p w14:paraId="13765243">
      <w:pPr>
        <w:pStyle w:val="12"/>
        <w:snapToGrid/>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参见程恩富，伍山林：《企业学说与企业变革》，上海财经大学出版社2001年版。</w:t>
      </w:r>
    </w:p>
  </w:footnote>
  <w:footnote w:id="42">
    <w:p w14:paraId="0750CBD0">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 xml:space="preserve"> 参见[美]M. Granovetter: “Economic action and social structure: The problem of embedness”, </w:t>
      </w:r>
      <w:r>
        <w:rPr>
          <w:rFonts w:hint="default" w:ascii="Times New Roman" w:hAnsi="Times New Roman" w:cs="Times New Roman"/>
          <w:i/>
          <w:sz w:val="18"/>
          <w:szCs w:val="18"/>
        </w:rPr>
        <w:t>American Journal of Sociology</w:t>
      </w:r>
      <w:r>
        <w:rPr>
          <w:rFonts w:hint="default" w:ascii="Times New Roman" w:hAnsi="Times New Roman" w:cs="Times New Roman"/>
          <w:sz w:val="18"/>
          <w:szCs w:val="18"/>
        </w:rPr>
        <w:t>, 1985年第91卷第3期。</w:t>
      </w:r>
    </w:p>
  </w:footnote>
  <w:footnote w:id="43">
    <w:p w14:paraId="5A6500EA">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 xml:space="preserve"> [英]斯密：《国民财富的性质和原因的研究》，商务印书馆1965年版，第27页。</w:t>
      </w:r>
    </w:p>
  </w:footnote>
  <w:footnote w:id="44">
    <w:p w14:paraId="3746F024">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 xml:space="preserve"> [美]M.Granovetter: “Economic action and social structure: The problem of embeddedness”, </w:t>
      </w:r>
      <w:r>
        <w:rPr>
          <w:rFonts w:hint="default" w:ascii="Times New Roman" w:hAnsi="Times New Roman" w:cs="Times New Roman"/>
          <w:i/>
          <w:sz w:val="18"/>
          <w:szCs w:val="18"/>
        </w:rPr>
        <w:t>American Journal of Sociology</w:t>
      </w:r>
      <w:r>
        <w:rPr>
          <w:rFonts w:hint="default" w:ascii="Times New Roman" w:hAnsi="Times New Roman" w:cs="Times New Roman"/>
          <w:sz w:val="18"/>
          <w:szCs w:val="18"/>
        </w:rPr>
        <w:t>, 1985年第91卷第3期，第98页。</w:t>
      </w:r>
    </w:p>
  </w:footnote>
  <w:footnote w:id="45">
    <w:p w14:paraId="10CCB2F9">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 xml:space="preserve"> [美]M. Granovetter: “Economic action and social structure: The problem of embedness”, </w:t>
      </w:r>
      <w:r>
        <w:rPr>
          <w:rFonts w:hint="default" w:ascii="Times New Roman" w:hAnsi="Times New Roman" w:cs="Times New Roman"/>
          <w:i/>
          <w:sz w:val="18"/>
          <w:szCs w:val="18"/>
        </w:rPr>
        <w:t>American Journal of Sociology</w:t>
      </w:r>
      <w:r>
        <w:rPr>
          <w:rFonts w:hint="default" w:ascii="Times New Roman" w:hAnsi="Times New Roman" w:cs="Times New Roman"/>
          <w:sz w:val="18"/>
          <w:szCs w:val="18"/>
        </w:rPr>
        <w:t>, 1985年第91卷第3期，第109页。</w:t>
      </w:r>
    </w:p>
  </w:footnote>
  <w:footnote w:id="46">
    <w:p w14:paraId="309E8208">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参见程恩富：《西方产权理论评析——兼论中国企业改革》，当代中国出版社1997年版。</w:t>
      </w:r>
    </w:p>
  </w:footnote>
  <w:footnote w:id="47">
    <w:p w14:paraId="4C09995B">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 xml:space="preserve"> [美]M.Granovetter: “Economic action and social structure: The problem of embeddedness”, </w:t>
      </w:r>
      <w:r>
        <w:rPr>
          <w:rFonts w:hint="default" w:ascii="Times New Roman" w:hAnsi="Times New Roman" w:cs="Times New Roman"/>
          <w:i/>
          <w:sz w:val="18"/>
          <w:szCs w:val="18"/>
        </w:rPr>
        <w:t>American Journal of Sociology</w:t>
      </w:r>
      <w:r>
        <w:rPr>
          <w:rFonts w:hint="default" w:ascii="Times New Roman" w:hAnsi="Times New Roman" w:cs="Times New Roman"/>
          <w:sz w:val="18"/>
          <w:szCs w:val="18"/>
        </w:rPr>
        <w:t>, 1985年第91卷第3期，第133页。</w:t>
      </w:r>
    </w:p>
  </w:footnote>
  <w:footnote w:id="48">
    <w:p w14:paraId="45F76E3A">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 xml:space="preserve"> 参见[美]M.Granovetter: “Economic action and social structure: The problem of embeddedness”, </w:t>
      </w:r>
      <w:r>
        <w:rPr>
          <w:rFonts w:hint="default" w:ascii="Times New Roman" w:hAnsi="Times New Roman" w:cs="Times New Roman"/>
          <w:i/>
          <w:sz w:val="18"/>
          <w:szCs w:val="18"/>
        </w:rPr>
        <w:t>American Journal of Sociology</w:t>
      </w:r>
      <w:r>
        <w:rPr>
          <w:rFonts w:hint="default" w:ascii="Times New Roman" w:hAnsi="Times New Roman" w:cs="Times New Roman"/>
          <w:sz w:val="18"/>
          <w:szCs w:val="18"/>
        </w:rPr>
        <w:t>, 1985年第91卷第3期，第154页。</w:t>
      </w:r>
    </w:p>
  </w:footnote>
  <w:footnote w:id="49">
    <w:p w14:paraId="569CC77A">
      <w:pPr>
        <w:pStyle w:val="12"/>
        <w:rPr>
          <w:rFonts w:hint="default" w:ascii="Times New Roman" w:hAnsi="Times New Roman" w:cs="Times New Roman"/>
          <w:sz w:val="18"/>
          <w:szCs w:val="18"/>
        </w:rPr>
      </w:pPr>
      <w:r>
        <w:rPr>
          <w:rFonts w:hint="default" w:ascii="Times New Roman" w:hAnsi="Times New Roman" w:cs="Times New Roman"/>
          <w:sz w:val="18"/>
          <w:szCs w:val="18"/>
          <w:vertAlign w:val="superscript"/>
        </w:rPr>
        <w:footnoteRef/>
      </w:r>
      <w:r>
        <w:rPr>
          <w:rFonts w:hint="default" w:ascii="Times New Roman" w:hAnsi="Times New Roman" w:cs="Times New Roman"/>
          <w:sz w:val="18"/>
          <w:szCs w:val="18"/>
        </w:rPr>
        <w:t xml:space="preserve">参见[美]M.Granovetter: “Economic action and social structure: The problem of embeddedness”, </w:t>
      </w:r>
      <w:r>
        <w:rPr>
          <w:rFonts w:hint="default" w:ascii="Times New Roman" w:hAnsi="Times New Roman" w:cs="Times New Roman"/>
          <w:i/>
          <w:sz w:val="18"/>
          <w:szCs w:val="18"/>
        </w:rPr>
        <w:t>American Journal of Sociology</w:t>
      </w:r>
      <w:r>
        <w:rPr>
          <w:rFonts w:hint="default" w:ascii="Times New Roman" w:hAnsi="Times New Roman" w:cs="Times New Roman"/>
          <w:sz w:val="18"/>
          <w:szCs w:val="18"/>
        </w:rPr>
        <w:t>, 1985年第91卷第3期。</w:t>
      </w:r>
    </w:p>
  </w:footnote>
  <w:footnote w:id="50">
    <w:p w14:paraId="08D42850">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参见单伟建：《交易费用经济学的理论、应用及偏颇》，载入《现代经济学前沿专题》第一集，商务印书馆1993年版。这位博士在文章中指出：只有在纯粹而又不完善的市场条件下交易费用才起决定作用，否则市场就是最佳的生产组织体制。但市场的不完善可能以两种形式出现，一种是市场偏离纯粹竞争的模式，譬如垄断结构；第二种市场不完善性是指交易费用的存在。交易费用理论中关于企业替代市场的学说的主要研究对象是第二种不完善性，即交易费用的存在，而忽略了第一种不完善性，即市场结构问题。市场结构本身可能足以导致企业界限的变化，交易费用并非绝对必要因素。</w:t>
      </w:r>
    </w:p>
  </w:footnote>
  <w:footnote w:id="51">
    <w:p w14:paraId="6A1DD7F2">
      <w:pPr>
        <w:pStyle w:val="12"/>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本书与张维迎的评价不同，他认为“关于企业的本质是用要素市场取代产品市场的观点是深刻的。”参见张维迎：《企业的企业家—契约理论》，上海三联书店、上海人民出版社1995年版，第13页。</w:t>
      </w:r>
    </w:p>
  </w:footnote>
  <w:footnote w:id="52">
    <w:p w14:paraId="3ABF3FE8">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 xml:space="preserve"> </w:t>
      </w:r>
      <w:r>
        <w:rPr>
          <w:rFonts w:hint="default" w:ascii="Times New Roman" w:hAnsi="Times New Roman" w:cs="Times New Roman"/>
          <w:kern w:val="0"/>
          <w:sz w:val="18"/>
          <w:szCs w:val="18"/>
        </w:rPr>
        <w:t>这里的形式经济学和实质经济学的划分不同于博兰尼等人的“经济的形式和实质”的划分。在博兰尼那里，经济形式和实质的划分是从经济和社会、政治、文化等相分离的角度划分的。本文不仅承认这种划分，而且是从经济学范式是否属于实质经济学（范式与现实的经济体相重叠），并是否揭示了现实存在和运动着的经济体的内在联系的角度作出区分的。（参见Karl Polanyi：Primitive，Archaic and Modern Economics：Essays of Karl Polanyi，Boston，Beacon Press，1968.）</w:t>
      </w:r>
    </w:p>
  </w:footnote>
  <w:footnote w:id="53">
    <w:p w14:paraId="10318C0A">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 xml:space="preserve"> </w:t>
      </w:r>
      <w:r>
        <w:rPr>
          <w:rFonts w:hint="default" w:ascii="Times New Roman" w:hAnsi="Times New Roman" w:cs="Times New Roman"/>
          <w:kern w:val="0"/>
          <w:sz w:val="18"/>
          <w:szCs w:val="18"/>
        </w:rPr>
        <w:t>速水优.青年报[N] . 2002-01-23.</w:t>
      </w:r>
    </w:p>
  </w:footnote>
  <w:footnote w:id="54">
    <w:p w14:paraId="113B81C5">
      <w:pPr>
        <w:pStyle w:val="12"/>
        <w:spacing w:line="240" w:lineRule="exact"/>
        <w:rPr>
          <w:rFonts w:hint="default" w:ascii="Times New Roman" w:hAnsi="Times New Roman" w:cs="Times New Roman"/>
          <w:sz w:val="18"/>
          <w:szCs w:val="18"/>
        </w:rPr>
      </w:pPr>
      <w:r>
        <w:rPr>
          <w:rStyle w:val="20"/>
          <w:rFonts w:hint="default" w:ascii="Times New Roman" w:hAnsi="Times New Roman" w:eastAsia="宋体" w:cs="Times New Roman"/>
          <w:sz w:val="18"/>
          <w:szCs w:val="18"/>
        </w:rPr>
        <w:footnoteRef/>
      </w:r>
      <w:r>
        <w:rPr>
          <w:rFonts w:hint="default" w:ascii="Times New Roman" w:hAnsi="Times New Roman" w:cs="Times New Roman"/>
          <w:sz w:val="18"/>
          <w:szCs w:val="18"/>
        </w:rPr>
        <w:t>程恩富.经济全球化与中国之对策[M].上海：上海科学技术文献出版社，2000：49.</w:t>
      </w:r>
    </w:p>
  </w:footnote>
  <w:footnote w:id="55">
    <w:p w14:paraId="4C0B0B46">
      <w:pPr>
        <w:autoSpaceDE w:val="0"/>
        <w:autoSpaceDN w:val="0"/>
        <w:adjustRightInd w:val="0"/>
        <w:spacing w:line="240" w:lineRule="exact"/>
        <w:jc w:val="left"/>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w:t>
      </w:r>
      <w:r>
        <w:rPr>
          <w:rFonts w:hint="eastAsia" w:ascii="宋体" w:hAnsi="宋体" w:eastAsia="宋体" w:cs="宋体"/>
          <w:sz w:val="18"/>
          <w:szCs w:val="18"/>
        </w:rPr>
        <w:t>保罗·</w:t>
      </w:r>
      <w:r>
        <w:rPr>
          <w:rFonts w:hint="eastAsia" w:ascii="宋体" w:hAnsi="宋体" w:eastAsia="宋体" w:cs="DY96+ZDDDPO-96"/>
          <w:sz w:val="18"/>
          <w:szCs w:val="18"/>
        </w:rPr>
        <w:t>R</w:t>
      </w:r>
      <w:r>
        <w:rPr>
          <w:rFonts w:hint="eastAsia" w:ascii="宋体" w:hAnsi="宋体" w:eastAsia="宋体" w:cs="宋体"/>
          <w:sz w:val="18"/>
          <w:szCs w:val="18"/>
        </w:rPr>
        <w:t>·格雷戈里，罗伯特·斯图尔特</w:t>
      </w:r>
      <w:r>
        <w:rPr>
          <w:rFonts w:hint="eastAsia" w:ascii="宋体" w:hAnsi="宋体" w:eastAsia="宋体" w:cs="DY96+ZDDDPO-96"/>
          <w:sz w:val="18"/>
          <w:szCs w:val="18"/>
        </w:rPr>
        <w:t>.</w:t>
      </w:r>
      <w:r>
        <w:rPr>
          <w:rFonts w:hint="eastAsia" w:ascii="宋体" w:hAnsi="宋体" w:eastAsia="宋体" w:cs="宋体"/>
          <w:sz w:val="18"/>
          <w:szCs w:val="18"/>
        </w:rPr>
        <w:t>比较经济体制学</w:t>
      </w:r>
      <w:r>
        <w:rPr>
          <w:rFonts w:hint="eastAsia" w:ascii="宋体" w:hAnsi="宋体" w:eastAsia="宋体" w:cs="DY96+ZDDDPO-96"/>
          <w:sz w:val="18"/>
          <w:szCs w:val="18"/>
        </w:rPr>
        <w:t>，</w:t>
      </w:r>
      <w:r>
        <w:rPr>
          <w:rFonts w:hint="eastAsia" w:ascii="宋体" w:hAnsi="宋体" w:eastAsia="宋体" w:cs="宋体"/>
          <w:sz w:val="18"/>
          <w:szCs w:val="18"/>
        </w:rPr>
        <w:t>上海：三联书店，</w:t>
      </w:r>
      <w:r>
        <w:rPr>
          <w:rFonts w:hint="eastAsia" w:ascii="宋体" w:hAnsi="宋体" w:eastAsia="宋体" w:cs="DY96+ZDDDPO-96"/>
          <w:sz w:val="18"/>
          <w:szCs w:val="18"/>
        </w:rPr>
        <w:t>1988，7-8</w:t>
      </w:r>
    </w:p>
  </w:footnote>
  <w:footnote w:id="56">
    <w:p w14:paraId="60C4475F">
      <w:pPr>
        <w:autoSpaceDE w:val="0"/>
        <w:autoSpaceDN w:val="0"/>
        <w:adjustRightInd w:val="0"/>
        <w:spacing w:line="240" w:lineRule="exact"/>
        <w:jc w:val="left"/>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宋体"/>
          <w:sz w:val="18"/>
          <w:szCs w:val="18"/>
        </w:rPr>
        <w:t>阿兰·</w:t>
      </w:r>
      <w:r>
        <w:rPr>
          <w:rFonts w:hint="eastAsia" w:ascii="宋体" w:hAnsi="宋体" w:eastAsia="宋体" w:cs="DY96+ZDDDPO-96"/>
          <w:sz w:val="18"/>
          <w:szCs w:val="18"/>
        </w:rPr>
        <w:t>G</w:t>
      </w:r>
      <w:r>
        <w:rPr>
          <w:rFonts w:hint="eastAsia" w:ascii="宋体" w:hAnsi="宋体" w:eastAsia="宋体" w:cs="宋体"/>
          <w:sz w:val="18"/>
          <w:szCs w:val="18"/>
        </w:rPr>
        <w:t>·格鲁奇</w:t>
      </w:r>
      <w:r>
        <w:rPr>
          <w:rFonts w:hint="eastAsia" w:ascii="宋体" w:hAnsi="宋体" w:eastAsia="宋体" w:cs="DY96+ZDDDPO-96"/>
          <w:sz w:val="18"/>
          <w:szCs w:val="18"/>
        </w:rPr>
        <w:t>，</w:t>
      </w:r>
      <w:r>
        <w:rPr>
          <w:rFonts w:hint="eastAsia" w:ascii="宋体" w:hAnsi="宋体" w:eastAsia="宋体" w:cs="宋体"/>
          <w:sz w:val="18"/>
          <w:szCs w:val="18"/>
        </w:rPr>
        <w:t>比较经济制度</w:t>
      </w:r>
      <w:r>
        <w:rPr>
          <w:rFonts w:hint="eastAsia" w:ascii="宋体" w:hAnsi="宋体" w:eastAsia="宋体" w:cs="DY7+ZDDDOU-7"/>
          <w:sz w:val="18"/>
          <w:szCs w:val="18"/>
        </w:rPr>
        <w:t>，</w:t>
      </w:r>
      <w:r>
        <w:rPr>
          <w:rFonts w:hint="eastAsia" w:ascii="宋体" w:hAnsi="宋体" w:eastAsia="宋体" w:cs="宋体"/>
          <w:sz w:val="18"/>
          <w:szCs w:val="18"/>
        </w:rPr>
        <w:t>北京：中国社会科学出版社，</w:t>
      </w:r>
      <w:r>
        <w:rPr>
          <w:rFonts w:hint="eastAsia" w:ascii="宋体" w:hAnsi="宋体" w:eastAsia="宋体" w:cs="DY96+ZDDDPO-96"/>
          <w:sz w:val="18"/>
          <w:szCs w:val="18"/>
        </w:rPr>
        <w:t>1985</w:t>
      </w:r>
      <w:r>
        <w:rPr>
          <w:rFonts w:hint="eastAsia" w:ascii="宋体" w:hAnsi="宋体" w:eastAsia="宋体" w:cs="宋体"/>
          <w:sz w:val="18"/>
          <w:szCs w:val="18"/>
        </w:rPr>
        <w:t>，184。</w:t>
      </w:r>
    </w:p>
  </w:footnote>
  <w:footnote w:id="57">
    <w:p w14:paraId="11045135">
      <w:pPr>
        <w:autoSpaceDE w:val="0"/>
        <w:autoSpaceDN w:val="0"/>
        <w:adjustRightInd w:val="0"/>
        <w:spacing w:line="240" w:lineRule="exact"/>
        <w:jc w:val="left"/>
      </w:pPr>
      <w:r>
        <w:rPr>
          <w:rStyle w:val="20"/>
          <w:rFonts w:ascii="宋体" w:hAnsi="宋体" w:eastAsia="宋体"/>
          <w:sz w:val="18"/>
          <w:szCs w:val="18"/>
        </w:rPr>
        <w:footnoteRef/>
      </w:r>
      <w:r>
        <w:rPr>
          <w:rFonts w:hint="eastAsia" w:ascii="宋体" w:hAnsi="宋体" w:eastAsia="宋体" w:cs="宋体"/>
          <w:sz w:val="18"/>
          <w:szCs w:val="18"/>
        </w:rPr>
        <w:t>转引自周茂荣</w:t>
      </w:r>
      <w:r>
        <w:rPr>
          <w:rFonts w:hint="eastAsia" w:ascii="宋体" w:hAnsi="宋体" w:eastAsia="宋体" w:cs="DY96+ZDDDPO-96"/>
          <w:sz w:val="18"/>
          <w:szCs w:val="18"/>
        </w:rPr>
        <w:t>，</w:t>
      </w:r>
      <w:r>
        <w:rPr>
          <w:rFonts w:hint="eastAsia" w:ascii="宋体" w:hAnsi="宋体" w:eastAsia="宋体" w:cs="宋体"/>
          <w:sz w:val="18"/>
          <w:szCs w:val="18"/>
        </w:rPr>
        <w:t>德国的社会保障制度</w:t>
      </w:r>
      <w:r>
        <w:rPr>
          <w:rFonts w:hint="eastAsia" w:ascii="宋体" w:hAnsi="宋体" w:eastAsia="宋体" w:cs="DY7+ZDDDOU-7"/>
          <w:sz w:val="18"/>
          <w:szCs w:val="18"/>
        </w:rPr>
        <w:t>，</w:t>
      </w:r>
      <w:r>
        <w:rPr>
          <w:rFonts w:hint="eastAsia" w:ascii="宋体" w:hAnsi="宋体" w:eastAsia="宋体" w:cs="宋体"/>
          <w:sz w:val="18"/>
          <w:szCs w:val="18"/>
        </w:rPr>
        <w:t>世界经济，</w:t>
      </w:r>
      <w:r>
        <w:rPr>
          <w:rFonts w:hint="eastAsia" w:ascii="宋体" w:hAnsi="宋体" w:eastAsia="宋体" w:cs="DY96+ZDDDPO-96"/>
          <w:sz w:val="18"/>
          <w:szCs w:val="18"/>
        </w:rPr>
        <w:t>1998（7）。</w:t>
      </w:r>
    </w:p>
  </w:footnote>
  <w:footnote w:id="58">
    <w:p w14:paraId="758CC2CE">
      <w:pPr>
        <w:spacing w:line="240" w:lineRule="exact"/>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sz w:val="18"/>
          <w:szCs w:val="18"/>
        </w:rPr>
        <w:t xml:space="preserve"> 阿兰·G·格鲁奇。比较经济制度，北京：中国社会科学出版社，1985，608。</w:t>
      </w:r>
    </w:p>
    <w:p w14:paraId="41EA12A6">
      <w:pPr>
        <w:pStyle w:val="12"/>
        <w:ind w:firstLine="440"/>
      </w:pPr>
    </w:p>
  </w:footnote>
  <w:footnote w:id="59">
    <w:p w14:paraId="49DB0B4F">
      <w:pPr>
        <w:autoSpaceDE w:val="0"/>
        <w:autoSpaceDN w:val="0"/>
        <w:adjustRightInd w:val="0"/>
        <w:jc w:val="left"/>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宋体"/>
          <w:sz w:val="18"/>
          <w:szCs w:val="18"/>
        </w:rPr>
        <w:t>青木昌彦，奥野正宽</w:t>
      </w:r>
      <w:r>
        <w:rPr>
          <w:rFonts w:hint="eastAsia" w:ascii="宋体" w:hAnsi="宋体" w:eastAsia="宋体" w:cs="DY96+ZDDDPO-96"/>
          <w:sz w:val="18"/>
          <w:szCs w:val="18"/>
        </w:rPr>
        <w:t>，</w:t>
      </w:r>
      <w:r>
        <w:rPr>
          <w:rFonts w:hint="eastAsia" w:ascii="宋体" w:hAnsi="宋体" w:eastAsia="宋体" w:cs="宋体"/>
          <w:sz w:val="18"/>
          <w:szCs w:val="18"/>
        </w:rPr>
        <w:t>经济体制的比较制度分析</w:t>
      </w:r>
      <w:r>
        <w:rPr>
          <w:rFonts w:hint="eastAsia" w:ascii="宋体" w:hAnsi="宋体" w:eastAsia="宋体" w:cs="DY7+ZDDDOU-7"/>
          <w:sz w:val="18"/>
          <w:szCs w:val="18"/>
        </w:rPr>
        <w:t>，</w:t>
      </w:r>
      <w:r>
        <w:rPr>
          <w:rFonts w:hint="eastAsia" w:ascii="宋体" w:hAnsi="宋体" w:eastAsia="宋体" w:cs="宋体"/>
          <w:sz w:val="18"/>
          <w:szCs w:val="18"/>
        </w:rPr>
        <w:t>北京：中国发展出版社，</w:t>
      </w:r>
      <w:r>
        <w:rPr>
          <w:rFonts w:hint="eastAsia" w:ascii="宋体" w:hAnsi="宋体" w:eastAsia="宋体" w:cs="DY96+ZDDDPO-96"/>
          <w:sz w:val="18"/>
          <w:szCs w:val="18"/>
        </w:rPr>
        <w:t>1999，2</w:t>
      </w:r>
      <w:r>
        <w:rPr>
          <w:rFonts w:hint="eastAsia" w:ascii="宋体" w:hAnsi="宋体" w:eastAsia="宋体" w:cs="宋体"/>
          <w:sz w:val="18"/>
          <w:szCs w:val="18"/>
        </w:rPr>
        <w:t>，</w:t>
      </w:r>
    </w:p>
  </w:footnote>
  <w:footnote w:id="60">
    <w:p w14:paraId="77C6F3D4">
      <w:pPr>
        <w:pStyle w:val="15"/>
        <w:widowControl w:val="0"/>
        <w:snapToGrid w:val="0"/>
        <w:spacing w:before="0" w:beforeAutospacing="0" w:after="0" w:afterAutospacing="0"/>
        <w:rPr>
          <w:sz w:val="18"/>
          <w:szCs w:val="18"/>
        </w:rPr>
      </w:pPr>
      <w:r>
        <w:rPr>
          <w:rFonts w:hint="eastAsia"/>
          <w:color w:val="000000"/>
          <w:sz w:val="18"/>
          <w:szCs w:val="18"/>
          <w:vertAlign w:val="superscript"/>
          <w:lang w:bidi="ar"/>
        </w:rPr>
        <w:footnoteRef/>
      </w:r>
      <w:r>
        <w:rPr>
          <w:rFonts w:hint="eastAsia"/>
          <w:color w:val="000000"/>
          <w:sz w:val="18"/>
          <w:szCs w:val="18"/>
          <w:lang w:bidi="ar"/>
        </w:rPr>
        <w:t xml:space="preserve"> 参见布坎南：《宪法经济学》，载《经济学动态》，1992（4）。</w:t>
      </w:r>
    </w:p>
  </w:footnote>
  <w:footnote w:id="61">
    <w:p w14:paraId="3D10BE9D">
      <w:pPr>
        <w:pStyle w:val="15"/>
        <w:widowControl w:val="0"/>
        <w:snapToGrid w:val="0"/>
        <w:spacing w:before="0" w:beforeAutospacing="0" w:after="0" w:afterAutospacing="0"/>
        <w:rPr>
          <w:sz w:val="18"/>
          <w:szCs w:val="18"/>
        </w:rPr>
      </w:pPr>
      <w:r>
        <w:rPr>
          <w:rFonts w:cs="Times New Roman"/>
          <w:color w:val="000000"/>
          <w:sz w:val="18"/>
          <w:szCs w:val="18"/>
          <w:vertAlign w:val="superscript"/>
          <w:lang w:bidi="ar"/>
        </w:rPr>
        <w:footnoteRef/>
      </w:r>
      <w:r>
        <w:rPr>
          <w:rFonts w:cs="Times New Roman"/>
          <w:color w:val="000000"/>
          <w:sz w:val="18"/>
          <w:szCs w:val="18"/>
          <w:lang w:bidi="ar"/>
        </w:rPr>
        <w:t xml:space="preserve"> </w:t>
      </w:r>
      <w:r>
        <w:rPr>
          <w:rFonts w:hint="eastAsia"/>
          <w:color w:val="000000"/>
          <w:sz w:val="18"/>
          <w:szCs w:val="18"/>
          <w:lang w:bidi="ar"/>
        </w:rPr>
        <w:t>参见</w:t>
      </w:r>
      <w:r>
        <w:rPr>
          <w:rFonts w:cs="Times New Roman"/>
          <w:color w:val="000000"/>
          <w:sz w:val="18"/>
          <w:szCs w:val="18"/>
          <w:lang w:bidi="ar"/>
        </w:rPr>
        <w:t xml:space="preserve"> Andrew Gamble, uThe New Political Economyw, Political Studies, 1995 (3), p.517o</w:t>
      </w:r>
    </w:p>
  </w:footnote>
  <w:footnote w:id="62">
    <w:p w14:paraId="2B8C798E">
      <w:pPr>
        <w:pStyle w:val="15"/>
        <w:widowControl w:val="0"/>
        <w:snapToGrid w:val="0"/>
        <w:spacing w:before="0" w:beforeAutospacing="0" w:after="0" w:afterAutospacing="0"/>
        <w:rPr>
          <w:sz w:val="18"/>
          <w:szCs w:val="18"/>
        </w:rPr>
      </w:pPr>
      <w:r>
        <w:rPr>
          <w:rFonts w:cs="Times New Roman"/>
          <w:color w:val="000000"/>
          <w:sz w:val="18"/>
          <w:szCs w:val="18"/>
          <w:vertAlign w:val="superscript"/>
          <w:lang w:bidi="ar"/>
        </w:rPr>
        <w:footnoteRef/>
      </w:r>
      <w:r>
        <w:rPr>
          <w:rFonts w:cs="Times New Roman"/>
          <w:color w:val="000000"/>
          <w:sz w:val="18"/>
          <w:szCs w:val="18"/>
          <w:lang w:bidi="ar"/>
        </w:rPr>
        <w:t xml:space="preserve"> </w:t>
      </w:r>
      <w:r>
        <w:rPr>
          <w:rFonts w:hint="eastAsia"/>
          <w:color w:val="000000"/>
          <w:sz w:val="18"/>
          <w:szCs w:val="18"/>
          <w:lang w:bidi="ar"/>
        </w:rPr>
        <w:t>在新政治经济学中，把事物的不同特征称为“异质性”，也即非一致性，因而利益的异质性就是利益的非一</w:t>
      </w:r>
      <w:r>
        <w:rPr>
          <w:rFonts w:cs="Times New Roman"/>
          <w:color w:val="000000"/>
          <w:sz w:val="18"/>
          <w:szCs w:val="18"/>
          <w:lang w:bidi="ar"/>
        </w:rPr>
        <w:t xml:space="preserve"> </w:t>
      </w:r>
      <w:r>
        <w:rPr>
          <w:rFonts w:hint="eastAsia"/>
          <w:color w:val="000000"/>
          <w:sz w:val="18"/>
          <w:szCs w:val="18"/>
          <w:lang w:bidi="ar"/>
        </w:rPr>
        <w:t>致性。本文把非一致性都称为“异质性”。</w:t>
      </w:r>
    </w:p>
  </w:footnote>
  <w:footnote w:id="63">
    <w:p w14:paraId="77EFF9EF">
      <w:pPr>
        <w:pStyle w:val="15"/>
        <w:widowControl w:val="0"/>
        <w:snapToGrid w:val="0"/>
        <w:spacing w:before="0" w:beforeAutospacing="0" w:after="0" w:afterAutospacing="0"/>
        <w:rPr>
          <w:sz w:val="18"/>
          <w:szCs w:val="18"/>
        </w:rPr>
      </w:pPr>
      <w:r>
        <w:rPr>
          <w:rFonts w:cs="Times New Roman"/>
          <w:i/>
          <w:iCs/>
          <w:color w:val="000000"/>
          <w:sz w:val="18"/>
          <w:szCs w:val="18"/>
          <w:vertAlign w:val="superscript"/>
          <w:lang w:bidi="ar"/>
        </w:rPr>
        <w:footnoteRef/>
      </w:r>
      <w:r>
        <w:rPr>
          <w:rFonts w:cs="Times New Roman"/>
          <w:i/>
          <w:iCs/>
          <w:color w:val="000000"/>
          <w:sz w:val="18"/>
          <w:szCs w:val="18"/>
          <w:lang w:bidi="ar"/>
        </w:rPr>
        <w:t xml:space="preserve"> </w:t>
      </w:r>
      <w:r>
        <w:rPr>
          <w:rFonts w:hint="eastAsia"/>
          <w:i/>
          <w:iCs/>
          <w:color w:val="000000"/>
          <w:sz w:val="18"/>
          <w:szCs w:val="18"/>
          <w:lang w:bidi="ar"/>
        </w:rPr>
        <w:t>①</w:t>
      </w:r>
      <w:r>
        <w:rPr>
          <w:rFonts w:cs="Times New Roman"/>
          <w:i/>
          <w:iCs/>
          <w:color w:val="000000"/>
          <w:sz w:val="18"/>
          <w:szCs w:val="18"/>
          <w:lang w:bidi="ar"/>
        </w:rPr>
        <w:tab/>
      </w:r>
      <w:r>
        <w:rPr>
          <w:rFonts w:hint="eastAsia"/>
          <w:i/>
          <w:iCs/>
          <w:color w:val="000000"/>
          <w:sz w:val="18"/>
          <w:szCs w:val="18"/>
          <w:lang w:bidi="ar"/>
        </w:rPr>
        <w:t>林德布罗姆</w:t>
      </w:r>
      <w:r>
        <w:rPr>
          <w:rFonts w:cs="Times New Roman"/>
          <w:i/>
          <w:iCs/>
          <w:color w:val="000000"/>
          <w:sz w:val="18"/>
          <w:szCs w:val="18"/>
          <w:lang w:bidi="ar"/>
        </w:rPr>
        <w:t>(1977)</w:t>
      </w:r>
      <w:r>
        <w:rPr>
          <w:rFonts w:hint="eastAsia"/>
          <w:i/>
          <w:iCs/>
          <w:color w:val="000000"/>
          <w:sz w:val="18"/>
          <w:szCs w:val="18"/>
          <w:lang w:bidi="ar"/>
        </w:rPr>
        <w:t>详细讨论了市场和政治制度分配机制的不同，以及二者的不同含义。</w:t>
      </w:r>
    </w:p>
  </w:footnote>
  <w:footnote w:id="64">
    <w:p w14:paraId="2A685529">
      <w:pPr>
        <w:pStyle w:val="15"/>
        <w:widowControl w:val="0"/>
        <w:snapToGrid w:val="0"/>
        <w:spacing w:before="0" w:beforeAutospacing="0" w:after="0" w:afterAutospacing="0"/>
        <w:rPr>
          <w:sz w:val="18"/>
          <w:szCs w:val="18"/>
        </w:rPr>
      </w:pPr>
      <w:r>
        <w:rPr>
          <w:rFonts w:cs="Times New Roman"/>
          <w:i/>
          <w:iCs/>
          <w:color w:val="000000"/>
          <w:sz w:val="18"/>
          <w:szCs w:val="18"/>
          <w:vertAlign w:val="superscript"/>
          <w:lang w:bidi="ar"/>
        </w:rPr>
        <w:footnoteRef/>
      </w:r>
      <w:r>
        <w:rPr>
          <w:rFonts w:cs="Times New Roman"/>
          <w:i/>
          <w:iCs/>
          <w:color w:val="000000"/>
          <w:sz w:val="18"/>
          <w:szCs w:val="18"/>
          <w:lang w:bidi="ar"/>
        </w:rPr>
        <w:t xml:space="preserve"> </w:t>
      </w:r>
      <w:r>
        <w:rPr>
          <w:rFonts w:hint="eastAsia"/>
          <w:i/>
          <w:iCs/>
          <w:color w:val="000000"/>
          <w:sz w:val="18"/>
          <w:szCs w:val="18"/>
          <w:lang w:bidi="ar"/>
        </w:rPr>
        <w:t>［美］熊彼特：《资本主义、社会主义和民主》，</w:t>
      </w:r>
      <w:r>
        <w:rPr>
          <w:rFonts w:cs="Times New Roman"/>
          <w:i/>
          <w:iCs/>
          <w:color w:val="000000"/>
          <w:sz w:val="18"/>
          <w:szCs w:val="18"/>
          <w:lang w:bidi="ar"/>
        </w:rPr>
        <w:t>353</w:t>
      </w:r>
      <w:r>
        <w:rPr>
          <w:rFonts w:hint="eastAsia"/>
          <w:i/>
          <w:iCs/>
          <w:color w:val="000000"/>
          <w:sz w:val="18"/>
          <w:szCs w:val="18"/>
          <w:lang w:bidi="ar"/>
        </w:rPr>
        <w:t>页，北京，商务印书馆，</w:t>
      </w:r>
      <w:r>
        <w:rPr>
          <w:rFonts w:cs="Times New Roman"/>
          <w:i/>
          <w:iCs/>
          <w:color w:val="000000"/>
          <w:sz w:val="18"/>
          <w:szCs w:val="18"/>
          <w:lang w:bidi="ar"/>
        </w:rPr>
        <w:t>1979</w:t>
      </w:r>
    </w:p>
  </w:footnote>
  <w:footnote w:id="65">
    <w:p w14:paraId="3F8F76E1">
      <w:pPr>
        <w:rPr>
          <w:rFonts w:ascii="Calibri" w:hAnsi="Calibri" w:eastAsia="宋体" w:cs="Times New Roman"/>
          <w:sz w:val="18"/>
          <w:szCs w:val="18"/>
        </w:rPr>
      </w:pPr>
      <w:r>
        <w:rPr>
          <w:rStyle w:val="20"/>
        </w:rPr>
        <w:footnoteRef/>
      </w:r>
      <w:r>
        <w:t xml:space="preserve"> </w:t>
      </w:r>
      <w:r>
        <w:rPr>
          <w:rFonts w:ascii="Calibri" w:hAnsi="Calibri" w:eastAsia="宋体" w:cs="Times New Roman"/>
          <w:sz w:val="18"/>
          <w:szCs w:val="18"/>
        </w:rPr>
        <w:t>(美)考特、尤伦.法和经济学[M].上海:上海三联书店、上海人民出版社，1994,5.</w:t>
      </w:r>
    </w:p>
  </w:footnote>
  <w:footnote w:id="66">
    <w:p w14:paraId="29452C76">
      <w:pPr>
        <w:pStyle w:val="12"/>
      </w:pPr>
      <w:r>
        <w:rPr>
          <w:rStyle w:val="20"/>
        </w:rPr>
        <w:footnoteRef/>
      </w:r>
      <w:r>
        <w:t xml:space="preserve"> 张乃根.经济学分析法学[M].上海：上海三联书店、上海人民出版社,1995,4.</w:t>
      </w:r>
    </w:p>
  </w:footnote>
  <w:footnote w:id="67">
    <w:p w14:paraId="7F894ECA">
      <w:pPr>
        <w:pStyle w:val="12"/>
      </w:pPr>
      <w:r>
        <w:rPr>
          <w:rStyle w:val="20"/>
        </w:rPr>
        <w:footnoteRef/>
      </w:r>
      <w:r>
        <w:t xml:space="preserve"> (美)博登海默.法理学一法哲学及其方法[M].北京：华夏出版社,1987,199.</w:t>
      </w:r>
    </w:p>
  </w:footnote>
  <w:footnote w:id="68">
    <w:p w14:paraId="147E94B3">
      <w:pPr>
        <w:pStyle w:val="12"/>
      </w:pPr>
      <w:r>
        <w:rPr>
          <w:rStyle w:val="20"/>
        </w:rPr>
        <w:footnoteRef/>
      </w:r>
      <w:r>
        <w:t xml:space="preserve"> 李玉华.国弁律师保守职务秘密原则比较研究[J].河北经贸大学学报,1999(4),97.</w:t>
      </w:r>
    </w:p>
  </w:footnote>
  <w:footnote w:id="69">
    <w:p w14:paraId="36F4AB60">
      <w:pPr>
        <w:rPr>
          <w:rFonts w:ascii="Calibri" w:hAnsi="Calibri" w:eastAsia="宋体" w:cs="Times New Roman"/>
          <w:sz w:val="18"/>
          <w:szCs w:val="18"/>
        </w:rPr>
      </w:pPr>
      <w:r>
        <w:rPr>
          <w:rStyle w:val="20"/>
        </w:rPr>
        <w:footnoteRef/>
      </w:r>
      <w:r>
        <w:rPr>
          <w:rFonts w:ascii="Calibri" w:hAnsi="Calibri" w:eastAsia="宋体" w:cs="Times New Roman"/>
          <w:sz w:val="18"/>
          <w:szCs w:val="18"/>
        </w:rPr>
        <w:t>王进喜.律师职业秘密问题研究[J].诉讼法论丛[M].第3卷.北京：法律出版社，1999, 322.</w:t>
      </w:r>
    </w:p>
  </w:footnote>
  <w:footnote w:id="70">
    <w:p w14:paraId="4428C2BA">
      <w:pPr>
        <w:rPr>
          <w:rFonts w:ascii="Calibri" w:hAnsi="Calibri" w:eastAsia="宋体" w:cs="Times New Roman"/>
          <w:sz w:val="18"/>
          <w:szCs w:val="18"/>
        </w:rPr>
      </w:pPr>
      <w:r>
        <w:rPr>
          <w:rStyle w:val="20"/>
        </w:rPr>
        <w:footnoteRef/>
      </w:r>
      <w:r>
        <w:rPr>
          <w:rFonts w:ascii="Calibri" w:hAnsi="Calibri" w:eastAsia="宋体" w:cs="Times New Roman"/>
          <w:sz w:val="18"/>
          <w:szCs w:val="18"/>
        </w:rPr>
        <w:t>熊秋红.刑事辩护论[M].北京：法律出版社,1998,200.</w:t>
      </w:r>
    </w:p>
  </w:footnote>
  <w:footnote w:id="71">
    <w:p w14:paraId="2D5FF10C">
      <w:pPr>
        <w:pStyle w:val="12"/>
      </w:pPr>
      <w:r>
        <w:rPr>
          <w:rStyle w:val="20"/>
        </w:rPr>
        <w:footnoteRef/>
      </w:r>
      <w:r>
        <w:t xml:space="preserve"> 宋英辉.刑事诉讼目的论［M」.北京：中国人民公安大学，1995,212.</w:t>
      </w:r>
    </w:p>
  </w:footnote>
  <w:footnote w:id="72">
    <w:p w14:paraId="1ED063BB">
      <w:pPr>
        <w:pStyle w:val="12"/>
      </w:pPr>
      <w:r>
        <w:rPr>
          <w:rStyle w:val="20"/>
        </w:rPr>
        <w:footnoteRef/>
      </w:r>
      <w:r>
        <w:t xml:space="preserve"> 美国律师协会.律师职业行为示范规则［M］.6.1〜6.4.</w:t>
      </w:r>
    </w:p>
  </w:footnote>
  <w:footnote w:id="73">
    <w:p w14:paraId="12430272">
      <w:pPr>
        <w:pStyle w:val="12"/>
      </w:pPr>
      <w:r>
        <w:rPr>
          <w:rStyle w:val="20"/>
        </w:rPr>
        <w:footnoteRef/>
      </w:r>
      <w:r>
        <w:t xml:space="preserve"> 美国律师协会.律师职业行为示范规则［M］.6.1〜6.4.</w:t>
      </w:r>
    </w:p>
  </w:footnote>
  <w:footnote w:id="74">
    <w:p w14:paraId="3E2F1DC3">
      <w:pPr>
        <w:pStyle w:val="12"/>
      </w:pPr>
      <w:r>
        <w:rPr>
          <w:rStyle w:val="20"/>
        </w:rPr>
        <w:footnoteRef/>
      </w:r>
      <w:r>
        <w:t xml:space="preserve"> 熊秋红.刑事辩护论.北京：法律出版社,1998,198-199.</w:t>
      </w:r>
    </w:p>
  </w:footnote>
  <w:footnote w:id="75">
    <w:p w14:paraId="229ECB0E">
      <w:pPr>
        <w:pStyle w:val="12"/>
      </w:pPr>
      <w:r>
        <w:rPr>
          <w:rStyle w:val="20"/>
        </w:rPr>
        <w:footnoteRef/>
      </w:r>
      <w:r>
        <w:t xml:space="preserve"> （美）华尔兹.刑事证据大全［M］.北京：中国人民公安大学,1993,283.</w:t>
      </w:r>
    </w:p>
  </w:footnote>
  <w:footnote w:id="76">
    <w:p w14:paraId="74988729">
      <w:pPr>
        <w:pStyle w:val="12"/>
      </w:pPr>
      <w:r>
        <w:rPr>
          <w:rStyle w:val="20"/>
        </w:rPr>
        <w:footnoteRef/>
      </w:r>
      <w:r>
        <w:t xml:space="preserve"> 马贵翔.刑事诉讼对控辩平等的追求［J］.中国法学,1998（2）,100.</w:t>
      </w:r>
    </w:p>
  </w:footnote>
  <w:footnote w:id="77">
    <w:p w14:paraId="2B4BA744">
      <w:pPr>
        <w:pStyle w:val="12"/>
      </w:pPr>
      <w:r>
        <w:rPr>
          <w:rStyle w:val="20"/>
        </w:rPr>
        <w:footnoteRef/>
      </w:r>
      <w:r>
        <w:t xml:space="preserve"> 朱英辉.刑事诉讼目的论[M].北京：中国人民公安大学,1995,213-214.</w:t>
      </w:r>
    </w:p>
  </w:footnote>
  <w:footnote w:id="78">
    <w:p w14:paraId="7D040831">
      <w:pPr>
        <w:rPr>
          <w:rFonts w:ascii="Calibri" w:hAnsi="Calibri" w:eastAsia="宋体" w:cs="Times New Roman"/>
          <w:sz w:val="18"/>
          <w:szCs w:val="18"/>
        </w:rPr>
      </w:pPr>
      <w:r>
        <w:rPr>
          <w:rStyle w:val="20"/>
        </w:rPr>
        <w:footnoteRef/>
      </w:r>
      <w:r>
        <w:t xml:space="preserve"> </w:t>
      </w:r>
      <w:r>
        <w:rPr>
          <w:rFonts w:ascii="Calibri" w:hAnsi="Calibri" w:eastAsia="宋体" w:cs="Times New Roman"/>
          <w:sz w:val="18"/>
          <w:szCs w:val="18"/>
        </w:rPr>
        <w:t>王进喜.律师职业秘密冋题研究[J].诉讼法论丛[M].第3卷•北京：法律出版社，1999, 311.</w:t>
      </w:r>
    </w:p>
  </w:footnote>
  <w:footnote w:id="79">
    <w:p w14:paraId="39D1D9A7">
      <w:pPr>
        <w:rPr>
          <w:rFonts w:ascii="Calibri" w:hAnsi="Calibri" w:eastAsia="宋体" w:cs="Times New Roman"/>
          <w:sz w:val="18"/>
          <w:szCs w:val="18"/>
        </w:rPr>
      </w:pPr>
      <w:r>
        <w:rPr>
          <w:rStyle w:val="20"/>
        </w:rPr>
        <w:footnoteRef/>
      </w:r>
      <w:r>
        <w:t xml:space="preserve"> </w:t>
      </w:r>
      <w:r>
        <w:rPr>
          <w:rFonts w:ascii="Calibri" w:hAnsi="Calibri" w:eastAsia="宋体" w:cs="Times New Roman"/>
          <w:sz w:val="18"/>
          <w:szCs w:val="18"/>
        </w:rPr>
        <w:t>（美）波斯纳.法律的经济分析[M].北京：中国大百科全书出版社，1997,766.</w:t>
      </w:r>
    </w:p>
    <w:p w14:paraId="41F9CEB8">
      <w:pPr>
        <w:pStyle w:val="12"/>
      </w:pPr>
    </w:p>
  </w:footnote>
  <w:footnote w:id="80">
    <w:p w14:paraId="388507B6">
      <w:pPr>
        <w:pStyle w:val="12"/>
      </w:pPr>
      <w:r>
        <w:rPr>
          <w:rStyle w:val="20"/>
        </w:rPr>
        <w:footnoteRef/>
      </w:r>
      <w:r>
        <w:t xml:space="preserve"> Hobert's Englishking's Bench Reports,20,转引自肖建国.程序公正的理念及其实现［J］,法 学研究［M］. 1999（3）,15.</w:t>
      </w:r>
    </w:p>
  </w:footnote>
  <w:footnote w:id="81">
    <w:p w14:paraId="72219E65">
      <w:pPr>
        <w:pStyle w:val="12"/>
      </w:pPr>
      <w:r>
        <w:rPr>
          <w:rStyle w:val="20"/>
        </w:rPr>
        <w:footnoteRef/>
      </w:r>
      <w:r>
        <w:t xml:space="preserve"> （日）村冈启一・辩护人的作用及律师的伦理［J］.外国法译评［M］. 1998（2）,28.30.</w:t>
      </w:r>
    </w:p>
  </w:footnote>
  <w:footnote w:id="82">
    <w:p w14:paraId="698E2552">
      <w:pPr>
        <w:pStyle w:val="12"/>
      </w:pPr>
      <w:r>
        <w:rPr>
          <w:rStyle w:val="20"/>
        </w:rPr>
        <w:footnoteRef/>
      </w:r>
      <w:r>
        <w:t xml:space="preserve"> （美）费尼.刑事辩护的伦理道德问题［J］.外国法译评［Ml 1998（2）,37.</w:t>
      </w:r>
    </w:p>
  </w:footnote>
  <w:footnote w:id="83">
    <w:p w14:paraId="3C792AF5">
      <w:pPr>
        <w:pStyle w:val="12"/>
      </w:pPr>
      <w:r>
        <w:rPr>
          <w:rStyle w:val="20"/>
        </w:rPr>
        <w:footnoteRef/>
      </w:r>
      <w:r>
        <w:t xml:space="preserve"> 陈瑞华.刑事审判原理论［M］・北京:北京大学出版社，1997,288.</w:t>
      </w:r>
    </w:p>
  </w:footnote>
  <w:footnote w:id="84">
    <w:p w14:paraId="34DA7DB0">
      <w:pPr>
        <w:pStyle w:val="12"/>
      </w:pPr>
      <w:r>
        <w:rPr>
          <w:rStyle w:val="20"/>
        </w:rPr>
        <w:footnoteRef/>
      </w:r>
      <w:r>
        <w:t xml:space="preserve"> 参见（美）考特,尤伦.法和经济学[M].上海：上海三联书店、上海人民出版社，1994,663 — 669.</w:t>
      </w:r>
    </w:p>
  </w:footnote>
  <w:footnote w:id="85">
    <w:p w14:paraId="58553C01">
      <w:r>
        <w:rPr>
          <w:rStyle w:val="20"/>
        </w:rPr>
        <w:footnoteRef/>
      </w:r>
      <w:r>
        <w:t xml:space="preserve"> </w:t>
      </w:r>
      <w:r>
        <w:rPr>
          <w:rFonts w:ascii="Calibri" w:hAnsi="Calibri" w:eastAsia="宋体" w:cs="Times New Roman"/>
          <w:sz w:val="18"/>
          <w:szCs w:val="18"/>
        </w:rPr>
        <w:t>参见（美）波斯纳.法律的经济分析[M].北京：中国大百科全书出版社,1997,735.</w:t>
      </w:r>
    </w:p>
  </w:footnote>
  <w:footnote w:id="86">
    <w:p w14:paraId="35530089">
      <w:pPr>
        <w:pStyle w:val="12"/>
      </w:pPr>
      <w:r>
        <w:rPr>
          <w:rStyle w:val="20"/>
        </w:rPr>
        <w:footnoteRef/>
      </w:r>
      <w:r>
        <w:t xml:space="preserve"> （美）波斯纳.法律的经济分析［M］.北京：中国大百科全书出版社,1997,678.</w:t>
      </w:r>
    </w:p>
  </w:footnote>
  <w:footnote w:id="87">
    <w:p w14:paraId="35CBF1F5">
      <w:r>
        <w:rPr>
          <w:rStyle w:val="20"/>
        </w:rPr>
        <w:footnoteRef/>
      </w:r>
      <w:r>
        <w:t xml:space="preserve"> </w:t>
      </w:r>
      <w:r>
        <w:rPr>
          <w:rFonts w:ascii="Calibri" w:hAnsi="Calibri" w:eastAsia="宋体" w:cs="Times New Roman"/>
          <w:sz w:val="18"/>
          <w:szCs w:val="18"/>
        </w:rPr>
        <w:t>（美）波斯纳.法律的经济分析[M].北京：中国大百科全书出版社,1997,679.</w:t>
      </w:r>
    </w:p>
  </w:footnote>
  <w:footnote w:id="88">
    <w:p w14:paraId="199B3E13">
      <w:pPr>
        <w:pStyle w:val="12"/>
      </w:pPr>
      <w:r>
        <w:rPr>
          <w:rStyle w:val="20"/>
        </w:rPr>
        <w:footnoteRef/>
      </w:r>
      <w:r>
        <w:t xml:space="preserve"> （美）戈登.律师独立论[M].北京：中国政法大学出版社,1992,17.</w:t>
      </w:r>
    </w:p>
  </w:footnote>
  <w:footnote w:id="89">
    <w:p w14:paraId="49F5147C">
      <w:pPr>
        <w:pStyle w:val="12"/>
      </w:pPr>
      <w:r>
        <w:rPr>
          <w:rStyle w:val="20"/>
        </w:rPr>
        <w:footnoteRef/>
      </w:r>
      <w:r>
        <w:t xml:space="preserve"> 参见饶世权.论律师胜诉收费制度[J].湖南省政法管理干部学院学报.2000（5）,36.</w:t>
      </w:r>
    </w:p>
  </w:footnote>
  <w:footnote w:id="90">
    <w:p w14:paraId="31F23F0A">
      <w:pPr>
        <w:pStyle w:val="12"/>
      </w:pPr>
      <w:r>
        <w:rPr>
          <w:rStyle w:val="20"/>
        </w:rPr>
        <w:footnoteRef/>
      </w:r>
      <w:r>
        <w:t xml:space="preserve"> 如果r极大导致r-f&lt;-r,将不存在</w:t>
      </w:r>
      <w:r>
        <w:rPr>
          <w:rFonts w:hint="eastAsia"/>
        </w:rPr>
        <w:t>什么</w:t>
      </w:r>
      <w:r>
        <w:t>均衡。</w:t>
      </w:r>
    </w:p>
  </w:footnote>
  <w:footnote w:id="91">
    <w:p w14:paraId="17EDDDE8">
      <w:pPr>
        <w:pStyle w:val="12"/>
      </w:pPr>
      <w:r>
        <w:rPr>
          <w:rStyle w:val="20"/>
        </w:rPr>
        <w:footnoteRef/>
      </w:r>
      <w:r>
        <w:t xml:space="preserve"> 如何做到这一点可能相对比较困难，但也存在诸如运用舆论工具给予负面的道德评价等方 法，具体措施巳经不是本文的探讨范围。</w:t>
      </w:r>
    </w:p>
  </w:footnote>
  <w:footnote w:id="92">
    <w:p w14:paraId="3EA7FAC5">
      <w:r>
        <w:rPr>
          <w:rStyle w:val="20"/>
        </w:rPr>
        <w:footnoteRef/>
      </w:r>
      <w:r>
        <w:t>（</w:t>
      </w:r>
      <w:r>
        <w:rPr>
          <w:rFonts w:ascii="Calibri" w:hAnsi="Calibri" w:eastAsia="宋体" w:cs="Times New Roman"/>
          <w:sz w:val="18"/>
          <w:szCs w:val="18"/>
        </w:rPr>
        <w:t>美）费尼.刑事辩护的伦理道德问题</w:t>
      </w:r>
      <w:r>
        <w:rPr>
          <w:rFonts w:hint="eastAsia" w:ascii="Calibri" w:hAnsi="Calibri" w:eastAsia="宋体" w:cs="Times New Roman"/>
          <w:sz w:val="18"/>
          <w:szCs w:val="18"/>
        </w:rPr>
        <w:t>[J].</w:t>
      </w:r>
      <w:r>
        <w:rPr>
          <w:rFonts w:ascii="Calibri" w:hAnsi="Calibri" w:eastAsia="宋体" w:cs="Times New Roman"/>
          <w:sz w:val="18"/>
          <w:szCs w:val="18"/>
        </w:rPr>
        <w:t>外国法译评</w:t>
      </w:r>
      <w:r>
        <w:t>M，1998（2）,37.</w:t>
      </w:r>
    </w:p>
  </w:footnote>
  <w:footnote w:id="93">
    <w:p w14:paraId="43670546">
      <w:pPr>
        <w:pStyle w:val="12"/>
      </w:pPr>
      <w:r>
        <w:rPr>
          <w:rStyle w:val="20"/>
        </w:rPr>
        <w:footnoteRef/>
      </w:r>
      <w:r>
        <w:t xml:space="preserve"> 周林.我国律师保守职业秘密义务的学理探讨及立法修改建议[J].浙江省政法管理干部学 院学报[M]. 2000（3）,15.</w:t>
      </w:r>
    </w:p>
  </w:footnote>
  <w:footnote w:id="94">
    <w:p w14:paraId="5C48CF68">
      <w:pPr>
        <w:pStyle w:val="12"/>
      </w:pPr>
      <w:r>
        <w:rPr>
          <w:rStyle w:val="20"/>
        </w:rPr>
        <w:footnoteRef/>
      </w:r>
      <w:r>
        <w:t xml:space="preserve"> 陈庚生等译.西欧国家的律师制度[M].吉林：吉林人民出版社,1991,178.</w:t>
      </w:r>
    </w:p>
  </w:footnote>
  <w:footnote w:id="95">
    <w:p w14:paraId="2587FF8C">
      <w:pPr>
        <w:pStyle w:val="12"/>
      </w:pPr>
      <w:r>
        <w:rPr>
          <w:rStyle w:val="20"/>
        </w:rPr>
        <w:footnoteRef/>
      </w:r>
      <w:r>
        <w:t xml:space="preserve"> 诉讼时效的客体存在诉权、实体权利、抗辩权等多种说法，本文从请求权消灭说的观点。参见 张驰.论诉讼时效客体[J].法学[M], 2001（3）,52-59.</w:t>
      </w:r>
    </w:p>
  </w:footnote>
  <w:footnote w:id="96">
    <w:p w14:paraId="21673F67">
      <w:pPr>
        <w:pStyle w:val="12"/>
        <w:rPr>
          <w:b/>
          <w:bCs/>
        </w:rPr>
      </w:pPr>
      <w:r>
        <w:rPr>
          <w:rStyle w:val="20"/>
        </w:rPr>
        <w:footnoteRef/>
      </w:r>
      <w:r>
        <w:t xml:space="preserve"> 高铭暄，马克昌.刑法学[M].北京:北京大学岀版社,2000,321.</w:t>
      </w:r>
    </w:p>
  </w:footnote>
  <w:footnote w:id="97">
    <w:p w14:paraId="7C9B7962">
      <w:pPr>
        <w:pStyle w:val="12"/>
      </w:pPr>
      <w:r>
        <w:rPr>
          <w:rStyle w:val="20"/>
        </w:rPr>
        <w:footnoteRef/>
      </w:r>
      <w:r>
        <w:t xml:space="preserve"> 参见于志刚.追诉时效制度比较研究[M].北京：法律出版社,1998,123-129.</w:t>
      </w:r>
    </w:p>
  </w:footnote>
  <w:footnote w:id="98">
    <w:p w14:paraId="196C2AFE">
      <w:pPr>
        <w:pStyle w:val="12"/>
      </w:pPr>
      <w:r>
        <w:rPr>
          <w:rStyle w:val="20"/>
        </w:rPr>
        <w:footnoteRef/>
      </w:r>
      <w:r>
        <w:t xml:space="preserve"> 马克昌.刑罚通论[M].武汉：武汉大学出版社，1995,680.</w:t>
      </w:r>
    </w:p>
  </w:footnote>
  <w:footnote w:id="99">
    <w:p w14:paraId="65444750">
      <w:pPr>
        <w:pStyle w:val="12"/>
      </w:pPr>
      <w:r>
        <w:rPr>
          <w:rStyle w:val="20"/>
        </w:rPr>
        <w:footnoteRef/>
      </w:r>
      <w:r>
        <w:t xml:space="preserve"> 马克昌.刑罚通论[M]・武汉：武汉大学出版社，1995,679.</w:t>
      </w:r>
    </w:p>
  </w:footnote>
  <w:footnote w:id="100">
    <w:p w14:paraId="7840A461">
      <w:pPr>
        <w:pStyle w:val="12"/>
      </w:pPr>
      <w:r>
        <w:rPr>
          <w:rStyle w:val="20"/>
        </w:rPr>
        <w:footnoteRef/>
      </w:r>
      <w:r>
        <w:t xml:space="preserve"> 于志刚.追诉时效制度比较研究[M].北京：法律出版社,1998,169.</w:t>
      </w:r>
    </w:p>
  </w:footnote>
  <w:footnote w:id="101">
    <w:p w14:paraId="2DD94109">
      <w:pPr>
        <w:pStyle w:val="12"/>
      </w:pPr>
      <w:r>
        <w:rPr>
          <w:rStyle w:val="20"/>
        </w:rPr>
        <w:footnoteRef/>
      </w:r>
      <w:r>
        <w:t xml:space="preserve"> 赵秉志，于志刚.论国际刑法中的追诉时效制度口].华东政法学院学报M，2001（2）,10. </w:t>
      </w:r>
    </w:p>
  </w:footnote>
  <w:footnote w:id="102">
    <w:p w14:paraId="047ED640">
      <w:pPr>
        <w:pStyle w:val="12"/>
      </w:pPr>
      <w:r>
        <w:rPr>
          <w:rStyle w:val="20"/>
        </w:rPr>
        <w:footnoteRef/>
      </w:r>
      <w:r>
        <w:t xml:space="preserve"> 参见张明</w:t>
      </w:r>
      <w:r>
        <w:rPr>
          <w:rFonts w:hint="eastAsia"/>
        </w:rPr>
        <w:t>楷</w:t>
      </w:r>
      <w:r>
        <w:t>.刑法学（上）[M].北京：法律出版社,1997,500.</w:t>
      </w:r>
    </w:p>
  </w:footnote>
  <w:footnote w:id="103">
    <w:p w14:paraId="551C91D9">
      <w:r>
        <w:rPr>
          <w:rStyle w:val="20"/>
        </w:rPr>
        <w:footnoteRef/>
      </w:r>
      <w:r>
        <w:rPr>
          <w:rFonts w:ascii="Calibri" w:hAnsi="Calibri" w:eastAsia="宋体" w:cs="Times New Roman"/>
          <w:sz w:val="18"/>
          <w:szCs w:val="18"/>
        </w:rPr>
        <w:t>于志刚.追诉时效制度比较研究[M].北京：法律出版社,1998,6-7.</w:t>
      </w:r>
    </w:p>
  </w:footnote>
  <w:footnote w:id="104">
    <w:p w14:paraId="55B52724">
      <w:pPr>
        <w:pStyle w:val="12"/>
      </w:pPr>
      <w:r>
        <w:rPr>
          <w:rStyle w:val="20"/>
        </w:rPr>
        <w:footnoteRef/>
      </w:r>
      <w:r>
        <w:t xml:space="preserve"> 马克昌.刑罚通论[M].武汉：武汉大学出版社,1995,668.</w:t>
      </w:r>
    </w:p>
  </w:footnote>
  <w:footnote w:id="105">
    <w:p w14:paraId="350ABFBB">
      <w:r>
        <w:rPr>
          <w:rStyle w:val="20"/>
        </w:rPr>
        <w:footnoteRef/>
      </w:r>
      <w:r>
        <w:t xml:space="preserve"> 陈浩</w:t>
      </w:r>
      <w:r>
        <w:rPr>
          <w:rFonts w:hint="eastAsia"/>
        </w:rPr>
        <w:t>然</w:t>
      </w:r>
      <w:r>
        <w:t>.理论刑法学[M].上海：上海人民出版社,2000,55.</w:t>
      </w:r>
    </w:p>
    <w:p w14:paraId="2F6E0D8D">
      <w:pPr>
        <w:pStyle w:val="12"/>
      </w:pPr>
    </w:p>
  </w:footnote>
  <w:footnote w:id="106">
    <w:p w14:paraId="454BA0AF">
      <w:pPr>
        <w:pStyle w:val="12"/>
      </w:pPr>
      <w:r>
        <w:rPr>
          <w:rStyle w:val="20"/>
        </w:rPr>
        <w:footnoteRef/>
      </w:r>
      <w:r>
        <w:t xml:space="preserve"> 高铭暄，马克昌.刑法学[M].北京:北京大学出版社,2000,321-322.</w:t>
      </w:r>
    </w:p>
  </w:footnote>
  <w:footnote w:id="107">
    <w:p w14:paraId="2D1AAE36">
      <w:pPr>
        <w:pStyle w:val="12"/>
      </w:pPr>
      <w:r>
        <w:rPr>
          <w:rStyle w:val="20"/>
        </w:rPr>
        <w:footnoteRef/>
      </w:r>
      <w:r>
        <w:t xml:space="preserve"> 马克昌.刑罚通论[M].武汉:武汉大学出版社,1995,669.</w:t>
      </w:r>
    </w:p>
  </w:footnote>
  <w:footnote w:id="108">
    <w:p w14:paraId="528F84E1">
      <w:pPr>
        <w:rPr>
          <w:rFonts w:ascii="Calibri" w:hAnsi="Calibri" w:eastAsia="宋体" w:cs="Times New Roman"/>
          <w:sz w:val="18"/>
          <w:szCs w:val="18"/>
        </w:rPr>
      </w:pPr>
      <w:r>
        <w:rPr>
          <w:rStyle w:val="20"/>
        </w:rPr>
        <w:footnoteRef/>
      </w:r>
      <w:r>
        <w:t xml:space="preserve"> </w:t>
      </w:r>
      <w:r>
        <w:rPr>
          <w:rFonts w:ascii="Calibri" w:hAnsi="Calibri" w:eastAsia="宋体" w:cs="Times New Roman"/>
          <w:sz w:val="18"/>
          <w:szCs w:val="18"/>
        </w:rPr>
        <w:t>于志刚.迫诉时效制度比较研究[M].北京：法律出版社,1998,7.</w:t>
      </w:r>
    </w:p>
  </w:footnote>
  <w:footnote w:id="109">
    <w:p w14:paraId="12A97710">
      <w:pPr>
        <w:rPr>
          <w:rFonts w:ascii="Calibri" w:hAnsi="Calibri" w:eastAsia="宋体" w:cs="Times New Roman"/>
          <w:sz w:val="18"/>
          <w:szCs w:val="18"/>
        </w:rPr>
      </w:pPr>
      <w:r>
        <w:rPr>
          <w:rStyle w:val="20"/>
        </w:rPr>
        <w:footnoteRef/>
      </w:r>
      <w:r>
        <w:t xml:space="preserve"> </w:t>
      </w:r>
      <w:r>
        <w:rPr>
          <w:rFonts w:ascii="Calibri" w:hAnsi="Calibri" w:eastAsia="宋体" w:cs="Times New Roman"/>
          <w:sz w:val="18"/>
          <w:szCs w:val="18"/>
        </w:rPr>
        <w:t>张明楷.刑法学（上）「M].北京：法律出版社,1997,501.</w:t>
      </w:r>
    </w:p>
  </w:footnote>
  <w:footnote w:id="110">
    <w:p w14:paraId="5A0A6C23">
      <w:pPr>
        <w:pStyle w:val="12"/>
      </w:pPr>
      <w:r>
        <w:rPr>
          <w:rStyle w:val="20"/>
        </w:rPr>
        <w:footnoteRef/>
      </w:r>
      <w:r>
        <w:t xml:space="preserve"> 陈浩然.理论刑法学[M].上海：上海人民出版社,2000,55-56.</w:t>
      </w:r>
    </w:p>
  </w:footnote>
  <w:footnote w:id="111">
    <w:p w14:paraId="60D5FBC0">
      <w:pPr>
        <w:rPr>
          <w:rFonts w:ascii="Calibri" w:hAnsi="Calibri" w:eastAsia="宋体" w:cs="Times New Roman"/>
          <w:sz w:val="18"/>
          <w:szCs w:val="18"/>
        </w:rPr>
      </w:pPr>
      <w:r>
        <w:rPr>
          <w:rStyle w:val="20"/>
        </w:rPr>
        <w:footnoteRef/>
      </w:r>
      <w:r>
        <w:t xml:space="preserve"> </w:t>
      </w:r>
      <w:r>
        <w:rPr>
          <w:rFonts w:ascii="Calibri" w:hAnsi="Calibri" w:eastAsia="宋体" w:cs="Times New Roman"/>
          <w:sz w:val="18"/>
          <w:szCs w:val="18"/>
        </w:rPr>
        <w:t>于志刚.追诉时效制度比较研究[M].北京：法律出版社,1998,7.</w:t>
      </w:r>
    </w:p>
  </w:footnote>
  <w:footnote w:id="112">
    <w:p w14:paraId="007E37A4">
      <w:pPr>
        <w:rPr>
          <w:rFonts w:ascii="Calibri" w:hAnsi="Calibri" w:eastAsia="宋体" w:cs="Times New Roman"/>
          <w:sz w:val="18"/>
          <w:szCs w:val="18"/>
        </w:rPr>
      </w:pPr>
      <w:r>
        <w:rPr>
          <w:rStyle w:val="20"/>
        </w:rPr>
        <w:footnoteRef/>
      </w:r>
      <w:r>
        <w:t xml:space="preserve"> </w:t>
      </w:r>
      <w:r>
        <w:rPr>
          <w:rFonts w:ascii="Calibri" w:hAnsi="Calibri" w:eastAsia="宋体" w:cs="Times New Roman"/>
          <w:sz w:val="18"/>
          <w:szCs w:val="18"/>
        </w:rPr>
        <w:t>于志刚.追诉时效制度比较研究[M].北京：法律出版社,1998,7.</w:t>
      </w:r>
    </w:p>
  </w:footnote>
  <w:footnote w:id="113">
    <w:p w14:paraId="68E59063">
      <w:pPr>
        <w:pStyle w:val="12"/>
      </w:pPr>
      <w:r>
        <w:rPr>
          <w:rStyle w:val="20"/>
        </w:rPr>
        <w:footnoteRef/>
      </w:r>
      <w:r>
        <w:t xml:space="preserve"> 张明楷.刑法学（上）[M].北京：法律出版社,1997,501.</w:t>
      </w:r>
    </w:p>
  </w:footnote>
  <w:footnote w:id="114">
    <w:p w14:paraId="29F45BD3">
      <w:pPr>
        <w:pStyle w:val="12"/>
      </w:pPr>
      <w:r>
        <w:rPr>
          <w:rStyle w:val="20"/>
        </w:rPr>
        <w:footnoteRef/>
      </w:r>
      <w:r>
        <w:t xml:space="preserve"> 马克昌.刑罚通论[M」.武汉：武汉大学出版社,1995,668.</w:t>
      </w:r>
    </w:p>
  </w:footnote>
  <w:footnote w:id="115">
    <w:p w14:paraId="72E92C2C">
      <w:pPr>
        <w:pStyle w:val="12"/>
      </w:pPr>
      <w:r>
        <w:rPr>
          <w:rStyle w:val="20"/>
        </w:rPr>
        <w:footnoteRef/>
      </w:r>
      <w:r>
        <w:t xml:space="preserve"> 于志刚.追诉时效制度比较研究，北京：法律出版社，1998,7.</w:t>
      </w:r>
    </w:p>
  </w:footnote>
  <w:footnote w:id="116">
    <w:p w14:paraId="1AFB0955">
      <w:pPr>
        <w:pStyle w:val="12"/>
      </w:pPr>
      <w:r>
        <w:rPr>
          <w:rStyle w:val="20"/>
        </w:rPr>
        <w:footnoteRef/>
      </w:r>
      <w:r>
        <w:t xml:space="preserve"> 高铭暄、马克昌.刑法学[M].北京：北京大学由版壮,2000,321.</w:t>
      </w:r>
    </w:p>
  </w:footnote>
  <w:footnote w:id="117">
    <w:p w14:paraId="078E74EA">
      <w:r>
        <w:rPr>
          <w:rStyle w:val="20"/>
        </w:rPr>
        <w:footnoteRef/>
      </w:r>
      <w:r>
        <w:t xml:space="preserve"> </w:t>
      </w:r>
      <w:r>
        <w:rPr>
          <w:rFonts w:ascii="Calibri" w:hAnsi="Calibri" w:eastAsia="宋体" w:cs="Times New Roman"/>
          <w:sz w:val="18"/>
          <w:szCs w:val="18"/>
        </w:rPr>
        <w:t>马克昌.刑罚通论[M].武汉：武汉大学出版祂.1995,668.</w:t>
      </w:r>
    </w:p>
  </w:footnote>
  <w:footnote w:id="118">
    <w:p w14:paraId="33FA51A0">
      <w:pPr>
        <w:pStyle w:val="12"/>
      </w:pPr>
      <w:r>
        <w:rPr>
          <w:rStyle w:val="20"/>
        </w:rPr>
        <w:footnoteRef/>
      </w:r>
      <w:r>
        <w:t xml:space="preserve"> 蒋兰香.刑法时效延长制度质疑[J].天津市政法管理干部学院学报CM], 2000（4）,6.</w:t>
      </w:r>
    </w:p>
  </w:footnote>
  <w:footnote w:id="119">
    <w:p w14:paraId="1D17FBBA">
      <w:pPr>
        <w:pStyle w:val="12"/>
      </w:pPr>
      <w:r>
        <w:rPr>
          <w:rStyle w:val="20"/>
        </w:rPr>
        <w:footnoteRef/>
      </w:r>
      <w:r>
        <w:t xml:space="preserve"> 高铭隍，马克昌.刑法学[M].北京:北京大学出版社,2000,321-322.</w:t>
      </w:r>
    </w:p>
  </w:footnote>
  <w:footnote w:id="120">
    <w:p w14:paraId="22A1F456">
      <w:pPr>
        <w:pStyle w:val="12"/>
      </w:pPr>
      <w:r>
        <w:rPr>
          <w:rStyle w:val="20"/>
        </w:rPr>
        <w:footnoteRef/>
      </w:r>
      <w:r>
        <w:t xml:space="preserve"> （美）贝勒斯.法律的原则[M].北京：中国大百科全书出版社,1996,85.</w:t>
      </w:r>
    </w:p>
  </w:footnote>
  <w:footnote w:id="121">
    <w:p w14:paraId="23094652">
      <w:pPr>
        <w:pStyle w:val="12"/>
      </w:pPr>
      <w:r>
        <w:rPr>
          <w:rStyle w:val="20"/>
        </w:rPr>
        <w:footnoteRef/>
      </w:r>
      <w:r>
        <w:t xml:space="preserve"> （美）贝勒斯.法律的原则[M].北京：中国大百科全书出版社，1996,37.</w:t>
      </w:r>
    </w:p>
  </w:footnote>
  <w:footnote w:id="122">
    <w:p w14:paraId="292509DA">
      <w:pPr>
        <w:pStyle w:val="12"/>
      </w:pPr>
      <w:r>
        <w:rPr>
          <w:rStyle w:val="20"/>
        </w:rPr>
        <w:footnoteRef/>
      </w:r>
      <w:r>
        <w:t xml:space="preserve"> （美）贝勒斯.法律的原则[M].北京：中国大百科全书出版社,1996,336.</w:t>
      </w:r>
    </w:p>
  </w:footnote>
  <w:footnote w:id="123">
    <w:p w14:paraId="36556E45">
      <w:pPr>
        <w:pStyle w:val="12"/>
      </w:pPr>
      <w:r>
        <w:rPr>
          <w:rStyle w:val="20"/>
        </w:rPr>
        <w:footnoteRef/>
      </w:r>
      <w:r>
        <w:t xml:space="preserve"> 参见（美）波斯纳.法律的经济分析[M].北京：中国大百科全书出版社，1997,329—330.</w:t>
      </w:r>
    </w:p>
  </w:footnote>
  <w:footnote w:id="124">
    <w:p w14:paraId="0A5BC0AB">
      <w:pPr>
        <w:pStyle w:val="12"/>
      </w:pPr>
      <w:r>
        <w:rPr>
          <w:rStyle w:val="20"/>
        </w:rPr>
        <w:footnoteRef/>
      </w:r>
      <w:r>
        <w:t xml:space="preserve"> 参见陈正云.刑法的经济分析［M］.北京：中国法制出版社，1997,284-285.</w:t>
      </w:r>
    </w:p>
  </w:footnote>
  <w:footnote w:id="125">
    <w:p w14:paraId="57CAC915">
      <w:pPr>
        <w:pStyle w:val="12"/>
      </w:pPr>
      <w:r>
        <w:rPr>
          <w:rStyle w:val="20"/>
        </w:rPr>
        <w:footnoteRef/>
      </w:r>
      <w:r>
        <w:t xml:space="preserve"> 参见陈正云.刑法的经济分析［MJ.北京：中国法制出版社，1997,294.</w:t>
      </w:r>
    </w:p>
  </w:footnote>
  <w:footnote w:id="126">
    <w:p w14:paraId="2BE61D15">
      <w:pPr>
        <w:pStyle w:val="12"/>
      </w:pPr>
      <w:r>
        <w:rPr>
          <w:rStyle w:val="20"/>
        </w:rPr>
        <w:footnoteRef/>
      </w:r>
      <w:r>
        <w:t xml:space="preserve"> 于志刚.追诉时效制度比较研究［M］.北京：法律出版社,1998,3.</w:t>
      </w:r>
    </w:p>
  </w:footnote>
  <w:footnote w:id="127">
    <w:p w14:paraId="66B33C10">
      <w:pPr>
        <w:pStyle w:val="12"/>
      </w:pPr>
      <w:r>
        <w:rPr>
          <w:rStyle w:val="20"/>
        </w:rPr>
        <w:footnoteRef/>
      </w:r>
      <w:r>
        <w:t xml:space="preserve"> （美）贝克尔.人类行为的经济分析［M］上海：上海三联书店、上海人民出版社,1995,63.</w:t>
      </w:r>
    </w:p>
  </w:footnote>
  <w:footnote w:id="128">
    <w:p w14:paraId="1AF22F57">
      <w:pPr>
        <w:pStyle w:val="12"/>
      </w:pPr>
      <w:r>
        <w:rPr>
          <w:rStyle w:val="20"/>
        </w:rPr>
        <w:footnoteRef/>
      </w:r>
      <w:r>
        <w:t xml:space="preserve"> （美）波斯纳.法律的经济分析［M］.北京：中国大百科全书出版社,1997,292.</w:t>
      </w:r>
    </w:p>
  </w:footnote>
  <w:footnote w:id="129">
    <w:p w14:paraId="5DC59199">
      <w:pPr>
        <w:pStyle w:val="12"/>
      </w:pPr>
      <w:r>
        <w:rPr>
          <w:rStyle w:val="20"/>
        </w:rPr>
        <w:footnoteRef/>
      </w:r>
      <w:r>
        <w:t xml:space="preserve"> （法〉斯特法尼.法国刑法总论精义[M].北京：中国政法大学出版社,1998,28.</w:t>
      </w:r>
    </w:p>
  </w:footnote>
  <w:footnote w:id="130">
    <w:p w14:paraId="28468613">
      <w:pPr>
        <w:pStyle w:val="12"/>
      </w:pPr>
      <w:r>
        <w:rPr>
          <w:rStyle w:val="20"/>
        </w:rPr>
        <w:footnoteRef/>
      </w:r>
      <w:r>
        <w:t xml:space="preserve"> （美）波斯纳.法律的经济分析[M].北京：中国大百科全书出版社,1997,292.</w:t>
      </w:r>
    </w:p>
  </w:footnote>
  <w:footnote w:id="131">
    <w:p w14:paraId="6D92CC17">
      <w:r>
        <w:rPr>
          <w:rStyle w:val="20"/>
        </w:rPr>
        <w:footnoteRef/>
      </w:r>
      <w:r>
        <w:t xml:space="preserve"> </w:t>
      </w:r>
      <w:r>
        <w:rPr>
          <w:rFonts w:ascii="Calibri" w:hAnsi="Calibri" w:eastAsia="宋体" w:cs="Times New Roman"/>
          <w:sz w:val="18"/>
          <w:szCs w:val="18"/>
        </w:rPr>
        <w:t>参见（美）考特，尤伦.法和经济学[M].上海：上海三联书店、上海人民出版社,1994,713- 722.</w:t>
      </w:r>
    </w:p>
  </w:footnote>
  <w:footnote w:id="132">
    <w:p w14:paraId="0E363172">
      <w:pPr>
        <w:pStyle w:val="12"/>
      </w:pPr>
      <w:r>
        <w:rPr>
          <w:rStyle w:val="20"/>
        </w:rPr>
        <w:footnoteRef/>
      </w:r>
      <w:r>
        <w:t xml:space="preserve"> （英）边沁.立法理论——刑法典原理[M].北京：中国人民公安大学出版社,1993,69.</w:t>
      </w:r>
    </w:p>
  </w:footnote>
  <w:footnote w:id="133">
    <w:p w14:paraId="68418243">
      <w:pPr>
        <w:pStyle w:val="12"/>
      </w:pPr>
      <w:r>
        <w:rPr>
          <w:rStyle w:val="20"/>
        </w:rPr>
        <w:footnoteRef/>
      </w:r>
      <w:r>
        <w:t xml:space="preserve"> 引自（美）贝克尔.人类行为的经济分析[M].上海：上海三联书店、上海人民出版社,1995, 77.</w:t>
      </w:r>
    </w:p>
  </w:footnote>
  <w:footnote w:id="134">
    <w:p w14:paraId="4D486B9B">
      <w:pPr>
        <w:pStyle w:val="12"/>
      </w:pPr>
      <w:r>
        <w:rPr>
          <w:rStyle w:val="20"/>
        </w:rPr>
        <w:footnoteRef/>
      </w:r>
      <w:r>
        <w:t xml:space="preserve"> 我国刑法第88条第1款规定:“在人民检察院、公安机关、国家安全机关立案侦查或者在人民 法院受理案件以后，逃避侦查或者审判的,不受追诉期限的限制按照该条款，由于种种原因而当时 没有“立案侦查"或“受理案件"，犯罪人在追诉期限以后即可逃避法律责任，达在实践中容易导致犯罪 人采取破坏立案和法院受理的各种行动。</w:t>
      </w:r>
    </w:p>
  </w:footnote>
  <w:footnote w:id="135">
    <w:p w14:paraId="6905DADB">
      <w:pPr>
        <w:pStyle w:val="12"/>
      </w:pPr>
      <w:r>
        <w:rPr>
          <w:rStyle w:val="20"/>
        </w:rPr>
        <w:footnoteRef/>
      </w:r>
      <w:r>
        <w:t xml:space="preserve"> （意）贝卡里亚.论犯罪与刑罚[M].北京：中国大百科全书出版社，1993,104.</w:t>
      </w:r>
    </w:p>
  </w:footnote>
  <w:footnote w:id="136">
    <w:p w14:paraId="0879B1BB">
      <w:pPr>
        <w:pStyle w:val="12"/>
      </w:pPr>
      <w:r>
        <w:rPr>
          <w:rStyle w:val="20"/>
        </w:rPr>
        <w:footnoteRef/>
      </w:r>
      <w:r>
        <w:t xml:space="preserve"> 于志刚.迫诉时效制度比较研究[M].北京：法律出版社,1998,276.</w:t>
      </w:r>
    </w:p>
  </w:footnote>
  <w:footnote w:id="137">
    <w:p w14:paraId="0B511022">
      <w:pPr>
        <w:pStyle w:val="12"/>
      </w:pPr>
      <w:r>
        <w:rPr>
          <w:rStyle w:val="20"/>
        </w:rPr>
        <w:footnoteRef/>
      </w:r>
      <w:r>
        <w:t xml:space="preserve"> (美)贝克尔.人类行为的经济分析[M].上海：上海三联书店、上海人民出版社，1995,57； 2002年美国的人权纪录[J].北京：光明日报2003年4月4日。</w:t>
      </w:r>
    </w:p>
  </w:footnote>
  <w:footnote w:id="138">
    <w:p w14:paraId="2743871C">
      <w:pPr>
        <w:pStyle w:val="12"/>
      </w:pPr>
      <w:r>
        <w:rPr>
          <w:rStyle w:val="20"/>
        </w:rPr>
        <w:footnoteRef/>
      </w:r>
      <w:r>
        <w:t xml:space="preserve"> 考特和尤伦在讨论侵权法中的过失问题时曾经进行过类似分析，参见《法和经济学》一书。</w:t>
      </w:r>
    </w:p>
  </w:footnote>
  <w:footnote w:id="139">
    <w:p w14:paraId="7539BD15">
      <w:pPr>
        <w:pStyle w:val="12"/>
      </w:pPr>
      <w:r>
        <w:rPr>
          <w:rStyle w:val="20"/>
        </w:rPr>
        <w:footnoteRef/>
      </w:r>
      <w:r>
        <w:t xml:space="preserve"> 参见（美）哈特.惩罚与责任[M].北京：华夏岀版社,1989,5.</w:t>
      </w:r>
    </w:p>
  </w:footnote>
  <w:footnote w:id="140">
    <w:p w14:paraId="4919D65D">
      <w:pPr>
        <w:pStyle w:val="12"/>
      </w:pPr>
      <w:r>
        <w:rPr>
          <w:rStyle w:val="20"/>
        </w:rPr>
        <w:footnoteRef/>
      </w:r>
      <w:r>
        <w:t xml:space="preserve"> 参见（美）波斯纳.法律的经济分析[M].北京：中国大百科全书出版社,1997,717.</w:t>
      </w:r>
    </w:p>
  </w:footnote>
  <w:footnote w:id="141">
    <w:p w14:paraId="6AABD6DB">
      <w:pPr>
        <w:pStyle w:val="12"/>
      </w:pPr>
      <w:r>
        <w:rPr>
          <w:rStyle w:val="20"/>
        </w:rPr>
        <w:footnoteRef/>
      </w:r>
      <w:r>
        <w:t xml:space="preserve"> 谢望原.刑罚价值论[M].北京：中国检察出版壮,1999,66.</w:t>
      </w:r>
    </w:p>
  </w:footnote>
  <w:footnote w:id="142">
    <w:p w14:paraId="1F746E02">
      <w:pPr>
        <w:pStyle w:val="12"/>
      </w:pPr>
      <w:r>
        <w:rPr>
          <w:rStyle w:val="20"/>
        </w:rPr>
        <w:footnoteRef/>
      </w:r>
      <w:r>
        <w:t xml:space="preserve"> （美）贝克尔.人类行为的经济分析[M].上海:上海三联书店、上海人民出版社,1995,68.</w:t>
      </w:r>
    </w:p>
  </w:footnote>
  <w:footnote w:id="143">
    <w:p w14:paraId="5E4D4E14">
      <w:pPr>
        <w:pStyle w:val="12"/>
      </w:pPr>
      <w:r>
        <w:rPr>
          <w:rStyle w:val="20"/>
        </w:rPr>
        <w:footnoteRef/>
      </w:r>
      <w:r>
        <w:t xml:space="preserve"> （英）边沁.立法原理——刑法典原理[M].北京：中国人民公安大学出版社,1993,59.</w:t>
      </w:r>
    </w:p>
  </w:footnote>
  <w:footnote w:id="144">
    <w:p w14:paraId="2E2E7B63">
      <w:pPr>
        <w:pStyle w:val="12"/>
      </w:pPr>
      <w:r>
        <w:rPr>
          <w:rStyle w:val="20"/>
        </w:rPr>
        <w:footnoteRef/>
      </w:r>
      <w:r>
        <w:t xml:space="preserve"> （美）贝勒斯.法律的原则［M］.北京：中国大百科全书出版社,1996,336.</w:t>
      </w:r>
    </w:p>
  </w:footnote>
  <w:footnote w:id="145">
    <w:p w14:paraId="29439090">
      <w:pPr>
        <w:pStyle w:val="12"/>
      </w:pPr>
      <w:r>
        <w:rPr>
          <w:rStyle w:val="20"/>
        </w:rPr>
        <w:footnoteRef/>
      </w:r>
      <w:r>
        <w:t xml:space="preserve"> 樊凤林.刑罚通论［M］.北京：中国政法大学出版社,1994,350.</w:t>
      </w:r>
    </w:p>
  </w:footnote>
  <w:footnote w:id="146">
    <w:p w14:paraId="0414D917">
      <w:pPr>
        <w:pStyle w:val="12"/>
      </w:pPr>
      <w:r>
        <w:rPr>
          <w:rStyle w:val="20"/>
        </w:rPr>
        <w:footnoteRef/>
      </w:r>
      <w:r>
        <w:t xml:space="preserve"> 参见陈兴良.刑罚目的新论口］.华东政法学院学报［M］, 2001（3）,3-9.</w:t>
      </w:r>
    </w:p>
  </w:footnote>
  <w:footnote w:id="147">
    <w:p w14:paraId="6249236E">
      <w:pPr>
        <w:pStyle w:val="12"/>
      </w:pPr>
      <w:r>
        <w:rPr>
          <w:rStyle w:val="20"/>
        </w:rPr>
        <w:footnoteRef/>
      </w:r>
      <w:r>
        <w:t xml:space="preserve"> 田宏杰.刑罚目的新论［J］.中国政法大学学报［MJ. 2000（6）,73.</w:t>
      </w:r>
    </w:p>
  </w:footnote>
  <w:footnote w:id="148">
    <w:p w14:paraId="61A631CC">
      <w:pPr>
        <w:pStyle w:val="12"/>
      </w:pPr>
      <w:r>
        <w:rPr>
          <w:rStyle w:val="20"/>
        </w:rPr>
        <w:footnoteRef/>
      </w:r>
      <w:r>
        <w:t xml:space="preserve"> （意）贝卡里亚.论犯罪与刑罚［M］.北京：中国大百科全书出版社,1993,42.</w:t>
      </w:r>
    </w:p>
  </w:footnote>
  <w:footnote w:id="149">
    <w:p w14:paraId="5B02A742">
      <w:pPr>
        <w:pStyle w:val="12"/>
      </w:pPr>
      <w:r>
        <w:rPr>
          <w:rStyle w:val="20"/>
        </w:rPr>
        <w:footnoteRef/>
      </w:r>
      <w:r>
        <w:t xml:space="preserve"> （意〉贝卡里亚.论犯罪与刑罚［M］.北京：中国大百科全书出版社,1993,104.</w:t>
      </w:r>
    </w:p>
  </w:footnote>
  <w:footnote w:id="150">
    <w:p w14:paraId="4D1013C4">
      <w:pPr>
        <w:pStyle w:val="12"/>
      </w:pPr>
      <w:r>
        <w:rPr>
          <w:rStyle w:val="20"/>
        </w:rPr>
        <w:footnoteRef/>
      </w:r>
      <w:r>
        <w:t xml:space="preserve"> 参见（美）考特,尤伦.法和经济学［M］.上海:上海三联书店、上海人民出版社，1994,744.</w:t>
      </w:r>
    </w:p>
  </w:footnote>
  <w:footnote w:id="151">
    <w:p w14:paraId="4B06287B">
      <w:pPr>
        <w:pStyle w:val="12"/>
      </w:pPr>
      <w:r>
        <w:rPr>
          <w:rStyle w:val="20"/>
        </w:rPr>
        <w:footnoteRef/>
      </w:r>
      <w:r>
        <w:t xml:space="preserve"> （美）波斯纳.法律的经济分析[M].北京：中国大百科全书出版杜,1997,294.</w:t>
      </w:r>
    </w:p>
  </w:footnote>
  <w:footnote w:id="152">
    <w:p w14:paraId="51F92C02">
      <w:pPr>
        <w:pStyle w:val="12"/>
      </w:pPr>
      <w:r>
        <w:rPr>
          <w:rStyle w:val="20"/>
        </w:rPr>
        <w:footnoteRef/>
      </w:r>
      <w:r>
        <w:t xml:space="preserve"> </w:t>
      </w:r>
      <w:r>
        <w:rPr>
          <w:rFonts w:hint="eastAsia"/>
        </w:rPr>
        <w:t>张文等.刑事责任要义[M].北京：北京大学出版社,1997,106.</w:t>
      </w:r>
    </w:p>
  </w:footnote>
  <w:footnote w:id="153">
    <w:p w14:paraId="6EB10AE4">
      <w:pPr>
        <w:pStyle w:val="12"/>
      </w:pPr>
      <w:r>
        <w:rPr>
          <w:rStyle w:val="20"/>
        </w:rPr>
        <w:footnoteRef/>
      </w:r>
      <w:r>
        <w:t xml:space="preserve"> </w:t>
      </w:r>
      <w:r>
        <w:rPr>
          <w:rFonts w:hint="eastAsia"/>
        </w:rPr>
        <w:t>列宁全集[M].第4卷.北京：人民出版社,1958,364.</w:t>
      </w:r>
    </w:p>
  </w:footnote>
  <w:footnote w:id="154">
    <w:p w14:paraId="17B6C24F">
      <w:pPr>
        <w:pStyle w:val="12"/>
        <w:spacing w:line="240" w:lineRule="exact"/>
        <w:rPr>
          <w:rFonts w:ascii="宋体" w:hAnsi="宋体"/>
        </w:rPr>
      </w:pPr>
      <w:r>
        <w:rPr>
          <w:rStyle w:val="20"/>
          <w:rFonts w:ascii="宋体" w:hAnsi="宋体"/>
        </w:rPr>
        <w:footnoteRef/>
      </w:r>
      <w:r>
        <w:rPr>
          <w:rFonts w:hint="eastAsia" w:ascii="宋体" w:hAnsi="宋体"/>
        </w:rPr>
        <w:t>[美]阿尔钦，登姆塞茨.生产、信息费用与经济组织[M].论生产的制度结构，上海：上海三联书店，1994，70.</w:t>
      </w:r>
    </w:p>
  </w:footnote>
  <w:footnote w:id="155">
    <w:p w14:paraId="08392BD3">
      <w:pPr>
        <w:rPr>
          <w:rFonts w:ascii="宋体" w:hAnsi="宋体"/>
          <w:sz w:val="18"/>
          <w:szCs w:val="18"/>
        </w:rPr>
      </w:pPr>
      <w:r>
        <w:rPr>
          <w:rFonts w:ascii="宋体" w:hAnsi="宋体"/>
          <w:sz w:val="18"/>
          <w:szCs w:val="18"/>
          <w:vertAlign w:val="superscript"/>
        </w:rPr>
        <w:footnoteRef/>
      </w:r>
      <w:r>
        <w:rPr>
          <w:rFonts w:hint="eastAsia" w:ascii="宋体" w:hAnsi="宋体"/>
          <w:sz w:val="18"/>
          <w:szCs w:val="18"/>
        </w:rPr>
        <w:t>参见程恩富：《西力产权理论评析——兼论中国企业改革》，《当代中国出版社》1997年版，第124页。</w:t>
      </w:r>
    </w:p>
  </w:footnote>
  <w:footnote w:id="156">
    <w:p w14:paraId="3848B501">
      <w:pPr>
        <w:pStyle w:val="12"/>
        <w:snapToGrid/>
        <w:rPr>
          <w:rFonts w:ascii="宋体" w:hAnsi="宋体"/>
        </w:rPr>
      </w:pPr>
      <w:r>
        <w:rPr>
          <w:rFonts w:ascii="宋体" w:hAnsi="宋体"/>
          <w:vertAlign w:val="superscript"/>
        </w:rPr>
        <w:footnoteRef/>
      </w:r>
      <w:r>
        <w:rPr>
          <w:rFonts w:hint="eastAsia" w:ascii="宋体" w:hAnsi="宋体"/>
        </w:rPr>
        <w:t>参见丁晓钦：《在创建世界工厂过程中实施知识产权优势战略——访海派经济学家程恩富》，《国际经贸谈》2003年第3期。</w:t>
      </w:r>
    </w:p>
  </w:footnote>
  <w:footnote w:id="157">
    <w:p w14:paraId="12102B02">
      <w:pPr>
        <w:pStyle w:val="12"/>
        <w:adjustRightInd w:val="0"/>
        <w:rPr>
          <w:rFonts w:ascii="宋体" w:hAnsi="宋体"/>
        </w:rPr>
      </w:pPr>
      <w:r>
        <w:rPr>
          <w:rFonts w:ascii="宋体" w:hAnsi="宋体"/>
          <w:vertAlign w:val="superscript"/>
        </w:rPr>
        <w:footnoteRef/>
      </w:r>
      <w:r>
        <w:rPr>
          <w:rFonts w:hint="eastAsia" w:ascii="宋体" w:hAnsi="宋体"/>
        </w:rPr>
        <w:t>程恩富、曹雷：《当代外国学者对新保守主义经济思潮的研究》，《财经研究》2004年第2期。</w:t>
      </w:r>
    </w:p>
  </w:footnote>
  <w:footnote w:id="158">
    <w:p w14:paraId="5531988A">
      <w:pPr>
        <w:pStyle w:val="12"/>
        <w:adjustRightInd w:val="0"/>
        <w:rPr>
          <w:rFonts w:ascii="宋体" w:hAnsi="宋体"/>
          <w:sz w:val="21"/>
          <w:szCs w:val="21"/>
        </w:rPr>
      </w:pPr>
      <w:r>
        <w:rPr>
          <w:rFonts w:ascii="宋体" w:hAnsi="宋体"/>
          <w:vertAlign w:val="superscript"/>
        </w:rPr>
        <w:footnoteRef/>
      </w:r>
      <w:r>
        <w:rPr>
          <w:rFonts w:hint="eastAsia" w:ascii="宋体" w:hAnsi="宋体"/>
        </w:rPr>
        <w:t>陈奎元：《繁荣发展中国特色的哲学社会科学》，《人民日报》2004年4月20日。</w:t>
      </w:r>
    </w:p>
  </w:footnote>
  <w:footnote w:id="159">
    <w:p w14:paraId="5A1E7D9A">
      <w:pPr>
        <w:snapToGrid w:val="0"/>
        <w:rPr>
          <w:rFonts w:ascii="Times New Roman" w:hAnsi="Times New Roman"/>
          <w:sz w:val="15"/>
          <w:szCs w:val="15"/>
        </w:rPr>
      </w:pPr>
      <w:r>
        <w:rPr>
          <w:rFonts w:ascii="Times New Roman" w:hAnsi="Times New Roman"/>
          <w:sz w:val="15"/>
          <w:szCs w:val="15"/>
          <w:vertAlign w:val="superscript"/>
        </w:rPr>
        <w:footnoteRef/>
      </w:r>
      <w:r>
        <w:rPr>
          <w:rFonts w:hint="eastAsia" w:ascii="Times New Roman" w:hAnsi="Times New Roman"/>
          <w:sz w:val="15"/>
          <w:szCs w:val="15"/>
        </w:rPr>
        <w:t>休谟：《人性论》下册，商务印书馆</w:t>
      </w:r>
      <w:r>
        <w:rPr>
          <w:rFonts w:ascii="Times New Roman" w:hAnsi="Times New Roman"/>
          <w:sz w:val="15"/>
          <w:szCs w:val="15"/>
        </w:rPr>
        <w:t>1997</w:t>
      </w:r>
      <w:r>
        <w:rPr>
          <w:rFonts w:hint="eastAsia" w:ascii="Times New Roman" w:hAnsi="Times New Roman"/>
          <w:sz w:val="15"/>
          <w:szCs w:val="15"/>
        </w:rPr>
        <w:t>年版，第</w:t>
      </w:r>
      <w:r>
        <w:rPr>
          <w:rFonts w:ascii="Times New Roman" w:hAnsi="Times New Roman"/>
          <w:sz w:val="15"/>
          <w:szCs w:val="15"/>
        </w:rPr>
        <w:t>527</w:t>
      </w:r>
      <w:r>
        <w:rPr>
          <w:rFonts w:hint="eastAsia" w:ascii="Times New Roman" w:hAnsi="Times New Roman"/>
          <w:sz w:val="15"/>
          <w:szCs w:val="15"/>
        </w:rPr>
        <w:t>页。</w:t>
      </w:r>
    </w:p>
  </w:footnote>
  <w:footnote w:id="160">
    <w:p w14:paraId="045C4541">
      <w:pPr>
        <w:snapToGrid w:val="0"/>
        <w:rPr>
          <w:rFonts w:ascii="Times New Roman" w:hAnsi="Times New Roman"/>
          <w:sz w:val="18"/>
          <w:szCs w:val="18"/>
        </w:rPr>
      </w:pPr>
      <w:r>
        <w:rPr>
          <w:rFonts w:ascii="Times New Roman" w:hAnsi="Times New Roman"/>
          <w:sz w:val="15"/>
          <w:szCs w:val="15"/>
          <w:vertAlign w:val="superscript"/>
        </w:rPr>
        <w:footnoteRef/>
      </w:r>
      <w:r>
        <w:rPr>
          <w:rFonts w:hint="eastAsia" w:ascii="Times New Roman" w:hAnsi="Times New Roman"/>
          <w:sz w:val="15"/>
          <w:szCs w:val="15"/>
        </w:rPr>
        <w:t>米塞斯：《经济学的认识论问题》，经济科学出版社</w:t>
      </w:r>
      <w:r>
        <w:rPr>
          <w:rFonts w:ascii="Times New Roman" w:hAnsi="Times New Roman"/>
          <w:sz w:val="15"/>
          <w:szCs w:val="15"/>
        </w:rPr>
        <w:t>2001</w:t>
      </w:r>
      <w:r>
        <w:rPr>
          <w:rFonts w:hint="eastAsia" w:ascii="Times New Roman" w:hAnsi="Times New Roman"/>
          <w:sz w:val="15"/>
          <w:szCs w:val="15"/>
        </w:rPr>
        <w:t>年版，第</w:t>
      </w:r>
      <w:r>
        <w:rPr>
          <w:rFonts w:ascii="Times New Roman" w:hAnsi="Times New Roman"/>
          <w:sz w:val="15"/>
          <w:szCs w:val="15"/>
        </w:rPr>
        <w:t>26</w:t>
      </w:r>
      <w:r>
        <w:rPr>
          <w:rFonts w:hint="eastAsia" w:ascii="Times New Roman" w:hAnsi="Times New Roman"/>
          <w:sz w:val="15"/>
          <w:szCs w:val="15"/>
        </w:rPr>
        <w:t>页。</w:t>
      </w:r>
    </w:p>
  </w:footnote>
  <w:footnote w:id="161">
    <w:p w14:paraId="7D605C2C">
      <w:pPr>
        <w:snapToGrid w:val="0"/>
        <w:rPr>
          <w:rFonts w:ascii="Times New Roman" w:hAnsi="Times New Roman"/>
          <w:sz w:val="15"/>
          <w:szCs w:val="15"/>
        </w:rPr>
      </w:pPr>
      <w:r>
        <w:rPr>
          <w:rFonts w:ascii="Times New Roman" w:hAnsi="Times New Roman"/>
          <w:sz w:val="15"/>
          <w:szCs w:val="15"/>
          <w:vertAlign w:val="superscript"/>
        </w:rPr>
        <w:footnoteRef/>
      </w:r>
      <w:r>
        <w:rPr>
          <w:rFonts w:hint="eastAsia" w:ascii="Times New Roman" w:hAnsi="Times New Roman"/>
          <w:sz w:val="15"/>
          <w:szCs w:val="15"/>
        </w:rPr>
        <w:t>杜威文选：《新旧个人主义》，上海社会科学院出版社</w:t>
      </w:r>
      <w:r>
        <w:rPr>
          <w:rFonts w:ascii="Times New Roman" w:hAnsi="Times New Roman"/>
          <w:sz w:val="15"/>
          <w:szCs w:val="15"/>
        </w:rPr>
        <w:t>1997</w:t>
      </w:r>
      <w:r>
        <w:rPr>
          <w:rFonts w:hint="eastAsia" w:ascii="Times New Roman" w:hAnsi="Times New Roman"/>
          <w:sz w:val="15"/>
          <w:szCs w:val="15"/>
        </w:rPr>
        <w:t>年版，第</w:t>
      </w:r>
      <w:r>
        <w:rPr>
          <w:rFonts w:ascii="Times New Roman" w:hAnsi="Times New Roman"/>
          <w:sz w:val="15"/>
          <w:szCs w:val="15"/>
        </w:rPr>
        <w:t>125</w:t>
      </w:r>
      <w:r>
        <w:rPr>
          <w:rFonts w:hint="eastAsia" w:ascii="Times New Roman" w:hAnsi="Times New Roman"/>
          <w:sz w:val="15"/>
          <w:szCs w:val="15"/>
        </w:rPr>
        <w:t>页。</w:t>
      </w:r>
    </w:p>
  </w:footnote>
  <w:footnote w:id="162">
    <w:p w14:paraId="5D404D49">
      <w:pPr>
        <w:snapToGrid w:val="0"/>
        <w:rPr>
          <w:rFonts w:ascii="Times New Roman" w:hAnsi="Times New Roman"/>
          <w:sz w:val="15"/>
          <w:szCs w:val="15"/>
        </w:rPr>
      </w:pPr>
      <w:r>
        <w:rPr>
          <w:rFonts w:ascii="Times New Roman" w:hAnsi="Times New Roman"/>
          <w:sz w:val="15"/>
          <w:szCs w:val="15"/>
          <w:vertAlign w:val="superscript"/>
        </w:rPr>
        <w:footnoteRef/>
      </w:r>
      <w:r>
        <w:rPr>
          <w:rFonts w:hint="eastAsia" w:ascii="Times New Roman" w:hAnsi="Times New Roman"/>
          <w:sz w:val="15"/>
          <w:szCs w:val="15"/>
        </w:rPr>
        <w:t>引自程恩富：《西方产权理论评析》，当代中国出版社</w:t>
      </w:r>
      <w:r>
        <w:rPr>
          <w:rFonts w:ascii="Times New Roman" w:hAnsi="Times New Roman"/>
          <w:sz w:val="15"/>
          <w:szCs w:val="15"/>
        </w:rPr>
        <w:t>1997</w:t>
      </w:r>
      <w:r>
        <w:rPr>
          <w:rFonts w:hint="eastAsia" w:ascii="Times New Roman" w:hAnsi="Times New Roman"/>
          <w:sz w:val="15"/>
          <w:szCs w:val="15"/>
        </w:rPr>
        <w:t>年版，第</w:t>
      </w:r>
      <w:r>
        <w:rPr>
          <w:rFonts w:ascii="Times New Roman" w:hAnsi="Times New Roman"/>
          <w:sz w:val="15"/>
          <w:szCs w:val="15"/>
        </w:rPr>
        <w:t>151</w:t>
      </w:r>
      <w:r>
        <w:rPr>
          <w:rFonts w:hint="eastAsia" w:ascii="Times New Roman" w:hAnsi="Times New Roman"/>
          <w:sz w:val="15"/>
          <w:szCs w:val="15"/>
        </w:rPr>
        <w:t>页。</w:t>
      </w:r>
    </w:p>
  </w:footnote>
  <w:footnote w:id="163">
    <w:p w14:paraId="68D8DE40">
      <w:pPr>
        <w:snapToGrid w:val="0"/>
        <w:rPr>
          <w:rFonts w:ascii="Times New Roman" w:hAnsi="Times New Roman"/>
          <w:sz w:val="18"/>
          <w:szCs w:val="18"/>
        </w:rPr>
      </w:pPr>
      <w:r>
        <w:rPr>
          <w:rFonts w:ascii="Times New Roman" w:hAnsi="Times New Roman"/>
          <w:sz w:val="15"/>
          <w:szCs w:val="15"/>
          <w:vertAlign w:val="superscript"/>
        </w:rPr>
        <w:footnoteRef/>
      </w:r>
      <w:r>
        <w:rPr>
          <w:rFonts w:hint="eastAsia" w:ascii="Times New Roman" w:hAnsi="Times New Roman"/>
          <w:sz w:val="15"/>
          <w:szCs w:val="15"/>
        </w:rPr>
        <w:t>劳伦斯·</w:t>
      </w:r>
      <w:r>
        <w:rPr>
          <w:rFonts w:ascii="Times New Roman" w:hAnsi="Times New Roman"/>
          <w:sz w:val="15"/>
          <w:szCs w:val="15"/>
        </w:rPr>
        <w:t>A</w:t>
      </w:r>
      <w:r>
        <w:rPr>
          <w:rFonts w:hint="eastAsia" w:ascii="Times New Roman" w:hAnsi="Times New Roman"/>
          <w:sz w:val="15"/>
          <w:szCs w:val="15"/>
        </w:rPr>
        <w:t>·博兰：《批判的经济学方法论》，经济科学出版社</w:t>
      </w:r>
      <w:r>
        <w:rPr>
          <w:rFonts w:ascii="Times New Roman" w:hAnsi="Times New Roman"/>
          <w:sz w:val="15"/>
          <w:szCs w:val="15"/>
        </w:rPr>
        <w:t>2000</w:t>
      </w:r>
      <w:r>
        <w:rPr>
          <w:rFonts w:hint="eastAsia" w:ascii="Times New Roman" w:hAnsi="Times New Roman"/>
          <w:sz w:val="15"/>
          <w:szCs w:val="15"/>
        </w:rPr>
        <w:t>年版，第</w:t>
      </w:r>
      <w:r>
        <w:rPr>
          <w:rFonts w:ascii="Times New Roman" w:hAnsi="Times New Roman"/>
          <w:sz w:val="15"/>
          <w:szCs w:val="15"/>
        </w:rPr>
        <w:t>229~230</w:t>
      </w:r>
      <w:r>
        <w:rPr>
          <w:rFonts w:hint="eastAsia" w:ascii="Times New Roman" w:hAnsi="Times New Roman"/>
          <w:sz w:val="15"/>
          <w:szCs w:val="15"/>
        </w:rPr>
        <w:t>页。</w:t>
      </w:r>
    </w:p>
  </w:footnote>
  <w:footnote w:id="164">
    <w:p w14:paraId="012A438B">
      <w:pPr>
        <w:snapToGrid w:val="0"/>
        <w:rPr>
          <w:rFonts w:ascii="Times New Roman" w:hAnsi="Times New Roman"/>
          <w:sz w:val="15"/>
          <w:szCs w:val="15"/>
        </w:rPr>
      </w:pPr>
      <w:r>
        <w:rPr>
          <w:rFonts w:ascii="Times New Roman" w:hAnsi="Times New Roman"/>
          <w:sz w:val="15"/>
          <w:szCs w:val="15"/>
          <w:vertAlign w:val="superscript"/>
        </w:rPr>
        <w:footnoteRef/>
      </w:r>
      <w:r>
        <w:rPr>
          <w:rFonts w:hint="eastAsia" w:ascii="Times New Roman" w:hAnsi="Times New Roman"/>
          <w:sz w:val="15"/>
          <w:szCs w:val="15"/>
        </w:rPr>
        <w:t>引自杨春学：《经济人与社会秩序分析》，上海三联书店、上海人民出版社</w:t>
      </w:r>
      <w:r>
        <w:rPr>
          <w:rFonts w:ascii="Times New Roman" w:hAnsi="Times New Roman"/>
          <w:sz w:val="15"/>
          <w:szCs w:val="15"/>
        </w:rPr>
        <w:t>1998</w:t>
      </w:r>
      <w:r>
        <w:rPr>
          <w:rFonts w:hint="eastAsia" w:ascii="Times New Roman" w:hAnsi="Times New Roman"/>
          <w:sz w:val="15"/>
          <w:szCs w:val="15"/>
        </w:rPr>
        <w:t>年版，第</w:t>
      </w:r>
      <w:r>
        <w:rPr>
          <w:rFonts w:ascii="Times New Roman" w:hAnsi="Times New Roman"/>
          <w:sz w:val="15"/>
          <w:szCs w:val="15"/>
        </w:rPr>
        <w:t>175</w:t>
      </w:r>
      <w:r>
        <w:rPr>
          <w:rFonts w:hint="eastAsia" w:ascii="Times New Roman" w:hAnsi="Times New Roman"/>
          <w:sz w:val="15"/>
          <w:szCs w:val="15"/>
        </w:rPr>
        <w:t>页。</w:t>
      </w:r>
    </w:p>
  </w:footnote>
  <w:footnote w:id="165">
    <w:p w14:paraId="2B1AF099">
      <w:pPr>
        <w:snapToGrid w:val="0"/>
        <w:rPr>
          <w:rFonts w:ascii="Times New Roman" w:hAnsi="Times New Roman"/>
          <w:sz w:val="18"/>
          <w:szCs w:val="18"/>
        </w:rPr>
      </w:pPr>
      <w:r>
        <w:rPr>
          <w:rFonts w:ascii="Times New Roman" w:hAnsi="Times New Roman"/>
          <w:sz w:val="15"/>
          <w:szCs w:val="15"/>
          <w:vertAlign w:val="superscript"/>
        </w:rPr>
        <w:footnoteRef/>
      </w:r>
      <w:r>
        <w:rPr>
          <w:rFonts w:hint="eastAsia" w:ascii="Times New Roman" w:hAnsi="Times New Roman"/>
          <w:sz w:val="15"/>
          <w:szCs w:val="15"/>
        </w:rPr>
        <w:t>引自程恩富：《西方产权理论评析》，当代中国出版社</w:t>
      </w:r>
      <w:r>
        <w:rPr>
          <w:rFonts w:ascii="Times New Roman" w:hAnsi="Times New Roman"/>
          <w:sz w:val="15"/>
          <w:szCs w:val="15"/>
        </w:rPr>
        <w:t>1997</w:t>
      </w:r>
      <w:r>
        <w:rPr>
          <w:rFonts w:hint="eastAsia" w:ascii="Times New Roman" w:hAnsi="Times New Roman"/>
          <w:sz w:val="15"/>
          <w:szCs w:val="15"/>
        </w:rPr>
        <w:t>年版，第</w:t>
      </w:r>
      <w:r>
        <w:rPr>
          <w:rFonts w:ascii="Times New Roman" w:hAnsi="Times New Roman"/>
          <w:sz w:val="15"/>
          <w:szCs w:val="15"/>
        </w:rPr>
        <w:t>158</w:t>
      </w:r>
      <w:r>
        <w:rPr>
          <w:rFonts w:hint="eastAsia" w:ascii="Times New Roman" w:hAnsi="Times New Roman"/>
          <w:sz w:val="15"/>
          <w:szCs w:val="15"/>
        </w:rPr>
        <w:t>页。</w:t>
      </w:r>
    </w:p>
  </w:footnote>
  <w:footnote w:id="166">
    <w:p w14:paraId="63352CFA">
      <w:pPr>
        <w:snapToGrid w:val="0"/>
        <w:rPr>
          <w:rFonts w:ascii="Times New Roman" w:hAnsi="Times New Roman"/>
          <w:sz w:val="15"/>
          <w:szCs w:val="15"/>
        </w:rPr>
      </w:pPr>
      <w:r>
        <w:rPr>
          <w:rFonts w:ascii="Times New Roman" w:hAnsi="Times New Roman"/>
          <w:sz w:val="15"/>
          <w:szCs w:val="15"/>
          <w:vertAlign w:val="superscript"/>
        </w:rPr>
        <w:footnoteRef/>
      </w:r>
      <w:r>
        <w:rPr>
          <w:rFonts w:hint="eastAsia" w:ascii="Times New Roman" w:hAnsi="Times New Roman"/>
          <w:sz w:val="15"/>
          <w:szCs w:val="15"/>
        </w:rPr>
        <w:t>摩尔根：《印第安人的房屋建筑与家庭生活》，文物出版社</w:t>
      </w:r>
      <w:r>
        <w:rPr>
          <w:rFonts w:ascii="Times New Roman" w:hAnsi="Times New Roman"/>
          <w:sz w:val="15"/>
          <w:szCs w:val="15"/>
        </w:rPr>
        <w:t>1992</w:t>
      </w:r>
      <w:r>
        <w:rPr>
          <w:rFonts w:hint="eastAsia" w:ascii="Times New Roman" w:hAnsi="Times New Roman"/>
          <w:sz w:val="15"/>
          <w:szCs w:val="15"/>
        </w:rPr>
        <w:t>年版，第</w:t>
      </w:r>
      <w:r>
        <w:rPr>
          <w:rFonts w:ascii="Times New Roman" w:hAnsi="Times New Roman"/>
          <w:sz w:val="15"/>
          <w:szCs w:val="15"/>
        </w:rPr>
        <w:t>86</w:t>
      </w:r>
      <w:r>
        <w:rPr>
          <w:rFonts w:hint="eastAsia" w:ascii="Times New Roman" w:hAnsi="Times New Roman"/>
          <w:sz w:val="15"/>
          <w:szCs w:val="15"/>
        </w:rPr>
        <w:t>页、第</w:t>
      </w:r>
      <w:r>
        <w:rPr>
          <w:rFonts w:ascii="Times New Roman" w:hAnsi="Times New Roman"/>
          <w:sz w:val="15"/>
          <w:szCs w:val="15"/>
        </w:rPr>
        <w:t>99</w:t>
      </w:r>
      <w:r>
        <w:rPr>
          <w:rFonts w:hint="eastAsia" w:ascii="Times New Roman" w:hAnsi="Times New Roman"/>
          <w:sz w:val="15"/>
          <w:szCs w:val="15"/>
        </w:rPr>
        <w:t>页</w:t>
      </w:r>
    </w:p>
  </w:footnote>
  <w:footnote w:id="167">
    <w:p w14:paraId="6F47EB04">
      <w:pPr>
        <w:snapToGrid w:val="0"/>
        <w:rPr>
          <w:rFonts w:ascii="Times New Roman" w:hAnsi="Times New Roman"/>
          <w:sz w:val="18"/>
          <w:szCs w:val="18"/>
        </w:rPr>
      </w:pPr>
      <w:r>
        <w:rPr>
          <w:rFonts w:ascii="Times New Roman" w:hAnsi="Times New Roman"/>
          <w:sz w:val="15"/>
          <w:szCs w:val="15"/>
          <w:vertAlign w:val="superscript"/>
        </w:rPr>
        <w:footnoteRef/>
      </w:r>
      <w:r>
        <w:rPr>
          <w:rFonts w:hint="eastAsia" w:ascii="Times New Roman" w:hAnsi="Times New Roman"/>
          <w:sz w:val="15"/>
          <w:szCs w:val="15"/>
        </w:rPr>
        <w:t>《马克思恩格斯全集》第</w:t>
      </w:r>
      <w:r>
        <w:rPr>
          <w:rFonts w:ascii="Times New Roman" w:hAnsi="Times New Roman"/>
          <w:sz w:val="15"/>
          <w:szCs w:val="15"/>
        </w:rPr>
        <w:t>4</w:t>
      </w:r>
      <w:r>
        <w:rPr>
          <w:rFonts w:hint="eastAsia" w:ascii="Times New Roman" w:hAnsi="Times New Roman"/>
          <w:sz w:val="15"/>
          <w:szCs w:val="15"/>
        </w:rPr>
        <w:t>卷，人民出版社</w:t>
      </w:r>
      <w:r>
        <w:rPr>
          <w:rFonts w:ascii="Times New Roman" w:hAnsi="Times New Roman"/>
          <w:sz w:val="15"/>
          <w:szCs w:val="15"/>
        </w:rPr>
        <w:t>1958</w:t>
      </w:r>
      <w:r>
        <w:rPr>
          <w:rFonts w:hint="eastAsia" w:ascii="Times New Roman" w:hAnsi="Times New Roman"/>
          <w:sz w:val="15"/>
          <w:szCs w:val="15"/>
        </w:rPr>
        <w:t>年版，第</w:t>
      </w:r>
      <w:r>
        <w:rPr>
          <w:rFonts w:ascii="Times New Roman" w:hAnsi="Times New Roman"/>
          <w:sz w:val="15"/>
          <w:szCs w:val="15"/>
        </w:rPr>
        <w:t>151</w:t>
      </w:r>
      <w:r>
        <w:rPr>
          <w:rFonts w:hint="eastAsia" w:ascii="Times New Roman" w:hAnsi="Times New Roman"/>
          <w:sz w:val="15"/>
          <w:szCs w:val="15"/>
        </w:rPr>
        <w:t>页。</w:t>
      </w:r>
    </w:p>
  </w:footnote>
  <w:footnote w:id="168">
    <w:p w14:paraId="54555E00">
      <w:pPr>
        <w:snapToGrid w:val="0"/>
        <w:rPr>
          <w:rFonts w:ascii="Times New Roman" w:hAnsi="Times New Roman"/>
          <w:sz w:val="15"/>
          <w:szCs w:val="15"/>
        </w:rPr>
      </w:pPr>
      <w:r>
        <w:rPr>
          <w:rFonts w:ascii="Times New Roman" w:hAnsi="Times New Roman"/>
          <w:sz w:val="15"/>
          <w:szCs w:val="15"/>
          <w:vertAlign w:val="superscript"/>
        </w:rPr>
        <w:footnoteRef/>
      </w:r>
      <w:r>
        <w:rPr>
          <w:rFonts w:hint="eastAsia" w:ascii="Times New Roman" w:hAnsi="Times New Roman"/>
          <w:sz w:val="15"/>
          <w:szCs w:val="15"/>
        </w:rPr>
        <w:t>引自舒马赫：《小的是美好的》，商务印书馆</w:t>
      </w:r>
      <w:r>
        <w:rPr>
          <w:rFonts w:ascii="Times New Roman" w:hAnsi="Times New Roman"/>
          <w:sz w:val="15"/>
          <w:szCs w:val="15"/>
        </w:rPr>
        <w:t>1984</w:t>
      </w:r>
      <w:r>
        <w:rPr>
          <w:rFonts w:hint="eastAsia" w:ascii="Times New Roman" w:hAnsi="Times New Roman"/>
          <w:sz w:val="15"/>
          <w:szCs w:val="15"/>
        </w:rPr>
        <w:t>年版，第</w:t>
      </w:r>
      <w:r>
        <w:rPr>
          <w:rFonts w:ascii="Times New Roman" w:hAnsi="Times New Roman"/>
          <w:sz w:val="15"/>
          <w:szCs w:val="15"/>
        </w:rPr>
        <w:t>9</w:t>
      </w:r>
      <w:r>
        <w:rPr>
          <w:rFonts w:hint="eastAsia" w:ascii="Times New Roman" w:hAnsi="Times New Roman"/>
          <w:sz w:val="15"/>
          <w:szCs w:val="15"/>
        </w:rPr>
        <w:t>页。</w:t>
      </w:r>
    </w:p>
  </w:footnote>
  <w:footnote w:id="169">
    <w:p w14:paraId="3098AA1F">
      <w:pPr>
        <w:snapToGrid w:val="0"/>
        <w:rPr>
          <w:rFonts w:ascii="Times New Roman" w:hAnsi="Times New Roman"/>
          <w:sz w:val="18"/>
          <w:szCs w:val="18"/>
        </w:rPr>
      </w:pPr>
      <w:r>
        <w:rPr>
          <w:rFonts w:ascii="Times New Roman" w:hAnsi="Times New Roman"/>
          <w:sz w:val="15"/>
          <w:szCs w:val="15"/>
          <w:vertAlign w:val="superscript"/>
        </w:rPr>
        <w:footnoteRef/>
      </w:r>
      <w:r>
        <w:rPr>
          <w:rFonts w:hint="eastAsia" w:ascii="Times New Roman" w:hAnsi="Times New Roman"/>
          <w:sz w:val="15"/>
          <w:szCs w:val="15"/>
        </w:rPr>
        <w:t>尼布尔：《道德的人与不道德的社会》，贵州人民出版社</w:t>
      </w:r>
      <w:r>
        <w:rPr>
          <w:rFonts w:ascii="Times New Roman" w:hAnsi="Times New Roman"/>
          <w:sz w:val="15"/>
          <w:szCs w:val="15"/>
        </w:rPr>
        <w:t>1998</w:t>
      </w:r>
      <w:r>
        <w:rPr>
          <w:rFonts w:hint="eastAsia" w:ascii="Times New Roman" w:hAnsi="Times New Roman"/>
          <w:sz w:val="15"/>
          <w:szCs w:val="15"/>
        </w:rPr>
        <w:t>年版，第</w:t>
      </w:r>
      <w:r>
        <w:rPr>
          <w:rFonts w:ascii="Times New Roman" w:hAnsi="Times New Roman"/>
          <w:sz w:val="15"/>
          <w:szCs w:val="15"/>
        </w:rPr>
        <w:t>19</w:t>
      </w:r>
      <w:r>
        <w:rPr>
          <w:rFonts w:hint="eastAsia" w:ascii="Times New Roman" w:hAnsi="Times New Roman"/>
          <w:sz w:val="15"/>
          <w:szCs w:val="15"/>
        </w:rPr>
        <w:t>页、第</w:t>
      </w:r>
      <w:r>
        <w:rPr>
          <w:rFonts w:ascii="Times New Roman" w:hAnsi="Times New Roman"/>
          <w:sz w:val="15"/>
          <w:szCs w:val="15"/>
        </w:rPr>
        <w:t>114~115</w:t>
      </w:r>
      <w:r>
        <w:rPr>
          <w:rFonts w:hint="eastAsia" w:ascii="Times New Roman" w:hAnsi="Times New Roman"/>
          <w:sz w:val="15"/>
          <w:szCs w:val="15"/>
        </w:rPr>
        <w:t>页。</w:t>
      </w:r>
    </w:p>
  </w:footnote>
  <w:footnote w:id="170">
    <w:p w14:paraId="13276694">
      <w:pPr>
        <w:snapToGrid w:val="0"/>
        <w:rPr>
          <w:rFonts w:ascii="Times New Roman" w:hAnsi="Times New Roman"/>
          <w:sz w:val="15"/>
          <w:szCs w:val="15"/>
        </w:rPr>
      </w:pPr>
      <w:r>
        <w:rPr>
          <w:rFonts w:ascii="Times New Roman" w:hAnsi="Times New Roman"/>
          <w:sz w:val="15"/>
          <w:szCs w:val="15"/>
          <w:vertAlign w:val="superscript"/>
        </w:rPr>
        <w:footnoteRef/>
      </w:r>
      <w:r>
        <w:rPr>
          <w:rFonts w:hint="eastAsia" w:ascii="Times New Roman" w:hAnsi="Times New Roman"/>
          <w:sz w:val="15"/>
          <w:szCs w:val="15"/>
        </w:rPr>
        <w:t>所有权与产权在广义上可以相等。详见程恩富：《西方产权理论评析》，当代中国出版社</w:t>
      </w:r>
      <w:r>
        <w:rPr>
          <w:rFonts w:ascii="Times New Roman" w:hAnsi="Times New Roman"/>
          <w:sz w:val="15"/>
          <w:szCs w:val="15"/>
        </w:rPr>
        <w:t>1997</w:t>
      </w:r>
      <w:r>
        <w:rPr>
          <w:rFonts w:hint="eastAsia" w:ascii="Times New Roman" w:hAnsi="Times New Roman"/>
          <w:sz w:val="15"/>
          <w:szCs w:val="15"/>
        </w:rPr>
        <w:t>年版。</w:t>
      </w:r>
    </w:p>
  </w:footnote>
  <w:footnote w:id="171">
    <w:p w14:paraId="1F8082B3">
      <w:pPr>
        <w:snapToGrid w:val="0"/>
        <w:rPr>
          <w:rFonts w:ascii="Times New Roman" w:hAnsi="Times New Roman"/>
          <w:sz w:val="15"/>
          <w:szCs w:val="15"/>
        </w:rPr>
      </w:pPr>
      <w:r>
        <w:rPr>
          <w:rFonts w:ascii="Times New Roman" w:hAnsi="Times New Roman"/>
          <w:sz w:val="15"/>
          <w:szCs w:val="15"/>
          <w:vertAlign w:val="superscript"/>
        </w:rPr>
        <w:footnoteRef/>
      </w:r>
      <w:r>
        <w:rPr>
          <w:rFonts w:hint="eastAsia" w:ascii="Times New Roman" w:hAnsi="Times New Roman"/>
          <w:sz w:val="15"/>
          <w:szCs w:val="15"/>
        </w:rPr>
        <w:t>以美国工人为例，</w:t>
      </w:r>
      <w:r>
        <w:rPr>
          <w:rFonts w:ascii="Times New Roman" w:hAnsi="Times New Roman"/>
          <w:sz w:val="15"/>
          <w:szCs w:val="15"/>
        </w:rPr>
        <w:t>1992</w:t>
      </w:r>
      <w:r>
        <w:rPr>
          <w:rFonts w:hint="eastAsia" w:ascii="Times New Roman" w:hAnsi="Times New Roman"/>
          <w:sz w:val="15"/>
          <w:szCs w:val="15"/>
        </w:rPr>
        <w:t>年工会化雇员得到的平均周工资要比非工会化雇员高</w:t>
      </w:r>
      <w:r>
        <w:rPr>
          <w:rFonts w:ascii="Times New Roman" w:hAnsi="Times New Roman"/>
          <w:sz w:val="15"/>
          <w:szCs w:val="15"/>
        </w:rPr>
        <w:t>35%</w:t>
      </w:r>
      <w:r>
        <w:rPr>
          <w:rFonts w:hint="eastAsia" w:ascii="Times New Roman" w:hAnsi="Times New Roman"/>
          <w:sz w:val="15"/>
          <w:szCs w:val="15"/>
        </w:rPr>
        <w:t>，而对所有行业的蓝领工作人员来说，这个比例达</w:t>
      </w:r>
      <w:r>
        <w:rPr>
          <w:rFonts w:ascii="Times New Roman" w:hAnsi="Times New Roman"/>
          <w:sz w:val="15"/>
          <w:szCs w:val="15"/>
        </w:rPr>
        <w:t>70%</w:t>
      </w:r>
      <w:r>
        <w:rPr>
          <w:rFonts w:hint="eastAsia" w:ascii="Times New Roman" w:hAnsi="Times New Roman"/>
          <w:sz w:val="15"/>
          <w:szCs w:val="15"/>
        </w:rPr>
        <w:t>，但没有证据显示工会化的企业劳动生产率要高于非工会化企业。详见毛增余主编：《与中国著名经济学家对话———顾海良、王振中、林岗、程恩富》</w:t>
      </w:r>
      <w:r>
        <w:rPr>
          <w:rFonts w:ascii="Times New Roman" w:hAnsi="Times New Roman"/>
          <w:sz w:val="15"/>
          <w:szCs w:val="15"/>
        </w:rPr>
        <w:t>(</w:t>
      </w:r>
      <w:r>
        <w:rPr>
          <w:rFonts w:hint="eastAsia" w:ascii="Times New Roman" w:hAnsi="Times New Roman"/>
          <w:sz w:val="15"/>
          <w:szCs w:val="15"/>
        </w:rPr>
        <w:t>第五辑</w:t>
      </w:r>
      <w:r>
        <w:rPr>
          <w:rFonts w:ascii="Times New Roman" w:hAnsi="Times New Roman"/>
          <w:sz w:val="15"/>
          <w:szCs w:val="15"/>
        </w:rPr>
        <w:t>)</w:t>
      </w:r>
      <w:r>
        <w:rPr>
          <w:rFonts w:hint="eastAsia" w:ascii="Times New Roman" w:hAnsi="Times New Roman"/>
          <w:sz w:val="15"/>
          <w:szCs w:val="15"/>
        </w:rPr>
        <w:t>，中国经济出版社</w:t>
      </w:r>
      <w:r>
        <w:rPr>
          <w:rFonts w:ascii="Times New Roman" w:hAnsi="Times New Roman"/>
          <w:sz w:val="15"/>
          <w:szCs w:val="15"/>
        </w:rPr>
        <w:t>2003</w:t>
      </w:r>
      <w:r>
        <w:rPr>
          <w:rFonts w:hint="eastAsia" w:ascii="Times New Roman" w:hAnsi="Times New Roman"/>
          <w:sz w:val="15"/>
          <w:szCs w:val="15"/>
        </w:rPr>
        <w:t>年版。</w:t>
      </w:r>
    </w:p>
    <w:p w14:paraId="1FFECB0A">
      <w:pPr>
        <w:snapToGrid w:val="0"/>
        <w:rPr>
          <w:rFonts w:ascii="Times New Roman" w:hAnsi="Times New Roman"/>
          <w:sz w:val="18"/>
          <w:szCs w:val="18"/>
        </w:rPr>
      </w:pPr>
    </w:p>
  </w:footnote>
  <w:footnote w:id="172">
    <w:p w14:paraId="591CD5EB">
      <w:pPr>
        <w:snapToGrid w:val="0"/>
        <w:spacing w:line="440" w:lineRule="exact"/>
        <w:jc w:val="left"/>
        <w:rPr>
          <w:sz w:val="18"/>
          <w:szCs w:val="18"/>
        </w:rPr>
      </w:pPr>
      <w:r>
        <w:rPr>
          <w:rFonts w:ascii="Times New Roman" w:hAnsi="Times New Roman"/>
          <w:sz w:val="18"/>
          <w:szCs w:val="18"/>
        </w:rPr>
        <w:footnoteRef/>
      </w:r>
      <w:r>
        <w:rPr>
          <w:rFonts w:hint="eastAsia"/>
          <w:sz w:val="18"/>
          <w:szCs w:val="18"/>
        </w:rPr>
        <w:t>廖国民，《入世后中国的贸易战略:比较优势还是选择性赶超》，《上海经济研究》，2003年第5期。</w:t>
      </w:r>
    </w:p>
  </w:footnote>
  <w:footnote w:id="173">
    <w:p w14:paraId="13AEB0D9">
      <w:pPr>
        <w:snapToGrid w:val="0"/>
        <w:spacing w:line="276" w:lineRule="auto"/>
        <w:jc w:val="left"/>
        <w:rPr>
          <w:sz w:val="18"/>
          <w:szCs w:val="18"/>
        </w:rPr>
      </w:pPr>
      <w:r>
        <w:rPr>
          <w:rFonts w:ascii="Times New Roman" w:hAnsi="Times New Roman"/>
          <w:sz w:val="18"/>
          <w:szCs w:val="18"/>
        </w:rPr>
        <w:footnoteRef/>
      </w:r>
      <w:r>
        <w:rPr>
          <w:rFonts w:hint="eastAsia"/>
          <w:sz w:val="18"/>
          <w:szCs w:val="18"/>
        </w:rPr>
        <w:t>尹翔硕许建斌，《论落后国家的贸易条件、比较优势与技术进步》，《世界经济文汇》，2002年第6期。</w:t>
      </w:r>
    </w:p>
  </w:footnote>
  <w:footnote w:id="174">
    <w:p w14:paraId="549E2D1A">
      <w:pPr>
        <w:snapToGrid w:val="0"/>
        <w:spacing w:line="276" w:lineRule="auto"/>
        <w:jc w:val="left"/>
        <w:rPr>
          <w:sz w:val="18"/>
          <w:szCs w:val="18"/>
        </w:rPr>
      </w:pPr>
      <w:r>
        <w:rPr>
          <w:rFonts w:ascii="Times New Roman" w:hAnsi="Times New Roman"/>
          <w:sz w:val="18"/>
          <w:szCs w:val="18"/>
        </w:rPr>
        <w:footnoteRef/>
      </w:r>
      <w:r>
        <w:rPr>
          <w:rFonts w:hint="eastAsia"/>
          <w:sz w:val="18"/>
          <w:szCs w:val="18"/>
        </w:rPr>
        <w:t>本书作者搜集到的最早介绍波特模型的是《经济社会体制比较》1991年第五期上的一篇介绍性文章，《波特理论模式:发挥国家竞争优势》。</w:t>
      </w:r>
    </w:p>
  </w:footnote>
  <w:footnote w:id="175">
    <w:p w14:paraId="7A752A54">
      <w:pPr>
        <w:snapToGrid w:val="0"/>
        <w:spacing w:line="276" w:lineRule="auto"/>
        <w:jc w:val="left"/>
        <w:rPr>
          <w:sz w:val="18"/>
          <w:szCs w:val="18"/>
        </w:rPr>
      </w:pPr>
      <w:r>
        <w:rPr>
          <w:rFonts w:ascii="Times New Roman" w:hAnsi="Times New Roman"/>
          <w:sz w:val="18"/>
          <w:szCs w:val="18"/>
        </w:rPr>
        <w:footnoteRef/>
      </w:r>
      <w:r>
        <w:rPr>
          <w:rFonts w:hint="eastAsia"/>
          <w:sz w:val="18"/>
          <w:szCs w:val="18"/>
        </w:rPr>
        <w:t>陶然周巨泰，《从比较优势到竞争优势——国际经济理论的新视角》，《国际贸易问题》，1996年第3期;洪银兴，《从比较优势到竞争优势:兼论国际贸易的比较优势理论的缺陷》，《经济研究》，1997年第6期;鲍晓华，《从比较优势到竞争优势》，《财贸经济》，2001年第4期。</w:t>
      </w:r>
    </w:p>
  </w:footnote>
  <w:footnote w:id="176">
    <w:p w14:paraId="32902E97">
      <w:pPr>
        <w:snapToGrid w:val="0"/>
        <w:spacing w:line="276" w:lineRule="auto"/>
        <w:jc w:val="left"/>
        <w:rPr>
          <w:sz w:val="18"/>
          <w:szCs w:val="18"/>
        </w:rPr>
      </w:pPr>
      <w:r>
        <w:rPr>
          <w:rFonts w:ascii="Times New Roman" w:hAnsi="Times New Roman"/>
          <w:sz w:val="18"/>
          <w:szCs w:val="18"/>
        </w:rPr>
        <w:footnoteRef/>
      </w:r>
      <w:r>
        <w:rPr>
          <w:rFonts w:hint="eastAsia"/>
          <w:sz w:val="18"/>
          <w:szCs w:val="18"/>
        </w:rPr>
        <w:t>程恩富，《构建知识产权优势理论与战略》，《当代经济研究》，2003年第9期。</w:t>
      </w:r>
      <w:r>
        <w:rPr>
          <w:sz w:val="18"/>
          <w:szCs w:val="18"/>
        </w:rPr>
        <w:cr/>
      </w:r>
    </w:p>
  </w:footnote>
  <w:footnote w:id="177">
    <w:p w14:paraId="1FC9E2FB">
      <w:pPr>
        <w:pStyle w:val="12"/>
        <w:rPr>
          <w:rFonts w:ascii="Times New Roman" w:hAnsi="Times New Roman"/>
        </w:rPr>
      </w:pPr>
      <w:r>
        <w:rPr>
          <w:rFonts w:ascii="Times New Roman" w:hAnsi="Times New Roman"/>
          <w:vertAlign w:val="superscript"/>
        </w:rPr>
        <w:footnoteRef/>
      </w:r>
      <w:r>
        <w:rPr>
          <w:rFonts w:hint="eastAsia" w:ascii="Times New Roman" w:hAnsi="Times New Roman"/>
        </w:rPr>
        <w:t>对张其佐教授的引文，凡是未注出处的，都引自此文。</w:t>
      </w:r>
    </w:p>
  </w:footnote>
  <w:footnote w:id="178">
    <w:p w14:paraId="55A04FBB">
      <w:pPr>
        <w:pStyle w:val="12"/>
        <w:rPr>
          <w:rFonts w:ascii="Times New Roman" w:hAnsi="Times New Roman"/>
          <w:sz w:val="21"/>
          <w:szCs w:val="21"/>
        </w:rPr>
      </w:pPr>
      <w:r>
        <w:rPr>
          <w:rFonts w:ascii="Times New Roman" w:hAnsi="Times New Roman"/>
          <w:vertAlign w:val="superscript"/>
        </w:rPr>
        <w:footnoteRef/>
      </w:r>
      <w:r>
        <w:rPr>
          <w:rFonts w:hint="eastAsia" w:ascii="Times New Roman" w:hAnsi="Times New Roman"/>
        </w:rPr>
        <w:t>钟惠波，连建辉：《也读新一轮产业革命》，《新华文摘》</w:t>
      </w:r>
      <w:r>
        <w:rPr>
          <w:rFonts w:ascii="Times New Roman" w:hAnsi="Times New Roman"/>
        </w:rPr>
        <w:t>2003</w:t>
      </w:r>
      <w:r>
        <w:rPr>
          <w:rFonts w:hint="eastAsia" w:ascii="Times New Roman" w:hAnsi="Times New Roman"/>
        </w:rPr>
        <w:t>年第Ⅱ期。</w:t>
      </w:r>
    </w:p>
  </w:footnote>
  <w:footnote w:id="179">
    <w:p w14:paraId="62FFE519">
      <w:pPr>
        <w:rPr>
          <w:rFonts w:ascii="Times New Roman" w:hAnsi="Times New Roman"/>
          <w:sz w:val="18"/>
          <w:szCs w:val="18"/>
        </w:rPr>
      </w:pPr>
      <w:r>
        <w:rPr>
          <w:rFonts w:ascii="Times New Roman" w:hAnsi="Times New Roman"/>
          <w:sz w:val="18"/>
          <w:szCs w:val="18"/>
          <w:vertAlign w:val="superscript"/>
        </w:rPr>
        <w:footnoteRef/>
      </w:r>
      <w:r>
        <w:rPr>
          <w:rFonts w:hint="eastAsia" w:ascii="Times New Roman" w:hAnsi="Times New Roman"/>
          <w:sz w:val="18"/>
          <w:szCs w:val="18"/>
        </w:rPr>
        <w:t>以上均见《成都日报》</w:t>
      </w:r>
      <w:r>
        <w:rPr>
          <w:rFonts w:ascii="Times New Roman" w:hAnsi="Times New Roman"/>
          <w:sz w:val="18"/>
          <w:szCs w:val="18"/>
        </w:rPr>
        <w:t>2004</w:t>
      </w:r>
      <w:r>
        <w:rPr>
          <w:rFonts w:hint="eastAsia" w:ascii="Times New Roman" w:hAnsi="Times New Roman"/>
          <w:sz w:val="18"/>
          <w:szCs w:val="18"/>
        </w:rPr>
        <w:t>年理论专刊</w:t>
      </w:r>
    </w:p>
  </w:footnote>
  <w:footnote w:id="180">
    <w:p w14:paraId="71B861BC">
      <w:pPr>
        <w:pStyle w:val="12"/>
        <w:rPr>
          <w:rFonts w:ascii="Times New Roman" w:hAnsi="Times New Roman"/>
        </w:rPr>
      </w:pPr>
      <w:r>
        <w:rPr>
          <w:rFonts w:ascii="Times New Roman" w:hAnsi="Times New Roman"/>
          <w:vertAlign w:val="superscript"/>
        </w:rPr>
        <w:footnoteRef/>
      </w:r>
      <w:r>
        <w:rPr>
          <w:rFonts w:hint="eastAsia" w:ascii="Times New Roman" w:hAnsi="Times New Roman"/>
        </w:rPr>
        <w:t>韩民青：《</w:t>
      </w:r>
      <w:r>
        <w:rPr>
          <w:rFonts w:hint="eastAsia" w:ascii="Times New Roman" w:hAnsi="Times New Roman"/>
          <w:bCs/>
        </w:rPr>
        <w:t>新产业革命的综合性及应战性》，</w:t>
      </w:r>
      <w:r>
        <w:rPr>
          <w:rFonts w:hint="eastAsia" w:ascii="Times New Roman" w:hAnsi="Times New Roman"/>
        </w:rPr>
        <w:t>《光明日报》</w:t>
      </w:r>
      <w:r>
        <w:rPr>
          <w:rFonts w:ascii="Times New Roman" w:hAnsi="Times New Roman"/>
        </w:rPr>
        <w:t>2004</w:t>
      </w:r>
      <w:r>
        <w:rPr>
          <w:rFonts w:hint="eastAsia" w:ascii="Times New Roman" w:hAnsi="Times New Roman"/>
        </w:rPr>
        <w:t>年</w:t>
      </w:r>
      <w:r>
        <w:rPr>
          <w:rFonts w:ascii="Times New Roman" w:hAnsi="Times New Roman"/>
        </w:rPr>
        <w:t>7</w:t>
      </w:r>
      <w:r>
        <w:rPr>
          <w:rFonts w:hint="eastAsia" w:ascii="Times New Roman" w:hAnsi="Times New Roman"/>
        </w:rPr>
        <w:t>月</w:t>
      </w:r>
      <w:r>
        <w:rPr>
          <w:rFonts w:ascii="Times New Roman" w:hAnsi="Times New Roman"/>
        </w:rPr>
        <w:t>20</w:t>
      </w:r>
      <w:r>
        <w:rPr>
          <w:rFonts w:hint="eastAsia" w:ascii="Times New Roman" w:hAnsi="Times New Roman"/>
        </w:rPr>
        <w:t>日</w:t>
      </w:r>
      <w:r>
        <w:rPr>
          <w:rFonts w:ascii="Times New Roman" w:hAnsi="Times New Roman"/>
        </w:rPr>
        <w:t>B2</w:t>
      </w:r>
      <w:r>
        <w:rPr>
          <w:rFonts w:hint="eastAsia" w:ascii="Times New Roman" w:hAnsi="Times New Roman"/>
        </w:rPr>
        <w:t>版。</w:t>
      </w:r>
    </w:p>
  </w:footnote>
  <w:footnote w:id="181">
    <w:p w14:paraId="08E132DF">
      <w:pPr>
        <w:pStyle w:val="12"/>
        <w:rPr>
          <w:rFonts w:ascii="Times New Roman" w:hAnsi="Times New Roman"/>
          <w:sz w:val="21"/>
          <w:szCs w:val="21"/>
        </w:rPr>
      </w:pPr>
      <w:r>
        <w:rPr>
          <w:rFonts w:ascii="Times New Roman" w:hAnsi="Times New Roman"/>
          <w:vertAlign w:val="superscript"/>
        </w:rPr>
        <w:footnoteRef/>
      </w:r>
      <w:r>
        <w:rPr>
          <w:rFonts w:hint="eastAsia"/>
        </w:rPr>
        <w:t>原道谋</w:t>
      </w:r>
      <w:r>
        <w:rPr>
          <w:rFonts w:hint="eastAsia" w:ascii="Arial" w:hAnsi="Arial" w:cs="Arial"/>
        </w:rPr>
        <w:t>：《环保生产力——</w:t>
      </w:r>
      <w:r>
        <w:rPr>
          <w:rFonts w:ascii="Arial" w:hAnsi="Arial" w:cs="Arial"/>
        </w:rPr>
        <w:t>21</w:t>
      </w:r>
      <w:r>
        <w:rPr>
          <w:rFonts w:hint="eastAsia" w:ascii="Arial" w:hAnsi="Arial" w:cs="Arial"/>
        </w:rPr>
        <w:t>世纪生产力发展的主题》，载《</w:t>
      </w:r>
      <w:r>
        <w:rPr>
          <w:rFonts w:hint="eastAsia" w:ascii="Arial" w:hAnsi="Arial" w:cs="Arial"/>
          <w:color w:val="000000"/>
        </w:rPr>
        <w:t>透过互联经济体系创造财富——</w:t>
      </w:r>
      <w:r>
        <w:rPr>
          <w:rFonts w:hint="eastAsia" w:ascii="Times New Roman" w:hAnsi="Times New Roman"/>
        </w:rPr>
        <w:t>第</w:t>
      </w:r>
      <w:r>
        <w:rPr>
          <w:rFonts w:ascii="Times New Roman" w:hAnsi="Times New Roman"/>
        </w:rPr>
        <w:t>12</w:t>
      </w:r>
      <w:r>
        <w:rPr>
          <w:rFonts w:hint="eastAsia" w:ascii="Times New Roman" w:hAnsi="Times New Roman"/>
        </w:rPr>
        <w:t>届世界生产力大会北京阶段会议文集》，经济科学出版社</w:t>
      </w:r>
      <w:r>
        <w:rPr>
          <w:rFonts w:ascii="Times New Roman" w:hAnsi="Times New Roman"/>
        </w:rPr>
        <w:t>2002</w:t>
      </w:r>
      <w:r>
        <w:rPr>
          <w:rFonts w:hint="eastAsia" w:ascii="Times New Roman" w:hAnsi="Times New Roman"/>
        </w:rPr>
        <w:t>年版，第</w:t>
      </w:r>
      <w:r>
        <w:rPr>
          <w:rFonts w:ascii="Times New Roman" w:hAnsi="Times New Roman"/>
        </w:rPr>
        <w:t>425</w:t>
      </w:r>
      <w:r>
        <w:rPr>
          <w:rFonts w:hint="eastAsia" w:ascii="Times New Roman" w:hAnsi="Times New Roman"/>
        </w:rPr>
        <w:t>—</w:t>
      </w:r>
      <w:r>
        <w:rPr>
          <w:rFonts w:ascii="Times New Roman" w:hAnsi="Times New Roman"/>
        </w:rPr>
        <w:t>427</w:t>
      </w:r>
      <w:r>
        <w:rPr>
          <w:rFonts w:hint="eastAsia" w:ascii="Times New Roman" w:hAnsi="Times New Roman"/>
        </w:rPr>
        <w:t>页。</w:t>
      </w:r>
    </w:p>
  </w:footnote>
  <w:footnote w:id="182">
    <w:p w14:paraId="1B98BDF3">
      <w:pPr>
        <w:adjustRightInd w:val="0"/>
        <w:rPr>
          <w:rFonts w:ascii="宋体" w:hAnsi="宋体"/>
          <w:sz w:val="18"/>
          <w:szCs w:val="18"/>
        </w:rPr>
      </w:pPr>
      <w:r>
        <w:rPr>
          <w:rFonts w:ascii="宋体" w:hAnsi="宋体"/>
          <w:sz w:val="18"/>
          <w:szCs w:val="18"/>
          <w:vertAlign w:val="superscript"/>
        </w:rPr>
        <w:footnoteRef/>
      </w:r>
      <w:r>
        <w:rPr>
          <w:rFonts w:hint="eastAsia" w:ascii="宋体" w:hAnsi="宋体"/>
          <w:sz w:val="18"/>
          <w:szCs w:val="18"/>
        </w:rPr>
        <w:t>熊映梧：《</w:t>
      </w:r>
      <w:r>
        <w:rPr>
          <w:rFonts w:hint="eastAsia" w:ascii="宋体" w:hAnsi="宋体" w:cs="Arial"/>
          <w:sz w:val="18"/>
          <w:szCs w:val="18"/>
        </w:rPr>
        <w:t>改善人类与自然的关系——新千年经济学的头号课题》，《</w:t>
      </w:r>
      <w:r>
        <w:rPr>
          <w:rFonts w:hint="eastAsia" w:ascii="宋体" w:hAnsi="宋体" w:cs="Arial"/>
          <w:color w:val="000000"/>
          <w:sz w:val="18"/>
          <w:szCs w:val="18"/>
        </w:rPr>
        <w:t>透过互联经济体系创造财富——</w:t>
      </w:r>
      <w:r>
        <w:rPr>
          <w:rFonts w:hint="eastAsia" w:ascii="宋体" w:hAnsi="宋体"/>
          <w:sz w:val="18"/>
          <w:szCs w:val="18"/>
        </w:rPr>
        <w:t>第12届世界生产力大会北京阶段会议文集》，经济科学出版社2002年版，第.422—423页。</w:t>
      </w:r>
    </w:p>
  </w:footnote>
  <w:footnote w:id="183">
    <w:p w14:paraId="1202ECD4">
      <w:pPr>
        <w:pStyle w:val="12"/>
        <w:adjustRightInd w:val="0"/>
        <w:snapToGrid/>
        <w:rPr>
          <w:rFonts w:ascii="Times New Roman" w:hAnsi="Times New Roman"/>
          <w:sz w:val="21"/>
          <w:szCs w:val="21"/>
        </w:rPr>
      </w:pPr>
      <w:r>
        <w:rPr>
          <w:rFonts w:ascii="宋体" w:hAnsi="宋体"/>
          <w:vertAlign w:val="superscript"/>
        </w:rPr>
        <w:footnoteRef/>
      </w:r>
      <w:r>
        <w:rPr>
          <w:rFonts w:hint="eastAsia" w:ascii="宋体" w:hAnsi="宋体"/>
        </w:rPr>
        <w:t>刘思华：《论可持续发展经济学的形成与展望》，载于《经济可持续发展论丛》，中国环境出版社2002年版。</w:t>
      </w:r>
    </w:p>
  </w:footnote>
  <w:footnote w:id="184">
    <w:p w14:paraId="7598216B">
      <w:pPr>
        <w:pStyle w:val="12"/>
        <w:rPr>
          <w:rFonts w:ascii="Times New Roman" w:hAnsi="Times New Roman"/>
        </w:rPr>
      </w:pPr>
      <w:r>
        <w:rPr>
          <w:rFonts w:ascii="Times New Roman" w:hAnsi="Times New Roman"/>
          <w:vertAlign w:val="superscript"/>
        </w:rPr>
        <w:footnoteRef/>
      </w:r>
      <w:r>
        <w:rPr>
          <w:rFonts w:hint="eastAsia" w:ascii="宋体" w:hAnsi="Times New Roman" w:cs="宋体"/>
          <w:kern w:val="0"/>
        </w:rPr>
        <w:t>田向利</w:t>
      </w:r>
      <w:r>
        <w:rPr>
          <w:rFonts w:hint="eastAsia" w:ascii="DY83+ZMXUZf-84" w:hAnsi="DY83+ZMXUZf-84" w:cs="DY83+ZMXUZf-84"/>
          <w:kern w:val="0"/>
        </w:rPr>
        <w:t>：《</w:t>
      </w:r>
      <w:r>
        <w:rPr>
          <w:rFonts w:hint="eastAsia" w:ascii="宋体" w:hAnsi="Times New Roman" w:cs="宋体"/>
          <w:kern w:val="0"/>
        </w:rPr>
        <w:t>经济增长与社会发展观念的演进</w:t>
      </w:r>
      <w:r>
        <w:rPr>
          <w:rFonts w:hint="eastAsia" w:ascii="DY83+ZMXUZf-84" w:hAnsi="DY83+ZMXUZf-84" w:cs="DY83+ZMXUZf-84"/>
          <w:kern w:val="0"/>
        </w:rPr>
        <w:t>》，《</w:t>
      </w:r>
      <w:r>
        <w:rPr>
          <w:rFonts w:hint="eastAsia" w:ascii="宋体" w:hAnsi="Times New Roman" w:cs="宋体"/>
          <w:kern w:val="0"/>
        </w:rPr>
        <w:t>经济学动态》2003年第12期。</w:t>
      </w:r>
    </w:p>
  </w:footnote>
  <w:footnote w:id="185">
    <w:p w14:paraId="4AF9DE26">
      <w:pPr>
        <w:pStyle w:val="12"/>
        <w:snapToGrid/>
        <w:rPr>
          <w:rFonts w:ascii="Times New Roman" w:hAnsi="Times New Roman"/>
        </w:rPr>
      </w:pPr>
      <w:r>
        <w:rPr>
          <w:rFonts w:ascii="Times New Roman" w:hAnsi="Times New Roman"/>
          <w:vertAlign w:val="superscript"/>
        </w:rPr>
        <w:footnoteRef/>
      </w:r>
      <w:r>
        <w:rPr>
          <w:rFonts w:hint="eastAsia" w:ascii="Times New Roman" w:hAnsi="Times New Roman"/>
        </w:rPr>
        <w:t>张赛：《</w:t>
      </w:r>
      <w:r>
        <w:rPr>
          <w:rFonts w:hint="eastAsia" w:ascii="Arial" w:hAnsi="Arial" w:cs="Arial"/>
          <w:color w:val="000000"/>
        </w:rPr>
        <w:t>科学技术的发展是经济全球化的动力本源》，《透过互联经济体系创造财富——</w:t>
      </w:r>
      <w:r>
        <w:rPr>
          <w:rFonts w:hint="eastAsia" w:ascii="Times New Roman" w:hAnsi="Times New Roman"/>
        </w:rPr>
        <w:t>第</w:t>
      </w:r>
      <w:r>
        <w:rPr>
          <w:rFonts w:ascii="Times New Roman" w:hAnsi="Times New Roman"/>
        </w:rPr>
        <w:t>12</w:t>
      </w:r>
      <w:r>
        <w:rPr>
          <w:rFonts w:hint="eastAsia" w:ascii="Times New Roman" w:hAnsi="Times New Roman"/>
        </w:rPr>
        <w:t>届世界生产力大会北京阶段会议文集》，经济科学出版社</w:t>
      </w:r>
      <w:r>
        <w:rPr>
          <w:rFonts w:ascii="Times New Roman" w:hAnsi="Times New Roman"/>
        </w:rPr>
        <w:t>2002</w:t>
      </w:r>
      <w:r>
        <w:rPr>
          <w:rFonts w:hint="eastAsia" w:ascii="Times New Roman" w:hAnsi="Times New Roman"/>
        </w:rPr>
        <w:t>年版，第</w:t>
      </w:r>
      <w:r>
        <w:rPr>
          <w:rFonts w:ascii="Times New Roman" w:hAnsi="Times New Roman"/>
        </w:rPr>
        <w:t>84</w:t>
      </w:r>
      <w:r>
        <w:rPr>
          <w:rFonts w:hint="eastAsia" w:ascii="Times New Roman" w:hAnsi="Times New Roman"/>
        </w:rPr>
        <w:t>页。</w:t>
      </w:r>
    </w:p>
  </w:footnote>
  <w:footnote w:id="186">
    <w:p w14:paraId="1897CCA9">
      <w:pPr>
        <w:pStyle w:val="12"/>
        <w:widowControl/>
        <w:adjustRightInd w:val="0"/>
        <w:spacing w:line="240" w:lineRule="exact"/>
        <w:rPr>
          <w:rFonts w:ascii="Times New Roman" w:hAnsi="Times New Roman"/>
        </w:rPr>
      </w:pPr>
      <w:r>
        <w:rPr>
          <w:rStyle w:val="20"/>
          <w:rFonts w:hint="default" w:ascii="Times New Roman" w:hAnsi="Times New Roman" w:eastAsia="宋体"/>
        </w:rPr>
        <w:footnoteRef/>
      </w:r>
      <w:r>
        <w:rPr>
          <w:rFonts w:ascii="Times New Roman" w:hAnsi="Times New Roman"/>
          <w:lang w:bidi="ar"/>
        </w:rPr>
        <w:t xml:space="preserve"> 诺姆·乔姆斯基：《新自由主义和全球秩序》，江苏人民出版社，2000年版，第3页。</w:t>
      </w:r>
    </w:p>
  </w:footnote>
  <w:footnote w:id="187">
    <w:p w14:paraId="2BB129D3">
      <w:pPr>
        <w:pStyle w:val="12"/>
        <w:widowControl/>
        <w:spacing w:line="240" w:lineRule="exact"/>
        <w:rPr>
          <w:rFonts w:ascii="Times New Roman" w:hAnsi="Times New Roman"/>
        </w:rPr>
      </w:pPr>
      <w:r>
        <w:rPr>
          <w:rStyle w:val="20"/>
          <w:rFonts w:hint="default" w:ascii="Times New Roman" w:hAnsi="Times New Roman" w:eastAsia="宋体"/>
        </w:rPr>
        <w:footnoteRef/>
      </w:r>
      <w:r>
        <w:rPr>
          <w:rFonts w:ascii="Times New Roman" w:hAnsi="Times New Roman"/>
        </w:rPr>
        <w:t xml:space="preserve"> 诺姆·乔姆斯基：《新自由主义和全球秩序》，江苏人民出版社，2000年版，第1页。</w:t>
      </w:r>
    </w:p>
  </w:footnote>
  <w:footnote w:id="188">
    <w:p w14:paraId="14E1F778">
      <w:pPr>
        <w:pStyle w:val="12"/>
        <w:widowControl/>
        <w:adjustRightInd w:val="0"/>
        <w:spacing w:line="240" w:lineRule="exact"/>
        <w:rPr>
          <w:rFonts w:ascii="Times New Roman" w:hAnsi="Times New Roman"/>
        </w:rPr>
      </w:pPr>
      <w:r>
        <w:rPr>
          <w:rStyle w:val="20"/>
          <w:rFonts w:hint="default" w:ascii="Times New Roman" w:hAnsi="Times New Roman" w:eastAsia="宋体"/>
        </w:rPr>
        <w:footnoteRef/>
      </w:r>
      <w:r>
        <w:rPr>
          <w:rFonts w:ascii="Times New Roman" w:hAnsi="Times New Roman"/>
          <w:lang w:bidi="ar"/>
        </w:rPr>
        <w:t xml:space="preserve"> 卢恰诺· 佩利卡尼：《什么是社会主义》，见《未来社会主义》，[联邦德国]《新社会法兰克福杂志》1990年特刊，第114-115页。</w:t>
      </w:r>
    </w:p>
  </w:footnote>
  <w:footnote w:id="189">
    <w:p w14:paraId="11D9A4DC">
      <w:pPr>
        <w:pStyle w:val="12"/>
        <w:widowControl/>
        <w:adjustRightInd w:val="0"/>
        <w:spacing w:line="240" w:lineRule="exact"/>
        <w:rPr>
          <w:rFonts w:ascii="Times New Roman" w:hAnsi="Times New Roman"/>
        </w:rPr>
      </w:pPr>
      <w:r>
        <w:rPr>
          <w:rStyle w:val="20"/>
          <w:rFonts w:hint="default" w:ascii="Times New Roman" w:hAnsi="Times New Roman" w:eastAsia="宋体"/>
        </w:rPr>
        <w:footnoteRef/>
      </w:r>
      <w:r>
        <w:rPr>
          <w:rFonts w:ascii="Times New Roman" w:hAnsi="Times New Roman"/>
          <w:lang w:bidi="ar"/>
        </w:rPr>
        <w:t xml:space="preserve"> S．比塔尔：《新自由主义与拉美的新结构主义之争》，载拉美纪委会《拉美经委会评论》，1988年4月，第45页。</w:t>
      </w:r>
    </w:p>
  </w:footnote>
  <w:footnote w:id="190">
    <w:p w14:paraId="5F1B668B">
      <w:pPr>
        <w:pStyle w:val="12"/>
        <w:widowControl/>
        <w:adjustRightInd w:val="0"/>
        <w:spacing w:line="240" w:lineRule="exact"/>
        <w:rPr>
          <w:rFonts w:ascii="Times New Roman" w:hAnsi="Times New Roman"/>
        </w:rPr>
      </w:pPr>
      <w:r>
        <w:rPr>
          <w:rStyle w:val="20"/>
          <w:rFonts w:hint="default" w:ascii="Times New Roman" w:hAnsi="Times New Roman" w:eastAsia="宋体"/>
        </w:rPr>
        <w:footnoteRef/>
      </w:r>
      <w:r>
        <w:rPr>
          <w:rStyle w:val="20"/>
          <w:rFonts w:hint="default" w:ascii="Times New Roman" w:hAnsi="Times New Roman" w:eastAsia="宋体"/>
        </w:rPr>
        <w:t xml:space="preserve"> </w:t>
      </w:r>
      <w:r>
        <w:rPr>
          <w:rFonts w:ascii="Times New Roman" w:hAnsi="Times New Roman"/>
        </w:rPr>
        <w:t>R. Dworkin. Taking Rights Seriously Harvard university press。1977，P. 273-8；中国大百科全书出版社1998年中译本，第357页。</w:t>
      </w:r>
    </w:p>
  </w:footnote>
  <w:footnote w:id="191">
    <w:p w14:paraId="5AD511A1">
      <w:pPr>
        <w:pStyle w:val="12"/>
        <w:widowControl/>
        <w:adjustRightInd w:val="0"/>
        <w:spacing w:line="240" w:lineRule="exact"/>
        <w:rPr>
          <w:rFonts w:ascii="Times New Roman" w:hAnsi="Times New Roman"/>
        </w:rPr>
      </w:pPr>
      <w:r>
        <w:rPr>
          <w:rStyle w:val="20"/>
          <w:rFonts w:hint="default" w:ascii="Times New Roman" w:hAnsi="Times New Roman" w:eastAsia="宋体"/>
        </w:rPr>
        <w:footnoteRef/>
      </w:r>
      <w:r>
        <w:rPr>
          <w:rStyle w:val="20"/>
          <w:rFonts w:hint="default" w:ascii="Times New Roman" w:hAnsi="Times New Roman" w:eastAsia="宋体"/>
        </w:rPr>
        <w:t xml:space="preserve"> </w:t>
      </w:r>
      <w:r>
        <w:rPr>
          <w:rFonts w:ascii="Times New Roman" w:hAnsi="Times New Roman"/>
        </w:rPr>
        <w:t>伊林格·费切尔主编：《新保守主义者与“新右派”》，慕尼黑贝克出版社1983年版，第21—26页。</w:t>
      </w:r>
    </w:p>
  </w:footnote>
  <w:footnote w:id="192">
    <w:p w14:paraId="04D4FCC1">
      <w:pPr>
        <w:pStyle w:val="12"/>
        <w:widowControl/>
        <w:adjustRightInd w:val="0"/>
        <w:spacing w:line="240" w:lineRule="exact"/>
        <w:rPr>
          <w:rFonts w:ascii="Times New Roman" w:hAnsi="Times New Roman"/>
        </w:rPr>
      </w:pPr>
      <w:r>
        <w:rPr>
          <w:rStyle w:val="20"/>
          <w:rFonts w:hint="default" w:ascii="Times New Roman" w:hAnsi="Times New Roman" w:eastAsia="宋体"/>
        </w:rPr>
        <w:footnoteRef/>
      </w:r>
      <w:r>
        <w:rPr>
          <w:rStyle w:val="20"/>
          <w:rFonts w:hint="default" w:ascii="Times New Roman" w:hAnsi="Times New Roman" w:eastAsia="宋体"/>
        </w:rPr>
        <w:t xml:space="preserve"> </w:t>
      </w:r>
      <w:r>
        <w:rPr>
          <w:rFonts w:ascii="Times New Roman" w:hAnsi="Times New Roman"/>
          <w:lang w:bidi="ar"/>
        </w:rPr>
        <w:t>福斯特：《资本主义普遍性中的矛盾》，美国《每月评论》杂志，1999年4月，第50卷，第11期。</w:t>
      </w:r>
    </w:p>
  </w:footnote>
  <w:footnote w:id="193">
    <w:p w14:paraId="04C1AACC">
      <w:pPr>
        <w:pStyle w:val="12"/>
        <w:widowControl/>
        <w:spacing w:line="240" w:lineRule="exact"/>
        <w:rPr>
          <w:rFonts w:ascii="Times New Roman" w:hAnsi="Times New Roman"/>
        </w:rPr>
      </w:pPr>
      <w:r>
        <w:rPr>
          <w:rStyle w:val="20"/>
          <w:rFonts w:hint="default" w:ascii="Times New Roman" w:hAnsi="Times New Roman" w:eastAsia="宋体"/>
        </w:rPr>
        <w:footnoteRef/>
      </w:r>
      <w:r>
        <w:rPr>
          <w:rStyle w:val="20"/>
          <w:rFonts w:hint="default" w:ascii="Times New Roman" w:hAnsi="Times New Roman" w:eastAsia="宋体"/>
        </w:rPr>
        <w:t xml:space="preserve"> </w:t>
      </w:r>
      <w:r>
        <w:rPr>
          <w:rFonts w:ascii="Times New Roman" w:hAnsi="Times New Roman"/>
          <w:lang w:bidi="ar"/>
        </w:rPr>
        <w:t>安德森：《新自由主义的历史和教训》， 法国《思想》杂志， 1999年10</w:t>
      </w:r>
      <w:r>
        <w:rPr>
          <w:rStyle w:val="20"/>
          <w:rFonts w:hint="default" w:ascii="Times New Roman" w:hAnsi="Times New Roman" w:eastAsia="宋体"/>
        </w:rPr>
        <w:t>—</w:t>
      </w:r>
      <w:r>
        <w:rPr>
          <w:rFonts w:ascii="Times New Roman" w:hAnsi="Times New Roman"/>
          <w:lang w:bidi="ar"/>
        </w:rPr>
        <w:t>12月第320期；《国外理论动态》2000年第8期。</w:t>
      </w:r>
    </w:p>
  </w:footnote>
  <w:footnote w:id="194">
    <w:p w14:paraId="55B5E37E">
      <w:pPr>
        <w:pStyle w:val="12"/>
        <w:widowControl/>
        <w:spacing w:line="240" w:lineRule="exact"/>
        <w:ind w:left="180" w:hanging="180"/>
        <w:rPr>
          <w:rFonts w:ascii="Times New Roman" w:hAnsi="Times New Roman"/>
        </w:rPr>
      </w:pPr>
      <w:r>
        <w:rPr>
          <w:rStyle w:val="20"/>
          <w:rFonts w:hint="default" w:ascii="Times New Roman" w:hAnsi="Times New Roman" w:eastAsia="宋体"/>
        </w:rPr>
        <w:footnoteRef/>
      </w:r>
      <w:r>
        <w:rPr>
          <w:rStyle w:val="20"/>
          <w:rFonts w:hint="default" w:ascii="Times New Roman" w:hAnsi="Times New Roman" w:eastAsia="宋体"/>
        </w:rPr>
        <w:t xml:space="preserve"> </w:t>
      </w:r>
      <w:r>
        <w:rPr>
          <w:rFonts w:ascii="Times New Roman" w:hAnsi="Times New Roman"/>
          <w:lang w:bidi="ar"/>
        </w:rPr>
        <w:t>科兹：《全球化与新自由主义》，《反思马克思主义》2002年夏季号（第14卷第2期）；《当代思潮》2001年第3期。</w:t>
      </w:r>
    </w:p>
  </w:footnote>
  <w:footnote w:id="195">
    <w:p w14:paraId="6D8989C6">
      <w:pPr>
        <w:pStyle w:val="12"/>
        <w:widowControl/>
        <w:spacing w:line="240" w:lineRule="exact"/>
        <w:ind w:left="180" w:hanging="180"/>
        <w:rPr>
          <w:rFonts w:ascii="Times New Roman" w:hAnsi="Times New Roman"/>
        </w:rPr>
      </w:pPr>
      <w:r>
        <w:rPr>
          <w:rStyle w:val="20"/>
          <w:rFonts w:hint="default" w:ascii="Times New Roman" w:hAnsi="Times New Roman" w:eastAsia="宋体"/>
        </w:rPr>
        <w:footnoteRef/>
      </w:r>
      <w:r>
        <w:rPr>
          <w:rFonts w:ascii="Times New Roman" w:hAnsi="Times New Roman"/>
        </w:rPr>
        <w:t xml:space="preserve"> 安德森：《重建》，《新左派评沦》2000年第1期发刊词。</w:t>
      </w:r>
    </w:p>
  </w:footnote>
  <w:footnote w:id="196">
    <w:p w14:paraId="38780629">
      <w:pPr>
        <w:pStyle w:val="12"/>
        <w:widowControl/>
        <w:spacing w:line="240" w:lineRule="exact"/>
        <w:ind w:left="180" w:hanging="180"/>
        <w:rPr>
          <w:rFonts w:ascii="Times New Roman" w:hAnsi="Times New Roman"/>
        </w:rPr>
      </w:pPr>
      <w:r>
        <w:rPr>
          <w:rStyle w:val="20"/>
          <w:rFonts w:hint="default" w:ascii="Times New Roman" w:hAnsi="Times New Roman" w:eastAsia="宋体"/>
        </w:rPr>
        <w:footnoteRef/>
      </w:r>
      <w:r>
        <w:rPr>
          <w:rFonts w:ascii="Times New Roman" w:hAnsi="Times New Roman"/>
        </w:rPr>
        <w:t xml:space="preserve"> 拉莫内：《另一个世界是可能的—呼唤乌托邦》（纪念《共产党宣言》发表150周年），法国《外交世界》英文版1998年，第5期；《国外理论动态》1999年第4期。</w:t>
      </w:r>
    </w:p>
  </w:footnote>
  <w:footnote w:id="197">
    <w:p w14:paraId="13F2EB66">
      <w:pPr>
        <w:pStyle w:val="12"/>
        <w:widowControl/>
        <w:spacing w:line="240" w:lineRule="exact"/>
        <w:ind w:left="164" w:hanging="154" w:hangingChars="86"/>
        <w:rPr>
          <w:rFonts w:ascii="Times New Roman" w:hAnsi="Times New Roman"/>
        </w:rPr>
      </w:pPr>
      <w:r>
        <w:rPr>
          <w:rStyle w:val="20"/>
          <w:rFonts w:hint="default" w:ascii="Times New Roman" w:hAnsi="Times New Roman" w:eastAsia="宋体"/>
        </w:rPr>
        <w:footnoteRef/>
      </w:r>
      <w:r>
        <w:rPr>
          <w:rStyle w:val="20"/>
          <w:rFonts w:hint="default" w:ascii="Times New Roman" w:hAnsi="Times New Roman" w:eastAsia="宋体"/>
        </w:rPr>
        <w:t xml:space="preserve"> </w:t>
      </w:r>
      <w:r>
        <w:rPr>
          <w:rFonts w:ascii="Times New Roman" w:hAnsi="Times New Roman"/>
          <w:lang w:bidi="ar"/>
        </w:rPr>
        <w:t>布迪厄：《无止境剥削的乌托邦——新自由主义的本质》，法国《外交世界》英文版1998年第12期；《国外理论动态》1999年第4期。</w:t>
      </w:r>
    </w:p>
  </w:footnote>
  <w:footnote w:id="198">
    <w:p w14:paraId="250EE04D">
      <w:pPr>
        <w:pStyle w:val="12"/>
        <w:widowControl/>
        <w:ind w:left="191" w:hanging="180" w:hangingChars="100"/>
        <w:rPr>
          <w:rFonts w:ascii="Times New Roman" w:hAnsi="Times New Roman"/>
        </w:rPr>
      </w:pPr>
      <w:r>
        <w:rPr>
          <w:rStyle w:val="20"/>
          <w:rFonts w:hint="default" w:ascii="Times New Roman" w:hAnsi="Times New Roman" w:eastAsia="宋体"/>
        </w:rPr>
        <w:footnoteRef/>
      </w:r>
      <w:r>
        <w:rPr>
          <w:rFonts w:ascii="Times New Roman" w:hAnsi="Times New Roman"/>
          <w:lang w:bidi="ar"/>
        </w:rPr>
        <w:t xml:space="preserve"> 诺姆·乔姆斯基：《新自由主义和全球秩序》，江苏人民出版社，2000年，第49页。</w:t>
      </w:r>
    </w:p>
  </w:footnote>
  <w:footnote w:id="199">
    <w:p w14:paraId="2A3EE1D6">
      <w:pPr>
        <w:pStyle w:val="12"/>
        <w:widowControl/>
        <w:ind w:left="191" w:hanging="180" w:hangingChars="100"/>
        <w:rPr>
          <w:rFonts w:ascii="Times New Roman" w:hAnsi="Times New Roman"/>
        </w:rPr>
      </w:pPr>
      <w:r>
        <w:rPr>
          <w:rStyle w:val="20"/>
          <w:rFonts w:hint="default" w:ascii="Times New Roman" w:hAnsi="Times New Roman" w:eastAsia="宋体"/>
        </w:rPr>
        <w:footnoteRef/>
      </w:r>
      <w:r>
        <w:rPr>
          <w:rFonts w:ascii="Times New Roman" w:hAnsi="Times New Roman"/>
        </w:rPr>
        <w:t xml:space="preserve"> 诺姆·乔姆斯基：《新自由主义和全球秩序》，江苏人民出版社，2000年，第23页。</w:t>
      </w:r>
    </w:p>
  </w:footnote>
  <w:footnote w:id="200">
    <w:p w14:paraId="020F7B67">
      <w:pPr>
        <w:pStyle w:val="12"/>
        <w:widowControl/>
        <w:ind w:left="191" w:hanging="180" w:hangingChars="100"/>
        <w:rPr>
          <w:rFonts w:ascii="Times New Roman" w:hAnsi="Times New Roman"/>
        </w:rPr>
      </w:pPr>
      <w:r>
        <w:rPr>
          <w:rStyle w:val="20"/>
          <w:rFonts w:hint="default" w:ascii="Times New Roman" w:hAnsi="Times New Roman" w:eastAsia="宋体"/>
        </w:rPr>
        <w:footnoteRef/>
      </w:r>
      <w:r>
        <w:rPr>
          <w:rFonts w:ascii="Times New Roman" w:hAnsi="Times New Roman"/>
          <w:lang w:bidi="ar"/>
        </w:rPr>
        <w:t xml:space="preserve"> 格雷·帕拉斯特：《一个冰凉的世界——国际货币基金组织带你去地狱的四个步骤》，英国《观察家》杂志2001年4月；《国外理论动态》2001年第12期。</w:t>
      </w:r>
    </w:p>
  </w:footnote>
  <w:footnote w:id="201">
    <w:p w14:paraId="3C1250AC">
      <w:pPr>
        <w:pStyle w:val="12"/>
        <w:widowControl/>
        <w:ind w:left="191" w:hanging="180" w:hangingChars="100"/>
        <w:rPr>
          <w:rFonts w:ascii="Times New Roman" w:hAnsi="Times New Roman"/>
        </w:rPr>
      </w:pPr>
      <w:r>
        <w:rPr>
          <w:rFonts w:ascii="Times New Roman" w:hAnsi="Times New Roman"/>
          <w:lang w:bidi="ar"/>
        </w:rPr>
        <w:footnoteRef/>
      </w:r>
      <w:r>
        <w:rPr>
          <w:rFonts w:ascii="Times New Roman" w:hAnsi="Times New Roman"/>
          <w:lang w:bidi="ar"/>
        </w:rPr>
        <w:t xml:space="preserve"> 罗伯特·库尔茨：《资本主义黑皮书——自由市场经济的终曲》上卷，社会科学文献出版社2003年版，第9页。</w:t>
      </w:r>
    </w:p>
  </w:footnote>
  <w:footnote w:id="202">
    <w:p w14:paraId="19F08BDE">
      <w:pPr>
        <w:pStyle w:val="12"/>
        <w:widowControl/>
        <w:spacing w:line="240" w:lineRule="exact"/>
        <w:rPr>
          <w:rFonts w:ascii="Times New Roman" w:hAnsi="Times New Roman"/>
        </w:rPr>
      </w:pPr>
      <w:r>
        <w:rPr>
          <w:rFonts w:ascii="Times New Roman" w:hAnsi="Times New Roman"/>
          <w:lang w:bidi="ar"/>
        </w:rPr>
        <w:footnoteRef/>
      </w:r>
      <w:r>
        <w:rPr>
          <w:rFonts w:ascii="Times New Roman" w:hAnsi="Times New Roman"/>
          <w:lang w:bidi="ar"/>
        </w:rPr>
        <w:t xml:space="preserve"> 福斯特：《资本主义普遍性中的矛盾》，美国《每月评论》杂志，1999年4月，第50卷第11期。</w:t>
      </w:r>
    </w:p>
  </w:footnote>
  <w:footnote w:id="203">
    <w:p w14:paraId="781F232D">
      <w:pPr>
        <w:pStyle w:val="12"/>
        <w:widowControl/>
        <w:spacing w:line="240" w:lineRule="exact"/>
        <w:rPr>
          <w:rFonts w:ascii="Times New Roman" w:hAnsi="Times New Roman"/>
        </w:rPr>
      </w:pPr>
      <w:r>
        <w:rPr>
          <w:rFonts w:ascii="Times New Roman" w:hAnsi="Times New Roman"/>
          <w:lang w:bidi="ar"/>
        </w:rPr>
        <w:footnoteRef/>
      </w:r>
      <w:r>
        <w:rPr>
          <w:rFonts w:ascii="Times New Roman" w:hAnsi="Times New Roman"/>
          <w:lang w:bidi="ar"/>
        </w:rPr>
        <w:t xml:space="preserve"> 参见艾瑞克·霍布斯鲍姆：《极端的年代》（下），江苏人民出版社1988年版，第634—635页。</w:t>
      </w:r>
    </w:p>
  </w:footnote>
  <w:footnote w:id="204">
    <w:p w14:paraId="6DD990E1">
      <w:pPr>
        <w:pStyle w:val="12"/>
        <w:widowControl/>
        <w:spacing w:line="240" w:lineRule="exact"/>
        <w:rPr>
          <w:rFonts w:ascii="Times New Roman" w:hAnsi="Times New Roman"/>
        </w:rPr>
      </w:pPr>
      <w:r>
        <w:rPr>
          <w:rFonts w:ascii="Times New Roman" w:hAnsi="Times New Roman"/>
          <w:lang w:bidi="ar"/>
        </w:rPr>
        <w:footnoteRef/>
      </w:r>
      <w:r>
        <w:rPr>
          <w:rFonts w:ascii="Times New Roman" w:hAnsi="Times New Roman"/>
          <w:lang w:bidi="ar"/>
        </w:rPr>
        <w:t xml:space="preserve"> 阿兰·伯努瓦：《面向全球化》，载《泰勒斯》1996年夏季号。</w:t>
      </w:r>
    </w:p>
  </w:footnote>
  <w:footnote w:id="205">
    <w:p w14:paraId="6E03F716">
      <w:pPr>
        <w:pStyle w:val="12"/>
        <w:widowControl/>
        <w:spacing w:line="240" w:lineRule="exact"/>
        <w:rPr>
          <w:rFonts w:ascii="Times New Roman" w:hAnsi="Times New Roman"/>
        </w:rPr>
      </w:pPr>
      <w:r>
        <w:rPr>
          <w:rFonts w:ascii="Times New Roman" w:hAnsi="Times New Roman"/>
          <w:lang w:bidi="ar"/>
        </w:rPr>
        <w:footnoteRef/>
      </w:r>
      <w:r>
        <w:rPr>
          <w:rFonts w:ascii="Times New Roman" w:hAnsi="Times New Roman"/>
          <w:lang w:bidi="ar"/>
        </w:rPr>
        <w:t>奥斯卡·拉封丹：《德国社会民主主义的未来》，载《新左派评论》1998年11—12月号。</w:t>
      </w:r>
    </w:p>
  </w:footnote>
  <w:footnote w:id="206">
    <w:p w14:paraId="49811702">
      <w:pPr>
        <w:pStyle w:val="12"/>
        <w:widowControl/>
        <w:spacing w:line="240" w:lineRule="exact"/>
        <w:rPr>
          <w:rFonts w:ascii="Times New Roman" w:hAnsi="Times New Roman"/>
        </w:rPr>
      </w:pPr>
      <w:r>
        <w:rPr>
          <w:rFonts w:ascii="Times New Roman" w:hAnsi="Times New Roman"/>
        </w:rPr>
        <w:footnoteRef/>
      </w:r>
      <w:r>
        <w:rPr>
          <w:rFonts w:ascii="Times New Roman" w:hAnsi="Times New Roman"/>
        </w:rPr>
        <w:t>罗伯特·麦克切斯尼：《诺姆·乔姆斯基和反对新自由主义的斗争》，美国《每月评论》1999年第50卷第11期；《国外理论动态》，1999年第12期。</w:t>
      </w:r>
    </w:p>
  </w:footnote>
  <w:footnote w:id="207">
    <w:p w14:paraId="04073D2F">
      <w:pPr>
        <w:pStyle w:val="12"/>
        <w:widowControl/>
        <w:spacing w:line="240" w:lineRule="exact"/>
        <w:rPr>
          <w:rFonts w:ascii="Times New Roman" w:hAnsi="Times New Roman"/>
        </w:rPr>
      </w:pPr>
      <w:r>
        <w:rPr>
          <w:rFonts w:ascii="Times New Roman" w:hAnsi="Times New Roman"/>
          <w:lang w:bidi="ar"/>
        </w:rPr>
        <w:footnoteRef/>
      </w:r>
      <w:r>
        <w:rPr>
          <w:rFonts w:ascii="Times New Roman" w:hAnsi="Times New Roman"/>
          <w:lang w:bidi="ar"/>
        </w:rPr>
        <w:t>参见《国外理论动态》1999年第6期、第12期。</w:t>
      </w:r>
    </w:p>
  </w:footnote>
  <w:footnote w:id="208">
    <w:p w14:paraId="19DAD98F">
      <w:pPr>
        <w:pStyle w:val="12"/>
        <w:widowControl/>
        <w:spacing w:line="240" w:lineRule="exact"/>
        <w:rPr>
          <w:rFonts w:ascii="Times New Roman" w:hAnsi="Times New Roman"/>
        </w:rPr>
      </w:pPr>
      <w:r>
        <w:rPr>
          <w:rFonts w:ascii="Times New Roman" w:hAnsi="Times New Roman"/>
        </w:rPr>
        <w:footnoteRef/>
      </w:r>
      <w:r>
        <w:rPr>
          <w:rFonts w:ascii="Times New Roman" w:hAnsi="Times New Roman"/>
        </w:rPr>
        <w:t>参见安德森：《新自由主义的历史和教训》，法国《思想》杂志，1999年10—12月，第320期；转摘自《国外理论动态》2000年第8期。</w:t>
      </w:r>
    </w:p>
  </w:footnote>
  <w:footnote w:id="209">
    <w:p w14:paraId="7799F15A">
      <w:pPr>
        <w:pStyle w:val="12"/>
        <w:widowControl/>
        <w:spacing w:line="240" w:lineRule="exact"/>
        <w:rPr>
          <w:rFonts w:ascii="Times New Roman" w:hAnsi="Times New Roman"/>
        </w:rPr>
      </w:pPr>
      <w:r>
        <w:rPr>
          <w:rFonts w:ascii="Times New Roman" w:hAnsi="Times New Roman"/>
        </w:rPr>
        <w:footnoteRef/>
      </w:r>
      <w:r>
        <w:rPr>
          <w:rFonts w:ascii="Times New Roman" w:hAnsi="Times New Roman"/>
        </w:rPr>
        <w:t>参见《国外理论动态》1999年第12期，第7—8页。</w:t>
      </w:r>
    </w:p>
  </w:footnote>
  <w:footnote w:id="210">
    <w:p w14:paraId="2A71286E">
      <w:pPr>
        <w:pStyle w:val="12"/>
        <w:widowControl/>
        <w:spacing w:line="240" w:lineRule="exact"/>
        <w:rPr>
          <w:rFonts w:ascii="Times New Roman" w:hAnsi="Times New Roman"/>
        </w:rPr>
      </w:pPr>
      <w:r>
        <w:rPr>
          <w:rFonts w:ascii="Times New Roman" w:hAnsi="Times New Roman"/>
          <w:lang w:bidi="ar"/>
        </w:rPr>
        <w:footnoteRef/>
      </w:r>
      <w:r>
        <w:rPr>
          <w:rFonts w:ascii="Times New Roman" w:hAnsi="Times New Roman"/>
          <w:lang w:bidi="ar"/>
        </w:rPr>
        <w:t xml:space="preserve"> 参见安德森：《新自由主义的历史和教训》，法国《思想》杂志，1999年10—12月，第320期；转摘自《国外理论动态》2000年第8期。</w:t>
      </w:r>
    </w:p>
  </w:footnote>
  <w:footnote w:id="211">
    <w:p w14:paraId="1D1207BC">
      <w:pPr>
        <w:pStyle w:val="12"/>
        <w:widowControl/>
        <w:spacing w:line="240" w:lineRule="exact"/>
        <w:rPr>
          <w:rFonts w:ascii="Times New Roman" w:hAnsi="Times New Roman"/>
        </w:rPr>
      </w:pPr>
      <w:r>
        <w:rPr>
          <w:rStyle w:val="20"/>
          <w:rFonts w:hint="default" w:ascii="Times New Roman" w:hAnsi="Times New Roman" w:eastAsia="宋体"/>
        </w:rPr>
        <w:footnoteRef/>
      </w:r>
      <w:r>
        <w:rPr>
          <w:rFonts w:ascii="Times New Roman" w:hAnsi="Times New Roman"/>
          <w:lang w:bidi="ar"/>
        </w:rPr>
        <w:t xml:space="preserve"> 参见伊藤诚：《社会主义市场经济的理论可行性与中国道路》，《海派经济学（季刊）》，2004年第1期，上海财经大学出版社，2004年版。</w:t>
      </w:r>
    </w:p>
  </w:footnote>
  <w:footnote w:id="212">
    <w:p w14:paraId="4A40370D">
      <w:pPr>
        <w:pStyle w:val="12"/>
        <w:widowControl/>
        <w:rPr>
          <w:rFonts w:ascii="Times New Roman" w:hAnsi="Times New Roman"/>
        </w:rPr>
      </w:pPr>
      <w:r>
        <w:rPr>
          <w:rStyle w:val="20"/>
          <w:rFonts w:hint="default" w:ascii="Times New Roman" w:hAnsi="Times New Roman" w:eastAsia="宋体"/>
        </w:rPr>
        <w:footnoteRef/>
      </w:r>
      <w:r>
        <w:rPr>
          <w:rFonts w:ascii="Times New Roman" w:hAnsi="Times New Roman"/>
          <w:lang w:bidi="ar"/>
        </w:rPr>
        <w:t>“我们有资格有条件形成自身的哲学社会科学体系”，《上海宣传通讯》2005年第3期</w:t>
      </w:r>
    </w:p>
  </w:footnote>
  <w:footnote w:id="213">
    <w:p w14:paraId="35F9753F">
      <w:pPr>
        <w:adjustRightInd w:val="0"/>
        <w:spacing w:line="240" w:lineRule="exact"/>
        <w:rPr>
          <w:rFonts w:ascii="Times New Roman" w:hAnsi="Times New Roman" w:eastAsia="宋体" w:cs="Times New Roman"/>
          <w:sz w:val="18"/>
          <w:szCs w:val="18"/>
        </w:rPr>
      </w:pPr>
      <w:r>
        <w:rPr>
          <w:rStyle w:val="20"/>
          <w:rFonts w:hint="default" w:ascii="Times New Roman" w:hAnsi="Times New Roman" w:eastAsia="宋体"/>
          <w:sz w:val="18"/>
          <w:szCs w:val="18"/>
        </w:rPr>
        <w:footnoteRef/>
      </w:r>
      <w:r>
        <w:rPr>
          <w:rFonts w:ascii="Times New Roman" w:hAnsi="Times New Roman" w:eastAsia="宋体" w:cs="Times New Roman"/>
          <w:sz w:val="18"/>
          <w:szCs w:val="18"/>
          <w:lang w:bidi="ar"/>
        </w:rPr>
        <w:t>马艳：“中国马克思主义经济学的主流地位及其创新”，《上海财经大学学报》2005年第1期</w:t>
      </w:r>
    </w:p>
  </w:footnote>
  <w:footnote w:id="214">
    <w:p w14:paraId="2EB37D75">
      <w:pPr>
        <w:pStyle w:val="12"/>
        <w:widowControl/>
        <w:adjustRightInd w:val="0"/>
        <w:snapToGrid/>
        <w:spacing w:line="240" w:lineRule="exact"/>
        <w:rPr>
          <w:rFonts w:ascii="Times New Roman" w:hAnsi="Times New Roman"/>
        </w:rPr>
      </w:pPr>
      <w:r>
        <w:rPr>
          <w:rStyle w:val="20"/>
          <w:rFonts w:hint="default" w:ascii="Times New Roman" w:hAnsi="Times New Roman" w:eastAsia="宋体"/>
        </w:rPr>
        <w:footnoteRef/>
      </w:r>
      <w:r>
        <w:rPr>
          <w:rFonts w:ascii="Times New Roman" w:hAnsi="Times New Roman"/>
          <w:lang w:bidi="ar"/>
        </w:rPr>
        <w:t>程恩富：“重建中国经济学超越马克思与西方经济学”，《学术月刊》2000年第2期；日本经济理论学会主办《经济理论研究》2004第1期</w:t>
      </w:r>
    </w:p>
  </w:footnote>
  <w:footnote w:id="215">
    <w:p w14:paraId="1F34F12E">
      <w:pPr>
        <w:pStyle w:val="12"/>
        <w:widowControl/>
        <w:adjustRightInd w:val="0"/>
        <w:snapToGrid/>
        <w:spacing w:line="240" w:lineRule="exact"/>
        <w:rPr>
          <w:rFonts w:ascii="Times New Roman" w:hAnsi="Times New Roman"/>
        </w:rPr>
      </w:pPr>
      <w:r>
        <w:rPr>
          <w:rStyle w:val="20"/>
          <w:rFonts w:hint="default" w:ascii="Times New Roman" w:hAnsi="Times New Roman" w:eastAsia="宋体"/>
        </w:rPr>
        <w:footnoteRef/>
      </w:r>
      <w:r>
        <w:rPr>
          <w:rFonts w:ascii="Times New Roman" w:hAnsi="Times New Roman"/>
        </w:rPr>
        <w:t>刘国光：“中国经济学杰出贡献奖答辞”，《社会科学报》2005年4月21日。</w:t>
      </w:r>
    </w:p>
  </w:footnote>
  <w:footnote w:id="216">
    <w:p w14:paraId="5A541D4B">
      <w:pPr>
        <w:pStyle w:val="12"/>
        <w:widowControl/>
        <w:adjustRightInd w:val="0"/>
        <w:snapToGrid/>
        <w:spacing w:line="240" w:lineRule="exact"/>
        <w:rPr>
          <w:rFonts w:ascii="Times New Roman" w:hAnsi="Times New Roman"/>
        </w:rPr>
      </w:pPr>
      <w:r>
        <w:rPr>
          <w:rStyle w:val="20"/>
          <w:rFonts w:hint="default" w:ascii="Times New Roman" w:hAnsi="Times New Roman" w:eastAsia="宋体"/>
        </w:rPr>
        <w:footnoteRef/>
      </w:r>
      <w:r>
        <w:rPr>
          <w:rFonts w:ascii="Times New Roman" w:hAnsi="Times New Roman"/>
        </w:rPr>
        <w:t>杨承训：“中国经济学的发展方向”，《人民日报》2004年11月25日。</w:t>
      </w:r>
    </w:p>
  </w:footnote>
  <w:footnote w:id="217">
    <w:p w14:paraId="2BD5D8BC">
      <w:pPr>
        <w:pStyle w:val="12"/>
        <w:widowControl/>
        <w:adjustRightInd w:val="0"/>
        <w:snapToGrid/>
        <w:spacing w:line="240" w:lineRule="exact"/>
        <w:rPr>
          <w:rFonts w:ascii="Times New Roman" w:hAnsi="Times New Roman"/>
        </w:rPr>
      </w:pPr>
      <w:r>
        <w:rPr>
          <w:rStyle w:val="20"/>
          <w:rFonts w:hint="default" w:ascii="Times New Roman" w:hAnsi="Times New Roman" w:eastAsia="宋体"/>
        </w:rPr>
        <w:footnoteRef/>
      </w:r>
      <w:r>
        <w:rPr>
          <w:rFonts w:ascii="Times New Roman" w:hAnsi="Times New Roman"/>
        </w:rPr>
        <w:t>程恩富：《西方产权理论评析》，当代中国出版社1997年版。</w:t>
      </w:r>
    </w:p>
  </w:footnote>
  <w:footnote w:id="218">
    <w:p w14:paraId="72A9FC5E">
      <w:pPr>
        <w:rPr>
          <w:rFonts w:ascii="Times New Roman" w:hAnsi="Times New Roman" w:eastAsia="宋体" w:cs="Times New Roman"/>
          <w:sz w:val="18"/>
          <w:szCs w:val="18"/>
        </w:rPr>
      </w:pPr>
      <w:r>
        <w:rPr>
          <w:rFonts w:ascii="Times New Roman" w:hAnsi="Times New Roman" w:eastAsia="宋体" w:cs="Times New Roman"/>
          <w:sz w:val="18"/>
          <w:szCs w:val="18"/>
          <w:vertAlign w:val="superscript"/>
          <w:lang w:bidi="ar"/>
        </w:rPr>
        <w:footnoteRef/>
      </w:r>
      <w:r>
        <w:rPr>
          <w:rFonts w:ascii="Times New Roman" w:hAnsi="Times New Roman" w:eastAsia="宋体" w:cs="Times New Roman"/>
          <w:sz w:val="18"/>
          <w:szCs w:val="18"/>
          <w:lang w:bidi="ar"/>
        </w:rPr>
        <w:t>诉讼时效的客体存在诉权、实体权利、抗辩权等多种说法，本文为请求权消灭说的观点。参见张驰：《论诉讼时效客体》，载《法学》，2001(3)，P52～59</w:t>
      </w:r>
    </w:p>
  </w:footnote>
  <w:footnote w:id="219">
    <w:p w14:paraId="642F0D3E">
      <w:pPr>
        <w:autoSpaceDE w:val="0"/>
        <w:autoSpaceDN w:val="0"/>
        <w:adjustRightInd w:val="0"/>
        <w:spacing w:line="276" w:lineRule="auto"/>
        <w:jc w:val="left"/>
        <w:rPr>
          <w:rFonts w:ascii="Times New Roman" w:hAnsi="Times New Roman" w:eastAsia="宋体" w:cs="Times New Roman"/>
          <w:sz w:val="18"/>
          <w:szCs w:val="18"/>
        </w:rPr>
      </w:pPr>
      <w:r>
        <w:rPr>
          <w:rFonts w:ascii="Times New Roman" w:hAnsi="Times New Roman" w:eastAsia="宋体" w:cs="Times New Roman"/>
          <w:sz w:val="18"/>
          <w:szCs w:val="18"/>
          <w:vertAlign w:val="superscript"/>
          <w:lang w:bidi="ar"/>
        </w:rPr>
        <w:footnoteRef/>
      </w:r>
      <w:r>
        <w:rPr>
          <w:rFonts w:ascii="Times New Roman" w:hAnsi="Times New Roman" w:eastAsia="宋体" w:cs="Times New Roman"/>
          <w:sz w:val="18"/>
          <w:szCs w:val="18"/>
          <w:lang w:bidi="ar"/>
        </w:rPr>
        <w:t xml:space="preserve"> 我国刑法第88 条第1 款规定: “在人民检察院、公安机关、国家安全机关立案侦查或者在人民法院受理案件以后, 逃避侦查或者审判的, 不受追诉期限的限制”。按照该条款, 由于种种原因而当时没有“立案侦查”或“受理案件”, 犯罪人在追诉期限以后即可逃避法律责任, 这在实践中容易导致犯罪人采取破坏立案和法院受理的各种行动。</w:t>
      </w:r>
    </w:p>
  </w:footnote>
  <w:footnote w:id="220">
    <w:p w14:paraId="7DA98041">
      <w:pPr>
        <w:autoSpaceDE w:val="0"/>
        <w:autoSpaceDN w:val="0"/>
        <w:adjustRightInd w:val="0"/>
        <w:jc w:val="left"/>
        <w:rPr>
          <w:rFonts w:ascii="Times New Roman" w:hAnsi="Times New Roman" w:eastAsia="宋体" w:cs="Times New Roman"/>
          <w:sz w:val="18"/>
          <w:szCs w:val="18"/>
        </w:rPr>
      </w:pPr>
      <w:r>
        <w:rPr>
          <w:rFonts w:ascii="Times New Roman" w:hAnsi="Times New Roman" w:eastAsia="宋体" w:cs="Times New Roman"/>
          <w:sz w:val="18"/>
          <w:szCs w:val="18"/>
          <w:vertAlign w:val="superscript"/>
          <w:lang w:bidi="ar"/>
        </w:rPr>
        <w:footnoteRef/>
      </w:r>
      <w:r>
        <w:rPr>
          <w:rFonts w:ascii="Times New Roman" w:hAnsi="Times New Roman" w:eastAsia="宋体" w:cs="Times New Roman"/>
          <w:sz w:val="18"/>
          <w:szCs w:val="18"/>
          <w:lang w:bidi="ar"/>
        </w:rPr>
        <w:t xml:space="preserve"> 考特和尤伦在讨论侵权法中的过失问题时曾经进行过类似分析, 参见《法和经济学》一书, 上海三联书店, 上海人民出版社, 1994 年版。</w:t>
      </w:r>
    </w:p>
  </w:footnote>
  <w:footnote w:id="221">
    <w:p w14:paraId="38AA4980">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吴树青：《“华盛顿共识”、“北京共识”引发的几点思考》，《思想理论教育导刊》2004年第11期。</w:t>
      </w:r>
    </w:p>
  </w:footnote>
  <w:footnote w:id="222">
    <w:p w14:paraId="24C192B7">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周肇光：《关注“警戒线”，证伪“洋教条”——访经济学家王振中》，载程恩富 顾海良主编：《海派经济学》(季刊)第6辑，上海财经大学出版社2004年版。</w:t>
      </w:r>
    </w:p>
  </w:footnote>
  <w:footnote w:id="223">
    <w:p w14:paraId="2D5EBC18">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程恩富 陈士辉：《日本马克恩主义经济学与现实问题研究态势》，载程恩富顾海良主编：《海派经济学》(季刊)第6辑，上海财经大学出版社2004年版。</w:t>
      </w:r>
    </w:p>
  </w:footnote>
  <w:footnote w:id="224">
    <w:p w14:paraId="7D6D5CD0">
      <w:pPr>
        <w:pStyle w:val="12"/>
        <w:rPr>
          <w:rFonts w:ascii="Times New Roman" w:hAnsi="Times New Roman"/>
        </w:rPr>
      </w:pPr>
      <w:r>
        <w:rPr>
          <w:rStyle w:val="20"/>
          <w:rFonts w:hint="default" w:ascii="Times New Roman" w:hAnsi="Times New Roman" w:eastAsia="宋体"/>
        </w:rPr>
        <w:footnoteRef/>
      </w:r>
      <w:r>
        <w:rPr>
          <w:rFonts w:ascii="Times New Roman" w:hAnsi="Times New Roman"/>
        </w:rPr>
        <w:t>《邓小平文选》第2卷，人民出版社1994年版，第181页。</w:t>
      </w:r>
    </w:p>
  </w:footnote>
  <w:footnote w:id="225">
    <w:p w14:paraId="51413089">
      <w:pPr>
        <w:pStyle w:val="12"/>
        <w:rPr>
          <w:rFonts w:ascii="Times New Roman" w:hAnsi="Times New Roman"/>
        </w:rPr>
      </w:pPr>
      <w:r>
        <w:rPr>
          <w:rStyle w:val="20"/>
          <w:rFonts w:hint="default" w:ascii="Times New Roman" w:hAnsi="Times New Roman" w:eastAsia="宋体"/>
        </w:rPr>
        <w:footnoteRef/>
      </w:r>
      <w:r>
        <w:rPr>
          <w:rFonts w:ascii="Times New Roman" w:hAnsi="Times New Roman"/>
        </w:rPr>
        <w:t>《毛泽东文集》第7卷，人民出版社1999年版，第200-201页。</w:t>
      </w:r>
    </w:p>
  </w:footnote>
  <w:footnote w:id="226">
    <w:p w14:paraId="2C0B0AC8">
      <w:pPr>
        <w:pStyle w:val="12"/>
        <w:rPr>
          <w:rFonts w:ascii="Times New Roman" w:hAnsi="Times New Roman"/>
        </w:rPr>
      </w:pPr>
      <w:r>
        <w:rPr>
          <w:rStyle w:val="20"/>
          <w:rFonts w:hint="default" w:ascii="Times New Roman" w:hAnsi="Times New Roman" w:eastAsia="宋体"/>
        </w:rPr>
        <w:footnoteRef/>
      </w:r>
      <w:r>
        <w:rPr>
          <w:rFonts w:ascii="Times New Roman" w:hAnsi="Times New Roman"/>
        </w:rPr>
        <w:t xml:space="preserve"> 《邓小平文选》第3卷，人民出版社1993年版，第382、383页。</w:t>
      </w:r>
    </w:p>
  </w:footnote>
  <w:footnote w:id="227">
    <w:p w14:paraId="5AA8A95A">
      <w:pPr>
        <w:pStyle w:val="12"/>
        <w:rPr>
          <w:rFonts w:ascii="Times New Roman" w:hAnsi="Times New Roman"/>
        </w:rPr>
      </w:pPr>
      <w:r>
        <w:rPr>
          <w:rStyle w:val="20"/>
          <w:rFonts w:hint="default" w:ascii="Times New Roman" w:hAnsi="Times New Roman" w:eastAsia="宋体"/>
        </w:rPr>
        <w:footnoteRef/>
      </w:r>
      <w:r>
        <w:rPr>
          <w:rFonts w:ascii="Times New Roman" w:hAnsi="Times New Roman"/>
        </w:rPr>
        <w:t xml:space="preserve"> 《马克思恩格斯选集》第2卷，人民出版社1995年版，第39页。</w:t>
      </w:r>
    </w:p>
  </w:footnote>
  <w:footnote w:id="228">
    <w:p w14:paraId="18FAC3AC">
      <w:pPr>
        <w:rPr>
          <w:rFonts w:ascii="Times New Roman" w:hAnsi="Times New Roman" w:eastAsia="宋体" w:cs="Times New Roman"/>
          <w:sz w:val="18"/>
          <w:szCs w:val="18"/>
        </w:rPr>
      </w:pPr>
    </w:p>
    <w:p w14:paraId="1D2F399A">
      <w:pPr>
        <w:spacing w:line="440" w:lineRule="exact"/>
        <w:rPr>
          <w:rFonts w:ascii="Times New Roman" w:hAnsi="Times New Roman" w:eastAsia="宋体" w:cs="Times New Roman"/>
          <w:sz w:val="18"/>
          <w:szCs w:val="18"/>
        </w:rPr>
      </w:pPr>
    </w:p>
  </w:footnote>
  <w:footnote w:id="229">
    <w:p w14:paraId="63AE4708">
      <w:pPr>
        <w:pStyle w:val="12"/>
        <w:ind w:left="5250"/>
        <w:rPr>
          <w:rFonts w:ascii="Times New Roman" w:hAnsi="Times New Roman"/>
        </w:rPr>
      </w:pPr>
      <w:r>
        <w:rPr>
          <w:rStyle w:val="20"/>
          <w:rFonts w:hint="default" w:ascii="Times New Roman" w:hAnsi="Times New Roman" w:eastAsia="宋体"/>
        </w:rPr>
        <w:footnoteRef/>
      </w:r>
      <w:r>
        <w:rPr>
          <w:rFonts w:ascii="Times New Roman" w:hAnsi="Times New Roman"/>
        </w:rPr>
        <w:t xml:space="preserve"> </w:t>
      </w:r>
      <w:r>
        <w:rPr>
          <w:rFonts w:ascii="Times New Roman" w:hAnsi="Times New Roman"/>
          <w:position w:val="2"/>
        </w:rPr>
        <w:t>Sweezy</w:t>
      </w:r>
      <w:r>
        <w:rPr>
          <w:rFonts w:ascii="Times New Roman" w:hAnsi="Times New Roman"/>
          <w:spacing w:val="4"/>
          <w:position w:val="2"/>
        </w:rPr>
        <w:t xml:space="preserve">   </w:t>
      </w:r>
      <w:r>
        <w:rPr>
          <w:rFonts w:ascii="Times New Roman" w:hAnsi="Times New Roman"/>
          <w:position w:val="2"/>
        </w:rPr>
        <w:t>P</w:t>
      </w:r>
      <w:r>
        <w:rPr>
          <w:rFonts w:ascii="Times New Roman" w:hAnsi="Times New Roman"/>
          <w:spacing w:val="4"/>
          <w:position w:val="2"/>
        </w:rPr>
        <w:t>.</w:t>
      </w:r>
      <w:r>
        <w:rPr>
          <w:rFonts w:ascii="Times New Roman" w:hAnsi="Times New Roman"/>
          <w:position w:val="2"/>
        </w:rPr>
        <w:t>Hundred</w:t>
      </w:r>
      <w:r>
        <w:rPr>
          <w:rFonts w:ascii="Times New Roman" w:hAnsi="Times New Roman"/>
          <w:spacing w:val="4"/>
          <w:position w:val="2"/>
        </w:rPr>
        <w:t xml:space="preserve">   </w:t>
      </w:r>
      <w:r>
        <w:rPr>
          <w:rFonts w:ascii="Times New Roman" w:hAnsi="Times New Roman"/>
          <w:position w:val="2"/>
        </w:rPr>
        <w:t>Years</w:t>
      </w:r>
      <w:r>
        <w:rPr>
          <w:rFonts w:ascii="Times New Roman" w:hAnsi="Times New Roman"/>
          <w:spacing w:val="2"/>
          <w:position w:val="2"/>
        </w:rPr>
        <w:t xml:space="preserve"> </w:t>
      </w:r>
      <w:r>
        <w:rPr>
          <w:rFonts w:ascii="Times New Roman" w:hAnsi="Times New Roman"/>
          <w:position w:val="2"/>
        </w:rPr>
        <w:t>after</w:t>
      </w:r>
      <w:r>
        <w:rPr>
          <w:rFonts w:ascii="Times New Roman" w:hAnsi="Times New Roman"/>
          <w:spacing w:val="2"/>
          <w:position w:val="2"/>
        </w:rPr>
        <w:t xml:space="preserve"> </w:t>
      </w:r>
      <w:r>
        <w:rPr>
          <w:rFonts w:ascii="Times New Roman" w:hAnsi="Times New Roman"/>
          <w:position w:val="2"/>
        </w:rPr>
        <w:t>MarxMonthlyReview</w:t>
      </w:r>
      <w:r>
        <w:rPr>
          <w:rFonts w:ascii="Times New Roman" w:hAnsi="Times New Roman"/>
          <w:spacing w:val="2"/>
          <w:position w:val="2"/>
        </w:rPr>
        <w:t>,1983(3),</w:t>
      </w:r>
      <w:r>
        <w:rPr>
          <w:rFonts w:ascii="Times New Roman" w:hAnsi="Times New Roman"/>
          <w:position w:val="2"/>
        </w:rPr>
        <w:t>p</w:t>
      </w:r>
      <w:r>
        <w:rPr>
          <w:rFonts w:ascii="Times New Roman" w:hAnsi="Times New Roman"/>
          <w:spacing w:val="2"/>
          <w:position w:val="2"/>
        </w:rPr>
        <w:t>.32.</w:t>
      </w:r>
    </w:p>
  </w:footnote>
  <w:footnote w:id="230">
    <w:p w14:paraId="76711C14">
      <w:pPr>
        <w:pStyle w:val="12"/>
        <w:rPr>
          <w:rFonts w:ascii="Times New Roman" w:hAnsi="Times New Roman"/>
        </w:rPr>
      </w:pPr>
      <w:r>
        <w:rPr>
          <w:rStyle w:val="20"/>
          <w:rFonts w:hint="default" w:ascii="Times New Roman" w:hAnsi="Times New Roman" w:eastAsia="宋体"/>
        </w:rPr>
        <w:footnoteRef/>
      </w:r>
      <w:r>
        <w:rPr>
          <w:rFonts w:ascii="Times New Roman" w:hAnsi="Times New Roman"/>
        </w:rPr>
        <w:t xml:space="preserve"> </w:t>
      </w:r>
      <w:r>
        <w:rPr>
          <w:rFonts w:ascii="Times New Roman" w:hAnsi="Times New Roman"/>
          <w:spacing w:val="-17"/>
        </w:rPr>
        <w:t>张光照、张力上：《西方马克思主义经济学》,经济科学出版社 2001年版，第168 页</w:t>
      </w:r>
      <w:r>
        <w:rPr>
          <w:rFonts w:ascii="Times New Roman" w:hAnsi="Times New Roman"/>
          <w:spacing w:val="-15"/>
        </w:rPr>
        <w:t>。</w:t>
      </w:r>
    </w:p>
  </w:footnote>
  <w:footnote w:id="231">
    <w:p w14:paraId="395E5818">
      <w:pPr>
        <w:spacing w:before="21" w:line="216" w:lineRule="auto"/>
        <w:rPr>
          <w:rFonts w:ascii="Times New Roman" w:hAnsi="Times New Roman" w:eastAsia="宋体" w:cs="Times New Roman"/>
          <w:sz w:val="18"/>
          <w:szCs w:val="18"/>
        </w:rPr>
      </w:pPr>
      <w:r>
        <w:rPr>
          <w:rStyle w:val="20"/>
          <w:rFonts w:hint="default" w:ascii="Times New Roman" w:hAnsi="Times New Roman" w:eastAsia="宋体"/>
          <w:sz w:val="18"/>
          <w:szCs w:val="18"/>
        </w:rPr>
        <w:footnoteRef/>
      </w:r>
      <w:r>
        <w:rPr>
          <w:rFonts w:ascii="Times New Roman" w:hAnsi="Times New Roman" w:eastAsia="宋体" w:cs="Times New Roman"/>
          <w:sz w:val="18"/>
          <w:szCs w:val="18"/>
        </w:rPr>
        <w:t xml:space="preserve"> </w:t>
      </w:r>
      <w:r>
        <w:rPr>
          <w:rFonts w:ascii="Times New Roman" w:hAnsi="Times New Roman" w:eastAsia="宋体" w:cs="Times New Roman"/>
          <w:spacing w:val="-24"/>
          <w:sz w:val="18"/>
          <w:szCs w:val="18"/>
        </w:rPr>
        <w:t>霍</w:t>
      </w:r>
      <w:r>
        <w:rPr>
          <w:rFonts w:ascii="Times New Roman" w:hAnsi="Times New Roman" w:eastAsia="宋体" w:cs="Times New Roman"/>
          <w:spacing w:val="-23"/>
          <w:sz w:val="18"/>
          <w:szCs w:val="18"/>
        </w:rPr>
        <w:t>华</w:t>
      </w:r>
      <w:r>
        <w:rPr>
          <w:rFonts w:ascii="Times New Roman" w:hAnsi="Times New Roman" w:eastAsia="宋体" w:cs="Times New Roman"/>
          <w:spacing w:val="-12"/>
          <w:sz w:val="18"/>
          <w:szCs w:val="18"/>
        </w:rPr>
        <w:t>德 · 金：《马克思主义经济学史》,中央编译出版社2003年版，第6470  页。</w:t>
      </w:r>
    </w:p>
  </w:footnote>
  <w:footnote w:id="232">
    <w:p w14:paraId="7EB844B9">
      <w:pPr>
        <w:snapToGrid w:val="0"/>
        <w:spacing w:line="276" w:lineRule="auto"/>
        <w:jc w:val="left"/>
        <w:rPr>
          <w:rFonts w:ascii="Times New Roman" w:hAnsi="Times New Roman" w:eastAsia="宋体" w:cs="Times New Roman"/>
          <w:sz w:val="18"/>
          <w:szCs w:val="18"/>
        </w:rPr>
      </w:pPr>
      <w:r>
        <w:rPr>
          <w:rFonts w:ascii="Times New Roman" w:hAnsi="Times New Roman" w:eastAsia="宋体" w:cs="Times New Roman"/>
          <w:sz w:val="18"/>
          <w:szCs w:val="18"/>
        </w:rPr>
        <w:footnoteRef/>
      </w:r>
      <w:r>
        <w:rPr>
          <w:rFonts w:ascii="Times New Roman" w:hAnsi="Times New Roman" w:eastAsia="宋体" w:cs="Times New Roman"/>
          <w:sz w:val="18"/>
          <w:szCs w:val="18"/>
        </w:rPr>
        <w:t>我们有资格有条件形成自身的哲学社会科学体系[J].上海宣传通讯，2005(3):18.</w:t>
      </w:r>
    </w:p>
  </w:footnote>
  <w:footnote w:id="233">
    <w:p w14:paraId="3AAA927A">
      <w:pPr>
        <w:snapToGrid w:val="0"/>
        <w:spacing w:line="276" w:lineRule="auto"/>
        <w:jc w:val="left"/>
        <w:rPr>
          <w:rFonts w:ascii="Times New Roman" w:hAnsi="Times New Roman" w:eastAsia="宋体" w:cs="Times New Roman"/>
          <w:sz w:val="18"/>
          <w:szCs w:val="18"/>
        </w:rPr>
      </w:pPr>
      <w:r>
        <w:rPr>
          <w:rFonts w:ascii="Times New Roman" w:hAnsi="Times New Roman" w:eastAsia="宋体" w:cs="Times New Roman"/>
          <w:sz w:val="18"/>
          <w:szCs w:val="18"/>
        </w:rPr>
        <w:footnoteRef/>
      </w:r>
      <w:r>
        <w:rPr>
          <w:rFonts w:ascii="Times New Roman" w:hAnsi="Times New Roman" w:eastAsia="宋体" w:cs="Times New Roman"/>
          <w:sz w:val="18"/>
          <w:szCs w:val="18"/>
        </w:rPr>
        <w:t>马艳.中国马克思主义经济学的主流地位及其创新[J].上海财经大学学报，2005(1).</w:t>
      </w:r>
    </w:p>
  </w:footnote>
  <w:footnote w:id="234">
    <w:p w14:paraId="4A867B58">
      <w:pPr>
        <w:snapToGrid w:val="0"/>
        <w:spacing w:line="276" w:lineRule="auto"/>
        <w:jc w:val="left"/>
        <w:rPr>
          <w:rFonts w:ascii="Times New Roman" w:hAnsi="Times New Roman" w:eastAsia="宋体" w:cs="Times New Roman"/>
          <w:sz w:val="18"/>
          <w:szCs w:val="18"/>
        </w:rPr>
      </w:pPr>
      <w:r>
        <w:rPr>
          <w:rFonts w:ascii="Times New Roman" w:hAnsi="Times New Roman" w:eastAsia="宋体" w:cs="Times New Roman"/>
          <w:sz w:val="18"/>
          <w:szCs w:val="18"/>
        </w:rPr>
        <w:footnoteRef/>
      </w:r>
      <w:r>
        <w:rPr>
          <w:rFonts w:ascii="Times New Roman" w:hAnsi="Times New Roman" w:eastAsia="宋体" w:cs="Times New Roman"/>
          <w:sz w:val="18"/>
          <w:szCs w:val="18"/>
        </w:rPr>
        <w:t>程恩富.重建中国经济学:超越马克思与西方经济学[J].学术月刊，2000(2);经济理论研究[J].2004(1).</w:t>
      </w:r>
    </w:p>
  </w:footnote>
  <w:footnote w:id="235">
    <w:p w14:paraId="703E1438">
      <w:pPr>
        <w:snapToGrid w:val="0"/>
        <w:spacing w:line="276" w:lineRule="auto"/>
        <w:jc w:val="left"/>
        <w:rPr>
          <w:rFonts w:ascii="Times New Roman" w:hAnsi="Times New Roman" w:eastAsia="宋体" w:cs="Times New Roman"/>
          <w:sz w:val="18"/>
          <w:szCs w:val="18"/>
        </w:rPr>
      </w:pPr>
      <w:r>
        <w:rPr>
          <w:rFonts w:ascii="Times New Roman" w:hAnsi="Times New Roman" w:eastAsia="宋体" w:cs="Times New Roman"/>
          <w:sz w:val="18"/>
          <w:szCs w:val="18"/>
        </w:rPr>
        <w:footnoteRef/>
      </w:r>
      <w:r>
        <w:rPr>
          <w:rFonts w:ascii="Times New Roman" w:hAnsi="Times New Roman" w:eastAsia="宋体" w:cs="Times New Roman"/>
          <w:sz w:val="18"/>
          <w:szCs w:val="18"/>
        </w:rPr>
        <w:t>刘国光.中国经济学杰出贡献奖答辞[N].社会科学报，2005-04-21.</w:t>
      </w:r>
    </w:p>
  </w:footnote>
  <w:footnote w:id="236">
    <w:p w14:paraId="6B617E4F">
      <w:pPr>
        <w:snapToGrid w:val="0"/>
        <w:spacing w:line="276" w:lineRule="auto"/>
        <w:jc w:val="left"/>
        <w:rPr>
          <w:rFonts w:ascii="Times New Roman" w:hAnsi="Times New Roman" w:eastAsia="宋体" w:cs="Times New Roman"/>
          <w:sz w:val="18"/>
          <w:szCs w:val="18"/>
        </w:rPr>
      </w:pPr>
      <w:r>
        <w:rPr>
          <w:rFonts w:ascii="Times New Roman" w:hAnsi="Times New Roman" w:eastAsia="宋体" w:cs="Times New Roman"/>
          <w:sz w:val="18"/>
          <w:szCs w:val="18"/>
        </w:rPr>
        <w:footnoteRef/>
      </w:r>
      <w:r>
        <w:rPr>
          <w:rFonts w:ascii="Times New Roman" w:hAnsi="Times New Roman" w:eastAsia="宋体" w:cs="Times New Roman"/>
          <w:sz w:val="18"/>
          <w:szCs w:val="18"/>
        </w:rPr>
        <w:t>杨承训.中国经济学的发展方向[N].人民日报，2004-11-25.</w:t>
      </w:r>
    </w:p>
  </w:footnote>
  <w:footnote w:id="237">
    <w:p w14:paraId="507ACEC3">
      <w:pPr>
        <w:snapToGrid w:val="0"/>
        <w:spacing w:line="276" w:lineRule="auto"/>
        <w:jc w:val="left"/>
        <w:rPr>
          <w:rFonts w:ascii="Times New Roman" w:hAnsi="Times New Roman" w:eastAsia="宋体" w:cs="Times New Roman"/>
          <w:sz w:val="18"/>
          <w:szCs w:val="18"/>
        </w:rPr>
      </w:pPr>
      <w:r>
        <w:rPr>
          <w:rFonts w:ascii="Times New Roman" w:hAnsi="Times New Roman" w:eastAsia="宋体" w:cs="Times New Roman"/>
          <w:sz w:val="18"/>
          <w:szCs w:val="18"/>
        </w:rPr>
        <w:footnoteRef/>
      </w:r>
      <w:r>
        <w:rPr>
          <w:rFonts w:ascii="Times New Roman" w:hAnsi="Times New Roman" w:eastAsia="宋体" w:cs="Times New Roman"/>
          <w:sz w:val="18"/>
          <w:szCs w:val="18"/>
        </w:rPr>
        <w:t>程恩富.西方产权理论评析[M].北京:当代中国出版社，1997.</w:t>
      </w:r>
    </w:p>
  </w:footnote>
  <w:footnote w:id="238">
    <w:p w14:paraId="570F6FE1">
      <w:pPr>
        <w:snapToGrid w:val="0"/>
        <w:spacing w:line="276" w:lineRule="auto"/>
        <w:jc w:val="left"/>
        <w:rPr>
          <w:rFonts w:ascii="Times New Roman" w:hAnsi="Times New Roman" w:eastAsia="宋体" w:cs="Times New Roman"/>
          <w:sz w:val="18"/>
          <w:szCs w:val="18"/>
        </w:rPr>
      </w:pPr>
      <w:r>
        <w:rPr>
          <w:rFonts w:ascii="Times New Roman" w:hAnsi="Times New Roman" w:eastAsia="宋体" w:cs="Times New Roman"/>
          <w:sz w:val="18"/>
          <w:szCs w:val="18"/>
        </w:rPr>
        <w:footnoteRef/>
      </w:r>
      <w:r>
        <w:rPr>
          <w:rFonts w:ascii="Times New Roman" w:hAnsi="Times New Roman" w:eastAsia="宋体" w:cs="Times New Roman"/>
          <w:sz w:val="18"/>
          <w:szCs w:val="18"/>
        </w:rPr>
        <w:t>程恩富.新“经济人”论:海派经济学的一个基本假设[J].教学与研究，2003(11)</w:t>
      </w:r>
    </w:p>
  </w:footnote>
  <w:footnote w:id="239">
    <w:p w14:paraId="7D68B963">
      <w:pPr>
        <w:snapToGrid w:val="0"/>
        <w:rPr>
          <w:rFonts w:ascii="Times New Roman" w:hAnsi="Times New Roman" w:eastAsia="宋体" w:cs="Times New Roman"/>
          <w:sz w:val="18"/>
          <w:szCs w:val="18"/>
        </w:rPr>
      </w:pPr>
      <w:r>
        <w:rPr>
          <w:rFonts w:ascii="Times New Roman" w:hAnsi="Times New Roman" w:eastAsia="宋体" w:cs="Times New Roman"/>
          <w:sz w:val="18"/>
          <w:szCs w:val="18"/>
          <w:vertAlign w:val="superscript"/>
        </w:rPr>
        <w:footnoteRef/>
      </w:r>
      <w:r>
        <w:rPr>
          <w:rFonts w:ascii="Times New Roman" w:hAnsi="Times New Roman" w:eastAsia="宋体" w:cs="Times New Roman"/>
          <w:sz w:val="18"/>
          <w:szCs w:val="18"/>
        </w:rPr>
        <w:t xml:space="preserve"> 《马克思、恩格斯选集》第3 卷，人民出版社，1972 年，第318 页。</w:t>
      </w:r>
    </w:p>
  </w:footnote>
  <w:footnote w:id="240">
    <w:p w14:paraId="621FB864">
      <w:pPr>
        <w:pageBreakBefore w:val="0"/>
        <w:kinsoku/>
        <w:wordWrap/>
        <w:overflowPunct/>
        <w:topLinePunct w:val="0"/>
        <w:bidi w:val="0"/>
        <w:snapToGrid w:val="0"/>
        <w:spacing w:beforeAutospacing="0" w:afterAutospacing="0" w:line="240" w:lineRule="auto"/>
        <w:ind w:left="0"/>
        <w:textAlignment w:val="auto"/>
      </w:pPr>
      <w:r>
        <w:rPr>
          <w:rStyle w:val="20"/>
        </w:rPr>
        <w:footnoteRef/>
      </w:r>
      <w:r>
        <w:rPr>
          <w:rFonts w:hint="eastAsia" w:ascii="宋体" w:hAnsi="宋体" w:eastAsia="宋体" w:cs="宋体"/>
          <w:color w:val="231F20"/>
          <w:w w:val="105"/>
          <w:sz w:val="18"/>
          <w:szCs w:val="18"/>
        </w:rPr>
        <w:t>《经济研究资料》第50期(1979年3月28日),被收入会议文集《社会主义经济中计划与市场的关系》,中国社会科学出版社1980年版。</w:t>
      </w:r>
    </w:p>
  </w:footnote>
  <w:footnote w:id="241">
    <w:p w14:paraId="4AEC0254">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ascii="宋体" w:hAnsi="宋体" w:cs="宋体"/>
          <w:color w:val="231F20"/>
          <w:spacing w:val="5"/>
          <w:w w:val="105"/>
        </w:rPr>
        <w:t>座谈会中刘国光教授的发言题目为《对经济体制改革中几个重要问题的看法</w:t>
      </w:r>
      <w:r>
        <w:rPr>
          <w:rFonts w:hint="eastAsia" w:ascii="宋体" w:hAnsi="宋体" w:cs="宋体"/>
          <w:color w:val="231F20"/>
          <w:spacing w:val="-69"/>
          <w:w w:val="105"/>
        </w:rPr>
        <w:t>》</w:t>
      </w:r>
      <w:r>
        <w:rPr>
          <w:rFonts w:hint="eastAsia" w:ascii="宋体" w:hAnsi="宋体" w:cs="宋体"/>
          <w:color w:val="231F20"/>
          <w:spacing w:val="2"/>
          <w:w w:val="105"/>
        </w:rPr>
        <w:t>,</w:t>
      </w:r>
      <w:r>
        <w:rPr>
          <w:rFonts w:hint="eastAsia" w:ascii="宋体" w:hAnsi="宋体" w:cs="宋体"/>
          <w:color w:val="231F20"/>
          <w:spacing w:val="-14"/>
          <w:w w:val="105"/>
        </w:rPr>
        <w:t>载《经济管理》</w:t>
      </w:r>
      <w:r>
        <w:rPr>
          <w:rFonts w:hint="eastAsia" w:ascii="宋体" w:hAnsi="宋体" w:cs="宋体"/>
          <w:color w:val="231F20"/>
          <w:w w:val="105"/>
        </w:rPr>
        <w:t>1979</w:t>
      </w:r>
      <w:r>
        <w:rPr>
          <w:rFonts w:hint="eastAsia" w:ascii="宋体" w:hAnsi="宋体" w:cs="宋体"/>
          <w:color w:val="231F20"/>
          <w:spacing w:val="-7"/>
          <w:w w:val="105"/>
        </w:rPr>
        <w:t>年第</w:t>
      </w:r>
      <w:r>
        <w:rPr>
          <w:rFonts w:hint="eastAsia" w:ascii="宋体" w:hAnsi="宋体" w:cs="宋体"/>
          <w:color w:val="231F20"/>
          <w:w w:val="105"/>
        </w:rPr>
        <w:t>11</w:t>
      </w:r>
      <w:r>
        <w:rPr>
          <w:rFonts w:hint="eastAsia" w:ascii="宋体" w:hAnsi="宋体" w:cs="宋体"/>
          <w:color w:val="231F20"/>
          <w:spacing w:val="5"/>
          <w:w w:val="105"/>
        </w:rPr>
        <w:t>期。</w:t>
      </w:r>
    </w:p>
    <w:p w14:paraId="7F99CE37">
      <w:pPr>
        <w:pStyle w:val="12"/>
        <w:pageBreakBefore w:val="0"/>
        <w:kinsoku/>
        <w:wordWrap/>
        <w:overflowPunct/>
        <w:topLinePunct w:val="0"/>
        <w:bidi w:val="0"/>
        <w:spacing w:beforeAutospacing="0" w:afterAutospacing="0" w:line="240" w:lineRule="auto"/>
        <w:ind w:left="0"/>
        <w:textAlignment w:val="auto"/>
      </w:pPr>
    </w:p>
  </w:footnote>
  <w:footnote w:id="242">
    <w:p w14:paraId="6850D8F0">
      <w:pPr>
        <w:snapToGrid w:val="0"/>
        <w:spacing w:line="440" w:lineRule="exact"/>
        <w:jc w:val="left"/>
        <w:rPr>
          <w:rFonts w:ascii="Times New Roman" w:hAnsi="Times New Roman"/>
          <w:sz w:val="18"/>
          <w:szCs w:val="18"/>
        </w:rPr>
      </w:pPr>
      <w:r>
        <w:rPr>
          <w:sz w:val="18"/>
          <w:szCs w:val="18"/>
        </w:rPr>
        <w:footnoteRef/>
      </w:r>
      <w:r>
        <w:rPr>
          <w:rFonts w:hint="eastAsia" w:ascii="Times New Roman" w:hAnsi="Times New Roman"/>
          <w:sz w:val="18"/>
          <w:szCs w:val="18"/>
        </w:rPr>
        <w:t>马克思，恩格斯</w:t>
      </w:r>
      <w:r>
        <w:rPr>
          <w:rFonts w:ascii="Times New Roman" w:hAnsi="Times New Roman"/>
          <w:sz w:val="18"/>
          <w:szCs w:val="18"/>
        </w:rPr>
        <w:t>.</w:t>
      </w:r>
      <w:r>
        <w:rPr>
          <w:rFonts w:hint="eastAsia" w:ascii="Times New Roman" w:hAnsi="Times New Roman"/>
          <w:sz w:val="18"/>
          <w:szCs w:val="18"/>
        </w:rPr>
        <w:t>马克思恩格斯选集</w:t>
      </w:r>
      <w:r>
        <w:rPr>
          <w:rFonts w:ascii="Times New Roman" w:hAnsi="Times New Roman"/>
          <w:sz w:val="18"/>
          <w:szCs w:val="18"/>
        </w:rPr>
        <w:t>(</w:t>
      </w:r>
      <w:r>
        <w:rPr>
          <w:rFonts w:hint="eastAsia" w:ascii="Times New Roman" w:hAnsi="Times New Roman"/>
          <w:sz w:val="18"/>
          <w:szCs w:val="18"/>
        </w:rPr>
        <w:t>第</w:t>
      </w:r>
      <w:r>
        <w:rPr>
          <w:rFonts w:ascii="Times New Roman" w:hAnsi="Times New Roman"/>
          <w:sz w:val="18"/>
          <w:szCs w:val="18"/>
        </w:rPr>
        <w:t>3</w:t>
      </w:r>
      <w:r>
        <w:rPr>
          <w:rFonts w:hint="eastAsia" w:ascii="Times New Roman" w:hAnsi="Times New Roman"/>
          <w:sz w:val="18"/>
          <w:szCs w:val="18"/>
        </w:rPr>
        <w:t>卷</w:t>
      </w:r>
      <w:r>
        <w:rPr>
          <w:rFonts w:ascii="Times New Roman" w:hAnsi="Times New Roman"/>
          <w:sz w:val="18"/>
          <w:szCs w:val="18"/>
        </w:rPr>
        <w:t>)[M].</w:t>
      </w:r>
      <w:r>
        <w:rPr>
          <w:rFonts w:hint="eastAsia" w:ascii="Times New Roman" w:hAnsi="Times New Roman"/>
          <w:sz w:val="18"/>
          <w:szCs w:val="18"/>
        </w:rPr>
        <w:t>北京</w:t>
      </w:r>
      <w:r>
        <w:rPr>
          <w:rFonts w:ascii="Times New Roman" w:hAnsi="Times New Roman"/>
          <w:sz w:val="18"/>
          <w:szCs w:val="18"/>
        </w:rPr>
        <w:t>:</w:t>
      </w:r>
      <w:r>
        <w:rPr>
          <w:rFonts w:hint="eastAsia" w:ascii="Times New Roman" w:hAnsi="Times New Roman"/>
          <w:sz w:val="18"/>
          <w:szCs w:val="18"/>
        </w:rPr>
        <w:t>人民出版社，</w:t>
      </w:r>
      <w:r>
        <w:rPr>
          <w:rFonts w:ascii="Times New Roman" w:hAnsi="Times New Roman"/>
          <w:sz w:val="18"/>
          <w:szCs w:val="18"/>
        </w:rPr>
        <w:t>1995</w:t>
      </w:r>
      <w:r>
        <w:rPr>
          <w:rFonts w:hint="eastAsia" w:ascii="Times New Roman" w:hAnsi="Times New Roman"/>
          <w:sz w:val="18"/>
          <w:szCs w:val="18"/>
        </w:rPr>
        <w:t>年：</w:t>
      </w:r>
      <w:r>
        <w:rPr>
          <w:rFonts w:ascii="Times New Roman" w:hAnsi="Times New Roman"/>
          <w:sz w:val="18"/>
          <w:szCs w:val="18"/>
        </w:rPr>
        <w:t>325.</w:t>
      </w:r>
    </w:p>
  </w:footnote>
  <w:footnote w:id="243">
    <w:p w14:paraId="48CBDA8F">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sz w:val="21"/>
          <w:szCs w:val="21"/>
        </w:rPr>
        <w:t>Ellen Frank， The Surprising Resilience of the U.S. Dollar， Review of Radical Political Economics， Summer 2003， p.250.</w:t>
      </w:r>
    </w:p>
  </w:footnote>
  <w:footnote w:id="244">
    <w:p w14:paraId="6FAF11B7">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于同申：《国际美元本位及其对世界经济的影响》，载《教学与研究》，2002 年第12 期。</w:t>
      </w:r>
    </w:p>
  </w:footnote>
  <w:footnote w:id="245">
    <w:p w14:paraId="6B002F08">
      <w:pPr>
        <w:pageBreakBefore w:val="0"/>
        <w:kinsoku/>
        <w:wordWrap/>
        <w:overflowPunct/>
        <w:topLinePunct w:val="0"/>
        <w:bidi w:val="0"/>
        <w:spacing w:beforeAutospacing="0" w:afterAutospacing="0" w:line="240" w:lineRule="auto"/>
        <w:ind w:left="0"/>
        <w:textAlignment w:val="auto"/>
      </w:pPr>
      <w:r>
        <w:rPr>
          <w:rStyle w:val="20"/>
        </w:rPr>
        <w:footnoteRef/>
      </w:r>
      <w:r>
        <w:rPr>
          <w:rFonts w:hint="eastAsia"/>
          <w:szCs w:val="21"/>
        </w:rPr>
        <w:t>伴随拉美众多国家的金融危机、债务危机和国内恶性通货膨胀以及国内重要行业被美国跨国公司所垄断，其本国货币急剧贬值，不仅跨国公司而且本国居民也更喜欢使用美元进行交易、结算和储备，因而美元同本币一样成为拉美许多国家的法定流通货币。</w:t>
      </w:r>
    </w:p>
  </w:footnote>
  <w:footnote w:id="246">
    <w:p w14:paraId="735C199E">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宋芳秀、李庆云：《美元国际铸币税为美国带来的收益和风险分析》，载《国际经济评论》，2006 年第7-8 期。</w:t>
      </w:r>
    </w:p>
  </w:footnote>
  <w:footnote w:id="247">
    <w:p w14:paraId="002D1D6F">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随着离岸美元市场的发展，如欧洲美元市场和金融市场货币乘数的作用，在美国之外做“体外循环”的美元数量远远大于美国发行的基础货币量在国外流通的部分，并且这部分美元流通不受美国政府的控制和管理。</w:t>
      </w:r>
    </w:p>
  </w:footnote>
  <w:footnote w:id="248">
    <w:p w14:paraId="59EF0C66">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曹勇：《国际铸币税的分配、计算与启示》，载《华南金融研究》，2002 年第5 期。</w:t>
      </w:r>
    </w:p>
  </w:footnote>
  <w:footnote w:id="249">
    <w:p w14:paraId="7C973B0C">
      <w:pPr>
        <w:pageBreakBefore w:val="0"/>
        <w:kinsoku/>
        <w:wordWrap/>
        <w:overflowPunct/>
        <w:topLinePunct w:val="0"/>
        <w:bidi w:val="0"/>
        <w:spacing w:beforeAutospacing="0" w:afterAutospacing="0" w:line="240" w:lineRule="auto"/>
        <w:ind w:left="0"/>
        <w:textAlignment w:val="auto"/>
        <w:rPr>
          <w:szCs w:val="21"/>
        </w:rPr>
      </w:pPr>
      <w:r>
        <w:rPr>
          <w:rStyle w:val="20"/>
        </w:rPr>
        <w:footnoteRef/>
      </w:r>
      <w:r>
        <w:rPr>
          <w:rFonts w:hint="eastAsia"/>
          <w:szCs w:val="21"/>
        </w:rPr>
        <w:t>计算过程为：31646 亿×70%×（10%－3%）＝1551 亿</w:t>
      </w:r>
    </w:p>
    <w:p w14:paraId="0B3A180D">
      <w:pPr>
        <w:pStyle w:val="12"/>
        <w:pageBreakBefore w:val="0"/>
        <w:kinsoku/>
        <w:wordWrap/>
        <w:overflowPunct/>
        <w:topLinePunct w:val="0"/>
        <w:bidi w:val="0"/>
        <w:spacing w:beforeAutospacing="0" w:afterAutospacing="0" w:line="240" w:lineRule="auto"/>
        <w:ind w:left="0"/>
        <w:textAlignment w:val="auto"/>
      </w:pPr>
    </w:p>
  </w:footnote>
  <w:footnote w:id="250">
    <w:p w14:paraId="3461C4D3">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ascii="宋体" w:cs="宋体"/>
          <w:kern w:val="0"/>
          <w:sz w:val="15"/>
          <w:szCs w:val="15"/>
        </w:rPr>
        <w:t>如果不同年份《国际统计年鉴》对同一年份的统计数字不一致时，以最新年份的统计数字为准。</w:t>
      </w:r>
    </w:p>
  </w:footnote>
  <w:footnote w:id="251">
    <w:p w14:paraId="006406D4">
      <w:pPr>
        <w:pageBreakBefore w:val="0"/>
        <w:widowControl/>
        <w:kinsoku/>
        <w:wordWrap/>
        <w:overflowPunct/>
        <w:topLinePunct w:val="0"/>
        <w:autoSpaceDE w:val="0"/>
        <w:autoSpaceDN w:val="0"/>
        <w:bidi w:val="0"/>
        <w:adjustRightInd w:val="0"/>
        <w:spacing w:beforeAutospacing="0" w:afterAutospacing="0" w:line="240" w:lineRule="auto"/>
        <w:ind w:left="0"/>
        <w:jc w:val="left"/>
        <w:textAlignment w:val="auto"/>
      </w:pPr>
      <w:r>
        <w:rPr>
          <w:rStyle w:val="20"/>
        </w:rPr>
        <w:footnoteRef/>
      </w:r>
      <w:r>
        <w:rPr>
          <w:rFonts w:hint="eastAsia" w:ascii="宋体" w:cs="宋体"/>
          <w:kern w:val="0"/>
          <w:sz w:val="15"/>
          <w:szCs w:val="15"/>
        </w:rPr>
        <w:t>美国利用国外提供的融资进行国内外投资获取的利润率远高于国外从美国获取的金融资产的利息率，因此，这部分国际债务对美国来说，并不是显性的负担。</w:t>
      </w:r>
    </w:p>
  </w:footnote>
  <w:footnote w:id="252">
    <w:p w14:paraId="7CDACC63">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ascii="宋体" w:cs="宋体"/>
          <w:kern w:val="0"/>
          <w:sz w:val="15"/>
          <w:szCs w:val="15"/>
        </w:rPr>
        <w:t>计算公式为：（</w:t>
      </w:r>
      <w:r>
        <w:rPr>
          <w:rFonts w:ascii="TimesNewRomanPSMT" w:hAnsi="TimesNewRomanPSMT" w:cs="TimesNewRomanPSMT"/>
          <w:kern w:val="0"/>
          <w:sz w:val="15"/>
          <w:szCs w:val="15"/>
        </w:rPr>
        <w:t>1/272.67</w:t>
      </w:r>
      <w:r>
        <w:rPr>
          <w:rFonts w:hint="eastAsia" w:ascii="宋体" w:cs="宋体"/>
          <w:kern w:val="0"/>
          <w:sz w:val="15"/>
          <w:szCs w:val="15"/>
        </w:rPr>
        <w:t>－</w:t>
      </w:r>
      <w:r>
        <w:rPr>
          <w:rFonts w:ascii="TimesNewRomanPSMT" w:hAnsi="TimesNewRomanPSMT" w:cs="TimesNewRomanPSMT"/>
          <w:kern w:val="0"/>
          <w:sz w:val="15"/>
          <w:szCs w:val="15"/>
        </w:rPr>
        <w:t>1/35.00</w:t>
      </w:r>
      <w:r>
        <w:rPr>
          <w:rFonts w:hint="eastAsia" w:ascii="宋体" w:cs="宋体"/>
          <w:kern w:val="0"/>
          <w:sz w:val="15"/>
          <w:szCs w:val="15"/>
        </w:rPr>
        <w:t>）</w:t>
      </w:r>
      <w:r>
        <w:rPr>
          <w:rFonts w:ascii="TimesNewRomanPSMT" w:hAnsi="TimesNewRomanPSMT" w:cs="TimesNewRomanPSMT"/>
          <w:kern w:val="0"/>
          <w:sz w:val="15"/>
          <w:szCs w:val="15"/>
        </w:rPr>
        <w:t>/</w:t>
      </w:r>
      <w:r>
        <w:rPr>
          <w:rFonts w:hint="eastAsia" w:ascii="宋体" w:cs="宋体"/>
          <w:kern w:val="0"/>
          <w:sz w:val="15"/>
          <w:szCs w:val="15"/>
        </w:rPr>
        <w:t>（</w:t>
      </w:r>
      <w:r>
        <w:rPr>
          <w:rFonts w:ascii="TimesNewRomanPSMT" w:hAnsi="TimesNewRomanPSMT" w:cs="TimesNewRomanPSMT"/>
          <w:kern w:val="0"/>
          <w:sz w:val="15"/>
          <w:szCs w:val="15"/>
        </w:rPr>
        <w:t>1/35.00</w:t>
      </w:r>
      <w:r>
        <w:rPr>
          <w:rFonts w:hint="eastAsia" w:ascii="宋体" w:cs="宋体"/>
          <w:kern w:val="0"/>
          <w:sz w:val="15"/>
          <w:szCs w:val="15"/>
        </w:rPr>
        <w:t>）＝</w:t>
      </w:r>
      <w:r>
        <w:rPr>
          <w:rFonts w:ascii="TimesNewRomanPSMT" w:hAnsi="TimesNewRomanPSMT" w:cs="TimesNewRomanPSMT"/>
          <w:kern w:val="0"/>
          <w:sz w:val="15"/>
          <w:szCs w:val="15"/>
        </w:rPr>
        <w:t>87%</w:t>
      </w:r>
    </w:p>
  </w:footnote>
  <w:footnote w:id="253">
    <w:p w14:paraId="200ADCD5">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szCs w:val="21"/>
        </w:rPr>
        <w:t>Brain W. Cashell： The Federal Government Debt： Its Size and Economic Significance， tp：//ifs.apdi.net/imf/logon.aspx</w:t>
      </w:r>
    </w:p>
  </w:footnote>
  <w:footnote w:id="254">
    <w:p w14:paraId="51365DFB">
      <w:pPr>
        <w:pageBreakBefore w:val="0"/>
        <w:kinsoku/>
        <w:wordWrap/>
        <w:overflowPunct/>
        <w:topLinePunct w:val="0"/>
        <w:bidi w:val="0"/>
        <w:spacing w:beforeAutospacing="0" w:afterAutospacing="0" w:line="240" w:lineRule="auto"/>
        <w:ind w:left="0"/>
        <w:textAlignment w:val="auto"/>
        <w:rPr>
          <w:szCs w:val="21"/>
        </w:rPr>
      </w:pPr>
      <w:r>
        <w:rPr>
          <w:rStyle w:val="20"/>
        </w:rPr>
        <w:footnoteRef/>
      </w:r>
      <w:r>
        <w:t xml:space="preserve"> </w:t>
      </w:r>
      <w:r>
        <w:rPr>
          <w:rFonts w:hint="eastAsia"/>
          <w:szCs w:val="21"/>
        </w:rPr>
        <w:t>2005 年全年我国对美国进口总额为4862 亿美元，参见国家统计局：《2006 年中国统计年鉴》，中国统计出版社，2006 年版，第743页。</w:t>
      </w:r>
    </w:p>
    <w:p w14:paraId="0B8BE1AF">
      <w:pPr>
        <w:pStyle w:val="12"/>
        <w:pageBreakBefore w:val="0"/>
        <w:kinsoku/>
        <w:wordWrap/>
        <w:overflowPunct/>
        <w:topLinePunct w:val="0"/>
        <w:bidi w:val="0"/>
        <w:spacing w:beforeAutospacing="0" w:afterAutospacing="0" w:line="240" w:lineRule="auto"/>
        <w:ind w:left="0"/>
        <w:textAlignment w:val="auto"/>
      </w:pPr>
    </w:p>
  </w:footnote>
  <w:footnote w:id="255">
    <w:p w14:paraId="2DF756C5">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参见程恩富《倡导“新的活劳动价值一元论”》，《光明日报》2001年7月17日。</w:t>
      </w:r>
    </w:p>
  </w:footnote>
  <w:footnote w:id="256">
    <w:p w14:paraId="0E246887">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参见程恩富《新的活劳动价值一元论》，《当代经济研究》2001年第11期。</w:t>
      </w:r>
    </w:p>
  </w:footnote>
  <w:footnote w:id="257">
    <w:p w14:paraId="64F66DF6">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这是马克思没否认而未强调的论断，参见程恩富《生产性管理活动都是创造价值的生产劳动》，《社会科学》1995年第7期、《经济管理活动创造价值吗》，《人民日报》2000年12月14日。</w:t>
      </w:r>
    </w:p>
  </w:footnote>
  <w:footnote w:id="258">
    <w:p w14:paraId="43782776">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需要突破马克思关于劳动生产率提高而价值量不变的假设与论断，确立科技等劳动的复杂性和熟练性的提高所导致的劳动生产率，一般会增大商品价值量这一新观点。详见马艳、程恩富《马克思“商品价值量与劳动生产率变动规律”新探》，《财经研究》2002年第10期。</w:t>
      </w:r>
    </w:p>
  </w:footnote>
  <w:footnote w:id="259">
    <w:p w14:paraId="7AC0EF37">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参见《马克思恩格斯全集》第25卷第51章</w:t>
      </w:r>
      <w:r>
        <w:rPr>
          <w:rFonts w:hint="eastAsia"/>
          <w:szCs w:val="21"/>
        </w:rPr>
        <w:t>（</w:t>
      </w:r>
      <w:r>
        <w:rPr>
          <w:rFonts w:hint="eastAsia"/>
          <w:sz w:val="21"/>
          <w:szCs w:val="21"/>
        </w:rPr>
        <w:t>人民出版社，1972年</w:t>
      </w:r>
      <w:r>
        <w:rPr>
          <w:rFonts w:hint="eastAsia"/>
          <w:szCs w:val="21"/>
        </w:rPr>
        <w:t>）</w:t>
      </w:r>
      <w:r>
        <w:rPr>
          <w:rFonts w:hint="eastAsia"/>
          <w:sz w:val="21"/>
          <w:szCs w:val="21"/>
        </w:rPr>
        <w:t>。</w:t>
      </w:r>
    </w:p>
  </w:footnote>
  <w:footnote w:id="260">
    <w:p w14:paraId="3CB02F05">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所有权与产权在广义上可以相等。详见程恩富《西方产权理论评析》</w:t>
      </w:r>
      <w:r>
        <w:rPr>
          <w:rFonts w:hint="eastAsia"/>
          <w:szCs w:val="21"/>
        </w:rPr>
        <w:t>（</w:t>
      </w:r>
      <w:r>
        <w:rPr>
          <w:rFonts w:hint="eastAsia"/>
          <w:sz w:val="21"/>
          <w:szCs w:val="21"/>
        </w:rPr>
        <w:t>当代中国出版社，1997年</w:t>
      </w:r>
      <w:r>
        <w:rPr>
          <w:rFonts w:hint="eastAsia"/>
          <w:szCs w:val="21"/>
        </w:rPr>
        <w:t>）</w:t>
      </w:r>
      <w:r>
        <w:rPr>
          <w:rFonts w:hint="eastAsia"/>
          <w:sz w:val="21"/>
          <w:szCs w:val="21"/>
        </w:rPr>
        <w:t>第74—76页。</w:t>
      </w:r>
    </w:p>
  </w:footnote>
  <w:footnote w:id="261">
    <w:p w14:paraId="4A5D61DA">
      <w:pPr>
        <w:pageBreakBefore w:val="0"/>
        <w:kinsoku/>
        <w:wordWrap/>
        <w:overflowPunct/>
        <w:topLinePunct w:val="0"/>
        <w:bidi w:val="0"/>
        <w:spacing w:beforeAutospacing="0" w:afterAutospacing="0" w:line="240" w:lineRule="auto"/>
        <w:ind w:left="0"/>
        <w:textAlignment w:val="auto"/>
      </w:pPr>
      <w:r>
        <w:rPr>
          <w:rStyle w:val="20"/>
        </w:rPr>
        <w:footnoteRef/>
      </w:r>
      <w:r>
        <w:rPr>
          <w:rFonts w:hint="eastAsia"/>
          <w:szCs w:val="21"/>
        </w:rPr>
        <w:t>以美国工人为例，1992年工会化雇员得到的平均周工资要比非工会化雇员高35%，而对所有行业的蓝领工人来说，这个比例达70%，但没有证据显示工会化的企业劳动生产率要高于非工会化企业。见毛增余主编《与中国著名经济学家对话——顾海良、王振中、林岗、程恩富》第5辑（中国经济出版社，2003年）</w:t>
      </w:r>
    </w:p>
  </w:footnote>
  <w:footnote w:id="262">
    <w:p w14:paraId="6027A825">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休谟：《人性论》下册，商务印书馆，1997年，第527页。</w:t>
      </w:r>
    </w:p>
  </w:footnote>
  <w:footnote w:id="263">
    <w:p w14:paraId="5158649B">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米塞斯：《经济学的认识论问题》，经济科学出版社，2001年，第26页。</w:t>
      </w:r>
    </w:p>
  </w:footnote>
  <w:footnote w:id="264">
    <w:p w14:paraId="2D42A8A5">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杜威：《新旧个人主义》，《杜威文选》，上海社会科学院出版社，1997年，第125页。</w:t>
      </w:r>
    </w:p>
  </w:footnote>
  <w:footnote w:id="265">
    <w:p w14:paraId="6994210D">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转引自程恩富《西方产权理论评析》，第151页。</w:t>
      </w:r>
    </w:p>
  </w:footnote>
  <w:footnote w:id="266">
    <w:p w14:paraId="2BAE9906">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劳伦斯·A·博兰：《批判的经济学方法论》，经济科学出版社，2000年，第229—230页。</w:t>
      </w:r>
    </w:p>
  </w:footnote>
  <w:footnote w:id="267">
    <w:p w14:paraId="445A56E6">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转引自杨春学《经济人与社会秩序分析》，上海三联书店、上海人民出版社，1998年，第175页。</w:t>
      </w:r>
    </w:p>
  </w:footnote>
  <w:footnote w:id="268">
    <w:p w14:paraId="3000671B">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1"/>
          <w:szCs w:val="21"/>
        </w:rPr>
        <w:t>转引自程恩富《西方产权理论评析》，第158页。</w:t>
      </w:r>
    </w:p>
  </w:footnote>
  <w:footnote w:id="269">
    <w:p w14:paraId="07284EDC">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Cs w:val="21"/>
        </w:rPr>
        <w:t>摩尔根：《印第安人的房屋建筑与家庭生活》，文物出版社，1992年，第86、99页。</w:t>
      </w:r>
    </w:p>
  </w:footnote>
  <w:footnote w:id="270">
    <w:p w14:paraId="464DA61B">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szCs w:val="21"/>
        </w:rPr>
        <w:t>《马克思恩格斯全集》第4卷，人民出版社，1958年，第151页。</w:t>
      </w:r>
    </w:p>
  </w:footnote>
  <w:footnote w:id="271">
    <w:p w14:paraId="2EE9E190">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Cs w:val="21"/>
        </w:rPr>
        <w:t>参见王东京《澄清经济学的三大问题》，《中国改革》2006年第9期。</w:t>
      </w:r>
    </w:p>
  </w:footnote>
  <w:footnote w:id="272">
    <w:p w14:paraId="1586F670">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Cs w:val="21"/>
        </w:rPr>
        <w:t>详见科斯《论生产的制度结构》（上海三联书店，1994年）；诺思《制度、制度变迁与经济绩效》（上海三联书店，1994年）。</w:t>
      </w:r>
    </w:p>
  </w:footnote>
  <w:footnote w:id="273">
    <w:p w14:paraId="3717BE4B">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Cs w:val="21"/>
        </w:rPr>
        <w:t>参见周肇光《关于资源有限与需要无限假设的理性分析》，《经济问题》2004年第2期。</w:t>
      </w:r>
    </w:p>
  </w:footnote>
  <w:footnote w:id="274">
    <w:p w14:paraId="51B75046">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Cs w:val="21"/>
        </w:rPr>
        <w:t>参见倪力亚《当代资本主义国家的社会阶级结构》（福建人民出版社，1993年）以及《经济日报》1995年5月11日、12月27日。</w:t>
      </w:r>
    </w:p>
  </w:footnote>
  <w:footnote w:id="275">
    <w:p w14:paraId="421C0E87">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szCs w:val="21"/>
        </w:rPr>
        <w:t>《国际金融报》2006年8月31日。</w:t>
      </w:r>
    </w:p>
  </w:footnote>
  <w:footnote w:id="276">
    <w:p w14:paraId="638EF79F">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Cs w:val="21"/>
        </w:rPr>
        <w:t>萨缪尔森、诺德豪斯：《经济学》，中国发展出版社，1992年，第1252—1253页。</w:t>
      </w:r>
    </w:p>
  </w:footnote>
  <w:footnote w:id="277">
    <w:p w14:paraId="0924C245">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Cs w:val="21"/>
        </w:rPr>
        <w:t>费希尔、唐布什：《经济学》下册，中国财政经济出版社，1989年，第586页。</w:t>
      </w:r>
    </w:p>
  </w:footnote>
  <w:footnote w:id="278">
    <w:p w14:paraId="5FB3C050">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szCs w:val="21"/>
        </w:rPr>
        <w:t>凯斯、费尔：《经济学原理》下册，中国人民大学出版社，1994年，第693—695页。</w:t>
      </w:r>
    </w:p>
  </w:footnote>
  <w:footnote w:id="279">
    <w:p w14:paraId="7F39B877">
      <w:pPr>
        <w:pStyle w:val="12"/>
        <w:spacing w:line="240" w:lineRule="exact"/>
      </w:pPr>
      <w:r>
        <w:rPr>
          <w:rStyle w:val="20"/>
          <w:rFonts w:hint="default"/>
        </w:rPr>
        <w:footnoteRef/>
      </w:r>
      <w:r>
        <w:t xml:space="preserve"> </w:t>
      </w:r>
      <w:r>
        <w:rPr>
          <w:rFonts w:hint="eastAsia"/>
        </w:rPr>
        <w:t>《邓小平文选》第2卷，人民出版社，1994年，第143页。</w:t>
      </w:r>
    </w:p>
  </w:footnote>
  <w:footnote w:id="280">
    <w:p w14:paraId="21D705A4">
      <w:pPr>
        <w:pStyle w:val="12"/>
        <w:rPr>
          <w:rFonts w:ascii="宋体" w:hAnsi="宋体"/>
        </w:rPr>
      </w:pPr>
      <w:r>
        <w:rPr>
          <w:rStyle w:val="20"/>
          <w:rFonts w:hint="default" w:ascii="宋体" w:hAnsi="宋体"/>
        </w:rPr>
        <w:footnoteRef/>
      </w:r>
      <w:r>
        <w:rPr>
          <w:rFonts w:hint="eastAsia" w:ascii="宋体" w:hAnsi="宋体" w:cs="宋体"/>
        </w:rPr>
        <w:t>斯密</w:t>
      </w:r>
      <w:r>
        <w:rPr>
          <w:rFonts w:ascii="宋体" w:hAnsi="宋体"/>
        </w:rPr>
        <w:t>.</w:t>
      </w:r>
      <w:r>
        <w:rPr>
          <w:rFonts w:hint="eastAsia" w:ascii="宋体" w:hAnsi="宋体" w:cs="宋体"/>
        </w:rPr>
        <w:t>国民财富的性质及原因的研究</w:t>
      </w:r>
      <w:r>
        <w:rPr>
          <w:rFonts w:ascii="宋体" w:hAnsi="宋体"/>
        </w:rPr>
        <w:t>[M].</w:t>
      </w:r>
      <w:r>
        <w:rPr>
          <w:rFonts w:hint="eastAsia" w:ascii="宋体" w:hAnsi="宋体" w:cs="宋体"/>
        </w:rPr>
        <w:t>上册</w:t>
      </w:r>
      <w:r>
        <w:rPr>
          <w:rFonts w:ascii="宋体" w:hAnsi="宋体"/>
        </w:rPr>
        <w:t>.</w:t>
      </w:r>
      <w:r>
        <w:rPr>
          <w:rFonts w:hint="eastAsia" w:ascii="宋体" w:hAnsi="宋体" w:cs="宋体"/>
        </w:rPr>
        <w:t>北京：商务印书馆</w:t>
      </w:r>
      <w:r>
        <w:rPr>
          <w:rFonts w:ascii="宋体" w:hAnsi="宋体"/>
        </w:rPr>
        <w:t>,1974,13.</w:t>
      </w:r>
    </w:p>
  </w:footnote>
  <w:footnote w:id="281">
    <w:p w14:paraId="6C96A92B">
      <w:pPr>
        <w:pStyle w:val="12"/>
        <w:rPr>
          <w:rFonts w:ascii="宋体" w:hAnsi="宋体"/>
        </w:rPr>
      </w:pPr>
      <w:r>
        <w:rPr>
          <w:rStyle w:val="20"/>
          <w:rFonts w:hint="default" w:ascii="宋体" w:hAnsi="宋体"/>
        </w:rPr>
        <w:footnoteRef/>
      </w:r>
      <w:r>
        <w:rPr>
          <w:rFonts w:hint="eastAsia" w:ascii="宋体" w:hAnsi="宋体" w:cs="宋体"/>
        </w:rPr>
        <w:t>斯密</w:t>
      </w:r>
      <w:r>
        <w:rPr>
          <w:rFonts w:ascii="宋体" w:hAnsi="宋体"/>
        </w:rPr>
        <w:t>.</w:t>
      </w:r>
      <w:r>
        <w:rPr>
          <w:rFonts w:hint="eastAsia" w:ascii="宋体" w:hAnsi="宋体" w:cs="宋体"/>
        </w:rPr>
        <w:t>国民财富的性质及原因的研究</w:t>
      </w:r>
      <w:r>
        <w:rPr>
          <w:rFonts w:ascii="宋体" w:hAnsi="宋体"/>
        </w:rPr>
        <w:t>[M].</w:t>
      </w:r>
      <w:r>
        <w:rPr>
          <w:rFonts w:hint="eastAsia" w:ascii="宋体" w:hAnsi="宋体" w:cs="宋体"/>
        </w:rPr>
        <w:t>上册</w:t>
      </w:r>
      <w:r>
        <w:rPr>
          <w:rFonts w:ascii="宋体" w:hAnsi="宋体"/>
        </w:rPr>
        <w:t>.</w:t>
      </w:r>
      <w:r>
        <w:rPr>
          <w:rFonts w:hint="eastAsia" w:ascii="宋体" w:hAnsi="宋体" w:cs="宋体"/>
        </w:rPr>
        <w:t>北京：商务印书馆</w:t>
      </w:r>
      <w:r>
        <w:rPr>
          <w:rFonts w:ascii="宋体" w:hAnsi="宋体"/>
        </w:rPr>
        <w:t>,1974,14</w:t>
      </w:r>
    </w:p>
  </w:footnote>
  <w:footnote w:id="282">
    <w:p w14:paraId="5072A1BB">
      <w:pPr>
        <w:pStyle w:val="12"/>
        <w:rPr>
          <w:rFonts w:ascii="宋体" w:hAnsi="宋体"/>
        </w:rPr>
      </w:pPr>
      <w:r>
        <w:rPr>
          <w:rStyle w:val="20"/>
          <w:rFonts w:hint="default" w:ascii="宋体" w:hAnsi="宋体"/>
        </w:rPr>
        <w:footnoteRef/>
      </w:r>
      <w:r>
        <w:rPr>
          <w:rFonts w:hint="eastAsia" w:ascii="宋体" w:hAnsi="宋体" w:cs="宋体"/>
        </w:rPr>
        <w:t>斯密</w:t>
      </w:r>
      <w:r>
        <w:rPr>
          <w:rFonts w:ascii="宋体" w:hAnsi="宋体"/>
        </w:rPr>
        <w:t>.</w:t>
      </w:r>
      <w:r>
        <w:rPr>
          <w:rFonts w:hint="eastAsia" w:ascii="宋体" w:hAnsi="宋体" w:cs="宋体"/>
        </w:rPr>
        <w:t>国民财富的性质及原因的研究</w:t>
      </w:r>
      <w:r>
        <w:rPr>
          <w:rFonts w:ascii="宋体" w:hAnsi="宋体"/>
        </w:rPr>
        <w:t>[M].</w:t>
      </w:r>
      <w:r>
        <w:rPr>
          <w:rFonts w:hint="eastAsia" w:ascii="宋体" w:hAnsi="宋体" w:cs="宋体"/>
        </w:rPr>
        <w:t>上册</w:t>
      </w:r>
      <w:r>
        <w:rPr>
          <w:rFonts w:ascii="宋体" w:hAnsi="宋体"/>
        </w:rPr>
        <w:t>.</w:t>
      </w:r>
      <w:r>
        <w:rPr>
          <w:rFonts w:hint="eastAsia" w:ascii="宋体" w:hAnsi="宋体" w:cs="宋体"/>
        </w:rPr>
        <w:t>北京：商务印书馆</w:t>
      </w:r>
      <w:r>
        <w:rPr>
          <w:rFonts w:ascii="宋体" w:hAnsi="宋体"/>
        </w:rPr>
        <w:t>,1974,27</w:t>
      </w:r>
    </w:p>
  </w:footnote>
  <w:footnote w:id="283">
    <w:p w14:paraId="061CFF0F">
      <w:pPr>
        <w:pStyle w:val="27"/>
        <w:tabs>
          <w:tab w:val="left" w:pos="618"/>
        </w:tabs>
        <w:spacing w:after="220" w:line="240" w:lineRule="auto"/>
        <w:ind w:left="0" w:firstLine="0"/>
        <w:jc w:val="both"/>
        <w:rPr>
          <w:rFonts w:hint="default"/>
          <w:sz w:val="18"/>
          <w:szCs w:val="18"/>
        </w:rPr>
      </w:pPr>
      <w:r>
        <w:rPr>
          <w:rStyle w:val="20"/>
          <w:sz w:val="18"/>
          <w:szCs w:val="18"/>
        </w:rPr>
        <w:footnoteRef/>
      </w:r>
      <w:r>
        <w:rPr>
          <w:sz w:val="18"/>
          <w:szCs w:val="18"/>
        </w:rPr>
        <w:t>西尼尔.政治经济学大纲</w:t>
      </w:r>
      <w:r>
        <w:rPr>
          <w:sz w:val="18"/>
          <w:szCs w:val="18"/>
          <w:lang w:val="en-US" w:eastAsia="zh-CN" w:bidi="en-US"/>
        </w:rPr>
        <w:t>[M].</w:t>
      </w:r>
      <w:r>
        <w:rPr>
          <w:sz w:val="18"/>
          <w:szCs w:val="18"/>
        </w:rPr>
        <w:t>北京：商务印书馆</w:t>
      </w:r>
      <w:r>
        <w:rPr>
          <w:sz w:val="18"/>
          <w:szCs w:val="18"/>
          <w:lang w:val="en-US" w:eastAsia="zh-CN" w:bidi="en-US"/>
        </w:rPr>
        <w:t>，1977,46.</w:t>
      </w:r>
    </w:p>
  </w:footnote>
  <w:footnote w:id="284">
    <w:p w14:paraId="46B84820">
      <w:pPr>
        <w:pStyle w:val="12"/>
        <w:rPr>
          <w:rFonts w:ascii="宋体" w:hAnsi="宋体"/>
        </w:rPr>
      </w:pPr>
      <w:r>
        <w:rPr>
          <w:rStyle w:val="20"/>
          <w:rFonts w:hint="default" w:ascii="宋体" w:hAnsi="宋体"/>
        </w:rPr>
        <w:footnoteRef/>
      </w:r>
      <w:r>
        <w:rPr>
          <w:rFonts w:hint="eastAsia" w:ascii="宋体" w:hAnsi="宋体" w:cs="宋体"/>
        </w:rPr>
        <w:t>诺斯</w:t>
      </w:r>
      <w:r>
        <w:rPr>
          <w:rFonts w:ascii="宋体" w:hAnsi="宋体"/>
        </w:rPr>
        <w:t>.</w:t>
      </w:r>
      <w:r>
        <w:rPr>
          <w:rFonts w:hint="eastAsia" w:ascii="宋体" w:hAnsi="宋体" w:cs="宋体"/>
        </w:rPr>
        <w:t>制度、制度变迁与经济绩效</w:t>
      </w:r>
      <w:r>
        <w:rPr>
          <w:rFonts w:ascii="宋体" w:hAnsi="宋体"/>
        </w:rPr>
        <w:t>[M].</w:t>
      </w:r>
      <w:r>
        <w:rPr>
          <w:rFonts w:hint="eastAsia" w:ascii="宋体" w:hAnsi="宋体" w:cs="宋体"/>
        </w:rPr>
        <w:t>上海</w:t>
      </w:r>
      <w:r>
        <w:rPr>
          <w:rFonts w:ascii="宋体" w:hAnsi="宋体"/>
        </w:rPr>
        <w:t>:</w:t>
      </w:r>
      <w:r>
        <w:rPr>
          <w:rFonts w:hint="eastAsia" w:ascii="宋体" w:hAnsi="宋体" w:cs="宋体"/>
        </w:rPr>
        <w:t>上海三联书店</w:t>
      </w:r>
      <w:r>
        <w:rPr>
          <w:rFonts w:ascii="宋体" w:hAnsi="宋体"/>
        </w:rPr>
        <w:t>,1994,27</w:t>
      </w:r>
    </w:p>
  </w:footnote>
  <w:footnote w:id="285">
    <w:p w14:paraId="0328856A">
      <w:pPr>
        <w:pStyle w:val="27"/>
        <w:tabs>
          <w:tab w:val="left" w:pos="634"/>
        </w:tabs>
        <w:spacing w:line="240" w:lineRule="auto"/>
        <w:ind w:left="0" w:firstLine="0"/>
        <w:jc w:val="both"/>
        <w:rPr>
          <w:rFonts w:hint="default"/>
          <w:sz w:val="18"/>
          <w:szCs w:val="18"/>
        </w:rPr>
      </w:pPr>
      <w:r>
        <w:rPr>
          <w:rStyle w:val="20"/>
          <w:sz w:val="18"/>
          <w:szCs w:val="18"/>
        </w:rPr>
        <w:footnoteRef/>
      </w:r>
      <w:r>
        <w:rPr>
          <w:sz w:val="18"/>
          <w:szCs w:val="18"/>
        </w:rPr>
        <w:t>避识予.纳什均衝论</w:t>
      </w:r>
      <w:r>
        <w:rPr>
          <w:sz w:val="18"/>
          <w:szCs w:val="18"/>
          <w:lang w:val="en-US" w:eastAsia="zh-CN" w:bidi="en-US"/>
        </w:rPr>
        <w:t>[M].</w:t>
      </w:r>
      <w:r>
        <w:rPr>
          <w:sz w:val="18"/>
          <w:szCs w:val="18"/>
        </w:rPr>
        <w:t>上海:上海财经大学出版社</w:t>
      </w:r>
      <w:r>
        <w:rPr>
          <w:sz w:val="18"/>
          <w:szCs w:val="18"/>
          <w:lang w:val="en-US" w:eastAsia="zh-CN" w:bidi="en-US"/>
        </w:rPr>
        <w:t>,1999,92.</w:t>
      </w:r>
    </w:p>
  </w:footnote>
  <w:footnote w:id="286">
    <w:p w14:paraId="74D18964">
      <w:pPr>
        <w:pStyle w:val="27"/>
        <w:tabs>
          <w:tab w:val="left" w:pos="634"/>
        </w:tabs>
        <w:spacing w:line="240" w:lineRule="auto"/>
        <w:ind w:left="0" w:firstLine="0"/>
        <w:jc w:val="both"/>
        <w:rPr>
          <w:rFonts w:hint="default"/>
          <w:sz w:val="18"/>
          <w:szCs w:val="18"/>
        </w:rPr>
      </w:pPr>
      <w:r>
        <w:rPr>
          <w:rStyle w:val="20"/>
          <w:sz w:val="18"/>
          <w:szCs w:val="18"/>
        </w:rPr>
        <w:footnoteRef/>
      </w:r>
      <w:r>
        <w:rPr>
          <w:sz w:val="18"/>
          <w:szCs w:val="18"/>
        </w:rPr>
        <w:t>避识予.纳什均衝论</w:t>
      </w:r>
      <w:r>
        <w:rPr>
          <w:sz w:val="18"/>
          <w:szCs w:val="18"/>
          <w:lang w:val="en-US" w:eastAsia="zh-CN" w:bidi="en-US"/>
        </w:rPr>
        <w:t>[M].</w:t>
      </w:r>
      <w:r>
        <w:rPr>
          <w:sz w:val="18"/>
          <w:szCs w:val="18"/>
        </w:rPr>
        <w:t>上海:上海财经大学出版社</w:t>
      </w:r>
      <w:r>
        <w:rPr>
          <w:sz w:val="18"/>
          <w:szCs w:val="18"/>
          <w:lang w:val="en-US" w:eastAsia="zh-CN" w:bidi="en-US"/>
        </w:rPr>
        <w:t>,1999,132.</w:t>
      </w:r>
    </w:p>
  </w:footnote>
  <w:footnote w:id="287">
    <w:p w14:paraId="792CC163">
      <w:pPr>
        <w:pStyle w:val="27"/>
        <w:tabs>
          <w:tab w:val="left" w:pos="629"/>
        </w:tabs>
        <w:spacing w:line="240" w:lineRule="auto"/>
        <w:ind w:left="0" w:firstLine="0"/>
        <w:jc w:val="both"/>
        <w:rPr>
          <w:rFonts w:hint="default"/>
          <w:sz w:val="18"/>
          <w:szCs w:val="18"/>
        </w:rPr>
      </w:pPr>
      <w:r>
        <w:rPr>
          <w:rStyle w:val="20"/>
          <w:sz w:val="18"/>
          <w:szCs w:val="18"/>
        </w:rPr>
        <w:footnoteRef/>
      </w:r>
      <w:r>
        <w:rPr>
          <w:sz w:val="18"/>
          <w:szCs w:val="18"/>
        </w:rPr>
        <w:t>休谟.人性论</w:t>
      </w:r>
      <w:r>
        <w:rPr>
          <w:sz w:val="18"/>
          <w:szCs w:val="18"/>
          <w:lang w:val="en-US" w:eastAsia="zh-CN" w:bidi="en-US"/>
        </w:rPr>
        <w:t>［MJ.</w:t>
      </w:r>
      <w:r>
        <w:rPr>
          <w:sz w:val="18"/>
          <w:szCs w:val="18"/>
        </w:rPr>
        <w:t>下册.北京：商务印书馆</w:t>
      </w:r>
      <w:r>
        <w:rPr>
          <w:sz w:val="18"/>
          <w:szCs w:val="18"/>
          <w:lang w:val="en-US" w:eastAsia="zh-CN" w:bidi="en-US"/>
        </w:rPr>
        <w:t>,1997,527.</w:t>
      </w:r>
    </w:p>
  </w:footnote>
  <w:footnote w:id="288">
    <w:p w14:paraId="7C11B1B5">
      <w:pPr>
        <w:pStyle w:val="27"/>
        <w:tabs>
          <w:tab w:val="left" w:pos="629"/>
        </w:tabs>
        <w:spacing w:line="240" w:lineRule="auto"/>
        <w:ind w:left="0" w:firstLine="0"/>
        <w:jc w:val="both"/>
        <w:rPr>
          <w:rFonts w:hint="default"/>
          <w:sz w:val="18"/>
          <w:szCs w:val="18"/>
        </w:rPr>
      </w:pPr>
      <w:r>
        <w:rPr>
          <w:rStyle w:val="20"/>
          <w:sz w:val="18"/>
          <w:szCs w:val="18"/>
        </w:rPr>
        <w:footnoteRef/>
      </w:r>
      <w:r>
        <w:rPr>
          <w:sz w:val="18"/>
          <w:szCs w:val="18"/>
        </w:rPr>
        <w:t>米塞斯.经济学的认识论问题</w:t>
      </w:r>
      <w:r>
        <w:rPr>
          <w:sz w:val="18"/>
          <w:szCs w:val="18"/>
          <w:lang w:val="en-US" w:eastAsia="zh-CN" w:bidi="en-US"/>
        </w:rPr>
        <w:t>［M］</w:t>
      </w:r>
      <w:r>
        <w:rPr>
          <w:sz w:val="18"/>
          <w:szCs w:val="18"/>
        </w:rPr>
        <w:t>北京:经济科学出版社</w:t>
      </w:r>
      <w:r>
        <w:rPr>
          <w:sz w:val="18"/>
          <w:szCs w:val="18"/>
          <w:lang w:val="en-US" w:eastAsia="zh-CN" w:bidi="en-US"/>
        </w:rPr>
        <w:t>,2001,26</w:t>
      </w:r>
    </w:p>
  </w:footnote>
  <w:footnote w:id="289">
    <w:p w14:paraId="7E4A5A4F">
      <w:pPr>
        <w:pStyle w:val="27"/>
        <w:tabs>
          <w:tab w:val="left" w:pos="629"/>
        </w:tabs>
        <w:spacing w:line="240" w:lineRule="auto"/>
        <w:ind w:left="0" w:firstLine="0"/>
        <w:jc w:val="both"/>
        <w:rPr>
          <w:rFonts w:hint="default"/>
          <w:sz w:val="18"/>
          <w:szCs w:val="18"/>
        </w:rPr>
      </w:pPr>
      <w:r>
        <w:rPr>
          <w:rStyle w:val="20"/>
          <w:sz w:val="18"/>
          <w:szCs w:val="18"/>
        </w:rPr>
        <w:footnoteRef/>
      </w:r>
      <w:r>
        <w:rPr>
          <w:sz w:val="18"/>
          <w:szCs w:val="18"/>
        </w:rPr>
        <w:t>杜威文选.新旧个人主义</w:t>
      </w:r>
      <w:r>
        <w:rPr>
          <w:sz w:val="18"/>
          <w:szCs w:val="18"/>
          <w:lang w:val="en-US" w:eastAsia="zh-CN" w:bidi="en-US"/>
        </w:rPr>
        <w:t>［M］.</w:t>
      </w:r>
      <w:r>
        <w:rPr>
          <w:sz w:val="18"/>
          <w:szCs w:val="18"/>
        </w:rPr>
        <w:t>上海：上海社会科学院出版社</w:t>
      </w:r>
      <w:r>
        <w:rPr>
          <w:sz w:val="18"/>
          <w:szCs w:val="18"/>
          <w:lang w:val="en-US" w:eastAsia="zh-CN" w:bidi="en-US"/>
        </w:rPr>
        <w:t>,1997,125.</w:t>
      </w:r>
    </w:p>
  </w:footnote>
  <w:footnote w:id="290">
    <w:p w14:paraId="65A924B5">
      <w:pPr>
        <w:pStyle w:val="27"/>
        <w:tabs>
          <w:tab w:val="left" w:pos="629"/>
        </w:tabs>
        <w:spacing w:line="240" w:lineRule="auto"/>
        <w:ind w:left="0" w:firstLine="0"/>
        <w:jc w:val="both"/>
        <w:rPr>
          <w:rFonts w:hint="default"/>
          <w:sz w:val="18"/>
          <w:szCs w:val="18"/>
        </w:rPr>
      </w:pPr>
      <w:r>
        <w:rPr>
          <w:rStyle w:val="20"/>
          <w:sz w:val="18"/>
          <w:szCs w:val="18"/>
        </w:rPr>
        <w:footnoteRef/>
      </w:r>
      <w:r>
        <w:rPr>
          <w:sz w:val="18"/>
          <w:szCs w:val="18"/>
        </w:rPr>
        <w:t>程恩富.西方产权理论评析</w:t>
      </w:r>
      <w:r>
        <w:rPr>
          <w:sz w:val="18"/>
          <w:szCs w:val="18"/>
          <w:lang w:val="en-US" w:eastAsia="zh-CN" w:bidi="en-US"/>
        </w:rPr>
        <w:t>［M］.</w:t>
      </w:r>
      <w:r>
        <w:rPr>
          <w:sz w:val="18"/>
          <w:szCs w:val="18"/>
        </w:rPr>
        <w:t>北京：当代中国出版社</w:t>
      </w:r>
      <w:r>
        <w:rPr>
          <w:sz w:val="18"/>
          <w:szCs w:val="18"/>
          <w:lang w:val="en-US" w:eastAsia="zh-CN" w:bidi="en-US"/>
        </w:rPr>
        <w:t>,1997,151.</w:t>
      </w:r>
    </w:p>
  </w:footnote>
  <w:footnote w:id="291">
    <w:p w14:paraId="07367A59">
      <w:pPr>
        <w:pStyle w:val="12"/>
        <w:rPr>
          <w:rFonts w:ascii="宋体" w:hAnsi="宋体"/>
        </w:rPr>
      </w:pPr>
      <w:r>
        <w:rPr>
          <w:rStyle w:val="20"/>
          <w:rFonts w:hint="default" w:ascii="宋体" w:hAnsi="宋体"/>
        </w:rPr>
        <w:footnoteRef/>
      </w:r>
      <w:r>
        <w:rPr>
          <w:rFonts w:hint="eastAsia" w:ascii="宋体" w:hAnsi="宋体" w:cs="宋体"/>
        </w:rPr>
        <w:t>博兰</w:t>
      </w:r>
      <w:r>
        <w:rPr>
          <w:rFonts w:ascii="宋体" w:hAnsi="宋体"/>
        </w:rPr>
        <w:t>.</w:t>
      </w:r>
      <w:r>
        <w:rPr>
          <w:rFonts w:hint="eastAsia" w:ascii="宋体" w:hAnsi="宋体" w:cs="宋体"/>
        </w:rPr>
        <w:t>批判的经济学方法论［</w:t>
      </w:r>
      <w:r>
        <w:rPr>
          <w:rFonts w:ascii="宋体" w:hAnsi="宋体"/>
        </w:rPr>
        <w:t>M</w:t>
      </w:r>
      <w:r>
        <w:rPr>
          <w:rFonts w:hint="eastAsia" w:ascii="宋体" w:hAnsi="宋体" w:cs="宋体"/>
        </w:rPr>
        <w:t>］</w:t>
      </w:r>
      <w:r>
        <w:rPr>
          <w:rFonts w:ascii="宋体" w:hAnsi="宋体"/>
        </w:rPr>
        <w:t>.</w:t>
      </w:r>
      <w:r>
        <w:rPr>
          <w:rFonts w:hint="eastAsia" w:ascii="宋体" w:hAnsi="宋体" w:cs="宋体"/>
        </w:rPr>
        <w:t>北京</w:t>
      </w:r>
      <w:r>
        <w:rPr>
          <w:rFonts w:ascii="宋体" w:hAnsi="宋体"/>
        </w:rPr>
        <w:t>:</w:t>
      </w:r>
      <w:r>
        <w:rPr>
          <w:rFonts w:hint="eastAsia" w:ascii="宋体" w:hAnsi="宋体" w:cs="宋体"/>
        </w:rPr>
        <w:t>经济科学出版社</w:t>
      </w:r>
      <w:r>
        <w:rPr>
          <w:rFonts w:ascii="宋体" w:hAnsi="宋体"/>
        </w:rPr>
        <w:t>,2000,229</w:t>
      </w:r>
      <w:r>
        <w:rPr>
          <w:rFonts w:hint="eastAsia" w:ascii="微软雅黑" w:hAnsi="微软雅黑" w:eastAsia="微软雅黑" w:cs="微软雅黑"/>
        </w:rPr>
        <w:t>〜</w:t>
      </w:r>
      <w:r>
        <w:rPr>
          <w:rFonts w:ascii="宋体" w:hAnsi="宋体"/>
        </w:rPr>
        <w:t>230.</w:t>
      </w:r>
    </w:p>
  </w:footnote>
  <w:footnote w:id="292">
    <w:p w14:paraId="334C3B65">
      <w:pPr>
        <w:pStyle w:val="12"/>
        <w:rPr>
          <w:rFonts w:ascii="宋体" w:hAnsi="宋体"/>
        </w:rPr>
      </w:pPr>
      <w:r>
        <w:rPr>
          <w:rStyle w:val="20"/>
          <w:rFonts w:hint="default" w:ascii="宋体" w:hAnsi="宋体"/>
        </w:rPr>
        <w:footnoteRef/>
      </w:r>
      <w:r>
        <w:rPr>
          <w:rFonts w:hint="eastAsia" w:ascii="宋体" w:hAnsi="宋体" w:cs="宋体"/>
        </w:rPr>
        <w:t>杨春学</w:t>
      </w:r>
      <w:r>
        <w:rPr>
          <w:rFonts w:ascii="宋体" w:hAnsi="宋体"/>
        </w:rPr>
        <w:t>.</w:t>
      </w:r>
      <w:r>
        <w:rPr>
          <w:rFonts w:hint="eastAsia" w:ascii="宋体" w:hAnsi="宋体" w:cs="宋体"/>
        </w:rPr>
        <w:t>经济人与社会秩序分析</w:t>
      </w:r>
      <w:r>
        <w:rPr>
          <w:rFonts w:ascii="宋体" w:hAnsi="宋体"/>
        </w:rPr>
        <w:t>[M].</w:t>
      </w:r>
      <w:r>
        <w:rPr>
          <w:rFonts w:hint="eastAsia" w:ascii="宋体" w:hAnsi="宋体" w:cs="宋体"/>
        </w:rPr>
        <w:t>上海</w:t>
      </w:r>
      <w:r>
        <w:rPr>
          <w:rFonts w:ascii="宋体" w:hAnsi="宋体"/>
        </w:rPr>
        <w:t>:</w:t>
      </w:r>
      <w:r>
        <w:rPr>
          <w:rFonts w:hint="eastAsia" w:ascii="宋体" w:hAnsi="宋体" w:cs="宋体"/>
        </w:rPr>
        <w:t>上海三联书店、上海人民出版社</w:t>
      </w:r>
      <w:r>
        <w:rPr>
          <w:rFonts w:ascii="宋体" w:hAnsi="宋体"/>
        </w:rPr>
        <w:t>,1998,175.</w:t>
      </w:r>
    </w:p>
  </w:footnote>
  <w:footnote w:id="293">
    <w:p w14:paraId="3EA0EF7D">
      <w:pPr>
        <w:pStyle w:val="27"/>
        <w:tabs>
          <w:tab w:val="left" w:pos="614"/>
        </w:tabs>
        <w:spacing w:line="240" w:lineRule="auto"/>
        <w:ind w:left="0" w:firstLine="0"/>
        <w:jc w:val="both"/>
        <w:rPr>
          <w:rFonts w:hint="default"/>
          <w:sz w:val="18"/>
          <w:szCs w:val="18"/>
        </w:rPr>
      </w:pPr>
      <w:r>
        <w:rPr>
          <w:rStyle w:val="20"/>
          <w:sz w:val="18"/>
          <w:szCs w:val="18"/>
        </w:rPr>
        <w:footnoteRef/>
      </w:r>
      <w:r>
        <w:rPr>
          <w:sz w:val="18"/>
          <w:szCs w:val="18"/>
        </w:rPr>
        <w:t>程恩富.西方产权理论评析</w:t>
      </w:r>
      <w:r>
        <w:rPr>
          <w:sz w:val="18"/>
          <w:szCs w:val="18"/>
          <w:lang w:val="en-US" w:eastAsia="zh-CN" w:bidi="en-US"/>
        </w:rPr>
        <w:t>[M].</w:t>
      </w:r>
      <w:r>
        <w:rPr>
          <w:sz w:val="18"/>
          <w:szCs w:val="18"/>
        </w:rPr>
        <w:t>北京：当代中国出版社</w:t>
      </w:r>
      <w:r>
        <w:rPr>
          <w:sz w:val="18"/>
          <w:szCs w:val="18"/>
          <w:lang w:val="en-US" w:eastAsia="zh-CN" w:bidi="en-US"/>
        </w:rPr>
        <w:t>,1997,158.</w:t>
      </w:r>
    </w:p>
  </w:footnote>
  <w:footnote w:id="294">
    <w:p w14:paraId="4EBF1CF8">
      <w:pPr>
        <w:pStyle w:val="27"/>
        <w:tabs>
          <w:tab w:val="left" w:pos="614"/>
        </w:tabs>
        <w:spacing w:line="240" w:lineRule="auto"/>
        <w:ind w:left="0" w:firstLine="0"/>
        <w:jc w:val="both"/>
        <w:rPr>
          <w:rFonts w:hint="default"/>
          <w:sz w:val="18"/>
          <w:szCs w:val="18"/>
        </w:rPr>
      </w:pPr>
      <w:r>
        <w:rPr>
          <w:rStyle w:val="20"/>
          <w:sz w:val="18"/>
          <w:szCs w:val="18"/>
        </w:rPr>
        <w:footnoteRef/>
      </w:r>
      <w:r>
        <w:rPr>
          <w:sz w:val="18"/>
          <w:szCs w:val="18"/>
        </w:rPr>
        <w:t>马克思、恩格斯.马克思恩格斯全集</w:t>
      </w:r>
      <w:r>
        <w:rPr>
          <w:sz w:val="18"/>
          <w:szCs w:val="18"/>
          <w:lang w:val="en-US" w:eastAsia="zh-CN" w:bidi="en-US"/>
        </w:rPr>
        <w:t>[M].</w:t>
      </w:r>
      <w:r>
        <w:rPr>
          <w:sz w:val="18"/>
          <w:szCs w:val="18"/>
        </w:rPr>
        <w:t>第23卷.北京：人民出版社</w:t>
      </w:r>
      <w:r>
        <w:rPr>
          <w:sz w:val="18"/>
          <w:szCs w:val="18"/>
          <w:lang w:val="en-US" w:eastAsia="zh-CN" w:bidi="en-US"/>
        </w:rPr>
        <w:t>,1972,12.260,174.</w:t>
      </w:r>
    </w:p>
  </w:footnote>
  <w:footnote w:id="295">
    <w:p w14:paraId="7C1DFEF6">
      <w:pPr>
        <w:pStyle w:val="12"/>
        <w:rPr>
          <w:rFonts w:ascii="宋体" w:hAnsi="宋体"/>
        </w:rPr>
      </w:pPr>
      <w:r>
        <w:rPr>
          <w:rStyle w:val="20"/>
          <w:rFonts w:hint="default" w:ascii="宋体" w:hAnsi="宋体"/>
        </w:rPr>
        <w:footnoteRef/>
      </w:r>
      <w:r>
        <w:rPr>
          <w:rFonts w:hint="eastAsia" w:ascii="宋体" w:hAnsi="宋体" w:cs="宋体"/>
        </w:rPr>
        <w:t>同上。</w:t>
      </w:r>
    </w:p>
  </w:footnote>
  <w:footnote w:id="296">
    <w:p w14:paraId="08F55878">
      <w:pPr>
        <w:pStyle w:val="12"/>
        <w:rPr>
          <w:rFonts w:ascii="宋体" w:hAnsi="宋体"/>
        </w:rPr>
      </w:pPr>
      <w:r>
        <w:rPr>
          <w:rStyle w:val="20"/>
          <w:rFonts w:hint="default" w:ascii="宋体" w:hAnsi="宋体"/>
        </w:rPr>
        <w:footnoteRef/>
      </w:r>
      <w:r>
        <w:rPr>
          <w:rFonts w:hint="eastAsia" w:ascii="宋体" w:hAnsi="宋体" w:cs="宋体"/>
        </w:rPr>
        <w:t>参见左大培</w:t>
      </w:r>
      <w:r>
        <w:rPr>
          <w:rFonts w:ascii="宋体" w:hAnsi="宋体"/>
        </w:rPr>
        <w:t>.1992</w:t>
      </w:r>
      <w:r>
        <w:rPr>
          <w:rFonts w:hint="eastAsia" w:ascii="微软雅黑" w:hAnsi="微软雅黑" w:eastAsia="微软雅黑" w:cs="微软雅黑"/>
        </w:rPr>
        <w:t>〜</w:t>
      </w:r>
      <w:r>
        <w:rPr>
          <w:rFonts w:ascii="宋体" w:hAnsi="宋体"/>
        </w:rPr>
        <w:t>1993</w:t>
      </w:r>
      <w:r>
        <w:rPr>
          <w:rFonts w:hint="eastAsia" w:ascii="宋体" w:hAnsi="宋体" w:cs="宋体"/>
        </w:rPr>
        <w:t>年西方经济学界的动态</w:t>
      </w:r>
      <w:r>
        <w:rPr>
          <w:rFonts w:ascii="宋体" w:hAnsi="宋体"/>
        </w:rPr>
        <w:t>[J].</w:t>
      </w:r>
      <w:r>
        <w:rPr>
          <w:rFonts w:hint="eastAsia" w:ascii="宋体" w:hAnsi="宋体" w:cs="宋体"/>
        </w:rPr>
        <w:t>经济研究资料</w:t>
      </w:r>
      <w:r>
        <w:rPr>
          <w:rFonts w:ascii="宋体" w:hAnsi="宋体"/>
        </w:rPr>
        <w:t>,1994,3.</w:t>
      </w:r>
    </w:p>
  </w:footnote>
  <w:footnote w:id="297">
    <w:p w14:paraId="64D0BD71">
      <w:pPr>
        <w:pStyle w:val="12"/>
        <w:rPr>
          <w:rFonts w:ascii="宋体" w:hAnsi="宋体"/>
        </w:rPr>
      </w:pPr>
      <w:r>
        <w:rPr>
          <w:rStyle w:val="20"/>
          <w:rFonts w:hint="default" w:ascii="宋体" w:hAnsi="宋体"/>
        </w:rPr>
        <w:footnoteRef/>
      </w:r>
      <w:r>
        <w:rPr>
          <w:rFonts w:hint="eastAsia" w:ascii="宋体" w:hAnsi="宋体" w:cs="宋体"/>
        </w:rPr>
        <w:t>贝克尔</w:t>
      </w:r>
      <w:r>
        <w:rPr>
          <w:rFonts w:ascii="宋体" w:hAnsi="宋体"/>
        </w:rPr>
        <w:t>.</w:t>
      </w:r>
      <w:r>
        <w:rPr>
          <w:rFonts w:hint="eastAsia" w:ascii="宋体" w:hAnsi="宋体" w:cs="宋体"/>
        </w:rPr>
        <w:t>人类行为的经济分析</w:t>
      </w:r>
      <w:r>
        <w:rPr>
          <w:rFonts w:ascii="宋体" w:hAnsi="宋体"/>
        </w:rPr>
        <w:t>[M].</w:t>
      </w:r>
      <w:r>
        <w:rPr>
          <w:rFonts w:hint="eastAsia" w:ascii="宋体" w:hAnsi="宋体" w:cs="宋体"/>
        </w:rPr>
        <w:t>上海：三联书店上海分店，</w:t>
      </w:r>
      <w:r>
        <w:rPr>
          <w:rFonts w:ascii="宋体" w:hAnsi="宋体"/>
        </w:rPr>
        <w:t>1993,</w:t>
      </w:r>
      <w:r>
        <w:rPr>
          <w:rFonts w:hint="eastAsia" w:ascii="宋体" w:hAnsi="宋体" w:cs="宋体"/>
        </w:rPr>
        <w:t>第</w:t>
      </w:r>
      <w:r>
        <w:rPr>
          <w:rFonts w:ascii="宋体" w:hAnsi="宋体"/>
        </w:rPr>
        <w:t>7</w:t>
      </w:r>
      <w:r>
        <w:rPr>
          <w:rFonts w:hint="eastAsia" w:ascii="宋体" w:hAnsi="宋体" w:cs="宋体"/>
        </w:rPr>
        <w:t>篇</w:t>
      </w:r>
      <w:r>
        <w:rPr>
          <w:rFonts w:ascii="宋体" w:hAnsi="宋体"/>
        </w:rPr>
        <w:t>.</w:t>
      </w:r>
    </w:p>
  </w:footnote>
  <w:footnote w:id="298">
    <w:p w14:paraId="5B1A93C9">
      <w:pPr>
        <w:pStyle w:val="12"/>
        <w:rPr>
          <w:rFonts w:ascii="宋体" w:hAnsi="宋体"/>
        </w:rPr>
      </w:pPr>
      <w:r>
        <w:rPr>
          <w:rStyle w:val="20"/>
          <w:rFonts w:hint="default" w:ascii="宋体" w:hAnsi="宋体"/>
        </w:rPr>
        <w:footnoteRef/>
      </w:r>
      <w:r>
        <w:rPr>
          <w:rFonts w:hint="eastAsia" w:ascii="宋体" w:hAnsi="宋体" w:cs="宋体"/>
        </w:rPr>
        <w:t>季陶达</w:t>
      </w:r>
      <w:r>
        <w:rPr>
          <w:rFonts w:ascii="宋体" w:hAnsi="宋体"/>
        </w:rPr>
        <w:t>.</w:t>
      </w:r>
      <w:r>
        <w:rPr>
          <w:rFonts w:hint="eastAsia" w:ascii="宋体" w:hAnsi="宋体" w:cs="宋体"/>
        </w:rPr>
        <w:t>资产阶级庸俗政治经济学选辑</w:t>
      </w:r>
      <w:r>
        <w:rPr>
          <w:rFonts w:ascii="宋体" w:hAnsi="宋体"/>
        </w:rPr>
        <w:t>[M].</w:t>
      </w:r>
      <w:r>
        <w:rPr>
          <w:rFonts w:hint="eastAsia" w:ascii="宋体" w:hAnsi="宋体" w:cs="宋体"/>
        </w:rPr>
        <w:t>北京：商务印书馆</w:t>
      </w:r>
      <w:r>
        <w:rPr>
          <w:rFonts w:ascii="宋体" w:hAnsi="宋体"/>
        </w:rPr>
        <w:t>,1963.</w:t>
      </w:r>
    </w:p>
  </w:footnote>
  <w:footnote w:id="299">
    <w:p w14:paraId="7434C42E">
      <w:pPr>
        <w:pStyle w:val="12"/>
        <w:rPr>
          <w:rFonts w:ascii="宋体" w:hAnsi="宋体"/>
        </w:rPr>
      </w:pPr>
      <w:r>
        <w:rPr>
          <w:rStyle w:val="20"/>
          <w:rFonts w:hint="default" w:ascii="宋体" w:hAnsi="宋体"/>
        </w:rPr>
        <w:footnoteRef/>
      </w:r>
      <w:r>
        <w:rPr>
          <w:rFonts w:hint="eastAsia" w:ascii="宋体" w:hAnsi="宋体" w:cs="宋体"/>
        </w:rPr>
        <w:t>布热津斯基</w:t>
      </w:r>
      <w:r>
        <w:rPr>
          <w:rFonts w:ascii="宋体" w:hAnsi="宋体"/>
        </w:rPr>
        <w:t>.</w:t>
      </w:r>
      <w:r>
        <w:rPr>
          <w:rFonts w:hint="eastAsia" w:ascii="宋体" w:hAnsi="宋体" w:cs="宋体"/>
        </w:rPr>
        <w:t>大失控与大混乱</w:t>
      </w:r>
      <w:r>
        <w:rPr>
          <w:rFonts w:ascii="宋体" w:hAnsi="宋体"/>
        </w:rPr>
        <w:t>[M].</w:t>
      </w:r>
      <w:r>
        <w:rPr>
          <w:rFonts w:hint="eastAsia" w:ascii="宋体" w:hAnsi="宋体" w:cs="宋体"/>
        </w:rPr>
        <w:t>北京：中国社会科学出版社</w:t>
      </w:r>
      <w:r>
        <w:rPr>
          <w:rFonts w:ascii="宋体" w:hAnsi="宋体"/>
        </w:rPr>
        <w:t>,1994.</w:t>
      </w:r>
    </w:p>
  </w:footnote>
  <w:footnote w:id="300">
    <w:p w14:paraId="241809CC">
      <w:pPr>
        <w:pStyle w:val="12"/>
        <w:rPr>
          <w:rFonts w:ascii="宋体" w:hAnsi="宋体"/>
        </w:rPr>
      </w:pPr>
      <w:r>
        <w:rPr>
          <w:rStyle w:val="20"/>
          <w:rFonts w:hint="default" w:ascii="宋体" w:hAnsi="宋体"/>
        </w:rPr>
        <w:footnoteRef/>
      </w:r>
      <w:r>
        <w:rPr>
          <w:rFonts w:hint="eastAsia" w:ascii="宋体" w:hAnsi="宋体" w:cs="宋体"/>
        </w:rPr>
        <w:t>摩尔根</w:t>
      </w:r>
      <w:r>
        <w:rPr>
          <w:rFonts w:ascii="宋体" w:hAnsi="宋体"/>
        </w:rPr>
        <w:t>.</w:t>
      </w:r>
      <w:r>
        <w:rPr>
          <w:rFonts w:hint="eastAsia" w:ascii="宋体" w:hAnsi="宋体" w:cs="宋体"/>
        </w:rPr>
        <w:t>印第安人的房屋建筑与家庭生活</w:t>
      </w:r>
      <w:r>
        <w:rPr>
          <w:rFonts w:ascii="宋体" w:hAnsi="宋体"/>
        </w:rPr>
        <w:t>[M].</w:t>
      </w:r>
      <w:r>
        <w:rPr>
          <w:rFonts w:hint="eastAsia" w:ascii="宋体" w:hAnsi="宋体" w:cs="宋体"/>
        </w:rPr>
        <w:t>北京：文物出版社</w:t>
      </w:r>
      <w:r>
        <w:rPr>
          <w:rFonts w:ascii="宋体" w:hAnsi="宋体"/>
        </w:rPr>
        <w:t>,1992,86.99</w:t>
      </w:r>
    </w:p>
  </w:footnote>
  <w:footnote w:id="301">
    <w:p w14:paraId="26949395">
      <w:pPr>
        <w:pStyle w:val="12"/>
        <w:rPr>
          <w:rFonts w:ascii="宋体" w:hAnsi="宋体"/>
        </w:rPr>
      </w:pPr>
      <w:r>
        <w:rPr>
          <w:rStyle w:val="20"/>
          <w:rFonts w:hint="default" w:ascii="宋体" w:hAnsi="宋体"/>
        </w:rPr>
        <w:footnoteRef/>
      </w:r>
      <w:r>
        <w:rPr>
          <w:rFonts w:hint="eastAsia" w:ascii="宋体" w:hAnsi="宋体" w:cs="宋体"/>
        </w:rPr>
        <w:t>马克思、恩格斯</w:t>
      </w:r>
      <w:r>
        <w:rPr>
          <w:rFonts w:ascii="宋体" w:hAnsi="宋体"/>
        </w:rPr>
        <w:t>.</w:t>
      </w:r>
      <w:r>
        <w:rPr>
          <w:rFonts w:hint="eastAsia" w:ascii="宋体" w:hAnsi="宋体" w:cs="宋体"/>
        </w:rPr>
        <w:t>马克思恩格斯全集</w:t>
      </w:r>
      <w:r>
        <w:rPr>
          <w:rFonts w:ascii="宋体" w:hAnsi="宋体"/>
        </w:rPr>
        <w:t>[M].</w:t>
      </w:r>
      <w:r>
        <w:rPr>
          <w:rFonts w:hint="eastAsia" w:ascii="宋体" w:hAnsi="宋体" w:cs="宋体"/>
        </w:rPr>
        <w:t>第</w:t>
      </w:r>
      <w:r>
        <w:rPr>
          <w:rFonts w:ascii="宋体" w:hAnsi="宋体"/>
        </w:rPr>
        <w:t>4</w:t>
      </w:r>
      <w:r>
        <w:rPr>
          <w:rFonts w:hint="eastAsia" w:ascii="宋体" w:hAnsi="宋体" w:cs="宋体"/>
        </w:rPr>
        <w:t>卷</w:t>
      </w:r>
      <w:r>
        <w:rPr>
          <w:rFonts w:ascii="宋体" w:hAnsi="宋体"/>
        </w:rPr>
        <w:t>.</w:t>
      </w:r>
      <w:r>
        <w:rPr>
          <w:rFonts w:hint="eastAsia" w:ascii="宋体" w:hAnsi="宋体" w:cs="宋体"/>
        </w:rPr>
        <w:t>北京</w:t>
      </w:r>
      <w:r>
        <w:rPr>
          <w:rFonts w:ascii="宋体" w:hAnsi="宋体"/>
        </w:rPr>
        <w:t>:</w:t>
      </w:r>
      <w:r>
        <w:rPr>
          <w:rFonts w:hint="eastAsia" w:ascii="宋体" w:hAnsi="宋体" w:cs="宋体"/>
        </w:rPr>
        <w:t>人民出版社</w:t>
      </w:r>
      <w:r>
        <w:rPr>
          <w:rFonts w:ascii="宋体" w:hAnsi="宋体"/>
        </w:rPr>
        <w:t>,1958,151</w:t>
      </w:r>
    </w:p>
  </w:footnote>
  <w:footnote w:id="302">
    <w:p w14:paraId="4C3084FB">
      <w:pPr>
        <w:pStyle w:val="12"/>
        <w:rPr>
          <w:rFonts w:ascii="宋体" w:hAnsi="宋体"/>
        </w:rPr>
      </w:pPr>
      <w:r>
        <w:rPr>
          <w:rStyle w:val="20"/>
          <w:rFonts w:hint="default" w:ascii="宋体" w:hAnsi="宋体"/>
        </w:rPr>
        <w:footnoteRef/>
      </w:r>
      <w:r>
        <w:rPr>
          <w:rFonts w:hint="eastAsia" w:ascii="宋体" w:hAnsi="宋体" w:cs="宋体"/>
        </w:rPr>
        <w:t>参见王东京</w:t>
      </w:r>
      <w:r>
        <w:rPr>
          <w:rFonts w:ascii="宋体" w:hAnsi="宋体"/>
        </w:rPr>
        <w:t>.</w:t>
      </w:r>
      <w:r>
        <w:rPr>
          <w:rFonts w:hint="eastAsia" w:ascii="宋体" w:hAnsi="宋体" w:cs="宋体"/>
        </w:rPr>
        <w:t>澄清经济学的三大问题</w:t>
      </w:r>
      <w:r>
        <w:rPr>
          <w:rFonts w:ascii="宋体" w:hAnsi="宋体"/>
        </w:rPr>
        <w:t>[J].</w:t>
      </w:r>
      <w:r>
        <w:rPr>
          <w:rFonts w:hint="eastAsia" w:ascii="宋体" w:hAnsi="宋体" w:cs="宋体"/>
        </w:rPr>
        <w:t>中国改革</w:t>
      </w:r>
      <w:r>
        <w:rPr>
          <w:rFonts w:ascii="宋体" w:hAnsi="宋体"/>
        </w:rPr>
        <w:t>.2006,9.</w:t>
      </w:r>
    </w:p>
  </w:footnote>
  <w:footnote w:id="303">
    <w:p w14:paraId="5AC925FB">
      <w:pPr>
        <w:pStyle w:val="27"/>
        <w:tabs>
          <w:tab w:val="left" w:pos="601"/>
        </w:tabs>
        <w:spacing w:line="240" w:lineRule="auto"/>
        <w:ind w:left="0" w:firstLine="0"/>
        <w:jc w:val="both"/>
        <w:rPr>
          <w:rFonts w:hint="default"/>
          <w:sz w:val="18"/>
          <w:szCs w:val="18"/>
        </w:rPr>
      </w:pPr>
      <w:r>
        <w:rPr>
          <w:rStyle w:val="20"/>
          <w:sz w:val="18"/>
          <w:szCs w:val="18"/>
        </w:rPr>
        <w:footnoteRef/>
      </w:r>
      <w:r>
        <w:rPr>
          <w:sz w:val="18"/>
          <w:szCs w:val="18"/>
        </w:rPr>
        <w:t>转引自舒马赫.小的是美好的</w:t>
      </w:r>
      <w:r>
        <w:rPr>
          <w:sz w:val="18"/>
          <w:szCs w:val="18"/>
          <w:lang w:val="en-US" w:eastAsia="zh-CN" w:bidi="en-US"/>
        </w:rPr>
        <w:t>［ML</w:t>
      </w:r>
      <w:r>
        <w:rPr>
          <w:sz w:val="18"/>
          <w:szCs w:val="18"/>
        </w:rPr>
        <w:t>北京：商务印书馆</w:t>
      </w:r>
      <w:r>
        <w:rPr>
          <w:sz w:val="18"/>
          <w:szCs w:val="18"/>
          <w:lang w:val="en-US" w:eastAsia="zh-CN" w:bidi="en-US"/>
        </w:rPr>
        <w:t>,1984,9.</w:t>
      </w:r>
    </w:p>
  </w:footnote>
  <w:footnote w:id="304">
    <w:p w14:paraId="1F149E35">
      <w:pPr>
        <w:pStyle w:val="27"/>
        <w:tabs>
          <w:tab w:val="left" w:pos="601"/>
        </w:tabs>
        <w:spacing w:after="160" w:line="240" w:lineRule="auto"/>
        <w:ind w:left="0" w:firstLine="0"/>
        <w:jc w:val="both"/>
        <w:rPr>
          <w:rFonts w:hint="default"/>
          <w:sz w:val="18"/>
          <w:szCs w:val="18"/>
        </w:rPr>
      </w:pPr>
      <w:r>
        <w:rPr>
          <w:rStyle w:val="20"/>
          <w:sz w:val="18"/>
          <w:szCs w:val="18"/>
        </w:rPr>
        <w:footnoteRef/>
      </w:r>
      <w:r>
        <w:rPr>
          <w:sz w:val="18"/>
          <w:szCs w:val="18"/>
        </w:rPr>
        <w:t>尼布尔.道德的人与不道德的社会</w:t>
      </w:r>
      <w:r>
        <w:rPr>
          <w:sz w:val="18"/>
          <w:szCs w:val="18"/>
          <w:lang w:val="en-US" w:eastAsia="zh-CN" w:bidi="en-US"/>
        </w:rPr>
        <w:t>［M］</w:t>
      </w:r>
      <w:r>
        <w:rPr>
          <w:sz w:val="18"/>
          <w:szCs w:val="18"/>
        </w:rPr>
        <w:t>贵州：贵州人民出版社</w:t>
      </w:r>
      <w:r>
        <w:rPr>
          <w:sz w:val="18"/>
          <w:szCs w:val="18"/>
          <w:lang w:val="en-US" w:eastAsia="zh-CN" w:bidi="en-US"/>
        </w:rPr>
        <w:t>,1998,19.114-115.</w:t>
      </w:r>
    </w:p>
  </w:footnote>
  <w:footnote w:id="305">
    <w:p w14:paraId="64FFEB15">
      <w:pPr>
        <w:snapToGrid w:val="0"/>
        <w:spacing w:line="276" w:lineRule="auto"/>
        <w:jc w:val="left"/>
        <w:rPr>
          <w:rFonts w:ascii="Times New Roman" w:hAnsi="Times New Roman"/>
          <w:sz w:val="18"/>
        </w:rPr>
      </w:pPr>
      <w:r>
        <w:rPr>
          <w:sz w:val="18"/>
        </w:rPr>
        <w:footnoteRef/>
      </w:r>
      <w:r>
        <w:rPr>
          <w:rFonts w:hint="eastAsia" w:ascii="Times New Roman" w:hAnsi="Times New Roman"/>
          <w:sz w:val="18"/>
        </w:rPr>
        <w:t>《马克思恩格斯选集》第</w:t>
      </w:r>
      <w:r>
        <w:rPr>
          <w:rFonts w:ascii="Times New Roman" w:hAnsi="Times New Roman"/>
          <w:sz w:val="18"/>
        </w:rPr>
        <w:t>2</w:t>
      </w:r>
      <w:r>
        <w:rPr>
          <w:rFonts w:hint="eastAsia" w:ascii="Times New Roman" w:hAnsi="Times New Roman"/>
          <w:sz w:val="18"/>
        </w:rPr>
        <w:t>版第</w:t>
      </w:r>
      <w:r>
        <w:rPr>
          <w:rFonts w:ascii="Times New Roman" w:hAnsi="Times New Roman"/>
          <w:sz w:val="18"/>
        </w:rPr>
        <w:t>3</w:t>
      </w:r>
      <w:r>
        <w:rPr>
          <w:rFonts w:hint="eastAsia" w:ascii="Times New Roman" w:hAnsi="Times New Roman"/>
          <w:sz w:val="18"/>
        </w:rPr>
        <w:t>卷第</w:t>
      </w:r>
      <w:r>
        <w:rPr>
          <w:rFonts w:ascii="Times New Roman" w:hAnsi="Times New Roman"/>
          <w:sz w:val="18"/>
        </w:rPr>
        <w:t>325</w:t>
      </w:r>
      <w:r>
        <w:rPr>
          <w:rFonts w:hint="eastAsia" w:ascii="Times New Roman" w:hAnsi="Times New Roman"/>
          <w:sz w:val="18"/>
        </w:rPr>
        <w:t>页。</w:t>
      </w:r>
    </w:p>
  </w:footnote>
  <w:footnote w:id="306">
    <w:p w14:paraId="0AD0A1AD">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《马克思恩格斯全集》第3 卷，人民出版社，2002 年，第272 页。</w:t>
      </w:r>
    </w:p>
  </w:footnote>
  <w:footnote w:id="307">
    <w:p w14:paraId="22C6EA63">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胡锦涛：《高举中国特色社会主义伟大旗帜 为夺取全面建设小康社会新胜利而奋斗》，人民出版社，2007 年。</w:t>
      </w:r>
    </w:p>
  </w:footnote>
  <w:footnote w:id="308">
    <w:p w14:paraId="643BC602">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《马克思恩格斯选集》第4 卷，人民出版社，1995 年，第383-384 页。</w:t>
      </w:r>
    </w:p>
  </w:footnote>
  <w:footnote w:id="309">
    <w:p w14:paraId="39A57E36">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《马克思恩格斯选集》第4 卷，人民出版社，1995 年，第383 页。</w:t>
      </w:r>
    </w:p>
  </w:footnote>
  <w:footnote w:id="310">
    <w:p w14:paraId="2B860C30">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世界经济年鉴编辑委员会：《世界经济年鉴》（2001 年卷），经济科学出版社，2001 年，第384 页。</w:t>
      </w:r>
    </w:p>
  </w:footnote>
  <w:footnote w:id="311">
    <w:p w14:paraId="34207FEB">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 xml:space="preserve"> 《马克思恩格斯选集》第3 卷，人民出版社，1995 年，第646 页。</w:t>
      </w:r>
    </w:p>
  </w:footnote>
  <w:footnote w:id="312">
    <w:p w14:paraId="44A23CF4">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《马克思恩格斯选集》第1 卷，人民出版社，1995 年，第81-82 页。</w:t>
      </w:r>
    </w:p>
  </w:footnote>
  <w:footnote w:id="313">
    <w:p w14:paraId="53CB1550">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《马克思恩格斯全集》第38 卷，人民出版社，1972 年，第365 页。</w:t>
      </w:r>
    </w:p>
  </w:footnote>
  <w:footnote w:id="314">
    <w:p w14:paraId="4EB9B5A6">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《马克思恩格斯选集》第4 卷，人民出版社，1995 年，第385 页。</w:t>
      </w:r>
    </w:p>
  </w:footnote>
  <w:footnote w:id="315">
    <w:p w14:paraId="119AAB92">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年，第117 页。</w:t>
      </w:r>
    </w:p>
  </w:footnote>
  <w:footnote w:id="316">
    <w:p w14:paraId="40EEEE9A">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年，第117 页。</w:t>
      </w:r>
    </w:p>
  </w:footnote>
  <w:footnote w:id="317">
    <w:p w14:paraId="455F50E9">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年，第117 页。</w:t>
      </w:r>
    </w:p>
  </w:footnote>
  <w:footnote w:id="318">
    <w:p w14:paraId="32B513DE">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年，第94 页。</w:t>
      </w:r>
    </w:p>
  </w:footnote>
  <w:footnote w:id="319">
    <w:p w14:paraId="167BA7F8">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年，第115 页。</w:t>
      </w:r>
    </w:p>
  </w:footnote>
  <w:footnote w:id="320">
    <w:p w14:paraId="5ACB1DD8">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年，第117 页。</w:t>
      </w:r>
    </w:p>
  </w:footnote>
  <w:footnote w:id="321">
    <w:p w14:paraId="6357C153">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年，第95 页。</w:t>
      </w:r>
    </w:p>
  </w:footnote>
  <w:footnote w:id="322">
    <w:p w14:paraId="479D4F4A">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年，第115 页。</w:t>
      </w:r>
    </w:p>
  </w:footnote>
  <w:footnote w:id="323">
    <w:p w14:paraId="1EC3C669">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年，第115 页。</w:t>
      </w:r>
    </w:p>
  </w:footnote>
  <w:footnote w:id="324">
    <w:p w14:paraId="65866198">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年，第94 页。</w:t>
      </w:r>
    </w:p>
  </w:footnote>
  <w:footnote w:id="325">
    <w:p w14:paraId="6E2F858A">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《马克思恩格斯选集》第4 卷，人民出版社，1995 年，第2 页。</w:t>
      </w:r>
    </w:p>
  </w:footnote>
  <w:footnote w:id="326">
    <w:p w14:paraId="6103F636">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《马克思恩格斯选集》第1 卷，人民出版社，1995 年，第80 页。</w:t>
      </w:r>
    </w:p>
  </w:footnote>
  <w:footnote w:id="327">
    <w:p w14:paraId="580C5BD8">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《马克思恩格斯全集》第45 卷，人民出版社，2003 年，第34 页。</w:t>
      </w:r>
    </w:p>
  </w:footnote>
  <w:footnote w:id="328">
    <w:p w14:paraId="37C0970D">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《马克思恩格斯全集》第31 卷，人民出版社，1998 年，第104 页。</w:t>
      </w:r>
    </w:p>
  </w:footnote>
  <w:footnote w:id="329">
    <w:p w14:paraId="420399DF">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《马克思恩格斯全集》第31 卷，人民出版社，1998 年，第108 页。</w:t>
      </w:r>
    </w:p>
  </w:footnote>
  <w:footnote w:id="330">
    <w:p w14:paraId="3BC2379F">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 xml:space="preserve"> 《马克思恩格斯选集》第4 卷，人民出版社，1995 年，第642、641 页。</w:t>
      </w:r>
    </w:p>
  </w:footnote>
  <w:footnote w:id="331">
    <w:p w14:paraId="38553FB1">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《马克思恩格斯选集》第3 卷，人民出版社，1995 年，第646-647 页。</w:t>
      </w:r>
    </w:p>
  </w:footnote>
  <w:footnote w:id="332">
    <w:p w14:paraId="39054D04">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《马克思恩格斯选集》第1 卷，人民出版社，1995 年，第240 页。</w:t>
      </w:r>
    </w:p>
  </w:footnote>
  <w:footnote w:id="333">
    <w:p w14:paraId="0B1285DA">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《马克思恩格斯选集》第1 卷，人民出版社，1995 年，第294 页。</w:t>
      </w:r>
    </w:p>
  </w:footnote>
  <w:footnote w:id="334">
    <w:p w14:paraId="0B9AD02E">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《马克思恩格斯全集》第26 卷第1 册，人民出版社，1972 年，第296 页。</w:t>
      </w:r>
    </w:p>
  </w:footnote>
  <w:footnote w:id="335">
    <w:p w14:paraId="7A9AFFE7">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《马克思恩格斯选集》第3 卷，人民出版社，1995 年，第150 页。</w:t>
      </w:r>
    </w:p>
  </w:footnote>
  <w:footnote w:id="336">
    <w:p w14:paraId="0E83BF6D">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《马克思恩格斯全集》第25 卷，人民出版社，2001 年，第145 页。</w:t>
      </w:r>
    </w:p>
  </w:footnote>
  <w:footnote w:id="337">
    <w:p w14:paraId="3FCDF29B">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《马克思恩格斯全集》第30 卷，人民出版社，1995 年，第480 页。</w:t>
      </w:r>
    </w:p>
  </w:footnote>
  <w:footnote w:id="338">
    <w:p w14:paraId="6D4B77B1">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《马克思恩格斯全集》第44 卷，人民出版社，2001 年，第683 页。</w:t>
      </w:r>
    </w:p>
  </w:footnote>
  <w:footnote w:id="339">
    <w:p w14:paraId="0B370402">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《马克思恩格斯全集》第31 卷，人民出版社，1998 年，第107-108 页。</w:t>
      </w:r>
    </w:p>
  </w:footnote>
  <w:footnote w:id="340">
    <w:p w14:paraId="56415717">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《马克思恩格斯全集》第30 卷，人民出版社，1995 年，第525 页。</w:t>
      </w:r>
    </w:p>
  </w:footnote>
  <w:footnote w:id="341">
    <w:p w14:paraId="014A2488">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《马克思恩格斯全集》第3 卷，人民出版社，2002 年，第462 页。</w:t>
      </w:r>
    </w:p>
  </w:footnote>
  <w:footnote w:id="342">
    <w:p w14:paraId="1B25D7FB">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《马克思恩格斯全集》第44 卷，人民出版社，2001 年，第685 页。</w:t>
      </w:r>
    </w:p>
  </w:footnote>
  <w:footnote w:id="343">
    <w:p w14:paraId="6E87040F">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《马克思恩格斯全集》第31 卷，人民出版社，1998 年，第107 页。</w:t>
      </w:r>
    </w:p>
  </w:footnote>
  <w:footnote w:id="344">
    <w:p w14:paraId="7652B98F">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《马克思恩格斯全集》第44 卷，人民出版社，2001 年，第269 页。</w:t>
      </w:r>
    </w:p>
  </w:footnote>
  <w:footnote w:id="345">
    <w:p w14:paraId="2A5FC688">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《马克思恩格斯选集》第3 卷，人民出版社，1995 年，第757 页。</w:t>
      </w:r>
    </w:p>
  </w:footnote>
  <w:footnote w:id="346">
    <w:p w14:paraId="49C40660">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年，第101 页。</w:t>
      </w:r>
    </w:p>
  </w:footnote>
  <w:footnote w:id="347">
    <w:p w14:paraId="6218AA97">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《马克思恩格斯选集》第4 卷，人民出版社，1995 年，第386 页。</w:t>
      </w:r>
    </w:p>
  </w:footnote>
  <w:footnote w:id="348">
    <w:p w14:paraId="7C137324">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《马克思恩格斯全集》第3 卷，人民出版社，2002 年，第297 页。</w:t>
      </w:r>
    </w:p>
  </w:footnote>
  <w:footnote w:id="349">
    <w:p w14:paraId="7CC2DD03">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《马克思恩格斯全集》第3 卷，人民出版社，2002 年，第449 页。</w:t>
      </w:r>
    </w:p>
  </w:footnote>
  <w:footnote w:id="350">
    <w:p w14:paraId="24791CEE">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《马克思恩格斯全集》第46 卷，人民出版社，2003 年，第928-929 页。</w:t>
      </w:r>
    </w:p>
  </w:footnote>
  <w:footnote w:id="351">
    <w:p w14:paraId="1425574E">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 xml:space="preserve"> 本文作者程恩富，发表于《海派经济学》2009年第1期。</w:t>
      </w:r>
    </w:p>
  </w:footnote>
  <w:footnote w:id="352">
    <w:p w14:paraId="2141C550">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《资本论》第2卷，人民出版社，2004年第2版，第10页。</w:t>
      </w:r>
    </w:p>
  </w:footnote>
  <w:footnote w:id="353">
    <w:p w14:paraId="31C5AE46">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《列宁选集》第1卷，人民出版社，1995年，第10页。</w:t>
      </w:r>
    </w:p>
  </w:footnote>
  <w:footnote w:id="354">
    <w:p w14:paraId="76E05B59">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《邓小平文选》第3卷，人民出版社，1993年，第373页。</w:t>
      </w:r>
    </w:p>
  </w:footnote>
  <w:footnote w:id="355">
    <w:p w14:paraId="41D44274">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刘日新：《论生产资料社会主义公有制》，中国国际文化出版社（香港），2007年，第101页。</w:t>
      </w:r>
    </w:p>
  </w:footnote>
  <w:footnote w:id="356">
    <w:p w14:paraId="7391D314">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保育钧：《政府”遮风挡雨”》，人民日报2006年3月2日。</w:t>
      </w:r>
    </w:p>
  </w:footnote>
  <w:footnote w:id="357">
    <w:p w14:paraId="2CBDF1D8">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国务院国资委研究室：《国有企业改革发展取得显著成就》，经济日报2007年7月12日，第1、2版</w:t>
      </w:r>
    </w:p>
  </w:footnote>
  <w:footnote w:id="358">
    <w:p w14:paraId="6A6429DE">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《江泽民文选》第3卷，人民出版社，2006年，第70页。</w:t>
      </w:r>
    </w:p>
  </w:footnote>
  <w:footnote w:id="359">
    <w:p w14:paraId="3A4E36D8">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《资本论》第1卷，人民出版社，2004年第二版，第427、428页。</w:t>
      </w:r>
    </w:p>
  </w:footnote>
  <w:footnote w:id="360">
    <w:p w14:paraId="6D1274B8">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《资本论》第3卷，人民出版社，2004年第2版，第894、895页。</w:t>
      </w:r>
    </w:p>
  </w:footnote>
  <w:footnote w:id="361">
    <w:p w14:paraId="65CDB8E3">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《马克思恩格斯&lt;资本论&gt;书信集》，人民出版社，1976年，第225页。</w:t>
      </w:r>
    </w:p>
  </w:footnote>
  <w:footnote w:id="362">
    <w:p w14:paraId="54487A58">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《资本论》第3卷，人民出版社，2004年第二版，第995页。</w:t>
      </w:r>
    </w:p>
  </w:footnote>
  <w:footnote w:id="363">
    <w:p w14:paraId="59B5B6B3">
      <w:pPr>
        <w:snapToGrid w:val="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《邓小平文选》第3卷，人民出版社，1993年，第149页。</w:t>
      </w:r>
    </w:p>
  </w:footnote>
  <w:footnote w:id="364">
    <w:p w14:paraId="2948B026">
      <w:pPr>
        <w:pStyle w:val="12"/>
        <w:ind w:left="191" w:hanging="180" w:hangingChars="100"/>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rPr>
        <w:t>历史数据根据《中国统计年鉴》相关年份数据计算得出。2008年数据根据国家统计局最新颁布资料计算得出。</w:t>
      </w:r>
    </w:p>
  </w:footnote>
  <w:footnote w:id="365">
    <w:p w14:paraId="5751747B">
      <w:pPr>
        <w:pStyle w:val="12"/>
        <w:jc w:val="both"/>
        <w:rPr>
          <w:rFonts w:ascii="宋体" w:hAnsi="宋体"/>
        </w:rPr>
      </w:pPr>
      <w:r>
        <w:rPr>
          <w:rStyle w:val="20"/>
          <w:rFonts w:ascii="宋体" w:hAnsi="宋体" w:eastAsia="宋体"/>
        </w:rPr>
        <w:footnoteRef/>
      </w:r>
      <w:r>
        <w:rPr>
          <w:rFonts w:hint="eastAsia" w:ascii="宋体" w:hAnsi="宋体"/>
        </w:rPr>
        <w:t xml:space="preserve"> 海关统计，中华人民共和国海关总署，2009年2月11日。</w:t>
      </w:r>
    </w:p>
  </w:footnote>
  <w:footnote w:id="366">
    <w:p w14:paraId="1032A67C">
      <w:pPr>
        <w:pStyle w:val="12"/>
        <w:jc w:val="both"/>
        <w:rPr>
          <w:rFonts w:ascii="宋体" w:hAnsi="宋体"/>
        </w:rPr>
      </w:pPr>
      <w:r>
        <w:rPr>
          <w:rStyle w:val="20"/>
          <w:rFonts w:ascii="宋体" w:hAnsi="宋体" w:eastAsia="宋体"/>
        </w:rPr>
        <w:footnoteRef/>
      </w:r>
      <w:r>
        <w:rPr>
          <w:rFonts w:hint="eastAsia" w:ascii="宋体" w:hAnsi="宋体"/>
        </w:rPr>
        <w:t xml:space="preserve"> 丛亚平，2006，《</w:t>
      </w:r>
      <w:r>
        <w:rPr>
          <w:rFonts w:ascii="宋体" w:hAnsi="宋体"/>
        </w:rPr>
        <w:t>利用外资八思</w:t>
      </w:r>
      <w:r>
        <w:rPr>
          <w:rFonts w:hint="eastAsia" w:ascii="宋体" w:hAnsi="宋体"/>
        </w:rPr>
        <w:t>》，</w:t>
      </w:r>
      <w:r>
        <w:rPr>
          <w:rFonts w:ascii="宋体" w:hAnsi="宋体"/>
        </w:rPr>
        <w:t>《瞭望新闻周刊》第51期</w:t>
      </w:r>
      <w:r>
        <w:rPr>
          <w:rFonts w:hint="eastAsia" w:ascii="宋体" w:hAnsi="宋体"/>
        </w:rPr>
        <w:t>。</w:t>
      </w:r>
    </w:p>
  </w:footnote>
  <w:footnote w:id="367">
    <w:p w14:paraId="121FBD85">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rPr>
        <w:t>人民网，2006，《</w:t>
      </w:r>
      <w:r>
        <w:rPr>
          <w:rFonts w:hint="eastAsia" w:ascii="宋体" w:hAnsi="宋体"/>
          <w:bCs/>
        </w:rPr>
        <w:t>九大问题挑战“创新型国家”</w:t>
      </w:r>
      <w:r>
        <w:rPr>
          <w:rFonts w:hint="eastAsia" w:ascii="宋体" w:hAnsi="宋体"/>
        </w:rPr>
        <w:t>》</w:t>
      </w:r>
      <w:r>
        <w:rPr>
          <w:rFonts w:hint="eastAsia" w:ascii="宋体" w:hAnsi="宋体"/>
          <w:bCs/>
        </w:rPr>
        <w:t>，经济观察版1月9日。</w:t>
      </w:r>
    </w:p>
  </w:footnote>
  <w:footnote w:id="368">
    <w:p w14:paraId="6707CBA8">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rPr>
        <w:t>程恩富，2005，《</w:t>
      </w:r>
      <w:r>
        <w:rPr>
          <w:rFonts w:ascii="宋体" w:hAnsi="宋体"/>
          <w:bCs/>
        </w:rPr>
        <w:t>比较优势、竞争优势与知识产权</w:t>
      </w:r>
      <w:r>
        <w:rPr>
          <w:rFonts w:hint="eastAsia" w:ascii="宋体" w:hAnsi="宋体"/>
        </w:rPr>
        <w:t>》，《文汇报》6月12日。</w:t>
      </w:r>
    </w:p>
  </w:footnote>
  <w:footnote w:id="369">
    <w:p w14:paraId="3490FDDA">
      <w:pPr>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sz w:val="18"/>
          <w:szCs w:val="18"/>
        </w:rPr>
        <w:t xml:space="preserve"> 张宇燕，2007，《世界能源格局与中国的能源安全》，《世界经济》第9期。</w:t>
      </w:r>
    </w:p>
    <w:p w14:paraId="7FD8E8FD">
      <w:pPr>
        <w:rPr>
          <w:rFonts w:ascii="宋体" w:hAnsi="宋体" w:eastAsia="宋体"/>
          <w:sz w:val="18"/>
          <w:szCs w:val="18"/>
        </w:rPr>
      </w:pPr>
    </w:p>
  </w:footnote>
  <w:footnote w:id="370">
    <w:p w14:paraId="3A3C26DC">
      <w:pPr>
        <w:pStyle w:val="12"/>
        <w:snapToGrid/>
        <w:jc w:val="both"/>
        <w:rPr>
          <w:rFonts w:ascii="宋体" w:hAnsi="宋体"/>
        </w:rPr>
      </w:pPr>
      <w:r>
        <w:rPr>
          <w:rStyle w:val="20"/>
          <w:rFonts w:ascii="宋体" w:hAnsi="宋体" w:eastAsia="宋体"/>
        </w:rPr>
        <w:footnoteRef/>
      </w:r>
      <w:r>
        <w:rPr>
          <w:rFonts w:hint="eastAsia" w:ascii="宋体" w:hAnsi="宋体" w:cs="AdobeSongStd-Light"/>
        </w:rPr>
        <w:t>资料来源</w:t>
      </w:r>
      <w:r>
        <w:rPr>
          <w:rFonts w:ascii="宋体" w:hAnsi="宋体" w:cs="AdobeSongStd-Light"/>
        </w:rPr>
        <w:t>：</w:t>
      </w:r>
      <w:r>
        <w:rPr>
          <w:rFonts w:ascii="宋体" w:hAnsi="宋体"/>
        </w:rPr>
        <w:t xml:space="preserve">Population Division of the Department of Economic and So2cial Affairs of the United Nations Secretariat，World Population Prospects：The 2002 Revision. </w:t>
      </w:r>
      <w:r>
        <w:rPr>
          <w:rFonts w:hint="eastAsia" w:ascii="宋体" w:hAnsi="宋体" w:cs="AdobeSongStd-Light"/>
        </w:rPr>
        <w:t>下文凡“占世界比重”</w:t>
      </w:r>
      <w:r>
        <w:rPr>
          <w:rFonts w:ascii="宋体" w:hAnsi="宋体" w:cs="AdobeSongStd-Light"/>
        </w:rPr>
        <w:t>，</w:t>
      </w:r>
      <w:r>
        <w:rPr>
          <w:rFonts w:hint="eastAsia" w:ascii="宋体" w:hAnsi="宋体" w:cs="AdobeSongStd-Light"/>
        </w:rPr>
        <w:t>来源均同此。</w:t>
      </w:r>
    </w:p>
  </w:footnote>
  <w:footnote w:id="371">
    <w:p w14:paraId="29309A64">
      <w:pPr>
        <w:autoSpaceDE w:val="0"/>
        <w:autoSpaceDN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中国社科院人口与劳经研究所</w:t>
      </w:r>
      <w:r>
        <w:rPr>
          <w:rFonts w:ascii="宋体" w:hAnsi="宋体" w:eastAsia="宋体"/>
          <w:sz w:val="18"/>
          <w:szCs w:val="18"/>
        </w:rPr>
        <w:t>：</w:t>
      </w:r>
      <w:r>
        <w:rPr>
          <w:rFonts w:hint="eastAsia" w:ascii="宋体" w:hAnsi="宋体" w:eastAsia="宋体" w:cs="AdobeSongStd-Light"/>
          <w:sz w:val="18"/>
          <w:szCs w:val="18"/>
        </w:rPr>
        <w:t>《中国人口年鉴-</w:t>
      </w:r>
      <w:r>
        <w:rPr>
          <w:rFonts w:ascii="宋体" w:hAnsi="宋体" w:eastAsia="宋体"/>
          <w:sz w:val="18"/>
          <w:szCs w:val="18"/>
        </w:rPr>
        <w:t>2008</w:t>
      </w:r>
      <w:r>
        <w:rPr>
          <w:rFonts w:hint="eastAsia" w:ascii="宋体" w:hAnsi="宋体" w:eastAsia="宋体" w:cs="AdobeSongStd-Light"/>
          <w:sz w:val="18"/>
          <w:szCs w:val="18"/>
        </w:rPr>
        <w:t>》</w:t>
      </w:r>
      <w:r>
        <w:rPr>
          <w:rFonts w:ascii="宋体" w:hAnsi="宋体" w:eastAsia="宋体"/>
          <w:sz w:val="18"/>
          <w:szCs w:val="18"/>
        </w:rPr>
        <w:t>，</w:t>
      </w:r>
      <w:r>
        <w:rPr>
          <w:rFonts w:hint="eastAsia" w:ascii="宋体" w:hAnsi="宋体" w:eastAsia="宋体" w:cs="AdobeSongStd-Light"/>
          <w:sz w:val="18"/>
          <w:szCs w:val="18"/>
        </w:rPr>
        <w:t>中国人口年鉴杂志社</w:t>
      </w:r>
      <w:r>
        <w:rPr>
          <w:rFonts w:ascii="宋体" w:hAnsi="宋体" w:eastAsia="宋体"/>
          <w:sz w:val="18"/>
          <w:szCs w:val="18"/>
        </w:rPr>
        <w:t>，2008</w:t>
      </w:r>
      <w:r>
        <w:rPr>
          <w:rFonts w:hint="eastAsia" w:ascii="宋体" w:hAnsi="宋体" w:eastAsia="宋体" w:cs="AdobeSongStd-Light"/>
          <w:sz w:val="18"/>
          <w:szCs w:val="18"/>
        </w:rPr>
        <w:t>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93</w:t>
      </w:r>
      <w:r>
        <w:rPr>
          <w:rFonts w:hint="eastAsia" w:ascii="宋体" w:hAnsi="宋体" w:eastAsia="宋体" w:cs="AdobeSongStd-Light"/>
          <w:sz w:val="18"/>
          <w:szCs w:val="18"/>
        </w:rPr>
        <w:t>页</w:t>
      </w:r>
    </w:p>
  </w:footnote>
  <w:footnote w:id="372">
    <w:p w14:paraId="6C7F8BE0">
      <w:pPr>
        <w:autoSpaceDE w:val="0"/>
        <w:autoSpaceDN w:val="0"/>
        <w:adjustRightIn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张维庆</w:t>
      </w:r>
      <w:r>
        <w:rPr>
          <w:rFonts w:hint="eastAsia" w:ascii="宋体" w:hAnsi="宋体" w:eastAsia="宋体"/>
          <w:sz w:val="18"/>
          <w:szCs w:val="18"/>
        </w:rPr>
        <w:t>：</w:t>
      </w:r>
      <w:r>
        <w:rPr>
          <w:rFonts w:hint="eastAsia" w:ascii="宋体" w:hAnsi="宋体" w:eastAsia="宋体" w:cs="AdobeSongStd-Light"/>
          <w:sz w:val="18"/>
          <w:szCs w:val="18"/>
        </w:rPr>
        <w:t>《深入贯彻落实党的十七大精神</w:t>
      </w:r>
      <w:r>
        <w:rPr>
          <w:rFonts w:ascii="宋体" w:hAnsi="宋体" w:eastAsia="宋体"/>
          <w:sz w:val="18"/>
          <w:szCs w:val="18"/>
        </w:rPr>
        <w:t>，</w:t>
      </w:r>
      <w:r>
        <w:rPr>
          <w:rFonts w:hint="eastAsia" w:ascii="宋体" w:hAnsi="宋体" w:eastAsia="宋体" w:cs="AdobeSongStd-Light"/>
          <w:sz w:val="18"/>
          <w:szCs w:val="18"/>
        </w:rPr>
        <w:t>坚定不移地走中国特色统筹解决人口问题的道路》</w:t>
      </w:r>
      <w:r>
        <w:rPr>
          <w:rFonts w:ascii="宋体" w:hAnsi="宋体" w:eastAsia="宋体"/>
          <w:sz w:val="18"/>
          <w:szCs w:val="18"/>
        </w:rPr>
        <w:t>，</w:t>
      </w:r>
      <w:r>
        <w:rPr>
          <w:rFonts w:hint="eastAsia" w:ascii="宋体" w:hAnsi="宋体" w:eastAsia="宋体" w:cs="AdobeSongStd-Light"/>
          <w:sz w:val="18"/>
          <w:szCs w:val="18"/>
        </w:rPr>
        <w:t>《人口与计划生育》</w:t>
      </w:r>
      <w:r>
        <w:rPr>
          <w:rFonts w:ascii="宋体" w:hAnsi="宋体" w:eastAsia="宋体"/>
          <w:sz w:val="18"/>
          <w:szCs w:val="18"/>
        </w:rPr>
        <w:t>2008</w:t>
      </w:r>
      <w:r>
        <w:rPr>
          <w:rFonts w:hint="eastAsia" w:ascii="宋体" w:hAnsi="宋体" w:eastAsia="宋体" w:cs="AdobeSongStd-Light"/>
          <w:sz w:val="18"/>
          <w:szCs w:val="18"/>
        </w:rPr>
        <w:t>年第</w:t>
      </w:r>
      <w:r>
        <w:rPr>
          <w:rFonts w:ascii="宋体" w:hAnsi="宋体" w:eastAsia="宋体"/>
          <w:sz w:val="18"/>
          <w:szCs w:val="18"/>
        </w:rPr>
        <w:t>1</w:t>
      </w:r>
      <w:r>
        <w:rPr>
          <w:rFonts w:hint="eastAsia" w:ascii="宋体" w:hAnsi="宋体" w:eastAsia="宋体" w:cs="AdobeSongStd-Light"/>
          <w:sz w:val="18"/>
          <w:szCs w:val="18"/>
        </w:rPr>
        <w:t>期。</w:t>
      </w:r>
    </w:p>
  </w:footnote>
  <w:footnote w:id="373">
    <w:p w14:paraId="2FEDC697">
      <w:pPr>
        <w:autoSpaceDE w:val="0"/>
        <w:autoSpaceDN w:val="0"/>
        <w:adjustRightIn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张维庆</w:t>
      </w:r>
      <w:r>
        <w:rPr>
          <w:rFonts w:ascii="宋体" w:hAnsi="宋体" w:eastAsia="宋体"/>
          <w:sz w:val="18"/>
          <w:szCs w:val="18"/>
        </w:rPr>
        <w:t>：</w:t>
      </w:r>
      <w:r>
        <w:rPr>
          <w:rFonts w:hint="eastAsia" w:ascii="宋体" w:hAnsi="宋体" w:eastAsia="宋体" w:cs="AdobeSongStd-Light"/>
          <w:sz w:val="18"/>
          <w:szCs w:val="18"/>
        </w:rPr>
        <w:t>《深入贯彻落实党的十七大精神</w:t>
      </w:r>
      <w:r>
        <w:rPr>
          <w:rFonts w:ascii="宋体" w:hAnsi="宋体" w:eastAsia="宋体"/>
          <w:sz w:val="18"/>
          <w:szCs w:val="18"/>
        </w:rPr>
        <w:t>，</w:t>
      </w:r>
      <w:r>
        <w:rPr>
          <w:rFonts w:hint="eastAsia" w:ascii="宋体" w:hAnsi="宋体" w:eastAsia="宋体" w:cs="AdobeSongStd-Light"/>
          <w:sz w:val="18"/>
          <w:szCs w:val="18"/>
        </w:rPr>
        <w:t>坚定不移地走中国特色统筹解决人口问题的道路》</w:t>
      </w:r>
      <w:r>
        <w:rPr>
          <w:rFonts w:ascii="宋体" w:hAnsi="宋体" w:eastAsia="宋体"/>
          <w:sz w:val="18"/>
          <w:szCs w:val="18"/>
        </w:rPr>
        <w:t>，</w:t>
      </w:r>
      <w:r>
        <w:rPr>
          <w:rFonts w:hint="eastAsia" w:ascii="宋体" w:hAnsi="宋体" w:eastAsia="宋体" w:cs="AdobeSongStd-Light"/>
          <w:sz w:val="18"/>
          <w:szCs w:val="18"/>
        </w:rPr>
        <w:t>《人口与计划生育》</w:t>
      </w:r>
      <w:r>
        <w:rPr>
          <w:rFonts w:ascii="宋体" w:hAnsi="宋体" w:eastAsia="宋体"/>
          <w:sz w:val="18"/>
          <w:szCs w:val="18"/>
        </w:rPr>
        <w:t>2008</w:t>
      </w:r>
      <w:r>
        <w:rPr>
          <w:rFonts w:hint="eastAsia" w:ascii="宋体" w:hAnsi="宋体" w:eastAsia="宋体" w:cs="AdobeSongStd-Light"/>
          <w:sz w:val="18"/>
          <w:szCs w:val="18"/>
        </w:rPr>
        <w:t>年第</w:t>
      </w:r>
      <w:r>
        <w:rPr>
          <w:rFonts w:ascii="宋体" w:hAnsi="宋体" w:eastAsia="宋体"/>
          <w:sz w:val="18"/>
          <w:szCs w:val="18"/>
        </w:rPr>
        <w:t>1</w:t>
      </w:r>
      <w:r>
        <w:rPr>
          <w:rFonts w:hint="eastAsia" w:ascii="宋体" w:hAnsi="宋体" w:eastAsia="宋体" w:cs="AdobeSongStd-Light"/>
          <w:sz w:val="18"/>
          <w:szCs w:val="18"/>
        </w:rPr>
        <w:t>期。</w:t>
      </w:r>
    </w:p>
  </w:footnote>
  <w:footnote w:id="374">
    <w:p w14:paraId="778897F9">
      <w:pPr>
        <w:autoSpaceDE w:val="0"/>
        <w:autoSpaceDN w:val="0"/>
        <w:adjustRightIn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方光华</w:t>
      </w:r>
      <w:r>
        <w:rPr>
          <w:rFonts w:ascii="宋体" w:hAnsi="宋体" w:eastAsia="宋体"/>
          <w:sz w:val="18"/>
          <w:szCs w:val="18"/>
        </w:rPr>
        <w:t>：</w:t>
      </w:r>
      <w:r>
        <w:rPr>
          <w:rFonts w:hint="eastAsia" w:ascii="宋体" w:hAnsi="宋体" w:eastAsia="宋体" w:cs="AdobeSongStd-Light"/>
          <w:sz w:val="18"/>
          <w:szCs w:val="18"/>
        </w:rPr>
        <w:t>《中国传统文化中的敬畏》</w:t>
      </w:r>
      <w:r>
        <w:rPr>
          <w:rFonts w:ascii="宋体" w:hAnsi="宋体" w:eastAsia="宋体"/>
          <w:sz w:val="18"/>
          <w:szCs w:val="18"/>
        </w:rPr>
        <w:t>，</w:t>
      </w:r>
      <w:r>
        <w:rPr>
          <w:rFonts w:hint="eastAsia" w:ascii="宋体" w:hAnsi="宋体" w:eastAsia="宋体" w:cs="AdobeSongStd-Light"/>
          <w:sz w:val="18"/>
          <w:szCs w:val="18"/>
        </w:rPr>
        <w:t>《中国社会科学院报》</w:t>
      </w:r>
      <w:r>
        <w:rPr>
          <w:rFonts w:ascii="宋体" w:hAnsi="宋体" w:eastAsia="宋体"/>
          <w:sz w:val="18"/>
          <w:szCs w:val="18"/>
        </w:rPr>
        <w:t>2009</w:t>
      </w:r>
      <w:r>
        <w:rPr>
          <w:rFonts w:hint="eastAsia" w:ascii="宋体" w:hAnsi="宋体" w:eastAsia="宋体" w:cs="AdobeSongStd-Light"/>
          <w:sz w:val="18"/>
          <w:szCs w:val="18"/>
        </w:rPr>
        <w:t>年</w:t>
      </w:r>
      <w:r>
        <w:rPr>
          <w:rFonts w:ascii="宋体" w:hAnsi="宋体" w:eastAsia="宋体"/>
          <w:sz w:val="18"/>
          <w:szCs w:val="18"/>
        </w:rPr>
        <w:t>4</w:t>
      </w:r>
      <w:r>
        <w:rPr>
          <w:rFonts w:hint="eastAsia" w:ascii="宋体" w:hAnsi="宋体" w:eastAsia="宋体" w:cs="AdobeSongStd-Light"/>
          <w:sz w:val="18"/>
          <w:szCs w:val="18"/>
        </w:rPr>
        <w:t>月</w:t>
      </w:r>
      <w:r>
        <w:rPr>
          <w:rFonts w:ascii="宋体" w:hAnsi="宋体" w:eastAsia="宋体"/>
          <w:sz w:val="18"/>
          <w:szCs w:val="18"/>
        </w:rPr>
        <w:t>14</w:t>
      </w:r>
      <w:r>
        <w:rPr>
          <w:rFonts w:hint="eastAsia" w:ascii="宋体" w:hAnsi="宋体" w:eastAsia="宋体" w:cs="AdobeSongStd-Light"/>
          <w:sz w:val="18"/>
          <w:szCs w:val="18"/>
        </w:rPr>
        <w:t>日</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8</w:t>
      </w:r>
      <w:r>
        <w:rPr>
          <w:rFonts w:hint="eastAsia" w:ascii="宋体" w:hAnsi="宋体" w:eastAsia="宋体" w:cs="AdobeSongStd-Light"/>
          <w:sz w:val="18"/>
          <w:szCs w:val="18"/>
        </w:rPr>
        <w:t>版。</w:t>
      </w:r>
    </w:p>
  </w:footnote>
  <w:footnote w:id="375">
    <w:p w14:paraId="3A4CA72B">
      <w:pPr>
        <w:pStyle w:val="12"/>
        <w:snapToGrid/>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cs="AdobeSongStd-Light"/>
        </w:rPr>
        <w:t>曲格平</w:t>
      </w:r>
      <w:r>
        <w:rPr>
          <w:rFonts w:ascii="宋体" w:hAnsi="宋体"/>
        </w:rPr>
        <w:t>：</w:t>
      </w:r>
      <w:r>
        <w:rPr>
          <w:rFonts w:hint="eastAsia" w:ascii="宋体" w:hAnsi="宋体" w:cs="AdobeSongStd-Light"/>
        </w:rPr>
        <w:t>《梦想与期待</w:t>
      </w:r>
      <w:r>
        <w:rPr>
          <w:rFonts w:ascii="宋体" w:hAnsi="宋体"/>
        </w:rPr>
        <w:t>：</w:t>
      </w:r>
      <w:r>
        <w:rPr>
          <w:rFonts w:hint="eastAsia" w:ascii="宋体" w:hAnsi="宋体" w:cs="AdobeSongStd-Light"/>
        </w:rPr>
        <w:t>中国环境保护的过去与未来》</w:t>
      </w:r>
      <w:r>
        <w:rPr>
          <w:rFonts w:ascii="宋体" w:hAnsi="宋体"/>
        </w:rPr>
        <w:t>，</w:t>
      </w:r>
      <w:r>
        <w:rPr>
          <w:rFonts w:hint="eastAsia" w:ascii="宋体" w:hAnsi="宋体" w:cs="AdobeSongStd-Light"/>
        </w:rPr>
        <w:t>中国环境科学出版社</w:t>
      </w:r>
      <w:r>
        <w:rPr>
          <w:rFonts w:ascii="宋体" w:hAnsi="宋体"/>
        </w:rPr>
        <w:t>，2004</w:t>
      </w:r>
      <w:r>
        <w:rPr>
          <w:rFonts w:hint="eastAsia" w:ascii="宋体" w:hAnsi="宋体" w:cs="AdobeSongStd-Light"/>
        </w:rPr>
        <w:t>年</w:t>
      </w:r>
      <w:r>
        <w:rPr>
          <w:rFonts w:ascii="宋体" w:hAnsi="宋体"/>
        </w:rPr>
        <w:t>，</w:t>
      </w:r>
      <w:r>
        <w:rPr>
          <w:rFonts w:hint="eastAsia" w:ascii="宋体" w:hAnsi="宋体" w:cs="AdobeSongStd-Light"/>
        </w:rPr>
        <w:t>第</w:t>
      </w:r>
      <w:r>
        <w:rPr>
          <w:rFonts w:ascii="宋体" w:hAnsi="宋体"/>
        </w:rPr>
        <w:t>18</w:t>
      </w:r>
      <w:r>
        <w:rPr>
          <w:rFonts w:hint="eastAsia" w:ascii="宋体" w:hAnsi="宋体" w:cs="AdobeSongStd-Light"/>
        </w:rPr>
        <w:t>-</w:t>
      </w:r>
      <w:r>
        <w:rPr>
          <w:rFonts w:ascii="宋体" w:hAnsi="宋体"/>
        </w:rPr>
        <w:t>19</w:t>
      </w:r>
      <w:r>
        <w:rPr>
          <w:rFonts w:hint="eastAsia" w:ascii="宋体" w:hAnsi="宋体" w:cs="AdobeSongStd-Light"/>
        </w:rPr>
        <w:t>页</w:t>
      </w:r>
    </w:p>
  </w:footnote>
  <w:footnote w:id="376">
    <w:p w14:paraId="3A8858EC">
      <w:pPr>
        <w:autoSpaceDE w:val="0"/>
        <w:autoSpaceDN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w:t>
      </w:r>
      <w:r>
        <w:rPr>
          <w:rFonts w:hint="eastAsia" w:ascii="宋体" w:hAnsi="宋体" w:eastAsia="宋体" w:cs="AdobeSongStd-Light"/>
          <w:sz w:val="18"/>
          <w:szCs w:val="18"/>
        </w:rPr>
        <w:t>国务院新闻办公室</w:t>
      </w:r>
      <w:r>
        <w:rPr>
          <w:rFonts w:ascii="宋体" w:hAnsi="宋体" w:eastAsia="宋体"/>
          <w:sz w:val="18"/>
          <w:szCs w:val="18"/>
        </w:rPr>
        <w:t>：</w:t>
      </w:r>
      <w:r>
        <w:rPr>
          <w:rFonts w:hint="eastAsia" w:ascii="宋体" w:hAnsi="宋体" w:eastAsia="宋体" w:cs="AdobeSongStd-Light"/>
          <w:sz w:val="18"/>
          <w:szCs w:val="18"/>
        </w:rPr>
        <w:t>《中国环境保护</w:t>
      </w:r>
      <w:r>
        <w:rPr>
          <w:rFonts w:ascii="宋体" w:hAnsi="宋体" w:eastAsia="宋体"/>
          <w:sz w:val="18"/>
          <w:szCs w:val="18"/>
        </w:rPr>
        <w:t>1996</w:t>
      </w:r>
      <w:r>
        <w:rPr>
          <w:rFonts w:hint="eastAsia" w:ascii="宋体" w:hAnsi="宋体" w:eastAsia="宋体" w:cs="AdobeSongStd-Light"/>
          <w:sz w:val="18"/>
          <w:szCs w:val="18"/>
        </w:rPr>
        <w:t>—</w:t>
      </w:r>
      <w:r>
        <w:rPr>
          <w:rFonts w:ascii="宋体" w:hAnsi="宋体" w:eastAsia="宋体"/>
          <w:sz w:val="18"/>
          <w:szCs w:val="18"/>
        </w:rPr>
        <w:t>2005</w:t>
      </w:r>
      <w:r>
        <w:rPr>
          <w:rFonts w:hint="eastAsia" w:ascii="宋体" w:hAnsi="宋体" w:eastAsia="宋体" w:cs="AdobeSongStd-Light"/>
          <w:sz w:val="18"/>
          <w:szCs w:val="18"/>
        </w:rPr>
        <w:t>》</w:t>
      </w:r>
      <w:r>
        <w:rPr>
          <w:rFonts w:ascii="宋体" w:hAnsi="宋体" w:eastAsia="宋体"/>
          <w:sz w:val="18"/>
          <w:szCs w:val="18"/>
        </w:rPr>
        <w:t>，2006</w:t>
      </w:r>
      <w:r>
        <w:rPr>
          <w:rFonts w:hint="eastAsia" w:ascii="宋体" w:hAnsi="宋体" w:eastAsia="宋体" w:cs="AdobeSongStd-Light"/>
          <w:sz w:val="18"/>
          <w:szCs w:val="18"/>
        </w:rPr>
        <w:t>年</w:t>
      </w:r>
      <w:r>
        <w:rPr>
          <w:rFonts w:ascii="宋体" w:hAnsi="宋体" w:eastAsia="宋体"/>
          <w:sz w:val="18"/>
          <w:szCs w:val="18"/>
        </w:rPr>
        <w:t>6</w:t>
      </w:r>
      <w:r>
        <w:rPr>
          <w:rFonts w:hint="eastAsia" w:ascii="宋体" w:hAnsi="宋体" w:eastAsia="宋体" w:cs="AdobeSongStd-Light"/>
          <w:sz w:val="18"/>
          <w:szCs w:val="18"/>
        </w:rPr>
        <w:t>月</w:t>
      </w:r>
      <w:r>
        <w:rPr>
          <w:rFonts w:ascii="宋体" w:hAnsi="宋体" w:eastAsia="宋体"/>
          <w:sz w:val="18"/>
          <w:szCs w:val="18"/>
        </w:rPr>
        <w:t>5</w:t>
      </w:r>
      <w:r>
        <w:rPr>
          <w:rFonts w:hint="eastAsia" w:ascii="宋体" w:hAnsi="宋体" w:eastAsia="宋体" w:cs="AdobeSongStd-Light"/>
          <w:sz w:val="18"/>
          <w:szCs w:val="18"/>
        </w:rPr>
        <w:t>日。</w:t>
      </w:r>
      <w:r>
        <w:rPr>
          <w:rFonts w:ascii="宋体" w:hAnsi="宋体" w:eastAsia="宋体"/>
          <w:sz w:val="18"/>
          <w:szCs w:val="18"/>
        </w:rPr>
        <w:t>http：</w:t>
      </w:r>
      <w:r>
        <w:rPr>
          <w:rFonts w:ascii="宋体" w:hAnsi="宋体" w:eastAsia="宋体" w:cs="Times New Roman"/>
          <w:sz w:val="18"/>
          <w:szCs w:val="18"/>
        </w:rPr>
        <w:t>//www.china.com.cn/-chinese/zhuanti/book/1227980.htm.</w:t>
      </w:r>
    </w:p>
  </w:footnote>
  <w:footnote w:id="377">
    <w:p w14:paraId="2DE95413">
      <w:pPr>
        <w:autoSpaceDE w:val="0"/>
        <w:autoSpaceDN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w:t>
      </w:r>
      <w:r>
        <w:rPr>
          <w:rFonts w:hint="eastAsia" w:ascii="宋体" w:hAnsi="宋体" w:eastAsia="宋体" w:cs="AdobeSongStd-Light"/>
          <w:sz w:val="18"/>
          <w:szCs w:val="18"/>
        </w:rPr>
        <w:t>详见温家宝</w:t>
      </w:r>
      <w:r>
        <w:rPr>
          <w:rFonts w:ascii="宋体" w:hAnsi="宋体" w:eastAsia="宋体"/>
          <w:sz w:val="18"/>
          <w:szCs w:val="18"/>
        </w:rPr>
        <w:t>：</w:t>
      </w:r>
      <w:r>
        <w:rPr>
          <w:rFonts w:hint="eastAsia" w:ascii="宋体" w:hAnsi="宋体" w:eastAsia="宋体" w:cs="AdobeSongStd-Light"/>
          <w:sz w:val="18"/>
          <w:szCs w:val="18"/>
        </w:rPr>
        <w:t>《全面落实科学发展观</w:t>
      </w:r>
      <w:r>
        <w:rPr>
          <w:rFonts w:ascii="宋体" w:hAnsi="宋体" w:eastAsia="宋体"/>
          <w:sz w:val="18"/>
          <w:szCs w:val="18"/>
        </w:rPr>
        <w:t>，</w:t>
      </w:r>
      <w:r>
        <w:rPr>
          <w:rFonts w:hint="eastAsia" w:ascii="宋体" w:hAnsi="宋体" w:eastAsia="宋体" w:cs="AdobeSongStd-Light"/>
          <w:sz w:val="18"/>
          <w:szCs w:val="18"/>
        </w:rPr>
        <w:t>加快建设环境友好型社会》</w:t>
      </w:r>
      <w:r>
        <w:rPr>
          <w:rFonts w:ascii="宋体" w:hAnsi="宋体" w:eastAsia="宋体"/>
          <w:sz w:val="18"/>
          <w:szCs w:val="18"/>
        </w:rPr>
        <w:t>，</w:t>
      </w:r>
      <w:r>
        <w:rPr>
          <w:rFonts w:hint="eastAsia" w:ascii="宋体" w:hAnsi="宋体" w:eastAsia="宋体" w:cs="AdobeSongStd-Light"/>
          <w:sz w:val="18"/>
          <w:szCs w:val="18"/>
        </w:rPr>
        <w:t>第六次全国环境保护大会上的讲话</w:t>
      </w:r>
      <w:r>
        <w:rPr>
          <w:rFonts w:ascii="宋体" w:hAnsi="宋体" w:eastAsia="宋体"/>
          <w:sz w:val="18"/>
          <w:szCs w:val="18"/>
        </w:rPr>
        <w:t>(2006</w:t>
      </w:r>
      <w:r>
        <w:rPr>
          <w:rFonts w:hint="eastAsia" w:ascii="宋体" w:hAnsi="宋体" w:eastAsia="宋体" w:cs="AdobeSongStd-Light"/>
          <w:sz w:val="18"/>
          <w:szCs w:val="18"/>
        </w:rPr>
        <w:t>年</w:t>
      </w:r>
      <w:r>
        <w:rPr>
          <w:rFonts w:ascii="宋体" w:hAnsi="宋体" w:eastAsia="宋体"/>
          <w:sz w:val="18"/>
          <w:szCs w:val="18"/>
        </w:rPr>
        <w:t>4</w:t>
      </w:r>
      <w:r>
        <w:rPr>
          <w:rFonts w:hint="eastAsia" w:ascii="宋体" w:hAnsi="宋体" w:eastAsia="宋体" w:cs="AdobeSongStd-Light"/>
          <w:sz w:val="18"/>
          <w:szCs w:val="18"/>
        </w:rPr>
        <w:t>月</w:t>
      </w:r>
      <w:r>
        <w:rPr>
          <w:rFonts w:ascii="宋体" w:hAnsi="宋体" w:eastAsia="宋体"/>
          <w:sz w:val="18"/>
          <w:szCs w:val="18"/>
        </w:rPr>
        <w:t>17</w:t>
      </w:r>
      <w:r>
        <w:rPr>
          <w:rFonts w:hint="eastAsia" w:ascii="宋体" w:hAnsi="宋体" w:eastAsia="宋体" w:cs="AdobeSongStd-Light"/>
          <w:sz w:val="18"/>
          <w:szCs w:val="18"/>
        </w:rPr>
        <w:t>日</w:t>
      </w:r>
      <w:r>
        <w:rPr>
          <w:rFonts w:ascii="宋体" w:hAnsi="宋体" w:eastAsia="宋体"/>
          <w:sz w:val="18"/>
          <w:szCs w:val="18"/>
        </w:rPr>
        <w:t>)，</w:t>
      </w:r>
      <w:r>
        <w:rPr>
          <w:rFonts w:hint="eastAsia" w:ascii="宋体" w:hAnsi="宋体" w:eastAsia="宋体" w:cs="AdobeSongStd-Light"/>
          <w:sz w:val="18"/>
          <w:szCs w:val="18"/>
        </w:rPr>
        <w:t>《人民日报》</w:t>
      </w:r>
      <w:r>
        <w:rPr>
          <w:rFonts w:ascii="宋体" w:hAnsi="宋体" w:eastAsia="宋体"/>
          <w:sz w:val="18"/>
          <w:szCs w:val="18"/>
        </w:rPr>
        <w:t>2006</w:t>
      </w:r>
      <w:r>
        <w:rPr>
          <w:rFonts w:hint="eastAsia" w:ascii="宋体" w:hAnsi="宋体" w:eastAsia="宋体" w:cs="AdobeSongStd-Light"/>
          <w:sz w:val="18"/>
          <w:szCs w:val="18"/>
        </w:rPr>
        <w:t>年</w:t>
      </w:r>
      <w:r>
        <w:rPr>
          <w:rFonts w:ascii="宋体" w:hAnsi="宋体" w:eastAsia="宋体"/>
          <w:sz w:val="18"/>
          <w:szCs w:val="18"/>
        </w:rPr>
        <w:t>4</w:t>
      </w:r>
      <w:r>
        <w:rPr>
          <w:rFonts w:hint="eastAsia" w:ascii="宋体" w:hAnsi="宋体" w:eastAsia="宋体" w:cs="AdobeSongStd-Light"/>
          <w:sz w:val="18"/>
          <w:szCs w:val="18"/>
        </w:rPr>
        <w:t>月</w:t>
      </w:r>
      <w:r>
        <w:rPr>
          <w:rFonts w:ascii="宋体" w:hAnsi="宋体" w:eastAsia="宋体"/>
          <w:sz w:val="18"/>
          <w:szCs w:val="18"/>
        </w:rPr>
        <w:t>24</w:t>
      </w:r>
      <w:r>
        <w:rPr>
          <w:rFonts w:hint="eastAsia" w:ascii="宋体" w:hAnsi="宋体" w:eastAsia="宋体" w:cs="AdobeSongStd-Light"/>
          <w:sz w:val="18"/>
          <w:szCs w:val="18"/>
        </w:rPr>
        <w:t>日</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2</w:t>
      </w:r>
      <w:r>
        <w:rPr>
          <w:rFonts w:hint="eastAsia" w:ascii="宋体" w:hAnsi="宋体" w:eastAsia="宋体" w:cs="AdobeSongStd-Light"/>
          <w:sz w:val="18"/>
          <w:szCs w:val="18"/>
        </w:rPr>
        <w:t>版</w:t>
      </w:r>
    </w:p>
  </w:footnote>
  <w:footnote w:id="378">
    <w:p w14:paraId="4CEBAAFE">
      <w:pPr>
        <w:autoSpaceDE w:val="0"/>
        <w:autoSpaceDN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w:t>
      </w:r>
      <w:r>
        <w:rPr>
          <w:rFonts w:hint="eastAsia" w:ascii="宋体" w:hAnsi="宋体" w:eastAsia="宋体" w:cs="AdobeSongStd-Light"/>
          <w:sz w:val="18"/>
          <w:szCs w:val="18"/>
        </w:rPr>
        <w:t>美</w:t>
      </w:r>
      <w:r>
        <w:rPr>
          <w:rFonts w:ascii="宋体" w:hAnsi="宋体" w:eastAsia="宋体"/>
          <w:sz w:val="18"/>
          <w:szCs w:val="18"/>
        </w:rPr>
        <w:t>]</w:t>
      </w:r>
      <w:r>
        <w:rPr>
          <w:rFonts w:hint="eastAsia" w:ascii="宋体" w:hAnsi="宋体" w:eastAsia="宋体" w:cs="AdobeSongStd-Light"/>
          <w:sz w:val="18"/>
          <w:szCs w:val="18"/>
        </w:rPr>
        <w:t>赫尔曼·</w:t>
      </w:r>
      <w:r>
        <w:rPr>
          <w:rFonts w:ascii="宋体" w:hAnsi="宋体" w:eastAsia="宋体"/>
          <w:sz w:val="18"/>
          <w:szCs w:val="18"/>
        </w:rPr>
        <w:t>E.</w:t>
      </w:r>
      <w:r>
        <w:rPr>
          <w:rFonts w:hint="eastAsia" w:ascii="宋体" w:hAnsi="宋体" w:eastAsia="宋体" w:cs="AdobeSongStd-Light"/>
          <w:sz w:val="18"/>
          <w:szCs w:val="18"/>
        </w:rPr>
        <w:t>戴利</w:t>
      </w:r>
      <w:r>
        <w:rPr>
          <w:rFonts w:ascii="宋体" w:hAnsi="宋体" w:eastAsia="宋体"/>
          <w:sz w:val="18"/>
          <w:szCs w:val="18"/>
        </w:rPr>
        <w:t>：</w:t>
      </w:r>
      <w:r>
        <w:rPr>
          <w:rFonts w:hint="eastAsia" w:ascii="宋体" w:hAnsi="宋体" w:eastAsia="宋体" w:cs="AdobeSongStd-Light"/>
          <w:sz w:val="18"/>
          <w:szCs w:val="18"/>
        </w:rPr>
        <w:t>《超越增长</w:t>
      </w:r>
      <w:r>
        <w:rPr>
          <w:rFonts w:ascii="宋体" w:hAnsi="宋体" w:eastAsia="宋体"/>
          <w:sz w:val="18"/>
          <w:szCs w:val="18"/>
        </w:rPr>
        <w:t>：</w:t>
      </w:r>
      <w:r>
        <w:rPr>
          <w:rFonts w:hint="eastAsia" w:ascii="宋体" w:hAnsi="宋体" w:eastAsia="宋体" w:cs="AdobeSongStd-Light"/>
          <w:sz w:val="18"/>
          <w:szCs w:val="18"/>
        </w:rPr>
        <w:t>可持续发展的经济学》</w:t>
      </w:r>
      <w:r>
        <w:rPr>
          <w:rFonts w:ascii="宋体" w:hAnsi="宋体" w:eastAsia="宋体"/>
          <w:sz w:val="18"/>
          <w:szCs w:val="18"/>
        </w:rPr>
        <w:t>，</w:t>
      </w:r>
      <w:r>
        <w:rPr>
          <w:rFonts w:hint="eastAsia" w:ascii="宋体" w:hAnsi="宋体" w:eastAsia="宋体" w:cs="AdobeSongStd-Light"/>
          <w:sz w:val="18"/>
          <w:szCs w:val="18"/>
        </w:rPr>
        <w:t>诸大健等译</w:t>
      </w:r>
      <w:r>
        <w:rPr>
          <w:rFonts w:ascii="宋体" w:hAnsi="宋体" w:eastAsia="宋体"/>
          <w:sz w:val="18"/>
          <w:szCs w:val="18"/>
        </w:rPr>
        <w:t>，</w:t>
      </w:r>
      <w:r>
        <w:rPr>
          <w:rFonts w:hint="eastAsia" w:ascii="宋体" w:hAnsi="宋体" w:eastAsia="宋体" w:cs="AdobeSongStd-Light"/>
          <w:sz w:val="18"/>
          <w:szCs w:val="18"/>
        </w:rPr>
        <w:t>上海译文出版社</w:t>
      </w:r>
      <w:r>
        <w:rPr>
          <w:rFonts w:ascii="宋体" w:hAnsi="宋体" w:eastAsia="宋体"/>
          <w:sz w:val="18"/>
          <w:szCs w:val="18"/>
        </w:rPr>
        <w:t>，2001</w:t>
      </w:r>
      <w:r>
        <w:rPr>
          <w:rFonts w:hint="eastAsia" w:ascii="宋体" w:hAnsi="宋体" w:eastAsia="宋体" w:cs="AdobeSongStd-Light"/>
          <w:sz w:val="18"/>
          <w:szCs w:val="18"/>
        </w:rPr>
        <w:t>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21</w:t>
      </w:r>
      <w:r>
        <w:rPr>
          <w:rFonts w:hint="eastAsia" w:ascii="宋体" w:hAnsi="宋体" w:eastAsia="宋体" w:cs="AdobeSongStd-Light"/>
          <w:sz w:val="18"/>
          <w:szCs w:val="18"/>
        </w:rPr>
        <w:t>、</w:t>
      </w:r>
      <w:r>
        <w:rPr>
          <w:rFonts w:ascii="宋体" w:hAnsi="宋体" w:eastAsia="宋体"/>
          <w:sz w:val="18"/>
          <w:szCs w:val="18"/>
        </w:rPr>
        <w:t>70</w:t>
      </w:r>
      <w:r>
        <w:rPr>
          <w:rFonts w:hint="eastAsia" w:ascii="宋体" w:hAnsi="宋体" w:eastAsia="宋体" w:cs="AdobeSongStd-Light"/>
          <w:sz w:val="18"/>
          <w:szCs w:val="18"/>
        </w:rPr>
        <w:t>、</w:t>
      </w:r>
      <w:r>
        <w:rPr>
          <w:rFonts w:ascii="宋体" w:hAnsi="宋体" w:eastAsia="宋体"/>
          <w:sz w:val="18"/>
          <w:szCs w:val="18"/>
        </w:rPr>
        <w:t>46</w:t>
      </w:r>
      <w:r>
        <w:rPr>
          <w:rFonts w:hint="eastAsia" w:ascii="宋体" w:hAnsi="宋体" w:eastAsia="宋体" w:cs="AdobeSongStd-Light"/>
          <w:sz w:val="18"/>
          <w:szCs w:val="18"/>
        </w:rPr>
        <w:t>—</w:t>
      </w:r>
      <w:r>
        <w:rPr>
          <w:rFonts w:ascii="宋体" w:hAnsi="宋体" w:eastAsia="宋体"/>
          <w:sz w:val="18"/>
          <w:szCs w:val="18"/>
        </w:rPr>
        <w:t>47</w:t>
      </w:r>
      <w:r>
        <w:rPr>
          <w:rFonts w:hint="eastAsia" w:ascii="宋体" w:hAnsi="宋体" w:eastAsia="宋体" w:cs="AdobeSongStd-Light"/>
          <w:sz w:val="18"/>
          <w:szCs w:val="18"/>
        </w:rPr>
        <w:t>页。</w:t>
      </w:r>
    </w:p>
  </w:footnote>
  <w:footnote w:id="379">
    <w:p w14:paraId="1C891EE4">
      <w:pPr>
        <w:autoSpaceDE w:val="0"/>
        <w:autoSpaceDN w:val="0"/>
        <w:adjustRightInd w:val="0"/>
        <w:snapToGri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《中华人民共和国年鉴</w:t>
      </w:r>
      <w:r>
        <w:rPr>
          <w:rFonts w:ascii="宋体" w:hAnsi="宋体" w:eastAsia="宋体"/>
          <w:sz w:val="18"/>
          <w:szCs w:val="18"/>
        </w:rPr>
        <w:t>2008</w:t>
      </w:r>
      <w:r>
        <w:rPr>
          <w:rFonts w:hint="eastAsia" w:ascii="宋体" w:hAnsi="宋体" w:eastAsia="宋体" w:cs="AdobeSongStd-Light"/>
          <w:sz w:val="18"/>
          <w:szCs w:val="18"/>
        </w:rPr>
        <w:t>》</w:t>
      </w:r>
      <w:r>
        <w:rPr>
          <w:rFonts w:ascii="宋体" w:hAnsi="宋体" w:eastAsia="宋体"/>
          <w:sz w:val="18"/>
          <w:szCs w:val="18"/>
        </w:rPr>
        <w:t>，</w:t>
      </w:r>
      <w:r>
        <w:rPr>
          <w:rFonts w:hint="eastAsia" w:ascii="宋体" w:hAnsi="宋体" w:eastAsia="宋体" w:cs="AdobeSongStd-Light"/>
          <w:sz w:val="18"/>
          <w:szCs w:val="18"/>
        </w:rPr>
        <w:t>中华人民共和国年鉴社</w:t>
      </w:r>
      <w:r>
        <w:rPr>
          <w:rFonts w:ascii="宋体" w:hAnsi="宋体" w:eastAsia="宋体"/>
          <w:sz w:val="18"/>
          <w:szCs w:val="18"/>
        </w:rPr>
        <w:t>，2008</w:t>
      </w:r>
      <w:r>
        <w:rPr>
          <w:rFonts w:hint="eastAsia" w:ascii="宋体" w:hAnsi="宋体" w:eastAsia="宋体" w:cs="AdobeSongStd-Light"/>
          <w:sz w:val="18"/>
          <w:szCs w:val="18"/>
        </w:rPr>
        <w:t>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964</w:t>
      </w:r>
      <w:r>
        <w:rPr>
          <w:rFonts w:hint="eastAsia" w:ascii="宋体" w:hAnsi="宋体" w:eastAsia="宋体" w:cs="AdobeSongStd-Light"/>
          <w:sz w:val="18"/>
          <w:szCs w:val="18"/>
        </w:rPr>
        <w:t>页。</w:t>
      </w:r>
    </w:p>
  </w:footnote>
  <w:footnote w:id="380">
    <w:p w14:paraId="75C8D56E">
      <w:pPr>
        <w:autoSpaceDE w:val="0"/>
        <w:autoSpaceDN w:val="0"/>
        <w:adjustRightInd w:val="0"/>
        <w:snapToGri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 xml:space="preserve"> 张维庆</w:t>
      </w:r>
      <w:r>
        <w:rPr>
          <w:rFonts w:ascii="宋体" w:hAnsi="宋体" w:eastAsia="宋体"/>
          <w:sz w:val="18"/>
          <w:szCs w:val="18"/>
        </w:rPr>
        <w:t>：</w:t>
      </w:r>
      <w:r>
        <w:rPr>
          <w:rFonts w:hint="eastAsia" w:ascii="宋体" w:hAnsi="宋体" w:eastAsia="宋体" w:cs="AdobeSongStd-Light"/>
          <w:sz w:val="18"/>
          <w:szCs w:val="18"/>
        </w:rPr>
        <w:t>《深入贯彻落实党的十七大精神</w:t>
      </w:r>
      <w:r>
        <w:rPr>
          <w:rFonts w:ascii="宋体" w:hAnsi="宋体" w:eastAsia="宋体"/>
          <w:sz w:val="18"/>
          <w:szCs w:val="18"/>
        </w:rPr>
        <w:t>，</w:t>
      </w:r>
      <w:r>
        <w:rPr>
          <w:rFonts w:hint="eastAsia" w:ascii="宋体" w:hAnsi="宋体" w:eastAsia="宋体" w:cs="AdobeSongStd-Light"/>
          <w:sz w:val="18"/>
          <w:szCs w:val="18"/>
        </w:rPr>
        <w:t>坚定不移地走中国特色统筹解决人口问题的道路》</w:t>
      </w:r>
      <w:r>
        <w:rPr>
          <w:rFonts w:ascii="宋体" w:hAnsi="宋体" w:eastAsia="宋体"/>
          <w:sz w:val="18"/>
          <w:szCs w:val="18"/>
        </w:rPr>
        <w:t>，</w:t>
      </w:r>
      <w:r>
        <w:rPr>
          <w:rFonts w:hint="eastAsia" w:ascii="宋体" w:hAnsi="宋体" w:eastAsia="宋体" w:cs="AdobeSongStd-Light"/>
          <w:sz w:val="18"/>
          <w:szCs w:val="18"/>
        </w:rPr>
        <w:t>《人口与计划生育》</w:t>
      </w:r>
      <w:r>
        <w:rPr>
          <w:rFonts w:ascii="宋体" w:hAnsi="宋体" w:eastAsia="宋体"/>
          <w:sz w:val="18"/>
          <w:szCs w:val="18"/>
        </w:rPr>
        <w:t>2008</w:t>
      </w:r>
      <w:r>
        <w:rPr>
          <w:rFonts w:hint="eastAsia" w:ascii="宋体" w:hAnsi="宋体" w:eastAsia="宋体" w:cs="AdobeSongStd-Light"/>
          <w:sz w:val="18"/>
          <w:szCs w:val="18"/>
        </w:rPr>
        <w:t>年第</w:t>
      </w:r>
      <w:r>
        <w:rPr>
          <w:rFonts w:ascii="宋体" w:hAnsi="宋体" w:eastAsia="宋体"/>
          <w:sz w:val="18"/>
          <w:szCs w:val="18"/>
        </w:rPr>
        <w:t>1</w:t>
      </w:r>
      <w:r>
        <w:rPr>
          <w:rFonts w:hint="eastAsia" w:ascii="宋体" w:hAnsi="宋体" w:eastAsia="宋体" w:cs="AdobeSongStd-Light"/>
          <w:sz w:val="18"/>
          <w:szCs w:val="18"/>
        </w:rPr>
        <w:t>期。</w:t>
      </w:r>
    </w:p>
  </w:footnote>
  <w:footnote w:id="381">
    <w:p w14:paraId="430F7C49">
      <w:pPr>
        <w:autoSpaceDE w:val="0"/>
        <w:autoSpaceDN w:val="0"/>
        <w:adjustRightInd w:val="0"/>
        <w:snapToGrid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w:t>
      </w:r>
      <w:r>
        <w:rPr>
          <w:rFonts w:hint="eastAsia" w:ascii="宋体" w:hAnsi="宋体" w:eastAsia="宋体" w:cs="AdobeSongStd-Light"/>
          <w:sz w:val="18"/>
          <w:szCs w:val="18"/>
        </w:rPr>
        <w:t>马克思</w:t>
      </w:r>
      <w:r>
        <w:rPr>
          <w:rFonts w:ascii="宋体" w:hAnsi="宋体" w:eastAsia="宋体"/>
          <w:sz w:val="18"/>
          <w:szCs w:val="18"/>
        </w:rPr>
        <w:t>：</w:t>
      </w:r>
      <w:r>
        <w:rPr>
          <w:rFonts w:hint="eastAsia" w:ascii="宋体" w:hAnsi="宋体" w:eastAsia="宋体" w:cs="AdobeSongStd-Light"/>
          <w:sz w:val="18"/>
          <w:szCs w:val="18"/>
        </w:rPr>
        <w:t>《资本论》第</w:t>
      </w:r>
      <w:r>
        <w:rPr>
          <w:rFonts w:ascii="宋体" w:hAnsi="宋体" w:eastAsia="宋体"/>
          <w:sz w:val="18"/>
          <w:szCs w:val="18"/>
        </w:rPr>
        <w:t>1</w:t>
      </w:r>
      <w:r>
        <w:rPr>
          <w:rFonts w:hint="eastAsia" w:ascii="宋体" w:hAnsi="宋体" w:eastAsia="宋体" w:cs="AdobeSongStd-Light"/>
          <w:sz w:val="18"/>
          <w:szCs w:val="18"/>
        </w:rPr>
        <w:t>卷</w:t>
      </w:r>
      <w:r>
        <w:rPr>
          <w:rFonts w:ascii="宋体" w:hAnsi="宋体" w:eastAsia="宋体"/>
          <w:sz w:val="18"/>
          <w:szCs w:val="18"/>
        </w:rPr>
        <w:t>，</w:t>
      </w:r>
      <w:r>
        <w:rPr>
          <w:rFonts w:hint="eastAsia" w:ascii="宋体" w:hAnsi="宋体" w:eastAsia="宋体" w:cs="AdobeSongStd-Light"/>
          <w:sz w:val="18"/>
          <w:szCs w:val="18"/>
        </w:rPr>
        <w:t>人民出版社</w:t>
      </w:r>
      <w:r>
        <w:rPr>
          <w:rFonts w:ascii="宋体" w:hAnsi="宋体" w:eastAsia="宋体"/>
          <w:sz w:val="18"/>
          <w:szCs w:val="18"/>
        </w:rPr>
        <w:t>，1975</w:t>
      </w:r>
      <w:r>
        <w:rPr>
          <w:rFonts w:hint="eastAsia" w:ascii="宋体" w:hAnsi="宋体" w:eastAsia="宋体" w:cs="AdobeSongStd-Light"/>
          <w:sz w:val="18"/>
          <w:szCs w:val="18"/>
        </w:rPr>
        <w:t>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201</w:t>
      </w:r>
      <w:r>
        <w:rPr>
          <w:rFonts w:hint="eastAsia" w:ascii="宋体" w:hAnsi="宋体" w:eastAsia="宋体" w:cs="AdobeSongStd-Light"/>
          <w:sz w:val="18"/>
          <w:szCs w:val="18"/>
        </w:rPr>
        <w:t>-</w:t>
      </w:r>
      <w:r>
        <w:rPr>
          <w:rFonts w:ascii="宋体" w:hAnsi="宋体" w:eastAsia="宋体"/>
          <w:sz w:val="18"/>
          <w:szCs w:val="18"/>
        </w:rPr>
        <w:t>202</w:t>
      </w:r>
      <w:r>
        <w:rPr>
          <w:rFonts w:hint="eastAsia" w:ascii="宋体" w:hAnsi="宋体" w:eastAsia="宋体" w:cs="AdobeSongStd-Light"/>
          <w:sz w:val="18"/>
          <w:szCs w:val="18"/>
        </w:rPr>
        <w:t>页</w:t>
      </w:r>
    </w:p>
  </w:footnote>
  <w:footnote w:id="382">
    <w:p w14:paraId="7D412524">
      <w:pPr>
        <w:autoSpaceDE w:val="0"/>
        <w:autoSpaceDN w:val="0"/>
        <w:adjustRightInd w:val="0"/>
        <w:snapToGrid w:val="0"/>
        <w:rPr>
          <w:rFonts w:ascii="宋体" w:hAnsi="宋体" w:eastAsia="宋体" w:cs="AdobeSongStd-Light"/>
          <w:sz w:val="18"/>
          <w:szCs w:val="18"/>
        </w:rPr>
      </w:pPr>
      <w:r>
        <w:rPr>
          <w:rStyle w:val="20"/>
          <w:rFonts w:ascii="宋体" w:hAnsi="宋体" w:eastAsia="宋体"/>
          <w:sz w:val="18"/>
          <w:szCs w:val="18"/>
        </w:rPr>
        <w:footnoteRef/>
      </w:r>
      <w:r>
        <w:rPr>
          <w:rFonts w:hint="eastAsia" w:ascii="宋体" w:hAnsi="宋体" w:eastAsia="宋体" w:cs="AdobeSongStd-Light"/>
          <w:sz w:val="18"/>
          <w:szCs w:val="18"/>
        </w:rPr>
        <w:t xml:space="preserve"> 李成勋</w:t>
      </w:r>
      <w:r>
        <w:rPr>
          <w:rFonts w:ascii="宋体" w:hAnsi="宋体" w:eastAsia="宋体"/>
          <w:sz w:val="18"/>
          <w:szCs w:val="18"/>
        </w:rPr>
        <w:t>：</w:t>
      </w:r>
      <w:r>
        <w:rPr>
          <w:rFonts w:hint="eastAsia" w:ascii="宋体" w:hAnsi="宋体" w:eastAsia="宋体" w:cs="AdobeSongStd-Light"/>
          <w:sz w:val="18"/>
          <w:szCs w:val="18"/>
        </w:rPr>
        <w:t>《可持续发展理论的先声——马克思论人与自然之间的物质变换》</w:t>
      </w:r>
      <w:r>
        <w:rPr>
          <w:rFonts w:ascii="宋体" w:hAnsi="宋体" w:eastAsia="宋体"/>
          <w:sz w:val="18"/>
          <w:szCs w:val="18"/>
        </w:rPr>
        <w:t>，</w:t>
      </w:r>
      <w:r>
        <w:rPr>
          <w:rFonts w:hint="eastAsia" w:ascii="宋体" w:hAnsi="宋体" w:eastAsia="宋体" w:cs="AdobeSongStd-Light"/>
          <w:sz w:val="18"/>
          <w:szCs w:val="18"/>
        </w:rPr>
        <w:t>《当代经济研究》</w:t>
      </w:r>
      <w:r>
        <w:rPr>
          <w:rFonts w:ascii="宋体" w:hAnsi="宋体" w:eastAsia="宋体"/>
          <w:sz w:val="18"/>
          <w:szCs w:val="18"/>
        </w:rPr>
        <w:t>2000</w:t>
      </w:r>
      <w:r>
        <w:rPr>
          <w:rFonts w:hint="eastAsia" w:ascii="宋体" w:hAnsi="宋体" w:eastAsia="宋体" w:cs="AdobeSongStd-Light"/>
          <w:sz w:val="18"/>
          <w:szCs w:val="18"/>
        </w:rPr>
        <w:t>年第</w:t>
      </w:r>
      <w:r>
        <w:rPr>
          <w:rFonts w:ascii="宋体" w:hAnsi="宋体" w:eastAsia="宋体"/>
          <w:sz w:val="18"/>
          <w:szCs w:val="18"/>
        </w:rPr>
        <w:t>11</w:t>
      </w:r>
      <w:r>
        <w:rPr>
          <w:rFonts w:hint="eastAsia" w:ascii="宋体" w:hAnsi="宋体" w:eastAsia="宋体" w:cs="AdobeSongStd-Light"/>
          <w:sz w:val="18"/>
          <w:szCs w:val="18"/>
        </w:rPr>
        <w:t>期。</w:t>
      </w:r>
    </w:p>
  </w:footnote>
  <w:footnote w:id="383">
    <w:p w14:paraId="7DAD0197">
      <w:pPr>
        <w:autoSpaceDE w:val="0"/>
        <w:autoSpaceDN w:val="0"/>
        <w:adjustRightInd w:val="0"/>
        <w:snapToGri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《中华人民共和国年鉴</w:t>
      </w:r>
      <w:r>
        <w:rPr>
          <w:rFonts w:ascii="宋体" w:hAnsi="宋体" w:eastAsia="宋体"/>
          <w:sz w:val="18"/>
          <w:szCs w:val="18"/>
        </w:rPr>
        <w:t>2008</w:t>
      </w:r>
      <w:r>
        <w:rPr>
          <w:rFonts w:hint="eastAsia" w:ascii="宋体" w:hAnsi="宋体" w:eastAsia="宋体" w:cs="AdobeSongStd-Light"/>
          <w:sz w:val="18"/>
          <w:szCs w:val="18"/>
        </w:rPr>
        <w:t>》</w:t>
      </w:r>
      <w:r>
        <w:rPr>
          <w:rFonts w:ascii="宋体" w:hAnsi="宋体" w:eastAsia="宋体"/>
          <w:sz w:val="18"/>
          <w:szCs w:val="18"/>
        </w:rPr>
        <w:t>，</w:t>
      </w:r>
      <w:r>
        <w:rPr>
          <w:rFonts w:hint="eastAsia" w:ascii="宋体" w:hAnsi="宋体" w:eastAsia="宋体" w:cs="AdobeSongStd-Light"/>
          <w:sz w:val="18"/>
          <w:szCs w:val="18"/>
        </w:rPr>
        <w:t>中华人民共和国年鉴社</w:t>
      </w:r>
      <w:r>
        <w:rPr>
          <w:rFonts w:ascii="宋体" w:hAnsi="宋体" w:eastAsia="宋体"/>
          <w:sz w:val="18"/>
          <w:szCs w:val="18"/>
        </w:rPr>
        <w:t>，2008</w:t>
      </w:r>
      <w:r>
        <w:rPr>
          <w:rFonts w:hint="eastAsia" w:ascii="宋体" w:hAnsi="宋体" w:eastAsia="宋体" w:cs="AdobeSongStd-Light"/>
          <w:sz w:val="18"/>
          <w:szCs w:val="18"/>
        </w:rPr>
        <w:t>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23</w:t>
      </w:r>
      <w:r>
        <w:rPr>
          <w:rFonts w:hint="eastAsia" w:ascii="宋体" w:hAnsi="宋体" w:eastAsia="宋体" w:cs="AdobeSongStd-Light"/>
          <w:sz w:val="18"/>
          <w:szCs w:val="18"/>
        </w:rPr>
        <w:t>页</w:t>
      </w:r>
    </w:p>
  </w:footnote>
  <w:footnote w:id="384">
    <w:p w14:paraId="71F69BC1">
      <w:pPr>
        <w:autoSpaceDE w:val="0"/>
        <w:autoSpaceDN w:val="0"/>
        <w:adjustRightIn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《中华人民共和国年鉴</w:t>
      </w:r>
      <w:r>
        <w:rPr>
          <w:rFonts w:ascii="宋体" w:hAnsi="宋体" w:eastAsia="宋体"/>
          <w:sz w:val="18"/>
          <w:szCs w:val="18"/>
        </w:rPr>
        <w:t>2008</w:t>
      </w:r>
      <w:r>
        <w:rPr>
          <w:rFonts w:hint="eastAsia" w:ascii="宋体" w:hAnsi="宋体" w:eastAsia="宋体" w:cs="AdobeSongStd-Light"/>
          <w:sz w:val="18"/>
          <w:szCs w:val="18"/>
        </w:rPr>
        <w:t>》</w:t>
      </w:r>
      <w:r>
        <w:rPr>
          <w:rFonts w:ascii="宋体" w:hAnsi="宋体" w:eastAsia="宋体"/>
          <w:sz w:val="18"/>
          <w:szCs w:val="18"/>
        </w:rPr>
        <w:t>，</w:t>
      </w:r>
      <w:r>
        <w:rPr>
          <w:rFonts w:hint="eastAsia" w:ascii="宋体" w:hAnsi="宋体" w:eastAsia="宋体" w:cs="AdobeSongStd-Light"/>
          <w:sz w:val="18"/>
          <w:szCs w:val="18"/>
        </w:rPr>
        <w:t>中华人民共和国年鉴社</w:t>
      </w:r>
      <w:r>
        <w:rPr>
          <w:rFonts w:ascii="宋体" w:hAnsi="宋体" w:eastAsia="宋体"/>
          <w:sz w:val="18"/>
          <w:szCs w:val="18"/>
        </w:rPr>
        <w:t>，2008</w:t>
      </w:r>
      <w:r>
        <w:rPr>
          <w:rFonts w:hint="eastAsia" w:ascii="宋体" w:hAnsi="宋体" w:eastAsia="宋体" w:cs="AdobeSongStd-Light"/>
          <w:sz w:val="18"/>
          <w:szCs w:val="18"/>
        </w:rPr>
        <w:t>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23</w:t>
      </w:r>
      <w:r>
        <w:rPr>
          <w:rFonts w:hint="eastAsia" w:ascii="宋体" w:hAnsi="宋体" w:eastAsia="宋体" w:cs="AdobeSongStd-Light"/>
          <w:sz w:val="18"/>
          <w:szCs w:val="18"/>
        </w:rPr>
        <w:t>页</w:t>
      </w:r>
    </w:p>
  </w:footnote>
  <w:footnote w:id="385">
    <w:p w14:paraId="5382D753">
      <w:pPr>
        <w:autoSpaceDE w:val="0"/>
        <w:autoSpaceDN w:val="0"/>
        <w:adjustRightInd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w:t>
      </w:r>
      <w:r>
        <w:rPr>
          <w:rFonts w:hint="eastAsia" w:ascii="宋体" w:hAnsi="宋体" w:eastAsia="宋体" w:cs="AdobeSongStd-Light"/>
          <w:sz w:val="18"/>
          <w:szCs w:val="18"/>
        </w:rPr>
        <w:t>田雪原等</w:t>
      </w:r>
      <w:r>
        <w:rPr>
          <w:rFonts w:ascii="宋体" w:hAnsi="宋体" w:eastAsia="宋体"/>
          <w:sz w:val="18"/>
          <w:szCs w:val="18"/>
        </w:rPr>
        <w:t>：</w:t>
      </w:r>
      <w:r>
        <w:rPr>
          <w:rFonts w:hint="eastAsia" w:ascii="宋体" w:hAnsi="宋体" w:eastAsia="宋体" w:cs="AdobeSongStd-Light"/>
          <w:sz w:val="18"/>
          <w:szCs w:val="18"/>
        </w:rPr>
        <w:t>《</w:t>
      </w:r>
      <w:r>
        <w:rPr>
          <w:rFonts w:ascii="宋体" w:hAnsi="宋体" w:eastAsia="宋体"/>
          <w:sz w:val="18"/>
          <w:szCs w:val="18"/>
        </w:rPr>
        <w:t>21</w:t>
      </w:r>
      <w:r>
        <w:rPr>
          <w:rFonts w:hint="eastAsia" w:ascii="宋体" w:hAnsi="宋体" w:eastAsia="宋体" w:cs="AdobeSongStd-Light"/>
          <w:sz w:val="18"/>
          <w:szCs w:val="18"/>
        </w:rPr>
        <w:t>世纪中国人口发展战略研究》</w:t>
      </w:r>
      <w:r>
        <w:rPr>
          <w:rFonts w:ascii="宋体" w:hAnsi="宋体" w:eastAsia="宋体"/>
          <w:sz w:val="18"/>
          <w:szCs w:val="18"/>
        </w:rPr>
        <w:t>，</w:t>
      </w:r>
      <w:r>
        <w:rPr>
          <w:rFonts w:hint="eastAsia" w:ascii="宋体" w:hAnsi="宋体" w:eastAsia="宋体" w:cs="AdobeSongStd-Light"/>
          <w:sz w:val="18"/>
          <w:szCs w:val="18"/>
        </w:rPr>
        <w:t>社会科学文献出版社</w:t>
      </w:r>
      <w:r>
        <w:rPr>
          <w:rFonts w:ascii="宋体" w:hAnsi="宋体" w:eastAsia="宋体"/>
          <w:sz w:val="18"/>
          <w:szCs w:val="18"/>
        </w:rPr>
        <w:t>，2007</w:t>
      </w:r>
      <w:r>
        <w:rPr>
          <w:rFonts w:hint="eastAsia" w:ascii="宋体" w:hAnsi="宋体" w:eastAsia="宋体" w:cs="AdobeSongStd-Light"/>
          <w:sz w:val="18"/>
          <w:szCs w:val="18"/>
        </w:rPr>
        <w:t>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313</w:t>
      </w:r>
      <w:r>
        <w:rPr>
          <w:rFonts w:hint="eastAsia" w:ascii="宋体" w:hAnsi="宋体" w:eastAsia="宋体" w:cs="AdobeSongStd-Light"/>
          <w:sz w:val="18"/>
          <w:szCs w:val="18"/>
        </w:rPr>
        <w:t>、第</w:t>
      </w:r>
      <w:r>
        <w:rPr>
          <w:rFonts w:ascii="宋体" w:hAnsi="宋体" w:eastAsia="宋体"/>
          <w:sz w:val="18"/>
          <w:szCs w:val="18"/>
        </w:rPr>
        <w:t>337</w:t>
      </w:r>
      <w:r>
        <w:rPr>
          <w:rFonts w:hint="eastAsia" w:ascii="宋体" w:hAnsi="宋体" w:eastAsia="宋体" w:cs="AdobeSongStd-Light"/>
          <w:sz w:val="18"/>
          <w:szCs w:val="18"/>
        </w:rPr>
        <w:t>、第</w:t>
      </w:r>
      <w:r>
        <w:rPr>
          <w:rFonts w:ascii="宋体" w:hAnsi="宋体" w:eastAsia="宋体"/>
          <w:sz w:val="18"/>
          <w:szCs w:val="18"/>
        </w:rPr>
        <w:t>341</w:t>
      </w:r>
      <w:r>
        <w:rPr>
          <w:rFonts w:hint="eastAsia" w:ascii="宋体" w:hAnsi="宋体" w:eastAsia="宋体" w:cs="AdobeSongStd-Light"/>
          <w:sz w:val="18"/>
          <w:szCs w:val="18"/>
        </w:rPr>
        <w:t>页。</w:t>
      </w:r>
    </w:p>
  </w:footnote>
  <w:footnote w:id="386">
    <w:p w14:paraId="1986987C">
      <w:pPr>
        <w:autoSpaceDE w:val="0"/>
        <w:autoSpaceDN w:val="0"/>
        <w:adjustRightInd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w:t>
      </w:r>
      <w:r>
        <w:rPr>
          <w:rFonts w:hint="eastAsia" w:ascii="宋体" w:hAnsi="宋体" w:eastAsia="宋体" w:cs="AdobeSongStd-Light"/>
          <w:sz w:val="18"/>
          <w:szCs w:val="18"/>
        </w:rPr>
        <w:t>刘宇辉等</w:t>
      </w:r>
      <w:r>
        <w:rPr>
          <w:rFonts w:ascii="宋体" w:hAnsi="宋体" w:eastAsia="宋体"/>
          <w:sz w:val="18"/>
          <w:szCs w:val="18"/>
        </w:rPr>
        <w:t>：</w:t>
      </w:r>
      <w:r>
        <w:rPr>
          <w:rFonts w:hint="eastAsia" w:ascii="宋体" w:hAnsi="宋体" w:eastAsia="宋体" w:cs="AdobeSongStd-Light"/>
          <w:sz w:val="18"/>
          <w:szCs w:val="18"/>
        </w:rPr>
        <w:t>《基于生态足迹模型的中国可持续性评估》</w:t>
      </w:r>
      <w:r>
        <w:rPr>
          <w:rFonts w:ascii="宋体" w:hAnsi="宋体" w:eastAsia="宋体"/>
          <w:sz w:val="18"/>
          <w:szCs w:val="18"/>
        </w:rPr>
        <w:t>，</w:t>
      </w:r>
      <w:r>
        <w:rPr>
          <w:rFonts w:hint="eastAsia" w:ascii="宋体" w:hAnsi="宋体" w:eastAsia="宋体" w:cs="AdobeSongStd-Light"/>
          <w:sz w:val="18"/>
          <w:szCs w:val="18"/>
        </w:rPr>
        <w:t>《中国人口、资源与环境》</w:t>
      </w:r>
      <w:r>
        <w:rPr>
          <w:rFonts w:ascii="宋体" w:hAnsi="宋体" w:eastAsia="宋体"/>
          <w:sz w:val="18"/>
          <w:szCs w:val="18"/>
        </w:rPr>
        <w:t>2004</w:t>
      </w:r>
      <w:r>
        <w:rPr>
          <w:rFonts w:hint="eastAsia" w:ascii="宋体" w:hAnsi="宋体" w:eastAsia="宋体" w:cs="AdobeSongStd-Light"/>
          <w:sz w:val="18"/>
          <w:szCs w:val="18"/>
        </w:rPr>
        <w:t>年第</w:t>
      </w:r>
      <w:r>
        <w:rPr>
          <w:rFonts w:ascii="宋体" w:hAnsi="宋体" w:eastAsia="宋体"/>
          <w:sz w:val="18"/>
          <w:szCs w:val="18"/>
        </w:rPr>
        <w:t>5</w:t>
      </w:r>
      <w:r>
        <w:rPr>
          <w:rFonts w:hint="eastAsia" w:ascii="宋体" w:hAnsi="宋体" w:eastAsia="宋体" w:cs="AdobeSongStd-Light"/>
          <w:sz w:val="18"/>
          <w:szCs w:val="18"/>
        </w:rPr>
        <w:t>期。</w:t>
      </w:r>
    </w:p>
  </w:footnote>
  <w:footnote w:id="387">
    <w:p w14:paraId="7DF72D41">
      <w:pPr>
        <w:pStyle w:val="12"/>
        <w:adjustRightInd w:val="0"/>
        <w:jc w:val="both"/>
        <w:rPr>
          <w:rFonts w:ascii="宋体" w:hAnsi="宋体"/>
        </w:rPr>
      </w:pPr>
      <w:r>
        <w:rPr>
          <w:rStyle w:val="20"/>
          <w:rFonts w:ascii="宋体" w:hAnsi="宋体" w:eastAsia="宋体"/>
        </w:rPr>
        <w:footnoteRef/>
      </w:r>
      <w:r>
        <w:rPr>
          <w:rFonts w:hint="eastAsia" w:ascii="宋体" w:hAnsi="宋体" w:cs="AdobeSongStd-Light"/>
        </w:rPr>
        <w:t xml:space="preserve"> 国家林业局</w:t>
      </w:r>
      <w:r>
        <w:rPr>
          <w:rFonts w:ascii="宋体" w:hAnsi="宋体"/>
        </w:rPr>
        <w:t>：</w:t>
      </w:r>
      <w:r>
        <w:rPr>
          <w:rFonts w:hint="eastAsia" w:ascii="宋体" w:hAnsi="宋体" w:cs="AdobeSongStd-Light"/>
        </w:rPr>
        <w:t>《第三次中国荒漠化和沙化状况公报》</w:t>
      </w:r>
      <w:r>
        <w:rPr>
          <w:rFonts w:ascii="宋体" w:hAnsi="宋体"/>
        </w:rPr>
        <w:t>，</w:t>
      </w:r>
      <w:r>
        <w:rPr>
          <w:rFonts w:hint="eastAsia" w:ascii="宋体" w:hAnsi="宋体" w:cs="AdobeSongStd-Light"/>
        </w:rPr>
        <w:t>中央政府门户网站</w:t>
      </w:r>
      <w:r>
        <w:rPr>
          <w:rFonts w:ascii="宋体" w:hAnsi="宋体"/>
        </w:rPr>
        <w:t>：http：//www. gov. cn / ztzl/ fszs/ content - 650487. htm.</w:t>
      </w:r>
    </w:p>
  </w:footnote>
  <w:footnote w:id="388">
    <w:p w14:paraId="78C8329C">
      <w:pPr>
        <w:autoSpaceDE w:val="0"/>
        <w:autoSpaceDN w:val="0"/>
        <w:adjustRightInd w:val="0"/>
        <w:snapToGrid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w:t>
      </w:r>
      <w:r>
        <w:rPr>
          <w:rFonts w:hint="eastAsia" w:ascii="宋体" w:hAnsi="宋体" w:eastAsia="宋体" w:cs="AdobeSongStd-Light"/>
          <w:sz w:val="18"/>
          <w:szCs w:val="18"/>
        </w:rPr>
        <w:t>田雪原等</w:t>
      </w:r>
      <w:r>
        <w:rPr>
          <w:rFonts w:ascii="宋体" w:hAnsi="宋体" w:eastAsia="宋体"/>
          <w:sz w:val="18"/>
          <w:szCs w:val="18"/>
        </w:rPr>
        <w:t>：</w:t>
      </w:r>
      <w:r>
        <w:rPr>
          <w:rFonts w:hint="eastAsia" w:ascii="宋体" w:hAnsi="宋体" w:eastAsia="宋体" w:cs="AdobeSongStd-Light"/>
          <w:sz w:val="18"/>
          <w:szCs w:val="18"/>
        </w:rPr>
        <w:t>《</w:t>
      </w:r>
      <w:r>
        <w:rPr>
          <w:rFonts w:ascii="宋体" w:hAnsi="宋体" w:eastAsia="宋体"/>
          <w:sz w:val="18"/>
          <w:szCs w:val="18"/>
        </w:rPr>
        <w:t>21</w:t>
      </w:r>
      <w:r>
        <w:rPr>
          <w:rFonts w:hint="eastAsia" w:ascii="宋体" w:hAnsi="宋体" w:eastAsia="宋体" w:cs="AdobeSongStd-Light"/>
          <w:sz w:val="18"/>
          <w:szCs w:val="18"/>
        </w:rPr>
        <w:t>世纪中国人口发展战略研究》</w:t>
      </w:r>
      <w:r>
        <w:rPr>
          <w:rFonts w:ascii="宋体" w:hAnsi="宋体" w:eastAsia="宋体"/>
          <w:sz w:val="18"/>
          <w:szCs w:val="18"/>
        </w:rPr>
        <w:t>，</w:t>
      </w:r>
      <w:r>
        <w:rPr>
          <w:rFonts w:hint="eastAsia" w:ascii="宋体" w:hAnsi="宋体" w:eastAsia="宋体" w:cs="AdobeSongStd-Light"/>
          <w:sz w:val="18"/>
          <w:szCs w:val="18"/>
        </w:rPr>
        <w:t>社会科学文献出版社</w:t>
      </w:r>
      <w:r>
        <w:rPr>
          <w:rFonts w:ascii="宋体" w:hAnsi="宋体" w:eastAsia="宋体"/>
          <w:sz w:val="18"/>
          <w:szCs w:val="18"/>
        </w:rPr>
        <w:t>，2007</w:t>
      </w:r>
      <w:r>
        <w:rPr>
          <w:rFonts w:hint="eastAsia" w:ascii="宋体" w:hAnsi="宋体" w:eastAsia="宋体" w:cs="AdobeSongStd-Light"/>
          <w:sz w:val="18"/>
          <w:szCs w:val="18"/>
        </w:rPr>
        <w:t>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313</w:t>
      </w:r>
      <w:r>
        <w:rPr>
          <w:rFonts w:hint="eastAsia" w:ascii="宋体" w:hAnsi="宋体" w:eastAsia="宋体" w:cs="AdobeSongStd-Light"/>
          <w:sz w:val="18"/>
          <w:szCs w:val="18"/>
        </w:rPr>
        <w:t>、第</w:t>
      </w:r>
      <w:r>
        <w:rPr>
          <w:rFonts w:ascii="宋体" w:hAnsi="宋体" w:eastAsia="宋体"/>
          <w:sz w:val="18"/>
          <w:szCs w:val="18"/>
        </w:rPr>
        <w:t>337</w:t>
      </w:r>
      <w:r>
        <w:rPr>
          <w:rFonts w:hint="eastAsia" w:ascii="宋体" w:hAnsi="宋体" w:eastAsia="宋体" w:cs="AdobeSongStd-Light"/>
          <w:sz w:val="18"/>
          <w:szCs w:val="18"/>
        </w:rPr>
        <w:t>、第</w:t>
      </w:r>
      <w:r>
        <w:rPr>
          <w:rFonts w:ascii="宋体" w:hAnsi="宋体" w:eastAsia="宋体"/>
          <w:sz w:val="18"/>
          <w:szCs w:val="18"/>
        </w:rPr>
        <w:t>341</w:t>
      </w:r>
      <w:r>
        <w:rPr>
          <w:rFonts w:hint="eastAsia" w:ascii="宋体" w:hAnsi="宋体" w:eastAsia="宋体" w:cs="AdobeSongStd-Light"/>
          <w:sz w:val="18"/>
          <w:szCs w:val="18"/>
        </w:rPr>
        <w:t>页。</w:t>
      </w:r>
    </w:p>
  </w:footnote>
  <w:footnote w:id="389">
    <w:p w14:paraId="10CBD8D2">
      <w:pPr>
        <w:autoSpaceDE w:val="0"/>
        <w:autoSpaceDN w:val="0"/>
        <w:adjustRightInd w:val="0"/>
        <w:snapToGri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 xml:space="preserve"> 张维庆</w:t>
      </w:r>
      <w:r>
        <w:rPr>
          <w:rFonts w:ascii="宋体" w:hAnsi="宋体" w:eastAsia="宋体"/>
          <w:sz w:val="18"/>
          <w:szCs w:val="18"/>
        </w:rPr>
        <w:t>：</w:t>
      </w:r>
      <w:r>
        <w:rPr>
          <w:rFonts w:hint="eastAsia" w:ascii="宋体" w:hAnsi="宋体" w:eastAsia="宋体" w:cs="AdobeSongStd-Light"/>
          <w:sz w:val="18"/>
          <w:szCs w:val="18"/>
        </w:rPr>
        <w:t>《深入贯彻落实党的十七大精神</w:t>
      </w:r>
      <w:r>
        <w:rPr>
          <w:rFonts w:ascii="宋体" w:hAnsi="宋体" w:eastAsia="宋体"/>
          <w:sz w:val="18"/>
          <w:szCs w:val="18"/>
        </w:rPr>
        <w:t>，</w:t>
      </w:r>
      <w:r>
        <w:rPr>
          <w:rFonts w:hint="eastAsia" w:ascii="宋体" w:hAnsi="宋体" w:eastAsia="宋体" w:cs="AdobeSongStd-Light"/>
          <w:sz w:val="18"/>
          <w:szCs w:val="18"/>
        </w:rPr>
        <w:t>坚定不移地走中国特色统筹解决人口问题的道路》</w:t>
      </w:r>
      <w:r>
        <w:rPr>
          <w:rFonts w:ascii="宋体" w:hAnsi="宋体" w:eastAsia="宋体"/>
          <w:sz w:val="18"/>
          <w:szCs w:val="18"/>
        </w:rPr>
        <w:t>，</w:t>
      </w:r>
      <w:r>
        <w:rPr>
          <w:rFonts w:hint="eastAsia" w:ascii="宋体" w:hAnsi="宋体" w:eastAsia="宋体" w:cs="AdobeSongStd-Light"/>
          <w:sz w:val="18"/>
          <w:szCs w:val="18"/>
        </w:rPr>
        <w:t>《人口与计划生育》</w:t>
      </w:r>
      <w:r>
        <w:rPr>
          <w:rFonts w:ascii="宋体" w:hAnsi="宋体" w:eastAsia="宋体"/>
          <w:sz w:val="18"/>
          <w:szCs w:val="18"/>
        </w:rPr>
        <w:t>2008</w:t>
      </w:r>
      <w:r>
        <w:rPr>
          <w:rFonts w:hint="eastAsia" w:ascii="宋体" w:hAnsi="宋体" w:eastAsia="宋体" w:cs="AdobeSongStd-Light"/>
          <w:sz w:val="18"/>
          <w:szCs w:val="18"/>
        </w:rPr>
        <w:t>年第</w:t>
      </w:r>
      <w:r>
        <w:rPr>
          <w:rFonts w:ascii="宋体" w:hAnsi="宋体" w:eastAsia="宋体"/>
          <w:sz w:val="18"/>
          <w:szCs w:val="18"/>
        </w:rPr>
        <w:t>1</w:t>
      </w:r>
      <w:r>
        <w:rPr>
          <w:rFonts w:hint="eastAsia" w:ascii="宋体" w:hAnsi="宋体" w:eastAsia="宋体" w:cs="AdobeSongStd-Light"/>
          <w:sz w:val="18"/>
          <w:szCs w:val="18"/>
        </w:rPr>
        <w:t>期。</w:t>
      </w:r>
    </w:p>
  </w:footnote>
  <w:footnote w:id="390">
    <w:p w14:paraId="153A563E">
      <w:pPr>
        <w:autoSpaceDE w:val="0"/>
        <w:autoSpaceDN w:val="0"/>
        <w:adjustRightInd w:val="0"/>
        <w:snapToGri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《马克思恩格斯全集》第</w:t>
      </w:r>
      <w:r>
        <w:rPr>
          <w:rFonts w:ascii="宋体" w:hAnsi="宋体" w:eastAsia="宋体"/>
          <w:sz w:val="18"/>
          <w:szCs w:val="18"/>
        </w:rPr>
        <w:t>8</w:t>
      </w:r>
      <w:r>
        <w:rPr>
          <w:rFonts w:hint="eastAsia" w:ascii="宋体" w:hAnsi="宋体" w:eastAsia="宋体" w:cs="AdobeSongStd-Light"/>
          <w:sz w:val="18"/>
          <w:szCs w:val="18"/>
        </w:rPr>
        <w:t>卷</w:t>
      </w:r>
      <w:r>
        <w:rPr>
          <w:rFonts w:ascii="宋体" w:hAnsi="宋体" w:eastAsia="宋体"/>
          <w:sz w:val="18"/>
          <w:szCs w:val="18"/>
        </w:rPr>
        <w:t>，</w:t>
      </w:r>
      <w:r>
        <w:rPr>
          <w:rFonts w:hint="eastAsia" w:ascii="宋体" w:hAnsi="宋体" w:eastAsia="宋体" w:cs="AdobeSongStd-Light"/>
          <w:sz w:val="18"/>
          <w:szCs w:val="18"/>
        </w:rPr>
        <w:t>人民出版社</w:t>
      </w:r>
      <w:r>
        <w:rPr>
          <w:rFonts w:hint="eastAsia" w:ascii="宋体" w:hAnsi="宋体" w:eastAsia="宋体"/>
          <w:sz w:val="18"/>
          <w:szCs w:val="18"/>
        </w:rPr>
        <w:t>，</w:t>
      </w:r>
      <w:r>
        <w:rPr>
          <w:rFonts w:ascii="宋体" w:hAnsi="宋体" w:eastAsia="宋体"/>
          <w:sz w:val="18"/>
          <w:szCs w:val="18"/>
        </w:rPr>
        <w:t>1961</w:t>
      </w:r>
      <w:r>
        <w:rPr>
          <w:rFonts w:hint="eastAsia" w:ascii="宋体" w:hAnsi="宋体" w:eastAsia="宋体" w:cs="AdobeSongStd-Light"/>
          <w:sz w:val="18"/>
          <w:szCs w:val="18"/>
        </w:rPr>
        <w:t>年</w:t>
      </w:r>
      <w:r>
        <w:rPr>
          <w:rFonts w:hint="eastAsia"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619</w:t>
      </w:r>
      <w:r>
        <w:rPr>
          <w:rFonts w:hint="eastAsia" w:ascii="宋体" w:hAnsi="宋体" w:eastAsia="宋体" w:cs="AdobeSongStd-Light"/>
          <w:sz w:val="18"/>
          <w:szCs w:val="18"/>
        </w:rPr>
        <w:t>页。</w:t>
      </w:r>
    </w:p>
  </w:footnote>
  <w:footnote w:id="391">
    <w:p w14:paraId="71F93911">
      <w:pPr>
        <w:autoSpaceDE w:val="0"/>
        <w:autoSpaceDN w:val="0"/>
        <w:adjustRightInd w:val="0"/>
        <w:snapToGri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《马克思恩格斯全集》第</w:t>
      </w:r>
      <w:r>
        <w:rPr>
          <w:rFonts w:ascii="宋体" w:hAnsi="宋体" w:eastAsia="宋体"/>
          <w:sz w:val="18"/>
          <w:szCs w:val="18"/>
        </w:rPr>
        <w:t>46</w:t>
      </w:r>
      <w:r>
        <w:rPr>
          <w:rFonts w:hint="eastAsia" w:ascii="宋体" w:hAnsi="宋体" w:eastAsia="宋体" w:cs="AdobeSongStd-Light"/>
          <w:sz w:val="18"/>
          <w:szCs w:val="18"/>
        </w:rPr>
        <w:t>卷上</w:t>
      </w:r>
      <w:r>
        <w:rPr>
          <w:rFonts w:ascii="宋体" w:hAnsi="宋体" w:eastAsia="宋体"/>
          <w:sz w:val="18"/>
          <w:szCs w:val="18"/>
        </w:rPr>
        <w:t>，</w:t>
      </w:r>
      <w:r>
        <w:rPr>
          <w:rFonts w:hint="eastAsia" w:ascii="宋体" w:hAnsi="宋体" w:eastAsia="宋体" w:cs="AdobeSongStd-Light"/>
          <w:sz w:val="18"/>
          <w:szCs w:val="18"/>
        </w:rPr>
        <w:t>人民出版社</w:t>
      </w:r>
      <w:r>
        <w:rPr>
          <w:rFonts w:ascii="宋体" w:hAnsi="宋体" w:eastAsia="宋体"/>
          <w:sz w:val="18"/>
          <w:szCs w:val="18"/>
        </w:rPr>
        <w:t>，1979</w:t>
      </w:r>
      <w:r>
        <w:rPr>
          <w:rFonts w:hint="eastAsia" w:ascii="宋体" w:hAnsi="宋体" w:eastAsia="宋体" w:cs="AdobeSongStd-Light"/>
          <w:sz w:val="18"/>
          <w:szCs w:val="18"/>
        </w:rPr>
        <w:t>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104</w:t>
      </w:r>
      <w:r>
        <w:rPr>
          <w:rFonts w:hint="eastAsia" w:ascii="宋体" w:hAnsi="宋体" w:eastAsia="宋体" w:cs="AdobeSongStd-Light"/>
          <w:sz w:val="18"/>
          <w:szCs w:val="18"/>
        </w:rPr>
        <w:t>页</w:t>
      </w:r>
    </w:p>
  </w:footnote>
  <w:footnote w:id="392">
    <w:p w14:paraId="17AB3650">
      <w:pPr>
        <w:autoSpaceDE w:val="0"/>
        <w:autoSpaceDN w:val="0"/>
        <w:adjustRightInd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w:t>
      </w:r>
      <w:r>
        <w:rPr>
          <w:rFonts w:hint="eastAsia" w:ascii="宋体" w:hAnsi="宋体" w:eastAsia="宋体" w:cs="AdobeSongStd-Light"/>
          <w:sz w:val="18"/>
          <w:szCs w:val="18"/>
        </w:rPr>
        <w:t>陈立等</w:t>
      </w:r>
      <w:r>
        <w:rPr>
          <w:rFonts w:ascii="宋体" w:hAnsi="宋体" w:eastAsia="宋体"/>
          <w:sz w:val="18"/>
          <w:szCs w:val="18"/>
        </w:rPr>
        <w:t>：</w:t>
      </w:r>
      <w:r>
        <w:rPr>
          <w:rFonts w:hint="eastAsia" w:ascii="宋体" w:hAnsi="宋体" w:eastAsia="宋体" w:cs="AdobeSongStd-Light"/>
          <w:sz w:val="18"/>
          <w:szCs w:val="18"/>
        </w:rPr>
        <w:t>《</w:t>
      </w:r>
      <w:r>
        <w:rPr>
          <w:rFonts w:ascii="宋体" w:hAnsi="宋体" w:eastAsia="宋体"/>
          <w:sz w:val="18"/>
          <w:szCs w:val="18"/>
        </w:rPr>
        <w:t>2007</w:t>
      </w:r>
      <w:r>
        <w:rPr>
          <w:rFonts w:hint="eastAsia" w:ascii="宋体" w:hAnsi="宋体" w:eastAsia="宋体" w:cs="AdobeSongStd-Light"/>
          <w:sz w:val="18"/>
          <w:szCs w:val="18"/>
        </w:rPr>
        <w:t>年全国人口和计划生育形势分析报告》</w:t>
      </w:r>
      <w:r>
        <w:rPr>
          <w:rFonts w:ascii="宋体" w:hAnsi="宋体" w:eastAsia="宋体"/>
          <w:sz w:val="18"/>
          <w:szCs w:val="18"/>
        </w:rPr>
        <w:t>，</w:t>
      </w:r>
      <w:r>
        <w:rPr>
          <w:rFonts w:hint="eastAsia" w:ascii="宋体" w:hAnsi="宋体" w:eastAsia="宋体" w:cs="AdobeSongStd-Light"/>
          <w:sz w:val="18"/>
          <w:szCs w:val="18"/>
        </w:rPr>
        <w:t>《</w:t>
      </w:r>
      <w:r>
        <w:rPr>
          <w:rFonts w:ascii="宋体" w:hAnsi="宋体" w:eastAsia="宋体"/>
          <w:sz w:val="18"/>
          <w:szCs w:val="18"/>
        </w:rPr>
        <w:t>2008</w:t>
      </w:r>
      <w:r>
        <w:rPr>
          <w:rFonts w:hint="eastAsia" w:ascii="宋体" w:hAnsi="宋体" w:eastAsia="宋体" w:cs="AdobeSongStd-Light"/>
          <w:sz w:val="18"/>
          <w:szCs w:val="18"/>
        </w:rPr>
        <w:t>中国人口和计划生育年鉴》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8</w:t>
      </w:r>
      <w:r>
        <w:rPr>
          <w:rFonts w:hint="eastAsia" w:ascii="宋体" w:hAnsi="宋体" w:eastAsia="宋体" w:cs="AdobeSongStd-Light"/>
          <w:sz w:val="18"/>
          <w:szCs w:val="18"/>
        </w:rPr>
        <w:t>页。</w:t>
      </w:r>
    </w:p>
  </w:footnote>
  <w:footnote w:id="393">
    <w:p w14:paraId="0F19B881">
      <w:pPr>
        <w:autoSpaceDE w:val="0"/>
        <w:autoSpaceDN w:val="0"/>
        <w:adjustRightIn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 xml:space="preserve"> 陈立等</w:t>
      </w:r>
      <w:r>
        <w:rPr>
          <w:rFonts w:ascii="宋体" w:hAnsi="宋体" w:eastAsia="宋体"/>
          <w:sz w:val="18"/>
          <w:szCs w:val="18"/>
        </w:rPr>
        <w:t>：</w:t>
      </w:r>
      <w:r>
        <w:rPr>
          <w:rFonts w:hint="eastAsia" w:ascii="宋体" w:hAnsi="宋体" w:eastAsia="宋体" w:cs="AdobeSongStd-Light"/>
          <w:sz w:val="18"/>
          <w:szCs w:val="18"/>
        </w:rPr>
        <w:t>《</w:t>
      </w:r>
      <w:r>
        <w:rPr>
          <w:rFonts w:ascii="宋体" w:hAnsi="宋体" w:eastAsia="宋体"/>
          <w:sz w:val="18"/>
          <w:szCs w:val="18"/>
        </w:rPr>
        <w:t>2007</w:t>
      </w:r>
      <w:r>
        <w:rPr>
          <w:rFonts w:hint="eastAsia" w:ascii="宋体" w:hAnsi="宋体" w:eastAsia="宋体" w:cs="AdobeSongStd-Light"/>
          <w:sz w:val="18"/>
          <w:szCs w:val="18"/>
        </w:rPr>
        <w:t>年全国人口和计划生育形势分析报告》</w:t>
      </w:r>
      <w:r>
        <w:rPr>
          <w:rFonts w:ascii="宋体" w:hAnsi="宋体" w:eastAsia="宋体"/>
          <w:sz w:val="18"/>
          <w:szCs w:val="18"/>
        </w:rPr>
        <w:t>，</w:t>
      </w:r>
      <w:r>
        <w:rPr>
          <w:rFonts w:hint="eastAsia" w:ascii="宋体" w:hAnsi="宋体" w:eastAsia="宋体" w:cs="AdobeSongStd-Light"/>
          <w:sz w:val="18"/>
          <w:szCs w:val="18"/>
        </w:rPr>
        <w:t>《</w:t>
      </w:r>
      <w:r>
        <w:rPr>
          <w:rFonts w:ascii="宋体" w:hAnsi="宋体" w:eastAsia="宋体"/>
          <w:sz w:val="18"/>
          <w:szCs w:val="18"/>
        </w:rPr>
        <w:t>2008</w:t>
      </w:r>
      <w:r>
        <w:rPr>
          <w:rFonts w:hint="eastAsia" w:ascii="宋体" w:hAnsi="宋体" w:eastAsia="宋体" w:cs="AdobeSongStd-Light"/>
          <w:sz w:val="18"/>
          <w:szCs w:val="18"/>
        </w:rPr>
        <w:t>中国人口和计划生育年鉴》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8</w:t>
      </w:r>
      <w:r>
        <w:rPr>
          <w:rFonts w:hint="eastAsia" w:ascii="宋体" w:hAnsi="宋体" w:eastAsia="宋体" w:cs="AdobeSongStd-Light"/>
          <w:sz w:val="18"/>
          <w:szCs w:val="18"/>
        </w:rPr>
        <w:t>页。</w:t>
      </w:r>
    </w:p>
  </w:footnote>
  <w:footnote w:id="394">
    <w:p w14:paraId="7E5DA795">
      <w:pPr>
        <w:autoSpaceDE w:val="0"/>
        <w:autoSpaceDN w:val="0"/>
        <w:adjustRightInd w:val="0"/>
        <w:rPr>
          <w:rFonts w:ascii="宋体" w:hAnsi="宋体" w:eastAsia="宋体"/>
          <w:sz w:val="18"/>
          <w:szCs w:val="18"/>
        </w:rPr>
      </w:pPr>
      <w:r>
        <w:rPr>
          <w:rStyle w:val="20"/>
          <w:rFonts w:ascii="宋体" w:hAnsi="宋体" w:eastAsia="宋体"/>
          <w:sz w:val="18"/>
          <w:szCs w:val="18"/>
        </w:rPr>
        <w:footnoteRef/>
      </w:r>
      <w:r>
        <w:rPr>
          <w:rFonts w:hint="eastAsia" w:ascii="宋体" w:hAnsi="宋体" w:eastAsia="宋体" w:cs="AdobeSongStd-Light"/>
          <w:sz w:val="18"/>
          <w:szCs w:val="18"/>
        </w:rPr>
        <w:t xml:space="preserve"> 胡锦涛</w:t>
      </w:r>
      <w:r>
        <w:rPr>
          <w:rFonts w:ascii="宋体" w:hAnsi="宋体" w:eastAsia="宋体"/>
          <w:sz w:val="18"/>
          <w:szCs w:val="18"/>
        </w:rPr>
        <w:t>：</w:t>
      </w:r>
      <w:r>
        <w:rPr>
          <w:rFonts w:hint="eastAsia" w:ascii="宋体" w:hAnsi="宋体" w:eastAsia="宋体" w:cs="AdobeSongStd-Light"/>
          <w:sz w:val="18"/>
          <w:szCs w:val="18"/>
        </w:rPr>
        <w:t>《高举中国特色社会主义伟大旗帜　为夺取全面建设小康社会新胜利而奋斗》</w:t>
      </w:r>
      <w:r>
        <w:rPr>
          <w:rFonts w:ascii="宋体" w:hAnsi="宋体" w:eastAsia="宋体"/>
          <w:sz w:val="18"/>
          <w:szCs w:val="18"/>
        </w:rPr>
        <w:t>，</w:t>
      </w:r>
      <w:r>
        <w:rPr>
          <w:rFonts w:hint="eastAsia" w:ascii="宋体" w:hAnsi="宋体" w:eastAsia="宋体" w:cs="AdobeSongStd-Light"/>
          <w:sz w:val="18"/>
          <w:szCs w:val="18"/>
        </w:rPr>
        <w:t>人民出版社</w:t>
      </w:r>
      <w:r>
        <w:rPr>
          <w:rFonts w:ascii="宋体" w:hAnsi="宋体" w:eastAsia="宋体"/>
          <w:sz w:val="18"/>
          <w:szCs w:val="18"/>
        </w:rPr>
        <w:t>，2007</w:t>
      </w:r>
      <w:r>
        <w:rPr>
          <w:rFonts w:hint="eastAsia" w:ascii="宋体" w:hAnsi="宋体" w:eastAsia="宋体" w:cs="AdobeSongStd-Light"/>
          <w:sz w:val="18"/>
          <w:szCs w:val="18"/>
        </w:rPr>
        <w:t>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5</w:t>
      </w:r>
      <w:r>
        <w:rPr>
          <w:rFonts w:hint="eastAsia" w:ascii="宋体" w:hAnsi="宋体" w:eastAsia="宋体" w:cs="AdobeSongStd-Light"/>
          <w:sz w:val="18"/>
          <w:szCs w:val="18"/>
        </w:rPr>
        <w:t>页。</w:t>
      </w:r>
    </w:p>
  </w:footnote>
  <w:footnote w:id="395">
    <w:p w14:paraId="37B5DF7A">
      <w:pPr>
        <w:autoSpaceDE w:val="0"/>
        <w:autoSpaceDN w:val="0"/>
        <w:adjustRightInd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w:t>
      </w:r>
      <w:r>
        <w:rPr>
          <w:rFonts w:hint="eastAsia" w:ascii="宋体" w:hAnsi="宋体" w:eastAsia="宋体" w:cs="AdobeSongStd-Light"/>
          <w:sz w:val="18"/>
          <w:szCs w:val="18"/>
        </w:rPr>
        <w:t>陈立等</w:t>
      </w:r>
      <w:r>
        <w:rPr>
          <w:rFonts w:ascii="宋体" w:hAnsi="宋体" w:eastAsia="宋体"/>
          <w:sz w:val="18"/>
          <w:szCs w:val="18"/>
        </w:rPr>
        <w:t>：</w:t>
      </w:r>
      <w:r>
        <w:rPr>
          <w:rFonts w:hint="eastAsia" w:ascii="宋体" w:hAnsi="宋体" w:eastAsia="宋体" w:cs="AdobeSongStd-Light"/>
          <w:sz w:val="18"/>
          <w:szCs w:val="18"/>
        </w:rPr>
        <w:t>《</w:t>
      </w:r>
      <w:r>
        <w:rPr>
          <w:rFonts w:ascii="宋体" w:hAnsi="宋体" w:eastAsia="宋体"/>
          <w:sz w:val="18"/>
          <w:szCs w:val="18"/>
        </w:rPr>
        <w:t>2007</w:t>
      </w:r>
      <w:r>
        <w:rPr>
          <w:rFonts w:hint="eastAsia" w:ascii="宋体" w:hAnsi="宋体" w:eastAsia="宋体" w:cs="AdobeSongStd-Light"/>
          <w:sz w:val="18"/>
          <w:szCs w:val="18"/>
        </w:rPr>
        <w:t>年全国人口和计划生育形势分析报告》</w:t>
      </w:r>
      <w:r>
        <w:rPr>
          <w:rFonts w:ascii="宋体" w:hAnsi="宋体" w:eastAsia="宋体"/>
          <w:sz w:val="18"/>
          <w:szCs w:val="18"/>
        </w:rPr>
        <w:t>，</w:t>
      </w:r>
      <w:r>
        <w:rPr>
          <w:rFonts w:hint="eastAsia" w:ascii="宋体" w:hAnsi="宋体" w:eastAsia="宋体" w:cs="AdobeSongStd-Light"/>
          <w:sz w:val="18"/>
          <w:szCs w:val="18"/>
        </w:rPr>
        <w:t>《</w:t>
      </w:r>
      <w:r>
        <w:rPr>
          <w:rFonts w:ascii="宋体" w:hAnsi="宋体" w:eastAsia="宋体"/>
          <w:sz w:val="18"/>
          <w:szCs w:val="18"/>
        </w:rPr>
        <w:t>2008</w:t>
      </w:r>
      <w:r>
        <w:rPr>
          <w:rFonts w:hint="eastAsia" w:ascii="宋体" w:hAnsi="宋体" w:eastAsia="宋体" w:cs="AdobeSongStd-Light"/>
          <w:sz w:val="18"/>
          <w:szCs w:val="18"/>
        </w:rPr>
        <w:t>中国人口和计划生育年鉴》</w:t>
      </w:r>
      <w:r>
        <w:rPr>
          <w:rFonts w:ascii="宋体" w:hAnsi="宋体" w:eastAsia="宋体"/>
          <w:sz w:val="18"/>
          <w:szCs w:val="18"/>
        </w:rPr>
        <w:t>，</w:t>
      </w:r>
      <w:r>
        <w:rPr>
          <w:rFonts w:hint="eastAsia" w:ascii="宋体" w:hAnsi="宋体" w:eastAsia="宋体" w:cs="AdobeSongStd-Light"/>
          <w:sz w:val="18"/>
          <w:szCs w:val="18"/>
        </w:rPr>
        <w:t>第</w:t>
      </w:r>
      <w:r>
        <w:rPr>
          <w:rFonts w:ascii="宋体" w:hAnsi="宋体" w:eastAsia="宋体"/>
          <w:sz w:val="18"/>
          <w:szCs w:val="18"/>
        </w:rPr>
        <w:t>8</w:t>
      </w:r>
      <w:r>
        <w:rPr>
          <w:rFonts w:hint="eastAsia" w:ascii="宋体" w:hAnsi="宋体" w:eastAsia="宋体" w:cs="AdobeSongStd-Light"/>
          <w:sz w:val="18"/>
          <w:szCs w:val="18"/>
        </w:rPr>
        <w:t>页。</w:t>
      </w:r>
    </w:p>
  </w:footnote>
  <w:footnote w:id="396">
    <w:p w14:paraId="5E2A64CC">
      <w:pPr>
        <w:pStyle w:val="12"/>
        <w:jc w:val="both"/>
        <w:rPr>
          <w:rFonts w:ascii="宋体" w:hAnsi="宋体"/>
        </w:rPr>
      </w:pPr>
      <w:r>
        <w:rPr>
          <w:rStyle w:val="20"/>
          <w:rFonts w:ascii="宋体" w:hAnsi="宋体" w:eastAsia="宋体"/>
        </w:rPr>
        <w:footnoteRef/>
      </w:r>
      <w:r>
        <w:rPr>
          <w:rFonts w:hint="eastAsia" w:ascii="宋体" w:hAnsi="宋体" w:cs="AdobeSongStd-Light"/>
        </w:rPr>
        <w:t>田雪原等</w:t>
      </w:r>
      <w:r>
        <w:rPr>
          <w:rFonts w:ascii="宋体" w:hAnsi="宋体"/>
        </w:rPr>
        <w:t>：</w:t>
      </w:r>
      <w:r>
        <w:rPr>
          <w:rFonts w:hint="eastAsia" w:ascii="宋体" w:hAnsi="宋体" w:cs="AdobeSongStd-Light"/>
        </w:rPr>
        <w:t>《</w:t>
      </w:r>
      <w:r>
        <w:rPr>
          <w:rFonts w:ascii="宋体" w:hAnsi="宋体"/>
        </w:rPr>
        <w:t>21</w:t>
      </w:r>
      <w:r>
        <w:rPr>
          <w:rFonts w:hint="eastAsia" w:ascii="宋体" w:hAnsi="宋体" w:cs="AdobeSongStd-Light"/>
        </w:rPr>
        <w:t>世纪中国人口发展战略研究》</w:t>
      </w:r>
      <w:r>
        <w:rPr>
          <w:rFonts w:ascii="宋体" w:hAnsi="宋体"/>
        </w:rPr>
        <w:t>，</w:t>
      </w:r>
      <w:r>
        <w:rPr>
          <w:rFonts w:hint="eastAsia" w:ascii="宋体" w:hAnsi="宋体" w:cs="AdobeSongStd-Light"/>
        </w:rPr>
        <w:t>社会科学文献出版社</w:t>
      </w:r>
      <w:r>
        <w:rPr>
          <w:rFonts w:ascii="宋体" w:hAnsi="宋体"/>
        </w:rPr>
        <w:t>， 2007</w:t>
      </w:r>
      <w:r>
        <w:rPr>
          <w:rFonts w:hint="eastAsia" w:ascii="宋体" w:hAnsi="宋体" w:cs="AdobeSongStd-Light"/>
        </w:rPr>
        <w:t>年</w:t>
      </w:r>
      <w:r>
        <w:rPr>
          <w:rFonts w:ascii="宋体" w:hAnsi="宋体"/>
        </w:rPr>
        <w:t>，</w:t>
      </w:r>
      <w:r>
        <w:rPr>
          <w:rFonts w:hint="eastAsia" w:ascii="宋体" w:hAnsi="宋体" w:cs="AdobeSongStd-Light"/>
        </w:rPr>
        <w:t>第</w:t>
      </w:r>
      <w:r>
        <w:rPr>
          <w:rFonts w:ascii="宋体" w:hAnsi="宋体"/>
        </w:rPr>
        <w:t>313</w:t>
      </w:r>
      <w:r>
        <w:rPr>
          <w:rFonts w:hint="eastAsia" w:ascii="宋体" w:hAnsi="宋体" w:cs="AdobeSongStd-Light"/>
        </w:rPr>
        <w:t>、第</w:t>
      </w:r>
      <w:r>
        <w:rPr>
          <w:rFonts w:ascii="宋体" w:hAnsi="宋体"/>
        </w:rPr>
        <w:t>337</w:t>
      </w:r>
      <w:r>
        <w:rPr>
          <w:rFonts w:hint="eastAsia" w:ascii="宋体" w:hAnsi="宋体" w:cs="AdobeSongStd-Light"/>
        </w:rPr>
        <w:t>、第</w:t>
      </w:r>
      <w:r>
        <w:rPr>
          <w:rFonts w:ascii="宋体" w:hAnsi="宋体"/>
        </w:rPr>
        <w:t>341</w:t>
      </w:r>
      <w:r>
        <w:rPr>
          <w:rFonts w:hint="eastAsia" w:ascii="宋体" w:hAnsi="宋体" w:cs="AdobeSongStd-Light"/>
        </w:rPr>
        <w:t>页。</w:t>
      </w:r>
    </w:p>
  </w:footnote>
  <w:footnote w:id="397">
    <w:p w14:paraId="4A4337D6">
      <w:pPr>
        <w:snapToGrid w:val="0"/>
        <w:ind w:left="191" w:hanging="180" w:hangingChars="10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本小节主要内容参见程恩富著《西方产权理论评析》，当代中国出版社</w:t>
      </w:r>
      <w:r>
        <w:rPr>
          <w:rFonts w:ascii="宋体" w:hAnsi="宋体" w:eastAsia="宋体"/>
          <w:sz w:val="18"/>
          <w:szCs w:val="18"/>
        </w:rPr>
        <w:t>1997</w:t>
      </w:r>
      <w:r>
        <w:rPr>
          <w:rFonts w:hint="eastAsia" w:ascii="宋体" w:hAnsi="宋体" w:eastAsia="宋体"/>
          <w:sz w:val="18"/>
          <w:szCs w:val="18"/>
        </w:rPr>
        <w:t>年版，第</w:t>
      </w:r>
      <w:r>
        <w:rPr>
          <w:rFonts w:ascii="宋体" w:hAnsi="宋体" w:eastAsia="宋体"/>
          <w:sz w:val="18"/>
          <w:szCs w:val="18"/>
        </w:rPr>
        <w:t>163-165</w:t>
      </w:r>
      <w:r>
        <w:rPr>
          <w:rFonts w:hint="eastAsia" w:ascii="宋体" w:hAnsi="宋体" w:eastAsia="宋体"/>
          <w:sz w:val="18"/>
          <w:szCs w:val="18"/>
        </w:rPr>
        <w:t>页。</w:t>
      </w:r>
    </w:p>
  </w:footnote>
  <w:footnote w:id="398">
    <w:p w14:paraId="51EAA6BC">
      <w:pPr>
        <w:snapToGrid w:val="0"/>
        <w:ind w:left="191" w:hanging="180" w:hangingChars="100"/>
        <w:rPr>
          <w:rFonts w:ascii="宋体" w:hAnsi="宋体" w:eastAsia="宋体"/>
          <w:kern w:val="10"/>
          <w:sz w:val="18"/>
          <w:szCs w:val="18"/>
        </w:rPr>
      </w:pPr>
      <w:r>
        <w:rPr>
          <w:rFonts w:ascii="宋体" w:hAnsi="宋体" w:eastAsia="宋体"/>
          <w:sz w:val="18"/>
          <w:szCs w:val="18"/>
          <w:vertAlign w:val="superscript"/>
        </w:rPr>
        <w:footnoteRef/>
      </w:r>
      <w:r>
        <w:rPr>
          <w:rFonts w:hint="eastAsia" w:ascii="宋体" w:hAnsi="宋体" w:eastAsia="宋体"/>
          <w:kern w:val="10"/>
          <w:sz w:val="18"/>
          <w:szCs w:val="18"/>
        </w:rPr>
        <w:t xml:space="preserve"> 郑继兵、杨仑</w:t>
      </w:r>
      <w:r>
        <w:rPr>
          <w:rFonts w:hint="eastAsia" w:ascii="宋体" w:hAnsi="宋体" w:eastAsia="宋体"/>
          <w:sz w:val="18"/>
          <w:szCs w:val="18"/>
        </w:rPr>
        <w:t>：《</w:t>
      </w:r>
      <w:r>
        <w:rPr>
          <w:rFonts w:hint="eastAsia" w:ascii="宋体" w:hAnsi="宋体" w:eastAsia="宋体"/>
          <w:kern w:val="10"/>
          <w:sz w:val="18"/>
          <w:szCs w:val="18"/>
        </w:rPr>
        <w:t>艰难的历程——中国现代化的百年追求</w:t>
      </w:r>
      <w:r>
        <w:rPr>
          <w:rFonts w:hint="eastAsia" w:ascii="宋体" w:hAnsi="宋体" w:eastAsia="宋体"/>
          <w:sz w:val="18"/>
          <w:szCs w:val="18"/>
        </w:rPr>
        <w:t>》</w:t>
      </w:r>
      <w:r>
        <w:rPr>
          <w:rFonts w:hint="eastAsia" w:ascii="宋体" w:hAnsi="宋体" w:eastAsia="宋体"/>
          <w:kern w:val="10"/>
          <w:sz w:val="18"/>
          <w:szCs w:val="18"/>
        </w:rPr>
        <w:t>，黑龙江人民出版社，</w:t>
      </w:r>
      <w:r>
        <w:rPr>
          <w:rFonts w:ascii="宋体" w:hAnsi="宋体" w:eastAsia="宋体"/>
          <w:kern w:val="10"/>
          <w:sz w:val="18"/>
          <w:szCs w:val="18"/>
        </w:rPr>
        <w:t>1992</w:t>
      </w:r>
      <w:r>
        <w:rPr>
          <w:rFonts w:hint="eastAsia" w:ascii="宋体" w:hAnsi="宋体" w:eastAsia="宋体"/>
          <w:kern w:val="10"/>
          <w:sz w:val="18"/>
          <w:szCs w:val="18"/>
        </w:rPr>
        <w:t>年版，第</w:t>
      </w:r>
      <w:r>
        <w:rPr>
          <w:rFonts w:ascii="宋体" w:hAnsi="宋体" w:eastAsia="宋体"/>
          <w:kern w:val="10"/>
          <w:sz w:val="18"/>
          <w:szCs w:val="18"/>
        </w:rPr>
        <w:t>216-218</w:t>
      </w:r>
      <w:r>
        <w:rPr>
          <w:rFonts w:hint="eastAsia" w:ascii="宋体" w:hAnsi="宋体" w:eastAsia="宋体"/>
          <w:kern w:val="10"/>
          <w:sz w:val="18"/>
          <w:szCs w:val="18"/>
        </w:rPr>
        <w:t>页。</w:t>
      </w:r>
    </w:p>
  </w:footnote>
  <w:footnote w:id="399">
    <w:p w14:paraId="65A1155B">
      <w:pPr>
        <w:snapToGrid w:val="0"/>
        <w:ind w:left="191" w:hanging="180" w:hangingChars="100"/>
        <w:rPr>
          <w:rFonts w:ascii="宋体" w:hAnsi="宋体" w:eastAsia="宋体"/>
          <w:kern w:val="10"/>
          <w:sz w:val="18"/>
          <w:szCs w:val="18"/>
        </w:rPr>
      </w:pPr>
      <w:r>
        <w:rPr>
          <w:rFonts w:ascii="宋体" w:hAnsi="宋体" w:eastAsia="宋体"/>
          <w:sz w:val="18"/>
          <w:szCs w:val="18"/>
          <w:vertAlign w:val="superscript"/>
        </w:rPr>
        <w:footnoteRef/>
      </w:r>
      <w:r>
        <w:rPr>
          <w:rFonts w:hint="eastAsia" w:ascii="宋体" w:hAnsi="宋体" w:eastAsia="宋体"/>
          <w:kern w:val="10"/>
          <w:sz w:val="18"/>
          <w:szCs w:val="18"/>
        </w:rPr>
        <w:t xml:space="preserve"> 程恩富：《西方产权理论评析》，当代中国出版社，</w:t>
      </w:r>
      <w:r>
        <w:rPr>
          <w:rFonts w:ascii="宋体" w:hAnsi="宋体" w:eastAsia="宋体"/>
          <w:kern w:val="10"/>
          <w:sz w:val="18"/>
          <w:szCs w:val="18"/>
        </w:rPr>
        <w:t>1997</w:t>
      </w:r>
      <w:r>
        <w:rPr>
          <w:rFonts w:hint="eastAsia" w:ascii="宋体" w:hAnsi="宋体" w:eastAsia="宋体"/>
          <w:kern w:val="10"/>
          <w:sz w:val="18"/>
          <w:szCs w:val="18"/>
        </w:rPr>
        <w:t>年版，第</w:t>
      </w:r>
      <w:r>
        <w:rPr>
          <w:rFonts w:ascii="宋体" w:hAnsi="宋体" w:eastAsia="宋体"/>
          <w:kern w:val="10"/>
          <w:sz w:val="18"/>
          <w:szCs w:val="18"/>
        </w:rPr>
        <w:t>166</w:t>
      </w:r>
      <w:r>
        <w:rPr>
          <w:rFonts w:hint="eastAsia" w:ascii="宋体" w:hAnsi="宋体" w:eastAsia="宋体"/>
          <w:kern w:val="10"/>
          <w:sz w:val="18"/>
          <w:szCs w:val="18"/>
        </w:rPr>
        <w:t>－</w:t>
      </w:r>
      <w:r>
        <w:rPr>
          <w:rFonts w:ascii="宋体" w:hAnsi="宋体" w:eastAsia="宋体"/>
          <w:kern w:val="10"/>
          <w:sz w:val="18"/>
          <w:szCs w:val="18"/>
        </w:rPr>
        <w:t>167</w:t>
      </w:r>
      <w:r>
        <w:rPr>
          <w:rFonts w:hint="eastAsia" w:ascii="宋体" w:hAnsi="宋体" w:eastAsia="宋体"/>
          <w:kern w:val="10"/>
          <w:sz w:val="18"/>
          <w:szCs w:val="18"/>
        </w:rPr>
        <w:t>页。</w:t>
      </w:r>
    </w:p>
  </w:footnote>
  <w:footnote w:id="400">
    <w:p w14:paraId="3FF0B714">
      <w:pPr>
        <w:snapToGrid w:val="0"/>
        <w:ind w:left="191" w:hanging="180" w:hangingChars="100"/>
        <w:rPr>
          <w:rFonts w:ascii="宋体" w:hAnsi="宋体" w:eastAsia="宋体"/>
          <w:kern w:val="10"/>
          <w:sz w:val="18"/>
          <w:szCs w:val="18"/>
        </w:rPr>
      </w:pPr>
      <w:r>
        <w:rPr>
          <w:rFonts w:ascii="宋体" w:hAnsi="宋体" w:eastAsia="宋体"/>
          <w:sz w:val="18"/>
          <w:szCs w:val="18"/>
          <w:vertAlign w:val="superscript"/>
        </w:rPr>
        <w:footnoteRef/>
      </w:r>
      <w:r>
        <w:rPr>
          <w:rFonts w:hint="eastAsia" w:ascii="宋体" w:hAnsi="宋体" w:eastAsia="宋体"/>
          <w:kern w:val="10"/>
          <w:sz w:val="18"/>
          <w:szCs w:val="18"/>
        </w:rPr>
        <w:t xml:space="preserve"> 保罗·R·格雷戈里、罗伯特·C·斯图尔特：《比较经济体制学》，上海三联书店，</w:t>
      </w:r>
      <w:r>
        <w:rPr>
          <w:rFonts w:ascii="宋体" w:hAnsi="宋体" w:eastAsia="宋体"/>
          <w:kern w:val="10"/>
          <w:sz w:val="18"/>
          <w:szCs w:val="18"/>
        </w:rPr>
        <w:t>1988</w:t>
      </w:r>
      <w:r>
        <w:rPr>
          <w:rFonts w:hint="eastAsia" w:ascii="宋体" w:hAnsi="宋体" w:eastAsia="宋体"/>
          <w:kern w:val="10"/>
          <w:sz w:val="18"/>
          <w:szCs w:val="18"/>
        </w:rPr>
        <w:t>年版，第</w:t>
      </w:r>
      <w:r>
        <w:rPr>
          <w:rFonts w:ascii="宋体" w:hAnsi="宋体" w:eastAsia="宋体"/>
          <w:kern w:val="10"/>
          <w:sz w:val="18"/>
          <w:szCs w:val="18"/>
        </w:rPr>
        <w:t>404</w:t>
      </w:r>
      <w:r>
        <w:rPr>
          <w:rFonts w:hint="eastAsia" w:ascii="宋体" w:hAnsi="宋体" w:eastAsia="宋体"/>
          <w:kern w:val="10"/>
          <w:sz w:val="18"/>
          <w:szCs w:val="18"/>
        </w:rPr>
        <w:t>页。</w:t>
      </w:r>
    </w:p>
  </w:footnote>
  <w:footnote w:id="401">
    <w:p w14:paraId="78352F13">
      <w:pPr>
        <w:snapToGrid w:val="0"/>
        <w:ind w:left="191" w:hanging="180" w:hangingChars="100"/>
        <w:rPr>
          <w:rFonts w:ascii="宋体" w:hAnsi="宋体" w:eastAsia="宋体"/>
          <w:kern w:val="10"/>
          <w:sz w:val="18"/>
          <w:szCs w:val="18"/>
        </w:rPr>
      </w:pPr>
      <w:r>
        <w:rPr>
          <w:rFonts w:ascii="宋体" w:hAnsi="宋体" w:eastAsia="宋体"/>
          <w:sz w:val="18"/>
          <w:szCs w:val="18"/>
          <w:vertAlign w:val="superscript"/>
        </w:rPr>
        <w:footnoteRef/>
      </w:r>
      <w:r>
        <w:rPr>
          <w:rFonts w:hint="eastAsia" w:ascii="宋体" w:hAnsi="宋体" w:eastAsia="宋体"/>
          <w:kern w:val="10"/>
          <w:sz w:val="18"/>
          <w:szCs w:val="18"/>
        </w:rPr>
        <w:t xml:space="preserve"> 程恩富：《西方产权理论评析》，当代中国出版社，</w:t>
      </w:r>
      <w:r>
        <w:rPr>
          <w:rFonts w:ascii="宋体" w:hAnsi="宋体" w:eastAsia="宋体"/>
          <w:kern w:val="10"/>
          <w:sz w:val="18"/>
          <w:szCs w:val="18"/>
        </w:rPr>
        <w:t>1997</w:t>
      </w:r>
      <w:r>
        <w:rPr>
          <w:rFonts w:hint="eastAsia" w:ascii="宋体" w:hAnsi="宋体" w:eastAsia="宋体"/>
          <w:kern w:val="10"/>
          <w:sz w:val="18"/>
          <w:szCs w:val="18"/>
        </w:rPr>
        <w:t>年版，第</w:t>
      </w:r>
      <w:r>
        <w:rPr>
          <w:rFonts w:ascii="宋体" w:hAnsi="宋体" w:eastAsia="宋体"/>
          <w:kern w:val="10"/>
          <w:sz w:val="18"/>
          <w:szCs w:val="18"/>
        </w:rPr>
        <w:t>166</w:t>
      </w:r>
      <w:r>
        <w:rPr>
          <w:rFonts w:hint="eastAsia" w:ascii="宋体" w:hAnsi="宋体" w:eastAsia="宋体"/>
          <w:kern w:val="10"/>
          <w:sz w:val="18"/>
          <w:szCs w:val="18"/>
        </w:rPr>
        <w:t>－</w:t>
      </w:r>
      <w:r>
        <w:rPr>
          <w:rFonts w:ascii="宋体" w:hAnsi="宋体" w:eastAsia="宋体"/>
          <w:kern w:val="10"/>
          <w:sz w:val="18"/>
          <w:szCs w:val="18"/>
        </w:rPr>
        <w:t>167</w:t>
      </w:r>
      <w:r>
        <w:rPr>
          <w:rFonts w:hint="eastAsia" w:ascii="宋体" w:hAnsi="宋体" w:eastAsia="宋体"/>
          <w:kern w:val="10"/>
          <w:sz w:val="18"/>
          <w:szCs w:val="18"/>
        </w:rPr>
        <w:t>页。</w:t>
      </w:r>
    </w:p>
  </w:footnote>
  <w:footnote w:id="402">
    <w:p w14:paraId="33A48E8F">
      <w:pPr>
        <w:snapToGrid w:val="0"/>
        <w:ind w:left="191" w:hanging="180" w:hangingChars="10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转引自程恩富《西方产权理论评析》，当代中国出版社，</w:t>
      </w:r>
      <w:r>
        <w:rPr>
          <w:rFonts w:ascii="宋体" w:hAnsi="宋体" w:eastAsia="宋体"/>
          <w:sz w:val="18"/>
          <w:szCs w:val="18"/>
        </w:rPr>
        <w:t>1997</w:t>
      </w:r>
      <w:r>
        <w:rPr>
          <w:rFonts w:hint="eastAsia" w:ascii="宋体" w:hAnsi="宋体" w:eastAsia="宋体"/>
          <w:sz w:val="18"/>
          <w:szCs w:val="18"/>
        </w:rPr>
        <w:t>年版，第</w:t>
      </w:r>
      <w:r>
        <w:rPr>
          <w:rFonts w:ascii="宋体" w:hAnsi="宋体" w:eastAsia="宋体"/>
          <w:sz w:val="18"/>
          <w:szCs w:val="18"/>
        </w:rPr>
        <w:t>168-170</w:t>
      </w:r>
      <w:r>
        <w:rPr>
          <w:rFonts w:hint="eastAsia" w:ascii="宋体" w:hAnsi="宋体" w:eastAsia="宋体"/>
          <w:sz w:val="18"/>
          <w:szCs w:val="18"/>
        </w:rPr>
        <w:t>页。</w:t>
      </w:r>
    </w:p>
  </w:footnote>
  <w:footnote w:id="403">
    <w:p w14:paraId="072E6E39">
      <w:pPr>
        <w:snapToGrid w:val="0"/>
        <w:ind w:left="191" w:hanging="180" w:hangingChars="10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 xml:space="preserve"> 转引自同上。</w:t>
      </w:r>
    </w:p>
  </w:footnote>
  <w:footnote w:id="404">
    <w:p w14:paraId="3C2D8625">
      <w:pPr>
        <w:snapToGrid w:val="0"/>
        <w:ind w:left="191" w:hanging="180" w:hangingChars="100"/>
        <w:rPr>
          <w:rFonts w:ascii="宋体" w:hAnsi="宋体" w:eastAsia="宋体"/>
          <w:sz w:val="18"/>
          <w:szCs w:val="18"/>
        </w:rPr>
      </w:pPr>
      <w:r>
        <w:rPr>
          <w:rFonts w:ascii="宋体" w:hAnsi="宋体" w:eastAsia="宋体"/>
          <w:sz w:val="18"/>
          <w:szCs w:val="18"/>
          <w:vertAlign w:val="superscript"/>
        </w:rPr>
        <w:footnoteRef/>
      </w:r>
      <w:r>
        <w:rPr>
          <w:rFonts w:ascii="宋体" w:hAnsi="宋体" w:eastAsia="宋体"/>
          <w:sz w:val="18"/>
          <w:szCs w:val="18"/>
        </w:rPr>
        <w:t xml:space="preserve"> </w:t>
      </w:r>
      <w:r>
        <w:rPr>
          <w:rFonts w:hint="eastAsia" w:ascii="宋体" w:hAnsi="宋体" w:eastAsia="宋体"/>
          <w:sz w:val="18"/>
          <w:szCs w:val="18"/>
        </w:rPr>
        <w:t>参见曹雷：《讲学中南海——著名经济学家程恩富访谈》，载《现代教育报》</w:t>
      </w:r>
      <w:r>
        <w:rPr>
          <w:rFonts w:ascii="宋体" w:hAnsi="宋体" w:eastAsia="宋体"/>
          <w:sz w:val="18"/>
          <w:szCs w:val="18"/>
        </w:rPr>
        <w:t>2004</w:t>
      </w:r>
      <w:r>
        <w:rPr>
          <w:rFonts w:hint="eastAsia" w:ascii="宋体" w:hAnsi="宋体" w:eastAsia="宋体"/>
          <w:sz w:val="18"/>
          <w:szCs w:val="18"/>
        </w:rPr>
        <w:t>年</w:t>
      </w:r>
      <w:r>
        <w:rPr>
          <w:rFonts w:ascii="宋体" w:hAnsi="宋体" w:eastAsia="宋体"/>
          <w:sz w:val="18"/>
          <w:szCs w:val="18"/>
        </w:rPr>
        <w:t>6</w:t>
      </w:r>
      <w:r>
        <w:rPr>
          <w:rFonts w:hint="eastAsia" w:ascii="宋体" w:hAnsi="宋体" w:eastAsia="宋体"/>
          <w:sz w:val="18"/>
          <w:szCs w:val="18"/>
        </w:rPr>
        <w:t>月</w:t>
      </w:r>
      <w:r>
        <w:rPr>
          <w:rFonts w:ascii="宋体" w:hAnsi="宋体" w:eastAsia="宋体"/>
          <w:sz w:val="18"/>
          <w:szCs w:val="18"/>
        </w:rPr>
        <w:t>21</w:t>
      </w:r>
      <w:r>
        <w:rPr>
          <w:rFonts w:hint="eastAsia" w:ascii="宋体" w:hAnsi="宋体" w:eastAsia="宋体"/>
          <w:sz w:val="18"/>
          <w:szCs w:val="18"/>
        </w:rPr>
        <w:t>日。</w:t>
      </w:r>
    </w:p>
  </w:footnote>
  <w:footnote w:id="405">
    <w:p w14:paraId="6AAD0BA1">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参见程恩富：《21 世纪：重建中国经济学》，《社会科学报》1994 年4 月7 日。</w:t>
      </w:r>
    </w:p>
  </w:footnote>
  <w:footnote w:id="406">
    <w:p w14:paraId="0A1827C5">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参见于光远、董辅礽：《中国经济学向何处去》，北京：经济科学出版社，1997 年。</w:t>
      </w:r>
    </w:p>
  </w:footnote>
  <w:footnote w:id="407">
    <w:p w14:paraId="191A4D99">
      <w:pPr>
        <w:pageBreakBefore w:val="0"/>
        <w:kinsoku/>
        <w:wordWrap/>
        <w:overflowPunct/>
        <w:topLinePunct w:val="0"/>
        <w:bidi w:val="0"/>
        <w:spacing w:beforeAutospacing="0" w:afterAutospacing="0" w:line="240" w:lineRule="auto"/>
        <w:ind w:left="0"/>
        <w:textAlignment w:val="auto"/>
        <w:rPr>
          <w:sz w:val="20"/>
          <w:szCs w:val="20"/>
        </w:rPr>
      </w:pPr>
      <w:r>
        <w:rPr>
          <w:rStyle w:val="20"/>
        </w:rPr>
        <w:footnoteRef/>
      </w:r>
      <w:r>
        <w:rPr>
          <w:rFonts w:hint="eastAsia"/>
          <w:sz w:val="20"/>
          <w:szCs w:val="20"/>
        </w:rPr>
        <w:t>例如，《光明日报》2007 年9 月4 日的“理论周刊”版，发表了洪水深的《中国经济学教育与研究必须国际化》、黄少安的《走国际化与本土化结合的路》等文章。</w:t>
      </w:r>
    </w:p>
  </w:footnote>
  <w:footnote w:id="408">
    <w:p w14:paraId="7D4F1648">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马克思：《资本论》第1 卷，北京：人民出版社，1975 年，第106 页。</w:t>
      </w:r>
    </w:p>
  </w:footnote>
  <w:footnote w:id="409">
    <w:p w14:paraId="6736BDBE">
      <w:pPr>
        <w:pageBreakBefore w:val="0"/>
        <w:kinsoku/>
        <w:wordWrap/>
        <w:overflowPunct/>
        <w:topLinePunct w:val="0"/>
        <w:bidi w:val="0"/>
        <w:spacing w:beforeAutospacing="0" w:afterAutospacing="0" w:line="240" w:lineRule="auto"/>
        <w:ind w:left="0"/>
        <w:textAlignment w:val="auto"/>
        <w:rPr>
          <w:sz w:val="20"/>
          <w:szCs w:val="20"/>
        </w:rPr>
      </w:pPr>
      <w:r>
        <w:rPr>
          <w:rStyle w:val="20"/>
        </w:rPr>
        <w:footnoteRef/>
      </w:r>
      <w:r>
        <w:rPr>
          <w:rFonts w:hint="eastAsia"/>
          <w:sz w:val="20"/>
          <w:szCs w:val="20"/>
        </w:rPr>
        <w:t>关于“体用”概念，人们往往想到张之洞在1898 年《劝学篇》中提出的“中学为体，西学为用”的主张。他所说的“用”，突破前期洋务派所划定的“西方技艺”，即器械与自然科学的范围，包含了“西方政艺”的部分内容，即主张在学校、赋税、武备、法律、通商等领域实施某些西方的模式。但是，他的“中学为体”，是要以儒家的“三纲五常”等伦理道德作为立国的不能更改的根本原则。所谓“西学为用”，主要是作为维护中国封建皇权和地主阶级统治的一种手段，从实质内容上看是改良主义。不过，这并不妨碍我们从语言角度对“体用”概念的使用。我们完全可以赋予“体用”以崭新的现代科学含义。</w:t>
      </w:r>
    </w:p>
    <w:p w14:paraId="7D9F4B26">
      <w:pPr>
        <w:pStyle w:val="12"/>
        <w:pageBreakBefore w:val="0"/>
        <w:kinsoku/>
        <w:wordWrap/>
        <w:overflowPunct/>
        <w:topLinePunct w:val="0"/>
        <w:bidi w:val="0"/>
        <w:spacing w:beforeAutospacing="0" w:afterAutospacing="0" w:line="240" w:lineRule="auto"/>
        <w:ind w:left="0"/>
        <w:textAlignment w:val="auto"/>
      </w:pPr>
    </w:p>
  </w:footnote>
  <w:footnote w:id="410">
    <w:p w14:paraId="4E2A2C2E">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参见《辞海》语词分册（上），上海：上海辞书出版社，2003 年，第200 页。</w:t>
      </w:r>
    </w:p>
  </w:footnote>
  <w:footnote w:id="411">
    <w:p w14:paraId="1B2B197F">
      <w:pPr>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让我们记住列宁的忠告：“从马克思的理论是客观真理这一为马克思主义者所同意的见解出发，所能得出的唯一结论就是：沿着马克思的理论的道路前进，我们将愈来愈接近客观真理（但决不会穷尽它）；而沿着任何其他的道路前进，除了混乱和谬误之外，我们什么也得不到。”（《列宁选集》第2 卷，北京：人民出版社，1995 年，第103-104 页。）</w:t>
      </w:r>
    </w:p>
    <w:p w14:paraId="62170903">
      <w:pPr>
        <w:pStyle w:val="12"/>
        <w:pageBreakBefore w:val="0"/>
        <w:kinsoku/>
        <w:wordWrap/>
        <w:overflowPunct/>
        <w:topLinePunct w:val="0"/>
        <w:bidi w:val="0"/>
        <w:spacing w:beforeAutospacing="0" w:afterAutospacing="0" w:line="240" w:lineRule="auto"/>
        <w:ind w:left="0"/>
        <w:textAlignment w:val="auto"/>
      </w:pPr>
    </w:p>
  </w:footnote>
  <w:footnote w:id="412">
    <w:p w14:paraId="44051C13">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《马克思恩格斯选集》第4 卷，北京：人民出版社，1995 年，第733 页。</w:t>
      </w:r>
    </w:p>
  </w:footnote>
  <w:footnote w:id="413">
    <w:p w14:paraId="21A1B327">
      <w:pPr>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0"/>
          <w:szCs w:val="20"/>
        </w:rPr>
        <w:t>李嘉图分析了工资与利润的矛盾，已经从流通领域深入到生产领域，在很大程度上看到了剩余价值体现的阶级矛盾。新自由主义的制度分析却停留在流通领域，否认劳动价值论和阶级矛盾。参见何干强：《评唯心史观的制度解释》，载程恩富、黄允成主编：《11 位知名教授批评张五常》，北京：中国经济出版社，2003 年，第180-206 页。</w:t>
      </w:r>
    </w:p>
  </w:footnote>
  <w:footnote w:id="414">
    <w:p w14:paraId="583688C0">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马克思：《资本论》第1 卷，北京：人民出版社，2004 年，第10 页。</w:t>
      </w:r>
    </w:p>
  </w:footnote>
  <w:footnote w:id="415">
    <w:p w14:paraId="28440A7B">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马克思：《资本论》第1 卷，北京：人民出版社，2004 年，第10 页。</w:t>
      </w:r>
    </w:p>
  </w:footnote>
  <w:footnote w:id="416">
    <w:p w14:paraId="2D5B3707">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余 斌：《微观经济学批判》，北京：中国经济出版社，2004 年。</w:t>
      </w:r>
    </w:p>
  </w:footnote>
  <w:footnote w:id="417">
    <w:p w14:paraId="687F9F90">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《辞海》语词分册（上），上海：上海辞书出版社，2003 年，第200 页。</w:t>
      </w:r>
    </w:p>
  </w:footnote>
  <w:footnote w:id="418">
    <w:p w14:paraId="329B05DD">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马克思《资本论》三卷是“三过程体系”；“五过程体系”是程恩富主编的《现代政治经济学》，详见上海财经大学出版社2000年版和2007 年版。</w:t>
      </w:r>
    </w:p>
  </w:footnote>
  <w:footnote w:id="419">
    <w:p w14:paraId="5C4000EB">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马克思：《资本论》第1 卷，北京：人民出版社，1975 年，第24 页。</w:t>
      </w:r>
    </w:p>
  </w:footnote>
  <w:footnote w:id="420">
    <w:p w14:paraId="1D732AB3">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马克思：《资本论》第1 卷，北京：人民出版社，1975 年，第32 页。</w:t>
      </w:r>
    </w:p>
  </w:footnote>
  <w:footnote w:id="421">
    <w:p w14:paraId="2CC1C6CE">
      <w:pPr>
        <w:pageBreakBefore w:val="0"/>
        <w:kinsoku/>
        <w:wordWrap/>
        <w:overflowPunct/>
        <w:topLinePunct w:val="0"/>
        <w:bidi w:val="0"/>
        <w:spacing w:beforeAutospacing="0" w:afterAutospacing="0" w:line="240" w:lineRule="auto"/>
        <w:ind w:left="0"/>
        <w:textAlignment w:val="auto"/>
      </w:pPr>
      <w:r>
        <w:rPr>
          <w:rStyle w:val="20"/>
        </w:rPr>
        <w:footnoteRef/>
      </w:r>
      <w:r>
        <w:rPr>
          <w:rFonts w:hint="eastAsia"/>
          <w:sz w:val="20"/>
          <w:szCs w:val="20"/>
        </w:rPr>
        <w:t>马克思：《资本论》第1 卷，北京：人民出版社，1975 年，第34 页。</w:t>
      </w:r>
    </w:p>
  </w:footnote>
  <w:footnote w:id="422">
    <w:p w14:paraId="72477239">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参阅陈其人：《世界经济发展研究》，上海：上海人民出版社，2002 年，第410 页。</w:t>
      </w:r>
    </w:p>
  </w:footnote>
  <w:footnote w:id="423">
    <w:p w14:paraId="41DAA011">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马克思：《资本论》第2 卷，北京：人民出版社，1975 年，第398-399 页、第404-410 页。</w:t>
      </w:r>
    </w:p>
  </w:footnote>
  <w:footnote w:id="424">
    <w:p w14:paraId="53461B51">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《马克思恩格斯全集》第25 卷，北京：人民出版社，1974 年，第127 页。</w:t>
      </w:r>
    </w:p>
  </w:footnote>
  <w:footnote w:id="425">
    <w:p w14:paraId="17D4D395">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《毛泽东选集》第2 卷，北京：人民出版社，1991 年，第533-534 页。</w:t>
      </w:r>
    </w:p>
  </w:footnote>
  <w:footnote w:id="426">
    <w:p w14:paraId="626393C5">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《大戴礼·武王践祚·履屡铭》，胡寄窗：《中国经济思想史简编》，北京：中国社会科学出版社，1981 年，第2 页。</w:t>
      </w:r>
    </w:p>
  </w:footnote>
  <w:footnote w:id="427">
    <w:p w14:paraId="3F5669ED">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《论语·学而》，胡寄窗：《中国经济思想史简编》，北京：中国社会科学出版社，1981 年，第47 页。</w:t>
      </w:r>
    </w:p>
  </w:footnote>
  <w:footnote w:id="428">
    <w:p w14:paraId="6AE6DA86">
      <w:pPr>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《管子·治国》，周伯棣：《中国财政思想史稿》，福州：福建人民出版社，1984 年，第2 页。</w:t>
      </w:r>
    </w:p>
  </w:footnote>
  <w:footnote w:id="429">
    <w:p w14:paraId="4EF3E1EF">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《墨子间诂·辞过》，周伯棣：《中国财政思想史稿》，福州：福建人民出版社，1984 年，第104 页。</w:t>
      </w:r>
    </w:p>
  </w:footnote>
  <w:footnote w:id="430">
    <w:p w14:paraId="2369730D">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参阅胡寄窗：《中国经济思想史简编》，北京：中国社会科学出版社，1981 年，第192-193 页。</w:t>
      </w:r>
    </w:p>
  </w:footnote>
  <w:footnote w:id="431">
    <w:p w14:paraId="0941D5AE">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参阅胡寄窗：《中国经济思想史简编》，北京：中国社会科学出版社，1981 年，第361-363 页。</w:t>
      </w:r>
    </w:p>
  </w:footnote>
  <w:footnote w:id="432">
    <w:p w14:paraId="44204E4A">
      <w:pPr>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参阅胡寄窗：《中国经济思想史简编》，北京：中国社会科学出版社，1981 年，第27-31 页。</w:t>
      </w:r>
    </w:p>
    <w:p w14:paraId="5305E4C6">
      <w:pPr>
        <w:pStyle w:val="12"/>
        <w:pageBreakBefore w:val="0"/>
        <w:kinsoku/>
        <w:wordWrap/>
        <w:overflowPunct/>
        <w:topLinePunct w:val="0"/>
        <w:bidi w:val="0"/>
        <w:spacing w:beforeAutospacing="0" w:afterAutospacing="0" w:line="240" w:lineRule="auto"/>
        <w:ind w:left="0"/>
        <w:textAlignment w:val="auto"/>
      </w:pPr>
    </w:p>
  </w:footnote>
  <w:footnote w:id="433">
    <w:p w14:paraId="5A64CDB6">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《毛泽东选集》第1 卷，北京：人民出版社，1991 年，第296 页。</w:t>
      </w:r>
    </w:p>
  </w:footnote>
  <w:footnote w:id="434">
    <w:p w14:paraId="2969C17E">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《马克思恩格斯全集》第44 卷，北京：人民出版社，2001 年，第21-22 页。</w:t>
      </w:r>
    </w:p>
  </w:footnote>
  <w:footnote w:id="435">
    <w:p w14:paraId="3D5CE1FF">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《陈云文选》第3 卷，北京：人民出版社，1995 年，第371 页。</w:t>
      </w:r>
    </w:p>
  </w:footnote>
  <w:footnote w:id="436">
    <w:p w14:paraId="0F9F6E77">
      <w:pPr>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参见程恩富：《世界政治经济学学会会长开幕词》，程恩富、顾海良主编：《海派经济学》第14 辑，上海：上海财经大学出版社，2006 年，第3 页。</w:t>
      </w:r>
    </w:p>
    <w:p w14:paraId="1F02E4E8">
      <w:pPr>
        <w:pStyle w:val="12"/>
        <w:pageBreakBefore w:val="0"/>
        <w:kinsoku/>
        <w:wordWrap/>
        <w:overflowPunct/>
        <w:topLinePunct w:val="0"/>
        <w:bidi w:val="0"/>
        <w:spacing w:beforeAutospacing="0" w:afterAutospacing="0" w:line="240" w:lineRule="auto"/>
        <w:ind w:left="0"/>
        <w:textAlignment w:val="auto"/>
      </w:pPr>
    </w:p>
  </w:footnote>
  <w:footnote w:id="437">
    <w:p w14:paraId="298F9FF7">
      <w:pPr>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马克思：《资本论》第1 卷，北京：人民出版社，1975 年，第12 页。</w:t>
      </w:r>
    </w:p>
  </w:footnote>
  <w:footnote w:id="438">
    <w:p w14:paraId="7C58EF3A">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参见程恩富：《范式革命与常规理论发展——经济学的分化与综合》，《光明日报》2004 年1 月20 日。</w:t>
      </w:r>
    </w:p>
  </w:footnote>
  <w:footnote w:id="439">
    <w:p w14:paraId="587C66A1">
      <w:pPr>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参见程恩富：《范式革命与常规理论发展——经济学的分化与综合》，《光明日报》2004 年1 月20 日。</w:t>
      </w:r>
    </w:p>
  </w:footnote>
  <w:footnote w:id="440">
    <w:p w14:paraId="48F5F51D">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rPr>
        <w:t>参见程恩福：《经济学现代化及其五大态势》，载《高校理论战线》2008 年第3 期。</w:t>
      </w:r>
    </w:p>
  </w:footnote>
  <w:footnote w:id="441">
    <w:p w14:paraId="50745EC8">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程恩富、何干强：《坚持公有制为主体、多种所有制经济共同发展的基本经济制度》，《海派经济学》2008卷第24辑。</w:t>
      </w:r>
    </w:p>
  </w:footnote>
  <w:footnote w:id="442">
    <w:p w14:paraId="49E3AF5A">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萨缪尔森、诺德豪斯：《经济学》，中国发展出版社1992年版，第1252－1253页。</w:t>
      </w:r>
    </w:p>
  </w:footnote>
  <w:footnote w:id="443">
    <w:p w14:paraId="711FEFA0">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朱妙宽、朱海平：《从完善分配制度入手完善基本经济制度》，《海派经济学》2008卷第23辑。</w:t>
      </w:r>
    </w:p>
  </w:footnote>
  <w:footnote w:id="444">
    <w:p w14:paraId="74E548B5">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ascii="宋体" w:hAnsi="宋体"/>
          <w:bCs/>
          <w:szCs w:val="21"/>
        </w:rPr>
        <w:t xml:space="preserve"> 程恩富、李新、梁赞诺夫、希罗科拉德：《中俄经济学家论中俄经济改革》，经济科学出版社2000年版，第14页。</w:t>
      </w:r>
    </w:p>
  </w:footnote>
  <w:footnote w:id="445">
    <w:p w14:paraId="71BC6EC2">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刘国光：《对经济学教学和研究中一些问题的看法》，《高校理论战线》2005年第9期。</w:t>
      </w:r>
    </w:p>
  </w:footnote>
  <w:footnote w:id="446">
    <w:p w14:paraId="79AD68E6">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rPr>
        <w:t>中国社会科学院马克思主义研究学部课题组：《改革开放30年中国马克思主义理论发展最具影响力的30件大事》，《马克思主义研究》2009年第1期。</w:t>
      </w:r>
    </w:p>
  </w:footnote>
  <w:footnote w:id="447">
    <w:p w14:paraId="2FE20385">
      <w:pPr>
        <w:pStyle w:val="12"/>
        <w:jc w:val="both"/>
        <w:rPr>
          <w:rFonts w:ascii="宋体" w:hAnsi="宋体"/>
        </w:rPr>
      </w:pPr>
      <w:r>
        <w:rPr>
          <w:rStyle w:val="20"/>
          <w:rFonts w:ascii="宋体" w:hAnsi="宋体" w:eastAsia="宋体"/>
        </w:rPr>
        <w:footnoteRef/>
      </w:r>
      <w:r>
        <w:rPr>
          <w:rFonts w:hint="eastAsia" w:ascii="宋体" w:hAnsi="宋体"/>
        </w:rPr>
        <w:t xml:space="preserve"> 靳辉明：《马克思主义研究</w:t>
      </w:r>
      <w:r>
        <w:rPr>
          <w:rFonts w:ascii="宋体" w:hAnsi="宋体"/>
        </w:rPr>
        <w:t>50年》，载中国社会科学院科研局编《中国社会科学五十年》，北京：中国社会科学出版社，2000年。</w:t>
      </w:r>
    </w:p>
  </w:footnote>
  <w:footnote w:id="448">
    <w:p w14:paraId="1B8DE4DC">
      <w:pPr>
        <w:pStyle w:val="12"/>
        <w:ind w:left="164" w:hanging="154" w:hangingChars="86"/>
        <w:jc w:val="both"/>
        <w:rPr>
          <w:rFonts w:ascii="宋体" w:hAnsi="宋体"/>
        </w:rPr>
      </w:pPr>
      <w:r>
        <w:rPr>
          <w:rStyle w:val="20"/>
          <w:rFonts w:ascii="宋体" w:hAnsi="宋体" w:eastAsia="宋体"/>
        </w:rPr>
        <w:footnoteRef/>
      </w:r>
      <w:r>
        <w:rPr>
          <w:rFonts w:hint="eastAsia" w:ascii="宋体" w:hAnsi="宋体"/>
        </w:rPr>
        <w:t xml:space="preserve"> 孙来斌：《改革开放以来马克思主义经典著作文本研究》，载《思想理论教育》（上海）2009年第7期。</w:t>
      </w:r>
    </w:p>
  </w:footnote>
  <w:footnote w:id="449">
    <w:p w14:paraId="3AF8616E">
      <w:pPr>
        <w:pStyle w:val="12"/>
        <w:ind w:left="164" w:hanging="154" w:hangingChars="86"/>
        <w:jc w:val="both"/>
        <w:rPr>
          <w:rFonts w:ascii="宋体" w:hAnsi="宋体"/>
        </w:rPr>
      </w:pPr>
      <w:r>
        <w:rPr>
          <w:rStyle w:val="20"/>
          <w:rFonts w:ascii="宋体" w:hAnsi="宋体" w:eastAsia="宋体"/>
        </w:rPr>
        <w:footnoteRef/>
      </w:r>
      <w:r>
        <w:rPr>
          <w:rFonts w:hint="eastAsia" w:ascii="宋体" w:hAnsi="宋体"/>
        </w:rPr>
        <w:t xml:space="preserve"> 靳辉明：《马克思主义研究50年》，载中国社会科学院科研局编《中国社会科学五十年》，北京：中国社会科学出版社，2000年。</w:t>
      </w:r>
    </w:p>
  </w:footnote>
  <w:footnote w:id="450">
    <w:p w14:paraId="783B94F8">
      <w:pPr>
        <w:pStyle w:val="12"/>
        <w:ind w:left="164" w:hanging="154" w:hangingChars="86"/>
        <w:jc w:val="both"/>
        <w:rPr>
          <w:rFonts w:ascii="宋体" w:hAnsi="宋体"/>
        </w:rPr>
      </w:pPr>
      <w:r>
        <w:rPr>
          <w:rStyle w:val="20"/>
          <w:rFonts w:ascii="宋体" w:hAnsi="宋体" w:eastAsia="宋体"/>
        </w:rPr>
        <w:footnoteRef/>
      </w:r>
      <w:r>
        <w:rPr>
          <w:rFonts w:hint="eastAsia" w:ascii="宋体" w:hAnsi="宋体"/>
        </w:rPr>
        <w:t xml:space="preserve"> 靳辉明：《马克思主义研究50年》，载中国社会科学院科研局编《中国社会科学五十年》，北京：中国社会科学出版社，2000年。</w:t>
      </w:r>
    </w:p>
  </w:footnote>
  <w:footnote w:id="451">
    <w:p w14:paraId="4502D5FD">
      <w:pPr>
        <w:pStyle w:val="12"/>
        <w:ind w:left="164" w:hanging="154" w:hangingChars="86"/>
        <w:jc w:val="both"/>
        <w:rPr>
          <w:rFonts w:ascii="宋体" w:hAnsi="宋体"/>
        </w:rPr>
      </w:pPr>
      <w:r>
        <w:rPr>
          <w:rStyle w:val="20"/>
          <w:rFonts w:ascii="宋体" w:hAnsi="宋体" w:eastAsia="宋体"/>
        </w:rPr>
        <w:footnoteRef/>
      </w:r>
      <w:r>
        <w:rPr>
          <w:rFonts w:hint="eastAsia" w:ascii="宋体" w:hAnsi="宋体"/>
        </w:rPr>
        <w:t xml:space="preserve"> 奚洁人、余源培：《二十世纪中国社会科学·马克思主义卷》，上海：上海人民出版社，2005年，第313-359页。</w:t>
      </w:r>
    </w:p>
  </w:footnote>
  <w:footnote w:id="452">
    <w:p w14:paraId="3C1A9D68">
      <w:pPr>
        <w:pStyle w:val="12"/>
        <w:ind w:left="164" w:hanging="154" w:hangingChars="86"/>
        <w:jc w:val="both"/>
        <w:rPr>
          <w:rFonts w:ascii="宋体" w:hAnsi="宋体"/>
        </w:rPr>
      </w:pPr>
      <w:r>
        <w:rPr>
          <w:rStyle w:val="20"/>
          <w:rFonts w:ascii="宋体" w:hAnsi="宋体" w:eastAsia="宋体"/>
        </w:rPr>
        <w:footnoteRef/>
      </w:r>
      <w:r>
        <w:rPr>
          <w:rFonts w:hint="eastAsia" w:ascii="宋体" w:hAnsi="宋体" w:cs="宋体"/>
          <w:kern w:val="0"/>
        </w:rPr>
        <w:t xml:space="preserve"> </w:t>
      </w:r>
      <w:r>
        <w:rPr>
          <w:rFonts w:ascii="宋体" w:hAnsi="宋体" w:cs="宋体"/>
          <w:kern w:val="0"/>
        </w:rPr>
        <w:t>于沛</w:t>
      </w:r>
      <w:r>
        <w:rPr>
          <w:rFonts w:hint="eastAsia" w:ascii="宋体" w:hAnsi="宋体" w:cs="宋体"/>
          <w:kern w:val="0"/>
        </w:rPr>
        <w:t>：《</w:t>
      </w:r>
      <w:r>
        <w:rPr>
          <w:rFonts w:ascii="宋体" w:hAnsi="宋体" w:cs="宋体"/>
          <w:kern w:val="0"/>
        </w:rPr>
        <w:t>马克思主义史学理论研究的丰硕成果</w:t>
      </w:r>
      <w:r>
        <w:rPr>
          <w:rFonts w:hint="eastAsia" w:ascii="宋体" w:hAnsi="宋体" w:cs="宋体"/>
          <w:kern w:val="0"/>
        </w:rPr>
        <w:t>》，《人民日报》</w:t>
      </w:r>
      <w:r>
        <w:rPr>
          <w:rFonts w:ascii="宋体" w:hAnsi="宋体"/>
          <w:kern w:val="0"/>
        </w:rPr>
        <w:t>2009年7月17</w:t>
      </w:r>
      <w:r>
        <w:rPr>
          <w:rFonts w:hint="eastAsia" w:ascii="宋体" w:hAnsi="宋体" w:cs="宋体"/>
          <w:kern w:val="0"/>
        </w:rPr>
        <w:t>日。</w:t>
      </w:r>
    </w:p>
  </w:footnote>
  <w:footnote w:id="453">
    <w:p w14:paraId="7FAEDD45">
      <w:pPr>
        <w:pStyle w:val="12"/>
        <w:ind w:left="164" w:hanging="154" w:hangingChars="86"/>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rPr>
        <w:t>龚学增：《新世纪我国马克思主义宗教观研究新进展》，《中国民族报》2009年6月23日。</w:t>
      </w:r>
    </w:p>
  </w:footnote>
  <w:footnote w:id="454">
    <w:p w14:paraId="76969273">
      <w:pPr>
        <w:pStyle w:val="12"/>
        <w:ind w:left="164" w:hanging="154" w:hangingChars="86"/>
        <w:jc w:val="both"/>
        <w:rPr>
          <w:rFonts w:ascii="宋体" w:hAnsi="宋体"/>
        </w:rPr>
      </w:pPr>
      <w:r>
        <w:rPr>
          <w:rStyle w:val="20"/>
          <w:rFonts w:ascii="宋体" w:hAnsi="宋体" w:eastAsia="宋体"/>
        </w:rPr>
        <w:footnoteRef/>
      </w:r>
      <w:r>
        <w:rPr>
          <w:rFonts w:hint="eastAsia" w:ascii="宋体" w:hAnsi="宋体"/>
        </w:rPr>
        <w:t xml:space="preserve"> 《邓小平文选》第3卷，北京：人民出版社，1993年，第288页。</w:t>
      </w:r>
    </w:p>
  </w:footnote>
  <w:footnote w:id="455">
    <w:p w14:paraId="46354720">
      <w:pPr>
        <w:pStyle w:val="12"/>
        <w:ind w:left="164" w:hanging="154" w:hangingChars="86"/>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rPr>
        <w:t>程恩富、何干强：《论推进中国经济学现代化的学术原则——主析“马学”、“西学”与“国学”之关系》，载《马克思主义研究》2009年第4期。</w:t>
      </w:r>
    </w:p>
  </w:footnote>
  <w:footnote w:id="456">
    <w:p w14:paraId="2F44B636">
      <w:pPr>
        <w:pStyle w:val="12"/>
        <w:ind w:left="164" w:hanging="154" w:hangingChars="86"/>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rPr>
        <w:t>参见《邓小平文选》第3卷，北京：人民出版社，1993年，第382页。</w:t>
      </w:r>
    </w:p>
  </w:footnote>
  <w:footnote w:id="457">
    <w:p w14:paraId="6074AA93">
      <w:pPr>
        <w:pStyle w:val="12"/>
        <w:ind w:left="164" w:hanging="154" w:hangingChars="86"/>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rPr>
        <w:t>俞吾金：《马克思主义的中国化和中国马克思主义的国际化》，载《现代哲学》2009年第1期。</w:t>
      </w:r>
    </w:p>
  </w:footnote>
  <w:footnote w:id="458">
    <w:p w14:paraId="68810D47">
      <w:pPr>
        <w:pStyle w:val="12"/>
        <w:ind w:left="164" w:hanging="154" w:hangingChars="86"/>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rPr>
        <w:t>《马克思恩格斯选集》第1卷，北京：人民出版社，1995年，第11页。</w:t>
      </w:r>
    </w:p>
  </w:footnote>
  <w:footnote w:id="459">
    <w:p w14:paraId="2B94519E">
      <w:pPr>
        <w:rPr>
          <w:rFonts w:ascii="宋体" w:hAnsi="宋体" w:eastAsia="宋体"/>
          <w:sz w:val="18"/>
          <w:szCs w:val="18"/>
        </w:rPr>
      </w:pPr>
      <w:r>
        <w:rPr>
          <w:rStyle w:val="38"/>
          <w:rFonts w:ascii="宋体" w:hAnsi="宋体"/>
        </w:rPr>
        <w:footnoteRef/>
      </w:r>
      <w:r>
        <w:rPr>
          <w:rFonts w:ascii="宋体" w:hAnsi="宋体" w:eastAsia="宋体"/>
          <w:sz w:val="18"/>
          <w:szCs w:val="18"/>
        </w:rPr>
        <w:t xml:space="preserve"> </w:t>
      </w:r>
      <w:r>
        <w:rPr>
          <w:rFonts w:hint="eastAsia" w:ascii="宋体" w:hAnsi="宋体" w:eastAsia="宋体"/>
          <w:sz w:val="18"/>
          <w:szCs w:val="18"/>
        </w:rPr>
        <w:t>张宇、孟捷等主编：《高级政治经济学》，北京:经济科学出版社,2002年。</w:t>
      </w:r>
    </w:p>
  </w:footnote>
  <w:footnote w:id="460">
    <w:p w14:paraId="00DD6D0A">
      <w:pPr>
        <w:rPr>
          <w:rFonts w:ascii="宋体" w:hAnsi="宋体" w:eastAsia="宋体"/>
          <w:sz w:val="18"/>
          <w:szCs w:val="18"/>
        </w:rPr>
      </w:pPr>
      <w:r>
        <w:rPr>
          <w:rStyle w:val="38"/>
          <w:rFonts w:ascii="宋体" w:hAnsi="宋体"/>
        </w:rPr>
        <w:footnoteRef/>
      </w:r>
      <w:r>
        <w:rPr>
          <w:rFonts w:ascii="宋体" w:hAnsi="宋体" w:eastAsia="宋体"/>
          <w:sz w:val="18"/>
          <w:szCs w:val="18"/>
        </w:rPr>
        <w:t xml:space="preserve"> </w:t>
      </w:r>
      <w:r>
        <w:rPr>
          <w:rFonts w:hint="eastAsia" w:ascii="宋体" w:hAnsi="宋体" w:eastAsia="宋体"/>
          <w:sz w:val="18"/>
          <w:szCs w:val="18"/>
        </w:rPr>
        <w:t>《马克思恩格斯选集》，第3卷，北京:人民出版社，1995年，第489-490页。</w:t>
      </w:r>
    </w:p>
  </w:footnote>
  <w:footnote w:id="461">
    <w:p w14:paraId="4DAFFE5C">
      <w:pPr>
        <w:rPr>
          <w:rFonts w:ascii="宋体" w:hAnsi="宋体" w:eastAsia="宋体"/>
          <w:sz w:val="18"/>
          <w:szCs w:val="18"/>
        </w:rPr>
      </w:pPr>
      <w:r>
        <w:rPr>
          <w:rStyle w:val="38"/>
          <w:rFonts w:ascii="宋体" w:hAnsi="宋体"/>
        </w:rPr>
        <w:footnoteRef/>
      </w:r>
      <w:r>
        <w:rPr>
          <w:rFonts w:ascii="宋体" w:hAnsi="宋体" w:eastAsia="宋体"/>
          <w:sz w:val="18"/>
          <w:szCs w:val="18"/>
        </w:rPr>
        <w:t xml:space="preserve"> </w:t>
      </w:r>
      <w:r>
        <w:rPr>
          <w:rFonts w:hint="eastAsia" w:ascii="宋体" w:hAnsi="宋体" w:eastAsia="宋体"/>
          <w:sz w:val="18"/>
          <w:szCs w:val="18"/>
        </w:rPr>
        <w:t>《马克思恩格斯选集》，第4卷，北京:人民出版社，1995年，第742-743页。</w:t>
      </w:r>
    </w:p>
  </w:footnote>
  <w:footnote w:id="462">
    <w:p w14:paraId="136F0B31">
      <w:pPr>
        <w:rPr>
          <w:rFonts w:ascii="宋体" w:hAnsi="宋体" w:eastAsia="宋体"/>
          <w:sz w:val="18"/>
          <w:szCs w:val="18"/>
        </w:rPr>
      </w:pPr>
      <w:r>
        <w:rPr>
          <w:rStyle w:val="38"/>
          <w:rFonts w:ascii="宋体" w:hAnsi="宋体"/>
        </w:rPr>
        <w:footnoteRef/>
      </w:r>
      <w:r>
        <w:rPr>
          <w:rFonts w:ascii="宋体" w:hAnsi="宋体" w:eastAsia="宋体"/>
          <w:sz w:val="18"/>
          <w:szCs w:val="18"/>
        </w:rPr>
        <w:t xml:space="preserve"> </w:t>
      </w:r>
      <w:r>
        <w:rPr>
          <w:rFonts w:hint="eastAsia" w:ascii="宋体" w:hAnsi="宋体" w:eastAsia="宋体"/>
          <w:sz w:val="18"/>
          <w:szCs w:val="18"/>
        </w:rPr>
        <w:t>程恩富、胡乐明主编：《经济学方法论:马克思、西方主流与多学科视角》，上海:上海财经大学出版社,2002年。</w:t>
      </w:r>
    </w:p>
  </w:footnote>
  <w:footnote w:id="463">
    <w:p w14:paraId="65BC88A8">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rPr>
        <w:t>参见易富贤：《大国空巢》，（香港）大风出版社</w:t>
      </w:r>
      <w:r>
        <w:rPr>
          <w:rFonts w:ascii="宋体" w:hAnsi="宋体"/>
        </w:rPr>
        <w:t>20 07年版，第10 4页。</w:t>
      </w:r>
    </w:p>
  </w:footnote>
  <w:footnote w:id="464">
    <w:p w14:paraId="2D799DA7">
      <w:pPr>
        <w:pStyle w:val="27"/>
        <w:tabs>
          <w:tab w:val="left" w:pos="646"/>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程恩富在《加快转变对外经济发展方式须实现</w:t>
      </w:r>
      <w:r>
        <w:rPr>
          <w:color w:val="000000"/>
          <w:sz w:val="18"/>
          <w:szCs w:val="18"/>
          <w:lang w:val="zh-CN" w:eastAsia="zh-CN" w:bidi="zh-CN"/>
        </w:rPr>
        <w:t>“五</w:t>
      </w:r>
      <w:r>
        <w:rPr>
          <w:color w:val="000000"/>
          <w:sz w:val="18"/>
          <w:szCs w:val="18"/>
        </w:rPr>
        <w:t>个控制和提升”》一文中率先提出</w:t>
      </w:r>
      <w:r>
        <w:rPr>
          <w:color w:val="000000"/>
          <w:sz w:val="18"/>
          <w:szCs w:val="18"/>
          <w:lang w:val="zh-CN" w:eastAsia="zh-CN" w:bidi="zh-CN"/>
        </w:rPr>
        <w:t xml:space="preserve">“转变 </w:t>
      </w:r>
      <w:r>
        <w:rPr>
          <w:color w:val="000000"/>
          <w:sz w:val="18"/>
          <w:szCs w:val="18"/>
        </w:rPr>
        <w:t>对外经济发展方式”问题，参见《经济学动态》</w:t>
      </w:r>
      <w:r>
        <w:rPr>
          <w:b/>
          <w:bCs/>
          <w:color w:val="000000"/>
          <w:sz w:val="18"/>
          <w:szCs w:val="18"/>
        </w:rPr>
        <w:t>2009</w:t>
      </w:r>
      <w:r>
        <w:rPr>
          <w:color w:val="000000"/>
          <w:sz w:val="18"/>
          <w:szCs w:val="18"/>
        </w:rPr>
        <w:t>年第</w:t>
      </w:r>
      <w:r>
        <w:rPr>
          <w:b/>
          <w:bCs/>
          <w:color w:val="000000"/>
          <w:sz w:val="18"/>
          <w:szCs w:val="18"/>
        </w:rPr>
        <w:t>4</w:t>
      </w:r>
      <w:r>
        <w:rPr>
          <w:color w:val="000000"/>
          <w:sz w:val="18"/>
          <w:szCs w:val="18"/>
        </w:rPr>
        <w:t>期。</w:t>
      </w:r>
    </w:p>
    <w:p w14:paraId="65DD82DC">
      <w:pPr>
        <w:pStyle w:val="12"/>
        <w:jc w:val="both"/>
        <w:rPr>
          <w:rFonts w:ascii="宋体" w:hAnsi="宋体"/>
          <w:lang w:eastAsia="zh-TW"/>
        </w:rPr>
      </w:pPr>
    </w:p>
  </w:footnote>
  <w:footnote w:id="465">
    <w:p w14:paraId="02CB0593">
      <w:pPr>
        <w:pStyle w:val="27"/>
        <w:tabs>
          <w:tab w:val="left" w:pos="600"/>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参见《</w:t>
      </w:r>
      <w:r>
        <w:rPr>
          <w:b/>
          <w:bCs/>
          <w:color w:val="000000"/>
          <w:sz w:val="18"/>
          <w:szCs w:val="18"/>
        </w:rPr>
        <w:t>1999</w:t>
      </w:r>
      <w:r>
        <w:rPr>
          <w:color w:val="000000"/>
          <w:sz w:val="18"/>
          <w:szCs w:val="18"/>
        </w:rPr>
        <w:t>世界投资报告：外国直接投资和发展的挑战》，中国财政经济出版社</w:t>
      </w:r>
      <w:r>
        <w:rPr>
          <w:b/>
          <w:bCs/>
          <w:color w:val="000000"/>
          <w:sz w:val="18"/>
          <w:szCs w:val="18"/>
        </w:rPr>
        <w:t>2000</w:t>
      </w:r>
      <w:r>
        <w:rPr>
          <w:color w:val="000000"/>
          <w:sz w:val="18"/>
          <w:szCs w:val="18"/>
        </w:rPr>
        <w:t>年版。</w:t>
      </w:r>
    </w:p>
  </w:footnote>
  <w:footnote w:id="466">
    <w:p w14:paraId="609A9C11">
      <w:pPr>
        <w:pStyle w:val="27"/>
        <w:tabs>
          <w:tab w:val="left" w:pos="600"/>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丛亚平：《利用外资八思》，《瞭望新闻周刊》</w:t>
      </w:r>
      <w:r>
        <w:rPr>
          <w:b/>
          <w:bCs/>
          <w:color w:val="000000"/>
          <w:sz w:val="18"/>
          <w:szCs w:val="18"/>
        </w:rPr>
        <w:t>2006</w:t>
      </w:r>
      <w:r>
        <w:rPr>
          <w:color w:val="000000"/>
          <w:sz w:val="18"/>
          <w:szCs w:val="18"/>
        </w:rPr>
        <w:t>年第</w:t>
      </w:r>
      <w:r>
        <w:rPr>
          <w:b/>
          <w:bCs/>
          <w:color w:val="000000"/>
          <w:sz w:val="18"/>
          <w:szCs w:val="18"/>
        </w:rPr>
        <w:t>51</w:t>
      </w:r>
      <w:r>
        <w:rPr>
          <w:color w:val="000000"/>
          <w:sz w:val="18"/>
          <w:szCs w:val="18"/>
        </w:rPr>
        <w:t>期。</w:t>
      </w:r>
    </w:p>
  </w:footnote>
  <w:footnote w:id="467">
    <w:p w14:paraId="0BC38973">
      <w:pPr>
        <w:pStyle w:val="27"/>
        <w:tabs>
          <w:tab w:val="left" w:pos="64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龚宗杰：《跨国公司仍然具有两重性》，《经济参考报》</w:t>
      </w:r>
      <w:r>
        <w:rPr>
          <w:b/>
          <w:bCs/>
          <w:color w:val="000000"/>
          <w:sz w:val="18"/>
          <w:szCs w:val="18"/>
        </w:rPr>
        <w:t>2010</w:t>
      </w:r>
      <w:r>
        <w:rPr>
          <w:color w:val="000000"/>
          <w:sz w:val="18"/>
          <w:szCs w:val="18"/>
        </w:rPr>
        <w:t>年</w:t>
      </w:r>
      <w:r>
        <w:rPr>
          <w:b/>
          <w:bCs/>
          <w:color w:val="000000"/>
          <w:sz w:val="18"/>
          <w:szCs w:val="18"/>
        </w:rPr>
        <w:t>9</w:t>
      </w:r>
      <w:r>
        <w:rPr>
          <w:color w:val="000000"/>
          <w:sz w:val="18"/>
          <w:szCs w:val="18"/>
        </w:rPr>
        <w:t>月</w:t>
      </w:r>
      <w:r>
        <w:rPr>
          <w:b/>
          <w:bCs/>
          <w:color w:val="000000"/>
          <w:sz w:val="18"/>
          <w:szCs w:val="18"/>
        </w:rPr>
        <w:t>2</w:t>
      </w:r>
      <w:r>
        <w:rPr>
          <w:color w:val="000000"/>
          <w:sz w:val="18"/>
          <w:szCs w:val="18"/>
        </w:rPr>
        <w:t>日。</w:t>
      </w:r>
    </w:p>
  </w:footnote>
  <w:footnote w:id="468">
    <w:p w14:paraId="192469A8">
      <w:pPr>
        <w:pStyle w:val="27"/>
        <w:tabs>
          <w:tab w:val="left" w:pos="64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崔鹏：《美国在对华经贸合作中受益巨大》，《人民日报》</w:t>
      </w:r>
      <w:r>
        <w:rPr>
          <w:b/>
          <w:bCs/>
          <w:color w:val="000000"/>
          <w:sz w:val="18"/>
          <w:szCs w:val="18"/>
        </w:rPr>
        <w:t>2011</w:t>
      </w:r>
      <w:r>
        <w:rPr>
          <w:color w:val="000000"/>
          <w:sz w:val="18"/>
          <w:szCs w:val="18"/>
        </w:rPr>
        <w:t>年</w:t>
      </w:r>
      <w:r>
        <w:rPr>
          <w:b/>
          <w:bCs/>
          <w:color w:val="000000"/>
          <w:sz w:val="18"/>
          <w:szCs w:val="18"/>
        </w:rPr>
        <w:t>1</w:t>
      </w:r>
      <w:r>
        <w:rPr>
          <w:color w:val="000000"/>
          <w:sz w:val="18"/>
          <w:szCs w:val="18"/>
        </w:rPr>
        <w:t>月</w:t>
      </w:r>
      <w:r>
        <w:rPr>
          <w:b/>
          <w:bCs/>
          <w:color w:val="000000"/>
          <w:sz w:val="18"/>
          <w:szCs w:val="18"/>
        </w:rPr>
        <w:t>17</w:t>
      </w:r>
      <w:r>
        <w:rPr>
          <w:color w:val="000000"/>
          <w:sz w:val="18"/>
          <w:szCs w:val="18"/>
        </w:rPr>
        <w:t>日第</w:t>
      </w:r>
      <w:r>
        <w:rPr>
          <w:b/>
          <w:bCs/>
          <w:color w:val="000000"/>
          <w:sz w:val="18"/>
          <w:szCs w:val="18"/>
        </w:rPr>
        <w:t>3</w:t>
      </w:r>
      <w:r>
        <w:rPr>
          <w:color w:val="000000"/>
          <w:sz w:val="18"/>
          <w:szCs w:val="18"/>
        </w:rPr>
        <w:t>版。</w:t>
      </w:r>
    </w:p>
  </w:footnote>
  <w:footnote w:id="469">
    <w:p w14:paraId="76F54ACC">
      <w:pPr>
        <w:pStyle w:val="27"/>
        <w:tabs>
          <w:tab w:val="left" w:pos="64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马红漫：《外资企业应习惯平等竞争》，《环球时报》</w:t>
      </w:r>
      <w:r>
        <w:rPr>
          <w:b/>
          <w:bCs/>
          <w:color w:val="000000"/>
          <w:sz w:val="18"/>
          <w:szCs w:val="18"/>
        </w:rPr>
        <w:t>2010</w:t>
      </w:r>
      <w:r>
        <w:rPr>
          <w:color w:val="000000"/>
          <w:sz w:val="18"/>
          <w:szCs w:val="18"/>
        </w:rPr>
        <w:t>年</w:t>
      </w:r>
      <w:r>
        <w:rPr>
          <w:b/>
          <w:bCs/>
          <w:color w:val="000000"/>
          <w:sz w:val="18"/>
          <w:szCs w:val="18"/>
        </w:rPr>
        <w:t>12</w:t>
      </w:r>
      <w:r>
        <w:rPr>
          <w:color w:val="000000"/>
          <w:sz w:val="18"/>
          <w:szCs w:val="18"/>
        </w:rPr>
        <w:t>月</w:t>
      </w:r>
      <w:r>
        <w:rPr>
          <w:b/>
          <w:bCs/>
          <w:color w:val="000000"/>
          <w:sz w:val="18"/>
          <w:szCs w:val="18"/>
        </w:rPr>
        <w:t>1</w:t>
      </w:r>
      <w:r>
        <w:rPr>
          <w:color w:val="000000"/>
          <w:sz w:val="18"/>
          <w:szCs w:val="18"/>
        </w:rPr>
        <w:t>日第</w:t>
      </w:r>
      <w:r>
        <w:rPr>
          <w:b/>
          <w:bCs/>
          <w:color w:val="000000"/>
          <w:sz w:val="18"/>
          <w:szCs w:val="18"/>
        </w:rPr>
        <w:t>15</w:t>
      </w:r>
      <w:r>
        <w:rPr>
          <w:color w:val="000000"/>
          <w:sz w:val="18"/>
          <w:szCs w:val="18"/>
        </w:rPr>
        <w:t>版。</w:t>
      </w:r>
    </w:p>
  </w:footnote>
  <w:footnote w:id="470">
    <w:p w14:paraId="4F9A173A">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cs="宋体"/>
          <w:color w:val="000000"/>
        </w:rPr>
        <w:t>尽管外资企业由于具有超国民待遇在我国获得了大量的优惠，但我国前两年却仍然存在一种</w:t>
      </w:r>
      <w:r>
        <w:rPr>
          <w:rFonts w:ascii="宋体" w:hAnsi="宋体"/>
          <w:color w:val="000000"/>
        </w:rPr>
        <w:t xml:space="preserve"> </w:t>
      </w:r>
      <w:r>
        <w:rPr>
          <w:rFonts w:hint="eastAsia" w:ascii="宋体" w:hAnsi="宋体" w:cs="宋体"/>
          <w:color w:val="000000"/>
        </w:rPr>
        <w:t>观点，认为</w:t>
      </w:r>
      <w:r>
        <w:rPr>
          <w:rFonts w:ascii="宋体" w:hAnsi="宋体"/>
          <w:color w:val="000000"/>
          <w:lang w:val="zh-CN" w:bidi="zh-CN"/>
        </w:rPr>
        <w:t>“</w:t>
      </w:r>
      <w:r>
        <w:rPr>
          <w:rFonts w:hint="eastAsia" w:ascii="宋体" w:hAnsi="宋体" w:cs="宋体"/>
          <w:color w:val="000000"/>
          <w:lang w:val="zh-CN" w:bidi="zh-CN"/>
        </w:rPr>
        <w:t>一家</w:t>
      </w:r>
      <w:r>
        <w:rPr>
          <w:rFonts w:hint="eastAsia" w:ascii="宋体" w:hAnsi="宋体" w:cs="宋体"/>
          <w:color w:val="000000"/>
        </w:rPr>
        <w:t>外商投资企业经中国政府批准成立以后，它接受中国政府的监管，向中国政府交</w:t>
      </w:r>
      <w:r>
        <w:rPr>
          <w:rFonts w:ascii="宋体" w:hAnsi="宋体"/>
          <w:color w:val="000000"/>
        </w:rPr>
        <w:t xml:space="preserve"> </w:t>
      </w:r>
      <w:r>
        <w:rPr>
          <w:rFonts w:hint="eastAsia" w:ascii="宋体" w:hAnsi="宋体" w:cs="宋体"/>
          <w:color w:val="000000"/>
        </w:rPr>
        <w:t>税，为中国创造就业机会，它就应该是百分之百的中国企业</w:t>
      </w:r>
      <w:r>
        <w:rPr>
          <w:rFonts w:ascii="宋体" w:hAnsi="宋体"/>
          <w:color w:val="000000"/>
        </w:rPr>
        <w:t>”</w:t>
      </w:r>
      <w:r>
        <w:rPr>
          <w:rFonts w:hint="eastAsia" w:ascii="宋体" w:hAnsi="宋体" w:cs="宋体"/>
          <w:color w:val="000000"/>
        </w:rPr>
        <w:t>。参见翁阳《龙永图：把外资在华企业</w:t>
      </w:r>
      <w:r>
        <w:rPr>
          <w:rFonts w:ascii="宋体" w:hAnsi="宋体"/>
          <w:color w:val="000000"/>
        </w:rPr>
        <w:t xml:space="preserve"> </w:t>
      </w:r>
      <w:r>
        <w:rPr>
          <w:rFonts w:hint="eastAsia" w:ascii="宋体" w:hAnsi="宋体" w:cs="宋体"/>
          <w:color w:val="000000"/>
        </w:rPr>
        <w:t>当真正的中国企业来对待》，中国新闻网</w:t>
      </w:r>
      <w:r>
        <w:rPr>
          <w:rFonts w:ascii="宋体" w:hAnsi="宋体"/>
          <w:b/>
          <w:bCs/>
          <w:color w:val="000000"/>
        </w:rPr>
        <w:t>(</w:t>
      </w:r>
      <w:r>
        <w:rPr>
          <w:rFonts w:ascii="宋体" w:hAnsi="宋体"/>
          <w:b/>
          <w:bCs/>
          <w:color w:val="000000"/>
          <w:lang w:bidi="en-US"/>
        </w:rPr>
        <w:t>http</w:t>
      </w:r>
      <w:r>
        <w:rPr>
          <w:rFonts w:ascii="宋体" w:hAnsi="宋体"/>
          <w:b/>
          <w:bCs/>
          <w:color w:val="000000"/>
        </w:rPr>
        <w:t xml:space="preserve">: </w:t>
      </w:r>
      <w:r>
        <w:rPr>
          <w:rFonts w:ascii="宋体" w:hAnsi="宋体"/>
          <w:b/>
          <w:bCs/>
          <w:color w:val="000000"/>
          <w:lang w:bidi="en-US"/>
        </w:rPr>
        <w:t xml:space="preserve">//www. chinanews,com/cj/plgd/news/2008/12 </w:t>
      </w:r>
      <w:r>
        <w:rPr>
          <w:rFonts w:ascii="宋体" w:hAnsi="宋体"/>
          <w:b/>
          <w:bCs/>
          <w:color w:val="000000"/>
        </w:rPr>
        <w:t xml:space="preserve">-08/ </w:t>
      </w:r>
      <w:r>
        <w:rPr>
          <w:rFonts w:ascii="宋体" w:hAnsi="宋体"/>
          <w:b/>
          <w:bCs/>
          <w:color w:val="000000"/>
          <w:lang w:bidi="en-US"/>
        </w:rPr>
        <w:t xml:space="preserve">1478616. shtml) </w:t>
      </w:r>
      <w:r>
        <w:rPr>
          <w:rFonts w:ascii="宋体" w:hAnsi="宋体"/>
          <w:b/>
          <w:bCs/>
          <w:color w:val="000000"/>
        </w:rPr>
        <w:t>2008</w:t>
      </w:r>
      <w:r>
        <w:rPr>
          <w:rFonts w:hint="eastAsia" w:ascii="宋体" w:hAnsi="宋体" w:cs="宋体"/>
          <w:color w:val="000000"/>
        </w:rPr>
        <w:t>年</w:t>
      </w:r>
      <w:r>
        <w:rPr>
          <w:rFonts w:ascii="宋体" w:hAnsi="宋体"/>
          <w:b/>
          <w:bCs/>
          <w:color w:val="000000"/>
        </w:rPr>
        <w:t>12</w:t>
      </w:r>
      <w:r>
        <w:rPr>
          <w:rFonts w:hint="eastAsia" w:ascii="宋体" w:hAnsi="宋体" w:cs="宋体"/>
          <w:color w:val="000000"/>
        </w:rPr>
        <w:t>月</w:t>
      </w:r>
      <w:r>
        <w:rPr>
          <w:rFonts w:ascii="宋体" w:hAnsi="宋体"/>
          <w:b/>
          <w:bCs/>
          <w:color w:val="000000"/>
        </w:rPr>
        <w:t>8</w:t>
      </w:r>
      <w:r>
        <w:rPr>
          <w:rFonts w:hint="eastAsia" w:ascii="宋体" w:hAnsi="宋体" w:cs="宋体"/>
          <w:color w:val="000000"/>
        </w:rPr>
        <w:t>日。这种片面强调外资企业税收贡献和就业贡献作用，而忽视外资本</w:t>
      </w:r>
      <w:r>
        <w:rPr>
          <w:rFonts w:ascii="宋体" w:hAnsi="宋体"/>
          <w:color w:val="000000"/>
        </w:rPr>
        <w:t xml:space="preserve"> </w:t>
      </w:r>
      <w:r>
        <w:rPr>
          <w:rFonts w:hint="eastAsia" w:ascii="宋体" w:hAnsi="宋体" w:cs="宋体"/>
          <w:color w:val="000000"/>
        </w:rPr>
        <w:t>质上与国内企业的差别、盲目推崇开放外资进入领域的观点，显然是经不住实践和统计资料的检验的。</w:t>
      </w:r>
    </w:p>
  </w:footnote>
  <w:footnote w:id="471">
    <w:p w14:paraId="217FB871">
      <w:pPr>
        <w:pStyle w:val="27"/>
        <w:tabs>
          <w:tab w:val="left" w:pos="626"/>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《我国利用外资连续</w:t>
      </w:r>
      <w:r>
        <w:rPr>
          <w:b/>
          <w:bCs/>
          <w:color w:val="000000"/>
          <w:sz w:val="18"/>
          <w:szCs w:val="18"/>
        </w:rPr>
        <w:t>16</w:t>
      </w:r>
      <w:r>
        <w:rPr>
          <w:color w:val="000000"/>
          <w:sz w:val="18"/>
          <w:szCs w:val="18"/>
        </w:rPr>
        <w:t>个月增长》，《北京日报》</w:t>
      </w:r>
      <w:r>
        <w:rPr>
          <w:b/>
          <w:bCs/>
          <w:color w:val="000000"/>
          <w:sz w:val="18"/>
          <w:szCs w:val="18"/>
        </w:rPr>
        <w:t>2010</w:t>
      </w:r>
      <w:r>
        <w:rPr>
          <w:color w:val="000000"/>
          <w:sz w:val="18"/>
          <w:szCs w:val="18"/>
        </w:rPr>
        <w:t>年</w:t>
      </w:r>
      <w:r>
        <w:rPr>
          <w:b/>
          <w:bCs/>
          <w:color w:val="000000"/>
          <w:sz w:val="18"/>
          <w:szCs w:val="18"/>
        </w:rPr>
        <w:t>12</w:t>
      </w:r>
      <w:r>
        <w:rPr>
          <w:color w:val="000000"/>
          <w:sz w:val="18"/>
          <w:szCs w:val="18"/>
        </w:rPr>
        <w:t>月</w:t>
      </w:r>
      <w:r>
        <w:rPr>
          <w:b/>
          <w:bCs/>
          <w:color w:val="000000"/>
          <w:sz w:val="18"/>
          <w:szCs w:val="18"/>
        </w:rPr>
        <w:t>16</w:t>
      </w:r>
      <w:r>
        <w:rPr>
          <w:color w:val="000000"/>
          <w:sz w:val="18"/>
          <w:szCs w:val="18"/>
        </w:rPr>
        <w:t>日。</w:t>
      </w:r>
    </w:p>
  </w:footnote>
  <w:footnote w:id="472">
    <w:p w14:paraId="64E60E32">
      <w:pPr>
        <w:pStyle w:val="27"/>
        <w:tabs>
          <w:tab w:val="left" w:pos="626"/>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对此，前两年日本《经济学人》曾载文《世界进入空前的超额利润时代》指出，发达国家通 过利用发展中国家廉价劳动力，实质上获得了显著的超额利润。参见李长久《在华外资企业不是中国 企业——关于</w:t>
      </w:r>
      <w:r>
        <w:rPr>
          <w:color w:val="000000"/>
          <w:sz w:val="18"/>
          <w:szCs w:val="18"/>
          <w:lang w:val="zh-CN" w:eastAsia="zh-CN" w:bidi="zh-CN"/>
        </w:rPr>
        <w:t>“在</w:t>
      </w:r>
      <w:r>
        <w:rPr>
          <w:color w:val="000000"/>
          <w:sz w:val="18"/>
          <w:szCs w:val="18"/>
        </w:rPr>
        <w:t>华的外资企业是中国企业”的争论和建议》，《中国经济时报》</w:t>
      </w:r>
      <w:r>
        <w:rPr>
          <w:b/>
          <w:bCs/>
          <w:color w:val="000000"/>
          <w:sz w:val="18"/>
          <w:szCs w:val="18"/>
        </w:rPr>
        <w:t>2010</w:t>
      </w:r>
      <w:r>
        <w:rPr>
          <w:color w:val="000000"/>
          <w:sz w:val="18"/>
          <w:szCs w:val="18"/>
        </w:rPr>
        <w:t>年</w:t>
      </w:r>
      <w:r>
        <w:rPr>
          <w:b/>
          <w:bCs/>
          <w:color w:val="000000"/>
          <w:sz w:val="18"/>
          <w:szCs w:val="18"/>
        </w:rPr>
        <w:t>4</w:t>
      </w:r>
      <w:r>
        <w:rPr>
          <w:color w:val="000000"/>
          <w:sz w:val="18"/>
          <w:szCs w:val="18"/>
        </w:rPr>
        <w:t>月</w:t>
      </w:r>
      <w:r>
        <w:rPr>
          <w:b/>
          <w:bCs/>
          <w:color w:val="000000"/>
          <w:sz w:val="18"/>
          <w:szCs w:val="18"/>
        </w:rPr>
        <w:t xml:space="preserve">28 </w:t>
      </w:r>
      <w:r>
        <w:rPr>
          <w:b/>
          <w:bCs/>
          <w:color w:val="000000"/>
          <w:sz w:val="18"/>
          <w:szCs w:val="18"/>
          <w:lang w:val="en-US" w:eastAsia="zh-CN" w:bidi="en-US"/>
        </w:rPr>
        <w:t>Ho</w:t>
      </w:r>
    </w:p>
  </w:footnote>
  <w:footnote w:id="473">
    <w:p w14:paraId="0B3B92AE">
      <w:pPr>
        <w:pStyle w:val="27"/>
        <w:tabs>
          <w:tab w:val="left" w:pos="626"/>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陈军亚：《外商直接投资的环境效应》，《光明日报》</w:t>
      </w:r>
      <w:r>
        <w:rPr>
          <w:b/>
          <w:bCs/>
          <w:color w:val="000000"/>
          <w:sz w:val="18"/>
          <w:szCs w:val="18"/>
        </w:rPr>
        <w:t>2010</w:t>
      </w:r>
      <w:r>
        <w:rPr>
          <w:color w:val="000000"/>
          <w:sz w:val="18"/>
          <w:szCs w:val="18"/>
        </w:rPr>
        <w:t>年</w:t>
      </w:r>
      <w:r>
        <w:rPr>
          <w:b/>
          <w:bCs/>
          <w:color w:val="000000"/>
          <w:sz w:val="18"/>
          <w:szCs w:val="18"/>
        </w:rPr>
        <w:t>12</w:t>
      </w:r>
      <w:r>
        <w:rPr>
          <w:color w:val="000000"/>
          <w:sz w:val="18"/>
          <w:szCs w:val="18"/>
        </w:rPr>
        <w:t>月</w:t>
      </w:r>
      <w:r>
        <w:rPr>
          <w:b/>
          <w:bCs/>
          <w:color w:val="000000"/>
          <w:sz w:val="18"/>
          <w:szCs w:val="18"/>
        </w:rPr>
        <w:t>21</w:t>
      </w:r>
      <w:r>
        <w:rPr>
          <w:color w:val="000000"/>
          <w:sz w:val="18"/>
          <w:szCs w:val="18"/>
        </w:rPr>
        <w:t>日。</w:t>
      </w:r>
    </w:p>
  </w:footnote>
  <w:footnote w:id="474">
    <w:p w14:paraId="3FB5E40D">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cs="宋体"/>
          <w:color w:val="000000"/>
        </w:rPr>
        <w:t>刘世昕：《环保总局通报批评三家跨国公司污染行为》，《中国青年报》</w:t>
      </w:r>
      <w:r>
        <w:rPr>
          <w:rFonts w:ascii="宋体" w:hAnsi="宋体"/>
          <w:b/>
          <w:bCs/>
          <w:color w:val="000000"/>
        </w:rPr>
        <w:t>2008</w:t>
      </w:r>
      <w:r>
        <w:rPr>
          <w:rFonts w:hint="eastAsia" w:ascii="宋体" w:hAnsi="宋体" w:cs="宋体"/>
          <w:color w:val="000000"/>
        </w:rPr>
        <w:t>年</w:t>
      </w:r>
      <w:r>
        <w:rPr>
          <w:rFonts w:ascii="宋体" w:hAnsi="宋体"/>
          <w:b/>
          <w:bCs/>
          <w:color w:val="000000"/>
        </w:rPr>
        <w:t>1</w:t>
      </w:r>
      <w:r>
        <w:rPr>
          <w:rFonts w:hint="eastAsia" w:ascii="宋体" w:hAnsi="宋体" w:cs="宋体"/>
          <w:color w:val="000000"/>
        </w:rPr>
        <w:t>月</w:t>
      </w:r>
      <w:r>
        <w:rPr>
          <w:rFonts w:ascii="宋体" w:hAnsi="宋体"/>
          <w:b/>
          <w:bCs/>
          <w:color w:val="000000"/>
        </w:rPr>
        <w:t xml:space="preserve">10 </w:t>
      </w:r>
      <w:r>
        <w:rPr>
          <w:rFonts w:ascii="宋体" w:hAnsi="宋体"/>
          <w:b/>
          <w:bCs/>
          <w:color w:val="000000"/>
          <w:lang w:bidi="en-US"/>
        </w:rPr>
        <w:t>Ho</w:t>
      </w:r>
    </w:p>
  </w:footnote>
  <w:footnote w:id="475">
    <w:p w14:paraId="17CD3D3F">
      <w:pPr>
        <w:pStyle w:val="27"/>
        <w:tabs>
          <w:tab w:val="left" w:pos="635"/>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华艳：《</w:t>
      </w:r>
      <w:r>
        <w:rPr>
          <w:b/>
          <w:bCs/>
          <w:color w:val="000000"/>
          <w:sz w:val="18"/>
          <w:szCs w:val="18"/>
        </w:rPr>
        <w:t>2009</w:t>
      </w:r>
      <w:r>
        <w:rPr>
          <w:color w:val="000000"/>
          <w:sz w:val="18"/>
          <w:szCs w:val="18"/>
        </w:rPr>
        <w:t>年原油产量下降对外依存度约为</w:t>
      </w:r>
      <w:r>
        <w:rPr>
          <w:b/>
          <w:bCs/>
          <w:color w:val="000000"/>
          <w:sz w:val="18"/>
          <w:szCs w:val="18"/>
          <w:lang w:val="en-US" w:eastAsia="zh-CN" w:bidi="en-US"/>
        </w:rPr>
        <w:t xml:space="preserve">51. </w:t>
      </w:r>
      <w:r>
        <w:rPr>
          <w:b/>
          <w:bCs/>
          <w:color w:val="000000"/>
          <w:sz w:val="18"/>
          <w:szCs w:val="18"/>
        </w:rPr>
        <w:t>3%</w:t>
      </w:r>
      <w:r>
        <w:rPr>
          <w:color w:val="000000"/>
          <w:sz w:val="18"/>
          <w:szCs w:val="18"/>
        </w:rPr>
        <w:t>》，《新浪财经》</w:t>
      </w:r>
      <w:r>
        <w:rPr>
          <w:b/>
          <w:bCs/>
          <w:color w:val="000000"/>
          <w:sz w:val="18"/>
          <w:szCs w:val="18"/>
        </w:rPr>
        <w:t>2010</w:t>
      </w:r>
      <w:r>
        <w:rPr>
          <w:color w:val="000000"/>
          <w:sz w:val="18"/>
          <w:szCs w:val="18"/>
        </w:rPr>
        <w:t>年</w:t>
      </w:r>
      <w:r>
        <w:rPr>
          <w:b/>
          <w:bCs/>
          <w:color w:val="000000"/>
          <w:sz w:val="18"/>
          <w:szCs w:val="18"/>
        </w:rPr>
        <w:t>1</w:t>
      </w:r>
      <w:r>
        <w:rPr>
          <w:color w:val="000000"/>
          <w:sz w:val="18"/>
          <w:szCs w:val="18"/>
        </w:rPr>
        <w:t>月</w:t>
      </w:r>
      <w:r>
        <w:rPr>
          <w:b/>
          <w:bCs/>
          <w:color w:val="000000"/>
          <w:sz w:val="18"/>
          <w:szCs w:val="18"/>
        </w:rPr>
        <w:t>22</w:t>
      </w:r>
      <w:r>
        <w:rPr>
          <w:color w:val="000000"/>
          <w:sz w:val="18"/>
          <w:szCs w:val="18"/>
        </w:rPr>
        <w:t>日。参见新浪网</w:t>
      </w:r>
      <w:r>
        <w:rPr>
          <w:b/>
          <w:bCs/>
          <w:color w:val="000000"/>
          <w:sz w:val="18"/>
          <w:szCs w:val="18"/>
          <w:lang w:val="en-US" w:eastAsia="en-US" w:bidi="en-US"/>
        </w:rPr>
        <w:t xml:space="preserve">(http： //finance, sina. com cn/chanjing/cyxw/20100122/11557293309. shtml) </w:t>
      </w:r>
      <w:r>
        <w:rPr>
          <w:b/>
          <w:bCs/>
          <w:color w:val="000000"/>
          <w:sz w:val="18"/>
          <w:szCs w:val="18"/>
          <w:vertAlign w:val="subscript"/>
          <w:lang w:val="en-US" w:eastAsia="en-US" w:bidi="en-US"/>
        </w:rPr>
        <w:t>0</w:t>
      </w:r>
    </w:p>
  </w:footnote>
  <w:footnote w:id="476">
    <w:p w14:paraId="41ECF5C4">
      <w:pPr>
        <w:pStyle w:val="27"/>
        <w:tabs>
          <w:tab w:val="left" w:pos="635"/>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田甜：</w:t>
      </w:r>
      <w:r>
        <w:rPr>
          <w:color w:val="000000"/>
          <w:sz w:val="18"/>
          <w:szCs w:val="18"/>
          <w:lang w:val="zh-CN" w:eastAsia="zh-CN" w:bidi="zh-CN"/>
        </w:rPr>
        <w:t>《</w:t>
      </w:r>
      <w:r>
        <w:rPr>
          <w:b/>
          <w:bCs/>
          <w:color w:val="000000"/>
          <w:sz w:val="18"/>
          <w:szCs w:val="18"/>
          <w:lang w:val="en-US" w:eastAsia="zh-CN" w:bidi="zh-CN"/>
        </w:rPr>
        <w:t>2009</w:t>
      </w:r>
      <w:r>
        <w:rPr>
          <w:color w:val="000000"/>
          <w:sz w:val="18"/>
          <w:szCs w:val="18"/>
        </w:rPr>
        <w:t>年我国煤炭净进口超亿吨》，中国产业安全指南网，</w:t>
      </w:r>
      <w:r>
        <w:rPr>
          <w:b/>
          <w:bCs/>
          <w:color w:val="000000"/>
          <w:sz w:val="18"/>
          <w:szCs w:val="18"/>
        </w:rPr>
        <w:t>2010</w:t>
      </w:r>
      <w:r>
        <w:rPr>
          <w:color w:val="000000"/>
          <w:sz w:val="18"/>
          <w:szCs w:val="18"/>
        </w:rPr>
        <w:t>年</w:t>
      </w:r>
      <w:r>
        <w:rPr>
          <w:b/>
          <w:bCs/>
          <w:color w:val="000000"/>
          <w:sz w:val="18"/>
          <w:szCs w:val="18"/>
        </w:rPr>
        <w:t>1</w:t>
      </w:r>
      <w:r>
        <w:rPr>
          <w:color w:val="000000"/>
          <w:sz w:val="18"/>
          <w:szCs w:val="18"/>
        </w:rPr>
        <w:t>月</w:t>
      </w:r>
      <w:r>
        <w:rPr>
          <w:b/>
          <w:bCs/>
          <w:color w:val="000000"/>
          <w:sz w:val="18"/>
          <w:szCs w:val="18"/>
        </w:rPr>
        <w:t>29</w:t>
      </w:r>
      <w:r>
        <w:rPr>
          <w:color w:val="000000"/>
          <w:sz w:val="18"/>
          <w:szCs w:val="18"/>
        </w:rPr>
        <w:t>日</w:t>
      </w:r>
      <w:r>
        <w:rPr>
          <w:b/>
          <w:bCs/>
          <w:color w:val="000000"/>
          <w:sz w:val="18"/>
          <w:szCs w:val="18"/>
          <w:lang w:val="en-US" w:eastAsia="en-US" w:bidi="en-US"/>
        </w:rPr>
        <w:t xml:space="preserve">(http： </w:t>
      </w:r>
      <w:r>
        <w:rPr>
          <w:b/>
          <w:bCs/>
          <w:color w:val="000000"/>
          <w:sz w:val="18"/>
          <w:szCs w:val="18"/>
        </w:rPr>
        <w:t xml:space="preserve">// </w:t>
      </w:r>
      <w:r>
        <w:rPr>
          <w:b/>
          <w:bCs/>
          <w:color w:val="000000"/>
          <w:sz w:val="18"/>
          <w:szCs w:val="18"/>
          <w:lang w:val="en-US" w:eastAsia="en-US" w:bidi="en-US"/>
        </w:rPr>
        <w:t xml:space="preserve">www. acs. gov. cn/sites/aqzn/nyaqnr. jsp? contentld = 2528736474367 ) </w:t>
      </w:r>
      <w:r>
        <w:rPr>
          <w:b/>
          <w:bCs/>
          <w:color w:val="000000"/>
          <w:sz w:val="18"/>
          <w:szCs w:val="18"/>
          <w:vertAlign w:val="subscript"/>
          <w:lang w:val="en-US" w:eastAsia="en-US" w:bidi="en-US"/>
        </w:rPr>
        <w:t>0</w:t>
      </w:r>
    </w:p>
  </w:footnote>
  <w:footnote w:id="477">
    <w:p w14:paraId="10698208">
      <w:pPr>
        <w:pStyle w:val="27"/>
        <w:tabs>
          <w:tab w:val="left" w:pos="624"/>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《原材料进口连创新高，世界工厂变世界仓库?》，《中国证券报》</w:t>
      </w:r>
      <w:r>
        <w:rPr>
          <w:b/>
          <w:bCs/>
          <w:color w:val="000000"/>
          <w:sz w:val="18"/>
          <w:szCs w:val="18"/>
        </w:rPr>
        <w:t>2009</w:t>
      </w:r>
      <w:r>
        <w:rPr>
          <w:color w:val="000000"/>
          <w:sz w:val="18"/>
          <w:szCs w:val="18"/>
        </w:rPr>
        <w:t>年</w:t>
      </w:r>
      <w:r>
        <w:rPr>
          <w:b/>
          <w:bCs/>
          <w:color w:val="000000"/>
          <w:sz w:val="18"/>
          <w:szCs w:val="18"/>
        </w:rPr>
        <w:t>5</w:t>
      </w:r>
      <w:r>
        <w:rPr>
          <w:color w:val="000000"/>
          <w:sz w:val="18"/>
          <w:szCs w:val="18"/>
        </w:rPr>
        <w:t>月</w:t>
      </w:r>
      <w:r>
        <w:rPr>
          <w:b/>
          <w:bCs/>
          <w:color w:val="000000"/>
          <w:sz w:val="18"/>
          <w:szCs w:val="18"/>
        </w:rPr>
        <w:t>11</w:t>
      </w:r>
      <w:r>
        <w:rPr>
          <w:color w:val="000000"/>
          <w:sz w:val="18"/>
          <w:szCs w:val="18"/>
        </w:rPr>
        <w:t>日。</w:t>
      </w:r>
    </w:p>
  </w:footnote>
  <w:footnote w:id="478">
    <w:p w14:paraId="54F2FA42">
      <w:pPr>
        <w:pStyle w:val="27"/>
        <w:tabs>
          <w:tab w:val="left" w:pos="624"/>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《需求强劲，我国基本化工原料进口增势持续》，《医药经济报》</w:t>
      </w:r>
      <w:r>
        <w:rPr>
          <w:b/>
          <w:bCs/>
          <w:color w:val="000000"/>
          <w:sz w:val="18"/>
          <w:szCs w:val="18"/>
        </w:rPr>
        <w:t>2010</w:t>
      </w:r>
      <w:r>
        <w:rPr>
          <w:color w:val="000000"/>
          <w:sz w:val="18"/>
          <w:szCs w:val="18"/>
        </w:rPr>
        <w:t>年</w:t>
      </w:r>
      <w:r>
        <w:rPr>
          <w:b/>
          <w:bCs/>
          <w:color w:val="000000"/>
          <w:sz w:val="18"/>
          <w:szCs w:val="18"/>
        </w:rPr>
        <w:t>8</w:t>
      </w:r>
      <w:r>
        <w:rPr>
          <w:color w:val="000000"/>
          <w:sz w:val="18"/>
          <w:szCs w:val="18"/>
        </w:rPr>
        <w:t>月</w:t>
      </w:r>
      <w:r>
        <w:rPr>
          <w:b/>
          <w:bCs/>
          <w:color w:val="000000"/>
          <w:sz w:val="18"/>
          <w:szCs w:val="18"/>
        </w:rPr>
        <w:t>26</w:t>
      </w:r>
      <w:r>
        <w:rPr>
          <w:color w:val="000000"/>
          <w:sz w:val="18"/>
          <w:szCs w:val="18"/>
        </w:rPr>
        <w:t>日。</w:t>
      </w:r>
    </w:p>
  </w:footnote>
  <w:footnote w:id="479">
    <w:p w14:paraId="5056C56F">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cs="宋体"/>
          <w:color w:val="000000"/>
        </w:rPr>
        <w:t>何伟文：《应重新计算对美贸易顺差》，《环球时报》</w:t>
      </w:r>
      <w:r>
        <w:rPr>
          <w:rFonts w:ascii="宋体" w:hAnsi="宋体"/>
          <w:b/>
          <w:bCs/>
          <w:color w:val="000000"/>
        </w:rPr>
        <w:t>2010</w:t>
      </w:r>
      <w:r>
        <w:rPr>
          <w:rFonts w:hint="eastAsia" w:ascii="宋体" w:hAnsi="宋体" w:cs="宋体"/>
          <w:color w:val="000000"/>
        </w:rPr>
        <w:t>年</w:t>
      </w:r>
      <w:r>
        <w:rPr>
          <w:rFonts w:ascii="宋体" w:hAnsi="宋体"/>
          <w:b/>
          <w:bCs/>
          <w:color w:val="000000"/>
        </w:rPr>
        <w:t>12</w:t>
      </w:r>
      <w:r>
        <w:rPr>
          <w:rFonts w:hint="eastAsia" w:ascii="宋体" w:hAnsi="宋体" w:cs="宋体"/>
          <w:color w:val="000000"/>
        </w:rPr>
        <w:t>月</w:t>
      </w:r>
      <w:r>
        <w:rPr>
          <w:rFonts w:ascii="宋体" w:hAnsi="宋体"/>
          <w:b/>
          <w:bCs/>
          <w:color w:val="000000"/>
        </w:rPr>
        <w:t>28</w:t>
      </w:r>
      <w:r>
        <w:rPr>
          <w:rFonts w:hint="eastAsia" w:ascii="宋体" w:hAnsi="宋体" w:cs="宋体"/>
          <w:color w:val="000000"/>
        </w:rPr>
        <w:t>日第</w:t>
      </w:r>
      <w:r>
        <w:rPr>
          <w:rFonts w:ascii="宋体" w:hAnsi="宋体"/>
          <w:b/>
          <w:bCs/>
          <w:color w:val="000000"/>
        </w:rPr>
        <w:t>15</w:t>
      </w:r>
      <w:r>
        <w:rPr>
          <w:rFonts w:hint="eastAsia" w:ascii="宋体" w:hAnsi="宋体" w:cs="宋体"/>
          <w:color w:val="000000"/>
        </w:rPr>
        <w:t>版。</w:t>
      </w:r>
    </w:p>
  </w:footnote>
  <w:footnote w:id="480">
    <w:p w14:paraId="12F35C48">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cs="宋体"/>
          <w:color w:val="000000"/>
        </w:rPr>
        <w:t>杜海涛：《</w:t>
      </w:r>
      <w:r>
        <w:rPr>
          <w:rFonts w:ascii="宋体" w:hAnsi="宋体"/>
          <w:color w:val="000000"/>
          <w:lang w:val="zh-CN" w:bidi="zh-CN"/>
        </w:rPr>
        <w:t>“</w:t>
      </w:r>
      <w:r>
        <w:rPr>
          <w:rFonts w:hint="eastAsia" w:ascii="宋体" w:hAnsi="宋体" w:cs="宋体"/>
          <w:color w:val="000000"/>
          <w:lang w:val="zh-CN" w:bidi="zh-CN"/>
        </w:rPr>
        <w:t>能</w:t>
      </w:r>
      <w:r>
        <w:rPr>
          <w:rFonts w:hint="eastAsia" w:ascii="宋体" w:hAnsi="宋体" w:cs="宋体"/>
          <w:color w:val="000000"/>
        </w:rPr>
        <w:t>源消费大国责任论</w:t>
      </w:r>
      <w:r>
        <w:rPr>
          <w:rFonts w:ascii="宋体" w:hAnsi="宋体"/>
          <w:color w:val="000000"/>
        </w:rPr>
        <w:t>”</w:t>
      </w:r>
      <w:r>
        <w:rPr>
          <w:rFonts w:hint="eastAsia" w:ascii="宋体" w:hAnsi="宋体" w:cs="宋体"/>
          <w:color w:val="000000"/>
        </w:rPr>
        <w:t>混淆视听》，《人民日报》</w:t>
      </w:r>
      <w:r>
        <w:rPr>
          <w:rFonts w:ascii="宋体" w:hAnsi="宋体"/>
          <w:b/>
          <w:bCs/>
          <w:color w:val="000000"/>
        </w:rPr>
        <w:t>2010</w:t>
      </w:r>
      <w:r>
        <w:rPr>
          <w:rFonts w:hint="eastAsia" w:ascii="宋体" w:hAnsi="宋体" w:cs="宋体"/>
          <w:color w:val="000000"/>
        </w:rPr>
        <w:t>年</w:t>
      </w:r>
      <w:r>
        <w:rPr>
          <w:rFonts w:ascii="宋体" w:hAnsi="宋体"/>
          <w:b/>
          <w:bCs/>
          <w:color w:val="000000"/>
        </w:rPr>
        <w:t>8</w:t>
      </w:r>
      <w:r>
        <w:rPr>
          <w:rFonts w:hint="eastAsia" w:ascii="宋体" w:hAnsi="宋体" w:cs="宋体"/>
          <w:color w:val="000000"/>
        </w:rPr>
        <w:t>月</w:t>
      </w:r>
      <w:r>
        <w:rPr>
          <w:rFonts w:ascii="宋体" w:hAnsi="宋体"/>
          <w:b/>
          <w:bCs/>
          <w:color w:val="000000"/>
        </w:rPr>
        <w:t>2</w:t>
      </w:r>
      <w:r>
        <w:rPr>
          <w:rFonts w:hint="eastAsia" w:ascii="宋体" w:hAnsi="宋体" w:cs="宋体"/>
          <w:color w:val="000000"/>
        </w:rPr>
        <w:t>日</w:t>
      </w:r>
    </w:p>
  </w:footnote>
  <w:footnote w:id="481">
    <w:p w14:paraId="3D64E738">
      <w:pPr>
        <w:pStyle w:val="27"/>
        <w:tabs>
          <w:tab w:val="left" w:pos="64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《九大问题挑战</w:t>
      </w:r>
      <w:r>
        <w:rPr>
          <w:color w:val="000000"/>
          <w:sz w:val="18"/>
          <w:szCs w:val="18"/>
          <w:lang w:val="zh-CN" w:eastAsia="zh-CN" w:bidi="zh-CN"/>
        </w:rPr>
        <w:t>“创新</w:t>
      </w:r>
      <w:r>
        <w:rPr>
          <w:color w:val="000000"/>
          <w:sz w:val="18"/>
          <w:szCs w:val="18"/>
        </w:rPr>
        <w:t>型国家”》，人民网</w:t>
      </w:r>
      <w:r>
        <w:rPr>
          <w:b/>
          <w:bCs/>
          <w:color w:val="000000"/>
          <w:sz w:val="18"/>
          <w:szCs w:val="18"/>
        </w:rPr>
        <w:t>2006</w:t>
      </w:r>
      <w:r>
        <w:rPr>
          <w:color w:val="000000"/>
          <w:sz w:val="18"/>
          <w:szCs w:val="18"/>
        </w:rPr>
        <w:t>年</w:t>
      </w:r>
      <w:r>
        <w:rPr>
          <w:b/>
          <w:bCs/>
          <w:color w:val="000000"/>
          <w:sz w:val="18"/>
          <w:szCs w:val="18"/>
        </w:rPr>
        <w:t>1</w:t>
      </w:r>
      <w:r>
        <w:rPr>
          <w:color w:val="000000"/>
          <w:sz w:val="18"/>
          <w:szCs w:val="18"/>
        </w:rPr>
        <w:t>月</w:t>
      </w:r>
      <w:r>
        <w:rPr>
          <w:b/>
          <w:bCs/>
          <w:color w:val="000000"/>
          <w:sz w:val="18"/>
          <w:szCs w:val="18"/>
        </w:rPr>
        <w:t>9</w:t>
      </w:r>
      <w:r>
        <w:rPr>
          <w:color w:val="000000"/>
          <w:sz w:val="18"/>
          <w:szCs w:val="18"/>
        </w:rPr>
        <w:t>日经济观察版。</w:t>
      </w:r>
    </w:p>
  </w:footnote>
  <w:footnote w:id="482">
    <w:p w14:paraId="439F48CF">
      <w:pPr>
        <w:pStyle w:val="27"/>
        <w:tabs>
          <w:tab w:val="left" w:pos="64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《我国技术对外依存度过高亟待突破》，网易财经</w:t>
      </w:r>
      <w:r>
        <w:rPr>
          <w:b/>
          <w:bCs/>
          <w:color w:val="000000"/>
          <w:sz w:val="18"/>
          <w:szCs w:val="18"/>
          <w:lang w:val="en-US" w:eastAsia="en-US" w:bidi="en-US"/>
        </w:rPr>
        <w:t>(</w:t>
      </w:r>
      <w:r>
        <w:fldChar w:fldCharType="begin"/>
      </w:r>
      <w:r>
        <w:instrText xml:space="preserve"> HYPERLINK "http://news.163.com/08/0226/21/" </w:instrText>
      </w:r>
      <w:r>
        <w:fldChar w:fldCharType="separate"/>
      </w:r>
      <w:r>
        <w:rPr>
          <w:b/>
          <w:bCs/>
          <w:color w:val="000000"/>
          <w:sz w:val="18"/>
          <w:szCs w:val="18"/>
          <w:lang w:val="en-US" w:eastAsia="en-US" w:bidi="en-US"/>
        </w:rPr>
        <w:t>http://news.163.com/08/0226/21/</w:t>
      </w:r>
      <w:r>
        <w:rPr>
          <w:b/>
          <w:bCs/>
          <w:color w:val="000000"/>
          <w:sz w:val="18"/>
          <w:szCs w:val="18"/>
          <w:lang w:val="en-US" w:eastAsia="en-US" w:bidi="en-US"/>
        </w:rPr>
        <w:fldChar w:fldCharType="end"/>
      </w:r>
      <w:r>
        <w:rPr>
          <w:b/>
          <w:bCs/>
          <w:color w:val="000000"/>
          <w:sz w:val="18"/>
          <w:szCs w:val="18"/>
          <w:lang w:val="en-US" w:eastAsia="en-US" w:bidi="en-US"/>
        </w:rPr>
        <w:t xml:space="preserve"> 45U5G6TO00120GU. html)</w:t>
      </w:r>
      <w:r>
        <w:rPr>
          <w:b/>
          <w:bCs/>
          <w:color w:val="000000"/>
          <w:sz w:val="18"/>
          <w:szCs w:val="18"/>
        </w:rPr>
        <w:t xml:space="preserve">, 2008 </w:t>
      </w:r>
      <w:r>
        <w:rPr>
          <w:color w:val="000000"/>
          <w:sz w:val="18"/>
          <w:szCs w:val="18"/>
        </w:rPr>
        <w:t xml:space="preserve">年 </w:t>
      </w:r>
      <w:r>
        <w:rPr>
          <w:b/>
          <w:bCs/>
          <w:color w:val="000000"/>
          <w:sz w:val="18"/>
          <w:szCs w:val="18"/>
        </w:rPr>
        <w:t xml:space="preserve">2 </w:t>
      </w:r>
      <w:r>
        <w:rPr>
          <w:color w:val="000000"/>
          <w:sz w:val="18"/>
          <w:szCs w:val="18"/>
        </w:rPr>
        <w:t xml:space="preserve">月 </w:t>
      </w:r>
      <w:r>
        <w:rPr>
          <w:b/>
          <w:bCs/>
          <w:color w:val="000000"/>
          <w:sz w:val="18"/>
          <w:szCs w:val="18"/>
        </w:rPr>
        <w:t xml:space="preserve">26 </w:t>
      </w:r>
      <w:r>
        <w:rPr>
          <w:color w:val="000000"/>
          <w:sz w:val="18"/>
          <w:szCs w:val="18"/>
        </w:rPr>
        <w:t>日。</w:t>
      </w:r>
    </w:p>
  </w:footnote>
  <w:footnote w:id="483">
    <w:p w14:paraId="08375D11">
      <w:pPr>
        <w:pStyle w:val="27"/>
        <w:tabs>
          <w:tab w:val="left" w:pos="64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李孟刚：《我国产业安全面临新形势》，《内部参阅》第</w:t>
      </w:r>
      <w:r>
        <w:rPr>
          <w:b/>
          <w:bCs/>
          <w:color w:val="000000"/>
          <w:sz w:val="18"/>
          <w:szCs w:val="18"/>
        </w:rPr>
        <w:t>43</w:t>
      </w:r>
      <w:r>
        <w:rPr>
          <w:color w:val="000000"/>
          <w:sz w:val="18"/>
          <w:szCs w:val="18"/>
        </w:rPr>
        <w:t>期</w:t>
      </w:r>
      <w:r>
        <w:rPr>
          <w:b/>
          <w:bCs/>
          <w:color w:val="000000"/>
          <w:sz w:val="18"/>
          <w:szCs w:val="18"/>
        </w:rPr>
        <w:t>，2010</w:t>
      </w:r>
      <w:r>
        <w:rPr>
          <w:color w:val="000000"/>
          <w:sz w:val="18"/>
          <w:szCs w:val="18"/>
        </w:rPr>
        <w:t>年</w:t>
      </w:r>
      <w:r>
        <w:rPr>
          <w:b/>
          <w:bCs/>
          <w:color w:val="000000"/>
          <w:sz w:val="18"/>
          <w:szCs w:val="18"/>
        </w:rPr>
        <w:t>12</w:t>
      </w:r>
      <w:r>
        <w:rPr>
          <w:color w:val="000000"/>
          <w:sz w:val="18"/>
          <w:szCs w:val="18"/>
        </w:rPr>
        <w:t>月</w:t>
      </w:r>
      <w:r>
        <w:rPr>
          <w:b/>
          <w:bCs/>
          <w:color w:val="000000"/>
          <w:sz w:val="18"/>
          <w:szCs w:val="18"/>
        </w:rPr>
        <w:t>3</w:t>
      </w:r>
      <w:r>
        <w:rPr>
          <w:color w:val="000000"/>
          <w:sz w:val="18"/>
          <w:szCs w:val="18"/>
        </w:rPr>
        <w:t>日。</w:t>
      </w:r>
    </w:p>
  </w:footnote>
  <w:footnote w:id="484">
    <w:p w14:paraId="63C59BBC">
      <w:pPr>
        <w:pStyle w:val="27"/>
        <w:tabs>
          <w:tab w:val="left" w:pos="64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万军：《汽车业别沉浸于虚假繁荣》，《环球时报》</w:t>
      </w:r>
      <w:r>
        <w:rPr>
          <w:b/>
          <w:bCs/>
          <w:color w:val="000000"/>
          <w:sz w:val="18"/>
          <w:szCs w:val="18"/>
        </w:rPr>
        <w:t>2009</w:t>
      </w:r>
      <w:r>
        <w:rPr>
          <w:color w:val="000000"/>
          <w:sz w:val="18"/>
          <w:szCs w:val="18"/>
        </w:rPr>
        <w:t>年</w:t>
      </w:r>
      <w:r>
        <w:rPr>
          <w:b/>
          <w:bCs/>
          <w:color w:val="000000"/>
          <w:sz w:val="18"/>
          <w:szCs w:val="18"/>
        </w:rPr>
        <w:t>9</w:t>
      </w:r>
      <w:r>
        <w:rPr>
          <w:color w:val="000000"/>
          <w:sz w:val="18"/>
          <w:szCs w:val="18"/>
        </w:rPr>
        <w:t>月</w:t>
      </w:r>
      <w:r>
        <w:rPr>
          <w:b/>
          <w:bCs/>
          <w:color w:val="000000"/>
          <w:sz w:val="18"/>
          <w:szCs w:val="18"/>
        </w:rPr>
        <w:t>4</w:t>
      </w:r>
      <w:r>
        <w:rPr>
          <w:color w:val="000000"/>
          <w:sz w:val="18"/>
          <w:szCs w:val="18"/>
        </w:rPr>
        <w:t>日。</w:t>
      </w:r>
    </w:p>
  </w:footnote>
  <w:footnote w:id="485">
    <w:p w14:paraId="61CD20D6">
      <w:pPr>
        <w:pStyle w:val="27"/>
        <w:tabs>
          <w:tab w:val="left" w:pos="627"/>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隆国强：《中国对外开放面临的挑战与新战略展望》，《三江论坛》</w:t>
      </w:r>
      <w:r>
        <w:rPr>
          <w:b/>
          <w:bCs/>
          <w:color w:val="000000"/>
          <w:sz w:val="18"/>
          <w:szCs w:val="18"/>
        </w:rPr>
        <w:t>2009</w:t>
      </w:r>
      <w:r>
        <w:rPr>
          <w:color w:val="000000"/>
          <w:sz w:val="18"/>
          <w:szCs w:val="18"/>
        </w:rPr>
        <w:t>年第</w:t>
      </w:r>
      <w:r>
        <w:rPr>
          <w:b/>
          <w:bCs/>
          <w:color w:val="000000"/>
          <w:sz w:val="18"/>
          <w:szCs w:val="18"/>
        </w:rPr>
        <w:t>7</w:t>
      </w:r>
      <w:r>
        <w:rPr>
          <w:color w:val="000000"/>
          <w:sz w:val="18"/>
          <w:szCs w:val="18"/>
        </w:rPr>
        <w:t>期。</w:t>
      </w:r>
    </w:p>
  </w:footnote>
  <w:footnote w:id="486">
    <w:p w14:paraId="30263B35">
      <w:pPr>
        <w:pStyle w:val="27"/>
        <w:tabs>
          <w:tab w:val="left" w:pos="627"/>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孙楠：《部分跨国企业借</w:t>
      </w:r>
      <w:r>
        <w:rPr>
          <w:b/>
          <w:bCs/>
          <w:color w:val="000000"/>
          <w:sz w:val="18"/>
          <w:szCs w:val="18"/>
        </w:rPr>
        <w:t>337</w:t>
      </w:r>
      <w:r>
        <w:rPr>
          <w:color w:val="000000"/>
          <w:sz w:val="18"/>
          <w:szCs w:val="18"/>
        </w:rPr>
        <w:t>调査遏制中国企业转型升级》，《国际商报》</w:t>
      </w:r>
      <w:r>
        <w:rPr>
          <w:b/>
          <w:bCs/>
          <w:color w:val="000000"/>
          <w:sz w:val="18"/>
          <w:szCs w:val="18"/>
        </w:rPr>
        <w:t>2010</w:t>
      </w:r>
      <w:r>
        <w:rPr>
          <w:color w:val="000000"/>
          <w:sz w:val="18"/>
          <w:szCs w:val="18"/>
        </w:rPr>
        <w:t>年</w:t>
      </w:r>
      <w:r>
        <w:rPr>
          <w:b/>
          <w:bCs/>
          <w:color w:val="000000"/>
          <w:sz w:val="18"/>
          <w:szCs w:val="18"/>
        </w:rPr>
        <w:t>10</w:t>
      </w:r>
      <w:r>
        <w:rPr>
          <w:color w:val="000000"/>
          <w:sz w:val="18"/>
          <w:szCs w:val="18"/>
        </w:rPr>
        <w:t>月</w:t>
      </w:r>
      <w:r>
        <w:rPr>
          <w:b/>
          <w:bCs/>
          <w:color w:val="000000"/>
          <w:sz w:val="18"/>
          <w:szCs w:val="18"/>
        </w:rPr>
        <w:t>28</w:t>
      </w:r>
      <w:r>
        <w:rPr>
          <w:color w:val="000000"/>
          <w:sz w:val="18"/>
          <w:szCs w:val="18"/>
        </w:rPr>
        <w:t>日。</w:t>
      </w:r>
    </w:p>
  </w:footnote>
  <w:footnote w:id="487">
    <w:p w14:paraId="14F75ED8">
      <w:pPr>
        <w:pStyle w:val="27"/>
        <w:tabs>
          <w:tab w:val="left" w:pos="616"/>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参见国家外汇管理局网站公布的资料（</w:t>
      </w:r>
      <w:r>
        <w:rPr>
          <w:b/>
          <w:bCs/>
          <w:color w:val="000000"/>
          <w:sz w:val="18"/>
          <w:szCs w:val="18"/>
          <w:lang w:val="en-US" w:eastAsia="en-US" w:bidi="en-US"/>
        </w:rPr>
        <w:t>http</w:t>
      </w:r>
      <w:r>
        <w:rPr>
          <w:b/>
          <w:bCs/>
          <w:color w:val="000000"/>
          <w:sz w:val="18"/>
          <w:szCs w:val="18"/>
        </w:rPr>
        <w:t xml:space="preserve">: </w:t>
      </w:r>
      <w:r>
        <w:rPr>
          <w:b/>
          <w:bCs/>
          <w:color w:val="000000"/>
          <w:sz w:val="18"/>
          <w:szCs w:val="18"/>
          <w:lang w:val="en-US" w:eastAsia="en-US" w:bidi="en-US"/>
        </w:rPr>
        <w:t>//www. safe. gov. cn/model</w:t>
      </w:r>
      <w:r>
        <w:rPr>
          <w:b/>
          <w:bCs/>
          <w:color w:val="000000"/>
          <w:sz w:val="18"/>
          <w:szCs w:val="18"/>
        </w:rPr>
        <w:t xml:space="preserve">_ </w:t>
      </w:r>
      <w:r>
        <w:rPr>
          <w:b/>
          <w:bCs/>
          <w:color w:val="000000"/>
          <w:sz w:val="18"/>
          <w:szCs w:val="18"/>
          <w:lang w:val="en-US" w:eastAsia="en-US" w:bidi="en-US"/>
        </w:rPr>
        <w:t xml:space="preserve">safe/tjsj/tjsj_ de- taiLjsp? </w:t>
      </w:r>
      <w:r>
        <w:rPr>
          <w:b/>
          <w:bCs/>
          <w:color w:val="000000"/>
          <w:sz w:val="18"/>
          <w:szCs w:val="18"/>
          <w:lang w:val="en-US" w:eastAsia="zh-CN" w:bidi="en-US"/>
        </w:rPr>
        <w:t>ID = 110400000000000000 , 21&amp;id=5）</w:t>
      </w:r>
      <w:r>
        <w:rPr>
          <w:b/>
          <w:bCs/>
          <w:color w:val="000000"/>
          <w:sz w:val="18"/>
          <w:szCs w:val="18"/>
          <w:vertAlign w:val="subscript"/>
          <w:lang w:val="en-US" w:eastAsia="zh-CN" w:bidi="en-US"/>
        </w:rPr>
        <w:t>o</w:t>
      </w:r>
    </w:p>
  </w:footnote>
  <w:footnote w:id="488">
    <w:p w14:paraId="28F2F8D6">
      <w:pPr>
        <w:pStyle w:val="27"/>
        <w:tabs>
          <w:tab w:val="left" w:pos="616"/>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b/>
          <w:bCs/>
          <w:color w:val="000000"/>
          <w:sz w:val="18"/>
          <w:szCs w:val="18"/>
          <w:lang w:val="en-US" w:eastAsia="zh-CN" w:bidi="en-US"/>
        </w:rPr>
        <w:t>2009</w:t>
      </w:r>
      <w:r>
        <w:rPr>
          <w:color w:val="000000"/>
          <w:sz w:val="18"/>
          <w:szCs w:val="18"/>
        </w:rPr>
        <w:t>年这一比重已经上升到</w:t>
      </w:r>
      <w:r>
        <w:rPr>
          <w:b/>
          <w:bCs/>
          <w:color w:val="000000"/>
          <w:sz w:val="18"/>
          <w:szCs w:val="18"/>
        </w:rPr>
        <w:t>48.1%,</w:t>
      </w:r>
      <w:r>
        <w:rPr>
          <w:color w:val="000000"/>
          <w:sz w:val="18"/>
          <w:szCs w:val="18"/>
        </w:rPr>
        <w:t>并且目前仍在保持着快速上升势头。</w:t>
      </w:r>
    </w:p>
  </w:footnote>
  <w:footnote w:id="489">
    <w:p w14:paraId="310E920D">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cs="宋体"/>
          <w:color w:val="000000"/>
        </w:rPr>
        <w:t>尚未迟等：《中国增持美国债创一年新高》，《环球时报》</w:t>
      </w:r>
      <w:r>
        <w:rPr>
          <w:rFonts w:ascii="宋体" w:hAnsi="宋体"/>
          <w:b/>
          <w:bCs/>
          <w:color w:val="000000"/>
        </w:rPr>
        <w:t>2010</w:t>
      </w:r>
      <w:r>
        <w:rPr>
          <w:rFonts w:hint="eastAsia" w:ascii="宋体" w:hAnsi="宋体" w:cs="宋体"/>
          <w:color w:val="000000"/>
        </w:rPr>
        <w:t>年</w:t>
      </w:r>
      <w:r>
        <w:rPr>
          <w:rFonts w:ascii="宋体" w:hAnsi="宋体"/>
          <w:b/>
          <w:bCs/>
          <w:color w:val="000000"/>
        </w:rPr>
        <w:t>12</w:t>
      </w:r>
      <w:r>
        <w:rPr>
          <w:rFonts w:hint="eastAsia" w:ascii="宋体" w:hAnsi="宋体" w:cs="宋体"/>
          <w:color w:val="000000"/>
        </w:rPr>
        <w:t>月</w:t>
      </w:r>
      <w:r>
        <w:rPr>
          <w:rFonts w:ascii="宋体" w:hAnsi="宋体"/>
          <w:b/>
          <w:bCs/>
          <w:color w:val="000000"/>
        </w:rPr>
        <w:t>17</w:t>
      </w:r>
      <w:r>
        <w:rPr>
          <w:rFonts w:hint="eastAsia" w:ascii="宋体" w:hAnsi="宋体" w:cs="宋体"/>
          <w:color w:val="000000"/>
        </w:rPr>
        <w:t>日。</w:t>
      </w:r>
    </w:p>
  </w:footnote>
  <w:footnote w:id="490">
    <w:p w14:paraId="09BDD97C">
      <w:pPr>
        <w:pStyle w:val="27"/>
        <w:tabs>
          <w:tab w:val="left" w:pos="606"/>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美联社：《中国重返美最大债主地位》，《参考消息》</w:t>
      </w:r>
      <w:r>
        <w:rPr>
          <w:b/>
          <w:bCs/>
          <w:color w:val="000000"/>
          <w:sz w:val="18"/>
          <w:szCs w:val="18"/>
        </w:rPr>
        <w:t>201</w:t>
      </w:r>
      <w:r>
        <w:rPr>
          <w:color w:val="000000"/>
          <w:sz w:val="18"/>
          <w:szCs w:val="18"/>
          <w:lang w:val="zh-CN" w:eastAsia="zh-CN" w:bidi="zh-CN"/>
        </w:rPr>
        <w:t>。年</w:t>
      </w:r>
      <w:r>
        <w:rPr>
          <w:b/>
          <w:bCs/>
          <w:color w:val="000000"/>
          <w:sz w:val="18"/>
          <w:szCs w:val="18"/>
        </w:rPr>
        <w:t>2</w:t>
      </w:r>
      <w:r>
        <w:rPr>
          <w:color w:val="000000"/>
          <w:sz w:val="18"/>
          <w:szCs w:val="18"/>
        </w:rPr>
        <w:t>月</w:t>
      </w:r>
      <w:r>
        <w:rPr>
          <w:b/>
          <w:bCs/>
          <w:color w:val="000000"/>
          <w:sz w:val="18"/>
          <w:szCs w:val="18"/>
        </w:rPr>
        <w:t>28</w:t>
      </w:r>
      <w:r>
        <w:rPr>
          <w:color w:val="000000"/>
          <w:sz w:val="18"/>
          <w:szCs w:val="18"/>
        </w:rPr>
        <w:t>日第</w:t>
      </w:r>
      <w:r>
        <w:rPr>
          <w:b/>
          <w:bCs/>
          <w:color w:val="000000"/>
          <w:sz w:val="18"/>
          <w:szCs w:val="18"/>
        </w:rPr>
        <w:t>8</w:t>
      </w:r>
      <w:r>
        <w:rPr>
          <w:color w:val="000000"/>
          <w:sz w:val="18"/>
          <w:szCs w:val="18"/>
        </w:rPr>
        <w:t>版。</w:t>
      </w:r>
    </w:p>
  </w:footnote>
  <w:footnote w:id="491">
    <w:p w14:paraId="7E39B477">
      <w:pPr>
        <w:pStyle w:val="27"/>
        <w:tabs>
          <w:tab w:val="left" w:pos="606"/>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崔鹏：《美国在对华经贸合作中受益巨大》，《人民日报》</w:t>
      </w:r>
      <w:r>
        <w:rPr>
          <w:b/>
          <w:bCs/>
          <w:color w:val="000000"/>
          <w:sz w:val="18"/>
          <w:szCs w:val="18"/>
        </w:rPr>
        <w:t>2011</w:t>
      </w:r>
      <w:r>
        <w:rPr>
          <w:color w:val="000000"/>
          <w:sz w:val="18"/>
          <w:szCs w:val="18"/>
        </w:rPr>
        <w:t>年</w:t>
      </w:r>
      <w:r>
        <w:rPr>
          <w:b/>
          <w:bCs/>
          <w:color w:val="000000"/>
          <w:sz w:val="18"/>
          <w:szCs w:val="18"/>
        </w:rPr>
        <w:t>1</w:t>
      </w:r>
      <w:r>
        <w:rPr>
          <w:color w:val="000000"/>
          <w:sz w:val="18"/>
          <w:szCs w:val="18"/>
        </w:rPr>
        <w:t>月</w:t>
      </w:r>
      <w:r>
        <w:rPr>
          <w:b/>
          <w:bCs/>
          <w:color w:val="000000"/>
          <w:sz w:val="18"/>
          <w:szCs w:val="18"/>
        </w:rPr>
        <w:t>17</w:t>
      </w:r>
      <w:r>
        <w:rPr>
          <w:color w:val="000000"/>
          <w:sz w:val="18"/>
          <w:szCs w:val="18"/>
        </w:rPr>
        <w:t>日第</w:t>
      </w:r>
      <w:r>
        <w:rPr>
          <w:b/>
          <w:bCs/>
          <w:color w:val="000000"/>
          <w:sz w:val="18"/>
          <w:szCs w:val="18"/>
        </w:rPr>
        <w:t>3</w:t>
      </w:r>
      <w:r>
        <w:rPr>
          <w:color w:val="000000"/>
          <w:sz w:val="18"/>
          <w:szCs w:val="18"/>
        </w:rPr>
        <w:t>版。</w:t>
      </w:r>
    </w:p>
  </w:footnote>
  <w:footnote w:id="492">
    <w:p w14:paraId="3BD22CBC">
      <w:pPr>
        <w:pStyle w:val="27"/>
        <w:tabs>
          <w:tab w:val="left" w:pos="606"/>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王宙洁：《美联储或被迫启动第三轮量化宽松》，《上海证券报》</w:t>
      </w:r>
      <w:r>
        <w:rPr>
          <w:b/>
          <w:bCs/>
          <w:color w:val="000000"/>
          <w:sz w:val="18"/>
          <w:szCs w:val="18"/>
        </w:rPr>
        <w:t>2010</w:t>
      </w:r>
      <w:r>
        <w:rPr>
          <w:color w:val="000000"/>
          <w:sz w:val="18"/>
          <w:szCs w:val="18"/>
        </w:rPr>
        <w:t>年</w:t>
      </w:r>
      <w:r>
        <w:rPr>
          <w:b/>
          <w:bCs/>
          <w:color w:val="000000"/>
          <w:sz w:val="18"/>
          <w:szCs w:val="18"/>
        </w:rPr>
        <w:t>11</w:t>
      </w:r>
      <w:r>
        <w:rPr>
          <w:color w:val="000000"/>
          <w:sz w:val="18"/>
          <w:szCs w:val="18"/>
        </w:rPr>
        <w:t>月</w:t>
      </w:r>
      <w:r>
        <w:rPr>
          <w:b/>
          <w:bCs/>
          <w:color w:val="000000"/>
          <w:sz w:val="18"/>
          <w:szCs w:val="18"/>
        </w:rPr>
        <w:t>11</w:t>
      </w:r>
      <w:r>
        <w:rPr>
          <w:color w:val="000000"/>
          <w:sz w:val="18"/>
          <w:szCs w:val="18"/>
        </w:rPr>
        <w:t>日。</w:t>
      </w:r>
    </w:p>
  </w:footnote>
  <w:footnote w:id="493">
    <w:p w14:paraId="0D0B1EBF">
      <w:pPr>
        <w:pStyle w:val="27"/>
        <w:tabs>
          <w:tab w:val="left" w:pos="312"/>
          <w:tab w:val="left" w:pos="62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历史数据根据《中国统计年鉴》相关年份数据计算得出。</w:t>
      </w:r>
      <w:r>
        <w:rPr>
          <w:b/>
          <w:bCs/>
          <w:color w:val="000000"/>
          <w:sz w:val="18"/>
          <w:szCs w:val="18"/>
        </w:rPr>
        <w:t>2008</w:t>
      </w:r>
      <w:r>
        <w:rPr>
          <w:color w:val="000000"/>
          <w:sz w:val="18"/>
          <w:szCs w:val="18"/>
        </w:rPr>
        <w:t>年数据根据国家统计局最新颁 布资料计算得出。</w:t>
      </w:r>
    </w:p>
    <w:p w14:paraId="361C1398">
      <w:pPr>
        <w:pStyle w:val="12"/>
        <w:jc w:val="both"/>
        <w:rPr>
          <w:rFonts w:ascii="宋体" w:hAnsi="宋体"/>
          <w:lang w:eastAsia="zh-TW"/>
        </w:rPr>
      </w:pPr>
    </w:p>
  </w:footnote>
  <w:footnote w:id="494">
    <w:p w14:paraId="7583D933">
      <w:pPr>
        <w:pStyle w:val="27"/>
        <w:tabs>
          <w:tab w:val="left" w:pos="623"/>
          <w:tab w:val="left" w:pos="7018"/>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资料来自国家统计局《中华人民共和国</w:t>
      </w:r>
      <w:r>
        <w:rPr>
          <w:b/>
          <w:bCs/>
          <w:color w:val="000000"/>
          <w:sz w:val="18"/>
          <w:szCs w:val="18"/>
        </w:rPr>
        <w:t>2009</w:t>
      </w:r>
      <w:r>
        <w:rPr>
          <w:color w:val="000000"/>
          <w:sz w:val="18"/>
          <w:szCs w:val="18"/>
        </w:rPr>
        <w:t>年国民经济和社会发展统计公报</w:t>
      </w:r>
      <w:r>
        <w:rPr>
          <w:b/>
          <w:bCs/>
          <w:color w:val="000000"/>
          <w:sz w:val="18"/>
          <w:szCs w:val="18"/>
        </w:rPr>
        <w:t>2010</w:t>
      </w:r>
      <w:r>
        <w:rPr>
          <w:color w:val="000000"/>
          <w:sz w:val="18"/>
          <w:szCs w:val="18"/>
        </w:rPr>
        <w:t>年</w:t>
      </w:r>
      <w:r>
        <w:rPr>
          <w:b/>
          <w:bCs/>
          <w:color w:val="000000"/>
          <w:sz w:val="18"/>
          <w:szCs w:val="18"/>
        </w:rPr>
        <w:t>2</w:t>
      </w:r>
      <w:r>
        <w:rPr>
          <w:color w:val="000000"/>
          <w:sz w:val="18"/>
          <w:szCs w:val="18"/>
        </w:rPr>
        <w:t xml:space="preserve">月 </w:t>
      </w:r>
      <w:r>
        <w:rPr>
          <w:b/>
          <w:bCs/>
          <w:color w:val="000000"/>
          <w:sz w:val="18"/>
          <w:szCs w:val="18"/>
        </w:rPr>
        <w:t xml:space="preserve">25 </w:t>
      </w:r>
      <w:r>
        <w:rPr>
          <w:color w:val="000000"/>
          <w:sz w:val="18"/>
          <w:szCs w:val="18"/>
        </w:rPr>
        <w:t xml:space="preserve">日，并经计 算得出(参见 </w:t>
      </w:r>
      <w:r>
        <w:rPr>
          <w:b/>
          <w:bCs/>
          <w:color w:val="000000"/>
          <w:sz w:val="18"/>
          <w:szCs w:val="18"/>
          <w:lang w:val="en-US" w:eastAsia="zh-CN" w:bidi="en-US"/>
        </w:rPr>
        <w:t xml:space="preserve">http： </w:t>
      </w:r>
      <w:r>
        <w:rPr>
          <w:b/>
          <w:bCs/>
          <w:color w:val="000000"/>
          <w:sz w:val="18"/>
          <w:szCs w:val="18"/>
        </w:rPr>
        <w:t>//</w:t>
      </w:r>
      <w:r>
        <w:rPr>
          <w:b/>
          <w:bCs/>
          <w:color w:val="000000"/>
          <w:sz w:val="18"/>
          <w:szCs w:val="18"/>
          <w:lang w:val="en-US" w:eastAsia="zh-CN" w:bidi="en-US"/>
        </w:rPr>
        <w:t xml:space="preserve">www. stats, gov. cn/tjgb/ndtjgb/ qgndtjgb/t20100225 </w:t>
      </w:r>
      <w:r>
        <w:rPr>
          <w:b/>
          <w:bCs/>
          <w:sz w:val="18"/>
          <w:szCs w:val="18"/>
          <w:u w:val="single"/>
        </w:rPr>
        <w:t xml:space="preserve"> </w:t>
      </w:r>
      <w:r>
        <w:rPr>
          <w:b/>
          <w:bCs/>
          <w:sz w:val="18"/>
          <w:szCs w:val="18"/>
          <w:u w:val="single"/>
        </w:rPr>
        <w:tab/>
      </w:r>
      <w:r>
        <w:rPr>
          <w:b/>
          <w:bCs/>
          <w:color w:val="000000"/>
          <w:sz w:val="18"/>
          <w:szCs w:val="18"/>
          <w:lang w:val="en-US" w:eastAsia="zh-CN" w:bidi="en-US"/>
        </w:rPr>
        <w:t xml:space="preserve"> 402622945. htm)</w:t>
      </w:r>
      <w:r>
        <w:rPr>
          <w:color w:val="000000"/>
          <w:sz w:val="18"/>
          <w:szCs w:val="18"/>
        </w:rPr>
        <w:t>。</w:t>
      </w:r>
    </w:p>
  </w:footnote>
  <w:footnote w:id="495">
    <w:p w14:paraId="7251AFAC">
      <w:pPr>
        <w:pStyle w:val="27"/>
        <w:tabs>
          <w:tab w:val="left" w:pos="62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参见《今年前三季度，中国进出口总额</w:t>
      </w:r>
      <w:r>
        <w:rPr>
          <w:b/>
          <w:bCs/>
          <w:color w:val="000000"/>
          <w:sz w:val="18"/>
          <w:szCs w:val="18"/>
          <w:lang w:val="en-US" w:eastAsia="en-US" w:bidi="en-US"/>
        </w:rPr>
        <w:t>21486.8</w:t>
      </w:r>
      <w:r>
        <w:rPr>
          <w:color w:val="000000"/>
          <w:sz w:val="18"/>
          <w:szCs w:val="18"/>
        </w:rPr>
        <w:t>亿美元》，《中国工业信息网》</w:t>
      </w:r>
      <w:r>
        <w:rPr>
          <w:b/>
          <w:bCs/>
          <w:color w:val="000000"/>
          <w:sz w:val="18"/>
          <w:szCs w:val="18"/>
          <w:lang w:val="en-US" w:eastAsia="en-US" w:bidi="en-US"/>
        </w:rPr>
        <w:t xml:space="preserve">(http；// www. 587766. com/news5/22657. html) </w:t>
      </w:r>
      <w:r>
        <w:rPr>
          <w:b/>
          <w:bCs/>
          <w:color w:val="000000"/>
          <w:sz w:val="18"/>
          <w:szCs w:val="18"/>
          <w:vertAlign w:val="subscript"/>
          <w:lang w:val="en-US" w:eastAsia="en-US" w:bidi="en-US"/>
        </w:rPr>
        <w:t>0</w:t>
      </w:r>
    </w:p>
  </w:footnote>
  <w:footnote w:id="496">
    <w:p w14:paraId="4AA1512D">
      <w:pPr>
        <w:pStyle w:val="27"/>
        <w:tabs>
          <w:tab w:val="left" w:pos="62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《国家统计局：前三季度国内生产总值</w:t>
      </w:r>
      <w:r>
        <w:rPr>
          <w:b/>
          <w:bCs/>
          <w:color w:val="000000"/>
          <w:sz w:val="18"/>
          <w:szCs w:val="18"/>
        </w:rPr>
        <w:t>268660</w:t>
      </w:r>
      <w:r>
        <w:rPr>
          <w:color w:val="000000"/>
          <w:sz w:val="18"/>
          <w:szCs w:val="18"/>
        </w:rPr>
        <w:t>亿元》，人民网经济频道，</w:t>
      </w:r>
      <w:r>
        <w:rPr>
          <w:b/>
          <w:bCs/>
          <w:color w:val="000000"/>
          <w:sz w:val="18"/>
          <w:szCs w:val="18"/>
        </w:rPr>
        <w:t>2010</w:t>
      </w:r>
      <w:r>
        <w:rPr>
          <w:color w:val="000000"/>
          <w:sz w:val="18"/>
          <w:szCs w:val="18"/>
        </w:rPr>
        <w:t>年</w:t>
      </w:r>
      <w:r>
        <w:rPr>
          <w:b/>
          <w:bCs/>
          <w:color w:val="000000"/>
          <w:sz w:val="18"/>
          <w:szCs w:val="18"/>
        </w:rPr>
        <w:t>10</w:t>
      </w:r>
      <w:r>
        <w:rPr>
          <w:color w:val="000000"/>
          <w:sz w:val="18"/>
          <w:szCs w:val="18"/>
        </w:rPr>
        <w:t>月</w:t>
      </w:r>
      <w:r>
        <w:rPr>
          <w:b/>
          <w:bCs/>
          <w:color w:val="000000"/>
          <w:sz w:val="18"/>
          <w:szCs w:val="18"/>
        </w:rPr>
        <w:t>21</w:t>
      </w:r>
      <w:r>
        <w:rPr>
          <w:color w:val="000000"/>
          <w:sz w:val="18"/>
          <w:szCs w:val="18"/>
        </w:rPr>
        <w:t xml:space="preserve">日 </w:t>
      </w:r>
      <w:r>
        <w:rPr>
          <w:b/>
          <w:bCs/>
          <w:color w:val="000000"/>
          <w:sz w:val="18"/>
          <w:szCs w:val="18"/>
          <w:lang w:val="en-US" w:bidi="en-US"/>
        </w:rPr>
        <w:t xml:space="preserve">(http： //finance, people, com. cn/GB/13012052. html) </w:t>
      </w:r>
      <w:r>
        <w:rPr>
          <w:b/>
          <w:bCs/>
          <w:color w:val="000000"/>
          <w:sz w:val="18"/>
          <w:szCs w:val="18"/>
          <w:vertAlign w:val="subscript"/>
          <w:lang w:val="en-US" w:bidi="en-US"/>
        </w:rPr>
        <w:t>o</w:t>
      </w:r>
    </w:p>
  </w:footnote>
  <w:footnote w:id="497">
    <w:p w14:paraId="27CD91D7">
      <w:pPr>
        <w:pStyle w:val="27"/>
        <w:tabs>
          <w:tab w:val="left" w:pos="312"/>
          <w:tab w:val="left" w:pos="62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如：根据</w:t>
      </w:r>
      <w:r>
        <w:rPr>
          <w:b/>
          <w:bCs/>
          <w:color w:val="000000"/>
          <w:sz w:val="18"/>
          <w:szCs w:val="18"/>
          <w:lang w:val="en-US" w:bidi="en-US"/>
        </w:rPr>
        <w:t>WTO</w:t>
      </w:r>
      <w:r>
        <w:rPr>
          <w:color w:val="000000"/>
          <w:sz w:val="18"/>
          <w:szCs w:val="18"/>
        </w:rPr>
        <w:t>和</w:t>
      </w:r>
      <w:r>
        <w:rPr>
          <w:b/>
          <w:bCs/>
          <w:color w:val="000000"/>
          <w:sz w:val="18"/>
          <w:szCs w:val="18"/>
          <w:lang w:val="en-US" w:bidi="en-US"/>
        </w:rPr>
        <w:t>IMF</w:t>
      </w:r>
      <w:r>
        <w:rPr>
          <w:color w:val="000000"/>
          <w:sz w:val="18"/>
          <w:szCs w:val="18"/>
        </w:rPr>
        <w:t>的数据测算，全球平均贸易依存度在</w:t>
      </w:r>
      <w:r>
        <w:rPr>
          <w:b/>
          <w:bCs/>
          <w:color w:val="000000"/>
          <w:sz w:val="18"/>
          <w:szCs w:val="18"/>
        </w:rPr>
        <w:t>2003</w:t>
      </w:r>
      <w:r>
        <w:rPr>
          <w:color w:val="000000"/>
          <w:sz w:val="18"/>
          <w:szCs w:val="18"/>
        </w:rPr>
        <w:t>年接近</w:t>
      </w:r>
      <w:r>
        <w:rPr>
          <w:b/>
          <w:bCs/>
          <w:color w:val="000000"/>
          <w:sz w:val="18"/>
          <w:szCs w:val="18"/>
        </w:rPr>
        <w:t>45%</w:t>
      </w:r>
      <w:r>
        <w:rPr>
          <w:color w:val="000000"/>
          <w:sz w:val="18"/>
          <w:szCs w:val="18"/>
        </w:rPr>
        <w:t>。其中，发达国 家平均水平为</w:t>
      </w:r>
      <w:r>
        <w:rPr>
          <w:b/>
          <w:bCs/>
          <w:color w:val="000000"/>
          <w:sz w:val="18"/>
          <w:szCs w:val="18"/>
          <w:lang w:val="en-US" w:eastAsia="zh-CN" w:bidi="en-US"/>
        </w:rPr>
        <w:t xml:space="preserve">38. </w:t>
      </w:r>
      <w:r>
        <w:rPr>
          <w:b/>
          <w:bCs/>
          <w:color w:val="000000"/>
          <w:sz w:val="18"/>
          <w:szCs w:val="18"/>
        </w:rPr>
        <w:t>4%,</w:t>
      </w:r>
      <w:r>
        <w:rPr>
          <w:color w:val="000000"/>
          <w:sz w:val="18"/>
          <w:szCs w:val="18"/>
        </w:rPr>
        <w:t>发展中国家平均水平为</w:t>
      </w:r>
      <w:r>
        <w:rPr>
          <w:b/>
          <w:bCs/>
          <w:color w:val="000000"/>
          <w:sz w:val="18"/>
          <w:szCs w:val="18"/>
        </w:rPr>
        <w:t>51%,</w:t>
      </w:r>
      <w:r>
        <w:rPr>
          <w:color w:val="000000"/>
          <w:sz w:val="18"/>
          <w:szCs w:val="18"/>
        </w:rPr>
        <w:t>发展中国家整体水平要相对高于发达国家。</w:t>
      </w:r>
    </w:p>
    <w:p w14:paraId="614680DD">
      <w:pPr>
        <w:pStyle w:val="12"/>
        <w:jc w:val="both"/>
        <w:rPr>
          <w:rFonts w:ascii="宋体" w:hAnsi="宋体"/>
          <w:lang w:eastAsia="zh-TW"/>
        </w:rPr>
      </w:pPr>
    </w:p>
  </w:footnote>
  <w:footnote w:id="498">
    <w:p w14:paraId="22E2B0C8">
      <w:pPr>
        <w:pStyle w:val="27"/>
        <w:tabs>
          <w:tab w:val="left" w:pos="602"/>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《海关统计》，中华人民共和国海关总署，</w:t>
      </w:r>
      <w:r>
        <w:rPr>
          <w:b/>
          <w:bCs/>
          <w:color w:val="000000"/>
          <w:sz w:val="18"/>
          <w:szCs w:val="18"/>
        </w:rPr>
        <w:t>2009</w:t>
      </w:r>
      <w:r>
        <w:rPr>
          <w:color w:val="000000"/>
          <w:sz w:val="18"/>
          <w:szCs w:val="18"/>
        </w:rPr>
        <w:t>年</w:t>
      </w:r>
      <w:r>
        <w:rPr>
          <w:b/>
          <w:bCs/>
          <w:color w:val="000000"/>
          <w:sz w:val="18"/>
          <w:szCs w:val="18"/>
        </w:rPr>
        <w:t>2</w:t>
      </w:r>
      <w:r>
        <w:rPr>
          <w:color w:val="000000"/>
          <w:sz w:val="18"/>
          <w:szCs w:val="18"/>
        </w:rPr>
        <w:t>月</w:t>
      </w:r>
      <w:r>
        <w:rPr>
          <w:b/>
          <w:bCs/>
          <w:color w:val="000000"/>
          <w:sz w:val="18"/>
          <w:szCs w:val="18"/>
        </w:rPr>
        <w:t>11</w:t>
      </w:r>
      <w:r>
        <w:rPr>
          <w:color w:val="000000"/>
          <w:sz w:val="18"/>
          <w:szCs w:val="18"/>
        </w:rPr>
        <w:t>日。</w:t>
      </w:r>
    </w:p>
  </w:footnote>
  <w:footnote w:id="499">
    <w:p w14:paraId="4E802EF9">
      <w:pPr>
        <w:pStyle w:val="27"/>
        <w:tabs>
          <w:tab w:val="left" w:pos="602"/>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任安里等：《苹果，美对华</w:t>
      </w:r>
      <w:r>
        <w:rPr>
          <w:color w:val="000000"/>
          <w:sz w:val="18"/>
          <w:szCs w:val="18"/>
          <w:lang w:val="zh-CN" w:eastAsia="zh-CN" w:bidi="zh-CN"/>
        </w:rPr>
        <w:t>“逆</w:t>
      </w:r>
      <w:r>
        <w:rPr>
          <w:color w:val="000000"/>
          <w:sz w:val="18"/>
          <w:szCs w:val="18"/>
        </w:rPr>
        <w:t>差”的故事》，《环球时报》</w:t>
      </w:r>
      <w:r>
        <w:rPr>
          <w:b/>
          <w:bCs/>
          <w:color w:val="000000"/>
          <w:sz w:val="18"/>
          <w:szCs w:val="18"/>
        </w:rPr>
        <w:t>2010</w:t>
      </w:r>
      <w:r>
        <w:rPr>
          <w:color w:val="000000"/>
          <w:sz w:val="18"/>
          <w:szCs w:val="18"/>
        </w:rPr>
        <w:t>年</w:t>
      </w:r>
      <w:r>
        <w:rPr>
          <w:b/>
          <w:bCs/>
          <w:color w:val="000000"/>
          <w:sz w:val="18"/>
          <w:szCs w:val="18"/>
        </w:rPr>
        <w:t>12</w:t>
      </w:r>
      <w:r>
        <w:rPr>
          <w:color w:val="000000"/>
          <w:sz w:val="18"/>
          <w:szCs w:val="18"/>
        </w:rPr>
        <w:t>月</w:t>
      </w:r>
      <w:r>
        <w:rPr>
          <w:b/>
          <w:bCs/>
          <w:color w:val="000000"/>
          <w:sz w:val="18"/>
          <w:szCs w:val="18"/>
        </w:rPr>
        <w:t>7</w:t>
      </w:r>
      <w:r>
        <w:rPr>
          <w:color w:val="000000"/>
          <w:sz w:val="18"/>
          <w:szCs w:val="18"/>
        </w:rPr>
        <w:t>日。</w:t>
      </w:r>
    </w:p>
  </w:footnote>
  <w:footnote w:id="500">
    <w:p w14:paraId="20DE5A42">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cs="宋体"/>
          <w:color w:val="000000"/>
        </w:rPr>
        <w:t>根据国际惯例，一国所有机构发行外币债券的评级均不得超过本国主权信用等级。尽管从总</w:t>
      </w:r>
      <w:r>
        <w:rPr>
          <w:rFonts w:ascii="宋体" w:hAnsi="宋体"/>
          <w:color w:val="000000"/>
        </w:rPr>
        <w:t xml:space="preserve"> </w:t>
      </w:r>
      <w:r>
        <w:rPr>
          <w:rFonts w:hint="eastAsia" w:ascii="宋体" w:hAnsi="宋体" w:cs="宋体"/>
          <w:color w:val="000000"/>
        </w:rPr>
        <w:t>债务余额、财政赤字和外汇储备比重等各方面看，中国政府偿付能力均要优于美国，但</w:t>
      </w:r>
      <w:r>
        <w:rPr>
          <w:rFonts w:ascii="宋体" w:hAnsi="宋体"/>
          <w:b/>
          <w:bCs/>
          <w:color w:val="000000"/>
        </w:rPr>
        <w:t>2004</w:t>
      </w:r>
      <w:r>
        <w:rPr>
          <w:rFonts w:hint="eastAsia" w:ascii="宋体" w:hAnsi="宋体" w:cs="宋体"/>
          <w:color w:val="000000"/>
        </w:rPr>
        <w:t>年以前，</w:t>
      </w:r>
      <w:r>
        <w:rPr>
          <w:rFonts w:ascii="宋体" w:hAnsi="宋体"/>
          <w:color w:val="000000"/>
        </w:rPr>
        <w:t xml:space="preserve"> </w:t>
      </w:r>
      <w:r>
        <w:rPr>
          <w:rFonts w:hint="eastAsia" w:ascii="宋体" w:hAnsi="宋体" w:cs="宋体"/>
          <w:color w:val="000000"/>
        </w:rPr>
        <w:t>标准普尔对我国主权信用评级却一直维持在</w:t>
      </w:r>
      <w:r>
        <w:rPr>
          <w:rFonts w:ascii="宋体" w:hAnsi="宋体"/>
          <w:b/>
          <w:bCs/>
          <w:color w:val="000000"/>
          <w:lang w:bidi="en-US"/>
        </w:rPr>
        <w:t>BBB</w:t>
      </w:r>
      <w:r>
        <w:rPr>
          <w:rFonts w:hint="eastAsia" w:ascii="宋体" w:hAnsi="宋体" w:cs="宋体"/>
          <w:color w:val="000000"/>
        </w:rPr>
        <w:t>级</w:t>
      </w:r>
      <w:r>
        <w:rPr>
          <w:rFonts w:ascii="宋体" w:hAnsi="宋体"/>
          <w:b/>
          <w:bCs/>
          <w:color w:val="000000"/>
        </w:rPr>
        <w:t>10</w:t>
      </w:r>
      <w:r>
        <w:rPr>
          <w:rFonts w:hint="eastAsia" w:ascii="宋体" w:hAnsi="宋体" w:cs="宋体"/>
          <w:color w:val="000000"/>
        </w:rPr>
        <w:t>年不变，这一评级仅为</w:t>
      </w:r>
      <w:r>
        <w:rPr>
          <w:rFonts w:ascii="宋体" w:hAnsi="宋体"/>
          <w:color w:val="000000"/>
          <w:lang w:val="zh-CN" w:bidi="zh-CN"/>
        </w:rPr>
        <w:t>“</w:t>
      </w:r>
      <w:r>
        <w:rPr>
          <w:rFonts w:hint="eastAsia" w:ascii="宋体" w:hAnsi="宋体" w:cs="宋体"/>
          <w:color w:val="000000"/>
          <w:lang w:val="zh-CN" w:bidi="zh-CN"/>
        </w:rPr>
        <w:t>适宜</w:t>
      </w:r>
      <w:r>
        <w:rPr>
          <w:rFonts w:hint="eastAsia" w:ascii="宋体" w:hAnsi="宋体" w:cs="宋体"/>
          <w:color w:val="000000"/>
        </w:rPr>
        <w:t>投资</w:t>
      </w:r>
      <w:r>
        <w:rPr>
          <w:rFonts w:ascii="宋体" w:hAnsi="宋体"/>
          <w:color w:val="000000"/>
        </w:rPr>
        <w:t>”</w:t>
      </w:r>
      <w:r>
        <w:rPr>
          <w:rFonts w:hint="eastAsia" w:ascii="宋体" w:hAnsi="宋体" w:cs="宋体"/>
          <w:color w:val="000000"/>
        </w:rPr>
        <w:t>的最低级，</w:t>
      </w:r>
      <w:r>
        <w:rPr>
          <w:rFonts w:ascii="宋体" w:hAnsi="宋体"/>
          <w:color w:val="000000"/>
        </w:rPr>
        <w:t xml:space="preserve"> </w:t>
      </w:r>
      <w:r>
        <w:rPr>
          <w:rFonts w:hint="eastAsia" w:ascii="宋体" w:hAnsi="宋体" w:cs="宋体"/>
          <w:color w:val="000000"/>
        </w:rPr>
        <w:t>导致我国企业和金融机构普遍成为不值得信任的</w:t>
      </w:r>
      <w:r>
        <w:rPr>
          <w:rFonts w:ascii="宋体" w:hAnsi="宋体"/>
          <w:b/>
          <w:bCs/>
          <w:color w:val="000000"/>
          <w:lang w:bidi="en-US"/>
        </w:rPr>
        <w:t>BBB</w:t>
      </w:r>
      <w:r>
        <w:rPr>
          <w:rFonts w:hint="eastAsia" w:ascii="宋体" w:hAnsi="宋体" w:cs="宋体"/>
          <w:color w:val="000000"/>
        </w:rPr>
        <w:t>以下的</w:t>
      </w:r>
      <w:r>
        <w:rPr>
          <w:rFonts w:ascii="宋体" w:hAnsi="宋体"/>
          <w:color w:val="000000"/>
        </w:rPr>
        <w:t>"</w:t>
      </w:r>
      <w:r>
        <w:rPr>
          <w:rFonts w:hint="eastAsia" w:ascii="宋体" w:hAnsi="宋体" w:cs="宋体"/>
          <w:color w:val="000000"/>
        </w:rPr>
        <w:t>投机级</w:t>
      </w:r>
      <w:r>
        <w:rPr>
          <w:rFonts w:ascii="宋体" w:hAnsi="宋体"/>
          <w:color w:val="000000"/>
        </w:rPr>
        <w:t>”</w:t>
      </w:r>
      <w:r>
        <w:rPr>
          <w:rFonts w:hint="eastAsia" w:ascii="宋体" w:hAnsi="宋体" w:cs="宋体"/>
          <w:color w:val="000000"/>
        </w:rPr>
        <w:t>，为国际垄断资本低价攫取中</w:t>
      </w:r>
      <w:r>
        <w:rPr>
          <w:rFonts w:ascii="宋体" w:hAnsi="宋体"/>
          <w:color w:val="000000"/>
        </w:rPr>
        <w:t xml:space="preserve"> </w:t>
      </w:r>
      <w:r>
        <w:rPr>
          <w:rFonts w:hint="eastAsia" w:ascii="宋体" w:hAnsi="宋体" w:cs="宋体"/>
          <w:color w:val="000000"/>
        </w:rPr>
        <w:t>国国有资产大开方便之门。世界银行</w:t>
      </w:r>
      <w:r>
        <w:rPr>
          <w:rFonts w:ascii="宋体" w:hAnsi="宋体"/>
          <w:b/>
          <w:bCs/>
          <w:color w:val="000000"/>
        </w:rPr>
        <w:t>2007</w:t>
      </w:r>
      <w:r>
        <w:rPr>
          <w:rFonts w:hint="eastAsia" w:ascii="宋体" w:hAnsi="宋体" w:cs="宋体"/>
          <w:color w:val="000000"/>
        </w:rPr>
        <w:t>年</w:t>
      </w:r>
      <w:r>
        <w:rPr>
          <w:rFonts w:ascii="宋体" w:hAnsi="宋体"/>
          <w:b/>
          <w:bCs/>
          <w:color w:val="000000"/>
        </w:rPr>
        <w:t>5</w:t>
      </w:r>
      <w:r>
        <w:rPr>
          <w:rFonts w:hint="eastAsia" w:ascii="宋体" w:hAnsi="宋体" w:cs="宋体"/>
          <w:color w:val="000000"/>
        </w:rPr>
        <w:t>月在《中国经济季报》中曾指出，中国银行股被境外战</w:t>
      </w:r>
      <w:r>
        <w:rPr>
          <w:rFonts w:ascii="宋体" w:hAnsi="宋体"/>
          <w:color w:val="000000"/>
        </w:rPr>
        <w:t xml:space="preserve"> </w:t>
      </w:r>
      <w:r>
        <w:rPr>
          <w:rFonts w:hint="eastAsia" w:ascii="宋体" w:hAnsi="宋体" w:cs="宋体"/>
          <w:color w:val="000000"/>
        </w:rPr>
        <w:t>略投资者低价购买，问题不在</w:t>
      </w:r>
      <w:r>
        <w:rPr>
          <w:rFonts w:ascii="宋体" w:hAnsi="宋体"/>
          <w:b/>
          <w:bCs/>
          <w:color w:val="000000"/>
          <w:lang w:bidi="en-US"/>
        </w:rPr>
        <w:t>IPO</w:t>
      </w:r>
      <w:r>
        <w:rPr>
          <w:rFonts w:hint="eastAsia" w:ascii="宋体" w:hAnsi="宋体" w:cs="宋体"/>
          <w:color w:val="000000"/>
        </w:rPr>
        <w:t>环节，而是在此前引入战略投资者的定价上。</w:t>
      </w:r>
    </w:p>
  </w:footnote>
  <w:footnote w:id="501">
    <w:p w14:paraId="6E730608">
      <w:pPr>
        <w:pStyle w:val="27"/>
        <w:tabs>
          <w:tab w:val="left" w:pos="633"/>
          <w:tab w:val="left" w:pos="7008"/>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谢茗：《别一谈外资就用</w:t>
      </w:r>
      <w:r>
        <w:rPr>
          <w:color w:val="000000"/>
          <w:sz w:val="18"/>
          <w:szCs w:val="18"/>
          <w:lang w:val="zh-CN" w:eastAsia="zh-CN" w:bidi="zh-CN"/>
        </w:rPr>
        <w:t>“阴</w:t>
      </w:r>
      <w:r>
        <w:rPr>
          <w:color w:val="000000"/>
          <w:sz w:val="18"/>
          <w:szCs w:val="18"/>
        </w:rPr>
        <w:t>谋论”》，《环球时报》</w:t>
      </w:r>
      <w:r>
        <w:rPr>
          <w:b/>
          <w:bCs/>
          <w:color w:val="000000"/>
          <w:sz w:val="18"/>
          <w:szCs w:val="18"/>
        </w:rPr>
        <w:t>2009</w:t>
      </w:r>
      <w:r>
        <w:rPr>
          <w:color w:val="000000"/>
          <w:sz w:val="18"/>
          <w:szCs w:val="18"/>
        </w:rPr>
        <w:t>年</w:t>
      </w:r>
      <w:r>
        <w:rPr>
          <w:b/>
          <w:bCs/>
          <w:color w:val="000000"/>
          <w:sz w:val="18"/>
          <w:szCs w:val="18"/>
        </w:rPr>
        <w:t>8</w:t>
      </w:r>
      <w:r>
        <w:rPr>
          <w:color w:val="000000"/>
          <w:sz w:val="18"/>
          <w:szCs w:val="18"/>
        </w:rPr>
        <w:t>月</w:t>
      </w:r>
      <w:r>
        <w:rPr>
          <w:b/>
          <w:bCs/>
          <w:color w:val="000000"/>
          <w:sz w:val="18"/>
          <w:szCs w:val="18"/>
        </w:rPr>
        <w:t>25</w:t>
      </w:r>
      <w:r>
        <w:rPr>
          <w:color w:val="000000"/>
          <w:sz w:val="18"/>
          <w:szCs w:val="18"/>
        </w:rPr>
        <w:t>日。</w:t>
      </w:r>
    </w:p>
  </w:footnote>
  <w:footnote w:id="502">
    <w:p w14:paraId="22AD05DA">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cs="宋体"/>
          <w:color w:val="000000"/>
        </w:rPr>
        <w:t>资料来源自国家统计局《中华人民共和国</w:t>
      </w:r>
      <w:r>
        <w:rPr>
          <w:rFonts w:ascii="宋体" w:hAnsi="宋体"/>
          <w:b/>
          <w:bCs/>
          <w:color w:val="000000"/>
        </w:rPr>
        <w:t>2009</w:t>
      </w:r>
      <w:r>
        <w:rPr>
          <w:rFonts w:hint="eastAsia" w:ascii="宋体" w:hAnsi="宋体" w:cs="宋体"/>
          <w:color w:val="000000"/>
        </w:rPr>
        <w:t>年国民经济和社会发展统计公报》，并计算得</w:t>
      </w:r>
      <w:r>
        <w:rPr>
          <w:rFonts w:ascii="宋体" w:hAnsi="宋体"/>
          <w:color w:val="000000"/>
        </w:rPr>
        <w:t xml:space="preserve"> </w:t>
      </w:r>
      <w:r>
        <w:rPr>
          <w:rFonts w:hint="eastAsia" w:ascii="宋体" w:hAnsi="宋体" w:cs="宋体"/>
          <w:color w:val="000000"/>
        </w:rPr>
        <w:t>出。参见国家统计局网站（</w:t>
      </w:r>
      <w:r>
        <w:rPr>
          <w:rFonts w:ascii="宋体" w:hAnsi="宋体"/>
          <w:b/>
          <w:bCs/>
          <w:color w:val="000000"/>
          <w:lang w:eastAsia="zh-TW" w:bidi="en-US"/>
        </w:rPr>
        <w:t>http</w:t>
      </w:r>
      <w:r>
        <w:rPr>
          <w:rFonts w:hint="eastAsia" w:ascii="宋体" w:hAnsi="宋体" w:cs="宋体"/>
          <w:b/>
          <w:bCs/>
          <w:color w:val="000000"/>
          <w:lang w:eastAsia="zh-TW" w:bidi="en-US"/>
        </w:rPr>
        <w:t>：</w:t>
      </w:r>
      <w:r>
        <w:rPr>
          <w:rFonts w:ascii="宋体" w:hAnsi="宋体"/>
          <w:b/>
          <w:bCs/>
          <w:color w:val="000000"/>
          <w:lang w:eastAsia="zh-TW" w:bidi="en-US"/>
        </w:rPr>
        <w:t xml:space="preserve"> //www. stats, gov. cn/tjgb/ndtjgb/qgndtjgb/t20100225 </w:t>
      </w:r>
      <w:r>
        <w:rPr>
          <w:rFonts w:ascii="宋体" w:hAnsi="宋体"/>
          <w:b/>
          <w:bCs/>
          <w:u w:val="single"/>
        </w:rPr>
        <w:t xml:space="preserve"> </w:t>
      </w:r>
      <w:r>
        <w:rPr>
          <w:rFonts w:ascii="宋体" w:hAnsi="宋体"/>
          <w:b/>
          <w:bCs/>
          <w:color w:val="000000"/>
          <w:lang w:eastAsia="zh-TW" w:bidi="en-US"/>
        </w:rPr>
        <w:t>402622945. htm</w:t>
      </w:r>
      <w:r>
        <w:rPr>
          <w:rFonts w:hint="eastAsia" w:ascii="宋体" w:hAnsi="宋体" w:cs="宋体"/>
          <w:b/>
          <w:bCs/>
          <w:color w:val="000000"/>
          <w:lang w:eastAsia="zh-TW" w:bidi="en-US"/>
        </w:rPr>
        <w:t>）</w:t>
      </w:r>
      <w:r>
        <w:rPr>
          <w:rFonts w:ascii="宋体" w:hAnsi="宋体"/>
          <w:b/>
          <w:bCs/>
          <w:color w:val="000000"/>
          <w:lang w:eastAsia="zh-TW" w:bidi="en-US"/>
        </w:rPr>
        <w:t xml:space="preserve"> , 2010 </w:t>
      </w:r>
      <w:r>
        <w:rPr>
          <w:rFonts w:hint="eastAsia" w:ascii="宋体" w:hAnsi="宋体" w:cs="宋体"/>
          <w:color w:val="000000"/>
        </w:rPr>
        <w:t>年</w:t>
      </w:r>
      <w:r>
        <w:rPr>
          <w:rFonts w:ascii="宋体" w:hAnsi="宋体"/>
          <w:color w:val="000000"/>
        </w:rPr>
        <w:t xml:space="preserve"> </w:t>
      </w:r>
      <w:r>
        <w:rPr>
          <w:rFonts w:ascii="宋体" w:hAnsi="宋体"/>
          <w:b/>
          <w:bCs/>
          <w:color w:val="000000"/>
          <w:lang w:eastAsia="zh-TW" w:bidi="en-US"/>
        </w:rPr>
        <w:t xml:space="preserve">2 </w:t>
      </w:r>
      <w:r>
        <w:rPr>
          <w:rFonts w:hint="eastAsia" w:ascii="宋体" w:hAnsi="宋体" w:cs="宋体"/>
          <w:color w:val="000000"/>
        </w:rPr>
        <w:t>月</w:t>
      </w:r>
      <w:r>
        <w:rPr>
          <w:rFonts w:ascii="宋体" w:hAnsi="宋体"/>
          <w:color w:val="000000"/>
        </w:rPr>
        <w:t xml:space="preserve"> </w:t>
      </w:r>
      <w:r>
        <w:rPr>
          <w:rFonts w:ascii="宋体" w:hAnsi="宋体"/>
          <w:b/>
          <w:bCs/>
          <w:color w:val="000000"/>
          <w:lang w:eastAsia="zh-TW" w:bidi="en-US"/>
        </w:rPr>
        <w:t xml:space="preserve">25 </w:t>
      </w:r>
      <w:r>
        <w:rPr>
          <w:rFonts w:hint="eastAsia" w:ascii="宋体" w:hAnsi="宋体" w:cs="宋体"/>
          <w:color w:val="000000"/>
        </w:rPr>
        <w:t>日。</w:t>
      </w:r>
    </w:p>
  </w:footnote>
  <w:footnote w:id="503">
    <w:p w14:paraId="46455072">
      <w:pPr>
        <w:pStyle w:val="27"/>
        <w:tabs>
          <w:tab w:val="left" w:pos="633"/>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姜煜：《我国利用外资首破千亿美元》，《北京日报》</w:t>
      </w:r>
      <w:r>
        <w:rPr>
          <w:rFonts w:cs="Times New Roman"/>
          <w:color w:val="000000"/>
          <w:sz w:val="18"/>
          <w:szCs w:val="18"/>
        </w:rPr>
        <w:t>2011</w:t>
      </w:r>
      <w:r>
        <w:rPr>
          <w:color w:val="000000"/>
          <w:sz w:val="18"/>
          <w:szCs w:val="18"/>
        </w:rPr>
        <w:t>年</w:t>
      </w:r>
      <w:r>
        <w:rPr>
          <w:rFonts w:cs="Times New Roman"/>
          <w:color w:val="000000"/>
          <w:sz w:val="18"/>
          <w:szCs w:val="18"/>
        </w:rPr>
        <w:t>1</w:t>
      </w:r>
      <w:r>
        <w:rPr>
          <w:color w:val="000000"/>
          <w:sz w:val="18"/>
          <w:szCs w:val="18"/>
        </w:rPr>
        <w:t>月</w:t>
      </w:r>
      <w:r>
        <w:rPr>
          <w:rFonts w:cs="Times New Roman"/>
          <w:color w:val="000000"/>
          <w:sz w:val="18"/>
          <w:szCs w:val="18"/>
        </w:rPr>
        <w:t>19</w:t>
      </w:r>
      <w:r>
        <w:rPr>
          <w:color w:val="000000"/>
          <w:sz w:val="18"/>
          <w:szCs w:val="18"/>
        </w:rPr>
        <w:t>日。</w:t>
      </w:r>
    </w:p>
  </w:footnote>
  <w:footnote w:id="504">
    <w:p w14:paraId="146DB6CC">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cs="宋体"/>
          <w:color w:val="000000"/>
        </w:rPr>
        <w:t>程恩富：《比较优势、竞争优势与知识产权》，《文汇报》</w:t>
      </w:r>
      <w:r>
        <w:rPr>
          <w:rFonts w:ascii="宋体" w:hAnsi="宋体"/>
          <w:b/>
          <w:bCs/>
          <w:color w:val="000000"/>
        </w:rPr>
        <w:t>2005</w:t>
      </w:r>
      <w:r>
        <w:rPr>
          <w:rFonts w:hint="eastAsia" w:ascii="宋体" w:hAnsi="宋体" w:cs="宋体"/>
          <w:color w:val="000000"/>
        </w:rPr>
        <w:t>年</w:t>
      </w:r>
      <w:r>
        <w:rPr>
          <w:rFonts w:ascii="宋体" w:hAnsi="宋体"/>
          <w:b/>
          <w:bCs/>
          <w:color w:val="000000"/>
        </w:rPr>
        <w:t>6</w:t>
      </w:r>
      <w:r>
        <w:rPr>
          <w:rFonts w:hint="eastAsia" w:ascii="宋体" w:hAnsi="宋体" w:cs="宋体"/>
          <w:color w:val="000000"/>
        </w:rPr>
        <w:t>月</w:t>
      </w:r>
      <w:r>
        <w:rPr>
          <w:rFonts w:ascii="宋体" w:hAnsi="宋体"/>
          <w:b/>
          <w:bCs/>
          <w:color w:val="000000"/>
        </w:rPr>
        <w:t>12</w:t>
      </w:r>
      <w:r>
        <w:rPr>
          <w:rFonts w:hint="eastAsia" w:ascii="宋体" w:hAnsi="宋体" w:cs="宋体"/>
          <w:color w:val="000000"/>
        </w:rPr>
        <w:t>日。</w:t>
      </w:r>
    </w:p>
  </w:footnote>
  <w:footnote w:id="505">
    <w:p w14:paraId="02A91940">
      <w:pPr>
        <w:pStyle w:val="12"/>
        <w:jc w:val="both"/>
        <w:rPr>
          <w:rFonts w:ascii="宋体" w:hAnsi="宋体"/>
        </w:rPr>
      </w:pPr>
      <w:r>
        <w:rPr>
          <w:rStyle w:val="20"/>
          <w:rFonts w:ascii="宋体" w:hAnsi="宋体" w:eastAsia="宋体"/>
        </w:rPr>
        <w:footnoteRef/>
      </w:r>
      <w:r>
        <w:rPr>
          <w:rFonts w:ascii="宋体" w:hAnsi="宋体"/>
        </w:rPr>
        <w:t xml:space="preserve"> </w:t>
      </w:r>
      <w:r>
        <w:rPr>
          <w:rFonts w:hint="eastAsia" w:ascii="宋体" w:hAnsi="宋体" w:cs="宋体"/>
          <w:color w:val="000000"/>
        </w:rPr>
        <w:t>陶短房等：《中国稀土令西方焦躁》，《环球时报》</w:t>
      </w:r>
      <w:r>
        <w:rPr>
          <w:rFonts w:ascii="宋体" w:hAnsi="宋体"/>
          <w:b/>
          <w:bCs/>
          <w:color w:val="000000"/>
        </w:rPr>
        <w:t>2009</w:t>
      </w:r>
      <w:r>
        <w:rPr>
          <w:rFonts w:hint="eastAsia" w:ascii="宋体" w:hAnsi="宋体" w:cs="宋体"/>
          <w:color w:val="000000"/>
        </w:rPr>
        <w:t>年</w:t>
      </w:r>
      <w:r>
        <w:rPr>
          <w:rFonts w:ascii="宋体" w:hAnsi="宋体"/>
          <w:b/>
          <w:bCs/>
          <w:color w:val="000000"/>
        </w:rPr>
        <w:t>9</w:t>
      </w:r>
      <w:r>
        <w:rPr>
          <w:rFonts w:hint="eastAsia" w:ascii="宋体" w:hAnsi="宋体" w:cs="宋体"/>
          <w:color w:val="000000"/>
        </w:rPr>
        <w:t>月</w:t>
      </w:r>
      <w:r>
        <w:rPr>
          <w:rFonts w:ascii="宋体" w:hAnsi="宋体"/>
          <w:b/>
          <w:bCs/>
          <w:color w:val="000000"/>
        </w:rPr>
        <w:t>3</w:t>
      </w:r>
      <w:r>
        <w:rPr>
          <w:rFonts w:hint="eastAsia" w:ascii="宋体" w:hAnsi="宋体" w:cs="宋体"/>
          <w:color w:val="000000"/>
        </w:rPr>
        <w:t>日</w:t>
      </w:r>
    </w:p>
  </w:footnote>
  <w:footnote w:id="506">
    <w:p w14:paraId="61AAC24C">
      <w:pPr>
        <w:pStyle w:val="27"/>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国际分工中的微笑曲线是中国</w:t>
      </w:r>
      <w:r>
        <w:rPr>
          <w:color w:val="000000"/>
          <w:sz w:val="18"/>
          <w:szCs w:val="18"/>
          <w:lang w:val="zh-CN" w:eastAsia="zh-CN" w:bidi="zh-CN"/>
        </w:rPr>
        <w:t>“外</w:t>
      </w:r>
      <w:r>
        <w:rPr>
          <w:color w:val="000000"/>
          <w:sz w:val="18"/>
          <w:szCs w:val="18"/>
        </w:rPr>
        <w:t>产”依赖度高的直接体现。</w:t>
      </w:r>
      <w:r>
        <w:rPr>
          <w:b/>
          <w:bCs/>
          <w:color w:val="000000"/>
          <w:sz w:val="18"/>
          <w:szCs w:val="18"/>
        </w:rPr>
        <w:t>2010</w:t>
      </w:r>
      <w:r>
        <w:rPr>
          <w:color w:val="000000"/>
          <w:sz w:val="18"/>
          <w:szCs w:val="18"/>
        </w:rPr>
        <w:t>年，美国智库凯利托研究 所发表报告指出：中美国际分工呈</w:t>
      </w:r>
      <w:r>
        <w:rPr>
          <w:color w:val="000000"/>
          <w:sz w:val="18"/>
          <w:szCs w:val="18"/>
          <w:lang w:val="zh-CN" w:eastAsia="zh-CN" w:bidi="zh-CN"/>
        </w:rPr>
        <w:t>“微笑</w:t>
      </w:r>
      <w:r>
        <w:rPr>
          <w:color w:val="000000"/>
          <w:sz w:val="18"/>
          <w:szCs w:val="18"/>
        </w:rPr>
        <w:t xml:space="preserve">曲线”模式，即美国控制了高利润的商标、概念设计等前期 生产过程及物流、销售和市场开发等后期服务，而中国仅承担低附加值的中期生产加工。从双方获利 比率来看，美方才是中美经贸合作的最大受益方。据其测算，中国创造的产品附加值仅占对美出口总 额的 </w:t>
      </w:r>
      <w:r>
        <w:rPr>
          <w:b/>
          <w:bCs/>
          <w:color w:val="000000"/>
          <w:sz w:val="18"/>
          <w:szCs w:val="18"/>
          <w:lang w:val="en-US" w:eastAsia="zh-CN" w:bidi="en-US"/>
        </w:rPr>
        <w:t>1/3—</w:t>
      </w:r>
      <w:r>
        <w:rPr>
          <w:b/>
          <w:bCs/>
          <w:color w:val="000000"/>
          <w:sz w:val="18"/>
          <w:szCs w:val="18"/>
        </w:rPr>
        <w:t xml:space="preserve">1/2 </w:t>
      </w:r>
      <w:r>
        <w:rPr>
          <w:b/>
          <w:bCs/>
          <w:color w:val="000000"/>
          <w:sz w:val="18"/>
          <w:szCs w:val="18"/>
          <w:vertAlign w:val="subscript"/>
        </w:rPr>
        <w:t>0</w:t>
      </w:r>
    </w:p>
  </w:footnote>
  <w:footnote w:id="507">
    <w:p w14:paraId="09B7DDF3">
      <w:pPr>
        <w:pStyle w:val="27"/>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 xml:space="preserve">安毅、常清、付文阁：《历次国际金融危机与世界经济格局变化探析》，《经济社会体制比较》 </w:t>
      </w:r>
      <w:r>
        <w:rPr>
          <w:b/>
          <w:bCs/>
          <w:color w:val="000000"/>
          <w:sz w:val="18"/>
          <w:szCs w:val="18"/>
        </w:rPr>
        <w:t>2009</w:t>
      </w:r>
      <w:r>
        <w:rPr>
          <w:color w:val="000000"/>
          <w:sz w:val="18"/>
          <w:szCs w:val="18"/>
        </w:rPr>
        <w:t>年第</w:t>
      </w:r>
      <w:r>
        <w:rPr>
          <w:b/>
          <w:bCs/>
          <w:color w:val="000000"/>
          <w:sz w:val="18"/>
          <w:szCs w:val="18"/>
        </w:rPr>
        <w:t>5</w:t>
      </w:r>
      <w:r>
        <w:rPr>
          <w:color w:val="000000"/>
          <w:sz w:val="18"/>
          <w:szCs w:val="18"/>
        </w:rPr>
        <w:t>期。</w:t>
      </w:r>
    </w:p>
  </w:footnote>
  <w:footnote w:id="508">
    <w:p w14:paraId="5505FC8B">
      <w:pPr>
        <w:pStyle w:val="12"/>
        <w:jc w:val="both"/>
        <w:rPr>
          <w:rFonts w:ascii="宋体" w:hAnsi="宋体"/>
        </w:rPr>
      </w:pPr>
      <w:r>
        <w:rPr>
          <w:rStyle w:val="20"/>
          <w:rFonts w:ascii="宋体" w:hAnsi="宋体" w:eastAsia="宋体"/>
        </w:rPr>
        <w:footnoteRef/>
      </w:r>
      <w:r>
        <w:rPr>
          <w:rFonts w:ascii="宋体" w:hAnsi="宋体"/>
        </w:rPr>
        <w:t>王伟光：《运用马克思主义立场、观点和方法，科学认识美国金融危机的本质和原因》，载《马克思主义研究》2009年第2期。</w:t>
      </w:r>
    </w:p>
  </w:footnote>
  <w:footnote w:id="509">
    <w:p w14:paraId="2451F8F5">
      <w:pPr>
        <w:rPr>
          <w:rFonts w:ascii="宋体" w:hAnsi="宋体" w:eastAsia="宋体"/>
          <w:sz w:val="18"/>
          <w:szCs w:val="18"/>
        </w:rPr>
      </w:pPr>
      <w:r>
        <w:rPr>
          <w:rStyle w:val="20"/>
          <w:rFonts w:ascii="宋体" w:hAnsi="宋体" w:eastAsia="宋体"/>
          <w:sz w:val="18"/>
          <w:szCs w:val="18"/>
        </w:rPr>
        <w:footnoteRef/>
      </w:r>
      <w:r>
        <w:rPr>
          <w:rFonts w:ascii="宋体" w:hAnsi="宋体" w:eastAsia="宋体"/>
          <w:spacing w:val="-1"/>
          <w:sz w:val="18"/>
          <w:szCs w:val="18"/>
        </w:rPr>
        <w:t>《马克思恩格斯全集》第</w:t>
      </w:r>
      <w:r>
        <w:rPr>
          <w:rFonts w:ascii="宋体" w:hAnsi="宋体" w:eastAsia="宋体"/>
          <w:sz w:val="18"/>
          <w:szCs w:val="18"/>
        </w:rPr>
        <w:t>26卷（</w:t>
      </w:r>
      <w:r>
        <w:rPr>
          <w:rFonts w:ascii="宋体" w:hAnsi="宋体" w:eastAsia="宋体"/>
          <w:spacing w:val="-2"/>
          <w:sz w:val="18"/>
          <w:szCs w:val="18"/>
        </w:rPr>
        <w:t>Ⅱ</w:t>
      </w:r>
      <w:r>
        <w:rPr>
          <w:rFonts w:ascii="宋体" w:hAnsi="宋体" w:eastAsia="宋体"/>
          <w:spacing w:val="-75"/>
          <w:sz w:val="18"/>
          <w:szCs w:val="18"/>
        </w:rPr>
        <w:t>）</w:t>
      </w:r>
      <w:r>
        <w:rPr>
          <w:rFonts w:ascii="宋体" w:hAnsi="宋体" w:eastAsia="宋体"/>
          <w:spacing w:val="-1"/>
          <w:sz w:val="18"/>
          <w:szCs w:val="18"/>
        </w:rPr>
        <w:t>，北京：人民出版社，</w:t>
      </w:r>
      <w:r>
        <w:rPr>
          <w:rFonts w:ascii="宋体" w:hAnsi="宋体" w:eastAsia="宋体"/>
          <w:sz w:val="18"/>
          <w:szCs w:val="18"/>
        </w:rPr>
        <w:t>1</w:t>
      </w:r>
      <w:r>
        <w:rPr>
          <w:rFonts w:ascii="宋体" w:hAnsi="宋体" w:eastAsia="宋体"/>
          <w:spacing w:val="-1"/>
          <w:sz w:val="18"/>
          <w:szCs w:val="18"/>
        </w:rPr>
        <w:t>9</w:t>
      </w:r>
      <w:r>
        <w:rPr>
          <w:rFonts w:ascii="宋体" w:hAnsi="宋体" w:eastAsia="宋体"/>
          <w:sz w:val="18"/>
          <w:szCs w:val="18"/>
        </w:rPr>
        <w:t>73</w:t>
      </w:r>
      <w:r>
        <w:rPr>
          <w:rFonts w:ascii="宋体" w:hAnsi="宋体" w:eastAsia="宋体"/>
          <w:spacing w:val="-1"/>
          <w:sz w:val="18"/>
          <w:szCs w:val="18"/>
        </w:rPr>
        <w:t>年，第</w:t>
      </w:r>
      <w:r>
        <w:rPr>
          <w:rFonts w:ascii="宋体" w:hAnsi="宋体" w:eastAsia="宋体"/>
          <w:sz w:val="18"/>
          <w:szCs w:val="18"/>
        </w:rPr>
        <w:t>5</w:t>
      </w:r>
      <w:r>
        <w:rPr>
          <w:rFonts w:ascii="宋体" w:hAnsi="宋体" w:eastAsia="宋体"/>
          <w:spacing w:val="-1"/>
          <w:sz w:val="18"/>
          <w:szCs w:val="18"/>
        </w:rPr>
        <w:t>8</w:t>
      </w:r>
      <w:r>
        <w:rPr>
          <w:rFonts w:ascii="宋体" w:hAnsi="宋体" w:eastAsia="宋体"/>
          <w:sz w:val="18"/>
          <w:szCs w:val="18"/>
        </w:rPr>
        <w:t>7页。</w:t>
      </w:r>
    </w:p>
  </w:footnote>
  <w:footnote w:id="510">
    <w:p w14:paraId="66AA39C8">
      <w:pPr>
        <w:pStyle w:val="12"/>
        <w:jc w:val="both"/>
        <w:rPr>
          <w:rFonts w:ascii="宋体" w:hAnsi="宋体"/>
        </w:rPr>
      </w:pPr>
      <w:r>
        <w:rPr>
          <w:rStyle w:val="20"/>
          <w:rFonts w:ascii="宋体" w:hAnsi="宋体" w:eastAsia="宋体"/>
        </w:rPr>
        <w:footnoteRef/>
      </w:r>
      <w:r>
        <w:rPr>
          <w:rFonts w:ascii="宋体" w:hAnsi="宋体"/>
          <w:spacing w:val="-1"/>
        </w:rPr>
        <w:t>《马克思恩格斯全集》第</w:t>
      </w:r>
      <w:r>
        <w:rPr>
          <w:rFonts w:ascii="宋体" w:hAnsi="宋体"/>
        </w:rPr>
        <w:t>26卷（</w:t>
      </w:r>
      <w:r>
        <w:rPr>
          <w:rFonts w:ascii="宋体" w:hAnsi="宋体"/>
          <w:spacing w:val="-2"/>
        </w:rPr>
        <w:t>Ⅱ</w:t>
      </w:r>
      <w:r>
        <w:rPr>
          <w:rFonts w:ascii="宋体" w:hAnsi="宋体"/>
          <w:spacing w:val="-75"/>
        </w:rPr>
        <w:t>）</w:t>
      </w:r>
      <w:r>
        <w:rPr>
          <w:rFonts w:ascii="宋体" w:hAnsi="宋体"/>
          <w:spacing w:val="-1"/>
        </w:rPr>
        <w:t>，北京：人民出版社，</w:t>
      </w:r>
      <w:r>
        <w:rPr>
          <w:rFonts w:ascii="宋体" w:hAnsi="宋体"/>
        </w:rPr>
        <w:t>1</w:t>
      </w:r>
      <w:r>
        <w:rPr>
          <w:rFonts w:ascii="宋体" w:hAnsi="宋体"/>
          <w:spacing w:val="-1"/>
        </w:rPr>
        <w:t>9</w:t>
      </w:r>
      <w:r>
        <w:rPr>
          <w:rFonts w:ascii="宋体" w:hAnsi="宋体"/>
        </w:rPr>
        <w:t>73</w:t>
      </w:r>
      <w:r>
        <w:rPr>
          <w:rFonts w:ascii="宋体" w:hAnsi="宋体"/>
          <w:spacing w:val="-1"/>
        </w:rPr>
        <w:t>年，第</w:t>
      </w:r>
      <w:r>
        <w:rPr>
          <w:rFonts w:ascii="宋体" w:hAnsi="宋体"/>
        </w:rPr>
        <w:t>5</w:t>
      </w:r>
      <w:r>
        <w:rPr>
          <w:rFonts w:ascii="宋体" w:hAnsi="宋体"/>
          <w:spacing w:val="-1"/>
        </w:rPr>
        <w:t>8</w:t>
      </w:r>
      <w:r>
        <w:rPr>
          <w:rFonts w:ascii="宋体" w:hAnsi="宋体"/>
        </w:rPr>
        <w:t>7页。</w:t>
      </w:r>
    </w:p>
  </w:footnote>
  <w:footnote w:id="511">
    <w:p w14:paraId="609B340A">
      <w:pPr>
        <w:pStyle w:val="12"/>
        <w:jc w:val="both"/>
        <w:rPr>
          <w:rFonts w:ascii="宋体" w:hAnsi="宋体"/>
        </w:rPr>
      </w:pPr>
      <w:r>
        <w:rPr>
          <w:rStyle w:val="20"/>
          <w:rFonts w:ascii="宋体" w:hAnsi="宋体" w:eastAsia="宋体"/>
        </w:rPr>
        <w:footnoteRef/>
      </w:r>
      <w:r>
        <w:rPr>
          <w:rFonts w:ascii="宋体" w:hAnsi="宋体"/>
        </w:rPr>
        <w:t>程恩富：《当前西方金融和经济危机与全球治理》，载《管理学刊》2009年第1期。</w:t>
      </w:r>
    </w:p>
  </w:footnote>
  <w:footnote w:id="512">
    <w:p w14:paraId="728EE384">
      <w:pPr>
        <w:pStyle w:val="12"/>
        <w:jc w:val="both"/>
        <w:rPr>
          <w:rFonts w:ascii="宋体" w:hAnsi="宋体"/>
        </w:rPr>
      </w:pPr>
      <w:r>
        <w:rPr>
          <w:rStyle w:val="20"/>
          <w:rFonts w:ascii="宋体" w:hAnsi="宋体" w:eastAsia="宋体"/>
        </w:rPr>
        <w:footnoteRef/>
      </w:r>
      <w:r>
        <w:rPr>
          <w:rFonts w:ascii="宋体" w:hAnsi="宋体"/>
        </w:rPr>
        <w:t>何秉孟：《美国金融危机与国际金融垄断资本主义》，载《世界社会主义研究》2009年第12期。</w:t>
      </w:r>
    </w:p>
  </w:footnote>
  <w:footnote w:id="513">
    <w:p w14:paraId="7F081955">
      <w:pPr>
        <w:pStyle w:val="12"/>
        <w:jc w:val="both"/>
        <w:rPr>
          <w:rFonts w:ascii="宋体" w:hAnsi="宋体"/>
        </w:rPr>
      </w:pPr>
      <w:r>
        <w:rPr>
          <w:rStyle w:val="20"/>
          <w:rFonts w:ascii="宋体" w:hAnsi="宋体" w:eastAsia="宋体"/>
        </w:rPr>
        <w:footnoteRef/>
      </w:r>
      <w:r>
        <w:rPr>
          <w:rFonts w:ascii="宋体" w:hAnsi="宋体"/>
        </w:rPr>
        <w:t>转引自朱民等著：《改变未来的金融危机》，北京：中国金融出版社，2009年，第189页。</w:t>
      </w:r>
    </w:p>
  </w:footnote>
  <w:footnote w:id="514">
    <w:p w14:paraId="64E81011">
      <w:pPr>
        <w:pStyle w:val="12"/>
        <w:jc w:val="both"/>
        <w:rPr>
          <w:rFonts w:ascii="宋体" w:hAnsi="宋体"/>
        </w:rPr>
      </w:pPr>
      <w:r>
        <w:rPr>
          <w:rStyle w:val="20"/>
          <w:rFonts w:ascii="宋体" w:hAnsi="宋体" w:eastAsia="宋体"/>
        </w:rPr>
        <w:footnoteRef/>
      </w:r>
      <w:r>
        <w:rPr>
          <w:rFonts w:ascii="宋体" w:hAnsi="宋体"/>
          <w:spacing w:val="-8"/>
        </w:rPr>
        <w:t>李慎明：《当前资本主义经济危机的成因、前景及应对建议》，见李慎明主编：《美元霸权与经济危机——今天对今天经济危机的剖</w:t>
      </w:r>
      <w:r>
        <w:rPr>
          <w:rFonts w:ascii="宋体" w:hAnsi="宋体"/>
          <w:spacing w:val="-38"/>
        </w:rPr>
        <w:t>析》</w:t>
      </w:r>
      <w:r>
        <w:rPr>
          <w:rFonts w:ascii="宋体" w:hAnsi="宋体"/>
        </w:rPr>
        <w:t>（上</w:t>
      </w:r>
      <w:r>
        <w:rPr>
          <w:rFonts w:ascii="宋体" w:hAnsi="宋体"/>
          <w:spacing w:val="-75"/>
        </w:rPr>
        <w:t>）</w:t>
      </w:r>
      <w:r>
        <w:rPr>
          <w:rFonts w:ascii="宋体" w:hAnsi="宋体"/>
          <w:spacing w:val="-1"/>
        </w:rPr>
        <w:t>，北京：社会科学文献出版社，</w:t>
      </w:r>
      <w:r>
        <w:rPr>
          <w:rFonts w:ascii="宋体" w:hAnsi="宋体"/>
        </w:rPr>
        <w:t>2</w:t>
      </w:r>
      <w:r>
        <w:rPr>
          <w:rFonts w:ascii="宋体" w:hAnsi="宋体"/>
          <w:spacing w:val="-1"/>
        </w:rPr>
        <w:t>0</w:t>
      </w:r>
      <w:r>
        <w:rPr>
          <w:rFonts w:ascii="宋体" w:hAnsi="宋体"/>
        </w:rPr>
        <w:t>09</w:t>
      </w:r>
      <w:r>
        <w:rPr>
          <w:rFonts w:ascii="宋体" w:hAnsi="宋体"/>
          <w:spacing w:val="-1"/>
        </w:rPr>
        <w:t>年，第</w:t>
      </w:r>
      <w:r>
        <w:rPr>
          <w:rFonts w:ascii="宋体" w:hAnsi="宋体"/>
        </w:rPr>
        <w:t>3</w:t>
      </w:r>
      <w:r>
        <w:rPr>
          <w:rFonts w:ascii="宋体" w:hAnsi="宋体"/>
          <w:spacing w:val="-1"/>
        </w:rPr>
        <w:t>7</w:t>
      </w:r>
      <w:r>
        <w:rPr>
          <w:rFonts w:ascii="宋体" w:hAnsi="宋体"/>
        </w:rPr>
        <w:t>页。</w:t>
      </w:r>
    </w:p>
  </w:footnote>
  <w:footnote w:id="515">
    <w:p w14:paraId="4F131823">
      <w:pPr>
        <w:pStyle w:val="12"/>
        <w:jc w:val="both"/>
        <w:rPr>
          <w:rFonts w:ascii="宋体" w:hAnsi="宋体"/>
        </w:rPr>
      </w:pPr>
      <w:r>
        <w:rPr>
          <w:rStyle w:val="20"/>
          <w:rFonts w:ascii="宋体" w:hAnsi="宋体" w:eastAsia="宋体"/>
        </w:rPr>
        <w:footnoteRef/>
      </w:r>
      <w:r>
        <w:rPr>
          <w:rFonts w:ascii="宋体" w:hAnsi="宋体"/>
        </w:rPr>
        <w:t>以上资料主要来源于《美国次贷危机全球金融危机大事记》，中国经济网2009年9月14日。</w:t>
      </w:r>
    </w:p>
  </w:footnote>
  <w:footnote w:id="516">
    <w:p w14:paraId="0B2274ED">
      <w:pPr>
        <w:pStyle w:val="12"/>
        <w:jc w:val="both"/>
        <w:rPr>
          <w:rFonts w:ascii="宋体" w:hAnsi="宋体"/>
        </w:rPr>
      </w:pPr>
      <w:r>
        <w:rPr>
          <w:rStyle w:val="20"/>
          <w:rFonts w:ascii="宋体" w:hAnsi="宋体" w:eastAsia="宋体"/>
        </w:rPr>
        <w:footnoteRef/>
      </w:r>
      <w:r>
        <w:rPr>
          <w:rFonts w:ascii="宋体" w:hAnsi="宋体"/>
        </w:rPr>
        <w:t>何帆：《世界主要发达经济体应对金融危机的措施及其效果评述》，载《经济社会体制比较》2009年第4期。</w:t>
      </w:r>
    </w:p>
  </w:footnote>
  <w:footnote w:id="517">
    <w:p w14:paraId="00B45F87">
      <w:pPr>
        <w:pStyle w:val="12"/>
        <w:jc w:val="both"/>
        <w:rPr>
          <w:rFonts w:ascii="宋体" w:hAnsi="宋体"/>
        </w:rPr>
      </w:pPr>
      <w:r>
        <w:rPr>
          <w:rStyle w:val="20"/>
          <w:rFonts w:ascii="宋体" w:hAnsi="宋体" w:eastAsia="宋体"/>
        </w:rPr>
        <w:footnoteRef/>
      </w:r>
      <w:r>
        <w:rPr>
          <w:rFonts w:ascii="宋体" w:hAnsi="宋体"/>
        </w:rPr>
        <w:t>《马克思恩格斯选集》第1卷，北京：人民出版社，1995年，第278页。</w:t>
      </w:r>
    </w:p>
  </w:footnote>
  <w:footnote w:id="518">
    <w:p w14:paraId="6338BAD1">
      <w:pPr>
        <w:pStyle w:val="12"/>
        <w:jc w:val="both"/>
        <w:rPr>
          <w:rFonts w:ascii="宋体" w:hAnsi="宋体"/>
        </w:rPr>
      </w:pPr>
      <w:r>
        <w:rPr>
          <w:rStyle w:val="20"/>
          <w:rFonts w:ascii="宋体" w:hAnsi="宋体" w:eastAsia="宋体"/>
        </w:rPr>
        <w:footnoteRef/>
      </w:r>
      <w:r>
        <w:rPr>
          <w:rFonts w:ascii="宋体" w:hAnsi="宋体"/>
        </w:rPr>
        <w:t>《世界经济继续缓慢复苏演变前景仍然错综复杂》，金融界网站：2010年3月29日。</w:t>
      </w:r>
    </w:p>
  </w:footnote>
  <w:footnote w:id="519">
    <w:p w14:paraId="460371F6">
      <w:pPr>
        <w:pStyle w:val="12"/>
        <w:jc w:val="both"/>
        <w:rPr>
          <w:rFonts w:ascii="宋体" w:hAnsi="宋体"/>
        </w:rPr>
      </w:pPr>
      <w:r>
        <w:rPr>
          <w:rStyle w:val="20"/>
          <w:rFonts w:ascii="宋体" w:hAnsi="宋体" w:eastAsia="宋体"/>
        </w:rPr>
        <w:footnoteRef/>
      </w:r>
      <w:r>
        <w:rPr>
          <w:rFonts w:ascii="宋体" w:hAnsi="宋体"/>
        </w:rPr>
        <w:t>理查德·波斯纳：《资本主义的失败》，北京：北京大学出版社，2009年，第3页。</w:t>
      </w:r>
    </w:p>
  </w:footnote>
  <w:footnote w:id="520">
    <w:p w14:paraId="4E5C651C">
      <w:pPr>
        <w:pStyle w:val="12"/>
        <w:jc w:val="both"/>
        <w:rPr>
          <w:rFonts w:ascii="宋体" w:hAnsi="宋体"/>
        </w:rPr>
      </w:pPr>
      <w:r>
        <w:rPr>
          <w:rStyle w:val="20"/>
          <w:rFonts w:ascii="宋体" w:hAnsi="宋体" w:eastAsia="宋体"/>
        </w:rPr>
        <w:footnoteRef/>
      </w:r>
      <w:r>
        <w:rPr>
          <w:rFonts w:ascii="宋体" w:hAnsi="宋体"/>
        </w:rPr>
        <w:t>郑萍：《日本新自由主义急先锋的忏悔录》，载《世界社会主义研究》2009年第12期。</w:t>
      </w:r>
    </w:p>
  </w:footnote>
  <w:footnote w:id="521">
    <w:p w14:paraId="769367EE">
      <w:pPr>
        <w:pStyle w:val="12"/>
        <w:jc w:val="both"/>
        <w:rPr>
          <w:rFonts w:ascii="宋体" w:hAnsi="宋体"/>
        </w:rPr>
      </w:pPr>
      <w:r>
        <w:rPr>
          <w:rStyle w:val="20"/>
          <w:rFonts w:ascii="宋体" w:hAnsi="宋体" w:eastAsia="宋体"/>
        </w:rPr>
        <w:footnoteRef/>
      </w:r>
      <w:r>
        <w:rPr>
          <w:rFonts w:ascii="宋体" w:hAnsi="宋体"/>
        </w:rPr>
        <w:t>参阅徐崇温：《当代资本主义新变化》，重庆：重庆出版社，2004年，第158、174、182页。</w:t>
      </w:r>
    </w:p>
  </w:footnote>
  <w:footnote w:id="522">
    <w:p w14:paraId="7441108E">
      <w:pPr>
        <w:pStyle w:val="12"/>
        <w:jc w:val="both"/>
        <w:rPr>
          <w:rFonts w:ascii="宋体" w:hAnsi="宋体"/>
        </w:rPr>
      </w:pPr>
      <w:r>
        <w:rPr>
          <w:rStyle w:val="20"/>
          <w:rFonts w:ascii="宋体" w:hAnsi="宋体" w:eastAsia="宋体"/>
        </w:rPr>
        <w:footnoteRef/>
      </w:r>
      <w:r>
        <w:rPr>
          <w:rFonts w:ascii="宋体" w:hAnsi="宋体"/>
        </w:rPr>
        <w:t>安迪·瑟沃：《终于再见了，“地狱里的十年”》，[美国]《时代》周刊2009年12月7日。</w:t>
      </w:r>
    </w:p>
  </w:footnote>
  <w:footnote w:id="523">
    <w:p w14:paraId="7F990520">
      <w:pPr>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阿纳托尔·卡莱斯基：《我们需要建立新的资本主义模式来与中国抗衡》，[英国]《泰晤士报》网站2010年2月4日。</w:t>
      </w:r>
    </w:p>
  </w:footnote>
  <w:footnote w:id="524">
    <w:p w14:paraId="726CAD2F">
      <w:pPr>
        <w:pStyle w:val="12"/>
        <w:jc w:val="both"/>
        <w:rPr>
          <w:rFonts w:ascii="宋体" w:hAnsi="宋体"/>
        </w:rPr>
      </w:pPr>
      <w:r>
        <w:rPr>
          <w:rStyle w:val="20"/>
          <w:rFonts w:ascii="宋体" w:hAnsi="宋体" w:eastAsia="宋体"/>
        </w:rPr>
        <w:footnoteRef/>
      </w:r>
      <w:r>
        <w:rPr>
          <w:rFonts w:ascii="宋体" w:hAnsi="宋体"/>
        </w:rPr>
        <w:t>马克思：</w:t>
      </w:r>
      <w:r>
        <w:rPr>
          <w:rFonts w:ascii="宋体" w:hAnsi="宋体"/>
          <w:color w:val="000002"/>
        </w:rPr>
        <w:t>《资本论》第1卷，北京：人民出版社，1975年，第829页。</w:t>
      </w:r>
    </w:p>
  </w:footnote>
  <w:footnote w:id="525">
    <w:p w14:paraId="0107958D">
      <w:pPr>
        <w:pStyle w:val="12"/>
        <w:jc w:val="both"/>
        <w:rPr>
          <w:rFonts w:ascii="宋体" w:hAnsi="宋体"/>
        </w:rPr>
      </w:pPr>
      <w:r>
        <w:rPr>
          <w:rStyle w:val="20"/>
          <w:rFonts w:ascii="宋体" w:hAnsi="宋体" w:eastAsia="宋体"/>
        </w:rPr>
        <w:footnoteRef/>
      </w:r>
      <w:r>
        <w:rPr>
          <w:rFonts w:ascii="宋体" w:hAnsi="宋体"/>
        </w:rPr>
        <w:t>约翰·贝拉米·福斯特：《帝国主义世界体系与资本主义发展模式》，载《国外理论动态》2008年第3期。</w:t>
      </w:r>
    </w:p>
  </w:footnote>
  <w:footnote w:id="526">
    <w:p w14:paraId="0D4DED25">
      <w:pPr>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DavidHarvey,TheNewImperialism,Oxford:OxfordUniversityPress,2005,P.141</w:t>
      </w:r>
    </w:p>
  </w:footnote>
  <w:footnote w:id="527">
    <w:p w14:paraId="6BAC381C">
      <w:pPr>
        <w:pStyle w:val="12"/>
        <w:jc w:val="both"/>
        <w:rPr>
          <w:rFonts w:ascii="宋体" w:hAnsi="宋体"/>
        </w:rPr>
      </w:pPr>
      <w:r>
        <w:rPr>
          <w:rStyle w:val="20"/>
          <w:rFonts w:ascii="宋体" w:hAnsi="宋体" w:eastAsia="宋体"/>
        </w:rPr>
        <w:footnoteRef/>
      </w:r>
      <w:r>
        <w:rPr>
          <w:rFonts w:ascii="宋体" w:hAnsi="宋体"/>
        </w:rPr>
        <w:t>尼尔·弗格森：《美国，脆弱的帝国》，[美国]《洛杉矶时报》2010年3月1日。</w:t>
      </w:r>
    </w:p>
  </w:footnote>
  <w:footnote w:id="528">
    <w:p w14:paraId="0C69AE0F">
      <w:pPr>
        <w:pStyle w:val="12"/>
        <w:jc w:val="both"/>
        <w:rPr>
          <w:rFonts w:ascii="宋体" w:hAnsi="宋体"/>
        </w:rPr>
      </w:pPr>
      <w:r>
        <w:rPr>
          <w:rStyle w:val="20"/>
          <w:rFonts w:ascii="宋体" w:hAnsi="宋体" w:eastAsia="宋体"/>
        </w:rPr>
        <w:footnoteRef/>
      </w:r>
      <w:r>
        <w:rPr>
          <w:rFonts w:ascii="宋体" w:hAnsi="宋体"/>
        </w:rPr>
        <w:t>威廉·塔布：《当代世界资本主义体系面临四大危机》，[美]《每月评论》2009年1月号。</w:t>
      </w:r>
    </w:p>
  </w:footnote>
  <w:footnote w:id="529">
    <w:p w14:paraId="035615A9">
      <w:pPr>
        <w:pStyle w:val="12"/>
        <w:jc w:val="both"/>
        <w:rPr>
          <w:rFonts w:ascii="宋体" w:hAnsi="宋体"/>
        </w:rPr>
      </w:pPr>
      <w:r>
        <w:rPr>
          <w:rStyle w:val="20"/>
          <w:rFonts w:ascii="宋体" w:hAnsi="宋体" w:eastAsia="宋体"/>
        </w:rPr>
        <w:footnoteRef/>
      </w:r>
      <w:r>
        <w:rPr>
          <w:rFonts w:ascii="宋体" w:hAnsi="宋体"/>
        </w:rPr>
        <w:t>杨丹辉：《世界经济发展的十大趋势及其影响》，《中国经济时报》2008年1月17日。</w:t>
      </w:r>
    </w:p>
  </w:footnote>
  <w:footnote w:id="530">
    <w:p w14:paraId="2C5CE88F">
      <w:pPr>
        <w:widowControl/>
        <w:autoSpaceDE w:val="0"/>
        <w:autoSpaceDN w:val="0"/>
        <w:adjustRightIn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 xml:space="preserve"> 马克思</w:t>
      </w:r>
      <w:r>
        <w:rPr>
          <w:rFonts w:ascii="宋体" w:hAnsi="宋体" w:eastAsia="宋体" w:cs="A12+SimSun"/>
          <w:sz w:val="18"/>
          <w:szCs w:val="18"/>
        </w:rPr>
        <w:t>：</w:t>
      </w:r>
      <w:r>
        <w:rPr>
          <w:rFonts w:hint="eastAsia" w:ascii="宋体" w:hAnsi="宋体" w:eastAsia="宋体" w:cs="A5+cajcd fnta1"/>
          <w:sz w:val="18"/>
          <w:szCs w:val="18"/>
        </w:rPr>
        <w:t>《</w:t>
      </w:r>
      <w:r>
        <w:rPr>
          <w:rFonts w:hint="eastAsia" w:ascii="宋体" w:hAnsi="宋体" w:eastAsia="宋体"/>
          <w:sz w:val="18"/>
          <w:szCs w:val="18"/>
        </w:rPr>
        <w:t>资本论</w:t>
      </w:r>
      <w:r>
        <w:rPr>
          <w:rFonts w:hint="eastAsia" w:ascii="宋体" w:hAnsi="宋体" w:eastAsia="宋体" w:cs="A5+cajcd fnta1"/>
          <w:sz w:val="18"/>
          <w:szCs w:val="18"/>
        </w:rPr>
        <w:t>》</w:t>
      </w:r>
      <w:r>
        <w:rPr>
          <w:rFonts w:ascii="宋体" w:hAnsi="宋体" w:eastAsia="宋体" w:cs="A12+SimSun"/>
          <w:sz w:val="18"/>
          <w:szCs w:val="18"/>
        </w:rPr>
        <w:t>，</w:t>
      </w:r>
      <w:r>
        <w:rPr>
          <w:rFonts w:hint="eastAsia" w:ascii="宋体" w:hAnsi="宋体" w:eastAsia="宋体"/>
          <w:sz w:val="18"/>
          <w:szCs w:val="18"/>
        </w:rPr>
        <w:t>第</w:t>
      </w:r>
      <w:r>
        <w:rPr>
          <w:rFonts w:ascii="宋体" w:hAnsi="宋体" w:eastAsia="宋体" w:cs="A12+SimSun"/>
          <w:sz w:val="18"/>
          <w:szCs w:val="18"/>
        </w:rPr>
        <w:t>3</w:t>
      </w:r>
      <w:r>
        <w:rPr>
          <w:rFonts w:hint="eastAsia" w:ascii="宋体" w:hAnsi="宋体" w:eastAsia="宋体"/>
          <w:sz w:val="18"/>
          <w:szCs w:val="18"/>
        </w:rPr>
        <w:t>卷</w:t>
      </w:r>
      <w:r>
        <w:rPr>
          <w:rFonts w:ascii="宋体" w:hAnsi="宋体" w:eastAsia="宋体" w:cs="A12+SimSun"/>
          <w:sz w:val="18"/>
          <w:szCs w:val="18"/>
        </w:rPr>
        <w:t>，</w:t>
      </w:r>
      <w:r>
        <w:rPr>
          <w:rFonts w:hint="eastAsia" w:ascii="宋体" w:hAnsi="宋体" w:eastAsia="宋体"/>
          <w:sz w:val="18"/>
          <w:szCs w:val="18"/>
        </w:rPr>
        <w:t>第</w:t>
      </w:r>
      <w:r>
        <w:rPr>
          <w:rFonts w:ascii="宋体" w:hAnsi="宋体" w:eastAsia="宋体" w:cs="A12+SimSun"/>
          <w:sz w:val="18"/>
          <w:szCs w:val="18"/>
        </w:rPr>
        <w:t>728</w:t>
      </w:r>
      <w:r>
        <w:rPr>
          <w:rFonts w:hint="eastAsia" w:ascii="宋体" w:hAnsi="宋体" w:eastAsia="宋体"/>
          <w:sz w:val="18"/>
          <w:szCs w:val="18"/>
        </w:rPr>
        <w:t>页</w:t>
      </w:r>
      <w:r>
        <w:rPr>
          <w:rFonts w:ascii="宋体" w:hAnsi="宋体" w:eastAsia="宋体" w:cs="A12+SimSun"/>
          <w:sz w:val="18"/>
          <w:szCs w:val="18"/>
        </w:rPr>
        <w:t>，</w:t>
      </w:r>
      <w:r>
        <w:rPr>
          <w:rFonts w:hint="eastAsia" w:ascii="宋体" w:hAnsi="宋体" w:eastAsia="宋体"/>
          <w:sz w:val="18"/>
          <w:szCs w:val="18"/>
        </w:rPr>
        <w:t>北京</w:t>
      </w:r>
      <w:r>
        <w:rPr>
          <w:rFonts w:ascii="宋体" w:hAnsi="宋体" w:eastAsia="宋体" w:cs="A12+SimSun"/>
          <w:sz w:val="18"/>
          <w:szCs w:val="18"/>
        </w:rPr>
        <w:t>，</w:t>
      </w:r>
      <w:r>
        <w:rPr>
          <w:rFonts w:hint="eastAsia" w:ascii="宋体" w:hAnsi="宋体" w:eastAsia="宋体"/>
          <w:sz w:val="18"/>
          <w:szCs w:val="18"/>
        </w:rPr>
        <w:t>人民出版社</w:t>
      </w:r>
      <w:r>
        <w:rPr>
          <w:rFonts w:ascii="宋体" w:hAnsi="宋体" w:eastAsia="宋体" w:cs="A12+SimSun"/>
          <w:sz w:val="18"/>
          <w:szCs w:val="18"/>
        </w:rPr>
        <w:t>，2004</w:t>
      </w:r>
      <w:r>
        <w:rPr>
          <w:rFonts w:hint="eastAsia" w:ascii="宋体" w:hAnsi="宋体" w:eastAsia="宋体"/>
          <w:sz w:val="18"/>
          <w:szCs w:val="18"/>
        </w:rPr>
        <w:t>。</w:t>
      </w:r>
    </w:p>
  </w:footnote>
  <w:footnote w:id="531">
    <w:p w14:paraId="0C67DCAD">
      <w:pPr>
        <w:widowControl/>
        <w:autoSpaceDE w:val="0"/>
        <w:autoSpaceDN w:val="0"/>
        <w:adjustRightIn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《马克思恩格斯全集</w:t>
      </w:r>
      <w:r>
        <w:rPr>
          <w:rFonts w:hint="eastAsia" w:ascii="宋体" w:hAnsi="宋体" w:eastAsia="宋体" w:cs="A5+cajcd fnta1"/>
          <w:sz w:val="18"/>
          <w:szCs w:val="18"/>
        </w:rPr>
        <w:t>》</w:t>
      </w:r>
      <w:r>
        <w:rPr>
          <w:rFonts w:ascii="宋体" w:hAnsi="宋体" w:eastAsia="宋体" w:cs="A12+SimSun"/>
          <w:sz w:val="18"/>
          <w:szCs w:val="18"/>
        </w:rPr>
        <w:t>，</w:t>
      </w:r>
      <w:r>
        <w:rPr>
          <w:rFonts w:hint="eastAsia" w:ascii="宋体" w:hAnsi="宋体" w:eastAsia="宋体"/>
          <w:sz w:val="18"/>
          <w:szCs w:val="18"/>
        </w:rPr>
        <w:t>第</w:t>
      </w:r>
      <w:r>
        <w:rPr>
          <w:rFonts w:ascii="宋体" w:hAnsi="宋体" w:eastAsia="宋体" w:cs="A12+SimSun"/>
          <w:sz w:val="18"/>
          <w:szCs w:val="18"/>
        </w:rPr>
        <w:t>18</w:t>
      </w:r>
      <w:r>
        <w:rPr>
          <w:rFonts w:hint="eastAsia" w:ascii="宋体" w:hAnsi="宋体" w:eastAsia="宋体"/>
          <w:sz w:val="18"/>
          <w:szCs w:val="18"/>
        </w:rPr>
        <w:t>卷</w:t>
      </w:r>
      <w:r>
        <w:rPr>
          <w:rFonts w:ascii="宋体" w:hAnsi="宋体" w:eastAsia="宋体" w:cs="A12+SimSun"/>
          <w:sz w:val="18"/>
          <w:szCs w:val="18"/>
        </w:rPr>
        <w:t>，</w:t>
      </w:r>
      <w:r>
        <w:rPr>
          <w:rFonts w:hint="eastAsia" w:ascii="宋体" w:hAnsi="宋体" w:eastAsia="宋体"/>
          <w:sz w:val="18"/>
          <w:szCs w:val="18"/>
        </w:rPr>
        <w:t>第</w:t>
      </w:r>
      <w:r>
        <w:rPr>
          <w:rFonts w:ascii="宋体" w:hAnsi="宋体" w:eastAsia="宋体" w:cs="A12+SimSun"/>
          <w:sz w:val="18"/>
          <w:szCs w:val="18"/>
        </w:rPr>
        <w:t>342</w:t>
      </w:r>
      <w:r>
        <w:rPr>
          <w:rFonts w:hint="eastAsia" w:ascii="宋体" w:hAnsi="宋体" w:eastAsia="宋体"/>
          <w:sz w:val="18"/>
          <w:szCs w:val="18"/>
        </w:rPr>
        <w:t>页</w:t>
      </w:r>
      <w:r>
        <w:rPr>
          <w:rFonts w:ascii="宋体" w:hAnsi="宋体" w:eastAsia="宋体" w:cs="A12+SimSun"/>
          <w:sz w:val="18"/>
          <w:szCs w:val="18"/>
        </w:rPr>
        <w:t>，</w:t>
      </w:r>
      <w:r>
        <w:rPr>
          <w:rFonts w:hint="eastAsia" w:ascii="宋体" w:hAnsi="宋体" w:eastAsia="宋体"/>
          <w:sz w:val="18"/>
          <w:szCs w:val="18"/>
        </w:rPr>
        <w:t>北京</w:t>
      </w:r>
      <w:r>
        <w:rPr>
          <w:rFonts w:ascii="宋体" w:hAnsi="宋体" w:eastAsia="宋体" w:cs="A12+SimSun"/>
          <w:sz w:val="18"/>
          <w:szCs w:val="18"/>
        </w:rPr>
        <w:t>，</w:t>
      </w:r>
      <w:r>
        <w:rPr>
          <w:rFonts w:hint="eastAsia" w:ascii="宋体" w:hAnsi="宋体" w:eastAsia="宋体"/>
          <w:sz w:val="18"/>
          <w:szCs w:val="18"/>
        </w:rPr>
        <w:t>人民出版社</w:t>
      </w:r>
      <w:r>
        <w:rPr>
          <w:rFonts w:ascii="宋体" w:hAnsi="宋体" w:eastAsia="宋体" w:cs="A12+SimSun"/>
          <w:sz w:val="18"/>
          <w:szCs w:val="18"/>
        </w:rPr>
        <w:t>，1964</w:t>
      </w:r>
      <w:r>
        <w:rPr>
          <w:rFonts w:hint="eastAsia" w:ascii="宋体" w:hAnsi="宋体" w:eastAsia="宋体"/>
          <w:sz w:val="18"/>
          <w:szCs w:val="18"/>
        </w:rPr>
        <w:t>。</w:t>
      </w:r>
    </w:p>
  </w:footnote>
  <w:footnote w:id="532">
    <w:p w14:paraId="15AB8C69">
      <w:pPr>
        <w:widowControl/>
        <w:autoSpaceDE w:val="0"/>
        <w:autoSpaceDN w:val="0"/>
        <w:adjustRightInd w:val="0"/>
        <w:rPr>
          <w:rFonts w:ascii="宋体" w:hAnsi="宋体" w:eastAsia="宋体" w:cs="宋体"/>
          <w:sz w:val="18"/>
          <w:szCs w:val="18"/>
        </w:rPr>
      </w:pPr>
      <w:r>
        <w:rPr>
          <w:rFonts w:ascii="宋体" w:hAnsi="宋体" w:eastAsia="宋体"/>
          <w:sz w:val="18"/>
          <w:szCs w:val="18"/>
          <w:vertAlign w:val="superscript"/>
        </w:rPr>
        <w:footnoteRef/>
      </w:r>
      <w:r>
        <w:rPr>
          <w:rFonts w:hint="eastAsia" w:ascii="宋体" w:hAnsi="宋体" w:eastAsia="宋体" w:cs="宋体"/>
          <w:sz w:val="18"/>
          <w:szCs w:val="18"/>
        </w:rPr>
        <w:t xml:space="preserve"> 保罗</w:t>
      </w:r>
      <w:r>
        <w:rPr>
          <w:rFonts w:ascii="宋体" w:hAnsi="宋体" w:eastAsia="宋体" w:cs="A5+cajcd fnta1"/>
          <w:sz w:val="18"/>
          <w:szCs w:val="18"/>
        </w:rPr>
        <w:t>.</w:t>
      </w:r>
      <w:r>
        <w:rPr>
          <w:rFonts w:hint="eastAsia" w:ascii="宋体" w:hAnsi="宋体" w:eastAsia="宋体" w:cs="宋体"/>
          <w:sz w:val="18"/>
          <w:szCs w:val="18"/>
        </w:rPr>
        <w:t>霍肯、埃默里</w:t>
      </w:r>
      <w:r>
        <w:rPr>
          <w:rFonts w:ascii="宋体" w:hAnsi="宋体" w:eastAsia="宋体" w:cs="A5+cajcd fnta1"/>
          <w:sz w:val="18"/>
          <w:szCs w:val="18"/>
        </w:rPr>
        <w:t>.</w:t>
      </w:r>
      <w:r>
        <w:rPr>
          <w:rFonts w:hint="eastAsia" w:ascii="宋体" w:hAnsi="宋体" w:eastAsia="宋体" w:cs="宋体"/>
          <w:sz w:val="18"/>
          <w:szCs w:val="18"/>
        </w:rPr>
        <w:t>洛文斯、亨特</w:t>
      </w:r>
      <w:r>
        <w:rPr>
          <w:rFonts w:ascii="宋体" w:hAnsi="宋体" w:eastAsia="宋体" w:cs="A5+cajcd fnta1"/>
          <w:sz w:val="18"/>
          <w:szCs w:val="18"/>
        </w:rPr>
        <w:t>.</w:t>
      </w:r>
      <w:r>
        <w:rPr>
          <w:rFonts w:hint="eastAsia" w:ascii="宋体" w:hAnsi="宋体" w:eastAsia="宋体" w:cs="宋体"/>
          <w:sz w:val="18"/>
          <w:szCs w:val="18"/>
        </w:rPr>
        <w:t>洛文斯</w:t>
      </w:r>
      <w:r>
        <w:rPr>
          <w:rFonts w:ascii="宋体" w:hAnsi="宋体" w:eastAsia="宋体" w:cs="A3+CAJ FNT00"/>
          <w:sz w:val="18"/>
          <w:szCs w:val="18"/>
        </w:rPr>
        <w:t>：</w:t>
      </w:r>
      <w:r>
        <w:rPr>
          <w:rFonts w:hint="eastAsia" w:ascii="宋体" w:hAnsi="宋体" w:eastAsia="宋体" w:cs="A5+cajcd fnta1"/>
          <w:sz w:val="18"/>
          <w:szCs w:val="18"/>
        </w:rPr>
        <w:t>《</w:t>
      </w:r>
      <w:r>
        <w:rPr>
          <w:rFonts w:hint="eastAsia" w:ascii="宋体" w:hAnsi="宋体" w:eastAsia="宋体" w:cs="宋体"/>
          <w:sz w:val="18"/>
          <w:szCs w:val="18"/>
        </w:rPr>
        <w:t>自然资本论</w:t>
      </w:r>
      <w:r>
        <w:rPr>
          <w:rFonts w:hint="eastAsia" w:ascii="宋体" w:hAnsi="宋体" w:eastAsia="宋体" w:cs="A5+cajcd fnta1"/>
          <w:sz w:val="18"/>
          <w:szCs w:val="18"/>
        </w:rPr>
        <w:t>——</w:t>
      </w:r>
      <w:r>
        <w:rPr>
          <w:rFonts w:hint="eastAsia" w:ascii="宋体" w:hAnsi="宋体" w:eastAsia="宋体" w:cs="宋体"/>
          <w:sz w:val="18"/>
          <w:szCs w:val="18"/>
        </w:rPr>
        <w:t>关于下一次工业革命</w:t>
      </w:r>
      <w:r>
        <w:rPr>
          <w:rFonts w:hint="eastAsia" w:ascii="宋体" w:hAnsi="宋体" w:eastAsia="宋体" w:cs="A5+cajcd fnta1"/>
          <w:sz w:val="18"/>
          <w:szCs w:val="18"/>
        </w:rPr>
        <w:t>》</w:t>
      </w:r>
      <w:r>
        <w:rPr>
          <w:rFonts w:ascii="宋体" w:hAnsi="宋体" w:eastAsia="宋体" w:cs="A3+CAJ FNT00"/>
          <w:sz w:val="18"/>
          <w:szCs w:val="18"/>
        </w:rPr>
        <w:t>，</w:t>
      </w:r>
      <w:r>
        <w:rPr>
          <w:rFonts w:hint="eastAsia" w:ascii="宋体" w:hAnsi="宋体" w:eastAsia="宋体" w:cs="宋体"/>
          <w:sz w:val="18"/>
          <w:szCs w:val="18"/>
        </w:rPr>
        <w:t>王乃粒、诸大建、龚义台译</w:t>
      </w:r>
      <w:r>
        <w:rPr>
          <w:rFonts w:ascii="宋体" w:hAnsi="宋体" w:eastAsia="宋体" w:cs="A3+CAJ FNT00"/>
          <w:sz w:val="18"/>
          <w:szCs w:val="18"/>
        </w:rPr>
        <w:t>，</w:t>
      </w:r>
      <w:r>
        <w:rPr>
          <w:rFonts w:hint="eastAsia" w:ascii="宋体" w:hAnsi="宋体" w:eastAsia="宋体" w:cs="宋体"/>
          <w:sz w:val="18"/>
          <w:szCs w:val="18"/>
        </w:rPr>
        <w:t>上海科学普及出版社</w:t>
      </w:r>
      <w:r>
        <w:rPr>
          <w:rFonts w:ascii="宋体" w:hAnsi="宋体" w:eastAsia="宋体" w:cs="A3+CAJ FNT00"/>
          <w:sz w:val="18"/>
          <w:szCs w:val="18"/>
        </w:rPr>
        <w:t>2000</w:t>
      </w:r>
      <w:r>
        <w:rPr>
          <w:rFonts w:hint="eastAsia" w:ascii="宋体" w:hAnsi="宋体" w:eastAsia="宋体" w:cs="A3+CAJ FNT00"/>
          <w:sz w:val="18"/>
          <w:szCs w:val="18"/>
        </w:rPr>
        <w:t>年版</w:t>
      </w:r>
      <w:r>
        <w:rPr>
          <w:rFonts w:ascii="宋体" w:hAnsi="宋体" w:eastAsia="宋体" w:cs="A3+CAJ FNT00"/>
          <w:sz w:val="18"/>
          <w:szCs w:val="18"/>
        </w:rPr>
        <w:t>，</w:t>
      </w:r>
      <w:r>
        <w:rPr>
          <w:rFonts w:hint="eastAsia" w:ascii="宋体" w:hAnsi="宋体" w:eastAsia="宋体" w:cs="宋体"/>
          <w:sz w:val="18"/>
          <w:szCs w:val="18"/>
        </w:rPr>
        <w:t>第</w:t>
      </w:r>
      <w:r>
        <w:rPr>
          <w:rFonts w:ascii="宋体" w:hAnsi="宋体" w:eastAsia="宋体" w:cs="A3+CAJ FNT00"/>
          <w:sz w:val="18"/>
          <w:szCs w:val="18"/>
        </w:rPr>
        <w:t>5</w:t>
      </w:r>
      <w:r>
        <w:rPr>
          <w:rFonts w:hint="eastAsia" w:ascii="宋体" w:hAnsi="宋体" w:eastAsia="宋体" w:cs="宋体"/>
          <w:sz w:val="18"/>
          <w:szCs w:val="18"/>
        </w:rPr>
        <w:t>页。</w:t>
      </w:r>
    </w:p>
  </w:footnote>
  <w:footnote w:id="533">
    <w:p w14:paraId="7EE35C31">
      <w:pPr>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任仲平：《决定现代化命运的重大抉择——论加快经济发展方式转变》，《人民日报》2010年3月2日。</w:t>
      </w:r>
    </w:p>
  </w:footnote>
  <w:footnote w:id="534">
    <w:p w14:paraId="1C67EA77">
      <w:pPr>
        <w:pStyle w:val="12"/>
        <w:jc w:val="both"/>
        <w:rPr>
          <w:rFonts w:ascii="宋体" w:hAnsi="宋体"/>
        </w:rPr>
      </w:pPr>
      <w:r>
        <w:rPr>
          <w:rStyle w:val="20"/>
          <w:rFonts w:ascii="宋体" w:hAnsi="宋体" w:eastAsia="宋体"/>
        </w:rPr>
        <w:footnoteRef/>
      </w:r>
      <w:r>
        <w:rPr>
          <w:rFonts w:ascii="宋体" w:hAnsi="宋体"/>
        </w:rPr>
        <w:t xml:space="preserve"> 李向阳：《后危机时代全球经济面临低速增长》，《中国社会科学报》2009年11月26日。</w:t>
      </w:r>
    </w:p>
  </w:footnote>
  <w:footnote w:id="535">
    <w:p w14:paraId="53F7BAC5">
      <w:pPr>
        <w:pStyle w:val="12"/>
        <w:jc w:val="both"/>
        <w:rPr>
          <w:rFonts w:ascii="宋体" w:hAnsi="宋体"/>
        </w:rPr>
      </w:pPr>
      <w:r>
        <w:rPr>
          <w:rStyle w:val="20"/>
          <w:rFonts w:ascii="宋体" w:hAnsi="宋体" w:eastAsia="宋体"/>
        </w:rPr>
        <w:footnoteRef/>
      </w:r>
      <w:r>
        <w:rPr>
          <w:rFonts w:ascii="宋体" w:hAnsi="宋体"/>
        </w:rPr>
        <w:t xml:space="preserve"> 王伟光：《运用马克思主义立场、观点和方法，科学认识美国金融危机的本质和原因》，载《马克思主义研究》2009年第2期。</w:t>
      </w:r>
    </w:p>
  </w:footnote>
  <w:footnote w:id="536">
    <w:p w14:paraId="63735841">
      <w:pPr>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《马克思恩格斯全集》第23卷，北京：人民出版社，1972年，第829页。</w:t>
      </w:r>
    </w:p>
  </w:footnote>
  <w:footnote w:id="537">
    <w:p w14:paraId="50110837">
      <w:pPr>
        <w:pStyle w:val="12"/>
        <w:jc w:val="both"/>
        <w:rPr>
          <w:rFonts w:ascii="宋体" w:hAnsi="宋体"/>
        </w:rPr>
      </w:pPr>
      <w:r>
        <w:rPr>
          <w:rStyle w:val="20"/>
          <w:rFonts w:ascii="宋体" w:hAnsi="宋体" w:eastAsia="宋体"/>
        </w:rPr>
        <w:footnoteRef/>
      </w:r>
      <w:r>
        <w:rPr>
          <w:rFonts w:ascii="宋体" w:hAnsi="宋体"/>
        </w:rPr>
        <w:t xml:space="preserve"> 《邓小平文选》第3卷，北京：人民出版社，1993年，第240页</w:t>
      </w:r>
    </w:p>
  </w:footnote>
  <w:footnote w:id="538">
    <w:p w14:paraId="1114D661">
      <w:pPr>
        <w:pStyle w:val="12"/>
        <w:jc w:val="both"/>
        <w:rPr>
          <w:rFonts w:ascii="宋体" w:hAnsi="宋体"/>
        </w:rPr>
      </w:pPr>
      <w:r>
        <w:rPr>
          <w:rStyle w:val="20"/>
          <w:rFonts w:ascii="宋体" w:hAnsi="宋体" w:eastAsia="宋体"/>
        </w:rPr>
        <w:footnoteRef/>
      </w:r>
      <w:r>
        <w:rPr>
          <w:rFonts w:ascii="宋体" w:hAnsi="宋体"/>
        </w:rPr>
        <w:t xml:space="preserve"> 刘云山：《中国应对国际金融危机的实践和启示》，载《求是》2010年第1期。</w:t>
      </w:r>
    </w:p>
  </w:footnote>
  <w:footnote w:id="539">
    <w:p w14:paraId="6CC89834">
      <w:pPr>
        <w:pStyle w:val="12"/>
        <w:jc w:val="both"/>
        <w:rPr>
          <w:rFonts w:ascii="宋体" w:hAnsi="宋体"/>
        </w:rPr>
      </w:pPr>
      <w:r>
        <w:rPr>
          <w:rStyle w:val="20"/>
          <w:rFonts w:ascii="宋体" w:hAnsi="宋体" w:eastAsia="宋体"/>
        </w:rPr>
        <w:footnoteRef/>
      </w:r>
      <w:r>
        <w:rPr>
          <w:rFonts w:ascii="宋体" w:hAnsi="宋体"/>
        </w:rPr>
        <w:t xml:space="preserve"> </w:t>
      </w:r>
      <w:r>
        <w:rPr>
          <w:rFonts w:ascii="宋体" w:hAnsi="宋体"/>
          <w:spacing w:val="-14"/>
        </w:rPr>
        <w:t>程恩富、何干强：《坚持公有制为主体、多种所有制经济共同发展的基本经济制度》，《光明日报》</w:t>
      </w:r>
      <w:r>
        <w:rPr>
          <w:rFonts w:ascii="宋体" w:hAnsi="宋体"/>
        </w:rPr>
        <w:t>2009年4月5</w:t>
      </w:r>
      <w:r>
        <w:rPr>
          <w:rFonts w:ascii="宋体" w:hAnsi="宋体"/>
          <w:spacing w:val="-7"/>
        </w:rPr>
        <w:t>日。</w:t>
      </w:r>
    </w:p>
  </w:footnote>
  <w:footnote w:id="540">
    <w:p w14:paraId="46CF0ECB">
      <w:pPr>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程恩富：《中国模式的经济体制特征和内涵》，载《经济学动态》2009年第12期。</w:t>
      </w:r>
    </w:p>
  </w:footnote>
  <w:footnote w:id="541">
    <w:p w14:paraId="5E1FCA78">
      <w:pPr>
        <w:pStyle w:val="12"/>
        <w:jc w:val="both"/>
        <w:rPr>
          <w:rFonts w:ascii="宋体" w:hAnsi="宋体"/>
        </w:rPr>
      </w:pPr>
      <w:r>
        <w:rPr>
          <w:rStyle w:val="20"/>
          <w:rFonts w:ascii="宋体" w:hAnsi="宋体" w:eastAsia="宋体"/>
        </w:rPr>
        <w:footnoteRef/>
      </w:r>
      <w:r>
        <w:rPr>
          <w:rFonts w:ascii="宋体" w:hAnsi="宋体"/>
        </w:rPr>
        <w:t xml:space="preserve"> 胡乐明、刘志明、张建刚：《国家资本主义与“中国模式”》，载《经济研究》2009年第11期。</w:t>
      </w:r>
    </w:p>
  </w:footnote>
  <w:footnote w:id="542">
    <w:p w14:paraId="1088F293">
      <w:pPr>
        <w:pStyle w:val="12"/>
        <w:jc w:val="both"/>
        <w:rPr>
          <w:rFonts w:ascii="宋体" w:hAnsi="宋体"/>
        </w:rPr>
      </w:pPr>
      <w:r>
        <w:rPr>
          <w:rStyle w:val="20"/>
          <w:rFonts w:ascii="宋体" w:hAnsi="宋体" w:eastAsia="宋体"/>
        </w:rPr>
        <w:footnoteRef/>
      </w:r>
      <w:r>
        <w:rPr>
          <w:rFonts w:ascii="宋体" w:hAnsi="宋体"/>
        </w:rPr>
        <w:t xml:space="preserve"> 任仲平：《决定现代化命运的重大抉择——论加快经济发展方式转变》，《人民日报》2010年3月2日。</w:t>
      </w:r>
    </w:p>
  </w:footnote>
  <w:footnote w:id="543">
    <w:p w14:paraId="4DA44874">
      <w:pPr>
        <w:pStyle w:val="12"/>
        <w:jc w:val="both"/>
        <w:rPr>
          <w:rFonts w:ascii="宋体" w:hAnsi="宋体"/>
        </w:rPr>
      </w:pPr>
      <w:r>
        <w:rPr>
          <w:rStyle w:val="20"/>
          <w:rFonts w:ascii="宋体" w:hAnsi="宋体" w:eastAsia="宋体"/>
        </w:rPr>
        <w:footnoteRef/>
      </w:r>
      <w:r>
        <w:rPr>
          <w:rFonts w:ascii="宋体" w:hAnsi="宋体"/>
        </w:rPr>
        <w:t xml:space="preserve"> 程恩富：《“五个提升”促对外经济发展方式转变》，载《中国经济周刊》2008年第11期。</w:t>
      </w:r>
    </w:p>
  </w:footnote>
  <w:footnote w:id="544">
    <w:p w14:paraId="72E2FC41">
      <w:pPr>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安毅、常清、付文阁：《历次国际金融危机与世界经济格局变化探析》，载《经济社会体制比较》2009年第5期。</w:t>
      </w:r>
    </w:p>
  </w:footnote>
  <w:footnote w:id="545">
    <w:p w14:paraId="1B92FFB8">
      <w:pPr>
        <w:pStyle w:val="12"/>
        <w:jc w:val="both"/>
        <w:rPr>
          <w:rFonts w:ascii="宋体" w:hAnsi="宋体"/>
        </w:rPr>
      </w:pPr>
      <w:r>
        <w:rPr>
          <w:rFonts w:ascii="宋体" w:hAnsi="宋体"/>
          <w:vertAlign w:val="superscript"/>
        </w:rPr>
        <w:footnoteRef/>
      </w:r>
      <w:r>
        <w:rPr>
          <w:rFonts w:hint="eastAsia" w:ascii="宋体" w:hAnsi="宋体"/>
        </w:rPr>
        <w:t>王伟光：《运用马克思主义立场、观点和方法，科学认识美国金融危机的本质和原因》，《马克思主义研究》</w:t>
      </w:r>
      <w:r>
        <w:rPr>
          <w:rFonts w:ascii="宋体" w:hAnsi="宋体"/>
        </w:rPr>
        <w:t>2009</w:t>
      </w:r>
      <w:r>
        <w:rPr>
          <w:rFonts w:hint="eastAsia" w:ascii="宋体" w:hAnsi="宋体"/>
        </w:rPr>
        <w:t>年第</w:t>
      </w:r>
      <w:r>
        <w:rPr>
          <w:rFonts w:ascii="宋体" w:hAnsi="宋体"/>
        </w:rPr>
        <w:t>2</w:t>
      </w:r>
      <w:r>
        <w:rPr>
          <w:rFonts w:hint="eastAsia" w:ascii="宋体" w:hAnsi="宋体"/>
        </w:rPr>
        <w:t>期。</w:t>
      </w:r>
    </w:p>
  </w:footnote>
  <w:footnote w:id="546">
    <w:p w14:paraId="30D755EB">
      <w:pPr>
        <w:pStyle w:val="12"/>
        <w:jc w:val="both"/>
        <w:rPr>
          <w:rFonts w:ascii="宋体" w:hAnsi="宋体"/>
        </w:rPr>
      </w:pPr>
      <w:r>
        <w:rPr>
          <w:rFonts w:ascii="宋体" w:hAnsi="宋体"/>
          <w:vertAlign w:val="superscript"/>
        </w:rPr>
        <w:footnoteRef/>
      </w:r>
      <w:r>
        <w:rPr>
          <w:rFonts w:ascii="宋体" w:hAnsi="宋体"/>
        </w:rPr>
        <w:t xml:space="preserve"> </w:t>
      </w:r>
      <w:r>
        <w:rPr>
          <w:rFonts w:hint="eastAsia" w:ascii="宋体" w:hAnsi="宋体"/>
        </w:rPr>
        <w:t>《马克思恩格斯全集》第</w:t>
      </w:r>
      <w:r>
        <w:rPr>
          <w:rFonts w:ascii="宋体" w:hAnsi="宋体"/>
        </w:rPr>
        <w:t>26</w:t>
      </w:r>
      <w:r>
        <w:rPr>
          <w:rFonts w:hint="eastAsia" w:ascii="宋体" w:hAnsi="宋体"/>
        </w:rPr>
        <w:t>卷（Ⅱ），人民出版社</w:t>
      </w:r>
      <w:r>
        <w:rPr>
          <w:rFonts w:ascii="宋体" w:hAnsi="宋体"/>
        </w:rPr>
        <w:t>1973</w:t>
      </w:r>
      <w:r>
        <w:rPr>
          <w:rFonts w:hint="eastAsia" w:ascii="宋体" w:hAnsi="宋体"/>
        </w:rPr>
        <w:t>年，第</w:t>
      </w:r>
      <w:r>
        <w:rPr>
          <w:rFonts w:ascii="宋体" w:hAnsi="宋体"/>
        </w:rPr>
        <w:t>587</w:t>
      </w:r>
      <w:r>
        <w:rPr>
          <w:rFonts w:hint="eastAsia" w:ascii="宋体" w:hAnsi="宋体"/>
        </w:rPr>
        <w:t>页。</w:t>
      </w:r>
    </w:p>
  </w:footnote>
  <w:footnote w:id="547">
    <w:p w14:paraId="473CF598">
      <w:pPr>
        <w:pStyle w:val="12"/>
        <w:jc w:val="both"/>
        <w:rPr>
          <w:rFonts w:ascii="宋体" w:hAnsi="宋体"/>
        </w:rPr>
      </w:pPr>
      <w:r>
        <w:rPr>
          <w:rFonts w:ascii="宋体" w:hAnsi="宋体"/>
          <w:vertAlign w:val="superscript"/>
        </w:rPr>
        <w:footnoteRef/>
      </w:r>
      <w:r>
        <w:rPr>
          <w:rFonts w:ascii="宋体" w:hAnsi="宋体"/>
        </w:rPr>
        <w:t xml:space="preserve"> </w:t>
      </w:r>
      <w:r>
        <w:rPr>
          <w:rFonts w:hint="eastAsia" w:ascii="宋体" w:hAnsi="宋体"/>
        </w:rPr>
        <w:t>《马克思恩格斯全集》第</w:t>
      </w:r>
      <w:r>
        <w:rPr>
          <w:rFonts w:ascii="宋体" w:hAnsi="宋体"/>
        </w:rPr>
        <w:t>26</w:t>
      </w:r>
      <w:r>
        <w:rPr>
          <w:rFonts w:hint="eastAsia" w:ascii="宋体" w:hAnsi="宋体"/>
        </w:rPr>
        <w:t>卷（Ⅱ），人民出版社</w:t>
      </w:r>
      <w:r>
        <w:rPr>
          <w:rFonts w:ascii="宋体" w:hAnsi="宋体"/>
        </w:rPr>
        <w:t>1973</w:t>
      </w:r>
      <w:r>
        <w:rPr>
          <w:rFonts w:hint="eastAsia" w:ascii="宋体" w:hAnsi="宋体"/>
        </w:rPr>
        <w:t>年，第</w:t>
      </w:r>
      <w:r>
        <w:rPr>
          <w:rFonts w:ascii="宋体" w:hAnsi="宋体"/>
        </w:rPr>
        <w:t>587</w:t>
      </w:r>
      <w:r>
        <w:rPr>
          <w:rFonts w:hint="eastAsia" w:ascii="宋体" w:hAnsi="宋体"/>
        </w:rPr>
        <w:t>页。</w:t>
      </w:r>
    </w:p>
  </w:footnote>
  <w:footnote w:id="548">
    <w:p w14:paraId="2A752A77">
      <w:pPr>
        <w:pStyle w:val="12"/>
        <w:jc w:val="both"/>
        <w:rPr>
          <w:rFonts w:ascii="宋体" w:hAnsi="宋体"/>
        </w:rPr>
      </w:pPr>
      <w:r>
        <w:rPr>
          <w:rFonts w:ascii="宋体" w:hAnsi="宋体"/>
          <w:vertAlign w:val="superscript"/>
        </w:rPr>
        <w:footnoteRef/>
      </w:r>
      <w:r>
        <w:rPr>
          <w:rFonts w:ascii="宋体" w:hAnsi="宋体"/>
        </w:rPr>
        <w:t xml:space="preserve"> </w:t>
      </w:r>
      <w:r>
        <w:rPr>
          <w:rFonts w:hint="eastAsia" w:ascii="宋体" w:hAnsi="宋体"/>
        </w:rPr>
        <w:t>程恩富：《当前西方金融和经济危机与全球治理》，《管理学刊》</w:t>
      </w:r>
      <w:r>
        <w:rPr>
          <w:rFonts w:ascii="宋体" w:hAnsi="宋体"/>
        </w:rPr>
        <w:t>2009</w:t>
      </w:r>
      <w:r>
        <w:rPr>
          <w:rFonts w:hint="eastAsia" w:ascii="宋体" w:hAnsi="宋体"/>
        </w:rPr>
        <w:t>年第</w:t>
      </w:r>
      <w:r>
        <w:rPr>
          <w:rFonts w:ascii="宋体" w:hAnsi="宋体"/>
        </w:rPr>
        <w:t>1</w:t>
      </w:r>
      <w:r>
        <w:rPr>
          <w:rFonts w:hint="eastAsia" w:ascii="宋体" w:hAnsi="宋体"/>
        </w:rPr>
        <w:t>期。</w:t>
      </w:r>
    </w:p>
  </w:footnote>
  <w:footnote w:id="549">
    <w:p w14:paraId="59B9E7BC">
      <w:pPr>
        <w:pStyle w:val="12"/>
        <w:snapToGrid/>
        <w:jc w:val="both"/>
        <w:rPr>
          <w:rFonts w:ascii="宋体" w:hAnsi="宋体"/>
        </w:rPr>
      </w:pPr>
      <w:r>
        <w:rPr>
          <w:rFonts w:ascii="宋体" w:hAnsi="宋体"/>
          <w:vertAlign w:val="superscript"/>
        </w:rPr>
        <w:footnoteRef/>
      </w:r>
      <w:r>
        <w:rPr>
          <w:rFonts w:ascii="宋体" w:hAnsi="宋体"/>
        </w:rPr>
        <w:t xml:space="preserve"> </w:t>
      </w:r>
      <w:r>
        <w:rPr>
          <w:rFonts w:hint="eastAsia" w:ascii="宋体" w:hAnsi="宋体"/>
        </w:rPr>
        <w:t>何秉孟：《美国金融危机与国际金融垄断资本主义》，《世界社会主义研究》</w:t>
      </w:r>
      <w:r>
        <w:rPr>
          <w:rFonts w:ascii="宋体" w:hAnsi="宋体"/>
        </w:rPr>
        <w:t>2009</w:t>
      </w:r>
      <w:r>
        <w:rPr>
          <w:rFonts w:hint="eastAsia" w:ascii="宋体" w:hAnsi="宋体"/>
        </w:rPr>
        <w:t>年第</w:t>
      </w:r>
      <w:r>
        <w:rPr>
          <w:rFonts w:ascii="宋体" w:hAnsi="宋体"/>
        </w:rPr>
        <w:t>12</w:t>
      </w:r>
      <w:r>
        <w:rPr>
          <w:rFonts w:hint="eastAsia" w:ascii="宋体" w:hAnsi="宋体"/>
        </w:rPr>
        <w:t>期。</w:t>
      </w:r>
    </w:p>
  </w:footnote>
  <w:footnote w:id="550">
    <w:p w14:paraId="14AC0934">
      <w:pPr>
        <w:pStyle w:val="12"/>
        <w:snapToGrid/>
        <w:jc w:val="both"/>
        <w:rPr>
          <w:rFonts w:ascii="宋体" w:hAnsi="宋体"/>
        </w:rPr>
      </w:pPr>
      <w:r>
        <w:rPr>
          <w:rFonts w:ascii="宋体" w:hAnsi="宋体"/>
          <w:vertAlign w:val="superscript"/>
        </w:rPr>
        <w:footnoteRef/>
      </w:r>
      <w:r>
        <w:rPr>
          <w:rFonts w:ascii="宋体" w:hAnsi="宋体"/>
        </w:rPr>
        <w:t xml:space="preserve"> </w:t>
      </w:r>
      <w:r>
        <w:rPr>
          <w:rFonts w:hint="eastAsia" w:ascii="宋体" w:hAnsi="宋体"/>
        </w:rPr>
        <w:t>转引自朱民等著：《改变未来的金融危机》，中国金融出版社</w:t>
      </w:r>
      <w:r>
        <w:rPr>
          <w:rFonts w:ascii="宋体" w:hAnsi="宋体"/>
        </w:rPr>
        <w:t>2009</w:t>
      </w:r>
      <w:r>
        <w:rPr>
          <w:rFonts w:hint="eastAsia" w:ascii="宋体" w:hAnsi="宋体"/>
        </w:rPr>
        <w:t>年，第</w:t>
      </w:r>
      <w:r>
        <w:rPr>
          <w:rFonts w:ascii="宋体" w:hAnsi="宋体"/>
        </w:rPr>
        <w:t>189</w:t>
      </w:r>
      <w:r>
        <w:rPr>
          <w:rFonts w:hint="eastAsia" w:ascii="宋体" w:hAnsi="宋体"/>
        </w:rPr>
        <w:t>页。</w:t>
      </w:r>
    </w:p>
  </w:footnote>
  <w:footnote w:id="551">
    <w:p w14:paraId="74D9649B">
      <w:pPr>
        <w:pStyle w:val="12"/>
        <w:snapToGrid/>
        <w:jc w:val="both"/>
        <w:rPr>
          <w:rFonts w:ascii="宋体" w:hAnsi="宋体"/>
        </w:rPr>
      </w:pPr>
      <w:r>
        <w:rPr>
          <w:rFonts w:ascii="宋体" w:hAnsi="宋体"/>
          <w:vertAlign w:val="superscript"/>
        </w:rPr>
        <w:footnoteRef/>
      </w:r>
      <w:r>
        <w:rPr>
          <w:rFonts w:ascii="宋体" w:hAnsi="宋体"/>
        </w:rPr>
        <w:t xml:space="preserve"> </w:t>
      </w:r>
      <w:r>
        <w:rPr>
          <w:rFonts w:hint="eastAsia" w:ascii="宋体" w:hAnsi="宋体"/>
        </w:rPr>
        <w:t>李慎明：《当前资本主义经济危机的成因、前景及应对建议》，见李慎明主编：《美元霸权与经济危机——今天对今天经济危机的剖析》（上），社会科学文献出版社</w:t>
      </w:r>
      <w:r>
        <w:rPr>
          <w:rFonts w:ascii="宋体" w:hAnsi="宋体"/>
        </w:rPr>
        <w:t>2009</w:t>
      </w:r>
      <w:r>
        <w:rPr>
          <w:rFonts w:hint="eastAsia" w:ascii="宋体" w:hAnsi="宋体"/>
        </w:rPr>
        <w:t>年，第</w:t>
      </w:r>
      <w:r>
        <w:rPr>
          <w:rFonts w:ascii="宋体" w:hAnsi="宋体"/>
        </w:rPr>
        <w:t>37</w:t>
      </w:r>
      <w:r>
        <w:rPr>
          <w:rFonts w:hint="eastAsia" w:ascii="宋体" w:hAnsi="宋体"/>
        </w:rPr>
        <w:t>页。</w:t>
      </w:r>
    </w:p>
  </w:footnote>
  <w:footnote w:id="552">
    <w:p w14:paraId="6959F1F2">
      <w:pPr>
        <w:pStyle w:val="12"/>
        <w:jc w:val="both"/>
        <w:rPr>
          <w:rFonts w:ascii="宋体" w:hAnsi="宋体"/>
        </w:rPr>
      </w:pPr>
      <w:r>
        <w:rPr>
          <w:rFonts w:ascii="宋体" w:hAnsi="宋体"/>
          <w:vertAlign w:val="superscript"/>
        </w:rPr>
        <w:footnoteRef/>
      </w:r>
      <w:r>
        <w:rPr>
          <w:rFonts w:ascii="宋体" w:hAnsi="宋体"/>
        </w:rPr>
        <w:t xml:space="preserve"> </w:t>
      </w:r>
      <w:r>
        <w:rPr>
          <w:rFonts w:hint="eastAsia" w:ascii="宋体" w:hAnsi="宋体"/>
        </w:rPr>
        <w:t>王伟光：《运用马克思主义立场、观点和方法，科学认识美国金融危机的本质和原因》，《马克思主义研究》</w:t>
      </w:r>
      <w:r>
        <w:rPr>
          <w:rFonts w:ascii="宋体" w:hAnsi="宋体"/>
        </w:rPr>
        <w:t>2009</w:t>
      </w:r>
      <w:r>
        <w:rPr>
          <w:rFonts w:hint="eastAsia" w:ascii="宋体" w:hAnsi="宋体"/>
        </w:rPr>
        <w:t>年第</w:t>
      </w:r>
      <w:r>
        <w:rPr>
          <w:rFonts w:ascii="宋体" w:hAnsi="宋体"/>
        </w:rPr>
        <w:t>2</w:t>
      </w:r>
      <w:r>
        <w:rPr>
          <w:rFonts w:hint="eastAsia" w:ascii="宋体" w:hAnsi="宋体"/>
        </w:rPr>
        <w:t>期。</w:t>
      </w:r>
    </w:p>
  </w:footnote>
  <w:footnote w:id="553">
    <w:p w14:paraId="3B5CADD1">
      <w:pPr>
        <w:pStyle w:val="12"/>
        <w:jc w:val="both"/>
        <w:rPr>
          <w:rFonts w:ascii="宋体" w:hAnsi="宋体"/>
        </w:rPr>
      </w:pPr>
      <w:r>
        <w:rPr>
          <w:rFonts w:ascii="宋体" w:hAnsi="宋体"/>
          <w:vertAlign w:val="superscript"/>
        </w:rPr>
        <w:footnoteRef/>
      </w:r>
      <w:r>
        <w:rPr>
          <w:rFonts w:ascii="宋体" w:hAnsi="宋体"/>
        </w:rPr>
        <w:t xml:space="preserve"> </w:t>
      </w:r>
      <w:r>
        <w:rPr>
          <w:rFonts w:hint="eastAsia" w:ascii="宋体" w:hAnsi="宋体"/>
        </w:rPr>
        <w:t>《马克思恩格斯全集》第</w:t>
      </w:r>
      <w:r>
        <w:rPr>
          <w:rFonts w:ascii="宋体" w:hAnsi="宋体"/>
        </w:rPr>
        <w:t>23</w:t>
      </w:r>
      <w:r>
        <w:rPr>
          <w:rFonts w:hint="eastAsia" w:ascii="宋体" w:hAnsi="宋体"/>
        </w:rPr>
        <w:t>卷，人民出版社</w:t>
      </w:r>
      <w:r>
        <w:rPr>
          <w:rFonts w:ascii="宋体" w:hAnsi="宋体"/>
        </w:rPr>
        <w:t>1972</w:t>
      </w:r>
      <w:r>
        <w:rPr>
          <w:rFonts w:hint="eastAsia" w:ascii="宋体" w:hAnsi="宋体"/>
        </w:rPr>
        <w:t>年版，第</w:t>
      </w:r>
      <w:r>
        <w:rPr>
          <w:rFonts w:ascii="宋体" w:hAnsi="宋体"/>
        </w:rPr>
        <w:t>829</w:t>
      </w:r>
      <w:r>
        <w:rPr>
          <w:rFonts w:hint="eastAsia" w:ascii="宋体" w:hAnsi="宋体"/>
        </w:rPr>
        <w:t>页。</w:t>
      </w:r>
    </w:p>
  </w:footnote>
  <w:footnote w:id="554">
    <w:p w14:paraId="2B646342">
      <w:pPr>
        <w:pStyle w:val="27"/>
        <w:tabs>
          <w:tab w:val="left" w:pos="622"/>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《马克思恩格斯选集》第</w:t>
      </w:r>
      <w:r>
        <w:rPr>
          <w:b/>
          <w:bCs/>
          <w:color w:val="000000"/>
          <w:sz w:val="18"/>
          <w:szCs w:val="18"/>
        </w:rPr>
        <w:t>3</w:t>
      </w:r>
      <w:r>
        <w:rPr>
          <w:color w:val="000000"/>
          <w:sz w:val="18"/>
          <w:szCs w:val="18"/>
        </w:rPr>
        <w:t>卷，人民出版社，</w:t>
      </w:r>
      <w:r>
        <w:rPr>
          <w:b/>
          <w:bCs/>
          <w:color w:val="000000"/>
          <w:sz w:val="18"/>
          <w:szCs w:val="18"/>
        </w:rPr>
        <w:t>1995,</w:t>
      </w:r>
      <w:r>
        <w:rPr>
          <w:color w:val="000000"/>
          <w:sz w:val="18"/>
          <w:szCs w:val="18"/>
        </w:rPr>
        <w:t>第</w:t>
      </w:r>
      <w:r>
        <w:rPr>
          <w:b/>
          <w:bCs/>
          <w:color w:val="000000"/>
          <w:sz w:val="18"/>
          <w:szCs w:val="18"/>
          <w:lang w:val="en-US" w:eastAsia="zh-CN" w:bidi="en-US"/>
        </w:rPr>
        <w:t>384 -385</w:t>
      </w:r>
      <w:r>
        <w:rPr>
          <w:color w:val="000000"/>
          <w:sz w:val="18"/>
          <w:szCs w:val="18"/>
        </w:rPr>
        <w:t>页。</w:t>
      </w:r>
    </w:p>
  </w:footnote>
  <w:footnote w:id="555">
    <w:p w14:paraId="126AC620">
      <w:pPr>
        <w:pStyle w:val="27"/>
        <w:tabs>
          <w:tab w:val="left" w:pos="622"/>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赵启正、奈斯比特：《对话中国模式》，新世界出版社，</w:t>
      </w:r>
      <w:r>
        <w:rPr>
          <w:b/>
          <w:bCs/>
          <w:color w:val="000000"/>
          <w:sz w:val="18"/>
          <w:szCs w:val="18"/>
        </w:rPr>
        <w:t>2010,</w:t>
      </w:r>
      <w:r>
        <w:rPr>
          <w:color w:val="000000"/>
          <w:sz w:val="18"/>
          <w:szCs w:val="18"/>
        </w:rPr>
        <w:t>第</w:t>
      </w:r>
      <w:r>
        <w:rPr>
          <w:b/>
          <w:bCs/>
          <w:color w:val="000000"/>
          <w:sz w:val="18"/>
          <w:szCs w:val="18"/>
        </w:rPr>
        <w:t>11</w:t>
      </w:r>
      <w:r>
        <w:rPr>
          <w:color w:val="000000"/>
          <w:sz w:val="18"/>
          <w:szCs w:val="18"/>
        </w:rPr>
        <w:t>页。</w:t>
      </w:r>
    </w:p>
  </w:footnote>
  <w:footnote w:id="556">
    <w:p w14:paraId="3AA3ECE1">
      <w:pPr>
        <w:pStyle w:val="12"/>
        <w:jc w:val="both"/>
        <w:rPr>
          <w:rFonts w:ascii="宋体" w:hAnsi="宋体"/>
        </w:rPr>
      </w:pPr>
      <w:r>
        <w:rPr>
          <w:rStyle w:val="20"/>
          <w:rFonts w:ascii="宋体" w:hAnsi="宋体" w:eastAsia="宋体"/>
        </w:rPr>
        <w:footnoteRef/>
      </w:r>
      <w:r>
        <w:rPr>
          <w:rFonts w:ascii="宋体" w:hAnsi="宋体"/>
        </w:rPr>
        <w:t xml:space="preserve"> </w:t>
      </w:r>
      <w:r>
        <w:rPr>
          <w:rFonts w:ascii="宋体" w:hAnsi="宋体"/>
          <w:color w:val="000000"/>
        </w:rPr>
        <w:t>郑永年：《中国模式一经验与困局》，浙江出版联合集团，</w:t>
      </w:r>
      <w:r>
        <w:rPr>
          <w:rFonts w:ascii="宋体" w:hAnsi="宋体"/>
          <w:b/>
          <w:bCs/>
          <w:color w:val="000000"/>
        </w:rPr>
        <w:t>2010,</w:t>
      </w:r>
      <w:r>
        <w:rPr>
          <w:rFonts w:ascii="宋体" w:hAnsi="宋体"/>
          <w:color w:val="000000"/>
        </w:rPr>
        <w:t>第</w:t>
      </w:r>
      <w:r>
        <w:rPr>
          <w:rFonts w:ascii="宋体" w:hAnsi="宋体"/>
          <w:b/>
          <w:bCs/>
          <w:color w:val="000000"/>
        </w:rPr>
        <w:t>2</w:t>
      </w:r>
      <w:r>
        <w:rPr>
          <w:rFonts w:ascii="宋体" w:hAnsi="宋体"/>
          <w:color w:val="000000"/>
        </w:rPr>
        <w:t>页。</w:t>
      </w:r>
    </w:p>
  </w:footnote>
  <w:footnote w:id="557">
    <w:p w14:paraId="534B73A5">
      <w:pPr>
        <w:pStyle w:val="12"/>
        <w:jc w:val="both"/>
        <w:rPr>
          <w:rFonts w:ascii="宋体" w:hAnsi="宋体"/>
        </w:rPr>
      </w:pPr>
      <w:r>
        <w:rPr>
          <w:rStyle w:val="20"/>
          <w:rFonts w:ascii="宋体" w:hAnsi="宋体" w:eastAsia="宋体"/>
        </w:rPr>
        <w:footnoteRef/>
      </w:r>
      <w:r>
        <w:rPr>
          <w:rFonts w:ascii="宋体" w:hAnsi="宋体"/>
        </w:rPr>
        <w:t xml:space="preserve"> </w:t>
      </w:r>
      <w:r>
        <w:rPr>
          <w:rFonts w:ascii="宋体" w:hAnsi="宋体"/>
          <w:color w:val="000000"/>
        </w:rPr>
        <w:t>张西立：《中国模式的特质》，发表于</w:t>
      </w:r>
      <w:r>
        <w:rPr>
          <w:rFonts w:ascii="宋体" w:hAnsi="宋体"/>
          <w:b/>
          <w:bCs/>
          <w:color w:val="000000"/>
        </w:rPr>
        <w:t>2009</w:t>
      </w:r>
      <w:r>
        <w:rPr>
          <w:rFonts w:ascii="宋体" w:hAnsi="宋体"/>
          <w:color w:val="000000"/>
        </w:rPr>
        <w:t>年</w:t>
      </w:r>
      <w:r>
        <w:rPr>
          <w:rFonts w:ascii="宋体" w:hAnsi="宋体"/>
          <w:b/>
          <w:bCs/>
          <w:color w:val="000000"/>
        </w:rPr>
        <w:t>4</w:t>
      </w:r>
      <w:r>
        <w:rPr>
          <w:rFonts w:ascii="宋体" w:hAnsi="宋体"/>
          <w:color w:val="000000"/>
        </w:rPr>
        <w:t>月</w:t>
      </w:r>
      <w:r>
        <w:rPr>
          <w:rFonts w:ascii="宋体" w:hAnsi="宋体"/>
          <w:b/>
          <w:bCs/>
          <w:color w:val="000000"/>
        </w:rPr>
        <w:t>15</w:t>
      </w:r>
      <w:r>
        <w:rPr>
          <w:rFonts w:ascii="宋体" w:hAnsi="宋体"/>
          <w:color w:val="000000"/>
        </w:rPr>
        <w:t>日的《学习时报》。</w:t>
      </w:r>
    </w:p>
  </w:footnote>
  <w:footnote w:id="558">
    <w:p w14:paraId="4D7B41DE">
      <w:pPr>
        <w:pStyle w:val="27"/>
        <w:tabs>
          <w:tab w:val="left" w:pos="627"/>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《十七大以来重要文献选编》（上），中央文献出版社，</w:t>
      </w:r>
      <w:r>
        <w:rPr>
          <w:b/>
          <w:bCs/>
          <w:color w:val="000000"/>
          <w:sz w:val="18"/>
          <w:szCs w:val="18"/>
        </w:rPr>
        <w:t>2009,</w:t>
      </w:r>
      <w:r>
        <w:rPr>
          <w:color w:val="000000"/>
          <w:sz w:val="18"/>
          <w:szCs w:val="18"/>
        </w:rPr>
        <w:t>第</w:t>
      </w:r>
      <w:r>
        <w:rPr>
          <w:b/>
          <w:bCs/>
          <w:color w:val="000000"/>
          <w:sz w:val="18"/>
          <w:szCs w:val="18"/>
        </w:rPr>
        <w:t>181</w:t>
      </w:r>
      <w:r>
        <w:rPr>
          <w:color w:val="000000"/>
          <w:sz w:val="18"/>
          <w:szCs w:val="18"/>
        </w:rPr>
        <w:t>页。</w:t>
      </w:r>
    </w:p>
  </w:footnote>
  <w:footnote w:id="559">
    <w:p w14:paraId="5BFCB2C8">
      <w:pPr>
        <w:pStyle w:val="27"/>
        <w:tabs>
          <w:tab w:val="left" w:pos="627"/>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《十六大以来重要文献选编》（下），中央文献出版社，</w:t>
      </w:r>
      <w:r>
        <w:rPr>
          <w:b/>
          <w:bCs/>
          <w:color w:val="000000"/>
          <w:sz w:val="18"/>
          <w:szCs w:val="18"/>
        </w:rPr>
        <w:t>2008,</w:t>
      </w:r>
      <w:r>
        <w:rPr>
          <w:color w:val="000000"/>
          <w:sz w:val="18"/>
          <w:szCs w:val="18"/>
        </w:rPr>
        <w:t>第</w:t>
      </w:r>
      <w:r>
        <w:rPr>
          <w:b/>
          <w:bCs/>
          <w:color w:val="000000"/>
          <w:sz w:val="18"/>
          <w:szCs w:val="18"/>
        </w:rPr>
        <w:t>662</w:t>
      </w:r>
      <w:r>
        <w:rPr>
          <w:color w:val="000000"/>
          <w:sz w:val="18"/>
          <w:szCs w:val="18"/>
        </w:rPr>
        <w:t>页。</w:t>
      </w:r>
    </w:p>
  </w:footnote>
  <w:footnote w:id="560">
    <w:p w14:paraId="571938BA">
      <w:pPr>
        <w:pStyle w:val="27"/>
        <w:tabs>
          <w:tab w:val="left" w:pos="627"/>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《十六大以来重要文献选编》（下），中央文献岀版社，</w:t>
      </w:r>
      <w:r>
        <w:rPr>
          <w:b/>
          <w:bCs/>
          <w:color w:val="000000"/>
          <w:sz w:val="18"/>
          <w:szCs w:val="18"/>
        </w:rPr>
        <w:t>2008,</w:t>
      </w:r>
      <w:r>
        <w:rPr>
          <w:color w:val="000000"/>
          <w:sz w:val="18"/>
          <w:szCs w:val="18"/>
        </w:rPr>
        <w:t>第</w:t>
      </w:r>
      <w:r>
        <w:rPr>
          <w:b/>
          <w:bCs/>
          <w:color w:val="000000"/>
          <w:sz w:val="18"/>
          <w:szCs w:val="18"/>
        </w:rPr>
        <w:t>904</w:t>
      </w:r>
      <w:r>
        <w:rPr>
          <w:color w:val="000000"/>
          <w:sz w:val="18"/>
          <w:szCs w:val="18"/>
        </w:rPr>
        <w:t>页。</w:t>
      </w:r>
    </w:p>
  </w:footnote>
  <w:footnote w:id="561">
    <w:p w14:paraId="5C681EC4">
      <w:pPr>
        <w:pStyle w:val="27"/>
        <w:tabs>
          <w:tab w:val="left" w:pos="627"/>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徐建龙等：《</w:t>
      </w:r>
      <w:r>
        <w:rPr>
          <w:color w:val="000000"/>
          <w:sz w:val="18"/>
          <w:szCs w:val="18"/>
          <w:lang w:val="zh-CN" w:eastAsia="zh-CN" w:bidi="zh-CN"/>
        </w:rPr>
        <w:t>“中国</w:t>
      </w:r>
      <w:r>
        <w:rPr>
          <w:color w:val="000000"/>
          <w:sz w:val="18"/>
          <w:szCs w:val="18"/>
        </w:rPr>
        <w:t>模式”与</w:t>
      </w:r>
      <w:r>
        <w:rPr>
          <w:color w:val="000000"/>
          <w:sz w:val="18"/>
          <w:szCs w:val="18"/>
          <w:lang w:val="zh-CN" w:eastAsia="zh-CN" w:bidi="zh-CN"/>
        </w:rPr>
        <w:t>“中</w:t>
      </w:r>
      <w:r>
        <w:rPr>
          <w:color w:val="000000"/>
          <w:sz w:val="18"/>
          <w:szCs w:val="18"/>
        </w:rPr>
        <w:t>国特色社会主义”的比较研究》，发表于《科学社会主义》</w:t>
      </w:r>
      <w:r>
        <w:rPr>
          <w:b/>
          <w:bCs/>
          <w:color w:val="000000"/>
          <w:sz w:val="18"/>
          <w:szCs w:val="18"/>
        </w:rPr>
        <w:t>2007</w:t>
      </w:r>
      <w:r>
        <w:rPr>
          <w:color w:val="000000"/>
          <w:sz w:val="18"/>
          <w:szCs w:val="18"/>
        </w:rPr>
        <w:t>年第</w:t>
      </w:r>
      <w:r>
        <w:rPr>
          <w:b/>
          <w:bCs/>
          <w:color w:val="000000"/>
          <w:sz w:val="18"/>
          <w:szCs w:val="18"/>
        </w:rPr>
        <w:t>2</w:t>
      </w:r>
      <w:r>
        <w:rPr>
          <w:color w:val="000000"/>
          <w:sz w:val="18"/>
          <w:szCs w:val="18"/>
        </w:rPr>
        <w:t>期。</w:t>
      </w:r>
    </w:p>
  </w:footnote>
  <w:footnote w:id="562">
    <w:p w14:paraId="4210AEE4">
      <w:pPr>
        <w:pStyle w:val="12"/>
        <w:jc w:val="both"/>
        <w:rPr>
          <w:rFonts w:ascii="宋体" w:hAnsi="宋体"/>
        </w:rPr>
      </w:pPr>
      <w:r>
        <w:rPr>
          <w:rStyle w:val="20"/>
          <w:rFonts w:ascii="宋体" w:hAnsi="宋体" w:eastAsia="宋体"/>
        </w:rPr>
        <w:footnoteRef/>
      </w:r>
      <w:r>
        <w:rPr>
          <w:rFonts w:ascii="宋体" w:hAnsi="宋体"/>
        </w:rPr>
        <w:t xml:space="preserve"> </w:t>
      </w:r>
      <w:r>
        <w:rPr>
          <w:rFonts w:ascii="宋体" w:hAnsi="宋体"/>
          <w:color w:val="000000"/>
        </w:rPr>
        <w:t>《邓小平文选》第</w:t>
      </w:r>
      <w:r>
        <w:rPr>
          <w:rFonts w:ascii="宋体" w:hAnsi="宋体"/>
          <w:b/>
          <w:bCs/>
          <w:color w:val="000000"/>
        </w:rPr>
        <w:t>2</w:t>
      </w:r>
      <w:r>
        <w:rPr>
          <w:rFonts w:ascii="宋体" w:hAnsi="宋体"/>
          <w:color w:val="000000"/>
        </w:rPr>
        <w:t>卷，人民出版社，</w:t>
      </w:r>
      <w:r>
        <w:rPr>
          <w:rFonts w:ascii="宋体" w:hAnsi="宋体"/>
          <w:b/>
          <w:bCs/>
          <w:color w:val="000000"/>
        </w:rPr>
        <w:t>1994,</w:t>
      </w:r>
      <w:r>
        <w:rPr>
          <w:rFonts w:ascii="宋体" w:hAnsi="宋体"/>
          <w:color w:val="000000"/>
        </w:rPr>
        <w:t>第</w:t>
      </w:r>
      <w:r>
        <w:rPr>
          <w:rFonts w:ascii="宋体" w:hAnsi="宋体"/>
          <w:b/>
          <w:bCs/>
          <w:color w:val="000000"/>
        </w:rPr>
        <w:t>318</w:t>
      </w:r>
      <w:r>
        <w:rPr>
          <w:rFonts w:ascii="宋体" w:hAnsi="宋体"/>
          <w:color w:val="000000"/>
        </w:rPr>
        <w:t>页。</w:t>
      </w:r>
    </w:p>
  </w:footnote>
  <w:footnote w:id="563">
    <w:p w14:paraId="424911C9">
      <w:pPr>
        <w:pStyle w:val="27"/>
        <w:tabs>
          <w:tab w:val="left" w:pos="624"/>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《邓小平文选》第</w:t>
      </w:r>
      <w:r>
        <w:rPr>
          <w:b/>
          <w:bCs/>
          <w:color w:val="000000"/>
          <w:sz w:val="18"/>
          <w:szCs w:val="18"/>
        </w:rPr>
        <w:t>3</w:t>
      </w:r>
      <w:r>
        <w:rPr>
          <w:color w:val="000000"/>
          <w:sz w:val="18"/>
          <w:szCs w:val="18"/>
        </w:rPr>
        <w:t>卷，人民出版社，</w:t>
      </w:r>
      <w:r>
        <w:rPr>
          <w:b/>
          <w:bCs/>
          <w:color w:val="000000"/>
          <w:sz w:val="18"/>
          <w:szCs w:val="18"/>
        </w:rPr>
        <w:t>1993,</w:t>
      </w:r>
      <w:r>
        <w:rPr>
          <w:color w:val="000000"/>
          <w:sz w:val="18"/>
          <w:szCs w:val="18"/>
        </w:rPr>
        <w:t>第</w:t>
      </w:r>
      <w:r>
        <w:rPr>
          <w:b/>
          <w:bCs/>
          <w:color w:val="000000"/>
          <w:sz w:val="18"/>
          <w:szCs w:val="18"/>
        </w:rPr>
        <w:t>261</w:t>
      </w:r>
      <w:r>
        <w:rPr>
          <w:color w:val="000000"/>
          <w:sz w:val="18"/>
          <w:szCs w:val="18"/>
        </w:rPr>
        <w:t>页。</w:t>
      </w:r>
    </w:p>
    <w:p w14:paraId="36E9650A">
      <w:pPr>
        <w:pStyle w:val="12"/>
        <w:jc w:val="both"/>
        <w:rPr>
          <w:rFonts w:ascii="宋体" w:hAnsi="宋体"/>
        </w:rPr>
      </w:pPr>
    </w:p>
  </w:footnote>
  <w:footnote w:id="564">
    <w:p w14:paraId="515F1F39">
      <w:pPr>
        <w:pStyle w:val="12"/>
        <w:jc w:val="both"/>
        <w:rPr>
          <w:rFonts w:ascii="宋体" w:hAnsi="宋体"/>
        </w:rPr>
      </w:pPr>
      <w:r>
        <w:rPr>
          <w:rStyle w:val="20"/>
          <w:rFonts w:ascii="宋体" w:hAnsi="宋体" w:eastAsia="宋体"/>
        </w:rPr>
        <w:footnoteRef/>
      </w:r>
      <w:r>
        <w:rPr>
          <w:rFonts w:ascii="宋体" w:hAnsi="宋体"/>
        </w:rPr>
        <w:t xml:space="preserve"> </w:t>
      </w:r>
      <w:r>
        <w:rPr>
          <w:rFonts w:ascii="宋体" w:hAnsi="宋体"/>
          <w:color w:val="000000"/>
        </w:rPr>
        <w:t>《江泽民文选》第</w:t>
      </w:r>
      <w:r>
        <w:rPr>
          <w:rFonts w:ascii="宋体" w:hAnsi="宋体"/>
          <w:b/>
          <w:bCs/>
          <w:color w:val="000000"/>
        </w:rPr>
        <w:t>3</w:t>
      </w:r>
      <w:r>
        <w:rPr>
          <w:rFonts w:ascii="宋体" w:hAnsi="宋体"/>
          <w:color w:val="000000"/>
        </w:rPr>
        <w:t>卷，人民出版社</w:t>
      </w:r>
      <w:r>
        <w:rPr>
          <w:rFonts w:ascii="宋体" w:hAnsi="宋体"/>
          <w:b/>
          <w:bCs/>
          <w:color w:val="000000"/>
        </w:rPr>
        <w:t>，2006</w:t>
      </w:r>
      <w:r>
        <w:rPr>
          <w:rFonts w:ascii="宋体" w:hAnsi="宋体"/>
          <w:color w:val="000000"/>
        </w:rPr>
        <w:t>，第</w:t>
      </w:r>
      <w:r>
        <w:rPr>
          <w:rFonts w:ascii="宋体" w:hAnsi="宋体"/>
          <w:b/>
          <w:bCs/>
          <w:color w:val="000000"/>
        </w:rPr>
        <w:t>120</w:t>
      </w:r>
      <w:r>
        <w:rPr>
          <w:rFonts w:ascii="宋体" w:hAnsi="宋体"/>
          <w:color w:val="000000"/>
        </w:rPr>
        <w:t>页。</w:t>
      </w:r>
    </w:p>
  </w:footnote>
  <w:footnote w:id="565">
    <w:p w14:paraId="0BC7E9D0">
      <w:pPr>
        <w:pStyle w:val="27"/>
        <w:tabs>
          <w:tab w:val="left" w:pos="676"/>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《十六大以来重要文献选编》（上），中央文献出版社，</w:t>
      </w:r>
      <w:r>
        <w:rPr>
          <w:b/>
          <w:bCs/>
          <w:color w:val="000000"/>
          <w:sz w:val="18"/>
          <w:szCs w:val="18"/>
        </w:rPr>
        <w:t>2006,</w:t>
      </w:r>
      <w:r>
        <w:rPr>
          <w:color w:val="000000"/>
          <w:sz w:val="18"/>
          <w:szCs w:val="18"/>
        </w:rPr>
        <w:t>第</w:t>
      </w:r>
      <w:r>
        <w:rPr>
          <w:b/>
          <w:bCs/>
          <w:color w:val="000000"/>
          <w:sz w:val="18"/>
          <w:szCs w:val="18"/>
        </w:rPr>
        <w:t>612</w:t>
      </w:r>
      <w:r>
        <w:rPr>
          <w:color w:val="000000"/>
          <w:sz w:val="18"/>
          <w:szCs w:val="18"/>
        </w:rPr>
        <w:t>页。</w:t>
      </w:r>
    </w:p>
  </w:footnote>
  <w:footnote w:id="566">
    <w:p w14:paraId="1A3AB037">
      <w:pPr>
        <w:pStyle w:val="27"/>
        <w:tabs>
          <w:tab w:val="left" w:pos="676"/>
          <w:tab w:val="left" w:pos="8242"/>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辛格：《全球经济中的中国和印度》，新华网，</w:t>
      </w:r>
      <w:r>
        <w:rPr>
          <w:b/>
          <w:bCs/>
          <w:color w:val="000000"/>
          <w:sz w:val="18"/>
          <w:szCs w:val="18"/>
          <w:lang w:val="en-US" w:eastAsia="en-US" w:bidi="en-US"/>
        </w:rPr>
        <w:t xml:space="preserve">http </w:t>
      </w:r>
      <w:r>
        <w:rPr>
          <w:color w:val="000000"/>
          <w:sz w:val="18"/>
          <w:szCs w:val="18"/>
        </w:rPr>
        <w:t xml:space="preserve">〃 </w:t>
      </w:r>
      <w:r>
        <w:rPr>
          <w:b/>
          <w:bCs/>
          <w:color w:val="000000"/>
          <w:sz w:val="18"/>
          <w:szCs w:val="18"/>
          <w:lang w:val="en-US" w:eastAsia="en-US" w:bidi="en-US"/>
        </w:rPr>
        <w:t xml:space="preserve">news, xinhuanet. com/world/2008 - 0^.- </w:t>
      </w:r>
      <w:r>
        <w:rPr>
          <w:b/>
          <w:bCs/>
          <w:color w:val="000000"/>
          <w:sz w:val="18"/>
          <w:szCs w:val="18"/>
          <w:lang w:val="en-US" w:eastAsia="zh-CN" w:bidi="en-US"/>
        </w:rPr>
        <w:t>15/con tents7424749. htm</w:t>
      </w:r>
      <w:r>
        <w:rPr>
          <w:color w:val="000000"/>
          <w:sz w:val="18"/>
          <w:szCs w:val="18"/>
          <w:lang w:val="en-US" w:eastAsia="zh-CN" w:bidi="en-US"/>
        </w:rPr>
        <w:t>。</w:t>
      </w:r>
    </w:p>
  </w:footnote>
  <w:footnote w:id="567">
    <w:p w14:paraId="60155CEA">
      <w:pPr>
        <w:pStyle w:val="12"/>
        <w:jc w:val="both"/>
        <w:rPr>
          <w:rFonts w:ascii="宋体" w:hAnsi="宋体"/>
        </w:rPr>
      </w:pPr>
      <w:r>
        <w:rPr>
          <w:rStyle w:val="20"/>
          <w:rFonts w:ascii="宋体" w:hAnsi="宋体" w:eastAsia="宋体"/>
        </w:rPr>
        <w:footnoteRef/>
      </w:r>
      <w:r>
        <w:rPr>
          <w:rFonts w:ascii="宋体" w:hAnsi="宋体"/>
        </w:rPr>
        <w:t xml:space="preserve"> </w:t>
      </w:r>
      <w:r>
        <w:rPr>
          <w:rFonts w:ascii="宋体" w:hAnsi="宋体"/>
          <w:color w:val="000000"/>
        </w:rPr>
        <w:t>苏小坡、朱磊：《约旦国王：中国成中东学习榜样，备受尊重！》，</w:t>
      </w:r>
      <w:r>
        <w:rPr>
          <w:rFonts w:ascii="宋体" w:hAnsi="宋体"/>
          <w:b/>
          <w:bCs/>
          <w:color w:val="000000"/>
        </w:rPr>
        <w:t>2007</w:t>
      </w:r>
      <w:r>
        <w:rPr>
          <w:rFonts w:ascii="宋体" w:hAnsi="宋体"/>
          <w:color w:val="000000"/>
        </w:rPr>
        <w:t>年</w:t>
      </w:r>
      <w:r>
        <w:rPr>
          <w:rFonts w:ascii="宋体" w:hAnsi="宋体"/>
          <w:b/>
          <w:bCs/>
          <w:color w:val="000000"/>
        </w:rPr>
        <w:t>11</w:t>
      </w:r>
      <w:r>
        <w:rPr>
          <w:rFonts w:ascii="宋体" w:hAnsi="宋体"/>
          <w:color w:val="000000"/>
        </w:rPr>
        <w:t>月</w:t>
      </w:r>
      <w:r>
        <w:rPr>
          <w:rFonts w:ascii="宋体" w:hAnsi="宋体"/>
          <w:b/>
          <w:bCs/>
          <w:color w:val="000000"/>
        </w:rPr>
        <w:t>1</w:t>
      </w:r>
      <w:r>
        <w:rPr>
          <w:rFonts w:ascii="宋体" w:hAnsi="宋体"/>
          <w:color w:val="000000"/>
        </w:rPr>
        <w:t>日《参考消息》。</w:t>
      </w:r>
    </w:p>
  </w:footnote>
  <w:footnote w:id="568">
    <w:p w14:paraId="3D344DCF">
      <w:pPr>
        <w:pStyle w:val="27"/>
        <w:tabs>
          <w:tab w:val="left" w:pos="316"/>
          <w:tab w:val="left" w:leader="hyphen" w:pos="2654"/>
        </w:tabs>
        <w:spacing w:after="0" w:line="240" w:lineRule="auto"/>
        <w:ind w:firstLine="0"/>
        <w:jc w:val="both"/>
        <w:rPr>
          <w:sz w:val="18"/>
          <w:szCs w:val="18"/>
        </w:rPr>
      </w:pPr>
      <w:r>
        <w:rPr>
          <w:rStyle w:val="20"/>
          <w:rFonts w:ascii="宋体" w:hAnsi="宋体" w:eastAsia="宋体"/>
          <w:sz w:val="18"/>
          <w:szCs w:val="18"/>
        </w:rPr>
        <w:footnoteRef/>
      </w:r>
      <w:r>
        <w:rPr>
          <w:sz w:val="18"/>
          <w:szCs w:val="18"/>
        </w:rPr>
        <w:t xml:space="preserve"> </w:t>
      </w:r>
      <w:r>
        <w:rPr>
          <w:color w:val="000000"/>
          <w:sz w:val="18"/>
          <w:szCs w:val="18"/>
        </w:rPr>
        <w:t>《</w:t>
      </w:r>
      <w:r>
        <w:rPr>
          <w:color w:val="000000"/>
          <w:sz w:val="18"/>
          <w:szCs w:val="18"/>
          <w:lang w:val="zh-CN" w:eastAsia="zh-CN" w:bidi="zh-CN"/>
        </w:rPr>
        <w:t>“中国</w:t>
      </w:r>
      <w:r>
        <w:rPr>
          <w:color w:val="000000"/>
          <w:sz w:val="18"/>
          <w:szCs w:val="18"/>
        </w:rPr>
        <w:t>模式”挑战传统理论</w:t>
      </w:r>
      <w:r>
        <w:rPr>
          <w:color w:val="272727"/>
          <w:sz w:val="18"/>
          <w:szCs w:val="18"/>
        </w:rPr>
        <w:tab/>
      </w:r>
      <w:r>
        <w:rPr>
          <w:color w:val="000000"/>
          <w:sz w:val="18"/>
          <w:szCs w:val="18"/>
        </w:rPr>
        <w:t>外国专家评价</w:t>
      </w:r>
      <w:r>
        <w:rPr>
          <w:color w:val="000000"/>
          <w:sz w:val="18"/>
          <w:szCs w:val="18"/>
          <w:lang w:val="zh-CN" w:eastAsia="zh-CN" w:bidi="zh-CN"/>
        </w:rPr>
        <w:t>“中国</w:t>
      </w:r>
      <w:r>
        <w:rPr>
          <w:color w:val="000000"/>
          <w:sz w:val="18"/>
          <w:szCs w:val="18"/>
        </w:rPr>
        <w:t>模式”之一》，人民网</w:t>
      </w:r>
      <w:r>
        <w:rPr>
          <w:color w:val="272727"/>
          <w:sz w:val="18"/>
          <w:szCs w:val="18"/>
        </w:rPr>
        <w:t>——</w:t>
      </w:r>
      <w:r>
        <w:rPr>
          <w:color w:val="000000"/>
          <w:sz w:val="18"/>
          <w:szCs w:val="18"/>
        </w:rPr>
        <w:t>国际频道</w:t>
      </w:r>
      <w:r>
        <w:rPr>
          <w:b/>
          <w:bCs/>
          <w:color w:val="000000"/>
          <w:sz w:val="18"/>
          <w:szCs w:val="18"/>
        </w:rPr>
        <w:t>2009</w:t>
      </w:r>
      <w:r>
        <w:rPr>
          <w:color w:val="000000"/>
          <w:sz w:val="18"/>
          <w:szCs w:val="18"/>
        </w:rPr>
        <w:t>年</w:t>
      </w:r>
      <w:r>
        <w:rPr>
          <w:b/>
          <w:bCs/>
          <w:color w:val="000000"/>
          <w:sz w:val="18"/>
          <w:szCs w:val="18"/>
        </w:rPr>
        <w:t>5</w:t>
      </w:r>
      <w:r>
        <w:rPr>
          <w:color w:val="000000"/>
          <w:sz w:val="18"/>
          <w:szCs w:val="18"/>
        </w:rPr>
        <w:t>月</w:t>
      </w:r>
      <w:r>
        <w:rPr>
          <w:b/>
          <w:bCs/>
          <w:color w:val="000000"/>
          <w:sz w:val="18"/>
          <w:szCs w:val="18"/>
        </w:rPr>
        <w:t>7</w:t>
      </w:r>
      <w:r>
        <w:rPr>
          <w:color w:val="000000"/>
          <w:sz w:val="18"/>
          <w:szCs w:val="18"/>
        </w:rPr>
        <w:t>日。</w:t>
      </w:r>
    </w:p>
  </w:footnote>
  <w:footnote w:id="569">
    <w:p w14:paraId="019595D5">
      <w:pPr>
        <w:pStyle w:val="12"/>
        <w:jc w:val="both"/>
        <w:rPr>
          <w:rFonts w:ascii="宋体" w:hAnsi="宋体"/>
        </w:rPr>
      </w:pPr>
      <w:r>
        <w:rPr>
          <w:rStyle w:val="20"/>
          <w:rFonts w:ascii="宋体" w:hAnsi="宋体" w:eastAsia="宋体"/>
        </w:rPr>
        <w:footnoteRef/>
      </w:r>
      <w:r>
        <w:rPr>
          <w:rFonts w:ascii="宋体" w:hAnsi="宋体"/>
        </w:rPr>
        <w:t xml:space="preserve"> </w:t>
      </w:r>
      <w:r>
        <w:rPr>
          <w:rFonts w:ascii="宋体" w:hAnsi="宋体"/>
          <w:color w:val="000000"/>
        </w:rPr>
        <w:t>《邓小平文选》第</w:t>
      </w:r>
      <w:r>
        <w:rPr>
          <w:rFonts w:ascii="宋体" w:hAnsi="宋体"/>
          <w:b/>
          <w:bCs/>
          <w:color w:val="000000"/>
        </w:rPr>
        <w:t>3</w:t>
      </w:r>
      <w:r>
        <w:rPr>
          <w:rFonts w:ascii="宋体" w:hAnsi="宋体"/>
          <w:color w:val="000000"/>
        </w:rPr>
        <w:t>卷，人民出版社，</w:t>
      </w:r>
      <w:r>
        <w:rPr>
          <w:rFonts w:ascii="宋体" w:hAnsi="宋体"/>
          <w:b/>
          <w:bCs/>
          <w:color w:val="000000"/>
        </w:rPr>
        <w:t>1993,</w:t>
      </w:r>
      <w:r>
        <w:rPr>
          <w:rFonts w:ascii="宋体" w:hAnsi="宋体"/>
          <w:color w:val="000000"/>
        </w:rPr>
        <w:t>第</w:t>
      </w:r>
      <w:r>
        <w:rPr>
          <w:rFonts w:ascii="宋体" w:hAnsi="宋体"/>
          <w:b/>
          <w:bCs/>
          <w:color w:val="000000"/>
        </w:rPr>
        <w:t>267</w:t>
      </w:r>
      <w:r>
        <w:rPr>
          <w:rFonts w:ascii="宋体" w:hAnsi="宋体"/>
          <w:color w:val="000000"/>
        </w:rPr>
        <w:t>页。</w:t>
      </w:r>
    </w:p>
  </w:footnote>
  <w:footnote w:id="570">
    <w:p w14:paraId="2E0D2721">
      <w:pPr>
        <w:pStyle w:val="12"/>
        <w:jc w:val="both"/>
        <w:rPr>
          <w:rFonts w:ascii="宋体" w:hAnsi="宋体"/>
        </w:rPr>
      </w:pPr>
      <w:r>
        <w:rPr>
          <w:rStyle w:val="20"/>
          <w:rFonts w:ascii="宋体" w:hAnsi="宋体" w:eastAsia="宋体"/>
        </w:rPr>
        <w:footnoteRef/>
      </w:r>
      <w:r>
        <w:rPr>
          <w:rFonts w:ascii="宋体" w:hAnsi="宋体"/>
        </w:rPr>
        <w:t xml:space="preserve"> </w:t>
      </w:r>
      <w:r>
        <w:rPr>
          <w:rFonts w:ascii="宋体" w:hAnsi="宋体"/>
          <w:color w:val="000000"/>
        </w:rPr>
        <w:t>《当代世界与社会主义》</w:t>
      </w:r>
      <w:r>
        <w:rPr>
          <w:rFonts w:ascii="宋体" w:hAnsi="宋体"/>
          <w:b/>
          <w:bCs/>
          <w:color w:val="000000"/>
        </w:rPr>
        <w:t>2005</w:t>
      </w:r>
      <w:r>
        <w:rPr>
          <w:rFonts w:ascii="宋体" w:hAnsi="宋体"/>
          <w:color w:val="000000"/>
        </w:rPr>
        <w:t>年第</w:t>
      </w:r>
      <w:r>
        <w:rPr>
          <w:rFonts w:ascii="宋体" w:hAnsi="宋体"/>
          <w:b/>
          <w:bCs/>
          <w:color w:val="000000"/>
        </w:rPr>
        <w:t>5</w:t>
      </w:r>
      <w:r>
        <w:rPr>
          <w:rFonts w:ascii="宋体" w:hAnsi="宋体"/>
          <w:color w:val="000000"/>
        </w:rPr>
        <w:t>期。</w:t>
      </w:r>
    </w:p>
  </w:footnote>
  <w:footnote w:id="571">
    <w:p w14:paraId="3D371F80">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周康，《事业单位养老保险制度改革宜统不宜分》，《中国物价》，2009年第7期，第67-70页。</w:t>
      </w:r>
    </w:p>
  </w:footnote>
  <w:footnote w:id="572">
    <w:p w14:paraId="5D6728EB">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香伶，《养老社会保险与收入再分配》，北京：社会科学文献出版社，2008年，第211页。</w:t>
      </w:r>
    </w:p>
  </w:footnote>
  <w:footnote w:id="573">
    <w:p w14:paraId="65FB3FC5">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郑秉文 孙守纪，《齐传君.公务员参加养老保险统一改革的思路》，《公共管理学报》，</w:t>
      </w:r>
      <w:r>
        <w:rPr>
          <w:rFonts w:ascii="宋体" w:hAnsi="宋体" w:eastAsia="宋体"/>
          <w:sz w:val="18"/>
          <w:szCs w:val="18"/>
        </w:rPr>
        <w:t>2009年第</w:t>
      </w:r>
      <w:r>
        <w:rPr>
          <w:rFonts w:hint="eastAsia" w:ascii="宋体" w:hAnsi="宋体" w:eastAsia="宋体"/>
          <w:sz w:val="18"/>
          <w:szCs w:val="18"/>
        </w:rPr>
        <w:t>1期，第</w:t>
      </w:r>
      <w:r>
        <w:rPr>
          <w:rFonts w:ascii="宋体" w:hAnsi="宋体" w:eastAsia="宋体"/>
          <w:sz w:val="18"/>
          <w:szCs w:val="18"/>
        </w:rPr>
        <w:t>1-</w:t>
      </w:r>
      <w:r>
        <w:rPr>
          <w:rFonts w:hint="eastAsia" w:ascii="宋体" w:hAnsi="宋体" w:eastAsia="宋体"/>
          <w:sz w:val="18"/>
          <w:szCs w:val="18"/>
        </w:rPr>
        <w:t>1</w:t>
      </w:r>
      <w:r>
        <w:rPr>
          <w:rFonts w:ascii="宋体" w:hAnsi="宋体" w:eastAsia="宋体"/>
          <w:sz w:val="18"/>
          <w:szCs w:val="18"/>
        </w:rPr>
        <w:t>2页</w:t>
      </w:r>
      <w:r>
        <w:rPr>
          <w:rFonts w:hint="eastAsia" w:ascii="宋体" w:hAnsi="宋体" w:eastAsia="宋体"/>
          <w:sz w:val="18"/>
          <w:szCs w:val="18"/>
        </w:rPr>
        <w:t>。</w:t>
      </w:r>
    </w:p>
  </w:footnote>
  <w:footnote w:id="574">
    <w:p w14:paraId="546685AA">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汪孝宗，《事业单位养老保险制度改革试点引热议——学者提议建立机关、事业、企业联动养老制度》，《中国经济周刊》，2009年第23期，第32-35页。</w:t>
      </w:r>
    </w:p>
  </w:footnote>
  <w:footnote w:id="575">
    <w:p w14:paraId="7CE7B5DB">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郑秉文，《事业单位养老金改革路在何方》，《河北经贸大学学报》，2009年第5期，第5-9页。</w:t>
      </w:r>
    </w:p>
  </w:footnote>
  <w:footnote w:id="576">
    <w:p w14:paraId="067E7591">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华迎放，《对事业单位养老保险制度改革的思考》，《中国劳动保障》，2006年第11期，第35-36页。</w:t>
      </w:r>
    </w:p>
  </w:footnote>
  <w:footnote w:id="577">
    <w:p w14:paraId="305C944B">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姜爱林，《事业单位养老保险制度改革为何困难重重》，《天津行政学院学报》，2010年第3期，</w:t>
      </w:r>
      <w:r>
        <w:rPr>
          <w:rFonts w:ascii="宋体" w:hAnsi="宋体" w:eastAsia="宋体"/>
          <w:sz w:val="18"/>
          <w:szCs w:val="18"/>
        </w:rPr>
        <w:t>第53-61页</w:t>
      </w:r>
      <w:r>
        <w:rPr>
          <w:rFonts w:hint="eastAsia" w:ascii="宋体" w:hAnsi="宋体" w:eastAsia="宋体"/>
          <w:sz w:val="18"/>
          <w:szCs w:val="18"/>
        </w:rPr>
        <w:t>。</w:t>
      </w:r>
    </w:p>
  </w:footnote>
  <w:footnote w:id="578">
    <w:p w14:paraId="6050374A">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廖文根，《</w:t>
      </w:r>
      <w:r>
        <w:rPr>
          <w:rFonts w:ascii="宋体" w:hAnsi="宋体" w:eastAsia="宋体"/>
          <w:sz w:val="18"/>
          <w:szCs w:val="18"/>
        </w:rPr>
        <w:t>”</w:t>
      </w:r>
      <w:r>
        <w:rPr>
          <w:rFonts w:hint="eastAsia" w:ascii="宋体" w:hAnsi="宋体" w:eastAsia="宋体"/>
          <w:sz w:val="18"/>
          <w:szCs w:val="18"/>
        </w:rPr>
        <w:t>养老保险</w:t>
      </w:r>
      <w:r>
        <w:rPr>
          <w:rFonts w:ascii="宋体" w:hAnsi="宋体" w:eastAsia="宋体"/>
          <w:sz w:val="18"/>
          <w:szCs w:val="18"/>
        </w:rPr>
        <w:t>”</w:t>
      </w:r>
      <w:r>
        <w:rPr>
          <w:rFonts w:hint="eastAsia" w:ascii="宋体" w:hAnsi="宋体" w:eastAsia="宋体"/>
          <w:sz w:val="18"/>
          <w:szCs w:val="18"/>
        </w:rPr>
        <w:t>首次名列两会网友关注热词排行榜榜首》，</w:t>
      </w:r>
    </w:p>
    <w:p w14:paraId="38DBB4E7">
      <w:pPr>
        <w:snapToGrid w:val="0"/>
        <w:rPr>
          <w:rFonts w:ascii="宋体" w:hAnsi="宋体" w:eastAsia="宋体"/>
          <w:sz w:val="18"/>
          <w:szCs w:val="18"/>
        </w:rPr>
      </w:pPr>
      <w:r>
        <w:rPr>
          <w:rFonts w:hint="eastAsia" w:ascii="宋体" w:hAnsi="宋体" w:eastAsia="宋体"/>
          <w:sz w:val="18"/>
          <w:szCs w:val="18"/>
        </w:rPr>
        <w:t>http：//www.</w:t>
      </w:r>
      <w:r>
        <w:rPr>
          <w:rFonts w:ascii="宋体" w:hAnsi="宋体" w:eastAsia="宋体"/>
          <w:sz w:val="18"/>
          <w:szCs w:val="18"/>
        </w:rPr>
        <w:t>people.com.cn，2010-02-24 .</w:t>
      </w:r>
    </w:p>
  </w:footnote>
  <w:footnote w:id="579">
    <w:p w14:paraId="62B90EA6">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中国社会调查所，《事业单位养老保险改革问卷调查》，http：//www.ruc-mr.com/html/new so pen1431.html，2009-12-23.</w:t>
      </w:r>
    </w:p>
  </w:footnote>
  <w:footnote w:id="580">
    <w:p w14:paraId="61FDD330">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胡晓义，《回应退休金双轨制全民社保包括公务员》，http：//www.news.sohu.</w:t>
      </w:r>
      <w:r>
        <w:rPr>
          <w:rFonts w:ascii="宋体" w:hAnsi="宋体" w:eastAsia="宋体"/>
          <w:sz w:val="18"/>
          <w:szCs w:val="18"/>
        </w:rPr>
        <w:t>com</w:t>
      </w:r>
      <w:r>
        <w:rPr>
          <w:rFonts w:hint="eastAsia" w:ascii="宋体" w:hAnsi="宋体" w:eastAsia="宋体"/>
          <w:sz w:val="18"/>
          <w:szCs w:val="18"/>
        </w:rPr>
        <w:t>，</w:t>
      </w:r>
      <w:r>
        <w:rPr>
          <w:rFonts w:ascii="宋体" w:hAnsi="宋体" w:eastAsia="宋体"/>
          <w:sz w:val="18"/>
          <w:szCs w:val="18"/>
        </w:rPr>
        <w:t>2010-03-09</w:t>
      </w:r>
      <w:r>
        <w:rPr>
          <w:rFonts w:hint="eastAsia" w:ascii="宋体" w:hAnsi="宋体" w:eastAsia="宋体"/>
          <w:sz w:val="18"/>
          <w:szCs w:val="18"/>
        </w:rPr>
        <w:t>.</w:t>
      </w:r>
    </w:p>
  </w:footnote>
  <w:footnote w:id="581">
    <w:p w14:paraId="33B1A3EA">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李珍，《社会保障理论》（第二版），北京：中国劳动社会保障出版社，2007年第175页。</w:t>
      </w:r>
    </w:p>
  </w:footnote>
  <w:footnote w:id="582">
    <w:p w14:paraId="05881D33">
      <w:pPr>
        <w:widowControl/>
        <w:autoSpaceDE w:val="0"/>
        <w:autoSpaceDN w:val="0"/>
        <w:adjustRightIn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kern w:val="0"/>
          <w:sz w:val="18"/>
          <w:szCs w:val="18"/>
        </w:rPr>
        <w:t>万广华</w:t>
      </w:r>
      <w:r>
        <w:rPr>
          <w:rFonts w:ascii="宋体" w:hAnsi="宋体" w:eastAsia="宋体" w:cs="A6+CAJ FNT00"/>
          <w:kern w:val="0"/>
          <w:sz w:val="18"/>
          <w:szCs w:val="18"/>
        </w:rPr>
        <w:t>：</w:t>
      </w:r>
      <w:r>
        <w:rPr>
          <w:rFonts w:hint="eastAsia" w:ascii="宋体" w:hAnsi="宋体" w:eastAsia="宋体" w:cs="A6+CAJ FNT00"/>
          <w:kern w:val="0"/>
          <w:sz w:val="18"/>
          <w:szCs w:val="18"/>
        </w:rPr>
        <w:t>《</w:t>
      </w:r>
      <w:r>
        <w:rPr>
          <w:rFonts w:hint="eastAsia" w:ascii="宋体" w:hAnsi="宋体" w:eastAsia="宋体"/>
          <w:kern w:val="0"/>
          <w:sz w:val="18"/>
          <w:szCs w:val="18"/>
        </w:rPr>
        <w:t>经济发展与收入不均等</w:t>
      </w:r>
      <w:r>
        <w:rPr>
          <w:rFonts w:ascii="宋体" w:hAnsi="宋体" w:eastAsia="宋体" w:cs="A6+CAJ FNT00"/>
          <w:kern w:val="0"/>
          <w:sz w:val="18"/>
          <w:szCs w:val="18"/>
        </w:rPr>
        <w:t>：</w:t>
      </w:r>
      <w:r>
        <w:rPr>
          <w:rFonts w:hint="eastAsia" w:ascii="宋体" w:hAnsi="宋体" w:eastAsia="宋体"/>
          <w:kern w:val="0"/>
          <w:sz w:val="18"/>
          <w:szCs w:val="18"/>
        </w:rPr>
        <w:t>方法和证据</w:t>
      </w:r>
      <w:r>
        <w:rPr>
          <w:rFonts w:hint="eastAsia" w:ascii="宋体" w:hAnsi="宋体" w:eastAsia="宋体" w:cs="A3+cajcd fnta1"/>
          <w:kern w:val="0"/>
          <w:sz w:val="18"/>
          <w:szCs w:val="18"/>
        </w:rPr>
        <w:t>》</w:t>
      </w:r>
      <w:r>
        <w:rPr>
          <w:rFonts w:ascii="宋体" w:hAnsi="宋体" w:eastAsia="宋体" w:cs="A6+CAJ FNT00"/>
          <w:kern w:val="0"/>
          <w:sz w:val="18"/>
          <w:szCs w:val="18"/>
        </w:rPr>
        <w:t>，</w:t>
      </w:r>
      <w:r>
        <w:rPr>
          <w:rFonts w:hint="eastAsia" w:ascii="宋体" w:hAnsi="宋体" w:eastAsia="宋体"/>
          <w:kern w:val="0"/>
          <w:sz w:val="18"/>
          <w:szCs w:val="18"/>
        </w:rPr>
        <w:t>上海三联书店</w:t>
      </w:r>
      <w:r>
        <w:rPr>
          <w:rFonts w:ascii="宋体" w:hAnsi="宋体" w:eastAsia="宋体" w:cs="A6+CAJ FNT00"/>
          <w:kern w:val="0"/>
          <w:sz w:val="18"/>
          <w:szCs w:val="18"/>
        </w:rPr>
        <w:t>，2006</w:t>
      </w:r>
      <w:r>
        <w:rPr>
          <w:rFonts w:hint="eastAsia" w:ascii="宋体" w:hAnsi="宋体" w:eastAsia="宋体"/>
          <w:kern w:val="0"/>
          <w:sz w:val="18"/>
          <w:szCs w:val="18"/>
        </w:rPr>
        <w:t>年版</w:t>
      </w:r>
      <w:r>
        <w:rPr>
          <w:rFonts w:ascii="宋体" w:hAnsi="宋体" w:eastAsia="宋体" w:cs="A6+CAJ FNT00"/>
          <w:kern w:val="0"/>
          <w:sz w:val="18"/>
          <w:szCs w:val="18"/>
        </w:rPr>
        <w:t>，</w:t>
      </w:r>
      <w:r>
        <w:rPr>
          <w:rFonts w:hint="eastAsia" w:ascii="宋体" w:hAnsi="宋体" w:eastAsia="宋体"/>
          <w:kern w:val="0"/>
          <w:sz w:val="18"/>
          <w:szCs w:val="18"/>
        </w:rPr>
        <w:t>第</w:t>
      </w:r>
      <w:r>
        <w:rPr>
          <w:rFonts w:ascii="宋体" w:hAnsi="宋体" w:eastAsia="宋体" w:cs="A6+CAJ FNT00"/>
          <w:kern w:val="0"/>
          <w:sz w:val="18"/>
          <w:szCs w:val="18"/>
        </w:rPr>
        <w:t>209</w:t>
      </w:r>
      <w:r>
        <w:rPr>
          <w:rFonts w:hint="eastAsia" w:ascii="宋体" w:hAnsi="宋体" w:eastAsia="宋体"/>
          <w:kern w:val="0"/>
          <w:sz w:val="18"/>
          <w:szCs w:val="18"/>
        </w:rPr>
        <w:t>页。</w:t>
      </w:r>
    </w:p>
  </w:footnote>
  <w:footnote w:id="583">
    <w:p w14:paraId="1CAA46A8">
      <w:pPr>
        <w:widowControl/>
        <w:autoSpaceDE w:val="0"/>
        <w:autoSpaceDN w:val="0"/>
        <w:adjustRightIn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kern w:val="0"/>
          <w:sz w:val="18"/>
          <w:szCs w:val="18"/>
        </w:rPr>
        <w:t>刘黎清，黄忠寅</w:t>
      </w:r>
      <w:r>
        <w:rPr>
          <w:rFonts w:ascii="宋体" w:hAnsi="宋体" w:eastAsia="宋体" w:cs="A6+CAJ FNT00"/>
          <w:kern w:val="0"/>
          <w:sz w:val="18"/>
          <w:szCs w:val="18"/>
        </w:rPr>
        <w:t>：</w:t>
      </w:r>
      <w:r>
        <w:rPr>
          <w:rFonts w:hint="eastAsia" w:ascii="宋体" w:hAnsi="宋体" w:eastAsia="宋体" w:cs="A6+CAJ FNT00"/>
          <w:kern w:val="0"/>
          <w:sz w:val="18"/>
          <w:szCs w:val="18"/>
        </w:rPr>
        <w:t>《</w:t>
      </w:r>
      <w:r>
        <w:rPr>
          <w:rFonts w:hint="eastAsia" w:ascii="宋体" w:hAnsi="宋体" w:eastAsia="宋体"/>
          <w:kern w:val="0"/>
          <w:sz w:val="18"/>
          <w:szCs w:val="18"/>
        </w:rPr>
        <w:t>浙江省民营经济发展中的劳资关系分析</w:t>
      </w:r>
      <w:r>
        <w:rPr>
          <w:rFonts w:hint="eastAsia" w:ascii="宋体" w:hAnsi="宋体" w:eastAsia="宋体" w:cs="A3+cajcd fnta1"/>
          <w:kern w:val="0"/>
          <w:sz w:val="18"/>
          <w:szCs w:val="18"/>
        </w:rPr>
        <w:t>》</w:t>
      </w:r>
      <w:r>
        <w:rPr>
          <w:rFonts w:ascii="宋体" w:hAnsi="宋体" w:eastAsia="宋体" w:cs="A6+CAJ FNT00"/>
          <w:kern w:val="0"/>
          <w:sz w:val="18"/>
          <w:szCs w:val="18"/>
        </w:rPr>
        <w:t>，</w:t>
      </w:r>
      <w:r>
        <w:rPr>
          <w:rFonts w:hint="eastAsia" w:ascii="宋体" w:hAnsi="宋体" w:eastAsia="宋体" w:cs="A6+CAJ FNT00"/>
          <w:kern w:val="0"/>
          <w:sz w:val="18"/>
          <w:szCs w:val="18"/>
        </w:rPr>
        <w:t>《</w:t>
      </w:r>
      <w:r>
        <w:rPr>
          <w:rFonts w:hint="eastAsia" w:ascii="宋体" w:hAnsi="宋体" w:eastAsia="宋体"/>
          <w:kern w:val="0"/>
          <w:sz w:val="18"/>
          <w:szCs w:val="18"/>
        </w:rPr>
        <w:t>经济问题探索</w:t>
      </w:r>
      <w:r>
        <w:rPr>
          <w:rFonts w:hint="eastAsia" w:ascii="宋体" w:hAnsi="宋体" w:eastAsia="宋体" w:cs="A3+cajcd fnta1"/>
          <w:kern w:val="0"/>
          <w:sz w:val="18"/>
          <w:szCs w:val="18"/>
        </w:rPr>
        <w:t>》</w:t>
      </w:r>
      <w:r>
        <w:rPr>
          <w:rFonts w:ascii="宋体" w:hAnsi="宋体" w:eastAsia="宋体" w:cs="A6+CAJ FNT00"/>
          <w:kern w:val="0"/>
          <w:sz w:val="18"/>
          <w:szCs w:val="18"/>
        </w:rPr>
        <w:t>，2006</w:t>
      </w:r>
      <w:r>
        <w:rPr>
          <w:rFonts w:hint="eastAsia" w:ascii="宋体" w:hAnsi="宋体" w:eastAsia="宋体"/>
          <w:kern w:val="0"/>
          <w:sz w:val="18"/>
          <w:szCs w:val="18"/>
        </w:rPr>
        <w:t>年第</w:t>
      </w:r>
      <w:r>
        <w:rPr>
          <w:rFonts w:ascii="宋体" w:hAnsi="宋体" w:eastAsia="宋体" w:cs="A6+CAJ FNT00"/>
          <w:kern w:val="0"/>
          <w:sz w:val="18"/>
          <w:szCs w:val="18"/>
        </w:rPr>
        <w:t>3</w:t>
      </w:r>
      <w:r>
        <w:rPr>
          <w:rFonts w:hint="eastAsia" w:ascii="宋体" w:hAnsi="宋体" w:eastAsia="宋体"/>
          <w:kern w:val="0"/>
          <w:sz w:val="18"/>
          <w:szCs w:val="18"/>
        </w:rPr>
        <w:t>期。</w:t>
      </w:r>
    </w:p>
  </w:footnote>
  <w:footnote w:id="584">
    <w:p w14:paraId="1BFFEE54">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sz w:val="18"/>
          <w:szCs w:val="18"/>
        </w:rPr>
        <w:t>郭克利</w:t>
      </w:r>
      <w:r>
        <w:rPr>
          <w:rFonts w:ascii="宋体" w:hAnsi="宋体" w:eastAsia="宋体"/>
          <w:sz w:val="18"/>
          <w:szCs w:val="18"/>
        </w:rPr>
        <w:t>：</w:t>
      </w:r>
      <w:r>
        <w:rPr>
          <w:rFonts w:hint="eastAsia" w:ascii="宋体" w:hAnsi="宋体" w:eastAsia="宋体"/>
          <w:sz w:val="18"/>
          <w:szCs w:val="18"/>
        </w:rPr>
        <w:t>《</w:t>
      </w:r>
      <w:r>
        <w:rPr>
          <w:rFonts w:ascii="宋体" w:hAnsi="宋体" w:eastAsia="宋体"/>
          <w:sz w:val="18"/>
          <w:szCs w:val="18"/>
        </w:rPr>
        <w:t>2005</w:t>
      </w:r>
      <w:r>
        <w:rPr>
          <w:rFonts w:hint="eastAsia" w:ascii="宋体" w:hAnsi="宋体" w:eastAsia="宋体"/>
          <w:sz w:val="18"/>
          <w:szCs w:val="18"/>
        </w:rPr>
        <w:t>年北京市劳动力市场工资指导价位与企业人工成本状况》，中国民航出版社，2005年版。</w:t>
      </w:r>
    </w:p>
  </w:footnote>
  <w:footnote w:id="585">
    <w:p w14:paraId="13368E1B">
      <w:pPr>
        <w:snapToGrid w:val="0"/>
        <w:rPr>
          <w:rFonts w:ascii="宋体" w:hAnsi="宋体" w:eastAsia="宋体"/>
          <w:sz w:val="18"/>
          <w:szCs w:val="18"/>
        </w:rPr>
      </w:pPr>
      <w:r>
        <w:rPr>
          <w:rFonts w:ascii="宋体" w:hAnsi="宋体" w:eastAsia="宋体"/>
          <w:sz w:val="18"/>
          <w:szCs w:val="18"/>
          <w:vertAlign w:val="superscript"/>
        </w:rPr>
        <w:footnoteRef/>
      </w:r>
      <w:r>
        <w:rPr>
          <w:rFonts w:hint="eastAsia" w:ascii="宋体" w:hAnsi="宋体" w:eastAsia="宋体" w:cs="宋体"/>
          <w:color w:val="000000"/>
          <w:kern w:val="0"/>
          <w:sz w:val="18"/>
          <w:szCs w:val="18"/>
        </w:rPr>
        <w:t>数据引自万广华</w:t>
      </w:r>
      <w:r>
        <w:rPr>
          <w:rFonts w:ascii="宋体" w:hAnsi="宋体" w:eastAsia="宋体" w:cs="宋体"/>
          <w:color w:val="000000"/>
          <w:kern w:val="0"/>
          <w:sz w:val="18"/>
          <w:szCs w:val="18"/>
        </w:rPr>
        <w:t>：</w:t>
      </w:r>
      <w:r>
        <w:rPr>
          <w:rFonts w:hint="eastAsia" w:ascii="宋体" w:hAnsi="宋体" w:eastAsia="宋体" w:cs="宋体"/>
          <w:color w:val="000000"/>
          <w:kern w:val="0"/>
          <w:sz w:val="18"/>
          <w:szCs w:val="18"/>
        </w:rPr>
        <w:t>《经济发展与收入不均等</w:t>
      </w:r>
      <w:r>
        <w:rPr>
          <w:rFonts w:ascii="宋体" w:hAnsi="宋体" w:eastAsia="宋体" w:cs="宋体"/>
          <w:color w:val="000000"/>
          <w:kern w:val="0"/>
          <w:sz w:val="18"/>
          <w:szCs w:val="18"/>
        </w:rPr>
        <w:t>：</w:t>
      </w:r>
      <w:r>
        <w:rPr>
          <w:rFonts w:hint="eastAsia" w:ascii="宋体" w:hAnsi="宋体" w:eastAsia="宋体" w:cs="宋体"/>
          <w:color w:val="000000"/>
          <w:kern w:val="0"/>
          <w:sz w:val="18"/>
          <w:szCs w:val="18"/>
        </w:rPr>
        <w:t>方法和证据》</w:t>
      </w:r>
      <w:r>
        <w:rPr>
          <w:rFonts w:ascii="宋体" w:hAnsi="宋体" w:eastAsia="宋体" w:cs="宋体"/>
          <w:color w:val="000000"/>
          <w:kern w:val="0"/>
          <w:sz w:val="18"/>
          <w:szCs w:val="18"/>
        </w:rPr>
        <w:t>，</w:t>
      </w:r>
      <w:r>
        <w:rPr>
          <w:rFonts w:hint="eastAsia" w:ascii="宋体" w:hAnsi="宋体" w:eastAsia="宋体" w:cs="宋体"/>
          <w:color w:val="000000"/>
          <w:kern w:val="0"/>
          <w:sz w:val="18"/>
          <w:szCs w:val="18"/>
        </w:rPr>
        <w:t>上海三联书店</w:t>
      </w:r>
      <w:r>
        <w:rPr>
          <w:rFonts w:ascii="宋体" w:hAnsi="宋体" w:eastAsia="宋体" w:cs="宋体"/>
          <w:color w:val="000000"/>
          <w:kern w:val="0"/>
          <w:sz w:val="18"/>
          <w:szCs w:val="18"/>
        </w:rPr>
        <w:t>2006</w:t>
      </w:r>
      <w:r>
        <w:rPr>
          <w:rFonts w:hint="eastAsia" w:ascii="宋体" w:hAnsi="宋体" w:eastAsia="宋体" w:cs="宋体"/>
          <w:color w:val="000000"/>
          <w:kern w:val="0"/>
          <w:sz w:val="18"/>
          <w:szCs w:val="18"/>
        </w:rPr>
        <w:t>年版</w:t>
      </w:r>
      <w:r>
        <w:rPr>
          <w:rFonts w:ascii="宋体" w:hAnsi="宋体" w:eastAsia="宋体" w:cs="宋体"/>
          <w:color w:val="000000"/>
          <w:kern w:val="0"/>
          <w:sz w:val="18"/>
          <w:szCs w:val="18"/>
        </w:rPr>
        <w:t>，</w:t>
      </w:r>
      <w:r>
        <w:rPr>
          <w:rFonts w:hint="eastAsia" w:ascii="宋体" w:hAnsi="宋体" w:eastAsia="宋体" w:cs="宋体"/>
          <w:color w:val="000000"/>
          <w:kern w:val="0"/>
          <w:sz w:val="18"/>
          <w:szCs w:val="18"/>
        </w:rPr>
        <w:t>第</w:t>
      </w:r>
      <w:r>
        <w:rPr>
          <w:rFonts w:ascii="宋体" w:hAnsi="宋体" w:eastAsia="宋体" w:cs="宋体"/>
          <w:color w:val="000000"/>
          <w:kern w:val="0"/>
          <w:sz w:val="18"/>
          <w:szCs w:val="18"/>
        </w:rPr>
        <w:t>209</w:t>
      </w:r>
      <w:r>
        <w:rPr>
          <w:rFonts w:hint="eastAsia" w:ascii="宋体" w:hAnsi="宋体" w:eastAsia="宋体" w:cs="宋体"/>
          <w:color w:val="000000"/>
          <w:kern w:val="0"/>
          <w:sz w:val="18"/>
          <w:szCs w:val="18"/>
        </w:rPr>
        <w:t>页。</w:t>
      </w:r>
    </w:p>
  </w:footnote>
  <w:footnote w:id="586">
    <w:p w14:paraId="4651ED32">
      <w:pPr>
        <w:pStyle w:val="12"/>
        <w:adjustRightInd w:val="0"/>
        <w:snapToGrid/>
        <w:jc w:val="both"/>
        <w:rPr>
          <w:rFonts w:ascii="宋体" w:hAnsi="宋体"/>
        </w:rPr>
      </w:pPr>
      <w:r>
        <w:rPr>
          <w:rStyle w:val="20"/>
          <w:rFonts w:ascii="宋体" w:hAnsi="宋体" w:eastAsia="宋体"/>
        </w:rPr>
        <w:footnoteRef/>
      </w:r>
      <w:r>
        <w:rPr>
          <w:rFonts w:ascii="宋体" w:hAnsi="宋体"/>
        </w:rPr>
        <w:t xml:space="preserve"> 国家人口发展战略研究课题组：《国家人口发展战略研究总报告》，中国人口出版社，2007年版，第15-19页。</w:t>
      </w:r>
    </w:p>
  </w:footnote>
  <w:footnote w:id="587">
    <w:p w14:paraId="43E89C41">
      <w:pPr>
        <w:pStyle w:val="12"/>
        <w:adjustRightInd w:val="0"/>
        <w:jc w:val="both"/>
        <w:rPr>
          <w:rFonts w:ascii="宋体" w:hAnsi="宋体"/>
        </w:rPr>
      </w:pPr>
      <w:r>
        <w:rPr>
          <w:rStyle w:val="20"/>
          <w:rFonts w:ascii="宋体" w:hAnsi="宋体" w:eastAsia="宋体"/>
        </w:rPr>
        <w:footnoteRef/>
      </w:r>
      <w:r>
        <w:rPr>
          <w:rStyle w:val="39"/>
          <w:rFonts w:ascii="宋体" w:hAnsi="宋体" w:eastAsia="宋体"/>
        </w:rPr>
        <w:t>参见方一：《</w:t>
      </w:r>
      <w:r>
        <w:rPr>
          <w:rStyle w:val="40"/>
          <w:rFonts w:ascii="宋体" w:hAnsi="宋体" w:eastAsia="宋体"/>
          <w:b w:val="0"/>
          <w:sz w:val="18"/>
          <w:szCs w:val="18"/>
        </w:rPr>
        <w:t>“人口论”与“人手论”</w:t>
      </w:r>
      <w:r>
        <w:rPr>
          <w:rStyle w:val="39"/>
          <w:rFonts w:ascii="宋体" w:hAnsi="宋体" w:eastAsia="宋体"/>
        </w:rPr>
        <w:t>》，《经济管理》，1979年第11期；另参见何亚福博客文章《人口论、人手论和人脑论》，杨支柱博客文章《</w:t>
      </w:r>
      <w:r>
        <w:rPr>
          <w:rFonts w:ascii="宋体" w:hAnsi="宋体"/>
          <w:bCs/>
          <w:kern w:val="0"/>
        </w:rPr>
        <w:t>打倒“人口”</w:t>
      </w:r>
      <w:r>
        <w:rPr>
          <w:rFonts w:ascii="宋体" w:hAnsi="宋体"/>
          <w:bCs/>
        </w:rPr>
        <w:t>学，</w:t>
      </w:r>
      <w:r>
        <w:rPr>
          <w:rFonts w:ascii="宋体" w:hAnsi="宋体"/>
          <w:bCs/>
          <w:kern w:val="0"/>
        </w:rPr>
        <w:t>建立“人手”学</w:t>
      </w:r>
      <w:r>
        <w:rPr>
          <w:rStyle w:val="39"/>
          <w:rFonts w:ascii="宋体" w:hAnsi="宋体" w:eastAsia="宋体"/>
        </w:rPr>
        <w:t>》等</w:t>
      </w:r>
      <w:r>
        <w:rPr>
          <w:rFonts w:ascii="宋体" w:hAnsi="宋体"/>
          <w:kern w:val="0"/>
        </w:rPr>
        <w:t>。</w:t>
      </w:r>
    </w:p>
  </w:footnote>
  <w:footnote w:id="588">
    <w:p w14:paraId="7278E92B">
      <w:pPr>
        <w:pStyle w:val="12"/>
        <w:adjustRightInd w:val="0"/>
        <w:jc w:val="both"/>
        <w:rPr>
          <w:rFonts w:ascii="宋体" w:hAnsi="宋体"/>
          <w:spacing w:val="-4"/>
        </w:rPr>
      </w:pPr>
      <w:r>
        <w:rPr>
          <w:rStyle w:val="20"/>
          <w:rFonts w:ascii="宋体" w:hAnsi="宋体" w:eastAsia="宋体"/>
          <w:spacing w:val="-4"/>
        </w:rPr>
        <w:footnoteRef/>
      </w:r>
      <w:r>
        <w:rPr>
          <w:rFonts w:ascii="宋体" w:hAnsi="宋体"/>
          <w:spacing w:val="-4"/>
        </w:rPr>
        <w:t xml:space="preserve"> </w:t>
      </w:r>
      <w:r>
        <w:rPr>
          <w:rStyle w:val="39"/>
          <w:rFonts w:ascii="宋体" w:hAnsi="宋体" w:eastAsia="宋体"/>
          <w:spacing w:val="-4"/>
        </w:rPr>
        <w:t>李小平：《论中国人口的百年战略与对策——生育控制与农村社会经济问题的综合治理》，《战略与管理》，2004年第3期。</w:t>
      </w:r>
    </w:p>
  </w:footnote>
  <w:footnote w:id="589">
    <w:p w14:paraId="2A978846">
      <w:pPr>
        <w:pStyle w:val="12"/>
        <w:adjustRightInd w:val="0"/>
        <w:jc w:val="both"/>
        <w:rPr>
          <w:rFonts w:ascii="宋体" w:hAnsi="宋体"/>
          <w:bdr w:val="single" w:color="auto" w:sz="4" w:space="0"/>
        </w:rPr>
      </w:pPr>
      <w:r>
        <w:rPr>
          <w:rStyle w:val="20"/>
          <w:rFonts w:ascii="宋体" w:hAnsi="宋体" w:eastAsia="宋体"/>
        </w:rPr>
        <w:footnoteRef/>
      </w:r>
      <w:r>
        <w:rPr>
          <w:rStyle w:val="39"/>
          <w:rFonts w:ascii="宋体" w:hAnsi="宋体" w:eastAsia="宋体"/>
        </w:rPr>
        <w:t xml:space="preserve"> 参见方一：《</w:t>
      </w:r>
      <w:r>
        <w:rPr>
          <w:rStyle w:val="40"/>
          <w:rFonts w:ascii="宋体" w:hAnsi="宋体" w:eastAsia="宋体"/>
          <w:b w:val="0"/>
          <w:sz w:val="18"/>
          <w:szCs w:val="18"/>
        </w:rPr>
        <w:t>“人口论”与“人手论”</w:t>
      </w:r>
      <w:r>
        <w:rPr>
          <w:rStyle w:val="39"/>
          <w:rFonts w:ascii="宋体" w:hAnsi="宋体" w:eastAsia="宋体"/>
        </w:rPr>
        <w:t>》，《经济管理》，1979年第11期；另参见何亚福博客文章《人口论、人手论和人脑论》，杨支柱博客文章《</w:t>
      </w:r>
      <w:r>
        <w:rPr>
          <w:rFonts w:ascii="宋体" w:hAnsi="宋体"/>
          <w:bCs/>
          <w:kern w:val="0"/>
        </w:rPr>
        <w:t>打倒“人口”</w:t>
      </w:r>
      <w:r>
        <w:rPr>
          <w:rFonts w:ascii="宋体" w:hAnsi="宋体"/>
          <w:bCs/>
        </w:rPr>
        <w:t>学，</w:t>
      </w:r>
      <w:r>
        <w:rPr>
          <w:rFonts w:ascii="宋体" w:hAnsi="宋体"/>
          <w:bCs/>
          <w:kern w:val="0"/>
        </w:rPr>
        <w:t>建立“人手”学</w:t>
      </w:r>
      <w:r>
        <w:rPr>
          <w:rStyle w:val="39"/>
          <w:rFonts w:ascii="宋体" w:hAnsi="宋体" w:eastAsia="宋体"/>
        </w:rPr>
        <w:t>》等</w:t>
      </w:r>
      <w:r>
        <w:rPr>
          <w:rFonts w:ascii="宋体" w:hAnsi="宋体"/>
          <w:kern w:val="0"/>
        </w:rPr>
        <w:t>。</w:t>
      </w:r>
    </w:p>
  </w:footnote>
  <w:footnote w:id="590">
    <w:p w14:paraId="5B3E9321">
      <w:pPr>
        <w:pStyle w:val="12"/>
        <w:adjustRightInd w:val="0"/>
        <w:jc w:val="both"/>
        <w:rPr>
          <w:rFonts w:ascii="宋体" w:hAnsi="宋体"/>
          <w:color w:val="000000"/>
        </w:rPr>
      </w:pPr>
      <w:r>
        <w:rPr>
          <w:rStyle w:val="20"/>
          <w:rFonts w:ascii="宋体" w:hAnsi="宋体" w:eastAsia="宋体"/>
        </w:rPr>
        <w:footnoteRef/>
      </w:r>
      <w:r>
        <w:rPr>
          <w:rFonts w:ascii="宋体" w:hAnsi="宋体"/>
        </w:rPr>
        <w:t xml:space="preserve"> 穆光宗：《我国人口政策应如何走？》，《中国社会科学报》，2009年7月2日。</w:t>
      </w:r>
    </w:p>
  </w:footnote>
  <w:footnote w:id="591">
    <w:p w14:paraId="076EFBB8">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参见</w:t>
      </w:r>
      <w:r>
        <w:rPr>
          <w:rFonts w:ascii="宋体" w:hAnsi="宋体"/>
          <w:color w:val="000000"/>
          <w:kern w:val="0"/>
        </w:rPr>
        <w:t>联合国：《关于人口与发展战略和方案的经验：世界人口行动计划的第四次审查和评价(中文)》，A/CONF，1994年版。</w:t>
      </w:r>
    </w:p>
  </w:footnote>
  <w:footnote w:id="592">
    <w:p w14:paraId="6875126F">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kern w:val="0"/>
        </w:rPr>
        <w:t>《中华人民共和国人口与计划生育法》，中国民主法制出版社，2002年版，第5页。</w:t>
      </w:r>
    </w:p>
  </w:footnote>
  <w:footnote w:id="593">
    <w:p w14:paraId="49356B11">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kern w:val="0"/>
        </w:rPr>
        <w:t>《马克思恩格斯选集》第3卷，人民出版社，</w:t>
      </w:r>
      <w:r>
        <w:rPr>
          <w:rFonts w:ascii="宋体" w:hAnsi="宋体"/>
          <w:color w:val="000000"/>
        </w:rPr>
        <w:t>1972年版，</w:t>
      </w:r>
      <w:r>
        <w:rPr>
          <w:rFonts w:ascii="宋体" w:hAnsi="宋体"/>
          <w:color w:val="000000"/>
          <w:kern w:val="0"/>
        </w:rPr>
        <w:t>第12页。</w:t>
      </w:r>
    </w:p>
  </w:footnote>
  <w:footnote w:id="594">
    <w:p w14:paraId="58D8987E">
      <w:pPr>
        <w:pStyle w:val="12"/>
        <w:adjustRightInd w:val="0"/>
        <w:jc w:val="both"/>
        <w:rPr>
          <w:rFonts w:ascii="宋体" w:hAnsi="宋体"/>
          <w:bCs/>
          <w:kern w:val="36"/>
        </w:rPr>
      </w:pPr>
      <w:r>
        <w:rPr>
          <w:rStyle w:val="20"/>
          <w:rFonts w:ascii="宋体" w:hAnsi="宋体" w:eastAsia="宋体"/>
        </w:rPr>
        <w:footnoteRef/>
      </w:r>
      <w:r>
        <w:rPr>
          <w:rFonts w:hint="eastAsia" w:ascii="宋体" w:hAnsi="宋体"/>
        </w:rPr>
        <w:t xml:space="preserve"> </w:t>
      </w:r>
      <w:r>
        <w:rPr>
          <w:rFonts w:ascii="宋体" w:hAnsi="宋体"/>
        </w:rPr>
        <w:t>唐勇林：《</w:t>
      </w:r>
      <w:r>
        <w:rPr>
          <w:rFonts w:ascii="宋体" w:hAnsi="宋体"/>
          <w:bCs/>
          <w:kern w:val="36"/>
        </w:rPr>
        <w:t>“放开二胎刻不容缓”——专访中国人民大学校长纪宝成》，《南方周末》，2009年4月9日，C15版。</w:t>
      </w:r>
    </w:p>
  </w:footnote>
  <w:footnote w:id="595">
    <w:p w14:paraId="5289AF34">
      <w:pPr>
        <w:pStyle w:val="12"/>
        <w:adjustRightInd w:val="0"/>
        <w:jc w:val="both"/>
        <w:rPr>
          <w:rFonts w:ascii="宋体" w:hAnsi="宋体"/>
        </w:rPr>
      </w:pPr>
      <w:r>
        <w:rPr>
          <w:rStyle w:val="20"/>
          <w:rFonts w:ascii="宋体" w:hAnsi="宋体" w:eastAsia="宋体"/>
        </w:rPr>
        <w:footnoteRef/>
      </w:r>
      <w:r>
        <w:rPr>
          <w:rFonts w:ascii="宋体" w:hAnsi="宋体"/>
        </w:rPr>
        <w:t xml:space="preserve"> 参见卡塔琳娜·托马瑟夫斯基：《人口政策中的人权问题》，中国社会科学出版社，1998年版。</w:t>
      </w:r>
    </w:p>
  </w:footnote>
  <w:footnote w:id="596">
    <w:p w14:paraId="6AB3EF83">
      <w:pPr>
        <w:pStyle w:val="12"/>
        <w:adjustRightInd w:val="0"/>
        <w:jc w:val="both"/>
        <w:rPr>
          <w:rFonts w:ascii="宋体" w:hAnsi="宋体"/>
        </w:rPr>
      </w:pPr>
      <w:r>
        <w:rPr>
          <w:rStyle w:val="20"/>
          <w:rFonts w:ascii="宋体" w:hAnsi="宋体" w:eastAsia="宋体"/>
        </w:rPr>
        <w:footnoteRef/>
      </w:r>
      <w:r>
        <w:rPr>
          <w:rFonts w:ascii="宋体" w:hAnsi="宋体"/>
        </w:rPr>
        <w:t xml:space="preserve"> 参见凯伦·梅森：《人口方案侵犯妇女人权吗?》，载《生殖健康与计划生育国际观点与动向》，中国人口出版社，1996年版。</w:t>
      </w:r>
    </w:p>
  </w:footnote>
  <w:footnote w:id="597">
    <w:p w14:paraId="3131997A">
      <w:pPr>
        <w:pStyle w:val="12"/>
        <w:adjustRightInd w:val="0"/>
        <w:jc w:val="both"/>
        <w:rPr>
          <w:rFonts w:ascii="宋体" w:hAnsi="宋体"/>
        </w:rPr>
      </w:pPr>
      <w:r>
        <w:rPr>
          <w:rStyle w:val="20"/>
          <w:rFonts w:ascii="宋体" w:hAnsi="宋体" w:eastAsia="宋体"/>
        </w:rPr>
        <w:footnoteRef/>
      </w:r>
      <w:r>
        <w:rPr>
          <w:rFonts w:ascii="宋体" w:hAnsi="宋体"/>
        </w:rPr>
        <w:t xml:space="preserve"> 参见[加]</w:t>
      </w:r>
      <w:r>
        <w:rPr>
          <w:rFonts w:ascii="宋体" w:hAnsi="宋体"/>
          <w:kern w:val="0"/>
        </w:rPr>
        <w:t>吕贝卡·库克：</w:t>
      </w:r>
      <w:r>
        <w:rPr>
          <w:rFonts w:ascii="宋体" w:hAnsi="宋体"/>
        </w:rPr>
        <w:t>《生殖健康与人权》，高明静等译，中国人口出版社，2005年版。</w:t>
      </w:r>
    </w:p>
  </w:footnote>
  <w:footnote w:id="598">
    <w:p w14:paraId="6AD7DFF6">
      <w:pPr>
        <w:pStyle w:val="12"/>
        <w:adjustRightInd w:val="0"/>
        <w:jc w:val="both"/>
        <w:rPr>
          <w:rFonts w:ascii="宋体" w:hAnsi="宋体"/>
        </w:rPr>
      </w:pPr>
      <w:r>
        <w:rPr>
          <w:rStyle w:val="20"/>
          <w:rFonts w:ascii="宋体" w:hAnsi="宋体" w:eastAsia="宋体"/>
        </w:rPr>
        <w:footnoteRef/>
      </w:r>
      <w:r>
        <w:rPr>
          <w:rFonts w:ascii="宋体" w:hAnsi="宋体"/>
        </w:rPr>
        <w:t xml:space="preserve"> 穆光宗：《我国人口政策应如何走？》，《中国社会科学报》，2009年7月2日。</w:t>
      </w:r>
    </w:p>
  </w:footnote>
  <w:footnote w:id="599">
    <w:p w14:paraId="6BB9E360">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参见[法]卢梭：《社会契约论》，何兆武译，商务印书馆，1980年版，第29页。</w:t>
      </w:r>
    </w:p>
  </w:footnote>
  <w:footnote w:id="600">
    <w:p w14:paraId="292F0F66">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蔡昉等：《人口密度与地区经济发展》，《浙江社会科学》，2001年第6期。</w:t>
      </w:r>
    </w:p>
  </w:footnote>
  <w:footnote w:id="601">
    <w:p w14:paraId="6F89EF3B">
      <w:pPr>
        <w:adjustRightInd w:val="0"/>
        <w:snapToGrid w:val="0"/>
        <w:rPr>
          <w:rFonts w:ascii="宋体" w:hAnsi="宋体" w:eastAsia="宋体"/>
          <w:color w:val="000000"/>
          <w:sz w:val="18"/>
          <w:szCs w:val="18"/>
        </w:rPr>
      </w:pPr>
      <w:r>
        <w:rPr>
          <w:rStyle w:val="20"/>
          <w:rFonts w:ascii="宋体" w:hAnsi="宋体" w:eastAsia="宋体"/>
          <w:color w:val="000000"/>
          <w:sz w:val="18"/>
          <w:szCs w:val="18"/>
        </w:rPr>
        <w:footnoteRef/>
      </w:r>
      <w:r>
        <w:rPr>
          <w:rFonts w:ascii="宋体" w:hAnsi="宋体" w:eastAsia="宋体"/>
          <w:color w:val="000000"/>
          <w:sz w:val="18"/>
          <w:szCs w:val="18"/>
        </w:rPr>
        <w:t xml:space="preserve"> 田雪原等：《21世纪中国人口发展战略研究》，社会科学文献出版社，2007年版，第174-175页。</w:t>
      </w:r>
    </w:p>
  </w:footnote>
  <w:footnote w:id="602">
    <w:p w14:paraId="47217ADC">
      <w:pPr>
        <w:adjustRightInd w:val="0"/>
        <w:snapToGrid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王芳，李小平：《人口老龄化带给我们什么》，《中国信息报》，2007年7月2日，第5版。</w:t>
      </w:r>
    </w:p>
  </w:footnote>
  <w:footnote w:id="603">
    <w:p w14:paraId="633C63BE">
      <w:pPr>
        <w:pStyle w:val="12"/>
        <w:adjustRightInd w:val="0"/>
        <w:jc w:val="both"/>
        <w:rPr>
          <w:rFonts w:ascii="宋体" w:hAnsi="宋体"/>
        </w:rPr>
      </w:pPr>
      <w:r>
        <w:rPr>
          <w:rStyle w:val="20"/>
          <w:rFonts w:ascii="宋体" w:hAnsi="宋体" w:eastAsia="宋体"/>
        </w:rPr>
        <w:footnoteRef/>
      </w:r>
      <w:r>
        <w:rPr>
          <w:rFonts w:ascii="宋体" w:hAnsi="宋体"/>
          <w:kern w:val="0"/>
        </w:rPr>
        <w:t xml:space="preserve"> 国家人口计生委宣教司，中国妇女报经济部：</w:t>
      </w:r>
      <w:r>
        <w:rPr>
          <w:rFonts w:ascii="宋体" w:hAnsi="宋体"/>
        </w:rPr>
        <w:t>《</w:t>
      </w:r>
      <w:r>
        <w:rPr>
          <w:rFonts w:ascii="宋体" w:hAnsi="宋体"/>
          <w:kern w:val="0"/>
        </w:rPr>
        <w:t>坚定不移走中国特色统筹解决人口问题的道路——改革开放与人口发展论坛专家发言摘登</w:t>
      </w:r>
      <w:r>
        <w:rPr>
          <w:rFonts w:ascii="宋体" w:hAnsi="宋体"/>
        </w:rPr>
        <w:t>》，《</w:t>
      </w:r>
      <w:r>
        <w:rPr>
          <w:rFonts w:ascii="宋体" w:hAnsi="宋体"/>
          <w:kern w:val="0"/>
        </w:rPr>
        <w:t>中国妇女报》，2008年10月24日，B2 版</w:t>
      </w:r>
      <w:r>
        <w:rPr>
          <w:rFonts w:ascii="宋体" w:hAnsi="宋体"/>
        </w:rPr>
        <w:t>。</w:t>
      </w:r>
    </w:p>
  </w:footnote>
  <w:footnote w:id="604">
    <w:p w14:paraId="4C9E8A19">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易富贤：《大国空巢》，香港大风出版社，2007年版，第144页。</w:t>
      </w:r>
    </w:p>
  </w:footnote>
  <w:footnote w:id="605">
    <w:p w14:paraId="087D1225">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易富贤：《大国空巢》，香港大风出版社，2007年版，第292页。</w:t>
      </w:r>
    </w:p>
  </w:footnote>
  <w:footnote w:id="606">
    <w:p w14:paraId="77CEB80A">
      <w:pPr>
        <w:adjustRightInd w:val="0"/>
        <w:snapToGrid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王芳，李小平：《人口老龄化带给我们什么》，《中国信息报》，2007年7月2日，第5版。</w:t>
      </w:r>
    </w:p>
  </w:footnote>
  <w:footnote w:id="607">
    <w:p w14:paraId="7C6D02E4">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易富贤：《大国空巢》，香港大风出版社，2007年版，第296页。</w:t>
      </w:r>
    </w:p>
  </w:footnote>
  <w:footnote w:id="608">
    <w:p w14:paraId="738B7AF3">
      <w:pPr>
        <w:adjustRightInd w:val="0"/>
        <w:snapToGrid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王芳，李小平：《人口老龄化带给我们什么》，《中国信息报》，2007年7月2日，第5版。</w:t>
      </w:r>
    </w:p>
  </w:footnote>
  <w:footnote w:id="609">
    <w:p w14:paraId="7F431880">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康建英等：《中国出生性别比偏高及未来女性赤字预测》，《南方人口》，2006年第2期。</w:t>
      </w:r>
    </w:p>
  </w:footnote>
  <w:footnote w:id="610">
    <w:p w14:paraId="2A3D9F3C">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杜守东：《对出生性别比偏高现象应作冷静分析》，《人口学刊》，1997年第1期；李小平：《</w:t>
      </w:r>
      <w:r>
        <w:rPr>
          <w:rStyle w:val="41"/>
          <w:rFonts w:ascii="宋体" w:hAnsi="宋体" w:eastAsia="宋体"/>
          <w:color w:val="000000"/>
        </w:rPr>
        <w:t>进一步降低生育率的必要性和可能性</w:t>
      </w:r>
      <w:r>
        <w:rPr>
          <w:rFonts w:ascii="宋体" w:hAnsi="宋体"/>
          <w:color w:val="000000"/>
        </w:rPr>
        <w:t>》，参见《中国人口年鉴》，2003。</w:t>
      </w:r>
    </w:p>
  </w:footnote>
  <w:footnote w:id="611">
    <w:p w14:paraId="757E9B28">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参见马瀛通：《出生性别比新理论与应用》，首都经济贸易大学出版社，1998年版。</w:t>
      </w:r>
    </w:p>
  </w:footnote>
  <w:footnote w:id="612">
    <w:p w14:paraId="2C6F2783">
      <w:pPr>
        <w:pStyle w:val="12"/>
        <w:adjustRightInd w:val="0"/>
        <w:jc w:val="both"/>
        <w:rPr>
          <w:rFonts w:ascii="宋体" w:hAnsi="宋体"/>
        </w:rPr>
      </w:pPr>
      <w:r>
        <w:rPr>
          <w:rStyle w:val="20"/>
          <w:rFonts w:ascii="宋体" w:hAnsi="宋体" w:eastAsia="宋体"/>
        </w:rPr>
        <w:footnoteRef/>
      </w:r>
      <w:r>
        <w:rPr>
          <w:rFonts w:ascii="宋体" w:hAnsi="宋体"/>
        </w:rPr>
        <w:t xml:space="preserve"> 参见李小平：《</w:t>
      </w:r>
      <w:r>
        <w:rPr>
          <w:rStyle w:val="41"/>
          <w:rFonts w:ascii="宋体" w:hAnsi="宋体" w:eastAsia="宋体"/>
        </w:rPr>
        <w:t>进一步降低生育率的必要性和可能性</w:t>
      </w:r>
      <w:r>
        <w:rPr>
          <w:rFonts w:ascii="宋体" w:hAnsi="宋体"/>
        </w:rPr>
        <w:t>》，《中国人口年鉴》，2003年版。</w:t>
      </w:r>
    </w:p>
  </w:footnote>
  <w:footnote w:id="613">
    <w:p w14:paraId="259CD416">
      <w:pPr>
        <w:shd w:val="clear" w:color="auto" w:fill="FFFFFF"/>
        <w:adjustRightInd w:val="0"/>
        <w:snapToGrid w:val="0"/>
        <w:rPr>
          <w:rFonts w:ascii="宋体" w:hAnsi="宋体" w:eastAsia="宋体"/>
          <w:color w:val="0000FF"/>
          <w:kern w:val="0"/>
          <w:sz w:val="18"/>
          <w:szCs w:val="18"/>
        </w:rPr>
      </w:pPr>
      <w:r>
        <w:rPr>
          <w:rStyle w:val="20"/>
          <w:rFonts w:ascii="宋体" w:hAnsi="宋体" w:eastAsia="宋体"/>
          <w:sz w:val="18"/>
          <w:szCs w:val="18"/>
        </w:rPr>
        <w:footnoteRef/>
      </w:r>
      <w:r>
        <w:rPr>
          <w:rFonts w:ascii="宋体" w:hAnsi="宋体" w:eastAsia="宋体"/>
          <w:kern w:val="0"/>
          <w:sz w:val="18"/>
          <w:szCs w:val="18"/>
        </w:rPr>
        <w:t xml:space="preserve"> </w:t>
      </w:r>
      <w:r>
        <w:rPr>
          <w:rFonts w:ascii="宋体" w:hAnsi="宋体" w:eastAsia="宋体"/>
          <w:sz w:val="18"/>
          <w:szCs w:val="18"/>
        </w:rPr>
        <w:t>参见</w:t>
      </w:r>
      <w:r>
        <w:rPr>
          <w:rFonts w:ascii="宋体" w:hAnsi="宋体" w:eastAsia="宋体"/>
          <w:kern w:val="0"/>
          <w:sz w:val="18"/>
          <w:szCs w:val="18"/>
        </w:rPr>
        <w:t>何亚福：《性别比失衡有多严重》，《东方早报》，2007年7月11日，A15版；《生二胎政策不应有地域差别》，2007年7月13日，A15版。</w:t>
      </w:r>
    </w:p>
  </w:footnote>
  <w:footnote w:id="614">
    <w:p w14:paraId="0EABAEA7">
      <w:pPr>
        <w:autoSpaceDE w:val="0"/>
        <w:autoSpaceDN w:val="0"/>
        <w:adjustRightInd w:val="0"/>
        <w:snapToGrid w:val="0"/>
        <w:rPr>
          <w:rFonts w:ascii="宋体" w:hAnsi="宋体" w:eastAsia="宋体"/>
          <w:color w:val="000000"/>
          <w:sz w:val="18"/>
          <w:szCs w:val="18"/>
        </w:rPr>
      </w:pPr>
      <w:r>
        <w:rPr>
          <w:rStyle w:val="20"/>
          <w:rFonts w:ascii="宋体" w:hAnsi="宋体" w:eastAsia="宋体"/>
          <w:color w:val="000000"/>
          <w:sz w:val="18"/>
          <w:szCs w:val="18"/>
        </w:rPr>
        <w:footnoteRef/>
      </w:r>
      <w:r>
        <w:rPr>
          <w:rFonts w:ascii="宋体" w:hAnsi="宋体" w:eastAsia="宋体"/>
          <w:color w:val="000000"/>
          <w:sz w:val="18"/>
          <w:szCs w:val="18"/>
        </w:rPr>
        <w:t xml:space="preserve"> 参见李小平：《</w:t>
      </w:r>
      <w:r>
        <w:rPr>
          <w:rStyle w:val="41"/>
          <w:rFonts w:ascii="宋体" w:hAnsi="宋体" w:eastAsia="宋体"/>
          <w:color w:val="000000"/>
          <w:sz w:val="18"/>
          <w:szCs w:val="18"/>
        </w:rPr>
        <w:t>进一步降低生育率的必要性和可能性</w:t>
      </w:r>
      <w:r>
        <w:rPr>
          <w:rFonts w:ascii="宋体" w:hAnsi="宋体" w:eastAsia="宋体"/>
          <w:color w:val="000000"/>
          <w:sz w:val="18"/>
          <w:szCs w:val="18"/>
        </w:rPr>
        <w:t>》，《中国人口年鉴》，2003年版。</w:t>
      </w:r>
    </w:p>
  </w:footnote>
  <w:footnote w:id="615">
    <w:p w14:paraId="47704ECD">
      <w:pPr>
        <w:pStyle w:val="12"/>
        <w:adjustRightInd w:val="0"/>
        <w:snapToGrid/>
        <w:jc w:val="both"/>
        <w:rPr>
          <w:rStyle w:val="42"/>
          <w:rFonts w:ascii="宋体" w:hAnsi="宋体" w:eastAsia="宋体"/>
          <w:sz w:val="18"/>
          <w:szCs w:val="18"/>
        </w:rPr>
      </w:pPr>
      <w:r>
        <w:rPr>
          <w:rStyle w:val="20"/>
          <w:rFonts w:ascii="宋体" w:hAnsi="宋体" w:eastAsia="宋体"/>
        </w:rPr>
        <w:footnoteRef/>
      </w:r>
      <w:r>
        <w:rPr>
          <w:rFonts w:ascii="宋体" w:hAnsi="宋体"/>
          <w:kern w:val="0"/>
        </w:rPr>
        <w:t xml:space="preserve"> 参见廖怀凌</w:t>
      </w:r>
      <w:r>
        <w:rPr>
          <w:rFonts w:ascii="宋体" w:hAnsi="宋体"/>
        </w:rPr>
        <w:t>等：《</w:t>
      </w:r>
      <w:r>
        <w:rPr>
          <w:rFonts w:ascii="宋体" w:hAnsi="宋体"/>
          <w:kern w:val="0"/>
        </w:rPr>
        <w:t>针对计生政策“可能调整”传言，国家计生委主任张维庆首次公开回应：中国现行生育政策不会调整</w:t>
      </w:r>
      <w:r>
        <w:rPr>
          <w:rStyle w:val="42"/>
          <w:rFonts w:hint="eastAsia" w:ascii="宋体" w:hAnsi="宋体" w:eastAsia="宋体"/>
          <w:sz w:val="18"/>
          <w:szCs w:val="18"/>
        </w:rPr>
        <w:t>，</w:t>
      </w:r>
      <w:r>
        <w:rPr>
          <w:rFonts w:ascii="宋体" w:hAnsi="宋体"/>
          <w:kern w:val="0"/>
        </w:rPr>
        <w:t>2008年3月6日，A6版。</w:t>
      </w:r>
    </w:p>
  </w:footnote>
  <w:footnote w:id="616">
    <w:p w14:paraId="6DAD8F78">
      <w:pPr>
        <w:adjustRightInd w:val="0"/>
        <w:snapToGrid w:val="0"/>
        <w:rPr>
          <w:rFonts w:ascii="宋体" w:hAnsi="宋体" w:eastAsia="宋体"/>
          <w:color w:val="000000"/>
          <w:sz w:val="18"/>
          <w:szCs w:val="18"/>
        </w:rPr>
      </w:pPr>
      <w:r>
        <w:rPr>
          <w:rStyle w:val="20"/>
          <w:rFonts w:ascii="宋体" w:hAnsi="宋体" w:eastAsia="宋体"/>
          <w:color w:val="000000"/>
          <w:sz w:val="18"/>
          <w:szCs w:val="18"/>
        </w:rPr>
        <w:footnoteRef/>
      </w:r>
      <w:r>
        <w:rPr>
          <w:rFonts w:ascii="宋体" w:hAnsi="宋体" w:eastAsia="宋体"/>
          <w:color w:val="000000"/>
          <w:sz w:val="18"/>
          <w:szCs w:val="18"/>
        </w:rPr>
        <w:t xml:space="preserve"> 曹景椿：《对我国人口发展战略的再思考》，载于翟振武、李建新主编《中国人口：太多还是太老》，社会科学文献出版社，2005年版，第282页。</w:t>
      </w:r>
    </w:p>
  </w:footnote>
  <w:footnote w:id="617">
    <w:p w14:paraId="3F9D9B71">
      <w:pPr>
        <w:pStyle w:val="12"/>
        <w:adjustRightInd w:val="0"/>
        <w:jc w:val="both"/>
        <w:rPr>
          <w:rFonts w:ascii="宋体" w:hAnsi="宋体"/>
        </w:rPr>
      </w:pPr>
      <w:r>
        <w:rPr>
          <w:rStyle w:val="20"/>
          <w:rFonts w:ascii="宋体" w:hAnsi="宋体" w:eastAsia="宋体"/>
        </w:rPr>
        <w:footnoteRef/>
      </w:r>
      <w:r>
        <w:rPr>
          <w:rStyle w:val="43"/>
          <w:rFonts w:ascii="宋体" w:hAnsi="宋体" w:eastAsia="宋体"/>
          <w:b w:val="0"/>
          <w:sz w:val="18"/>
          <w:szCs w:val="18"/>
        </w:rPr>
        <w:t xml:space="preserve"> 参见本报记者：《独生子女家庭的五大风险》，《报刊文摘》，2006年9月15日</w:t>
      </w:r>
      <w:r>
        <w:rPr>
          <w:rFonts w:ascii="宋体" w:hAnsi="宋体"/>
        </w:rPr>
        <w:t>。</w:t>
      </w:r>
    </w:p>
  </w:footnote>
  <w:footnote w:id="618">
    <w:p w14:paraId="47092F7F">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参见李龙：《宪法基础理论》，武汉大学出版社，1999年版，第373-379页；杨建顺著：《日本行政法通论》，中国法制出版社，1998年版，第38-39页。</w:t>
      </w:r>
    </w:p>
  </w:footnote>
  <w:footnote w:id="619">
    <w:p w14:paraId="1F30F69F">
      <w:pPr>
        <w:pStyle w:val="12"/>
        <w:adjustRightInd w:val="0"/>
        <w:snapToGrid/>
        <w:jc w:val="both"/>
        <w:rPr>
          <w:rFonts w:ascii="宋体" w:hAnsi="宋体"/>
          <w:color w:val="000000"/>
        </w:rPr>
      </w:pPr>
      <w:r>
        <w:rPr>
          <w:rStyle w:val="20"/>
          <w:rFonts w:ascii="宋体" w:hAnsi="宋体" w:eastAsia="宋体"/>
          <w:color w:val="000000"/>
        </w:rPr>
        <w:footnoteRef/>
      </w:r>
      <w:r>
        <w:rPr>
          <w:rFonts w:ascii="宋体" w:hAnsi="宋体"/>
          <w:color w:val="000000"/>
        </w:rPr>
        <w:t xml:space="preserve"> 杜乃华：《谁来保卫21世纪的中国——“独生子女兵”问题探析》，《青年研究》，1993年第12期。</w:t>
      </w:r>
    </w:p>
  </w:footnote>
  <w:footnote w:id="620">
    <w:p w14:paraId="50F8CC33">
      <w:pPr>
        <w:pStyle w:val="12"/>
        <w:adjustRightInd w:val="0"/>
        <w:snapToGrid/>
        <w:jc w:val="both"/>
        <w:rPr>
          <w:rFonts w:ascii="宋体" w:hAnsi="宋体"/>
          <w:color w:val="000000"/>
        </w:rPr>
      </w:pPr>
      <w:r>
        <w:rPr>
          <w:rStyle w:val="20"/>
          <w:rFonts w:ascii="宋体" w:hAnsi="宋体" w:eastAsia="宋体"/>
          <w:color w:val="000000"/>
        </w:rPr>
        <w:footnoteRef/>
      </w:r>
      <w:r>
        <w:rPr>
          <w:rFonts w:ascii="宋体" w:hAnsi="宋体"/>
          <w:color w:val="000000"/>
        </w:rPr>
        <w:t xml:space="preserve"> 易富贤：《大国空巢》，香港大风出版社，2007年版，第104页。</w:t>
      </w:r>
    </w:p>
  </w:footnote>
  <w:footnote w:id="621">
    <w:p w14:paraId="21E76906">
      <w:pPr>
        <w:autoSpaceDE w:val="0"/>
        <w:autoSpaceDN w:val="0"/>
        <w:adjustRightInd w:val="0"/>
        <w:rPr>
          <w:rFonts w:ascii="宋体" w:hAnsi="宋体" w:eastAsia="宋体"/>
          <w:sz w:val="18"/>
          <w:szCs w:val="18"/>
        </w:rPr>
      </w:pPr>
      <w:r>
        <w:rPr>
          <w:rStyle w:val="20"/>
          <w:rFonts w:ascii="宋体" w:hAnsi="宋体" w:eastAsia="宋体"/>
          <w:sz w:val="18"/>
          <w:szCs w:val="18"/>
        </w:rPr>
        <w:footnoteRef/>
      </w:r>
      <w:r>
        <w:rPr>
          <w:rFonts w:ascii="宋体" w:hAnsi="宋体" w:eastAsia="宋体"/>
          <w:sz w:val="18"/>
          <w:szCs w:val="18"/>
        </w:rPr>
        <w:t xml:space="preserve"> 温家宝：《把目光投向中国——在哈佛大学的演讲》，《人民日报海外版》，2003年12月12日， 第1版。</w:t>
      </w:r>
    </w:p>
  </w:footnote>
  <w:footnote w:id="622">
    <w:p w14:paraId="6234DD5E">
      <w:pPr>
        <w:pStyle w:val="12"/>
        <w:adjustRightInd w:val="0"/>
        <w:snapToGrid/>
        <w:jc w:val="both"/>
        <w:rPr>
          <w:rFonts w:ascii="宋体" w:hAnsi="宋体"/>
          <w:color w:val="000000"/>
        </w:rPr>
      </w:pPr>
      <w:r>
        <w:rPr>
          <w:rStyle w:val="20"/>
          <w:rFonts w:ascii="宋体" w:hAnsi="宋体" w:eastAsia="宋体"/>
          <w:color w:val="000000"/>
        </w:rPr>
        <w:footnoteRef/>
      </w:r>
      <w:r>
        <w:rPr>
          <w:rFonts w:ascii="宋体" w:hAnsi="宋体"/>
          <w:color w:val="000000"/>
        </w:rPr>
        <w:t xml:space="preserve"> </w:t>
      </w:r>
      <w:r>
        <w:rPr>
          <w:rFonts w:ascii="宋体" w:hAnsi="宋体"/>
          <w:color w:val="000000"/>
          <w:kern w:val="0"/>
        </w:rPr>
        <w:t>《中华人民共和国年鉴2008》，中华人民共和国年鉴社，2008年版，第964页。</w:t>
      </w:r>
    </w:p>
  </w:footnote>
  <w:footnote w:id="623">
    <w:p w14:paraId="318932EB">
      <w:pPr>
        <w:pStyle w:val="12"/>
        <w:adjustRightInd w:val="0"/>
        <w:snapToGrid/>
        <w:jc w:val="both"/>
        <w:rPr>
          <w:rFonts w:ascii="宋体" w:hAnsi="宋体"/>
          <w:color w:val="000000"/>
        </w:rPr>
      </w:pPr>
      <w:r>
        <w:rPr>
          <w:rStyle w:val="20"/>
          <w:rFonts w:ascii="宋体" w:hAnsi="宋体" w:eastAsia="宋体"/>
          <w:color w:val="000000"/>
        </w:rPr>
        <w:footnoteRef/>
      </w:r>
      <w:r>
        <w:rPr>
          <w:rFonts w:ascii="宋体" w:hAnsi="宋体"/>
          <w:color w:val="000000"/>
        </w:rPr>
        <w:t xml:space="preserve"> </w:t>
      </w:r>
      <w:r>
        <w:rPr>
          <w:rFonts w:ascii="宋体" w:hAnsi="宋体"/>
          <w:color w:val="000000"/>
          <w:kern w:val="0"/>
        </w:rPr>
        <w:t>李建民：《持续的挑战-21世纪中国人口形势、问题与对策》，科学出版社，2000年版，第182页。</w:t>
      </w:r>
    </w:p>
  </w:footnote>
  <w:footnote w:id="624">
    <w:p w14:paraId="598AB3E1">
      <w:pPr>
        <w:pStyle w:val="12"/>
        <w:adjustRightInd w:val="0"/>
        <w:snapToGrid/>
        <w:jc w:val="both"/>
        <w:rPr>
          <w:rFonts w:ascii="宋体" w:hAnsi="宋体"/>
          <w:color w:val="000000"/>
        </w:rPr>
      </w:pPr>
      <w:r>
        <w:rPr>
          <w:rStyle w:val="20"/>
          <w:rFonts w:ascii="宋体" w:hAnsi="宋体" w:eastAsia="宋体"/>
          <w:color w:val="000000"/>
        </w:rPr>
        <w:footnoteRef/>
      </w:r>
      <w:r>
        <w:rPr>
          <w:rFonts w:ascii="宋体" w:hAnsi="宋体"/>
          <w:color w:val="000000"/>
        </w:rPr>
        <w:t xml:space="preserve"> 陈立等：《2007年全国人口和计划生育形势分析报告》，《2008中国人口和计划生育年鉴》，第4页。</w:t>
      </w:r>
    </w:p>
  </w:footnote>
  <w:footnote w:id="625">
    <w:p w14:paraId="1099A438">
      <w:pPr>
        <w:pStyle w:val="12"/>
        <w:adjustRightInd w:val="0"/>
        <w:snapToGrid/>
        <w:jc w:val="both"/>
        <w:rPr>
          <w:rFonts w:ascii="宋体" w:hAnsi="宋体"/>
          <w:color w:val="000000"/>
          <w:spacing w:val="-6"/>
        </w:rPr>
      </w:pPr>
      <w:r>
        <w:rPr>
          <w:rStyle w:val="20"/>
          <w:rFonts w:ascii="宋体" w:hAnsi="宋体" w:eastAsia="宋体"/>
          <w:color w:val="000000"/>
          <w:spacing w:val="-6"/>
        </w:rPr>
        <w:footnoteRef/>
      </w:r>
      <w:r>
        <w:rPr>
          <w:rFonts w:ascii="宋体" w:hAnsi="宋体"/>
          <w:color w:val="000000"/>
          <w:spacing w:val="-6"/>
        </w:rPr>
        <w:t xml:space="preserve"> </w:t>
      </w:r>
      <w:r>
        <w:rPr>
          <w:rFonts w:ascii="宋体" w:hAnsi="宋体"/>
          <w:color w:val="000000"/>
          <w:spacing w:val="-6"/>
          <w:kern w:val="0"/>
        </w:rPr>
        <w:t>中共中央、国务院：《关于加强人口与计划生育工作稳定低生育水平的决定》，《人民日报》，2000年5月8日，第1版。</w:t>
      </w:r>
    </w:p>
  </w:footnote>
  <w:footnote w:id="626">
    <w:p w14:paraId="2C6FBF43">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袁守启：《中国未来20年的劳动力就业与流动》，《中国人力资源开发》，1999年第11期。</w:t>
      </w:r>
    </w:p>
  </w:footnote>
  <w:footnote w:id="627">
    <w:p w14:paraId="0BB9BBFE">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易富贤：《大国空巢》，香港大风出版社，2007年版，第3页。</w:t>
      </w:r>
    </w:p>
  </w:footnote>
  <w:footnote w:id="628">
    <w:p w14:paraId="19A0A958">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易富贤：《大国空巢》，香港大风出版社，2007年版，第433页。</w:t>
      </w:r>
    </w:p>
  </w:footnote>
  <w:footnote w:id="629">
    <w:p w14:paraId="234F0DD4">
      <w:pPr>
        <w:pStyle w:val="12"/>
        <w:adjustRightInd w:val="0"/>
        <w:jc w:val="both"/>
        <w:rPr>
          <w:rFonts w:ascii="宋体" w:hAnsi="宋体"/>
          <w:bdr w:val="single" w:color="auto" w:sz="4" w:space="0"/>
        </w:rPr>
      </w:pPr>
      <w:r>
        <w:rPr>
          <w:rStyle w:val="20"/>
          <w:rFonts w:ascii="宋体" w:hAnsi="宋体" w:eastAsia="宋体"/>
        </w:rPr>
        <w:footnoteRef/>
      </w:r>
      <w:r>
        <w:rPr>
          <w:rFonts w:ascii="宋体" w:hAnsi="宋体"/>
          <w:kern w:val="0"/>
        </w:rPr>
        <w:t xml:space="preserve"> 国家人口计生委宣教司，中国妇女报经济部：</w:t>
      </w:r>
      <w:r>
        <w:rPr>
          <w:rFonts w:ascii="宋体" w:hAnsi="宋体"/>
        </w:rPr>
        <w:t>《</w:t>
      </w:r>
      <w:r>
        <w:rPr>
          <w:rFonts w:ascii="宋体" w:hAnsi="宋体"/>
          <w:kern w:val="0"/>
        </w:rPr>
        <w:t>坚定不移走中国特色统筹解决人口问题的道路</w:t>
      </w:r>
      <w:r>
        <w:rPr>
          <w:rFonts w:hint="eastAsia" w:ascii="宋体" w:hAnsi="宋体"/>
          <w:kern w:val="0"/>
        </w:rPr>
        <w:t>——</w:t>
      </w:r>
      <w:r>
        <w:rPr>
          <w:rFonts w:ascii="宋体" w:hAnsi="宋体"/>
          <w:kern w:val="0"/>
        </w:rPr>
        <w:t>改革开放与人口发展论坛专家发言摘登</w:t>
      </w:r>
      <w:r>
        <w:rPr>
          <w:rFonts w:ascii="宋体" w:hAnsi="宋体"/>
        </w:rPr>
        <w:t>》，《</w:t>
      </w:r>
      <w:r>
        <w:rPr>
          <w:rFonts w:ascii="宋体" w:hAnsi="宋体"/>
          <w:kern w:val="0"/>
        </w:rPr>
        <w:t>中国妇女报》，2008年10月24日，B2 版</w:t>
      </w:r>
      <w:r>
        <w:rPr>
          <w:rFonts w:ascii="宋体" w:hAnsi="宋体"/>
        </w:rPr>
        <w:t>。</w:t>
      </w:r>
    </w:p>
  </w:footnote>
  <w:footnote w:id="630">
    <w:p w14:paraId="3105BFC4">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w:t>
      </w:r>
      <w:r>
        <w:rPr>
          <w:rStyle w:val="39"/>
          <w:rFonts w:ascii="宋体" w:hAnsi="宋体" w:eastAsia="宋体"/>
          <w:color w:val="000000"/>
        </w:rPr>
        <w:t>参见风笑天：《中国独生子女：规模、差异与评价》，《理论月刊》，2006年第4期。</w:t>
      </w:r>
    </w:p>
  </w:footnote>
  <w:footnote w:id="631">
    <w:p w14:paraId="790076A2">
      <w:pPr>
        <w:pStyle w:val="12"/>
        <w:adjustRightInd w:val="0"/>
        <w:jc w:val="both"/>
        <w:rPr>
          <w:rFonts w:ascii="宋体" w:hAnsi="宋体"/>
          <w:color w:val="000000"/>
        </w:rPr>
      </w:pPr>
      <w:r>
        <w:rPr>
          <w:rStyle w:val="20"/>
          <w:rFonts w:ascii="宋体" w:hAnsi="宋体" w:eastAsia="宋体"/>
          <w:color w:val="000000"/>
        </w:rPr>
        <w:footnoteRef/>
      </w:r>
      <w:r>
        <w:rPr>
          <w:rStyle w:val="39"/>
          <w:rFonts w:ascii="宋体" w:hAnsi="宋体" w:eastAsia="宋体"/>
          <w:color w:val="000000"/>
        </w:rPr>
        <w:t xml:space="preserve"> 风笑天：《中国独生子女：规模、差异与评价》，《理论月刊》，2006年第4期。</w:t>
      </w:r>
    </w:p>
  </w:footnote>
  <w:footnote w:id="632">
    <w:p w14:paraId="0DF39D52">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w:t>
      </w:r>
      <w:r>
        <w:rPr>
          <w:rFonts w:ascii="宋体" w:hAnsi="宋体"/>
          <w:bCs/>
          <w:color w:val="000000"/>
        </w:rPr>
        <w:t>参见苏项兴：《独生子女：从新国情向新学科的发展》，《当代青年研究》，1994年第1期。</w:t>
      </w:r>
    </w:p>
  </w:footnote>
  <w:footnote w:id="633">
    <w:p w14:paraId="58416AA5">
      <w:pPr>
        <w:pStyle w:val="12"/>
        <w:adjustRightInd w:val="0"/>
        <w:jc w:val="both"/>
        <w:rPr>
          <w:rFonts w:ascii="宋体" w:hAnsi="宋体"/>
          <w:color w:val="000000"/>
        </w:rPr>
      </w:pPr>
      <w:r>
        <w:rPr>
          <w:rStyle w:val="20"/>
          <w:rFonts w:ascii="宋体" w:hAnsi="宋体" w:eastAsia="宋体"/>
          <w:color w:val="000000"/>
        </w:rPr>
        <w:footnoteRef/>
      </w:r>
      <w:r>
        <w:rPr>
          <w:rFonts w:ascii="宋体" w:hAnsi="宋体"/>
          <w:color w:val="000000"/>
        </w:rPr>
        <w:t xml:space="preserve"> </w:t>
      </w:r>
      <w:r>
        <w:rPr>
          <w:rStyle w:val="39"/>
          <w:rFonts w:ascii="宋体" w:hAnsi="宋体" w:eastAsia="宋体"/>
          <w:color w:val="000000"/>
        </w:rPr>
        <w:t>李妍等：《独生子女社会化过程及其结果探析》，《才智》，2009年第11期。</w:t>
      </w:r>
    </w:p>
  </w:footnote>
  <w:footnote w:id="634">
    <w:p w14:paraId="36CF3188">
      <w:pPr>
        <w:pStyle w:val="12"/>
        <w:adjustRightInd w:val="0"/>
        <w:snapToGrid/>
        <w:jc w:val="both"/>
        <w:rPr>
          <w:rFonts w:ascii="宋体" w:hAnsi="宋体"/>
        </w:rPr>
      </w:pPr>
      <w:r>
        <w:rPr>
          <w:rStyle w:val="20"/>
          <w:rFonts w:ascii="宋体" w:hAnsi="宋体" w:eastAsia="宋体"/>
        </w:rPr>
        <w:footnoteRef/>
      </w:r>
      <w:r>
        <w:rPr>
          <w:rFonts w:ascii="宋体" w:hAnsi="宋体"/>
        </w:rPr>
        <w:t xml:space="preserve"> </w:t>
      </w:r>
      <w:r>
        <w:rPr>
          <w:rStyle w:val="39"/>
          <w:rFonts w:ascii="宋体" w:hAnsi="宋体" w:eastAsia="宋体"/>
        </w:rPr>
        <w:t>参见风笑天：《中国独生子女：规模、差异与评价》，《理论月刊》，2006年第4期。</w:t>
      </w:r>
    </w:p>
  </w:footnote>
  <w:footnote w:id="635">
    <w:p w14:paraId="6B5331CA">
      <w:pPr>
        <w:pStyle w:val="12"/>
        <w:adjustRightInd w:val="0"/>
        <w:snapToGrid/>
        <w:jc w:val="both"/>
        <w:rPr>
          <w:rFonts w:ascii="宋体" w:hAnsi="宋体"/>
          <w:color w:val="0000FF"/>
        </w:rPr>
      </w:pPr>
      <w:r>
        <w:rPr>
          <w:rStyle w:val="20"/>
          <w:rFonts w:ascii="宋体" w:hAnsi="宋体" w:eastAsia="宋体"/>
        </w:rPr>
        <w:footnoteRef/>
      </w:r>
      <w:r>
        <w:rPr>
          <w:rFonts w:ascii="宋体" w:hAnsi="宋体"/>
        </w:rPr>
        <w:t xml:space="preserve"> 唐勇林：《</w:t>
      </w:r>
      <w:r>
        <w:rPr>
          <w:rFonts w:ascii="宋体" w:hAnsi="宋体"/>
          <w:bCs/>
          <w:kern w:val="36"/>
        </w:rPr>
        <w:t>“放开二胎刻不容缓”——专访中国人民大学校长纪宝成》，《南方周末》，2009年4月9日，C15版。</w:t>
      </w:r>
    </w:p>
  </w:footnote>
  <w:footnote w:id="636">
    <w:p w14:paraId="3B3AF623">
      <w:pPr>
        <w:pStyle w:val="12"/>
        <w:adjustRightInd w:val="0"/>
        <w:snapToGrid/>
        <w:jc w:val="both"/>
        <w:rPr>
          <w:rFonts w:ascii="宋体" w:hAnsi="宋体"/>
        </w:rPr>
      </w:pPr>
      <w:r>
        <w:rPr>
          <w:rStyle w:val="20"/>
          <w:rFonts w:ascii="宋体" w:hAnsi="宋体" w:eastAsia="宋体"/>
        </w:rPr>
        <w:footnoteRef/>
      </w:r>
      <w:r>
        <w:rPr>
          <w:rStyle w:val="39"/>
          <w:rFonts w:ascii="宋体" w:hAnsi="宋体" w:eastAsia="宋体"/>
        </w:rPr>
        <w:t xml:space="preserve"> 参见风笑天：《中国独生子女研究：回顾与前瞻》，《江海学刊》，2002年第5期。</w:t>
      </w:r>
    </w:p>
  </w:footnote>
  <w:footnote w:id="637">
    <w:p w14:paraId="64005181">
      <w:pPr>
        <w:pStyle w:val="12"/>
        <w:adjustRightInd w:val="0"/>
        <w:snapToGrid/>
        <w:jc w:val="both"/>
        <w:rPr>
          <w:rFonts w:ascii="宋体" w:hAnsi="宋体"/>
        </w:rPr>
      </w:pPr>
      <w:r>
        <w:rPr>
          <w:rStyle w:val="20"/>
          <w:rFonts w:ascii="宋体" w:hAnsi="宋体" w:eastAsia="宋体"/>
        </w:rPr>
        <w:footnoteRef/>
      </w:r>
      <w:r>
        <w:rPr>
          <w:rStyle w:val="39"/>
          <w:rFonts w:ascii="宋体" w:hAnsi="宋体" w:eastAsia="宋体"/>
        </w:rPr>
        <w:t xml:space="preserve"> 风笑天：《中国独生子女：规模、差异与评价》，《理论月刊》，2006年第4期。</w:t>
      </w:r>
    </w:p>
  </w:footnote>
  <w:footnote w:id="638">
    <w:p w14:paraId="61949662">
      <w:pPr>
        <w:pStyle w:val="12"/>
        <w:adjustRightInd w:val="0"/>
        <w:snapToGrid/>
        <w:jc w:val="both"/>
        <w:rPr>
          <w:rFonts w:ascii="宋体" w:hAnsi="宋体"/>
          <w:color w:val="0000FF"/>
        </w:rPr>
      </w:pPr>
      <w:r>
        <w:rPr>
          <w:rStyle w:val="20"/>
          <w:rFonts w:ascii="宋体" w:hAnsi="宋体" w:eastAsia="宋体"/>
        </w:rPr>
        <w:footnoteRef/>
      </w:r>
      <w:r>
        <w:rPr>
          <w:rFonts w:ascii="宋体" w:hAnsi="宋体"/>
        </w:rPr>
        <w:t xml:space="preserve"> 唐勇林：《</w:t>
      </w:r>
      <w:r>
        <w:rPr>
          <w:rFonts w:ascii="宋体" w:hAnsi="宋体"/>
          <w:bCs/>
          <w:kern w:val="36"/>
        </w:rPr>
        <w:t>“放开二胎刻不容缓”——专访中国人民大学校长纪宝成》，《南方周末》，2009年4月9日，C15版。</w:t>
      </w:r>
    </w:p>
  </w:footnote>
  <w:footnote w:id="639">
    <w:p w14:paraId="63CC3E40">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ascii="宋体" w:hAnsi="宋体" w:cs="宋体"/>
          <w:color w:val="231F20"/>
          <w:kern w:val="0"/>
          <w:sz w:val="20"/>
          <w:szCs w:val="20"/>
        </w:rPr>
        <w:t>马克思恩格斯全集（第</w:t>
      </w:r>
      <w:r>
        <w:rPr>
          <w:rFonts w:ascii="宋体" w:hAnsi="宋体" w:cs="宋体"/>
          <w:color w:val="231F20"/>
          <w:kern w:val="0"/>
          <w:sz w:val="20"/>
          <w:szCs w:val="20"/>
        </w:rPr>
        <w:t>16</w:t>
      </w:r>
      <w:r>
        <w:rPr>
          <w:rFonts w:hint="eastAsia" w:ascii="宋体" w:hAnsi="宋体" w:cs="宋体"/>
          <w:color w:val="231F20"/>
          <w:kern w:val="0"/>
          <w:sz w:val="20"/>
          <w:szCs w:val="20"/>
        </w:rPr>
        <w:t>卷）</w:t>
      </w:r>
      <w:r>
        <w:rPr>
          <w:rFonts w:ascii="宋体" w:hAnsi="宋体" w:cs="宋体"/>
          <w:color w:val="231F20"/>
          <w:kern w:val="0"/>
          <w:sz w:val="20"/>
          <w:szCs w:val="20"/>
        </w:rPr>
        <w:t>[M].</w:t>
      </w:r>
      <w:r>
        <w:rPr>
          <w:rFonts w:hint="eastAsia" w:ascii="宋体" w:hAnsi="宋体" w:cs="宋体"/>
          <w:color w:val="231F20"/>
          <w:kern w:val="0"/>
          <w:sz w:val="20"/>
          <w:szCs w:val="20"/>
        </w:rPr>
        <w:t>北京：人民出版社，</w:t>
      </w:r>
      <w:r>
        <w:rPr>
          <w:rFonts w:ascii="宋体" w:hAnsi="宋体" w:cs="宋体"/>
          <w:color w:val="231F20"/>
          <w:kern w:val="0"/>
          <w:sz w:val="20"/>
          <w:szCs w:val="20"/>
        </w:rPr>
        <w:t>1964</w:t>
      </w:r>
      <w:r>
        <w:rPr>
          <w:rFonts w:hint="eastAsia" w:ascii="宋体" w:hAnsi="宋体" w:cs="宋体"/>
          <w:color w:val="231F20"/>
          <w:kern w:val="0"/>
          <w:sz w:val="20"/>
          <w:szCs w:val="20"/>
        </w:rPr>
        <w:t>年版第</w:t>
      </w:r>
      <w:r>
        <w:rPr>
          <w:rFonts w:ascii="宋体" w:hAnsi="宋体" w:cs="宋体"/>
          <w:color w:val="231F20"/>
          <w:kern w:val="0"/>
          <w:sz w:val="26"/>
          <w:szCs w:val="26"/>
        </w:rPr>
        <w:t>263</w:t>
      </w:r>
      <w:r>
        <w:rPr>
          <w:rFonts w:hint="eastAsia" w:ascii="宋体" w:hAnsi="宋体" w:cs="宋体"/>
          <w:color w:val="231F20"/>
          <w:kern w:val="0"/>
          <w:sz w:val="26"/>
          <w:szCs w:val="26"/>
        </w:rPr>
        <w:t>页</w:t>
      </w:r>
      <w:r>
        <w:rPr>
          <w:rFonts w:ascii="宋体" w:hAnsi="宋体" w:cs="宋体"/>
          <w:color w:val="231F20"/>
          <w:kern w:val="0"/>
          <w:sz w:val="20"/>
          <w:szCs w:val="20"/>
        </w:rPr>
        <w:t>.</w:t>
      </w:r>
    </w:p>
  </w:footnote>
  <w:footnote w:id="640">
    <w:p w14:paraId="01875C95">
      <w:pPr>
        <w:pStyle w:val="12"/>
        <w:pageBreakBefore w:val="0"/>
        <w:kinsoku/>
        <w:wordWrap/>
        <w:overflowPunct/>
        <w:topLinePunct w:val="0"/>
        <w:bidi w:val="0"/>
        <w:spacing w:beforeAutospacing="0" w:afterAutospacing="0" w:line="240" w:lineRule="auto"/>
        <w:ind w:left="0"/>
        <w:textAlignment w:val="auto"/>
      </w:pPr>
      <w:r>
        <w:rPr>
          <w:rStyle w:val="20"/>
        </w:rPr>
        <w:footnoteRef/>
      </w:r>
      <w:r>
        <w:rPr>
          <w:rFonts w:hint="eastAsia" w:ascii="宋体" w:hAnsi="宋体" w:cs="宋体"/>
          <w:color w:val="231F20"/>
          <w:kern w:val="0"/>
          <w:sz w:val="20"/>
          <w:szCs w:val="20"/>
        </w:rPr>
        <w:t>我国从</w:t>
      </w:r>
      <w:r>
        <w:rPr>
          <w:rFonts w:ascii="宋体" w:hAnsi="宋体" w:cs="宋体"/>
          <w:color w:val="231F20"/>
          <w:kern w:val="0"/>
          <w:sz w:val="20"/>
          <w:szCs w:val="20"/>
        </w:rPr>
        <w:t>2008</w:t>
      </w:r>
      <w:r>
        <w:rPr>
          <w:rFonts w:hint="eastAsia" w:ascii="宋体" w:hAnsi="宋体" w:cs="宋体"/>
          <w:color w:val="231F20"/>
          <w:kern w:val="0"/>
          <w:sz w:val="20"/>
          <w:szCs w:val="20"/>
        </w:rPr>
        <w:t>年</w:t>
      </w:r>
      <w:r>
        <w:rPr>
          <w:rFonts w:ascii="宋体" w:hAnsi="宋体" w:cs="宋体"/>
          <w:color w:val="231F20"/>
          <w:kern w:val="0"/>
          <w:sz w:val="20"/>
          <w:szCs w:val="20"/>
        </w:rPr>
        <w:t>3</w:t>
      </w:r>
      <w:r>
        <w:rPr>
          <w:rFonts w:hint="eastAsia" w:ascii="宋体" w:hAnsi="宋体" w:cs="宋体"/>
          <w:color w:val="231F20"/>
          <w:kern w:val="0"/>
          <w:sz w:val="20"/>
          <w:szCs w:val="20"/>
        </w:rPr>
        <w:t>月</w:t>
      </w:r>
      <w:r>
        <w:rPr>
          <w:rFonts w:ascii="宋体" w:hAnsi="宋体" w:cs="宋体"/>
          <w:color w:val="231F20"/>
          <w:kern w:val="0"/>
          <w:sz w:val="20"/>
          <w:szCs w:val="20"/>
        </w:rPr>
        <w:t>1</w:t>
      </w:r>
      <w:r>
        <w:rPr>
          <w:rFonts w:hint="eastAsia" w:ascii="宋体" w:hAnsi="宋体" w:cs="宋体"/>
          <w:color w:val="231F20"/>
          <w:kern w:val="0"/>
          <w:sz w:val="20"/>
          <w:szCs w:val="20"/>
        </w:rPr>
        <w:t>日起个税起征点已经提高到月收入</w:t>
      </w:r>
      <w:r>
        <w:rPr>
          <w:rFonts w:ascii="宋体" w:hAnsi="宋体" w:cs="宋体"/>
          <w:color w:val="231F20"/>
          <w:kern w:val="0"/>
          <w:sz w:val="20"/>
          <w:szCs w:val="20"/>
        </w:rPr>
        <w:t>2000</w:t>
      </w:r>
      <w:r>
        <w:rPr>
          <w:rFonts w:hint="eastAsia" w:ascii="宋体" w:hAnsi="宋体" w:cs="宋体"/>
          <w:color w:val="231F20"/>
          <w:kern w:val="0"/>
          <w:sz w:val="20"/>
          <w:szCs w:val="20"/>
        </w:rPr>
        <w:t>元。</w:t>
      </w:r>
    </w:p>
  </w:footnote>
  <w:footnote w:id="641">
    <w:p w14:paraId="112B6DC2">
      <w:pPr>
        <w:pStyle w:val="12"/>
        <w:pageBreakBefore w:val="0"/>
        <w:kinsoku/>
        <w:wordWrap/>
        <w:overflowPunct/>
        <w:topLinePunct w:val="0"/>
        <w:bidi w:val="0"/>
        <w:spacing w:beforeAutospacing="0" w:afterAutospacing="0" w:line="240" w:lineRule="auto"/>
        <w:ind w:left="0"/>
        <w:textAlignment w:val="auto"/>
      </w:pPr>
      <w:r>
        <w:rPr>
          <w:rStyle w:val="20"/>
        </w:rPr>
        <w:footnoteRef/>
      </w:r>
      <w:r>
        <w:t xml:space="preserve"> </w:t>
      </w:r>
      <w:r>
        <w:rPr>
          <w:rFonts w:hint="eastAsia" w:ascii="宋体" w:hAnsi="宋体" w:cs="宋体"/>
          <w:color w:val="231F20"/>
          <w:kern w:val="0"/>
          <w:sz w:val="20"/>
          <w:szCs w:val="20"/>
        </w:rPr>
        <w:t>数据来自中华人民共和国国家统计局：《中国统计年鉴》（</w:t>
      </w:r>
      <w:r>
        <w:rPr>
          <w:rFonts w:ascii="宋体" w:hAnsi="宋体" w:cs="宋体"/>
          <w:color w:val="231F20"/>
          <w:kern w:val="0"/>
          <w:sz w:val="20"/>
          <w:szCs w:val="20"/>
        </w:rPr>
        <w:t>2006</w:t>
      </w:r>
      <w:r>
        <w:rPr>
          <w:rFonts w:hint="eastAsia" w:ascii="宋体" w:hAnsi="宋体" w:cs="宋体"/>
          <w:color w:val="231F20"/>
          <w:kern w:val="0"/>
          <w:sz w:val="20"/>
          <w:szCs w:val="20"/>
        </w:rPr>
        <w:t>），第</w:t>
      </w:r>
      <w:r>
        <w:rPr>
          <w:rFonts w:ascii="宋体" w:hAnsi="宋体" w:cs="宋体"/>
          <w:color w:val="231F20"/>
          <w:kern w:val="0"/>
          <w:sz w:val="20"/>
          <w:szCs w:val="20"/>
        </w:rPr>
        <w:t>128</w:t>
      </w:r>
      <w:r>
        <w:rPr>
          <w:rFonts w:hint="eastAsia" w:ascii="宋体" w:hAnsi="宋体" w:cs="宋体"/>
          <w:color w:val="231F20"/>
          <w:kern w:val="0"/>
          <w:sz w:val="20"/>
          <w:szCs w:val="20"/>
        </w:rPr>
        <w:t>、</w:t>
      </w:r>
      <w:r>
        <w:rPr>
          <w:rFonts w:ascii="宋体" w:hAnsi="宋体" w:cs="宋体"/>
          <w:color w:val="231F20"/>
          <w:kern w:val="0"/>
          <w:sz w:val="20"/>
          <w:szCs w:val="20"/>
        </w:rPr>
        <w:t>909</w:t>
      </w:r>
      <w:r>
        <w:rPr>
          <w:rFonts w:hint="eastAsia" w:ascii="宋体" w:hAnsi="宋体" w:cs="宋体"/>
          <w:color w:val="231F20"/>
          <w:kern w:val="0"/>
          <w:sz w:val="20"/>
          <w:szCs w:val="20"/>
        </w:rPr>
        <w:t>页，中国统计出版社，</w:t>
      </w:r>
      <w:r>
        <w:rPr>
          <w:rFonts w:ascii="宋体" w:hAnsi="宋体" w:cs="宋体"/>
          <w:color w:val="231F20"/>
          <w:kern w:val="0"/>
          <w:sz w:val="20"/>
          <w:szCs w:val="20"/>
        </w:rPr>
        <w:t>2007</w:t>
      </w:r>
      <w:r>
        <w:rPr>
          <w:rFonts w:hint="eastAsia" w:ascii="宋体" w:hAnsi="宋体" w:cs="宋体"/>
          <w:color w:val="231F20"/>
          <w:kern w:val="0"/>
          <w:sz w:val="20"/>
          <w:szCs w:val="20"/>
        </w:rPr>
        <w:t>年，并经计算而得。</w:t>
      </w:r>
    </w:p>
  </w:footnote>
  <w:footnote w:id="642">
    <w:p w14:paraId="43469D79">
      <w:pPr>
        <w:pageBreakBefore w:val="0"/>
        <w:kinsoku/>
        <w:wordWrap/>
        <w:overflowPunct/>
        <w:topLinePunct w:val="0"/>
        <w:autoSpaceDE w:val="0"/>
        <w:autoSpaceDN w:val="0"/>
        <w:bidi w:val="0"/>
        <w:adjustRightInd w:val="0"/>
        <w:spacing w:beforeAutospacing="0" w:afterAutospacing="0" w:line="240" w:lineRule="auto"/>
        <w:ind w:left="0"/>
        <w:jc w:val="left"/>
        <w:textAlignment w:val="auto"/>
      </w:pPr>
      <w:r>
        <w:rPr>
          <w:rStyle w:val="20"/>
        </w:rPr>
        <w:footnoteRef/>
      </w:r>
      <w:r>
        <w:t xml:space="preserve"> </w:t>
      </w:r>
      <w:r>
        <w:rPr>
          <w:rFonts w:hint="eastAsia" w:cs="宋体"/>
          <w:kern w:val="0"/>
        </w:rPr>
        <w:t>遇到过工伤或患职业病，指职工本人自身发生过工伤或患职业病或者见过企业中其他职工发生过工伤和患职业病。</w:t>
      </w:r>
    </w:p>
  </w:footnote>
  <w:footnote w:id="643">
    <w:p w14:paraId="60AAB2BF">
      <w:pPr>
        <w:pageBreakBefore w:val="0"/>
        <w:kinsoku/>
        <w:wordWrap/>
        <w:overflowPunct/>
        <w:topLinePunct w:val="0"/>
        <w:autoSpaceDE w:val="0"/>
        <w:autoSpaceDN w:val="0"/>
        <w:bidi w:val="0"/>
        <w:adjustRightInd w:val="0"/>
        <w:spacing w:beforeAutospacing="0" w:afterAutospacing="0" w:line="240" w:lineRule="auto"/>
        <w:ind w:left="0"/>
        <w:jc w:val="left"/>
        <w:textAlignment w:val="auto"/>
      </w:pPr>
      <w:r>
        <w:rPr>
          <w:rStyle w:val="20"/>
        </w:rPr>
        <w:footnoteRef/>
      </w:r>
      <w:r>
        <w:t xml:space="preserve"> </w:t>
      </w:r>
      <w:r>
        <w:rPr>
          <w:rFonts w:hint="eastAsia" w:cs="宋体"/>
          <w:kern w:val="0"/>
        </w:rPr>
        <w:t>遇到过劳动争议，指职工本人自身发生过劳动争议或者见过企业中其他职工发生过劳动争议。</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B948FB">
    <w:pPr>
      <w:pStyle w:val="4"/>
      <w:spacing w:line="14" w:lineRule="auto"/>
      <w:rPr>
        <w:sz w:val="20"/>
      </w:rPr>
    </w:pPr>
    <w:r>
      <mc:AlternateContent>
        <mc:Choice Requires="wps">
          <w:drawing>
            <wp:anchor distT="0" distB="0" distL="114300" distR="114300" simplePos="0" relativeHeight="251662336" behindDoc="1" locked="0" layoutInCell="1" allowOverlap="1">
              <wp:simplePos x="0" y="0"/>
              <wp:positionH relativeFrom="page">
                <wp:posOffset>1428750</wp:posOffset>
              </wp:positionH>
              <wp:positionV relativeFrom="page">
                <wp:posOffset>103505</wp:posOffset>
              </wp:positionV>
              <wp:extent cx="2250440" cy="170815"/>
              <wp:effectExtent l="0" t="0" r="0" b="0"/>
              <wp:wrapNone/>
              <wp:docPr id="143" name="文本框 143"/>
              <wp:cNvGraphicFramePr/>
              <a:graphic xmlns:a="http://schemas.openxmlformats.org/drawingml/2006/main">
                <a:graphicData uri="http://schemas.microsoft.com/office/word/2010/wordprocessingShape">
                  <wps:wsp>
                    <wps:cNvSpPr txBox="1"/>
                    <wps:spPr>
                      <a:xfrm>
                        <a:off x="0" y="0"/>
                        <a:ext cx="2250440" cy="170815"/>
                      </a:xfrm>
                      <a:prstGeom prst="rect">
                        <a:avLst/>
                      </a:prstGeom>
                      <a:noFill/>
                      <a:ln>
                        <a:noFill/>
                      </a:ln>
                    </wps:spPr>
                    <wps:txbx>
                      <w:txbxContent>
                        <w:p w14:paraId="766C5994">
                          <w:pPr>
                            <w:spacing w:line="268" w:lineRule="exact"/>
                            <w:ind w:left="20"/>
                            <w:jc w:val="left"/>
                            <w:rPr>
                              <w:sz w:val="15"/>
                            </w:rPr>
                          </w:pPr>
                        </w:p>
                      </w:txbxContent>
                    </wps:txbx>
                    <wps:bodyPr lIns="0" tIns="0" rIns="0" bIns="0" upright="1"/>
                  </wps:wsp>
                </a:graphicData>
              </a:graphic>
            </wp:anchor>
          </w:drawing>
        </mc:Choice>
        <mc:Fallback>
          <w:pict>
            <v:shape id="_x0000_s1026" o:spid="_x0000_s1026" o:spt="202" type="#_x0000_t202" style="position:absolute;left:0pt;margin-left:112.5pt;margin-top:8.15pt;height:13.45pt;width:177.2pt;mso-position-horizontal-relative:page;mso-position-vertical-relative:page;z-index:-251654144;mso-width-relative:page;mso-height-relative:page;" filled="f" stroked="f" coordsize="21600,21600" o:gfxdata="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">
              <v:fill on="f" focussize="0,0"/>
              <v:stroke on="f"/>
              <v:imagedata o:title=""/>
              <o:lock v:ext="edit" aspectratio="f"/>
              <v:textbox inset="0mm,0mm,0mm,0mm">
                <w:txbxContent>
                  <w:p w14:paraId="766C5994">
                    <w:pPr>
                      <w:spacing w:line="268" w:lineRule="exact"/>
                      <w:ind w:left="20"/>
                      <w:jc w:val="left"/>
                      <w:rPr>
                        <w:sz w:val="15"/>
                      </w:rPr>
                    </w:pPr>
                  </w:p>
                </w:txbxContent>
              </v:textbox>
            </v:shape>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A63ADD">
    <w:pPr>
      <w:pStyle w:val="4"/>
      <w:spacing w:before="1" w:line="171" w:lineRule="auto"/>
      <w:ind w:left="228"/>
      <w:rPr>
        <w:sz w:val="17"/>
        <w:szCs w:val="17"/>
      </w:rPr>
    </w:pPr>
    <w:r>
      <w:rPr>
        <w:spacing w:val="4"/>
        <w:sz w:val="17"/>
        <w:szCs w:val="17"/>
      </w:rPr>
      <w:t>中州学刊</w:t>
    </w:r>
    <w:r>
      <w:rPr>
        <w:rFonts w:ascii="微软雅黑" w:hAnsi="微软雅黑" w:eastAsia="微软雅黑" w:cs="微软雅黑"/>
        <w:spacing w:val="4"/>
        <w:sz w:val="17"/>
        <w:szCs w:val="17"/>
      </w:rPr>
      <w:t>2001</w:t>
    </w:r>
    <w:r>
      <w:rPr>
        <w:spacing w:val="4"/>
        <w:sz w:val="17"/>
        <w:szCs w:val="17"/>
      </w:rPr>
      <w:t>年第</w:t>
    </w:r>
    <w:r>
      <w:rPr>
        <w:rFonts w:ascii="微软雅黑" w:hAnsi="微软雅黑" w:eastAsia="微软雅黑" w:cs="微软雅黑"/>
        <w:spacing w:val="4"/>
        <w:sz w:val="17"/>
        <w:szCs w:val="17"/>
      </w:rPr>
      <w:t>6</w:t>
    </w:r>
    <w:r>
      <w:rPr>
        <w:spacing w:val="4"/>
        <w:sz w:val="17"/>
        <w:szCs w:val="17"/>
      </w:rPr>
      <w:t>期</w:t>
    </w:r>
  </w:p>
  <w:p w14:paraId="65DD428B">
    <w:pPr>
      <w:spacing w:line="41" w:lineRule="exact"/>
    </w:pPr>
    <w:r>
      <w:rPr>
        <w:position w:val="-1"/>
      </w:rPr>
      <mc:AlternateContent>
        <mc:Choice Requires="wps">
          <w:drawing>
            <wp:inline distT="0" distB="0" distL="114300" distR="114300">
              <wp:extent cx="5331460" cy="33020"/>
              <wp:effectExtent l="0" t="3175" r="6350" b="14605"/>
              <wp:docPr id="81" name="任意多边形 81"/>
              <wp:cNvGraphicFramePr/>
              <a:graphic xmlns:a="http://schemas.openxmlformats.org/drawingml/2006/main">
                <a:graphicData uri="http://schemas.microsoft.com/office/word/2010/wordprocessingShape">
                  <wps:wsp>
                    <wps:cNvSpPr/>
                    <wps:spPr>
                      <a:xfrm>
                        <a:off x="0" y="0"/>
                        <a:ext cx="5331460" cy="33020"/>
                      </a:xfrm>
                      <a:custGeom>
                        <a:avLst/>
                        <a:gdLst/>
                        <a:ahLst/>
                        <a:cxnLst/>
                        <a:pathLst>
                          <a:path w="8395" h="51">
                            <a:moveTo>
                              <a:pt x="6" y="45"/>
                            </a:moveTo>
                            <a:lnTo>
                              <a:pt x="8389" y="45"/>
                            </a:lnTo>
                            <a:moveTo>
                              <a:pt x="6" y="5"/>
                            </a:moveTo>
                            <a:lnTo>
                              <a:pt x="8389" y="5"/>
                            </a:lnTo>
                          </a:path>
                        </a:pathLst>
                      </a:custGeom>
                      <a:noFill/>
                      <a:ln w="7620" cap="flat" cmpd="sng">
                        <a:solidFill>
                          <a:srgbClr val="444444"/>
                        </a:solidFill>
                        <a:prstDash val="solid"/>
                        <a:miter lim="1000000"/>
                        <a:headEnd type="none" w="med" len="med"/>
                        <a:tailEnd type="none" w="med" len="med"/>
                      </a:ln>
                    </wps:spPr>
                    <wps:bodyPr upright="1"/>
                  </wps:wsp>
                </a:graphicData>
              </a:graphic>
            </wp:inline>
          </w:drawing>
        </mc:Choice>
        <mc:Fallback>
          <w:pict>
            <v:shape id="_x0000_s1026" o:spid="_x0000_s1026" o:spt="100" style="height:2.6pt;width:419.8pt;" filled="f" stroked="t" coordsize="8395,51" o:gfxdata="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" path="m6,45l8389,45m6,5l8389,5e">
              <v:fill on="f" focussize="0,0"/>
              <v:stroke weight="0.6pt" color="#444444" miterlimit="10" joinstyle="miter"/>
              <v:imagedata o:title=""/>
              <o:lock v:ext="edit" aspectratio="f"/>
              <w10:wrap type="none"/>
              <w10:anchorlock/>
            </v:shape>
          </w:pict>
        </mc:Fallback>
      </mc:AlternateConten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D36FDB">
    <w:pPr>
      <w:pStyle w:val="4"/>
      <w:spacing w:line="227" w:lineRule="auto"/>
      <w:ind w:left="6223"/>
      <w:rPr>
        <w:sz w:val="17"/>
        <w:szCs w:val="17"/>
      </w:rPr>
    </w:pPr>
    <w:r>
      <w:rPr>
        <w:spacing w:val="9"/>
        <w:sz w:val="17"/>
        <w:szCs w:val="17"/>
      </w:rPr>
      <w:t>教育大发展与经济全球化</w:t>
    </w:r>
  </w:p>
  <w:p w14:paraId="2C58B706">
    <w:pPr>
      <w:spacing w:line="41" w:lineRule="exact"/>
    </w:pPr>
    <w:r>
      <w:rPr>
        <w:position w:val="-1"/>
      </w:rPr>
      <mc:AlternateContent>
        <mc:Choice Requires="wps">
          <w:drawing>
            <wp:inline distT="0" distB="0" distL="114300" distR="114300">
              <wp:extent cx="5331460" cy="33020"/>
              <wp:effectExtent l="0" t="3175" r="6350" b="14605"/>
              <wp:docPr id="83" name="任意多边形 83"/>
              <wp:cNvGraphicFramePr/>
              <a:graphic xmlns:a="http://schemas.openxmlformats.org/drawingml/2006/main">
                <a:graphicData uri="http://schemas.microsoft.com/office/word/2010/wordprocessingShape">
                  <wps:wsp>
                    <wps:cNvSpPr/>
                    <wps:spPr>
                      <a:xfrm>
                        <a:off x="0" y="0"/>
                        <a:ext cx="5331460" cy="33020"/>
                      </a:xfrm>
                      <a:custGeom>
                        <a:avLst/>
                        <a:gdLst/>
                        <a:ahLst/>
                        <a:cxnLst/>
                        <a:pathLst>
                          <a:path w="8395" h="51">
                            <a:moveTo>
                              <a:pt x="6" y="45"/>
                            </a:moveTo>
                            <a:lnTo>
                              <a:pt x="8389" y="45"/>
                            </a:lnTo>
                            <a:moveTo>
                              <a:pt x="6" y="5"/>
                            </a:moveTo>
                            <a:lnTo>
                              <a:pt x="8389" y="5"/>
                            </a:lnTo>
                          </a:path>
                        </a:pathLst>
                      </a:custGeom>
                      <a:noFill/>
                      <a:ln w="7620" cap="flat" cmpd="sng">
                        <a:solidFill>
                          <a:srgbClr val="444444"/>
                        </a:solidFill>
                        <a:prstDash val="solid"/>
                        <a:miter lim="1000000"/>
                        <a:headEnd type="none" w="med" len="med"/>
                        <a:tailEnd type="none" w="med" len="med"/>
                      </a:ln>
                    </wps:spPr>
                    <wps:bodyPr upright="1"/>
                  </wps:wsp>
                </a:graphicData>
              </a:graphic>
            </wp:inline>
          </w:drawing>
        </mc:Choice>
        <mc:Fallback>
          <w:pict>
            <v:shape id="_x0000_s1026" o:spid="_x0000_s1026" o:spt="100" style="height:2.6pt;width:419.8pt;" filled="f" stroked="t" coordsize="8395,51" o:gfxdata="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" path="m6,45l8389,45m6,5l8389,5e">
              <v:fill on="f" focussize="0,0"/>
              <v:stroke weight="0.6pt" color="#444444" miterlimit="10" joinstyle="miter"/>
              <v:imagedata o:title=""/>
              <o:lock v:ext="edit" aspectratio="f"/>
              <w10:wrap type="none"/>
              <w10:anchorlock/>
            </v:shape>
          </w:pict>
        </mc:Fallback>
      </mc:AlternateConten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0D03C8">
    <w:pPr>
      <w:spacing w:line="14" w:lineRule="auto"/>
      <w:rPr>
        <w:rFonts w:ascii="Arial"/>
        <w:sz w:val="2"/>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CEF354">
    <w:pPr>
      <w:spacing w:line="1" w:lineRule="exact"/>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1C2A4CB">
    <w:pPr>
      <w:spacing w:line="1" w:lineRule="exac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82EAF6"/>
    <w:multiLevelType w:val="singleLevel"/>
    <w:tmpl w:val="9082EAF6"/>
    <w:lvl w:ilvl="0" w:tentative="0">
      <w:start w:val="1"/>
      <w:numFmt w:val="decimal"/>
      <w:lvlText w:val="%1."/>
      <w:lvlJc w:val="left"/>
      <w:pPr>
        <w:tabs>
          <w:tab w:val="left" w:pos="312"/>
        </w:tabs>
      </w:pPr>
    </w:lvl>
  </w:abstractNum>
  <w:abstractNum w:abstractNumId="1">
    <w:nsid w:val="9846A6A4"/>
    <w:multiLevelType w:val="multilevel"/>
    <w:tmpl w:val="9846A6A4"/>
    <w:lvl w:ilvl="0" w:tentative="0">
      <w:start w:val="12"/>
      <w:numFmt w:val="decimal"/>
      <w:lvlText w:val="[%1]"/>
      <w:lvlJc w:val="left"/>
      <w:pPr>
        <w:ind w:left="0" w:firstLine="0"/>
      </w:pPr>
      <w:rPr>
        <w:rFonts w:hint="default" w:ascii="Times New Roman" w:hAnsi="Times New Roman" w:cs="Times New Roman"/>
        <w:b w:val="0"/>
        <w:bCs w:val="0"/>
        <w:i w:val="0"/>
        <w:iCs w:val="0"/>
        <w:color w:val="000000"/>
        <w:spacing w:val="0"/>
        <w:sz w:val="20"/>
        <w:szCs w:val="20"/>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2">
    <w:nsid w:val="C097B309"/>
    <w:multiLevelType w:val="multilevel"/>
    <w:tmpl w:val="C097B309"/>
    <w:lvl w:ilvl="0" w:tentative="0">
      <w:start w:val="1"/>
      <w:numFmt w:val="decimal"/>
      <w:lvlText w:val="%1."/>
      <w:lvlJc w:val="left"/>
      <w:pPr>
        <w:ind w:left="0" w:firstLine="0"/>
      </w:pPr>
      <w:rPr>
        <w:rFonts w:ascii="Times New Roman" w:hAnsi="Times New Roman" w:eastAsia="Times New Roman" w:cs="Times New Roman"/>
        <w:b w:val="0"/>
        <w:bCs w:val="0"/>
        <w:i w:val="0"/>
        <w:iCs w:val="0"/>
        <w:strike w:val="0"/>
        <w:dstrike w:val="0"/>
        <w:color w:val="000000"/>
        <w:spacing w:val="0"/>
        <w:w w:val="100"/>
        <w:position w:val="0"/>
        <w:sz w:val="20"/>
        <w:szCs w:val="20"/>
        <w:u w:val="none"/>
        <w:lang w:val="zh-TW" w:eastAsia="zh-TW" w:bidi="zh-TW"/>
      </w:rPr>
    </w:lvl>
    <w:lvl w:ilvl="1" w:tentative="0">
      <w:start w:val="0"/>
      <w:numFmt w:val="decimal"/>
      <w:lvlText w:val=""/>
      <w:lvlJc w:val="left"/>
      <w:pPr>
        <w:ind w:left="0" w:firstLine="0"/>
      </w:pPr>
    </w:lvl>
    <w:lvl w:ilvl="2" w:tentative="0">
      <w:start w:val="0"/>
      <w:numFmt w:val="decimal"/>
      <w:lvlText w:val=""/>
      <w:lvlJc w:val="left"/>
      <w:pPr>
        <w:ind w:left="0" w:firstLine="0"/>
      </w:pPr>
    </w:lvl>
    <w:lvl w:ilvl="3" w:tentative="0">
      <w:start w:val="0"/>
      <w:numFmt w:val="decimal"/>
      <w:lvlText w:val=""/>
      <w:lvlJc w:val="left"/>
      <w:pPr>
        <w:ind w:left="0" w:firstLine="0"/>
      </w:pPr>
    </w:lvl>
    <w:lvl w:ilvl="4" w:tentative="0">
      <w:start w:val="0"/>
      <w:numFmt w:val="decimal"/>
      <w:lvlText w:val=""/>
      <w:lvlJc w:val="left"/>
      <w:pPr>
        <w:ind w:left="0" w:firstLine="0"/>
      </w:pPr>
    </w:lvl>
    <w:lvl w:ilvl="5" w:tentative="0">
      <w:start w:val="0"/>
      <w:numFmt w:val="decimal"/>
      <w:lvlText w:val=""/>
      <w:lvlJc w:val="left"/>
      <w:pPr>
        <w:ind w:left="0" w:firstLine="0"/>
      </w:pPr>
    </w:lvl>
    <w:lvl w:ilvl="6" w:tentative="0">
      <w:start w:val="0"/>
      <w:numFmt w:val="decimal"/>
      <w:lvlText w:val=""/>
      <w:lvlJc w:val="left"/>
      <w:pPr>
        <w:ind w:left="0" w:firstLine="0"/>
      </w:pPr>
    </w:lvl>
    <w:lvl w:ilvl="7" w:tentative="0">
      <w:start w:val="0"/>
      <w:numFmt w:val="decimal"/>
      <w:lvlText w:val=""/>
      <w:lvlJc w:val="left"/>
      <w:pPr>
        <w:ind w:left="0" w:firstLine="0"/>
      </w:pPr>
    </w:lvl>
    <w:lvl w:ilvl="8" w:tentative="0">
      <w:start w:val="0"/>
      <w:numFmt w:val="decimal"/>
      <w:lvlText w:val=""/>
      <w:lvlJc w:val="left"/>
      <w:pPr>
        <w:ind w:left="0" w:firstLine="0"/>
      </w:pPr>
    </w:lvl>
  </w:abstractNum>
  <w:abstractNum w:abstractNumId="3">
    <w:nsid w:val="C925315A"/>
    <w:multiLevelType w:val="multilevel"/>
    <w:tmpl w:val="C925315A"/>
    <w:lvl w:ilvl="0" w:tentative="0">
      <w:start w:val="1"/>
      <w:numFmt w:val="decimal"/>
      <w:lvlText w:val="[%1]"/>
      <w:lvlJc w:val="left"/>
      <w:pPr>
        <w:ind w:left="0" w:firstLine="0"/>
      </w:pPr>
      <w:rPr>
        <w:rFonts w:hint="default" w:ascii="Times New Roman" w:hAnsi="Times New Roman" w:cs="Times New Roman"/>
        <w:b w:val="0"/>
        <w:bCs w:val="0"/>
        <w:i w:val="0"/>
        <w:iCs w:val="0"/>
        <w:color w:val="000000"/>
        <w:spacing w:val="0"/>
        <w:sz w:val="20"/>
        <w:szCs w:val="20"/>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4">
    <w:nsid w:val="CF092B84"/>
    <w:multiLevelType w:val="singleLevel"/>
    <w:tmpl w:val="CF092B84"/>
    <w:lvl w:ilvl="0" w:tentative="0">
      <w:start w:val="1"/>
      <w:numFmt w:val="decimal"/>
      <w:lvlText w:val="%1."/>
      <w:lvlJc w:val="left"/>
      <w:rPr>
        <w:rFonts w:ascii="Times New Roman" w:hAnsi="Times New Roman" w:eastAsia="Times New Roman" w:cs="Times New Roman"/>
        <w:b w:val="0"/>
        <w:bCs w:val="0"/>
        <w:i w:val="0"/>
        <w:iCs w:val="0"/>
        <w:smallCaps w:val="0"/>
        <w:strike w:val="0"/>
        <w:color w:val="000000"/>
        <w:spacing w:val="0"/>
        <w:w w:val="100"/>
        <w:position w:val="0"/>
        <w:sz w:val="20"/>
        <w:szCs w:val="20"/>
        <w:u w:val="none"/>
        <w:shd w:val="clear" w:color="auto" w:fill="auto"/>
        <w:lang w:val="en-US" w:eastAsia="en-US" w:bidi="en-US"/>
      </w:rPr>
    </w:lvl>
  </w:abstractNum>
  <w:abstractNum w:abstractNumId="5">
    <w:nsid w:val="0898558D"/>
    <w:multiLevelType w:val="multilevel"/>
    <w:tmpl w:val="0898558D"/>
    <w:lvl w:ilvl="0" w:tentative="0">
      <w:start w:val="1"/>
      <w:numFmt w:val="decimal"/>
      <w:lvlText w:val="%1."/>
      <w:lvlJc w:val="left"/>
      <w:rPr>
        <w:rFonts w:ascii="Times New Roman" w:hAnsi="Times New Roman" w:eastAsia="Times New Roman" w:cs="Times New Roman"/>
        <w:b/>
        <w:bCs/>
        <w:i w:val="0"/>
        <w:iCs w:val="0"/>
        <w:smallCaps w:val="0"/>
        <w:strike w:val="0"/>
        <w:color w:val="000000"/>
        <w:spacing w:val="0"/>
        <w:w w:val="100"/>
        <w:position w:val="0"/>
        <w:sz w:val="20"/>
        <w:szCs w:val="20"/>
        <w:u w:val="none"/>
        <w:shd w:val="clear" w:color="auto" w:fill="auto"/>
        <w:lang w:val="en-US" w:eastAsia="en-US" w:bidi="en-U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6">
    <w:nsid w:val="0C73D593"/>
    <w:multiLevelType w:val="multilevel"/>
    <w:tmpl w:val="0C73D593"/>
    <w:lvl w:ilvl="0" w:tentative="0">
      <w:start w:val="1"/>
      <w:numFmt w:val="decimal"/>
      <w:lvlText w:val="%1."/>
      <w:lvlJc w:val="left"/>
      <w:pPr>
        <w:ind w:left="0" w:firstLine="0"/>
      </w:pPr>
      <w:rPr>
        <w:rFonts w:ascii="Times New Roman" w:hAnsi="Times New Roman" w:eastAsia="Times New Roman" w:cs="Times New Roman"/>
        <w:b w:val="0"/>
        <w:bCs w:val="0"/>
        <w:i w:val="0"/>
        <w:iCs w:val="0"/>
        <w:strike w:val="0"/>
        <w:dstrike w:val="0"/>
        <w:color w:val="000000"/>
        <w:spacing w:val="0"/>
        <w:w w:val="100"/>
        <w:position w:val="0"/>
        <w:sz w:val="20"/>
        <w:szCs w:val="20"/>
        <w:u w:val="none"/>
        <w:lang w:val="zh-TW" w:eastAsia="zh-TW" w:bidi="zh-TW"/>
      </w:rPr>
    </w:lvl>
    <w:lvl w:ilvl="1" w:tentative="0">
      <w:start w:val="0"/>
      <w:numFmt w:val="decimal"/>
      <w:lvlText w:val=""/>
      <w:lvlJc w:val="left"/>
      <w:pPr>
        <w:ind w:left="0" w:firstLine="0"/>
      </w:pPr>
    </w:lvl>
    <w:lvl w:ilvl="2" w:tentative="0">
      <w:start w:val="0"/>
      <w:numFmt w:val="decimal"/>
      <w:lvlText w:val=""/>
      <w:lvlJc w:val="left"/>
      <w:pPr>
        <w:ind w:left="0" w:firstLine="0"/>
      </w:pPr>
    </w:lvl>
    <w:lvl w:ilvl="3" w:tentative="0">
      <w:start w:val="0"/>
      <w:numFmt w:val="decimal"/>
      <w:lvlText w:val=""/>
      <w:lvlJc w:val="left"/>
      <w:pPr>
        <w:ind w:left="0" w:firstLine="0"/>
      </w:pPr>
    </w:lvl>
    <w:lvl w:ilvl="4" w:tentative="0">
      <w:start w:val="0"/>
      <w:numFmt w:val="decimal"/>
      <w:lvlText w:val=""/>
      <w:lvlJc w:val="left"/>
      <w:pPr>
        <w:ind w:left="0" w:firstLine="0"/>
      </w:pPr>
    </w:lvl>
    <w:lvl w:ilvl="5" w:tentative="0">
      <w:start w:val="0"/>
      <w:numFmt w:val="decimal"/>
      <w:lvlText w:val=""/>
      <w:lvlJc w:val="left"/>
      <w:pPr>
        <w:ind w:left="0" w:firstLine="0"/>
      </w:pPr>
    </w:lvl>
    <w:lvl w:ilvl="6" w:tentative="0">
      <w:start w:val="0"/>
      <w:numFmt w:val="decimal"/>
      <w:lvlText w:val=""/>
      <w:lvlJc w:val="left"/>
      <w:pPr>
        <w:ind w:left="0" w:firstLine="0"/>
      </w:pPr>
    </w:lvl>
    <w:lvl w:ilvl="7" w:tentative="0">
      <w:start w:val="0"/>
      <w:numFmt w:val="decimal"/>
      <w:lvlText w:val=""/>
      <w:lvlJc w:val="left"/>
      <w:pPr>
        <w:ind w:left="0" w:firstLine="0"/>
      </w:pPr>
    </w:lvl>
    <w:lvl w:ilvl="8" w:tentative="0">
      <w:start w:val="0"/>
      <w:numFmt w:val="decimal"/>
      <w:lvlText w:val=""/>
      <w:lvlJc w:val="left"/>
      <w:pPr>
        <w:ind w:left="0" w:firstLine="0"/>
      </w:pPr>
    </w:lvl>
  </w:abstractNum>
  <w:abstractNum w:abstractNumId="7">
    <w:nsid w:val="0D977FEB"/>
    <w:multiLevelType w:val="multilevel"/>
    <w:tmpl w:val="0D977FEB"/>
    <w:lvl w:ilvl="0" w:tentative="0">
      <w:start w:val="1"/>
      <w:numFmt w:val="decimal"/>
      <w:lvlText w:val="%1."/>
      <w:lvlJc w:val="left"/>
      <w:rPr>
        <w:rFonts w:ascii="Times New Roman" w:hAnsi="Times New Roman" w:eastAsia="Times New Roman" w:cs="Times New Roman"/>
        <w:b/>
        <w:bCs/>
        <w:i w:val="0"/>
        <w:iCs w:val="0"/>
        <w:smallCaps w:val="0"/>
        <w:strike w:val="0"/>
        <w:color w:val="000000"/>
        <w:spacing w:val="0"/>
        <w:w w:val="100"/>
        <w:position w:val="0"/>
        <w:sz w:val="20"/>
        <w:szCs w:val="20"/>
        <w:u w:val="none"/>
        <w:shd w:val="clear" w:color="auto" w:fill="auto"/>
        <w:lang w:val="en-US" w:eastAsia="en-US" w:bidi="en-U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8">
    <w:nsid w:val="36A6473E"/>
    <w:multiLevelType w:val="multilevel"/>
    <w:tmpl w:val="36A6473E"/>
    <w:lvl w:ilvl="0" w:tentative="0">
      <w:start w:val="1"/>
      <w:numFmt w:val="decimal"/>
      <w:lvlText w:val="%1."/>
      <w:lvlJc w:val="left"/>
      <w:rPr>
        <w:rFonts w:ascii="Times New Roman" w:hAnsi="Times New Roman" w:eastAsia="Times New Roman" w:cs="Times New Roman"/>
        <w:b/>
        <w:bCs/>
        <w:i w:val="0"/>
        <w:iCs w:val="0"/>
        <w:smallCaps w:val="0"/>
        <w:strike w:val="0"/>
        <w:color w:val="000000"/>
        <w:spacing w:val="0"/>
        <w:w w:val="100"/>
        <w:position w:val="0"/>
        <w:sz w:val="20"/>
        <w:szCs w:val="20"/>
        <w:u w:val="none"/>
        <w:shd w:val="clear" w:color="auto" w:fill="auto"/>
        <w:lang w:val="en-US" w:eastAsia="en-US" w:bidi="en-U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9">
    <w:nsid w:val="38BE07D3"/>
    <w:multiLevelType w:val="multilevel"/>
    <w:tmpl w:val="38BE07D3"/>
    <w:lvl w:ilvl="0" w:tentative="0">
      <w:start w:val="1"/>
      <w:numFmt w:val="decimal"/>
      <w:lvlText w:val="%1."/>
      <w:lvlJc w:val="left"/>
      <w:rPr>
        <w:rFonts w:ascii="Times New Roman" w:hAnsi="Times New Roman" w:eastAsia="Times New Roman" w:cs="Times New Roman"/>
        <w:b/>
        <w:bCs/>
        <w:i w:val="0"/>
        <w:iCs w:val="0"/>
        <w:smallCaps w:val="0"/>
        <w:strike w:val="0"/>
        <w:color w:val="000000"/>
        <w:spacing w:val="0"/>
        <w:w w:val="100"/>
        <w:position w:val="0"/>
        <w:sz w:val="20"/>
        <w:szCs w:val="20"/>
        <w:u w:val="none"/>
        <w:shd w:val="clear" w:color="auto" w:fill="auto"/>
        <w:lang w:val="en-US" w:eastAsia="en-US" w:bidi="en-U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0">
    <w:nsid w:val="3BC665B1"/>
    <w:multiLevelType w:val="multilevel"/>
    <w:tmpl w:val="3BC665B1"/>
    <w:lvl w:ilvl="0" w:tentative="0">
      <w:start w:val="1"/>
      <w:numFmt w:val="decimal"/>
      <w:lvlText w:val="%1."/>
      <w:lvlJc w:val="left"/>
      <w:rPr>
        <w:rFonts w:ascii="Times New Roman" w:hAnsi="Times New Roman" w:eastAsia="Times New Roman" w:cs="Times New Roman"/>
        <w:b/>
        <w:bCs/>
        <w:i w:val="0"/>
        <w:iCs w:val="0"/>
        <w:smallCaps w:val="0"/>
        <w:strike w:val="0"/>
        <w:color w:val="000000"/>
        <w:spacing w:val="0"/>
        <w:w w:val="100"/>
        <w:position w:val="0"/>
        <w:sz w:val="20"/>
        <w:szCs w:val="20"/>
        <w:u w:val="none"/>
        <w:shd w:val="clear" w:color="auto" w:fill="auto"/>
        <w:lang w:val="en-US" w:eastAsia="en-US" w:bidi="en-U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1">
    <w:nsid w:val="3CC2F84A"/>
    <w:multiLevelType w:val="multilevel"/>
    <w:tmpl w:val="3CC2F84A"/>
    <w:lvl w:ilvl="0" w:tentative="0">
      <w:start w:val="17"/>
      <w:numFmt w:val="decimal"/>
      <w:lvlText w:val="[%1]"/>
      <w:lvlJc w:val="left"/>
      <w:pPr>
        <w:ind w:left="0" w:firstLine="0"/>
      </w:pPr>
      <w:rPr>
        <w:rFonts w:hint="default" w:ascii="Times New Roman" w:hAnsi="Times New Roman" w:cs="Times New Roman"/>
        <w:b w:val="0"/>
        <w:bCs w:val="0"/>
        <w:i w:val="0"/>
        <w:iCs w:val="0"/>
        <w:color w:val="000000"/>
        <w:spacing w:val="0"/>
        <w:sz w:val="20"/>
        <w:szCs w:val="20"/>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2">
    <w:nsid w:val="4CC269E7"/>
    <w:multiLevelType w:val="multilevel"/>
    <w:tmpl w:val="4CC269E7"/>
    <w:lvl w:ilvl="0" w:tentative="0">
      <w:start w:val="1"/>
      <w:numFmt w:val="ideographDigital"/>
      <w:lvlText w:val="(%1)"/>
      <w:lvlJc w:val="left"/>
      <w:rPr>
        <w:rFonts w:ascii="宋体" w:hAnsi="宋体" w:eastAsia="宋体" w:cs="宋体"/>
        <w:b w:val="0"/>
        <w:bCs w:val="0"/>
        <w:i w:val="0"/>
        <w:iCs w:val="0"/>
        <w:smallCaps w:val="0"/>
        <w:strike w:val="0"/>
        <w:color w:val="000000"/>
        <w:spacing w:val="0"/>
        <w:w w:val="100"/>
        <w:position w:val="0"/>
        <w:sz w:val="19"/>
        <w:szCs w:val="19"/>
        <w:u w:val="none"/>
        <w:shd w:val="clear" w:color="auto" w:fill="auto"/>
        <w:lang w:val="zh-TW" w:eastAsia="zh-TW" w:bidi="zh-TW"/>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3">
    <w:nsid w:val="56F669F2"/>
    <w:multiLevelType w:val="multilevel"/>
    <w:tmpl w:val="56F669F2"/>
    <w:lvl w:ilvl="0" w:tentative="0">
      <w:start w:val="2"/>
      <w:numFmt w:val="chineseCounting"/>
      <w:suff w:val="nothing"/>
      <w:lvlText w:val="第%1，"/>
      <w:lvlJc w:val="left"/>
      <w:pPr>
        <w:ind w:left="0" w:firstLine="0"/>
      </w:pPr>
      <w:rPr>
        <w:rFonts w:hint="eastAsia" w:ascii="宋体" w:hAnsi="宋体" w:eastAsia="宋体"/>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4">
    <w:nsid w:val="5ABB1028"/>
    <w:multiLevelType w:val="multilevel"/>
    <w:tmpl w:val="5ABB1028"/>
    <w:lvl w:ilvl="0" w:tentative="0">
      <w:start w:val="1"/>
      <w:numFmt w:val="decimal"/>
      <w:lvlText w:val="%1."/>
      <w:lvlJc w:val="left"/>
      <w:pPr>
        <w:ind w:left="0" w:firstLine="0"/>
      </w:pPr>
      <w:rPr>
        <w:rFonts w:hint="default" w:ascii="Times New Roman" w:hAnsi="Times New Roman" w:cs="Times New Roman"/>
        <w:b w:val="0"/>
        <w:bCs w:val="0"/>
        <w:i w:val="0"/>
        <w:iCs w:val="0"/>
        <w:color w:val="000000"/>
        <w:spacing w:val="0"/>
        <w:sz w:val="20"/>
        <w:szCs w:val="20"/>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5">
    <w:nsid w:val="68C47C4F"/>
    <w:multiLevelType w:val="multilevel"/>
    <w:tmpl w:val="68C47C4F"/>
    <w:lvl w:ilvl="0" w:tentative="0">
      <w:start w:val="1"/>
      <w:numFmt w:val="decimalEnclosedCircle"/>
      <w:lvlText w:val="%1"/>
      <w:lvlJc w:val="left"/>
      <w:pPr>
        <w:ind w:left="0" w:firstLine="0"/>
      </w:pPr>
      <w:rPr>
        <w:rFonts w:hint="eastAsia" w:ascii="宋体" w:hAnsi="宋体" w:eastAsia="宋体"/>
        <w:b w:val="0"/>
        <w:bCs w:val="0"/>
        <w:i/>
        <w:iCs/>
        <w:smallCaps w:val="0"/>
        <w:color w:val="000000"/>
        <w:spacing w:val="0"/>
        <w:sz w:val="20"/>
        <w:szCs w:val="20"/>
      </w:r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16">
    <w:nsid w:val="710E031B"/>
    <w:multiLevelType w:val="multilevel"/>
    <w:tmpl w:val="710E031B"/>
    <w:lvl w:ilvl="0" w:tentative="0">
      <w:start w:val="2"/>
      <w:numFmt w:val="decimal"/>
      <w:lvlText w:val="%1."/>
      <w:lvlJc w:val="left"/>
      <w:rPr>
        <w:rFonts w:ascii="Times New Roman" w:hAnsi="Times New Roman" w:eastAsia="Times New Roman" w:cs="Times New Roman"/>
        <w:b/>
        <w:bCs/>
        <w:i w:val="0"/>
        <w:iCs w:val="0"/>
        <w:smallCaps w:val="0"/>
        <w:strike w:val="0"/>
        <w:color w:val="000000"/>
        <w:spacing w:val="0"/>
        <w:w w:val="100"/>
        <w:position w:val="0"/>
        <w:sz w:val="20"/>
        <w:szCs w:val="20"/>
        <w:u w:val="none"/>
        <w:shd w:val="clear" w:color="auto" w:fill="auto"/>
        <w:lang w:val="en-US" w:eastAsia="en-US" w:bidi="en-U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7">
    <w:nsid w:val="73665012"/>
    <w:multiLevelType w:val="multilevel"/>
    <w:tmpl w:val="73665012"/>
    <w:lvl w:ilvl="0" w:tentative="0">
      <w:start w:val="1"/>
      <w:numFmt w:val="decimal"/>
      <w:lvlText w:val="%1."/>
      <w:lvlJc w:val="left"/>
      <w:rPr>
        <w:rFonts w:ascii="Times New Roman" w:hAnsi="Times New Roman" w:eastAsia="Times New Roman" w:cs="Times New Roman"/>
        <w:b/>
        <w:bCs/>
        <w:i w:val="0"/>
        <w:iCs w:val="0"/>
        <w:smallCaps w:val="0"/>
        <w:strike w:val="0"/>
        <w:color w:val="000000"/>
        <w:spacing w:val="0"/>
        <w:w w:val="100"/>
        <w:position w:val="0"/>
        <w:sz w:val="20"/>
        <w:szCs w:val="20"/>
        <w:u w:val="none"/>
        <w:shd w:val="clear" w:color="auto" w:fill="auto"/>
        <w:lang w:val="en-US" w:eastAsia="en-US" w:bidi="en-U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abstractNum w:abstractNumId="18">
    <w:nsid w:val="7C354D88"/>
    <w:multiLevelType w:val="multilevel"/>
    <w:tmpl w:val="7C354D88"/>
    <w:lvl w:ilvl="0" w:tentative="0">
      <w:start w:val="1"/>
      <w:numFmt w:val="decimal"/>
      <w:lvlText w:val="%1."/>
      <w:lvlJc w:val="left"/>
      <w:rPr>
        <w:rFonts w:ascii="Times New Roman" w:hAnsi="Times New Roman" w:eastAsia="Times New Roman" w:cs="Times New Roman"/>
        <w:b/>
        <w:bCs/>
        <w:i w:val="0"/>
        <w:iCs w:val="0"/>
        <w:smallCaps w:val="0"/>
        <w:strike w:val="0"/>
        <w:color w:val="000000"/>
        <w:spacing w:val="0"/>
        <w:w w:val="100"/>
        <w:position w:val="0"/>
        <w:sz w:val="20"/>
        <w:szCs w:val="20"/>
        <w:u w:val="none"/>
        <w:shd w:val="clear" w:color="auto" w:fill="auto"/>
        <w:lang w:val="en-US" w:eastAsia="en-US" w:bidi="en-US"/>
      </w:rPr>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0"/>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
  </w:num>
  <w:num w:numId="4">
    <w:abstractNumId w:val="14"/>
  </w:num>
  <w:num w:numId="5">
    <w:abstractNumId w:val="3"/>
  </w:num>
  <w:num w:numId="6">
    <w:abstractNumId w:val="1"/>
  </w:num>
  <w:num w:numId="7">
    <w:abstractNumId w:val="11"/>
  </w:num>
  <w:num w:numId="8">
    <w:abstractNumId w:val="6"/>
  </w:num>
  <w:num w:numId="9">
    <w:abstractNumId w:val="2"/>
  </w:num>
  <w:num w:numId="10">
    <w:abstractNumId w:val="12"/>
  </w:num>
  <w:num w:numId="11">
    <w:abstractNumId w:val="16"/>
  </w:num>
  <w:num w:numId="12">
    <w:abstractNumId w:val="5"/>
  </w:num>
  <w:num w:numId="13">
    <w:abstractNumId w:val="7"/>
  </w:num>
  <w:num w:numId="14">
    <w:abstractNumId w:val="10"/>
  </w:num>
  <w:num w:numId="15">
    <w:abstractNumId w:val="18"/>
  </w:num>
  <w:num w:numId="16">
    <w:abstractNumId w:val="9"/>
  </w:num>
  <w:num w:numId="17">
    <w:abstractNumId w:val="17"/>
  </w:num>
  <w:num w:numId="18">
    <w:abstractNumId w:val="8"/>
  </w:num>
  <w:num w:numId="19">
    <w:abstractNumId w:val="13"/>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footnotePr>
    <w:numFmt w:val="decimalEnclosedCircleChinese"/>
    <w:numRestart w:val="eachPage"/>
    <w:footnote w:id="1288"/>
    <w:footnote w:id="1289"/>
  </w:footnotePr>
  <w:endnotePr>
    <w:endnote w:id="0"/>
    <w:endnote w:id="1"/>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7F6BF8C1"/>
    <w:rsid w:val="7F6BF8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iPriority="39"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qFormat="1" w:uiPriority="99"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qFormat="1" w:uiPriority="99"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qFormat="1" w:unhideWhenUsed="0" w:uiPriority="1"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99" w:name="Body Text Indent 2"/>
    <w:lsdException w:qFormat="1" w:uiPriority="99"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iPriority="99"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bidi w:val="0"/>
      <w:spacing w:line="360" w:lineRule="auto"/>
      <w:ind w:firstLine="420" w:firstLineChars="200"/>
      <w:jc w:val="both"/>
    </w:pPr>
    <w:rPr>
      <w:rFonts w:eastAsia="宋体" w:asciiTheme="minorAscii" w:hAnsiTheme="minorAscii" w:cstheme="minorBidi"/>
      <w:kern w:val="2"/>
      <w:sz w:val="21"/>
      <w:szCs w:val="22"/>
      <w:lang w:val="zh-TW" w:eastAsia="zh-TW" w:bidi="ar-SA"/>
    </w:rPr>
  </w:style>
  <w:style w:type="paragraph" w:styleId="2">
    <w:name w:val="heading 1"/>
    <w:basedOn w:val="1"/>
    <w:next w:val="1"/>
    <w:qFormat/>
    <w:uiPriority w:val="0"/>
    <w:pPr>
      <w:spacing w:before="480" w:after="320"/>
      <w:jc w:val="center"/>
      <w:outlineLvl w:val="0"/>
    </w:pPr>
    <w:rPr>
      <w:rFonts w:ascii="Times New Roman" w:hAnsi="Times New Roman" w:eastAsia="黑体" w:cs="Times New Roman"/>
      <w:bCs/>
      <w:kern w:val="44"/>
      <w:sz w:val="32"/>
      <w:szCs w:val="48"/>
      <w:lang w:bidi="ar"/>
    </w:rPr>
  </w:style>
  <w:style w:type="paragraph" w:styleId="3">
    <w:name w:val="heading 2"/>
    <w:basedOn w:val="1"/>
    <w:next w:val="1"/>
    <w:unhideWhenUsed/>
    <w:qFormat/>
    <w:uiPriority w:val="0"/>
    <w:pPr>
      <w:keepNext/>
      <w:spacing w:before="240" w:after="60"/>
      <w:jc w:val="center"/>
      <w:outlineLvl w:val="1"/>
    </w:pPr>
    <w:rPr>
      <w:rFonts w:ascii="Cambria" w:hAnsi="Cambria" w:eastAsia="黑体" w:cs="Times New Roman"/>
      <w:bCs/>
      <w:iCs/>
      <w:sz w:val="32"/>
      <w:szCs w:val="28"/>
    </w:rPr>
  </w:style>
  <w:style w:type="character" w:default="1" w:styleId="18">
    <w:name w:val="Default Paragraph Font"/>
    <w:semiHidden/>
    <w:uiPriority w:val="0"/>
  </w:style>
  <w:style w:type="table" w:default="1" w:styleId="17">
    <w:name w:val="Normal Table"/>
    <w:semiHidden/>
    <w:uiPriority w:val="0"/>
    <w:tblPr>
      <w:tblCellMar>
        <w:top w:w="0" w:type="dxa"/>
        <w:left w:w="108" w:type="dxa"/>
        <w:bottom w:w="0" w:type="dxa"/>
        <w:right w:w="108" w:type="dxa"/>
      </w:tblCellMar>
    </w:tblPr>
  </w:style>
  <w:style w:type="paragraph" w:styleId="4">
    <w:name w:val="Body Text"/>
    <w:basedOn w:val="1"/>
    <w:qFormat/>
    <w:uiPriority w:val="1"/>
    <w:pPr>
      <w:ind w:left="111"/>
    </w:pPr>
    <w:rPr>
      <w:rFonts w:ascii="华光书宋_CNKI" w:hAnsi="华光书宋_CNKI" w:eastAsia="华光书宋_CNKI" w:cs="华光书宋_CNKI"/>
      <w:szCs w:val="21"/>
      <w:lang w:val="zh-CN" w:bidi="zh-CN"/>
    </w:rPr>
  </w:style>
  <w:style w:type="paragraph" w:styleId="5">
    <w:name w:val="Body Text Indent"/>
    <w:basedOn w:val="1"/>
    <w:qFormat/>
    <w:uiPriority w:val="0"/>
    <w:pPr>
      <w:spacing w:after="120"/>
      <w:ind w:left="420" w:leftChars="200"/>
    </w:pPr>
  </w:style>
  <w:style w:type="paragraph" w:styleId="6">
    <w:name w:val="Plain Text"/>
    <w:basedOn w:val="1"/>
    <w:semiHidden/>
    <w:unhideWhenUsed/>
    <w:qFormat/>
    <w:uiPriority w:val="99"/>
    <w:rPr>
      <w:rFonts w:ascii="宋体" w:hAnsi="Courier New" w:cs="Courier New"/>
    </w:rPr>
  </w:style>
  <w:style w:type="paragraph" w:styleId="7">
    <w:name w:val="Body Text Indent 2"/>
    <w:basedOn w:val="1"/>
    <w:semiHidden/>
    <w:unhideWhenUsed/>
    <w:qFormat/>
    <w:uiPriority w:val="99"/>
    <w:pPr>
      <w:spacing w:after="120" w:line="480" w:lineRule="auto"/>
      <w:ind w:left="420" w:leftChars="200"/>
    </w:pPr>
  </w:style>
  <w:style w:type="paragraph" w:styleId="8">
    <w:name w:val="footer"/>
    <w:basedOn w:val="1"/>
    <w:qFormat/>
    <w:uiPriority w:val="0"/>
    <w:pPr>
      <w:tabs>
        <w:tab w:val="center" w:pos="4153"/>
        <w:tab w:val="right" w:pos="8306"/>
      </w:tabs>
      <w:snapToGrid w:val="0"/>
      <w:jc w:val="left"/>
    </w:pPr>
    <w:rPr>
      <w:sz w:val="18"/>
    </w:rPr>
  </w:style>
  <w:style w:type="paragraph" w:styleId="9">
    <w:name w:val="header"/>
    <w:basedOn w:val="1"/>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toc 1"/>
    <w:basedOn w:val="1"/>
    <w:next w:val="1"/>
    <w:qFormat/>
    <w:uiPriority w:val="39"/>
  </w:style>
  <w:style w:type="paragraph" w:styleId="11">
    <w:name w:val="Subtitle"/>
    <w:basedOn w:val="1"/>
    <w:next w:val="1"/>
    <w:qFormat/>
    <w:uiPriority w:val="11"/>
    <w:pPr>
      <w:spacing w:before="50" w:beforeLines="50" w:after="50" w:afterLines="50" w:line="312" w:lineRule="auto"/>
      <w:ind w:left="200" w:leftChars="200"/>
      <w:outlineLvl w:val="1"/>
    </w:pPr>
    <w:rPr>
      <w:rFonts w:eastAsia="宋体" w:asciiTheme="majorHAnsi" w:hAnsiTheme="majorHAnsi" w:cstheme="majorBidi"/>
      <w:b/>
      <w:bCs/>
      <w:kern w:val="28"/>
      <w:sz w:val="24"/>
      <w:szCs w:val="32"/>
    </w:rPr>
  </w:style>
  <w:style w:type="paragraph" w:styleId="12">
    <w:name w:val="footnote text"/>
    <w:basedOn w:val="1"/>
    <w:link w:val="38"/>
    <w:unhideWhenUsed/>
    <w:qFormat/>
    <w:uiPriority w:val="99"/>
    <w:pPr>
      <w:snapToGrid w:val="0"/>
      <w:jc w:val="left"/>
    </w:pPr>
    <w:rPr>
      <w:rFonts w:ascii="Calibri" w:hAnsi="Calibri" w:eastAsia="宋体" w:cs="Times New Roman"/>
      <w:sz w:val="18"/>
      <w:szCs w:val="18"/>
    </w:rPr>
  </w:style>
  <w:style w:type="paragraph" w:styleId="13">
    <w:name w:val="Body Text Indent 3"/>
    <w:semiHidden/>
    <w:unhideWhenUsed/>
    <w:qFormat/>
    <w:uiPriority w:val="99"/>
    <w:pPr>
      <w:widowControl w:val="0"/>
      <w:ind w:firstLine="480" w:firstLineChars="200"/>
      <w:jc w:val="both"/>
    </w:pPr>
    <w:rPr>
      <w:rFonts w:ascii="Times New Roman" w:hAnsi="Times New Roman" w:eastAsia="宋体" w:cs="Times New Roman"/>
      <w:kern w:val="2"/>
      <w:sz w:val="24"/>
      <w:lang w:val="en-US" w:eastAsia="zh-CN" w:bidi="ar-SA"/>
    </w:rPr>
  </w:style>
  <w:style w:type="paragraph" w:styleId="14">
    <w:name w:val="toc 2"/>
    <w:basedOn w:val="1"/>
    <w:next w:val="1"/>
    <w:unhideWhenUsed/>
    <w:qFormat/>
    <w:uiPriority w:val="39"/>
    <w:pPr>
      <w:ind w:left="420" w:leftChars="200"/>
    </w:pPr>
  </w:style>
  <w:style w:type="paragraph" w:styleId="15">
    <w:name w:val="Normal (Web)"/>
    <w:basedOn w:val="1"/>
    <w:unhideWhenUsed/>
    <w:qFormat/>
    <w:uiPriority w:val="99"/>
    <w:pPr>
      <w:widowControl/>
      <w:spacing w:before="100" w:beforeAutospacing="1" w:after="100" w:afterAutospacing="1"/>
      <w:jc w:val="left"/>
    </w:pPr>
    <w:rPr>
      <w:rFonts w:ascii="宋体" w:hAnsi="宋体" w:eastAsia="宋体" w:cs="宋体"/>
      <w:kern w:val="0"/>
      <w:sz w:val="24"/>
      <w:szCs w:val="24"/>
    </w:rPr>
  </w:style>
  <w:style w:type="paragraph" w:styleId="16">
    <w:name w:val="Body Text First Indent 2"/>
    <w:basedOn w:val="5"/>
    <w:qFormat/>
    <w:uiPriority w:val="0"/>
    <w:pPr>
      <w:ind w:firstLine="420" w:firstLineChars="200"/>
    </w:pPr>
  </w:style>
  <w:style w:type="character" w:styleId="19">
    <w:name w:val="Hyperlink"/>
    <w:basedOn w:val="18"/>
    <w:unhideWhenUsed/>
    <w:qFormat/>
    <w:uiPriority w:val="99"/>
    <w:rPr>
      <w:color w:val="0026E5" w:themeColor="hyperlink"/>
      <w:u w:val="single"/>
      <w14:textFill>
        <w14:solidFill>
          <w14:schemeClr w14:val="hlink"/>
        </w14:solidFill>
      </w14:textFill>
    </w:rPr>
  </w:style>
  <w:style w:type="character" w:styleId="20">
    <w:name w:val="footnote reference"/>
    <w:basedOn w:val="18"/>
    <w:semiHidden/>
    <w:unhideWhenUsed/>
    <w:qFormat/>
    <w:uiPriority w:val="99"/>
    <w:rPr>
      <w:rFonts w:asciiTheme="minorHAnsi" w:hAnsiTheme="minorHAnsi" w:eastAsiaTheme="minorEastAsia" w:cstheme="minorBidi"/>
      <w:vertAlign w:val="superscript"/>
      <w:lang w:val="en-US" w:eastAsia="zh-CN" w:bidi="ar-SA"/>
    </w:rPr>
  </w:style>
  <w:style w:type="paragraph" w:customStyle="1" w:styleId="21">
    <w:name w:val="Body text|1"/>
    <w:basedOn w:val="1"/>
    <w:link w:val="28"/>
    <w:qFormat/>
    <w:uiPriority w:val="0"/>
    <w:pPr>
      <w:spacing w:line="360" w:lineRule="auto"/>
      <w:ind w:firstLine="420" w:firstLineChars="200"/>
    </w:pPr>
    <w:rPr>
      <w:rFonts w:ascii="宋体" w:hAnsi="宋体" w:eastAsia="宋体" w:cs="宋体"/>
      <w:color w:val="000000"/>
      <w:szCs w:val="21"/>
      <w:lang w:val="zh-TW" w:eastAsia="zh-TW" w:bidi="zh-TW"/>
    </w:rPr>
  </w:style>
  <w:style w:type="paragraph" w:customStyle="1" w:styleId="22">
    <w:name w:val="Heading #1|1"/>
    <w:basedOn w:val="1"/>
    <w:qFormat/>
    <w:uiPriority w:val="0"/>
    <w:pPr>
      <w:spacing w:after="380"/>
      <w:outlineLvl w:val="0"/>
    </w:pPr>
    <w:rPr>
      <w:rFonts w:ascii="宋体" w:hAnsi="宋体" w:eastAsia="宋体" w:cs="宋体"/>
      <w:sz w:val="40"/>
      <w:szCs w:val="40"/>
      <w:lang w:val="zh-TW" w:eastAsia="zh-TW" w:bidi="zh-TW"/>
    </w:rPr>
  </w:style>
  <w:style w:type="paragraph" w:customStyle="1" w:styleId="23">
    <w:name w:val="Heading #2|1"/>
    <w:basedOn w:val="1"/>
    <w:qFormat/>
    <w:uiPriority w:val="0"/>
    <w:pPr>
      <w:spacing w:after="740"/>
      <w:ind w:left="4540"/>
      <w:outlineLvl w:val="1"/>
    </w:pPr>
    <w:rPr>
      <w:rFonts w:ascii="宋体" w:hAnsi="宋体" w:eastAsia="宋体" w:cs="宋体"/>
      <w:sz w:val="26"/>
      <w:szCs w:val="26"/>
      <w:lang w:val="zh-TW" w:eastAsia="zh-TW" w:bidi="zh-TW"/>
    </w:rPr>
  </w:style>
  <w:style w:type="character" w:customStyle="1" w:styleId="24">
    <w:name w:val="标题 1 Char1"/>
    <w:qFormat/>
    <w:uiPriority w:val="9"/>
    <w:rPr>
      <w:rFonts w:ascii="Calibri" w:hAnsi="Calibri" w:eastAsia="黑体" w:cs="Times New Roman"/>
      <w:bCs/>
      <w:kern w:val="32"/>
      <w:sz w:val="32"/>
      <w:szCs w:val="32"/>
      <w:lang w:val="en-US" w:eastAsia="zh-CN" w:bidi="ar-SA"/>
    </w:rPr>
  </w:style>
  <w:style w:type="paragraph" w:customStyle="1" w:styleId="25">
    <w:name w:val="TOC Heading"/>
    <w:basedOn w:val="2"/>
    <w:next w:val="1"/>
    <w:unhideWhenUsed/>
    <w:qFormat/>
    <w:uiPriority w:val="39"/>
    <w:pPr>
      <w:widowControl/>
      <w:spacing w:before="240" w:after="0" w:line="259" w:lineRule="auto"/>
      <w:outlineLvl w:val="9"/>
    </w:pPr>
    <w:rPr>
      <w:rFonts w:asciiTheme="majorHAnsi" w:hAnsiTheme="majorHAnsi" w:eastAsiaTheme="majorEastAsia" w:cstheme="majorBidi"/>
      <w:bCs w:val="0"/>
      <w:color w:val="2E54A1" w:themeColor="accent1" w:themeShade="BF"/>
      <w:kern w:val="0"/>
      <w:sz w:val="32"/>
      <w:szCs w:val="32"/>
    </w:rPr>
  </w:style>
  <w:style w:type="character" w:customStyle="1" w:styleId="26">
    <w:name w:val="15"/>
    <w:basedOn w:val="18"/>
    <w:qFormat/>
    <w:uiPriority w:val="0"/>
    <w:rPr>
      <w:rFonts w:hint="eastAsia" w:ascii="宋体" w:hAnsi="宋体" w:eastAsia="宋体" w:cs="宋体"/>
      <w:color w:val="000000"/>
      <w:spacing w:val="0"/>
      <w:sz w:val="20"/>
      <w:szCs w:val="20"/>
    </w:rPr>
  </w:style>
  <w:style w:type="paragraph" w:customStyle="1" w:styleId="27">
    <w:name w:val="Body text|2"/>
    <w:basedOn w:val="1"/>
    <w:qFormat/>
    <w:uiPriority w:val="0"/>
    <w:pPr>
      <w:spacing w:after="160" w:line="314" w:lineRule="exact"/>
      <w:ind w:left="1440"/>
    </w:pPr>
    <w:rPr>
      <w:rFonts w:ascii="宋体" w:hAnsi="宋体" w:eastAsia="宋体" w:cs="宋体"/>
      <w:sz w:val="16"/>
      <w:szCs w:val="16"/>
      <w:lang w:val="zh-TW" w:eastAsia="zh-TW" w:bidi="zh-TW"/>
    </w:rPr>
  </w:style>
  <w:style w:type="character" w:customStyle="1" w:styleId="28">
    <w:name w:val="Body text|1_"/>
    <w:link w:val="21"/>
    <w:qFormat/>
    <w:uiPriority w:val="0"/>
    <w:rPr>
      <w:rFonts w:ascii="宋体" w:hAnsi="宋体" w:eastAsia="宋体" w:cs="宋体"/>
      <w:color w:val="000000"/>
      <w:szCs w:val="21"/>
      <w:lang w:val="zh-TW" w:eastAsia="zh-TW" w:bidi="zh-TW"/>
    </w:rPr>
  </w:style>
  <w:style w:type="paragraph" w:customStyle="1" w:styleId="29">
    <w:name w:val="Body text|3"/>
    <w:basedOn w:val="1"/>
    <w:qFormat/>
    <w:uiPriority w:val="0"/>
    <w:pPr>
      <w:spacing w:after="820"/>
    </w:pPr>
    <w:rPr>
      <w:rFonts w:ascii="宋体" w:hAnsi="宋体" w:eastAsia="宋体" w:cs="宋体"/>
      <w:sz w:val="14"/>
      <w:szCs w:val="14"/>
      <w:lang w:val="zh-TW" w:eastAsia="zh-TW" w:bidi="zh-TW"/>
    </w:rPr>
  </w:style>
  <w:style w:type="paragraph" w:customStyle="1" w:styleId="30">
    <w:name w:val="Body text|4"/>
    <w:basedOn w:val="1"/>
    <w:qFormat/>
    <w:uiPriority w:val="0"/>
    <w:pPr>
      <w:spacing w:after="40" w:line="312" w:lineRule="exact"/>
      <w:ind w:firstLine="320"/>
    </w:pPr>
    <w:rPr>
      <w:rFonts w:ascii="宋体" w:hAnsi="宋体" w:eastAsia="宋体" w:cs="宋体"/>
      <w:sz w:val="20"/>
      <w:szCs w:val="20"/>
      <w:lang w:val="zh-TW" w:eastAsia="zh-TW" w:bidi="zh-TW"/>
    </w:rPr>
  </w:style>
  <w:style w:type="table" w:customStyle="1" w:styleId="31">
    <w:name w:val="Table Normal"/>
    <w:semiHidden/>
    <w:unhideWhenUsed/>
    <w:qFormat/>
    <w:uiPriority w:val="2"/>
    <w:pPr>
      <w:widowControl w:val="0"/>
      <w:autoSpaceDE w:val="0"/>
      <w:autoSpaceDN w:val="0"/>
    </w:pPr>
    <w:rPr>
      <w:kern w:val="0"/>
      <w:sz w:val="22"/>
      <w:lang w:eastAsia="en-US"/>
    </w:rPr>
    <w:tblPr>
      <w:tblCellMar>
        <w:top w:w="0" w:type="dxa"/>
        <w:left w:w="0" w:type="dxa"/>
        <w:bottom w:w="0" w:type="dxa"/>
        <w:right w:w="0" w:type="dxa"/>
      </w:tblCellMar>
    </w:tblPr>
  </w:style>
  <w:style w:type="paragraph" w:customStyle="1" w:styleId="32">
    <w:name w:val="Other|1"/>
    <w:basedOn w:val="1"/>
    <w:qFormat/>
    <w:uiPriority w:val="0"/>
    <w:pPr>
      <w:spacing w:line="420" w:lineRule="auto"/>
      <w:ind w:firstLine="400"/>
      <w:jc w:val="left"/>
    </w:pPr>
    <w:rPr>
      <w:rFonts w:ascii="宋体" w:hAnsi="宋体" w:eastAsia="宋体" w:cs="宋体"/>
      <w:sz w:val="20"/>
      <w:szCs w:val="20"/>
      <w:lang w:val="zh-TW" w:eastAsia="zh-TW" w:bidi="zh-TW"/>
    </w:rPr>
  </w:style>
  <w:style w:type="paragraph" w:customStyle="1" w:styleId="33">
    <w:name w:val="Table caption|1"/>
    <w:basedOn w:val="1"/>
    <w:qFormat/>
    <w:uiPriority w:val="0"/>
    <w:pPr>
      <w:jc w:val="left"/>
    </w:pPr>
    <w:rPr>
      <w:rFonts w:ascii="宋体" w:hAnsi="宋体" w:eastAsia="宋体" w:cs="宋体"/>
      <w:sz w:val="15"/>
      <w:szCs w:val="15"/>
      <w:lang w:val="zh-TW" w:eastAsia="zh-TW" w:bidi="zh-TW"/>
    </w:rPr>
  </w:style>
  <w:style w:type="paragraph" w:customStyle="1" w:styleId="34">
    <w:name w:val="Heading #3|1"/>
    <w:basedOn w:val="1"/>
    <w:qFormat/>
    <w:uiPriority w:val="0"/>
    <w:pPr>
      <w:spacing w:after="140"/>
      <w:ind w:firstLine="450"/>
      <w:jc w:val="left"/>
      <w:outlineLvl w:val="2"/>
    </w:pPr>
    <w:rPr>
      <w:rFonts w:ascii="宋体" w:hAnsi="宋体" w:eastAsia="宋体" w:cs="宋体"/>
      <w:lang w:val="zh-TW" w:eastAsia="zh-TW" w:bidi="zh-TW"/>
    </w:rPr>
  </w:style>
  <w:style w:type="paragraph" w:customStyle="1" w:styleId="35">
    <w:name w:val="WPSOffice手动目录 1"/>
    <w:basedOn w:val="1"/>
    <w:qFormat/>
    <w:uiPriority w:val="0"/>
    <w:pPr>
      <w:widowControl/>
      <w:spacing w:before="100" w:beforeAutospacing="1" w:after="100" w:afterAutospacing="1"/>
      <w:jc w:val="left"/>
    </w:pPr>
    <w:rPr>
      <w:rFonts w:ascii="Times New Roman" w:hAnsi="Times New Roman"/>
      <w:kern w:val="0"/>
      <w:sz w:val="20"/>
      <w:szCs w:val="20"/>
    </w:rPr>
  </w:style>
  <w:style w:type="paragraph" w:customStyle="1" w:styleId="36">
    <w:name w:val="Picture caption|1"/>
    <w:basedOn w:val="1"/>
    <w:qFormat/>
    <w:uiPriority w:val="0"/>
    <w:pPr>
      <w:kinsoku w:val="0"/>
      <w:autoSpaceDE w:val="0"/>
      <w:autoSpaceDN w:val="0"/>
      <w:adjustRightInd w:val="0"/>
      <w:snapToGrid w:val="0"/>
      <w:spacing w:line="288" w:lineRule="auto"/>
      <w:jc w:val="left"/>
      <w:textAlignment w:val="baseline"/>
    </w:pPr>
    <w:rPr>
      <w:rFonts w:ascii="宋体" w:hAnsi="宋体" w:eastAsia="宋体" w:cs="宋体"/>
      <w:snapToGrid w:val="0"/>
      <w:color w:val="7D7D7D"/>
      <w:kern w:val="0"/>
      <w:sz w:val="17"/>
      <w:szCs w:val="17"/>
      <w:lang w:val="zh-TW" w:eastAsia="zh-TW" w:bidi="zh-TW"/>
    </w:rPr>
  </w:style>
  <w:style w:type="character" w:customStyle="1" w:styleId="37">
    <w:name w:val="st1"/>
    <w:qFormat/>
    <w:uiPriority w:val="0"/>
    <w:rPr>
      <w:rFonts w:asciiTheme="minorHAnsi" w:hAnsiTheme="minorHAnsi" w:eastAsiaTheme="minorEastAsia" w:cstheme="minorBidi"/>
      <w:lang w:val="en-US" w:eastAsia="zh-CN" w:bidi="ar-SA"/>
    </w:rPr>
  </w:style>
  <w:style w:type="character" w:customStyle="1" w:styleId="38">
    <w:name w:val="脚注文本 字符1"/>
    <w:basedOn w:val="18"/>
    <w:link w:val="12"/>
    <w:qFormat/>
    <w:uiPriority w:val="99"/>
    <w:rPr>
      <w:rFonts w:ascii="Calibri" w:hAnsi="Calibri" w:eastAsia="宋体" w:cs="Times New Roman"/>
      <w:sz w:val="18"/>
      <w:szCs w:val="18"/>
    </w:rPr>
  </w:style>
  <w:style w:type="character" w:customStyle="1" w:styleId="39">
    <w:name w:val="font14"/>
    <w:qFormat/>
    <w:uiPriority w:val="0"/>
    <w:rPr>
      <w:rFonts w:asciiTheme="minorHAnsi" w:hAnsiTheme="minorHAnsi" w:eastAsiaTheme="minorEastAsia" w:cstheme="minorBidi"/>
      <w:lang w:val="en-US" w:eastAsia="zh-CN" w:bidi="ar-SA"/>
    </w:rPr>
  </w:style>
  <w:style w:type="character" w:customStyle="1" w:styleId="40">
    <w:name w:val="datatitle1"/>
    <w:qFormat/>
    <w:uiPriority w:val="0"/>
    <w:rPr>
      <w:rFonts w:asciiTheme="minorHAnsi" w:hAnsiTheme="minorHAnsi" w:eastAsiaTheme="minorEastAsia" w:cstheme="minorBidi"/>
      <w:b/>
      <w:bCs/>
      <w:color w:val="10619F"/>
      <w:sz w:val="21"/>
      <w:szCs w:val="21"/>
      <w:lang w:val="en-US" w:eastAsia="zh-CN" w:bidi="ar-SA"/>
    </w:rPr>
  </w:style>
  <w:style w:type="character" w:customStyle="1" w:styleId="41">
    <w:name w:val="lgbluetitle"/>
    <w:qFormat/>
    <w:uiPriority w:val="0"/>
    <w:rPr>
      <w:rFonts w:asciiTheme="minorHAnsi" w:hAnsiTheme="minorHAnsi" w:eastAsiaTheme="minorEastAsia" w:cstheme="minorBidi"/>
      <w:lang w:val="en-US" w:eastAsia="zh-CN" w:bidi="ar-SA"/>
    </w:rPr>
  </w:style>
  <w:style w:type="character" w:customStyle="1" w:styleId="42">
    <w:name w:val="left_xx_bt0141"/>
    <w:qFormat/>
    <w:uiPriority w:val="0"/>
    <w:rPr>
      <w:rFonts w:asciiTheme="minorHAnsi" w:hAnsiTheme="minorHAnsi" w:eastAsiaTheme="minorEastAsia" w:cstheme="minorBidi"/>
      <w:color w:val="FFFFFF"/>
      <w:sz w:val="14"/>
      <w:szCs w:val="14"/>
      <w:lang w:val="en-US" w:eastAsia="zh-CN" w:bidi="ar-SA"/>
    </w:rPr>
  </w:style>
  <w:style w:type="character" w:customStyle="1" w:styleId="43">
    <w:name w:val="title1"/>
    <w:qFormat/>
    <w:uiPriority w:val="0"/>
    <w:rPr>
      <w:rFonts w:asciiTheme="minorHAnsi" w:hAnsiTheme="minorHAnsi" w:eastAsiaTheme="minorEastAsia" w:cstheme="minorBidi"/>
      <w:b/>
      <w:bCs/>
      <w:color w:val="000000"/>
      <w:sz w:val="22"/>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33.png"/><Relationship Id="rId98" Type="http://schemas.openxmlformats.org/officeDocument/2006/relationships/image" Target="media/image32.png"/><Relationship Id="rId97" Type="http://schemas.openxmlformats.org/officeDocument/2006/relationships/image" Target="media/image31.png"/><Relationship Id="rId96" Type="http://schemas.openxmlformats.org/officeDocument/2006/relationships/image" Target="media/image30.png"/><Relationship Id="rId95" Type="http://schemas.openxmlformats.org/officeDocument/2006/relationships/image" Target="media/image29.png"/><Relationship Id="rId94" Type="http://schemas.openxmlformats.org/officeDocument/2006/relationships/image" Target="media/image28.png"/><Relationship Id="rId93" Type="http://schemas.openxmlformats.org/officeDocument/2006/relationships/image" Target="media/image27.png"/><Relationship Id="rId92" Type="http://schemas.openxmlformats.org/officeDocument/2006/relationships/image" Target="media/image26.png"/><Relationship Id="rId91" Type="http://schemas.openxmlformats.org/officeDocument/2006/relationships/image" Target="media/image25.png"/><Relationship Id="rId90" Type="http://schemas.openxmlformats.org/officeDocument/2006/relationships/image" Target="media/image24.png"/><Relationship Id="rId9" Type="http://schemas.openxmlformats.org/officeDocument/2006/relationships/footer" Target="footer3.xml"/><Relationship Id="rId89" Type="http://schemas.openxmlformats.org/officeDocument/2006/relationships/image" Target="media/image23.png"/><Relationship Id="rId88" Type="http://schemas.openxmlformats.org/officeDocument/2006/relationships/image" Target="media/image22.png"/><Relationship Id="rId87" Type="http://schemas.openxmlformats.org/officeDocument/2006/relationships/image" Target="media/image21.png"/><Relationship Id="rId86" Type="http://schemas.openxmlformats.org/officeDocument/2006/relationships/image" Target="media/image20.png"/><Relationship Id="rId85" Type="http://schemas.openxmlformats.org/officeDocument/2006/relationships/image" Target="media/image19.png"/><Relationship Id="rId84" Type="http://schemas.openxmlformats.org/officeDocument/2006/relationships/image" Target="media/image18.png"/><Relationship Id="rId83" Type="http://schemas.openxmlformats.org/officeDocument/2006/relationships/oleObject" Target="embeddings/oleObject51.bin"/><Relationship Id="rId82" Type="http://schemas.openxmlformats.org/officeDocument/2006/relationships/oleObject" Target="embeddings/oleObject50.bin"/><Relationship Id="rId81" Type="http://schemas.openxmlformats.org/officeDocument/2006/relationships/oleObject" Target="embeddings/oleObject49.bin"/><Relationship Id="rId80" Type="http://schemas.openxmlformats.org/officeDocument/2006/relationships/image" Target="media/image17.wmf"/><Relationship Id="rId8" Type="http://schemas.openxmlformats.org/officeDocument/2006/relationships/header" Target="header2.xml"/><Relationship Id="rId79" Type="http://schemas.openxmlformats.org/officeDocument/2006/relationships/oleObject" Target="embeddings/oleObject48.bin"/><Relationship Id="rId78" Type="http://schemas.openxmlformats.org/officeDocument/2006/relationships/image" Target="media/image16.wmf"/><Relationship Id="rId77" Type="http://schemas.openxmlformats.org/officeDocument/2006/relationships/oleObject" Target="embeddings/oleObject47.bin"/><Relationship Id="rId76" Type="http://schemas.openxmlformats.org/officeDocument/2006/relationships/image" Target="media/image15.wmf"/><Relationship Id="rId75" Type="http://schemas.openxmlformats.org/officeDocument/2006/relationships/oleObject" Target="embeddings/oleObject46.bin"/><Relationship Id="rId74" Type="http://schemas.openxmlformats.org/officeDocument/2006/relationships/oleObject" Target="embeddings/oleObject45.bin"/><Relationship Id="rId73" Type="http://schemas.openxmlformats.org/officeDocument/2006/relationships/oleObject" Target="embeddings/oleObject44.bin"/><Relationship Id="rId72" Type="http://schemas.openxmlformats.org/officeDocument/2006/relationships/oleObject" Target="embeddings/oleObject43.bin"/><Relationship Id="rId71" Type="http://schemas.openxmlformats.org/officeDocument/2006/relationships/oleObject" Target="embeddings/oleObject42.bin"/><Relationship Id="rId70" Type="http://schemas.openxmlformats.org/officeDocument/2006/relationships/oleObject" Target="embeddings/oleObject41.bin"/><Relationship Id="rId7" Type="http://schemas.openxmlformats.org/officeDocument/2006/relationships/footer" Target="footer2.xml"/><Relationship Id="rId69" Type="http://schemas.openxmlformats.org/officeDocument/2006/relationships/oleObject" Target="embeddings/oleObject40.bin"/><Relationship Id="rId68" Type="http://schemas.openxmlformats.org/officeDocument/2006/relationships/oleObject" Target="embeddings/oleObject39.bin"/><Relationship Id="rId67" Type="http://schemas.openxmlformats.org/officeDocument/2006/relationships/oleObject" Target="embeddings/oleObject38.bin"/><Relationship Id="rId66" Type="http://schemas.openxmlformats.org/officeDocument/2006/relationships/oleObject" Target="embeddings/oleObject37.bin"/><Relationship Id="rId65" Type="http://schemas.openxmlformats.org/officeDocument/2006/relationships/oleObject" Target="embeddings/oleObject36.bin"/><Relationship Id="rId64" Type="http://schemas.openxmlformats.org/officeDocument/2006/relationships/oleObject" Target="embeddings/oleObject35.bin"/><Relationship Id="rId63" Type="http://schemas.openxmlformats.org/officeDocument/2006/relationships/oleObject" Target="embeddings/oleObject34.bin"/><Relationship Id="rId62" Type="http://schemas.openxmlformats.org/officeDocument/2006/relationships/oleObject" Target="embeddings/oleObject33.bin"/><Relationship Id="rId61" Type="http://schemas.openxmlformats.org/officeDocument/2006/relationships/image" Target="media/image14.wmf"/><Relationship Id="rId60" Type="http://schemas.openxmlformats.org/officeDocument/2006/relationships/oleObject" Target="embeddings/oleObject32.bin"/><Relationship Id="rId6" Type="http://schemas.openxmlformats.org/officeDocument/2006/relationships/header" Target="header1.xml"/><Relationship Id="rId59" Type="http://schemas.openxmlformats.org/officeDocument/2006/relationships/oleObject" Target="embeddings/oleObject31.bin"/><Relationship Id="rId58" Type="http://schemas.openxmlformats.org/officeDocument/2006/relationships/image" Target="media/image13.wmf"/><Relationship Id="rId57" Type="http://schemas.openxmlformats.org/officeDocument/2006/relationships/oleObject" Target="embeddings/oleObject30.bin"/><Relationship Id="rId56" Type="http://schemas.openxmlformats.org/officeDocument/2006/relationships/oleObject" Target="embeddings/oleObject29.bin"/><Relationship Id="rId55" Type="http://schemas.openxmlformats.org/officeDocument/2006/relationships/oleObject" Target="embeddings/oleObject28.bin"/><Relationship Id="rId54" Type="http://schemas.openxmlformats.org/officeDocument/2006/relationships/oleObject" Target="embeddings/oleObject27.bin"/><Relationship Id="rId53" Type="http://schemas.openxmlformats.org/officeDocument/2006/relationships/oleObject" Target="embeddings/oleObject26.bin"/><Relationship Id="rId52" Type="http://schemas.openxmlformats.org/officeDocument/2006/relationships/oleObject" Target="embeddings/oleObject25.bin"/><Relationship Id="rId51" Type="http://schemas.openxmlformats.org/officeDocument/2006/relationships/oleObject" Target="embeddings/oleObject24.bin"/><Relationship Id="rId50" Type="http://schemas.openxmlformats.org/officeDocument/2006/relationships/oleObject" Target="embeddings/oleObject23.bin"/><Relationship Id="rId5" Type="http://schemas.openxmlformats.org/officeDocument/2006/relationships/footer" Target="footer1.xml"/><Relationship Id="rId49" Type="http://schemas.openxmlformats.org/officeDocument/2006/relationships/oleObject" Target="embeddings/oleObject22.bin"/><Relationship Id="rId48" Type="http://schemas.openxmlformats.org/officeDocument/2006/relationships/oleObject" Target="embeddings/oleObject21.bin"/><Relationship Id="rId47" Type="http://schemas.openxmlformats.org/officeDocument/2006/relationships/oleObject" Target="embeddings/oleObject20.bin"/><Relationship Id="rId46" Type="http://schemas.openxmlformats.org/officeDocument/2006/relationships/oleObject" Target="embeddings/oleObject19.bin"/><Relationship Id="rId45" Type="http://schemas.openxmlformats.org/officeDocument/2006/relationships/oleObject" Target="embeddings/oleObject18.bin"/><Relationship Id="rId44" Type="http://schemas.openxmlformats.org/officeDocument/2006/relationships/oleObject" Target="embeddings/oleObject17.bin"/><Relationship Id="rId43" Type="http://schemas.openxmlformats.org/officeDocument/2006/relationships/oleObject" Target="embeddings/oleObject16.bin"/><Relationship Id="rId42" Type="http://schemas.openxmlformats.org/officeDocument/2006/relationships/oleObject" Target="embeddings/oleObject15.bin"/><Relationship Id="rId41" Type="http://schemas.openxmlformats.org/officeDocument/2006/relationships/oleObject" Target="embeddings/oleObject14.bin"/><Relationship Id="rId40" Type="http://schemas.openxmlformats.org/officeDocument/2006/relationships/oleObject" Target="embeddings/oleObject13.bin"/><Relationship Id="rId4" Type="http://schemas.openxmlformats.org/officeDocument/2006/relationships/endnotes" Target="endnotes.xml"/><Relationship Id="rId39" Type="http://schemas.openxmlformats.org/officeDocument/2006/relationships/image" Target="media/image12.wmf"/><Relationship Id="rId38" Type="http://schemas.openxmlformats.org/officeDocument/2006/relationships/oleObject" Target="embeddings/oleObject12.bin"/><Relationship Id="rId37" Type="http://schemas.openxmlformats.org/officeDocument/2006/relationships/image" Target="media/image11.wmf"/><Relationship Id="rId36" Type="http://schemas.openxmlformats.org/officeDocument/2006/relationships/oleObject" Target="embeddings/oleObject11.bin"/><Relationship Id="rId35" Type="http://schemas.openxmlformats.org/officeDocument/2006/relationships/image" Target="media/image10.wmf"/><Relationship Id="rId34" Type="http://schemas.openxmlformats.org/officeDocument/2006/relationships/oleObject" Target="embeddings/oleObject10.bin"/><Relationship Id="rId33" Type="http://schemas.openxmlformats.org/officeDocument/2006/relationships/image" Target="media/image9.wmf"/><Relationship Id="rId32" Type="http://schemas.openxmlformats.org/officeDocument/2006/relationships/oleObject" Target="embeddings/oleObject9.bin"/><Relationship Id="rId31" Type="http://schemas.openxmlformats.org/officeDocument/2006/relationships/oleObject" Target="embeddings/oleObject8.bin"/><Relationship Id="rId30" Type="http://schemas.openxmlformats.org/officeDocument/2006/relationships/image" Target="media/image8.wmf"/><Relationship Id="rId3" Type="http://schemas.openxmlformats.org/officeDocument/2006/relationships/footnotes" Target="footnotes.xml"/><Relationship Id="rId29" Type="http://schemas.openxmlformats.org/officeDocument/2006/relationships/oleObject" Target="embeddings/oleObject7.bin"/><Relationship Id="rId28" Type="http://schemas.openxmlformats.org/officeDocument/2006/relationships/image" Target="media/image7.wmf"/><Relationship Id="rId27" Type="http://schemas.openxmlformats.org/officeDocument/2006/relationships/oleObject" Target="embeddings/oleObject6.bin"/><Relationship Id="rId26" Type="http://schemas.openxmlformats.org/officeDocument/2006/relationships/image" Target="media/image6.wmf"/><Relationship Id="rId25" Type="http://schemas.openxmlformats.org/officeDocument/2006/relationships/oleObject" Target="embeddings/oleObject5.bin"/><Relationship Id="rId24" Type="http://schemas.openxmlformats.org/officeDocument/2006/relationships/image" Target="media/image5.wmf"/><Relationship Id="rId23" Type="http://schemas.openxmlformats.org/officeDocument/2006/relationships/oleObject" Target="embeddings/oleObject4.bin"/><Relationship Id="rId22" Type="http://schemas.openxmlformats.org/officeDocument/2006/relationships/image" Target="media/image4.wmf"/><Relationship Id="rId21" Type="http://schemas.openxmlformats.org/officeDocument/2006/relationships/oleObject" Target="embeddings/oleObject3.bin"/><Relationship Id="rId205" Type="http://schemas.openxmlformats.org/officeDocument/2006/relationships/fontTable" Target="fontTable.xml"/><Relationship Id="rId204" Type="http://schemas.openxmlformats.org/officeDocument/2006/relationships/numbering" Target="numbering.xml"/><Relationship Id="rId203" Type="http://schemas.openxmlformats.org/officeDocument/2006/relationships/customXml" Target="../customXml/item1.xml"/><Relationship Id="rId202" Type="http://schemas.openxmlformats.org/officeDocument/2006/relationships/image" Target="media/image106.jpeg"/><Relationship Id="rId201" Type="http://schemas.openxmlformats.org/officeDocument/2006/relationships/image" Target="media/image105.jpeg"/><Relationship Id="rId200" Type="http://schemas.openxmlformats.org/officeDocument/2006/relationships/image" Target="media/image104.jpeg"/><Relationship Id="rId20" Type="http://schemas.openxmlformats.org/officeDocument/2006/relationships/image" Target="media/image3.wmf"/><Relationship Id="rId2" Type="http://schemas.openxmlformats.org/officeDocument/2006/relationships/settings" Target="settings.xml"/><Relationship Id="rId199" Type="http://schemas.openxmlformats.org/officeDocument/2006/relationships/image" Target="media/image103.jpeg"/><Relationship Id="rId198" Type="http://schemas.openxmlformats.org/officeDocument/2006/relationships/image" Target="media/image102.jpeg"/><Relationship Id="rId197" Type="http://schemas.openxmlformats.org/officeDocument/2006/relationships/image" Target="media/image101.jpeg"/><Relationship Id="rId196" Type="http://schemas.openxmlformats.org/officeDocument/2006/relationships/image" Target="media/image100.jpeg"/><Relationship Id="rId195" Type="http://schemas.openxmlformats.org/officeDocument/2006/relationships/image" Target="media/image99.jpeg"/><Relationship Id="rId194" Type="http://schemas.openxmlformats.org/officeDocument/2006/relationships/image" Target="media/image98.jpeg"/><Relationship Id="rId193" Type="http://schemas.openxmlformats.org/officeDocument/2006/relationships/image" Target="media/image97.jpeg"/><Relationship Id="rId192" Type="http://schemas.openxmlformats.org/officeDocument/2006/relationships/image" Target="media/image96.jpeg"/><Relationship Id="rId191" Type="http://schemas.openxmlformats.org/officeDocument/2006/relationships/image" Target="media/image95.jpeg"/><Relationship Id="rId190" Type="http://schemas.openxmlformats.org/officeDocument/2006/relationships/image" Target="media/image94.png"/><Relationship Id="rId19" Type="http://schemas.openxmlformats.org/officeDocument/2006/relationships/oleObject" Target="embeddings/oleObject2.bin"/><Relationship Id="rId189" Type="http://schemas.openxmlformats.org/officeDocument/2006/relationships/image" Target="media/image93.png"/><Relationship Id="rId188" Type="http://schemas.openxmlformats.org/officeDocument/2006/relationships/image" Target="media/image92.png"/><Relationship Id="rId187" Type="http://schemas.openxmlformats.org/officeDocument/2006/relationships/image" Target="media/image91.png"/><Relationship Id="rId186" Type="http://schemas.openxmlformats.org/officeDocument/2006/relationships/image" Target="media/image90.png"/><Relationship Id="rId185" Type="http://schemas.openxmlformats.org/officeDocument/2006/relationships/image" Target="media/image89.png"/><Relationship Id="rId184" Type="http://schemas.openxmlformats.org/officeDocument/2006/relationships/image" Target="media/image88.png"/><Relationship Id="rId183" Type="http://schemas.openxmlformats.org/officeDocument/2006/relationships/image" Target="media/image87.png"/><Relationship Id="rId182" Type="http://schemas.openxmlformats.org/officeDocument/2006/relationships/image" Target="media/image86.png"/><Relationship Id="rId181" Type="http://schemas.openxmlformats.org/officeDocument/2006/relationships/image" Target="media/image85.png"/><Relationship Id="rId180" Type="http://schemas.openxmlformats.org/officeDocument/2006/relationships/image" Target="media/image84.png"/><Relationship Id="rId18" Type="http://schemas.openxmlformats.org/officeDocument/2006/relationships/image" Target="media/image2.wmf"/><Relationship Id="rId179" Type="http://schemas.openxmlformats.org/officeDocument/2006/relationships/image" Target="media/image83.jpeg"/><Relationship Id="rId178" Type="http://schemas.openxmlformats.org/officeDocument/2006/relationships/image" Target="media/image82.jpeg"/><Relationship Id="rId177" Type="http://schemas.openxmlformats.org/officeDocument/2006/relationships/image" Target="media/image81.wmf"/><Relationship Id="rId176" Type="http://schemas.openxmlformats.org/officeDocument/2006/relationships/oleObject" Target="embeddings/oleObject79.bin"/><Relationship Id="rId175" Type="http://schemas.openxmlformats.org/officeDocument/2006/relationships/image" Target="media/image80.wmf"/><Relationship Id="rId174" Type="http://schemas.openxmlformats.org/officeDocument/2006/relationships/oleObject" Target="embeddings/oleObject78.bin"/><Relationship Id="rId173" Type="http://schemas.openxmlformats.org/officeDocument/2006/relationships/image" Target="media/image79.wmf"/><Relationship Id="rId172" Type="http://schemas.openxmlformats.org/officeDocument/2006/relationships/oleObject" Target="embeddings/oleObject77.bin"/><Relationship Id="rId171" Type="http://schemas.openxmlformats.org/officeDocument/2006/relationships/image" Target="media/image78.wmf"/><Relationship Id="rId170" Type="http://schemas.openxmlformats.org/officeDocument/2006/relationships/oleObject" Target="embeddings/oleObject76.bin"/><Relationship Id="rId17" Type="http://schemas.openxmlformats.org/officeDocument/2006/relationships/oleObject" Target="embeddings/oleObject1.bin"/><Relationship Id="rId169" Type="http://schemas.openxmlformats.org/officeDocument/2006/relationships/image" Target="media/image77.wmf"/><Relationship Id="rId168" Type="http://schemas.openxmlformats.org/officeDocument/2006/relationships/oleObject" Target="embeddings/oleObject75.bin"/><Relationship Id="rId167" Type="http://schemas.openxmlformats.org/officeDocument/2006/relationships/image" Target="media/image76.wmf"/><Relationship Id="rId166" Type="http://schemas.openxmlformats.org/officeDocument/2006/relationships/oleObject" Target="embeddings/oleObject74.bin"/><Relationship Id="rId165" Type="http://schemas.openxmlformats.org/officeDocument/2006/relationships/image" Target="media/image75.wmf"/><Relationship Id="rId164" Type="http://schemas.openxmlformats.org/officeDocument/2006/relationships/oleObject" Target="embeddings/oleObject73.bin"/><Relationship Id="rId163" Type="http://schemas.openxmlformats.org/officeDocument/2006/relationships/image" Target="media/image74.wmf"/><Relationship Id="rId162" Type="http://schemas.openxmlformats.org/officeDocument/2006/relationships/oleObject" Target="embeddings/oleObject72.bin"/><Relationship Id="rId161" Type="http://schemas.openxmlformats.org/officeDocument/2006/relationships/image" Target="media/image73.wmf"/><Relationship Id="rId160" Type="http://schemas.openxmlformats.org/officeDocument/2006/relationships/oleObject" Target="embeddings/oleObject71.bin"/><Relationship Id="rId16" Type="http://schemas.openxmlformats.org/officeDocument/2006/relationships/image" Target="media/image1.png"/><Relationship Id="rId159" Type="http://schemas.openxmlformats.org/officeDocument/2006/relationships/image" Target="media/image72.png"/><Relationship Id="rId158" Type="http://schemas.openxmlformats.org/officeDocument/2006/relationships/image" Target="media/image71.wmf"/><Relationship Id="rId157" Type="http://schemas.openxmlformats.org/officeDocument/2006/relationships/oleObject" Target="embeddings/oleObject70.bin"/><Relationship Id="rId156" Type="http://schemas.openxmlformats.org/officeDocument/2006/relationships/image" Target="media/image70.wmf"/><Relationship Id="rId155" Type="http://schemas.openxmlformats.org/officeDocument/2006/relationships/oleObject" Target="embeddings/oleObject69.bin"/><Relationship Id="rId154" Type="http://schemas.openxmlformats.org/officeDocument/2006/relationships/image" Target="media/image69.wmf"/><Relationship Id="rId153" Type="http://schemas.openxmlformats.org/officeDocument/2006/relationships/oleObject" Target="embeddings/oleObject68.bin"/><Relationship Id="rId152" Type="http://schemas.openxmlformats.org/officeDocument/2006/relationships/image" Target="media/image68.wmf"/><Relationship Id="rId151" Type="http://schemas.openxmlformats.org/officeDocument/2006/relationships/oleObject" Target="embeddings/oleObject67.bin"/><Relationship Id="rId150" Type="http://schemas.openxmlformats.org/officeDocument/2006/relationships/image" Target="media/image67.png"/><Relationship Id="rId15" Type="http://schemas.openxmlformats.org/officeDocument/2006/relationships/theme" Target="theme/theme1.xml"/><Relationship Id="rId149" Type="http://schemas.openxmlformats.org/officeDocument/2006/relationships/image" Target="media/image66.png"/><Relationship Id="rId148" Type="http://schemas.openxmlformats.org/officeDocument/2006/relationships/image" Target="media/image65.wmf"/><Relationship Id="rId147" Type="http://schemas.openxmlformats.org/officeDocument/2006/relationships/oleObject" Target="embeddings/oleObject66.bin"/><Relationship Id="rId146" Type="http://schemas.openxmlformats.org/officeDocument/2006/relationships/image" Target="media/image64.wmf"/><Relationship Id="rId145" Type="http://schemas.openxmlformats.org/officeDocument/2006/relationships/oleObject" Target="embeddings/oleObject65.bin"/><Relationship Id="rId144" Type="http://schemas.openxmlformats.org/officeDocument/2006/relationships/image" Target="media/image63.wmf"/><Relationship Id="rId143" Type="http://schemas.openxmlformats.org/officeDocument/2006/relationships/oleObject" Target="embeddings/oleObject64.bin"/><Relationship Id="rId142" Type="http://schemas.openxmlformats.org/officeDocument/2006/relationships/image" Target="media/image62.wmf"/><Relationship Id="rId141" Type="http://schemas.openxmlformats.org/officeDocument/2006/relationships/oleObject" Target="embeddings/oleObject63.bin"/><Relationship Id="rId140" Type="http://schemas.openxmlformats.org/officeDocument/2006/relationships/oleObject" Target="embeddings/oleObject62.bin"/><Relationship Id="rId14" Type="http://schemas.openxmlformats.org/officeDocument/2006/relationships/header" Target="header6.xml"/><Relationship Id="rId139" Type="http://schemas.openxmlformats.org/officeDocument/2006/relationships/image" Target="media/image61.wmf"/><Relationship Id="rId138" Type="http://schemas.openxmlformats.org/officeDocument/2006/relationships/oleObject" Target="embeddings/oleObject61.bin"/><Relationship Id="rId137" Type="http://schemas.openxmlformats.org/officeDocument/2006/relationships/image" Target="media/image60.wmf"/><Relationship Id="rId136" Type="http://schemas.openxmlformats.org/officeDocument/2006/relationships/oleObject" Target="embeddings/oleObject60.bin"/><Relationship Id="rId135" Type="http://schemas.openxmlformats.org/officeDocument/2006/relationships/image" Target="media/image59.wmf"/><Relationship Id="rId134" Type="http://schemas.openxmlformats.org/officeDocument/2006/relationships/oleObject" Target="embeddings/oleObject59.bin"/><Relationship Id="rId133" Type="http://schemas.openxmlformats.org/officeDocument/2006/relationships/image" Target="media/image58.wmf"/><Relationship Id="rId132" Type="http://schemas.openxmlformats.org/officeDocument/2006/relationships/oleObject" Target="embeddings/oleObject58.bin"/><Relationship Id="rId131" Type="http://schemas.openxmlformats.org/officeDocument/2006/relationships/image" Target="media/image57.wmf"/><Relationship Id="rId130" Type="http://schemas.openxmlformats.org/officeDocument/2006/relationships/oleObject" Target="embeddings/oleObject57.bin"/><Relationship Id="rId13" Type="http://schemas.openxmlformats.org/officeDocument/2006/relationships/header" Target="header5.xml"/><Relationship Id="rId129" Type="http://schemas.openxmlformats.org/officeDocument/2006/relationships/image" Target="media/image56.wmf"/><Relationship Id="rId128" Type="http://schemas.openxmlformats.org/officeDocument/2006/relationships/oleObject" Target="embeddings/oleObject56.bin"/><Relationship Id="rId127" Type="http://schemas.openxmlformats.org/officeDocument/2006/relationships/image" Target="media/image55.wmf"/><Relationship Id="rId126" Type="http://schemas.openxmlformats.org/officeDocument/2006/relationships/oleObject" Target="embeddings/oleObject55.bin"/><Relationship Id="rId125" Type="http://schemas.openxmlformats.org/officeDocument/2006/relationships/image" Target="media/image54.wmf"/><Relationship Id="rId124" Type="http://schemas.openxmlformats.org/officeDocument/2006/relationships/oleObject" Target="embeddings/oleObject54.bin"/><Relationship Id="rId123" Type="http://schemas.openxmlformats.org/officeDocument/2006/relationships/image" Target="media/image53.wmf"/><Relationship Id="rId122" Type="http://schemas.openxmlformats.org/officeDocument/2006/relationships/oleObject" Target="embeddings/oleObject53.bin"/><Relationship Id="rId121" Type="http://schemas.openxmlformats.org/officeDocument/2006/relationships/image" Target="media/image52.wmf"/><Relationship Id="rId120" Type="http://schemas.openxmlformats.org/officeDocument/2006/relationships/oleObject" Target="embeddings/oleObject52.bin"/><Relationship Id="rId12" Type="http://schemas.openxmlformats.org/officeDocument/2006/relationships/header" Target="header4.xml"/><Relationship Id="rId119" Type="http://schemas.openxmlformats.org/officeDocument/2006/relationships/image" Target="media/image51.png"/><Relationship Id="rId118" Type="http://schemas.openxmlformats.org/officeDocument/2006/relationships/image" Target="media/image50.png"/><Relationship Id="rId117" Type="http://schemas.openxmlformats.org/officeDocument/2006/relationships/image" Target="media/image49.png"/><Relationship Id="rId116" Type="http://schemas.openxmlformats.org/officeDocument/2006/relationships/image" Target="media/image48.png"/><Relationship Id="rId115" Type="http://schemas.openxmlformats.org/officeDocument/2006/relationships/image" Target="media/image47.png"/><Relationship Id="rId114" Type="http://schemas.openxmlformats.org/officeDocument/2006/relationships/image" Target="media/image46.png"/><Relationship Id="rId113" Type="http://schemas.openxmlformats.org/officeDocument/2006/relationships/image" Target="media/image45.emf"/><Relationship Id="rId112" Type="http://schemas.openxmlformats.org/officeDocument/2006/relationships/image" Target="media/image44.emf"/><Relationship Id="rId111" Type="http://schemas.openxmlformats.org/officeDocument/2006/relationships/image" Target="media/image43.emf"/><Relationship Id="rId110" Type="http://schemas.openxmlformats.org/officeDocument/2006/relationships/chart" Target="charts/chart2.xml"/><Relationship Id="rId11" Type="http://schemas.openxmlformats.org/officeDocument/2006/relationships/footer" Target="footer4.xml"/><Relationship Id="rId109" Type="http://schemas.openxmlformats.org/officeDocument/2006/relationships/chart" Target="charts/chart1.xml"/><Relationship Id="rId108" Type="http://schemas.openxmlformats.org/officeDocument/2006/relationships/image" Target="media/image42.png"/><Relationship Id="rId107" Type="http://schemas.openxmlformats.org/officeDocument/2006/relationships/image" Target="media/image41.png"/><Relationship Id="rId106" Type="http://schemas.openxmlformats.org/officeDocument/2006/relationships/image" Target="media/image40.emf"/><Relationship Id="rId105" Type="http://schemas.openxmlformats.org/officeDocument/2006/relationships/image" Target="media/image39.emf"/><Relationship Id="rId104" Type="http://schemas.openxmlformats.org/officeDocument/2006/relationships/image" Target="media/image38.emf"/><Relationship Id="rId103" Type="http://schemas.openxmlformats.org/officeDocument/2006/relationships/image" Target="media/image37.emf"/><Relationship Id="rId102" Type="http://schemas.openxmlformats.org/officeDocument/2006/relationships/image" Target="media/image36.emf"/><Relationship Id="rId101" Type="http://schemas.openxmlformats.org/officeDocument/2006/relationships/image" Target="media/image35.emf"/><Relationship Id="rId100" Type="http://schemas.openxmlformats.org/officeDocument/2006/relationships/image" Target="media/image34.emf"/><Relationship Id="rId10" Type="http://schemas.openxmlformats.org/officeDocument/2006/relationships/header" Target="header3.xml"/><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Workbook2.xlsx"/></Relationships>
</file>

<file path=word/charts/_rels/chart2.xml.rels><?xml version="1.0" encoding="UTF-8" standalone="yes"?>
<Relationships xmlns="http://schemas.openxmlformats.org/package/2006/relationships"><Relationship Id="rId1" Type="http://schemas.openxmlformats.org/officeDocument/2006/relationships/package" Target="../embeddings/Workbook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825" b="1" i="0" u="none" strike="noStrike" kern="1200" baseline="0">
                <a:solidFill>
                  <a:srgbClr val="000000"/>
                </a:solidFill>
                <a:latin typeface="Calibri" panose="020F0502020204030204"/>
                <a:ea typeface="Calibri" panose="020F0502020204030204"/>
                <a:cs typeface="Calibri" panose="020F0502020204030204"/>
              </a:defRPr>
            </a:pPr>
            <a:r>
              <a:rPr lang="zh-CN" altLang="en-US"/>
              <a:t>图</a:t>
            </a:r>
            <a:r>
              <a:rPr lang="en-US" altLang="zh-CN"/>
              <a:t>2 </a:t>
            </a:r>
            <a:r>
              <a:rPr lang="zh-CN" altLang="en-US"/>
              <a:t>美国国际收支的变化趋势</a:t>
            </a:r>
            <a:endParaRPr lang="zh-CN" altLang="en-US"/>
          </a:p>
        </c:rich>
      </c:tx>
      <c:layout>
        <c:manualLayout>
          <c:xMode val="edge"/>
          <c:yMode val="edge"/>
          <c:x val="0.320623916811092"/>
          <c:y val="0.0201005025125628"/>
        </c:manualLayout>
      </c:layout>
      <c:overlay val="0"/>
      <c:spPr>
        <a:noFill/>
        <a:ln w="19034">
          <a:noFill/>
        </a:ln>
      </c:spPr>
    </c:title>
    <c:autoTitleDeleted val="0"/>
    <c:plotArea>
      <c:layout>
        <c:manualLayout>
          <c:layoutTarget val="inner"/>
          <c:xMode val="edge"/>
          <c:yMode val="edge"/>
          <c:x val="0.136915077989601"/>
          <c:y val="0.173366834170854"/>
          <c:w val="0.847487001733102"/>
          <c:h val="0.723618090452261"/>
        </c:manualLayout>
      </c:layout>
      <c:lineChart>
        <c:grouping val="standard"/>
        <c:varyColors val="0"/>
        <c:ser>
          <c:idx val="0"/>
          <c:order val="0"/>
          <c:tx>
            <c:strRef>
              <c:f>Sheet1!$A$2</c:f>
              <c:strCache>
                <c:ptCount val="1"/>
                <c:pt idx="0">
                  <c:v>经常账户</c:v>
                </c:pt>
              </c:strCache>
            </c:strRef>
          </c:tx>
          <c:spPr>
            <a:ln w="9517" cap="rnd" cmpd="sng" algn="ctr">
              <a:solidFill>
                <a:srgbClr val="000080"/>
              </a:solidFill>
              <a:prstDash val="solid"/>
              <a:round/>
            </a:ln>
          </c:spPr>
          <c:marker>
            <c:symbol val="diamond"/>
            <c:size val="3"/>
            <c:spPr>
              <a:solidFill>
                <a:srgbClr val="000080"/>
              </a:solidFill>
              <a:ln w="6350" cap="flat" cmpd="sng" algn="ctr">
                <a:solidFill>
                  <a:srgbClr val="000080"/>
                </a:solidFill>
                <a:prstDash val="solid"/>
                <a:round/>
              </a:ln>
            </c:spPr>
          </c:marker>
          <c:dLbls>
            <c:delete val="1"/>
          </c:dLbls>
          <c:cat>
            <c:numRef>
              <c:f>Sheet1!$B$1:$Q$1</c:f>
              <c:numCache>
                <c:formatCode>g/"通""用""格""式"</c:formatCode>
                <c:ptCount val="16"/>
                <c:pt idx="0" c:formatCode="g/&quot;通&quot;&quot;用&quot;&quot;格&quot;&quot;式&quot;">
                  <c:v>1981</c:v>
                </c:pt>
                <c:pt idx="1" c:formatCode="g/&quot;通&quot;&quot;用&quot;&quot;格&quot;&quot;式&quot;">
                  <c:v>1982</c:v>
                </c:pt>
                <c:pt idx="2" c:formatCode="g/&quot;通&quot;&quot;用&quot;&quot;格&quot;&quot;式&quot;">
                  <c:v>1985</c:v>
                </c:pt>
                <c:pt idx="3" c:formatCode="g/&quot;通&quot;&quot;用&quot;&quot;格&quot;&quot;式&quot;">
                  <c:v>1987</c:v>
                </c:pt>
                <c:pt idx="4" c:formatCode="g/&quot;通&quot;&quot;用&quot;&quot;格&quot;&quot;式&quot;">
                  <c:v>1990</c:v>
                </c:pt>
                <c:pt idx="5" c:formatCode="g/&quot;通&quot;&quot;用&quot;&quot;格&quot;&quot;式&quot;">
                  <c:v>1992</c:v>
                </c:pt>
                <c:pt idx="6" c:formatCode="g/&quot;通&quot;&quot;用&quot;&quot;格&quot;&quot;式&quot;">
                  <c:v>1995</c:v>
                </c:pt>
                <c:pt idx="7" c:formatCode="g/&quot;通&quot;&quot;用&quot;&quot;格&quot;&quot;式&quot;">
                  <c:v>1996</c:v>
                </c:pt>
                <c:pt idx="8" c:formatCode="g/&quot;通&quot;&quot;用&quot;&quot;格&quot;&quot;式&quot;">
                  <c:v>1997</c:v>
                </c:pt>
                <c:pt idx="9" c:formatCode="g/&quot;通&quot;&quot;用&quot;&quot;格&quot;&quot;式&quot;">
                  <c:v>1998</c:v>
                </c:pt>
                <c:pt idx="10" c:formatCode="g/&quot;通&quot;&quot;用&quot;&quot;格&quot;&quot;式&quot;">
                  <c:v>1999</c:v>
                </c:pt>
                <c:pt idx="11" c:formatCode="g/&quot;通&quot;&quot;用&quot;&quot;格&quot;&quot;式&quot;">
                  <c:v>2000</c:v>
                </c:pt>
                <c:pt idx="12" c:formatCode="g/&quot;通&quot;&quot;用&quot;&quot;格&quot;&quot;式&quot;">
                  <c:v>2001</c:v>
                </c:pt>
                <c:pt idx="13" c:formatCode="g/&quot;通&quot;&quot;用&quot;&quot;格&quot;&quot;式&quot;">
                  <c:v>2002</c:v>
                </c:pt>
                <c:pt idx="14" c:formatCode="g/&quot;通&quot;&quot;用&quot;&quot;格&quot;&quot;式&quot;">
                  <c:v>2003</c:v>
                </c:pt>
                <c:pt idx="15" c:formatCode="g/&quot;通&quot;&quot;用&quot;&quot;格&quot;&quot;式&quot;">
                  <c:v>2005</c:v>
                </c:pt>
              </c:numCache>
            </c:numRef>
          </c:cat>
          <c:val>
            <c:numRef>
              <c:f>Sheet1!$B$2:$Q$2</c:f>
              <c:numCache>
                <c:formatCode>g/"通""用""格""式"</c:formatCode>
                <c:ptCount val="16"/>
                <c:pt idx="0">
                  <c:v>51</c:v>
                </c:pt>
                <c:pt idx="1">
                  <c:v>-114</c:v>
                </c:pt>
                <c:pt idx="2">
                  <c:v>-1254</c:v>
                </c:pt>
                <c:pt idx="3">
                  <c:v>-1671</c:v>
                </c:pt>
                <c:pt idx="4">
                  <c:v>-769</c:v>
                </c:pt>
                <c:pt idx="5">
                  <c:v>-567</c:v>
                </c:pt>
                <c:pt idx="6">
                  <c:v>-1095</c:v>
                </c:pt>
                <c:pt idx="7">
                  <c:v>-1233</c:v>
                </c:pt>
                <c:pt idx="8">
                  <c:v>-1405</c:v>
                </c:pt>
                <c:pt idx="9">
                  <c:v>-2171</c:v>
                </c:pt>
                <c:pt idx="10">
                  <c:v>-3315</c:v>
                </c:pt>
                <c:pt idx="11">
                  <c:v>-4447</c:v>
                </c:pt>
                <c:pt idx="12">
                  <c:v>-3934</c:v>
                </c:pt>
                <c:pt idx="13">
                  <c:v>-4809</c:v>
                </c:pt>
                <c:pt idx="14">
                  <c:v>-5307</c:v>
                </c:pt>
                <c:pt idx="15">
                  <c:v>-7915</c:v>
                </c:pt>
              </c:numCache>
            </c:numRef>
          </c:val>
          <c:smooth val="0"/>
        </c:ser>
        <c:ser>
          <c:idx val="1"/>
          <c:order val="1"/>
          <c:tx>
            <c:strRef>
              <c:f>Sheet1!$A$3</c:f>
              <c:strCache>
                <c:ptCount val="1"/>
                <c:pt idx="0">
                  <c:v>资本和金融账户</c:v>
                </c:pt>
              </c:strCache>
            </c:strRef>
          </c:tx>
          <c:spPr>
            <a:ln w="9517" cap="rnd" cmpd="sng" algn="ctr">
              <a:solidFill>
                <a:srgbClr val="FF00FF"/>
              </a:solidFill>
              <a:prstDash val="solid"/>
              <a:round/>
            </a:ln>
          </c:spPr>
          <c:marker>
            <c:symbol val="square"/>
            <c:size val="3"/>
            <c:spPr>
              <a:solidFill>
                <a:srgbClr val="FF00FF"/>
              </a:solidFill>
              <a:ln w="6350" cap="flat" cmpd="sng" algn="ctr">
                <a:solidFill>
                  <a:srgbClr val="FF00FF"/>
                </a:solidFill>
                <a:prstDash val="solid"/>
                <a:round/>
              </a:ln>
            </c:spPr>
          </c:marker>
          <c:dLbls>
            <c:delete val="1"/>
          </c:dLbls>
          <c:cat>
            <c:numRef>
              <c:f>Sheet1!$B$1:$Q$1</c:f>
              <c:numCache>
                <c:formatCode>g/"通""用""格""式"</c:formatCode>
                <c:ptCount val="16"/>
                <c:pt idx="0" c:formatCode="g/&quot;通&quot;&quot;用&quot;&quot;格&quot;&quot;式&quot;">
                  <c:v>1981</c:v>
                </c:pt>
                <c:pt idx="1" c:formatCode="g/&quot;通&quot;&quot;用&quot;&quot;格&quot;&quot;式&quot;">
                  <c:v>1982</c:v>
                </c:pt>
                <c:pt idx="2" c:formatCode="g/&quot;通&quot;&quot;用&quot;&quot;格&quot;&quot;式&quot;">
                  <c:v>1985</c:v>
                </c:pt>
                <c:pt idx="3" c:formatCode="g/&quot;通&quot;&quot;用&quot;&quot;格&quot;&quot;式&quot;">
                  <c:v>1987</c:v>
                </c:pt>
                <c:pt idx="4" c:formatCode="g/&quot;通&quot;&quot;用&quot;&quot;格&quot;&quot;式&quot;">
                  <c:v>1990</c:v>
                </c:pt>
                <c:pt idx="5" c:formatCode="g/&quot;通&quot;&quot;用&quot;&quot;格&quot;&quot;式&quot;">
                  <c:v>1992</c:v>
                </c:pt>
                <c:pt idx="6" c:formatCode="g/&quot;通&quot;&quot;用&quot;&quot;格&quot;&quot;式&quot;">
                  <c:v>1995</c:v>
                </c:pt>
                <c:pt idx="7" c:formatCode="g/&quot;通&quot;&quot;用&quot;&quot;格&quot;&quot;式&quot;">
                  <c:v>1996</c:v>
                </c:pt>
                <c:pt idx="8" c:formatCode="g/&quot;通&quot;&quot;用&quot;&quot;格&quot;&quot;式&quot;">
                  <c:v>1997</c:v>
                </c:pt>
                <c:pt idx="9" c:formatCode="g/&quot;通&quot;&quot;用&quot;&quot;格&quot;&quot;式&quot;">
                  <c:v>1998</c:v>
                </c:pt>
                <c:pt idx="10" c:formatCode="g/&quot;通&quot;&quot;用&quot;&quot;格&quot;&quot;式&quot;">
                  <c:v>1999</c:v>
                </c:pt>
                <c:pt idx="11" c:formatCode="g/&quot;通&quot;&quot;用&quot;&quot;格&quot;&quot;式&quot;">
                  <c:v>2000</c:v>
                </c:pt>
                <c:pt idx="12" c:formatCode="g/&quot;通&quot;&quot;用&quot;&quot;格&quot;&quot;式&quot;">
                  <c:v>2001</c:v>
                </c:pt>
                <c:pt idx="13" c:formatCode="g/&quot;通&quot;&quot;用&quot;&quot;格&quot;&quot;式&quot;">
                  <c:v>2002</c:v>
                </c:pt>
                <c:pt idx="14" c:formatCode="g/&quot;通&quot;&quot;用&quot;&quot;格&quot;&quot;式&quot;">
                  <c:v>2003</c:v>
                </c:pt>
                <c:pt idx="15" c:formatCode="g/&quot;通&quot;&quot;用&quot;&quot;格&quot;&quot;式&quot;">
                  <c:v>2005</c:v>
                </c:pt>
              </c:numCache>
            </c:numRef>
          </c:cat>
          <c:val>
            <c:numRef>
              <c:f>Sheet1!$B$3:$Q$3</c:f>
              <c:numCache>
                <c:formatCode>g/"通""用""格""式"</c:formatCode>
                <c:ptCount val="16"/>
                <c:pt idx="0">
                  <c:v>101</c:v>
                </c:pt>
                <c:pt idx="1">
                  <c:v>134</c:v>
                </c:pt>
                <c:pt idx="2">
                  <c:v>1312</c:v>
                </c:pt>
                <c:pt idx="3">
                  <c:v>1002</c:v>
                </c:pt>
                <c:pt idx="4">
                  <c:v>559</c:v>
                </c:pt>
                <c:pt idx="5">
                  <c:v>1003</c:v>
                </c:pt>
                <c:pt idx="6">
                  <c:v>1235</c:v>
                </c:pt>
                <c:pt idx="7">
                  <c:v>1558</c:v>
                </c:pt>
                <c:pt idx="8">
                  <c:v>2694</c:v>
                </c:pt>
                <c:pt idx="9">
                  <c:v>1542</c:v>
                </c:pt>
                <c:pt idx="10">
                  <c:v>3111</c:v>
                </c:pt>
                <c:pt idx="11">
                  <c:v>4443</c:v>
                </c:pt>
                <c:pt idx="12">
                  <c:v>3876</c:v>
                </c:pt>
                <c:pt idx="13">
                  <c:v>5304</c:v>
                </c:pt>
                <c:pt idx="14">
                  <c:v>5411</c:v>
                </c:pt>
                <c:pt idx="15">
                  <c:v>7670</c:v>
                </c:pt>
              </c:numCache>
            </c:numRef>
          </c:val>
          <c:smooth val="0"/>
        </c:ser>
        <c:ser>
          <c:idx val="2"/>
          <c:order val="2"/>
          <c:tx>
            <c:strRef>
              <c:f>Sheet1!$A$4</c:f>
              <c:strCache>
                <c:ptCount val="1"/>
                <c:pt idx="0">
                  <c:v>净差错与遗漏</c:v>
                </c:pt>
              </c:strCache>
            </c:strRef>
          </c:tx>
          <c:spPr>
            <a:ln w="9517" cap="rnd" cmpd="sng" algn="ctr">
              <a:solidFill>
                <a:srgbClr val="FFFF00"/>
              </a:solidFill>
              <a:prstDash val="solid"/>
              <a:round/>
            </a:ln>
          </c:spPr>
          <c:marker>
            <c:symbol val="triangle"/>
            <c:size val="3"/>
            <c:spPr>
              <a:solidFill>
                <a:srgbClr val="FFFF00"/>
              </a:solidFill>
              <a:ln w="6350" cap="flat" cmpd="sng" algn="ctr">
                <a:solidFill>
                  <a:srgbClr val="FFFF00"/>
                </a:solidFill>
                <a:prstDash val="solid"/>
                <a:round/>
              </a:ln>
            </c:spPr>
          </c:marker>
          <c:dLbls>
            <c:delete val="1"/>
          </c:dLbls>
          <c:cat>
            <c:numRef>
              <c:f>Sheet1!$B$1:$Q$1</c:f>
              <c:numCache>
                <c:formatCode>g/"通""用""格""式"</c:formatCode>
                <c:ptCount val="16"/>
                <c:pt idx="0" c:formatCode="g/&quot;通&quot;&quot;用&quot;&quot;格&quot;&quot;式&quot;">
                  <c:v>1981</c:v>
                </c:pt>
                <c:pt idx="1" c:formatCode="g/&quot;通&quot;&quot;用&quot;&quot;格&quot;&quot;式&quot;">
                  <c:v>1982</c:v>
                </c:pt>
                <c:pt idx="2" c:formatCode="g/&quot;通&quot;&quot;用&quot;&quot;格&quot;&quot;式&quot;">
                  <c:v>1985</c:v>
                </c:pt>
                <c:pt idx="3" c:formatCode="g/&quot;通&quot;&quot;用&quot;&quot;格&quot;&quot;式&quot;">
                  <c:v>1987</c:v>
                </c:pt>
                <c:pt idx="4" c:formatCode="g/&quot;通&quot;&quot;用&quot;&quot;格&quot;&quot;式&quot;">
                  <c:v>1990</c:v>
                </c:pt>
                <c:pt idx="5" c:formatCode="g/&quot;通&quot;&quot;用&quot;&quot;格&quot;&quot;式&quot;">
                  <c:v>1992</c:v>
                </c:pt>
                <c:pt idx="6" c:formatCode="g/&quot;通&quot;&quot;用&quot;&quot;格&quot;&quot;式&quot;">
                  <c:v>1995</c:v>
                </c:pt>
                <c:pt idx="7" c:formatCode="g/&quot;通&quot;&quot;用&quot;&quot;格&quot;&quot;式&quot;">
                  <c:v>1996</c:v>
                </c:pt>
                <c:pt idx="8" c:formatCode="g/&quot;通&quot;&quot;用&quot;&quot;格&quot;&quot;式&quot;">
                  <c:v>1997</c:v>
                </c:pt>
                <c:pt idx="9" c:formatCode="g/&quot;通&quot;&quot;用&quot;&quot;格&quot;&quot;式&quot;">
                  <c:v>1998</c:v>
                </c:pt>
                <c:pt idx="10" c:formatCode="g/&quot;通&quot;&quot;用&quot;&quot;格&quot;&quot;式&quot;">
                  <c:v>1999</c:v>
                </c:pt>
                <c:pt idx="11" c:formatCode="g/&quot;通&quot;&quot;用&quot;&quot;格&quot;&quot;式&quot;">
                  <c:v>2000</c:v>
                </c:pt>
                <c:pt idx="12" c:formatCode="g/&quot;通&quot;&quot;用&quot;&quot;格&quot;&quot;式&quot;">
                  <c:v>2001</c:v>
                </c:pt>
                <c:pt idx="13" c:formatCode="g/&quot;通&quot;&quot;用&quot;&quot;格&quot;&quot;式&quot;">
                  <c:v>2002</c:v>
                </c:pt>
                <c:pt idx="14" c:formatCode="g/&quot;通&quot;&quot;用&quot;&quot;格&quot;&quot;式&quot;">
                  <c:v>2003</c:v>
                </c:pt>
                <c:pt idx="15" c:formatCode="g/&quot;通&quot;&quot;用&quot;&quot;格&quot;&quot;式&quot;">
                  <c:v>2005</c:v>
                </c:pt>
              </c:numCache>
            </c:numRef>
          </c:cat>
          <c:val>
            <c:numRef>
              <c:f>Sheet1!$B$4:$Q$4</c:f>
              <c:numCache>
                <c:formatCode>g/"通""用""格""式"</c:formatCode>
                <c:ptCount val="16"/>
                <c:pt idx="0">
                  <c:v>-140</c:v>
                </c:pt>
                <c:pt idx="1">
                  <c:v>-40</c:v>
                </c:pt>
                <c:pt idx="2">
                  <c:v>-116</c:v>
                </c:pt>
                <c:pt idx="3">
                  <c:v>1238</c:v>
                </c:pt>
                <c:pt idx="4">
                  <c:v>232</c:v>
                </c:pt>
                <c:pt idx="5">
                  <c:v>-397</c:v>
                </c:pt>
                <c:pt idx="6">
                  <c:v>-43</c:v>
                </c:pt>
                <c:pt idx="7">
                  <c:v>-392</c:v>
                </c:pt>
                <c:pt idx="8">
                  <c:v>-1279</c:v>
                </c:pt>
                <c:pt idx="9">
                  <c:v>696</c:v>
                </c:pt>
                <c:pt idx="10">
                  <c:v>117</c:v>
                </c:pt>
                <c:pt idx="11">
                  <c:v>7</c:v>
                </c:pt>
                <c:pt idx="12">
                  <c:v>107</c:v>
                </c:pt>
                <c:pt idx="13">
                  <c:v>-458</c:v>
                </c:pt>
                <c:pt idx="14">
                  <c:v>-119</c:v>
                </c:pt>
                <c:pt idx="15">
                  <c:v>104</c:v>
                </c:pt>
              </c:numCache>
            </c:numRef>
          </c:val>
          <c:smooth val="0"/>
        </c:ser>
        <c:dLbls>
          <c:showLegendKey val="0"/>
          <c:showVal val="0"/>
          <c:showCatName val="0"/>
          <c:showSerName val="0"/>
          <c:showPercent val="0"/>
          <c:showBubbleSize val="0"/>
        </c:dLbls>
        <c:marker val="1"/>
        <c:smooth val="0"/>
        <c:axId val="132957328"/>
        <c:axId val="1"/>
      </c:lineChart>
      <c:dateAx>
        <c:axId val="132957328"/>
        <c:scaling>
          <c:orientation val="minMax"/>
        </c:scaling>
        <c:delete val="0"/>
        <c:axPos val="b"/>
        <c:numFmt formatCode="g/&quot;通&quot;&quot;用&quot;&quot;格&quot;&quot;式&quot;" sourceLinked="1"/>
        <c:majorTickMark val="out"/>
        <c:minorTickMark val="none"/>
        <c:tickLblPos val="nextTo"/>
        <c:spPr>
          <a:ln w="2379" cap="flat" cmpd="sng" algn="ctr">
            <a:solidFill>
              <a:srgbClr val="000000"/>
            </a:solidFill>
            <a:prstDash val="solid"/>
            <a:round/>
          </a:ln>
        </c:spPr>
        <c:txPr>
          <a:bodyPr rot="-2700000" spcFirstLastPara="0" vertOverflow="ellipsis" vert="horz" wrap="square" anchor="ctr" anchorCtr="1"/>
          <a:lstStyle/>
          <a:p>
            <a:pPr>
              <a:defRPr lang="zh-CN" sz="825" b="1" i="0" u="none" strike="noStrike" kern="1200" baseline="0">
                <a:solidFill>
                  <a:srgbClr val="000000"/>
                </a:solidFill>
                <a:latin typeface="Calibri" panose="020F0502020204030204"/>
                <a:ea typeface="Calibri" panose="020F0502020204030204"/>
                <a:cs typeface="Calibri" panose="020F0502020204030204"/>
              </a:defRPr>
            </a:pPr>
          </a:p>
        </c:txPr>
        <c:crossAx val="1"/>
        <c:crosses val="autoZero"/>
        <c:auto val="1"/>
        <c:lblOffset val="100"/>
        <c:baseTimeUnit val="days"/>
        <c:majorUnit val="1"/>
        <c:majorTimeUnit val="days"/>
        <c:minorUnit val="1"/>
        <c:minorTimeUnit val="days"/>
      </c:dateAx>
      <c:valAx>
        <c:axId val="1"/>
        <c:scaling>
          <c:orientation val="minMax"/>
        </c:scaling>
        <c:delete val="0"/>
        <c:axPos val="l"/>
        <c:majorGridlines>
          <c:spPr>
            <a:ln w="2379" cap="flat" cmpd="sng" algn="ctr">
              <a:solidFill>
                <a:srgbClr val="000000"/>
              </a:solidFill>
              <a:prstDash val="solid"/>
              <a:round/>
            </a:ln>
          </c:spPr>
        </c:majorGridlines>
        <c:title>
          <c:tx>
            <c:rich>
              <a:bodyPr rot="-5400000" spcFirstLastPara="0" vertOverflow="ellipsis" vert="horz" wrap="square" anchor="ctr" anchorCtr="1"/>
              <a:lstStyle/>
              <a:p>
                <a:pPr>
                  <a:defRPr lang="zh-CN" sz="825" b="1" i="0" u="none" strike="noStrike" kern="1200" baseline="0">
                    <a:solidFill>
                      <a:srgbClr val="000000"/>
                    </a:solidFill>
                    <a:latin typeface="Calibri" panose="020F0502020204030204"/>
                    <a:ea typeface="Calibri" panose="020F0502020204030204"/>
                    <a:cs typeface="Calibri" panose="020F0502020204030204"/>
                  </a:defRPr>
                </a:pPr>
                <a:r>
                  <a:rPr lang="zh-CN" altLang="en-US"/>
                  <a:t>亿美元</a:t>
                </a:r>
                <a:endParaRPr lang="zh-CN" altLang="en-US"/>
              </a:p>
            </c:rich>
          </c:tx>
          <c:layout>
            <c:manualLayout>
              <c:xMode val="edge"/>
              <c:yMode val="edge"/>
              <c:x val="0"/>
              <c:y val="0.417085427135678"/>
            </c:manualLayout>
          </c:layout>
          <c:overlay val="0"/>
          <c:spPr>
            <a:noFill/>
            <a:ln w="19034">
              <a:noFill/>
            </a:ln>
          </c:spPr>
        </c:title>
        <c:numFmt formatCode="g/&quot;通&quot;&quot;用&quot;&quot;格&quot;&quot;式&quot;" sourceLinked="1"/>
        <c:majorTickMark val="out"/>
        <c:minorTickMark val="none"/>
        <c:tickLblPos val="nextTo"/>
        <c:spPr>
          <a:ln w="2379" cap="flat" cmpd="sng" algn="ctr">
            <a:solidFill>
              <a:srgbClr val="000000"/>
            </a:solidFill>
            <a:prstDash val="solid"/>
            <a:round/>
          </a:ln>
        </c:spPr>
        <c:txPr>
          <a:bodyPr rot="0" spcFirstLastPara="0" vertOverflow="ellipsis" vert="horz" wrap="square" anchor="ctr" anchorCtr="1"/>
          <a:lstStyle/>
          <a:p>
            <a:pPr>
              <a:defRPr lang="zh-CN" sz="825" b="1" i="0" u="none" strike="noStrike" kern="1200" baseline="0">
                <a:solidFill>
                  <a:srgbClr val="000000"/>
                </a:solidFill>
                <a:latin typeface="Calibri" panose="020F0502020204030204"/>
                <a:ea typeface="Calibri" panose="020F0502020204030204"/>
                <a:cs typeface="Calibri" panose="020F0502020204030204"/>
              </a:defRPr>
            </a:pPr>
          </a:p>
        </c:txPr>
        <c:crossAx val="132957328"/>
        <c:crosses val="autoZero"/>
        <c:crossBetween val="between"/>
      </c:valAx>
      <c:spPr>
        <a:solidFill>
          <a:srgbClr val="C0C0C0"/>
        </a:solidFill>
        <a:ln w="9517">
          <a:solidFill>
            <a:srgbClr val="808080"/>
          </a:solidFill>
          <a:prstDash val="solid"/>
        </a:ln>
      </c:spPr>
    </c:plotArea>
    <c:legend>
      <c:legendPos val="b"/>
      <c:layout>
        <c:manualLayout>
          <c:xMode val="edge"/>
          <c:yMode val="edge"/>
          <c:x val="0.221837088388215"/>
          <c:y val="0.92713567839196"/>
          <c:w val="0.672443674176776"/>
          <c:h val="0.0653266331658292"/>
        </c:manualLayout>
      </c:layout>
      <c:overlay val="0"/>
      <c:spPr>
        <a:noFill/>
        <a:ln w="2379">
          <a:solidFill>
            <a:srgbClr val="000000"/>
          </a:solidFill>
          <a:prstDash val="solid"/>
        </a:ln>
      </c:spPr>
      <c:txPr>
        <a:bodyPr rot="0" spcFirstLastPara="0" vertOverflow="ellipsis" vert="horz" wrap="square" anchor="ctr" anchorCtr="1"/>
        <a:lstStyle/>
        <a:p>
          <a:pPr>
            <a:defRPr lang="zh-CN" sz="755" b="1" i="0" u="none" strike="noStrike" kern="1200" baseline="0">
              <a:solidFill>
                <a:srgbClr val="000000"/>
              </a:solidFill>
              <a:latin typeface="Calibri" panose="020F0502020204030204"/>
              <a:ea typeface="Calibri" panose="020F0502020204030204"/>
              <a:cs typeface="Calibri" panose="020F0502020204030204"/>
            </a:defRPr>
          </a:pPr>
        </a:p>
      </c:txPr>
    </c:legend>
    <c:plotVisOnly val="1"/>
    <c:dispBlanksAs val="gap"/>
    <c:showDLblsOverMax val="0"/>
    <c:extLst>
      <c:ext uri="{0b15fc19-7d7d-44ad-8c2d-2c3a37ce22c3}">
        <chartProps xmlns="https://web.wps.cn/et/2018/main" chartId="{c8c8fa42-b39d-4767-8598-ddabdd54dfe7}"/>
      </c:ext>
    </c:extLst>
  </c:chart>
  <c:spPr>
    <a:noFill/>
    <a:ln w="6350" cap="flat" cmpd="sng" algn="ctr">
      <a:noFill/>
      <a:prstDash val="solid"/>
      <a:round/>
    </a:ln>
  </c:spPr>
  <c:txPr>
    <a:bodyPr/>
    <a:lstStyle/>
    <a:p>
      <a:pPr>
        <a:defRPr lang="zh-CN" sz="355" b="1" i="0" u="none" strike="noStrike" baseline="0">
          <a:solidFill>
            <a:srgbClr val="000000"/>
          </a:solidFill>
          <a:latin typeface="Calibri" panose="020F0502020204030204"/>
          <a:ea typeface="Calibri" panose="020F0502020204030204"/>
          <a:cs typeface="Calibri" panose="020F0502020204030204"/>
        </a:defRPr>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a:defRPr lang="zh-CN" sz="750" b="0" i="0" u="none" strike="noStrike" kern="1200" baseline="0">
                <a:solidFill>
                  <a:srgbClr val="000000"/>
                </a:solidFill>
                <a:latin typeface="Calibri" panose="020F0502020204030204"/>
                <a:ea typeface="Calibri" panose="020F0502020204030204"/>
                <a:cs typeface="Calibri" panose="020F0502020204030204"/>
              </a:defRPr>
            </a:pPr>
            <a:r>
              <a:rPr lang="zh-CN" altLang="en-US" sz="1350" b="1" i="0" u="none" strike="noStrike" baseline="0">
                <a:solidFill>
                  <a:srgbClr val="000000"/>
                </a:solidFill>
                <a:latin typeface="宋体" charset="-122"/>
                <a:ea typeface="宋体" charset="-122"/>
              </a:rPr>
              <a:t>图</a:t>
            </a:r>
            <a:r>
              <a:rPr lang="zh-CN" altLang="en-US" sz="1350" b="1" i="0" u="none" strike="noStrike" baseline="0">
                <a:solidFill>
                  <a:srgbClr val="000000"/>
                </a:solidFill>
                <a:latin typeface="Calibri" panose="020F0502020204030204"/>
                <a:ea typeface="宋体" charset="-122"/>
                <a:cs typeface="Calibri" panose="020F0502020204030204"/>
              </a:rPr>
              <a:t>3 </a:t>
            </a:r>
            <a:r>
              <a:rPr lang="zh-CN" altLang="en-US" sz="1350" b="1" i="0" u="none" strike="noStrike" baseline="0">
                <a:solidFill>
                  <a:srgbClr val="000000"/>
                </a:solidFill>
                <a:latin typeface="宋体" charset="-122"/>
                <a:ea typeface="宋体" charset="-122"/>
                <a:cs typeface="Calibri" panose="020F0502020204030204"/>
              </a:rPr>
              <a:t>美元标价的黄金价格波动</a:t>
            </a:r>
            <a:endParaRPr lang="zh-CN" altLang="en-US" sz="1800" b="1" i="0" u="none" strike="noStrike" baseline="0">
              <a:solidFill>
                <a:srgbClr val="000000"/>
              </a:solidFill>
              <a:latin typeface="宋体" charset="-122"/>
              <a:ea typeface="宋体" charset="-122"/>
            </a:endParaRPr>
          </a:p>
        </c:rich>
      </c:tx>
      <c:layout/>
      <c:overlay val="0"/>
    </c:title>
    <c:autoTitleDeleted val="0"/>
    <c:plotArea>
      <c:layout/>
      <c:lineChart>
        <c:grouping val="standard"/>
        <c:varyColors val="0"/>
        <c:ser>
          <c:idx val="0"/>
          <c:order val="0"/>
          <c:tx>
            <c:strRef>
              <c:f>Sheet1!$A$2</c:f>
              <c:strCache>
                <c:ptCount val="1"/>
                <c:pt idx="0">
                  <c:v>Category 1</c:v>
                </c:pt>
              </c:strCache>
            </c:strRef>
          </c:tx>
          <c:marker>
            <c:symbol val="diamond"/>
            <c:size val="5"/>
          </c:marker>
          <c:dLbls>
            <c:delete val="1"/>
          </c:dLbls>
          <c:cat>
            <c:strRef>
              <c:f>Sheet1!$B$1:$AO$1</c:f>
              <c:strCache>
                <c:ptCount val="40"/>
                <c:pt idx="0">
                  <c:v>1967</c:v>
                </c:pt>
                <c:pt idx="1">
                  <c:v>1968</c:v>
                </c:pt>
                <c:pt idx="2">
                  <c:v>1969</c:v>
                </c:pt>
                <c:pt idx="3">
                  <c:v>1970</c:v>
                </c:pt>
                <c:pt idx="4">
                  <c:v>1971</c:v>
                </c:pt>
                <c:pt idx="5">
                  <c:v>1972</c:v>
                </c:pt>
                <c:pt idx="6">
                  <c:v>1973</c:v>
                </c:pt>
                <c:pt idx="7">
                  <c:v>1974</c:v>
                </c:pt>
                <c:pt idx="8">
                  <c:v>1975</c:v>
                </c:pt>
                <c:pt idx="9">
                  <c:v>1976</c:v>
                </c:pt>
                <c:pt idx="10">
                  <c:v>1977</c:v>
                </c:pt>
                <c:pt idx="11">
                  <c:v>1978</c:v>
                </c:pt>
                <c:pt idx="12">
                  <c:v>1979</c:v>
                </c:pt>
                <c:pt idx="13">
                  <c:v>1980</c:v>
                </c:pt>
                <c:pt idx="14">
                  <c:v>1981</c:v>
                </c:pt>
                <c:pt idx="15">
                  <c:v>1982</c:v>
                </c:pt>
                <c:pt idx="16">
                  <c:v>1983</c:v>
                </c:pt>
                <c:pt idx="17">
                  <c:v>1984</c:v>
                </c:pt>
                <c:pt idx="18">
                  <c:v>1985</c:v>
                </c:pt>
                <c:pt idx="19">
                  <c:v>1986</c:v>
                </c:pt>
                <c:pt idx="20">
                  <c:v>1987</c:v>
                </c:pt>
                <c:pt idx="21">
                  <c:v>1988</c:v>
                </c:pt>
                <c:pt idx="22">
                  <c:v>1989</c:v>
                </c:pt>
                <c:pt idx="23">
                  <c:v>1990</c:v>
                </c:pt>
                <c:pt idx="24">
                  <c:v>1991</c:v>
                </c:pt>
                <c:pt idx="25">
                  <c:v>1992</c:v>
                </c:pt>
                <c:pt idx="26">
                  <c:v>1993</c:v>
                </c:pt>
                <c:pt idx="27">
                  <c:v>1994</c:v>
                </c:pt>
                <c:pt idx="28">
                  <c:v>1995</c:v>
                </c:pt>
                <c:pt idx="29">
                  <c:v>1996</c:v>
                </c:pt>
                <c:pt idx="30">
                  <c:v>1997</c:v>
                </c:pt>
                <c:pt idx="31">
                  <c:v>1998</c:v>
                </c:pt>
                <c:pt idx="32">
                  <c:v>1999</c:v>
                </c:pt>
                <c:pt idx="33">
                  <c:v>2000</c:v>
                </c:pt>
                <c:pt idx="34">
                  <c:v>2001</c:v>
                </c:pt>
                <c:pt idx="35">
                  <c:v>2002</c:v>
                </c:pt>
                <c:pt idx="36">
                  <c:v>2003</c:v>
                </c:pt>
                <c:pt idx="37">
                  <c:v>2004</c:v>
                </c:pt>
                <c:pt idx="38">
                  <c:v>2005</c:v>
                </c:pt>
                <c:pt idx="39">
                  <c:v>2006</c:v>
                </c:pt>
              </c:strCache>
            </c:strRef>
          </c:cat>
          <c:val>
            <c:numRef>
              <c:f>Sheet1!$B$2:$AO$2</c:f>
              <c:numCache>
                <c:formatCode>g/"通""用""格""式"</c:formatCode>
                <c:ptCount val="40"/>
                <c:pt idx="0">
                  <c:v>35</c:v>
                </c:pt>
                <c:pt idx="1">
                  <c:v>39.94</c:v>
                </c:pt>
                <c:pt idx="2">
                  <c:v>40.76</c:v>
                </c:pt>
                <c:pt idx="3">
                  <c:v>36.07</c:v>
                </c:pt>
                <c:pt idx="4">
                  <c:v>41.17</c:v>
                </c:pt>
                <c:pt idx="5">
                  <c:v>59</c:v>
                </c:pt>
                <c:pt idx="6">
                  <c:v>97.84</c:v>
                </c:pt>
                <c:pt idx="7">
                  <c:v>158.96</c:v>
                </c:pt>
                <c:pt idx="8">
                  <c:v>160.91</c:v>
                </c:pt>
                <c:pt idx="9">
                  <c:v>124.71</c:v>
                </c:pt>
                <c:pt idx="10">
                  <c:v>147.78</c:v>
                </c:pt>
                <c:pt idx="11">
                  <c:v>193.39</c:v>
                </c:pt>
                <c:pt idx="12">
                  <c:v>304.83</c:v>
                </c:pt>
                <c:pt idx="13">
                  <c:v>616.61</c:v>
                </c:pt>
                <c:pt idx="14">
                  <c:v>459.26</c:v>
                </c:pt>
                <c:pt idx="15">
                  <c:v>375.28</c:v>
                </c:pt>
                <c:pt idx="16">
                  <c:v>423.61</c:v>
                </c:pt>
                <c:pt idx="17">
                  <c:v>360.5</c:v>
                </c:pt>
                <c:pt idx="18">
                  <c:v>317.18</c:v>
                </c:pt>
                <c:pt idx="19">
                  <c:v>367.72</c:v>
                </c:pt>
                <c:pt idx="20">
                  <c:v>446.28</c:v>
                </c:pt>
                <c:pt idx="21">
                  <c:v>436.79</c:v>
                </c:pt>
                <c:pt idx="22">
                  <c:v>380.73</c:v>
                </c:pt>
                <c:pt idx="23">
                  <c:v>383.32</c:v>
                </c:pt>
                <c:pt idx="24">
                  <c:v>362.1</c:v>
                </c:pt>
                <c:pt idx="25">
                  <c:v>343.86</c:v>
                </c:pt>
                <c:pt idx="26">
                  <c:v>360</c:v>
                </c:pt>
                <c:pt idx="27">
                  <c:v>384.12</c:v>
                </c:pt>
                <c:pt idx="28">
                  <c:v>384.05</c:v>
                </c:pt>
                <c:pt idx="29">
                  <c:v>387.82</c:v>
                </c:pt>
                <c:pt idx="30">
                  <c:v>330.98</c:v>
                </c:pt>
                <c:pt idx="31">
                  <c:v>294.12</c:v>
                </c:pt>
                <c:pt idx="32">
                  <c:v>278.55</c:v>
                </c:pt>
                <c:pt idx="33">
                  <c:v>279.1</c:v>
                </c:pt>
                <c:pt idx="34">
                  <c:v>272.67</c:v>
                </c:pt>
                <c:pt idx="35">
                  <c:v>309.66</c:v>
                </c:pt>
                <c:pt idx="36">
                  <c:v>362.91</c:v>
                </c:pt>
                <c:pt idx="37">
                  <c:v>409.17</c:v>
                </c:pt>
                <c:pt idx="38">
                  <c:v>444.47</c:v>
                </c:pt>
                <c:pt idx="39">
                  <c:v>603</c:v>
                </c:pt>
              </c:numCache>
            </c:numRef>
          </c:val>
          <c:smooth val="0"/>
        </c:ser>
        <c:ser>
          <c:idx val="1"/>
          <c:order val="1"/>
          <c:tx>
            <c:strRef>
              <c:f>Sheet1!$A$3</c:f>
              <c:strCache>
                <c:ptCount val="1"/>
                <c:pt idx="0">
                  <c:v/>
                </c:pt>
              </c:strCache>
            </c:strRef>
          </c:tx>
          <c:marker>
            <c:symbol val="square"/>
            <c:size val="5"/>
          </c:marker>
          <c:dLbls>
            <c:delete val="1"/>
          </c:dLbls>
          <c:cat>
            <c:strRef>
              <c:f>Sheet1!$B$1:$AO$1</c:f>
              <c:strCache>
                <c:ptCount val="40"/>
                <c:pt idx="0">
                  <c:v>1967</c:v>
                </c:pt>
                <c:pt idx="1">
                  <c:v>1968</c:v>
                </c:pt>
                <c:pt idx="2">
                  <c:v>1969</c:v>
                </c:pt>
                <c:pt idx="3">
                  <c:v>1970</c:v>
                </c:pt>
                <c:pt idx="4">
                  <c:v>1971</c:v>
                </c:pt>
                <c:pt idx="5">
                  <c:v>1972</c:v>
                </c:pt>
                <c:pt idx="6">
                  <c:v>1973</c:v>
                </c:pt>
                <c:pt idx="7">
                  <c:v>1974</c:v>
                </c:pt>
                <c:pt idx="8">
                  <c:v>1975</c:v>
                </c:pt>
                <c:pt idx="9">
                  <c:v>1976</c:v>
                </c:pt>
                <c:pt idx="10">
                  <c:v>1977</c:v>
                </c:pt>
                <c:pt idx="11">
                  <c:v>1978</c:v>
                </c:pt>
                <c:pt idx="12">
                  <c:v>1979</c:v>
                </c:pt>
                <c:pt idx="13">
                  <c:v>1980</c:v>
                </c:pt>
                <c:pt idx="14">
                  <c:v>1981</c:v>
                </c:pt>
                <c:pt idx="15">
                  <c:v>1982</c:v>
                </c:pt>
                <c:pt idx="16">
                  <c:v>1983</c:v>
                </c:pt>
                <c:pt idx="17">
                  <c:v>1984</c:v>
                </c:pt>
                <c:pt idx="18">
                  <c:v>1985</c:v>
                </c:pt>
                <c:pt idx="19">
                  <c:v>1986</c:v>
                </c:pt>
                <c:pt idx="20">
                  <c:v>1987</c:v>
                </c:pt>
                <c:pt idx="21">
                  <c:v>1988</c:v>
                </c:pt>
                <c:pt idx="22">
                  <c:v>1989</c:v>
                </c:pt>
                <c:pt idx="23">
                  <c:v>1990</c:v>
                </c:pt>
                <c:pt idx="24">
                  <c:v>1991</c:v>
                </c:pt>
                <c:pt idx="25">
                  <c:v>1992</c:v>
                </c:pt>
                <c:pt idx="26">
                  <c:v>1993</c:v>
                </c:pt>
                <c:pt idx="27">
                  <c:v>1994</c:v>
                </c:pt>
                <c:pt idx="28">
                  <c:v>1995</c:v>
                </c:pt>
                <c:pt idx="29">
                  <c:v>1996</c:v>
                </c:pt>
                <c:pt idx="30">
                  <c:v>1997</c:v>
                </c:pt>
                <c:pt idx="31">
                  <c:v>1998</c:v>
                </c:pt>
                <c:pt idx="32">
                  <c:v>1999</c:v>
                </c:pt>
                <c:pt idx="33">
                  <c:v>2000</c:v>
                </c:pt>
                <c:pt idx="34">
                  <c:v>2001</c:v>
                </c:pt>
                <c:pt idx="35">
                  <c:v>2002</c:v>
                </c:pt>
                <c:pt idx="36">
                  <c:v>2003</c:v>
                </c:pt>
                <c:pt idx="37">
                  <c:v>2004</c:v>
                </c:pt>
                <c:pt idx="38">
                  <c:v>2005</c:v>
                </c:pt>
                <c:pt idx="39">
                  <c:v>2006</c:v>
                </c:pt>
              </c:strCache>
            </c:strRef>
          </c:cat>
          <c:val>
            <c:numRef>
              <c:f>Sheet1!$B$3:$AO$3</c:f>
              <c:numCache>
                <c:formatCode>General</c:formatCode>
                <c:ptCount val="40"/>
              </c:numCache>
            </c:numRef>
          </c:val>
          <c:smooth val="0"/>
        </c:ser>
        <c:ser>
          <c:idx val="2"/>
          <c:order val="2"/>
          <c:tx>
            <c:strRef>
              <c:f>Sheet1!$A$4</c:f>
              <c:strCache>
                <c:ptCount val="1"/>
                <c:pt idx="0">
                  <c:v/>
                </c:pt>
              </c:strCache>
            </c:strRef>
          </c:tx>
          <c:marker>
            <c:symbol val="triangle"/>
            <c:size val="5"/>
          </c:marker>
          <c:dLbls>
            <c:delete val="1"/>
          </c:dLbls>
          <c:cat>
            <c:strRef>
              <c:f>Sheet1!$B$1:$AO$1</c:f>
              <c:strCache>
                <c:ptCount val="40"/>
                <c:pt idx="0">
                  <c:v>1967</c:v>
                </c:pt>
                <c:pt idx="1">
                  <c:v>1968</c:v>
                </c:pt>
                <c:pt idx="2">
                  <c:v>1969</c:v>
                </c:pt>
                <c:pt idx="3">
                  <c:v>1970</c:v>
                </c:pt>
                <c:pt idx="4">
                  <c:v>1971</c:v>
                </c:pt>
                <c:pt idx="5">
                  <c:v>1972</c:v>
                </c:pt>
                <c:pt idx="6">
                  <c:v>1973</c:v>
                </c:pt>
                <c:pt idx="7">
                  <c:v>1974</c:v>
                </c:pt>
                <c:pt idx="8">
                  <c:v>1975</c:v>
                </c:pt>
                <c:pt idx="9">
                  <c:v>1976</c:v>
                </c:pt>
                <c:pt idx="10">
                  <c:v>1977</c:v>
                </c:pt>
                <c:pt idx="11">
                  <c:v>1978</c:v>
                </c:pt>
                <c:pt idx="12">
                  <c:v>1979</c:v>
                </c:pt>
                <c:pt idx="13">
                  <c:v>1980</c:v>
                </c:pt>
                <c:pt idx="14">
                  <c:v>1981</c:v>
                </c:pt>
                <c:pt idx="15">
                  <c:v>1982</c:v>
                </c:pt>
                <c:pt idx="16">
                  <c:v>1983</c:v>
                </c:pt>
                <c:pt idx="17">
                  <c:v>1984</c:v>
                </c:pt>
                <c:pt idx="18">
                  <c:v>1985</c:v>
                </c:pt>
                <c:pt idx="19">
                  <c:v>1986</c:v>
                </c:pt>
                <c:pt idx="20">
                  <c:v>1987</c:v>
                </c:pt>
                <c:pt idx="21">
                  <c:v>1988</c:v>
                </c:pt>
                <c:pt idx="22">
                  <c:v>1989</c:v>
                </c:pt>
                <c:pt idx="23">
                  <c:v>1990</c:v>
                </c:pt>
                <c:pt idx="24">
                  <c:v>1991</c:v>
                </c:pt>
                <c:pt idx="25">
                  <c:v>1992</c:v>
                </c:pt>
                <c:pt idx="26">
                  <c:v>1993</c:v>
                </c:pt>
                <c:pt idx="27">
                  <c:v>1994</c:v>
                </c:pt>
                <c:pt idx="28">
                  <c:v>1995</c:v>
                </c:pt>
                <c:pt idx="29">
                  <c:v>1996</c:v>
                </c:pt>
                <c:pt idx="30">
                  <c:v>1997</c:v>
                </c:pt>
                <c:pt idx="31">
                  <c:v>1998</c:v>
                </c:pt>
                <c:pt idx="32">
                  <c:v>1999</c:v>
                </c:pt>
                <c:pt idx="33">
                  <c:v>2000</c:v>
                </c:pt>
                <c:pt idx="34">
                  <c:v>2001</c:v>
                </c:pt>
                <c:pt idx="35">
                  <c:v>2002</c:v>
                </c:pt>
                <c:pt idx="36">
                  <c:v>2003</c:v>
                </c:pt>
                <c:pt idx="37">
                  <c:v>2004</c:v>
                </c:pt>
                <c:pt idx="38">
                  <c:v>2005</c:v>
                </c:pt>
                <c:pt idx="39">
                  <c:v>2006</c:v>
                </c:pt>
              </c:strCache>
            </c:strRef>
          </c:cat>
          <c:val>
            <c:numRef>
              <c:f>Sheet1!$B$4:$AO$4</c:f>
              <c:numCache>
                <c:formatCode>General</c:formatCode>
                <c:ptCount val="40"/>
              </c:numCache>
            </c:numRef>
          </c:val>
          <c:smooth val="0"/>
        </c:ser>
        <c:ser>
          <c:idx val="3"/>
          <c:order val="3"/>
          <c:tx>
            <c:strRef>
              <c:f>Sheet1!$A$5</c:f>
              <c:strCache>
                <c:ptCount val="1"/>
                <c:pt idx="0">
                  <c:v/>
                </c:pt>
              </c:strCache>
            </c:strRef>
          </c:tx>
          <c:marker>
            <c:symbol val="x"/>
            <c:size val="5"/>
          </c:marker>
          <c:dLbls>
            <c:delete val="1"/>
          </c:dLbls>
          <c:cat>
            <c:strRef>
              <c:f>Sheet1!$B$1:$AO$1</c:f>
              <c:strCache>
                <c:ptCount val="40"/>
                <c:pt idx="0">
                  <c:v>1967</c:v>
                </c:pt>
                <c:pt idx="1">
                  <c:v>1968</c:v>
                </c:pt>
                <c:pt idx="2">
                  <c:v>1969</c:v>
                </c:pt>
                <c:pt idx="3">
                  <c:v>1970</c:v>
                </c:pt>
                <c:pt idx="4">
                  <c:v>1971</c:v>
                </c:pt>
                <c:pt idx="5">
                  <c:v>1972</c:v>
                </c:pt>
                <c:pt idx="6">
                  <c:v>1973</c:v>
                </c:pt>
                <c:pt idx="7">
                  <c:v>1974</c:v>
                </c:pt>
                <c:pt idx="8">
                  <c:v>1975</c:v>
                </c:pt>
                <c:pt idx="9">
                  <c:v>1976</c:v>
                </c:pt>
                <c:pt idx="10">
                  <c:v>1977</c:v>
                </c:pt>
                <c:pt idx="11">
                  <c:v>1978</c:v>
                </c:pt>
                <c:pt idx="12">
                  <c:v>1979</c:v>
                </c:pt>
                <c:pt idx="13">
                  <c:v>1980</c:v>
                </c:pt>
                <c:pt idx="14">
                  <c:v>1981</c:v>
                </c:pt>
                <c:pt idx="15">
                  <c:v>1982</c:v>
                </c:pt>
                <c:pt idx="16">
                  <c:v>1983</c:v>
                </c:pt>
                <c:pt idx="17">
                  <c:v>1984</c:v>
                </c:pt>
                <c:pt idx="18">
                  <c:v>1985</c:v>
                </c:pt>
                <c:pt idx="19">
                  <c:v>1986</c:v>
                </c:pt>
                <c:pt idx="20">
                  <c:v>1987</c:v>
                </c:pt>
                <c:pt idx="21">
                  <c:v>1988</c:v>
                </c:pt>
                <c:pt idx="22">
                  <c:v>1989</c:v>
                </c:pt>
                <c:pt idx="23">
                  <c:v>1990</c:v>
                </c:pt>
                <c:pt idx="24">
                  <c:v>1991</c:v>
                </c:pt>
                <c:pt idx="25">
                  <c:v>1992</c:v>
                </c:pt>
                <c:pt idx="26">
                  <c:v>1993</c:v>
                </c:pt>
                <c:pt idx="27">
                  <c:v>1994</c:v>
                </c:pt>
                <c:pt idx="28">
                  <c:v>1995</c:v>
                </c:pt>
                <c:pt idx="29">
                  <c:v>1996</c:v>
                </c:pt>
                <c:pt idx="30">
                  <c:v>1997</c:v>
                </c:pt>
                <c:pt idx="31">
                  <c:v>1998</c:v>
                </c:pt>
                <c:pt idx="32">
                  <c:v>1999</c:v>
                </c:pt>
                <c:pt idx="33">
                  <c:v>2000</c:v>
                </c:pt>
                <c:pt idx="34">
                  <c:v>2001</c:v>
                </c:pt>
                <c:pt idx="35">
                  <c:v>2002</c:v>
                </c:pt>
                <c:pt idx="36">
                  <c:v>2003</c:v>
                </c:pt>
                <c:pt idx="37">
                  <c:v>2004</c:v>
                </c:pt>
                <c:pt idx="38">
                  <c:v>2005</c:v>
                </c:pt>
                <c:pt idx="39">
                  <c:v>2006</c:v>
                </c:pt>
              </c:strCache>
            </c:strRef>
          </c:cat>
          <c:val>
            <c:numRef>
              <c:f>Sheet1!$B$5:$AO$5</c:f>
              <c:numCache>
                <c:formatCode>General</c:formatCode>
                <c:ptCount val="40"/>
              </c:numCache>
            </c:numRef>
          </c:val>
          <c:smooth val="0"/>
        </c:ser>
        <c:dLbls>
          <c:showLegendKey val="0"/>
          <c:showVal val="0"/>
          <c:showCatName val="0"/>
          <c:showSerName val="0"/>
          <c:showPercent val="0"/>
          <c:showBubbleSize val="0"/>
        </c:dLbls>
        <c:marker val="1"/>
        <c:smooth val="0"/>
        <c:axId val="302303848"/>
        <c:axId val="1"/>
      </c:lineChart>
      <c:catAx>
        <c:axId val="302303848"/>
        <c:scaling>
          <c:orientation val="minMax"/>
        </c:scaling>
        <c:delete val="0"/>
        <c:axPos val="b"/>
        <c:numFmt formatCode="General" sourceLinked="1"/>
        <c:majorTickMark val="none"/>
        <c:minorTickMark val="none"/>
        <c:tickLblPos val="nextTo"/>
        <c:txPr>
          <a:bodyPr rot="-2700000" spcFirstLastPara="0" vertOverflow="ellipsis" vert="horz" wrap="square" anchor="ctr" anchorCtr="1"/>
          <a:lstStyle/>
          <a:p>
            <a:pPr>
              <a:defRPr lang="zh-CN" sz="750" b="0" i="0" u="none" strike="noStrike" kern="1200" baseline="0">
                <a:solidFill>
                  <a:srgbClr val="000000"/>
                </a:solidFill>
                <a:latin typeface="Calibri" panose="020F0502020204030204"/>
                <a:ea typeface="Calibri" panose="020F0502020204030204"/>
                <a:cs typeface="Calibri" panose="020F0502020204030204"/>
              </a:defRPr>
            </a:pPr>
          </a:p>
        </c:txPr>
        <c:crossAx val="1"/>
        <c:crosses val="autoZero"/>
        <c:auto val="1"/>
        <c:lblAlgn val="ctr"/>
        <c:lblOffset val="100"/>
        <c:noMultiLvlLbl val="0"/>
      </c:catAx>
      <c:valAx>
        <c:axId val="1"/>
        <c:scaling>
          <c:orientation val="minMax"/>
        </c:scaling>
        <c:delete val="0"/>
        <c:axPos val="l"/>
        <c:majorGridlines/>
        <c:title>
          <c:tx>
            <c:rich>
              <a:bodyPr rot="-5400000" spcFirstLastPara="0" vertOverflow="ellipsis" vert="horz" wrap="square" anchor="ctr" anchorCtr="1"/>
              <a:lstStyle/>
              <a:p>
                <a:pPr>
                  <a:defRPr lang="zh-CN" sz="750" b="1" i="0" u="none" strike="noStrike" kern="1200" baseline="0">
                    <a:solidFill>
                      <a:srgbClr val="000000"/>
                    </a:solidFill>
                    <a:latin typeface="宋体" charset="-122"/>
                    <a:ea typeface="宋体" charset="-122"/>
                    <a:cs typeface="宋体" charset="-122"/>
                  </a:defRPr>
                </a:pPr>
                <a:r>
                  <a:rPr lang="zh-CN" altLang="en-US"/>
                  <a:t>一盎司黄金的美元价格</a:t>
                </a:r>
                <a:endParaRPr lang="zh-CN" altLang="en-US"/>
              </a:p>
            </c:rich>
          </c:tx>
          <c:layout>
            <c:manualLayout>
              <c:xMode val="edge"/>
              <c:yMode val="edge"/>
              <c:x val="0.0289855072463768"/>
              <c:y val="0.415518825912527"/>
            </c:manualLayout>
          </c:layout>
          <c:overlay val="0"/>
        </c:title>
        <c:numFmt formatCode="g/&quot;通&quot;&quot;用&quot;&quot;格&quot;&quot;式&quot;" sourceLinked="1"/>
        <c:majorTickMark val="none"/>
        <c:minorTickMark val="none"/>
        <c:tickLblPos val="nextTo"/>
        <c:txPr>
          <a:bodyPr rot="0" spcFirstLastPara="0" vertOverflow="ellipsis" vert="horz" wrap="square" anchor="ctr" anchorCtr="1"/>
          <a:lstStyle/>
          <a:p>
            <a:pPr>
              <a:defRPr lang="zh-CN" sz="750" b="0" i="0" u="none" strike="noStrike" kern="1200" baseline="0">
                <a:solidFill>
                  <a:srgbClr val="000000"/>
                </a:solidFill>
                <a:latin typeface="Calibri" panose="020F0502020204030204"/>
                <a:ea typeface="Calibri" panose="020F0502020204030204"/>
                <a:cs typeface="Calibri" panose="020F0502020204030204"/>
              </a:defRPr>
            </a:pPr>
          </a:p>
        </c:txPr>
        <c:crossAx val="302303848"/>
        <c:crosses val="autoZero"/>
        <c:crossBetween val="between"/>
      </c:valAx>
    </c:plotArea>
    <c:plotVisOnly val="1"/>
    <c:dispBlanksAs val="gap"/>
    <c:showDLblsOverMax val="0"/>
    <c:extLst>
      <c:ext uri="{0b15fc19-7d7d-44ad-8c2d-2c3a37ce22c3}">
        <chartProps xmlns="https://web.wps.cn/et/2018/main" chartId="{7c4a60d7-8022-469f-955e-e25c194df438}"/>
      </c:ext>
    </c:extLst>
  </c:chart>
  <c:txPr>
    <a:bodyPr/>
    <a:lstStyle/>
    <a:p>
      <a:pPr>
        <a:defRPr lang="zh-CN" sz="750" b="0" i="0" u="none" strike="noStrike" baseline="0">
          <a:solidFill>
            <a:srgbClr val="000000"/>
          </a:solidFill>
          <a:latin typeface="Calibri" panose="020F0502020204030204"/>
          <a:ea typeface="Calibri" panose="020F0502020204030204"/>
          <a:cs typeface="Calibri" panose="020F0502020204030204"/>
        </a:defRPr>
      </a:pPr>
    </a:p>
  </c:txPr>
  <c:externalData r:id="rId1">
    <c:autoUpdate val="0"/>
  </c:externalData>
</c:chartSpace>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游ゴシック Light"/>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1516</Pages>
  <Words>1578391</Words>
  <Characters>1625833</Characters>
  <Lines>0</Lines>
  <Paragraphs>0</Paragraphs>
  <TotalTime>14</TotalTime>
  <ScaleCrop>false</ScaleCrop>
  <LinksUpToDate>false</LinksUpToDate>
  <CharactersWithSpaces>1641624</CharactersWithSpaces>
  <Application>WPS Office_12.1.25869.25869_F1E327BC-269C-435d-A152-05C5408002CA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2026-07-08T12:14:00Z</dcterms:created>
  <dc:creator>杨辰雨</dc:creator>
  <cp:lastModifiedBy>杨辰雨</cp:lastModifiedBy>
  <dcterms:modified xsi:type="dcterms:W3CDTF">2026-07-08T12:39:38Z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2052-12.1.25869.25869</vt:lpwstr>
  </property>
  <property fmtid="{D5CDD505-2E9C-101B-9397-08002B2CF9AE}" pid="3" name="ICV">
    <vt:lpwstr>8B83A15EF8A0E6E4AECE4D6ACD64D26E_41</vt:lpwstr>
  </property>
</Properties>
</file>